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842" w:rsidRDefault="00646842" w:rsidP="004E00C6">
      <w:pPr>
        <w:jc w:val="center"/>
      </w:pPr>
    </w:p>
    <w:p w:rsidR="00646842" w:rsidRDefault="00646842" w:rsidP="004E00C6">
      <w:pPr>
        <w:jc w:val="center"/>
      </w:pPr>
    </w:p>
    <w:p w:rsidR="00646842" w:rsidRDefault="00646842" w:rsidP="004E00C6">
      <w:pPr>
        <w:jc w:val="center"/>
      </w:pPr>
    </w:p>
    <w:p w:rsidR="004E00C6" w:rsidRDefault="004E00C6" w:rsidP="004E00C6">
      <w:pPr>
        <w:jc w:val="center"/>
      </w:pPr>
      <w:r>
        <w:rPr>
          <w:noProof/>
          <w:lang w:eastAsia="fr-FR"/>
        </w:rPr>
        <w:drawing>
          <wp:inline distT="0" distB="0" distL="0" distR="0">
            <wp:extent cx="1266333" cy="1770278"/>
            <wp:effectExtent l="19050" t="0" r="0" b="0"/>
            <wp:docPr id="41" name="Image 2" descr="C:\Users\ALAIN\LACAN séminaires\Ressources\Références\FREUD\Sigmund_freud_um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Références\FREUD\Sigmund_freud_um_1905.jpg"/>
                    <pic:cNvPicPr>
                      <a:picLocks noChangeAspect="1" noChangeArrowheads="1"/>
                    </pic:cNvPicPr>
                  </pic:nvPicPr>
                  <pic:blipFill>
                    <a:blip r:embed="rId8" cstate="print"/>
                    <a:srcRect/>
                    <a:stretch>
                      <a:fillRect/>
                    </a:stretch>
                  </pic:blipFill>
                  <pic:spPr bwMode="auto">
                    <a:xfrm>
                      <a:off x="0" y="0"/>
                      <a:ext cx="1268563" cy="1773395"/>
                    </a:xfrm>
                    <a:prstGeom prst="rect">
                      <a:avLst/>
                    </a:prstGeom>
                    <a:noFill/>
                    <a:ln w="9525">
                      <a:noFill/>
                      <a:miter lim="800000"/>
                      <a:headEnd/>
                      <a:tailEnd/>
                    </a:ln>
                  </pic:spPr>
                </pic:pic>
              </a:graphicData>
            </a:graphic>
          </wp:inline>
        </w:drawing>
      </w:r>
      <w:r>
        <w:rPr>
          <w:noProof/>
          <w:lang w:eastAsia="fr-FR"/>
        </w:rPr>
        <w:drawing>
          <wp:inline distT="0" distB="0" distL="0" distR="0">
            <wp:extent cx="1231525" cy="1768532"/>
            <wp:effectExtent l="19050" t="0" r="6725" b="0"/>
            <wp:docPr id="42" name="Image 1" descr="C:\Users\ALAIN\LACAN séminaires\Ressources\Références\FREUD\Freud_ca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Références\FREUD\Freud_ca_1900.jpg"/>
                    <pic:cNvPicPr>
                      <a:picLocks noChangeAspect="1" noChangeArrowheads="1"/>
                    </pic:cNvPicPr>
                  </pic:nvPicPr>
                  <pic:blipFill>
                    <a:blip r:embed="rId9" cstate="print"/>
                    <a:srcRect/>
                    <a:stretch>
                      <a:fillRect/>
                    </a:stretch>
                  </pic:blipFill>
                  <pic:spPr bwMode="auto">
                    <a:xfrm>
                      <a:off x="0" y="0"/>
                      <a:ext cx="1232309" cy="1769658"/>
                    </a:xfrm>
                    <a:prstGeom prst="rect">
                      <a:avLst/>
                    </a:prstGeom>
                    <a:noFill/>
                    <a:ln w="9525">
                      <a:noFill/>
                      <a:miter lim="800000"/>
                      <a:headEnd/>
                      <a:tailEnd/>
                    </a:ln>
                  </pic:spPr>
                </pic:pic>
              </a:graphicData>
            </a:graphic>
          </wp:inline>
        </w:drawing>
      </w:r>
      <w:r>
        <w:rPr>
          <w:noProof/>
          <w:lang w:eastAsia="fr-FR"/>
        </w:rPr>
        <w:drawing>
          <wp:inline distT="0" distB="0" distL="0" distR="0">
            <wp:extent cx="1180457" cy="1770279"/>
            <wp:effectExtent l="19050" t="0" r="643" b="0"/>
            <wp:docPr id="44" name="Image 3" descr="C:\Users\ALAIN\LACAN séminaires\Ressources\Références\FREUD\Sigmund_Freud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Références\FREUD\Sigmund_Freud_1926.jpg"/>
                    <pic:cNvPicPr>
                      <a:picLocks noChangeAspect="1" noChangeArrowheads="1"/>
                    </pic:cNvPicPr>
                  </pic:nvPicPr>
                  <pic:blipFill>
                    <a:blip r:embed="rId10" cstate="print"/>
                    <a:srcRect/>
                    <a:stretch>
                      <a:fillRect/>
                    </a:stretch>
                  </pic:blipFill>
                  <pic:spPr bwMode="auto">
                    <a:xfrm>
                      <a:off x="0" y="0"/>
                      <a:ext cx="1180215" cy="1769916"/>
                    </a:xfrm>
                    <a:prstGeom prst="rect">
                      <a:avLst/>
                    </a:prstGeom>
                    <a:noFill/>
                    <a:ln w="9525">
                      <a:noFill/>
                      <a:miter lim="800000"/>
                      <a:headEnd/>
                      <a:tailEnd/>
                    </a:ln>
                  </pic:spPr>
                </pic:pic>
              </a:graphicData>
            </a:graphic>
          </wp:inline>
        </w:drawing>
      </w:r>
      <w:r>
        <w:rPr>
          <w:noProof/>
          <w:lang w:eastAsia="fr-FR"/>
        </w:rPr>
        <w:drawing>
          <wp:inline distT="0" distB="0" distL="0" distR="0">
            <wp:extent cx="1246571" cy="1770279"/>
            <wp:effectExtent l="19050" t="0" r="0" b="0"/>
            <wp:docPr id="46" name="Image 4" descr="C:\Users\ALAIN\LACAN séminaires\Ressources\Références\FREUD\Sigmund_Freud_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Références\FREUD\Sigmund_Freud_LIFE.jpg"/>
                    <pic:cNvPicPr>
                      <a:picLocks noChangeAspect="1" noChangeArrowheads="1"/>
                    </pic:cNvPicPr>
                  </pic:nvPicPr>
                  <pic:blipFill>
                    <a:blip r:embed="rId11" cstate="print"/>
                    <a:srcRect/>
                    <a:stretch>
                      <a:fillRect/>
                    </a:stretch>
                  </pic:blipFill>
                  <pic:spPr bwMode="auto">
                    <a:xfrm>
                      <a:off x="0" y="0"/>
                      <a:ext cx="1246571" cy="1770279"/>
                    </a:xfrm>
                    <a:prstGeom prst="rect">
                      <a:avLst/>
                    </a:prstGeom>
                    <a:noFill/>
                    <a:ln w="9525">
                      <a:noFill/>
                      <a:miter lim="800000"/>
                      <a:headEnd/>
                      <a:tailEnd/>
                    </a:ln>
                  </pic:spPr>
                </pic:pic>
              </a:graphicData>
            </a:graphic>
          </wp:inline>
        </w:drawing>
      </w:r>
    </w:p>
    <w:p w:rsidR="0007298F" w:rsidRDefault="0007298F" w:rsidP="004E00C6">
      <w:pPr>
        <w:jc w:val="center"/>
      </w:pPr>
    </w:p>
    <w:p w:rsidR="004E00C6" w:rsidRPr="007D5EBB" w:rsidRDefault="004E00C6" w:rsidP="004E00C6">
      <w:pPr>
        <w:jc w:val="center"/>
        <w:rPr>
          <w:rFonts w:ascii="Times New Roman" w:hAnsi="Times New Roman" w:cs="Times New Roman"/>
          <w:color w:val="000066"/>
          <w:sz w:val="222"/>
          <w:szCs w:val="222"/>
          <w:lang w:val="en-US"/>
        </w:rPr>
      </w:pPr>
      <w:r w:rsidRPr="007D5EBB">
        <w:rPr>
          <w:rFonts w:ascii="Times New Roman" w:hAnsi="Times New Roman" w:cs="Times New Roman"/>
          <w:color w:val="000066"/>
          <w:sz w:val="222"/>
          <w:szCs w:val="222"/>
          <w:lang w:val="en-US"/>
        </w:rPr>
        <w:t>FREUD</w:t>
      </w:r>
    </w:p>
    <w:p w:rsidR="004E00C6" w:rsidRPr="00F20BA5" w:rsidRDefault="004E00C6" w:rsidP="004E00C6">
      <w:pPr>
        <w:rPr>
          <w:rFonts w:ascii="Palace Script MT" w:hAnsi="Palace Script MT" w:cs="Times New Roman"/>
          <w:color w:val="C00000"/>
          <w:sz w:val="200"/>
          <w:szCs w:val="200"/>
          <w:lang w:val="en-US"/>
        </w:rPr>
      </w:pPr>
      <w:r w:rsidRPr="00F20BA5">
        <w:rPr>
          <w:rFonts w:ascii="Palace Script MT" w:hAnsi="Palace Script MT" w:cs="Times New Roman"/>
          <w:color w:val="C00000"/>
          <w:sz w:val="200"/>
          <w:szCs w:val="200"/>
          <w:lang w:val="en-US"/>
        </w:rPr>
        <w:t>Gesammelte Werke</w:t>
      </w:r>
    </w:p>
    <w:p w:rsidR="00716243" w:rsidRDefault="00716243" w:rsidP="00716243">
      <w:pPr>
        <w:jc w:val="center"/>
        <w:rPr>
          <w:rFonts w:ascii="Times New Roman" w:hAnsi="Times New Roman" w:cs="Times New Roman"/>
          <w:b/>
          <w:color w:val="000066"/>
          <w:sz w:val="56"/>
          <w:szCs w:val="56"/>
          <w:lang w:val="en-US"/>
        </w:rPr>
      </w:pPr>
    </w:p>
    <w:p w:rsidR="00716243" w:rsidRPr="00716243" w:rsidRDefault="00716243" w:rsidP="00716243">
      <w:pPr>
        <w:jc w:val="center"/>
        <w:rPr>
          <w:rFonts w:ascii="Times New Roman" w:hAnsi="Times New Roman" w:cs="Times New Roman"/>
          <w:b/>
          <w:color w:val="000066"/>
          <w:sz w:val="56"/>
          <w:szCs w:val="56"/>
          <w:lang w:val="en-US"/>
        </w:rPr>
      </w:pPr>
      <w:r w:rsidRPr="00716243">
        <w:rPr>
          <w:rFonts w:ascii="Times New Roman" w:hAnsi="Times New Roman" w:cs="Times New Roman"/>
          <w:b/>
          <w:color w:val="000066"/>
          <w:sz w:val="56"/>
          <w:szCs w:val="56"/>
          <w:lang w:val="en-US"/>
        </w:rPr>
        <w:t>1890 - 1939</w:t>
      </w:r>
    </w:p>
    <w:p w:rsidR="004E00C6" w:rsidRPr="004E00C6" w:rsidRDefault="004E00C6">
      <w:pPr>
        <w:rPr>
          <w:rFonts w:ascii="Garamond" w:hAnsi="Garamond"/>
          <w:color w:val="0000CC"/>
          <w:sz w:val="40"/>
          <w:szCs w:val="40"/>
          <w:lang w:val="en-US"/>
        </w:rPr>
      </w:pPr>
      <w:r w:rsidRPr="004E00C6">
        <w:rPr>
          <w:rFonts w:ascii="Garamond" w:hAnsi="Garamond"/>
          <w:color w:val="0000CC"/>
          <w:sz w:val="40"/>
          <w:szCs w:val="40"/>
          <w:lang w:val="en-US"/>
        </w:rPr>
        <w:br w:type="page"/>
      </w:r>
    </w:p>
    <w:p w:rsidR="0018684C" w:rsidRPr="007D5EBB" w:rsidRDefault="0018684C" w:rsidP="00130855">
      <w:pPr>
        <w:pStyle w:val="Sansinterligne"/>
        <w:jc w:val="center"/>
        <w:rPr>
          <w:rFonts w:ascii="Garamond" w:hAnsi="Garamond"/>
          <w:color w:val="0000CC"/>
          <w:sz w:val="40"/>
          <w:szCs w:val="40"/>
          <w:lang w:val="en-US"/>
        </w:rPr>
      </w:pPr>
      <w:r w:rsidRPr="007D5EBB">
        <w:rPr>
          <w:rFonts w:ascii="Garamond" w:hAnsi="Garamond"/>
          <w:color w:val="0000CC"/>
          <w:sz w:val="40"/>
          <w:szCs w:val="40"/>
          <w:lang w:val="en-US"/>
        </w:rPr>
        <w:lastRenderedPageBreak/>
        <w:t xml:space="preserve">FREUD </w:t>
      </w:r>
      <w:r w:rsidR="00DF7E46" w:rsidRPr="007D5EBB">
        <w:rPr>
          <w:rFonts w:ascii="Garamond" w:hAnsi="Garamond"/>
          <w:color w:val="0000CC"/>
          <w:sz w:val="40"/>
          <w:szCs w:val="40"/>
          <w:lang w:val="en-US"/>
        </w:rPr>
        <w:t xml:space="preserve"> </w:t>
      </w:r>
    </w:p>
    <w:p w:rsidR="0018684C" w:rsidRPr="007D5EBB" w:rsidRDefault="0018684C" w:rsidP="00130855">
      <w:pPr>
        <w:pStyle w:val="Sansinterligne"/>
        <w:rPr>
          <w:rFonts w:ascii="Garamond" w:hAnsi="Garamond"/>
          <w:lang w:val="en-US"/>
        </w:rPr>
      </w:pPr>
    </w:p>
    <w:p w:rsidR="0018684C" w:rsidRPr="007D5EBB" w:rsidRDefault="008725BE" w:rsidP="00130855">
      <w:pPr>
        <w:pStyle w:val="Sansinterligne"/>
        <w:rPr>
          <w:rFonts w:ascii="Garamond" w:hAnsi="Garamond"/>
          <w:color w:val="0000CC"/>
          <w:sz w:val="28"/>
          <w:szCs w:val="28"/>
          <w:lang w:val="en-US"/>
        </w:rPr>
      </w:pPr>
      <w:r w:rsidRPr="007D5EBB">
        <w:rPr>
          <w:rFonts w:ascii="Garamond" w:hAnsi="Garamond"/>
          <w:color w:val="0000CC"/>
          <w:sz w:val="28"/>
          <w:szCs w:val="28"/>
          <w:lang w:val="en-US"/>
        </w:rPr>
        <w:t xml:space="preserve">I    </w:t>
      </w:r>
      <w:r w:rsidR="0018684C" w:rsidRPr="007D5EBB">
        <w:rPr>
          <w:rFonts w:ascii="Garamond" w:hAnsi="Garamond"/>
          <w:color w:val="0000CC"/>
          <w:sz w:val="28"/>
          <w:szCs w:val="28"/>
          <w:lang w:val="en-US"/>
        </w:rPr>
        <w:t>We</w:t>
      </w:r>
      <w:bookmarkStart w:id="0" w:name="Werke"/>
      <w:bookmarkEnd w:id="0"/>
      <w:r w:rsidR="0018684C" w:rsidRPr="007D5EBB">
        <w:rPr>
          <w:rFonts w:ascii="Garamond" w:hAnsi="Garamond"/>
          <w:color w:val="0000CC"/>
          <w:sz w:val="28"/>
          <w:szCs w:val="28"/>
          <w:lang w:val="en-US"/>
        </w:rPr>
        <w:t>rke</w:t>
      </w:r>
    </w:p>
    <w:p w:rsidR="0018684C" w:rsidRDefault="0018684C" w:rsidP="00130855">
      <w:pPr>
        <w:rPr>
          <w:rFonts w:ascii="Garamond" w:hAnsi="Garamond"/>
          <w:lang w:val="en-US"/>
        </w:rPr>
      </w:pPr>
    </w:p>
    <w:p w:rsidR="005C1841" w:rsidRPr="005C1841" w:rsidRDefault="005C1841" w:rsidP="00130855">
      <w:pPr>
        <w:rPr>
          <w:rFonts w:ascii="Garamond" w:hAnsi="Garamond"/>
        </w:rPr>
      </w:pPr>
      <w:r>
        <w:rPr>
          <w:rFonts w:ascii="Garamond" w:hAnsi="Garamond"/>
        </w:rPr>
        <w:t xml:space="preserve">1895  </w:t>
      </w:r>
      <w:hyperlink w:anchor="F75" w:history="1">
        <w:r w:rsidRPr="005C1841">
          <w:rPr>
            <w:rStyle w:val="Lienhypertexte"/>
            <w:rFonts w:ascii="Garamond" w:hAnsi="Garamond"/>
          </w:rPr>
          <w:t>Studien übe</w:t>
        </w:r>
        <w:r w:rsidRPr="005C1841">
          <w:rPr>
            <w:rStyle w:val="Lienhypertexte"/>
            <w:rFonts w:ascii="Garamond" w:hAnsi="Garamond"/>
          </w:rPr>
          <w:t>r</w:t>
        </w:r>
        <w:r w:rsidRPr="005C1841">
          <w:rPr>
            <w:rStyle w:val="Lienhypertexte"/>
            <w:rFonts w:ascii="Garamond" w:hAnsi="Garamond"/>
          </w:rPr>
          <w:t xml:space="preserve"> Hy</w:t>
        </w:r>
        <w:r w:rsidRPr="005C1841">
          <w:rPr>
            <w:rStyle w:val="Lienhypertexte"/>
            <w:rFonts w:ascii="Garamond" w:hAnsi="Garamond"/>
          </w:rPr>
          <w:t>s</w:t>
        </w:r>
        <w:r w:rsidRPr="005C1841">
          <w:rPr>
            <w:rStyle w:val="Lienhypertexte"/>
            <w:rFonts w:ascii="Garamond" w:hAnsi="Garamond"/>
          </w:rPr>
          <w:t>terie</w:t>
        </w:r>
      </w:hyperlink>
      <w:r>
        <w:rPr>
          <w:rFonts w:ascii="Garamond" w:hAnsi="Garamond"/>
        </w:rPr>
        <w:t xml:space="preserve">  </w:t>
      </w:r>
    </w:p>
    <w:p w:rsidR="00A06A59" w:rsidRPr="002A2E3C" w:rsidRDefault="00A06A59" w:rsidP="00130855">
      <w:pPr>
        <w:pStyle w:val="Sansinterligne"/>
        <w:rPr>
          <w:rFonts w:ascii="Garamond" w:hAnsi="Garamond"/>
          <w:b/>
        </w:rPr>
      </w:pPr>
      <w:r w:rsidRPr="002A2E3C">
        <w:rPr>
          <w:rFonts w:ascii="Garamond" w:hAnsi="Garamond"/>
        </w:rPr>
        <w:t xml:space="preserve">1900 </w:t>
      </w:r>
      <w:r w:rsidR="00AD6ACB" w:rsidRPr="002A2E3C">
        <w:rPr>
          <w:rFonts w:ascii="Garamond" w:hAnsi="Garamond"/>
        </w:rPr>
        <w:t xml:space="preserve"> </w:t>
      </w:r>
      <w:r w:rsidRPr="002A2E3C">
        <w:rPr>
          <w:rFonts w:ascii="Garamond" w:hAnsi="Garamond"/>
        </w:rPr>
        <w:t xml:space="preserve"> </w:t>
      </w:r>
      <w:hyperlink w:anchor="F61" w:history="1">
        <w:r w:rsidRPr="002A2E3C">
          <w:rPr>
            <w:rStyle w:val="Lienhypertexte"/>
            <w:rFonts w:ascii="Garamond" w:hAnsi="Garamond"/>
          </w:rPr>
          <w:t>Die traumd</w:t>
        </w:r>
        <w:r w:rsidRPr="002A2E3C">
          <w:rPr>
            <w:rStyle w:val="Lienhypertexte"/>
            <w:rFonts w:ascii="Garamond" w:hAnsi="Garamond"/>
          </w:rPr>
          <w:t>e</w:t>
        </w:r>
        <w:r w:rsidRPr="002A2E3C">
          <w:rPr>
            <w:rStyle w:val="Lienhypertexte"/>
            <w:rFonts w:ascii="Garamond" w:hAnsi="Garamond"/>
          </w:rPr>
          <w:t>utung</w:t>
        </w:r>
      </w:hyperlink>
    </w:p>
    <w:p w:rsidR="0018684C" w:rsidRPr="002A2E3C" w:rsidRDefault="0018684C" w:rsidP="00130855">
      <w:pPr>
        <w:pStyle w:val="Sansinterligne"/>
        <w:rPr>
          <w:b/>
        </w:rPr>
      </w:pPr>
    </w:p>
    <w:p w:rsidR="000D4CB9" w:rsidRPr="00AD6ACB" w:rsidRDefault="0018684C" w:rsidP="00130855">
      <w:pPr>
        <w:pStyle w:val="Sansinterligne"/>
        <w:rPr>
          <w:b/>
        </w:rPr>
      </w:pPr>
      <w:r w:rsidRPr="002A2E3C">
        <w:rPr>
          <w:rFonts w:ascii="Garamond" w:hAnsi="Garamond"/>
        </w:rPr>
        <w:t>1904</w:t>
      </w:r>
      <w:r w:rsidRPr="002A2E3C">
        <w:rPr>
          <w:b/>
        </w:rPr>
        <w:t xml:space="preserve"> </w:t>
      </w:r>
      <w:r w:rsidR="00AD6ACB" w:rsidRPr="002A2E3C">
        <w:rPr>
          <w:b/>
        </w:rPr>
        <w:t xml:space="preserve"> </w:t>
      </w:r>
      <w:r w:rsidRPr="002A2E3C">
        <w:rPr>
          <w:b/>
        </w:rPr>
        <w:t xml:space="preserve"> </w:t>
      </w:r>
      <w:hyperlink w:anchor="F62" w:history="1">
        <w:r w:rsidR="000D4CB9" w:rsidRPr="00AD6ACB">
          <w:rPr>
            <w:rStyle w:val="Lienhypertexte"/>
            <w:rFonts w:ascii="Garamond" w:hAnsi="Garamond" w:cs="Arial"/>
            <w:bCs/>
          </w:rPr>
          <w:t>Zur Psychopathologie des Alltagslebens</w:t>
        </w:r>
      </w:hyperlink>
    </w:p>
    <w:p w:rsidR="0018684C" w:rsidRPr="00AD6ACB" w:rsidRDefault="0018684C" w:rsidP="00130855">
      <w:pPr>
        <w:pStyle w:val="Sansinterligne"/>
        <w:rPr>
          <w:b/>
        </w:rPr>
      </w:pPr>
    </w:p>
    <w:p w:rsidR="00BA623D" w:rsidRPr="00F20BA5" w:rsidRDefault="0018684C" w:rsidP="00130855">
      <w:pPr>
        <w:pStyle w:val="Sansinterligne"/>
        <w:rPr>
          <w:lang w:val="en-US"/>
        </w:rPr>
      </w:pPr>
      <w:r w:rsidRPr="002A2E3C">
        <w:rPr>
          <w:rFonts w:ascii="Garamond" w:hAnsi="Garamond"/>
          <w:lang w:val="en-US"/>
        </w:rPr>
        <w:t>1905</w:t>
      </w:r>
      <w:r w:rsidR="00AD6ACB" w:rsidRPr="002A2E3C">
        <w:rPr>
          <w:rFonts w:ascii="Garamond" w:hAnsi="Garamond"/>
          <w:lang w:val="en-US"/>
        </w:rPr>
        <w:t xml:space="preserve"> </w:t>
      </w:r>
      <w:r w:rsidRPr="002A2E3C">
        <w:rPr>
          <w:rFonts w:ascii="Garamond" w:hAnsi="Garamond"/>
          <w:lang w:val="en-US"/>
        </w:rPr>
        <w:t xml:space="preserve"> </w:t>
      </w:r>
      <w:r w:rsidRPr="002A2E3C">
        <w:rPr>
          <w:lang w:val="en-US"/>
        </w:rPr>
        <w:t xml:space="preserve"> </w:t>
      </w:r>
      <w:hyperlink w:anchor="F63" w:history="1">
        <w:r w:rsidR="00BA623D" w:rsidRPr="00AD6ACB">
          <w:rPr>
            <w:rStyle w:val="Lienhypertexte"/>
            <w:rFonts w:ascii="Garamond" w:hAnsi="Garamond"/>
            <w:lang w:val="en-US"/>
          </w:rPr>
          <w:t>Der Witz und seine Beziehung zum Unbewußten</w:t>
        </w:r>
      </w:hyperlink>
    </w:p>
    <w:p w:rsidR="00646842" w:rsidRPr="00F20BA5" w:rsidRDefault="00646842" w:rsidP="00130855">
      <w:pPr>
        <w:pStyle w:val="Sansinterligne"/>
        <w:rPr>
          <w:lang w:val="en-US"/>
        </w:rPr>
      </w:pPr>
    </w:p>
    <w:p w:rsidR="00646842" w:rsidRPr="007D5EBB" w:rsidRDefault="00646842" w:rsidP="00130855">
      <w:pPr>
        <w:pStyle w:val="Sansinterligne"/>
      </w:pPr>
      <w:r w:rsidRPr="00646842">
        <w:rPr>
          <w:rFonts w:ascii="Garamond" w:hAnsi="Garamond"/>
        </w:rPr>
        <w:t xml:space="preserve">1905  </w:t>
      </w:r>
      <w:hyperlink w:anchor="F69" w:history="1">
        <w:r w:rsidRPr="00646842">
          <w:rPr>
            <w:rStyle w:val="Lienhypertexte"/>
            <w:rFonts w:ascii="Garamond" w:hAnsi="Garamond"/>
          </w:rPr>
          <w:t>Drei Abhandlungen zur Sexualtheorie</w:t>
        </w:r>
      </w:hyperlink>
    </w:p>
    <w:p w:rsidR="00822836" w:rsidRPr="007D5EBB" w:rsidRDefault="00822836" w:rsidP="00130855">
      <w:pPr>
        <w:pStyle w:val="Sansinterligne"/>
      </w:pPr>
    </w:p>
    <w:p w:rsidR="00822836" w:rsidRPr="002E0E50" w:rsidRDefault="00822836" w:rsidP="002E0E50">
      <w:pPr>
        <w:pStyle w:val="Sansinterligne"/>
        <w:rPr>
          <w:rFonts w:ascii="Garamond" w:hAnsi="Garamond"/>
          <w:color w:val="0000FF"/>
        </w:rPr>
      </w:pPr>
      <w:r w:rsidRPr="002E0E50">
        <w:rPr>
          <w:rFonts w:ascii="Garamond" w:hAnsi="Garamond"/>
        </w:rPr>
        <w:t>1905</w:t>
      </w:r>
      <w:r w:rsidR="007D5EBB" w:rsidRPr="002E0E50">
        <w:rPr>
          <w:rFonts w:ascii="Garamond" w:hAnsi="Garamond"/>
        </w:rPr>
        <w:t xml:space="preserve"> </w:t>
      </w:r>
      <w:r w:rsidRPr="002E0E50">
        <w:rPr>
          <w:rFonts w:ascii="Garamond" w:hAnsi="Garamond"/>
        </w:rPr>
        <w:t xml:space="preserve"> </w:t>
      </w:r>
      <w:hyperlink w:anchor="Psychoanalyse" w:history="1">
        <w:r w:rsidRPr="002E0E50">
          <w:rPr>
            <w:rStyle w:val="Lienhypertexte"/>
            <w:rFonts w:ascii="Garamond" w:hAnsi="Garamond"/>
            <w:lang w:val="de-DE"/>
          </w:rPr>
          <w:t>5  Psycho</w:t>
        </w:r>
        <w:r w:rsidRPr="002E0E50">
          <w:rPr>
            <w:rStyle w:val="Lienhypertexte"/>
            <w:rFonts w:ascii="Garamond" w:hAnsi="Garamond"/>
            <w:lang w:val="de-DE"/>
          </w:rPr>
          <w:t>a</w:t>
        </w:r>
        <w:r w:rsidRPr="002E0E50">
          <w:rPr>
            <w:rStyle w:val="Lienhypertexte"/>
            <w:rFonts w:ascii="Garamond" w:hAnsi="Garamond"/>
            <w:lang w:val="de-DE"/>
          </w:rPr>
          <w:t>nalyse</w:t>
        </w:r>
      </w:hyperlink>
      <w:r w:rsidR="007D5EBB" w:rsidRPr="002E0E50">
        <w:rPr>
          <w:rFonts w:ascii="Garamond" w:hAnsi="Garamond"/>
        </w:rPr>
        <w:t xml:space="preserve"> </w:t>
      </w:r>
      <w:r w:rsidR="007D5EBB" w:rsidRPr="002E0E50">
        <w:rPr>
          <w:rFonts w:ascii="Garamond" w:hAnsi="Garamond"/>
          <w:color w:val="0000FF"/>
        </w:rPr>
        <w:t>(1905-1918)</w:t>
      </w:r>
    </w:p>
    <w:p w:rsidR="00462409" w:rsidRPr="002E0E50" w:rsidRDefault="00462409" w:rsidP="002E0E50">
      <w:pPr>
        <w:pStyle w:val="Sansinterligne"/>
        <w:rPr>
          <w:rFonts w:ascii="Garamond" w:hAnsi="Garamond"/>
          <w:color w:val="0000FF"/>
        </w:rPr>
      </w:pPr>
    </w:p>
    <w:p w:rsidR="00462409" w:rsidRPr="002E0E50" w:rsidRDefault="00462409" w:rsidP="002E0E50">
      <w:pPr>
        <w:pStyle w:val="Sansinterligne"/>
        <w:rPr>
          <w:rFonts w:ascii="Garamond" w:hAnsi="Garamond" w:cs="Arial"/>
          <w:color w:val="000000"/>
          <w:lang w:val="en-US"/>
        </w:rPr>
      </w:pPr>
      <w:r w:rsidRPr="002E0E50">
        <w:rPr>
          <w:rFonts w:ascii="Garamond" w:hAnsi="Garamond"/>
          <w:color w:val="000000" w:themeColor="text1"/>
          <w:lang w:val="en-US"/>
        </w:rPr>
        <w:t xml:space="preserve">1910  </w:t>
      </w:r>
      <w:hyperlink w:anchor="F74" w:history="1">
        <w:r w:rsidRPr="002E0E50">
          <w:rPr>
            <w:rStyle w:val="Lienhypertexte"/>
            <w:rFonts w:ascii="Garamond" w:hAnsi="Garamond"/>
            <w:lang w:val="en-GB"/>
          </w:rPr>
          <w:t>Eine Kindheitserinnerung des Leonardo da Vinci</w:t>
        </w:r>
      </w:hyperlink>
    </w:p>
    <w:p w:rsidR="00E22C23" w:rsidRPr="002E0E50" w:rsidRDefault="00E22C23" w:rsidP="002E0E50">
      <w:pPr>
        <w:pStyle w:val="Sansinterligne"/>
        <w:rPr>
          <w:rFonts w:ascii="Garamond" w:hAnsi="Garamond"/>
          <w:lang w:val="en-US"/>
        </w:rPr>
      </w:pPr>
    </w:p>
    <w:p w:rsidR="00B6748F" w:rsidRPr="002E0E50" w:rsidRDefault="0018684C" w:rsidP="002E0E50">
      <w:pPr>
        <w:pStyle w:val="Sansinterligne"/>
        <w:rPr>
          <w:rFonts w:ascii="Garamond" w:eastAsia="Times New Roman" w:hAnsi="Garamond" w:cs="Times New Roman"/>
          <w:bCs/>
          <w:color w:val="0000CC"/>
          <w:u w:val="single"/>
          <w:lang w:eastAsia="fr-FR"/>
        </w:rPr>
      </w:pPr>
      <w:r w:rsidRPr="002E0E50">
        <w:rPr>
          <w:rFonts w:ascii="Garamond" w:hAnsi="Garamond"/>
          <w:lang w:eastAsia="fr-FR"/>
        </w:rPr>
        <w:t xml:space="preserve">1912  </w:t>
      </w:r>
      <w:hyperlink w:anchor="F66" w:history="1">
        <w:r w:rsidR="00B6748F" w:rsidRPr="002E0E50">
          <w:rPr>
            <w:rStyle w:val="Lienhypertexte"/>
            <w:rFonts w:ascii="Garamond" w:hAnsi="Garamond"/>
            <w:color w:val="0000CC"/>
          </w:rPr>
          <w:t>Totem und Tabu</w:t>
        </w:r>
      </w:hyperlink>
    </w:p>
    <w:p w:rsidR="0018684C" w:rsidRPr="002E0E50" w:rsidRDefault="0018684C" w:rsidP="002E0E50">
      <w:pPr>
        <w:pStyle w:val="Sansinterligne"/>
        <w:rPr>
          <w:rFonts w:ascii="Garamond" w:eastAsia="Times New Roman" w:hAnsi="Garamond" w:cs="Times New Roman"/>
          <w:bCs/>
          <w:lang w:eastAsia="fr-FR"/>
        </w:rPr>
      </w:pPr>
      <w:r w:rsidRPr="002E0E50">
        <w:rPr>
          <w:rFonts w:ascii="Garamond" w:eastAsia="Times New Roman" w:hAnsi="Garamond" w:cs="Times New Roman"/>
          <w:bCs/>
          <w:lang w:eastAsia="fr-FR"/>
        </w:rPr>
        <w:t xml:space="preserve">        </w:t>
      </w:r>
    </w:p>
    <w:p w:rsidR="00CB2E9F" w:rsidRPr="002E0E50" w:rsidRDefault="00CB2E9F" w:rsidP="002E0E50">
      <w:pPr>
        <w:pStyle w:val="Sansinterligne"/>
        <w:rPr>
          <w:rFonts w:ascii="Garamond" w:hAnsi="Garamond"/>
        </w:rPr>
      </w:pPr>
      <w:r w:rsidRPr="002E0E50">
        <w:rPr>
          <w:rFonts w:ascii="Garamond" w:eastAsia="Times New Roman" w:hAnsi="Garamond" w:cs="Times New Roman"/>
          <w:bCs/>
          <w:lang w:eastAsia="fr-FR"/>
        </w:rPr>
        <w:t xml:space="preserve">1915  </w:t>
      </w:r>
      <w:hyperlink w:anchor="F29" w:history="1">
        <w:r w:rsidRPr="002E0E50">
          <w:rPr>
            <w:rStyle w:val="Lienhypertexte"/>
            <w:rFonts w:ascii="Garamond" w:eastAsia="Times New Roman" w:hAnsi="Garamond" w:cs="Times New Roman"/>
            <w:bCs/>
            <w:lang w:eastAsia="fr-FR"/>
          </w:rPr>
          <w:t>Das Unbewußte</w:t>
        </w:r>
      </w:hyperlink>
    </w:p>
    <w:p w:rsidR="00062BE4" w:rsidRDefault="00062BE4" w:rsidP="00130855">
      <w:pPr>
        <w:pStyle w:val="Sansinterligne"/>
      </w:pPr>
    </w:p>
    <w:p w:rsidR="00062BE4" w:rsidRPr="005C1841" w:rsidRDefault="00062BE4" w:rsidP="00130855">
      <w:pPr>
        <w:pStyle w:val="Sansinterligne"/>
        <w:rPr>
          <w:rFonts w:ascii="Garamond" w:hAnsi="Garamond"/>
          <w:lang w:val="en-US" w:eastAsia="fr-FR"/>
        </w:rPr>
      </w:pPr>
      <w:r w:rsidRPr="005C1841">
        <w:rPr>
          <w:rFonts w:ascii="Garamond" w:hAnsi="Garamond"/>
          <w:lang w:val="en-US"/>
        </w:rPr>
        <w:t xml:space="preserve">1916  </w:t>
      </w:r>
      <w:hyperlink w:anchor="F70" w:history="1">
        <w:r w:rsidRPr="005C1841">
          <w:rPr>
            <w:rStyle w:val="Lienhypertexte"/>
            <w:rFonts w:ascii="Garamond" w:hAnsi="Garamond"/>
            <w:lang w:val="en-US"/>
          </w:rPr>
          <w:t>Vorlesungen zur Einführung in die Psychoanalyse</w:t>
        </w:r>
      </w:hyperlink>
    </w:p>
    <w:p w:rsidR="005E1D01" w:rsidRPr="005C1841" w:rsidRDefault="005E1D01" w:rsidP="005E1D01">
      <w:pPr>
        <w:pStyle w:val="Sansinterligne"/>
        <w:rPr>
          <w:rFonts w:ascii="Garamond" w:eastAsia="Times New Roman" w:hAnsi="Garamond" w:cs="Times New Roman"/>
          <w:bCs/>
          <w:lang w:val="en-US" w:eastAsia="fr-FR"/>
        </w:rPr>
      </w:pPr>
    </w:p>
    <w:p w:rsidR="0018684C" w:rsidRPr="00AD6ACB" w:rsidRDefault="00525700" w:rsidP="00130855">
      <w:pPr>
        <w:pStyle w:val="Sansinterligne"/>
        <w:rPr>
          <w:rFonts w:ascii="Garamond" w:hAnsi="Garamond"/>
          <w:bCs/>
        </w:rPr>
      </w:pPr>
      <w:r w:rsidRPr="00AD6ACB">
        <w:rPr>
          <w:rFonts w:ascii="Garamond" w:hAnsi="Garamond"/>
          <w:lang w:eastAsia="fr-FR"/>
        </w:rPr>
        <w:t xml:space="preserve">1920  </w:t>
      </w:r>
      <w:hyperlink w:anchor="F36" w:history="1">
        <w:r w:rsidRPr="00AD6ACB">
          <w:rPr>
            <w:rStyle w:val="Lienhypertexte"/>
            <w:rFonts w:ascii="Garamond" w:hAnsi="Garamond"/>
            <w:bCs/>
          </w:rPr>
          <w:t>Jenseits des Lustprinzips</w:t>
        </w:r>
      </w:hyperlink>
    </w:p>
    <w:p w:rsidR="00525700" w:rsidRPr="00AD6ACB" w:rsidRDefault="00525700" w:rsidP="00130855">
      <w:pPr>
        <w:pStyle w:val="Sansinterligne"/>
        <w:rPr>
          <w:rFonts w:ascii="Garamond" w:hAnsi="Garamond"/>
          <w:bCs/>
        </w:rPr>
      </w:pPr>
    </w:p>
    <w:p w:rsidR="00525700" w:rsidRPr="00AD6ACB" w:rsidRDefault="00525700" w:rsidP="00130855">
      <w:pPr>
        <w:pStyle w:val="Sansinterligne"/>
        <w:rPr>
          <w:rFonts w:ascii="Garamond" w:hAnsi="Garamond"/>
          <w:bCs/>
        </w:rPr>
      </w:pPr>
      <w:r w:rsidRPr="00AD6ACB">
        <w:rPr>
          <w:rFonts w:ascii="Garamond" w:hAnsi="Garamond"/>
          <w:bCs/>
        </w:rPr>
        <w:t xml:space="preserve">1921  </w:t>
      </w:r>
      <w:hyperlink w:anchor="F37" w:history="1">
        <w:r w:rsidRPr="00AD6ACB">
          <w:rPr>
            <w:rStyle w:val="Lienhypertexte"/>
            <w:rFonts w:ascii="Garamond" w:hAnsi="Garamond"/>
            <w:bCs/>
          </w:rPr>
          <w:t>Massenpsychologie und Ich-Analyse</w:t>
        </w:r>
      </w:hyperlink>
    </w:p>
    <w:p w:rsidR="00525700" w:rsidRPr="00AD6ACB" w:rsidRDefault="00525700" w:rsidP="00130855">
      <w:pPr>
        <w:pStyle w:val="Sansinterligne"/>
        <w:rPr>
          <w:rFonts w:ascii="Garamond" w:hAnsi="Garamond"/>
          <w:bCs/>
        </w:rPr>
      </w:pPr>
    </w:p>
    <w:p w:rsidR="00525700" w:rsidRDefault="00525700" w:rsidP="00130855">
      <w:pPr>
        <w:pStyle w:val="Sansinterligne"/>
      </w:pPr>
      <w:r w:rsidRPr="00AD6ACB">
        <w:rPr>
          <w:rFonts w:ascii="Garamond" w:hAnsi="Garamond"/>
          <w:lang w:eastAsia="fr-FR"/>
        </w:rPr>
        <w:t xml:space="preserve">1923  </w:t>
      </w:r>
      <w:hyperlink w:anchor="F39" w:history="1">
        <w:r w:rsidRPr="00AD6ACB">
          <w:rPr>
            <w:rStyle w:val="Lienhypertexte"/>
            <w:rFonts w:ascii="Garamond" w:eastAsia="Times New Roman" w:hAnsi="Garamond" w:cs="Times New Roman"/>
            <w:bCs/>
            <w:lang w:eastAsia="fr-FR"/>
          </w:rPr>
          <w:t>Das Ich und das Es</w:t>
        </w:r>
      </w:hyperlink>
    </w:p>
    <w:p w:rsidR="00F20BA5" w:rsidRDefault="00F20BA5" w:rsidP="00130855">
      <w:pPr>
        <w:pStyle w:val="Sansinterligne"/>
      </w:pPr>
    </w:p>
    <w:p w:rsidR="00F20BA5" w:rsidRDefault="00F20BA5" w:rsidP="00130855">
      <w:pPr>
        <w:pStyle w:val="Sansinterligne"/>
      </w:pPr>
      <w:r w:rsidRPr="007D5EBB">
        <w:rPr>
          <w:rFonts w:ascii="Garamond" w:hAnsi="Garamond"/>
          <w:lang w:val="en-US"/>
        </w:rPr>
        <w:t xml:space="preserve">1926  </w:t>
      </w:r>
      <w:hyperlink w:anchor="F65" w:history="1">
        <w:r w:rsidRPr="00F20BA5">
          <w:rPr>
            <w:rStyle w:val="Lienhypertexte"/>
            <w:rFonts w:ascii="Garamond" w:hAnsi="Garamond" w:cs="Arial"/>
            <w:bCs/>
            <w:lang w:val="en-GB"/>
          </w:rPr>
          <w:t>Hemmung, Symptom und Angst</w:t>
        </w:r>
      </w:hyperlink>
    </w:p>
    <w:p w:rsidR="005D30C2" w:rsidRDefault="005D30C2" w:rsidP="00130855">
      <w:pPr>
        <w:pStyle w:val="Sansinterligne"/>
      </w:pPr>
    </w:p>
    <w:p w:rsidR="005D30C2" w:rsidRPr="007D5EBB" w:rsidRDefault="005D30C2" w:rsidP="00130855">
      <w:pPr>
        <w:pStyle w:val="Sansinterligne"/>
        <w:rPr>
          <w:rFonts w:ascii="Garamond" w:hAnsi="Garamond"/>
          <w:lang w:val="en-US" w:eastAsia="fr-FR"/>
        </w:rPr>
      </w:pPr>
      <w:r w:rsidRPr="005D30C2">
        <w:rPr>
          <w:rFonts w:ascii="Garamond" w:hAnsi="Garamond"/>
        </w:rPr>
        <w:t xml:space="preserve">1926  </w:t>
      </w:r>
      <w:hyperlink w:anchor="F73" w:history="1">
        <w:r w:rsidRPr="005D30C2">
          <w:rPr>
            <w:rStyle w:val="Lienhypertexte"/>
            <w:rFonts w:ascii="Garamond" w:hAnsi="Garamond" w:cs="Arial"/>
            <w:bCs/>
          </w:rPr>
          <w:t>Die Frage der Laienanalyse</w:t>
        </w:r>
      </w:hyperlink>
    </w:p>
    <w:p w:rsidR="00525700" w:rsidRPr="007D5EBB" w:rsidRDefault="00525700" w:rsidP="00130855">
      <w:pPr>
        <w:pStyle w:val="Sansinterligne"/>
        <w:rPr>
          <w:rFonts w:ascii="Garamond" w:hAnsi="Garamond"/>
          <w:lang w:val="en-US" w:eastAsia="fr-FR"/>
        </w:rPr>
      </w:pPr>
      <w:r w:rsidRPr="007D5EBB">
        <w:rPr>
          <w:rFonts w:ascii="Garamond" w:eastAsia="Times New Roman" w:hAnsi="Garamond" w:cs="Times New Roman"/>
          <w:bCs/>
          <w:lang w:val="en-US" w:eastAsia="fr-FR"/>
        </w:rPr>
        <w:t xml:space="preserve">         </w:t>
      </w:r>
    </w:p>
    <w:p w:rsidR="00941D22" w:rsidRPr="007D5EBB" w:rsidRDefault="00941D22" w:rsidP="00941D22">
      <w:pPr>
        <w:pStyle w:val="Sansinterligne"/>
        <w:rPr>
          <w:lang w:val="en-US"/>
        </w:rPr>
      </w:pPr>
      <w:r w:rsidRPr="007D5EBB">
        <w:rPr>
          <w:rFonts w:ascii="Garamond" w:hAnsi="Garamond"/>
          <w:bCs/>
          <w:lang w:val="en-US"/>
        </w:rPr>
        <w:t xml:space="preserve">1927  </w:t>
      </w:r>
      <w:hyperlink w:anchor="F50" w:history="1">
        <w:r w:rsidRPr="007D5EBB">
          <w:rPr>
            <w:rStyle w:val="Lienhypertexte"/>
            <w:rFonts w:ascii="Garamond" w:hAnsi="Garamond"/>
            <w:bCs/>
            <w:lang w:val="en-US"/>
          </w:rPr>
          <w:t>Die Zukunft einer Illusion</w:t>
        </w:r>
      </w:hyperlink>
    </w:p>
    <w:p w:rsidR="004E00C6" w:rsidRPr="007D5EBB" w:rsidRDefault="004E00C6" w:rsidP="00941D22">
      <w:pPr>
        <w:pStyle w:val="Sansinterligne"/>
        <w:rPr>
          <w:lang w:val="en-US"/>
        </w:rPr>
      </w:pPr>
    </w:p>
    <w:p w:rsidR="004E00C6" w:rsidRPr="007D5EBB" w:rsidRDefault="004E00C6" w:rsidP="00941D22">
      <w:pPr>
        <w:pStyle w:val="Sansinterligne"/>
        <w:rPr>
          <w:rFonts w:ascii="Garamond" w:hAnsi="Garamond"/>
          <w:lang w:val="en-US"/>
        </w:rPr>
      </w:pPr>
      <w:r w:rsidRPr="007D5EBB">
        <w:rPr>
          <w:rFonts w:ascii="Garamond" w:hAnsi="Garamond"/>
          <w:lang w:val="en-US"/>
        </w:rPr>
        <w:t xml:space="preserve">1930  </w:t>
      </w:r>
      <w:hyperlink w:anchor="F68" w:history="1">
        <w:r w:rsidRPr="007D5EBB">
          <w:rPr>
            <w:rStyle w:val="Lienhypertexte"/>
            <w:rFonts w:ascii="Garamond" w:hAnsi="Garamond"/>
            <w:lang w:val="en-US"/>
          </w:rPr>
          <w:t>Das Unbehagen in der Kultur</w:t>
        </w:r>
      </w:hyperlink>
    </w:p>
    <w:p w:rsidR="00E22C23" w:rsidRPr="007D5EBB" w:rsidRDefault="00E22C23" w:rsidP="00941D22">
      <w:pPr>
        <w:pStyle w:val="Sansinterligne"/>
        <w:rPr>
          <w:rFonts w:ascii="Garamond" w:hAnsi="Garamond"/>
          <w:lang w:val="en-US"/>
        </w:rPr>
      </w:pPr>
    </w:p>
    <w:p w:rsidR="00E22C23" w:rsidRDefault="00E22C23" w:rsidP="00941D22">
      <w:pPr>
        <w:pStyle w:val="Sansinterligne"/>
      </w:pPr>
      <w:r w:rsidRPr="007D5EBB">
        <w:rPr>
          <w:rFonts w:ascii="Garamond" w:hAnsi="Garamond"/>
          <w:lang w:val="en-US"/>
        </w:rPr>
        <w:t xml:space="preserve">1933  </w:t>
      </w:r>
      <w:hyperlink w:anchor="F71" w:history="1">
        <w:r w:rsidRPr="007D5EBB">
          <w:rPr>
            <w:rStyle w:val="Lienhypertexte"/>
            <w:rFonts w:ascii="Garamond" w:hAnsi="Garamond"/>
            <w:lang w:val="en-US"/>
          </w:rPr>
          <w:t>Neue Folge der Vorlesungen zur Einführung in die Psychoanalyse</w:t>
        </w:r>
      </w:hyperlink>
    </w:p>
    <w:p w:rsidR="00106CDB" w:rsidRDefault="00106CDB" w:rsidP="00941D22">
      <w:pPr>
        <w:pStyle w:val="Sansinterligne"/>
      </w:pPr>
    </w:p>
    <w:p w:rsidR="00106CDB" w:rsidRPr="00106CDB" w:rsidRDefault="00106CDB" w:rsidP="00941D22">
      <w:pPr>
        <w:pStyle w:val="Sansinterligne"/>
        <w:rPr>
          <w:rFonts w:ascii="Garamond" w:hAnsi="Garamond"/>
        </w:rPr>
      </w:pPr>
      <w:r w:rsidRPr="00106CDB">
        <w:rPr>
          <w:rFonts w:ascii="Garamond" w:hAnsi="Garamond"/>
        </w:rPr>
        <w:t xml:space="preserve">1937  </w:t>
      </w:r>
      <w:hyperlink w:anchor="F72" w:history="1">
        <w:r w:rsidRPr="00106CDB">
          <w:rPr>
            <w:rStyle w:val="Lienhypertexte"/>
            <w:rFonts w:ascii="Garamond" w:hAnsi="Garamond" w:cs="Arial"/>
            <w:bCs/>
          </w:rPr>
          <w:t>Die endliche und die unendliche Analyse</w:t>
        </w:r>
      </w:hyperlink>
    </w:p>
    <w:p w:rsidR="00032727" w:rsidRPr="00106CDB" w:rsidRDefault="00032727" w:rsidP="00941D22">
      <w:pPr>
        <w:pStyle w:val="Sansinterligne"/>
      </w:pPr>
    </w:p>
    <w:p w:rsidR="00032727" w:rsidRPr="007D5EBB" w:rsidRDefault="00032727" w:rsidP="00941D22">
      <w:pPr>
        <w:pStyle w:val="Sansinterligne"/>
        <w:rPr>
          <w:rFonts w:ascii="Garamond" w:hAnsi="Garamond"/>
          <w:bCs/>
          <w:lang w:val="en-US"/>
        </w:rPr>
      </w:pPr>
      <w:r w:rsidRPr="007D5EBB">
        <w:rPr>
          <w:rFonts w:ascii="Garamond" w:hAnsi="Garamond"/>
          <w:bCs/>
          <w:lang w:val="en-US"/>
        </w:rPr>
        <w:t xml:space="preserve">1939  </w:t>
      </w:r>
      <w:hyperlink w:anchor="F67" w:history="1">
        <w:r w:rsidRPr="007D5EBB">
          <w:rPr>
            <w:rStyle w:val="Lienhypertexte"/>
            <w:rFonts w:ascii="Garamond" w:hAnsi="Garamond"/>
            <w:lang w:val="en-US"/>
          </w:rPr>
          <w:t>Der Mann Moses und die monotheistische Religion</w:t>
        </w:r>
      </w:hyperlink>
    </w:p>
    <w:p w:rsidR="008725BE" w:rsidRPr="007D5EBB" w:rsidRDefault="008725BE" w:rsidP="00130855">
      <w:pPr>
        <w:pStyle w:val="Sansinterligne"/>
        <w:rPr>
          <w:lang w:val="en-US"/>
        </w:rPr>
      </w:pPr>
    </w:p>
    <w:p w:rsidR="008725BE" w:rsidRPr="007D5EBB" w:rsidRDefault="008725BE" w:rsidP="00130855">
      <w:pPr>
        <w:pStyle w:val="Sansinterligne"/>
        <w:rPr>
          <w:lang w:val="en-US"/>
        </w:rPr>
      </w:pPr>
    </w:p>
    <w:p w:rsidR="008725BE" w:rsidRPr="007D5EBB" w:rsidRDefault="008725BE" w:rsidP="00130855">
      <w:pPr>
        <w:pStyle w:val="Sansinterligne"/>
        <w:rPr>
          <w:lang w:val="en-US"/>
        </w:rPr>
      </w:pPr>
    </w:p>
    <w:p w:rsidR="008725BE" w:rsidRPr="007D5EBB" w:rsidRDefault="008725BE" w:rsidP="00130855">
      <w:pPr>
        <w:pStyle w:val="Sansinterligne"/>
        <w:rPr>
          <w:rFonts w:ascii="Garamond" w:hAnsi="Garamond"/>
          <w:lang w:val="en-US" w:eastAsia="fr-FR"/>
        </w:rPr>
      </w:pPr>
    </w:p>
    <w:p w:rsidR="008725BE" w:rsidRPr="007D5EBB" w:rsidRDefault="008725BE" w:rsidP="00130855">
      <w:pPr>
        <w:pStyle w:val="Sansinterligne"/>
        <w:rPr>
          <w:rFonts w:ascii="Garamond" w:hAnsi="Garamond"/>
          <w:lang w:val="en-US" w:eastAsia="fr-FR"/>
        </w:rPr>
      </w:pPr>
    </w:p>
    <w:p w:rsidR="008725BE" w:rsidRPr="007D5EBB" w:rsidRDefault="008725BE">
      <w:pPr>
        <w:rPr>
          <w:rFonts w:ascii="Garamond" w:hAnsi="Garamond"/>
          <w:lang w:val="en-US" w:eastAsia="fr-FR"/>
        </w:rPr>
      </w:pPr>
      <w:r w:rsidRPr="007D5EBB">
        <w:rPr>
          <w:rFonts w:ascii="Garamond" w:hAnsi="Garamond"/>
          <w:lang w:val="en-US" w:eastAsia="fr-FR"/>
        </w:rPr>
        <w:br w:type="page"/>
      </w:r>
    </w:p>
    <w:p w:rsidR="005E1D01" w:rsidRDefault="008725BE" w:rsidP="008725BE">
      <w:pPr>
        <w:rPr>
          <w:rFonts w:ascii="Garamond" w:hAnsi="Garamond"/>
          <w:color w:val="0000CC"/>
          <w:lang w:val="en-GB"/>
        </w:rPr>
      </w:pPr>
      <w:r w:rsidRPr="008725BE">
        <w:rPr>
          <w:rFonts w:ascii="Garamond" w:hAnsi="Garamond"/>
          <w:color w:val="0000CC"/>
          <w:lang w:val="en-GB"/>
        </w:rPr>
        <w:lastRenderedPageBreak/>
        <w:t>II  Kl</w:t>
      </w:r>
      <w:bookmarkStart w:id="1" w:name="KSinhalt"/>
      <w:bookmarkEnd w:id="1"/>
      <w:r w:rsidRPr="008725BE">
        <w:rPr>
          <w:rFonts w:ascii="Garamond" w:hAnsi="Garamond"/>
          <w:color w:val="0000CC"/>
          <w:lang w:val="en-GB"/>
        </w:rPr>
        <w:t xml:space="preserve">eine Schriften </w:t>
      </w:r>
    </w:p>
    <w:p w:rsidR="0053779A" w:rsidRDefault="0053779A" w:rsidP="008725BE">
      <w:pPr>
        <w:rPr>
          <w:rFonts w:ascii="Garamond" w:hAnsi="Garamond"/>
          <w:color w:val="0000CC"/>
          <w:lang w:val="en-GB"/>
        </w:rPr>
      </w:pPr>
    </w:p>
    <w:p w:rsidR="008725BE" w:rsidRPr="004E00C6" w:rsidRDefault="0053779A" w:rsidP="00CE4D4E">
      <w:pPr>
        <w:pStyle w:val="Paragraphedeliste"/>
        <w:numPr>
          <w:ilvl w:val="0"/>
          <w:numId w:val="2"/>
        </w:numPr>
        <w:rPr>
          <w:rFonts w:ascii="Garamond" w:hAnsi="Garamond"/>
          <w:color w:val="000000"/>
        </w:rPr>
      </w:pPr>
      <w:r w:rsidRPr="004E00C6">
        <w:rPr>
          <w:rFonts w:ascii="Garamond" w:hAnsi="Garamond"/>
          <w:b/>
          <w:color w:val="0000CC"/>
        </w:rPr>
        <w:t>A</w:t>
      </w:r>
      <w:r w:rsidR="008725BE" w:rsidRPr="004E00C6">
        <w:rPr>
          <w:rFonts w:ascii="Garamond" w:hAnsi="Garamond"/>
          <w:b/>
          <w:color w:val="0000CC"/>
        </w:rPr>
        <w:t>lphabetisch</w:t>
      </w:r>
    </w:p>
    <w:p w:rsidR="008725BE" w:rsidRPr="005C1841" w:rsidRDefault="008725BE" w:rsidP="005C1841">
      <w:pPr>
        <w:pStyle w:val="Sansinterligne"/>
        <w:rPr>
          <w:rFonts w:ascii="Garamond" w:hAnsi="Garamond"/>
        </w:rPr>
      </w:pPr>
    </w:p>
    <w:p w:rsidR="008725BE" w:rsidRPr="008725BE" w:rsidRDefault="00B437A1" w:rsidP="005C1841">
      <w:pPr>
        <w:pStyle w:val="Sansinterligne"/>
        <w:rPr>
          <w:lang w:val="en-US"/>
        </w:rPr>
      </w:pPr>
      <w:hyperlink w:anchor="KS1" w:history="1">
        <w:r w:rsidR="008725BE" w:rsidRPr="008725BE">
          <w:rPr>
            <w:rStyle w:val="Lienhypertexte"/>
            <w:rFonts w:ascii="Garamond" w:hAnsi="Garamond" w:cs="Arial"/>
            <w:bCs/>
            <w:lang w:val="en-US"/>
          </w:rPr>
          <w:t>Allgemeines über den hysterischen Anfall</w:t>
        </w:r>
      </w:hyperlink>
      <w:r w:rsidR="008725BE" w:rsidRPr="008725BE">
        <w:rPr>
          <w:color w:val="003399"/>
          <w:lang w:val="en-US"/>
        </w:rPr>
        <w:t xml:space="preserve">  </w:t>
      </w:r>
      <w:r w:rsidR="008725BE" w:rsidRPr="005C1841">
        <w:rPr>
          <w:rFonts w:ascii="Garamond" w:hAnsi="Garamond"/>
          <w:color w:val="000000" w:themeColor="text1"/>
          <w:lang w:val="en-US"/>
        </w:rPr>
        <w:t>(1909)</w:t>
      </w:r>
    </w:p>
    <w:p w:rsidR="008725BE" w:rsidRPr="008725BE" w:rsidRDefault="00B437A1" w:rsidP="008725BE">
      <w:pPr>
        <w:pStyle w:val="Sansinterligne"/>
        <w:rPr>
          <w:rFonts w:ascii="Garamond" w:hAnsi="Garamond"/>
          <w:color w:val="000000"/>
          <w:lang w:val="en-US"/>
        </w:rPr>
      </w:pPr>
      <w:hyperlink w:anchor="KS2" w:history="1">
        <w:r w:rsidR="008725BE" w:rsidRPr="008725BE">
          <w:rPr>
            <w:rStyle w:val="Lienhypertexte"/>
            <w:rFonts w:ascii="Garamond" w:hAnsi="Garamond" w:cs="Arial"/>
            <w:bCs/>
            <w:lang w:val="en-US"/>
          </w:rPr>
          <w:t>Bemerkungen über die Übertragungsliebe</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(1915)</w:t>
      </w:r>
    </w:p>
    <w:p w:rsidR="008725BE" w:rsidRPr="008725BE" w:rsidRDefault="00B437A1" w:rsidP="008725BE">
      <w:pPr>
        <w:pStyle w:val="Sansinterligne"/>
        <w:rPr>
          <w:rFonts w:ascii="Garamond" w:hAnsi="Garamond"/>
          <w:color w:val="000000"/>
          <w:lang w:val="en-GB"/>
        </w:rPr>
      </w:pPr>
      <w:hyperlink w:anchor="KS3" w:history="1">
        <w:r w:rsidR="008725BE" w:rsidRPr="008725BE">
          <w:rPr>
            <w:rStyle w:val="Lienhypertexte"/>
            <w:rFonts w:ascii="Garamond" w:hAnsi="Garamond" w:cs="Arial"/>
            <w:bCs/>
            <w:lang w:val="en-GB"/>
          </w:rPr>
          <w:t>Bemerkungen zur Theorie und Praxis der Traumdeutung</w:t>
        </w:r>
      </w:hyperlink>
      <w:r w:rsidR="008725BE" w:rsidRPr="008725BE">
        <w:rPr>
          <w:rFonts w:ascii="Garamond" w:hAnsi="Garamond"/>
          <w:color w:val="003399"/>
          <w:lang w:val="en-GB"/>
        </w:rPr>
        <w:t xml:space="preserve">  </w:t>
      </w:r>
      <w:r w:rsidR="008725BE" w:rsidRPr="008725BE">
        <w:rPr>
          <w:rFonts w:ascii="Garamond" w:hAnsi="Garamond"/>
          <w:caps/>
          <w:color w:val="000000"/>
          <w:lang w:val="en-GB"/>
        </w:rPr>
        <w:t>(1923)</w:t>
      </w:r>
    </w:p>
    <w:p w:rsidR="008725BE" w:rsidRPr="008725BE" w:rsidRDefault="00B437A1" w:rsidP="008725BE">
      <w:pPr>
        <w:pStyle w:val="Sansinterligne"/>
        <w:rPr>
          <w:rFonts w:ascii="Garamond" w:hAnsi="Garamond"/>
          <w:color w:val="000000"/>
          <w:lang w:val="en-US"/>
        </w:rPr>
      </w:pPr>
      <w:hyperlink w:anchor="KS4" w:history="1">
        <w:r w:rsidR="008725BE" w:rsidRPr="008725BE">
          <w:rPr>
            <w:rStyle w:val="Lienhypertexte"/>
            <w:rFonts w:ascii="Garamond" w:hAnsi="Garamond" w:cs="Arial"/>
            <w:bCs/>
            <w:lang w:val="en-US"/>
          </w:rPr>
          <w:t>Brief an Romain Rolland</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(1936)</w:t>
      </w:r>
    </w:p>
    <w:p w:rsidR="008725BE" w:rsidRPr="008725BE" w:rsidRDefault="00B437A1" w:rsidP="008725BE">
      <w:pPr>
        <w:pStyle w:val="Sansinterligne"/>
        <w:rPr>
          <w:rFonts w:ascii="Garamond" w:hAnsi="Garamond"/>
          <w:color w:val="000000"/>
          <w:lang w:val="en-US"/>
        </w:rPr>
      </w:pPr>
      <w:hyperlink w:anchor="KS5" w:history="1">
        <w:r w:rsidR="008725BE" w:rsidRPr="008725BE">
          <w:rPr>
            <w:rStyle w:val="Lienhypertexte"/>
            <w:rFonts w:ascii="Garamond" w:hAnsi="Garamond" w:cs="Arial"/>
            <w:bCs/>
            <w:lang w:val="en-US"/>
          </w:rPr>
          <w:t>Charakter und Analerotik</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(1908)</w:t>
      </w:r>
    </w:p>
    <w:p w:rsidR="008725BE" w:rsidRPr="008725BE" w:rsidRDefault="00B437A1" w:rsidP="008725BE">
      <w:pPr>
        <w:pStyle w:val="Sansinterligne"/>
        <w:rPr>
          <w:rFonts w:ascii="Garamond" w:hAnsi="Garamond"/>
          <w:color w:val="000000"/>
        </w:rPr>
      </w:pPr>
      <w:hyperlink w:anchor="KS6" w:history="1">
        <w:r w:rsidR="008725BE" w:rsidRPr="008725BE">
          <w:rPr>
            <w:rStyle w:val="Lienhypertexte"/>
            <w:rFonts w:ascii="Garamond" w:hAnsi="Garamond" w:cs="Arial"/>
            <w:bCs/>
          </w:rPr>
          <w:t>Das Motiv der Kästchenwahl</w:t>
        </w:r>
      </w:hyperlink>
      <w:r w:rsidR="008725BE" w:rsidRPr="008725BE">
        <w:rPr>
          <w:rFonts w:ascii="Garamond" w:hAnsi="Garamond"/>
          <w:color w:val="003399"/>
        </w:rPr>
        <w:t xml:space="preserve">  </w:t>
      </w:r>
      <w:r w:rsidR="008725BE" w:rsidRPr="008725BE">
        <w:rPr>
          <w:rFonts w:ascii="Garamond" w:hAnsi="Garamond"/>
          <w:caps/>
          <w:color w:val="000000"/>
        </w:rPr>
        <w:t>(1913)</w:t>
      </w:r>
    </w:p>
    <w:p w:rsidR="008725BE" w:rsidRPr="008725BE" w:rsidRDefault="00B437A1" w:rsidP="008725BE">
      <w:pPr>
        <w:pStyle w:val="Sansinterligne"/>
        <w:rPr>
          <w:rFonts w:ascii="Garamond" w:hAnsi="Garamond"/>
          <w:color w:val="000000"/>
        </w:rPr>
      </w:pPr>
      <w:hyperlink w:anchor="KS7" w:history="1">
        <w:r w:rsidR="008725BE" w:rsidRPr="008725BE">
          <w:rPr>
            <w:rStyle w:val="Lienhypertexte"/>
            <w:rFonts w:ascii="Garamond" w:hAnsi="Garamond" w:cs="Arial"/>
            <w:bCs/>
          </w:rPr>
          <w:t>Das ökonomische Problem des Masochismus</w:t>
        </w:r>
      </w:hyperlink>
      <w:r w:rsidR="008725BE" w:rsidRPr="008725BE">
        <w:rPr>
          <w:rFonts w:ascii="Garamond" w:hAnsi="Garamond"/>
          <w:color w:val="003399"/>
        </w:rPr>
        <w:t xml:space="preserve">  (1924)</w:t>
      </w:r>
    </w:p>
    <w:p w:rsidR="008725BE" w:rsidRPr="008725BE" w:rsidRDefault="00B437A1" w:rsidP="008725BE">
      <w:pPr>
        <w:pStyle w:val="Sansinterligne"/>
        <w:rPr>
          <w:rFonts w:ascii="Garamond" w:hAnsi="Garamond"/>
          <w:color w:val="000000"/>
        </w:rPr>
      </w:pPr>
      <w:hyperlink w:anchor="KS8" w:history="1">
        <w:r w:rsidR="008725BE" w:rsidRPr="008725BE">
          <w:rPr>
            <w:rStyle w:val="Lienhypertexte"/>
            <w:rFonts w:ascii="Garamond" w:hAnsi="Garamond" w:cs="Arial"/>
            <w:bCs/>
          </w:rPr>
          <w:t>Das Tabu der Virginität</w:t>
        </w:r>
      </w:hyperlink>
      <w:r w:rsidR="008725BE" w:rsidRPr="008725BE">
        <w:rPr>
          <w:rFonts w:ascii="Garamond" w:hAnsi="Garamond"/>
          <w:color w:val="003399"/>
        </w:rPr>
        <w:t xml:space="preserve">  </w:t>
      </w:r>
      <w:r w:rsidR="008725BE" w:rsidRPr="008725BE">
        <w:rPr>
          <w:rFonts w:ascii="Garamond" w:hAnsi="Garamond"/>
          <w:caps/>
          <w:color w:val="000000"/>
        </w:rPr>
        <w:t>(1918)</w:t>
      </w:r>
    </w:p>
    <w:p w:rsidR="008725BE" w:rsidRPr="008725BE" w:rsidRDefault="00B437A1" w:rsidP="008725BE">
      <w:pPr>
        <w:pStyle w:val="Sansinterligne"/>
        <w:rPr>
          <w:rFonts w:ascii="Garamond" w:hAnsi="Garamond"/>
          <w:color w:val="000000"/>
        </w:rPr>
      </w:pPr>
      <w:hyperlink w:anchor="KS9" w:history="1">
        <w:r w:rsidR="008725BE" w:rsidRPr="008725BE">
          <w:rPr>
            <w:rStyle w:val="Lienhypertexte"/>
            <w:rFonts w:ascii="Garamond" w:hAnsi="Garamond" w:cs="Arial"/>
            <w:bCs/>
          </w:rPr>
          <w:t>Das Unbewußte</w:t>
        </w:r>
      </w:hyperlink>
      <w:r w:rsidR="008725BE" w:rsidRPr="008725BE">
        <w:rPr>
          <w:rFonts w:ascii="Garamond" w:hAnsi="Garamond"/>
          <w:color w:val="003399"/>
        </w:rPr>
        <w:t xml:space="preserve">  </w:t>
      </w:r>
      <w:r w:rsidR="008725BE" w:rsidRPr="008725BE">
        <w:rPr>
          <w:rFonts w:ascii="Garamond" w:hAnsi="Garamond"/>
          <w:caps/>
          <w:color w:val="000000"/>
        </w:rPr>
        <w:t>(1915)</w:t>
      </w:r>
    </w:p>
    <w:p w:rsidR="008725BE" w:rsidRPr="008725BE" w:rsidRDefault="00B437A1" w:rsidP="008725BE">
      <w:pPr>
        <w:pStyle w:val="Sansinterligne"/>
        <w:rPr>
          <w:rFonts w:ascii="Garamond" w:hAnsi="Garamond"/>
          <w:color w:val="000000"/>
        </w:rPr>
      </w:pPr>
      <w:hyperlink w:anchor="KS10" w:history="1">
        <w:r w:rsidR="008725BE" w:rsidRPr="008725BE">
          <w:rPr>
            <w:rStyle w:val="Lienhypertexte"/>
            <w:rFonts w:ascii="Garamond" w:hAnsi="Garamond" w:cs="Arial"/>
            <w:bCs/>
          </w:rPr>
          <w:t>Das Unheimliche</w:t>
        </w:r>
      </w:hyperlink>
      <w:r w:rsidR="008725BE" w:rsidRPr="008725BE">
        <w:rPr>
          <w:rFonts w:ascii="Garamond" w:hAnsi="Garamond"/>
          <w:color w:val="003399"/>
        </w:rPr>
        <w:t xml:space="preserve">  </w:t>
      </w:r>
      <w:r w:rsidR="008725BE" w:rsidRPr="008725BE">
        <w:rPr>
          <w:rFonts w:ascii="Garamond" w:hAnsi="Garamond"/>
          <w:caps/>
          <w:color w:val="000000"/>
        </w:rPr>
        <w:t>(1919)</w:t>
      </w:r>
    </w:p>
    <w:p w:rsidR="008725BE" w:rsidRPr="008725BE" w:rsidRDefault="00B437A1" w:rsidP="008725BE">
      <w:pPr>
        <w:pStyle w:val="Sansinterligne"/>
        <w:rPr>
          <w:rFonts w:ascii="Garamond" w:hAnsi="Garamond"/>
          <w:color w:val="000000"/>
        </w:rPr>
      </w:pPr>
      <w:hyperlink w:anchor="KS11" w:history="1">
        <w:r w:rsidR="008725BE" w:rsidRPr="008725BE">
          <w:rPr>
            <w:rStyle w:val="Lienhypertexte"/>
            <w:rFonts w:ascii="Garamond" w:hAnsi="Garamond" w:cs="Arial"/>
            <w:bCs/>
          </w:rPr>
          <w:t>Der Dichter und das Phantasieren</w:t>
        </w:r>
      </w:hyperlink>
      <w:r w:rsidR="008725BE" w:rsidRPr="008725BE">
        <w:rPr>
          <w:rFonts w:ascii="Garamond" w:hAnsi="Garamond"/>
          <w:color w:val="003399"/>
        </w:rPr>
        <w:t xml:space="preserve">  </w:t>
      </w:r>
      <w:r w:rsidR="008725BE" w:rsidRPr="008725BE">
        <w:rPr>
          <w:rFonts w:ascii="Garamond" w:hAnsi="Garamond"/>
          <w:caps/>
          <w:color w:val="000000"/>
        </w:rPr>
        <w:t>(1908)</w:t>
      </w:r>
    </w:p>
    <w:p w:rsidR="008725BE" w:rsidRPr="008725BE" w:rsidRDefault="00B437A1" w:rsidP="008725BE">
      <w:pPr>
        <w:pStyle w:val="Sansinterligne"/>
        <w:rPr>
          <w:rFonts w:ascii="Garamond" w:hAnsi="Garamond"/>
          <w:color w:val="000000"/>
        </w:rPr>
      </w:pPr>
      <w:hyperlink w:anchor="KS12" w:history="1">
        <w:r w:rsidR="008725BE" w:rsidRPr="008725BE">
          <w:rPr>
            <w:rStyle w:val="Lienhypertexte"/>
            <w:rFonts w:ascii="Garamond" w:hAnsi="Garamond" w:cs="Arial"/>
            <w:bCs/>
          </w:rPr>
          <w:t>Der Familienroman der Neurotiker</w:t>
        </w:r>
      </w:hyperlink>
      <w:r w:rsidR="008725BE" w:rsidRPr="008725BE">
        <w:rPr>
          <w:rFonts w:ascii="Garamond" w:hAnsi="Garamond"/>
          <w:color w:val="003399"/>
        </w:rPr>
        <w:t xml:space="preserve">  </w:t>
      </w:r>
      <w:r w:rsidR="008725BE" w:rsidRPr="008725BE">
        <w:rPr>
          <w:rFonts w:ascii="Garamond" w:hAnsi="Garamond"/>
          <w:caps/>
          <w:color w:val="000000"/>
        </w:rPr>
        <w:t>(1909)</w:t>
      </w:r>
    </w:p>
    <w:p w:rsidR="008725BE" w:rsidRPr="008725BE" w:rsidRDefault="00B437A1" w:rsidP="008725BE">
      <w:pPr>
        <w:pStyle w:val="Sansinterligne"/>
        <w:rPr>
          <w:rFonts w:ascii="Garamond" w:hAnsi="Garamond"/>
          <w:color w:val="000000"/>
        </w:rPr>
      </w:pPr>
      <w:hyperlink w:anchor="KS13" w:history="1">
        <w:r w:rsidR="008725BE" w:rsidRPr="008725BE">
          <w:rPr>
            <w:rStyle w:val="Lienhypertexte"/>
            <w:rFonts w:ascii="Garamond" w:hAnsi="Garamond" w:cs="Arial"/>
            <w:bCs/>
          </w:rPr>
          <w:t>Der Humor</w:t>
        </w:r>
      </w:hyperlink>
      <w:r w:rsidR="008725BE" w:rsidRPr="008725BE">
        <w:rPr>
          <w:rFonts w:ascii="Garamond" w:hAnsi="Garamond"/>
          <w:color w:val="003399"/>
        </w:rPr>
        <w:t xml:space="preserve">  </w:t>
      </w:r>
      <w:r w:rsidR="008725BE" w:rsidRPr="008725BE">
        <w:rPr>
          <w:rFonts w:ascii="Garamond" w:hAnsi="Garamond"/>
          <w:caps/>
          <w:color w:val="000000"/>
        </w:rPr>
        <w:t>(1927)</w:t>
      </w:r>
    </w:p>
    <w:p w:rsidR="008725BE" w:rsidRPr="008725BE" w:rsidRDefault="00B437A1" w:rsidP="008725BE">
      <w:pPr>
        <w:pStyle w:val="Sansinterligne"/>
        <w:rPr>
          <w:rFonts w:ascii="Garamond" w:hAnsi="Garamond"/>
          <w:color w:val="000000"/>
        </w:rPr>
      </w:pPr>
      <w:hyperlink w:anchor="KS14" w:history="1">
        <w:r w:rsidR="008725BE" w:rsidRPr="008725BE">
          <w:rPr>
            <w:rStyle w:val="Lienhypertexte"/>
            <w:rFonts w:ascii="Garamond" w:hAnsi="Garamond" w:cs="Arial"/>
            <w:bCs/>
          </w:rPr>
          <w:t>Der Moses des Michelangelo</w:t>
        </w:r>
      </w:hyperlink>
      <w:r w:rsidR="008725BE" w:rsidRPr="008725BE">
        <w:rPr>
          <w:rFonts w:ascii="Garamond" w:hAnsi="Garamond"/>
          <w:color w:val="003399"/>
        </w:rPr>
        <w:t xml:space="preserve">  </w:t>
      </w:r>
      <w:r w:rsidR="008725BE" w:rsidRPr="008725BE">
        <w:rPr>
          <w:rFonts w:ascii="Garamond" w:hAnsi="Garamond"/>
          <w:caps/>
          <w:color w:val="000000"/>
        </w:rPr>
        <w:t>(1914)</w:t>
      </w:r>
    </w:p>
    <w:p w:rsidR="008725BE" w:rsidRPr="008725BE" w:rsidRDefault="00B437A1" w:rsidP="008725BE">
      <w:pPr>
        <w:pStyle w:val="Sansinterligne"/>
        <w:rPr>
          <w:rFonts w:ascii="Garamond" w:hAnsi="Garamond"/>
          <w:color w:val="000000"/>
          <w:lang w:val="en-GB"/>
        </w:rPr>
      </w:pPr>
      <w:hyperlink w:anchor="KS15" w:history="1">
        <w:r w:rsidR="008725BE" w:rsidRPr="008725BE">
          <w:rPr>
            <w:rStyle w:val="Lienhypertexte"/>
            <w:rFonts w:ascii="Garamond" w:hAnsi="Garamond" w:cs="Arial"/>
            <w:bCs/>
            <w:lang w:val="en-GB"/>
          </w:rPr>
          <w:t>Der Realitätsverlust bei Neurose und Psychose</w:t>
        </w:r>
      </w:hyperlink>
      <w:r w:rsidR="008725BE" w:rsidRPr="008725BE">
        <w:rPr>
          <w:rFonts w:ascii="Garamond" w:hAnsi="Garamond"/>
          <w:color w:val="003399"/>
          <w:lang w:val="en-GB"/>
        </w:rPr>
        <w:t xml:space="preserve">   </w:t>
      </w:r>
      <w:r w:rsidR="008725BE" w:rsidRPr="008725BE">
        <w:rPr>
          <w:rFonts w:ascii="Garamond" w:hAnsi="Garamond"/>
          <w:caps/>
          <w:color w:val="000000"/>
          <w:lang w:val="en-GB"/>
        </w:rPr>
        <w:t>(1924)</w:t>
      </w:r>
    </w:p>
    <w:p w:rsidR="008725BE" w:rsidRDefault="00B437A1" w:rsidP="008725BE">
      <w:pPr>
        <w:pStyle w:val="Sansinterligne"/>
        <w:rPr>
          <w:rFonts w:ascii="Garamond" w:hAnsi="Garamond"/>
          <w:caps/>
          <w:color w:val="000000"/>
        </w:rPr>
      </w:pPr>
      <w:hyperlink w:anchor="KS16" w:history="1">
        <w:r w:rsidR="008725BE" w:rsidRPr="008725BE">
          <w:rPr>
            <w:rStyle w:val="Lienhypertexte"/>
            <w:rFonts w:ascii="Garamond" w:hAnsi="Garamond" w:cs="Arial"/>
            <w:bCs/>
          </w:rPr>
          <w:t>Der Untergang des Ödipuskomplexes</w:t>
        </w:r>
      </w:hyperlink>
      <w:r w:rsidR="008725BE" w:rsidRPr="008725BE">
        <w:rPr>
          <w:rFonts w:ascii="Garamond" w:hAnsi="Garamond"/>
          <w:color w:val="003399"/>
        </w:rPr>
        <w:t xml:space="preserve">  </w:t>
      </w:r>
      <w:r w:rsidR="008725BE" w:rsidRPr="008725BE">
        <w:rPr>
          <w:rFonts w:ascii="Garamond" w:hAnsi="Garamond"/>
          <w:caps/>
          <w:color w:val="000000"/>
        </w:rPr>
        <w:t>(1924)</w:t>
      </w:r>
    </w:p>
    <w:p w:rsidR="00CF585F" w:rsidRPr="005C1841" w:rsidRDefault="00B437A1" w:rsidP="008725BE">
      <w:pPr>
        <w:pStyle w:val="Sansinterligne"/>
        <w:rPr>
          <w:rFonts w:ascii="Garamond" w:hAnsi="Garamond"/>
          <w:color w:val="000000"/>
        </w:rPr>
      </w:pPr>
      <w:hyperlink w:anchor="KS82" w:history="1">
        <w:r w:rsidR="00CF585F" w:rsidRPr="005C1841">
          <w:rPr>
            <w:rStyle w:val="Lienhypertexte"/>
            <w:rFonts w:ascii="Garamond" w:hAnsi="Garamond" w:cs="Times-Bold"/>
            <w:bCs/>
          </w:rPr>
          <w:t xml:space="preserve">Der Wahn und die Träume in W. Jensens </w:t>
        </w:r>
        <w:r w:rsidR="00CF585F" w:rsidRPr="005C1841">
          <w:rPr>
            <w:rStyle w:val="Lienhypertexte"/>
            <w:rFonts w:ascii="Garamond" w:hAnsi="Garamond"/>
            <w:i/>
            <w:iCs/>
          </w:rPr>
          <w:t>"Gradiva"</w:t>
        </w:r>
      </w:hyperlink>
      <w:r w:rsidR="00CF585F" w:rsidRPr="005C1841">
        <w:rPr>
          <w:rFonts w:ascii="Garamond" w:hAnsi="Garamond"/>
          <w:i/>
          <w:iCs/>
        </w:rPr>
        <w:t xml:space="preserve">  </w:t>
      </w:r>
      <w:r w:rsidR="00CF585F" w:rsidRPr="005C1841">
        <w:rPr>
          <w:rFonts w:ascii="Garamond" w:hAnsi="Garamond"/>
          <w:iCs/>
        </w:rPr>
        <w:t>(1907)</w:t>
      </w:r>
    </w:p>
    <w:p w:rsidR="008725BE" w:rsidRPr="008725BE" w:rsidRDefault="00B437A1" w:rsidP="008725BE">
      <w:pPr>
        <w:pStyle w:val="Sansinterligne"/>
        <w:rPr>
          <w:rFonts w:ascii="Garamond" w:hAnsi="Garamond"/>
          <w:color w:val="000000"/>
        </w:rPr>
      </w:pPr>
      <w:hyperlink w:anchor="KS17" w:history="1">
        <w:r w:rsidR="008725BE" w:rsidRPr="008725BE">
          <w:rPr>
            <w:rStyle w:val="Lienhypertexte"/>
            <w:rFonts w:ascii="Garamond" w:hAnsi="Garamond" w:cs="Arial"/>
            <w:bCs/>
          </w:rPr>
          <w:t>Die « kulturelle » Sexualmoral und die moderne Nervosität</w:t>
        </w:r>
      </w:hyperlink>
      <w:r w:rsidR="008725BE" w:rsidRPr="008725BE">
        <w:rPr>
          <w:rFonts w:ascii="Garamond" w:hAnsi="Garamond"/>
          <w:color w:val="003399"/>
        </w:rPr>
        <w:t xml:space="preserve">  </w:t>
      </w:r>
      <w:r w:rsidR="008725BE" w:rsidRPr="008725BE">
        <w:rPr>
          <w:rFonts w:ascii="Garamond" w:hAnsi="Garamond"/>
          <w:caps/>
          <w:color w:val="000000"/>
        </w:rPr>
        <w:t>(1908)</w:t>
      </w:r>
    </w:p>
    <w:p w:rsidR="008725BE" w:rsidRPr="008725BE" w:rsidRDefault="00B437A1" w:rsidP="008725BE">
      <w:pPr>
        <w:pStyle w:val="Sansinterligne"/>
        <w:rPr>
          <w:rFonts w:ascii="Garamond" w:hAnsi="Garamond"/>
          <w:color w:val="000000"/>
        </w:rPr>
      </w:pPr>
      <w:hyperlink w:anchor="KS18" w:history="1">
        <w:r w:rsidR="008725BE" w:rsidRPr="008725BE">
          <w:rPr>
            <w:rStyle w:val="Lienhypertexte"/>
            <w:rFonts w:ascii="Garamond" w:hAnsi="Garamond" w:cs="Arial"/>
            <w:bCs/>
          </w:rPr>
          <w:t>Die Disposition zur Zwangsneurose</w:t>
        </w:r>
      </w:hyperlink>
      <w:r w:rsidR="008725BE" w:rsidRPr="008725BE">
        <w:rPr>
          <w:rFonts w:ascii="Garamond" w:hAnsi="Garamond"/>
          <w:color w:val="003399"/>
        </w:rPr>
        <w:t xml:space="preserve">  </w:t>
      </w:r>
      <w:r w:rsidR="008725BE" w:rsidRPr="008725BE">
        <w:rPr>
          <w:rFonts w:ascii="Garamond" w:hAnsi="Garamond"/>
          <w:caps/>
          <w:color w:val="000000"/>
        </w:rPr>
        <w:t>(1913)</w:t>
      </w:r>
    </w:p>
    <w:p w:rsidR="008725BE" w:rsidRPr="008725BE" w:rsidRDefault="00B437A1" w:rsidP="008725BE">
      <w:pPr>
        <w:pStyle w:val="Sansinterligne"/>
        <w:rPr>
          <w:rFonts w:ascii="Garamond" w:hAnsi="Garamond"/>
          <w:color w:val="000000"/>
        </w:rPr>
      </w:pPr>
      <w:hyperlink w:anchor="KS19" w:history="1">
        <w:r w:rsidR="008725BE" w:rsidRPr="008725BE">
          <w:rPr>
            <w:rStyle w:val="Lienhypertexte"/>
            <w:rFonts w:ascii="Garamond" w:hAnsi="Garamond" w:cs="Arial"/>
            <w:bCs/>
          </w:rPr>
          <w:t>Die Freudsche psychoanalytische Methode</w:t>
        </w:r>
      </w:hyperlink>
      <w:r w:rsidR="008725BE" w:rsidRPr="008725BE">
        <w:rPr>
          <w:rFonts w:ascii="Garamond" w:hAnsi="Garamond"/>
          <w:color w:val="003399"/>
        </w:rPr>
        <w:t xml:space="preserve">  </w:t>
      </w:r>
      <w:r w:rsidR="008725BE" w:rsidRPr="008725BE">
        <w:rPr>
          <w:rFonts w:ascii="Garamond" w:hAnsi="Garamond"/>
          <w:caps/>
          <w:color w:val="000000"/>
        </w:rPr>
        <w:t>(1904 )</w:t>
      </w:r>
    </w:p>
    <w:p w:rsidR="008725BE" w:rsidRPr="008725BE" w:rsidRDefault="00B437A1" w:rsidP="008725BE">
      <w:pPr>
        <w:pStyle w:val="Sansinterligne"/>
        <w:rPr>
          <w:rFonts w:ascii="Garamond" w:hAnsi="Garamond"/>
          <w:color w:val="000000"/>
        </w:rPr>
      </w:pPr>
      <w:hyperlink w:anchor="KS20" w:history="1">
        <w:r w:rsidR="008725BE" w:rsidRPr="008725BE">
          <w:rPr>
            <w:rStyle w:val="Lienhypertexte"/>
            <w:rFonts w:ascii="Garamond" w:hAnsi="Garamond" w:cs="Arial"/>
            <w:bCs/>
          </w:rPr>
          <w:t>Die Handhabung der Traumdeutung in der Psychoanalyse</w:t>
        </w:r>
      </w:hyperlink>
      <w:r w:rsidR="008725BE" w:rsidRPr="008725BE">
        <w:rPr>
          <w:rFonts w:ascii="Garamond" w:hAnsi="Garamond"/>
          <w:color w:val="003399"/>
        </w:rPr>
        <w:t xml:space="preserve">  </w:t>
      </w:r>
      <w:r w:rsidR="008725BE" w:rsidRPr="008725BE">
        <w:rPr>
          <w:rFonts w:ascii="Garamond" w:hAnsi="Garamond"/>
          <w:caps/>
          <w:color w:val="000000"/>
        </w:rPr>
        <w:t>(1911)</w:t>
      </w:r>
    </w:p>
    <w:p w:rsidR="008725BE" w:rsidRPr="008725BE" w:rsidRDefault="00B437A1" w:rsidP="008725BE">
      <w:pPr>
        <w:pStyle w:val="Sansinterligne"/>
        <w:rPr>
          <w:rFonts w:ascii="Garamond" w:hAnsi="Garamond"/>
          <w:color w:val="000000"/>
        </w:rPr>
      </w:pPr>
      <w:hyperlink w:anchor="KS21" w:history="1">
        <w:r w:rsidR="008725BE" w:rsidRPr="008725BE">
          <w:rPr>
            <w:rStyle w:val="Lienhypertexte"/>
            <w:rFonts w:ascii="Garamond" w:hAnsi="Garamond" w:cs="Arial"/>
            <w:bCs/>
          </w:rPr>
          <w:t>Die Ichspaltung im Abwehrvorgang</w:t>
        </w:r>
      </w:hyperlink>
      <w:r w:rsidR="008725BE" w:rsidRPr="008725BE">
        <w:rPr>
          <w:rFonts w:ascii="Garamond" w:hAnsi="Garamond"/>
          <w:color w:val="003399"/>
        </w:rPr>
        <w:t xml:space="preserve">  </w:t>
      </w:r>
      <w:r w:rsidR="008725BE" w:rsidRPr="008725BE">
        <w:rPr>
          <w:rFonts w:ascii="Garamond" w:hAnsi="Garamond"/>
          <w:caps/>
          <w:color w:val="000000"/>
        </w:rPr>
        <w:t>(1940)</w:t>
      </w:r>
    </w:p>
    <w:p w:rsidR="008725BE" w:rsidRPr="008725BE" w:rsidRDefault="00B437A1" w:rsidP="008725BE">
      <w:pPr>
        <w:pStyle w:val="Sansinterligne"/>
        <w:rPr>
          <w:rFonts w:ascii="Garamond" w:hAnsi="Garamond"/>
          <w:color w:val="000000"/>
        </w:rPr>
      </w:pPr>
      <w:hyperlink w:anchor="KS22" w:history="1">
        <w:r w:rsidR="008725BE" w:rsidRPr="008725BE">
          <w:rPr>
            <w:rStyle w:val="Lienhypertexte"/>
            <w:rFonts w:ascii="Garamond" w:hAnsi="Garamond" w:cs="Arial"/>
            <w:bCs/>
          </w:rPr>
          <w:t>Die infantile Genitalorganisation</w:t>
        </w:r>
      </w:hyperlink>
      <w:r w:rsidR="008725BE" w:rsidRPr="008725BE">
        <w:rPr>
          <w:rFonts w:ascii="Garamond" w:hAnsi="Garamond"/>
          <w:color w:val="003399"/>
        </w:rPr>
        <w:t xml:space="preserve">  </w:t>
      </w:r>
      <w:r w:rsidR="008725BE" w:rsidRPr="008725BE">
        <w:rPr>
          <w:rFonts w:ascii="Garamond" w:hAnsi="Garamond"/>
          <w:caps/>
          <w:color w:val="000000"/>
        </w:rPr>
        <w:t>(1923)</w:t>
      </w:r>
    </w:p>
    <w:p w:rsidR="008725BE" w:rsidRPr="008725BE" w:rsidRDefault="00B437A1" w:rsidP="008725BE">
      <w:pPr>
        <w:pStyle w:val="Sansinterligne"/>
        <w:rPr>
          <w:rFonts w:ascii="Garamond" w:hAnsi="Garamond"/>
          <w:color w:val="000000"/>
        </w:rPr>
      </w:pPr>
      <w:hyperlink w:anchor="KS23" w:history="1">
        <w:r w:rsidR="008725BE" w:rsidRPr="008725BE">
          <w:rPr>
            <w:rStyle w:val="Lienhypertexte"/>
            <w:rFonts w:ascii="Garamond" w:hAnsi="Garamond" w:cs="Arial"/>
            <w:bCs/>
          </w:rPr>
          <w:t>Die psychoanalytische Technik (Abriß)</w:t>
        </w:r>
      </w:hyperlink>
      <w:r w:rsidR="008725BE" w:rsidRPr="008725BE">
        <w:rPr>
          <w:rFonts w:ascii="Garamond" w:hAnsi="Garamond"/>
          <w:color w:val="003399"/>
        </w:rPr>
        <w:t xml:space="preserve">  </w:t>
      </w:r>
      <w:r w:rsidR="008725BE" w:rsidRPr="008725BE">
        <w:rPr>
          <w:rFonts w:ascii="Garamond" w:hAnsi="Garamond"/>
          <w:caps/>
          <w:color w:val="000000"/>
        </w:rPr>
        <w:t>(1940)</w:t>
      </w:r>
    </w:p>
    <w:p w:rsidR="008725BE" w:rsidRPr="008725BE" w:rsidRDefault="00B437A1" w:rsidP="008725BE">
      <w:pPr>
        <w:pStyle w:val="Sansinterligne"/>
        <w:rPr>
          <w:rFonts w:ascii="Garamond" w:hAnsi="Garamond"/>
          <w:color w:val="000000"/>
        </w:rPr>
      </w:pPr>
      <w:hyperlink w:anchor="KS24" w:history="1">
        <w:r w:rsidR="008725BE" w:rsidRPr="008725BE">
          <w:rPr>
            <w:rStyle w:val="Lienhypertexte"/>
            <w:rFonts w:ascii="Garamond" w:hAnsi="Garamond" w:cs="Arial"/>
            <w:bCs/>
          </w:rPr>
          <w:t>Die psychogene Sehstörung in psychoanalytischer Auffassung</w:t>
        </w:r>
      </w:hyperlink>
      <w:r w:rsidR="008725BE" w:rsidRPr="008725BE">
        <w:rPr>
          <w:rFonts w:ascii="Garamond" w:hAnsi="Garamond"/>
          <w:color w:val="003399"/>
        </w:rPr>
        <w:t xml:space="preserve">  </w:t>
      </w:r>
      <w:r w:rsidR="008725BE" w:rsidRPr="008725BE">
        <w:rPr>
          <w:rFonts w:ascii="Garamond" w:hAnsi="Garamond"/>
          <w:caps/>
          <w:color w:val="000000"/>
        </w:rPr>
        <w:t>(1910)</w:t>
      </w:r>
    </w:p>
    <w:p w:rsidR="008725BE" w:rsidRPr="008725BE" w:rsidRDefault="00B437A1" w:rsidP="008725BE">
      <w:pPr>
        <w:pStyle w:val="Sansinterligne"/>
        <w:rPr>
          <w:rFonts w:ascii="Garamond" w:hAnsi="Garamond"/>
          <w:color w:val="000000"/>
        </w:rPr>
      </w:pPr>
      <w:hyperlink w:anchor="KS25" w:history="1">
        <w:r w:rsidR="008725BE" w:rsidRPr="008725BE">
          <w:rPr>
            <w:rStyle w:val="Lienhypertexte"/>
            <w:rFonts w:ascii="Garamond" w:hAnsi="Garamond" w:cs="Arial"/>
            <w:bCs/>
          </w:rPr>
          <w:t>Die Sexualität in der Ätiologie der Neurosen</w:t>
        </w:r>
      </w:hyperlink>
      <w:r w:rsidR="008725BE" w:rsidRPr="008725BE">
        <w:rPr>
          <w:rFonts w:ascii="Garamond" w:hAnsi="Garamond"/>
          <w:color w:val="003399"/>
        </w:rPr>
        <w:t xml:space="preserve">  </w:t>
      </w:r>
      <w:r w:rsidR="008725BE" w:rsidRPr="008725BE">
        <w:rPr>
          <w:rFonts w:ascii="Garamond" w:hAnsi="Garamond"/>
          <w:caps/>
          <w:color w:val="000000"/>
        </w:rPr>
        <w:t>(1898)</w:t>
      </w:r>
    </w:p>
    <w:p w:rsidR="008725BE" w:rsidRPr="008725BE" w:rsidRDefault="00B437A1" w:rsidP="008725BE">
      <w:pPr>
        <w:pStyle w:val="Sansinterligne"/>
        <w:rPr>
          <w:rFonts w:ascii="Garamond" w:hAnsi="Garamond"/>
          <w:color w:val="000000"/>
          <w:lang w:val="en-US"/>
        </w:rPr>
      </w:pPr>
      <w:hyperlink w:anchor="KS26" w:history="1">
        <w:r w:rsidR="008725BE" w:rsidRPr="008725BE">
          <w:rPr>
            <w:rStyle w:val="Lienhypertexte"/>
            <w:rFonts w:ascii="Garamond" w:hAnsi="Garamond" w:cs="Arial"/>
            <w:bCs/>
            <w:lang w:val="en-US"/>
          </w:rPr>
          <w:t>Die Verdrängung</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(1915)</w:t>
      </w:r>
    </w:p>
    <w:p w:rsidR="008725BE" w:rsidRPr="008725BE" w:rsidRDefault="00B437A1" w:rsidP="008725BE">
      <w:pPr>
        <w:pStyle w:val="Sansinterligne"/>
        <w:rPr>
          <w:rFonts w:ascii="Garamond" w:hAnsi="Garamond"/>
          <w:color w:val="000000"/>
          <w:lang w:val="en-US"/>
        </w:rPr>
      </w:pPr>
      <w:hyperlink w:anchor="KS27" w:history="1">
        <w:r w:rsidR="008725BE" w:rsidRPr="008725BE">
          <w:rPr>
            <w:rStyle w:val="Lienhypertexte"/>
            <w:rFonts w:ascii="Garamond" w:hAnsi="Garamond" w:cs="Arial"/>
            <w:bCs/>
            <w:lang w:val="en-US"/>
          </w:rPr>
          <w:t>Die Verneinung</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(1925)</w:t>
      </w:r>
    </w:p>
    <w:p w:rsidR="008725BE" w:rsidRPr="008725BE" w:rsidRDefault="00B437A1" w:rsidP="008725BE">
      <w:pPr>
        <w:pStyle w:val="Sansinterligne"/>
        <w:rPr>
          <w:rFonts w:ascii="Garamond" w:hAnsi="Garamond"/>
          <w:color w:val="000000"/>
          <w:lang w:val="en-US"/>
        </w:rPr>
      </w:pPr>
      <w:hyperlink w:anchor="KS28" w:history="1">
        <w:r w:rsidR="008725BE" w:rsidRPr="008725BE">
          <w:rPr>
            <w:rStyle w:val="Lienhypertexte"/>
            <w:rFonts w:ascii="Garamond" w:hAnsi="Garamond" w:cs="Arial"/>
            <w:bCs/>
            <w:lang w:val="en-US"/>
          </w:rPr>
          <w:t>Die zukünftigen Chancen der psychoanalytischen Therapie</w:t>
        </w:r>
      </w:hyperlink>
      <w:r w:rsidR="008725BE" w:rsidRPr="008725BE">
        <w:rPr>
          <w:rFonts w:ascii="Garamond" w:hAnsi="Garamond"/>
          <w:color w:val="003399"/>
          <w:lang w:val="en-US"/>
        </w:rPr>
        <w:t xml:space="preserve">  </w:t>
      </w:r>
      <w:r w:rsidR="008725BE" w:rsidRPr="008725BE">
        <w:rPr>
          <w:rFonts w:ascii="Garamond" w:hAnsi="Garamond"/>
          <w:caps/>
          <w:color w:val="000000"/>
          <w:lang w:val="en-US"/>
        </w:rPr>
        <w:t>(1910)</w:t>
      </w:r>
    </w:p>
    <w:p w:rsidR="008725BE" w:rsidRPr="008725BE" w:rsidRDefault="00B437A1" w:rsidP="008725BE">
      <w:pPr>
        <w:pStyle w:val="Sansinterligne"/>
        <w:rPr>
          <w:rFonts w:ascii="Garamond" w:hAnsi="Garamond"/>
          <w:color w:val="000000"/>
          <w:lang w:val="en-US"/>
        </w:rPr>
      </w:pPr>
      <w:hyperlink w:anchor="KS30" w:history="1">
        <w:r w:rsidR="008725BE" w:rsidRPr="008725BE">
          <w:rPr>
            <w:rStyle w:val="Lienhypertexte"/>
            <w:rFonts w:ascii="Garamond" w:hAnsi="Garamond" w:cs="Arial"/>
            <w:bCs/>
            <w:lang w:val="en-US"/>
          </w:rPr>
          <w:t>Dostojewski und die Vatertötung</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(1928)</w:t>
      </w:r>
    </w:p>
    <w:p w:rsidR="008725BE" w:rsidRPr="008725BE" w:rsidRDefault="00B437A1" w:rsidP="008725BE">
      <w:pPr>
        <w:pStyle w:val="Sansinterligne"/>
        <w:rPr>
          <w:rFonts w:ascii="Garamond" w:hAnsi="Garamond"/>
          <w:color w:val="000000"/>
          <w:lang w:val="en-US"/>
        </w:rPr>
      </w:pPr>
      <w:hyperlink w:anchor="KS29" w:history="1">
        <w:r w:rsidR="008725BE" w:rsidRPr="008725BE">
          <w:rPr>
            <w:rStyle w:val="Lienhypertexte"/>
            <w:rFonts w:ascii="Garamond" w:hAnsi="Garamond" w:cs="Arial"/>
            <w:bCs/>
            <w:lang w:val="en-US"/>
          </w:rPr>
          <w:t>“Ein Kind wird geschlagen”</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(1919)</w:t>
      </w:r>
    </w:p>
    <w:p w:rsidR="008725BE" w:rsidRPr="008725BE" w:rsidRDefault="00B437A1" w:rsidP="008725BE">
      <w:pPr>
        <w:pStyle w:val="Sansinterligne"/>
        <w:rPr>
          <w:rFonts w:ascii="Garamond" w:hAnsi="Garamond"/>
          <w:color w:val="000000"/>
          <w:lang w:val="en-GB"/>
        </w:rPr>
      </w:pPr>
      <w:hyperlink w:anchor="KS31" w:history="1">
        <w:r w:rsidR="008725BE" w:rsidRPr="008725BE">
          <w:rPr>
            <w:rStyle w:val="Lienhypertexte"/>
            <w:rFonts w:ascii="Garamond" w:hAnsi="Garamond" w:cs="Arial"/>
            <w:bCs/>
            <w:lang w:val="en-GB"/>
          </w:rPr>
          <w:t>Eine Kindheitserinnerung aus “Dichtung und Wahrheit</w:t>
        </w:r>
      </w:hyperlink>
      <w:r w:rsidR="008725BE" w:rsidRPr="008725BE">
        <w:rPr>
          <w:rFonts w:ascii="Garamond" w:hAnsi="Garamond"/>
          <w:color w:val="003399"/>
          <w:lang w:val="en-GB"/>
        </w:rPr>
        <w:t xml:space="preserve">”  </w:t>
      </w:r>
      <w:r w:rsidR="008725BE" w:rsidRPr="008725BE">
        <w:rPr>
          <w:rFonts w:ascii="Garamond" w:hAnsi="Garamond"/>
          <w:caps/>
          <w:color w:val="000000"/>
          <w:lang w:val="en-GB"/>
        </w:rPr>
        <w:t>(1917)</w:t>
      </w:r>
    </w:p>
    <w:p w:rsidR="008725BE" w:rsidRPr="008725BE" w:rsidRDefault="00B437A1" w:rsidP="008725BE">
      <w:pPr>
        <w:pStyle w:val="Sansinterligne"/>
        <w:rPr>
          <w:rFonts w:ascii="Garamond" w:hAnsi="Garamond"/>
          <w:color w:val="000000"/>
          <w:lang w:val="en-GB"/>
        </w:rPr>
      </w:pPr>
      <w:hyperlink w:anchor="KS32" w:history="1">
        <w:r w:rsidR="008725BE" w:rsidRPr="008725BE">
          <w:rPr>
            <w:rStyle w:val="Lienhypertexte"/>
            <w:rFonts w:ascii="Garamond" w:hAnsi="Garamond" w:cs="Arial"/>
            <w:bCs/>
            <w:lang w:val="en-GB"/>
          </w:rPr>
          <w:t>Eine Teufelsneurose im siebzehnten Jahrhundert</w:t>
        </w:r>
      </w:hyperlink>
      <w:r w:rsidR="008725BE" w:rsidRPr="008725BE">
        <w:rPr>
          <w:rFonts w:ascii="Garamond" w:hAnsi="Garamond"/>
          <w:color w:val="003399"/>
          <w:lang w:val="en-GB"/>
        </w:rPr>
        <w:t xml:space="preserve">  </w:t>
      </w:r>
      <w:r w:rsidR="008725BE" w:rsidRPr="008725BE">
        <w:rPr>
          <w:rFonts w:ascii="Garamond" w:hAnsi="Garamond"/>
          <w:caps/>
          <w:color w:val="000000"/>
          <w:lang w:val="en-GB"/>
        </w:rPr>
        <w:t>(1923)</w:t>
      </w:r>
    </w:p>
    <w:p w:rsidR="008725BE" w:rsidRPr="008725BE" w:rsidRDefault="00B437A1" w:rsidP="008725BE">
      <w:pPr>
        <w:pStyle w:val="Sansinterligne"/>
        <w:rPr>
          <w:rFonts w:ascii="Garamond" w:hAnsi="Garamond"/>
          <w:color w:val="000000"/>
          <w:lang w:val="en-GB"/>
        </w:rPr>
      </w:pPr>
      <w:hyperlink w:anchor="KS33" w:history="1">
        <w:r w:rsidR="008725BE" w:rsidRPr="008725BE">
          <w:rPr>
            <w:rStyle w:val="Lienhypertexte"/>
            <w:rFonts w:ascii="Garamond" w:hAnsi="Garamond" w:cs="Arial"/>
            <w:bCs/>
            <w:lang w:val="en-GB"/>
          </w:rPr>
          <w:t>Einige Bemerkungen über den Begriff des Unbewußten in der Psychoanalyse</w:t>
        </w:r>
      </w:hyperlink>
      <w:r w:rsidR="008725BE" w:rsidRPr="008725BE">
        <w:rPr>
          <w:rFonts w:ascii="Garamond" w:hAnsi="Garamond"/>
          <w:color w:val="003399"/>
          <w:lang w:val="en-GB"/>
        </w:rPr>
        <w:t xml:space="preserve">  </w:t>
      </w:r>
      <w:r w:rsidR="008725BE" w:rsidRPr="008725BE">
        <w:rPr>
          <w:rFonts w:ascii="Garamond" w:hAnsi="Garamond"/>
          <w:caps/>
          <w:color w:val="000000"/>
          <w:lang w:val="en-GB"/>
        </w:rPr>
        <w:t>(1912)</w:t>
      </w:r>
    </w:p>
    <w:p w:rsidR="008725BE" w:rsidRPr="008725BE" w:rsidRDefault="00B437A1" w:rsidP="008725BE">
      <w:pPr>
        <w:pStyle w:val="Sansinterligne"/>
        <w:rPr>
          <w:rFonts w:ascii="Garamond" w:hAnsi="Garamond"/>
          <w:color w:val="000000"/>
          <w:lang w:val="en-GB"/>
        </w:rPr>
      </w:pPr>
      <w:hyperlink w:anchor="KS34" w:history="1">
        <w:r w:rsidR="008725BE" w:rsidRPr="008725BE">
          <w:rPr>
            <w:rStyle w:val="Lienhypertexte"/>
            <w:rFonts w:ascii="Garamond" w:hAnsi="Garamond" w:cs="Arial"/>
            <w:bCs/>
            <w:lang w:val="en-GB"/>
          </w:rPr>
          <w:t>Einige Charaktertypen aus der psychoanalytischen Arbeit</w:t>
        </w:r>
      </w:hyperlink>
      <w:r w:rsidR="008725BE" w:rsidRPr="008725BE">
        <w:rPr>
          <w:rFonts w:ascii="Garamond" w:hAnsi="Garamond"/>
          <w:color w:val="003399"/>
          <w:lang w:val="en-GB"/>
        </w:rPr>
        <w:t xml:space="preserve">  </w:t>
      </w:r>
      <w:r w:rsidR="008725BE" w:rsidRPr="008725BE">
        <w:rPr>
          <w:rFonts w:ascii="Garamond" w:hAnsi="Garamond"/>
          <w:caps/>
          <w:color w:val="000000"/>
          <w:lang w:val="en-GB"/>
        </w:rPr>
        <w:t>(1916)</w:t>
      </w:r>
    </w:p>
    <w:p w:rsidR="008725BE" w:rsidRPr="008725BE" w:rsidRDefault="00B437A1" w:rsidP="008725BE">
      <w:pPr>
        <w:pStyle w:val="Sansinterligne"/>
        <w:rPr>
          <w:rFonts w:ascii="Garamond" w:hAnsi="Garamond"/>
          <w:color w:val="000000"/>
          <w:lang w:val="en-US"/>
        </w:rPr>
      </w:pPr>
      <w:hyperlink w:anchor="KS35" w:history="1">
        <w:r w:rsidR="008725BE" w:rsidRPr="008725BE">
          <w:rPr>
            <w:rStyle w:val="Lienhypertexte"/>
            <w:rFonts w:ascii="Garamond" w:hAnsi="Garamond" w:cs="Arial"/>
            <w:bCs/>
            <w:lang w:val="en-US"/>
          </w:rPr>
          <w:t>Einige psychische Folgen des anatomischen Geschlechtsunterschieds</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(1925)</w:t>
      </w:r>
    </w:p>
    <w:p w:rsidR="008725BE" w:rsidRPr="008725BE" w:rsidRDefault="00B437A1" w:rsidP="008725BE">
      <w:pPr>
        <w:pStyle w:val="Sansinterligne"/>
        <w:rPr>
          <w:rFonts w:ascii="Garamond" w:hAnsi="Garamond"/>
          <w:color w:val="000000"/>
          <w:lang w:val="en-US"/>
        </w:rPr>
      </w:pPr>
      <w:hyperlink w:anchor="KS36" w:history="1">
        <w:r w:rsidR="008725BE" w:rsidRPr="008725BE">
          <w:rPr>
            <w:rStyle w:val="Lienhypertexte"/>
            <w:rFonts w:ascii="Garamond" w:hAnsi="Garamond" w:cs="Arial"/>
            <w:bCs/>
            <w:lang w:val="en-US"/>
          </w:rPr>
          <w:t>Erinnern, Wiederholen und Durcharbeiten</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(1914)</w:t>
      </w:r>
    </w:p>
    <w:p w:rsidR="008725BE" w:rsidRPr="008725BE" w:rsidRDefault="00B437A1" w:rsidP="008725BE">
      <w:pPr>
        <w:pStyle w:val="Sansinterligne"/>
        <w:rPr>
          <w:rFonts w:ascii="Garamond" w:hAnsi="Garamond"/>
          <w:color w:val="000000"/>
          <w:lang w:val="en-US"/>
        </w:rPr>
      </w:pPr>
      <w:hyperlink w:anchor="KS37" w:history="1">
        <w:r w:rsidR="008725BE" w:rsidRPr="008725BE">
          <w:rPr>
            <w:rStyle w:val="Lienhypertexte"/>
            <w:rFonts w:ascii="Garamond" w:hAnsi="Garamond" w:cs="Arial"/>
            <w:bCs/>
            <w:lang w:val="en-US"/>
          </w:rPr>
          <w:t>Fetischismus</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(1927)</w:t>
      </w:r>
    </w:p>
    <w:p w:rsidR="008725BE" w:rsidRPr="008725BE" w:rsidRDefault="00B437A1" w:rsidP="008725BE">
      <w:pPr>
        <w:pStyle w:val="Sansinterligne"/>
        <w:rPr>
          <w:rFonts w:ascii="Garamond" w:hAnsi="Garamond"/>
          <w:color w:val="000000"/>
        </w:rPr>
      </w:pPr>
      <w:hyperlink w:anchor="KS38" w:history="1">
        <w:r w:rsidR="008725BE" w:rsidRPr="008725BE">
          <w:rPr>
            <w:rStyle w:val="Lienhypertexte"/>
            <w:rFonts w:ascii="Garamond" w:hAnsi="Garamond" w:cs="Arial"/>
            <w:bCs/>
          </w:rPr>
          <w:t>Formulierungen über die zwei Prinzipien des psychischen Geschehens</w:t>
        </w:r>
      </w:hyperlink>
      <w:r w:rsidR="008725BE" w:rsidRPr="008725BE">
        <w:rPr>
          <w:rFonts w:ascii="Garamond" w:hAnsi="Garamond"/>
          <w:color w:val="003399"/>
        </w:rPr>
        <w:t xml:space="preserve">  </w:t>
      </w:r>
      <w:r w:rsidR="008725BE" w:rsidRPr="008725BE">
        <w:rPr>
          <w:rFonts w:ascii="Garamond" w:hAnsi="Garamond"/>
          <w:caps/>
          <w:color w:val="000000"/>
        </w:rPr>
        <w:t>(1911)</w:t>
      </w:r>
    </w:p>
    <w:p w:rsidR="008725BE" w:rsidRPr="008725BE" w:rsidRDefault="00B437A1" w:rsidP="008725BE">
      <w:pPr>
        <w:pStyle w:val="Sansinterligne"/>
        <w:rPr>
          <w:rFonts w:ascii="Garamond" w:hAnsi="Garamond"/>
          <w:color w:val="000000"/>
          <w:lang w:val="en-US"/>
        </w:rPr>
      </w:pPr>
      <w:hyperlink w:anchor="KS39" w:history="1">
        <w:r w:rsidR="008725BE" w:rsidRPr="008725BE">
          <w:rPr>
            <w:rStyle w:val="Lienhypertexte"/>
            <w:rFonts w:ascii="Garamond" w:hAnsi="Garamond" w:cs="Arial"/>
            <w:bCs/>
            <w:lang w:val="en-US"/>
          </w:rPr>
          <w:t>Goethe-Preis</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(1930)</w:t>
      </w:r>
    </w:p>
    <w:p w:rsidR="008725BE" w:rsidRPr="008725BE" w:rsidRDefault="00B437A1" w:rsidP="008725BE">
      <w:pPr>
        <w:pStyle w:val="Sansinterligne"/>
        <w:rPr>
          <w:rFonts w:ascii="Garamond" w:hAnsi="Garamond"/>
          <w:color w:val="003399"/>
          <w:lang w:val="en-US"/>
        </w:rPr>
      </w:pPr>
      <w:hyperlink w:anchor="KS40" w:history="1">
        <w:r w:rsidR="008725BE" w:rsidRPr="008725BE">
          <w:rPr>
            <w:rStyle w:val="Lienhypertexte"/>
            <w:rFonts w:ascii="Garamond" w:hAnsi="Garamond" w:cs="Arial"/>
            <w:bCs/>
            <w:lang w:val="en-US"/>
          </w:rPr>
          <w:t>Hysterische Phantasien und ihre Beziehung zur Bisexualität</w:t>
        </w:r>
      </w:hyperlink>
      <w:r w:rsidR="008725BE" w:rsidRPr="008725BE">
        <w:rPr>
          <w:rFonts w:ascii="Garamond" w:hAnsi="Garamond"/>
          <w:color w:val="003399"/>
          <w:lang w:val="en-US"/>
        </w:rPr>
        <w:t xml:space="preserve">  </w:t>
      </w:r>
      <w:r w:rsidR="008725BE" w:rsidRPr="008725BE">
        <w:rPr>
          <w:rFonts w:ascii="Garamond" w:hAnsi="Garamond"/>
          <w:caps/>
          <w:color w:val="000000"/>
          <w:lang w:val="en-GB"/>
        </w:rPr>
        <w:t>(1908)</w:t>
      </w:r>
    </w:p>
    <w:p w:rsidR="008725BE" w:rsidRPr="008725BE" w:rsidRDefault="00B437A1" w:rsidP="008725BE">
      <w:pPr>
        <w:pStyle w:val="Sansinterligne"/>
        <w:rPr>
          <w:rFonts w:ascii="Garamond" w:hAnsi="Garamond"/>
        </w:rPr>
      </w:pPr>
      <w:hyperlink w:anchor="KS41" w:history="1">
        <w:r w:rsidR="008725BE" w:rsidRPr="008725BE">
          <w:rPr>
            <w:rStyle w:val="Lienhypertexte"/>
            <w:rFonts w:ascii="Garamond" w:hAnsi="Garamond"/>
          </w:rPr>
          <w:t>Meine Ansichten über die Rolle der Sexualität in der Ätiologie der Neurosen</w:t>
        </w:r>
      </w:hyperlink>
      <w:r w:rsidR="008725BE" w:rsidRPr="008725BE">
        <w:rPr>
          <w:rFonts w:ascii="Garamond" w:hAnsi="Garamond"/>
        </w:rPr>
        <w:t xml:space="preserve">  </w:t>
      </w:r>
      <w:r w:rsidR="008725BE" w:rsidRPr="008725BE">
        <w:rPr>
          <w:rFonts w:ascii="Garamond" w:hAnsi="Garamond"/>
          <w:caps/>
        </w:rPr>
        <w:t>(1906)</w:t>
      </w:r>
    </w:p>
    <w:p w:rsidR="008725BE" w:rsidRPr="008725BE" w:rsidRDefault="00B437A1" w:rsidP="008725BE">
      <w:pPr>
        <w:pStyle w:val="Sansinterligne"/>
        <w:rPr>
          <w:rFonts w:ascii="Garamond" w:hAnsi="Garamond"/>
          <w:color w:val="000000"/>
        </w:rPr>
      </w:pPr>
      <w:hyperlink w:anchor="KS42" w:history="1">
        <w:r w:rsidR="008725BE" w:rsidRPr="008725BE">
          <w:rPr>
            <w:rStyle w:val="Lienhypertexte"/>
            <w:rFonts w:ascii="Garamond" w:hAnsi="Garamond"/>
          </w:rPr>
          <w:t>Metapsychologische Ergänzung zur Traumlehre</w:t>
        </w:r>
      </w:hyperlink>
      <w:r w:rsidR="008725BE" w:rsidRPr="008725BE">
        <w:rPr>
          <w:rFonts w:ascii="Garamond" w:hAnsi="Garamond"/>
        </w:rPr>
        <w:t xml:space="preserve">  </w:t>
      </w:r>
      <w:r w:rsidR="008725BE" w:rsidRPr="008725BE">
        <w:rPr>
          <w:rFonts w:ascii="Garamond" w:hAnsi="Garamond"/>
          <w:caps/>
        </w:rPr>
        <w:t>(1915)</w:t>
      </w:r>
    </w:p>
    <w:p w:rsidR="008725BE" w:rsidRPr="008725BE" w:rsidRDefault="00B437A1" w:rsidP="008725BE">
      <w:pPr>
        <w:pStyle w:val="Sansinterligne"/>
        <w:rPr>
          <w:rFonts w:ascii="Garamond" w:hAnsi="Garamond"/>
          <w:caps/>
        </w:rPr>
      </w:pPr>
      <w:hyperlink w:anchor="KS43" w:history="1">
        <w:r w:rsidR="008725BE" w:rsidRPr="008725BE">
          <w:rPr>
            <w:rStyle w:val="Lienhypertexte"/>
            <w:rFonts w:ascii="Garamond" w:hAnsi="Garamond"/>
          </w:rPr>
          <w:t>Mitteilung eines der psychoanalytischen Theorie widersprechenden Falles von Paranoia</w:t>
        </w:r>
      </w:hyperlink>
      <w:r w:rsidR="008725BE" w:rsidRPr="008725BE">
        <w:rPr>
          <w:rFonts w:ascii="Garamond" w:hAnsi="Garamond"/>
        </w:rPr>
        <w:t xml:space="preserve">  </w:t>
      </w:r>
      <w:r w:rsidR="008725BE" w:rsidRPr="008725BE">
        <w:rPr>
          <w:rFonts w:ascii="Garamond" w:hAnsi="Garamond"/>
          <w:caps/>
        </w:rPr>
        <w:t>(1915)</w:t>
      </w:r>
    </w:p>
    <w:p w:rsidR="008725BE" w:rsidRPr="008725BE" w:rsidRDefault="00B437A1" w:rsidP="008725BE">
      <w:pPr>
        <w:pStyle w:val="Sansinterligne"/>
        <w:rPr>
          <w:rFonts w:ascii="Garamond" w:hAnsi="Garamond"/>
          <w:color w:val="000000"/>
        </w:rPr>
      </w:pPr>
      <w:hyperlink w:anchor="KS44" w:history="1">
        <w:r w:rsidR="008725BE" w:rsidRPr="008725BE">
          <w:rPr>
            <w:rStyle w:val="Lienhypertexte"/>
            <w:rFonts w:ascii="Garamond" w:hAnsi="Garamond"/>
          </w:rPr>
          <w:t>Mythologische Parallele zu einer plastischen Zwangsvorstellung</w:t>
        </w:r>
      </w:hyperlink>
      <w:r w:rsidR="008725BE" w:rsidRPr="008725BE">
        <w:rPr>
          <w:rFonts w:ascii="Garamond" w:hAnsi="Garamond"/>
        </w:rPr>
        <w:t xml:space="preserve">  </w:t>
      </w:r>
      <w:r w:rsidR="008725BE" w:rsidRPr="008725BE">
        <w:rPr>
          <w:rFonts w:ascii="Garamond" w:hAnsi="Garamond"/>
          <w:caps/>
        </w:rPr>
        <w:t>(1916)</w:t>
      </w:r>
    </w:p>
    <w:p w:rsidR="008725BE" w:rsidRPr="008725BE" w:rsidRDefault="00B437A1" w:rsidP="008725BE">
      <w:pPr>
        <w:pStyle w:val="Sansinterligne"/>
        <w:rPr>
          <w:rFonts w:ascii="Garamond" w:hAnsi="Garamond"/>
          <w:color w:val="000000"/>
          <w:lang w:val="en-US"/>
        </w:rPr>
      </w:pPr>
      <w:hyperlink w:anchor="KS45" w:history="1">
        <w:r w:rsidR="008725BE" w:rsidRPr="008725BE">
          <w:rPr>
            <w:rStyle w:val="Lienhypertexte"/>
            <w:rFonts w:ascii="Garamond" w:hAnsi="Garamond"/>
            <w:lang w:val="en-US"/>
          </w:rPr>
          <w:t>Neurose und Psychose</w:t>
        </w:r>
      </w:hyperlink>
      <w:r w:rsidR="008725BE" w:rsidRPr="008725BE">
        <w:rPr>
          <w:rFonts w:ascii="Garamond" w:hAnsi="Garamond"/>
          <w:lang w:val="en-US"/>
        </w:rPr>
        <w:t xml:space="preserve">  </w:t>
      </w:r>
      <w:r w:rsidR="008725BE" w:rsidRPr="008725BE">
        <w:rPr>
          <w:rFonts w:ascii="Garamond" w:hAnsi="Garamond"/>
          <w:caps/>
          <w:lang w:val="en-GB"/>
        </w:rPr>
        <w:t>(1924)</w:t>
      </w:r>
    </w:p>
    <w:p w:rsidR="008725BE" w:rsidRPr="008725BE" w:rsidRDefault="00B437A1" w:rsidP="008725BE">
      <w:pPr>
        <w:pStyle w:val="Sansinterligne"/>
        <w:rPr>
          <w:rFonts w:ascii="Garamond" w:hAnsi="Garamond"/>
          <w:color w:val="000000"/>
          <w:lang w:val="en-US"/>
        </w:rPr>
      </w:pPr>
      <w:hyperlink w:anchor="KS46" w:history="1">
        <w:r w:rsidR="008725BE" w:rsidRPr="008725BE">
          <w:rPr>
            <w:rStyle w:val="Lienhypertexte"/>
            <w:rFonts w:ascii="Garamond" w:hAnsi="Garamond"/>
            <w:lang w:val="en-US"/>
          </w:rPr>
          <w:t>Notiz über den “Wunderblock”</w:t>
        </w:r>
      </w:hyperlink>
      <w:r w:rsidR="008725BE" w:rsidRPr="008725BE">
        <w:rPr>
          <w:rFonts w:ascii="Garamond" w:hAnsi="Garamond"/>
          <w:lang w:val="en-US"/>
        </w:rPr>
        <w:t xml:space="preserve">  </w:t>
      </w:r>
      <w:r w:rsidR="008725BE" w:rsidRPr="008725BE">
        <w:rPr>
          <w:rFonts w:ascii="Garamond" w:hAnsi="Garamond"/>
          <w:caps/>
          <w:lang w:val="en-GB"/>
        </w:rPr>
        <w:t>(1925)</w:t>
      </w:r>
    </w:p>
    <w:p w:rsidR="008725BE" w:rsidRPr="008725BE" w:rsidRDefault="00B437A1" w:rsidP="008725BE">
      <w:pPr>
        <w:pStyle w:val="Sansinterligne"/>
        <w:rPr>
          <w:rFonts w:ascii="Garamond" w:hAnsi="Garamond"/>
          <w:color w:val="000000"/>
          <w:lang w:val="en-US"/>
        </w:rPr>
      </w:pPr>
      <w:hyperlink w:anchor="KS47" w:history="1">
        <w:r w:rsidR="008725BE" w:rsidRPr="008725BE">
          <w:rPr>
            <w:rStyle w:val="Lienhypertexte"/>
            <w:rFonts w:ascii="Garamond" w:hAnsi="Garamond"/>
            <w:lang w:val="en-US"/>
          </w:rPr>
          <w:t>Psychische Behandlung (Seelenbehandlung)</w:t>
        </w:r>
      </w:hyperlink>
      <w:r w:rsidR="008725BE" w:rsidRPr="008725BE">
        <w:rPr>
          <w:rFonts w:ascii="Garamond" w:hAnsi="Garamond"/>
          <w:lang w:val="en-US"/>
        </w:rPr>
        <w:t xml:space="preserve">  </w:t>
      </w:r>
      <w:r w:rsidR="008725BE" w:rsidRPr="008725BE">
        <w:rPr>
          <w:rFonts w:ascii="Garamond" w:hAnsi="Garamond"/>
          <w:caps/>
          <w:lang w:val="en-GB"/>
        </w:rPr>
        <w:t>(1890)</w:t>
      </w:r>
    </w:p>
    <w:p w:rsidR="008725BE" w:rsidRPr="008725BE" w:rsidRDefault="00B437A1" w:rsidP="008725BE">
      <w:pPr>
        <w:pStyle w:val="Sansinterligne"/>
        <w:rPr>
          <w:rFonts w:ascii="Garamond" w:hAnsi="Garamond"/>
          <w:color w:val="000000"/>
          <w:lang w:val="en-US"/>
        </w:rPr>
      </w:pPr>
      <w:hyperlink w:anchor="KS48" w:history="1">
        <w:r w:rsidR="008725BE" w:rsidRPr="008725BE">
          <w:rPr>
            <w:rStyle w:val="Lienhypertexte"/>
            <w:rFonts w:ascii="Garamond" w:hAnsi="Garamond"/>
            <w:lang w:val="en-US"/>
          </w:rPr>
          <w:t>Psychopathische Personen auf der Bühne</w:t>
        </w:r>
      </w:hyperlink>
      <w:r w:rsidR="008725BE" w:rsidRPr="008725BE">
        <w:rPr>
          <w:rFonts w:ascii="Garamond" w:hAnsi="Garamond"/>
          <w:lang w:val="en-US"/>
        </w:rPr>
        <w:t xml:space="preserve">  </w:t>
      </w:r>
      <w:r w:rsidR="008725BE" w:rsidRPr="008725BE">
        <w:rPr>
          <w:rFonts w:ascii="Garamond" w:hAnsi="Garamond"/>
          <w:caps/>
          <w:lang w:val="en-US"/>
        </w:rPr>
        <w:t>(1942)</w:t>
      </w:r>
    </w:p>
    <w:p w:rsidR="008725BE" w:rsidRPr="008725BE" w:rsidRDefault="00B437A1" w:rsidP="008725BE">
      <w:pPr>
        <w:pStyle w:val="Sansinterligne"/>
        <w:rPr>
          <w:rFonts w:ascii="Garamond" w:hAnsi="Garamond"/>
          <w:color w:val="000000"/>
          <w:lang w:val="en-GB"/>
        </w:rPr>
      </w:pPr>
      <w:hyperlink w:anchor="KS49" w:history="1">
        <w:r w:rsidR="008725BE" w:rsidRPr="008725BE">
          <w:rPr>
            <w:rStyle w:val="Lienhypertexte"/>
            <w:rFonts w:ascii="Garamond" w:hAnsi="Garamond"/>
            <w:lang w:val="en-GB"/>
          </w:rPr>
          <w:t>Ratschläge für den Arzt bei der psychoanalytischen Behandlung</w:t>
        </w:r>
      </w:hyperlink>
      <w:r w:rsidR="008725BE" w:rsidRPr="008725BE">
        <w:rPr>
          <w:rFonts w:ascii="Garamond" w:hAnsi="Garamond"/>
          <w:lang w:val="en-GB"/>
        </w:rPr>
        <w:t xml:space="preserve">  </w:t>
      </w:r>
      <w:r w:rsidR="008725BE" w:rsidRPr="008725BE">
        <w:rPr>
          <w:rFonts w:ascii="Garamond" w:hAnsi="Garamond"/>
          <w:caps/>
          <w:lang w:val="en-GB"/>
        </w:rPr>
        <w:t>(1912)</w:t>
      </w:r>
    </w:p>
    <w:p w:rsidR="008725BE" w:rsidRPr="008725BE" w:rsidRDefault="00B437A1" w:rsidP="008725BE">
      <w:pPr>
        <w:pStyle w:val="Sansinterligne"/>
        <w:rPr>
          <w:rFonts w:ascii="Garamond" w:hAnsi="Garamond"/>
          <w:color w:val="000000"/>
          <w:lang w:val="en-US"/>
        </w:rPr>
      </w:pPr>
      <w:hyperlink w:anchor="KS50" w:history="1">
        <w:r w:rsidR="008725BE" w:rsidRPr="008725BE">
          <w:rPr>
            <w:rStyle w:val="Lienhypertexte"/>
            <w:rFonts w:ascii="Garamond" w:hAnsi="Garamond"/>
            <w:lang w:val="en-US"/>
          </w:rPr>
          <w:t>Trauer und Melancholie</w:t>
        </w:r>
      </w:hyperlink>
      <w:r w:rsidR="008725BE" w:rsidRPr="008725BE">
        <w:rPr>
          <w:rFonts w:ascii="Garamond" w:hAnsi="Garamond"/>
          <w:lang w:val="en-US"/>
        </w:rPr>
        <w:t xml:space="preserve">  </w:t>
      </w:r>
      <w:r w:rsidR="008725BE" w:rsidRPr="008725BE">
        <w:rPr>
          <w:rFonts w:ascii="Garamond" w:hAnsi="Garamond"/>
          <w:caps/>
          <w:lang w:val="en-GB"/>
        </w:rPr>
        <w:t>(1917)</w:t>
      </w:r>
    </w:p>
    <w:p w:rsidR="008725BE" w:rsidRPr="008725BE" w:rsidRDefault="00B437A1" w:rsidP="008725BE">
      <w:pPr>
        <w:pStyle w:val="Sansinterligne"/>
        <w:rPr>
          <w:rFonts w:ascii="Garamond" w:hAnsi="Garamond"/>
          <w:color w:val="000000"/>
          <w:lang w:val="en-US"/>
        </w:rPr>
      </w:pPr>
      <w:hyperlink w:anchor="KS51" w:history="1">
        <w:r w:rsidR="008725BE" w:rsidRPr="008725BE">
          <w:rPr>
            <w:rStyle w:val="Lienhypertexte"/>
            <w:rFonts w:ascii="Garamond" w:hAnsi="Garamond"/>
            <w:lang w:val="en-US"/>
          </w:rPr>
          <w:t>Triebe und Triebschicksale</w:t>
        </w:r>
      </w:hyperlink>
      <w:r w:rsidR="008725BE" w:rsidRPr="008725BE">
        <w:rPr>
          <w:rFonts w:ascii="Garamond" w:hAnsi="Garamond"/>
          <w:lang w:val="en-US"/>
        </w:rPr>
        <w:t xml:space="preserve">  </w:t>
      </w:r>
      <w:r w:rsidR="008725BE" w:rsidRPr="008725BE">
        <w:rPr>
          <w:rFonts w:ascii="Garamond" w:hAnsi="Garamond"/>
          <w:caps/>
          <w:lang w:val="en-GB"/>
        </w:rPr>
        <w:t>(1915)</w:t>
      </w:r>
    </w:p>
    <w:p w:rsidR="008725BE" w:rsidRPr="008725BE" w:rsidRDefault="00B437A1" w:rsidP="008725BE">
      <w:pPr>
        <w:pStyle w:val="Sansinterligne"/>
        <w:rPr>
          <w:rFonts w:ascii="Garamond" w:hAnsi="Garamond"/>
          <w:color w:val="000000"/>
          <w:lang w:val="en-US"/>
        </w:rPr>
      </w:pPr>
      <w:hyperlink w:anchor="KS52" w:history="1">
        <w:r w:rsidR="008725BE" w:rsidRPr="008725BE">
          <w:rPr>
            <w:rStyle w:val="Lienhypertexte"/>
            <w:rFonts w:ascii="Garamond" w:hAnsi="Garamond"/>
            <w:lang w:val="en-US"/>
          </w:rPr>
          <w:t>Über den Gegensinn der Urworte</w:t>
        </w:r>
      </w:hyperlink>
      <w:r w:rsidR="008725BE" w:rsidRPr="008725BE">
        <w:rPr>
          <w:rFonts w:ascii="Garamond" w:hAnsi="Garamond"/>
          <w:lang w:val="en-US"/>
        </w:rPr>
        <w:t xml:space="preserve">  </w:t>
      </w:r>
      <w:r w:rsidR="008725BE" w:rsidRPr="008725BE">
        <w:rPr>
          <w:rFonts w:ascii="Garamond" w:hAnsi="Garamond"/>
          <w:caps/>
          <w:lang w:val="en-GB"/>
        </w:rPr>
        <w:t>(1910)</w:t>
      </w:r>
    </w:p>
    <w:p w:rsidR="008725BE" w:rsidRPr="008725BE" w:rsidRDefault="00B437A1" w:rsidP="008725BE">
      <w:pPr>
        <w:pStyle w:val="Sansinterligne"/>
        <w:rPr>
          <w:rFonts w:ascii="Garamond" w:hAnsi="Garamond"/>
          <w:color w:val="000000"/>
          <w:lang w:val="en-GB"/>
        </w:rPr>
      </w:pPr>
      <w:hyperlink w:anchor="KS53" w:history="1">
        <w:r w:rsidR="008725BE" w:rsidRPr="008725BE">
          <w:rPr>
            <w:rStyle w:val="Lienhypertexte"/>
            <w:rFonts w:ascii="Garamond" w:hAnsi="Garamond"/>
            <w:lang w:val="en-GB"/>
          </w:rPr>
          <w:t>Über den psychischen Mechanismus hysterischer Phänomene</w:t>
        </w:r>
      </w:hyperlink>
      <w:r w:rsidR="008725BE" w:rsidRPr="008725BE">
        <w:rPr>
          <w:rFonts w:ascii="Garamond" w:hAnsi="Garamond"/>
          <w:lang w:val="en-GB"/>
        </w:rPr>
        <w:t xml:space="preserve">  </w:t>
      </w:r>
      <w:r w:rsidR="008725BE" w:rsidRPr="008725BE">
        <w:rPr>
          <w:rFonts w:ascii="Garamond" w:hAnsi="Garamond"/>
          <w:caps/>
          <w:lang w:val="en-GB"/>
        </w:rPr>
        <w:t>(1893)</w:t>
      </w:r>
    </w:p>
    <w:p w:rsidR="008725BE" w:rsidRPr="008725BE" w:rsidRDefault="00B437A1" w:rsidP="008725BE">
      <w:pPr>
        <w:pStyle w:val="Sansinterligne"/>
        <w:rPr>
          <w:rFonts w:ascii="Garamond" w:hAnsi="Garamond"/>
          <w:color w:val="000000"/>
          <w:lang w:val="en-GB"/>
        </w:rPr>
      </w:pPr>
      <w:hyperlink w:anchor="KS54" w:history="1">
        <w:r w:rsidR="008725BE" w:rsidRPr="008725BE">
          <w:rPr>
            <w:rStyle w:val="Lienhypertexte"/>
            <w:rFonts w:ascii="Garamond" w:hAnsi="Garamond"/>
            <w:lang w:val="en-GB"/>
          </w:rPr>
          <w:t>Über die allgemeinste Erniedrigung des Liebeslebens</w:t>
        </w:r>
      </w:hyperlink>
      <w:r w:rsidR="008725BE" w:rsidRPr="008725BE">
        <w:rPr>
          <w:rFonts w:ascii="Garamond" w:hAnsi="Garamond"/>
          <w:lang w:val="en-GB"/>
        </w:rPr>
        <w:t xml:space="preserve">  </w:t>
      </w:r>
      <w:r w:rsidR="008725BE" w:rsidRPr="008725BE">
        <w:rPr>
          <w:rFonts w:ascii="Garamond" w:hAnsi="Garamond"/>
          <w:caps/>
          <w:lang w:val="en-GB"/>
        </w:rPr>
        <w:t>(1912)</w:t>
      </w:r>
    </w:p>
    <w:p w:rsidR="008725BE" w:rsidRPr="008725BE" w:rsidRDefault="00B437A1" w:rsidP="008725BE">
      <w:pPr>
        <w:pStyle w:val="Sansinterligne"/>
        <w:rPr>
          <w:rFonts w:ascii="Garamond" w:hAnsi="Garamond"/>
          <w:color w:val="000000"/>
          <w:lang w:val="en-GB"/>
        </w:rPr>
      </w:pPr>
      <w:hyperlink w:anchor="KS55" w:history="1">
        <w:r w:rsidR="008725BE" w:rsidRPr="00411FF5">
          <w:rPr>
            <w:rStyle w:val="Lienhypertexte"/>
            <w:rFonts w:ascii="Garamond" w:hAnsi="Garamond"/>
            <w:sz w:val="18"/>
            <w:szCs w:val="18"/>
            <w:lang w:val="en-GB"/>
          </w:rPr>
          <w:t>Über die Berechtigung, von der Neurasthenie einen bestimmten Symptomenkomplex als »Angstneurose« abzutrennen</w:t>
        </w:r>
      </w:hyperlink>
      <w:r w:rsidR="008725BE" w:rsidRPr="008725BE">
        <w:rPr>
          <w:rFonts w:ascii="Garamond" w:hAnsi="Garamond"/>
          <w:lang w:val="en-GB"/>
        </w:rPr>
        <w:t xml:space="preserve">  </w:t>
      </w:r>
      <w:r w:rsidR="008725BE" w:rsidRPr="008725BE">
        <w:rPr>
          <w:rFonts w:ascii="Garamond" w:hAnsi="Garamond"/>
          <w:caps/>
          <w:lang w:val="en-GB"/>
        </w:rPr>
        <w:t>(1895)</w:t>
      </w:r>
    </w:p>
    <w:p w:rsidR="008725BE" w:rsidRPr="008725BE" w:rsidRDefault="00B437A1" w:rsidP="008725BE">
      <w:pPr>
        <w:pStyle w:val="Sansinterligne"/>
        <w:rPr>
          <w:rFonts w:ascii="Garamond" w:hAnsi="Garamond"/>
          <w:color w:val="000000"/>
        </w:rPr>
      </w:pPr>
      <w:hyperlink w:anchor="KS56" w:history="1">
        <w:r w:rsidR="008725BE" w:rsidRPr="008725BE">
          <w:rPr>
            <w:rStyle w:val="Lienhypertexte"/>
            <w:rFonts w:ascii="Garamond" w:hAnsi="Garamond"/>
          </w:rPr>
          <w:t>Über die Psychogenese eines Falles von weiblicher Homosexualität</w:t>
        </w:r>
      </w:hyperlink>
      <w:r w:rsidR="008725BE" w:rsidRPr="008725BE">
        <w:rPr>
          <w:rFonts w:ascii="Garamond" w:hAnsi="Garamond"/>
        </w:rPr>
        <w:t xml:space="preserve">  </w:t>
      </w:r>
      <w:r w:rsidR="008725BE" w:rsidRPr="008725BE">
        <w:rPr>
          <w:rFonts w:ascii="Garamond" w:hAnsi="Garamond"/>
          <w:caps/>
        </w:rPr>
        <w:t>(1920)</w:t>
      </w:r>
    </w:p>
    <w:p w:rsidR="008725BE" w:rsidRPr="008725BE" w:rsidRDefault="00B437A1" w:rsidP="008725BE">
      <w:pPr>
        <w:pStyle w:val="Sansinterligne"/>
        <w:rPr>
          <w:rFonts w:ascii="Garamond" w:hAnsi="Garamond"/>
          <w:color w:val="000000"/>
        </w:rPr>
      </w:pPr>
      <w:hyperlink w:anchor="KS57" w:history="1">
        <w:r w:rsidR="008725BE" w:rsidRPr="008725BE">
          <w:rPr>
            <w:rStyle w:val="Lienhypertexte"/>
            <w:rFonts w:ascii="Garamond" w:hAnsi="Garamond"/>
          </w:rPr>
          <w:t>Über die weibliche Sexualität</w:t>
        </w:r>
      </w:hyperlink>
      <w:r w:rsidR="008725BE" w:rsidRPr="008725BE">
        <w:rPr>
          <w:rFonts w:ascii="Garamond" w:hAnsi="Garamond"/>
        </w:rPr>
        <w:t xml:space="preserve">  </w:t>
      </w:r>
      <w:r w:rsidR="008725BE" w:rsidRPr="008725BE">
        <w:rPr>
          <w:rFonts w:ascii="Garamond" w:hAnsi="Garamond"/>
          <w:caps/>
        </w:rPr>
        <w:t>(1931)</w:t>
      </w:r>
    </w:p>
    <w:p w:rsidR="008725BE" w:rsidRPr="008725BE" w:rsidRDefault="00B437A1" w:rsidP="008725BE">
      <w:pPr>
        <w:pStyle w:val="Sansinterligne"/>
        <w:rPr>
          <w:rFonts w:ascii="Garamond" w:hAnsi="Garamond"/>
          <w:color w:val="000000"/>
        </w:rPr>
      </w:pPr>
      <w:hyperlink w:anchor="KS58" w:history="1">
        <w:r w:rsidR="008725BE" w:rsidRPr="008725BE">
          <w:rPr>
            <w:rStyle w:val="Lienhypertexte"/>
            <w:rFonts w:ascii="Garamond" w:hAnsi="Garamond"/>
          </w:rPr>
          <w:t>Über einen besonderen Typus der Objektwahl beim Manne</w:t>
        </w:r>
      </w:hyperlink>
      <w:r w:rsidR="008725BE" w:rsidRPr="008725BE">
        <w:rPr>
          <w:rFonts w:ascii="Garamond" w:hAnsi="Garamond"/>
        </w:rPr>
        <w:t xml:space="preserve">  </w:t>
      </w:r>
      <w:r w:rsidR="008725BE" w:rsidRPr="008725BE">
        <w:rPr>
          <w:rFonts w:ascii="Garamond" w:hAnsi="Garamond"/>
          <w:caps/>
        </w:rPr>
        <w:t>(1910)</w:t>
      </w:r>
    </w:p>
    <w:p w:rsidR="008725BE" w:rsidRPr="008725BE" w:rsidRDefault="00B437A1" w:rsidP="008725BE">
      <w:pPr>
        <w:pStyle w:val="Sansinterligne"/>
        <w:rPr>
          <w:rFonts w:ascii="Garamond" w:hAnsi="Garamond"/>
          <w:color w:val="000000"/>
        </w:rPr>
      </w:pPr>
      <w:hyperlink w:anchor="KS59" w:history="1">
        <w:r w:rsidR="008725BE" w:rsidRPr="008725BE">
          <w:rPr>
            <w:rStyle w:val="Lienhypertexte"/>
            <w:rFonts w:ascii="Garamond" w:hAnsi="Garamond"/>
          </w:rPr>
          <w:t>Über einige neurotische Mechanismen bei Eifersucht, Paranoia und Homosexualität</w:t>
        </w:r>
      </w:hyperlink>
      <w:r w:rsidR="008725BE" w:rsidRPr="008725BE">
        <w:rPr>
          <w:rFonts w:ascii="Garamond" w:hAnsi="Garamond"/>
        </w:rPr>
        <w:t xml:space="preserve">  </w:t>
      </w:r>
      <w:r w:rsidR="008725BE" w:rsidRPr="008725BE">
        <w:rPr>
          <w:rFonts w:ascii="Garamond" w:hAnsi="Garamond"/>
          <w:caps/>
        </w:rPr>
        <w:t>(1922)</w:t>
      </w:r>
    </w:p>
    <w:p w:rsidR="008725BE" w:rsidRPr="008725BE" w:rsidRDefault="00B437A1" w:rsidP="008725BE">
      <w:pPr>
        <w:pStyle w:val="Sansinterligne"/>
        <w:rPr>
          <w:rFonts w:ascii="Garamond" w:hAnsi="Garamond"/>
          <w:color w:val="000000"/>
        </w:rPr>
      </w:pPr>
      <w:hyperlink w:anchor="KS59" w:history="1">
        <w:r w:rsidR="008725BE" w:rsidRPr="008725BE">
          <w:rPr>
            <w:rStyle w:val="Lienhypertexte"/>
            <w:rFonts w:ascii="Garamond" w:hAnsi="Garamond"/>
          </w:rPr>
          <w:t>Über « fausse reconnaissance » (»déjà raconté«) während der psychoanalytischen Arbeit</w:t>
        </w:r>
      </w:hyperlink>
      <w:r w:rsidR="008725BE" w:rsidRPr="008725BE">
        <w:rPr>
          <w:rFonts w:ascii="Garamond" w:hAnsi="Garamond"/>
        </w:rPr>
        <w:t xml:space="preserve">  </w:t>
      </w:r>
      <w:r w:rsidR="008725BE" w:rsidRPr="008725BE">
        <w:rPr>
          <w:rFonts w:ascii="Garamond" w:hAnsi="Garamond"/>
          <w:caps/>
        </w:rPr>
        <w:t>(1922)</w:t>
      </w:r>
    </w:p>
    <w:p w:rsidR="008725BE" w:rsidRPr="008725BE" w:rsidRDefault="00B437A1" w:rsidP="008725BE">
      <w:pPr>
        <w:pStyle w:val="Sansinterligne"/>
        <w:rPr>
          <w:rFonts w:ascii="Garamond" w:hAnsi="Garamond"/>
          <w:color w:val="000000"/>
        </w:rPr>
      </w:pPr>
      <w:hyperlink w:anchor="KS60" w:history="1">
        <w:r w:rsidR="008725BE" w:rsidRPr="008725BE">
          <w:rPr>
            <w:rStyle w:val="Lienhypertexte"/>
            <w:rFonts w:ascii="Garamond" w:hAnsi="Garamond"/>
          </w:rPr>
          <w:t>Über infantile Sexualtheorien</w:t>
        </w:r>
      </w:hyperlink>
      <w:r w:rsidR="008725BE" w:rsidRPr="008725BE">
        <w:rPr>
          <w:rFonts w:ascii="Garamond" w:hAnsi="Garamond"/>
        </w:rPr>
        <w:t xml:space="preserve">  </w:t>
      </w:r>
      <w:r w:rsidR="008725BE" w:rsidRPr="008725BE">
        <w:rPr>
          <w:rFonts w:ascii="Garamond" w:hAnsi="Garamond"/>
          <w:caps/>
        </w:rPr>
        <w:t>(1908)</w:t>
      </w:r>
    </w:p>
    <w:p w:rsidR="008725BE" w:rsidRPr="008725BE" w:rsidRDefault="00B437A1" w:rsidP="008725BE">
      <w:pPr>
        <w:pStyle w:val="Sansinterligne"/>
        <w:rPr>
          <w:rFonts w:ascii="Garamond" w:hAnsi="Garamond"/>
          <w:color w:val="000000"/>
        </w:rPr>
      </w:pPr>
      <w:hyperlink w:anchor="KS61" w:history="1">
        <w:r w:rsidR="008725BE" w:rsidRPr="008725BE">
          <w:rPr>
            <w:rStyle w:val="Lienhypertexte"/>
            <w:rFonts w:ascii="Garamond" w:hAnsi="Garamond"/>
          </w:rPr>
          <w:t>Über libidinöse Typen</w:t>
        </w:r>
      </w:hyperlink>
      <w:r w:rsidR="008725BE" w:rsidRPr="008725BE">
        <w:rPr>
          <w:rFonts w:ascii="Garamond" w:hAnsi="Garamond"/>
        </w:rPr>
        <w:t xml:space="preserve">  </w:t>
      </w:r>
      <w:r w:rsidR="008725BE" w:rsidRPr="008725BE">
        <w:rPr>
          <w:rFonts w:ascii="Garamond" w:hAnsi="Garamond"/>
          <w:caps/>
        </w:rPr>
        <w:t>(1931)</w:t>
      </w:r>
    </w:p>
    <w:p w:rsidR="008725BE" w:rsidRDefault="00B437A1" w:rsidP="008725BE">
      <w:pPr>
        <w:pStyle w:val="Sansinterligne"/>
        <w:rPr>
          <w:rFonts w:ascii="Garamond" w:hAnsi="Garamond"/>
          <w:caps/>
        </w:rPr>
      </w:pPr>
      <w:hyperlink w:anchor="KS62" w:history="1">
        <w:r w:rsidR="008725BE" w:rsidRPr="008725BE">
          <w:rPr>
            <w:rStyle w:val="Lienhypertexte"/>
            <w:rFonts w:ascii="Garamond" w:hAnsi="Garamond"/>
          </w:rPr>
          <w:t>Über neurotische Erkrankungstypen</w:t>
        </w:r>
      </w:hyperlink>
      <w:r w:rsidR="008725BE" w:rsidRPr="008725BE">
        <w:rPr>
          <w:rFonts w:ascii="Garamond" w:hAnsi="Garamond"/>
        </w:rPr>
        <w:t xml:space="preserve">  </w:t>
      </w:r>
      <w:r w:rsidR="008725BE" w:rsidRPr="008725BE">
        <w:rPr>
          <w:rFonts w:ascii="Garamond" w:hAnsi="Garamond"/>
          <w:caps/>
        </w:rPr>
        <w:t>(1912)</w:t>
      </w:r>
    </w:p>
    <w:p w:rsidR="002E0E50" w:rsidRPr="002E0E50" w:rsidRDefault="00B437A1" w:rsidP="008725BE">
      <w:pPr>
        <w:pStyle w:val="Sansinterligne"/>
        <w:rPr>
          <w:rFonts w:ascii="Garamond" w:hAnsi="Garamond"/>
          <w:color w:val="000000"/>
        </w:rPr>
      </w:pPr>
      <w:hyperlink w:anchor="KS80" w:history="1">
        <w:r w:rsidR="002E0E50" w:rsidRPr="002E0E50">
          <w:rPr>
            <w:rStyle w:val="Lienhypertexte"/>
            <w:rFonts w:ascii="Garamond" w:hAnsi="Garamond" w:cs="Arial"/>
            <w:bCs/>
          </w:rPr>
          <w:t>Über Psychoanalyse</w:t>
        </w:r>
      </w:hyperlink>
      <w:r w:rsidR="002E0E50" w:rsidRPr="002E0E50">
        <w:rPr>
          <w:rFonts w:ascii="Garamond" w:hAnsi="Garamond" w:cs="Arial"/>
          <w:bCs/>
          <w:color w:val="000000"/>
        </w:rPr>
        <w:t xml:space="preserve">  (1910)</w:t>
      </w:r>
    </w:p>
    <w:p w:rsidR="008725BE" w:rsidRPr="008725BE" w:rsidRDefault="00B437A1" w:rsidP="008725BE">
      <w:pPr>
        <w:pStyle w:val="Sansinterligne"/>
        <w:rPr>
          <w:rFonts w:ascii="Garamond" w:hAnsi="Garamond"/>
          <w:color w:val="000000"/>
        </w:rPr>
      </w:pPr>
      <w:hyperlink w:anchor="KS63" w:history="1">
        <w:r w:rsidR="008725BE" w:rsidRPr="008725BE">
          <w:rPr>
            <w:rStyle w:val="Lienhypertexte"/>
            <w:rFonts w:ascii="Garamond" w:hAnsi="Garamond"/>
          </w:rPr>
          <w:t>Über Psychotherapie</w:t>
        </w:r>
      </w:hyperlink>
      <w:r w:rsidR="008725BE" w:rsidRPr="008725BE">
        <w:rPr>
          <w:rFonts w:ascii="Garamond" w:hAnsi="Garamond"/>
        </w:rPr>
        <w:t xml:space="preserve">  </w:t>
      </w:r>
      <w:r w:rsidR="008725BE" w:rsidRPr="008725BE">
        <w:rPr>
          <w:rFonts w:ascii="Garamond" w:hAnsi="Garamond"/>
          <w:caps/>
        </w:rPr>
        <w:t>(1905)</w:t>
      </w:r>
    </w:p>
    <w:p w:rsidR="008725BE" w:rsidRPr="008725BE" w:rsidRDefault="00B437A1" w:rsidP="008725BE">
      <w:pPr>
        <w:pStyle w:val="Sansinterligne"/>
        <w:rPr>
          <w:rFonts w:ascii="Garamond" w:hAnsi="Garamond"/>
          <w:color w:val="000000"/>
        </w:rPr>
      </w:pPr>
      <w:hyperlink w:anchor="KS64" w:history="1">
        <w:r w:rsidR="008725BE" w:rsidRPr="008725BE">
          <w:rPr>
            <w:rStyle w:val="Lienhypertexte"/>
            <w:rFonts w:ascii="Garamond" w:hAnsi="Garamond"/>
          </w:rPr>
          <w:t>Über Triebumsetzungen, insbesondere der Analerotik</w:t>
        </w:r>
      </w:hyperlink>
      <w:r w:rsidR="008725BE" w:rsidRPr="008725BE">
        <w:rPr>
          <w:rFonts w:ascii="Garamond" w:hAnsi="Garamond"/>
        </w:rPr>
        <w:t xml:space="preserve">  </w:t>
      </w:r>
      <w:r w:rsidR="008725BE" w:rsidRPr="008725BE">
        <w:rPr>
          <w:rFonts w:ascii="Garamond" w:hAnsi="Garamond"/>
          <w:caps/>
        </w:rPr>
        <w:t>(1917)</w:t>
      </w:r>
    </w:p>
    <w:p w:rsidR="008725BE" w:rsidRPr="008725BE" w:rsidRDefault="00B437A1" w:rsidP="008725BE">
      <w:pPr>
        <w:pStyle w:val="Sansinterligne"/>
        <w:rPr>
          <w:rFonts w:ascii="Garamond" w:hAnsi="Garamond"/>
          <w:color w:val="000000"/>
        </w:rPr>
      </w:pPr>
      <w:hyperlink w:anchor="KS65" w:history="1">
        <w:r w:rsidR="008725BE" w:rsidRPr="008725BE">
          <w:rPr>
            <w:rStyle w:val="Lienhypertexte"/>
            <w:rFonts w:ascii="Garamond" w:hAnsi="Garamond"/>
          </w:rPr>
          <w:t>Über « wilde » Psychoanalyse</w:t>
        </w:r>
      </w:hyperlink>
      <w:r w:rsidR="008725BE" w:rsidRPr="008725BE">
        <w:rPr>
          <w:rFonts w:ascii="Garamond" w:hAnsi="Garamond"/>
        </w:rPr>
        <w:t xml:space="preserve">  </w:t>
      </w:r>
      <w:r w:rsidR="008725BE" w:rsidRPr="008725BE">
        <w:rPr>
          <w:rFonts w:ascii="Garamond" w:hAnsi="Garamond"/>
          <w:caps/>
        </w:rPr>
        <w:t>(1910)</w:t>
      </w:r>
    </w:p>
    <w:p w:rsidR="008725BE" w:rsidRPr="008725BE" w:rsidRDefault="00B437A1" w:rsidP="008725BE">
      <w:pPr>
        <w:pStyle w:val="Sansinterligne"/>
        <w:rPr>
          <w:rFonts w:ascii="Garamond" w:hAnsi="Garamond"/>
          <w:color w:val="000000"/>
        </w:rPr>
      </w:pPr>
      <w:hyperlink w:anchor="KS66" w:history="1">
        <w:r w:rsidR="008725BE" w:rsidRPr="008725BE">
          <w:rPr>
            <w:rStyle w:val="Lienhypertexte"/>
            <w:rFonts w:ascii="Garamond" w:hAnsi="Garamond"/>
          </w:rPr>
          <w:t>Vergänglichkeit</w:t>
        </w:r>
      </w:hyperlink>
      <w:r w:rsidR="008725BE" w:rsidRPr="008725BE">
        <w:rPr>
          <w:rFonts w:ascii="Garamond" w:hAnsi="Garamond"/>
        </w:rPr>
        <w:t xml:space="preserve">  </w:t>
      </w:r>
      <w:r w:rsidR="008725BE" w:rsidRPr="008725BE">
        <w:rPr>
          <w:rFonts w:ascii="Garamond" w:hAnsi="Garamond"/>
          <w:caps/>
        </w:rPr>
        <w:t>(1916)</w:t>
      </w:r>
    </w:p>
    <w:p w:rsidR="008725BE" w:rsidRPr="005C1841" w:rsidRDefault="00B437A1" w:rsidP="008725BE">
      <w:pPr>
        <w:pStyle w:val="Sansinterligne"/>
        <w:rPr>
          <w:rFonts w:ascii="Garamond" w:hAnsi="Garamond"/>
          <w:color w:val="000000"/>
        </w:rPr>
      </w:pPr>
      <w:hyperlink w:anchor="KS67" w:history="1">
        <w:r w:rsidR="008725BE" w:rsidRPr="008725BE">
          <w:rPr>
            <w:rStyle w:val="Lienhypertexte"/>
            <w:rFonts w:ascii="Garamond" w:hAnsi="Garamond"/>
          </w:rPr>
          <w:t>Warum Krieg ?</w:t>
        </w:r>
      </w:hyperlink>
      <w:r w:rsidR="008725BE" w:rsidRPr="008725BE">
        <w:rPr>
          <w:rFonts w:ascii="Garamond" w:hAnsi="Garamond"/>
        </w:rPr>
        <w:t xml:space="preserve">  </w:t>
      </w:r>
      <w:r w:rsidR="008725BE" w:rsidRPr="005C1841">
        <w:rPr>
          <w:rFonts w:ascii="Garamond" w:hAnsi="Garamond"/>
          <w:caps/>
        </w:rPr>
        <w:t>(1933)</w:t>
      </w:r>
    </w:p>
    <w:p w:rsidR="008725BE" w:rsidRPr="005C1841" w:rsidRDefault="00B437A1" w:rsidP="008725BE">
      <w:pPr>
        <w:pStyle w:val="Sansinterligne"/>
        <w:rPr>
          <w:rFonts w:ascii="Garamond" w:hAnsi="Garamond"/>
          <w:color w:val="000000"/>
        </w:rPr>
      </w:pPr>
      <w:hyperlink w:anchor="KS68" w:history="1">
        <w:r w:rsidR="008725BE" w:rsidRPr="005C1841">
          <w:rPr>
            <w:rStyle w:val="Lienhypertexte"/>
            <w:rFonts w:ascii="Garamond" w:hAnsi="Garamond"/>
          </w:rPr>
          <w:t>Wege der psychoanalytischen Therapie</w:t>
        </w:r>
      </w:hyperlink>
      <w:r w:rsidR="008725BE" w:rsidRPr="005C1841">
        <w:rPr>
          <w:rFonts w:ascii="Garamond" w:hAnsi="Garamond"/>
        </w:rPr>
        <w:t xml:space="preserve">  </w:t>
      </w:r>
      <w:r w:rsidR="008725BE" w:rsidRPr="005C1841">
        <w:rPr>
          <w:rFonts w:ascii="Garamond" w:hAnsi="Garamond"/>
          <w:caps/>
        </w:rPr>
        <w:t>(1919)</w:t>
      </w:r>
    </w:p>
    <w:p w:rsidR="008725BE" w:rsidRPr="005C1841" w:rsidRDefault="00B437A1" w:rsidP="008725BE">
      <w:pPr>
        <w:pStyle w:val="Sansinterligne"/>
        <w:rPr>
          <w:rFonts w:ascii="Garamond" w:hAnsi="Garamond"/>
          <w:color w:val="000000"/>
        </w:rPr>
      </w:pPr>
      <w:hyperlink w:anchor="KS69" w:history="1">
        <w:r w:rsidR="008725BE" w:rsidRPr="005C1841">
          <w:rPr>
            <w:rStyle w:val="Lienhypertexte"/>
            <w:rFonts w:ascii="Garamond" w:hAnsi="Garamond"/>
          </w:rPr>
          <w:t>Zeitgemäßes über Krieg und Tod</w:t>
        </w:r>
      </w:hyperlink>
      <w:r w:rsidR="008725BE" w:rsidRPr="005C1841">
        <w:rPr>
          <w:rFonts w:ascii="Garamond" w:hAnsi="Garamond"/>
        </w:rPr>
        <w:t xml:space="preserve">  </w:t>
      </w:r>
      <w:r w:rsidR="008725BE" w:rsidRPr="005C1841">
        <w:rPr>
          <w:rFonts w:ascii="Garamond" w:hAnsi="Garamond"/>
          <w:caps/>
        </w:rPr>
        <w:t>(1915)</w:t>
      </w:r>
    </w:p>
    <w:p w:rsidR="008725BE" w:rsidRPr="008725BE" w:rsidRDefault="00B437A1" w:rsidP="008725BE">
      <w:pPr>
        <w:pStyle w:val="Sansinterligne"/>
        <w:rPr>
          <w:rFonts w:ascii="Garamond" w:hAnsi="Garamond"/>
          <w:color w:val="000000"/>
        </w:rPr>
      </w:pPr>
      <w:hyperlink w:anchor="KS70" w:history="1">
        <w:r w:rsidR="008725BE" w:rsidRPr="008725BE">
          <w:rPr>
            <w:rStyle w:val="Lienhypertexte"/>
            <w:rFonts w:ascii="Garamond" w:hAnsi="Garamond"/>
          </w:rPr>
          <w:t>Zur Ätiologie der Hysterie</w:t>
        </w:r>
      </w:hyperlink>
      <w:r w:rsidR="008725BE" w:rsidRPr="008725BE">
        <w:rPr>
          <w:rFonts w:ascii="Garamond" w:hAnsi="Garamond"/>
        </w:rPr>
        <w:t xml:space="preserve">  </w:t>
      </w:r>
      <w:r w:rsidR="008725BE" w:rsidRPr="008725BE">
        <w:rPr>
          <w:rFonts w:ascii="Garamond" w:hAnsi="Garamond"/>
          <w:caps/>
        </w:rPr>
        <w:t>(1896)</w:t>
      </w:r>
    </w:p>
    <w:p w:rsidR="008725BE" w:rsidRPr="008725BE" w:rsidRDefault="00B437A1" w:rsidP="008725BE">
      <w:pPr>
        <w:pStyle w:val="Sansinterligne"/>
        <w:rPr>
          <w:rFonts w:ascii="Garamond" w:hAnsi="Garamond"/>
          <w:color w:val="000000"/>
        </w:rPr>
      </w:pPr>
      <w:hyperlink w:anchor="KS71" w:history="1">
        <w:r w:rsidR="008725BE" w:rsidRPr="008725BE">
          <w:rPr>
            <w:rStyle w:val="Lienhypertexte"/>
            <w:rFonts w:ascii="Garamond" w:hAnsi="Garamond"/>
          </w:rPr>
          <w:t>Zur Dynamik der Übertragung</w:t>
        </w:r>
      </w:hyperlink>
      <w:r w:rsidR="008725BE" w:rsidRPr="008725BE">
        <w:rPr>
          <w:rFonts w:ascii="Garamond" w:hAnsi="Garamond"/>
        </w:rPr>
        <w:t xml:space="preserve">  </w:t>
      </w:r>
      <w:r w:rsidR="008725BE" w:rsidRPr="008725BE">
        <w:rPr>
          <w:rFonts w:ascii="Garamond" w:hAnsi="Garamond"/>
          <w:caps/>
        </w:rPr>
        <w:t>(1912)</w:t>
      </w:r>
    </w:p>
    <w:p w:rsidR="008725BE" w:rsidRPr="008725BE" w:rsidRDefault="00B437A1" w:rsidP="008725BE">
      <w:pPr>
        <w:pStyle w:val="Sansinterligne"/>
        <w:rPr>
          <w:rFonts w:ascii="Garamond" w:hAnsi="Garamond"/>
          <w:color w:val="000000"/>
          <w:lang w:val="en-US"/>
        </w:rPr>
      </w:pPr>
      <w:hyperlink w:anchor="KS72" w:history="1">
        <w:r w:rsidR="008725BE" w:rsidRPr="008725BE">
          <w:rPr>
            <w:rStyle w:val="Lienhypertexte"/>
            <w:rFonts w:ascii="Garamond" w:hAnsi="Garamond"/>
            <w:lang w:val="en-US"/>
          </w:rPr>
          <w:t>Zur Einführung des Narzißmus</w:t>
        </w:r>
      </w:hyperlink>
      <w:r w:rsidR="008725BE" w:rsidRPr="008725BE">
        <w:rPr>
          <w:rFonts w:ascii="Garamond" w:hAnsi="Garamond"/>
          <w:lang w:val="en-US"/>
        </w:rPr>
        <w:t xml:space="preserve">  </w:t>
      </w:r>
      <w:r w:rsidR="008725BE" w:rsidRPr="008725BE">
        <w:rPr>
          <w:rFonts w:ascii="Garamond" w:hAnsi="Garamond"/>
          <w:caps/>
          <w:lang w:val="en-GB"/>
        </w:rPr>
        <w:t>(1914)</w:t>
      </w:r>
    </w:p>
    <w:p w:rsidR="008725BE" w:rsidRDefault="00B437A1" w:rsidP="008725BE">
      <w:pPr>
        <w:pStyle w:val="Sansinterligne"/>
        <w:rPr>
          <w:rFonts w:ascii="Garamond" w:hAnsi="Garamond"/>
          <w:caps/>
          <w:lang w:val="en-GB"/>
        </w:rPr>
      </w:pPr>
      <w:hyperlink w:anchor="KS73" w:history="1">
        <w:r w:rsidR="008725BE" w:rsidRPr="008725BE">
          <w:rPr>
            <w:rStyle w:val="Lienhypertexte"/>
            <w:rFonts w:ascii="Garamond" w:hAnsi="Garamond"/>
            <w:lang w:val="en-US"/>
          </w:rPr>
          <w:t>Zur Einleitung der Behandlung</w:t>
        </w:r>
      </w:hyperlink>
      <w:r w:rsidR="008725BE" w:rsidRPr="008725BE">
        <w:rPr>
          <w:rFonts w:ascii="Garamond" w:hAnsi="Garamond"/>
          <w:lang w:val="en-US"/>
        </w:rPr>
        <w:t xml:space="preserve">  </w:t>
      </w:r>
      <w:r w:rsidR="008725BE" w:rsidRPr="008725BE">
        <w:rPr>
          <w:rFonts w:ascii="Garamond" w:hAnsi="Garamond"/>
          <w:caps/>
          <w:lang w:val="en-GB"/>
        </w:rPr>
        <w:t>(1913)</w:t>
      </w:r>
    </w:p>
    <w:p w:rsidR="005E1D01" w:rsidRPr="004E00C6" w:rsidRDefault="00B437A1" w:rsidP="008725BE">
      <w:pPr>
        <w:pStyle w:val="Sansinterligne"/>
        <w:rPr>
          <w:rFonts w:ascii="Garamond" w:hAnsi="Garamond"/>
          <w:color w:val="000000"/>
        </w:rPr>
      </w:pPr>
      <w:hyperlink w:anchor="F25" w:history="1">
        <w:r w:rsidR="005E1D01" w:rsidRPr="004E00C6">
          <w:rPr>
            <w:rStyle w:val="Lienhypertexte"/>
            <w:rFonts w:ascii="Garamond" w:hAnsi="Garamond"/>
            <w:bCs/>
          </w:rPr>
          <w:t>Zur Geschichte der psychoanalytischen Bewegung</w:t>
        </w:r>
      </w:hyperlink>
      <w:r w:rsidR="005E1D01">
        <w:t xml:space="preserve">  </w:t>
      </w:r>
      <w:r w:rsidR="005E1D01" w:rsidRPr="005E1D01">
        <w:rPr>
          <w:rFonts w:ascii="Garamond" w:hAnsi="Garamond"/>
        </w:rPr>
        <w:t>(1914)</w:t>
      </w:r>
    </w:p>
    <w:p w:rsidR="008725BE" w:rsidRPr="008725BE" w:rsidRDefault="00B437A1" w:rsidP="008725BE">
      <w:pPr>
        <w:pStyle w:val="Sansinterligne"/>
        <w:rPr>
          <w:rFonts w:ascii="Garamond" w:hAnsi="Garamond"/>
          <w:color w:val="000000"/>
        </w:rPr>
      </w:pPr>
      <w:hyperlink w:anchor="KS74" w:history="1">
        <w:r w:rsidR="008725BE" w:rsidRPr="008725BE">
          <w:rPr>
            <w:rStyle w:val="Lienhypertexte"/>
            <w:rFonts w:ascii="Garamond" w:hAnsi="Garamond"/>
          </w:rPr>
          <w:t>Zur Gewinnung des Feuers</w:t>
        </w:r>
      </w:hyperlink>
      <w:r w:rsidR="008725BE" w:rsidRPr="008725BE">
        <w:rPr>
          <w:rFonts w:ascii="Garamond" w:hAnsi="Garamond"/>
        </w:rPr>
        <w:t xml:space="preserve">  </w:t>
      </w:r>
      <w:r w:rsidR="008725BE" w:rsidRPr="008725BE">
        <w:rPr>
          <w:rFonts w:ascii="Garamond" w:hAnsi="Garamond"/>
          <w:caps/>
        </w:rPr>
        <w:t>(1932)</w:t>
      </w:r>
    </w:p>
    <w:p w:rsidR="008725BE" w:rsidRDefault="00B437A1" w:rsidP="008725BE">
      <w:pPr>
        <w:pStyle w:val="Sansinterligne"/>
        <w:rPr>
          <w:rFonts w:ascii="Garamond" w:hAnsi="Garamond"/>
          <w:caps/>
        </w:rPr>
      </w:pPr>
      <w:hyperlink w:anchor="KS75" w:history="1">
        <w:r w:rsidR="008725BE" w:rsidRPr="008725BE">
          <w:rPr>
            <w:rStyle w:val="Lienhypertexte"/>
            <w:rFonts w:ascii="Garamond" w:hAnsi="Garamond"/>
          </w:rPr>
          <w:t>Zur Psychologie des Gymnasiasten</w:t>
        </w:r>
      </w:hyperlink>
      <w:r w:rsidR="008725BE" w:rsidRPr="008725BE">
        <w:rPr>
          <w:rFonts w:ascii="Garamond" w:hAnsi="Garamond"/>
        </w:rPr>
        <w:t xml:space="preserve">  </w:t>
      </w:r>
      <w:r w:rsidR="008725BE" w:rsidRPr="008725BE">
        <w:rPr>
          <w:rFonts w:ascii="Garamond" w:hAnsi="Garamond"/>
          <w:caps/>
        </w:rPr>
        <w:t>(1914)</w:t>
      </w:r>
    </w:p>
    <w:p w:rsidR="0091528C" w:rsidRPr="0091528C" w:rsidRDefault="00B437A1" w:rsidP="008725BE">
      <w:pPr>
        <w:pStyle w:val="Sansinterligne"/>
        <w:rPr>
          <w:rFonts w:ascii="Garamond" w:hAnsi="Garamond"/>
          <w:color w:val="000000"/>
        </w:rPr>
      </w:pPr>
      <w:hyperlink w:anchor="KS81" w:history="1">
        <w:r w:rsidR="0091528C" w:rsidRPr="0091528C">
          <w:rPr>
            <w:rStyle w:val="Lienhypertexte"/>
            <w:rFonts w:ascii="Garamond" w:hAnsi="Garamond" w:cs="Arial"/>
            <w:bCs/>
          </w:rPr>
          <w:t>Zur Psychotherapie der Hysterie</w:t>
        </w:r>
      </w:hyperlink>
      <w:r w:rsidR="0091528C" w:rsidRPr="0091528C">
        <w:rPr>
          <w:rFonts w:ascii="Garamond" w:hAnsi="Garamond" w:cs="Arial"/>
          <w:bCs/>
          <w:color w:val="000000"/>
        </w:rPr>
        <w:t xml:space="preserve"> (1895)</w:t>
      </w:r>
    </w:p>
    <w:p w:rsidR="008725BE" w:rsidRPr="005C1841" w:rsidRDefault="00B437A1" w:rsidP="008725BE">
      <w:pPr>
        <w:pStyle w:val="Sansinterligne"/>
        <w:rPr>
          <w:rFonts w:ascii="Garamond" w:hAnsi="Garamond"/>
          <w:color w:val="000000"/>
        </w:rPr>
      </w:pPr>
      <w:hyperlink w:anchor="KS76" w:history="1">
        <w:r w:rsidR="008725BE" w:rsidRPr="005C1841">
          <w:rPr>
            <w:rStyle w:val="Lienhypertexte"/>
            <w:rFonts w:ascii="Garamond" w:hAnsi="Garamond"/>
          </w:rPr>
          <w:t>Zur sexuellen Aufklärung der Kinder</w:t>
        </w:r>
      </w:hyperlink>
      <w:r w:rsidR="008725BE" w:rsidRPr="005C1841">
        <w:rPr>
          <w:rFonts w:ascii="Garamond" w:hAnsi="Garamond"/>
        </w:rPr>
        <w:t xml:space="preserve">  </w:t>
      </w:r>
      <w:r w:rsidR="008725BE" w:rsidRPr="005C1841">
        <w:rPr>
          <w:rFonts w:ascii="Garamond" w:hAnsi="Garamond"/>
          <w:caps/>
        </w:rPr>
        <w:t>(1907)</w:t>
      </w:r>
    </w:p>
    <w:p w:rsidR="008725BE" w:rsidRPr="008725BE" w:rsidRDefault="00B437A1" w:rsidP="008725BE">
      <w:pPr>
        <w:pStyle w:val="Sansinterligne"/>
        <w:rPr>
          <w:rFonts w:ascii="Garamond" w:hAnsi="Garamond"/>
          <w:color w:val="000000"/>
          <w:lang w:val="en-US"/>
        </w:rPr>
      </w:pPr>
      <w:hyperlink w:anchor="KS77" w:history="1">
        <w:r w:rsidR="008725BE" w:rsidRPr="008725BE">
          <w:rPr>
            <w:rStyle w:val="Lienhypertexte"/>
            <w:rFonts w:ascii="Garamond" w:hAnsi="Garamond"/>
            <w:lang w:val="en-US"/>
          </w:rPr>
          <w:t>Zur Vorgeschichte der analytischen Technik</w:t>
        </w:r>
      </w:hyperlink>
      <w:r w:rsidR="008725BE" w:rsidRPr="008725BE">
        <w:rPr>
          <w:rFonts w:ascii="Garamond" w:hAnsi="Garamond"/>
          <w:lang w:val="en-US"/>
        </w:rPr>
        <w:t xml:space="preserve">  </w:t>
      </w:r>
      <w:r w:rsidR="008725BE" w:rsidRPr="008725BE">
        <w:rPr>
          <w:rFonts w:ascii="Garamond" w:hAnsi="Garamond"/>
          <w:caps/>
          <w:lang w:val="en-GB"/>
        </w:rPr>
        <w:t>(1920)</w:t>
      </w:r>
    </w:p>
    <w:p w:rsidR="008725BE" w:rsidRPr="008725BE" w:rsidRDefault="00B437A1" w:rsidP="008725BE">
      <w:pPr>
        <w:pStyle w:val="Sansinterligne"/>
        <w:rPr>
          <w:rFonts w:ascii="Garamond" w:hAnsi="Garamond"/>
          <w:color w:val="000000"/>
          <w:lang w:val="en-US"/>
        </w:rPr>
      </w:pPr>
      <w:hyperlink w:anchor="KS78" w:history="1">
        <w:r w:rsidR="008725BE" w:rsidRPr="008725BE">
          <w:rPr>
            <w:rStyle w:val="Lienhypertexte"/>
            <w:rFonts w:ascii="Garamond" w:hAnsi="Garamond"/>
            <w:lang w:val="en-US"/>
          </w:rPr>
          <w:t>Zwangshandlungen und Religionsübungen</w:t>
        </w:r>
      </w:hyperlink>
      <w:r w:rsidR="008725BE" w:rsidRPr="008725BE">
        <w:rPr>
          <w:rFonts w:ascii="Garamond" w:hAnsi="Garamond"/>
          <w:lang w:val="en-US"/>
        </w:rPr>
        <w:t xml:space="preserve">  </w:t>
      </w:r>
      <w:r w:rsidR="008725BE" w:rsidRPr="008725BE">
        <w:rPr>
          <w:rFonts w:ascii="Garamond" w:hAnsi="Garamond"/>
          <w:caps/>
          <w:lang w:val="en-GB"/>
        </w:rPr>
        <w:t>(1907)</w:t>
      </w:r>
    </w:p>
    <w:p w:rsidR="008725BE" w:rsidRPr="008725BE" w:rsidRDefault="00B437A1" w:rsidP="008725BE">
      <w:pPr>
        <w:pStyle w:val="Sansinterligne"/>
        <w:rPr>
          <w:rFonts w:ascii="Garamond" w:hAnsi="Garamond"/>
          <w:caps/>
          <w:lang w:val="en-GB"/>
        </w:rPr>
      </w:pPr>
      <w:hyperlink w:anchor="KS79" w:history="1">
        <w:r w:rsidR="008725BE" w:rsidRPr="008725BE">
          <w:rPr>
            <w:rStyle w:val="Lienhypertexte"/>
            <w:rFonts w:ascii="Garamond" w:hAnsi="Garamond"/>
            <w:lang w:val="en-US"/>
          </w:rPr>
          <w:t>Zwei Kinderlügen</w:t>
        </w:r>
      </w:hyperlink>
      <w:r w:rsidR="008725BE" w:rsidRPr="008725BE">
        <w:rPr>
          <w:rFonts w:ascii="Garamond" w:hAnsi="Garamond"/>
          <w:lang w:val="en-US"/>
        </w:rPr>
        <w:t xml:space="preserve">  </w:t>
      </w:r>
      <w:r w:rsidR="008725BE" w:rsidRPr="008725BE">
        <w:rPr>
          <w:rFonts w:ascii="Garamond" w:hAnsi="Garamond"/>
          <w:caps/>
          <w:lang w:val="en-GB"/>
        </w:rPr>
        <w:t>(1913)</w:t>
      </w:r>
    </w:p>
    <w:p w:rsidR="008725BE" w:rsidRPr="008725BE" w:rsidRDefault="008725BE" w:rsidP="008725BE">
      <w:pPr>
        <w:pStyle w:val="Sansinterligne"/>
        <w:rPr>
          <w:rFonts w:ascii="Garamond" w:hAnsi="Garamond"/>
          <w:caps/>
          <w:lang w:val="en-GB"/>
        </w:rPr>
      </w:pPr>
      <w:r w:rsidRPr="008725BE">
        <w:rPr>
          <w:rFonts w:ascii="Garamond" w:hAnsi="Garamond"/>
          <w:caps/>
          <w:lang w:val="en-GB"/>
        </w:rPr>
        <w:br w:type="page"/>
      </w:r>
    </w:p>
    <w:p w:rsidR="00107028" w:rsidRPr="0053779A" w:rsidRDefault="0053779A" w:rsidP="00CE4D4E">
      <w:pPr>
        <w:pStyle w:val="Sansinterligne"/>
        <w:numPr>
          <w:ilvl w:val="0"/>
          <w:numId w:val="2"/>
        </w:numPr>
        <w:rPr>
          <w:rFonts w:ascii="Garamond" w:hAnsi="Garamond"/>
          <w:b/>
          <w:caps/>
          <w:color w:val="0000CC"/>
          <w:lang w:val="en-GB"/>
        </w:rPr>
      </w:pPr>
      <w:r w:rsidRPr="0053779A">
        <w:rPr>
          <w:rFonts w:ascii="Garamond" w:hAnsi="Garamond"/>
          <w:b/>
          <w:caps/>
          <w:color w:val="0000CC"/>
          <w:lang w:val="en-GB"/>
        </w:rPr>
        <w:lastRenderedPageBreak/>
        <w:t>h</w:t>
      </w:r>
      <w:r w:rsidRPr="0053779A">
        <w:rPr>
          <w:rFonts w:ascii="Garamond" w:hAnsi="Garamond"/>
          <w:b/>
          <w:color w:val="0000CC"/>
          <w:lang w:val="en-GB"/>
        </w:rPr>
        <w:t>istorisch</w:t>
      </w:r>
    </w:p>
    <w:p w:rsidR="00107028" w:rsidRPr="008725BE" w:rsidRDefault="00107028" w:rsidP="008725BE">
      <w:pPr>
        <w:pStyle w:val="Sansinterligne"/>
        <w:rPr>
          <w:rFonts w:ascii="Garamond" w:hAnsi="Garamond"/>
          <w:caps/>
          <w:lang w:val="en-GB"/>
        </w:rPr>
      </w:pPr>
    </w:p>
    <w:p w:rsidR="008725BE" w:rsidRPr="008725BE" w:rsidRDefault="008725BE" w:rsidP="008725BE">
      <w:pPr>
        <w:pStyle w:val="Sansinterligne"/>
        <w:rPr>
          <w:rFonts w:ascii="Garamond" w:hAnsi="Garamond"/>
          <w:color w:val="000000" w:themeColor="text1"/>
          <w:lang w:val="en-US"/>
        </w:rPr>
      </w:pPr>
      <w:r w:rsidRPr="008725BE">
        <w:rPr>
          <w:rFonts w:ascii="Garamond" w:hAnsi="Garamond"/>
          <w:caps/>
          <w:lang w:val="en-GB"/>
        </w:rPr>
        <w:t xml:space="preserve">1890  </w:t>
      </w:r>
      <w:hyperlink w:anchor="KS47" w:history="1">
        <w:r w:rsidRPr="008725BE">
          <w:rPr>
            <w:rStyle w:val="Lienhypertexte"/>
            <w:rFonts w:ascii="Garamond" w:hAnsi="Garamond"/>
            <w:lang w:val="en-US"/>
          </w:rPr>
          <w:t>Psychische Behandlung (Seelenbehandlung)</w:t>
        </w:r>
      </w:hyperlink>
    </w:p>
    <w:p w:rsidR="008725BE" w:rsidRPr="008725BE" w:rsidRDefault="008725BE" w:rsidP="008725BE">
      <w:pPr>
        <w:pStyle w:val="Sansinterligne"/>
        <w:rPr>
          <w:rFonts w:ascii="Garamond" w:hAnsi="Garamond"/>
          <w:color w:val="000000" w:themeColor="text1"/>
          <w:lang w:val="en-US"/>
        </w:rPr>
      </w:pPr>
      <w:r w:rsidRPr="008725BE">
        <w:rPr>
          <w:rFonts w:ascii="Garamond" w:hAnsi="Garamond"/>
          <w:caps/>
          <w:lang w:val="en-GB"/>
        </w:rPr>
        <w:t xml:space="preserve">1893  </w:t>
      </w:r>
      <w:hyperlink w:anchor="KS53" w:history="1">
        <w:r w:rsidRPr="008725BE">
          <w:rPr>
            <w:rStyle w:val="Lienhypertexte"/>
            <w:rFonts w:ascii="Garamond" w:hAnsi="Garamond"/>
            <w:lang w:val="en-GB"/>
          </w:rPr>
          <w:t>Über den psychischen Mechanismus hysterischer Phänomene</w:t>
        </w:r>
      </w:hyperlink>
    </w:p>
    <w:p w:rsidR="008725BE" w:rsidRDefault="008725BE" w:rsidP="008725BE">
      <w:pPr>
        <w:pStyle w:val="Sansinterligne"/>
      </w:pPr>
      <w:r w:rsidRPr="005C1841">
        <w:rPr>
          <w:rFonts w:ascii="Garamond" w:hAnsi="Garamond"/>
          <w:caps/>
        </w:rPr>
        <w:t xml:space="preserve">1895  </w:t>
      </w:r>
      <w:hyperlink w:anchor="KS55" w:history="1">
        <w:r w:rsidRPr="005C1841">
          <w:rPr>
            <w:rStyle w:val="Lienhypertexte"/>
            <w:rFonts w:ascii="Garamond" w:hAnsi="Garamond"/>
            <w:sz w:val="18"/>
            <w:szCs w:val="18"/>
          </w:rPr>
          <w:t>Über die Berechtigung, von der Neurasthenie einen bestimmten Symptomenkomplex als »Angstneurose« abzutrennen</w:t>
        </w:r>
      </w:hyperlink>
    </w:p>
    <w:p w:rsidR="0091528C" w:rsidRPr="005C1841" w:rsidRDefault="0091528C" w:rsidP="008725BE">
      <w:pPr>
        <w:pStyle w:val="Sansinterligne"/>
        <w:rPr>
          <w:rFonts w:ascii="Garamond" w:hAnsi="Garamond"/>
          <w:color w:val="000000" w:themeColor="text1"/>
          <w:sz w:val="18"/>
          <w:szCs w:val="18"/>
        </w:rPr>
      </w:pPr>
      <w:r w:rsidRPr="0091528C">
        <w:rPr>
          <w:rFonts w:ascii="Garamond" w:hAnsi="Garamond"/>
        </w:rPr>
        <w:t xml:space="preserve">1895  </w:t>
      </w:r>
      <w:hyperlink w:anchor="KS81" w:history="1">
        <w:r w:rsidRPr="0091528C">
          <w:rPr>
            <w:rStyle w:val="Lienhypertexte"/>
            <w:rFonts w:ascii="Garamond" w:hAnsi="Garamond" w:cs="Arial"/>
            <w:bCs/>
          </w:rPr>
          <w:t>Zur Psychotherapie der Hysterie</w:t>
        </w:r>
      </w:hyperlink>
    </w:p>
    <w:p w:rsidR="008725BE" w:rsidRPr="005C1841" w:rsidRDefault="008725BE" w:rsidP="008725BE">
      <w:pPr>
        <w:pStyle w:val="Sansinterligne"/>
        <w:rPr>
          <w:rFonts w:ascii="Garamond" w:hAnsi="Garamond"/>
        </w:rPr>
      </w:pPr>
      <w:r w:rsidRPr="005C1841">
        <w:rPr>
          <w:rFonts w:ascii="Garamond" w:hAnsi="Garamond"/>
          <w:caps/>
        </w:rPr>
        <w:t xml:space="preserve">1896  </w:t>
      </w:r>
      <w:hyperlink w:anchor="KS70" w:history="1">
        <w:r w:rsidRPr="005C1841">
          <w:rPr>
            <w:rStyle w:val="Lienhypertexte"/>
            <w:rFonts w:ascii="Garamond" w:hAnsi="Garamond"/>
          </w:rPr>
          <w:t>Zur Ätiologie der Hysterie</w:t>
        </w:r>
      </w:hyperlink>
    </w:p>
    <w:p w:rsidR="008725BE" w:rsidRPr="008725BE" w:rsidRDefault="008725BE" w:rsidP="008725BE">
      <w:pPr>
        <w:pStyle w:val="Sansinterligne"/>
        <w:rPr>
          <w:rFonts w:ascii="Garamond" w:hAnsi="Garamond"/>
        </w:rPr>
      </w:pPr>
      <w:r w:rsidRPr="008725BE">
        <w:rPr>
          <w:rFonts w:ascii="Garamond" w:hAnsi="Garamond"/>
          <w:caps/>
          <w:color w:val="000000"/>
        </w:rPr>
        <w:t xml:space="preserve">1898  </w:t>
      </w:r>
      <w:hyperlink w:anchor="KS25" w:history="1">
        <w:r w:rsidRPr="008725BE">
          <w:rPr>
            <w:rStyle w:val="Lienhypertexte"/>
            <w:rFonts w:ascii="Garamond" w:hAnsi="Garamond" w:cs="Arial"/>
            <w:bCs/>
          </w:rPr>
          <w:t>Die Sexualität in der Ätiologie der Neurosen</w:t>
        </w:r>
      </w:hyperlink>
    </w:p>
    <w:p w:rsidR="008725BE" w:rsidRPr="008725BE" w:rsidRDefault="008725BE" w:rsidP="008725BE">
      <w:pPr>
        <w:pStyle w:val="Sansinterligne"/>
        <w:rPr>
          <w:rFonts w:ascii="Garamond" w:hAnsi="Garamond"/>
          <w:caps/>
        </w:rPr>
      </w:pPr>
      <w:r w:rsidRPr="008725BE">
        <w:rPr>
          <w:rFonts w:ascii="Garamond" w:hAnsi="Garamond"/>
          <w:caps/>
          <w:color w:val="000000"/>
        </w:rPr>
        <w:t xml:space="preserve">1904  </w:t>
      </w:r>
      <w:hyperlink w:anchor="KS19" w:history="1">
        <w:r w:rsidRPr="008725BE">
          <w:rPr>
            <w:rStyle w:val="Lienhypertexte"/>
            <w:rFonts w:ascii="Garamond" w:hAnsi="Garamond" w:cs="Arial"/>
            <w:bCs/>
          </w:rPr>
          <w:t>Die Freudsche psychoanalytische Methode</w:t>
        </w:r>
      </w:hyperlink>
    </w:p>
    <w:p w:rsidR="008725BE" w:rsidRPr="008725BE" w:rsidRDefault="008725BE" w:rsidP="008725BE">
      <w:pPr>
        <w:pStyle w:val="Sansinterligne"/>
        <w:rPr>
          <w:rFonts w:ascii="Garamond" w:hAnsi="Garamond"/>
        </w:rPr>
      </w:pPr>
      <w:r w:rsidRPr="008725BE">
        <w:rPr>
          <w:rFonts w:ascii="Garamond" w:hAnsi="Garamond"/>
          <w:caps/>
        </w:rPr>
        <w:t xml:space="preserve">1905  </w:t>
      </w:r>
      <w:hyperlink w:anchor="KS63" w:history="1">
        <w:r w:rsidRPr="008725BE">
          <w:rPr>
            <w:rStyle w:val="Lienhypertexte"/>
            <w:rFonts w:ascii="Garamond" w:hAnsi="Garamond"/>
          </w:rPr>
          <w:t>Über Psychotherapie</w:t>
        </w:r>
      </w:hyperlink>
    </w:p>
    <w:p w:rsidR="008725BE" w:rsidRPr="008725BE" w:rsidRDefault="008725BE" w:rsidP="008725BE">
      <w:pPr>
        <w:pStyle w:val="Sansinterligne"/>
        <w:rPr>
          <w:rFonts w:ascii="Garamond" w:hAnsi="Garamond"/>
          <w:color w:val="000000" w:themeColor="text1"/>
        </w:rPr>
      </w:pPr>
      <w:r w:rsidRPr="008725BE">
        <w:rPr>
          <w:rFonts w:ascii="Garamond" w:hAnsi="Garamond"/>
          <w:caps/>
        </w:rPr>
        <w:t xml:space="preserve">1906  </w:t>
      </w:r>
      <w:hyperlink w:anchor="KS41" w:history="1">
        <w:r w:rsidRPr="008725BE">
          <w:rPr>
            <w:rStyle w:val="Lienhypertexte"/>
            <w:rFonts w:ascii="Garamond" w:hAnsi="Garamond"/>
          </w:rPr>
          <w:t>Meine Ansichten über die Rolle der Sexualität in der Ätiologie der Neurosen</w:t>
        </w:r>
      </w:hyperlink>
    </w:p>
    <w:p w:rsidR="008725BE" w:rsidRPr="008725BE" w:rsidRDefault="008725BE" w:rsidP="008725BE">
      <w:pPr>
        <w:pStyle w:val="Sansinterligne"/>
        <w:rPr>
          <w:rFonts w:ascii="Garamond" w:hAnsi="Garamond"/>
          <w:lang w:val="en-US"/>
        </w:rPr>
      </w:pPr>
      <w:r w:rsidRPr="008725BE">
        <w:rPr>
          <w:rFonts w:ascii="Garamond" w:hAnsi="Garamond"/>
          <w:caps/>
          <w:lang w:val="en-GB"/>
        </w:rPr>
        <w:t xml:space="preserve">1907  </w:t>
      </w:r>
      <w:hyperlink w:anchor="KS78" w:history="1">
        <w:r w:rsidRPr="008725BE">
          <w:rPr>
            <w:rStyle w:val="Lienhypertexte"/>
            <w:rFonts w:ascii="Garamond" w:hAnsi="Garamond"/>
            <w:lang w:val="en-US"/>
          </w:rPr>
          <w:t>Zwangshandlungen und Religionsübungen</w:t>
        </w:r>
      </w:hyperlink>
    </w:p>
    <w:p w:rsidR="008725BE" w:rsidRPr="005C1841" w:rsidRDefault="008725BE" w:rsidP="008725BE">
      <w:pPr>
        <w:pStyle w:val="Sansinterligne"/>
        <w:rPr>
          <w:lang w:val="en-US"/>
        </w:rPr>
      </w:pPr>
      <w:r w:rsidRPr="008725BE">
        <w:rPr>
          <w:rFonts w:ascii="Garamond" w:hAnsi="Garamond"/>
          <w:caps/>
          <w:lang w:val="en-US"/>
        </w:rPr>
        <w:t xml:space="preserve">1907  </w:t>
      </w:r>
      <w:hyperlink w:anchor="KS76" w:history="1">
        <w:r w:rsidRPr="008725BE">
          <w:rPr>
            <w:rStyle w:val="Lienhypertexte"/>
            <w:rFonts w:ascii="Garamond" w:hAnsi="Garamond"/>
            <w:lang w:val="en-US"/>
          </w:rPr>
          <w:t>Zur sexuellen Aufklärung der Kinder</w:t>
        </w:r>
      </w:hyperlink>
    </w:p>
    <w:p w:rsidR="00CF585F" w:rsidRPr="00CF585F" w:rsidRDefault="00CF585F" w:rsidP="008725BE">
      <w:pPr>
        <w:pStyle w:val="Sansinterligne"/>
        <w:rPr>
          <w:rFonts w:ascii="Garamond" w:hAnsi="Garamond"/>
          <w:color w:val="000000" w:themeColor="text1"/>
          <w:lang w:val="en-US"/>
        </w:rPr>
      </w:pPr>
      <w:r w:rsidRPr="00CF585F">
        <w:rPr>
          <w:rFonts w:ascii="Garamond" w:hAnsi="Garamond"/>
          <w:lang w:val="en-US"/>
        </w:rPr>
        <w:t xml:space="preserve">1907  </w:t>
      </w:r>
      <w:hyperlink w:anchor="KS82" w:history="1">
        <w:r w:rsidRPr="00CF585F">
          <w:rPr>
            <w:rStyle w:val="Lienhypertexte"/>
            <w:rFonts w:ascii="Garamond" w:hAnsi="Garamond" w:cs="Times-Bold"/>
            <w:bCs/>
            <w:lang w:val="en-US"/>
          </w:rPr>
          <w:t xml:space="preserve">Der Wahn und die Träume in W. Jensens </w:t>
        </w:r>
        <w:r w:rsidRPr="00CF585F">
          <w:rPr>
            <w:rStyle w:val="Lienhypertexte"/>
            <w:rFonts w:ascii="Garamond" w:hAnsi="Garamond"/>
            <w:i/>
            <w:iCs/>
            <w:lang w:val="en-US"/>
          </w:rPr>
          <w:t>"Gradiva"</w:t>
        </w:r>
      </w:hyperlink>
    </w:p>
    <w:p w:rsidR="008725BE" w:rsidRPr="008725BE" w:rsidRDefault="008725BE" w:rsidP="008725BE">
      <w:pPr>
        <w:pStyle w:val="Sansinterligne"/>
        <w:rPr>
          <w:rFonts w:ascii="Garamond" w:hAnsi="Garamond"/>
        </w:rPr>
      </w:pPr>
      <w:r w:rsidRPr="008725BE">
        <w:rPr>
          <w:rFonts w:ascii="Garamond" w:hAnsi="Garamond"/>
          <w:caps/>
        </w:rPr>
        <w:t xml:space="preserve">1908  </w:t>
      </w:r>
      <w:hyperlink w:anchor="KS60" w:history="1">
        <w:r w:rsidRPr="008725BE">
          <w:rPr>
            <w:rStyle w:val="Lienhypertexte"/>
            <w:rFonts w:ascii="Garamond" w:hAnsi="Garamond"/>
          </w:rPr>
          <w:t>Über infantile Sexualtheorien</w:t>
        </w:r>
      </w:hyperlink>
    </w:p>
    <w:p w:rsidR="008725BE" w:rsidRPr="008725BE" w:rsidRDefault="008725BE" w:rsidP="008725BE">
      <w:pPr>
        <w:pStyle w:val="Sansinterligne"/>
        <w:rPr>
          <w:rFonts w:ascii="Garamond" w:hAnsi="Garamond"/>
        </w:rPr>
      </w:pPr>
      <w:r w:rsidRPr="008725BE">
        <w:rPr>
          <w:rFonts w:ascii="Garamond" w:hAnsi="Garamond"/>
          <w:caps/>
          <w:color w:val="000000"/>
        </w:rPr>
        <w:t xml:space="preserve">1908  </w:t>
      </w:r>
      <w:hyperlink w:anchor="KS11" w:history="1">
        <w:r w:rsidRPr="008725BE">
          <w:rPr>
            <w:rStyle w:val="Lienhypertexte"/>
            <w:rFonts w:ascii="Garamond" w:hAnsi="Garamond" w:cs="Arial"/>
            <w:bCs/>
          </w:rPr>
          <w:t>Der Dichter und das Phantasieren</w:t>
        </w:r>
      </w:hyperlink>
    </w:p>
    <w:p w:rsidR="008725BE" w:rsidRPr="008725BE" w:rsidRDefault="008725BE" w:rsidP="008725BE">
      <w:pPr>
        <w:pStyle w:val="Sansinterligne"/>
        <w:rPr>
          <w:rFonts w:ascii="Garamond" w:hAnsi="Garamond"/>
          <w:color w:val="003399"/>
        </w:rPr>
      </w:pPr>
      <w:r w:rsidRPr="008725BE">
        <w:rPr>
          <w:rFonts w:ascii="Garamond" w:hAnsi="Garamond"/>
          <w:caps/>
          <w:color w:val="000000"/>
        </w:rPr>
        <w:t xml:space="preserve">1908  </w:t>
      </w:r>
      <w:hyperlink w:anchor="KS17" w:history="1">
        <w:r w:rsidRPr="008725BE">
          <w:rPr>
            <w:rStyle w:val="Lienhypertexte"/>
            <w:rFonts w:ascii="Garamond" w:hAnsi="Garamond" w:cs="Arial"/>
            <w:bCs/>
          </w:rPr>
          <w:t>Die « kulturelle » Sexualmoral und die moderne Nervosität</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GB"/>
        </w:rPr>
        <w:t xml:space="preserve">1908  </w:t>
      </w:r>
      <w:hyperlink w:anchor="KS5" w:history="1">
        <w:r w:rsidRPr="008725BE">
          <w:rPr>
            <w:rStyle w:val="Lienhypertexte"/>
            <w:rFonts w:ascii="Garamond" w:hAnsi="Garamond" w:cs="Arial"/>
            <w:bCs/>
            <w:lang w:val="en-US"/>
          </w:rPr>
          <w:t>Charakter und Analerotik</w:t>
        </w:r>
      </w:hyperlink>
    </w:p>
    <w:p w:rsidR="008725BE" w:rsidRPr="008725BE" w:rsidRDefault="008725BE" w:rsidP="008725BE">
      <w:pPr>
        <w:pStyle w:val="Sansinterligne"/>
        <w:rPr>
          <w:rFonts w:ascii="Garamond" w:hAnsi="Garamond"/>
          <w:color w:val="000000" w:themeColor="text1"/>
          <w:lang w:val="en-US"/>
        </w:rPr>
      </w:pPr>
      <w:r w:rsidRPr="008725BE">
        <w:rPr>
          <w:rFonts w:ascii="Garamond" w:hAnsi="Garamond"/>
          <w:caps/>
          <w:color w:val="000000"/>
          <w:lang w:val="en-GB"/>
        </w:rPr>
        <w:t xml:space="preserve">1908  </w:t>
      </w:r>
      <w:hyperlink w:anchor="KS40" w:history="1">
        <w:r w:rsidRPr="008725BE">
          <w:rPr>
            <w:rStyle w:val="Lienhypertexte"/>
            <w:rFonts w:ascii="Garamond" w:hAnsi="Garamond" w:cs="Arial"/>
            <w:bCs/>
            <w:lang w:val="en-US"/>
          </w:rPr>
          <w:t>Hysterische Phantasien und ihre Beziehung zur Bisexualität</w:t>
        </w:r>
      </w:hyperlink>
    </w:p>
    <w:p w:rsidR="008725BE" w:rsidRPr="008725BE" w:rsidRDefault="008725BE" w:rsidP="008725BE">
      <w:pPr>
        <w:pStyle w:val="Sansinterligne"/>
        <w:rPr>
          <w:rFonts w:ascii="Garamond" w:hAnsi="Garamond"/>
          <w:color w:val="003399"/>
          <w:lang w:val="en-US"/>
        </w:rPr>
      </w:pPr>
      <w:r w:rsidRPr="008725BE">
        <w:rPr>
          <w:rFonts w:ascii="Garamond" w:hAnsi="Garamond"/>
          <w:color w:val="000000" w:themeColor="text1"/>
          <w:lang w:val="en-US"/>
        </w:rPr>
        <w:t>1909</w:t>
      </w:r>
      <w:r w:rsidRPr="008725BE">
        <w:rPr>
          <w:rFonts w:ascii="Garamond" w:hAnsi="Garamond"/>
          <w:color w:val="003399"/>
          <w:lang w:val="en-US"/>
        </w:rPr>
        <w:t xml:space="preserve">  </w:t>
      </w:r>
      <w:hyperlink w:anchor="KS1" w:history="1">
        <w:r w:rsidRPr="008725BE">
          <w:rPr>
            <w:rStyle w:val="Lienhypertexte"/>
            <w:rFonts w:ascii="Garamond" w:hAnsi="Garamond" w:cs="Arial"/>
            <w:bCs/>
            <w:lang w:val="en-US"/>
          </w:rPr>
          <w:t>Allgemeines über den hysterischen Anfall</w:t>
        </w:r>
      </w:hyperlink>
      <w:r w:rsidRPr="008725BE">
        <w:rPr>
          <w:rFonts w:ascii="Garamond" w:hAnsi="Garamond"/>
          <w:color w:val="003399"/>
          <w:lang w:val="en-US"/>
        </w:rPr>
        <w:t xml:space="preserve"> </w:t>
      </w:r>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US"/>
        </w:rPr>
        <w:t xml:space="preserve">1909  </w:t>
      </w:r>
      <w:hyperlink w:anchor="KS12" w:history="1">
        <w:r w:rsidRPr="008725BE">
          <w:rPr>
            <w:rStyle w:val="Lienhypertexte"/>
            <w:rFonts w:ascii="Garamond" w:hAnsi="Garamond" w:cs="Arial"/>
            <w:bCs/>
            <w:lang w:val="en-US"/>
          </w:rPr>
          <w:t>Der Familienroman der Neurotiker</w:t>
        </w:r>
      </w:hyperlink>
    </w:p>
    <w:p w:rsidR="008725BE" w:rsidRPr="008725BE" w:rsidRDefault="008725BE" w:rsidP="008725BE">
      <w:pPr>
        <w:pStyle w:val="Sansinterligne"/>
        <w:rPr>
          <w:rFonts w:ascii="Garamond" w:hAnsi="Garamond"/>
          <w:lang w:val="en-US"/>
        </w:rPr>
      </w:pPr>
      <w:r w:rsidRPr="008725BE">
        <w:rPr>
          <w:rFonts w:ascii="Garamond" w:hAnsi="Garamond"/>
          <w:caps/>
          <w:lang w:val="en-US"/>
        </w:rPr>
        <w:t xml:space="preserve">1910  </w:t>
      </w:r>
      <w:hyperlink w:anchor="KS65" w:history="1">
        <w:r w:rsidRPr="008725BE">
          <w:rPr>
            <w:rStyle w:val="Lienhypertexte"/>
            <w:rFonts w:ascii="Garamond" w:hAnsi="Garamond"/>
            <w:lang w:val="en-US"/>
          </w:rPr>
          <w:t>Über « wilde » Psychoanalyse</w:t>
        </w:r>
      </w:hyperlink>
    </w:p>
    <w:p w:rsidR="008725BE" w:rsidRPr="008725BE" w:rsidRDefault="008725BE" w:rsidP="008725BE">
      <w:pPr>
        <w:pStyle w:val="Sansinterligne"/>
        <w:rPr>
          <w:rFonts w:ascii="Garamond" w:hAnsi="Garamond"/>
          <w:lang w:val="en-US"/>
        </w:rPr>
      </w:pPr>
      <w:r w:rsidRPr="008725BE">
        <w:rPr>
          <w:rFonts w:ascii="Garamond" w:hAnsi="Garamond"/>
          <w:caps/>
          <w:lang w:val="en-GB"/>
        </w:rPr>
        <w:t xml:space="preserve">1910  </w:t>
      </w:r>
      <w:hyperlink w:anchor="KS52" w:history="1">
        <w:r w:rsidRPr="008725BE">
          <w:rPr>
            <w:rStyle w:val="Lienhypertexte"/>
            <w:rFonts w:ascii="Garamond" w:hAnsi="Garamond"/>
            <w:lang w:val="en-US"/>
          </w:rPr>
          <w:t>Über den Gegensinn der Urworte</w:t>
        </w:r>
      </w:hyperlink>
    </w:p>
    <w:p w:rsidR="008725BE" w:rsidRPr="008725BE" w:rsidRDefault="008725BE" w:rsidP="008725BE">
      <w:pPr>
        <w:pStyle w:val="Sansinterligne"/>
        <w:rPr>
          <w:rFonts w:ascii="Garamond" w:hAnsi="Garamond"/>
          <w:lang w:val="en-GB"/>
        </w:rPr>
      </w:pPr>
      <w:r w:rsidRPr="008725BE">
        <w:rPr>
          <w:rFonts w:ascii="Garamond" w:hAnsi="Garamond"/>
          <w:caps/>
          <w:lang w:val="en-US"/>
        </w:rPr>
        <w:t xml:space="preserve">1910  </w:t>
      </w:r>
      <w:hyperlink w:anchor="KS58" w:history="1">
        <w:r w:rsidRPr="008725BE">
          <w:rPr>
            <w:rStyle w:val="Lienhypertexte"/>
            <w:rFonts w:ascii="Garamond" w:hAnsi="Garamond"/>
            <w:lang w:val="en-US"/>
          </w:rPr>
          <w:t>Über einen besonderen Typus der Objektwahl beim Manne</w:t>
        </w:r>
      </w:hyperlink>
    </w:p>
    <w:p w:rsidR="008725BE" w:rsidRPr="008725BE" w:rsidRDefault="008725BE" w:rsidP="008725BE">
      <w:pPr>
        <w:pStyle w:val="Sansinterligne"/>
        <w:rPr>
          <w:rFonts w:ascii="Garamond" w:hAnsi="Garamond"/>
          <w:color w:val="003399"/>
        </w:rPr>
      </w:pPr>
      <w:r w:rsidRPr="008725BE">
        <w:rPr>
          <w:rFonts w:ascii="Garamond" w:hAnsi="Garamond"/>
          <w:caps/>
          <w:color w:val="000000"/>
        </w:rPr>
        <w:t xml:space="preserve">1910  </w:t>
      </w:r>
      <w:hyperlink w:anchor="KS28" w:history="1">
        <w:r w:rsidRPr="008725BE">
          <w:rPr>
            <w:rStyle w:val="Lienhypertexte"/>
            <w:rFonts w:ascii="Garamond" w:hAnsi="Garamond" w:cs="Arial"/>
            <w:bCs/>
          </w:rPr>
          <w:t>Die zukünftigen Chancen der psychoanalytischen Therapie</w:t>
        </w:r>
      </w:hyperlink>
    </w:p>
    <w:p w:rsidR="008725BE" w:rsidRDefault="008725BE" w:rsidP="008725BE">
      <w:pPr>
        <w:pStyle w:val="Sansinterligne"/>
      </w:pPr>
      <w:r w:rsidRPr="008725BE">
        <w:rPr>
          <w:rFonts w:ascii="Garamond" w:hAnsi="Garamond"/>
          <w:caps/>
          <w:color w:val="000000"/>
        </w:rPr>
        <w:t xml:space="preserve">1910  </w:t>
      </w:r>
      <w:hyperlink w:anchor="KS24" w:history="1">
        <w:r w:rsidRPr="008725BE">
          <w:rPr>
            <w:rStyle w:val="Lienhypertexte"/>
            <w:rFonts w:ascii="Garamond" w:hAnsi="Garamond" w:cs="Arial"/>
            <w:bCs/>
          </w:rPr>
          <w:t>Die psychogene Sehstörung in psychoanalytischer Auffassung</w:t>
        </w:r>
      </w:hyperlink>
    </w:p>
    <w:p w:rsidR="002E0E50" w:rsidRPr="002E0E50" w:rsidRDefault="002E0E50" w:rsidP="008725BE">
      <w:pPr>
        <w:pStyle w:val="Sansinterligne"/>
        <w:rPr>
          <w:rFonts w:ascii="Garamond" w:hAnsi="Garamond"/>
          <w:color w:val="003399"/>
        </w:rPr>
      </w:pPr>
      <w:r w:rsidRPr="002E0E50">
        <w:rPr>
          <w:rFonts w:ascii="Garamond" w:hAnsi="Garamond"/>
        </w:rPr>
        <w:t xml:space="preserve">1910  </w:t>
      </w:r>
      <w:hyperlink w:anchor="KS80" w:history="1">
        <w:r w:rsidRPr="002E0E50">
          <w:rPr>
            <w:rStyle w:val="Lienhypertexte"/>
            <w:rFonts w:ascii="Garamond" w:hAnsi="Garamond" w:cs="Arial"/>
            <w:bCs/>
          </w:rPr>
          <w:t>Über Psychoanalyse</w:t>
        </w:r>
      </w:hyperlink>
    </w:p>
    <w:p w:rsidR="008725BE" w:rsidRPr="008725BE" w:rsidRDefault="008725BE" w:rsidP="008725BE">
      <w:pPr>
        <w:pStyle w:val="Sansinterligne"/>
        <w:rPr>
          <w:rFonts w:ascii="Garamond" w:hAnsi="Garamond"/>
          <w:color w:val="003399"/>
        </w:rPr>
      </w:pPr>
      <w:r w:rsidRPr="008725BE">
        <w:rPr>
          <w:rFonts w:ascii="Garamond" w:hAnsi="Garamond"/>
          <w:caps/>
          <w:color w:val="000000"/>
        </w:rPr>
        <w:t xml:space="preserve">1911  </w:t>
      </w:r>
      <w:hyperlink w:anchor="KS38" w:history="1">
        <w:r w:rsidRPr="008725BE">
          <w:rPr>
            <w:rStyle w:val="Lienhypertexte"/>
            <w:rFonts w:ascii="Garamond" w:hAnsi="Garamond" w:cs="Arial"/>
            <w:bCs/>
          </w:rPr>
          <w:t>Formulierungen über die zwei Prinzipien des psychischen Geschehens</w:t>
        </w:r>
      </w:hyperlink>
    </w:p>
    <w:p w:rsidR="008725BE" w:rsidRPr="008725BE" w:rsidRDefault="008725BE" w:rsidP="008725BE">
      <w:pPr>
        <w:pStyle w:val="Sansinterligne"/>
        <w:rPr>
          <w:rFonts w:ascii="Garamond" w:hAnsi="Garamond"/>
          <w:color w:val="003399"/>
        </w:rPr>
      </w:pPr>
      <w:r w:rsidRPr="008725BE">
        <w:rPr>
          <w:rFonts w:ascii="Garamond" w:hAnsi="Garamond"/>
          <w:caps/>
          <w:color w:val="000000"/>
        </w:rPr>
        <w:t xml:space="preserve">1911  </w:t>
      </w:r>
      <w:hyperlink w:anchor="KS20" w:history="1">
        <w:r w:rsidRPr="008725BE">
          <w:rPr>
            <w:rStyle w:val="Lienhypertexte"/>
            <w:rFonts w:ascii="Garamond" w:hAnsi="Garamond" w:cs="Arial"/>
            <w:bCs/>
          </w:rPr>
          <w:t>Die Handhabung der Traumdeutung in der Psychoanalyse</w:t>
        </w:r>
      </w:hyperlink>
      <w:r w:rsidRPr="008725BE">
        <w:rPr>
          <w:rFonts w:ascii="Garamond" w:hAnsi="Garamond"/>
          <w:color w:val="003399"/>
        </w:rPr>
        <w:t xml:space="preserve"> </w:t>
      </w:r>
    </w:p>
    <w:p w:rsidR="008725BE" w:rsidRPr="008725BE" w:rsidRDefault="008725BE" w:rsidP="008725BE">
      <w:pPr>
        <w:pStyle w:val="Sansinterligne"/>
        <w:rPr>
          <w:rFonts w:ascii="Garamond" w:hAnsi="Garamond"/>
        </w:rPr>
      </w:pPr>
      <w:r w:rsidRPr="008725BE">
        <w:rPr>
          <w:rFonts w:ascii="Garamond" w:hAnsi="Garamond"/>
          <w:caps/>
        </w:rPr>
        <w:t xml:space="preserve">1912  </w:t>
      </w:r>
      <w:hyperlink w:anchor="KS62" w:history="1">
        <w:r w:rsidRPr="008725BE">
          <w:rPr>
            <w:rStyle w:val="Lienhypertexte"/>
            <w:rFonts w:ascii="Garamond" w:hAnsi="Garamond"/>
          </w:rPr>
          <w:t>Über neurotische Erkrankungstypen</w:t>
        </w:r>
      </w:hyperlink>
    </w:p>
    <w:p w:rsidR="008725BE" w:rsidRPr="008725BE" w:rsidRDefault="008725BE" w:rsidP="008725BE">
      <w:pPr>
        <w:pStyle w:val="Sansinterligne"/>
        <w:rPr>
          <w:rFonts w:ascii="Garamond" w:hAnsi="Garamond"/>
        </w:rPr>
      </w:pPr>
      <w:r w:rsidRPr="008725BE">
        <w:rPr>
          <w:rFonts w:ascii="Garamond" w:hAnsi="Garamond"/>
          <w:caps/>
        </w:rPr>
        <w:t xml:space="preserve">1912  </w:t>
      </w:r>
      <w:hyperlink w:anchor="KS49" w:history="1">
        <w:r w:rsidRPr="008725BE">
          <w:rPr>
            <w:rStyle w:val="Lienhypertexte"/>
            <w:rFonts w:ascii="Garamond" w:hAnsi="Garamond"/>
          </w:rPr>
          <w:t>Ratschläge für den Arzt bei der psychoanalytischen Behandlung</w:t>
        </w:r>
      </w:hyperlink>
    </w:p>
    <w:p w:rsidR="008725BE" w:rsidRPr="008725BE" w:rsidRDefault="008725BE" w:rsidP="008725BE">
      <w:pPr>
        <w:pStyle w:val="Sansinterligne"/>
        <w:rPr>
          <w:rFonts w:ascii="Garamond" w:hAnsi="Garamond"/>
          <w:color w:val="003399"/>
        </w:rPr>
      </w:pPr>
      <w:r w:rsidRPr="008725BE">
        <w:rPr>
          <w:rFonts w:ascii="Garamond" w:hAnsi="Garamond"/>
          <w:caps/>
        </w:rPr>
        <w:t xml:space="preserve">1912  </w:t>
      </w:r>
      <w:hyperlink w:anchor="KS71" w:history="1">
        <w:r w:rsidRPr="008725BE">
          <w:rPr>
            <w:rStyle w:val="Lienhypertexte"/>
            <w:rFonts w:ascii="Garamond" w:hAnsi="Garamond"/>
          </w:rPr>
          <w:t>Zur Dynamik der Übertragung</w:t>
        </w:r>
      </w:hyperlink>
      <w:r w:rsidRPr="008725BE">
        <w:rPr>
          <w:rFonts w:ascii="Garamond" w:hAnsi="Garamond"/>
          <w:color w:val="003399"/>
        </w:rPr>
        <w:t xml:space="preserve"> </w:t>
      </w:r>
    </w:p>
    <w:p w:rsidR="008725BE" w:rsidRPr="008725BE" w:rsidRDefault="008725BE" w:rsidP="008725BE">
      <w:pPr>
        <w:pStyle w:val="Sansinterligne"/>
        <w:rPr>
          <w:rFonts w:ascii="Garamond" w:hAnsi="Garamond"/>
        </w:rPr>
      </w:pPr>
      <w:r w:rsidRPr="008725BE">
        <w:rPr>
          <w:rFonts w:ascii="Garamond" w:hAnsi="Garamond"/>
          <w:caps/>
        </w:rPr>
        <w:t xml:space="preserve">1912  </w:t>
      </w:r>
      <w:hyperlink w:anchor="KS54" w:history="1">
        <w:r w:rsidRPr="008725BE">
          <w:rPr>
            <w:rStyle w:val="Lienhypertexte"/>
            <w:rFonts w:ascii="Garamond" w:hAnsi="Garamond"/>
          </w:rPr>
          <w:t>Über die allgemeinste Erniedrigung des Liebeslebens</w:t>
        </w:r>
      </w:hyperlink>
    </w:p>
    <w:p w:rsidR="008725BE" w:rsidRPr="008725BE" w:rsidRDefault="008725BE" w:rsidP="008725BE">
      <w:pPr>
        <w:pStyle w:val="Sansinterligne"/>
        <w:rPr>
          <w:rFonts w:ascii="Garamond" w:hAnsi="Garamond"/>
          <w:color w:val="000000"/>
        </w:rPr>
      </w:pPr>
      <w:r w:rsidRPr="008725BE">
        <w:rPr>
          <w:rFonts w:ascii="Garamond" w:hAnsi="Garamond"/>
          <w:caps/>
          <w:color w:val="000000"/>
        </w:rPr>
        <w:t xml:space="preserve">1912  </w:t>
      </w:r>
      <w:hyperlink w:anchor="KS33" w:history="1">
        <w:r w:rsidRPr="008725BE">
          <w:rPr>
            <w:rStyle w:val="Lienhypertexte"/>
            <w:rFonts w:ascii="Garamond" w:hAnsi="Garamond" w:cs="Arial"/>
            <w:bCs/>
          </w:rPr>
          <w:t>Einige Bemerkungen über den Begriff des Unbewußten in der Psychoanalyse</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US"/>
        </w:rPr>
        <w:t xml:space="preserve">1913  </w:t>
      </w:r>
      <w:hyperlink w:anchor="KS6" w:history="1">
        <w:r w:rsidRPr="008725BE">
          <w:rPr>
            <w:rStyle w:val="Lienhypertexte"/>
            <w:rFonts w:ascii="Garamond" w:hAnsi="Garamond" w:cs="Arial"/>
            <w:bCs/>
            <w:lang w:val="en-US"/>
          </w:rPr>
          <w:t>Das Motiv der Kästchenwahl</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US"/>
        </w:rPr>
        <w:t xml:space="preserve">1913  </w:t>
      </w:r>
      <w:hyperlink w:anchor="KS18" w:history="1">
        <w:r w:rsidRPr="008725BE">
          <w:rPr>
            <w:rStyle w:val="Lienhypertexte"/>
            <w:rFonts w:ascii="Garamond" w:hAnsi="Garamond" w:cs="Arial"/>
            <w:bCs/>
            <w:lang w:val="en-US"/>
          </w:rPr>
          <w:t>Die Disposition zur Zwangsneurose</w:t>
        </w:r>
      </w:hyperlink>
    </w:p>
    <w:p w:rsidR="008725BE" w:rsidRPr="008725BE" w:rsidRDefault="008725BE" w:rsidP="008725BE">
      <w:pPr>
        <w:pStyle w:val="Sansinterligne"/>
        <w:rPr>
          <w:rFonts w:ascii="Garamond" w:hAnsi="Garamond"/>
          <w:lang w:val="en-US"/>
        </w:rPr>
      </w:pPr>
      <w:r w:rsidRPr="008725BE">
        <w:rPr>
          <w:rFonts w:ascii="Garamond" w:hAnsi="Garamond"/>
          <w:caps/>
          <w:lang w:val="en-GB"/>
        </w:rPr>
        <w:t xml:space="preserve">1913  </w:t>
      </w:r>
      <w:hyperlink w:anchor="KS79" w:history="1">
        <w:r w:rsidRPr="008725BE">
          <w:rPr>
            <w:rStyle w:val="Lienhypertexte"/>
            <w:rFonts w:ascii="Garamond" w:hAnsi="Garamond"/>
            <w:lang w:val="en-US"/>
          </w:rPr>
          <w:t>Zwei Kinderlügen</w:t>
        </w:r>
      </w:hyperlink>
    </w:p>
    <w:p w:rsidR="008725BE" w:rsidRPr="008725BE" w:rsidRDefault="008725BE" w:rsidP="008725BE">
      <w:pPr>
        <w:pStyle w:val="Sansinterligne"/>
        <w:rPr>
          <w:rFonts w:ascii="Garamond" w:hAnsi="Garamond"/>
          <w:lang w:val="en-US"/>
        </w:rPr>
      </w:pPr>
      <w:r w:rsidRPr="008725BE">
        <w:rPr>
          <w:rFonts w:ascii="Garamond" w:hAnsi="Garamond"/>
          <w:caps/>
          <w:lang w:val="en-GB"/>
        </w:rPr>
        <w:t xml:space="preserve">1913  </w:t>
      </w:r>
      <w:hyperlink w:anchor="KS73" w:history="1">
        <w:r w:rsidRPr="008725BE">
          <w:rPr>
            <w:rStyle w:val="Lienhypertexte"/>
            <w:rFonts w:ascii="Garamond" w:hAnsi="Garamond"/>
            <w:lang w:val="en-US"/>
          </w:rPr>
          <w:t>Zur Einleitung der Behandlung</w:t>
        </w:r>
      </w:hyperlink>
    </w:p>
    <w:p w:rsidR="008725BE" w:rsidRPr="004E00C6" w:rsidRDefault="008725BE" w:rsidP="008725BE">
      <w:pPr>
        <w:pStyle w:val="Sansinterligne"/>
        <w:rPr>
          <w:lang w:val="en-US"/>
        </w:rPr>
      </w:pPr>
      <w:r w:rsidRPr="004E00C6">
        <w:rPr>
          <w:rFonts w:ascii="Garamond" w:hAnsi="Garamond"/>
          <w:caps/>
          <w:lang w:val="en-US"/>
        </w:rPr>
        <w:t xml:space="preserve">1914  </w:t>
      </w:r>
      <w:hyperlink w:anchor="KS72" w:history="1">
        <w:r w:rsidRPr="004E00C6">
          <w:rPr>
            <w:rStyle w:val="Lienhypertexte"/>
            <w:rFonts w:ascii="Garamond" w:hAnsi="Garamond"/>
            <w:lang w:val="en-US"/>
          </w:rPr>
          <w:t>Zur Einführung des Narzißmus</w:t>
        </w:r>
      </w:hyperlink>
    </w:p>
    <w:p w:rsidR="005E1D01" w:rsidRPr="004E00C6" w:rsidRDefault="005E1D01" w:rsidP="008725BE">
      <w:pPr>
        <w:pStyle w:val="Sansinterligne"/>
        <w:rPr>
          <w:rFonts w:ascii="Garamond" w:hAnsi="Garamond"/>
          <w:color w:val="003399"/>
          <w:lang w:val="en-US"/>
        </w:rPr>
      </w:pPr>
      <w:r w:rsidRPr="004E00C6">
        <w:rPr>
          <w:rFonts w:ascii="Garamond" w:hAnsi="Garamond"/>
          <w:lang w:val="en-US"/>
        </w:rPr>
        <w:t>1914</w:t>
      </w:r>
      <w:r w:rsidRPr="004E00C6">
        <w:rPr>
          <w:lang w:val="en-US"/>
        </w:rPr>
        <w:t xml:space="preserve">  </w:t>
      </w:r>
      <w:hyperlink w:anchor="F25" w:history="1">
        <w:r w:rsidRPr="005E1D01">
          <w:rPr>
            <w:rStyle w:val="Lienhypertexte"/>
            <w:rFonts w:ascii="Garamond" w:hAnsi="Garamond"/>
            <w:bCs/>
            <w:lang w:val="en-US"/>
          </w:rPr>
          <w:t>Zur Geschichte der psychoanalytischen Bewegung</w:t>
        </w:r>
      </w:hyperlink>
    </w:p>
    <w:p w:rsidR="008725BE" w:rsidRPr="008725BE" w:rsidRDefault="008725BE" w:rsidP="008725BE">
      <w:pPr>
        <w:pStyle w:val="Sansinterligne"/>
        <w:rPr>
          <w:rFonts w:ascii="Garamond" w:hAnsi="Garamond"/>
          <w:color w:val="000000"/>
        </w:rPr>
      </w:pPr>
      <w:r w:rsidRPr="008725BE">
        <w:rPr>
          <w:rFonts w:ascii="Garamond" w:hAnsi="Garamond"/>
          <w:caps/>
        </w:rPr>
        <w:t xml:space="preserve">1914  </w:t>
      </w:r>
      <w:hyperlink w:anchor="KS75" w:history="1">
        <w:r w:rsidRPr="008725BE">
          <w:rPr>
            <w:rStyle w:val="Lienhypertexte"/>
            <w:rFonts w:ascii="Garamond" w:hAnsi="Garamond"/>
          </w:rPr>
          <w:t>Zur Psychologie des Gymnasiasten</w:t>
        </w:r>
      </w:hyperlink>
      <w:r w:rsidRPr="008725BE">
        <w:rPr>
          <w:rFonts w:ascii="Garamond" w:hAnsi="Garamond"/>
          <w:color w:val="003399"/>
        </w:rPr>
        <w:t xml:space="preserve"> </w:t>
      </w:r>
    </w:p>
    <w:p w:rsidR="008725BE" w:rsidRPr="004E00C6" w:rsidRDefault="008725BE" w:rsidP="008725BE">
      <w:pPr>
        <w:pStyle w:val="Sansinterligne"/>
        <w:rPr>
          <w:rFonts w:ascii="Garamond" w:hAnsi="Garamond"/>
          <w:color w:val="003399"/>
        </w:rPr>
      </w:pPr>
      <w:r w:rsidRPr="004E00C6">
        <w:rPr>
          <w:rFonts w:ascii="Garamond" w:hAnsi="Garamond"/>
          <w:caps/>
          <w:color w:val="000000"/>
        </w:rPr>
        <w:t xml:space="preserve">1914  </w:t>
      </w:r>
      <w:hyperlink w:anchor="KS14" w:history="1">
        <w:r w:rsidRPr="004E00C6">
          <w:rPr>
            <w:rStyle w:val="Lienhypertexte"/>
            <w:rFonts w:ascii="Garamond" w:hAnsi="Garamond" w:cs="Arial"/>
            <w:bCs/>
          </w:rPr>
          <w:t>Der Moses des Michelangelo</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GB"/>
        </w:rPr>
        <w:t xml:space="preserve">1914  </w:t>
      </w:r>
      <w:hyperlink w:anchor="KS36" w:history="1">
        <w:r w:rsidRPr="008725BE">
          <w:rPr>
            <w:rStyle w:val="Lienhypertexte"/>
            <w:rFonts w:ascii="Garamond" w:hAnsi="Garamond" w:cs="Arial"/>
            <w:bCs/>
            <w:lang w:val="en-US"/>
          </w:rPr>
          <w:t>Erinnern, Wiederholen und Durcharbeiten</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US"/>
        </w:rPr>
        <w:t xml:space="preserve">1915  </w:t>
      </w:r>
      <w:hyperlink w:anchor="KS9" w:history="1">
        <w:r w:rsidRPr="008725BE">
          <w:rPr>
            <w:rStyle w:val="Lienhypertexte"/>
            <w:rFonts w:ascii="Garamond" w:hAnsi="Garamond" w:cs="Arial"/>
            <w:bCs/>
            <w:lang w:val="en-US"/>
          </w:rPr>
          <w:t>Das Unbewußte</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GB"/>
        </w:rPr>
        <w:t xml:space="preserve">1915  </w:t>
      </w:r>
      <w:hyperlink w:anchor="KS26" w:history="1">
        <w:r w:rsidRPr="008725BE">
          <w:rPr>
            <w:rStyle w:val="Lienhypertexte"/>
            <w:rFonts w:ascii="Garamond" w:hAnsi="Garamond" w:cs="Arial"/>
            <w:bCs/>
            <w:lang w:val="en-US"/>
          </w:rPr>
          <w:t>Die Verdrängung</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lang w:val="en-GB"/>
        </w:rPr>
        <w:t xml:space="preserve">1915  </w:t>
      </w:r>
      <w:hyperlink w:anchor="KS51" w:history="1">
        <w:r w:rsidRPr="008725BE">
          <w:rPr>
            <w:rStyle w:val="Lienhypertexte"/>
            <w:rFonts w:ascii="Garamond" w:hAnsi="Garamond"/>
            <w:lang w:val="en-US"/>
          </w:rPr>
          <w:t>Triebe und Triebschicksale</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GB"/>
        </w:rPr>
        <w:t xml:space="preserve">1915  </w:t>
      </w:r>
      <w:hyperlink w:anchor="KS2" w:history="1">
        <w:r w:rsidRPr="008725BE">
          <w:rPr>
            <w:rStyle w:val="Lienhypertexte"/>
            <w:rFonts w:ascii="Garamond" w:hAnsi="Garamond" w:cs="Arial"/>
            <w:bCs/>
            <w:lang w:val="en-US"/>
          </w:rPr>
          <w:t>Bemerkungen über die Übertragungsliebe</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lang w:val="en-GB"/>
        </w:rPr>
        <w:t xml:space="preserve">1915  </w:t>
      </w:r>
      <w:hyperlink w:anchor="KS69" w:history="1">
        <w:r w:rsidRPr="008725BE">
          <w:rPr>
            <w:rStyle w:val="Lienhypertexte"/>
            <w:rFonts w:ascii="Garamond" w:hAnsi="Garamond"/>
            <w:lang w:val="en-US"/>
          </w:rPr>
          <w:t>Zeitgemäßes über Krieg und Tod</w:t>
        </w:r>
      </w:hyperlink>
      <w:r w:rsidRPr="008725BE">
        <w:rPr>
          <w:rFonts w:ascii="Garamond" w:hAnsi="Garamond"/>
          <w:color w:val="003399"/>
          <w:lang w:val="en-US"/>
        </w:rPr>
        <w:t xml:space="preserve"> </w:t>
      </w:r>
    </w:p>
    <w:p w:rsidR="008725BE" w:rsidRPr="008725BE" w:rsidRDefault="008725BE" w:rsidP="008725BE">
      <w:pPr>
        <w:pStyle w:val="Sansinterligne"/>
        <w:rPr>
          <w:rFonts w:ascii="Garamond" w:hAnsi="Garamond"/>
          <w:color w:val="000000"/>
          <w:lang w:val="en-US"/>
        </w:rPr>
      </w:pPr>
      <w:r w:rsidRPr="008725BE">
        <w:rPr>
          <w:rFonts w:ascii="Garamond" w:hAnsi="Garamond"/>
          <w:caps/>
          <w:lang w:val="en-US"/>
        </w:rPr>
        <w:t xml:space="preserve">1915  </w:t>
      </w:r>
      <w:hyperlink w:anchor="KS42" w:history="1">
        <w:r w:rsidRPr="008725BE">
          <w:rPr>
            <w:rStyle w:val="Lienhypertexte"/>
            <w:rFonts w:ascii="Garamond" w:hAnsi="Garamond"/>
            <w:lang w:val="en-US"/>
          </w:rPr>
          <w:t>Metapsychologische Ergänzung zur Traumlehre</w:t>
        </w:r>
      </w:hyperlink>
      <w:r w:rsidRPr="008725BE">
        <w:rPr>
          <w:rFonts w:ascii="Garamond" w:hAnsi="Garamond"/>
          <w:lang w:val="en-US"/>
        </w:rPr>
        <w:t xml:space="preserve">  </w:t>
      </w:r>
    </w:p>
    <w:p w:rsidR="008725BE" w:rsidRPr="008725BE" w:rsidRDefault="008725BE" w:rsidP="008725BE">
      <w:pPr>
        <w:pStyle w:val="Sansinterligne"/>
        <w:rPr>
          <w:rFonts w:ascii="Garamond" w:hAnsi="Garamond"/>
          <w:color w:val="003399"/>
          <w:lang w:val="en-US"/>
        </w:rPr>
      </w:pPr>
      <w:r w:rsidRPr="008725BE">
        <w:rPr>
          <w:rFonts w:ascii="Garamond" w:hAnsi="Garamond"/>
          <w:caps/>
          <w:lang w:val="en-US"/>
        </w:rPr>
        <w:t xml:space="preserve">1915  </w:t>
      </w:r>
      <w:hyperlink w:anchor="KS43" w:history="1">
        <w:r w:rsidRPr="008725BE">
          <w:rPr>
            <w:rStyle w:val="Lienhypertexte"/>
            <w:rFonts w:ascii="Garamond" w:hAnsi="Garamond"/>
            <w:lang w:val="en-US"/>
          </w:rPr>
          <w:t>Mitteilung eines der psychoanalytischen Theorie widersprechenden Falles von Paranoia</w:t>
        </w:r>
      </w:hyperlink>
    </w:p>
    <w:p w:rsidR="008725BE" w:rsidRPr="008725BE" w:rsidRDefault="008725BE" w:rsidP="008725BE">
      <w:pPr>
        <w:pStyle w:val="Sansinterligne"/>
        <w:rPr>
          <w:rFonts w:ascii="Garamond" w:hAnsi="Garamond"/>
          <w:lang w:val="en-US"/>
        </w:rPr>
      </w:pPr>
      <w:r w:rsidRPr="008725BE">
        <w:rPr>
          <w:rFonts w:ascii="Garamond" w:hAnsi="Garamond"/>
          <w:caps/>
          <w:lang w:val="en-US"/>
        </w:rPr>
        <w:t xml:space="preserve">1916  </w:t>
      </w:r>
      <w:hyperlink w:anchor="KS44" w:history="1">
        <w:r w:rsidRPr="008725BE">
          <w:rPr>
            <w:rStyle w:val="Lienhypertexte"/>
            <w:rFonts w:ascii="Garamond" w:hAnsi="Garamond"/>
            <w:lang w:val="en-US"/>
          </w:rPr>
          <w:t>Mythologische Parallele zu einer plastischen Zwangsvorstellung</w:t>
        </w:r>
      </w:hyperlink>
      <w:r w:rsidRPr="008725BE">
        <w:rPr>
          <w:rFonts w:ascii="Garamond" w:hAnsi="Garamond"/>
          <w:lang w:val="en-US"/>
        </w:rPr>
        <w:t xml:space="preserve"> </w:t>
      </w:r>
    </w:p>
    <w:p w:rsidR="008725BE" w:rsidRPr="008725BE" w:rsidRDefault="008725BE" w:rsidP="008725BE">
      <w:pPr>
        <w:pStyle w:val="Sansinterligne"/>
        <w:rPr>
          <w:rFonts w:ascii="Garamond" w:hAnsi="Garamond"/>
          <w:lang w:val="en-US"/>
        </w:rPr>
      </w:pPr>
      <w:r w:rsidRPr="008725BE">
        <w:rPr>
          <w:rFonts w:ascii="Garamond" w:hAnsi="Garamond"/>
          <w:caps/>
          <w:lang w:val="en-US"/>
        </w:rPr>
        <w:t xml:space="preserve">1916  </w:t>
      </w:r>
      <w:hyperlink w:anchor="KS66" w:history="1">
        <w:r w:rsidRPr="008725BE">
          <w:rPr>
            <w:rStyle w:val="Lienhypertexte"/>
            <w:rFonts w:ascii="Garamond" w:hAnsi="Garamond"/>
            <w:lang w:val="en-US"/>
          </w:rPr>
          <w:t>Vergänglichkeit</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GB"/>
        </w:rPr>
        <w:t xml:space="preserve">1916  </w:t>
      </w:r>
      <w:hyperlink w:anchor="KS34" w:history="1">
        <w:r w:rsidRPr="008725BE">
          <w:rPr>
            <w:rStyle w:val="Lienhypertexte"/>
            <w:rFonts w:ascii="Garamond" w:hAnsi="Garamond" w:cs="Arial"/>
            <w:bCs/>
            <w:lang w:val="en-GB"/>
          </w:rPr>
          <w:t>Einige Charaktertypen aus der psychoanalytischen Arbeit</w:t>
        </w:r>
      </w:hyperlink>
    </w:p>
    <w:p w:rsidR="008725BE" w:rsidRPr="008725BE" w:rsidRDefault="008725BE" w:rsidP="008725BE">
      <w:pPr>
        <w:pStyle w:val="Sansinterligne"/>
        <w:rPr>
          <w:rFonts w:ascii="Garamond" w:hAnsi="Garamond"/>
          <w:lang w:val="en-US"/>
        </w:rPr>
      </w:pPr>
      <w:r w:rsidRPr="008725BE">
        <w:rPr>
          <w:rFonts w:ascii="Garamond" w:hAnsi="Garamond"/>
          <w:caps/>
          <w:lang w:val="en-US"/>
        </w:rPr>
        <w:t xml:space="preserve">1917  </w:t>
      </w:r>
      <w:hyperlink w:anchor="KS64" w:history="1">
        <w:r w:rsidRPr="008725BE">
          <w:rPr>
            <w:rStyle w:val="Lienhypertexte"/>
            <w:rFonts w:ascii="Garamond" w:hAnsi="Garamond"/>
            <w:lang w:val="en-US"/>
          </w:rPr>
          <w:t>Über Triebumsetzungen, insbesondere der Analerotik</w:t>
        </w:r>
      </w:hyperlink>
    </w:p>
    <w:p w:rsidR="008725BE" w:rsidRPr="008725BE" w:rsidRDefault="008725BE" w:rsidP="008725BE">
      <w:pPr>
        <w:pStyle w:val="Sansinterligne"/>
        <w:rPr>
          <w:rFonts w:ascii="Garamond" w:hAnsi="Garamond"/>
          <w:lang w:val="en-US"/>
        </w:rPr>
      </w:pPr>
      <w:r w:rsidRPr="008725BE">
        <w:rPr>
          <w:rFonts w:ascii="Garamond" w:hAnsi="Garamond"/>
          <w:caps/>
          <w:lang w:val="en-GB"/>
        </w:rPr>
        <w:t xml:space="preserve">1917  </w:t>
      </w:r>
      <w:hyperlink w:anchor="KS50" w:history="1">
        <w:r w:rsidRPr="008725BE">
          <w:rPr>
            <w:rStyle w:val="Lienhypertexte"/>
            <w:rFonts w:ascii="Garamond" w:hAnsi="Garamond"/>
            <w:lang w:val="en-US"/>
          </w:rPr>
          <w:t>Trauer und Melancholie</w:t>
        </w:r>
      </w:hyperlink>
    </w:p>
    <w:p w:rsidR="008725BE" w:rsidRPr="008725BE" w:rsidRDefault="008725BE" w:rsidP="008725BE">
      <w:pPr>
        <w:pStyle w:val="Sansinterligne"/>
        <w:rPr>
          <w:rFonts w:ascii="Garamond" w:hAnsi="Garamond"/>
          <w:lang w:val="en-US"/>
        </w:rPr>
      </w:pPr>
      <w:r w:rsidRPr="008725BE">
        <w:rPr>
          <w:rFonts w:ascii="Garamond" w:hAnsi="Garamond"/>
          <w:caps/>
          <w:color w:val="000000"/>
          <w:lang w:val="en-GB"/>
        </w:rPr>
        <w:t xml:space="preserve">1917  </w:t>
      </w:r>
      <w:hyperlink w:anchor="KS31" w:history="1">
        <w:r w:rsidRPr="008725BE">
          <w:rPr>
            <w:rStyle w:val="Lienhypertexte"/>
            <w:rFonts w:ascii="Garamond" w:hAnsi="Garamond" w:cs="Arial"/>
            <w:bCs/>
            <w:lang w:val="en-GB"/>
          </w:rPr>
          <w:t>Eine Kindheitserinnerung aus “Dichtung und Wahrheit</w:t>
        </w:r>
      </w:hyperlink>
      <w:r w:rsidRPr="008725BE">
        <w:rPr>
          <w:rFonts w:ascii="Garamond" w:hAnsi="Garamond"/>
          <w:color w:val="003399"/>
          <w:lang w:val="en-GB"/>
        </w:rPr>
        <w:t>”</w:t>
      </w:r>
    </w:p>
    <w:p w:rsidR="008725BE" w:rsidRPr="008725BE" w:rsidRDefault="008725BE" w:rsidP="008725BE">
      <w:pPr>
        <w:pStyle w:val="Sansinterligne"/>
        <w:rPr>
          <w:rFonts w:ascii="Garamond" w:hAnsi="Garamond"/>
          <w:lang w:val="en-US"/>
        </w:rPr>
      </w:pPr>
      <w:r w:rsidRPr="008725BE">
        <w:rPr>
          <w:rFonts w:ascii="Garamond" w:hAnsi="Garamond"/>
          <w:caps/>
          <w:color w:val="000000"/>
          <w:lang w:val="en-US"/>
        </w:rPr>
        <w:lastRenderedPageBreak/>
        <w:t xml:space="preserve">1918  </w:t>
      </w:r>
      <w:hyperlink w:anchor="KS8" w:history="1">
        <w:r w:rsidRPr="008725BE">
          <w:rPr>
            <w:rStyle w:val="Lienhypertexte"/>
            <w:rFonts w:ascii="Garamond" w:hAnsi="Garamond" w:cs="Arial"/>
            <w:bCs/>
            <w:lang w:val="en-US"/>
          </w:rPr>
          <w:t>Das Tabu der Virginität</w:t>
        </w:r>
      </w:hyperlink>
    </w:p>
    <w:p w:rsidR="008725BE" w:rsidRPr="008725BE" w:rsidRDefault="008725BE" w:rsidP="008725BE">
      <w:pPr>
        <w:pStyle w:val="Sansinterligne"/>
        <w:rPr>
          <w:rFonts w:ascii="Garamond" w:hAnsi="Garamond"/>
          <w:caps/>
          <w:color w:val="000000"/>
          <w:lang w:val="en-US"/>
        </w:rPr>
      </w:pPr>
      <w:r w:rsidRPr="008725BE">
        <w:rPr>
          <w:rFonts w:ascii="Garamond" w:hAnsi="Garamond"/>
          <w:caps/>
          <w:color w:val="000000"/>
          <w:lang w:val="en-GB"/>
        </w:rPr>
        <w:t xml:space="preserve">1919  </w:t>
      </w:r>
      <w:hyperlink w:anchor="KS29" w:history="1">
        <w:r w:rsidRPr="008725BE">
          <w:rPr>
            <w:rStyle w:val="Lienhypertexte"/>
            <w:rFonts w:ascii="Garamond" w:hAnsi="Garamond" w:cs="Arial"/>
            <w:bCs/>
            <w:lang w:val="en-US"/>
          </w:rPr>
          <w:t>“Ein Kind wird geschlagen”</w:t>
        </w:r>
      </w:hyperlink>
      <w:r w:rsidRPr="008725BE">
        <w:rPr>
          <w:rFonts w:ascii="Garamond" w:hAnsi="Garamond"/>
          <w:caps/>
          <w:color w:val="000000"/>
          <w:lang w:val="en-US"/>
        </w:rPr>
        <w:t xml:space="preserve"> </w:t>
      </w:r>
    </w:p>
    <w:p w:rsidR="008725BE" w:rsidRPr="008725BE" w:rsidRDefault="008725BE" w:rsidP="008725BE">
      <w:pPr>
        <w:pStyle w:val="Sansinterligne"/>
        <w:rPr>
          <w:rFonts w:ascii="Garamond" w:hAnsi="Garamond"/>
          <w:color w:val="003399"/>
        </w:rPr>
      </w:pPr>
      <w:r w:rsidRPr="008725BE">
        <w:rPr>
          <w:rFonts w:ascii="Garamond" w:hAnsi="Garamond"/>
          <w:caps/>
          <w:color w:val="000000"/>
        </w:rPr>
        <w:t xml:space="preserve">1919  </w:t>
      </w:r>
      <w:hyperlink w:anchor="KS10" w:history="1">
        <w:r w:rsidRPr="008725BE">
          <w:rPr>
            <w:rStyle w:val="Lienhypertexte"/>
            <w:rFonts w:ascii="Garamond" w:hAnsi="Garamond" w:cs="Arial"/>
            <w:bCs/>
          </w:rPr>
          <w:t>Das Unheimliche</w:t>
        </w:r>
      </w:hyperlink>
    </w:p>
    <w:p w:rsidR="008725BE" w:rsidRPr="008725BE" w:rsidRDefault="008725BE" w:rsidP="008725BE">
      <w:pPr>
        <w:pStyle w:val="Sansinterligne"/>
        <w:rPr>
          <w:rFonts w:ascii="Garamond" w:hAnsi="Garamond"/>
          <w:color w:val="000000"/>
        </w:rPr>
      </w:pPr>
      <w:r w:rsidRPr="008725BE">
        <w:rPr>
          <w:rFonts w:ascii="Garamond" w:hAnsi="Garamond"/>
          <w:caps/>
        </w:rPr>
        <w:t xml:space="preserve">1919  </w:t>
      </w:r>
      <w:hyperlink w:anchor="KS68" w:history="1">
        <w:r w:rsidRPr="008725BE">
          <w:rPr>
            <w:rStyle w:val="Lienhypertexte"/>
            <w:rFonts w:ascii="Garamond" w:hAnsi="Garamond"/>
          </w:rPr>
          <w:t>Wege der psychoanalytischen Therapie</w:t>
        </w:r>
      </w:hyperlink>
    </w:p>
    <w:p w:rsidR="008725BE" w:rsidRPr="008725BE" w:rsidRDefault="008725BE" w:rsidP="008725BE">
      <w:pPr>
        <w:pStyle w:val="Sansinterligne"/>
        <w:rPr>
          <w:rFonts w:ascii="Garamond" w:hAnsi="Garamond"/>
        </w:rPr>
      </w:pPr>
      <w:r w:rsidRPr="008725BE">
        <w:rPr>
          <w:rFonts w:ascii="Garamond" w:hAnsi="Garamond"/>
          <w:caps/>
        </w:rPr>
        <w:t xml:space="preserve">1920  </w:t>
      </w:r>
      <w:hyperlink w:anchor="KS56" w:history="1">
        <w:r w:rsidRPr="008725BE">
          <w:rPr>
            <w:rStyle w:val="Lienhypertexte"/>
            <w:rFonts w:ascii="Garamond" w:hAnsi="Garamond"/>
          </w:rPr>
          <w:t>Über die Psychogenese eines Falles von weiblicher Homosexualität</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lang w:val="en-GB"/>
        </w:rPr>
        <w:t xml:space="preserve">1920  </w:t>
      </w:r>
      <w:hyperlink w:anchor="KS77" w:history="1">
        <w:r w:rsidRPr="008725BE">
          <w:rPr>
            <w:rStyle w:val="Lienhypertexte"/>
            <w:rFonts w:ascii="Garamond" w:hAnsi="Garamond"/>
            <w:lang w:val="en-US"/>
          </w:rPr>
          <w:t>Zur Vorgeschichte der analytischen Technik</w:t>
        </w:r>
      </w:hyperlink>
    </w:p>
    <w:p w:rsidR="008725BE" w:rsidRPr="008725BE" w:rsidRDefault="008725BE" w:rsidP="008725BE">
      <w:pPr>
        <w:pStyle w:val="Sansinterligne"/>
        <w:rPr>
          <w:rFonts w:ascii="Garamond" w:hAnsi="Garamond"/>
          <w:color w:val="000000"/>
          <w:lang w:val="en-US"/>
        </w:rPr>
      </w:pPr>
      <w:r w:rsidRPr="008725BE">
        <w:rPr>
          <w:rFonts w:ascii="Garamond" w:hAnsi="Garamond"/>
          <w:caps/>
          <w:lang w:val="en-US"/>
        </w:rPr>
        <w:t xml:space="preserve">1922  </w:t>
      </w:r>
      <w:hyperlink w:anchor="KS59" w:history="1">
        <w:r w:rsidRPr="008725BE">
          <w:rPr>
            <w:rStyle w:val="Lienhypertexte"/>
            <w:rFonts w:ascii="Garamond" w:hAnsi="Garamond"/>
            <w:lang w:val="en-US"/>
          </w:rPr>
          <w:t>Über einige neurotische Mechanismen bei Eifersucht, Paranoia und Homosexualität</w:t>
        </w:r>
      </w:hyperlink>
      <w:r w:rsidRPr="008725BE">
        <w:rPr>
          <w:rFonts w:ascii="Garamond" w:hAnsi="Garamond"/>
          <w:lang w:val="en-US"/>
        </w:rPr>
        <w:t xml:space="preserve">  </w:t>
      </w:r>
    </w:p>
    <w:p w:rsidR="008725BE" w:rsidRPr="008725BE" w:rsidRDefault="008725BE" w:rsidP="008725BE">
      <w:pPr>
        <w:pStyle w:val="Sansinterligne"/>
        <w:rPr>
          <w:rFonts w:ascii="Garamond" w:hAnsi="Garamond"/>
          <w:caps/>
          <w:color w:val="000000"/>
        </w:rPr>
      </w:pPr>
      <w:r w:rsidRPr="008725BE">
        <w:rPr>
          <w:rFonts w:ascii="Garamond" w:hAnsi="Garamond"/>
          <w:caps/>
        </w:rPr>
        <w:t xml:space="preserve">1922  </w:t>
      </w:r>
      <w:hyperlink w:anchor="KS59" w:history="1">
        <w:r w:rsidRPr="008725BE">
          <w:rPr>
            <w:rStyle w:val="Lienhypertexte"/>
            <w:rFonts w:ascii="Garamond" w:hAnsi="Garamond"/>
          </w:rPr>
          <w:t>Über « fausse reconnaissance » (« déjà raconté ») während der psychoanalytischen Arbeit</w:t>
        </w:r>
      </w:hyperlink>
    </w:p>
    <w:p w:rsidR="008725BE" w:rsidRPr="008725BE" w:rsidRDefault="008725BE" w:rsidP="008725BE">
      <w:pPr>
        <w:pStyle w:val="Sansinterligne"/>
        <w:rPr>
          <w:rFonts w:ascii="Garamond" w:hAnsi="Garamond"/>
          <w:color w:val="003399"/>
          <w:lang w:val="en-GB"/>
        </w:rPr>
      </w:pPr>
      <w:r w:rsidRPr="008725BE">
        <w:rPr>
          <w:rFonts w:ascii="Garamond" w:hAnsi="Garamond"/>
          <w:caps/>
          <w:color w:val="000000"/>
          <w:lang w:val="en-GB"/>
        </w:rPr>
        <w:t xml:space="preserve">1923  </w:t>
      </w:r>
      <w:hyperlink w:anchor="KS3" w:history="1">
        <w:r w:rsidRPr="008725BE">
          <w:rPr>
            <w:rStyle w:val="Lienhypertexte"/>
            <w:rFonts w:ascii="Garamond" w:hAnsi="Garamond" w:cs="Arial"/>
            <w:bCs/>
            <w:lang w:val="en-GB"/>
          </w:rPr>
          <w:t>Bemerkungen zur Theorie und Praxis der Traumdeutung</w:t>
        </w:r>
      </w:hyperlink>
    </w:p>
    <w:p w:rsidR="008725BE" w:rsidRPr="008725BE" w:rsidRDefault="008725BE" w:rsidP="008725BE">
      <w:pPr>
        <w:pStyle w:val="Sansinterligne"/>
        <w:rPr>
          <w:rFonts w:ascii="Garamond" w:hAnsi="Garamond"/>
          <w:color w:val="003399"/>
        </w:rPr>
      </w:pPr>
      <w:r w:rsidRPr="008725BE">
        <w:rPr>
          <w:rFonts w:ascii="Garamond" w:hAnsi="Garamond"/>
          <w:caps/>
          <w:color w:val="000000"/>
        </w:rPr>
        <w:t xml:space="preserve">1923  </w:t>
      </w:r>
      <w:hyperlink w:anchor="KS32" w:history="1">
        <w:r w:rsidRPr="008725BE">
          <w:rPr>
            <w:rStyle w:val="Lienhypertexte"/>
            <w:rFonts w:ascii="Garamond" w:hAnsi="Garamond" w:cs="Arial"/>
            <w:bCs/>
          </w:rPr>
          <w:t>Eine Teufelsneurose im siebzehnten Jahrhundert</w:t>
        </w:r>
      </w:hyperlink>
    </w:p>
    <w:p w:rsidR="008725BE" w:rsidRPr="008725BE" w:rsidRDefault="008725BE" w:rsidP="008725BE">
      <w:pPr>
        <w:pStyle w:val="Sansinterligne"/>
        <w:rPr>
          <w:rFonts w:ascii="Garamond" w:hAnsi="Garamond"/>
          <w:color w:val="000000"/>
        </w:rPr>
      </w:pPr>
      <w:r w:rsidRPr="008725BE">
        <w:rPr>
          <w:rFonts w:ascii="Garamond" w:hAnsi="Garamond"/>
          <w:caps/>
          <w:color w:val="000000"/>
        </w:rPr>
        <w:t xml:space="preserve">1923  </w:t>
      </w:r>
      <w:hyperlink w:anchor="KS22" w:history="1">
        <w:r w:rsidRPr="008725BE">
          <w:rPr>
            <w:rStyle w:val="Lienhypertexte"/>
            <w:rFonts w:ascii="Garamond" w:hAnsi="Garamond" w:cs="Arial"/>
            <w:bCs/>
          </w:rPr>
          <w:t>Die infantile Genitalorganisation</w:t>
        </w:r>
      </w:hyperlink>
      <w:r w:rsidRPr="008725BE">
        <w:rPr>
          <w:rFonts w:ascii="Garamond" w:hAnsi="Garamond"/>
          <w:color w:val="003399"/>
        </w:rPr>
        <w:t xml:space="preserve">  </w:t>
      </w:r>
    </w:p>
    <w:p w:rsidR="008725BE" w:rsidRPr="008725BE" w:rsidRDefault="008725BE" w:rsidP="008725BE">
      <w:pPr>
        <w:pStyle w:val="Sansinterligne"/>
        <w:rPr>
          <w:rFonts w:ascii="Garamond" w:hAnsi="Garamond"/>
          <w:color w:val="003399"/>
        </w:rPr>
      </w:pPr>
      <w:r w:rsidRPr="008725BE">
        <w:rPr>
          <w:rFonts w:ascii="Garamond" w:hAnsi="Garamond"/>
          <w:color w:val="000000" w:themeColor="text1"/>
        </w:rPr>
        <w:t>1924</w:t>
      </w:r>
      <w:r w:rsidRPr="008725BE">
        <w:rPr>
          <w:rFonts w:ascii="Garamond" w:hAnsi="Garamond"/>
          <w:color w:val="003399"/>
        </w:rPr>
        <w:t xml:space="preserve">  </w:t>
      </w:r>
      <w:hyperlink w:anchor="KS7" w:history="1">
        <w:r w:rsidRPr="008725BE">
          <w:rPr>
            <w:rStyle w:val="Lienhypertexte"/>
            <w:rFonts w:ascii="Garamond" w:hAnsi="Garamond" w:cs="Arial"/>
            <w:bCs/>
          </w:rPr>
          <w:t>Das ökonomische Problem des Masochismus</w:t>
        </w:r>
      </w:hyperlink>
      <w:r w:rsidRPr="008725BE">
        <w:rPr>
          <w:rFonts w:ascii="Garamond" w:hAnsi="Garamond"/>
          <w:color w:val="003399"/>
        </w:rPr>
        <w:t xml:space="preserve"> </w:t>
      </w:r>
    </w:p>
    <w:p w:rsidR="00716243" w:rsidRDefault="008725BE" w:rsidP="008725BE">
      <w:pPr>
        <w:pStyle w:val="Sansinterligne"/>
      </w:pPr>
      <w:r w:rsidRPr="008725BE">
        <w:rPr>
          <w:rFonts w:ascii="Garamond" w:hAnsi="Garamond"/>
          <w:caps/>
        </w:rPr>
        <w:t xml:space="preserve">1924  </w:t>
      </w:r>
      <w:hyperlink w:anchor="KS45" w:history="1">
        <w:r w:rsidRPr="008725BE">
          <w:rPr>
            <w:rStyle w:val="Lienhypertexte"/>
            <w:rFonts w:ascii="Garamond" w:hAnsi="Garamond"/>
          </w:rPr>
          <w:t>Neurose und Psychose</w:t>
        </w:r>
      </w:hyperlink>
    </w:p>
    <w:p w:rsidR="008725BE" w:rsidRPr="0007298F" w:rsidRDefault="008725BE" w:rsidP="008725BE">
      <w:pPr>
        <w:pStyle w:val="Sansinterligne"/>
        <w:rPr>
          <w:rFonts w:ascii="Garamond" w:hAnsi="Garamond"/>
          <w:color w:val="000000"/>
          <w:lang w:val="en-US"/>
        </w:rPr>
      </w:pPr>
      <w:r w:rsidRPr="0007298F">
        <w:rPr>
          <w:rFonts w:ascii="Garamond" w:hAnsi="Garamond"/>
          <w:caps/>
          <w:color w:val="000000"/>
          <w:lang w:val="en-US"/>
        </w:rPr>
        <w:t xml:space="preserve">1924  </w:t>
      </w:r>
      <w:hyperlink w:anchor="KS15" w:history="1">
        <w:r w:rsidRPr="0007298F">
          <w:rPr>
            <w:rStyle w:val="Lienhypertexte"/>
            <w:rFonts w:ascii="Garamond" w:hAnsi="Garamond" w:cs="Arial"/>
            <w:bCs/>
            <w:lang w:val="en-US"/>
          </w:rPr>
          <w:t>Der Realitätsverlust bei Neurose und Psychose</w:t>
        </w:r>
      </w:hyperlink>
      <w:r w:rsidRPr="0007298F">
        <w:rPr>
          <w:rFonts w:ascii="Garamond" w:hAnsi="Garamond"/>
          <w:color w:val="003399"/>
          <w:lang w:val="en-US"/>
        </w:rPr>
        <w:t xml:space="preserve">   </w:t>
      </w:r>
    </w:p>
    <w:p w:rsidR="008725BE" w:rsidRPr="008725BE" w:rsidRDefault="008725BE" w:rsidP="008725BE">
      <w:pPr>
        <w:pStyle w:val="Sansinterligne"/>
        <w:rPr>
          <w:rFonts w:ascii="Garamond" w:hAnsi="Garamond"/>
        </w:rPr>
      </w:pPr>
      <w:r w:rsidRPr="008725BE">
        <w:rPr>
          <w:rFonts w:ascii="Garamond" w:hAnsi="Garamond"/>
          <w:caps/>
          <w:color w:val="000000"/>
        </w:rPr>
        <w:t xml:space="preserve">1924  </w:t>
      </w:r>
      <w:hyperlink w:anchor="KS16" w:history="1">
        <w:r w:rsidRPr="008725BE">
          <w:rPr>
            <w:rStyle w:val="Lienhypertexte"/>
            <w:rFonts w:ascii="Garamond" w:hAnsi="Garamond" w:cs="Arial"/>
            <w:bCs/>
          </w:rPr>
          <w:t>Der Untergang des Ödipuskomplexes</w:t>
        </w:r>
      </w:hyperlink>
      <w:r w:rsidRPr="008725BE">
        <w:rPr>
          <w:rFonts w:ascii="Garamond" w:hAnsi="Garamond"/>
        </w:rPr>
        <w:t xml:space="preserve"> </w:t>
      </w:r>
    </w:p>
    <w:p w:rsidR="008725BE" w:rsidRPr="00F20BA5" w:rsidRDefault="008725BE" w:rsidP="008725BE">
      <w:pPr>
        <w:pStyle w:val="Sansinterligne"/>
        <w:rPr>
          <w:rFonts w:ascii="Garamond" w:hAnsi="Garamond"/>
          <w:color w:val="000000"/>
        </w:rPr>
      </w:pPr>
      <w:r w:rsidRPr="00F20BA5">
        <w:rPr>
          <w:rFonts w:ascii="Garamond" w:hAnsi="Garamond"/>
          <w:caps/>
          <w:color w:val="000000"/>
        </w:rPr>
        <w:t xml:space="preserve">1925  </w:t>
      </w:r>
      <w:hyperlink w:anchor="KS27" w:history="1">
        <w:r w:rsidRPr="00F20BA5">
          <w:rPr>
            <w:rStyle w:val="Lienhypertexte"/>
            <w:rFonts w:ascii="Garamond" w:hAnsi="Garamond" w:cs="Arial"/>
            <w:bCs/>
          </w:rPr>
          <w:t>Die Verneinung</w:t>
        </w:r>
      </w:hyperlink>
      <w:r w:rsidRPr="00F20BA5">
        <w:rPr>
          <w:rFonts w:ascii="Garamond" w:hAnsi="Garamond"/>
        </w:rPr>
        <w:t xml:space="preserve"> </w:t>
      </w:r>
    </w:p>
    <w:p w:rsidR="008725BE" w:rsidRPr="008725BE" w:rsidRDefault="008725BE" w:rsidP="008725BE">
      <w:pPr>
        <w:pStyle w:val="Sansinterligne"/>
        <w:rPr>
          <w:rFonts w:ascii="Garamond" w:hAnsi="Garamond"/>
          <w:lang w:val="en-US"/>
        </w:rPr>
      </w:pPr>
      <w:r w:rsidRPr="008725BE">
        <w:rPr>
          <w:rFonts w:ascii="Garamond" w:hAnsi="Garamond"/>
          <w:caps/>
          <w:lang w:val="en-GB"/>
        </w:rPr>
        <w:t xml:space="preserve">1925  </w:t>
      </w:r>
      <w:hyperlink w:anchor="KS46" w:history="1">
        <w:r w:rsidRPr="008725BE">
          <w:rPr>
            <w:rStyle w:val="Lienhypertexte"/>
            <w:rFonts w:ascii="Garamond" w:hAnsi="Garamond"/>
            <w:lang w:val="en-US"/>
          </w:rPr>
          <w:t>Notiz über den “Wunderblock”</w:t>
        </w:r>
      </w:hyperlink>
      <w:r w:rsidRPr="008725BE">
        <w:rPr>
          <w:rFonts w:ascii="Garamond" w:hAnsi="Garamond"/>
          <w:lang w:val="en-US"/>
        </w:rPr>
        <w:t xml:space="preserve"> </w:t>
      </w:r>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GB"/>
        </w:rPr>
        <w:t xml:space="preserve">1925  </w:t>
      </w:r>
      <w:hyperlink w:anchor="KS35" w:history="1">
        <w:r w:rsidRPr="008725BE">
          <w:rPr>
            <w:rStyle w:val="Lienhypertexte"/>
            <w:rFonts w:ascii="Garamond" w:hAnsi="Garamond" w:cs="Arial"/>
            <w:bCs/>
            <w:lang w:val="en-US"/>
          </w:rPr>
          <w:t>Einige psychische Folgen des anatomischen Geschlechtsunterschieds</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US"/>
        </w:rPr>
        <w:t xml:space="preserve">1927  </w:t>
      </w:r>
      <w:hyperlink w:anchor="KS13" w:history="1">
        <w:r w:rsidRPr="008725BE">
          <w:rPr>
            <w:rStyle w:val="Lienhypertexte"/>
            <w:rFonts w:ascii="Garamond" w:hAnsi="Garamond" w:cs="Arial"/>
            <w:bCs/>
            <w:lang w:val="en-US"/>
          </w:rPr>
          <w:t>Der Humor</w:t>
        </w:r>
      </w:hyperlink>
      <w:r w:rsidRPr="008725BE">
        <w:rPr>
          <w:rFonts w:ascii="Garamond" w:hAnsi="Garamond"/>
          <w:color w:val="003399"/>
          <w:lang w:val="en-US"/>
        </w:rPr>
        <w:t xml:space="preserve"> </w:t>
      </w:r>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US"/>
        </w:rPr>
        <w:t xml:space="preserve">1927  </w:t>
      </w:r>
      <w:hyperlink w:anchor="KS37" w:history="1">
        <w:r w:rsidRPr="008725BE">
          <w:rPr>
            <w:rStyle w:val="Lienhypertexte"/>
            <w:rFonts w:ascii="Garamond" w:hAnsi="Garamond" w:cs="Arial"/>
            <w:bCs/>
            <w:lang w:val="en-US"/>
          </w:rPr>
          <w:t>Fetischismus</w:t>
        </w:r>
      </w:hyperlink>
    </w:p>
    <w:p w:rsidR="008725BE" w:rsidRPr="008725BE" w:rsidRDefault="008725BE" w:rsidP="008725BE">
      <w:pPr>
        <w:pStyle w:val="Sansinterligne"/>
        <w:rPr>
          <w:rFonts w:ascii="Garamond" w:hAnsi="Garamond"/>
          <w:color w:val="000000"/>
          <w:lang w:val="en-US"/>
        </w:rPr>
      </w:pPr>
      <w:r w:rsidRPr="008725BE">
        <w:rPr>
          <w:rFonts w:ascii="Garamond" w:hAnsi="Garamond"/>
          <w:caps/>
          <w:color w:val="000000"/>
          <w:lang w:val="en-GB"/>
        </w:rPr>
        <w:t xml:space="preserve">1928  </w:t>
      </w:r>
      <w:hyperlink w:anchor="KS30" w:history="1">
        <w:r w:rsidRPr="008725BE">
          <w:rPr>
            <w:rStyle w:val="Lienhypertexte"/>
            <w:rFonts w:ascii="Garamond" w:hAnsi="Garamond" w:cs="Arial"/>
            <w:bCs/>
            <w:lang w:val="en-US"/>
          </w:rPr>
          <w:t>Dostojewski und die Vatertötung</w:t>
        </w:r>
      </w:hyperlink>
      <w:r w:rsidRPr="008725BE">
        <w:rPr>
          <w:rFonts w:ascii="Garamond" w:hAnsi="Garamond"/>
          <w:color w:val="003399"/>
          <w:lang w:val="en-US"/>
        </w:rPr>
        <w:t xml:space="preserve"> </w:t>
      </w:r>
    </w:p>
    <w:p w:rsidR="008725BE" w:rsidRPr="00F20BA5" w:rsidRDefault="008725BE" w:rsidP="008725BE">
      <w:pPr>
        <w:pStyle w:val="Sansinterligne"/>
        <w:rPr>
          <w:rFonts w:ascii="Garamond" w:hAnsi="Garamond"/>
          <w:color w:val="000000"/>
          <w:lang w:val="en-US"/>
        </w:rPr>
      </w:pPr>
      <w:r w:rsidRPr="00F20BA5">
        <w:rPr>
          <w:rFonts w:ascii="Garamond" w:hAnsi="Garamond"/>
          <w:caps/>
          <w:color w:val="000000"/>
          <w:lang w:val="en-US"/>
        </w:rPr>
        <w:t xml:space="preserve">1930  </w:t>
      </w:r>
      <w:hyperlink w:anchor="KS39" w:history="1">
        <w:r w:rsidRPr="00F20BA5">
          <w:rPr>
            <w:rStyle w:val="Lienhypertexte"/>
            <w:rFonts w:ascii="Garamond" w:hAnsi="Garamond" w:cs="Arial"/>
            <w:bCs/>
            <w:lang w:val="en-US"/>
          </w:rPr>
          <w:t>Goethe-Preis</w:t>
        </w:r>
      </w:hyperlink>
      <w:r w:rsidRPr="00F20BA5">
        <w:rPr>
          <w:rFonts w:ascii="Garamond" w:hAnsi="Garamond"/>
          <w:lang w:val="en-US"/>
        </w:rPr>
        <w:t xml:space="preserve"> </w:t>
      </w:r>
    </w:p>
    <w:p w:rsidR="008725BE" w:rsidRPr="00F20BA5" w:rsidRDefault="008725BE" w:rsidP="008725BE">
      <w:pPr>
        <w:pStyle w:val="Sansinterligne"/>
        <w:rPr>
          <w:rFonts w:ascii="Garamond" w:hAnsi="Garamond"/>
          <w:lang w:val="en-US"/>
        </w:rPr>
      </w:pPr>
      <w:r w:rsidRPr="00F20BA5">
        <w:rPr>
          <w:rFonts w:ascii="Garamond" w:hAnsi="Garamond"/>
          <w:caps/>
          <w:lang w:val="en-US"/>
        </w:rPr>
        <w:t xml:space="preserve">1931  </w:t>
      </w:r>
      <w:hyperlink w:anchor="KS57" w:history="1">
        <w:r w:rsidRPr="00F20BA5">
          <w:rPr>
            <w:rStyle w:val="Lienhypertexte"/>
            <w:rFonts w:ascii="Garamond" w:hAnsi="Garamond"/>
            <w:lang w:val="en-US"/>
          </w:rPr>
          <w:t>Über die weibliche Sexualität</w:t>
        </w:r>
      </w:hyperlink>
      <w:r w:rsidRPr="00F20BA5">
        <w:rPr>
          <w:rFonts w:ascii="Garamond" w:hAnsi="Garamond"/>
          <w:lang w:val="en-US"/>
        </w:rPr>
        <w:t xml:space="preserve"> </w:t>
      </w:r>
    </w:p>
    <w:p w:rsidR="008725BE" w:rsidRPr="008725BE" w:rsidRDefault="008725BE" w:rsidP="008725BE">
      <w:pPr>
        <w:pStyle w:val="Sansinterligne"/>
        <w:rPr>
          <w:rFonts w:ascii="Garamond" w:hAnsi="Garamond"/>
          <w:lang w:val="en-US"/>
        </w:rPr>
      </w:pPr>
      <w:r w:rsidRPr="008725BE">
        <w:rPr>
          <w:rFonts w:ascii="Garamond" w:hAnsi="Garamond"/>
          <w:caps/>
          <w:lang w:val="en-US"/>
        </w:rPr>
        <w:t xml:space="preserve">1931  </w:t>
      </w:r>
      <w:hyperlink w:anchor="KS61" w:history="1">
        <w:r w:rsidRPr="008725BE">
          <w:rPr>
            <w:rStyle w:val="Lienhypertexte"/>
            <w:rFonts w:ascii="Garamond" w:hAnsi="Garamond"/>
            <w:lang w:val="en-US"/>
          </w:rPr>
          <w:t>Über libidinöse Typen</w:t>
        </w:r>
      </w:hyperlink>
    </w:p>
    <w:p w:rsidR="008725BE" w:rsidRPr="008725BE" w:rsidRDefault="008725BE" w:rsidP="008725BE">
      <w:pPr>
        <w:pStyle w:val="Sansinterligne"/>
        <w:rPr>
          <w:rFonts w:ascii="Garamond" w:hAnsi="Garamond"/>
          <w:lang w:val="en-US"/>
        </w:rPr>
      </w:pPr>
      <w:r w:rsidRPr="008725BE">
        <w:rPr>
          <w:rFonts w:ascii="Garamond" w:hAnsi="Garamond"/>
          <w:caps/>
          <w:lang w:val="en-US"/>
        </w:rPr>
        <w:t xml:space="preserve">1932  </w:t>
      </w:r>
      <w:hyperlink w:anchor="KS74" w:history="1">
        <w:r w:rsidRPr="008725BE">
          <w:rPr>
            <w:rStyle w:val="Lienhypertexte"/>
            <w:rFonts w:ascii="Garamond" w:hAnsi="Garamond"/>
            <w:lang w:val="en-US"/>
          </w:rPr>
          <w:t>Zur Gewinnung des Feuers</w:t>
        </w:r>
      </w:hyperlink>
      <w:r w:rsidRPr="008725BE">
        <w:rPr>
          <w:rFonts w:ascii="Garamond" w:hAnsi="Garamond"/>
          <w:lang w:val="en-US"/>
        </w:rPr>
        <w:t xml:space="preserve"> </w:t>
      </w:r>
    </w:p>
    <w:p w:rsidR="008725BE" w:rsidRPr="008725BE" w:rsidRDefault="008725BE" w:rsidP="008725BE">
      <w:pPr>
        <w:pStyle w:val="Sansinterligne"/>
        <w:rPr>
          <w:rFonts w:ascii="Garamond" w:hAnsi="Garamond"/>
          <w:lang w:val="en-US"/>
        </w:rPr>
      </w:pPr>
      <w:r w:rsidRPr="008725BE">
        <w:rPr>
          <w:rFonts w:ascii="Garamond" w:hAnsi="Garamond"/>
          <w:caps/>
          <w:lang w:val="en-US"/>
        </w:rPr>
        <w:t xml:space="preserve">1933  </w:t>
      </w:r>
      <w:hyperlink w:anchor="KS67" w:history="1">
        <w:r w:rsidRPr="008725BE">
          <w:rPr>
            <w:rStyle w:val="Lienhypertexte"/>
            <w:rFonts w:ascii="Garamond" w:hAnsi="Garamond"/>
            <w:lang w:val="en-US"/>
          </w:rPr>
          <w:t>Warum Krieg ?</w:t>
        </w:r>
      </w:hyperlink>
    </w:p>
    <w:p w:rsidR="008725BE" w:rsidRPr="008725BE" w:rsidRDefault="008725BE" w:rsidP="008725BE">
      <w:pPr>
        <w:pStyle w:val="Sansinterligne"/>
        <w:rPr>
          <w:rFonts w:ascii="Garamond" w:hAnsi="Garamond"/>
          <w:color w:val="003399"/>
          <w:lang w:val="en-US"/>
        </w:rPr>
      </w:pPr>
      <w:r w:rsidRPr="008725BE">
        <w:rPr>
          <w:rFonts w:ascii="Garamond" w:hAnsi="Garamond"/>
          <w:caps/>
          <w:color w:val="000000"/>
          <w:lang w:val="en-GB"/>
        </w:rPr>
        <w:t xml:space="preserve">1936  </w:t>
      </w:r>
      <w:hyperlink w:anchor="KS4" w:history="1">
        <w:r w:rsidRPr="008725BE">
          <w:rPr>
            <w:rStyle w:val="Lienhypertexte"/>
            <w:rFonts w:ascii="Garamond" w:hAnsi="Garamond" w:cs="Arial"/>
            <w:bCs/>
            <w:lang w:val="en-US"/>
          </w:rPr>
          <w:t>Brief an Romain Rolland</w:t>
        </w:r>
      </w:hyperlink>
    </w:p>
    <w:p w:rsidR="008725BE" w:rsidRPr="00F20BA5" w:rsidRDefault="008725BE" w:rsidP="008725BE">
      <w:pPr>
        <w:pStyle w:val="Sansinterligne"/>
        <w:rPr>
          <w:rFonts w:ascii="Garamond" w:hAnsi="Garamond"/>
          <w:caps/>
          <w:color w:val="000000"/>
          <w:lang w:val="en-US"/>
        </w:rPr>
      </w:pPr>
      <w:r w:rsidRPr="00F20BA5">
        <w:rPr>
          <w:rFonts w:ascii="Garamond" w:hAnsi="Garamond"/>
          <w:caps/>
          <w:color w:val="000000"/>
          <w:lang w:val="en-US"/>
        </w:rPr>
        <w:t xml:space="preserve">1940  </w:t>
      </w:r>
      <w:hyperlink w:anchor="KS21" w:history="1">
        <w:r w:rsidRPr="00F20BA5">
          <w:rPr>
            <w:rStyle w:val="Lienhypertexte"/>
            <w:rFonts w:ascii="Garamond" w:hAnsi="Garamond" w:cs="Arial"/>
            <w:bCs/>
            <w:lang w:val="en-US"/>
          </w:rPr>
          <w:t>Die Ichspaltung im Abwehrvorgang</w:t>
        </w:r>
      </w:hyperlink>
    </w:p>
    <w:p w:rsidR="008725BE" w:rsidRPr="008725BE" w:rsidRDefault="008725BE" w:rsidP="008725BE">
      <w:pPr>
        <w:pStyle w:val="Sansinterligne"/>
        <w:rPr>
          <w:rFonts w:ascii="Garamond" w:hAnsi="Garamond"/>
          <w:color w:val="003399"/>
        </w:rPr>
      </w:pPr>
      <w:r w:rsidRPr="008725BE">
        <w:rPr>
          <w:rFonts w:ascii="Garamond" w:hAnsi="Garamond"/>
          <w:caps/>
          <w:color w:val="000000"/>
        </w:rPr>
        <w:t xml:space="preserve">1940  </w:t>
      </w:r>
      <w:hyperlink w:anchor="KS23" w:history="1">
        <w:r w:rsidRPr="008725BE">
          <w:rPr>
            <w:rStyle w:val="Lienhypertexte"/>
            <w:rFonts w:ascii="Garamond" w:hAnsi="Garamond" w:cs="Arial"/>
            <w:bCs/>
          </w:rPr>
          <w:t>Die psychoanalytische Technik (Abriß)</w:t>
        </w:r>
      </w:hyperlink>
    </w:p>
    <w:p w:rsidR="008725BE" w:rsidRPr="008725BE" w:rsidRDefault="008725BE" w:rsidP="008725BE">
      <w:pPr>
        <w:pStyle w:val="Sansinterligne"/>
        <w:rPr>
          <w:rFonts w:ascii="Garamond" w:hAnsi="Garamond"/>
          <w:color w:val="000000"/>
        </w:rPr>
      </w:pPr>
      <w:r w:rsidRPr="008725BE">
        <w:rPr>
          <w:rFonts w:ascii="Garamond" w:hAnsi="Garamond"/>
          <w:caps/>
        </w:rPr>
        <w:t xml:space="preserve">1942  </w:t>
      </w:r>
      <w:hyperlink w:anchor="KS48" w:history="1">
        <w:r w:rsidRPr="008725BE">
          <w:rPr>
            <w:rStyle w:val="Lienhypertexte"/>
            <w:rFonts w:ascii="Garamond" w:hAnsi="Garamond"/>
          </w:rPr>
          <w:t>Psychopathische Personen auf der Bühne</w:t>
        </w:r>
      </w:hyperlink>
    </w:p>
    <w:p w:rsidR="008725BE" w:rsidRPr="008725BE" w:rsidRDefault="008725BE" w:rsidP="00130855">
      <w:pPr>
        <w:pStyle w:val="Sansinterligne"/>
        <w:rPr>
          <w:rFonts w:ascii="Garamond" w:hAnsi="Garamond"/>
          <w:lang w:eastAsia="fr-FR"/>
        </w:rPr>
      </w:pPr>
    </w:p>
    <w:p w:rsidR="00525700" w:rsidRPr="008725BE" w:rsidRDefault="00525700" w:rsidP="00130855">
      <w:pPr>
        <w:pStyle w:val="Sansinterligne"/>
        <w:rPr>
          <w:lang w:eastAsia="fr-FR"/>
        </w:rPr>
      </w:pPr>
    </w:p>
    <w:p w:rsidR="0018684C" w:rsidRPr="008725BE" w:rsidRDefault="0018684C" w:rsidP="00130855">
      <w:pPr>
        <w:pStyle w:val="Sansinterligne"/>
        <w:rPr>
          <w:rFonts w:ascii="Garamond" w:hAnsi="Garamond"/>
          <w:lang w:eastAsia="fr-FR"/>
        </w:rPr>
      </w:pPr>
    </w:p>
    <w:p w:rsidR="0018684C" w:rsidRPr="008725BE" w:rsidRDefault="0018684C" w:rsidP="00130855">
      <w:pPr>
        <w:pStyle w:val="Sansinterligne"/>
        <w:rPr>
          <w:rFonts w:ascii="Garamond" w:eastAsia="Times New Roman" w:hAnsi="Garamond" w:cs="Times New Roman"/>
          <w:bCs/>
          <w:lang w:eastAsia="fr-FR"/>
        </w:rPr>
      </w:pPr>
      <w:r w:rsidRPr="008725BE">
        <w:rPr>
          <w:rFonts w:ascii="Garamond" w:eastAsia="Times New Roman" w:hAnsi="Garamond" w:cs="Times New Roman"/>
          <w:bCs/>
          <w:lang w:eastAsia="fr-FR"/>
        </w:rPr>
        <w:t xml:space="preserve">                                                                                                                                                </w:t>
      </w:r>
    </w:p>
    <w:p w:rsidR="0018684C" w:rsidRPr="008725BE" w:rsidRDefault="0018684C" w:rsidP="00130855">
      <w:pPr>
        <w:pStyle w:val="Sansinterligne"/>
        <w:rPr>
          <w:rFonts w:ascii="Garamond" w:hAnsi="Garamond"/>
          <w:lang w:eastAsia="fr-FR"/>
        </w:rPr>
      </w:pPr>
    </w:p>
    <w:p w:rsidR="0018684C" w:rsidRPr="008725BE" w:rsidRDefault="0018684C" w:rsidP="00130855">
      <w:pPr>
        <w:pStyle w:val="Sansinterligne"/>
        <w:rPr>
          <w:rFonts w:ascii="Garamond" w:hAnsi="Garamond"/>
          <w:b/>
        </w:rPr>
      </w:pPr>
    </w:p>
    <w:p w:rsidR="0018684C" w:rsidRPr="008725BE" w:rsidRDefault="0018684C" w:rsidP="00130855">
      <w:pPr>
        <w:pStyle w:val="Sansinterligne"/>
        <w:rPr>
          <w:rFonts w:ascii="Garamond" w:hAnsi="Garamond"/>
          <w:b/>
        </w:rPr>
      </w:pPr>
    </w:p>
    <w:p w:rsidR="0018684C" w:rsidRPr="008725BE" w:rsidRDefault="0018684C" w:rsidP="00130855">
      <w:pPr>
        <w:pStyle w:val="Sansinterligne"/>
        <w:rPr>
          <w:rFonts w:ascii="Garamond" w:hAnsi="Garamond"/>
          <w:b/>
        </w:rPr>
      </w:pPr>
    </w:p>
    <w:p w:rsidR="0018684C" w:rsidRPr="008725BE" w:rsidRDefault="0018684C" w:rsidP="00130855">
      <w:pPr>
        <w:rPr>
          <w:rFonts w:ascii="Garamond" w:eastAsia="Times New Roman" w:hAnsi="Garamond" w:cs="Times New Roman"/>
          <w:b/>
          <w:bCs/>
          <w:lang w:eastAsia="fr-FR"/>
        </w:rPr>
      </w:pPr>
      <w:r w:rsidRPr="008725BE">
        <w:rPr>
          <w:rFonts w:ascii="Garamond" w:hAnsi="Garamond"/>
        </w:rPr>
        <w:br w:type="page"/>
      </w:r>
    </w:p>
    <w:p w:rsidR="005E1D01" w:rsidRDefault="00CB2E9F" w:rsidP="00130855">
      <w:pPr>
        <w:spacing w:before="100" w:beforeAutospacing="1" w:after="100" w:afterAutospacing="1" w:line="240" w:lineRule="auto"/>
        <w:outlineLvl w:val="1"/>
      </w:pPr>
      <w:r w:rsidRPr="005C1841">
        <w:rPr>
          <w:rFonts w:ascii="Garamond" w:eastAsia="Times New Roman" w:hAnsi="Garamond" w:cs="Times New Roman"/>
          <w:bCs/>
          <w:lang w:eastAsia="fr-FR"/>
        </w:rPr>
        <w:lastRenderedPageBreak/>
        <w:t>Da</w:t>
      </w:r>
      <w:bookmarkStart w:id="2" w:name="F29"/>
      <w:bookmarkEnd w:id="2"/>
      <w:r w:rsidRPr="005C1841">
        <w:rPr>
          <w:rFonts w:ascii="Garamond" w:eastAsia="Times New Roman" w:hAnsi="Garamond" w:cs="Times New Roman"/>
          <w:bCs/>
          <w:lang w:eastAsia="fr-FR"/>
        </w:rPr>
        <w:t xml:space="preserve">s Unbewußte                                                                                                                   </w:t>
      </w:r>
      <w:hyperlink w:anchor="Werke" w:history="1">
        <w:r w:rsidRPr="005C1841">
          <w:rPr>
            <w:rStyle w:val="Lienhypertexte"/>
            <w:rFonts w:ascii="Garamond" w:hAnsi="Garamond"/>
            <w:b/>
          </w:rPr>
          <w:t>Werke</w:t>
        </w:r>
      </w:hyperlink>
    </w:p>
    <w:p w:rsidR="007D5EBB" w:rsidRPr="005C1841" w:rsidRDefault="007D5EBB" w:rsidP="00130855">
      <w:pPr>
        <w:spacing w:before="100" w:beforeAutospacing="1" w:after="100" w:afterAutospacing="1" w:line="240" w:lineRule="auto"/>
        <w:outlineLvl w:val="1"/>
        <w:rPr>
          <w:rFonts w:ascii="Garamond" w:eastAsia="Times New Roman" w:hAnsi="Garamond" w:cs="Times New Roman"/>
          <w:lang w:eastAsia="fr-FR"/>
        </w:rPr>
      </w:pPr>
      <w:r w:rsidRPr="005C1841">
        <w:rPr>
          <w:rFonts w:ascii="Garamond" w:eastAsia="Times New Roman" w:hAnsi="Garamond" w:cs="Times New Roman"/>
          <w:lang w:eastAsia="fr-FR"/>
        </w:rPr>
        <w:t>(1915)</w:t>
      </w:r>
      <w:r w:rsidRPr="005C1841">
        <w:rPr>
          <w:rFonts w:ascii="Garamond" w:eastAsia="Times New Roman" w:hAnsi="Garamond" w:cs="Times New Roman"/>
          <w:vertAlign w:val="superscript"/>
          <w:lang w:eastAsia="fr-FR"/>
        </w:rPr>
        <w:t>*)</w:t>
      </w:r>
      <w:r w:rsidRPr="005C1841">
        <w:rPr>
          <w:rFonts w:ascii="Garamond" w:eastAsia="Times New Roman" w:hAnsi="Garamond" w:cs="Times New Roman"/>
          <w:lang w:eastAsia="fr-FR"/>
        </w:rPr>
        <w:t> </w:t>
      </w:r>
    </w:p>
    <w:p w:rsidR="007D5EBB" w:rsidRPr="005C1841" w:rsidRDefault="007D5EBB" w:rsidP="007D5EBB">
      <w:pPr>
        <w:spacing w:before="100" w:beforeAutospacing="1" w:after="100" w:afterAutospacing="1" w:line="240" w:lineRule="auto"/>
        <w:rPr>
          <w:rFonts w:ascii="Garamond" w:eastAsia="Times New Roman" w:hAnsi="Garamond" w:cs="Times New Roman"/>
          <w:lang w:eastAsia="fr-FR"/>
        </w:rPr>
      </w:pPr>
      <w:r w:rsidRPr="005C1841">
        <w:rPr>
          <w:rFonts w:ascii="Garamond" w:eastAsia="Times New Roman" w:hAnsi="Garamond" w:cs="Times New Roman"/>
          <w:vertAlign w:val="superscript"/>
          <w:lang w:eastAsia="fr-FR"/>
        </w:rPr>
        <w:t>*)</w:t>
      </w:r>
      <w:r w:rsidRPr="005C1841">
        <w:rPr>
          <w:rFonts w:ascii="Garamond" w:eastAsia="Times New Roman" w:hAnsi="Garamond" w:cs="Times New Roman"/>
          <w:lang w:eastAsia="fr-FR"/>
        </w:rPr>
        <w:t xml:space="preserve"> [Erstveröffentlichung: </w:t>
      </w:r>
      <w:r w:rsidRPr="005C1841">
        <w:rPr>
          <w:rFonts w:ascii="Garamond" w:eastAsia="Times New Roman" w:hAnsi="Garamond" w:cs="Times New Roman"/>
          <w:i/>
          <w:iCs/>
          <w:lang w:eastAsia="fr-FR"/>
        </w:rPr>
        <w:t>Internationale Zeitschrift für Ärztliche Psychoanalyse</w:t>
      </w:r>
      <w:r w:rsidRPr="005C1841">
        <w:rPr>
          <w:rFonts w:ascii="Garamond" w:eastAsia="Times New Roman" w:hAnsi="Garamond" w:cs="Times New Roman"/>
          <w:lang w:eastAsia="fr-FR"/>
        </w:rPr>
        <w:t xml:space="preserve">, Bd. 3 (4), 1915, S. 189-203. — </w:t>
      </w:r>
      <w:r w:rsidRPr="005C1841">
        <w:rPr>
          <w:rFonts w:ascii="Garamond" w:eastAsia="Times New Roman" w:hAnsi="Garamond" w:cs="Times New Roman"/>
          <w:i/>
          <w:iCs/>
          <w:lang w:eastAsia="fr-FR"/>
        </w:rPr>
        <w:t>Gesammelte Werke</w:t>
      </w:r>
      <w:r w:rsidRPr="005C1841">
        <w:rPr>
          <w:rFonts w:ascii="Garamond" w:eastAsia="Times New Roman" w:hAnsi="Garamond" w:cs="Times New Roman"/>
          <w:lang w:eastAsia="fr-FR"/>
        </w:rPr>
        <w:t>, Bd. 10, S. 264-303.]</w:t>
      </w:r>
    </w:p>
    <w:p w:rsidR="005E1D01" w:rsidRPr="005C1841" w:rsidRDefault="005E1D01" w:rsidP="005E1D01">
      <w:pPr>
        <w:pStyle w:val="Sansinterligne"/>
        <w:rPr>
          <w:rFonts w:ascii="Garamond" w:hAnsi="Garamond"/>
        </w:rPr>
      </w:pPr>
    </w:p>
    <w:p w:rsidR="005E1D01" w:rsidRDefault="005E1D01" w:rsidP="005E1D01">
      <w:pPr>
        <w:pStyle w:val="Sansinterligne"/>
        <w:rPr>
          <w:rFonts w:ascii="Garamond" w:hAnsi="Garamond"/>
        </w:rPr>
      </w:pPr>
      <w:r w:rsidRPr="005E1D01">
        <w:rPr>
          <w:rFonts w:ascii="Garamond" w:hAnsi="Garamond"/>
        </w:rPr>
        <w:t>In</w:t>
      </w:r>
      <w:bookmarkStart w:id="3" w:name="UnbInhalt"/>
      <w:bookmarkEnd w:id="3"/>
      <w:r w:rsidRPr="005E1D01">
        <w:rPr>
          <w:rFonts w:ascii="Garamond" w:hAnsi="Garamond"/>
        </w:rPr>
        <w:t>halt</w:t>
      </w:r>
    </w:p>
    <w:p w:rsidR="005E1D01" w:rsidRPr="005E1D01" w:rsidRDefault="005E1D01" w:rsidP="005E1D01">
      <w:pPr>
        <w:pStyle w:val="Sansinterligne"/>
        <w:rPr>
          <w:rFonts w:ascii="Garamond" w:hAnsi="Garamond"/>
        </w:rPr>
      </w:pPr>
    </w:p>
    <w:p w:rsidR="005E1D01" w:rsidRDefault="00B437A1" w:rsidP="00CE4D4E">
      <w:pPr>
        <w:pStyle w:val="Sansinterligne"/>
        <w:numPr>
          <w:ilvl w:val="0"/>
          <w:numId w:val="6"/>
        </w:numPr>
        <w:rPr>
          <w:rFonts w:ascii="Garamond" w:hAnsi="Garamond"/>
        </w:rPr>
      </w:pPr>
      <w:hyperlink w:anchor="Unb1" w:history="1">
        <w:r w:rsidR="005E1D01" w:rsidRPr="005E1D01">
          <w:rPr>
            <w:rStyle w:val="Lienhypertexte"/>
            <w:rFonts w:ascii="Garamond" w:hAnsi="Garamond"/>
          </w:rPr>
          <w:t>I. Die Rechtfertigung des Unbewussten</w:t>
        </w:r>
      </w:hyperlink>
    </w:p>
    <w:p w:rsidR="005E1D01" w:rsidRPr="005E1D01" w:rsidRDefault="005E1D01" w:rsidP="005E1D01">
      <w:pPr>
        <w:pStyle w:val="Sansinterligne"/>
        <w:ind w:left="720"/>
        <w:rPr>
          <w:rFonts w:ascii="Garamond" w:hAnsi="Garamond"/>
        </w:rPr>
      </w:pPr>
    </w:p>
    <w:p w:rsidR="005E1D01" w:rsidRDefault="00B437A1" w:rsidP="00CE4D4E">
      <w:pPr>
        <w:pStyle w:val="Sansinterligne"/>
        <w:numPr>
          <w:ilvl w:val="0"/>
          <w:numId w:val="6"/>
        </w:numPr>
        <w:rPr>
          <w:rFonts w:ascii="Garamond" w:hAnsi="Garamond"/>
          <w:lang w:val="en-US"/>
        </w:rPr>
      </w:pPr>
      <w:hyperlink w:anchor="Unb2" w:history="1">
        <w:r w:rsidR="005E1D01" w:rsidRPr="005E1D01">
          <w:rPr>
            <w:rStyle w:val="Lienhypertexte"/>
            <w:rFonts w:ascii="Garamond" w:hAnsi="Garamond"/>
            <w:lang w:val="en-US"/>
          </w:rPr>
          <w:t>II. Die Vieldeutigkeit des Unbewussten und der topische Gesichtspunkt</w:t>
        </w:r>
      </w:hyperlink>
    </w:p>
    <w:p w:rsidR="005E1D01" w:rsidRDefault="005E1D01" w:rsidP="005E1D01">
      <w:pPr>
        <w:pStyle w:val="Sansinterligne"/>
        <w:rPr>
          <w:rFonts w:ascii="Garamond" w:hAnsi="Garamond"/>
          <w:lang w:val="en-US"/>
        </w:rPr>
      </w:pPr>
    </w:p>
    <w:p w:rsidR="005E1D01" w:rsidRDefault="00B437A1" w:rsidP="00CE4D4E">
      <w:pPr>
        <w:pStyle w:val="Sansinterligne"/>
        <w:numPr>
          <w:ilvl w:val="0"/>
          <w:numId w:val="6"/>
        </w:numPr>
        <w:rPr>
          <w:rFonts w:ascii="Garamond" w:hAnsi="Garamond"/>
          <w:lang w:val="en-US"/>
        </w:rPr>
      </w:pPr>
      <w:hyperlink w:anchor="Unb3" w:history="1">
        <w:r w:rsidR="005E1D01" w:rsidRPr="005E1D01">
          <w:rPr>
            <w:rStyle w:val="Lienhypertexte"/>
            <w:rFonts w:ascii="Garamond" w:hAnsi="Garamond"/>
            <w:lang w:val="en-US"/>
          </w:rPr>
          <w:t>III. Unbewusste Gefühle</w:t>
        </w:r>
      </w:hyperlink>
    </w:p>
    <w:p w:rsidR="005E1D01" w:rsidRDefault="005E1D01" w:rsidP="005E1D01">
      <w:pPr>
        <w:pStyle w:val="Sansinterligne"/>
        <w:rPr>
          <w:rFonts w:ascii="Garamond" w:hAnsi="Garamond"/>
          <w:lang w:val="en-US"/>
        </w:rPr>
      </w:pPr>
    </w:p>
    <w:p w:rsidR="005E1D01" w:rsidRDefault="00B437A1" w:rsidP="00CE4D4E">
      <w:pPr>
        <w:pStyle w:val="Sansinterligne"/>
        <w:numPr>
          <w:ilvl w:val="0"/>
          <w:numId w:val="6"/>
        </w:numPr>
        <w:rPr>
          <w:rFonts w:ascii="Garamond" w:hAnsi="Garamond"/>
          <w:lang w:val="en-US"/>
        </w:rPr>
      </w:pPr>
      <w:hyperlink w:anchor="Unb4" w:history="1">
        <w:r w:rsidR="005E1D01" w:rsidRPr="005E1D01">
          <w:rPr>
            <w:rStyle w:val="Lienhypertexte"/>
            <w:rFonts w:ascii="Garamond" w:hAnsi="Garamond"/>
            <w:lang w:val="en-US"/>
          </w:rPr>
          <w:t>IV. Topik und Dynamik der Verdrängung</w:t>
        </w:r>
      </w:hyperlink>
    </w:p>
    <w:p w:rsidR="005E1D01" w:rsidRDefault="005E1D01" w:rsidP="005E1D01">
      <w:pPr>
        <w:pStyle w:val="Sansinterligne"/>
        <w:rPr>
          <w:rFonts w:ascii="Garamond" w:hAnsi="Garamond"/>
          <w:lang w:val="en-US"/>
        </w:rPr>
      </w:pPr>
    </w:p>
    <w:p w:rsidR="005E1D01" w:rsidRDefault="00B437A1" w:rsidP="00CE4D4E">
      <w:pPr>
        <w:pStyle w:val="Sansinterligne"/>
        <w:numPr>
          <w:ilvl w:val="0"/>
          <w:numId w:val="6"/>
        </w:numPr>
        <w:rPr>
          <w:rFonts w:ascii="Garamond" w:hAnsi="Garamond"/>
          <w:lang w:val="en-US"/>
        </w:rPr>
      </w:pPr>
      <w:hyperlink w:anchor="Unb5" w:history="1">
        <w:r w:rsidR="005E1D01" w:rsidRPr="005E1D01">
          <w:rPr>
            <w:rStyle w:val="Lienhypertexte"/>
            <w:rFonts w:ascii="Garamond" w:hAnsi="Garamond"/>
            <w:lang w:val="en-US"/>
          </w:rPr>
          <w:t>V. Die besonderen Eigenschaften des Systems Ubw</w:t>
        </w:r>
      </w:hyperlink>
    </w:p>
    <w:p w:rsidR="005E1D01" w:rsidRDefault="005E1D01" w:rsidP="005E1D01">
      <w:pPr>
        <w:pStyle w:val="Sansinterligne"/>
        <w:rPr>
          <w:rFonts w:ascii="Garamond" w:hAnsi="Garamond"/>
          <w:lang w:val="en-US"/>
        </w:rPr>
      </w:pPr>
    </w:p>
    <w:p w:rsidR="005E1D01" w:rsidRDefault="00B437A1" w:rsidP="00CE4D4E">
      <w:pPr>
        <w:pStyle w:val="Sansinterligne"/>
        <w:numPr>
          <w:ilvl w:val="0"/>
          <w:numId w:val="6"/>
        </w:numPr>
        <w:rPr>
          <w:rFonts w:ascii="Garamond" w:hAnsi="Garamond"/>
          <w:lang w:val="en-US"/>
        </w:rPr>
      </w:pPr>
      <w:hyperlink w:anchor="Unb6" w:history="1">
        <w:r w:rsidR="005E1D01" w:rsidRPr="005E1D01">
          <w:rPr>
            <w:rStyle w:val="Lienhypertexte"/>
            <w:rFonts w:ascii="Garamond" w:hAnsi="Garamond"/>
            <w:lang w:val="en-US"/>
          </w:rPr>
          <w:t>VI. Der Verkehr der beiden Systeme</w:t>
        </w:r>
      </w:hyperlink>
    </w:p>
    <w:p w:rsidR="005E1D01" w:rsidRDefault="005E1D01" w:rsidP="005E1D01">
      <w:pPr>
        <w:pStyle w:val="Sansinterligne"/>
        <w:rPr>
          <w:rFonts w:ascii="Garamond" w:hAnsi="Garamond"/>
          <w:lang w:val="en-US"/>
        </w:rPr>
      </w:pPr>
    </w:p>
    <w:p w:rsidR="005E1D01" w:rsidRPr="005E1D01" w:rsidRDefault="00B437A1" w:rsidP="00CE4D4E">
      <w:pPr>
        <w:pStyle w:val="Sansinterligne"/>
        <w:numPr>
          <w:ilvl w:val="0"/>
          <w:numId w:val="6"/>
        </w:numPr>
        <w:rPr>
          <w:rFonts w:ascii="Garamond" w:hAnsi="Garamond"/>
        </w:rPr>
      </w:pPr>
      <w:hyperlink w:anchor="Unb7" w:history="1">
        <w:r w:rsidR="005E1D01" w:rsidRPr="005E1D01">
          <w:rPr>
            <w:rStyle w:val="Lienhypertexte"/>
            <w:rFonts w:ascii="Garamond" w:hAnsi="Garamond"/>
          </w:rPr>
          <w:t>VII. Die Agnoszierung des Unbewussten</w:t>
        </w:r>
      </w:hyperlink>
    </w:p>
    <w:p w:rsidR="005E1D01" w:rsidRPr="005E1D01" w:rsidRDefault="005E1D01" w:rsidP="005E1D01">
      <w:pPr>
        <w:pStyle w:val="Sansinterligne"/>
        <w:rPr>
          <w:rFonts w:ascii="Garamond" w:hAnsi="Garamond"/>
        </w:rPr>
      </w:pPr>
    </w:p>
    <w:p w:rsidR="005E1D01" w:rsidRPr="007D5EBB" w:rsidRDefault="00B437A1" w:rsidP="00CE4D4E">
      <w:pPr>
        <w:pStyle w:val="Sansinterligne"/>
        <w:numPr>
          <w:ilvl w:val="0"/>
          <w:numId w:val="6"/>
        </w:numPr>
        <w:rPr>
          <w:rFonts w:ascii="Garamond" w:hAnsi="Garamond"/>
          <w:lang w:val="en-US"/>
        </w:rPr>
      </w:pPr>
      <w:hyperlink w:anchor="Unb8" w:history="1">
        <w:r w:rsidR="005E1D01" w:rsidRPr="005E1D01">
          <w:rPr>
            <w:rStyle w:val="Lienhypertexte"/>
            <w:rFonts w:ascii="Garamond" w:hAnsi="Garamond"/>
            <w:lang w:val="en-US"/>
          </w:rPr>
          <w:t>Anhang</w:t>
        </w:r>
      </w:hyperlink>
    </w:p>
    <w:p w:rsidR="007D5EBB" w:rsidRDefault="007D5EBB" w:rsidP="007D5EBB">
      <w:pPr>
        <w:pStyle w:val="Paragraphedeliste"/>
        <w:rPr>
          <w:rFonts w:ascii="Garamond" w:hAnsi="Garamond"/>
          <w:lang w:val="en-US"/>
        </w:rPr>
      </w:pPr>
    </w:p>
    <w:p w:rsidR="007D5EBB" w:rsidRDefault="007D5EBB" w:rsidP="007D5EBB">
      <w:pPr>
        <w:spacing w:before="100" w:beforeAutospacing="1" w:after="100" w:afterAutospacing="1" w:line="240" w:lineRule="auto"/>
        <w:rPr>
          <w:rFonts w:ascii="Garamond" w:eastAsia="Times New Roman" w:hAnsi="Garamond" w:cs="Times New Roman"/>
          <w:lang w:val="en-US" w:eastAsia="fr-FR"/>
        </w:rPr>
      </w:pPr>
    </w:p>
    <w:p w:rsidR="007D5EBB" w:rsidRPr="00A06A59" w:rsidRDefault="007D5EBB" w:rsidP="007D5EBB">
      <w:pPr>
        <w:spacing w:before="100" w:beforeAutospacing="1" w:after="100" w:afterAutospacing="1" w:line="240" w:lineRule="auto"/>
        <w:rPr>
          <w:rFonts w:ascii="Garamond" w:eastAsia="Times New Roman" w:hAnsi="Garamond" w:cs="Times New Roman"/>
          <w:lang w:val="en-US" w:eastAsia="fr-FR"/>
        </w:rPr>
      </w:pPr>
      <w:r w:rsidRPr="00A06A59">
        <w:rPr>
          <w:rFonts w:ascii="Garamond" w:eastAsia="Times New Roman" w:hAnsi="Garamond" w:cs="Times New Roman"/>
          <w:lang w:val="en-US" w:eastAsia="fr-FR"/>
        </w:rPr>
        <w:t>Wir haben aus der Psychoanalyse erfahren, das Wesen des Prozesses der Verdrängung bestehe nicht darin, eine den Trieb repräsentierende Vorstellung aufzuheben, zu vernichten, sondern sie vom Bewußtwerden abzuhalten. Wir sagen dann, sie befinde sich im Zustande des »Unbewußten«, und haben gute Beweise dafür vorzubringen, daß sie auch unbewußt Wirkungen äußern kann, auch solche, die endlich das Bewußtsein erreichen. Alles Verdrängte muß unbewußt bleiben, aber wir wollen gleich eingangs feststellen, daß das Verdrängte nicht alles Unbewußte deckt. Das Unbewußte hat den weiteren Umfang; das Verdrängte ist ein Teil des Unbewußten.</w:t>
      </w:r>
    </w:p>
    <w:p w:rsidR="007D5EBB" w:rsidRPr="00A06A59" w:rsidRDefault="007D5EBB" w:rsidP="007D5EBB">
      <w:pPr>
        <w:spacing w:before="100" w:beforeAutospacing="1" w:after="100" w:afterAutospacing="1" w:line="240" w:lineRule="auto"/>
        <w:rPr>
          <w:rFonts w:ascii="Garamond" w:eastAsia="Times New Roman" w:hAnsi="Garamond" w:cs="Times New Roman"/>
          <w:lang w:val="en-US" w:eastAsia="fr-FR"/>
        </w:rPr>
      </w:pPr>
      <w:r w:rsidRPr="00A06A59">
        <w:rPr>
          <w:rFonts w:ascii="Garamond" w:eastAsia="Times New Roman" w:hAnsi="Garamond" w:cs="Times New Roman"/>
          <w:lang w:val="en-US" w:eastAsia="fr-FR"/>
        </w:rPr>
        <w:t>Wie sollen wir zur Kenntnis des Unbewußten kommen? Wir kennen es natürlich nur als Bewußtes, nachdem es eine Umsetzung oder Übersetzung in Bewußtes erfahren hat. Die psychoanalytische Arbeit läßt uns alltäglich die Erfahrung machen, daß solche Übersetzung möglich ist. Es wird hiezu erfordert, daß der Analysierte gewisse Widerstände überwinde, die nämlichen, welche es seinerzeit durch Abweisung vom Bewußten zu einem Verdrängten gemacht haben. </w:t>
      </w:r>
    </w:p>
    <w:p w:rsidR="007D5EBB" w:rsidRPr="00A06A59" w:rsidRDefault="007D5EBB" w:rsidP="007D5EBB">
      <w:pPr>
        <w:spacing w:before="100" w:beforeAutospacing="1" w:after="100" w:afterAutospacing="1" w:line="240" w:lineRule="auto"/>
        <w:rPr>
          <w:rFonts w:ascii="Garamond" w:eastAsia="Times New Roman" w:hAnsi="Garamond" w:cs="Times New Roman"/>
          <w:lang w:val="en-US" w:eastAsia="fr-FR"/>
        </w:rPr>
      </w:pPr>
      <w:r w:rsidRPr="00A06A59">
        <w:rPr>
          <w:rFonts w:ascii="Garamond" w:eastAsia="Times New Roman" w:hAnsi="Garamond" w:cs="Times New Roman"/>
          <w:lang w:val="en-US" w:eastAsia="fr-FR"/>
        </w:rPr>
        <w:t>______________________</w:t>
      </w:r>
    </w:p>
    <w:p w:rsidR="007D5EBB" w:rsidRPr="00A06A59" w:rsidRDefault="007D5EBB" w:rsidP="007D5EBB">
      <w:pPr>
        <w:spacing w:before="100" w:beforeAutospacing="1" w:after="100" w:afterAutospacing="1" w:line="240" w:lineRule="auto"/>
        <w:rPr>
          <w:rFonts w:ascii="Garamond" w:eastAsia="Times New Roman" w:hAnsi="Garamond" w:cs="Times New Roman"/>
          <w:lang w:val="en-US" w:eastAsia="fr-FR"/>
        </w:rPr>
      </w:pPr>
      <w:r w:rsidRPr="00A06A59">
        <w:rPr>
          <w:rFonts w:ascii="Garamond" w:eastAsia="Times New Roman" w:hAnsi="Garamond" w:cs="Times New Roman"/>
          <w:vertAlign w:val="superscript"/>
          <w:lang w:val="en-US" w:eastAsia="fr-FR"/>
        </w:rPr>
        <w:t>1)</w:t>
      </w:r>
      <w:r w:rsidRPr="00A06A59">
        <w:rPr>
          <w:rFonts w:ascii="Garamond" w:eastAsia="Times New Roman" w:hAnsi="Garamond" w:cs="Times New Roman"/>
          <w:lang w:val="en-US" w:eastAsia="fr-FR"/>
        </w:rPr>
        <w:t xml:space="preserve"> Dieses für den Verdrängungsvorgang brauchbare Gleichnis kann auch über einen früher erwähnten Charakter der Verdrängung ausgedehnt werden. Ich brauche nur hinzuzufügen, daß ich die dem Gast verbotene Tür durch einen ständigen Wächter bewachen lassen muß, weil der Abgewiesene sie sonst aufsprengen würde. (S. oben.)</w:t>
      </w:r>
    </w:p>
    <w:p w:rsidR="007D5EBB" w:rsidRPr="005E1D01" w:rsidRDefault="007D5EBB" w:rsidP="007D5EBB">
      <w:pPr>
        <w:pStyle w:val="Sansinterligne"/>
        <w:rPr>
          <w:rFonts w:ascii="Garamond" w:hAnsi="Garamond"/>
          <w:lang w:val="en-US"/>
        </w:rPr>
      </w:pPr>
    </w:p>
    <w:p w:rsidR="005E1D01" w:rsidRPr="005E1D01" w:rsidRDefault="005E1D01" w:rsidP="005E1D01">
      <w:pPr>
        <w:spacing w:before="100" w:beforeAutospacing="1" w:after="100" w:afterAutospacing="1" w:line="240" w:lineRule="auto"/>
        <w:ind w:left="360"/>
        <w:outlineLvl w:val="1"/>
        <w:rPr>
          <w:lang w:val="en-US"/>
        </w:rPr>
      </w:pPr>
    </w:p>
    <w:p w:rsidR="00CB2E9F" w:rsidRPr="00A06A59" w:rsidRDefault="00B437A1" w:rsidP="00130855">
      <w:pPr>
        <w:pStyle w:val="Titre3"/>
        <w:rPr>
          <w:rFonts w:ascii="Garamond" w:hAnsi="Garamond"/>
          <w:lang w:val="en-US"/>
        </w:rPr>
      </w:pPr>
      <w:hyperlink w:anchor="UnbInhalt" w:history="1">
        <w:r w:rsidR="00CB2E9F" w:rsidRPr="005E1D01">
          <w:rPr>
            <w:rStyle w:val="Lienhypertexte"/>
            <w:rFonts w:ascii="Garamond" w:hAnsi="Garamond"/>
            <w:lang w:val="en-US"/>
          </w:rPr>
          <w:t>I. Di</w:t>
        </w:r>
        <w:bookmarkStart w:id="4" w:name="Unb1"/>
        <w:bookmarkEnd w:id="4"/>
        <w:r w:rsidR="00CB2E9F" w:rsidRPr="005E1D01">
          <w:rPr>
            <w:rStyle w:val="Lienhypertexte"/>
            <w:rFonts w:ascii="Garamond" w:hAnsi="Garamond"/>
            <w:lang w:val="en-US"/>
          </w:rPr>
          <w:t>e Rechtfertigung des Unbewussten</w:t>
        </w:r>
      </w:hyperlink>
    </w:p>
    <w:p w:rsidR="00CB2E9F" w:rsidRPr="00A06A59" w:rsidRDefault="00CB2E9F" w:rsidP="00130855">
      <w:pPr>
        <w:rPr>
          <w:rFonts w:ascii="Garamond" w:hAnsi="Garamond"/>
          <w:lang w:val="en-US"/>
        </w:rPr>
      </w:pPr>
    </w:p>
    <w:p w:rsidR="00CB2E9F" w:rsidRPr="00CB2E9F" w:rsidRDefault="00CB2E9F" w:rsidP="00130855">
      <w:pPr>
        <w:pStyle w:val="NormalWeb"/>
        <w:rPr>
          <w:rFonts w:ascii="Garamond" w:hAnsi="Garamond"/>
          <w:sz w:val="22"/>
          <w:szCs w:val="22"/>
          <w:lang w:val="en-US"/>
        </w:rPr>
      </w:pPr>
      <w:r w:rsidRPr="00A06A59">
        <w:rPr>
          <w:rFonts w:ascii="Garamond" w:hAnsi="Garamond"/>
          <w:sz w:val="22"/>
          <w:szCs w:val="22"/>
          <w:lang w:val="en-US"/>
        </w:rPr>
        <w:t xml:space="preserve">Die Berechtigung, ein unbewußtes Seelisches anzunehmen und mit dieser Annahme wissenschaftlich zu arbeiten, wird uns von vielen Seiten bestritten. Wir können dagegen anführen, daß die Annahme des Unbewußten </w:t>
      </w:r>
      <w:r w:rsidRPr="00A06A59">
        <w:rPr>
          <w:rFonts w:ascii="Garamond" w:hAnsi="Garamond"/>
          <w:i/>
          <w:iCs/>
          <w:sz w:val="22"/>
          <w:szCs w:val="22"/>
          <w:lang w:val="en-US"/>
        </w:rPr>
        <w:t>notwendig</w:t>
      </w:r>
      <w:r w:rsidRPr="00A06A59">
        <w:rPr>
          <w:rFonts w:ascii="Garamond" w:hAnsi="Garamond"/>
          <w:sz w:val="22"/>
          <w:szCs w:val="22"/>
          <w:lang w:val="en-US"/>
        </w:rPr>
        <w:t xml:space="preserve"> und </w:t>
      </w:r>
      <w:r w:rsidRPr="00A06A59">
        <w:rPr>
          <w:rFonts w:ascii="Garamond" w:hAnsi="Garamond"/>
          <w:i/>
          <w:iCs/>
          <w:sz w:val="22"/>
          <w:szCs w:val="22"/>
          <w:lang w:val="en-US"/>
        </w:rPr>
        <w:t>legitim</w:t>
      </w:r>
      <w:r w:rsidRPr="00A06A59">
        <w:rPr>
          <w:rFonts w:ascii="Garamond" w:hAnsi="Garamond"/>
          <w:sz w:val="22"/>
          <w:szCs w:val="22"/>
          <w:lang w:val="en-US"/>
        </w:rPr>
        <w:t xml:space="preserve"> ist und daß wir für die Existenz des Unbewußten mehrfache </w:t>
      </w:r>
      <w:r w:rsidRPr="00A06A59">
        <w:rPr>
          <w:rFonts w:ascii="Garamond" w:hAnsi="Garamond"/>
          <w:i/>
          <w:iCs/>
          <w:sz w:val="22"/>
          <w:szCs w:val="22"/>
          <w:lang w:val="en-US"/>
        </w:rPr>
        <w:t>Beweise</w:t>
      </w:r>
      <w:r w:rsidRPr="00A06A59">
        <w:rPr>
          <w:rFonts w:ascii="Garamond" w:hAnsi="Garamond"/>
          <w:sz w:val="22"/>
          <w:szCs w:val="22"/>
          <w:lang w:val="en-US"/>
        </w:rPr>
        <w:t xml:space="preserve"> besitzen. Sie ist notwendig, weil die Daten des Bewußtseins in hohem Grade lückenhaft sind; sowohl bei Gesunden als bei Kranken kommen häufig psychische Akte vor, welche zu ihrer Erklärung andere Akte voraussetzen, für die aber das Bewußtsein nicht zeugt. Solche Akte sind nicht nur die Fehlhandlungen und die Träume bei Gesunden, alles, was man psychische Symptome und Zwangserscheinungen heißt, bei Kranken — unsere persönlichste tägliche Erfahrung macht uns mit Einfällen bekannt, de</w:t>
      </w:r>
      <w:r w:rsidRPr="00A06A59">
        <w:rPr>
          <w:rFonts w:ascii="Garamond" w:hAnsi="Garamond"/>
          <w:sz w:val="22"/>
          <w:szCs w:val="22"/>
          <w:lang w:val="en-US"/>
        </w:rPr>
        <w:softHyphen/>
        <w:t>ren Herkunft wir nicht kennen, und mit Denkresultaten, deren Ausarbeitung uns verborgen geblieben ist. Alle diese bewußten Akte blieben zusammen</w:t>
      </w:r>
      <w:r w:rsidRPr="00A06A59">
        <w:rPr>
          <w:rFonts w:ascii="Garamond" w:hAnsi="Garamond"/>
          <w:sz w:val="22"/>
          <w:szCs w:val="22"/>
          <w:lang w:val="en-US"/>
        </w:rPr>
        <w:softHyphen/>
        <w:t xml:space="preserve">hanglos und unverständlich, wenn wir den Anspruch festhalten wollen, daß wir auch alles durchs Bewußtsein erfahren müssen, was an seelischen Akten in uns vorgeht, und ordnen sich in einen aufzeigbaren Zusammenhang ein, wenn wir die erschlossenen unbewußten Akte interpolieren. </w:t>
      </w:r>
      <w:r w:rsidRPr="00CB2E9F">
        <w:rPr>
          <w:rFonts w:ascii="Garamond" w:hAnsi="Garamond"/>
          <w:sz w:val="22"/>
          <w:szCs w:val="22"/>
          <w:lang w:val="en-US"/>
        </w:rPr>
        <w:t xml:space="preserve">Gewinn an Sinn und Zusammenhang ist aber ein vollberechtigtes Motiv, das uns über die unmittelbare Erfahrung hinaus führen darf. Zeigt es sich dann noch, daß wir auf die Annahme des Unbewußten ein erfolgreiches Handeln aufbauen können, durch welches wir den Ablauf der bewußten Vorgänge zweckdienlich beeinflussen, so haben wir in diesem Erfolg einen unanfechtbaren Beweis für die Existenz des Angenommenen gewonnen. Man muß sich dann auf den Standpunkt stellen, es sei nichts anderes als eine </w:t>
      </w:r>
      <w:r w:rsidRPr="00CB2E9F">
        <w:rPr>
          <w:rFonts w:ascii="Garamond" w:hAnsi="Garamond"/>
          <w:i/>
          <w:iCs/>
          <w:sz w:val="22"/>
          <w:szCs w:val="22"/>
          <w:lang w:val="en-US"/>
        </w:rPr>
        <w:t>unhaltbare Anmaßung,</w:t>
      </w:r>
      <w:r w:rsidRPr="00CB2E9F">
        <w:rPr>
          <w:rFonts w:ascii="Garamond" w:hAnsi="Garamond"/>
          <w:sz w:val="22"/>
          <w:szCs w:val="22"/>
          <w:lang w:val="en-US"/>
        </w:rPr>
        <w:t xml:space="preserve"> zu fordern, daß alles, was im Seelischen vorgeht, auch dem Bewußtsein bekannt werden müsse.</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Man kann weitergehen und zur Unterstützung eines unbewußten psychi</w:t>
      </w:r>
      <w:r w:rsidRPr="00CB2E9F">
        <w:rPr>
          <w:rFonts w:ascii="Garamond" w:hAnsi="Garamond"/>
          <w:sz w:val="22"/>
          <w:szCs w:val="22"/>
          <w:lang w:val="en-US"/>
        </w:rPr>
        <w:softHyphen/>
        <w:t>schen Zustandes anführen, daß das Bewußtsein in jedem Moment nur einen geringen Inhalt umfaßt, so daß der größte Teil dessen, was wir bewußte Kenntnis heißen, sich ohnedies über die längsten Zeiten im Zustande der Latenz, also in einem Zustande von psychischer Unbewußtheit, befinden muß. Der Widerspruch gegen das Unbewußte würde mit Rücksicht auf alle unsere latenten Erinnerungen völlig unbegreiflich werden. Wir stoßen dann auf den Einwand, daß diese latenten Erinnerungen nicht mehr als psychisch zu bezeichnen seien, sondern den Resten von somatischen Vorgängen entsprechen, aus denen das Psychische wieder hervorgehen kann. Es liegt nahe zu erwidern, die latente Erinnerung sei im Gegenteil ein unzweifelhafter Rückstand eines psychischen Vorganges. Wichtiger ist es aber sich klarzuma</w:t>
      </w:r>
      <w:r w:rsidRPr="00CB2E9F">
        <w:rPr>
          <w:rFonts w:ascii="Garamond" w:hAnsi="Garamond"/>
          <w:sz w:val="22"/>
          <w:szCs w:val="22"/>
          <w:lang w:val="en-US"/>
        </w:rPr>
        <w:softHyphen/>
        <w:t xml:space="preserve">chen, daß der Einwand auf der nicht ausgesprochenen, aber von vornherein fixierten Gleichstellung des Bewußten mit dem Seelischen ruht. </w:t>
      </w:r>
      <w:r w:rsidRPr="00CB2E9F">
        <w:rPr>
          <w:rFonts w:ascii="Garamond" w:hAnsi="Garamond"/>
          <w:sz w:val="22"/>
          <w:szCs w:val="22"/>
        </w:rPr>
        <w:t>Diese Gleich</w:t>
      </w:r>
      <w:r w:rsidRPr="00CB2E9F">
        <w:rPr>
          <w:rFonts w:ascii="Garamond" w:hAnsi="Garamond"/>
          <w:sz w:val="22"/>
          <w:szCs w:val="22"/>
        </w:rPr>
        <w:softHyphen/>
        <w:t xml:space="preserve">stellung ist entweder eine </w:t>
      </w:r>
      <w:r w:rsidRPr="00CB2E9F">
        <w:rPr>
          <w:rFonts w:ascii="Garamond" w:hAnsi="Garamond"/>
          <w:i/>
          <w:iCs/>
          <w:sz w:val="22"/>
          <w:szCs w:val="22"/>
        </w:rPr>
        <w:t>petitio principii,</w:t>
      </w:r>
      <w:r w:rsidRPr="00CB2E9F">
        <w:rPr>
          <w:rFonts w:ascii="Garamond" w:hAnsi="Garamond"/>
          <w:sz w:val="22"/>
          <w:szCs w:val="22"/>
        </w:rPr>
        <w:t xml:space="preserve"> welche die Frage, ob alles Psychi</w:t>
      </w:r>
      <w:r w:rsidRPr="00CB2E9F">
        <w:rPr>
          <w:rFonts w:ascii="Garamond" w:hAnsi="Garamond"/>
          <w:sz w:val="22"/>
          <w:szCs w:val="22"/>
        </w:rPr>
        <w:softHyphen/>
        <w:t xml:space="preserve">sche auch bewußt sein müsse, nicht zuläßt, oder eine Sache der Konvention, der Nomenklatur. </w:t>
      </w:r>
      <w:r w:rsidRPr="00CB2E9F">
        <w:rPr>
          <w:rFonts w:ascii="Garamond" w:hAnsi="Garamond"/>
          <w:sz w:val="22"/>
          <w:szCs w:val="22"/>
          <w:lang w:val="en-US"/>
        </w:rPr>
        <w:t>In letzterem Charakter ist sie natürlich wie jede Konvention unwiderlegbar. Es bleibt nur die Frage offen, ob sie sich als so zweckmäßig erweist, daß man sich ihr anschließen muß. Man darf antworten, die konven</w:t>
      </w:r>
      <w:r w:rsidRPr="00CB2E9F">
        <w:rPr>
          <w:rFonts w:ascii="Garamond" w:hAnsi="Garamond"/>
          <w:sz w:val="22"/>
          <w:szCs w:val="22"/>
          <w:lang w:val="en-US"/>
        </w:rPr>
        <w:softHyphen/>
        <w:t>tionelle Gleichstellung des Psychischen mit dem Bewußten ist durchaus unzweckmäßig. Sie zerreißt die psychischen Kontinuitäten, stürzt uns in die unlösbaren Schwierigkeiten des psychophysischen Parallelismus, unterliegt dem Vorwurf, daß sie ohne einsichtliche Begründung die Rolle des Bewußtseins überschätzt, und nötigt uns, das Gebiet der psychologischen Forschung vorzeitig zu verlassen, ohne uns von anderen Gebieten her Entschädigung bringen zu können.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Immerhin ist es klar, daß die Frage, ob man die unabweisbaren latenten Zustände des Seelenlebens als unbewußte seelische oder als physische auffassen soll, auf einen Wortstreit hinauszulaufen droht. Es ist darum ratsam, das in den Vordergrund zu rücken, was uns von der Natur dieser fraglichen Zustände mit Sicherheit bekannt ist. Nun sind sie uns nach ihren physischen Charakteren vollkommen unzugänglich; keine physiologische Vorstellung, kein chemischer Prozeß kann uns eine Ahnung von ihrem Wesen vermitteln. Auf der anderen Seite steht fest, daß sie mit den bewußten seelischen Vorgängen die ausgiebigste Berührung haben; sie lassen sich mit einer gewissen Arbeitsleistung in sie umsetzen, durch sie ersetzen, und sie können mit all den Kategorien beschrieben werden, die wir auf die bewußten Seelenakte anwenden, als Vorstellungen, Strebungen, Entschließungen u. dgl. Ja, von manchen dieser latenten Zustände müssen wir aussagen, sie unterscheiden sich von den bewußten eben nur durch den Wegfall des Bewußtseins. Wir werden also nicht zögern, sie als Objekte psychologischer Forschung und in innigstem Zusammenhang mit den bewußten seelischen Akten zu behandeln.</w:t>
      </w:r>
    </w:p>
    <w:p w:rsidR="00CB2E9F" w:rsidRPr="00CB2E9F" w:rsidRDefault="00CB2E9F" w:rsidP="00130855">
      <w:pPr>
        <w:pStyle w:val="NormalWeb"/>
        <w:rPr>
          <w:rFonts w:ascii="Garamond" w:hAnsi="Garamond"/>
          <w:sz w:val="22"/>
          <w:szCs w:val="22"/>
        </w:rPr>
      </w:pPr>
      <w:r w:rsidRPr="00CB2E9F">
        <w:rPr>
          <w:rFonts w:ascii="Garamond" w:hAnsi="Garamond"/>
          <w:sz w:val="22"/>
          <w:szCs w:val="22"/>
          <w:lang w:val="en-US"/>
        </w:rPr>
        <w:lastRenderedPageBreak/>
        <w:t xml:space="preserve">Die hartnäckige Ablehnung des psychischen Charakters der latenten seelischen Akte erklärt sich daraus, daß die meisten der in Betracht kommenden Phänomene außerhalb der Psychoanalyse nicht Gegenstand des Studiums geworden sind. Wer die pathologischen Tatsachen nicht kennt, die Fehlhandlungen der Normalen als Zufälligkeiten gelten läßt und sich bei der alten Weisheit bescheidet, Träume seien Schäume, der braucht dann nur noch einige Rätsel der Bewußtseinspsychologie zu vernachlässigen, um sich die Annahme unbewußter seelischer Tätigkeit zu ersparen. </w:t>
      </w:r>
      <w:r w:rsidRPr="00CB2E9F">
        <w:rPr>
          <w:rFonts w:ascii="Garamond" w:hAnsi="Garamond"/>
          <w:sz w:val="22"/>
          <w:szCs w:val="22"/>
        </w:rPr>
        <w:t>Übrigens haben die hypnotischen Experimente, besonders die posthypnotische Suggestion, Existenz und Wirkungsweise des seelisch Unbewußten bereits vor der Zeit der Psychoanalyse sinnfällig demonstriert.</w:t>
      </w:r>
    </w:p>
    <w:p w:rsidR="00CB2E9F" w:rsidRPr="00CB2E9F" w:rsidRDefault="00CB2E9F" w:rsidP="00130855">
      <w:pPr>
        <w:pStyle w:val="NormalWeb"/>
        <w:rPr>
          <w:rFonts w:ascii="Garamond" w:hAnsi="Garamond"/>
          <w:sz w:val="22"/>
          <w:szCs w:val="22"/>
        </w:rPr>
      </w:pPr>
      <w:r w:rsidRPr="00CB2E9F">
        <w:rPr>
          <w:rFonts w:ascii="Garamond" w:hAnsi="Garamond"/>
          <w:sz w:val="22"/>
          <w:szCs w:val="22"/>
        </w:rPr>
        <w:t xml:space="preserve">Die Annahme des Unbewußten ist aber auch eine völlig </w:t>
      </w:r>
      <w:r w:rsidRPr="00CB2E9F">
        <w:rPr>
          <w:rFonts w:ascii="Garamond" w:hAnsi="Garamond"/>
          <w:i/>
          <w:iCs/>
          <w:sz w:val="22"/>
          <w:szCs w:val="22"/>
        </w:rPr>
        <w:t>legitime,</w:t>
      </w:r>
      <w:r w:rsidRPr="00CB2E9F">
        <w:rPr>
          <w:rFonts w:ascii="Garamond" w:hAnsi="Garamond"/>
          <w:sz w:val="22"/>
          <w:szCs w:val="22"/>
        </w:rPr>
        <w:t xml:space="preserve"> insofern wir bei ihrer Aufstellung keinen Schritt von unserer gewohnten, für korrekt gehaltenen Denkweise abweichen. Das Bewußtsein vermittelt jedem einzelnen von uns nur die Kenntnis von eigenen Seelenzuständen; daß auch ein anderer Mensch ein Bewußtsein hat, ist ein Schluß, der </w:t>
      </w:r>
      <w:r w:rsidRPr="00CB2E9F">
        <w:rPr>
          <w:rFonts w:ascii="Garamond" w:hAnsi="Garamond"/>
          <w:i/>
          <w:iCs/>
          <w:sz w:val="22"/>
          <w:szCs w:val="22"/>
        </w:rPr>
        <w:t>per analogiam</w:t>
      </w:r>
      <w:r w:rsidRPr="00CB2E9F">
        <w:rPr>
          <w:rFonts w:ascii="Garamond" w:hAnsi="Garamond"/>
          <w:sz w:val="22"/>
          <w:szCs w:val="22"/>
        </w:rPr>
        <w:t xml:space="preserve"> auf Grund der wahrnehmbaren Äußerungen und Handlungen dieses anderen gezogen wird, um uns dieses Benehmen des anderen verständlich zu machen. (Psychologisch richtiger ist wohl die Beschreibung, daß wir ohne besondere Überlegung jedem anderen außer uns unsere eigene Konstitution, und also auch unser Bewußtsein, beilegen und daß diese Identifizierung die Voraussetzung unseres Verständnisses ist.) Dieser Schluß — oder diese Identifizierung — wurde einst vom Ich auf andere Menschen, Tiere, Pflanzen, Unbelebtes und auf das Ganze der Welt ausgedehnt und erwies sich als brauchbar, solange die Ähnlichkeit mit dem Einzel-Ich eine überwältigend große war, wurde aber in dem Maße unverläßlicher, als sich das andere vom Ich entfernte. Unsere heutige Kritik wird bereits beim Bewußtsein der Tiere unsicher, verweigert sich dem Bewußtsein der Pflanzen und weist die Annahme eines Bewußtseins des Unbelebten der Mystik zu. Aber auch, wo die ursprüngliche Identifizierungsneigung die kritische Prüfung bestanden hat, bei dem uns nächsten menschlichen anderen, ruht die Annahme eines Bewußtseins auf einem Schluß und kann nicht die unmittelbare Sicherheit unseres eigenen Bewußtseins teilen.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rPr>
        <w:t>Die Psychoanalyse fordert nun nichts anderes, als daß dieses Schluß</w:t>
      </w:r>
      <w:r w:rsidRPr="00CB2E9F">
        <w:rPr>
          <w:rFonts w:ascii="Garamond" w:hAnsi="Garamond"/>
          <w:sz w:val="22"/>
          <w:szCs w:val="22"/>
        </w:rPr>
        <w:softHyphen/>
        <w:t xml:space="preserve">verfahren auch gegen die eigene Person gewendet werde, wozu eine konstitutionelle Neigung allerdings nicht besteht. </w:t>
      </w:r>
      <w:r w:rsidRPr="00CB2E9F">
        <w:rPr>
          <w:rFonts w:ascii="Garamond" w:hAnsi="Garamond"/>
          <w:sz w:val="22"/>
          <w:szCs w:val="22"/>
          <w:lang w:val="en-US"/>
        </w:rPr>
        <w:t>Geht man so vor, so muß man sagen, alle die Akte und Äußerungen, die ich an mir bemerke und mit meinem sonstigen psychischen Leben nicht zu verknüpfen weiß, müssen beurteilt werden, als ob sie einer anderen Person angehörten, und sollen durch ein ihr zugeschriebenes Seelenleben Aufklärung finden. Die Erfahrung zeigt auch, daß man dieselben Akte, denen man bei der eigenen Person die psychische Anerkennung verweigert, bei anderen sehr wohl zu deuten, d. h. in den seelischen Zusammenhang einzureihen versteht. Unsere Forschung wird hier offenbar durch ein besonderes Hindernis von der eigenen Person abgelenkt und an deren richtiger Erkenntnis behindert.</w:t>
      </w:r>
    </w:p>
    <w:p w:rsidR="00CB2E9F" w:rsidRPr="00CB2E9F" w:rsidRDefault="00CB2E9F" w:rsidP="00130855">
      <w:pPr>
        <w:pStyle w:val="NormalWeb"/>
        <w:rPr>
          <w:rFonts w:ascii="Garamond" w:hAnsi="Garamond"/>
          <w:sz w:val="22"/>
          <w:szCs w:val="22"/>
          <w:lang w:val="en-US"/>
        </w:rPr>
      </w:pPr>
      <w:r w:rsidRPr="00A06A59">
        <w:rPr>
          <w:rFonts w:ascii="Garamond" w:hAnsi="Garamond"/>
          <w:sz w:val="22"/>
          <w:szCs w:val="22"/>
          <w:lang w:val="en-US"/>
        </w:rPr>
        <w:t xml:space="preserve">Dies trotz inneren Widerstrebens gegen die eigene Person gewendete Schlußverfahren führt nun nicht zur Aufdeckung eines Unbewußten, sondern korrekterweise zur Annahme eines anderen, zweiten Bewußtseins, welches mit dem mir bekannten in meiner Person vereinigt ist. Allein hier findet die Kritik berechtigten Anlaß, einiges einzuwerfen. Erstens ist ein Bewußtsein, von dem der eigene Träger nichts weiß, noch etwas anderes als ein fremdes Bewußtsein, und es wird fraglich, ob ein solches Bewußtsein, dem der wichtigste Charakter abgeht, überhaupt noch Diskussion verdient. Wer sich gegen die Annahme eines unbewußten Psychischen gesträubt hat, der wird nicht zufrieden sein können, dafür ein </w:t>
      </w:r>
      <w:r w:rsidRPr="00A06A59">
        <w:rPr>
          <w:rFonts w:ascii="Garamond" w:hAnsi="Garamond"/>
          <w:i/>
          <w:iCs/>
          <w:sz w:val="22"/>
          <w:szCs w:val="22"/>
          <w:lang w:val="en-US"/>
        </w:rPr>
        <w:t>unbewußtes Bewußtsein</w:t>
      </w:r>
      <w:r w:rsidRPr="00A06A59">
        <w:rPr>
          <w:rFonts w:ascii="Garamond" w:hAnsi="Garamond"/>
          <w:sz w:val="22"/>
          <w:szCs w:val="22"/>
          <w:lang w:val="en-US"/>
        </w:rPr>
        <w:t xml:space="preserve"> einzutauschen. Zweitens weist die Analyse darauf hin, daß die einzelnen latenten Seelen</w:t>
      </w:r>
      <w:r w:rsidRPr="00A06A59">
        <w:rPr>
          <w:rFonts w:ascii="Garamond" w:hAnsi="Garamond"/>
          <w:sz w:val="22"/>
          <w:szCs w:val="22"/>
          <w:lang w:val="en-US"/>
        </w:rPr>
        <w:softHyphen/>
        <w:t>vorgänge, die wir erschließen, sich eines hohen Grades von gegenseitiger Unabhängigkeit erfreuen, so als ob sie miteinander nicht in Verbindung stünden und nichts voneinander wüßten. Wir müssen also bereit sein, nicht nur ein zweites Bewußtsein in uns anzunehmen, sondern auch ein drittes, viertes, vielleicht eine unabschließbare Reihe von Bewußtseinszuständen, die sämtlich uns und miteinander unbekannt sind. Drittens kommt als schwerstes Argument in Betracht, daß wir durch die analytische Untersuchung erfahren, ein Teil dieser latenten Vorgänge besitze Charaktere und Eigentümlichkeiten, welche uns fremd, selbst unglaublich erscheinen und den uns bekannten Eigenschaften des Bewußtseins direkt zuwiderlaufen. Somit werden wir Grund haben, den gegen die eigene Person gewendeten Schluß dahin abzu</w:t>
      </w:r>
      <w:r w:rsidRPr="00A06A59">
        <w:rPr>
          <w:rFonts w:ascii="Garamond" w:hAnsi="Garamond"/>
          <w:sz w:val="22"/>
          <w:szCs w:val="22"/>
          <w:lang w:val="en-US"/>
        </w:rPr>
        <w:softHyphen/>
        <w:t xml:space="preserve">ändern, er beweise uns nicht ein zweites Bewußtsein in uns, sondern die Existenz von psychischen Akten, welche des Bewußtseins entbehren. </w:t>
      </w:r>
      <w:r w:rsidRPr="00CB2E9F">
        <w:rPr>
          <w:rFonts w:ascii="Garamond" w:hAnsi="Garamond"/>
          <w:sz w:val="22"/>
          <w:szCs w:val="22"/>
          <w:lang w:val="en-US"/>
        </w:rPr>
        <w:t xml:space="preserve">Wir werden auch die Bezeichnung eines »Unterbewußtseins« als inkorrekt und irreführend ablehnen dürfen. Die bekannten Fälle von </w:t>
      </w:r>
      <w:r w:rsidRPr="00CB2E9F">
        <w:rPr>
          <w:rFonts w:ascii="Garamond" w:hAnsi="Garamond"/>
          <w:i/>
          <w:iCs/>
          <w:sz w:val="22"/>
          <w:szCs w:val="22"/>
          <w:lang w:val="en-US"/>
        </w:rPr>
        <w:t>»double con</w:t>
      </w:r>
      <w:r w:rsidRPr="00CB2E9F">
        <w:rPr>
          <w:rFonts w:ascii="Garamond" w:hAnsi="Garamond"/>
          <w:sz w:val="22"/>
          <w:szCs w:val="22"/>
          <w:lang w:val="en-US"/>
        </w:rPr>
        <w:softHyphen/>
      </w:r>
      <w:r w:rsidRPr="00CB2E9F">
        <w:rPr>
          <w:rFonts w:ascii="Garamond" w:hAnsi="Garamond"/>
          <w:i/>
          <w:iCs/>
          <w:sz w:val="22"/>
          <w:szCs w:val="22"/>
          <w:lang w:val="en-US"/>
        </w:rPr>
        <w:t>science«</w:t>
      </w:r>
      <w:r w:rsidRPr="00CB2E9F">
        <w:rPr>
          <w:rFonts w:ascii="Garamond" w:hAnsi="Garamond"/>
          <w:sz w:val="22"/>
          <w:szCs w:val="22"/>
          <w:lang w:val="en-US"/>
        </w:rPr>
        <w:t xml:space="preserve"> (Bewußtseinsspaltung) beweisen nichts gegen unsere Auffassung. Sie lassen sich am zutreffendsten </w:t>
      </w:r>
      <w:r w:rsidRPr="00CB2E9F">
        <w:rPr>
          <w:rFonts w:ascii="Garamond" w:hAnsi="Garamond"/>
          <w:sz w:val="22"/>
          <w:szCs w:val="22"/>
          <w:lang w:val="en-US"/>
        </w:rPr>
        <w:lastRenderedPageBreak/>
        <w:t>beschreiben als Fälle von Spaltung der seelischen Tätigkeiten in zwei Gruppen, wobei sich dann das nämliche Bewußtsein alternierend dem einen oder dem anderen Lager zuwendet.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Es bleibt uns in der Psychoanalyse gar nichts anderes übrig, als die seeli</w:t>
      </w:r>
      <w:r w:rsidRPr="00CB2E9F">
        <w:rPr>
          <w:rFonts w:ascii="Garamond" w:hAnsi="Garamond"/>
          <w:sz w:val="22"/>
          <w:szCs w:val="22"/>
          <w:lang w:val="en-US"/>
        </w:rPr>
        <w:softHyphen/>
        <w:t>schen Vorgänge für an sich unbewußt zu erklären und ihre Wahrnehmung durch das Bewußtsein mit der Wahrnehmung der Außenwelt durch die Sinnesorgane zu vergleichen. Wir hoffen sogar aus diesem Vergleich einen Gewinn für unsere Erkenntnis zu ziehen. Die psychoanalytische Annahme der unbewußten Seelentätigkeit erscheint uns einerseits als eine weitere Fortbildung des primitiven Animismus, der uns überall Ebenbilder unseres Bewußtseins vorspiegelte, und anderseits als die Fortsetzung der Korrektur, die Kant an unserer Auffassung der äußeren Wahrnehmung vorgenommen hat. Wie Kant uns gewarnt hat, die subjektive Bedingtheit unserer Wahrnehmung nicht zu übersehen und unsere Wahrnehmung nicht für identisch mit dem unerkennbaren Wahrgenommenen zu halten, so mahnt die Psychoanalyse, die Bewußtseinswahrnehmung nicht an die Stelle des unbewußten psychischen Vorganges zu setzen, welcher ihr Objekt ist. Wie das Physische, so braucht auch das Psychische nicht in Wirklichkeit so zu sein, wie es uns erscheint. Wir werden uns aber mit Befriedigung auf die Erfahrung vorbereiten, daß die Korrektur der inneren Wahrnehmung nicht ebenso große Schwierigkeit bietet wie die der äußeren, daß das innere Objekt minder unerkennbar ist als die Außenwelt.</w:t>
      </w:r>
    </w:p>
    <w:p w:rsidR="005E1D01" w:rsidRDefault="005E1D01">
      <w:pPr>
        <w:rPr>
          <w:rFonts w:ascii="Garamond" w:eastAsiaTheme="majorEastAsia" w:hAnsi="Garamond" w:cstheme="majorBidi"/>
          <w:b/>
          <w:bCs/>
          <w:color w:val="4F81BD" w:themeColor="accent1"/>
          <w:lang w:val="en-US"/>
        </w:rPr>
      </w:pPr>
      <w:r>
        <w:rPr>
          <w:rFonts w:ascii="Garamond" w:hAnsi="Garamond"/>
          <w:lang w:val="en-US"/>
        </w:rPr>
        <w:br w:type="page"/>
      </w:r>
    </w:p>
    <w:p w:rsidR="00CB2E9F" w:rsidRPr="00CB2E9F" w:rsidRDefault="00B437A1" w:rsidP="00130855">
      <w:pPr>
        <w:pStyle w:val="Titre3"/>
        <w:rPr>
          <w:rFonts w:ascii="Garamond" w:hAnsi="Garamond"/>
          <w:lang w:val="en-US"/>
        </w:rPr>
      </w:pPr>
      <w:hyperlink w:anchor="UnbInhalt" w:history="1">
        <w:r w:rsidR="00CB2E9F" w:rsidRPr="005E1D01">
          <w:rPr>
            <w:rStyle w:val="Lienhypertexte"/>
            <w:rFonts w:ascii="Garamond" w:hAnsi="Garamond"/>
            <w:lang w:val="en-US"/>
          </w:rPr>
          <w:t>II. Di</w:t>
        </w:r>
        <w:bookmarkStart w:id="5" w:name="Unb2"/>
        <w:bookmarkEnd w:id="5"/>
        <w:r w:rsidR="00CB2E9F" w:rsidRPr="005E1D01">
          <w:rPr>
            <w:rStyle w:val="Lienhypertexte"/>
            <w:rFonts w:ascii="Garamond" w:hAnsi="Garamond"/>
            <w:lang w:val="en-US"/>
          </w:rPr>
          <w:t>e Vieldeutigkeit des Unbewussten und der topische Gesichtspunkt</w:t>
        </w:r>
      </w:hyperlink>
    </w:p>
    <w:p w:rsidR="00CB2E9F" w:rsidRPr="00CB2E9F" w:rsidRDefault="00CB2E9F" w:rsidP="00130855">
      <w:pPr>
        <w:rPr>
          <w:rFonts w:ascii="Garamond" w:hAnsi="Garamond"/>
          <w:lang w:val="en-US"/>
        </w:rPr>
      </w:pP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Ehe wir weitergehen, wollen wir die wichtige, aber auch beschwerliche Tatsache feststellen, daß die Unbewußtheit nur ein Merkmal des Psychischen ist, welches für dessen Charakteristik keineswegs ausreicht. </w:t>
      </w:r>
      <w:r w:rsidRPr="00CB2E9F">
        <w:rPr>
          <w:rFonts w:ascii="Garamond" w:hAnsi="Garamond"/>
          <w:sz w:val="22"/>
          <w:szCs w:val="22"/>
        </w:rPr>
        <w:t xml:space="preserve">Es gibt psychische Akte von sehr verschiedener Dignität, die doch in dem Charakter, unbewußt zu sein, übereinstimmen. Das Unbewußte umfaßt einerseits Akte, die bloß latent, zeitweilig unbewußt sind, sich aber sonst von den bewußten in nichts unterscheiden, und anderseits Vorgänge wie die verdrängten, die, wenn sie bewußt würden, sich von den übrigen bewußten aufs grellste abheben müßten. Es würde allen Mißverständnissen ein Ende machen, wenn wir von nun an bei der Beschreibung der verschiedenartigen psychischen Akte ganz davon absehen würden, ob sie bewußt oder unbewußt sind, und sie bloß nach ihrer Beziehung zu den Trieben und Zielen, nach ihrer Zusammensetzung und Angehörigkeit zu den einander übergeordneten psychischen Systemen klassifizieren und in Zusammenhang bringen würden. Dies ist aber aus verschiedenen Gründen undurchführbar, und somit können wir der Zweideutigkeit nicht entgehen, daß wir die Worte bewußt und unbewußt bald im deskriptiven Sinne gebrauchen, bald im systematischen, wo sie dann Zugehörigkeit zu bestimmten Systemen und Begabung mit gewissen Eigenschaften bedeuten. </w:t>
      </w:r>
      <w:r w:rsidRPr="00CB2E9F">
        <w:rPr>
          <w:rFonts w:ascii="Garamond" w:hAnsi="Garamond"/>
          <w:sz w:val="22"/>
          <w:szCs w:val="22"/>
          <w:lang w:val="en-US"/>
        </w:rPr>
        <w:t xml:space="preserve">Man könnte noch den Versuch machen, die Verwirrung dadurch zu vermeiden, daß man die erkannten psychischen Systeme mit willkürlich gewählten Namen bezeichnet, in denen die Bewußtheit nicht gestreift wird. Allein man müßte vorher Rechenschaft ablegen, worauf man die Unterscheidung der Systeme gründet, und könnte dabei die Bewußtheit nicht umgehen, da sie den Ausgangspunkt aller unserer Untersuchungen bildet. Wir können vielleicht einige Abhilfe von dem Vorschlag erwarten, wenigstens in der Schrift Bewußtsein durch die Darstellung </w:t>
      </w:r>
      <w:r w:rsidRPr="00CB2E9F">
        <w:rPr>
          <w:rFonts w:ascii="Garamond" w:hAnsi="Garamond"/>
          <w:i/>
          <w:iCs/>
          <w:sz w:val="22"/>
          <w:szCs w:val="22"/>
          <w:lang w:val="en-US"/>
        </w:rPr>
        <w:t>Bw</w:t>
      </w:r>
      <w:r w:rsidRPr="00CB2E9F">
        <w:rPr>
          <w:rFonts w:ascii="Garamond" w:hAnsi="Garamond"/>
          <w:sz w:val="22"/>
          <w:szCs w:val="22"/>
          <w:lang w:val="en-US"/>
        </w:rPr>
        <w:t xml:space="preserve"> und Unbewußtes durch die entsprechende Abkürzung </w:t>
      </w:r>
      <w:r w:rsidRPr="00CB2E9F">
        <w:rPr>
          <w:rFonts w:ascii="Garamond" w:hAnsi="Garamond"/>
          <w:i/>
          <w:iCs/>
          <w:sz w:val="22"/>
          <w:szCs w:val="22"/>
          <w:lang w:val="en-US"/>
        </w:rPr>
        <w:t>Ubw</w:t>
      </w:r>
      <w:r w:rsidRPr="00CB2E9F">
        <w:rPr>
          <w:rFonts w:ascii="Garamond" w:hAnsi="Garamond"/>
          <w:sz w:val="22"/>
          <w:szCs w:val="22"/>
          <w:lang w:val="en-US"/>
        </w:rPr>
        <w:t xml:space="preserve"> zu ersetzen, wenn wir die beiden Worte im systematischen Sinne gebrauchen. </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In positiver Darstellung sagen wir nun als Ergebnis der Psychoanalyse aus, daß ein psychischer Akt im allgemeinen zwei Zustandsphasen durchläuft, zwischen welche eine Art Prüfung </w:t>
      </w:r>
      <w:r w:rsidRPr="00CB2E9F">
        <w:rPr>
          <w:rFonts w:ascii="Garamond" w:hAnsi="Garamond"/>
          <w:i/>
          <w:iCs/>
          <w:sz w:val="22"/>
          <w:szCs w:val="22"/>
          <w:lang w:val="en-US"/>
        </w:rPr>
        <w:t>(Zensur)</w:t>
      </w:r>
      <w:r w:rsidRPr="00CB2E9F">
        <w:rPr>
          <w:rFonts w:ascii="Garamond" w:hAnsi="Garamond"/>
          <w:sz w:val="22"/>
          <w:szCs w:val="22"/>
          <w:lang w:val="en-US"/>
        </w:rPr>
        <w:t xml:space="preserve"> eingeschaltet ist. In der ersten Phase ist er unbewußt und gehört dem System </w:t>
      </w:r>
      <w:r w:rsidRPr="00CB2E9F">
        <w:rPr>
          <w:rFonts w:ascii="Garamond" w:hAnsi="Garamond"/>
          <w:i/>
          <w:iCs/>
          <w:sz w:val="22"/>
          <w:szCs w:val="22"/>
          <w:lang w:val="en-US"/>
        </w:rPr>
        <w:t>Ubw</w:t>
      </w:r>
      <w:r w:rsidRPr="00CB2E9F">
        <w:rPr>
          <w:rFonts w:ascii="Garamond" w:hAnsi="Garamond"/>
          <w:sz w:val="22"/>
          <w:szCs w:val="22"/>
          <w:lang w:val="en-US"/>
        </w:rPr>
        <w:t xml:space="preserve"> an; wird er bei der Prüfung von der Zensur abgewiesen, so ist ihm der Übergang in die zweite Phase versagt; er heißt dann »verdrängt« und muß unbewußt bleiben. Besteht er aber diese Prüfung, so tritt er in die zweite Phase ein und wird dem zweiten System zugehörig, welches wir das System </w:t>
      </w:r>
      <w:r w:rsidRPr="00CB2E9F">
        <w:rPr>
          <w:rFonts w:ascii="Garamond" w:hAnsi="Garamond"/>
          <w:i/>
          <w:iCs/>
          <w:sz w:val="22"/>
          <w:szCs w:val="22"/>
          <w:lang w:val="en-US"/>
        </w:rPr>
        <w:t>Bw</w:t>
      </w:r>
      <w:r w:rsidRPr="00CB2E9F">
        <w:rPr>
          <w:rFonts w:ascii="Garamond" w:hAnsi="Garamond"/>
          <w:sz w:val="22"/>
          <w:szCs w:val="22"/>
          <w:lang w:val="en-US"/>
        </w:rPr>
        <w:t xml:space="preserve"> nennen wollen. Sein Verhältnis zum Bewußtsein ist aber durch diese Zugehörigkeit noch nicht eindeutig bestimmt. Er ist noch nicht bewußt, wohl aber </w:t>
      </w:r>
      <w:r w:rsidRPr="00CB2E9F">
        <w:rPr>
          <w:rFonts w:ascii="Garamond" w:hAnsi="Garamond"/>
          <w:i/>
          <w:iCs/>
          <w:sz w:val="22"/>
          <w:szCs w:val="22"/>
          <w:lang w:val="en-US"/>
        </w:rPr>
        <w:t>bewußtseinsfähig</w:t>
      </w:r>
      <w:r w:rsidRPr="00CB2E9F">
        <w:rPr>
          <w:rFonts w:ascii="Garamond" w:hAnsi="Garamond"/>
          <w:sz w:val="22"/>
          <w:szCs w:val="22"/>
          <w:lang w:val="en-US"/>
        </w:rPr>
        <w:t xml:space="preserve"> (nach dem Ausdruck von J. Breuer), d. h., er kann nun ohne besonderen Widerstand beim Zutreffen gewisser Bedingungen Objekt des Bewußtseins werden. Mit Rücksicht auf diese Bewußtseinsfähigkeit heißen wir das System </w:t>
      </w:r>
      <w:r w:rsidRPr="00CB2E9F">
        <w:rPr>
          <w:rFonts w:ascii="Garamond" w:hAnsi="Garamond"/>
          <w:i/>
          <w:iCs/>
          <w:sz w:val="22"/>
          <w:szCs w:val="22"/>
          <w:lang w:val="en-US"/>
        </w:rPr>
        <w:t>Bw</w:t>
      </w:r>
      <w:r w:rsidRPr="00CB2E9F">
        <w:rPr>
          <w:rFonts w:ascii="Garamond" w:hAnsi="Garamond"/>
          <w:sz w:val="22"/>
          <w:szCs w:val="22"/>
          <w:lang w:val="en-US"/>
        </w:rPr>
        <w:t xml:space="preserve"> auch das </w:t>
      </w:r>
      <w:r w:rsidRPr="00CB2E9F">
        <w:rPr>
          <w:rFonts w:ascii="Garamond" w:hAnsi="Garamond"/>
          <w:i/>
          <w:iCs/>
          <w:sz w:val="22"/>
          <w:szCs w:val="22"/>
          <w:lang w:val="en-US"/>
        </w:rPr>
        <w:t>»Vorbewußte«.</w:t>
      </w:r>
      <w:r w:rsidRPr="00CB2E9F">
        <w:rPr>
          <w:rFonts w:ascii="Garamond" w:hAnsi="Garamond"/>
          <w:sz w:val="22"/>
          <w:szCs w:val="22"/>
          <w:lang w:val="en-US"/>
        </w:rPr>
        <w:t xml:space="preserve"> Sollte es sich herausstellen, daß auch das Bewußtwerden des Vorbewußten durch eine gewisse Zensur mitbestimmt wird, so werden wir die Systeme </w:t>
      </w:r>
      <w:r w:rsidRPr="00CB2E9F">
        <w:rPr>
          <w:rFonts w:ascii="Garamond" w:hAnsi="Garamond"/>
          <w:i/>
          <w:iCs/>
          <w:sz w:val="22"/>
          <w:szCs w:val="22"/>
          <w:lang w:val="en-US"/>
        </w:rPr>
        <w:t>Vbw</w:t>
      </w:r>
      <w:r w:rsidRPr="00CB2E9F">
        <w:rPr>
          <w:rFonts w:ascii="Garamond" w:hAnsi="Garamond"/>
          <w:sz w:val="22"/>
          <w:szCs w:val="22"/>
          <w:lang w:val="en-US"/>
        </w:rPr>
        <w:t xml:space="preserve"> und </w:t>
      </w:r>
      <w:r w:rsidRPr="00CB2E9F">
        <w:rPr>
          <w:rFonts w:ascii="Garamond" w:hAnsi="Garamond"/>
          <w:i/>
          <w:iCs/>
          <w:sz w:val="22"/>
          <w:szCs w:val="22"/>
          <w:lang w:val="en-US"/>
        </w:rPr>
        <w:t>Bw</w:t>
      </w:r>
      <w:r w:rsidRPr="00CB2E9F">
        <w:rPr>
          <w:rFonts w:ascii="Garamond" w:hAnsi="Garamond"/>
          <w:sz w:val="22"/>
          <w:szCs w:val="22"/>
          <w:lang w:val="en-US"/>
        </w:rPr>
        <w:t xml:space="preserve"> strenger voneinander sondern. Vorläufig genüge es festzuhalten, daß das System </w:t>
      </w:r>
      <w:r w:rsidRPr="00CB2E9F">
        <w:rPr>
          <w:rFonts w:ascii="Garamond" w:hAnsi="Garamond"/>
          <w:i/>
          <w:iCs/>
          <w:sz w:val="22"/>
          <w:szCs w:val="22"/>
          <w:lang w:val="en-US"/>
        </w:rPr>
        <w:t>Vbw</w:t>
      </w:r>
      <w:r w:rsidRPr="00CB2E9F">
        <w:rPr>
          <w:rFonts w:ascii="Garamond" w:hAnsi="Garamond"/>
          <w:sz w:val="22"/>
          <w:szCs w:val="22"/>
          <w:lang w:val="en-US"/>
        </w:rPr>
        <w:t xml:space="preserve"> die Eigenschaften des Systems </w:t>
      </w:r>
      <w:r w:rsidRPr="00CB2E9F">
        <w:rPr>
          <w:rFonts w:ascii="Garamond" w:hAnsi="Garamond"/>
          <w:i/>
          <w:iCs/>
          <w:sz w:val="22"/>
          <w:szCs w:val="22"/>
          <w:lang w:val="en-US"/>
        </w:rPr>
        <w:t>Bw</w:t>
      </w:r>
      <w:r w:rsidRPr="00CB2E9F">
        <w:rPr>
          <w:rFonts w:ascii="Garamond" w:hAnsi="Garamond"/>
          <w:sz w:val="22"/>
          <w:szCs w:val="22"/>
          <w:lang w:val="en-US"/>
        </w:rPr>
        <w:t xml:space="preserve"> teilt und daß die strenge Zensur am Übergang vom </w:t>
      </w:r>
      <w:r w:rsidRPr="00CB2E9F">
        <w:rPr>
          <w:rFonts w:ascii="Garamond" w:hAnsi="Garamond"/>
          <w:i/>
          <w:iCs/>
          <w:sz w:val="22"/>
          <w:szCs w:val="22"/>
          <w:lang w:val="en-US"/>
        </w:rPr>
        <w:t>Ubw</w:t>
      </w:r>
      <w:r w:rsidRPr="00CB2E9F">
        <w:rPr>
          <w:rFonts w:ascii="Garamond" w:hAnsi="Garamond"/>
          <w:sz w:val="22"/>
          <w:szCs w:val="22"/>
          <w:lang w:val="en-US"/>
        </w:rPr>
        <w:t xml:space="preserve"> zum </w:t>
      </w:r>
      <w:r w:rsidRPr="00CB2E9F">
        <w:rPr>
          <w:rFonts w:ascii="Garamond" w:hAnsi="Garamond"/>
          <w:i/>
          <w:iCs/>
          <w:sz w:val="22"/>
          <w:szCs w:val="22"/>
          <w:lang w:val="en-US"/>
        </w:rPr>
        <w:t>Vbw</w:t>
      </w:r>
      <w:r w:rsidRPr="00CB2E9F">
        <w:rPr>
          <w:rFonts w:ascii="Garamond" w:hAnsi="Garamond"/>
          <w:sz w:val="22"/>
          <w:szCs w:val="22"/>
          <w:lang w:val="en-US"/>
        </w:rPr>
        <w:t xml:space="preserve"> (oder </w:t>
      </w:r>
      <w:r w:rsidRPr="00CB2E9F">
        <w:rPr>
          <w:rFonts w:ascii="Garamond" w:hAnsi="Garamond"/>
          <w:i/>
          <w:iCs/>
          <w:sz w:val="22"/>
          <w:szCs w:val="22"/>
          <w:lang w:val="en-US"/>
        </w:rPr>
        <w:t>Bw)</w:t>
      </w:r>
      <w:r w:rsidRPr="00CB2E9F">
        <w:rPr>
          <w:rFonts w:ascii="Garamond" w:hAnsi="Garamond"/>
          <w:sz w:val="22"/>
          <w:szCs w:val="22"/>
          <w:lang w:val="en-US"/>
        </w:rPr>
        <w:t xml:space="preserve"> ihres Amtes waltet.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Mit der Aufnahme dieser (zwei oder drei) psychischen Systeme hat sich die Psychoanalyse einen Schritt weiter von der deskriptiven Bewußtseins</w:t>
      </w:r>
      <w:r w:rsidRPr="00CB2E9F">
        <w:rPr>
          <w:rFonts w:ascii="Garamond" w:hAnsi="Garamond"/>
          <w:sz w:val="22"/>
          <w:szCs w:val="22"/>
          <w:lang w:val="en-US"/>
        </w:rPr>
        <w:softHyphen/>
        <w:t xml:space="preserve">psychologie entfernt, sich eine neue Fragestellung und einen neuen Inhalt beigelegt. Sie unterschied sich von der Psychologie bisher hauptsächlich durch die </w:t>
      </w:r>
      <w:r w:rsidRPr="00CB2E9F">
        <w:rPr>
          <w:rFonts w:ascii="Garamond" w:hAnsi="Garamond"/>
          <w:i/>
          <w:iCs/>
          <w:sz w:val="22"/>
          <w:szCs w:val="22"/>
          <w:lang w:val="en-US"/>
        </w:rPr>
        <w:t>dynamische</w:t>
      </w:r>
      <w:r w:rsidRPr="00CB2E9F">
        <w:rPr>
          <w:rFonts w:ascii="Garamond" w:hAnsi="Garamond"/>
          <w:sz w:val="22"/>
          <w:szCs w:val="22"/>
          <w:lang w:val="en-US"/>
        </w:rPr>
        <w:t xml:space="preserve"> Auffassung der seelischen Vorgänge; nun kommt hinzu, daß sie auch die psychische </w:t>
      </w:r>
      <w:r w:rsidRPr="00CB2E9F">
        <w:rPr>
          <w:rFonts w:ascii="Garamond" w:hAnsi="Garamond"/>
          <w:i/>
          <w:iCs/>
          <w:sz w:val="22"/>
          <w:szCs w:val="22"/>
          <w:lang w:val="en-US"/>
        </w:rPr>
        <w:t>Topik</w:t>
      </w:r>
      <w:r w:rsidRPr="00CB2E9F">
        <w:rPr>
          <w:rFonts w:ascii="Garamond" w:hAnsi="Garamond"/>
          <w:sz w:val="22"/>
          <w:szCs w:val="22"/>
          <w:lang w:val="en-US"/>
        </w:rPr>
        <w:t xml:space="preserve"> berücksichtigen und von einem beliebigen seelischen Akt angeben will, innerhalb welchen Systems oder zwischen welchen Systemen er sich abspielt. Wegen dieses Bestrebens hat sie auch den Namen einer </w:t>
      </w:r>
      <w:r w:rsidRPr="00CB2E9F">
        <w:rPr>
          <w:rFonts w:ascii="Garamond" w:hAnsi="Garamond"/>
          <w:i/>
          <w:iCs/>
          <w:sz w:val="22"/>
          <w:szCs w:val="22"/>
          <w:lang w:val="en-US"/>
        </w:rPr>
        <w:t>Tiefenpsychologie</w:t>
      </w:r>
      <w:r w:rsidRPr="00CB2E9F">
        <w:rPr>
          <w:rFonts w:ascii="Garamond" w:hAnsi="Garamond"/>
          <w:sz w:val="22"/>
          <w:szCs w:val="22"/>
          <w:lang w:val="en-US"/>
        </w:rPr>
        <w:t xml:space="preserve"> erhalten. Wir werden hören, daß sie auch noch um einen anderen Gesichtspunkt bereichert werden kann.</w:t>
      </w:r>
    </w:p>
    <w:p w:rsidR="005E1D01" w:rsidRDefault="00CB2E9F" w:rsidP="00130855">
      <w:pPr>
        <w:pStyle w:val="NormalWeb"/>
        <w:rPr>
          <w:rFonts w:ascii="Garamond" w:hAnsi="Garamond"/>
          <w:sz w:val="22"/>
          <w:szCs w:val="22"/>
          <w:lang w:val="en-US"/>
        </w:rPr>
      </w:pPr>
      <w:r w:rsidRPr="00CB2E9F">
        <w:rPr>
          <w:rFonts w:ascii="Garamond" w:hAnsi="Garamond"/>
          <w:sz w:val="22"/>
          <w:szCs w:val="22"/>
          <w:lang w:val="en-US"/>
        </w:rPr>
        <w:t>Wollen wir mit einer Topik der seelischen Akte Ernst machen, so müssen wir unser Interesse einer an dieser Stelle auftauchenden Zweifelsfrage zu</w:t>
      </w:r>
      <w:r w:rsidRPr="00CB2E9F">
        <w:rPr>
          <w:rFonts w:ascii="Garamond" w:hAnsi="Garamond"/>
          <w:sz w:val="22"/>
          <w:szCs w:val="22"/>
          <w:lang w:val="en-US"/>
        </w:rPr>
        <w:softHyphen/>
        <w:t xml:space="preserve">wenden. Wenn ein psychischer Akt (beschränken wir uns hier auf einen solchen von der Natur einer Vorstellung) die Umsetzung aus dem System </w:t>
      </w:r>
      <w:r w:rsidRPr="00CB2E9F">
        <w:rPr>
          <w:rFonts w:ascii="Garamond" w:hAnsi="Garamond"/>
          <w:i/>
          <w:iCs/>
          <w:sz w:val="22"/>
          <w:szCs w:val="22"/>
          <w:lang w:val="en-US"/>
        </w:rPr>
        <w:t>Ubw</w:t>
      </w:r>
      <w:r w:rsidRPr="00CB2E9F">
        <w:rPr>
          <w:rFonts w:ascii="Garamond" w:hAnsi="Garamond"/>
          <w:sz w:val="22"/>
          <w:szCs w:val="22"/>
          <w:lang w:val="en-US"/>
        </w:rPr>
        <w:t xml:space="preserve"> in das System </w:t>
      </w:r>
      <w:r w:rsidRPr="00CB2E9F">
        <w:rPr>
          <w:rFonts w:ascii="Garamond" w:hAnsi="Garamond"/>
          <w:i/>
          <w:iCs/>
          <w:sz w:val="22"/>
          <w:szCs w:val="22"/>
          <w:lang w:val="en-US"/>
        </w:rPr>
        <w:t>Bw</w:t>
      </w:r>
      <w:r w:rsidRPr="00CB2E9F">
        <w:rPr>
          <w:rFonts w:ascii="Garamond" w:hAnsi="Garamond"/>
          <w:sz w:val="22"/>
          <w:szCs w:val="22"/>
          <w:lang w:val="en-US"/>
        </w:rPr>
        <w:t xml:space="preserve"> (oder </w:t>
      </w:r>
      <w:r w:rsidRPr="00CB2E9F">
        <w:rPr>
          <w:rFonts w:ascii="Garamond" w:hAnsi="Garamond"/>
          <w:i/>
          <w:iCs/>
          <w:sz w:val="22"/>
          <w:szCs w:val="22"/>
          <w:lang w:val="en-US"/>
        </w:rPr>
        <w:t>Vbw)</w:t>
      </w:r>
      <w:r w:rsidRPr="00CB2E9F">
        <w:rPr>
          <w:rFonts w:ascii="Garamond" w:hAnsi="Garamond"/>
          <w:sz w:val="22"/>
          <w:szCs w:val="22"/>
          <w:lang w:val="en-US"/>
        </w:rPr>
        <w:t xml:space="preserve"> erfährt, sollen wir annehmen, daß mit dieser Umsetzung eine neuerliche Fixierung, gleichsam eine zweite Nieder</w:t>
      </w:r>
      <w:r w:rsidRPr="00CB2E9F">
        <w:rPr>
          <w:rFonts w:ascii="Garamond" w:hAnsi="Garamond"/>
          <w:sz w:val="22"/>
          <w:szCs w:val="22"/>
          <w:lang w:val="en-US"/>
        </w:rPr>
        <w:softHyphen/>
        <w:t>schrift der betreffenden Vorstellung verbunden ist, die also auch in einer neuen psychischen Lokalität enthalten sein kann und neben welcher die ursprüngliche, unbewußte Niederschrift fortbesteht?</w:t>
      </w:r>
      <w:r w:rsidRPr="00CB2E9F">
        <w:rPr>
          <w:rFonts w:ascii="Garamond" w:hAnsi="Garamond"/>
          <w:i/>
          <w:iCs/>
          <w:sz w:val="22"/>
          <w:szCs w:val="22"/>
          <w:lang w:val="en-US"/>
        </w:rPr>
        <w:t xml:space="preserve"> </w:t>
      </w:r>
      <w:r w:rsidRPr="00CB2E9F">
        <w:rPr>
          <w:rFonts w:ascii="Garamond" w:hAnsi="Garamond"/>
          <w:sz w:val="22"/>
          <w:szCs w:val="22"/>
          <w:lang w:val="en-US"/>
        </w:rPr>
        <w:t xml:space="preserve">Oder sollen wir eher glauben, daß die Umsetzung in einer Zustandsänderung besteht, welche </w:t>
      </w:r>
      <w:r w:rsidRPr="00CB2E9F">
        <w:rPr>
          <w:rFonts w:ascii="Garamond" w:hAnsi="Garamond"/>
          <w:sz w:val="22"/>
          <w:szCs w:val="22"/>
          <w:lang w:val="en-US"/>
        </w:rPr>
        <w:lastRenderedPageBreak/>
        <w:t xml:space="preserve">sich an dem nämlichen Material und an derselben Lokalität vollzieht? Diese Frage kann abstrus erscheinen, muß aber aufgeworfen werden, wenn wir uns von der psychischen Topik, der psychischen Tiefendimension, eine bestimmtere Idee bilden wollen. Sie ist schwierig, weil sie über das rein Psychologische hinausgeht und die Beziehungen des seelischen Apparates zur Anatomie streift. </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Wir wissen, daß solche Beziehungen im gröbsten existieren. Es ist ein unerschütterliches Resultat der Forschung, daß die seelische Tätigkeit an die Funktion des Gehirns gebunden ist wie an kein anderes Organ. Ein Stück weiter — es ist nicht bekannt, wie weit — führt die Entdeckung von der Ungleichwertigkeit der Gehirnteile und deren Sonderbeziehung zu bestimm</w:t>
      </w:r>
      <w:r w:rsidRPr="00CB2E9F">
        <w:rPr>
          <w:rFonts w:ascii="Garamond" w:hAnsi="Garamond"/>
          <w:sz w:val="22"/>
          <w:szCs w:val="22"/>
          <w:lang w:val="en-US"/>
        </w:rPr>
        <w:softHyphen/>
        <w:t xml:space="preserve">ten Körperteilen und geistigen Tätigkeiten. Aber alle Versuche, von da aus eine Lokalisation der seelischen Vorgänge zu erraten, alle Bemühungen, die Vorstellungen in Nervenzellen aufgespeichert zu denken und die Erregungen auf Nervenfasern wandern zu lassen, sind gründlich gescheitert. Dasselbe Schicksal würde einer Lehre bevorstehen, die etwa den anatomischen Ort des Systems </w:t>
      </w:r>
      <w:r w:rsidRPr="00CB2E9F">
        <w:rPr>
          <w:rFonts w:ascii="Garamond" w:hAnsi="Garamond"/>
          <w:i/>
          <w:iCs/>
          <w:sz w:val="22"/>
          <w:szCs w:val="22"/>
          <w:lang w:val="en-US"/>
        </w:rPr>
        <w:t>Bw,</w:t>
      </w:r>
      <w:r w:rsidRPr="00CB2E9F">
        <w:rPr>
          <w:rFonts w:ascii="Garamond" w:hAnsi="Garamond"/>
          <w:sz w:val="22"/>
          <w:szCs w:val="22"/>
          <w:lang w:val="en-US"/>
        </w:rPr>
        <w:t xml:space="preserve"> der bewußten Seelentätigkeit, in der Hirnrinde erkennen und die unbewußten Vorgänge in die subkortikalen Hirnpartien versetzen wollte. Es klafft hier eine Lücke, deren Ausfüllung derzeit nicht möglich ist, auch nicht zu den Aufgaben der Psychologie gehört. Unsere psychische Topik hat </w:t>
      </w:r>
      <w:r w:rsidRPr="00CB2E9F">
        <w:rPr>
          <w:rFonts w:ascii="Garamond" w:hAnsi="Garamond"/>
          <w:i/>
          <w:iCs/>
          <w:sz w:val="22"/>
          <w:szCs w:val="22"/>
          <w:lang w:val="en-US"/>
        </w:rPr>
        <w:t>vorläufig</w:t>
      </w:r>
      <w:r w:rsidRPr="00CB2E9F">
        <w:rPr>
          <w:rFonts w:ascii="Garamond" w:hAnsi="Garamond"/>
          <w:sz w:val="22"/>
          <w:szCs w:val="22"/>
          <w:lang w:val="en-US"/>
        </w:rPr>
        <w:t xml:space="preserve"> nichts mit der Anatomie zu tun; sie bezieht sich auf Regionen des seelischen Apparats, wo immer sie im Körper gelegen sein mögen, und nicht auf anatomische Örtlichkeiten.</w:t>
      </w:r>
    </w:p>
    <w:p w:rsidR="00CB2E9F" w:rsidRPr="00A06A59" w:rsidRDefault="00CB2E9F" w:rsidP="00130855">
      <w:pPr>
        <w:pStyle w:val="NormalWeb"/>
        <w:rPr>
          <w:rFonts w:ascii="Garamond" w:hAnsi="Garamond"/>
          <w:sz w:val="22"/>
          <w:szCs w:val="22"/>
          <w:lang w:val="en-US"/>
        </w:rPr>
      </w:pPr>
      <w:r w:rsidRPr="00CB2E9F">
        <w:rPr>
          <w:rFonts w:ascii="Garamond" w:hAnsi="Garamond"/>
          <w:sz w:val="22"/>
          <w:szCs w:val="22"/>
          <w:lang w:val="en-US"/>
        </w:rPr>
        <w:t>Unsere Arbeit ist also in dieser Hinsicht frei und darf nach ihren eigenen Bedürfnissen vorgehen. Es wird auch förderlich sein, wenn wir uns daran mahnen, daß unsere Annahmen zunächst nur den Wert von Veranschau</w:t>
      </w:r>
      <w:r w:rsidRPr="00CB2E9F">
        <w:rPr>
          <w:rFonts w:ascii="Garamond" w:hAnsi="Garamond"/>
          <w:sz w:val="22"/>
          <w:szCs w:val="22"/>
          <w:lang w:val="en-US"/>
        </w:rPr>
        <w:softHyphen/>
        <w:t xml:space="preserve">lichungen beanspruchen. Die erstere der beiden in Betracht gezogenen Möglichkeiten, nämlich daß die </w:t>
      </w:r>
      <w:r w:rsidRPr="00CB2E9F">
        <w:rPr>
          <w:rFonts w:ascii="Garamond" w:hAnsi="Garamond"/>
          <w:i/>
          <w:iCs/>
          <w:sz w:val="22"/>
          <w:szCs w:val="22"/>
          <w:lang w:val="en-US"/>
        </w:rPr>
        <w:t>bw</w:t>
      </w:r>
      <w:r w:rsidRPr="00CB2E9F">
        <w:rPr>
          <w:rFonts w:ascii="Garamond" w:hAnsi="Garamond"/>
          <w:sz w:val="22"/>
          <w:szCs w:val="22"/>
          <w:lang w:val="en-US"/>
        </w:rPr>
        <w:t xml:space="preserve"> Phase der Vorstellung eine neue, an anderem Orte befindliche Niederschrift derselben bedeute, ist unzweifelhaft die gröbere, aber auch die bequemere. Die zweite Annahme, die einer bloß </w:t>
      </w:r>
      <w:r w:rsidRPr="00CB2E9F">
        <w:rPr>
          <w:rFonts w:ascii="Garamond" w:hAnsi="Garamond"/>
          <w:i/>
          <w:iCs/>
          <w:sz w:val="22"/>
          <w:szCs w:val="22"/>
          <w:lang w:val="en-US"/>
        </w:rPr>
        <w:t>funktionellen</w:t>
      </w:r>
      <w:r w:rsidRPr="00CB2E9F">
        <w:rPr>
          <w:rFonts w:ascii="Garamond" w:hAnsi="Garamond"/>
          <w:sz w:val="22"/>
          <w:szCs w:val="22"/>
          <w:lang w:val="en-US"/>
        </w:rPr>
        <w:t xml:space="preserve"> Zustandsänderung, ist die von vornherein wahrscheinlichere, aber sie ist minder plastisch, weniger leicht zu handhaben. Mit der ersten, der topischen Annahme ist die einer topischen Trennung der Systeme </w:t>
      </w:r>
      <w:r w:rsidRPr="00CB2E9F">
        <w:rPr>
          <w:rFonts w:ascii="Garamond" w:hAnsi="Garamond"/>
          <w:i/>
          <w:iCs/>
          <w:sz w:val="22"/>
          <w:szCs w:val="22"/>
          <w:lang w:val="en-US"/>
        </w:rPr>
        <w:t>Ubw</w:t>
      </w:r>
      <w:r w:rsidRPr="00CB2E9F">
        <w:rPr>
          <w:rFonts w:ascii="Garamond" w:hAnsi="Garamond"/>
          <w:sz w:val="22"/>
          <w:szCs w:val="22"/>
          <w:lang w:val="en-US"/>
        </w:rPr>
        <w:t xml:space="preserve"> und </w:t>
      </w:r>
      <w:r w:rsidRPr="00CB2E9F">
        <w:rPr>
          <w:rFonts w:ascii="Garamond" w:hAnsi="Garamond"/>
          <w:i/>
          <w:iCs/>
          <w:sz w:val="22"/>
          <w:szCs w:val="22"/>
          <w:lang w:val="en-US"/>
        </w:rPr>
        <w:t>Bw</w:t>
      </w:r>
      <w:r w:rsidRPr="00CB2E9F">
        <w:rPr>
          <w:rFonts w:ascii="Garamond" w:hAnsi="Garamond"/>
          <w:sz w:val="22"/>
          <w:szCs w:val="22"/>
          <w:lang w:val="en-US"/>
        </w:rPr>
        <w:t xml:space="preserve"> und die Möglichkeit verknüpft, daß eine Vorstellung gleichzeitig an zwei Stellen des psychischen Apparats vorhanden sei, ja, daß sie, wenn durch die Zensur ungehemmt, regelmäßig von dem einen Ort an den anderen vorrücke, eventuell ohne ihre erste Niederlassung oder Niederschrift zu verlieren. </w:t>
      </w:r>
      <w:r w:rsidRPr="00A06A59">
        <w:rPr>
          <w:rFonts w:ascii="Garamond" w:hAnsi="Garamond"/>
          <w:sz w:val="22"/>
          <w:szCs w:val="22"/>
          <w:lang w:val="en-US"/>
        </w:rPr>
        <w:t>Das mag befremdlich aussehen, kann sich aber an Eindrücke aus der psychoanalytischen Praxis anlehnen.</w:t>
      </w:r>
    </w:p>
    <w:p w:rsidR="00CB2E9F" w:rsidRPr="00CB2E9F" w:rsidRDefault="00CB2E9F" w:rsidP="00130855">
      <w:pPr>
        <w:pStyle w:val="NormalWeb"/>
        <w:rPr>
          <w:rFonts w:ascii="Garamond" w:hAnsi="Garamond"/>
          <w:sz w:val="22"/>
          <w:szCs w:val="22"/>
          <w:lang w:val="en-US"/>
        </w:rPr>
      </w:pPr>
      <w:r w:rsidRPr="00A06A59">
        <w:rPr>
          <w:rFonts w:ascii="Garamond" w:hAnsi="Garamond"/>
          <w:sz w:val="22"/>
          <w:szCs w:val="22"/>
          <w:lang w:val="en-US"/>
        </w:rPr>
        <w:t>Wenn man einem Patienten eine seinerzeit von ihm verdrängte Vorstel</w:t>
      </w:r>
      <w:r w:rsidRPr="00A06A59">
        <w:rPr>
          <w:rFonts w:ascii="Garamond" w:hAnsi="Garamond"/>
          <w:sz w:val="22"/>
          <w:szCs w:val="22"/>
          <w:lang w:val="en-US"/>
        </w:rPr>
        <w:softHyphen/>
        <w:t xml:space="preserve">lung, die man erraten hat, mitteilt, so ändert dies zunächst an seinem psychischen Zustand nichts. Es hebt vor allem nicht die Verdrängung auf, macht deren Folgen nicht rückgängig, wie man vielleicht erwarten konnte, weil die früher unbewußte Vorstellung nun bewußt geworden ist. </w:t>
      </w:r>
      <w:r w:rsidRPr="00CB2E9F">
        <w:rPr>
          <w:rFonts w:ascii="Garamond" w:hAnsi="Garamond"/>
          <w:sz w:val="22"/>
          <w:szCs w:val="22"/>
          <w:lang w:val="en-US"/>
        </w:rPr>
        <w:t>Man wird im Gegenteil zunächst nur eine neuerliche Ablehnung der verdrängten Vor</w:t>
      </w:r>
      <w:r w:rsidRPr="00CB2E9F">
        <w:rPr>
          <w:rFonts w:ascii="Garamond" w:hAnsi="Garamond"/>
          <w:sz w:val="22"/>
          <w:szCs w:val="22"/>
          <w:lang w:val="en-US"/>
        </w:rPr>
        <w:softHyphen/>
        <w:t>stellung erzielen. Der Patient hat aber jetzt tatsächlich dieselbe Vorstellung in zweifacher Form an verschiedenen Stellen seines seelischen Apparats, erstens hat er die bewußte Erinnerung an die Gehörspur der Vorstellung durch die Mitteilung, zweitens trägt er daneben, wie wir mit Sicherheit wissen, die unbewußte Erinnerung an das Erlebte in der früheren Form in sich. In Wirklichkeit tritt nun eine Aufhebung der Verdrängung nicht eher ein, als bis die bewußte Vorstellung sich nach Überwindung der Widerstände mit der unbewußten Erinnerungsspur in Verbindung gesetzt hat. Erst durch das Bewußtmachen dieser letzteren selbst wird der Erfolg erreicht. Damit schiene ja für oberflächliche Erwägung erwiesen, daß bewußte und unbewußte Vorstellungen verschiedene und topisch gesonderte Niederschriften des nämlichen Inhaltes sind. Aber die nächste Überlegung zeigt, daß die Identität der Mitteilung mit der verdrängten Erinnerung des Patienten nur eine scheinbare ist. Das Gehörthaben und das Erlebthaben sind zwei nach ihrer psychologischen Natur ganz verschiedene Dinge, auch wenn sie den nämlichen Inhalt haben.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Wir sind also zunächst nicht imstande, zwischen den beiden erörterten Möglichkeiten zu entscheiden. Vielleicht treffen wir späterhin auf Momente, welche für eine von beiden den Ausschlag geben können. Vielleicht steht uns die Entdeckung bevor, daß unsere Fragestellung unzureichend war und daß die Unterscheidung der unbewußten Vorstellung von der bewußten noch ganz anders zu bestimmen ist.</w:t>
      </w:r>
    </w:p>
    <w:p w:rsidR="005E1D01" w:rsidRDefault="005E1D01">
      <w:pPr>
        <w:rPr>
          <w:rFonts w:ascii="Garamond" w:eastAsiaTheme="majorEastAsia" w:hAnsi="Garamond" w:cstheme="majorBidi"/>
          <w:b/>
          <w:bCs/>
          <w:color w:val="4F81BD" w:themeColor="accent1"/>
          <w:lang w:val="en-US"/>
        </w:rPr>
      </w:pPr>
      <w:r>
        <w:rPr>
          <w:rFonts w:ascii="Garamond" w:hAnsi="Garamond"/>
          <w:lang w:val="en-US"/>
        </w:rPr>
        <w:br w:type="page"/>
      </w:r>
    </w:p>
    <w:p w:rsidR="00CB2E9F" w:rsidRPr="00CB2E9F" w:rsidRDefault="00B437A1" w:rsidP="00130855">
      <w:pPr>
        <w:pStyle w:val="Titre3"/>
        <w:rPr>
          <w:rFonts w:ascii="Garamond" w:hAnsi="Garamond"/>
          <w:lang w:val="en-US"/>
        </w:rPr>
      </w:pPr>
      <w:hyperlink w:anchor="UnbInhalt" w:history="1">
        <w:r w:rsidR="00CB2E9F" w:rsidRPr="005E1D01">
          <w:rPr>
            <w:rStyle w:val="Lienhypertexte"/>
            <w:rFonts w:ascii="Garamond" w:hAnsi="Garamond"/>
            <w:lang w:val="en-US"/>
          </w:rPr>
          <w:t>III. Un</w:t>
        </w:r>
        <w:bookmarkStart w:id="6" w:name="Unb3"/>
        <w:bookmarkEnd w:id="6"/>
        <w:r w:rsidR="00CB2E9F" w:rsidRPr="005E1D01">
          <w:rPr>
            <w:rStyle w:val="Lienhypertexte"/>
            <w:rFonts w:ascii="Garamond" w:hAnsi="Garamond"/>
            <w:lang w:val="en-US"/>
          </w:rPr>
          <w:t>bewusste Gefühle</w:t>
        </w:r>
      </w:hyperlink>
    </w:p>
    <w:p w:rsidR="00CB2E9F" w:rsidRPr="00CB2E9F" w:rsidRDefault="00CB2E9F" w:rsidP="00130855">
      <w:pPr>
        <w:rPr>
          <w:rFonts w:ascii="Garamond" w:hAnsi="Garamond"/>
          <w:lang w:val="en-US"/>
        </w:rPr>
      </w:pP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Wir haben die vorstehende Diskussion auf Vorstellungen eingeschränkt und können nun eine neue Frage aufwerfen, deren Beantwortung zur Klärung unserer theoretischen Ansichten beitragen muß. Wir sagten, es gäbe bewußte und unbewußte Vorstellungen; gibt es aber auch unbewußte Triebregungen, Gefühle, Empfindungen, oder ist es diesmal sinnlos, solche Zusammensetzungen zu bilden?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Ich meine wirklich, der Gegensatz von bewußt und unbewußt hat auf den Trieb keine Anwendung. Ein Trieb kann nie Objekt des Bewußtseins werden, nur die Vorstellung, die ihn repräsentiert. Er kann aber auch im Unbewußten nicht anders als durch die Vorstellung repräsentiert sein. Würde der Trieb sich nicht an eine Vorstellung heften oder nicht als ein Affektzustand zum Vorschein kommen, so könnten wir nichts von ihm wissen. Wenn wir aber doch von einer unbewußten Triebregung oder einer verdrängten Triebregung reden, so ist dies eine harmlose Nachlässigkeit des Ausdrucks. Wir können nichts anderes meinen als eine Triebregung, deren Vorstellungsrepräsentanz unbewußt ist, denn etwas anderes kommt nicht in Betracht.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Man sollte meinen, die Antwort auf die Frage nach den unbewußten Empfindungen, Gefühlen, Affekten sei ebenso leicht zu geben. Zum Wesen eines Gefühls gehört es doch, daß es verspürt, also dem Bewußtsein bekannt wird. Die Möglichkeit einer Unbewußtheit würde also für Gefühle, Empfin</w:t>
      </w:r>
      <w:r w:rsidRPr="00CB2E9F">
        <w:rPr>
          <w:rFonts w:ascii="Garamond" w:hAnsi="Garamond"/>
          <w:sz w:val="22"/>
          <w:szCs w:val="22"/>
          <w:lang w:val="en-US"/>
        </w:rPr>
        <w:softHyphen/>
        <w:t>dungen, Affekte völlig entfallen. Wir sind aber in der psychoanalytischen Praxis gewöhnt, von unbewußter Liebe, Haß, Wut usw. zu sprechen und finden selbst die befremdliche Vereinigung »unbewußtes Schuldbewußtsein« oder eine paradoxe »unbewußte Angst« unvermeidlich. Geht dieser Sprachge</w:t>
      </w:r>
      <w:r w:rsidRPr="00CB2E9F">
        <w:rPr>
          <w:rFonts w:ascii="Garamond" w:hAnsi="Garamond"/>
          <w:sz w:val="22"/>
          <w:szCs w:val="22"/>
          <w:lang w:val="en-US"/>
        </w:rPr>
        <w:softHyphen/>
        <w:t>brauch an Bedeutung über den im Falle des »unbewußten Triebes« hinaus?</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Der Sachverhalt ist hier wirklich ein anderer. Es kann zunächst vorkom</w:t>
      </w:r>
      <w:r w:rsidRPr="00CB2E9F">
        <w:rPr>
          <w:rFonts w:ascii="Garamond" w:hAnsi="Garamond"/>
          <w:sz w:val="22"/>
          <w:szCs w:val="22"/>
          <w:lang w:val="en-US"/>
        </w:rPr>
        <w:softHyphen/>
        <w:t>men, daß eine Affekt- oder Gefühlsregung wahrgenommen, aber verkannt wird. Sie ist durch die Verdrängung ihrer eigentlichen Repräsentanz zur Verknüpfung mit einer anderen Vorstellung genötigt worden und wird nun vom Bewußtsein für die Äußerung dieser letzteren gehalten. Wenn wir den richtigen Zusammenhang wiederherstellen, heißen wir die ursprüngliche Affektregung eine »unbewußte«, obwohl ihr Affekt niemals unbewußt war, nur ihre Vorstellung der Verdrängung erlegen ist. Der Gebrauch der Ausdrücke »unbewußter Affekt« und »unbewußtes Gefühl« weist überhaupt auf die Schicksale des quantitativen Faktors der Triebregung infolge der Verdrängung zurück (s. die Abhandlung über Verdrängung). Wir wissen, daß dies Schicksal ein dreifaches sein kann; der Affekt bleibt entweder — ganz oder teilweise — als solcher bestehen, oder er erfährt eine Verwandlung in einen qualitativ anderen Affektbetrag, vor allem in Angst, oder er wird unter</w:t>
      </w:r>
      <w:r w:rsidRPr="00CB2E9F">
        <w:rPr>
          <w:rFonts w:ascii="Garamond" w:hAnsi="Garamond"/>
          <w:sz w:val="22"/>
          <w:szCs w:val="22"/>
          <w:lang w:val="en-US"/>
        </w:rPr>
        <w:softHyphen/>
        <w:t>drückt, d. h. seine Entwicklung überhaupt verhindert. (Diese Möglichkeiten sind an der Traumarbeit vielleicht noch leichter zu studieren als bei den Neurosen.) Wir wissen auch, daß die Unterdrückung der Affektentwicklung das eigentliche Ziel der Verdrängung ist und daß deren Arbeit unabge</w:t>
      </w:r>
      <w:r w:rsidRPr="00CB2E9F">
        <w:rPr>
          <w:rFonts w:ascii="Garamond" w:hAnsi="Garamond"/>
          <w:sz w:val="22"/>
          <w:szCs w:val="22"/>
          <w:lang w:val="en-US"/>
        </w:rPr>
        <w:softHyphen/>
        <w:t>schlossen bleibt, wenn das Ziel nicht erreicht wird. In allen Fällen, wo der Verdrängung die Hemmung der Affektentwicklung gelingt, heißen wir die Affekte, die wir im Redressement der Verdrängungsarbeit wieder einsetzen, »unbewußte«. Dem Sprachgebrauch ist also die Konsequenz nicht abzu</w:t>
      </w:r>
      <w:r w:rsidRPr="00CB2E9F">
        <w:rPr>
          <w:rFonts w:ascii="Garamond" w:hAnsi="Garamond"/>
          <w:sz w:val="22"/>
          <w:szCs w:val="22"/>
          <w:lang w:val="en-US"/>
        </w:rPr>
        <w:softHyphen/>
        <w:t>streiten; es besteht aber im Vergleiche mit der unbewußten Vorstellung der bedeutsame Unterschied, daß die unbewußte Vorstellung nach der Verdrän</w:t>
      </w:r>
      <w:r w:rsidRPr="00CB2E9F">
        <w:rPr>
          <w:rFonts w:ascii="Garamond" w:hAnsi="Garamond"/>
          <w:sz w:val="22"/>
          <w:szCs w:val="22"/>
          <w:lang w:val="en-US"/>
        </w:rPr>
        <w:softHyphen/>
        <w:t xml:space="preserve">gung als reale Bildung im System </w:t>
      </w:r>
      <w:r w:rsidRPr="00CB2E9F">
        <w:rPr>
          <w:rFonts w:ascii="Garamond" w:hAnsi="Garamond"/>
          <w:i/>
          <w:iCs/>
          <w:sz w:val="22"/>
          <w:szCs w:val="22"/>
          <w:lang w:val="en-US"/>
        </w:rPr>
        <w:t>Ubw</w:t>
      </w:r>
      <w:r w:rsidRPr="00CB2E9F">
        <w:rPr>
          <w:rFonts w:ascii="Garamond" w:hAnsi="Garamond"/>
          <w:sz w:val="22"/>
          <w:szCs w:val="22"/>
          <w:lang w:val="en-US"/>
        </w:rPr>
        <w:t xml:space="preserve"> bestehenbleibt, während dem unbewußten Affekt ebendort nur eine Ansatzmöglichkeit, die nicht zur Entfaltung kommen durfte, entspricht. Strenggenommen und obwohl der Sprachgebrauch tadellos bleibt, gibt es also keine unbewußten Affekte, wie es unbewußte Vorstellungen gibt. Es kann aber sehr wohl im System </w:t>
      </w:r>
      <w:r w:rsidRPr="00CB2E9F">
        <w:rPr>
          <w:rFonts w:ascii="Garamond" w:hAnsi="Garamond"/>
          <w:i/>
          <w:iCs/>
          <w:sz w:val="22"/>
          <w:szCs w:val="22"/>
          <w:lang w:val="en-US"/>
        </w:rPr>
        <w:t>Ubw</w:t>
      </w:r>
      <w:r w:rsidRPr="00CB2E9F">
        <w:rPr>
          <w:rFonts w:ascii="Garamond" w:hAnsi="Garamond"/>
          <w:sz w:val="22"/>
          <w:szCs w:val="22"/>
          <w:lang w:val="en-US"/>
        </w:rPr>
        <w:t xml:space="preserve"> Affektbildungen geben, die wie andere bewußt werden. Der ganze Unterschied rührt daher, daß Vorstellungen Besetzungen — im Grunde von Erinnerungsspuren — sind, während die Affekte und Gefühle Abfuhrvorgän</w:t>
      </w:r>
      <w:r w:rsidRPr="00CB2E9F">
        <w:rPr>
          <w:rFonts w:ascii="Garamond" w:hAnsi="Garamond"/>
          <w:sz w:val="22"/>
          <w:szCs w:val="22"/>
          <w:lang w:val="en-US"/>
        </w:rPr>
        <w:softHyphen/>
        <w:t>gen entsprechen, deren letzte Äußerungen als Empfindungen wahrgenom</w:t>
      </w:r>
      <w:r w:rsidRPr="00CB2E9F">
        <w:rPr>
          <w:rFonts w:ascii="Garamond" w:hAnsi="Garamond"/>
          <w:sz w:val="22"/>
          <w:szCs w:val="22"/>
          <w:lang w:val="en-US"/>
        </w:rPr>
        <w:softHyphen/>
        <w:t>men werden. Im gegenwärtigen Zustand unserer Kenntnis von den Affekten und Gefühlen können wir diesen Unterschied nicht klarer ausdrücken.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Die Feststellung, daß es der Verdrängung gelingen kann, die Umsetzung der Triebregung in Affektäußerung zu hemmen, ist für uns von besonderem Interesse. Sie zeigt uns, daß das System </w:t>
      </w:r>
      <w:r w:rsidRPr="00CB2E9F">
        <w:rPr>
          <w:rFonts w:ascii="Garamond" w:hAnsi="Garamond"/>
          <w:i/>
          <w:iCs/>
          <w:sz w:val="22"/>
          <w:szCs w:val="22"/>
          <w:lang w:val="en-US"/>
        </w:rPr>
        <w:t>Bw</w:t>
      </w:r>
      <w:r w:rsidRPr="00CB2E9F">
        <w:rPr>
          <w:rFonts w:ascii="Garamond" w:hAnsi="Garamond"/>
          <w:sz w:val="22"/>
          <w:szCs w:val="22"/>
          <w:lang w:val="en-US"/>
        </w:rPr>
        <w:t xml:space="preserve"> normalerweise die Affektivität wie den Zugang zur Motilität beherrscht, und hebt den Wert der Verdrän</w:t>
      </w:r>
      <w:r w:rsidRPr="00CB2E9F">
        <w:rPr>
          <w:rFonts w:ascii="Garamond" w:hAnsi="Garamond"/>
          <w:sz w:val="22"/>
          <w:szCs w:val="22"/>
          <w:lang w:val="en-US"/>
        </w:rPr>
        <w:softHyphen/>
      </w:r>
      <w:r w:rsidRPr="00CB2E9F">
        <w:rPr>
          <w:rFonts w:ascii="Garamond" w:hAnsi="Garamond"/>
          <w:sz w:val="22"/>
          <w:szCs w:val="22"/>
          <w:lang w:val="en-US"/>
        </w:rPr>
        <w:lastRenderedPageBreak/>
        <w:t>gung, indem sie als deren Folgen nicht nur die Abhaltung vom Bewußtsein, sondern auch von der Affektentwicklung und von der Motivierung der Muskel</w:t>
      </w:r>
      <w:r w:rsidRPr="00CB2E9F">
        <w:rPr>
          <w:rFonts w:ascii="Garamond" w:hAnsi="Garamond"/>
          <w:sz w:val="22"/>
          <w:szCs w:val="22"/>
          <w:lang w:val="en-US"/>
        </w:rPr>
        <w:softHyphen/>
        <w:t xml:space="preserve">tätigkeit aufzeigt. Wir können auch in umgekehrter Darstellung sagen: Solange das System </w:t>
      </w:r>
      <w:r w:rsidRPr="00CB2E9F">
        <w:rPr>
          <w:rFonts w:ascii="Garamond" w:hAnsi="Garamond"/>
          <w:i/>
          <w:iCs/>
          <w:sz w:val="22"/>
          <w:szCs w:val="22"/>
          <w:lang w:val="en-US"/>
        </w:rPr>
        <w:t>Bw</w:t>
      </w:r>
      <w:r w:rsidRPr="00CB2E9F">
        <w:rPr>
          <w:rFonts w:ascii="Garamond" w:hAnsi="Garamond"/>
          <w:sz w:val="22"/>
          <w:szCs w:val="22"/>
          <w:lang w:val="en-US"/>
        </w:rPr>
        <w:t xml:space="preserve"> Affektivität und Motilität beherrscht, heißen wir den psychischen Zustand des Individuums normal. Indes ist ein Unterschied in der Beziehung des herrschenden Systems zu den beiden einander nahe</w:t>
      </w:r>
      <w:r w:rsidRPr="00CB2E9F">
        <w:rPr>
          <w:rFonts w:ascii="Garamond" w:hAnsi="Garamond"/>
          <w:sz w:val="22"/>
          <w:szCs w:val="22"/>
          <w:lang w:val="en-US"/>
        </w:rPr>
        <w:softHyphen/>
        <w:t>stehenden Abfuhraktionen unverkennbar</w:t>
      </w:r>
      <w:r w:rsidRPr="00CB2E9F">
        <w:rPr>
          <w:rFonts w:ascii="Garamond" w:hAnsi="Garamond"/>
          <w:i/>
          <w:iCs/>
          <w:sz w:val="22"/>
          <w:szCs w:val="22"/>
          <w:lang w:val="en-US"/>
        </w:rPr>
        <w:t>.</w:t>
      </w:r>
      <w:r w:rsidRPr="00CB2E9F">
        <w:rPr>
          <w:rFonts w:ascii="Garamond" w:hAnsi="Garamond"/>
          <w:sz w:val="22"/>
          <w:szCs w:val="22"/>
          <w:vertAlign w:val="superscript"/>
          <w:lang w:val="en-US"/>
        </w:rPr>
        <w:t>1)</w:t>
      </w:r>
      <w:r w:rsidRPr="00CB2E9F">
        <w:rPr>
          <w:rFonts w:ascii="Garamond" w:hAnsi="Garamond"/>
          <w:i/>
          <w:iCs/>
          <w:sz w:val="22"/>
          <w:szCs w:val="22"/>
          <w:lang w:val="en-US"/>
        </w:rPr>
        <w:t xml:space="preserve"> </w:t>
      </w:r>
      <w:r w:rsidRPr="00CB2E9F">
        <w:rPr>
          <w:rFonts w:ascii="Garamond" w:hAnsi="Garamond"/>
          <w:sz w:val="22"/>
          <w:szCs w:val="22"/>
          <w:lang w:val="en-US"/>
        </w:rPr>
        <w:t xml:space="preserve">Während die Herrschaft des </w:t>
      </w:r>
      <w:r w:rsidRPr="00CB2E9F">
        <w:rPr>
          <w:rFonts w:ascii="Garamond" w:hAnsi="Garamond"/>
          <w:i/>
          <w:iCs/>
          <w:sz w:val="22"/>
          <w:szCs w:val="22"/>
          <w:lang w:val="en-US"/>
        </w:rPr>
        <w:t>Bw</w:t>
      </w:r>
      <w:r w:rsidRPr="00CB2E9F">
        <w:rPr>
          <w:rFonts w:ascii="Garamond" w:hAnsi="Garamond"/>
          <w:sz w:val="22"/>
          <w:szCs w:val="22"/>
          <w:lang w:val="en-US"/>
        </w:rPr>
        <w:t xml:space="preserve"> über die willkürliche Motilität fest gegründet ist, dem Ansturm der Neurose regelmäßig widersteht und erst in der Psychose zusammenbricht, ist die Beherrschung der Affektentwicklung durch </w:t>
      </w:r>
      <w:r w:rsidRPr="00CB2E9F">
        <w:rPr>
          <w:rFonts w:ascii="Garamond" w:hAnsi="Garamond"/>
          <w:i/>
          <w:iCs/>
          <w:sz w:val="22"/>
          <w:szCs w:val="22"/>
          <w:lang w:val="en-US"/>
        </w:rPr>
        <w:t>Bw</w:t>
      </w:r>
      <w:r w:rsidRPr="00CB2E9F">
        <w:rPr>
          <w:rFonts w:ascii="Garamond" w:hAnsi="Garamond"/>
          <w:sz w:val="22"/>
          <w:szCs w:val="22"/>
          <w:lang w:val="en-US"/>
        </w:rPr>
        <w:t xml:space="preserve"> minder gefestigt. Noch innerhalb des normalen Lebens läßt sich ein beständiges Ringen der beiden Systeme </w:t>
      </w:r>
      <w:r w:rsidRPr="00CB2E9F">
        <w:rPr>
          <w:rFonts w:ascii="Garamond" w:hAnsi="Garamond"/>
          <w:i/>
          <w:iCs/>
          <w:sz w:val="22"/>
          <w:szCs w:val="22"/>
          <w:lang w:val="en-US"/>
        </w:rPr>
        <w:t>Bw</w:t>
      </w:r>
      <w:r w:rsidRPr="00CB2E9F">
        <w:rPr>
          <w:rFonts w:ascii="Garamond" w:hAnsi="Garamond"/>
          <w:sz w:val="22"/>
          <w:szCs w:val="22"/>
          <w:lang w:val="en-US"/>
        </w:rPr>
        <w:t xml:space="preserve"> und </w:t>
      </w:r>
      <w:r w:rsidRPr="00CB2E9F">
        <w:rPr>
          <w:rFonts w:ascii="Garamond" w:hAnsi="Garamond"/>
          <w:i/>
          <w:iCs/>
          <w:sz w:val="22"/>
          <w:szCs w:val="22"/>
          <w:lang w:val="en-US"/>
        </w:rPr>
        <w:t>Ubw</w:t>
      </w:r>
      <w:r w:rsidRPr="00CB2E9F">
        <w:rPr>
          <w:rFonts w:ascii="Garamond" w:hAnsi="Garamond"/>
          <w:sz w:val="22"/>
          <w:szCs w:val="22"/>
          <w:lang w:val="en-US"/>
        </w:rPr>
        <w:t xml:space="preserve"> um den Primat in der Affektivität erkennen, grenzen sich gewisse Einflußsphären voneinander ab und stellen sich Vermengungen der wirksamen Kräfte her.</w:t>
      </w:r>
    </w:p>
    <w:p w:rsidR="00CB2E9F" w:rsidRPr="00CB2E9F" w:rsidRDefault="00CB2E9F" w:rsidP="00130855">
      <w:pPr>
        <w:pStyle w:val="NormalWeb"/>
        <w:rPr>
          <w:rFonts w:ascii="Garamond" w:hAnsi="Garamond"/>
          <w:sz w:val="22"/>
          <w:szCs w:val="22"/>
          <w:lang w:val="en-US"/>
        </w:rPr>
      </w:pPr>
      <w:r w:rsidRPr="00A06A59">
        <w:rPr>
          <w:rFonts w:ascii="Garamond" w:hAnsi="Garamond"/>
          <w:sz w:val="22"/>
          <w:szCs w:val="22"/>
          <w:lang w:val="en-US"/>
        </w:rPr>
        <w:t xml:space="preserve">Die Bedeutung des Systems </w:t>
      </w:r>
      <w:r w:rsidRPr="00A06A59">
        <w:rPr>
          <w:rFonts w:ascii="Garamond" w:hAnsi="Garamond"/>
          <w:i/>
          <w:iCs/>
          <w:sz w:val="22"/>
          <w:szCs w:val="22"/>
          <w:lang w:val="en-US"/>
        </w:rPr>
        <w:t>Bw (Vbw)</w:t>
      </w:r>
      <w:r w:rsidRPr="00A06A59">
        <w:rPr>
          <w:rFonts w:ascii="Garamond" w:hAnsi="Garamond"/>
          <w:sz w:val="22"/>
          <w:szCs w:val="22"/>
          <w:lang w:val="en-US"/>
        </w:rPr>
        <w:t xml:space="preserve"> für die Zugänge zur Affekt</w:t>
      </w:r>
      <w:r w:rsidRPr="00A06A59">
        <w:rPr>
          <w:rFonts w:ascii="Garamond" w:hAnsi="Garamond"/>
          <w:sz w:val="22"/>
          <w:szCs w:val="22"/>
          <w:lang w:val="en-US"/>
        </w:rPr>
        <w:softHyphen/>
        <w:t xml:space="preserve">entbindung und Aktion macht uns auch die Rolle verständlich, welche in der Krankheitsgestaltung der Ersatzvorstellung zufällt. </w:t>
      </w:r>
      <w:r w:rsidRPr="00CB2E9F">
        <w:rPr>
          <w:rFonts w:ascii="Garamond" w:hAnsi="Garamond"/>
          <w:sz w:val="22"/>
          <w:szCs w:val="22"/>
          <w:lang w:val="en-US"/>
        </w:rPr>
        <w:t xml:space="preserve">Es ist möglich, daß die Affektentwicklung direkt vom System </w:t>
      </w:r>
      <w:r w:rsidRPr="00CB2E9F">
        <w:rPr>
          <w:rFonts w:ascii="Garamond" w:hAnsi="Garamond"/>
          <w:i/>
          <w:iCs/>
          <w:sz w:val="22"/>
          <w:szCs w:val="22"/>
          <w:lang w:val="en-US"/>
        </w:rPr>
        <w:t>Ubw</w:t>
      </w:r>
      <w:r w:rsidRPr="00CB2E9F">
        <w:rPr>
          <w:rFonts w:ascii="Garamond" w:hAnsi="Garamond"/>
          <w:sz w:val="22"/>
          <w:szCs w:val="22"/>
          <w:lang w:val="en-US"/>
        </w:rPr>
        <w:t xml:space="preserve"> ausgeht, in diesem Falle hat sie immer den Charakter der Angst, gegen welche alle »verdrängten« Affekte eingetauscht werden. Häufig aber muß die Triebregung warten, bis sie eine Ersatzvorstellung im System </w:t>
      </w:r>
      <w:r w:rsidRPr="00CB2E9F">
        <w:rPr>
          <w:rFonts w:ascii="Garamond" w:hAnsi="Garamond"/>
          <w:i/>
          <w:iCs/>
          <w:sz w:val="22"/>
          <w:szCs w:val="22"/>
          <w:lang w:val="en-US"/>
        </w:rPr>
        <w:t>Bw</w:t>
      </w:r>
      <w:r w:rsidRPr="00CB2E9F">
        <w:rPr>
          <w:rFonts w:ascii="Garamond" w:hAnsi="Garamond"/>
          <w:sz w:val="22"/>
          <w:szCs w:val="22"/>
          <w:lang w:val="en-US"/>
        </w:rPr>
        <w:t xml:space="preserve"> gefunden hat. Dann ist die Affektentwicklung von diesem bewußten Ersatz her ermöglicht und der qualitative Charakter des Affekts durch dessen Natur bestimmt. Wir haben behauptet, daß bei der Verdrängung eine Trennung des Affekts von seiner Vorstellung stattfindet, worauf beide ihren gesonderten Schicksalen entgegengehen. Das ist deskriptiv unbestreitbar; der wirkliche Vorgang aber ist in der Regel, daß ein Affekt so lange nicht zustande kommt, bis nicht der Durchbruch zu einer neuen Vertretung im System </w:t>
      </w:r>
      <w:r w:rsidRPr="00CB2E9F">
        <w:rPr>
          <w:rFonts w:ascii="Garamond" w:hAnsi="Garamond"/>
          <w:i/>
          <w:iCs/>
          <w:sz w:val="22"/>
          <w:szCs w:val="22"/>
          <w:lang w:val="en-US"/>
        </w:rPr>
        <w:t>Bw</w:t>
      </w:r>
      <w:r w:rsidRPr="00CB2E9F">
        <w:rPr>
          <w:rFonts w:ascii="Garamond" w:hAnsi="Garamond"/>
          <w:sz w:val="22"/>
          <w:szCs w:val="22"/>
          <w:lang w:val="en-US"/>
        </w:rPr>
        <w:t xml:space="preserve"> gelungen ist. </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______________________</w:t>
      </w:r>
    </w:p>
    <w:p w:rsidR="00CB2E9F" w:rsidRPr="00CB2E9F"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1)</w:t>
      </w:r>
      <w:r w:rsidRPr="00CB2E9F">
        <w:rPr>
          <w:rFonts w:ascii="Garamond" w:hAnsi="Garamond"/>
          <w:sz w:val="22"/>
          <w:szCs w:val="22"/>
          <w:lang w:val="en-US"/>
        </w:rPr>
        <w:t xml:space="preserve"> Die Affektivität äußert sich wesentlich in motorischer (sekretorischer, gefäßregulierender) Abfuhr zur (inneren) Veränderung des eigenen Körpers ohne Beziehung zur Außenwelt, die Motilität in Aktionen, die zur Veränderung der Außenwelt bestimmt sind.</w:t>
      </w:r>
    </w:p>
    <w:p w:rsidR="005E1D01" w:rsidRDefault="005E1D01">
      <w:pPr>
        <w:rPr>
          <w:rFonts w:ascii="Garamond" w:eastAsiaTheme="majorEastAsia" w:hAnsi="Garamond" w:cstheme="majorBidi"/>
          <w:b/>
          <w:bCs/>
          <w:color w:val="4F81BD" w:themeColor="accent1"/>
          <w:lang w:val="en-US"/>
        </w:rPr>
      </w:pPr>
      <w:r>
        <w:rPr>
          <w:rFonts w:ascii="Garamond" w:hAnsi="Garamond"/>
          <w:lang w:val="en-US"/>
        </w:rPr>
        <w:br w:type="page"/>
      </w:r>
    </w:p>
    <w:p w:rsidR="00CB2E9F" w:rsidRPr="00CB2E9F" w:rsidRDefault="00B437A1" w:rsidP="00130855">
      <w:pPr>
        <w:pStyle w:val="Titre3"/>
        <w:rPr>
          <w:rFonts w:ascii="Garamond" w:hAnsi="Garamond"/>
          <w:lang w:val="en-US"/>
        </w:rPr>
      </w:pPr>
      <w:hyperlink w:anchor="UnbInhalt" w:history="1">
        <w:r w:rsidR="00CB2E9F" w:rsidRPr="005E1D01">
          <w:rPr>
            <w:rStyle w:val="Lienhypertexte"/>
            <w:rFonts w:ascii="Garamond" w:hAnsi="Garamond"/>
            <w:lang w:val="en-US"/>
          </w:rPr>
          <w:t>IV. To</w:t>
        </w:r>
        <w:bookmarkStart w:id="7" w:name="Unb4"/>
        <w:bookmarkEnd w:id="7"/>
        <w:r w:rsidR="00CB2E9F" w:rsidRPr="005E1D01">
          <w:rPr>
            <w:rStyle w:val="Lienhypertexte"/>
            <w:rFonts w:ascii="Garamond" w:hAnsi="Garamond"/>
            <w:lang w:val="en-US"/>
          </w:rPr>
          <w:t>pik und Dynamik der Verdrängung</w:t>
        </w:r>
      </w:hyperlink>
    </w:p>
    <w:p w:rsidR="00CB2E9F" w:rsidRPr="00CB2E9F" w:rsidRDefault="00CB2E9F" w:rsidP="00130855">
      <w:pPr>
        <w:rPr>
          <w:rFonts w:ascii="Garamond" w:hAnsi="Garamond"/>
          <w:lang w:val="en-US"/>
        </w:rPr>
      </w:pP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Wir haben das Resultat erhalten, daß die Verdrängung im wesentlichen ein Vorgang ist, der sich an Vorstellungen an der Grenze der Systeme </w:t>
      </w:r>
      <w:r w:rsidRPr="00CB2E9F">
        <w:rPr>
          <w:rFonts w:ascii="Garamond" w:hAnsi="Garamond"/>
          <w:i/>
          <w:iCs/>
          <w:sz w:val="22"/>
          <w:szCs w:val="22"/>
          <w:lang w:val="en-US"/>
        </w:rPr>
        <w:t>Ubw</w:t>
      </w:r>
      <w:r w:rsidRPr="00CB2E9F">
        <w:rPr>
          <w:rFonts w:ascii="Garamond" w:hAnsi="Garamond"/>
          <w:sz w:val="22"/>
          <w:szCs w:val="22"/>
          <w:lang w:val="en-US"/>
        </w:rPr>
        <w:t xml:space="preserve"> und </w:t>
      </w:r>
      <w:r w:rsidRPr="00CB2E9F">
        <w:rPr>
          <w:rFonts w:ascii="Garamond" w:hAnsi="Garamond"/>
          <w:i/>
          <w:iCs/>
          <w:sz w:val="22"/>
          <w:szCs w:val="22"/>
          <w:lang w:val="en-US"/>
        </w:rPr>
        <w:t>Vbw (Bw)</w:t>
      </w:r>
      <w:r w:rsidRPr="00CB2E9F">
        <w:rPr>
          <w:rFonts w:ascii="Garamond" w:hAnsi="Garamond"/>
          <w:sz w:val="22"/>
          <w:szCs w:val="22"/>
          <w:lang w:val="en-US"/>
        </w:rPr>
        <w:t xml:space="preserve"> vollzieht, und können nun einen neuerlichen Versuch machen, diesen Vorgang eingehender zu beschreiben. Es muß sich dabei um eine </w:t>
      </w:r>
      <w:r w:rsidRPr="00CB2E9F">
        <w:rPr>
          <w:rFonts w:ascii="Garamond" w:hAnsi="Garamond"/>
          <w:i/>
          <w:iCs/>
          <w:sz w:val="22"/>
          <w:szCs w:val="22"/>
          <w:lang w:val="en-US"/>
        </w:rPr>
        <w:t>Entziehung</w:t>
      </w:r>
      <w:r w:rsidRPr="00CB2E9F">
        <w:rPr>
          <w:rFonts w:ascii="Garamond" w:hAnsi="Garamond"/>
          <w:sz w:val="22"/>
          <w:szCs w:val="22"/>
          <w:lang w:val="en-US"/>
        </w:rPr>
        <w:t xml:space="preserve"> von Besetzung handeln, aber es fragt sich, in welchem System findet die Entziehung statt, und welchem System gehört die entzogene Besetzung an.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Die verdrängte Vorstellung bleibt im </w:t>
      </w:r>
      <w:r w:rsidRPr="00CB2E9F">
        <w:rPr>
          <w:rFonts w:ascii="Garamond" w:hAnsi="Garamond"/>
          <w:i/>
          <w:iCs/>
          <w:sz w:val="22"/>
          <w:szCs w:val="22"/>
          <w:lang w:val="en-US"/>
        </w:rPr>
        <w:t>Ubw</w:t>
      </w:r>
      <w:r w:rsidRPr="00CB2E9F">
        <w:rPr>
          <w:rFonts w:ascii="Garamond" w:hAnsi="Garamond"/>
          <w:sz w:val="22"/>
          <w:szCs w:val="22"/>
          <w:lang w:val="en-US"/>
        </w:rPr>
        <w:t xml:space="preserve"> aktionsfähig; sie muß also ihre Besetzung behalten haben. Das Entzogene muß etwas anderes sein. Nehmen wir den Fall der eigentlichen Verdrängung vor (des Nachdrängens), wie sie sich an der vorbewußten oder selbst bereits bewußten Vorstellung abspielt, dann kann die Verdrängung nur darin bestehen, daß der Vorstellung die (vor)bewußte Besetzung entzogen wird, die dem System </w:t>
      </w:r>
      <w:r w:rsidRPr="00CB2E9F">
        <w:rPr>
          <w:rFonts w:ascii="Garamond" w:hAnsi="Garamond"/>
          <w:i/>
          <w:iCs/>
          <w:sz w:val="22"/>
          <w:szCs w:val="22"/>
          <w:lang w:val="en-US"/>
        </w:rPr>
        <w:t>Vbw</w:t>
      </w:r>
      <w:r w:rsidRPr="00CB2E9F">
        <w:rPr>
          <w:rFonts w:ascii="Garamond" w:hAnsi="Garamond"/>
          <w:sz w:val="22"/>
          <w:szCs w:val="22"/>
          <w:lang w:val="en-US"/>
        </w:rPr>
        <w:t xml:space="preserve"> angehört. Die Vorstellung bleibt dann unbesetzt, oder sie erhält Besetzung vom </w:t>
      </w:r>
      <w:r w:rsidRPr="00CB2E9F">
        <w:rPr>
          <w:rFonts w:ascii="Garamond" w:hAnsi="Garamond"/>
          <w:i/>
          <w:iCs/>
          <w:sz w:val="22"/>
          <w:szCs w:val="22"/>
          <w:lang w:val="en-US"/>
        </w:rPr>
        <w:t>Ubw</w:t>
      </w:r>
      <w:r w:rsidRPr="00CB2E9F">
        <w:rPr>
          <w:rFonts w:ascii="Garamond" w:hAnsi="Garamond"/>
          <w:sz w:val="22"/>
          <w:szCs w:val="22"/>
          <w:lang w:val="en-US"/>
        </w:rPr>
        <w:t xml:space="preserve"> her, oder sie behält die </w:t>
      </w:r>
      <w:r w:rsidRPr="00CB2E9F">
        <w:rPr>
          <w:rFonts w:ascii="Garamond" w:hAnsi="Garamond"/>
          <w:i/>
          <w:iCs/>
          <w:sz w:val="22"/>
          <w:szCs w:val="22"/>
          <w:lang w:val="en-US"/>
        </w:rPr>
        <w:t>ubw</w:t>
      </w:r>
      <w:r w:rsidRPr="00CB2E9F">
        <w:rPr>
          <w:rFonts w:ascii="Garamond" w:hAnsi="Garamond"/>
          <w:sz w:val="22"/>
          <w:szCs w:val="22"/>
          <w:lang w:val="en-US"/>
        </w:rPr>
        <w:t xml:space="preserve"> Besetzung, die sie schon früher hatte. Also Ent</w:t>
      </w:r>
      <w:r w:rsidRPr="00CB2E9F">
        <w:rPr>
          <w:rFonts w:ascii="Garamond" w:hAnsi="Garamond"/>
          <w:sz w:val="22"/>
          <w:szCs w:val="22"/>
          <w:lang w:val="en-US"/>
        </w:rPr>
        <w:softHyphen/>
        <w:t xml:space="preserve">ziehung der vorbewußten, Erhaltung der unbewußten Besetzung oder Ersatz der vorbewußten Besetzung durch eine unbewußte. Wir bemerken übrigens, daß wir dieser Betrachtung wie unabsichtlich die Annahme zugrunde gelegt haben, der Übergang aus dem System </w:t>
      </w:r>
      <w:r w:rsidRPr="00CB2E9F">
        <w:rPr>
          <w:rFonts w:ascii="Garamond" w:hAnsi="Garamond"/>
          <w:i/>
          <w:iCs/>
          <w:sz w:val="22"/>
          <w:szCs w:val="22"/>
          <w:lang w:val="en-US"/>
        </w:rPr>
        <w:t>Ubw</w:t>
      </w:r>
      <w:r w:rsidRPr="00CB2E9F">
        <w:rPr>
          <w:rFonts w:ascii="Garamond" w:hAnsi="Garamond"/>
          <w:sz w:val="22"/>
          <w:szCs w:val="22"/>
          <w:lang w:val="en-US"/>
        </w:rPr>
        <w:t xml:space="preserve"> in ein nächstes geschehe nicht durch eine neue Niederschrift, sondern durch eine Zustands</w:t>
      </w:r>
      <w:r w:rsidRPr="00CB2E9F">
        <w:rPr>
          <w:rFonts w:ascii="Garamond" w:hAnsi="Garamond"/>
          <w:sz w:val="22"/>
          <w:szCs w:val="22"/>
          <w:lang w:val="en-US"/>
        </w:rPr>
        <w:softHyphen/>
        <w:t>änderung, einen Wandel in der Besetzung. Die funktionale Annahme hat hier die topische mit leichter Mühe aus dem Felde geschlagen.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Dieser Vorgang der Libidoentziehung</w:t>
      </w:r>
      <w:r w:rsidRPr="00CB2E9F">
        <w:rPr>
          <w:rFonts w:ascii="Garamond" w:hAnsi="Garamond"/>
          <w:i/>
          <w:iCs/>
          <w:sz w:val="22"/>
          <w:szCs w:val="22"/>
          <w:lang w:val="en-US"/>
        </w:rPr>
        <w:t xml:space="preserve"> </w:t>
      </w:r>
      <w:r w:rsidRPr="00CB2E9F">
        <w:rPr>
          <w:rFonts w:ascii="Garamond" w:hAnsi="Garamond"/>
          <w:sz w:val="22"/>
          <w:szCs w:val="22"/>
          <w:lang w:val="en-US"/>
        </w:rPr>
        <w:t>reicht aber nicht aus, um einen anderen Charakter der Verdrängung begreiflich zu machen. Es ist nicht einzu</w:t>
      </w:r>
      <w:r w:rsidRPr="00CB2E9F">
        <w:rPr>
          <w:rFonts w:ascii="Garamond" w:hAnsi="Garamond"/>
          <w:sz w:val="22"/>
          <w:szCs w:val="22"/>
          <w:lang w:val="en-US"/>
        </w:rPr>
        <w:softHyphen/>
        <w:t xml:space="preserve">sehen, warum die besetzt gebliebene oder vom </w:t>
      </w:r>
      <w:r w:rsidRPr="00CB2E9F">
        <w:rPr>
          <w:rFonts w:ascii="Garamond" w:hAnsi="Garamond"/>
          <w:i/>
          <w:iCs/>
          <w:sz w:val="22"/>
          <w:szCs w:val="22"/>
          <w:lang w:val="en-US"/>
        </w:rPr>
        <w:t>Ubw</w:t>
      </w:r>
      <w:r w:rsidRPr="00CB2E9F">
        <w:rPr>
          <w:rFonts w:ascii="Garamond" w:hAnsi="Garamond"/>
          <w:sz w:val="22"/>
          <w:szCs w:val="22"/>
          <w:lang w:val="en-US"/>
        </w:rPr>
        <w:t xml:space="preserve"> her mit Besetzung ver</w:t>
      </w:r>
      <w:r w:rsidRPr="00CB2E9F">
        <w:rPr>
          <w:rFonts w:ascii="Garamond" w:hAnsi="Garamond"/>
          <w:sz w:val="22"/>
          <w:szCs w:val="22"/>
          <w:lang w:val="en-US"/>
        </w:rPr>
        <w:softHyphen/>
        <w:t xml:space="preserve">sehene Vorstellung nicht den Versuch erneuern sollte, kraft ihrer Besetzung in das System </w:t>
      </w:r>
      <w:r w:rsidRPr="00CB2E9F">
        <w:rPr>
          <w:rFonts w:ascii="Garamond" w:hAnsi="Garamond"/>
          <w:i/>
          <w:iCs/>
          <w:sz w:val="22"/>
          <w:szCs w:val="22"/>
          <w:lang w:val="en-US"/>
        </w:rPr>
        <w:t>Vbw</w:t>
      </w:r>
      <w:r w:rsidRPr="00CB2E9F">
        <w:rPr>
          <w:rFonts w:ascii="Garamond" w:hAnsi="Garamond"/>
          <w:sz w:val="22"/>
          <w:szCs w:val="22"/>
          <w:lang w:val="en-US"/>
        </w:rPr>
        <w:t xml:space="preserve"> einzudringen. Dann müßte sich die Libidoentziehung an ihr wiederholen, und dasselbe Spiel würde sich unabgeschlossen fortsetzen, das Ergebnis aber nicht das der Verdrängung sein. Ebenso würde der be</w:t>
      </w:r>
      <w:r w:rsidRPr="00CB2E9F">
        <w:rPr>
          <w:rFonts w:ascii="Garamond" w:hAnsi="Garamond"/>
          <w:sz w:val="22"/>
          <w:szCs w:val="22"/>
          <w:lang w:val="en-US"/>
        </w:rPr>
        <w:softHyphen/>
        <w:t xml:space="preserve">sprochene Mechanismus der Entziehung vorbewußter Besetzung versagen, wenn es sich um die Darstellung der Urverdrängung handelt; in diesem Falle liegt ja eine unbewußte Vorstellung vor, die noch keine Besetzung vom </w:t>
      </w:r>
      <w:r w:rsidRPr="00CB2E9F">
        <w:rPr>
          <w:rFonts w:ascii="Garamond" w:hAnsi="Garamond"/>
          <w:i/>
          <w:iCs/>
          <w:sz w:val="22"/>
          <w:szCs w:val="22"/>
          <w:lang w:val="en-US"/>
        </w:rPr>
        <w:t>Vbw</w:t>
      </w:r>
      <w:r w:rsidRPr="00CB2E9F">
        <w:rPr>
          <w:rFonts w:ascii="Garamond" w:hAnsi="Garamond"/>
          <w:sz w:val="22"/>
          <w:szCs w:val="22"/>
          <w:lang w:val="en-US"/>
        </w:rPr>
        <w:t xml:space="preserve"> erhalten hat, der eine solche also auch nicht entzogen werden kann.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Wir bedürfen also hier eines anderen Vorganges, welcher im ersten Falle die Verdrängung unterhält, im zweiten ihre Herstellung und Fortdauer be</w:t>
      </w:r>
      <w:r w:rsidRPr="00CB2E9F">
        <w:rPr>
          <w:rFonts w:ascii="Garamond" w:hAnsi="Garamond"/>
          <w:sz w:val="22"/>
          <w:szCs w:val="22"/>
          <w:lang w:val="en-US"/>
        </w:rPr>
        <w:softHyphen/>
        <w:t xml:space="preserve">sorgt, und können diesen nur in der Annahme einer </w:t>
      </w:r>
      <w:r w:rsidRPr="00CB2E9F">
        <w:rPr>
          <w:rFonts w:ascii="Garamond" w:hAnsi="Garamond"/>
          <w:i/>
          <w:iCs/>
          <w:sz w:val="22"/>
          <w:szCs w:val="22"/>
          <w:lang w:val="en-US"/>
        </w:rPr>
        <w:t>Gegenbesetzung</w:t>
      </w:r>
      <w:r w:rsidRPr="00CB2E9F">
        <w:rPr>
          <w:rFonts w:ascii="Garamond" w:hAnsi="Garamond"/>
          <w:sz w:val="22"/>
          <w:szCs w:val="22"/>
          <w:lang w:val="en-US"/>
        </w:rPr>
        <w:t xml:space="preserve"> finden, durch welche sich das System </w:t>
      </w:r>
      <w:r w:rsidRPr="00CB2E9F">
        <w:rPr>
          <w:rFonts w:ascii="Garamond" w:hAnsi="Garamond"/>
          <w:i/>
          <w:iCs/>
          <w:sz w:val="22"/>
          <w:szCs w:val="22"/>
          <w:lang w:val="en-US"/>
        </w:rPr>
        <w:t>Vbw</w:t>
      </w:r>
      <w:r w:rsidRPr="00CB2E9F">
        <w:rPr>
          <w:rFonts w:ascii="Garamond" w:hAnsi="Garamond"/>
          <w:sz w:val="22"/>
          <w:szCs w:val="22"/>
          <w:lang w:val="en-US"/>
        </w:rPr>
        <w:t xml:space="preserve"> gegen das Andrängen der unbewußten Vorstellung schützt. Wie sich eine solche Gegenbesetzung, die im System </w:t>
      </w:r>
      <w:r w:rsidRPr="00CB2E9F">
        <w:rPr>
          <w:rFonts w:ascii="Garamond" w:hAnsi="Garamond"/>
          <w:i/>
          <w:iCs/>
          <w:sz w:val="22"/>
          <w:szCs w:val="22"/>
          <w:lang w:val="en-US"/>
        </w:rPr>
        <w:t>Vbw</w:t>
      </w:r>
      <w:r w:rsidRPr="00CB2E9F">
        <w:rPr>
          <w:rFonts w:ascii="Garamond" w:hAnsi="Garamond"/>
          <w:sz w:val="22"/>
          <w:szCs w:val="22"/>
          <w:lang w:val="en-US"/>
        </w:rPr>
        <w:t xml:space="preserve"> vor sich geht, äußert, werden wir an klinischen Beispielen sehen. Sie ist es, welche den Daueraufwand einer Urverdrängung repräsentiert, aber auch deren Dauerhaftigkeit verbürgt. Die Gegenbesetzung ist der alleinige Mechanismus der Urverdrängung; bei der eigentlichen Verdrängung (dem Nachdrängen) kommt die Entziehung der </w:t>
      </w:r>
      <w:r w:rsidRPr="00CB2E9F">
        <w:rPr>
          <w:rFonts w:ascii="Garamond" w:hAnsi="Garamond"/>
          <w:i/>
          <w:iCs/>
          <w:sz w:val="22"/>
          <w:szCs w:val="22"/>
          <w:lang w:val="en-US"/>
        </w:rPr>
        <w:t>vbw</w:t>
      </w:r>
      <w:r w:rsidRPr="00CB2E9F">
        <w:rPr>
          <w:rFonts w:ascii="Garamond" w:hAnsi="Garamond"/>
          <w:sz w:val="22"/>
          <w:szCs w:val="22"/>
          <w:lang w:val="en-US"/>
        </w:rPr>
        <w:t xml:space="preserve"> Besetzung hinzu. Es ist sehr wohl möglich, daß gerade die der Vorstellung entzogene Besetzung zur Gegenbesetzung verwendet wird.</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Wir merken, wie wir allmählich dazu gekommen sind, in der Darstellung psychischer Phänomene einen dritten Gesichtspunkt zur Geltung zu bringen, außer dem dynamischen und dem topischen den </w:t>
      </w:r>
      <w:r w:rsidRPr="00CB2E9F">
        <w:rPr>
          <w:rFonts w:ascii="Garamond" w:hAnsi="Garamond"/>
          <w:i/>
          <w:iCs/>
          <w:sz w:val="22"/>
          <w:szCs w:val="22"/>
          <w:lang w:val="en-US"/>
        </w:rPr>
        <w:t>ökonomischen,</w:t>
      </w:r>
      <w:r w:rsidRPr="00CB2E9F">
        <w:rPr>
          <w:rFonts w:ascii="Garamond" w:hAnsi="Garamond"/>
          <w:sz w:val="22"/>
          <w:szCs w:val="22"/>
          <w:lang w:val="en-US"/>
        </w:rPr>
        <w:t xml:space="preserve"> der die Schicksale der Erregungsgrößen zu verfolgen und eine wenigstens relative Schätzung derselben zu gewinnen strebt. Wir werden es nicht unbillig finden, die Betrachtungsweise, welche die Vollendung der psychoanalytischen For</w:t>
      </w:r>
      <w:r w:rsidRPr="00CB2E9F">
        <w:rPr>
          <w:rFonts w:ascii="Garamond" w:hAnsi="Garamond"/>
          <w:sz w:val="22"/>
          <w:szCs w:val="22"/>
          <w:lang w:val="en-US"/>
        </w:rPr>
        <w:softHyphen/>
        <w:t xml:space="preserve">schung ist, durch einen besonderen Namen auszuzeichnen. Ich schlage vor, daß es eine </w:t>
      </w:r>
      <w:r w:rsidRPr="00CB2E9F">
        <w:rPr>
          <w:rFonts w:ascii="Garamond" w:hAnsi="Garamond"/>
          <w:i/>
          <w:iCs/>
          <w:sz w:val="22"/>
          <w:szCs w:val="22"/>
          <w:lang w:val="en-US"/>
        </w:rPr>
        <w:t>metapsychologische</w:t>
      </w:r>
      <w:r w:rsidRPr="00CB2E9F">
        <w:rPr>
          <w:rFonts w:ascii="Garamond" w:hAnsi="Garamond"/>
          <w:sz w:val="22"/>
          <w:szCs w:val="22"/>
          <w:lang w:val="en-US"/>
        </w:rPr>
        <w:t xml:space="preserve"> Darstellung genannt werden soll, wenn es uns gelingt, einen psychischen Vorgang nach seinen </w:t>
      </w:r>
      <w:r w:rsidRPr="00CB2E9F">
        <w:rPr>
          <w:rFonts w:ascii="Garamond" w:hAnsi="Garamond"/>
          <w:i/>
          <w:iCs/>
          <w:sz w:val="22"/>
          <w:szCs w:val="22"/>
          <w:lang w:val="en-US"/>
        </w:rPr>
        <w:t>dynamischen, topischen</w:t>
      </w:r>
      <w:r w:rsidRPr="00CB2E9F">
        <w:rPr>
          <w:rFonts w:ascii="Garamond" w:hAnsi="Garamond"/>
          <w:sz w:val="22"/>
          <w:szCs w:val="22"/>
          <w:lang w:val="en-US"/>
        </w:rPr>
        <w:t xml:space="preserve"> und </w:t>
      </w:r>
      <w:r w:rsidRPr="00CB2E9F">
        <w:rPr>
          <w:rFonts w:ascii="Garamond" w:hAnsi="Garamond"/>
          <w:i/>
          <w:iCs/>
          <w:sz w:val="22"/>
          <w:szCs w:val="22"/>
          <w:lang w:val="en-US"/>
        </w:rPr>
        <w:t>ökonomischen</w:t>
      </w:r>
      <w:r w:rsidRPr="00CB2E9F">
        <w:rPr>
          <w:rFonts w:ascii="Garamond" w:hAnsi="Garamond"/>
          <w:sz w:val="22"/>
          <w:szCs w:val="22"/>
          <w:lang w:val="en-US"/>
        </w:rPr>
        <w:t xml:space="preserve"> Beziehungen zu beschreiben. Es ist vorherzusagen, daß es uns bei dem gegenwärtigen Stand unserer Einsichten nur an vereinzelten Stellen gelingen wird. </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Machen wir einen zaghaften Versuch, eine metapsychologische Beschrei</w:t>
      </w:r>
      <w:r w:rsidRPr="00CB2E9F">
        <w:rPr>
          <w:rFonts w:ascii="Garamond" w:hAnsi="Garamond"/>
          <w:sz w:val="22"/>
          <w:szCs w:val="22"/>
          <w:lang w:val="en-US"/>
        </w:rPr>
        <w:softHyphen/>
        <w:t>bung des Verdrängungsvorganges bei den drei bekannten Übertragungs</w:t>
      </w:r>
      <w:r w:rsidRPr="00CB2E9F">
        <w:rPr>
          <w:rFonts w:ascii="Garamond" w:hAnsi="Garamond"/>
          <w:sz w:val="22"/>
          <w:szCs w:val="22"/>
          <w:lang w:val="en-US"/>
        </w:rPr>
        <w:softHyphen/>
        <w:t>neurosen zu geben. Wir dürfen dabei »Besetzung« durch »Libido« ersetzen</w:t>
      </w:r>
      <w:r w:rsidRPr="00CB2E9F">
        <w:rPr>
          <w:rFonts w:ascii="Garamond" w:hAnsi="Garamond"/>
          <w:i/>
          <w:iCs/>
          <w:sz w:val="22"/>
          <w:szCs w:val="22"/>
          <w:lang w:val="en-US"/>
        </w:rPr>
        <w:t xml:space="preserve">, </w:t>
      </w:r>
      <w:r w:rsidRPr="00CB2E9F">
        <w:rPr>
          <w:rFonts w:ascii="Garamond" w:hAnsi="Garamond"/>
          <w:sz w:val="22"/>
          <w:szCs w:val="22"/>
          <w:lang w:val="en-US"/>
        </w:rPr>
        <w:t>weil es sich ja, wie wir wissen, um die Schicksale von Sexualtrieben handelt.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lastRenderedPageBreak/>
        <w:t xml:space="preserve">Eine erste Phase des Vorganges bei der Angsthysterie wird häufig übersehen, vielleicht auch wirklich übergangen, ist aber bei sorgfältiger Beobachtung gut kenntlich. Sie besteht darin, daß Angst auftritt, ohne daß wahrgenommen würde, wovor. Es ist anzunehmen, daß im </w:t>
      </w:r>
      <w:r w:rsidRPr="00CB2E9F">
        <w:rPr>
          <w:rFonts w:ascii="Garamond" w:hAnsi="Garamond"/>
          <w:i/>
          <w:iCs/>
          <w:sz w:val="22"/>
          <w:szCs w:val="22"/>
          <w:lang w:val="en-US"/>
        </w:rPr>
        <w:t>Ubw</w:t>
      </w:r>
      <w:r w:rsidRPr="00CB2E9F">
        <w:rPr>
          <w:rFonts w:ascii="Garamond" w:hAnsi="Garamond"/>
          <w:sz w:val="22"/>
          <w:szCs w:val="22"/>
          <w:lang w:val="en-US"/>
        </w:rPr>
        <w:t xml:space="preserve"> eine Liebes</w:t>
      </w:r>
      <w:r w:rsidRPr="00CB2E9F">
        <w:rPr>
          <w:rFonts w:ascii="Garamond" w:hAnsi="Garamond"/>
          <w:sz w:val="22"/>
          <w:szCs w:val="22"/>
          <w:lang w:val="en-US"/>
        </w:rPr>
        <w:softHyphen/>
        <w:t xml:space="preserve">regung vorhanden war, die nach der Umsetzung ins System </w:t>
      </w:r>
      <w:r w:rsidRPr="00CB2E9F">
        <w:rPr>
          <w:rFonts w:ascii="Garamond" w:hAnsi="Garamond"/>
          <w:i/>
          <w:iCs/>
          <w:sz w:val="22"/>
          <w:szCs w:val="22"/>
          <w:lang w:val="en-US"/>
        </w:rPr>
        <w:t>Vbw</w:t>
      </w:r>
      <w:r w:rsidRPr="00CB2E9F">
        <w:rPr>
          <w:rFonts w:ascii="Garamond" w:hAnsi="Garamond"/>
          <w:sz w:val="22"/>
          <w:szCs w:val="22"/>
          <w:lang w:val="en-US"/>
        </w:rPr>
        <w:t xml:space="preserve"> verlangte; aber die von diesem System her ihr zugewendete Besetzung zog sich nach Art eines Fluchtversuches von ihr zurück, und die unbewußte Libido</w:t>
      </w:r>
      <w:r w:rsidRPr="00CB2E9F">
        <w:rPr>
          <w:rFonts w:ascii="Garamond" w:hAnsi="Garamond"/>
          <w:sz w:val="22"/>
          <w:szCs w:val="22"/>
          <w:lang w:val="en-US"/>
        </w:rPr>
        <w:softHyphen/>
        <w:t xml:space="preserve">besetzung der zurückgewiesenen Vorstellung wurde als Angst abgeführt. Bei einer etwaigen Wiederholung des Vorganges wurde ein erster Schritt zur Bewältigung der unliebsamen Angstentwicklung unternommen. Die fliehende </w:t>
      </w:r>
      <w:r w:rsidRPr="00CB2E9F">
        <w:rPr>
          <w:rFonts w:ascii="Garamond" w:hAnsi="Garamond"/>
          <w:i/>
          <w:iCs/>
          <w:sz w:val="22"/>
          <w:szCs w:val="22"/>
          <w:lang w:val="en-US"/>
        </w:rPr>
        <w:t>[vbw]</w:t>
      </w:r>
      <w:r w:rsidRPr="00CB2E9F">
        <w:rPr>
          <w:rFonts w:ascii="Garamond" w:hAnsi="Garamond"/>
          <w:sz w:val="22"/>
          <w:szCs w:val="22"/>
          <w:lang w:val="en-US"/>
        </w:rPr>
        <w:t xml:space="preserve"> Besetzung wendete sich einer Ersatzvorstellung zu, die einerseits assoziativ mit der abgewiesenen Vorstellung zusammenhing, anderseits durch die Entfernung von ihr der Verdrängung entzogen war </w:t>
      </w:r>
      <w:r w:rsidRPr="00CB2E9F">
        <w:rPr>
          <w:rFonts w:ascii="Garamond" w:hAnsi="Garamond"/>
          <w:i/>
          <w:iCs/>
          <w:sz w:val="22"/>
          <w:szCs w:val="22"/>
          <w:lang w:val="en-US"/>
        </w:rPr>
        <w:t>(Verschiebungs</w:t>
      </w:r>
      <w:r w:rsidRPr="00CB2E9F">
        <w:rPr>
          <w:rFonts w:ascii="Garamond" w:hAnsi="Garamond"/>
          <w:sz w:val="22"/>
          <w:szCs w:val="22"/>
          <w:lang w:val="en-US"/>
        </w:rPr>
        <w:softHyphen/>
      </w:r>
      <w:r w:rsidRPr="00CB2E9F">
        <w:rPr>
          <w:rFonts w:ascii="Garamond" w:hAnsi="Garamond"/>
          <w:i/>
          <w:iCs/>
          <w:sz w:val="22"/>
          <w:szCs w:val="22"/>
          <w:lang w:val="en-US"/>
        </w:rPr>
        <w:t>ersatz</w:t>
      </w:r>
      <w:r w:rsidRPr="00CB2E9F">
        <w:rPr>
          <w:rFonts w:ascii="Garamond" w:hAnsi="Garamond"/>
          <w:sz w:val="22"/>
          <w:szCs w:val="22"/>
          <w:lang w:val="en-US"/>
        </w:rPr>
        <w:t xml:space="preserve">) und eine Rationalisierung der noch unhemmbaren Angstentwicklung gestattete. Die Ersatzvorstellung spielt nun für das System </w:t>
      </w:r>
      <w:r w:rsidRPr="00CB2E9F">
        <w:rPr>
          <w:rFonts w:ascii="Garamond" w:hAnsi="Garamond"/>
          <w:i/>
          <w:iCs/>
          <w:sz w:val="22"/>
          <w:szCs w:val="22"/>
          <w:lang w:val="en-US"/>
        </w:rPr>
        <w:t>Bw (Vbw)</w:t>
      </w:r>
      <w:r w:rsidRPr="00CB2E9F">
        <w:rPr>
          <w:rFonts w:ascii="Garamond" w:hAnsi="Garamond"/>
          <w:sz w:val="22"/>
          <w:szCs w:val="22"/>
          <w:lang w:val="en-US"/>
        </w:rPr>
        <w:t xml:space="preserve"> die Rolle einer Gegenbesetzung, indem sie es gegen das Auftauchen der ver</w:t>
      </w:r>
      <w:r w:rsidRPr="00CB2E9F">
        <w:rPr>
          <w:rFonts w:ascii="Garamond" w:hAnsi="Garamond"/>
          <w:sz w:val="22"/>
          <w:szCs w:val="22"/>
          <w:lang w:val="en-US"/>
        </w:rPr>
        <w:softHyphen/>
        <w:t xml:space="preserve">drängten Vorstellung im </w:t>
      </w:r>
      <w:r w:rsidRPr="00CB2E9F">
        <w:rPr>
          <w:rFonts w:ascii="Garamond" w:hAnsi="Garamond"/>
          <w:i/>
          <w:iCs/>
          <w:sz w:val="22"/>
          <w:szCs w:val="22"/>
          <w:lang w:val="en-US"/>
        </w:rPr>
        <w:t>Bw</w:t>
      </w:r>
      <w:r w:rsidRPr="00CB2E9F">
        <w:rPr>
          <w:rFonts w:ascii="Garamond" w:hAnsi="Garamond"/>
          <w:sz w:val="22"/>
          <w:szCs w:val="22"/>
          <w:lang w:val="en-US"/>
        </w:rPr>
        <w:t xml:space="preserve"> versichert, anderseits ist sie die Ausgangsstelle der nun erst recht unhemmbaren Angstaffektentbindung oder benimmt sich als solche. Die klinische Beobachtung zeigt, daß z. B. das an der Tierphobie leidende Kind nun unter zweierlei Bedingungen Angst verspürt, erstens wenn die verdrängte Liebesregung eine Verstärkung erfährt, und zweitens wenn das Angsttier wahrgenommen wird. Die Ersatzvorstellung benimmt sich in dem einen Falle wie die Stelle einer Überleitung aus dem System </w:t>
      </w:r>
      <w:r w:rsidRPr="00CB2E9F">
        <w:rPr>
          <w:rFonts w:ascii="Garamond" w:hAnsi="Garamond"/>
          <w:i/>
          <w:iCs/>
          <w:sz w:val="22"/>
          <w:szCs w:val="22"/>
          <w:lang w:val="en-US"/>
        </w:rPr>
        <w:t>Ubw</w:t>
      </w:r>
      <w:r w:rsidRPr="00CB2E9F">
        <w:rPr>
          <w:rFonts w:ascii="Garamond" w:hAnsi="Garamond"/>
          <w:sz w:val="22"/>
          <w:szCs w:val="22"/>
          <w:lang w:val="en-US"/>
        </w:rPr>
        <w:t xml:space="preserve"> in das System </w:t>
      </w:r>
      <w:r w:rsidRPr="00CB2E9F">
        <w:rPr>
          <w:rFonts w:ascii="Garamond" w:hAnsi="Garamond"/>
          <w:i/>
          <w:iCs/>
          <w:sz w:val="22"/>
          <w:szCs w:val="22"/>
          <w:lang w:val="en-US"/>
        </w:rPr>
        <w:t>Bw,</w:t>
      </w:r>
      <w:r w:rsidRPr="00CB2E9F">
        <w:rPr>
          <w:rFonts w:ascii="Garamond" w:hAnsi="Garamond"/>
          <w:sz w:val="22"/>
          <w:szCs w:val="22"/>
          <w:lang w:val="en-US"/>
        </w:rPr>
        <w:t xml:space="preserve"> im anderen wie eine selbständige Quelle der Angstentbindung. Die Ausdehnung der Herrschaft des Systems </w:t>
      </w:r>
      <w:r w:rsidRPr="00CB2E9F">
        <w:rPr>
          <w:rFonts w:ascii="Garamond" w:hAnsi="Garamond"/>
          <w:i/>
          <w:iCs/>
          <w:sz w:val="22"/>
          <w:szCs w:val="22"/>
          <w:lang w:val="en-US"/>
        </w:rPr>
        <w:t>Bw</w:t>
      </w:r>
      <w:r w:rsidRPr="00CB2E9F">
        <w:rPr>
          <w:rFonts w:ascii="Garamond" w:hAnsi="Garamond"/>
          <w:sz w:val="22"/>
          <w:szCs w:val="22"/>
          <w:lang w:val="en-US"/>
        </w:rPr>
        <w:t xml:space="preserve"> pflegt sich darin zu äußern, daß die erste Erregungsweise der Ersatzvorstellung gegen die zweite immer mehr zurücktritt. Vielleicht benimmt sich am Ende das Kind so, als hätte es gar keine Neigung zu dem Vater, wäre ganz von ihm frei geworden, und als hätte es wirklich Angst vor dem Tier. Nur daß diese Tierangst, aus der unbewußten Triebquelle gespeist, sich widerspenstig und übergroß gegen alle Beeinflussungen aus dem System </w:t>
      </w:r>
      <w:r w:rsidRPr="00CB2E9F">
        <w:rPr>
          <w:rFonts w:ascii="Garamond" w:hAnsi="Garamond"/>
          <w:i/>
          <w:iCs/>
          <w:sz w:val="22"/>
          <w:szCs w:val="22"/>
          <w:lang w:val="en-US"/>
        </w:rPr>
        <w:t>Bw</w:t>
      </w:r>
      <w:r w:rsidRPr="00CB2E9F">
        <w:rPr>
          <w:rFonts w:ascii="Garamond" w:hAnsi="Garamond"/>
          <w:sz w:val="22"/>
          <w:szCs w:val="22"/>
          <w:lang w:val="en-US"/>
        </w:rPr>
        <w:t xml:space="preserve"> erweist und dadurch ihre Herkunft aus dem System </w:t>
      </w:r>
      <w:r w:rsidRPr="00CB2E9F">
        <w:rPr>
          <w:rFonts w:ascii="Garamond" w:hAnsi="Garamond"/>
          <w:i/>
          <w:iCs/>
          <w:sz w:val="22"/>
          <w:szCs w:val="22"/>
          <w:lang w:val="en-US"/>
        </w:rPr>
        <w:t>Ubw</w:t>
      </w:r>
      <w:r w:rsidRPr="00CB2E9F">
        <w:rPr>
          <w:rFonts w:ascii="Garamond" w:hAnsi="Garamond"/>
          <w:sz w:val="22"/>
          <w:szCs w:val="22"/>
          <w:lang w:val="en-US"/>
        </w:rPr>
        <w:t xml:space="preserve"> verrät.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Die Gegenbesetzung aus dem System </w:t>
      </w:r>
      <w:r w:rsidRPr="00CB2E9F">
        <w:rPr>
          <w:rFonts w:ascii="Garamond" w:hAnsi="Garamond"/>
          <w:i/>
          <w:iCs/>
          <w:sz w:val="22"/>
          <w:szCs w:val="22"/>
          <w:lang w:val="en-US"/>
        </w:rPr>
        <w:t>Bw</w:t>
      </w:r>
      <w:r w:rsidRPr="00CB2E9F">
        <w:rPr>
          <w:rFonts w:ascii="Garamond" w:hAnsi="Garamond"/>
          <w:sz w:val="22"/>
          <w:szCs w:val="22"/>
          <w:lang w:val="en-US"/>
        </w:rPr>
        <w:t xml:space="preserve"> hat also in der zweiten Phase der Angsthysterie zur Ersatzbildung geführt. Derselbe Mechanismus findet bald eine neuerliche Anwendung. Der Verdrängungsvorgang ist, wie wir wissen, noch nicht abgeschlossen und findet ein weiteres Ziel in der Aufgabe, die vom Ersatz ausgehende Angstentwicklung zu hemmen. Dies geschieht in der Weise, daß die gesamte assoziierte Umgebung der Ersatzvorstellung mit besonderer Intensität besetzt wird, so daß sie eine hohe Empfindlichkeit gegen Erregung bezeigen kann. Eine Erregung irgendeiner Stelle dieses Vorbaues muß zufolge der Verknüpfung mit der Ersatzvorstellung den Anstoß zu einer geringen Angstentwicklung geben, welche nun als Signal benützt wird, um durch neuerliche Flucht der </w:t>
      </w:r>
      <w:r w:rsidRPr="00CB2E9F">
        <w:rPr>
          <w:rFonts w:ascii="Garamond" w:hAnsi="Garamond"/>
          <w:i/>
          <w:iCs/>
          <w:sz w:val="22"/>
          <w:szCs w:val="22"/>
          <w:lang w:val="en-US"/>
        </w:rPr>
        <w:t>[vbw]</w:t>
      </w:r>
      <w:r w:rsidRPr="00CB2E9F">
        <w:rPr>
          <w:rFonts w:ascii="Garamond" w:hAnsi="Garamond"/>
          <w:sz w:val="22"/>
          <w:szCs w:val="22"/>
          <w:lang w:val="en-US"/>
        </w:rPr>
        <w:t xml:space="preserve"> Besetzung den weiteren Fortgang der Angstentwicklung zu hemmen. Je weiter weg vom gefürchteten Ersatz die empfindlichen und wachsamen Gegenbesetzungen angebracht sind, desto präziser kann der Mechanismus funktionieren, der die Ersatzvorstel</w:t>
      </w:r>
      <w:r w:rsidRPr="00CB2E9F">
        <w:rPr>
          <w:rFonts w:ascii="Garamond" w:hAnsi="Garamond"/>
          <w:sz w:val="22"/>
          <w:szCs w:val="22"/>
          <w:lang w:val="en-US"/>
        </w:rPr>
        <w:softHyphen/>
        <w:t>lung isolieren und neue Erregungen von ihr abhalten soll. Diese Vorsichten schützen natürlich nur gegen Erregungen, die von außen, durch die Wahr</w:t>
      </w:r>
      <w:r w:rsidRPr="00CB2E9F">
        <w:rPr>
          <w:rFonts w:ascii="Garamond" w:hAnsi="Garamond"/>
          <w:sz w:val="22"/>
          <w:szCs w:val="22"/>
          <w:lang w:val="en-US"/>
        </w:rPr>
        <w:softHyphen/>
        <w:t xml:space="preserve">nehmung an die Ersatzvorstellung herantreten, aber niemals gegen die Triebregung, die von der Verbindung mit der verdrängten Vorstellung her die Ersatzvorstellung trifft. Sie beginnen also erst zu wirken, wenn der Ersatz die Vertretung des Verdrängten gut übernommen hat, und können niemals ganz verläßlich wirken. Bei jedem Ansteigen der Trieberregung muß der schützende Wall um die Ersatzvorstellung um ein Stück weiter hinausverlegt werden. Die ganze Konstruktion, die in analoger Weise bei den anderen Neurosen hergestellt wird, trägt den Namen einer </w:t>
      </w:r>
      <w:r w:rsidRPr="00CB2E9F">
        <w:rPr>
          <w:rFonts w:ascii="Garamond" w:hAnsi="Garamond"/>
          <w:i/>
          <w:iCs/>
          <w:sz w:val="22"/>
          <w:szCs w:val="22"/>
          <w:lang w:val="en-US"/>
        </w:rPr>
        <w:t>Phobie.</w:t>
      </w:r>
      <w:r w:rsidRPr="00CB2E9F">
        <w:rPr>
          <w:rFonts w:ascii="Garamond" w:hAnsi="Garamond"/>
          <w:sz w:val="22"/>
          <w:szCs w:val="22"/>
          <w:lang w:val="en-US"/>
        </w:rPr>
        <w:t xml:space="preserve"> Der Ausdruck der Flucht vor bewußter Besetzung der Ersatzvorstellung sind die Vermeidungen, Verzichte und Verbote, an denen man die Angsthysterie erkennt. Überschaut man den ganzen Vorgang, so kann man sagen, die dritte Phase hat die Arbeit der zweiten in größerem Ausmaß wiederholt. Das System </w:t>
      </w:r>
      <w:r w:rsidRPr="00CB2E9F">
        <w:rPr>
          <w:rFonts w:ascii="Garamond" w:hAnsi="Garamond"/>
          <w:i/>
          <w:iCs/>
          <w:sz w:val="22"/>
          <w:szCs w:val="22"/>
          <w:lang w:val="en-US"/>
        </w:rPr>
        <w:t>Bw</w:t>
      </w:r>
      <w:r w:rsidRPr="00CB2E9F">
        <w:rPr>
          <w:rFonts w:ascii="Garamond" w:hAnsi="Garamond"/>
          <w:sz w:val="22"/>
          <w:szCs w:val="22"/>
          <w:lang w:val="en-US"/>
        </w:rPr>
        <w:t xml:space="preserve"> schützt sich jetzt gegen die Aktivierung der Ersatzvorstellung durch die Gegenbe</w:t>
      </w:r>
      <w:r w:rsidRPr="00CB2E9F">
        <w:rPr>
          <w:rFonts w:ascii="Garamond" w:hAnsi="Garamond"/>
          <w:sz w:val="22"/>
          <w:szCs w:val="22"/>
          <w:lang w:val="en-US"/>
        </w:rPr>
        <w:softHyphen/>
        <w:t>setzung der Umgebung, wie es sich vorhin durch die Besetzung der Ersatz</w:t>
      </w:r>
      <w:r w:rsidRPr="00CB2E9F">
        <w:rPr>
          <w:rFonts w:ascii="Garamond" w:hAnsi="Garamond"/>
          <w:sz w:val="22"/>
          <w:szCs w:val="22"/>
          <w:lang w:val="en-US"/>
        </w:rPr>
        <w:softHyphen/>
        <w:t xml:space="preserve">vorstellung gegen das Auftauchen der verdrängten Vorstellung gesichert hatte. Die Ersatzbildung durch Verschiebung hat sich in solcher Weise fortgesetzt. Man muß auch hinzufügen, daß das System </w:t>
      </w:r>
      <w:r w:rsidRPr="00CB2E9F">
        <w:rPr>
          <w:rFonts w:ascii="Garamond" w:hAnsi="Garamond"/>
          <w:i/>
          <w:iCs/>
          <w:sz w:val="22"/>
          <w:szCs w:val="22"/>
          <w:lang w:val="en-US"/>
        </w:rPr>
        <w:t>Bw</w:t>
      </w:r>
      <w:r w:rsidRPr="00CB2E9F">
        <w:rPr>
          <w:rFonts w:ascii="Garamond" w:hAnsi="Garamond"/>
          <w:sz w:val="22"/>
          <w:szCs w:val="22"/>
          <w:lang w:val="en-US"/>
        </w:rPr>
        <w:t xml:space="preserve"> früher nur eine kleine Stelle besaß, die eine Einbruchspforte der verdrängten Triebregung war, die Ersatzvorstellung nämlich, daß aber am Ende der ganze phobische Vorbau einer solchen Enklave des unbewußten Einflusses entspricht. Man kann ferner den interessanten Gesichtspunkt hervorheben, daß durch den ganzen ins Werk gesetzten Abwehrmechanismus eine Projektion der Trieb</w:t>
      </w:r>
      <w:r w:rsidRPr="00CB2E9F">
        <w:rPr>
          <w:rFonts w:ascii="Garamond" w:hAnsi="Garamond"/>
          <w:sz w:val="22"/>
          <w:szCs w:val="22"/>
          <w:lang w:val="en-US"/>
        </w:rPr>
        <w:softHyphen/>
        <w:t xml:space="preserve">gefahr nach außen erreicht worden ist. Das Ich benimmt sich so, als ob ihm die Gefahr der Angstentwicklung nicht von einer Triebregung, sondern von einer Wahrnehmung her drohte, und darf darum gegen diese äußere Gefahr mit den Fluchtversuchen der phobischen Vermeidungen reagieren. Eines gelingt bei diesem Vorgang der Verdrängung: die Entbindung von Angst läßt sich einigermaßen eindämmen, aber nur unter schweren </w:t>
      </w:r>
      <w:r w:rsidRPr="00CB2E9F">
        <w:rPr>
          <w:rFonts w:ascii="Garamond" w:hAnsi="Garamond"/>
          <w:sz w:val="22"/>
          <w:szCs w:val="22"/>
          <w:lang w:val="en-US"/>
        </w:rPr>
        <w:lastRenderedPageBreak/>
        <w:t>Opfern an persönlicher Freiheit. Fluchtversuche vor Triebansprüchen sind aber im allgemeinen nutzlos, und das Ergebnis der phobischen Flucht bleibt doch unbefriedigend.</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Von den Verhältnissen, die wir bei der Angsthysterie erkannt haben, gilt ein großer Anteil auch für die beiden anderen Neurosen, so daß wir die Erör</w:t>
      </w:r>
      <w:r w:rsidRPr="00CB2E9F">
        <w:rPr>
          <w:rFonts w:ascii="Garamond" w:hAnsi="Garamond"/>
          <w:sz w:val="22"/>
          <w:szCs w:val="22"/>
          <w:lang w:val="en-US"/>
        </w:rPr>
        <w:softHyphen/>
        <w:t>terung auf die Unterschiede und die Rolle der Gegenbesetzung beschränken können. Bei der Konversionshysterie wird die Triebbesetzung der verdräng</w:t>
      </w:r>
      <w:r w:rsidRPr="00CB2E9F">
        <w:rPr>
          <w:rFonts w:ascii="Garamond" w:hAnsi="Garamond"/>
          <w:sz w:val="22"/>
          <w:szCs w:val="22"/>
          <w:lang w:val="en-US"/>
        </w:rPr>
        <w:softHyphen/>
        <w:t xml:space="preserve">ten Vorstellung in die Innervation des Symptoms umgesetzt. Inwieweit und unter welchen Umständen die unbewußte Vorstellung durch diese Abfuhr zur Innervation drainiert ist, so daß sie ihr Andrängen gegen das System </w:t>
      </w:r>
      <w:r w:rsidRPr="00CB2E9F">
        <w:rPr>
          <w:rFonts w:ascii="Garamond" w:hAnsi="Garamond"/>
          <w:i/>
          <w:iCs/>
          <w:sz w:val="22"/>
          <w:szCs w:val="22"/>
          <w:lang w:val="en-US"/>
        </w:rPr>
        <w:t>Bw</w:t>
      </w:r>
      <w:r w:rsidRPr="00CB2E9F">
        <w:rPr>
          <w:rFonts w:ascii="Garamond" w:hAnsi="Garamond"/>
          <w:sz w:val="22"/>
          <w:szCs w:val="22"/>
          <w:lang w:val="en-US"/>
        </w:rPr>
        <w:t xml:space="preserve"> aufgeben kann, diese und ähnliche Fragen bleiben besser einer speziellen Untersuchung der Hysterie vorbehalten. Die Rolle der Gegenbesetzung, die vom System </w:t>
      </w:r>
      <w:r w:rsidRPr="00CB2E9F">
        <w:rPr>
          <w:rFonts w:ascii="Garamond" w:hAnsi="Garamond"/>
          <w:i/>
          <w:iCs/>
          <w:sz w:val="22"/>
          <w:szCs w:val="22"/>
          <w:lang w:val="en-US"/>
        </w:rPr>
        <w:t>Bw (Vbw)</w:t>
      </w:r>
      <w:r w:rsidRPr="00CB2E9F">
        <w:rPr>
          <w:rFonts w:ascii="Garamond" w:hAnsi="Garamond"/>
          <w:sz w:val="22"/>
          <w:szCs w:val="22"/>
          <w:lang w:val="en-US"/>
        </w:rPr>
        <w:t xml:space="preserve"> ausgeht, ist bei der Konversionshysterie deutlich und kommt in der Symptombildung zum Vorschein. Die Gegenbesetzung ist es, welche die Auswahl trifft, auf welches Stück der Triebrepräsentanz die ganze Besetzung derselben konzentriert werden darf. Dies zum Symptom erlesene Stück erfüllt die Bedingung, daß es dem Wunschziel der Triebregung ebensosehr Ausdruck gibt wie dem Abwehr- oder Strafbestreben des Systems </w:t>
      </w:r>
      <w:r w:rsidRPr="00CB2E9F">
        <w:rPr>
          <w:rFonts w:ascii="Garamond" w:hAnsi="Garamond"/>
          <w:i/>
          <w:iCs/>
          <w:sz w:val="22"/>
          <w:szCs w:val="22"/>
          <w:lang w:val="en-US"/>
        </w:rPr>
        <w:t>Bw;</w:t>
      </w:r>
      <w:r w:rsidRPr="00CB2E9F">
        <w:rPr>
          <w:rFonts w:ascii="Garamond" w:hAnsi="Garamond"/>
          <w:sz w:val="22"/>
          <w:szCs w:val="22"/>
          <w:lang w:val="en-US"/>
        </w:rPr>
        <w:t xml:space="preserve"> es wird also überbesetzt und von beiden Seiten her gehalten wie die Ersatzvorstellung der Angsthysterie. Wir können aus diesem Verhältnis ohne weiteres den Schluß ziehen, daß der Verdrängungsaufwand des Systems </w:t>
      </w:r>
      <w:r w:rsidRPr="00CB2E9F">
        <w:rPr>
          <w:rFonts w:ascii="Garamond" w:hAnsi="Garamond"/>
          <w:i/>
          <w:iCs/>
          <w:sz w:val="22"/>
          <w:szCs w:val="22"/>
          <w:lang w:val="en-US"/>
        </w:rPr>
        <w:t>Bw</w:t>
      </w:r>
      <w:r w:rsidRPr="00CB2E9F">
        <w:rPr>
          <w:rFonts w:ascii="Garamond" w:hAnsi="Garamond"/>
          <w:sz w:val="22"/>
          <w:szCs w:val="22"/>
          <w:lang w:val="en-US"/>
        </w:rPr>
        <w:t xml:space="preserve"> nicht so groß zu sein braucht wie die Besetzungsenergie des Symptoms, denn die Stärke der Verdrängung wird durch die aufgewendete Gegenbesetzung gemessen, und das Symptom stützt sich nicht nur auf die Gegenbesetzung, sondern auch auf die in ihm verdichtete Triebbesetzung aus dem System </w:t>
      </w:r>
      <w:r w:rsidRPr="00CB2E9F">
        <w:rPr>
          <w:rFonts w:ascii="Garamond" w:hAnsi="Garamond"/>
          <w:i/>
          <w:iCs/>
          <w:sz w:val="22"/>
          <w:szCs w:val="22"/>
          <w:lang w:val="en-US"/>
        </w:rPr>
        <w:t>Ubw.</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Für die Zwangsneurose hätten wir den in der vorigen Abhandlung enthaltenen Bemerkungen nur hinzuzufügen, daß hier die Gegenbesetzung des Systems </w:t>
      </w:r>
      <w:r w:rsidRPr="00CB2E9F">
        <w:rPr>
          <w:rFonts w:ascii="Garamond" w:hAnsi="Garamond"/>
          <w:i/>
          <w:iCs/>
          <w:sz w:val="22"/>
          <w:szCs w:val="22"/>
          <w:lang w:val="en-US"/>
        </w:rPr>
        <w:t>Bw</w:t>
      </w:r>
      <w:r w:rsidRPr="00CB2E9F">
        <w:rPr>
          <w:rFonts w:ascii="Garamond" w:hAnsi="Garamond"/>
          <w:sz w:val="22"/>
          <w:szCs w:val="22"/>
          <w:lang w:val="en-US"/>
        </w:rPr>
        <w:t xml:space="preserve"> am sinnfälligsten in den Vordergrund tritt. Sie ist es, die als Reaktionsbildung organisiert die erste Verdrängung besorgt und an welcher später der Durchbruch der verdrängten Vorstellung erfolgt. Man darf der Vermutung Raum geben, daß es an dem Vorwiegen der Gegenbesetzung und Ausfallen einer Abfuhr liegt, wenn das Werk der Verdrängung bei Angsthysterie und Zwangsneurose weit weniger geglückt erscheint als bei der Konversionshysterie.</w:t>
      </w:r>
    </w:p>
    <w:p w:rsidR="005E1D01" w:rsidRDefault="005E1D01">
      <w:pPr>
        <w:rPr>
          <w:rFonts w:ascii="Garamond" w:eastAsiaTheme="majorEastAsia" w:hAnsi="Garamond" w:cstheme="majorBidi"/>
          <w:b/>
          <w:bCs/>
          <w:color w:val="4F81BD" w:themeColor="accent1"/>
          <w:lang w:val="en-US"/>
        </w:rPr>
      </w:pPr>
      <w:r>
        <w:rPr>
          <w:rFonts w:ascii="Garamond" w:hAnsi="Garamond"/>
          <w:lang w:val="en-US"/>
        </w:rPr>
        <w:br w:type="page"/>
      </w:r>
    </w:p>
    <w:p w:rsidR="00CB2E9F" w:rsidRPr="00CB2E9F" w:rsidRDefault="00B437A1" w:rsidP="00130855">
      <w:pPr>
        <w:pStyle w:val="Titre3"/>
        <w:rPr>
          <w:rFonts w:ascii="Garamond" w:hAnsi="Garamond"/>
          <w:lang w:val="en-US"/>
        </w:rPr>
      </w:pPr>
      <w:hyperlink w:anchor="UnbInhalt" w:history="1">
        <w:r w:rsidR="00CB2E9F" w:rsidRPr="005E1D01">
          <w:rPr>
            <w:rStyle w:val="Lienhypertexte"/>
            <w:rFonts w:ascii="Garamond" w:hAnsi="Garamond"/>
            <w:lang w:val="en-US"/>
          </w:rPr>
          <w:t>V. Di</w:t>
        </w:r>
        <w:bookmarkStart w:id="8" w:name="Unb5"/>
        <w:bookmarkEnd w:id="8"/>
        <w:r w:rsidR="00CB2E9F" w:rsidRPr="005E1D01">
          <w:rPr>
            <w:rStyle w:val="Lienhypertexte"/>
            <w:rFonts w:ascii="Garamond" w:hAnsi="Garamond"/>
            <w:lang w:val="en-US"/>
          </w:rPr>
          <w:t>e besonderen Eigenschaften des Systems Ubw</w:t>
        </w:r>
      </w:hyperlink>
    </w:p>
    <w:p w:rsidR="00CB2E9F" w:rsidRPr="00CB2E9F" w:rsidRDefault="00CB2E9F" w:rsidP="00130855">
      <w:pPr>
        <w:rPr>
          <w:rFonts w:ascii="Garamond" w:hAnsi="Garamond"/>
          <w:lang w:val="en-US"/>
        </w:rPr>
      </w:pP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Eine neue Bedeutung erhält die Unterscheidung der beiden psychischen Systeme, wenn wir darauf aufmerksam werden, daß die Vorgänge des einen Systems, des </w:t>
      </w:r>
      <w:r w:rsidRPr="00CB2E9F">
        <w:rPr>
          <w:rFonts w:ascii="Garamond" w:hAnsi="Garamond"/>
          <w:i/>
          <w:iCs/>
          <w:sz w:val="22"/>
          <w:szCs w:val="22"/>
          <w:lang w:val="en-US"/>
        </w:rPr>
        <w:t>Ubw,</w:t>
      </w:r>
      <w:r w:rsidRPr="00CB2E9F">
        <w:rPr>
          <w:rFonts w:ascii="Garamond" w:hAnsi="Garamond"/>
          <w:sz w:val="22"/>
          <w:szCs w:val="22"/>
          <w:lang w:val="en-US"/>
        </w:rPr>
        <w:t xml:space="preserve"> Eigenschaften zeigen, die sich in dem nächst höheren nicht wiederfinden.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Der Kern des </w:t>
      </w:r>
      <w:r w:rsidRPr="00CB2E9F">
        <w:rPr>
          <w:rFonts w:ascii="Garamond" w:hAnsi="Garamond"/>
          <w:i/>
          <w:iCs/>
          <w:sz w:val="22"/>
          <w:szCs w:val="22"/>
          <w:lang w:val="en-US"/>
        </w:rPr>
        <w:t>Ubw</w:t>
      </w:r>
      <w:r w:rsidRPr="00CB2E9F">
        <w:rPr>
          <w:rFonts w:ascii="Garamond" w:hAnsi="Garamond"/>
          <w:sz w:val="22"/>
          <w:szCs w:val="22"/>
          <w:lang w:val="en-US"/>
        </w:rPr>
        <w:t xml:space="preserve"> besteht aus Triebrepräsentanzen, die ihre Besetzung abführen wollen, also aus Wunschregungen. Diese Triebregungen sind ein</w:t>
      </w:r>
      <w:r w:rsidRPr="00CB2E9F">
        <w:rPr>
          <w:rFonts w:ascii="Garamond" w:hAnsi="Garamond"/>
          <w:sz w:val="22"/>
          <w:szCs w:val="22"/>
          <w:lang w:val="en-US"/>
        </w:rPr>
        <w:softHyphen/>
        <w:t>ander koordiniert, bestehen unbeeinflußt nebeneinander, widersprechen einander nicht. Wenn zwei Wunschregungen gleichzeitig aktiviert werden, deren Ziele uns unvereinbar erscheinen müssen, so ziehen sich die beiden Regungen nicht etwa voneinander ab oder heben einander auf, sondern sie treten zur Bildung eines mittleren Zieles, eines Kompromisses, zusammen.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Es gibt in diesem System keine Negation, keinen Zweifel, keine Grade von Sicherheit. All dies wird erst durch die Arbeit der Zensur zwischen </w:t>
      </w:r>
      <w:r w:rsidRPr="00CB2E9F">
        <w:rPr>
          <w:rFonts w:ascii="Garamond" w:hAnsi="Garamond"/>
          <w:i/>
          <w:iCs/>
          <w:sz w:val="22"/>
          <w:szCs w:val="22"/>
          <w:lang w:val="en-US"/>
        </w:rPr>
        <w:t>Ubw</w:t>
      </w:r>
      <w:r w:rsidRPr="00CB2E9F">
        <w:rPr>
          <w:rFonts w:ascii="Garamond" w:hAnsi="Garamond"/>
          <w:sz w:val="22"/>
          <w:szCs w:val="22"/>
          <w:lang w:val="en-US"/>
        </w:rPr>
        <w:t xml:space="preserve"> und </w:t>
      </w:r>
      <w:r w:rsidRPr="00CB2E9F">
        <w:rPr>
          <w:rFonts w:ascii="Garamond" w:hAnsi="Garamond"/>
          <w:i/>
          <w:iCs/>
          <w:sz w:val="22"/>
          <w:szCs w:val="22"/>
          <w:lang w:val="en-US"/>
        </w:rPr>
        <w:t>Vbw</w:t>
      </w:r>
      <w:r w:rsidRPr="00CB2E9F">
        <w:rPr>
          <w:rFonts w:ascii="Garamond" w:hAnsi="Garamond"/>
          <w:sz w:val="22"/>
          <w:szCs w:val="22"/>
          <w:lang w:val="en-US"/>
        </w:rPr>
        <w:t xml:space="preserve"> eingetragen. Die Negation ist ein Ersatz der Verdrängung von höherer Stufe. Im </w:t>
      </w:r>
      <w:r w:rsidRPr="00CB2E9F">
        <w:rPr>
          <w:rFonts w:ascii="Garamond" w:hAnsi="Garamond"/>
          <w:i/>
          <w:iCs/>
          <w:sz w:val="22"/>
          <w:szCs w:val="22"/>
          <w:lang w:val="en-US"/>
        </w:rPr>
        <w:t>Ubw</w:t>
      </w:r>
      <w:r w:rsidRPr="00CB2E9F">
        <w:rPr>
          <w:rFonts w:ascii="Garamond" w:hAnsi="Garamond"/>
          <w:sz w:val="22"/>
          <w:szCs w:val="22"/>
          <w:lang w:val="en-US"/>
        </w:rPr>
        <w:t xml:space="preserve"> gibt es nur mehr oder weniger stark besetzte Inhalte.</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Es herrscht eine weit größere Beweglichkeit der Besetzungsintensitäten</w:t>
      </w:r>
      <w:r w:rsidRPr="00CB2E9F">
        <w:rPr>
          <w:rFonts w:ascii="Garamond" w:hAnsi="Garamond"/>
          <w:i/>
          <w:iCs/>
          <w:sz w:val="22"/>
          <w:szCs w:val="22"/>
          <w:lang w:val="en-US"/>
        </w:rPr>
        <w:t>.</w:t>
      </w:r>
      <w:r w:rsidRPr="00CB2E9F">
        <w:rPr>
          <w:rFonts w:ascii="Garamond" w:hAnsi="Garamond"/>
          <w:sz w:val="22"/>
          <w:szCs w:val="22"/>
          <w:lang w:val="en-US"/>
        </w:rPr>
        <w:t xml:space="preserve"> Durch den Prozeß der </w:t>
      </w:r>
      <w:r w:rsidRPr="00CB2E9F">
        <w:rPr>
          <w:rFonts w:ascii="Garamond" w:hAnsi="Garamond"/>
          <w:i/>
          <w:iCs/>
          <w:sz w:val="22"/>
          <w:szCs w:val="22"/>
          <w:lang w:val="en-US"/>
        </w:rPr>
        <w:t>Verschiebung</w:t>
      </w:r>
      <w:r w:rsidRPr="00CB2E9F">
        <w:rPr>
          <w:rFonts w:ascii="Garamond" w:hAnsi="Garamond"/>
          <w:sz w:val="22"/>
          <w:szCs w:val="22"/>
          <w:lang w:val="en-US"/>
        </w:rPr>
        <w:t xml:space="preserve"> kann eine Vorstellung den ganzen Betrag ihrer Besetzung an eine andere abgeben, durch den der </w:t>
      </w:r>
      <w:r w:rsidRPr="00CB2E9F">
        <w:rPr>
          <w:rFonts w:ascii="Garamond" w:hAnsi="Garamond"/>
          <w:i/>
          <w:iCs/>
          <w:sz w:val="22"/>
          <w:szCs w:val="22"/>
          <w:lang w:val="en-US"/>
        </w:rPr>
        <w:t>Verdichtung</w:t>
      </w:r>
      <w:r w:rsidRPr="00CB2E9F">
        <w:rPr>
          <w:rFonts w:ascii="Garamond" w:hAnsi="Garamond"/>
          <w:sz w:val="22"/>
          <w:szCs w:val="22"/>
          <w:lang w:val="en-US"/>
        </w:rPr>
        <w:t xml:space="preserve"> die ganze Besetzung mehrerer anderer an sich nehmen. Ich habe vorgeschla</w:t>
      </w:r>
      <w:r w:rsidRPr="00CB2E9F">
        <w:rPr>
          <w:rFonts w:ascii="Garamond" w:hAnsi="Garamond"/>
          <w:sz w:val="22"/>
          <w:szCs w:val="22"/>
          <w:lang w:val="en-US"/>
        </w:rPr>
        <w:softHyphen/>
        <w:t xml:space="preserve">gen, diese beiden Prozesse als Anzeichen des sogenannten psychischen </w:t>
      </w:r>
      <w:r w:rsidRPr="00CB2E9F">
        <w:rPr>
          <w:rFonts w:ascii="Garamond" w:hAnsi="Garamond"/>
          <w:i/>
          <w:iCs/>
          <w:sz w:val="22"/>
          <w:szCs w:val="22"/>
          <w:lang w:val="en-US"/>
        </w:rPr>
        <w:t>Primärvorganges</w:t>
      </w:r>
      <w:r w:rsidRPr="00CB2E9F">
        <w:rPr>
          <w:rFonts w:ascii="Garamond" w:hAnsi="Garamond"/>
          <w:sz w:val="22"/>
          <w:szCs w:val="22"/>
          <w:lang w:val="en-US"/>
        </w:rPr>
        <w:t xml:space="preserve"> anzusehen. Im System </w:t>
      </w:r>
      <w:r w:rsidRPr="00CB2E9F">
        <w:rPr>
          <w:rFonts w:ascii="Garamond" w:hAnsi="Garamond"/>
          <w:i/>
          <w:iCs/>
          <w:sz w:val="22"/>
          <w:szCs w:val="22"/>
          <w:lang w:val="en-US"/>
        </w:rPr>
        <w:t>Vbw</w:t>
      </w:r>
      <w:r w:rsidRPr="00CB2E9F">
        <w:rPr>
          <w:rFonts w:ascii="Garamond" w:hAnsi="Garamond"/>
          <w:sz w:val="22"/>
          <w:szCs w:val="22"/>
          <w:lang w:val="en-US"/>
        </w:rPr>
        <w:t xml:space="preserve"> herrscht der </w:t>
      </w:r>
      <w:r w:rsidRPr="00CB2E9F">
        <w:rPr>
          <w:rFonts w:ascii="Garamond" w:hAnsi="Garamond"/>
          <w:i/>
          <w:iCs/>
          <w:sz w:val="22"/>
          <w:szCs w:val="22"/>
          <w:lang w:val="en-US"/>
        </w:rPr>
        <w:t>Sekundärvorgang</w:t>
      </w:r>
      <w:r w:rsidRPr="00CB2E9F">
        <w:rPr>
          <w:rFonts w:ascii="Garamond" w:hAnsi="Garamond"/>
          <w:sz w:val="22"/>
          <w:szCs w:val="22"/>
          <w:lang w:val="en-US"/>
        </w:rPr>
        <w:t>;</w:t>
      </w:r>
      <w:r w:rsidRPr="00CB2E9F">
        <w:rPr>
          <w:rFonts w:ascii="Garamond" w:hAnsi="Garamond"/>
          <w:sz w:val="22"/>
          <w:szCs w:val="22"/>
          <w:vertAlign w:val="superscript"/>
          <w:lang w:val="en-US"/>
        </w:rPr>
        <w:t>1)</w:t>
      </w:r>
      <w:r w:rsidRPr="00CB2E9F">
        <w:rPr>
          <w:rFonts w:ascii="Garamond" w:hAnsi="Garamond"/>
          <w:sz w:val="22"/>
          <w:szCs w:val="22"/>
          <w:lang w:val="en-US"/>
        </w:rPr>
        <w:t xml:space="preserve"> wo ein solcher Primärvorgang sich an Elementen des Systems </w:t>
      </w:r>
      <w:r w:rsidRPr="00CB2E9F">
        <w:rPr>
          <w:rFonts w:ascii="Garamond" w:hAnsi="Garamond"/>
          <w:i/>
          <w:iCs/>
          <w:sz w:val="22"/>
          <w:szCs w:val="22"/>
          <w:lang w:val="en-US"/>
        </w:rPr>
        <w:t>Vbw</w:t>
      </w:r>
      <w:r w:rsidRPr="00CB2E9F">
        <w:rPr>
          <w:rFonts w:ascii="Garamond" w:hAnsi="Garamond"/>
          <w:sz w:val="22"/>
          <w:szCs w:val="22"/>
          <w:lang w:val="en-US"/>
        </w:rPr>
        <w:t xml:space="preserve"> abspielen darf, erscheint er »komisch« und erregt Lachen.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Die Vorgänge des Systems </w:t>
      </w:r>
      <w:r w:rsidRPr="00CB2E9F">
        <w:rPr>
          <w:rFonts w:ascii="Garamond" w:hAnsi="Garamond"/>
          <w:i/>
          <w:iCs/>
          <w:sz w:val="22"/>
          <w:szCs w:val="22"/>
          <w:lang w:val="en-US"/>
        </w:rPr>
        <w:t>Ubw</w:t>
      </w:r>
      <w:r w:rsidRPr="00CB2E9F">
        <w:rPr>
          <w:rFonts w:ascii="Garamond" w:hAnsi="Garamond"/>
          <w:sz w:val="22"/>
          <w:szCs w:val="22"/>
          <w:lang w:val="en-US"/>
        </w:rPr>
        <w:t xml:space="preserve"> sind </w:t>
      </w:r>
      <w:r w:rsidRPr="00CB2E9F">
        <w:rPr>
          <w:rFonts w:ascii="Garamond" w:hAnsi="Garamond"/>
          <w:i/>
          <w:iCs/>
          <w:sz w:val="22"/>
          <w:szCs w:val="22"/>
          <w:lang w:val="en-US"/>
        </w:rPr>
        <w:t>zeitlos,</w:t>
      </w:r>
      <w:r w:rsidRPr="00CB2E9F">
        <w:rPr>
          <w:rFonts w:ascii="Garamond" w:hAnsi="Garamond"/>
          <w:sz w:val="22"/>
          <w:szCs w:val="22"/>
          <w:lang w:val="en-US"/>
        </w:rPr>
        <w:t xml:space="preserve"> d. h., sie sind nicht zeitlich geordnet, werden durch die verlaufende Zeit nicht abgeändert, haben überhaupt keine Beziehung zur Zeit. Auch die Zeitbeziehung ist an die Arbeit des </w:t>
      </w:r>
      <w:r w:rsidRPr="00CB2E9F">
        <w:rPr>
          <w:rFonts w:ascii="Garamond" w:hAnsi="Garamond"/>
          <w:i/>
          <w:iCs/>
          <w:sz w:val="22"/>
          <w:szCs w:val="22"/>
          <w:lang w:val="en-US"/>
        </w:rPr>
        <w:t>Bw</w:t>
      </w:r>
      <w:r w:rsidRPr="00CB2E9F">
        <w:rPr>
          <w:rFonts w:ascii="Garamond" w:hAnsi="Garamond"/>
          <w:sz w:val="22"/>
          <w:szCs w:val="22"/>
          <w:lang w:val="en-US"/>
        </w:rPr>
        <w:t>-Systems geknüpft.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Ebensowenig kennen die </w:t>
      </w:r>
      <w:r w:rsidRPr="00CB2E9F">
        <w:rPr>
          <w:rFonts w:ascii="Garamond" w:hAnsi="Garamond"/>
          <w:i/>
          <w:iCs/>
          <w:sz w:val="22"/>
          <w:szCs w:val="22"/>
          <w:lang w:val="en-US"/>
        </w:rPr>
        <w:t>Ubw-</w:t>
      </w:r>
      <w:r w:rsidRPr="00CB2E9F">
        <w:rPr>
          <w:rFonts w:ascii="Garamond" w:hAnsi="Garamond"/>
          <w:sz w:val="22"/>
          <w:szCs w:val="22"/>
          <w:lang w:val="en-US"/>
        </w:rPr>
        <w:t xml:space="preserve">Vorgänge eine Rücksicht auf die </w:t>
      </w:r>
      <w:r w:rsidRPr="00CB2E9F">
        <w:rPr>
          <w:rFonts w:ascii="Garamond" w:hAnsi="Garamond"/>
          <w:i/>
          <w:iCs/>
          <w:sz w:val="22"/>
          <w:szCs w:val="22"/>
          <w:lang w:val="en-US"/>
        </w:rPr>
        <w:t>Realität.</w:t>
      </w:r>
      <w:r w:rsidRPr="00CB2E9F">
        <w:rPr>
          <w:rFonts w:ascii="Garamond" w:hAnsi="Garamond"/>
          <w:sz w:val="22"/>
          <w:szCs w:val="22"/>
          <w:lang w:val="en-US"/>
        </w:rPr>
        <w:t xml:space="preserve"> Sie sind dem Lustprinzip unterworfen; ihr Schicksal hängt nur davon ab, wie stark sie sind, und ob sie die Anforderungen der Lust-Unlustregulierung erfüllen.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Fassen wir zusammen: </w:t>
      </w:r>
      <w:r w:rsidRPr="00CB2E9F">
        <w:rPr>
          <w:rFonts w:ascii="Garamond" w:hAnsi="Garamond"/>
          <w:i/>
          <w:iCs/>
          <w:sz w:val="22"/>
          <w:szCs w:val="22"/>
          <w:lang w:val="en-US"/>
        </w:rPr>
        <w:t>Widerspruchslosigkeit, Primärvorgang</w:t>
      </w:r>
      <w:r w:rsidRPr="00CB2E9F">
        <w:rPr>
          <w:rFonts w:ascii="Garamond" w:hAnsi="Garamond"/>
          <w:sz w:val="22"/>
          <w:szCs w:val="22"/>
          <w:lang w:val="en-US"/>
        </w:rPr>
        <w:t xml:space="preserve"> (Beweglichkeit der Besetzungen), </w:t>
      </w:r>
      <w:r w:rsidRPr="00CB2E9F">
        <w:rPr>
          <w:rFonts w:ascii="Garamond" w:hAnsi="Garamond"/>
          <w:i/>
          <w:iCs/>
          <w:sz w:val="22"/>
          <w:szCs w:val="22"/>
          <w:lang w:val="en-US"/>
        </w:rPr>
        <w:t>Zeitlosigkeit</w:t>
      </w:r>
      <w:r w:rsidRPr="00CB2E9F">
        <w:rPr>
          <w:rFonts w:ascii="Garamond" w:hAnsi="Garamond"/>
          <w:sz w:val="22"/>
          <w:szCs w:val="22"/>
          <w:lang w:val="en-US"/>
        </w:rPr>
        <w:t xml:space="preserve"> und </w:t>
      </w:r>
      <w:r w:rsidRPr="00CB2E9F">
        <w:rPr>
          <w:rFonts w:ascii="Garamond" w:hAnsi="Garamond"/>
          <w:i/>
          <w:iCs/>
          <w:sz w:val="22"/>
          <w:szCs w:val="22"/>
          <w:lang w:val="en-US"/>
        </w:rPr>
        <w:t>Ersetzung der äußeren Realität durch die psychische</w:t>
      </w:r>
      <w:r w:rsidRPr="00CB2E9F">
        <w:rPr>
          <w:rFonts w:ascii="Garamond" w:hAnsi="Garamond"/>
          <w:sz w:val="22"/>
          <w:szCs w:val="22"/>
          <w:lang w:val="en-US"/>
        </w:rPr>
        <w:t xml:space="preserve"> sind die Charaktere, die wir an zum System </w:t>
      </w:r>
      <w:r w:rsidRPr="00CB2E9F">
        <w:rPr>
          <w:rFonts w:ascii="Garamond" w:hAnsi="Garamond"/>
          <w:i/>
          <w:iCs/>
          <w:sz w:val="22"/>
          <w:szCs w:val="22"/>
          <w:lang w:val="en-US"/>
        </w:rPr>
        <w:t>Ubw</w:t>
      </w:r>
      <w:r w:rsidRPr="00CB2E9F">
        <w:rPr>
          <w:rFonts w:ascii="Garamond" w:hAnsi="Garamond"/>
          <w:sz w:val="22"/>
          <w:szCs w:val="22"/>
          <w:lang w:val="en-US"/>
        </w:rPr>
        <w:t xml:space="preserve"> gehörigen Vorgängen zu finden erwarten dürfen.</w:t>
      </w:r>
      <w:r w:rsidRPr="00CB2E9F">
        <w:rPr>
          <w:rFonts w:ascii="Garamond" w:hAnsi="Garamond"/>
          <w:sz w:val="22"/>
          <w:szCs w:val="22"/>
          <w:vertAlign w:val="superscript"/>
          <w:lang w:val="en-US"/>
        </w:rPr>
        <w:t>2)</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Die unbewußten Vorgänge werden für uns nur unter den Bedingungen des Träumens und der Neurosen erkennbar, also dann, wenn Vorgänge des höheren </w:t>
      </w:r>
      <w:r w:rsidRPr="00CB2E9F">
        <w:rPr>
          <w:rFonts w:ascii="Garamond" w:hAnsi="Garamond"/>
          <w:i/>
          <w:iCs/>
          <w:sz w:val="22"/>
          <w:szCs w:val="22"/>
          <w:lang w:val="en-US"/>
        </w:rPr>
        <w:t>Vbw</w:t>
      </w:r>
      <w:r w:rsidRPr="00CB2E9F">
        <w:rPr>
          <w:rFonts w:ascii="Garamond" w:hAnsi="Garamond"/>
          <w:sz w:val="22"/>
          <w:szCs w:val="22"/>
          <w:lang w:val="en-US"/>
        </w:rPr>
        <w:t xml:space="preserve">-Systems durch eine Erniedrigung (Regression) auf eine frühere Stufe zurückversetzt werden. An und für sich sind sie unerkennbar, auch existenzunfähig, weil das System </w:t>
      </w:r>
      <w:r w:rsidRPr="00CB2E9F">
        <w:rPr>
          <w:rFonts w:ascii="Garamond" w:hAnsi="Garamond"/>
          <w:i/>
          <w:iCs/>
          <w:sz w:val="22"/>
          <w:szCs w:val="22"/>
          <w:lang w:val="en-US"/>
        </w:rPr>
        <w:t>Ubw</w:t>
      </w:r>
      <w:r w:rsidRPr="00CB2E9F">
        <w:rPr>
          <w:rFonts w:ascii="Garamond" w:hAnsi="Garamond"/>
          <w:sz w:val="22"/>
          <w:szCs w:val="22"/>
          <w:lang w:val="en-US"/>
        </w:rPr>
        <w:t xml:space="preserve"> sehr frühzeitig von dem </w:t>
      </w:r>
      <w:r w:rsidRPr="00CB2E9F">
        <w:rPr>
          <w:rFonts w:ascii="Garamond" w:hAnsi="Garamond"/>
          <w:i/>
          <w:iCs/>
          <w:sz w:val="22"/>
          <w:szCs w:val="22"/>
          <w:lang w:val="en-US"/>
        </w:rPr>
        <w:t>Vbw</w:t>
      </w:r>
      <w:r w:rsidRPr="00CB2E9F">
        <w:rPr>
          <w:rFonts w:ascii="Garamond" w:hAnsi="Garamond"/>
          <w:sz w:val="22"/>
          <w:szCs w:val="22"/>
          <w:lang w:val="en-US"/>
        </w:rPr>
        <w:t xml:space="preserve"> überlagert wird, welches den Zugang zum Bewußtsein und zur Motilität an sich gerissen hat. Die Abfuhr des Systems </w:t>
      </w:r>
      <w:r w:rsidRPr="00CB2E9F">
        <w:rPr>
          <w:rFonts w:ascii="Garamond" w:hAnsi="Garamond"/>
          <w:i/>
          <w:iCs/>
          <w:sz w:val="22"/>
          <w:szCs w:val="22"/>
          <w:lang w:val="en-US"/>
        </w:rPr>
        <w:t>Ubw</w:t>
      </w:r>
      <w:r w:rsidRPr="00CB2E9F">
        <w:rPr>
          <w:rFonts w:ascii="Garamond" w:hAnsi="Garamond"/>
          <w:sz w:val="22"/>
          <w:szCs w:val="22"/>
          <w:lang w:val="en-US"/>
        </w:rPr>
        <w:t xml:space="preserve"> geht in die Körperinnervation zur Affektentwicklung, aber auch dieser Entladungsweg wird ihm, wie wir gehört haben, vom </w:t>
      </w:r>
      <w:r w:rsidRPr="00CB2E9F">
        <w:rPr>
          <w:rFonts w:ascii="Garamond" w:hAnsi="Garamond"/>
          <w:i/>
          <w:iCs/>
          <w:sz w:val="22"/>
          <w:szCs w:val="22"/>
          <w:lang w:val="en-US"/>
        </w:rPr>
        <w:t>Vbw</w:t>
      </w:r>
      <w:r w:rsidRPr="00CB2E9F">
        <w:rPr>
          <w:rFonts w:ascii="Garamond" w:hAnsi="Garamond"/>
          <w:sz w:val="22"/>
          <w:szCs w:val="22"/>
          <w:lang w:val="en-US"/>
        </w:rPr>
        <w:t xml:space="preserve"> streitig gemacht. Für sich allein könnte das </w:t>
      </w:r>
      <w:r w:rsidRPr="00CB2E9F">
        <w:rPr>
          <w:rFonts w:ascii="Garamond" w:hAnsi="Garamond"/>
          <w:i/>
          <w:iCs/>
          <w:sz w:val="22"/>
          <w:szCs w:val="22"/>
          <w:lang w:val="en-US"/>
        </w:rPr>
        <w:t>Ubw-System</w:t>
      </w:r>
      <w:r w:rsidRPr="00CB2E9F">
        <w:rPr>
          <w:rFonts w:ascii="Garamond" w:hAnsi="Garamond"/>
          <w:sz w:val="22"/>
          <w:szCs w:val="22"/>
          <w:lang w:val="en-US"/>
        </w:rPr>
        <w:t xml:space="preserve"> unter normalen Verhältnissen keine zweckmäßige Muskelaktion zu</w:t>
      </w:r>
      <w:r w:rsidRPr="00CB2E9F">
        <w:rPr>
          <w:rFonts w:ascii="Garamond" w:hAnsi="Garamond"/>
          <w:sz w:val="22"/>
          <w:szCs w:val="22"/>
          <w:lang w:val="en-US"/>
        </w:rPr>
        <w:softHyphen/>
        <w:t>stande bringen, mit Ausnahme jener, die als Reflexe bereits organisiert sind.</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Die volle Bedeutung der beschriebenen Charaktere des Systems </w:t>
      </w:r>
      <w:r w:rsidRPr="00CB2E9F">
        <w:rPr>
          <w:rFonts w:ascii="Garamond" w:hAnsi="Garamond"/>
          <w:i/>
          <w:iCs/>
          <w:sz w:val="22"/>
          <w:szCs w:val="22"/>
          <w:lang w:val="en-US"/>
        </w:rPr>
        <w:t>Ubw</w:t>
      </w:r>
      <w:r w:rsidRPr="00CB2E9F">
        <w:rPr>
          <w:rFonts w:ascii="Garamond" w:hAnsi="Garamond"/>
          <w:sz w:val="22"/>
          <w:szCs w:val="22"/>
          <w:lang w:val="en-US"/>
        </w:rPr>
        <w:t xml:space="preserve"> könnte uns erst einleuchten, wenn wir sie den Eigenschaften des Systems </w:t>
      </w:r>
      <w:r w:rsidRPr="00CB2E9F">
        <w:rPr>
          <w:rFonts w:ascii="Garamond" w:hAnsi="Garamond"/>
          <w:i/>
          <w:iCs/>
          <w:sz w:val="22"/>
          <w:szCs w:val="22"/>
          <w:lang w:val="en-US"/>
        </w:rPr>
        <w:t>Vbw</w:t>
      </w:r>
      <w:r w:rsidRPr="00CB2E9F">
        <w:rPr>
          <w:rFonts w:ascii="Garamond" w:hAnsi="Garamond"/>
          <w:sz w:val="22"/>
          <w:szCs w:val="22"/>
          <w:lang w:val="en-US"/>
        </w:rPr>
        <w:t xml:space="preserve"> gegenüberstellen und an ihnen messen würden. Allein dies würde uns so weitab führen, daß ich vorschlage, wiederum einen Aufschub gutzuheißen und die Vergleichung der beiden Systeme erst im Anschluß an die Würdigung des höheren Systems vorzunehmen</w:t>
      </w:r>
      <w:r w:rsidRPr="00CB2E9F">
        <w:rPr>
          <w:rFonts w:ascii="Garamond" w:hAnsi="Garamond"/>
          <w:i/>
          <w:iCs/>
          <w:sz w:val="22"/>
          <w:szCs w:val="22"/>
          <w:lang w:val="en-US"/>
        </w:rPr>
        <w:t>.</w:t>
      </w:r>
      <w:r w:rsidRPr="00CB2E9F">
        <w:rPr>
          <w:rFonts w:ascii="Garamond" w:hAnsi="Garamond"/>
          <w:sz w:val="22"/>
          <w:szCs w:val="22"/>
          <w:lang w:val="en-US"/>
        </w:rPr>
        <w:t xml:space="preserve"> Nur das Aller-dringendste soll schon jetzt seine Erwähnung finden.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Die Vorgänge des Systems </w:t>
      </w:r>
      <w:r w:rsidRPr="00CB2E9F">
        <w:rPr>
          <w:rFonts w:ascii="Garamond" w:hAnsi="Garamond"/>
          <w:i/>
          <w:iCs/>
          <w:sz w:val="22"/>
          <w:szCs w:val="22"/>
          <w:lang w:val="en-US"/>
        </w:rPr>
        <w:t>Vbw</w:t>
      </w:r>
      <w:r w:rsidRPr="00CB2E9F">
        <w:rPr>
          <w:rFonts w:ascii="Garamond" w:hAnsi="Garamond"/>
          <w:sz w:val="22"/>
          <w:szCs w:val="22"/>
          <w:lang w:val="en-US"/>
        </w:rPr>
        <w:t xml:space="preserve"> zeigen — und zwar gleichgültig, ob sie bereits bewußt oder nur bewußtseinsfähig sind — eine Hemmung der Abfuhr</w:t>
      </w:r>
      <w:r w:rsidRPr="00CB2E9F">
        <w:rPr>
          <w:rFonts w:ascii="Garamond" w:hAnsi="Garamond"/>
          <w:sz w:val="22"/>
          <w:szCs w:val="22"/>
          <w:lang w:val="en-US"/>
        </w:rPr>
        <w:softHyphen/>
        <w:t xml:space="preserve">neigung von den besetzten Vorstellungen. Wenn der </w:t>
      </w:r>
      <w:r w:rsidRPr="00CB2E9F">
        <w:rPr>
          <w:rFonts w:ascii="Garamond" w:hAnsi="Garamond"/>
          <w:sz w:val="22"/>
          <w:szCs w:val="22"/>
          <w:lang w:val="en-US"/>
        </w:rPr>
        <w:lastRenderedPageBreak/>
        <w:t>Vorgang von einer Vorstellung auf eine andere übergeht, so hält die erstere einen Teil ihrer Besetzung fest, und nur ein kleiner Anteil erfährt die Verschiebung. Verschie</w:t>
      </w:r>
      <w:r w:rsidRPr="00CB2E9F">
        <w:rPr>
          <w:rFonts w:ascii="Garamond" w:hAnsi="Garamond"/>
          <w:sz w:val="22"/>
          <w:szCs w:val="22"/>
          <w:lang w:val="en-US"/>
        </w:rPr>
        <w:softHyphen/>
        <w:t>bungen und Verdichtungen wie beim Primärvorgang sind ausgeschlossen oder sehr eingeschränkt. Dieses Verhältnis hat J. Breuer veranlaßt, zwei verschiedene Zustände der Besetzungsenergie im Seelenleben anzunehmen, einen tonisch gebundenen und einen frei beweglichen, der Abfuhr zustrebenden. Ich glaube, daß diese Unterscheidung bis jetzt unsere tiefste Einsicht in daf Wesen der nervösen Energie darstellt, und sehe nicht, wie man um sie herumkommen soll. Es wäre ein dringendes Bedürfnis der metapsychologischen Darstellung — vielleicht aber noch ein allzu gewagtes Unternehmen —, an dieser Stelle die Diskussion fortzuführen.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Dem System </w:t>
      </w:r>
      <w:r w:rsidRPr="00CB2E9F">
        <w:rPr>
          <w:rFonts w:ascii="Garamond" w:hAnsi="Garamond"/>
          <w:i/>
          <w:iCs/>
          <w:sz w:val="22"/>
          <w:szCs w:val="22"/>
          <w:lang w:val="en-US"/>
        </w:rPr>
        <w:t>Vbw</w:t>
      </w:r>
      <w:r w:rsidRPr="00CB2E9F">
        <w:rPr>
          <w:rFonts w:ascii="Garamond" w:hAnsi="Garamond"/>
          <w:sz w:val="22"/>
          <w:szCs w:val="22"/>
          <w:lang w:val="en-US"/>
        </w:rPr>
        <w:t xml:space="preserve"> fallen ferner zu die Herstellung einer Verkehrsfähigkeit unter den Vorstellungsinhalten, so daß sie einander beeinflussen können, die zeitliche Anordnung derselben, die Einführung der einen Zensur oder mehrerer Zensuren, die Realitätsprüfung und das Realitätsprinzip. Auch das bewußte Gedächtnis scheint ganz am </w:t>
      </w:r>
      <w:r w:rsidRPr="00CB2E9F">
        <w:rPr>
          <w:rFonts w:ascii="Garamond" w:hAnsi="Garamond"/>
          <w:i/>
          <w:iCs/>
          <w:sz w:val="22"/>
          <w:szCs w:val="22"/>
          <w:lang w:val="en-US"/>
        </w:rPr>
        <w:t>Vbw</w:t>
      </w:r>
      <w:r w:rsidRPr="00CB2E9F">
        <w:rPr>
          <w:rFonts w:ascii="Garamond" w:hAnsi="Garamond"/>
          <w:sz w:val="22"/>
          <w:szCs w:val="22"/>
          <w:lang w:val="en-US"/>
        </w:rPr>
        <w:t xml:space="preserve"> zu hängen, es ist scharf von den Erinnerungsspuren zu scheiden, in denen sich die Erlebnisse des </w:t>
      </w:r>
      <w:r w:rsidRPr="00CB2E9F">
        <w:rPr>
          <w:rFonts w:ascii="Garamond" w:hAnsi="Garamond"/>
          <w:i/>
          <w:iCs/>
          <w:sz w:val="22"/>
          <w:szCs w:val="22"/>
          <w:lang w:val="en-US"/>
        </w:rPr>
        <w:t>Ubw</w:t>
      </w:r>
      <w:r w:rsidRPr="00CB2E9F">
        <w:rPr>
          <w:rFonts w:ascii="Garamond" w:hAnsi="Garamond"/>
          <w:sz w:val="22"/>
          <w:szCs w:val="22"/>
          <w:lang w:val="en-US"/>
        </w:rPr>
        <w:t xml:space="preserve"> fixieren, und entspricht wahrscheinlich einer besonderen Niederschrift, wie wir sie für das Verhältnis der bewußten zur unbewußten Vorstellung annehmen wollten, aber bereits verworfen haben. In diesem Zusammenhang werden wir auch die Mittel finden, unserem Schwanken in der Benennung des höheren Systems, das wir jetzt richtungslos bald </w:t>
      </w:r>
      <w:r w:rsidRPr="00CB2E9F">
        <w:rPr>
          <w:rFonts w:ascii="Garamond" w:hAnsi="Garamond"/>
          <w:i/>
          <w:iCs/>
          <w:sz w:val="22"/>
          <w:szCs w:val="22"/>
          <w:lang w:val="en-US"/>
        </w:rPr>
        <w:t>Vbw,</w:t>
      </w:r>
      <w:r w:rsidRPr="00CB2E9F">
        <w:rPr>
          <w:rFonts w:ascii="Garamond" w:hAnsi="Garamond"/>
          <w:sz w:val="22"/>
          <w:szCs w:val="22"/>
          <w:lang w:val="en-US"/>
        </w:rPr>
        <w:t xml:space="preserve"> bald </w:t>
      </w:r>
      <w:r w:rsidRPr="00CB2E9F">
        <w:rPr>
          <w:rFonts w:ascii="Garamond" w:hAnsi="Garamond"/>
          <w:i/>
          <w:iCs/>
          <w:sz w:val="22"/>
          <w:szCs w:val="22"/>
          <w:lang w:val="en-US"/>
        </w:rPr>
        <w:t>Bw</w:t>
      </w:r>
      <w:r w:rsidRPr="00CB2E9F">
        <w:rPr>
          <w:rFonts w:ascii="Garamond" w:hAnsi="Garamond"/>
          <w:sz w:val="22"/>
          <w:szCs w:val="22"/>
          <w:lang w:val="en-US"/>
        </w:rPr>
        <w:t xml:space="preserve"> heißen, ein Ende zu machen.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Es wird auch die Warnung am Platze sein, nicht voreilig zu verallge</w:t>
      </w:r>
      <w:r w:rsidRPr="00CB2E9F">
        <w:rPr>
          <w:rFonts w:ascii="Garamond" w:hAnsi="Garamond"/>
          <w:sz w:val="22"/>
          <w:szCs w:val="22"/>
          <w:lang w:val="en-US"/>
        </w:rPr>
        <w:softHyphen/>
        <w:t xml:space="preserve">meinern, was wir hier über die Verteilung der seelischen Leistungen an die beiden Systeme zutage gefördert haben. Wir beschreiben die Verhältnisse, wie sie sich beim reifen Menschen zeigen, bei dem das System </w:t>
      </w:r>
      <w:r w:rsidRPr="00CB2E9F">
        <w:rPr>
          <w:rFonts w:ascii="Garamond" w:hAnsi="Garamond"/>
          <w:i/>
          <w:iCs/>
          <w:sz w:val="22"/>
          <w:szCs w:val="22"/>
          <w:lang w:val="en-US"/>
        </w:rPr>
        <w:t>Vbw</w:t>
      </w:r>
      <w:r w:rsidRPr="00CB2E9F">
        <w:rPr>
          <w:rFonts w:ascii="Garamond" w:hAnsi="Garamond"/>
          <w:sz w:val="22"/>
          <w:szCs w:val="22"/>
          <w:lang w:val="en-US"/>
        </w:rPr>
        <w:t xml:space="preserve"> streng</w:t>
      </w:r>
      <w:r w:rsidRPr="00CB2E9F">
        <w:rPr>
          <w:rFonts w:ascii="Garamond" w:hAnsi="Garamond"/>
          <w:sz w:val="22"/>
          <w:szCs w:val="22"/>
          <w:lang w:val="en-US"/>
        </w:rPr>
        <w:softHyphen/>
        <w:t>genommen nur als Vorstufe der höheren Organisation funktioniert. Welchen Inhalt und welche Beziehungen dies System während der individuellen Entwicklung hat und welche Bedeutung ihm beim Tiere zukommt, das soll nicht aus unserer Beschreibung abgeleitet, sondern selbständig erforscht werden. Wir müssen auch beim Menschen darauf gefaßt sein, etwa krankhafte Bedingungen zu finden, unter denen die beiden Systeme Inhalt wie Charaktere ändern oder selbst miteinander tauschen.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______________________</w:t>
      </w:r>
    </w:p>
    <w:p w:rsidR="00CB2E9F" w:rsidRPr="00CB2E9F"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1)</w:t>
      </w:r>
      <w:r w:rsidRPr="00CB2E9F">
        <w:rPr>
          <w:rFonts w:ascii="Garamond" w:hAnsi="Garamond"/>
          <w:sz w:val="22"/>
          <w:szCs w:val="22"/>
          <w:lang w:val="en-US"/>
        </w:rPr>
        <w:t xml:space="preserve"> S. die Ausführungen im VII. Abschnitt der </w:t>
      </w:r>
      <w:r w:rsidRPr="00CB2E9F">
        <w:rPr>
          <w:rFonts w:ascii="Garamond" w:hAnsi="Garamond"/>
          <w:i/>
          <w:iCs/>
          <w:sz w:val="22"/>
          <w:szCs w:val="22"/>
          <w:lang w:val="en-US"/>
        </w:rPr>
        <w:t>Traumdeutung</w:t>
      </w:r>
      <w:r w:rsidRPr="00CB2E9F">
        <w:rPr>
          <w:rFonts w:ascii="Garamond" w:hAnsi="Garamond"/>
          <w:sz w:val="22"/>
          <w:szCs w:val="22"/>
          <w:lang w:val="en-US"/>
        </w:rPr>
        <w:t xml:space="preserve">, welche sich auf die von J. Breuer in den </w:t>
      </w:r>
      <w:r w:rsidRPr="00CB2E9F">
        <w:rPr>
          <w:rFonts w:ascii="Garamond" w:hAnsi="Garamond"/>
          <w:i/>
          <w:iCs/>
          <w:sz w:val="22"/>
          <w:szCs w:val="22"/>
          <w:lang w:val="en-US"/>
        </w:rPr>
        <w:t>Studien über Hysterie</w:t>
      </w:r>
      <w:r w:rsidRPr="00CB2E9F">
        <w:rPr>
          <w:rFonts w:ascii="Garamond" w:hAnsi="Garamond"/>
          <w:sz w:val="22"/>
          <w:szCs w:val="22"/>
          <w:lang w:val="en-US"/>
        </w:rPr>
        <w:t xml:space="preserve"> entwickelten Ideen stützt.</w:t>
      </w:r>
    </w:p>
    <w:p w:rsidR="00CB2E9F" w:rsidRPr="00CB2E9F"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2)</w:t>
      </w:r>
      <w:r w:rsidRPr="00CB2E9F">
        <w:rPr>
          <w:rFonts w:ascii="Garamond" w:hAnsi="Garamond"/>
          <w:sz w:val="22"/>
          <w:szCs w:val="22"/>
          <w:lang w:val="en-US"/>
        </w:rPr>
        <w:t xml:space="preserve"> Die Erwähnung eines anderen bedeutsamen Vorrechtes des </w:t>
      </w:r>
      <w:r w:rsidRPr="00CB2E9F">
        <w:rPr>
          <w:rFonts w:ascii="Garamond" w:hAnsi="Garamond"/>
          <w:i/>
          <w:iCs/>
          <w:sz w:val="22"/>
          <w:szCs w:val="22"/>
          <w:lang w:val="en-US"/>
        </w:rPr>
        <w:t>Ubw</w:t>
      </w:r>
      <w:r w:rsidRPr="00CB2E9F">
        <w:rPr>
          <w:rFonts w:ascii="Garamond" w:hAnsi="Garamond"/>
          <w:sz w:val="22"/>
          <w:szCs w:val="22"/>
          <w:lang w:val="en-US"/>
        </w:rPr>
        <w:t xml:space="preserve"> sparen wir für einen anderen Zusammenhang auf.</w:t>
      </w:r>
    </w:p>
    <w:p w:rsidR="005E1D01" w:rsidRDefault="005E1D01">
      <w:pPr>
        <w:rPr>
          <w:rFonts w:ascii="Garamond" w:eastAsiaTheme="majorEastAsia" w:hAnsi="Garamond" w:cstheme="majorBidi"/>
          <w:b/>
          <w:bCs/>
          <w:color w:val="4F81BD" w:themeColor="accent1"/>
          <w:lang w:val="en-US"/>
        </w:rPr>
      </w:pPr>
      <w:r>
        <w:rPr>
          <w:rFonts w:ascii="Garamond" w:hAnsi="Garamond"/>
          <w:lang w:val="en-US"/>
        </w:rPr>
        <w:br w:type="page"/>
      </w:r>
    </w:p>
    <w:p w:rsidR="00CB2E9F" w:rsidRPr="00CB2E9F" w:rsidRDefault="00B437A1" w:rsidP="00130855">
      <w:pPr>
        <w:pStyle w:val="Titre3"/>
        <w:rPr>
          <w:rFonts w:ascii="Garamond" w:hAnsi="Garamond"/>
          <w:lang w:val="en-US"/>
        </w:rPr>
      </w:pPr>
      <w:hyperlink w:anchor="UnbInhalt" w:history="1">
        <w:r w:rsidR="00CB2E9F" w:rsidRPr="005E1D01">
          <w:rPr>
            <w:rStyle w:val="Lienhypertexte"/>
            <w:rFonts w:ascii="Garamond" w:hAnsi="Garamond"/>
            <w:lang w:val="en-US"/>
          </w:rPr>
          <w:t>VI. De</w:t>
        </w:r>
        <w:bookmarkStart w:id="9" w:name="Unb6"/>
        <w:bookmarkEnd w:id="9"/>
        <w:r w:rsidR="00CB2E9F" w:rsidRPr="005E1D01">
          <w:rPr>
            <w:rStyle w:val="Lienhypertexte"/>
            <w:rFonts w:ascii="Garamond" w:hAnsi="Garamond"/>
            <w:lang w:val="en-US"/>
          </w:rPr>
          <w:t>r Verkehr der beiden Systeme</w:t>
        </w:r>
      </w:hyperlink>
    </w:p>
    <w:p w:rsidR="00CB2E9F" w:rsidRPr="00CB2E9F" w:rsidRDefault="00CB2E9F" w:rsidP="00130855">
      <w:pPr>
        <w:rPr>
          <w:rFonts w:ascii="Garamond" w:hAnsi="Garamond"/>
          <w:lang w:val="en-US"/>
        </w:rPr>
      </w:pP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Es wäre doch unrecht, sich vorzustellen, daß das </w:t>
      </w:r>
      <w:r w:rsidRPr="00CB2E9F">
        <w:rPr>
          <w:rFonts w:ascii="Garamond" w:hAnsi="Garamond"/>
          <w:i/>
          <w:iCs/>
          <w:sz w:val="22"/>
          <w:szCs w:val="22"/>
          <w:lang w:val="en-US"/>
        </w:rPr>
        <w:t>Ubw</w:t>
      </w:r>
      <w:r w:rsidRPr="00CB2E9F">
        <w:rPr>
          <w:rFonts w:ascii="Garamond" w:hAnsi="Garamond"/>
          <w:sz w:val="22"/>
          <w:szCs w:val="22"/>
          <w:lang w:val="en-US"/>
        </w:rPr>
        <w:t xml:space="preserve"> in Ruhe verbleibt, während die ganze psychische Arbeit vom </w:t>
      </w:r>
      <w:r w:rsidRPr="00CB2E9F">
        <w:rPr>
          <w:rFonts w:ascii="Garamond" w:hAnsi="Garamond"/>
          <w:i/>
          <w:iCs/>
          <w:sz w:val="22"/>
          <w:szCs w:val="22"/>
          <w:lang w:val="en-US"/>
        </w:rPr>
        <w:t>Vbw</w:t>
      </w:r>
      <w:r w:rsidRPr="00CB2E9F">
        <w:rPr>
          <w:rFonts w:ascii="Garamond" w:hAnsi="Garamond"/>
          <w:sz w:val="22"/>
          <w:szCs w:val="22"/>
          <w:lang w:val="en-US"/>
        </w:rPr>
        <w:t xml:space="preserve"> geleistet wird, daß das </w:t>
      </w:r>
      <w:r w:rsidRPr="00CB2E9F">
        <w:rPr>
          <w:rFonts w:ascii="Garamond" w:hAnsi="Garamond"/>
          <w:i/>
          <w:iCs/>
          <w:sz w:val="22"/>
          <w:szCs w:val="22"/>
          <w:lang w:val="en-US"/>
        </w:rPr>
        <w:t>Ubw</w:t>
      </w:r>
      <w:r w:rsidRPr="00CB2E9F">
        <w:rPr>
          <w:rFonts w:ascii="Garamond" w:hAnsi="Garamond"/>
          <w:sz w:val="22"/>
          <w:szCs w:val="22"/>
          <w:lang w:val="en-US"/>
        </w:rPr>
        <w:t xml:space="preserve"> etwas Abgetanes, ein rudimentäres Organ, ein Residuum der Entwicklung sei. Oder anzunehmen, daß sich der Verkehr der beiden Systeme auf den Akt der Verdrängung beschränkt, indem das </w:t>
      </w:r>
      <w:r w:rsidRPr="00CB2E9F">
        <w:rPr>
          <w:rFonts w:ascii="Garamond" w:hAnsi="Garamond"/>
          <w:i/>
          <w:iCs/>
          <w:sz w:val="22"/>
          <w:szCs w:val="22"/>
          <w:lang w:val="en-US"/>
        </w:rPr>
        <w:t>Vbw</w:t>
      </w:r>
      <w:r w:rsidRPr="00CB2E9F">
        <w:rPr>
          <w:rFonts w:ascii="Garamond" w:hAnsi="Garamond"/>
          <w:sz w:val="22"/>
          <w:szCs w:val="22"/>
          <w:lang w:val="en-US"/>
        </w:rPr>
        <w:t xml:space="preserve"> alles, was ihm störend erscheint, in den Abgrund des </w:t>
      </w:r>
      <w:r w:rsidRPr="00CB2E9F">
        <w:rPr>
          <w:rFonts w:ascii="Garamond" w:hAnsi="Garamond"/>
          <w:i/>
          <w:iCs/>
          <w:sz w:val="22"/>
          <w:szCs w:val="22"/>
          <w:lang w:val="en-US"/>
        </w:rPr>
        <w:t>Vbw</w:t>
      </w:r>
      <w:r w:rsidRPr="00CB2E9F">
        <w:rPr>
          <w:rFonts w:ascii="Garamond" w:hAnsi="Garamond"/>
          <w:sz w:val="22"/>
          <w:szCs w:val="22"/>
          <w:lang w:val="en-US"/>
        </w:rPr>
        <w:t xml:space="preserve"> wirft. Das </w:t>
      </w:r>
      <w:r w:rsidRPr="00CB2E9F">
        <w:rPr>
          <w:rFonts w:ascii="Garamond" w:hAnsi="Garamond"/>
          <w:i/>
          <w:iCs/>
          <w:sz w:val="22"/>
          <w:szCs w:val="22"/>
          <w:lang w:val="en-US"/>
        </w:rPr>
        <w:t>Ubw</w:t>
      </w:r>
      <w:r w:rsidRPr="00CB2E9F">
        <w:rPr>
          <w:rFonts w:ascii="Garamond" w:hAnsi="Garamond"/>
          <w:sz w:val="22"/>
          <w:szCs w:val="22"/>
          <w:lang w:val="en-US"/>
        </w:rPr>
        <w:t xml:space="preserve"> ist vielmehr lebend, entwicklungsfähig und unterhält eine Anzahl von anderen Beziehungen zum </w:t>
      </w:r>
      <w:r w:rsidRPr="00CB2E9F">
        <w:rPr>
          <w:rFonts w:ascii="Garamond" w:hAnsi="Garamond"/>
          <w:i/>
          <w:iCs/>
          <w:sz w:val="22"/>
          <w:szCs w:val="22"/>
          <w:lang w:val="en-US"/>
        </w:rPr>
        <w:t>Vbw,</w:t>
      </w:r>
      <w:r w:rsidRPr="00CB2E9F">
        <w:rPr>
          <w:rFonts w:ascii="Garamond" w:hAnsi="Garamond"/>
          <w:sz w:val="22"/>
          <w:szCs w:val="22"/>
          <w:lang w:val="en-US"/>
        </w:rPr>
        <w:t xml:space="preserve"> darunter auch die der Kooperation. Man muß zusammenfassend sagen, das </w:t>
      </w:r>
      <w:r w:rsidRPr="00CB2E9F">
        <w:rPr>
          <w:rFonts w:ascii="Garamond" w:hAnsi="Garamond"/>
          <w:i/>
          <w:iCs/>
          <w:sz w:val="22"/>
          <w:szCs w:val="22"/>
          <w:lang w:val="en-US"/>
        </w:rPr>
        <w:t>Ubw</w:t>
      </w:r>
      <w:r w:rsidRPr="00CB2E9F">
        <w:rPr>
          <w:rFonts w:ascii="Garamond" w:hAnsi="Garamond"/>
          <w:sz w:val="22"/>
          <w:szCs w:val="22"/>
          <w:lang w:val="en-US"/>
        </w:rPr>
        <w:t xml:space="preserve"> setzt sich in die sogenannten Abkömmlinge fort, es ist den Einwirkungen des Lebens zugänglich, beeinflußt beständig das </w:t>
      </w:r>
      <w:r w:rsidRPr="00CB2E9F">
        <w:rPr>
          <w:rFonts w:ascii="Garamond" w:hAnsi="Garamond"/>
          <w:i/>
          <w:iCs/>
          <w:sz w:val="22"/>
          <w:szCs w:val="22"/>
          <w:lang w:val="en-US"/>
        </w:rPr>
        <w:t>Vbw</w:t>
      </w:r>
      <w:r w:rsidRPr="00CB2E9F">
        <w:rPr>
          <w:rFonts w:ascii="Garamond" w:hAnsi="Garamond"/>
          <w:sz w:val="22"/>
          <w:szCs w:val="22"/>
          <w:lang w:val="en-US"/>
        </w:rPr>
        <w:t xml:space="preserve"> und ist seinerseits sogar Beeinflussungen von seiten des </w:t>
      </w:r>
      <w:r w:rsidRPr="00CB2E9F">
        <w:rPr>
          <w:rFonts w:ascii="Garamond" w:hAnsi="Garamond"/>
          <w:i/>
          <w:iCs/>
          <w:sz w:val="22"/>
          <w:szCs w:val="22"/>
          <w:lang w:val="en-US"/>
        </w:rPr>
        <w:t>Vbw</w:t>
      </w:r>
      <w:r w:rsidRPr="00CB2E9F">
        <w:rPr>
          <w:rFonts w:ascii="Garamond" w:hAnsi="Garamond"/>
          <w:sz w:val="22"/>
          <w:szCs w:val="22"/>
          <w:lang w:val="en-US"/>
        </w:rPr>
        <w:t xml:space="preserve"> unterworfen.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Das Studium der Abkömmlinge des </w:t>
      </w:r>
      <w:r w:rsidRPr="00CB2E9F">
        <w:rPr>
          <w:rFonts w:ascii="Garamond" w:hAnsi="Garamond"/>
          <w:i/>
          <w:iCs/>
          <w:sz w:val="22"/>
          <w:szCs w:val="22"/>
          <w:lang w:val="en-US"/>
        </w:rPr>
        <w:t>Vbw</w:t>
      </w:r>
      <w:r w:rsidRPr="00CB2E9F">
        <w:rPr>
          <w:rFonts w:ascii="Garamond" w:hAnsi="Garamond"/>
          <w:sz w:val="22"/>
          <w:szCs w:val="22"/>
          <w:lang w:val="en-US"/>
        </w:rPr>
        <w:t xml:space="preserve"> wird unseren Erwartungen einer schematisch reinlichen Scheidung zwischen den beiden psychischen Syste</w:t>
      </w:r>
      <w:r w:rsidRPr="00CB2E9F">
        <w:rPr>
          <w:rFonts w:ascii="Garamond" w:hAnsi="Garamond"/>
          <w:sz w:val="22"/>
          <w:szCs w:val="22"/>
          <w:lang w:val="en-US"/>
        </w:rPr>
        <w:softHyphen/>
        <w:t>men eine gründliche Enttäuschung bereiten. Das wird gewiß Unzufriedenheit mit unseren Ergebnissen erwecken und wahrscheinlich dazu benützt werden, den Wert unserer Art der Trennung der psychischen Vorgänge in Zweifel zu ziehen. Allein wir werden geltend machen, daß wir keine andere Aufgabe haben, als die Ergebnisse der Beobachtung in Theorie umzusetzen, und die Verpflichtung von uns weisen, auf den ersten Anlauf eine glatte und durch Einfachheit sich empfehlende Theorie zu erreichen. Wir vertreten deren Komplikationen, solange sie sich der Beobachtung adäquat erweisen, und geben die Erwartung nicht auf, gerade durch sie zur endlichen Erkenntnis eines Sachverhaltes geleitet zu werden, der, an sich einfach, den Komplikationen der Realität gerecht werden kann.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Unter den Abkömmlingen der </w:t>
      </w:r>
      <w:r w:rsidRPr="00CB2E9F">
        <w:rPr>
          <w:rFonts w:ascii="Garamond" w:hAnsi="Garamond"/>
          <w:i/>
          <w:iCs/>
          <w:sz w:val="22"/>
          <w:szCs w:val="22"/>
          <w:lang w:val="en-US"/>
        </w:rPr>
        <w:t>ubw</w:t>
      </w:r>
      <w:r w:rsidRPr="00CB2E9F">
        <w:rPr>
          <w:rFonts w:ascii="Garamond" w:hAnsi="Garamond"/>
          <w:sz w:val="22"/>
          <w:szCs w:val="22"/>
          <w:lang w:val="en-US"/>
        </w:rPr>
        <w:t xml:space="preserve"> Triebregungen vom beschriebenen Charakter gibt es welche, die entgegengesetzte Bestimmungen in sich vereinigen. Sie sind einerseits hochorganisiert, widerspruchsfrei, haben allen Erwerb des Systems </w:t>
      </w:r>
      <w:r w:rsidRPr="00CB2E9F">
        <w:rPr>
          <w:rFonts w:ascii="Garamond" w:hAnsi="Garamond"/>
          <w:i/>
          <w:iCs/>
          <w:sz w:val="22"/>
          <w:szCs w:val="22"/>
          <w:lang w:val="en-US"/>
        </w:rPr>
        <w:t>Bw</w:t>
      </w:r>
      <w:r w:rsidRPr="00CB2E9F">
        <w:rPr>
          <w:rFonts w:ascii="Garamond" w:hAnsi="Garamond"/>
          <w:sz w:val="22"/>
          <w:szCs w:val="22"/>
          <w:lang w:val="en-US"/>
        </w:rPr>
        <w:t xml:space="preserve"> verwertet und würden sich für unser Urteil von den Bildungen dieses Systems kaum unterscheiden. Anderseits sind sie unbewußt und unfähig, bewußt zu werden. Sie gehören also qualitativ zum System </w:t>
      </w:r>
      <w:r w:rsidRPr="00CB2E9F">
        <w:rPr>
          <w:rFonts w:ascii="Garamond" w:hAnsi="Garamond"/>
          <w:i/>
          <w:iCs/>
          <w:sz w:val="22"/>
          <w:szCs w:val="22"/>
          <w:lang w:val="en-US"/>
        </w:rPr>
        <w:t>Vbw,</w:t>
      </w:r>
      <w:r w:rsidRPr="00CB2E9F">
        <w:rPr>
          <w:rFonts w:ascii="Garamond" w:hAnsi="Garamond"/>
          <w:sz w:val="22"/>
          <w:szCs w:val="22"/>
          <w:lang w:val="en-US"/>
        </w:rPr>
        <w:t xml:space="preserve"> faktisch aber zum </w:t>
      </w:r>
      <w:r w:rsidRPr="00CB2E9F">
        <w:rPr>
          <w:rFonts w:ascii="Garamond" w:hAnsi="Garamond"/>
          <w:i/>
          <w:iCs/>
          <w:sz w:val="22"/>
          <w:szCs w:val="22"/>
          <w:lang w:val="en-US"/>
        </w:rPr>
        <w:t>Vbw.</w:t>
      </w:r>
      <w:r w:rsidRPr="00CB2E9F">
        <w:rPr>
          <w:rFonts w:ascii="Garamond" w:hAnsi="Garamond"/>
          <w:sz w:val="22"/>
          <w:szCs w:val="22"/>
          <w:lang w:val="en-US"/>
        </w:rPr>
        <w:t xml:space="preserve"> Ihre Herkunft bleibt das für ihr Schicksal Entschei</w:t>
      </w:r>
      <w:r w:rsidRPr="00CB2E9F">
        <w:rPr>
          <w:rFonts w:ascii="Garamond" w:hAnsi="Garamond"/>
          <w:sz w:val="22"/>
          <w:szCs w:val="22"/>
          <w:lang w:val="en-US"/>
        </w:rPr>
        <w:softHyphen/>
        <w:t>dende. Man muß sie mit den Mischlingen menschlicher Rassen vergleichen, die im großen und ganzen bereits den Weißen gleichen, ihre farbige Abkunft aber durch den einen oder anderen auffälligen Zug verraten und darum von der Gesellschaft ausgeschlossen bleiben und keines der Vorrechte der Weißen genießen. Solcher Art sind die Phantasiebildungen der Normalen wie der Neurotiker, die wir als Vorstufen der Traum- wie der Symptombildung erkannt haben und die trotz ihrer hohen Organisation verdrängt bleiben und als solche nicht bewußt werden können</w:t>
      </w:r>
      <w:r w:rsidRPr="00CB2E9F">
        <w:rPr>
          <w:rFonts w:ascii="Garamond" w:hAnsi="Garamond"/>
          <w:i/>
          <w:iCs/>
          <w:sz w:val="22"/>
          <w:szCs w:val="22"/>
          <w:lang w:val="en-US"/>
        </w:rPr>
        <w:t xml:space="preserve">. </w:t>
      </w:r>
      <w:r w:rsidRPr="00CB2E9F">
        <w:rPr>
          <w:rFonts w:ascii="Garamond" w:hAnsi="Garamond"/>
          <w:sz w:val="22"/>
          <w:szCs w:val="22"/>
          <w:lang w:val="en-US"/>
        </w:rPr>
        <w:t xml:space="preserve">Sie kommen nahe ans Bewußtsein heran, bleiben ungestört, solange sie keine intensive Besetzung haben, werden aber zurückgeworfen, sobald sie eine gewisse Höhe der Besetzung überschreiten. Ebensolche höher organisierte Abkömmlinge des </w:t>
      </w:r>
      <w:r w:rsidRPr="00CB2E9F">
        <w:rPr>
          <w:rFonts w:ascii="Garamond" w:hAnsi="Garamond"/>
          <w:i/>
          <w:iCs/>
          <w:sz w:val="22"/>
          <w:szCs w:val="22"/>
          <w:lang w:val="en-US"/>
        </w:rPr>
        <w:t>Ubw</w:t>
      </w:r>
      <w:r w:rsidRPr="00CB2E9F">
        <w:rPr>
          <w:rFonts w:ascii="Garamond" w:hAnsi="Garamond"/>
          <w:sz w:val="22"/>
          <w:szCs w:val="22"/>
          <w:lang w:val="en-US"/>
        </w:rPr>
        <w:t xml:space="preserve"> sind die Ersatzbildungen, denen aber der Durchbruch zum Bewußtsein dank einer günstigen Relation gelingt, wie z. B. durch das Zusammentreffen mit einer Gegenbesetzung des </w:t>
      </w:r>
      <w:r w:rsidRPr="00CB2E9F">
        <w:rPr>
          <w:rFonts w:ascii="Garamond" w:hAnsi="Garamond"/>
          <w:i/>
          <w:iCs/>
          <w:sz w:val="22"/>
          <w:szCs w:val="22"/>
          <w:lang w:val="en-US"/>
        </w:rPr>
        <w:t>Vbw.</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Wenn wir an anderer Stelle die Bedingungen des Bewußtwerdens ein</w:t>
      </w:r>
      <w:r w:rsidRPr="00CB2E9F">
        <w:rPr>
          <w:rFonts w:ascii="Garamond" w:hAnsi="Garamond"/>
          <w:sz w:val="22"/>
          <w:szCs w:val="22"/>
          <w:lang w:val="en-US"/>
        </w:rPr>
        <w:softHyphen/>
        <w:t>gehender untersuchen, wird uns ein Teil der hier auftauchenden Schwierig</w:t>
      </w:r>
      <w:r w:rsidRPr="00CB2E9F">
        <w:rPr>
          <w:rFonts w:ascii="Garamond" w:hAnsi="Garamond"/>
          <w:sz w:val="22"/>
          <w:szCs w:val="22"/>
          <w:lang w:val="en-US"/>
        </w:rPr>
        <w:softHyphen/>
        <w:t xml:space="preserve">keiten lösbar werden. Hier mag es uns vorteilhaft erscheinen, der bisherigen vom </w:t>
      </w:r>
      <w:r w:rsidRPr="00CB2E9F">
        <w:rPr>
          <w:rFonts w:ascii="Garamond" w:hAnsi="Garamond"/>
          <w:i/>
          <w:iCs/>
          <w:sz w:val="22"/>
          <w:szCs w:val="22"/>
          <w:lang w:val="en-US"/>
        </w:rPr>
        <w:t>Ubw</w:t>
      </w:r>
      <w:r w:rsidRPr="00CB2E9F">
        <w:rPr>
          <w:rFonts w:ascii="Garamond" w:hAnsi="Garamond"/>
          <w:sz w:val="22"/>
          <w:szCs w:val="22"/>
          <w:lang w:val="en-US"/>
        </w:rPr>
        <w:t xml:space="preserve"> her aufsteigenden Betrachtung eine vom Bewußtsein ausgehende gegenüberzustellen. Dem Bewußtsein tritt die ganze Summe der psychischen Vorgänge als das Reich des Vorbewußten entgegen. Ein sehr großer Anteil dieses Vorbewußten stammt aus dem Unbewußten, hat den Charakter der Abkömmlinge desselben und unterliegt einer Zensur, ehe er bewußt werden kann. Ein anderer Anteil des </w:t>
      </w:r>
      <w:r w:rsidRPr="00CB2E9F">
        <w:rPr>
          <w:rFonts w:ascii="Garamond" w:hAnsi="Garamond"/>
          <w:i/>
          <w:iCs/>
          <w:sz w:val="22"/>
          <w:szCs w:val="22"/>
          <w:lang w:val="en-US"/>
        </w:rPr>
        <w:t>Vbw</w:t>
      </w:r>
      <w:r w:rsidRPr="00CB2E9F">
        <w:rPr>
          <w:rFonts w:ascii="Garamond" w:hAnsi="Garamond"/>
          <w:sz w:val="22"/>
          <w:szCs w:val="22"/>
          <w:lang w:val="en-US"/>
        </w:rPr>
        <w:t xml:space="preserve"> ist ohne Zensur bewußtseinsfähig. Wir gelangen hier zu einem Widerspruch gegen eine frühere Annahme. In der Betrachtung der Verdrängung wurden wir genötigt, die für das Bewußt</w:t>
      </w:r>
      <w:r w:rsidRPr="00CB2E9F">
        <w:rPr>
          <w:rFonts w:ascii="Garamond" w:hAnsi="Garamond"/>
          <w:sz w:val="22"/>
          <w:szCs w:val="22"/>
          <w:lang w:val="en-US"/>
        </w:rPr>
        <w:softHyphen/>
        <w:t xml:space="preserve">werden entscheidende Zensur zwischen die Systeme </w:t>
      </w:r>
      <w:r w:rsidRPr="00CB2E9F">
        <w:rPr>
          <w:rFonts w:ascii="Garamond" w:hAnsi="Garamond"/>
          <w:i/>
          <w:iCs/>
          <w:sz w:val="22"/>
          <w:szCs w:val="22"/>
          <w:lang w:val="en-US"/>
        </w:rPr>
        <w:t>Ubw</w:t>
      </w:r>
      <w:r w:rsidRPr="00CB2E9F">
        <w:rPr>
          <w:rFonts w:ascii="Garamond" w:hAnsi="Garamond"/>
          <w:sz w:val="22"/>
          <w:szCs w:val="22"/>
          <w:lang w:val="en-US"/>
        </w:rPr>
        <w:t xml:space="preserve"> und </w:t>
      </w:r>
      <w:r w:rsidRPr="00CB2E9F">
        <w:rPr>
          <w:rFonts w:ascii="Garamond" w:hAnsi="Garamond"/>
          <w:i/>
          <w:iCs/>
          <w:sz w:val="22"/>
          <w:szCs w:val="22"/>
          <w:lang w:val="en-US"/>
        </w:rPr>
        <w:t>Vbw</w:t>
      </w:r>
      <w:r w:rsidRPr="00CB2E9F">
        <w:rPr>
          <w:rFonts w:ascii="Garamond" w:hAnsi="Garamond"/>
          <w:sz w:val="22"/>
          <w:szCs w:val="22"/>
          <w:lang w:val="en-US"/>
        </w:rPr>
        <w:t xml:space="preserve"> zu verlegen. Jetzt wird uns eine Zensur zwischen </w:t>
      </w:r>
      <w:r w:rsidRPr="00CB2E9F">
        <w:rPr>
          <w:rFonts w:ascii="Garamond" w:hAnsi="Garamond"/>
          <w:i/>
          <w:iCs/>
          <w:sz w:val="22"/>
          <w:szCs w:val="22"/>
          <w:lang w:val="en-US"/>
        </w:rPr>
        <w:t>Vbw</w:t>
      </w:r>
      <w:r w:rsidRPr="00CB2E9F">
        <w:rPr>
          <w:rFonts w:ascii="Garamond" w:hAnsi="Garamond"/>
          <w:sz w:val="22"/>
          <w:szCs w:val="22"/>
          <w:lang w:val="en-US"/>
        </w:rPr>
        <w:t xml:space="preserve"> und </w:t>
      </w:r>
      <w:r w:rsidRPr="00CB2E9F">
        <w:rPr>
          <w:rFonts w:ascii="Garamond" w:hAnsi="Garamond"/>
          <w:i/>
          <w:iCs/>
          <w:sz w:val="22"/>
          <w:szCs w:val="22"/>
          <w:lang w:val="en-US"/>
        </w:rPr>
        <w:t>Bw</w:t>
      </w:r>
      <w:r w:rsidRPr="00CB2E9F">
        <w:rPr>
          <w:rFonts w:ascii="Garamond" w:hAnsi="Garamond"/>
          <w:sz w:val="22"/>
          <w:szCs w:val="22"/>
          <w:lang w:val="en-US"/>
        </w:rPr>
        <w:t xml:space="preserve"> nahegelegt. Wir tun aber gut daran, in dieser Komplikation keine Schwierigkeit zu erblicken, sondern anzunehmen, daß jedem Übergang von einem System zum nächst höheren, also jedem Fortschritt zu einer höheren Stufe psychischer Organisation eine neue Zensur entspreche. Die Annahme einer fortlaufenden Erneuerung der Niederschriften ist damit allerdings abgetan.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Der Grund all dieser Schwierigkeiten ist darin zu suchen, daß die Bewußt</w:t>
      </w:r>
      <w:r w:rsidRPr="00CB2E9F">
        <w:rPr>
          <w:rFonts w:ascii="Garamond" w:hAnsi="Garamond"/>
          <w:sz w:val="22"/>
          <w:szCs w:val="22"/>
          <w:lang w:val="en-US"/>
        </w:rPr>
        <w:softHyphen/>
        <w:t xml:space="preserve">heit, der einzige uns unmittelbar gegebene Charakter der psychischen Vorgänge, sich zur Systemunterscheidung in keiner Weise eignet. </w:t>
      </w:r>
      <w:r w:rsidRPr="00CB2E9F">
        <w:rPr>
          <w:rFonts w:ascii="Garamond" w:hAnsi="Garamond"/>
          <w:sz w:val="22"/>
          <w:szCs w:val="22"/>
          <w:lang w:val="en-US"/>
        </w:rPr>
        <w:lastRenderedPageBreak/>
        <w:t xml:space="preserve">Abgesehen davon, daß das Bewußte nicht immer bewußt, sondern zeitweilig auch latent ist, hat uns die Beobachtung gezeigt, daß vieles, was die Eigenschaften des Systems </w:t>
      </w:r>
      <w:r w:rsidRPr="00CB2E9F">
        <w:rPr>
          <w:rFonts w:ascii="Garamond" w:hAnsi="Garamond"/>
          <w:i/>
          <w:iCs/>
          <w:sz w:val="22"/>
          <w:szCs w:val="22"/>
          <w:lang w:val="en-US"/>
        </w:rPr>
        <w:t>Vbw</w:t>
      </w:r>
      <w:r w:rsidRPr="00CB2E9F">
        <w:rPr>
          <w:rFonts w:ascii="Garamond" w:hAnsi="Garamond"/>
          <w:sz w:val="22"/>
          <w:szCs w:val="22"/>
          <w:lang w:val="en-US"/>
        </w:rPr>
        <w:t xml:space="preserve"> teilt, nicht bewußt wird, und haben wir noch zu erfahren, daß das Bewußtwerden durch gewisse Richtungen seiner Aufmerksamkeit eingeschränkt ist. Das Bewußtsein hat so weder zu den Systemen noch zur Verdrängung ein einfaches Verhältnis. Die Wahrheit ist, daß nicht nur das psychisch Verdrängte dem Bewußtsein fremd bleibt, sondern auch ein Teil der unser Ich beherrschenden Regungen, also der stärkste funktionelle Gegen</w:t>
      </w:r>
      <w:r w:rsidRPr="00CB2E9F">
        <w:rPr>
          <w:rFonts w:ascii="Garamond" w:hAnsi="Garamond"/>
          <w:sz w:val="22"/>
          <w:szCs w:val="22"/>
          <w:lang w:val="en-US"/>
        </w:rPr>
        <w:softHyphen/>
        <w:t>satz des Verdrängten. In dem Maße, als wir uns zu einer metapsychologi</w:t>
      </w:r>
      <w:r w:rsidRPr="00CB2E9F">
        <w:rPr>
          <w:rFonts w:ascii="Garamond" w:hAnsi="Garamond"/>
          <w:sz w:val="22"/>
          <w:szCs w:val="22"/>
          <w:lang w:val="en-US"/>
        </w:rPr>
        <w:softHyphen/>
        <w:t>schen Betrachtung des Seelenlebens durchringen wollen, müssen wir lernen, uns von der Bedeutung des Symptoms »Bewußtheit« zu emanzipieren.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Solange wir noch an diesem haften, sehen wir unsere Allgemeinheiten regelmäßig durch Ausnahmen durchbrochen. Wir sehen, daß Abkömmlinge des </w:t>
      </w:r>
      <w:r w:rsidRPr="00CB2E9F">
        <w:rPr>
          <w:rFonts w:ascii="Garamond" w:hAnsi="Garamond"/>
          <w:i/>
          <w:iCs/>
          <w:sz w:val="22"/>
          <w:szCs w:val="22"/>
          <w:lang w:val="en-US"/>
        </w:rPr>
        <w:t xml:space="preserve">Ubw </w:t>
      </w:r>
      <w:r w:rsidRPr="00CB2E9F">
        <w:rPr>
          <w:rFonts w:ascii="Garamond" w:hAnsi="Garamond"/>
          <w:sz w:val="22"/>
          <w:szCs w:val="22"/>
          <w:lang w:val="en-US"/>
        </w:rPr>
        <w:t xml:space="preserve">als Ersatzbildungen und als Symptome bewußt werden, in der Regel nach großen Entstellungen gegen das Unbewußte, aber oft mit Erhaltung vieler zur Verdrängung auffordernden Charaktere. Wir finden, daß viele vorbewußte Bildungen unbewußt bleiben, die, sollten wir meinen, ihrer Natur nach sehr wohl bewußt werden dürften. Wahrscheinlich macht sich bei ihnen die stärkere Anziehung des </w:t>
      </w:r>
      <w:r w:rsidRPr="00CB2E9F">
        <w:rPr>
          <w:rFonts w:ascii="Garamond" w:hAnsi="Garamond"/>
          <w:i/>
          <w:iCs/>
          <w:sz w:val="22"/>
          <w:szCs w:val="22"/>
          <w:lang w:val="en-US"/>
        </w:rPr>
        <w:t>Ubw</w:t>
      </w:r>
      <w:r w:rsidRPr="00CB2E9F">
        <w:rPr>
          <w:rFonts w:ascii="Garamond" w:hAnsi="Garamond"/>
          <w:sz w:val="22"/>
          <w:szCs w:val="22"/>
          <w:lang w:val="en-US"/>
        </w:rPr>
        <w:t xml:space="preserve"> geltend. Wir werden darauf hingewiesen, die bedeutsamere Differenz nicht zwischen dem Bewußten und dem Vorbewußten, sondern zwischen dem Vorbewußten und dem Unbewußten zu suchen. Das </w:t>
      </w:r>
      <w:r w:rsidRPr="00CB2E9F">
        <w:rPr>
          <w:rFonts w:ascii="Garamond" w:hAnsi="Garamond"/>
          <w:i/>
          <w:iCs/>
          <w:sz w:val="22"/>
          <w:szCs w:val="22"/>
          <w:lang w:val="en-US"/>
        </w:rPr>
        <w:t>Ubw</w:t>
      </w:r>
      <w:r w:rsidRPr="00CB2E9F">
        <w:rPr>
          <w:rFonts w:ascii="Garamond" w:hAnsi="Garamond"/>
          <w:sz w:val="22"/>
          <w:szCs w:val="22"/>
          <w:lang w:val="en-US"/>
        </w:rPr>
        <w:t xml:space="preserve"> wird an der Grenze des </w:t>
      </w:r>
      <w:r w:rsidRPr="00CB2E9F">
        <w:rPr>
          <w:rFonts w:ascii="Garamond" w:hAnsi="Garamond"/>
          <w:i/>
          <w:iCs/>
          <w:sz w:val="22"/>
          <w:szCs w:val="22"/>
          <w:lang w:val="en-US"/>
        </w:rPr>
        <w:t>Vbw</w:t>
      </w:r>
      <w:r w:rsidRPr="00CB2E9F">
        <w:rPr>
          <w:rFonts w:ascii="Garamond" w:hAnsi="Garamond"/>
          <w:sz w:val="22"/>
          <w:szCs w:val="22"/>
          <w:lang w:val="en-US"/>
        </w:rPr>
        <w:t xml:space="preserve"> durch die Zensur zurück</w:t>
      </w:r>
      <w:r w:rsidRPr="00CB2E9F">
        <w:rPr>
          <w:rFonts w:ascii="Garamond" w:hAnsi="Garamond"/>
          <w:sz w:val="22"/>
          <w:szCs w:val="22"/>
          <w:lang w:val="en-US"/>
        </w:rPr>
        <w:softHyphen/>
        <w:t xml:space="preserve">gewiesen, Abkömmlinge desselben können diese Zensur umgehen, sich hoch organisieren, im </w:t>
      </w:r>
      <w:r w:rsidRPr="00CB2E9F">
        <w:rPr>
          <w:rFonts w:ascii="Garamond" w:hAnsi="Garamond"/>
          <w:i/>
          <w:iCs/>
          <w:sz w:val="22"/>
          <w:szCs w:val="22"/>
          <w:lang w:val="en-US"/>
        </w:rPr>
        <w:t>Vbw</w:t>
      </w:r>
      <w:r w:rsidRPr="00CB2E9F">
        <w:rPr>
          <w:rFonts w:ascii="Garamond" w:hAnsi="Garamond"/>
          <w:sz w:val="22"/>
          <w:szCs w:val="22"/>
          <w:lang w:val="en-US"/>
        </w:rPr>
        <w:t xml:space="preserve"> bis zu einer gewissen Intensität der Besetzung heranwachsen, werden aber dann, wenn sie diese überschritten haben und sich dem Bewußtsein aufdrängen wollen, als Abkömmlinge des </w:t>
      </w:r>
      <w:r w:rsidRPr="00CB2E9F">
        <w:rPr>
          <w:rFonts w:ascii="Garamond" w:hAnsi="Garamond"/>
          <w:i/>
          <w:iCs/>
          <w:sz w:val="22"/>
          <w:szCs w:val="22"/>
          <w:lang w:val="en-US"/>
        </w:rPr>
        <w:t>Ubw</w:t>
      </w:r>
      <w:r w:rsidRPr="00CB2E9F">
        <w:rPr>
          <w:rFonts w:ascii="Garamond" w:hAnsi="Garamond"/>
          <w:sz w:val="22"/>
          <w:szCs w:val="22"/>
          <w:lang w:val="en-US"/>
        </w:rPr>
        <w:t xml:space="preserve"> erkannt und an der neuen Zensurgrenze zwischen </w:t>
      </w:r>
      <w:r w:rsidRPr="00CB2E9F">
        <w:rPr>
          <w:rFonts w:ascii="Garamond" w:hAnsi="Garamond"/>
          <w:i/>
          <w:iCs/>
          <w:sz w:val="22"/>
          <w:szCs w:val="22"/>
          <w:lang w:val="en-US"/>
        </w:rPr>
        <w:t>Vbw</w:t>
      </w:r>
      <w:r w:rsidRPr="00CB2E9F">
        <w:rPr>
          <w:rFonts w:ascii="Garamond" w:hAnsi="Garamond"/>
          <w:sz w:val="22"/>
          <w:szCs w:val="22"/>
          <w:lang w:val="en-US"/>
        </w:rPr>
        <w:t xml:space="preserve"> und </w:t>
      </w:r>
      <w:r w:rsidRPr="00CB2E9F">
        <w:rPr>
          <w:rFonts w:ascii="Garamond" w:hAnsi="Garamond"/>
          <w:i/>
          <w:iCs/>
          <w:sz w:val="22"/>
          <w:szCs w:val="22"/>
          <w:lang w:val="en-US"/>
        </w:rPr>
        <w:t>Bw</w:t>
      </w:r>
      <w:r w:rsidRPr="00CB2E9F">
        <w:rPr>
          <w:rFonts w:ascii="Garamond" w:hAnsi="Garamond"/>
          <w:sz w:val="22"/>
          <w:szCs w:val="22"/>
          <w:lang w:val="en-US"/>
        </w:rPr>
        <w:t xml:space="preserve"> neuerlich verdrängt. Die erstere Zensur funktioniert so gegen das </w:t>
      </w:r>
      <w:r w:rsidRPr="00CB2E9F">
        <w:rPr>
          <w:rFonts w:ascii="Garamond" w:hAnsi="Garamond"/>
          <w:i/>
          <w:iCs/>
          <w:sz w:val="22"/>
          <w:szCs w:val="22"/>
          <w:lang w:val="en-US"/>
        </w:rPr>
        <w:t>Ubw</w:t>
      </w:r>
      <w:r w:rsidRPr="00CB2E9F">
        <w:rPr>
          <w:rFonts w:ascii="Garamond" w:hAnsi="Garamond"/>
          <w:sz w:val="22"/>
          <w:szCs w:val="22"/>
          <w:lang w:val="en-US"/>
        </w:rPr>
        <w:t xml:space="preserve"> selbst, die letztere gegen die </w:t>
      </w:r>
      <w:r w:rsidRPr="00CB2E9F">
        <w:rPr>
          <w:rFonts w:ascii="Garamond" w:hAnsi="Garamond"/>
          <w:i/>
          <w:iCs/>
          <w:sz w:val="22"/>
          <w:szCs w:val="22"/>
          <w:lang w:val="en-US"/>
        </w:rPr>
        <w:t>vbw</w:t>
      </w:r>
      <w:r w:rsidRPr="00CB2E9F">
        <w:rPr>
          <w:rFonts w:ascii="Garamond" w:hAnsi="Garamond"/>
          <w:sz w:val="22"/>
          <w:szCs w:val="22"/>
          <w:lang w:val="en-US"/>
        </w:rPr>
        <w:t xml:space="preserve"> Abkömmlinge desselben. Man könnte meinen, die Zensur habe sich im Laufe der individuellen Entwicklung um ein Stück vorgeschoben.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In der psychoanalytischen Kur erbringen wir den unanfechtbaren Beweis für die Existenz der zweiten Zensur, der zwischen den Systemen </w:t>
      </w:r>
      <w:r w:rsidRPr="00CB2E9F">
        <w:rPr>
          <w:rFonts w:ascii="Garamond" w:hAnsi="Garamond"/>
          <w:i/>
          <w:iCs/>
          <w:sz w:val="22"/>
          <w:szCs w:val="22"/>
          <w:lang w:val="en-US"/>
        </w:rPr>
        <w:t>Vbw</w:t>
      </w:r>
      <w:r w:rsidRPr="00CB2E9F">
        <w:rPr>
          <w:rFonts w:ascii="Garamond" w:hAnsi="Garamond"/>
          <w:sz w:val="22"/>
          <w:szCs w:val="22"/>
          <w:lang w:val="en-US"/>
        </w:rPr>
        <w:t xml:space="preserve"> und </w:t>
      </w:r>
      <w:r w:rsidRPr="00CB2E9F">
        <w:rPr>
          <w:rFonts w:ascii="Garamond" w:hAnsi="Garamond"/>
          <w:i/>
          <w:iCs/>
          <w:sz w:val="22"/>
          <w:szCs w:val="22"/>
          <w:lang w:val="en-US"/>
        </w:rPr>
        <w:t>Bw.</w:t>
      </w:r>
      <w:r w:rsidRPr="00CB2E9F">
        <w:rPr>
          <w:rFonts w:ascii="Garamond" w:hAnsi="Garamond"/>
          <w:sz w:val="22"/>
          <w:szCs w:val="22"/>
          <w:lang w:val="en-US"/>
        </w:rPr>
        <w:t xml:space="preserve"> Wir fordern den Kranken auf, reichlich Abkömmlinge des </w:t>
      </w:r>
      <w:r w:rsidRPr="00CB2E9F">
        <w:rPr>
          <w:rFonts w:ascii="Garamond" w:hAnsi="Garamond"/>
          <w:i/>
          <w:iCs/>
          <w:sz w:val="22"/>
          <w:szCs w:val="22"/>
          <w:lang w:val="en-US"/>
        </w:rPr>
        <w:t>Ubw</w:t>
      </w:r>
      <w:r w:rsidRPr="00CB2E9F">
        <w:rPr>
          <w:rFonts w:ascii="Garamond" w:hAnsi="Garamond"/>
          <w:sz w:val="22"/>
          <w:szCs w:val="22"/>
          <w:lang w:val="en-US"/>
        </w:rPr>
        <w:t xml:space="preserve"> zu bilden, verpflichten ihn dazu, die Einwendungen der Zensur gegen das Bewußtwer</w:t>
      </w:r>
      <w:r w:rsidRPr="00CB2E9F">
        <w:rPr>
          <w:rFonts w:ascii="Garamond" w:hAnsi="Garamond"/>
          <w:sz w:val="22"/>
          <w:szCs w:val="22"/>
          <w:lang w:val="en-US"/>
        </w:rPr>
        <w:softHyphen/>
        <w:t xml:space="preserve">den dieser vorbewußten Bildungen zu überwinden, und bahnen uns durch die Besiegung dieser Zensur den Weg zur Aufhebung der Verdrängung, die das Werk der früheren Zensur ist. Fügen wir noch die Bemerkung an, daß die Existenz der Zensur zwischen </w:t>
      </w:r>
      <w:r w:rsidRPr="00CB2E9F">
        <w:rPr>
          <w:rFonts w:ascii="Garamond" w:hAnsi="Garamond"/>
          <w:i/>
          <w:iCs/>
          <w:sz w:val="22"/>
          <w:szCs w:val="22"/>
          <w:lang w:val="en-US"/>
        </w:rPr>
        <w:t>Vbw</w:t>
      </w:r>
      <w:r w:rsidRPr="00CB2E9F">
        <w:rPr>
          <w:rFonts w:ascii="Garamond" w:hAnsi="Garamond"/>
          <w:sz w:val="22"/>
          <w:szCs w:val="22"/>
          <w:lang w:val="en-US"/>
        </w:rPr>
        <w:t xml:space="preserve"> und </w:t>
      </w:r>
      <w:r w:rsidRPr="00CB2E9F">
        <w:rPr>
          <w:rFonts w:ascii="Garamond" w:hAnsi="Garamond"/>
          <w:i/>
          <w:iCs/>
          <w:sz w:val="22"/>
          <w:szCs w:val="22"/>
          <w:lang w:val="en-US"/>
        </w:rPr>
        <w:t>Bw</w:t>
      </w:r>
      <w:r w:rsidRPr="00CB2E9F">
        <w:rPr>
          <w:rFonts w:ascii="Garamond" w:hAnsi="Garamond"/>
          <w:sz w:val="22"/>
          <w:szCs w:val="22"/>
          <w:lang w:val="en-US"/>
        </w:rPr>
        <w:t xml:space="preserve"> uns mahnt, das Bewußtwerden sei kein bloßer Wahrnehmungsakt, sondern wahrscheinlich auch eine </w:t>
      </w:r>
      <w:r w:rsidRPr="00CB2E9F">
        <w:rPr>
          <w:rFonts w:ascii="Garamond" w:hAnsi="Garamond"/>
          <w:i/>
          <w:iCs/>
          <w:sz w:val="22"/>
          <w:szCs w:val="22"/>
          <w:lang w:val="en-US"/>
        </w:rPr>
        <w:t>Über</w:t>
      </w:r>
      <w:r w:rsidRPr="00CB2E9F">
        <w:rPr>
          <w:rFonts w:ascii="Garamond" w:hAnsi="Garamond"/>
          <w:sz w:val="22"/>
          <w:szCs w:val="22"/>
          <w:lang w:val="en-US"/>
        </w:rPr>
        <w:softHyphen/>
      </w:r>
      <w:r w:rsidRPr="00CB2E9F">
        <w:rPr>
          <w:rFonts w:ascii="Garamond" w:hAnsi="Garamond"/>
          <w:i/>
          <w:iCs/>
          <w:sz w:val="22"/>
          <w:szCs w:val="22"/>
          <w:lang w:val="en-US"/>
        </w:rPr>
        <w:t>besetzung</w:t>
      </w:r>
      <w:r w:rsidRPr="00CB2E9F">
        <w:rPr>
          <w:rFonts w:ascii="Garamond" w:hAnsi="Garamond"/>
          <w:sz w:val="22"/>
          <w:szCs w:val="22"/>
          <w:lang w:val="en-US"/>
        </w:rPr>
        <w:t>, ein weiterer Fortschritt der psychischen Organisation.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Wenden wir uns zum Verkehr des </w:t>
      </w:r>
      <w:r w:rsidRPr="00CB2E9F">
        <w:rPr>
          <w:rFonts w:ascii="Garamond" w:hAnsi="Garamond"/>
          <w:i/>
          <w:iCs/>
          <w:sz w:val="22"/>
          <w:szCs w:val="22"/>
          <w:lang w:val="en-US"/>
        </w:rPr>
        <w:t>Ubw</w:t>
      </w:r>
      <w:r w:rsidRPr="00CB2E9F">
        <w:rPr>
          <w:rFonts w:ascii="Garamond" w:hAnsi="Garamond"/>
          <w:sz w:val="22"/>
          <w:szCs w:val="22"/>
          <w:lang w:val="en-US"/>
        </w:rPr>
        <w:t xml:space="preserve"> mit den anderen Systemen, weniger um Neues festzustellen, als um nicht das Sinnfälligste zu übergehen. An den Wurzeln der Triebtätigkeit kommunizieren die Systeme aufs ausgie</w:t>
      </w:r>
      <w:r w:rsidRPr="00CB2E9F">
        <w:rPr>
          <w:rFonts w:ascii="Garamond" w:hAnsi="Garamond"/>
          <w:sz w:val="22"/>
          <w:szCs w:val="22"/>
          <w:lang w:val="en-US"/>
        </w:rPr>
        <w:softHyphen/>
        <w:t xml:space="preserve">bigste miteinander. Ein Anteil der hier erregten Vorgänge geht durch das </w:t>
      </w:r>
      <w:r w:rsidRPr="00CB2E9F">
        <w:rPr>
          <w:rFonts w:ascii="Garamond" w:hAnsi="Garamond"/>
          <w:i/>
          <w:iCs/>
          <w:sz w:val="22"/>
          <w:szCs w:val="22"/>
          <w:lang w:val="en-US"/>
        </w:rPr>
        <w:t>Ubw</w:t>
      </w:r>
      <w:r w:rsidRPr="00CB2E9F">
        <w:rPr>
          <w:rFonts w:ascii="Garamond" w:hAnsi="Garamond"/>
          <w:sz w:val="22"/>
          <w:szCs w:val="22"/>
          <w:lang w:val="en-US"/>
        </w:rPr>
        <w:t xml:space="preserve"> wie durch eine Vorbereitungsstufe durch und erreicht die höchste psychische Ausbildung im </w:t>
      </w:r>
      <w:r w:rsidRPr="00CB2E9F">
        <w:rPr>
          <w:rFonts w:ascii="Garamond" w:hAnsi="Garamond"/>
          <w:i/>
          <w:iCs/>
          <w:sz w:val="22"/>
          <w:szCs w:val="22"/>
          <w:lang w:val="en-US"/>
        </w:rPr>
        <w:t>Bw,</w:t>
      </w:r>
      <w:r w:rsidRPr="00CB2E9F">
        <w:rPr>
          <w:rFonts w:ascii="Garamond" w:hAnsi="Garamond"/>
          <w:sz w:val="22"/>
          <w:szCs w:val="22"/>
          <w:lang w:val="en-US"/>
        </w:rPr>
        <w:t xml:space="preserve"> ein anderer wird als </w:t>
      </w:r>
      <w:r w:rsidRPr="00CB2E9F">
        <w:rPr>
          <w:rFonts w:ascii="Garamond" w:hAnsi="Garamond"/>
          <w:i/>
          <w:iCs/>
          <w:sz w:val="22"/>
          <w:szCs w:val="22"/>
          <w:lang w:val="en-US"/>
        </w:rPr>
        <w:t>Ubw</w:t>
      </w:r>
      <w:r w:rsidRPr="00CB2E9F">
        <w:rPr>
          <w:rFonts w:ascii="Garamond" w:hAnsi="Garamond"/>
          <w:sz w:val="22"/>
          <w:szCs w:val="22"/>
          <w:lang w:val="en-US"/>
        </w:rPr>
        <w:t xml:space="preserve"> zurückgehalten. Das </w:t>
      </w:r>
      <w:r w:rsidRPr="00CB2E9F">
        <w:rPr>
          <w:rFonts w:ascii="Garamond" w:hAnsi="Garamond"/>
          <w:i/>
          <w:iCs/>
          <w:sz w:val="22"/>
          <w:szCs w:val="22"/>
          <w:lang w:val="en-US"/>
        </w:rPr>
        <w:t>Ubw</w:t>
      </w:r>
      <w:r w:rsidRPr="00CB2E9F">
        <w:rPr>
          <w:rFonts w:ascii="Garamond" w:hAnsi="Garamond"/>
          <w:sz w:val="22"/>
          <w:szCs w:val="22"/>
          <w:lang w:val="en-US"/>
        </w:rPr>
        <w:t xml:space="preserve"> wird aber auch von den aus der äußeren Wahrnehmung stammenden Erlebnissen getroffen. Alle Wege von der Wahrnehmung zum </w:t>
      </w:r>
      <w:r w:rsidRPr="00CB2E9F">
        <w:rPr>
          <w:rFonts w:ascii="Garamond" w:hAnsi="Garamond"/>
          <w:i/>
          <w:iCs/>
          <w:sz w:val="22"/>
          <w:szCs w:val="22"/>
          <w:lang w:val="en-US"/>
        </w:rPr>
        <w:t>Ubw</w:t>
      </w:r>
      <w:r w:rsidRPr="00CB2E9F">
        <w:rPr>
          <w:rFonts w:ascii="Garamond" w:hAnsi="Garamond"/>
          <w:sz w:val="22"/>
          <w:szCs w:val="22"/>
          <w:lang w:val="en-US"/>
        </w:rPr>
        <w:t xml:space="preserve"> bleiben in der Norm frei; erst die vom </w:t>
      </w:r>
      <w:r w:rsidRPr="00CB2E9F">
        <w:rPr>
          <w:rFonts w:ascii="Garamond" w:hAnsi="Garamond"/>
          <w:i/>
          <w:iCs/>
          <w:sz w:val="22"/>
          <w:szCs w:val="22"/>
          <w:lang w:val="en-US"/>
        </w:rPr>
        <w:t>Ubw</w:t>
      </w:r>
      <w:r w:rsidRPr="00CB2E9F">
        <w:rPr>
          <w:rFonts w:ascii="Garamond" w:hAnsi="Garamond"/>
          <w:sz w:val="22"/>
          <w:szCs w:val="22"/>
          <w:lang w:val="en-US"/>
        </w:rPr>
        <w:t xml:space="preserve"> weiterführenden Wege unterliegen der Sperrung durch die Verdrängung.</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Es ist sehr bemerkenswert, daß das </w:t>
      </w:r>
      <w:r w:rsidRPr="00CB2E9F">
        <w:rPr>
          <w:rFonts w:ascii="Garamond" w:hAnsi="Garamond"/>
          <w:i/>
          <w:iCs/>
          <w:sz w:val="22"/>
          <w:szCs w:val="22"/>
          <w:lang w:val="en-US"/>
        </w:rPr>
        <w:t>Ubw</w:t>
      </w:r>
      <w:r w:rsidRPr="00CB2E9F">
        <w:rPr>
          <w:rFonts w:ascii="Garamond" w:hAnsi="Garamond"/>
          <w:sz w:val="22"/>
          <w:szCs w:val="22"/>
          <w:lang w:val="en-US"/>
        </w:rPr>
        <w:t xml:space="preserve"> eines Menschen mit Umgehung des </w:t>
      </w:r>
      <w:r w:rsidRPr="00CB2E9F">
        <w:rPr>
          <w:rFonts w:ascii="Garamond" w:hAnsi="Garamond"/>
          <w:i/>
          <w:iCs/>
          <w:sz w:val="22"/>
          <w:szCs w:val="22"/>
          <w:lang w:val="en-US"/>
        </w:rPr>
        <w:t>Bw</w:t>
      </w:r>
      <w:r w:rsidRPr="00CB2E9F">
        <w:rPr>
          <w:rFonts w:ascii="Garamond" w:hAnsi="Garamond"/>
          <w:sz w:val="22"/>
          <w:szCs w:val="22"/>
          <w:lang w:val="en-US"/>
        </w:rPr>
        <w:t xml:space="preserve"> auf das </w:t>
      </w:r>
      <w:r w:rsidRPr="00CB2E9F">
        <w:rPr>
          <w:rFonts w:ascii="Garamond" w:hAnsi="Garamond"/>
          <w:i/>
          <w:iCs/>
          <w:sz w:val="22"/>
          <w:szCs w:val="22"/>
          <w:lang w:val="en-US"/>
        </w:rPr>
        <w:t>Ubw</w:t>
      </w:r>
      <w:r w:rsidRPr="00CB2E9F">
        <w:rPr>
          <w:rFonts w:ascii="Garamond" w:hAnsi="Garamond"/>
          <w:sz w:val="22"/>
          <w:szCs w:val="22"/>
          <w:lang w:val="en-US"/>
        </w:rPr>
        <w:t xml:space="preserve"> eines anderen reagieren kann. Die Tatsache verdient eingehendere Untersuchung, besonders nach der Richtung, ob sich vorbe</w:t>
      </w:r>
      <w:r w:rsidRPr="00CB2E9F">
        <w:rPr>
          <w:rFonts w:ascii="Garamond" w:hAnsi="Garamond"/>
          <w:sz w:val="22"/>
          <w:szCs w:val="22"/>
          <w:lang w:val="en-US"/>
        </w:rPr>
        <w:softHyphen/>
        <w:t>wußte Tätigkeit dabei ausschließen läßt, ist aber als Beschreibung unbestreitbar.</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Der Inhalt des Systems </w:t>
      </w:r>
      <w:r w:rsidRPr="00CB2E9F">
        <w:rPr>
          <w:rFonts w:ascii="Garamond" w:hAnsi="Garamond"/>
          <w:i/>
          <w:iCs/>
          <w:sz w:val="22"/>
          <w:szCs w:val="22"/>
          <w:lang w:val="en-US"/>
        </w:rPr>
        <w:t>Vbw</w:t>
      </w:r>
      <w:r w:rsidRPr="00CB2E9F">
        <w:rPr>
          <w:rFonts w:ascii="Garamond" w:hAnsi="Garamond"/>
          <w:sz w:val="22"/>
          <w:szCs w:val="22"/>
          <w:lang w:val="en-US"/>
        </w:rPr>
        <w:t xml:space="preserve"> (oder </w:t>
      </w:r>
      <w:r w:rsidRPr="00CB2E9F">
        <w:rPr>
          <w:rFonts w:ascii="Garamond" w:hAnsi="Garamond"/>
          <w:i/>
          <w:iCs/>
          <w:sz w:val="22"/>
          <w:szCs w:val="22"/>
          <w:lang w:val="en-US"/>
        </w:rPr>
        <w:t>Bw)</w:t>
      </w:r>
      <w:r w:rsidRPr="00CB2E9F">
        <w:rPr>
          <w:rFonts w:ascii="Garamond" w:hAnsi="Garamond"/>
          <w:sz w:val="22"/>
          <w:szCs w:val="22"/>
          <w:lang w:val="en-US"/>
        </w:rPr>
        <w:t xml:space="preserve"> entstammt zu einem Teile dem Triebleben (durch Vermittlung des </w:t>
      </w:r>
      <w:r w:rsidRPr="00CB2E9F">
        <w:rPr>
          <w:rFonts w:ascii="Garamond" w:hAnsi="Garamond"/>
          <w:i/>
          <w:iCs/>
          <w:sz w:val="22"/>
          <w:szCs w:val="22"/>
          <w:lang w:val="en-US"/>
        </w:rPr>
        <w:t>Ubw),</w:t>
      </w:r>
      <w:r w:rsidRPr="00CB2E9F">
        <w:rPr>
          <w:rFonts w:ascii="Garamond" w:hAnsi="Garamond"/>
          <w:sz w:val="22"/>
          <w:szCs w:val="22"/>
          <w:lang w:val="en-US"/>
        </w:rPr>
        <w:t xml:space="preserve"> zum anderen Teile der Wahrneh</w:t>
      </w:r>
      <w:r w:rsidRPr="00CB2E9F">
        <w:rPr>
          <w:rFonts w:ascii="Garamond" w:hAnsi="Garamond"/>
          <w:sz w:val="22"/>
          <w:szCs w:val="22"/>
          <w:lang w:val="en-US"/>
        </w:rPr>
        <w:softHyphen/>
        <w:t xml:space="preserve">mung. Es ist zweifelhaft, inwieweit die Vorgänge dieses Systems eine direkte Einwirkung auf das </w:t>
      </w:r>
      <w:r w:rsidRPr="00CB2E9F">
        <w:rPr>
          <w:rFonts w:ascii="Garamond" w:hAnsi="Garamond"/>
          <w:i/>
          <w:iCs/>
          <w:sz w:val="22"/>
          <w:szCs w:val="22"/>
          <w:lang w:val="en-US"/>
        </w:rPr>
        <w:t>Ubw</w:t>
      </w:r>
      <w:r w:rsidRPr="00CB2E9F">
        <w:rPr>
          <w:rFonts w:ascii="Garamond" w:hAnsi="Garamond"/>
          <w:sz w:val="22"/>
          <w:szCs w:val="22"/>
          <w:lang w:val="en-US"/>
        </w:rPr>
        <w:t xml:space="preserve"> äußern können; die Erforschung pathologischer Fälle zeigt oft eine kaum glaubliche Selbständigkeit und Unbeeinflußbarkeit des </w:t>
      </w:r>
      <w:r w:rsidRPr="00CB2E9F">
        <w:rPr>
          <w:rFonts w:ascii="Garamond" w:hAnsi="Garamond"/>
          <w:i/>
          <w:iCs/>
          <w:sz w:val="22"/>
          <w:szCs w:val="22"/>
          <w:lang w:val="en-US"/>
        </w:rPr>
        <w:t>Ubw.</w:t>
      </w:r>
      <w:r w:rsidRPr="00CB2E9F">
        <w:rPr>
          <w:rFonts w:ascii="Garamond" w:hAnsi="Garamond"/>
          <w:sz w:val="22"/>
          <w:szCs w:val="22"/>
          <w:lang w:val="en-US"/>
        </w:rPr>
        <w:t xml:space="preserve"> Ein völliges Auseinandergehen der Strebungen, ein absoluter Zerfall der beiden Systeme, ist überhaupt die Charakteristik des Krankseins. Allein die psychoanalytische Kur ist auf die Beeinflussung des </w:t>
      </w:r>
      <w:r w:rsidRPr="00CB2E9F">
        <w:rPr>
          <w:rFonts w:ascii="Garamond" w:hAnsi="Garamond"/>
          <w:i/>
          <w:iCs/>
          <w:sz w:val="22"/>
          <w:szCs w:val="22"/>
          <w:lang w:val="en-US"/>
        </w:rPr>
        <w:t>Ubw</w:t>
      </w:r>
      <w:r w:rsidRPr="00CB2E9F">
        <w:rPr>
          <w:rFonts w:ascii="Garamond" w:hAnsi="Garamond"/>
          <w:sz w:val="22"/>
          <w:szCs w:val="22"/>
          <w:lang w:val="en-US"/>
        </w:rPr>
        <w:t xml:space="preserve"> vom </w:t>
      </w:r>
      <w:r w:rsidRPr="00CB2E9F">
        <w:rPr>
          <w:rFonts w:ascii="Garamond" w:hAnsi="Garamond"/>
          <w:i/>
          <w:iCs/>
          <w:sz w:val="22"/>
          <w:szCs w:val="22"/>
          <w:lang w:val="en-US"/>
        </w:rPr>
        <w:t>Bw</w:t>
      </w:r>
      <w:r w:rsidRPr="00CB2E9F">
        <w:rPr>
          <w:rFonts w:ascii="Garamond" w:hAnsi="Garamond"/>
          <w:sz w:val="22"/>
          <w:szCs w:val="22"/>
          <w:lang w:val="en-US"/>
        </w:rPr>
        <w:t xml:space="preserve"> her gebaut und zeigt jedenfalls, daß solche, wiewohl mühsam, nicht unmöglich ist. Die zwischen beiden Systemen vermittelnden Abkömmlinge des </w:t>
      </w:r>
      <w:r w:rsidRPr="00CB2E9F">
        <w:rPr>
          <w:rFonts w:ascii="Garamond" w:hAnsi="Garamond"/>
          <w:i/>
          <w:iCs/>
          <w:sz w:val="22"/>
          <w:szCs w:val="22"/>
          <w:lang w:val="en-US"/>
        </w:rPr>
        <w:t>Ubw</w:t>
      </w:r>
      <w:r w:rsidRPr="00CB2E9F">
        <w:rPr>
          <w:rFonts w:ascii="Garamond" w:hAnsi="Garamond"/>
          <w:sz w:val="22"/>
          <w:szCs w:val="22"/>
          <w:lang w:val="en-US"/>
        </w:rPr>
        <w:t xml:space="preserve"> bahnen uns, wie schon erwähnt, den Weg zu dieser Leistung. Wir </w:t>
      </w:r>
      <w:r w:rsidRPr="00CB2E9F">
        <w:rPr>
          <w:rFonts w:ascii="Garamond" w:hAnsi="Garamond"/>
          <w:sz w:val="22"/>
          <w:szCs w:val="22"/>
          <w:lang w:val="en-US"/>
        </w:rPr>
        <w:lastRenderedPageBreak/>
        <w:t xml:space="preserve">dürfen aber wohl annehmen, daß die spontan erfolgende Veränderung des </w:t>
      </w:r>
      <w:r w:rsidRPr="00CB2E9F">
        <w:rPr>
          <w:rFonts w:ascii="Garamond" w:hAnsi="Garamond"/>
          <w:i/>
          <w:iCs/>
          <w:sz w:val="22"/>
          <w:szCs w:val="22"/>
          <w:lang w:val="en-US"/>
        </w:rPr>
        <w:t>Ubw</w:t>
      </w:r>
      <w:r w:rsidRPr="00CB2E9F">
        <w:rPr>
          <w:rFonts w:ascii="Garamond" w:hAnsi="Garamond"/>
          <w:sz w:val="22"/>
          <w:szCs w:val="22"/>
          <w:lang w:val="en-US"/>
        </w:rPr>
        <w:t xml:space="preserve"> von Seiten des </w:t>
      </w:r>
      <w:r w:rsidRPr="00CB2E9F">
        <w:rPr>
          <w:rFonts w:ascii="Garamond" w:hAnsi="Garamond"/>
          <w:i/>
          <w:iCs/>
          <w:sz w:val="22"/>
          <w:szCs w:val="22"/>
          <w:lang w:val="en-US"/>
        </w:rPr>
        <w:t>Bw</w:t>
      </w:r>
      <w:r w:rsidRPr="00CB2E9F">
        <w:rPr>
          <w:rFonts w:ascii="Garamond" w:hAnsi="Garamond"/>
          <w:sz w:val="22"/>
          <w:szCs w:val="22"/>
          <w:lang w:val="en-US"/>
        </w:rPr>
        <w:t xml:space="preserve"> ein schwieriger und langsam verlaufender Prozeß ist.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Eine Kooperation zwischen einer vorbewußten und einer unbewußten, selbst intensiv verdrängten Regung kann zustande kommen, wenn es die Situation ergibt, daß die unbewußte Regung gleichsinnig mit einer der herrschenden Strebungen wirken kann. Die Verdrängung wird für diesen Fall aufgehoben, die verdrängte Aktivität als Verstärkung der vom Ich beabsichtigten zugelassen. Das Unbewußte wird für diese eine Konstellation ichgerecht, ohne daß sonst an seiner Verdrängung etwas abgeändert würde. Der Erfolg des </w:t>
      </w:r>
      <w:r w:rsidRPr="00CB2E9F">
        <w:rPr>
          <w:rFonts w:ascii="Garamond" w:hAnsi="Garamond"/>
          <w:i/>
          <w:iCs/>
          <w:sz w:val="22"/>
          <w:szCs w:val="22"/>
          <w:lang w:val="en-US"/>
        </w:rPr>
        <w:t>Ubw</w:t>
      </w:r>
      <w:r w:rsidRPr="00CB2E9F">
        <w:rPr>
          <w:rFonts w:ascii="Garamond" w:hAnsi="Garamond"/>
          <w:sz w:val="22"/>
          <w:szCs w:val="22"/>
          <w:lang w:val="en-US"/>
        </w:rPr>
        <w:t xml:space="preserve"> ist bei dieser Kooperation unverkennbar; die verstärkten Strebungen benehmen sich doch anders als die normalen, sie befähigen zu besonders vollkommener Leistung, und sie zeigen gegen Widersprüche eine ähnliche Resistenz wie etwa die Zwangssymptome.</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Den Inhalt des </w:t>
      </w:r>
      <w:r w:rsidRPr="00CB2E9F">
        <w:rPr>
          <w:rFonts w:ascii="Garamond" w:hAnsi="Garamond"/>
          <w:i/>
          <w:iCs/>
          <w:sz w:val="22"/>
          <w:szCs w:val="22"/>
          <w:lang w:val="en-US"/>
        </w:rPr>
        <w:t>Ubw</w:t>
      </w:r>
      <w:r w:rsidRPr="00CB2E9F">
        <w:rPr>
          <w:rFonts w:ascii="Garamond" w:hAnsi="Garamond"/>
          <w:sz w:val="22"/>
          <w:szCs w:val="22"/>
          <w:lang w:val="en-US"/>
        </w:rPr>
        <w:t xml:space="preserve"> kann man einer psychischen Urbevölkerung verglei</w:t>
      </w:r>
      <w:r w:rsidRPr="00CB2E9F">
        <w:rPr>
          <w:rFonts w:ascii="Garamond" w:hAnsi="Garamond"/>
          <w:sz w:val="22"/>
          <w:szCs w:val="22"/>
          <w:lang w:val="en-US"/>
        </w:rPr>
        <w:softHyphen/>
        <w:t xml:space="preserve">chen. Wenn es beim Menschen ererbte psychische Bildungen, etwas dem Instinkt der Tiere Analoges gibt, so macht dies den Kern des </w:t>
      </w:r>
      <w:r w:rsidRPr="00CB2E9F">
        <w:rPr>
          <w:rFonts w:ascii="Garamond" w:hAnsi="Garamond"/>
          <w:i/>
          <w:iCs/>
          <w:sz w:val="22"/>
          <w:szCs w:val="22"/>
          <w:lang w:val="en-US"/>
        </w:rPr>
        <w:t>Ubw</w:t>
      </w:r>
      <w:r w:rsidRPr="00CB2E9F">
        <w:rPr>
          <w:rFonts w:ascii="Garamond" w:hAnsi="Garamond"/>
          <w:sz w:val="22"/>
          <w:szCs w:val="22"/>
          <w:lang w:val="en-US"/>
        </w:rPr>
        <w:t xml:space="preserve"> aus. Dazu kommt später das während der Kindheitsentwicklung als unbrauchbar Besei</w:t>
      </w:r>
      <w:r w:rsidRPr="00CB2E9F">
        <w:rPr>
          <w:rFonts w:ascii="Garamond" w:hAnsi="Garamond"/>
          <w:sz w:val="22"/>
          <w:szCs w:val="22"/>
          <w:lang w:val="en-US"/>
        </w:rPr>
        <w:softHyphen/>
        <w:t>tigte hinzu, was seiner Natur nach von dem Ererbten nicht verschieden zu sein braucht. Eine scharfe und endgültige Scheidung des Inhaltes der beiden Sysfeme stellt sich in der Regel erst mit dem Zeitpunkte der Pubertät her.</w:t>
      </w:r>
    </w:p>
    <w:p w:rsidR="005E1D01" w:rsidRDefault="005E1D01">
      <w:pPr>
        <w:rPr>
          <w:rFonts w:ascii="Garamond" w:eastAsiaTheme="majorEastAsia" w:hAnsi="Garamond" w:cstheme="majorBidi"/>
          <w:b/>
          <w:bCs/>
          <w:color w:val="4F81BD" w:themeColor="accent1"/>
          <w:lang w:val="en-US"/>
        </w:rPr>
      </w:pPr>
      <w:r>
        <w:rPr>
          <w:rFonts w:ascii="Garamond" w:hAnsi="Garamond"/>
          <w:lang w:val="en-US"/>
        </w:rPr>
        <w:br w:type="page"/>
      </w:r>
    </w:p>
    <w:p w:rsidR="00CB2E9F" w:rsidRPr="00CB2E9F" w:rsidRDefault="00B437A1" w:rsidP="00130855">
      <w:pPr>
        <w:pStyle w:val="Titre3"/>
        <w:rPr>
          <w:rFonts w:ascii="Garamond" w:hAnsi="Garamond"/>
          <w:lang w:val="en-US"/>
        </w:rPr>
      </w:pPr>
      <w:hyperlink w:anchor="UnbInhalt" w:history="1">
        <w:r w:rsidR="00CB2E9F" w:rsidRPr="005E1D01">
          <w:rPr>
            <w:rStyle w:val="Lienhypertexte"/>
            <w:rFonts w:ascii="Garamond" w:hAnsi="Garamond"/>
            <w:lang w:val="en-US"/>
          </w:rPr>
          <w:t>VII. Di</w:t>
        </w:r>
        <w:bookmarkStart w:id="10" w:name="Unb7"/>
        <w:bookmarkEnd w:id="10"/>
        <w:r w:rsidR="00CB2E9F" w:rsidRPr="005E1D01">
          <w:rPr>
            <w:rStyle w:val="Lienhypertexte"/>
            <w:rFonts w:ascii="Garamond" w:hAnsi="Garamond"/>
            <w:lang w:val="en-US"/>
          </w:rPr>
          <w:t>e Agnoszierung des Unbewussten</w:t>
        </w:r>
      </w:hyperlink>
    </w:p>
    <w:p w:rsidR="00CB2E9F" w:rsidRPr="00CB2E9F" w:rsidRDefault="00CB2E9F" w:rsidP="00130855">
      <w:pPr>
        <w:rPr>
          <w:rFonts w:ascii="Garamond" w:hAnsi="Garamond"/>
          <w:lang w:val="en-US"/>
        </w:rPr>
      </w:pP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Soviel, als wir in den vorstehenden Erörterungen zusammengetragen haben, läßt sich etwa über das </w:t>
      </w:r>
      <w:r w:rsidRPr="00CB2E9F">
        <w:rPr>
          <w:rFonts w:ascii="Garamond" w:hAnsi="Garamond"/>
          <w:i/>
          <w:iCs/>
          <w:sz w:val="22"/>
          <w:szCs w:val="22"/>
          <w:lang w:val="en-US"/>
        </w:rPr>
        <w:t>Ubw</w:t>
      </w:r>
      <w:r w:rsidRPr="00CB2E9F">
        <w:rPr>
          <w:rFonts w:ascii="Garamond" w:hAnsi="Garamond"/>
          <w:sz w:val="22"/>
          <w:szCs w:val="22"/>
          <w:lang w:val="en-US"/>
        </w:rPr>
        <w:t xml:space="preserve"> aussagen, solange man nur aus der Kenntnis des Traumlebens und der Übertragungsneurosen schöpft. Es ist gewiß nicht viel, macht stellenweise den Eindruck des Ungeklärten und Verwirrenden und läßt vor allem die Möglichkeit vermissen, das </w:t>
      </w:r>
      <w:r w:rsidRPr="00CB2E9F">
        <w:rPr>
          <w:rFonts w:ascii="Garamond" w:hAnsi="Garamond"/>
          <w:i/>
          <w:iCs/>
          <w:sz w:val="22"/>
          <w:szCs w:val="22"/>
          <w:lang w:val="en-US"/>
        </w:rPr>
        <w:t>Ubw</w:t>
      </w:r>
      <w:r w:rsidRPr="00CB2E9F">
        <w:rPr>
          <w:rFonts w:ascii="Garamond" w:hAnsi="Garamond"/>
          <w:sz w:val="22"/>
          <w:szCs w:val="22"/>
          <w:lang w:val="en-US"/>
        </w:rPr>
        <w:t xml:space="preserve"> an einen bereits bekannten Zusammenhang anzuordnen oder es in ihn einzureihen. Erst die Analyse einer der Affektionen, die wir narzißtische Psychoneurosen heißen, verspricht uns Auffassungen zu liefern, durch welche uns das rätselvolle </w:t>
      </w:r>
      <w:r w:rsidRPr="00CB2E9F">
        <w:rPr>
          <w:rFonts w:ascii="Garamond" w:hAnsi="Garamond"/>
          <w:i/>
          <w:iCs/>
          <w:sz w:val="22"/>
          <w:szCs w:val="22"/>
          <w:lang w:val="en-US"/>
        </w:rPr>
        <w:t>Ubw</w:t>
      </w:r>
      <w:r w:rsidRPr="00CB2E9F">
        <w:rPr>
          <w:rFonts w:ascii="Garamond" w:hAnsi="Garamond"/>
          <w:sz w:val="22"/>
          <w:szCs w:val="22"/>
          <w:lang w:val="en-US"/>
        </w:rPr>
        <w:t xml:space="preserve"> nähergerückt und gleichsam greifbar gemacht wird.</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Seit einer Arbeit von Abraham (1908), welche der gewissenhafte Autor auf meine Anregung zurückgeführt hat, versuchen wir die Dementia praecox Kraepelins (Schizophrenie Bleulers) durch ihr Verhalten zum Gegensatz von Ich und Objekt zu charakterisieren. Bei den Übertragungsneurosen (Angst- und Konversionshysterie, Zwangsneurose) lag nichts vor, was diesen Gegensatz in den Vordergrund gerückt hätte. Man wußte zwar, daß die Versagung des Objekts den Ausbruch der Neurose herbeiführt und daß die Neurose den Verzicht auf das reale Objekt involviert, auch daß die dem realen Objekt entzogene Libido auf ein phantasiertes Objekt und von da aus auf ein verdrängtes zurückgeht (Introversion)</w:t>
      </w:r>
      <w:r w:rsidRPr="00CB2E9F">
        <w:rPr>
          <w:rFonts w:ascii="Garamond" w:hAnsi="Garamond"/>
          <w:i/>
          <w:iCs/>
          <w:sz w:val="22"/>
          <w:szCs w:val="22"/>
          <w:lang w:val="en-US"/>
        </w:rPr>
        <w:t>.</w:t>
      </w:r>
      <w:r w:rsidRPr="00CB2E9F">
        <w:rPr>
          <w:rFonts w:ascii="Garamond" w:hAnsi="Garamond"/>
          <w:i/>
          <w:iCs/>
          <w:sz w:val="22"/>
          <w:szCs w:val="22"/>
          <w:vertAlign w:val="superscript"/>
          <w:lang w:val="en-US"/>
        </w:rPr>
        <w:t>1)</w:t>
      </w:r>
      <w:r w:rsidRPr="00CB2E9F">
        <w:rPr>
          <w:rFonts w:ascii="Garamond" w:hAnsi="Garamond"/>
          <w:i/>
          <w:iCs/>
          <w:sz w:val="22"/>
          <w:szCs w:val="22"/>
          <w:lang w:val="en-US"/>
        </w:rPr>
        <w:t xml:space="preserve"> </w:t>
      </w:r>
      <w:r w:rsidRPr="00CB2E9F">
        <w:rPr>
          <w:rFonts w:ascii="Garamond" w:hAnsi="Garamond"/>
          <w:sz w:val="22"/>
          <w:szCs w:val="22"/>
          <w:lang w:val="en-US"/>
        </w:rPr>
        <w:t xml:space="preserve">Aber die Objektbesetzung überhaupt wird bei ihnen mit großer Energie festgehalten, und die feinere Untersuchung des Verdrängungsvorganges hat uns anzunehmen genötigt, daß die Objektbesetzung im System </w:t>
      </w:r>
      <w:r w:rsidRPr="00CB2E9F">
        <w:rPr>
          <w:rFonts w:ascii="Garamond" w:hAnsi="Garamond"/>
          <w:i/>
          <w:iCs/>
          <w:sz w:val="22"/>
          <w:szCs w:val="22"/>
          <w:lang w:val="en-US"/>
        </w:rPr>
        <w:t>Ubw</w:t>
      </w:r>
      <w:r w:rsidRPr="00CB2E9F">
        <w:rPr>
          <w:rFonts w:ascii="Garamond" w:hAnsi="Garamond"/>
          <w:sz w:val="22"/>
          <w:szCs w:val="22"/>
          <w:lang w:val="en-US"/>
        </w:rPr>
        <w:t xml:space="preserve"> trotz der Verdrängung — vielmehr infolge derselben — fortbesteht. [Vgl. S. 110.] Die Fähigkeit zur Übertragung, welche wir bei diesen Affektionen therapeutisch ausnützen, setzt ja die ungestörte Objektbesetzung voraus.</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Bei der Schizophrenie hat sich uns dagegen die Annahme aufgedrängt, daß nach dem Prozesse der Verdrängung die abgezogene Libido kein neues Objekt suche, sondern ins Ich zurücktrete, daß also hier die Objektbesetzungen aufgegeben und ein primitiver objektloser Zustand von Narzißmus wiederhergestellt werde. Die Unfähigkeit dieser Patienten zur Übertragung — soweit der Krankheitsprozeß reicht —, ihre daraus folgende therapeutische Unzugänglichkeit, die ihnen eigentüm-</w:t>
      </w:r>
    </w:p>
    <w:p w:rsidR="00CB2E9F" w:rsidRPr="00CB2E9F"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1)</w:t>
      </w:r>
      <w:r w:rsidRPr="00CB2E9F">
        <w:rPr>
          <w:rFonts w:ascii="Garamond" w:hAnsi="Garamond"/>
          <w:sz w:val="22"/>
          <w:szCs w:val="22"/>
          <w:lang w:val="en-US"/>
        </w:rPr>
        <w:t xml:space="preserve"> [Der Prozeß wird im einzelnen in Abschnitt </w:t>
      </w:r>
      <w:r w:rsidRPr="00CB2E9F">
        <w:rPr>
          <w:rFonts w:ascii="Garamond" w:hAnsi="Garamond"/>
          <w:i/>
          <w:iCs/>
          <w:sz w:val="22"/>
          <w:szCs w:val="22"/>
          <w:lang w:val="en-US"/>
        </w:rPr>
        <w:t>a)</w:t>
      </w:r>
      <w:r w:rsidRPr="00CB2E9F">
        <w:rPr>
          <w:rFonts w:ascii="Garamond" w:hAnsi="Garamond"/>
          <w:sz w:val="22"/>
          <w:szCs w:val="22"/>
          <w:lang w:val="en-US"/>
        </w:rPr>
        <w:t xml:space="preserve"> von Freuds Arbeit ›Über neurotische Frkrankungstypen‹ (1912 c), </w:t>
      </w:r>
      <w:r w:rsidRPr="00CB2E9F">
        <w:rPr>
          <w:rFonts w:ascii="Garamond" w:hAnsi="Garamond"/>
          <w:i/>
          <w:iCs/>
          <w:sz w:val="22"/>
          <w:szCs w:val="22"/>
          <w:lang w:val="en-US"/>
        </w:rPr>
        <w:t>Studienausgabe,</w:t>
      </w:r>
      <w:r w:rsidRPr="00CB2E9F">
        <w:rPr>
          <w:rFonts w:ascii="Garamond" w:hAnsi="Garamond"/>
          <w:sz w:val="22"/>
          <w:szCs w:val="22"/>
          <w:lang w:val="en-US"/>
        </w:rPr>
        <w:t xml:space="preserve"> Bd. 6, S. 219-21, beschrieben.]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liehe Ablehnung der Außenwelt, das Auftreten von Zeichen einer Überbesetzung des eigenen Ichs, der Ausgang in völlige Apathie, all diese klinischen Charaktere scheinen zu der Annahme eines Aufgebens der Objektbesetzungen trefflich zu stimmen. Von Seiten des Verhältnisses der beiden psychischen Systeme wurde allen Beobachtern auffällig, daß bei der Schizophrenie vieles als bewußt geäußert wird, was wir bei den Übertragungsneurosen erst durch Psychoanalyse im </w:t>
      </w:r>
      <w:r w:rsidRPr="00CB2E9F">
        <w:rPr>
          <w:rFonts w:ascii="Garamond" w:hAnsi="Garamond"/>
          <w:i/>
          <w:iCs/>
          <w:sz w:val="22"/>
          <w:szCs w:val="22"/>
          <w:lang w:val="en-US"/>
        </w:rPr>
        <w:t>Ubw</w:t>
      </w:r>
      <w:r w:rsidRPr="00CB2E9F">
        <w:rPr>
          <w:rFonts w:ascii="Garamond" w:hAnsi="Garamond"/>
          <w:sz w:val="22"/>
          <w:szCs w:val="22"/>
          <w:lang w:val="en-US"/>
        </w:rPr>
        <w:t xml:space="preserve"> nachweisen müssen. Aber es gelang zunächst nicht, zwischen der Ich-Objektbeziehung und den Bewußtseinsrelationen eine verständliche Verknüpfung herzustellen.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Das Gesuchte scheint sich auf folgendem unvermuteten Wege zu ergeben. Bei den Schizophrenen beobachtet man, zumal in den so lehrreichen Anfangsstadien, eine Anzahl von Veränderungen der </w:t>
      </w:r>
      <w:r w:rsidRPr="00CB2E9F">
        <w:rPr>
          <w:rFonts w:ascii="Garamond" w:hAnsi="Garamond"/>
          <w:i/>
          <w:iCs/>
          <w:sz w:val="22"/>
          <w:szCs w:val="22"/>
          <w:lang w:val="en-US"/>
        </w:rPr>
        <w:t>Sprache,</w:t>
      </w:r>
      <w:r w:rsidRPr="00CB2E9F">
        <w:rPr>
          <w:rFonts w:ascii="Garamond" w:hAnsi="Garamond"/>
          <w:sz w:val="22"/>
          <w:szCs w:val="22"/>
          <w:lang w:val="en-US"/>
        </w:rPr>
        <w:t xml:space="preserve"> von denen einige es verdienen, unter einem bestimmten Gesichtspunkt betrachtet zu werden. Die Ausdrucksweise wird oft Gegenstand einer besonderen Sorgfalt, sie wird »gewählt«, »geziert«. Die Sätze erfahren eine besondere Desorganisation des Aufbaues, durch welche sie uns unverständlich werden, so daß wir die Äußerungen der Kranken für unsinnig halten. Im Inhalt dieser Äußerungen wird oft eine Beziehung zu Körperorganen oder Körperinnervationen in den Vordergrund gerückt. Dem kann man anreihen, daß in solchen Symptomen der Schizophrenie, welche hysterischen oder zwangsneurotischen Ersatzbildungen gleichen, doch die Beziehung zwischen dem Ersatz und dem Verdrängten Eigentümlichkeiten zeigt, welche uns bei den beiden genannten Neurosen befremden würden.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Herr Dr. V. Tausk (Wien) hat mir einige seiner Beobachtungen bei beginnender Schizophrenie zur Verfügung gestellt, die durch den Vorzug ausgezeichnet sind, daß die Kranke selbst noch die Aufklärung ihrer Reden geben wollte'. Ich will nun an zweien seiner Beispiele zeigen, welche Auffassung ich zu </w:t>
      </w:r>
      <w:r w:rsidRPr="00CB2E9F">
        <w:rPr>
          <w:rFonts w:ascii="Garamond" w:hAnsi="Garamond"/>
          <w:sz w:val="22"/>
          <w:szCs w:val="22"/>
          <w:lang w:val="en-US"/>
        </w:rPr>
        <w:lastRenderedPageBreak/>
        <w:t>vertreten beabsichtige, zweifle übrigens nicht daran, daß es jedem Beobachter leicht sein würde, solches Material in Fülle vorzubringen.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Eine der Kranken Tausks, ein Mädchen, das nach einem Zwist mit ihrem Geliebten auf die Klinik gebracht wurde, klagt:</w:t>
      </w:r>
    </w:p>
    <w:p w:rsidR="00CB2E9F" w:rsidRPr="00CB2E9F" w:rsidRDefault="00CB2E9F" w:rsidP="00130855">
      <w:pPr>
        <w:pStyle w:val="NormalWeb"/>
        <w:rPr>
          <w:rFonts w:ascii="Garamond" w:hAnsi="Garamond"/>
          <w:sz w:val="22"/>
          <w:szCs w:val="22"/>
          <w:lang w:val="en-US"/>
        </w:rPr>
      </w:pPr>
      <w:r w:rsidRPr="00CB2E9F">
        <w:rPr>
          <w:rFonts w:ascii="Garamond" w:hAnsi="Garamond"/>
          <w:i/>
          <w:iCs/>
          <w:sz w:val="22"/>
          <w:szCs w:val="22"/>
          <w:lang w:val="en-US"/>
        </w:rPr>
        <w:t>Die Augen sind nicht richtig, sie sind verdreht.</w:t>
      </w:r>
      <w:r w:rsidRPr="00CB2E9F">
        <w:rPr>
          <w:rFonts w:ascii="Garamond" w:hAnsi="Garamond"/>
          <w:sz w:val="22"/>
          <w:szCs w:val="22"/>
          <w:lang w:val="en-US"/>
        </w:rPr>
        <w:t xml:space="preserve"> Das erläutert sie selbst, indem sie in geordneter Sprache eine Reihe von Vorwürfen gegen den Geliebten vorbringt. »Sie kann ihn gar nicht verstehen, er sieht jedes-</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[Eine Arbeit, in der gleichfalls auf diese Patientin Bezug genommen wird, wurde später von Tausk (1919) veröffentlicht.]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mal anders aus, er ist ein Heuchler, ein </w:t>
      </w:r>
      <w:r w:rsidRPr="00CB2E9F">
        <w:rPr>
          <w:rFonts w:ascii="Garamond" w:hAnsi="Garamond"/>
          <w:i/>
          <w:iCs/>
          <w:sz w:val="22"/>
          <w:szCs w:val="22"/>
          <w:lang w:val="en-US"/>
        </w:rPr>
        <w:t>Augenverdreher,</w:t>
      </w:r>
      <w:r w:rsidRPr="00CB2E9F">
        <w:rPr>
          <w:rFonts w:ascii="Garamond" w:hAnsi="Garamond"/>
          <w:sz w:val="22"/>
          <w:szCs w:val="22"/>
          <w:lang w:val="en-US"/>
        </w:rPr>
        <w:t xml:space="preserve"> er hat ihr die Augen verdreht, jetzt hat sie verdrehte Augen, es sind nicht mehr ihre Augen, sie sieht die Welt jetzt mit anderen Augen.« Die Äußerungen der Kranken zu ihrer unverständlichen Rede haben den Wert einer Analyse, da sie deren Äquivalent in allgemein verständlicher Ausdrucksweise enthalten; sie geben gleichzeitig Aufschluß über Bedeutung und über Genese der schizophrenen Wortbildung. In Übereinstimmung mit Tausk hebe ich aus diesem Beispiel hervor, daß die Beziehung zum Organ (zum Auge) sich zur Vertretung des ganzen Inhaltes [ihrer Gedanken] aufgeworfen hat. Die schizophrene Rede hat hier einen hypochondrischen Zug, sie ist </w:t>
      </w:r>
      <w:r w:rsidRPr="00CB2E9F">
        <w:rPr>
          <w:rFonts w:ascii="Garamond" w:hAnsi="Garamond"/>
          <w:i/>
          <w:iCs/>
          <w:sz w:val="22"/>
          <w:szCs w:val="22"/>
          <w:lang w:val="en-US"/>
        </w:rPr>
        <w:t>Organsprache</w:t>
      </w:r>
      <w:r w:rsidRPr="00CB2E9F">
        <w:rPr>
          <w:rFonts w:ascii="Garamond" w:hAnsi="Garamond"/>
          <w:sz w:val="22"/>
          <w:szCs w:val="22"/>
          <w:lang w:val="en-US"/>
        </w:rPr>
        <w:t xml:space="preserve"> geworden</w:t>
      </w:r>
      <w:r w:rsidRPr="00CB2E9F">
        <w:rPr>
          <w:rFonts w:ascii="Garamond" w:hAnsi="Garamond"/>
          <w:i/>
          <w:iCs/>
          <w:sz w:val="22"/>
          <w:szCs w:val="22"/>
          <w:lang w:val="en-US"/>
        </w:rPr>
        <w:t>.</w:t>
      </w:r>
      <w:r w:rsidRPr="00CB2E9F">
        <w:rPr>
          <w:rFonts w:ascii="Garamond" w:hAnsi="Garamond"/>
          <w:i/>
          <w:iCs/>
          <w:sz w:val="22"/>
          <w:szCs w:val="22"/>
          <w:vertAlign w:val="superscript"/>
          <w:lang w:val="en-US"/>
        </w:rPr>
        <w:t>1)</w:t>
      </w:r>
      <w:r w:rsidRPr="00CB2E9F">
        <w:rPr>
          <w:rFonts w:ascii="Garamond" w:hAnsi="Garamond"/>
          <w:i/>
          <w:iCs/>
          <w:sz w:val="22"/>
          <w:szCs w:val="22"/>
          <w:lang w:val="en-US"/>
        </w:rPr>
        <w:t xml:space="preserve"> </w:t>
      </w:r>
      <w:r w:rsidRPr="00CB2E9F">
        <w:rPr>
          <w:rFonts w:ascii="Garamond" w:hAnsi="Garamond"/>
          <w:sz w:val="22"/>
          <w:szCs w:val="22"/>
          <w:lang w:val="en-US"/>
        </w:rPr>
        <w:t xml:space="preserve">Eine zweite Mitteilung derselben Kranken: »Sie steht in der Kirche, plötzlich gibt es ihr einen Ruck, sie </w:t>
      </w:r>
      <w:r w:rsidRPr="00CB2E9F">
        <w:rPr>
          <w:rFonts w:ascii="Garamond" w:hAnsi="Garamond"/>
          <w:i/>
          <w:iCs/>
          <w:sz w:val="22"/>
          <w:szCs w:val="22"/>
          <w:lang w:val="en-US"/>
        </w:rPr>
        <w:t>muß sich anders stellen, als stellte sie jemand, als würde sie gestellt.«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Dazu die Analyse durch eine neue Reihe von Vorwürfen gegen den Geliebten, »der ordinär ist, der sie, die vom Hause aus fein war, auch ordinär gemacht hat. Er hat sie sich ähnlich gemacht, indem er sie glauben machte, er sei ihr überlegen; nun sei sie so geworden, wie er ist, weil sie glaubte, sie werde besser sein, wenn sie ihm gleich werde. Er hat sich </w:t>
      </w:r>
      <w:r w:rsidRPr="00CB2E9F">
        <w:rPr>
          <w:rFonts w:ascii="Garamond" w:hAnsi="Garamond"/>
          <w:i/>
          <w:iCs/>
          <w:sz w:val="22"/>
          <w:szCs w:val="22"/>
          <w:lang w:val="en-US"/>
        </w:rPr>
        <w:t>verstellt,</w:t>
      </w:r>
      <w:r w:rsidRPr="00CB2E9F">
        <w:rPr>
          <w:rFonts w:ascii="Garamond" w:hAnsi="Garamond"/>
          <w:sz w:val="22"/>
          <w:szCs w:val="22"/>
          <w:lang w:val="en-US"/>
        </w:rPr>
        <w:t xml:space="preserve"> sie ist jetzt so wie er (Identifizierung!), er hat sie </w:t>
      </w:r>
      <w:r w:rsidRPr="00CB2E9F">
        <w:rPr>
          <w:rFonts w:ascii="Garamond" w:hAnsi="Garamond"/>
          <w:i/>
          <w:iCs/>
          <w:sz w:val="22"/>
          <w:szCs w:val="22"/>
          <w:lang w:val="en-US"/>
        </w:rPr>
        <w:t>verstellt.«</w:t>
      </w:r>
      <w:r w:rsidRPr="00CB2E9F">
        <w:rPr>
          <w:rFonts w:ascii="Garamond" w:hAnsi="Garamond"/>
          <w:sz w:val="22"/>
          <w:szCs w:val="22"/>
          <w:lang w:val="en-US"/>
        </w:rPr>
        <w:t xml:space="preserve"> Die Bewegung des »Sich-anders-Stellen«, bemerkt Tausk, ist eine Darstellung des Wortes »verstellen« und der Identifizierung mit dem Geliebten. Ich hebe wiederum die Prävalenz jenes Elements des ganzen Gedankenganges hervor, welches eine körperliche Innervation (vielmehr deren Empfindung) zum Inhalt hat. Eine Hysterika hätte übrigens im ersten Falle krampfhaft die Augen verdreht, im zweiten den Ruck wirklich ausgeführt, anstatt den Impuls dazu oder die Sensation davon zu verspüren, und in beiden Fällen hätte sie keinen bewußten Gedanken dabei gehabt und wäre auch nachträglich nicht imstande gewesen, solche zu äußern.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Soweit zeugen diese beiden Beobachtungen für das, was wir hypochondrische oder Organsprache genannt haben. Sie mahnen aber auch, was uns wichtiger erscheint, an einen anderen Sachverhalt, der sich beliebig oft z. B. an den in Bleulers Monographie gesammelten Beispielen nachweisen und in eine bestimmte Formel fassen läßt. Bei der Schizophrenie werden die </w:t>
      </w:r>
      <w:r w:rsidRPr="00CB2E9F">
        <w:rPr>
          <w:rFonts w:ascii="Garamond" w:hAnsi="Garamond"/>
          <w:i/>
          <w:iCs/>
          <w:sz w:val="22"/>
          <w:szCs w:val="22"/>
          <w:lang w:val="en-US"/>
        </w:rPr>
        <w:t>Worte</w:t>
      </w:r>
      <w:r w:rsidRPr="00CB2E9F">
        <w:rPr>
          <w:rFonts w:ascii="Garamond" w:hAnsi="Garamond"/>
          <w:sz w:val="22"/>
          <w:szCs w:val="22"/>
          <w:lang w:val="en-US"/>
        </w:rPr>
        <w:t xml:space="preserve"> demselben Prozeß unterworfen, der aus den latenten Traumgedanken die Traumbilder macht, den wir den </w:t>
      </w:r>
      <w:r w:rsidRPr="00CB2E9F">
        <w:rPr>
          <w:rFonts w:ascii="Garamond" w:hAnsi="Garamond"/>
          <w:i/>
          <w:iCs/>
          <w:sz w:val="22"/>
          <w:szCs w:val="22"/>
          <w:lang w:val="en-US"/>
        </w:rPr>
        <w:t>psychi</w:t>
      </w:r>
      <w:r w:rsidRPr="005E1D01">
        <w:rPr>
          <w:rFonts w:ascii="Garamond" w:hAnsi="Garamond"/>
          <w:i/>
          <w:iCs/>
          <w:sz w:val="22"/>
          <w:szCs w:val="22"/>
          <w:lang w:val="en-US"/>
        </w:rPr>
        <w:t>sehen Primärvorgang</w:t>
      </w:r>
      <w:r w:rsidRPr="005E1D01">
        <w:rPr>
          <w:rFonts w:ascii="Garamond" w:hAnsi="Garamond"/>
          <w:sz w:val="22"/>
          <w:szCs w:val="22"/>
          <w:lang w:val="en-US"/>
        </w:rPr>
        <w:t xml:space="preserve"> geheißen haben. </w:t>
      </w:r>
      <w:r w:rsidRPr="004E00C6">
        <w:rPr>
          <w:rFonts w:ascii="Garamond" w:hAnsi="Garamond"/>
          <w:sz w:val="22"/>
          <w:szCs w:val="22"/>
          <w:lang w:val="en-US"/>
        </w:rPr>
        <w:t>Sie werden verdichtet und übertragen einander ihre Besetzungen restlos durch Verschiebung; der Prozeß kann so weit gehen, daß ein einziges, durch mehrfache Beziehungen dazu geeignetes Wort die Vertretung einer ganzen Gedankenkette übernimmt. Die Arbeiten von Bleuler, Jung und ihren Schülern haben gerade für diese Behauptung reichliches Material ergeben.</w:t>
      </w:r>
      <w:r w:rsidRPr="004E00C6">
        <w:rPr>
          <w:rFonts w:ascii="Garamond" w:hAnsi="Garamond"/>
          <w:sz w:val="22"/>
          <w:szCs w:val="22"/>
          <w:vertAlign w:val="superscript"/>
          <w:lang w:val="en-US"/>
        </w:rPr>
        <w:t>1)</w:t>
      </w:r>
      <w:r w:rsidRPr="004E00C6">
        <w:rPr>
          <w:rFonts w:ascii="Garamond" w:hAnsi="Garamond"/>
          <w:sz w:val="22"/>
          <w:szCs w:val="22"/>
          <w:lang w:val="en-US"/>
        </w:rPr>
        <w:t xml:space="preserve"> Ehe wir aus solchen Eindrücken einen Schluß ziehen, wollen wir noch der feinen, aber doch befremdlich wirkenden Unterschiede zwischen der schizophrenen und der hysterischen und zwangsneurotischen Ersatzbildung gedenken. </w:t>
      </w:r>
      <w:r w:rsidRPr="00CB2E9F">
        <w:rPr>
          <w:rFonts w:ascii="Garamond" w:hAnsi="Garamond"/>
          <w:sz w:val="22"/>
          <w:szCs w:val="22"/>
          <w:lang w:val="en-US"/>
        </w:rPr>
        <w:t xml:space="preserve">Ein Patient, den ich gegenwärtig beobachte, läßt sich durch den schlechten Zustand seiner Gesichtshaut von allen Interessen des Lebens abziehen. Er behauptet, Mitesser zu haben und tiefe Löcher im Gesicht, die ihm jedermann ansieht. </w:t>
      </w:r>
      <w:r w:rsidRPr="00CB2E9F">
        <w:rPr>
          <w:rFonts w:ascii="Garamond" w:hAnsi="Garamond"/>
          <w:sz w:val="22"/>
          <w:szCs w:val="22"/>
        </w:rPr>
        <w:t xml:space="preserve">Die Analyse weist nach, daß er seinen Kastrationskomplex an seiner Haut abspielt. Er beschäftigte sich zunächst reuelos mit seinen Mitessern, deren Ausdrücken ihm große Befriedigung bereitete, weil dabei etwas herausspritzte, wie er sagt. Dann begann er zu glauben, daß überall dort, wo er einen Comedo beseitigt hatte, eine tiefe Grube entstanden sei, und er machte sich die heftigsten Vorwürfe, durch sein »beständiges Herumarbeiten mit der Hand« seine Haut für alle Zeiten verdorben zu haben. Es ist evident, daß ihm das Auspressen des Inhaltes der Mitesser ein Ersatz für die Onanie ist. Die Grube, die darauf durch seine Schuld entsteht, ist das weibliche Genitale, d. h. die Erfüllung der durch die Onanie provozierten Kastrationsdrohung (resp. der sie vertretenden Phantasie). Diese Ersatzbildung hat trotz </w:t>
      </w:r>
      <w:r w:rsidRPr="00CB2E9F">
        <w:rPr>
          <w:rFonts w:ascii="Garamond" w:hAnsi="Garamond"/>
          <w:sz w:val="22"/>
          <w:szCs w:val="22"/>
        </w:rPr>
        <w:lastRenderedPageBreak/>
        <w:t>ihres hypochondrischen Charakters viel Ähnlidikeit mit einer hysterischen Konversion, und doch wird man das Gefühl haben, daß hier etwas anderes vorgehen müsse, daß man solche Ersatzbildung einer Hysterie nicht zutrauen dürfe, noch ehe man sagen kann, worin die Verschiedenheit begründet ist. Ein winziges Grübchen wie eine Hautpore wird ein Hysteriker kaum zum Symbol der Vagina nehmen, die er sonst mit allen möglichen Gegenständen vergleicht, welche einen Hohlraum umschließen. Auch meinen wir, daß die Vielheit der Grübchen ihn abhalten wird, sie als Ersatz für das weibliche Genitale zu verwenden. Ähnliches gilt für einen jugendlichen Patienten, über den Tausk</w:t>
      </w:r>
      <w:r w:rsidR="005E1D01">
        <w:rPr>
          <w:rFonts w:ascii="Garamond" w:hAnsi="Garamond"/>
          <w:sz w:val="22"/>
          <w:szCs w:val="22"/>
        </w:rPr>
        <w:t xml:space="preserve"> </w:t>
      </w:r>
      <w:r w:rsidRPr="005E1D01">
        <w:rPr>
          <w:rFonts w:ascii="Garamond" w:hAnsi="Garamond"/>
          <w:sz w:val="22"/>
          <w:szCs w:val="22"/>
        </w:rPr>
        <w:t xml:space="preserve">vor Jahren der Wiener Psychoanalytischen Gesellschaft berichtet hat. </w:t>
      </w:r>
      <w:r w:rsidRPr="004E00C6">
        <w:rPr>
          <w:rFonts w:ascii="Garamond" w:hAnsi="Garamond"/>
          <w:sz w:val="22"/>
          <w:szCs w:val="22"/>
        </w:rPr>
        <w:t xml:space="preserve">Er benahm sich sonst ganz wie ein Zwangsneurotiker, verbrauchte Stunden für seine Toilette u. dgl. </w:t>
      </w:r>
      <w:r w:rsidRPr="00CB2E9F">
        <w:rPr>
          <w:rFonts w:ascii="Garamond" w:hAnsi="Garamond"/>
          <w:sz w:val="22"/>
          <w:szCs w:val="22"/>
          <w:lang w:val="en-US"/>
        </w:rPr>
        <w:t>Es war aber an ihm auffällig, daß er widerstandslos die Bedeutung seiner Hemmungen mitteilen konnte. Beim Anziehen der Strümpfe störte ihn z. B. die Idee, daß er die Maschen des Gewebes, also Löcher, auseinanderziehen müsse, und jedes Loch war ihm Symbol der weiblichen Geschlechtsöffnung. Auch dies ist einem Zwangsneurotiker nicht zuzutrauen; ein solcher, aus der Beobachtung von R. Reitler, der am gleichen Verweilen beim Strumpf anziehen litt, fand nach Überwindung der Widerstände die Erklärung, daß der Fuß ein Penissymbol sei, das Überziehen des Strumpfes ein onanistischer Akt, und er mußte den Strumpf fortgesetzt an- und ausziehen, zum Teil, um das Bild der Onanie zu vervollkommnen, zum Teil, um sie ungeschehen zu machen.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Fragen wir uns, was der schizophrenen Ersatzbildung und dem Symptom den befremdlichen Charakter verleiht, so erfassen wir endlich, daß es das Überwiegen der Wortbeziehung über die Sachbeziehung ist. Zwischen dem Ausdrücken eines Mitessers und einer Ejakulation aus dem Penis besteht eine recht geringe Sachähnlichkeit, eine noch geringere zwischen den unzähligen seichten Hautporen und der Vagina; aber im ersten Falle spritzt beide Male etwas heraus, und für den zweiten gilt wörtlich der zynische Satz: »Loch ist Loch.« Die Gleichheit des sprachlichen Ausdruckes, nicht die Ähnlichkeit der bezeichneten Dinge, hat den Ersatz vorgeschrieben. Wo die beiden — Wort und Ding — sich nicht decken, weicht die schizophrene Ersatzbildung von der bei den Übertragungsneurosen ab.</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Setzen wir diese Einsicht mit der Annahme zusammen, daß bei der Schizophrenie die Objektbesetzungen aufgegeben werden. Wir müssen dann modifizieren: die Besetzung der Wortvorstellungen der Objekte wird festgehalten. Was wir die bewußte Objektvorstellung heißen durften, zerlegt sich uns jetzt in die </w:t>
      </w:r>
      <w:r w:rsidRPr="00CB2E9F">
        <w:rPr>
          <w:rFonts w:ascii="Garamond" w:hAnsi="Garamond"/>
          <w:i/>
          <w:iCs/>
          <w:sz w:val="22"/>
          <w:szCs w:val="22"/>
          <w:lang w:val="en-US"/>
        </w:rPr>
        <w:t>Wortvorstellung</w:t>
      </w:r>
      <w:r w:rsidRPr="00CB2E9F">
        <w:rPr>
          <w:rFonts w:ascii="Garamond" w:hAnsi="Garamond"/>
          <w:sz w:val="22"/>
          <w:szCs w:val="22"/>
          <w:lang w:val="en-US"/>
        </w:rPr>
        <w:t xml:space="preserve"> und in die </w:t>
      </w:r>
      <w:r w:rsidRPr="00CB2E9F">
        <w:rPr>
          <w:rFonts w:ascii="Garamond" w:hAnsi="Garamond"/>
          <w:i/>
          <w:iCs/>
          <w:sz w:val="22"/>
          <w:szCs w:val="22"/>
          <w:lang w:val="en-US"/>
        </w:rPr>
        <w:t>Sacbvorstel-lung,</w:t>
      </w:r>
      <w:r w:rsidRPr="00CB2E9F">
        <w:rPr>
          <w:rFonts w:ascii="Garamond" w:hAnsi="Garamond"/>
          <w:i/>
          <w:iCs/>
          <w:sz w:val="22"/>
          <w:szCs w:val="22"/>
          <w:vertAlign w:val="superscript"/>
          <w:lang w:val="en-US"/>
        </w:rPr>
        <w:t>1)</w:t>
      </w:r>
      <w:r w:rsidRPr="00CB2E9F">
        <w:rPr>
          <w:rFonts w:ascii="Garamond" w:hAnsi="Garamond"/>
          <w:i/>
          <w:iCs/>
          <w:sz w:val="22"/>
          <w:szCs w:val="22"/>
          <w:lang w:val="en-US"/>
        </w:rPr>
        <w:t xml:space="preserve"> </w:t>
      </w:r>
      <w:r w:rsidRPr="00CB2E9F">
        <w:rPr>
          <w:rFonts w:ascii="Garamond" w:hAnsi="Garamond"/>
          <w:sz w:val="22"/>
          <w:szCs w:val="22"/>
          <w:lang w:val="en-US"/>
        </w:rPr>
        <w:t xml:space="preserve">die in der Besetzung, wenn nicht der direkten Sacherinnerungs-bilder, doch entfernterer und von ihnen abgeleiteter Erinnerungsspuren besteht. Mit einem Male glauben wir nun zu wissen, wodurch sich eine bewußte Vorstellung von einer unbewußten unterscheidet [s.S. 135]. Die beiden sind nicht, wie wir gemeint haben, verschiedene Niederschriften desselben Inhaltes an verschiedenen psychischen Orten, auch nicht verschiedene funktionelle Besetzungszustände an demselben Orte, sondern die bewußte Vorstellung umfaßt die Sachvorstellung plus der zugehörigen Wortvorstellung, die unbewußte ist die Sachvorstellung allein. Das System </w:t>
      </w:r>
      <w:r w:rsidRPr="00CB2E9F">
        <w:rPr>
          <w:rFonts w:ascii="Garamond" w:hAnsi="Garamond"/>
          <w:i/>
          <w:iCs/>
          <w:sz w:val="22"/>
          <w:szCs w:val="22"/>
          <w:lang w:val="en-US"/>
        </w:rPr>
        <w:t>Ubw</w:t>
      </w:r>
      <w:r w:rsidRPr="00CB2E9F">
        <w:rPr>
          <w:rFonts w:ascii="Garamond" w:hAnsi="Garamond"/>
          <w:sz w:val="22"/>
          <w:szCs w:val="22"/>
          <w:lang w:val="en-US"/>
        </w:rPr>
        <w:t xml:space="preserve"> enthält die Sachbesetzungen der Objekte, die ersten und eigentlichen Objektbesetzungen; das System </w:t>
      </w:r>
      <w:r w:rsidRPr="00CB2E9F">
        <w:rPr>
          <w:rFonts w:ascii="Garamond" w:hAnsi="Garamond"/>
          <w:i/>
          <w:iCs/>
          <w:sz w:val="22"/>
          <w:szCs w:val="22"/>
          <w:lang w:val="en-US"/>
        </w:rPr>
        <w:t>Vbw</w:t>
      </w:r>
      <w:r w:rsidRPr="00CB2E9F">
        <w:rPr>
          <w:rFonts w:ascii="Garamond" w:hAnsi="Garamond"/>
          <w:sz w:val="22"/>
          <w:szCs w:val="22"/>
          <w:lang w:val="en-US"/>
        </w:rPr>
        <w:t xml:space="preserve"> entsteht, indem diese Sachvorstellung durch die Verknüpfung mit den ihr entsprechenden Wortvorstellungen überbesetzt wird. Solche Oberbesetzungen, können wir vermuten, sind es, welche eine höhere psychische Organisation herbeiführen und die Ablösung des Primärvorganges durch den im </w:t>
      </w:r>
      <w:r w:rsidRPr="00CB2E9F">
        <w:rPr>
          <w:rFonts w:ascii="Garamond" w:hAnsi="Garamond"/>
          <w:i/>
          <w:iCs/>
          <w:sz w:val="22"/>
          <w:szCs w:val="22"/>
          <w:lang w:val="en-US"/>
        </w:rPr>
        <w:t>Vbw</w:t>
      </w:r>
      <w:r w:rsidRPr="00CB2E9F">
        <w:rPr>
          <w:rFonts w:ascii="Garamond" w:hAnsi="Garamond"/>
          <w:sz w:val="22"/>
          <w:szCs w:val="22"/>
          <w:lang w:val="en-US"/>
        </w:rPr>
        <w:t xml:space="preserve"> herrschenden Sekundärvorgang ermöglichen. Wir können jetzt auch präzise ausdrücken, was die Verdrängung bei den Übertragungsneurosen der zurückgewiesenen Vorstellung verweigert [s. S. 139]: Die Übersetzung in Worte, welche mit dem Objekt verknüpft bleiben sollen. Die nicht in Worte gefaßte Vorstellung oder der nicht überbesetzte psychische Akt bleibt dann im </w:t>
      </w:r>
      <w:r w:rsidRPr="00CB2E9F">
        <w:rPr>
          <w:rFonts w:ascii="Garamond" w:hAnsi="Garamond"/>
          <w:i/>
          <w:iCs/>
          <w:sz w:val="22"/>
          <w:szCs w:val="22"/>
          <w:lang w:val="en-US"/>
        </w:rPr>
        <w:t>Ubw</w:t>
      </w:r>
      <w:r w:rsidRPr="00CB2E9F">
        <w:rPr>
          <w:rFonts w:ascii="Garamond" w:hAnsi="Garamond"/>
          <w:sz w:val="22"/>
          <w:szCs w:val="22"/>
          <w:lang w:val="en-US"/>
        </w:rPr>
        <w:t xml:space="preserve"> als verdrängt zurück. Ich darf darauf aufmerksam machen, wie frühzeitig wir bereits die Einsicht besessen haben, die uns heute einen der auffälligsten Charaktere der Schizophrenie verständlich macht. Auf den letzten Seiten der 1900 veröffentlichten </w:t>
      </w:r>
      <w:r w:rsidRPr="00CB2E9F">
        <w:rPr>
          <w:rFonts w:ascii="Garamond" w:hAnsi="Garamond"/>
          <w:i/>
          <w:iCs/>
          <w:sz w:val="22"/>
          <w:szCs w:val="22"/>
          <w:lang w:val="en-US"/>
        </w:rPr>
        <w:t>Traumdeutung</w:t>
      </w:r>
      <w:r w:rsidRPr="00CB2E9F">
        <w:rPr>
          <w:rFonts w:ascii="Garamond" w:hAnsi="Garamond"/>
          <w:sz w:val="22"/>
          <w:szCs w:val="22"/>
          <w:lang w:val="en-US"/>
        </w:rPr>
        <w:t xml:space="preserve"> ist ausgeführt, daß die Denkvorgänge, d. i. die von den Wahrnehmungen entfernteren Besetzungsakte, an sich qualitätslos und unbewußt sind und ihre Fähigkeit, bewußt zu werden, nur durch die Verknüpfung mit den Resten der Wortwahrnehmungen erlangen.</w:t>
      </w:r>
      <w:r w:rsidRPr="00CB2E9F">
        <w:rPr>
          <w:rFonts w:ascii="Garamond" w:hAnsi="Garamond"/>
          <w:sz w:val="22"/>
          <w:szCs w:val="22"/>
          <w:vertAlign w:val="superscript"/>
          <w:lang w:val="en-US"/>
        </w:rPr>
        <w:t>1)</w:t>
      </w:r>
      <w:r w:rsidRPr="00CB2E9F">
        <w:rPr>
          <w:rFonts w:ascii="Garamond" w:hAnsi="Garamond"/>
          <w:sz w:val="22"/>
          <w:szCs w:val="22"/>
          <w:lang w:val="en-US"/>
        </w:rPr>
        <w:t xml:space="preserve"> Die Wortvorstellungen entstammen ihrerseits der Sinneswahrnehmung in gleicher Weise wie die Sachvorstellungen, so daß man die Frage aufwerfen könnte, warum die Objektvorstellungen nicht mittels ihrer eigenen Wahrnehmungsreste bewußt werden können. Aber wahrscheinlich geht das Denken in Systemen vor sich, die von den ursprünglichen Wahrnehmungsresten so weit entfernt sind, daß sie von deren Qualitäten nichts mehr erhalten haben und zum Bewußtwerden einer Verstärkung durch neue Qualitäten bedürfen. </w:t>
      </w:r>
    </w:p>
    <w:p w:rsidR="00CB2E9F" w:rsidRPr="00CB2E9F" w:rsidRDefault="00CB2E9F" w:rsidP="00130855">
      <w:pPr>
        <w:pStyle w:val="s"/>
        <w:rPr>
          <w:rFonts w:ascii="Garamond" w:hAnsi="Garamond"/>
          <w:sz w:val="22"/>
          <w:szCs w:val="22"/>
        </w:rPr>
      </w:pPr>
      <w:r w:rsidRPr="00CB2E9F">
        <w:rPr>
          <w:rFonts w:ascii="Garamond" w:hAnsi="Garamond"/>
          <w:sz w:val="22"/>
          <w:szCs w:val="22"/>
          <w:vertAlign w:val="superscript"/>
          <w:lang w:val="en-US"/>
        </w:rPr>
        <w:lastRenderedPageBreak/>
        <w:t>1)</w:t>
      </w:r>
      <w:r w:rsidRPr="00CB2E9F">
        <w:rPr>
          <w:rFonts w:ascii="Garamond" w:hAnsi="Garamond"/>
          <w:sz w:val="22"/>
          <w:szCs w:val="22"/>
          <w:lang w:val="en-US"/>
        </w:rPr>
        <w:t xml:space="preserve"> </w:t>
      </w:r>
      <w:r w:rsidRPr="00CB2E9F">
        <w:rPr>
          <w:rFonts w:ascii="Garamond" w:hAnsi="Garamond"/>
          <w:i/>
          <w:iCs/>
          <w:sz w:val="22"/>
          <w:szCs w:val="22"/>
          <w:lang w:val="en-US"/>
        </w:rPr>
        <w:t>[Die Traumdeutung</w:t>
      </w:r>
      <w:r w:rsidRPr="00CB2E9F">
        <w:rPr>
          <w:rFonts w:ascii="Garamond" w:hAnsi="Garamond"/>
          <w:sz w:val="22"/>
          <w:szCs w:val="22"/>
          <w:lang w:val="en-US"/>
        </w:rPr>
        <w:t xml:space="preserve"> (1900 a), </w:t>
      </w:r>
      <w:r w:rsidRPr="00CB2E9F">
        <w:rPr>
          <w:rFonts w:ascii="Garamond" w:hAnsi="Garamond"/>
          <w:i/>
          <w:iCs/>
          <w:sz w:val="22"/>
          <w:szCs w:val="22"/>
          <w:lang w:val="en-US"/>
        </w:rPr>
        <w:t>Studienausgabe,</w:t>
      </w:r>
      <w:r w:rsidRPr="00CB2E9F">
        <w:rPr>
          <w:rFonts w:ascii="Garamond" w:hAnsi="Garamond"/>
          <w:sz w:val="22"/>
          <w:szCs w:val="22"/>
          <w:lang w:val="en-US"/>
        </w:rPr>
        <w:t xml:space="preserve"> Bd. 2, S. 584 f. S. auch ibid., S. 547. In Wirklichkeit hatte Freud diese Hypothese noch früher, nämlich in seinem ›Entwurf‹ von 1895 (1950 </w:t>
      </w:r>
      <w:r w:rsidRPr="00CB2E9F">
        <w:rPr>
          <w:rFonts w:ascii="Garamond" w:hAnsi="Garamond"/>
          <w:i/>
          <w:iCs/>
          <w:sz w:val="22"/>
          <w:szCs w:val="22"/>
          <w:lang w:val="en-US"/>
        </w:rPr>
        <w:t>a,</w:t>
      </w:r>
      <w:r w:rsidRPr="00CB2E9F">
        <w:rPr>
          <w:rFonts w:ascii="Garamond" w:hAnsi="Garamond"/>
          <w:sz w:val="22"/>
          <w:szCs w:val="22"/>
          <w:lang w:val="en-US"/>
        </w:rPr>
        <w:t xml:space="preserve"> ziemlich am Anfang des ersten Abschnitts von Teil III) dargelegt (wenngleich nicht veröffentlicht). </w:t>
      </w:r>
      <w:r w:rsidRPr="00CB2E9F">
        <w:rPr>
          <w:rFonts w:ascii="Garamond" w:hAnsi="Garamond"/>
          <w:sz w:val="22"/>
          <w:szCs w:val="22"/>
        </w:rPr>
        <w:t xml:space="preserve">Er erwähnt sie auch in seinen Formulierungen über die zwei Prinzipien des psychischen Gcschehens‹ (1911 </w:t>
      </w:r>
      <w:r w:rsidRPr="00CB2E9F">
        <w:rPr>
          <w:rFonts w:ascii="Garamond" w:hAnsi="Garamond"/>
          <w:i/>
          <w:iCs/>
          <w:sz w:val="22"/>
          <w:szCs w:val="22"/>
        </w:rPr>
        <w:t>b),</w:t>
      </w:r>
      <w:r w:rsidRPr="00CB2E9F">
        <w:rPr>
          <w:rFonts w:ascii="Garamond" w:hAnsi="Garamond"/>
          <w:sz w:val="22"/>
          <w:szCs w:val="22"/>
        </w:rPr>
        <w:t xml:space="preserve"> s. oben, S. 20.]</w:t>
      </w:r>
    </w:p>
    <w:p w:rsidR="00CB2E9F" w:rsidRPr="00CB2E9F" w:rsidRDefault="005E1D01" w:rsidP="00130855">
      <w:pPr>
        <w:pStyle w:val="NormalWeb"/>
        <w:rPr>
          <w:rFonts w:ascii="Garamond" w:hAnsi="Garamond"/>
          <w:sz w:val="22"/>
          <w:szCs w:val="22"/>
          <w:lang w:val="en-US"/>
        </w:rPr>
      </w:pPr>
      <w:r w:rsidRPr="005E1D01">
        <w:rPr>
          <w:rFonts w:ascii="Garamond" w:hAnsi="Garamond"/>
          <w:sz w:val="22"/>
          <w:szCs w:val="22"/>
        </w:rPr>
        <w:t xml:space="preserve">Außerdem können </w:t>
      </w:r>
      <w:r w:rsidR="00CB2E9F" w:rsidRPr="005E1D01">
        <w:rPr>
          <w:rFonts w:ascii="Garamond" w:hAnsi="Garamond"/>
          <w:sz w:val="22"/>
          <w:szCs w:val="22"/>
        </w:rPr>
        <w:t xml:space="preserve">durch die Verknüpfung mit Worten auch solche Besetzungen mit Qualität versehen werden, die aus den Wahrnehmungen selbst keine Qualität mitbringen konnten, weil sie bloß Relationen zwischen den Objektvorstellungen entsprechen. </w:t>
      </w:r>
      <w:r w:rsidR="00CB2E9F" w:rsidRPr="00CB2E9F">
        <w:rPr>
          <w:rFonts w:ascii="Garamond" w:hAnsi="Garamond"/>
          <w:sz w:val="22"/>
          <w:szCs w:val="22"/>
          <w:lang w:val="en-US"/>
        </w:rPr>
        <w:t xml:space="preserve">Solche erst durch Worte faßbar gewordene Relationen sind ein Hauptbestandteil unserer Denkvorgänge. Wir verstehen, daß die Verknüpfung mit Wortvorstellungen noch nicht mit dem Bewußtwerden zusammenfällt, sondern bloß die Möglichkeit dazu gibt, daß sie also kein anderes System als das des </w:t>
      </w:r>
      <w:r w:rsidR="00CB2E9F" w:rsidRPr="00CB2E9F">
        <w:rPr>
          <w:rFonts w:ascii="Garamond" w:hAnsi="Garamond"/>
          <w:i/>
          <w:iCs/>
          <w:sz w:val="22"/>
          <w:szCs w:val="22"/>
          <w:lang w:val="en-US"/>
        </w:rPr>
        <w:t>Vbw</w:t>
      </w:r>
      <w:r w:rsidR="00CB2E9F" w:rsidRPr="00CB2E9F">
        <w:rPr>
          <w:rFonts w:ascii="Garamond" w:hAnsi="Garamond"/>
          <w:sz w:val="22"/>
          <w:szCs w:val="22"/>
          <w:lang w:val="en-US"/>
        </w:rPr>
        <w:t xml:space="preserve"> charakterisiert.</w:t>
      </w:r>
      <w:r w:rsidR="00CB2E9F" w:rsidRPr="00CB2E9F">
        <w:rPr>
          <w:rFonts w:ascii="Garamond" w:hAnsi="Garamond"/>
          <w:sz w:val="22"/>
          <w:szCs w:val="22"/>
          <w:vertAlign w:val="superscript"/>
          <w:lang w:val="en-US"/>
        </w:rPr>
        <w:t>1)</w:t>
      </w:r>
      <w:r w:rsidR="00CB2E9F" w:rsidRPr="00CB2E9F">
        <w:rPr>
          <w:rFonts w:ascii="Garamond" w:hAnsi="Garamond"/>
          <w:sz w:val="22"/>
          <w:szCs w:val="22"/>
          <w:lang w:val="en-US"/>
        </w:rPr>
        <w:t xml:space="preserve"> Nun merken wir aber, daß wir mit diesen Erörterungen unser eigentliches Thema verlassen und mitten in die Probleme des Vorbewußten und Bewußten geraten, die wir zweckmäßigerweise einer gesonderten Behandlung vorbehalten.</w:t>
      </w:r>
      <w:r w:rsidR="00CB2E9F" w:rsidRPr="00CB2E9F">
        <w:rPr>
          <w:rFonts w:ascii="Garamond" w:hAnsi="Garamond"/>
          <w:sz w:val="22"/>
          <w:szCs w:val="22"/>
          <w:vertAlign w:val="superscript"/>
          <w:lang w:val="en-US"/>
        </w:rPr>
        <w:t>2)</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Bei der Schizophrenie, die wir ja hier auch nur so weit berühren, als uns zur allgemeinen Erkennung des </w:t>
      </w:r>
      <w:r w:rsidRPr="00CB2E9F">
        <w:rPr>
          <w:rFonts w:ascii="Garamond" w:hAnsi="Garamond"/>
          <w:i/>
          <w:iCs/>
          <w:sz w:val="22"/>
          <w:szCs w:val="22"/>
          <w:lang w:val="en-US"/>
        </w:rPr>
        <w:t>Ubw</w:t>
      </w:r>
      <w:r w:rsidRPr="00CB2E9F">
        <w:rPr>
          <w:rFonts w:ascii="Garamond" w:hAnsi="Garamond"/>
          <w:sz w:val="22"/>
          <w:szCs w:val="22"/>
          <w:lang w:val="en-US"/>
        </w:rPr>
        <w:t xml:space="preserve"> unerläßlich scheint, muß uns der Zweifel auftauchen, ob der hier Verdrängung genannte Vorgang überhaupt noch etwas mit der Verdrängung bei den Übertragungsneurosen gemein hat. Die Formel, die Verdrängung sei ein Vorgang zwischen dem System </w:t>
      </w:r>
      <w:r w:rsidRPr="00CB2E9F">
        <w:rPr>
          <w:rFonts w:ascii="Garamond" w:hAnsi="Garamond"/>
          <w:i/>
          <w:iCs/>
          <w:sz w:val="22"/>
          <w:szCs w:val="22"/>
          <w:lang w:val="en-US"/>
        </w:rPr>
        <w:t>Ubw</w:t>
      </w:r>
      <w:r w:rsidRPr="00CB2E9F">
        <w:rPr>
          <w:rFonts w:ascii="Garamond" w:hAnsi="Garamond"/>
          <w:sz w:val="22"/>
          <w:szCs w:val="22"/>
          <w:lang w:val="en-US"/>
        </w:rPr>
        <w:t xml:space="preserve"> und dem </w:t>
      </w:r>
      <w:r w:rsidRPr="00CB2E9F">
        <w:rPr>
          <w:rFonts w:ascii="Garamond" w:hAnsi="Garamond"/>
          <w:i/>
          <w:iCs/>
          <w:sz w:val="22"/>
          <w:szCs w:val="22"/>
          <w:lang w:val="en-US"/>
        </w:rPr>
        <w:t>Vbw</w:t>
      </w:r>
      <w:r w:rsidRPr="00CB2E9F">
        <w:rPr>
          <w:rFonts w:ascii="Garamond" w:hAnsi="Garamond"/>
          <w:sz w:val="22"/>
          <w:szCs w:val="22"/>
          <w:lang w:val="en-US"/>
        </w:rPr>
        <w:t xml:space="preserve"> (oder </w:t>
      </w:r>
      <w:r w:rsidRPr="00CB2E9F">
        <w:rPr>
          <w:rFonts w:ascii="Garamond" w:hAnsi="Garamond"/>
          <w:i/>
          <w:iCs/>
          <w:sz w:val="22"/>
          <w:szCs w:val="22"/>
          <w:lang w:val="en-US"/>
        </w:rPr>
        <w:t>Bw)</w:t>
      </w:r>
      <w:r w:rsidRPr="00CB2E9F">
        <w:rPr>
          <w:rFonts w:ascii="Garamond" w:hAnsi="Garamond"/>
          <w:sz w:val="22"/>
          <w:szCs w:val="22"/>
          <w:lang w:val="en-US"/>
        </w:rPr>
        <w:t xml:space="preserve"> mit dem Erfolg der Fernhaltung vom Bewußtsein [S. 108], bedarf jedenfalls einer Abänderung, um den Fall der Dementia praecox und anderer narzißtischer Affektionen miteinschließen zu können. Aber der Fluchtversuch des Ichs, der sich in der Abziehung der bewußten Besetzung äußert, bleibt immerhin als das [den beiden Klassen von Neurosen] Gemeinsame bestehen. Um wie vieles gründlicher und tiefgreifender dieser Fluchtversuch, diese Flucht des Ichs bei den narzißtischen Neurosen ins Werk gesetzt wird, lehrt die oberflächlichste Überlegung.</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Wenn diese Flucht bei der Schizophrenie in der Einziehung der Triebbesetzung von den Stellen besteht, welche die </w:t>
      </w:r>
      <w:r w:rsidRPr="00CB2E9F">
        <w:rPr>
          <w:rFonts w:ascii="Garamond" w:hAnsi="Garamond"/>
          <w:i/>
          <w:iCs/>
          <w:sz w:val="22"/>
          <w:szCs w:val="22"/>
          <w:lang w:val="en-US"/>
        </w:rPr>
        <w:t>unbewußte</w:t>
      </w:r>
      <w:r w:rsidRPr="00CB2E9F">
        <w:rPr>
          <w:rFonts w:ascii="Garamond" w:hAnsi="Garamond"/>
          <w:sz w:val="22"/>
          <w:szCs w:val="22"/>
          <w:lang w:val="en-US"/>
        </w:rPr>
        <w:t xml:space="preserve"> Objektvorstellung repräsentieren, so mag es befremdlich erscheinen, daß der dem System </w:t>
      </w:r>
      <w:r w:rsidRPr="00CB2E9F">
        <w:rPr>
          <w:rFonts w:ascii="Garamond" w:hAnsi="Garamond"/>
          <w:i/>
          <w:iCs/>
          <w:sz w:val="22"/>
          <w:szCs w:val="22"/>
          <w:lang w:val="en-US"/>
        </w:rPr>
        <w:t>Vbw</w:t>
      </w:r>
      <w:r w:rsidRPr="00CB2E9F">
        <w:rPr>
          <w:rFonts w:ascii="Garamond" w:hAnsi="Garamond"/>
          <w:sz w:val="22"/>
          <w:szCs w:val="22"/>
          <w:lang w:val="en-US"/>
        </w:rPr>
        <w:t xml:space="preserve"> angehörige Teil derselben Objektvorstellung — die ihr entsprechenden Wortvorstellungen — vielmehr eine intensivere Besetzung erfahren sollen. Man könnte eher erwarten, daß die Wortvorstellung als der vorbewußte Anteil den ersten Stoß der Verdrängung auszuhalten hat und daß sie ganz und gar unbesetzbar wird, nachdem sich die Verdrängung bis zu den unbewußten Sachvorstellungen fortgesetzt hat.</w:t>
      </w:r>
    </w:p>
    <w:p w:rsidR="00CB2E9F" w:rsidRPr="00CB2E9F"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1)</w:t>
      </w:r>
      <w:r w:rsidRPr="00CB2E9F">
        <w:rPr>
          <w:rFonts w:ascii="Garamond" w:hAnsi="Garamond"/>
          <w:sz w:val="22"/>
          <w:szCs w:val="22"/>
          <w:lang w:val="en-US"/>
        </w:rPr>
        <w:t xml:space="preserve"> [Freud nahm dieses Thema am Anfang von Kapitel II von </w:t>
      </w:r>
      <w:r w:rsidRPr="00CB2E9F">
        <w:rPr>
          <w:rFonts w:ascii="Garamond" w:hAnsi="Garamond"/>
          <w:i/>
          <w:iCs/>
          <w:sz w:val="22"/>
          <w:szCs w:val="22"/>
          <w:lang w:val="en-US"/>
        </w:rPr>
        <w:t>Das Ich und das Es</w:t>
      </w:r>
      <w:r w:rsidRPr="00CB2E9F">
        <w:rPr>
          <w:rFonts w:ascii="Garamond" w:hAnsi="Garamond"/>
          <w:sz w:val="22"/>
          <w:szCs w:val="22"/>
          <w:lang w:val="en-US"/>
        </w:rPr>
        <w:t xml:space="preserve"> (1923 </w:t>
      </w:r>
      <w:r w:rsidRPr="00CB2E9F">
        <w:rPr>
          <w:rFonts w:ascii="Garamond" w:hAnsi="Garamond"/>
          <w:i/>
          <w:iCs/>
          <w:sz w:val="22"/>
          <w:szCs w:val="22"/>
          <w:lang w:val="en-US"/>
        </w:rPr>
        <w:t>b)</w:t>
      </w:r>
      <w:r w:rsidRPr="00CB2E9F">
        <w:rPr>
          <w:rFonts w:ascii="Garamond" w:hAnsi="Garamond"/>
          <w:sz w:val="22"/>
          <w:szCs w:val="22"/>
          <w:lang w:val="en-US"/>
        </w:rPr>
        <w:t xml:space="preserve"> wieder auf, s. unten, S. 289.]</w:t>
      </w:r>
    </w:p>
    <w:p w:rsidR="00CB2E9F" w:rsidRPr="00A06A59"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2)</w:t>
      </w:r>
      <w:r w:rsidRPr="00CB2E9F">
        <w:rPr>
          <w:rFonts w:ascii="Garamond" w:hAnsi="Garamond"/>
          <w:sz w:val="22"/>
          <w:szCs w:val="22"/>
          <w:lang w:val="en-US"/>
        </w:rPr>
        <w:t xml:space="preserve"> [Dies ist vermutlich wiederum ein Hinweis auf die nicht zur Veröffentlichung gelangte Arbeit über das Bewußtsein. </w:t>
      </w:r>
      <w:r w:rsidRPr="00A06A59">
        <w:rPr>
          <w:rFonts w:ascii="Garamond" w:hAnsi="Garamond"/>
          <w:sz w:val="22"/>
          <w:szCs w:val="22"/>
          <w:lang w:val="en-US"/>
        </w:rPr>
        <w:t>S. jedoch unten, S. 188 f.]</w:t>
      </w:r>
    </w:p>
    <w:p w:rsidR="00CB2E9F" w:rsidRPr="00A06A59" w:rsidRDefault="00CB2E9F" w:rsidP="00130855">
      <w:pPr>
        <w:pStyle w:val="NormalWeb"/>
        <w:rPr>
          <w:rFonts w:ascii="Garamond" w:hAnsi="Garamond"/>
          <w:sz w:val="22"/>
          <w:szCs w:val="22"/>
          <w:lang w:val="en-US"/>
        </w:rPr>
      </w:pPr>
      <w:r w:rsidRPr="00A06A59">
        <w:rPr>
          <w:rFonts w:ascii="Garamond" w:hAnsi="Garamond"/>
          <w:sz w:val="22"/>
          <w:szCs w:val="22"/>
          <w:lang w:val="en-US"/>
        </w:rPr>
        <w:t>Dies ist allerdings eine Schwierigkeit des Verständnisses. Es ergibt sich die Auskunft, daß die Besetzung der Wortvorstellung nicht zum Verdrängungsakt gehört, sondern den ersten der Herstellungs- oder Heilungsversuche darstellt, welche das klinische Bild der Schizophrenie so auffällig beherrschen.</w:t>
      </w:r>
      <w:r w:rsidRPr="00A06A59">
        <w:rPr>
          <w:rFonts w:ascii="Garamond" w:hAnsi="Garamond"/>
          <w:sz w:val="22"/>
          <w:szCs w:val="22"/>
          <w:vertAlign w:val="superscript"/>
          <w:lang w:val="en-US"/>
        </w:rPr>
        <w:t>1)</w:t>
      </w:r>
      <w:r w:rsidRPr="00A06A59">
        <w:rPr>
          <w:rFonts w:ascii="Garamond" w:hAnsi="Garamond"/>
          <w:sz w:val="22"/>
          <w:szCs w:val="22"/>
          <w:lang w:val="en-US"/>
        </w:rPr>
        <w:t xml:space="preserve"> Diese Bemühungen wollen die verlorenen Objekte wiedergewinnen, und es mag wohl sein, daß sie in dieser Absicht den Weg zum Objekt über den Wortanteil desselben einschlagen, wobei sie sich aber dann mit den Worten an Stelle der Dinge begnügen müssen. Unsere seelische Tätigkeit bewegt sich ja ganz allgemein in zwei entgegengesetzten Verlaufsrichtungen, entweder von den Trieben her durch das System </w:t>
      </w:r>
      <w:r w:rsidRPr="00A06A59">
        <w:rPr>
          <w:rFonts w:ascii="Garamond" w:hAnsi="Garamond"/>
          <w:i/>
          <w:iCs/>
          <w:sz w:val="22"/>
          <w:szCs w:val="22"/>
          <w:lang w:val="en-US"/>
        </w:rPr>
        <w:t>Ubw zur</w:t>
      </w:r>
      <w:r w:rsidRPr="00A06A59">
        <w:rPr>
          <w:rFonts w:ascii="Garamond" w:hAnsi="Garamond"/>
          <w:sz w:val="22"/>
          <w:szCs w:val="22"/>
          <w:lang w:val="en-US"/>
        </w:rPr>
        <w:t xml:space="preserve"> bewußten Denkarbeit oder auf Anregung von außen durch das System des </w:t>
      </w:r>
      <w:r w:rsidRPr="00A06A59">
        <w:rPr>
          <w:rFonts w:ascii="Garamond" w:hAnsi="Garamond"/>
          <w:i/>
          <w:iCs/>
          <w:sz w:val="22"/>
          <w:szCs w:val="22"/>
          <w:lang w:val="en-US"/>
        </w:rPr>
        <w:t>Bw</w:t>
      </w:r>
      <w:r w:rsidRPr="00A06A59">
        <w:rPr>
          <w:rFonts w:ascii="Garamond" w:hAnsi="Garamond"/>
          <w:sz w:val="22"/>
          <w:szCs w:val="22"/>
          <w:lang w:val="en-US"/>
        </w:rPr>
        <w:t xml:space="preserve"> und </w:t>
      </w:r>
      <w:r w:rsidRPr="00A06A59">
        <w:rPr>
          <w:rFonts w:ascii="Garamond" w:hAnsi="Garamond"/>
          <w:i/>
          <w:iCs/>
          <w:sz w:val="22"/>
          <w:szCs w:val="22"/>
          <w:lang w:val="en-US"/>
        </w:rPr>
        <w:t>Vbw</w:t>
      </w:r>
      <w:r w:rsidRPr="00A06A59">
        <w:rPr>
          <w:rFonts w:ascii="Garamond" w:hAnsi="Garamond"/>
          <w:sz w:val="22"/>
          <w:szCs w:val="22"/>
          <w:lang w:val="en-US"/>
        </w:rPr>
        <w:t xml:space="preserve"> bis zu den </w:t>
      </w:r>
      <w:r w:rsidRPr="00A06A59">
        <w:rPr>
          <w:rFonts w:ascii="Garamond" w:hAnsi="Garamond"/>
          <w:i/>
          <w:iCs/>
          <w:sz w:val="22"/>
          <w:szCs w:val="22"/>
          <w:lang w:val="en-US"/>
        </w:rPr>
        <w:t>ubw</w:t>
      </w:r>
      <w:r w:rsidRPr="00A06A59">
        <w:rPr>
          <w:rFonts w:ascii="Garamond" w:hAnsi="Garamond"/>
          <w:sz w:val="22"/>
          <w:szCs w:val="22"/>
          <w:lang w:val="en-US"/>
        </w:rPr>
        <w:t xml:space="preserve"> Besetzungen des Ichs und der Objekte. Dieser zweite Weg muß trotz der vorgefallenen Verdrängung passierbar bleiben und steht den Bemühungen der Neurose, ihre Objekte wiederzugewinnen, ein Stück weit offen. Wenn wir abstrakt denken, sind wir in Gefahr, die Beziehungen der Worte zu den unbewußten Sachvorstellungen zu vernachlässigen, und es ist nicht zu leugnen, daß unser Philosophieren dann eine unerwünschte Ähnlichkeit in Ausdruck und Inhalt mit der Arbeitsweise der Schizophrenen gewinnt.</w:t>
      </w:r>
      <w:r w:rsidRPr="00A06A59">
        <w:rPr>
          <w:rFonts w:ascii="Garamond" w:hAnsi="Garamond"/>
          <w:sz w:val="22"/>
          <w:szCs w:val="22"/>
          <w:vertAlign w:val="superscript"/>
          <w:lang w:val="en-US"/>
        </w:rPr>
        <w:t>2)</w:t>
      </w:r>
      <w:r w:rsidRPr="00A06A59">
        <w:rPr>
          <w:rFonts w:ascii="Garamond" w:hAnsi="Garamond"/>
          <w:sz w:val="22"/>
          <w:szCs w:val="22"/>
          <w:lang w:val="en-US"/>
        </w:rPr>
        <w:t xml:space="preserve"> Anderseits kann man von der Denkweise der Schizophrenen die Charakteristik versuchen, sie behandeln konkrete Dinge, als ob sie abstrakte wären.</w:t>
      </w:r>
    </w:p>
    <w:p w:rsidR="00CB2E9F" w:rsidRPr="00A06A59" w:rsidRDefault="00CB2E9F" w:rsidP="00130855">
      <w:pPr>
        <w:pStyle w:val="NormalWeb"/>
        <w:rPr>
          <w:rFonts w:ascii="Garamond" w:hAnsi="Garamond"/>
          <w:sz w:val="22"/>
          <w:szCs w:val="22"/>
          <w:lang w:val="en-US"/>
        </w:rPr>
      </w:pPr>
      <w:r w:rsidRPr="00A06A59">
        <w:rPr>
          <w:rFonts w:ascii="Garamond" w:hAnsi="Garamond"/>
          <w:sz w:val="22"/>
          <w:szCs w:val="22"/>
          <w:lang w:val="en-US"/>
        </w:rPr>
        <w:lastRenderedPageBreak/>
        <w:t xml:space="preserve">Wenn wir wirklich das </w:t>
      </w:r>
      <w:r w:rsidRPr="00A06A59">
        <w:rPr>
          <w:rFonts w:ascii="Garamond" w:hAnsi="Garamond"/>
          <w:i/>
          <w:iCs/>
          <w:sz w:val="22"/>
          <w:szCs w:val="22"/>
          <w:lang w:val="en-US"/>
        </w:rPr>
        <w:t>Ubw</w:t>
      </w:r>
      <w:r w:rsidRPr="00A06A59">
        <w:rPr>
          <w:rFonts w:ascii="Garamond" w:hAnsi="Garamond"/>
          <w:sz w:val="22"/>
          <w:szCs w:val="22"/>
          <w:lang w:val="en-US"/>
        </w:rPr>
        <w:t xml:space="preserve"> agnosziert und den Unterschied einer unbewußten Vorstellung von einer vorbewußten richtig bestimmt haben, so werden unsere Untersuchungen von vielen anderen Stellen her zu dieser Einsicht zurückführen müssen.</w:t>
      </w:r>
    </w:p>
    <w:p w:rsidR="00CB2E9F" w:rsidRPr="00A06A59" w:rsidRDefault="00CB2E9F" w:rsidP="00130855">
      <w:pPr>
        <w:pStyle w:val="NormalWeb"/>
        <w:rPr>
          <w:rFonts w:ascii="Garamond" w:hAnsi="Garamond"/>
          <w:sz w:val="22"/>
          <w:szCs w:val="22"/>
          <w:lang w:val="en-US"/>
        </w:rPr>
      </w:pPr>
      <w:r w:rsidRPr="00A06A59">
        <w:rPr>
          <w:rFonts w:ascii="Garamond" w:hAnsi="Garamond"/>
          <w:sz w:val="22"/>
          <w:szCs w:val="22"/>
          <w:lang w:val="en-US"/>
        </w:rPr>
        <w:t> ______________________</w:t>
      </w:r>
    </w:p>
    <w:p w:rsidR="00CB2E9F" w:rsidRPr="00A06A59" w:rsidRDefault="00CB2E9F" w:rsidP="00130855">
      <w:pPr>
        <w:pStyle w:val="s"/>
        <w:rPr>
          <w:rFonts w:ascii="Garamond" w:hAnsi="Garamond"/>
          <w:sz w:val="22"/>
          <w:szCs w:val="22"/>
          <w:lang w:val="en-US"/>
        </w:rPr>
      </w:pPr>
      <w:r w:rsidRPr="00A06A59">
        <w:rPr>
          <w:rFonts w:ascii="Garamond" w:hAnsi="Garamond"/>
          <w:sz w:val="22"/>
          <w:szCs w:val="22"/>
          <w:vertAlign w:val="superscript"/>
          <w:lang w:val="en-US"/>
        </w:rPr>
        <w:t>*)</w:t>
      </w:r>
      <w:r w:rsidRPr="00A06A59">
        <w:rPr>
          <w:rFonts w:ascii="Garamond" w:hAnsi="Garamond"/>
          <w:sz w:val="22"/>
          <w:szCs w:val="22"/>
          <w:lang w:val="en-US"/>
        </w:rPr>
        <w:t xml:space="preserve"> [Erstveröffentlichung: </w:t>
      </w:r>
      <w:r w:rsidRPr="00A06A59">
        <w:rPr>
          <w:rFonts w:ascii="Garamond" w:hAnsi="Garamond"/>
          <w:i/>
          <w:iCs/>
          <w:sz w:val="22"/>
          <w:szCs w:val="22"/>
          <w:lang w:val="en-US"/>
        </w:rPr>
        <w:t>Internationale Zeitschrift für Ärztliche Psychoanalyse</w:t>
      </w:r>
      <w:r w:rsidRPr="00A06A59">
        <w:rPr>
          <w:rFonts w:ascii="Garamond" w:hAnsi="Garamond"/>
          <w:sz w:val="22"/>
          <w:szCs w:val="22"/>
          <w:lang w:val="en-US"/>
        </w:rPr>
        <w:t xml:space="preserve">, Bd. 3 (4), 1915, S. 189-203. — </w:t>
      </w:r>
      <w:r w:rsidRPr="00A06A59">
        <w:rPr>
          <w:rFonts w:ascii="Garamond" w:hAnsi="Garamond"/>
          <w:i/>
          <w:iCs/>
          <w:sz w:val="22"/>
          <w:szCs w:val="22"/>
          <w:lang w:val="en-US"/>
        </w:rPr>
        <w:t>Gesammelte Werke</w:t>
      </w:r>
      <w:r w:rsidRPr="00A06A59">
        <w:rPr>
          <w:rFonts w:ascii="Garamond" w:hAnsi="Garamond"/>
          <w:sz w:val="22"/>
          <w:szCs w:val="22"/>
          <w:lang w:val="en-US"/>
        </w:rPr>
        <w:t>, Bd. 10, S. 264-303.]</w:t>
      </w:r>
    </w:p>
    <w:p w:rsidR="00CB2E9F" w:rsidRPr="00CB2E9F"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1)</w:t>
      </w:r>
      <w:r w:rsidRPr="00CB2E9F">
        <w:rPr>
          <w:rFonts w:ascii="Garamond" w:hAnsi="Garamond"/>
          <w:sz w:val="22"/>
          <w:szCs w:val="22"/>
          <w:lang w:val="en-US"/>
        </w:rPr>
        <w:t xml:space="preserve"> Gelegentlich behandelt die Traumarbeit die Worte wie die Dinge und schafft dann sehr ähnliche »schizophrene« Reden oder Wortneubildungen.</w:t>
      </w:r>
    </w:p>
    <w:p w:rsidR="005E1D01" w:rsidRDefault="005E1D01">
      <w:pPr>
        <w:rPr>
          <w:rFonts w:ascii="Garamond" w:eastAsiaTheme="majorEastAsia" w:hAnsi="Garamond" w:cstheme="majorBidi"/>
          <w:b/>
          <w:bCs/>
          <w:color w:val="4F81BD" w:themeColor="accent1"/>
          <w:lang w:val="en-US"/>
        </w:rPr>
      </w:pPr>
      <w:r>
        <w:rPr>
          <w:rFonts w:ascii="Garamond" w:hAnsi="Garamond"/>
          <w:lang w:val="en-US"/>
        </w:rPr>
        <w:br w:type="page"/>
      </w:r>
    </w:p>
    <w:p w:rsidR="005E1D01" w:rsidRDefault="00B437A1" w:rsidP="005E1D01">
      <w:pPr>
        <w:pStyle w:val="Titre3"/>
        <w:rPr>
          <w:rFonts w:ascii="Garamond" w:hAnsi="Garamond"/>
          <w:lang w:val="en-US"/>
        </w:rPr>
      </w:pPr>
      <w:hyperlink w:anchor="UnbInhalt" w:history="1">
        <w:r w:rsidR="00CB2E9F" w:rsidRPr="005E1D01">
          <w:rPr>
            <w:rStyle w:val="Lienhypertexte"/>
            <w:rFonts w:ascii="Garamond" w:hAnsi="Garamond"/>
            <w:lang w:val="en-US"/>
          </w:rPr>
          <w:t>An</w:t>
        </w:r>
        <w:bookmarkStart w:id="11" w:name="Unb8"/>
        <w:bookmarkEnd w:id="11"/>
        <w:r w:rsidR="00CB2E9F" w:rsidRPr="005E1D01">
          <w:rPr>
            <w:rStyle w:val="Lienhypertexte"/>
            <w:rFonts w:ascii="Garamond" w:hAnsi="Garamond"/>
            <w:lang w:val="en-US"/>
          </w:rPr>
          <w:t>hang</w:t>
        </w:r>
      </w:hyperlink>
      <w:r w:rsidR="00CB2E9F" w:rsidRPr="00CB2E9F">
        <w:rPr>
          <w:rFonts w:ascii="Garamond" w:hAnsi="Garamond"/>
          <w:lang w:val="en-US"/>
        </w:rPr>
        <w:t xml:space="preserve"> A. </w:t>
      </w:r>
      <w:r w:rsidR="005E1D01">
        <w:rPr>
          <w:rFonts w:ascii="Garamond" w:hAnsi="Garamond"/>
          <w:lang w:val="en-US"/>
        </w:rPr>
        <w:t xml:space="preserve"> </w:t>
      </w:r>
    </w:p>
    <w:p w:rsidR="00CB2E9F" w:rsidRPr="00CB2E9F" w:rsidRDefault="00CB2E9F" w:rsidP="005E1D01">
      <w:pPr>
        <w:pStyle w:val="Titre3"/>
        <w:rPr>
          <w:rFonts w:ascii="Garamond" w:hAnsi="Garamond"/>
          <w:lang w:val="en-US"/>
        </w:rPr>
      </w:pPr>
      <w:r w:rsidRPr="00CB2E9F">
        <w:rPr>
          <w:rFonts w:ascii="Garamond" w:hAnsi="Garamond"/>
          <w:lang w:val="en-US"/>
        </w:rPr>
        <w:t>Freud und Ewald Hering</w:t>
      </w:r>
    </w:p>
    <w:p w:rsidR="00CB2E9F" w:rsidRPr="00A06A59" w:rsidRDefault="00CB2E9F" w:rsidP="00130855">
      <w:pPr>
        <w:pStyle w:val="NormalWeb"/>
        <w:rPr>
          <w:rFonts w:ascii="Garamond" w:hAnsi="Garamond"/>
          <w:sz w:val="22"/>
          <w:szCs w:val="22"/>
          <w:lang w:val="en-US"/>
        </w:rPr>
      </w:pPr>
      <w:r w:rsidRPr="00A06A59">
        <w:rPr>
          <w:rFonts w:ascii="Garamond" w:hAnsi="Garamond"/>
          <w:sz w:val="22"/>
          <w:szCs w:val="22"/>
          <w:lang w:val="en-US"/>
        </w:rPr>
        <w:t>»Dem deutschen Leser, dem der oben erwähnte Vortrag von Hering als eine Meisterleistung vertraut ist, läge es natürlich ferne, die davon abgeleiteten Erörterungen Butlers in den Vordergrund zu rücken. Bei Hering findet man übrigens treffende Bemerkungen, welche der Psychologie das Recht zur Annahme einer unbewußten Seelentätigkeit zusprechen: ›Wer könnte hienach hoffen, das tausendfältig verschlungene Gewebe unseres inneren Lebens zu entwirren, wenn er seinen Fäden nur nachgehen wollte, soweit sie im Bewußtsein verlaufen? — [...] Man hat solche Ketten unbewußter materieller Nervenprozesse, an welche sich schließlich ein von bewußter Wahrnehmung begleitetes Glied anreiht, als unbewußte Vorstellungsreihen und unbewußte Schlüsse bezeichnet, und vom Standpunkt der Psychologie läßt sich dies auch rechtfertigen. Denn der Psychologie verschwände oft genug die Seele unter den Händen, wenn sie nicht an ihren unbewußten Zuständen festhalten wollte.‹«</w:t>
      </w:r>
    </w:p>
    <w:p w:rsidR="00CB2E9F" w:rsidRPr="00CB2E9F" w:rsidRDefault="00CB2E9F" w:rsidP="00130855">
      <w:pPr>
        <w:pStyle w:val="Titre3"/>
        <w:rPr>
          <w:rFonts w:ascii="Garamond" w:hAnsi="Garamond"/>
        </w:rPr>
      </w:pPr>
      <w:r w:rsidRPr="00CB2E9F">
        <w:rPr>
          <w:rFonts w:ascii="Garamond" w:hAnsi="Garamond"/>
        </w:rPr>
        <w:t xml:space="preserve">Anhang B. </w:t>
      </w:r>
      <w:r w:rsidRPr="00CB2E9F">
        <w:rPr>
          <w:rFonts w:ascii="Garamond" w:hAnsi="Garamond"/>
        </w:rPr>
        <w:br/>
      </w:r>
      <w:r w:rsidRPr="00CB2E9F">
        <w:rPr>
          <w:rFonts w:ascii="Garamond" w:hAnsi="Garamond"/>
        </w:rPr>
        <w:br/>
        <w:t>Der psycho-physische Parallelismus</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rPr>
        <w:t>Wir kehren nach dieser Abschweifung zur Auffassung der Aphasie zurück und erinnern uns, daß auf dem Boden Meynertscher Lehren die Annahme erwachsen ist, der Sprachapparat bestünde aus distinkten Rindenzentren, in deren Zellen die Wortvorstellungen enthalten sind, welche Zentren durch funktionsfreies Rindengebiet getrennt und durch weiße Fasern (Assozia</w:t>
      </w:r>
      <w:r w:rsidRPr="00CB2E9F">
        <w:rPr>
          <w:rFonts w:ascii="Garamond" w:hAnsi="Garamond"/>
          <w:sz w:val="22"/>
          <w:szCs w:val="22"/>
        </w:rPr>
        <w:softHyphen/>
        <w:t xml:space="preserve">tionsbündel) verknüpft werden. </w:t>
      </w:r>
      <w:r w:rsidRPr="00CB2E9F">
        <w:rPr>
          <w:rFonts w:ascii="Garamond" w:hAnsi="Garamond"/>
          <w:sz w:val="22"/>
          <w:szCs w:val="22"/>
          <w:lang w:val="en-US"/>
        </w:rPr>
        <w:t>Man kann nun zunächst in Frage ziehen, ob eine Annahme dieser Art, welche Vorstellungen in Zellen bannt, überhaupt korrekt und zulässig ist. Ich glaube: nicht.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Gegenüber der Neigung früherer medizinischer Epochen, ganze Seelen</w:t>
      </w:r>
      <w:r w:rsidRPr="00CB2E9F">
        <w:rPr>
          <w:rFonts w:ascii="Garamond" w:hAnsi="Garamond"/>
          <w:sz w:val="22"/>
          <w:szCs w:val="22"/>
          <w:lang w:val="en-US"/>
        </w:rPr>
        <w:softHyphen/>
        <w:t>vermögen, wie sie der Sprachgebrauch der Psychologie abgrenzt, an bestimmte Bezirke des Gehirns zu lokalisieren, mußte es als großer Fortschritt erscheinen, wenn Wernicke erklärte, daß man nur die einfachsten psychi</w:t>
      </w:r>
      <w:r w:rsidRPr="00CB2E9F">
        <w:rPr>
          <w:rFonts w:ascii="Garamond" w:hAnsi="Garamond"/>
          <w:sz w:val="22"/>
          <w:szCs w:val="22"/>
          <w:lang w:val="en-US"/>
        </w:rPr>
        <w:softHyphen/>
        <w:t>schen Elemente, die einzelnen Sinnesvorstellungen lokalisieren dürfe, und zwar an die zentrale Endigung des peripherischen Nerven, der den Eindruck empfangen hat. Im Grunde aber begeht man nicht denselben prinzipiellen Fehler, ob man nun einen komplizierten Begriff, eine ganze Seelentätigkeit oder ob man ein psychisches Element zu lokalisieren versucht? Ist es gerechtfertigt, eine Nervenfaser, die über die ganze Strecke ihres Verlaufes bloß ein physiologisches Gebilde und physiologischen Modifikationen unterworfen war, mit ihrem Ende ins Psychische einzutauchen und dieses Ende mit einer Vorstellung oder einem Erinnerungsbild auszustatten? Wenn der »Wille«, die »Intelligenz« u. dgl. als psychologische Kunstworte erkannt sind, denen in der physiologischen Welt sehr komplizierte Verhältnisse entsprechen, weiß man von der »einfachen Sinnesvorstellung« denn mit größerer Bestimmtheit, daß sie etwas anderes als ein solches Kunstwort ist?</w:t>
      </w:r>
    </w:p>
    <w:p w:rsidR="00CB2E9F" w:rsidRPr="00CB2E9F" w:rsidRDefault="00CB2E9F" w:rsidP="00130855">
      <w:pPr>
        <w:pStyle w:val="NormalWeb"/>
        <w:rPr>
          <w:rFonts w:ascii="Garamond" w:hAnsi="Garamond"/>
          <w:sz w:val="22"/>
          <w:szCs w:val="22"/>
        </w:rPr>
      </w:pPr>
      <w:r w:rsidRPr="00CB2E9F">
        <w:rPr>
          <w:rFonts w:ascii="Garamond" w:hAnsi="Garamond"/>
          <w:sz w:val="22"/>
          <w:szCs w:val="22"/>
          <w:lang w:val="en-US"/>
        </w:rPr>
        <w:t>Die Kette der physiologischen Vorgänge im Nervensystem steht ja wahr</w:t>
      </w:r>
      <w:r w:rsidRPr="00CB2E9F">
        <w:rPr>
          <w:rFonts w:ascii="Garamond" w:hAnsi="Garamond"/>
          <w:sz w:val="22"/>
          <w:szCs w:val="22"/>
          <w:lang w:val="en-US"/>
        </w:rPr>
        <w:softHyphen/>
        <w:t xml:space="preserve">scheinlich nicht im Verhältnis der Kausalität zu den psychischen Vorgängen. Die physiologischen Vorgänge hören nicht auf, sobald die psychischen begonnen haben, vielmehr geht die physiologische Kette weiter, nur daß jedem Glied derselben (oder einzelnen Gliedern) von einem gewissen Moment an ein psychisches Phänomen entspricht. </w:t>
      </w:r>
      <w:r w:rsidRPr="00CB2E9F">
        <w:rPr>
          <w:rFonts w:ascii="Garamond" w:hAnsi="Garamond"/>
          <w:sz w:val="22"/>
          <w:szCs w:val="22"/>
        </w:rPr>
        <w:t>Das Psychische ist somit ein Parallelvorgang des Physiologischen (»a dependent concomitant«).</w:t>
      </w:r>
    </w:p>
    <w:p w:rsidR="00CB2E9F" w:rsidRPr="00CB2E9F" w:rsidRDefault="00CB2E9F" w:rsidP="00130855">
      <w:pPr>
        <w:pStyle w:val="NormalWeb"/>
        <w:rPr>
          <w:rFonts w:ascii="Garamond" w:hAnsi="Garamond"/>
          <w:sz w:val="22"/>
          <w:szCs w:val="22"/>
        </w:rPr>
      </w:pPr>
      <w:r w:rsidRPr="00CB2E9F">
        <w:rPr>
          <w:rFonts w:ascii="Garamond" w:hAnsi="Garamond"/>
          <w:sz w:val="22"/>
          <w:szCs w:val="22"/>
        </w:rPr>
        <w:t xml:space="preserve">Ich weiß wohl, daß ich den Männern, deren Ansichten ich hier bestreite, nicht zumuten kann, sie hätten diesen Sprung und Wechsel der wissenschaftlichen Betrachtungsweise ohne Erwägung vollzogen. Sie meinen offenbar nichts anderes, als daß die — der Physiologie angehörige — Modifikation der Nervenfaser bei der Sinneserregung eine andere Modifikation in der zentralen Nervenzelle erzeugt, welche nun das physiologische Korrelat der »Vorstellung« wird. Da sie von der Vorstellung weit mehr zu sagen wissen als von den physiologisch noch gar nicht charakterisierten, unbekannten Modifikationen, bedienen sie sich des elliptischen Ausdruckes: in der Nervenzelle sei eine Vorstellung lokalisiert. Allein diese Vertretung führt auch sofort zu einer Verwechselung der beiden Dinge, die miteinander keine Ähnlichkeit zu haben brauchen. In der Psychologie ist die einfache Vorstellung für uns etwas Elementares, das wir </w:t>
      </w:r>
      <w:r w:rsidRPr="00CB2E9F">
        <w:rPr>
          <w:rFonts w:ascii="Garamond" w:hAnsi="Garamond"/>
          <w:sz w:val="22"/>
          <w:szCs w:val="22"/>
        </w:rPr>
        <w:lastRenderedPageBreak/>
        <w:t>von seinen Verbindungen mit anderen Vorstellungen scharf unterscheiden können. Wir kommen so zur Annahme, daß auch deren physiologisches Korrelat, die Modifikation, die von der erregten, im Zentrum endigenden Nervenfaser ausgeht, etwas Einfaches ist, was sich an einen Punkt lokalisieren läßt. Eine solche Übertragung ist natürlich vollkommen unberechtigt; die Eigenschaften dieser Modifikation müssen für sich und unabhängig von ihrem psychologischen Gegenstück bestimmt werden.</w:t>
      </w:r>
      <w:r w:rsidRPr="00CB2E9F">
        <w:rPr>
          <w:rFonts w:ascii="Garamond" w:hAnsi="Garamond"/>
          <w:sz w:val="22"/>
          <w:szCs w:val="22"/>
          <w:vertAlign w:val="superscript"/>
        </w:rPr>
        <w:t>1)</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rPr>
        <w:t xml:space="preserve">Was ist nun das physiologische Korrelat der einfachen oder der für sie wiederkehrenden Vorstellung? Offenbar nichts Ruhendes, sondern etwas von der Natur eines Vorganges. Dieser Vorgang verträgt die Lokalisation, er geht von einer besonderen Stelle der Hirnrinde aus und verbreitet sich von ihr über die ganze Hirnrinde oder längs besonderer Wege. Ist dieser Vorgang abgelaufen, so hinterläßt er in der von ihm affizierten Hirnrinde eine Modifikation, die Möglichkeit der Erinnerung. Es ist durchaus zweifelhaft, ob dieser Modifikation gleichfalls etwas Psychisches entspricht; unser Bewußtsein weist nichts dergleichen auf, was den Namen »latentes Erinnerungsbild« von der psychischen Seite rechtfertigen würde. </w:t>
      </w:r>
      <w:r w:rsidRPr="00CB2E9F">
        <w:rPr>
          <w:rFonts w:ascii="Garamond" w:hAnsi="Garamond"/>
          <w:sz w:val="22"/>
          <w:szCs w:val="22"/>
          <w:lang w:val="en-US"/>
        </w:rPr>
        <w:t>Sooft aber derselbe Zustand der Rinde wieder angeregt wird, entsteht das Psychische als Erinnerungsbild von neuem... </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______________________</w:t>
      </w:r>
    </w:p>
    <w:p w:rsidR="00CB2E9F" w:rsidRPr="00CB2E9F"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1)</w:t>
      </w:r>
      <w:r w:rsidRPr="00CB2E9F">
        <w:rPr>
          <w:rFonts w:ascii="Garamond" w:hAnsi="Garamond"/>
          <w:sz w:val="22"/>
          <w:szCs w:val="22"/>
          <w:lang w:val="en-US"/>
        </w:rPr>
        <w:t xml:space="preserve"> Hughlings Jackson hat aufs schärfste vor einer solchen Verwechselung des Physischen mit dem Psychischen beim Sprachvorgang gewarnt: </w:t>
      </w:r>
      <w:r w:rsidRPr="00CB2E9F">
        <w:rPr>
          <w:rFonts w:ascii="Garamond" w:hAnsi="Garamond"/>
          <w:i/>
          <w:iCs/>
          <w:sz w:val="22"/>
          <w:szCs w:val="22"/>
          <w:lang w:val="en-US"/>
        </w:rPr>
        <w:t xml:space="preserve">»In all our studies of diseases of the nervous System we must be on our guard against the fallacy, that what are physical states in lower centres fine away into psychical states in higher centres; that forexample, vihrations of sensory nerves become sensations, or that somehow or another an idea produces a movement.« </w:t>
      </w:r>
      <w:r w:rsidRPr="00CB2E9F">
        <w:rPr>
          <w:rFonts w:ascii="Garamond" w:hAnsi="Garamond"/>
          <w:sz w:val="22"/>
          <w:szCs w:val="22"/>
          <w:lang w:val="en-US"/>
        </w:rPr>
        <w:t>(1878, 306.)</w:t>
      </w:r>
    </w:p>
    <w:p w:rsidR="00CB2E9F" w:rsidRPr="00CB2E9F" w:rsidRDefault="00CB2E9F" w:rsidP="00130855">
      <w:pPr>
        <w:pStyle w:val="Titre3"/>
        <w:rPr>
          <w:rFonts w:ascii="Garamond" w:hAnsi="Garamond"/>
          <w:lang w:val="en-US"/>
        </w:rPr>
      </w:pPr>
      <w:r w:rsidRPr="00CB2E9F">
        <w:rPr>
          <w:rFonts w:ascii="Garamond" w:hAnsi="Garamond"/>
          <w:lang w:val="en-US"/>
        </w:rPr>
        <w:t xml:space="preserve">Anhang C. </w:t>
      </w:r>
      <w:r w:rsidRPr="00CB2E9F">
        <w:rPr>
          <w:rFonts w:ascii="Garamond" w:hAnsi="Garamond"/>
          <w:lang w:val="en-US"/>
        </w:rPr>
        <w:br/>
      </w:r>
      <w:r w:rsidRPr="00CB2E9F">
        <w:rPr>
          <w:rFonts w:ascii="Garamond" w:hAnsi="Garamond"/>
          <w:lang w:val="en-US"/>
        </w:rPr>
        <w:br/>
        <w:t>Wort und Ding</w:t>
      </w:r>
    </w:p>
    <w:p w:rsidR="00CB2E9F" w:rsidRPr="00CB2E9F" w:rsidRDefault="00CB2E9F" w:rsidP="00130855">
      <w:pPr>
        <w:pStyle w:val="NormalWeb"/>
        <w:rPr>
          <w:rFonts w:ascii="Garamond" w:hAnsi="Garamond"/>
          <w:sz w:val="22"/>
          <w:szCs w:val="22"/>
        </w:rPr>
      </w:pPr>
      <w:r w:rsidRPr="00CB2E9F">
        <w:rPr>
          <w:rFonts w:ascii="Garamond" w:hAnsi="Garamond"/>
          <w:sz w:val="22"/>
          <w:szCs w:val="22"/>
          <w:lang w:val="en-US"/>
        </w:rPr>
        <w:t xml:space="preserve">Wir wollen nun nachsehen, welcher Annahmen wir für die Erklärung der Sprachstörungen auf Grund eines solchen Aufbaues des Sprachapparates bedürfen, mit anderen Worten, was uns das Studium der Sprachstörungen für die Funktion dieses Apparates lehrt. </w:t>
      </w:r>
      <w:r w:rsidRPr="00CB2E9F">
        <w:rPr>
          <w:rFonts w:ascii="Garamond" w:hAnsi="Garamond"/>
          <w:sz w:val="22"/>
          <w:szCs w:val="22"/>
        </w:rPr>
        <w:t>Dabei wollen wir die psychologische und die anatomische Seite des Gegenstandes möglichst voneinander trennen.</w:t>
      </w:r>
    </w:p>
    <w:p w:rsidR="00CB2E9F" w:rsidRPr="00CB2E9F" w:rsidRDefault="00CB2E9F" w:rsidP="00130855">
      <w:pPr>
        <w:pStyle w:val="NormalWeb"/>
        <w:rPr>
          <w:rFonts w:ascii="Garamond" w:hAnsi="Garamond"/>
          <w:sz w:val="22"/>
          <w:szCs w:val="22"/>
        </w:rPr>
      </w:pPr>
      <w:r w:rsidRPr="00CB2E9F">
        <w:rPr>
          <w:rFonts w:ascii="Garamond" w:hAnsi="Garamond"/>
          <w:sz w:val="22"/>
          <w:szCs w:val="22"/>
        </w:rPr>
        <w:t>Für die Psychologie ist die Einheit der Sprachfunktion das »Wort«, eine komplexe Vorstellung, die sich als zusammengesetzt aus akustischen, visuellen und kinästhetischen Elementen erweist. Die Kenntnis dieser Zusammensetzung verdanken wir der Pathologie, welche uns zeigt, daß bei organischen Läsionen im Sprachapparate eine Zerlegung der Rede nach dieser Zusammensetzung eintritt. Wir werden so darauf vorbereitet, daß der Wegfall eines dieser Elemente der Wortvorstellung sich als das wesentlichste Kennzeichen erweisen wird, welches uns auf die Lokalisation der Erkrankung zu schließen gestattet. Man führt gewöhnlich vier Bestandteile der Wortvor</w:t>
      </w:r>
      <w:r w:rsidRPr="00CB2E9F">
        <w:rPr>
          <w:rFonts w:ascii="Garamond" w:hAnsi="Garamond"/>
          <w:sz w:val="22"/>
          <w:szCs w:val="22"/>
        </w:rPr>
        <w:softHyphen/>
        <w:t>stellung an: das »Klangbild«, das »visuelle Buchstabenbild«, das »Sprachbe</w:t>
      </w:r>
      <w:r w:rsidRPr="00CB2E9F">
        <w:rPr>
          <w:rFonts w:ascii="Garamond" w:hAnsi="Garamond"/>
          <w:sz w:val="22"/>
          <w:szCs w:val="22"/>
        </w:rPr>
        <w:softHyphen/>
        <w:t>wegungsbild« und das »Schreibbewegungsbild«. Diese Zusammensetzung erscheint aber komplizierter, wenn man auf den wahrscheinlichen Assoziationsvorgang bei den einzelnen Sprach Verrichtungen eingeht: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(1) Wir lernen </w:t>
      </w:r>
      <w:r w:rsidRPr="00CB2E9F">
        <w:rPr>
          <w:rFonts w:ascii="Garamond" w:hAnsi="Garamond"/>
          <w:i/>
          <w:iCs/>
          <w:sz w:val="22"/>
          <w:szCs w:val="22"/>
          <w:lang w:val="en-US"/>
        </w:rPr>
        <w:t>sprechen,</w:t>
      </w:r>
      <w:r w:rsidRPr="00CB2E9F">
        <w:rPr>
          <w:rFonts w:ascii="Garamond" w:hAnsi="Garamond"/>
          <w:sz w:val="22"/>
          <w:szCs w:val="22"/>
          <w:lang w:val="en-US"/>
        </w:rPr>
        <w:t xml:space="preserve"> indem wir ein </w:t>
      </w:r>
      <w:r w:rsidRPr="00CB2E9F">
        <w:rPr>
          <w:rFonts w:ascii="Garamond" w:hAnsi="Garamond"/>
          <w:i/>
          <w:iCs/>
          <w:sz w:val="22"/>
          <w:szCs w:val="22"/>
          <w:lang w:val="en-US"/>
        </w:rPr>
        <w:t>»Wortklangbild«</w:t>
      </w:r>
      <w:r w:rsidRPr="00CB2E9F">
        <w:rPr>
          <w:rFonts w:ascii="Garamond" w:hAnsi="Garamond"/>
          <w:sz w:val="22"/>
          <w:szCs w:val="22"/>
          <w:lang w:val="en-US"/>
        </w:rPr>
        <w:t xml:space="preserve"> mit einem </w:t>
      </w:r>
      <w:r w:rsidRPr="00CB2E9F">
        <w:rPr>
          <w:rFonts w:ascii="Garamond" w:hAnsi="Garamond"/>
          <w:i/>
          <w:iCs/>
          <w:sz w:val="22"/>
          <w:szCs w:val="22"/>
          <w:lang w:val="en-US"/>
        </w:rPr>
        <w:t>»Wor</w:t>
      </w:r>
      <w:r w:rsidRPr="00CB2E9F">
        <w:rPr>
          <w:rFonts w:ascii="Garamond" w:hAnsi="Garamond"/>
          <w:i/>
          <w:iCs/>
          <w:sz w:val="22"/>
          <w:szCs w:val="22"/>
          <w:lang w:val="en-US"/>
        </w:rPr>
        <w:softHyphen/>
        <w:t>tinnervationsgefühl«</w:t>
      </w:r>
      <w:r w:rsidRPr="00CB2E9F">
        <w:rPr>
          <w:rFonts w:ascii="Garamond" w:hAnsi="Garamond"/>
          <w:sz w:val="22"/>
          <w:szCs w:val="22"/>
          <w:lang w:val="en-US"/>
        </w:rPr>
        <w:t xml:space="preserve"> assoziieren. Wenn wir gesprochen haben, sind wir in den Besitz einer </w:t>
      </w:r>
      <w:r w:rsidRPr="00CB2E9F">
        <w:rPr>
          <w:rFonts w:ascii="Garamond" w:hAnsi="Garamond"/>
          <w:i/>
          <w:iCs/>
          <w:sz w:val="22"/>
          <w:szCs w:val="22"/>
          <w:lang w:val="en-US"/>
        </w:rPr>
        <w:t>»Sprachbewegungsvorstellung«</w:t>
      </w:r>
      <w:r w:rsidRPr="00CB2E9F">
        <w:rPr>
          <w:rFonts w:ascii="Garamond" w:hAnsi="Garamond"/>
          <w:sz w:val="22"/>
          <w:szCs w:val="22"/>
          <w:lang w:val="en-US"/>
        </w:rPr>
        <w:t xml:space="preserve"> (zentripetale Empfindungen von den Sprachorganen) gelangt, so daß das »Wort« für uns motorisch dop</w:t>
      </w:r>
      <w:r w:rsidRPr="00CB2E9F">
        <w:rPr>
          <w:rFonts w:ascii="Garamond" w:hAnsi="Garamond"/>
          <w:sz w:val="22"/>
          <w:szCs w:val="22"/>
          <w:lang w:val="en-US"/>
        </w:rPr>
        <w:softHyphen/>
        <w:t>pelt bestimmt ist. Von den beiden bestimmenden Elementen scheint das erstere, die Wortinnervationsvorstellung, psychologisch den geringsten Wert zu besitzen, ja es kann deren Vorkommen als psychisches Moment überhaupt bestritten werden. Außerdem erhalten wir nach dem Sprechen ein »Klangbild« des gesprochenen Wortes. Solange wir unsere Sprache nicht weiter ausgebildet haben, braucht dieses zweite Klangbild dem ersten nur assoziiert, nicht gleich zu sein. Auf dieser Stufe (der kindlichen Sprachent</w:t>
      </w:r>
      <w:r w:rsidRPr="00CB2E9F">
        <w:rPr>
          <w:rFonts w:ascii="Garamond" w:hAnsi="Garamond"/>
          <w:sz w:val="22"/>
          <w:szCs w:val="22"/>
          <w:lang w:val="en-US"/>
        </w:rPr>
        <w:softHyphen/>
        <w:t>wickelung) bedienen wir uns einer selbstgeschaffenen Sprache, wir verhalten uns dabei auch wie motorisch Aphasische, indem wir verschiedene fremde Wortklänge mit einem einzigen selbstproduzierten assoziieren.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lastRenderedPageBreak/>
        <w:t xml:space="preserve">(2) Wir lernen die Sprache der anderen, indem wir uns bemühen, das von uns selbst produzierte Klangbild dem möglichst ähnlich zu machen, was den Anlaß zur Sprachinnervation gegeben hat. Wir erlernen so das </w:t>
      </w:r>
      <w:r w:rsidRPr="00CB2E9F">
        <w:rPr>
          <w:rFonts w:ascii="Garamond" w:hAnsi="Garamond"/>
          <w:i/>
          <w:iCs/>
          <w:sz w:val="22"/>
          <w:szCs w:val="22"/>
          <w:lang w:val="en-US"/>
        </w:rPr>
        <w:t>»Nach</w:t>
      </w:r>
      <w:r w:rsidRPr="00CB2E9F">
        <w:rPr>
          <w:rFonts w:ascii="Garamond" w:hAnsi="Garamond"/>
          <w:sz w:val="22"/>
          <w:szCs w:val="22"/>
          <w:lang w:val="en-US"/>
        </w:rPr>
        <w:softHyphen/>
      </w:r>
      <w:r w:rsidRPr="00CB2E9F">
        <w:rPr>
          <w:rFonts w:ascii="Garamond" w:hAnsi="Garamond"/>
          <w:i/>
          <w:iCs/>
          <w:sz w:val="22"/>
          <w:szCs w:val="22"/>
          <w:lang w:val="en-US"/>
        </w:rPr>
        <w:t>sprechen«.</w:t>
      </w:r>
      <w:r w:rsidRPr="00CB2E9F">
        <w:rPr>
          <w:rFonts w:ascii="Garamond" w:hAnsi="Garamond"/>
          <w:sz w:val="22"/>
          <w:szCs w:val="22"/>
          <w:lang w:val="en-US"/>
        </w:rPr>
        <w:t xml:space="preserve"> Wir reihen beim </w:t>
      </w:r>
      <w:r w:rsidRPr="00CB2E9F">
        <w:rPr>
          <w:rFonts w:ascii="Garamond" w:hAnsi="Garamond"/>
          <w:i/>
          <w:iCs/>
          <w:sz w:val="22"/>
          <w:szCs w:val="22"/>
          <w:lang w:val="en-US"/>
        </w:rPr>
        <w:t>»zusammenhängenden Sprechen«</w:t>
      </w:r>
      <w:r w:rsidRPr="00CB2E9F">
        <w:rPr>
          <w:rFonts w:ascii="Garamond" w:hAnsi="Garamond"/>
          <w:sz w:val="22"/>
          <w:szCs w:val="22"/>
          <w:lang w:val="en-US"/>
        </w:rPr>
        <w:t xml:space="preserve"> dann die Worte aneinander, indem wir mit der Innervation des nächsten Wortes warten, bis das Klangbild oder die Sprachbewegungsvorstellung (oder beide) des vorigen Wortes angelangt ist. Die Sicherheit unseres Sprechens erscheint so überbestimmt und kann den Ausfall des einen oder des anderen der bestimmenden Momente gut vertragen. Indes erklären sich aus diesem Wegfall der Korrektur durch das zweite Klangbild und durch das Sprachbewegungsbild manche Eigentümlichkeiten der — physiologischen und pathologischen — Paraphasie.</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(3) Wir lernen </w:t>
      </w:r>
      <w:r w:rsidRPr="00CB2E9F">
        <w:rPr>
          <w:rFonts w:ascii="Garamond" w:hAnsi="Garamond"/>
          <w:i/>
          <w:iCs/>
          <w:sz w:val="22"/>
          <w:szCs w:val="22"/>
          <w:lang w:val="en-US"/>
        </w:rPr>
        <w:t>buchstabieren,</w:t>
      </w:r>
      <w:r w:rsidRPr="00CB2E9F">
        <w:rPr>
          <w:rFonts w:ascii="Garamond" w:hAnsi="Garamond"/>
          <w:sz w:val="22"/>
          <w:szCs w:val="22"/>
          <w:lang w:val="en-US"/>
        </w:rPr>
        <w:t xml:space="preserve"> indem wir die visuellen Bilder der Buchstaben mit neuen Klangbildern verknüpfen, die uns indes an die bereits bekannten Wortklänge erinnern müssen. Das den Buchstaben bezeichnende Klangbild sprechen wir sofort nach, so daß der Buchstabe uns wiederum durch zwei Klangbilder, die sich decken, und zwei motorische Vorstellungen, die miteinander korrespondieren, bestimmt erscheint.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(4) Wir lernen </w:t>
      </w:r>
      <w:r w:rsidRPr="00CB2E9F">
        <w:rPr>
          <w:rFonts w:ascii="Garamond" w:hAnsi="Garamond"/>
          <w:i/>
          <w:iCs/>
          <w:sz w:val="22"/>
          <w:szCs w:val="22"/>
          <w:lang w:val="en-US"/>
        </w:rPr>
        <w:t>lesen,</w:t>
      </w:r>
      <w:r w:rsidRPr="00CB2E9F">
        <w:rPr>
          <w:rFonts w:ascii="Garamond" w:hAnsi="Garamond"/>
          <w:sz w:val="22"/>
          <w:szCs w:val="22"/>
          <w:lang w:val="en-US"/>
        </w:rPr>
        <w:t xml:space="preserve"> indem wir das Nacheinander der Wortinnervations- und Wortbewegungsvorstellungen, die wir beim Sprechen der einzelnen Buchstaben erhalten, nach gewissen Regeln verknüpfen, so daß neue motorische Wortvorstellungen entstehen. Sobald letztere ausgesprochen sind, entdecken wir nach dem Klangbild dieser neuen Wortvorstellungen, daß uns beide Wortbewegungs- und Wortklangbilder, die wir so erhalten haben, längst bekannt und mit den während des Sprechens gebrauchten identisch sind. Nun assoziieren wir diesen buchstabierend gewonnenen Sprachbildern die Bedeutung, welche den primären Wortklängen zukam. Wir lesen jetzt mit Verständnis. Wenn wir primär nicht eine Schriftsprache, sondern einen Dialekt gesprochen haben, so müssen wir die beim Buchstabieren gewonne</w:t>
      </w:r>
      <w:r w:rsidRPr="00CB2E9F">
        <w:rPr>
          <w:rFonts w:ascii="Garamond" w:hAnsi="Garamond"/>
          <w:sz w:val="22"/>
          <w:szCs w:val="22"/>
          <w:lang w:val="en-US"/>
        </w:rPr>
        <w:softHyphen/>
        <w:t>nen Wortbewegungsbilder und Klangbilder den alten superassoziieren und so eine neue Sprache erlernen, was durch die Ähnlichkeit von Dialekt und Schriftsprache erleichtert wird.</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Aus dieser Darstellung des Lesenlernens ersieht man, daß dasselbe einen sehr komplizierten Vorgang ausmacht, dem ein wiederholtes Hin und Her der Assoziationsrichtung entsprechen muß. Man wird ferner darauf vorbereitet, daß die Störungen des Lesens bei der Aphasie in sehr verschiedenartiger Weise erfolgen müssen. Maßgebend für eine Läsion des visuellen Elementes beim Lesen wird bloß die </w:t>
      </w:r>
      <w:r w:rsidRPr="00CB2E9F">
        <w:rPr>
          <w:rFonts w:ascii="Garamond" w:hAnsi="Garamond"/>
          <w:i/>
          <w:iCs/>
          <w:sz w:val="22"/>
          <w:szCs w:val="22"/>
          <w:lang w:val="en-US"/>
        </w:rPr>
        <w:t>Störung im Buchstabenlesen</w:t>
      </w:r>
      <w:r w:rsidRPr="00CB2E9F">
        <w:rPr>
          <w:rFonts w:ascii="Garamond" w:hAnsi="Garamond"/>
          <w:sz w:val="22"/>
          <w:szCs w:val="22"/>
          <w:lang w:val="en-US"/>
        </w:rPr>
        <w:t xml:space="preserve"> sein. Das Zusammensetzen der Buchstaben zu einem Worte geschieht während der Übertragung auf die Sprachbahn, es wird also bei motorischer Aphasie aufgehoben sein. Das Verstehen des Gelesenen erfolgt erst vermittelst der Klangbilder, welche die ausgesprochenen Worte ergeben, oder vermittelst der Wortbewegungsbilder, welche beim Sprechen entstanden sind. Es erweist sich also als eine Funktion, die nicht nur bei motorischer, sondern auch bei akustischer Läsion untergeht, ferner als eine Funktion, die unabhängig von der Ausführung des Lesens ist. Die Selbstbeobachtung zeigt jedermann, daß es mehrere Arten des Lesens gibt, von denen die eine oder andere auf das Verständnis des Lesens verzichtet. Wenn ich Korrekturen lese, wobei ich vorhabe, den visuellen Bildern der Buchstaben und anderen Schriftzeichen besondere Aufmerksamkeit zu schenken, entgeht mir der Sinn des Gelesenen so sehr, daß ich für stilistische Verbesserungen der Probe einer besonderen Durchlesung bedarf. Lese ich ein Buch, das mich interessiert, z. B. einen Roman, so übersehe ich dafür alle Druckfehler, und es kann mir geschehen, daß ich von den Namen der darin handelnden Personen nichts im Kopfe behalte als einen verworrenen Zug und etwa die Erinnerung, daß sie lang oder kurz sind und einen auffälligen Buchstaben, ein x oder z, enthalten. Wenn ich vorlesen soll, wobei ich den Klangbildern meiner Worte und deren Intervallen besondere Aufmerksamkeit schenken muß, so bin ich wieder in Gefahr, mich um den Sinn zu wenig zu kümmern, und sobald ich ermüde, lese ich so, daß es zwar der andere noch verstehen kann, ich selbst aber nicht mehr weiß, was ich gelesen habe. Es sind dies Phänomene der geteilten Aufmerksamkeit, die gerade hier in Betracht kommen, weil das Verständnis des Gelesenen erst auf einem so weiten Umwege erfolgt. Daß von solchem Verständnis keine Rede mehr ist, wenn der Lesevorgang selbst Schwierigkeiten bietet, wird durch die Analogie mit unserem Verhalten beim Lesenlernen klar, und wir werden uns hüten müssen, den Wegfall eines solchen Verständnisses für Anzeichen einer Bahnunterbrechung zu halten. Das Lautlesen ist für keinen anderen Vorgang zu halten als das Leiselesen, außer daß es die Aufmerksamkeit von dem sensorischen Teil des Lesevorganges abziehen hilft.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lastRenderedPageBreak/>
        <w:t xml:space="preserve">(5) Wir lernen </w:t>
      </w:r>
      <w:r w:rsidRPr="00CB2E9F">
        <w:rPr>
          <w:rFonts w:ascii="Garamond" w:hAnsi="Garamond"/>
          <w:i/>
          <w:iCs/>
          <w:sz w:val="22"/>
          <w:szCs w:val="22"/>
          <w:lang w:val="en-US"/>
        </w:rPr>
        <w:t>schreiben,</w:t>
      </w:r>
      <w:r w:rsidRPr="00CB2E9F">
        <w:rPr>
          <w:rFonts w:ascii="Garamond" w:hAnsi="Garamond"/>
          <w:sz w:val="22"/>
          <w:szCs w:val="22"/>
          <w:lang w:val="en-US"/>
        </w:rPr>
        <w:t xml:space="preserve"> indem wir die visuellen Bilder der Buchstaben durch Innervationsbilder der Hand reproduzieren, bis gleiche oder ähnliche visuelle Bilder entstanden sind. In der Regel sind die Schriftbilder den Lesebildern nur ähnlich und superassoziiert, da wir Druckschrift lesen und Handschrift schreiben lernen. Das Schreiben erweist sich als ein verhältnismäßig einfacher und nicht so leicht wie das Lesen zu störender Vorgang.</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(6) Es ist anzunehmen, daß wir die einzelnen Sprachfunktionen auch späterhin auf denselben Assoziationswegen ausüben, auf welchen wir sie erlernt haben. Es mögen dabei Abkürzungen und Vertretungen stattfinden, aber es ist nicht immer leicht zu sagen, von welcher Natur. Die Bedeutung derselben wird noch durch die Bemerkung herabgesetzt, daß in Fällen von organischer Läsion der Sprachapparat wahrscheinlich als Ganzes einigermaßen geschädigt und zur Rückkehr zu den primären, gesicherten und umständlicheren Assoziationsweisen genötigt sein wird. Für das Lesen macht sich bei Geübten unzweifelhaft der Einfluß des »visuellen </w:t>
      </w:r>
      <w:r w:rsidRPr="00CB2E9F">
        <w:rPr>
          <w:rFonts w:ascii="Garamond" w:hAnsi="Garamond"/>
          <w:i/>
          <w:iCs/>
          <w:sz w:val="22"/>
          <w:szCs w:val="22"/>
          <w:lang w:val="en-US"/>
        </w:rPr>
        <w:t>Wortbildes«</w:t>
      </w:r>
      <w:r w:rsidRPr="00CB2E9F">
        <w:rPr>
          <w:rFonts w:ascii="Garamond" w:hAnsi="Garamond"/>
          <w:sz w:val="22"/>
          <w:szCs w:val="22"/>
          <w:lang w:val="en-US"/>
        </w:rPr>
        <w:t xml:space="preserve"> geltend, so daß einzelne Worte (Eigennamen) auch mit Umgehung des Buchsta</w:t>
      </w:r>
      <w:r w:rsidRPr="00CB2E9F">
        <w:rPr>
          <w:rFonts w:ascii="Garamond" w:hAnsi="Garamond"/>
          <w:sz w:val="22"/>
          <w:szCs w:val="22"/>
          <w:lang w:val="en-US"/>
        </w:rPr>
        <w:softHyphen/>
        <w:t>bierens gelesen werden können. </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Das Wort ist also eine komplexe, aus den angeführten Bildern bestehende Vorstellung oder, anders ausgedrückt, dem Wort entspricht ein verwickelter Assoziationsvorgang, den die aufgeführten Elemente visueller, akustischer und kinästhetischer Herkunft miteinander eingehen.</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Das Wort erlangt aber seine Bedeutung durch die Verknüpfung mit der »Objektvorstellung«</w:t>
      </w:r>
      <w:r w:rsidRPr="00CB2E9F">
        <w:rPr>
          <w:rFonts w:ascii="Garamond" w:hAnsi="Garamond"/>
          <w:i/>
          <w:iCs/>
          <w:sz w:val="22"/>
          <w:szCs w:val="22"/>
          <w:lang w:val="en-US"/>
        </w:rPr>
        <w:t>,</w:t>
      </w:r>
      <w:r w:rsidRPr="00CB2E9F">
        <w:rPr>
          <w:rFonts w:ascii="Garamond" w:hAnsi="Garamond"/>
          <w:sz w:val="22"/>
          <w:szCs w:val="22"/>
          <w:lang w:val="en-US"/>
        </w:rPr>
        <w:t xml:space="preserve"> wenigstens wenn wir unsere Betrachtung auf Substantiva beschränken. Die Objektvorstellung selbst ist wiederum ein Assoziationskomplex aus den verschiedenartigsten visuellen, akustischen, taktilen, kinästhetischen und anderen Vorstellungen. Wir entnehmen der Philosophie, daß die Objektvorstellung außerdem nichts anderes enthält, daß der Anschein eines »Dinges«, für dessen verschiedene »Eigenschaften« jene Sinneseindrücke sprechen, nur dadurch zustande kommt, daß wir bei der Aufzählung der Sinneseindrücke, die wir von einem Gegenstande erhalten haben, noch die Möglichkeit einer großen Reihe neuer Eindrücke in derselben Assoziationskette hinzunehmen (J. S. Mill)</w:t>
      </w:r>
      <w:r w:rsidRPr="00CB2E9F">
        <w:rPr>
          <w:rFonts w:ascii="Garamond" w:hAnsi="Garamond"/>
          <w:i/>
          <w:iCs/>
          <w:sz w:val="22"/>
          <w:szCs w:val="22"/>
          <w:lang w:val="en-US"/>
        </w:rPr>
        <w:t>.</w:t>
      </w:r>
      <w:r w:rsidRPr="00CB2E9F">
        <w:rPr>
          <w:rFonts w:ascii="Garamond" w:hAnsi="Garamond"/>
          <w:sz w:val="22"/>
          <w:szCs w:val="22"/>
          <w:vertAlign w:val="superscript"/>
          <w:lang w:val="en-US"/>
        </w:rPr>
        <w:t>1)</w:t>
      </w:r>
      <w:r w:rsidRPr="00CB2E9F">
        <w:rPr>
          <w:rFonts w:ascii="Garamond" w:hAnsi="Garamond"/>
          <w:sz w:val="22"/>
          <w:szCs w:val="22"/>
          <w:lang w:val="en-US"/>
        </w:rPr>
        <w:t xml:space="preserve"> Die Objektvorstellung erscheint uns also nicht als eine abgeschlossene, kaum als eine abschließbare, während die Wortvorstellung uns als etwas Abgeschlossenes, wenngleich der Erweiterung Fähiges erscheint.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Die Behauptung, die wir auf Grund der Pathologie der Sprachstörungen nun aufstellen müssen, geht dahin, </w:t>
      </w:r>
      <w:r w:rsidRPr="00CB2E9F">
        <w:rPr>
          <w:rFonts w:ascii="Garamond" w:hAnsi="Garamond"/>
          <w:i/>
          <w:iCs/>
          <w:sz w:val="22"/>
          <w:szCs w:val="22"/>
          <w:lang w:val="en-US"/>
        </w:rPr>
        <w:t>daß die Wortvorstellung mit ihrem sensiheln Ende (vermittelst der Klangbilder) an die Objektvorstellung geknüpft ist.</w:t>
      </w:r>
      <w:r w:rsidRPr="00CB2E9F">
        <w:rPr>
          <w:rFonts w:ascii="Garamond" w:hAnsi="Garamond"/>
          <w:sz w:val="22"/>
          <w:szCs w:val="22"/>
          <w:lang w:val="en-US"/>
        </w:rPr>
        <w:t xml:space="preserve"> Wir gelangen somit dazu, zwei Klassen von Sprachstörung anzunehmen: (1) Eine Aphasie erster Ordnung, </w:t>
      </w:r>
      <w:r w:rsidRPr="00CB2E9F">
        <w:rPr>
          <w:rFonts w:ascii="Garamond" w:hAnsi="Garamond"/>
          <w:i/>
          <w:iCs/>
          <w:sz w:val="22"/>
          <w:szCs w:val="22"/>
          <w:lang w:val="en-US"/>
        </w:rPr>
        <w:t>verbale Aphasie,</w:t>
      </w:r>
      <w:r w:rsidRPr="00CB2E9F">
        <w:rPr>
          <w:rFonts w:ascii="Garamond" w:hAnsi="Garamond"/>
          <w:sz w:val="22"/>
          <w:szCs w:val="22"/>
          <w:lang w:val="en-US"/>
        </w:rPr>
        <w:t xml:space="preserve"> bei welcher bloß die Assoziationen zwischen den einzelnen Elementen der Wortvorstellung gestört sind, und (2) eine Aphasie zweiter Ordnung, </w:t>
      </w:r>
      <w:r w:rsidRPr="00CB2E9F">
        <w:rPr>
          <w:rFonts w:ascii="Garamond" w:hAnsi="Garamond"/>
          <w:i/>
          <w:iCs/>
          <w:sz w:val="22"/>
          <w:szCs w:val="22"/>
          <w:lang w:val="en-US"/>
        </w:rPr>
        <w:t>asymbolische</w:t>
      </w:r>
      <w:r w:rsidRPr="00CB2E9F">
        <w:rPr>
          <w:rFonts w:ascii="Garamond" w:hAnsi="Garamond"/>
          <w:sz w:val="22"/>
          <w:szCs w:val="22"/>
          <w:lang w:val="en-US"/>
        </w:rPr>
        <w:t xml:space="preserve"> Aphasie, bei welcher die Assoziation von Wort- und Objektvorstellung gestört ist.</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xml:space="preserve">Ich verwende die Bezeichnung Asymbolie in anderem Sinne, als seit Finkelnburg </w:t>
      </w:r>
      <w:r w:rsidRPr="00CB2E9F">
        <w:rPr>
          <w:rFonts w:ascii="Garamond" w:hAnsi="Garamond"/>
          <w:sz w:val="22"/>
          <w:szCs w:val="22"/>
          <w:vertAlign w:val="superscript"/>
          <w:lang w:val="en-US"/>
        </w:rPr>
        <w:t>2)</w:t>
      </w:r>
      <w:r w:rsidRPr="00CB2E9F">
        <w:rPr>
          <w:rFonts w:ascii="Garamond" w:hAnsi="Garamond"/>
          <w:sz w:val="22"/>
          <w:szCs w:val="22"/>
          <w:lang w:val="en-US"/>
        </w:rPr>
        <w:t xml:space="preserve"> gebräuchlich ist, weil mir die Beziehung zwischen Wort- und Objektvorstellung eher den Namen einer »symbolischen« zu verdienen scheint als die zwischen Objekt und Objektvorstellung. Störungen im Erkennen von Gegenständen, welche Finkelnburg als Asymbolie zusammenfaßt, möchte ich vorschlagen </w:t>
      </w:r>
      <w:r w:rsidRPr="00CB2E9F">
        <w:rPr>
          <w:rFonts w:ascii="Garamond" w:hAnsi="Garamond"/>
          <w:i/>
          <w:iCs/>
          <w:sz w:val="22"/>
          <w:szCs w:val="22"/>
          <w:lang w:val="en-US"/>
        </w:rPr>
        <w:t>»Agnosie«</w:t>
      </w:r>
      <w:r w:rsidRPr="00CB2E9F">
        <w:rPr>
          <w:rFonts w:ascii="Garamond" w:hAnsi="Garamond"/>
          <w:sz w:val="22"/>
          <w:szCs w:val="22"/>
          <w:lang w:val="en-US"/>
        </w:rPr>
        <w:t xml:space="preserve"> zu nennen. Es wäre nun möglich, daß agnostische Störungen, die nur bei doppelseitigen und ausgebreiteten Rindenläsionen zustande kommen können, auch eine Störung der Sprache mit sich ziehen, da alle Anregungen zum spontanen Sprechen aus dem Gebiet der Objektassoziationen stammen. Solche Sprachstörungen würde ich </w:t>
      </w:r>
      <w:r w:rsidRPr="00CB2E9F">
        <w:rPr>
          <w:rFonts w:ascii="Garamond" w:hAnsi="Garamond"/>
          <w:i/>
          <w:iCs/>
          <w:sz w:val="22"/>
          <w:szCs w:val="22"/>
          <w:lang w:val="en-US"/>
        </w:rPr>
        <w:t>Aphasien dritter Ordnung</w:t>
      </w:r>
      <w:r w:rsidRPr="00CB2E9F">
        <w:rPr>
          <w:rFonts w:ascii="Garamond" w:hAnsi="Garamond"/>
          <w:sz w:val="22"/>
          <w:szCs w:val="22"/>
          <w:lang w:val="en-US"/>
        </w:rPr>
        <w:t xml:space="preserve"> oder </w:t>
      </w:r>
      <w:r w:rsidRPr="00CB2E9F">
        <w:rPr>
          <w:rFonts w:ascii="Garamond" w:hAnsi="Garamond"/>
          <w:i/>
          <w:iCs/>
          <w:sz w:val="22"/>
          <w:szCs w:val="22"/>
          <w:lang w:val="en-US"/>
        </w:rPr>
        <w:t>agnostische Aphasien</w:t>
      </w:r>
      <w:r w:rsidRPr="00CB2E9F">
        <w:rPr>
          <w:rFonts w:ascii="Garamond" w:hAnsi="Garamond"/>
          <w:sz w:val="22"/>
          <w:szCs w:val="22"/>
          <w:lang w:val="en-US"/>
        </w:rPr>
        <w:t xml:space="preserve"> heißen. Die Klinik hat uns in der Tat einige Fälle kennen gelehrt, welche diese Auffassung fordern...</w:t>
      </w:r>
    </w:p>
    <w:p w:rsidR="00CB2E9F" w:rsidRPr="00CB2E9F" w:rsidRDefault="00CB2E9F" w:rsidP="00130855">
      <w:pPr>
        <w:rPr>
          <w:rFonts w:ascii="Garamond" w:hAnsi="Garamond"/>
        </w:rPr>
      </w:pPr>
      <w:bookmarkStart w:id="12" w:name="49363"/>
      <w:bookmarkEnd w:id="12"/>
      <w:r w:rsidRPr="00CB2E9F">
        <w:rPr>
          <w:rFonts w:ascii="Garamond" w:hAnsi="Garamond"/>
          <w:noProof/>
          <w:lang w:eastAsia="fr-FR"/>
        </w:rPr>
        <w:drawing>
          <wp:inline distT="0" distB="0" distL="0" distR="0">
            <wp:extent cx="7620" cy="205740"/>
            <wp:effectExtent l="0" t="0" r="0" b="0"/>
            <wp:docPr id="6" name="Image 6"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xtlog.de/clear.gif"/>
                    <pic:cNvPicPr>
                      <a:picLocks noChangeAspect="1" noChangeArrowheads="1"/>
                    </pic:cNvPicPr>
                  </pic:nvPicPr>
                  <pic:blipFill>
                    <a:blip r:embed="rId12"/>
                    <a:srcRect/>
                    <a:stretch>
                      <a:fillRect/>
                    </a:stretch>
                  </pic:blipFill>
                  <pic:spPr bwMode="auto">
                    <a:xfrm>
                      <a:off x="0" y="0"/>
                      <a:ext cx="7620" cy="205740"/>
                    </a:xfrm>
                    <a:prstGeom prst="rect">
                      <a:avLst/>
                    </a:prstGeom>
                    <a:noFill/>
                    <a:ln w="9525">
                      <a:noFill/>
                      <a:miter lim="800000"/>
                      <a:headEnd/>
                      <a:tailEnd/>
                    </a:ln>
                  </pic:spPr>
                </pic:pic>
              </a:graphicData>
            </a:graphic>
          </wp:inline>
        </w:drawing>
      </w:r>
    </w:p>
    <w:tbl>
      <w:tblPr>
        <w:tblW w:w="7200" w:type="dxa"/>
        <w:jc w:val="center"/>
        <w:tblCellSpacing w:w="0" w:type="dxa"/>
        <w:tblCellMar>
          <w:left w:w="0" w:type="dxa"/>
          <w:right w:w="0" w:type="dxa"/>
        </w:tblCellMar>
        <w:tblLook w:val="04A0"/>
      </w:tblPr>
      <w:tblGrid>
        <w:gridCol w:w="7230"/>
      </w:tblGrid>
      <w:tr w:rsidR="00CB2E9F" w:rsidRPr="00CB2E9F" w:rsidTr="00CB2E9F">
        <w:trPr>
          <w:tblCellSpacing w:w="0" w:type="dxa"/>
          <w:jc w:val="center"/>
        </w:trPr>
        <w:tc>
          <w:tcPr>
            <w:tcW w:w="0" w:type="auto"/>
            <w:vAlign w:val="center"/>
            <w:hideMark/>
          </w:tcPr>
          <w:p w:rsidR="00CB2E9F" w:rsidRPr="00CB2E9F" w:rsidRDefault="00CB2E9F" w:rsidP="00130855">
            <w:pPr>
              <w:rPr>
                <w:rFonts w:ascii="Garamond" w:hAnsi="Garamond"/>
              </w:rPr>
            </w:pPr>
            <w:r w:rsidRPr="00CB2E9F">
              <w:rPr>
                <w:rFonts w:ascii="Garamond" w:hAnsi="Garamond"/>
                <w:noProof/>
                <w:lang w:eastAsia="fr-FR"/>
              </w:rPr>
              <w:drawing>
                <wp:inline distT="0" distB="0" distL="0" distR="0">
                  <wp:extent cx="4572000" cy="7620"/>
                  <wp:effectExtent l="0" t="0" r="0" b="0"/>
                  <wp:docPr id="7" name="Image 7"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xtlog.de/clear.gif"/>
                          <pic:cNvPicPr>
                            <a:picLocks noChangeAspect="1" noChangeArrowheads="1"/>
                          </pic:cNvPicPr>
                        </pic:nvPicPr>
                        <pic:blipFill>
                          <a:blip r:embed="rId12"/>
                          <a:srcRect/>
                          <a:stretch>
                            <a:fillRect/>
                          </a:stretch>
                        </pic:blipFill>
                        <pic:spPr bwMode="auto">
                          <a:xfrm>
                            <a:off x="0" y="0"/>
                            <a:ext cx="4572000" cy="7620"/>
                          </a:xfrm>
                          <a:prstGeom prst="rect">
                            <a:avLst/>
                          </a:prstGeom>
                          <a:noFill/>
                          <a:ln w="9525">
                            <a:noFill/>
                            <a:miter lim="800000"/>
                            <a:headEnd/>
                            <a:tailEnd/>
                          </a:ln>
                        </pic:spPr>
                      </pic:pic>
                    </a:graphicData>
                  </a:graphic>
                </wp:inline>
              </w:drawing>
            </w:r>
          </w:p>
        </w:tc>
      </w:tr>
      <w:tr w:rsidR="00CB2E9F" w:rsidRPr="00CB2E9F" w:rsidTr="00CB2E9F">
        <w:trPr>
          <w:tblCellSpacing w:w="0" w:type="dxa"/>
          <w:jc w:val="center"/>
        </w:trPr>
        <w:tc>
          <w:tcPr>
            <w:tcW w:w="0" w:type="auto"/>
            <w:hideMark/>
          </w:tcPr>
          <w:p w:rsidR="00CB2E9F" w:rsidRPr="00CB2E9F" w:rsidRDefault="00CB2E9F" w:rsidP="00130855">
            <w:pPr>
              <w:rPr>
                <w:rFonts w:ascii="Garamond" w:hAnsi="Garamond"/>
              </w:rPr>
            </w:pPr>
            <w:r w:rsidRPr="00CB2E9F">
              <w:rPr>
                <w:rFonts w:ascii="Garamond" w:hAnsi="Garamond"/>
                <w:noProof/>
                <w:lang w:eastAsia="fr-FR"/>
              </w:rPr>
              <w:lastRenderedPageBreak/>
              <w:drawing>
                <wp:inline distT="0" distB="0" distL="0" distR="0">
                  <wp:extent cx="4572000" cy="2766060"/>
                  <wp:effectExtent l="19050" t="0" r="0" b="0"/>
                  <wp:docPr id="8" name="Image 8" descr="http://www.textlog.de/uploads/pics/freud-wortvorstell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xtlog.de/uploads/pics/freud-wortvorstellung.gif"/>
                          <pic:cNvPicPr>
                            <a:picLocks noChangeAspect="1" noChangeArrowheads="1"/>
                          </pic:cNvPicPr>
                        </pic:nvPicPr>
                        <pic:blipFill>
                          <a:blip r:embed="rId13" cstate="print"/>
                          <a:srcRect/>
                          <a:stretch>
                            <a:fillRect/>
                          </a:stretch>
                        </pic:blipFill>
                        <pic:spPr bwMode="auto">
                          <a:xfrm>
                            <a:off x="0" y="0"/>
                            <a:ext cx="4572000" cy="2766060"/>
                          </a:xfrm>
                          <a:prstGeom prst="rect">
                            <a:avLst/>
                          </a:prstGeom>
                          <a:noFill/>
                          <a:ln w="9525">
                            <a:noFill/>
                            <a:miter lim="800000"/>
                            <a:headEnd/>
                            <a:tailEnd/>
                          </a:ln>
                        </pic:spPr>
                      </pic:pic>
                    </a:graphicData>
                  </a:graphic>
                </wp:inline>
              </w:drawing>
            </w:r>
          </w:p>
        </w:tc>
      </w:tr>
    </w:tbl>
    <w:p w:rsidR="00CB2E9F" w:rsidRPr="00CB2E9F" w:rsidRDefault="00CB2E9F" w:rsidP="00130855">
      <w:pPr>
        <w:rPr>
          <w:rFonts w:ascii="Garamond" w:hAnsi="Garamond"/>
        </w:rPr>
      </w:pPr>
      <w:r w:rsidRPr="00CB2E9F">
        <w:rPr>
          <w:rFonts w:ascii="Garamond" w:hAnsi="Garamond"/>
          <w:noProof/>
          <w:lang w:eastAsia="fr-FR"/>
        </w:rPr>
        <w:drawing>
          <wp:inline distT="0" distB="0" distL="0" distR="0">
            <wp:extent cx="7620" cy="60960"/>
            <wp:effectExtent l="0" t="0" r="0" b="0"/>
            <wp:docPr id="9" name="Image 9"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xtlog.de/clear.gif"/>
                    <pic:cNvPicPr>
                      <a:picLocks noChangeAspect="1" noChangeArrowheads="1"/>
                    </pic:cNvPicPr>
                  </pic:nvPicPr>
                  <pic:blipFill>
                    <a:blip r:embed="rId12"/>
                    <a:srcRect/>
                    <a:stretch>
                      <a:fillRect/>
                    </a:stretch>
                  </pic:blipFill>
                  <pic:spPr bwMode="auto">
                    <a:xfrm>
                      <a:off x="0" y="0"/>
                      <a:ext cx="7620" cy="60960"/>
                    </a:xfrm>
                    <a:prstGeom prst="rect">
                      <a:avLst/>
                    </a:prstGeom>
                    <a:noFill/>
                    <a:ln w="9525">
                      <a:noFill/>
                      <a:miter lim="800000"/>
                      <a:headEnd/>
                      <a:tailEnd/>
                    </a:ln>
                  </pic:spPr>
                </pic:pic>
              </a:graphicData>
            </a:graphic>
          </wp:inline>
        </w:drawing>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 </w:t>
      </w:r>
    </w:p>
    <w:p w:rsidR="00CB2E9F" w:rsidRPr="00CB2E9F" w:rsidRDefault="00CB2E9F" w:rsidP="00130855">
      <w:pPr>
        <w:pStyle w:val="s"/>
        <w:rPr>
          <w:rFonts w:ascii="Garamond" w:hAnsi="Garamond"/>
          <w:sz w:val="22"/>
          <w:szCs w:val="22"/>
          <w:lang w:val="en-US"/>
        </w:rPr>
      </w:pPr>
      <w:r w:rsidRPr="00CB2E9F">
        <w:rPr>
          <w:rFonts w:ascii="Garamond" w:hAnsi="Garamond"/>
          <w:sz w:val="22"/>
          <w:szCs w:val="22"/>
          <w:lang w:val="en-US"/>
        </w:rPr>
        <w:t xml:space="preserve">Fig. 8. </w:t>
      </w:r>
      <w:r w:rsidRPr="00CB2E9F">
        <w:rPr>
          <w:rFonts w:ascii="Garamond" w:hAnsi="Garamond"/>
          <w:i/>
          <w:iCs/>
          <w:sz w:val="22"/>
          <w:szCs w:val="22"/>
          <w:lang w:val="en-US"/>
        </w:rPr>
        <w:t>Psychologisches Schema der Wortvorstellung</w:t>
      </w:r>
    </w:p>
    <w:p w:rsidR="00CB2E9F" w:rsidRPr="00CB2E9F" w:rsidRDefault="00CB2E9F" w:rsidP="005E1D01">
      <w:pPr>
        <w:pStyle w:val="s"/>
        <w:rPr>
          <w:rFonts w:ascii="Garamond" w:hAnsi="Garamond"/>
          <w:sz w:val="22"/>
          <w:szCs w:val="22"/>
          <w:lang w:val="en-US"/>
        </w:rPr>
      </w:pPr>
      <w:r w:rsidRPr="00CB2E9F">
        <w:rPr>
          <w:rFonts w:ascii="Garamond" w:hAnsi="Garamond"/>
          <w:sz w:val="22"/>
          <w:szCs w:val="22"/>
          <w:lang w:val="en-US"/>
        </w:rPr>
        <w:t>Die Wortvorstellung erscheint als ein abgeschlossener Vorstellungskomplex, die Objektvorstellung dagegen als ein offener. Die Wortvorstellung ist nicht von allen ihren Bestandteilen, sondern bloß vom Klangbild her mit der Objektvorstellung verknüpft. Unter den Objektassoziationen sind es die visuellen, welche das Objekt in ähnlicher Weise vertreten, wie das Klangbild das Wort vertritt. Die Verbindungen des Wortklangbildes mit anderen Objektassoziationen als den visuellen sind nicht eingezeichnet.</w:t>
      </w:r>
      <w:bookmarkStart w:id="13" w:name="49364"/>
      <w:bookmarkEnd w:id="13"/>
      <w:r w:rsidRPr="00CB2E9F">
        <w:rPr>
          <w:rFonts w:ascii="Garamond" w:hAnsi="Garamond"/>
          <w:sz w:val="22"/>
          <w:szCs w:val="22"/>
          <w:lang w:val="en-US"/>
        </w:rPr>
        <w:t> </w:t>
      </w:r>
    </w:p>
    <w:p w:rsidR="00CB2E9F" w:rsidRPr="00CB2E9F" w:rsidRDefault="00CB2E9F" w:rsidP="00130855">
      <w:pPr>
        <w:pStyle w:val="NormalWeb"/>
        <w:rPr>
          <w:rFonts w:ascii="Garamond" w:hAnsi="Garamond"/>
          <w:sz w:val="22"/>
          <w:szCs w:val="22"/>
          <w:lang w:val="en-US"/>
        </w:rPr>
      </w:pPr>
      <w:r w:rsidRPr="00CB2E9F">
        <w:rPr>
          <w:rFonts w:ascii="Garamond" w:hAnsi="Garamond"/>
          <w:sz w:val="22"/>
          <w:szCs w:val="22"/>
          <w:lang w:val="en-US"/>
        </w:rPr>
        <w:t>______________________</w:t>
      </w:r>
    </w:p>
    <w:p w:rsidR="00CB2E9F" w:rsidRPr="00CB2E9F"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1)</w:t>
      </w:r>
      <w:r w:rsidRPr="00CB2E9F">
        <w:rPr>
          <w:rFonts w:ascii="Garamond" w:hAnsi="Garamond"/>
          <w:sz w:val="22"/>
          <w:szCs w:val="22"/>
          <w:lang w:val="en-US"/>
        </w:rPr>
        <w:t xml:space="preserve"> J. St. Mill, </w:t>
      </w:r>
      <w:r w:rsidRPr="00CB2E9F">
        <w:rPr>
          <w:rFonts w:ascii="Garamond" w:hAnsi="Garamond"/>
          <w:i/>
          <w:iCs/>
          <w:sz w:val="22"/>
          <w:szCs w:val="22"/>
          <w:lang w:val="en-US"/>
        </w:rPr>
        <w:t>Logik</w:t>
      </w:r>
      <w:r w:rsidRPr="00CB2E9F">
        <w:rPr>
          <w:rFonts w:ascii="Garamond" w:hAnsi="Garamond"/>
          <w:sz w:val="22"/>
          <w:szCs w:val="22"/>
          <w:lang w:val="en-US"/>
        </w:rPr>
        <w:t xml:space="preserve"> I, Kapitel III, und </w:t>
      </w:r>
      <w:r w:rsidRPr="00CB2E9F">
        <w:rPr>
          <w:rFonts w:ascii="Garamond" w:hAnsi="Garamond"/>
          <w:i/>
          <w:iCs/>
          <w:sz w:val="22"/>
          <w:szCs w:val="22"/>
          <w:lang w:val="en-US"/>
        </w:rPr>
        <w:t>An Examination of Sir William Hamilton's Philosophy</w:t>
      </w:r>
      <w:r w:rsidRPr="00CB2E9F">
        <w:rPr>
          <w:rFonts w:ascii="Garamond" w:hAnsi="Garamond"/>
          <w:sz w:val="22"/>
          <w:szCs w:val="22"/>
          <w:lang w:val="en-US"/>
        </w:rPr>
        <w:t>.</w:t>
      </w:r>
    </w:p>
    <w:p w:rsidR="005E1D01" w:rsidRDefault="00CB2E9F" w:rsidP="00130855">
      <w:pPr>
        <w:pStyle w:val="s"/>
        <w:rPr>
          <w:rFonts w:ascii="Garamond" w:hAnsi="Garamond"/>
          <w:sz w:val="22"/>
          <w:szCs w:val="22"/>
          <w:lang w:val="en-US"/>
        </w:rPr>
      </w:pPr>
      <w:r w:rsidRPr="00CB2E9F">
        <w:rPr>
          <w:rFonts w:ascii="Garamond" w:hAnsi="Garamond"/>
          <w:sz w:val="22"/>
          <w:szCs w:val="22"/>
          <w:vertAlign w:val="superscript"/>
          <w:lang w:val="en-US"/>
        </w:rPr>
        <w:t>2)</w:t>
      </w:r>
      <w:r w:rsidRPr="00CB2E9F">
        <w:rPr>
          <w:rFonts w:ascii="Garamond" w:hAnsi="Garamond"/>
          <w:sz w:val="22"/>
          <w:szCs w:val="22"/>
          <w:lang w:val="en-US"/>
        </w:rPr>
        <w:t xml:space="preserve"> Nach Spamer (1876).</w:t>
      </w:r>
    </w:p>
    <w:p w:rsidR="005E1D01" w:rsidRDefault="005E1D01">
      <w:pPr>
        <w:rPr>
          <w:rFonts w:ascii="Garamond" w:eastAsia="Times New Roman" w:hAnsi="Garamond" w:cs="Times New Roman"/>
          <w:lang w:val="en-US" w:eastAsia="fr-FR"/>
        </w:rPr>
      </w:pPr>
      <w:r>
        <w:rPr>
          <w:rFonts w:ascii="Garamond" w:hAnsi="Garamond"/>
          <w:lang w:val="en-US"/>
        </w:rPr>
        <w:br w:type="page"/>
      </w:r>
    </w:p>
    <w:p w:rsidR="005E1D01" w:rsidRDefault="005E1D01" w:rsidP="00130855">
      <w:pPr>
        <w:spacing w:before="100" w:beforeAutospacing="1" w:after="100" w:afterAutospacing="1" w:line="240" w:lineRule="auto"/>
        <w:outlineLvl w:val="1"/>
        <w:rPr>
          <w:rFonts w:ascii="Garamond" w:eastAsia="Times New Roman" w:hAnsi="Garamond" w:cs="Times New Roman"/>
          <w:bCs/>
          <w:lang w:val="en-US" w:eastAsia="fr-FR"/>
        </w:rPr>
      </w:pPr>
    </w:p>
    <w:p w:rsidR="00525700" w:rsidRPr="00525700" w:rsidRDefault="00525700" w:rsidP="00130855">
      <w:pPr>
        <w:pStyle w:val="c"/>
        <w:rPr>
          <w:rFonts w:ascii="Garamond" w:hAnsi="Garamond"/>
          <w:sz w:val="28"/>
          <w:szCs w:val="28"/>
          <w:lang w:val="en-US"/>
        </w:rPr>
      </w:pPr>
      <w:r w:rsidRPr="00525700">
        <w:rPr>
          <w:rFonts w:ascii="Garamond" w:hAnsi="Garamond"/>
          <w:bCs/>
          <w:sz w:val="28"/>
          <w:szCs w:val="28"/>
          <w:lang w:val="en-US"/>
        </w:rPr>
        <w:t>Je</w:t>
      </w:r>
      <w:bookmarkStart w:id="14" w:name="F36"/>
      <w:bookmarkEnd w:id="14"/>
      <w:r w:rsidRPr="00525700">
        <w:rPr>
          <w:rFonts w:ascii="Garamond" w:hAnsi="Garamond"/>
          <w:bCs/>
          <w:sz w:val="28"/>
          <w:szCs w:val="28"/>
          <w:lang w:val="en-US"/>
        </w:rPr>
        <w:t>nseits des Lustprinzips</w:t>
      </w:r>
      <w:r>
        <w:rPr>
          <w:rFonts w:ascii="Garamond" w:hAnsi="Garamond"/>
          <w:bCs/>
          <w:sz w:val="28"/>
          <w:szCs w:val="28"/>
          <w:lang w:val="en-US"/>
        </w:rPr>
        <w:t xml:space="preserve">                                                                         </w:t>
      </w:r>
      <w:hyperlink w:anchor="Werke" w:history="1">
        <w:r w:rsidRPr="00525700">
          <w:rPr>
            <w:rStyle w:val="Lienhypertexte"/>
            <w:rFonts w:ascii="Garamond" w:hAnsi="Garamond"/>
            <w:lang w:val="en-US"/>
          </w:rPr>
          <w:t>Werke</w:t>
        </w:r>
      </w:hyperlink>
    </w:p>
    <w:p w:rsidR="00525700" w:rsidRPr="00525700" w:rsidRDefault="00525700" w:rsidP="00130855">
      <w:pPr>
        <w:pStyle w:val="c"/>
        <w:rPr>
          <w:rFonts w:ascii="Garamond" w:hAnsi="Garamond"/>
          <w:sz w:val="22"/>
          <w:szCs w:val="22"/>
          <w:lang w:val="en-US"/>
        </w:rPr>
      </w:pPr>
      <w:r w:rsidRPr="00525700">
        <w:rPr>
          <w:rFonts w:ascii="Garamond" w:hAnsi="Garamond"/>
          <w:sz w:val="22"/>
          <w:szCs w:val="22"/>
          <w:lang w:val="en-US"/>
        </w:rPr>
        <w:t>(1920)</w:t>
      </w:r>
    </w:p>
    <w:p w:rsidR="005E1D01" w:rsidRDefault="00525700" w:rsidP="005E1D01">
      <w:pPr>
        <w:pStyle w:val="Sansinterligne"/>
        <w:rPr>
          <w:rFonts w:ascii="Garamond" w:hAnsi="Garamond"/>
          <w:lang w:val="en-US"/>
        </w:rPr>
      </w:pPr>
      <w:r w:rsidRPr="005E1D01">
        <w:rPr>
          <w:rFonts w:ascii="Garamond" w:hAnsi="Garamond"/>
          <w:lang w:val="en-US"/>
        </w:rPr>
        <w:t xml:space="preserve"> [Erstveröffentlichung: Leipzig, Wien und Zürich, </w:t>
      </w:r>
      <w:r w:rsidRPr="005E1D01">
        <w:rPr>
          <w:rFonts w:ascii="Garamond" w:hAnsi="Garamond"/>
          <w:i/>
          <w:iCs/>
          <w:lang w:val="en-US"/>
        </w:rPr>
        <w:t>Internationaler Psychoanalytischer Verlag</w:t>
      </w:r>
      <w:r w:rsidRPr="005E1D01">
        <w:rPr>
          <w:rFonts w:ascii="Garamond" w:hAnsi="Garamond"/>
          <w:lang w:val="en-US"/>
        </w:rPr>
        <w:t>, 1920</w:t>
      </w:r>
      <w:r w:rsidRPr="005E1D01">
        <w:rPr>
          <w:rFonts w:ascii="Garamond" w:hAnsi="Garamond"/>
          <w:i/>
          <w:iCs/>
          <w:lang w:val="en-US"/>
        </w:rPr>
        <w:t>g</w:t>
      </w:r>
      <w:r w:rsidRPr="005E1D01">
        <w:rPr>
          <w:rFonts w:ascii="Garamond" w:hAnsi="Garamond"/>
          <w:lang w:val="en-US"/>
        </w:rPr>
        <w:t>. — Gesammelte Werke, Bd. 13, S. 1-69.]</w:t>
      </w:r>
    </w:p>
    <w:p w:rsidR="005E1D01" w:rsidRDefault="005E1D01" w:rsidP="005E1D01">
      <w:pPr>
        <w:pStyle w:val="Sansinterligne"/>
        <w:rPr>
          <w:rFonts w:ascii="Garamond" w:hAnsi="Garamond"/>
          <w:lang w:val="en-US"/>
        </w:rPr>
      </w:pPr>
    </w:p>
    <w:p w:rsidR="005E1D01" w:rsidRPr="005E1D01" w:rsidRDefault="005E1D01" w:rsidP="005E1D01">
      <w:pPr>
        <w:pStyle w:val="Sansinterligne"/>
        <w:rPr>
          <w:rFonts w:ascii="Garamond" w:hAnsi="Garamond"/>
          <w:lang w:val="en-US"/>
        </w:rPr>
      </w:pPr>
      <w:r>
        <w:rPr>
          <w:rFonts w:ascii="Garamond" w:hAnsi="Garamond"/>
          <w:lang w:val="en-US"/>
        </w:rPr>
        <w:t>In</w:t>
      </w:r>
      <w:bookmarkStart w:id="15" w:name="LustprinzipINHALT"/>
      <w:bookmarkEnd w:id="15"/>
      <w:r>
        <w:rPr>
          <w:rFonts w:ascii="Garamond" w:hAnsi="Garamond"/>
          <w:lang w:val="en-US"/>
        </w:rPr>
        <w:t>halt</w:t>
      </w:r>
    </w:p>
    <w:p w:rsidR="005E1D01" w:rsidRDefault="005E1D01" w:rsidP="005E1D01">
      <w:pPr>
        <w:pStyle w:val="Sansinterligne"/>
        <w:rPr>
          <w:rFonts w:ascii="Garamond" w:hAnsi="Garamond"/>
          <w:lang w:val="en-US"/>
        </w:rPr>
      </w:pPr>
    </w:p>
    <w:p w:rsidR="005E1D01" w:rsidRDefault="00B437A1" w:rsidP="00CE4D4E">
      <w:pPr>
        <w:pStyle w:val="Sansinterligne"/>
        <w:numPr>
          <w:ilvl w:val="0"/>
          <w:numId w:val="6"/>
        </w:numPr>
        <w:rPr>
          <w:rFonts w:ascii="Garamond" w:hAnsi="Garamond"/>
          <w:lang w:val="en-US"/>
        </w:rPr>
      </w:pPr>
      <w:hyperlink w:anchor="Lustprinzip1" w:history="1">
        <w:r w:rsidR="005E1D01" w:rsidRPr="005E1D01">
          <w:rPr>
            <w:rStyle w:val="Lienhypertexte"/>
            <w:rFonts w:ascii="Garamond" w:hAnsi="Garamond"/>
            <w:lang w:val="en-US"/>
          </w:rPr>
          <w:t>I.  Das Lustprinzip und seine Einschränkung durch das Realitätsprinzip</w:t>
        </w:r>
      </w:hyperlink>
    </w:p>
    <w:p w:rsidR="00A43337" w:rsidRDefault="00A43337" w:rsidP="00A43337">
      <w:pPr>
        <w:pStyle w:val="Sansinterligne"/>
        <w:ind w:left="720"/>
        <w:rPr>
          <w:rFonts w:ascii="Garamond" w:hAnsi="Garamond"/>
          <w:lang w:val="en-US"/>
        </w:rPr>
      </w:pPr>
    </w:p>
    <w:p w:rsidR="005E1D01" w:rsidRDefault="00B437A1" w:rsidP="00CE4D4E">
      <w:pPr>
        <w:pStyle w:val="Sansinterligne"/>
        <w:numPr>
          <w:ilvl w:val="0"/>
          <w:numId w:val="6"/>
        </w:numPr>
        <w:rPr>
          <w:rFonts w:ascii="Garamond" w:hAnsi="Garamond"/>
          <w:lang w:val="en-US"/>
        </w:rPr>
      </w:pPr>
      <w:hyperlink w:anchor="Lustprinzip2" w:history="1">
        <w:r w:rsidR="005E1D01" w:rsidRPr="005E1D01">
          <w:rPr>
            <w:rStyle w:val="Lienhypertexte"/>
            <w:rFonts w:ascii="Garamond" w:hAnsi="Garamond"/>
            <w:lang w:val="en-US"/>
          </w:rPr>
          <w:t>II. Traumatische Neurose und Kinderspiel als Wiederholung</w:t>
        </w:r>
      </w:hyperlink>
    </w:p>
    <w:p w:rsidR="00A43337" w:rsidRDefault="00A43337" w:rsidP="00A43337">
      <w:pPr>
        <w:pStyle w:val="Sansinterligne"/>
        <w:rPr>
          <w:rFonts w:ascii="Garamond" w:hAnsi="Garamond"/>
          <w:lang w:val="en-US"/>
        </w:rPr>
      </w:pPr>
    </w:p>
    <w:p w:rsidR="005E1D01" w:rsidRDefault="00B437A1" w:rsidP="00CE4D4E">
      <w:pPr>
        <w:pStyle w:val="Sansinterligne"/>
        <w:numPr>
          <w:ilvl w:val="0"/>
          <w:numId w:val="6"/>
        </w:numPr>
        <w:rPr>
          <w:rFonts w:ascii="Garamond" w:hAnsi="Garamond"/>
          <w:lang w:val="en-US"/>
        </w:rPr>
      </w:pPr>
      <w:hyperlink w:anchor="Lustprinzip3" w:history="1">
        <w:r w:rsidR="005E1D01" w:rsidRPr="005E1D01">
          <w:rPr>
            <w:rStyle w:val="Lienhypertexte"/>
            <w:rFonts w:ascii="Garamond" w:hAnsi="Garamond"/>
            <w:lang w:val="en-US"/>
          </w:rPr>
          <w:t>III.  Wiederholungszwang und Übertragungsneurosen</w:t>
        </w:r>
      </w:hyperlink>
    </w:p>
    <w:p w:rsidR="00A43337" w:rsidRDefault="00A43337" w:rsidP="00A43337">
      <w:pPr>
        <w:pStyle w:val="Sansinterligne"/>
        <w:rPr>
          <w:rFonts w:ascii="Garamond" w:hAnsi="Garamond"/>
          <w:lang w:val="en-US"/>
        </w:rPr>
      </w:pPr>
    </w:p>
    <w:p w:rsidR="005E1D01" w:rsidRPr="00A43337" w:rsidRDefault="00B437A1" w:rsidP="00CE4D4E">
      <w:pPr>
        <w:pStyle w:val="Sansinterligne"/>
        <w:numPr>
          <w:ilvl w:val="0"/>
          <w:numId w:val="6"/>
        </w:numPr>
        <w:rPr>
          <w:rFonts w:ascii="Garamond" w:hAnsi="Garamond"/>
        </w:rPr>
      </w:pPr>
      <w:hyperlink w:anchor="Lustprinzip4" w:history="1">
        <w:r w:rsidR="005E1D01" w:rsidRPr="005E1D01">
          <w:rPr>
            <w:rStyle w:val="Lienhypertexte"/>
            <w:rFonts w:ascii="Garamond" w:hAnsi="Garamond"/>
          </w:rPr>
          <w:t xml:space="preserve">IV.  Spekulation über ein </w:t>
        </w:r>
        <w:r w:rsidR="00A43337">
          <w:rPr>
            <w:rStyle w:val="Lienhypertexte"/>
            <w:rFonts w:ascii="Garamond" w:hAnsi="Garamond"/>
          </w:rPr>
          <w:t>« </w:t>
        </w:r>
        <w:r w:rsidR="005E1D01" w:rsidRPr="005E1D01">
          <w:rPr>
            <w:rStyle w:val="Lienhypertexte"/>
            <w:rFonts w:ascii="Garamond" w:hAnsi="Garamond"/>
          </w:rPr>
          <w:t>Jenseits des Lustprinzips</w:t>
        </w:r>
        <w:r w:rsidR="00A43337">
          <w:rPr>
            <w:rStyle w:val="Lienhypertexte"/>
            <w:rFonts w:ascii="Garamond" w:hAnsi="Garamond"/>
          </w:rPr>
          <w:t> »</w:t>
        </w:r>
        <w:r w:rsidR="005E1D01" w:rsidRPr="005E1D01">
          <w:rPr>
            <w:rStyle w:val="Lienhypertexte"/>
            <w:rFonts w:ascii="Garamond" w:hAnsi="Garamond"/>
          </w:rPr>
          <w:t xml:space="preserve">. </w:t>
        </w:r>
        <w:r w:rsidR="005E1D01" w:rsidRPr="00A43337">
          <w:rPr>
            <w:rStyle w:val="Lienhypertexte"/>
            <w:rFonts w:ascii="Garamond" w:hAnsi="Garamond"/>
          </w:rPr>
          <w:t>Reizschutz und Trauma</w:t>
        </w:r>
      </w:hyperlink>
    </w:p>
    <w:p w:rsidR="00A43337" w:rsidRPr="00A43337" w:rsidRDefault="00A43337" w:rsidP="00A43337">
      <w:pPr>
        <w:pStyle w:val="Sansinterligne"/>
        <w:rPr>
          <w:rFonts w:ascii="Garamond" w:hAnsi="Garamond"/>
        </w:rPr>
      </w:pPr>
    </w:p>
    <w:p w:rsidR="005E1D01" w:rsidRPr="00A43337" w:rsidRDefault="00B437A1" w:rsidP="00CE4D4E">
      <w:pPr>
        <w:pStyle w:val="Sansinterligne"/>
        <w:numPr>
          <w:ilvl w:val="0"/>
          <w:numId w:val="6"/>
        </w:numPr>
        <w:rPr>
          <w:rFonts w:ascii="Garamond" w:hAnsi="Garamond"/>
          <w:lang w:val="en-US"/>
        </w:rPr>
      </w:pPr>
      <w:hyperlink w:anchor="Lustprinzip5" w:history="1">
        <w:r w:rsidR="005E1D01" w:rsidRPr="005E1D01">
          <w:rPr>
            <w:rStyle w:val="Lienhypertexte"/>
            <w:rFonts w:ascii="Garamond" w:hAnsi="Garamond"/>
          </w:rPr>
          <w:t>V.  Revision der Trieblehre. Ichtriebe und Sexualtriebe</w:t>
        </w:r>
      </w:hyperlink>
    </w:p>
    <w:p w:rsidR="00A43337" w:rsidRPr="005E1D01" w:rsidRDefault="00A43337" w:rsidP="00A43337">
      <w:pPr>
        <w:pStyle w:val="Sansinterligne"/>
        <w:rPr>
          <w:rFonts w:ascii="Garamond" w:hAnsi="Garamond"/>
          <w:lang w:val="en-US"/>
        </w:rPr>
      </w:pPr>
    </w:p>
    <w:p w:rsidR="005E1D01" w:rsidRDefault="00B437A1" w:rsidP="00CE4D4E">
      <w:pPr>
        <w:pStyle w:val="Sansinterligne"/>
        <w:numPr>
          <w:ilvl w:val="0"/>
          <w:numId w:val="6"/>
        </w:numPr>
        <w:rPr>
          <w:rFonts w:ascii="Garamond" w:hAnsi="Garamond"/>
          <w:lang w:val="en-US"/>
        </w:rPr>
      </w:pPr>
      <w:hyperlink w:anchor="Lustprinzip6" w:history="1">
        <w:r w:rsidR="005E1D01" w:rsidRPr="005E1D01">
          <w:rPr>
            <w:rStyle w:val="Lienhypertexte"/>
            <w:rFonts w:ascii="Garamond" w:hAnsi="Garamond"/>
            <w:lang w:val="en-US"/>
          </w:rPr>
          <w:t>VI.  Biologische Argumente für die Annahme der Todestriebe</w:t>
        </w:r>
      </w:hyperlink>
    </w:p>
    <w:p w:rsidR="00A43337" w:rsidRDefault="00A43337" w:rsidP="00A43337">
      <w:pPr>
        <w:pStyle w:val="Sansinterligne"/>
        <w:rPr>
          <w:rFonts w:ascii="Garamond" w:hAnsi="Garamond"/>
          <w:lang w:val="en-US"/>
        </w:rPr>
      </w:pPr>
    </w:p>
    <w:p w:rsidR="00DD1C71" w:rsidRDefault="00B437A1" w:rsidP="00CE4D4E">
      <w:pPr>
        <w:pStyle w:val="Sansinterligne"/>
        <w:numPr>
          <w:ilvl w:val="0"/>
          <w:numId w:val="6"/>
        </w:numPr>
        <w:rPr>
          <w:rFonts w:ascii="Garamond" w:hAnsi="Garamond"/>
          <w:lang w:val="en-US"/>
        </w:rPr>
      </w:pPr>
      <w:hyperlink w:anchor="Lustprinzip7" w:history="1">
        <w:r w:rsidR="00DD1C71" w:rsidRPr="00DD1C71">
          <w:rPr>
            <w:rStyle w:val="Lienhypertexte"/>
            <w:rFonts w:ascii="Garamond" w:hAnsi="Garamond"/>
            <w:lang w:val="en-US"/>
          </w:rPr>
          <w:t>VII.  Schlussfolgerungen</w:t>
        </w:r>
      </w:hyperlink>
    </w:p>
    <w:p w:rsidR="005E1D01" w:rsidRDefault="005E1D01">
      <w:pPr>
        <w:rPr>
          <w:rFonts w:ascii="Garamond" w:eastAsia="Times New Roman" w:hAnsi="Garamond" w:cs="Times New Roman"/>
          <w:lang w:val="en-US" w:eastAsia="fr-FR"/>
        </w:rPr>
      </w:pPr>
      <w:r>
        <w:rPr>
          <w:rFonts w:ascii="Garamond" w:hAnsi="Garamond"/>
          <w:lang w:val="en-US"/>
        </w:rPr>
        <w:br w:type="page"/>
      </w:r>
    </w:p>
    <w:p w:rsidR="00525700" w:rsidRPr="00525700" w:rsidRDefault="00525700" w:rsidP="00130855">
      <w:pPr>
        <w:pStyle w:val="NormalWeb"/>
        <w:rPr>
          <w:rFonts w:ascii="Garamond" w:hAnsi="Garamond"/>
          <w:sz w:val="22"/>
          <w:szCs w:val="22"/>
          <w:lang w:val="en-US"/>
        </w:rPr>
      </w:pPr>
    </w:p>
    <w:p w:rsidR="00525700" w:rsidRPr="00525700" w:rsidRDefault="00B437A1" w:rsidP="00130855">
      <w:pPr>
        <w:pStyle w:val="Titre1"/>
        <w:rPr>
          <w:rFonts w:ascii="Garamond" w:hAnsi="Garamond"/>
          <w:sz w:val="22"/>
          <w:szCs w:val="22"/>
          <w:lang w:val="en-US"/>
        </w:rPr>
      </w:pPr>
      <w:hyperlink w:anchor="LustprinzipINHALT" w:history="1">
        <w:r w:rsidR="00525700" w:rsidRPr="005E1D01">
          <w:rPr>
            <w:rStyle w:val="Lienhypertexte"/>
            <w:rFonts w:ascii="Garamond" w:hAnsi="Garamond"/>
            <w:sz w:val="22"/>
            <w:szCs w:val="22"/>
            <w:lang w:val="en-US"/>
          </w:rPr>
          <w:t xml:space="preserve">I. </w:t>
        </w:r>
        <w:r w:rsidR="005E1D01" w:rsidRPr="005E1D01">
          <w:rPr>
            <w:rStyle w:val="Lienhypertexte"/>
            <w:rFonts w:ascii="Garamond" w:hAnsi="Garamond"/>
            <w:sz w:val="22"/>
            <w:szCs w:val="22"/>
            <w:lang w:val="en-US"/>
          </w:rPr>
          <w:t xml:space="preserve"> </w:t>
        </w:r>
        <w:r w:rsidR="00525700" w:rsidRPr="005E1D01">
          <w:rPr>
            <w:rStyle w:val="Lienhypertexte"/>
            <w:rFonts w:ascii="Garamond" w:hAnsi="Garamond"/>
            <w:sz w:val="22"/>
            <w:szCs w:val="22"/>
            <w:lang w:val="en-US"/>
          </w:rPr>
          <w:t>Da</w:t>
        </w:r>
        <w:bookmarkStart w:id="16" w:name="Lustprinzip1"/>
        <w:bookmarkEnd w:id="16"/>
        <w:r w:rsidR="00525700" w:rsidRPr="005E1D01">
          <w:rPr>
            <w:rStyle w:val="Lienhypertexte"/>
            <w:rFonts w:ascii="Garamond" w:hAnsi="Garamond"/>
            <w:sz w:val="22"/>
            <w:szCs w:val="22"/>
            <w:lang w:val="en-US"/>
          </w:rPr>
          <w:t>s Lustprinzip und seine Einschränkung durch das Realitätsprinzip</w:t>
        </w:r>
      </w:hyperlink>
    </w:p>
    <w:p w:rsidR="00525700" w:rsidRPr="00525700" w:rsidRDefault="00525700" w:rsidP="00130855">
      <w:pPr>
        <w:rPr>
          <w:rFonts w:ascii="Garamond" w:hAnsi="Garamond"/>
          <w:lang w:val="en-US"/>
        </w:rPr>
      </w:pP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In der psychoanalytischen Theorie nehmen wir unbedenklich an, daß der Ablauf der seelischen Vorgänge automatisch durch das Lustprinzip reguliert wird, das heißt, wir glauben, daß er jedesmal durch eine unlustvolle Spannung angeregt wird und dann eine solche Richtung einschlägt, daß sein Endergebnis mit einer Herabsetzung dieser Spannung, also mit einer Vermeidung von Unlust oder Erzeugung von Lust zusammenfällt. Wenn wir die von uns studierten seelischen Prozesse mit Rücksicht auf diesen Ablauf betrachten, führen wir den ökonomischen Gesichtspunkt in unsere Arbeit ein. Wir meinen, eine Darstellung, die neben dem topischen und dem dynamischen Moment noch dies ökonomische zu würdigen versuche, sei die vollständigste, die wir uns derzeit vorstellen können, und verdiene es, durch den Namen einer </w:t>
      </w:r>
      <w:r w:rsidRPr="00525700">
        <w:rPr>
          <w:rFonts w:ascii="Garamond" w:hAnsi="Garamond"/>
          <w:i/>
          <w:iCs/>
          <w:sz w:val="22"/>
          <w:szCs w:val="22"/>
          <w:lang w:val="en-US"/>
        </w:rPr>
        <w:t>metapsychologischen</w:t>
      </w:r>
      <w:r w:rsidRPr="00525700">
        <w:rPr>
          <w:rFonts w:ascii="Garamond" w:hAnsi="Garamond"/>
          <w:sz w:val="22"/>
          <w:szCs w:val="22"/>
          <w:lang w:val="en-US"/>
        </w:rPr>
        <w:t xml:space="preserve"> hervorgehoben zu werden.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Es hat dabei für uns kein Interesse zu untersuchen, inwieweit wir uns mit der Aufstellung des Lustprinzips einem bestimmten, historisch festgelegten, philosophischen System angenähert oder angeschlossen haben. Wir gelangen zu solchen spekulativen Annahmen bei dem Bemühen, von den Tatsachen der täglichen Beobachtung auf unserem Gebiete Beschreibung und Rechenschaft zu geben. Priorität und Originalität gehören nicht zu den Zielen, die der psychoanalytischen Arbeit gesetzt sind, und die Eindrücke, welche der Aufstellung dieses Prinzips zugrunde liegen, sind so augenfällig, daß es kaum möglich ist, sie zu übersehen. Dagegen würden wir uns gerne zur Dankbarkeit gegen eine philosophische oder psychologische Theorie bekennen, die uns zu sagen wüßte, was die Bedeutungen der für uns so imperativen Lust- und Unlustempfindungen sind. Leider wird uns hier nichts Brauchbares geboten. Es ist das dunkelste und unzugänglichste Gebiet des Seelenlebens, und wenn wir unmöglich vermeiden können, es zu berühren, so wird die lockerste Annahme darüber, meine ich, die beste sein. Wir haben uns entschlossen, Lust und Unlust mit der Quantität der im Seelenleben vorhandenen — und nicht irgendwie gebundenen — Erregung in Beziehung zu bringen, solcherart, daß Unlust einer Steigerung, Lust einer Verringerung dieser Quantität entspricht. Wir denken dabei nicht an ein einfaches Verhältnis zwischen der Stärke der Empfindungen und den Veränderungen, auf die sie bezogen werden; am wenigsten — nach allen Erfahrungen der Psychophysiologie — an direkte Proportionalität; wahrscheinlich ist das Maß der Verringerung oder Vermehrung in der Zeit das für die Empfindung entscheidende Moment. Das Experiment fände hier möglicherweise Zutritt, für uns Analytiker ist weiteres Eingehen in diese Probleme nicht geraten, solange nicht ganz bestimmte Beobachtungen uns leiten können.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Es kann uns aber nicht gleichgültig lassen, wenn wir finden, daß ein so tiefblickender Forscher wie G. Th. Fechner eine Auffassung von Lust und Unlust vertreten hat, welche im wesentlichen mit der zusammenfällt, die uns von der psychoanalytischen Arbeit aufgedrängt wird. Die Äußerung Fechners ist in seiner kleinen Schrift: </w:t>
      </w:r>
      <w:r w:rsidRPr="00525700">
        <w:rPr>
          <w:rFonts w:ascii="Garamond" w:hAnsi="Garamond"/>
          <w:i/>
          <w:iCs/>
          <w:sz w:val="22"/>
          <w:szCs w:val="22"/>
          <w:lang w:val="en-US"/>
        </w:rPr>
        <w:t>Einige Ideen zur Schöpfungs- und Entwicklungs</w:t>
      </w:r>
      <w:r w:rsidRPr="00525700">
        <w:rPr>
          <w:rFonts w:ascii="Garamond" w:hAnsi="Garamond"/>
          <w:sz w:val="22"/>
          <w:szCs w:val="22"/>
          <w:lang w:val="en-US"/>
        </w:rPr>
        <w:softHyphen/>
      </w:r>
      <w:r w:rsidRPr="00525700">
        <w:rPr>
          <w:rFonts w:ascii="Garamond" w:hAnsi="Garamond"/>
          <w:i/>
          <w:iCs/>
          <w:sz w:val="22"/>
          <w:szCs w:val="22"/>
          <w:lang w:val="en-US"/>
        </w:rPr>
        <w:t>geschichte der Organismen,</w:t>
      </w:r>
      <w:r w:rsidRPr="00525700">
        <w:rPr>
          <w:rFonts w:ascii="Garamond" w:hAnsi="Garamond"/>
          <w:sz w:val="22"/>
          <w:szCs w:val="22"/>
          <w:lang w:val="en-US"/>
        </w:rPr>
        <w:t xml:space="preserve"> 1873 (Abschnitt XI, Zusatz, S. 94), enthalten und lautet wie folgt: »Insofern bewußte Antriebe immer mit Lust oder Unlust in Beziehung stehen, kann auch Lust oder Unlust mit Stabilitäts- und Instabili</w:t>
      </w:r>
      <w:r w:rsidRPr="00525700">
        <w:rPr>
          <w:rFonts w:ascii="Garamond" w:hAnsi="Garamond"/>
          <w:sz w:val="22"/>
          <w:szCs w:val="22"/>
          <w:lang w:val="en-US"/>
        </w:rPr>
        <w:softHyphen/>
        <w:t>tätsverhältnissen in psychophysischer Beziehung gedacht werden, und es läßt sich hierauf die anderwärts von mir näher zu entwickelnde Hypothese begründen, daß jede die Schwelle des Bewußtseins übersteigende psycho</w:t>
      </w:r>
      <w:r w:rsidRPr="00525700">
        <w:rPr>
          <w:rFonts w:ascii="Garamond" w:hAnsi="Garamond"/>
          <w:sz w:val="22"/>
          <w:szCs w:val="22"/>
          <w:lang w:val="en-US"/>
        </w:rPr>
        <w:softHyphen/>
        <w:t>physische Bewegung nach Maßgabe mit Lust behaftet sei, als sie sich der vollen Stabilität über eine gewisse Grenze hinaus nähert, mit Unlust nach Maßgabe, als sie über eine gewisse Grenze davon abweicht, indes zwischen beiden, als qualitative Schwelle der Lust und Unlust zu bezeichnenden Grenzen eine gewisse Breite ästhetischer Indifferenz besteht...«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Die Tatsachen, die uns veranlaßt haben, an die Herrschaft des Lust</w:t>
      </w:r>
      <w:r w:rsidRPr="00525700">
        <w:rPr>
          <w:rFonts w:ascii="Garamond" w:hAnsi="Garamond"/>
          <w:sz w:val="22"/>
          <w:szCs w:val="22"/>
          <w:lang w:val="en-US"/>
        </w:rPr>
        <w:softHyphen/>
        <w:t>prinzips im Seelenleben zu glauben, finden auch ihren Ausdruck in der Annahme, daß es ein Bestreben des seelischen Apparates sei, die in ihm vorhandene Quantität von Erregung möglichst niedrig oder wenigstens konstant zu erhalten. Es ist dasselbe, nur in andere Fassung gebracht, denn wenn die Arbeit des seelischen Apparates dahin geht, die Erregungs</w:t>
      </w:r>
      <w:r w:rsidRPr="00525700">
        <w:rPr>
          <w:rFonts w:ascii="Garamond" w:hAnsi="Garamond"/>
          <w:sz w:val="22"/>
          <w:szCs w:val="22"/>
          <w:lang w:val="en-US"/>
        </w:rPr>
        <w:softHyphen/>
        <w:t xml:space="preserve">quantität niedrig zu halten, so muß alles, was dieselbe zu steigern geeignet ist, als funktionswidrig, das heißt als unlustvoll empfunden werden. Das Lustprinzip leitet sich aus dem </w:t>
      </w:r>
      <w:r w:rsidRPr="00525700">
        <w:rPr>
          <w:rFonts w:ascii="Garamond" w:hAnsi="Garamond"/>
          <w:sz w:val="22"/>
          <w:szCs w:val="22"/>
          <w:lang w:val="en-US"/>
        </w:rPr>
        <w:lastRenderedPageBreak/>
        <w:t xml:space="preserve">Konstanzprinzip ab; in Wirklichkeit wurde das Konstanzprinzip aus den Tatsachen erschlossen, die uns die Annahme des Lustprinzips aufnötigten. Bei eingehenderer Diskussion werden wir auch finden, daß dies von uns angenommene Bestreben des seelischen Apparates sich als spezieller Fall dem Fechnerschen Prinzip der </w:t>
      </w:r>
      <w:r w:rsidRPr="00525700">
        <w:rPr>
          <w:rFonts w:ascii="Garamond" w:hAnsi="Garamond"/>
          <w:i/>
          <w:iCs/>
          <w:sz w:val="22"/>
          <w:szCs w:val="22"/>
          <w:lang w:val="en-US"/>
        </w:rPr>
        <w:t>Tendenz zur Stabilität</w:t>
      </w:r>
      <w:r w:rsidRPr="00525700">
        <w:rPr>
          <w:rFonts w:ascii="Garamond" w:hAnsi="Garamond"/>
          <w:sz w:val="22"/>
          <w:szCs w:val="22"/>
          <w:lang w:val="en-US"/>
        </w:rPr>
        <w:t xml:space="preserve"> unterordnet, zu dem er die Lust-Unlustempfindungen in Beziehung gebracht hat.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Dann müssen wir aber sagen, es sei eigentlich unrichtig, von einer Herrschaft des Lustprinzips über den Ablauf der seelischen Prozesse zu reden. Wenn eine solche bestände, müßte die übergroße Mehrheit unserer Seelenvorgänge von Lust begleitet sein oder zur Lust führen, während doch die allgemeinste Erfahrung dieser Folgerung energisch widerspricht. Es kann also nur so sein, daß eine starke Tendenz zum Lustprinzip in der Seele besteht, der sich aber gewisse andere Kräfte oder Verhältnisse widersetzen, so daß der Endausgang nicht immer der Lusttendenz entsprechen kann. Vergleiche die Bemerkung Fechners bei ähnlichem Anlasse (1873, 90): »Damit aber, daß die Tendenz zum Ziele noch nicht die Erreichung des Zieles bedeutet und das Ziel überhaupt nur in Approximationen erreichbar ist...« Wenn wir uns nun der Frage zuwenden, welche Umstände die Durchsetzung des Lustprinzips zu vereiteln vermögen, dann betreten wir wieder sicheren und bekannten Boden und können unsere analytischen Erfahrungen in reichem Ausmaße zur Beantwortung heranziehen.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Der erste Fall einer solchen Hemmung des Lustprinzips ist uns als ein gesetzmäßiger vertraut. Wir wissen, daß das Lustprinzip einer </w:t>
      </w:r>
      <w:r w:rsidRPr="00525700">
        <w:rPr>
          <w:rFonts w:ascii="Garamond" w:hAnsi="Garamond"/>
          <w:i/>
          <w:iCs/>
          <w:sz w:val="22"/>
          <w:szCs w:val="22"/>
          <w:lang w:val="en-US"/>
        </w:rPr>
        <w:t>primären</w:t>
      </w:r>
      <w:r w:rsidRPr="00525700">
        <w:rPr>
          <w:rFonts w:ascii="Garamond" w:hAnsi="Garamond"/>
          <w:sz w:val="22"/>
          <w:szCs w:val="22"/>
          <w:lang w:val="en-US"/>
        </w:rPr>
        <w:t xml:space="preserve"> Arbeitsweise des seelischen Apparates eignet und daß es für die Selbst</w:t>
      </w:r>
      <w:r w:rsidRPr="00525700">
        <w:rPr>
          <w:rFonts w:ascii="Garamond" w:hAnsi="Garamond"/>
          <w:sz w:val="22"/>
          <w:szCs w:val="22"/>
          <w:lang w:val="en-US"/>
        </w:rPr>
        <w:softHyphen/>
        <w:t xml:space="preserve">behauptung des Organismus unter den Schwierigkeiten der Außenwelt so recht von Anfang an unbrauchbar, ja in hohem Grade gefährlich ist. Unter dem Einflüsse der Selbsterhaltungstriebe des Ichs wird es vom </w:t>
      </w:r>
      <w:r w:rsidRPr="00525700">
        <w:rPr>
          <w:rFonts w:ascii="Garamond" w:hAnsi="Garamond"/>
          <w:i/>
          <w:iCs/>
          <w:sz w:val="22"/>
          <w:szCs w:val="22"/>
          <w:lang w:val="en-US"/>
        </w:rPr>
        <w:t>Realitäts</w:t>
      </w:r>
      <w:r w:rsidRPr="00525700">
        <w:rPr>
          <w:rFonts w:ascii="Garamond" w:hAnsi="Garamond"/>
          <w:sz w:val="22"/>
          <w:szCs w:val="22"/>
          <w:lang w:val="en-US"/>
        </w:rPr>
        <w:softHyphen/>
      </w:r>
      <w:r w:rsidRPr="00525700">
        <w:rPr>
          <w:rFonts w:ascii="Garamond" w:hAnsi="Garamond"/>
          <w:i/>
          <w:iCs/>
          <w:sz w:val="22"/>
          <w:szCs w:val="22"/>
          <w:lang w:val="en-US"/>
        </w:rPr>
        <w:t>prinzip</w:t>
      </w:r>
      <w:r w:rsidRPr="00525700">
        <w:rPr>
          <w:rFonts w:ascii="Garamond" w:hAnsi="Garamond"/>
          <w:sz w:val="22"/>
          <w:szCs w:val="22"/>
          <w:lang w:val="en-US"/>
        </w:rPr>
        <w:t xml:space="preserve"> abgelöst, welches, ohne die Absicht endlicher Lustgewinnung aufzugeben, doch den Aufschub der Befriedigung, den Verzicht auf mancherlei Möglichkeiten einer solchen und die zeitweilige Duldung der Unlust auf dem langen Umwege zur Lust fordert und durchsetzt. Das Lustprinzip bleibt dann noch lange Zeit die Arbeitsweise der schwerer »erziehbaren« Sexualtriebe, und es kommt immer wieder vor, daß es, sei es von diesen letzteren aus, sei es im Ich selbst, das Realitätsprinzip zum Schaden des ganzen Organismus überwältigt.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Es ist indes unzweifelhaft, daß die Ablösung des Lustprinzips durch das Realitätsprinzip nur für einen geringen und nicht für den intensivsten Teil der Unlusterfahrungen verantwortlich gemacht werden kann. Eine andere, nicht weniger gesetzmäßige Quelle der Unlustentbindung ergibt sich aus den Konflikten und Spaltungen im seelischen Apparat, während das Ich seine Entwicklung zu höher zusammengesetzten Organisationen durchmacht. Fast alle Energie, die den Apparat erfüllt, stammt aus den mitgebrachten Trieb</w:t>
      </w:r>
      <w:r w:rsidRPr="00525700">
        <w:rPr>
          <w:rFonts w:ascii="Garamond" w:hAnsi="Garamond"/>
          <w:sz w:val="22"/>
          <w:szCs w:val="22"/>
          <w:lang w:val="en-US"/>
        </w:rPr>
        <w:softHyphen/>
        <w:t>regungen, aber diese werden nicht alle zu den gleichen Entwicklungsphasen zugelassen. Unterwegs geschieht es immer wieder, daß einzelne Triebe oder Triebanteile sich in ihren Zielen oder Ansprüchen als unverträglich mit den übrigen erweisen, die sich zu der umfassenden Einheit des Ichs zusammen</w:t>
      </w:r>
      <w:r w:rsidRPr="00525700">
        <w:rPr>
          <w:rFonts w:ascii="Garamond" w:hAnsi="Garamond"/>
          <w:sz w:val="22"/>
          <w:szCs w:val="22"/>
          <w:lang w:val="en-US"/>
        </w:rPr>
        <w:softHyphen/>
        <w:t>schließen können. Sie werden dann von dieser Einheit durch den Prozeß der Verdrängung abgespalten, auf niedrigeren Stufen der psychischen Ent</w:t>
      </w:r>
      <w:r w:rsidRPr="00525700">
        <w:rPr>
          <w:rFonts w:ascii="Garamond" w:hAnsi="Garamond"/>
          <w:sz w:val="22"/>
          <w:szCs w:val="22"/>
          <w:lang w:val="en-US"/>
        </w:rPr>
        <w:softHyphen/>
        <w:t>wicklung zurückgehalten und zunächst von der Möglichkeit einer Befriedigung abgeschnitten. Gelingt es ihnen dann, was bei den verdrängten Sexualtrieben so leicht geschieht, sich auf Umwegen zu einer direkten oder Ersatzbefriedigung durchzuringen, so wird dieser Erfolg, der sonst eine Lustmöglichkeit gewesen wäre, vom Ich als Unlust empfunden. Infolge des alten, in die Verdrängung auslaufenden Konfliktes hat das Lustprinzip einen neuerlichen Durchbruch erfahren, gerade während gewisse Triebe am Werke waren, in Befolgung des Prinzips neue Lust zu gewinnen. Die Einzelheiten des Vorganges, durch welchen die Verdrängung eine Lustmöglichkeit in eine Unlustquelle verwandelt, sind noch nicht gut verstanden oder nicht klar darstellbar, aber sicherlich ist alle neurotische Unlust von solcher Art, ist Lust, die nicht als solche empfunden werden kann.</w:t>
      </w:r>
      <w:r w:rsidRPr="00525700">
        <w:rPr>
          <w:rFonts w:ascii="Garamond" w:hAnsi="Garamond"/>
          <w:sz w:val="22"/>
          <w:szCs w:val="22"/>
          <w:vertAlign w:val="superscript"/>
          <w:lang w:val="en-US"/>
        </w:rPr>
        <w:t>1)</w:t>
      </w:r>
    </w:p>
    <w:p w:rsidR="00525700" w:rsidRPr="00A06A59" w:rsidRDefault="00525700" w:rsidP="00130855">
      <w:pPr>
        <w:pStyle w:val="NormalWeb"/>
        <w:rPr>
          <w:rFonts w:ascii="Garamond" w:hAnsi="Garamond"/>
          <w:sz w:val="22"/>
          <w:szCs w:val="22"/>
          <w:lang w:val="en-US"/>
        </w:rPr>
      </w:pPr>
      <w:r w:rsidRPr="00A06A59">
        <w:rPr>
          <w:rFonts w:ascii="Garamond" w:hAnsi="Garamond"/>
          <w:sz w:val="22"/>
          <w:szCs w:val="22"/>
          <w:lang w:val="en-US"/>
        </w:rPr>
        <w:t xml:space="preserve">Die beiden hier angezeigten Quellen der Unlust decken noch lange nicht die Mehrzahl unserer Unlusterlebnisse, aber vom Rest wird man mit einem Anschein von gutem Recht behaupten, daß sein Vorhandensein der Herrschaft des Lustprinzips nicht widerspricht. Die meiste Unlust, die wir verspüren, ist ja Wahrnehmungsunlust, entweder Wahrnehmung des Drängens unbefriedigter Triebe oder äußere Wahrnehmung, sei es, daß diese an sich peinlich ist oder daß sie unlustvolle Erwartungen im seelischen Apparat erregt, von ihm als »Gefahr« erkannt wird. Die Reaktion auf diese Triebansprüche und Gefahrdrohungen, in der sich die eigentliche Tätigkeit des seelischen Apparates äußert, kann dann in korrekter Weise vom Lustprinzip oder dem es modifizierenden Realitätsprinzip geleitet werden. Somit </w:t>
      </w:r>
      <w:r w:rsidRPr="00A06A59">
        <w:rPr>
          <w:rFonts w:ascii="Garamond" w:hAnsi="Garamond"/>
          <w:sz w:val="22"/>
          <w:szCs w:val="22"/>
          <w:lang w:val="en-US"/>
        </w:rPr>
        <w:lastRenderedPageBreak/>
        <w:t>scheint es nicht notwendig, eine weitergehende Einschränkung des Lustprinzips anzuerkennen, und doch kann gerade die Untersuchung der seelischen Reaktion auf die äußerliche Gefahr neuen Stoff und neue Fragestellungen zu dem hier behandelten Problem liefern.</w:t>
      </w:r>
    </w:p>
    <w:p w:rsidR="00525700" w:rsidRPr="00A06A59" w:rsidRDefault="00525700" w:rsidP="00130855">
      <w:pPr>
        <w:pStyle w:val="NormalWeb"/>
        <w:rPr>
          <w:rFonts w:ascii="Garamond" w:hAnsi="Garamond"/>
          <w:sz w:val="22"/>
          <w:szCs w:val="22"/>
          <w:lang w:val="en-US"/>
        </w:rPr>
      </w:pPr>
      <w:r w:rsidRPr="00A06A59">
        <w:rPr>
          <w:rFonts w:ascii="Garamond" w:hAnsi="Garamond"/>
          <w:sz w:val="22"/>
          <w:szCs w:val="22"/>
          <w:lang w:val="en-US"/>
        </w:rPr>
        <w:t> </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_____________________</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1)</w:t>
      </w:r>
      <w:r w:rsidRPr="00525700">
        <w:rPr>
          <w:rFonts w:ascii="Garamond" w:hAnsi="Garamond"/>
          <w:sz w:val="22"/>
          <w:szCs w:val="22"/>
          <w:lang w:val="en-US"/>
        </w:rPr>
        <w:t xml:space="preserve"> Das Wesentliche ist wohl, daß Lust und Unlust als bewußte Empfindungen an das Ich gebunden sind.</w:t>
      </w:r>
    </w:p>
    <w:p w:rsidR="005E1D01" w:rsidRDefault="005E1D01">
      <w:pPr>
        <w:rPr>
          <w:rFonts w:ascii="Garamond" w:eastAsiaTheme="majorEastAsia" w:hAnsi="Garamond" w:cstheme="majorBidi"/>
          <w:b/>
          <w:bCs/>
          <w:color w:val="365F91" w:themeColor="accent1" w:themeShade="BF"/>
          <w:lang w:val="en-US"/>
        </w:rPr>
      </w:pPr>
      <w:r>
        <w:rPr>
          <w:rFonts w:ascii="Garamond" w:hAnsi="Garamond"/>
          <w:lang w:val="en-US"/>
        </w:rPr>
        <w:br w:type="page"/>
      </w:r>
    </w:p>
    <w:p w:rsidR="00525700" w:rsidRPr="00525700" w:rsidRDefault="00B437A1" w:rsidP="00130855">
      <w:pPr>
        <w:pStyle w:val="Titre1"/>
        <w:rPr>
          <w:rFonts w:ascii="Garamond" w:hAnsi="Garamond"/>
          <w:sz w:val="22"/>
          <w:szCs w:val="22"/>
          <w:lang w:val="en-US"/>
        </w:rPr>
      </w:pPr>
      <w:hyperlink w:anchor="LustprinzipINHALT" w:history="1">
        <w:r w:rsidR="00525700" w:rsidRPr="005E1D01">
          <w:rPr>
            <w:rStyle w:val="Lienhypertexte"/>
            <w:rFonts w:ascii="Garamond" w:hAnsi="Garamond"/>
            <w:sz w:val="22"/>
            <w:szCs w:val="22"/>
            <w:lang w:val="en-US"/>
          </w:rPr>
          <w:t>II. Tr</w:t>
        </w:r>
        <w:bookmarkStart w:id="17" w:name="Lustprinzip2"/>
        <w:bookmarkEnd w:id="17"/>
        <w:r w:rsidR="00525700" w:rsidRPr="005E1D01">
          <w:rPr>
            <w:rStyle w:val="Lienhypertexte"/>
            <w:rFonts w:ascii="Garamond" w:hAnsi="Garamond"/>
            <w:sz w:val="22"/>
            <w:szCs w:val="22"/>
            <w:lang w:val="en-US"/>
          </w:rPr>
          <w:t>aumatische Neurose und Kinderspiel als Wiederholung</w:t>
        </w:r>
      </w:hyperlink>
    </w:p>
    <w:p w:rsidR="00525700" w:rsidRPr="00525700" w:rsidRDefault="00525700" w:rsidP="00130855">
      <w:pPr>
        <w:rPr>
          <w:rFonts w:ascii="Garamond" w:hAnsi="Garamond"/>
          <w:lang w:val="en-US"/>
        </w:rPr>
      </w:pP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Nach schweren mechanischen Erschütterungen, Eisenbahnzusammen</w:t>
      </w:r>
      <w:r w:rsidRPr="00525700">
        <w:rPr>
          <w:rFonts w:ascii="Garamond" w:hAnsi="Garamond"/>
          <w:sz w:val="22"/>
          <w:szCs w:val="22"/>
          <w:lang w:val="en-US"/>
        </w:rPr>
        <w:softHyphen/>
        <w:t>stößen und anderen, mit Lebensgefahr verbundenen Unfällen ist seit langem ein Zustand beschrieben worden, dem dann der Name »traumatische Neurose« verblieben ist. Der schreckliche, eben jetzt abgelaufene Krieg hat eine große Anzahl solcher Erkrankungen entstehen lassen und wenigstens der Versuchung ein Ende gesetzt, sie auf organische Schädigung des Nervensystems durch Einwirkung mechanischer Gewalt zurückzuführen.</w:t>
      </w:r>
      <w:r w:rsidRPr="00525700">
        <w:rPr>
          <w:rFonts w:ascii="Garamond" w:hAnsi="Garamond"/>
          <w:sz w:val="22"/>
          <w:szCs w:val="22"/>
          <w:vertAlign w:val="superscript"/>
          <w:lang w:val="en-US"/>
        </w:rPr>
        <w:t>1)</w:t>
      </w:r>
      <w:r w:rsidRPr="00525700">
        <w:rPr>
          <w:rFonts w:ascii="Garamond" w:hAnsi="Garamond"/>
          <w:sz w:val="22"/>
          <w:szCs w:val="22"/>
          <w:lang w:val="en-US"/>
        </w:rPr>
        <w:t xml:space="preserve"> Das Zustandsbild der traumatischen Neurose nähert sich der Hysterie durch seinen Reichtum an ähnlichen motorischen Symptomen, übertrifft diese aber in der Regel durch die stark ausgebildeten Anzeichen subjektiven Leidens, etwa wie bei einer Hypochondrie oder Melancholie, und durch die Beweise einer weit umfassenderen allgemeinen Schwächung und Zerrüttung der seelischen Leistungen. Ein volles Verständnis ist bisher weder für die Kriegsneurosen noch für die traumatischen Neurosen des Friedens erzielt worden. Bei den Kriegsneurosen wirkte es einerseits aufklärend, aber doch wiederum verwirrend, daß dasselbe Krankheitsbild gelegentlich ohne Mithilfe einer groben mechanischen Gewalt zustande kam; an der gemeinen trauma</w:t>
      </w:r>
      <w:r w:rsidRPr="00525700">
        <w:rPr>
          <w:rFonts w:ascii="Garamond" w:hAnsi="Garamond"/>
          <w:sz w:val="22"/>
          <w:szCs w:val="22"/>
          <w:lang w:val="en-US"/>
        </w:rPr>
        <w:softHyphen/>
        <w:t>tischen Neurose heben sich zwei Züge hervor, an welche die Überlegung anknüpfen konnte, erstens, daß das Hauptgewicht der Verursachung auf das Moment der Überraschung, auf den Schreck, zu fallen schien, und zweitens, daß eine gleichzeitig erlittene Verletzung oder Wunde zumeist der Entstehung der Neurose entgegenwirkte. Schreck, Furcht, Angst werden mit Unrecht wie synonyme Ausdrücke gebraucht; sie lassen sich in ihrer Beziehung zur Gefahr gut auseinanderhalten. Angst bezeichnet einen gewissen Zustand wie Erwartung der Gefahr und Vorbereitung auf dieselbe, mag sie auch eine unbekannte sein; Furcht verlangt ein bestimmtes Objekt, vor dem man sich fürchtet; Schreck aber benennt den Zustand, in den man gerät, wenn man in Gefahr kommt, ohne auf sie vorbereitet zu sein, betont das Moment der Überraschung. Ich glaube nicht, daß die Angst eine traumatische Neurose erzeugen kann; an der Angst ist etwas, was gegen den Schreck und also auch gegen die Schreckneurose schützt. Wir werden auf diesen Satz später zurückkommen.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Das Studium des Traumes dürfen wir als den zuverlässigsten Weg zur Erforschung der seelischen Tiefenvorgänge betrachten. Nun zeigt das Traum</w:t>
      </w:r>
      <w:r w:rsidRPr="00525700">
        <w:rPr>
          <w:rFonts w:ascii="Garamond" w:hAnsi="Garamond"/>
          <w:sz w:val="22"/>
          <w:szCs w:val="22"/>
          <w:lang w:val="en-US"/>
        </w:rPr>
        <w:softHyphen/>
        <w:t>leben der traumatischen Neurose den Charakter, daß es den Kranken immer wieder in die Situation seines Unfalles zurückführt, aus der er mit neuem Schrecken erwacht. Darüber verwundert man sich viel zuwenig. Man meint, es sei eben ein Beweis für die Stärke des Eindruckes, den das traumatische Erlebnis gemacht hat, daß es sich dem Kranken sogar im Schlaf immer wieder aufdrängt. Der Kranke sei an das Trauma sozusagen psychisch fixiert. Solche Fixierungen an das Erlebnis, welches die Erkrankung ausgelöst hat, sind uns seit langem bei der Hysterie bekannt. Breuer und Freud äußerten 1893: Die Hysterischen leiden großenteils an Reminiszenzen. Auch bei den Kriegs</w:t>
      </w:r>
      <w:r w:rsidRPr="00525700">
        <w:rPr>
          <w:rFonts w:ascii="Garamond" w:hAnsi="Garamond"/>
          <w:sz w:val="22"/>
          <w:szCs w:val="22"/>
          <w:lang w:val="en-US"/>
        </w:rPr>
        <w:softHyphen/>
        <w:t>neurosen haben Beobachter wie Ferenczi und Simmel manche motorische Symptome durch Fixierung an den Moment des Traumas erklären können.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Allein es ist mir nicht bekannt, daß die an traumatischer Neurose Krankenden sich im Wachleben viel mit der Erinnerung an ihren Unfall beschäftigen. Vielleicht bemühen sie sich eher, nicht an ihn zu denken. Wenn man es als selbstverständlich hinnimmt, daß der nächtliche Traum sie wieder in die krankmachende Situation versetzt, so verkennt man die Natur des Traumes. Dieser würde es eher entsprechen, dem Kranken Bilder aus der Zeit der Gesundheit oder der erhofften Genesung vorzuführen. Sollen wir durch die Träume der Unfallsneurotiker nicht an der wunscherfüllenden Tendenz des Traumes irre werden, so bleibt uns etwa noch die Auskunft, bei diesem Zustand sei wie so vieles andere auch die Traumfunktion erschüttert und von ihren Absichten abgelenkt worden, oder wir müßten der rätselhaften masochistischen Tendenzen des Ichs gedenken.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Ich mache nun den Vorschlag, das dunkle und düstere Thema der traumatischen Neurose zu verlassen und die Arbeitsweise des seelischen Apparates an einer seiner frühzeitigsten normalen Betätigungen zu studieren. Ich meine das Kinderspiel.</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lastRenderedPageBreak/>
        <w:t xml:space="preserve">Die verschiedenen Theorien des Kinderspieles sind erst kürzlich von S. Pfeifer in der </w:t>
      </w:r>
      <w:r w:rsidRPr="00525700">
        <w:rPr>
          <w:rFonts w:ascii="Garamond" w:hAnsi="Garamond"/>
          <w:i/>
          <w:iCs/>
          <w:sz w:val="22"/>
          <w:szCs w:val="22"/>
          <w:lang w:val="en-US"/>
        </w:rPr>
        <w:t>Imago</w:t>
      </w:r>
      <w:r w:rsidRPr="00525700">
        <w:rPr>
          <w:rFonts w:ascii="Garamond" w:hAnsi="Garamond"/>
          <w:sz w:val="22"/>
          <w:szCs w:val="22"/>
          <w:lang w:val="en-US"/>
        </w:rPr>
        <w:t xml:space="preserve"> (V/4) zusammengestellt und analytisch gewürdigt worden; ich kann hier auf diese Arbeit verweisen. Diese Theorien bemühen sich, die Motive des Spielens der Kinder zu erraten, ohne daß dabei der ökonomische Gesichtspunkt, die Rücksicht auf Lustgewinn, in den Vorder</w:t>
      </w:r>
      <w:r w:rsidRPr="00525700">
        <w:rPr>
          <w:rFonts w:ascii="Garamond" w:hAnsi="Garamond"/>
          <w:sz w:val="22"/>
          <w:szCs w:val="22"/>
          <w:lang w:val="en-US"/>
        </w:rPr>
        <w:softHyphen/>
        <w:t>grund gerückt würde. Ich habe, ohne das Ganze dieser Erscheinungen umfassen zu wollen, eine Gelegenheit ausgenützt, die sich mir bot, um das erste selbstgeschaffene Spiel eines Knaben im Alter von 1½ Jahren aufzuklären. Es war mehr als eine flüchtige Beobachtung, denn ich lebte durch einige Wochen mit dem Kinde und dessen Eltern unter einem Dach, und es dauerte ziemlich lange, bis das rätselhafte und andauernd wiederholte Tun mir seinen Sinn verriet.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Das Kind war in seiner intellektuellen Entwicklung keineswegs voreilig, es sprach mit 1½ Jahren erst wenige verständliche Worte und verfügte außer</w:t>
      </w:r>
      <w:r w:rsidRPr="00525700">
        <w:rPr>
          <w:rFonts w:ascii="Garamond" w:hAnsi="Garamond"/>
          <w:sz w:val="22"/>
          <w:szCs w:val="22"/>
          <w:lang w:val="en-US"/>
        </w:rPr>
        <w:softHyphen/>
        <w:t>dem über mehrere bedeutungsvolle Laute, die von der Umgebung verstan</w:t>
      </w:r>
      <w:r w:rsidRPr="00525700">
        <w:rPr>
          <w:rFonts w:ascii="Garamond" w:hAnsi="Garamond"/>
          <w:sz w:val="22"/>
          <w:szCs w:val="22"/>
          <w:lang w:val="en-US"/>
        </w:rPr>
        <w:softHyphen/>
        <w:t>den wurden. Aber es war in gutem Rapport mit den Eltern und dem einzigen Dienstmädchen und wurde wegen seines »anständigen« Charakters gelobt. Es störte die Eltern nicht zur Nachtzeit, befolgte gewissenhaft die Verbote, manche Gegenstände zu berühren und in gewisse Räume zu gehen, und vor allem anderen, es weinte nie, wenn die Mutter es für Stunden verließ, obwohl es dieser Mutter zärtlich anhing, die das Kind nicht nur selbst genährt, sondern auch ohne jede fremde Beihilfe gepflegt und betreut hatte. Dieses brave Kind zeigte nun die gelegentlich störende Gewohnheit, alle kleinen Gegenstände, deren es habhaft wurde, weit weg von sich in eine Zimmer</w:t>
      </w:r>
      <w:r w:rsidRPr="00525700">
        <w:rPr>
          <w:rFonts w:ascii="Garamond" w:hAnsi="Garamond"/>
          <w:sz w:val="22"/>
          <w:szCs w:val="22"/>
          <w:lang w:val="en-US"/>
        </w:rPr>
        <w:softHyphen/>
        <w:t xml:space="preserve">ecke, unter ein Bett usw. zu schleudern, so daß das Zusammensuchen seines Spielzeuges oft keine leichte Arbeit war. Dabei brachte es mit dem Ausdruck von Interesse und Befriedigung ein lautes, langgezogenes </w:t>
      </w:r>
      <w:r w:rsidRPr="00525700">
        <w:rPr>
          <w:rFonts w:ascii="Garamond" w:hAnsi="Garamond"/>
          <w:i/>
          <w:iCs/>
          <w:sz w:val="22"/>
          <w:szCs w:val="22"/>
          <w:lang w:val="en-US"/>
        </w:rPr>
        <w:t>o-o-o-o</w:t>
      </w:r>
      <w:r w:rsidRPr="00525700">
        <w:rPr>
          <w:rFonts w:ascii="Garamond" w:hAnsi="Garamond"/>
          <w:sz w:val="22"/>
          <w:szCs w:val="22"/>
          <w:lang w:val="en-US"/>
        </w:rPr>
        <w:t xml:space="preserve"> hervor, das nach dem übereinstimmenden Urteil der Mutter und des Beobachters keine Interjektion war, sondern »fort« bedeutete. Ich merkte endlich, daß das ein Spiel sei und daß das Kind alle seine Spielsachen nur dazu benütze, mit ihnen »fortsein« zu spielen. Eines Tages machte ich dann die Beobach</w:t>
      </w:r>
      <w:r w:rsidRPr="00525700">
        <w:rPr>
          <w:rFonts w:ascii="Garamond" w:hAnsi="Garamond"/>
          <w:sz w:val="22"/>
          <w:szCs w:val="22"/>
          <w:lang w:val="en-US"/>
        </w:rPr>
        <w:softHyphen/>
        <w:t xml:space="preserve">tung, die meine Auffassung bestätigte. Das Kind hatte eine Holzspule, die mit einem Bindfaden umwickelt war. Es fiel ihm nie ein, sie zum Beispiel am Boden hinter sich herzuziehen, also Wagen mit ihr zu spielen, sondern es warf die am Faden gehaltene Spule mit großem Geschick über den Rand seines verhängten Bettchens, so daß sie darin verschwand, sagte dazu sein bedeutungsvolles </w:t>
      </w:r>
      <w:r w:rsidRPr="00525700">
        <w:rPr>
          <w:rFonts w:ascii="Garamond" w:hAnsi="Garamond"/>
          <w:i/>
          <w:iCs/>
          <w:sz w:val="22"/>
          <w:szCs w:val="22"/>
          <w:lang w:val="en-US"/>
        </w:rPr>
        <w:t>o-o-o-o</w:t>
      </w:r>
      <w:r w:rsidRPr="00525700">
        <w:rPr>
          <w:rFonts w:ascii="Garamond" w:hAnsi="Garamond"/>
          <w:sz w:val="22"/>
          <w:szCs w:val="22"/>
          <w:lang w:val="en-US"/>
        </w:rPr>
        <w:t xml:space="preserve"> und zog dann die Spule am Faden wieder aus dem Bett heraus, begrüßte aber deren Erscheinen jetzt mit einem freudigen »Da«. Das war also das komplette Spiel, Verschwinden und Wiederkommen, wovon man zumeist nur den ersten Akt zu sehen bekam, und dieser wurde für sich allein unermüdlich als Spiel wiederholt, obwohl die größere Lust unzweifelhaft dem zweiten Akt anhing.</w:t>
      </w:r>
      <w:r w:rsidRPr="00525700">
        <w:rPr>
          <w:rFonts w:ascii="Garamond" w:hAnsi="Garamond"/>
          <w:sz w:val="22"/>
          <w:szCs w:val="22"/>
          <w:vertAlign w:val="superscript"/>
          <w:lang w:val="en-US"/>
        </w:rPr>
        <w:t>2)</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rPr>
        <w:t xml:space="preserve">Die Deutung des Spieles lag dann nahe. Es war im Zusammenhang mit der großen kulturellen Leistung des Kindes, mit dem von ihm zustande gebrachten Triebverzicht (Verzicht auf Triebbefriedigung), das Fortgehen der Mutter ohne Sträuben zu gestatten. </w:t>
      </w:r>
      <w:r w:rsidRPr="00525700">
        <w:rPr>
          <w:rFonts w:ascii="Garamond" w:hAnsi="Garamond"/>
          <w:sz w:val="22"/>
          <w:szCs w:val="22"/>
          <w:lang w:val="en-US"/>
        </w:rPr>
        <w:t>Es entschädigte sich gleichsam dafür, indem es dasselbe Verschwinden und Wiederkommen mit den ihm erreich</w:t>
      </w:r>
      <w:r w:rsidRPr="00525700">
        <w:rPr>
          <w:rFonts w:ascii="Garamond" w:hAnsi="Garamond"/>
          <w:sz w:val="22"/>
          <w:szCs w:val="22"/>
          <w:lang w:val="en-US"/>
        </w:rPr>
        <w:softHyphen/>
        <w:t>baren Gegenständen selbst in Szene setzte. Für die affektive Einschätzung dieses Spieles ist es natürlich gleichgültig, ob das Kind es selbst erfunden oder sich infolge einer Anregung zu eigen gemacht hatte. Unser Interesse wird sich einem anderen Punkte zuwenden. Das Fortgehen der Mutter kann dem Kinde unmöglich angenehm oder auch nur gleichgültig gewesen sein. Wie stimmt es also zum Lustprinzip, daß es dieses ihm peinliche Erlebnis als Spiel wiederholt? Man wird vielleicht antworten wollen, das Fortgehen müßte als Vorbedingung des erfreulichen Wiedererscheinens gespielt werden, im letzteren sei die eigentliche Spielabsicht gelegen. Dem würde die Beobachtung widersprechen, daß der erste Akt, das Fortgehen, für sich allein als Spiel inszeniert wurde, und zwar ungleich häufiger als das zum lustvollen Ende fortgeführte Ganze.</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Die Analyse eines solchen einzelnen Falles ergibt keine sichere Ent</w:t>
      </w:r>
      <w:r w:rsidRPr="00525700">
        <w:rPr>
          <w:rFonts w:ascii="Garamond" w:hAnsi="Garamond"/>
          <w:sz w:val="22"/>
          <w:szCs w:val="22"/>
          <w:lang w:val="en-US"/>
        </w:rPr>
        <w:softHyphen/>
        <w:t>scheidung; bei unbefangener Betrachtung gewinnt man den Eindruck, daß das Kind das Erlebnis aus einem anderen Motiv zum Spiel gemacht hat. Es war dabei passiv, wurde vom Erlebnis betroffen und bringt sich nun in eine aktive Rolle, indem es dasselbe, trotzdem es unlustvoll war, als Spiel wieder</w:t>
      </w:r>
      <w:r w:rsidRPr="00525700">
        <w:rPr>
          <w:rFonts w:ascii="Garamond" w:hAnsi="Garamond"/>
          <w:sz w:val="22"/>
          <w:szCs w:val="22"/>
          <w:lang w:val="en-US"/>
        </w:rPr>
        <w:softHyphen/>
        <w:t xml:space="preserve">holt. Dieses Bestreben könnte man einem Bemächtigungstrieb zurechnen, der sich davon unabhängig macht, ob die Erinnerung an sich lustvoll war oder nicht. Man kann aber auch eine andere Deutung versuchen. Das Wegwerfen des Gegenstandes, so daß er fort ist, könnte die Befriedigung eines im Leben unterdrückten Racheimpulses gegen die Mutter sein, weil sie vom Kinde fortgegangen ist, und dann die trotzige Bedeutung haben: »Ja, geh' nur fort, ich brauch' dich nicht, ich schick' dich selber weg.« Dasselbe Kind, das ich mit 1½ Jahren bei seinem ersten Spiel beobachtete, pflegte ein Jahr später ein Spielzeug, über das es sich geärgert hatte, auf den Boden zu </w:t>
      </w:r>
      <w:r w:rsidRPr="00525700">
        <w:rPr>
          <w:rFonts w:ascii="Garamond" w:hAnsi="Garamond"/>
          <w:sz w:val="22"/>
          <w:szCs w:val="22"/>
          <w:lang w:val="en-US"/>
        </w:rPr>
        <w:lastRenderedPageBreak/>
        <w:t>werfen und dabei zu sagen: »Geh' in K(r)ieg!« Man hatte ihm damals erzählt, der abwesende Vater befinde sich im Krieg, und es vermißte den Vater gar nicht, sondern gab die deutlichsten Anzeichen von sich, daß es im Alleinbesitz der Mutter nicht gestört werden wolle.</w:t>
      </w:r>
      <w:r w:rsidRPr="00525700">
        <w:rPr>
          <w:rFonts w:ascii="Garamond" w:hAnsi="Garamond"/>
          <w:sz w:val="22"/>
          <w:szCs w:val="22"/>
          <w:vertAlign w:val="superscript"/>
          <w:lang w:val="en-US"/>
        </w:rPr>
        <w:t>3)</w:t>
      </w:r>
      <w:r w:rsidRPr="00525700">
        <w:rPr>
          <w:rFonts w:ascii="Garamond" w:hAnsi="Garamond"/>
          <w:sz w:val="22"/>
          <w:szCs w:val="22"/>
          <w:lang w:val="en-US"/>
        </w:rPr>
        <w:t xml:space="preserve"> Wir wissen auch von anderen Kindern, daß sie ähnliche feindselige Regungen durch das Wegschleudern von Gegenständen an Stelle der Personen auszudrücken vermögen.</w:t>
      </w:r>
      <w:r w:rsidRPr="00525700">
        <w:rPr>
          <w:rFonts w:ascii="Garamond" w:hAnsi="Garamond"/>
          <w:sz w:val="22"/>
          <w:szCs w:val="22"/>
          <w:vertAlign w:val="superscript"/>
          <w:lang w:val="en-US"/>
        </w:rPr>
        <w:t>4)</w:t>
      </w:r>
      <w:r w:rsidRPr="00525700">
        <w:rPr>
          <w:rFonts w:ascii="Garamond" w:hAnsi="Garamond"/>
          <w:sz w:val="22"/>
          <w:szCs w:val="22"/>
          <w:lang w:val="en-US"/>
        </w:rPr>
        <w:t xml:space="preserve"> Man gerät so in Zweifel, ob der Drang, etwas Eindrucksvolles psychisch zu verarbeiten, sich seiner voll zu bemächtigen, sich primär und unabhängig vom Lustprinzip äußern kann. Im hier diskutierten Falle könnte er einen unangenehmen Eindruck doch nur darum im Spiel wiederholen, weil mit dieser Wiederholung ein andersartiger, aber direkter Lustgewinn verbunden ist.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Auch die weitere Verfolgung des Kinderspieles hilft diesem unserem Schwanken zwischen zwei Auffassungen nicht ab. Man sieht, daß die Kinder alles im Spiele wiederholen, was ihnen im Leben großen Eindruck gemacht hat, daß sie dabei die Stärke des Eindruckes abreagieren und sich sozusagen zu Herren der Situation machen. Aber anderseits ist es klar genug, daß all ihr Spielen unter dem Einflüsse des Wunsches steht, der diese ihre Zeit dominiert, des Wunsches: groß zu sein und so tun zu können wie die Großen. Man macht auch die Beobachtung, daß der Unlustcharakter des Erlebnisses es nicht immer für das Spiel unbrauchbar macht. Wenn der Doktor dem Kinde in den Hals geschaut oder eine kleine Operation an ihm ausgeführt hat, so wird dies erschreckende Erlebnis ganz gewiß zum Inhalt des nächsten Spieles werden, aber der Lustgewinn aus anderer Quelle ist dabei nicht zu übersehen. Indem das Kind aus der Passivität des Erlebens in die Aktivität des Spielens übergeht, fügt es einem Spielgefährten das Unangenehme zu, das ihm selbst widerfahren war, und rächt sich so an der Person dieses Stellvertreters.</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Aus diesen Erörterungen geht immerhin hervor, daß die Annahme eines besonderen Nachahmungstriebes als Motiv des Spielens überflüssig ist. Schließen wir noch die Mahnungen an, daß das künstlerische Spielen und Nachahmen der Erwachsenen, das zum Unterschied vom Verhalten des Kindes auf die Person des Zuschauers zielt, diesem die schmerzlichsten Eindrücke zum Beispiel in der Tragödie nicht erspart und doch von ihm als hoher Genuß empfunden werden kann. Wir werden so davon überzeugt, daß es auch unter der Herrschaft des Lustprinzips Mittel und Wege genug gibt, um das an sich Unlustvolle zum Gegenstand der Erinnerung und seelischen Bearbeitung zu machen. Mag sich mit diesen, in endlichen Lustgewinn auslaufenden Fällen und Situationen eine ökonomisch gerichtete Ästhetik befassen; für unsere Absichten leisten sie nichts, denn sie setzen Existenz und Herrschaft des Lustprinzips voraus und zeugen nicht für die Wirksamkeit von Tendenzen jenseits des Lustprinzips, das heißt solcher, die ursprünglicher als dies und von ihm unabhängig wären.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w:t>
      </w:r>
    </w:p>
    <w:p w:rsidR="00525700" w:rsidRPr="00525700" w:rsidRDefault="00525700" w:rsidP="00130855">
      <w:pPr>
        <w:pStyle w:val="NormalWeb"/>
        <w:rPr>
          <w:rFonts w:ascii="Garamond" w:hAnsi="Garamond"/>
          <w:sz w:val="22"/>
          <w:szCs w:val="22"/>
        </w:rPr>
      </w:pPr>
      <w:r w:rsidRPr="00525700">
        <w:rPr>
          <w:rFonts w:ascii="Garamond" w:hAnsi="Garamond"/>
          <w:sz w:val="22"/>
          <w:szCs w:val="22"/>
        </w:rPr>
        <w:t>__________________</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rPr>
        <w:t>1)</w:t>
      </w:r>
      <w:r w:rsidRPr="00525700">
        <w:rPr>
          <w:rFonts w:ascii="Garamond" w:hAnsi="Garamond"/>
          <w:sz w:val="22"/>
          <w:szCs w:val="22"/>
        </w:rPr>
        <w:t xml:space="preserve"> Vgl. </w:t>
      </w:r>
      <w:r w:rsidRPr="00525700">
        <w:rPr>
          <w:rFonts w:ascii="Garamond" w:hAnsi="Garamond"/>
          <w:i/>
          <w:iCs/>
          <w:sz w:val="22"/>
          <w:szCs w:val="22"/>
        </w:rPr>
        <w:t>Zur Psychoanalyse der Kriegsneurosen.</w:t>
      </w:r>
      <w:r w:rsidRPr="00525700">
        <w:rPr>
          <w:rFonts w:ascii="Garamond" w:hAnsi="Garamond"/>
          <w:sz w:val="22"/>
          <w:szCs w:val="22"/>
        </w:rPr>
        <w:t xml:space="preserve"> </w:t>
      </w:r>
      <w:r w:rsidRPr="00525700">
        <w:rPr>
          <w:rFonts w:ascii="Garamond" w:hAnsi="Garamond"/>
          <w:sz w:val="22"/>
          <w:szCs w:val="22"/>
          <w:lang w:val="en-US"/>
        </w:rPr>
        <w:t>Mit Beiträgen von Ferenczi, Abraham, Simmel und E. Jones (1919).</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2)</w:t>
      </w:r>
      <w:r w:rsidRPr="00525700">
        <w:rPr>
          <w:rFonts w:ascii="Garamond" w:hAnsi="Garamond"/>
          <w:sz w:val="22"/>
          <w:szCs w:val="22"/>
          <w:lang w:val="en-US"/>
        </w:rPr>
        <w:t xml:space="preserve"> Diese Deutung wurde dann durch eine weitere Beobachtung völlig gesichert. Als eines Tages die Mutter über viele Stunden abwesend gewesen war, wurde sie beim Wiederkommen mit der Mitteilung begrüßt: </w:t>
      </w:r>
      <w:r w:rsidRPr="00525700">
        <w:rPr>
          <w:rFonts w:ascii="Garamond" w:hAnsi="Garamond"/>
          <w:i/>
          <w:iCs/>
          <w:sz w:val="22"/>
          <w:szCs w:val="22"/>
          <w:lang w:val="en-US"/>
        </w:rPr>
        <w:t>»Bebi o-o-o-o!«,</w:t>
      </w:r>
      <w:r w:rsidRPr="00525700">
        <w:rPr>
          <w:rFonts w:ascii="Garamond" w:hAnsi="Garamond"/>
          <w:sz w:val="22"/>
          <w:szCs w:val="22"/>
          <w:lang w:val="en-US"/>
        </w:rPr>
        <w:t xml:space="preserve"> die zunächst unverständlich blieb. Es ergab sich aber bald, daß das Kind während dieses langen Alleinseins ein Mittel gefunden hatte, sich selbst verschwinden zu lassen. Es hatte sein Bild in dem fast bis zum Boden reichenden Standspiegel entdeckt und sich dann niedergekauert, so daß das Spiegelbild »fort« war.</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3)</w:t>
      </w:r>
      <w:r w:rsidRPr="00525700">
        <w:rPr>
          <w:rFonts w:ascii="Garamond" w:hAnsi="Garamond"/>
          <w:sz w:val="22"/>
          <w:szCs w:val="22"/>
          <w:lang w:val="en-US"/>
        </w:rPr>
        <w:t xml:space="preserve"> Als das Kind fünfdreiviertel Jahre alt war, starb die Mutter. Jetzt, da sie wirklich »fort« </w:t>
      </w:r>
      <w:r w:rsidRPr="00525700">
        <w:rPr>
          <w:rFonts w:ascii="Garamond" w:hAnsi="Garamond"/>
          <w:i/>
          <w:iCs/>
          <w:sz w:val="22"/>
          <w:szCs w:val="22"/>
          <w:lang w:val="en-US"/>
        </w:rPr>
        <w:t>(o-o-o-)</w:t>
      </w:r>
      <w:r w:rsidRPr="00525700">
        <w:rPr>
          <w:rFonts w:ascii="Garamond" w:hAnsi="Garamond"/>
          <w:sz w:val="22"/>
          <w:szCs w:val="22"/>
          <w:lang w:val="en-US"/>
        </w:rPr>
        <w:t xml:space="preserve"> war, zeigte der Knabe keine Trauer um sie. Allerdings war inzwischen ein zweites Kind geboren worden, das seine stärkste Eifersucht erweckt hatte.</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4)</w:t>
      </w:r>
      <w:r w:rsidRPr="00525700">
        <w:rPr>
          <w:rFonts w:ascii="Garamond" w:hAnsi="Garamond"/>
          <w:sz w:val="22"/>
          <w:szCs w:val="22"/>
          <w:lang w:val="en-US"/>
        </w:rPr>
        <w:t xml:space="preserve"> Vgl. ›Eine Kindheitserinnerung aus </w:t>
      </w:r>
      <w:r w:rsidRPr="00525700">
        <w:rPr>
          <w:rFonts w:ascii="Garamond" w:hAnsi="Garamond"/>
          <w:i/>
          <w:iCs/>
          <w:sz w:val="22"/>
          <w:szCs w:val="22"/>
          <w:lang w:val="en-US"/>
        </w:rPr>
        <w:t>Dichtung und Wahrheit</w:t>
      </w:r>
      <w:r w:rsidRPr="00525700">
        <w:rPr>
          <w:rFonts w:ascii="Garamond" w:hAnsi="Garamond"/>
          <w:sz w:val="22"/>
          <w:szCs w:val="22"/>
          <w:lang w:val="en-US"/>
        </w:rPr>
        <w:t xml:space="preserve">‹ (1917 </w:t>
      </w:r>
      <w:r w:rsidRPr="00525700">
        <w:rPr>
          <w:rFonts w:ascii="Garamond" w:hAnsi="Garamond"/>
          <w:i/>
          <w:iCs/>
          <w:sz w:val="22"/>
          <w:szCs w:val="22"/>
          <w:lang w:val="en-US"/>
        </w:rPr>
        <w:t>b</w:t>
      </w:r>
      <w:r w:rsidRPr="00525700">
        <w:rPr>
          <w:rFonts w:ascii="Garamond" w:hAnsi="Garamond"/>
          <w:sz w:val="22"/>
          <w:szCs w:val="22"/>
          <w:lang w:val="en-US"/>
        </w:rPr>
        <w:t>).</w:t>
      </w:r>
    </w:p>
    <w:p w:rsidR="00525700" w:rsidRPr="00525700" w:rsidRDefault="00B437A1" w:rsidP="00130855">
      <w:pPr>
        <w:pStyle w:val="Titre1"/>
        <w:rPr>
          <w:rFonts w:ascii="Garamond" w:hAnsi="Garamond"/>
          <w:sz w:val="22"/>
          <w:szCs w:val="22"/>
          <w:lang w:val="en-US"/>
        </w:rPr>
      </w:pPr>
      <w:hyperlink w:anchor="LustprinzipINHALT" w:history="1">
        <w:r w:rsidR="00525700" w:rsidRPr="005E1D01">
          <w:rPr>
            <w:rStyle w:val="Lienhypertexte"/>
            <w:rFonts w:ascii="Garamond" w:hAnsi="Garamond"/>
            <w:sz w:val="22"/>
            <w:szCs w:val="22"/>
            <w:lang w:val="en-US"/>
          </w:rPr>
          <w:t xml:space="preserve">III. </w:t>
        </w:r>
        <w:r w:rsidR="005E1D01" w:rsidRPr="005E1D01">
          <w:rPr>
            <w:rStyle w:val="Lienhypertexte"/>
            <w:rFonts w:ascii="Garamond" w:hAnsi="Garamond"/>
            <w:sz w:val="22"/>
            <w:szCs w:val="22"/>
            <w:lang w:val="en-US"/>
          </w:rPr>
          <w:t xml:space="preserve"> </w:t>
        </w:r>
        <w:r w:rsidR="00525700" w:rsidRPr="005E1D01">
          <w:rPr>
            <w:rStyle w:val="Lienhypertexte"/>
            <w:rFonts w:ascii="Garamond" w:hAnsi="Garamond"/>
            <w:sz w:val="22"/>
            <w:szCs w:val="22"/>
            <w:lang w:val="en-US"/>
          </w:rPr>
          <w:t>Wi</w:t>
        </w:r>
        <w:bookmarkStart w:id="18" w:name="Lustprinzip3"/>
        <w:bookmarkEnd w:id="18"/>
        <w:r w:rsidR="00525700" w:rsidRPr="005E1D01">
          <w:rPr>
            <w:rStyle w:val="Lienhypertexte"/>
            <w:rFonts w:ascii="Garamond" w:hAnsi="Garamond"/>
            <w:sz w:val="22"/>
            <w:szCs w:val="22"/>
            <w:lang w:val="en-US"/>
          </w:rPr>
          <w:t>ederholungszwang und Übertragungsneurosen</w:t>
        </w:r>
      </w:hyperlink>
    </w:p>
    <w:p w:rsidR="00525700" w:rsidRPr="00525700" w:rsidRDefault="00525700" w:rsidP="00130855">
      <w:pPr>
        <w:rPr>
          <w:rFonts w:ascii="Garamond" w:hAnsi="Garamond"/>
          <w:lang w:val="en-US"/>
        </w:rPr>
      </w:pP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Fünfundzwanzig Jahre intensiver Arbeit haben es mit sich gebracht, daß die nächsten Ziele der psychoanalytischen Technik heute ganz andere sind als zu Anfang. Zuerst konnte der analysierende Arzt nichts anderes anstre</w:t>
      </w:r>
      <w:r w:rsidRPr="00525700">
        <w:rPr>
          <w:rFonts w:ascii="Garamond" w:hAnsi="Garamond"/>
          <w:sz w:val="22"/>
          <w:szCs w:val="22"/>
          <w:lang w:val="en-US"/>
        </w:rPr>
        <w:softHyphen/>
        <w:t>ben, als das dem Kranken verborgene Unbewußte zu erraten, zusammen</w:t>
      </w:r>
      <w:r w:rsidRPr="00525700">
        <w:rPr>
          <w:rFonts w:ascii="Garamond" w:hAnsi="Garamond"/>
          <w:sz w:val="22"/>
          <w:szCs w:val="22"/>
          <w:lang w:val="en-US"/>
        </w:rPr>
        <w:softHyphen/>
        <w:t>zusetzen und zur rechten Zeit mitzuteilen. Die Psychoanalyse war vor allem eine Deutungskunst. Da die therapeutische Aufgabe dadurch nicht gelöst war, trat sofort die nächste Absicht auf, den Kranken zur Bestätigung der Konstruktion durch seine eigene Erinnerung zu nötigen. Bei diesem Bemühen fiel das Hauptgewicht auf die Widerstände des Kranken; die Kunst war jetzt, diese baldigst aufzudecken, dem Kranken zu zeigen und ihn durch mensch</w:t>
      </w:r>
      <w:r w:rsidRPr="00525700">
        <w:rPr>
          <w:rFonts w:ascii="Garamond" w:hAnsi="Garamond"/>
          <w:sz w:val="22"/>
          <w:szCs w:val="22"/>
          <w:lang w:val="en-US"/>
        </w:rPr>
        <w:softHyphen/>
        <w:t>liche Beeinflussung (hier die Stelle für die als »Übertragung« wirkende Suggestion) zum Aufgeben der Widerstände zu bewegen.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Dann aber wurde es immer deutlicher, daß das gesteckte Ziel, die Bewußt</w:t>
      </w:r>
      <w:r w:rsidRPr="00525700">
        <w:rPr>
          <w:rFonts w:ascii="Garamond" w:hAnsi="Garamond"/>
          <w:sz w:val="22"/>
          <w:szCs w:val="22"/>
          <w:lang w:val="en-US"/>
        </w:rPr>
        <w:softHyphen/>
        <w:t xml:space="preserve">werdung des Unbewußten, auch auf diesem Wege nicht voll erreichbar ist. Der Kranke kann von dem in ihm Verdrängten nicht alles erinnern, vielleicht gerade das Wesentliche nicht, und erwirbt so keine Überzeugung von der Richtigkeit der ihm mitgeteilten Konstruktion. Er ist vielmehr genötigt, das Verdrängte als gegenwärtiges Erlebnis zu </w:t>
      </w:r>
      <w:r w:rsidRPr="00525700">
        <w:rPr>
          <w:rFonts w:ascii="Garamond" w:hAnsi="Garamond"/>
          <w:i/>
          <w:iCs/>
          <w:sz w:val="22"/>
          <w:szCs w:val="22"/>
          <w:lang w:val="en-US"/>
        </w:rPr>
        <w:t>wiederholen,</w:t>
      </w:r>
      <w:r w:rsidRPr="00525700">
        <w:rPr>
          <w:rFonts w:ascii="Garamond" w:hAnsi="Garamond"/>
          <w:sz w:val="22"/>
          <w:szCs w:val="22"/>
          <w:lang w:val="en-US"/>
        </w:rPr>
        <w:t xml:space="preserve"> anstatt es, wie der Arzt es lieber sähe, als ein Stück der Vergangenheit zu </w:t>
      </w:r>
      <w:r w:rsidRPr="00525700">
        <w:rPr>
          <w:rFonts w:ascii="Garamond" w:hAnsi="Garamond"/>
          <w:i/>
          <w:iCs/>
          <w:sz w:val="22"/>
          <w:szCs w:val="22"/>
          <w:lang w:val="en-US"/>
        </w:rPr>
        <w:t>erinnern.</w:t>
      </w:r>
      <w:r w:rsidRPr="00525700">
        <w:rPr>
          <w:rFonts w:ascii="Garamond" w:hAnsi="Garamond"/>
          <w:sz w:val="22"/>
          <w:szCs w:val="22"/>
          <w:vertAlign w:val="superscript"/>
          <w:lang w:val="en-US"/>
        </w:rPr>
        <w:t>1)</w:t>
      </w:r>
      <w:r w:rsidRPr="00525700">
        <w:rPr>
          <w:rFonts w:ascii="Garamond" w:hAnsi="Garamond"/>
          <w:i/>
          <w:iCs/>
          <w:sz w:val="22"/>
          <w:szCs w:val="22"/>
          <w:lang w:val="en-US"/>
        </w:rPr>
        <w:t xml:space="preserve"> </w:t>
      </w:r>
      <w:r w:rsidRPr="00525700">
        <w:rPr>
          <w:rFonts w:ascii="Garamond" w:hAnsi="Garamond"/>
          <w:sz w:val="22"/>
          <w:szCs w:val="22"/>
          <w:lang w:val="en-US"/>
        </w:rPr>
        <w:t>Diese mit unerwünschter Treue auftretende Reproduktion hat immer ein Stück des infantilen Sexuallebens, also des Ödipuskomplexes und seiner Ausläufer, zum Inhalt und spielt sich regelmäßig auf dem Gebiete der Übertragung, das heißt der Beziehung zum Arzt ab. Hat man es in der Behandlung so weit gebracht, so kann man sagen, die frühere Neurose sei nun durch eine frische Ubertragungsneurose ersetzt. Der Arzt hat sich bemüht, den Bereich dieser Übertragungsneurose möglichst einzuschränken, möglichst viel in die Erinnerung zu drängen und möglichst wenig zur Wiederholung zuzulassen. Das Verhältnis, das sich zwischen Erinnerung und Reproduktion herstellt, ist für jeden Fall ein anderes. In der Regel kann der Arzt dem Analysierten diese Phase der Kur nicht ersparen; er muß ihn ein gewisses Stück seines vergessenen Lebens wiedererleben lassen und hat dafür zu sorgen, daß ein Maß von Überlegenheit erhalten bleibt, kraft dessen die anscheinende Realität doch immer wieder als Spiegelung einer vergessenen Vergangenheit erkannt wird. Gelingt dies, so ist die Überzeugung des Kranken und der von ihr abhängige therapeutische Erfolg gewonnen.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Um diesen </w:t>
      </w:r>
      <w:r w:rsidRPr="00525700">
        <w:rPr>
          <w:rFonts w:ascii="Garamond" w:hAnsi="Garamond"/>
          <w:i/>
          <w:iCs/>
          <w:sz w:val="22"/>
          <w:szCs w:val="22"/>
          <w:lang w:val="en-US"/>
        </w:rPr>
        <w:t>»Wiederholungszwang«,</w:t>
      </w:r>
      <w:r w:rsidRPr="00525700">
        <w:rPr>
          <w:rFonts w:ascii="Garamond" w:hAnsi="Garamond"/>
          <w:sz w:val="22"/>
          <w:szCs w:val="22"/>
          <w:lang w:val="en-US"/>
        </w:rPr>
        <w:t xml:space="preserve"> der sich während der psychoanaly</w:t>
      </w:r>
      <w:r w:rsidRPr="00525700">
        <w:rPr>
          <w:rFonts w:ascii="Garamond" w:hAnsi="Garamond"/>
          <w:sz w:val="22"/>
          <w:szCs w:val="22"/>
          <w:lang w:val="en-US"/>
        </w:rPr>
        <w:softHyphen/>
        <w:t xml:space="preserve">tischen Behandlung der Neurotiker äußert, begreiflicher zu finden, muß man sich vor allem von dem Irrtum frei machen, man habe es bei der Bekämpfung der Widerstände mit dem Widerstand des »Unbewußten« zu tun. Das Unbewußte, das heißt das »Verdrängte«, leistet den Bemühungen der Kur überhaupt keinen Widerstand, es strebt ja selbst nichts anderes an, als gegen den auf ihm lastenden Druck zum Bewußtsein oder zur Abfuhr durch die reale Tat durchzudringen. Der Widerstand in der Kur geht von denselben höheren Schichten und Systemen des Seelenlebens aus, die seinerzeit die Verdrängung durchgeführt haben. Da aber die Motive der Widerstände, ja diese selbst erfahrungsgemäß in der Kur zunächst unbewußt sind, werden wir gemahnt, eine Unzweckmäßigkeit unserer Ausdrucksweise zu verbessern. Wir entgehen der Unklarheit, wenn wir nicht das Bewußte und das Unbewußte, sondern das zusammenhängende </w:t>
      </w:r>
      <w:r w:rsidRPr="00525700">
        <w:rPr>
          <w:rFonts w:ascii="Garamond" w:hAnsi="Garamond"/>
          <w:i/>
          <w:iCs/>
          <w:sz w:val="22"/>
          <w:szCs w:val="22"/>
          <w:lang w:val="en-US"/>
        </w:rPr>
        <w:t>Ich</w:t>
      </w:r>
      <w:r w:rsidRPr="00525700">
        <w:rPr>
          <w:rFonts w:ascii="Garamond" w:hAnsi="Garamond"/>
          <w:sz w:val="22"/>
          <w:szCs w:val="22"/>
          <w:lang w:val="en-US"/>
        </w:rPr>
        <w:t xml:space="preserve"> und das </w:t>
      </w:r>
      <w:r w:rsidRPr="00525700">
        <w:rPr>
          <w:rFonts w:ascii="Garamond" w:hAnsi="Garamond"/>
          <w:i/>
          <w:iCs/>
          <w:sz w:val="22"/>
          <w:szCs w:val="22"/>
          <w:lang w:val="en-US"/>
        </w:rPr>
        <w:t>Verdrängte</w:t>
      </w:r>
      <w:r w:rsidRPr="00525700">
        <w:rPr>
          <w:rFonts w:ascii="Garamond" w:hAnsi="Garamond"/>
          <w:sz w:val="22"/>
          <w:szCs w:val="22"/>
          <w:lang w:val="en-US"/>
        </w:rPr>
        <w:t xml:space="preserve"> in Gegensatz zueinander bringen. Vieles am Ich ist sicherlich selbst unbewußt, gerade das, was man den Kern des Ichs nennen darf; nur einen geringen Teil davon decken wir mit dem Namen des </w:t>
      </w:r>
      <w:r w:rsidRPr="00525700">
        <w:rPr>
          <w:rFonts w:ascii="Garamond" w:hAnsi="Garamond"/>
          <w:i/>
          <w:iCs/>
          <w:sz w:val="22"/>
          <w:szCs w:val="22"/>
          <w:lang w:val="en-US"/>
        </w:rPr>
        <w:t>Vorbewußten.</w:t>
      </w:r>
      <w:r w:rsidRPr="00525700">
        <w:rPr>
          <w:rFonts w:ascii="Garamond" w:hAnsi="Garamond"/>
          <w:sz w:val="22"/>
          <w:szCs w:val="22"/>
          <w:lang w:val="en-US"/>
        </w:rPr>
        <w:t xml:space="preserve"> Nach dieser Ersetzung einer bloß deskriptiven Ausdrucksweise durch eine systematische oder dynamische können wir sagen, der Widerstand der Analysierten gehe von ihrem Ich aus, und dann erfassen wir sofort, der Wiederholungszwang ist dem unbewußten Verdrängten zuzuschreiben. Er konnte sich wahrscheinlich nicht eher äußern, als bis die entgegenkommende Arbeit der Kur die Verdrängung gelockert hatte.</w:t>
      </w:r>
      <w:r w:rsidRPr="00525700">
        <w:rPr>
          <w:rFonts w:ascii="Garamond" w:hAnsi="Garamond"/>
          <w:sz w:val="22"/>
          <w:szCs w:val="22"/>
          <w:vertAlign w:val="superscript"/>
          <w:lang w:val="en-US"/>
        </w:rPr>
        <w:t>2)</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Es ist kein Zweifel, daß der Widerstand des bewußten und vorbewußten Ichs im Dienste des Lustprinzips steht, er will ja die Unlust ersparen, die durch das Freiwerden des Verdrängten erregt würde, und unsere Bemühung geht dahin, solcher Unlust unter Berufung auf das Realitätsprinzip Zulassung zu erwirken. In welcher Beziehung zum Lustprinzip steht aber der Wieder</w:t>
      </w:r>
      <w:r w:rsidRPr="00525700">
        <w:rPr>
          <w:rFonts w:ascii="Garamond" w:hAnsi="Garamond"/>
          <w:sz w:val="22"/>
          <w:szCs w:val="22"/>
          <w:lang w:val="en-US"/>
        </w:rPr>
        <w:softHyphen/>
        <w:t xml:space="preserve">holungszwang, die Kraftäußerung des Verdrängten? Es ist klar, daß das meiste, was der Wiederholungszwang wiedererleben läßt, dem Ich Unlust bringen muß, denn er fördert ja Leistungen verdrängter Triebregungen zutage, aber das ist Unlust, die wir schon gewürdigt haben, die dem Lustprinzip nicht widerspricht, Unlust für das eine System und </w:t>
      </w:r>
      <w:r w:rsidRPr="00525700">
        <w:rPr>
          <w:rFonts w:ascii="Garamond" w:hAnsi="Garamond"/>
          <w:sz w:val="22"/>
          <w:szCs w:val="22"/>
          <w:lang w:val="en-US"/>
        </w:rPr>
        <w:lastRenderedPageBreak/>
        <w:t>gleichzeitig Befriedigung für das andere. Die neue und merkwürdige Tatsache aber, die wir jetzt zu beschreiben haben, ist, daß der Wiederholungszwang auch solche Erlebnisse der Vergangenheit wiederbringt, die keine Lustmöglichkeit enthalten, die auch damals nicht Befriedigungen, selbst nicht von seither verdrängten Triebregungen, gewesen sein können.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Die Frühblüte des infantilen Sexuallebens war infolge der Unverträglichkeit ihrer Wünsche mit der Realität und der Unzulänglichkeit der kindlichen Entwicklungsstufe zum Untergang bestimmt. Sie ging bei den peinlichsten Anlässen unter tief schmerzlichen Empfindungen zugrunde. Der Liebesverlust und das Mißlingen hinterließen eine dauernde Beeinträchtigung des Selbstgefühls als narzißtische Narbe, nach meinen Erfahrungen wie nach den Ausführungen Marcinowskis (1918) den stärksten Beitrag zu dem häufigen »Minderwertigkeitsgefühl« der Neurotiker. Die Sexualforschung, der durch die körperliche Entwicklung des Kindes Schranken gesetzt werden, brachte es zu keinem befriedigenden Abschluß; daher die spätere Klage: »Ich kann nichts fertigbringen, mir kann nichts gelingen.« Die zärtliche Bindung, meist an den gegengeschlechtlichen Elternteil, erlag der Enttäuschung, dem vergeblichen Warten auf Befriedigung, der Eifersucht bei der Geburt eines neuen Kindes, die unzweideutig die Untreue des oder der Geliebten erwies; der eigene mit tragischem Ernst unternommene Versuch, selbst ein solches Kind zu schaffen, mißlang in beschämender Weise; die Abnahme der dem Kleinen gespendeten Zärtlichkeit, der gesteigerte Anspruch der Erziehung, ernste Worte und eine gelegentliche Bestrafung hatten endlich den ganzen Umfang der ihm zugefallenen </w:t>
      </w:r>
      <w:r w:rsidRPr="00525700">
        <w:rPr>
          <w:rFonts w:ascii="Garamond" w:hAnsi="Garamond"/>
          <w:i/>
          <w:iCs/>
          <w:sz w:val="22"/>
          <w:szCs w:val="22"/>
          <w:lang w:val="en-US"/>
        </w:rPr>
        <w:t>Verschmäbung</w:t>
      </w:r>
      <w:r w:rsidRPr="00525700">
        <w:rPr>
          <w:rFonts w:ascii="Garamond" w:hAnsi="Garamond"/>
          <w:sz w:val="22"/>
          <w:szCs w:val="22"/>
          <w:lang w:val="en-US"/>
        </w:rPr>
        <w:t xml:space="preserve"> enthüllt. Es gibt hier einige wenige Typen, die regelmäßig wiederkehren, wie der typischen Liebe dieser Kinderzeit ein Ende gesetzt wird.</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Alle diese unerwünschten Anlässe und schmerzlichen Affektlagen werden nun vom Neurotiker in der Übertragung wiederholt und mit großem Geschick neu belebt. Sie streben den Abbruch der unvollendeten Kur an, sie wissen sich den Eindruck der Verschmähung wieder zu verschaffen, den Arzt zu harten Worten und kühlem Benehmen gegen sie zu nötigen, sie finden die geeigneten Objekte für ihre Eifersucht, sie ersetzen das heiß begehrte Kind der Urzeit durch den Vorsatz oder das Versprechen eines großen Geschenkes, das meist ebensowenig real wird wie jenes. Nichts von alledem konnte damals lustbringend sein; man sollte meinen, es müßte heute die geringere Unlust bringen, wenn es als Erinnerung oder in Träumen auftauchte, als wenn es sich zu neuem Erlebnis gestaltete. Es handelt sich natürlich um die Aktion von Trieben, die zur Befriedigung führen sollten, allein die Erfahrung, daß sie anstatt dessen auch damals nur Unlust brachten, hat nichts gefruchtet. Sie wird trotzdem wiederholt; ein Zwang drängt dazu.</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Dasselbe, was die Psychoanalyse an den Ubertragungsphänomenen der Neurotiker aufzeigt, kann man auch im Leben nicht neurotischer Personen wiederfinden. Es macht bei diesen den Eindruck eines sie verfolgenden Schicksals, eines dämonischen Zuges in ihrem Erleben, und die Psychoanalyse hat vom Anfang an solches Schicksal für zum großen Teil selbstbereitet und durch frühinfantile Einflüsse determiniert gehalten. Der Zwang, der sich dabei äußert, ist vom Wiederholungszwang der Neurotiker nicht verschieden, wenngleich diese Personen niemals die Zeichen eines durch Symptombildung erledigten neurotischen Konflikts geboten haben. So kennt man Personen, bei denen jede menschliche Beziehung den gleichen Ausgang nimmt: Wohltäter, die von jedem ihrer Schützlinge nach einiger Zeit im Groll verlassen werden, so verschieden diese sonst auch sein mögen, denen also bestimmt scheint, alle Bitterkeit des Undankes auszukosten; Männer, bei denen jede Freundschaft den Ausgang nimmt, daß der Freund sie verrät; andere, die es unbestimmt oft in ihrem Leben wiederholen, eine andere Person zur großen Autorität für sich oder auch für die Öffentlichkeit zu erheben, und diese Autorität dann nach abgemessener Zeit selbst stürzen, um sie durch eine neue zu ersetzen; Liebende, bei denen jedes zärtliche Verhältnis zum Weibe dieselben Phasen durchmacht und zum gleichen Ende führt usw. Wir verwundern uns über diese »ewige Wiederkehr des Gleichen« nur wenig, wenn es sich um ein </w:t>
      </w:r>
      <w:r w:rsidRPr="00525700">
        <w:rPr>
          <w:rFonts w:ascii="Garamond" w:hAnsi="Garamond"/>
          <w:i/>
          <w:iCs/>
          <w:sz w:val="22"/>
          <w:szCs w:val="22"/>
          <w:lang w:val="en-US"/>
        </w:rPr>
        <w:t>aktives</w:t>
      </w:r>
      <w:r w:rsidRPr="00525700">
        <w:rPr>
          <w:rFonts w:ascii="Garamond" w:hAnsi="Garamond"/>
          <w:sz w:val="22"/>
          <w:szCs w:val="22"/>
          <w:lang w:val="en-US"/>
        </w:rPr>
        <w:t xml:space="preserve"> Verhalten des Betreffenden handelt und wenn wir den sich gleichbleibenden Charakterzug seines Wesens auffinden, der sich in der Wiederholung der nämlichen Erlebnisse äußern muß. Weit stärker wirken jene Fälle auf uns, bei denen die Person etwas </w:t>
      </w:r>
      <w:r w:rsidRPr="00525700">
        <w:rPr>
          <w:rFonts w:ascii="Garamond" w:hAnsi="Garamond"/>
          <w:i/>
          <w:iCs/>
          <w:sz w:val="22"/>
          <w:szCs w:val="22"/>
          <w:lang w:val="en-US"/>
        </w:rPr>
        <w:t>passiv</w:t>
      </w:r>
      <w:r w:rsidRPr="00525700">
        <w:rPr>
          <w:rFonts w:ascii="Garamond" w:hAnsi="Garamond"/>
          <w:sz w:val="22"/>
          <w:szCs w:val="22"/>
          <w:lang w:val="en-US"/>
        </w:rPr>
        <w:t xml:space="preserve"> zu erleben scheint, worauf ihr ein Einfluß nicht zusteht, während sie doch immer nur die Wiederholung desselben Schicksals erlebt. Man denke zum Beispiel an die Geschichte jener Frau, die dreimal nacheinander Männer heiratete, die nach kurzer Zeit erkrankten und von ihr zu Tode gepflegt werden mußten.</w:t>
      </w:r>
      <w:r w:rsidRPr="00525700">
        <w:rPr>
          <w:rFonts w:ascii="Garamond" w:hAnsi="Garamond"/>
          <w:sz w:val="22"/>
          <w:szCs w:val="22"/>
          <w:vertAlign w:val="superscript"/>
          <w:lang w:val="en-US"/>
        </w:rPr>
        <w:t>3)</w:t>
      </w:r>
      <w:r w:rsidRPr="00525700">
        <w:rPr>
          <w:rFonts w:ascii="Garamond" w:hAnsi="Garamond"/>
          <w:sz w:val="22"/>
          <w:szCs w:val="22"/>
          <w:lang w:val="en-US"/>
        </w:rPr>
        <w:t xml:space="preserve"> Die ergreifendste poetische Darstellung eines solchen Schicksalszuges hat Tasso im romantischen Epos </w:t>
      </w:r>
      <w:r w:rsidRPr="00525700">
        <w:rPr>
          <w:rFonts w:ascii="Garamond" w:hAnsi="Garamond"/>
          <w:i/>
          <w:iCs/>
          <w:sz w:val="22"/>
          <w:szCs w:val="22"/>
          <w:lang w:val="en-US"/>
        </w:rPr>
        <w:t>Gerusalemme liberata</w:t>
      </w:r>
      <w:r w:rsidRPr="00525700">
        <w:rPr>
          <w:rFonts w:ascii="Garamond" w:hAnsi="Garamond"/>
          <w:sz w:val="22"/>
          <w:szCs w:val="22"/>
          <w:lang w:val="en-US"/>
        </w:rPr>
        <w:t xml:space="preserve"> gegeben. Held Tankred hat unwissentlich die von ihm geliebte Clorinda getötet, als sie in der Rüstung eines feindlichen Ritters mit ihm kämpfte. Nach ihrem </w:t>
      </w:r>
      <w:r w:rsidRPr="00525700">
        <w:rPr>
          <w:rFonts w:ascii="Garamond" w:hAnsi="Garamond"/>
          <w:sz w:val="22"/>
          <w:szCs w:val="22"/>
          <w:lang w:val="en-US"/>
        </w:rPr>
        <w:lastRenderedPageBreak/>
        <w:t>Begräbnis dringt er in den unheimlichen Zauberwald ein, der das Heer der Kreuzfahrer schreckt. Dort zerhaut er einen hohen Baum mit seinem Schwerte, aber aus der Wunde des Baumes strömt Blut, und die Stimme Clorindas, deren Seele in diesen Baum gebannt war, klagt ihn an, daß er wiederum die Geliebte geschädigt habe.</w:t>
      </w:r>
    </w:p>
    <w:p w:rsidR="00525700" w:rsidRPr="00525700" w:rsidRDefault="00525700" w:rsidP="00130855">
      <w:pPr>
        <w:pStyle w:val="NormalWeb"/>
        <w:rPr>
          <w:rFonts w:ascii="Garamond" w:hAnsi="Garamond"/>
          <w:sz w:val="22"/>
          <w:szCs w:val="22"/>
          <w:lang w:val="en-US"/>
        </w:rPr>
      </w:pPr>
      <w:r w:rsidRPr="00A06A59">
        <w:rPr>
          <w:rFonts w:ascii="Garamond" w:hAnsi="Garamond"/>
          <w:sz w:val="22"/>
          <w:szCs w:val="22"/>
          <w:lang w:val="en-US"/>
        </w:rPr>
        <w:t xml:space="preserve">Angesichts solcher Beobachtungen aus dem Verhalten in der Übertragung und aus dem Schicksal der Menschen werden wir den Mut zur Annahme finden, daß es im Seelenleben wirklich einen Wiederholungszwang gibt, der sich über das Lustprinzip hinaussetzt. Wir werden auch jetzt geneigt sein, die Träume der Unfallsneurotiker und den Antrieb zum Spiel des Kindes auf diesen Zwang zu beziehen. </w:t>
      </w:r>
      <w:r w:rsidRPr="00525700">
        <w:rPr>
          <w:rFonts w:ascii="Garamond" w:hAnsi="Garamond"/>
          <w:sz w:val="22"/>
          <w:szCs w:val="22"/>
          <w:lang w:val="en-US"/>
        </w:rPr>
        <w:t>Allerdings müssen wir uns sagen, daß wir die Wirkungen des Wiederholungszwanges nur in seltenen Fällen rein, ohne Mithilfe anderer Motive, erfassen können. Beim Kinderspiel haben wir bereits hervorgehoben, welche andere Deutungen seine Entstehung zuläßt. Wiederholungszwang und direkte lustvolle Triebbefriedigung scheinen sich dabei zu intimer Gemeinsamkeit zu verschränken. Die Phänomene der Übertragung stehen offenkundig im Dienste des Widerstandes von Seiten des auf der Verdrängung beharrenden Ichs; der Wiederholungszwang, den sich die Kur dienstbar machen wollte, wird gleichsam vom Ich, das am Lustprinzip festhalten will, auf seine Seite gezogen. An dem, was man den Schicksalszwang nennen könnte, scheint uns vieles durch die rationelle Erwägung verständlich, so daß man ein Bedürfnis nach der Aufstellung eines neuen geheimnisvollen Motivs nicht verspürt. Am unverdächtigsten ist vielleicht der Fall der Unfallsträume, aber bei näherer Überlegung muß man doch zugestehen, daß auch in den anderen Beispielen der Sachverhalt durch die Leistung der uns bekannten Motive nicht gedeckt wird. Es bleibt genug übrig, was die Annahme des Wiederholungszwanges rechtfertigt, und dieser erscheint uns ursprünglicher, elementarer, triebhafter als das von ihm zur Seite geschobene Lustprinzip. Wenn es aber einen solchen Wiederholungszwang im Seelischen gibt, so möchten wir gerne etwas darüber wissen, welcher Funktion er entspricht, unter welchen Bedingungen er hervortreten kann und in welcher Beziehung er zum Lustprinzip steht, dem wir doch bisher die Herrschaft über den Ablauf der Erregungsvorgänge im Seelenleben zugetraut haben.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w:t>
      </w:r>
    </w:p>
    <w:p w:rsidR="00525700" w:rsidRPr="00525700" w:rsidRDefault="00525700" w:rsidP="00130855">
      <w:pPr>
        <w:pStyle w:val="NormalWeb"/>
        <w:rPr>
          <w:rFonts w:ascii="Garamond" w:hAnsi="Garamond"/>
          <w:sz w:val="22"/>
          <w:szCs w:val="22"/>
        </w:rPr>
      </w:pPr>
      <w:r w:rsidRPr="00525700">
        <w:rPr>
          <w:rFonts w:ascii="Garamond" w:hAnsi="Garamond"/>
          <w:sz w:val="22"/>
          <w:szCs w:val="22"/>
        </w:rPr>
        <w:t>__________________</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rPr>
        <w:t>1)</w:t>
      </w:r>
      <w:r w:rsidRPr="00525700">
        <w:rPr>
          <w:rFonts w:ascii="Garamond" w:hAnsi="Garamond"/>
          <w:sz w:val="22"/>
          <w:szCs w:val="22"/>
        </w:rPr>
        <w:t xml:space="preserve"> S. ›Weitere Ratschläge zur Technik der Psychoanalyse. </w:t>
      </w:r>
      <w:r w:rsidRPr="00525700">
        <w:rPr>
          <w:rFonts w:ascii="Garamond" w:hAnsi="Garamond"/>
          <w:sz w:val="22"/>
          <w:szCs w:val="22"/>
          <w:lang w:val="en-US"/>
        </w:rPr>
        <w:t>II. Erinnern, Wiederholen und Durcharbeiten‹ (1914 g).</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2)</w:t>
      </w:r>
      <w:r w:rsidRPr="00525700">
        <w:rPr>
          <w:rFonts w:ascii="Garamond" w:hAnsi="Garamond"/>
          <w:sz w:val="22"/>
          <w:szCs w:val="22"/>
          <w:lang w:val="en-US"/>
        </w:rPr>
        <w:t xml:space="preserve"> Ich setze an anderer Stelle auseinander, daß es die »Suggestionswirkung« der Kur ist, welche hier dem Wiederholungszwang zu Hilfe kommt, also die tief im unbewußten Elternkomplex begründete Gefügigkeit gegen den Arzt.</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3)</w:t>
      </w:r>
      <w:r w:rsidRPr="00525700">
        <w:rPr>
          <w:rFonts w:ascii="Garamond" w:hAnsi="Garamond"/>
          <w:sz w:val="22"/>
          <w:szCs w:val="22"/>
          <w:lang w:val="en-US"/>
        </w:rPr>
        <w:t xml:space="preserve"> Vgl. hiezu die treffenden Bemerkungen in dem Aufsatz von C. G. Jung, ›Die Bedeutung des Vaters für das Schicksal des Einzelnen‹(1909).</w:t>
      </w:r>
    </w:p>
    <w:p w:rsidR="005E1D01" w:rsidRPr="004E00C6" w:rsidRDefault="005E1D01">
      <w:pPr>
        <w:rPr>
          <w:rFonts w:ascii="Garamond" w:eastAsiaTheme="majorEastAsia" w:hAnsi="Garamond" w:cstheme="majorBidi"/>
          <w:b/>
          <w:bCs/>
          <w:color w:val="365F91" w:themeColor="accent1" w:themeShade="BF"/>
          <w:lang w:val="en-US"/>
        </w:rPr>
      </w:pPr>
      <w:r w:rsidRPr="004E00C6">
        <w:rPr>
          <w:rFonts w:ascii="Garamond" w:hAnsi="Garamond"/>
          <w:lang w:val="en-US"/>
        </w:rPr>
        <w:br w:type="page"/>
      </w:r>
    </w:p>
    <w:p w:rsidR="00525700" w:rsidRPr="004E00C6" w:rsidRDefault="00B437A1" w:rsidP="00130855">
      <w:pPr>
        <w:pStyle w:val="Titre1"/>
        <w:rPr>
          <w:rFonts w:ascii="Garamond" w:hAnsi="Garamond"/>
          <w:sz w:val="22"/>
          <w:szCs w:val="22"/>
          <w:lang w:val="en-US"/>
        </w:rPr>
      </w:pPr>
      <w:hyperlink w:anchor="LustprinzipINHALT" w:history="1">
        <w:r w:rsidR="00525700" w:rsidRPr="005E1D01">
          <w:rPr>
            <w:rStyle w:val="Lienhypertexte"/>
            <w:rFonts w:ascii="Garamond" w:hAnsi="Garamond"/>
            <w:sz w:val="22"/>
            <w:szCs w:val="22"/>
          </w:rPr>
          <w:t xml:space="preserve">IV. </w:t>
        </w:r>
        <w:r w:rsidR="005E1D01" w:rsidRPr="005E1D01">
          <w:rPr>
            <w:rStyle w:val="Lienhypertexte"/>
            <w:rFonts w:ascii="Garamond" w:hAnsi="Garamond"/>
            <w:sz w:val="22"/>
            <w:szCs w:val="22"/>
          </w:rPr>
          <w:t xml:space="preserve"> </w:t>
        </w:r>
        <w:r w:rsidR="00525700" w:rsidRPr="005E1D01">
          <w:rPr>
            <w:rStyle w:val="Lienhypertexte"/>
            <w:rFonts w:ascii="Garamond" w:hAnsi="Garamond"/>
            <w:sz w:val="22"/>
            <w:szCs w:val="22"/>
          </w:rPr>
          <w:t>Spe</w:t>
        </w:r>
        <w:bookmarkStart w:id="19" w:name="Lustprinzip4"/>
        <w:bookmarkEnd w:id="19"/>
        <w:r w:rsidR="00525700" w:rsidRPr="005E1D01">
          <w:rPr>
            <w:rStyle w:val="Lienhypertexte"/>
            <w:rFonts w:ascii="Garamond" w:hAnsi="Garamond"/>
            <w:sz w:val="22"/>
            <w:szCs w:val="22"/>
          </w:rPr>
          <w:t xml:space="preserve">kulation über ein </w:t>
        </w:r>
        <w:r w:rsidR="00A43337">
          <w:rPr>
            <w:rStyle w:val="Lienhypertexte"/>
            <w:rFonts w:ascii="Garamond" w:hAnsi="Garamond"/>
            <w:sz w:val="22"/>
            <w:szCs w:val="22"/>
          </w:rPr>
          <w:t>« </w:t>
        </w:r>
        <w:r w:rsidR="00525700" w:rsidRPr="005E1D01">
          <w:rPr>
            <w:rStyle w:val="Lienhypertexte"/>
            <w:rFonts w:ascii="Garamond" w:hAnsi="Garamond"/>
            <w:sz w:val="22"/>
            <w:szCs w:val="22"/>
          </w:rPr>
          <w:t>Jenseits des Lustprinzips</w:t>
        </w:r>
        <w:r w:rsidR="00A43337">
          <w:rPr>
            <w:rStyle w:val="Lienhypertexte"/>
            <w:rFonts w:ascii="Garamond" w:hAnsi="Garamond"/>
            <w:sz w:val="22"/>
            <w:szCs w:val="22"/>
          </w:rPr>
          <w:t> »</w:t>
        </w:r>
        <w:r w:rsidR="00525700" w:rsidRPr="005E1D01">
          <w:rPr>
            <w:rStyle w:val="Lienhypertexte"/>
            <w:rFonts w:ascii="Garamond" w:hAnsi="Garamond"/>
            <w:sz w:val="22"/>
            <w:szCs w:val="22"/>
          </w:rPr>
          <w:t xml:space="preserve">. </w:t>
        </w:r>
        <w:r w:rsidR="00525700" w:rsidRPr="004E00C6">
          <w:rPr>
            <w:rStyle w:val="Lienhypertexte"/>
            <w:rFonts w:ascii="Garamond" w:hAnsi="Garamond"/>
            <w:sz w:val="22"/>
            <w:szCs w:val="22"/>
            <w:lang w:val="en-US"/>
          </w:rPr>
          <w:t>Reizschutz und Trauma</w:t>
        </w:r>
      </w:hyperlink>
    </w:p>
    <w:p w:rsidR="00525700" w:rsidRPr="004E00C6" w:rsidRDefault="00525700" w:rsidP="00130855">
      <w:pPr>
        <w:rPr>
          <w:rFonts w:ascii="Garamond" w:hAnsi="Garamond"/>
          <w:lang w:val="en-US"/>
        </w:rPr>
      </w:pP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Was nun folgt, ist Spekulation, oft weitausholende Spekulation, die ein jeder nach seiner besonderen Einstellung würdigen oder vernachlässigen wird. Im weiteren ein Versuch zur konsequenten Ausbeutung einer Idee, aus Neugierde, wohin dies führen wird.</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Die psychoanalytische Spekulation knüpft an den bei der Untersuchung unbewußter Vorgänge empfangenen Eindruck an, daß das Bewußtsein nicht der allgemeinste Charakter der seelischen Vorgänge, sondern nur eine be</w:t>
      </w:r>
      <w:r w:rsidRPr="00525700">
        <w:rPr>
          <w:rFonts w:ascii="Garamond" w:hAnsi="Garamond"/>
          <w:sz w:val="22"/>
          <w:szCs w:val="22"/>
          <w:lang w:val="en-US"/>
        </w:rPr>
        <w:softHyphen/>
        <w:t>sondere Funktion derselben sein könne. In metapsychologischer Ausdrucks</w:t>
      </w:r>
      <w:r w:rsidRPr="00525700">
        <w:rPr>
          <w:rFonts w:ascii="Garamond" w:hAnsi="Garamond"/>
          <w:sz w:val="22"/>
          <w:szCs w:val="22"/>
          <w:lang w:val="en-US"/>
        </w:rPr>
        <w:softHyphen/>
        <w:t xml:space="preserve">weise behauptet sie, das Bewußtsein sei die Leistung eines besonderen Systems, das sie </w:t>
      </w:r>
      <w:r w:rsidRPr="00525700">
        <w:rPr>
          <w:rFonts w:ascii="Garamond" w:hAnsi="Garamond"/>
          <w:i/>
          <w:iCs/>
          <w:sz w:val="22"/>
          <w:szCs w:val="22"/>
          <w:lang w:val="en-US"/>
        </w:rPr>
        <w:t>Bw</w:t>
      </w:r>
      <w:r w:rsidRPr="00525700">
        <w:rPr>
          <w:rFonts w:ascii="Garamond" w:hAnsi="Garamond"/>
          <w:sz w:val="22"/>
          <w:szCs w:val="22"/>
          <w:lang w:val="en-US"/>
        </w:rPr>
        <w:t xml:space="preserve"> benennt. Da das Bewußtsein im wesentlichen Wahrneh</w:t>
      </w:r>
      <w:r w:rsidRPr="00525700">
        <w:rPr>
          <w:rFonts w:ascii="Garamond" w:hAnsi="Garamond"/>
          <w:sz w:val="22"/>
          <w:szCs w:val="22"/>
          <w:lang w:val="en-US"/>
        </w:rPr>
        <w:softHyphen/>
        <w:t xml:space="preserve">mungen von Erregungen liefert, die aus der Außenwelt kommen, und Empfindungen von Lust und Unlust, die nur aus dem Innern des seelischen Apparates stammen können, kann dem System </w:t>
      </w:r>
      <w:r w:rsidRPr="00525700">
        <w:rPr>
          <w:rFonts w:ascii="Garamond" w:hAnsi="Garamond"/>
          <w:i/>
          <w:iCs/>
          <w:sz w:val="22"/>
          <w:szCs w:val="22"/>
          <w:lang w:val="en-US"/>
        </w:rPr>
        <w:t>W-Bw</w:t>
      </w:r>
      <w:r w:rsidRPr="00525700">
        <w:rPr>
          <w:rFonts w:ascii="Garamond" w:hAnsi="Garamond"/>
          <w:sz w:val="22"/>
          <w:szCs w:val="22"/>
          <w:lang w:val="en-US"/>
        </w:rPr>
        <w:t xml:space="preserve"> eine räumliche Stellung zugewiesen werden. </w:t>
      </w:r>
      <w:r w:rsidRPr="00525700">
        <w:rPr>
          <w:rFonts w:ascii="Garamond" w:hAnsi="Garamond"/>
          <w:sz w:val="22"/>
          <w:szCs w:val="22"/>
        </w:rPr>
        <w:t xml:space="preserve">Es muß an der Grenze von außen und innen liegen, der Außenwelt zugekehrt sein und die anderen psychischen Systeme umhüllen. Wir bemerken dann, daß wir mit diesen Annahmen nichts Neues gewagt, sondern uns der lokalisierenden Hirnanatomie angeschlossen haben, welche den »Sitz« des Bewußtseins in die Hirnrinde, in die äußerste, umhüllende Schicht des Zentralorgans verlegt. Die Hirnanatomie braucht sich keine Gedanken darüber zu machen, warum — anatomisch gesprochen — das Bewußtsein gerade an der Oberfläche des Gehirns untergebracht ist, anstatt wohlverwahrt irgendwo im innersten Innern desselben zu hausen. </w:t>
      </w:r>
      <w:r w:rsidRPr="00525700">
        <w:rPr>
          <w:rFonts w:ascii="Garamond" w:hAnsi="Garamond"/>
          <w:sz w:val="22"/>
          <w:szCs w:val="22"/>
          <w:lang w:val="en-US"/>
        </w:rPr>
        <w:t xml:space="preserve">Vielleicht bringen wir es in der Ableitung einer solchen Lage für unser System </w:t>
      </w:r>
      <w:r w:rsidRPr="00525700">
        <w:rPr>
          <w:rFonts w:ascii="Garamond" w:hAnsi="Garamond"/>
          <w:i/>
          <w:iCs/>
          <w:sz w:val="22"/>
          <w:szCs w:val="22"/>
          <w:lang w:val="en-US"/>
        </w:rPr>
        <w:t>W-Bw</w:t>
      </w:r>
      <w:r w:rsidRPr="00525700">
        <w:rPr>
          <w:rFonts w:ascii="Garamond" w:hAnsi="Garamond"/>
          <w:sz w:val="22"/>
          <w:szCs w:val="22"/>
          <w:lang w:val="en-US"/>
        </w:rPr>
        <w:t xml:space="preserve"> weiter.</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Das Bewußtsein ist nicht die einzige Eigentümlichkeit, die wir den Vor</w:t>
      </w:r>
      <w:r w:rsidRPr="00525700">
        <w:rPr>
          <w:rFonts w:ascii="Garamond" w:hAnsi="Garamond"/>
          <w:sz w:val="22"/>
          <w:szCs w:val="22"/>
          <w:lang w:val="en-US"/>
        </w:rPr>
        <w:softHyphen/>
        <w:t>gängen in diesem System zuschreiben. Wir stützen uns auf die Eindrücke unserer psychoanalytischen Erfahrung, wenn wir annehmen, daß alle Erre</w:t>
      </w:r>
      <w:r w:rsidRPr="00525700">
        <w:rPr>
          <w:rFonts w:ascii="Garamond" w:hAnsi="Garamond"/>
          <w:sz w:val="22"/>
          <w:szCs w:val="22"/>
          <w:lang w:val="en-US"/>
        </w:rPr>
        <w:softHyphen/>
        <w:t xml:space="preserve">gungsvorgänge in den anderen Systemen Dauerspuren als Grundlage des Gedächtnisses in diesen hinterlassen, Erinnerungsreste also, die nichts mit dem Bewußtwerden zu tun haben. Sie sind oft am stärksten und haltbarsten, wenn der sie zurücklassende Vorgang niemals zum Bewußtsein gekommen ist. Wir finden es aber beschwerlich zu glauben, daß solche Dauerspuren der Erregung auch im System </w:t>
      </w:r>
      <w:r w:rsidRPr="00525700">
        <w:rPr>
          <w:rFonts w:ascii="Garamond" w:hAnsi="Garamond"/>
          <w:i/>
          <w:iCs/>
          <w:sz w:val="22"/>
          <w:szCs w:val="22"/>
          <w:lang w:val="en-US"/>
        </w:rPr>
        <w:t>W-Bw</w:t>
      </w:r>
      <w:r w:rsidRPr="00525700">
        <w:rPr>
          <w:rFonts w:ascii="Garamond" w:hAnsi="Garamond"/>
          <w:sz w:val="22"/>
          <w:szCs w:val="22"/>
          <w:lang w:val="en-US"/>
        </w:rPr>
        <w:t xml:space="preserve"> zustande kommen. Sie würden die Eignung des Systems zur Aufnahme neuer Erregungen sehr bald einschränken,</w:t>
      </w:r>
      <w:r w:rsidRPr="00525700">
        <w:rPr>
          <w:rFonts w:ascii="Garamond" w:hAnsi="Garamond"/>
          <w:sz w:val="22"/>
          <w:szCs w:val="22"/>
          <w:vertAlign w:val="superscript"/>
          <w:lang w:val="en-US"/>
        </w:rPr>
        <w:t>1)</w:t>
      </w:r>
      <w:r w:rsidRPr="00525700">
        <w:rPr>
          <w:rFonts w:ascii="Garamond" w:hAnsi="Garamond"/>
          <w:sz w:val="22"/>
          <w:szCs w:val="22"/>
          <w:lang w:val="en-US"/>
        </w:rPr>
        <w:t xml:space="preserve"> wenn sie immer bewußt blieben; im anderen Falle, wenn sie unbewußt würden, stellten sie uns vor die Aufgabe, die Existenz unbewußter Vorgänge in einem System zu erklären, dessen Funktionieren sonst vom Phänomen des Bewußtseins begleitet wird. Wir hätten sozusagen durch unsere Annahme, welche das Bewußtwerden in ein besonderes System verweist, nichts verändert und nichts gewonnen. Wenn dies auch keine absolut verbindliche Erwägung sein mag, so kann sie uns doch zur Vermutung bewegen, daß Bewußtwerden und Hinterlassung einer Gedächtnisspur für dasselbe System miteinander unverträglich sind. Wir würden so sagen können, im System </w:t>
      </w:r>
      <w:r w:rsidRPr="00525700">
        <w:rPr>
          <w:rFonts w:ascii="Garamond" w:hAnsi="Garamond"/>
          <w:i/>
          <w:iCs/>
          <w:sz w:val="22"/>
          <w:szCs w:val="22"/>
          <w:lang w:val="en-US"/>
        </w:rPr>
        <w:t>Bw</w:t>
      </w:r>
      <w:r w:rsidRPr="00525700">
        <w:rPr>
          <w:rFonts w:ascii="Garamond" w:hAnsi="Garamond"/>
          <w:sz w:val="22"/>
          <w:szCs w:val="22"/>
          <w:lang w:val="en-US"/>
        </w:rPr>
        <w:t xml:space="preserve"> werde der Erregungsvorgang bewußt, hinterlasse aber keine Dauerspur; alle die Spuren desselben, auf welche sich die Erinnerung stützt, kämen bei der Fortpflanzung der Erregung auf die nächsten inneren Systeme in diesen zustande. In diesem Sinne ist auch das Schema entworfen, welches ich dem spekulativen Abschnitt meiner </w:t>
      </w:r>
      <w:r w:rsidRPr="00525700">
        <w:rPr>
          <w:rFonts w:ascii="Garamond" w:hAnsi="Garamond"/>
          <w:i/>
          <w:iCs/>
          <w:sz w:val="22"/>
          <w:szCs w:val="22"/>
          <w:lang w:val="en-US"/>
        </w:rPr>
        <w:t>Traumdeutung</w:t>
      </w:r>
      <w:r w:rsidRPr="00525700">
        <w:rPr>
          <w:rFonts w:ascii="Garamond" w:hAnsi="Garamond"/>
          <w:sz w:val="22"/>
          <w:szCs w:val="22"/>
          <w:lang w:val="en-US"/>
        </w:rPr>
        <w:t xml:space="preserve"> 1900 eingefügt habe. Wenn man bedenkt, wie wenig wir aus anderen Quellen über die Entstehung des Bewußtseins wissen, wird man dem Satze, </w:t>
      </w:r>
      <w:r w:rsidRPr="00525700">
        <w:rPr>
          <w:rFonts w:ascii="Garamond" w:hAnsi="Garamond"/>
          <w:i/>
          <w:iCs/>
          <w:sz w:val="22"/>
          <w:szCs w:val="22"/>
          <w:lang w:val="en-US"/>
        </w:rPr>
        <w:t>das Bewußtsein entstehe an Stelle der Erinnerungsspur,</w:t>
      </w:r>
      <w:r w:rsidRPr="00525700">
        <w:rPr>
          <w:rFonts w:ascii="Garamond" w:hAnsi="Garamond"/>
          <w:sz w:val="22"/>
          <w:szCs w:val="22"/>
          <w:lang w:val="en-US"/>
        </w:rPr>
        <w:t xml:space="preserve"> wenigstens die Bedeutung einer irgendwie bestimmten Behauptung einräumen müssen.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Das System </w:t>
      </w:r>
      <w:r w:rsidRPr="00525700">
        <w:rPr>
          <w:rFonts w:ascii="Garamond" w:hAnsi="Garamond"/>
          <w:i/>
          <w:iCs/>
          <w:sz w:val="22"/>
          <w:szCs w:val="22"/>
          <w:lang w:val="en-US"/>
        </w:rPr>
        <w:t>Bw</w:t>
      </w:r>
      <w:r w:rsidRPr="00525700">
        <w:rPr>
          <w:rFonts w:ascii="Garamond" w:hAnsi="Garamond"/>
          <w:sz w:val="22"/>
          <w:szCs w:val="22"/>
          <w:lang w:val="en-US"/>
        </w:rPr>
        <w:t xml:space="preserve"> wäre also durch die Besonderheit ausgezeichnet, daß der Erregungsvorgang in ihm nicht wie in allen anderen psychischen Systemen eine dauernde Veränderung seiner Elemente hinterläßt, sondern gleichsam im Phänomen des Bewußtwerdens verpufft. Eine solche Abweichung von der allgemeinen Regel fordert eine Erklärung durch ein Moment, welches ausschließlich bei diesem einen System in Betracht kommt, und dies den anderen Systemen abzusprechende Moment könnte leicht die exponierte Lage des Systems </w:t>
      </w:r>
      <w:r w:rsidRPr="00525700">
        <w:rPr>
          <w:rFonts w:ascii="Garamond" w:hAnsi="Garamond"/>
          <w:i/>
          <w:iCs/>
          <w:sz w:val="22"/>
          <w:szCs w:val="22"/>
          <w:lang w:val="en-US"/>
        </w:rPr>
        <w:t>Bw</w:t>
      </w:r>
      <w:r w:rsidRPr="00525700">
        <w:rPr>
          <w:rFonts w:ascii="Garamond" w:hAnsi="Garamond"/>
          <w:sz w:val="22"/>
          <w:szCs w:val="22"/>
          <w:lang w:val="en-US"/>
        </w:rPr>
        <w:t xml:space="preserve"> sein, sein unmittelbares Anstoßen an die Außenwelt.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Stellen wir uns den lebenden Organismus in seiner größtmöglichen Verein</w:t>
      </w:r>
      <w:r w:rsidRPr="00525700">
        <w:rPr>
          <w:rFonts w:ascii="Garamond" w:hAnsi="Garamond"/>
          <w:sz w:val="22"/>
          <w:szCs w:val="22"/>
          <w:lang w:val="en-US"/>
        </w:rPr>
        <w:softHyphen/>
        <w:t xml:space="preserve">fachung als undifferenziertes Bläschen reizbarer Substanz vor; dann ist seine der Außenwelt zugekehrte Oberfläche durch ihre Lage selbst differenziert und dient als reizaufnehmendes Organ. Die Embryologie als Wiederholung der Entwicklungsgeschichte zeigt auch wirklich, daß das Zentralnervensystem aus dem Ektoderm hervorgeht, und die graue Hirnrinde ist noch immer ein Abkömmling der primitiven Oberfläche und könnte </w:t>
      </w:r>
      <w:r w:rsidRPr="00525700">
        <w:rPr>
          <w:rFonts w:ascii="Garamond" w:hAnsi="Garamond"/>
          <w:sz w:val="22"/>
          <w:szCs w:val="22"/>
          <w:lang w:val="en-US"/>
        </w:rPr>
        <w:lastRenderedPageBreak/>
        <w:t xml:space="preserve">wesentliche Eigenschaften derselben durch Erbschaft übernommen haben. Es wäre dann leicht denkbar, daß durch unausgesetzten Anprall der äußeren Reize an die Oberfläche des Bläschens dessen Substanz bis in eine gewisse Tiefe dauernd verändert wird, so daß ihr Erregungsvorgang anders abläuft als in tieferen Schichten. Es bildete sich so eine Rinde, die endlich durch die Reizwirkung so durchgebrannt ist, daß sie der Reizaufnahme die günstigsten Verhältnisse entgegenbringt und einer weiteren Modifikation nicht fähig ist. Auf das System </w:t>
      </w:r>
      <w:r w:rsidRPr="00525700">
        <w:rPr>
          <w:rFonts w:ascii="Garamond" w:hAnsi="Garamond"/>
          <w:i/>
          <w:iCs/>
          <w:sz w:val="22"/>
          <w:szCs w:val="22"/>
          <w:lang w:val="en-US"/>
        </w:rPr>
        <w:t>Bw</w:t>
      </w:r>
      <w:r w:rsidRPr="00525700">
        <w:rPr>
          <w:rFonts w:ascii="Garamond" w:hAnsi="Garamond"/>
          <w:sz w:val="22"/>
          <w:szCs w:val="22"/>
          <w:lang w:val="en-US"/>
        </w:rPr>
        <w:t xml:space="preserve"> übertragen, würde dies meinen, daß dessen Elemente keine Dauerveränderung beim Durchgang der Erregung mehr annehmen können, weil sie bereits aufs äußerste im Sinne dieser Wirkung modifiziert sind. Dann sind sie aber befähigt, das Bewußtsein entstehen zu lassen. Worin diese Modifikation der Substanz und des Erregungsvorganges in ihr besteht, darüber kann man sich mancherlei Vorstellungen machen, die sich derzeit der Prüfung entziehen. Man kann annehmen, die Erregung habe bei ihrem Fort</w:t>
      </w:r>
      <w:r w:rsidRPr="00525700">
        <w:rPr>
          <w:rFonts w:ascii="Garamond" w:hAnsi="Garamond"/>
          <w:sz w:val="22"/>
          <w:szCs w:val="22"/>
          <w:lang w:val="en-US"/>
        </w:rPr>
        <w:softHyphen/>
        <w:t xml:space="preserve">gang von einem Element zum anderen einen Widerstand zu überwinden und diese Verringerung des Widerstandes setze eben die Dauerspur der Erregung (Bahnung); im System </w:t>
      </w:r>
      <w:r w:rsidRPr="00525700">
        <w:rPr>
          <w:rFonts w:ascii="Garamond" w:hAnsi="Garamond"/>
          <w:i/>
          <w:iCs/>
          <w:sz w:val="22"/>
          <w:szCs w:val="22"/>
          <w:lang w:val="en-US"/>
        </w:rPr>
        <w:t>Bw</w:t>
      </w:r>
      <w:r w:rsidRPr="00525700">
        <w:rPr>
          <w:rFonts w:ascii="Garamond" w:hAnsi="Garamond"/>
          <w:sz w:val="22"/>
          <w:szCs w:val="22"/>
          <w:lang w:val="en-US"/>
        </w:rPr>
        <w:t xml:space="preserve"> bestünde also ein solcher Übergangs</w:t>
      </w:r>
      <w:r w:rsidRPr="00525700">
        <w:rPr>
          <w:rFonts w:ascii="Garamond" w:hAnsi="Garamond"/>
          <w:sz w:val="22"/>
          <w:szCs w:val="22"/>
          <w:lang w:val="en-US"/>
        </w:rPr>
        <w:softHyphen/>
        <w:t>widerstand von einem Element zum anderen nicht mehr. Man kann mit dieser Vorstellung die Breuersche Unterscheidung von ruhender (gebundener) und frei beweglicher Besetzungsenergie in den Elementen der psychischen Systeme zusammenbringen;</w:t>
      </w:r>
      <w:r w:rsidRPr="00525700">
        <w:rPr>
          <w:rFonts w:ascii="Garamond" w:hAnsi="Garamond"/>
          <w:sz w:val="22"/>
          <w:szCs w:val="22"/>
          <w:vertAlign w:val="superscript"/>
          <w:lang w:val="en-US"/>
        </w:rPr>
        <w:t>2)</w:t>
      </w:r>
      <w:r w:rsidRPr="00525700">
        <w:rPr>
          <w:rFonts w:ascii="Garamond" w:hAnsi="Garamond"/>
          <w:sz w:val="22"/>
          <w:szCs w:val="22"/>
          <w:lang w:val="en-US"/>
        </w:rPr>
        <w:t xml:space="preserve"> die Elemente des Systems </w:t>
      </w:r>
      <w:r w:rsidRPr="00525700">
        <w:rPr>
          <w:rFonts w:ascii="Garamond" w:hAnsi="Garamond"/>
          <w:i/>
          <w:iCs/>
          <w:sz w:val="22"/>
          <w:szCs w:val="22"/>
          <w:lang w:val="en-US"/>
        </w:rPr>
        <w:t>Bw</w:t>
      </w:r>
      <w:r w:rsidRPr="00525700">
        <w:rPr>
          <w:rFonts w:ascii="Garamond" w:hAnsi="Garamond"/>
          <w:sz w:val="22"/>
          <w:szCs w:val="22"/>
          <w:lang w:val="en-US"/>
        </w:rPr>
        <w:t xml:space="preserve"> würden dann keine gebundene und nur frei abfuhrfähige Energie führen. Aber ich meine, vorläufig ist es besser, wenn man sich über diese Verhältnisse möglichst unbestimmt äußert. Immerhin hätten wir durch diese Spekulation die Entstehung des Bewußtseins in einen gewissen Zusammenhang mit der Lage des Systems </w:t>
      </w:r>
      <w:r w:rsidRPr="00525700">
        <w:rPr>
          <w:rFonts w:ascii="Garamond" w:hAnsi="Garamond"/>
          <w:i/>
          <w:iCs/>
          <w:sz w:val="22"/>
          <w:szCs w:val="22"/>
          <w:lang w:val="en-US"/>
        </w:rPr>
        <w:t>Bw</w:t>
      </w:r>
      <w:r w:rsidRPr="00525700">
        <w:rPr>
          <w:rFonts w:ascii="Garamond" w:hAnsi="Garamond"/>
          <w:sz w:val="22"/>
          <w:szCs w:val="22"/>
          <w:lang w:val="en-US"/>
        </w:rPr>
        <w:t xml:space="preserve"> und den ihm zuzuschreibenden Besonderheiten des Erregungsvorganges verflochten.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An dem lebenden Bläschen mit seiner reizaufnehmenden Rindenschichte haben wir noch anderes zu erörtern. Dieses Stückchen lebender Substanz schwebt inmitten einer mit den stärksten Energien geladenen Außenwelt und würde von den Reizwirkungen derselben erschlagen werden, wenn es nicht mit einem </w:t>
      </w:r>
      <w:r w:rsidRPr="00525700">
        <w:rPr>
          <w:rFonts w:ascii="Garamond" w:hAnsi="Garamond"/>
          <w:i/>
          <w:iCs/>
          <w:sz w:val="22"/>
          <w:szCs w:val="22"/>
          <w:lang w:val="en-US"/>
        </w:rPr>
        <w:t>Reizschutz</w:t>
      </w:r>
      <w:r w:rsidRPr="00525700">
        <w:rPr>
          <w:rFonts w:ascii="Garamond" w:hAnsi="Garamond"/>
          <w:sz w:val="22"/>
          <w:szCs w:val="22"/>
          <w:lang w:val="en-US"/>
        </w:rPr>
        <w:t xml:space="preserve"> versehen wäre. Es bekommt ihn dadurch, daß seine äußerste Oberfläche die dem Lebenden zukommende Struktur aufgibt, gewissermaßen anorganisch wird und nun als eine besondere Hülle oder Membran reizabhaltend wirkt, das heißt veranlaßt, daß die Energien der Außenwelt sich nun mit einem Bruchteil ihrer Intensität auf die nächsten, lebend gebliebenen Schichten fortsetzen können. Diese können nun hinter dem Reizschutz sich der Aufnahme der durchgelassenen Reizmengen wid</w:t>
      </w:r>
      <w:r w:rsidRPr="00525700">
        <w:rPr>
          <w:rFonts w:ascii="Garamond" w:hAnsi="Garamond"/>
          <w:sz w:val="22"/>
          <w:szCs w:val="22"/>
          <w:lang w:val="en-US"/>
        </w:rPr>
        <w:softHyphen/>
        <w:t>men. Die Außenschicht hat aber durch ihr Absterben alle tieferen vor dem gleichen Schicksal bewahrt, wenigstens so lange, bis nicht Reize von solcher Stärke herankommen, daß sie den Reizschutz durchbrechen. Für den leben</w:t>
      </w:r>
      <w:r w:rsidRPr="00525700">
        <w:rPr>
          <w:rFonts w:ascii="Garamond" w:hAnsi="Garamond"/>
          <w:sz w:val="22"/>
          <w:szCs w:val="22"/>
          <w:lang w:val="en-US"/>
        </w:rPr>
        <w:softHyphen/>
        <w:t>den Organismus ist der Reizschutz eine beinahe wichtigere Aufgabe als die Reizaufnahme; er ist mit einem eigenen Energievorrat ausgestattet und muß vor allem bestrebt sein, die besonderen Formen der Energieumsetzung, die in ihm spielen, vor dem gleichmachenden, also zerstörenden Einfluß der übergroßen, draußen arbeitenden Energien zu bewahren. Die Reizaufnahme dient vor allem der Absicht, Richtung und Art der äußeren Reize zu erfahren, und dazu muß es genügen, der Außenwelt kleine Proben zu entnehmen, sie in geringen Quantitäten zu verkosten. Bei den hochentwickelten Organismen hat sich die reizaufnehmende Rindenschicht des einstigen Bläschens längst in die Tiefe des Körperinnern zurückgezogen, aber Anteile von ihr sind an der Oberfläche unmittelbar unter dem allgemeinen Reizschutz zurückgelassen. Dies sind die Sinnesorgane, die im wesentlichen Einrichtungen zur Aufnahme spezifischer Reizeinwirkungen enthalten, aber außerdem besondere Vorrich</w:t>
      </w:r>
      <w:r w:rsidRPr="00525700">
        <w:rPr>
          <w:rFonts w:ascii="Garamond" w:hAnsi="Garamond"/>
          <w:sz w:val="22"/>
          <w:szCs w:val="22"/>
          <w:lang w:val="en-US"/>
        </w:rPr>
        <w:softHyphen/>
        <w:t>tungen zu neuerlichem Schutz gegen übergroße Reizmengen und zur Abhaltung unangemessener Reizarten. Es ist für sie charakteristisch, daß sie nur sehr geringe Quantitäten des äußeren Reizes verarbeiten, sie nehmen nur Stichproben der Außenwelt vor; vielleicht darf man sie Fühlern vergleichen, die sich an die Außenwelt herantasten und dann immer wieder von ihr zurückziehen.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Ich gestatte mir an dieser Stelle ein Thema flüchtig zu berühren, welches die gründlichste Behandlung verdienen würde. Der Kantsche Satz, daß Zeit und Raum notwendige Formen unseres Denkens sind, kann heute infolge gewisser psychoanalytischer Erkenntnisse einer Diskussion unterzogen werden. Wir haben erfahren, daß die unbewußten Seelenvorgänge an sich »zeitlos« sind. Das heißt zunächst, daß sie nicht zeitlich geordnet werden, daß die Zeit nichts an ihnen verändert, daß man die Zeitvorstellung nicht an sie heranbringen kann. Es sind dies negative Charaktere, die man sich nur durch Vergleichung mit den bewußten seelischen Prozessen deutlich machen kann. Unsere abstrakte Zeitvorstellung scheint vielmehr durchaus von der Arbeitsweise des Systems </w:t>
      </w:r>
      <w:r w:rsidRPr="00525700">
        <w:rPr>
          <w:rFonts w:ascii="Garamond" w:hAnsi="Garamond"/>
          <w:i/>
          <w:iCs/>
          <w:sz w:val="22"/>
          <w:szCs w:val="22"/>
          <w:lang w:val="en-US"/>
        </w:rPr>
        <w:t>W-Bw</w:t>
      </w:r>
      <w:r w:rsidRPr="00525700">
        <w:rPr>
          <w:rFonts w:ascii="Garamond" w:hAnsi="Garamond"/>
          <w:sz w:val="22"/>
          <w:szCs w:val="22"/>
          <w:lang w:val="en-US"/>
        </w:rPr>
        <w:t xml:space="preserve"> hergeholt zu sein und einer Selbstwahr</w:t>
      </w:r>
      <w:r w:rsidRPr="00525700">
        <w:rPr>
          <w:rFonts w:ascii="Garamond" w:hAnsi="Garamond"/>
          <w:sz w:val="22"/>
          <w:szCs w:val="22"/>
          <w:lang w:val="en-US"/>
        </w:rPr>
        <w:softHyphen/>
        <w:t xml:space="preserve">nehmung derselben zu entsprechen. Bei dieser Funktionsweise des Systems dürfte ein anderer Weg des Reizschutzes </w:t>
      </w:r>
      <w:r w:rsidRPr="00525700">
        <w:rPr>
          <w:rFonts w:ascii="Garamond" w:hAnsi="Garamond"/>
          <w:sz w:val="22"/>
          <w:szCs w:val="22"/>
          <w:lang w:val="en-US"/>
        </w:rPr>
        <w:lastRenderedPageBreak/>
        <w:t>beschritten werden. Ich weiß, daß diese Behauptungen sehr dunkel klingen, muß mich aber auf solche Andeutungen beschränken.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Wir haben bisher ausgeführt, daß das lebende Bläschen mit einem Reiz</w:t>
      </w:r>
      <w:r w:rsidRPr="00525700">
        <w:rPr>
          <w:rFonts w:ascii="Garamond" w:hAnsi="Garamond"/>
          <w:sz w:val="22"/>
          <w:szCs w:val="22"/>
          <w:lang w:val="en-US"/>
        </w:rPr>
        <w:softHyphen/>
        <w:t xml:space="preserve">schutz gegen die Außenwelt ausgestattet ist. Vorhin hatten wir festgelegt, daß die nächste Rindenschicht desselben als Organ zur Reizaufnahme von außen differenziert sein muß. Diese empfindliche Rindenschicht, das spätere System </w:t>
      </w:r>
      <w:r w:rsidRPr="00525700">
        <w:rPr>
          <w:rFonts w:ascii="Garamond" w:hAnsi="Garamond"/>
          <w:i/>
          <w:iCs/>
          <w:sz w:val="22"/>
          <w:szCs w:val="22"/>
          <w:lang w:val="en-US"/>
        </w:rPr>
        <w:t>Bw,</w:t>
      </w:r>
      <w:r w:rsidRPr="00525700">
        <w:rPr>
          <w:rFonts w:ascii="Garamond" w:hAnsi="Garamond"/>
          <w:sz w:val="22"/>
          <w:szCs w:val="22"/>
          <w:lang w:val="en-US"/>
        </w:rPr>
        <w:t xml:space="preserve"> empfängt aber auch Erregungen von innen her; die Stellung des Systems zwischen außen und innen und die Verschiedenheit der Bedingun</w:t>
      </w:r>
      <w:r w:rsidRPr="00525700">
        <w:rPr>
          <w:rFonts w:ascii="Garamond" w:hAnsi="Garamond"/>
          <w:sz w:val="22"/>
          <w:szCs w:val="22"/>
          <w:lang w:val="en-US"/>
        </w:rPr>
        <w:softHyphen/>
        <w:t>gen für die Einwirkung von der einen und der anderen Seite werden maßge</w:t>
      </w:r>
      <w:r w:rsidRPr="00525700">
        <w:rPr>
          <w:rFonts w:ascii="Garamond" w:hAnsi="Garamond"/>
          <w:sz w:val="22"/>
          <w:szCs w:val="22"/>
          <w:lang w:val="en-US"/>
        </w:rPr>
        <w:softHyphen/>
        <w:t>bend für die Leistung des Systems und des ganzen seelischen Apparates. Gegen außen gibt es einen Reizschutz, die ankommenden Erregungsgrößen werden nur in verkleinertem Maßstab wirken; nach innen zu ist der Reiz</w:t>
      </w:r>
      <w:r w:rsidRPr="00525700">
        <w:rPr>
          <w:rFonts w:ascii="Garamond" w:hAnsi="Garamond"/>
          <w:sz w:val="22"/>
          <w:szCs w:val="22"/>
          <w:lang w:val="en-US"/>
        </w:rPr>
        <w:softHyphen/>
        <w:t>schutz unmöglich, die Erregungen der tieferen Schichten setzen sich direkt und in unverringertem Maße auf das System fort, indem gewisse Charaktere ihres Ablaufes die Reihe der Lust-Unlustempfindungen erzeugen. Allerdings werden die von innen kommenden Erregungen nach ihrer Intensität und nach anderen qualitativen Charakteren (eventuell nach ihrer Amplitude) der Arbeitsweise des Systems adäquater sein als die von der Außenwelt zuströ</w:t>
      </w:r>
      <w:r w:rsidRPr="00525700">
        <w:rPr>
          <w:rFonts w:ascii="Garamond" w:hAnsi="Garamond"/>
          <w:sz w:val="22"/>
          <w:szCs w:val="22"/>
          <w:lang w:val="en-US"/>
        </w:rPr>
        <w:softHyphen/>
        <w:t xml:space="preserve">menden Reize. Aber zweierlei ist durch diese Verhältnisse entscheidend bestimmt, erstens die Prävalenz der Lust- und Unlustempfindungen, die ein Index für Vorgänge im Innern des Apparates sind, über alle äußeren Reize und zweitens eine Richtung des Verhaltens gegen solche innere Erregungen, welche allzu große Unlustvermehrung herbeiführen. Es wird sich die Neigung ergeben, sie so zu behandeln, als ob sie nicht von innen, sondern von außen her einwirkten, um die Abwehrmittel des Reizsehutzes gegen sie in Anwendung bringen zu können. Dies ist die Herkunft der </w:t>
      </w:r>
      <w:r w:rsidRPr="00525700">
        <w:rPr>
          <w:rFonts w:ascii="Garamond" w:hAnsi="Garamond"/>
          <w:i/>
          <w:iCs/>
          <w:sz w:val="22"/>
          <w:szCs w:val="22"/>
          <w:lang w:val="en-US"/>
        </w:rPr>
        <w:t>Projektion,</w:t>
      </w:r>
      <w:r w:rsidRPr="00525700">
        <w:rPr>
          <w:rFonts w:ascii="Garamond" w:hAnsi="Garamond"/>
          <w:sz w:val="22"/>
          <w:szCs w:val="22"/>
          <w:lang w:val="en-US"/>
        </w:rPr>
        <w:t xml:space="preserve"> der eine so große Rolle bei der Verursachung pathologischer Prozesse vorbehalten ist.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Ich habe den Eindruck, daß wir durch die letzten Überlegungen die Herr</w:t>
      </w:r>
      <w:r w:rsidRPr="00525700">
        <w:rPr>
          <w:rFonts w:ascii="Garamond" w:hAnsi="Garamond"/>
          <w:sz w:val="22"/>
          <w:szCs w:val="22"/>
          <w:lang w:val="en-US"/>
        </w:rPr>
        <w:softHyphen/>
        <w:t xml:space="preserve">schaft des Lustprinzips unserem Verständnis angenähert haben; eine Aufklärung jener Fälle, die sich ihm widersetzen, haben wir aber nicht erreicht. Gehen wir darum einen Schritt weiter. Solche Erregungen von außen, die stark genug sind, den Reizschutz zu durchbrechen, heißen wir </w:t>
      </w:r>
      <w:r w:rsidRPr="00525700">
        <w:rPr>
          <w:rFonts w:ascii="Garamond" w:hAnsi="Garamond"/>
          <w:i/>
          <w:iCs/>
          <w:sz w:val="22"/>
          <w:szCs w:val="22"/>
          <w:lang w:val="en-US"/>
        </w:rPr>
        <w:t>traumatische.</w:t>
      </w:r>
      <w:r w:rsidRPr="00525700">
        <w:rPr>
          <w:rFonts w:ascii="Garamond" w:hAnsi="Garamond"/>
          <w:sz w:val="22"/>
          <w:szCs w:val="22"/>
          <w:lang w:val="en-US"/>
        </w:rPr>
        <w:t xml:space="preserve"> Ich glaube, daß der Begriff des Traumas eine solche Beziehung auf eine sonst wirksame Reizabhaltung erfordert. Ein Vorkommnis wie das äußere Trauma wird gewiß eine großartige Störung im Energiebetrieb des Organismus hervorrufen und alle Abwehrmittel in Bewegung setzen. Aber das Lustprinzip ist dabei zunächst außer Kraft gesetzt. Die Überschwemmung des seelischen Apparates mit großen Reizmengen ist nicht mehr hintanzuhal</w:t>
      </w:r>
      <w:r w:rsidRPr="00525700">
        <w:rPr>
          <w:rFonts w:ascii="Garamond" w:hAnsi="Garamond"/>
          <w:sz w:val="22"/>
          <w:szCs w:val="22"/>
          <w:lang w:val="en-US"/>
        </w:rPr>
        <w:softHyphen/>
        <w:t>ten; es ergibt sich vielmehr eine andere Aufgabe, den Reiz zu bewältigen, die hereingebrochenen Reizmengen psychisch zu binden, um sie dann der Erledigung zuzuführen.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Wahrscheinlich ist die spezifische Unlust des körperlichen Schmerzes der Erfolg davon, daß der Reizschutz in beschränktem Umfange durchbrochen wurde. Von dieser Stelle der Peripherie strömen dann dem seelischen Zen</w:t>
      </w:r>
      <w:r w:rsidRPr="00525700">
        <w:rPr>
          <w:rFonts w:ascii="Garamond" w:hAnsi="Garamond"/>
          <w:sz w:val="22"/>
          <w:szCs w:val="22"/>
          <w:lang w:val="en-US"/>
        </w:rPr>
        <w:softHyphen/>
        <w:t>tralapparat kontinuierliche Erregungen zu, wie sie sonst nur aus dem Innern des Apparates kommen konnten.</w:t>
      </w:r>
      <w:r w:rsidRPr="00525700">
        <w:rPr>
          <w:rFonts w:ascii="Garamond" w:hAnsi="Garamond"/>
          <w:sz w:val="22"/>
          <w:szCs w:val="22"/>
          <w:vertAlign w:val="superscript"/>
          <w:lang w:val="en-US"/>
        </w:rPr>
        <w:t>3)</w:t>
      </w:r>
      <w:r w:rsidRPr="00525700">
        <w:rPr>
          <w:rFonts w:ascii="Garamond" w:hAnsi="Garamond"/>
          <w:sz w:val="22"/>
          <w:szCs w:val="22"/>
          <w:lang w:val="en-US"/>
        </w:rPr>
        <w:t xml:space="preserve"> Und was können wir als die Reaktion des Seelenlebens auf diesen Einbruch erwarten? Von allen Seiten her wird die Besetzungsenergie aufgeboten, um in der Umgebung der Einbruchstelle entsprechend hohe Energiebesetzungen zu schaffen. Es wird eine großartige »Gegenbesetzung« hergestellt, zu deren Gunsten alle anderen psychischen Systeme verarmen, so daß eine ausgedehnte Lähmung oder Herabsetzung der sonstigen psychischen Leistung erfolgt. Wir suchen aus solchen Beispielen zu lernen, unsere metapsychologischen Vermutungen an solche Vorbilder anzulehnen. Wir ziehen also aus diesem Verhalten den Schluß, daß ein selbst hochbesetztes System imstande ist, neu hinzukommende strömende Energie aufzunehmen, sie in ruhende Besetzung umzuwandeln, also sie psychisch zu »binden«. Je höher die eigene ruhende Besetzung ist, desto größer wäre auch ihre bindende Kraft; umgekehrt also, je niedriger seine Besetzung ist, desto weniger wird das System für die Aufnahme zuströmender Energie befähigt sein, desto gewaltsamer müssen dann die Folgen eines solchen Durchbruches des Reizschutzes sein. Man wird gegen diese Auffassung nicht mit Recht einwenden, daß die Erhöhung der Besetzung um die Einbruchstelle sich weit einfacher aus der direkten Fortleitung der ankommenden Erregungsmengen erkläre. Wenn dem so wäre, so würde der seelische Apparat ja nur eine Vermehrung seiner Energiebesetzungen erfahren, und der lähmende Charakter des Schmerzes, die Verarmung aller anderen Systeme bliebe unaufgeklärt. Auch die sehr heftigen Abfuhrwirkungen des Schmerzes stören unsere Erklärung nicht, denn sie gehen reflektorisch vor sich, das heißt, sie erfolgen ohne Vermittlung des seelischen Apparats. Die Unbestimmtheit all unserer Erörterungen, die wir metapsychologische heißen, rührt natürlich daher, daß wir nichts über die Natur des Erregungsvorganges </w:t>
      </w:r>
      <w:r w:rsidRPr="00525700">
        <w:rPr>
          <w:rFonts w:ascii="Garamond" w:hAnsi="Garamond"/>
          <w:sz w:val="22"/>
          <w:szCs w:val="22"/>
          <w:lang w:val="en-US"/>
        </w:rPr>
        <w:lastRenderedPageBreak/>
        <w:t xml:space="preserve">in den Elementen der psychischen Systeme wissen und uns zu keiner Annahme darüber berechtigt fühlen. So operieren wir also stets mit einem großen </w:t>
      </w:r>
      <w:r w:rsidRPr="00525700">
        <w:rPr>
          <w:rFonts w:ascii="Garamond" w:hAnsi="Garamond"/>
          <w:i/>
          <w:iCs/>
          <w:sz w:val="22"/>
          <w:szCs w:val="22"/>
          <w:lang w:val="en-US"/>
        </w:rPr>
        <w:t>X,</w:t>
      </w:r>
      <w:r w:rsidRPr="00525700">
        <w:rPr>
          <w:rFonts w:ascii="Garamond" w:hAnsi="Garamond"/>
          <w:sz w:val="22"/>
          <w:szCs w:val="22"/>
          <w:lang w:val="en-US"/>
        </w:rPr>
        <w:t xml:space="preserve"> welches wir in jede neue Formel mit hinübernehmen. Daß dieser Vorgang sich mit quantitativ verschiedenen Energien vollzieht, ist eine leicht zulässige Forderung, daß er auch mehr als eine Qualität (zum Beispiel in der Art einer Amplitude) hat, mag uns wahrscheinlich sein; als neu haben wir die Aufstellung Breuers in Betracht gezogen, daß es sich um zweierlei Formen der Energieerfüllung handelt, so daß eine frei strömende, nach Abfuhr drängende, und eine ruhende Besetzung der psychischen Systeme (oder ihrer Elemente) zu unterscheiden ist. Vielleicht geben wir der Vermutung Raum, daß die »Bindung« der in den seelischen Apparat einströmenden Energie in einer Überführung aus dem frei strömenden in den ruhenden Zustand besteht.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Ich glaube, man darf den Versuch wagen, die gemeine traumatische Neurose als die Folge eines ausgiebigen Durchbruchs des Reizschutzes aufzufassen. Damit wäre die alte, naive Lehre vom Schock in ihre Rechte eingesetzt, anscheinend im Gegensatz zu einer späteren und psychologisch anspruchsvolleren, welche nicht der mechanischen Gewalteinwirkung, son</w:t>
      </w:r>
      <w:r w:rsidRPr="00525700">
        <w:rPr>
          <w:rFonts w:ascii="Garamond" w:hAnsi="Garamond"/>
          <w:sz w:val="22"/>
          <w:szCs w:val="22"/>
          <w:lang w:val="en-US"/>
        </w:rPr>
        <w:softHyphen/>
        <w:t>dern dem Schreck und der Lebensbedrohung die ätiologische Bedeutung zuspricht. Allein diese Gegensätze sind nicht unversöhnlich, und die psycho</w:t>
      </w:r>
      <w:r w:rsidRPr="00525700">
        <w:rPr>
          <w:rFonts w:ascii="Garamond" w:hAnsi="Garamond"/>
          <w:sz w:val="22"/>
          <w:szCs w:val="22"/>
          <w:lang w:val="en-US"/>
        </w:rPr>
        <w:softHyphen/>
        <w:t>analytische Auffassung der traumatischen Neurose ist mit der rohesten Form der Schocktheorie nicht identisch. Versetzt letztere das Wesen des Schocks in die direkte Schädigung der molekularen Struktur oder selbst der histologi</w:t>
      </w:r>
      <w:r w:rsidRPr="00525700">
        <w:rPr>
          <w:rFonts w:ascii="Garamond" w:hAnsi="Garamond"/>
          <w:sz w:val="22"/>
          <w:szCs w:val="22"/>
          <w:lang w:val="en-US"/>
        </w:rPr>
        <w:softHyphen/>
        <w:t>schen Struktur der nervösen Elemente, so suchen wir dessen Wirkung aus der Durchbrechung des Reizschutzes für das Seelenorgan und aus den daraus sich ergebenden Aufgaben zu verstehen. Der Schreck behält seine Bedeutung auch für uns. Seine Bedingung ist das Fehlen der Angstbereit</w:t>
      </w:r>
      <w:r w:rsidRPr="00525700">
        <w:rPr>
          <w:rFonts w:ascii="Garamond" w:hAnsi="Garamond"/>
          <w:sz w:val="22"/>
          <w:szCs w:val="22"/>
          <w:lang w:val="en-US"/>
        </w:rPr>
        <w:softHyphen/>
        <w:t>schaft, welche die Überbesetzung der den Reiz zunächst aufnehmenden Systeme miteinschließt. Infolge dieser niedrigeren Besetzung sind die Systeme dann nicht gut imstande, die ankommenden Erregungsmengen zu binden, die Folgen der Durchbrechung des Reizschutzes stellen sich um so vieles leichter ein. Wir finden so, daß die Angstbereitschaft mit der Über</w:t>
      </w:r>
      <w:r w:rsidRPr="00525700">
        <w:rPr>
          <w:rFonts w:ascii="Garamond" w:hAnsi="Garamond"/>
          <w:sz w:val="22"/>
          <w:szCs w:val="22"/>
          <w:lang w:val="en-US"/>
        </w:rPr>
        <w:softHyphen/>
        <w:t>besetzung der aufnehmenden Systeme die letzte Linie des Reizschutzes darstellt. Für eine ganze Anzahl von Traumen mag der Unterschied zwischen den unvorbereiteten und den durch Überbesetzung vorbereiteten Systemen das für den Ausgang entscheidende Moment sein; von einer gewissen Stärke des Traumas an wird er wohl nicht mehr ins Gewicht fallen. Wenn die Träume der Unfallsneurotiker die Kranken so regelmäßig in die Situation des Unfalles zurückführen, so dienen sie damit allerdings nicht der Wunscherfüllung, deren halluzinatorische Herbeiführung ihnen unter der Herrschaft des Lust</w:t>
      </w:r>
      <w:r w:rsidRPr="00525700">
        <w:rPr>
          <w:rFonts w:ascii="Garamond" w:hAnsi="Garamond"/>
          <w:sz w:val="22"/>
          <w:szCs w:val="22"/>
          <w:lang w:val="en-US"/>
        </w:rPr>
        <w:softHyphen/>
        <w:t>prinzips zur Funktion geworden ist. Aber wir dürfen annehmen, daß sie sich dadurch einer anderen Aufgabe zur Verfügung stellen, deren Lösung voran</w:t>
      </w:r>
      <w:r w:rsidRPr="00525700">
        <w:rPr>
          <w:rFonts w:ascii="Garamond" w:hAnsi="Garamond"/>
          <w:sz w:val="22"/>
          <w:szCs w:val="22"/>
          <w:lang w:val="en-US"/>
        </w:rPr>
        <w:softHyphen/>
        <w:t>gehen muß, ehe das Lustprinzip seine Herrschaft beginnen kann. Diese Träume suchen die Reizbewältigung unter Angstentwicklung nachzuholen, deren Unterlassung die Ursache der traumatischen Neurose geworden ist. Sie geben uns so einen Ausblick auf eine Funktion des seelischen Apparats, welche, ohne dem Lustprinzip zu widersprechen, doch unabhängig von ihm ist und ursprünglicher scheint als die Absicht des Lustgewinns und der Unlustvermeidung.</w:t>
      </w:r>
    </w:p>
    <w:p w:rsidR="00525700" w:rsidRPr="00A06A59" w:rsidRDefault="00525700" w:rsidP="00130855">
      <w:pPr>
        <w:pStyle w:val="NormalWeb"/>
        <w:rPr>
          <w:rFonts w:ascii="Garamond" w:hAnsi="Garamond"/>
          <w:sz w:val="22"/>
          <w:szCs w:val="22"/>
          <w:lang w:val="en-US"/>
        </w:rPr>
      </w:pPr>
      <w:r w:rsidRPr="00525700">
        <w:rPr>
          <w:rFonts w:ascii="Garamond" w:hAnsi="Garamond"/>
          <w:sz w:val="22"/>
          <w:szCs w:val="22"/>
          <w:lang w:val="en-US"/>
        </w:rPr>
        <w:t>Hier wäre also die Stelle, zuerst eine Ausnahme von dem Satze, der Traum ist eine Wunscherfüllung, zuzugestehen. Die Angstträume sind keine solche Ausnahme, wie ich wiederholt und eingehend gezeigt habe, auch die »Strafträume« nicht, denn diese setzen nur an die Stelle der verpönten Wunscherfüllung die dafür gebührende Strafe, sind also die Wunscherfüllung des auf den verworfenen Trieb reagierenden Schuldbewußtseins. Aber die obenerwähnten Träume der Unfallsneurotiker lassen sich nicht mehr unter den Gesichtspunkt der Wunscherfüllung bringen, und ebensowenig die in den Psychoanalysen vorfallenden Träume, die uns die Erinnerung der psychischen Traumen der Kindheit wiederbringen. Sie gehorchen vielmehr dem Wieder</w:t>
      </w:r>
      <w:r w:rsidRPr="00525700">
        <w:rPr>
          <w:rFonts w:ascii="Garamond" w:hAnsi="Garamond"/>
          <w:sz w:val="22"/>
          <w:szCs w:val="22"/>
          <w:lang w:val="en-US"/>
        </w:rPr>
        <w:softHyphen/>
        <w:t>holungszwang, der in der Analyse allerdings durch den von der »Suggestion« geförderten Wunsch, das Vergessene und Verdrängte heraufzubeschwören, unterstützt wird. So wäre also auch die Funktion des Traumes, Motive zur Unterbrechung des Schlafes durch Wunscherfüllung der störenden Regungen zu beseitigen, nicht seine ursprüngliche; er konnte sich ihrer erst bemäch</w:t>
      </w:r>
      <w:r w:rsidRPr="00525700">
        <w:rPr>
          <w:rFonts w:ascii="Garamond" w:hAnsi="Garamond"/>
          <w:sz w:val="22"/>
          <w:szCs w:val="22"/>
          <w:lang w:val="en-US"/>
        </w:rPr>
        <w:softHyphen/>
        <w:t xml:space="preserve">tigen, nachdem das gesamte Seelenleben die Herrschaft des Lustprinzips angenommen hatte. Gibt es ein »Jenseits des Lustprinzips«, so ist es folgerichtig, auch für die wunscherfüllende Tendenz des Traumes eine Vorzeit zuzulassen. Damit wird seiner späteren Funktion nicht widersprochen. Nur erhebt sich, wenn diese Tendenz einmal durchbrochen ist, die weitere Frage: Sind solche Träume, welche im Interesse der psychischen Bindung traumatischer Eindrücke dem Wiederholungszwange folgen, nicht auch außerhalb der Analyse möglich? </w:t>
      </w:r>
      <w:r w:rsidRPr="00A06A59">
        <w:rPr>
          <w:rFonts w:ascii="Garamond" w:hAnsi="Garamond"/>
          <w:sz w:val="22"/>
          <w:szCs w:val="22"/>
          <w:lang w:val="en-US"/>
        </w:rPr>
        <w:t>Dies ist durchaus zu bejahen.</w:t>
      </w:r>
    </w:p>
    <w:p w:rsidR="00525700" w:rsidRPr="00A06A59" w:rsidRDefault="00525700" w:rsidP="00130855">
      <w:pPr>
        <w:pStyle w:val="NormalWeb"/>
        <w:rPr>
          <w:rFonts w:ascii="Garamond" w:hAnsi="Garamond"/>
          <w:sz w:val="22"/>
          <w:szCs w:val="22"/>
          <w:lang w:val="en-US"/>
        </w:rPr>
      </w:pPr>
      <w:r w:rsidRPr="00A06A59">
        <w:rPr>
          <w:rFonts w:ascii="Garamond" w:hAnsi="Garamond"/>
          <w:sz w:val="22"/>
          <w:szCs w:val="22"/>
          <w:lang w:val="en-US"/>
        </w:rPr>
        <w:lastRenderedPageBreak/>
        <w:t>Von den »Kriegsneurosen«, soweit diese Bezeichnung mehr als die Be</w:t>
      </w:r>
      <w:r w:rsidRPr="00A06A59">
        <w:rPr>
          <w:rFonts w:ascii="Garamond" w:hAnsi="Garamond"/>
          <w:sz w:val="22"/>
          <w:szCs w:val="22"/>
          <w:lang w:val="en-US"/>
        </w:rPr>
        <w:softHyphen/>
        <w:t>ziehung zur Veranlassung des Leidens bedeutet, habe ich an anderer Stelle ausgeführt, daß sie sehr wohl traumatische Neurosen sein könnten, die durch einen Ichkonflikt erleichtert worden sind.</w:t>
      </w:r>
      <w:r w:rsidRPr="00A06A59">
        <w:rPr>
          <w:rFonts w:ascii="Garamond" w:hAnsi="Garamond"/>
          <w:sz w:val="22"/>
          <w:szCs w:val="22"/>
          <w:vertAlign w:val="superscript"/>
          <w:lang w:val="en-US"/>
        </w:rPr>
        <w:t>4)</w:t>
      </w:r>
      <w:r w:rsidRPr="00A06A59">
        <w:rPr>
          <w:rFonts w:ascii="Garamond" w:hAnsi="Garamond"/>
          <w:sz w:val="22"/>
          <w:szCs w:val="22"/>
          <w:lang w:val="en-US"/>
        </w:rPr>
        <w:t xml:space="preserve"> Die auf Seite 222 erwähnte Tatsache, daß eine gleichzeitige grobe Verletzung durch das Trauma die Chance für die Entstehung einer Neurose verringert, ist nicht mehr unver</w:t>
      </w:r>
      <w:r w:rsidRPr="00A06A59">
        <w:rPr>
          <w:rFonts w:ascii="Garamond" w:hAnsi="Garamond"/>
          <w:sz w:val="22"/>
          <w:szCs w:val="22"/>
          <w:lang w:val="en-US"/>
        </w:rPr>
        <w:softHyphen/>
        <w:t xml:space="preserve">ständlich, wenn man zweier von der psychoanalytischen Forschung betonter Verhältnisse gedenkt. Erstens, daß mechanische Erschütterung als eine der Quellen der Sexualerregung anerkannt werden muß (vgl. die Bemerkungen über die Wirkung des Schaukeins und Eisenbahnfahrens in </w:t>
      </w:r>
      <w:r w:rsidRPr="00A06A59">
        <w:rPr>
          <w:rFonts w:ascii="Garamond" w:hAnsi="Garamond"/>
          <w:i/>
          <w:iCs/>
          <w:sz w:val="22"/>
          <w:szCs w:val="22"/>
          <w:lang w:val="en-US"/>
        </w:rPr>
        <w:t>Drei Abhandlungen zur Sexualtheorie,</w:t>
      </w:r>
      <w:r w:rsidRPr="00A06A59">
        <w:rPr>
          <w:rFonts w:ascii="Garamond" w:hAnsi="Garamond"/>
          <w:sz w:val="22"/>
          <w:szCs w:val="22"/>
          <w:lang w:val="en-US"/>
        </w:rPr>
        <w:t xml:space="preserve"> 1905 </w:t>
      </w:r>
      <w:r w:rsidRPr="00A06A59">
        <w:rPr>
          <w:rFonts w:ascii="Garamond" w:hAnsi="Garamond"/>
          <w:i/>
          <w:iCs/>
          <w:sz w:val="22"/>
          <w:szCs w:val="22"/>
          <w:lang w:val="en-US"/>
        </w:rPr>
        <w:t>d</w:t>
      </w:r>
      <w:r w:rsidRPr="00A06A59">
        <w:rPr>
          <w:rFonts w:ascii="Garamond" w:hAnsi="Garamond"/>
          <w:sz w:val="22"/>
          <w:szCs w:val="22"/>
          <w:lang w:val="en-US"/>
        </w:rPr>
        <w:t>), und zweitens, daß dem schmerzhaften und fieber</w:t>
      </w:r>
      <w:r w:rsidRPr="00A06A59">
        <w:rPr>
          <w:rFonts w:ascii="Garamond" w:hAnsi="Garamond"/>
          <w:sz w:val="22"/>
          <w:szCs w:val="22"/>
          <w:lang w:val="en-US"/>
        </w:rPr>
        <w:softHyphen/>
        <w:t>haften Kranksein während seiner Dauer ein mächtiger Einfluß auf die Ver</w:t>
      </w:r>
      <w:r w:rsidRPr="00A06A59">
        <w:rPr>
          <w:rFonts w:ascii="Garamond" w:hAnsi="Garamond"/>
          <w:sz w:val="22"/>
          <w:szCs w:val="22"/>
          <w:lang w:val="en-US"/>
        </w:rPr>
        <w:softHyphen/>
        <w:t>teilung der Libido zukommt. So würde also die mechanische Gewalt des Traumas das Quantum Sexualerregung frei machen, welches infolge der mangelnden Angstvorbereitung traumatisch wirkt, die gleichzeitige Körper</w:t>
      </w:r>
      <w:r w:rsidRPr="00A06A59">
        <w:rPr>
          <w:rFonts w:ascii="Garamond" w:hAnsi="Garamond"/>
          <w:sz w:val="22"/>
          <w:szCs w:val="22"/>
          <w:lang w:val="en-US"/>
        </w:rPr>
        <w:softHyphen/>
        <w:t>verletzung würde aber durch die Anspruchnahme einer narzißtischen Über</w:t>
      </w:r>
      <w:r w:rsidRPr="00A06A59">
        <w:rPr>
          <w:rFonts w:ascii="Garamond" w:hAnsi="Garamond"/>
          <w:sz w:val="22"/>
          <w:szCs w:val="22"/>
          <w:lang w:val="en-US"/>
        </w:rPr>
        <w:softHyphen/>
        <w:t>besetzung des leidenden Organs den Überschuß an Erregung binden (s. ›Zur Einführung des Narzißmus‹). Es ist auch bekannt, aber für die Libidotheorie nicht genügend verwertet worden, daß so schwere Störungen in der Libido</w:t>
      </w:r>
      <w:r w:rsidRPr="00A06A59">
        <w:rPr>
          <w:rFonts w:ascii="Garamond" w:hAnsi="Garamond"/>
          <w:sz w:val="22"/>
          <w:szCs w:val="22"/>
          <w:lang w:val="en-US"/>
        </w:rPr>
        <w:softHyphen/>
        <w:t>verteilung wie die einer Melancholie durch eine interkurrente organische Erkrankung zeitweilig aufgehoben werden, ja, daß sogar der Zustand einer voll entwickelten Dementia praecox unter der nämlichen Bedingung einer vorübergehenden Rückbildung fähig ist.</w:t>
      </w:r>
    </w:p>
    <w:p w:rsidR="00525700" w:rsidRPr="00A06A59" w:rsidRDefault="00525700" w:rsidP="00130855">
      <w:pPr>
        <w:pStyle w:val="NormalWeb"/>
        <w:rPr>
          <w:rFonts w:ascii="Garamond" w:hAnsi="Garamond"/>
          <w:sz w:val="22"/>
          <w:szCs w:val="22"/>
          <w:lang w:val="en-US"/>
        </w:rPr>
      </w:pPr>
      <w:r w:rsidRPr="00A06A59">
        <w:rPr>
          <w:rFonts w:ascii="Garamond" w:hAnsi="Garamond"/>
          <w:sz w:val="22"/>
          <w:szCs w:val="22"/>
          <w:lang w:val="en-US"/>
        </w:rPr>
        <w:t> </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________________________</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1)</w:t>
      </w:r>
      <w:r w:rsidRPr="00525700">
        <w:rPr>
          <w:rFonts w:ascii="Garamond" w:hAnsi="Garamond"/>
          <w:sz w:val="22"/>
          <w:szCs w:val="22"/>
          <w:lang w:val="en-US"/>
        </w:rPr>
        <w:t xml:space="preserve"> Dies durchaus nach J. Breuers Auseinandersetzung im theoretischen Abschnitt der </w:t>
      </w:r>
      <w:r w:rsidRPr="00525700">
        <w:rPr>
          <w:rFonts w:ascii="Garamond" w:hAnsi="Garamond"/>
          <w:i/>
          <w:iCs/>
          <w:sz w:val="22"/>
          <w:szCs w:val="22"/>
          <w:lang w:val="en-US"/>
        </w:rPr>
        <w:t>Studien über Hysterie</w:t>
      </w:r>
      <w:r w:rsidRPr="00525700">
        <w:rPr>
          <w:rFonts w:ascii="Garamond" w:hAnsi="Garamond"/>
          <w:sz w:val="22"/>
          <w:szCs w:val="22"/>
          <w:lang w:val="en-US"/>
        </w:rPr>
        <w:t xml:space="preserve"> (1895).</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2)</w:t>
      </w:r>
      <w:r w:rsidRPr="00525700">
        <w:rPr>
          <w:rFonts w:ascii="Garamond" w:hAnsi="Garamond"/>
          <w:sz w:val="22"/>
          <w:szCs w:val="22"/>
          <w:lang w:val="en-US"/>
        </w:rPr>
        <w:t xml:space="preserve"> </w:t>
      </w:r>
      <w:r w:rsidRPr="00525700">
        <w:rPr>
          <w:rFonts w:ascii="Garamond" w:hAnsi="Garamond"/>
          <w:i/>
          <w:iCs/>
          <w:sz w:val="22"/>
          <w:szCs w:val="22"/>
          <w:lang w:val="en-US"/>
        </w:rPr>
        <w:t>Studien über Hysterie</w:t>
      </w:r>
      <w:r w:rsidRPr="00525700">
        <w:rPr>
          <w:rFonts w:ascii="Garamond" w:hAnsi="Garamond"/>
          <w:sz w:val="22"/>
          <w:szCs w:val="22"/>
          <w:lang w:val="en-US"/>
        </w:rPr>
        <w:t xml:space="preserve"> von J.Breuer und Freud (1895).</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3)</w:t>
      </w:r>
      <w:r w:rsidRPr="00525700">
        <w:rPr>
          <w:rFonts w:ascii="Garamond" w:hAnsi="Garamond"/>
          <w:sz w:val="22"/>
          <w:szCs w:val="22"/>
          <w:lang w:val="en-US"/>
        </w:rPr>
        <w:t xml:space="preserve"> Vgl. ›Triebe und Triebschicksale‹ (1915 c).</w:t>
      </w:r>
    </w:p>
    <w:p w:rsidR="00525700" w:rsidRPr="00525700" w:rsidRDefault="00525700" w:rsidP="00130855">
      <w:pPr>
        <w:pStyle w:val="s"/>
        <w:rPr>
          <w:rFonts w:ascii="Garamond" w:hAnsi="Garamond"/>
          <w:sz w:val="22"/>
          <w:szCs w:val="22"/>
        </w:rPr>
      </w:pPr>
      <w:r w:rsidRPr="00525700">
        <w:rPr>
          <w:rFonts w:ascii="Garamond" w:hAnsi="Garamond"/>
          <w:sz w:val="22"/>
          <w:szCs w:val="22"/>
          <w:vertAlign w:val="superscript"/>
        </w:rPr>
        <w:t>4)</w:t>
      </w:r>
      <w:r w:rsidRPr="00525700">
        <w:rPr>
          <w:rFonts w:ascii="Garamond" w:hAnsi="Garamond"/>
          <w:sz w:val="22"/>
          <w:szCs w:val="22"/>
        </w:rPr>
        <w:t xml:space="preserve"> </w:t>
      </w:r>
      <w:r w:rsidRPr="00525700">
        <w:rPr>
          <w:rFonts w:ascii="Garamond" w:hAnsi="Garamond"/>
          <w:i/>
          <w:iCs/>
          <w:sz w:val="22"/>
          <w:szCs w:val="22"/>
        </w:rPr>
        <w:t>Zur Psychoanalyse der Kriegsneurosen:</w:t>
      </w:r>
      <w:r w:rsidRPr="00525700">
        <w:rPr>
          <w:rFonts w:ascii="Garamond" w:hAnsi="Garamond"/>
          <w:sz w:val="22"/>
          <w:szCs w:val="22"/>
        </w:rPr>
        <w:t xml:space="preserve"> Einleitung (1919 </w:t>
      </w:r>
      <w:r w:rsidRPr="00525700">
        <w:rPr>
          <w:rFonts w:ascii="Garamond" w:hAnsi="Garamond"/>
          <w:i/>
          <w:iCs/>
          <w:sz w:val="22"/>
          <w:szCs w:val="22"/>
        </w:rPr>
        <w:t>d).</w:t>
      </w:r>
    </w:p>
    <w:p w:rsidR="005E1D01" w:rsidRDefault="005E1D01">
      <w:pPr>
        <w:rPr>
          <w:rFonts w:ascii="Garamond" w:eastAsiaTheme="majorEastAsia" w:hAnsi="Garamond" w:cstheme="majorBidi"/>
          <w:b/>
          <w:bCs/>
          <w:color w:val="365F91" w:themeColor="accent1" w:themeShade="BF"/>
        </w:rPr>
      </w:pPr>
      <w:r>
        <w:rPr>
          <w:rFonts w:ascii="Garamond" w:hAnsi="Garamond"/>
        </w:rPr>
        <w:br w:type="page"/>
      </w:r>
    </w:p>
    <w:bookmarkStart w:id="20" w:name="Lustprinzip5"/>
    <w:p w:rsidR="00525700" w:rsidRPr="00525700" w:rsidRDefault="00B437A1" w:rsidP="00130855">
      <w:pPr>
        <w:pStyle w:val="Titre1"/>
        <w:rPr>
          <w:rFonts w:ascii="Garamond" w:hAnsi="Garamond"/>
          <w:sz w:val="22"/>
          <w:szCs w:val="22"/>
        </w:rPr>
      </w:pPr>
      <w:r>
        <w:rPr>
          <w:rFonts w:ascii="Garamond" w:hAnsi="Garamond"/>
          <w:sz w:val="22"/>
          <w:szCs w:val="22"/>
        </w:rPr>
        <w:lastRenderedPageBreak/>
        <w:fldChar w:fldCharType="begin"/>
      </w:r>
      <w:r w:rsidR="005E1D01">
        <w:rPr>
          <w:rFonts w:ascii="Garamond" w:hAnsi="Garamond"/>
          <w:sz w:val="22"/>
          <w:szCs w:val="22"/>
        </w:rPr>
        <w:instrText xml:space="preserve"> HYPERLINK  \l "LustprinzipINHALT" </w:instrText>
      </w:r>
      <w:r>
        <w:rPr>
          <w:rFonts w:ascii="Garamond" w:hAnsi="Garamond"/>
          <w:sz w:val="22"/>
          <w:szCs w:val="22"/>
        </w:rPr>
        <w:fldChar w:fldCharType="separate"/>
      </w:r>
      <w:r w:rsidR="00525700" w:rsidRPr="005E1D01">
        <w:rPr>
          <w:rStyle w:val="Lienhypertexte"/>
          <w:rFonts w:ascii="Garamond" w:hAnsi="Garamond"/>
          <w:sz w:val="22"/>
          <w:szCs w:val="22"/>
        </w:rPr>
        <w:t xml:space="preserve">V. </w:t>
      </w:r>
      <w:r w:rsidR="005E1D01" w:rsidRPr="005E1D01">
        <w:rPr>
          <w:rStyle w:val="Lienhypertexte"/>
          <w:rFonts w:ascii="Garamond" w:hAnsi="Garamond"/>
          <w:sz w:val="22"/>
          <w:szCs w:val="22"/>
        </w:rPr>
        <w:t xml:space="preserve"> </w:t>
      </w:r>
      <w:r w:rsidR="00525700" w:rsidRPr="005E1D01">
        <w:rPr>
          <w:rStyle w:val="Lienhypertexte"/>
          <w:rFonts w:ascii="Garamond" w:hAnsi="Garamond"/>
          <w:sz w:val="22"/>
          <w:szCs w:val="22"/>
        </w:rPr>
        <w:t>Revision der Trieblehre. Ichtriebe und Sexualtriebe</w:t>
      </w:r>
      <w:bookmarkEnd w:id="20"/>
      <w:r>
        <w:rPr>
          <w:rFonts w:ascii="Garamond" w:hAnsi="Garamond"/>
          <w:sz w:val="22"/>
          <w:szCs w:val="22"/>
        </w:rPr>
        <w:fldChar w:fldCharType="end"/>
      </w:r>
    </w:p>
    <w:p w:rsidR="00525700" w:rsidRPr="00525700" w:rsidRDefault="00525700" w:rsidP="00130855">
      <w:pPr>
        <w:rPr>
          <w:rFonts w:ascii="Garamond" w:hAnsi="Garamond"/>
        </w:rPr>
      </w:pPr>
    </w:p>
    <w:p w:rsidR="00525700" w:rsidRPr="00525700" w:rsidRDefault="00525700" w:rsidP="00130855">
      <w:pPr>
        <w:pStyle w:val="NormalWeb"/>
        <w:rPr>
          <w:rFonts w:ascii="Garamond" w:hAnsi="Garamond"/>
          <w:sz w:val="22"/>
          <w:szCs w:val="22"/>
        </w:rPr>
      </w:pPr>
      <w:r w:rsidRPr="00525700">
        <w:rPr>
          <w:rFonts w:ascii="Garamond" w:hAnsi="Garamond"/>
          <w:sz w:val="22"/>
          <w:szCs w:val="22"/>
        </w:rPr>
        <w:t>Der Mangel eines Reizschutzes für die reizaufnehmende Rindenschicht gegen Erregungen von innen her wird die Folge haben müssen, daß diese Reizübertragungen die größere ökonomische Bedeutung gewinnen und häufig zu ökonomischen Störungen Anlaß geben, die den traumatischen Neurosen gleichzustellen sind. Die ausgiebigsten Quellen solch innerer Erregung sind die sogenannten Triebe des Organismus, die Repräsentanten aller aus dem Körperinnern stammenden, auf den seelischen Apparat über</w:t>
      </w:r>
      <w:r w:rsidRPr="00525700">
        <w:rPr>
          <w:rFonts w:ascii="Garamond" w:hAnsi="Garamond"/>
          <w:sz w:val="22"/>
          <w:szCs w:val="22"/>
        </w:rPr>
        <w:softHyphen/>
        <w:t>tragenen Kraftwirkungen, selbst das wichtigste wie das dunkelste Element der psychologischen Forschung.</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rPr>
        <w:t>Vielleicht finden wir die Annahme nicht zu gewagt, daß die von den Trie</w:t>
      </w:r>
      <w:r w:rsidRPr="00525700">
        <w:rPr>
          <w:rFonts w:ascii="Garamond" w:hAnsi="Garamond"/>
          <w:sz w:val="22"/>
          <w:szCs w:val="22"/>
        </w:rPr>
        <w:softHyphen/>
        <w:t xml:space="preserve">ben ausgehenden Regungen nicht den Typus des gebundenen, sondern den des frei beweglichen, nach Abfuhr drängenden Nervenvorganges einhalten. </w:t>
      </w:r>
      <w:r w:rsidRPr="00525700">
        <w:rPr>
          <w:rFonts w:ascii="Garamond" w:hAnsi="Garamond"/>
          <w:sz w:val="22"/>
          <w:szCs w:val="22"/>
          <w:lang w:val="en-US"/>
        </w:rPr>
        <w:t>Das Beste, was wir über diese Vorgänge wissen, rührt aus dem Studium der Traumarbeit her. Dabei fanden wir, daß die Prozesse in den unbewußten Systemen von denen in den (vor-)bewußten gründlich verschieden sind, daß im Unbewußten Besetzungen leicht vollständig übertragen, verschoben, ver</w:t>
      </w:r>
      <w:r w:rsidRPr="00525700">
        <w:rPr>
          <w:rFonts w:ascii="Garamond" w:hAnsi="Garamond"/>
          <w:sz w:val="22"/>
          <w:szCs w:val="22"/>
          <w:lang w:val="en-US"/>
        </w:rPr>
        <w:softHyphen/>
        <w:t>dichtet werden können, was nur fehlerhafte Resultate ergeben könnte, wenn es an vorbewußtem Material geschähe, und was darum auch die bekannten Sonderbarkeiten des manifesten Traums ergibt, nachdem die vorbewußten Tagesreste die Bearbeitung nach den Gesetzen des Unbewußten erfahren haben. Ich nannte die Art dieser Prozesse im Unbewußten den psychischen »Primärvorgang« zum Unterschied von dem für unser normales Wachleben gültigen Sekundärvorgang. Da die Triebregungen alle an den unbewußten Systemen angreifen, ist es kaum eine Neuerung zu sagen, daß sie dem Pri</w:t>
      </w:r>
      <w:r w:rsidRPr="00525700">
        <w:rPr>
          <w:rFonts w:ascii="Garamond" w:hAnsi="Garamond"/>
          <w:sz w:val="22"/>
          <w:szCs w:val="22"/>
          <w:lang w:val="en-US"/>
        </w:rPr>
        <w:softHyphen/>
        <w:t>märvorgang folgen, und anderseits gehört wenig dazu, um den psychischen Primärvorgang mit der frei beweglichen Besetzung, den Sekundärvorgang mit den Veränderungen an der gebundenen oder tonischen Besetzung Breuers zu identifizieren.</w:t>
      </w:r>
      <w:r w:rsidRPr="00525700">
        <w:rPr>
          <w:rFonts w:ascii="Garamond" w:hAnsi="Garamond"/>
          <w:sz w:val="22"/>
          <w:szCs w:val="22"/>
          <w:vertAlign w:val="superscript"/>
          <w:lang w:val="en-US"/>
        </w:rPr>
        <w:t>1)</w:t>
      </w:r>
      <w:r w:rsidRPr="00525700">
        <w:rPr>
          <w:rFonts w:ascii="Garamond" w:hAnsi="Garamond"/>
          <w:sz w:val="22"/>
          <w:szCs w:val="22"/>
          <w:lang w:val="en-US"/>
        </w:rPr>
        <w:t xml:space="preserve"> Es wäre dann die Aufgabe der höheren Schichten des seelischen Apparates, die im Primärvorgang anlangende Erregung der Triebe zu binden. Das Mißglücken dieser Bindung würde eine der traumatischen Neurose analoge Störung hervorrufen; erst nach erfolgter Bindung könnte sich die Herrschaft des Lustprinzips (und seiner Modifikation zum Realitäts</w:t>
      </w:r>
      <w:r w:rsidRPr="00525700">
        <w:rPr>
          <w:rFonts w:ascii="Garamond" w:hAnsi="Garamond"/>
          <w:sz w:val="22"/>
          <w:szCs w:val="22"/>
          <w:lang w:val="en-US"/>
        </w:rPr>
        <w:softHyphen/>
        <w:t>prinzip) ungehemmt durchsetzen. Bis dahin aber würde die andere Aufgabe des Seelenapparates, die Erregung zu bewältigen oder zu binden, voran</w:t>
      </w:r>
      <w:r w:rsidRPr="00525700">
        <w:rPr>
          <w:rFonts w:ascii="Garamond" w:hAnsi="Garamond"/>
          <w:sz w:val="22"/>
          <w:szCs w:val="22"/>
          <w:lang w:val="en-US"/>
        </w:rPr>
        <w:softHyphen/>
        <w:t>stehen, zwar nicht im Gegensatz zum Lustprinzip, aber unabhängig von ihm und zum Teil ohne Rücksicht auf dieses.</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Die Äußerungen eines Wiederholungszwanges, die wir an den frühen Tätigkeiten des kindlichen Seelenlebens wie an den Erlebnissen der psychoanalytischen Kur beschrieben haben, zeigen im hohen Grade den triebhaften, und wo sie sich im Gegensatz zum Lustprinzip befinden, den dämonischen Charakter. Beim Kinderspiel glauben wir es zu begreifen, daß das Kind auch das unlustvolle Erlebnis darum wiederholt, weil es sich durch seine Aktivität eine weit gründlichere Bewältigung des starken Eindruckes erwirbt, als beim bloß passiven Erleben möglich war. Jede neuerliche Wiederholung scheint diese angestrebte Beherrschung zu verbessern, und auch bei lustvollen Erlebnissen kann sich das Kind an Wiederholungen nicht genug tun und wird unerbittlich auf der Identität des Eindruckes bestehen. Dieser Charakterzug ist dazu bestimmt, späterhin zu verschwinden. Ein zum zweitenmal angehörter Witz wird fast wirkungslos bleiben, eine Theater</w:t>
      </w:r>
      <w:r w:rsidRPr="00525700">
        <w:rPr>
          <w:rFonts w:ascii="Garamond" w:hAnsi="Garamond"/>
          <w:sz w:val="22"/>
          <w:szCs w:val="22"/>
          <w:lang w:val="en-US"/>
        </w:rPr>
        <w:softHyphen/>
        <w:t>aufführung wird nie mehr zum zweitenmal den Eindruck erreichen, den sie das erstemal hinterließ; ja, der Erwachsene wird schwer zu bewegen sein, ein Buch, das ihm sehr gefallen hat, sobald nochmals durchzulesen. Immer wird die Neuheit die Bedingung des Genusses sein. Das Kind aber wird nicht müde werden, vom Erwachsenen die Wiederholung eines ihm gezeigten oder mit ihm angestellten Spieles zu verlangen, bis dieser erschöpft es verweigert, und wenn man ihm eine schöne Geschichte erzählt hat, will es immer wieder die nämliche Geschichte anstatt einer neuen hören, besteht unerbittlich auf der Identität der Wiederholung und verbessert jede Abänderung, die sich der Erzähler zuschulden kommen läßt, mit der er sich vielleicht sogar ein neues Verdienst erwerben wollte. Dem Lustprinzip wird dabei nicht widersprochen; es ist sinnfällig, daß die Wiederholung, das Wiederfinden der Identität, selbst eine Lustquelle bedeutet. Beim Analysierten hingegen wird es klar, daß der Zwang, die Begebenheiten seiner infantilen Lebensperiode in der Übertra</w:t>
      </w:r>
      <w:r w:rsidRPr="00525700">
        <w:rPr>
          <w:rFonts w:ascii="Garamond" w:hAnsi="Garamond"/>
          <w:sz w:val="22"/>
          <w:szCs w:val="22"/>
          <w:lang w:val="en-US"/>
        </w:rPr>
        <w:softHyphen/>
        <w:t xml:space="preserve">gung zu wiederholen, sich in </w:t>
      </w:r>
      <w:r w:rsidRPr="00525700">
        <w:rPr>
          <w:rFonts w:ascii="Garamond" w:hAnsi="Garamond"/>
          <w:i/>
          <w:iCs/>
          <w:sz w:val="22"/>
          <w:szCs w:val="22"/>
          <w:lang w:val="en-US"/>
        </w:rPr>
        <w:t>jeder</w:t>
      </w:r>
      <w:r w:rsidRPr="00525700">
        <w:rPr>
          <w:rFonts w:ascii="Garamond" w:hAnsi="Garamond"/>
          <w:sz w:val="22"/>
          <w:szCs w:val="22"/>
          <w:lang w:val="en-US"/>
        </w:rPr>
        <w:t xml:space="preserve"> Weise über das Lustprinzip hinaussetzt. Der Kranke benimmt sich dabei völlig wie infantil und zeigt uns so, daß die verdrängten Erinnerungsspuren seiner urzeitlichen Erlebnisse nicht im gebundenen Zustande in ihm vorhanden, ja gewissermaßen des Sekundär</w:t>
      </w:r>
      <w:r w:rsidRPr="00525700">
        <w:rPr>
          <w:rFonts w:ascii="Garamond" w:hAnsi="Garamond"/>
          <w:sz w:val="22"/>
          <w:szCs w:val="22"/>
          <w:lang w:val="en-US"/>
        </w:rPr>
        <w:softHyphen/>
        <w:t xml:space="preserve">vorganges nicht fähig sind. Dieser </w:t>
      </w:r>
      <w:r w:rsidRPr="00525700">
        <w:rPr>
          <w:rFonts w:ascii="Garamond" w:hAnsi="Garamond"/>
          <w:sz w:val="22"/>
          <w:szCs w:val="22"/>
          <w:lang w:val="en-US"/>
        </w:rPr>
        <w:lastRenderedPageBreak/>
        <w:t>Ungebundenheit verdanken sie auch ihr Vermögen, durch Anheftung an die Tagesreste eine im Traum darzustellende Wunschphantasie zu bilden. Derselbe Wiederholungszwang tritt uns so oft als therapeutisches Hindernis entgegen, wenn wir zu Ende der Kur die völlige Ablösung vom Arzte durchsetzen wollen, und es ist anzunehmen, daß die dunkle Angst der mit der Analyse nicht Vertrauten, die sich scheuen, irgend etwas aufzuwecken, was man nach ihrer Meinung besser schlafen ließe, im Grunde das Auftreten dieses dämonischen Zwanges fürchtet.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Auf welche Art hängt aber das Triebhafte mit dem Zwang zur Wiederho</w:t>
      </w:r>
      <w:r w:rsidRPr="00525700">
        <w:rPr>
          <w:rFonts w:ascii="Garamond" w:hAnsi="Garamond"/>
          <w:sz w:val="22"/>
          <w:szCs w:val="22"/>
          <w:lang w:val="en-US"/>
        </w:rPr>
        <w:softHyphen/>
        <w:t>lung zusammen? Hier muß sich uns die Idee aufdrängen, daß wir einem allge</w:t>
      </w:r>
      <w:r w:rsidRPr="00525700">
        <w:rPr>
          <w:rFonts w:ascii="Garamond" w:hAnsi="Garamond"/>
          <w:sz w:val="22"/>
          <w:szCs w:val="22"/>
          <w:lang w:val="en-US"/>
        </w:rPr>
        <w:softHyphen/>
        <w:t xml:space="preserve">meinen, bisher nicht klar erkannten — oder wenigstens nicht ausdrücklich betonten — Charakter der Triebe, vielleicht alles organischen Lebens überhaupt, auf die Spur gekommen sind. </w:t>
      </w:r>
      <w:r w:rsidRPr="00525700">
        <w:rPr>
          <w:rFonts w:ascii="Garamond" w:hAnsi="Garamond"/>
          <w:i/>
          <w:iCs/>
          <w:sz w:val="22"/>
          <w:szCs w:val="22"/>
          <w:lang w:val="en-US"/>
        </w:rPr>
        <w:t>Ein Trieb wäre also ein dem belebten Organischen innewohnender Drang zur Wiederherstellung eines früheren Zustandes,</w:t>
      </w:r>
      <w:r w:rsidRPr="00525700">
        <w:rPr>
          <w:rFonts w:ascii="Garamond" w:hAnsi="Garamond"/>
          <w:sz w:val="22"/>
          <w:szCs w:val="22"/>
          <w:lang w:val="en-US"/>
        </w:rPr>
        <w:t xml:space="preserve"> welchen dies Belebte unter dem Einflüsse äußerer Störungskräfte aufgeben mußte, eine Art von organischer Elastizität, oder wenn man will, die Äußerung der Trägheit im organischen Leben.</w:t>
      </w:r>
      <w:r w:rsidRPr="00525700">
        <w:rPr>
          <w:rFonts w:ascii="Garamond" w:hAnsi="Garamond"/>
          <w:sz w:val="22"/>
          <w:szCs w:val="22"/>
          <w:vertAlign w:val="superscript"/>
          <w:lang w:val="en-US"/>
        </w:rPr>
        <w:t>2)</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Diese Auffassung des Triebes klingt befremdlich, denn wir haben uns daran gewöhnt, im Triebe das zur Veränderung und Entwicklung drängende Moment zu sehen, und sollen nun das gerade Gegenteil in ihm erkennen, den Ausdruck der </w:t>
      </w:r>
      <w:r w:rsidRPr="00525700">
        <w:rPr>
          <w:rFonts w:ascii="Garamond" w:hAnsi="Garamond"/>
          <w:i/>
          <w:iCs/>
          <w:sz w:val="22"/>
          <w:szCs w:val="22"/>
          <w:lang w:val="en-US"/>
        </w:rPr>
        <w:t>konservativen</w:t>
      </w:r>
      <w:r w:rsidRPr="00525700">
        <w:rPr>
          <w:rFonts w:ascii="Garamond" w:hAnsi="Garamond"/>
          <w:sz w:val="22"/>
          <w:szCs w:val="22"/>
          <w:lang w:val="en-US"/>
        </w:rPr>
        <w:t xml:space="preserve"> Natur des Lebenden. Anderseits fallen uns sehr bald jene Beispiele aus dem Tierleben ein, welche die historische Bedingtheit der Triebe zu bestätigen scheinen. Wenn gewisse Fische um die Laichzeit beschwerliche Wanderungen unternehmen, um den Laich in bestimmten Gewässern, weit entfernt von ihren sonstigen Aufenthalten, abzulegen, so haben sie nach der Deutung vieler Biologen nur die früheren Wohnstätten ihrer Art aufgesucht, die sie im Laufe der Zeit gegen andere vertauscht hatten. Dasselbe soll für die Wanderflüge der Zugvögel gelten, aber der Suche nach weiteren Beispielen enthebt uns bald die Mahnung, daß wir in den Phänomenen der Erblichkeit und in den Tatsachen der Embryologie die großartigsten Beweise für den organischen Wiederholungszwang haben. Wir sehen, der Keim eines lebenden Tieres ist genötigt, in seiner Entwicklung die Strukturen all der Formen, von denen das Tier abstammt — wenn auch in flüchtiger Abkürzung — zu wiederholen, anstatt auf dem kürzesten Wege zu seiner definitiven Gestaltung zu eilen, und können dies Verhalten nur zum geringsten Teile mechanisch erklären, dürfen die historische Erklärung nicht beiseite lassen. Und ebenso erstreckt sich weit in die Tierreihe hinauf ein Reproduktionsvermögen, welches ein verlorenes Organ durch die Neubildung eines ihm durchaus gleichen ersetzt.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Der naheliegende Einwand, es verhalte sich wohl so, daß es außer den konservativen Trieben, die zur Wiederholung nötigen, auch andere gibt, die zur Neugestaltung und zum Fortschritt drängen, darf gewiß nicht unberücksichtigt bleiben; er soll auch späterhin in unsere Erwägungen einbezogen werden. Aber vorher mag es uns verlocken, die Annahme, daß alle Triebe Früheres wiederherstellen wollen, in ihre letzten Konsequenzen zu verfolgen. Mag, was dabei herauskommt, den Anschein des »Tiefsinnigen« erwecken oder an Mystisches anklingen, so wissen wir uns doch von dem Vorwurf frei, etwas Derartiges angestrebt zu haben. Wir suchen nüchterne Resultate der Forschung oder der auf sie gegründeten Überlegung, und unser Wunsch möchte diesen keinen anderen Charakter als den der Sicherheit verleihen.</w:t>
      </w:r>
      <w:r w:rsidRPr="00525700">
        <w:rPr>
          <w:rFonts w:ascii="Garamond" w:hAnsi="Garamond"/>
          <w:sz w:val="22"/>
          <w:szCs w:val="22"/>
          <w:vertAlign w:val="superscript"/>
          <w:lang w:val="en-US"/>
        </w:rPr>
        <w:t>3)</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Wenn also alle organischen Triebe konservativ, historisch erworben und auf Regression, Wiederherstellung von Früherem, gerichtet sind, so müssen wir die Erfolge der organischen Entwicklung auf die Rechnung äußerer, störender und ablenkender Einflüsse setzen. Das elementare Lebewesen würde sich von seinem Anfang an nicht haben ändern wollen, hätte unter sich gleichbleibenden Verhältnissen stets nur den nämlichen Lebenslauf wiederholt. Aber im letzten Grunde müßte es die Entwicklungsgeschichte unserer Erde und ihres Verhältnisses zur Sonne sein, die uns in der Ent</w:t>
      </w:r>
      <w:r w:rsidRPr="00525700">
        <w:rPr>
          <w:rFonts w:ascii="Garamond" w:hAnsi="Garamond"/>
          <w:sz w:val="22"/>
          <w:szCs w:val="22"/>
          <w:lang w:val="en-US"/>
        </w:rPr>
        <w:softHyphen/>
        <w:t>wicklung der Organismen ihren Abdruck hinterlassen hat. Die konservativen organischen Triebe haben jede dieser aufgezwungenen Abänderungen des Lebenslaufes aufgenommen und zur Wiederholung aufbewahrt und müssen so den täuschenden Eindruck von Kräften machen, die nach Veränderung und Fortschritt streben, während sie bloß ein altes Ziel auf alten und neuen Wegen zu erreichen trachten. Auch dieses Endziel alles organischen Stre</w:t>
      </w:r>
      <w:r w:rsidRPr="00525700">
        <w:rPr>
          <w:rFonts w:ascii="Garamond" w:hAnsi="Garamond"/>
          <w:sz w:val="22"/>
          <w:szCs w:val="22"/>
          <w:lang w:val="en-US"/>
        </w:rPr>
        <w:softHyphen/>
        <w:t>bens ließe sich angeben. Der konservativen Natur der Triebe widerspräche es, wenn das Ziel des Lebens ein noch nie zuvor erreichter Zustand wäre. Es muß vielmehr ein alter, ein Ausgangszustand sein, den das Lebende einmal verlassen hat und zu dem es über alle Umwege der Entwicklung zurück</w:t>
      </w:r>
      <w:r w:rsidRPr="00525700">
        <w:rPr>
          <w:rFonts w:ascii="Garamond" w:hAnsi="Garamond"/>
          <w:sz w:val="22"/>
          <w:szCs w:val="22"/>
          <w:lang w:val="en-US"/>
        </w:rPr>
        <w:softHyphen/>
        <w:t xml:space="preserve">strebt. Wenn wir es als ausnahmslose Erfahrung annehmen dürfen, daß alles Lebende </w:t>
      </w:r>
      <w:r w:rsidRPr="00525700">
        <w:rPr>
          <w:rFonts w:ascii="Garamond" w:hAnsi="Garamond"/>
          <w:sz w:val="22"/>
          <w:szCs w:val="22"/>
          <w:lang w:val="en-US"/>
        </w:rPr>
        <w:lastRenderedPageBreak/>
        <w:t xml:space="preserve">aus </w:t>
      </w:r>
      <w:r w:rsidRPr="00525700">
        <w:rPr>
          <w:rFonts w:ascii="Garamond" w:hAnsi="Garamond"/>
          <w:i/>
          <w:iCs/>
          <w:sz w:val="22"/>
          <w:szCs w:val="22"/>
          <w:lang w:val="en-US"/>
        </w:rPr>
        <w:t>inneren</w:t>
      </w:r>
      <w:r w:rsidRPr="00525700">
        <w:rPr>
          <w:rFonts w:ascii="Garamond" w:hAnsi="Garamond"/>
          <w:sz w:val="22"/>
          <w:szCs w:val="22"/>
          <w:lang w:val="en-US"/>
        </w:rPr>
        <w:t xml:space="preserve"> Gründen stirbt, ins Anorganische zurückkehrt, so können wir nur sagen: </w:t>
      </w:r>
      <w:r w:rsidRPr="00525700">
        <w:rPr>
          <w:rFonts w:ascii="Garamond" w:hAnsi="Garamond"/>
          <w:i/>
          <w:iCs/>
          <w:sz w:val="22"/>
          <w:szCs w:val="22"/>
          <w:lang w:val="en-US"/>
        </w:rPr>
        <w:t>Das Ziel alles Lebens ist der Tod,</w:t>
      </w:r>
      <w:r w:rsidRPr="00525700">
        <w:rPr>
          <w:rFonts w:ascii="Garamond" w:hAnsi="Garamond"/>
          <w:sz w:val="22"/>
          <w:szCs w:val="22"/>
          <w:lang w:val="en-US"/>
        </w:rPr>
        <w:t xml:space="preserve"> und zurückgreifend: </w:t>
      </w:r>
      <w:r w:rsidRPr="00525700">
        <w:rPr>
          <w:rFonts w:ascii="Garamond" w:hAnsi="Garamond"/>
          <w:i/>
          <w:iCs/>
          <w:sz w:val="22"/>
          <w:szCs w:val="22"/>
          <w:lang w:val="en-US"/>
        </w:rPr>
        <w:t>Das Leblose war früher da als das Lebende.</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Irgend einmal wurden in unbelebter Materie durch eine noch ganz unvorstellbare Krafteinwirkung die Eigenschaften des Lebenden erweckt. Vielleicht war es ein Vorgang, vorbildlich ähnlich jenem anderen, der in einer gewissen Schicht der lebenden Materie später das Bewußtsein entstehen ließ. Die damals entstandene Spannung in dem vorhin unbelebten Stoff trachtete danach, sich abzugleichen; es war der erste Trieb gegeben, der, zum Leblosen zurückzukehren. Die damals lebende Substanz hatte das Sterben noch leicht, es war wahrscheinlich nur ein kurzer Lebensweg zu durchlaufen, dessen Richtung durch die chemische Struktur des jungen Lebens bestimmt war. Eine lange Zeit hindurch mag so die lebende Substanz immer wieder neu geschaffen worden und leicht gestorben sein, bis sich maßgebende äußere Einflüsse so änderten, daß sie die noch überlebende Substanz zu immer größeren Ablenkungen vom ursprünglichen Lebensweg und zu immer komplizierteren Umwegen bis zur Erreichung des Todeszieles nötigten. Diese Umwege zum Tode, von den konservativen Trieben getreulich festgehalten, böten uns heute das Bild der Lebenserscheinungen. Wenn man an der ausschließlich konservativen Natur der Triebe festhält, kann man zu anderen Vermutungen über Herkunft und Ziel des Lebens nicht gelangen.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Ebenso befremdend wie diese Folgerungen klingt dann, was sich für die großen Gruppen von Trieben ergibt, die wir hinter den Lebenserscheinungen der Organismen statuieren. Die Aufstellung der Selbsterhaltungstriebe, die wir jedem lebenden Wesen zugestehen, steht in merkwürdigem Gegensatz zur Voraussetzung, daß das gesamte Triebleben der Herbeiführung des Todes dient. Die theoretische Bedeutung der Selbsterhaltungs-, Macht- und Geltungstriebe schrumpft, in diesem Licht gesehen, ein; es sind Partialtriebe, dazu bestimmt, den eigenen Todesweg des Organismus zu sichern und andere Möglichkeiten der Rückkehr zum Anorganischen als die immanenten fernzuhalten, aber das rätselhafte, in keinen Zusammenhang einfügbare Bestreben des Organismus, sich aller Welt zum Trotz zu behaupten, entfällt. Es erübrigt, daß der Organismus nur auf seine Weise sterben will; auch diese Lebenswächter sind ursprünglich Trabanten des Todes gewesen. Dabei kommt das Paradoxe zustande, daß der lebende Organismus sich auf das energischeste gegen Einwirkungen (Gefahren) sträubt, die ihm dazu verhelfen könnten, sein Lebensziel auf kurzem Wege (durch Kurzschluß sozusagen) zu erreichen, aber dies Verhalten charakterisiert eben ein rein triebhaftes im Gegensatz zu einem intelligenten Streben.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Aber besinnen wir uns, dem kann nicht so sein! In ein ganz anderes Licht rücken die Sexualtriebe, für welche die Neurosenlehre eine Sonderstellung in Anspruch genommen hat. Nicht alle Organismen sind dem äußeren Zwang unterlegen, der sie zu immer weiter gehender Entwicklung antrieb. Vielen ist es gelungen, sich auf ihrer niedrigen Stufe bis auf die Gegenwart zu bewahren; es leben ja noch heute, wenn nicht alle, so doch viele Lebewe</w:t>
      </w:r>
      <w:r w:rsidRPr="00525700">
        <w:rPr>
          <w:rFonts w:ascii="Garamond" w:hAnsi="Garamond"/>
          <w:sz w:val="22"/>
          <w:szCs w:val="22"/>
          <w:lang w:val="en-US"/>
        </w:rPr>
        <w:softHyphen/>
        <w:t>sen, die den Vorstufen der höheren Tiere und Pflanzen ähnlich sein müssen. Und ebenso machen nicht alle Elementarorganismen, welche den kompli</w:t>
      </w:r>
      <w:r w:rsidRPr="00525700">
        <w:rPr>
          <w:rFonts w:ascii="Garamond" w:hAnsi="Garamond"/>
          <w:sz w:val="22"/>
          <w:szCs w:val="22"/>
          <w:lang w:val="en-US"/>
        </w:rPr>
        <w:softHyphen/>
        <w:t>zierten Leib eines höheren Lebewesens zusammensetzen, den ganzen Entwicklungsweg bis zum natürlichen Tode mit. Einige unter ihnen, die Keimzellen, bewahren wahrscheinlich die ursprüngliche Struktur der lebenden Substanz und lösen sich, mit allen ererbten und neu erworbenen Triebanlagen beladen, nach einer gewissen Zeit vom ganzen Organismus ab. Vielleicht sind es gerade diese beiden Eigenschaften, die ihnen ihre selbständige Existenz ermöglichen. Unter günstige Bedingungen gebracht, beginnen sie sich zu entwickeln, das heißt das Spiel, dem sie ihre Entstehung verdanken, zu wiederholen, und dies endet damit, daß wieder ein Anteil ihrer Substanz die Entwicklung bis zum Ende fortführt, während ein anderer als neuer Keimrest von neuem auf den Anfang der Entwicklung zurückgreift. So arbeiten diese Keimzellen dem Sterben der lebenden Substanz entgegen und wissen für sie zu erringen, was uns als potentielle Unsterblichkeit erscheinen muß, wenngleich es vielleicht nur eine Verlängerung des Todesweges bedeutet. Im höchsten Grade bedeutungsvoll ist uns die Tatsache, daß die Keimzelle für diese Leistung durch die Verschmelzung mit einer anderen, ihr ähnlichen und doch von ihr verschiedenen, gekräftigt oder überhaupt erst befähigt wird.</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Die Triebe, welche die Schicksale dieser das Einzelwesen überlebenden Elementarorganismen in acht nehmen, für ihre sichere Unterbringung sorgen, solange sie wehrlos gegen die Reize der Außenwelt sind, ihr Zusammen</w:t>
      </w:r>
      <w:r w:rsidRPr="00525700">
        <w:rPr>
          <w:rFonts w:ascii="Garamond" w:hAnsi="Garamond"/>
          <w:sz w:val="22"/>
          <w:szCs w:val="22"/>
          <w:lang w:val="en-US"/>
        </w:rPr>
        <w:softHyphen/>
        <w:t xml:space="preserve">treffen mit den anderen Keimzellen herbeiführen usw., bilden die Gruppe der Sexualtriebe. Sie sind in demselben Sinne konservativ wie die anderen, indem sie frühere Zustände der lebenden Substanz wiederbringen, aber sie sind es in stärkerem Maße, indem sie sich als besonders resistent gegen </w:t>
      </w:r>
      <w:r w:rsidRPr="00525700">
        <w:rPr>
          <w:rFonts w:ascii="Garamond" w:hAnsi="Garamond"/>
          <w:sz w:val="22"/>
          <w:szCs w:val="22"/>
          <w:lang w:val="en-US"/>
        </w:rPr>
        <w:lastRenderedPageBreak/>
        <w:t>äußere Einwirkungen erweisen, und dann noch in einem weiteren Sinne, da sie das Leben selbst für längere Zeiten erhalten.</w:t>
      </w:r>
      <w:r w:rsidRPr="00525700">
        <w:rPr>
          <w:rFonts w:ascii="Garamond" w:hAnsi="Garamond"/>
          <w:sz w:val="22"/>
          <w:szCs w:val="22"/>
          <w:vertAlign w:val="superscript"/>
          <w:lang w:val="en-US"/>
        </w:rPr>
        <w:t>4)</w:t>
      </w:r>
      <w:r w:rsidRPr="00525700">
        <w:rPr>
          <w:rFonts w:ascii="Garamond" w:hAnsi="Garamond"/>
          <w:sz w:val="22"/>
          <w:szCs w:val="22"/>
          <w:lang w:val="en-US"/>
        </w:rPr>
        <w:t xml:space="preserve"> Sie sind die eigentlichen Lebenstriebe; dadurch, daß sie der Absicht der anderen Triebe, welche durch die Funktion zum Tode führt, entgegenwirken, deutet sich ein Gegensatz zwischen ihnen und den übrigen an, den die Neurosenlehre frühzeitig als bedeutungsvoll erkannt hat. Es ist wie ein Zauderrhythmus im Leben der Organismen; die eine Triebgruppe stürmt nach vorwärts, um das Endziel des Lebens möglichst bald zu erreichen, die andere schnellt an einer gewissen Stelle dieses Weges zurück, um ihn von einem bestimmten Punkt an nochmals zu machen und so die Dauer des Weges zu verlängern. Aber wenn auch Sexualität und Unterschied der Geschlechter zu Beginn des Lebens gewiß nicht vorhanden waren, so bleibt es doch möglich, daß die später als sexuell zu bezeichnenden Triebe von allem Anfang an in Tätigkeit getreten sind und ihre Gegenarbeit gegen das Spiel der »Ichtriebe« nicht erst zu einem späteren Zeitpunkte aufgenommen haben.</w:t>
      </w:r>
      <w:r w:rsidRPr="00525700">
        <w:rPr>
          <w:rFonts w:ascii="Garamond" w:hAnsi="Garamond"/>
          <w:sz w:val="22"/>
          <w:szCs w:val="22"/>
          <w:vertAlign w:val="superscript"/>
          <w:lang w:val="en-US"/>
        </w:rPr>
        <w:t>5)</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Greifen wir nun selbst ein erstes Mal zurück, um zu fragen, ob nicht alle diese Spekulationen der Begründung entbehren. Gibt es wirklich, </w:t>
      </w:r>
      <w:r w:rsidRPr="00525700">
        <w:rPr>
          <w:rFonts w:ascii="Garamond" w:hAnsi="Garamond"/>
          <w:i/>
          <w:iCs/>
          <w:sz w:val="22"/>
          <w:szCs w:val="22"/>
          <w:lang w:val="en-US"/>
        </w:rPr>
        <w:t>abgesehen von den Sexualtrieben</w:t>
      </w:r>
      <w:r w:rsidRPr="00525700">
        <w:rPr>
          <w:rFonts w:ascii="Garamond" w:hAnsi="Garamond"/>
          <w:sz w:val="22"/>
          <w:szCs w:val="22"/>
          <w:lang w:val="en-US"/>
        </w:rPr>
        <w:t>, keine anderen Triebe als solche, die einen früheren Zustand wiederherstellen wollen, nicht auch andere, die nach einem noch nie erreichten streben? Ich weiß in der organischen Welt kein sicheres Beispiel, das unserer vorgeschlagenen Charakteristik widerspräche. Ein allgemeiner Trieb zur Höherentwicklung in der Tier- und Pflanzenwelt läßt sich gewiß nicht feststellen, wenn auch eine solche Entwicklungsrichtung tatsächlich unbe</w:t>
      </w:r>
      <w:r w:rsidRPr="00525700">
        <w:rPr>
          <w:rFonts w:ascii="Garamond" w:hAnsi="Garamond"/>
          <w:sz w:val="22"/>
          <w:szCs w:val="22"/>
          <w:lang w:val="en-US"/>
        </w:rPr>
        <w:softHyphen/>
        <w:t>stritten bleibt. Aber einerseits ist es vielfach nur Sache unserer Einschätzung, wenn wir eine Entwicklungsstufe für höher als eine andere erklären, und anderseits zeigt uns die Wissenschaft des Lebenden, daß Höherentwicklung in einem Punkte sehr häufig durch Rückbildung in einem anderen erkauft oder wettgemacht wird. Auch gibt es Tierformen genug, deren Jugendzustände uns erkennen lassen, daß ihre Entwicklung vielmehr einen rückschreitenden Charakter genommen hat. Höherentwicklung wie Rückbildung könnten beide Folgen der zur Anpassung drängenden äußeren Kräfte sein, und die Rolle der Triebe könnte sich für beide Fälle darauf beschränken, die aufgezwungene Veränderung als innere Lustquelle festzuhalten.</w:t>
      </w:r>
      <w:r w:rsidRPr="00525700">
        <w:rPr>
          <w:rFonts w:ascii="Garamond" w:hAnsi="Garamond"/>
          <w:sz w:val="22"/>
          <w:szCs w:val="22"/>
          <w:vertAlign w:val="superscript"/>
          <w:lang w:val="en-US"/>
        </w:rPr>
        <w:t>6)</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Vielen von uns mag es auch schwer werden, auf den Glauben zu ver</w:t>
      </w:r>
      <w:r w:rsidRPr="00525700">
        <w:rPr>
          <w:rFonts w:ascii="Garamond" w:hAnsi="Garamond"/>
          <w:sz w:val="22"/>
          <w:szCs w:val="22"/>
          <w:lang w:val="en-US"/>
        </w:rPr>
        <w:softHyphen/>
        <w:t>zichten, daß im Menschen selbst ein Trieb zur Vervollkommnung wohnt, der ihn auf seine gegenwärtige Höhe geistiger Leistung und ethischer Sublimierung gebracht hat und von dem man erwarten darf, daß er seine Entwicklung zum Übermenschen besorgen wird. Allein ich glaube nicht an einen solchen inneren Trieb und sehe keinen Weg, diese wohltuende Illusion zu schonen. Die bisherige Entwicklung des Menschen scheint mir keiner anderen Erklärung zu bedürfen als die der Tiere, und was man an einer Minderzahl von menschlichen Individuen als rastlosen Drang zu weiterer Vervollkommnung beobachtet, läßt sich ungezwungen als Folge der Trieb</w:t>
      </w:r>
      <w:r w:rsidRPr="00525700">
        <w:rPr>
          <w:rFonts w:ascii="Garamond" w:hAnsi="Garamond"/>
          <w:sz w:val="22"/>
          <w:szCs w:val="22"/>
          <w:lang w:val="en-US"/>
        </w:rPr>
        <w:softHyphen/>
        <w:t>verdrängung verstehen, auf welche das Wertvollste an der menschlichen Kultur aufgebaut ist. Der verdrängte Trieb gibt es nie auf, nach seiner vollen Befriedigung zu streben, die in der Wiederholung eines primären Befriedi</w:t>
      </w:r>
      <w:r w:rsidRPr="00525700">
        <w:rPr>
          <w:rFonts w:ascii="Garamond" w:hAnsi="Garamond"/>
          <w:sz w:val="22"/>
          <w:szCs w:val="22"/>
          <w:lang w:val="en-US"/>
        </w:rPr>
        <w:softHyphen/>
        <w:t>gungserlebnisses bestünde; alle Ersatz-, Reaktionsbildungen und Sublimie</w:t>
      </w:r>
      <w:r w:rsidRPr="00525700">
        <w:rPr>
          <w:rFonts w:ascii="Garamond" w:hAnsi="Garamond"/>
          <w:sz w:val="22"/>
          <w:szCs w:val="22"/>
          <w:lang w:val="en-US"/>
        </w:rPr>
        <w:softHyphen/>
        <w:t xml:space="preserve">rungen sind ungenügend, um seine anhaltende Spannung aufzuheben, und aus der Differenz zwischen der gefundenen und der geforderten Befriedigungslust ergibt sich das treibende Moment, welches bei keiner der hergestellten Situationen zu verharren gestattet, sondern nach des Dichters Worten »ungebändigt immer vorwärts dringt« (Mephisto im </w:t>
      </w:r>
      <w:r w:rsidRPr="00525700">
        <w:rPr>
          <w:rFonts w:ascii="Garamond" w:hAnsi="Garamond"/>
          <w:i/>
          <w:iCs/>
          <w:sz w:val="22"/>
          <w:szCs w:val="22"/>
          <w:lang w:val="en-US"/>
        </w:rPr>
        <w:t>Faust,</w:t>
      </w:r>
      <w:r w:rsidRPr="00525700">
        <w:rPr>
          <w:rFonts w:ascii="Garamond" w:hAnsi="Garamond"/>
          <w:sz w:val="22"/>
          <w:szCs w:val="22"/>
          <w:lang w:val="en-US"/>
        </w:rPr>
        <w:t xml:space="preserve"> I, Studierzimmer). Der Weg nach rückwärts, zur vollen Befriedigung, ist in der Regel durch die Widerstände, welche die Verdrängungen aufrechthalten, verlegt, und somit bleibt nichts anderes übrig, als in der anderen, noch freien Entwicklungsrichtung fortzuschreiten, allerdings ohne Aussicht, den Prozeß abschließen und das Ziel erreichen zu können. Die Vorgänge bei der Ausbildung einer neurotischen Phobie, die ja nichts anderes als ein Fluchtversuch vor einer Triebbefriedigung ist, geben uns das Vorbild für die Entstehung dieses anscheinenden »Vervollkommnungstriebes«, den wir aber unmöglich allen menschlichen Individuen zuschreiben können. Die dynamischen Bedingungen dafür sind zwar ganz allgemein vorhanden, aber die ökonomischen Verhältnisse scheinen das Phänomen nur in seltenen Fällen zu begünstigen.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Nur mit einem Wort sei aber auf die Wahrscheinlichkeit hingewiesen, daß das Bestreben des Eros, das Organische zu immer größeren Einheiten zusammenzufassen, einen Ersatz für den nicht anzuerkennenden »Vervoll</w:t>
      </w:r>
      <w:r w:rsidRPr="00525700">
        <w:rPr>
          <w:rFonts w:ascii="Garamond" w:hAnsi="Garamond"/>
          <w:sz w:val="22"/>
          <w:szCs w:val="22"/>
          <w:lang w:val="en-US"/>
        </w:rPr>
        <w:softHyphen/>
        <w:t>kommnungstrieb« leistet. Im Verein mit den Wirkungen der Verdrängung würde es die dem letzteren zugeschriebenen Phänomene erklären können.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w:t>
      </w:r>
    </w:p>
    <w:p w:rsidR="00525700" w:rsidRPr="00525700" w:rsidRDefault="00525700" w:rsidP="00130855">
      <w:pPr>
        <w:pStyle w:val="NormalWeb"/>
        <w:rPr>
          <w:rFonts w:ascii="Garamond" w:hAnsi="Garamond"/>
          <w:sz w:val="22"/>
          <w:szCs w:val="22"/>
        </w:rPr>
      </w:pPr>
      <w:r w:rsidRPr="00525700">
        <w:rPr>
          <w:rFonts w:ascii="Garamond" w:hAnsi="Garamond"/>
          <w:sz w:val="22"/>
          <w:szCs w:val="22"/>
        </w:rPr>
        <w:lastRenderedPageBreak/>
        <w:t>_______________________</w:t>
      </w:r>
    </w:p>
    <w:p w:rsidR="00525700" w:rsidRPr="00525700" w:rsidRDefault="00525700" w:rsidP="00130855">
      <w:pPr>
        <w:pStyle w:val="s"/>
        <w:rPr>
          <w:rFonts w:ascii="Garamond" w:hAnsi="Garamond"/>
          <w:sz w:val="22"/>
          <w:szCs w:val="22"/>
        </w:rPr>
      </w:pPr>
      <w:r w:rsidRPr="00525700">
        <w:rPr>
          <w:rFonts w:ascii="Garamond" w:hAnsi="Garamond"/>
          <w:sz w:val="22"/>
          <w:szCs w:val="22"/>
          <w:vertAlign w:val="superscript"/>
        </w:rPr>
        <w:t>1)</w:t>
      </w:r>
      <w:r w:rsidRPr="00525700">
        <w:rPr>
          <w:rFonts w:ascii="Garamond" w:hAnsi="Garamond"/>
          <w:sz w:val="22"/>
          <w:szCs w:val="22"/>
        </w:rPr>
        <w:t xml:space="preserve"> Vgl. den Abschnitt VII, ›Psychologie der Traumvorgänge‹, in meiner </w:t>
      </w:r>
      <w:r w:rsidRPr="00525700">
        <w:rPr>
          <w:rFonts w:ascii="Garamond" w:hAnsi="Garamond"/>
          <w:i/>
          <w:iCs/>
          <w:sz w:val="22"/>
          <w:szCs w:val="22"/>
        </w:rPr>
        <w:t>Traumdeutung</w:t>
      </w:r>
      <w:r w:rsidRPr="00525700">
        <w:rPr>
          <w:rFonts w:ascii="Garamond" w:hAnsi="Garamond"/>
          <w:sz w:val="22"/>
          <w:szCs w:val="22"/>
        </w:rPr>
        <w:t>.</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2)</w:t>
      </w:r>
      <w:r w:rsidRPr="00525700">
        <w:rPr>
          <w:rFonts w:ascii="Garamond" w:hAnsi="Garamond"/>
          <w:sz w:val="22"/>
          <w:szCs w:val="22"/>
          <w:lang w:val="en-US"/>
        </w:rPr>
        <w:t xml:space="preserve"> Ich bezweifle nicht, daß ähnliche Vermutungen über die Natur der »Triebe« bereits wiederholt geäußert worden sind.</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3)</w:t>
      </w:r>
      <w:r w:rsidRPr="00525700">
        <w:rPr>
          <w:rFonts w:ascii="Garamond" w:hAnsi="Garamond"/>
          <w:sz w:val="22"/>
          <w:szCs w:val="22"/>
          <w:lang w:val="en-US"/>
        </w:rPr>
        <w:t xml:space="preserve"> Man möge nicht übersehen, daß das folgende die Entwicklung eines extremen Gedankenganges ist, der späterhin, wenn die Sexualtriebe in Betracht gezogen werden, Einschränkung und Berichtigung findet.</w:t>
      </w:r>
    </w:p>
    <w:p w:rsidR="00525700" w:rsidRPr="00A06A59"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4)</w:t>
      </w:r>
      <w:r w:rsidRPr="00525700">
        <w:rPr>
          <w:rFonts w:ascii="Garamond" w:hAnsi="Garamond"/>
          <w:sz w:val="22"/>
          <w:szCs w:val="22"/>
          <w:lang w:val="en-US"/>
        </w:rPr>
        <w:t xml:space="preserve"> Und doch sind sie es, die wir allein für eine innere Tendenz zum »Fortschritt« und zur Höherentwicklung in Anspruch nehmen können! </w:t>
      </w:r>
      <w:r w:rsidRPr="00A06A59">
        <w:rPr>
          <w:rFonts w:ascii="Garamond" w:hAnsi="Garamond"/>
          <w:sz w:val="22"/>
          <w:szCs w:val="22"/>
          <w:lang w:val="en-US"/>
        </w:rPr>
        <w:t>(S. unten.)</w:t>
      </w:r>
    </w:p>
    <w:p w:rsidR="00525700" w:rsidRPr="00A06A59" w:rsidRDefault="00525700" w:rsidP="00130855">
      <w:pPr>
        <w:pStyle w:val="s"/>
        <w:rPr>
          <w:rFonts w:ascii="Garamond" w:hAnsi="Garamond"/>
          <w:sz w:val="22"/>
          <w:szCs w:val="22"/>
          <w:lang w:val="en-US"/>
        </w:rPr>
      </w:pPr>
      <w:r w:rsidRPr="00A06A59">
        <w:rPr>
          <w:rFonts w:ascii="Garamond" w:hAnsi="Garamond"/>
          <w:sz w:val="22"/>
          <w:szCs w:val="22"/>
          <w:vertAlign w:val="superscript"/>
          <w:lang w:val="en-US"/>
        </w:rPr>
        <w:t>5)</w:t>
      </w:r>
      <w:r w:rsidRPr="00A06A59">
        <w:rPr>
          <w:rFonts w:ascii="Garamond" w:hAnsi="Garamond"/>
          <w:sz w:val="22"/>
          <w:szCs w:val="22"/>
          <w:lang w:val="en-US"/>
        </w:rPr>
        <w:t xml:space="preserve"> Es sollte aus dem Zusammenhange verstanden werden, daß »Ichtriebe« hier als eine vorläufige Bezeichnung gemeint sind, welche an die erste Namengebung der Psychoanalyse anknüpft.</w:t>
      </w:r>
    </w:p>
    <w:p w:rsidR="00525700" w:rsidRPr="00A06A59" w:rsidRDefault="00525700" w:rsidP="00130855">
      <w:pPr>
        <w:pStyle w:val="s"/>
        <w:rPr>
          <w:rFonts w:ascii="Garamond" w:hAnsi="Garamond"/>
          <w:sz w:val="22"/>
          <w:szCs w:val="22"/>
          <w:lang w:val="en-US"/>
        </w:rPr>
      </w:pPr>
      <w:r w:rsidRPr="00A06A59">
        <w:rPr>
          <w:rFonts w:ascii="Garamond" w:hAnsi="Garamond"/>
          <w:sz w:val="22"/>
          <w:szCs w:val="22"/>
          <w:vertAlign w:val="superscript"/>
          <w:lang w:val="en-US"/>
        </w:rPr>
        <w:t>6)</w:t>
      </w:r>
      <w:r w:rsidRPr="00A06A59">
        <w:rPr>
          <w:rFonts w:ascii="Garamond" w:hAnsi="Garamond"/>
          <w:sz w:val="22"/>
          <w:szCs w:val="22"/>
          <w:lang w:val="en-US"/>
        </w:rPr>
        <w:t xml:space="preserve"> Auf anderem Wege ist Ferenczi zur Möglichkeit derselben Auffassung gelangt (›Entwicklungsstufen des Wirklichkeitssinnes‹, 1913 a, 137): »Bei konsequenter Durchführung dieses Gedankenganges muß man sich mit der Idee einer auch das organische Leben beherrschenden Beharrungs-, respektive Regressionstendenz vertraut machen, während die Tendenz nach Fortentwicklung, Anpassung usw. nur auf äußere Reize hin lebendig wird.«</w:t>
      </w:r>
    </w:p>
    <w:p w:rsidR="005E1D01" w:rsidRDefault="005E1D01">
      <w:pPr>
        <w:rPr>
          <w:rFonts w:ascii="Garamond" w:eastAsiaTheme="majorEastAsia" w:hAnsi="Garamond" w:cstheme="majorBidi"/>
          <w:b/>
          <w:bCs/>
          <w:color w:val="365F91" w:themeColor="accent1" w:themeShade="BF"/>
          <w:lang w:val="en-US"/>
        </w:rPr>
      </w:pPr>
      <w:r>
        <w:rPr>
          <w:rFonts w:ascii="Garamond" w:hAnsi="Garamond"/>
          <w:lang w:val="en-US"/>
        </w:rPr>
        <w:br w:type="page"/>
      </w:r>
    </w:p>
    <w:p w:rsidR="00525700" w:rsidRPr="00A06A59" w:rsidRDefault="00B437A1" w:rsidP="00130855">
      <w:pPr>
        <w:pStyle w:val="Titre1"/>
        <w:rPr>
          <w:rFonts w:ascii="Garamond" w:hAnsi="Garamond"/>
          <w:sz w:val="22"/>
          <w:szCs w:val="22"/>
          <w:lang w:val="en-US"/>
        </w:rPr>
      </w:pPr>
      <w:hyperlink w:anchor="LustprinzipINHALT" w:history="1">
        <w:r w:rsidR="00525700" w:rsidRPr="005E1D01">
          <w:rPr>
            <w:rStyle w:val="Lienhypertexte"/>
            <w:rFonts w:ascii="Garamond" w:hAnsi="Garamond"/>
            <w:sz w:val="22"/>
            <w:szCs w:val="22"/>
            <w:lang w:val="en-US"/>
          </w:rPr>
          <w:t xml:space="preserve">VI. </w:t>
        </w:r>
        <w:r w:rsidR="005E1D01" w:rsidRPr="005E1D01">
          <w:rPr>
            <w:rStyle w:val="Lienhypertexte"/>
            <w:rFonts w:ascii="Garamond" w:hAnsi="Garamond"/>
            <w:sz w:val="22"/>
            <w:szCs w:val="22"/>
            <w:lang w:val="en-US"/>
          </w:rPr>
          <w:t xml:space="preserve"> </w:t>
        </w:r>
        <w:r w:rsidR="00525700" w:rsidRPr="005E1D01">
          <w:rPr>
            <w:rStyle w:val="Lienhypertexte"/>
            <w:rFonts w:ascii="Garamond" w:hAnsi="Garamond"/>
            <w:sz w:val="22"/>
            <w:szCs w:val="22"/>
            <w:lang w:val="en-US"/>
          </w:rPr>
          <w:t>Bi</w:t>
        </w:r>
        <w:bookmarkStart w:id="21" w:name="Lustprinzip6"/>
        <w:bookmarkEnd w:id="21"/>
        <w:r w:rsidR="00525700" w:rsidRPr="005E1D01">
          <w:rPr>
            <w:rStyle w:val="Lienhypertexte"/>
            <w:rFonts w:ascii="Garamond" w:hAnsi="Garamond"/>
            <w:sz w:val="22"/>
            <w:szCs w:val="22"/>
            <w:lang w:val="en-US"/>
          </w:rPr>
          <w:t xml:space="preserve">ologische Argumente </w:t>
        </w:r>
        <w:r w:rsidR="005E1D01" w:rsidRPr="005E1D01">
          <w:rPr>
            <w:rStyle w:val="Lienhypertexte"/>
            <w:rFonts w:ascii="Garamond" w:hAnsi="Garamond"/>
            <w:sz w:val="22"/>
            <w:szCs w:val="22"/>
            <w:lang w:val="en-US"/>
          </w:rPr>
          <w:t>für die Annahme der Todestriebe</w:t>
        </w:r>
      </w:hyperlink>
    </w:p>
    <w:p w:rsidR="00525700" w:rsidRPr="00A06A59" w:rsidRDefault="00525700" w:rsidP="00130855">
      <w:pPr>
        <w:rPr>
          <w:rFonts w:ascii="Garamond" w:hAnsi="Garamond"/>
          <w:lang w:val="en-US"/>
        </w:rPr>
      </w:pPr>
    </w:p>
    <w:p w:rsidR="00525700" w:rsidRPr="00525700" w:rsidRDefault="00525700" w:rsidP="00130855">
      <w:pPr>
        <w:pStyle w:val="NormalWeb"/>
        <w:rPr>
          <w:rFonts w:ascii="Garamond" w:hAnsi="Garamond"/>
          <w:sz w:val="22"/>
          <w:szCs w:val="22"/>
          <w:lang w:val="en-US"/>
        </w:rPr>
      </w:pPr>
      <w:r w:rsidRPr="00A06A59">
        <w:rPr>
          <w:rFonts w:ascii="Garamond" w:hAnsi="Garamond"/>
          <w:sz w:val="22"/>
          <w:szCs w:val="22"/>
          <w:lang w:val="en-US"/>
        </w:rPr>
        <w:t xml:space="preserve">Unser bisheriges Ergebnis, welches einen scharfen Gegensatz zwischen den »Ichtrieben« und den Sexualtrieben aufstellt, die ersteren zum Tode und die letzteren zur Lebensfortsetzung drängen läßt, wird uns gewiß nach vielen Richtungen selbst nicht befriedigen. </w:t>
      </w:r>
      <w:r w:rsidRPr="00525700">
        <w:rPr>
          <w:rFonts w:ascii="Garamond" w:hAnsi="Garamond"/>
          <w:sz w:val="22"/>
          <w:szCs w:val="22"/>
          <w:lang w:val="en-US"/>
        </w:rPr>
        <w:t>Dazu kommt, daß wir eigentlich nur für die ersteren den konservativen oder besser regredierenden, einem Wieder</w:t>
      </w:r>
      <w:r w:rsidRPr="00525700">
        <w:rPr>
          <w:rFonts w:ascii="Garamond" w:hAnsi="Garamond"/>
          <w:sz w:val="22"/>
          <w:szCs w:val="22"/>
          <w:lang w:val="en-US"/>
        </w:rPr>
        <w:softHyphen/>
        <w:t>holungszwang entsprechenden Charakter des Triebes in Anspruch nehmen konnten. Denn nach unserer Annahme rühren die Ichtriebe von der Belebung der unbelebten Materie her und wollen die Unbelebtheit wiederherstellen. Die Sexualtriebe hingegen — es ist augenfällig, daß sie primitive Zustände des Lebewesens reproduzieren, aber ihr mit allen Mitteln angestrebtes Ziel ist die Verschmelzung zweier in bestimmter Weise differenzierter Keimzellen. Wenn diese Vereinigung nicht zustande kommt, dann stirbt die Keimzelle wie alle anderen Elemente des vielzelligen Organismus. Nur unter dieser Bedin</w:t>
      </w:r>
      <w:r w:rsidRPr="00525700">
        <w:rPr>
          <w:rFonts w:ascii="Garamond" w:hAnsi="Garamond"/>
          <w:sz w:val="22"/>
          <w:szCs w:val="22"/>
          <w:lang w:val="en-US"/>
        </w:rPr>
        <w:softHyphen/>
        <w:t>gung kann die Geschlechtsfunktion das Leben verlängern und ihm den Schein der Unsterblichkeit verleihen. Welches wichtige Ereignis im Entwicklungsgang der lebenden Substanz wird aber durch die geschlechtliche Fortpflanzung oder ihren Vorläufer, die Kopulation zweier Individuen unter den Protisten, wiederholt? Das wissen wir nicht zu sagen, und darum würden wir es als Erleichterung empfinden, wenn unser ganzer Gedankenaufbau sich als irrtümlich erkennen ließe. Der Gegensatz von Ich(Todes-)trieben und Sexual(Lebens-)trieben würde dann entfallen, damit auch der Wiederholungszwang die ihm zugeschriebene Bedeutung einbüßen.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Kehren wir darum zu einer von uns eingeflochtenen Annahme zurück, in der Erwartung, sie werde sich exakt widerlegen lassen. Wir haben auf Grund der Voraussetzung weitere Schlüsse aufgebaut, daß alles Lebende aus inneren Ursachen sterben müsse. Wir haben diese Annahme so sorglos gemacht, weil sie uns nicht als solche erscheint. Wir sind gewohnt, so zu denken, unsere Dichter bestärken uns darin. Vielleicht haben wir uns dazu entschlossen, weil ein Trost in diesem Glauben liegt. Wenn man schon selbst sterben und vorher seine Liebsten durch den Tod verlieren soll, so will man lieber einem unerbittlichen Naturgesetz, der hehren </w:t>
      </w:r>
      <w:r w:rsidRPr="00525700">
        <w:rPr>
          <w:rFonts w:ascii="Garamond" w:hAnsi="Garamond"/>
          <w:i/>
          <w:iCs/>
          <w:sz w:val="22"/>
          <w:szCs w:val="22"/>
          <w:lang w:val="en-US"/>
        </w:rPr>
        <w:t>Anankê</w:t>
      </w:r>
      <w:r w:rsidRPr="00525700">
        <w:rPr>
          <w:rFonts w:ascii="Garamond" w:hAnsi="Garamond"/>
          <w:sz w:val="22"/>
          <w:szCs w:val="22"/>
          <w:lang w:val="en-US"/>
        </w:rPr>
        <w:t xml:space="preserve"> [Notwendigkeit], erlegen sein, als einem Zufall, der sich etwa noch hätte vermeiden lassen. </w:t>
      </w:r>
      <w:r w:rsidRPr="00525700">
        <w:rPr>
          <w:rFonts w:ascii="Garamond" w:hAnsi="Garamond"/>
          <w:sz w:val="22"/>
          <w:szCs w:val="22"/>
        </w:rPr>
        <w:t xml:space="preserve">Aber vielleicht ist dieser Glaube an die innere Gesetzmäßigkeit des Sterbens auch nur eine der Illusionen, die wir uns geschaffen haben, »um die Schwere des Daseins zu ertragen«. Ursprünglich ist er sicherlich nicht, den primitiven Völkern ist die Idee eines »natürlichen Todes« fremd; sie führen jedes Sterben unter ihnen auf den Einfluß eines Feindes oder eines bösen Geistes zurück. </w:t>
      </w:r>
      <w:r w:rsidRPr="00525700">
        <w:rPr>
          <w:rFonts w:ascii="Garamond" w:hAnsi="Garamond"/>
          <w:sz w:val="22"/>
          <w:szCs w:val="22"/>
          <w:lang w:val="en-US"/>
        </w:rPr>
        <w:t>Versäumen wir es darum nicht, uns zur Prüfung dieses Glaubens an die biologische Wissenschaft zu wenden.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Wenn wir so tun, dürfen wir erstaunt sein, wie wenig die Biologen in der Frage des natürlichen Todes einig sind, ja, daß ihnen der Begriff des Todes überhaupt unter den Händen zerrinnt. Die Tatsache einer bestimmten durchschnittlichen Lebensdauer wenigstens bei höheren Tieren spricht natürlich für den Tod aus inneren Ursachen, aber der Umstand, daß einzelne große Tiere und riesenhafte Baumgewächse ein sehr hohes und bisher nicht abschätzbares Alter erreichen, hebt diesen Eindruck wieder auf. Nach der großartigen Konzeption von W. Fließ sind alle Lebenserscheinungen — und gewiß auch der Tod — der Organismen an die Erfüllung bestimmter Termine gebunden, in denen die Abhängigkeit zweier lebenden Substanzen, einer männlichen und einer weiblichen, vom Sonnenjahr zum Ausdruck kommt. Allein die Beobachtungen, wie leicht und bis zu welchem Ausmaß es dem Einflüsse äußerer Kräfte möglich ist, die Lebensäußerungen insbesondere der Pflanzenwelt in ihrem zeitlichen Auftreten zu verändern, sie zu verfrühen oder hintanzuhalten, sträuben sich gegen die Starrheit der Fließschen Formeln und lassen zum mindesten an der Alleinherrschaft der von ihm aufgestellten Gesetze zweifeln.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Das größte Interesse knüpft sich für uns an die Behandlung, welche das Thema von der Lebensdauer und vom Tode der Organismen in den Arbeiten von A. Weismann (1882, 1884, 1892, u.a.) gefunden hat. Von diesem Forscher rührt die Unterscheidung der lebenden Substanz in eine sterbliche und unsterbliche Hälfte her; die sterbliche ist der Körper im engeren Sinne, das Soma, sie allein ist dem natürlichen Tode unterworfen, die Keimzellen aber sind </w:t>
      </w:r>
      <w:r w:rsidRPr="00525700">
        <w:rPr>
          <w:rFonts w:ascii="Garamond" w:hAnsi="Garamond"/>
          <w:i/>
          <w:iCs/>
          <w:sz w:val="22"/>
          <w:szCs w:val="22"/>
          <w:lang w:val="en-US"/>
        </w:rPr>
        <w:t>potentia</w:t>
      </w:r>
      <w:r w:rsidRPr="00525700">
        <w:rPr>
          <w:rFonts w:ascii="Garamond" w:hAnsi="Garamond"/>
          <w:sz w:val="22"/>
          <w:szCs w:val="22"/>
          <w:lang w:val="en-US"/>
        </w:rPr>
        <w:t xml:space="preserve"> unsterblich, insofern sie imstande sind, unter gewissen günstigen Bedingungen sich zu einem neuen Individuum zu entwickeln, oder anders ausgedrückt, sich mit einem neuen Soma zu umgeben</w:t>
      </w:r>
      <w:r w:rsidRPr="00525700">
        <w:rPr>
          <w:rFonts w:ascii="Garamond" w:hAnsi="Garamond"/>
          <w:i/>
          <w:iCs/>
          <w:sz w:val="22"/>
          <w:szCs w:val="22"/>
          <w:lang w:val="en-US"/>
        </w:rPr>
        <w:t>.</w:t>
      </w:r>
      <w:r w:rsidRPr="00525700">
        <w:rPr>
          <w:rFonts w:ascii="Garamond" w:hAnsi="Garamond"/>
          <w:sz w:val="22"/>
          <w:szCs w:val="22"/>
          <w:vertAlign w:val="superscript"/>
          <w:lang w:val="en-US"/>
        </w:rPr>
        <w:t>1)</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lastRenderedPageBreak/>
        <w:t>Was uns hieran fesselt, ist die unerwartete Analogie mit unserer eigenen, auf so verschiedenem Wege entwickelten Auffassung. Weismann, der die lebende Substanz morphologisch betrachtet, erkennt in ihr einen Bestandteil, der dem Tode verfallen ist, das Soma, den Körper abgesehen vom Geschlechts- und Vererbungsstoff, und einen unsterblichen, eben dieses Keimplasma, welches der Erhaltung der Art, der Fortpflanzung dient. Wir haben nicht den lebenden Stoff, sondern die in ihm tätigen Kräfte eingestellt und sind dazu geführt worden, zwei Arten von Trieben zu unterscheiden, jene, welche das Leben zum Tod führen wollen, die anderen, die Sexualtriebe, welche immer wieder die Erneuerung des Lebens anstreben und durchsetzen. Das klingt wie ein dynamisches Korollar zu Weismanns morphologischer Theorie.</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Der Anschein einer bedeutsamen Übereinstimmung verflüchtigt sich alsbald, wenn wir Weismanns Entscheidung über das Problem des Todes vernehmen. Denn Weismann läßt die Sonderung von sterblichem Soma und unsterblichem Keimplasma erst bei den vielzelligen Organismen gelten, bei den einzelligen Tieren sind Individuum und Fortpflanzungszelle noch ein und dasselbe.</w:t>
      </w:r>
      <w:r w:rsidRPr="00525700">
        <w:rPr>
          <w:rFonts w:ascii="Garamond" w:hAnsi="Garamond"/>
          <w:sz w:val="22"/>
          <w:szCs w:val="22"/>
          <w:vertAlign w:val="superscript"/>
          <w:lang w:val="en-US"/>
        </w:rPr>
        <w:t>2)</w:t>
      </w:r>
      <w:r w:rsidRPr="00525700">
        <w:rPr>
          <w:rFonts w:ascii="Garamond" w:hAnsi="Garamond"/>
          <w:sz w:val="22"/>
          <w:szCs w:val="22"/>
          <w:lang w:val="en-US"/>
        </w:rPr>
        <w:t xml:space="preserve"> Die Einzelligen erklärt er also für potentiell unsterblich, der Tod tritt erst bei den Metazoen, den Vielzelligen, auf. Dieser Tod der höheren Lebewesen ist allerdings ein natürlicher, ein Tod aus inneren Ursachen, aber er beruht nicht auf einer Ureigenschaft der lebenden Substanz,</w:t>
      </w:r>
      <w:r w:rsidRPr="00525700">
        <w:rPr>
          <w:rFonts w:ascii="Garamond" w:hAnsi="Garamond"/>
          <w:sz w:val="22"/>
          <w:szCs w:val="22"/>
          <w:vertAlign w:val="superscript"/>
          <w:lang w:val="en-US"/>
        </w:rPr>
        <w:t>3)</w:t>
      </w:r>
      <w:r w:rsidRPr="00525700">
        <w:rPr>
          <w:rFonts w:ascii="Garamond" w:hAnsi="Garamond"/>
          <w:sz w:val="22"/>
          <w:szCs w:val="22"/>
          <w:lang w:val="en-US"/>
        </w:rPr>
        <w:t xml:space="preserve"> kann nicht als eine absolute, im Wesen des Lebens begründete Notwendigkeit aufgefaßt werden.</w:t>
      </w:r>
      <w:r w:rsidRPr="00525700">
        <w:rPr>
          <w:rFonts w:ascii="Garamond" w:hAnsi="Garamond"/>
          <w:sz w:val="22"/>
          <w:szCs w:val="22"/>
          <w:vertAlign w:val="superscript"/>
          <w:lang w:val="en-US"/>
        </w:rPr>
        <w:t>4)</w:t>
      </w:r>
      <w:r w:rsidRPr="00525700">
        <w:rPr>
          <w:rFonts w:ascii="Garamond" w:hAnsi="Garamond"/>
          <w:sz w:val="22"/>
          <w:szCs w:val="22"/>
          <w:lang w:val="en-US"/>
        </w:rPr>
        <w:t xml:space="preserve"> Der Tod ist vielmehr eine Zweckmäßigkeitseinrichtung, eine Erscheinung der Anpassung an die äußeren Lebensbedingungen, weil von der Sonderung der Körperzellen in Soma und Keimplasma an die unbegrenzte Lebensdauer des Individuums ein ganz unzweckmäßiger Luxus geworden wäre. Mit dem Eintritt dieser Differenzierung bei den Vielzelligen wurde der Tod möglich und zweckmäßig. Seither stirbt das Soma der höheren Lebewesen aus inneren Gründen zu bestimmten Zeiten ab, die Protisten aber sind unsterblich geblieben. Die Fortpflanzung hingegen ist nicht erst mit dem Tode eingeführt worden, sie ist vielmehr eine Ureigenschaft der lebenden Materie wie das Wachstum, aus welchem sie hervorging, und das Leben ist von seinem Beginn auf Erden an kontinuierlich geblieben.</w:t>
      </w:r>
      <w:r w:rsidRPr="00525700">
        <w:rPr>
          <w:rFonts w:ascii="Garamond" w:hAnsi="Garamond"/>
          <w:sz w:val="22"/>
          <w:szCs w:val="22"/>
          <w:vertAlign w:val="superscript"/>
          <w:lang w:val="en-US"/>
        </w:rPr>
        <w:t>5)</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Es ist leicht einzusehen, daß das Zugeständnis eines natürlichen Todes für die höheren Organismen unserer Sache wenig hilft. Wenn der Tod eine späte Erwerbung der Lebewesen ist, dann kommen Todestriebe, die sich vom Beginn des Lebens auf Erden ableiten, weiter nicht in Betracht. Die Vielzelligen mögen dann immerhin aus inneren Gründen sterben, an den Mängeln ihrer Differenzierung oder an den Unvollkommenheiten ihres Stoffwechsels; es hat für die Frage, die uns beschäftigt, kein Interesse. Eine solche Auffassung und Ableitung des Todes liegt dem gewohnten Denken der Menschen auch sicherlich viel näher als die befremdende Annahme von »Todestrieben«.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Die Diskussion, die sich an die Aufstellungen von Weismann angeschlos</w:t>
      </w:r>
      <w:r w:rsidRPr="00525700">
        <w:rPr>
          <w:rFonts w:ascii="Garamond" w:hAnsi="Garamond"/>
          <w:sz w:val="22"/>
          <w:szCs w:val="22"/>
          <w:lang w:val="en-US"/>
        </w:rPr>
        <w:softHyphen/>
        <w:t>sen, hat nach meinem Urteil in keiner Richtung Entscheidendes ergeben.</w:t>
      </w:r>
      <w:r w:rsidRPr="00525700">
        <w:rPr>
          <w:rFonts w:ascii="Garamond" w:hAnsi="Garamond"/>
          <w:sz w:val="22"/>
          <w:szCs w:val="22"/>
          <w:vertAlign w:val="superscript"/>
          <w:lang w:val="en-US"/>
        </w:rPr>
        <w:t>6)</w:t>
      </w:r>
      <w:r w:rsidRPr="00525700">
        <w:rPr>
          <w:rFonts w:ascii="Garamond" w:hAnsi="Garamond"/>
          <w:sz w:val="22"/>
          <w:szCs w:val="22"/>
          <w:lang w:val="en-US"/>
        </w:rPr>
        <w:t xml:space="preserve"> Manche Autoren sind zum Standpunkt von Goette zurückgekehrt (1883), der in dem Tod die direkte Folge der Fortpflanzung sah. Hartmann charakterisiert den Tod nicht durch Auftreten einer »Leiche«, eines abgestorbenen Anteiles der lebenden Substanz, sondern definiert ihn als den »Abschluß der indivi</w:t>
      </w:r>
      <w:r w:rsidRPr="00525700">
        <w:rPr>
          <w:rFonts w:ascii="Garamond" w:hAnsi="Garamond"/>
          <w:sz w:val="22"/>
          <w:szCs w:val="22"/>
          <w:lang w:val="en-US"/>
        </w:rPr>
        <w:softHyphen/>
        <w:t>duellen Entwicklung«. In diesem Sinne sind auch die Protozoen sterblich, der Tod fällt bei ihnen immer mit der Fortpflanzung zusammen, aber er wird durch diese gewissermaßen verschleiert, indem die ganze Substanz des Eltern</w:t>
      </w:r>
      <w:r w:rsidRPr="00525700">
        <w:rPr>
          <w:rFonts w:ascii="Garamond" w:hAnsi="Garamond"/>
          <w:sz w:val="22"/>
          <w:szCs w:val="22"/>
          <w:lang w:val="en-US"/>
        </w:rPr>
        <w:softHyphen/>
        <w:t>tieres direkt in die jungen Kinderindividuen übergeführt werden kann.</w:t>
      </w:r>
      <w:r w:rsidRPr="00525700">
        <w:rPr>
          <w:rFonts w:ascii="Garamond" w:hAnsi="Garamond"/>
          <w:sz w:val="22"/>
          <w:szCs w:val="22"/>
          <w:vertAlign w:val="superscript"/>
          <w:lang w:val="en-US"/>
        </w:rPr>
        <w:t>7)</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Das Interesse der Forschung hat sich bald darauf gerichtet, die behaup</w:t>
      </w:r>
      <w:r w:rsidRPr="00525700">
        <w:rPr>
          <w:rFonts w:ascii="Garamond" w:hAnsi="Garamond"/>
          <w:sz w:val="22"/>
          <w:szCs w:val="22"/>
          <w:lang w:val="en-US"/>
        </w:rPr>
        <w:softHyphen/>
        <w:t>tete Unsterblichkeit der lebenden Substanz an den Einzelligen experimentell zu erproben. Ein Amerikaner, Woodruff, hat ein bewimpertes Infusorium, ein »Pantoffeltierchen«, das sich durch Teilung in zwei Individuen fortpflanzt, in Zucht genommen und es bis zur 3029sten Generation, wo er den Versuch abbrach, verfolgt, indem er jedesmal das eine der Teilprodukte isolierte und in frisches Wasser brachte. Dieser späte Abkömmling des ersten Pantoffel</w:t>
      </w:r>
      <w:r w:rsidRPr="00525700">
        <w:rPr>
          <w:rFonts w:ascii="Garamond" w:hAnsi="Garamond"/>
          <w:sz w:val="22"/>
          <w:szCs w:val="22"/>
          <w:lang w:val="en-US"/>
        </w:rPr>
        <w:softHyphen/>
        <w:t>tierchens war ebenso frisch wie der Urahn, ohne alle Zeichen des Alterns oder der Degeneration; somit schien, wenn solchen Zahlen bereits Beweis</w:t>
      </w:r>
      <w:r w:rsidRPr="00525700">
        <w:rPr>
          <w:rFonts w:ascii="Garamond" w:hAnsi="Garamond"/>
          <w:sz w:val="22"/>
          <w:szCs w:val="22"/>
          <w:lang w:val="en-US"/>
        </w:rPr>
        <w:softHyphen/>
        <w:t>kraft zukommt, die Unsterblichkeit der Protisten experimentell erweisbar.</w:t>
      </w:r>
      <w:r w:rsidRPr="00525700">
        <w:rPr>
          <w:rFonts w:ascii="Garamond" w:hAnsi="Garamond"/>
          <w:sz w:val="22"/>
          <w:szCs w:val="22"/>
          <w:vertAlign w:val="superscript"/>
          <w:lang w:val="en-US"/>
        </w:rPr>
        <w:t>8)</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Andere Forscher sind zu anderen Resultaten gekommen. Maupas, Calkins und andere haben im Gegensatz zu Woodruff gefunden, daß auch diese Infusorien nach einer gewissen Anzahl von Teilungen </w:t>
      </w:r>
      <w:r w:rsidRPr="00525700">
        <w:rPr>
          <w:rFonts w:ascii="Garamond" w:hAnsi="Garamond"/>
          <w:sz w:val="22"/>
          <w:szCs w:val="22"/>
          <w:lang w:val="en-US"/>
        </w:rPr>
        <w:lastRenderedPageBreak/>
        <w:t>schwächer werden, an Größe abnehmen, einen Teil ihrer Organisation einbüßen und endlich sterben, wenn sie nicht gewisse auffrischende Einflüsse erfahren. Demnach stürben die Protozoen nach einer Phase des Altersverfalles ganz wie die höheren Tiere, so recht im Widerspruch zu den Behauptungen Weismanns, der den Tod als eine späte Erwerbung der lebenden Organismen anerkennt.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Aus dem Zusammenhang dieser Untersuchungen heben wir zwei Tatsachen heraus, die uns einen festen Anhalt zu bieten scheinen. Erstens: Wenn die Tierchen zu einem Zeitpunkt, da sie noch keine Altersveränderung zeigen, miteinander zu zweit verschmelzen, »kopulieren« können — worauf sie nach einiger Zeit wieder auseinandergehen —, so bleiben sie vom Alter verschont, sie sind »verjüngt« worden. Diese Kopulation ist doch wohl der Vorläufer der geschlechtlichen Fortpflanzung höherer Wesen; sie hat mit der Vermehrung noch nichts zu tun, beschränkt sich auf die Vermischung der Substanzen beider Individuen (Weismanns Amphimixis). Der auffrischende Einfluß der Kopulation kann aber auch ersetzt werden durch bestimmte Reizmittel, Veränderungen in der Zusammensetzung der Nährflüssigkeit, Temperatursteigerung oder Schütteln. Man erinnert sich an das berühmte Experiment von J. Loeb, der Seeigeleier durch gewisse chemische Reize zu Teilungsvorgängen zwang, die sonst nur nach der Befruchtung auftreten.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Zweitens: Es ist doch wahrscheinlich, daß die Infusorien durch ihren eigenen Lebensprozeß zu einem natürlichen Tod geführt werden, denn der Widerspruch zwischen den Ergebnissen von Woodruff und von anderen rührt daher, daß Woodruff jede neue Generation in frische Nährflüssigkeit brachte. Unterließ er dies, so beobachtete er dieselben Altersveränderungen der Generationen wie die anderen Forscher. Er schloß, daß die Tierchen durch die Produkte des Stoffwechsels, die sie an die umgebende Flüssigkeit abgeben, geschädigt werden, und konnte dann überzeugend nachweisen, daß nur die Produkte des </w:t>
      </w:r>
      <w:r w:rsidRPr="00525700">
        <w:rPr>
          <w:rFonts w:ascii="Garamond" w:hAnsi="Garamond"/>
          <w:i/>
          <w:iCs/>
          <w:sz w:val="22"/>
          <w:szCs w:val="22"/>
          <w:lang w:val="en-US"/>
        </w:rPr>
        <w:t>eigenen</w:t>
      </w:r>
      <w:r w:rsidRPr="00525700">
        <w:rPr>
          <w:rFonts w:ascii="Garamond" w:hAnsi="Garamond"/>
          <w:sz w:val="22"/>
          <w:szCs w:val="22"/>
          <w:lang w:val="en-US"/>
        </w:rPr>
        <w:t xml:space="preserve"> Stoffwechsels diese zum Tod der Generation führende Wirkung haben. Denn in einer Lösung, die mit den Abfallsprodukten einer entfernter verwandten Art übersättigt war, gediehen dieselben Tierchen ausgezeichnet, die, in ihrer eigenen Nährflüssigkeit angehäuft, sicher zugrunde gingen. Das Infusor stirbt also, sich selbst überlassen, eines natürlichen Todes an der Unvollkommenheit der Beseitigung seiner eigenen Stoffwechselprodukte; aber vielleicht sterben auch alle höheren Tiere im Grunde an dem gleichen Unvermögen.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Es mag uns da der Zweifel anwandeln, ob es überhaupt zweckdienlich war, die Entscheidung der Frage nach dem natürlichen Tod im Studium der Protozoen zu suchen. Die primitive Organisation dieser Lebewesen mag uns wichtige Verhältnisse verschleiern, die auch bei ihnen statthaben, aber erst bei höheren Tieren erkannt werden können, wo sie sich einen morphologischen Ausdruck verschafft haben. Wenn wir den morphologischen Standpunkt verlassen, um den dynamischen einzunehmen, so kann es uns überhaupt gleichgültig sein, ob sich der natürliche Tod der Protozoen erweisen läßt oder nicht. Bei ihnen hat sich die später als unsterblich erkannte Substanz von der sterblichen noch in keiner Weise gesondert. Die Triebkräfte, die das Leben in den Tod überführen wollen, könnten auch in ihnen von Anfang an wirksam sein, und doch könnte ihr Effekt durch den der lebenserhaltenden Kräfte so gedeckt werden, daß ihr direkter Nachweis sehr schwierig wird. Wir haben allerdings gehört, daß die Beobachtungen der Biologen uns die Annahme solcher zum Tod führenden inneren Vorgänge auch für die Protisten gestatten. Aber selbst wenn die Protisten sich als unsterblich im Sinne von Weismann erweisen, so gilt seine Behauptung, der Tod sei eine späte Erwerbung, nur für die manifesten Äußerungen des Todes und macht keine Annahme über die zum Tode drängenden Prozesse unmöglich. Unsere Erwartung, die Biologie werde die Anerkennung der Todestriebe glatt beseitigen, hat sich nicht erfüllt. Wir können uns mit ihrer Möglichkeit weiter beschäftigen, wenn wir sonst Gründe dafür haben. Die auffällige Ähnlichkeit der Weismannschen Sonderung von Soma und Keimplasma mit unserer Scheidung der Todestriebe von den Lebenstrieben bleibt aber bestehen und erhält ihren Wert wieder.</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Verweilen wir kurz bei dieser exquisit dualistischen Auffassung des Trieb</w:t>
      </w:r>
      <w:r w:rsidRPr="00525700">
        <w:rPr>
          <w:rFonts w:ascii="Garamond" w:hAnsi="Garamond"/>
          <w:sz w:val="22"/>
          <w:szCs w:val="22"/>
          <w:lang w:val="en-US"/>
        </w:rPr>
        <w:softHyphen/>
        <w:t xml:space="preserve">lebens. Nach der Theorie E. Herings von den Vorgängen in der lebenden Substanz laufen in ihr unausgesetzt zweierlei Prozesse entgegengesetzter Richtung ab, die einen aufbauend — assimilatorisch —, die anderen abbauend-dissimilatorisch. Sollen wir es wagen, in diesen beiden Richtungen der Lebensprozesse die Betätigung unserer beiden Triebregungen, der Lebenstriebe und der Todestriebe, zu erkennen? Aber etwas anderes können wir uns nicht verhehlen: daß wir unversehens in den Hafen der Philosophie Schopenhauers </w:t>
      </w:r>
      <w:r w:rsidRPr="00525700">
        <w:rPr>
          <w:rFonts w:ascii="Garamond" w:hAnsi="Garamond"/>
          <w:sz w:val="22"/>
          <w:szCs w:val="22"/>
          <w:lang w:val="en-US"/>
        </w:rPr>
        <w:lastRenderedPageBreak/>
        <w:t>eingelaufen sind, für den ja der Tod »das eigentliche Resultat« und insofern der Zweck des Lebens ist,</w:t>
      </w:r>
      <w:r w:rsidRPr="00525700">
        <w:rPr>
          <w:rFonts w:ascii="Garamond" w:hAnsi="Garamond"/>
          <w:sz w:val="22"/>
          <w:szCs w:val="22"/>
          <w:vertAlign w:val="superscript"/>
          <w:lang w:val="en-US"/>
        </w:rPr>
        <w:t>9)</w:t>
      </w:r>
      <w:r w:rsidRPr="00525700">
        <w:rPr>
          <w:rFonts w:ascii="Garamond" w:hAnsi="Garamond"/>
          <w:sz w:val="22"/>
          <w:szCs w:val="22"/>
          <w:lang w:val="en-US"/>
        </w:rPr>
        <w:t xml:space="preserve"> der Sexualtrieb aber die Verkörperung des Willens zum Leben.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Versuchen wir kühn, einen Schritt weiterzugehen. Nach allgemeiner Einsicht ist die Vereinigung zahlreicher Zellen zu einem Lebensverband, die Vielzelligkeit der Organismen, ein Mittel zur Verlängerung ihrer Lebensdauer geworden. Eine Zelle hilft dazu, das Leben der anderen zu erhalten, und der Zellenstaat kann weiterleben, auch wenn einzelne Zellen absterben müssen. Wir haben bereits gehört, daß auch die Kopulation, die zeitweilige Ver</w:t>
      </w:r>
      <w:r w:rsidRPr="00525700">
        <w:rPr>
          <w:rFonts w:ascii="Garamond" w:hAnsi="Garamond"/>
          <w:sz w:val="22"/>
          <w:szCs w:val="22"/>
          <w:lang w:val="en-US"/>
        </w:rPr>
        <w:softHyphen/>
        <w:t>schmelzung zweier Einzelliger, lebenserhaltend und verjüngend auf beide wirkt. Somit könnte man den Versuch machen, die in der Psychoanalyse gewonnene Libidotheorie auf das Verhältnis der Zellen zueinander zu übertragen und sich vorzustellen, daß es die in jeder Zelle tätigen Lebens- oder Sexualtriebe sind, welche die anderen Zellen zum Objekt nehmen, deren Todestriebe, das ist die von diesen angeregten Prozesse, teilweise neutralisieren und sie so am Leben erhalten, während andere Zellen dasselbe für sie besorgen und noch andere in der Ausübung dieser libidinösen Funktion sich selbst aufopfern. Die Keimzellen selbst würden sich absolut »narzißtisch« benehmen, wie wir es in der Neurosenlehre zu bezeichnen gewohnt sind, wenn ein ganzes Individuum seine Libido im Ich behält und nichts von ihr für Objektbesetzungen verausgabt. Die Keimzellen brauchen ihre Libido, die Tätigkeit ihrer Lebenstriebe, für sich selbst als Vorrat für ihre spätere, großartig aufbauende Tätigkeit. Vielleicht darf man auch die Zellen der bösartigen Neugebilde, die den Organismus zerstören, für narzißtisch in demselben Sinne erklären. Die Pathologie ist ja bereit, ihre Keime für mitgeboren zu halten und ihnen embryonale Eigenschaften zuzu</w:t>
      </w:r>
      <w:r w:rsidRPr="00525700">
        <w:rPr>
          <w:rFonts w:ascii="Garamond" w:hAnsi="Garamond"/>
          <w:sz w:val="22"/>
          <w:szCs w:val="22"/>
          <w:lang w:val="en-US"/>
        </w:rPr>
        <w:softHyphen/>
        <w:t>gestehen. So würde also die Libido unserer Sexualtriebe mit dem Eros der Dichter und Philosophen zusammenfallen, der alles Lebende zusammenhält.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____________________</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1)</w:t>
      </w:r>
      <w:r w:rsidRPr="00525700">
        <w:rPr>
          <w:rFonts w:ascii="Garamond" w:hAnsi="Garamond"/>
          <w:sz w:val="22"/>
          <w:szCs w:val="22"/>
          <w:lang w:val="en-US"/>
        </w:rPr>
        <w:t xml:space="preserve"> Weismann (1884).</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2)</w:t>
      </w:r>
      <w:r w:rsidRPr="00525700">
        <w:rPr>
          <w:rFonts w:ascii="Garamond" w:hAnsi="Garamond"/>
          <w:sz w:val="22"/>
          <w:szCs w:val="22"/>
          <w:lang w:val="en-US"/>
        </w:rPr>
        <w:t xml:space="preserve"> Weismann (1882, 38).</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3)</w:t>
      </w:r>
      <w:r w:rsidRPr="00525700">
        <w:rPr>
          <w:rFonts w:ascii="Garamond" w:hAnsi="Garamond"/>
          <w:sz w:val="22"/>
          <w:szCs w:val="22"/>
          <w:lang w:val="en-US"/>
        </w:rPr>
        <w:t xml:space="preserve"> Weismann (1884, 84).</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4)</w:t>
      </w:r>
      <w:r w:rsidRPr="00525700">
        <w:rPr>
          <w:rFonts w:ascii="Garamond" w:hAnsi="Garamond"/>
          <w:sz w:val="22"/>
          <w:szCs w:val="22"/>
          <w:lang w:val="en-US"/>
        </w:rPr>
        <w:t xml:space="preserve"> Weismann (1882, 33).</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5)</w:t>
      </w:r>
      <w:r w:rsidRPr="00525700">
        <w:rPr>
          <w:rFonts w:ascii="Garamond" w:hAnsi="Garamond"/>
          <w:sz w:val="22"/>
          <w:szCs w:val="22"/>
          <w:lang w:val="en-US"/>
        </w:rPr>
        <w:t xml:space="preserve"> Weismann (1884, 84 f.).</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6)</w:t>
      </w:r>
      <w:r w:rsidRPr="00525700">
        <w:rPr>
          <w:rFonts w:ascii="Garamond" w:hAnsi="Garamond"/>
          <w:sz w:val="22"/>
          <w:szCs w:val="22"/>
          <w:lang w:val="en-US"/>
        </w:rPr>
        <w:t xml:space="preserve"> Vgl. Max Hartmann (1906), Alex. Lipschütz (1914), Franz Doflein (1919).</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7)</w:t>
      </w:r>
      <w:r w:rsidRPr="00525700">
        <w:rPr>
          <w:rFonts w:ascii="Garamond" w:hAnsi="Garamond"/>
          <w:sz w:val="22"/>
          <w:szCs w:val="22"/>
          <w:lang w:val="en-US"/>
        </w:rPr>
        <w:t xml:space="preserve"> Hartmann (1906, 29).</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8)</w:t>
      </w:r>
      <w:r w:rsidRPr="00525700">
        <w:rPr>
          <w:rFonts w:ascii="Garamond" w:hAnsi="Garamond"/>
          <w:sz w:val="22"/>
          <w:szCs w:val="22"/>
          <w:lang w:val="en-US"/>
        </w:rPr>
        <w:t xml:space="preserve"> Für dies und das Folgende vgl. Lipschütz (1914,26 und 52 ff.).</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9)</w:t>
      </w:r>
      <w:r w:rsidRPr="00525700">
        <w:rPr>
          <w:rFonts w:ascii="Garamond" w:hAnsi="Garamond"/>
          <w:sz w:val="22"/>
          <w:szCs w:val="22"/>
          <w:lang w:val="en-US"/>
        </w:rPr>
        <w:t xml:space="preserve"> ›Über die anscheinende Absichtlichkeit im Schicksale des Einzelnen‹, Großher</w:t>
      </w:r>
      <w:r w:rsidRPr="00525700">
        <w:rPr>
          <w:rFonts w:ascii="Garamond" w:hAnsi="Garamond"/>
          <w:sz w:val="22"/>
          <w:szCs w:val="22"/>
          <w:lang w:val="en-US"/>
        </w:rPr>
        <w:softHyphen/>
        <w:t>zog-Wilhelm-Ernst-Ausgabe, Bd. 4, S. 268.</w:t>
      </w:r>
    </w:p>
    <w:p w:rsidR="00525700" w:rsidRPr="00525700" w:rsidRDefault="00525700" w:rsidP="00130855">
      <w:pPr>
        <w:pStyle w:val="Titre3"/>
        <w:rPr>
          <w:rFonts w:ascii="Garamond" w:hAnsi="Garamond"/>
          <w:lang w:val="en-US"/>
        </w:rPr>
      </w:pPr>
      <w:r w:rsidRPr="00525700">
        <w:rPr>
          <w:rFonts w:ascii="Garamond" w:hAnsi="Garamond"/>
          <w:lang w:val="en-US"/>
        </w:rPr>
        <w:t>[VI. Biologische Argumente für die Annahme der Todestriebe: Erneute Revision der Trieblehre. Lebens- und Todestriebe]</w:t>
      </w:r>
    </w:p>
    <w:p w:rsidR="00525700" w:rsidRPr="00525700" w:rsidRDefault="00525700" w:rsidP="00130855">
      <w:pPr>
        <w:rPr>
          <w:rFonts w:ascii="Garamond" w:hAnsi="Garamond"/>
          <w:lang w:val="en-US"/>
        </w:rPr>
      </w:pP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An dieser Stelle finden wir den Anlaß, die langsame Entwicklung unserer Libidotheorie zu überschauen. Die Analyse der Übertragungsneurosen zwang uns zunächst den Gegensatz zwischen »Sexualtrieben«, die auf das Objekt gerichtet sind, und anderen Trieben auf, die wir nur sehr ungenügend erkannten und vorläufig als »Ichtriebe« bezeichneten. Unter ihnen mußten Triebe, die der Selbsterhaltung des </w:t>
      </w:r>
      <w:r w:rsidRPr="00525700">
        <w:rPr>
          <w:rFonts w:ascii="Garamond" w:hAnsi="Garamond"/>
          <w:sz w:val="22"/>
          <w:szCs w:val="22"/>
          <w:lang w:val="en-US"/>
        </w:rPr>
        <w:lastRenderedPageBreak/>
        <w:t>Individuums dienen, in erster Linie anerkannt werden. Was für andere Unterscheidungen da zu machen waren, konnte man nicht wissen. Keine Kenntnis wäre für die Begründung einer richtigen Psychologie so wichtig gewesen wie eine ungefähre Einsicht in die gemeinsame Natur und die etwaigen Besonderheiten der Triebe. Aber auf keinem Gebiete der Psychologie tappte man so sehr im dunkeln. Jedermann stellte so viele Triebe oder »Grundtriebe« auf, als ihm beliebte, und wirtschaftete mit ihnen, wie die alten griechischen Naturphilosophen mit ihren vier Elementen: dem Wasser, der Erde, dem Feuer und der Luft. Die Psychoanalyse, die irgendeiner Annahme über die Triebe nicht entraten konnte, hielt sich vorerst an die populäre Triebunterscheidung, für die das Wort von »Hunger und Liebe« vorbildlich ist. Es war wenigstens kein neuer Willkürakt. Damit reichte man in der Analyse der Psychoneurosen ein ganzes Stück weit aus. Der Begriff der »Sexualität« — und damit der eines Sexual</w:t>
      </w:r>
      <w:r w:rsidRPr="00525700">
        <w:rPr>
          <w:rFonts w:ascii="Garamond" w:hAnsi="Garamond"/>
          <w:sz w:val="22"/>
          <w:szCs w:val="22"/>
          <w:lang w:val="en-US"/>
        </w:rPr>
        <w:softHyphen/>
        <w:t>triebes — mußte freilich erweitert werden, bis er vieles einschloß, was sich nicht der Fortpflanzungsfunktion einordnete, und darüber gab es Lärm genug in der strengen, vornehmen oder bloß heuchlerischen Welt.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Der nächste Schritt erfolgte, als sich die Psychoanalyse näher an das psychologische Ich herantasten konnte, das ihr zunächst nur als verdrän</w:t>
      </w:r>
      <w:r w:rsidRPr="00525700">
        <w:rPr>
          <w:rFonts w:ascii="Garamond" w:hAnsi="Garamond"/>
          <w:sz w:val="22"/>
          <w:szCs w:val="22"/>
          <w:lang w:val="en-US"/>
        </w:rPr>
        <w:softHyphen/>
        <w:t>gende, zensurierende und zu Schutzbauten, Reaktionsbildungen befähigte Instanz bekannt geworden war. Kritische und andere weitblickende Geister hatten zwar längst gegen die Einschränkung des Libidobegriffes auf die Energie der dem Objekt zugewendeten Sexualtriebe Einspruch erhoben. Aber sie versäumten es mitzuteilen, woher ihnen die bessere Einsicht gekom</w:t>
      </w:r>
      <w:r w:rsidRPr="00525700">
        <w:rPr>
          <w:rFonts w:ascii="Garamond" w:hAnsi="Garamond"/>
          <w:sz w:val="22"/>
          <w:szCs w:val="22"/>
          <w:lang w:val="en-US"/>
        </w:rPr>
        <w:softHyphen/>
        <w:t>men war, und verstanden nicht, etwas für die Analyse Brauchbares aus ihr abzuleiten. In bedächtigerem Fortschreiten fiel es nun der psychoanalyti</w:t>
      </w:r>
      <w:r w:rsidRPr="00525700">
        <w:rPr>
          <w:rFonts w:ascii="Garamond" w:hAnsi="Garamond"/>
          <w:sz w:val="22"/>
          <w:szCs w:val="22"/>
          <w:lang w:val="en-US"/>
        </w:rPr>
        <w:softHyphen/>
        <w:t>schen Beobachtung auf, wie regelmäßig Libido vom Objekt abgezogen und aufs Ich gerichtet wird (Introversion), und indem sie die Libidoentwicklung des Kindes in ihren frühesten Phasen studierte, kam sie zur Einsicht, daß das Ich das eigentliche und ursprüngliche Reservoir der Libido sei, die erst von da aus auf das Objekt erstreckt werde. Das Ich trat unter die Sexualobjekte und wurde gleich als das vornehmste unter ihnen erkannt. Wenn die Libido so im Ich verweilte, wurde sie narzißtisch genannt.</w:t>
      </w:r>
      <w:r w:rsidRPr="00525700">
        <w:rPr>
          <w:rFonts w:ascii="Garamond" w:hAnsi="Garamond"/>
          <w:sz w:val="22"/>
          <w:szCs w:val="22"/>
          <w:vertAlign w:val="superscript"/>
          <w:lang w:val="en-US"/>
        </w:rPr>
        <w:t>10)</w:t>
      </w:r>
      <w:r w:rsidRPr="00525700">
        <w:rPr>
          <w:rFonts w:ascii="Garamond" w:hAnsi="Garamond"/>
          <w:sz w:val="22"/>
          <w:szCs w:val="22"/>
          <w:lang w:val="en-US"/>
        </w:rPr>
        <w:t xml:space="preserve"> Diese narzißtische Libido war natürlich auch die Kraftäußerung von Sexualtrieben im analytischen Sinne, die man mit den von Anfang an zugestandenen »Selbsterhaltungstrieben« iden</w:t>
      </w:r>
      <w:r w:rsidRPr="00525700">
        <w:rPr>
          <w:rFonts w:ascii="Garamond" w:hAnsi="Garamond"/>
          <w:sz w:val="22"/>
          <w:szCs w:val="22"/>
          <w:lang w:val="en-US"/>
        </w:rPr>
        <w:softHyphen/>
        <w:t>tifizieren mußte. Somit war der ursprüngliche Gegensatz von Ichtrieben und Sexualtrieben unzureichend geworden. Ein Teil der Ichtriebe war als libidinös erkannt; im Ich waren — neben anderen wahrscheinlich — auch Sexualtriebe wirksam, doch ist man berechtigt zu sagen, daß die alte Formel, die Psycho</w:t>
      </w:r>
      <w:r w:rsidRPr="00525700">
        <w:rPr>
          <w:rFonts w:ascii="Garamond" w:hAnsi="Garamond"/>
          <w:sz w:val="22"/>
          <w:szCs w:val="22"/>
          <w:lang w:val="en-US"/>
        </w:rPr>
        <w:softHyphen/>
        <w:t>neurose beruhe auf einem Konflikt zwischen den Ichtrieben und den Sexualtrieben, nichts enthielt, was heute zu verwerfen wäre. Der Unter</w:t>
      </w:r>
      <w:r w:rsidRPr="00525700">
        <w:rPr>
          <w:rFonts w:ascii="Garamond" w:hAnsi="Garamond"/>
          <w:sz w:val="22"/>
          <w:szCs w:val="22"/>
          <w:lang w:val="en-US"/>
        </w:rPr>
        <w:softHyphen/>
        <w:t xml:space="preserve">schied der beiden Triebarten, der ursprünglich irgendwie qualitativ gemeint war, ist jetzt nur anders, nämlich </w:t>
      </w:r>
      <w:r w:rsidRPr="00525700">
        <w:rPr>
          <w:rFonts w:ascii="Garamond" w:hAnsi="Garamond"/>
          <w:i/>
          <w:iCs/>
          <w:sz w:val="22"/>
          <w:szCs w:val="22"/>
          <w:lang w:val="en-US"/>
        </w:rPr>
        <w:t>topisch</w:t>
      </w:r>
      <w:r w:rsidRPr="00525700">
        <w:rPr>
          <w:rFonts w:ascii="Garamond" w:hAnsi="Garamond"/>
          <w:sz w:val="22"/>
          <w:szCs w:val="22"/>
          <w:lang w:val="en-US"/>
        </w:rPr>
        <w:t xml:space="preserve"> zu bestimmen. Insbesondere die Übertragungsneurose, das eigentliche Studienobjekt der Psychoanalyse, bleibt das Ergebnis eines Konflikts zwischen dem Ich und der libidinösen Objektbesetzung.</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Um so mehr müssen wir den libidinösen Charakter der Selbsterhaltungs</w:t>
      </w:r>
      <w:r w:rsidRPr="00525700">
        <w:rPr>
          <w:rFonts w:ascii="Garamond" w:hAnsi="Garamond"/>
          <w:sz w:val="22"/>
          <w:szCs w:val="22"/>
          <w:lang w:val="en-US"/>
        </w:rPr>
        <w:softHyphen/>
        <w:t xml:space="preserve">triebe jetzt betonen, da wir den weiteren Schritt wagen, den Sexualtrieb als den alles erhaltenden Eros zu erkennen, und die narzißtische Libido des Ichs aus den Libidobeiträgen ableiten, mit denen die Somazellen aneinanderhaf ten. Nun aber finden wir uns plötzlich folgender Frage gegenüber: Wenn auch die Selbsterhaltungstriebe libidinöser Natur sind, dann haben wir vielleicht überhaupt keine anderen Triebe als libidinöse. Es sind wenigstens keine anderen zu sehen. Dann muß man aber doch den Kritikern recht geben, die von Anfang an geahnt haben, die Psychoanalyse erkläre </w:t>
      </w:r>
      <w:r w:rsidRPr="00525700">
        <w:rPr>
          <w:rFonts w:ascii="Garamond" w:hAnsi="Garamond"/>
          <w:i/>
          <w:iCs/>
          <w:sz w:val="22"/>
          <w:szCs w:val="22"/>
          <w:lang w:val="en-US"/>
        </w:rPr>
        <w:t>alles</w:t>
      </w:r>
      <w:r w:rsidRPr="00525700">
        <w:rPr>
          <w:rFonts w:ascii="Garamond" w:hAnsi="Garamond"/>
          <w:sz w:val="22"/>
          <w:szCs w:val="22"/>
          <w:lang w:val="en-US"/>
        </w:rPr>
        <w:t xml:space="preserve"> aus der Sexualität, oder den Neuerern wie Jung, die, kurz entschlossen, Libido für »Triebkraft« überhaupt gebraucht haben. Ist dem nicht so?</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In unserer Absicht läge dies Resultat allerdings nicht. Wir sind ja vielmehr von einer scharfen Scheidung zwischen Ichtrieben = Todestrieben und Sexualtrieben = Lebenstrieben ausgegangen. Wir waren ja bereit, auch die angeblichen Selbsterhaltungstriebe des Ichs zu den Todestrieben zu rech</w:t>
      </w:r>
      <w:r w:rsidRPr="00525700">
        <w:rPr>
          <w:rFonts w:ascii="Garamond" w:hAnsi="Garamond"/>
          <w:sz w:val="22"/>
          <w:szCs w:val="22"/>
          <w:lang w:val="en-US"/>
        </w:rPr>
        <w:softHyphen/>
        <w:t xml:space="preserve">nen, was wir seither berichtigend zurückgezogen haben. Unsere Auffassung war von Anfang eine </w:t>
      </w:r>
      <w:r w:rsidRPr="00525700">
        <w:rPr>
          <w:rFonts w:ascii="Garamond" w:hAnsi="Garamond"/>
          <w:i/>
          <w:iCs/>
          <w:sz w:val="22"/>
          <w:szCs w:val="22"/>
          <w:lang w:val="en-US"/>
        </w:rPr>
        <w:t>dualistische,</w:t>
      </w:r>
      <w:r w:rsidRPr="00525700">
        <w:rPr>
          <w:rFonts w:ascii="Garamond" w:hAnsi="Garamond"/>
          <w:sz w:val="22"/>
          <w:szCs w:val="22"/>
          <w:lang w:val="en-US"/>
        </w:rPr>
        <w:t xml:space="preserve"> und sie ist es heute schärfer denn zuvor, seitdem wir die Gegensätze nicht mehr Ich- und Sexualtriebe, sondern Lebens- und Todestriebe benennen. Jungs Libidotheorie ist dagegen eine </w:t>
      </w:r>
      <w:r w:rsidRPr="00525700">
        <w:rPr>
          <w:rFonts w:ascii="Garamond" w:hAnsi="Garamond"/>
          <w:i/>
          <w:iCs/>
          <w:sz w:val="22"/>
          <w:szCs w:val="22"/>
          <w:lang w:val="en-US"/>
        </w:rPr>
        <w:t>monistische;</w:t>
      </w:r>
      <w:r w:rsidRPr="00525700">
        <w:rPr>
          <w:rFonts w:ascii="Garamond" w:hAnsi="Garamond"/>
          <w:sz w:val="22"/>
          <w:szCs w:val="22"/>
          <w:lang w:val="en-US"/>
        </w:rPr>
        <w:t xml:space="preserve"> daß er seine einzige Triebkraft Libido geheißen hat, mußte Verwirrung stiften, soll uns aber weiter nicht beeinflussen. Wir vermuten, daß im Ich noch andere als die libidinösen Selbsterhaltungstriebe tätig sind; wir sollten nur imstande sein, sie aufzuzeigen. Es ist zu bedauern, daß die Analyse des Ichs so wenig fortgeschritten ist, daß dieser Nachweis uns recht schwer wird. Die libidinösen Triebe des Ichs mögen allerdings in besonderer Weise mit den anderen, uns noch fremden Ichtrieben verknüpft sein. Noch ehe wir den Narzißmus klar erkannt hatten, bestand bereits in der Psychoanalyse die Vermutung, daß die »Ichtriebe« libidinöse Komponenten </w:t>
      </w:r>
      <w:r w:rsidRPr="00525700">
        <w:rPr>
          <w:rFonts w:ascii="Garamond" w:hAnsi="Garamond"/>
          <w:sz w:val="22"/>
          <w:szCs w:val="22"/>
          <w:lang w:val="en-US"/>
        </w:rPr>
        <w:lastRenderedPageBreak/>
        <w:t>an sich gezogen haben. Aber das sind recht unsichere Möglichkeiten, denen die Gegner kaum Rechnung tragen werden. Es bleibt mißlich, daß uns die Analyse bisher immer nur in den Stand gesetzt hat, libidinöse Triebe nachzuweisen. Den Schluß, daß es andere nicht gibt, möchten wir darum doch nicht mitmachen.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Bei dem gegenwärtigen Dunkel der Trieblehre tun wir wohl nicht gut, irgendeinen Einfall, der uns Aufklärung verspricht, zurückzuweisen. Wir sind von der großen Gegensätzlichkeit von Lebens- und Todestrieben ausge</w:t>
      </w:r>
      <w:r w:rsidRPr="00525700">
        <w:rPr>
          <w:rFonts w:ascii="Garamond" w:hAnsi="Garamond"/>
          <w:sz w:val="22"/>
          <w:szCs w:val="22"/>
          <w:lang w:val="en-US"/>
        </w:rPr>
        <w:softHyphen/>
        <w:t>gangen. Die Objektliebe selbst zeigt uns eine zweite solche Polarität, die von Liebe (Zärtlichkeit) und Haß (Aggression). Wenn es uns gelänge, diese bei</w:t>
      </w:r>
      <w:r w:rsidRPr="00525700">
        <w:rPr>
          <w:rFonts w:ascii="Garamond" w:hAnsi="Garamond"/>
          <w:sz w:val="22"/>
          <w:szCs w:val="22"/>
          <w:lang w:val="en-US"/>
        </w:rPr>
        <w:softHyphen/>
        <w:t>den Polaritäten in Beziehung zueinander zu bringen, die eine auf die andere zurückzuführen! Wir haben von jeher eine sadistische Komponente des Sexualtriebes anerkannt;</w:t>
      </w:r>
      <w:r w:rsidRPr="00525700">
        <w:rPr>
          <w:rFonts w:ascii="Garamond" w:hAnsi="Garamond"/>
          <w:sz w:val="22"/>
          <w:szCs w:val="22"/>
          <w:vertAlign w:val="superscript"/>
          <w:lang w:val="en-US"/>
        </w:rPr>
        <w:t>11)</w:t>
      </w:r>
      <w:r w:rsidRPr="00525700">
        <w:rPr>
          <w:rFonts w:ascii="Garamond" w:hAnsi="Garamond"/>
          <w:sz w:val="22"/>
          <w:szCs w:val="22"/>
          <w:lang w:val="en-US"/>
        </w:rPr>
        <w:t xml:space="preserve"> sie kann sich, wie wir wissen, selbständig machen und als Perversion das gesamte Sexualstreben der Person beherrschen. Sie tritt auch in einer der von mir so genannten »prägenitalen Organisationen« als dominierender Partialtrieb hervor. Wie soll man aber den sadistischen Trieb, der auf die Schädigung des Objekts zielt, vom lebenserhaltenden Eros ableiten können? Liegt da nicht die Annahme nahe, daß dieser Sadismus eigentlich ein Todestrieb ist, der durch den Einfluß der narzißtischen Libido vom Ich abgedrängt wurde, so daß er erst am Objekt zum Vorschein kommt? Er tritt dann in den Dienst der Sexualfunktion; im oralen Organisationsstadium der Libido fällt die Liebesbemächtigung noch mit der Vernichtung des Objekts zusammen, später trennt sich der sadistische Trieb ab, und endlich übernimmt er auf der Stufe des Genitalprimats zum Zwecke der Fortpflanzung die Funktion, das Sexualobjekt so weit zu bewältigen, als es die Ausführung des Geschlechtsaktes erfordert. Ja, man könnte sagen, der aus dem Ich herausgedrängte Sadismus habe den libidinösen Komponenten des Sexualtriebs den Weg gezeigt; späterhin drängen diese zum Objekt nach. Wo der ursprüngliche Sadismus keine Ermäßigung und Verschmelzung erfährt, ist die bekannte Liebe-Haß-Ambivalenz des Liebeslebens hergestellt.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Wenn es erlaubt ist, eine solche Annahme zu machen, so wäre die For</w:t>
      </w:r>
      <w:r w:rsidRPr="00525700">
        <w:rPr>
          <w:rFonts w:ascii="Garamond" w:hAnsi="Garamond"/>
          <w:sz w:val="22"/>
          <w:szCs w:val="22"/>
          <w:lang w:val="en-US"/>
        </w:rPr>
        <w:softHyphen/>
        <w:t>derung erfüllt, ein Beispiel eines — allerdings verschobenen — Todestriebes aufzuzeigen. Nur daß diese Auffassung von jeder Anschaulichkeit weit ent</w:t>
      </w:r>
      <w:r w:rsidRPr="00525700">
        <w:rPr>
          <w:rFonts w:ascii="Garamond" w:hAnsi="Garamond"/>
          <w:sz w:val="22"/>
          <w:szCs w:val="22"/>
          <w:lang w:val="en-US"/>
        </w:rPr>
        <w:softHyphen/>
        <w:t>fernt ist und einen geradezu mystischen Eindruck macht. Wir kommen in den Verdacht, um jeden Preis eine Auskunft aus einer großen Verlegenheit gesucht zu haben. Dann dürfen wir uns darauf berufen, daß eine solche Annahme nicht neu ist, daß wir sie bereits früher einmal gemacht haben, als von einer Verlegenheit noch keine Rede war. Klinische Beobachtungen haben uns seinerzeit zur Auffassung genötigt, daß der dem Sadismus komple</w:t>
      </w:r>
      <w:r w:rsidRPr="00525700">
        <w:rPr>
          <w:rFonts w:ascii="Garamond" w:hAnsi="Garamond"/>
          <w:sz w:val="22"/>
          <w:szCs w:val="22"/>
          <w:lang w:val="en-US"/>
        </w:rPr>
        <w:softHyphen/>
        <w:t>mentäre Partialtrieb des Masochismus als eine Rückwendung des Sadismus gegen das eigene Ich zu verstehen sei.</w:t>
      </w:r>
      <w:r w:rsidRPr="00525700">
        <w:rPr>
          <w:rFonts w:ascii="Garamond" w:hAnsi="Garamond"/>
          <w:sz w:val="22"/>
          <w:szCs w:val="22"/>
          <w:vertAlign w:val="superscript"/>
          <w:lang w:val="en-US"/>
        </w:rPr>
        <w:t>12)</w:t>
      </w:r>
      <w:r w:rsidRPr="00525700">
        <w:rPr>
          <w:rFonts w:ascii="Garamond" w:hAnsi="Garamond"/>
          <w:sz w:val="22"/>
          <w:szCs w:val="22"/>
          <w:lang w:val="en-US"/>
        </w:rPr>
        <w:t xml:space="preserve"> Eine Wendung des Triebes vom Objekt zum Ich ist aber prinzipiell nichts anderes als die Wendung vom Ich zum Objekt, die hier als neu in Frage steht. Der Masochismus, die Wendung des Triebes gegen das eigene Ich, wäre dann in Wirklichkeit eine Rückkehr zu einer früheren Phase desselben, eine Regression. In einem Punkte bedürfte die damals vom Masochismus gegebene Darstellung einer Berichtigung als allzu ausschließlich; der Masochismus könnte auch, was ich dort bestreiten wollte, ein primärer sein.</w:t>
      </w:r>
      <w:r w:rsidRPr="00525700">
        <w:rPr>
          <w:rFonts w:ascii="Garamond" w:hAnsi="Garamond"/>
          <w:sz w:val="22"/>
          <w:szCs w:val="22"/>
          <w:vertAlign w:val="superscript"/>
          <w:lang w:val="en-US"/>
        </w:rPr>
        <w:t>13)</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Aber kehren wir zu den lebenserhaltenden Sexualtrieben zurück. Schon aus der Protistenforschung haben wir erfahren, daß die Verschmelzung zweier Individuen ohne nachfolgende Teilung, die Kopulation, auf beide Individuen, die sich dann bald voneinander lösen, stärkend und verjüngend wirkt. (S. oben, Lipschütz.) Sie zeigen in weiteren Generationen keine Degenerationserscheinungen und scheinen befähigt, den Schädlichkeiten ihres eigenen Stoffwechsels länger zu widerstehen. Ich meine, daß diese eine Beobachtung als vorbildlich für den Effekt auch der geschlechtlichen Vereinigung genommen werden darf. Aber auf welche Weise bringt die Verschmelzung zweier wenig verschiedener Zellen eine solche Erneuerung des Lebens zustande? Der Versuch, der die Kopulation bei den Protozoen durch die Einwirkung chemischer, ja selbst mechanischer Reize </w:t>
      </w:r>
      <w:r w:rsidRPr="00525700">
        <w:rPr>
          <w:rFonts w:ascii="Garamond" w:hAnsi="Garamond"/>
          <w:sz w:val="22"/>
          <w:szCs w:val="22"/>
          <w:vertAlign w:val="superscript"/>
          <w:lang w:val="en-US"/>
        </w:rPr>
        <w:t>14)</w:t>
      </w:r>
      <w:r w:rsidRPr="00525700">
        <w:rPr>
          <w:rFonts w:ascii="Garamond" w:hAnsi="Garamond"/>
          <w:sz w:val="22"/>
          <w:szCs w:val="22"/>
          <w:lang w:val="en-US"/>
        </w:rPr>
        <w:t xml:space="preserve"> ersetzt, gestattet wohl eine sichere Antwort zu geben: Es geschieht durch die Zufuhr neuer Reizgrößen. Das stimmt nun aber gut zur Annahme, daß der Lebens</w:t>
      </w:r>
      <w:r w:rsidRPr="00525700">
        <w:rPr>
          <w:rFonts w:ascii="Garamond" w:hAnsi="Garamond"/>
          <w:sz w:val="22"/>
          <w:szCs w:val="22"/>
          <w:lang w:val="en-US"/>
        </w:rPr>
        <w:softHyphen/>
        <w:t xml:space="preserve">prozeß des Individuums aus inneren Gründen zur Abgleichung chemischer Spannungen, das heißt zum Tode führt, während die Vereinigung mit einer individuell verschiedenen lebenden Substanz diese Spannungen vergrößert, sozusagen neue </w:t>
      </w:r>
      <w:r w:rsidRPr="00525700">
        <w:rPr>
          <w:rFonts w:ascii="Garamond" w:hAnsi="Garamond"/>
          <w:i/>
          <w:iCs/>
          <w:sz w:val="22"/>
          <w:szCs w:val="22"/>
          <w:lang w:val="en-US"/>
        </w:rPr>
        <w:t>Vitaldifferenzen</w:t>
      </w:r>
      <w:r w:rsidRPr="00525700">
        <w:rPr>
          <w:rFonts w:ascii="Garamond" w:hAnsi="Garamond"/>
          <w:sz w:val="22"/>
          <w:szCs w:val="22"/>
          <w:lang w:val="en-US"/>
        </w:rPr>
        <w:t xml:space="preserve"> einführt, die dann </w:t>
      </w:r>
      <w:r w:rsidRPr="00525700">
        <w:rPr>
          <w:rFonts w:ascii="Garamond" w:hAnsi="Garamond"/>
          <w:i/>
          <w:iCs/>
          <w:sz w:val="22"/>
          <w:szCs w:val="22"/>
          <w:lang w:val="en-US"/>
        </w:rPr>
        <w:t>abgelebt</w:t>
      </w:r>
      <w:r w:rsidRPr="00525700">
        <w:rPr>
          <w:rFonts w:ascii="Garamond" w:hAnsi="Garamond"/>
          <w:sz w:val="22"/>
          <w:szCs w:val="22"/>
          <w:lang w:val="en-US"/>
        </w:rPr>
        <w:t xml:space="preserve"> werden müssen. Für diese Verschiedenheit muß es natürlich ein oder mehrere Optima geben. Daß wir als die herrschende Tendenz des Seelenlebens, vielleicht des Ner</w:t>
      </w:r>
      <w:r w:rsidRPr="00525700">
        <w:rPr>
          <w:rFonts w:ascii="Garamond" w:hAnsi="Garamond"/>
          <w:sz w:val="22"/>
          <w:szCs w:val="22"/>
          <w:lang w:val="en-US"/>
        </w:rPr>
        <w:softHyphen/>
        <w:t xml:space="preserve">venlebens überhaupt, das Streben nach Herabsetzung, Konstanterhaltung, Aufhebung der inneren Reizspannung erkannten (das </w:t>
      </w:r>
      <w:r w:rsidRPr="00525700">
        <w:rPr>
          <w:rFonts w:ascii="Garamond" w:hAnsi="Garamond"/>
          <w:i/>
          <w:iCs/>
          <w:sz w:val="22"/>
          <w:szCs w:val="22"/>
          <w:lang w:val="en-US"/>
        </w:rPr>
        <w:t>Nirwanaprinzip</w:t>
      </w:r>
      <w:r w:rsidRPr="00525700">
        <w:rPr>
          <w:rFonts w:ascii="Garamond" w:hAnsi="Garamond"/>
          <w:sz w:val="22"/>
          <w:szCs w:val="22"/>
          <w:lang w:val="en-US"/>
        </w:rPr>
        <w:t xml:space="preserve"> nach einem </w:t>
      </w:r>
      <w:r w:rsidRPr="00525700">
        <w:rPr>
          <w:rFonts w:ascii="Garamond" w:hAnsi="Garamond"/>
          <w:sz w:val="22"/>
          <w:szCs w:val="22"/>
          <w:lang w:val="en-US"/>
        </w:rPr>
        <w:lastRenderedPageBreak/>
        <w:t>Ausdruck von Barbara Low), wie es im Lustprinzip zum Ausdruck kommt, das ist ja eines unserer stärksten Motive, an die Existenz von Todestrieben zu glauben.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Als empfindliche Störung unseres Gedankenganges verspüren wir es aber noch immer, daß wir gerade für den Sexualtrieb jenen Charakter eines Wiederholungszwanges nicht nachweisen können, der uns zuerst zur Aufspürung der Todestriebe führte. Das Gebiet der embryonalen Entwicklungsvorgänge ist zwar überreich an solchen Wiederholungs</w:t>
      </w:r>
      <w:r w:rsidRPr="00525700">
        <w:rPr>
          <w:rFonts w:ascii="Garamond" w:hAnsi="Garamond"/>
          <w:sz w:val="22"/>
          <w:szCs w:val="22"/>
          <w:lang w:val="en-US"/>
        </w:rPr>
        <w:softHyphen/>
        <w:t>erscheinungen, die beiden Keimzellen der geschlechtlichen Fortpflanzung und ihre Lebensgeschichte sind selbst nur Wiederholungen der Anfänge des organischen Lebens; aber das Wesentliche an den vom Sexualtrieb intendierten Vorgängen ist doch die Verschmelzung zweier Zellleiber. Erst durch diese wird bei den höheren Lebewesen die Unsterblichkeit der lebenden Substanz gesichert.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Mit anderen Worten: wir sollen Auskunft schaffen über die Entstehung der geschlechtlichen Fortpflanzung und die Herkunft der Sexualtriebe überhaupt, eine Aufgabe, vor der ein Außenstehender zurückschrecken muß und die von den Spezialforschern selbst bisher noch nicht gelöst werden konnte. In knappster Zusammendrängung sei darum aus all den widerstreitenden Angaben und Meinungen hervorgehoben, was einen Anschluß an unseren Gedankengang zuläßt.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Die eine Auffassung benimmt dem Problem der Fortpflanzung seinen geheimnisvollen Reiz, indem sie die Fortpflanzung als eine Teilerscheinung des Wachstums darstellt (Vermehrung durch Teilung, Sprossung, Knospung). Die Entstehung der Fortpflanzung durch geschlechtlich differenzierte Keimzellen könnte man sich nach nüchterner Darwinscher Denkungsart so vorstellen, daß der Vorteil der Amphimixis, der sich dereinst bei der zufälligen Kopulation zweier Protisten ergab, in der ferneren Entwicklung festgehalten und weiter ausgenützt wurde.</w:t>
      </w:r>
      <w:r w:rsidRPr="00525700">
        <w:rPr>
          <w:rFonts w:ascii="Garamond" w:hAnsi="Garamond"/>
          <w:sz w:val="22"/>
          <w:szCs w:val="22"/>
          <w:vertAlign w:val="superscript"/>
          <w:lang w:val="en-US"/>
        </w:rPr>
        <w:t>15)</w:t>
      </w:r>
      <w:r w:rsidRPr="00525700">
        <w:rPr>
          <w:rFonts w:ascii="Garamond" w:hAnsi="Garamond"/>
          <w:sz w:val="22"/>
          <w:szCs w:val="22"/>
          <w:lang w:val="en-US"/>
        </w:rPr>
        <w:t xml:space="preserve"> Das »Geschlecht« wäre also nicht sehr alt, und die außerordentlich heftigen Triebe, welche die geschlechtliche Vereinigung herbeiführen wollen, wiederholten dabei etwas, was sich zufällig einmal ereignet und seither als vorteilhaft befestigt hat.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Es ist hier wiederum wie beim Tod die Frage, ob man bei den Protisten nichts anderes gelten lassen soll, als was sie zeigen, und ob man annehmen darf, daß Kräfte und Vorgänge, die erst bei höheren Lebewesen sichtbar werden, auch bei diesen zuerst entstanden sind. Für unsere Absichten leistet die erwähnte Auffassung der Sexualität sehr wenig. Man wird gegen sie einwenden dürfen, daß sie die Existenz von Lebenstrieben, die schon im einfachsten Lebewesen wirken, voraussetzt, denn sonst wäre ja die Kopulation, die dem Lebenslauf entgegenwirkt und die Aufgabe des Ablebens erschwert, nicht festgehalten und ausgearbeitet, sondern vermieden worden. Wenn man also die Annahme von Todestrieben nicht fahrenlassen will, muß man ihnen von allem Anfang an Lebenstriebe zugesellen. Aber man muß es zugestehen, wir arbeiten da an einer Gleichung mit zwei Unbekannten. Was wir sonst in der Wissenschaft über die Entstehung der Geschlechtlichkeit finden, ist so wenig, daß man dies Problem einem Dunkel vergleichen kann, in welches auch nicht der Lichtstrahl einer Hypothese gedrungen ist. An ganz anderer Stelle begegnen wir allerdings einer solchen Hypothese, die aber von so phantastischer Art ist — gewiß eher ein Mythus als eine wissenschaftliche Erklärung-, daß ich nicht wagen würde, sie hier anzuführen, wenn sie nicht gerade die eine Bedingung erfüllen würde, nach deren Erfüllung wir streben. Sie leitet nämlich einen Trieb ab </w:t>
      </w:r>
      <w:r w:rsidRPr="00525700">
        <w:rPr>
          <w:rFonts w:ascii="Garamond" w:hAnsi="Garamond"/>
          <w:i/>
          <w:iCs/>
          <w:sz w:val="22"/>
          <w:szCs w:val="22"/>
          <w:lang w:val="en-US"/>
        </w:rPr>
        <w:t>von dem Bedürfnis nach Wiederherstellung eines früheren Zustandes.</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Ich meine natürlich die Theorie, die Plato im </w:t>
      </w:r>
      <w:r w:rsidRPr="00525700">
        <w:rPr>
          <w:rFonts w:ascii="Garamond" w:hAnsi="Garamond"/>
          <w:i/>
          <w:iCs/>
          <w:sz w:val="22"/>
          <w:szCs w:val="22"/>
          <w:lang w:val="en-US"/>
        </w:rPr>
        <w:t>Symposion</w:t>
      </w:r>
      <w:r w:rsidRPr="00525700">
        <w:rPr>
          <w:rFonts w:ascii="Garamond" w:hAnsi="Garamond"/>
          <w:sz w:val="22"/>
          <w:szCs w:val="22"/>
          <w:lang w:val="en-US"/>
        </w:rPr>
        <w:t xml:space="preserve"> durch Aristophanes entwickeln läßt und die nicht nur die Herkunft des Geschlechtstriebes, son</w:t>
      </w:r>
      <w:r w:rsidRPr="00525700">
        <w:rPr>
          <w:rFonts w:ascii="Garamond" w:hAnsi="Garamond"/>
          <w:sz w:val="22"/>
          <w:szCs w:val="22"/>
          <w:lang w:val="en-US"/>
        </w:rPr>
        <w:softHyphen/>
        <w:t>dern auch seiner wichtigsten Variation in bezug auf das Objekt behandelt.</w:t>
      </w:r>
      <w:r w:rsidRPr="00525700">
        <w:rPr>
          <w:rFonts w:ascii="Garamond" w:hAnsi="Garamond"/>
          <w:sz w:val="22"/>
          <w:szCs w:val="22"/>
          <w:vertAlign w:val="superscript"/>
          <w:lang w:val="en-US"/>
        </w:rPr>
        <w:t>16)</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»Unser Leib war nämlich zuerst gar nicht ebenso gebildet wie jetzt; er war ganz anders. Erstens gab es drei Geschlechter, nicht bloß wie jetzt männlich und weiblich, sondern noch ein drittes, das die beiden vereinigte ... das Mannweibliche ...« Alles an diesen Menschen war aber doppelt, sie hatten also vier Hände und vier Füße, zwei Gesichter, doppelte Schamteile usw. Da ließ sich Zeus bewegen, jeden Menschen in zwei Teile zu teilen, »wie man die Quitten zum Einmachen durchschneidet ... Weil nun das ganze Wesen entzweigeschnitten war, trieb die Sehnsucht die beiden Hälften zusammen: sie umschlangen sich mit den Händen, verflochten sich ineinander </w:t>
      </w:r>
      <w:r w:rsidRPr="00525700">
        <w:rPr>
          <w:rFonts w:ascii="Garamond" w:hAnsi="Garamond"/>
          <w:i/>
          <w:iCs/>
          <w:sz w:val="22"/>
          <w:szCs w:val="22"/>
          <w:lang w:val="en-US"/>
        </w:rPr>
        <w:t>im Verlangen, zusammenzuwachsen</w:t>
      </w:r>
      <w:r w:rsidRPr="00525700">
        <w:rPr>
          <w:rFonts w:ascii="Garamond" w:hAnsi="Garamond"/>
          <w:sz w:val="22"/>
          <w:szCs w:val="22"/>
          <w:lang w:val="en-US"/>
        </w:rPr>
        <w:t xml:space="preserve"> ...«.</w:t>
      </w:r>
      <w:r w:rsidRPr="00525700">
        <w:rPr>
          <w:rFonts w:ascii="Garamond" w:hAnsi="Garamond"/>
          <w:sz w:val="22"/>
          <w:szCs w:val="22"/>
          <w:vertAlign w:val="superscript"/>
          <w:lang w:val="en-US"/>
        </w:rPr>
        <w:t>17)</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lastRenderedPageBreak/>
        <w:t>Sollen wir, dem Wink des Dichterphilosophen folgend, die Annahme wagen, daß die lebende Substanz bei ihrer Belebung in kleine Partikel zerrissen wurde, die seither durch die Sexualtriebe ihre Wiedervereinigung anstreben? Daß diese Triebe, in denen sich die chemische Affinität der unbelebten Materie fortsetzt, durch das Reich der Protisten hindurch allmählich die Schwierigkeiten überwinden, welche eine mit lebensgefähr</w:t>
      </w:r>
      <w:r w:rsidRPr="00525700">
        <w:rPr>
          <w:rFonts w:ascii="Garamond" w:hAnsi="Garamond"/>
          <w:sz w:val="22"/>
          <w:szCs w:val="22"/>
          <w:lang w:val="en-US"/>
        </w:rPr>
        <w:softHyphen/>
        <w:t>lichen Reizen geladene Umgebung diesem Streben entgegensetzt, die sie zur Bildung einer schützenden Rindenschicht nötigt? Daß diese zersprengten Teilchen lebender Substanz so die Vielzelligkeit erreichen und endlich den Keimzellen den Trieb zur Wiedervereinigung in höchster Konzentration übertragen? Ich glaube, es ist hier die Stelle, abzubrechen.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Doch nicht, ohne einige Worte kritischer Besinnung anzuschließen. Man könnte mich fragen, ob und inwieweit ich selbst von den hier entwickelten Annahmen überzeugt bin. Meine Antwort würde lauten, daß ich weder selbst überzeugt bin noch bei anderen um Glauben für sie werbe. Richtiger: ich weiß nicht, wie weit ich an sie glaube. Es scheint mir, daß das affektive Moment der Überzeugung hier gar nicht in Betracht zu kommen braucht. Man kann sich doch einem Gedankengang hingeben, ihn verfolgen, soweit er führt, nur aus wissenschaftlicher Neugierde oder, wenn man will, als </w:t>
      </w:r>
      <w:r w:rsidRPr="00525700">
        <w:rPr>
          <w:rFonts w:ascii="Garamond" w:hAnsi="Garamond"/>
          <w:i/>
          <w:iCs/>
          <w:sz w:val="22"/>
          <w:szCs w:val="22"/>
          <w:lang w:val="en-US"/>
        </w:rPr>
        <w:t>advocatus diaboli,</w:t>
      </w:r>
      <w:r w:rsidRPr="00525700">
        <w:rPr>
          <w:rFonts w:ascii="Garamond" w:hAnsi="Garamond"/>
          <w:sz w:val="22"/>
          <w:szCs w:val="22"/>
          <w:lang w:val="en-US"/>
        </w:rPr>
        <w:t xml:space="preserve"> der sich darum doch nicht dem Teufel selbst verschreibt. Ich verkenne nicht, daß der dritte Schritt in der Trieblehre, den ich hier unternehme, nicht dieselbe Sicherheit beanspruchen kann wie die beiden früheren, die Erweiterung des Begriffs der Sexualität und die Aufstellung des Narzißmus. Diese Neuerungen waren direkte Übersetzungen der Beobachtung in Theorie, mit nicht größeren Fehlerquellen behaftet, als in all solchen Fällen unvermeidlich ist. Die Behauptung des </w:t>
      </w:r>
      <w:r w:rsidRPr="00525700">
        <w:rPr>
          <w:rFonts w:ascii="Garamond" w:hAnsi="Garamond"/>
          <w:i/>
          <w:iCs/>
          <w:sz w:val="22"/>
          <w:szCs w:val="22"/>
          <w:lang w:val="en-US"/>
        </w:rPr>
        <w:t>regressiven</w:t>
      </w:r>
      <w:r w:rsidRPr="00525700">
        <w:rPr>
          <w:rFonts w:ascii="Garamond" w:hAnsi="Garamond"/>
          <w:sz w:val="22"/>
          <w:szCs w:val="22"/>
          <w:lang w:val="en-US"/>
        </w:rPr>
        <w:t xml:space="preserve"> Charakters der Triebe ruht allerdings auch auf beobachtetem Material, nämlich auf den Tatsachen des Wiederholungszwanges. Allein vielleicht habe ich deren Bedeutung über</w:t>
      </w:r>
      <w:r w:rsidRPr="00525700">
        <w:rPr>
          <w:rFonts w:ascii="Garamond" w:hAnsi="Garamond"/>
          <w:sz w:val="22"/>
          <w:szCs w:val="22"/>
          <w:lang w:val="en-US"/>
        </w:rPr>
        <w:softHyphen/>
        <w:t>schätzt. Die Durchführung dieser Idee ist jedenfalls nicht anders möglich, als daß man mehrmals nacheinander Tatsächliches mit bloß Erdachtem kombiniert und sich dabei weit von der Beobachtung entfernt. Man weiß, daß das Endergebnis um so unverläßlicher wird, je öfter man dies während des Aufbaues einer Theorie tut, aber der Grad der Unsicherheit ist nicht angebbar. Man kann dabei glücklich geraten haben oder schmählich in die Irre gegangen sein. Der sogenannten Intuition traue ich bei solchen Arbeiten wenig zu; was ich von ihr gesehen habe, schien mir eher der Erfolg einer gewissen Unparteilichkeit des Intellekts. Nur daß man leider selten unparteiisch ist, wo es sich um die letzten Dinge, die großen Probleme der Wissenschaft und des Lebens handelt. Ich glaube, ein jeder wird da von innerlich tief begründeten Vorlieben beherrscht, denen er mit seiner Spekulation unwissentlich in die Hände arbeitet. Bei so guten Gründen zum Mißtrauen bleibt wohl nichts anderes als ein kühles Wohlwollen für die Ergebnisse der eigenen Denkbemühung möglich. Ich beeile mich nur hinzuzufügen, daß solche Selbstkritik durchaus nicht zu besonderer Toleranz gegen abweichende Meinungen verpflichtet. Man darf unerbittlich Theorien abweisen, denen schon die ersten Schritte in der Analyse der Beobachtung widersprechen, und kann dabei doch wissen, daß die Richtigkeit derer, die man vertritt, doch nur eine vorläufige ist. In der Beurteilung unserer Spekulation über die Lebens- und Todestriebe würde es uns wenig stören, daß so viel befremdende und unanschauliche Vorgänge darin vorkommen, wie ein Trieb werde von anderen herausgedrängt oder er wende sich vom Ich zum Objekt und dergleichen. Dies rührt nur daher, daß wir genötigt sind, mit den wissenschaftlichen Termini, das heißt mit der eigenen Bildersprache der Psychologie (richtig: der Tiefenpsychologie) zu arbeiten. Sonst könnten wir die entsprechenden Vorgänge überhaupt nicht beschreiben, ja, würden sie gar nicht wahrgenommen haben. Die Mängel unserer Beschreibung würden wahrscheinlich verschwinden, wenn wir anstatt der psychologischen Termini schon die physiologischen oder chemischen einsetzen könnten. Diese gehören zwar auch nur einer Bildersprache an, aber einer uns seit längerer Zeit vertrauten und vielleicht auch einfacheren.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Hingegen wollen wir uns recht klarmachen, daß die Unsicherheit unserer Spekulation zu einem hohen Grade durch die Nötigung gesteigert wurde, Anleihen bei der biologischen Wissenschaft zu machen. Die Biologie ist wahr</w:t>
      </w:r>
      <w:r w:rsidRPr="00525700">
        <w:rPr>
          <w:rFonts w:ascii="Garamond" w:hAnsi="Garamond"/>
          <w:sz w:val="22"/>
          <w:szCs w:val="22"/>
          <w:lang w:val="en-US"/>
        </w:rPr>
        <w:softHyphen/>
        <w:t>lich ein Reich der unbegrenzten Möglichkeiten, wir haben die überraschend</w:t>
      </w:r>
      <w:r w:rsidRPr="00525700">
        <w:rPr>
          <w:rFonts w:ascii="Garamond" w:hAnsi="Garamond"/>
          <w:sz w:val="22"/>
          <w:szCs w:val="22"/>
          <w:lang w:val="en-US"/>
        </w:rPr>
        <w:softHyphen/>
        <w:t>sten Aufklärungen von ihr zu erwarten und können nicht erraten, welche Antworten sie auf die von uns an sie gestellten Fragen einige Jahrzehnte später geben würde. Vielleicht gerade solche, durch die unser ganzer künstlicher Bau von Hypothesen umgeblasen wird. Wenn dem so ist, könnte jemand fragen, wozu unternimmt man also solche Arbeiten wie die in diesem Abschnitt niedergelegte, und warum bringt man sie doch zur Mitteilung? Nun, ich kann nicht in Abrede stellen, daß einige der Analogien, Verknüpfungen und Zusammenhänge darin mir der Beachtung würdig erschienen sind.</w:t>
      </w:r>
      <w:r w:rsidRPr="00525700">
        <w:rPr>
          <w:rFonts w:ascii="Garamond" w:hAnsi="Garamond"/>
          <w:sz w:val="22"/>
          <w:szCs w:val="22"/>
          <w:vertAlign w:val="superscript"/>
          <w:lang w:val="en-US"/>
        </w:rPr>
        <w:t>18)</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lastRenderedPageBreak/>
        <w:t> </w:t>
      </w:r>
    </w:p>
    <w:p w:rsidR="00525700" w:rsidRPr="00525700" w:rsidRDefault="00525700" w:rsidP="00130855">
      <w:pPr>
        <w:pStyle w:val="NormalWeb"/>
        <w:rPr>
          <w:rFonts w:ascii="Garamond" w:hAnsi="Garamond"/>
          <w:sz w:val="22"/>
          <w:szCs w:val="22"/>
        </w:rPr>
      </w:pPr>
      <w:r w:rsidRPr="00525700">
        <w:rPr>
          <w:rFonts w:ascii="Garamond" w:hAnsi="Garamond"/>
          <w:sz w:val="22"/>
          <w:szCs w:val="22"/>
        </w:rPr>
        <w:t>____________________</w:t>
      </w:r>
    </w:p>
    <w:p w:rsidR="00525700" w:rsidRPr="00525700" w:rsidRDefault="00525700" w:rsidP="00130855">
      <w:pPr>
        <w:pStyle w:val="s"/>
        <w:rPr>
          <w:rFonts w:ascii="Garamond" w:hAnsi="Garamond"/>
          <w:sz w:val="22"/>
          <w:szCs w:val="22"/>
        </w:rPr>
      </w:pPr>
      <w:r w:rsidRPr="00525700">
        <w:rPr>
          <w:rFonts w:ascii="Garamond" w:hAnsi="Garamond"/>
          <w:sz w:val="22"/>
          <w:szCs w:val="22"/>
          <w:vertAlign w:val="superscript"/>
        </w:rPr>
        <w:t>10)</w:t>
      </w:r>
      <w:r w:rsidRPr="00525700">
        <w:rPr>
          <w:rFonts w:ascii="Garamond" w:hAnsi="Garamond"/>
          <w:sz w:val="22"/>
          <w:szCs w:val="22"/>
        </w:rPr>
        <w:t xml:space="preserve"> »Zur Einführung des Narzißmus« (1914 </w:t>
      </w:r>
      <w:r w:rsidRPr="00525700">
        <w:rPr>
          <w:rFonts w:ascii="Garamond" w:hAnsi="Garamond"/>
          <w:i/>
          <w:iCs/>
          <w:sz w:val="22"/>
          <w:szCs w:val="22"/>
        </w:rPr>
        <w:t>c</w:t>
      </w:r>
      <w:r w:rsidRPr="00525700">
        <w:rPr>
          <w:rFonts w:ascii="Garamond" w:hAnsi="Garamond"/>
          <w:sz w:val="22"/>
          <w:szCs w:val="22"/>
        </w:rPr>
        <w:t>).</w:t>
      </w:r>
    </w:p>
    <w:p w:rsidR="00525700" w:rsidRPr="00525700" w:rsidRDefault="00525700" w:rsidP="00130855">
      <w:pPr>
        <w:pStyle w:val="s"/>
        <w:rPr>
          <w:rFonts w:ascii="Garamond" w:hAnsi="Garamond"/>
          <w:sz w:val="22"/>
          <w:szCs w:val="22"/>
        </w:rPr>
      </w:pPr>
      <w:r w:rsidRPr="00525700">
        <w:rPr>
          <w:rFonts w:ascii="Garamond" w:hAnsi="Garamond"/>
          <w:sz w:val="22"/>
          <w:szCs w:val="22"/>
          <w:vertAlign w:val="superscript"/>
        </w:rPr>
        <w:t>11)</w:t>
      </w:r>
      <w:r w:rsidRPr="00525700">
        <w:rPr>
          <w:rFonts w:ascii="Garamond" w:hAnsi="Garamond"/>
          <w:sz w:val="22"/>
          <w:szCs w:val="22"/>
        </w:rPr>
        <w:t xml:space="preserve"> </w:t>
      </w:r>
      <w:r w:rsidRPr="00525700">
        <w:rPr>
          <w:rFonts w:ascii="Garamond" w:hAnsi="Garamond"/>
          <w:i/>
          <w:iCs/>
          <w:sz w:val="22"/>
          <w:szCs w:val="22"/>
        </w:rPr>
        <w:t>Drei Abhandlungen zur Sexualtheorie,</w:t>
      </w:r>
      <w:r w:rsidRPr="00525700">
        <w:rPr>
          <w:rFonts w:ascii="Garamond" w:hAnsi="Garamond"/>
          <w:sz w:val="22"/>
          <w:szCs w:val="22"/>
        </w:rPr>
        <w:t xml:space="preserve"> von der 1. Auflage, 1905, an.</w:t>
      </w:r>
    </w:p>
    <w:p w:rsidR="00525700" w:rsidRPr="00525700" w:rsidRDefault="00525700" w:rsidP="00130855">
      <w:pPr>
        <w:pStyle w:val="s"/>
        <w:rPr>
          <w:rFonts w:ascii="Garamond" w:hAnsi="Garamond"/>
          <w:sz w:val="22"/>
          <w:szCs w:val="22"/>
        </w:rPr>
      </w:pPr>
      <w:r w:rsidRPr="00525700">
        <w:rPr>
          <w:rFonts w:ascii="Garamond" w:hAnsi="Garamond"/>
          <w:sz w:val="22"/>
          <w:szCs w:val="22"/>
          <w:vertAlign w:val="superscript"/>
        </w:rPr>
        <w:t>12)</w:t>
      </w:r>
      <w:r w:rsidRPr="00525700">
        <w:rPr>
          <w:rFonts w:ascii="Garamond" w:hAnsi="Garamond"/>
          <w:sz w:val="22"/>
          <w:szCs w:val="22"/>
        </w:rPr>
        <w:t xml:space="preserve"> Vgl. </w:t>
      </w:r>
      <w:r w:rsidRPr="00525700">
        <w:rPr>
          <w:rFonts w:ascii="Garamond" w:hAnsi="Garamond"/>
          <w:i/>
          <w:iCs/>
          <w:sz w:val="22"/>
          <w:szCs w:val="22"/>
        </w:rPr>
        <w:t>Sexualtheorie</w:t>
      </w:r>
      <w:r w:rsidRPr="00525700">
        <w:rPr>
          <w:rFonts w:ascii="Garamond" w:hAnsi="Garamond"/>
          <w:sz w:val="22"/>
          <w:szCs w:val="22"/>
        </w:rPr>
        <w:t xml:space="preserve"> und ›Triebe und Triebschicksale‹ (1915 </w:t>
      </w:r>
      <w:r w:rsidRPr="00525700">
        <w:rPr>
          <w:rFonts w:ascii="Garamond" w:hAnsi="Garamond"/>
          <w:i/>
          <w:iCs/>
          <w:sz w:val="22"/>
          <w:szCs w:val="22"/>
        </w:rPr>
        <w:t>c</w:t>
      </w:r>
      <w:r w:rsidRPr="00525700">
        <w:rPr>
          <w:rFonts w:ascii="Garamond" w:hAnsi="Garamond"/>
          <w:sz w:val="22"/>
          <w:szCs w:val="22"/>
        </w:rPr>
        <w:t>).</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rPr>
        <w:t>13)</w:t>
      </w:r>
      <w:r w:rsidRPr="00525700">
        <w:rPr>
          <w:rFonts w:ascii="Garamond" w:hAnsi="Garamond"/>
          <w:sz w:val="22"/>
          <w:szCs w:val="22"/>
        </w:rPr>
        <w:t xml:space="preserve"> In einer inhalts- und gedankenreichen, für mich leider nicht ganz durchsichti</w:t>
      </w:r>
      <w:r w:rsidRPr="00525700">
        <w:rPr>
          <w:rFonts w:ascii="Garamond" w:hAnsi="Garamond"/>
          <w:sz w:val="22"/>
          <w:szCs w:val="22"/>
        </w:rPr>
        <w:softHyphen/>
        <w:t>gen Arbeit hat Sabina Spielrein ein ganzes Stück dieser Spekulation vorweggenom</w:t>
      </w:r>
      <w:r w:rsidRPr="00525700">
        <w:rPr>
          <w:rFonts w:ascii="Garamond" w:hAnsi="Garamond"/>
          <w:sz w:val="22"/>
          <w:szCs w:val="22"/>
        </w:rPr>
        <w:softHyphen/>
        <w:t xml:space="preserve">men. Sie bezeichnet die sadistische Komponente des Sexualtriebs als die »destruktive« (1912). </w:t>
      </w:r>
      <w:r w:rsidRPr="00525700">
        <w:rPr>
          <w:rFonts w:ascii="Garamond" w:hAnsi="Garamond"/>
          <w:sz w:val="22"/>
          <w:szCs w:val="22"/>
          <w:lang w:val="en-US"/>
        </w:rPr>
        <w:t xml:space="preserve">In noch anderer Weise suchte A. Stärcke (1914) den Libidobegriff selbst mit dem theoretisch zu supponierenden biologischen Begriff eines </w:t>
      </w:r>
      <w:r w:rsidRPr="00525700">
        <w:rPr>
          <w:rFonts w:ascii="Garamond" w:hAnsi="Garamond"/>
          <w:i/>
          <w:iCs/>
          <w:sz w:val="22"/>
          <w:szCs w:val="22"/>
          <w:lang w:val="en-US"/>
        </w:rPr>
        <w:t>Antriebes zum Tode</w:t>
      </w:r>
      <w:r w:rsidRPr="00525700">
        <w:rPr>
          <w:rFonts w:ascii="Garamond" w:hAnsi="Garamond"/>
          <w:sz w:val="22"/>
          <w:szCs w:val="22"/>
          <w:lang w:val="en-US"/>
        </w:rPr>
        <w:t xml:space="preserve"> zu identifizieren. (Vgl. auch Rank, 1907.) Alle diese Bemühungen zeugen, wie die im Texte, von dem Drang nach einer noch nicht erreichten Klärung in der Trieblehre.</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14)</w:t>
      </w:r>
      <w:r w:rsidRPr="00525700">
        <w:rPr>
          <w:rFonts w:ascii="Garamond" w:hAnsi="Garamond"/>
          <w:sz w:val="22"/>
          <w:szCs w:val="22"/>
          <w:lang w:val="en-US"/>
        </w:rPr>
        <w:t xml:space="preserve"> Lipschütz (1914).</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15)</w:t>
      </w:r>
      <w:r w:rsidRPr="00525700">
        <w:rPr>
          <w:rFonts w:ascii="Garamond" w:hAnsi="Garamond"/>
          <w:sz w:val="22"/>
          <w:szCs w:val="22"/>
          <w:lang w:val="en-US"/>
        </w:rPr>
        <w:t xml:space="preserve"> Obwohl Weismann (1892) auch diesen Vorteil leugnet: »Die Befruchtung bedeutet keinesfalls eine Verjüngung oder Erneuerung des Lebens, sie wäre durch</w:t>
      </w:r>
      <w:r w:rsidRPr="00525700">
        <w:rPr>
          <w:rFonts w:ascii="Garamond" w:hAnsi="Garamond"/>
          <w:sz w:val="22"/>
          <w:szCs w:val="22"/>
          <w:lang w:val="en-US"/>
        </w:rPr>
        <w:softHyphen/>
        <w:t xml:space="preserve">aus nicht notwendig zur Fortdauer des Lebens, sie ist nichts als </w:t>
      </w:r>
      <w:r w:rsidRPr="00525700">
        <w:rPr>
          <w:rFonts w:ascii="Garamond" w:hAnsi="Garamond"/>
          <w:i/>
          <w:iCs/>
          <w:sz w:val="22"/>
          <w:szCs w:val="22"/>
          <w:lang w:val="en-US"/>
        </w:rPr>
        <w:t>eine Einrichtung, um die Vermischung zweier verschiedener Vererbungstendenzen</w:t>
      </w:r>
      <w:r w:rsidRPr="00525700">
        <w:rPr>
          <w:rFonts w:ascii="Garamond" w:hAnsi="Garamond"/>
          <w:sz w:val="22"/>
          <w:szCs w:val="22"/>
          <w:lang w:val="en-US"/>
        </w:rPr>
        <w:t xml:space="preserve"> möglich zu machen.« Als Wirkung einer solchen Vermischung betrachtet er aber doch eine Steigerung der Variabilität der Lebewesen.</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16)</w:t>
      </w:r>
      <w:r w:rsidRPr="00525700">
        <w:rPr>
          <w:rFonts w:ascii="Garamond" w:hAnsi="Garamond"/>
          <w:sz w:val="22"/>
          <w:szCs w:val="22"/>
          <w:lang w:val="en-US"/>
        </w:rPr>
        <w:t xml:space="preserve"> Übersetzung von U. v. Wilamowitz-Moellendorff </w:t>
      </w:r>
      <w:r w:rsidRPr="00525700">
        <w:rPr>
          <w:rFonts w:ascii="Garamond" w:hAnsi="Garamond"/>
          <w:i/>
          <w:iCs/>
          <w:sz w:val="22"/>
          <w:szCs w:val="22"/>
          <w:lang w:val="en-US"/>
        </w:rPr>
        <w:t>(Platon,</w:t>
      </w:r>
      <w:r w:rsidRPr="00525700">
        <w:rPr>
          <w:rFonts w:ascii="Garamond" w:hAnsi="Garamond"/>
          <w:sz w:val="22"/>
          <w:szCs w:val="22"/>
          <w:lang w:val="en-US"/>
        </w:rPr>
        <w:t xml:space="preserve"> I, S. 366 f.).</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17)</w:t>
      </w:r>
      <w:r w:rsidRPr="00525700">
        <w:rPr>
          <w:rFonts w:ascii="Garamond" w:hAnsi="Garamond"/>
          <w:sz w:val="22"/>
          <w:szCs w:val="22"/>
          <w:lang w:val="en-US"/>
        </w:rPr>
        <w:t xml:space="preserve"> Prof. Heinrich Gomperz (Wien) verdanke ich die nachstehenden Andeutungen über die Herkunft des Platonischen Mythus, die ich zum Teil in seinen Worten wiedergebe: Ich möchte darauf aufmerksam machen, daß sich wesentlich dieselbe Theorie auch schon in den </w:t>
      </w:r>
      <w:r w:rsidRPr="00525700">
        <w:rPr>
          <w:rFonts w:ascii="Garamond" w:hAnsi="Garamond"/>
          <w:i/>
          <w:iCs/>
          <w:sz w:val="22"/>
          <w:szCs w:val="22"/>
          <w:lang w:val="en-US"/>
        </w:rPr>
        <w:t>Upanishaden</w:t>
      </w:r>
      <w:r w:rsidRPr="00525700">
        <w:rPr>
          <w:rFonts w:ascii="Garamond" w:hAnsi="Garamond"/>
          <w:sz w:val="22"/>
          <w:szCs w:val="22"/>
          <w:lang w:val="en-US"/>
        </w:rPr>
        <w:t xml:space="preserve"> findet. Denn </w:t>
      </w:r>
      <w:r w:rsidRPr="00525700">
        <w:rPr>
          <w:rFonts w:ascii="Garamond" w:hAnsi="Garamond"/>
          <w:i/>
          <w:iCs/>
          <w:sz w:val="22"/>
          <w:szCs w:val="22"/>
          <w:lang w:val="en-US"/>
        </w:rPr>
        <w:t>Brihad-Aranyaka-Upanishad,</w:t>
      </w:r>
      <w:r w:rsidRPr="00525700">
        <w:rPr>
          <w:rFonts w:ascii="Garamond" w:hAnsi="Garamond"/>
          <w:sz w:val="22"/>
          <w:szCs w:val="22"/>
          <w:lang w:val="en-US"/>
        </w:rPr>
        <w:t xml:space="preserve"> I, 4, 3 (Deussen, </w:t>
      </w:r>
      <w:r w:rsidRPr="00525700">
        <w:rPr>
          <w:rFonts w:ascii="Garamond" w:hAnsi="Garamond"/>
          <w:i/>
          <w:iCs/>
          <w:sz w:val="22"/>
          <w:szCs w:val="22"/>
          <w:lang w:val="en-US"/>
        </w:rPr>
        <w:t>60 Upanishads des Veda,</w:t>
      </w:r>
      <w:r w:rsidRPr="00525700">
        <w:rPr>
          <w:rFonts w:ascii="Garamond" w:hAnsi="Garamond"/>
          <w:sz w:val="22"/>
          <w:szCs w:val="22"/>
          <w:lang w:val="en-US"/>
        </w:rPr>
        <w:t xml:space="preserve"> S. 593), wo das Hervorgehen der Welt aus dem Atman (dem Selbst oder Ich) geschildert wird, heißt es: »... Aber er (der Atman, das Selbst oder das Ich) hatte auch keine Freude; darum hat einer keine Freude, wenn er allein ist. Da begehrte er nach einem Zweiten. Nämlich er war so groß wie ein Weib und ein Mann, wenn sie sich umschlungen halten. Dieses sein Selbst zerfällte er in zwei Teile: daraus entstanden Gatte und Gattin. Darum ist dieser Leib an dem Selbst gleichsam eine Halbscheid, so nämlich hat es Yajnavalkya erklärt. Darum wird dieser leere Raum hier durch das Weib ausgefüllt.«</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lang w:val="en-US"/>
        </w:rPr>
        <w:t xml:space="preserve">Die </w:t>
      </w:r>
      <w:r w:rsidRPr="00525700">
        <w:rPr>
          <w:rFonts w:ascii="Garamond" w:hAnsi="Garamond"/>
          <w:i/>
          <w:iCs/>
          <w:sz w:val="22"/>
          <w:szCs w:val="22"/>
          <w:lang w:val="en-US"/>
        </w:rPr>
        <w:t>Brihad-Aranyaka-Upanishad</w:t>
      </w:r>
      <w:r w:rsidRPr="00525700">
        <w:rPr>
          <w:rFonts w:ascii="Garamond" w:hAnsi="Garamond"/>
          <w:sz w:val="22"/>
          <w:szCs w:val="22"/>
          <w:lang w:val="en-US"/>
        </w:rPr>
        <w:t xml:space="preserve"> ist die älteste aller Upanishaden und wird wohl von keinem urteilsfähigen Forscher später angesetzt als etwa um das Jahr 800 v. Chr. Die Frage, ob eine, wenn auch nur mittelbare Abhängigkeit Platos von diesen indischen Gedanken möglich wäre, möchte ich im Gegensatz zur herrschenden Meinung nicht unbedingt verneinen, da eine solche Möglichkeit wohl auch für die Seelenwanderungslehre nicht geradezu in Abrede gestellt werden kann. Eine solche, zunächst durch Pythagoreer vermittelte Abhängigkeit würde dem gedanklichen Zusammentreffen kaum etwas von seiner Bedeutsamkeit nehmen, da Plato eine derartige ihm irgendwie aus orientalischer Überlieferung zugetragene Geschichte sich nicht zu eigen gemacht, geschweige denn ihr eine so bedeutsame Stellung angewiesen hätte, hätte sie ihm nicht selbst als wahrheitshältig eingeleuchtet.</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lang w:val="en-US"/>
        </w:rPr>
        <w:t xml:space="preserve">In einem Aufsatz von K. Ziegler, ›Menschen- und Weltenwerden‹ (1913), der sich planmäßig mit der Erforschung des fraglichen Gedankens </w:t>
      </w:r>
      <w:r w:rsidRPr="00525700">
        <w:rPr>
          <w:rFonts w:ascii="Garamond" w:hAnsi="Garamond"/>
          <w:i/>
          <w:iCs/>
          <w:sz w:val="22"/>
          <w:szCs w:val="22"/>
          <w:lang w:val="en-US"/>
        </w:rPr>
        <w:t>vor</w:t>
      </w:r>
      <w:r w:rsidRPr="00525700">
        <w:rPr>
          <w:rFonts w:ascii="Garamond" w:hAnsi="Garamond"/>
          <w:sz w:val="22"/>
          <w:szCs w:val="22"/>
          <w:lang w:val="en-US"/>
        </w:rPr>
        <w:t xml:space="preserve"> Plato beschäftigt, wird dieser auf babylonische Vorstellungen zurückgeführt.</w:t>
      </w:r>
    </w:p>
    <w:p w:rsidR="00525700" w:rsidRPr="00525700" w:rsidRDefault="00525700" w:rsidP="00130855">
      <w:pPr>
        <w:pStyle w:val="s"/>
        <w:rPr>
          <w:rFonts w:ascii="Garamond" w:hAnsi="Garamond"/>
          <w:sz w:val="22"/>
          <w:szCs w:val="22"/>
          <w:lang w:val="en-US"/>
        </w:rPr>
      </w:pPr>
      <w:r w:rsidRPr="00525700">
        <w:rPr>
          <w:rFonts w:ascii="Garamond" w:hAnsi="Garamond"/>
          <w:sz w:val="22"/>
          <w:szCs w:val="22"/>
          <w:vertAlign w:val="superscript"/>
          <w:lang w:val="en-US"/>
        </w:rPr>
        <w:t>18)</w:t>
      </w:r>
      <w:r w:rsidRPr="00525700">
        <w:rPr>
          <w:rFonts w:ascii="Garamond" w:hAnsi="Garamond"/>
          <w:sz w:val="22"/>
          <w:szCs w:val="22"/>
          <w:lang w:val="en-US"/>
        </w:rPr>
        <w:t xml:space="preserve"> Anschließend hier einige Worte zur Klärung unserer Namengebung, die im Laufe dieser Erörterungen eine gewisse Entwicklung durchgemacht hat. Was »Sexualtriebe« sind, wußten wir aus ihrer Beziehung zu den Geschlechtern und zur Fortpflanzungsfunktion. Wir behielten dann diesen Namen bei, als wir durch </w:t>
      </w:r>
      <w:r w:rsidRPr="00525700">
        <w:rPr>
          <w:rFonts w:ascii="Garamond" w:hAnsi="Garamond"/>
          <w:sz w:val="22"/>
          <w:szCs w:val="22"/>
          <w:lang w:val="en-US"/>
        </w:rPr>
        <w:lastRenderedPageBreak/>
        <w:t>die Ergebnisse der Psychoanalyse genötigt waren, deren Beziehung zur Fortpflanzung zu lockern. Mit der Aufstellung der narzißtischen Libido und der Ausdehnung des Libidobegriffes auf die einzelne Zelle wandelte sich uns der Sexualtrieb zum Eros, der die Teile der lebenden Substanz zueinanderzudrängen und zusammenzuhalten sucht, und die gemeinhin so genannten Sexualtriebe erschienen als der dem Objekt zugewandte Anteil dieses Eros. Die Spekulation läßt dann diesen Eros vom Anfang des Lebens an wirken und als »Lebenstrieb« in Gegensatz zum »Todestrieb« treten, der durch die Belebung des Anorganischen entstanden ist. Sie versucht das Rätsel des Lebens durch die Annahme dieser beiden von Uranfang an miteinander ringenden Triebe zu lösen. Unübersichtlicher ist vielleicht die Wandlung, die der Begriff der »Ichtriebe« erfahren hat. Ursprünglich nannten wir so alle jene von uns nicht näher gekannten Triebrichtungen, die sich von den auf das Objekt gerichteten Sexualtrieben abscheiden lassen, und brachten die Ichtriebe in Gegensatz zu den Sexualtrieben, deren Ausdruck die Libido ist. Späterhin näherten wir uns der Analyse des Ichs und erkannten, daß auch ein Teil der »Ichtriebe« libidinöser Natur ist, das eigene Ich zum Objekt genommen hat. Diese narzißtischen Selbsterhaltungstriebe mußten also jetzt den libidinösen Sexualtrieben zugerechnet werden. Der Gegensatz zwischen Ich- und Sexualtrieben wandelte sich in den zwischen Ich- und Objekttrieben, beide libidinöser Natur. An seine Stelle trat aber ein neuer Gegensatz zwischen libidinösen (Ich- und Objekt-)Trieben und anderen, die im Ich zu statuieren und vielleicht in den Destruktionstrieben aufzuzeigen sind. Die Spekulation wandelt diesen Gegensatz in den von Lebenstrieben (Eros) und von Todestrieben um.</w:t>
      </w:r>
    </w:p>
    <w:p w:rsidR="00525700" w:rsidRPr="00525700" w:rsidRDefault="00B437A1" w:rsidP="00130855">
      <w:pPr>
        <w:pStyle w:val="Titre1"/>
        <w:rPr>
          <w:rFonts w:ascii="Garamond" w:hAnsi="Garamond"/>
          <w:sz w:val="22"/>
          <w:szCs w:val="22"/>
          <w:lang w:val="en-US"/>
        </w:rPr>
      </w:pPr>
      <w:hyperlink w:anchor="LustprinzipINHALT" w:history="1">
        <w:r w:rsidR="00525700" w:rsidRPr="00DD1C71">
          <w:rPr>
            <w:rStyle w:val="Lienhypertexte"/>
            <w:rFonts w:ascii="Garamond" w:hAnsi="Garamond"/>
            <w:sz w:val="22"/>
            <w:szCs w:val="22"/>
            <w:lang w:val="en-US"/>
          </w:rPr>
          <w:t xml:space="preserve">VII. </w:t>
        </w:r>
        <w:r w:rsidR="00DD1C71" w:rsidRPr="00DD1C71">
          <w:rPr>
            <w:rStyle w:val="Lienhypertexte"/>
            <w:rFonts w:ascii="Garamond" w:hAnsi="Garamond"/>
            <w:sz w:val="22"/>
            <w:szCs w:val="22"/>
            <w:lang w:val="en-US"/>
          </w:rPr>
          <w:t xml:space="preserve"> Sc</w:t>
        </w:r>
        <w:bookmarkStart w:id="22" w:name="Lustprinzip7"/>
        <w:bookmarkEnd w:id="22"/>
        <w:r w:rsidR="00DD1C71" w:rsidRPr="00DD1C71">
          <w:rPr>
            <w:rStyle w:val="Lienhypertexte"/>
            <w:rFonts w:ascii="Garamond" w:hAnsi="Garamond"/>
            <w:sz w:val="22"/>
            <w:szCs w:val="22"/>
            <w:lang w:val="en-US"/>
          </w:rPr>
          <w:t>hlussfolgerungen</w:t>
        </w:r>
      </w:hyperlink>
    </w:p>
    <w:p w:rsidR="00525700" w:rsidRPr="00525700" w:rsidRDefault="00525700" w:rsidP="00130855">
      <w:pPr>
        <w:rPr>
          <w:rFonts w:ascii="Garamond" w:hAnsi="Garamond"/>
          <w:lang w:val="en-US"/>
        </w:rPr>
      </w:pP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Wenn es wirklich ein so allgemeiner Charakter der Triebe ist, daß sie einen früheren Zustand wiederherstellen wollen, so dürfen wir uns nicht darüber verwundern, daß im Seelenleben so viele Vorgänge sich unabhängig vom Lustprinzip vollziehen. Dieser Charakter würde sich jedem Partialtrieb mitteilen und sich in seinem Falle auf die Wiedererreichung einer bestimmten Station des Entwicklungsweges beziehen. Aber all dies, worüber das Lustprinzip noch keine Macht bekommen hat, brauchte darum noch nicht im Gegensatz zu ihm zu stehen, und die Aufgabe ist noch ungelöst, das Verhältnis der triebhaften Wiederholungsvorgänge zur Herrschaft des Lustprinzips zu bestimmen. Wir haben es als eine der frühesten und wichtigsten Funktionen des seelischen Apparates erkannt, die anlangenden Triebregungen zu »binden«, den in ihnen herrschenden Primärvorgang durch den Sekundärvorgang zu ersetzen, ihre frei bewegliche Besetzungsenergie in vorwiegend ruhende (tonische) Besetzung umzuwandeln. Während dieser Umsetzung kann auf die Entwicklung von Unlust nicht Rücksicht genommen werden, allein das Lustprinzip wird dadurch nicht aufgehoben. Die Um</w:t>
      </w:r>
      <w:r w:rsidRPr="00525700">
        <w:rPr>
          <w:rFonts w:ascii="Garamond" w:hAnsi="Garamond"/>
          <w:sz w:val="22"/>
          <w:szCs w:val="22"/>
          <w:lang w:val="en-US"/>
        </w:rPr>
        <w:softHyphen/>
        <w:t>setzung geschieht vielmehr im Dienste des Lustprinzips; die Bindung ist ein vorbereitender Akt, der die Herrschaft des Lustprinzips einleitet und sichert.</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Trennen wir Funktion und Tendenz schärfer voneinander, als wir es bisher getan haben. Das Lustprinzip ist dann eine Tendenz, welche im Dienste einer Funktion steht, der es zufällt, den seelischen Apparat überhaupt erregungs</w:t>
      </w:r>
      <w:r w:rsidRPr="00525700">
        <w:rPr>
          <w:rFonts w:ascii="Garamond" w:hAnsi="Garamond"/>
          <w:sz w:val="22"/>
          <w:szCs w:val="22"/>
          <w:lang w:val="en-US"/>
        </w:rPr>
        <w:softHyphen/>
        <w:t xml:space="preserve">los zu machen oder den Betrag der Erregung in ihm konstant oder möglichst niedrig zu erhalten. Wir können uns noch für keine dieser Fassungen sicher entscheiden, aber wir merken, daß die so bestimmte Funktion Anteil hätte an dem allgemeinsten Streben alles Lebenden, zur Ruhe der anorganischen Welt zurückzukehren. </w:t>
      </w:r>
      <w:r w:rsidRPr="00525700">
        <w:rPr>
          <w:rFonts w:ascii="Garamond" w:hAnsi="Garamond"/>
          <w:sz w:val="22"/>
          <w:szCs w:val="22"/>
        </w:rPr>
        <w:t xml:space="preserve">Wir haben alle erfahren, daß die größte uns erreichbare Lust, die des Sexualaktes, mit dem momentanen Erlöschen einer hochgesteigerten Erregung verbunden ist. </w:t>
      </w:r>
      <w:r w:rsidRPr="00525700">
        <w:rPr>
          <w:rFonts w:ascii="Garamond" w:hAnsi="Garamond"/>
          <w:sz w:val="22"/>
          <w:szCs w:val="22"/>
          <w:lang w:val="en-US"/>
        </w:rPr>
        <w:t>Die Bindung der Triebregung wäre aber eine vorbereitende Funktion, welche die Erregung für ihre endgültige Erledigung in der Abfuhrlust zurichten soll.</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xml:space="preserve">Aus demselben Zusammenhang erhebt sich die Frage, ob die Lust- und Unlustempfindungen von den gebundenen wie von den ungebundenen Erregungsvorgängen in gleicher Weise erzeugt werden können. Da erscheint es denn ganz unzweifelhaft, daß die ungebundenen, die Primärvorgänge, weit intensivere Empfindungen nach beiden Richtungen ergeben als die gebundenen, die des Sekundärvorganges. Die Primärvorgänge sind auch die zeitlich früheren, zu Anfang des Seelenlebens gibt es keine anderen, und wir können schließen, wenn das Lustprinzip nicht schon bei ihnen in Wirksamkeit wäre, könnte es sich überhaupt für die späteren nicht herstellen. Wir kommen so zu dem im Grunde nicht einfachen Ergebnis, </w:t>
      </w:r>
      <w:r w:rsidRPr="00525700">
        <w:rPr>
          <w:rFonts w:ascii="Garamond" w:hAnsi="Garamond"/>
          <w:sz w:val="22"/>
          <w:szCs w:val="22"/>
          <w:lang w:val="en-US"/>
        </w:rPr>
        <w:lastRenderedPageBreak/>
        <w:t>daß das Luststreben zu Anfang des seelischen Lebens sich weit intensiver äußert als späterhin, aber nicht so uneingeschränkt; es muß sich häufige Durchbrüche gefallen lassen. In reiferen Zeiten ist die Herrschaft des Lustprinzips sehr viel mehr gesichert, aber dieses selbst ist der Bändigung sowenig entgangen wie die anderen Triebe überhaupt. Jedenfalls muß das, was am Erregungsvorgange die Empfindungen von Lust und Unlust entstehen läßt, beim Sekundär</w:t>
      </w:r>
      <w:r w:rsidRPr="00525700">
        <w:rPr>
          <w:rFonts w:ascii="Garamond" w:hAnsi="Garamond"/>
          <w:sz w:val="22"/>
          <w:szCs w:val="22"/>
          <w:lang w:val="en-US"/>
        </w:rPr>
        <w:softHyphen/>
        <w:t>vorgang ebenso vorhanden sein wie beim Primärvorgang.</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Hier wäre die Stelle, mit weiteren Studien einzusetzen. Unser Bewußtsein vermittelt uns von innen her nicht nur die Empfindungen von Lust und Unlust, sondern auch von einer eigentümlichen Spannung, die selbst wieder eine lustvolle oder unlustvolle sein kann. Sind es nun die gebundenen und die ungebundenen Energievorgänge, die wir mittels dieser Empfindungen voneinander unterscheiden sollen, oder ist die Spannungsempfindung auf die absolute Größe, eventuell das Niveau der Besetzung zu beziehen, während die Lust-Unlustreihe auf die Änderung der Besetzungsgröße in der Zeiteinheit hindeutet? Es muß uns auch auffallen, daß die Lebenstriebe soviel mehr mit unserer inneren Wahrnehmung zu tun haben, da sie als Störenfriede auf</w:t>
      </w:r>
      <w:r w:rsidRPr="00525700">
        <w:rPr>
          <w:rFonts w:ascii="Garamond" w:hAnsi="Garamond"/>
          <w:sz w:val="22"/>
          <w:szCs w:val="22"/>
          <w:lang w:val="en-US"/>
        </w:rPr>
        <w:softHyphen/>
        <w:t>treten, unausgesetzt Spannungen mit sich bringen, deren Erledigung als Lust empfunden wird, während die Todestriebe ihre Arbeit unauffällig zu leisten scheinen. Das Lustprinzip scheint geradezu im Dienste der Todestriebe zu stehen; es wacht allerdings auch über die Reize von außen, die von beiderlei Triebarten als Gefahren eingeschätzt werden, aber ganz besonders über die Reizsteigerungen von innen her, die eine Erschwerung der Lebensaufgabe erzielen. Hieran knüpfen sich ungezählte andere Fragen, deren Beant</w:t>
      </w:r>
      <w:r w:rsidRPr="00525700">
        <w:rPr>
          <w:rFonts w:ascii="Garamond" w:hAnsi="Garamond"/>
          <w:sz w:val="22"/>
          <w:szCs w:val="22"/>
          <w:lang w:val="en-US"/>
        </w:rPr>
        <w:softHyphen/>
        <w:t xml:space="preserve">wortung jetzt nicht möglich ist. Man muß geduldig sein und auf weitere Mittel und Anlässe zur Forschung warten. Auch bereit bleiben, einen Weg wieder zu verlassen, den man eine Weile verfolgt hat, wenn er zu nichts Gutem zu führen scheint. Nur solche Gläubige, die von der Wissenschaft einen Ersatz für den aufgegebenen Katechismus fordern, werden dem Forscher die Fortbildung oder selbst die Umbildung seiner Ansichten verübeln. Im übrigen mag uns ein Dichter (Rücken in den </w:t>
      </w:r>
      <w:r w:rsidRPr="00525700">
        <w:rPr>
          <w:rFonts w:ascii="Garamond" w:hAnsi="Garamond"/>
          <w:i/>
          <w:iCs/>
          <w:sz w:val="22"/>
          <w:szCs w:val="22"/>
          <w:lang w:val="en-US"/>
        </w:rPr>
        <w:t>Makamen des Hariri</w:t>
      </w:r>
      <w:r w:rsidRPr="00525700">
        <w:rPr>
          <w:rFonts w:ascii="Garamond" w:hAnsi="Garamond"/>
          <w:sz w:val="22"/>
          <w:szCs w:val="22"/>
          <w:lang w:val="en-US"/>
        </w:rPr>
        <w:t>) über die langsamen Fortschritte unserer wissenschaftlichen Erkenntnis trösten:</w:t>
      </w:r>
    </w:p>
    <w:p w:rsidR="00525700" w:rsidRPr="00525700" w:rsidRDefault="00525700" w:rsidP="00130855">
      <w:pPr>
        <w:pStyle w:val="NormalWeb"/>
        <w:rPr>
          <w:rFonts w:ascii="Garamond" w:hAnsi="Garamond"/>
          <w:sz w:val="22"/>
          <w:szCs w:val="22"/>
          <w:lang w:val="en-US"/>
        </w:rPr>
      </w:pPr>
      <w:r w:rsidRPr="00525700">
        <w:rPr>
          <w:rFonts w:ascii="Garamond" w:hAnsi="Garamond"/>
          <w:sz w:val="22"/>
          <w:szCs w:val="22"/>
          <w:lang w:val="en-US"/>
        </w:rPr>
        <w:t> »Was man nicht erfliegen kann, muß man erhinken.</w:t>
      </w:r>
    </w:p>
    <w:p w:rsidR="00DD1C71" w:rsidRDefault="00DD1C71" w:rsidP="00130855">
      <w:pPr>
        <w:pStyle w:val="NormalWeb"/>
        <w:rPr>
          <w:rFonts w:ascii="Garamond" w:hAnsi="Garamond"/>
          <w:sz w:val="22"/>
          <w:szCs w:val="22"/>
          <w:lang w:val="en-US"/>
        </w:rPr>
      </w:pPr>
    </w:p>
    <w:p w:rsidR="00DD1C71" w:rsidRDefault="00DD1C71" w:rsidP="00130855">
      <w:pPr>
        <w:pStyle w:val="NormalWeb"/>
        <w:rPr>
          <w:rFonts w:ascii="Garamond" w:hAnsi="Garamond"/>
          <w:sz w:val="22"/>
          <w:szCs w:val="22"/>
          <w:lang w:val="en-US"/>
        </w:rPr>
      </w:pPr>
    </w:p>
    <w:p w:rsidR="00525700" w:rsidRDefault="00525700" w:rsidP="00DD1C71">
      <w:pPr>
        <w:pStyle w:val="NormalWeb"/>
        <w:jc w:val="center"/>
        <w:rPr>
          <w:rFonts w:ascii="Garamond" w:hAnsi="Garamond"/>
          <w:sz w:val="22"/>
          <w:szCs w:val="22"/>
          <w:lang w:val="en-US"/>
        </w:rPr>
      </w:pPr>
      <w:r w:rsidRPr="00525700">
        <w:rPr>
          <w:rFonts w:ascii="Garamond" w:hAnsi="Garamond"/>
          <w:sz w:val="22"/>
          <w:szCs w:val="22"/>
          <w:lang w:val="en-US"/>
        </w:rPr>
        <w:t>. . . . . . . . . . . . . . . . . . . . . . . . . . . . . . . . . . . .</w:t>
      </w:r>
    </w:p>
    <w:p w:rsidR="00525700" w:rsidRDefault="00525700" w:rsidP="00130855">
      <w:pPr>
        <w:rPr>
          <w:rFonts w:ascii="Garamond" w:eastAsia="Times New Roman" w:hAnsi="Garamond" w:cs="Times New Roman"/>
          <w:lang w:val="en-US" w:eastAsia="fr-FR"/>
        </w:rPr>
      </w:pPr>
      <w:r>
        <w:rPr>
          <w:rFonts w:ascii="Garamond" w:hAnsi="Garamond"/>
          <w:lang w:val="en-US"/>
        </w:rPr>
        <w:br w:type="page"/>
      </w:r>
    </w:p>
    <w:p w:rsidR="00525700" w:rsidRPr="00A06A59" w:rsidRDefault="00525700" w:rsidP="00130855">
      <w:pPr>
        <w:pStyle w:val="c"/>
        <w:rPr>
          <w:rFonts w:ascii="Garamond" w:hAnsi="Garamond"/>
          <w:sz w:val="28"/>
          <w:szCs w:val="28"/>
          <w:lang w:val="en-US"/>
        </w:rPr>
      </w:pPr>
      <w:r w:rsidRPr="00A06A59">
        <w:rPr>
          <w:rFonts w:ascii="Garamond" w:hAnsi="Garamond"/>
          <w:bCs/>
          <w:sz w:val="28"/>
          <w:szCs w:val="28"/>
          <w:lang w:val="en-US"/>
        </w:rPr>
        <w:lastRenderedPageBreak/>
        <w:t>Ma</w:t>
      </w:r>
      <w:bookmarkStart w:id="23" w:name="F37"/>
      <w:bookmarkEnd w:id="23"/>
      <w:r w:rsidRPr="00A06A59">
        <w:rPr>
          <w:rFonts w:ascii="Garamond" w:hAnsi="Garamond"/>
          <w:bCs/>
          <w:sz w:val="28"/>
          <w:szCs w:val="28"/>
          <w:lang w:val="en-US"/>
        </w:rPr>
        <w:t xml:space="preserve">ssenpsychologie und Ich-Analyse                                                    </w:t>
      </w:r>
      <w:hyperlink w:anchor="Werke" w:history="1">
        <w:r w:rsidRPr="00525700">
          <w:rPr>
            <w:rStyle w:val="Lienhypertexte"/>
            <w:rFonts w:ascii="Garamond" w:hAnsi="Garamond"/>
            <w:lang w:val="en-US"/>
          </w:rPr>
          <w:t>Werke</w:t>
        </w:r>
      </w:hyperlink>
    </w:p>
    <w:p w:rsidR="00525700" w:rsidRPr="00A06A59" w:rsidRDefault="00525700" w:rsidP="00130855">
      <w:pPr>
        <w:pStyle w:val="NormalWeb"/>
        <w:rPr>
          <w:lang w:val="en-US"/>
        </w:rPr>
      </w:pPr>
      <w:r w:rsidRPr="00A06A59">
        <w:rPr>
          <w:lang w:val="en-US"/>
        </w:rPr>
        <w:t> (1921) </w:t>
      </w:r>
    </w:p>
    <w:p w:rsidR="00525700" w:rsidRPr="00A95446" w:rsidRDefault="00525700" w:rsidP="00A95446">
      <w:pPr>
        <w:pStyle w:val="Sansinterligne"/>
        <w:rPr>
          <w:rFonts w:ascii="Garamond" w:hAnsi="Garamond"/>
          <w:lang w:val="en-US"/>
        </w:rPr>
      </w:pPr>
      <w:r w:rsidRPr="00A95446">
        <w:rPr>
          <w:rFonts w:ascii="Garamond" w:hAnsi="Garamond"/>
          <w:lang w:val="en-US"/>
        </w:rPr>
        <w:t xml:space="preserve">[Erstveröffentlichung: Leipzig, Wien und Zürich, </w:t>
      </w:r>
      <w:r w:rsidRPr="00A95446">
        <w:rPr>
          <w:rFonts w:ascii="Garamond" w:hAnsi="Garamond"/>
          <w:i/>
          <w:iCs/>
          <w:lang w:val="en-US"/>
        </w:rPr>
        <w:t>Internationaler Psychoanalytischer Verlag</w:t>
      </w:r>
      <w:r w:rsidRPr="00A95446">
        <w:rPr>
          <w:rFonts w:ascii="Garamond" w:hAnsi="Garamond"/>
          <w:lang w:val="en-US"/>
        </w:rPr>
        <w:t>, 1921. — Gesammelte Werke, Bd. 13, S. 71-161.]</w:t>
      </w:r>
    </w:p>
    <w:p w:rsidR="00A95446" w:rsidRPr="00A95446" w:rsidRDefault="00A95446" w:rsidP="00A95446">
      <w:pPr>
        <w:pStyle w:val="Sansinterligne"/>
        <w:rPr>
          <w:rFonts w:ascii="Garamond" w:hAnsi="Garamond"/>
          <w:lang w:val="en-US"/>
        </w:rPr>
      </w:pPr>
    </w:p>
    <w:p w:rsidR="00A95446" w:rsidRPr="00A95446" w:rsidRDefault="00A95446" w:rsidP="00A95446">
      <w:pPr>
        <w:pStyle w:val="Sansinterligne"/>
        <w:rPr>
          <w:rFonts w:ascii="Garamond" w:hAnsi="Garamond"/>
          <w:lang w:val="en-US"/>
        </w:rPr>
      </w:pPr>
      <w:r w:rsidRPr="00A95446">
        <w:rPr>
          <w:rFonts w:ascii="Garamond" w:hAnsi="Garamond"/>
          <w:lang w:val="en-US"/>
        </w:rPr>
        <w:t>In</w:t>
      </w:r>
      <w:bookmarkStart w:id="24" w:name="MassenINHALT"/>
      <w:bookmarkEnd w:id="24"/>
      <w:r w:rsidRPr="00A95446">
        <w:rPr>
          <w:rFonts w:ascii="Garamond" w:hAnsi="Garamond"/>
          <w:lang w:val="en-US"/>
        </w:rPr>
        <w:t>halt</w:t>
      </w:r>
    </w:p>
    <w:p w:rsidR="00A95446" w:rsidRDefault="00A95446" w:rsidP="00A95446">
      <w:pPr>
        <w:pStyle w:val="Sansinterligne"/>
        <w:rPr>
          <w:rFonts w:ascii="Garamond" w:hAnsi="Garamond"/>
          <w:lang w:val="en-US"/>
        </w:rPr>
      </w:pPr>
    </w:p>
    <w:p w:rsidR="00A95446" w:rsidRDefault="00B437A1" w:rsidP="00CE4D4E">
      <w:pPr>
        <w:pStyle w:val="Sansinterligne"/>
        <w:numPr>
          <w:ilvl w:val="0"/>
          <w:numId w:val="6"/>
        </w:numPr>
        <w:rPr>
          <w:rFonts w:ascii="Garamond" w:hAnsi="Garamond"/>
          <w:lang w:val="en-US"/>
        </w:rPr>
      </w:pPr>
      <w:hyperlink w:anchor="Massen1" w:history="1">
        <w:r w:rsidR="00A95446" w:rsidRPr="00A95446">
          <w:rPr>
            <w:rStyle w:val="Lienhypertexte"/>
            <w:rFonts w:ascii="Garamond" w:hAnsi="Garamond"/>
            <w:lang w:val="en-US"/>
          </w:rPr>
          <w:t>I. Einleitung</w:t>
        </w:r>
      </w:hyperlink>
    </w:p>
    <w:p w:rsidR="006A6515" w:rsidRDefault="006A6515" w:rsidP="006A6515">
      <w:pPr>
        <w:pStyle w:val="Sansinterligne"/>
        <w:ind w:left="720"/>
        <w:rPr>
          <w:rFonts w:ascii="Garamond" w:hAnsi="Garamond"/>
          <w:lang w:val="en-US"/>
        </w:rPr>
      </w:pPr>
    </w:p>
    <w:p w:rsidR="00A95446" w:rsidRDefault="00B437A1" w:rsidP="00CE4D4E">
      <w:pPr>
        <w:pStyle w:val="Sansinterligne"/>
        <w:numPr>
          <w:ilvl w:val="0"/>
          <w:numId w:val="6"/>
        </w:numPr>
        <w:rPr>
          <w:rFonts w:ascii="Garamond" w:hAnsi="Garamond"/>
          <w:lang w:val="en-US"/>
        </w:rPr>
      </w:pPr>
      <w:hyperlink w:anchor="Massen2" w:history="1">
        <w:r w:rsidR="00A95446" w:rsidRPr="00A95446">
          <w:rPr>
            <w:rStyle w:val="Lienhypertexte"/>
            <w:rFonts w:ascii="Garamond" w:hAnsi="Garamond"/>
            <w:lang w:val="en-US"/>
          </w:rPr>
          <w:t>II. Le Bons Schilderung der Massenseele</w:t>
        </w:r>
      </w:hyperlink>
    </w:p>
    <w:p w:rsidR="006A6515" w:rsidRDefault="006A6515" w:rsidP="006A6515">
      <w:pPr>
        <w:pStyle w:val="Sansinterligne"/>
        <w:rPr>
          <w:rFonts w:ascii="Garamond" w:hAnsi="Garamond"/>
          <w:lang w:val="en-US"/>
        </w:rPr>
      </w:pPr>
    </w:p>
    <w:p w:rsidR="00A95446" w:rsidRDefault="00B437A1" w:rsidP="00CE4D4E">
      <w:pPr>
        <w:pStyle w:val="Sansinterligne"/>
        <w:numPr>
          <w:ilvl w:val="0"/>
          <w:numId w:val="6"/>
        </w:numPr>
        <w:rPr>
          <w:rFonts w:ascii="Garamond" w:hAnsi="Garamond"/>
          <w:lang w:val="en-US"/>
        </w:rPr>
      </w:pPr>
      <w:hyperlink w:anchor="Massen3" w:history="1">
        <w:r w:rsidR="00A95446" w:rsidRPr="00A95446">
          <w:rPr>
            <w:rStyle w:val="Lienhypertexte"/>
            <w:rFonts w:ascii="Garamond" w:hAnsi="Garamond"/>
            <w:lang w:val="en-US"/>
          </w:rPr>
          <w:t>III. Andere Würdigungen des kollektiven Seelenlebens</w:t>
        </w:r>
      </w:hyperlink>
    </w:p>
    <w:p w:rsidR="006A6515" w:rsidRDefault="006A6515" w:rsidP="006A6515">
      <w:pPr>
        <w:pStyle w:val="Sansinterligne"/>
        <w:rPr>
          <w:rFonts w:ascii="Garamond" w:hAnsi="Garamond"/>
          <w:lang w:val="en-US"/>
        </w:rPr>
      </w:pPr>
    </w:p>
    <w:p w:rsidR="00A95446" w:rsidRDefault="00B437A1" w:rsidP="00CE4D4E">
      <w:pPr>
        <w:pStyle w:val="Sansinterligne"/>
        <w:numPr>
          <w:ilvl w:val="0"/>
          <w:numId w:val="6"/>
        </w:numPr>
        <w:rPr>
          <w:rFonts w:ascii="Garamond" w:hAnsi="Garamond"/>
          <w:lang w:val="en-US"/>
        </w:rPr>
      </w:pPr>
      <w:hyperlink w:anchor="Massen4" w:history="1">
        <w:r w:rsidR="00A95446" w:rsidRPr="00A95446">
          <w:rPr>
            <w:rStyle w:val="Lienhypertexte"/>
            <w:rFonts w:ascii="Garamond" w:hAnsi="Garamond"/>
            <w:lang w:val="en-US"/>
          </w:rPr>
          <w:t>IV. Suggestion und Libido</w:t>
        </w:r>
      </w:hyperlink>
    </w:p>
    <w:p w:rsidR="006A6515" w:rsidRDefault="006A6515" w:rsidP="006A6515">
      <w:pPr>
        <w:pStyle w:val="Sansinterligne"/>
        <w:ind w:left="360"/>
        <w:rPr>
          <w:rFonts w:ascii="Garamond" w:hAnsi="Garamond"/>
          <w:lang w:val="en-US"/>
        </w:rPr>
      </w:pPr>
    </w:p>
    <w:p w:rsidR="00A95446" w:rsidRDefault="00B437A1" w:rsidP="00CE4D4E">
      <w:pPr>
        <w:pStyle w:val="Sansinterligne"/>
        <w:numPr>
          <w:ilvl w:val="0"/>
          <w:numId w:val="6"/>
        </w:numPr>
        <w:rPr>
          <w:rFonts w:ascii="Garamond" w:hAnsi="Garamond"/>
          <w:lang w:val="en-US"/>
        </w:rPr>
      </w:pPr>
      <w:hyperlink w:anchor="Massen5" w:history="1">
        <w:r w:rsidR="00A95446" w:rsidRPr="00A95446">
          <w:rPr>
            <w:rStyle w:val="Lienhypertexte"/>
            <w:rFonts w:ascii="Garamond" w:hAnsi="Garamond"/>
            <w:lang w:val="en-US"/>
          </w:rPr>
          <w:t>V. Zwei künstliche Massen: Kirche und Heer</w:t>
        </w:r>
      </w:hyperlink>
    </w:p>
    <w:p w:rsidR="006A6515" w:rsidRDefault="006A6515" w:rsidP="006A6515">
      <w:pPr>
        <w:pStyle w:val="Sansinterligne"/>
        <w:rPr>
          <w:rFonts w:ascii="Garamond" w:hAnsi="Garamond"/>
          <w:lang w:val="en-US"/>
        </w:rPr>
      </w:pPr>
    </w:p>
    <w:p w:rsidR="00A95446" w:rsidRDefault="00B437A1" w:rsidP="00CE4D4E">
      <w:pPr>
        <w:pStyle w:val="Sansinterligne"/>
        <w:numPr>
          <w:ilvl w:val="0"/>
          <w:numId w:val="6"/>
        </w:numPr>
        <w:rPr>
          <w:rFonts w:ascii="Garamond" w:hAnsi="Garamond"/>
          <w:lang w:val="en-US"/>
        </w:rPr>
      </w:pPr>
      <w:hyperlink w:anchor="Massen6" w:history="1">
        <w:r w:rsidR="00A95446" w:rsidRPr="00A95446">
          <w:rPr>
            <w:rStyle w:val="Lienhypertexte"/>
            <w:rFonts w:ascii="Garamond" w:hAnsi="Garamond"/>
            <w:lang w:val="en-US"/>
          </w:rPr>
          <w:t>VI. Weitere Aufgaben und Arbeitsrichtungen</w:t>
        </w:r>
      </w:hyperlink>
    </w:p>
    <w:p w:rsidR="006A6515" w:rsidRDefault="006A6515" w:rsidP="006A6515">
      <w:pPr>
        <w:pStyle w:val="Sansinterligne"/>
        <w:rPr>
          <w:rFonts w:ascii="Garamond" w:hAnsi="Garamond"/>
          <w:lang w:val="en-US"/>
        </w:rPr>
      </w:pPr>
    </w:p>
    <w:p w:rsidR="00A95446" w:rsidRDefault="00B437A1" w:rsidP="00CE4D4E">
      <w:pPr>
        <w:pStyle w:val="Sansinterligne"/>
        <w:numPr>
          <w:ilvl w:val="0"/>
          <w:numId w:val="6"/>
        </w:numPr>
        <w:rPr>
          <w:rFonts w:ascii="Garamond" w:hAnsi="Garamond"/>
          <w:lang w:val="en-US"/>
        </w:rPr>
      </w:pPr>
      <w:hyperlink w:anchor="Massen7" w:history="1">
        <w:r w:rsidR="00A95446" w:rsidRPr="00A95446">
          <w:rPr>
            <w:rStyle w:val="Lienhypertexte"/>
            <w:rFonts w:ascii="Garamond" w:hAnsi="Garamond"/>
            <w:lang w:val="en-US"/>
          </w:rPr>
          <w:t>VII. Die Identifizierung</w:t>
        </w:r>
      </w:hyperlink>
    </w:p>
    <w:p w:rsidR="006A6515" w:rsidRDefault="006A6515" w:rsidP="006A6515">
      <w:pPr>
        <w:pStyle w:val="Sansinterligne"/>
        <w:rPr>
          <w:rFonts w:ascii="Garamond" w:hAnsi="Garamond"/>
          <w:lang w:val="en-US"/>
        </w:rPr>
      </w:pPr>
    </w:p>
    <w:p w:rsidR="00A95446" w:rsidRDefault="00B437A1" w:rsidP="00CE4D4E">
      <w:pPr>
        <w:pStyle w:val="Sansinterligne"/>
        <w:numPr>
          <w:ilvl w:val="0"/>
          <w:numId w:val="6"/>
        </w:numPr>
        <w:rPr>
          <w:rFonts w:ascii="Garamond" w:hAnsi="Garamond"/>
          <w:lang w:val="en-US"/>
        </w:rPr>
      </w:pPr>
      <w:hyperlink w:anchor="Massen8" w:history="1">
        <w:r w:rsidR="00A95446" w:rsidRPr="00A95446">
          <w:rPr>
            <w:rStyle w:val="Lienhypertexte"/>
            <w:rFonts w:ascii="Garamond" w:hAnsi="Garamond"/>
            <w:lang w:val="en-US"/>
          </w:rPr>
          <w:t>VIII. Verliebtheit und Hypnose</w:t>
        </w:r>
      </w:hyperlink>
    </w:p>
    <w:p w:rsidR="006A6515" w:rsidRDefault="006A6515" w:rsidP="006A6515">
      <w:pPr>
        <w:pStyle w:val="Sansinterligne"/>
        <w:rPr>
          <w:rFonts w:ascii="Garamond" w:hAnsi="Garamond"/>
          <w:lang w:val="en-US"/>
        </w:rPr>
      </w:pPr>
    </w:p>
    <w:p w:rsidR="00A95446" w:rsidRDefault="00B437A1" w:rsidP="00CE4D4E">
      <w:pPr>
        <w:pStyle w:val="Sansinterligne"/>
        <w:numPr>
          <w:ilvl w:val="0"/>
          <w:numId w:val="6"/>
        </w:numPr>
        <w:rPr>
          <w:rFonts w:ascii="Garamond" w:hAnsi="Garamond"/>
          <w:lang w:val="en-US"/>
        </w:rPr>
      </w:pPr>
      <w:hyperlink w:anchor="Massen9" w:history="1">
        <w:r w:rsidR="00A95446" w:rsidRPr="00A95446">
          <w:rPr>
            <w:rStyle w:val="Lienhypertexte"/>
            <w:rFonts w:ascii="Garamond" w:hAnsi="Garamond"/>
            <w:lang w:val="en-US"/>
          </w:rPr>
          <w:t>IX. Der Herdentrieb</w:t>
        </w:r>
      </w:hyperlink>
    </w:p>
    <w:p w:rsidR="006A6515" w:rsidRDefault="006A6515" w:rsidP="006A6515">
      <w:pPr>
        <w:pStyle w:val="Sansinterligne"/>
        <w:rPr>
          <w:rFonts w:ascii="Garamond" w:hAnsi="Garamond"/>
          <w:lang w:val="en-US"/>
        </w:rPr>
      </w:pPr>
    </w:p>
    <w:p w:rsidR="00A95446" w:rsidRDefault="00B437A1" w:rsidP="00CE4D4E">
      <w:pPr>
        <w:pStyle w:val="Sansinterligne"/>
        <w:numPr>
          <w:ilvl w:val="0"/>
          <w:numId w:val="6"/>
        </w:numPr>
        <w:rPr>
          <w:rFonts w:ascii="Garamond" w:hAnsi="Garamond"/>
        </w:rPr>
      </w:pPr>
      <w:hyperlink w:anchor="Massen10" w:history="1">
        <w:r w:rsidR="00A95446" w:rsidRPr="00A95446">
          <w:rPr>
            <w:rStyle w:val="Lienhypertexte"/>
            <w:rFonts w:ascii="Garamond" w:hAnsi="Garamond"/>
          </w:rPr>
          <w:t>X. Die Masse und die Urhorde</w:t>
        </w:r>
      </w:hyperlink>
    </w:p>
    <w:p w:rsidR="006A6515" w:rsidRDefault="006A6515" w:rsidP="006A6515">
      <w:pPr>
        <w:pStyle w:val="Sansinterligne"/>
        <w:rPr>
          <w:rFonts w:ascii="Garamond" w:hAnsi="Garamond"/>
        </w:rPr>
      </w:pPr>
    </w:p>
    <w:p w:rsidR="00A95446" w:rsidRDefault="00B437A1" w:rsidP="00CE4D4E">
      <w:pPr>
        <w:pStyle w:val="Sansinterligne"/>
        <w:numPr>
          <w:ilvl w:val="0"/>
          <w:numId w:val="6"/>
        </w:numPr>
        <w:rPr>
          <w:rFonts w:ascii="Garamond" w:hAnsi="Garamond"/>
          <w:lang w:val="en-US"/>
        </w:rPr>
      </w:pPr>
      <w:hyperlink w:anchor="Massen11" w:history="1">
        <w:r w:rsidR="00A95446" w:rsidRPr="00A95446">
          <w:rPr>
            <w:rStyle w:val="Lienhypertexte"/>
            <w:rFonts w:ascii="Garamond" w:hAnsi="Garamond"/>
            <w:lang w:val="en-US"/>
          </w:rPr>
          <w:t>XI. Eine Stufe im Ich</w:t>
        </w:r>
      </w:hyperlink>
    </w:p>
    <w:p w:rsidR="006A6515" w:rsidRPr="006A6515" w:rsidRDefault="006A6515" w:rsidP="006A6515">
      <w:pPr>
        <w:pStyle w:val="Sansinterligne"/>
        <w:rPr>
          <w:rFonts w:ascii="Garamond" w:hAnsi="Garamond"/>
          <w:lang w:val="en-US"/>
        </w:rPr>
      </w:pPr>
    </w:p>
    <w:p w:rsidR="00A95446" w:rsidRPr="00A95446" w:rsidRDefault="00B437A1" w:rsidP="00CE4D4E">
      <w:pPr>
        <w:pStyle w:val="Sansinterligne"/>
        <w:numPr>
          <w:ilvl w:val="0"/>
          <w:numId w:val="6"/>
        </w:numPr>
        <w:rPr>
          <w:rFonts w:ascii="Garamond" w:hAnsi="Garamond"/>
        </w:rPr>
      </w:pPr>
      <w:hyperlink w:anchor="Massen12" w:history="1">
        <w:r w:rsidR="00A95446" w:rsidRPr="00A95446">
          <w:rPr>
            <w:rStyle w:val="Lienhypertexte"/>
            <w:rFonts w:ascii="Garamond" w:hAnsi="Garamond"/>
            <w:lang w:val="en-US"/>
          </w:rPr>
          <w:t>XII. Nachträge</w:t>
        </w:r>
      </w:hyperlink>
    </w:p>
    <w:p w:rsidR="00A95446" w:rsidRPr="00A95446" w:rsidRDefault="00A95446">
      <w:pPr>
        <w:rPr>
          <w:rFonts w:ascii="Garamond" w:eastAsiaTheme="majorEastAsia" w:hAnsi="Garamond" w:cstheme="majorBidi"/>
          <w:b/>
          <w:bCs/>
          <w:color w:val="365F91" w:themeColor="accent1" w:themeShade="BF"/>
        </w:rPr>
      </w:pPr>
      <w:r w:rsidRPr="00A95446">
        <w:rPr>
          <w:rFonts w:ascii="Garamond" w:hAnsi="Garamond"/>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I. Ei</w:t>
        </w:r>
        <w:bookmarkStart w:id="25" w:name="Massen1"/>
        <w:bookmarkEnd w:id="25"/>
        <w:r w:rsidR="00525700" w:rsidRPr="00725852">
          <w:rPr>
            <w:rStyle w:val="Lienhypertexte"/>
            <w:rFonts w:ascii="Garamond" w:hAnsi="Garamond"/>
            <w:lang w:val="en-US"/>
          </w:rPr>
          <w:t>nleitung</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Der Gegensatz von Individual- und Sozial- oder Massenpsychologie, der uns auf den ersten Blick als sehr bedeutsam erscheinen mag, verliert bei eingehender Betrachtung sehr viel von seiner Schärfe. Die Individual</w:t>
      </w:r>
      <w:r w:rsidRPr="00725852">
        <w:rPr>
          <w:rFonts w:ascii="Garamond" w:hAnsi="Garamond"/>
          <w:lang w:val="en-US"/>
        </w:rPr>
        <w:softHyphen/>
        <w:t>psychologie ist zwar auf den einzelnen Menschen eingestellt und verfolgt, auf welchen Wegen derselbe die Befriedigung seiner Triebregungen zu erreichen sucht, allein sie kommt dabei nur selten, unter bestimmten Ausnahmsbedin</w:t>
      </w:r>
      <w:r w:rsidRPr="00725852">
        <w:rPr>
          <w:rFonts w:ascii="Garamond" w:hAnsi="Garamond"/>
          <w:lang w:val="en-US"/>
        </w:rPr>
        <w:softHyphen/>
        <w:t>gungen, in die Lage, von den Beziehungen dieses Einzelnen zu anderen Individuen abzusehen. Im Seelenleben des Einzelnen kommt ganz regel</w:t>
      </w:r>
      <w:r w:rsidRPr="00725852">
        <w:rPr>
          <w:rFonts w:ascii="Garamond" w:hAnsi="Garamond"/>
          <w:lang w:val="en-US"/>
        </w:rPr>
        <w:softHyphen/>
        <w:t>mäßig der andere als Vorbild, als Objekt, als Helfer und als Gegner in Betracht, und die Individualpsychologie ist daher von Anfang an auch gleichzeitig Sozialpsychologie in diesem erweiterten, aber durchaus berechtigten Sinne.</w:t>
      </w:r>
    </w:p>
    <w:p w:rsidR="00525700" w:rsidRPr="00725852" w:rsidRDefault="00525700" w:rsidP="00725852">
      <w:pPr>
        <w:pStyle w:val="Sansinterligne"/>
        <w:rPr>
          <w:rFonts w:ascii="Garamond" w:hAnsi="Garamond"/>
          <w:lang w:val="en-US"/>
        </w:rPr>
      </w:pPr>
      <w:r w:rsidRPr="00725852">
        <w:rPr>
          <w:rFonts w:ascii="Garamond" w:hAnsi="Garamond"/>
          <w:lang w:val="en-US"/>
        </w:rPr>
        <w:t>Das Verhältnis des Einzelnen zu seinen Eltern und Geschwistern, zu seinem Liebesobjekt, zu seinem Lehrer und zu seinem Arzt, also alle die Beziehungen, welche bisher vorzugsweise Gegenstand der psychoanaly</w:t>
      </w:r>
      <w:r w:rsidRPr="00725852">
        <w:rPr>
          <w:rFonts w:ascii="Garamond" w:hAnsi="Garamond"/>
          <w:lang w:val="en-US"/>
        </w:rPr>
        <w:softHyphen/>
        <w:t xml:space="preserve">tischen Untersuchung geworden sind, können den Anspruch erheben, als soziale Phänomene gewürdigt zu werden, und stellen sich dann in Gegensatz zu gewissen anderen, von uns </w:t>
      </w:r>
      <w:r w:rsidRPr="00725852">
        <w:rPr>
          <w:rFonts w:ascii="Garamond" w:hAnsi="Garamond"/>
          <w:i/>
          <w:iCs/>
          <w:lang w:val="en-US"/>
        </w:rPr>
        <w:t>narzißtisch</w:t>
      </w:r>
      <w:r w:rsidRPr="00725852">
        <w:rPr>
          <w:rFonts w:ascii="Garamond" w:hAnsi="Garamond"/>
          <w:lang w:val="en-US"/>
        </w:rPr>
        <w:t xml:space="preserve"> genannten Vorgängen, bei denen die Triebbefriedigung sich dem Einfluß anderer Personen entzieht oder auf sie verzichtet. Der Gegensatz zwischen sozialen und narzißtischen — Bleuler würde vielleicht sagen: </w:t>
      </w:r>
      <w:r w:rsidRPr="00725852">
        <w:rPr>
          <w:rFonts w:ascii="Garamond" w:hAnsi="Garamond"/>
          <w:i/>
          <w:iCs/>
          <w:lang w:val="en-US"/>
        </w:rPr>
        <w:t>autistischen —</w:t>
      </w:r>
      <w:r w:rsidRPr="00725852">
        <w:rPr>
          <w:rFonts w:ascii="Garamond" w:hAnsi="Garamond"/>
          <w:lang w:val="en-US"/>
        </w:rPr>
        <w:t xml:space="preserve"> seelischen Akten fällt also durchaus innerhalb des Bereichs der Individualpsychologie und eignet sich nidit dazu, sie von einer Sozial- oder Massenpsychologie abzutrennen.</w:t>
      </w:r>
    </w:p>
    <w:p w:rsidR="00525700" w:rsidRPr="00725852" w:rsidRDefault="00525700" w:rsidP="00725852">
      <w:pPr>
        <w:pStyle w:val="Sansinterligne"/>
        <w:rPr>
          <w:rFonts w:ascii="Garamond" w:hAnsi="Garamond"/>
          <w:lang w:val="en-US"/>
        </w:rPr>
      </w:pPr>
      <w:r w:rsidRPr="00725852">
        <w:rPr>
          <w:rFonts w:ascii="Garamond" w:hAnsi="Garamond"/>
          <w:lang w:val="en-US"/>
        </w:rPr>
        <w:t>In den erwähnten Verhältnissen zu Eltern und Geschwistern, zur Gelieb</w:t>
      </w:r>
      <w:r w:rsidRPr="00725852">
        <w:rPr>
          <w:rFonts w:ascii="Garamond" w:hAnsi="Garamond"/>
          <w:lang w:val="en-US"/>
        </w:rPr>
        <w:softHyphen/>
        <w:t>ten, zum Freund, Lehrer und zum Arzt erfährt der Einzelne immer nur den Einfluß einer einzigen oder einer sehr geringen Anzahl von Personen, von denen eine jede eine großartige Bedeutung für ihn erworben hat. Man hat sich nun gewöhnt, wenn man von Sozial- oder Massenpsychologie spricht, von diesen Beziehungen abzusehen und die gleichzeitige Beeinflussung des Einzelnen durch eine große Anzahl von Personen, mit denen er durch irgend etwas verbunden ist, während sie ihm sonst in vielen Hinsichten fremd sein mögen, als Gegenstand der Untersuchung abzusondern. Die Massenpsycho</w:t>
      </w:r>
      <w:r w:rsidRPr="00725852">
        <w:rPr>
          <w:rFonts w:ascii="Garamond" w:hAnsi="Garamond"/>
          <w:lang w:val="en-US"/>
        </w:rPr>
        <w:softHyphen/>
        <w:t>logie behandelt also den einzelnen Menschen als Mitglied eines Stammes, eines Volkes, einer Kaste, eines Standes, einer Institution oder als Bestandteil eines Menschenhaufens, der sich zu einer gewissen Zeit für einen bestimmten Zweck zur Masse organisiert. Nach dieser Zerreißung eines natürlichen Zusammenhanges lag es dann nahe, die Erscheinungen, die sich unter diesen besonderen Bedingungen zeigen, als Äußerungen eines beson</w:t>
      </w:r>
      <w:r w:rsidRPr="00725852">
        <w:rPr>
          <w:rFonts w:ascii="Garamond" w:hAnsi="Garamond"/>
          <w:lang w:val="en-US"/>
        </w:rPr>
        <w:softHyphen/>
        <w:t xml:space="preserve">deren, weiter nicht zurückführbaren Triebes anzusehen, des sozialen Triebes </w:t>
      </w:r>
      <w:r w:rsidRPr="00725852">
        <w:rPr>
          <w:rFonts w:ascii="Garamond" w:hAnsi="Garamond"/>
          <w:i/>
          <w:iCs/>
          <w:lang w:val="en-US"/>
        </w:rPr>
        <w:t>— herd instinct, group mind —,</w:t>
      </w:r>
      <w:r w:rsidRPr="00725852">
        <w:rPr>
          <w:rFonts w:ascii="Garamond" w:hAnsi="Garamond"/>
          <w:lang w:val="en-US"/>
        </w:rPr>
        <w:t xml:space="preserve"> der in anderen Situationen nicht zum Ausdruck kommt. Wir dürfen aber wohl den Einwand erheben, es falle uns schwer, dem Moment der Zahl eine so große Bedeutung einzuräumen, daß es ihm allein möglich sein sollte, im menschlichen Seelenleben einen neuen und sonst nicht betätigten Trieb zu wecken. Unsere Erwartung wird somit auf zwei andere Möglichkeiten hingelenkt: daß der soziale Trieb kein ursprünglicher und unzerlegbarer sein mag und daß die Anfänge seiner Bildung in einem engeren Kreis, wie etwa in dem der Familie, gefunden werden können.</w:t>
      </w:r>
    </w:p>
    <w:p w:rsidR="00525700" w:rsidRPr="00725852" w:rsidRDefault="00525700" w:rsidP="00725852">
      <w:pPr>
        <w:pStyle w:val="Sansinterligne"/>
        <w:rPr>
          <w:rFonts w:ascii="Garamond" w:hAnsi="Garamond"/>
          <w:lang w:val="en-US"/>
        </w:rPr>
      </w:pPr>
      <w:r w:rsidRPr="00725852">
        <w:rPr>
          <w:rFonts w:ascii="Garamond" w:hAnsi="Garamond"/>
          <w:lang w:val="en-US"/>
        </w:rPr>
        <w:t>Die Massenpsychologie, obwohl erst in ihren Anfängen befindlich, umfaßt eine noch unübersehbare Fülle von Einzelproblemen und stellt dem Untersucher ungezählte, derzeit noch nicht einmal gut gesonderte Aufgaben. Die bloße Gruppierung der verschiedenen Formen von Massenbildung und die Beschreibung der von ihnen geäußerten psychischen Phänomene erfordern einen großen Aufwand von Beobachtung und Darstellung und haben bereits eine reichhaltige Literatur entstehen lassen. Wer dies schmale Büchlein an dem Umfang der Massenpsychologie mißt, wird ohneweiters vermuten dürfen, daß hier nur wenige Punkte des ganzen Stoffes behandelt werden sollen. Es werden wirklich auch nur einige Fragen sein, an denen die Tiefenforschung der Psychoanalyse ein besonderes Interesse nimmt.</w:t>
      </w:r>
    </w:p>
    <w:p w:rsidR="00A95446" w:rsidRPr="00725852" w:rsidRDefault="00A95446" w:rsidP="00725852">
      <w:pPr>
        <w:pStyle w:val="Sansinterligne"/>
        <w:rPr>
          <w:rFonts w:ascii="Garamond" w:eastAsiaTheme="majorEastAsia" w:hAnsi="Garamond" w:cstheme="majorBidi"/>
          <w:b/>
          <w:bCs/>
          <w:color w:val="365F91" w:themeColor="accent1" w:themeShade="BF"/>
          <w:lang w:val="en-US"/>
        </w:rPr>
      </w:pPr>
      <w:r w:rsidRPr="00725852">
        <w:rPr>
          <w:rFonts w:ascii="Garamond" w:hAnsi="Garamond"/>
          <w:lang w:val="en-US"/>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II. Le Bo</w:t>
        </w:r>
        <w:bookmarkStart w:id="26" w:name="Massen2"/>
        <w:bookmarkEnd w:id="26"/>
        <w:r w:rsidR="00525700" w:rsidRPr="00725852">
          <w:rPr>
            <w:rStyle w:val="Lienhypertexte"/>
            <w:rFonts w:ascii="Garamond" w:hAnsi="Garamond"/>
            <w:lang w:val="en-US"/>
          </w:rPr>
          <w:t>ns Schilderung der Massenseele</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rPr>
      </w:pPr>
      <w:r w:rsidRPr="00725852">
        <w:rPr>
          <w:rFonts w:ascii="Garamond" w:hAnsi="Garamond"/>
          <w:lang w:val="en-US"/>
        </w:rPr>
        <w:t xml:space="preserve">Zweckmäßiger als eine Definition voranzustellen scheint es, mit einem Hinweis auf das Erscheinungsgebiet zu beginnen und aus diesem einige besonders auffällige und charakteristische Tatsachen herauszugreifen, an welche die Untersuchung anknüpfen kann. </w:t>
      </w:r>
      <w:r w:rsidRPr="00725852">
        <w:rPr>
          <w:rFonts w:ascii="Garamond" w:hAnsi="Garamond"/>
        </w:rPr>
        <w:t xml:space="preserve">Wir erreichen beides durch einen Auszug aus dem mit Recht berühmt gewordenen Buch von Le Bon, </w:t>
      </w:r>
      <w:r w:rsidRPr="00725852">
        <w:rPr>
          <w:rFonts w:ascii="Garamond" w:hAnsi="Garamond"/>
          <w:i/>
          <w:iCs/>
        </w:rPr>
        <w:t>Psychologie der Massen.</w:t>
      </w:r>
      <w:r w:rsidRPr="00725852">
        <w:rPr>
          <w:rFonts w:ascii="Garamond" w:hAnsi="Garamond"/>
          <w:vertAlign w:val="superscript"/>
        </w:rPr>
        <w:t>1)</w:t>
      </w:r>
    </w:p>
    <w:p w:rsidR="00525700" w:rsidRPr="00725852" w:rsidRDefault="00525700" w:rsidP="00725852">
      <w:pPr>
        <w:pStyle w:val="Sansinterligne"/>
        <w:rPr>
          <w:rFonts w:ascii="Garamond" w:hAnsi="Garamond"/>
        </w:rPr>
      </w:pPr>
      <w:r w:rsidRPr="00725852">
        <w:rPr>
          <w:rFonts w:ascii="Garamond" w:hAnsi="Garamond"/>
        </w:rPr>
        <w:t>Machen wir uns den Sachverhalt nochmals klar: Wenn die Psychologie, welche die Anlagen, Triebregungen, Motive, Absichten eines einzelnen Menschen bis zu seinen Handlungen und in die Beziehungen zu seinen Nächsten verfolgt, ihre Aufgabe restlos gelöst und alle diese Zusammenhänge durchsichtig gemacht hätte, dann fände sie sich plötzlich vor einer neuen Aufgabe, die sich ungelöst vor ihr erhebt. Sie müßte die überraschende Tatsache erklären, daß dies ihr verständlich gewordene Individuum unter einer bestimmten Bedingung ganz anders fühlt, denkt und handelt, als von ihm zu erwarten stand, und diese Bedingung ist die Einreihung in eine Menschenmenge, welche die Eigenschaft einer »psychologischen Masse« erworben hat. Was ist nun eine »Masse«, wodurch erwirbt sie die Fähigkeit, das Seelenleben des Einzelnen so entscheidend zu beeinflussen, und worin besteht die seelische Veränderung, die sie dem Einzelnen aufnötigt?</w:t>
      </w:r>
    </w:p>
    <w:p w:rsidR="00525700" w:rsidRPr="00725852" w:rsidRDefault="00525700" w:rsidP="00725852">
      <w:pPr>
        <w:pStyle w:val="Sansinterligne"/>
        <w:rPr>
          <w:rFonts w:ascii="Garamond" w:hAnsi="Garamond"/>
          <w:lang w:val="en-US"/>
        </w:rPr>
      </w:pPr>
      <w:r w:rsidRPr="00725852">
        <w:rPr>
          <w:rFonts w:ascii="Garamond" w:hAnsi="Garamond"/>
          <w:lang w:val="en-US"/>
        </w:rPr>
        <w:t>Diese drei Fragen zu beantworten, ist die Aufgabe einer theoretischen Massenpsychologie. Man greift sie offenbar am besten an, wenn man von der dritten ausgeht. Es ist die Beobachtung der veränderten Reaktion des Einzelnen, welche der Massenpsychologie den Stoff liefert; jedem Erklärungs</w:t>
      </w:r>
      <w:r w:rsidRPr="00725852">
        <w:rPr>
          <w:rFonts w:ascii="Garamond" w:hAnsi="Garamond"/>
          <w:lang w:val="en-US"/>
        </w:rPr>
        <w:softHyphen/>
        <w:t>versuch muß ja die Beschreibung des zu Erklärenden vorausgehen.</w:t>
      </w:r>
    </w:p>
    <w:p w:rsidR="00525700" w:rsidRPr="00725852" w:rsidRDefault="00525700" w:rsidP="00725852">
      <w:pPr>
        <w:pStyle w:val="Sansinterligne"/>
        <w:rPr>
          <w:rFonts w:ascii="Garamond" w:hAnsi="Garamond"/>
          <w:lang w:val="en-US"/>
        </w:rPr>
      </w:pPr>
      <w:r w:rsidRPr="00725852">
        <w:rPr>
          <w:rFonts w:ascii="Garamond" w:hAnsi="Garamond"/>
        </w:rPr>
        <w:t xml:space="preserve">Ich lasse nun Le Bon zu Worte kommen. Er sagt (S. 13): »An einer psychologischen Masse ist das Sonderbarste dies: welcher Art auch die sie zusammensetzenden Individuen sein mögen, wie ähnlich oder unähnlich ihre Lebensweise, Beschäftigung, ihr Charakter oder ihre Intelligenz ist, durch den bloßen Umstand ihrer Umformung zur Masse besitzen sie eine Kollektivseele, vermöge deren sie in ganz anderer Weise fühlen, denken und handeln, als jedes von ihnen für sich fühlen, denken und handeln würde. </w:t>
      </w:r>
      <w:r w:rsidRPr="00725852">
        <w:rPr>
          <w:rFonts w:ascii="Garamond" w:hAnsi="Garamond"/>
          <w:lang w:val="en-US"/>
        </w:rPr>
        <w:t>Es gibt Ideen und Gefühle, die nur bei den zu Massen verbundenen Individuen auftreten oder sich in Handlungen umsetzen. Die psychologische Masse ist ein provisorisches Wesen, das aus heterogenen Elementen besteht, die für einen Augenblick sich miteinander verbunden haben, genauso wie die Zellen des Organismus durch ihre Vereinigung ein neues Wesen mit ganz anderen Eigenschaften als denen der einzelnen Zellen bilden.«</w:t>
      </w:r>
    </w:p>
    <w:p w:rsidR="00525700" w:rsidRPr="00725852" w:rsidRDefault="00525700" w:rsidP="00725852">
      <w:pPr>
        <w:pStyle w:val="Sansinterligne"/>
        <w:rPr>
          <w:rFonts w:ascii="Garamond" w:hAnsi="Garamond"/>
          <w:lang w:val="en-US"/>
        </w:rPr>
      </w:pPr>
      <w:r w:rsidRPr="00725852">
        <w:rPr>
          <w:rFonts w:ascii="Garamond" w:hAnsi="Garamond"/>
          <w:lang w:val="en-US"/>
        </w:rPr>
        <w:t>Indem wir uns die Freiheit nehmen, die Darstellung Le Bons durch unsere Glossen zu unterbrechen, geben wir hier der Bemerkung Raum: Wenn die Individuen in der Masse zu einer Einheit verbunden sind, so muß es wohl etwas geben, was sie aneinander bindet, und dies Bindemittel könnte gerade das sein, was für die Masse charakteristisch ist. Allein Le Bon beantwortet diese Frage nicht, er geht auf die Veränderung des Individuums in der Masse ein und beschreibt sie in Ausdrücken, welche mit den Grund</w:t>
      </w:r>
      <w:r w:rsidRPr="00725852">
        <w:rPr>
          <w:rFonts w:ascii="Garamond" w:hAnsi="Garamond"/>
          <w:lang w:val="en-US"/>
        </w:rPr>
        <w:softHyphen/>
        <w:t>voraussetzungen unserer Tiefenpsychologie in guter Übereinstimmung stehen.</w:t>
      </w:r>
    </w:p>
    <w:p w:rsidR="00525700" w:rsidRPr="00725852" w:rsidRDefault="00525700" w:rsidP="00725852">
      <w:pPr>
        <w:pStyle w:val="Sansinterligne"/>
        <w:rPr>
          <w:rFonts w:ascii="Garamond" w:hAnsi="Garamond"/>
        </w:rPr>
      </w:pPr>
      <w:r w:rsidRPr="00725852">
        <w:rPr>
          <w:rFonts w:ascii="Garamond" w:hAnsi="Garamond"/>
        </w:rPr>
        <w:t>(Ibid., 14.) »Leicht ist die Feststellung des Maßes von Verschiedenheit des einer Masse angehörenden vom isolierten Individuum, weniger leicht ist aber die Entdeckung der Ursachen dieser Verschiedenheit.«</w:t>
      </w:r>
    </w:p>
    <w:p w:rsidR="00525700" w:rsidRPr="00725852" w:rsidRDefault="00525700" w:rsidP="00725852">
      <w:pPr>
        <w:pStyle w:val="Sansinterligne"/>
        <w:rPr>
          <w:rFonts w:ascii="Garamond" w:hAnsi="Garamond"/>
          <w:lang w:val="en-US"/>
        </w:rPr>
      </w:pPr>
      <w:r w:rsidRPr="00725852">
        <w:rPr>
          <w:rFonts w:ascii="Garamond" w:hAnsi="Garamond"/>
        </w:rPr>
        <w:t xml:space="preserve">»Um diese Ursachen wenigstens einigermaßen zu finden, muß man sich zunächst der von der modernen Psychologie gemachten Feststellung erinnern, daß nicht bloß im organischen Leben, sondern auch in den intellektuellen Funktionen die unbewußten Phänomene eine überwiegende Rolle spielen. Das bewußte Geistesleben stellt nur einen recht geringen Teil neben dem unbewußten Seelenleben dar. Die feinste Analyse, die schärfste Beobachtung gelangt nur zu einer kleinen Anzahl bewußter Motive des Seelenlebens. Unsere bewußten Akte leiten sich aus einem, besonders durch Vererbungseinflüsse geschaffenen, unbewußten Substrat her. Dieses enthält die zahllosen Ahnenspuren, aus denen sich die Rassenseele konstituiert. </w:t>
      </w:r>
      <w:r w:rsidRPr="00725852">
        <w:rPr>
          <w:rFonts w:ascii="Garamond" w:hAnsi="Garamond"/>
          <w:lang w:val="en-US"/>
        </w:rPr>
        <w:t>Hinter den eingestandenen Motiven unserer Handlungen gibt es zweifellos die geheimen Gründe, die wir nicht eingestehen, hinter diesen liegen aber noch geheimere, die wir nicht einmal kennen. Die Mehrzahl unserer alltäglichen Handlungen ist nur die Wirkung verborgener, uns entgehender Motive.«</w:t>
      </w:r>
    </w:p>
    <w:p w:rsidR="00525700" w:rsidRPr="00725852" w:rsidRDefault="00525700" w:rsidP="00725852">
      <w:pPr>
        <w:pStyle w:val="Sansinterligne"/>
        <w:rPr>
          <w:rFonts w:ascii="Garamond" w:hAnsi="Garamond"/>
          <w:lang w:val="en-US"/>
        </w:rPr>
      </w:pPr>
      <w:r w:rsidRPr="00725852">
        <w:rPr>
          <w:rFonts w:ascii="Garamond" w:hAnsi="Garamond"/>
          <w:lang w:val="en-US"/>
        </w:rPr>
        <w:t>In der Masse, meint Le Bon, verwischen sich die individuellen Erwerbungen der Einzelnen, und damit verschwindet deren Eigenart. Das rassenmäßige Unbewußte tritt hervor, das Heterogene versinkt im Homogenen. Wir würden sagen, der psychische Oberbau, der sich bei den Einzelnen so verschiedenartig entwickelt hat, wird abgetragen, entkräftet, und das bei allen gleichartige unbewußte Fundament wird bloßgelegt (wirksam gemacht).</w:t>
      </w:r>
    </w:p>
    <w:p w:rsidR="00525700" w:rsidRPr="00725852" w:rsidRDefault="00525700" w:rsidP="00725852">
      <w:pPr>
        <w:pStyle w:val="Sansinterligne"/>
        <w:rPr>
          <w:rFonts w:ascii="Garamond" w:hAnsi="Garamond"/>
          <w:lang w:val="en-US"/>
        </w:rPr>
      </w:pPr>
      <w:r w:rsidRPr="00725852">
        <w:rPr>
          <w:rFonts w:ascii="Garamond" w:hAnsi="Garamond"/>
          <w:lang w:val="en-US"/>
        </w:rPr>
        <w:lastRenderedPageBreak/>
        <w:t>Auf diese Weise käme ein durchschnittlicher Charakter der Massen</w:t>
      </w:r>
      <w:r w:rsidRPr="00725852">
        <w:rPr>
          <w:rFonts w:ascii="Garamond" w:hAnsi="Garamond"/>
          <w:lang w:val="en-US"/>
        </w:rPr>
        <w:softHyphen/>
        <w:t>individuen zustande. Allein Le Bon findet, sie zeigen auch neue Eigenschaften, die sie vorher nicht besessen haben, und sucht den Grund dafür in drei verschiedenen Momenten.</w:t>
      </w:r>
    </w:p>
    <w:p w:rsidR="00525700" w:rsidRPr="00725852" w:rsidRDefault="00525700" w:rsidP="00725852">
      <w:pPr>
        <w:pStyle w:val="Sansinterligne"/>
        <w:rPr>
          <w:rFonts w:ascii="Garamond" w:hAnsi="Garamond"/>
          <w:lang w:val="en-US"/>
        </w:rPr>
      </w:pPr>
      <w:r w:rsidRPr="00725852">
        <w:rPr>
          <w:rFonts w:ascii="Garamond" w:hAnsi="Garamond"/>
          <w:lang w:val="en-US"/>
        </w:rPr>
        <w:t>(Ibid., 15.) »Die erste dieser Ursachen besteht darin, daß das Individuum in der Masse schon durch die Tatsache der Menge ein Gefühl unüber</w:t>
      </w:r>
      <w:r w:rsidRPr="00725852">
        <w:rPr>
          <w:rFonts w:ascii="Garamond" w:hAnsi="Garamond"/>
          <w:lang w:val="en-US"/>
        </w:rPr>
        <w:softHyphen/>
        <w:t>windlicher Macht erlangt, welches ihm gestattet, Trieben zu frönen, die es allein notwendig gezügelt hätte. Es wird dies nun um so weniger Anlaß haben, als bei der Anonymität und demnach auch Unverantwortlichkeit der Masse das Verantwortlichkeitsgefühl, welches die Individuen stets zurückhält, völlig schwindet.«</w:t>
      </w:r>
    </w:p>
    <w:p w:rsidR="00525700" w:rsidRPr="00725852" w:rsidRDefault="00525700" w:rsidP="00725852">
      <w:pPr>
        <w:pStyle w:val="Sansinterligne"/>
        <w:rPr>
          <w:rFonts w:ascii="Garamond" w:hAnsi="Garamond"/>
          <w:lang w:val="en-US"/>
        </w:rPr>
      </w:pPr>
      <w:r w:rsidRPr="00725852">
        <w:rPr>
          <w:rFonts w:ascii="Garamond" w:hAnsi="Garamond"/>
          <w:lang w:val="en-US"/>
        </w:rPr>
        <w:t>Wir brauchten von unserem Standpunkt weniger Wert auf das Auftauchen neuer Eigenschaften zu legen. Es genügte uns zu sagen, das Individuum komme in der Masse unter Bedingungen, die ihm gestatten, die Verdrän</w:t>
      </w:r>
      <w:r w:rsidRPr="00725852">
        <w:rPr>
          <w:rFonts w:ascii="Garamond" w:hAnsi="Garamond"/>
          <w:lang w:val="en-US"/>
        </w:rPr>
        <w:softHyphen/>
        <w:t>gungen seiner unbewußten Triebregungen abzuwerfen. Die anscheinend neuen Eigenschaften, die es dann zeigt, sind eben die Äußerungen dieses Unbewußten, in dem ja alles Böse der Menschenseele in der Anlage enthalten ist; das Schwinden des Gewissens oder Verantwortlichkeitsgefühls unter diesen Umständen macht unserem Verständnis keine Schwierigkeit. Wir hatten längst behauptet, der Kern des sogenannten Gewissens sei »soziale Angst«.</w:t>
      </w:r>
      <w:r w:rsidRPr="00725852">
        <w:rPr>
          <w:rFonts w:ascii="Garamond" w:hAnsi="Garamond"/>
          <w:vertAlign w:val="superscript"/>
          <w:lang w:val="en-US"/>
        </w:rPr>
        <w:t>2)</w:t>
      </w:r>
    </w:p>
    <w:p w:rsidR="00525700" w:rsidRPr="00725852" w:rsidRDefault="00525700" w:rsidP="00725852">
      <w:pPr>
        <w:pStyle w:val="Sansinterligne"/>
        <w:rPr>
          <w:rFonts w:ascii="Garamond" w:hAnsi="Garamond"/>
          <w:lang w:val="en-US"/>
        </w:rPr>
      </w:pPr>
      <w:r w:rsidRPr="00725852">
        <w:rPr>
          <w:rFonts w:ascii="Garamond" w:hAnsi="Garamond"/>
          <w:lang w:val="en-US"/>
        </w:rPr>
        <w:t>(Ibid., 16.) »Eine zweite Ursache, die Ansteckung, trägt ebenso dazu bei, bei den Massen die Äußerung spezieller Merkmale und zugleich deren Richtung zu bewerkstelligen. Die Ansteckung ist ein leicht zu konsta</w:t>
      </w:r>
      <w:r w:rsidRPr="00725852">
        <w:rPr>
          <w:rFonts w:ascii="Garamond" w:hAnsi="Garamond"/>
          <w:lang w:val="en-US"/>
        </w:rPr>
        <w:softHyphen/>
        <w:t>tierendes, aber unerklärliches Phänomen, das man den von uns sogleich zu studierenden Phänomenen hypnotischer Art zurechnen muß. In der Menge ist jedes Gefühl, jede Handlung ansteckend, und zwar in so hohem Grade, daß das Individuum sehr leicht sein persönliches Interesse dem Gesamtinteresse opfert. Es ist dies eine seiner Natur durchaus entgegengesetzte Fähigkeit, deren der Mensch nur als Massenbestandteil fähig ist.«</w:t>
      </w:r>
    </w:p>
    <w:p w:rsidR="00525700" w:rsidRPr="00725852" w:rsidRDefault="00525700" w:rsidP="00725852">
      <w:pPr>
        <w:pStyle w:val="Sansinterligne"/>
        <w:rPr>
          <w:rFonts w:ascii="Garamond" w:hAnsi="Garamond"/>
          <w:lang w:val="en-US"/>
        </w:rPr>
      </w:pPr>
      <w:r w:rsidRPr="00725852">
        <w:rPr>
          <w:rFonts w:ascii="Garamond" w:hAnsi="Garamond"/>
          <w:lang w:val="en-US"/>
        </w:rPr>
        <w:t>Wir werden auf diesem letzten Satz später eine wichtige Vermutung begründen.</w:t>
      </w:r>
    </w:p>
    <w:p w:rsidR="00525700" w:rsidRPr="00725852" w:rsidRDefault="00525700" w:rsidP="00725852">
      <w:pPr>
        <w:pStyle w:val="Sansinterligne"/>
        <w:rPr>
          <w:rFonts w:ascii="Garamond" w:hAnsi="Garamond"/>
          <w:lang w:val="en-US"/>
        </w:rPr>
      </w:pPr>
      <w:r w:rsidRPr="00725852">
        <w:rPr>
          <w:rFonts w:ascii="Garamond" w:hAnsi="Garamond"/>
          <w:lang w:val="en-US"/>
        </w:rPr>
        <w:t>(Ibid., 16.) »Eine dritte, und zwar die wichtigste Ursache bedingt in den zur Masse vereinigten Individuen besondere Eigenschaften, welche denen des isolierten Individuums völlig entgegengesetzt sind. Ich rede hier von der Suggestibilität, von der die erwähnte Ansteckung übrigens nur eine Wirkung ist.«</w:t>
      </w:r>
    </w:p>
    <w:p w:rsidR="00525700" w:rsidRPr="00725852" w:rsidRDefault="00525700" w:rsidP="00725852">
      <w:pPr>
        <w:pStyle w:val="Sansinterligne"/>
        <w:rPr>
          <w:rFonts w:ascii="Garamond" w:hAnsi="Garamond"/>
          <w:lang w:val="en-US"/>
        </w:rPr>
      </w:pPr>
      <w:r w:rsidRPr="00725852">
        <w:rPr>
          <w:rFonts w:ascii="Garamond" w:hAnsi="Garamond"/>
          <w:lang w:val="en-US"/>
        </w:rPr>
        <w:t>»Zum Verständnis dieser Erscheinung gehört die Vergegenwärtigung gewisser neuer Entdeckungen der Physiologie. Wir wissen jetzt, daß ein Mensch mittels mannigfacher Prozeduren in einen solchen Zustand versetzt werden kann, daß er nach Verlust seiner ganzen bewußten Persönlichkeit allen Suggestionen desjenigen gehorcht, der ihn seines Persönlichkeits</w:t>
      </w:r>
      <w:r w:rsidRPr="00725852">
        <w:rPr>
          <w:rFonts w:ascii="Garamond" w:hAnsi="Garamond"/>
          <w:lang w:val="en-US"/>
        </w:rPr>
        <w:softHyphen/>
        <w:t>bewußtseins beraubt hat, und daß er die zu seinem Charakter und seinen Gewohnheiten in schärfstem Gegensatz stehenden Handlungen begeht. Nun scheinen sehr sorgfältige Beobachtungen darzutun, daß ein eine Zeitlang im Schöße einer tätigen Masse eingebettetes Individuum in Bälde — durch Ausströmungen, die von ihr ausgehen, oder sonst eine unbekannte Ursache — sich in einem Sonderzustand befindet, der sich sehr der Faszination nähert, die den Hypnotisierten unter dem Einfluß des Hypnotisators befällt... Die bewußte Persönlichkeit ist völlig geschwunden, Wille und Unterscheidungsvermögen fehlen, alle Gefühle und Gedanken sind nach der durch den Hypnotisator hergestellten Richtung orientiert.«</w:t>
      </w:r>
    </w:p>
    <w:p w:rsidR="00525700" w:rsidRPr="00725852" w:rsidRDefault="00525700" w:rsidP="00725852">
      <w:pPr>
        <w:pStyle w:val="Sansinterligne"/>
        <w:rPr>
          <w:rFonts w:ascii="Garamond" w:hAnsi="Garamond"/>
          <w:lang w:val="en-US"/>
        </w:rPr>
      </w:pPr>
      <w:r w:rsidRPr="00725852">
        <w:rPr>
          <w:rFonts w:ascii="Garamond" w:hAnsi="Garamond"/>
          <w:lang w:val="en-US"/>
        </w:rPr>
        <w:t>»So ungefähr verhält sich auch der Zustand des einer psychologischen Masse angehörenden Individuums. Es ist sich seiner Handlungen nicht mehr bewußt. Wie beim Hypnotisierten können bei ihm, während zugleich gewisse Fähigkeiten aufgehoben sind, andere auf einen Grad höchster Stärke gebracht werden. Unter dem Einflüsse einer Suggestion wird es sich mit einem unwiderstehlichen Triebe an die Ausführung bestimmter Handlungen machen. Und dieses Ungestüm ist bei den Massen noch unwiderstehlicher als beim Hypnotisierten, weil die für alle Individuen gleiche Suggestion durch Gegenseitigkeit anwächst.«</w:t>
      </w:r>
    </w:p>
    <w:p w:rsidR="00525700" w:rsidRPr="00725852" w:rsidRDefault="00525700" w:rsidP="00725852">
      <w:pPr>
        <w:pStyle w:val="Sansinterligne"/>
        <w:rPr>
          <w:rFonts w:ascii="Garamond" w:hAnsi="Garamond"/>
          <w:lang w:val="en-US"/>
        </w:rPr>
      </w:pPr>
      <w:r w:rsidRPr="00725852">
        <w:rPr>
          <w:rFonts w:ascii="Garamond" w:hAnsi="Garamond"/>
          <w:lang w:val="en-US"/>
        </w:rPr>
        <w:t>(Ibid., 17.) »Die Hauptmerkmale des in der Masse befindlichen Individu</w:t>
      </w:r>
      <w:r w:rsidRPr="00725852">
        <w:rPr>
          <w:rFonts w:ascii="Garamond" w:hAnsi="Garamond"/>
          <w:lang w:val="en-US"/>
        </w:rPr>
        <w:softHyphen/>
        <w:t>ums sind demnach: Schwund der bewußten Persönlichkeit, Vorherrschaft der unbewußten Persönlichkeit, Orientierung der Gedanken und Gefühle in derselben Richtung durch Suggestion und Ansteckung, Tendenz zur unverzüglichen Verwirklichung der suggerierten Ideen. Das Individuum ist nicht mehr es selbst, es ist ein willenloser Automat geworden.«</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Ich habe dieses Zitat so ausführlich wiedergegeben, um zu bekräftigen, daß Le Bon den Zustand des Individuums in der Masse wirklich für einen hypnotischen erklärt, nicht etwa ihn bloß mit einem solchen vergleicht. Wir beabsichtigen hier keinen Widerspruch, wollen nur hervorheben, daß die beiden letzten Ursachen der Veränderung des Einzelnen in der Masse, die Ansteckung und die höhere Suggerierbarkeit, offenbar nicht gleichartig sind, da ja die Ansteckung auch eine Äußerung der Suggerierbarkeit sein soll. Auch die Wirkungen der beiden Momente scheinen uns im Text Le Bons nicht scharf geschieden. Vielleicht deuten wir seine Äußerung am besten aus, wenn wir die Ansteckung auf die Wirkung der einzelnen Mitglieder der Masse aufeinander beziehen, während die mit den Phänomenen der hypnotischen </w:t>
      </w:r>
      <w:r w:rsidRPr="00725852">
        <w:rPr>
          <w:rFonts w:ascii="Garamond" w:hAnsi="Garamond"/>
          <w:lang w:val="en-US"/>
        </w:rPr>
        <w:lastRenderedPageBreak/>
        <w:t>Beeinflussung gleichgestellten Suggestionserscheinungen in der Masse auf eine andere Quelle hinweisen. Auf welche aber? Es muß uns als eine empfindliche Unvollständigkeit berühren, daß eines der Hauptstücke dieser Angleichung, nämlich die Person, welche für die Masse den Hypnotiseur ersetzt, in der Darstellung Le Bons nicht erwähnt wird. Immerhin unterscheidet er von diesem im dunkeln gelassenen faszinierenden Einfluß die ansteckende Wirkung, die die Einzelnen aufeinander ausüben, durch welche die ursprüngliche Suggestion verstärkt wird.</w:t>
      </w:r>
    </w:p>
    <w:p w:rsidR="00525700" w:rsidRPr="00725852" w:rsidRDefault="00525700" w:rsidP="00725852">
      <w:pPr>
        <w:pStyle w:val="Sansinterligne"/>
        <w:rPr>
          <w:rFonts w:ascii="Garamond" w:hAnsi="Garamond"/>
          <w:lang w:val="en-US"/>
        </w:rPr>
      </w:pPr>
      <w:r w:rsidRPr="00725852">
        <w:rPr>
          <w:rFonts w:ascii="Garamond" w:hAnsi="Garamond"/>
          <w:lang w:val="en-US"/>
        </w:rPr>
        <w:t>Noch ein wichtiger Gesichtspunkt für die Beurteilung des Massen</w:t>
      </w:r>
      <w:r w:rsidRPr="00725852">
        <w:rPr>
          <w:rFonts w:ascii="Garamond" w:hAnsi="Garamond"/>
          <w:lang w:val="en-US"/>
        </w:rPr>
        <w:softHyphen/>
        <w:t>individuums: (Ibid., 17.) »Ferner steigt durch die bloße Zugehörigkeit zu einer organisierten Masse der Mensch mehrere Stufen auf der Leiter der Zivilisation herab. In seiner Vereinzelung war er vielleicht ein gebildetes Individuum, in der Masse ist er ein Barbar, das heißt ein Triebwesen. Er besitzt die Spontaneität, die Heftigkeit, die Wildheit und auch den Enthusiasmus und Heroismus primitiver Wesen.« Er verweilt dann noch besonders bei der Herabsetzung der intellektuellen Leistung, die der Einzelne durch sein Aufgehen in der Masse erfährt.</w:t>
      </w:r>
      <w:r w:rsidRPr="00725852">
        <w:rPr>
          <w:rFonts w:ascii="Garamond" w:hAnsi="Garamond"/>
          <w:vertAlign w:val="superscript"/>
          <w:lang w:val="en-US"/>
        </w:rPr>
        <w:t>3)</w:t>
      </w:r>
    </w:p>
    <w:p w:rsidR="00525700" w:rsidRPr="00725852" w:rsidRDefault="00525700" w:rsidP="00725852">
      <w:pPr>
        <w:pStyle w:val="Sansinterligne"/>
        <w:rPr>
          <w:rFonts w:ascii="Garamond" w:hAnsi="Garamond"/>
          <w:lang w:val="en-US"/>
        </w:rPr>
      </w:pPr>
      <w:r w:rsidRPr="00725852">
        <w:rPr>
          <w:rFonts w:ascii="Garamond" w:hAnsi="Garamond"/>
          <w:lang w:val="en-US"/>
        </w:rPr>
        <w:t>Verlassen wir nun den Einzelnen und wenden wir uns zur Beschreibung der Massenseele, wie Le Bon sie entwirft. Es ist kein Zug darin, dessen Ableitung und Unterbringung dem Psychoanalytiker Schwierigkeiten bereiten würde. Le Bon weist uns selbst den Weg, indem er auf die Übereinstimmung mit dem Seelenleben der Primitiven und der Kinder hinweist. (Ibid., 19.)</w:t>
      </w:r>
    </w:p>
    <w:p w:rsidR="00525700" w:rsidRPr="00725852" w:rsidRDefault="00525700" w:rsidP="00725852">
      <w:pPr>
        <w:pStyle w:val="Sansinterligne"/>
        <w:rPr>
          <w:rFonts w:ascii="Garamond" w:hAnsi="Garamond"/>
          <w:lang w:val="en-US"/>
        </w:rPr>
      </w:pPr>
      <w:r w:rsidRPr="00725852">
        <w:rPr>
          <w:rFonts w:ascii="Garamond" w:hAnsi="Garamond"/>
          <w:lang w:val="en-US"/>
        </w:rPr>
        <w:t>Die Masse ist impulsiv, wandelbar und reizbar. Sie wird fast ausschließlich vom Unbewußten geleitet.</w:t>
      </w:r>
      <w:r w:rsidRPr="00725852">
        <w:rPr>
          <w:rFonts w:ascii="Garamond" w:hAnsi="Garamond"/>
          <w:vertAlign w:val="superscript"/>
          <w:lang w:val="en-US"/>
        </w:rPr>
        <w:t>4)</w:t>
      </w:r>
      <w:r w:rsidRPr="00725852">
        <w:rPr>
          <w:rFonts w:ascii="Garamond" w:hAnsi="Garamond"/>
          <w:lang w:val="en-US"/>
        </w:rPr>
        <w:t xml:space="preserve"> Die Impulse, denen die Masse gehorcht, können je nach Umständen edel oder grausam, heroisch oder feige sein, jedenfalls aber sind sie so gebieterisch, daß nicht das persönliche, nicht einmal das Interesse der Selbsterhaltung zur Geltung kommt. (Ibid., 20.) Nichts ist bei ihr vorbedacht. Wenn sie auch die Dinge leidenschaftlich begehrt, so doch nie für lange, sie ist unfähig zu einem Dauerwillen. Sie verträgt keinen Aufschub zwischen ihrem Begehren und der Verwirklichung des Begehrten. Sie hat das Gefühl der Allmacht, für das Individuum in der Masse schwindet der Begriff des Unmöglichen.</w:t>
      </w:r>
      <w:r w:rsidRPr="00725852">
        <w:rPr>
          <w:rFonts w:ascii="Garamond" w:hAnsi="Garamond"/>
          <w:vertAlign w:val="superscript"/>
          <w:lang w:val="en-US"/>
        </w:rPr>
        <w:t>5)</w:t>
      </w:r>
    </w:p>
    <w:p w:rsidR="00525700" w:rsidRPr="00725852" w:rsidRDefault="00525700" w:rsidP="00725852">
      <w:pPr>
        <w:pStyle w:val="Sansinterligne"/>
        <w:rPr>
          <w:rFonts w:ascii="Garamond" w:hAnsi="Garamond"/>
          <w:lang w:val="en-US"/>
        </w:rPr>
      </w:pPr>
      <w:r w:rsidRPr="00725852">
        <w:rPr>
          <w:rFonts w:ascii="Garamond" w:hAnsi="Garamond"/>
          <w:lang w:val="en-US"/>
        </w:rPr>
        <w:t>Die Masse ist außerordentlich beeinflußbar und leichtgläubig, sie ist kritiklos, das Unwahrscheinliche existiert für sie nicht. Sie denkt in Bildern, die einander assoziativ hervorrufen, wie sie sich beim Einzelnen in Zuständen des freien Phantasierens einstellen, und die von keiner verständigen Instanz an der Übereinstimmung mit der Wirklichkeit gemessen werden. Die Gefühle der Masse sind stets sehr einfach und sehr überschwenglich. Die Masse kennt also weder Zweifel noch Ungewißheit.</w:t>
      </w:r>
      <w:r w:rsidRPr="00725852">
        <w:rPr>
          <w:rFonts w:ascii="Garamond" w:hAnsi="Garamond"/>
          <w:vertAlign w:val="superscript"/>
          <w:lang w:val="en-US"/>
        </w:rPr>
        <w:t>6)</w:t>
      </w:r>
    </w:p>
    <w:p w:rsidR="00525700" w:rsidRPr="00725852" w:rsidRDefault="00525700" w:rsidP="00725852">
      <w:pPr>
        <w:pStyle w:val="Sansinterligne"/>
        <w:rPr>
          <w:rFonts w:ascii="Garamond" w:hAnsi="Garamond"/>
          <w:lang w:val="en-US"/>
        </w:rPr>
      </w:pPr>
      <w:r w:rsidRPr="00725852">
        <w:rPr>
          <w:rFonts w:ascii="Garamond" w:hAnsi="Garamond"/>
          <w:lang w:val="en-US"/>
        </w:rPr>
        <w:t>Sie geht sofort zum Äußersten, der ausgesprochene Verdacht wandelt sich bei ihr sogleich in unumstößliche Gewißheit, ein Keim von Antipathie wird zum wilden Haß. (Ibid., 32.)</w:t>
      </w:r>
      <w:r w:rsidRPr="00725852">
        <w:rPr>
          <w:rFonts w:ascii="Garamond" w:hAnsi="Garamond"/>
          <w:vertAlign w:val="superscript"/>
          <w:lang w:val="en-US"/>
        </w:rPr>
        <w:t>7)</w:t>
      </w:r>
    </w:p>
    <w:p w:rsidR="00525700" w:rsidRPr="00725852" w:rsidRDefault="00525700" w:rsidP="00725852">
      <w:pPr>
        <w:pStyle w:val="Sansinterligne"/>
        <w:rPr>
          <w:rFonts w:ascii="Garamond" w:hAnsi="Garamond"/>
          <w:lang w:val="en-US"/>
        </w:rPr>
      </w:pPr>
      <w:r w:rsidRPr="00725852">
        <w:rPr>
          <w:rFonts w:ascii="Garamond" w:hAnsi="Garamond"/>
          <w:lang w:val="en-US"/>
        </w:rPr>
        <w:t>Selbst zu allen Extremen geneigt, wird die Masse auch nur durch übermäßige Reize erregt. Wer auf sie wirken will, bedarf keiner logischen Abmessung seiner Argumente, er muß in den kräftigsten Bildern malen, übertreiben und immer das gleiche wiederholen.</w:t>
      </w:r>
    </w:p>
    <w:p w:rsidR="00525700" w:rsidRPr="00725852" w:rsidRDefault="00525700" w:rsidP="00725852">
      <w:pPr>
        <w:pStyle w:val="Sansinterligne"/>
        <w:rPr>
          <w:rFonts w:ascii="Garamond" w:hAnsi="Garamond"/>
          <w:lang w:val="en-US"/>
        </w:rPr>
      </w:pPr>
      <w:r w:rsidRPr="00725852">
        <w:rPr>
          <w:rFonts w:ascii="Garamond" w:hAnsi="Garamond"/>
          <w:lang w:val="en-US"/>
        </w:rPr>
        <w:t>Da die Masse betreffs des Wahren oder Falschen nicht im Zweifel ist und dabei das Bewußtsein ihrer großen Kraft hat, ist sie ebenso intolerant wie autoritätsgläubig. Sie respektiert die Kraft und läßt sich von der Güte, die für sie nur eine Art von Schwäche bedeutet, nur mäßig beeinflussen. Was sie von ihren Helden verlangt, ist Stärke, selbst Gewalttätigkeit. Sie will beherrscht und unterdrückt werden und ihren Herrn fürchten. Im Grunde durchaus konservativ, hat sie tiefen Abscheu vor allen Neuerungen und Fortschritten und unbegrenzte Ehrfurcht vor der Tradition. (Ibid., 37.)</w:t>
      </w:r>
    </w:p>
    <w:p w:rsidR="00525700" w:rsidRPr="00725852" w:rsidRDefault="00525700" w:rsidP="00725852">
      <w:pPr>
        <w:pStyle w:val="Sansinterligne"/>
        <w:rPr>
          <w:rFonts w:ascii="Garamond" w:hAnsi="Garamond"/>
          <w:lang w:val="en-US"/>
        </w:rPr>
      </w:pPr>
      <w:r w:rsidRPr="00725852">
        <w:rPr>
          <w:rFonts w:ascii="Garamond" w:hAnsi="Garamond"/>
          <w:lang w:val="en-US"/>
        </w:rPr>
        <w:t>Um die Sittlichkeit der Massen richtig zu beurteilen, muß man in Betracht ziehen, daß im Beisammensein der Massenindividuen alle individuellen Hemmungen entfallen und alle grausamen, brutalen, destruktiven Instinkte, die als Überbleibsel der Urzeit im Einzelnen schlummern, zur freien Triebbefriedigung geweckt werden. Aber die Massen sind auch unter dem Einfluß der Suggestion hoher Leistungen von Entsagung, Uneigennützigkeit, Hingebung an ein Ideal fähig. Während der persönliche Vorteil beim isolierten Individuum so ziemlich die einzige Triebfeder ist, ist er bei den Massen sehr selten vorherrschend. Man kann von einer Versittlichung des Einzelnen durch die Masse sprechen (ibid., 39). Während die intellektuelle Leistung der Masse immer tief unter der des Einzelnen steht, kann ihr ethisches Verhalten dies Niveau ebenso hoch überragen, wie tief darunter herabgehen.</w:t>
      </w:r>
    </w:p>
    <w:p w:rsidR="00525700" w:rsidRPr="00725852" w:rsidRDefault="00525700" w:rsidP="00725852">
      <w:pPr>
        <w:pStyle w:val="Sansinterligne"/>
        <w:rPr>
          <w:rFonts w:ascii="Garamond" w:hAnsi="Garamond"/>
          <w:lang w:val="en-US"/>
        </w:rPr>
      </w:pPr>
      <w:r w:rsidRPr="00725852">
        <w:rPr>
          <w:rFonts w:ascii="Garamond" w:hAnsi="Garamond"/>
          <w:lang w:val="en-US"/>
        </w:rPr>
        <w:t>Ein helles Licht auf die Berechtigung, die Massenseele mit der Seele der Primitiven zu identifizieren, werfen einige andere Züge der Le Bonschen Charakteristik. Bei den Massen können die entgegengesetztesten Ideen nebeneinanderbestehen und sich miteinander vertragen, ohne daß sich aus deren logischem Widerspruch ein Konflikt ergäbe. Dasselbe ist aber im unbewußten Seelenleben der Einzelnen, der Kinder und der Neurotiker der Fall, wie die Psychoanalyse längst nachgewiesen hat.</w:t>
      </w:r>
      <w:r w:rsidRPr="00725852">
        <w:rPr>
          <w:rFonts w:ascii="Garamond" w:hAnsi="Garamond"/>
          <w:vertAlign w:val="superscript"/>
          <w:lang w:val="en-US"/>
        </w:rPr>
        <w:t>8)</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Ferner unterliegt die Masse der wahrhaftig magischen Macht von Worten, die in der Massenseele die furchtbarsten Stürme hervorrufen und sie auch besänftigen können (ibid., 74). »Mit Vernunft und Argumenten kann man gegen gewisse Worte und Formeln nicht ankämpfen. Man spricht sie mit Andacht </w:t>
      </w:r>
      <w:r w:rsidRPr="00725852">
        <w:rPr>
          <w:rFonts w:ascii="Garamond" w:hAnsi="Garamond"/>
          <w:lang w:val="en-US"/>
        </w:rPr>
        <w:lastRenderedPageBreak/>
        <w:t>vor den Massen aus, und sogleich werden die Mienen respektvoll, und die Köpfe neigen sich. Von vielen werden sie als Naturkräfte oder als übernatürliche Mächte betrachtet.« (Ibid., 75.) Man braucht sich dabei nur an die Tabu der Namen bei den Primitiven, an die magischen Kräfte, die sich ihnen an Namen und Worte knüpfen, zu erinnern.</w:t>
      </w:r>
      <w:r w:rsidRPr="00725852">
        <w:rPr>
          <w:rFonts w:ascii="Garamond" w:hAnsi="Garamond"/>
          <w:vertAlign w:val="superscript"/>
          <w:lang w:val="en-US"/>
        </w:rPr>
        <w:t>9)</w:t>
      </w:r>
    </w:p>
    <w:p w:rsidR="00525700" w:rsidRPr="00725852" w:rsidRDefault="00525700" w:rsidP="00725852">
      <w:pPr>
        <w:pStyle w:val="Sansinterligne"/>
        <w:rPr>
          <w:rFonts w:ascii="Garamond" w:hAnsi="Garamond"/>
          <w:lang w:val="en-US"/>
        </w:rPr>
      </w:pPr>
      <w:r w:rsidRPr="00725852">
        <w:rPr>
          <w:rFonts w:ascii="Garamond" w:hAnsi="Garamond"/>
          <w:lang w:val="en-US"/>
        </w:rPr>
        <w:t>Und endlich: Die Massen haben nie den Wahrheitsdurst gekannt. Sie fordern Illusionen, auf die sie nicht verzichten können. Das Irreale hat bei ihnen stets den Vorrang vor dem Realen, das Unwirkliche beeinflußt sie fast ebenso stark wie das Wirkliche. Sie haben die sichtliche Tendenz, zwischen beiden keinen Unterschied zu machen (ibid., 47).</w:t>
      </w:r>
    </w:p>
    <w:p w:rsidR="00525700" w:rsidRPr="00725852" w:rsidRDefault="00525700" w:rsidP="00725852">
      <w:pPr>
        <w:pStyle w:val="Sansinterligne"/>
        <w:rPr>
          <w:rFonts w:ascii="Garamond" w:hAnsi="Garamond"/>
          <w:lang w:val="en-US"/>
        </w:rPr>
      </w:pPr>
      <w:r w:rsidRPr="00725852">
        <w:rPr>
          <w:rFonts w:ascii="Garamond" w:hAnsi="Garamond"/>
          <w:lang w:val="en-US"/>
        </w:rPr>
        <w:t>Diese Vorherrschaft des Phantasielebens und der vom unerfüllten Wunsch getragenen Illusion haben wir als bestimmend für die Psychologie der Neurosen aufgezeigt. Wir fanden, für die Neurotiker gelte nicht die gemeine objektive, sondern die psychische Realität. Ein hysterisches Symptom gründe sich auf Phantasie, anstatt auf die Wiederholung wirklichen Erlebens, ein zwangsneurotisches Schuldbewußtsein auf die Tatsache eines bösen Vorsatzes, der nie zur Ausführung gekommen. Ja, wie im Traum und in der Hypnose, tritt in der Seelentätigkeit der Masse die Realitätsprüfung zurück gegen die Stärke der affektiv besetzten Wunschregungen.</w:t>
      </w:r>
    </w:p>
    <w:p w:rsidR="00525700" w:rsidRPr="00725852" w:rsidRDefault="00525700" w:rsidP="00725852">
      <w:pPr>
        <w:pStyle w:val="Sansinterligne"/>
        <w:rPr>
          <w:rFonts w:ascii="Garamond" w:hAnsi="Garamond"/>
          <w:lang w:val="en-US"/>
        </w:rPr>
      </w:pPr>
      <w:r w:rsidRPr="00725852">
        <w:rPr>
          <w:rFonts w:ascii="Garamond" w:hAnsi="Garamond"/>
          <w:lang w:val="en-US"/>
        </w:rPr>
        <w:t>Was Le Bon über die Führer der Massen sagt, ist weniger erschöpfend und läßt das Gesetzmäßige nicht so deutlich durchschimmern. Er meint, sobald lebende Wesen in einer gewissen Anzahl vereinigt sind, einerlei, ob eine Herde Tiere oder eine Menschenmenge, stellen sie sich instinktiv unter die Autorität eines Oberhauptes (ibid., 86). Die Masse ist eine folgsame Herde, die nie ohne Herrn zu leben vermag. Sie hat einen solchen Durst zu gehorchen, daß sie sich jedem, der sich zu ihrem Herrn ernennt, instinktiv unterordnet.</w:t>
      </w:r>
    </w:p>
    <w:p w:rsidR="00525700" w:rsidRPr="00725852" w:rsidRDefault="00525700" w:rsidP="00725852">
      <w:pPr>
        <w:pStyle w:val="Sansinterligne"/>
        <w:rPr>
          <w:rFonts w:ascii="Garamond" w:hAnsi="Garamond"/>
          <w:lang w:val="en-US"/>
        </w:rPr>
      </w:pPr>
      <w:r w:rsidRPr="00725852">
        <w:rPr>
          <w:rFonts w:ascii="Garamond" w:hAnsi="Garamond"/>
          <w:lang w:val="en-US"/>
        </w:rPr>
        <w:t>Kommt so das Bedürfnis der Masse dem Führer entgegen, so muß er ihm doch durch persönliche Eigenschaften entsprechen. Er muß selbst durch einen starken Glauben (an eine Idee) fasziniert sein, um Glauben in der Masse zu erwecken, er muß einen starken, imponierenden Willen besitzen, den die willenlose Masse von ihm annimmt. Le Bon bespricht dann die verschiedenen Arten von Führern und die Mittel, durch welche sie auf die Masse wirken. Im ganzen läßt er die Führer durch die Ideen zur Bedeutung kommen, für die sie selbst fanatisiert sind.</w:t>
      </w:r>
    </w:p>
    <w:p w:rsidR="00525700" w:rsidRPr="00725852" w:rsidRDefault="00525700" w:rsidP="00725852">
      <w:pPr>
        <w:pStyle w:val="Sansinterligne"/>
        <w:rPr>
          <w:rFonts w:ascii="Garamond" w:hAnsi="Garamond"/>
          <w:lang w:val="en-US"/>
        </w:rPr>
      </w:pPr>
      <w:r w:rsidRPr="00725852">
        <w:rPr>
          <w:rFonts w:ascii="Garamond" w:hAnsi="Garamond"/>
          <w:lang w:val="en-US"/>
        </w:rPr>
        <w:t>Diesen Ideen wie den Führern schreibt er überdies eine geheimnisvolle, unwiderstehliche Macht zu, die er »Prestige« benennt. Das Prestige ist eine Art Herrschaft, die ein Individuum, ein Werk oder eine Idee über uns übt. Sie lähmt all unsere Fähigkeit zur Kritik und erfüllt uns mit Staunen und Achtung. Sie dürfte ein Gefühl hervorrufen, ähnlich wie das der Faszination der Hypnose (ibid., 96).</w:t>
      </w:r>
    </w:p>
    <w:p w:rsidR="00525700" w:rsidRPr="00725852" w:rsidRDefault="00525700" w:rsidP="00725852">
      <w:pPr>
        <w:pStyle w:val="Sansinterligne"/>
        <w:rPr>
          <w:rFonts w:ascii="Garamond" w:hAnsi="Garamond"/>
          <w:lang w:val="en-US"/>
        </w:rPr>
      </w:pPr>
      <w:r w:rsidRPr="00725852">
        <w:rPr>
          <w:rFonts w:ascii="Garamond" w:hAnsi="Garamond"/>
          <w:lang w:val="en-US"/>
        </w:rPr>
        <w:t>Er unterscheidet erworbenes oder künstliches und persönliches Prestige. Das erstere wird bei Personen durch Name, Reichtum, Ansehen verliehen, bei Anschauungen, Kunstwerken und dergleichen durch Tradition. Da es in allen Fällen auf die Vergangenheit zurückgreift, wird es für das Verständnis dieses rätselhaften Einflusses wenig leisten. Das persönliche Prestige haftet an wenigen Personen, die durch dasselbe zu Führern werden, und macht, daß ihnen alles wie unter der Wirkung eines magnetischen Zaubers gehorcht. Doch ist jedes Prestige auch vom Erfolg abhängig und geht durch Mißerfolge verloren (ibid., 103).</w:t>
      </w:r>
    </w:p>
    <w:p w:rsidR="00525700" w:rsidRPr="00725852" w:rsidRDefault="00525700" w:rsidP="00725852">
      <w:pPr>
        <w:pStyle w:val="Sansinterligne"/>
        <w:rPr>
          <w:rFonts w:ascii="Garamond" w:hAnsi="Garamond"/>
          <w:lang w:val="en-US"/>
        </w:rPr>
      </w:pPr>
      <w:r w:rsidRPr="00725852">
        <w:rPr>
          <w:rFonts w:ascii="Garamond" w:hAnsi="Garamond"/>
          <w:lang w:val="en-US"/>
        </w:rPr>
        <w:t>Man gewinnt nicht den Eindruck, daß bei Le Bon die Rolle der Führer und die Betonung des Prestiges in richtigen Einklang mit der so glänzend vorgetragenen Schilderung der Massenseele gebracht worden ist.</w:t>
      </w:r>
    </w:p>
    <w:p w:rsidR="00525700" w:rsidRPr="00725852" w:rsidRDefault="00525700" w:rsidP="00725852">
      <w:pPr>
        <w:pStyle w:val="Sansinterligne"/>
        <w:rPr>
          <w:rFonts w:ascii="Garamond" w:hAnsi="Garamond"/>
          <w:lang w:val="en-US"/>
        </w:rPr>
      </w:pPr>
      <w:r w:rsidRPr="00725852">
        <w:rPr>
          <w:rFonts w:ascii="Garamond" w:hAnsi="Garamond"/>
          <w:lang w:val="en-US"/>
        </w:rPr>
        <w:t>____________________</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1)</w:t>
      </w:r>
      <w:r w:rsidRPr="00725852">
        <w:rPr>
          <w:rFonts w:ascii="Garamond" w:hAnsi="Garamond"/>
          <w:lang w:val="en-US"/>
        </w:rPr>
        <w:t xml:space="preserve"> Übersetzt von Dr. Rudolf Eisler, zweite Auflage 1912.</w:t>
      </w:r>
    </w:p>
    <w:p w:rsidR="00525700" w:rsidRPr="00725852" w:rsidRDefault="00525700" w:rsidP="00725852">
      <w:pPr>
        <w:pStyle w:val="Sansinterligne"/>
        <w:rPr>
          <w:rFonts w:ascii="Garamond" w:hAnsi="Garamond"/>
        </w:rPr>
      </w:pPr>
      <w:r w:rsidRPr="00725852">
        <w:rPr>
          <w:rFonts w:ascii="Garamond" w:hAnsi="Garamond"/>
          <w:vertAlign w:val="superscript"/>
          <w:lang w:val="en-US"/>
        </w:rPr>
        <w:t>2)</w:t>
      </w:r>
      <w:r w:rsidRPr="00725852">
        <w:rPr>
          <w:rFonts w:ascii="Garamond" w:hAnsi="Garamond"/>
          <w:lang w:val="en-US"/>
        </w:rPr>
        <w:t xml:space="preserve"> Eine gewisse Differenz zwischen der Anschauung Le Bons und der unserigen stellt sich dadurch her, daß sein Begriff des Unbewußten nicht ganz mit dem von der Psychoanalyse angenommenen zusammenfällt. </w:t>
      </w:r>
      <w:r w:rsidRPr="00725852">
        <w:rPr>
          <w:rFonts w:ascii="Garamond" w:hAnsi="Garamond"/>
        </w:rPr>
        <w:t>Das Unbewußte Le Bons enthält vor allem die tiefsten Merkmale der Rassenseele, welche für die individuelle Psycho</w:t>
      </w:r>
      <w:r w:rsidRPr="00725852">
        <w:rPr>
          <w:rFonts w:ascii="Garamond" w:hAnsi="Garamond"/>
        </w:rPr>
        <w:softHyphen/>
        <w:t>analyse eigentlich außer Betracht kommt. Wir verkennen zwar nicht, daß der Kern des Ichs (das Es, wie ich es später genannt habe), dem die »archaische Erbschaft« der Menschenseele angehört, unbewußt ist, aber wir sondern außerdem das »unbewußte Verdrängte« ab, welches aus einem Anteil dieser Erbschaft hervorgegangen ist. Dieser Begriff des Verdrängten fehlt bei Le Bon.</w:t>
      </w:r>
    </w:p>
    <w:p w:rsidR="00525700" w:rsidRPr="00725852" w:rsidRDefault="00525700" w:rsidP="00725852">
      <w:pPr>
        <w:pStyle w:val="Sansinterligne"/>
        <w:rPr>
          <w:rFonts w:ascii="Garamond" w:hAnsi="Garamond"/>
        </w:rPr>
      </w:pPr>
      <w:r w:rsidRPr="00725852">
        <w:rPr>
          <w:rFonts w:ascii="Garamond" w:hAnsi="Garamond"/>
          <w:vertAlign w:val="superscript"/>
        </w:rPr>
        <w:t>3)</w:t>
      </w:r>
      <w:r w:rsidRPr="00725852">
        <w:rPr>
          <w:rFonts w:ascii="Garamond" w:hAnsi="Garamond"/>
        </w:rPr>
        <w:t xml:space="preserve"> Vgl. das Schillersche Distichon:</w:t>
      </w:r>
    </w:p>
    <w:p w:rsidR="00525700" w:rsidRPr="00725852" w:rsidRDefault="00525700" w:rsidP="00725852">
      <w:pPr>
        <w:pStyle w:val="Sansinterligne"/>
        <w:rPr>
          <w:rFonts w:ascii="Garamond" w:hAnsi="Garamond"/>
          <w:lang w:val="en-US"/>
        </w:rPr>
      </w:pPr>
      <w:r w:rsidRPr="00725852">
        <w:rPr>
          <w:rFonts w:ascii="Garamond" w:hAnsi="Garamond"/>
          <w:lang w:val="en-US"/>
        </w:rPr>
        <w:t>»Jeder, sieht man ihn einzeln, ist leidlich klug und verständig;</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Sind sie </w:t>
      </w:r>
      <w:r w:rsidRPr="00725852">
        <w:rPr>
          <w:rFonts w:ascii="Garamond" w:hAnsi="Garamond"/>
          <w:i/>
          <w:iCs/>
          <w:lang w:val="en-US"/>
        </w:rPr>
        <w:t>in corpore,</w:t>
      </w:r>
      <w:r w:rsidRPr="00725852">
        <w:rPr>
          <w:rFonts w:ascii="Garamond" w:hAnsi="Garamond"/>
          <w:lang w:val="en-US"/>
        </w:rPr>
        <w:t xml:space="preserve"> gleich wird euch ein Dummkopf daraus.«</w:t>
      </w:r>
    </w:p>
    <w:p w:rsidR="00525700" w:rsidRPr="00725852" w:rsidRDefault="00525700" w:rsidP="00725852">
      <w:pPr>
        <w:pStyle w:val="Sansinterligne"/>
        <w:rPr>
          <w:rFonts w:ascii="Garamond" w:hAnsi="Garamond"/>
        </w:rPr>
      </w:pPr>
      <w:r w:rsidRPr="00725852">
        <w:rPr>
          <w:rFonts w:ascii="Garamond" w:hAnsi="Garamond"/>
          <w:vertAlign w:val="superscript"/>
        </w:rPr>
        <w:t>4)</w:t>
      </w:r>
      <w:r w:rsidRPr="00725852">
        <w:rPr>
          <w:rFonts w:ascii="Garamond" w:hAnsi="Garamond"/>
        </w:rPr>
        <w:t xml:space="preserve"> Unbewußt wird von Le Bon richtig im Sinne der Deskription gebraucht, wo es nicht allein das »Verdrängte« bedeutet.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5)</w:t>
      </w:r>
      <w:r w:rsidRPr="00725852">
        <w:rPr>
          <w:rFonts w:ascii="Garamond" w:hAnsi="Garamond"/>
          <w:lang w:val="en-US"/>
        </w:rPr>
        <w:t xml:space="preserve"> Vgl. </w:t>
      </w:r>
      <w:r w:rsidRPr="00725852">
        <w:rPr>
          <w:rFonts w:ascii="Garamond" w:hAnsi="Garamond"/>
          <w:i/>
          <w:iCs/>
          <w:lang w:val="en-US"/>
        </w:rPr>
        <w:t>Totem und Tabu</w:t>
      </w:r>
      <w:r w:rsidRPr="00725852">
        <w:rPr>
          <w:rFonts w:ascii="Garamond" w:hAnsi="Garamond"/>
          <w:lang w:val="en-US"/>
        </w:rPr>
        <w:t xml:space="preserve"> (1912-13), III., ›Animismus, Magie und Allmacht der Gedanken‹.</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lastRenderedPageBreak/>
        <w:t>6)</w:t>
      </w:r>
      <w:r w:rsidRPr="00725852">
        <w:rPr>
          <w:rFonts w:ascii="Garamond" w:hAnsi="Garamond"/>
          <w:lang w:val="en-US"/>
        </w:rPr>
        <w:t xml:space="preserve"> In der Deutung der Träume, denen wir ja unsere beste Kenntnis vom unbewußten Seelenleben verdanken, befolgen wir die technische Regel, daß von Zweifel und Unsicherheit in der Traumerzählung abgesehen und jedes Element des manifesten Traumes als gleich gesichert behandelt wird. Wir leiten Zweifel und Unsicherheit von der Einwirkung der Zensur ab, welcher die Traumarbeit unterliegt, und nehmen an, daß die primären Traumgedanken Zweifel und Unsicherheit als kritische Leistung nicht kennen. Als Inhalte mögen sie natürlich, wie alles andere, in den zum Traum führenden Tagesresten vorkommen. (S. </w:t>
      </w:r>
      <w:r w:rsidRPr="00725852">
        <w:rPr>
          <w:rFonts w:ascii="Garamond" w:hAnsi="Garamond"/>
          <w:i/>
          <w:iCs/>
          <w:lang w:val="en-US"/>
        </w:rPr>
        <w:t>Traumdeutung</w:t>
      </w:r>
      <w:r w:rsidRPr="00725852">
        <w:rPr>
          <w:rFonts w:ascii="Garamond" w:hAnsi="Garamond"/>
          <w:lang w:val="en-US"/>
        </w:rPr>
        <w:t>, 7. Aufl. 1922, S. 386.)</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7)</w:t>
      </w:r>
      <w:r w:rsidRPr="00725852">
        <w:rPr>
          <w:rFonts w:ascii="Garamond" w:hAnsi="Garamond"/>
          <w:lang w:val="en-US"/>
        </w:rPr>
        <w:t xml:space="preserve"> Die nämliche Steigerung aller Gefühlsregungen zum Extremen und Maßlosen gehört auch der Affektivität des Kindes an und findet sich im Traumleben wieder, wo dank der im Unbewußten vorherrschenden Isolierung der einzelnen Gefühlsregungen ein leiser Ärger vom Tage sich als Todeswunsch gegen die schuldige Person zum Ausdruck bringt oder ein Anflug irgendeiner Versuchung zum Anstoß einer im Traum dargestellten verbrecherischen Handlung wird. Zu dieser Tatsache hat Dr. Hanns Sachs die hübsche Bemerkung gemacht: »Was der Traum uns an Beziehungen zur Gegenwart (Realität) kundgetan hat, wollen wir dann auch im Bewußtsein aufsuchen und dürfen uns nicht wundern, wenn wir das Ungeheuer, das wir unter dem Vergrößerungsglas der Analyse gesehen haben, als Infusionstierchen wiederfinden.« (S. </w:t>
      </w:r>
      <w:r w:rsidRPr="00725852">
        <w:rPr>
          <w:rFonts w:ascii="Garamond" w:hAnsi="Garamond"/>
          <w:i/>
          <w:iCs/>
          <w:lang w:val="en-US"/>
        </w:rPr>
        <w:t>Traumdeutung, 7.</w:t>
      </w:r>
      <w:r w:rsidRPr="00725852">
        <w:rPr>
          <w:rFonts w:ascii="Garamond" w:hAnsi="Garamond"/>
          <w:lang w:val="en-US"/>
        </w:rPr>
        <w:t xml:space="preserve"> Aufl. 1922, S. 457.)</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8)</w:t>
      </w:r>
      <w:r w:rsidRPr="00725852">
        <w:rPr>
          <w:rFonts w:ascii="Garamond" w:hAnsi="Garamond"/>
          <w:lang w:val="en-US"/>
        </w:rPr>
        <w:t xml:space="preserve"> Beim kleinen Kinde bestehen zum Beispiel ambivalente Gefühlseinstellungen gegen die ihm nächsten Personen lange Zeit nebeneinander, ohne daß die eine die ihr entgegengesetzte in ihrem Ausdruck stört. Kommt es dann endlich zum Konflikt zwischen den beiden, so wird er oft dadurch erledigt, daß das Kind das Objekt wechselt, die eine der ambivalenten Regungen auf ein Ersatzobjekt verschiebt. Auch aus der Entwicklungsgeschichte einer Neurose beim Erwachsenen kann man erfahren, daß eine unterdrückte Regung sich häufig lange Zeit in unbewußten oder selbst bewußten Phantasien fortsetzt, deren Inhalt natürlich einer herrschenden Strebung direkt zuwiderläuft, ohne daß sich aus diesem Gegensatz ein Einschreiten des Ichs gegen das von ihm Verworfene ergäbe. Die Phantasie wird eine ganze Weile über toleriert, bis sich plötzlich einmal, gewöhnlich infolge einer Steigerung der affektiven Besetzung derselben, der Konflikt zwischen ihr und dem Ich mit allen seinen Folgen herstellt.</w:t>
      </w:r>
    </w:p>
    <w:p w:rsidR="00525700" w:rsidRPr="00725852" w:rsidRDefault="00525700" w:rsidP="00725852">
      <w:pPr>
        <w:pStyle w:val="Sansinterligne"/>
        <w:rPr>
          <w:rFonts w:ascii="Garamond" w:hAnsi="Garamond"/>
        </w:rPr>
      </w:pPr>
      <w:r w:rsidRPr="00725852">
        <w:rPr>
          <w:rFonts w:ascii="Garamond" w:hAnsi="Garamond"/>
          <w:lang w:val="en-US"/>
        </w:rPr>
        <w:t xml:space="preserve">Im Fortschritt der Entwicklung vom Kinde zum reifen Erwachsenen kommt es überhaupt zu einer immer weiter greifenden </w:t>
      </w:r>
      <w:r w:rsidRPr="00725852">
        <w:rPr>
          <w:rFonts w:ascii="Garamond" w:hAnsi="Garamond"/>
          <w:i/>
          <w:iCs/>
          <w:lang w:val="en-US"/>
        </w:rPr>
        <w:t>Integration</w:t>
      </w:r>
      <w:r w:rsidRPr="00725852">
        <w:rPr>
          <w:rFonts w:ascii="Garamond" w:hAnsi="Garamond"/>
          <w:lang w:val="en-US"/>
        </w:rPr>
        <w:t xml:space="preserve"> der Persönlichkeit, zu einer Zusammenfassung der einzelnen, unabhängig voneinander in ihr gewachsenen Triebregungen und Zielstrebungen. </w:t>
      </w:r>
      <w:r w:rsidRPr="00725852">
        <w:rPr>
          <w:rFonts w:ascii="Garamond" w:hAnsi="Garamond"/>
        </w:rPr>
        <w:t xml:space="preserve">Der analoge Vorgang auf dem Gebiet des Sexuallebens ist uns als Zusammenfassung aller Sexualtriebe zur definitiven Genitalorganisation lange bekannt. </w:t>
      </w:r>
      <w:r w:rsidRPr="00725852">
        <w:rPr>
          <w:rFonts w:ascii="Garamond" w:hAnsi="Garamond"/>
          <w:i/>
          <w:iCs/>
        </w:rPr>
        <w:t>(Drei Abhandlungen zur Sexualtheorie,</w:t>
      </w:r>
      <w:r w:rsidRPr="00725852">
        <w:rPr>
          <w:rFonts w:ascii="Garamond" w:hAnsi="Garamond"/>
        </w:rPr>
        <w:t xml:space="preserve"> 1905 </w:t>
      </w:r>
      <w:r w:rsidRPr="00725852">
        <w:rPr>
          <w:rFonts w:ascii="Garamond" w:hAnsi="Garamond"/>
          <w:i/>
          <w:iCs/>
        </w:rPr>
        <w:t>d</w:t>
      </w:r>
      <w:r w:rsidRPr="00725852">
        <w:rPr>
          <w:rFonts w:ascii="Garamond" w:hAnsi="Garamond"/>
        </w:rPr>
        <w:t>.) Daß die Vereinheitlichung des Ichs übrigens dieselben Störungen erfahren kann wie die der Libido, zeigen vielfache, sehr bekannte Beispiele wie das der Naturforscher, die bibelgläubig geblieben sind, und andere. — Die verschiedenen Möglichkeiten eines späteren Zerfalls des Ichs bilden ein besonderes Kapitel der Psychopathologie.</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9)</w:t>
      </w:r>
      <w:r w:rsidRPr="00725852">
        <w:rPr>
          <w:rFonts w:ascii="Garamond" w:hAnsi="Garamond"/>
          <w:lang w:val="en-US"/>
        </w:rPr>
        <w:t xml:space="preserve"> S. </w:t>
      </w:r>
      <w:r w:rsidRPr="00725852">
        <w:rPr>
          <w:rFonts w:ascii="Garamond" w:hAnsi="Garamond"/>
          <w:i/>
          <w:iCs/>
          <w:lang w:val="en-US"/>
        </w:rPr>
        <w:t>Totem und Tabu</w:t>
      </w:r>
      <w:r w:rsidRPr="00725852">
        <w:rPr>
          <w:rFonts w:ascii="Garamond" w:hAnsi="Garamond"/>
          <w:lang w:val="en-US"/>
        </w:rPr>
        <w:t>.</w:t>
      </w:r>
    </w:p>
    <w:p w:rsidR="00A95446" w:rsidRPr="00725852" w:rsidRDefault="00A95446" w:rsidP="00725852">
      <w:pPr>
        <w:pStyle w:val="Sansinterligne"/>
        <w:rPr>
          <w:rFonts w:ascii="Garamond" w:eastAsiaTheme="majorEastAsia" w:hAnsi="Garamond" w:cstheme="majorBidi"/>
          <w:b/>
          <w:bCs/>
          <w:color w:val="365F91" w:themeColor="accent1" w:themeShade="BF"/>
          <w:lang w:val="en-US"/>
        </w:rPr>
      </w:pPr>
      <w:r w:rsidRPr="00725852">
        <w:rPr>
          <w:rFonts w:ascii="Garamond" w:hAnsi="Garamond"/>
          <w:lang w:val="en-US"/>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III. An</w:t>
        </w:r>
        <w:bookmarkStart w:id="27" w:name="Massen3"/>
        <w:bookmarkEnd w:id="27"/>
        <w:r w:rsidR="00525700" w:rsidRPr="00725852">
          <w:rPr>
            <w:rStyle w:val="Lienhypertexte"/>
            <w:rFonts w:ascii="Garamond" w:hAnsi="Garamond"/>
            <w:lang w:val="en-US"/>
          </w:rPr>
          <w:t>dere Würdigungen des kollektiven Seelenlebens</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Wir haben uns der Darstellung von Le Bon als Einführung bedient, weil sie in der Betonung des unbewußten Seelenlebens so sehr mit unserer eigenen Psychologie zusammentrifft. Nun müssen wir aber hinzufügen, daß eigentlich keine der Behauptungen dieses Autors etwas Neues bringt. Alles, was er Abträgliches und Herabsetzendes über die Äußerungen der Massenseele sagt, ist schon vor ihm ebenso bestimmt und ebenso feindselig von anderen gesagt worden, wird seit den ältesten Zeiten der Literatur von Denkern, Staatsmännern und Dichtern gleichlautend so wiederholt.</w:t>
      </w:r>
      <w:r w:rsidRPr="00725852">
        <w:rPr>
          <w:rFonts w:ascii="Garamond" w:hAnsi="Garamond"/>
          <w:vertAlign w:val="superscript"/>
          <w:lang w:val="en-US"/>
        </w:rPr>
        <w:t>1)</w:t>
      </w:r>
      <w:r w:rsidRPr="00725852">
        <w:rPr>
          <w:rFonts w:ascii="Garamond" w:hAnsi="Garamond"/>
          <w:lang w:val="en-US"/>
        </w:rPr>
        <w:t xml:space="preserve"> Die beiden Sätze, welche die wichtigsten Ansichten Le Bons enthalten, der von der kollektiven Hemmung der intellektuellen Leistung und der von der Steigerung der Affektivität in der Masse waren kurz vorher von Sighele formuliert worden.</w:t>
      </w:r>
      <w:r w:rsidRPr="00725852">
        <w:rPr>
          <w:rFonts w:ascii="Garamond" w:hAnsi="Garamond"/>
          <w:vertAlign w:val="superscript"/>
          <w:lang w:val="en-US"/>
        </w:rPr>
        <w:t>2)</w:t>
      </w:r>
      <w:r w:rsidRPr="00725852">
        <w:rPr>
          <w:rFonts w:ascii="Garamond" w:hAnsi="Garamond"/>
          <w:lang w:val="en-US"/>
        </w:rPr>
        <w:t xml:space="preserve"> Im Grunde erübrigen als Le Bon eigentümlich nur die beiden Gesichtspunkte des Unbewußten und des Vergleiches mit dem Seelenleben der Primitiven, auch diese natürlich oftmals vor ihm berührt.</w:t>
      </w:r>
    </w:p>
    <w:p w:rsidR="00525700" w:rsidRPr="00725852" w:rsidRDefault="00525700" w:rsidP="00725852">
      <w:pPr>
        <w:pStyle w:val="Sansinterligne"/>
        <w:rPr>
          <w:rFonts w:ascii="Garamond" w:hAnsi="Garamond"/>
          <w:lang w:val="en-US"/>
        </w:rPr>
      </w:pPr>
      <w:r w:rsidRPr="00725852">
        <w:rPr>
          <w:rFonts w:ascii="Garamond" w:hAnsi="Garamond"/>
          <w:lang w:val="en-US"/>
        </w:rPr>
        <w:t>Aber noch mehr, die Beschreibung und Würdigung der Massenseele, wie Le Bon und die anderen sie geben, ist auch keineswegs unangefochten geblieben. Kein Zweifel, daß alle die vorhin beschriebenen Phänomene der Massenseele richtig beobachtet worden sind, aber es lassen sich auch andere, geradezu entgegengesetzt wirkende Äußerungen der Massen</w:t>
      </w:r>
      <w:r w:rsidRPr="00725852">
        <w:rPr>
          <w:rFonts w:ascii="Garamond" w:hAnsi="Garamond"/>
          <w:lang w:val="en-US"/>
        </w:rPr>
        <w:softHyphen/>
        <w:t>bildung erkennen, aus denen man dann eine weit höhere Einschätzung der Massenseele ableiten muß.</w:t>
      </w:r>
    </w:p>
    <w:p w:rsidR="00525700" w:rsidRPr="00725852" w:rsidRDefault="00525700" w:rsidP="00725852">
      <w:pPr>
        <w:pStyle w:val="Sansinterligne"/>
        <w:rPr>
          <w:rFonts w:ascii="Garamond" w:hAnsi="Garamond"/>
          <w:lang w:val="en-US"/>
        </w:rPr>
      </w:pPr>
      <w:r w:rsidRPr="00725852">
        <w:rPr>
          <w:rFonts w:ascii="Garamond" w:hAnsi="Garamond"/>
          <w:lang w:val="en-US"/>
        </w:rPr>
        <w:t>Auch Le Bon war bereit zuzugestehen, daß die Sittlichkeit der Masse unter Umständen höher sein kann als die der sie zusammensetzenden Einzelnen und daß nur die Gesamtheiten hoher Uneigennützigkeit und Hingebung fähig sind.</w:t>
      </w:r>
    </w:p>
    <w:p w:rsidR="00525700" w:rsidRPr="00725852" w:rsidRDefault="00525700" w:rsidP="00725852">
      <w:pPr>
        <w:pStyle w:val="Sansinterligne"/>
        <w:rPr>
          <w:rFonts w:ascii="Garamond" w:hAnsi="Garamond"/>
          <w:lang w:val="en-US"/>
        </w:rPr>
      </w:pPr>
      <w:r w:rsidRPr="00725852">
        <w:rPr>
          <w:rFonts w:ascii="Garamond" w:hAnsi="Garamond"/>
          <w:lang w:val="en-US"/>
        </w:rPr>
        <w:t>(Übersetzung, 1912, 38.) »Während der persönliche Vorteil beim isolierten Individuum so ziemlich die einzige Triebfeder ist, ist er bei den Massen sehr selten vorherrschend.«</w:t>
      </w:r>
    </w:p>
    <w:p w:rsidR="00525700" w:rsidRPr="00725852" w:rsidRDefault="00525700" w:rsidP="00725852">
      <w:pPr>
        <w:pStyle w:val="Sansinterligne"/>
        <w:rPr>
          <w:rFonts w:ascii="Garamond" w:hAnsi="Garamond"/>
          <w:lang w:val="en-US"/>
        </w:rPr>
      </w:pPr>
      <w:r w:rsidRPr="00725852">
        <w:rPr>
          <w:rFonts w:ascii="Garamond" w:hAnsi="Garamond"/>
          <w:lang w:val="en-US"/>
        </w:rPr>
        <w:t>Andere machen geltend, daß es überhaupt erst die Gesellschaft ist, welche dem Einzelnen die Normen der Sittlichkeit vorschreibt, während der Einzelne in der Regel irgendwie hinter diesen hohen Ansprüchen zurück</w:t>
      </w:r>
      <w:r w:rsidRPr="00725852">
        <w:rPr>
          <w:rFonts w:ascii="Garamond" w:hAnsi="Garamond"/>
          <w:lang w:val="en-US"/>
        </w:rPr>
        <w:softHyphen/>
        <w:t>bleibt. Oder daß in Ausnahmszuständen in einer Kollektivität das Phänomen der Begeisterung zustande kommt, welche die großartigsten Massen</w:t>
      </w:r>
      <w:r w:rsidRPr="00725852">
        <w:rPr>
          <w:rFonts w:ascii="Garamond" w:hAnsi="Garamond"/>
          <w:lang w:val="en-US"/>
        </w:rPr>
        <w:softHyphen/>
        <w:t>leistungen ermöglicht hat.</w:t>
      </w:r>
    </w:p>
    <w:p w:rsidR="00525700" w:rsidRPr="00725852" w:rsidRDefault="00525700" w:rsidP="00725852">
      <w:pPr>
        <w:pStyle w:val="Sansinterligne"/>
        <w:rPr>
          <w:rFonts w:ascii="Garamond" w:hAnsi="Garamond"/>
          <w:lang w:val="en-US"/>
        </w:rPr>
      </w:pPr>
      <w:r w:rsidRPr="00725852">
        <w:rPr>
          <w:rFonts w:ascii="Garamond" w:hAnsi="Garamond"/>
          <w:lang w:val="en-US"/>
        </w:rPr>
        <w:t>In Betreff der intellektuellen Leistung bleibt zwar bestehen, daß die großen Entscheidungen der Denkarbeit, die folgenschweren Entdeckungen und Problemlösungen nur dem Einzelnen, der in der Einsamkeit arbeitet, möglich sind. Aber auch die Massenseele ist genialer geistiger Schöpfungen fähig, wie vor allem die Sprache selbst beweist, sodann das Volkslied, Folklore und anderes. Und überdies bleibt es dahingestellt, wieviel der einzelne Denker oder Dichter den Anregungen der Masse, in welcher er lebt, verdankt, ob er mehr als der Vollender einer seelischen Arbeit ist, an der gleichzeitig die anderen mitgetan haben.</w:t>
      </w:r>
    </w:p>
    <w:p w:rsidR="00525700" w:rsidRPr="00725852" w:rsidRDefault="00525700" w:rsidP="00725852">
      <w:pPr>
        <w:pStyle w:val="Sansinterligne"/>
        <w:rPr>
          <w:rFonts w:ascii="Garamond" w:hAnsi="Garamond"/>
          <w:lang w:val="en-US"/>
        </w:rPr>
      </w:pPr>
      <w:r w:rsidRPr="00725852">
        <w:rPr>
          <w:rFonts w:ascii="Garamond" w:hAnsi="Garamond"/>
        </w:rPr>
        <w:t xml:space="preserve">Angesichts dieser vollkommenen Widersprüche scheint es ja, daß die Arbeit der Massenpsychologie ergebnislos verlaufen müsse. </w:t>
      </w:r>
      <w:r w:rsidRPr="00725852">
        <w:rPr>
          <w:rFonts w:ascii="Garamond" w:hAnsi="Garamond"/>
          <w:lang w:val="en-US"/>
        </w:rPr>
        <w:t>Allein es ist leicht, einen hoffnungsvolleren Ausweg zu finden. Man hat wahrscheinlich als »Massen« sehr verschiedene Bildungen zusammengefaßt, die einer Sonde</w:t>
      </w:r>
      <w:r w:rsidRPr="00725852">
        <w:rPr>
          <w:rFonts w:ascii="Garamond" w:hAnsi="Garamond"/>
          <w:lang w:val="en-US"/>
        </w:rPr>
        <w:softHyphen/>
        <w:t>rung bedürfen. Die Angaben von Sighele, Le Bon und anderen beziehen sich auf Massen kurzlebiger Art, die rasch durch ein vorübergehendes Interesse aus verschiedenartigen Individuen zusammengeballt werden. Es ist unverkennbar, daß die Charaktere der revolutionären Massen, besonders der großen Französischen Revolution, ihre Schilderungen beeinflußt haben. Die gegensätzlichen Behauptungen stammen aus der Würdigung jener stabilen Massen oder Vergesellschaftungen, in denen die Menschen ihr Leben zubringen, die sich in den Institutionen der Gesellschaft verkörpern. Die Massen der ersten Art sind den letzteren gleichsam aufgesetzt, wie die kurzen, aber hohen Wellen den langen Dünungen der See.</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McDougall, der in seinem Buch </w:t>
      </w:r>
      <w:r w:rsidRPr="00725852">
        <w:rPr>
          <w:rFonts w:ascii="Garamond" w:hAnsi="Garamond"/>
          <w:i/>
          <w:iCs/>
          <w:lang w:val="en-US"/>
        </w:rPr>
        <w:t>The Group Mind</w:t>
      </w:r>
      <w:r w:rsidRPr="00725852">
        <w:rPr>
          <w:rFonts w:ascii="Garamond" w:hAnsi="Garamond"/>
          <w:lang w:val="en-US"/>
        </w:rPr>
        <w:t xml:space="preserve"> (1920«) von dem nämli</w:t>
      </w:r>
      <w:r w:rsidRPr="00725852">
        <w:rPr>
          <w:rFonts w:ascii="Garamond" w:hAnsi="Garamond"/>
          <w:lang w:val="en-US"/>
        </w:rPr>
        <w:softHyphen/>
        <w:t xml:space="preserve">chen, oben erwähnten Widerspruch ausgeht, findet die Lösung desselben im Moment der Organisation. Im einfachsten Falle, sagt er, besitzt die Masse </w:t>
      </w:r>
      <w:r w:rsidRPr="00725852">
        <w:rPr>
          <w:rFonts w:ascii="Garamond" w:hAnsi="Garamond"/>
          <w:i/>
          <w:iCs/>
          <w:lang w:val="en-US"/>
        </w:rPr>
        <w:t>(group)</w:t>
      </w:r>
      <w:r w:rsidRPr="00725852">
        <w:rPr>
          <w:rFonts w:ascii="Garamond" w:hAnsi="Garamond"/>
          <w:lang w:val="en-US"/>
        </w:rPr>
        <w:t xml:space="preserve"> überhaupt keine Organisation oder eine kaum nennenswerte. Er bezeichnet eine solche Masse als einen Haufen </w:t>
      </w:r>
      <w:r w:rsidRPr="00725852">
        <w:rPr>
          <w:rFonts w:ascii="Garamond" w:hAnsi="Garamond"/>
          <w:i/>
          <w:iCs/>
          <w:lang w:val="en-US"/>
        </w:rPr>
        <w:t>(crowd).</w:t>
      </w:r>
      <w:r w:rsidRPr="00725852">
        <w:rPr>
          <w:rFonts w:ascii="Garamond" w:hAnsi="Garamond"/>
          <w:lang w:val="en-US"/>
        </w:rPr>
        <w:t xml:space="preserve"> Doch gesteht er zu, daß ein Haufen Menschen nicht leicht zusammenkommt, ohne daß sich in ihm wenigstens die ersten Anfänge einer Organisation bildeten, und daß gerade an diesen einfachen Massen manche Grundtatsachen der Kollektiv</w:t>
      </w:r>
      <w:r w:rsidRPr="00725852">
        <w:rPr>
          <w:rFonts w:ascii="Garamond" w:hAnsi="Garamond"/>
          <w:lang w:val="en-US"/>
        </w:rPr>
        <w:softHyphen/>
        <w:t xml:space="preserve">psychologie besonders leicht zu erkennen sind (ibid., 22). Damit sich aus den zufällig zusammengewehten Mitgliedern eines Menschenhaufens etwas wie eine Masse im psychologischen Sinne bilde, wird als Bedingung erfordert, daß diese Einzelnen etwas miteinander gemein haben, ein gemeinsames Interesse an einem Objekt, eine gleichartige Gefühlsrichtung in einer gewissen Situation und (ich würde einsetzen: infolgedessen) ein gewisses Maß von Fähigkeit, sich untereinander zu beeinflussen. </w:t>
      </w:r>
      <w:r w:rsidRPr="00725852">
        <w:rPr>
          <w:rFonts w:ascii="Garamond" w:hAnsi="Garamond"/>
          <w:i/>
          <w:iCs/>
          <w:lang w:val="en-US"/>
        </w:rPr>
        <w:t>(»Some degree of reciprocal influence between the members of the group.</w:t>
      </w:r>
      <w:r w:rsidRPr="00725852">
        <w:rPr>
          <w:rFonts w:ascii="Garamond" w:hAnsi="Garamond"/>
          <w:lang w:val="en-US"/>
        </w:rPr>
        <w:t>«</w:t>
      </w:r>
      <w:r w:rsidRPr="00725852">
        <w:rPr>
          <w:rFonts w:ascii="Garamond" w:hAnsi="Garamond"/>
          <w:i/>
          <w:iCs/>
          <w:lang w:val="en-US"/>
        </w:rPr>
        <w:t>)</w:t>
      </w:r>
      <w:r w:rsidRPr="00725852">
        <w:rPr>
          <w:rFonts w:ascii="Garamond" w:hAnsi="Garamond"/>
          <w:lang w:val="en-US"/>
        </w:rPr>
        <w:t xml:space="preserve"> (Ibid., 23.) Je stärker diese Gemeinsamkeiten </w:t>
      </w:r>
      <w:r w:rsidRPr="00725852">
        <w:rPr>
          <w:rFonts w:ascii="Garamond" w:hAnsi="Garamond"/>
          <w:i/>
          <w:iCs/>
          <w:lang w:val="en-US"/>
        </w:rPr>
        <w:t xml:space="preserve">(»this mental </w:t>
      </w:r>
      <w:r w:rsidRPr="00725852">
        <w:rPr>
          <w:rFonts w:ascii="Garamond" w:hAnsi="Garamond"/>
          <w:i/>
          <w:iCs/>
          <w:lang w:val="en-US"/>
        </w:rPr>
        <w:lastRenderedPageBreak/>
        <w:t>homogeneity</w:t>
      </w:r>
      <w:r w:rsidRPr="00725852">
        <w:rPr>
          <w:rFonts w:ascii="Garamond" w:hAnsi="Garamond"/>
          <w:lang w:val="en-US"/>
        </w:rPr>
        <w:t>«</w:t>
      </w:r>
      <w:r w:rsidRPr="00725852">
        <w:rPr>
          <w:rFonts w:ascii="Garamond" w:hAnsi="Garamond"/>
          <w:i/>
          <w:iCs/>
          <w:lang w:val="en-US"/>
        </w:rPr>
        <w:t>)</w:t>
      </w:r>
      <w:r w:rsidRPr="00725852">
        <w:rPr>
          <w:rFonts w:ascii="Garamond" w:hAnsi="Garamond"/>
          <w:lang w:val="en-US"/>
        </w:rPr>
        <w:t xml:space="preserve"> sind, desto leichter bildet sich aus den Einzelnen eine psychologische Masse und desto auffälliger äußern sich die Kundgebungen einer »Massenseele«.</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Das merkwürdigste und zugleich wichtigste Phänomen der Massenbildung ist nun die bei jedem Einzelnen hervorgerufene Steigerung der Affektivität </w:t>
      </w:r>
      <w:r w:rsidRPr="00725852">
        <w:rPr>
          <w:rFonts w:ascii="Garamond" w:hAnsi="Garamond"/>
          <w:i/>
          <w:iCs/>
          <w:lang w:val="en-US"/>
        </w:rPr>
        <w:t>(»exaltation or intensification of emotion«)</w:t>
      </w:r>
      <w:r w:rsidRPr="00725852">
        <w:rPr>
          <w:rFonts w:ascii="Garamond" w:hAnsi="Garamond"/>
          <w:lang w:val="en-US"/>
        </w:rPr>
        <w:t xml:space="preserve"> (ibid., 24). Man kann sagen, meint McDougall, daß die Affekte der Menschen kaum unter anderen Bedingungen zu solcher Höhe anwachsen, wie es in einer Masse geschehen kann, und zwar ist es eine genußreiche Empfindung für die Beteiligten, sich so schrankenlos ihren Leidenschaften hinzugeben und dabei in der Masse aufzugehen, das Gefühl ihrer individuellen Abgrenzung zu verlieren. Dies Mitfortgerissenwerden der Individuen erklärt McDougall aus dem von ihm so genannten </w:t>
      </w:r>
      <w:r w:rsidRPr="00725852">
        <w:rPr>
          <w:rFonts w:ascii="Garamond" w:hAnsi="Garamond"/>
          <w:i/>
          <w:iCs/>
          <w:lang w:val="en-US"/>
        </w:rPr>
        <w:t>»principle of direct induction of emotion by way of the primitive sympathetic response«</w:t>
      </w:r>
      <w:r w:rsidRPr="00725852">
        <w:rPr>
          <w:rFonts w:ascii="Garamond" w:hAnsi="Garamond"/>
          <w:lang w:val="en-US"/>
        </w:rPr>
        <w:t xml:space="preserve"> (ibid., 25), das heißt durch die uns bereits bekannte Gefühlsansteckung. Die Tatsache ist die, daß die wahrgenommenen Zeichen eines Affektzustandes geeignet sind, bei dem Wahrnehmenden automatisch denselben Affekt hervorzurufen. Dieser automatische Zwang wird um so stärker, an je mehr Personen gleichzeitig derselbe Affekt bemerkbar ist. Dann schweigt die Kritik des Einzelnen, und er läßt sich in denselben Affekt gleiten. Dabei erhöht er aber die Erregung der anderen, die auf ihn gewirkt hatten, und so steigert sich die Affektladung der Einzelnen durch gegenseitige Induktion. Es ist unverkennbar etwas wie ein Zwang dabei wirksam, es den anderen gleichzutun, im Einklang mit den vielen zu bleiben. Die gröberen und einfacheren Gefühlsregungen haben die größere Aussicht, sich auf solche Weise in einer Masse zu verbreiten (ibid., 39).</w:t>
      </w:r>
    </w:p>
    <w:p w:rsidR="00525700" w:rsidRPr="00725852" w:rsidRDefault="00525700" w:rsidP="00725852">
      <w:pPr>
        <w:pStyle w:val="Sansinterligne"/>
        <w:rPr>
          <w:rFonts w:ascii="Garamond" w:hAnsi="Garamond"/>
          <w:lang w:val="en-US"/>
        </w:rPr>
      </w:pPr>
      <w:r w:rsidRPr="00725852">
        <w:rPr>
          <w:rFonts w:ascii="Garamond" w:hAnsi="Garamond"/>
          <w:lang w:val="en-US"/>
        </w:rPr>
        <w:t>Dieser Mechanismus der Affektsteigerung wird noch durch einige andere von der Masse ausgehende Einflüsse begünstigt. Die Masse macht dem Einzelnen den Eindruck einer unbeschränkten Macht und einer unbesiegbaren Gefahr. Sie hat sich für den Augenblick an die Stelle der gesamten menschlichen Gesellschaft gesetzt, welche die Trägerin der Autorität ist, deren Strafen man gefürchtet, der zuliebe man sich so viele Hemmungen auferlegt hat. Es ist offenbar gefährlich, sich in Widerspruch mit ihr zu setzen, und man ist sicher, wenn man dem ringsumher sich zeigenden Beispiel folgt, also eventuell sogar »mit den Wölfen heult«. Im Gehorsam gegen die neue Autorität darf man sein früheres »Gewissen« außer Tätigkeit setzen und dabei der Lockung des Lustgewinnes nachgeben, den man sicherlich durch die Aufhebung seiner Hemmungen erzielt. Es ist also im ganzen nicht so merkwürdig, wenn wir den Einzelnen in der Masse Dinge tun oder gutheißen sehen, von denen er sich unter seinen gewohnten Lebensbedingungen abgewendet hätte, und wir können selbst die Hoffnung fassen, auf diese Weise ein Stück der Dunkelheit zu lichten, die man mit dem Rätselwort der »Suggestion« zu decken pflegt.</w:t>
      </w:r>
    </w:p>
    <w:p w:rsidR="00525700" w:rsidRPr="00725852" w:rsidRDefault="00525700" w:rsidP="00725852">
      <w:pPr>
        <w:pStyle w:val="Sansinterligne"/>
        <w:rPr>
          <w:rFonts w:ascii="Garamond" w:hAnsi="Garamond"/>
          <w:lang w:val="en-US"/>
        </w:rPr>
      </w:pPr>
      <w:r w:rsidRPr="00725852">
        <w:rPr>
          <w:rFonts w:ascii="Garamond" w:hAnsi="Garamond"/>
          <w:lang w:val="en-US"/>
        </w:rPr>
        <w:t>Dem Satz von der kollektiven Intelligenzhemmung in der Masse wider</w:t>
      </w:r>
      <w:r w:rsidRPr="00725852">
        <w:rPr>
          <w:rFonts w:ascii="Garamond" w:hAnsi="Garamond"/>
          <w:lang w:val="en-US"/>
        </w:rPr>
        <w:softHyphen/>
        <w:t>spricht auch McDougall nicht (ibid., 41). Er sagt, die geringeren Intelligenzen ziehen die größeren auf ihr Niveau herab. Die letzteren werden in ihrer Betätigung gehemmt, weil die Steigerung der Affektivität überhaupt ungünstige Bedingungen für korrekte geistige Arbeit schafft, ferner weil die Einzelnen durch die Masse eingeschüchtert sind und ihre Denkarbeit nicht frei ist und weil bei jedem Einzelnen das Bewußtsein der Verantwortlichkeit für seine Leistung herabgesetzt wird.</w:t>
      </w:r>
    </w:p>
    <w:p w:rsidR="00525700" w:rsidRPr="00725852" w:rsidRDefault="00525700" w:rsidP="00725852">
      <w:pPr>
        <w:pStyle w:val="Sansinterligne"/>
        <w:rPr>
          <w:rFonts w:ascii="Garamond" w:hAnsi="Garamond"/>
          <w:lang w:val="en-US"/>
        </w:rPr>
      </w:pPr>
      <w:r w:rsidRPr="00725852">
        <w:rPr>
          <w:rFonts w:ascii="Garamond" w:hAnsi="Garamond"/>
          <w:lang w:val="en-US"/>
        </w:rPr>
        <w:t>Das Gesamturteil über die psychische Leistung einer einfachen, »unorga</w:t>
      </w:r>
      <w:r w:rsidRPr="00725852">
        <w:rPr>
          <w:rFonts w:ascii="Garamond" w:hAnsi="Garamond"/>
          <w:lang w:val="en-US"/>
        </w:rPr>
        <w:softHyphen/>
        <w:t>nisierten« Masse lautet bei McDougall nicht freundlicher als bei Le Bon. Eine solche Masse ist (ibid., 45): überaus erregbar, impulsiv, leidenschaftlich, wankelmütig, inkonsequent, unentschlossen und dabei zum Äußersten bereit in ihren Handlungen, zugänglich nur für die gröberen Leidenschaften und einfacheren Gefühle, außerordentlich suggestibel, leichtsinnig in ihren Überlegungen, heftig in ihren Urteilen, aufnahmsfähig nur für die einfachsten und unvollkommensten Schlüsse und Argumente, leicht zu lenken und zu erschüttern, ohne Selbstbewußtsein, Selbstachtung und Verantwortlichkeits</w:t>
      </w:r>
      <w:r w:rsidRPr="00725852">
        <w:rPr>
          <w:rFonts w:ascii="Garamond" w:hAnsi="Garamond"/>
          <w:lang w:val="en-US"/>
        </w:rPr>
        <w:softHyphen/>
        <w:t>gefühl, aber bereit, sich von ihrem Kraftbewußtsein zu allen Untaten fortreißen zu lassen, die wir nur von einer absoluten und unverantwortlichen Macht erwarten können. Sie benimmt sich also eher wie ein ungezogenes Kind oder wie ein leidenschaftlicher, nicht beaufsichtigter Wilder in einer ihm fremden Situation; in den schlimmsten Fällen ist ihr Benehmen eher das eines Rudels von wilden Tieren als von menschlichen Wesen.</w:t>
      </w:r>
    </w:p>
    <w:p w:rsidR="00525700" w:rsidRPr="00725852" w:rsidRDefault="00525700" w:rsidP="00725852">
      <w:pPr>
        <w:pStyle w:val="Sansinterligne"/>
        <w:rPr>
          <w:rFonts w:ascii="Garamond" w:hAnsi="Garamond"/>
        </w:rPr>
      </w:pPr>
      <w:r w:rsidRPr="00725852">
        <w:rPr>
          <w:rFonts w:ascii="Garamond" w:hAnsi="Garamond"/>
          <w:lang w:val="en-US"/>
        </w:rPr>
        <w:t xml:space="preserve">Da McDougall das Verhalten der hochorganisierten Massen in Gegensatz zu dem hier Geschilderten bringt, werden wir besonders gespannt sein zu erfahren, worin diese Organisation besteht und durch welche Momente sie hergestellt wird. </w:t>
      </w:r>
      <w:r w:rsidRPr="00725852">
        <w:rPr>
          <w:rFonts w:ascii="Garamond" w:hAnsi="Garamond"/>
        </w:rPr>
        <w:t xml:space="preserve">Der Autor zählt fünf dieser </w:t>
      </w:r>
      <w:r w:rsidRPr="00725852">
        <w:rPr>
          <w:rFonts w:ascii="Garamond" w:hAnsi="Garamond"/>
          <w:i/>
          <w:iCs/>
        </w:rPr>
        <w:t>»principal conditions«</w:t>
      </w:r>
      <w:r w:rsidRPr="00725852">
        <w:rPr>
          <w:rFonts w:ascii="Garamond" w:hAnsi="Garamond"/>
        </w:rPr>
        <w:t xml:space="preserve"> für die Hebung des seelischen Lebens der Masse auf ein höheres Niveau auf.</w:t>
      </w:r>
    </w:p>
    <w:p w:rsidR="00525700" w:rsidRPr="00725852" w:rsidRDefault="00525700" w:rsidP="00725852">
      <w:pPr>
        <w:pStyle w:val="Sansinterligne"/>
        <w:rPr>
          <w:rFonts w:ascii="Garamond" w:hAnsi="Garamond"/>
          <w:lang w:val="en-US"/>
        </w:rPr>
      </w:pPr>
      <w:r w:rsidRPr="00725852">
        <w:rPr>
          <w:rFonts w:ascii="Garamond" w:hAnsi="Garamond"/>
          <w:lang w:val="en-US"/>
        </w:rPr>
        <w:t>Die erste grundlegende Bedingung ist ein gewisses Maß von Kontinuität im Bestand der Masse. Diese kann eine materielle oder eine formale sein, das erstere, wenn dieselben Personen längere Zeit in der Masse verbleiben, das andere, wenn innerhalb der Masse bestimmte Stellungen entwickelt sind, die den einander ablösenden Personen angewiesen werden.</w:t>
      </w:r>
    </w:p>
    <w:p w:rsidR="00525700" w:rsidRPr="00725852" w:rsidRDefault="00525700" w:rsidP="00725852">
      <w:pPr>
        <w:pStyle w:val="Sansinterligne"/>
        <w:rPr>
          <w:rFonts w:ascii="Garamond" w:hAnsi="Garamond"/>
          <w:lang w:val="en-US"/>
        </w:rPr>
      </w:pPr>
      <w:r w:rsidRPr="00725852">
        <w:rPr>
          <w:rFonts w:ascii="Garamond" w:hAnsi="Garamond"/>
          <w:lang w:val="en-US"/>
        </w:rPr>
        <w:lastRenderedPageBreak/>
        <w:t>Die zweite, daß sich in dem Einzelnen der Masse eine bestimmte Vorstellung von der Natur, der Funktion, den Leistungen und Ansprüchen der Masse gebildet hat, so daß sich daraus für ihn ein Gefühlsverhältnis zum Ganzen der Masse ergeben kann.</w:t>
      </w:r>
    </w:p>
    <w:p w:rsidR="00525700" w:rsidRPr="00725852" w:rsidRDefault="00525700" w:rsidP="00725852">
      <w:pPr>
        <w:pStyle w:val="Sansinterligne"/>
        <w:rPr>
          <w:rFonts w:ascii="Garamond" w:hAnsi="Garamond"/>
          <w:lang w:val="en-US"/>
        </w:rPr>
      </w:pPr>
      <w:r w:rsidRPr="00725852">
        <w:rPr>
          <w:rFonts w:ascii="Garamond" w:hAnsi="Garamond"/>
          <w:lang w:val="en-US"/>
        </w:rPr>
        <w:t>Die dritte, daß die Masse in Beziehung zu anderen, ihr ähnlichen, aber doch von ihr in vielen Punkten abweichenden Massenbildungen gebracht wird, etwa daß sie mit diesen rivalisiert.</w:t>
      </w:r>
    </w:p>
    <w:p w:rsidR="00525700" w:rsidRPr="00725852" w:rsidRDefault="00525700" w:rsidP="00725852">
      <w:pPr>
        <w:pStyle w:val="Sansinterligne"/>
        <w:rPr>
          <w:rFonts w:ascii="Garamond" w:hAnsi="Garamond"/>
          <w:lang w:val="en-US"/>
        </w:rPr>
      </w:pPr>
      <w:r w:rsidRPr="00725852">
        <w:rPr>
          <w:rFonts w:ascii="Garamond" w:hAnsi="Garamond"/>
          <w:lang w:val="en-US"/>
        </w:rPr>
        <w:t>Die vierte, daß die Masse Traditionen, Gebräuche und Einrichtungen besitzt, besonders solche, die sich auf das Verhältnis ihrer Mitglieder zueinander beziehen.</w:t>
      </w:r>
    </w:p>
    <w:p w:rsidR="00525700" w:rsidRPr="00725852" w:rsidRDefault="00525700" w:rsidP="00725852">
      <w:pPr>
        <w:pStyle w:val="Sansinterligne"/>
        <w:rPr>
          <w:rFonts w:ascii="Garamond" w:hAnsi="Garamond"/>
          <w:lang w:val="en-US"/>
        </w:rPr>
      </w:pPr>
      <w:r w:rsidRPr="00725852">
        <w:rPr>
          <w:rFonts w:ascii="Garamond" w:hAnsi="Garamond"/>
          <w:lang w:val="en-US"/>
        </w:rPr>
        <w:t>Die fünfte, daß es in der Masse eine Gliederung gibt, die sich in der Spezialisierung und Differenzierung der dem Einzelnen zufallenden Leistung ausdrückt.</w:t>
      </w:r>
    </w:p>
    <w:p w:rsidR="00525700" w:rsidRPr="00725852" w:rsidRDefault="00525700" w:rsidP="00725852">
      <w:pPr>
        <w:pStyle w:val="Sansinterligne"/>
        <w:rPr>
          <w:rFonts w:ascii="Garamond" w:hAnsi="Garamond"/>
          <w:lang w:val="en-US"/>
        </w:rPr>
      </w:pPr>
      <w:r w:rsidRPr="00725852">
        <w:rPr>
          <w:rFonts w:ascii="Garamond" w:hAnsi="Garamond"/>
          <w:lang w:val="en-US"/>
        </w:rPr>
        <w:t>Durch die Erfüllung dieser Bedingungen werden nach McDougall die psychischen Nachteile der Massenbildung aufgehoben. Gegen die kollektive Herabsetzung der Intelligenzleistung schützt man sich dadurch, daß man die Lösung der intellektuellen Aufgaben der Masse entzieht und sie Einzelnen in ihr vorbehält.</w:t>
      </w:r>
    </w:p>
    <w:p w:rsidR="00525700" w:rsidRPr="00725852" w:rsidRDefault="00525700" w:rsidP="00725852">
      <w:pPr>
        <w:pStyle w:val="Sansinterligne"/>
        <w:rPr>
          <w:rFonts w:ascii="Garamond" w:hAnsi="Garamond"/>
          <w:vertAlign w:val="superscript"/>
          <w:lang w:val="en-US"/>
        </w:rPr>
      </w:pPr>
      <w:r w:rsidRPr="00725852">
        <w:rPr>
          <w:rFonts w:ascii="Garamond" w:hAnsi="Garamond"/>
          <w:lang w:val="en-US"/>
        </w:rPr>
        <w:t xml:space="preserve">Es scheint uns, daß man die Bedingung, die McDougall als »Organisation« der Masse bezeichnet hat, mit mehr Berechtigung anders beschreiben kann. Die Aufgabe besteht darin, der Masse gerade jene Eigenschaften zu verschaffen, die für das Individuum charakteristisch waren und die bei ihm durch die Massenbildung ausgelöscht wurden. Denn das Individuum hatte — außerhalb der primitiven Masse — seine Kontinuität, sein Selbstbewußtsein, seine Traditionen und Gewohnheiten, seine besondere Arbeitsleistung und Einreihung und hielt sich von anderen gesondert, mit denen es rivalisierte. Diese Eigenart hatte es durch seinen Eintritt in die nicht »organisierte« Masse für eine Zeit verloren. Erkennt man so als Ziel, die Masse mit den Attributen des Individuums auszustatten, so wird man an eine gehaltreiche Bemerkung von W. Trotter </w:t>
      </w:r>
      <w:r w:rsidRPr="00725852">
        <w:rPr>
          <w:rFonts w:ascii="Garamond" w:hAnsi="Garamond"/>
          <w:vertAlign w:val="superscript"/>
          <w:lang w:val="en-US"/>
        </w:rPr>
        <w:t>3)</w:t>
      </w:r>
      <w:r w:rsidRPr="00725852">
        <w:rPr>
          <w:rFonts w:ascii="Garamond" w:hAnsi="Garamond"/>
          <w:lang w:val="en-US"/>
        </w:rPr>
        <w:t xml:space="preserve"> gemahnt, der in der Neigung zur Massenbildung eine biologische Fortführung der Vielzelligkeit aller höheren Organismen erblickt.</w:t>
      </w:r>
      <w:r w:rsidRPr="00725852">
        <w:rPr>
          <w:rFonts w:ascii="Garamond" w:hAnsi="Garamond"/>
          <w:vertAlign w:val="superscript"/>
          <w:lang w:val="en-US"/>
        </w:rPr>
        <w:t>4)</w:t>
      </w:r>
    </w:p>
    <w:p w:rsidR="00525700" w:rsidRPr="00725852" w:rsidRDefault="00525700" w:rsidP="00725852">
      <w:pPr>
        <w:pStyle w:val="Sansinterligne"/>
        <w:rPr>
          <w:rFonts w:ascii="Garamond" w:hAnsi="Garamond"/>
          <w:lang w:val="en-US"/>
        </w:rPr>
      </w:pPr>
      <w:r w:rsidRPr="00725852">
        <w:rPr>
          <w:rFonts w:ascii="Garamond" w:hAnsi="Garamond"/>
          <w:lang w:val="en-US"/>
        </w:rPr>
        <w:t>____________________</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1)</w:t>
      </w:r>
      <w:r w:rsidRPr="00725852">
        <w:rPr>
          <w:rFonts w:ascii="Garamond" w:hAnsi="Garamond"/>
          <w:lang w:val="en-US"/>
        </w:rPr>
        <w:t xml:space="preserve"> Vgl. den Text und das Literaturverzeichnis in B. Kraskovic jun. (1915).</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2)</w:t>
      </w:r>
      <w:r w:rsidRPr="00725852">
        <w:rPr>
          <w:rFonts w:ascii="Garamond" w:hAnsi="Garamond"/>
          <w:lang w:val="en-US"/>
        </w:rPr>
        <w:t xml:space="preserve"> S. Walter Moede (1915).</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3)</w:t>
      </w:r>
      <w:r w:rsidRPr="00725852">
        <w:rPr>
          <w:rFonts w:ascii="Garamond" w:hAnsi="Garamond"/>
          <w:lang w:val="en-US"/>
        </w:rPr>
        <w:t xml:space="preserve"> </w:t>
      </w:r>
      <w:r w:rsidRPr="00725852">
        <w:rPr>
          <w:rFonts w:ascii="Garamond" w:hAnsi="Garamond"/>
          <w:i/>
          <w:iCs/>
          <w:lang w:val="en-US"/>
        </w:rPr>
        <w:t>Instincts of the Herd in Peace and War</w:t>
      </w:r>
      <w:r w:rsidRPr="00725852">
        <w:rPr>
          <w:rFonts w:ascii="Garamond" w:hAnsi="Garamond"/>
          <w:lang w:val="en-US"/>
        </w:rPr>
        <w:t xml:space="preserve"> (1916).</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4)</w:t>
      </w:r>
      <w:r w:rsidRPr="00725852">
        <w:rPr>
          <w:rFonts w:ascii="Garamond" w:hAnsi="Garamond"/>
          <w:lang w:val="en-US"/>
        </w:rPr>
        <w:t> Ich kann im Gegensatz zu einer sonst verständnisvollen und scharfsinnigen Kritik von Hans Kelsen (1922) nicht zugeben, daß eine solche Ausstattung der »Massenseele« mit Organisation eine Hypostasierung derselben, das heißt die Zuerkennung einer Unabhängigkeit von den seelischen Vorgängen im Individuum bedeute.</w:t>
      </w:r>
    </w:p>
    <w:p w:rsidR="00A95446" w:rsidRPr="00725852" w:rsidRDefault="00A95446" w:rsidP="00725852">
      <w:pPr>
        <w:pStyle w:val="Sansinterligne"/>
        <w:rPr>
          <w:rFonts w:ascii="Garamond" w:eastAsiaTheme="majorEastAsia" w:hAnsi="Garamond" w:cstheme="majorBidi"/>
          <w:b/>
          <w:bCs/>
          <w:color w:val="365F91" w:themeColor="accent1" w:themeShade="BF"/>
          <w:lang w:val="en-US"/>
        </w:rPr>
      </w:pPr>
      <w:r w:rsidRPr="00725852">
        <w:rPr>
          <w:rFonts w:ascii="Garamond" w:hAnsi="Garamond"/>
          <w:lang w:val="en-US"/>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IV. Su</w:t>
        </w:r>
        <w:bookmarkStart w:id="28" w:name="Massen4"/>
        <w:bookmarkEnd w:id="28"/>
        <w:r w:rsidR="00525700" w:rsidRPr="00725852">
          <w:rPr>
            <w:rStyle w:val="Lienhypertexte"/>
            <w:rFonts w:ascii="Garamond" w:hAnsi="Garamond"/>
            <w:lang w:val="en-US"/>
          </w:rPr>
          <w:t>ggestion und Libido</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Wir sind von der Grundtatsache ausgegangen, daß ein Einzelner innerhalb einer Masse durch den Einfluß derselben eine oft tiefgreifende Veränderung seiner seelischen Tätigkeit erfährt. Seine Affektivität wird außerordentlich gesteigert, seine intellektuelle Leistung merklich eingeschränkt, beide Vorgänge offenbar in der Richtung einer Angleichung an die anderen Massenindividuen; ein Erfolg, der nur durch die Aufhebung der jedem Einzelnen eigentümlichen Triebhemmungen und durch den Verzicht auf die ihm besonderen Ausgestaltungen seiner Neigungen erreicht werden kann. Wir haben gehört, daß diese oft unerwünschten Wirkungen durch eine höhere »Organisation« der Massen wenigstens teilweise hintangehalten werden, aber der Grundtatsache der Massenpsychologie, den beiden Sätzen von der Affektsteigerung und der Denkhemmung in der primitiven Masse, ist dadurch nicht widersprochen worden. Unser Interesse geht nun dahin, für diese seelische Wandlung des Einzelnen in der Masse die psychologische Erklärung zu finden.</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Rationelle Momente, wie die vorhin erwähnte Einschüchterung des Einzelnen, also die Aktion seines Selbsterhaltungstriebes, decken offenbar die zu beobachtenden Phänomene nicht. Was uns sonst als Erklärung von den Autoren über Soziologie und Massenpsychologie geboten wird, ist immer das nämliche, wenn auch unter wechselnden Namen: das Zauberwort der </w:t>
      </w:r>
      <w:r w:rsidRPr="00725852">
        <w:rPr>
          <w:rFonts w:ascii="Garamond" w:hAnsi="Garamond"/>
          <w:i/>
          <w:iCs/>
          <w:lang w:val="en-US"/>
        </w:rPr>
        <w:t>Suggestion.</w:t>
      </w:r>
      <w:r w:rsidRPr="00725852">
        <w:rPr>
          <w:rFonts w:ascii="Garamond" w:hAnsi="Garamond"/>
          <w:lang w:val="en-US"/>
        </w:rPr>
        <w:t xml:space="preserve"> Bei Tarde hieß </w:t>
      </w:r>
      <w:r w:rsidRPr="00725852">
        <w:rPr>
          <w:rFonts w:ascii="Garamond" w:hAnsi="Garamond"/>
          <w:i/>
          <w:iCs/>
          <w:lang w:val="en-US"/>
        </w:rPr>
        <w:t>sie Nachahmung,</w:t>
      </w:r>
      <w:r w:rsidRPr="00725852">
        <w:rPr>
          <w:rFonts w:ascii="Garamond" w:hAnsi="Garamond"/>
          <w:lang w:val="en-US"/>
        </w:rPr>
        <w:t xml:space="preserve"> aber wir müssen einem Autor recht geben, der uns vorhält, die Nachahmung falle unter den Begriff der Suggestion, sei eben eine Folge derselben</w:t>
      </w:r>
      <w:r w:rsidRPr="00725852">
        <w:rPr>
          <w:rFonts w:ascii="Garamond" w:hAnsi="Garamond"/>
          <w:i/>
          <w:iCs/>
          <w:lang w:val="en-US"/>
        </w:rPr>
        <w:t>.</w:t>
      </w:r>
      <w:r w:rsidRPr="00725852">
        <w:rPr>
          <w:rFonts w:ascii="Garamond" w:hAnsi="Garamond"/>
          <w:vertAlign w:val="superscript"/>
          <w:lang w:val="en-US"/>
        </w:rPr>
        <w:t>1)</w:t>
      </w:r>
      <w:r w:rsidRPr="00725852">
        <w:rPr>
          <w:rFonts w:ascii="Garamond" w:hAnsi="Garamond"/>
          <w:i/>
          <w:iCs/>
          <w:lang w:val="en-US"/>
        </w:rPr>
        <w:t xml:space="preserve"> </w:t>
      </w:r>
      <w:r w:rsidRPr="00725852">
        <w:rPr>
          <w:rFonts w:ascii="Garamond" w:hAnsi="Garamond"/>
          <w:lang w:val="en-US"/>
        </w:rPr>
        <w:t>Bei Le Bon wurde alles Befremdende der sozialen Erscheinungen auf zwei Faktoren zurückgeführt, auf die gegenseitige Suggestion der Einzelnen und das Prestige der Führer. Aber das Prestige äußert sich wiederum nur in der Wirkung, Suggestion hervorzurufen. Bei McDougall konnten wir einen Moment lang den Eindruck empfangen, daß sein Prinzip der »primären Affektinduktion« die Annahme der Suggestion entbehrlich mache. Aber bei weiterer Überlegung müssen wir doch einsehen, daß dies Prinzip nichts anderes aussagt als die bekannten Behauptungen der »Nachahmung« oder »Ansteckung«, nur unter entschiedener Betonung des affektiven Moments. Daß eine derartige Tendenz in uns besteht, wenn wir ein Zeichen eines Affektzustandes bei einem anderen gewahren, in denselben Affekt zu verfallen, ist unzweifelhaft, aber wie oft widerstehen wir ihr erfolgreich, weisen den Affekt ab, reagieren oft in ganz gegensätzlicher Weise? Warum also geben wir dieser Ansteckung in der Masse regelmäßig nach? Man wird wiederum sagen müssen, es sei der suggestive Einfluß der Masse, der uns nötigt, dieser Nachahmungstendenz zu gehorchen, der den Affekt in uns induziert. Übrigens kommen wir auch sonst bei McDougall nicht um die Suggestion herum; wir hören von ihm wie von anderen: die Massen zeichnen sich durch besondere Suggestibilität aus.</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Man wird so für die Aussage vorbereitet, die Suggestion (richtiger die Suggerierbarkeit) sei eben ein weiter nicht reduzierbares Urphänomen, eine Grundtatsache des menschlichen Seelenlebens. So hielt es auch Bernheim, von dessen erstaunlichen Künsten ich im Jahre 1889 Zeuge war. Ich weiß mich aber auch damals an eine dumpfe Gegnerschaft gegen diese Tyrannei der Suggestion zu erinnern. Wenn ein Kranker, der sich nicht gefügig zeigte, angeschrieen wurde: »Was tun Sie denn? </w:t>
      </w:r>
      <w:r w:rsidRPr="00725852">
        <w:rPr>
          <w:rFonts w:ascii="Garamond" w:hAnsi="Garamond"/>
          <w:i/>
          <w:iCs/>
        </w:rPr>
        <w:t>Vous vous contre-suggestionnez!«</w:t>
      </w:r>
      <w:r w:rsidRPr="00725852">
        <w:rPr>
          <w:rFonts w:ascii="Garamond" w:hAnsi="Garamond"/>
        </w:rPr>
        <w:t xml:space="preserve"> so sagte ich mir, das sei offenbares Unrecht und Gewalttat. </w:t>
      </w:r>
      <w:r w:rsidRPr="00725852">
        <w:rPr>
          <w:rFonts w:ascii="Garamond" w:hAnsi="Garamond"/>
          <w:lang w:val="en-US"/>
        </w:rPr>
        <w:t>Der Mann habe zu Gegensuggestionen gewiß ein Recht, wenn man ihn mit Suggestionen zu unterwerfen versuche. Mein Widerstand nahm dann später die Richtung einer Auflehnung dagegen, daß die Suggestion, die alles erklärte, selbst der Erklärung entzogen sein sollte. Ich wiederholte mit Bezug auf sie die alte Scherzfrage:</w:t>
      </w:r>
      <w:r w:rsidRPr="00725852">
        <w:rPr>
          <w:rFonts w:ascii="Garamond" w:hAnsi="Garamond"/>
          <w:vertAlign w:val="superscript"/>
          <w:lang w:val="en-US"/>
        </w:rPr>
        <w:t>2)</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lang w:val="en-US"/>
        </w:rPr>
        <w:t>Christoph trug Christum,</w:t>
      </w:r>
    </w:p>
    <w:p w:rsidR="00525700" w:rsidRPr="00725852" w:rsidRDefault="00525700" w:rsidP="00725852">
      <w:pPr>
        <w:pStyle w:val="Sansinterligne"/>
        <w:rPr>
          <w:rFonts w:ascii="Garamond" w:hAnsi="Garamond"/>
          <w:lang w:val="en-US"/>
        </w:rPr>
      </w:pPr>
      <w:r w:rsidRPr="00725852">
        <w:rPr>
          <w:rFonts w:ascii="Garamond" w:hAnsi="Garamond"/>
          <w:lang w:val="en-US"/>
        </w:rPr>
        <w:t>Christus trug die ganze Welt,</w:t>
      </w:r>
    </w:p>
    <w:p w:rsidR="00525700" w:rsidRPr="00725852" w:rsidRDefault="00525700" w:rsidP="00725852">
      <w:pPr>
        <w:pStyle w:val="Sansinterligne"/>
        <w:rPr>
          <w:rFonts w:ascii="Garamond" w:hAnsi="Garamond"/>
          <w:lang w:val="en-US"/>
        </w:rPr>
      </w:pPr>
      <w:r w:rsidRPr="00725852">
        <w:rPr>
          <w:rFonts w:ascii="Garamond" w:hAnsi="Garamond"/>
          <w:lang w:val="en-US"/>
        </w:rPr>
        <w:t>Sag', wo hat Christoph</w:t>
      </w:r>
    </w:p>
    <w:p w:rsidR="00525700" w:rsidRPr="00725852" w:rsidRDefault="00525700" w:rsidP="00725852">
      <w:pPr>
        <w:pStyle w:val="Sansinterligne"/>
        <w:rPr>
          <w:rFonts w:ascii="Garamond" w:hAnsi="Garamond"/>
          <w:lang w:val="en-US"/>
        </w:rPr>
      </w:pPr>
      <w:r w:rsidRPr="00725852">
        <w:rPr>
          <w:rFonts w:ascii="Garamond" w:hAnsi="Garamond"/>
          <w:lang w:val="en-US"/>
        </w:rPr>
        <w:t>Damals hin den Fuß gestellt?</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lang w:val="en-US"/>
        </w:rPr>
        <w:t>Cristophorus Christum, sed Christus sustulit orbem:</w:t>
      </w:r>
    </w:p>
    <w:p w:rsidR="00525700" w:rsidRPr="00725852" w:rsidRDefault="00525700" w:rsidP="00725852">
      <w:pPr>
        <w:pStyle w:val="Sansinterligne"/>
        <w:rPr>
          <w:rFonts w:ascii="Garamond" w:hAnsi="Garamond"/>
        </w:rPr>
      </w:pPr>
      <w:r w:rsidRPr="00725852">
        <w:rPr>
          <w:rFonts w:ascii="Garamond" w:hAnsi="Garamond"/>
        </w:rPr>
        <w:t>Constiterit pedibus die ubi Christophorus?</w:t>
      </w:r>
    </w:p>
    <w:p w:rsidR="00525700" w:rsidRPr="00725852" w:rsidRDefault="00525700" w:rsidP="00725852">
      <w:pPr>
        <w:pStyle w:val="Sansinterligne"/>
        <w:rPr>
          <w:rFonts w:ascii="Garamond" w:hAnsi="Garamond"/>
        </w:rPr>
      </w:pPr>
      <w:r w:rsidRPr="00725852">
        <w:rPr>
          <w:rFonts w:ascii="Garamond" w:hAnsi="Garamond"/>
        </w:rPr>
        <w:t> </w:t>
      </w:r>
    </w:p>
    <w:p w:rsidR="00525700" w:rsidRPr="00725852" w:rsidRDefault="00525700" w:rsidP="00725852">
      <w:pPr>
        <w:pStyle w:val="Sansinterligne"/>
        <w:rPr>
          <w:rFonts w:ascii="Garamond" w:hAnsi="Garamond"/>
          <w:lang w:val="en-US"/>
        </w:rPr>
      </w:pPr>
      <w:r w:rsidRPr="00725852">
        <w:rPr>
          <w:rFonts w:ascii="Garamond" w:hAnsi="Garamond"/>
          <w:lang w:val="en-US"/>
        </w:rPr>
        <w:t>Wenn ich nun nach etwa dreißigjähriger Fernhaltung wieder an das Rätsel der Suggestion herantrete, finde ich, daß sich nichts daran geändert hat. Von einer einzigen Ausnahme, die eben den Einfluß der Psychoanalyse bezeugt, darf ich ja bei dieser Behauptung absehen. Ich sehe, daß man sich besonders darum bemüht, den Begriff der Suggestion korrekt zu formulieren, also den Gebrauch des Namens konventionell festzulegen,</w:t>
      </w:r>
      <w:r w:rsidRPr="00725852">
        <w:rPr>
          <w:rFonts w:ascii="Garamond" w:hAnsi="Garamond"/>
          <w:vertAlign w:val="superscript"/>
          <w:lang w:val="en-US"/>
        </w:rPr>
        <w:t>3)</w:t>
      </w:r>
      <w:r w:rsidRPr="00725852">
        <w:rPr>
          <w:rFonts w:ascii="Garamond" w:hAnsi="Garamond"/>
          <w:lang w:val="en-US"/>
        </w:rPr>
        <w:t xml:space="preserve"> und dies ist nicht überflüssig, denn das Wort geht einer immer weiteren Verwendung mit aufgelockerter Bedeutung entgegen und wird bald jede beliebige Beeinflussung </w:t>
      </w:r>
      <w:r w:rsidRPr="00725852">
        <w:rPr>
          <w:rFonts w:ascii="Garamond" w:hAnsi="Garamond"/>
          <w:lang w:val="en-US"/>
        </w:rPr>
        <w:lastRenderedPageBreak/>
        <w:t xml:space="preserve">bezeichnen wie im Englischen, wo </w:t>
      </w:r>
      <w:r w:rsidRPr="00725852">
        <w:rPr>
          <w:rFonts w:ascii="Garamond" w:hAnsi="Garamond"/>
          <w:i/>
          <w:iCs/>
          <w:lang w:val="en-US"/>
        </w:rPr>
        <w:t>»to suggest, Suggestion«</w:t>
      </w:r>
      <w:r w:rsidRPr="00725852">
        <w:rPr>
          <w:rFonts w:ascii="Garamond" w:hAnsi="Garamond"/>
          <w:lang w:val="en-US"/>
        </w:rPr>
        <w:t xml:space="preserve"> unserem »Nahelegen«, unserer »Anregung« entspricht. Aber über das Wesen der Suggestion, das heißt über die Bedingungen, unter denen sich Beeinflussungen ohne zureichende logische Begründung herstellen, hat sich eine Aufklärung nicht ergeben. Ich würde mich der Aufgabe nicht entziehen, diese Behauptung durch die Analyse der Literatur dieser letzten dreißig Jahre zu erhärten, allein ich unterlasse es, weil mir bekannt ist, daß in meiner Nähe eine ausführliche Untersuchung vorbereitet wird, welche sich eben diese Aufgabe gestellt hat.</w:t>
      </w:r>
      <w:r w:rsidRPr="00725852">
        <w:rPr>
          <w:rFonts w:ascii="Garamond" w:hAnsi="Garamond"/>
          <w:vertAlign w:val="superscript"/>
          <w:lang w:val="en-US"/>
        </w:rPr>
        <w:t>4)</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Anstatt dessen werde ich den Versuch machen, zur Aufklärung der Massenpsychologie den Begriff der </w:t>
      </w:r>
      <w:r w:rsidRPr="00725852">
        <w:rPr>
          <w:rFonts w:ascii="Garamond" w:hAnsi="Garamond"/>
          <w:i/>
          <w:iCs/>
          <w:lang w:val="en-US"/>
        </w:rPr>
        <w:t>Libido</w:t>
      </w:r>
      <w:r w:rsidRPr="00725852">
        <w:rPr>
          <w:rFonts w:ascii="Garamond" w:hAnsi="Garamond"/>
          <w:lang w:val="en-US"/>
        </w:rPr>
        <w:t xml:space="preserve"> zu verwenden, der uns im Studium der Psychoneurosen so gute Dienste geleistet hat.</w:t>
      </w:r>
    </w:p>
    <w:p w:rsidR="00525700" w:rsidRPr="00725852" w:rsidRDefault="00525700" w:rsidP="00725852">
      <w:pPr>
        <w:pStyle w:val="Sansinterligne"/>
        <w:rPr>
          <w:rFonts w:ascii="Garamond" w:hAnsi="Garamond"/>
          <w:lang w:val="en-US"/>
        </w:rPr>
      </w:pPr>
      <w:r w:rsidRPr="00725852">
        <w:rPr>
          <w:rFonts w:ascii="Garamond" w:hAnsi="Garamond"/>
          <w:lang w:val="en-US"/>
        </w:rPr>
        <w:t>Libido ist ein Ausdruck aus der Affektivitätslehre. Wir heißen so die als quantitative Größe betrachtete — wenn auch derzeit nicht meßbare — Energie solcher Triebe, welche mit all dem zu tun haben, was man als Liebe zusammenfassen kann. Den Kern des von uns Liebe Geheißenen bildet natürlich, was man gemeinhin Liebe nennt und was die Dichter besingen, die Geschlechtsliebe mit dem Ziel der geschlechtlichen Vereinigung. Aber wir trennen davon nicht ab, was auch sonst an dem Namen Liebe Anteil hat, einerseits die Selbstliebe, anderseits die Eltern- und Kindesliebe, die Freundschaft und die allgemeine Menschenliebe, auch nicht die Hingebung an konkrete Gegenstände und an abstrakte Ideen. Unsere Rechtfertigung liegt darin, daß die psychoanalytische Untersuchung uns gelehrt hat, alle diese Strebungen seien der Ausdruck der nämlichen Triebregungen, die zwischen den Geschlechtern zur geschlechtlichen Vereinigung hindrängen, in anderen Verhältnissen zwar von diesem sexuellen Ziel abgedrängt oder in der Erreichung desselben aufgehalten werden, dabei aber doch immer genug von ihrem ursprünglichen Wesen bewahren, um ihre Identität kenntlich zu erhalten (Selbstaufopferung, Streben nach Annäherung).</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Wir meinen also, daß die Sprache mit dem Wort »Liebe« in seinen vielfältigen Anwendungen eine durchaus berechtigte Zusammenfassung geschaffen hat und daß wir nichts Besseres tun können, als dieselbe auch unseren wissenschaftlichen Erörterungen und Darstellungen zugrunde zu legen. Durch diesen Entschluß hat die Psychoanalyse einen Sturm von Entrüstung entfesselt, als ob sie sich einer frevelhaften Neuerung schuldig gemacht hätte. Und doch hat die Psychoanalyse mit dieser »erweiterten« Auffassung der Liebe nichts Originelles geschaffen. Der </w:t>
      </w:r>
      <w:r w:rsidRPr="00725852">
        <w:rPr>
          <w:rFonts w:ascii="Garamond" w:hAnsi="Garamond"/>
          <w:i/>
          <w:iCs/>
          <w:lang w:val="en-US"/>
        </w:rPr>
        <w:t>»Eros</w:t>
      </w:r>
      <w:r w:rsidRPr="00725852">
        <w:rPr>
          <w:rFonts w:ascii="Garamond" w:hAnsi="Garamond"/>
          <w:lang w:val="en-US"/>
        </w:rPr>
        <w:t xml:space="preserve"> </w:t>
      </w:r>
      <w:r w:rsidRPr="00725852">
        <w:rPr>
          <w:rFonts w:ascii="Garamond" w:hAnsi="Garamond"/>
          <w:vertAlign w:val="superscript"/>
          <w:lang w:val="en-US"/>
        </w:rPr>
        <w:t>5)</w:t>
      </w:r>
      <w:r w:rsidRPr="00725852">
        <w:rPr>
          <w:rFonts w:ascii="Garamond" w:hAnsi="Garamond"/>
          <w:lang w:val="en-US"/>
        </w:rPr>
        <w:t xml:space="preserve"> des Philosophen Plato zeigt in seiner Herkunft, Leistung und Beziehung zur Geschlechtsliebe eine vollkommene Deckung mit der Liebeskraft, der Libido der Psychoanalyse, wie Nachmansohn und Pfister im einzelnen dargelegt haben, und wenn der Apostel Paulus in dem berühmten Brief an die Korinther die Liebe über alles andere preist, hat er sie gewiß im nämlichen »erweiterten« Sinn verstanden,</w:t>
      </w:r>
      <w:r w:rsidRPr="00725852">
        <w:rPr>
          <w:rFonts w:ascii="Garamond" w:hAnsi="Garamond"/>
          <w:vertAlign w:val="superscript"/>
          <w:lang w:val="en-US"/>
        </w:rPr>
        <w:t>6)</w:t>
      </w:r>
      <w:r w:rsidRPr="00725852">
        <w:rPr>
          <w:rFonts w:ascii="Garamond" w:hAnsi="Garamond"/>
          <w:lang w:val="en-US"/>
        </w:rPr>
        <w:t xml:space="preserve"> woraus nur zu lernen ist, daß die Menschen ihre großen Denker nicht immer ernst nehmen, auch wenn sie sie angeblich sehr bewundern.</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Diese Liebestriebe werden nun in der Psychoanalyse </w:t>
      </w:r>
      <w:r w:rsidRPr="00725852">
        <w:rPr>
          <w:rFonts w:ascii="Garamond" w:hAnsi="Garamond"/>
          <w:i/>
          <w:iCs/>
          <w:lang w:val="en-US"/>
        </w:rPr>
        <w:t>a potiori</w:t>
      </w:r>
      <w:r w:rsidRPr="00725852">
        <w:rPr>
          <w:rFonts w:ascii="Garamond" w:hAnsi="Garamond"/>
          <w:lang w:val="en-US"/>
        </w:rPr>
        <w:t xml:space="preserve"> und von ihrer Herkunft her Sexualtriebe geheißen. Die Mehrzahl der »Gebildeten« hat diese Namengebung als Beleidigung empfunden und sich für sie gerächt, indem sie der Psychoanalyse den Vorwurf des »Pansexualismus« entgegen</w:t>
      </w:r>
      <w:r w:rsidRPr="00725852">
        <w:rPr>
          <w:rFonts w:ascii="Garamond" w:hAnsi="Garamond"/>
          <w:lang w:val="en-US"/>
        </w:rPr>
        <w:softHyphen/>
        <w:t>schleuderte. Wer die Sexualität für etwas die menschliche Natur Beschämendes und Erniedrigendes hält, dem steht es ja frei, sich der vornehmeren Ausdrücke Eros und Erotik zu bedienen. Ich hätte es auch selbst von Anfang an so tun können und hätte mir dadurch viel Widerspruch erspart. Aber ich mochte es nicht, denn ich vermeide gern Konzessionen an die Schwachmütigkeit. Man kann nicht wissen, wohin man auf diesem Wege gerät; man gibt zuerst in Worten nach und dann allmählich auch in der Sache. Ich kann nicht finden, daß irgendein Verdienst daran ist, sich der Sexualität zu schämen; das griechische Wort Eros, das den Schimpf lindern soll, ist doch schließlich nichts anderes als die Übersetzung unseres deutschen Wortes Liebe, und endlich, wer warten kann, braucht keine Konzessionen zu machen.</w:t>
      </w:r>
    </w:p>
    <w:p w:rsidR="00525700" w:rsidRPr="00725852" w:rsidRDefault="00525700" w:rsidP="00725852">
      <w:pPr>
        <w:pStyle w:val="Sansinterligne"/>
        <w:rPr>
          <w:rFonts w:ascii="Garamond" w:hAnsi="Garamond"/>
          <w:lang w:val="en-US"/>
        </w:rPr>
      </w:pPr>
      <w:r w:rsidRPr="00725852">
        <w:rPr>
          <w:rFonts w:ascii="Garamond" w:hAnsi="Garamond"/>
          <w:lang w:val="en-US"/>
        </w:rPr>
        <w:t>Wir werden es also mit der Voraussetzung versuchen, daß Liebes</w:t>
      </w:r>
      <w:r w:rsidRPr="00725852">
        <w:rPr>
          <w:rFonts w:ascii="Garamond" w:hAnsi="Garamond"/>
          <w:lang w:val="en-US"/>
        </w:rPr>
        <w:softHyphen/>
        <w:t>beziehungen (indifferent ausgedrückt: Gefühlsbindungen) auch das Wesen der Massenseele ausmachen. Erinnern wir uns daran, daß von solchen bei den Autoren nicht die Rede ist. Was ihnen entsprechen würde, ist offenbar hinter dem Schirm, der spanischen Wand, der Suggestion verborgen. Auf zwei flüchtige Gedanken stützen wir zunächst unsere Erwartung. Erstens, daß die Masse offenbar durch irgendeine Macht zusammengehalten wird. Welcher Macht könnte man aber diese Leistung eher zuschreiben als dem Eros, der alles in der Welt zusammenhält? Zweitens, daß man den Eindruck empfängt, wenn der Einzelne in der Masse seine Eigenart aufgibt und sich von den anderen suggerieren läßt, er tue es, weil ein Bedürfnis bei ihm besteht, eher im Einvernehmen mit ihnen als im Gegensatz zu ihnen zu sein, also vielleicht doch »ihnen zuliebe«.</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lang w:val="en-US"/>
        </w:rPr>
        <w:t>____________________</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1)</w:t>
      </w:r>
      <w:r w:rsidRPr="00725852">
        <w:rPr>
          <w:rFonts w:ascii="Garamond" w:hAnsi="Garamond"/>
          <w:lang w:val="en-US"/>
        </w:rPr>
        <w:t xml:space="preserve"> Brugeilles (1913).</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2)</w:t>
      </w:r>
      <w:r w:rsidRPr="00725852">
        <w:rPr>
          <w:rFonts w:ascii="Garamond" w:hAnsi="Garamond"/>
          <w:lang w:val="en-US"/>
        </w:rPr>
        <w:t xml:space="preserve"> Konrad Richter, ›Der deutsche St. Christoph‹, Berlin 1896. </w:t>
      </w:r>
      <w:r w:rsidRPr="00725852">
        <w:rPr>
          <w:rFonts w:ascii="Garamond" w:hAnsi="Garamond"/>
          <w:i/>
          <w:iCs/>
          <w:lang w:val="en-US"/>
        </w:rPr>
        <w:t>Acta Germanica</w:t>
      </w:r>
      <w:r w:rsidRPr="00725852">
        <w:rPr>
          <w:rFonts w:ascii="Garamond" w:hAnsi="Garamond"/>
          <w:lang w:val="en-US"/>
        </w:rPr>
        <w:t xml:space="preserve"> V, 1.</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lastRenderedPageBreak/>
        <w:t>3)</w:t>
      </w:r>
      <w:r w:rsidRPr="00725852">
        <w:rPr>
          <w:rFonts w:ascii="Garamond" w:hAnsi="Garamond"/>
          <w:lang w:val="en-US"/>
        </w:rPr>
        <w:t xml:space="preserve"> So McDougall (1920</w:t>
      </w:r>
      <w:r w:rsidRPr="00725852">
        <w:rPr>
          <w:rFonts w:ascii="Garamond" w:hAnsi="Garamond"/>
          <w:i/>
          <w:iCs/>
          <w:lang w:val="en-US"/>
        </w:rPr>
        <w:t>b</w:t>
      </w:r>
      <w:r w:rsidRPr="00725852">
        <w:rPr>
          <w:rFonts w:ascii="Garamond" w:hAnsi="Garamond"/>
          <w:lang w:val="en-US"/>
        </w:rPr>
        <w: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4)</w:t>
      </w:r>
      <w:r w:rsidRPr="00725852">
        <w:rPr>
          <w:rFonts w:ascii="Garamond" w:hAnsi="Garamond"/>
          <w:lang w:val="en-US"/>
        </w:rPr>
        <w:t xml:space="preserve"> Diese Arbeit ist dann leider nicht zustande gekommen.</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5)</w:t>
      </w:r>
      <w:r w:rsidRPr="00725852">
        <w:rPr>
          <w:rFonts w:ascii="Garamond" w:hAnsi="Garamond"/>
          <w:lang w:val="en-US"/>
        </w:rPr>
        <w:t xml:space="preserve"> Nachmansohn (1915); Pfister (1921).</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6)</w:t>
      </w:r>
      <w:r w:rsidRPr="00725852">
        <w:rPr>
          <w:rFonts w:ascii="Garamond" w:hAnsi="Garamond"/>
          <w:lang w:val="en-US"/>
        </w:rPr>
        <w:t xml:space="preserve"> »Wenn ich mit Menschen- und mit Engelzungen redete, und hätte der Liebe nicht, so wäre ich ein tönend Erz oder eine klingende Schelle«, u. ff.</w:t>
      </w:r>
    </w:p>
    <w:p w:rsidR="00A95446" w:rsidRPr="00725852" w:rsidRDefault="00A95446" w:rsidP="00725852">
      <w:pPr>
        <w:pStyle w:val="Sansinterligne"/>
        <w:rPr>
          <w:rFonts w:ascii="Garamond" w:eastAsiaTheme="majorEastAsia" w:hAnsi="Garamond" w:cstheme="majorBidi"/>
          <w:b/>
          <w:bCs/>
          <w:color w:val="365F91" w:themeColor="accent1" w:themeShade="BF"/>
          <w:lang w:val="en-US"/>
        </w:rPr>
      </w:pPr>
      <w:r w:rsidRPr="00725852">
        <w:rPr>
          <w:rFonts w:ascii="Garamond" w:hAnsi="Garamond"/>
          <w:lang w:val="en-US"/>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V. Zw</w:t>
        </w:r>
        <w:bookmarkStart w:id="29" w:name="Massen5"/>
        <w:bookmarkEnd w:id="29"/>
        <w:r w:rsidR="00525700" w:rsidRPr="00725852">
          <w:rPr>
            <w:rStyle w:val="Lienhypertexte"/>
            <w:rFonts w:ascii="Garamond" w:hAnsi="Garamond"/>
            <w:lang w:val="en-US"/>
          </w:rPr>
          <w:t>ei künstliche Massen: Kirche und Heer</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Aus der Morphologie der Massen rufen wir uns ins Gedächtnis, daß man sehr verschiedene Arten von Massen und gegensätzliche Richtungen in ihrer Ausbildung unterscheiden kann. Es gibt sehr flüchtige Massen und höchst dauerhafte; homogene, die aus gleichartigen Individuen bestehen, und nicht homogene; natürliche Massen und künstliche, die zu ihrem Zusammenhalt auch einen äußeren Zwang erfordern; primitive Massen und gegliederte, hochorganisierte. Aus Gründen aber, in welche die Einsicht noch verhüllt ist, möchten wir auf eine Unterscheidung besonderen Wert legen, die bei den Autoren eher zu wenig beachtet wird; ich meine die von führerlosen Massen und von solchen mit Führern. Und recht im Gegensatz zur gewohnten Übung soll unsere Untersuchung nicht eine relativ einfache Massenbildung zum Ausgangspunkt wählen, sondern an hochorganisierten, dauerhaften, künstlichen Massen beginnen. Die interessantesten Beispiele solcher Gebilde sind die Kirche, die Gemeinschaft der Gläubigen, und die Armee, das Heer.</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Kirche und Heer sind künstliche Massen, das heißt es wird ein gewisser äußerer Zwang aufgewendet, um sie vor der Auflösung zu bewahren </w:t>
      </w:r>
      <w:r w:rsidRPr="00725852">
        <w:rPr>
          <w:rFonts w:ascii="Garamond" w:hAnsi="Garamond"/>
          <w:vertAlign w:val="superscript"/>
          <w:lang w:val="en-US"/>
        </w:rPr>
        <w:t>1)</w:t>
      </w:r>
      <w:r w:rsidRPr="00725852">
        <w:rPr>
          <w:rFonts w:ascii="Garamond" w:hAnsi="Garamond"/>
          <w:lang w:val="en-US"/>
        </w:rPr>
        <w:t xml:space="preserve"> und Veränderungen in ihrer Struktur hintanzuhalten. Man wird in der Regel nicht befragt oder es wird einem nicht freigestellt, ob man in eine solche Masse eintreten will; der Versuch des Austrittes wird gewöhnlich verfolgt oder strenge bestraft oder ist an ganz bestimmte Bedingungen geknüpft. Warum diese Vergesellschaftungen so besonderer Sicherungen bedürfen, liegt unserem Interesse gegenwärtig ganz ferne. Uns zieht nur der eine Umstand an, daß man an diesen hochorganisierten, in solcher Weise vor dem Zerfall geschützten Massen mit großer Deutlichkeit gewisse Verhältnisse erkennt, die anderswo weit mehr verdeckt sind.</w:t>
      </w:r>
    </w:p>
    <w:p w:rsidR="00525700" w:rsidRPr="00725852" w:rsidRDefault="00525700" w:rsidP="00725852">
      <w:pPr>
        <w:pStyle w:val="Sansinterligne"/>
        <w:rPr>
          <w:rFonts w:ascii="Garamond" w:hAnsi="Garamond"/>
          <w:lang w:val="en-US"/>
        </w:rPr>
      </w:pPr>
      <w:r w:rsidRPr="00725852">
        <w:rPr>
          <w:rFonts w:ascii="Garamond" w:hAnsi="Garamond"/>
          <w:lang w:val="en-US"/>
        </w:rPr>
        <w:t>In der Kirche — wir können mit Vorteil die katholische Kirche zum Muster nehmen — gilt wie im Heer, so verschieden beide sonst sein mögen, die nämliche Vorspiegelung (Illusion), daß ein Oberhaupt da ist — in der katholischen Kirche Christus, in der Armee der Feldherr —, das alle Einzelnen der Masse mit der gleichen Liebe liebt. An dieser Illusion hängt alles; ließe man sie fallen, so zerfielen sofort, soweit der äußere Zwang es gestattete, Kirche wie Heer. Von Christus wird diese gleiche Liebe ausdrücklich ausgesagt: »Was ihr getan habt einem unter diesen meinen geringsten Brüdern, das habt ihr mir getan.« Er steht zu den Einzelnen der gläubigen Masse im Verhältnis eines gütigen älteren Bruders, ist ihnen ein Vaterersatz. Alle Anforderungen an die Einzelnen leiten sich von dieser Liebe Christi ab. Ein demokratischer Zug geht durch die Kirche, eben weil vor Christus alle gleich sind, alle den gleichen Anteil an seiner Liebe haben. Nicht ohne tiefen Grund wird die Gleichartigkeit der christlichen Gemeinde mit einer Familie heraufbeschworen und nennen sich die Gläubigen Brüder in Christo, das heißt Brüder durch die Liebe, die Christus für sie hat. Es ist nicht zu bezweifeln, daß die Bindung jedes Einzelnen an Christus auch die Ursache ihrer Bindung untereinander ist. Ähnliches gilt für das Heer; der Feldherr ist der Vater, der alle seine Soldaten gleich liebt, und darum sind sie Kameraden untereinander. Das Heer unterscheidet sich strukturell von der Kirche darin, daß es aus einem Stufenbau von solchen Massen besteht. Jeder Hauptmann ist gleichsam der Feldherr und Vater seiner Abteilung, jeder Unteroffizier der seines Zuges. Eine ähnliche Hierarchie ist zwar auch in der Kirche ausgebildet, spielt aber in ihr nicht dieselbe ökonomische</w:t>
      </w:r>
      <w:r w:rsidRPr="00725852">
        <w:rPr>
          <w:rFonts w:ascii="Garamond" w:hAnsi="Garamond"/>
          <w:i/>
          <w:iCs/>
          <w:lang w:val="en-US"/>
        </w:rPr>
        <w:t xml:space="preserve"> </w:t>
      </w:r>
      <w:r w:rsidRPr="00725852">
        <w:rPr>
          <w:rFonts w:ascii="Garamond" w:hAnsi="Garamond"/>
          <w:lang w:val="en-US"/>
        </w:rPr>
        <w:t>Rolle, da man Christus mehr Wissen und Bekümmern um die Einzelnen zuschreiben darf als dem menschlichen Feldherrn.</w:t>
      </w:r>
    </w:p>
    <w:p w:rsidR="00525700" w:rsidRPr="00725852" w:rsidRDefault="00525700" w:rsidP="00725852">
      <w:pPr>
        <w:pStyle w:val="Sansinterligne"/>
        <w:rPr>
          <w:rFonts w:ascii="Garamond" w:hAnsi="Garamond"/>
          <w:lang w:val="en-US"/>
        </w:rPr>
      </w:pPr>
      <w:r w:rsidRPr="00725852">
        <w:rPr>
          <w:rFonts w:ascii="Garamond" w:hAnsi="Garamond"/>
          <w:lang w:val="en-US"/>
        </w:rPr>
        <w:t>Gegen diese Auffassung der libidinösen Struktur einer Armee wird man mit Recht einwenden, daß die Ideen des Vaterlandes, des nationalen Ruhmes und andere, die für den Zusammenhalt der Armee so bedeutsam sind, hier keine Stelle gefunden haben. Die Antwort darauf lautet, dies sei ein anderer, nicht mehr so einfacher Fall von Massenbindung, und wie die Beispiele großer Heerführer, Caesar, Wallenstein, Napoleon, zeigen, sind solche Ideen für den Bestand einer Armee nicht unentbehrlich. Von dem möglichen Ersatz des Führers durch eine führende Idee und den Beziehungen zwischen beiden wird später kurz die Rede sein. Die Vernachlässigung dieses libidinösen Faktors in der Armee, auch dann, wenn er nicht der einzig wirksame ist, scheint nicht nur ein theoretischer Mangel, sondern auch eine praktische Gefahr. Der preußische Militarismus, der ebenso unpsychologisch war wie die deutsche Wissenschaft, hat dies vielleicht im großen Weltkrieg erfahren müssen. Die Kriegsneurosen, welche die deutsche Armee zersetzten, sind ja großenteils als Protest des Einzelnen gegen die ihm in der Armee zugemutete Rolle erkannt worden, und nach den Mitteilungen von E. Simmel (1918) darf man behaupten, daß die lieblose Behandlung des gemeinen Mannes durch seine Vorgesetzten obenan unter den Motiven der Erkrankung stand. Bei besserer Würdigung dieses Libidoanspruches hätten wahrschein</w:t>
      </w:r>
      <w:r w:rsidRPr="00725852">
        <w:rPr>
          <w:rFonts w:ascii="Garamond" w:hAnsi="Garamond"/>
          <w:lang w:val="en-US"/>
        </w:rPr>
        <w:softHyphen/>
        <w:t>lich die phantastischen Versprechungen der 14 Punkte des amerikanischen Präsidenten nicht so leicht Glauben gefunden, und das großartige Instrument wäre den deutschen Kriegskünstlern nicht in der Hand zerbrochen.</w:t>
      </w:r>
    </w:p>
    <w:p w:rsidR="00525700" w:rsidRPr="00725852" w:rsidRDefault="00525700" w:rsidP="00725852">
      <w:pPr>
        <w:pStyle w:val="Sansinterligne"/>
        <w:rPr>
          <w:rFonts w:ascii="Garamond" w:hAnsi="Garamond"/>
          <w:lang w:val="en-US"/>
        </w:rPr>
      </w:pPr>
      <w:r w:rsidRPr="00725852">
        <w:rPr>
          <w:rFonts w:ascii="Garamond" w:hAnsi="Garamond"/>
          <w:lang w:val="en-US"/>
        </w:rPr>
        <w:lastRenderedPageBreak/>
        <w:t>Merken wir an, daß in diesen beiden künstlichen Massen jeder Einzelne einerseits an den Führer (Christus, Feldherrn), anderseits an die anderen Massenindividuen libidinös gebunden ist. Wie sich diese beiden Bindungen zueinander verhalten, ob sie gleichartig und gleichwertig sind und wie sie psychologisch zu beschreiben wären, das müssen wir einer späteren Untersuchung vorbehalten. Wir getrauen uns aber jetzt schon eines leisen Vorwurfes gegen die Autoren, daß sie die Bedeutung des Führers für die Psychologie der Masse nicht genügend gewürdigt haben, während uns die Wahl des ersten Untersuchungsobjekts in eine günstigere Lage gebracht hat. Es will uns scheinen, als befänden wir uns auf dem richtigen Weg, der die Haupterscheinung der Massenpsychologie, die Unfreiheit des Einzelnen in der Masse, aufklären kann. Wenn für jeden Einzelnen eine so ausgiebige Gefühlsbindung nach zwei Richtungen besteht, so wird es uns nicht schwer werden, aus diesem Verhältnis die beobachtete Veränderung und Einschränkung seiner Persönlichkeit abzuleiten.</w:t>
      </w:r>
    </w:p>
    <w:p w:rsidR="00525700" w:rsidRPr="00725852" w:rsidRDefault="00525700" w:rsidP="00725852">
      <w:pPr>
        <w:pStyle w:val="Sansinterligne"/>
        <w:rPr>
          <w:rFonts w:ascii="Garamond" w:hAnsi="Garamond"/>
        </w:rPr>
      </w:pPr>
      <w:r w:rsidRPr="00725852">
        <w:rPr>
          <w:rFonts w:ascii="Garamond" w:hAnsi="Garamond"/>
          <w:lang w:val="en-US"/>
        </w:rPr>
        <w:t xml:space="preserve">Einen Wink ebendahin, das Wesen einer Masse bestehe in den in ihr vorhandenen libidinösen Bindungen, erhalten wir auch in dem Phänomen der Panik, welches am besten an militärischen Massen zu studieren ist. Eine Panik entsteht, wenn eine solche Masse sich zersetzt. Ihr Charakter ist, daß kein Befehl des Vorgesetzten mehr angehört wird und daß jeder für sich selbst sorgt ohne Rücksicht auf die anderen. Die gegenseitigen Bindungen haben aufgehört, und eine riesengroße, sinnlose Angst wird frei. Natürlich wird auch hier wieder der Einwand naheliegen, es sei vielmehr umgekehrt, indem die Angst so groß gewachsen sei, daß sie sich über alle Rücksichten und Bindungen hinaussetzen konnte. McDougall hat sogar (1920 </w:t>
      </w:r>
      <w:r w:rsidRPr="00725852">
        <w:rPr>
          <w:rFonts w:ascii="Garamond" w:hAnsi="Garamond"/>
          <w:i/>
          <w:iCs/>
          <w:lang w:val="en-US"/>
        </w:rPr>
        <w:t>a</w:t>
      </w:r>
      <w:r w:rsidRPr="00725852">
        <w:rPr>
          <w:rFonts w:ascii="Garamond" w:hAnsi="Garamond"/>
          <w:lang w:val="en-US"/>
        </w:rPr>
        <w:t xml:space="preserve">, 24) den Fall der Panik (allerdings der nicht militärischen) als Musterbeispiel für die von ihm betonte Affektsteigerung durch Ansteckung </w:t>
      </w:r>
      <w:r w:rsidRPr="00725852">
        <w:rPr>
          <w:rFonts w:ascii="Garamond" w:hAnsi="Garamond"/>
          <w:i/>
          <w:iCs/>
          <w:lang w:val="en-US"/>
        </w:rPr>
        <w:t>(»primary induction«)</w:t>
      </w:r>
      <w:r w:rsidRPr="00725852">
        <w:rPr>
          <w:rFonts w:ascii="Garamond" w:hAnsi="Garamond"/>
          <w:lang w:val="en-US"/>
        </w:rPr>
        <w:t xml:space="preserve"> verwertet. Allein diese rationelle Erklärungsweise geht hier doch ganz fehl. Es steht eben zur Erklärung, warum die Angst so riesengroß geworden ist. Die Größe der Gefahr kann nicht beschuldigt werden, denn dieselbe Armee, die jetzt der Panik verfällt, kann ähnlich große und größere Gefahren tadellos bestanden haben, und es gehört geradezu zum Wesen der Panik, daß sie nicht im Verhältnis zur drohenden Gefahr steht, oft bei den nichtigsten Anlässen ausbricht. Wenn der Einzelne in panischer Angst für sich selbst zu sorgen unternimmt, so bezeugt er damit die Einsicht, daß die affektiven Bindungen aufgehört haben, die bis dahin die Gefahr für ihn herabsetzten. </w:t>
      </w:r>
      <w:r w:rsidRPr="00725852">
        <w:rPr>
          <w:rFonts w:ascii="Garamond" w:hAnsi="Garamond"/>
        </w:rPr>
        <w:t>Nun, da er der Gefahr allein entgegensteht, darf er sie allerdings höher einschätzen. Es verhält sich also so, daß die panische Angst die Lockerung in der libidinösen Struktur der Masse voraussetzt und in berechtigter Weise auf sie reagiert, nicht umgekehrt, daß die Libidobindungen der Masse an der Angst vor der Gefahr zugrunde gegangen wären.</w:t>
      </w:r>
    </w:p>
    <w:p w:rsidR="00525700" w:rsidRPr="00725852" w:rsidRDefault="00525700" w:rsidP="00725852">
      <w:pPr>
        <w:pStyle w:val="Sansinterligne"/>
        <w:rPr>
          <w:rFonts w:ascii="Garamond" w:hAnsi="Garamond"/>
          <w:lang w:val="en-US"/>
        </w:rPr>
      </w:pPr>
      <w:r w:rsidRPr="00725852">
        <w:rPr>
          <w:rFonts w:ascii="Garamond" w:hAnsi="Garamond"/>
          <w:lang w:val="en-US"/>
        </w:rPr>
        <w:t>Mit diesen Bemerkungen wird der Behauptung, daß die Angst in der Masse durch Induktion (Ansteckung) ins Ungeheure wachse, keineswegs wider</w:t>
      </w:r>
      <w:r w:rsidRPr="00725852">
        <w:rPr>
          <w:rFonts w:ascii="Garamond" w:hAnsi="Garamond"/>
          <w:lang w:val="en-US"/>
        </w:rPr>
        <w:softHyphen/>
        <w:t>sprochen. Die McDougallsche Auffassung ist durchaus zutreffend für den Fall, daß die Gefahr eine real große ist und daß in der Masse keine starken Gefühlsbindungen bestehen, Bedingungen, die verwirklicht werden, wenn zum Beispiel in einem Theater oder Vergnügungslokal Feuer ausbricht. Der lehrreiche und für unsere Zwecke verwertete Fall ist der oben erwähnte, daß ein Heereskörper in Panik gerät, wenn die Gefahr nicht über das gewohnte und oftmals gut vertragene Maß hinaus gesteigert ist. Man wird nicht erwarten dürfen, daß der Gebrauch des Wortes »Panik« scharf und eindeutig bestimmt sei. Manchmal bezeichnet man so jede Massenangst, andere Male auch die Angst eines Einzelnen, wenn sie über jedes Maß hinausgeht, häufig scheint der Name für den Fall reserviert, daß der Angstausbruch durch den Anlaß nicht gerechtfertigt wird. Nehmen wir das Wort »Panik« im Sinne der Massenangst, so können wir eine weitgehende Analogie behaupten. Die Angst des Individuums wird hervorgerufen entweder durch die Größe der Gefahr oder durch das Auflassen von Gefühlsbindungen (Libidobesetzungen); der letztere Fall ist der der neurotischen Angst.</w:t>
      </w:r>
      <w:r w:rsidRPr="00725852">
        <w:rPr>
          <w:rFonts w:ascii="Garamond" w:hAnsi="Garamond"/>
          <w:vertAlign w:val="superscript"/>
          <w:lang w:val="en-US"/>
        </w:rPr>
        <w:t>2)</w:t>
      </w:r>
      <w:r w:rsidRPr="00725852">
        <w:rPr>
          <w:rFonts w:ascii="Garamond" w:hAnsi="Garamond"/>
          <w:lang w:val="en-US"/>
        </w:rPr>
        <w:t xml:space="preserve"> Ebenso entsteht die Panik durch die Steigerung der alle betreffenden Gefahr oder durch das Aufhören der die Masse zusammenhaltenden Gefühlsbindungen, und dieser letzte Fall ist der neurotischen Angst analog. (Vgl. hiezu den gedankenreichen, etwas phantastischen Aufsatz von Bela v. Felszeghy: ›Panik und Pankomplex‹, 1920.)</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Wenn man die Panik wie McDougall (1920a) als eine der deutlichsten Leistungen der </w:t>
      </w:r>
      <w:r w:rsidRPr="00725852">
        <w:rPr>
          <w:rFonts w:ascii="Garamond" w:hAnsi="Garamond"/>
          <w:i/>
          <w:iCs/>
          <w:lang w:val="en-US"/>
        </w:rPr>
        <w:t>»group mind«</w:t>
      </w:r>
      <w:r w:rsidRPr="00725852">
        <w:rPr>
          <w:rFonts w:ascii="Garamond" w:hAnsi="Garamond"/>
          <w:lang w:val="en-US"/>
        </w:rPr>
        <w:t xml:space="preserve"> beschreibt, gelangt man zum Paradoxon, daß sich diese Massenseele in einer ihrer auffälligsten Äußerungen selbst aufhebt. Es ist kein Zweifel möglich, daß die Panik die Zersetzung der Masse bedeutet, sie hat das Aufhören aller Rücksichten zur Folge, welche sonst die Einzelnen der Masse füreinander zeigen.</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Der typische Anlaß für den Ausbruch einer Panik ist so ähnlich, wie er in der Nestroyschen Parodie des Hebbelschen Dramas von Judith und Holofernes dargestellt wird. Da schreit ein Krieger: »Der Feldherr hat den Kopf verloren«, und darauf ergreifen alle Assyrer die Flucht. Der Verlust des Führers in irgendeinem Sinne, das Irrewerden an ihm, bringt die Panik bei gleichbleibender Gefahr zum Ausbruch; </w:t>
      </w:r>
      <w:r w:rsidRPr="00725852">
        <w:rPr>
          <w:rFonts w:ascii="Garamond" w:hAnsi="Garamond"/>
          <w:lang w:val="en-US"/>
        </w:rPr>
        <w:lastRenderedPageBreak/>
        <w:t>mit der Bindung an den Führer schwinden — in der Regel — auch die gegenseitigen Bindungen der Massenindividuen. Die Masse zerstiebt wie ein Bologneser Fläschchen, dem man die Spitze abgebrochen hat.</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Die Zersetzung einer religiösen Masse ist nicht so leicht zu beobachten. Vor kurzem geriet mir ein von katholischer Seite stammender, vom Bischof von London empfohlener englischer Roman in die Hand mit dem Titel: </w:t>
      </w:r>
      <w:r w:rsidRPr="00725852">
        <w:rPr>
          <w:rFonts w:ascii="Garamond" w:hAnsi="Garamond"/>
          <w:i/>
          <w:iCs/>
          <w:lang w:val="en-US"/>
        </w:rPr>
        <w:t xml:space="preserve">When it was Dark, </w:t>
      </w:r>
      <w:r w:rsidRPr="00725852">
        <w:rPr>
          <w:rFonts w:ascii="Garamond" w:hAnsi="Garamond"/>
          <w:lang w:val="en-US"/>
        </w:rPr>
        <w:t>der eine solche Möglichkeit und ihre Folgen in geschickter und, wie ich meine, zutreffender Weise ausmalte. Der Roman erzählt wie aus der Gegenwart, daß es einer Verschwörung von Feinden der Person Christi und des christlichen Glaubens gelingt, eine Grabkammer in Jerusalem auffinden zu lassen, in deren Inschrift Josef von Arimathäa bekennt, daß er aus Gründen der Pietät den Leichnam Christi am dritten Tag nach seiner Beisetzung heimlich aus seinem Grabe entfernt und hier bestattet habe. Damit ist die Auferstehung Christi und seine göttliche Natur abgetan, und die Folge dieser archäologischen Entdeckung ist eine Erschütterung der europäischen Kultur und eine außerordentliche Zunahme aller Gewalttaten und Verbrechen, die erst schwindet, nachdem das Komplott der Fälscher enthüllt werden kann.</w:t>
      </w:r>
    </w:p>
    <w:p w:rsidR="00525700" w:rsidRPr="00725852" w:rsidRDefault="00525700" w:rsidP="00725852">
      <w:pPr>
        <w:pStyle w:val="Sansinterligne"/>
        <w:rPr>
          <w:rFonts w:ascii="Garamond" w:hAnsi="Garamond"/>
          <w:lang w:val="en-US"/>
        </w:rPr>
      </w:pPr>
      <w:r w:rsidRPr="00725852">
        <w:rPr>
          <w:rFonts w:ascii="Garamond" w:hAnsi="Garamond"/>
          <w:lang w:val="en-US"/>
        </w:rPr>
        <w:t>Was bei der hier angenommenen Zersetzung der religiösen Masse zum Vorschein kommt, ist nicht Angst, für welche der Anlaß fehlt, sondern rücksichtslose und feindselige Impulse gegen andere Personen, die sich bis dahin dank der gleichen Liebe Christi nicht äußern konnten.</w:t>
      </w:r>
      <w:r w:rsidRPr="00725852">
        <w:rPr>
          <w:rFonts w:ascii="Garamond" w:hAnsi="Garamond"/>
          <w:vertAlign w:val="superscript"/>
          <w:lang w:val="en-US"/>
        </w:rPr>
        <w:t>3)</w:t>
      </w:r>
      <w:r w:rsidRPr="00725852">
        <w:rPr>
          <w:rFonts w:ascii="Garamond" w:hAnsi="Garamond"/>
          <w:lang w:val="en-US"/>
        </w:rPr>
        <w:t xml:space="preserve"> Außerhalb dieser Bindung stehen aber auch während des Reiches Christi jene Individuen, die nicht zur Glaubensgemeinschaft gehören, die ihn nicht lieben und die er nicht liebt; darum muß eine Religion, auch wenn sie sich die Religion der Liebe heißt, hart und lieblos gegen diejenigen sein, die ihr nicht angehören. Im Grunde ist ja jede Religion eine solche Religion der Liebe für alle, die sie umfaßt, und jeder liegt Grausamkeit und Intoleranz gegen die Nichtdazugehörigen nahe. Man darf, so schwer es einem auch persönlich fällt, den Gläubigen daraus keinen zu argen Vorwurf machen; Ungläubige und Indifferente haben es in diesem Punkte psychologisch um so viel leichter. Wenn diese Intoleranz sich heute nicht mehr so gewalttätig und grausam kundgibt wie in früheren Jahrhunderten, so wird man daraus kaum auf eine Milderung in den Sitten der Menschen schließen dürfen. Weit eher ist die Ursache davon in der unleugbaren Abschwächung der religiösen Gefühle und der von ihnen abhängigen libidinösen Bindungen zu suchen. Wenn eine andere Massenbindung an die Stelle der religiösen tritt, wie es jetzt der sozialistischen zu gelingen scheint, so wird sich dieselbe Intoleranz gegen die Außenstehenden ergeben wie im Zeitalter der Religionskämpfe, und wenn die Differenzen wissenschaftlicher Anschauungen je eine ähnliche Bedeutung für die Massen gewinnen könnten, würde sich dasselbe Resultat auch für diese Motivierung wiederholen.</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lang w:val="en-US"/>
        </w:rPr>
        <w:t>____________________</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1)</w:t>
      </w:r>
      <w:r w:rsidRPr="00725852">
        <w:rPr>
          <w:rFonts w:ascii="Garamond" w:hAnsi="Garamond"/>
          <w:lang w:val="en-US"/>
        </w:rPr>
        <w:t xml:space="preserve"> Die Eigenschaften »stabil« und »künstlich« scheinen bei den Massen zu</w:t>
      </w:r>
      <w:r w:rsidRPr="00725852">
        <w:rPr>
          <w:rFonts w:ascii="Garamond" w:hAnsi="Garamond"/>
          <w:lang w:val="en-US"/>
        </w:rPr>
        <w:softHyphen/>
        <w:t>sammenzufallen oder wenigstens intim zusammenzuhängen.</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2)</w:t>
      </w:r>
      <w:r w:rsidRPr="00725852">
        <w:rPr>
          <w:rFonts w:ascii="Garamond" w:hAnsi="Garamond"/>
          <w:lang w:val="en-US"/>
        </w:rPr>
        <w:t xml:space="preserve"> S. </w:t>
      </w:r>
      <w:r w:rsidRPr="00725852">
        <w:rPr>
          <w:rFonts w:ascii="Garamond" w:hAnsi="Garamond"/>
          <w:i/>
          <w:iCs/>
          <w:lang w:val="en-US"/>
        </w:rPr>
        <w:t>Vorlesungen,</w:t>
      </w:r>
      <w:r w:rsidRPr="00725852">
        <w:rPr>
          <w:rFonts w:ascii="Garamond" w:hAnsi="Garamond"/>
          <w:lang w:val="en-US"/>
        </w:rPr>
        <w:t xml:space="preserve"> XXV (Freud, 1916-17).</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3)</w:t>
      </w:r>
      <w:r w:rsidRPr="00725852">
        <w:rPr>
          <w:rFonts w:ascii="Garamond" w:hAnsi="Garamond"/>
          <w:lang w:val="en-US"/>
        </w:rPr>
        <w:t xml:space="preserve"> Vgl. hiezu die Erklärung ähnlicher Phänomene nach dem Wegfall der landes</w:t>
      </w:r>
      <w:r w:rsidRPr="00725852">
        <w:rPr>
          <w:rFonts w:ascii="Garamond" w:hAnsi="Garamond"/>
          <w:lang w:val="en-US"/>
        </w:rPr>
        <w:softHyphen/>
        <w:t xml:space="preserve">väterlichen Autorität bei P. Federn, </w:t>
      </w:r>
      <w:r w:rsidRPr="00725852">
        <w:rPr>
          <w:rFonts w:ascii="Garamond" w:hAnsi="Garamond"/>
          <w:i/>
          <w:iCs/>
          <w:lang w:val="en-US"/>
        </w:rPr>
        <w:t>Die vaterlose Gesellschaft</w:t>
      </w:r>
      <w:r w:rsidRPr="00725852">
        <w:rPr>
          <w:rFonts w:ascii="Garamond" w:hAnsi="Garamond"/>
          <w:lang w:val="en-US"/>
        </w:rPr>
        <w:t xml:space="preserve"> (1919).</w:t>
      </w:r>
    </w:p>
    <w:p w:rsidR="00725852" w:rsidRDefault="00725852">
      <w:pPr>
        <w:rPr>
          <w:rFonts w:ascii="Garamond" w:hAnsi="Garamond"/>
          <w:lang w:val="en-US"/>
        </w:rPr>
      </w:pPr>
      <w:r>
        <w:rPr>
          <w:rFonts w:ascii="Garamond" w:hAnsi="Garamond"/>
          <w:lang w:val="en-US"/>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VI. We</w:t>
        </w:r>
        <w:bookmarkStart w:id="30" w:name="Massen6"/>
        <w:bookmarkEnd w:id="30"/>
        <w:r w:rsidR="00525700" w:rsidRPr="00725852">
          <w:rPr>
            <w:rStyle w:val="Lienhypertexte"/>
            <w:rFonts w:ascii="Garamond" w:hAnsi="Garamond"/>
            <w:lang w:val="en-US"/>
          </w:rPr>
          <w:t>itere Aufgaben und Arbeitsrichtungen</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Wir haben bisher zwei artifizielle Massen untersucht und gefunden, daß sie von zweierlei Gefühlsbindungen beherrscht werden, von denen die eine an den Führer — wenigstens für sie — bestimmender zu sein scheint als die andere, die der Massenindividuen aneinander.</w:t>
      </w:r>
    </w:p>
    <w:p w:rsidR="00525700" w:rsidRPr="00725852" w:rsidRDefault="00525700" w:rsidP="00725852">
      <w:pPr>
        <w:pStyle w:val="Sansinterligne"/>
        <w:rPr>
          <w:rFonts w:ascii="Garamond" w:hAnsi="Garamond"/>
          <w:lang w:val="en-US"/>
        </w:rPr>
      </w:pPr>
      <w:r w:rsidRPr="00725852">
        <w:rPr>
          <w:rFonts w:ascii="Garamond" w:hAnsi="Garamond"/>
          <w:lang w:val="en-US"/>
        </w:rPr>
        <w:t>Nun gäbe es in der Morphologie der Massen noch viel zu untersuchen und zu beschreiben. Man hätte von der Feststellung auszugehen, daß eine bloße Menschenmenge noch keine Masse ist, solange sich jene Bindungen in ihr nicht hergestellt haben, hätte aber das Zugeständnis zu machen, daß in einer beliebigen Menschenmenge sehr leicht die Tendenz zur Bildung einer psychologischen Masse hervortritt. Man müßte den verschiedenartigen, mehr oder minder beständigen Massen, die spontan zustande kommen, Aufmerksamkeit schenken, die Bedingungen ihrer Entstehung und ihres Zerfalls studieren. Vor allem würde uns der Unterschied zwischen Massen, die einen Führer haben, und führerlosen Massen beschäftigen. Ob nicht die Massen mit Führer die ursprünglicheren und vollständigeren sind, ob in den anderen der Führer nicht durch eine Idee, ein Abstraktum ersetzt sein kann, wozu ja schon die religiösen Massen mit ihrem unaufzeigbaren Oberhaupt die Überleitung bilden, ob nicht eine gemeinsame Tendenz, ein Wunsch, an dem eine Vielheit Anteil nehmen kann, den nämlichen Ersatz leistet. Dieses Abstrakte könnte sich wiederum mehr oder weniger vollkommen in der Person eines gleichsam sekundären Führers verkörpern, und aus der Beziehung zwischen Idee und Führer ergäben sich interessante Mannigfaltigkeiten. Der Führer oder die führende Idee könnten auch sozusagen negativ werden; der Haß gegen eine bestimmte Person oder Institution könnte ebenso einigend wirken und ähnliche Gefühlsbindungen hervorrufen wie die positive Anhänglichkeit. Es fragt sich dann auch, ob der Führer für das Wesen der Masse wirklich unerläßlich ist und anderes mehr.</w:t>
      </w:r>
    </w:p>
    <w:p w:rsidR="00525700" w:rsidRPr="00725852" w:rsidRDefault="00525700" w:rsidP="00725852">
      <w:pPr>
        <w:pStyle w:val="Sansinterligne"/>
        <w:rPr>
          <w:rFonts w:ascii="Garamond" w:hAnsi="Garamond"/>
          <w:lang w:val="en-US"/>
        </w:rPr>
      </w:pPr>
      <w:r w:rsidRPr="00725852">
        <w:rPr>
          <w:rFonts w:ascii="Garamond" w:hAnsi="Garamond"/>
          <w:lang w:val="en-US"/>
        </w:rPr>
        <w:t>Aber all diese Fragen, die zum Teil auch in der Literatur der Massen</w:t>
      </w:r>
      <w:r w:rsidRPr="00725852">
        <w:rPr>
          <w:rFonts w:ascii="Garamond" w:hAnsi="Garamond"/>
          <w:lang w:val="en-US"/>
        </w:rPr>
        <w:softHyphen/>
        <w:t>psychologie behandelt sein mögen, werden nicht imstande sein, unser Interesse von den psychologischen Grundproblemen abzulenken, die uns in der Struktur einer Masse geboten werden. Wir werden zunächst von einer Überlegung gefesselt, die uns auf dem kürzesten Weg den Nachweis verspricht, daß es Libidobindungen sind, welche eine Masse charakterisieren.</w:t>
      </w:r>
    </w:p>
    <w:p w:rsidR="00525700" w:rsidRPr="00725852" w:rsidRDefault="00525700" w:rsidP="00725852">
      <w:pPr>
        <w:pStyle w:val="Sansinterligne"/>
        <w:rPr>
          <w:rFonts w:ascii="Garamond" w:hAnsi="Garamond"/>
          <w:lang w:val="en-US"/>
        </w:rPr>
      </w:pPr>
      <w:r w:rsidRPr="00725852">
        <w:rPr>
          <w:rFonts w:ascii="Garamond" w:hAnsi="Garamond"/>
          <w:lang w:val="en-US"/>
        </w:rPr>
        <w:t>Wir halten uns vor, wie sich die Menschen im allgemeinen affektiv zueinander verhalten. Nach dem berühmten Schopenhauerschen Gleichnis von den frierenden Stachelschweinen verträgt keiner eine allzu intime Annäherung des anderen.</w:t>
      </w:r>
      <w:r w:rsidRPr="00725852">
        <w:rPr>
          <w:rFonts w:ascii="Garamond" w:hAnsi="Garamond"/>
          <w:vertAlign w:val="superscript"/>
          <w:lang w:val="en-US"/>
        </w:rPr>
        <w:t>1)</w:t>
      </w:r>
    </w:p>
    <w:p w:rsidR="00525700" w:rsidRPr="00725852" w:rsidRDefault="00525700" w:rsidP="00725852">
      <w:pPr>
        <w:pStyle w:val="Sansinterligne"/>
        <w:rPr>
          <w:rFonts w:ascii="Garamond" w:hAnsi="Garamond"/>
          <w:lang w:val="en-US"/>
        </w:rPr>
      </w:pPr>
      <w:r w:rsidRPr="00725852">
        <w:rPr>
          <w:rFonts w:ascii="Garamond" w:hAnsi="Garamond"/>
          <w:lang w:val="en-US"/>
        </w:rPr>
        <w:t>Nach dem Zeugnis der Psychoanalyse enthält fast jedes intime Gefühls</w:t>
      </w:r>
      <w:r w:rsidRPr="00725852">
        <w:rPr>
          <w:rFonts w:ascii="Garamond" w:hAnsi="Garamond"/>
          <w:lang w:val="en-US"/>
        </w:rPr>
        <w:softHyphen/>
        <w:t xml:space="preserve">verhältnis zwischen zwei Personen von längerer Dauer — Ehebeziehung, Freundschaft, Eltern- und Kindschaft </w:t>
      </w:r>
      <w:r w:rsidRPr="00725852">
        <w:rPr>
          <w:rFonts w:ascii="Garamond" w:hAnsi="Garamond"/>
          <w:vertAlign w:val="superscript"/>
          <w:lang w:val="en-US"/>
        </w:rPr>
        <w:t>2)</w:t>
      </w:r>
      <w:r w:rsidRPr="00725852">
        <w:rPr>
          <w:rFonts w:ascii="Garamond" w:hAnsi="Garamond"/>
          <w:lang w:val="en-US"/>
        </w:rPr>
        <w:t xml:space="preserve"> — einen Bodensatz von ablehnenden, feindseligen Gefühlen, der nur infolge von Verdrängung der Wahrnehmung entgeht.</w:t>
      </w:r>
      <w:r w:rsidRPr="00725852">
        <w:rPr>
          <w:rFonts w:ascii="Garamond" w:hAnsi="Garamond"/>
          <w:vertAlign w:val="superscript"/>
          <w:lang w:val="en-US"/>
        </w:rPr>
        <w:t>3)</w:t>
      </w:r>
      <w:r w:rsidRPr="00725852">
        <w:rPr>
          <w:rFonts w:ascii="Garamond" w:hAnsi="Garamond"/>
          <w:lang w:val="en-US"/>
        </w:rPr>
        <w:t xml:space="preserve"> Unverhüllter ist es, wenn jeder Kompagnon mit seinem Gesellschafter hadert, jeder Untergebene gegen seinen Vorgesetzten murrt. Dasselbe geschieht dann, wenn die Menschen zu größeren Einheiten zusam</w:t>
      </w:r>
      <w:r w:rsidRPr="00725852">
        <w:rPr>
          <w:rFonts w:ascii="Garamond" w:hAnsi="Garamond"/>
          <w:lang w:val="en-US"/>
        </w:rPr>
        <w:softHyphen/>
        <w:t>mentreten. Jedesmal, wenn sich zwei Familien durch eine Eheschließung verbinden, hält sich jede von ihnen für die bessere oder vornehmere auf Kosten der anderen. Von zwei benachbarten Städten wird jede zur mißgünstigen Konkurrentin der anderen; jedes Kantönli sieht geringschätzig auf das andere herab. Nächstverwandte Völkerstämme stoßen einander ab, der Süddeutsche mag den Norddeutschen nicht leiden, der Engländer sagt dem Schotten alles Böse nach, der Spanier verachtet den Portugiesen.</w:t>
      </w:r>
      <w:r w:rsidRPr="00725852">
        <w:rPr>
          <w:rFonts w:ascii="Garamond" w:hAnsi="Garamond"/>
          <w:vertAlign w:val="superscript"/>
          <w:lang w:val="en-US"/>
        </w:rPr>
        <w:t>4)</w:t>
      </w:r>
      <w:r w:rsidRPr="00725852">
        <w:rPr>
          <w:rFonts w:ascii="Garamond" w:hAnsi="Garamond"/>
          <w:lang w:val="en-US"/>
        </w:rPr>
        <w:t xml:space="preserve"> Daß bei größeren Differenzen sich eine schwer zu überwindende Abneigung ergibt, des Galliers gegen den Germanen, des Ariers gegen den Semiten, des Weißen gegen den Farbigen, hat aufgehört, uns zu verwundern.</w:t>
      </w:r>
    </w:p>
    <w:p w:rsidR="00525700" w:rsidRPr="00725852" w:rsidRDefault="00525700" w:rsidP="00725852">
      <w:pPr>
        <w:pStyle w:val="Sansinterligne"/>
        <w:rPr>
          <w:rFonts w:ascii="Garamond" w:hAnsi="Garamond"/>
          <w:lang w:val="en-US"/>
        </w:rPr>
      </w:pPr>
      <w:r w:rsidRPr="00725852">
        <w:rPr>
          <w:rFonts w:ascii="Garamond" w:hAnsi="Garamond"/>
          <w:lang w:val="en-US"/>
        </w:rPr>
        <w:t>Wenn sich die Feindseligkeit gegen sonst geliebte Personen richtet, bezeichnen wir es als Gefühlsambivalenz und erklären uns diesen Fall in sicherlich allzu rationeller Weise durch die vielfachen Anlässe zu Interessenkonflikten, die sich gerade in so intimen Beziehungen ergeben. In den unverhüllt hervortretenden Abneigungen und Abstoßungen gegen nahestehende Fremde können wir den Ausdruck einer Selbstliebe, eines Narzißmus, erkennen, der seine Selbstbehauptung anstrebt und sich so benimmt, als ob das Vorkommen einer Abweichung von seinen individuellen Ausbildungen eine Kritik derselben und eine Aufforderung, sie umzugestalten, mit sich brächte. Warum sich eine so große Empfindlichkeit gerade auf diese Einzelheiten der Differenzierung geworfen haben sollte, wissen wir nicht; es ist aber unverkennbar, daß sich in diesem Verhalten der Menschen eine Haßbereitschaft, eine Aggressivität kundgibt, deren Herkunft unbekannt ist und der man einen elementaren Charakter zusprechen möchte.</w:t>
      </w:r>
      <w:r w:rsidRPr="00725852">
        <w:rPr>
          <w:rFonts w:ascii="Garamond" w:hAnsi="Garamond"/>
          <w:vertAlign w:val="superscript"/>
          <w:lang w:val="en-US"/>
        </w:rPr>
        <w:t>3)</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Aber all diese Intoleranz schwindet, zeitweilig oder dauernd, durch die Massenbildung und in der Masse. Solange die Massenbildung anhält oder soweit sie reicht, benehmen sich die Individuen, als wären sie gleichförmig, dulden sie die Eigenart des anderen, stellen sich ihm gleich und verspüren kein Gefühl der </w:t>
      </w:r>
      <w:r w:rsidRPr="00725852">
        <w:rPr>
          <w:rFonts w:ascii="Garamond" w:hAnsi="Garamond"/>
          <w:lang w:val="en-US"/>
        </w:rPr>
        <w:lastRenderedPageBreak/>
        <w:t>Abstoßung gegen ihn. Eine solche Einschränkung des Narzißmus kann nach unseren theoretischen Anschauungen nur durch ein Moment erzeugt werden, durch libidinöse Bindung an andere Personen. Die Selbstliebe findet nur an der Fremdliebe, Liebe zu Objekten, eine Schranke.</w:t>
      </w:r>
      <w:r w:rsidRPr="00725852">
        <w:rPr>
          <w:rFonts w:ascii="Garamond" w:hAnsi="Garamond"/>
          <w:vertAlign w:val="superscript"/>
          <w:lang w:val="en-US"/>
        </w:rPr>
        <w:t>4)</w:t>
      </w:r>
      <w:r w:rsidRPr="00725852">
        <w:rPr>
          <w:rFonts w:ascii="Garamond" w:hAnsi="Garamond"/>
          <w:lang w:val="en-US"/>
        </w:rPr>
        <w:t xml:space="preserve"> Man wird sofort die Frage auf werfen, ob nicht die Interessengemeinschaft an und für sich und ohne jeden libidinösen Beitrag zur Duldung des anderen und zur Rücksichtnahme auf ihn führen muß. Man wird diesem Einwand mit dem Bescheid begegnen, daß auf solche Weise eine bleibende Einschränkung des Narzißmus doch nicht zustande kommt, da diese Toleranz nicht länger anhält als der unmittelbare Vorteil, den man aus der Mitarbeit des anderen zieht. Allein der praktische Wert dieser Streitfrage ist geringer, als man meinen sollte, denn die Erfahrung hat gezeigt, daß sich im Falle der Mitarbeiterschaft regelmäßig libidinöse Bindungen zwischen den Kameraden herstellen, welche die Beziehung zwischen ihnen über das Vorteilhafte hinaus verlängern und fixieren. Es geschieht in den sozialen Beziehungen der Menschen dasselbe, was der psychoanalytischen Forschung in dem Entwicklungsgang der individuellen Libido bekannt geworden ist. Die Libido lehnt sich an die Befriedigung der großen Lebensbedürfnisse an und wählt die daran beteiligten Personen zu ihren ersten Objekten. Und wie beim Einzelnen, so hat auch in der Entwicklung der ganzen Menschheit nur die Liebe als Kulturfaktor im Sinne einer Wendung vom Egoismus zum Altruismus gewirkt. Und zwar sowohl die geschlechtliche Liebe zum Weibe mit all den aus ihr fließenden Nötigungen, das zu verschonen, was dem Weibe lieb war, als auch die de-sexualisierte, sublimiert homosexuelle Liebe zum anderen Manne, die sich an die gemeinsame Arbeit knüpfte.</w:t>
      </w:r>
    </w:p>
    <w:p w:rsidR="00525700" w:rsidRPr="00725852" w:rsidRDefault="00525700" w:rsidP="00725852">
      <w:pPr>
        <w:pStyle w:val="Sansinterligne"/>
        <w:rPr>
          <w:rFonts w:ascii="Garamond" w:hAnsi="Garamond"/>
          <w:lang w:val="en-US"/>
        </w:rPr>
      </w:pPr>
      <w:r w:rsidRPr="00725852">
        <w:rPr>
          <w:rFonts w:ascii="Garamond" w:hAnsi="Garamond"/>
          <w:lang w:val="en-US"/>
        </w:rPr>
        <w:t>Wenn also in der Masse Einschränkungen der narzißtischen Eigenliebe auftreten, die außerhalb derselben nicht wirken, so ist dies ein zwingender Hinweis darauf, daß das Wesen der Massenbildung in neuartigen libidinösen Bindungen der Massenmitglieder aneinander besteht.</w:t>
      </w:r>
    </w:p>
    <w:p w:rsidR="00525700" w:rsidRPr="00725852" w:rsidRDefault="00525700" w:rsidP="00725852">
      <w:pPr>
        <w:pStyle w:val="Sansinterligne"/>
        <w:rPr>
          <w:rFonts w:ascii="Garamond" w:hAnsi="Garamond"/>
          <w:lang w:val="en-US"/>
        </w:rPr>
      </w:pPr>
      <w:r w:rsidRPr="00725852">
        <w:rPr>
          <w:rFonts w:ascii="Garamond" w:hAnsi="Garamond"/>
          <w:lang w:val="en-US"/>
        </w:rPr>
        <w:t>Nun wird aber unser Interesse dringend fragen, welcher Art diese Bin</w:t>
      </w:r>
      <w:r w:rsidRPr="00725852">
        <w:rPr>
          <w:rFonts w:ascii="Garamond" w:hAnsi="Garamond"/>
          <w:lang w:val="en-US"/>
        </w:rPr>
        <w:softHyphen/>
        <w:t>dungen in der Masse sind. In der psychoanalytischen Neurosenlehre haben wir uns bisher fast auschließlich mit der Bindung solcher Liebestriebe an ihre Objekte beschäftigt, die noch direkte Sexualziele verfolgen. Um solche Sexualziele kann es sich in der Masse offenbar nicht handeln. Wir haben es hier mit Liebestrieben zu tun, die, ohne darum minder energisch zu wirken, doch von ihren ursprünglichen Zielen abgelenkt sind. Nun haben wir bereits im Rahmen der gewöhnlichen sexuellen Objektbesetzung Erscheinungen be</w:t>
      </w:r>
      <w:r w:rsidRPr="00725852">
        <w:rPr>
          <w:rFonts w:ascii="Garamond" w:hAnsi="Garamond"/>
          <w:lang w:val="en-US"/>
        </w:rPr>
        <w:softHyphen/>
        <w:t>merkt, die einer Ablenkung des Triebes von seinem Sexualziel entsprechen. Wir haben sie als Grade von Verliebtheit beschrieben und erkannt, daß sie eine gewisse Beeinträchtigung des Ichs mit sich bringen. Diesen Erschei</w:t>
      </w:r>
      <w:r w:rsidRPr="00725852">
        <w:rPr>
          <w:rFonts w:ascii="Garamond" w:hAnsi="Garamond"/>
          <w:lang w:val="en-US"/>
        </w:rPr>
        <w:softHyphen/>
        <w:t xml:space="preserve">nungen der Verliebtheit werden wir jetzt eingehendere Aufmerksamkeit zuwenden, in der begründeten Erwartung, an ihnen Verhältnisse zu finden, die sich auf die Bindungen in den Massen übertragen lassen. Außerdem möchten wir aber wissen, ob diese Art der Objektbesetzung, wie wir sie aus dem Geschlechtsleben kennen, die einzige Weise der Gefühlsbindung an eine andere Person darstellt oder ob wir noch andere solche Mechanismen in Betracht zu ziehen haben. Wir erfahren tatsächlich aus der Psychoanalyse, daß es noch andere Mechanismen der Gefühlsbindung gibt, die sogenannten </w:t>
      </w:r>
      <w:r w:rsidRPr="00725852">
        <w:rPr>
          <w:rFonts w:ascii="Garamond" w:hAnsi="Garamond"/>
          <w:i/>
          <w:iCs/>
          <w:lang w:val="en-US"/>
        </w:rPr>
        <w:t>Identifizierungen,</w:t>
      </w:r>
      <w:r w:rsidRPr="00725852">
        <w:rPr>
          <w:rFonts w:ascii="Garamond" w:hAnsi="Garamond"/>
          <w:lang w:val="en-US"/>
        </w:rPr>
        <w:t xml:space="preserve"> ungenügend bekannte, schwer darzustellende Vorgänge, deren Untersuchung uns nun eine gute Weile vom Thema der Massenpsychologie fernhalten wird.</w:t>
      </w:r>
    </w:p>
    <w:p w:rsidR="00525700" w:rsidRPr="00725852" w:rsidRDefault="00525700" w:rsidP="00725852">
      <w:pPr>
        <w:pStyle w:val="Sansinterligne"/>
        <w:rPr>
          <w:rFonts w:ascii="Garamond" w:hAnsi="Garamond"/>
          <w:lang w:val="en-US"/>
        </w:rPr>
      </w:pPr>
      <w:r w:rsidRPr="00725852">
        <w:rPr>
          <w:rFonts w:ascii="Garamond" w:hAnsi="Garamond"/>
          <w:lang w:val="en-US"/>
        </w:rPr>
        <w:t> ____________________</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1)</w:t>
      </w:r>
      <w:r w:rsidRPr="00725852">
        <w:rPr>
          <w:rFonts w:ascii="Garamond" w:hAnsi="Garamond"/>
          <w:lang w:val="en-US"/>
        </w:rPr>
        <w:t xml:space="preserve"> »Eine Gesellschaft Stachelschweine drängte sich an einem kalten Wintertage recht nahe zusammen, um durch die gegenseitige Wärme sich vor dem Erfrieren zu schützen. Jedoch bald empfanden sie die gegenseitigen Stacheln, welches sie dann wieder voneinander entfernte. Wenn nun das Bedürfnis der Erwärmung sie wieder näher zusammenbrachte, wiederholte sich jenes zweite Übel, so daß sie zwischen beiden Leiden hin- und hergeworfen wurden, bis sie eine mäßige Entfernung herausgefunden hatten, in der sie es am besten aushalten konnten.« </w:t>
      </w:r>
      <w:r w:rsidRPr="00725852">
        <w:rPr>
          <w:rFonts w:ascii="Garamond" w:hAnsi="Garamond"/>
          <w:i/>
          <w:iCs/>
          <w:lang w:val="en-US"/>
        </w:rPr>
        <w:t>(Parerga und Paralipomena,</w:t>
      </w:r>
      <w:r w:rsidRPr="00725852">
        <w:rPr>
          <w:rFonts w:ascii="Garamond" w:hAnsi="Garamond"/>
          <w:lang w:val="en-US"/>
        </w:rPr>
        <w:t xml:space="preserve"> II. Teil, XXXI., ›Gleichnisse und Parabeln‹.)</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2)</w:t>
      </w:r>
      <w:r w:rsidRPr="00725852">
        <w:rPr>
          <w:rFonts w:ascii="Garamond" w:hAnsi="Garamond"/>
          <w:lang w:val="en-US"/>
        </w:rPr>
        <w:t xml:space="preserve"> Vielleicht mit einziger Ausnahme der Beziehung der Mutter zum Sohn, die, auf Narzißmus gegründet, durch spätere Rivalität nicht gestört und durch einen Ansatz zur sexuellen Objektwahl verstärkt wird. [Vgl. unten, S. 242 mit Anm. 2.]</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3)</w:t>
      </w:r>
      <w:r w:rsidRPr="00725852">
        <w:rPr>
          <w:rFonts w:ascii="Garamond" w:hAnsi="Garamond"/>
          <w:lang w:val="en-US"/>
        </w:rPr>
        <w:t xml:space="preserve"> In einer kürzlich (1920) veröffentlichten Schrift, </w:t>
      </w:r>
      <w:r w:rsidRPr="00725852">
        <w:rPr>
          <w:rFonts w:ascii="Garamond" w:hAnsi="Garamond"/>
          <w:i/>
          <w:iCs/>
          <w:lang w:val="en-US"/>
        </w:rPr>
        <w:t>Jenseits des Lustprinzips,</w:t>
      </w:r>
      <w:r w:rsidRPr="00725852">
        <w:rPr>
          <w:rFonts w:ascii="Garamond" w:hAnsi="Garamond"/>
          <w:lang w:val="en-US"/>
        </w:rPr>
        <w:t xml:space="preserve"> habe ich versucht, die Polarität vom Lieben und Hassen mit einem angenommenen Gegensatz von Lebens- und Todestrieben zu verknüpfen und die Sexualtriebe als die reinsten Vertreter der ersteren, der Lebenstriebe, hinzustellen.</w:t>
      </w:r>
    </w:p>
    <w:p w:rsidR="00525700" w:rsidRPr="00725852" w:rsidRDefault="00525700" w:rsidP="00725852">
      <w:pPr>
        <w:pStyle w:val="Sansinterligne"/>
        <w:rPr>
          <w:rFonts w:ascii="Garamond" w:hAnsi="Garamond"/>
        </w:rPr>
      </w:pPr>
      <w:r w:rsidRPr="00725852">
        <w:rPr>
          <w:rFonts w:ascii="Garamond" w:hAnsi="Garamond"/>
          <w:vertAlign w:val="superscript"/>
        </w:rPr>
        <w:t>4)</w:t>
      </w:r>
      <w:r w:rsidRPr="00725852">
        <w:rPr>
          <w:rFonts w:ascii="Garamond" w:hAnsi="Garamond"/>
        </w:rPr>
        <w:t xml:space="preserve"> S. ›Zur Einführung des Narzißmus‹ (1914 c).</w:t>
      </w:r>
    </w:p>
    <w:p w:rsidR="00A95446" w:rsidRPr="004E00C6" w:rsidRDefault="00A95446" w:rsidP="00725852">
      <w:pPr>
        <w:pStyle w:val="Sansinterligne"/>
        <w:rPr>
          <w:rFonts w:ascii="Garamond" w:eastAsiaTheme="majorEastAsia" w:hAnsi="Garamond" w:cstheme="majorBidi"/>
          <w:b/>
          <w:bCs/>
          <w:color w:val="365F91" w:themeColor="accent1" w:themeShade="BF"/>
        </w:rPr>
      </w:pPr>
      <w:r w:rsidRPr="004E00C6">
        <w:rPr>
          <w:rFonts w:ascii="Garamond" w:hAnsi="Garamond"/>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VII. Di</w:t>
        </w:r>
        <w:bookmarkStart w:id="31" w:name="Massen7"/>
        <w:bookmarkEnd w:id="31"/>
        <w:r w:rsidR="00525700" w:rsidRPr="00725852">
          <w:rPr>
            <w:rStyle w:val="Lienhypertexte"/>
            <w:rFonts w:ascii="Garamond" w:hAnsi="Garamond"/>
            <w:lang w:val="en-US"/>
          </w:rPr>
          <w:t>e Identifizierung</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Die Identifizierung ist der Psychoanalyse als früheste Äußerung einer Gefühlsbindung an eine andere Person bekannt. Sie spielt in der Vorgeschichte des Ödipuskomplexes eine Rolle. Der kleine Knabe legt ein besonderes Interesse für seinen Vater an den Tag, er möchte so werden und so sein wie er, in allen Stücken an seine Stelle treten. Sagen wir ruhig: er nimmt den Vater zu seinem Ideal. Dies Verhalten hat nichts mit einer passiven oder femininen Einstellung zum Vater (und zum Manne überhaupt) zu tun, es ist vielmehr exquisit männlich. Es verträgt sich sehr wohl mit dem Ödipuskomplex, den es vorbereiten hilft.</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Gleichzeitig mit dieser Identifizierung mit dem Vater, vielleicht sogar vorher, hat der Knabe begonnen, eine richtige Objektbesetzung der Mutter nach dem Anlehnungstypus vorzunehmen. Er zeigt also dann zwei psychologisch verschiedene Bindungen, zur Mutter eine glatt sexuelle Objektbesetzung, zum Vater eine vorbildliche Identifizierung. Die beiden bestehen eine Weile nebeneinander, ohne gegenseitige Beeinflussung oder Störung. Infolge der unaufhaltsam fortschreitenden Vereinheitlichung des Seelenlebens treffen sie sich endlich, und durch dies Zusammenströmen entsteht der normale Ödipuskomplex. Der Kleine merkt, daß ihm der Vater bei der Mutter im Wege steht; seine Identifizierung mit dem Vater nimmt jetzt eine feindselige Tönung an und wird mit dem Wunsch identisch, den Vater auch bei der Mutter zu ersetzen. Die Identifizierung ist eben von Anfang an ambivalent, sie kann sich ebenso zum Ausdruck der Zärtlichkeit wie zum Wunsch der Beseitigung wenden. Sie benimmt sich wie ein Abkömmling der ersten </w:t>
      </w:r>
      <w:r w:rsidRPr="00725852">
        <w:rPr>
          <w:rFonts w:ascii="Garamond" w:hAnsi="Garamond"/>
          <w:i/>
          <w:iCs/>
          <w:lang w:val="en-US"/>
        </w:rPr>
        <w:t>oralen</w:t>
      </w:r>
      <w:r w:rsidRPr="00725852">
        <w:rPr>
          <w:rFonts w:ascii="Garamond" w:hAnsi="Garamond"/>
          <w:lang w:val="en-US"/>
        </w:rPr>
        <w:t xml:space="preserve"> Phase der Libidoorganisation, in welcher man sich das begehrte und geschätzte Objekt durch Essen einverleibte und es dabei als solches vernichtete. Der Kannibale bleibt bekanntlich auf diesem Standpunkt stehen; er hat seine Feinde zum Fressen lieb, und er frißt die nicht, die er nicht irgendwie liebhaben kann.</w:t>
      </w:r>
      <w:r w:rsidRPr="00725852">
        <w:rPr>
          <w:rFonts w:ascii="Garamond" w:hAnsi="Garamond"/>
          <w:vertAlign w:val="superscript"/>
          <w:lang w:val="en-US"/>
        </w:rPr>
        <w:t>1)</w:t>
      </w:r>
    </w:p>
    <w:p w:rsidR="00525700" w:rsidRPr="00725852" w:rsidRDefault="00525700" w:rsidP="00725852">
      <w:pPr>
        <w:pStyle w:val="Sansinterligne"/>
        <w:rPr>
          <w:rFonts w:ascii="Garamond" w:hAnsi="Garamond"/>
          <w:lang w:val="en-US"/>
        </w:rPr>
      </w:pPr>
      <w:r w:rsidRPr="00725852">
        <w:rPr>
          <w:rFonts w:ascii="Garamond" w:hAnsi="Garamond"/>
          <w:lang w:val="en-US"/>
        </w:rPr>
        <w:t>Das Schicksal dieser Vateridentifizierung verliert man später leicht aus den Augen. Es kann dann geschehen, daß der Ödipuskomplex eine Umkehrung erfährt, daß der Vater in femininer Einstellung zum Objekte genommen wird, von dem die direkten Sexualtriebe ihre Befriedigung erwarten, und dann ist die Vateridentifizierung zum Vorläufer der Objektbindung an den Vater geworden. Dasselbe gilt mit den entsprechenden Ersetzungen auch für die kleine Tochter.</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Es ist leicht, den Unterschied einer solchen Vateridentifizierung von einer Vaterobjektwahl in einer Formel auszusprechen. Im ersten Falle ist der Vater das, was man </w:t>
      </w:r>
      <w:r w:rsidRPr="00725852">
        <w:rPr>
          <w:rFonts w:ascii="Garamond" w:hAnsi="Garamond"/>
          <w:i/>
          <w:iCs/>
          <w:lang w:val="en-US"/>
        </w:rPr>
        <w:t>sein,</w:t>
      </w:r>
      <w:r w:rsidRPr="00725852">
        <w:rPr>
          <w:rFonts w:ascii="Garamond" w:hAnsi="Garamond"/>
          <w:lang w:val="en-US"/>
        </w:rPr>
        <w:t xml:space="preserve"> im zweiten das, was man </w:t>
      </w:r>
      <w:r w:rsidRPr="00725852">
        <w:rPr>
          <w:rFonts w:ascii="Garamond" w:hAnsi="Garamond"/>
          <w:i/>
          <w:iCs/>
          <w:lang w:val="en-US"/>
        </w:rPr>
        <w:t>haben</w:t>
      </w:r>
      <w:r w:rsidRPr="00725852">
        <w:rPr>
          <w:rFonts w:ascii="Garamond" w:hAnsi="Garamond"/>
          <w:lang w:val="en-US"/>
        </w:rPr>
        <w:t xml:space="preserve"> möchte. Es ist also der Unterschied, ob die Bindung am Subjekt oder am Objekt des Ichs angreift. Die erstere ist darum bereits vor jeder sexuellen Objektwahl möglich. Es ist weit schwieriger, diese Verschiedenheit metapsychologisch anschaulich darzustellen. Man erkennt nur, die Identifizierung strebt danach, das eigene Ich ähnlich zu gestalten wie das andere, zum »Vorbild« genommene.</w:t>
      </w:r>
    </w:p>
    <w:p w:rsidR="00525700" w:rsidRPr="00725852" w:rsidRDefault="00525700" w:rsidP="00725852">
      <w:pPr>
        <w:pStyle w:val="Sansinterligne"/>
        <w:rPr>
          <w:rFonts w:ascii="Garamond" w:hAnsi="Garamond"/>
          <w:lang w:val="en-US"/>
        </w:rPr>
      </w:pPr>
      <w:r w:rsidRPr="00725852">
        <w:rPr>
          <w:rFonts w:ascii="Garamond" w:hAnsi="Garamond"/>
          <w:lang w:val="en-US"/>
        </w:rPr>
        <w:t>Aus einem verwickeiteren Zusammenhange lösen wir die Identifizierung bei einer neurotischen Symptombildung. Das kleine Mädchen, an das wir uns jetzt halten wollen, bekomme dasselbe Leidenssymptom wie seine Mutter, zum Beispiel denselben quälenden Husten. Das kann nun auf verschiedenen Wegen zugehen. Entweder ist die Identifizierung dieselbe aus dem Ödipus</w:t>
      </w:r>
      <w:r w:rsidRPr="00725852">
        <w:rPr>
          <w:rFonts w:ascii="Garamond" w:hAnsi="Garamond"/>
          <w:lang w:val="en-US"/>
        </w:rPr>
        <w:softHyphen/>
        <w:t xml:space="preserve">komplex, die ein feindseliges Ersetzenwollen der Mutter bedeutet, und das Symptom drückt die Objektliebe zum Vater aus; es realisiert die Ersetzung der Mutter unter dem Einfluß des Schuldbewußtseins: Du hast die Mutter sein wollen, jetzt bist du's wenigstens im Leiden. Das ist dann der komplette Mechanismus der hysterischen Symptombildung. Oder aber das Symptom ist dasselbe wie das der geliebten Person (so wie zum Beispiel Dora im ›Bruchstück einer Hysterie-Analyse‹ den Husten des Vaters imitiert); dann können wir den Sachverhalt nur so beschreiben, </w:t>
      </w:r>
      <w:r w:rsidRPr="00725852">
        <w:rPr>
          <w:rFonts w:ascii="Garamond" w:hAnsi="Garamond"/>
          <w:i/>
          <w:iCs/>
          <w:lang w:val="en-US"/>
        </w:rPr>
        <w:t>die Identifizierung sei an Stelle der Objektwahl getreten, die Objektwahl sei zur Identifizierung regrediert.</w:t>
      </w:r>
      <w:r w:rsidRPr="00725852">
        <w:rPr>
          <w:rFonts w:ascii="Garamond" w:hAnsi="Garamond"/>
          <w:lang w:val="en-US"/>
        </w:rPr>
        <w:t xml:space="preserve"> Wir haben gehört, daß die Identifizierung die früheste und ursprünglichste Form der Gefühlsbindung ist; unter den Verhältnissen der Symptombildung, also der Verdrängung, und der Herrschaft der Mechanismen des Unbewußten kommt es oft vor, daß die Objektwahl wieder zur Identifizierung wird, also das Ich die Eigenschaften des Objektes an sich nimmt. Bemerkenswert ist es, daß das Ich bei diesen Identifizierungen das eine Mal die ungeliebte, das andere Mal aber die geliebte Person kopiert. Es muß uns auch auffallen, daß beide Male die Identifizierung eine partielle, höchst beschränkte ist, nur einen einzigen Zug von der Objektperson entlehnt.</w:t>
      </w:r>
    </w:p>
    <w:p w:rsidR="00525700" w:rsidRPr="00725852" w:rsidRDefault="00525700" w:rsidP="00725852">
      <w:pPr>
        <w:pStyle w:val="Sansinterligne"/>
        <w:rPr>
          <w:rFonts w:ascii="Garamond" w:hAnsi="Garamond"/>
          <w:lang w:val="en-US"/>
        </w:rPr>
      </w:pPr>
      <w:r w:rsidRPr="00725852">
        <w:rPr>
          <w:rFonts w:ascii="Garamond" w:hAnsi="Garamond"/>
          <w:lang w:val="en-US"/>
        </w:rPr>
        <w:t>Es ist ein dritter, besonders häufiger und bedeutsamer Fall der Symptom</w:t>
      </w:r>
      <w:r w:rsidRPr="00725852">
        <w:rPr>
          <w:rFonts w:ascii="Garamond" w:hAnsi="Garamond"/>
          <w:lang w:val="en-US"/>
        </w:rPr>
        <w:softHyphen/>
        <w:t xml:space="preserve">bildung, daß die Identifizierung vom Objektverhältnis zur kopierten Person ganz absieht. Wenn zum Beispiel eines der Mädchen im Pensionat einen Brief vom geheim Geliebten bekommen hat, der ihre Eifersucht erregt und auf den sie mit einem hysterischen Anfall reagiert, so werden einige ihrer Freundinnen, die darum wissen, diesen Anfall übernehmen, wie wir sagen, auf dem Wege der psychischen Infektion. Der Mechanismus ist der der Identifizierung auf Grund des sich in dieselbe Lage Versetzenkönnens oder Versetzenwollens. Die </w:t>
      </w:r>
      <w:r w:rsidRPr="00725852">
        <w:rPr>
          <w:rFonts w:ascii="Garamond" w:hAnsi="Garamond"/>
          <w:lang w:val="en-US"/>
        </w:rPr>
        <w:lastRenderedPageBreak/>
        <w:t>anderen möchten auch ein geheimes Liebesverhältnis haben und akzeptieren unter dem Einfluß des Schuldbewußtseins auch das damit verbundene Leid. Es wäre unrichtig zu behaupten, sie eignen sich das Symptom aus Mitgefühl an. Im Gegenteil, das Mitgefühl entsteht erst aus der Identifizierung, und der Beweis hiefür ist, daß sich solche Infektion oder Imitation auch unter Umständen herstellt, wo noch geringere vorgängige Sympathie zwischen beiden anzunehmen ist, als unter Pensionsfreundinnen zu bestehen pflegt. Das eine Ich hat am anderen eine bedeutsame Analogie in einem Punkte wahrgenommen, in unserem Beispiel in der gleichen Gefühlsbereitschaft, es bildet sich daraufhin eine Identifizierung in diesem Punkte, und unter dem Einfluß der pathogenen Situation verschiebt sich diese Identifizierung zum Symptom, welches das eine Ich produziert hat. Die Identifizierung durch das Symptom wird so zum Anzeichen für eine Deckungsstelle der beiden Ich, die verdrängt gehalten werden soll.</w:t>
      </w:r>
    </w:p>
    <w:p w:rsidR="00525700" w:rsidRPr="00725852" w:rsidRDefault="00525700" w:rsidP="00725852">
      <w:pPr>
        <w:pStyle w:val="Sansinterligne"/>
        <w:rPr>
          <w:rFonts w:ascii="Garamond" w:hAnsi="Garamond"/>
          <w:lang w:val="en-US"/>
        </w:rPr>
      </w:pPr>
      <w:r w:rsidRPr="00725852">
        <w:rPr>
          <w:rFonts w:ascii="Garamond" w:hAnsi="Garamond"/>
          <w:lang w:val="en-US"/>
        </w:rPr>
        <w:t>Das aus diesen drei Quellen Gelernte können wir dahin zusammenfassen, daß erstens die Identifizierung die ursprünglichste Form der Gefühlsbindung an ein Objekt ist, zweitens, daß sie auf regressivem Wege zum Ersatz für eine libidinöse Objektbindung wird, gleichsam durch Introjektion des Objekts ins Ich, und daß sie drittens bei jeder neu wahrgenommenen Gemeinsamkeit mit einer Person, die nicht Objekt der Sexualtriebe ist, entstehen kann. Je bedeutsamer diese Gemeinsamkeit ist, desto erfolgreicher muß diese partielle Identifizierung werden können und so dem Anfang einer neuen Bindung entsprechen.</w:t>
      </w:r>
    </w:p>
    <w:p w:rsidR="00525700" w:rsidRPr="00725852" w:rsidRDefault="00525700" w:rsidP="00725852">
      <w:pPr>
        <w:pStyle w:val="Sansinterligne"/>
        <w:rPr>
          <w:rFonts w:ascii="Garamond" w:hAnsi="Garamond"/>
          <w:lang w:val="en-US"/>
        </w:rPr>
      </w:pPr>
      <w:r w:rsidRPr="00725852">
        <w:rPr>
          <w:rFonts w:ascii="Garamond" w:hAnsi="Garamond"/>
          <w:lang w:val="en-US"/>
        </w:rPr>
        <w:t>Wir ahnen bereits, daß die gegenseitige Bindung der Massenindividuen von der Natur einer solchen Identifizierung durch eine wichtige affektive Gemeinsamkeit ist, und können vermuten, diese Gemeinsamkeit liege in der Art der Bindung an den Führer. Eine andere Ahnung kann uns sagen, daß wir weit davon entfernt sind, das Problem der Identifizierung erschöpft zu haben, daß wir vor dem Vorgang stehen, den die Psychologie »Einfühlung« heißt und der den größten Anteil an unserem Verständnis für das Ichfremde anderer Personen hat. Aber wir wollen uns hier auf die nächsten affektiven Wirkungen der Identifizierung beschränken und auch ihre Bedeutung für unser intellektuelles Leben beiseite lassen.</w:t>
      </w:r>
    </w:p>
    <w:p w:rsidR="00525700" w:rsidRPr="00725852" w:rsidRDefault="00525700" w:rsidP="00725852">
      <w:pPr>
        <w:pStyle w:val="Sansinterligne"/>
        <w:rPr>
          <w:rFonts w:ascii="Garamond" w:hAnsi="Garamond"/>
          <w:lang w:val="en-US"/>
        </w:rPr>
      </w:pPr>
      <w:r w:rsidRPr="00725852">
        <w:rPr>
          <w:rFonts w:ascii="Garamond" w:hAnsi="Garamond"/>
          <w:lang w:val="en-US"/>
        </w:rPr>
        <w:t>Die psychoanalytische Forschung, die gelegentlich auch schon die schwierigeren Probleme der Psychosen in Angriff genommen hat, konnte uns auch die Identifizierung in einigen anderen Fällen aufzeigen, die unserem Verständnis nicht ohne weiteres zugänglich sind. Ich werde zwei dieser Fälle als Stoff für unsere weiteren Überlegungen ausführlich behandeln.</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Die Genese der männlichen Homosexualität ist in einer großen Reihe von Fällen die folgende: Der junge Mann ist ungewöhnlich lange und intensiv im Sinne des Ödipuskomplexes an seine Mutter fixiert gewesen. Endlich kommt doch nach vollendeter Pubertät die Zeit, die Mutter gegen ein anderes Sexualobjekt zu vertauschen. Da geschieht eine plötzliche Wendung; der Jüngling verläßt nicht seine Mutter, sondern identifiziert sich mit ihr, er wandelt sich in sie um und sucht jetzt nach Objekten, die ihm sein Ich ersetzen können, die er so lieben und pflegen kann, wie er es von der Mutter erfahren hatte. Dies ist ein häufiger Vorgang, der beliebig oft bestätigt werden kann und natürlich ganz unabhängig von jeder Annahme ist, die man über die organische Triebkraft und die Motive jener plötzlichen Wandlung macht. Auffällig an dieser Identifizierung ist ihre Ausgiebigkeit, sie wandelt das Ich in einem höchst wichtigen Stück, im Sexualcharakter, nach dem Vorbild des bisherigen Objekts um. Dabei wird das Objekt selbst aufgegeben; ob durchaus oder nur in dem Sinne, daß es im Unbewußten erhalten bleibt, steht hier außer Diskussion. Die Identifizierung mit dem aufgegebenen oder verlorenen Objekt zum Ersatz desselben, die Introjektion dieses Objekts ins Ich, ist für uns allerdings keine Neuheit mehr. Ein solcher Vorgang läßt sich gelegentlich am kleinen Kind unmittelbar beobachten. Kürzlich wurde in der </w:t>
      </w:r>
      <w:r w:rsidRPr="00725852">
        <w:rPr>
          <w:rFonts w:ascii="Garamond" w:hAnsi="Garamond"/>
          <w:i/>
          <w:iCs/>
          <w:lang w:val="en-US"/>
        </w:rPr>
        <w:t>Internationalen Zeitschrift für Psychoanalyse</w:t>
      </w:r>
      <w:r w:rsidRPr="00725852">
        <w:rPr>
          <w:rFonts w:ascii="Garamond" w:hAnsi="Garamond"/>
          <w:lang w:val="en-US"/>
        </w:rPr>
        <w:t xml:space="preserve"> eine solche Beobachtung veröffentlicht, daß ein Kind, das unglücklich über den Verlust eines Kätzchens war, frischweg erklärte, es sei jetzt selbst das Kätzchen, dementsprechend auf allen Vieren kroch, nicht am Tische essen wollte usw.</w:t>
      </w:r>
      <w:r w:rsidRPr="00725852">
        <w:rPr>
          <w:rFonts w:ascii="Garamond" w:hAnsi="Garamond"/>
          <w:vertAlign w:val="superscript"/>
          <w:lang w:val="en-US"/>
        </w:rPr>
        <w:t>2)</w:t>
      </w:r>
    </w:p>
    <w:p w:rsidR="00525700" w:rsidRPr="00725852" w:rsidRDefault="00525700" w:rsidP="00725852">
      <w:pPr>
        <w:pStyle w:val="Sansinterligne"/>
        <w:rPr>
          <w:rFonts w:ascii="Garamond" w:hAnsi="Garamond"/>
          <w:lang w:val="en-US"/>
        </w:rPr>
      </w:pPr>
      <w:r w:rsidRPr="00725852">
        <w:rPr>
          <w:rFonts w:ascii="Garamond" w:hAnsi="Garamond"/>
          <w:lang w:val="en-US"/>
        </w:rPr>
        <w:t>Ein anderes Beispiel von solcher Introjektion des Objekts hat uns die Analyse der Melancholie gegeben, welche Affektion ja den realen oder affektiven Verlust des geliebten Objekts unter ihre auffälligsten Veranlassungen zählt. Ein Hauptcharakter dieser Fälle ist die grausame Selbstherabsetzung des Ichs in Verbindung mit schonungsloser Selbstkritik und bitteren Selbstvorwürfen. Analysen haben ergeben, daß diese Einschätzung und diese Vorwürfe im Grunde dem Objekt gelten und die Rache des Ichs an diesem darstellen. Der Schatten des Objekts ist auf das Ich gefallen, sagte ich an anderer Stelle.</w:t>
      </w:r>
      <w:r w:rsidRPr="00725852">
        <w:rPr>
          <w:rFonts w:ascii="Garamond" w:hAnsi="Garamond"/>
          <w:vertAlign w:val="superscript"/>
          <w:lang w:val="en-US"/>
        </w:rPr>
        <w:t>3)</w:t>
      </w:r>
      <w:r w:rsidRPr="00725852">
        <w:rPr>
          <w:rFonts w:ascii="Garamond" w:hAnsi="Garamond"/>
          <w:lang w:val="en-US"/>
        </w:rPr>
        <w:t xml:space="preserve"> Die Introjektion des Objekts ist hier von unverkennbarer Deutlichkeit.</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Diese Melancholien zeigen uns aber noch etwas anderes, was für unsere späteren Betrachtungen wichtig werden kann. Sie zeigen uns das Ich geteilt, in zwei Stücke zerfällt, von denen das eine gegen das andere wütet. Dies andere Stück ist das durch Introjektion veränderte, das das verlorene Objekt einschließt. Aber auch das Stück, das sich so grausam betätigt, ist uns nicht unbekannt. Es schließt das Gewissen ein, eine kritische Instanz im Ich, die sich auch in normalen Zeiten dem Ich kritisch gegenübergestellt hat, nur </w:t>
      </w:r>
      <w:r w:rsidRPr="00725852">
        <w:rPr>
          <w:rFonts w:ascii="Garamond" w:hAnsi="Garamond"/>
          <w:lang w:val="en-US"/>
        </w:rPr>
        <w:lastRenderedPageBreak/>
        <w:t>niemals so unerbittlich und so ungerecht. Wir haben schon bei früheren Anlässen die Annahme machen müssen (›Narzißmus‹, ›Trauer und Melancholie‹), daß sich in unserem Ich eine solche Instanz entwickelt, welche sich vom anderen Ich absondern und in Konflikte mit ihm geraten kann. Wir nannten sie das »Ichideal« und schrieben ihr an Funktionen die Selbstbeobachtung, das moralische Gewissen, die Traumzensur und den Haupteinfluß bei der Verdrängung zu. Wir sagten, sie sei der Erbe des ursprünglichen Narzißmus, in dem das kindliche Ich sich selbst genügte. Allmählich nehme sie aus den Einflüssen der Umgebung die Anforderungen auf, die diese an das Ich stelle, denen das Ich nicht immer nachkommen könne, so daß der Mensch, wo er mit seinem Ich selbst nicht zufrieden sein kann, doch seine Befriedigung in dem aus dem Ich differenzierten Ichideal finden dürfe. Im Beobachtungswahn, stellten wir ferner fest, werde der Zerfall dieser Instanz offenkundig und dabei ihre Herkunft aus den Einflüssen der Autoritäten, voran der Eltern, aufgedeckt.</w:t>
      </w:r>
      <w:r w:rsidRPr="00725852">
        <w:rPr>
          <w:rFonts w:ascii="Garamond" w:hAnsi="Garamond"/>
          <w:vertAlign w:val="superscript"/>
          <w:lang w:val="en-US"/>
        </w:rPr>
        <w:t>4)</w:t>
      </w:r>
      <w:r w:rsidRPr="00725852">
        <w:rPr>
          <w:rFonts w:ascii="Garamond" w:hAnsi="Garamond"/>
          <w:lang w:val="en-US"/>
        </w:rPr>
        <w:t xml:space="preserve"> Wir haben aber nicht vergessen anzuführen, daß das Maß der Entfernung dieses Ichideals vom aktuellen Ich für das einzelne Individuum sehr variabel ist und daß bei vielen diese Differenzierung innerhalb des Ichs nicht weiter reicht als beim Kinde.</w:t>
      </w:r>
    </w:p>
    <w:p w:rsidR="00525700" w:rsidRPr="00725852" w:rsidRDefault="00525700" w:rsidP="00725852">
      <w:pPr>
        <w:pStyle w:val="Sansinterligne"/>
        <w:rPr>
          <w:rFonts w:ascii="Garamond" w:hAnsi="Garamond"/>
          <w:lang w:val="en-US"/>
        </w:rPr>
      </w:pPr>
      <w:r w:rsidRPr="00725852">
        <w:rPr>
          <w:rFonts w:ascii="Garamond" w:hAnsi="Garamond"/>
          <w:lang w:val="en-US"/>
        </w:rPr>
        <w:t>Ehe wir aber diesen Stoff zum Verständnis der libidinösen Organisation einer Masse verwenden können, müssen wir einige andere Wechsel</w:t>
      </w:r>
      <w:r w:rsidRPr="00725852">
        <w:rPr>
          <w:rFonts w:ascii="Garamond" w:hAnsi="Garamond"/>
          <w:lang w:val="en-US"/>
        </w:rPr>
        <w:softHyphen/>
        <w:t>beziehungen zwischen Objekt und Ich in Betracht ziehen.</w:t>
      </w:r>
      <w:r w:rsidRPr="00725852">
        <w:rPr>
          <w:rFonts w:ascii="Garamond" w:hAnsi="Garamond"/>
          <w:vertAlign w:val="superscript"/>
          <w:lang w:val="en-US"/>
        </w:rPr>
        <w:t>5)</w:t>
      </w:r>
    </w:p>
    <w:p w:rsidR="00525700" w:rsidRPr="00725852" w:rsidRDefault="00525700" w:rsidP="00725852">
      <w:pPr>
        <w:pStyle w:val="Sansinterligne"/>
        <w:rPr>
          <w:rFonts w:ascii="Garamond" w:hAnsi="Garamond"/>
          <w:lang w:val="en-US"/>
        </w:rPr>
      </w:pPr>
      <w:r w:rsidRPr="00725852">
        <w:rPr>
          <w:rFonts w:ascii="Garamond" w:hAnsi="Garamond"/>
          <w:lang w:val="en-US"/>
        </w:rPr>
        <w:t> ____________________</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1)</w:t>
      </w:r>
      <w:r w:rsidRPr="00725852">
        <w:rPr>
          <w:rFonts w:ascii="Garamond" w:hAnsi="Garamond"/>
          <w:lang w:val="en-US"/>
        </w:rPr>
        <w:t xml:space="preserve"> S. </w:t>
      </w:r>
      <w:r w:rsidRPr="00725852">
        <w:rPr>
          <w:rFonts w:ascii="Garamond" w:hAnsi="Garamond"/>
          <w:i/>
          <w:iCs/>
          <w:lang w:val="en-US"/>
        </w:rPr>
        <w:t>Drei Abhandlungen zur Sexualtheorie</w:t>
      </w:r>
      <w:r w:rsidRPr="00725852">
        <w:rPr>
          <w:rFonts w:ascii="Garamond" w:hAnsi="Garamond"/>
          <w:lang w:val="en-US"/>
        </w:rPr>
        <w:t xml:space="preserve"> (1905 </w:t>
      </w:r>
      <w:r w:rsidRPr="00725852">
        <w:rPr>
          <w:rFonts w:ascii="Garamond" w:hAnsi="Garamond"/>
          <w:i/>
          <w:iCs/>
          <w:lang w:val="en-US"/>
        </w:rPr>
        <w:t>d)</w:t>
      </w:r>
      <w:r w:rsidRPr="00725852">
        <w:rPr>
          <w:rFonts w:ascii="Garamond" w:hAnsi="Garamond"/>
          <w:lang w:val="en-US"/>
        </w:rPr>
        <w:t xml:space="preserve"> und Abraham (1916).</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2)</w:t>
      </w:r>
      <w:r w:rsidRPr="00725852">
        <w:rPr>
          <w:rFonts w:ascii="Garamond" w:hAnsi="Garamond"/>
          <w:lang w:val="en-US"/>
        </w:rPr>
        <w:t xml:space="preserve"> Markuszewicz (1920).</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3)</w:t>
      </w:r>
      <w:r w:rsidRPr="00725852">
        <w:rPr>
          <w:rFonts w:ascii="Garamond" w:hAnsi="Garamond"/>
          <w:lang w:val="en-US"/>
        </w:rPr>
        <w:t xml:space="preserve"> ›Trauer und Melancholie‹ (1917 </w:t>
      </w:r>
      <w:r w:rsidRPr="00725852">
        <w:rPr>
          <w:rFonts w:ascii="Garamond" w:hAnsi="Garamond"/>
          <w:i/>
          <w:iCs/>
          <w:lang w:val="en-US"/>
        </w:rPr>
        <w:t>e</w:t>
      </w:r>
      <w:r w:rsidRPr="00725852">
        <w:rPr>
          <w:rFonts w:ascii="Garamond" w:hAnsi="Garamond"/>
          <w:lang w:val="en-US"/>
        </w:rPr>
        <w: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4)</w:t>
      </w:r>
      <w:r w:rsidRPr="00725852">
        <w:rPr>
          <w:rFonts w:ascii="Garamond" w:hAnsi="Garamond"/>
          <w:lang w:val="en-US"/>
        </w:rPr>
        <w:t xml:space="preserve"> ›Zur Einführung des Narzißmus‹.</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5)</w:t>
      </w:r>
      <w:r w:rsidRPr="00725852">
        <w:rPr>
          <w:rFonts w:ascii="Garamond" w:hAnsi="Garamond"/>
          <w:lang w:val="en-US"/>
        </w:rPr>
        <w:t xml:space="preserve"> Wir wissen sehr gut, daß wir mit diesen der Pathologie entnommenen Beispielen das Wesen der Identifizierung nicht erschöpft haben und somit am Rätsel der Massenbildung ein Stück unangerührt lassen. </w:t>
      </w:r>
      <w:r w:rsidRPr="00725852">
        <w:rPr>
          <w:rFonts w:ascii="Garamond" w:hAnsi="Garamond"/>
        </w:rPr>
        <w:t xml:space="preserve">Hier müßte eine viel gründlichere und mehr umfassende psychologische Analyse eingreifen. Von der Identifizierung führt ein Weg über die Nachahmung zur Einfühlung, das heißt zum Verständnis des Mechanismus, durch den uns überhaupt eine Stellungnahme zu einem anderen Seelenleben ermöglicht wird. </w:t>
      </w:r>
      <w:r w:rsidRPr="00725852">
        <w:rPr>
          <w:rFonts w:ascii="Garamond" w:hAnsi="Garamond"/>
          <w:lang w:val="en-US"/>
        </w:rPr>
        <w:t xml:space="preserve">Auch an den Äußerungen einer bestehenden Identifizierung ist noch vieles aufzuklären. Sie hat unter anderem die Folge, daß man die Aggression gegen die Person, mit der man sich identifiziert hat, einschränkt, sie verschont und ihr Hilfe leistet. Das Studium solcher Identifizierungen, wie sie zum Beispiel der Clangemeinschaft zugrunde liegen, ergab Robertson Smith das überraschende Resultat, daß sie auf der Anerkennung einer gemeinsamen Substanz beruhen </w:t>
      </w:r>
      <w:r w:rsidRPr="00725852">
        <w:rPr>
          <w:rFonts w:ascii="Garamond" w:hAnsi="Garamond"/>
          <w:i/>
          <w:iCs/>
          <w:lang w:val="en-US"/>
        </w:rPr>
        <w:t>(Kinship and Marriage,</w:t>
      </w:r>
      <w:r w:rsidRPr="00725852">
        <w:rPr>
          <w:rFonts w:ascii="Garamond" w:hAnsi="Garamond"/>
          <w:lang w:val="en-US"/>
        </w:rPr>
        <w:t xml:space="preserve"> 1885), daher such durch eine gemeinsam genommene Mahlzeit geschaffen werden können. Dieser Zug gestattet es, eine solche Identifizierung mit der von mir in </w:t>
      </w:r>
      <w:r w:rsidRPr="00725852">
        <w:rPr>
          <w:rFonts w:ascii="Garamond" w:hAnsi="Garamond"/>
          <w:i/>
          <w:iCs/>
          <w:lang w:val="en-US"/>
        </w:rPr>
        <w:t>Totem und Tabu</w:t>
      </w:r>
      <w:r w:rsidRPr="00725852">
        <w:rPr>
          <w:rFonts w:ascii="Garamond" w:hAnsi="Garamond"/>
          <w:lang w:val="en-US"/>
        </w:rPr>
        <w:t xml:space="preserve"> konstruierten Urgeschichte der menschlichen Familie zu verknüpfen.</w:t>
      </w:r>
    </w:p>
    <w:p w:rsidR="00725852" w:rsidRDefault="00725852">
      <w:pPr>
        <w:rPr>
          <w:rFonts w:ascii="Garamond" w:hAnsi="Garamond"/>
          <w:lang w:val="en-US"/>
        </w:rPr>
      </w:pPr>
      <w:r>
        <w:rPr>
          <w:rFonts w:ascii="Garamond" w:hAnsi="Garamond"/>
          <w:lang w:val="en-US"/>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VIII. Ve</w:t>
        </w:r>
        <w:bookmarkStart w:id="32" w:name="Massen8"/>
        <w:bookmarkEnd w:id="32"/>
        <w:r w:rsidR="00525700" w:rsidRPr="00725852">
          <w:rPr>
            <w:rStyle w:val="Lienhypertexte"/>
            <w:rFonts w:ascii="Garamond" w:hAnsi="Garamond"/>
            <w:lang w:val="en-US"/>
          </w:rPr>
          <w:t>rliebtheit und Hypnose</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Der Sprachgebrauch bleibt selbst in seinen Launen irgendeiner Wirklich</w:t>
      </w:r>
      <w:r w:rsidRPr="00725852">
        <w:rPr>
          <w:rFonts w:ascii="Garamond" w:hAnsi="Garamond"/>
          <w:lang w:val="en-US"/>
        </w:rPr>
        <w:softHyphen/>
        <w:t>keit treu. So nennt er zwar sehr mannigfaltige Gefühlsbeziehungen »Liebe«, die auch wir theoretisch als Liebe zusammenfassen, zweifelt aber dann wieder, ob diese Liebe die eigentliche, richtige, wahre sei, und deutet so auf eine ganze Stufenleiter von Möglichkeiten innerhalb der Liebesphänomene hin. Es wird uns auch nicht schwer, dieselbe in der Beobachtung aufzufinden.</w:t>
      </w:r>
    </w:p>
    <w:p w:rsidR="00525700" w:rsidRPr="00725852" w:rsidRDefault="00525700" w:rsidP="00725852">
      <w:pPr>
        <w:pStyle w:val="Sansinterligne"/>
        <w:rPr>
          <w:rFonts w:ascii="Garamond" w:hAnsi="Garamond"/>
          <w:lang w:val="en-US"/>
        </w:rPr>
      </w:pPr>
      <w:r w:rsidRPr="00725852">
        <w:rPr>
          <w:rFonts w:ascii="Garamond" w:hAnsi="Garamond"/>
          <w:lang w:val="en-US"/>
        </w:rPr>
        <w:t>In einer Reihe von Fällen ist die Verliebtheit nichts anderes als Objektbe</w:t>
      </w:r>
      <w:r w:rsidRPr="00725852">
        <w:rPr>
          <w:rFonts w:ascii="Garamond" w:hAnsi="Garamond"/>
          <w:lang w:val="en-US"/>
        </w:rPr>
        <w:softHyphen/>
        <w:t>setzung von seiten der Sexualtriebe zum Zwecke der direkten Sexualbefrie</w:t>
      </w:r>
      <w:r w:rsidRPr="00725852">
        <w:rPr>
          <w:rFonts w:ascii="Garamond" w:hAnsi="Garamond"/>
          <w:lang w:val="en-US"/>
        </w:rPr>
        <w:softHyphen/>
        <w:t>digung, die auch mit der Erreichung dieses Zieles erlischt; das ist das, was man die gemeine, sinnliche Liebe heißt. Aber wie bekannt, bleibt die libidinöse Situation selten so einfach. Die Sicherheit, mit der man auf das Wiedererwachen des eben erloschenen Bedürfnisses rechnen konnte, muß wohl das nächste Motiv gewesen sein, dem Sexualobjekt eine dauernde Besetzung zuzuwenden, es auch in den begierdefreien Zwischenzeiten zu »lieben«.</w:t>
      </w:r>
    </w:p>
    <w:p w:rsidR="00525700" w:rsidRPr="00725852" w:rsidRDefault="00525700" w:rsidP="00725852">
      <w:pPr>
        <w:pStyle w:val="Sansinterligne"/>
        <w:rPr>
          <w:rFonts w:ascii="Garamond" w:hAnsi="Garamond"/>
          <w:lang w:val="en-US"/>
        </w:rPr>
      </w:pPr>
      <w:r w:rsidRPr="00725852">
        <w:rPr>
          <w:rFonts w:ascii="Garamond" w:hAnsi="Garamond"/>
          <w:lang w:val="en-US"/>
        </w:rPr>
        <w:t>Aus der sehr merkwürdigen Entwicklungsgeschichte des menschlichen Liebeslebens kommt ein zweites Moment hinzu. Das Kind hatte in der ersten, mit fünf Jahren meist schon abgeschlossenen Phase in einem Elternteil ein erstes Liebesobjekt gefunden, auf welches sich alle seine Befriedigung hei</w:t>
      </w:r>
      <w:r w:rsidRPr="00725852">
        <w:rPr>
          <w:rFonts w:ascii="Garamond" w:hAnsi="Garamond"/>
          <w:lang w:val="en-US"/>
        </w:rPr>
        <w:softHyphen/>
        <w:t>schenden Sexualtriebe vereinigt hatten. Die dann eintretende Verdrängung erzwang den Verzicht auf die meisten dieser kindlichen Sexualziele und hinterließ eine tiefgreifende Modifikation des Verhältnisses zu den Eltern. Das Kind blieb fernerhin an die Eltern gebunden, aber mit Trieben, die man »ziel</w:t>
      </w:r>
      <w:r w:rsidRPr="00725852">
        <w:rPr>
          <w:rFonts w:ascii="Garamond" w:hAnsi="Garamond"/>
          <w:lang w:val="en-US"/>
        </w:rPr>
        <w:softHyphen/>
        <w:t>gehemmte« nennen muß. Die Gefühle, die es von nun an für diese geliebten Personen empfindet, werden als »zärtliche« bezeichnet. Es ist bekannt, daß im Unbewußten die früheren »sinnlichen« Strebungen mehr oder minder stark erhalten bleiben, so daß die ursprüngliche Vollströmung in gewissem Sinne weiterbesteht.</w:t>
      </w:r>
      <w:r w:rsidRPr="00725852">
        <w:rPr>
          <w:rFonts w:ascii="Garamond" w:hAnsi="Garamond"/>
          <w:vertAlign w:val="superscript"/>
          <w:lang w:val="en-US"/>
        </w:rPr>
        <w:t>1)</w:t>
      </w:r>
    </w:p>
    <w:p w:rsidR="00525700" w:rsidRPr="00725852" w:rsidRDefault="00525700" w:rsidP="00725852">
      <w:pPr>
        <w:pStyle w:val="Sansinterligne"/>
        <w:rPr>
          <w:rFonts w:ascii="Garamond" w:hAnsi="Garamond"/>
          <w:lang w:val="en-US"/>
        </w:rPr>
      </w:pPr>
      <w:r w:rsidRPr="00725852">
        <w:rPr>
          <w:rFonts w:ascii="Garamond" w:hAnsi="Garamond"/>
          <w:lang w:val="en-US"/>
        </w:rPr>
        <w:t>Mit der Pubertät setzen bekanntlich neue, sehr intensive Strebungen nach den direkten Sexualzielen ein. In ungünstigen Fällen bleiben sie als sinnliche Strömung von den fortdauernden »zärtlichen« Gefühlsrichtungen geschieden. Man hat dann das Bild vor sich, dessen beide Ansichten von gewissen Richtungen der Literatur so gerne idealisiert werden. Der Mann zeigt schwärmerische Neigungen zu hochgeachteten Frauen, die ihn aber zum Liebesverkehr nicht reizen, und ist nur potent gegen andere Frauen, die er nicht »liebt«, geringschätzt oder selbst verachtet.</w:t>
      </w:r>
      <w:r w:rsidRPr="00725852">
        <w:rPr>
          <w:rFonts w:ascii="Garamond" w:hAnsi="Garamond"/>
          <w:vertAlign w:val="superscript"/>
          <w:lang w:val="en-US"/>
        </w:rPr>
        <w:t>2)</w:t>
      </w:r>
      <w:r w:rsidRPr="00725852">
        <w:rPr>
          <w:rFonts w:ascii="Garamond" w:hAnsi="Garamond"/>
          <w:lang w:val="en-US"/>
        </w:rPr>
        <w:t xml:space="preserve"> Häufiger indes gelingt dem Heranwachsenden ein gewisses Maß von Synthese der unsinnlichen, himmlischen und der sinnlichen, irdischen Liebe und ist sein Verhältnis zum Sexualobjekt durch das Zusammenwirken von ungehemmten mit zielge</w:t>
      </w:r>
      <w:r w:rsidRPr="00725852">
        <w:rPr>
          <w:rFonts w:ascii="Garamond" w:hAnsi="Garamond"/>
          <w:lang w:val="en-US"/>
        </w:rPr>
        <w:softHyphen/>
        <w:t>hemmten Trieben gekennzeichnet. Nach dem Beitrag der zielgehemmten Zärtlichkeitstriebe kann man die Höhe der Verliebtheit im Gegensatz zum bloß sinnlichen Begehren bemessen.</w:t>
      </w:r>
    </w:p>
    <w:p w:rsidR="00525700" w:rsidRPr="00725852" w:rsidRDefault="00525700" w:rsidP="00725852">
      <w:pPr>
        <w:pStyle w:val="Sansinterligne"/>
        <w:rPr>
          <w:rFonts w:ascii="Garamond" w:hAnsi="Garamond"/>
          <w:lang w:val="en-US"/>
        </w:rPr>
      </w:pPr>
      <w:r w:rsidRPr="00725852">
        <w:rPr>
          <w:rFonts w:ascii="Garamond" w:hAnsi="Garamond"/>
          <w:lang w:val="en-US"/>
        </w:rPr>
        <w:t>Im Rahmen dieser Verliebtheit ist uns von Anfang an das Phänomen der Sexualüberschätzung aufgefallen, die Tatsache, daß das geliebte Objekt eine gewisse Freiheit von der Kritik genießt, daß alle seine Eigenschaften höher eingeschätzt werden als die ungeliebter Personen oder als zu einer Zeit, da es nicht geliebt wurde. Bei einigermaßen wirksamer Verdrängung oder Zurücksetzung der sinnlichen Strebungen kommt die Täuschung zustande, daß das Objekt seiner seelischen Vorzüge wegen auch sinnlich geliebt wird, während umgekehrt erst das sinnliche Wohlgefallen ihm diese Vorzüge verliehen haben mag.</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Das Bestreben, welches hier das Urteil fälscht, ist das der </w:t>
      </w:r>
      <w:r w:rsidRPr="00725852">
        <w:rPr>
          <w:rFonts w:ascii="Garamond" w:hAnsi="Garamond"/>
          <w:i/>
          <w:iCs/>
          <w:lang w:val="en-US"/>
        </w:rPr>
        <w:t>Idealisierung.</w:t>
      </w:r>
      <w:r w:rsidRPr="00725852">
        <w:rPr>
          <w:rFonts w:ascii="Garamond" w:hAnsi="Garamond"/>
          <w:lang w:val="en-US"/>
        </w:rPr>
        <w:t xml:space="preserve"> Damit ist uns aber die Orientierung erleichtert; wir erkennen, daß das Objekt so behandelt wird wie das eigene Ich, daß also in der Verliebtheit ein größeres Maß narzißtischer Libido auf das Objekt überfließt. Bei manchen Formen der Liebeswahl wird es selbst augenfällig, daß das Objekt dazu dient, ein eigenes, nicht erreichtes Ichideal zu ersetzen. Man liebt es wegen der Vollkommenheiten, die man fürs eigene Ich angestrebt hat und die man sich nun auf diesem Umweg zur Befriedigung seines Narzißmus verschaffen möchte.</w:t>
      </w:r>
    </w:p>
    <w:p w:rsidR="00525700" w:rsidRPr="00725852" w:rsidRDefault="00525700" w:rsidP="00725852">
      <w:pPr>
        <w:pStyle w:val="Sansinterligne"/>
        <w:rPr>
          <w:rFonts w:ascii="Garamond" w:hAnsi="Garamond"/>
          <w:lang w:val="en-US"/>
        </w:rPr>
      </w:pPr>
      <w:r w:rsidRPr="00725852">
        <w:rPr>
          <w:rFonts w:ascii="Garamond" w:hAnsi="Garamond"/>
          <w:lang w:val="en-US"/>
        </w:rPr>
        <w:t>Nehmen Sexualüberschätzung und Verliebtheit noch weiter zu, so wird die Deutung des Bildes immer unverkennbarer. Die auf direkte Sexualbefriedi</w:t>
      </w:r>
      <w:r w:rsidRPr="00725852">
        <w:rPr>
          <w:rFonts w:ascii="Garamond" w:hAnsi="Garamond"/>
          <w:lang w:val="en-US"/>
        </w:rPr>
        <w:softHyphen/>
        <w:t>gung drängenden Strebungen können nun ganz zurückgedrängt werden, wie es zum Beispiel regelmäßig bei der schwärmerischen Liebe des Jünglings ge</w:t>
      </w:r>
      <w:r w:rsidRPr="00725852">
        <w:rPr>
          <w:rFonts w:ascii="Garamond" w:hAnsi="Garamond"/>
          <w:lang w:val="en-US"/>
        </w:rPr>
        <w:softHyphen/>
        <w:t>schieht; das Ich wird immer anspruchsloser, bescheidener, das Objekt immer großartiger, wertvoller; es gelangt schließlich in den Besitz der gesamten Selbstliebe des Ichs, so daß dessen Selbstaufopferung zur natürlichen Konsequenz wird. Das Objekt hat das Ich sozusagen aufgezehrt. Züge von Demut, Einschränkung des Narzißmus, Selbstschädigung sind in jedem Falle von Verliebtheit vorhanden; im extremen Falle werden sie nur gesteigert, und durch das Zurücktreten der sinnlichen Ansprüche bleiben sie allein herrschend.</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Dies ist besonders leicht bei unglücklicher, unerfüllbarer Liebe der Fall, da bei jeder sexuellen Befriedigung doch die Sexualüberschätzung immer wieder eine Herabsetzung erfährt. Gleichzeitig mit </w:t>
      </w:r>
      <w:r w:rsidRPr="00725852">
        <w:rPr>
          <w:rFonts w:ascii="Garamond" w:hAnsi="Garamond"/>
          <w:lang w:val="en-US"/>
        </w:rPr>
        <w:lastRenderedPageBreak/>
        <w:t xml:space="preserve">dieser »Hingabe« des Ichs an das Objekt, die sich von der sublimierten Hingabe an eine abstrakte Idee schon nicht mehr unterscheidet, versagen die dem Ichideal zugeteilten Funktionen gänzlich. Es schweigt die Kritik, die von dieser Instanz ausgeübt wird; alles, was das Objekt tut und fordert, ist recht und untadelhaft. Das Gewissen findet keine Anwendung auf alles, was zugunsten des Objektes geschieht; in der Liebesverblendung wird man reuelos zum Verbrecher. Die ganze Situation läßt sich restlos in eine Formel zusammenfassen: </w:t>
      </w:r>
      <w:r w:rsidRPr="00725852">
        <w:rPr>
          <w:rFonts w:ascii="Garamond" w:hAnsi="Garamond"/>
          <w:i/>
          <w:iCs/>
          <w:lang w:val="en-US"/>
        </w:rPr>
        <w:t>Das Objekt hat sich an die Stelle des Ichideals gesetzt.</w:t>
      </w:r>
    </w:p>
    <w:p w:rsidR="00525700" w:rsidRPr="00725852" w:rsidRDefault="00525700" w:rsidP="00725852">
      <w:pPr>
        <w:pStyle w:val="Sansinterligne"/>
        <w:rPr>
          <w:rFonts w:ascii="Garamond" w:hAnsi="Garamond"/>
          <w:lang w:val="en-US"/>
        </w:rPr>
      </w:pPr>
      <w:r w:rsidRPr="00725852">
        <w:rPr>
          <w:rFonts w:ascii="Garamond" w:hAnsi="Garamond"/>
          <w:lang w:val="en-US"/>
        </w:rPr>
        <w:t>Der Unterschied der Identifizierung von der Verliebtheit in ihren höchsten Ausbildungen, die man Faszination, verliebte Hörigkeit heißt, ist nun leicht zu beschreiben. Im ersteren Falle hat sich das Ich um die Eigenschaften des Objektes bereichert, sich dasselbe nach Ferenczis Ausdruck »introjiziert«; im zweiten Fall ist es verarmt, hat sich dem Objekt hingegeben, dasselbe an die Stelle seines wichtigsten Bestandteiles gesetzt. Indes merkt man bei näherer Erwägung bald, daß eine solche Darstellung Gegensätze vorspiegelt, die nicht bestehen. Es handelt sich ökonomisch nicht um Verarmung oder Bereicherung, man kann auch die extreme Verliebtheit so beschreiben, daß das Ich sich das Objekt introjiziert habe. Vielleicht trifft eine andere Unter</w:t>
      </w:r>
      <w:r w:rsidRPr="00725852">
        <w:rPr>
          <w:rFonts w:ascii="Garamond" w:hAnsi="Garamond"/>
          <w:lang w:val="en-US"/>
        </w:rPr>
        <w:softHyphen/>
        <w:t xml:space="preserve">scheidung eher das Wesentliche. Im Falle der Identifizierung ist das Objekt verlorengegangen oder aufgegeben worden; es wird dann im Ich wieder aufgerichtet, das Ich verändert sich partiell nach dem Vorbild des verlorenen Objektes. Im anderen Falle ist das Objekt erhalten geblieben und wird als solches von sehen und auf Kosten des Ichs überbesetzt. Aber auch hiegegen erhebt sich ein Bedenken. Steht es denn fest, daß die Identifizierung das Aufgeben der Objektbesetzung voraussetzt, kann es nicht Identifizierung bei erhaltenem Objekt geben? Und ehe wir uns in die Diskussion dieser heiklen Frage einlassen, kann uns bereits die Einsicht aufdämmern, daß eine andere Alternative das Wesen dieses Sachverhaltes in sich faßt, nämlich </w:t>
      </w:r>
      <w:r w:rsidRPr="00725852">
        <w:rPr>
          <w:rFonts w:ascii="Garamond" w:hAnsi="Garamond"/>
          <w:i/>
          <w:iCs/>
          <w:lang w:val="en-US"/>
        </w:rPr>
        <w:t>ob das Objekt an die Stelle des Ichs oder des Ichideals gesetzt wird.</w:t>
      </w:r>
    </w:p>
    <w:p w:rsidR="00525700" w:rsidRPr="00725852" w:rsidRDefault="00525700" w:rsidP="00725852">
      <w:pPr>
        <w:pStyle w:val="Sansinterligne"/>
        <w:rPr>
          <w:rFonts w:ascii="Garamond" w:hAnsi="Garamond"/>
          <w:lang w:val="en-US"/>
        </w:rPr>
      </w:pPr>
      <w:r w:rsidRPr="00725852">
        <w:rPr>
          <w:rFonts w:ascii="Garamond" w:hAnsi="Garamond"/>
          <w:lang w:val="en-US"/>
        </w:rPr>
        <w:t>Von der Verliebtheit ist offenbar kein weiter Schritt zur Hypnose. Die Übereinstimmungen beider sind augenfällig. Dieselbe demütige Unter</w:t>
      </w:r>
      <w:r w:rsidRPr="00725852">
        <w:rPr>
          <w:rFonts w:ascii="Garamond" w:hAnsi="Garamond"/>
          <w:lang w:val="en-US"/>
        </w:rPr>
        <w:softHyphen/>
        <w:t>werfung, Gefügigkeit, Kritiklosigkeit gegen den Hypnotiseur wie gegen das geliebte Objekt. Dieselbe Aufsaugung der eigenen Initiative; kein Zweifel, der Hypnotiseur ist an die Stelle des Ichideals getreten. Alle Verhältnisse sind in der Hypnose nur noch deutlicher und gesteigerter, so daß es zweckmäßiger wäre, die Verliebtheit durch die Hypnose zu erläutern als umgekehrt. Der Hypnotiseur ist das einzige Objekt, kein anderes wird neben ihm beachtet. Daß das Ich traumhaft erlebt, was er fordert und behauptet, mahnt uns daran, daß wir verabsäumt haben, unter den Funktionen des Ichideals auch die Ausübung der Realitätsprüfung zu erwähnen.</w:t>
      </w:r>
      <w:r w:rsidRPr="00725852">
        <w:rPr>
          <w:rFonts w:ascii="Garamond" w:hAnsi="Garamond"/>
          <w:vertAlign w:val="superscript"/>
          <w:lang w:val="en-US"/>
        </w:rPr>
        <w:t>3)</w:t>
      </w:r>
      <w:r w:rsidRPr="00725852">
        <w:rPr>
          <w:rFonts w:ascii="Garamond" w:hAnsi="Garamond"/>
          <w:lang w:val="en-US"/>
        </w:rPr>
        <w:t xml:space="preserve"> Kein Wunder, daß das Ich eine Wahrnehmung für real hält, wenn die sonst mit der Aufgabe der Realitätsprüfung betraute psychische Instanz sich für diese Realität einsetzt. Die völlige Abwesenheit von Strebungen mit ungehemmten Sexualzielen trägt zur extremen Reinheit der Erscheinungen weiteres bei. Die hypnotische Beziehung ist eine uneingeschränkte verliebte Hingabe bei Ausschluß sexueller Befriedigung, während eine solche bei der Verliebtheit doch nur zeitweilig zurückgeschoben ist und als spätere Zielmöglichkeit im Hintergrunde verbleibt.</w:t>
      </w:r>
    </w:p>
    <w:p w:rsidR="00525700" w:rsidRPr="00725852" w:rsidRDefault="00525700" w:rsidP="00725852">
      <w:pPr>
        <w:pStyle w:val="Sansinterligne"/>
        <w:rPr>
          <w:rFonts w:ascii="Garamond" w:hAnsi="Garamond"/>
          <w:lang w:val="en-US"/>
        </w:rPr>
      </w:pPr>
      <w:r w:rsidRPr="00725852">
        <w:rPr>
          <w:rFonts w:ascii="Garamond" w:hAnsi="Garamond"/>
          <w:lang w:val="en-US"/>
        </w:rPr>
        <w:t>Anderseits können wir aber auch sagen, die hypnotische Beziehung sei — wenn dieser Ausdruck gestattet ist — eine Massenbildung zu zweien. Die Hypnose ist kein gutes Vergleichsobjekt mit der Massenbildung, weil sie vielmehr mit dieser identisch ist. Sie isoliert uns aus dem komplizierten Gefüge der Masse ein Element, das Verhalten des Massenindividuums zum Führer. Durch diese Einschränkung der Zahl scheidet sich die Hypnose von der Massenbildung, wie durch den Wegfall der direkt sexuellen Strebungen von der Verliebtheit. Sie hält insoferne die Mitte zwischen beiden.</w:t>
      </w:r>
    </w:p>
    <w:p w:rsidR="00525700" w:rsidRPr="00725852" w:rsidRDefault="00525700" w:rsidP="00725852">
      <w:pPr>
        <w:pStyle w:val="Sansinterligne"/>
        <w:rPr>
          <w:rFonts w:ascii="Garamond" w:hAnsi="Garamond"/>
          <w:lang w:val="en-US"/>
        </w:rPr>
      </w:pPr>
      <w:r w:rsidRPr="00725852">
        <w:rPr>
          <w:rFonts w:ascii="Garamond" w:hAnsi="Garamond"/>
          <w:lang w:val="en-US"/>
        </w:rPr>
        <w:t>Es ist interessant zu sehen, daß gerade die zielgehemmten Sexualstre</w:t>
      </w:r>
      <w:r w:rsidRPr="00725852">
        <w:rPr>
          <w:rFonts w:ascii="Garamond" w:hAnsi="Garamond"/>
          <w:lang w:val="en-US"/>
        </w:rPr>
        <w:softHyphen/>
        <w:t>bungen so dauerhafte Bindungen der Menschen aneinander erzielen. Dies versteht sich aber leicht aus der Tatsache, daß sie einer vollen Befriedigung nicht fähig sind, während ungehemmte Sexualstrebungen durch die Abfuhr bei der Erreichung des jedesmaligen Sexualzieles eine außerordentliche Herabsetzung erfahren. Die sinnliche Liebe ist dazu bestimmt, in der Befriedigung zu erlöschen; um andauern zu können, muß sie mit rein zärtlichen, das heißt zielgehemmten Komponenten von Anfang an versetzt sein oder eine solche Umsetzung erfahren.</w:t>
      </w:r>
    </w:p>
    <w:p w:rsidR="00525700" w:rsidRPr="00725852" w:rsidRDefault="00525700" w:rsidP="00725852">
      <w:pPr>
        <w:pStyle w:val="Sansinterligne"/>
        <w:rPr>
          <w:rFonts w:ascii="Garamond" w:hAnsi="Garamond"/>
          <w:lang w:val="en-US"/>
        </w:rPr>
      </w:pPr>
      <w:r w:rsidRPr="00725852">
        <w:rPr>
          <w:rFonts w:ascii="Garamond" w:hAnsi="Garamond"/>
          <w:lang w:val="en-US"/>
        </w:rPr>
        <w:t>Die Hypnose würde uns das Rätsel der libidinösen Konstitution einer Masse glatt lösen, wenn sie selbst nicht noch Züge enthielte, die sich der bisherigen rationellen Aufklärung — als Verliebtheit bei Ausschluß direkt sexueller Strebungen — entziehen. Es ist noch vieles an ihr als unver</w:t>
      </w:r>
      <w:r w:rsidRPr="00725852">
        <w:rPr>
          <w:rFonts w:ascii="Garamond" w:hAnsi="Garamond"/>
          <w:lang w:val="en-US"/>
        </w:rPr>
        <w:softHyphen/>
        <w:t xml:space="preserve">standen, als mystisch anzuerkennen. Sie enthält einen Zusatz von Lähmung aus dem Verhältnis eines Übermächtigen zu einem Ohnmächtigen, Hilflosen, was etwa zur Schreckhypnose der Tiere überleitet. Die Art, wie sie erzeugt wird, ihre Beziehung zum Schlaf, sind nicht durchsichtig, und die rätselhafte Auswahl von Personen, die sich für sie eignen, während andere sie gänzlich ablehnen, weist auf ein noch unbekanntes Moment hin, welches in </w:t>
      </w:r>
      <w:r w:rsidRPr="00725852">
        <w:rPr>
          <w:rFonts w:ascii="Garamond" w:hAnsi="Garamond"/>
          <w:lang w:val="en-US"/>
        </w:rPr>
        <w:lastRenderedPageBreak/>
        <w:t>ihr verwirklicht wird und das vielleicht erst die Reinheit der Libidoeinstellungen in ihr ermöglicht. Beachtenswert ist auch, daß häufig das moralische Gewissen der hypnotisierten Person sich selbst bei sonst voller suggestiver Gefügigkeit resistent zeigen kann. Aber das mag daher kommen, daß bei der Hypnose, wie sie zumeist geübt wird, ein Wissen erhalten geblieben sein kann, es handle sich nur um ein Spiel, eine unwahre Reproduktion einer anderen, weit lebenswichtigeren Situation.</w:t>
      </w:r>
    </w:p>
    <w:p w:rsidR="00525700" w:rsidRPr="00725852" w:rsidRDefault="00525700" w:rsidP="00725852">
      <w:pPr>
        <w:pStyle w:val="Sansinterligne"/>
        <w:rPr>
          <w:rFonts w:ascii="Garamond" w:hAnsi="Garamond"/>
        </w:rPr>
      </w:pPr>
      <w:r w:rsidRPr="00725852">
        <w:rPr>
          <w:rFonts w:ascii="Garamond" w:hAnsi="Garamond"/>
          <w:lang w:val="en-US"/>
        </w:rPr>
        <w:t xml:space="preserve">Durch die bisherigen Erörterungen sind wir aber voll darauf vorbereitet, die Formel für die libidinöse Konstitution einer Masse anzugeben. Wenigstens einer solchen Masse, wie wir sie bisher betrachtet haben, die also einen Führer hat und nicht durch allzuviel »Organisation« sekundär die Eigenschaften eines Individuums erwerben konnte. </w:t>
      </w:r>
      <w:r w:rsidRPr="00725852">
        <w:rPr>
          <w:rFonts w:ascii="Garamond" w:hAnsi="Garamond"/>
          <w:i/>
          <w:iCs/>
          <w:lang w:val="en-US"/>
        </w:rPr>
        <w:t>Eine solche primäre Masse ist eine Anzahl von Individuen, die ein und dasselbe Objekt an die Stelle ihres Ichideals gesetzt und sich infolgedessen in ihrem Ich miteinander identifiziert haben.</w:t>
      </w:r>
      <w:r w:rsidRPr="00725852">
        <w:rPr>
          <w:rFonts w:ascii="Garamond" w:hAnsi="Garamond"/>
          <w:lang w:val="en-US"/>
        </w:rPr>
        <w:t xml:space="preserve"> </w:t>
      </w:r>
      <w:r w:rsidRPr="00725852">
        <w:rPr>
          <w:rFonts w:ascii="Garamond" w:hAnsi="Garamond"/>
        </w:rPr>
        <w:t>Dies Verhältnis läßt eine graphische Darstellung zu: </w:t>
      </w:r>
    </w:p>
    <w:p w:rsidR="00525700" w:rsidRPr="00725852" w:rsidRDefault="00525700" w:rsidP="00725852">
      <w:pPr>
        <w:pStyle w:val="Sansinterligne"/>
        <w:rPr>
          <w:rFonts w:ascii="Garamond" w:hAnsi="Garamond"/>
        </w:rPr>
      </w:pPr>
      <w:r w:rsidRPr="00725852">
        <w:rPr>
          <w:rFonts w:ascii="Garamond" w:hAnsi="Garamond"/>
          <w:noProof/>
          <w:lang w:eastAsia="fr-FR"/>
        </w:rPr>
        <w:drawing>
          <wp:inline distT="0" distB="0" distL="0" distR="0">
            <wp:extent cx="2366010" cy="788670"/>
            <wp:effectExtent l="19050" t="0" r="0" b="0"/>
            <wp:docPr id="30" name="Image 30" descr="http://www.textlog.de/uploads/RTEmagicC_freud-massenpsychologie-1.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xtlog.de/uploads/RTEmagicC_freud-massenpsychologie-1.gif.gif"/>
                    <pic:cNvPicPr>
                      <a:picLocks noChangeAspect="1" noChangeArrowheads="1"/>
                    </pic:cNvPicPr>
                  </pic:nvPicPr>
                  <pic:blipFill>
                    <a:blip r:embed="rId14" cstate="print"/>
                    <a:srcRect/>
                    <a:stretch>
                      <a:fillRect/>
                    </a:stretch>
                  </pic:blipFill>
                  <pic:spPr bwMode="auto">
                    <a:xfrm>
                      <a:off x="0" y="0"/>
                      <a:ext cx="2366010" cy="788670"/>
                    </a:xfrm>
                    <a:prstGeom prst="rect">
                      <a:avLst/>
                    </a:prstGeom>
                    <a:noFill/>
                    <a:ln w="9525">
                      <a:noFill/>
                      <a:miter lim="800000"/>
                      <a:headEnd/>
                      <a:tailEnd/>
                    </a:ln>
                  </pic:spPr>
                </pic:pic>
              </a:graphicData>
            </a:graphic>
          </wp:inline>
        </w:drawing>
      </w:r>
    </w:p>
    <w:p w:rsidR="00525700" w:rsidRPr="00725852" w:rsidRDefault="00525700" w:rsidP="00725852">
      <w:pPr>
        <w:pStyle w:val="Sansinterligne"/>
        <w:rPr>
          <w:rFonts w:ascii="Garamond" w:hAnsi="Garamond"/>
        </w:rPr>
      </w:pPr>
      <w:r w:rsidRPr="00725852">
        <w:rPr>
          <w:rFonts w:ascii="Garamond" w:hAnsi="Garamond"/>
        </w:rPr>
        <w:t> ___________________</w:t>
      </w:r>
    </w:p>
    <w:p w:rsidR="00525700" w:rsidRPr="00725852" w:rsidRDefault="00525700" w:rsidP="00725852">
      <w:pPr>
        <w:pStyle w:val="Sansinterligne"/>
        <w:rPr>
          <w:rFonts w:ascii="Garamond" w:hAnsi="Garamond"/>
        </w:rPr>
      </w:pPr>
      <w:r w:rsidRPr="00725852">
        <w:rPr>
          <w:rFonts w:ascii="Garamond" w:hAnsi="Garamond"/>
          <w:vertAlign w:val="superscript"/>
        </w:rPr>
        <w:t>1)</w:t>
      </w:r>
      <w:r w:rsidRPr="00725852">
        <w:rPr>
          <w:rFonts w:ascii="Garamond" w:hAnsi="Garamond"/>
        </w:rPr>
        <w:t xml:space="preserve"> S. </w:t>
      </w:r>
      <w:r w:rsidRPr="00725852">
        <w:rPr>
          <w:rFonts w:ascii="Garamond" w:hAnsi="Garamond"/>
          <w:i/>
          <w:iCs/>
        </w:rPr>
        <w:t>Sexualtheorie</w:t>
      </w:r>
      <w:r w:rsidRPr="00725852">
        <w:rPr>
          <w:rFonts w:ascii="Garamond" w:hAnsi="Garamond"/>
        </w:rPr>
        <w:t xml:space="preserve"> (1905 </w:t>
      </w:r>
      <w:r w:rsidRPr="00725852">
        <w:rPr>
          <w:rFonts w:ascii="Garamond" w:hAnsi="Garamond"/>
          <w:i/>
          <w:iCs/>
        </w:rPr>
        <w:t>d</w:t>
      </w:r>
      <w:r w:rsidRPr="00725852">
        <w:rPr>
          <w:rFonts w:ascii="Garamond" w:hAnsi="Garamond"/>
        </w:rPr>
        <w:t>).</w:t>
      </w:r>
    </w:p>
    <w:p w:rsidR="00525700" w:rsidRPr="00725852" w:rsidRDefault="00525700" w:rsidP="00725852">
      <w:pPr>
        <w:pStyle w:val="Sansinterligne"/>
        <w:rPr>
          <w:rFonts w:ascii="Garamond" w:hAnsi="Garamond"/>
        </w:rPr>
      </w:pPr>
      <w:r w:rsidRPr="00725852">
        <w:rPr>
          <w:rFonts w:ascii="Garamond" w:hAnsi="Garamond"/>
          <w:vertAlign w:val="superscript"/>
        </w:rPr>
        <w:t xml:space="preserve">2) </w:t>
      </w:r>
      <w:r w:rsidRPr="00725852">
        <w:rPr>
          <w:rFonts w:ascii="Garamond" w:hAnsi="Garamond"/>
        </w:rPr>
        <w:t xml:space="preserve">›Uber die allgemeinste Erniedrigung des Liebeslebens‹ (1912 </w:t>
      </w:r>
      <w:r w:rsidRPr="00725852">
        <w:rPr>
          <w:rFonts w:ascii="Garamond" w:hAnsi="Garamond"/>
          <w:i/>
          <w:iCs/>
        </w:rPr>
        <w:t>d</w:t>
      </w:r>
      <w:r w:rsidRPr="00725852">
        <w:rPr>
          <w:rFonts w:ascii="Garamond" w:hAnsi="Garamond"/>
        </w:rPr>
        <w:t>).</w:t>
      </w:r>
    </w:p>
    <w:p w:rsidR="00525700" w:rsidRPr="00725852" w:rsidRDefault="00525700" w:rsidP="00725852">
      <w:pPr>
        <w:pStyle w:val="Sansinterligne"/>
        <w:rPr>
          <w:rFonts w:ascii="Garamond" w:hAnsi="Garamond"/>
          <w:lang w:val="en-US"/>
        </w:rPr>
      </w:pPr>
      <w:r w:rsidRPr="00725852">
        <w:rPr>
          <w:rFonts w:ascii="Garamond" w:hAnsi="Garamond"/>
          <w:vertAlign w:val="superscript"/>
        </w:rPr>
        <w:t>3)</w:t>
      </w:r>
      <w:r w:rsidRPr="00725852">
        <w:rPr>
          <w:rFonts w:ascii="Garamond" w:hAnsi="Garamond"/>
        </w:rPr>
        <w:t xml:space="preserve"> S. ›Metapsychologische Ergänzung zur Traumlehre‹ (1917 </w:t>
      </w:r>
      <w:r w:rsidRPr="00725852">
        <w:rPr>
          <w:rFonts w:ascii="Garamond" w:hAnsi="Garamond"/>
          <w:i/>
          <w:iCs/>
        </w:rPr>
        <w:t>d</w:t>
      </w:r>
      <w:r w:rsidRPr="00725852">
        <w:rPr>
          <w:rFonts w:ascii="Garamond" w:hAnsi="Garamond"/>
        </w:rPr>
        <w:t xml:space="preserve">). </w:t>
      </w:r>
      <w:r w:rsidRPr="00725852">
        <w:rPr>
          <w:rFonts w:ascii="Garamond" w:hAnsi="Garamond"/>
          <w:lang w:val="en-US"/>
        </w:rPr>
        <w:t>Indes scheint ein Zweifel an der Berechtigung dieser Zuteilung, der eingehende Diskussion erfordert, zulässig.</w:t>
      </w:r>
    </w:p>
    <w:p w:rsidR="00A95446" w:rsidRPr="00725852" w:rsidRDefault="00A95446" w:rsidP="00725852">
      <w:pPr>
        <w:pStyle w:val="Sansinterligne"/>
        <w:rPr>
          <w:rFonts w:ascii="Garamond" w:eastAsiaTheme="majorEastAsia" w:hAnsi="Garamond" w:cstheme="majorBidi"/>
          <w:b/>
          <w:bCs/>
          <w:color w:val="365F91" w:themeColor="accent1" w:themeShade="BF"/>
          <w:lang w:val="en-US"/>
        </w:rPr>
      </w:pPr>
      <w:r w:rsidRPr="00725852">
        <w:rPr>
          <w:rFonts w:ascii="Garamond" w:hAnsi="Garamond"/>
          <w:lang w:val="en-US"/>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IX. De</w:t>
        </w:r>
        <w:bookmarkStart w:id="33" w:name="Massen9"/>
        <w:bookmarkEnd w:id="33"/>
        <w:r w:rsidR="00525700" w:rsidRPr="00725852">
          <w:rPr>
            <w:rStyle w:val="Lienhypertexte"/>
            <w:rFonts w:ascii="Garamond" w:hAnsi="Garamond"/>
            <w:lang w:val="en-US"/>
          </w:rPr>
          <w:t>r Herdentrieb</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Wir werden uns nur kurze Zeit der Illusion freuen, durch diese Formel das Rätsel der Masse gelöst zu haben. Alsbald muß uns die Mahnung beunruhigen, daß wir ja im wesentlichen die Verweisung auf das Rätsel der Hypnose angenommen haben, an dem so vieles noch unerledigt ist. Und nun zeigt uns ein anderer Einwand den weiteren Weg.</w:t>
      </w:r>
    </w:p>
    <w:p w:rsidR="00525700" w:rsidRPr="00725852" w:rsidRDefault="00525700" w:rsidP="00725852">
      <w:pPr>
        <w:pStyle w:val="Sansinterligne"/>
        <w:rPr>
          <w:rFonts w:ascii="Garamond" w:hAnsi="Garamond"/>
          <w:lang w:val="en-US"/>
        </w:rPr>
      </w:pPr>
      <w:r w:rsidRPr="00725852">
        <w:rPr>
          <w:rFonts w:ascii="Garamond" w:hAnsi="Garamond"/>
          <w:lang w:val="en-US"/>
        </w:rPr>
        <w:t>Wir dürfen uns sagen, die ausgiebigen affektiven Bindungen, die wir in der Masse erkennen, reichen voll aus, um einen ihrer Charaktere zu erklären, den Mangel an Selbständigkeit und Initiative beim Einzelnen, die Gleichartigkeit seiner Reaktion mit der aller anderen, sein Herabsinken zum Massenindividuum sozusagen. Aber die Masse zeigt, wenn wir sie als Ganzes ins Auge fassen, mehr; die Züge von Schwächung der intellektuellen Leistung, von Ungehemmtheit der Affektivität, die Unfähigkeit zur Mäßigung und zum Aufschub, die Neigung zur Überschreitung aller Schranken in der Gefühlsäußerung und zur vollen Abfuhr derselben in Handlung, dies und alles Ähnliche, was wir bei Le Bon so eindrucksvoll geschildert finden, ergibt ein unverkennbares Bild von Regression der seelischen Tätigkeit auf eine frühere Stufe, wie wir sie bei Wilden oder bei Kindern zu finden nicht erstaunt sind. Eine solche Regression gehört insbesondere zum Wesen der gemeinen Massen, während sie, wie wir gehört haben, bei hochorganisierten, künstlichen weitgehend hintangehalten werden kann.</w:t>
      </w:r>
    </w:p>
    <w:p w:rsidR="00525700" w:rsidRPr="00725852" w:rsidRDefault="00525700" w:rsidP="00725852">
      <w:pPr>
        <w:pStyle w:val="Sansinterligne"/>
        <w:rPr>
          <w:rFonts w:ascii="Garamond" w:hAnsi="Garamond"/>
          <w:lang w:val="en-US"/>
        </w:rPr>
      </w:pPr>
      <w:r w:rsidRPr="00725852">
        <w:rPr>
          <w:rFonts w:ascii="Garamond" w:hAnsi="Garamond"/>
          <w:lang w:val="en-US"/>
        </w:rPr>
        <w:t>Wir erhalten so den Eindruck eines Zustandes, in dem die vereinzelte Gefühlsregung und der persönliche intellektuelle Akt des Individuums zu schwach sind, um sich allein zur Geltung zu bringen, und durchaus auf Bekräftigung durch gleichartige Wiederholung von Seiten der anderen warten müssen. Wir werden daran erinnert, wieviel von diesen Phänomenen der Abhängigkeit zur normalen Konstitution der menschlichen Gesellschaft gehört, wie wenig Originalität und persönlicher Mut sich in ihr findet, wie sehr jeder Einzelne durch die Einstellungen einer Massenseele beherrscht wird, die sich als Rasseneigentümlichkeiten, Standesvorurteile, öffentliche Meinung und dergleichen kundgeben. Das Rätsel des suggestiven Einflusses vergrößert sich für uns, wenn wir zugeben, daß ein solcher nicht allein vom Führer, sondern auch von jedem Einzelnen auf jeden Einzelnen geübt wird, und wir machen uns den Vorwurf, daß wir die Beziehung zum Führer einseitig herausgehoben, den anderen Faktor der gegenseitigen Suggestion aber ungebührend zurückgedrängt haben.</w:t>
      </w:r>
    </w:p>
    <w:p w:rsidR="00525700" w:rsidRPr="00725852" w:rsidRDefault="00525700" w:rsidP="00725852">
      <w:pPr>
        <w:pStyle w:val="Sansinterligne"/>
        <w:rPr>
          <w:rFonts w:ascii="Garamond" w:hAnsi="Garamond"/>
          <w:lang w:val="en-US"/>
        </w:rPr>
      </w:pPr>
      <w:r w:rsidRPr="00725852">
        <w:rPr>
          <w:rFonts w:ascii="Garamond" w:hAnsi="Garamond"/>
          <w:lang w:val="en-US"/>
        </w:rPr>
        <w:t>Auf solche Weise zur Bescheidenheit gewiesen, werden wir geneigt sein, auf eine andere Stimme zu horchen, welche uns Erklärung auf einfacheren Grundlagen verspricht. Ich entnehme eine solche dem klugen Buch von W. Trotter über den Herdentrieb (1916), an dem ich nur bedauere, daß es sich den durch den letzten großen Krieg entfesselten Antipathien nicht ganz entzogen hat.</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Trotter leitet die an der Masse beschriebenen seelischen Phänomene von einem Herdeninstinkt </w:t>
      </w:r>
      <w:r w:rsidRPr="00725852">
        <w:rPr>
          <w:rFonts w:ascii="Garamond" w:hAnsi="Garamond"/>
          <w:i/>
          <w:iCs/>
          <w:lang w:val="en-US"/>
        </w:rPr>
        <w:t>(»gregariousness«)</w:t>
      </w:r>
      <w:r w:rsidRPr="00725852">
        <w:rPr>
          <w:rFonts w:ascii="Garamond" w:hAnsi="Garamond"/>
          <w:lang w:val="en-US"/>
        </w:rPr>
        <w:t xml:space="preserve"> ab, der dem Menschen wie anderen Tierarten angeboren zukommt. Diese Herdenhaftigkeit ist biologisch eine Analogie und gleichsam eine Fortführung der Vielzelligkeit, im Sinne der Libi</w:t>
      </w:r>
      <w:r w:rsidRPr="00725852">
        <w:rPr>
          <w:rFonts w:ascii="Garamond" w:hAnsi="Garamond"/>
          <w:lang w:val="en-US"/>
        </w:rPr>
        <w:softHyphen/>
        <w:t>dotheorie eine weitere Äußerung der von der Libido ausgehenden Neigung aller gleichartigen Lebewesen, sich zu immer umfassenderen Einheiten zu vereinigen.</w:t>
      </w:r>
      <w:r w:rsidRPr="00725852">
        <w:rPr>
          <w:rFonts w:ascii="Garamond" w:hAnsi="Garamond"/>
          <w:vertAlign w:val="superscript"/>
          <w:lang w:val="en-US"/>
        </w:rPr>
        <w:t>1)</w:t>
      </w:r>
      <w:r w:rsidRPr="00725852">
        <w:rPr>
          <w:rFonts w:ascii="Garamond" w:hAnsi="Garamond"/>
          <w:lang w:val="en-US"/>
        </w:rPr>
        <w:t xml:space="preserve"> Der Einzelne fühlt sich unvollständig </w:t>
      </w:r>
      <w:r w:rsidRPr="00725852">
        <w:rPr>
          <w:rFonts w:ascii="Garamond" w:hAnsi="Garamond"/>
          <w:i/>
          <w:iCs/>
          <w:lang w:val="en-US"/>
        </w:rPr>
        <w:t>(»incomplete«),</w:t>
      </w:r>
      <w:r w:rsidRPr="00725852">
        <w:rPr>
          <w:rFonts w:ascii="Garamond" w:hAnsi="Garamond"/>
          <w:lang w:val="en-US"/>
        </w:rPr>
        <w:t xml:space="preserve"> wenn er allein ist. Schon die Angst des kleinen Kindes sei eine Äußerung dieses Herdeninstinkts. Widerspruch gegen die Herde ist soviel wie Trennung von ihr und wird darum angstvoll vermieden. Die Herde lehnt aber alles Neue, Ungewohnte ab. Der Herdeninstinkt sei etwas Primäres, nicht weiter Zerlegbares </w:t>
      </w:r>
      <w:r w:rsidRPr="00725852">
        <w:rPr>
          <w:rFonts w:ascii="Garamond" w:hAnsi="Garamond"/>
          <w:i/>
          <w:iCs/>
          <w:lang w:val="en-US"/>
        </w:rPr>
        <w:t>(»which cannot be split up«).</w:t>
      </w:r>
    </w:p>
    <w:p w:rsidR="00525700" w:rsidRPr="00725852" w:rsidRDefault="00525700" w:rsidP="00725852">
      <w:pPr>
        <w:pStyle w:val="Sansinterligne"/>
        <w:rPr>
          <w:rFonts w:ascii="Garamond" w:hAnsi="Garamond"/>
          <w:lang w:val="en-US"/>
        </w:rPr>
      </w:pPr>
      <w:r w:rsidRPr="00725852">
        <w:rPr>
          <w:rFonts w:ascii="Garamond" w:hAnsi="Garamond"/>
          <w:lang w:val="en-US"/>
        </w:rPr>
        <w:t>Trotter gibt als die Reihe der von ihm als primär angenommenen Triebe (oder Instinkte): den Selbstbehauptungs-, Ernährungs-, Geschlechts- und Herdentrieb. Der letztere gerate oft in die Lage, sich den anderen gegen</w:t>
      </w:r>
      <w:r w:rsidRPr="00725852">
        <w:rPr>
          <w:rFonts w:ascii="Garamond" w:hAnsi="Garamond"/>
          <w:lang w:val="en-US"/>
        </w:rPr>
        <w:softHyphen/>
        <w:t>überzustellen. Schuldbewußtsein und Pflichtgefühl seien die charakteristi</w:t>
      </w:r>
      <w:r w:rsidRPr="00725852">
        <w:rPr>
          <w:rFonts w:ascii="Garamond" w:hAnsi="Garamond"/>
          <w:lang w:val="en-US"/>
        </w:rPr>
        <w:softHyphen/>
        <w:t xml:space="preserve">schen Besitztümer eines </w:t>
      </w:r>
      <w:r w:rsidRPr="00725852">
        <w:rPr>
          <w:rFonts w:ascii="Garamond" w:hAnsi="Garamond"/>
          <w:i/>
          <w:iCs/>
          <w:lang w:val="en-US"/>
        </w:rPr>
        <w:t>»gregarious animal«.</w:t>
      </w:r>
      <w:r w:rsidRPr="00725852">
        <w:rPr>
          <w:rFonts w:ascii="Garamond" w:hAnsi="Garamond"/>
          <w:lang w:val="en-US"/>
        </w:rPr>
        <w:t xml:space="preserve"> Vom Herdeninstinkt läßt Trotter auch die verdrängenden Kräfte ausgehen, welche die Psychoanalyse im Ich aufgezeigt hat, und folgerichtig gleicherweise die Widerstände, auf welche der Arzt bei der psychoanalytischen Behandlung stößt. Die Sprache verdanke ihre Bedeutung ihrer Eignung zur gegenseitigen Verständigung in der Herde, auf ihr beruhe zum großen Teil die Identifizierung der Einzelnen miteinander. Wie Le Bon vorwiegend die charakteristischen flüchtigen Massenbildungen und McDougall die stabilen Vergesellschaftungen, so hat Trotter die allgemeinsten Verbände, in denen der Mensch, dies </w:t>
      </w:r>
      <w:r w:rsidRPr="00725852">
        <w:rPr>
          <w:rFonts w:ascii="Garamond" w:hAnsi="Garamond"/>
          <w:i/>
          <w:iCs/>
          <w:lang w:val="en-US"/>
        </w:rPr>
        <w:t>zôon politikon</w:t>
      </w:r>
      <w:r w:rsidRPr="00725852">
        <w:rPr>
          <w:rFonts w:ascii="Garamond" w:hAnsi="Garamond"/>
          <w:lang w:val="en-US"/>
        </w:rPr>
        <w:t xml:space="preserve"> lebt, in den Mittelpunkt seines Interesses gerückt und deren psychologische Begründung angegeben. Für Trotter bedarf es aber keiner Ableitung des Herdentriebes, da er ihn als primär und nicht weiter auflösbar bezeichnet. Seine Bemerkung, Boris Sidis leite den Herdentrieb von der Suggestibilität ab, ist zum Glück für ihn überflüssig; es ist eine Erklärung nach bekanntem, unbefriedigendem Muster, und die Umkehr dieses Satzes, also daß die Suggestibilität ein Abkömmling des Herdeninstinkts sei, erschiene mir bei weitem einleuchtender.</w:t>
      </w:r>
    </w:p>
    <w:p w:rsidR="00525700" w:rsidRPr="00725852" w:rsidRDefault="00525700" w:rsidP="00725852">
      <w:pPr>
        <w:pStyle w:val="Sansinterligne"/>
        <w:rPr>
          <w:rFonts w:ascii="Garamond" w:hAnsi="Garamond"/>
          <w:lang w:val="en-US"/>
        </w:rPr>
      </w:pPr>
      <w:r w:rsidRPr="00725852">
        <w:rPr>
          <w:rFonts w:ascii="Garamond" w:hAnsi="Garamond"/>
          <w:lang w:val="en-US"/>
        </w:rPr>
        <w:lastRenderedPageBreak/>
        <w:t>Aber gegen Trotters Darstellung läßt sich mit noch besserem Recht als gegen die anderen einwenden, daß sie auf die Rolle des Führers in der Masse zu wenig Rücksicht nimmt, während wir doch eher zum gegenteiligen Urteil neigen, daß das Wesen der Masse bei Vernachlässigung des Führers nicht zu begreifen sei. Der Herdeninstinkt läßt überhaupt für den Führer keinen Raum, dieser kommt nur so zufällig zur Herde hinzu, und im Zusammenhange damit steht, daß von diesem Trieb aus auch kein Weg zu einem Gottesbedürfnis führt; es fehlt der Hirt zur Herde. Außerdem aber kann man Trotters Darstellung psychologisch untergraben, das heißt man kann es zum mindesten wahrscheinlich machen, daß der Herdentrieb nicht unzerlegbar, nicht in dem Sinne primär ist wie der Selbsterhaltungstrieb und der Geschlechtstrieb.</w:t>
      </w:r>
    </w:p>
    <w:p w:rsidR="00525700" w:rsidRPr="00725852" w:rsidRDefault="00525700" w:rsidP="00725852">
      <w:pPr>
        <w:pStyle w:val="Sansinterligne"/>
        <w:rPr>
          <w:rFonts w:ascii="Garamond" w:hAnsi="Garamond"/>
          <w:lang w:val="en-US"/>
        </w:rPr>
      </w:pPr>
      <w:r w:rsidRPr="00725852">
        <w:rPr>
          <w:rFonts w:ascii="Garamond" w:hAnsi="Garamond"/>
          <w:lang w:val="en-US"/>
        </w:rPr>
        <w:t>Es ist natürlich nicht leicht, die Ontogenese des Herdentriebes zu verfolgen. Die Angst des kleinen Kindes, wenn es allein gelassen wird, die Trotter bereits als Äußerung des Triebes in Anspruch nehmen will, legt doch eine andere Deutung näher. Sie gilt der Mutter, später anderen vertrauten Personen, und ist der Ausdruck einer unerfüllten Sehnsucht, mit der das Kind noch nichts anderes anzufangen weiß, als sie in Angst zu verwandeln.</w:t>
      </w:r>
      <w:r w:rsidRPr="00725852">
        <w:rPr>
          <w:rFonts w:ascii="Garamond" w:hAnsi="Garamond"/>
          <w:vertAlign w:val="superscript"/>
          <w:lang w:val="en-US"/>
        </w:rPr>
        <w:t>2)</w:t>
      </w:r>
      <w:r w:rsidRPr="00725852">
        <w:rPr>
          <w:rFonts w:ascii="Garamond" w:hAnsi="Garamond"/>
          <w:lang w:val="en-US"/>
        </w:rPr>
        <w:t xml:space="preserve"> Die Angst des einsamen kleinen Kindes wird auch nicht durch den Anblick eines beliebigen anderen »aus der Herde« beschwichtigt, sondern im Gegenteil durch das Hinzukommen eines solchen »Fremden« erst hervorgerufen. Dann merkt man beim Kinde lange nichts von einem Herdeninstinkt oder Massengefühl. Ein solches bildet sich zuerst in der mehrzähligen Kinderstube aus dem Verhältnis der Kinder zu den Eltern, und zwar als Reaktion auf den anfänglichen Neid, mit dem das ältere Kind das jüngere aufnimmt. Das ältere Kind möchte gewiß das nachkommende eifersüchtig verdrängen, von den Eltern fernhalten und es aller Anrechte berauben, aber angesichts der Tatsache, daß auch dieses Kind — wie alle späteren — in gleicher Weise von den Eltern geliebt wird, und infolge der Unmöglichkeit, seine feindselige Einstellung ohne eigenen Schaden festzuhalten, wird es zur Identifizierung mit den anderen Kindern gezwungen, und es bildet sich in der Kinderschar ein Massen- oder Gemeinschaftsgefühl, welches dann in der Schule seine weitere Entwicklung erfährt. Die erste Forderung dieser Reaktionsbildung ist die nach Gerechtigkeit, gleicher Behandlung für alle. Es ist bekannt, wie laut und unbestechlich sich dieser Anspruch in der Schule äußert. Wenn man schon selbst nicht der Bevorzugte sein kann, so soll doch wenigstens keiner von allen bevorzugt werden. Man könnte diese Umwandlung und Ersetzung der Eifersucht durch ein Massengefühl in Kinderstube und Schulzimmer für unwahrscheinlich halten, wenn man nicht den gleichen Vorgang später unter anderen Verhältnissen neuerlich beobachten würde. Man denke an die Schar von schwärmerisch verliebten Frauen und Mädchen, die den Sänger oder Pianisten nach seiner Produktion umdrängen. Gewiß läge es jeder von ihnen nahe, auf die andere eifersüchtig zu sein, allein angesichts ihrer Anzahl und der damit verbundenen Unmöglichkeit, das Ziel ihrer Verliebtheit zu erreichen, verzichten sie darauf, und anstatt sich gegenseitig die Haare auszuraufen, handeln sie wie eine einheitliche Masse, huldigen dem Gefeierten in gemeinsamen Aktionen und wären etwa froh, sich in seinen Lockenschmuck zu teilen. Sie haben sich, ursprünglich Rivalinnen, durch die gleiche Liebe zu dem nämlichen Objekt miteinander identifizieren können. Wenn eine Triebsituation, wie ja gewöhnlich, verschiedener Ausgänge fähig ist, so werden wir uns nicht verwundern, daß jener Ausgang zustande kommt, mit dem die Möglichkeit einer gewissen Befriedigung verbunden ist, während ein anderer, selbst ein näherliegender, unterbleibt, weil die realen Verhältnisse ihm die Erreichung dieses Zieles versagen.</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Was man dann später in der Gesellschaft als Gemeingeist, </w:t>
      </w:r>
      <w:r w:rsidRPr="00725852">
        <w:rPr>
          <w:rFonts w:ascii="Garamond" w:hAnsi="Garamond"/>
          <w:i/>
          <w:iCs/>
          <w:lang w:val="en-US"/>
        </w:rPr>
        <w:t>esprit de corps</w:t>
      </w:r>
      <w:r w:rsidRPr="00725852">
        <w:rPr>
          <w:rFonts w:ascii="Garamond" w:hAnsi="Garamond"/>
          <w:lang w:val="en-US"/>
        </w:rPr>
        <w:t xml:space="preserve"> usw. wirksam findet, verleugnet nicht seine Abkunft vom ursprünglichen Neid. Keiner soll sich hervortun wollen, jeder das gleiche sein und haben. Soziale Gerechtigkeit will bedeuten, daß man sich selbst vieles versagt, damit auch die anderen darauf verzichten müssen, oder was dasselbe ist, es nicht fordern können. Diese Gleichheitsforderung ist die Wurzel des sozialen Gewissens und des Pflichtgefühls. In unerwarteter Weise enthüllt sie sich in der Infektionsangst der Syphilitiker, die wir durch die Psychoanalyse verstehen gelernt haben. Die Angst dieser Armen entspricht ihrem heftigen Sträuben gegen den unbewußten Wunsch, ihre Infektion auf die anderen auszubreiten, denn warum sollten sie allein infiziert und von so vielem ausgeschlossen sein und die anderen nicht? Auch die schöne Anekdote vom Urteil Salomonis hat denselben Kern. Wenn der einen Frau das Kind gestorben ist, soll auch die andere kein lebendes haben. An diesem Wunsch wird die Verlustträgerin erkannt.</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Das soziale Gefühl ruht also auf der Umwendung eines erst feindseligen Gefühls in eine positiv betonte Bindung von der Natur einer Identifizierung. Soweit wir den Hergang bis jetzt durchschauen können, scheint sich diese Umwendung unter dem Einfluß einer gemeinsamen zärtlichen Bindung an eine außer der Masse stehende Person zu vollziehen. Unsere Analyse der Identifizierung erscheint uns selbst nicht als erschöpfend, aber unserer gegenwärtigen Absicht genügt es, wenn wir auf den einen Zug, daß die </w:t>
      </w:r>
      <w:r w:rsidRPr="00725852">
        <w:rPr>
          <w:rFonts w:ascii="Garamond" w:hAnsi="Garamond"/>
          <w:lang w:val="en-US"/>
        </w:rPr>
        <w:lastRenderedPageBreak/>
        <w:t xml:space="preserve">konsequente Durchführung der Gleichstellung gefordert wird, zurückkommen. Wir haben bereits bei der Erörterung der beiden künstlichen Massen, Kirche und Armee, gehört, ihre Voraussetzung sei, daß alle von einem, dem Führer, in gleicher Weise geliebt werden. Nun vergessen wir aber nicht, daß die Gleichheitsforderung der Masse nur für die Einzelnen derselben, nicht für den Führer gilt. Alle Einzelnen sollen einander gleich sein, aber alle wollen sie von einem beherrscht werden. Viele Gleiche, die sich miteinander identifizieren können, und ein einziger ihnen allen Überlegener, das ist die Situation, die wir in der lebensfähigen Masse verwirklicht finden. Getrauen wir uns also, die Aussage Trotters, der Mensch sei ein </w:t>
      </w:r>
      <w:r w:rsidRPr="00725852">
        <w:rPr>
          <w:rFonts w:ascii="Garamond" w:hAnsi="Garamond"/>
          <w:i/>
          <w:iCs/>
          <w:lang w:val="en-US"/>
        </w:rPr>
        <w:t>Herdentier,</w:t>
      </w:r>
      <w:r w:rsidRPr="00725852">
        <w:rPr>
          <w:rFonts w:ascii="Garamond" w:hAnsi="Garamond"/>
          <w:lang w:val="en-US"/>
        </w:rPr>
        <w:t xml:space="preserve"> dahin zu korrigieren, er sei vielmehr ein </w:t>
      </w:r>
      <w:r w:rsidRPr="00725852">
        <w:rPr>
          <w:rFonts w:ascii="Garamond" w:hAnsi="Garamond"/>
          <w:i/>
          <w:iCs/>
          <w:lang w:val="en-US"/>
        </w:rPr>
        <w:t>Hordentier,</w:t>
      </w:r>
      <w:r w:rsidRPr="00725852">
        <w:rPr>
          <w:rFonts w:ascii="Garamond" w:hAnsi="Garamond"/>
          <w:lang w:val="en-US"/>
        </w:rPr>
        <w:t xml:space="preserve"> ein Einzelwesen einer von einem Oberhaupt angeführten Horde.</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rPr>
      </w:pPr>
      <w:r w:rsidRPr="00725852">
        <w:rPr>
          <w:rFonts w:ascii="Garamond" w:hAnsi="Garamond"/>
        </w:rPr>
        <w:t>____________________</w:t>
      </w:r>
    </w:p>
    <w:p w:rsidR="00525700" w:rsidRPr="00725852" w:rsidRDefault="00525700" w:rsidP="00725852">
      <w:pPr>
        <w:pStyle w:val="Sansinterligne"/>
        <w:rPr>
          <w:rFonts w:ascii="Garamond" w:hAnsi="Garamond"/>
        </w:rPr>
      </w:pPr>
      <w:r w:rsidRPr="00725852">
        <w:rPr>
          <w:rFonts w:ascii="Garamond" w:hAnsi="Garamond"/>
          <w:vertAlign w:val="superscript"/>
        </w:rPr>
        <w:t>1)</w:t>
      </w:r>
      <w:r w:rsidRPr="00725852">
        <w:rPr>
          <w:rFonts w:ascii="Garamond" w:hAnsi="Garamond"/>
        </w:rPr>
        <w:t xml:space="preserve"> S. meinen Aufsatz: </w:t>
      </w:r>
      <w:r w:rsidRPr="00725852">
        <w:rPr>
          <w:rFonts w:ascii="Garamond" w:hAnsi="Garamond"/>
          <w:i/>
          <w:iCs/>
        </w:rPr>
        <w:t>Jenseits des Lustprinzips</w:t>
      </w:r>
      <w:r w:rsidRPr="00725852">
        <w:rPr>
          <w:rFonts w:ascii="Garamond" w:hAnsi="Garamond"/>
        </w:rPr>
        <w:t xml:space="preserve"> (1920 </w:t>
      </w:r>
      <w:r w:rsidRPr="00725852">
        <w:rPr>
          <w:rFonts w:ascii="Garamond" w:hAnsi="Garamond"/>
          <w:i/>
          <w:iCs/>
        </w:rPr>
        <w:t>g</w:t>
      </w:r>
      <w:r w:rsidRPr="00725852">
        <w:rPr>
          <w:rFonts w:ascii="Garamond" w:hAnsi="Garamond"/>
        </w:rPr>
        <w: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2)</w:t>
      </w:r>
      <w:r w:rsidRPr="00725852">
        <w:rPr>
          <w:rFonts w:ascii="Garamond" w:hAnsi="Garamond"/>
          <w:lang w:val="en-US"/>
        </w:rPr>
        <w:t xml:space="preserve"> S. </w:t>
      </w:r>
      <w:r w:rsidRPr="00725852">
        <w:rPr>
          <w:rFonts w:ascii="Garamond" w:hAnsi="Garamond"/>
          <w:i/>
          <w:iCs/>
          <w:lang w:val="en-US"/>
        </w:rPr>
        <w:t>Vorlesungen zur Einführung in die Psychoanalyse</w:t>
      </w:r>
      <w:r w:rsidRPr="00725852">
        <w:rPr>
          <w:rFonts w:ascii="Garamond" w:hAnsi="Garamond"/>
          <w:lang w:val="en-US"/>
        </w:rPr>
        <w:t xml:space="preserve"> (1916-17), Vorlesung XXV über die Angst.</w:t>
      </w:r>
    </w:p>
    <w:p w:rsidR="00A95446" w:rsidRPr="004E00C6" w:rsidRDefault="00A95446" w:rsidP="00725852">
      <w:pPr>
        <w:pStyle w:val="Sansinterligne"/>
        <w:rPr>
          <w:rFonts w:ascii="Garamond" w:eastAsiaTheme="majorEastAsia" w:hAnsi="Garamond" w:cstheme="majorBidi"/>
          <w:b/>
          <w:bCs/>
          <w:color w:val="365F91" w:themeColor="accent1" w:themeShade="BF"/>
          <w:lang w:val="en-US"/>
        </w:rPr>
      </w:pPr>
      <w:r w:rsidRPr="004E00C6">
        <w:rPr>
          <w:rFonts w:ascii="Garamond" w:hAnsi="Garamond"/>
          <w:lang w:val="en-US"/>
        </w:rPr>
        <w:br w:type="page"/>
      </w:r>
    </w:p>
    <w:p w:rsidR="00525700" w:rsidRPr="00725852" w:rsidRDefault="00B437A1" w:rsidP="00725852">
      <w:pPr>
        <w:pStyle w:val="Sansinterligne"/>
        <w:rPr>
          <w:rFonts w:ascii="Garamond" w:hAnsi="Garamond"/>
        </w:rPr>
      </w:pPr>
      <w:hyperlink w:anchor="MassenINHALT" w:history="1">
        <w:r w:rsidR="00525700" w:rsidRPr="00725852">
          <w:rPr>
            <w:rStyle w:val="Lienhypertexte"/>
            <w:rFonts w:ascii="Garamond" w:hAnsi="Garamond"/>
          </w:rPr>
          <w:t>X. Di</w:t>
        </w:r>
        <w:bookmarkStart w:id="34" w:name="Massen10"/>
        <w:bookmarkEnd w:id="34"/>
        <w:r w:rsidR="00525700" w:rsidRPr="00725852">
          <w:rPr>
            <w:rStyle w:val="Lienhypertexte"/>
            <w:rFonts w:ascii="Garamond" w:hAnsi="Garamond"/>
          </w:rPr>
          <w:t>e Masse und die Urhorde</w:t>
        </w:r>
      </w:hyperlink>
    </w:p>
    <w:p w:rsidR="00525700" w:rsidRPr="00725852" w:rsidRDefault="00525700" w:rsidP="00725852">
      <w:pPr>
        <w:pStyle w:val="Sansinterligne"/>
        <w:rPr>
          <w:rFonts w:ascii="Garamond" w:hAnsi="Garamond"/>
        </w:rPr>
      </w:pPr>
    </w:p>
    <w:p w:rsidR="00525700" w:rsidRPr="00725852" w:rsidRDefault="00525700" w:rsidP="00725852">
      <w:pPr>
        <w:pStyle w:val="Sansinterligne"/>
        <w:rPr>
          <w:rFonts w:ascii="Garamond" w:hAnsi="Garamond"/>
          <w:lang w:val="en-US"/>
        </w:rPr>
      </w:pPr>
      <w:r w:rsidRPr="00725852">
        <w:rPr>
          <w:rFonts w:ascii="Garamond" w:hAnsi="Garamond"/>
          <w:lang w:val="en-US"/>
        </w:rPr>
        <w:t>Im Jahre 1912 habe ich die Vermutung von Ch. Darwin aufgenommen, daß die Urform der menschlichen Gesellschaft die von einem starken Männchen unumschränkt beherrschte Horde war. Ich habe darzulegen versucht, daß die Schicksale dieser Horde unzerstörbare Spuren in der menschlichen Erbge</w:t>
      </w:r>
      <w:r w:rsidRPr="00725852">
        <w:rPr>
          <w:rFonts w:ascii="Garamond" w:hAnsi="Garamond"/>
          <w:lang w:val="en-US"/>
        </w:rPr>
        <w:softHyphen/>
        <w:t>schichte hinterlassen haben, speziell, daß die Entwicklung des Totemismus, der die Anfänge von Religion, Sittlichkeit und sozialer Gliederung in sich faßt, mit der gewaltsamen Tötung des Oberhauptes und der Umwandlung der Vaterhorde in eine Brüdergemeinde zusammenhängt.</w:t>
      </w:r>
      <w:r w:rsidRPr="00725852">
        <w:rPr>
          <w:rFonts w:ascii="Garamond" w:hAnsi="Garamond"/>
          <w:vertAlign w:val="superscript"/>
          <w:lang w:val="en-US"/>
        </w:rPr>
        <w:t>1)</w:t>
      </w:r>
      <w:r w:rsidRPr="00725852">
        <w:rPr>
          <w:rFonts w:ascii="Garamond" w:hAnsi="Garamond"/>
          <w:lang w:val="en-US"/>
        </w:rPr>
        <w:t xml:space="preserve"> Es ist dies zwar nur eine Hypothese wie so viele andere, mit denen die Prähistoriker das Dunkel der Urzeit aufzuhellen versuchen — eine </w:t>
      </w:r>
      <w:r w:rsidRPr="00725852">
        <w:rPr>
          <w:rFonts w:ascii="Garamond" w:hAnsi="Garamond"/>
          <w:i/>
          <w:iCs/>
          <w:lang w:val="en-US"/>
        </w:rPr>
        <w:t>»just-so story«</w:t>
      </w:r>
      <w:r w:rsidRPr="00725852">
        <w:rPr>
          <w:rFonts w:ascii="Garamond" w:hAnsi="Garamond"/>
          <w:lang w:val="en-US"/>
        </w:rPr>
        <w:t xml:space="preserve"> nannte sie witzig ein nicht unliebenswürdiger englischer Kritiker —, aber ich meine, es ist ehrenvoll für eine solche Hypothese, wenn sie sich geeignet zeigt, Zusammenhang und Verständnis auf immer neuen Gebieten zu schaffen.</w:t>
      </w:r>
    </w:p>
    <w:p w:rsidR="00525700" w:rsidRPr="00725852" w:rsidRDefault="00525700" w:rsidP="00725852">
      <w:pPr>
        <w:pStyle w:val="Sansinterligne"/>
        <w:rPr>
          <w:rFonts w:ascii="Garamond" w:hAnsi="Garamond"/>
          <w:lang w:val="en-US"/>
        </w:rPr>
      </w:pPr>
      <w:r w:rsidRPr="00725852">
        <w:rPr>
          <w:rFonts w:ascii="Garamond" w:hAnsi="Garamond"/>
          <w:lang w:val="en-US"/>
        </w:rPr>
        <w:t>Die menschlichen Massen zeigen uns wiederum das vertraute Bild des überstarken Einzelnen inmitten einer Schar von gleichen Genossen, das auch in unserer Vorstellung von der Urhorde enthalten ist. Die Psychologie dieser Masse, wie wir sie aus den oft erwähnten Beschreibungen kennen — der Schwund der bewußten Einzelpersönlichkeit, die Orientierung von Gedanken und Gefühlen nach gleichen Richtungen, die Vorherrschaft der Affektivität und des unbewußten Seelischen, die Tendenz zur unverzüglichen Ausführung auftauchender Absichten —, das alles entspricht einem Zustand von Regression zu einer primitiven Seelentätigkeit, wie man sie gerade der Urhorde zuschreiben möchte.</w:t>
      </w:r>
      <w:r w:rsidRPr="00725852">
        <w:rPr>
          <w:rFonts w:ascii="Garamond" w:hAnsi="Garamond"/>
          <w:vertAlign w:val="superscript"/>
          <w:lang w:val="en-US"/>
        </w:rPr>
        <w:t>2)</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Die Masse erscheint uns so als ein Wiederaufleben der Urhorde. So wie der Urmensch in jedem Einzelnen virtuell erhalten ist, so kann sich aus einem beliebigen Menschenhaufen die Urhorde wieder herstellen; soweit die Massenbildung die Menschen habituell beherrscht, erkennen wir den Fortbestand der Urhorde in ihr. </w:t>
      </w:r>
      <w:r w:rsidRPr="00725852">
        <w:rPr>
          <w:rFonts w:ascii="Garamond" w:hAnsi="Garamond"/>
        </w:rPr>
        <w:t xml:space="preserve">Wir müssen schließen, die Psychologie der Masse sei die älteste Menschenpsychologie; was wir unter Vernachlässigung aller Massenreste als Individualpsychologie isoliert haben, hat sich erst später, allmählich und sozusagen immer noch nur partiell aus der alten Massenpsychologie herausgehoben. </w:t>
      </w:r>
      <w:r w:rsidRPr="00725852">
        <w:rPr>
          <w:rFonts w:ascii="Garamond" w:hAnsi="Garamond"/>
          <w:lang w:val="en-US"/>
        </w:rPr>
        <w:t>Wir werden noch den Versuch wagen, den Ausgangspunkt dieser Entwicklung anzugeben.</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Eine nächste Überlegung zeigt uns, in welchem Punkt diese Behauptung einer Berichtigung bedarf. </w:t>
      </w:r>
      <w:r w:rsidRPr="00725852">
        <w:rPr>
          <w:rFonts w:ascii="Garamond" w:hAnsi="Garamond"/>
        </w:rPr>
        <w:t xml:space="preserve">Die Individualpsychologie muß vielmehr ebenso alt sein wie die Massenpsychologie, denn von Anfang an gab es zweierlei Psychologien, die der Massenindividuen und die des Vaters, Oberhauptes, Führers. </w:t>
      </w:r>
      <w:r w:rsidRPr="00725852">
        <w:rPr>
          <w:rFonts w:ascii="Garamond" w:hAnsi="Garamond"/>
          <w:lang w:val="en-US"/>
        </w:rPr>
        <w:t>Die Einzelnen der Masse waren so gebunden, wie wir sie heute finden, aber der Vater der Urhorde war frei. Seine intellektuellen Akte waren auch in der Vereinzelung stark und unabhängig, sein Wille bedurfte nicht der Bekräftigung durch den anderer. Wir nehmen konsequenterweise an, daß sein Ich wenig libidinös gebunden war, er liebte niemand außer sich, und die anderen nur, insoweit sie seinen Bedürfnissen dienten. Sein Ich gab nichts Überschüssiges an die Objekte ab.</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Zu Eingang der Menschheitsgeschichte war er der </w:t>
      </w:r>
      <w:r w:rsidRPr="00725852">
        <w:rPr>
          <w:rFonts w:ascii="Garamond" w:hAnsi="Garamond"/>
          <w:i/>
          <w:iCs/>
          <w:lang w:val="en-US"/>
        </w:rPr>
        <w:t>Übermensch,</w:t>
      </w:r>
      <w:r w:rsidRPr="00725852">
        <w:rPr>
          <w:rFonts w:ascii="Garamond" w:hAnsi="Garamond"/>
          <w:lang w:val="en-US"/>
        </w:rPr>
        <w:t xml:space="preserve"> den Nietzsche erst von der Zukunft erwartete. Noch heute bedürfen die Massen</w:t>
      </w:r>
      <w:r w:rsidRPr="00725852">
        <w:rPr>
          <w:rFonts w:ascii="Garamond" w:hAnsi="Garamond"/>
          <w:lang w:val="en-US"/>
        </w:rPr>
        <w:softHyphen/>
        <w:t>individuen der Vorspiegelung, daß sie in gleicher und gerechter Weise vom Führer geliebt werden, aber der Führer selbst braucht niemand anderen zu lieben, er darf von Herrennatur sein, absolut narzißtisch, aber selbstsicher und selbständig. Wir wissen, daß die Liebe den Narzißmus eindämmt, und könnten nachweisen, wie sie durch diese Wirkung Kulturfaktor geworden ist.</w:t>
      </w:r>
    </w:p>
    <w:p w:rsidR="00525700" w:rsidRPr="00725852" w:rsidRDefault="00525700" w:rsidP="00725852">
      <w:pPr>
        <w:pStyle w:val="Sansinterligne"/>
        <w:rPr>
          <w:rFonts w:ascii="Garamond" w:hAnsi="Garamond"/>
        </w:rPr>
      </w:pPr>
      <w:r w:rsidRPr="00725852">
        <w:rPr>
          <w:rFonts w:ascii="Garamond" w:hAnsi="Garamond"/>
          <w:lang w:val="en-US"/>
        </w:rPr>
        <w:t>Der Urvater der Horde war noch nicht unsterblich, wie er es später durch Vergottung wurde. Wenn er starb, mußte er ersetzt werden; an seine Stelle trat wahrscheinlich ein jüngster Sohn, der bis dahin Massenindividuum gewe</w:t>
      </w:r>
      <w:r w:rsidRPr="00725852">
        <w:rPr>
          <w:rFonts w:ascii="Garamond" w:hAnsi="Garamond"/>
          <w:lang w:val="en-US"/>
        </w:rPr>
        <w:softHyphen/>
        <w:t xml:space="preserve">sen war wie ein anderer. Es muß also eine Möglichkeit geben, die Psychologie der Masse in Individualpsychologie umzuwandeln, es muß eine Bedingung gefunden werden, unter der sich solche Umwandlung leicht vollzieht, ähnlich wie es den Bienen möglich ist, aus einer Larve im Bedarfsfalle eine Königin anstatt einer Arbeiterin zu ziehen. Man kann sich da nur dies eine vorstellen: Der Urvater hatte seine Söhne an der Befriedigung ihrer direkten sexuellen Strebungen verhindert; er zwang sie zur Abstinenz und infolgedessen zu den Gefühlsbindungen an ihn und aneinander, die aus den Strebungen mit gehemmtem Sexualziel hervorgehen konnten. </w:t>
      </w:r>
      <w:r w:rsidRPr="00725852">
        <w:rPr>
          <w:rFonts w:ascii="Garamond" w:hAnsi="Garamond"/>
        </w:rPr>
        <w:t>Er zwang sie sozusagen in die Massenpsychologie. Seine sexuelle Eifersucht und Intoleranz sind in letzter Linie die Ursache der Massenpsychologie geworden.</w:t>
      </w:r>
      <w:r w:rsidRPr="00725852">
        <w:rPr>
          <w:rFonts w:ascii="Garamond" w:hAnsi="Garamond"/>
          <w:vertAlign w:val="superscript"/>
        </w:rPr>
        <w:t>3)</w:t>
      </w:r>
    </w:p>
    <w:p w:rsidR="00525700" w:rsidRPr="00725852" w:rsidRDefault="00525700" w:rsidP="00725852">
      <w:pPr>
        <w:pStyle w:val="Sansinterligne"/>
        <w:rPr>
          <w:rFonts w:ascii="Garamond" w:hAnsi="Garamond"/>
          <w:lang w:val="en-US"/>
        </w:rPr>
      </w:pPr>
      <w:r w:rsidRPr="00725852">
        <w:rPr>
          <w:rFonts w:ascii="Garamond" w:hAnsi="Garamond"/>
        </w:rPr>
        <w:t xml:space="preserve">Für den, der sein Nachfolger wurde, war auch die Möglichkeit der sexuellen Befriedigung gegeben und damit der Austritt aus den Bedingungen der Massenpsychologie eröffnet. Die Fixierung der Libido an das Weib, die Möglichkeit der Befriedigung ohne Aufschub und Aufspeicherung machte der Bedeutung zielgehemmter Sexualstrebungen ein Ende und ließ den Narzißmus immer zur gleichen Höhe ansteigen. </w:t>
      </w:r>
      <w:r w:rsidRPr="00725852">
        <w:rPr>
          <w:rFonts w:ascii="Garamond" w:hAnsi="Garamond"/>
          <w:lang w:val="en-US"/>
        </w:rPr>
        <w:t>Auf diese Beziehung der Liebe zur Charakterbildung werden wir in einem Nachtrag zurückkommen.</w:t>
      </w:r>
    </w:p>
    <w:p w:rsidR="00525700" w:rsidRPr="00725852" w:rsidRDefault="00525700" w:rsidP="00725852">
      <w:pPr>
        <w:pStyle w:val="Sansinterligne"/>
        <w:rPr>
          <w:rFonts w:ascii="Garamond" w:hAnsi="Garamond"/>
          <w:lang w:val="en-US"/>
        </w:rPr>
      </w:pPr>
      <w:r w:rsidRPr="00725852">
        <w:rPr>
          <w:rFonts w:ascii="Garamond" w:hAnsi="Garamond"/>
          <w:lang w:val="en-US"/>
        </w:rPr>
        <w:lastRenderedPageBreak/>
        <w:t>Heben wir noch als besonders lehrreich hervor, in welcher Beziehung zur Konstitution der Urhorde die Veranstaltung steht, mittels derer — abgesehen von Zwangsmitteln — eine künstliche Masse zusammengehalten wird. Bei Heer und Kirche haben wir gesehen, es ist die Vorspiegelung, daß der Führer alle Einzelnen in gleicher und gerechter Weise liebt. Dies ist aber geradezu die idealistische Umarbeitung der Verhältnisse der Urhorde, in der sich alle Söhne in gleicher Weise vom Urvater verfolgt wußten und ihn in gleicher Weise fürchteten. Schon die nächste Form der menschlichen Sozietät, der totemistische Clan, hat diese Umformung, auf die alle sozialen Pflichten aufgebaut sind, zur Voraussetzung. Die unverwüstliche Stärke der Familie als einer natürlichen Massenbildung beruht darauf, daß diese notwendige Voraussetzung der gleichen Liebe des Vaters für sie wirklich zutreffen kann.</w:t>
      </w:r>
    </w:p>
    <w:p w:rsidR="00525700" w:rsidRPr="00725852" w:rsidRDefault="00525700" w:rsidP="00725852">
      <w:pPr>
        <w:pStyle w:val="Sansinterligne"/>
        <w:rPr>
          <w:rFonts w:ascii="Garamond" w:hAnsi="Garamond"/>
          <w:lang w:val="en-US"/>
        </w:rPr>
      </w:pPr>
      <w:r w:rsidRPr="00725852">
        <w:rPr>
          <w:rFonts w:ascii="Garamond" w:hAnsi="Garamond"/>
          <w:lang w:val="en-US"/>
        </w:rPr>
        <w:t>Aber wir erwarten noch mehr von der Zurückführung der Masse auf die Urhorde. Sie soll uns auch das noch Unverstandene, Geheimnisvolle an der Massenbildung näherbringen, das sich hinter den Rätselworten Hypnose und Suggestion verbirgt. Und ich meine, sie kann es auch leisten. Erinnern wir uns daran, daß die Hypnose etwas direkt Unheimliches an sich hat; der Charakter des Unheimlichen deutet aber auf etwas der Verdrängung verfalle</w:t>
      </w:r>
      <w:r w:rsidRPr="00725852">
        <w:rPr>
          <w:rFonts w:ascii="Garamond" w:hAnsi="Garamond"/>
          <w:lang w:val="en-US"/>
        </w:rPr>
        <w:softHyphen/>
        <w:t>nes Altes und Wohlvertrautes hin.</w:t>
      </w:r>
      <w:r w:rsidRPr="00725852">
        <w:rPr>
          <w:rFonts w:ascii="Garamond" w:hAnsi="Garamond"/>
          <w:vertAlign w:val="superscript"/>
          <w:lang w:val="en-US"/>
        </w:rPr>
        <w:t>4)</w:t>
      </w:r>
      <w:r w:rsidRPr="00725852">
        <w:rPr>
          <w:rFonts w:ascii="Garamond" w:hAnsi="Garamond"/>
          <w:lang w:val="en-US"/>
        </w:rPr>
        <w:t xml:space="preserve"> Denken wir daran, wie die Hypnose eingeleitet wird. Der Hypnotiseur behauptet im Besitz einer geheimnisvollen Macht zu sein, die dem Subjekt den eigenen Willen raubt, oder, was dasselbe ist, das Subjekt glaubt es von ihm. Diese geheimnisvolle Macht — populär noch oft als tierischer Magnetismus bezeichnet — muß dieselbe sein, welche den Primitiven als Quelle des Tabu gilt, dieselbe, die von Königen und Häuptlingen ausgeht und die es gefährlich macht, sich ihnen zu nähern (Mana). Im Besitz dieser Macht will nun der Hypnotiseur sein, und wie bringt er sie zur Erscheinung? Indem er die Person auffordert, ihm in die Augen zu sehen; er hypnotisiert in typischer Weise durch seinen Blick. Gerade der Anblick des Häuptlings ist aber für den Primitiven gefährlich und unerträglich, wie später der der Gottheit für den Sterblichen. Noch Moses muß den Mittelsmann zwischen seinem Volke und Jehova machen, da das Volk den Anblick Gottes nicht ertrüge, und wenn er von der Gegenwart Gottes zurückkehrt, strahlt sein Antlitz, ein Teil des »Mana« hat sich wie beim Mittler </w:t>
      </w:r>
      <w:r w:rsidRPr="00725852">
        <w:rPr>
          <w:rFonts w:ascii="Garamond" w:hAnsi="Garamond"/>
          <w:vertAlign w:val="superscript"/>
          <w:lang w:val="en-US"/>
        </w:rPr>
        <w:t>5)</w:t>
      </w:r>
      <w:r w:rsidRPr="00725852">
        <w:rPr>
          <w:rFonts w:ascii="Garamond" w:hAnsi="Garamond"/>
          <w:lang w:val="en-US"/>
        </w:rPr>
        <w:t xml:space="preserve"> der Primitiven auf ihn übertragen.</w:t>
      </w:r>
    </w:p>
    <w:p w:rsidR="00525700" w:rsidRPr="00725852" w:rsidRDefault="00525700" w:rsidP="00725852">
      <w:pPr>
        <w:pStyle w:val="Sansinterligne"/>
        <w:rPr>
          <w:rFonts w:ascii="Garamond" w:hAnsi="Garamond"/>
        </w:rPr>
      </w:pPr>
      <w:r w:rsidRPr="00725852">
        <w:rPr>
          <w:rFonts w:ascii="Garamond" w:hAnsi="Garamond"/>
          <w:lang w:val="en-US"/>
        </w:rPr>
        <w:t xml:space="preserve">Man kann die Hypnose allerdings auch auf anderen Wegen hervorrufen, was irreführend ist und zu unzulänglichen physiologischen Theorien Anlaß gegeben hat, zum Beispiel durch das Fixieren eines glänzenden Gegenstandes oder durch das Horchen auf ein monotones Geräusch. In Wirklichkeit dienen diese Verfahren nur der Ablenkung und Fesselung der bewußten Aufmerksamkeit. </w:t>
      </w:r>
      <w:r w:rsidRPr="00725852">
        <w:rPr>
          <w:rFonts w:ascii="Garamond" w:hAnsi="Garamond"/>
        </w:rPr>
        <w:t>Die Situation ist die nämliche, als ob der Hypnotiseur der Person gesagt hätte: »Nun beschäftigen Sie sich ausschließlich mit meiner Person, die übrige Welt ist ganz uninteressant.« Gewiß wäre es technisch unzweckmäßig, wenn der Hypnotiseur eine solche Rede hielte; das Subjekt würde durch sie aus seiner unbewußten Einstellung gerissen und zum bewußten Widerspruch aufgereizt werden. Aber während der Hypnotiseur es vermeidet, das bewußte Denken des Subjekts auf seine Absichten zu richten, und die Versuchsperson sich in eine Tätigkeit versenkt, bei der ihr die Welt uninteressant vorkommen muß, geschieht es, daß sie unbewußt wirklich ihre ganze Aufmerksamkeit auf den Hypnotiseur konzentriert, sich in die Einstellung des Rapports, der Übertragung, zum Hypnotiseur begibt. Die indirekten Methoden des Hypnotisierens haben also, ähnlich wie manche Techniken des Witzes, den Erfolg, gewisse Verteilungen der seelischen Energie, welche den Ablauf des unbewußten Vorgangs stören würden, hintanzuhalten, und sie führen schließlich zum gleichen Ziel wie die direkten Beeinflussungen durch Anstarren oder Streichen.</w:t>
      </w:r>
      <w:r w:rsidRPr="00725852">
        <w:rPr>
          <w:rFonts w:ascii="Garamond" w:hAnsi="Garamond"/>
          <w:vertAlign w:val="superscript"/>
        </w:rPr>
        <w:t>6)</w:t>
      </w:r>
    </w:p>
    <w:p w:rsidR="00525700" w:rsidRPr="00725852" w:rsidRDefault="00525700" w:rsidP="00725852">
      <w:pPr>
        <w:pStyle w:val="Sansinterligne"/>
        <w:rPr>
          <w:rFonts w:ascii="Garamond" w:hAnsi="Garamond"/>
          <w:lang w:val="en-US"/>
        </w:rPr>
      </w:pPr>
      <w:r w:rsidRPr="00725852">
        <w:rPr>
          <w:rFonts w:ascii="Garamond" w:hAnsi="Garamond"/>
          <w:lang w:val="en-US"/>
        </w:rPr>
        <w:t>Ferenczi (1909) hat richtig herausgefunden, daß sich der Hypnotiseur mit dem Schlafgebot, welches oft zur Einleitung der Hypnose gegeben wird, an die Stelle der Eltern setzt. Er meinte zwei Arten der Hypnose unterscheiden zu sollen, eine schmeichlerisch begütigende, die er dem Muttervorbild, und eine drohende, die er dem Vater zuschrieb. Nun bedeutet das Gebot zu schlafen in der Hypnose auch nichts anderes als die Aufforderung, alles Interesse von der Welt abzuziehen und auf die Person des Hypnotiseurs zu konzentrieren; es wird auch vom Subjekt so verstanden, denn in dieser Abziehung des Interesses von der Außenwelt liegt die psychologische Charakteristik des Schlafes, und auf ihr beruht die Verwandtschaft des Schlafes mit dem hypnotischen Zustand.</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Durch seine Maßnahmen weckt also der Hypnotiseur beim Subjekt ein Stück von dessen archaischer Erbschaft, die auch den Eltern entgegenkam und im Verhältnis zum Vater eine individuelle Wiederbelebung erfuhr, die Vorstellung von einer übermächtigen und gefährlichen Persönlichkeit, gegen die man sich nur passiv-masochistisch einstellen konnte, an die man seinen Willen verlieren mußte und mit der allein zu sein, »ihr unter die Augen zu treten« ein bedenkliches Wagnis schien. Nur so etwa können wir uns das Verhältnis eines Einzelnen der Urhorde zum Urvater vorstellen. Wie wir aus anderen Reaktionen wissen, hat der Einzelne ein variables Maß von persönlicher Eignung zur Wiederbelebung solch alter Situationen bewahrt. Ein Wissen, daß die Hypnose doch nur ein Spiel, eine lügenhafte </w:t>
      </w:r>
      <w:r w:rsidRPr="00725852">
        <w:rPr>
          <w:rFonts w:ascii="Garamond" w:hAnsi="Garamond"/>
          <w:lang w:val="en-US"/>
        </w:rPr>
        <w:lastRenderedPageBreak/>
        <w:t>Erneuerung jener alten Eindrücke ist, kann aber erhalten bleiben und für den Widerstand gegen allzu ernsthafte Konsequenzen der hypnotischen Willensaufhebung sorgen.</w:t>
      </w:r>
    </w:p>
    <w:p w:rsidR="00525700" w:rsidRPr="00725852" w:rsidRDefault="00525700" w:rsidP="00725852">
      <w:pPr>
        <w:pStyle w:val="Sansinterligne"/>
        <w:rPr>
          <w:rFonts w:ascii="Garamond" w:hAnsi="Garamond"/>
          <w:lang w:val="en-US"/>
        </w:rPr>
      </w:pPr>
      <w:r w:rsidRPr="00725852">
        <w:rPr>
          <w:rFonts w:ascii="Garamond" w:hAnsi="Garamond"/>
          <w:lang w:val="en-US"/>
        </w:rPr>
        <w:t>Der unheimliche, zwanghafte Charakter der Massenbildung, der sich in ihren Suggestionserscheinungen zeigt, kann also wohl mit Recht auf ihre Abkunft von der Urhorde zurückgeführt werden. Der Führer der Masse ist noch immer der gefürchtete Urvater, die Masse will immer noch von unbeschränkter Gewalt beherrscht werden, sie ist im höchsten Grade autoritätssüchtig, hat nach Le Bons Ausdruck den Durst nach Unterwerfung. Der Urvater ist das Massenideal, das an Stelle des Ichideals das Ich beherrscht. Die Hypnose hat ein gutes Anrecht auf die Bezeichnung: eine Masse zu zweit; für die Suggestion erübrigt die Definition einer Überzeugung, die nicht auf Wahrnehmung und Denkarbeit, sondern auf erotische Bindung gegründet ist.</w:t>
      </w:r>
      <w:r w:rsidRPr="00725852">
        <w:rPr>
          <w:rFonts w:ascii="Garamond" w:hAnsi="Garamond"/>
          <w:vertAlign w:val="superscript"/>
          <w:lang w:val="en-US"/>
        </w:rPr>
        <w:t>7)</w:t>
      </w:r>
    </w:p>
    <w:p w:rsidR="00525700" w:rsidRPr="00725852" w:rsidRDefault="00525700" w:rsidP="00725852">
      <w:pPr>
        <w:pStyle w:val="Sansinterligne"/>
        <w:rPr>
          <w:rFonts w:ascii="Garamond" w:hAnsi="Garamond"/>
          <w:lang w:val="en-US"/>
        </w:rPr>
      </w:pPr>
      <w:r w:rsidRPr="00725852">
        <w:rPr>
          <w:rFonts w:ascii="Garamond" w:hAnsi="Garamond"/>
          <w:lang w:val="en-US"/>
        </w:rPr>
        <w:t> ____________________</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1)</w:t>
      </w:r>
      <w:r w:rsidRPr="00725852">
        <w:rPr>
          <w:rFonts w:ascii="Garamond" w:hAnsi="Garamond"/>
          <w:lang w:val="en-US"/>
        </w:rPr>
        <w:t xml:space="preserve"> </w:t>
      </w:r>
      <w:r w:rsidRPr="00725852">
        <w:rPr>
          <w:rFonts w:ascii="Garamond" w:hAnsi="Garamond"/>
          <w:i/>
          <w:iCs/>
          <w:lang w:val="en-US"/>
        </w:rPr>
        <w:t>Totem und Tabu</w:t>
      </w:r>
      <w:r w:rsidRPr="00725852">
        <w:rPr>
          <w:rFonts w:ascii="Garamond" w:hAnsi="Garamond"/>
          <w:lang w:val="en-US"/>
        </w:rPr>
        <w:t xml:space="preserve"> (1912-13).</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2)</w:t>
      </w:r>
      <w:r w:rsidRPr="00725852">
        <w:rPr>
          <w:rFonts w:ascii="Garamond" w:hAnsi="Garamond"/>
          <w:lang w:val="en-US"/>
        </w:rPr>
        <w:t xml:space="preserve"> Für die Urhorde muß insbesondere gelten, was wir vorhin in der allgemeinen Charakteristik der Menschen beschrieben haben. Der Wille des Einzelnen war zu schwach, er getraute sich nicht der Tat. Es kamen gar keine anderen Impulse zustande als kollektive, es gab nur einen Gemeinwillen, keinen singulären. Die Vorstellung wagte es nicht, sich in Willen umzusetzen, wenn sie sich nicht durch die Wahrnehmung ihrer allgemeinen Verbreitung gestärkt fand. Diese Schwäche der Vorstellung findet ihre Erklärung in der Stärke der allen gemeinsamen Gefühlsbindung, aber die Gleichartigkeit der Lebensumstände und das Fehlen eines privaten Eigentums kommen hinzu, um die Gleichförmigkeit der seelischen Akte bei den Einzelnen zu bestimmen. — Auch die exkrcmcntellen Bedürfnisse schließen, wie man an Kindern und Soldaten merken kann, die Gemeinsamkeit nicht aus. Die einzige mächtige Ausnahme macht der sexuelle Akt, bei dem der Dritte zumindest überflüssig, im äußersten Fall zu einem peinlichen Abwarten verurteilt ist. Über die Reaktion des Scxualbedürfnisses (der Genitalbefriedigung) gegen das Herdenhafte siehe unten.</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3)</w:t>
      </w:r>
      <w:r w:rsidRPr="00725852">
        <w:rPr>
          <w:rFonts w:ascii="Garamond" w:hAnsi="Garamond"/>
          <w:lang w:val="en-US"/>
        </w:rPr>
        <w:t xml:space="preserve"> Es läßt sich etwa auch annehmen, daß die vertriebenen Söhne, vom Vater getrennt, den Fortschritt von der Identifizierung miteinander zur homosexuellen Objektliebe machten und so die Freiheit gewannen, den Vater zu töten.</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4)</w:t>
      </w:r>
      <w:r w:rsidRPr="00725852">
        <w:rPr>
          <w:rFonts w:ascii="Garamond" w:hAnsi="Garamond"/>
          <w:lang w:val="en-US"/>
        </w:rPr>
        <w:t xml:space="preserve"> ›Das Unheimliche‹ (1919 </w:t>
      </w:r>
      <w:r w:rsidRPr="00725852">
        <w:rPr>
          <w:rFonts w:ascii="Garamond" w:hAnsi="Garamond"/>
          <w:i/>
          <w:iCs/>
          <w:lang w:val="en-US"/>
        </w:rPr>
        <w:t>h</w:t>
      </w:r>
      <w:r w:rsidRPr="00725852">
        <w:rPr>
          <w:rFonts w:ascii="Garamond" w:hAnsi="Garamond"/>
          <w:lang w:val="en-US"/>
        </w:rPr>
        <w: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5)</w:t>
      </w:r>
      <w:r w:rsidRPr="00725852">
        <w:rPr>
          <w:rFonts w:ascii="Garamond" w:hAnsi="Garamond"/>
          <w:lang w:val="en-US"/>
        </w:rPr>
        <w:t xml:space="preserve"> S. </w:t>
      </w:r>
      <w:r w:rsidRPr="00725852">
        <w:rPr>
          <w:rFonts w:ascii="Garamond" w:hAnsi="Garamond"/>
          <w:i/>
          <w:iCs/>
          <w:lang w:val="en-US"/>
        </w:rPr>
        <w:t>Totem und Tabu</w:t>
      </w:r>
      <w:r w:rsidRPr="00725852">
        <w:rPr>
          <w:rFonts w:ascii="Garamond" w:hAnsi="Garamond"/>
          <w:lang w:val="en-US"/>
        </w:rPr>
        <w:t xml:space="preserve"> und die dort zitierten Quellen.</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6)</w:t>
      </w:r>
      <w:r w:rsidRPr="00725852">
        <w:rPr>
          <w:rFonts w:ascii="Garamond" w:hAnsi="Garamond"/>
          <w:lang w:val="en-US"/>
        </w:rPr>
        <w:t xml:space="preserve"> Die Situation, daß die Person unbewußt auf den Hypnotiseur eingestellt ist, während sie sich bewußt mit gleichbleibenden, uninteressanten Wahrnehmungen beschäftigt, findet ein Gegenstück in den Vorkommnissen der psychoanalytischen Behandlung, das hier erwähnt zu werden verdient. In jeder Analyse ereignet es sich mindestens einmal, daß der Patient hartnäckig behauptet, jetzt fiele ihm aber ganz bestimmt nichts ein. Seine freien Assoziationen stocken, und die gewöhnlichen Antriebe, sie in Gang zu bringen, schlagen fehl. Durch Drängen erreicht man endlich das Eingeständnis, der Patient denke an die Aussicht aus dem Fenster des Behandlungsraumes, an die Tapete der Wand, die er vor sich sieht, oder an die Gaslampe, die von der Zimmerdecke herab hängt. Man weiß dann sofort, daß er sich in die Übertragung begeben hat, von noch unbewußten Gedanken in Anspruch genommen wird, die sich auf den Arzt beziehen, und sieht die Stockung in den Einfällen des Patienten schwinden, sobald man ihm diese Aufklärung gegeben hat.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7)</w:t>
      </w:r>
      <w:r w:rsidRPr="00725852">
        <w:rPr>
          <w:rFonts w:ascii="Garamond" w:hAnsi="Garamond"/>
          <w:lang w:val="en-US"/>
        </w:rPr>
        <w:t xml:space="preserve"> Es erscheint mir der Hervorhebung wert, daß wir durch die Erörterungen dieses Abschnittes veranlaßt werden, von der Bernheimschen Auffassung der Hypnose auf die naive ältere derselben zurückzugreifen. Nach Bernheim sind alle hypnotischen Phänomene von dem weiter nicht aufzuklärenden Moment der Suggestion abzuleiten. Wir schließen, daß die Suggestion eine Teilerscheinung des hypnotischen Zustandes ist, der in einer unbewußt erhaltenen Disposition aus der Urgeschichte der menschlichen Familie seine gute Begründung hat.</w:t>
      </w:r>
    </w:p>
    <w:p w:rsidR="00A95446" w:rsidRPr="00725852" w:rsidRDefault="00A95446" w:rsidP="00725852">
      <w:pPr>
        <w:pStyle w:val="Sansinterligne"/>
        <w:rPr>
          <w:rFonts w:ascii="Garamond" w:eastAsiaTheme="majorEastAsia" w:hAnsi="Garamond" w:cstheme="majorBidi"/>
          <w:b/>
          <w:bCs/>
          <w:color w:val="365F91" w:themeColor="accent1" w:themeShade="BF"/>
          <w:lang w:val="en-US"/>
        </w:rPr>
      </w:pPr>
      <w:r w:rsidRPr="00725852">
        <w:rPr>
          <w:rFonts w:ascii="Garamond" w:hAnsi="Garamond"/>
          <w:lang w:val="en-US"/>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XI. Ei</w:t>
        </w:r>
        <w:bookmarkStart w:id="35" w:name="Massen11"/>
        <w:bookmarkEnd w:id="35"/>
        <w:r w:rsidR="00525700" w:rsidRPr="00725852">
          <w:rPr>
            <w:rStyle w:val="Lienhypertexte"/>
            <w:rFonts w:ascii="Garamond" w:hAnsi="Garamond"/>
            <w:lang w:val="en-US"/>
          </w:rPr>
          <w:t>ne Stufe im Ich</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Wenn man, eingedenk der einander ergänzenden Beschreibungen der Autoren über Massenpsychologie, das Leben der heutigen Einzelmenschen überblickt, mag man vor den Komplikationen, die sich hier zeigen, den Mut zu einer zusammenfassenden Darstellung verlieren. Jeder Einzelne ist ein Bestandteil von vielen Massen, durch Identifizierung vielseitig gebunden und hat sein Ichideal nach den verschiedensten Vorbildern aufgebaut. Jeder Einzelne hat so Anteil an vielen Massenseelen, an der seiner Rasse, des Standes, der Glaubensgemeinschaft, der Staatlichkeit usw., und kann sich darüber hinaus zu einem Stückchen Selbständigkeit und Originalität erheben. Diese ständigen und dauerhaften Massenbildungen fallen in ihren gleichmäßig anhaltenden Wirkungen der Beobachtung weniger auf als die rasch gebildeten, vergänglichen Massen, nach denen Le Bon die glänzende psychologische Charakteristik der Massenseele entworfen hat, und in diesen lärmenden, ephemeren, den anderen gleichsam superponierten Massen be</w:t>
      </w:r>
      <w:r w:rsidRPr="00725852">
        <w:rPr>
          <w:rFonts w:ascii="Garamond" w:hAnsi="Garamond"/>
          <w:lang w:val="en-US"/>
        </w:rPr>
        <w:softHyphen/>
        <w:t>gibt sich eben das Wunder, daß dasjenige, was wir eben als die individuelle Ausbildung anerkannt haben, spurlos, wenn auch nur zeitweilig, untergeht.</w:t>
      </w:r>
    </w:p>
    <w:p w:rsidR="00525700" w:rsidRPr="00725852" w:rsidRDefault="00525700" w:rsidP="00725852">
      <w:pPr>
        <w:pStyle w:val="Sansinterligne"/>
        <w:rPr>
          <w:rFonts w:ascii="Garamond" w:hAnsi="Garamond"/>
          <w:lang w:val="en-US"/>
        </w:rPr>
      </w:pPr>
      <w:r w:rsidRPr="00725852">
        <w:rPr>
          <w:rFonts w:ascii="Garamond" w:hAnsi="Garamond"/>
          <w:lang w:val="en-US"/>
        </w:rPr>
        <w:t>Wir haben dies Wunder so verstanden, daß der Einzelne sein Ichideal aufgibt und es gegen das im Führer verkörperte Massenideal vertauscht. Das Wunder, dürfen wir berichtigend hinzufügen, ist nicht in allen Fällen gleich groß. Die Sonderung von Ich und Ichideal ist bei vielen Individuen nicht weit vorgeschritten, die beiden fallen noch leicht zusammen, das Ich hat sich oft die frühere narzißtische Selbstgefälligkeit bewahrt. Die Wahl des Führers wird durch dies Verhältnis sehr erleichtert. Er braucht oft nur die typischen Eigen</w:t>
      </w:r>
      <w:r w:rsidRPr="00725852">
        <w:rPr>
          <w:rFonts w:ascii="Garamond" w:hAnsi="Garamond"/>
          <w:lang w:val="en-US"/>
        </w:rPr>
        <w:softHyphen/>
        <w:t>schaften dieser Individuen in besonders scharfer und reiner Ausprägung zu besitzen und den Eindruck größerer Kraft und libidinöser Freiheit zu machen, so kommt ihm das Bedürfnis nach einem starken Oberhaupt entgegen und bekleidet ihn mit der Übermacht, auf die er sonst vielleicht keinen Anspruch hätte. Die anderen, deren Ichideal sich in seiner Person sonst nicht ohne Korrektur verkörpert hätte, werden dann »suggestiv«, das heißt durch Identifizierung mitgerissen.</w:t>
      </w:r>
    </w:p>
    <w:p w:rsidR="00525700" w:rsidRPr="00725852" w:rsidRDefault="00525700" w:rsidP="00725852">
      <w:pPr>
        <w:pStyle w:val="Sansinterligne"/>
        <w:rPr>
          <w:rFonts w:ascii="Garamond" w:hAnsi="Garamond"/>
          <w:lang w:val="en-US"/>
        </w:rPr>
      </w:pPr>
      <w:r w:rsidRPr="00725852">
        <w:rPr>
          <w:rFonts w:ascii="Garamond" w:hAnsi="Garamond"/>
          <w:lang w:val="en-US"/>
        </w:rPr>
        <w:t>Wir erkennen, was wir zur Aufklärung der libidinösen Struktur einer Masse beitragen konnten, führt sich auf die Unterscheidung des Ichs vom Ichideal und auf die dadurch ermöglichte doppelte Art der Bindung — Identifizierung und Einsetzung des Objekts an die Stelle des Ichideals — zurück. Die Annahme einer solchen Stufe im Ich als erster Schritt einer Ichanalyse muß ihre Rechtfertigung allmählich auf den verschiedensten Gebieten der Psycho</w:t>
      </w:r>
      <w:r w:rsidRPr="00725852">
        <w:rPr>
          <w:rFonts w:ascii="Garamond" w:hAnsi="Garamond"/>
          <w:lang w:val="en-US"/>
        </w:rPr>
        <w:softHyphen/>
        <w:t xml:space="preserve">logie erweisen. In meiner Schrift ›Zur Einführung des Narzißmus‹ (1914 </w:t>
      </w:r>
      <w:r w:rsidRPr="00725852">
        <w:rPr>
          <w:rFonts w:ascii="Garamond" w:hAnsi="Garamond"/>
          <w:i/>
          <w:iCs/>
          <w:lang w:val="en-US"/>
        </w:rPr>
        <w:t>c</w:t>
      </w:r>
      <w:r w:rsidRPr="00725852">
        <w:rPr>
          <w:rFonts w:ascii="Garamond" w:hAnsi="Garamond"/>
          <w:lang w:val="en-US"/>
        </w:rPr>
        <w:t>) habe ich zusammengetragen, was sich zunächst von pathologischem Material zur Stütze dieser Sonderung verwerten ließ. Aber man darf erwarten, daß sich ihre Bedeutung bei weiterer Vertiefung in die Psychologie der Psychosen als eine viel größere enthüllen wird. Denken wir daran, daß das Ich nun in die Beziehung eines Objekts zu dem aus ihm entwickelten Ichideal tritt und daß möglicherweise alle Wechselwirkungen, die wir zwischen äußerem Objekt und Gesamt-Ich in der Neurosenlehre kennengelernt haben, auf diesem neuen Schauplatz innerhalb des Ichs zur Wiederholung kommen.</w:t>
      </w:r>
    </w:p>
    <w:p w:rsidR="00525700" w:rsidRPr="00725852" w:rsidRDefault="00525700" w:rsidP="00725852">
      <w:pPr>
        <w:pStyle w:val="Sansinterligne"/>
        <w:rPr>
          <w:rFonts w:ascii="Garamond" w:hAnsi="Garamond"/>
          <w:lang w:val="en-US"/>
        </w:rPr>
      </w:pPr>
      <w:r w:rsidRPr="00725852">
        <w:rPr>
          <w:rFonts w:ascii="Garamond" w:hAnsi="Garamond"/>
          <w:lang w:val="en-US"/>
        </w:rPr>
        <w:t>Ich will hier nur einer der von diesem Standpunkt aus möglichen Folge</w:t>
      </w:r>
      <w:r w:rsidRPr="00725852">
        <w:rPr>
          <w:rFonts w:ascii="Garamond" w:hAnsi="Garamond"/>
          <w:lang w:val="en-US"/>
        </w:rPr>
        <w:softHyphen/>
        <w:t>rungen nachgehen und damit die Erörterung eines Problems fortsetzen, das ich an anderer Stelle ungelöst verlassen mußte.</w:t>
      </w:r>
      <w:r w:rsidRPr="00725852">
        <w:rPr>
          <w:rFonts w:ascii="Garamond" w:hAnsi="Garamond"/>
          <w:vertAlign w:val="superscript"/>
          <w:lang w:val="en-US"/>
        </w:rPr>
        <w:t>1)</w:t>
      </w:r>
      <w:r w:rsidRPr="00725852">
        <w:rPr>
          <w:rFonts w:ascii="Garamond" w:hAnsi="Garamond"/>
          <w:lang w:val="en-US"/>
        </w:rPr>
        <w:t xml:space="preserve"> Jede der seelischen Differenzierungen, die uns bekannt geworden sind, stellt eine neue Erschwerung der seelischen Funktion dar, steigert deren Labilität und kann der Ausgangspunkt eines Versagens der Funktion, einer Erkrankung werden. So haben wir mit dem Geborenwerden den Schritt vom absolut selbstgenüg</w:t>
      </w:r>
      <w:r w:rsidRPr="00725852">
        <w:rPr>
          <w:rFonts w:ascii="Garamond" w:hAnsi="Garamond"/>
          <w:lang w:val="en-US"/>
        </w:rPr>
        <w:softHyphen/>
        <w:t>samen Narzißmus zur Wahrnehmung einer veränderlichen Außenwelt und zum Beginn der Objektfindung gemacht, und damit ist verknüpft, daß wir den neuen Zustand nicht dauernd ertragen, daß wir ihn periodisch rückgängig machen und im Schlaf zum früheren Zustand der Reizlosigkeit und Objektvermeidung zurückkehren. Wir folgen dabei allerdings einem Wink der Außenwelt, die uns durch den periodischen Wechsel von Tag und Nacht zeitweilig den größten Anteil der auf uns wirkenden Reize entzieht. Keiner ähnlichen Einschränkung ist das zweite, für die Pathologie bedeutsamere Beispiel unterworfen. Im Laufe unserer Entwicklung haben wir eine Sonderung unseres seelischen Bestandes in ein kohärentes Ich und ein außerhalb dessen gelassenes, unbewußtes Verdrängtes vorgenommen, und wir wissen, daß die Stabilität dieser Neuerwerbung beständigen Erschütterungen ausgesetzt ist. Im Traum und in der Neurose pocht dieses Ausgeschlossene um Einlaß an den von Widerständen bewachten Pforten, und in wacher Gesundheit bedienen wir uns besonderer Kunstgriffe, um das Verdrängte mit Umgehung der Widerstände und unter Lustgewinn zeitweilig in unser Ich aufzunehmen. Witz und Humor, zum Teil auch das Komische überhaupt, dürfen in diesem Licht betrachtet werden. Jedem Kenner der Neurosenpsychologie werden ähnliche Beispiele von geringerer Tragweite einfallen, aber ich eile zu der beabsichtigten Anwendung.</w:t>
      </w:r>
    </w:p>
    <w:p w:rsidR="00525700" w:rsidRPr="00725852" w:rsidRDefault="00525700" w:rsidP="00725852">
      <w:pPr>
        <w:pStyle w:val="Sansinterligne"/>
        <w:rPr>
          <w:rFonts w:ascii="Garamond" w:hAnsi="Garamond"/>
          <w:lang w:val="en-US"/>
        </w:rPr>
      </w:pPr>
      <w:r w:rsidRPr="00725852">
        <w:rPr>
          <w:rFonts w:ascii="Garamond" w:hAnsi="Garamond"/>
          <w:lang w:val="en-US"/>
        </w:rPr>
        <w:lastRenderedPageBreak/>
        <w:t>Es wäre gut denkbar, daß auch die Scheidung des Ichideals vom Ich nicht dauernd vertragen wird und sich zeitweilig zurückbilden muß. Bei allen Verzichten und Einschränkungen, die dem Ich auferlegt werden, ist der periodische Durchbruch der Verbote Regel, wie ja die Institution der Feste zeigt, die ursprünglich nichts anderes sind als vom Gesetz gebotene Exzesse und dieser Befreiung auch ihren heiteren Charakter verdanken.</w:t>
      </w:r>
      <w:r w:rsidRPr="00725852">
        <w:rPr>
          <w:rFonts w:ascii="Garamond" w:hAnsi="Garamond"/>
          <w:vertAlign w:val="superscript"/>
          <w:lang w:val="en-US"/>
        </w:rPr>
        <w:t>2)</w:t>
      </w:r>
      <w:r w:rsidRPr="00725852">
        <w:rPr>
          <w:rFonts w:ascii="Garamond" w:hAnsi="Garamond"/>
          <w:lang w:val="en-US"/>
        </w:rPr>
        <w:t xml:space="preserve"> Die Saturnalien der Römer und unser heutiger Karneval treffen in diesem wesentlichen Zug mit den Festen der Primitiven zusammen, die in Ausschweifungen jeder Art mit Übertretung der sonst heiligsten Gebote auszugehen pflegen. Das Ichideal umfaßt aber die Summe aller Einschränkungen, denen das Ich sich fügen soll, und darum müßte die Einziehung des Ideals ein großartiges Fest für das Ich sein, das dann wieder einmal mit sich selbst zufrieden sein dürfte.</w:t>
      </w:r>
      <w:r w:rsidRPr="00725852">
        <w:rPr>
          <w:rFonts w:ascii="Garamond" w:hAnsi="Garamond"/>
          <w:vertAlign w:val="superscript"/>
          <w:lang w:val="en-US"/>
        </w:rPr>
        <w:t>3)</w:t>
      </w:r>
      <w:r w:rsidRPr="00725852">
        <w:rPr>
          <w:rFonts w:ascii="Garamond" w:hAnsi="Garamond"/>
          <w:lang w:val="en-US"/>
        </w:rPr>
        <w:t xml:space="preserve"> Es kommt immer zu einer Empfindung von Triumph, wenn etwas im Ich mit dem Ichideal zusammenfällt. Als Ausdruck der Spannung zwischen Ich und Ideal kann auch das Schuldgefühl (und Minderwertigkeitsgefühl) verstanden werden.</w:t>
      </w:r>
    </w:p>
    <w:p w:rsidR="00525700" w:rsidRPr="00725852" w:rsidRDefault="00525700" w:rsidP="00725852">
      <w:pPr>
        <w:pStyle w:val="Sansinterligne"/>
        <w:rPr>
          <w:rFonts w:ascii="Garamond" w:hAnsi="Garamond"/>
          <w:lang w:val="en-US"/>
        </w:rPr>
      </w:pPr>
      <w:r w:rsidRPr="00725852">
        <w:rPr>
          <w:rFonts w:ascii="Garamond" w:hAnsi="Garamond"/>
          <w:lang w:val="en-US"/>
        </w:rPr>
        <w:t>Es gibt bekanntlich Menschen, bei denen das Allgemeingefühl der Stim</w:t>
      </w:r>
      <w:r w:rsidRPr="00725852">
        <w:rPr>
          <w:rFonts w:ascii="Garamond" w:hAnsi="Garamond"/>
          <w:lang w:val="en-US"/>
        </w:rPr>
        <w:softHyphen/>
        <w:t>mung in periodischer Weise schwankt, von einer übermäßigen Gedrücktheit durch einen gewissen Mittelzustand zu einem erhöhten Wohlbefinden, und zwar treten diese Schwankungen in sehr verschieden großen Amplituden auf, vom eben Merklichen bis zu jenen Extremen, die als Melancholie und Manie höchst qualvoll oder störend in das Leben der Betroffenen eingreifen. In typischen Fällen dieser zyklischen Verstimmung scheinen äußere Veranlas</w:t>
      </w:r>
      <w:r w:rsidRPr="00725852">
        <w:rPr>
          <w:rFonts w:ascii="Garamond" w:hAnsi="Garamond"/>
          <w:lang w:val="en-US"/>
        </w:rPr>
        <w:softHyphen/>
        <w:t>sungen keine entscheidende Rolle zu spielen; von inneren Motiven findet man bei diesen Kranken nicht mehr oder nichts anderes als bei allen anderen. Man hat sich deshalb gewöhnt, diese Fälle als nicht psychogene zu beurteilen. Von anderen, ganz ähnlichen Fällen zyklischer Verstimmung, die sich aber leicht auf seelische Traumen zurückführen, soll später die Rede sein.</w:t>
      </w:r>
    </w:p>
    <w:p w:rsidR="00525700" w:rsidRPr="00725852" w:rsidRDefault="00525700" w:rsidP="00725852">
      <w:pPr>
        <w:pStyle w:val="Sansinterligne"/>
        <w:rPr>
          <w:rFonts w:ascii="Garamond" w:hAnsi="Garamond"/>
          <w:lang w:val="en-US"/>
        </w:rPr>
      </w:pPr>
      <w:r w:rsidRPr="00725852">
        <w:rPr>
          <w:rFonts w:ascii="Garamond" w:hAnsi="Garamond"/>
          <w:lang w:val="en-US"/>
        </w:rPr>
        <w:t>Die Begründung dieser spontanen Stimmungsschwankungen ist also unbekannt; in den Mechanismus der Ablösung einer Melancholie durch eine Manie fehlt uns die Einsicht. Somit wären dies die Kranken, für welche unsere Vermutung Geltung haben könnte, daß ihr Ichideal zeitweilig ins Ich aufgelöst wird, nachdem es vorher besonders strenge regiert hat.</w:t>
      </w:r>
    </w:p>
    <w:p w:rsidR="00525700" w:rsidRPr="00725852" w:rsidRDefault="00525700" w:rsidP="00725852">
      <w:pPr>
        <w:pStyle w:val="Sansinterligne"/>
        <w:rPr>
          <w:rFonts w:ascii="Garamond" w:hAnsi="Garamond"/>
          <w:lang w:val="en-US"/>
        </w:rPr>
      </w:pPr>
      <w:r w:rsidRPr="00725852">
        <w:rPr>
          <w:rFonts w:ascii="Garamond" w:hAnsi="Garamond"/>
          <w:lang w:val="en-US"/>
        </w:rPr>
        <w:t>Halten wir zur Vermeidung von Unklarheiten fest: Auf dem Boden unserer Ichanalyse ist es nicht zweifelhaft, daß beim Manischen Ich und Ichideal zusammengeflossen sind, so daß die Person sich in einer durch keine Selbstkritik gestörten Stimmung von Triumph und Selbstbeglücktheit des Wegfalles von Hemmungen, Rücksichten und Selbstvorwürfen erfreuen kann. Es ist minder evident, aber doch recht wahrscheinlich, daß das Elend des Melancholikers der Ausdruck eines scharfen Zwiespalts zwischen .beiden Instanzen des Ichs ist, in dem das übermäßig empfindliche Ideal seine Verurteilung des Ichs im Kleinheitswahn und in der Selbsterniedrigung schonungslos zum Vorschein bringt. In Frage steht nur, ob man die Ursache dieser veränderten Beziehungen zwischen Ich und Ichideal in den oben postulierten periodischen Auflehnungen gegen die neue Institution suchen oder andere Verhältnisse dafür verantwortlich machen soll.</w:t>
      </w:r>
    </w:p>
    <w:p w:rsidR="00525700" w:rsidRPr="00725852" w:rsidRDefault="00525700" w:rsidP="00725852">
      <w:pPr>
        <w:pStyle w:val="Sansinterligne"/>
        <w:rPr>
          <w:rFonts w:ascii="Garamond" w:hAnsi="Garamond"/>
          <w:lang w:val="en-US"/>
        </w:rPr>
      </w:pPr>
      <w:r w:rsidRPr="00725852">
        <w:rPr>
          <w:rFonts w:ascii="Garamond" w:hAnsi="Garamond"/>
          <w:lang w:val="en-US"/>
        </w:rPr>
        <w:t>Der Umschlag in Manie ist kein notwendiger Zug im Krankheitsbild der melancholischen Depression. Es gibt einfache, einmalige und auch periodisch wiederholte Melancholien, welche niemals dieses Schicksal haben. Anderseits gibt es Melancholien, bei denen die Veranlassung offenbar eine ätiologische Rolle spielt. Es sind die nach dem Verlust eines geliebten Objekts, sei es durch den Tod desselben oder infolge von Umständen, die zum Rückzug der Libido vom Objekt genötigt haben. Eine solche psychogene Melancholie kann ebensowohl in Manie ausgehen und dieser Zyklus mehrmals wiederholt werden wie bei einer anscheinend spontanen. Die Verhältnisse sind also ziemlich undurchsichtig, zumal da bisher nur wenige Formen und Fälle von Melancholie der psychoanalytischen Untersuchung unterzogen worden sind.</w:t>
      </w:r>
      <w:r w:rsidRPr="00725852">
        <w:rPr>
          <w:rFonts w:ascii="Garamond" w:hAnsi="Garamond"/>
          <w:vertAlign w:val="superscript"/>
          <w:lang w:val="en-US"/>
        </w:rPr>
        <w:t>4)</w:t>
      </w:r>
      <w:r w:rsidRPr="00725852">
        <w:rPr>
          <w:rFonts w:ascii="Garamond" w:hAnsi="Garamond"/>
          <w:lang w:val="en-US"/>
        </w:rPr>
        <w:t xml:space="preserve"> Wir verstehen bis jetzt nur jene Fälle, in denen das Objekt aufgegeben wurde, weil es sich der Liebe unwürdig gezeigt hatte. Es wird dann durch Identifizierung im Ich wiederaufgerichtet und vom Ichideal streng gerichtet. Die Vorwürfe und Aggressionen gegen das Objekt kommen als melancholische Selbstvorwürfe zum Vorschein.</w:t>
      </w:r>
      <w:r w:rsidRPr="00725852">
        <w:rPr>
          <w:rFonts w:ascii="Garamond" w:hAnsi="Garamond"/>
          <w:vertAlign w:val="superscript"/>
          <w:lang w:val="en-US"/>
        </w:rPr>
        <w:t>5)</w:t>
      </w:r>
    </w:p>
    <w:p w:rsidR="00525700" w:rsidRPr="00725852" w:rsidRDefault="00525700" w:rsidP="00725852">
      <w:pPr>
        <w:pStyle w:val="Sansinterligne"/>
        <w:rPr>
          <w:rFonts w:ascii="Garamond" w:hAnsi="Garamond"/>
          <w:lang w:val="en-US"/>
        </w:rPr>
      </w:pPr>
      <w:r w:rsidRPr="00725852">
        <w:rPr>
          <w:rFonts w:ascii="Garamond" w:hAnsi="Garamond"/>
          <w:lang w:val="en-US"/>
        </w:rPr>
        <w:t>Auch an eine solche Melancholie kann sich der Umschlag in Manie anschließen, so daß diese Möglichkeit einen von den übrigen Charakteren des Krankheitsbildes unabhängigen Zug darstellt.</w:t>
      </w:r>
    </w:p>
    <w:p w:rsidR="00525700" w:rsidRPr="00725852" w:rsidRDefault="00525700" w:rsidP="00725852">
      <w:pPr>
        <w:pStyle w:val="Sansinterligne"/>
        <w:rPr>
          <w:rFonts w:ascii="Garamond" w:hAnsi="Garamond"/>
          <w:lang w:val="en-US"/>
        </w:rPr>
      </w:pPr>
      <w:r w:rsidRPr="00725852">
        <w:rPr>
          <w:rFonts w:ascii="Garamond" w:hAnsi="Garamond"/>
          <w:lang w:val="en-US"/>
        </w:rPr>
        <w:t>Ich sehe indes keine Schwierigkeit, das Moment der periodischen Auflehnung des Ichs gegen das Ichideal für beide Arten der Melancholien, die psychogenen wie die spontanen, in Betracht kommen zu lassen. Bei den spontanen kann man annehmen, daß das Ichideal zur Entfaltung einer besonderen Strenge neigt, die dann automatisch seine zeitweilige Aufhebung zur Folge hat. Bei den psychogenen würde das Ich zur Auflehnung gereizt durch die Mißhandlung von Seiten seines Ideals, die es im Fall der Identifizierung mit einem verworfenen Objekt erfährt.</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lang w:val="en-US"/>
        </w:rPr>
        <w:lastRenderedPageBreak/>
        <w:t>____________________</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1)</w:t>
      </w:r>
      <w:r w:rsidRPr="00725852">
        <w:rPr>
          <w:rFonts w:ascii="Garamond" w:hAnsi="Garamond"/>
          <w:lang w:val="en-US"/>
        </w:rPr>
        <w:t xml:space="preserve"> ›Trauer und Melancholie‹ (1917 </w:t>
      </w:r>
      <w:r w:rsidRPr="00725852">
        <w:rPr>
          <w:rFonts w:ascii="Garamond" w:hAnsi="Garamond"/>
          <w:i/>
          <w:iCs/>
          <w:lang w:val="en-US"/>
        </w:rPr>
        <w:t>c</w:t>
      </w:r>
      <w:r w:rsidRPr="00725852">
        <w:rPr>
          <w:rFonts w:ascii="Garamond" w:hAnsi="Garamond"/>
          <w:lang w:val="en-US"/>
        </w:rPr>
        <w: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2)</w:t>
      </w:r>
      <w:r w:rsidRPr="00725852">
        <w:rPr>
          <w:rFonts w:ascii="Garamond" w:hAnsi="Garamond"/>
          <w:lang w:val="en-US"/>
        </w:rPr>
        <w:t xml:space="preserve"> </w:t>
      </w:r>
      <w:r w:rsidRPr="00725852">
        <w:rPr>
          <w:rFonts w:ascii="Garamond" w:hAnsi="Garamond"/>
          <w:i/>
          <w:iCs/>
          <w:lang w:val="en-US"/>
        </w:rPr>
        <w:t>Totem und Tabu</w:t>
      </w:r>
      <w:r w:rsidRPr="00725852">
        <w:rPr>
          <w:rFonts w:ascii="Garamond" w:hAnsi="Garamond"/>
          <w:lang w:val="en-US"/>
        </w:rPr>
        <w: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3)</w:t>
      </w:r>
      <w:r w:rsidRPr="00725852">
        <w:rPr>
          <w:rFonts w:ascii="Garamond" w:hAnsi="Garamond"/>
          <w:lang w:val="en-US"/>
        </w:rPr>
        <w:t xml:space="preserve"> Trotter läßt die Verdrängung vom Herdentrieb ausgehen. Es ist eher eine Übersetzung in eine andere Ausdrucksweise als ein Widerspruch, wenn ich in der ›Einführung des Narzißmus‹ gesagt habe: »Die Idealbildung wäre von seiten des Ichs die Bedingung der Verdrängung.«.</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4)</w:t>
      </w:r>
      <w:r w:rsidRPr="00725852">
        <w:rPr>
          <w:rFonts w:ascii="Garamond" w:hAnsi="Garamond"/>
          <w:lang w:val="en-US"/>
        </w:rPr>
        <w:t xml:space="preserve"> Vgl. Abraham (1912).</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5)</w:t>
      </w:r>
      <w:r w:rsidRPr="00725852">
        <w:rPr>
          <w:rFonts w:ascii="Garamond" w:hAnsi="Garamond"/>
          <w:lang w:val="en-US"/>
        </w:rPr>
        <w:t xml:space="preserve"> Genauer gesagt: sie verbergen sich hinter den Vorwürfen gegen das eigene Ich, verleihen ihnen die Festigkeit, Zähigkeit und Unabweisbarkeit, durch welche sich die Selbstvorwürfe der Melancholiker auszeichnen.</w:t>
      </w:r>
    </w:p>
    <w:p w:rsidR="00525700" w:rsidRPr="00725852" w:rsidRDefault="00525700" w:rsidP="00725852">
      <w:pPr>
        <w:pStyle w:val="Sansinterligne"/>
        <w:rPr>
          <w:rFonts w:ascii="Garamond" w:eastAsiaTheme="majorEastAsia" w:hAnsi="Garamond" w:cstheme="majorBidi"/>
          <w:b/>
          <w:bCs/>
          <w:color w:val="365F91" w:themeColor="accent1" w:themeShade="BF"/>
          <w:lang w:val="en-US"/>
        </w:rPr>
      </w:pPr>
      <w:r w:rsidRPr="00725852">
        <w:rPr>
          <w:rFonts w:ascii="Garamond" w:hAnsi="Garamond"/>
          <w:lang w:val="en-US"/>
        </w:rPr>
        <w:br w:type="page"/>
      </w:r>
    </w:p>
    <w:p w:rsidR="00525700" w:rsidRPr="00725852" w:rsidRDefault="00B437A1" w:rsidP="00725852">
      <w:pPr>
        <w:pStyle w:val="Sansinterligne"/>
        <w:rPr>
          <w:rFonts w:ascii="Garamond" w:hAnsi="Garamond"/>
          <w:lang w:val="en-US"/>
        </w:rPr>
      </w:pPr>
      <w:hyperlink w:anchor="MassenINHALT" w:history="1">
        <w:r w:rsidR="00525700" w:rsidRPr="00725852">
          <w:rPr>
            <w:rStyle w:val="Lienhypertexte"/>
            <w:rFonts w:ascii="Garamond" w:hAnsi="Garamond"/>
            <w:lang w:val="en-US"/>
          </w:rPr>
          <w:t>XII. Na</w:t>
        </w:r>
        <w:bookmarkStart w:id="36" w:name="Massen12"/>
        <w:bookmarkEnd w:id="36"/>
        <w:r w:rsidR="00525700" w:rsidRPr="00725852">
          <w:rPr>
            <w:rStyle w:val="Lienhypertexte"/>
            <w:rFonts w:ascii="Garamond" w:hAnsi="Garamond"/>
            <w:lang w:val="en-US"/>
          </w:rPr>
          <w:t>chträge</w:t>
        </w:r>
      </w:hyperlink>
    </w:p>
    <w:p w:rsidR="00525700" w:rsidRPr="00725852" w:rsidRDefault="00525700" w:rsidP="00725852">
      <w:pPr>
        <w:pStyle w:val="Sansinterligne"/>
        <w:rPr>
          <w:rFonts w:ascii="Garamond" w:hAnsi="Garamond"/>
          <w:lang w:val="en-US"/>
        </w:rPr>
      </w:pPr>
    </w:p>
    <w:p w:rsidR="00525700" w:rsidRPr="00725852" w:rsidRDefault="00525700" w:rsidP="00725852">
      <w:pPr>
        <w:pStyle w:val="Sansinterligne"/>
        <w:rPr>
          <w:rFonts w:ascii="Garamond" w:hAnsi="Garamond"/>
          <w:lang w:val="en-US"/>
        </w:rPr>
      </w:pPr>
      <w:r w:rsidRPr="00725852">
        <w:rPr>
          <w:rFonts w:ascii="Garamond" w:hAnsi="Garamond"/>
          <w:lang w:val="en-US"/>
        </w:rPr>
        <w:t>Im Laufe der Untersuchung, die jetzt zu einem vorläufigen Abschluß gekommen ist, haben sich uns verschiedene Nebenwege eröffnet, die wir zuerst vermieden haben, auf denen uns aber manche nahe Einsicht winkte. Einiges von dem so Zurückgestellten wollen wir nun nachholen.</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i/>
          <w:iCs/>
          <w:lang w:val="en-US"/>
        </w:rPr>
        <w:t>A)</w:t>
      </w:r>
      <w:r w:rsidRPr="00725852">
        <w:rPr>
          <w:rFonts w:ascii="Garamond" w:hAnsi="Garamond"/>
          <w:lang w:val="en-US"/>
        </w:rPr>
        <w:t xml:space="preserve"> Die Unterscheidung von Ichidentifizierung und Ichidealersetzung durch das Objekt findet eine interessante Erläuterung an den zwei großen künstlichen Massen, die wir eingangs studiert haben, dem Heer und der christlichen Kirche.</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Es ist evident, daß der Soldat seinen Vorgesetzten, also eigentlich den Armeeführer, zum Ideal nimmt, während er sich mit seinesgleichen identifiziert und aus dieser Ichgemeinsamkeit die Verpflichtungen der Kameradschaft zur gegenseitigen Hilfeleistung und Güterteilung ableitet. Aber er wird lächerlich, wenn er sich mit dem Feldherrn identifizieren will. Der Jäger in </w:t>
      </w:r>
      <w:r w:rsidRPr="00725852">
        <w:rPr>
          <w:rFonts w:ascii="Garamond" w:hAnsi="Garamond"/>
          <w:i/>
          <w:iCs/>
          <w:lang w:val="en-US"/>
        </w:rPr>
        <w:t>Wallensteins Lager</w:t>
      </w:r>
      <w:r w:rsidRPr="00725852">
        <w:rPr>
          <w:rFonts w:ascii="Garamond" w:hAnsi="Garamond"/>
          <w:lang w:val="en-US"/>
        </w:rPr>
        <w:t xml:space="preserve"> verspottet darob den Wachtmeister:</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lang w:val="en-US"/>
        </w:rPr>
        <w:t>Wie er räuspert und wie er spuckt,</w:t>
      </w:r>
    </w:p>
    <w:p w:rsidR="00525700" w:rsidRPr="00725852" w:rsidRDefault="00525700" w:rsidP="00725852">
      <w:pPr>
        <w:pStyle w:val="Sansinterligne"/>
        <w:rPr>
          <w:rFonts w:ascii="Garamond" w:hAnsi="Garamond"/>
          <w:lang w:val="en-US"/>
        </w:rPr>
      </w:pPr>
      <w:r w:rsidRPr="00725852">
        <w:rPr>
          <w:rFonts w:ascii="Garamond" w:hAnsi="Garamond"/>
          <w:lang w:val="en-US"/>
        </w:rPr>
        <w:t>Das habt ihr ihm glücklich abgeguckt...</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lang w:val="en-US"/>
        </w:rPr>
        <w:t>Anders in der katholischen Kirche. Jeder Christ liebt Christus als sein Ideal und fühlt sich den anderen Christen durch Identifizierung verbunden. Aber die Kirche fordert von ihm mehr. Er soll überdies sich mit Christus identifizieren und die anderen Christen lieben, wie Christus sie geliebt hat. Die Kirche fordert also an beiden Stellen die Ergänzung der durch die Massenbildung gegebenen Libidoposition. Die Identifizierung soll dort hinzukommen, wo die Objektwahl stattgefunden hat; und die Objektliebe dort, wo die Identifizierung besteht. Dieses Mehr geht offenbar über die Konstitution der Masse hinaus. Man kann ein guter Christ sein, und doch könnte einem die Idee, sich an Christi Stelle zu setzen, wie er alle Menschen liebend zu umfassen, ferneliegen. Man braucht sich ja nicht als schwacher Mensch die Seelengröße und Liebesstärke des Heilands zuzutrauen. Aber diese Weiterentwicklung der Libidoverteilung in der Masse ist wahrscheinlich das Moment, auf welches das Christentum den Anspruch gründet, eine höhere Sittlichkeit gewonnen zu haben.</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i/>
          <w:iCs/>
          <w:lang w:val="en-US"/>
        </w:rPr>
        <w:t>B)</w:t>
      </w:r>
      <w:r w:rsidRPr="00725852">
        <w:rPr>
          <w:rFonts w:ascii="Garamond" w:hAnsi="Garamond"/>
          <w:lang w:val="en-US"/>
        </w:rPr>
        <w:t xml:space="preserve"> Wir sagten, es wäre möglich, die Stelle in der seelischen Entwicklung der Menschheit anzugeben, an der sich auch für den Einzelnen der Fortschritt von der Massen- zur Individualpsychologie vollzog.</w:t>
      </w:r>
      <w:r w:rsidRPr="00725852">
        <w:rPr>
          <w:rFonts w:ascii="Garamond" w:hAnsi="Garamond"/>
          <w:vertAlign w:val="superscript"/>
          <w:lang w:val="en-US"/>
        </w:rPr>
        <w:t>1)</w:t>
      </w:r>
    </w:p>
    <w:p w:rsidR="00525700" w:rsidRPr="00725852" w:rsidRDefault="00525700" w:rsidP="00725852">
      <w:pPr>
        <w:pStyle w:val="Sansinterligne"/>
        <w:rPr>
          <w:rFonts w:ascii="Garamond" w:hAnsi="Garamond"/>
          <w:lang w:val="en-US"/>
        </w:rPr>
      </w:pPr>
      <w:r w:rsidRPr="00725852">
        <w:rPr>
          <w:rFonts w:ascii="Garamond" w:hAnsi="Garamond"/>
          <w:lang w:val="en-US"/>
        </w:rPr>
        <w:t>Dazu müssen wir wieder kurz auf den wissenschaftlichen Mythus vom Vater der Urhorde zurückgreifen. Er wurde später zum Weltschöpfer erhöht, mit Recht, denn er hatte alle die Söhne erzeugt, welche die erste Masse zusammensetzten. Er war das Ideal jedes einzelnen von ihnen, gleichzeitig gefürchtet und verehrt, was für später den Begriff des Tabu ergab. Diese Mehrheit faßte sich einmal zusammen, tötete und zerstückelte ihn. Keiner der Massensieger konnte sich an seine Stelle setzen, oder wenn es einer tat, erneuerten sich die Kämpfe, bis sie einsahen, daß sie alle auf die Erbschaft des Vaters verzichten mußten. Sie bildeten dann die totemistische Brüder</w:t>
      </w:r>
      <w:r w:rsidRPr="00725852">
        <w:rPr>
          <w:rFonts w:ascii="Garamond" w:hAnsi="Garamond"/>
          <w:lang w:val="en-US"/>
        </w:rPr>
        <w:softHyphen/>
        <w:t>gemeinschaft, alle mit gleichem Rechte und durch die Totemverbote gebunden, die das Andenken der Mordtat erhalten und sühnen sollten. Aber die Unzufriedenheit mit dem Erreichten blieb und wurde die Quelle neuer Entwicklungen. Allmählich näherten sich die zur Brudermasse Verbundenen einer Herstellung des alten Zustandes auf neuem Niveau, der Mann wurde wiederum Oberhaupt einer Familie und brach die Vorrechte der Frauenherrschaft, die sich in der vaterlosen Zeit festgesetzt hatte. Zur Entschädigung mag er damals die Muttergottheiten anerkannt haben, deren Priester kastriert wurden zur Sicherung der Mutter nach dem Beispiel, das der Vater der Urhorde gegeben hatte; doch war die neue Familie nur ein Schatten der alten, der Väter waren viele und jeder durch die Rechte des anderen beschränkt.</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Damals mag die sehnsüchtige Entbehrung einen Einzelnen bewogen haben, sich von der Masse loszulösen und sich in die Rolle des Vaters zu versetzen. Wer dies tat, war der erste epische Dichter, der Fortschritt wurde in seiner Phantasie vollzogen. Der Dichter log die Wirklichkeit um im Sinne seiner Sehnsucht. Er erfand den heroischen Mythus. Heros war, wer allein den Vater erschlagen hatte, der im Mythus noch als totemistisches Ungeheuer erschien. Wie der Vater das erste Ideal des Knaben gewesen war, so schuf jetzt der Dichter im Heros, der den Vater ersetzen will, das erste Ichideal. Die Anknüpfung an den Heros bot wahrscheinlich der jüngste Sohn, der Liebling der Mutter, den sie vor der väterlichen Eifersucht beschützt hatte und der in Urhordenzeiten der Nachfolger des Vaters geworden war. In der </w:t>
      </w:r>
      <w:r w:rsidRPr="00725852">
        <w:rPr>
          <w:rFonts w:ascii="Garamond" w:hAnsi="Garamond"/>
          <w:lang w:val="en-US"/>
        </w:rPr>
        <w:lastRenderedPageBreak/>
        <w:t>lügenhaften Umdichtung der Urzeit wurde das Weib, das der Kampfpreis und die Verlockung des Mordes gewesen war, wahrscheinlich zur Verführerin und Anstifterin der Untat.</w:t>
      </w:r>
    </w:p>
    <w:p w:rsidR="00525700" w:rsidRPr="00725852" w:rsidRDefault="00525700" w:rsidP="00725852">
      <w:pPr>
        <w:pStyle w:val="Sansinterligne"/>
        <w:rPr>
          <w:rFonts w:ascii="Garamond" w:hAnsi="Garamond"/>
          <w:lang w:val="en-US"/>
        </w:rPr>
      </w:pPr>
      <w:r w:rsidRPr="00725852">
        <w:rPr>
          <w:rFonts w:ascii="Garamond" w:hAnsi="Garamond"/>
          <w:lang w:val="en-US"/>
        </w:rPr>
        <w:t>Der Heros will die Tat allein vollbracht haben, deren sich gewiß nur die Horde als Ganzes getraut hatte. Doch hat nach einer Bemerkung von Rank das Märchen deutliche Spuren des verleugneten Sachverhaltes bewahrt. Denn dort kommt es häufig vor, daß der Held, der eine schwierige Aufgabe zu lösen hat — meist ein jüngster Sohn, nicht selten einer, der sich vor dem Vatersurrogat dumm, das heißt ungefährlich gestellt hat —, diese Aufgabe doch nur mit Hilfe einer Schar von kleinen Tieren (Bienen, Ameisen) lösen kann. Dies wären die Brüder der Urhorde, wie ja auch in der Traumsymbolik Insekten, Ungeziefer die Geschwister (verächtlich: als kleine Kinder) bedeuten. Jede der Aufgaben in Mythus und Märchen ist überdies leicht als Ersatz der heroischen Tat zu erkennen.</w:t>
      </w:r>
    </w:p>
    <w:p w:rsidR="00525700" w:rsidRPr="00725852" w:rsidRDefault="00525700" w:rsidP="00725852">
      <w:pPr>
        <w:pStyle w:val="Sansinterligne"/>
        <w:rPr>
          <w:rFonts w:ascii="Garamond" w:hAnsi="Garamond"/>
          <w:lang w:val="en-US"/>
        </w:rPr>
      </w:pPr>
      <w:r w:rsidRPr="00725852">
        <w:rPr>
          <w:rFonts w:ascii="Garamond" w:hAnsi="Garamond"/>
          <w:lang w:val="en-US"/>
        </w:rPr>
        <w:t>Der Mythus ist also der Schritt, mit dem der Einzelne aus der Massen</w:t>
      </w:r>
      <w:r w:rsidRPr="00725852">
        <w:rPr>
          <w:rFonts w:ascii="Garamond" w:hAnsi="Garamond"/>
          <w:lang w:val="en-US"/>
        </w:rPr>
        <w:softHyphen/>
        <w:t>psychologie austritt. Der erste Mythus war sicherlich der psychologische, der Heroenmythus; der erklärende Naturmythus muß weit später aufgekommen sein. Der Dichter, der diesen Schritt getan und sich so in der Phantasie von der Masse gelöst hatte, weiß nach einer weiteren Bemerkung von Rank doch in der Wirklichkeit die Rückkehr zu ihr zu finden. Denn er geht hin und erzählt dieser Masse die Taten seines Helden, die er erfunden. Dieser Held ist im Grunde kein anderer als er selbst. Er senkt sich somit zur Realität herab und hebt seine Hörer zur Phantasie empor. Die Hörer aber verstehen den Dichter, sie können sich auf Grund der nämlichen sehnsüchtigen Beziehung zum Urvater mit dem Heros identifizieren.</w:t>
      </w:r>
      <w:r w:rsidRPr="00725852">
        <w:rPr>
          <w:rFonts w:ascii="Garamond" w:hAnsi="Garamond"/>
          <w:vertAlign w:val="superscript"/>
          <w:lang w:val="en-US"/>
        </w:rPr>
        <w:t>2)</w:t>
      </w:r>
    </w:p>
    <w:p w:rsidR="00525700" w:rsidRPr="00725852" w:rsidRDefault="00525700" w:rsidP="00725852">
      <w:pPr>
        <w:pStyle w:val="Sansinterligne"/>
        <w:rPr>
          <w:rFonts w:ascii="Garamond" w:hAnsi="Garamond"/>
          <w:lang w:val="en-US"/>
        </w:rPr>
      </w:pPr>
      <w:r w:rsidRPr="00725852">
        <w:rPr>
          <w:rFonts w:ascii="Garamond" w:hAnsi="Garamond"/>
          <w:lang w:val="en-US"/>
        </w:rPr>
        <w:t>Die Lüge des heroischen Mythus gipfelt in der Vergottung des Heros. Vielleicht war der vergottete Heros früher als der Vatergott, der Vorläufer der Wiederkehr des Urvaters als Gottheit. Die Götterreihe liefe dann chronologisch so: Muttergöttin-Heros-Vatergott. Aber erst mit der Erhöhung des nie vergessenen Urvaters erhielt die Gottheit die Züge, die wir noch heute an ihr kennen.</w:t>
      </w:r>
      <w:r w:rsidRPr="00725852">
        <w:rPr>
          <w:rFonts w:ascii="Garamond" w:hAnsi="Garamond"/>
          <w:vertAlign w:val="superscript"/>
          <w:lang w:val="en-US"/>
        </w:rPr>
        <w:t>3)</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i/>
          <w:iCs/>
          <w:lang w:val="en-US"/>
        </w:rPr>
        <w:t>C)</w:t>
      </w:r>
      <w:r w:rsidRPr="00725852">
        <w:rPr>
          <w:rFonts w:ascii="Garamond" w:hAnsi="Garamond"/>
          <w:lang w:val="en-US"/>
        </w:rPr>
        <w:t xml:space="preserve"> Wir haben in dieser Abhandlung viel von direkten und von zielgehemm</w:t>
      </w:r>
      <w:r w:rsidRPr="00725852">
        <w:rPr>
          <w:rFonts w:ascii="Garamond" w:hAnsi="Garamond"/>
          <w:lang w:val="en-US"/>
        </w:rPr>
        <w:softHyphen/>
        <w:t>ten Sexualtrieben gesprochen und dürfen hoffen, daß diese Unterscheidung nicht auf großen Widerstand stoßen wird. Doch wird eine eingehende Erörterung darüber nicht unwillkommen sein, selbst wenn sie nur wiederholt, was zum großen Teil bereits an früheren Stellen gesagt worden ist.</w:t>
      </w:r>
    </w:p>
    <w:p w:rsidR="00525700" w:rsidRPr="00725852" w:rsidRDefault="00525700" w:rsidP="00725852">
      <w:pPr>
        <w:pStyle w:val="Sansinterligne"/>
        <w:rPr>
          <w:rFonts w:ascii="Garamond" w:hAnsi="Garamond"/>
          <w:lang w:val="en-US"/>
        </w:rPr>
      </w:pPr>
      <w:r w:rsidRPr="00725852">
        <w:rPr>
          <w:rFonts w:ascii="Garamond" w:hAnsi="Garamond"/>
          <w:lang w:val="en-US"/>
        </w:rPr>
        <w:t>Das erste, aber auch beste Beispiel zielgehemmter Sexualtriebe hat uns die Libidoentwicklung des Kindes kennen gelehrt. Alle die Gefühle, welche das Kind für seine Eltern und Pflegepersonen empfindet, setzen sich ohne Schranke in die Wünsche fort, welche dem Sexualstreben des Kindes Ausdruck geben. Das Kind verlangt von diesen geliebten Personen alle Zärtlichkeiten, die ihm bekannt sind, will sie küssen, berühren, beschauen, ist neugierig, ihre Genitalien zu sehen und bei ihren intimen Exkretionsver</w:t>
      </w:r>
      <w:r w:rsidRPr="00725852">
        <w:rPr>
          <w:rFonts w:ascii="Garamond" w:hAnsi="Garamond"/>
          <w:lang w:val="en-US"/>
        </w:rPr>
        <w:softHyphen/>
        <w:t xml:space="preserve">richtungen anwesend zu sein, es verspricht, die Mutter oder Pflegerin zu heiraten, was immer es sich darunter vorstellen mag, setzt sich vor, dem Vater ein Kind zu gebären usw. Direkte Beobachtung sowie die nachträgliche analytische Durchleuchtung der Kindheitsreste lassen über das unmittelbare Zusammenfließen zärtlicher und eifersüchtiger Gefühle und sexueller Absichten keinen Zweifel und legen uns dar, in wie gründlicher Weise das Kind die geliebte Person zum Objekt aller seiner noch nicht richtig zentrierten Sexualbestrebungen macht. (Vgl. </w:t>
      </w:r>
      <w:r w:rsidRPr="00725852">
        <w:rPr>
          <w:rFonts w:ascii="Garamond" w:hAnsi="Garamond"/>
          <w:i/>
          <w:iCs/>
          <w:lang w:val="en-US"/>
        </w:rPr>
        <w:t>Sexualtheorie</w:t>
      </w:r>
      <w:r w:rsidRPr="00725852">
        <w:rPr>
          <w:rFonts w:ascii="Garamond" w:hAnsi="Garamond"/>
          <w:lang w:val="en-US"/>
        </w:rPr>
        <w:t>.)</w:t>
      </w:r>
    </w:p>
    <w:p w:rsidR="00525700" w:rsidRPr="00725852" w:rsidRDefault="00525700" w:rsidP="00725852">
      <w:pPr>
        <w:pStyle w:val="Sansinterligne"/>
        <w:rPr>
          <w:rFonts w:ascii="Garamond" w:hAnsi="Garamond"/>
          <w:lang w:val="en-US"/>
        </w:rPr>
      </w:pPr>
      <w:r w:rsidRPr="00725852">
        <w:rPr>
          <w:rFonts w:ascii="Garamond" w:hAnsi="Garamond"/>
          <w:lang w:val="en-US"/>
        </w:rPr>
        <w:t>Diese erste Liebesgestaltung des Kindes, die typisch dem Ödipuskomplex zugeordnet ist, erliegt dann, wie bekannt, vom Beginn der Latenzzeit an einem Verdrängungsschub. Was von ihr erübrigt, zeigt sich uns als rein zärtliche Gefühlsbindung, die denselben Personen gilt, aber nicht mehr als »sexuell« bezeichnet werden soll. Die Psychoanalyse, welche die Tiefen des Seelenlebens durchleuchtet, hat es nicht schwer aufzuweisen, daß auch die sexuellen Bindungen der ersten Kinderjahre noch fortbestehen, aber verdrängt und unbewußt. Sie gibt uns den Mut zu behaupten, daß überall, wo wir ein zärtliches Gefühl begegnen, dies der Nachfolger einer voll »sinnlichen« Objektbindung an die betreffende Person oder ihr Vorbild (ihre Imago) ist. Sie kann uns freilich nicht ohne besondere Untersuchung verraten, ob diese vorgängige sexuelle Vollströmung in einem gegebenen Fall noch als verdrängt besteht oder ob sie bereits aufgezehrt ist. Um es noch schärfer zu fassen: es steht fest, daß sie als Form und Möglichkeit noch vorhanden ist und jederzeit wieder durch Regression besetzt, aktiviert werden kann; es fragt sich nur und ist nicht immer zu entscheiden, welche Besetzung und Wirksamkeit sie gegenwärtig noch hat. Man muß sich hiebei gleichmäßig vor zwei Fehlerquellen in acht nehmen, vor der Scylla der Unterschätzung des verdrängten Unbewußten, wie vor der Charybdis der Neigung, das Normale durchaus mit dem Maß des Pathologischen zu messen.</w:t>
      </w:r>
    </w:p>
    <w:p w:rsidR="00525700" w:rsidRPr="00725852" w:rsidRDefault="00525700" w:rsidP="00725852">
      <w:pPr>
        <w:pStyle w:val="Sansinterligne"/>
        <w:rPr>
          <w:rFonts w:ascii="Garamond" w:hAnsi="Garamond"/>
          <w:lang w:val="en-US"/>
        </w:rPr>
      </w:pPr>
      <w:r w:rsidRPr="00725852">
        <w:rPr>
          <w:rFonts w:ascii="Garamond" w:hAnsi="Garamond"/>
          <w:lang w:val="en-US"/>
        </w:rPr>
        <w:t>Der Psychologie, welche die Tiefe des Verdrängten nicht durchdringen will oder kann, stellen sich die zärtlichen Gefühlsbindungen jedenfalls als Ausdruck von Strebungen dar, die nicht nach dem Sexuellen zielen, wenn</w:t>
      </w:r>
      <w:r w:rsidRPr="00725852">
        <w:rPr>
          <w:rFonts w:ascii="Garamond" w:hAnsi="Garamond"/>
          <w:lang w:val="en-US"/>
        </w:rPr>
        <w:softHyphen/>
        <w:t>gleich sie aus solchen, die danach gestrebt haben, hervorgegangen sind.</w:t>
      </w:r>
      <w:r w:rsidRPr="00725852">
        <w:rPr>
          <w:rFonts w:ascii="Garamond" w:hAnsi="Garamond"/>
          <w:vertAlign w:val="superscript"/>
          <w:lang w:val="en-US"/>
        </w:rPr>
        <w:t>4)</w:t>
      </w:r>
    </w:p>
    <w:p w:rsidR="00525700" w:rsidRPr="00725852" w:rsidRDefault="00525700" w:rsidP="00725852">
      <w:pPr>
        <w:pStyle w:val="Sansinterligne"/>
        <w:rPr>
          <w:rFonts w:ascii="Garamond" w:hAnsi="Garamond"/>
          <w:lang w:val="en-US"/>
        </w:rPr>
      </w:pPr>
      <w:r w:rsidRPr="00725852">
        <w:rPr>
          <w:rFonts w:ascii="Garamond" w:hAnsi="Garamond"/>
          <w:lang w:val="en-US"/>
        </w:rPr>
        <w:lastRenderedPageBreak/>
        <w:t>Wir sind berechtigt zu sagen, sie sind von diesen sexuellen Zielen abge</w:t>
      </w:r>
      <w:r w:rsidRPr="00725852">
        <w:rPr>
          <w:rFonts w:ascii="Garamond" w:hAnsi="Garamond"/>
          <w:lang w:val="en-US"/>
        </w:rPr>
        <w:softHyphen/>
        <w:t xml:space="preserve">lenkt worden, wenngleich es seine Schwierigkeiten hat, in der Darstellung einer solchen Zielablenkung den Anforderungen der Metapsychologie zu entsprechen. Übrigens halten diese zielgehemmten Triebe immer noch einige der ursprünglichen Sexualziele fest; auch der zärtlich Anhängliche, auch der Freund, der Verehrer sucht die körperliche Nähe und den Anblick der nur mehr im </w:t>
      </w:r>
      <w:r w:rsidRPr="00725852">
        <w:rPr>
          <w:rFonts w:ascii="Garamond" w:hAnsi="Garamond"/>
          <w:i/>
          <w:iCs/>
          <w:lang w:val="en-US"/>
        </w:rPr>
        <w:t>»paulinischen«</w:t>
      </w:r>
      <w:r w:rsidRPr="00725852">
        <w:rPr>
          <w:rFonts w:ascii="Garamond" w:hAnsi="Garamond"/>
          <w:lang w:val="en-US"/>
        </w:rPr>
        <w:t xml:space="preserve"> Sinne geliebten Person. Wenn wir es wollen, können wir in dieser Zielablenkung einen Beginn von </w:t>
      </w:r>
      <w:r w:rsidRPr="00725852">
        <w:rPr>
          <w:rFonts w:ascii="Garamond" w:hAnsi="Garamond"/>
          <w:i/>
          <w:iCs/>
          <w:lang w:val="en-US"/>
        </w:rPr>
        <w:t>Sublimierung</w:t>
      </w:r>
      <w:r w:rsidRPr="00725852">
        <w:rPr>
          <w:rFonts w:ascii="Garamond" w:hAnsi="Garamond"/>
          <w:lang w:val="en-US"/>
        </w:rPr>
        <w:t xml:space="preserve"> der Sexualtriebe anerkennen oder aber die Grenze für letztere noch ferner stecken. Die zielgehemmten Sexualtriebe haben vor den ungehemmten einen großen funktionellen Vorteil. Da sie einer eigentlich vollen Befriedigung nicht fähig sind, eignen sie sich besonders dazu, dauernde Bindungen zu schaffen, während die direkt sexuellen jedesmal durch die Befriedigung ihrer Energie verlustig werden und auf Erneuerung durch Wiederanhäufung der sexuellen Libido warten müssen, wobei inzwischen das Objekt gewechselt werden kann. Die gehemmten Triebe sind jedes Maßes von Vermengung mit den ungehemmten fähig, können sich in sie rückverwandeln, wie sie aus ihnen hervorgegangen sind. Es ist bekannt, wie leicht sich aus Gefühlsbeziehungen freundschaftlicher Art, auf Anerkennung und Bewunderung gegründet, erotische Wünsche entwickeln (das Molièresche: </w:t>
      </w:r>
      <w:r w:rsidRPr="00725852">
        <w:rPr>
          <w:rFonts w:ascii="Garamond" w:hAnsi="Garamond"/>
          <w:i/>
          <w:iCs/>
          <w:lang w:val="en-US"/>
        </w:rPr>
        <w:t>»Embrassez-moi pour l'amour du Grec«</w:t>
      </w:r>
      <w:r w:rsidRPr="00725852">
        <w:rPr>
          <w:rFonts w:ascii="Garamond" w:hAnsi="Garamond"/>
          <w:lang w:val="en-US"/>
        </w:rPr>
        <w:t xml:space="preserve">), zwischen Meister und Schülerin, Künstler und entzückter Zuhörerin, zumal bei Frauen. Ja, die Entstehung solcher zuerst absichtsloser Gefühlsbindungen gibt direkt einen vielbegangenen Weg zur sexuellen Objektwahl. In der </w:t>
      </w:r>
      <w:r w:rsidRPr="00725852">
        <w:rPr>
          <w:rFonts w:ascii="Garamond" w:hAnsi="Garamond"/>
          <w:i/>
          <w:iCs/>
          <w:lang w:val="en-US"/>
        </w:rPr>
        <w:t>Frömmigkeit des Grafen von Zinzendorf</w:t>
      </w:r>
      <w:r w:rsidRPr="00725852">
        <w:rPr>
          <w:rFonts w:ascii="Garamond" w:hAnsi="Garamond"/>
          <w:lang w:val="en-US"/>
        </w:rPr>
        <w:t xml:space="preserve"> hat Pfister ein überdeutliches, gewiß nicht vereinzeltes Beispiel dafür aufgezeigt, wie nahe es liegt, daß auch intensive religiöse Bindung in brünstige sexuelle Erregung zurückschlägt. Anderseits ist auch die Umwandlung direkter, an sich kurzlebiger, sexueller Strebungen in dauernde, bloß zärtliche Bindung etwas sehr Gewöhnliches, und die Konsolidierung einer aus verliebter Leidenschaft geschlossenen Ehe beruht zu einem großen Teil auf diesem Vorgang.</w:t>
      </w:r>
    </w:p>
    <w:p w:rsidR="00525700" w:rsidRPr="00725852" w:rsidRDefault="00525700" w:rsidP="00725852">
      <w:pPr>
        <w:pStyle w:val="Sansinterligne"/>
        <w:rPr>
          <w:rFonts w:ascii="Garamond" w:hAnsi="Garamond"/>
          <w:lang w:val="en-US"/>
        </w:rPr>
      </w:pPr>
      <w:r w:rsidRPr="00725852">
        <w:rPr>
          <w:rFonts w:ascii="Garamond" w:hAnsi="Garamond"/>
          <w:lang w:val="en-US"/>
        </w:rPr>
        <w:t>Es wird uns natürlich nicht verwundern zu hören, daß die zielgehemmten Sexualstrebungen sich aus den direkt sexuellen dann ergeben, wenn sich der Erreichung der Sexualziele innere oder äußere Hindernisse entgegen</w:t>
      </w:r>
      <w:r w:rsidRPr="00725852">
        <w:rPr>
          <w:rFonts w:ascii="Garamond" w:hAnsi="Garamond"/>
          <w:lang w:val="en-US"/>
        </w:rPr>
        <w:softHyphen/>
        <w:t>stellen. Die Verdrängung der Latenzzeit ist ein solches inneres — oder besser: innerlich gewordenes — Hindernis. Vom Vater der Urhorde haben wir angenommen, daß er durch seine sexuelle Intoleranz alle Söhne zur Abstinenz nötigt und sie so in zielgehemmte Bindungen drängt, während er sich selbst freien Sexualgenuß vorbehält und somit ungebunden bleibt. Alle Bindungen, auf denen die Masse beruht, sind von der Art der zielgehemmten Triebe. Damit aber haben wir uns der Erörterung eines neuen Themas genähert, welches die Beziehung der direkten Sexualtriebe zur Massenbildung behandelt.</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i/>
          <w:iCs/>
          <w:lang w:val="en-US"/>
        </w:rPr>
        <w:t>D)</w:t>
      </w:r>
      <w:r w:rsidRPr="00725852">
        <w:rPr>
          <w:rFonts w:ascii="Garamond" w:hAnsi="Garamond"/>
          <w:lang w:val="en-US"/>
        </w:rPr>
        <w:t xml:space="preserve"> Wir sind bereits durch die beiden letzten Bemerkungen darauf vorbereitet zu finden, daß die direkten Sexualstrebungen der Massenbildung ungünstig sind. Es hat zwar auch in der Entwicklungsgeschichte der Familie Massenbeziehungen der sexuellen Liebe gegeben (die Gruppenehe), aber je bedeutungsvoller die Geschlechtsliebe für das Ich wurde, je mehr Verliebtheit sie entwickelte, desto eindringlicher forderte sie die Einschränkung auf zwei Personen — </w:t>
      </w:r>
      <w:r w:rsidRPr="00725852">
        <w:rPr>
          <w:rFonts w:ascii="Garamond" w:hAnsi="Garamond"/>
          <w:i/>
          <w:iCs/>
          <w:lang w:val="en-US"/>
        </w:rPr>
        <w:t>una cum uno</w:t>
      </w:r>
      <w:r w:rsidRPr="00725852">
        <w:rPr>
          <w:rFonts w:ascii="Garamond" w:hAnsi="Garamond"/>
          <w:lang w:val="en-US"/>
        </w:rPr>
        <w:t xml:space="preserve"> —, die durch die Natur des Genitalzieles vorgezeichnet ist. Die polygamen Neigungen wurden darauf angewiesen, sich im Nacheinander des Objektwechsels zu befriedigen.</w:t>
      </w:r>
    </w:p>
    <w:p w:rsidR="00525700" w:rsidRPr="00725852" w:rsidRDefault="00525700" w:rsidP="00725852">
      <w:pPr>
        <w:pStyle w:val="Sansinterligne"/>
        <w:rPr>
          <w:rFonts w:ascii="Garamond" w:hAnsi="Garamond"/>
          <w:lang w:val="en-US"/>
        </w:rPr>
      </w:pPr>
      <w:r w:rsidRPr="00725852">
        <w:rPr>
          <w:rFonts w:ascii="Garamond" w:hAnsi="Garamond"/>
          <w:lang w:val="en-US"/>
        </w:rPr>
        <w:t>Die beiden zum Zweck der Sexualbefriedigung aufeinander angewiesenen Personen demonstrieren gegen den Herdentrieb, das Massengefühl, indem sie die Einsamkeit aufsuchen. Je verliebter sie sind, desto vollkommener genügen sie einander. Die Ablehnung des Einflusses der Masse äußert sich als Schamgefühl. Die äußerst heftigen Gefühlsregungen der Eifersucht werden aufgeboten, um die sexuelle Objektwahl gegen die Beeinträchtigung durch eine Massenbindung zu schützen. Nur wenn der zärtliche, also persönliche Faktor der Liebesbeziehung völlig hinter dem sinnlichen zurücktritt, wird der Liebesverkehr eines Paares in Gegenwart anderer oder gleichzeitige Sexualakte innerhalb einer Gruppe wie bei der Orgie möglich. Damit ist aber eine Regression zu einem frühen Zustand der Geschlechts</w:t>
      </w:r>
      <w:r w:rsidRPr="00725852">
        <w:rPr>
          <w:rFonts w:ascii="Garamond" w:hAnsi="Garamond"/>
          <w:lang w:val="en-US"/>
        </w:rPr>
        <w:softHyphen/>
        <w:t>beziehungen gegeben, in dem die Verliebtheit noch keine Rolle spielte, die Sexualobjekte einander gleichwertig erachtet wurden, etwa im Sinne von dem bösen Wort Bernard Shaws: Verliebtsein heiße, den Unterschied zwischen einem Weib und einem anderen ungebührlich überschätzen.</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Es sind reichlich Anzeichen dafür vorhanden, daß die Verliebtheit erst spät in die Sexualbeziehungen zwischen Mann und Weib Eingang fand, so daß auch die Gegnerschaft zwischen Geschlechtsliebe und Massenbindung eine spät entwickelte ist. Nun kann es den Anschein haben, als ob diese Annahme unverträglich mit unserem Mythus von der Urfamilie wäre. Die Brüderschar soll doch durch die Liebe zu den Müttern und Schwestern zum Vatermord getrieben worden sein, und es ist schwer, sich diese Liebe anders denn als eine ungebrochene, primitive, das heißt als innige Vereinigung von zärtlicher und sinnlicher vorzustellen. Allein bei weiterer Überlegung löst sich dieser Einwand in eine Bestätigung auf. </w:t>
      </w:r>
      <w:r w:rsidRPr="00725852">
        <w:rPr>
          <w:rFonts w:ascii="Garamond" w:hAnsi="Garamond"/>
          <w:lang w:val="en-US"/>
        </w:rPr>
        <w:lastRenderedPageBreak/>
        <w:t>Eine der Reaktionen auf den Vatermord war doch die Einrichtung der totemistischen Exogamie, das Verbot jeder sexuellen Beziehung mit den von der Kindheit an zärtlich geliebten Frauen der Familie. Damit war der Keil zwischen die zärtlichen und sinnlichen Regungen des Mannes eingetrieben, der heute noch in seinem Liebesleben festsitzt.</w:t>
      </w:r>
      <w:r w:rsidRPr="00725852">
        <w:rPr>
          <w:rFonts w:ascii="Garamond" w:hAnsi="Garamond"/>
          <w:vertAlign w:val="superscript"/>
          <w:lang w:val="en-US"/>
        </w:rPr>
        <w:t>5)</w:t>
      </w:r>
      <w:r w:rsidRPr="00725852">
        <w:rPr>
          <w:rFonts w:ascii="Garamond" w:hAnsi="Garamond"/>
          <w:lang w:val="en-US"/>
        </w:rPr>
        <w:t xml:space="preserve"> Infolge dieser Exogamie mußten sich die sinnlichen Bedürfnisse der Männer mit fremden und ungeliebten Frauen begnügen.</w:t>
      </w:r>
    </w:p>
    <w:p w:rsidR="00525700" w:rsidRPr="00725852" w:rsidRDefault="00525700" w:rsidP="00725852">
      <w:pPr>
        <w:pStyle w:val="Sansinterligne"/>
        <w:rPr>
          <w:rFonts w:ascii="Garamond" w:hAnsi="Garamond"/>
          <w:lang w:val="en-US"/>
        </w:rPr>
      </w:pPr>
      <w:r w:rsidRPr="00725852">
        <w:rPr>
          <w:rFonts w:ascii="Garamond" w:hAnsi="Garamond"/>
          <w:lang w:val="en-US"/>
        </w:rPr>
        <w:t>In den großen, künstlichen Massen, Kirche und Heer, ist für das Weib als Sexualobjekt kein Platz. Die Liebesbeziehung zwischen Mann und Weib bleibt außerhalb dieser Organisationen. Auch wo sich Massen bilden, die aus Männern und Weibern gemischt sind, spielt der Geschlechtsunterschied keine Rolle. Es hat kaum einen Sinn zu fragen, ob die Libido, welche die Massen zusammenhält, homosexueller oder heterosexueller Natur ist, denn sie ist nicht nach den Geschlechtern differenziert und sieht insbesondere von den Zielen der Genitalorganisation der Libido völlig ab.</w:t>
      </w:r>
    </w:p>
    <w:p w:rsidR="00525700" w:rsidRPr="00725852" w:rsidRDefault="00525700" w:rsidP="00725852">
      <w:pPr>
        <w:pStyle w:val="Sansinterligne"/>
        <w:rPr>
          <w:rFonts w:ascii="Garamond" w:hAnsi="Garamond"/>
          <w:lang w:val="en-US"/>
        </w:rPr>
      </w:pPr>
      <w:r w:rsidRPr="00725852">
        <w:rPr>
          <w:rFonts w:ascii="Garamond" w:hAnsi="Garamond"/>
          <w:lang w:val="en-US"/>
        </w:rPr>
        <w:t>Die direkten Sexualstrebungen erhalten auch für das sonst in der Masse aufgehende Einzelwesen ein Stück individueller Betätigung. Wo sie überstark werden, zersetzen sie jede Massenbildung. Die katholische Kirche hatte die besten Motive, ihren Gläubigen die Ehelosigkeit zu empfehlen und ihren Priestern das Zölibat aufzuerlegen, aber die Verliebtheit hat oft auch Geistliche zum Austritt aus der Kirche getrieben. In gleicher Weise durchbricht die Liebe zum Weibe die Massenbindungen der Rasse, der nationalen Absonderung und der sozialen Klassenordnung und vollbringt damit kulturell wichtige Leistungen. Es scheint gesichert, daß sich die homosexuelle Liebe mit den Massenbindungen weit besser verträgt, auch wo sie als ungehemmte Sexualstrebung auftritt; eine merkwürdige Tatsache, deren Aufklärung weit führen dürfte.</w:t>
      </w:r>
    </w:p>
    <w:p w:rsidR="00525700" w:rsidRPr="00725852" w:rsidRDefault="00525700" w:rsidP="00725852">
      <w:pPr>
        <w:pStyle w:val="Sansinterligne"/>
        <w:rPr>
          <w:rFonts w:ascii="Garamond" w:hAnsi="Garamond"/>
          <w:lang w:val="en-US"/>
        </w:rPr>
      </w:pPr>
      <w:r w:rsidRPr="00725852">
        <w:rPr>
          <w:rFonts w:ascii="Garamond" w:hAnsi="Garamond"/>
          <w:lang w:val="en-US"/>
        </w:rPr>
        <w:t>Die psychoanalytische Untersuchung der Psychoneurosen hat uns gelehrt, daß deren Symptome von verdrängten, aber aktiv gebliebenen direkten Sexualstrebungen abzuleiten sind. Man kann diese Formel vervollständigen, wenn man hinzufügt: oder von solchen zielgehemmten, bei denen die Hemmung nicht durchgehends gelungen ist oder einer Rückkehr zum verdrängten Sexualziel den Platz geräumt hat. Diesem Verhältnis entspricht, daß die Neurose asozial macht, den von ihr Betroffenen aus den habituellen Massenbildungen heraushebt. Man kann sagen, die Neurose wirkt in ähnlicher Weise zersetzend auf die Masse wie die Verliebtheit. Dafür kann man sehen, daß dort, wo ein kräftiger Anstoß zur Massenbildung erfolgt ist, die Neurosen zurücktreten und wenigstens für eine Zeitlang schwinden können. Man hat auch mit Recht versucht, diesen Widerstreit von Neurose und Massenbildung therapeutisch zu verwerten. Auch wer das Schwinden der religiösen Illusionen in der heutigen Kulturwelt nicht bedauert, wird zuge</w:t>
      </w:r>
      <w:r w:rsidRPr="00725852">
        <w:rPr>
          <w:rFonts w:ascii="Garamond" w:hAnsi="Garamond"/>
          <w:lang w:val="en-US"/>
        </w:rPr>
        <w:softHyphen/>
        <w:t>stehen, daß sie den durch sie Gebundenen den stärksten Schutz gegen die Gefahr der Neurose boten, solange sie selbst noch in Kraft waren. Es ist auch nicht schwer, in all den Bindungen an mystisch-religiöse oder philosophisch-mystische Sekten und Gemeinschaften den Ausdruck von Schiefheilungen mannigfaltiger Neurosen zu erkennen. Das alles hängt mit dem Gegensatz der direkten und zielgehemmten Sexualstrebungen zusammen.</w:t>
      </w:r>
    </w:p>
    <w:p w:rsidR="00525700" w:rsidRPr="00725852" w:rsidRDefault="00525700" w:rsidP="00725852">
      <w:pPr>
        <w:pStyle w:val="Sansinterligne"/>
        <w:rPr>
          <w:rFonts w:ascii="Garamond" w:hAnsi="Garamond"/>
          <w:lang w:val="en-US"/>
        </w:rPr>
      </w:pPr>
      <w:r w:rsidRPr="00725852">
        <w:rPr>
          <w:rFonts w:ascii="Garamond" w:hAnsi="Garamond"/>
          <w:lang w:val="en-US"/>
        </w:rPr>
        <w:t>Sich selbst überlassen, ist der Neurotiker genötigt, sich die großen Massenbildungen, von denen er ausgeschlossen ist, durch seine Symptombildungen zu ersetzen. Er schafft sich seine eigene Phantasiewelt, seine Religion, sein Wahnsystem und wiederholt so die Institutionen der Menschheit in einer Verzerrung, welche deutlich den übermächtigen Beitrag der direkten Sexualstrebungen bezeugt.</w:t>
      </w:r>
      <w:r w:rsidRPr="00725852">
        <w:rPr>
          <w:rFonts w:ascii="Garamond" w:hAnsi="Garamond"/>
          <w:vertAlign w:val="superscript"/>
          <w:lang w:val="en-US"/>
        </w:rPr>
        <w:t>6)</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i/>
          <w:iCs/>
          <w:lang w:val="en-US"/>
        </w:rPr>
        <w:t>E)</w:t>
      </w:r>
      <w:r w:rsidRPr="00725852">
        <w:rPr>
          <w:rFonts w:ascii="Garamond" w:hAnsi="Garamond"/>
          <w:lang w:val="en-US"/>
        </w:rPr>
        <w:t xml:space="preserve"> Fügen wir zum Schluß eine vergleichende Würdigung der Zustände, die uns beschäftigt haben, vom Standpunkt der Libidotheorie an, der Verliebtheit, Hypnose, Massenbildung und der Neurose.</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Die </w:t>
      </w:r>
      <w:r w:rsidRPr="00725852">
        <w:rPr>
          <w:rFonts w:ascii="Garamond" w:hAnsi="Garamond"/>
          <w:i/>
          <w:iCs/>
          <w:lang w:val="en-US"/>
        </w:rPr>
        <w:t>Verliebtheit</w:t>
      </w:r>
      <w:r w:rsidRPr="00725852">
        <w:rPr>
          <w:rFonts w:ascii="Garamond" w:hAnsi="Garamond"/>
          <w:lang w:val="en-US"/>
        </w:rPr>
        <w:t xml:space="preserve"> beruht auf dem gleichzeitigen Vorhandensein von direkten und von zielgehemmten Sexualstrebungen, wobei das Objekt einen Teil der narzißtischen Ichlibido auf sich zieht. Sie hat nur Raum für das Ich und das Objekt.</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Die </w:t>
      </w:r>
      <w:r w:rsidRPr="00725852">
        <w:rPr>
          <w:rFonts w:ascii="Garamond" w:hAnsi="Garamond"/>
          <w:i/>
          <w:iCs/>
          <w:lang w:val="en-US"/>
        </w:rPr>
        <w:t>Hypnose</w:t>
      </w:r>
      <w:r w:rsidRPr="00725852">
        <w:rPr>
          <w:rFonts w:ascii="Garamond" w:hAnsi="Garamond"/>
          <w:lang w:val="en-US"/>
        </w:rPr>
        <w:t xml:space="preserve"> teilt mit der Verliebtheit die Einschränkung auf diese beiden Personen, aber sie beruht durchaus auf zielgehemmten Sexualstrebungen und setzt das Objekt an die Stelle das Ichideals.</w:t>
      </w:r>
    </w:p>
    <w:p w:rsidR="00525700" w:rsidRPr="00725852" w:rsidRDefault="00525700" w:rsidP="00725852">
      <w:pPr>
        <w:pStyle w:val="Sansinterligne"/>
        <w:rPr>
          <w:rFonts w:ascii="Garamond" w:hAnsi="Garamond"/>
          <w:lang w:val="en-US"/>
        </w:rPr>
      </w:pPr>
      <w:r w:rsidRPr="00725852">
        <w:rPr>
          <w:rFonts w:ascii="Garamond" w:hAnsi="Garamond"/>
          <w:lang w:val="en-US"/>
        </w:rPr>
        <w:t xml:space="preserve">Die </w:t>
      </w:r>
      <w:r w:rsidRPr="00725852">
        <w:rPr>
          <w:rFonts w:ascii="Garamond" w:hAnsi="Garamond"/>
          <w:i/>
          <w:iCs/>
          <w:lang w:val="en-US"/>
        </w:rPr>
        <w:t>Masse</w:t>
      </w:r>
      <w:r w:rsidRPr="00725852">
        <w:rPr>
          <w:rFonts w:ascii="Garamond" w:hAnsi="Garamond"/>
          <w:lang w:val="en-US"/>
        </w:rPr>
        <w:t xml:space="preserve"> vervielfältigt diesen Vorgang, sie stimmt mit der Hypnose in der Natur der sie zusammenhaltenden Triebe und in der Ersetzung des Ichideals durch das Objekt überein, aber sie fügt die Identifizierung mit anderen Individuen hinzu, die vielleicht ursprünglich durch die gleiche Beziehung zum Objekt ermöglicht wurde.</w:t>
      </w:r>
    </w:p>
    <w:p w:rsidR="00525700" w:rsidRPr="00725852" w:rsidRDefault="00525700" w:rsidP="00725852">
      <w:pPr>
        <w:pStyle w:val="Sansinterligne"/>
        <w:rPr>
          <w:rFonts w:ascii="Garamond" w:hAnsi="Garamond"/>
          <w:lang w:val="en-US"/>
        </w:rPr>
      </w:pPr>
      <w:r w:rsidRPr="00725852">
        <w:rPr>
          <w:rFonts w:ascii="Garamond" w:hAnsi="Garamond"/>
          <w:lang w:val="en-US"/>
        </w:rPr>
        <w:t>Beide Zustände, Hypnose wie Massenbildung, sind Erbniederschläge aus der Phylogenese der menschlichen Libido, die Hypnose als Disposition, die Masse überdies als direktes Überbleibsel. Die Ersetzung der direkten Sexualstrebungen durch die zielgehemmten befördert bei beiden die Sonderung von Ich und Ichideal, zu der bei der Verliebtheit schon ein Anfang gemacht ist.</w:t>
      </w:r>
    </w:p>
    <w:p w:rsidR="00525700" w:rsidRPr="00725852" w:rsidRDefault="00525700" w:rsidP="00725852">
      <w:pPr>
        <w:pStyle w:val="Sansinterligne"/>
        <w:rPr>
          <w:rFonts w:ascii="Garamond" w:hAnsi="Garamond"/>
          <w:lang w:val="en-US"/>
        </w:rPr>
      </w:pPr>
      <w:r w:rsidRPr="00725852">
        <w:rPr>
          <w:rFonts w:ascii="Garamond" w:hAnsi="Garamond"/>
          <w:lang w:val="en-US"/>
        </w:rPr>
        <w:lastRenderedPageBreak/>
        <w:t xml:space="preserve">Die </w:t>
      </w:r>
      <w:r w:rsidRPr="00725852">
        <w:rPr>
          <w:rFonts w:ascii="Garamond" w:hAnsi="Garamond"/>
          <w:i/>
          <w:iCs/>
          <w:lang w:val="en-US"/>
        </w:rPr>
        <w:t>Neurose</w:t>
      </w:r>
      <w:r w:rsidRPr="00725852">
        <w:rPr>
          <w:rFonts w:ascii="Garamond" w:hAnsi="Garamond"/>
          <w:lang w:val="en-US"/>
        </w:rPr>
        <w:t xml:space="preserve"> tritt aus dieser Reihe heraus. Auch sie beruht auf einer Eigentümlichkeit der menschlichen Libidoentwicklung, auf dem durch die Latenzzeit unterbrochenen, doppelten Ansatz der direkten Sexualfunktion.</w:t>
      </w:r>
      <w:r w:rsidRPr="00725852">
        <w:rPr>
          <w:rFonts w:ascii="Garamond" w:hAnsi="Garamond"/>
          <w:vertAlign w:val="superscript"/>
          <w:lang w:val="en-US"/>
        </w:rPr>
        <w:t>7)</w:t>
      </w:r>
      <w:r w:rsidRPr="00725852">
        <w:rPr>
          <w:rFonts w:ascii="Garamond" w:hAnsi="Garamond"/>
          <w:lang w:val="en-US"/>
        </w:rPr>
        <w:t xml:space="preserve"> Insoferne teilt sie mit Hypnose und Massenbildung den Charakter einer Regression, welcher der Verliebtheit abgeht. Sie tritt überall dort auf, wo der Fortschritt von direkten zu zielgehemmten Sexualtrieben nicht voll geglückt ist, und entspricht einem </w:t>
      </w:r>
      <w:r w:rsidRPr="00725852">
        <w:rPr>
          <w:rFonts w:ascii="Garamond" w:hAnsi="Garamond"/>
          <w:i/>
          <w:iCs/>
          <w:lang w:val="en-US"/>
        </w:rPr>
        <w:t>Konflikt</w:t>
      </w:r>
      <w:r w:rsidRPr="00725852">
        <w:rPr>
          <w:rFonts w:ascii="Garamond" w:hAnsi="Garamond"/>
          <w:lang w:val="en-US"/>
        </w:rPr>
        <w:t xml:space="preserve"> zwischen den ins Ich aufgenommenen Trieben, welche eine solche Entwicklung durchgemacht haben, und den Anteilen derselben Triebe, welche vom verdrängten Unbewußten her — ebenso wie andere völlig verdrängte Triebregungen — nach ihrer direkten Befriedigung streben. Sie ist inhaltlich ungemein reichhaltig, da sie alle möglichen Beziehungen zwischen Ich und Objekt umfaßt, sowohl die, in denen das Objekt beibehalten, als auch andere, in denen es aufgegeben oder im Ich selbst aufgerichtet ist, aber ebenso die Konfliktbeziehungen zwischen dem Ich und seinem Ichideal.</w:t>
      </w:r>
    </w:p>
    <w:p w:rsidR="00525700" w:rsidRPr="00725852" w:rsidRDefault="00525700" w:rsidP="00725852">
      <w:pPr>
        <w:pStyle w:val="Sansinterligne"/>
        <w:rPr>
          <w:rFonts w:ascii="Garamond" w:hAnsi="Garamond"/>
          <w:lang w:val="en-US"/>
        </w:rPr>
      </w:pPr>
      <w:r w:rsidRPr="00725852">
        <w:rPr>
          <w:rFonts w:ascii="Garamond" w:hAnsi="Garamond"/>
          <w:lang w:val="en-US"/>
        </w:rPr>
        <w:t> </w:t>
      </w:r>
    </w:p>
    <w:p w:rsidR="00525700" w:rsidRPr="00725852" w:rsidRDefault="00525700" w:rsidP="00725852">
      <w:pPr>
        <w:pStyle w:val="Sansinterligne"/>
        <w:rPr>
          <w:rFonts w:ascii="Garamond" w:hAnsi="Garamond"/>
          <w:lang w:val="en-US"/>
        </w:rPr>
      </w:pPr>
      <w:r w:rsidRPr="00725852">
        <w:rPr>
          <w:rFonts w:ascii="Garamond" w:hAnsi="Garamond"/>
          <w:lang w:val="en-US"/>
        </w:rPr>
        <w:t>____________________</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1)</w:t>
      </w:r>
      <w:r w:rsidRPr="00725852">
        <w:rPr>
          <w:rFonts w:ascii="Garamond" w:hAnsi="Garamond"/>
          <w:lang w:val="en-US"/>
        </w:rPr>
        <w:t xml:space="preserve"> Das hier folgende steht unter dem Einflüsse eines Gedankenaustausches mit Otto Rank. (S. ›Die Don-Juan-Gestalt‹, 1922).</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2)</w:t>
      </w:r>
      <w:r w:rsidRPr="00725852">
        <w:rPr>
          <w:rFonts w:ascii="Garamond" w:hAnsi="Garamond"/>
          <w:lang w:val="en-US"/>
        </w:rPr>
        <w:t xml:space="preserve"> Vgl. Hanns Sachs (1920).</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3)</w:t>
      </w:r>
      <w:r w:rsidRPr="00725852">
        <w:rPr>
          <w:rFonts w:ascii="Garamond" w:hAnsi="Garamond"/>
          <w:lang w:val="en-US"/>
        </w:rPr>
        <w:t xml:space="preserve"> In dieser abgekürzten Darstellung ist auf alles Material aus Sage, Mythus, Märchen, Sittengeschichte usw. zur Stütze der Konstruktion verzichtet worden.</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4)</w:t>
      </w:r>
      <w:r w:rsidRPr="00725852">
        <w:rPr>
          <w:rFonts w:ascii="Garamond" w:hAnsi="Garamond"/>
          <w:lang w:val="en-US"/>
        </w:rPr>
        <w:t xml:space="preserve"> Die feindseligen Gefühle sind gewiß um ein Stück komplizierter aufgebaut.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5)</w:t>
      </w:r>
      <w:r w:rsidRPr="00725852">
        <w:rPr>
          <w:rFonts w:ascii="Garamond" w:hAnsi="Garamond"/>
          <w:lang w:val="en-US"/>
        </w:rPr>
        <w:t xml:space="preserve"> S. ›Über die allgemeinste Erniedrigung des Liebeslebens‹ (1912 </w:t>
      </w:r>
      <w:r w:rsidRPr="00725852">
        <w:rPr>
          <w:rFonts w:ascii="Garamond" w:hAnsi="Garamond"/>
          <w:i/>
          <w:iCs/>
          <w:lang w:val="en-US"/>
        </w:rPr>
        <w:t>d</w:t>
      </w:r>
      <w:r w:rsidRPr="00725852">
        <w:rPr>
          <w:rFonts w:ascii="Garamond" w:hAnsi="Garamond"/>
          <w:lang w:val="en-US"/>
        </w:rPr>
        <w:t>).</w:t>
      </w:r>
    </w:p>
    <w:p w:rsidR="00525700" w:rsidRPr="00725852" w:rsidRDefault="00525700" w:rsidP="00725852">
      <w:pPr>
        <w:pStyle w:val="Sansinterligne"/>
        <w:rPr>
          <w:rFonts w:ascii="Garamond" w:hAnsi="Garamond"/>
          <w:lang w:val="en-US"/>
        </w:rPr>
      </w:pPr>
      <w:r w:rsidRPr="00725852">
        <w:rPr>
          <w:rFonts w:ascii="Garamond" w:hAnsi="Garamond"/>
          <w:vertAlign w:val="superscript"/>
          <w:lang w:val="en-US"/>
        </w:rPr>
        <w:t>6)</w:t>
      </w:r>
      <w:r w:rsidRPr="00725852">
        <w:rPr>
          <w:rFonts w:ascii="Garamond" w:hAnsi="Garamond"/>
          <w:lang w:val="en-US"/>
        </w:rPr>
        <w:t xml:space="preserve"> S. </w:t>
      </w:r>
      <w:r w:rsidRPr="00725852">
        <w:rPr>
          <w:rFonts w:ascii="Garamond" w:hAnsi="Garamond"/>
          <w:i/>
          <w:iCs/>
          <w:lang w:val="en-US"/>
        </w:rPr>
        <w:t>Totem und Tabu,</w:t>
      </w:r>
      <w:r w:rsidRPr="00725852">
        <w:rPr>
          <w:rFonts w:ascii="Garamond" w:hAnsi="Garamond"/>
          <w:lang w:val="en-US"/>
        </w:rPr>
        <w:t xml:space="preserve"> zu Ende des Abschnittes II: ›Das Tabu und die Ambivalenz‹.</w:t>
      </w:r>
    </w:p>
    <w:p w:rsidR="00525700" w:rsidRPr="00725852" w:rsidRDefault="00525700" w:rsidP="00725852">
      <w:pPr>
        <w:pStyle w:val="Sansinterligne"/>
        <w:rPr>
          <w:rFonts w:ascii="Garamond" w:hAnsi="Garamond"/>
        </w:rPr>
      </w:pPr>
      <w:r w:rsidRPr="00725852">
        <w:rPr>
          <w:rFonts w:ascii="Garamond" w:hAnsi="Garamond"/>
          <w:vertAlign w:val="superscript"/>
        </w:rPr>
        <w:t>7)</w:t>
      </w:r>
      <w:r w:rsidRPr="00725852">
        <w:rPr>
          <w:rFonts w:ascii="Garamond" w:hAnsi="Garamond"/>
        </w:rPr>
        <w:t xml:space="preserve"> S. </w:t>
      </w:r>
      <w:r w:rsidRPr="00725852">
        <w:rPr>
          <w:rFonts w:ascii="Garamond" w:hAnsi="Garamond"/>
          <w:i/>
          <w:iCs/>
        </w:rPr>
        <w:t>Sexualtheorie</w:t>
      </w:r>
      <w:r w:rsidRPr="00725852">
        <w:rPr>
          <w:rFonts w:ascii="Garamond" w:hAnsi="Garamond"/>
        </w:rPr>
        <w:t xml:space="preserve"> (1905 </w:t>
      </w:r>
      <w:r w:rsidRPr="00725852">
        <w:rPr>
          <w:rFonts w:ascii="Garamond" w:hAnsi="Garamond"/>
          <w:i/>
          <w:iCs/>
        </w:rPr>
        <w:t>d),</w:t>
      </w:r>
      <w:r w:rsidRPr="00725852">
        <w:rPr>
          <w:rFonts w:ascii="Garamond" w:hAnsi="Garamond"/>
        </w:rPr>
        <w:t xml:space="preserve"> 5. Aufl., S. 96.</w:t>
      </w:r>
    </w:p>
    <w:p w:rsidR="00A95446" w:rsidRPr="00725852" w:rsidRDefault="00A95446" w:rsidP="00725852">
      <w:pPr>
        <w:pStyle w:val="Sansinterligne"/>
        <w:rPr>
          <w:rFonts w:ascii="Garamond" w:hAnsi="Garamond"/>
        </w:rPr>
      </w:pPr>
    </w:p>
    <w:p w:rsidR="00525700" w:rsidRPr="004E00C6" w:rsidRDefault="00A95446" w:rsidP="00725852">
      <w:pPr>
        <w:pStyle w:val="Sansinterligne"/>
        <w:rPr>
          <w:rFonts w:eastAsia="Times New Roman" w:cs="Times New Roman"/>
          <w:lang w:val="en-US" w:eastAsia="fr-FR"/>
        </w:rPr>
      </w:pPr>
      <w:r w:rsidRPr="004E00C6">
        <w:rPr>
          <w:rFonts w:ascii="Garamond" w:hAnsi="Garamond"/>
          <w:lang w:val="en-US"/>
        </w:rPr>
        <w:t>----------------------------------------------------------------------------------------------------------------------------------</w:t>
      </w:r>
      <w:r w:rsidR="00525700" w:rsidRPr="004E00C6">
        <w:rPr>
          <w:lang w:val="en-US"/>
        </w:rPr>
        <w:br w:type="page"/>
      </w:r>
    </w:p>
    <w:p w:rsidR="00525700" w:rsidRPr="00525700" w:rsidRDefault="00525700" w:rsidP="00130855">
      <w:pPr>
        <w:spacing w:before="100" w:beforeAutospacing="1" w:after="100" w:afterAutospacing="1" w:line="240" w:lineRule="auto"/>
        <w:outlineLvl w:val="1"/>
        <w:rPr>
          <w:rFonts w:ascii="Garamond" w:eastAsia="Times New Roman" w:hAnsi="Garamond" w:cs="Times New Roman"/>
          <w:bCs/>
          <w:sz w:val="28"/>
          <w:szCs w:val="28"/>
          <w:lang w:val="en-US" w:eastAsia="fr-FR"/>
        </w:rPr>
      </w:pPr>
      <w:r w:rsidRPr="00525700">
        <w:rPr>
          <w:rFonts w:ascii="Garamond" w:eastAsia="Times New Roman" w:hAnsi="Garamond" w:cs="Times New Roman"/>
          <w:bCs/>
          <w:sz w:val="28"/>
          <w:szCs w:val="28"/>
          <w:lang w:val="en-US" w:eastAsia="fr-FR"/>
        </w:rPr>
        <w:lastRenderedPageBreak/>
        <w:t>Da</w:t>
      </w:r>
      <w:bookmarkStart w:id="37" w:name="F39"/>
      <w:bookmarkEnd w:id="37"/>
      <w:r w:rsidRPr="00525700">
        <w:rPr>
          <w:rFonts w:ascii="Garamond" w:eastAsia="Times New Roman" w:hAnsi="Garamond" w:cs="Times New Roman"/>
          <w:bCs/>
          <w:sz w:val="28"/>
          <w:szCs w:val="28"/>
          <w:lang w:val="en-US" w:eastAsia="fr-FR"/>
        </w:rPr>
        <w:t>s Ich und das Es</w:t>
      </w:r>
      <w:r>
        <w:rPr>
          <w:rFonts w:ascii="Garamond" w:eastAsia="Times New Roman" w:hAnsi="Garamond" w:cs="Times New Roman"/>
          <w:bCs/>
          <w:sz w:val="28"/>
          <w:szCs w:val="28"/>
          <w:lang w:val="en-US" w:eastAsia="fr-FR"/>
        </w:rPr>
        <w:t xml:space="preserve">                                                                                </w:t>
      </w:r>
      <w:hyperlink w:anchor="Werke" w:history="1">
        <w:r w:rsidRPr="00525700">
          <w:rPr>
            <w:rStyle w:val="Lienhypertexte"/>
            <w:rFonts w:ascii="Garamond" w:hAnsi="Garamond"/>
            <w:lang w:val="en-US"/>
          </w:rPr>
          <w:t>Werke</w:t>
        </w:r>
      </w:hyperlink>
    </w:p>
    <w:p w:rsidR="006A6515" w:rsidRDefault="00525700" w:rsidP="006A6515">
      <w:pPr>
        <w:spacing w:before="100" w:beforeAutospacing="1" w:after="100" w:afterAutospacing="1" w:line="240" w:lineRule="auto"/>
        <w:rPr>
          <w:rFonts w:ascii="Garamond" w:eastAsia="Times New Roman" w:hAnsi="Garamond" w:cs="Times New Roman"/>
          <w:lang w:val="en-US" w:eastAsia="fr-FR"/>
        </w:rPr>
      </w:pPr>
      <w:r w:rsidRPr="00525700">
        <w:rPr>
          <w:rFonts w:ascii="Garamond" w:eastAsia="Times New Roman" w:hAnsi="Garamond" w:cs="Times New Roman"/>
          <w:lang w:val="en-US" w:eastAsia="fr-FR"/>
        </w:rPr>
        <w:t>(1923)</w:t>
      </w:r>
      <w:r w:rsidRPr="00525700">
        <w:rPr>
          <w:rFonts w:ascii="Garamond" w:eastAsia="Times New Roman" w:hAnsi="Garamond" w:cs="Times New Roman"/>
          <w:vertAlign w:val="superscript"/>
          <w:lang w:val="en-US" w:eastAsia="fr-FR"/>
        </w:rPr>
        <w:t>*)</w:t>
      </w:r>
    </w:p>
    <w:p w:rsidR="006A6515" w:rsidRPr="004E00C6" w:rsidRDefault="006A6515" w:rsidP="006A6515">
      <w:pPr>
        <w:pStyle w:val="Sansinterligne"/>
        <w:rPr>
          <w:rFonts w:ascii="Garamond" w:hAnsi="Garamond"/>
          <w:lang w:val="en-US"/>
        </w:rPr>
      </w:pPr>
      <w:r w:rsidRPr="004E00C6">
        <w:rPr>
          <w:rFonts w:ascii="Garamond" w:hAnsi="Garamond"/>
          <w:lang w:val="en-US"/>
        </w:rPr>
        <w:t>*) [Erstveröffentlichung: Leipzig, Wien und Zürich, Internationaler Psychoanalytischer Verlag, 1923. — Gesammelte Werke, Bd. 13, S. 237-89.]</w:t>
      </w:r>
    </w:p>
    <w:p w:rsidR="006A6515" w:rsidRPr="004E00C6" w:rsidRDefault="006A6515" w:rsidP="006A6515">
      <w:pPr>
        <w:pStyle w:val="Sansinterligne"/>
        <w:rPr>
          <w:rFonts w:ascii="Garamond" w:hAnsi="Garamond"/>
          <w:lang w:val="en-US"/>
        </w:rPr>
      </w:pPr>
    </w:p>
    <w:p w:rsidR="006A6515" w:rsidRPr="004E00C6" w:rsidRDefault="006A6515" w:rsidP="006A6515">
      <w:pPr>
        <w:pStyle w:val="Sansinterligne"/>
        <w:rPr>
          <w:rFonts w:ascii="Garamond" w:hAnsi="Garamond"/>
          <w:lang w:val="en-US"/>
        </w:rPr>
      </w:pPr>
    </w:p>
    <w:p w:rsidR="006A6515" w:rsidRDefault="006A6515" w:rsidP="006A6515">
      <w:pPr>
        <w:pStyle w:val="Sansinterligne"/>
        <w:rPr>
          <w:rFonts w:ascii="Garamond" w:hAnsi="Garamond"/>
        </w:rPr>
      </w:pPr>
      <w:r w:rsidRPr="006A6515">
        <w:rPr>
          <w:rFonts w:ascii="Garamond" w:hAnsi="Garamond"/>
        </w:rPr>
        <w:t>In</w:t>
      </w:r>
      <w:bookmarkStart w:id="38" w:name="Das_Ich_INHALT"/>
      <w:bookmarkEnd w:id="38"/>
      <w:r w:rsidRPr="006A6515">
        <w:rPr>
          <w:rFonts w:ascii="Garamond" w:hAnsi="Garamond"/>
        </w:rPr>
        <w:t>halt</w:t>
      </w:r>
    </w:p>
    <w:p w:rsidR="006A6515" w:rsidRDefault="006A6515" w:rsidP="006A6515">
      <w:pPr>
        <w:pStyle w:val="Sansinterligne"/>
        <w:rPr>
          <w:rFonts w:ascii="Garamond" w:hAnsi="Garamond"/>
        </w:rPr>
      </w:pPr>
    </w:p>
    <w:p w:rsidR="006A6515" w:rsidRPr="00985EE8" w:rsidRDefault="00B437A1" w:rsidP="00CE4D4E">
      <w:pPr>
        <w:pStyle w:val="Sansinterligne"/>
        <w:numPr>
          <w:ilvl w:val="0"/>
          <w:numId w:val="6"/>
        </w:numPr>
        <w:rPr>
          <w:rFonts w:ascii="Garamond" w:hAnsi="Garamond"/>
        </w:rPr>
      </w:pPr>
      <w:hyperlink w:anchor="Das_Ich_1" w:history="1">
        <w:r w:rsidR="006A6515" w:rsidRPr="00985EE8">
          <w:rPr>
            <w:rStyle w:val="Lienhypertexte"/>
            <w:rFonts w:ascii="Garamond" w:hAnsi="Garamond"/>
            <w:bCs/>
            <w:lang w:val="en-US" w:eastAsia="fr-FR"/>
          </w:rPr>
          <w:t>I. Bewusstsein und Unbewusstes</w:t>
        </w:r>
      </w:hyperlink>
    </w:p>
    <w:p w:rsidR="006A6515" w:rsidRPr="00985EE8" w:rsidRDefault="006A6515" w:rsidP="006A6515">
      <w:pPr>
        <w:pStyle w:val="Sansinterligne"/>
        <w:ind w:left="720"/>
        <w:rPr>
          <w:rFonts w:ascii="Garamond" w:hAnsi="Garamond"/>
        </w:rPr>
      </w:pPr>
    </w:p>
    <w:p w:rsidR="006A6515" w:rsidRPr="00985EE8" w:rsidRDefault="00B437A1" w:rsidP="00CE4D4E">
      <w:pPr>
        <w:pStyle w:val="Sansinterligne"/>
        <w:numPr>
          <w:ilvl w:val="0"/>
          <w:numId w:val="6"/>
        </w:numPr>
        <w:rPr>
          <w:rFonts w:ascii="Garamond" w:hAnsi="Garamond"/>
          <w:lang w:val="en-US"/>
        </w:rPr>
      </w:pPr>
      <w:hyperlink w:anchor="Das_Ich_2" w:history="1">
        <w:r w:rsidR="006A6515" w:rsidRPr="00985EE8">
          <w:rPr>
            <w:rStyle w:val="Lienhypertexte"/>
            <w:rFonts w:ascii="Garamond" w:hAnsi="Garamond"/>
            <w:bCs/>
            <w:lang w:val="en-US" w:eastAsia="fr-FR"/>
          </w:rPr>
          <w:t>II. Das Ich und das Es</w:t>
        </w:r>
      </w:hyperlink>
    </w:p>
    <w:p w:rsidR="006A6515" w:rsidRPr="00985EE8" w:rsidRDefault="006A6515" w:rsidP="006A6515">
      <w:pPr>
        <w:pStyle w:val="Sansinterligne"/>
        <w:rPr>
          <w:rFonts w:ascii="Garamond" w:hAnsi="Garamond"/>
          <w:lang w:val="en-US"/>
        </w:rPr>
      </w:pPr>
    </w:p>
    <w:p w:rsidR="006A6515" w:rsidRPr="00985EE8" w:rsidRDefault="00B437A1" w:rsidP="00CE4D4E">
      <w:pPr>
        <w:pStyle w:val="Sansinterligne"/>
        <w:numPr>
          <w:ilvl w:val="0"/>
          <w:numId w:val="6"/>
        </w:numPr>
        <w:rPr>
          <w:rFonts w:ascii="Garamond" w:hAnsi="Garamond"/>
          <w:lang w:val="en-US"/>
        </w:rPr>
      </w:pPr>
      <w:hyperlink w:anchor="Das_Ich_3" w:history="1">
        <w:r w:rsidR="006A6515" w:rsidRPr="00985EE8">
          <w:rPr>
            <w:rStyle w:val="Lienhypertexte"/>
            <w:rFonts w:ascii="Garamond" w:hAnsi="Garamond"/>
            <w:bCs/>
            <w:lang w:val="en-US" w:eastAsia="fr-FR"/>
          </w:rPr>
          <w:t>III. Das Ich und das Über-Ich (Ichideal)</w:t>
        </w:r>
      </w:hyperlink>
    </w:p>
    <w:p w:rsidR="006A6515" w:rsidRPr="00985EE8" w:rsidRDefault="006A6515" w:rsidP="006A6515">
      <w:pPr>
        <w:pStyle w:val="Sansinterligne"/>
        <w:rPr>
          <w:rFonts w:ascii="Garamond" w:hAnsi="Garamond"/>
          <w:lang w:val="en-US"/>
        </w:rPr>
      </w:pPr>
    </w:p>
    <w:p w:rsidR="006A6515" w:rsidRPr="00985EE8" w:rsidRDefault="00B437A1" w:rsidP="00CE4D4E">
      <w:pPr>
        <w:pStyle w:val="Sansinterligne"/>
        <w:numPr>
          <w:ilvl w:val="0"/>
          <w:numId w:val="6"/>
        </w:numPr>
        <w:rPr>
          <w:rFonts w:ascii="Garamond" w:hAnsi="Garamond"/>
          <w:lang w:val="en-US"/>
        </w:rPr>
      </w:pPr>
      <w:hyperlink w:anchor="Das_Ich_4" w:history="1">
        <w:r w:rsidR="006A6515" w:rsidRPr="00985EE8">
          <w:rPr>
            <w:rStyle w:val="Lienhypertexte"/>
            <w:rFonts w:ascii="Garamond" w:hAnsi="Garamond"/>
            <w:bCs/>
            <w:lang w:val="en-US" w:eastAsia="fr-FR"/>
          </w:rPr>
          <w:t>IV. Die beiden Triebarten</w:t>
        </w:r>
      </w:hyperlink>
    </w:p>
    <w:p w:rsidR="006A6515" w:rsidRPr="00985EE8" w:rsidRDefault="006A6515" w:rsidP="006A6515">
      <w:pPr>
        <w:pStyle w:val="Sansinterligne"/>
        <w:rPr>
          <w:rFonts w:ascii="Garamond" w:hAnsi="Garamond"/>
          <w:lang w:val="en-US"/>
        </w:rPr>
      </w:pPr>
    </w:p>
    <w:p w:rsidR="006A6515" w:rsidRPr="006A6515" w:rsidRDefault="00B437A1" w:rsidP="00CE4D4E">
      <w:pPr>
        <w:pStyle w:val="Sansinterligne"/>
        <w:numPr>
          <w:ilvl w:val="0"/>
          <w:numId w:val="6"/>
        </w:numPr>
        <w:rPr>
          <w:rFonts w:ascii="Garamond" w:hAnsi="Garamond"/>
        </w:rPr>
      </w:pPr>
      <w:hyperlink w:anchor="Das_Ich_5" w:history="1">
        <w:r w:rsidR="006A6515" w:rsidRPr="00985EE8">
          <w:rPr>
            <w:rStyle w:val="Lienhypertexte"/>
            <w:rFonts w:ascii="Garamond" w:hAnsi="Garamond"/>
            <w:bCs/>
            <w:lang w:eastAsia="fr-FR"/>
          </w:rPr>
          <w:t>V. Die Abhängigkeiten des Ichs</w:t>
        </w:r>
      </w:hyperlink>
    </w:p>
    <w:p w:rsidR="006A6515" w:rsidRDefault="006A6515" w:rsidP="006A6515">
      <w:pPr>
        <w:pStyle w:val="Paragraphedeliste"/>
        <w:rPr>
          <w:rFonts w:ascii="Garamond" w:hAnsi="Garamond"/>
        </w:rPr>
      </w:pPr>
    </w:p>
    <w:p w:rsidR="006A6515" w:rsidRDefault="006A6515" w:rsidP="006A6515">
      <w:pPr>
        <w:pStyle w:val="Sansinterligne"/>
        <w:rPr>
          <w:rFonts w:ascii="Garamond" w:hAnsi="Garamond"/>
        </w:rPr>
      </w:pPr>
    </w:p>
    <w:p w:rsidR="006A6515" w:rsidRDefault="006A6515" w:rsidP="006A6515">
      <w:pPr>
        <w:pStyle w:val="Sansinterligne"/>
        <w:rPr>
          <w:rFonts w:ascii="Garamond" w:hAnsi="Garamond"/>
        </w:rPr>
      </w:pPr>
    </w:p>
    <w:p w:rsidR="006A6515" w:rsidRPr="006A6515" w:rsidRDefault="006A6515" w:rsidP="006A6515">
      <w:pPr>
        <w:pStyle w:val="Sansinterligne"/>
        <w:rPr>
          <w:rFonts w:ascii="Garamond" w:hAnsi="Garamond"/>
        </w:rPr>
      </w:pPr>
    </w:p>
    <w:p w:rsidR="006A6515" w:rsidRPr="006A6515" w:rsidRDefault="006A6515" w:rsidP="006A6515">
      <w:pPr>
        <w:pStyle w:val="Sansinterligne"/>
        <w:rPr>
          <w:rFonts w:ascii="Garamond" w:hAnsi="Garamond"/>
          <w:lang w:eastAsia="fr-FR"/>
        </w:rPr>
      </w:pPr>
    </w:p>
    <w:p w:rsidR="006A6515" w:rsidRPr="006A6515" w:rsidRDefault="006A6515" w:rsidP="006A6515">
      <w:pPr>
        <w:pStyle w:val="Sansinterligne"/>
        <w:rPr>
          <w:rFonts w:ascii="Garamond" w:hAnsi="Garamond"/>
          <w:lang w:eastAsia="fr-FR"/>
        </w:rPr>
      </w:pPr>
    </w:p>
    <w:p w:rsidR="006A6515" w:rsidRPr="006A6515" w:rsidRDefault="006A6515" w:rsidP="006A6515">
      <w:pPr>
        <w:pStyle w:val="Sansinterligne"/>
        <w:rPr>
          <w:rFonts w:ascii="Garamond" w:hAnsi="Garamond"/>
          <w:lang w:eastAsia="fr-FR"/>
        </w:rPr>
      </w:pPr>
    </w:p>
    <w:p w:rsidR="00525700" w:rsidRPr="006A6515" w:rsidRDefault="00525700" w:rsidP="006A6515">
      <w:pPr>
        <w:spacing w:before="100" w:beforeAutospacing="1" w:after="100" w:afterAutospacing="1" w:line="240" w:lineRule="auto"/>
        <w:rPr>
          <w:rFonts w:ascii="Garamond" w:hAnsi="Garamond"/>
          <w:lang w:val="en-US" w:eastAsia="fr-FR"/>
        </w:rPr>
      </w:pPr>
      <w:r w:rsidRPr="004E00C6">
        <w:rPr>
          <w:rFonts w:ascii="Garamond" w:hAnsi="Garamond"/>
          <w:lang w:eastAsia="fr-FR"/>
        </w:rPr>
        <w:t xml:space="preserve">Nachstehende Erörterungen setzen Gedankengänge fort, die in meiner Schrift </w:t>
      </w:r>
      <w:r w:rsidRPr="004E00C6">
        <w:rPr>
          <w:rFonts w:ascii="Garamond" w:hAnsi="Garamond"/>
          <w:i/>
          <w:iCs/>
          <w:lang w:eastAsia="fr-FR"/>
        </w:rPr>
        <w:t>Jenseits des Lustprinzips</w:t>
      </w:r>
      <w:r w:rsidRPr="004E00C6">
        <w:rPr>
          <w:rFonts w:ascii="Garamond" w:hAnsi="Garamond"/>
          <w:lang w:eastAsia="fr-FR"/>
        </w:rPr>
        <w:t xml:space="preserve"> (1920) begonnen wurden, denen ich persönlich, wie dort erwähnt ist, mit einer gewissen wohlwollenden Neugierde gegenüberstand. Sie nehmen diese Gedanken auf, verknüpfen sie mit verschiedenen Tatsachen der analytischen Beobachtung, suchen aus dieser Vereinigung neue Schlüsse abzuleiten, machen aber keine neuen Anleihen bei der Biologie und stehen darum der Psychoanalyse näher als das </w:t>
      </w:r>
      <w:r w:rsidRPr="004E00C6">
        <w:rPr>
          <w:rFonts w:ascii="Garamond" w:hAnsi="Garamond"/>
          <w:i/>
          <w:iCs/>
          <w:lang w:eastAsia="fr-FR"/>
        </w:rPr>
        <w:t>Jenseits.</w:t>
      </w:r>
      <w:r w:rsidRPr="004E00C6">
        <w:rPr>
          <w:rFonts w:ascii="Garamond" w:hAnsi="Garamond"/>
          <w:lang w:eastAsia="fr-FR"/>
        </w:rPr>
        <w:t xml:space="preserve"> </w:t>
      </w:r>
      <w:r w:rsidRPr="006A6515">
        <w:rPr>
          <w:rFonts w:ascii="Garamond" w:hAnsi="Garamond"/>
          <w:lang w:val="en-US" w:eastAsia="fr-FR"/>
        </w:rPr>
        <w:t>Sie tragen eher den Charakter einer Synthese als einer Spekulation und scheinen sich ein hohes Ziel gesetzt zu haben. Ich weiß aber, daß sie beim Gröbsten haltmachen, und bin mit dieser Beschränkung recht einverstanden.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Dabei rühren sie an Dinge, die bisher noch nicht Gegenstand der psychoanalytischen Bearbeitung gewesen sind, und können es nicht vermeiden, manche Theorien zu streifen, die von Nicht-Analytikern oder ehemaligen Analytikern auf ihrem Rückzug von der Analyse aufgestellt wurden. Ich bin sonst immer bereit gewesen, meine Verbindlichkeiten gegen andere Arbeiter anzuerkennen, fühle mich aber in diesem Falle durch keine solche Dankesschuld belastet. Wenn die Psychoanalyse gewisse Dinge bisher nicht gewürdigt hat, so geschah es nie darum, weil sie deren Leistung übersehen hatte oder deren Bedeutung verleugnen wollte, sondern weil sie einen bestimmten Weg verfolgt, der noch nicht so weit geführt hatte. Und endlich, wenn sie dahin gekommen ist, erscheinen ihr auch die Dinge anders als den anderen.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______________________</w:t>
      </w:r>
    </w:p>
    <w:p w:rsidR="006A6515" w:rsidRDefault="006A6515">
      <w:pPr>
        <w:rPr>
          <w:rFonts w:ascii="Garamond" w:hAnsi="Garamond"/>
          <w:lang w:val="en-US" w:eastAsia="fr-FR"/>
        </w:rPr>
      </w:pPr>
      <w:r>
        <w:rPr>
          <w:rFonts w:ascii="Garamond" w:hAnsi="Garamond"/>
          <w:lang w:val="en-US" w:eastAsia="fr-FR"/>
        </w:rPr>
        <w:br w:type="page"/>
      </w:r>
    </w:p>
    <w:p w:rsidR="00525700" w:rsidRPr="006A6515" w:rsidRDefault="00525700" w:rsidP="006A6515">
      <w:pPr>
        <w:pStyle w:val="Sansinterligne"/>
        <w:rPr>
          <w:rFonts w:ascii="Garamond" w:hAnsi="Garamond"/>
          <w:lang w:val="en-US" w:eastAsia="fr-FR"/>
        </w:rPr>
      </w:pPr>
    </w:p>
    <w:p w:rsidR="00525700" w:rsidRPr="006A6515" w:rsidRDefault="00B437A1" w:rsidP="006A6515">
      <w:pPr>
        <w:pStyle w:val="Sansinterligne"/>
        <w:rPr>
          <w:rFonts w:ascii="Garamond" w:hAnsi="Garamond"/>
          <w:b/>
          <w:bCs/>
          <w:lang w:val="en-US" w:eastAsia="fr-FR"/>
        </w:rPr>
      </w:pPr>
      <w:hyperlink w:anchor="Das_Ich_INHALT" w:history="1">
        <w:r w:rsidR="00525700" w:rsidRPr="006A6515">
          <w:rPr>
            <w:rStyle w:val="Lienhypertexte"/>
            <w:rFonts w:ascii="Garamond" w:hAnsi="Garamond"/>
            <w:b/>
            <w:bCs/>
            <w:lang w:val="en-US" w:eastAsia="fr-FR"/>
          </w:rPr>
          <w:t>I. Be</w:t>
        </w:r>
        <w:bookmarkStart w:id="39" w:name="Das_Ich_1"/>
        <w:bookmarkEnd w:id="39"/>
        <w:r w:rsidR="00525700" w:rsidRPr="006A6515">
          <w:rPr>
            <w:rStyle w:val="Lienhypertexte"/>
            <w:rFonts w:ascii="Garamond" w:hAnsi="Garamond"/>
            <w:b/>
            <w:bCs/>
            <w:lang w:val="en-US" w:eastAsia="fr-FR"/>
          </w:rPr>
          <w:t>wusstsein und Unbewusstes</w:t>
        </w:r>
      </w:hyperlink>
    </w:p>
    <w:p w:rsidR="00525700" w:rsidRPr="006A6515" w:rsidRDefault="00525700" w:rsidP="006A6515">
      <w:pPr>
        <w:pStyle w:val="Sansinterligne"/>
        <w:rPr>
          <w:rFonts w:ascii="Garamond" w:hAnsi="Garamond"/>
          <w:lang w:val="en-US" w:eastAsia="fr-FR"/>
        </w:rPr>
      </w:pP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In diesem einleitenden Abschnitt ist nichts Neues zu sagen und die Wiederholung von früher oft Gesagtem nicht zu vermeiden. Die Unterscheidung des Psychischen in Bewußtes und Unbewußtes ist die Grundvoraussetzung der Psychoanalyse und gibt ihr allein die Möglichkeit, die ebenso häufigen als wichtigen pathologischen Vorgänge im Seelenleben zu verstehen, der Wissenschaft einzuordnen. Nochmals und anders gesagt: Die Psychoanalyse kann das Wesen des Psychischen nicht ins Bewußtsein verlegen, sondern muß das Bewußtsein als eine Qualität des Psychischen ansehen, die zu anderen Qualitäten hinzukommen oder wegbleiben mag.</w:t>
      </w:r>
    </w:p>
    <w:p w:rsidR="00525700" w:rsidRPr="006A6515" w:rsidRDefault="00525700" w:rsidP="006A6515">
      <w:pPr>
        <w:pStyle w:val="Sansinterligne"/>
        <w:rPr>
          <w:rFonts w:ascii="Garamond" w:hAnsi="Garamond"/>
          <w:lang w:eastAsia="fr-FR"/>
        </w:rPr>
      </w:pPr>
      <w:r w:rsidRPr="006A6515">
        <w:rPr>
          <w:rFonts w:ascii="Garamond" w:hAnsi="Garamond"/>
          <w:lang w:val="en-US" w:eastAsia="fr-FR"/>
        </w:rPr>
        <w:t xml:space="preserve">Wenn ich mir vorstellen könnte, daß alle an der Psychologie Interessierten diese Schrift lesen werden, so wäre ich auch darauf vorbereitet, daß schon an dieser Stelle ein Teil der Leser haltmacht und nicht weiter mitgeht, denn hier ist das erste Schibboleth der Psychoanalyse. Den meisten philosophisch Gebildeten ist die Idee eines Psychischen, das nicht auch bewußt ist, so unfaßbar, daß sie ihnen absurd und durch bloße Logik abweisbar erscheint. Ich glaube, dies kommt nur daher, daß sie die betreffenden Phänomene der Hypnose und des Traumes, welche — vom Pathologischen ganz abgesehen — zu solcher Auffassung zwingen, nie studiert haben. </w:t>
      </w:r>
      <w:r w:rsidRPr="006A6515">
        <w:rPr>
          <w:rFonts w:ascii="Garamond" w:hAnsi="Garamond"/>
          <w:lang w:eastAsia="fr-FR"/>
        </w:rPr>
        <w:t>Ihre Bewußtseins</w:t>
      </w:r>
      <w:r w:rsidRPr="006A6515">
        <w:rPr>
          <w:rFonts w:ascii="Garamond" w:hAnsi="Garamond"/>
          <w:lang w:eastAsia="fr-FR"/>
        </w:rPr>
        <w:softHyphen/>
        <w:t>psychologie ist aber auch unfähig, die Probleme des Traumes und der Hypnose zu lösen.</w:t>
      </w:r>
    </w:p>
    <w:p w:rsidR="00525700" w:rsidRPr="006A6515" w:rsidRDefault="00525700" w:rsidP="006A6515">
      <w:pPr>
        <w:pStyle w:val="Sansinterligne"/>
        <w:rPr>
          <w:rFonts w:ascii="Garamond" w:hAnsi="Garamond"/>
          <w:lang w:val="en-US" w:eastAsia="fr-FR"/>
        </w:rPr>
      </w:pPr>
      <w:r w:rsidRPr="006A6515">
        <w:rPr>
          <w:rFonts w:ascii="Garamond" w:hAnsi="Garamond"/>
          <w:lang w:eastAsia="fr-FR"/>
        </w:rPr>
        <w:t xml:space="preserve">Bewußt sein ist zunächst ein rein deskriptiver Terminus, der sich auf die unmittelbarste und sicherste Wahrnehmung beruft. Die Erfahrung zeigt uns dann, daß ein psychisches Element, zum Beispiel eine Vorstellung, gewöhnlich nicht dauernd bewußt ist. Es ist vielmehr charakteristisch, daß der Zustand des Bewußtseins rasch vorübergeht; die jetzt bewußte Vorstellung ist es im nächsten Moment nicht mehr, allein sie kann es unter gewissen leicht hergestellten Bedingungen wieder werden. </w:t>
      </w:r>
      <w:r w:rsidRPr="006A6515">
        <w:rPr>
          <w:rFonts w:ascii="Garamond" w:hAnsi="Garamond"/>
          <w:lang w:val="en-US" w:eastAsia="fr-FR"/>
        </w:rPr>
        <w:t xml:space="preserve">Inzwischen war sie, wir wissen nicht was; wir können sagen, sie sei </w:t>
      </w:r>
      <w:r w:rsidRPr="006A6515">
        <w:rPr>
          <w:rFonts w:ascii="Garamond" w:hAnsi="Garamond"/>
          <w:i/>
          <w:iCs/>
          <w:lang w:val="en-US" w:eastAsia="fr-FR"/>
        </w:rPr>
        <w:t>latent</w:t>
      </w:r>
      <w:r w:rsidRPr="006A6515">
        <w:rPr>
          <w:rFonts w:ascii="Garamond" w:hAnsi="Garamond"/>
          <w:lang w:val="en-US" w:eastAsia="fr-FR"/>
        </w:rPr>
        <w:t xml:space="preserve"> gewesen, und meinen dabei, daß sie jederzeit </w:t>
      </w:r>
      <w:r w:rsidRPr="006A6515">
        <w:rPr>
          <w:rFonts w:ascii="Garamond" w:hAnsi="Garamond"/>
          <w:i/>
          <w:iCs/>
          <w:lang w:val="en-US" w:eastAsia="fr-FR"/>
        </w:rPr>
        <w:t>bewußtseinsfähig</w:t>
      </w:r>
      <w:r w:rsidRPr="006A6515">
        <w:rPr>
          <w:rFonts w:ascii="Garamond" w:hAnsi="Garamond"/>
          <w:lang w:val="en-US" w:eastAsia="fr-FR"/>
        </w:rPr>
        <w:t xml:space="preserve"> war. Auch wenn wir sagen, sie sei </w:t>
      </w:r>
      <w:r w:rsidRPr="006A6515">
        <w:rPr>
          <w:rFonts w:ascii="Garamond" w:hAnsi="Garamond"/>
          <w:i/>
          <w:iCs/>
          <w:lang w:val="en-US" w:eastAsia="fr-FR"/>
        </w:rPr>
        <w:t>unbewußt</w:t>
      </w:r>
      <w:r w:rsidRPr="006A6515">
        <w:rPr>
          <w:rFonts w:ascii="Garamond" w:hAnsi="Garamond"/>
          <w:lang w:val="en-US" w:eastAsia="fr-FR"/>
        </w:rPr>
        <w:t xml:space="preserve"> gewesen, haben wir eine korrekte Beschreibung gegeben. Dieses Unbewußt fällt dann mit latent-bewußtseinsfähig zusammen. Die Philosophen würden uns zwar einwerfen: »Nein, der Terminus unbewußt hat hier keine Anwendung, solange die Vorstellung im Zustand der Latenz war, war sie überhaupt nichts Psychisches.« Würden wir ihnen schon an dieser Stelle widersprechen, so gerieten wir in einen Wortstreit, aus dem sich nichts gewinnen ließe.</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Wir sind aber zum Terminus oder Begriff des Unbewußten auf einem anderen Weg gekommen, durch Verarbeitung von Erfahrungen, in denen die seelische </w:t>
      </w:r>
      <w:r w:rsidRPr="006A6515">
        <w:rPr>
          <w:rFonts w:ascii="Garamond" w:hAnsi="Garamond"/>
          <w:i/>
          <w:iCs/>
          <w:lang w:val="en-US" w:eastAsia="fr-FR"/>
        </w:rPr>
        <w:t>Dynamik</w:t>
      </w:r>
      <w:r w:rsidRPr="006A6515">
        <w:rPr>
          <w:rFonts w:ascii="Garamond" w:hAnsi="Garamond"/>
          <w:lang w:val="en-US" w:eastAsia="fr-FR"/>
        </w:rPr>
        <w:t xml:space="preserve"> eine Rolle spielt. Wir haben erfahren, das heißt annehmen müssen, daß es sehr starke seelische Vorgänge oder Vorstellungen gibt — hier kommt zuerst ein quantitatives, also ökonomisches Moment in Betracht —, die alle Folgen für das Seelenleben haben können wie sonstige Vorstellungen, auch solche Folgen, die wiederum als Vorstellungen bewußt werden können, nur werden sie selbst nicht bewußt. Es ist nicht nötig, hier ausführlich zu wiederholen, was schon so oft dargestellt worden ist. Genug, an dieser Stelle setzt die psychoanalytische Theorie ein und behauptet, daß solche Vorstellungen nicht bewußt sein können, weil eine gewisse Kraft sich dem widersetzt, daß sie sonst bewußt werden könnten und daß man dann sehen würde, wie wenig sie sich von anderen anerkannten psychischen Elementen unterscheiden. Diese Theorie wird dadurch unwiderleglich, daß sich in der psychoanalytischen Technik Mittel gefunden haben, mit deren Hilfe man die widerstrebende Kraft aufheben und die betreffenden Vorstellungen bewußtmachen kann. Den Zustand, in dem diese sich vor der Bewußtmachung befanden, heißen wir </w:t>
      </w:r>
      <w:r w:rsidRPr="006A6515">
        <w:rPr>
          <w:rFonts w:ascii="Garamond" w:hAnsi="Garamond"/>
          <w:i/>
          <w:iCs/>
          <w:lang w:val="en-US" w:eastAsia="fr-FR"/>
        </w:rPr>
        <w:t>Verdrängung,</w:t>
      </w:r>
      <w:r w:rsidRPr="006A6515">
        <w:rPr>
          <w:rFonts w:ascii="Garamond" w:hAnsi="Garamond"/>
          <w:lang w:val="en-US" w:eastAsia="fr-FR"/>
        </w:rPr>
        <w:t xml:space="preserve"> und die Kraft, welche die Verdrängung herbeigeführt und aufrechtgehalten hat, behaupten wir während der analytischen Arbeit als </w:t>
      </w:r>
      <w:r w:rsidRPr="006A6515">
        <w:rPr>
          <w:rFonts w:ascii="Garamond" w:hAnsi="Garamond"/>
          <w:i/>
          <w:iCs/>
          <w:lang w:val="en-US" w:eastAsia="fr-FR"/>
        </w:rPr>
        <w:t>Widerstand</w:t>
      </w:r>
      <w:r w:rsidRPr="006A6515">
        <w:rPr>
          <w:rFonts w:ascii="Garamond" w:hAnsi="Garamond"/>
          <w:lang w:val="en-US" w:eastAsia="fr-FR"/>
        </w:rPr>
        <w:t xml:space="preserve"> zu verspüren.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Unseren Begriff des Unbewußten gewinnen wir also aus der Lehre von der Verdrängung. Das Verdrängte ist uns das Vorbild des Unbewußten. Wir sehen aber, daß wir zweierlei Unbewußtes haben, das latente, doch bewußtseinsfähige, und das Verdrängte, an sich und ohne weiteres nicht bewußtseinsfähige. Unser Einblick in die psychische Dynamik kann nicht ohne Einfluß auf Nomenklatur und Beschreibung bleiben. Wir heißen das Latente, das nur deskriptiv unbewußt ist, nicht im dynamischen Sinne, </w:t>
      </w:r>
      <w:r w:rsidRPr="006A6515">
        <w:rPr>
          <w:rFonts w:ascii="Garamond" w:hAnsi="Garamond"/>
          <w:i/>
          <w:iCs/>
          <w:lang w:val="en-US" w:eastAsia="fr-FR"/>
        </w:rPr>
        <w:t>vorbewußt;</w:t>
      </w:r>
      <w:r w:rsidRPr="006A6515">
        <w:rPr>
          <w:rFonts w:ascii="Garamond" w:hAnsi="Garamond"/>
          <w:lang w:val="en-US" w:eastAsia="fr-FR"/>
        </w:rPr>
        <w:t xml:space="preserve"> den Namen </w:t>
      </w:r>
      <w:r w:rsidRPr="006A6515">
        <w:rPr>
          <w:rFonts w:ascii="Garamond" w:hAnsi="Garamond"/>
          <w:i/>
          <w:iCs/>
          <w:lang w:val="en-US" w:eastAsia="fr-FR"/>
        </w:rPr>
        <w:t>unbewußt</w:t>
      </w:r>
      <w:r w:rsidRPr="006A6515">
        <w:rPr>
          <w:rFonts w:ascii="Garamond" w:hAnsi="Garamond"/>
          <w:lang w:val="en-US" w:eastAsia="fr-FR"/>
        </w:rPr>
        <w:t xml:space="preserve"> beschränken wir auf das dynamisch unbewußte Verdrängte, so daß wir jetzt drei Termini haben, bewußt </w:t>
      </w:r>
      <w:r w:rsidRPr="006A6515">
        <w:rPr>
          <w:rFonts w:ascii="Garamond" w:hAnsi="Garamond"/>
          <w:i/>
          <w:iCs/>
          <w:lang w:val="en-US" w:eastAsia="fr-FR"/>
        </w:rPr>
        <w:t>(bw),</w:t>
      </w:r>
      <w:r w:rsidRPr="006A6515">
        <w:rPr>
          <w:rFonts w:ascii="Garamond" w:hAnsi="Garamond"/>
          <w:lang w:val="en-US" w:eastAsia="fr-FR"/>
        </w:rPr>
        <w:t xml:space="preserve"> vorbewußt </w:t>
      </w:r>
      <w:r w:rsidRPr="006A6515">
        <w:rPr>
          <w:rFonts w:ascii="Garamond" w:hAnsi="Garamond"/>
          <w:i/>
          <w:iCs/>
          <w:lang w:val="en-US" w:eastAsia="fr-FR"/>
        </w:rPr>
        <w:t>iybw)</w:t>
      </w:r>
      <w:r w:rsidRPr="006A6515">
        <w:rPr>
          <w:rFonts w:ascii="Garamond" w:hAnsi="Garamond"/>
          <w:lang w:val="en-US" w:eastAsia="fr-FR"/>
        </w:rPr>
        <w:t xml:space="preserve"> und unbewußt </w:t>
      </w:r>
      <w:r w:rsidRPr="006A6515">
        <w:rPr>
          <w:rFonts w:ascii="Garamond" w:hAnsi="Garamond"/>
          <w:i/>
          <w:iCs/>
          <w:lang w:val="en-US" w:eastAsia="fr-FR"/>
        </w:rPr>
        <w:t>(ubw),</w:t>
      </w:r>
      <w:r w:rsidRPr="006A6515">
        <w:rPr>
          <w:rFonts w:ascii="Garamond" w:hAnsi="Garamond"/>
          <w:lang w:val="en-US" w:eastAsia="fr-FR"/>
        </w:rPr>
        <w:t xml:space="preserve"> deren Sinn nicht mehr rein deskriptiv ist. Das </w:t>
      </w:r>
      <w:r w:rsidRPr="006A6515">
        <w:rPr>
          <w:rFonts w:ascii="Garamond" w:hAnsi="Garamond"/>
          <w:i/>
          <w:iCs/>
          <w:lang w:val="en-US" w:eastAsia="fr-FR"/>
        </w:rPr>
        <w:t>Vbw,</w:t>
      </w:r>
      <w:r w:rsidRPr="006A6515">
        <w:rPr>
          <w:rFonts w:ascii="Garamond" w:hAnsi="Garamond"/>
          <w:lang w:val="en-US" w:eastAsia="fr-FR"/>
        </w:rPr>
        <w:t xml:space="preserve"> nehmen wir an, steht dem </w:t>
      </w:r>
      <w:r w:rsidRPr="006A6515">
        <w:rPr>
          <w:rFonts w:ascii="Garamond" w:hAnsi="Garamond"/>
          <w:i/>
          <w:iCs/>
          <w:lang w:val="en-US" w:eastAsia="fr-FR"/>
        </w:rPr>
        <w:t>Bw</w:t>
      </w:r>
      <w:r w:rsidRPr="006A6515">
        <w:rPr>
          <w:rFonts w:ascii="Garamond" w:hAnsi="Garamond"/>
          <w:lang w:val="en-US" w:eastAsia="fr-FR"/>
        </w:rPr>
        <w:t xml:space="preserve"> viel näher als das </w:t>
      </w:r>
      <w:r w:rsidRPr="006A6515">
        <w:rPr>
          <w:rFonts w:ascii="Garamond" w:hAnsi="Garamond"/>
          <w:i/>
          <w:iCs/>
          <w:lang w:val="en-US" w:eastAsia="fr-FR"/>
        </w:rPr>
        <w:t>Ubw,</w:t>
      </w:r>
      <w:r w:rsidRPr="006A6515">
        <w:rPr>
          <w:rFonts w:ascii="Garamond" w:hAnsi="Garamond"/>
          <w:lang w:val="en-US" w:eastAsia="fr-FR"/>
        </w:rPr>
        <w:t xml:space="preserve"> und da wir das </w:t>
      </w:r>
      <w:r w:rsidRPr="006A6515">
        <w:rPr>
          <w:rFonts w:ascii="Garamond" w:hAnsi="Garamond"/>
          <w:i/>
          <w:iCs/>
          <w:lang w:val="en-US" w:eastAsia="fr-FR"/>
        </w:rPr>
        <w:t>Ubw</w:t>
      </w:r>
      <w:r w:rsidRPr="006A6515">
        <w:rPr>
          <w:rFonts w:ascii="Garamond" w:hAnsi="Garamond"/>
          <w:lang w:val="en-US" w:eastAsia="fr-FR"/>
        </w:rPr>
        <w:t xml:space="preserve"> psychisch geheißen haben, werden wir es beim latenten </w:t>
      </w:r>
      <w:r w:rsidRPr="006A6515">
        <w:rPr>
          <w:rFonts w:ascii="Garamond" w:hAnsi="Garamond"/>
          <w:i/>
          <w:iCs/>
          <w:lang w:val="en-US" w:eastAsia="fr-FR"/>
        </w:rPr>
        <w:t>Vbw</w:t>
      </w:r>
      <w:r w:rsidRPr="006A6515">
        <w:rPr>
          <w:rFonts w:ascii="Garamond" w:hAnsi="Garamond"/>
          <w:lang w:val="en-US" w:eastAsia="fr-FR"/>
        </w:rPr>
        <w:t xml:space="preserve"> um so unbedenklicher tun. Warum wollen wir aber nicht lieber im Einvernehmen mit den Philosophen bleiben und das </w:t>
      </w:r>
      <w:r w:rsidRPr="006A6515">
        <w:rPr>
          <w:rFonts w:ascii="Garamond" w:hAnsi="Garamond"/>
          <w:i/>
          <w:iCs/>
          <w:lang w:val="en-US" w:eastAsia="fr-FR"/>
        </w:rPr>
        <w:t>Vbw</w:t>
      </w:r>
      <w:r w:rsidRPr="006A6515">
        <w:rPr>
          <w:rFonts w:ascii="Garamond" w:hAnsi="Garamond"/>
          <w:lang w:val="en-US" w:eastAsia="fr-FR"/>
        </w:rPr>
        <w:t xml:space="preserve"> wie das </w:t>
      </w:r>
      <w:r w:rsidRPr="006A6515">
        <w:rPr>
          <w:rFonts w:ascii="Garamond" w:hAnsi="Garamond"/>
          <w:i/>
          <w:iCs/>
          <w:lang w:val="en-US" w:eastAsia="fr-FR"/>
        </w:rPr>
        <w:t>Ubw</w:t>
      </w:r>
      <w:r w:rsidRPr="006A6515">
        <w:rPr>
          <w:rFonts w:ascii="Garamond" w:hAnsi="Garamond"/>
          <w:lang w:val="en-US" w:eastAsia="fr-FR"/>
        </w:rPr>
        <w:t xml:space="preserve"> konsequenterweise vom bewußten Psychischen trennen? Die Philosophen würden uns dann vorschlagen, das </w:t>
      </w:r>
      <w:r w:rsidRPr="006A6515">
        <w:rPr>
          <w:rFonts w:ascii="Garamond" w:hAnsi="Garamond"/>
          <w:i/>
          <w:iCs/>
          <w:lang w:val="en-US" w:eastAsia="fr-FR"/>
        </w:rPr>
        <w:t>Vbw</w:t>
      </w:r>
      <w:r w:rsidRPr="006A6515">
        <w:rPr>
          <w:rFonts w:ascii="Garamond" w:hAnsi="Garamond"/>
          <w:lang w:val="en-US" w:eastAsia="fr-FR"/>
        </w:rPr>
        <w:t xml:space="preserve"> wie das </w:t>
      </w:r>
      <w:r w:rsidRPr="006A6515">
        <w:rPr>
          <w:rFonts w:ascii="Garamond" w:hAnsi="Garamond"/>
          <w:i/>
          <w:iCs/>
          <w:lang w:val="en-US" w:eastAsia="fr-FR"/>
        </w:rPr>
        <w:t>Ubw</w:t>
      </w:r>
      <w:r w:rsidRPr="006A6515">
        <w:rPr>
          <w:rFonts w:ascii="Garamond" w:hAnsi="Garamond"/>
          <w:lang w:val="en-US" w:eastAsia="fr-FR"/>
        </w:rPr>
        <w:t xml:space="preserve"> als zwei Arten oder Stufen des </w:t>
      </w:r>
      <w:r w:rsidRPr="006A6515">
        <w:rPr>
          <w:rFonts w:ascii="Garamond" w:hAnsi="Garamond"/>
          <w:i/>
          <w:iCs/>
          <w:lang w:val="en-US" w:eastAsia="fr-FR"/>
        </w:rPr>
        <w:t>Psychoiden</w:t>
      </w:r>
      <w:r w:rsidRPr="006A6515">
        <w:rPr>
          <w:rFonts w:ascii="Garamond" w:hAnsi="Garamond"/>
          <w:lang w:val="en-US" w:eastAsia="fr-FR"/>
        </w:rPr>
        <w:t xml:space="preserve"> zu beschreiben, und die Einigkeit wäre hergestellt. Aber unendliche </w:t>
      </w:r>
      <w:r w:rsidRPr="006A6515">
        <w:rPr>
          <w:rFonts w:ascii="Garamond" w:hAnsi="Garamond"/>
          <w:lang w:val="en-US" w:eastAsia="fr-FR"/>
        </w:rPr>
        <w:lastRenderedPageBreak/>
        <w:t>Schwierigkeiten in der Darstellung wären die Folge davon, und die einzig wichtige Tatsache, daß diese Psychoide fast in allen anderen Punkten mit dem anerkannt Psychischen übereinstimmen, wäre zugunsten eines Vorurteils in den Hintergrund gedrängt, eines Vorurteils, das aus der Zeit stammt, da man diese Psychoide oder das Bedeutsamste von ihnen noch nicht kannte.</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Nun können wir mit unseren drei Termini, </w:t>
      </w:r>
      <w:r w:rsidRPr="006A6515">
        <w:rPr>
          <w:rFonts w:ascii="Garamond" w:hAnsi="Garamond"/>
          <w:i/>
          <w:iCs/>
          <w:lang w:val="en-US" w:eastAsia="fr-FR"/>
        </w:rPr>
        <w:t>bw, vbw</w:t>
      </w:r>
      <w:r w:rsidRPr="006A6515">
        <w:rPr>
          <w:rFonts w:ascii="Garamond" w:hAnsi="Garamond"/>
          <w:lang w:val="en-US" w:eastAsia="fr-FR"/>
        </w:rPr>
        <w:t xml:space="preserve"> und </w:t>
      </w:r>
      <w:r w:rsidRPr="006A6515">
        <w:rPr>
          <w:rFonts w:ascii="Garamond" w:hAnsi="Garamond"/>
          <w:i/>
          <w:iCs/>
          <w:lang w:val="en-US" w:eastAsia="fr-FR"/>
        </w:rPr>
        <w:t>ubw,</w:t>
      </w:r>
      <w:r w:rsidRPr="006A6515">
        <w:rPr>
          <w:rFonts w:ascii="Garamond" w:hAnsi="Garamond"/>
          <w:lang w:val="en-US" w:eastAsia="fr-FR"/>
        </w:rPr>
        <w:t xml:space="preserve"> bequem wirtschaften, wenn wir nur nicht vergessen, daß es im deskriptiven Sinne zweierlei Unbewußtes gibt, im dynamischen aber nur eines</w:t>
      </w:r>
      <w:r w:rsidRPr="006A6515">
        <w:rPr>
          <w:rFonts w:ascii="Garamond" w:hAnsi="Garamond"/>
          <w:i/>
          <w:iCs/>
          <w:lang w:val="en-US" w:eastAsia="fr-FR"/>
        </w:rPr>
        <w:t xml:space="preserve">. </w:t>
      </w:r>
      <w:r w:rsidRPr="006A6515">
        <w:rPr>
          <w:rFonts w:ascii="Garamond" w:hAnsi="Garamond"/>
          <w:lang w:val="en-US" w:eastAsia="fr-FR"/>
        </w:rPr>
        <w:t>Für manche Zwecke der Darstellung kann man diese Unterscheidung vernachlässigen, für andere ist sie natürlich unentbehrlich. Wir haben uns immerhin an diese Zweideutigkeit des Unbewußten ziemlich gewöhnt und sind gut mit ihr ausgekommen. Vermeiden läßt sie sich, soweit ich sehen kann, nicht; die Unterscheidung zwischen Bewußtem und Unbewußtem ist schließlich eine Frage der Wahrnehmung, die mit Ja oder Nein zu beantworten ist, und der Akt der Wahrnehmung selbst gibt keine Auskunft darüber, aus welchem Grund etwas wahrgenommen wird oder nicht wahrgenommen wird. Man darf sich nicht darüber beklagen, daß das Dynamische in der Erscheinung nur einen zweideutigen Ausdruck findet.</w:t>
      </w:r>
      <w:r w:rsidRPr="006A6515">
        <w:rPr>
          <w:rFonts w:ascii="Garamond" w:hAnsi="Garamond"/>
          <w:vertAlign w:val="superscript"/>
          <w:lang w:val="en-US" w:eastAsia="fr-FR"/>
        </w:rPr>
        <w:t>1)</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Im weiteren Verlauf der psychoanalytischen Arbeit stellt sich aber heraus, daß auch diese Unterscheidungen unzulänglich, praktisch insuffizient sind. Unter den Situationen, die das zeigen, sei folgende als die entscheidende hervorgehoben. Wir haben uns die Vorstellung von einer zusammen</w:t>
      </w:r>
      <w:r w:rsidRPr="006A6515">
        <w:rPr>
          <w:rFonts w:ascii="Garamond" w:hAnsi="Garamond"/>
          <w:lang w:val="en-US" w:eastAsia="fr-FR"/>
        </w:rPr>
        <w:softHyphen/>
        <w:t xml:space="preserve">hängenden Organisation der seelischen Vorgänge in einer Person gebildet und heißen diese das </w:t>
      </w:r>
      <w:r w:rsidRPr="006A6515">
        <w:rPr>
          <w:rFonts w:ascii="Garamond" w:hAnsi="Garamond"/>
          <w:i/>
          <w:iCs/>
          <w:lang w:val="en-US" w:eastAsia="fr-FR"/>
        </w:rPr>
        <w:t>Ich</w:t>
      </w:r>
      <w:r w:rsidRPr="006A6515">
        <w:rPr>
          <w:rFonts w:ascii="Garamond" w:hAnsi="Garamond"/>
          <w:lang w:val="en-US" w:eastAsia="fr-FR"/>
        </w:rPr>
        <w:t xml:space="preserve"> derselben. An diesem Ich hängt das Bewußtsein, es beherrscht die Zugänge zur Motilität, das ist: zur Abfuhr der Erregungen in die Außenwelt; es ist diejenige seelische Instanz, welche eine Kontrolle über all ihre Partialvorgänge ausübt, welche zur Nachtzeit schlafen geht und dann immer noch die Traumzensur handhabt. Von diesem Ich gehen auch die Verdrängungen aus, durch welche gewisse seelische Strebungen nicht nur vom Bewußtsein, sondern auch von den anderen Arten der Geltung und Betätigung ausgeschlossen werden sollen. Dies durch die Verdrängung Beseitigte stellt sich in der Analyse dem Ich gegenüber, und es wird der Analyse die Aufgabe gestellt, die Widerstände aufzuheben, die das Ich gegen die Beschäftigung mit dem Verdrängten äußert. Nun machen wir während der Analyse die Beobachtung, daß der Kranke in Schwierigkeiten gerät, wenn wir ihm gewisse Aufgaben stellen; seine Assoziationen versagen, wenn sie sich dem Verdrängten annähern sollen. Wir sagen ihm dann, er stehe unter der Herrschaft eines Widerstandes, aber er weiß nichts davon, und selbst wenn er aus seinen Unlustgefühlen erraten sollte, daß jetzt ein Widerstand in ihm wirkt, so weiß er ihn nicht zu benennen und anzugeben. Da aber dieser Widerstand sicherlich von seinem Ich ausgeht und diesem angehört, so stehen wir vor einer unvorhergesehenen Situation. Wir haben im Ich selbst etwas gefunden, was auch unbewußt ist, sich geradeso benimmt wie das Verdrängte, das heißt starke Wirkungen äußert, ohne selbst bewußt zu werden, und zu dessen Bewußtmachung es einer besonderen Arbeit bedarf. Die Folge dieser Erfahrung für die analytische Praxis ist, daß wir in unendlich viele Undeutlichkeiten und Schwierigkeiten geraten, wenn wir an unserer gewohnten Ausdrucksweise festhalten und zum Beispiel die Neurose auf einen Konflikt zwischen dem Bewußten und dem Unbewußten zurückführen wollen. Wir müssen für diesen Gegensatz aus unserer Einsicht in die strukturellen Verhältnisse des Seelenlebens einen anderen einsetzen: den zwischen dem zusammenhängenden Ich und dem von ihm abgespaltenen Verdrängten.</w:t>
      </w:r>
      <w:r w:rsidRPr="006A6515">
        <w:rPr>
          <w:rFonts w:ascii="Garamond" w:hAnsi="Garamond"/>
          <w:vertAlign w:val="superscript"/>
          <w:lang w:val="en-US" w:eastAsia="fr-FR"/>
        </w:rPr>
        <w:t>2)</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Die Folgen für unsere Auffassung des Unbewußten sind aber noch bedeutsamer. Die dynamische Betrachtung hatte uns die erste Korrektur gebracht, die strukturelle Einsicht bringt uns die zweite. Wir erkennen, daß das </w:t>
      </w:r>
      <w:r w:rsidRPr="006A6515">
        <w:rPr>
          <w:rFonts w:ascii="Garamond" w:hAnsi="Garamond"/>
          <w:i/>
          <w:iCs/>
          <w:lang w:val="en-US" w:eastAsia="fr-FR"/>
        </w:rPr>
        <w:t>Ubw</w:t>
      </w:r>
      <w:r w:rsidRPr="006A6515">
        <w:rPr>
          <w:rFonts w:ascii="Garamond" w:hAnsi="Garamond"/>
          <w:lang w:val="en-US" w:eastAsia="fr-FR"/>
        </w:rPr>
        <w:t xml:space="preserve"> nicht mit dem Verdrängten zusammenfällt; es bleibt richtig, daß alles Verdrängte </w:t>
      </w:r>
      <w:r w:rsidRPr="006A6515">
        <w:rPr>
          <w:rFonts w:ascii="Garamond" w:hAnsi="Garamond"/>
          <w:i/>
          <w:iCs/>
          <w:lang w:val="en-US" w:eastAsia="fr-FR"/>
        </w:rPr>
        <w:t>ubw</w:t>
      </w:r>
      <w:r w:rsidRPr="006A6515">
        <w:rPr>
          <w:rFonts w:ascii="Garamond" w:hAnsi="Garamond"/>
          <w:lang w:val="en-US" w:eastAsia="fr-FR"/>
        </w:rPr>
        <w:t xml:space="preserve"> ist, aber nicht alles </w:t>
      </w:r>
      <w:r w:rsidRPr="006A6515">
        <w:rPr>
          <w:rFonts w:ascii="Garamond" w:hAnsi="Garamond"/>
          <w:i/>
          <w:iCs/>
          <w:lang w:val="en-US" w:eastAsia="fr-FR"/>
        </w:rPr>
        <w:t>Ubw</w:t>
      </w:r>
      <w:r w:rsidRPr="006A6515">
        <w:rPr>
          <w:rFonts w:ascii="Garamond" w:hAnsi="Garamond"/>
          <w:lang w:val="en-US" w:eastAsia="fr-FR"/>
        </w:rPr>
        <w:t xml:space="preserve"> ist auch verdrängt. Auch ein Teil des Ichs, ein Gott weiß wie wichtiger Teil des Ichs, kann </w:t>
      </w:r>
      <w:r w:rsidRPr="006A6515">
        <w:rPr>
          <w:rFonts w:ascii="Garamond" w:hAnsi="Garamond"/>
          <w:i/>
          <w:iCs/>
          <w:lang w:val="en-US" w:eastAsia="fr-FR"/>
        </w:rPr>
        <w:t>ubw</w:t>
      </w:r>
      <w:r w:rsidRPr="006A6515">
        <w:rPr>
          <w:rFonts w:ascii="Garamond" w:hAnsi="Garamond"/>
          <w:lang w:val="en-US" w:eastAsia="fr-FR"/>
        </w:rPr>
        <w:t xml:space="preserve"> sein, ist sicherlich </w:t>
      </w:r>
      <w:r w:rsidRPr="006A6515">
        <w:rPr>
          <w:rFonts w:ascii="Garamond" w:hAnsi="Garamond"/>
          <w:i/>
          <w:iCs/>
          <w:lang w:val="en-US" w:eastAsia="fr-FR"/>
        </w:rPr>
        <w:t>ubw.</w:t>
      </w:r>
      <w:r w:rsidRPr="006A6515">
        <w:rPr>
          <w:rFonts w:ascii="Garamond" w:hAnsi="Garamond"/>
          <w:lang w:val="en-US" w:eastAsia="fr-FR"/>
        </w:rPr>
        <w:t xml:space="preserve"> Und dies </w:t>
      </w:r>
      <w:r w:rsidRPr="006A6515">
        <w:rPr>
          <w:rFonts w:ascii="Garamond" w:hAnsi="Garamond"/>
          <w:i/>
          <w:iCs/>
          <w:lang w:val="en-US" w:eastAsia="fr-FR"/>
        </w:rPr>
        <w:t>Ubw</w:t>
      </w:r>
      <w:r w:rsidRPr="006A6515">
        <w:rPr>
          <w:rFonts w:ascii="Garamond" w:hAnsi="Garamond"/>
          <w:lang w:val="en-US" w:eastAsia="fr-FR"/>
        </w:rPr>
        <w:t xml:space="preserve"> des Ichs ist nicht latent im Sinne des </w:t>
      </w:r>
      <w:r w:rsidRPr="006A6515">
        <w:rPr>
          <w:rFonts w:ascii="Garamond" w:hAnsi="Garamond"/>
          <w:i/>
          <w:iCs/>
          <w:lang w:val="en-US" w:eastAsia="fr-FR"/>
        </w:rPr>
        <w:t>Vbw,</w:t>
      </w:r>
      <w:r w:rsidRPr="006A6515">
        <w:rPr>
          <w:rFonts w:ascii="Garamond" w:hAnsi="Garamond"/>
          <w:lang w:val="en-US" w:eastAsia="fr-FR"/>
        </w:rPr>
        <w:t xml:space="preserve"> sonst dürfte es nicht aktiviert werden, ohne </w:t>
      </w:r>
      <w:r w:rsidRPr="006A6515">
        <w:rPr>
          <w:rFonts w:ascii="Garamond" w:hAnsi="Garamond"/>
          <w:i/>
          <w:iCs/>
          <w:lang w:val="en-US" w:eastAsia="fr-FR"/>
        </w:rPr>
        <w:t>bw</w:t>
      </w:r>
      <w:r w:rsidRPr="006A6515">
        <w:rPr>
          <w:rFonts w:ascii="Garamond" w:hAnsi="Garamond"/>
          <w:lang w:val="en-US" w:eastAsia="fr-FR"/>
        </w:rPr>
        <w:t xml:space="preserve"> zu werden, und seine Bewußtmachung dürfte nicht so große Schwierigkeiten bereiten. Wenn wir uns so vor der Nötigung sehen, ein drittes, nicht verdrängtes </w:t>
      </w:r>
      <w:r w:rsidRPr="006A6515">
        <w:rPr>
          <w:rFonts w:ascii="Garamond" w:hAnsi="Garamond"/>
          <w:i/>
          <w:iCs/>
          <w:lang w:val="en-US" w:eastAsia="fr-FR"/>
        </w:rPr>
        <w:t>Ubw</w:t>
      </w:r>
      <w:r w:rsidRPr="006A6515">
        <w:rPr>
          <w:rFonts w:ascii="Garamond" w:hAnsi="Garamond"/>
          <w:lang w:val="en-US" w:eastAsia="fr-FR"/>
        </w:rPr>
        <w:t xml:space="preserve"> aufzustellen, so müssen wir zugestehen, daß der Charakter des Unbewußtseins für uns an Bedeutung verliert. Er wird zu einer vieldeutigen Qualität, die nicht die weitgehenden und ausschließenden Folgerungen gestattet, für welche wir ihn gerne verwertet hätten. Doch müssen wir uns hüten, ihn zu vernachlässigen, denn schließlich ist die Eigenschaft bewußt oder nicht die einzige Leuchte im Dunkel der Tiefenpsychologie.</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______________________</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1)</w:t>
      </w:r>
      <w:r w:rsidRPr="006A6515">
        <w:rPr>
          <w:rFonts w:ascii="Garamond" w:hAnsi="Garamond"/>
          <w:lang w:val="en-US" w:eastAsia="fr-FR"/>
        </w:rPr>
        <w:t xml:space="preserve"> Soweit vgl.: ›Bemerkungen über den Begriff des Unbewußten‹. Eine neuerliche Wendung in der Kritik des Unbewußten verdient an dieser Stelle gewürdigt zu werden. Manche Forscher, die sich der Anerkennung der psychoanalytischen Tatsachen nicht verschließen, das Unbewußte aber nicht annehmen wollen, schaffen sich eine Auskunft mit Hilfe der unbestrittenen Tatsache, daß auch das Bewußtsein — als </w:t>
      </w:r>
      <w:r w:rsidRPr="006A6515">
        <w:rPr>
          <w:rFonts w:ascii="Garamond" w:hAnsi="Garamond"/>
          <w:lang w:val="en-US" w:eastAsia="fr-FR"/>
        </w:rPr>
        <w:lastRenderedPageBreak/>
        <w:t>Phänomen — eine große Reihe von Abstufungen der Intensität oder Deutlichkeit erkennen läßt. So wie es Vorgänge gibt, die sehr lebhaft, grell, greifbar bewußt sind, so erleben wir auch andere, die nur schwach, kaum eben merklich bewußt sind, und die am schwächsten bewußten seien eben die, für welche die Psychoanalyse das unpassende Wort unbewußt gebrauchen wolle. Sie seienaber doch auch bewußt oder »im Bewußtsein« und lassen sich voll und stark bewußtmachen, wenn man ihnen genug Aufmerksamkeit schenkte.</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Soweit die Entscheidung in einer solchen entweder von der Konvention oder von Gefühlsmomenten abhängigen Frage durch Argumente beeinflußt werden kann, läßt sich hiezu folgendes bemerken: Der Hinweis auf eine Deutlichkeitsskala der Bewußt</w:t>
      </w:r>
      <w:r w:rsidRPr="006A6515">
        <w:rPr>
          <w:rFonts w:ascii="Garamond" w:hAnsi="Garamond"/>
          <w:lang w:val="en-US" w:eastAsia="fr-FR"/>
        </w:rPr>
        <w:softHyphen/>
        <w:t>heit hat nichts Verbindliches und nicht mehr Beweiskraft als etwa die analogen Sätze: »Es gibt so viel Abstufungen der Beleuchtung vom grellsten, blendenden Licht bis zum matten Lichtschimmer, folglich gibt es überhaupt keine Dunkelheit.« Oder: »Es gibt verschiedene Grade von Vitalität, folglich gibt es keinen Tod.« Diese Sätze mö</w:t>
      </w:r>
      <w:r w:rsidRPr="006A6515">
        <w:rPr>
          <w:rFonts w:ascii="Garamond" w:hAnsi="Garamond"/>
          <w:lang w:val="en-US" w:eastAsia="fr-FR"/>
        </w:rPr>
        <w:softHyphen/>
        <w:t>gen ja in einer gewissen Weise sinnreich sein, aber sie sind praktisch verwerflich, wie sich herausstellt, wenn man bestimmte Folgerungen von ihnen ableiten will, zum Beispiel: »also braucht man kein Licht anzustecken«, oder: »also sind alle Organismen unsterblich«. Ferner erreicht man durch die Subsumierung des Unmerklichen unter das Bewußte nichts anderes, als daß man sich die einzige unmittelbare Sicherheit verdirbt, die es im Psychischen überhaupt gibt. Ein Bewußtsein, von dem man nichts weiß, scheint mir doch um vieles absurder als ein unbewußtes Seelisches. Endlich ist solche Angleichung des Unbemerkten an das Unbewußte offenbar ohne Rücksicht auf die dynamischen Verhältnisse versucht worden, welche für die psychoanalytische Auffassung maßgebend waren. Denn zwei Tatsachen werden dabei vernachlässigt; erstens, daß es sehr schwierig ist, großer Anstrengung bedarf, um einem solchen Unbemerkten genug Aufmerksamkeit zuzuführen, und zweitens, daß, wenn dies gelungen ist, das vordem Unbemerkte jetzt nicht vom Bewußtsein erkannt wird, sondern oft genug ihm völlig fremd, gegensätzlich erscheint und von ihm schroff abgelehnt wird. Der Rekurs vom Unbewußten auf das wenig Bemerkte und nicht Bemerkte ist also doch nur ein Abkömmling des Vorurteils, dem die Identität des Psychischen mit dem Bewußten ein für allemal feststeht.</w:t>
      </w:r>
    </w:p>
    <w:p w:rsidR="00525700" w:rsidRPr="006A6515" w:rsidRDefault="00525700" w:rsidP="006A6515">
      <w:pPr>
        <w:pStyle w:val="Sansinterligne"/>
        <w:rPr>
          <w:rFonts w:ascii="Garamond" w:hAnsi="Garamond"/>
          <w:lang w:eastAsia="fr-FR"/>
        </w:rPr>
      </w:pPr>
      <w:r w:rsidRPr="006A6515">
        <w:rPr>
          <w:rFonts w:ascii="Garamond" w:hAnsi="Garamond"/>
          <w:vertAlign w:val="superscript"/>
          <w:lang w:eastAsia="fr-FR"/>
        </w:rPr>
        <w:t>2)</w:t>
      </w:r>
      <w:r w:rsidRPr="006A6515">
        <w:rPr>
          <w:rFonts w:ascii="Garamond" w:hAnsi="Garamond"/>
          <w:lang w:eastAsia="fr-FR"/>
        </w:rPr>
        <w:t xml:space="preserve"> Vgl. </w:t>
      </w:r>
      <w:r w:rsidRPr="006A6515">
        <w:rPr>
          <w:rFonts w:ascii="Garamond" w:hAnsi="Garamond"/>
          <w:i/>
          <w:iCs/>
          <w:lang w:eastAsia="fr-FR"/>
        </w:rPr>
        <w:t>Jenseits des Lustprinzips</w:t>
      </w:r>
      <w:r w:rsidRPr="006A6515">
        <w:rPr>
          <w:rFonts w:ascii="Garamond" w:hAnsi="Garamond"/>
          <w:lang w:eastAsia="fr-FR"/>
        </w:rPr>
        <w:t>.</w:t>
      </w:r>
    </w:p>
    <w:p w:rsidR="006A6515" w:rsidRDefault="006A6515">
      <w:pPr>
        <w:rPr>
          <w:rFonts w:ascii="Garamond" w:hAnsi="Garamond"/>
          <w:b/>
          <w:bCs/>
          <w:lang w:eastAsia="fr-FR"/>
        </w:rPr>
      </w:pPr>
      <w:r>
        <w:rPr>
          <w:rFonts w:ascii="Garamond" w:hAnsi="Garamond"/>
          <w:b/>
          <w:bCs/>
          <w:lang w:eastAsia="fr-FR"/>
        </w:rPr>
        <w:br w:type="page"/>
      </w:r>
    </w:p>
    <w:p w:rsidR="00525700" w:rsidRPr="004E00C6" w:rsidRDefault="00B437A1" w:rsidP="006A6515">
      <w:pPr>
        <w:pStyle w:val="Sansinterligne"/>
        <w:rPr>
          <w:rFonts w:ascii="Garamond" w:hAnsi="Garamond"/>
          <w:b/>
          <w:bCs/>
          <w:lang w:eastAsia="fr-FR"/>
        </w:rPr>
      </w:pPr>
      <w:hyperlink w:anchor="Das_Ich_INHALT" w:history="1">
        <w:r w:rsidR="00525700" w:rsidRPr="004E00C6">
          <w:rPr>
            <w:rStyle w:val="Lienhypertexte"/>
            <w:rFonts w:ascii="Garamond" w:hAnsi="Garamond"/>
            <w:b/>
            <w:bCs/>
            <w:lang w:eastAsia="fr-FR"/>
          </w:rPr>
          <w:t>II. Da</w:t>
        </w:r>
        <w:bookmarkStart w:id="40" w:name="Das_Ich_2"/>
        <w:bookmarkEnd w:id="40"/>
        <w:r w:rsidR="00525700" w:rsidRPr="004E00C6">
          <w:rPr>
            <w:rStyle w:val="Lienhypertexte"/>
            <w:rFonts w:ascii="Garamond" w:hAnsi="Garamond"/>
            <w:b/>
            <w:bCs/>
            <w:lang w:eastAsia="fr-FR"/>
          </w:rPr>
          <w:t>s Ich und das Es</w:t>
        </w:r>
      </w:hyperlink>
    </w:p>
    <w:p w:rsidR="00525700" w:rsidRPr="004E00C6" w:rsidRDefault="00525700" w:rsidP="006A6515">
      <w:pPr>
        <w:pStyle w:val="Sansinterligne"/>
        <w:rPr>
          <w:rFonts w:ascii="Garamond" w:hAnsi="Garamond"/>
          <w:lang w:eastAsia="fr-FR"/>
        </w:rPr>
      </w:pPr>
    </w:p>
    <w:p w:rsidR="00525700" w:rsidRPr="006A6515" w:rsidRDefault="00525700" w:rsidP="006A6515">
      <w:pPr>
        <w:pStyle w:val="Sansinterligne"/>
        <w:rPr>
          <w:rFonts w:ascii="Garamond" w:hAnsi="Garamond"/>
          <w:lang w:eastAsia="fr-FR"/>
        </w:rPr>
      </w:pPr>
      <w:r w:rsidRPr="006A6515">
        <w:rPr>
          <w:rFonts w:ascii="Garamond" w:hAnsi="Garamond"/>
          <w:lang w:eastAsia="fr-FR"/>
        </w:rPr>
        <w:t>Die pathologische Forschung hat unser Interesse allzu ausschließlich auf das Verdrängte gerichtet. Wir möchten mehr vom Ich erfahren, seitdem wir wissen, daß auch das Ich unbewußt im eigentlichen Sinne sein kann. Unser einziger Anhalt während unserer Untersuchungen war bisher das Kennzeichen des Bewußt- oder Unbewußtseins; zuletzt haben wir gesehen, wie vieldeutig dies sein kann.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Nun ist all unser Wissen immer an das Bewußtsein gebunden. Auch das </w:t>
      </w:r>
      <w:r w:rsidRPr="006A6515">
        <w:rPr>
          <w:rFonts w:ascii="Garamond" w:hAnsi="Garamond"/>
          <w:i/>
          <w:iCs/>
          <w:lang w:val="en-US" w:eastAsia="fr-FR"/>
        </w:rPr>
        <w:t>Ubw</w:t>
      </w:r>
      <w:r w:rsidRPr="006A6515">
        <w:rPr>
          <w:rFonts w:ascii="Garamond" w:hAnsi="Garamond"/>
          <w:lang w:val="en-US" w:eastAsia="fr-FR"/>
        </w:rPr>
        <w:t xml:space="preserve"> können wir nur dadurch kennenlernen, daß wir es bewußtmachen. Aber halt, wie ist das möglich? Was heißt: etwas bewußtmachen? Wie kann das vor sich gehen?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Wir wissen schon, wo wir hiefür anzuknüpfen haben. Wir haben gesagt, das Bewußtsein ist die </w:t>
      </w:r>
      <w:r w:rsidRPr="006A6515">
        <w:rPr>
          <w:rFonts w:ascii="Garamond" w:hAnsi="Garamond"/>
          <w:i/>
          <w:iCs/>
          <w:lang w:val="en-US" w:eastAsia="fr-FR"/>
        </w:rPr>
        <w:t>Oberfläche</w:t>
      </w:r>
      <w:r w:rsidRPr="006A6515">
        <w:rPr>
          <w:rFonts w:ascii="Garamond" w:hAnsi="Garamond"/>
          <w:lang w:val="en-US" w:eastAsia="fr-FR"/>
        </w:rPr>
        <w:t xml:space="preserve"> des seelischen Apparates, das heißt, wir haben es einem System als Funktion zugeschrieben, welches räumlich das erste von der Außenwelt her ist. Räumlich übrigens nicht nur im Sinne der Funktion, sondern diesmal auch im Sinne der anatomischen Zergliederung.</w:t>
      </w:r>
      <w:r w:rsidRPr="006A6515">
        <w:rPr>
          <w:rFonts w:ascii="Garamond" w:hAnsi="Garamond"/>
          <w:vertAlign w:val="superscript"/>
          <w:lang w:val="en-US" w:eastAsia="fr-FR"/>
        </w:rPr>
        <w:t>1)</w:t>
      </w:r>
      <w:r w:rsidRPr="006A6515">
        <w:rPr>
          <w:rFonts w:ascii="Garamond" w:hAnsi="Garamond"/>
          <w:lang w:val="en-US" w:eastAsia="fr-FR"/>
        </w:rPr>
        <w:t xml:space="preserve"> Auch unser Forschen muß diese wahrnehmende Oberfläche zum Ausgang nehmen.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Von vornherein </w:t>
      </w:r>
      <w:r w:rsidRPr="006A6515">
        <w:rPr>
          <w:rFonts w:ascii="Garamond" w:hAnsi="Garamond"/>
          <w:i/>
          <w:iCs/>
          <w:lang w:val="en-US" w:eastAsia="fr-FR"/>
        </w:rPr>
        <w:t>bw</w:t>
      </w:r>
      <w:r w:rsidRPr="006A6515">
        <w:rPr>
          <w:rFonts w:ascii="Garamond" w:hAnsi="Garamond"/>
          <w:lang w:val="en-US" w:eastAsia="fr-FR"/>
        </w:rPr>
        <w:t xml:space="preserve"> sind alle Wahrnehmungen, die von außen herankom</w:t>
      </w:r>
      <w:r w:rsidRPr="006A6515">
        <w:rPr>
          <w:rFonts w:ascii="Garamond" w:hAnsi="Garamond"/>
          <w:lang w:val="en-US" w:eastAsia="fr-FR"/>
        </w:rPr>
        <w:softHyphen/>
        <w:t xml:space="preserve">men (Sinneswahrnehmungen), und von innen her, was wir Empfindungen und Gefühle heißen. Wie aber ist es mit jenen inneren Vorgängen, die wir etwa — roh und ungenau — als Denkvorgänge zusammenfassen können? Kommen sie, die sich irgendwo im Innern des Apparates als Verschiebungen seelischer Energie auf dem Wege zur Handlung vollziehen, an die Oberfläche, die das Bewußtsein entstehen läßt, heran? Oder kommt das Bewußtsein zu ihnen? Wir merken, das ist eine von den Schwierigkeiten, die sich ergeben, wenn man mit der räumlichen, </w:t>
      </w:r>
      <w:r w:rsidRPr="006A6515">
        <w:rPr>
          <w:rFonts w:ascii="Garamond" w:hAnsi="Garamond"/>
          <w:i/>
          <w:iCs/>
          <w:lang w:val="en-US" w:eastAsia="fr-FR"/>
        </w:rPr>
        <w:t>topischen</w:t>
      </w:r>
      <w:r w:rsidRPr="006A6515">
        <w:rPr>
          <w:rFonts w:ascii="Garamond" w:hAnsi="Garamond"/>
          <w:lang w:val="en-US" w:eastAsia="fr-FR"/>
        </w:rPr>
        <w:t xml:space="preserve"> Vorstellung des seelischen Geschehens Ernst machen will. Beide Möglichkeiten sind gleich unaus</w:t>
      </w:r>
      <w:r w:rsidRPr="006A6515">
        <w:rPr>
          <w:rFonts w:ascii="Garamond" w:hAnsi="Garamond"/>
          <w:lang w:val="en-US" w:eastAsia="fr-FR"/>
        </w:rPr>
        <w:softHyphen/>
        <w:t>denkbar, es müßte etwas Drittes der Fall sein.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An einer anderen Stelle </w:t>
      </w:r>
      <w:r w:rsidRPr="006A6515">
        <w:rPr>
          <w:rFonts w:ascii="Garamond" w:hAnsi="Garamond"/>
          <w:vertAlign w:val="superscript"/>
          <w:lang w:val="en-US" w:eastAsia="fr-FR"/>
        </w:rPr>
        <w:t>2)</w:t>
      </w:r>
      <w:r w:rsidRPr="006A6515">
        <w:rPr>
          <w:rFonts w:ascii="Garamond" w:hAnsi="Garamond"/>
          <w:i/>
          <w:iCs/>
          <w:lang w:val="en-US" w:eastAsia="fr-FR"/>
        </w:rPr>
        <w:t xml:space="preserve"> </w:t>
      </w:r>
      <w:r w:rsidRPr="006A6515">
        <w:rPr>
          <w:rFonts w:ascii="Garamond" w:hAnsi="Garamond"/>
          <w:lang w:val="en-US" w:eastAsia="fr-FR"/>
        </w:rPr>
        <w:t xml:space="preserve">habe ich schon die Annahme gemacht, daß der wirkliche Unterschied einer </w:t>
      </w:r>
      <w:r w:rsidRPr="006A6515">
        <w:rPr>
          <w:rFonts w:ascii="Garamond" w:hAnsi="Garamond"/>
          <w:i/>
          <w:iCs/>
          <w:lang w:val="en-US" w:eastAsia="fr-FR"/>
        </w:rPr>
        <w:t>ubw</w:t>
      </w:r>
      <w:r w:rsidRPr="006A6515">
        <w:rPr>
          <w:rFonts w:ascii="Garamond" w:hAnsi="Garamond"/>
          <w:lang w:val="en-US" w:eastAsia="fr-FR"/>
        </w:rPr>
        <w:t xml:space="preserve"> von einer </w:t>
      </w:r>
      <w:r w:rsidRPr="006A6515">
        <w:rPr>
          <w:rFonts w:ascii="Garamond" w:hAnsi="Garamond"/>
          <w:i/>
          <w:iCs/>
          <w:lang w:val="en-US" w:eastAsia="fr-FR"/>
        </w:rPr>
        <w:t>vbw</w:t>
      </w:r>
      <w:r w:rsidRPr="006A6515">
        <w:rPr>
          <w:rFonts w:ascii="Garamond" w:hAnsi="Garamond"/>
          <w:lang w:val="en-US" w:eastAsia="fr-FR"/>
        </w:rPr>
        <w:t xml:space="preserve"> Vorstellung (einem Gedanken) darin besteht, daß die erstere sich an irgendwelchem Material, das unerkannt bleibt, vollzieht, während bei der letzteren (der </w:t>
      </w:r>
      <w:r w:rsidRPr="006A6515">
        <w:rPr>
          <w:rFonts w:ascii="Garamond" w:hAnsi="Garamond"/>
          <w:i/>
          <w:iCs/>
          <w:lang w:val="en-US" w:eastAsia="fr-FR"/>
        </w:rPr>
        <w:t>vbw)</w:t>
      </w:r>
      <w:r w:rsidRPr="006A6515">
        <w:rPr>
          <w:rFonts w:ascii="Garamond" w:hAnsi="Garamond"/>
          <w:lang w:val="en-US" w:eastAsia="fr-FR"/>
        </w:rPr>
        <w:t xml:space="preserve"> die Verbindung mit </w:t>
      </w:r>
      <w:r w:rsidRPr="006A6515">
        <w:rPr>
          <w:rFonts w:ascii="Garamond" w:hAnsi="Garamond"/>
          <w:i/>
          <w:iCs/>
          <w:lang w:val="en-US" w:eastAsia="fr-FR"/>
        </w:rPr>
        <w:t>Wortvorstellungen</w:t>
      </w:r>
      <w:r w:rsidRPr="006A6515">
        <w:rPr>
          <w:rFonts w:ascii="Garamond" w:hAnsi="Garamond"/>
          <w:lang w:val="en-US" w:eastAsia="fr-FR"/>
        </w:rPr>
        <w:t xml:space="preserve"> hinzukommt. Hier ist zuerst der Versuch gemacht, für die beiden Systeme </w:t>
      </w:r>
      <w:r w:rsidRPr="006A6515">
        <w:rPr>
          <w:rFonts w:ascii="Garamond" w:hAnsi="Garamond"/>
          <w:i/>
          <w:iCs/>
          <w:lang w:val="en-US" w:eastAsia="fr-FR"/>
        </w:rPr>
        <w:t>Vbw</w:t>
      </w:r>
      <w:r w:rsidRPr="006A6515">
        <w:rPr>
          <w:rFonts w:ascii="Garamond" w:hAnsi="Garamond"/>
          <w:lang w:val="en-US" w:eastAsia="fr-FR"/>
        </w:rPr>
        <w:t xml:space="preserve"> und </w:t>
      </w:r>
      <w:r w:rsidRPr="006A6515">
        <w:rPr>
          <w:rFonts w:ascii="Garamond" w:hAnsi="Garamond"/>
          <w:i/>
          <w:iCs/>
          <w:lang w:val="en-US" w:eastAsia="fr-FR"/>
        </w:rPr>
        <w:t>Ubw</w:t>
      </w:r>
      <w:r w:rsidRPr="006A6515">
        <w:rPr>
          <w:rFonts w:ascii="Garamond" w:hAnsi="Garamond"/>
          <w:lang w:val="en-US" w:eastAsia="fr-FR"/>
        </w:rPr>
        <w:t xml:space="preserve"> Kennzeichen anzugeben, die anders sind als die Beziehung zum Bewußtsein. Die Frage: »Wie wird etwas bewußt?« lautet also zweckmäßiger: »Wie wird etwas vorbewußt?« Und die Antwort wäre: »Durch Verbindung mit den entsprechenden Wortvorstellungen.«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Diese Wortvorstellungen sind Erinnerungsreste, sie waren einmal Wahrnehmungen und können wie alle Erinnerungsreste wieder bewußt werden. Ehe wir noch weiter von ihrer Natur handeln, dämmert uns wie eine neue Einsicht auf: bewußt werden kann nur das, was schon einmal </w:t>
      </w:r>
      <w:r w:rsidRPr="006A6515">
        <w:rPr>
          <w:rFonts w:ascii="Garamond" w:hAnsi="Garamond"/>
          <w:i/>
          <w:iCs/>
          <w:lang w:val="en-US" w:eastAsia="fr-FR"/>
        </w:rPr>
        <w:t>bw</w:t>
      </w:r>
      <w:r w:rsidRPr="006A6515">
        <w:rPr>
          <w:rFonts w:ascii="Garamond" w:hAnsi="Garamond"/>
          <w:lang w:val="en-US" w:eastAsia="fr-FR"/>
        </w:rPr>
        <w:t xml:space="preserve"> Wahrnehmung war, und was außer Gefühlen von innen her bewußt werden will, muß versuchen, sich in äußere Wahrnehmungen umzusetzen. Dies wird mittels der Erinnerungsspuren möglich.</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Die Erinnerungsreste denken wir uns in Systemen enthalten, welche unmittelbar an das System </w:t>
      </w:r>
      <w:r w:rsidRPr="006A6515">
        <w:rPr>
          <w:rFonts w:ascii="Garamond" w:hAnsi="Garamond"/>
          <w:i/>
          <w:iCs/>
          <w:lang w:val="en-US" w:eastAsia="fr-FR"/>
        </w:rPr>
        <w:t>W-Bw</w:t>
      </w:r>
      <w:r w:rsidRPr="006A6515">
        <w:rPr>
          <w:rFonts w:ascii="Garamond" w:hAnsi="Garamond"/>
          <w:lang w:val="en-US" w:eastAsia="fr-FR"/>
        </w:rPr>
        <w:t xml:space="preserve"> anstoßen, so daß ihre Besetzungen sich leicht auf die Elemente dieses Systems von innen her fortsetzen können. Man denkt hier sofort an die Halluzination und an die Tatsache, daß die lebhafteste Erinnerung immer noch von der Halluzination wie von der äußeren Wahrnehmung unterschieden wird, allein ebenso rasch stellt sich die Auskunft ein, daß bei der Wiederbelebung einer Erinnerung die Besetzung im Erinnerungssystem erhalten bleibt, während die von der Wahrnehmung nicht unterscheidbare Halluzination entstehen mag, wenn die Besetzung nicht nur von der Erinnerungsspur auf das W-Element übergreift, sondern völlig auf dasselbe übergeht.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Die Wortreste stammen wesentlich von akustischen Wahrnehmungen ab, so daß hiedurch gleichsam ein besonderer Sinnesursprung für das System </w:t>
      </w:r>
      <w:r w:rsidRPr="006A6515">
        <w:rPr>
          <w:rFonts w:ascii="Garamond" w:hAnsi="Garamond"/>
          <w:i/>
          <w:iCs/>
          <w:lang w:val="en-US" w:eastAsia="fr-FR"/>
        </w:rPr>
        <w:t>Vbw</w:t>
      </w:r>
      <w:r w:rsidRPr="006A6515">
        <w:rPr>
          <w:rFonts w:ascii="Garamond" w:hAnsi="Garamond"/>
          <w:lang w:val="en-US" w:eastAsia="fr-FR"/>
        </w:rPr>
        <w:t xml:space="preserve"> gegeben ist. Die visuellen Bestandteile der Wortvorstellung kann man als sekundär, durch Lesen erworben, zunächst vernachlässigen und ebenso die Bewegungsbilder des Wortes, die außer bei Taubstummen die Rolle von unterstützenden Zeichen spielen. Das Wort ist doch eigentlich der Erinnerungsrest des gehörten Wortes. Es darf uns nicht beifallen, etwa der Vereinfachung zuliebe, die Bedeutung der optischen Erinnerungsreste — von den Dingen — zu vergessen, oder zu verleugnen, daß ein Bewußtwerden der Denkvorgänge durch Rückkehr zu den visuellen Resten möglich ist und bei vielen Personen bevorzugt scheint. Von der Eigenart dieses visuellen Denkens kann uns das Studium der Träume und der vorbewußten Phantasien nach den Beobachtungen J. Varendoncks eine Vorstellung geben. Man erfährt, daß dabei meist nur das konkrete Material des Gedankens bewußt wird, für die Relationen aber, die den Gedanken besonders kennzeichnen, ein visueller Ausdruck nicht gegeben werden kann. Das Denken in Bildern ist also ein nur sehr unvollkommenes Bewußtwerden. Es steht auch irgendwie den unbewußten Vorgängen näher als das Denken in Worten und ist unzweifelhaft onto- wie phylogenetisch älter als dieses.</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lastRenderedPageBreak/>
        <w:t xml:space="preserve">Wenn also, um zu unserem Argument zurückzukehren, dies der Weg ist, wie etwas an sich Unbewußtes vorbewußt wird, so ist die Frage, wie machen wir etwas Verdrängtes (vor)bewußt, zu beantworten: indem wir solche </w:t>
      </w:r>
      <w:r w:rsidRPr="006A6515">
        <w:rPr>
          <w:rFonts w:ascii="Garamond" w:hAnsi="Garamond"/>
          <w:i/>
          <w:iCs/>
          <w:lang w:val="en-US" w:eastAsia="fr-FR"/>
        </w:rPr>
        <w:t>vbw</w:t>
      </w:r>
      <w:r w:rsidRPr="006A6515">
        <w:rPr>
          <w:rFonts w:ascii="Garamond" w:hAnsi="Garamond"/>
          <w:lang w:val="en-US" w:eastAsia="fr-FR"/>
        </w:rPr>
        <w:t xml:space="preserve"> Mittelglieder durch die analytische Arbeit herstellen. Das Bewußtsein verbleibt also an seiner Stelle, aber auch das </w:t>
      </w:r>
      <w:r w:rsidRPr="006A6515">
        <w:rPr>
          <w:rFonts w:ascii="Garamond" w:hAnsi="Garamond"/>
          <w:i/>
          <w:iCs/>
          <w:lang w:val="en-US" w:eastAsia="fr-FR"/>
        </w:rPr>
        <w:t>Vbw</w:t>
      </w:r>
      <w:r w:rsidRPr="006A6515">
        <w:rPr>
          <w:rFonts w:ascii="Garamond" w:hAnsi="Garamond"/>
          <w:lang w:val="en-US" w:eastAsia="fr-FR"/>
        </w:rPr>
        <w:t xml:space="preserve"> ist nicht etwa zum </w:t>
      </w:r>
      <w:r w:rsidRPr="006A6515">
        <w:rPr>
          <w:rFonts w:ascii="Garamond" w:hAnsi="Garamond"/>
          <w:i/>
          <w:iCs/>
          <w:lang w:val="en-US" w:eastAsia="fr-FR"/>
        </w:rPr>
        <w:t>Bw</w:t>
      </w:r>
      <w:r w:rsidRPr="006A6515">
        <w:rPr>
          <w:rFonts w:ascii="Garamond" w:hAnsi="Garamond"/>
          <w:lang w:val="en-US" w:eastAsia="fr-FR"/>
        </w:rPr>
        <w:t xml:space="preserve"> aufgestiegen.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Während die Beziehung der äußeren Wahrnehmung zum Ich ganz offen</w:t>
      </w:r>
      <w:r w:rsidRPr="006A6515">
        <w:rPr>
          <w:rFonts w:ascii="Garamond" w:hAnsi="Garamond"/>
          <w:lang w:val="en-US" w:eastAsia="fr-FR"/>
        </w:rPr>
        <w:softHyphen/>
        <w:t xml:space="preserve">kundig ist, fordert die der inneren Wahrnehmung zum Ich eine besondere Untersuchung heraus. Sie läßt noch einmal den Zweifel auftauchen, ob man wirklich recht daran tut, alles Bewußtsein auf das eine oberflächliche System </w:t>
      </w:r>
      <w:r w:rsidRPr="006A6515">
        <w:rPr>
          <w:rFonts w:ascii="Garamond" w:hAnsi="Garamond"/>
          <w:i/>
          <w:iCs/>
          <w:lang w:val="en-US" w:eastAsia="fr-FR"/>
        </w:rPr>
        <w:t>W-Bw</w:t>
      </w:r>
      <w:r w:rsidRPr="006A6515">
        <w:rPr>
          <w:rFonts w:ascii="Garamond" w:hAnsi="Garamond"/>
          <w:lang w:val="en-US" w:eastAsia="fr-FR"/>
        </w:rPr>
        <w:t xml:space="preserve"> zu beziehen.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innere Wahrnehmung ergibt Empfindungen von Vorgängen aus den verschiedensten, gewiß auch tiefsten Schichten des seelischen Apparates. Sie sind schlecht gekannt, als ihr bestes Muster können noch die der Lust-Unlustreihe gelten. Sie sind ursprünglicher, elementarer als die von außen stammenden, können noch in Zuständen getrübten Bewußtseins zustande kommen. Über ihre größere ökonomische Bedeutung und deren metapsycho</w:t>
      </w:r>
      <w:r w:rsidRPr="006A6515">
        <w:rPr>
          <w:rFonts w:ascii="Garamond" w:hAnsi="Garamond"/>
          <w:lang w:val="en-US" w:eastAsia="fr-FR"/>
        </w:rPr>
        <w:softHyphen/>
        <w:t>logische Begründung habe ich mich an anderer Stelle geäußert. Diese Empfindungen sind multilokular wie die äußeren Wahrnehmungen, können gleichzeitig von verschiedenen Stellen kommen und dabei verschiedene, auch entgegengesetzte Qualitäten haben.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Die Empfindungen mit Lustcharakter haben nichts Drängendes an sich, dagegen im höchsten Grad die Unlustempfindungen. Diese drängen auf Veränderung, auf Abfuhr, und darum deuten wir die Unlust auf eine Erhöhung, die Lust auf eine Erniedrigung der Energiebesetzung. Nennen wir das, was als Lust und Unlust bewußt wird, ein quantitativqualitativ Anderes im seelischen Ablauf, so ist die Frage, ob ein solches Anderes an Ort und Stelle bewußt werden kann oder bis zum System </w:t>
      </w:r>
      <w:r w:rsidRPr="006A6515">
        <w:rPr>
          <w:rFonts w:ascii="Garamond" w:hAnsi="Garamond"/>
          <w:i/>
          <w:iCs/>
          <w:lang w:val="en-US" w:eastAsia="fr-FR"/>
        </w:rPr>
        <w:t>W</w:t>
      </w:r>
      <w:r w:rsidRPr="006A6515">
        <w:rPr>
          <w:rFonts w:ascii="Garamond" w:hAnsi="Garamond"/>
          <w:lang w:val="en-US" w:eastAsia="fr-FR"/>
        </w:rPr>
        <w:t xml:space="preserve"> fortgeleitet werden muß.</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klinische Erfahrung entscheidet für das letztere. Sie zeigt, daß dies Andere sich verhält wie eine verdrängte Regung. Es kann treibende Kräfte entfalten, ohne daß das Ich den Zwang bemerkt. Erst Widerstand gegen den Zwang, Aufhalten der Abfuhrreaktion macht dieses Andere sofort als Unlust bewußt. Ebenso wie Bedürfnisspannungen, kann auch der Schmerz unbe</w:t>
      </w:r>
      <w:r w:rsidRPr="006A6515">
        <w:rPr>
          <w:rFonts w:ascii="Garamond" w:hAnsi="Garamond"/>
          <w:lang w:val="en-US" w:eastAsia="fr-FR"/>
        </w:rPr>
        <w:softHyphen/>
        <w:t xml:space="preserve">wußt bleiben, dies Mittelding zwischen äußerer und innerer Wahrnehmung, der sich wie eine innere Wahrnehmung verhält, auch wo er aus der Außenwelt stammt. Es bleibt also richtig, daß auch Empfindungen und Gefühle nur durch Anlangen an das System </w:t>
      </w:r>
      <w:r w:rsidRPr="006A6515">
        <w:rPr>
          <w:rFonts w:ascii="Garamond" w:hAnsi="Garamond"/>
          <w:i/>
          <w:iCs/>
          <w:lang w:val="en-US" w:eastAsia="fr-FR"/>
        </w:rPr>
        <w:t>W</w:t>
      </w:r>
      <w:r w:rsidRPr="006A6515">
        <w:rPr>
          <w:rFonts w:ascii="Garamond" w:hAnsi="Garamond"/>
          <w:lang w:val="en-US" w:eastAsia="fr-FR"/>
        </w:rPr>
        <w:t xml:space="preserve"> bewußt werden; ist die Fortleitung gesperrt, so kommen sie nicht als Empfindungen zustande, obwohl das ihnen entsprechende Andere im Erregungsablauf dasselbe ist. Abgekürzter, nicht ganz korrekterweise sprechen wir dann von </w:t>
      </w:r>
      <w:r w:rsidRPr="006A6515">
        <w:rPr>
          <w:rFonts w:ascii="Garamond" w:hAnsi="Garamond"/>
          <w:i/>
          <w:iCs/>
          <w:lang w:val="en-US" w:eastAsia="fr-FR"/>
        </w:rPr>
        <w:t>unbewußten Empfindungen,</w:t>
      </w:r>
      <w:r w:rsidRPr="006A6515">
        <w:rPr>
          <w:rFonts w:ascii="Garamond" w:hAnsi="Garamond"/>
          <w:lang w:val="en-US" w:eastAsia="fr-FR"/>
        </w:rPr>
        <w:t xml:space="preserve"> halten die Analogie mit unbewußten Vorstellungen fest, die nicht ganz gerechtfertigt ist. Der Unterschied ist nämlich, daß für die </w:t>
      </w:r>
      <w:r w:rsidRPr="006A6515">
        <w:rPr>
          <w:rFonts w:ascii="Garamond" w:hAnsi="Garamond"/>
          <w:i/>
          <w:iCs/>
          <w:lang w:val="en-US" w:eastAsia="fr-FR"/>
        </w:rPr>
        <w:t>ubw</w:t>
      </w:r>
      <w:r w:rsidRPr="006A6515">
        <w:rPr>
          <w:rFonts w:ascii="Garamond" w:hAnsi="Garamond"/>
          <w:lang w:val="en-US" w:eastAsia="fr-FR"/>
        </w:rPr>
        <w:t xml:space="preserve"> Vorstellung erst Verbindungsglieder geschaffen werden müssen, um sie zum </w:t>
      </w:r>
      <w:r w:rsidRPr="006A6515">
        <w:rPr>
          <w:rFonts w:ascii="Garamond" w:hAnsi="Garamond"/>
          <w:i/>
          <w:iCs/>
          <w:lang w:val="en-US" w:eastAsia="fr-FR"/>
        </w:rPr>
        <w:t>Bw</w:t>
      </w:r>
      <w:r w:rsidRPr="006A6515">
        <w:rPr>
          <w:rFonts w:ascii="Garamond" w:hAnsi="Garamond"/>
          <w:lang w:val="en-US" w:eastAsia="fr-FR"/>
        </w:rPr>
        <w:t xml:space="preserve"> zu bringen, während dies für die Empfindungen, die sich direkt fortleiten, entfällt. Mit anderen Worten: Die Unterscheidung von </w:t>
      </w:r>
      <w:r w:rsidRPr="006A6515">
        <w:rPr>
          <w:rFonts w:ascii="Garamond" w:hAnsi="Garamond"/>
          <w:i/>
          <w:iCs/>
          <w:lang w:val="en-US" w:eastAsia="fr-FR"/>
        </w:rPr>
        <w:t>Bw</w:t>
      </w:r>
      <w:r w:rsidRPr="006A6515">
        <w:rPr>
          <w:rFonts w:ascii="Garamond" w:hAnsi="Garamond"/>
          <w:lang w:val="en-US" w:eastAsia="fr-FR"/>
        </w:rPr>
        <w:t xml:space="preserve"> und </w:t>
      </w:r>
      <w:r w:rsidRPr="006A6515">
        <w:rPr>
          <w:rFonts w:ascii="Garamond" w:hAnsi="Garamond"/>
          <w:i/>
          <w:iCs/>
          <w:lang w:val="en-US" w:eastAsia="fr-FR"/>
        </w:rPr>
        <w:t>Vbw</w:t>
      </w:r>
      <w:r w:rsidRPr="006A6515">
        <w:rPr>
          <w:rFonts w:ascii="Garamond" w:hAnsi="Garamond"/>
          <w:lang w:val="en-US" w:eastAsia="fr-FR"/>
        </w:rPr>
        <w:t xml:space="preserve"> hat für die Empfindungen keinen Sinn, das </w:t>
      </w:r>
      <w:r w:rsidRPr="006A6515">
        <w:rPr>
          <w:rFonts w:ascii="Garamond" w:hAnsi="Garamond"/>
          <w:i/>
          <w:iCs/>
          <w:lang w:val="en-US" w:eastAsia="fr-FR"/>
        </w:rPr>
        <w:t>Vbw</w:t>
      </w:r>
      <w:r w:rsidRPr="006A6515">
        <w:rPr>
          <w:rFonts w:ascii="Garamond" w:hAnsi="Garamond"/>
          <w:lang w:val="en-US" w:eastAsia="fr-FR"/>
        </w:rPr>
        <w:t xml:space="preserve"> fällt hier aus, Empfindungen sind entweder bewußt oder unbewußt. Auch wenn sie an Wortvorstellungen gebunden werden, danken sie nicht diesen ihr Bewußtwerden, sondern sie werden es direkt.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Rolle der Wortvorstellungen wird nun vollends klar. Durch ihre Vermittlung werden die inneren Denkvorgänge zu Wahrnehmungen gemacht. Es ist, als sollte der Satz erwiesen werden: Alles Wissen stammt aus der äußeren Wahrnehmung. Bei einer Überbesetzung des Denkens werden die Gedanken wirklich — wie von außen — wahrgenommen und darum für wahr gehalten.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Nach dieser Klärung der Beziehungen zwischen äußerer und innerer Wahrnehmung und dem Oberflächensystem </w:t>
      </w:r>
      <w:r w:rsidRPr="006A6515">
        <w:rPr>
          <w:rFonts w:ascii="Garamond" w:hAnsi="Garamond"/>
          <w:i/>
          <w:iCs/>
          <w:lang w:val="en-US" w:eastAsia="fr-FR"/>
        </w:rPr>
        <w:t>W-Bw</w:t>
      </w:r>
      <w:r w:rsidRPr="006A6515">
        <w:rPr>
          <w:rFonts w:ascii="Garamond" w:hAnsi="Garamond"/>
          <w:lang w:val="en-US" w:eastAsia="fr-FR"/>
        </w:rPr>
        <w:t xml:space="preserve"> können wir darangehen, unsere Vorstellung vom Ich auszubauen. Wir sehen es vom System </w:t>
      </w:r>
      <w:r w:rsidRPr="006A6515">
        <w:rPr>
          <w:rFonts w:ascii="Garamond" w:hAnsi="Garamond"/>
          <w:i/>
          <w:iCs/>
          <w:lang w:val="en-US" w:eastAsia="fr-FR"/>
        </w:rPr>
        <w:t>W</w:t>
      </w:r>
      <w:r w:rsidRPr="006A6515">
        <w:rPr>
          <w:rFonts w:ascii="Garamond" w:hAnsi="Garamond"/>
          <w:lang w:val="en-US" w:eastAsia="fr-FR"/>
        </w:rPr>
        <w:t xml:space="preserve"> als seinem Kern ausgehen und zunächst das </w:t>
      </w:r>
      <w:r w:rsidRPr="006A6515">
        <w:rPr>
          <w:rFonts w:ascii="Garamond" w:hAnsi="Garamond"/>
          <w:i/>
          <w:iCs/>
          <w:lang w:val="en-US" w:eastAsia="fr-FR"/>
        </w:rPr>
        <w:t>Vbw,</w:t>
      </w:r>
      <w:r w:rsidRPr="006A6515">
        <w:rPr>
          <w:rFonts w:ascii="Garamond" w:hAnsi="Garamond"/>
          <w:lang w:val="en-US" w:eastAsia="fr-FR"/>
        </w:rPr>
        <w:t xml:space="preserve"> das sich an die Erinnerungsreste anlehnt, umfassen. Das Ich ist aber auch, wie wir erfahren haben, unbewußt.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Nun meine ich, wir werden großen Vorteil davon haben, wenn wir der Anregung eines Autors folgen, der vergebens aus persönlichen Motiven beteuert, er habe mit der gestrengen, hohen Wissenschaft nichts zu tun. Ich meine G. Groddeck, der immer wieder betont, daß das, was wir unser Ich heißen, sich im Leben wesentlich passiv verhält, daß wir nach seinem Ausdruck </w:t>
      </w:r>
      <w:r w:rsidRPr="006A6515">
        <w:rPr>
          <w:rFonts w:ascii="Garamond" w:hAnsi="Garamond"/>
          <w:i/>
          <w:iCs/>
          <w:lang w:val="en-US" w:eastAsia="fr-FR"/>
        </w:rPr>
        <w:t>»gelebt»</w:t>
      </w:r>
      <w:r w:rsidRPr="006A6515">
        <w:rPr>
          <w:rFonts w:ascii="Garamond" w:hAnsi="Garamond"/>
          <w:lang w:val="en-US" w:eastAsia="fr-FR"/>
        </w:rPr>
        <w:t xml:space="preserve"> werden von unbekannten, unbeherrschbaren Mächten</w:t>
      </w:r>
      <w:r w:rsidRPr="006A6515">
        <w:rPr>
          <w:rFonts w:ascii="Garamond" w:hAnsi="Garamond"/>
          <w:i/>
          <w:iCs/>
          <w:lang w:val="en-US" w:eastAsia="fr-FR"/>
        </w:rPr>
        <w:t>.</w:t>
      </w:r>
      <w:r w:rsidRPr="006A6515">
        <w:rPr>
          <w:rFonts w:ascii="Garamond" w:hAnsi="Garamond"/>
          <w:vertAlign w:val="superscript"/>
          <w:lang w:val="en-US" w:eastAsia="fr-FR"/>
        </w:rPr>
        <w:t>3)</w:t>
      </w:r>
      <w:r w:rsidRPr="006A6515">
        <w:rPr>
          <w:rFonts w:ascii="Garamond" w:hAnsi="Garamond"/>
          <w:i/>
          <w:iCs/>
          <w:lang w:val="en-US" w:eastAsia="fr-FR"/>
        </w:rPr>
        <w:t xml:space="preserve"> </w:t>
      </w:r>
      <w:r w:rsidRPr="006A6515">
        <w:rPr>
          <w:rFonts w:ascii="Garamond" w:hAnsi="Garamond"/>
          <w:lang w:val="en-US" w:eastAsia="fr-FR"/>
        </w:rPr>
        <w:t xml:space="preserve">Wir haben alle dieselben Eindrücke empfangen, wenngleich sie uns nicht bis zum Ausschluß aller anderen überwältigt haben, und verzagen nicht daran, der Einsicht Groddecks ihre Stelle in dem Gefüge der Wissenschaft anzuweisen. Ich schlage vor, ihr Rechnung zu tragen, indem wir das vom System </w:t>
      </w:r>
      <w:r w:rsidRPr="006A6515">
        <w:rPr>
          <w:rFonts w:ascii="Garamond" w:hAnsi="Garamond"/>
          <w:i/>
          <w:iCs/>
          <w:lang w:val="en-US" w:eastAsia="fr-FR"/>
        </w:rPr>
        <w:t>W</w:t>
      </w:r>
      <w:r w:rsidRPr="006A6515">
        <w:rPr>
          <w:rFonts w:ascii="Garamond" w:hAnsi="Garamond"/>
          <w:lang w:val="en-US" w:eastAsia="fr-FR"/>
        </w:rPr>
        <w:t xml:space="preserve"> ausgehende Wesen, das zunächst </w:t>
      </w:r>
      <w:r w:rsidRPr="006A6515">
        <w:rPr>
          <w:rFonts w:ascii="Garamond" w:hAnsi="Garamond"/>
          <w:i/>
          <w:iCs/>
          <w:lang w:val="en-US" w:eastAsia="fr-FR"/>
        </w:rPr>
        <w:t>vbw</w:t>
      </w:r>
      <w:r w:rsidRPr="006A6515">
        <w:rPr>
          <w:rFonts w:ascii="Garamond" w:hAnsi="Garamond"/>
          <w:lang w:val="en-US" w:eastAsia="fr-FR"/>
        </w:rPr>
        <w:t xml:space="preserve"> ist, das </w:t>
      </w:r>
      <w:r w:rsidRPr="006A6515">
        <w:rPr>
          <w:rFonts w:ascii="Garamond" w:hAnsi="Garamond"/>
          <w:i/>
          <w:iCs/>
          <w:lang w:val="en-US" w:eastAsia="fr-FR"/>
        </w:rPr>
        <w:t>Ich</w:t>
      </w:r>
      <w:r w:rsidRPr="006A6515">
        <w:rPr>
          <w:rFonts w:ascii="Garamond" w:hAnsi="Garamond"/>
          <w:lang w:val="en-US" w:eastAsia="fr-FR"/>
        </w:rPr>
        <w:t xml:space="preserve"> heißen, das andere Psychische aber, in welches es sich fortsetzt und das sich wie </w:t>
      </w:r>
      <w:r w:rsidRPr="006A6515">
        <w:rPr>
          <w:rFonts w:ascii="Garamond" w:hAnsi="Garamond"/>
          <w:i/>
          <w:iCs/>
          <w:lang w:val="en-US" w:eastAsia="fr-FR"/>
        </w:rPr>
        <w:t>ubw</w:t>
      </w:r>
      <w:r w:rsidRPr="006A6515">
        <w:rPr>
          <w:rFonts w:ascii="Garamond" w:hAnsi="Garamond"/>
          <w:lang w:val="en-US" w:eastAsia="fr-FR"/>
        </w:rPr>
        <w:t xml:space="preserve"> verhält, nach Groddecks Gebrauch das </w:t>
      </w:r>
      <w:r w:rsidRPr="006A6515">
        <w:rPr>
          <w:rFonts w:ascii="Garamond" w:hAnsi="Garamond"/>
          <w:i/>
          <w:iCs/>
          <w:lang w:val="en-US" w:eastAsia="fr-FR"/>
        </w:rPr>
        <w:t>Es.</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Wir werden bald sehen, ob wir aus dieser Auffassung Nutzen für Beschreibung und Verständnis ziehen können. Ein Individuum ist nun für uns ein psychisches Es, unerkannt und unbewußt, diesem sitzt das Ich oberflächlich auf, aus dem W-System als Kern entwickelt. Streben wir nach graphischer Darstellung, so werden wir hinzufügen, das Ich umhüllt das Es nicht ganz, sondern nur insoweit das System </w:t>
      </w:r>
      <w:r w:rsidRPr="006A6515">
        <w:rPr>
          <w:rFonts w:ascii="Garamond" w:hAnsi="Garamond"/>
          <w:i/>
          <w:iCs/>
          <w:lang w:val="en-US" w:eastAsia="fr-FR"/>
        </w:rPr>
        <w:t>W</w:t>
      </w:r>
      <w:r w:rsidRPr="006A6515">
        <w:rPr>
          <w:rFonts w:ascii="Garamond" w:hAnsi="Garamond"/>
          <w:lang w:val="en-US" w:eastAsia="fr-FR"/>
        </w:rPr>
        <w:t xml:space="preserve"> dessen </w:t>
      </w:r>
      <w:r w:rsidRPr="006A6515">
        <w:rPr>
          <w:rFonts w:ascii="Garamond" w:hAnsi="Garamond"/>
          <w:lang w:val="en-US" w:eastAsia="fr-FR"/>
        </w:rPr>
        <w:lastRenderedPageBreak/>
        <w:t>Oberfläche bildet, also etwa so wie die Keimscheibe dem Ei aufsitzt. Das Ich ist vom Es nicht scharf getrennt, es fließt nach unten hin mit ihm zusammen.</w:t>
      </w:r>
    </w:p>
    <w:p w:rsidR="00525700" w:rsidRPr="006A6515" w:rsidRDefault="00525700" w:rsidP="006A6515">
      <w:pPr>
        <w:pStyle w:val="Sansinterligne"/>
        <w:rPr>
          <w:rFonts w:ascii="Garamond" w:hAnsi="Garamond"/>
          <w:lang w:eastAsia="fr-FR"/>
        </w:rPr>
      </w:pPr>
      <w:r w:rsidRPr="006A6515">
        <w:rPr>
          <w:rFonts w:ascii="Garamond" w:hAnsi="Garamond"/>
          <w:lang w:eastAsia="fr-FR"/>
        </w:rPr>
        <w:t xml:space="preserve">Aber auch das Verdrängte fließt mit dem Es zusammen, ist nur ein Teil von ihm. </w:t>
      </w:r>
      <w:r w:rsidRPr="006A6515">
        <w:rPr>
          <w:rFonts w:ascii="Garamond" w:hAnsi="Garamond"/>
          <w:lang w:val="en-US" w:eastAsia="fr-FR"/>
        </w:rPr>
        <w:t xml:space="preserve">Das Verdrängte ist nur vom Ich durch die Verdrängungswiderstände scharf geschieden, durch das Es kann es mit ihm kommunizieren. Wir erkennen sofort, fast alle Sonderungen, die wir auf die Anregung der Pathologie hin beschrieben haben, beziehen sich nur auf die — uns allein bekannten — oberflächlichen Schichten des seelischen Apparates. Wir könnten von diesen Verhältnissen eine Zeichnung entwerfen, deren Konturen allerdings nur der Darstellung dienen, keine besondere Deutung beanspruchen sollen. Etwa fügen wir hinzu, daß das Ich eine »Hörkappe« trägt, nach dem Zeugnis der Gehirnanatomie nur auf einer Seite. </w:t>
      </w:r>
      <w:r w:rsidRPr="006A6515">
        <w:rPr>
          <w:rFonts w:ascii="Garamond" w:hAnsi="Garamond"/>
          <w:lang w:eastAsia="fr-FR"/>
        </w:rPr>
        <w:t>Sie sitzt ihm sozusagen schief auf.</w:t>
      </w:r>
    </w:p>
    <w:tbl>
      <w:tblPr>
        <w:tblW w:w="7200" w:type="dxa"/>
        <w:jc w:val="center"/>
        <w:tblCellSpacing w:w="0" w:type="dxa"/>
        <w:tblCellMar>
          <w:left w:w="0" w:type="dxa"/>
          <w:right w:w="0" w:type="dxa"/>
        </w:tblCellMar>
        <w:tblLook w:val="04A0"/>
      </w:tblPr>
      <w:tblGrid>
        <w:gridCol w:w="7200"/>
      </w:tblGrid>
      <w:tr w:rsidR="00525700" w:rsidRPr="006A6515" w:rsidTr="00525700">
        <w:trPr>
          <w:tblCellSpacing w:w="0" w:type="dxa"/>
          <w:jc w:val="center"/>
        </w:trPr>
        <w:tc>
          <w:tcPr>
            <w:tcW w:w="0" w:type="auto"/>
            <w:vAlign w:val="center"/>
            <w:hideMark/>
          </w:tcPr>
          <w:p w:rsidR="00525700" w:rsidRPr="006A6515" w:rsidRDefault="00525700" w:rsidP="006A6515">
            <w:pPr>
              <w:pStyle w:val="Sansinterligne"/>
              <w:rPr>
                <w:rFonts w:ascii="Garamond" w:hAnsi="Garamond"/>
                <w:lang w:eastAsia="fr-FR"/>
              </w:rPr>
            </w:pPr>
            <w:bookmarkStart w:id="41" w:name="49365"/>
            <w:bookmarkEnd w:id="41"/>
            <w:r w:rsidRPr="006A6515">
              <w:rPr>
                <w:rFonts w:ascii="Garamond" w:hAnsi="Garamond"/>
                <w:noProof/>
                <w:lang w:eastAsia="fr-FR"/>
              </w:rPr>
              <w:drawing>
                <wp:inline distT="0" distB="0" distL="0" distR="0">
                  <wp:extent cx="4572000" cy="7620"/>
                  <wp:effectExtent l="0" t="0" r="0" b="0"/>
                  <wp:docPr id="32" name="Image 32"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xtlog.de/clear.gif"/>
                          <pic:cNvPicPr>
                            <a:picLocks noChangeAspect="1" noChangeArrowheads="1"/>
                          </pic:cNvPicPr>
                        </pic:nvPicPr>
                        <pic:blipFill>
                          <a:blip r:embed="rId12"/>
                          <a:srcRect/>
                          <a:stretch>
                            <a:fillRect/>
                          </a:stretch>
                        </pic:blipFill>
                        <pic:spPr bwMode="auto">
                          <a:xfrm>
                            <a:off x="0" y="0"/>
                            <a:ext cx="4572000" cy="7620"/>
                          </a:xfrm>
                          <a:prstGeom prst="rect">
                            <a:avLst/>
                          </a:prstGeom>
                          <a:noFill/>
                          <a:ln w="9525">
                            <a:noFill/>
                            <a:miter lim="800000"/>
                            <a:headEnd/>
                            <a:tailEnd/>
                          </a:ln>
                        </pic:spPr>
                      </pic:pic>
                    </a:graphicData>
                  </a:graphic>
                </wp:inline>
              </w:drawing>
            </w:r>
          </w:p>
        </w:tc>
      </w:tr>
      <w:tr w:rsidR="00525700" w:rsidRPr="006A6515" w:rsidTr="00525700">
        <w:trPr>
          <w:tblCellSpacing w:w="0" w:type="dxa"/>
          <w:jc w:val="center"/>
        </w:trPr>
        <w:tc>
          <w:tcPr>
            <w:tcW w:w="0" w:type="auto"/>
            <w:hideMark/>
          </w:tcPr>
          <w:tbl>
            <w:tblPr>
              <w:tblW w:w="7200" w:type="dxa"/>
              <w:jc w:val="center"/>
              <w:tblCellSpacing w:w="0" w:type="dxa"/>
              <w:tblCellMar>
                <w:left w:w="0" w:type="dxa"/>
                <w:right w:w="0" w:type="dxa"/>
              </w:tblCellMar>
              <w:tblLook w:val="04A0"/>
            </w:tblPr>
            <w:tblGrid>
              <w:gridCol w:w="7200"/>
            </w:tblGrid>
            <w:tr w:rsidR="00525700" w:rsidRPr="006A6515" w:rsidTr="00525700">
              <w:trPr>
                <w:tblCellSpacing w:w="0" w:type="dxa"/>
                <w:jc w:val="center"/>
              </w:trPr>
              <w:tc>
                <w:tcPr>
                  <w:tcW w:w="0" w:type="auto"/>
                  <w:vAlign w:val="center"/>
                  <w:hideMark/>
                </w:tcPr>
                <w:p w:rsidR="00525700" w:rsidRPr="006A6515" w:rsidRDefault="00525700" w:rsidP="006A6515">
                  <w:pPr>
                    <w:pStyle w:val="Sansinterligne"/>
                    <w:rPr>
                      <w:rFonts w:ascii="Garamond" w:hAnsi="Garamond"/>
                      <w:lang w:eastAsia="fr-FR"/>
                    </w:rPr>
                  </w:pPr>
                  <w:r w:rsidRPr="006A6515">
                    <w:rPr>
                      <w:rFonts w:ascii="Garamond" w:hAnsi="Garamond"/>
                      <w:noProof/>
                      <w:lang w:eastAsia="fr-FR"/>
                    </w:rPr>
                    <w:drawing>
                      <wp:inline distT="0" distB="0" distL="0" distR="0">
                        <wp:extent cx="4572000" cy="7620"/>
                        <wp:effectExtent l="0" t="0" r="0" b="0"/>
                        <wp:docPr id="43" name="Image 43"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xtlog.de/clear.gif"/>
                                <pic:cNvPicPr>
                                  <a:picLocks noChangeAspect="1" noChangeArrowheads="1"/>
                                </pic:cNvPicPr>
                              </pic:nvPicPr>
                              <pic:blipFill>
                                <a:blip r:embed="rId12"/>
                                <a:srcRect/>
                                <a:stretch>
                                  <a:fillRect/>
                                </a:stretch>
                              </pic:blipFill>
                              <pic:spPr bwMode="auto">
                                <a:xfrm>
                                  <a:off x="0" y="0"/>
                                  <a:ext cx="4572000" cy="7620"/>
                                </a:xfrm>
                                <a:prstGeom prst="rect">
                                  <a:avLst/>
                                </a:prstGeom>
                                <a:noFill/>
                                <a:ln w="9525">
                                  <a:noFill/>
                                  <a:miter lim="800000"/>
                                  <a:headEnd/>
                                  <a:tailEnd/>
                                </a:ln>
                              </pic:spPr>
                            </pic:pic>
                          </a:graphicData>
                        </a:graphic>
                      </wp:inline>
                    </w:drawing>
                  </w:r>
                </w:p>
              </w:tc>
            </w:tr>
            <w:tr w:rsidR="00525700" w:rsidRPr="006A6515" w:rsidTr="00525700">
              <w:trPr>
                <w:tblCellSpacing w:w="0" w:type="dxa"/>
                <w:jc w:val="center"/>
              </w:trPr>
              <w:tc>
                <w:tcPr>
                  <w:tcW w:w="0" w:type="auto"/>
                  <w:hideMark/>
                </w:tcPr>
                <w:p w:rsidR="00525700" w:rsidRPr="006A6515" w:rsidRDefault="00B437A1" w:rsidP="006A6515">
                  <w:pPr>
                    <w:pStyle w:val="Sansinterligne"/>
                    <w:rPr>
                      <w:rFonts w:ascii="Garamond" w:hAnsi="Garamond"/>
                      <w:lang w:eastAsia="fr-FR"/>
                    </w:rPr>
                  </w:pPr>
                  <w:r w:rsidRPr="00B437A1">
                    <w:rPr>
                      <w:rFonts w:ascii="Garamond" w:hAnsi="Garamond"/>
                      <w:lang w:eastAsia="fr-FR"/>
                    </w:rPr>
                    <w:pict>
                      <v:shape id="_x0000_i1025" type="#_x0000_t75" alt="" style="width:309.3pt;height:188.35pt"/>
                    </w:pict>
                  </w:r>
                </w:p>
              </w:tc>
            </w:tr>
          </w:tbl>
          <w:p w:rsidR="00525700" w:rsidRPr="006A6515" w:rsidRDefault="00525700" w:rsidP="006A6515">
            <w:pPr>
              <w:pStyle w:val="Sansinterligne"/>
              <w:rPr>
                <w:rFonts w:ascii="Garamond" w:hAnsi="Garamond"/>
                <w:lang w:eastAsia="fr-FR"/>
              </w:rPr>
            </w:pPr>
            <w:r w:rsidRPr="006A6515">
              <w:rPr>
                <w:rFonts w:ascii="Garamond" w:hAnsi="Garamond"/>
                <w:noProof/>
                <w:lang w:eastAsia="fr-FR"/>
              </w:rPr>
              <w:drawing>
                <wp:inline distT="0" distB="0" distL="0" distR="0">
                  <wp:extent cx="7620" cy="60960"/>
                  <wp:effectExtent l="0" t="0" r="0" b="0"/>
                  <wp:docPr id="45" name="Image 45"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xtlog.de/clear.gif"/>
                          <pic:cNvPicPr>
                            <a:picLocks noChangeAspect="1" noChangeArrowheads="1"/>
                          </pic:cNvPicPr>
                        </pic:nvPicPr>
                        <pic:blipFill>
                          <a:blip r:embed="rId12"/>
                          <a:srcRect/>
                          <a:stretch>
                            <a:fillRect/>
                          </a:stretch>
                        </pic:blipFill>
                        <pic:spPr bwMode="auto">
                          <a:xfrm>
                            <a:off x="0" y="0"/>
                            <a:ext cx="7620" cy="60960"/>
                          </a:xfrm>
                          <a:prstGeom prst="rect">
                            <a:avLst/>
                          </a:prstGeom>
                          <a:noFill/>
                          <a:ln w="9525">
                            <a:noFill/>
                            <a:miter lim="800000"/>
                            <a:headEnd/>
                            <a:tailEnd/>
                          </a:ln>
                        </pic:spPr>
                      </pic:pic>
                    </a:graphicData>
                  </a:graphic>
                </wp:inline>
              </w:drawing>
            </w:r>
          </w:p>
        </w:tc>
      </w:tr>
    </w:tbl>
    <w:p w:rsidR="00525700" w:rsidRPr="006A6515" w:rsidRDefault="00525700" w:rsidP="006A6515">
      <w:pPr>
        <w:pStyle w:val="Sansinterligne"/>
        <w:rPr>
          <w:rFonts w:ascii="Garamond" w:hAnsi="Garamond"/>
          <w:lang w:eastAsia="fr-FR"/>
        </w:rPr>
      </w:pPr>
      <w:r w:rsidRPr="006A6515">
        <w:rPr>
          <w:rFonts w:ascii="Garamond" w:hAnsi="Garamond"/>
          <w:noProof/>
          <w:lang w:eastAsia="fr-FR"/>
        </w:rPr>
        <w:drawing>
          <wp:inline distT="0" distB="0" distL="0" distR="0">
            <wp:extent cx="7620" cy="60960"/>
            <wp:effectExtent l="0" t="0" r="0" b="0"/>
            <wp:docPr id="34" name="Image 34"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xtlog.de/clear.gif"/>
                    <pic:cNvPicPr>
                      <a:picLocks noChangeAspect="1" noChangeArrowheads="1"/>
                    </pic:cNvPicPr>
                  </pic:nvPicPr>
                  <pic:blipFill>
                    <a:blip r:embed="rId12"/>
                    <a:srcRect/>
                    <a:stretch>
                      <a:fillRect/>
                    </a:stretch>
                  </pic:blipFill>
                  <pic:spPr bwMode="auto">
                    <a:xfrm>
                      <a:off x="0" y="0"/>
                      <a:ext cx="7620" cy="60960"/>
                    </a:xfrm>
                    <a:prstGeom prst="rect">
                      <a:avLst/>
                    </a:prstGeom>
                    <a:noFill/>
                    <a:ln w="9525">
                      <a:noFill/>
                      <a:miter lim="800000"/>
                      <a:headEnd/>
                      <a:tailEnd/>
                    </a:ln>
                  </pic:spPr>
                </pic:pic>
              </a:graphicData>
            </a:graphic>
          </wp:inline>
        </w:drawing>
      </w:r>
    </w:p>
    <w:p w:rsidR="00525700" w:rsidRPr="006A6515" w:rsidRDefault="00525700" w:rsidP="006A6515">
      <w:pPr>
        <w:pStyle w:val="Sansinterligne"/>
        <w:rPr>
          <w:rFonts w:ascii="Garamond" w:hAnsi="Garamond"/>
          <w:lang w:val="en-US" w:eastAsia="fr-FR"/>
        </w:rPr>
      </w:pPr>
      <w:r w:rsidRPr="006A6515">
        <w:rPr>
          <w:rFonts w:ascii="Garamond" w:hAnsi="Garamond"/>
          <w:lang w:eastAsia="fr-FR"/>
        </w:rPr>
        <w:t xml:space="preserve"> Es ist leicht einzusehen, das Ich ist der durch den direkten Einfluß der Außenwelt unter Vermittlung von </w:t>
      </w:r>
      <w:r w:rsidRPr="006A6515">
        <w:rPr>
          <w:rFonts w:ascii="Garamond" w:hAnsi="Garamond"/>
          <w:i/>
          <w:iCs/>
          <w:lang w:eastAsia="fr-FR"/>
        </w:rPr>
        <w:t>W-Bw</w:t>
      </w:r>
      <w:r w:rsidRPr="006A6515">
        <w:rPr>
          <w:rFonts w:ascii="Garamond" w:hAnsi="Garamond"/>
          <w:lang w:eastAsia="fr-FR"/>
        </w:rPr>
        <w:t xml:space="preserve"> veränderte Teil des Es, gewisser</w:t>
      </w:r>
      <w:r w:rsidRPr="006A6515">
        <w:rPr>
          <w:rFonts w:ascii="Garamond" w:hAnsi="Garamond"/>
          <w:lang w:eastAsia="fr-FR"/>
        </w:rPr>
        <w:softHyphen/>
        <w:t xml:space="preserve">maßen eine Fortsetzung der Oberflächendifferenzierung. Es bemüht sich auch, den Einfluß der Außenwelt auf das Es und seine Absichten zur Geltung zu bringen, ist bestrebt, das Realitätsprinzip an die Stelle des Lustprinzips zu setzen, welches im Es uneingeschränkt regiert. </w:t>
      </w:r>
      <w:r w:rsidRPr="006A6515">
        <w:rPr>
          <w:rFonts w:ascii="Garamond" w:hAnsi="Garamond"/>
          <w:lang w:val="en-US" w:eastAsia="fr-FR"/>
        </w:rPr>
        <w:t>Die Wahrnehmung spielt für das Ich die Rolle, welche im Es dem Trieb zufällt. Das Ich repräsentiert, was man Vernunft und Besonnenheitnennen kann, im Gegensatz zum Es, welches die Leidenschaften enthält. Dies alles deckt sich mit allbekannten populären Unterscheidungen, ist aber auch nur als durchschnittlich oder ideell richtig zu verstehen.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funktionelle Wichtigkeit des Ichs kommt darin zum Ausdruck, daß ihm normalerweise die Herrschaft über die Zugänge zur Motilität eingeräumt ist. Es gleicht so im Verhältnis zum Es dem Reiter, der die überlegene Kraft des Pferdes zügeln soll, mit dem Unterschied, daß der Reiter dies mit eigenen Kräften versucht, das Ich mit geborgten. Dieses Gleichnis trägt ein Stück weiter. Wie dem Reiter, will er sich nicht vom Pferd trennen, oft nichts anderes übrigbleibt, als es dahin zu führen, wohin es gehen will, so pflegt auch das Ich den Willen des Es in Handlung umzusetzen, als ob es der eigene wäre.</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Auf die Entstehung des Ichs und seine Absonderung vom Es scheint noch ein anderes Moment als der Einfluß des Systems </w:t>
      </w:r>
      <w:r w:rsidRPr="006A6515">
        <w:rPr>
          <w:rFonts w:ascii="Garamond" w:hAnsi="Garamond"/>
          <w:i/>
          <w:iCs/>
          <w:lang w:val="en-US" w:eastAsia="fr-FR"/>
        </w:rPr>
        <w:t>W</w:t>
      </w:r>
      <w:r w:rsidRPr="006A6515">
        <w:rPr>
          <w:rFonts w:ascii="Garamond" w:hAnsi="Garamond"/>
          <w:lang w:val="en-US" w:eastAsia="fr-FR"/>
        </w:rPr>
        <w:t xml:space="preserve"> hingewirkt zu haben. Der eigene Körper und vor allem die Oberfläche desselben ist ein Ort, von dem gleichzeitig äußere und innere Wahrnehmungen ausgehen können. Er wird wie ein anderes Objekt gesehen, ergibt aber dem Getast zweierlei Empfindungen, von denen die eine einer inneren Wahrnehmung gleichkom</w:t>
      </w:r>
      <w:r w:rsidRPr="006A6515">
        <w:rPr>
          <w:rFonts w:ascii="Garamond" w:hAnsi="Garamond"/>
          <w:lang w:val="en-US" w:eastAsia="fr-FR"/>
        </w:rPr>
        <w:softHyphen/>
        <w:t>men kann. Es ist in der Psychophysiologie hinreichend erörtert worden, auf welche Weise sich der eigene Körper aus der Wahrnehmungswelt heraushebt. Auch der Schmerz scheint dabei eine Rolle zu spielen, und die Art, wie man bei schmerzhaften Erkrankungen eine neue Kenntnis seiner Organe erwirbt, ist vielleicht vorbildlich für die Art, wie man überhaupt zur Vorstellung seines eigenen Körpers kommt.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Das Ich ist vor allem ein körperliches, es ist nicht nur ein Oberflächen</w:t>
      </w:r>
      <w:r w:rsidRPr="006A6515">
        <w:rPr>
          <w:rFonts w:ascii="Garamond" w:hAnsi="Garamond"/>
          <w:lang w:val="en-US" w:eastAsia="fr-FR"/>
        </w:rPr>
        <w:softHyphen/>
        <w:t>wesen, sondern selbst die Projektion einer Oberfläche. Wenn man eine anatomische Analogie für dasselbe sucht, kann man es am ehesten mit dem »Gehirnmännchen« der Anatomen identifizieren, das in der Hirnrinde auf dem Kopf steht, die Fersen nach oben streckt, nach hinten schaut und, wie bekannt, links die Sprachzone trägt.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Das Verhältnis des Ichs zum Bewußtsein ist wiederholt gewürdigt worden, doch sind hier einige wichtige Tatsachen neu zu beschreiben. Gewöhnt, den Gesichtspunkt einer sozialen oder ethischen Wertung </w:t>
      </w:r>
      <w:r w:rsidRPr="006A6515">
        <w:rPr>
          <w:rFonts w:ascii="Garamond" w:hAnsi="Garamond"/>
          <w:lang w:val="en-US" w:eastAsia="fr-FR"/>
        </w:rPr>
        <w:lastRenderedPageBreak/>
        <w:t>überallhin mitzu</w:t>
      </w:r>
      <w:r w:rsidRPr="006A6515">
        <w:rPr>
          <w:rFonts w:ascii="Garamond" w:hAnsi="Garamond"/>
          <w:lang w:val="en-US" w:eastAsia="fr-FR"/>
        </w:rPr>
        <w:softHyphen/>
        <w:t>nehmen, sind wir nicht überrascht zu hören, daß das Treiben der niedrigen Leidenschaften im Unbewußten vor sich geht, erwarten aber, daß die seelischen Funktionen um so leichter sicheren Zugang zum Bewußtsein finden, je höher sie in dieser Wertung angesetzt sind. Hier enttäuscht uns aber die psychoanalytische Erfahrung. Wir haben einerseits Belege dafür, daß selbst feine und schwierige intellektuelle Arbeit, die sonst angestrengtes Nachdenken erfordert, auch vorbewußt geleistet werden kann, ohne zum Bewußtsein zu kommen. Diese Fälle sind ganz unzweifelhaft, sie ereignen sich zum Beispiel im Schlafzustand und äußern sich darin, daß eine Person unmittelbar nach dem Erwachen die Lösung eines schwierigen mathematischen oder anderen Problems weiß, um das sie sich am Tage vorher vergeblich bemüht hatte.</w:t>
      </w:r>
      <w:r w:rsidRPr="006A6515">
        <w:rPr>
          <w:rFonts w:ascii="Garamond" w:hAnsi="Garamond"/>
          <w:vertAlign w:val="superscript"/>
          <w:lang w:val="en-US" w:eastAsia="fr-FR"/>
        </w:rPr>
        <w:t>4)</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Weit befremdender ist aber eine andere Erfahrung. Wir lernen in unseren Analysen, daß es Personen gibt, bei denen die Selbstkritik und das Gewissen, also überaus hodigewertete seelische Leistungen, unbewußt sind und als unbewußt die wichtigsten Wirkungen äußern; das Unbewußtbleiben des Widerstandes in der Analyse ist also keineswegs die einzige Situation dieser Art. Die neue Erfahrung aber, die uns nötigt, trotz unserer besseren kritischen Einsicht, von einem </w:t>
      </w:r>
      <w:r w:rsidRPr="006A6515">
        <w:rPr>
          <w:rFonts w:ascii="Garamond" w:hAnsi="Garamond"/>
          <w:i/>
          <w:iCs/>
          <w:lang w:val="en-US" w:eastAsia="fr-FR"/>
        </w:rPr>
        <w:t>unbewußten Schuldgefühl</w:t>
      </w:r>
      <w:r w:rsidRPr="006A6515">
        <w:rPr>
          <w:rFonts w:ascii="Garamond" w:hAnsi="Garamond"/>
          <w:lang w:val="en-US" w:eastAsia="fr-FR"/>
        </w:rPr>
        <w:t xml:space="preserve"> zu reden, verwirrt uns weit mehr und gibt uns neue Rätsel auf, besonders wenn wir allmählich erraten, daß ein solches unbewußtes Schuldgefühl bei einer großen Anzahl von Neurosen eine ökonomisch entscheidende Rolle spielt und der Heilung die stärksten Hindernisse in den Weg legt. Wollen wir zu unserer Wertskala zurückkehren, so müssen wir sagen: Nicht nur das Tiefste, auch das Höchste am Ich kann unbewußt sein. Es ist, als würde uns auf diese Weise demonstriert, was wir vorhin vom bewußten Ich ausgesagt haben, es sei vor allem ein Körper-Ich.</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w:t>
      </w:r>
    </w:p>
    <w:p w:rsidR="00525700" w:rsidRPr="006A6515" w:rsidRDefault="00525700" w:rsidP="006A6515">
      <w:pPr>
        <w:pStyle w:val="Sansinterligne"/>
        <w:rPr>
          <w:rFonts w:ascii="Garamond" w:hAnsi="Garamond"/>
          <w:lang w:eastAsia="fr-FR"/>
        </w:rPr>
      </w:pPr>
      <w:r w:rsidRPr="006A6515">
        <w:rPr>
          <w:rFonts w:ascii="Garamond" w:hAnsi="Garamond"/>
          <w:lang w:eastAsia="fr-FR"/>
        </w:rPr>
        <w:t>______________________</w:t>
      </w:r>
    </w:p>
    <w:p w:rsidR="00525700" w:rsidRPr="006A6515" w:rsidRDefault="00525700" w:rsidP="006A6515">
      <w:pPr>
        <w:pStyle w:val="Sansinterligne"/>
        <w:rPr>
          <w:rFonts w:ascii="Garamond" w:hAnsi="Garamond"/>
          <w:lang w:eastAsia="fr-FR"/>
        </w:rPr>
      </w:pPr>
      <w:r w:rsidRPr="006A6515">
        <w:rPr>
          <w:rFonts w:ascii="Garamond" w:hAnsi="Garamond"/>
          <w:vertAlign w:val="superscript"/>
          <w:lang w:eastAsia="fr-FR"/>
        </w:rPr>
        <w:t>1)</w:t>
      </w:r>
      <w:r w:rsidRPr="006A6515">
        <w:rPr>
          <w:rFonts w:ascii="Garamond" w:hAnsi="Garamond"/>
          <w:lang w:eastAsia="fr-FR"/>
        </w:rPr>
        <w:t xml:space="preserve"> S. </w:t>
      </w:r>
      <w:r w:rsidRPr="006A6515">
        <w:rPr>
          <w:rFonts w:ascii="Garamond" w:hAnsi="Garamond"/>
          <w:i/>
          <w:iCs/>
          <w:lang w:eastAsia="fr-FR"/>
        </w:rPr>
        <w:t>Jenseits des Lustprinzips</w:t>
      </w:r>
      <w:r w:rsidRPr="006A6515">
        <w:rPr>
          <w:rFonts w:ascii="Garamond" w:hAnsi="Garamond"/>
          <w:lang w:eastAsia="fr-FR"/>
        </w:rPr>
        <w:t>.</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eastAsia="fr-FR"/>
        </w:rPr>
        <w:t>2)</w:t>
      </w:r>
      <w:r w:rsidRPr="006A6515">
        <w:rPr>
          <w:rFonts w:ascii="Garamond" w:hAnsi="Garamond"/>
          <w:lang w:eastAsia="fr-FR"/>
        </w:rPr>
        <w:t xml:space="preserve"> Das Unbewußte. </w:t>
      </w:r>
      <w:r w:rsidRPr="006A6515">
        <w:rPr>
          <w:rFonts w:ascii="Garamond" w:hAnsi="Garamond"/>
          <w:lang w:val="en-US" w:eastAsia="fr-FR"/>
        </w:rPr>
        <w:t>(1915).</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3)</w:t>
      </w:r>
      <w:r w:rsidRPr="006A6515">
        <w:rPr>
          <w:rFonts w:ascii="Garamond" w:hAnsi="Garamond"/>
          <w:lang w:val="en-US" w:eastAsia="fr-FR"/>
        </w:rPr>
        <w:t xml:space="preserve"> G. Groddeck, </w:t>
      </w:r>
      <w:r w:rsidRPr="006A6515">
        <w:rPr>
          <w:rFonts w:ascii="Garamond" w:hAnsi="Garamond"/>
          <w:i/>
          <w:iCs/>
          <w:lang w:val="en-US" w:eastAsia="fr-FR"/>
        </w:rPr>
        <w:t>Das Buch vom Es</w:t>
      </w:r>
      <w:r w:rsidRPr="006A6515">
        <w:rPr>
          <w:rFonts w:ascii="Garamond" w:hAnsi="Garamond"/>
          <w:lang w:val="en-US" w:eastAsia="fr-FR"/>
        </w:rPr>
        <w:t xml:space="preserve"> (1923).</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4)</w:t>
      </w:r>
      <w:r w:rsidRPr="006A6515">
        <w:rPr>
          <w:rFonts w:ascii="Garamond" w:hAnsi="Garamond"/>
          <w:lang w:val="en-US" w:eastAsia="fr-FR"/>
        </w:rPr>
        <w:t xml:space="preserve"> Ein solcher Fall ist mir erst kürzlich, und zwar als Einwand gegen meine Beschreibung der »Traumarbeit«, mitgeteilt worden.</w:t>
      </w:r>
    </w:p>
    <w:p w:rsidR="006A6515" w:rsidRDefault="006A6515">
      <w:pPr>
        <w:rPr>
          <w:rFonts w:ascii="Garamond" w:hAnsi="Garamond"/>
          <w:b/>
          <w:bCs/>
          <w:lang w:val="en-US" w:eastAsia="fr-FR"/>
        </w:rPr>
      </w:pPr>
      <w:r>
        <w:rPr>
          <w:rFonts w:ascii="Garamond" w:hAnsi="Garamond"/>
          <w:b/>
          <w:bCs/>
          <w:lang w:val="en-US" w:eastAsia="fr-FR"/>
        </w:rPr>
        <w:br w:type="page"/>
      </w:r>
    </w:p>
    <w:p w:rsidR="00525700" w:rsidRPr="006A6515" w:rsidRDefault="00B437A1" w:rsidP="006A6515">
      <w:pPr>
        <w:pStyle w:val="Sansinterligne"/>
        <w:rPr>
          <w:rFonts w:ascii="Garamond" w:hAnsi="Garamond"/>
          <w:b/>
          <w:bCs/>
          <w:lang w:val="en-US" w:eastAsia="fr-FR"/>
        </w:rPr>
      </w:pPr>
      <w:hyperlink w:anchor="Das_Ich_INHALT" w:history="1">
        <w:r w:rsidR="00525700" w:rsidRPr="006A6515">
          <w:rPr>
            <w:rStyle w:val="Lienhypertexte"/>
            <w:rFonts w:ascii="Garamond" w:hAnsi="Garamond"/>
            <w:b/>
            <w:bCs/>
            <w:lang w:val="en-US" w:eastAsia="fr-FR"/>
          </w:rPr>
          <w:t>III. Da</w:t>
        </w:r>
        <w:bookmarkStart w:id="42" w:name="Das_Ich_3"/>
        <w:bookmarkEnd w:id="42"/>
        <w:r w:rsidR="00525700" w:rsidRPr="006A6515">
          <w:rPr>
            <w:rStyle w:val="Lienhypertexte"/>
            <w:rFonts w:ascii="Garamond" w:hAnsi="Garamond"/>
            <w:b/>
            <w:bCs/>
            <w:lang w:val="en-US" w:eastAsia="fr-FR"/>
          </w:rPr>
          <w:t>s Ich und das Über-Ich (Ichideal)</w:t>
        </w:r>
      </w:hyperlink>
    </w:p>
    <w:p w:rsidR="00525700" w:rsidRPr="006A6515" w:rsidRDefault="00525700" w:rsidP="006A6515">
      <w:pPr>
        <w:pStyle w:val="Sansinterligne"/>
        <w:rPr>
          <w:rFonts w:ascii="Garamond" w:hAnsi="Garamond"/>
          <w:lang w:val="en-US" w:eastAsia="fr-FR"/>
        </w:rPr>
      </w:pP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Wäre das Ich nur der durch den Einfluß des Wahrnehmungssystems modifizierte Anteil des Es, der Vertreter der realen Außenwelt im Seelischen, so hätten wir es mit einem einfachen Sachverhalt zu tun. Allein es kommt etwas anderes hinzu.</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Die Motive, die uns bewogen haben, eine Stufe im Ich anzunehmen, eine Differenzierung innerhalb des Ichs, die </w:t>
      </w:r>
      <w:r w:rsidRPr="006A6515">
        <w:rPr>
          <w:rFonts w:ascii="Garamond" w:hAnsi="Garamond"/>
          <w:i/>
          <w:iCs/>
          <w:lang w:val="en-US" w:eastAsia="fr-FR"/>
        </w:rPr>
        <w:t>Ich-Ideal</w:t>
      </w:r>
      <w:r w:rsidRPr="006A6515">
        <w:rPr>
          <w:rFonts w:ascii="Garamond" w:hAnsi="Garamond"/>
          <w:lang w:val="en-US" w:eastAsia="fr-FR"/>
        </w:rPr>
        <w:t xml:space="preserve"> oder </w:t>
      </w:r>
      <w:r w:rsidRPr="006A6515">
        <w:rPr>
          <w:rFonts w:ascii="Garamond" w:hAnsi="Garamond"/>
          <w:i/>
          <w:iCs/>
          <w:lang w:val="en-US" w:eastAsia="fr-FR"/>
        </w:rPr>
        <w:t>Über-Ich</w:t>
      </w:r>
      <w:r w:rsidRPr="006A6515">
        <w:rPr>
          <w:rFonts w:ascii="Garamond" w:hAnsi="Garamond"/>
          <w:lang w:val="en-US" w:eastAsia="fr-FR"/>
        </w:rPr>
        <w:t xml:space="preserve"> zu nennen ist, sind an anderen Orten auseinandergesetzt worden. Sie bestehen zu Recht.</w:t>
      </w:r>
      <w:r w:rsidRPr="006A6515">
        <w:rPr>
          <w:rFonts w:ascii="Garamond" w:hAnsi="Garamond"/>
          <w:vertAlign w:val="superscript"/>
          <w:lang w:val="en-US" w:eastAsia="fr-FR"/>
        </w:rPr>
        <w:t>1)</w:t>
      </w:r>
      <w:r w:rsidRPr="006A6515">
        <w:rPr>
          <w:rFonts w:ascii="Garamond" w:hAnsi="Garamond"/>
          <w:lang w:val="en-US" w:eastAsia="fr-FR"/>
        </w:rPr>
        <w:t xml:space="preserve"> Daß dieses Stück des Ichs eine weniger feste Beziehung zum Bewußtsein hat, ist die Neuheit, die nach Erklärung verlangt.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Wir müssen hier etwas weiter ausgreifen. Es war uns gelungen, das schmerzhafte Leiden der Melancholie durch die Annahme aufzuklären, daß ein verlorenes Objekt im Ich wiederaufgerichtet, also eine Objektbesetzung durch eine Identifizierung abgelöst wird.</w:t>
      </w:r>
      <w:r w:rsidRPr="006A6515">
        <w:rPr>
          <w:rFonts w:ascii="Garamond" w:hAnsi="Garamond"/>
          <w:vertAlign w:val="superscript"/>
          <w:lang w:val="en-US" w:eastAsia="fr-FR"/>
        </w:rPr>
        <w:t>2)</w:t>
      </w:r>
      <w:r w:rsidRPr="006A6515">
        <w:rPr>
          <w:rFonts w:ascii="Garamond" w:hAnsi="Garamond"/>
          <w:lang w:val="en-US" w:eastAsia="fr-FR"/>
        </w:rPr>
        <w:t xml:space="preserve"> Damals erkannten wir aber noch nicht die ganze Bedeutung dieses Vorganges und wußten nicht, wie häufig und typisch er ist. Wir haben seither verstanden, daß solche Ersetzung einen großen Anteil an der Gestaltung des Ichs hat und wesentlich dazu beiträgt, das herzustellen, was man seinen </w:t>
      </w:r>
      <w:r w:rsidRPr="006A6515">
        <w:rPr>
          <w:rFonts w:ascii="Garamond" w:hAnsi="Garamond"/>
          <w:i/>
          <w:iCs/>
          <w:lang w:val="en-US" w:eastAsia="fr-FR"/>
        </w:rPr>
        <w:t>Charakter</w:t>
      </w:r>
      <w:r w:rsidRPr="006A6515">
        <w:rPr>
          <w:rFonts w:ascii="Garamond" w:hAnsi="Garamond"/>
          <w:lang w:val="en-US" w:eastAsia="fr-FR"/>
        </w:rPr>
        <w:t xml:space="preserve"> heißt. Uranfänglich in der primitiven oralen Phase des Individuums sind Objektbesetzung und Identifizierung wohl nicht voneinander zu unterscheiden. Späterhin kann man nur annehmen, daß die Objektbesetzungen vom Es ausgehen, welches die erotischen Strebungen als Bedürfnisse empfindet. Das anfangs noch schwächliche Ich erhält von den Objektbesetzungen Kenntnis, läßt sie sich gefallen oder sucht sie durch den Prozeß der Verdrängung abzuwehren.</w:t>
      </w:r>
      <w:r w:rsidRPr="006A6515">
        <w:rPr>
          <w:rFonts w:ascii="Garamond" w:hAnsi="Garamond"/>
          <w:vertAlign w:val="superscript"/>
          <w:lang w:val="en-US" w:eastAsia="fr-FR"/>
        </w:rPr>
        <w:t>3)</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Soll oder muß ein solches Sexualobjekt aufgegeben werden, so tritt dafür nicht selten die Ichveränderung auf, die man als Aufrichtung des Objekts im Ich wie bei der Melancholie beschreiben muß; die näheren Verhältnisse dieser Ersetzung sind uns noch nicht bekannt. Vielleicht erleichtert oder ermöglicht das Ich durch diese Introjektion, die eine Art von Regression zum Mechanismus der oralen Phase ist, das Aufgeben des Objekts. Vielleicht ist diese Identifizierung überhaupt die Bedingung, unter der das Es seine Objekte aufgibt. Jedenfalls ist der Vorgang zumal in frühen Entwicklungs</w:t>
      </w:r>
      <w:r w:rsidRPr="006A6515">
        <w:rPr>
          <w:rFonts w:ascii="Garamond" w:hAnsi="Garamond"/>
          <w:lang w:val="en-US" w:eastAsia="fr-FR"/>
        </w:rPr>
        <w:softHyphen/>
        <w:t>phasen ein sehr häufiger und kann die Auffassung ermöglichen, daß der Charakter des Ichs ein Niederschlag der aufgegebenen Objektbesetzungen ist, die Geschichte dieser Objektwahlen enthält. Es ist natürlich von vorne</w:t>
      </w:r>
      <w:r w:rsidRPr="006A6515">
        <w:rPr>
          <w:rFonts w:ascii="Garamond" w:hAnsi="Garamond"/>
          <w:lang w:val="en-US" w:eastAsia="fr-FR"/>
        </w:rPr>
        <w:softHyphen/>
        <w:t>herein eine Skala der Resistenzfähigkeit zuzugeben, inwieweit der Charakter einer Person diese Einflüsse aus der Geschichte der erotischen Objektwahlen abwehrt oder annimmt. Bei Frauen, die viel Liebeserfahrungen gehabt haben, glaubt man, die Rückstände ihrer Objektbesetzungen in ihren Charakterzügen leicht nachweisen zu können. Auch eine Gleichzeitigkeit von Objektbesetzung und Identifizierung, also eine Charakterveränderung, ehe das Objekt aufgegeben worden ist, kommt in Betracht. In diesem Fall könnte die Charakterveränderung die Objektbeziehung überleben und sie in gewissem Sinne konservieren.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Ein anderer Gesichtspunkt besagt, daß diese Umsetzung einer erotischen Objektwahl in eine Ichveränderung auch ein Weg ist, wie das Ich das Es bemeistern und seine Beziehungen zu ihm vertiefen kann, allerdings auf Kosten einer weitgehenden Gefügigkeit gegen dessen Erlebnisse. Wenn das Ich die Züge des Objektes annimmt, drängt es sich sozusagen selbst dem Es als Liebesobjekt auf, sucht ihm seinen Verlust zu ersetzen, indem es sagt: »Sieh', du kannst auch mich lieben, ich bin dem Objekt so ähnlich.«</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Umsetzung von Objektlibido in narzißtische Libido, die hier vor sich geht, bringt offenbar ein Aufgeben der Sexualziele, eine Desexualisierung mit sich, also eine Art von Sublimierung. Ja, es entsteht die eingehender Behand</w:t>
      </w:r>
      <w:r w:rsidRPr="006A6515">
        <w:rPr>
          <w:rFonts w:ascii="Garamond" w:hAnsi="Garamond"/>
          <w:lang w:val="en-US" w:eastAsia="fr-FR"/>
        </w:rPr>
        <w:softHyphen/>
        <w:t>lung würdige Frage, ob dies nicht der allgemeine Weg zur Sublimierung ist, ob nicht alle Sublimierung durch die Vermittlung des Ichs vor sich geht, welches zunächst die sexuelle Objektlibido in narzißtische verwandelt, um ihr dann vielleicht ein anderes Ziel zu setzen</w:t>
      </w:r>
      <w:r w:rsidRPr="006A6515">
        <w:rPr>
          <w:rFonts w:ascii="Garamond" w:hAnsi="Garamond"/>
          <w:i/>
          <w:iCs/>
          <w:lang w:val="en-US" w:eastAsia="fr-FR"/>
        </w:rPr>
        <w:t>.</w:t>
      </w:r>
      <w:r w:rsidRPr="006A6515">
        <w:rPr>
          <w:rFonts w:ascii="Garamond" w:hAnsi="Garamond"/>
          <w:vertAlign w:val="superscript"/>
          <w:lang w:val="en-US" w:eastAsia="fr-FR"/>
        </w:rPr>
        <w:t>4)</w:t>
      </w:r>
      <w:r w:rsidRPr="006A6515">
        <w:rPr>
          <w:rFonts w:ascii="Garamond" w:hAnsi="Garamond"/>
          <w:i/>
          <w:iCs/>
          <w:lang w:val="en-US" w:eastAsia="fr-FR"/>
        </w:rPr>
        <w:t xml:space="preserve"> </w:t>
      </w:r>
      <w:r w:rsidRPr="006A6515">
        <w:rPr>
          <w:rFonts w:ascii="Garamond" w:hAnsi="Garamond"/>
          <w:lang w:val="en-US" w:eastAsia="fr-FR"/>
        </w:rPr>
        <w:t>Ob diese Verwandlung nicht auch andere Triebschicksale zur Folge haben kann, zum Beispiel eine Entmischung der verschiedenen miteinander verschmolzenen Triebe herbeizuführen, wird uns noch später beschäftigen.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Es ist eine Abschweifung von unserem Ziel und doch nicht zu vermeiden, daß wir unsere Aufmerksamkeit für einen Moment bei den Objektidentifi</w:t>
      </w:r>
      <w:r w:rsidRPr="006A6515">
        <w:rPr>
          <w:rFonts w:ascii="Garamond" w:hAnsi="Garamond"/>
          <w:lang w:val="en-US" w:eastAsia="fr-FR"/>
        </w:rPr>
        <w:softHyphen/>
        <w:t xml:space="preserve">zierungen des Ichs verweilen lassen. Nehmen diese überhand, werden allzu zahlreich und überstark und miteinander unverträglich, so liegt ein pathologisches Ergebnis nahe. Es kann zu einer Aufsplitterung des Ichs kommen, indem sich die einzelnen Identifizierungen durch Widerstände gegeneinander abschließen, und vielleicht ist es das Geheimnis der Fälle von sogenannter </w:t>
      </w:r>
      <w:r w:rsidRPr="006A6515">
        <w:rPr>
          <w:rFonts w:ascii="Garamond" w:hAnsi="Garamond"/>
          <w:i/>
          <w:iCs/>
          <w:lang w:val="en-US" w:eastAsia="fr-FR"/>
        </w:rPr>
        <w:t>multipler Persönlichkeit,</w:t>
      </w:r>
      <w:r w:rsidRPr="006A6515">
        <w:rPr>
          <w:rFonts w:ascii="Garamond" w:hAnsi="Garamond"/>
          <w:lang w:val="en-US" w:eastAsia="fr-FR"/>
        </w:rPr>
        <w:t xml:space="preserve"> daß die einzelnen Identifizierungen alternierend das Bewußtsein an sich reißen. Auch wenn es nicht so weit kommt, ergibt sich das Thema der </w:t>
      </w:r>
      <w:r w:rsidRPr="006A6515">
        <w:rPr>
          <w:rFonts w:ascii="Garamond" w:hAnsi="Garamond"/>
          <w:lang w:val="en-US" w:eastAsia="fr-FR"/>
        </w:rPr>
        <w:lastRenderedPageBreak/>
        <w:t>Konflikte zwischen den verschiedenen Identifizierungen, in die das Ich auseinanderfährt, Konflikte, die endlich nicht durchwegs als pathologische bezeichnet werden können.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Wie immer sich aber die spätere Resistenz des Charakters gegen die Einflüsse aufgegebener Objektbesetzungen gestalten mag, die Wirkungen der ersten, im frühesten Alter erfolgten Identifizierungen werden allgemeine und nachhaltige sein. Dies führt uns zur Entstehung des Ichideals zurück, denn hinter ihm verbirgt sich die erste und bedeutsamste Identifizierung des Individuums, die mit dem Vater der persönlichen Vorzeit.</w:t>
      </w:r>
      <w:r w:rsidRPr="006A6515">
        <w:rPr>
          <w:rFonts w:ascii="Garamond" w:hAnsi="Garamond"/>
          <w:vertAlign w:val="superscript"/>
          <w:lang w:val="en-US" w:eastAsia="fr-FR"/>
        </w:rPr>
        <w:t>5)</w:t>
      </w:r>
      <w:r w:rsidRPr="006A6515">
        <w:rPr>
          <w:rFonts w:ascii="Garamond" w:hAnsi="Garamond"/>
          <w:lang w:val="en-US" w:eastAsia="fr-FR"/>
        </w:rPr>
        <w:t xml:space="preserve"> Diese scheint zunächst nicht Erfolg oder Ausgang einer Objektbesetzung zu sein, sie ist eine direkte und unmittelbare und frühzeitiger als jede Objektbesetzung. Aber die Objektwahlen, die der ersten Sexualperiode angehören und Vater und Mutter betreffen, scheinen beim normalen Ablauf den Ausgang in solche Identifizierung zu nehmen und somit die primäre Identifizierung zu verstärken.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Immerhin sind diese Beziehungen so kompliziert, daß es notwendig wird, sie eingehender zu beschreiben. Es sind zwei Momente, welche diese Komplikation verschulden, die dreieckige Anlage des Ödipusverhältnisses und die konstitutionelle Bisexualität des Individuums.</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Der vereinfachte Fall gestaltet sich für das männliche Kind in folgender Weise: Ganz frühzeitig entwickelt es für die Mutter eine Objektbesetzung, die von der Mutterbrust ihren Ausgang nimmt und das vorbildliche Beispiel einer Objektwahl nach dem Anlehnungstypus zeigt; des Vaters bemächtigt sich der Knabe durch Identifizierung. Die beiden Beziehungen gehen eine Weile nebeneinander her, bis durch die Verstärkung der sexuellen Wünsche nach der Mutter und die Wahrnehmung, daß der Vater diesen Wünschen ein Hindernis ist, der Ödipuskomplex entsteht.</w:t>
      </w:r>
      <w:r w:rsidRPr="006A6515">
        <w:rPr>
          <w:rFonts w:ascii="Garamond" w:hAnsi="Garamond"/>
          <w:vertAlign w:val="superscript"/>
          <w:lang w:val="en-US" w:eastAsia="fr-FR"/>
        </w:rPr>
        <w:t>6)</w:t>
      </w:r>
      <w:r w:rsidRPr="006A6515">
        <w:rPr>
          <w:rFonts w:ascii="Garamond" w:hAnsi="Garamond"/>
          <w:lang w:val="en-US" w:eastAsia="fr-FR"/>
        </w:rPr>
        <w:t xml:space="preserve"> Die Vateridentifizierung nimmt nun eine feindselige Tönung an, sie wendet sich zum Wunsch, den Vater zu beseitigen, um ihn bei der Mutter zu ersetzen. Von da an ist das Verhältnis zum Vater ambivalent; es scheint, als ob die in der Identifizierung von Anfang an enthaltene Ambivalenz manifest geworden wäre. Die ambivalente Einstel</w:t>
      </w:r>
      <w:r w:rsidRPr="006A6515">
        <w:rPr>
          <w:rFonts w:ascii="Garamond" w:hAnsi="Garamond"/>
          <w:lang w:val="en-US" w:eastAsia="fr-FR"/>
        </w:rPr>
        <w:softHyphen/>
        <w:t>lung zum Vater und die nur zärtliche Objektstrebung nach der Mutter beschreiben für den Knaben den Inhalt des einfachen, positiven Ödipus</w:t>
      </w:r>
      <w:r w:rsidRPr="006A6515">
        <w:rPr>
          <w:rFonts w:ascii="Garamond" w:hAnsi="Garamond"/>
          <w:lang w:val="en-US" w:eastAsia="fr-FR"/>
        </w:rPr>
        <w:softHyphen/>
        <w:t>komplexes.</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Bei der Zertrümmerung des Ödipuskomplexes muß die Objektbesetzung der Mutter aufgegeben werden. An ihre Stelle kann zweierlei treten, entweder eine Identifizierung mit der Mutter oder eine Verstärkung der Vateridentifizierung. Den letzteren Ausgang pflegen wir als den normaleren anzusehen, er gestattet es, die zärtliche Beziehung zur Mutter in gewissem Maße festzuhalten. Durch den Untergang des Ödipuskomplexes hätte so die Männlichkeit im Charakter des Knaben eine Festigung erfahren. In ganz analoger Weise kann die Ödipuseinstellung des kleinen Mädchens in eine Verstärkung ihrer Mutteridentifizierung (oder in die Herstellung einer solchen) auslaufen, die den weiblichen Charakter des Kindes festlegt.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Diese Identifizierungen entsprechen nicht unserer Erwartung, denn sie führen nicht das aufgegebene Objekt ins Ich ein, aber auch dieser Ausgang kommt vor und ist bei Mädchen leichter zu beobachten als bei Knaben. Man erfährt sehr häufig aus der Analyse, daß das kleine Mädchen, nachdem es auf den Vater als Liebesobjekt verzichten mußte, nun seine Männlichkeit hervorholt und sich anstatt mit der Mutter, mit dem Vater, also mit dem verlorenen Objekt, identifiziert. Es kommt dabei offenbar darauf an, ob ihre männlichen Anlagen stark genug sind — worin immer diese bestehen mögen.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Der Ausgang der Ödipussituation in Vater- oder in Mutteridentifizierung scheint also bei beiden Geschlechtern von der relativen Stärke der beiden Geschlechtsanlagen abzuhängen. Dies ist die eine Art, wie sich die Bisexualität in die Schicksale des Ödipuskomplexes einmengt. Die andere ist noch bedeutsamer. Man gewinnt nämlich den Eindruck, daß der einfache Ödipuskomplex überhaupt nicht das häufigste ist, sondern einer Vereinfachung oder Schematisierung entspricht, die allerdings oft genug praktisch gerechtfertigt bleibt. Eingehendere Untersuchung deckt zumeist den </w:t>
      </w:r>
      <w:r w:rsidRPr="006A6515">
        <w:rPr>
          <w:rFonts w:ascii="Garamond" w:hAnsi="Garamond"/>
          <w:i/>
          <w:iCs/>
          <w:lang w:val="en-US" w:eastAsia="fr-FR"/>
        </w:rPr>
        <w:t>vollständigeren</w:t>
      </w:r>
      <w:r w:rsidRPr="006A6515">
        <w:rPr>
          <w:rFonts w:ascii="Garamond" w:hAnsi="Garamond"/>
          <w:lang w:val="en-US" w:eastAsia="fr-FR"/>
        </w:rPr>
        <w:t xml:space="preserve"> Ödipuskomplex auf, der ein zweifacher ist, ein positiver und ein negativer, abhängig von der ursprünglichen Bisexualität des Kindes, d. h. der Knabe hat nicht nur eine ambivalente Einstellung zum Vater und eine zärtliche Objektwahl für die Mutter, sondern er benimmt sich auch gleichzeitig wie ein Mädchen, er zeigt die zärtliche feminine Einstellung zum Vater und die ihr entsprechende eifersüchtig-feindselige gegen die Mutter. Dieses Eingreifen der Bisexualität macht es so schwer, die Verhältnisse der primitiven Objekt wählen und Identifizierungen zu durchschauen, und noch schwieriger, sie faßlich zu beschreiben. Es könnte auch sein, daß die im Elternverhältnis konstatierte Ambivalenz durchaus auf die Bisexualität zu beziehen wäre und nicht, wie ich es vorhin dargestellt, durch die Rivalitätseinstellung aus der Identifizierung entwickelt würde.</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Ich meine, man tut gut daran, im allgemeinen und ganz besonders bei Neurotikern die Existenz des vollständigen Ödipuskomplexes anzunehmen. Die analytische Erfahrung zeigt dann, daß bei einer Anzahl </w:t>
      </w:r>
      <w:r w:rsidRPr="006A6515">
        <w:rPr>
          <w:rFonts w:ascii="Garamond" w:hAnsi="Garamond"/>
          <w:lang w:val="en-US" w:eastAsia="fr-FR"/>
        </w:rPr>
        <w:lastRenderedPageBreak/>
        <w:t>von Fällen der eine oder der andere Bestandteil desselben bis auf kaum merkliche Spuren schwindet, so daß sich eine Reihe ergibt, an deren einem Ende der normale, positive, an deren anderem Ende der umgekehrte, negative Ödipuskomplex steht, während die Mittelglieder die vollständige Form mit ungleicher Beteiligung der beiden Komponenten aufzeigen. Beim Untergang des Ödipuskomplexes werden die vier in ihm enthaltenen Strebungen sich derart zusammenlegen, daß aus ihnen eine Vater- und eine Mutteridentifizierung hervorgeht, die Vateridentifizierung wird das Mutterobjekt des positiven Komplexes festhalten und gleichzeitig das Vaterobjekt des umgekehrten Komplexes ersetzen; Analoges wird für die Mutteridentifizierung gelten. In der verschieden starken Ausprägung der beiden Identifizierungen wird sich die Ungleichheit der beiden geschlechtlichen Anlagen spiegeln.</w:t>
      </w:r>
    </w:p>
    <w:p w:rsidR="00525700" w:rsidRPr="006A6515" w:rsidRDefault="00525700" w:rsidP="006A6515">
      <w:pPr>
        <w:pStyle w:val="Sansinterligne"/>
        <w:rPr>
          <w:rFonts w:ascii="Garamond" w:hAnsi="Garamond"/>
          <w:lang w:val="en-US" w:eastAsia="fr-FR"/>
        </w:rPr>
      </w:pPr>
      <w:r w:rsidRPr="006A6515">
        <w:rPr>
          <w:rFonts w:ascii="Garamond" w:hAnsi="Garamond"/>
          <w:i/>
          <w:iCs/>
          <w:lang w:val="en-US" w:eastAsia="fr-FR"/>
        </w:rPr>
        <w:t>So kann man als allgemeinstes Ergebnis der vom Ödipuskomplex beherrsch</w:t>
      </w:r>
      <w:r w:rsidRPr="006A6515">
        <w:rPr>
          <w:rFonts w:ascii="Garamond" w:hAnsi="Garamond"/>
          <w:lang w:val="en-US" w:eastAsia="fr-FR"/>
        </w:rPr>
        <w:softHyphen/>
      </w:r>
      <w:r w:rsidRPr="006A6515">
        <w:rPr>
          <w:rFonts w:ascii="Garamond" w:hAnsi="Garamond"/>
          <w:i/>
          <w:iCs/>
          <w:lang w:val="en-US" w:eastAsia="fr-FR"/>
        </w:rPr>
        <w:t>ten Sexualphase einen Niederschlag im Ich annehmen, welcher in der Herstel</w:t>
      </w:r>
      <w:r w:rsidRPr="006A6515">
        <w:rPr>
          <w:rFonts w:ascii="Garamond" w:hAnsi="Garamond"/>
          <w:lang w:val="en-US" w:eastAsia="fr-FR"/>
        </w:rPr>
        <w:softHyphen/>
      </w:r>
      <w:r w:rsidRPr="006A6515">
        <w:rPr>
          <w:rFonts w:ascii="Garamond" w:hAnsi="Garamond"/>
          <w:i/>
          <w:iCs/>
          <w:lang w:val="en-US" w:eastAsia="fr-FR"/>
        </w:rPr>
        <w:t>lung dieser beiden, irgendwie miteinander vereinbarten Identifizierungen besteht. Diese Ichveränderung behält ihre Sonderstellung, sie tritt dem anderen Inhalt des Ichs als Ichideal oder Uber-Ich entgegen.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Das Über-Ich ist aber nicht einfach ein Residuum der ersten Objektwahlen des Es, sondern es hat auch die Bedeutung einer energischen Reaktions</w:t>
      </w:r>
      <w:r w:rsidRPr="006A6515">
        <w:rPr>
          <w:rFonts w:ascii="Garamond" w:hAnsi="Garamond"/>
          <w:lang w:val="en-US" w:eastAsia="fr-FR"/>
        </w:rPr>
        <w:softHyphen/>
        <w:t xml:space="preserve">bildung gegen dieselben. Seine Beziehung zum Ich erschöpft sich nicht in der Mahnung: »So (wie der Vater) </w:t>
      </w:r>
      <w:r w:rsidRPr="006A6515">
        <w:rPr>
          <w:rFonts w:ascii="Garamond" w:hAnsi="Garamond"/>
          <w:i/>
          <w:iCs/>
          <w:lang w:val="en-US" w:eastAsia="fr-FR"/>
        </w:rPr>
        <w:t>sollst</w:t>
      </w:r>
      <w:r w:rsidRPr="006A6515">
        <w:rPr>
          <w:rFonts w:ascii="Garamond" w:hAnsi="Garamond"/>
          <w:lang w:val="en-US" w:eastAsia="fr-FR"/>
        </w:rPr>
        <w:t xml:space="preserve"> du sein«, sie umfaßt auch das Verbot: »So (wie der Vater) </w:t>
      </w:r>
      <w:r w:rsidRPr="006A6515">
        <w:rPr>
          <w:rFonts w:ascii="Garamond" w:hAnsi="Garamond"/>
          <w:i/>
          <w:iCs/>
          <w:lang w:val="en-US" w:eastAsia="fr-FR"/>
        </w:rPr>
        <w:t>darfst</w:t>
      </w:r>
      <w:r w:rsidRPr="006A6515">
        <w:rPr>
          <w:rFonts w:ascii="Garamond" w:hAnsi="Garamond"/>
          <w:lang w:val="en-US" w:eastAsia="fr-FR"/>
        </w:rPr>
        <w:t xml:space="preserve"> du </w:t>
      </w:r>
      <w:r w:rsidRPr="006A6515">
        <w:rPr>
          <w:rFonts w:ascii="Garamond" w:hAnsi="Garamond"/>
          <w:i/>
          <w:iCs/>
          <w:lang w:val="en-US" w:eastAsia="fr-FR"/>
        </w:rPr>
        <w:t>nicht</w:t>
      </w:r>
      <w:r w:rsidRPr="006A6515">
        <w:rPr>
          <w:rFonts w:ascii="Garamond" w:hAnsi="Garamond"/>
          <w:lang w:val="en-US" w:eastAsia="fr-FR"/>
        </w:rPr>
        <w:t xml:space="preserve"> sein, das heißt nicht alles tun, was er tut; manches bleibt ihm vorbehalten.« Dies Doppelangesicht des Ichideals leitet sich aus der Tatsache ab, daß das Ichideal zur Verdrängung des Ödipus</w:t>
      </w:r>
      <w:r w:rsidRPr="006A6515">
        <w:rPr>
          <w:rFonts w:ascii="Garamond" w:hAnsi="Garamond"/>
          <w:lang w:val="en-US" w:eastAsia="fr-FR"/>
        </w:rPr>
        <w:softHyphen/>
        <w:t>komplexes bemüht wurde, ja, diesem Umschwung erst seine Entstehung dankt. Die Verdrängung des Ödipuskomplexes ist offenbar keine leichte Aufgabe gewesen. Da die Eltern, besonders der Vater, als das Hindernis gegen die Verwirklichung der Ödipuswünsche erkannt werden, stärkte sich das infantile Ich für diese Verdrängungsleistung, indem es dies selbe Hindernis in sich aufrichtete. Es lieh sich gewissermaßen die Kraft dazu vom Vater aus, und diese Anleihe ist ein außerordentlich folgenschwerer Akt. Das Über-Ich wird den Charakter des Vaters bewahren, und je stärker der Ödipuskomplex war, je beschleunigter (unter dem Einfluß von Autorität, Religionslehre, Unterricht, Lektüre) seine Verdrängung erfolgte, desto strenger wird später das Über-Ich als Gewissen, vielleicht als unbewußtes Schuldgefühl über das Ich herrschen. — Woher es die Kraft zu dieser Herrschaft bezieht, den zwangsartigen Charakter, der sich als kategorischer Imperativ äußert, darüber werde ich später eine Vermutung vorbringen.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Fassen wir die beschriebene Entstehung des Über-Ichs nochmals ins Auge, so erkennen wir es als das Ergebnis zweier höchst bedeutsamer biologischer Faktoren, der langen kindlichen Hilflosigkeit und Abhängigkeit des Menschen und der Tatsache seines Ödipuskomplexes, den wir ja auf die Unterbrechung der Libidoentwicklung durch die Latenzzeit, somit auf den </w:t>
      </w:r>
      <w:r w:rsidRPr="006A6515">
        <w:rPr>
          <w:rFonts w:ascii="Garamond" w:hAnsi="Garamond"/>
          <w:i/>
          <w:iCs/>
          <w:lang w:val="en-US" w:eastAsia="fr-FR"/>
        </w:rPr>
        <w:t>zweizeitigen Ansatz</w:t>
      </w:r>
      <w:r w:rsidRPr="006A6515">
        <w:rPr>
          <w:rFonts w:ascii="Garamond" w:hAnsi="Garamond"/>
          <w:lang w:val="en-US" w:eastAsia="fr-FR"/>
        </w:rPr>
        <w:t xml:space="preserve"> seines Sexuallebens zurückgeführt haben. Letztere, wie es scheint, spezifisch menschliche Eigentümlichkeit hat eine psychoanaly</w:t>
      </w:r>
      <w:r w:rsidRPr="006A6515">
        <w:rPr>
          <w:rFonts w:ascii="Garamond" w:hAnsi="Garamond"/>
          <w:lang w:val="en-US" w:eastAsia="fr-FR"/>
        </w:rPr>
        <w:softHyphen/>
        <w:t>tische Hypothese als Erbteil der durch die Eiszeit erzwungenen Entwicklung zur Kultur hingestellt. Somit ist die Sonderung des Über-Ichs vom Ich nichts Zufälliges, sie vertritt die bedeutsamsten Züge der individuellen und der Artentwicklung, ja, indem sie dem Elterneinfluß einen dauernden Ausdruck schafft, verewigt sie die Existenz der Momente, denen sie ihren Ursprung verdankt.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Es ist der Psychoanalyse unzählige Male zum Vorwurf gemacht worden, daß sie sich um das Höhere, Moralische, Uberpersönliche im Menschen nicht kümmere. Der Vorwurf war doppelt ungerecht, historisch wie methodisch. Ersteres, da von Anbeginn an den moralischen und ästhetischen Tendenzen im Ich der Antrieb zur Verdrängung zugeteilt wurde, letzteres, da man nicht einsehen wollte, daß die psychoanalytische Forschung nicht wie ein philosophisches System mit einem vollständigen und fertigen Lehrgebäude auftreten konnte, sondern sich den Weg zum Verständnis der seelischen Komplikationen schrittweise durch die analytische Zergliederung normaler wie abnormer Phänomene bahnen mußte. Wir brauchten die zitternde Besorgnis um den Verbleib des Höheren im Menschen nicht zu teilen, solange wir uns mit dem Studium des Verdrängten im Seelenleben zu beschäftigen hatten. Nun, da wir uns an die Analyse des Ichs heranwagen, können wir all denen, welche, in ihrem sittlichen Bewußtsein erschüttert, geklagt haben, es muß doch ein höheres Wesen im Menschen geben, antworten: »Gewiß, und dies ist das höhere Wesen, das Ichideal oder Über-Ich, die Repräsentanz unserer Elternbeziehung. Als kleine Kinder haben wir diese höheren Wesen gekannt, bewundert, gefürchtet, später sie in uns selbst aufgenommen.«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Das Ichideal ist also der Erbe des Ödipuskomplexes und somit Ausdruck der mächtigsten Regungen und wichtigsten Libidoschicksale des Es. Durch seine Aufrichtung hat sich das Ich des Ödipuskomplexes bemächtigt und gleichzeitig sich selbst dem Es unterworfen. Während das Ich wesentlich Repräsentant der Außenwelt, der Realität ist, tritt ihm das Über-Ich als Anwalt der Innenwelt, des Es, gegenüber. Konflikte zwischen Ich und Ideal werden, darauf sind wir nun vorbereitet, in letzter Linie den Gegensatz von Real und Psychisch, Außenwelt und Innenwelt, widerspiegeln.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lastRenderedPageBreak/>
        <w:t>Was die Biologie und die Schicksale der Menschenart im Es geschaffen und hinterlassen haben, das wird durch die Idealbildung vom Ich über</w:t>
      </w:r>
      <w:r w:rsidRPr="006A6515">
        <w:rPr>
          <w:rFonts w:ascii="Garamond" w:hAnsi="Garamond"/>
          <w:lang w:val="en-US" w:eastAsia="fr-FR"/>
        </w:rPr>
        <w:softHyphen/>
        <w:t>nommen und an ihm individuell wiedererlebt. Das Ichideal hat infolge seiner Bildungsgeschichte die ausgiebigste Verknüpfung mit dem phylogenetischen Erwerb, der archaischen Erbschaft, des einzelnen. Was im einzelnen Seelenleben dem Tiefsten angehört hat, wird durch die Idealbildung zum Höchsten der Menschenseele im Sinne unserer Wertungen. Es wäre aber ein vergebliches Bemühen, das Ichideal auch nur in ähnlicher Weise wie das Ich zu lokalisieren</w:t>
      </w:r>
      <w:r w:rsidRPr="006A6515">
        <w:rPr>
          <w:rFonts w:ascii="Garamond" w:hAnsi="Garamond"/>
          <w:vertAlign w:val="superscript"/>
          <w:lang w:val="en-US" w:eastAsia="fr-FR"/>
        </w:rPr>
        <w:t>7)</w:t>
      </w:r>
      <w:r w:rsidRPr="006A6515">
        <w:rPr>
          <w:rFonts w:ascii="Garamond" w:hAnsi="Garamond"/>
          <w:lang w:val="en-US" w:eastAsia="fr-FR"/>
        </w:rPr>
        <w:t xml:space="preserve"> oder es in eines der Gleichnisse einzupassen, durch welche wir die Beziehung von Ich und Es nachzubilden versuchten.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Es ist leicht zu zeigen, daß das Ichideal allen Ansprüchen genügt, die an das höhere Wesen im Menschen gestellt werden. Als Ersatzbildung für die Vatersehnsucht enthält es den Keim, aus dem sich alle Religionen gebildet haben. Das Urteil der eigenen Unzulänglichkeit im Vergleich des Ichs mit seinem Ideal ergibt das demütige religiöse Empfinden, auf das sich der sehnsüchtig Gläubige beruft. Im weiteren Verlauf der Entwicklung haben Lehrer und Autoritäten die Vaterrolle fortgeführt; deren Gebote und Verbote sind im Ideal-Ich mächtig geblieben und üben jetzt als </w:t>
      </w:r>
      <w:r w:rsidRPr="006A6515">
        <w:rPr>
          <w:rFonts w:ascii="Garamond" w:hAnsi="Garamond"/>
          <w:i/>
          <w:iCs/>
          <w:lang w:val="en-US" w:eastAsia="fr-FR"/>
        </w:rPr>
        <w:t>Gewissen</w:t>
      </w:r>
      <w:r w:rsidRPr="006A6515">
        <w:rPr>
          <w:rFonts w:ascii="Garamond" w:hAnsi="Garamond"/>
          <w:lang w:val="en-US" w:eastAsia="fr-FR"/>
        </w:rPr>
        <w:t xml:space="preserve"> die moralische Zensur aus. Die Spannung zwischen den Ansprüchen des Gewissens und den Leistungen des Ichs wird als </w:t>
      </w:r>
      <w:r w:rsidRPr="006A6515">
        <w:rPr>
          <w:rFonts w:ascii="Garamond" w:hAnsi="Garamond"/>
          <w:i/>
          <w:iCs/>
          <w:lang w:val="en-US" w:eastAsia="fr-FR"/>
        </w:rPr>
        <w:t>Schuldgefühl</w:t>
      </w:r>
      <w:r w:rsidRPr="006A6515">
        <w:rPr>
          <w:rFonts w:ascii="Garamond" w:hAnsi="Garamond"/>
          <w:lang w:val="en-US" w:eastAsia="fr-FR"/>
        </w:rPr>
        <w:t xml:space="preserve"> empfunden. Die sozialen Gefühle ruhen auf Identifizierungen mit anderen auf Grund des gleichen Ichideals.</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Religion, Moral und soziales Empfinden — diese Hauptinhalte des Höheren im Menschen — sind ursprünglich eins gewesen. Nach der Hypothese von </w:t>
      </w:r>
      <w:r w:rsidRPr="006A6515">
        <w:rPr>
          <w:rFonts w:ascii="Garamond" w:hAnsi="Garamond"/>
          <w:i/>
          <w:iCs/>
          <w:lang w:val="en-US" w:eastAsia="fr-FR"/>
        </w:rPr>
        <w:t xml:space="preserve">Totem und Tabu </w:t>
      </w:r>
      <w:r w:rsidRPr="006A6515">
        <w:rPr>
          <w:rFonts w:ascii="Garamond" w:hAnsi="Garamond"/>
          <w:lang w:val="en-US" w:eastAsia="fr-FR"/>
        </w:rPr>
        <w:t>wurden sie phylogenetisch am Vaterkomplex erworben, Religion und sittliche Beschränkung durch die Bewältigung des eigentlichen Ödipuskomplexes, die sozialen Gefühle durch die Nötigung zur Überwindung der erübrigenden Rivalität unter den Mitgliedern der jungen Generation. In all diesen sittlichen Erwerbungen scheint das Geschlecht der Männer voran</w:t>
      </w:r>
      <w:r w:rsidRPr="006A6515">
        <w:rPr>
          <w:rFonts w:ascii="Garamond" w:hAnsi="Garamond"/>
          <w:lang w:val="en-US" w:eastAsia="fr-FR"/>
        </w:rPr>
        <w:softHyphen/>
        <w:t>gegangen zu sein, gekreuzte Vererbung hat den Besitz auch den Frauen zugeführt. Die sozialen Gefühle entstehen noch heute beim einzelnen als Überbau über die eifersüchtigen Rivalitätsregungen gegen die Geschwister. Da die Feindseligkeit nicht zu befriedigen ist, stellt sich eine Identifizierung mit dem anfänglichen Rivalen her. Beobachtungen an milden Homosexuellen stützen die Vermutung, daß auch diese Identifizierung Ersatz einer zärtlichen Objektwahl ist, welche die aggressiv-feindselige Einstellung abgelöst hat.</w:t>
      </w:r>
      <w:r w:rsidRPr="006A6515">
        <w:rPr>
          <w:rFonts w:ascii="Garamond" w:hAnsi="Garamond"/>
          <w:vertAlign w:val="superscript"/>
          <w:lang w:val="en-US" w:eastAsia="fr-FR"/>
        </w:rPr>
        <w:t>8)</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Mit der Erwähnung der Phylogenese tauchen aber neue Probleme auf, vor deren Beantwortung man zaghaft zurückweichen möchte. Aber es hilft wohl nichts, man muß den Versuch wagen, auch wenn man fürchtet, daß er die Unzulänglichkeit unserer ganzen Bemühung bloßstellen wird. Die Frage lautet: Wer hat seinerzeit Religion und Sittlichkeit am Vaterkomplex erworben, das Ich des Primitiven oder sein Es? Wenn es das Ich war, warum sprechen wir nicht einfach von einer Vererbung im Ich? Wenn das Es, wie stimmt das zum Charakter des Es? Oder darf man die Differenzierung in Ich, Über-Ich und Es nicht in so frühe Zeiten tragen? Oder soll man nicht ehrlich eingestehen, daß die ganze Auffassung der Ichvorgänge nichts fürs Verständnis der Phylogenese leistet und auf sie nicht anwendbar ist?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Beantworten wir zuerst, was sich am leichtesten beantworten läßt. Die Differenzierung von Ich und Es müssen wir nicht nur den primitiven Menschen, sondern noch viel einfacheren Lebewesen zuerkennen, da sie der notwendige Ausdruck des Einflusses der Außenwelt ist. Das Überich ließen wir gerade aus jenen Erlebnissen, die zum Totemismus führten, entstehen. Die Frage, ob das Ich oder das Es jene Erfahrungen und Erwerbungen gemacht haben, fällt bald in sich zusammen. Die nächste Erwägung sagt uns, daß das Es kein äußeres Schicksal erleben oder erfahren kann außer durch das </w:t>
      </w:r>
      <w:r w:rsidRPr="006A6515">
        <w:rPr>
          <w:rFonts w:ascii="Garamond" w:hAnsi="Garamond"/>
          <w:i/>
          <w:iCs/>
          <w:lang w:val="en-US" w:eastAsia="fr-FR"/>
        </w:rPr>
        <w:t>Ich,</w:t>
      </w:r>
      <w:r w:rsidRPr="006A6515">
        <w:rPr>
          <w:rFonts w:ascii="Garamond" w:hAnsi="Garamond"/>
          <w:lang w:val="en-US" w:eastAsia="fr-FR"/>
        </w:rPr>
        <w:t xml:space="preserve"> welches die Außenwelt bei ihm vertritt. Von einer direkten Vererbung im </w:t>
      </w:r>
      <w:r w:rsidRPr="006A6515">
        <w:rPr>
          <w:rFonts w:ascii="Garamond" w:hAnsi="Garamond"/>
          <w:i/>
          <w:iCs/>
          <w:lang w:val="en-US" w:eastAsia="fr-FR"/>
        </w:rPr>
        <w:t>Ich</w:t>
      </w:r>
      <w:r w:rsidRPr="006A6515">
        <w:rPr>
          <w:rFonts w:ascii="Garamond" w:hAnsi="Garamond"/>
          <w:lang w:val="en-US" w:eastAsia="fr-FR"/>
        </w:rPr>
        <w:t xml:space="preserve"> kann man aber doch nicht reden. Hier tut sich die Kluft auf zwischen dem realen Individuum und dem Begriff der Art. Auch darf man den Unterschied von Ich und Es nicht zu starr nehmen, nicht vergessen, daß das Ich ein besonders differenzierter Anteil des Es ist. Die Erlebnisse des Ichs scheinen zunächst für die Erbschaft verlorenzugehen, wenn sie sich aber häufig und stark genug bei vielen generationsweise aufeinanderfolgenden Individuen wiederholen, setzen sie sich sozusagen in Erlebnisse des Es um, deren Eindrücke durch Vererbung festgehalten werden. Somit beherbergt das erbliche Es in sich die Reste ungezählt vieler Ich-Existenzen, und wenn das Ich sein Über-Ich aus dem Es schöpft, bringt es vielleicht nur ältere Ichgestaltungen wieder zum Vorschein, schafft ihnen eine Auferstehung.</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Die Entstehungsgeschichte des Über-Ichs macht es verständlich, daß frühe Konflikte des Ichs mit den Objektbesetzungen des Es sich in Konflikte mit deren Erben, dem Über-Ich, fortsetzen können. Wenn dem Ich die Bewältigung des Ödipuskomplexes schlecht gelungen ist, wird dessen dem Es entstammende Energiebesetzung in der Reaktionsbildung des Ichideals wieder zur Wirkung kommen. Die ausgiebige Kommunikation dieses Ideals mit diesen </w:t>
      </w:r>
      <w:r w:rsidRPr="006A6515">
        <w:rPr>
          <w:rFonts w:ascii="Garamond" w:hAnsi="Garamond"/>
          <w:i/>
          <w:iCs/>
          <w:lang w:val="en-US" w:eastAsia="fr-FR"/>
        </w:rPr>
        <w:t>ubw</w:t>
      </w:r>
      <w:r w:rsidRPr="006A6515">
        <w:rPr>
          <w:rFonts w:ascii="Garamond" w:hAnsi="Garamond"/>
          <w:lang w:val="en-US" w:eastAsia="fr-FR"/>
        </w:rPr>
        <w:t xml:space="preserve"> Triebregungen wird das Rätsel lösen, daß das Ideal selbst </w:t>
      </w:r>
      <w:r w:rsidRPr="006A6515">
        <w:rPr>
          <w:rFonts w:ascii="Garamond" w:hAnsi="Garamond"/>
          <w:lang w:val="en-US" w:eastAsia="fr-FR"/>
        </w:rPr>
        <w:lastRenderedPageBreak/>
        <w:t>zum großen Teil unbewußt, dem Ich unzugänglich bleiben kann. Der Kampf, der in tieferen Schichten getobt hatte, durch rasche Sublimierung und Identifizierung nicht zum Abschluß gekommen war, setzt sich nun wie auf dem Kaulbachschen Gemälde der Hunnenschlacht in einer höheren Region fort.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______________________</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1)</w:t>
      </w:r>
      <w:r w:rsidRPr="006A6515">
        <w:rPr>
          <w:rFonts w:ascii="Garamond" w:hAnsi="Garamond"/>
          <w:lang w:val="en-US" w:eastAsia="fr-FR"/>
        </w:rPr>
        <w:t xml:space="preserve"> Nur daß ich die Funktion der Realitätsprüfung diesem Über-Ich zugewiesen habe, erscheint irrig und der Korrektur bedürftig. Es würde durchaus den Beziehun</w:t>
      </w:r>
      <w:r w:rsidRPr="006A6515">
        <w:rPr>
          <w:rFonts w:ascii="Garamond" w:hAnsi="Garamond"/>
          <w:lang w:val="en-US" w:eastAsia="fr-FR"/>
        </w:rPr>
        <w:softHyphen/>
        <w:t xml:space="preserve">gen des Ichs zur Wahrnehmungswelt entsprechen, wenn die Realitätsprüfung seine eigene Aufgabe bliebe. — Auch frühere, ziemlich unbestimmt gehaltene Äußerungen über einen </w:t>
      </w:r>
      <w:r w:rsidRPr="006A6515">
        <w:rPr>
          <w:rFonts w:ascii="Garamond" w:hAnsi="Garamond"/>
          <w:i/>
          <w:iCs/>
          <w:lang w:val="en-US" w:eastAsia="fr-FR"/>
        </w:rPr>
        <w:t>Kern des Ichs</w:t>
      </w:r>
      <w:r w:rsidRPr="006A6515">
        <w:rPr>
          <w:rFonts w:ascii="Garamond" w:hAnsi="Garamond"/>
          <w:lang w:val="en-US" w:eastAsia="fr-FR"/>
        </w:rPr>
        <w:t xml:space="preserve"> sollen jetzt dahin richtiggestellt werden, daß nur das System </w:t>
      </w:r>
      <w:r w:rsidRPr="006A6515">
        <w:rPr>
          <w:rFonts w:ascii="Garamond" w:hAnsi="Garamond"/>
          <w:i/>
          <w:iCs/>
          <w:lang w:val="en-US" w:eastAsia="fr-FR"/>
        </w:rPr>
        <w:t>W-Bw</w:t>
      </w:r>
      <w:r w:rsidRPr="006A6515">
        <w:rPr>
          <w:rFonts w:ascii="Garamond" w:hAnsi="Garamond"/>
          <w:lang w:val="en-US" w:eastAsia="fr-FR"/>
        </w:rPr>
        <w:t xml:space="preserve"> als Kern des Ichs anzuerkennen ist.</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2)</w:t>
      </w:r>
      <w:r w:rsidRPr="006A6515">
        <w:rPr>
          <w:rFonts w:ascii="Garamond" w:hAnsi="Garamond"/>
          <w:lang w:val="en-US" w:eastAsia="fr-FR"/>
        </w:rPr>
        <w:t xml:space="preserve"> ›Trauer und Melancholie‹.</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3)</w:t>
      </w:r>
      <w:r w:rsidRPr="006A6515">
        <w:rPr>
          <w:rFonts w:ascii="Garamond" w:hAnsi="Garamond"/>
          <w:lang w:val="en-US" w:eastAsia="fr-FR"/>
        </w:rPr>
        <w:t xml:space="preserve"> Eine interessante Parallele zur Ersetzung der Objektwahl durch Identifizierung enthält der Glaube der Primitiven, daß die Eigenschaften des als Nahrung einver</w:t>
      </w:r>
      <w:r w:rsidRPr="006A6515">
        <w:rPr>
          <w:rFonts w:ascii="Garamond" w:hAnsi="Garamond"/>
          <w:lang w:val="en-US" w:eastAsia="fr-FR"/>
        </w:rPr>
        <w:softHyphen/>
        <w:t>leibten Tieres dem, der es ißt, als Charakter verbleiben werden, und die darauf gegründeten Verbote. Dieser Glaube geht bekanntlich auch in die Begründung des Kannibalismus ein und wirkt in der Reihe der Gebräuche der Totemmahlzeit bis zur heiligen Kommunion fort. Die Folgen, die hier der oralen Objektbemächtigung zugeschrieben werden, treffen für die spätere sexuelle Objektwahl wirklich zu.</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4)</w:t>
      </w:r>
      <w:r w:rsidRPr="006A6515">
        <w:rPr>
          <w:rFonts w:ascii="Garamond" w:hAnsi="Garamond"/>
          <w:lang w:val="en-US" w:eastAsia="fr-FR"/>
        </w:rPr>
        <w:t xml:space="preserve"> Als das große Reservoir der Libido, im Sinne der Einführung des Narzißmus, müssen wir jetzt nach der Scheidung von Ich und Es das Es anerkennen. Die Libido, welche dem Ich durch die beschriebenen Identifizierungen zufließt, stellt dessen </w:t>
      </w:r>
      <w:r w:rsidRPr="006A6515">
        <w:rPr>
          <w:rFonts w:ascii="Garamond" w:hAnsi="Garamond"/>
          <w:i/>
          <w:iCs/>
          <w:lang w:val="en-US" w:eastAsia="fr-FR"/>
        </w:rPr>
        <w:t>»sekundären Narzißmus«</w:t>
      </w:r>
      <w:r w:rsidRPr="006A6515">
        <w:rPr>
          <w:rFonts w:ascii="Garamond" w:hAnsi="Garamond"/>
          <w:lang w:val="en-US" w:eastAsia="fr-FR"/>
        </w:rPr>
        <w:t xml:space="preserve"> her.</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5)</w:t>
      </w:r>
      <w:r w:rsidRPr="006A6515">
        <w:rPr>
          <w:rFonts w:ascii="Garamond" w:hAnsi="Garamond"/>
          <w:lang w:val="en-US" w:eastAsia="fr-FR"/>
        </w:rPr>
        <w:t xml:space="preserve"> Vielleicht wäre es vorsichtiger zu sagen, mit den Eltern, denn Vater und Mutter werden vor der sicheren Kenntnis des Geschlechtsunterschiedes, des Penismangels, nicht verschieden gewertet. In der Geschichte einer jungen Frau hatte ich kürzlich Gelegenheit zu erfahren, daß sie, seitdem sie ihren eigenen Penismangel bemerkt, den Besitz dieses Organs nicht allen Frauen, sondern bloß den für minderwertig gehaltenen aberkannt hatte. Die Mutter hatte ihn in ihrer Meinung behalten. Der einfacheren Darstellung wegen werde ich nur die Identifizierung mit dem Vater behandeln.</w:t>
      </w:r>
    </w:p>
    <w:p w:rsidR="00525700" w:rsidRPr="006A6515" w:rsidRDefault="00525700" w:rsidP="006A6515">
      <w:pPr>
        <w:pStyle w:val="Sansinterligne"/>
        <w:rPr>
          <w:rFonts w:ascii="Garamond" w:hAnsi="Garamond"/>
          <w:lang w:eastAsia="fr-FR"/>
        </w:rPr>
      </w:pPr>
      <w:r w:rsidRPr="006A6515">
        <w:rPr>
          <w:rFonts w:ascii="Garamond" w:hAnsi="Garamond"/>
          <w:vertAlign w:val="superscript"/>
          <w:lang w:eastAsia="fr-FR"/>
        </w:rPr>
        <w:t>6)</w:t>
      </w:r>
      <w:r w:rsidRPr="006A6515">
        <w:rPr>
          <w:rFonts w:ascii="Garamond" w:hAnsi="Garamond"/>
          <w:lang w:eastAsia="fr-FR"/>
        </w:rPr>
        <w:t xml:space="preserve"> Vgl. </w:t>
      </w:r>
      <w:r w:rsidRPr="006A6515">
        <w:rPr>
          <w:rFonts w:ascii="Garamond" w:hAnsi="Garamond"/>
          <w:i/>
          <w:iCs/>
          <w:lang w:eastAsia="fr-FR"/>
        </w:rPr>
        <w:t>Massenpsychologie und Ich-Analyse</w:t>
      </w:r>
      <w:r w:rsidRPr="006A6515">
        <w:rPr>
          <w:rFonts w:ascii="Garamond" w:hAnsi="Garamond"/>
          <w:lang w:eastAsia="fr-FR"/>
        </w:rPr>
        <w:t xml:space="preserve"> (loc. cit.).</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7)</w:t>
      </w:r>
      <w:r w:rsidRPr="006A6515">
        <w:rPr>
          <w:rFonts w:ascii="Garamond" w:hAnsi="Garamond"/>
          <w:lang w:val="en-US" w:eastAsia="fr-FR"/>
        </w:rPr>
        <w:t xml:space="preserve"> Wissenschaft und Kunst sind hier beiseite gelassen.</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8)</w:t>
      </w:r>
      <w:r w:rsidRPr="006A6515">
        <w:rPr>
          <w:rFonts w:ascii="Garamond" w:hAnsi="Garamond"/>
          <w:lang w:val="en-US" w:eastAsia="fr-FR"/>
        </w:rPr>
        <w:t xml:space="preserve"> Vgl. </w:t>
      </w:r>
      <w:r w:rsidRPr="006A6515">
        <w:rPr>
          <w:rFonts w:ascii="Garamond" w:hAnsi="Garamond"/>
          <w:i/>
          <w:iCs/>
          <w:lang w:val="en-US" w:eastAsia="fr-FR"/>
        </w:rPr>
        <w:t>Massenpsychologie und Ich-Analyse</w:t>
      </w:r>
      <w:r w:rsidRPr="006A6515">
        <w:rPr>
          <w:rFonts w:ascii="Garamond" w:hAnsi="Garamond"/>
          <w:lang w:val="en-US" w:eastAsia="fr-FR"/>
        </w:rPr>
        <w:t xml:space="preserve"> — ›Über einige neurotische Mecha</w:t>
      </w:r>
      <w:r w:rsidRPr="006A6515">
        <w:rPr>
          <w:rFonts w:ascii="Garamond" w:hAnsi="Garamond"/>
          <w:lang w:val="en-US" w:eastAsia="fr-FR"/>
        </w:rPr>
        <w:softHyphen/>
        <w:t>nismen bei Eifersucht, Paranoia und Homosexualität‹.</w:t>
      </w:r>
    </w:p>
    <w:p w:rsidR="006A6515" w:rsidRDefault="006A6515">
      <w:pPr>
        <w:rPr>
          <w:rFonts w:ascii="Garamond" w:hAnsi="Garamond"/>
          <w:b/>
          <w:bCs/>
          <w:lang w:val="en-US" w:eastAsia="fr-FR"/>
        </w:rPr>
      </w:pPr>
      <w:r>
        <w:rPr>
          <w:rFonts w:ascii="Garamond" w:hAnsi="Garamond"/>
          <w:b/>
          <w:bCs/>
          <w:lang w:val="en-US" w:eastAsia="fr-FR"/>
        </w:rPr>
        <w:br w:type="page"/>
      </w:r>
    </w:p>
    <w:p w:rsidR="00525700" w:rsidRPr="006A6515" w:rsidRDefault="00B437A1" w:rsidP="006A6515">
      <w:pPr>
        <w:pStyle w:val="Sansinterligne"/>
        <w:rPr>
          <w:rFonts w:ascii="Garamond" w:hAnsi="Garamond"/>
          <w:b/>
          <w:bCs/>
          <w:lang w:val="en-US" w:eastAsia="fr-FR"/>
        </w:rPr>
      </w:pPr>
      <w:hyperlink w:anchor="Das_Ich_INHALT" w:history="1">
        <w:r w:rsidR="00525700" w:rsidRPr="006A6515">
          <w:rPr>
            <w:rStyle w:val="Lienhypertexte"/>
            <w:rFonts w:ascii="Garamond" w:hAnsi="Garamond"/>
            <w:b/>
            <w:bCs/>
            <w:lang w:val="en-US" w:eastAsia="fr-FR"/>
          </w:rPr>
          <w:t>IV. Di</w:t>
        </w:r>
        <w:bookmarkStart w:id="43" w:name="Das_Ich_4"/>
        <w:bookmarkEnd w:id="43"/>
        <w:r w:rsidR="00525700" w:rsidRPr="006A6515">
          <w:rPr>
            <w:rStyle w:val="Lienhypertexte"/>
            <w:rFonts w:ascii="Garamond" w:hAnsi="Garamond"/>
            <w:b/>
            <w:bCs/>
            <w:lang w:val="en-US" w:eastAsia="fr-FR"/>
          </w:rPr>
          <w:t>e beiden Triebarten</w:t>
        </w:r>
      </w:hyperlink>
    </w:p>
    <w:p w:rsidR="00525700" w:rsidRPr="006A6515" w:rsidRDefault="00525700" w:rsidP="006A6515">
      <w:pPr>
        <w:pStyle w:val="Sansinterligne"/>
        <w:rPr>
          <w:rFonts w:ascii="Garamond" w:hAnsi="Garamond"/>
          <w:lang w:val="en-US" w:eastAsia="fr-FR"/>
        </w:rPr>
      </w:pP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Wir sagten bereits, wenn unsere Gliederung des seelischen Wesens in ein Es, ein Ich und ein Über-Ich einen Fortschritt in unserer Einsicht bedeutet, so muß sie sich auch als Mittel zum tieferen Verständnis und zur besseren Beschreibung der dynamischen Beziehungen im Seelenleben erweisen. Wir haben uns auch bereits klargemacht, daß das Ich unter dem besonderen Einfluß der Wahrnehmung steht und daß man im rohen sagen kann, die Wahrnehmungen haben für das Ich dieselbe Bedeutung wie die Triebe für das Es. Dabei unterliegt aber auch das Ich der Einwirkung der Triebe wie das Es, von dem es ja nur ein besonders modifizierter Anteil ist.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Über die Triebe habe ich kürzlich </w:t>
      </w:r>
      <w:r w:rsidRPr="006A6515">
        <w:rPr>
          <w:rFonts w:ascii="Garamond" w:hAnsi="Garamond"/>
          <w:i/>
          <w:iCs/>
          <w:lang w:val="en-US" w:eastAsia="fr-FR"/>
        </w:rPr>
        <w:t>(Jenseits des Lustprinzips</w:t>
      </w:r>
      <w:r w:rsidRPr="006A6515">
        <w:rPr>
          <w:rFonts w:ascii="Garamond" w:hAnsi="Garamond"/>
          <w:lang w:val="en-US" w:eastAsia="fr-FR"/>
        </w:rPr>
        <w:t>) eine Anschau</w:t>
      </w:r>
      <w:r w:rsidRPr="006A6515">
        <w:rPr>
          <w:rFonts w:ascii="Garamond" w:hAnsi="Garamond"/>
          <w:lang w:val="en-US" w:eastAsia="fr-FR"/>
        </w:rPr>
        <w:softHyphen/>
        <w:t xml:space="preserve">ung entwickelt, die ich hier festhalten und den weiteren Erörterungen zugrunde legen werde. Daß man zwei Triebarten zu unterscheiden hat, von denen die eine, </w:t>
      </w:r>
      <w:r w:rsidRPr="006A6515">
        <w:rPr>
          <w:rFonts w:ascii="Garamond" w:hAnsi="Garamond"/>
          <w:i/>
          <w:iCs/>
          <w:lang w:val="en-US" w:eastAsia="fr-FR"/>
        </w:rPr>
        <w:t>Sexualtriebe</w:t>
      </w:r>
      <w:r w:rsidRPr="006A6515">
        <w:rPr>
          <w:rFonts w:ascii="Garamond" w:hAnsi="Garamond"/>
          <w:lang w:val="en-US" w:eastAsia="fr-FR"/>
        </w:rPr>
        <w:t xml:space="preserve"> oder </w:t>
      </w:r>
      <w:r w:rsidRPr="006A6515">
        <w:rPr>
          <w:rFonts w:ascii="Garamond" w:hAnsi="Garamond"/>
          <w:i/>
          <w:iCs/>
          <w:lang w:val="en-US" w:eastAsia="fr-FR"/>
        </w:rPr>
        <w:t>Eros,</w:t>
      </w:r>
      <w:r w:rsidRPr="006A6515">
        <w:rPr>
          <w:rFonts w:ascii="Garamond" w:hAnsi="Garamond"/>
          <w:lang w:val="en-US" w:eastAsia="fr-FR"/>
        </w:rPr>
        <w:t xml:space="preserve"> die bei weitem auffälligere und der Kenntnis zugänglichere ist. Sie umfaßt nicht nur den eigentlichen ungehemm</w:t>
      </w:r>
      <w:r w:rsidRPr="006A6515">
        <w:rPr>
          <w:rFonts w:ascii="Garamond" w:hAnsi="Garamond"/>
          <w:lang w:val="en-US" w:eastAsia="fr-FR"/>
        </w:rPr>
        <w:softHyphen/>
        <w:t>ten Sexualtrieb und die von ihm abgeleiteten zielgehemmten und sublimier</w:t>
      </w:r>
      <w:r w:rsidRPr="006A6515">
        <w:rPr>
          <w:rFonts w:ascii="Garamond" w:hAnsi="Garamond"/>
          <w:lang w:val="en-US" w:eastAsia="fr-FR"/>
        </w:rPr>
        <w:softHyphen/>
        <w:t xml:space="preserve">ten Triebregungen, sondern auch den Selbsterhaltungstrieb, den wir dem Ich zuschreiben müssen und den wir zu Anfang der analytischen Arbeit mit guten Gründen den sexuellen Objekttrieben gegenübergestellt hatten. Die zweite Triebart aufzuzeigen bereitete uns Schwierigkeiten; endlich kamen wir darauf, den Sadismus als Repräsentanten derselben anzusehen. Auf Grund theoretischer, durch die Biologie gestützter Überlegungen supponierten wir einen </w:t>
      </w:r>
      <w:r w:rsidRPr="006A6515">
        <w:rPr>
          <w:rFonts w:ascii="Garamond" w:hAnsi="Garamond"/>
          <w:i/>
          <w:iCs/>
          <w:lang w:val="en-US" w:eastAsia="fr-FR"/>
        </w:rPr>
        <w:t>Todestrieb,</w:t>
      </w:r>
      <w:r w:rsidRPr="006A6515">
        <w:rPr>
          <w:rFonts w:ascii="Garamond" w:hAnsi="Garamond"/>
          <w:lang w:val="en-US" w:eastAsia="fr-FR"/>
        </w:rPr>
        <w:t xml:space="preserve"> dem die Aufgabe gestellt ist, das organische Lebende in den leblosen Zustand zurückzuführen, während der Eros das Ziel verfolgt, das Leben durch immer weitergreifende Zusammenfassung der in Partikel zersprengten lebenden Substanz zu komplizieren, natürlich es dabei zu erhalten. Beide Triebe benehmen sich dabei im strengsten Sinne konservativ, indem sie die Wiederherstellung eines durch die Entstehung des Lebens gestörten Zustandes anstreben. Die Entstehung des Lebens wäre also die Ursache des Weiterlebens und gleichzeitig auch des Strebens nach dem Tode, das Leben selbst ein Kampf und Kompromiß zwischen diesen beiden Strebungen. Die Frage nach der Herkunft des Lebens bliebe eine kosmologisdie, die nach Zweck und Absicht des Lebens wäre </w:t>
      </w:r>
      <w:r w:rsidRPr="006A6515">
        <w:rPr>
          <w:rFonts w:ascii="Garamond" w:hAnsi="Garamond"/>
          <w:i/>
          <w:iCs/>
          <w:lang w:val="en-US" w:eastAsia="fr-FR"/>
        </w:rPr>
        <w:t>dualistisch</w:t>
      </w:r>
      <w:r w:rsidRPr="006A6515">
        <w:rPr>
          <w:rFonts w:ascii="Garamond" w:hAnsi="Garamond"/>
          <w:lang w:val="en-US" w:eastAsia="fr-FR"/>
        </w:rPr>
        <w:t xml:space="preserve"> beantwortet.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Jeder dieser beiden Triebarten wäre ein besonderer physiologischer Prozeß (Aufbau und Zerfall) zugeordneten jedem Stück lebender Substanz wären beiderlei Triebe tätig, aber doch in ungleicher Mischung, so daß eine Substanz die Hauptvertretung des Eros übernehmen könnte.</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In welcher Weise sich Triebe der beiden Arten miteinander verbinden, ver</w:t>
      </w:r>
      <w:r w:rsidRPr="006A6515">
        <w:rPr>
          <w:rFonts w:ascii="Garamond" w:hAnsi="Garamond"/>
          <w:lang w:val="en-US" w:eastAsia="fr-FR"/>
        </w:rPr>
        <w:softHyphen/>
        <w:t>mischen, legieren, wäre noch ganz unvorstellbar; daß dies aber regelmäßig und in großem Ausmaß geschieht, ist eine in unserem Zusammenhang unabweisbare Annahme. Infolge der Verbindung der einzelligen Elementar</w:t>
      </w:r>
      <w:r w:rsidRPr="006A6515">
        <w:rPr>
          <w:rFonts w:ascii="Garamond" w:hAnsi="Garamond"/>
          <w:lang w:val="en-US" w:eastAsia="fr-FR"/>
        </w:rPr>
        <w:softHyphen/>
        <w:t xml:space="preserve">organismen zu mehrzelligen Lebewesen wäre es gelungen, den Todestrieb der Einzelzelle zu neutralisieren und die destruktiven Regungen durch Vermittlung eines besonderen Organs auf die Außenwelt abzuleiten. Dies Organ wäre die Muskulatur, und der Todestrieb würde sich nun — wahrscheinlich doch nur teilweise — als </w:t>
      </w:r>
      <w:r w:rsidRPr="006A6515">
        <w:rPr>
          <w:rFonts w:ascii="Garamond" w:hAnsi="Garamond"/>
          <w:i/>
          <w:iCs/>
          <w:lang w:val="en-US" w:eastAsia="fr-FR"/>
        </w:rPr>
        <w:t>Destruktionstrieb</w:t>
      </w:r>
      <w:r w:rsidRPr="006A6515">
        <w:rPr>
          <w:rFonts w:ascii="Garamond" w:hAnsi="Garamond"/>
          <w:lang w:val="en-US" w:eastAsia="fr-FR"/>
        </w:rPr>
        <w:t xml:space="preserve"> gegen die Außenwelt und andere Lebewesen äußern.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Haben wir einmal die Vorstellung von einer Mischung der beiden Trieb</w:t>
      </w:r>
      <w:r w:rsidRPr="006A6515">
        <w:rPr>
          <w:rFonts w:ascii="Garamond" w:hAnsi="Garamond"/>
          <w:lang w:val="en-US" w:eastAsia="fr-FR"/>
        </w:rPr>
        <w:softHyphen/>
        <w:t xml:space="preserve">arten angenommen, so drängt sich uns auch die Möglichkeit einer — mehr oder minder vollständigen — </w:t>
      </w:r>
      <w:r w:rsidRPr="006A6515">
        <w:rPr>
          <w:rFonts w:ascii="Garamond" w:hAnsi="Garamond"/>
          <w:i/>
          <w:iCs/>
          <w:lang w:val="en-US" w:eastAsia="fr-FR"/>
        </w:rPr>
        <w:t>Entmischung</w:t>
      </w:r>
      <w:r w:rsidRPr="006A6515">
        <w:rPr>
          <w:rFonts w:ascii="Garamond" w:hAnsi="Garamond"/>
          <w:lang w:val="en-US" w:eastAsia="fr-FR"/>
        </w:rPr>
        <w:t xml:space="preserve"> derselben auf. In der sadistischen Komponente des Sexualtriebes hätten wir ein klassisches Beispiel einer zweckdienlichen Triebmischung vor uns, im selbständig gewordenen </w:t>
      </w:r>
      <w:r w:rsidRPr="006A6515">
        <w:rPr>
          <w:rFonts w:ascii="Garamond" w:hAnsi="Garamond"/>
          <w:i/>
          <w:iCs/>
          <w:lang w:val="en-US" w:eastAsia="fr-FR"/>
        </w:rPr>
        <w:t>Sadismus</w:t>
      </w:r>
      <w:r w:rsidRPr="006A6515">
        <w:rPr>
          <w:rFonts w:ascii="Garamond" w:hAnsi="Garamond"/>
          <w:lang w:val="en-US" w:eastAsia="fr-FR"/>
        </w:rPr>
        <w:t xml:space="preserve"> als Perversion das Vorbild einer, allerdings nicht bis zum äußersten getriebenen Entmischung. Es eröffnet sich uns dann ein Einblick in ein großes Gebiet von Tatsachen, welches noch nicht in diesem Licht betrachtet worden ist. Wir erkennen, daß der </w:t>
      </w:r>
      <w:r w:rsidRPr="006A6515">
        <w:rPr>
          <w:rFonts w:ascii="Garamond" w:hAnsi="Garamond"/>
          <w:i/>
          <w:iCs/>
          <w:lang w:val="en-US" w:eastAsia="fr-FR"/>
        </w:rPr>
        <w:t>Destruktionstrieb</w:t>
      </w:r>
      <w:r w:rsidRPr="006A6515">
        <w:rPr>
          <w:rFonts w:ascii="Garamond" w:hAnsi="Garamond"/>
          <w:lang w:val="en-US" w:eastAsia="fr-FR"/>
        </w:rPr>
        <w:t xml:space="preserve"> regelmäßig zu Zwecken der Abfuhr in den Dienst des Eros gestellt ist, ahnen, daß der epileptische Anfall Produkt und Anzeichen einer Triebentmischung ist, und lernen verstehen, daß unter den Erfolgen mancher schweren Neurosen, zum Beispiel der Zwangs</w:t>
      </w:r>
      <w:r w:rsidRPr="006A6515">
        <w:rPr>
          <w:rFonts w:ascii="Garamond" w:hAnsi="Garamond"/>
          <w:lang w:val="en-US" w:eastAsia="fr-FR"/>
        </w:rPr>
        <w:softHyphen/>
        <w:t xml:space="preserve">neurosen, die Triebentmischung und das Hervortreten des Todestriebes eine besondere Würdigung verdient. In rascher Verallgemeinerung möchten wir vermuten, daß das Wesen einer Libidoregression, zum Beispiel von der genitalen zur sadistisch-analen Phase, auf einer Triebentmischung beruht, wie umgekehrt der Fortschritt von der früheren zur definitiven Genitalphase einen Zuschuß von erotischen Komponenten zur Bedingung hat. Es erhebt sich auch die Frage, ob nicht die reguläre </w:t>
      </w:r>
      <w:r w:rsidRPr="006A6515">
        <w:rPr>
          <w:rFonts w:ascii="Garamond" w:hAnsi="Garamond"/>
          <w:i/>
          <w:iCs/>
          <w:lang w:val="en-US" w:eastAsia="fr-FR"/>
        </w:rPr>
        <w:t>Ambivalenz,</w:t>
      </w:r>
      <w:r w:rsidRPr="006A6515">
        <w:rPr>
          <w:rFonts w:ascii="Garamond" w:hAnsi="Garamond"/>
          <w:lang w:val="en-US" w:eastAsia="fr-FR"/>
        </w:rPr>
        <w:t xml:space="preserve"> die wir in der konstitutionellen Anlage zur Neurose so oft verstärkt finden, als Ergebnis einer Entmischung aufgefaßt werden darf; allein diese ist so ursprünglich, daß sie vielmehr als nicht vollzogene Triebmischung gelten muß.</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Unser Interesse wird sich natürlich den Fragen zuwenden, ob sich nicht aufschlußreiche Beziehungen zwischen den angenommenen Bildungen des Ichs, Über-Ichs und des Es einerseits, den beiden Triebarten anderseits auffinden lassen, ferner, ob wir dem die seelischen Vorgänge beherrschen</w:t>
      </w:r>
      <w:r w:rsidRPr="006A6515">
        <w:rPr>
          <w:rFonts w:ascii="Garamond" w:hAnsi="Garamond"/>
          <w:lang w:val="en-US" w:eastAsia="fr-FR"/>
        </w:rPr>
        <w:softHyphen/>
        <w:t xml:space="preserve">den Lustprinzip eine feste Stellung zu den beiden Triebarten und den seelischen Differenzierungen zuweisen können. Ehe wir </w:t>
      </w:r>
      <w:r w:rsidRPr="006A6515">
        <w:rPr>
          <w:rFonts w:ascii="Garamond" w:hAnsi="Garamond"/>
          <w:lang w:val="en-US" w:eastAsia="fr-FR"/>
        </w:rPr>
        <w:lastRenderedPageBreak/>
        <w:t>aber in diese Diskussion eintreten, haben wir einen Zweifel zu erledigen, der sich gegen die Problemstellung selbst richtet. Am Lustprinzip ist zwar kein Zweifel, die Gliederung des Ichs ruht auf klinischer Rechtfertigung, aber die Unterscheidung der beiden Triebarten scheint nicht genug gesichert, und möglicherweise heben Tatsachen der klinischen Analyse ihren Anspruch auf.</w:t>
      </w:r>
    </w:p>
    <w:p w:rsidR="00525700" w:rsidRPr="006A6515" w:rsidRDefault="00525700" w:rsidP="006A6515">
      <w:pPr>
        <w:pStyle w:val="Sansinterligne"/>
        <w:rPr>
          <w:rFonts w:ascii="Garamond" w:hAnsi="Garamond"/>
          <w:lang w:val="en-US" w:eastAsia="fr-FR"/>
        </w:rPr>
      </w:pPr>
      <w:r w:rsidRPr="006A6515">
        <w:rPr>
          <w:rFonts w:ascii="Garamond" w:hAnsi="Garamond"/>
          <w:lang w:eastAsia="fr-FR"/>
        </w:rPr>
        <w:t xml:space="preserve">Eine solche Tatsache scheint es zu geben. </w:t>
      </w:r>
      <w:r w:rsidRPr="006A6515">
        <w:rPr>
          <w:rFonts w:ascii="Garamond" w:hAnsi="Garamond"/>
          <w:lang w:val="en-US" w:eastAsia="fr-FR"/>
        </w:rPr>
        <w:t>Für den Gegensatz der beiden Triebarten dürfen wir die Polarität von Liebe und Haß einsetzen. Um eine Repräsentanz des Eros sind wir ja nicht verlegen, dagegen sehr zufrieden, daß wir für den schwer zu fassenden Todestrieb im Destruktionstrieb, dem der Haß den Weg zeigt, einen Vertreter aufzeigen können. Nun lehrt uns die klinische Beobachtung, daß der Haß nicht nur der unerwartet regelmäßige Begleiter der Liebe ist (Ambivalenz), nicht nur häufig ihr Vorläufer in menschlichen Beziehungen, sondern auch, daß Haß sich unter mancherlei Verhältnissen in Liebe und Liebe in Haß verwandelt. Wenn diese Verwandlung mehr ist als bloß zeitliche Sukzession, also Ablösung, dann ist offenbar einer so grundlegenden Unterscheidung wie zwischen erotischen und Todestrieben, die entgegengesetzt laufende physiologische Vorgänge voraussetzt, der Boden entzogen.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Nun der Fall, daß man dieselbe Person zuerst liebt und dann haßt, oder umgekehrt, wenn sie einem die Anlässe dazu gegeben hat, gehört offenbar nicht zu unserem Problem. Auch nicht der andere, daß eine noch nicht manifeste Verliebtheit sich zuerst durch Feindseligkeit und Aggressions</w:t>
      </w:r>
      <w:r w:rsidRPr="006A6515">
        <w:rPr>
          <w:rFonts w:ascii="Garamond" w:hAnsi="Garamond"/>
          <w:lang w:val="en-US" w:eastAsia="fr-FR"/>
        </w:rPr>
        <w:softHyphen/>
        <w:t xml:space="preserve">neigung äußert, denn die destruktive Komponente könnte da bei der Objektbesetzung vorangeeilt sein, bis die erotische sich zu ihr gesellt. Aber wir kennen mehrere Fälle aus der Psychologie der Neurosen, in denen die Annahme einer Verwandlung näherliegt. Bei der </w:t>
      </w:r>
      <w:r w:rsidRPr="006A6515">
        <w:rPr>
          <w:rFonts w:ascii="Garamond" w:hAnsi="Garamond"/>
          <w:i/>
          <w:iCs/>
          <w:lang w:val="en-US" w:eastAsia="fr-FR"/>
        </w:rPr>
        <w:t>Paranoia persecutoria</w:t>
      </w:r>
      <w:r w:rsidRPr="006A6515">
        <w:rPr>
          <w:rFonts w:ascii="Garamond" w:hAnsi="Garamond"/>
          <w:lang w:val="en-US" w:eastAsia="fr-FR"/>
        </w:rPr>
        <w:t xml:space="preserve"> erwehrt sich der Kranke einer überstarken homosexuellen Bindung an eine bestimmte Person auf eine gewisse Weise, und das Ergebnis ist, daß diese geliebteste Person zum Verfolger wird, gegen den sich die oft gefährliche Aggression des Kranken richtet. Wir haben das Recht einzuschalten, daß eine Phase vorher die Liebe in Haß umgewandelt hatte. Bei der Entstehung der Homosexualität, aber auch der desexualisierten sozialen Gefühle lehrte uns die analytische Untersuchung erst neuerdings die Existenz von heftigen, zu Aggressions</w:t>
      </w:r>
      <w:r w:rsidRPr="006A6515">
        <w:rPr>
          <w:rFonts w:ascii="Garamond" w:hAnsi="Garamond"/>
          <w:lang w:val="en-US" w:eastAsia="fr-FR"/>
        </w:rPr>
        <w:softHyphen/>
        <w:t>neigung führenden Gefühlen der Rivalität kennen, nach deren Überwindung erst das früher gehaßte Objekt zum geliebten oder zum Gegenstand einer Identifizierung wird. Die Frage erhebt sich, ob für diese Fälle eine direkte Umsetzung von Haß in Liebe anzunehmen ist. Hier handelt es sich ja um rein innerliche Änderungen, an denen ein geändertes Benehmen des Objekts keinen Anteil hat.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analytische Untersuchung des Vorganges bei der paranoischen Umwandlung macht uns aber mit der Möglichkeit eines anderen Mechanismus vertraut. Es ist von Anfang an eine ambivalente Einstellung vorhanden, und die Verwandlung geschieht durch eine reaktive Besetzungsverschiebung, indem der erotischen Regung Energie entzogen und der feindseligen Energie zugeführt wird.</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Nicht das nämliche, aber ähnliches geschieht bei der Überwindung der feindseligen Rivalität, die zur Homosexualität führt. Die feindselige Einstellung hat keine Aussicht auf Befriedigung, daher — aus ökonomischen Motiven also — wird sie von der Liebeseinstellung abgelöst, welche mehr Aussicht auf Befriedigung, das ist Abfuhrmöglichkeit, bietet. Somit brauchen wir für keinen dieser Fälle eine direkte Verwandlung von Haß in Liebe, die mit der qualitati</w:t>
      </w:r>
      <w:r w:rsidRPr="006A6515">
        <w:rPr>
          <w:rFonts w:ascii="Garamond" w:hAnsi="Garamond"/>
          <w:lang w:val="en-US" w:eastAsia="fr-FR"/>
        </w:rPr>
        <w:softHyphen/>
        <w:t>ven Verschiedenheit der beiden Triebarten unverträglich wäre, anzunehmen.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Wir bemerken aber, daß wir bei der Inanspruchnahme dieses anderen Mechanismus der Umwandlung von Liebe in Haß stillschweigend eine andere Annahme gemacht haben, die laut zu werden verdient. Wir haben so geschaltet, als gäbe es im Seelenleben — unentschieden, ob im Ich oder im Es — eine verschiebbare Energie, die, an sich indifferent, zu einer qualitativ differenzierten erotischen oder destruktiven Regung hinzutreten und deren Gesamtbesetzung erhöhen kann. Ohne die Annahme einer solchen verschiebbaren Energie kommen wir überhaupt nicht aus. Es fragt sich nur, woher sie stammt, wem sie zugehört und was sie bedeutet.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Das Problem der Qualität der Triebregungen und deren Erhaltung bei den verschiedenen Triebschicksalen ist noch sehr dunkel und derzeit kaum in Angriff genommen. An den sexuellen Partialtrieben, die der Beobachtung besonders gut zugänglich sind, kann man einige Vorgänge, die in denselben Rahmen gehören, feststellen, zum Beispiel daß die Partialtriebe gewisser</w:t>
      </w:r>
      <w:r w:rsidRPr="006A6515">
        <w:rPr>
          <w:rFonts w:ascii="Garamond" w:hAnsi="Garamond"/>
          <w:lang w:val="en-US" w:eastAsia="fr-FR"/>
        </w:rPr>
        <w:softHyphen/>
        <w:t>maßen miteinander kommunizieren, daß ein Trieb aus einer besonderen erogenen Quelle seine Intensität zur Verstärkung eines Partialtriebes aus anderer Quelle abgeben kann, daß die Befriedigung des einen Triebes einem anderen die Befriedigung ersetzt und dergleichen mehr, was einem Mut machen muß, Annahmen gewisser Art zu wagen.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Ich habe auch in der vorliegenden Diskussion nur eine Annahme, nicht einen Beweis zu bieten. Es erscheint plausibel, daß diese wohl im Ich und im Es tätige, verschiebbare und indifferente Energie dem narzißtischen Libidovorrat entstammt, also desexualisierter Eros ist. Die erotischen Triebe erscheinen uns </w:t>
      </w:r>
      <w:r w:rsidRPr="006A6515">
        <w:rPr>
          <w:rFonts w:ascii="Garamond" w:hAnsi="Garamond"/>
          <w:lang w:val="en-US" w:eastAsia="fr-FR"/>
        </w:rPr>
        <w:lastRenderedPageBreak/>
        <w:t>ja überhaupt plastischer, ablenkbarer und verschiebbarer als die Destruktionstriebe. Dann kann man ohne Zwang fortsetzen, daß diese verschiebbare Libido im Dienst des Lustprinzips arbeitet, um Stauungen zu vermeiden und Abfuhren zu erleichtern. Dabei ist eine gewisse Gleichgül</w:t>
      </w:r>
      <w:r w:rsidRPr="006A6515">
        <w:rPr>
          <w:rFonts w:ascii="Garamond" w:hAnsi="Garamond"/>
          <w:lang w:val="en-US" w:eastAsia="fr-FR"/>
        </w:rPr>
        <w:softHyphen/>
        <w:t>tigkeit, auf welchem Wege die Abfuhr geschieht, wenn sie nur überhaupt geschieht, unverkennbar. Wir kennen diesen Zug als charakteristisch für die Besetzungsvorgänge im Es. Er findet sich bei den erotischen Besetzungen, wobei eine besondere Gleichgültigkeit in bezug auf das Objekt entwickelt wird, ganz besonders bei den Übertragungen in der Analyse, die vollzogen werden müssen, gleichgültig auf welche Personen. Rank hat kürzlich schöne Beispiele dafür gebracht, daß neurotische Racheaktionen gegen die unrichtigen Personen gerichtet werden. Man muß bei diesem Verhalten des Unbewußten an die komisch verwertete Anekdote denken, daß einer der drei Dorfschneider gehängt werden soll, weil der einzige Dorfschmied ein todwürdiges Verbrechen begangen hat. Strafe muß eben sein, auch wenn sie nicht den Schuldigen trifft. Die nämliche Lockerheit haben wir zuerst an den Verschiebungen des Primärvorganges in der Traumarbeit bemerkt. Wie hier die Objekte, so wären es in dem uns beschäftigenden Falle die Wege der Abfuhraktion, die erst in zweiter Linie in Betracht kommen. Dem Ich würde es ähnlich sehen, auf größerer Exaktheit in der Auswahl des Objekts wie des Weges der Abfuhr zu bestehen.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Wenn diese Verschiebungsenergie desexualisierte Libido ist, so darf sie auch </w:t>
      </w:r>
      <w:r w:rsidRPr="006A6515">
        <w:rPr>
          <w:rFonts w:ascii="Garamond" w:hAnsi="Garamond"/>
          <w:i/>
          <w:iCs/>
          <w:lang w:val="en-US" w:eastAsia="fr-FR"/>
        </w:rPr>
        <w:t>sublimiert</w:t>
      </w:r>
      <w:r w:rsidRPr="006A6515">
        <w:rPr>
          <w:rFonts w:ascii="Garamond" w:hAnsi="Garamond"/>
          <w:lang w:val="en-US" w:eastAsia="fr-FR"/>
        </w:rPr>
        <w:t xml:space="preserve"> heißen, denn sie würde noch immer an der Hauptabsicht des Eros, zu vereinigen und zu binden, festhalten, indem sie zur Herstellung jener Einheitlichkeit dient, durch die — oder durch das Streben nach welcher — das Ich sich auszeichnet. Schließen wir die Denkvorgänge im weiteren Sinne unter diese Verschiebungen ein, so wird eben auch die Denkarbeit durch Sublimierung erotischer Triebkraft bestritten.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Hier stehen wir wieder vor der früher berührten Möglichkeit, daß die Sublimierung regelmäßig durch die Vermittlung des Ichs vor sich geht. Wir erinnern den anderen Fall, daß dies Ich die ersten und gewiß auch spätere Objektbesetzungen des Es dadurch erledigt, daß es deren Libido ins Ich aufnimmt und an die durch Identifizierung hergestellte Ichveränderung bindet. Mit dieser Umsetzung [von erotischer Libido] in Ichlibido ist natürlich ein Aufgeben der Sexualziele, eine Desexualisierung, verbunden. Jedenfalls erhalten wir so Einsicht in eine wichtige Leistung des Ichs in seinem Verhältnis zum Eros. Indem es sich in solcher Weise der Libido der Objektbesetzungen bemächtigt, sich zum alleinigen Liebesobjekt aufwirft, die Libido des Es desexualisiert oder sublimiert, arbeitet es den Absichten des Eros entgegen, stellt sich in den Dienst der gegnerischen Triebregungen. Einen anderen Anteil der Es-Objektbesetzungen muß es sich gefallen lassen, sozusagen mitmachen. Auf eine andere mögliche Folge dieser Ichtätigkeit werden wir später zu sprechen kommen.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An der Lehre vom Narzißmus wäre nun eine wichtige Ausgestaltung vorzunehmen. Zu Uranfang ist alle Libido im Es angehäuft, während das Ich noch in der Bildung begriffen oder schwächlich ist. Das Es sendet einen Teil dieser Libido auf erotische Objektbesetzungen aus, worauf das erstarkte Ich sich dieser Objektlibido zu bemächtigen und sich dem Es als Liebesobjekt aufzudrängen sucht. Der Narzißmus des Ichs ist so ein sekundärer, den Objekten entzogener.</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Immer wieder machen wir die Erfahrung, daß die Triebregungen, die wir verfolgen können, sich als Abkömmlinge des Eros enthüllen. Wären nicht die im </w:t>
      </w:r>
      <w:r w:rsidRPr="006A6515">
        <w:rPr>
          <w:rFonts w:ascii="Garamond" w:hAnsi="Garamond"/>
          <w:i/>
          <w:iCs/>
          <w:lang w:val="en-US" w:eastAsia="fr-FR"/>
        </w:rPr>
        <w:t>Jenseits des Lustprinzips</w:t>
      </w:r>
      <w:r w:rsidRPr="006A6515">
        <w:rPr>
          <w:rFonts w:ascii="Garamond" w:hAnsi="Garamond"/>
          <w:lang w:val="en-US" w:eastAsia="fr-FR"/>
        </w:rPr>
        <w:t xml:space="preserve"> angestellten Erwägungen und endlich die sadisti</w:t>
      </w:r>
      <w:r w:rsidRPr="006A6515">
        <w:rPr>
          <w:rFonts w:ascii="Garamond" w:hAnsi="Garamond"/>
          <w:lang w:val="en-US" w:eastAsia="fr-FR"/>
        </w:rPr>
        <w:softHyphen/>
        <w:t>schen Beiträge zum Eros, so hätten wir es schwer, an der dualistischen Grundanschauung festzuhalten. Da wir aber dazu genötigt sind, müssen wir den Eindruck gewinnen, daß die Todestriebe im wesentlichen stumm sind und der Lärm des Lebens meist vom Eros ausgeht.</w:t>
      </w:r>
      <w:r w:rsidRPr="006A6515">
        <w:rPr>
          <w:rFonts w:ascii="Garamond" w:hAnsi="Garamond"/>
          <w:vertAlign w:val="superscript"/>
          <w:lang w:val="en-US" w:eastAsia="fr-FR"/>
        </w:rPr>
        <w:t>1)</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Und vom Kampf gegen den Eros! Es ist die Anschauung nicht abzuweisen, daß das Lustprinzip dem Es als ein Kompaß im Kampf gegen die Libido dient, die Störungen in den Lebensablauf einführt. Wenn das Konstanz-Prinzip im Sinne Fechners das Leben beherrscht, welches also dann ein Gleiten in den Tod sein sollte, so sind es die Ansprüche des Eros, der Sexualtriebe, welche als Triebbedürfnisse das Herabsinken des Niveaus aufhalten und neue Spannungen einführen. Das Es erwehrt sich ihrer, vom Lustprinzip, das heißt der Unlustwahrnehmung geleitet, auf verschiedenen Wegen. Zunächst durch möglichst beschleunigte Nachgiebigkeit gegen die Forderungen der nicht desexualisierten Libido, also durch Ringen nach Befriedigung der direkt sexuellen Strebungen. In weit ausgiebigerer Weise, indem es sich bei einer dieser Befriedigungen, in der alle Teilansprüche zusammentreffen, der sexuellen Substanzen entledigt, welche sozusagen gesättigte Träger der erotischen Spannungen sind. Die Abstoßung der Sexualstoffe im Sexualakt entspricht gewissermaßen der Trennung von Soma und Keimplasma. Daher die Ähnlichkeit des Zustandes nach der vollen Sexualbefriedigung mit dem Sterben, bei niederen Tieren das Zusammenfallen des Todes mit dem Zeugungsakt. Diese Wesen sterben an der Fortpflanzung, insoferne nach der Ausschaltung des Eros durch die Befriedigung der Todestrieb freie Hand bekommt, seine Absichten </w:t>
      </w:r>
      <w:r w:rsidRPr="006A6515">
        <w:rPr>
          <w:rFonts w:ascii="Garamond" w:hAnsi="Garamond"/>
          <w:lang w:val="en-US" w:eastAsia="fr-FR"/>
        </w:rPr>
        <w:lastRenderedPageBreak/>
        <w:t>durchzusetzen. Endlich erleichtert, wie wir gehört haben, das Ich dem Es die Bewältigungsarbeit, indem es Anteile der Libido für sich und seine Zwecke sublimiert.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______________________</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1)</w:t>
      </w:r>
      <w:r w:rsidRPr="006A6515">
        <w:rPr>
          <w:rFonts w:ascii="Garamond" w:hAnsi="Garamond"/>
          <w:lang w:val="en-US" w:eastAsia="fr-FR"/>
        </w:rPr>
        <w:t xml:space="preserve"> Nach unserer Auffassung sind ja die nach außen gerichteten Destruktionstriebe durch Vermittlung des Eros vom eigenen Selbst abgelenkt worden.</w:t>
      </w:r>
    </w:p>
    <w:p w:rsidR="006A6515" w:rsidRDefault="006A6515">
      <w:pPr>
        <w:rPr>
          <w:rFonts w:ascii="Garamond" w:hAnsi="Garamond"/>
          <w:b/>
          <w:bCs/>
          <w:lang w:val="en-US" w:eastAsia="fr-FR"/>
        </w:rPr>
      </w:pPr>
      <w:r>
        <w:rPr>
          <w:rFonts w:ascii="Garamond" w:hAnsi="Garamond"/>
          <w:b/>
          <w:bCs/>
          <w:lang w:val="en-US" w:eastAsia="fr-FR"/>
        </w:rPr>
        <w:br w:type="page"/>
      </w:r>
    </w:p>
    <w:p w:rsidR="00525700" w:rsidRPr="006A6515" w:rsidRDefault="00B437A1" w:rsidP="006A6515">
      <w:pPr>
        <w:pStyle w:val="Sansinterligne"/>
        <w:rPr>
          <w:rFonts w:ascii="Garamond" w:hAnsi="Garamond"/>
          <w:b/>
          <w:bCs/>
          <w:lang w:val="en-US" w:eastAsia="fr-FR"/>
        </w:rPr>
      </w:pPr>
      <w:hyperlink w:anchor="Das_Ich_INHALT" w:history="1">
        <w:r w:rsidR="00525700" w:rsidRPr="006A6515">
          <w:rPr>
            <w:rStyle w:val="Lienhypertexte"/>
            <w:rFonts w:ascii="Garamond" w:hAnsi="Garamond"/>
            <w:b/>
            <w:bCs/>
            <w:lang w:val="en-US" w:eastAsia="fr-FR"/>
          </w:rPr>
          <w:t>V. Di</w:t>
        </w:r>
        <w:bookmarkStart w:id="44" w:name="Das_Ich_5"/>
        <w:bookmarkEnd w:id="44"/>
        <w:r w:rsidR="00525700" w:rsidRPr="006A6515">
          <w:rPr>
            <w:rStyle w:val="Lienhypertexte"/>
            <w:rFonts w:ascii="Garamond" w:hAnsi="Garamond"/>
            <w:b/>
            <w:bCs/>
            <w:lang w:val="en-US" w:eastAsia="fr-FR"/>
          </w:rPr>
          <w:t>e Abhängigkeiten des Ichs</w:t>
        </w:r>
      </w:hyperlink>
    </w:p>
    <w:p w:rsidR="00525700" w:rsidRPr="006A6515" w:rsidRDefault="00525700" w:rsidP="006A6515">
      <w:pPr>
        <w:pStyle w:val="Sansinterligne"/>
        <w:rPr>
          <w:rFonts w:ascii="Garamond" w:hAnsi="Garamond"/>
          <w:lang w:val="en-US" w:eastAsia="fr-FR"/>
        </w:rPr>
      </w:pP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Verschlungenheit des Stoffes mag entschuldigen, daß sich keine der Überschriften ganz mit dem Inhalt der Kapitel deckt und daß wir immer wieder auf bereits Erledigtes zurückgreifen, wenn wir neue Beziehungen studieren wollen.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So haben wir wiederholt gesagt, daß das Ich sich zum guten Teil aus Identifizierungen bildet, welche aufgelassene Besetzungen des Es ablösen, daß die ersten dieser Identifizierungen sich regelmäßig als besondere Instanz im Ich gebärden, sich als Über-Ich dem Ich entgegenstellen, während das erstarkte Ich sich späterhin gegen solche Identifizierungs</w:t>
      </w:r>
      <w:r w:rsidRPr="006A6515">
        <w:rPr>
          <w:rFonts w:ascii="Garamond" w:hAnsi="Garamond"/>
          <w:lang w:val="en-US" w:eastAsia="fr-FR"/>
        </w:rPr>
        <w:softHyphen/>
        <w:t>einflüsse resistenter verhalten mag. Das Über-Ich verdankt seine besondere Stellung im Ich oder zum Ich einem Moment, das von zwei Seiten her eingeschätzt werden soll, erstens, daß es die erste Identifizierung ist, die vorfiel, solange das Ich noch schwach war, und zweitens, daß es der Erbe des Ödipuskomplexes ist, also die großartigsten Objekte ins Ich einführte. Es verhält sich gewissermaßen zu den späteren Ichveränderungen wie die primäre Sexualphase der Kindheit zum späteren Sexualleben nach der Pubertät. Obwohl allen späteren Einflüssen zugänglich, behält es doch zeitlebens den Charakter, der ihm durch seinen Ursprung aus dem Vaterkomplex verliehen ist, nämlich die Fähigkeit, sich dem Ich entgegen</w:t>
      </w:r>
      <w:r w:rsidRPr="006A6515">
        <w:rPr>
          <w:rFonts w:ascii="Garamond" w:hAnsi="Garamond"/>
          <w:lang w:val="en-US" w:eastAsia="fr-FR"/>
        </w:rPr>
        <w:softHyphen/>
        <w:t>zustellen und es zu meistern. Es ist das Denkmal der einstigen Schwäche und Abhängigkeit des Ichs und setzt seine Herrschaft auch über das reife Ich fort. Wie das Kind unter dem Zwange stand, seinen Eltern zu gehorchen, so unterwirft sich das Ich dem kategorischen Imperativ seines Über-Ichs.</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Abkunft von den ersten Objektbesetzungen des Es, also vom Ödipus</w:t>
      </w:r>
      <w:r w:rsidRPr="006A6515">
        <w:rPr>
          <w:rFonts w:ascii="Garamond" w:hAnsi="Garamond"/>
          <w:lang w:val="en-US" w:eastAsia="fr-FR"/>
        </w:rPr>
        <w:softHyphen/>
        <w:t>komplex, bedeutet aber für das Über-Ich noch mehr. Sie bringt es, wie wir bereits ausgeführt haben, in Beziehung zu den phylogenetischen Erwer</w:t>
      </w:r>
      <w:r w:rsidRPr="006A6515">
        <w:rPr>
          <w:rFonts w:ascii="Garamond" w:hAnsi="Garamond"/>
          <w:lang w:val="en-US" w:eastAsia="fr-FR"/>
        </w:rPr>
        <w:softHyphen/>
        <w:t>bungen des Es und macht es zur Reinkarnation früherer Ichbildungen, die ihre Niederschläge im Es hinterlassen haben. Somit steht das Über-Ich dem Es dauernd nahe und kann dem Ich gegenüber dessen Vertretung führen. Es taucht tief ins Es ein, ist dafür entfernter vom Bewußtsein als das Ich.</w:t>
      </w:r>
      <w:r w:rsidRPr="006A6515">
        <w:rPr>
          <w:rFonts w:ascii="Garamond" w:hAnsi="Garamond"/>
          <w:vertAlign w:val="superscript"/>
          <w:lang w:val="en-US" w:eastAsia="fr-FR"/>
        </w:rPr>
        <w:t>1)</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Diese Beziehungen würdigen wir am besten, wenn wir uns gewissen klinischen Tatsachen zuwenden, die längst keine Neuheit sind, aber ihrer theoretischen Verarbeitung noch warten.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Es gibt Personen, die sich in der analytischen Arbeit ganz sonderbar be</w:t>
      </w:r>
      <w:r w:rsidRPr="006A6515">
        <w:rPr>
          <w:rFonts w:ascii="Garamond" w:hAnsi="Garamond"/>
          <w:lang w:val="en-US" w:eastAsia="fr-FR"/>
        </w:rPr>
        <w:softHyphen/>
        <w:t>nehmen. Wenn man ihnen Hoffnung gibt und ihnen Zufriedenheit mit dem Stand der Behandlung zeigt, scheinen sie unbefriedigt und verschlechtern regelmäßig ihr Befinden. Man hält das anfangs für Trotz und Bemühen, dem Arzt ihre Überlegenheit zu bezeugen. Später kommt man zu einer tieferen und gerechteren Auffassung. Man überzeugt sich nicht nur, daß diese Per</w:t>
      </w:r>
      <w:r w:rsidRPr="006A6515">
        <w:rPr>
          <w:rFonts w:ascii="Garamond" w:hAnsi="Garamond"/>
          <w:lang w:val="en-US" w:eastAsia="fr-FR"/>
        </w:rPr>
        <w:softHyphen/>
        <w:t xml:space="preserve">sonen kein Lob und keine Anerkennung vertragen, sondern daß sie auf die Fortschritte der Kur in verkehrter Weise reagieren. Jede Partiallösung, die eine Besserung oder zeitweiliges Aussetzen der Symptome zur Folge haben sollte und bei anderen auch hat, ruft bei ihnen eine momentane Verstärkung ihres Leidens hervor, sie verschlimmern sich während der Behandlung, anstatt sich zu bessern. Sie zeigen die sogenannte </w:t>
      </w:r>
      <w:r w:rsidRPr="006A6515">
        <w:rPr>
          <w:rFonts w:ascii="Garamond" w:hAnsi="Garamond"/>
          <w:i/>
          <w:iCs/>
          <w:lang w:val="en-US" w:eastAsia="fr-FR"/>
        </w:rPr>
        <w:t>negative therapeutische Reaktion.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Kein Zweifel, daß sich bei ihnen etwas der Genesung widersetzt, daß deren Annäherung wie eine Gefahr gefürchtet wird. Man sagt, bei diesen Personen hat nicht der Genesungswille, sondern das Krankheitsbedürfnis die Oberhand. Analysiert man diesen Widerstand in gewohnter Weise, zieht die Trotzeinstellung gegen den Arzt, die Fixierung an die Formen des Krankheits</w:t>
      </w:r>
      <w:r w:rsidRPr="006A6515">
        <w:rPr>
          <w:rFonts w:ascii="Garamond" w:hAnsi="Garamond"/>
          <w:lang w:val="en-US" w:eastAsia="fr-FR"/>
        </w:rPr>
        <w:softHyphen/>
        <w:t>gewinnes von ihm ab, so bleibt doch das meiste noch bestehen, und dies erweist sich als das stärkste Hindernis der Wiederherstellung, stärker als die uns bereits bekannten der narzißtischen Unzugänglichkeit, der negativen Einstellung gegen den Arzt und des Haftens am Krankheitsgewinne.</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Man kommt endlich zur Einsicht, daß es sich um einen sozusagen »mora</w:t>
      </w:r>
      <w:r w:rsidRPr="006A6515">
        <w:rPr>
          <w:rFonts w:ascii="Garamond" w:hAnsi="Garamond"/>
          <w:lang w:val="en-US" w:eastAsia="fr-FR"/>
        </w:rPr>
        <w:softHyphen/>
        <w:t>lischen« Faktor handelt, um ein Schuldgefühl, welches im Kranksein seine Befriedigung findet und auf die Strafe des Leidens nicht verzichten will. An dieser wenig tröstlichen Aufklärung darf man endgültig festhalten. Aber dies Schuldgefühl ist für den Kranken stumm, es sagt ihm nicht, daß er schuldig ist, er fühlt sich nicht schuldig, sondern krank. Dies Schuldgefühl äußert sich nur als schwer reduzierbarer Widerstand gegen die Herstellung. Es ist auch besonders schwierig, den Kranken von diesem Motiv seines Krankbleibens zu überzeugen, er wird sich an die näherliegende Erklärung halten, daß die analytische Kur nicht das richtige Mittel ist, ihm zu helfen.</w:t>
      </w:r>
      <w:r w:rsidRPr="006A6515">
        <w:rPr>
          <w:rFonts w:ascii="Garamond" w:hAnsi="Garamond"/>
          <w:vertAlign w:val="superscript"/>
          <w:lang w:val="en-US" w:eastAsia="fr-FR"/>
        </w:rPr>
        <w:t>2)</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Was hier beschrieben wurde, entspricht den extremsten Vorkommnissen, dürfte aber in geringerem Ausmaß für sehr viele, vielleicht für alle schwereren Fälle von Neurose in Betracht kommen. Ja, noch mehr, vielleicht ist es gerade dieser Faktor, das Verhalten des Ichideals, der die Schwere einer neuroti</w:t>
      </w:r>
      <w:r w:rsidRPr="006A6515">
        <w:rPr>
          <w:rFonts w:ascii="Garamond" w:hAnsi="Garamond"/>
          <w:lang w:val="en-US" w:eastAsia="fr-FR"/>
        </w:rPr>
        <w:softHyphen/>
        <w:t>schen Erkrankung maßgebend bestimmt. Wir wollen darum einigen weiteren Bemerkungen über die Äußerung des Schuldgefühls unter verschiedenen Bedingungen nicht aus dem Wege gehen.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lastRenderedPageBreak/>
        <w:t>Das normale, bewußte Schuldgefühl (Gewissen) bietet der Deutung keine Schwierigkeiten, es beruht auf der Spannung zwischen dem Ich und dem Ichideal, ist der Ausdruck einer Verurteilung des Ichs durch seine kritische Instanz. Die bekannten Minderwertigkeitsgefühle der Neurotiker dürften nicht weit davon abliegen. In zwei uns wohlvertrauten Affektionen ist das Schuldgefühl überstark bewußt; das Ichideal zeigt dann eine besondere Strenge und wütet gegen das Ich oft in grausamer Weise. Neben dieser Übereinstimmung ergeben sich bei den beiden Zuständen, Zwangsneurose und Melancholie, Verschiedenheiten im Verhalten des Ichideals, die nicht minder bedeutungsvoll sind.</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Bei der Zwangsneurose (gewissen Formen derselben) ist das Schuldgefühl überlaut, kann sich aber vor dem Ich nicht rechtfertigen. Das Ich des Kranken sträubt sich daher gegen die Zumutung, schuldig zu sein, und verlangt vom Arzt, in seiner Ablehnung dieser Schuldgefühle bestärkt zu werden. Es wäre töricht, ihm nachzugeben, denn es bliebe erfolglos. Die Analyse zeigt dann, daß das Über-Ich durch Vorgänge beeinflußt wird, welche dem Ich unbekannt geblieben sind. Es lassen sich wirklich die verdrängten Impulse auffinden, welche das Schuldgefühl begründen. Das Über-Ich hat hier mehr vom unbewußten Es gewußt als das Ich.</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Noch stärker ist der Eindruck, daß das Über-Ich das Bewußtsein an sich gerissen hat, bei der Melancholie. Aber hier wagt das Ich keinen Einspruch, es bekennt sich schuldig und unterwirft sich den Strafen. Wir verstehen diesen Unterschied. Bei der Zwangsneurose handelte es sich um anstößige Regungen, die außerhalb des Ichs geblieben sind; bei der Melancholie aber ist das Objekt, dem der Zorn des Über-Ichs gilt, durch Identifizierung ins Ich aufgenommen worden.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Es ist gewiß nicht selbstverständlich, daß bei diesen beiden neurotischen Affektionen das Schuldgefühl eine so außerordentliche Stärke erreicht, aber das Hauptproblem der Situation liegt doch an anderer Stelle. Wir schieben seine Erörterung auf, bis wir die anderen Fälle behandelt haben, in denen das Schuldgefühl unbewußt bleibt.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Dies ist doch wesentlich bei Hysterie und Zuständen vom hysterischen Typus zu finden. Der Mechanismus des Unbewußtbleibens ist hier leicht zu erraten. Das hysterische Ich erwehrt sich der peinlichen Wahrnehmung, die ihm von sehen der Kritik seines Über-Ichs droht, in derselben Weise, wie es sich sonst einer unerträglichen Objektbesetzung zu erwehren pflegt, durch einen Akt der Verdrängung. Es liegt also am Ich, wenn das Schuldgefühl unbewußt bleibt. Wir wissen, daß sonst das Ich die Verdrängungen im Dienst und Auftrag seines Über-Ichs vornimmt; hier ist aber ein Fall, wo es sich derselben Waffe gegen seinen gestrengen Herrn bedient. Bei der Zwangsneurose überwiegen bekanntlich die Phänomene der Reaktionsbildung; hier [in der Hysterie] gelingt dem Ich nur die Fernhaltung des Materials, auf welches sich das Schuldgefühl bezieht.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Man kann weitergehen und die Voraussetzung wagen, daß ein großes Stück des Schuldgefühls normalerweise unbewußt sein müsse, weil die Entstehung des Gewissens innig an den Ödipuskomplex geknüpft ist, welcher dem Unbewußten angehört. Würde jemand den paradoxen Satz vertreten wollen, daß der normale Mensch nicht nur viel unmoralischer ist, als er glaubt, sondern auch viel moralischer, als er weiß, so hätte die Psychoanalyse, auf deren Befunden die erste Hälfte der Behauptung ruht, auch gegen die zweite Hälfte nichts einzuwenden.</w:t>
      </w:r>
      <w:r w:rsidRPr="006A6515">
        <w:rPr>
          <w:rFonts w:ascii="Garamond" w:hAnsi="Garamond"/>
          <w:vertAlign w:val="superscript"/>
          <w:lang w:val="en-US" w:eastAsia="fr-FR"/>
        </w:rPr>
        <w:t>3)</w:t>
      </w:r>
      <w:r w:rsidRPr="006A6515">
        <w:rPr>
          <w:rFonts w:ascii="Garamond" w:hAnsi="Garamond"/>
          <w:lang w:val="en-US" w:eastAsia="fr-FR"/>
        </w:rPr>
        <w:t xml:space="preserve"> Es war eine Überraschung zu finden, daß eine Steigerung dieses </w:t>
      </w:r>
      <w:r w:rsidRPr="006A6515">
        <w:rPr>
          <w:rFonts w:ascii="Garamond" w:hAnsi="Garamond"/>
          <w:i/>
          <w:iCs/>
          <w:lang w:val="en-US" w:eastAsia="fr-FR"/>
        </w:rPr>
        <w:t>ubw</w:t>
      </w:r>
      <w:r w:rsidRPr="006A6515">
        <w:rPr>
          <w:rFonts w:ascii="Garamond" w:hAnsi="Garamond"/>
          <w:lang w:val="en-US" w:eastAsia="fr-FR"/>
        </w:rPr>
        <w:t xml:space="preserve"> Schuldgefühls den Menschen zum Verbrecher machen kann. Aber es ist unzweifelhaft so. Es läßt sich bei vielen, besonders jugendlichen Verbrechern ein mächtiges Schuldgefühl nachweisen, welches vor der Tat bestand, also nicht deren Folge, sondern deren Motiv ist, als ob es als Erleichterung empfunden würde, dies unbewußte Schuldgefühl an etwas Reales und Aktuelles knüpfen zu können.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In all diesen Verhältnissen erweist das Über-Ich seine Unabhängigkeit vom bewußten Ich und seine innigen Beziehungen zum unbewußten Es. Nun erhebt sich mit Rücksicht auf die Bedeutung, die wir den vorbewußten Wortresten im Ich zugeschrieben haben, die Frage, ob das Über-Ich, wenn es </w:t>
      </w:r>
      <w:r w:rsidRPr="006A6515">
        <w:rPr>
          <w:rFonts w:ascii="Garamond" w:hAnsi="Garamond"/>
          <w:i/>
          <w:iCs/>
          <w:lang w:val="en-US" w:eastAsia="fr-FR"/>
        </w:rPr>
        <w:t>ubw</w:t>
      </w:r>
      <w:r w:rsidRPr="006A6515">
        <w:rPr>
          <w:rFonts w:ascii="Garamond" w:hAnsi="Garamond"/>
          <w:lang w:val="en-US" w:eastAsia="fr-FR"/>
        </w:rPr>
        <w:t xml:space="preserve"> ist, nicht aus solchen Wortvorstellungen, oder aus was sonst es besteht. Die bescheidene Antwort wird lauten, daß das Über-Ich auch seine Herkunft aus Gehörtem unmöglich verleugnen kann, es ist ja ein Teil des Ichs und bleibt von diesen Wortvorstellungen (Begriffen, Abstraktionen) her dem Bewußtsein zugänglich, aber die </w:t>
      </w:r>
      <w:r w:rsidRPr="006A6515">
        <w:rPr>
          <w:rFonts w:ascii="Garamond" w:hAnsi="Garamond"/>
          <w:i/>
          <w:iCs/>
          <w:lang w:val="en-US" w:eastAsia="fr-FR"/>
        </w:rPr>
        <w:t>Besetzungsenergie</w:t>
      </w:r>
      <w:r w:rsidRPr="006A6515">
        <w:rPr>
          <w:rFonts w:ascii="Garamond" w:hAnsi="Garamond"/>
          <w:lang w:val="en-US" w:eastAsia="fr-FR"/>
        </w:rPr>
        <w:t xml:space="preserve"> wird diesen Inhalten des Über-Ichs nicht von der Hörwahrnehmung, dem Unterricht, der Lektüre, sondern von den Quellen im Es zugeführt.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Die Frage, deren Beantwortung wir zurückgestellt hatten, lautet: Wie geht es zu, daß das Über-Ich sich wesentlich als Schuldgefühl (besser: als Kritik; Schuldgefühl ist die dieser Kritik entsprechende Wahrnehmung im Ich) äußert und dabei eine so außerordentliche Härte und Strenge gegen das Ich entfaltet? Wenden wir uns zunächst zur Melancholie, so finden wir, daß das überstarke Über-Ich, welches das Bewußtsein an sich gerissen hat, gegen das Ich mit schonungsloser Heftigkeit wütet, als ob es sich des ganzen im Individuum verfügbaren Sadismus bemächtigt hätte. Nach unserer Auffassung des Sadismus </w:t>
      </w:r>
      <w:r w:rsidRPr="006A6515">
        <w:rPr>
          <w:rFonts w:ascii="Garamond" w:hAnsi="Garamond"/>
          <w:lang w:val="en-US" w:eastAsia="fr-FR"/>
        </w:rPr>
        <w:lastRenderedPageBreak/>
        <w:t>würden wir sagen, die destruktive Komponente habe sich im Über-Ich abgelagert und gegen das Ich gewendet. Was nun im Über-Ich herrscht, ist wie eine Reinkultur des Todestriebes, und wirklich gelingt es diesem oft genug, das Ich in den Tod zu treiben, wenn das Ich sich nicht vorher durch den Umschlag in Manie seines Tyrannen erwehrt.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Ähnlich peinlich und quälerisch sind die Gewissensvorwürfe bei bestimmten Formen der Zwangsneurose, aber die Situation ist hier weniger durchsichtig. Es ist im Gegensatz zur Melancholie bemerkenswert, daß der Zwangskranke eigentlich niemals den Schritt der Selbsttötung macht, er ist wie immun gegen die Selbstmordgefahr, weit besser dagegen geschützt als der Hysteriker. </w:t>
      </w:r>
      <w:r w:rsidRPr="006A6515">
        <w:rPr>
          <w:rFonts w:ascii="Garamond" w:hAnsi="Garamond"/>
          <w:lang w:eastAsia="fr-FR"/>
        </w:rPr>
        <w:t xml:space="preserve">Wir verstehen, es ist die Erhaltung des Objekts, die die Sicherheit des Ichs verbürgt. Bei der Zwangsneurose ist es durch eine Regression zur prägenitalen Organisation möglich geworden, daß die Liebesimpulse sich in Aggressionsimpulse gegen das Objekt umsetzen. </w:t>
      </w:r>
      <w:r w:rsidRPr="006A6515">
        <w:rPr>
          <w:rFonts w:ascii="Garamond" w:hAnsi="Garamond"/>
          <w:lang w:val="en-US" w:eastAsia="fr-FR"/>
        </w:rPr>
        <w:t>Wiederum ist der Destruktionstrieb frei geworden und will das Objekt vernichten, oder es hat wenigstens den Anschein, als bestünde solche Absicht. Das Ich hat diese Tendenzen nicht aufgenommen, es sträubt sich gegen sie mit Reaktionsbildungen und Vorsichtsmaßregeln; sie verbleiben im Es. Das Über-Ich aber benimmt sich, als wäre das Ich für sie verantwortlich, und zeigt uns gleichzeitig durch den Ernst, mit dem es diese Vernichtungsabsichten verfolgt, daß es sich nicht um einen durch die Regression hervorgerufenen Anschein, sondern um wirklichen Ersatz von Liebe durch Haß handelt. Nach beiden Seiten hilflos, wehrt sich das Ich vergeblich gegen die Zumutungen des mörderischen Es wie gegen die Vorwürfe des strafenden Gewissens. Es gelingt ihm, gerade die gröbsten Aktionen beider zu hemmen, das Ergebnis ist zunächst eine endlose Selbstqual und in der weiteren Entwicklung eine systematische Quälerei des Objekts, wo dies zugänglich ist.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gefährlichen Todestriebe werden im Individuum auf verschiedene Weise behandelt, teils durch Mischung mit erotischen Komponenten unschädlich gemacht, teils als Aggression nach außen abgelenkt, zum großen Teil setzen sie gewiß unbehindert ihre innere Arbeit fort. Wie kommt es nun, daß bei der Melancholie das Über-Ich zu einer Art Sammelstätte der Todestriebe werden kann?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Vom Standpunkt der Triebeinschränkung, der Moralität, kann man sagen: Das Es ist ganz amoralisch, das Ich ist bemüht, moralisch zu sein, das Über-Ich kann hypermoralisch und dann so grausam werden wie nur das Es. Es ist merkwürdig, daß der Mensch, je mehr er seine Aggression nach außen einschränkt, desto strenger, also aggressiver in seinem Ichideal wird. Der gewöhnlichen Betrachtung erscheint dies umgekehrt, sie sieht in der Forderung des Ichideals das Motiv für die Unterdrückung der Aggression. </w:t>
      </w:r>
      <w:r w:rsidRPr="006A6515">
        <w:rPr>
          <w:rFonts w:ascii="Garamond" w:hAnsi="Garamond"/>
          <w:lang w:eastAsia="fr-FR"/>
        </w:rPr>
        <w:t xml:space="preserve">Die Tatsache bleibt aber, wie wir sie ausgesprochen haben: Je mehr ein Mensch seine Aggression meistert, desto mehr steigert sich die Aggressionsneigung seines Ideals gegen sein Ich. </w:t>
      </w:r>
      <w:r w:rsidRPr="006A6515">
        <w:rPr>
          <w:rFonts w:ascii="Garamond" w:hAnsi="Garamond"/>
          <w:lang w:val="en-US" w:eastAsia="fr-FR"/>
        </w:rPr>
        <w:t>Es ist wie eine Verschiebung, eine Wendung gegen das eigene Ich. Schon die gemeine, normale Moral hat den Charakter des hart Einschränkenden, grausam Verbietenden. Daher stammt ja die Konzeption des unerbittlich strafenden höheren Wesens.</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Ich kann nun diese Verhältnisse nicht weiter erläutern, ohne eine neue Annahme einzuführen. Das Über-Ich ist ja durch eine Identifizierung mit dem Vatervorbild entstanden. Jede solche Identifizierung hat den Charakter einer Desexualisierung oder selbst Sublimierung. Es scheint nun, daß bei einer solchen Umsetzung auch eine Triebentmischung stattfindet. Die erotische Komponente hat nach der Sublimierung nicht mehr die Kraft, die ganze hinzugesetzte Destruktion zu binden, und diese wird als Aggressions- und Destruktionsneigung frei. Aus dieser Entmischung würde das Ideal überhaupt den harten, grausamen Zug des gebieterischen Sollens beziehen.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Noch ein kurzes Verweilen bei der Zwangsneurose. Hier liegen die Verhältnisse anders. Die Entmischung der Liebe zur Aggression ist nicht durch eine Leistung des Ichs zustande gekommen, sondern die Folge einer Regression, die sich im Es vollzogen hat. Aber dieser Vorgang hat vom Es auf das Über-Ich übergegriffen, welches nun seine Strenge gegen das unschuldige Ich verschärft. In beiden Fällen würde aber das Ich, welches die Libido durch Identifizierung bewältigt hat, dafür die Strafe durch die der Libido beigemengte Aggression vom Über-Ich her erleiden.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Unsere Vorstellungen vom Ich beginnen sich zu klären, seine verschie</w:t>
      </w:r>
      <w:r w:rsidRPr="006A6515">
        <w:rPr>
          <w:rFonts w:ascii="Garamond" w:hAnsi="Garamond"/>
          <w:lang w:val="en-US" w:eastAsia="fr-FR"/>
        </w:rPr>
        <w:softHyphen/>
        <w:t xml:space="preserve">denen Beziehungen an Deutlichkeit zu gewinnen. Wir sehen das Ich jetzt in seiner Stärke und in seinen Schwächen. Es ist mit wichtigen Funktionen betraut, kraft seiner Beziehung zum Wahrnehmungssystem stellt es die zeitliche Anordnung der seelischen Vorgänge her und unterzieht dieselben der Realitätsprüfung. Durch die Einschaltung der Denkvorgänge erzielt es einen Aufschub der motorischen Entladungen und beherrscht die Zugänge zur Motil ität. Letztere Herrschaft ist allerdings mehr formal als faktisch, das Ich hat in der Beziehung zur Handlung etwa die Stellung eines konstitutionellen Monarchen, ohne dessen Sanktion nichts Gesetz werden kann, der es sich aber sehr überlegt, ehe er gegen einen Vorschlag des Parlaments sein Veto einlegt. Das Ich bereichert sich bei allen Lebenserfahrungen von außen; das Es aber ist seine andere </w:t>
      </w:r>
      <w:r w:rsidRPr="006A6515">
        <w:rPr>
          <w:rFonts w:ascii="Garamond" w:hAnsi="Garamond"/>
          <w:lang w:val="en-US" w:eastAsia="fr-FR"/>
        </w:rPr>
        <w:lastRenderedPageBreak/>
        <w:t>Außenwelt, die es sich zu unterwerfen strebt. Es entzieht dem Es Libido, bildet die Objektbesetzungen des Es zu Ichgestaltungen um. Mit Hilfe des Über-Ichs schöpft es in einer für uns noch dunklen Weise aus den im Es angehäuften Erfahrungen der Vorzeit.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Es gibt zwei Wege, auf denen der Inhalt des Es ins Ich eindringen kann. Der eine ist der direkte, der andere führt über das Ichideal, und es mag für manche seelische Tätigkeiten entscheidend sein, auf welchem der beiden Wege sie erfolgen. Das Ich entwickelt sich von der Triebwahrnehmung zur Triebbeherrschung, vom Triebgehorsam zur Triebhemmung. An dieser Leistung hat das Ichideal, das ja zum Teil eine Reaktionsbildung gegen die Triebvorgänge des Es ist, seinen starken Anteil. Die Psychoanalyse ist ein Werkzeug, welches dem Ich die fortschreitende Eroberung des Es ermöglichen soll.</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Aber anderseits sehen wir dasselbe Ich als armes Ding, welches unter dreierlei Dienstbarkeiten steht und demzufolge unter den Drohungen von dreierlei Gefahren leidet, von der Außenwelt her, von der Libido des Es und von der Strenge des Über-Ichs. Dreierlei Arten von Angst entsprechen diesen drei Gefahren, denn Angst ist der Ausdruck eines Rückzuges vor der Gefahr. Als Grenzwesen will das Ich zwischen der Welt und dem Es vermitteln, das Es der Welt gefügig machen und die Welt mittels seiner Muskelaktionen dem Es-Wunsch gerecht machen. Es benimmt sich eigentlich wie der Arzt in einer analytischen Kur, indem es sich selbst mit seiner Rücksichtnahme auf die reale Welt dem Es als Libidoobjekt empfiehlt und dessen Libido auf sich lenken will. Es ist nicht nur der Helfer des Es, auch sein unterwürfiger Knecht, der um die Liebe seines Herrn wirbt. Es sucht, wo möglich, im Einvernehmen mit dem Es zu bleiben, überzieht dessen </w:t>
      </w:r>
      <w:r w:rsidRPr="006A6515">
        <w:rPr>
          <w:rFonts w:ascii="Garamond" w:hAnsi="Garamond"/>
          <w:i/>
          <w:iCs/>
          <w:lang w:val="en-US" w:eastAsia="fr-FR"/>
        </w:rPr>
        <w:t>ubw</w:t>
      </w:r>
      <w:r w:rsidRPr="006A6515">
        <w:rPr>
          <w:rFonts w:ascii="Garamond" w:hAnsi="Garamond"/>
          <w:lang w:val="en-US" w:eastAsia="fr-FR"/>
        </w:rPr>
        <w:t xml:space="preserve"> Gebote mit seinen </w:t>
      </w:r>
      <w:r w:rsidRPr="006A6515">
        <w:rPr>
          <w:rFonts w:ascii="Garamond" w:hAnsi="Garamond"/>
          <w:i/>
          <w:iCs/>
          <w:lang w:val="en-US" w:eastAsia="fr-FR"/>
        </w:rPr>
        <w:t>vbw</w:t>
      </w:r>
      <w:r w:rsidRPr="006A6515">
        <w:rPr>
          <w:rFonts w:ascii="Garamond" w:hAnsi="Garamond"/>
          <w:lang w:val="en-US" w:eastAsia="fr-FR"/>
        </w:rPr>
        <w:t xml:space="preserve"> Rationalisierungen, spiegelt den Gehorsam des Es gegen die Mahnungen der Realität vor, auch wo das Es starr und unnachgiebig geblieben ist, vertuscht die Konflikte des Es mit der Realität und, wo möglich, auch die mit dem Über-Ich. In seiner Mittelstellung zwischen Es und Realität unterliegt es nur zu oft der Versuchung, liebedienerisch, opportunistisch und lügnerisch zu werden, etwa wie ein Staatsmann, der bei guter Einsicht sich doch in der Gunst der öffentlichen Meinung behaupten will.</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Zwischen beiden Triebarten hält es sich nicht unparteiisch. Durch seine Identifizierungs- und Sublimierungsarbeit leistet es den Todestrieben im Es Beistand zur Bewältigung der Libido, gerät aber dabei in Gefahr, zum Objekt der Todestriebe zu werden und selbst umzukommen. Es hat sich zu Zwecken der Hilfeleistung selbst mit Libido erfüllen müssen, wird dadurch selbst Vertreter des Eros und will nun leben und geliebt werden.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Da aber seine Sublimierungsarbeit eine Triebentmischung und Freiwerden der Aggressionstriebe im Uber-Ich zur Folge hat, liefert es sich durch seinen Kampf gegen die Libido der Gefahr der Mißhandlung und des Todes aus. Wenn das Ich unter der Aggression des Über-Ichs leidet oder selbst erliegt, so ist sein Schicksal ein Gegenstück zu dem der Protisten, die an den Zersetzungsprodukten zugrunde gehen, die sie selbst geschaffen haben</w:t>
      </w:r>
      <w:r w:rsidRPr="006A6515">
        <w:rPr>
          <w:rFonts w:ascii="Garamond" w:hAnsi="Garamond"/>
          <w:i/>
          <w:iCs/>
          <w:lang w:val="en-US" w:eastAsia="fr-FR"/>
        </w:rPr>
        <w:t>.</w:t>
      </w:r>
      <w:r w:rsidRPr="006A6515">
        <w:rPr>
          <w:rFonts w:ascii="Garamond" w:hAnsi="Garamond"/>
          <w:lang w:val="en-US" w:eastAsia="fr-FR"/>
        </w:rPr>
        <w:t xml:space="preserve"> Als solches Zersetzungsprodukt im ökonomischen Sinne erscheint uns die im Über-Ich wirkende Moral. Unter den Abhängigkeiten des Ichs ist wohl die vom Über-Ich die interessanteste.</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Das Ich ist ja die eigentliche Angststätte. Von den dreierlei Gefahren bedroht, entwickelt das Ich den Fluchtreflex, indem es seine eigene Besetzung von der bedrohlichen Wahrnehmung oder dem ebenso eingeschätzten Vorgang im Es zurückzieht und als Angst ausgibt. Diese primitive Reaktion wird später durch Aufführung von Schutzbesetzungen abgelöst (Mechanismus der Phobien). Was das Ich von der äußeren und von der Libidogefahr im Es befürchtet, läßt sich nicht angeben; wir wissen, es ist Überwältigung oder Vernichtung, aber es ist analytisch nicht zu fassen.</w:t>
      </w:r>
      <w:r w:rsidRPr="006A6515">
        <w:rPr>
          <w:rFonts w:ascii="Garamond" w:hAnsi="Garamond"/>
          <w:vertAlign w:val="superscript"/>
          <w:lang w:val="en-US" w:eastAsia="fr-FR"/>
        </w:rPr>
        <w:t xml:space="preserve"> </w:t>
      </w:r>
      <w:r w:rsidRPr="006A6515">
        <w:rPr>
          <w:rFonts w:ascii="Garamond" w:hAnsi="Garamond"/>
          <w:lang w:val="en-US" w:eastAsia="fr-FR"/>
        </w:rPr>
        <w:t>Das Ich folgt einfach der Warnung des Lustprinzips. Hingegen läßt sich sagen, was sich hinter der Angst des Ichs vor dem Über-Ich, der Gewissensangst, verbirgt. Vom höheren Wesen, welches zum Ichideal wurde, drohte einst die Kastration, und diese Kastrationsangst ist wahrscheinlich der Kern, um den sich die spätere Gewissensangst ablagert, sie ist es, die sich als Gewissensangst fortsetzt.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Der volltönende Satz: jede Angst sei eigentlich Todesangst, schließt kaum einen Sinn ein, ist jedenfalls nicht zu rechtfertigen. Es scheint mir vielmehr durchaus richtig, die Todesangst von der Objekt-(Real-) Angst und von der neurotischen Libidoangst zu sondern. Sie gibt der Psychoanalyse ein schweres Problem auf, denn Tod ist ein abstrakter Begriff von negativem Inhalt, für den eine unbewußte Entsprechung nicht zu finden ist. Der Mechanismus der Todesangst könnte nur sein, daß das Ich seine narzißtische Libidobesetzung in reichlichem Ausmaß entläßt, also sich selbst aufgibt wie sonst im Angstfalle ein anderes Objekt. Ich meine, daß die Todesangst sich zwischen Ich und Uber-Ich abspielt.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xml:space="preserve">Wir kennen das Auftreten von Todesangst unter zwei Bedingungen, die übrigens denen der sonstigen Angstentwicklung durchaus analog sind, als Reaktion auf eine äußere Gefahr und als inneren Vorgang, </w:t>
      </w:r>
      <w:r w:rsidRPr="006A6515">
        <w:rPr>
          <w:rFonts w:ascii="Garamond" w:hAnsi="Garamond"/>
          <w:lang w:val="en-US" w:eastAsia="fr-FR"/>
        </w:rPr>
        <w:lastRenderedPageBreak/>
        <w:t>zum Beispiel bei Melancholie. Der neurotische Fall mag uns wieder einmal zum Verständnis des realen verhelfen.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Die Todesangst der Melancholie läßt nur die eine Erklärung zu, daß das Ich sich aufgibt, weil es sich vom Über-Ich gehaßt und verfolgt anstatt geliebt fühlt. Leben ist also für das Ich gleichbedeutend mit Geliebtwerden, vom Über-Ich geliebt werden, das auch hier als Vertreter des Es auftritt. Das Uber-Ich vertritt dieselbe schützende und rettende Funktion wie früher der Vater, später die Vorsehung oder das Schicksal. Denselben Schluß muß das Ich aber auch ziehen, wenn es sich in einer übergroßen realen Gefahr befindet, die es aus eigenen Kräften nicht glaubt überwinden zu können. Es sieht sich von allen schützenden Mächten verlassen und läßt sich sterben. Es ist übrigens immer noch dieselbe Situation, die dem ersten großen Angstzustand der Geburt und der infantilen Sehnsucht-Angst zugrunde lag, die der Trennung von der schützenden Mutter.</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Auf Grund dieser Darlegungen kann also die Todesangst wie die Gewissensangst als Verarbeitung der Kastrationsangst aufgefaßt werden. Bei der großen Bedeutung des Schuldgefühls für die Neurosen ist es auch nicht von der Hand zu weisen, daß die gemeine neurotische Angst in schweren Fällen eine Verstärkung durch die Angstentwicklung zwischen Ich und Über-Ich (Kastrations-, Gewissens-, Todesangst) erfährt.</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Das Es, zu dem wir am Ende zurückführen, hat keine Mittel, dem Ich Liebe oder Haß zu bezeugen. Es kann nicht sagen, was es will; es hat keinen einheitlichen Willen zustande gebracht. Eros und Todestrieb kämpfen in ihm; wir haben gehört, mit welchen Mitteln sich die einen Triebe gegen die anderen zur Wehre setzen. Wir könnten es so darstellen, als ob das Es unter der Herrschaft der stummen, aber mächtigen Todestriebe stünde, die Ruhe haben und den Störenfried Eros nach den Winken des Lustprinzips zur Ruhe bringen wollen, aber wir besorgen, doch dabei die Rolle des Eros zu unterschätzen.</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 </w:t>
      </w:r>
    </w:p>
    <w:p w:rsidR="00525700" w:rsidRPr="006A6515" w:rsidRDefault="00525700" w:rsidP="006A6515">
      <w:pPr>
        <w:pStyle w:val="Sansinterligne"/>
        <w:rPr>
          <w:rFonts w:ascii="Garamond" w:hAnsi="Garamond"/>
          <w:lang w:val="en-US" w:eastAsia="fr-FR"/>
        </w:rPr>
      </w:pPr>
      <w:r w:rsidRPr="006A6515">
        <w:rPr>
          <w:rFonts w:ascii="Garamond" w:hAnsi="Garamond"/>
          <w:lang w:val="en-US" w:eastAsia="fr-FR"/>
        </w:rPr>
        <w:t>______________________</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1)</w:t>
      </w:r>
      <w:r w:rsidRPr="006A6515">
        <w:rPr>
          <w:rFonts w:ascii="Garamond" w:hAnsi="Garamond"/>
          <w:lang w:val="en-US" w:eastAsia="fr-FR"/>
        </w:rPr>
        <w:t xml:space="preserve"> Man kann sagen: Auch das psychoanalytische oder metapsychologische Ich steht auf dem Kopf wie das anatomische, das Gehirnmännchen.</w:t>
      </w:r>
    </w:p>
    <w:p w:rsidR="00525700" w:rsidRP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2)</w:t>
      </w:r>
      <w:r w:rsidRPr="006A6515">
        <w:rPr>
          <w:rFonts w:ascii="Garamond" w:hAnsi="Garamond"/>
          <w:lang w:val="en-US" w:eastAsia="fr-FR"/>
        </w:rPr>
        <w:t xml:space="preserve"> Der Kampf gegen das Hindernis des unbewußten Schuldgefühls wird dem Analytiker nicht leicht gemacht. Man kann direkt nichts dagegen tun, indirekt nichts anderes, als daß man langsam seine unbewußt verdrängten Begründungen aufdeckt, wobei es sich allmählich in bewußtes Schuldgefühl verwandelt. Eine besondere Chance der Beeinflussung gewinnt man, wenn dies </w:t>
      </w:r>
      <w:r w:rsidRPr="006A6515">
        <w:rPr>
          <w:rFonts w:ascii="Garamond" w:hAnsi="Garamond"/>
          <w:i/>
          <w:iCs/>
          <w:lang w:val="en-US" w:eastAsia="fr-FR"/>
        </w:rPr>
        <w:t>ubw</w:t>
      </w:r>
      <w:r w:rsidRPr="006A6515">
        <w:rPr>
          <w:rFonts w:ascii="Garamond" w:hAnsi="Garamond"/>
          <w:lang w:val="en-US" w:eastAsia="fr-FR"/>
        </w:rPr>
        <w:t xml:space="preserve"> Schuldgefühl ein </w:t>
      </w:r>
      <w:r w:rsidRPr="006A6515">
        <w:rPr>
          <w:rFonts w:ascii="Garamond" w:hAnsi="Garamond"/>
          <w:i/>
          <w:iCs/>
          <w:lang w:val="en-US" w:eastAsia="fr-FR"/>
        </w:rPr>
        <w:t>entlehntes</w:t>
      </w:r>
      <w:r w:rsidRPr="006A6515">
        <w:rPr>
          <w:rFonts w:ascii="Garamond" w:hAnsi="Garamond"/>
          <w:lang w:val="en-US" w:eastAsia="fr-FR"/>
        </w:rPr>
        <w:t xml:space="preserve"> ist, das heißt das Ergebnis der Identifizierung mit einer anderen Person, die einmal Objekt einer erotischen Besetzung war. Eine solche Übernahme des Schuldgefühls ist oft der einzige, schwer kenntliche Rest der aufgegebenen Liebesbeziehung. Die Ähnlichkeit mit dem Vorgang bei Melancholie ist dabei unverkennbar. Kann man diese einstige Objektbesetzung hinter dem </w:t>
      </w:r>
      <w:r w:rsidRPr="006A6515">
        <w:rPr>
          <w:rFonts w:ascii="Garamond" w:hAnsi="Garamond"/>
          <w:i/>
          <w:iCs/>
          <w:lang w:val="en-US" w:eastAsia="fr-FR"/>
        </w:rPr>
        <w:t>ubw</w:t>
      </w:r>
      <w:r w:rsidRPr="006A6515">
        <w:rPr>
          <w:rFonts w:ascii="Garamond" w:hAnsi="Garamond"/>
          <w:lang w:val="en-US" w:eastAsia="fr-FR"/>
        </w:rPr>
        <w:t xml:space="preserve"> Schuldgefühl aufdecken, so ist die therapeutische Aufgabe oft glänzend gelöst, sonst ist der Ausgang der therapeutischen Bemühung keineswegs gesichert. Er hängt in erster Linie von der Intensität des Schuldgefühls ab, welcher die Therapie oft keine Gegenkraft von gleicher Größenordnung entgegenstellen kann. Vielleicht auch davon, ob die Person des Analytikers es zuläßt, daß sie vom Kranken an die Stelle seines Ichideals gesetzt werde, womit die Versuchung verbunden ist, gegen den Kranken die Rolle des Propheten, Seelenretters, Heilands zu spielen. Da die Regeln der Analyse einer solchen Verwendung der ärztlichen Persönlichkeit entschieden widerstreben, ist ehrlich zuzugeben, daß hier eine neue Schranke für die Wirkung der Analyse gegeben ist, die ja die krankhaften Reaktionen nicht unmöglich machen, sondern dem Ich des Kranken die </w:t>
      </w:r>
      <w:r w:rsidRPr="006A6515">
        <w:rPr>
          <w:rFonts w:ascii="Garamond" w:hAnsi="Garamond"/>
          <w:i/>
          <w:iCs/>
          <w:lang w:val="en-US" w:eastAsia="fr-FR"/>
        </w:rPr>
        <w:t>Freiheit</w:t>
      </w:r>
      <w:r w:rsidRPr="006A6515">
        <w:rPr>
          <w:rFonts w:ascii="Garamond" w:hAnsi="Garamond"/>
          <w:lang w:val="en-US" w:eastAsia="fr-FR"/>
        </w:rPr>
        <w:t xml:space="preserve"> schaffen soll, sich so oder anders zu entscheiden.</w:t>
      </w:r>
    </w:p>
    <w:p w:rsidR="006A6515" w:rsidRDefault="00525700" w:rsidP="006A6515">
      <w:pPr>
        <w:pStyle w:val="Sansinterligne"/>
        <w:rPr>
          <w:rFonts w:ascii="Garamond" w:hAnsi="Garamond"/>
          <w:lang w:val="en-US" w:eastAsia="fr-FR"/>
        </w:rPr>
      </w:pPr>
      <w:r w:rsidRPr="006A6515">
        <w:rPr>
          <w:rFonts w:ascii="Garamond" w:hAnsi="Garamond"/>
          <w:vertAlign w:val="superscript"/>
          <w:lang w:val="en-US" w:eastAsia="fr-FR"/>
        </w:rPr>
        <w:t>3)</w:t>
      </w:r>
      <w:r w:rsidRPr="006A6515">
        <w:rPr>
          <w:rFonts w:ascii="Garamond" w:hAnsi="Garamond"/>
          <w:lang w:val="en-US" w:eastAsia="fr-FR"/>
        </w:rPr>
        <w:t xml:space="preserve"> Dieser Satz ist nur scheinbar ein Paradoxon; er besagt einfach, daß die Natur des Menschen im Guten wie im Bösen weit über das hinausgeht, was er von sich glaubt, das heißt was seinem Ich durch Bewußtseinswahrnehmung bekannt ist.</w:t>
      </w:r>
    </w:p>
    <w:p w:rsidR="006A6515" w:rsidRDefault="006A6515">
      <w:pPr>
        <w:rPr>
          <w:rFonts w:ascii="Garamond" w:hAnsi="Garamond"/>
          <w:lang w:val="en-US" w:eastAsia="fr-FR"/>
        </w:rPr>
      </w:pPr>
    </w:p>
    <w:p w:rsidR="006A6515" w:rsidRDefault="006A6515">
      <w:pPr>
        <w:rPr>
          <w:rFonts w:ascii="Garamond" w:hAnsi="Garamond"/>
          <w:lang w:val="en-US" w:eastAsia="fr-FR"/>
        </w:rPr>
      </w:pPr>
    </w:p>
    <w:p w:rsidR="006A6515" w:rsidRPr="00F20BA5" w:rsidRDefault="006A6515">
      <w:pPr>
        <w:rPr>
          <w:rFonts w:ascii="Garamond" w:hAnsi="Garamond"/>
          <w:lang w:val="en-US" w:eastAsia="fr-FR"/>
        </w:rPr>
      </w:pPr>
      <w:r w:rsidRPr="00F20BA5">
        <w:rPr>
          <w:rFonts w:ascii="Garamond" w:hAnsi="Garamond"/>
          <w:lang w:val="en-US" w:eastAsia="fr-FR"/>
        </w:rPr>
        <w:t>-----------------------------------------------------------------------------------------------------------------------------------</w:t>
      </w:r>
      <w:r w:rsidRPr="00F20BA5">
        <w:rPr>
          <w:rFonts w:ascii="Garamond" w:hAnsi="Garamond"/>
          <w:lang w:val="en-US" w:eastAsia="fr-FR"/>
        </w:rPr>
        <w:br w:type="page"/>
      </w:r>
    </w:p>
    <w:p w:rsidR="00941D22" w:rsidRPr="00941D22" w:rsidRDefault="00941D22" w:rsidP="00941D22">
      <w:pPr>
        <w:pStyle w:val="c"/>
        <w:rPr>
          <w:lang w:val="en-US"/>
        </w:rPr>
      </w:pPr>
      <w:r w:rsidRPr="00941D22">
        <w:rPr>
          <w:rFonts w:ascii="Garamond" w:hAnsi="Garamond"/>
          <w:bCs/>
          <w:sz w:val="28"/>
          <w:szCs w:val="28"/>
          <w:lang w:val="en-US"/>
        </w:rPr>
        <w:lastRenderedPageBreak/>
        <w:t>Di</w:t>
      </w:r>
      <w:bookmarkStart w:id="45" w:name="F50"/>
      <w:bookmarkEnd w:id="45"/>
      <w:r w:rsidRPr="00941D22">
        <w:rPr>
          <w:rFonts w:ascii="Garamond" w:hAnsi="Garamond"/>
          <w:bCs/>
          <w:sz w:val="28"/>
          <w:szCs w:val="28"/>
          <w:lang w:val="en-US"/>
        </w:rPr>
        <w:t>e Zukunft einer Illusion</w:t>
      </w:r>
      <w:r>
        <w:rPr>
          <w:b/>
          <w:bCs/>
          <w:sz w:val="27"/>
          <w:szCs w:val="27"/>
          <w:lang w:val="en-US"/>
        </w:rPr>
        <w:t xml:space="preserve">  </w:t>
      </w:r>
      <w:r w:rsidRPr="00941D22">
        <w:rPr>
          <w:lang w:val="en-US"/>
        </w:rPr>
        <w:t> (1927)</w:t>
      </w:r>
      <w:r>
        <w:rPr>
          <w:lang w:val="en-US"/>
        </w:rPr>
        <w:t xml:space="preserve">                                                                        </w:t>
      </w:r>
      <w:hyperlink w:anchor="Werke" w:history="1">
        <w:r w:rsidRPr="00525700">
          <w:rPr>
            <w:rStyle w:val="Lienhypertexte"/>
            <w:rFonts w:ascii="Garamond" w:hAnsi="Garamond"/>
            <w:lang w:val="en-US"/>
          </w:rPr>
          <w:t>Werke</w:t>
        </w:r>
      </w:hyperlink>
    </w:p>
    <w:p w:rsidR="00941D22" w:rsidRDefault="00941D22" w:rsidP="00941D22">
      <w:pPr>
        <w:pStyle w:val="NormalWeb"/>
        <w:rPr>
          <w:sz w:val="15"/>
          <w:szCs w:val="15"/>
          <w:lang w:val="en-US"/>
        </w:rPr>
      </w:pPr>
      <w:r w:rsidRPr="00941D22">
        <w:rPr>
          <w:lang w:val="en-US"/>
        </w:rPr>
        <w:t> </w:t>
      </w:r>
      <w:r w:rsidRPr="00941D22">
        <w:rPr>
          <w:sz w:val="15"/>
          <w:szCs w:val="15"/>
          <w:lang w:val="en-US"/>
        </w:rPr>
        <w:t xml:space="preserve">[Erstveröffentlichung: Leipzig, Wien und Zürich, </w:t>
      </w:r>
      <w:r w:rsidRPr="00941D22">
        <w:rPr>
          <w:i/>
          <w:iCs/>
          <w:sz w:val="15"/>
          <w:szCs w:val="15"/>
          <w:lang w:val="en-US"/>
        </w:rPr>
        <w:t>Internationaler Psychoanalytischer Verlag</w:t>
      </w:r>
      <w:r w:rsidRPr="00941D22">
        <w:rPr>
          <w:sz w:val="15"/>
          <w:szCs w:val="15"/>
          <w:lang w:val="en-US"/>
        </w:rPr>
        <w:t>, 1927. — Gesammelte Werke, Bd. 14, S. 325-380.]</w:t>
      </w:r>
    </w:p>
    <w:p w:rsidR="004445E0" w:rsidRDefault="004445E0" w:rsidP="00941D22">
      <w:pPr>
        <w:pStyle w:val="NormalWeb"/>
        <w:rPr>
          <w:sz w:val="15"/>
          <w:szCs w:val="15"/>
          <w:lang w:val="en-US"/>
        </w:rPr>
      </w:pPr>
    </w:p>
    <w:p w:rsidR="004445E0" w:rsidRDefault="004445E0" w:rsidP="00941D22">
      <w:pPr>
        <w:pStyle w:val="NormalWeb"/>
        <w:rPr>
          <w:sz w:val="15"/>
          <w:szCs w:val="15"/>
          <w:lang w:val="en-US"/>
        </w:rPr>
      </w:pPr>
    </w:p>
    <w:p w:rsidR="004445E0" w:rsidRDefault="004445E0" w:rsidP="00941D22">
      <w:pPr>
        <w:pStyle w:val="NormalWeb"/>
        <w:rPr>
          <w:rFonts w:ascii="Garamond" w:hAnsi="Garamond"/>
          <w:sz w:val="22"/>
          <w:szCs w:val="22"/>
          <w:lang w:val="en-US"/>
        </w:rPr>
      </w:pPr>
      <w:r w:rsidRPr="004445E0">
        <w:rPr>
          <w:rFonts w:ascii="Garamond" w:hAnsi="Garamond"/>
          <w:sz w:val="22"/>
          <w:szCs w:val="22"/>
          <w:lang w:val="en-US"/>
        </w:rPr>
        <w:t>In</w:t>
      </w:r>
      <w:bookmarkStart w:id="46" w:name="IllusionINHALT"/>
      <w:bookmarkEnd w:id="46"/>
      <w:r w:rsidRPr="004445E0">
        <w:rPr>
          <w:rFonts w:ascii="Garamond" w:hAnsi="Garamond"/>
          <w:sz w:val="22"/>
          <w:szCs w:val="22"/>
          <w:lang w:val="en-US"/>
        </w:rPr>
        <w:t>halt</w:t>
      </w:r>
    </w:p>
    <w:p w:rsidR="004445E0" w:rsidRDefault="00B437A1" w:rsidP="00CE4D4E">
      <w:pPr>
        <w:pStyle w:val="Sansinterligne"/>
        <w:numPr>
          <w:ilvl w:val="0"/>
          <w:numId w:val="6"/>
        </w:numPr>
        <w:rPr>
          <w:rFonts w:ascii="Garamond" w:hAnsi="Garamond"/>
          <w:lang w:val="en-US"/>
        </w:rPr>
      </w:pPr>
      <w:hyperlink w:anchor="Illusion1" w:history="1">
        <w:r w:rsidR="004445E0" w:rsidRPr="004445E0">
          <w:rPr>
            <w:rStyle w:val="Lienhypertexte"/>
            <w:rFonts w:ascii="Garamond" w:hAnsi="Garamond"/>
            <w:lang w:val="en-US"/>
          </w:rPr>
          <w:t>I.  Arbeitszwang und Triebverzicht als Fundament der Kultur</w:t>
        </w:r>
      </w:hyperlink>
    </w:p>
    <w:p w:rsidR="004445E0" w:rsidRDefault="004445E0" w:rsidP="004445E0">
      <w:pPr>
        <w:pStyle w:val="Sansinterligne"/>
        <w:ind w:left="360"/>
        <w:rPr>
          <w:rFonts w:ascii="Garamond" w:hAnsi="Garamond"/>
          <w:lang w:val="en-US"/>
        </w:rPr>
      </w:pPr>
    </w:p>
    <w:p w:rsidR="004445E0" w:rsidRDefault="00B437A1" w:rsidP="00CE4D4E">
      <w:pPr>
        <w:pStyle w:val="Sansinterligne"/>
        <w:numPr>
          <w:ilvl w:val="0"/>
          <w:numId w:val="6"/>
        </w:numPr>
        <w:rPr>
          <w:rFonts w:ascii="Garamond" w:hAnsi="Garamond"/>
          <w:lang w:val="en-US"/>
        </w:rPr>
      </w:pPr>
      <w:hyperlink w:anchor="Illusion2" w:history="1">
        <w:r w:rsidR="004445E0" w:rsidRPr="004445E0">
          <w:rPr>
            <w:rStyle w:val="Lienhypertexte"/>
            <w:rFonts w:ascii="Garamond" w:hAnsi="Garamond"/>
            <w:lang w:val="en-US"/>
          </w:rPr>
          <w:t>II.  Versagung der Triebwünsche, Verbot und Entbehrung. Kulturelle Ersatzbefriedigungen</w:t>
        </w:r>
      </w:hyperlink>
    </w:p>
    <w:p w:rsidR="004445E0" w:rsidRDefault="004445E0" w:rsidP="004445E0">
      <w:pPr>
        <w:pStyle w:val="Sansinterligne"/>
        <w:rPr>
          <w:rFonts w:ascii="Garamond" w:hAnsi="Garamond"/>
          <w:lang w:val="en-US"/>
        </w:rPr>
      </w:pPr>
    </w:p>
    <w:p w:rsidR="004445E0" w:rsidRDefault="00B437A1" w:rsidP="00CE4D4E">
      <w:pPr>
        <w:pStyle w:val="Sansinterligne"/>
        <w:numPr>
          <w:ilvl w:val="0"/>
          <w:numId w:val="6"/>
        </w:numPr>
        <w:rPr>
          <w:rFonts w:ascii="Garamond" w:hAnsi="Garamond"/>
          <w:lang w:val="en-US"/>
        </w:rPr>
      </w:pPr>
      <w:hyperlink w:anchor="Illusion3" w:history="1">
        <w:r w:rsidR="004445E0" w:rsidRPr="004445E0">
          <w:rPr>
            <w:rStyle w:val="Lienhypertexte"/>
            <w:rFonts w:ascii="Garamond" w:hAnsi="Garamond"/>
            <w:lang w:val="en-US"/>
          </w:rPr>
          <w:t>III.  Der besondere Wert der religiösen Vorstellungen</w:t>
        </w:r>
      </w:hyperlink>
    </w:p>
    <w:p w:rsidR="004445E0" w:rsidRDefault="004445E0" w:rsidP="004445E0">
      <w:pPr>
        <w:pStyle w:val="Sansinterligne"/>
        <w:rPr>
          <w:rFonts w:ascii="Garamond" w:hAnsi="Garamond"/>
          <w:lang w:val="en-US"/>
        </w:rPr>
      </w:pPr>
    </w:p>
    <w:p w:rsidR="004445E0" w:rsidRDefault="00B437A1" w:rsidP="00CE4D4E">
      <w:pPr>
        <w:pStyle w:val="Sansinterligne"/>
        <w:numPr>
          <w:ilvl w:val="0"/>
          <w:numId w:val="6"/>
        </w:numPr>
        <w:rPr>
          <w:rFonts w:ascii="Garamond" w:hAnsi="Garamond"/>
          <w:lang w:val="en-US"/>
        </w:rPr>
      </w:pPr>
      <w:hyperlink w:anchor="Illusion4" w:history="1">
        <w:r w:rsidR="004445E0" w:rsidRPr="004445E0">
          <w:rPr>
            <w:rStyle w:val="Lienhypertexte"/>
            <w:rFonts w:ascii="Garamond" w:hAnsi="Garamond"/>
            <w:lang w:val="en-US"/>
          </w:rPr>
          <w:t>IV.  Ursprünge der Religion</w:t>
        </w:r>
      </w:hyperlink>
    </w:p>
    <w:p w:rsidR="004445E0" w:rsidRDefault="004445E0" w:rsidP="004445E0">
      <w:pPr>
        <w:pStyle w:val="Sansinterligne"/>
        <w:rPr>
          <w:rFonts w:ascii="Garamond" w:hAnsi="Garamond"/>
          <w:lang w:val="en-US"/>
        </w:rPr>
      </w:pPr>
    </w:p>
    <w:p w:rsidR="004445E0" w:rsidRDefault="00B437A1" w:rsidP="00CE4D4E">
      <w:pPr>
        <w:pStyle w:val="Sansinterligne"/>
        <w:numPr>
          <w:ilvl w:val="0"/>
          <w:numId w:val="6"/>
        </w:numPr>
        <w:rPr>
          <w:rFonts w:ascii="Garamond" w:hAnsi="Garamond"/>
          <w:lang w:val="en-US"/>
        </w:rPr>
      </w:pPr>
      <w:hyperlink w:anchor="Illusion5" w:history="1">
        <w:r w:rsidR="004445E0" w:rsidRPr="004445E0">
          <w:rPr>
            <w:rStyle w:val="Lienhypertexte"/>
            <w:rFonts w:ascii="Garamond" w:hAnsi="Garamond"/>
            <w:lang w:val="en-US"/>
          </w:rPr>
          <w:t>V.  Psychologische Bedeutung der religiösen Vorstellungen</w:t>
        </w:r>
      </w:hyperlink>
    </w:p>
    <w:p w:rsidR="004445E0" w:rsidRDefault="004445E0" w:rsidP="004445E0">
      <w:pPr>
        <w:pStyle w:val="Sansinterligne"/>
        <w:rPr>
          <w:rFonts w:ascii="Garamond" w:hAnsi="Garamond"/>
          <w:lang w:val="en-US"/>
        </w:rPr>
      </w:pPr>
    </w:p>
    <w:p w:rsidR="004445E0" w:rsidRDefault="00B437A1" w:rsidP="00CE4D4E">
      <w:pPr>
        <w:pStyle w:val="Sansinterligne"/>
        <w:numPr>
          <w:ilvl w:val="0"/>
          <w:numId w:val="6"/>
        </w:numPr>
        <w:rPr>
          <w:rFonts w:ascii="Garamond" w:hAnsi="Garamond"/>
          <w:lang w:val="en-US"/>
        </w:rPr>
      </w:pPr>
      <w:hyperlink w:anchor="Illusion6" w:history="1">
        <w:r w:rsidR="004445E0" w:rsidRPr="004445E0">
          <w:rPr>
            <w:rStyle w:val="Lienhypertexte"/>
            <w:rFonts w:ascii="Garamond" w:hAnsi="Garamond"/>
            <w:lang w:val="en-US"/>
          </w:rPr>
          <w:t>VI.  Die Illusion der religiösen Vorstellungen</w:t>
        </w:r>
      </w:hyperlink>
    </w:p>
    <w:p w:rsidR="004445E0" w:rsidRDefault="004445E0" w:rsidP="004445E0">
      <w:pPr>
        <w:pStyle w:val="Sansinterligne"/>
        <w:rPr>
          <w:rFonts w:ascii="Garamond" w:hAnsi="Garamond"/>
          <w:lang w:val="en-US"/>
        </w:rPr>
      </w:pPr>
    </w:p>
    <w:p w:rsidR="004445E0" w:rsidRDefault="00B437A1" w:rsidP="00CE4D4E">
      <w:pPr>
        <w:pStyle w:val="Sansinterligne"/>
        <w:numPr>
          <w:ilvl w:val="0"/>
          <w:numId w:val="6"/>
        </w:numPr>
        <w:rPr>
          <w:rFonts w:ascii="Garamond" w:hAnsi="Garamond"/>
          <w:lang w:val="en-US"/>
        </w:rPr>
      </w:pPr>
      <w:hyperlink w:anchor="Illusion7" w:history="1">
        <w:r w:rsidR="004445E0" w:rsidRPr="004445E0">
          <w:rPr>
            <w:rStyle w:val="Lienhypertexte"/>
            <w:rFonts w:ascii="Garamond" w:hAnsi="Garamond"/>
            <w:lang w:val="en-US"/>
          </w:rPr>
          <w:t>VII.  Revision der Beziehung zwischen Kultur und Religion</w:t>
        </w:r>
      </w:hyperlink>
    </w:p>
    <w:p w:rsidR="004445E0" w:rsidRDefault="004445E0" w:rsidP="004445E0">
      <w:pPr>
        <w:pStyle w:val="Sansinterligne"/>
        <w:rPr>
          <w:rFonts w:ascii="Garamond" w:hAnsi="Garamond"/>
          <w:lang w:val="en-US"/>
        </w:rPr>
      </w:pPr>
    </w:p>
    <w:p w:rsidR="004445E0" w:rsidRDefault="00B437A1" w:rsidP="00CE4D4E">
      <w:pPr>
        <w:pStyle w:val="Sansinterligne"/>
        <w:numPr>
          <w:ilvl w:val="0"/>
          <w:numId w:val="6"/>
        </w:numPr>
        <w:rPr>
          <w:rFonts w:ascii="Garamond" w:hAnsi="Garamond"/>
          <w:lang w:val="en-US"/>
        </w:rPr>
      </w:pPr>
      <w:hyperlink w:anchor="Illusion8" w:history="1">
        <w:r w:rsidR="004445E0" w:rsidRPr="004445E0">
          <w:rPr>
            <w:rStyle w:val="Lienhypertexte"/>
            <w:rFonts w:ascii="Garamond" w:hAnsi="Garamond"/>
            <w:lang w:val="en-US"/>
          </w:rPr>
          <w:t>VIII.  Religion als Ersatz einer rationellen Begründung der Kulturvorschriften</w:t>
        </w:r>
      </w:hyperlink>
    </w:p>
    <w:p w:rsidR="004445E0" w:rsidRDefault="004445E0" w:rsidP="004445E0">
      <w:pPr>
        <w:pStyle w:val="Sansinterligne"/>
        <w:rPr>
          <w:rFonts w:ascii="Garamond" w:hAnsi="Garamond"/>
          <w:lang w:val="en-US"/>
        </w:rPr>
      </w:pPr>
    </w:p>
    <w:p w:rsidR="004445E0" w:rsidRDefault="00B437A1" w:rsidP="00CE4D4E">
      <w:pPr>
        <w:pStyle w:val="Sansinterligne"/>
        <w:numPr>
          <w:ilvl w:val="0"/>
          <w:numId w:val="6"/>
        </w:numPr>
        <w:rPr>
          <w:rFonts w:ascii="Garamond" w:hAnsi="Garamond"/>
          <w:lang w:val="en-US"/>
        </w:rPr>
      </w:pPr>
      <w:hyperlink w:anchor="Illusion9" w:history="1">
        <w:r w:rsidR="004445E0" w:rsidRPr="004445E0">
          <w:rPr>
            <w:rStyle w:val="Lienhypertexte"/>
            <w:rFonts w:ascii="Garamond" w:hAnsi="Garamond"/>
            <w:lang w:val="en-US"/>
          </w:rPr>
          <w:t>IX.  Frage nach der Möglichkeit der Ablösung der religösen Illusion durch die Vernunft</w:t>
        </w:r>
      </w:hyperlink>
    </w:p>
    <w:p w:rsidR="004445E0" w:rsidRDefault="004445E0" w:rsidP="004445E0">
      <w:pPr>
        <w:pStyle w:val="Sansinterligne"/>
        <w:rPr>
          <w:rFonts w:ascii="Garamond" w:hAnsi="Garamond"/>
          <w:lang w:val="en-US"/>
        </w:rPr>
      </w:pPr>
    </w:p>
    <w:p w:rsidR="004445E0" w:rsidRPr="004445E0" w:rsidRDefault="00B437A1" w:rsidP="00CE4D4E">
      <w:pPr>
        <w:pStyle w:val="Sansinterligne"/>
        <w:numPr>
          <w:ilvl w:val="0"/>
          <w:numId w:val="6"/>
        </w:numPr>
        <w:rPr>
          <w:rFonts w:ascii="Garamond" w:hAnsi="Garamond"/>
          <w:lang w:val="en-US"/>
        </w:rPr>
      </w:pPr>
      <w:hyperlink w:anchor="Illusion10" w:history="1">
        <w:r w:rsidR="004445E0" w:rsidRPr="004445E0">
          <w:rPr>
            <w:rStyle w:val="Lienhypertexte"/>
            <w:rFonts w:ascii="Garamond" w:hAnsi="Garamond"/>
            <w:lang w:val="en-US"/>
          </w:rPr>
          <w:t>X.  Das Verhältnis zwischen Religion und Wissenschaft</w:t>
        </w:r>
      </w:hyperlink>
    </w:p>
    <w:p w:rsidR="004445E0" w:rsidRPr="004445E0" w:rsidRDefault="004445E0" w:rsidP="00941D22">
      <w:pPr>
        <w:pStyle w:val="NormalWeb"/>
        <w:rPr>
          <w:rFonts w:ascii="Garamond" w:hAnsi="Garamond"/>
          <w:sz w:val="22"/>
          <w:szCs w:val="22"/>
          <w:lang w:val="en-US"/>
        </w:rPr>
      </w:pPr>
    </w:p>
    <w:p w:rsidR="00941D22" w:rsidRDefault="00941D22" w:rsidP="00941D22">
      <w:pPr>
        <w:pStyle w:val="NormalWeb"/>
        <w:rPr>
          <w:sz w:val="15"/>
          <w:szCs w:val="15"/>
          <w:lang w:val="en-US"/>
        </w:rPr>
      </w:pPr>
    </w:p>
    <w:p w:rsidR="004445E0" w:rsidRDefault="004445E0">
      <w:pPr>
        <w:rPr>
          <w:rFonts w:ascii="Garamond" w:hAnsi="Garamond"/>
          <w:lang w:val="en-US"/>
        </w:rPr>
      </w:pPr>
      <w:r>
        <w:rPr>
          <w:rFonts w:ascii="Garamond" w:hAnsi="Garamond"/>
          <w:lang w:val="en-US"/>
        </w:rPr>
        <w:br w:type="page"/>
      </w: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I. Ar</w:t>
        </w:r>
        <w:bookmarkStart w:id="47" w:name="Illusion1"/>
        <w:bookmarkEnd w:id="47"/>
        <w:r w:rsidR="00941D22" w:rsidRPr="004445E0">
          <w:rPr>
            <w:rStyle w:val="Lienhypertexte"/>
            <w:rFonts w:ascii="Garamond" w:hAnsi="Garamond"/>
            <w:lang w:val="en-US"/>
          </w:rPr>
          <w:t>beitszwang und Triebverzicht als Fundament der Kultur</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Wenn man eine ganze Weile innerhalb einer bestimmten Kultur gelebt und sich oft darum bemüht hat zu erforschen, wie ihre Ursprünge und der Weg ihrer Entwicklung waren, verspürt man auch einmal die Versuchung, den Blick nach der anderen Richtung zu wenden und die Frage zu stellen, welches fernere Schicksal dieser Kultur bevorsteht und welche Wandlungen durch</w:t>
      </w:r>
      <w:r w:rsidRPr="004445E0">
        <w:rPr>
          <w:rFonts w:ascii="Garamond" w:hAnsi="Garamond"/>
          <w:lang w:val="en-US"/>
        </w:rPr>
        <w:softHyphen/>
        <w:t>zumachen ihr bestimmt ist. Man wird aber bald merken, daß eine solche Untersuchung von vornherein durch mehrere Momente entwertet wird. Vor allem dadurch, daß es nur wenige Personen gibt, die das menschliche Getriebe in all seinen Ausbreitungen überschauen können. Für die meisten ist Beschränkung auf ein einzelnes oder wenige Gebiete notwendig geworden; je weniger aber einer vom Vergangenen und Gegenwärtigen weiß, desto unsicherer muß sein Urteil über das Zukünftige ausfallen. Ferner darum, weil gerade bei diesem Urteil die subjektiven Erwartungen des Einzelnen eine schwer abzuschätzende Rolle spielen; diese zeigen sich aber abhängig von rein persönlichen Momenten seiner eigenen Erfahrung, seiner mehr oder minder hoffnungsvollen Einstellung zum Leben, wie sie ihm durch Tempe</w:t>
      </w:r>
      <w:r w:rsidRPr="004445E0">
        <w:rPr>
          <w:rFonts w:ascii="Garamond" w:hAnsi="Garamond"/>
          <w:lang w:val="en-US"/>
        </w:rPr>
        <w:softHyphen/>
        <w:t>rament, Erfolg oder Mißerfolg vorgeschrieben worden ist. Endlich kommt die merkwürdige Tatsache zur Wirkung, daß die Menschen im allgemeinen ihre Gegenwart wie naiv erleben, ohne deren Inhalte würdigen zu können; sie müssen erst Distanz zu ihr gewinnen, d. h. die Gegenwart muß zur Vergangenheit geworden sein, wenn man aus ihr Anhaltspunkte zur Beurteilung des Zukünftigen gewinnen soll.</w:t>
      </w:r>
    </w:p>
    <w:p w:rsidR="00941D22" w:rsidRPr="004445E0" w:rsidRDefault="00941D22" w:rsidP="004445E0">
      <w:pPr>
        <w:pStyle w:val="Sansinterligne"/>
        <w:rPr>
          <w:rFonts w:ascii="Garamond" w:hAnsi="Garamond"/>
          <w:lang w:val="en-US"/>
        </w:rPr>
      </w:pPr>
      <w:r w:rsidRPr="004445E0">
        <w:rPr>
          <w:rFonts w:ascii="Garamond" w:hAnsi="Garamond"/>
          <w:lang w:val="en-US"/>
        </w:rPr>
        <w:t>Wer also der Versuchung nachgibt, eine Äußerung über die wahrschein</w:t>
      </w:r>
      <w:r w:rsidRPr="004445E0">
        <w:rPr>
          <w:rFonts w:ascii="Garamond" w:hAnsi="Garamond"/>
          <w:lang w:val="en-US"/>
        </w:rPr>
        <w:softHyphen/>
        <w:t>liche Zukunft unserer Kultur von sich zu geben, wird gut daran tun, sich der vorhin angedeuteten Bedenken zu erinnern, ebenso wie der Unsicherheit, die ganz allgemein an jeder Vorhersage haftet. Daraus folgt für mich, daß ich in eiliger Flucht vor der zu großen Aufgabe alsbald das kleine Teilgebiet aufsuchen werde, dem auch bisher meine Aufmerksamkeit gegolten hat, nachdem ich nur seine Stellung im großen Ganzen bestimmt habe.</w:t>
      </w:r>
    </w:p>
    <w:p w:rsidR="00941D22" w:rsidRPr="004445E0" w:rsidRDefault="00941D22" w:rsidP="004445E0">
      <w:pPr>
        <w:pStyle w:val="Sansinterligne"/>
        <w:rPr>
          <w:rFonts w:ascii="Garamond" w:hAnsi="Garamond"/>
          <w:lang w:val="en-US"/>
        </w:rPr>
      </w:pPr>
      <w:r w:rsidRPr="004445E0">
        <w:rPr>
          <w:rFonts w:ascii="Garamond" w:hAnsi="Garamond"/>
          <w:lang w:val="en-US"/>
        </w:rPr>
        <w:t>Die menschliche Kultur — ich meine all das, worin sich das menschliche Leben über seine animalischen Bedingungen erhoben hat und worin es sich vom Leben der Tiere unterscheidet — und ich verschmähe es, Kultur und Zivilisation zu trennen — zeigt dem Beobachter bekanntlich zwei Seiten. Sie umfaßt einerseits all das Wissen und Können, das die Menschen erworben haben, um die Kräfte der Natur zu beherrschen und ihr Güter zur Befriedi</w:t>
      </w:r>
      <w:r w:rsidRPr="004445E0">
        <w:rPr>
          <w:rFonts w:ascii="Garamond" w:hAnsi="Garamond"/>
          <w:lang w:val="en-US"/>
        </w:rPr>
        <w:softHyphen/>
        <w:t>gung der menschlichen Bedürfnisse abzugewinnen, anderseits alle die Einrichtungen, die notwendig sind, um die Beziehungen der Menschen zuein</w:t>
      </w:r>
      <w:r w:rsidRPr="004445E0">
        <w:rPr>
          <w:rFonts w:ascii="Garamond" w:hAnsi="Garamond"/>
          <w:lang w:val="en-US"/>
        </w:rPr>
        <w:softHyphen/>
        <w:t>ander, und besonders die Verteilung der erreichbaren Güter zu regeln. Die beiden Richtungen der Kultur sind nicht unabhängig voneinander, erstens, weil die gegenseitigen Beziehungen der Menschen durch das Maß der Trieb</w:t>
      </w:r>
      <w:r w:rsidRPr="004445E0">
        <w:rPr>
          <w:rFonts w:ascii="Garamond" w:hAnsi="Garamond"/>
          <w:lang w:val="en-US"/>
        </w:rPr>
        <w:softHyphen/>
        <w:t>befriedigung, das die vorhandenen Güter ermöglichen, tiefgreifend beeinflußt werden, zweitens, weil der einzelne Mensch selbst zu einem anderen in die Beziehung eines Gutes treten kann, insofern dieser seine Arbeitskraft benützt oder ihn zum Sexualobjekt nimmt, drittens aber, weil jeder Einzelne virtuell ein Feind der Kultur ist, die doch ein allgemeinmenschliches Interesse sein soll. Es ist merkwürdig, daß die Menschen, so wenig sie auch in der Vereinzelung existieren können, doch die Opfer, welche ihnen von der Kultur zugemutet werden, um ein Zusammenleben zu ermöglichen, als schwer drückend empfinden. Die Kultur muß also gegen den Einzelnen verteidigt werden, und ihre Einrichtungen, Institutionen und Gebote stellen sich in den Dienst dieser Aufgabe; sie bezwecken nicht nur, eine gewisse Güter</w:t>
      </w:r>
      <w:r w:rsidRPr="004445E0">
        <w:rPr>
          <w:rFonts w:ascii="Garamond" w:hAnsi="Garamond"/>
          <w:lang w:val="en-US"/>
        </w:rPr>
        <w:softHyphen/>
        <w:t>verteilung herzustellen, sondern auch diese aufrechtzuhalten, ja sie müssen gegen die feindseligen Regungen der Menschen all das beschützen, was der Bezwingung der Natur und der Erzeugung von Gütern dient. Menschliche Schöpfungen sind leicht zu zerstören, und Wissenschaft und Technik, die sie aufgebaut haben, können auch zu ihrer Vernichtung verwendet werden.</w:t>
      </w:r>
    </w:p>
    <w:p w:rsidR="00941D22" w:rsidRPr="004445E0" w:rsidRDefault="00941D22" w:rsidP="004445E0">
      <w:pPr>
        <w:pStyle w:val="Sansinterligne"/>
        <w:rPr>
          <w:rFonts w:ascii="Garamond" w:hAnsi="Garamond"/>
          <w:lang w:val="en-US"/>
        </w:rPr>
      </w:pPr>
      <w:r w:rsidRPr="004445E0">
        <w:rPr>
          <w:rFonts w:ascii="Garamond" w:hAnsi="Garamond"/>
          <w:lang w:val="en-US"/>
        </w:rPr>
        <w:t>So bekommt man den Eindruck, daß die Kultur etwas ist, was einer wider</w:t>
      </w:r>
      <w:r w:rsidRPr="004445E0">
        <w:rPr>
          <w:rFonts w:ascii="Garamond" w:hAnsi="Garamond"/>
          <w:lang w:val="en-US"/>
        </w:rPr>
        <w:softHyphen/>
        <w:t xml:space="preserve">strebenden Mehrheit von einer Minderzahl auferlegt wurde, die es verstanden hat, sich in den Besitz von Macht- und Zwangsmitteln zu setzen. Es liegt natürlich nahe anzunehmen, daß diese Schwierigkeiten nicht am Wesen der Kultur selbst haften, sondern von den Unvollkommenheiten der Kulturformen bedingt werden, die bis jetzt entwickelt worden sind. In der Tat ist es nicht schwer, diese Mängel aufzuzeigen. Während die Menschheit in der Beherrschung der Natur ständige Fortschritte gemacht hat und noch größere erwarten darf, ist ein ähnlicher Fortschritt in der Regelung der menschlichen Angelegenheiten nicht sicher festzustellen, und wahrscheinlich zu jeder Zeit, wie auch jetzt wieder, haben sich viele Menschen gefragt, ob denn dieses Stück des Kulturerwerbs überhaupt der Verteidigung wert ist. Man sollte meinen, es müßte eine Neuregelung der menschlichen Beziehungen möglich sein, welche die Quellen der Unzufriedenheit mit der Kultur versagen macht, indem sie auf den Zwang und die Triebunterdrückung verzichtet, so daß die Menschen sich ungestört durch inneren Zwist der Erwerbung von Gütern und dem Genuß derselben hingeben könnten. Das wäre das Goldene Zeitalter, allein es fragt sich, ob ein solcher Zustand zu </w:t>
      </w:r>
      <w:r w:rsidRPr="004445E0">
        <w:rPr>
          <w:rFonts w:ascii="Garamond" w:hAnsi="Garamond"/>
          <w:lang w:val="en-US"/>
        </w:rPr>
        <w:lastRenderedPageBreak/>
        <w:t>verwirklichen ist. Es scheint vielmehr, daß sich jede Kultur auf Zwang und Triebverzicht aufbauen muß; es scheint nicht einmal gesichert, daß beim Aufhören des Zwanges die Mehrzahl der menschlichen Individuen bereit sein wird, die Arbeitsleistung auf sich zu nehmen, deren es zur Gewinnung neuer Lebensgüter bedarf. Man hat, meine ich, mit der Tatsache zu rechnen, daß bei allen Menschen destruktive, also antisoziale und antikulturelle Tendenzen vorhanden sind und daß diese bei einer großen Anzahl von Personen stark genug sind, um ihr Verhalten in der menschlichen Gesellschaft zu bestimmen.</w:t>
      </w:r>
    </w:p>
    <w:p w:rsidR="00941D22" w:rsidRPr="004445E0" w:rsidRDefault="00941D22" w:rsidP="004445E0">
      <w:pPr>
        <w:pStyle w:val="Sansinterligne"/>
        <w:rPr>
          <w:rFonts w:ascii="Garamond" w:hAnsi="Garamond"/>
          <w:lang w:val="en-US"/>
        </w:rPr>
      </w:pPr>
      <w:r w:rsidRPr="004445E0">
        <w:rPr>
          <w:rFonts w:ascii="Garamond" w:hAnsi="Garamond"/>
        </w:rPr>
        <w:t>Dieser psychologischen Tatsache kommt eine entscheidende Bedeutung für die Beurteilung der menschlichen Kultur zu. Konnte man zunächst meinen, das Wesentliche an dieser sei die Beherrschung der Natur zur Gewinnung von Lebensgütern und die ihr drohenden Gefahren ließen sich durch eine zweckmäßige Verteilung derselben unter den Menschen beseitigen, so scheint jetzt das Schwergewicht vom Materiellen weg aufs Seelische verlegt. Es wird entscheidend, ob und inwieweit es gelingt, die Last der den Menschen auferlegten Triebopfer zu verringern, sie mit den notwendig ver</w:t>
      </w:r>
      <w:r w:rsidRPr="004445E0">
        <w:rPr>
          <w:rFonts w:ascii="Garamond" w:hAnsi="Garamond"/>
        </w:rPr>
        <w:softHyphen/>
        <w:t xml:space="preserve">bleibenden zu versöhnen und dafür zu entschädigen. Ebensowenig wie den Zwang zur Kulturarbeit, kann man die Beherrschung der Masse durch eine Minderzahl entbehren, denn die Massen sind träge und einsichtslos, sie lieben den Triebverzicht nicht, sind durch Argumente nicht von dessen Unvermeidlichkeit zu überzeugen, und ihre Individuen bestärken einander im Gewährenlassen ihrer Zügellosigkeit. </w:t>
      </w:r>
      <w:r w:rsidRPr="004445E0">
        <w:rPr>
          <w:rFonts w:ascii="Garamond" w:hAnsi="Garamond"/>
          <w:lang w:val="en-US"/>
        </w:rPr>
        <w:t>Nur durch den Einfluß vorbildlicher Individuen, die sie als ihre Führer anerkennen, sind sie zu den Arbeitsleistun</w:t>
      </w:r>
      <w:r w:rsidRPr="004445E0">
        <w:rPr>
          <w:rFonts w:ascii="Garamond" w:hAnsi="Garamond"/>
          <w:lang w:val="en-US"/>
        </w:rPr>
        <w:softHyphen/>
        <w:t>gen und Entsagungen zu bewegen, auf welche der Bestand der Kultur ange</w:t>
      </w:r>
      <w:r w:rsidRPr="004445E0">
        <w:rPr>
          <w:rFonts w:ascii="Garamond" w:hAnsi="Garamond"/>
          <w:lang w:val="en-US"/>
        </w:rPr>
        <w:softHyphen/>
        <w:t>wiesen ist. Es ist alles gut, wenn diese Führer Personen von überlegener Einsicht in die Notwendigkeiten des Lebens sind, die sich zur Beherrschung ihrer eigenen Triebwünsche aufgeschwungen haben. Aber es besteht für sie die Gefahr, daß sie, um ihren Einfluß nicht zu verlieren, der Masse mehr nachgeben als diese ihnen, und darum erscheint es notwendig, daß sie durch Verfügung über Machtmittel von der Masse unabhängig seien. Um es kurz zu fassen, es sind zwei weitverbreitete Eigenschaften der Menschen, die es verschulden, daß die kulturellen Einrichtungen nur durch ein gewisses Maß von Zwang gehalten werden können, nämlich, daß sie spontan nicht arbeits</w:t>
      </w:r>
      <w:r w:rsidRPr="004445E0">
        <w:rPr>
          <w:rFonts w:ascii="Garamond" w:hAnsi="Garamond"/>
          <w:lang w:val="en-US"/>
        </w:rPr>
        <w:softHyphen/>
        <w:t>lustig sind und daß Argumente nichts gegen ihre Leidenschaften vermögen.</w:t>
      </w:r>
    </w:p>
    <w:p w:rsidR="00941D22" w:rsidRPr="004445E0" w:rsidRDefault="00941D22" w:rsidP="004445E0">
      <w:pPr>
        <w:pStyle w:val="Sansinterligne"/>
        <w:rPr>
          <w:rFonts w:ascii="Garamond" w:hAnsi="Garamond"/>
          <w:lang w:val="en-US"/>
        </w:rPr>
      </w:pPr>
      <w:r w:rsidRPr="004445E0">
        <w:rPr>
          <w:rFonts w:ascii="Garamond" w:hAnsi="Garamond"/>
          <w:lang w:val="en-US"/>
        </w:rPr>
        <w:t>Ich weiß, was man gegen diese Ausführungen einwenden wird. Man wird sagen, der hier geschilderte Charakter der Menschenmassen, der die Unerläßlichkeit des Zwanges zur Kulturarbeit beweisen soll, ist selbst nur die Folge fehlerhafter kultureller Einrichtungen, durch die die Menschen erbittert, rachsüchtig, unzugänglich geworden sind. Neue Generationen, liebevoll und zur Hochschätzung des Denkens erzogen, die frühzeitig die Wohltaten der Kultur erfahren haben, werden auch ein anderes Verhältnis zu ihr haben, sie als ihr eigenstes Besitztum empfinden, bereit sein, die Opfer an Arbeit und Triebbefriedigung für sie zu bringen, deren es zu ihrer Erhaltung bedarf. Sie werden den Zwang entbehren können und sich wenig von ihren Führern unterscheiden. Wenn es menschliche Massen von solcher Qualität bisher in keiner Kultur gegeben hat, so kommt es daher, daß keine Kultur noch die Einrichtungen getroffen hatte, um die Menschen in solcher Weise, und zwar von Kindheit an, zu beeinflussen.</w:t>
      </w:r>
    </w:p>
    <w:p w:rsidR="00941D22" w:rsidRPr="004445E0" w:rsidRDefault="00941D22" w:rsidP="004445E0">
      <w:pPr>
        <w:pStyle w:val="Sansinterligne"/>
        <w:rPr>
          <w:rFonts w:ascii="Garamond" w:hAnsi="Garamond"/>
          <w:lang w:val="en-US"/>
        </w:rPr>
      </w:pPr>
      <w:r w:rsidRPr="004445E0">
        <w:rPr>
          <w:rFonts w:ascii="Garamond" w:hAnsi="Garamond"/>
          <w:lang w:val="en-US"/>
        </w:rPr>
        <w:t>Man kann daran zweifeln, ob es überhaupt oder jetzt schon, beim gegen</w:t>
      </w:r>
      <w:r w:rsidRPr="004445E0">
        <w:rPr>
          <w:rFonts w:ascii="Garamond" w:hAnsi="Garamond"/>
          <w:lang w:val="en-US"/>
        </w:rPr>
        <w:softHyphen/>
        <w:t>wärtigen Stand unserer Naturbeherrschung möglich ist, solche kulturelle Einrichtungen herzustellen, man kann die Frage aufwerfen, woher die Anzahl überlegener, unbeirrbarer und uneigennütziger Führer kommen soll, die als Erzieher der künftigen Generationen wirken müssen, man kann vor dem ungeheuerlichen Aufwand an Zwang erschrecken, der bis zur Durchführung dieser Absichten unvermeidlich sein wird. Die Großartigkeit dieses Planes, seine Bedeutsamkeit für die Zukunft der menschlichen Kultur wird man nicht bestreiten können. Er ruht sicher auf der psychologischen Einsicht, daß der Mensch mit den mannigfaltigsten Triebanlagen ausgestattet ist, denen die frühen Kindheitserlebnisse die endgültige Richtung anweisen. Die Schranken der Erziehbarkeit des Menschen setzen darum auch der Wirksamkeit einer solchen Kulturveränderung ihre Grenze. Man mag es bezweifeln, ob und in welchem Ausmaß ein anderes Kulturmilieu die beiden Eigenschaften mensch</w:t>
      </w:r>
      <w:r w:rsidRPr="004445E0">
        <w:rPr>
          <w:rFonts w:ascii="Garamond" w:hAnsi="Garamond"/>
          <w:lang w:val="en-US"/>
        </w:rPr>
        <w:softHyphen/>
        <w:t>licher Massen, die die Führung der menschlichen Angelegenheiten so sehr erschweren, auslöschen kann. Das Experiment ist noch nicht gemacht worden. Wahrscheinlich wird ein gewisser Prozentsatz der Menschheit — infolge krankhafter Anlage oder übergroßer Triebstärke — immer asozial bleiben, aber wenn man es nur zustande bringt, die kulturfeindliche Mehrheit von heute zu einer Minderheit herabzudrücken, hat man sehr viel erreicht, vielleicht alles, was sich erreichen läßt.</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Ich möchte nicht den Eindruck erwecken, daß ich mich weit weg von dem vorgezeichneten Weg meiner Untersuchung verirrt habe. Ich will darum ausdrücklich versichern, daß es mir ferneliegt, das große Kulturexperiment zu beurteilen, das gegenwärtig in dem weiten Land zwischen Europa und Asien angestellt wird. Ich habe weder die Sachkenntnis noch die Fähigkeit, über dessen Ausführbarkeit zu entscheiden, die Zweckmäßigkeit der angewandten Methoden zu prüfen oder die Weite der </w:t>
      </w:r>
      <w:r w:rsidRPr="004445E0">
        <w:rPr>
          <w:rFonts w:ascii="Garamond" w:hAnsi="Garamond"/>
          <w:lang w:val="en-US"/>
        </w:rPr>
        <w:lastRenderedPageBreak/>
        <w:t>unvermeidlichen Kluft zwischen Absicht und Durchführung zu messen. Was dort vorbereitet wird, entzieht sich als unfertig einer Betrachtung, zu der unsere längst konsolidierte Kultur den Stoff bietet.</w:t>
      </w:r>
    </w:p>
    <w:p w:rsidR="00941D22" w:rsidRPr="004445E0" w:rsidRDefault="00941D22" w:rsidP="004445E0">
      <w:pPr>
        <w:pStyle w:val="Sansinterligne"/>
        <w:rPr>
          <w:rFonts w:ascii="Garamond" w:eastAsia="Times New Roman" w:hAnsi="Garamond" w:cs="Times New Roman"/>
          <w:lang w:val="en-US" w:eastAsia="fr-FR"/>
        </w:rPr>
      </w:pPr>
      <w:r w:rsidRPr="004445E0">
        <w:rPr>
          <w:rFonts w:ascii="Garamond" w:hAnsi="Garamond"/>
          <w:lang w:val="en-US"/>
        </w:rPr>
        <w:br w:type="page"/>
      </w: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 xml:space="preserve">II. </w:t>
        </w:r>
        <w:r w:rsidR="004445E0" w:rsidRPr="004445E0">
          <w:rPr>
            <w:rStyle w:val="Lienhypertexte"/>
            <w:rFonts w:ascii="Garamond" w:hAnsi="Garamond"/>
            <w:lang w:val="en-US"/>
          </w:rPr>
          <w:t xml:space="preserve"> </w:t>
        </w:r>
        <w:r w:rsidR="00941D22" w:rsidRPr="004445E0">
          <w:rPr>
            <w:rStyle w:val="Lienhypertexte"/>
            <w:rFonts w:ascii="Garamond" w:hAnsi="Garamond"/>
            <w:lang w:val="en-US"/>
          </w:rPr>
          <w:t>Ve</w:t>
        </w:r>
        <w:bookmarkStart w:id="48" w:name="Illusion2"/>
        <w:bookmarkEnd w:id="48"/>
        <w:r w:rsidR="00941D22" w:rsidRPr="004445E0">
          <w:rPr>
            <w:rStyle w:val="Lienhypertexte"/>
            <w:rFonts w:ascii="Garamond" w:hAnsi="Garamond"/>
            <w:lang w:val="en-US"/>
          </w:rPr>
          <w:t>rsagung der Triebwünsche, Verbot und Entbehrung. Kulturelle Ersatzbefriedigungen</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Wir sind unversehens aus dem ökonomischen ins Psychologische hinüber</w:t>
      </w:r>
      <w:r w:rsidRPr="004445E0">
        <w:rPr>
          <w:rFonts w:ascii="Garamond" w:hAnsi="Garamond"/>
          <w:lang w:val="en-US"/>
        </w:rPr>
        <w:softHyphen/>
        <w:t>geglitten. Anfangs waren wir versucht, den Kulturbesitz in den vorhandenen Gütern und den Einrichtungen zu ihrer Verteilung zu suchen. Mit der Erkennt</w:t>
      </w:r>
      <w:r w:rsidRPr="004445E0">
        <w:rPr>
          <w:rFonts w:ascii="Garamond" w:hAnsi="Garamond"/>
          <w:lang w:val="en-US"/>
        </w:rPr>
        <w:softHyphen/>
        <w:t>nis, daß jede Kultur auf Arbeitszwang und Triebverzicht beruht und darum unvermeidlich eine Opposition bei den von diesen Anforderungen Betroffenen hervorruft, wurde es klar, daß die Güter selbst, die Mittel zu ihrer Gewinnung und Anordnungen zu ihrer Verteilung nicht das Wesentliche oder das Alleinige der Kultur sein können. Denn sie sind durch die Auflehnung und Zerstörungssucht der Kulturteilhaber bedroht. Neben die Güter treten jetzt die Mittel, die dazu dienen können, die Kultur zu verteidigen, die Zwangsmittel und andere, denen es gelingen soll, die Menschen mit ihr auszusöhnen und für ihre Opfer zu entschädigen. Letztere können aber als der seelische Besitz der Kultur beschrieben werden.</w:t>
      </w:r>
    </w:p>
    <w:p w:rsidR="00941D22" w:rsidRPr="004445E0" w:rsidRDefault="00941D22" w:rsidP="004445E0">
      <w:pPr>
        <w:pStyle w:val="Sansinterligne"/>
        <w:rPr>
          <w:rFonts w:ascii="Garamond" w:hAnsi="Garamond"/>
          <w:lang w:val="en-US"/>
        </w:rPr>
      </w:pPr>
      <w:r w:rsidRPr="004445E0">
        <w:rPr>
          <w:rFonts w:ascii="Garamond" w:hAnsi="Garamond"/>
          <w:lang w:val="en-US"/>
        </w:rPr>
        <w:t>Einer gleichförmigen Ausdrucksweise zuliebe wollen wir die Tatsache, daß ein Trieb nicht befriedigt werden kann, Versagung, die Einrichtung, die diese Versagung festlegt, Verbot, und den Zustand, den das Verbot herbeiführt, Entbehrung nennen. Dann ist der nächste Schritt, zwischen Entbehrungen zu unterscheiden, die alle betreffen, und solchen, die nicht alle betreffen, bloß Gruppen, Klassen oder selbst Einzelne. Die ersteren sind die ältesten: mit den Verboten, die sie einsetzen, hat die Kultur die Ablösung vom animali</w:t>
      </w:r>
      <w:r w:rsidRPr="004445E0">
        <w:rPr>
          <w:rFonts w:ascii="Garamond" w:hAnsi="Garamond"/>
          <w:lang w:val="en-US"/>
        </w:rPr>
        <w:softHyphen/>
        <w:t xml:space="preserve">schen Urzustand begonnen, vor unbekannt wie vielen Tausenden von Jahren. Zu unserer Überraschung fanden wir, daß sie noch immer wirksam sind, noch immer den Kern der Kulturfeindseligkeit bilden. Die Triebwünsche, die unter ihnen leiden, werden mit jedem Kind von neuem geboren; es gibt eine Klasse von Menschen, die Neurotiker, die bereits auf diese Versagungen mit Asozialität reagieren. </w:t>
      </w:r>
      <w:r w:rsidRPr="004445E0">
        <w:rPr>
          <w:rFonts w:ascii="Garamond" w:hAnsi="Garamond"/>
        </w:rPr>
        <w:t xml:space="preserve">Solche Triebwünsche sind die des Inzests, des Kannibalismus und der Mordlust. </w:t>
      </w:r>
      <w:r w:rsidRPr="004445E0">
        <w:rPr>
          <w:rFonts w:ascii="Garamond" w:hAnsi="Garamond"/>
          <w:lang w:val="en-US"/>
        </w:rPr>
        <w:t>Es klingt sonderbar, wenn man sie, in deren Verwerfung alle Menschen einig scheinen, mit jenen anderen zusammen</w:t>
      </w:r>
      <w:r w:rsidRPr="004445E0">
        <w:rPr>
          <w:rFonts w:ascii="Garamond" w:hAnsi="Garamond"/>
          <w:lang w:val="en-US"/>
        </w:rPr>
        <w:softHyphen/>
        <w:t>stellt, um deren Gewährung oder Versagung in unserer Kultur so lebhaft gekämpft wird, aber psychologisch ist man dazu berechtigt. Auch ist das kulturelle Verhalten gegen diese ältesten Triebwünsche keineswegs das gleiche, nur der Kannibalismus erscheint allen verpönt und der nicht analytischen Betrachtung völlig überwunden, die Stärke der Inzestwünsche vermögen wir noch hinter dem Verbot zu verspüren, und der Mord wird von unserer Kultur unter bestimmten Bedingungen noch geübt, ja geboten. Möglicherweise stehen uns Entwicklungen der Kultur bevor, in denen noch andere, heute durchaus mögliche Wunschbefriedigungen ebenso unannehm</w:t>
      </w:r>
      <w:r w:rsidRPr="004445E0">
        <w:rPr>
          <w:rFonts w:ascii="Garamond" w:hAnsi="Garamond"/>
          <w:lang w:val="en-US"/>
        </w:rPr>
        <w:softHyphen/>
        <w:t>bar erscheinen werden wie jetzt die des Kannibalismus.</w:t>
      </w:r>
    </w:p>
    <w:p w:rsidR="00941D22" w:rsidRPr="004445E0" w:rsidRDefault="00941D22" w:rsidP="004445E0">
      <w:pPr>
        <w:pStyle w:val="Sansinterligne"/>
        <w:rPr>
          <w:rFonts w:ascii="Garamond" w:hAnsi="Garamond"/>
          <w:lang w:val="en-US"/>
        </w:rPr>
      </w:pPr>
      <w:r w:rsidRPr="004445E0">
        <w:rPr>
          <w:rFonts w:ascii="Garamond" w:hAnsi="Garamond"/>
          <w:lang w:val="en-US"/>
        </w:rPr>
        <w:t>Schon bei diesen ältesten Triebverzichten kommt ein psychologischer Faktor in Betracht, der auch für alle weiteren bedeutungsvoll bleibt. Es ist nicht richtig, daß die menschliche Seele seit den ältesten Zeiten keine Entwicklung durchgemacht hat und im Gegensatz zu den Fortschritten der Wissenschaft und der Technik heute noch dieselbe ist wie zu Anfang der Geschichte. Einen dieser seelischen Fortschritte können wir hier nachweisen. Es liegt in der Richtung unserer Entwicklung, daß äußerer Zwang allmählich verinnerlicht wird, indem eine besondere seelische Instanz, das Über-Ich des Menschen, ihn unter seine Gebote aufnimmt. Jedes Kind führt uns den Vorgang einer solchen Umwandlung vor, wird erst durch sie moralisch und sozial. Diese Erstarkung des Über-Ichs ist ein höchst wertvoller psycholo</w:t>
      </w:r>
      <w:r w:rsidRPr="004445E0">
        <w:rPr>
          <w:rFonts w:ascii="Garamond" w:hAnsi="Garamond"/>
          <w:lang w:val="en-US"/>
        </w:rPr>
        <w:softHyphen/>
        <w:t>gischer Kulturbesitz. Die Personen, bei denen sie sich vollzogen hat, werden aus Kulturgegnern zu Kulturträgern. Je größer ihre Anzahl in einem Kulturkreis ist, desto gesicherter ist diese Kultur, desto eher kann sie der äußeren Zwangsmittel entbehren. Das Maß dieser Verinnerlichung ist nun für die einzelnen Triebverbote sehr verschieden. Für die erwähnten ältesten Kulturforderungen scheint die Verinnerlichung, wenn wir die unerwünschte Ausnahme der Neurotiker beiseite lassen, weitgehend erreicht. Dies Verhältnis ändert sich, wenn man sich zu den anderen Triebanforderungen wendet. Man merkt dann mit Überraschung und Besorgnis, daß eine Überzahl von Menschen den diesbezüglichen Kulturverboten nur unter dem Druck des äußeren Zwanges gehorcht, also nur dort, wo er sich geltend machen kann und solange er zu befürchten ist. Dies trifft auch auf jene sogenannt moralischen Kulturforderungen zu, die in gleicher Weise für alle bestimmt sind. Das meiste, was man von der moralischen Unzuverlässigkeit der Menschen erfährt, gehört hieher. Unendlich viele Kulturmenschen, die vor Mord oder Inzest zurückschrecken würden, versagen sich nicht die Befriedigung ihrer Habgier, ihrer Aggressionslust, ihrer sexuellen Gelüste, unterlassen es nicht, den anderen durch Lüge, Betrug, Verleumdung zu schädigen, wenn sie dabei straflos bleiben können, und das war wohl seit vielen kulturellen Zeitaltern immer ebenso.</w:t>
      </w:r>
    </w:p>
    <w:p w:rsidR="00941D22" w:rsidRPr="004445E0" w:rsidRDefault="00941D22" w:rsidP="004445E0">
      <w:pPr>
        <w:pStyle w:val="Sansinterligne"/>
        <w:rPr>
          <w:rFonts w:ascii="Garamond" w:hAnsi="Garamond"/>
          <w:lang w:val="en-US"/>
        </w:rPr>
      </w:pPr>
      <w:r w:rsidRPr="004445E0">
        <w:rPr>
          <w:rFonts w:ascii="Garamond" w:hAnsi="Garamond"/>
          <w:lang w:val="en-US"/>
        </w:rPr>
        <w:t>Bei den Einschränkungen, die sich nur auf bestimmte Klassen der Gesell</w:t>
      </w:r>
      <w:r w:rsidRPr="004445E0">
        <w:rPr>
          <w:rFonts w:ascii="Garamond" w:hAnsi="Garamond"/>
          <w:lang w:val="en-US"/>
        </w:rPr>
        <w:softHyphen/>
        <w:t>schaft beziehen, trifft man auf grobe und auch niemals verkannte Verhält</w:t>
      </w:r>
      <w:r w:rsidRPr="004445E0">
        <w:rPr>
          <w:rFonts w:ascii="Garamond" w:hAnsi="Garamond"/>
          <w:lang w:val="en-US"/>
        </w:rPr>
        <w:softHyphen/>
        <w:t xml:space="preserve">nisse. Es steht zu erwarten, daß diese zurückgesetzten Klassen den Bevorzugten ihre Vorrechte beneiden und alles tun werden, um ihr eigenes Mehr von Entbehrung </w:t>
      </w:r>
      <w:r w:rsidRPr="004445E0">
        <w:rPr>
          <w:rFonts w:ascii="Garamond" w:hAnsi="Garamond"/>
          <w:lang w:val="en-US"/>
        </w:rPr>
        <w:lastRenderedPageBreak/>
        <w:t>loszuwerden. Wo dies nicht möglich ist, wird sich ein dauerndes Maß von Unzufriedenheit innerhalb dieser Kultur behaupten, das zu gefährlichen Auflehnungen führen mag. Wenn aber eine Kultur es nicht darüber hinaus gebracht hat, daß die Befriedigung einer Anzahl von Teilnehmern die Unterdrückung einer anderen, vielleicht der Mehrzahl, zur Voraussetzung hat, und dies ist bei allen gegenwärtigen Kulturen der Fall, so ist es begreiflich, daß diese Unterdrückten eine intensive Feindseligkeit gegen die Kultur entwickeln, die sie durch ihre Arbeit ermöglichen, an deren Gütern sie aber einen zu geringen Anteil haben. Eine Verinnerlichung der Kulturverbote darf man dann bei den Unterdrückten nicht erwarten, diesel</w:t>
      </w:r>
      <w:r w:rsidRPr="004445E0">
        <w:rPr>
          <w:rFonts w:ascii="Garamond" w:hAnsi="Garamond"/>
          <w:lang w:val="en-US"/>
        </w:rPr>
        <w:softHyphen/>
        <w:t>ben sind vielmehr nicht bereit, diese Verbote anzuerkennen, bestrebt, die Kultur selbst zu zerstören, eventuell selbst ihre Voraussetzungen aufzu</w:t>
      </w:r>
      <w:r w:rsidRPr="004445E0">
        <w:rPr>
          <w:rFonts w:ascii="Garamond" w:hAnsi="Garamond"/>
          <w:lang w:val="en-US"/>
        </w:rPr>
        <w:softHyphen/>
        <w:t>heben. Die Kulturfeindschaft dieser Klassen ist so offenkundig, daß man über sie die eher latente Feindseligkeit der besser beteilten Gesellschafts</w:t>
      </w:r>
      <w:r w:rsidRPr="004445E0">
        <w:rPr>
          <w:rFonts w:ascii="Garamond" w:hAnsi="Garamond"/>
          <w:lang w:val="en-US"/>
        </w:rPr>
        <w:softHyphen/>
        <w:t>schichten übersehen hat. Es braucht nicht gesagt zu werden, daß eine Kultur, welche eine so große Zahl von Teilnehmern unbefriedigt läßt und zur Auflehnung treibt, weder Aussicht hat, sich dauernd zu erhalten, noch es verdient.</w:t>
      </w:r>
    </w:p>
    <w:p w:rsidR="00941D22" w:rsidRPr="004445E0" w:rsidRDefault="00941D22" w:rsidP="004445E0">
      <w:pPr>
        <w:pStyle w:val="Sansinterligne"/>
        <w:rPr>
          <w:rFonts w:ascii="Garamond" w:hAnsi="Garamond"/>
          <w:lang w:val="en-US"/>
        </w:rPr>
      </w:pPr>
      <w:r w:rsidRPr="004445E0">
        <w:rPr>
          <w:rFonts w:ascii="Garamond" w:hAnsi="Garamond"/>
          <w:lang w:val="en-US"/>
        </w:rPr>
        <w:t>Das Maß von Verinnerlichung der Kulturvorschriften — populär und un</w:t>
      </w:r>
      <w:r w:rsidRPr="004445E0">
        <w:rPr>
          <w:rFonts w:ascii="Garamond" w:hAnsi="Garamond"/>
          <w:lang w:val="en-US"/>
        </w:rPr>
        <w:softHyphen/>
        <w:t>psychologisch ausgedrückt: das moralische Niveau der Teilnehmer — ist nicht das einzige seelische Gut, das für die Würdigung einer Kultur in Betracht kommt. Daneben steht ihr Besitz an Idealen und an Kunstschöpfungen, d. h. die Befriedigungen, die aus beiden gewonnen werden.</w:t>
      </w:r>
    </w:p>
    <w:p w:rsidR="00941D22" w:rsidRPr="004445E0" w:rsidRDefault="00941D22" w:rsidP="004445E0">
      <w:pPr>
        <w:pStyle w:val="Sansinterligne"/>
        <w:rPr>
          <w:rFonts w:ascii="Garamond" w:hAnsi="Garamond"/>
          <w:lang w:val="en-US"/>
        </w:rPr>
      </w:pPr>
      <w:r w:rsidRPr="004445E0">
        <w:rPr>
          <w:rFonts w:ascii="Garamond" w:hAnsi="Garamond"/>
          <w:lang w:val="en-US"/>
        </w:rPr>
        <w:t>Man wird nur allzuleicht geneigt sein, die Ideale einer Kultur, d. h. die Wertungen, welches die höchststehenden und am meisten anzustrebenden Leistungen seien, unter deren psychische Besitztümer aufzunehmen. Zunächst scheint es, als ob diese Ideale die Leistungen des Kulturkreises bestimmen würden; der wirkliche Hergang dürfte aber der sein, daß sich die Ideale nach den ersten Leistungen bilden, welche das Zusammenwirken von innerer Begabung und äußeren Verhältnissen einer Kultur ermöglicht, und daß diese ersten Leistungen nun vom Ideal zur Fortführung festgehalten werden. Die Befriedigung, die das Ideal den Kulturteilnehmern schenkt, ist also narzißtischer Natur, sie ruht auf dem Stolz auf die bereits geglückte Leistung. Zu ihrer Vervollständigung bedarf sie des Vergleichs mit anderen Kulturen, die sich auf andere Leistungen geworfen und andere Ideale entwickelt haben. Kraft dieser Differenzen spricht sich jede Kultur das Recht zu, die andere geringzuschätzen. Auf solche Weise werden die Kulturideale Anlaß zur Entzweiung und Verfeindung zwischen verschiedenen Kultur</w:t>
      </w:r>
      <w:r w:rsidRPr="004445E0">
        <w:rPr>
          <w:rFonts w:ascii="Garamond" w:hAnsi="Garamond"/>
          <w:lang w:val="en-US"/>
        </w:rPr>
        <w:softHyphen/>
        <w:t>kreisen, wie es unter Nationen am deutlichsten wird.</w:t>
      </w:r>
    </w:p>
    <w:p w:rsidR="00941D22" w:rsidRPr="004445E0" w:rsidRDefault="00941D22" w:rsidP="004445E0">
      <w:pPr>
        <w:pStyle w:val="Sansinterligne"/>
        <w:rPr>
          <w:rFonts w:ascii="Garamond" w:hAnsi="Garamond"/>
          <w:lang w:val="en-US"/>
        </w:rPr>
      </w:pPr>
      <w:r w:rsidRPr="004445E0">
        <w:rPr>
          <w:rFonts w:ascii="Garamond" w:hAnsi="Garamond"/>
          <w:lang w:val="en-US"/>
        </w:rPr>
        <w:t>Die narzißtische Befriedigung aus dem Kulturideal gehört auch zu jenen Mächten, die der Kulturfeindschaft innerhalb des Kulturkreises erfolgreich entgegenwirken. Nicht nur die bevorzugten Klassen, welche die Wohltaten dieser Kultur genießen, sondern auch die Unterdrückten können an ihr Anteil haben, indem die Berechtigung, die Außenstehenden zu verachten, sie für die Beeinträchtigung in ihrem eigenen Kreis entschädigt. Man ist zwar ein elender, von Schulden und Kriegsdiensten geplagter Plebejer, aber dafür ist man Römer, hat seinen Anteil an der Aufgabe, andere Nationen zu beherrschen und ihnen Gesetze vorzuschreiben. Diese Identifizierung der Unterdrückten mit der sie beherrschenden und ausbeutenden Klasse ist aber nur ein Stück eines größeren Zusammenhanges. Anderseits können jene affektiv an diese gebunden sein, trotz der Feindseligkeit ihre Ideale in ihren Herren erblicken. Wenn nicht solche im Grunde befriedigende Beziehungen bestünden, bliebe es unverständlich, daß so manche Kulturen sich trotz berechtigter Feindseligkeit großer Menschenmassen so lange Zeit erhalten haben.</w:t>
      </w:r>
    </w:p>
    <w:p w:rsidR="00941D22" w:rsidRPr="004445E0" w:rsidRDefault="00941D22" w:rsidP="004445E0">
      <w:pPr>
        <w:pStyle w:val="Sansinterligne"/>
        <w:rPr>
          <w:rFonts w:ascii="Garamond" w:hAnsi="Garamond"/>
          <w:lang w:val="en-US"/>
        </w:rPr>
      </w:pPr>
      <w:r w:rsidRPr="004445E0">
        <w:rPr>
          <w:rFonts w:ascii="Garamond" w:hAnsi="Garamond"/>
          <w:lang w:val="en-US"/>
        </w:rPr>
        <w:t>Von anderer Art ist die Befriedigung, welche die Kunst den Teilhabern an einem Kulturkreis gewährt, obwohl diese in der Regel den Massen, die durch erschöpfende Arbeit in Anspruch genommen sind und keine persönliche Erziehung genossen haben, unzugänglich bleibt. Die Kunst bietet, wie wir längst gelernt haben, Ersatzbefriedigungen für die ältesten, immer noch am tiefsten empfundenen Kulturverzichte und wirkt darum wie nichts anderes aussöhnend mit den für sie gebrachten Opfern. Anderseits heben ihre Schöpfungen die Identifizierungsgefühle, deren jeder Kulturkreis so sehr bedarf, durch den Anlaß zu gemeinsam erlebten, hocheingeschätzten Empfindungen; sie dienen aber auch der narzißtischen Befriedigung, wenn sie die Leistungen der besonderen Kultur darstellen, in eindrucksvoller Art an ihre Ideale mahnen. Das vielleicht bedeutsamste Stück des psychischen Inventars einer Kultur hat noch keine Erwähnung gefunden. Es sind ihre im weitesten Sinn religiösen Vorstellungen, mit anderen, später zu rechtfertigenden Worten, ihre Illusionen.</w:t>
      </w:r>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p>
    <w:p w:rsidR="009C0B0A" w:rsidRPr="004445E0" w:rsidRDefault="009C0B0A" w:rsidP="004445E0">
      <w:pPr>
        <w:pStyle w:val="Sansinterligne"/>
        <w:rPr>
          <w:rFonts w:ascii="Garamond" w:eastAsiaTheme="majorEastAsia" w:hAnsi="Garamond" w:cstheme="majorBidi"/>
          <w:b/>
          <w:bCs/>
          <w:color w:val="365F91" w:themeColor="accent1" w:themeShade="BF"/>
          <w:lang w:val="en-US"/>
        </w:rPr>
      </w:pPr>
      <w:r w:rsidRPr="004445E0">
        <w:rPr>
          <w:rFonts w:ascii="Garamond" w:hAnsi="Garamond"/>
          <w:lang w:val="en-US"/>
        </w:rPr>
        <w:br w:type="page"/>
      </w: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 xml:space="preserve">III. </w:t>
        </w:r>
        <w:r w:rsidR="004445E0" w:rsidRPr="004445E0">
          <w:rPr>
            <w:rStyle w:val="Lienhypertexte"/>
            <w:rFonts w:ascii="Garamond" w:hAnsi="Garamond"/>
            <w:lang w:val="en-US"/>
          </w:rPr>
          <w:t xml:space="preserve"> </w:t>
        </w:r>
        <w:r w:rsidR="00941D22" w:rsidRPr="004445E0">
          <w:rPr>
            <w:rStyle w:val="Lienhypertexte"/>
            <w:rFonts w:ascii="Garamond" w:hAnsi="Garamond"/>
            <w:lang w:val="en-US"/>
          </w:rPr>
          <w:t>De</w:t>
        </w:r>
        <w:bookmarkStart w:id="49" w:name="Illusion3"/>
        <w:bookmarkEnd w:id="49"/>
        <w:r w:rsidR="00941D22" w:rsidRPr="004445E0">
          <w:rPr>
            <w:rStyle w:val="Lienhypertexte"/>
            <w:rFonts w:ascii="Garamond" w:hAnsi="Garamond"/>
            <w:lang w:val="en-US"/>
          </w:rPr>
          <w:t>r besondere Wert der religiösen Vorstellungen</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Worin liegt der besondere Wert der religiösen Vorstellungen?</w:t>
      </w:r>
    </w:p>
    <w:p w:rsidR="00941D22" w:rsidRPr="004445E0" w:rsidRDefault="00941D22" w:rsidP="004445E0">
      <w:pPr>
        <w:pStyle w:val="Sansinterligne"/>
        <w:rPr>
          <w:rFonts w:ascii="Garamond" w:hAnsi="Garamond"/>
          <w:lang w:val="en-US"/>
        </w:rPr>
      </w:pPr>
      <w:r w:rsidRPr="004445E0">
        <w:rPr>
          <w:rFonts w:ascii="Garamond" w:hAnsi="Garamond"/>
          <w:lang w:val="en-US"/>
        </w:rPr>
        <w:t>Wir haben von Kulturfeindseligkeit gesprochen, erzeugt durch den Druck, den die Kultur ausübt, die Triebverzichte, die sie verlangt. Denkt man sich ihre Verbote aufgehoben, man darf also jetzt zum Sexualobjekt jedes Weib wählen, das einem gefällt, darf seinen Rivalen beim Weib, oder wer einem sonst im Weg steht, ohne Bedenken erschlagen, kann dem anderen auch irgendeines seiner Güter wegnehmen, ohne ihn um Erlaubnis zu fragen, wie schön, welch eine Kette von Befriedigungen wäre dann das Leben! Zwar findet man bald die nächste Schwierigkeit. Jeder andere hat genau dieselben Wünsche wie ich und wird mich nicht schonender behandeln als ich ihn. Im Grunde kann also nur ein einziger durch solche Aufhebung der Kultur</w:t>
      </w:r>
      <w:r w:rsidRPr="004445E0">
        <w:rPr>
          <w:rFonts w:ascii="Garamond" w:hAnsi="Garamond"/>
          <w:lang w:val="en-US"/>
        </w:rPr>
        <w:softHyphen/>
        <w:t>einschränkungen uneingeschränkt glücklich werden, ein Tyrann, ein Diktator, der alle Machtmittel an sich gerissen hat, und auch der hat allen Grund zu wünschen, daß die anderen wenigstens dies eine Kulturgebot einhalten: »Du sollst nicht töten.«</w:t>
      </w:r>
    </w:p>
    <w:p w:rsidR="00941D22" w:rsidRPr="004445E0" w:rsidRDefault="00941D22" w:rsidP="004445E0">
      <w:pPr>
        <w:pStyle w:val="Sansinterligne"/>
        <w:rPr>
          <w:rFonts w:ascii="Garamond" w:hAnsi="Garamond"/>
        </w:rPr>
      </w:pPr>
      <w:r w:rsidRPr="004445E0">
        <w:rPr>
          <w:rFonts w:ascii="Garamond" w:hAnsi="Garamond"/>
          <w:lang w:val="en-US"/>
        </w:rPr>
        <w:t>Aber wie undankbar, wie kurzsichtig überhaupt, eine Aufhebung der Kultur anzustreben! Was dann übrigbleibt, ist der Naturzustand, und der ist weit schwerer zu ertragen. Es ist wahr, die Natur verlangte von uns keine Triebeinschränkungen, sie ließe uns gewähren, aber sie hat ihre besonders wirksame Art, uns zu beschränken, sie bringt uns um, kalt, grausam, rück</w:t>
      </w:r>
      <w:r w:rsidRPr="004445E0">
        <w:rPr>
          <w:rFonts w:ascii="Garamond" w:hAnsi="Garamond"/>
          <w:lang w:val="en-US"/>
        </w:rPr>
        <w:softHyphen/>
        <w:t xml:space="preserve">sichtslos, wie uns scheint, möglicherweise gerade bei den Anlässen unserer Befriedigung. Eben wegen dieser Gefahren, mit denen die Natur uns droht, haben wir uns ja zusammengetan und die Kultur geschaffen, die unter anderem auch unser Zusammenleben möglich machen soll. </w:t>
      </w:r>
      <w:r w:rsidRPr="004445E0">
        <w:rPr>
          <w:rFonts w:ascii="Garamond" w:hAnsi="Garamond"/>
        </w:rPr>
        <w:t>Es ist ja die Hauptaufgabe der Kultur, ihr eigentlicher Daseinsgrund, uns gegen die Natur zu verteidigen.</w:t>
      </w:r>
    </w:p>
    <w:p w:rsidR="00941D22" w:rsidRPr="004445E0" w:rsidRDefault="00941D22" w:rsidP="004445E0">
      <w:pPr>
        <w:pStyle w:val="Sansinterligne"/>
        <w:rPr>
          <w:rFonts w:ascii="Garamond" w:hAnsi="Garamond"/>
          <w:lang w:val="en-US"/>
        </w:rPr>
      </w:pPr>
      <w:r w:rsidRPr="004445E0">
        <w:rPr>
          <w:rFonts w:ascii="Garamond" w:hAnsi="Garamond"/>
          <w:lang w:val="en-US"/>
        </w:rPr>
        <w:t>Es ist bekannt, daß sie es in manchen Stücken schon jetzt leidlich gut trifft, sie wird es offenbar später einmal viel besser machen. Aber kein Mensch gibt sich der Täuschung hin zu glauben, daß die Natur jetzt schon bezwungen ist; wenige wagen zu hoffen, daß sie einmal dem Menschen ganz unterworfen sein wird. Da sind die Elemente, die jedem menschlichen Zwang zu spotten scheinen, die Erde, die bebt, zerreißt, alles Menschliche und Menschenwerk begräbt, das Wasser, das im Aufruhr alles überflutet und ersäuft, der Sturm, der es wegbläst, da sind die Krankheiten, die wir erst seit kurzem als die Angriffe anderer Lebewesen erkennen, endlich das schmerz</w:t>
      </w:r>
      <w:r w:rsidRPr="004445E0">
        <w:rPr>
          <w:rFonts w:ascii="Garamond" w:hAnsi="Garamond"/>
          <w:lang w:val="en-US"/>
        </w:rPr>
        <w:softHyphen/>
        <w:t>liche Rätsel des Todes, gegen den bisher kein Kräutlein gefunden wurde und wahrscheinlich keines gefunden werden wird. Mit diesen Gewalten steht die Natur wider uns auf, großartig, grausam, unerbittlich, rückt uns wieder unsere Schwäche und Hilflosigkeit vor Augen, der wir uns durch die Kultur</w:t>
      </w:r>
      <w:r w:rsidRPr="004445E0">
        <w:rPr>
          <w:rFonts w:ascii="Garamond" w:hAnsi="Garamond"/>
          <w:lang w:val="en-US"/>
        </w:rPr>
        <w:softHyphen/>
        <w:t>arbeit zu entziehen gedachten. Es ist einer der wenigen erfreulichen und erhebenden Eindrücke, die man von der Menschheit haben kann, wenn sie angesichts einer Elementarkatastrophe ihrer Kulturzerfahrenheit, aller inne</w:t>
      </w:r>
      <w:r w:rsidRPr="004445E0">
        <w:rPr>
          <w:rFonts w:ascii="Garamond" w:hAnsi="Garamond"/>
          <w:lang w:val="en-US"/>
        </w:rPr>
        <w:softHyphen/>
        <w:t>ren Schwierigkeiten und Feindseligkeiten vergißt und sich der großen gemein</w:t>
      </w:r>
      <w:r w:rsidRPr="004445E0">
        <w:rPr>
          <w:rFonts w:ascii="Garamond" w:hAnsi="Garamond"/>
          <w:lang w:val="en-US"/>
        </w:rPr>
        <w:softHyphen/>
        <w:t>samen Aufgabe, ihrer Erhaltung gegen die Übermacht der Natur, erinnert.</w:t>
      </w:r>
    </w:p>
    <w:p w:rsidR="00941D22" w:rsidRPr="004445E0" w:rsidRDefault="00941D22" w:rsidP="004445E0">
      <w:pPr>
        <w:pStyle w:val="Sansinterligne"/>
        <w:rPr>
          <w:rFonts w:ascii="Garamond" w:hAnsi="Garamond"/>
          <w:lang w:val="en-US"/>
        </w:rPr>
      </w:pPr>
      <w:r w:rsidRPr="004445E0">
        <w:rPr>
          <w:rFonts w:ascii="Garamond" w:hAnsi="Garamond"/>
          <w:lang w:val="en-US"/>
        </w:rPr>
        <w:t>Wie für die Menschheit im ganzen, so ist für den Einzelnen das Leben schwer zu ertragen. Ein Stück Entbehrung legt ihm die Kultur auf, an der er teilhat, ein Maß Leiden bereiten ihm die anderen Menschen, entweder trotz der Kulturvorschriften oder infolge der Unvollkommenheit dieser Kultur. Dazu kommt, was ihm die unbezwungene Natur — er nennt es Schicksal — an Schädigung zufügt. Ein ständiger ängstlicher Erwartungszustand und eine schwere Kränkung des natürlichen Narzißmus sollte die Folge dieses Zustandes sein. Wie der Einzelne gegen die Schädigungen durch die Kultur und die anderen reagiert, wissen wir bereits, er entwickelt ein entspre</w:t>
      </w:r>
      <w:r w:rsidRPr="004445E0">
        <w:rPr>
          <w:rFonts w:ascii="Garamond" w:hAnsi="Garamond"/>
          <w:lang w:val="en-US"/>
        </w:rPr>
        <w:softHyphen/>
        <w:t>chendes Maß von Widerstand gegen die Einrichtungen dieser Kultur, von Kulturfeindschaft. Aber wie setzt er sich gegen die Übermächte der Natur, des Schicksals, zur Wehr, die ihm wie allen anderen drohen?</w:t>
      </w:r>
    </w:p>
    <w:p w:rsidR="00941D22" w:rsidRPr="004445E0" w:rsidRDefault="00941D22" w:rsidP="004445E0">
      <w:pPr>
        <w:pStyle w:val="Sansinterligne"/>
        <w:rPr>
          <w:rFonts w:ascii="Garamond" w:hAnsi="Garamond"/>
          <w:lang w:val="en-US"/>
        </w:rPr>
      </w:pPr>
      <w:r w:rsidRPr="004445E0">
        <w:rPr>
          <w:rFonts w:ascii="Garamond" w:hAnsi="Garamond"/>
          <w:lang w:val="en-US"/>
        </w:rPr>
        <w:t>Die Kultur nimmt ihm diese Leistung ab, sie besorgt sie für alle in gleicher Weise, es ist auch bemerkenswert, daß so ziemlich alle Kulturen hierin das gleiche tun. Sie macht nicht etwa halt in der Erledigung ihrer Aufgabe, den Menschen gegen die Natur zu verteidigen, sie setzt sie nur mit anderen Mitteln fort. Die Aufgabe ist hier eine mehrfache, das schwer bedrohte Selbstgefühl des Menschen verlangt nach Trost, der Welt und dem Leben sollen ihre Schrecken genommen werden, nebenbei will auch die Wißbegierde der Menschen, die freilich von dem stärksten praktischen Interesse angetrieben wird, eine Antwort haben.</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Mit dem ersten Schritt ist bereits sehr viel gewonnen. Und dieser ist, die Natur zu vermenschlichen. An die unpersönlichen Kräfte und Schicksale kann man nicht heran, sie bleiben ewig fremd. Aber wenn in den Elementen Leidenschaften toben wie in der eigenen Seele, wenn selbst der Tod nichts Spontanes ist, sondern die Gewalttat eines bösen Willens, wenn man überall in der Natur Wesen um sich hat, wie man sie aus der eigenen Gesellschaft kennt, dann atmet man auf, fühlt sich heimisch im Unheimlichen, kann </w:t>
      </w:r>
      <w:r w:rsidRPr="004445E0">
        <w:rPr>
          <w:rFonts w:ascii="Garamond" w:hAnsi="Garamond"/>
          <w:lang w:val="en-US"/>
        </w:rPr>
        <w:lastRenderedPageBreak/>
        <w:t>seine sinnlose Angst psychisch bearbeiten. Man ist vielleicht noch wehrlos, aber nicht mehr hilflos gelähmt, man kann zum mindesten reagieren, ja vielleicht ist man nicht einmal wehrlos, man kann gegen diese gewalttätigen Übermenschen draußen dieselben Mittel in Anwendung bringen, deren man sich in seiner Gesellschaft bedient, kann versuchen, sie zu beschwören, beschwichtigen, bestechen, raubt ihnen durch solche Beeinflussung einen Teil ihrer Macht. Solch ein Ersatz einer Naturwissenschaft durch Psychologie schafft nicht bloß sofortige Erleichterung, er zeigt auch den Weg zu einer weiteren Bewältigung der Situation.</w:t>
      </w:r>
    </w:p>
    <w:p w:rsidR="00941D22" w:rsidRPr="004445E0" w:rsidRDefault="00941D22" w:rsidP="004445E0">
      <w:pPr>
        <w:pStyle w:val="Sansinterligne"/>
        <w:rPr>
          <w:rFonts w:ascii="Garamond" w:hAnsi="Garamond"/>
          <w:lang w:val="en-US"/>
        </w:rPr>
      </w:pPr>
      <w:r w:rsidRPr="004445E0">
        <w:rPr>
          <w:rFonts w:ascii="Garamond" w:hAnsi="Garamond"/>
          <w:lang w:val="en-US"/>
        </w:rPr>
        <w:t>Denn diese Situation ist nichts Neues, sie hat ein infantiles Vorbild, ist eigentlich nur die Fortsetzung des früheren, denn in solcher Hilflosigkeit hatte man sich schon einmal befunden, als kleines Kind einem Elternpaar gegen</w:t>
      </w:r>
      <w:r w:rsidRPr="004445E0">
        <w:rPr>
          <w:rFonts w:ascii="Garamond" w:hAnsi="Garamond"/>
          <w:lang w:val="en-US"/>
        </w:rPr>
        <w:softHyphen/>
        <w:t>über, das man Grund hatte zu fürchten, zumal den Vater, dessen Schutzes man aber auch sicher war gegen die Gefahren, die man damals kannte. So lag es nahe, die beiden Situationen einander anzugleichen. Auch kam wie im Traumleben der Wunsch dabei auf seine Rechnung. Eine Todesahnung befällt den Schlafenden, will ihn in das Grab versetzen, aber die Traumarbeit weiß die Bedingung auszuwählen, unter der auch dies gefürchtete Ereignis zur Wunscherfüllung wird; der Träumer sieht sich in einem alten Etruskergrab, in das er selig über die Befriedigung seiner archäologischen Interessen hinabgestiegen war. Ähnlich macht der Mensch die Naturkräfte nicht einfach zu Menschen, mit denen er wie mit seinesgleichen verkehren kann, das würde auch dem überwältigenden Eindruck nicht gerecht werden, den er von ihnen hat, sondern er gibt ihnen Vatercharakter, macht sie zu Göttern, folgt dabei nicht nur einem infantilen, sondern auch, wie ich versucht habe zu zeigen, einem phylogenetischen Vorbild.</w:t>
      </w:r>
    </w:p>
    <w:p w:rsidR="00941D22" w:rsidRPr="004445E0" w:rsidRDefault="00941D22" w:rsidP="004445E0">
      <w:pPr>
        <w:pStyle w:val="Sansinterligne"/>
        <w:rPr>
          <w:rFonts w:ascii="Garamond" w:hAnsi="Garamond"/>
          <w:lang w:val="en-US"/>
        </w:rPr>
      </w:pPr>
      <w:r w:rsidRPr="004445E0">
        <w:rPr>
          <w:rFonts w:ascii="Garamond" w:hAnsi="Garamond"/>
          <w:lang w:val="en-US"/>
        </w:rPr>
        <w:t>Mit der Zeit werden die ersten Beobachtungen von Regel- und Gesetz</w:t>
      </w:r>
      <w:r w:rsidRPr="004445E0">
        <w:rPr>
          <w:rFonts w:ascii="Garamond" w:hAnsi="Garamond"/>
          <w:lang w:val="en-US"/>
        </w:rPr>
        <w:softHyphen/>
        <w:t>mäßigkeit an den Naturerscheinungen gemacht, die Naturkräfte verlieren damit ihre menschlichen Züge. Aber die Hilflosigkeit der Menschen bleibt und damit ihre Vatersehnsucht und die Götter. Die Götter behalten ihre dreifache Aufgabe, die Schrecken der Natur zu bannen, mit der Grausamkeit des Schicksals, besonders wie es sich im Tode zeigt, zu versöhnen und für die Leiden und Entbehrungen zu entschädigen, die dem Menschen durch das kulturelle Zusammenleben auferlegt werden.</w:t>
      </w:r>
    </w:p>
    <w:p w:rsidR="00941D22" w:rsidRPr="004445E0" w:rsidRDefault="00941D22" w:rsidP="004445E0">
      <w:pPr>
        <w:pStyle w:val="Sansinterligne"/>
        <w:rPr>
          <w:rFonts w:ascii="Garamond" w:hAnsi="Garamond"/>
          <w:lang w:val="en-US"/>
        </w:rPr>
      </w:pPr>
      <w:r w:rsidRPr="004445E0">
        <w:rPr>
          <w:rFonts w:ascii="Garamond" w:hAnsi="Garamond"/>
          <w:lang w:val="en-US"/>
        </w:rPr>
        <w:t>Aber allmählich verschiebt sich innerhalb dieser Leistungen der Akzent. Man merkt, daß die Naturerscheinungen sich nach inneren Notwendigkeiten von selbst abwickeln; gewiß sind die Götter die Herren der Natur, sie haben sie so eingerichtet und können sie nun sich selbst überlassen. Nur gelegen</w:t>
      </w:r>
      <w:r w:rsidRPr="004445E0">
        <w:rPr>
          <w:rFonts w:ascii="Garamond" w:hAnsi="Garamond"/>
          <w:lang w:val="en-US"/>
        </w:rPr>
        <w:softHyphen/>
        <w:t xml:space="preserve">tlich greifen sie in den sogenannten Wundern in ihren Lauf ein, wie um zu versichern, daß sie von ihrer ursprünglichen Machtsphäre nichts aufgegeben haben. Was die Austeilung der Schicksale betrifft, so bleibt eine unbehagliche Ahnung bestehen, daß der Rat- und Hilflosigkeit des Menschengeschlechts nicht abgeholfen werden kann. Hier versagen die Götter am ehesten; wenn sie selbst das Schicksal machen, so muß man ihren Ratschluß unerforschlich heißen; dem begabtesten Volk des Altertums dämmert die Einsicht, daß die </w:t>
      </w:r>
      <w:r w:rsidRPr="004445E0">
        <w:rPr>
          <w:rFonts w:ascii="Garamond" w:hAnsi="Garamond"/>
          <w:i/>
          <w:iCs/>
          <w:lang w:val="en-US"/>
        </w:rPr>
        <w:t>Moira</w:t>
      </w:r>
      <w:r w:rsidRPr="004445E0">
        <w:rPr>
          <w:rFonts w:ascii="Garamond" w:hAnsi="Garamond"/>
          <w:lang w:val="en-US"/>
        </w:rPr>
        <w:t xml:space="preserve"> [das Schicksal] über den Göttern steht und daß die Götter selbst ihre Schicksale haben. Und je mehr die Natur selbständig wird, die Götter sich von ihr zurückziehen, desto ernsthafter drängen alle Erwartungen auf die dritte Leistung, die ihnen zugewiesen ist, desto mehr wird das Moralische ihre eigentliche Domäne. Göttliche Aufgabe wird es nun, die Mängel und Schäden der Kultur auszugleichen, die Leiden in acht zu nehmen, die die Menschen im Zusammenleben einander zufügen, über die Ausführung der Kulturvorschrif</w:t>
      </w:r>
      <w:r w:rsidRPr="004445E0">
        <w:rPr>
          <w:rFonts w:ascii="Garamond" w:hAnsi="Garamond"/>
          <w:lang w:val="en-US"/>
        </w:rPr>
        <w:softHyphen/>
        <w:t>ten zu wachen, die die Menschen so schlecht befolgen. Den Kulturvor</w:t>
      </w:r>
      <w:r w:rsidRPr="004445E0">
        <w:rPr>
          <w:rFonts w:ascii="Garamond" w:hAnsi="Garamond"/>
          <w:lang w:val="en-US"/>
        </w:rPr>
        <w:softHyphen/>
        <w:t>schriften selbst wird göttlicher Ursprung zugesprochen, sie werden über die menschliche Gesellschaft hinausgehoben, auf Natur und Weltgeschehen ausgedehnt.</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So wird ein Schatz von Vorstellungen geschaffen, geboren aus dem Bedürfnis, die menschliche Hilflosigkeit erträglich zu machen, erbaut aus dem Material der Erinnerungen an die Hilflosigkeit der eigenen und der Kindheit des Menschengeschlechts. Es ist deutlich erkennbar, daß dieser Besitz den Menschen nach zwei Richtungen beschützt, gegen die Gefahren der Natur und des Schicksals und gegen die Schädigungen aus der menschlichen Gesellschaft selbst. Im Zusammenhang lautet es: das Leben in dieser Welt dient einem höheren Zweck, der zwar nicht leicht zu erraten ist, aber gewiß eine Vervollkommnung des menschlichen Wesens bedeutet. Wahrscheinlich soll das Geistige des Menschen, die Seele, die sich im Lauf der Zeiten so langsam und widerstrebend vom Körper getrennt hat, das Objekt dieser Erhebung und Erhöhung sein. Alles, was in dieser Welt vor sich geht, ist Ausführung der Absichten einer uns überlegenen Intelligenz, die, wenn auch auf schwer zu verfolgenden Wegen und Umwegen, schließlich alles zum Guten, d. h. für uns Erfreulichen, lenkt. Über jedem von uns wacht eine gütige, nur scheinbar gestrenge Vorsehung, die nicht zuläßt, daß wir zum Spielball der überstarken und schonungslosen Naturkräfte werden; der Tod selbst ist keine Vernichtung, keine Rückkehr zum anorganisch Leblosen, sondern der Anfang einer neuen Art von Existenz, die auf dem Wege der </w:t>
      </w:r>
      <w:r w:rsidRPr="004445E0">
        <w:rPr>
          <w:rFonts w:ascii="Garamond" w:hAnsi="Garamond"/>
          <w:lang w:val="en-US"/>
        </w:rPr>
        <w:lastRenderedPageBreak/>
        <w:t xml:space="preserve">Höherentwicklung liegt. Und nach der anderen Seite gewendet, dieselben Sittengesetze, die unsere Kulturen aufgestellt haben, beherrschen auch alles Weltgeschehen, nur werden sie von einer höchsten richterlichen Instanz mit ungleich mehr Macht und Konsequenz behütet. Alles Gute findet endlich seinen Lohn, alles Böse seine Strafe, wenn nicht schon in dieser Form des Lebens, so in den späteren Existenzen, die nach dem Tod beginnen. Somit sind alle Schrecken, Leiden und Härten des Lebens zur Austilgung bestimmt; das Leben nach dem Tode, das unser irdisches Leben fortsetzt, wie das unsichtbare Stück des Spektrums dem sichtbaren angefügt ist, bringt all die Vollendung, die wir hier vielleicht vermißt haben. Und die überlegene Weisheit, die diesen Ablauf lenkt, die Allgüte, die sich in ihm äußert, die Gerechtigkeit, die sich in ihm durchsetzt, das sind die Eigenschaften der göttlichen Wesen, die auch uns und die Welt im ganzen geschaffen haben. Oder vielmehr des einen göttlichen Wesens, zu dem sich in unserer Kultur alle Götter der Vorzeiten verdichtet haben. Das Volk, dem zuerst solche Konzentrierung der göttlichen Eigenschaften gelang, war nicht wenig stolz auf diesen Fortschritt. Es hatte den väterlichen Kern, der von jeher hinter jeder Gottesgestalt verborgen war, freigelegt; im Grunde war es eine Rückkehr zu den historischen Anfängen der Gottesidee. Nun, da Gott ein Einziger war, konnten die Beziehungen zu ihm die Innigkeit und Intensität des kindlichen Verhältnisses zum Vater wiedergewinnen. Wenn man soviel für den Vater getan hatte, wollte man aber auch belohnt werden, zum mindesten das einziggeliebte Kind sein, das auserwählte Volk. Sehr viel später erhebt das fromme Amerika den Anspruch, </w:t>
      </w:r>
      <w:r w:rsidRPr="004445E0">
        <w:rPr>
          <w:rFonts w:ascii="Garamond" w:hAnsi="Garamond"/>
          <w:i/>
          <w:iCs/>
          <w:lang w:val="en-US"/>
        </w:rPr>
        <w:t>»God's own country«</w:t>
      </w:r>
      <w:r w:rsidRPr="004445E0">
        <w:rPr>
          <w:rFonts w:ascii="Garamond" w:hAnsi="Garamond"/>
          <w:lang w:val="en-US"/>
        </w:rPr>
        <w:t xml:space="preserve"> zu sein, und für eine der Formen, unter denen die Menschen die Gottheit verehren, trifft es auch zu.</w:t>
      </w:r>
    </w:p>
    <w:p w:rsidR="00941D22" w:rsidRPr="004445E0" w:rsidRDefault="00941D22" w:rsidP="004445E0">
      <w:pPr>
        <w:pStyle w:val="Sansinterligne"/>
        <w:rPr>
          <w:rFonts w:ascii="Garamond" w:hAnsi="Garamond"/>
          <w:lang w:val="en-US"/>
        </w:rPr>
      </w:pPr>
      <w:r w:rsidRPr="004445E0">
        <w:rPr>
          <w:rFonts w:ascii="Garamond" w:hAnsi="Garamond"/>
          <w:lang w:val="en-US"/>
        </w:rPr>
        <w:t>Die religiösen Vorstellungen, die vorhin zusammengefaßt wurden, haben natürlich eine lange Entwicklung durchgemacht, sind von verschiedenen Kulturen in verschiedenen Phasen festgehalten worden. Ich habe eine einzelne solche Entwicklungsphase herausgegriffen, die etwa der Endgestal</w:t>
      </w:r>
      <w:r w:rsidRPr="004445E0">
        <w:rPr>
          <w:rFonts w:ascii="Garamond" w:hAnsi="Garamond"/>
          <w:lang w:val="en-US"/>
        </w:rPr>
        <w:softHyphen/>
        <w:t>tung in unserer heutigen weißen, christlichen Kultur entspricht. Es ist leicht zu bemerken, daß nicht alle Stücke dieses Ganzen gleich gut zueinander stimmen, daß nicht alle dringenden Fragen beantwortet werden, daß der Widerspruch der täglichen Erfahrung nur mit Mühe abgewiesen werden kann. Aber so wie sie sind, werden diese Vorstellungen — die im weitesten Sinn religiösen — als der kostbarste Besitz der Kultur eingeschätzt, als das Wertvollste, was sie ihren Teilnehmern zu bieten hat, weit höher geschätzt als alle Künste, der Erde ihre Schätze zu entlocken, die Menschheit mit Nahrung zu versorgen oder ihren Krankheiten vorzubeugen usw. Die Menschen meinen, das Leben nicht ertragen zu können, wenn sie diesen Vorstellungen nicht den Wert beilegen, der für sie beansprucht wird. Und nun ist die Frage, was sind diese Vorstellungen im Lichte der Psychologie, woher beziehen sie ihre Hochschätzung und, um schüchtern fortzusetzen: was ist ihr wirklicher Wert?</w:t>
      </w:r>
    </w:p>
    <w:p w:rsidR="00941D22" w:rsidRPr="004445E0" w:rsidRDefault="00941D22" w:rsidP="004445E0">
      <w:pPr>
        <w:pStyle w:val="Sansinterligne"/>
        <w:rPr>
          <w:rFonts w:ascii="Garamond" w:hAnsi="Garamond"/>
          <w:lang w:val="en-US"/>
        </w:rPr>
      </w:pPr>
    </w:p>
    <w:p w:rsidR="009C0B0A" w:rsidRPr="004445E0" w:rsidRDefault="009C0B0A" w:rsidP="004445E0">
      <w:pPr>
        <w:pStyle w:val="Sansinterligne"/>
        <w:rPr>
          <w:rFonts w:ascii="Garamond" w:eastAsiaTheme="majorEastAsia" w:hAnsi="Garamond" w:cstheme="majorBidi"/>
          <w:b/>
          <w:bCs/>
          <w:color w:val="365F91" w:themeColor="accent1" w:themeShade="BF"/>
          <w:lang w:val="en-US"/>
        </w:rPr>
      </w:pPr>
      <w:r w:rsidRPr="004445E0">
        <w:rPr>
          <w:rFonts w:ascii="Garamond" w:hAnsi="Garamond"/>
          <w:lang w:val="en-US"/>
        </w:rPr>
        <w:br w:type="page"/>
      </w: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 xml:space="preserve">IV. </w:t>
        </w:r>
        <w:r w:rsidR="004445E0" w:rsidRPr="004445E0">
          <w:rPr>
            <w:rStyle w:val="Lienhypertexte"/>
            <w:rFonts w:ascii="Garamond" w:hAnsi="Garamond"/>
            <w:lang w:val="en-US"/>
          </w:rPr>
          <w:t xml:space="preserve"> Ur</w:t>
        </w:r>
        <w:bookmarkStart w:id="50" w:name="Illusion4"/>
        <w:bookmarkEnd w:id="50"/>
        <w:r w:rsidR="004445E0" w:rsidRPr="004445E0">
          <w:rPr>
            <w:rStyle w:val="Lienhypertexte"/>
            <w:rFonts w:ascii="Garamond" w:hAnsi="Garamond"/>
            <w:lang w:val="en-US"/>
          </w:rPr>
          <w:t>sprünge der Religion</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Eine Untersuchung, die ungestört fortschreitet wie ein Monolog, ist nicht ganz ungefährlich. Man gibt zu leicht der Versuchung nach, Gedanken zur Seite zu schieben, die sie unterbrechen wollen, und tauscht dafür ein Gefühl von Unsicherheit ein, das man am Ende durch allzu große Entschiedenheit übertönen will. Ich stelle mir also einen Gegner vor, der meine Ausführungen mit Mißtrauen verfolgt, und lasse ihn von Stelle zu Stelle zu Worte kommen.</w:t>
      </w:r>
    </w:p>
    <w:p w:rsidR="00941D22" w:rsidRPr="004445E0" w:rsidRDefault="00941D22" w:rsidP="004445E0">
      <w:pPr>
        <w:pStyle w:val="Sansinterligne"/>
        <w:rPr>
          <w:rFonts w:ascii="Garamond" w:hAnsi="Garamond"/>
          <w:lang w:val="en-US"/>
        </w:rPr>
      </w:pPr>
      <w:r w:rsidRPr="004445E0">
        <w:rPr>
          <w:rFonts w:ascii="Garamond" w:hAnsi="Garamond"/>
          <w:lang w:val="en-US"/>
        </w:rPr>
        <w:t>Ich höre ihn sagen: »Sie haben wiederholt die Ausdrücke gebraucht: ›die Kultur schafft diese religiösen Vorstellungen‹, ›die Kultur stellt sie ihren Teil</w:t>
      </w:r>
      <w:r w:rsidRPr="004445E0">
        <w:rPr>
          <w:rFonts w:ascii="Garamond" w:hAnsi="Garamond"/>
          <w:lang w:val="en-US"/>
        </w:rPr>
        <w:softHyphen/>
        <w:t>nehmern zur Verfügung‹, daran klingt etwas befremdend; ich könnte selbst nicht sagen warum, es hört sich nicht so selbstverständlich an wie daß die Kultur Anordnungen geschaffen hat über die Verteilung des Arbeitsertrags oder über die Rechte an Weib und Kind.«</w:t>
      </w:r>
    </w:p>
    <w:p w:rsidR="00941D22" w:rsidRPr="004445E0" w:rsidRDefault="00941D22" w:rsidP="004445E0">
      <w:pPr>
        <w:pStyle w:val="Sansinterligne"/>
        <w:rPr>
          <w:rFonts w:ascii="Garamond" w:hAnsi="Garamond"/>
          <w:lang w:val="en-US"/>
        </w:rPr>
      </w:pPr>
      <w:r w:rsidRPr="004445E0">
        <w:rPr>
          <w:rFonts w:ascii="Garamond" w:hAnsi="Garamond"/>
          <w:lang w:val="en-US"/>
        </w:rPr>
        <w:t>Ich meine aber doch, daß man berechtigt ist, sich so auszudrücken. Ich habe versucht zu zeigen, daß die religiösen Vorstellungen aus demselben Bedürfnis hervorgegangen sind wie alle anderen Errungenschaften der Kultur, aus der Notwendigkeit, sich gegen die erdrückende Übermacht der Natur zu verteidigen. Dazu kam ein zweites Motiv, der Drang, die peinlich ver</w:t>
      </w:r>
      <w:r w:rsidRPr="004445E0">
        <w:rPr>
          <w:rFonts w:ascii="Garamond" w:hAnsi="Garamond"/>
          <w:lang w:val="en-US"/>
        </w:rPr>
        <w:softHyphen/>
        <w:t>spürten Unvollkommenheiten der Kultur zu korrigieren. Es ist auch besonders zutreffend zu sagen, daß die Kultur dem Einzelnen diese Vorstellungen schenkt, denn er findet sie vor, sie werden ihm fertig entgegengebracht, er wäre nicht imstande, sie allein zu finden. Es ist die Erbschaft vieler Genera</w:t>
      </w:r>
      <w:r w:rsidRPr="004445E0">
        <w:rPr>
          <w:rFonts w:ascii="Garamond" w:hAnsi="Garamond"/>
          <w:lang w:val="en-US"/>
        </w:rPr>
        <w:softHyphen/>
        <w:t>tionen, in die er eintritt, die er übernimmt wie das Einmaleins, die Geometrie u. a. Es gibt hierbei freilich einen Unterschied, aber der liegt anderswo, kann jetzt noch nicht beleuchtet werden. An dem Gefühl von Befremdung, das Sie erwähnen, mag es Anteil haben, daß man uns diesen Besitz von religiösen Vorstellungen als göttliche Offenbarung vorzuführen pflegt. Allein das ist selbst schon ein Stück des religiösen Systems, vernachlässigt ganz die uns bekannte historische Entwicklung dieser Ideen und ihre Verschiedenheiten in verschiedenen Zeiten und Kulturen.</w:t>
      </w:r>
    </w:p>
    <w:p w:rsidR="00941D22" w:rsidRPr="004445E0" w:rsidRDefault="00941D22" w:rsidP="004445E0">
      <w:pPr>
        <w:pStyle w:val="Sansinterligne"/>
        <w:rPr>
          <w:rFonts w:ascii="Garamond" w:hAnsi="Garamond"/>
          <w:lang w:val="en-US"/>
        </w:rPr>
      </w:pPr>
      <w:r w:rsidRPr="004445E0">
        <w:rPr>
          <w:rFonts w:ascii="Garamond" w:hAnsi="Garamond"/>
          <w:lang w:val="en-US"/>
        </w:rPr>
        <w:t>»Ein anderer Punkt, der mir wichtiger erscheint. Sie lassen die Vermensch</w:t>
      </w:r>
      <w:r w:rsidRPr="004445E0">
        <w:rPr>
          <w:rFonts w:ascii="Garamond" w:hAnsi="Garamond"/>
          <w:lang w:val="en-US"/>
        </w:rPr>
        <w:softHyphen/>
        <w:t>lichung der Natur aus dem Bedürfnis hervorgehen, der menschlichen Rat- und Hilflosigkeit gegen deren gefürchtete Kräfte ein Ende zu machen, sich in Beziehung zu ihnen zu setzen und sie endlich zu beeinflussen. Aber ein solches Motiv scheint überflüssig zu sein. Der primitive Mensch hat ja keine Wahl, keinen anderen Weg des Denkens. Es ist ihm natürlich, wie einge</w:t>
      </w:r>
      <w:r w:rsidRPr="004445E0">
        <w:rPr>
          <w:rFonts w:ascii="Garamond" w:hAnsi="Garamond"/>
          <w:lang w:val="en-US"/>
        </w:rPr>
        <w:softHyphen/>
        <w:t>boren, daß er sein Wesen in die Welt hinausprojiziert, alle Vorgänge, die er beobachtet, als Äußerungen von Wesen ansieht, die im Grunde ähnlich sind wie er selbst. Es ist das die einzige Methode seines Begreif ens. Und es ist keineswegs selbstverständlich, vielmehr ein merkwürdiges Zusammentreffen, wenn es ihm gelingen sollte, durch solches Gewährenlassen seiner natürlichen Anlage eines seiner großen Bedürfnisse zu befriedigen.«</w:t>
      </w:r>
    </w:p>
    <w:p w:rsidR="00941D22" w:rsidRPr="004445E0" w:rsidRDefault="00941D22" w:rsidP="004445E0">
      <w:pPr>
        <w:pStyle w:val="Sansinterligne"/>
        <w:rPr>
          <w:rFonts w:ascii="Garamond" w:hAnsi="Garamond"/>
          <w:lang w:val="en-US"/>
        </w:rPr>
      </w:pPr>
      <w:r w:rsidRPr="004445E0">
        <w:rPr>
          <w:rFonts w:ascii="Garamond" w:hAnsi="Garamond"/>
          <w:lang w:val="en-US"/>
        </w:rPr>
        <w:t>Ich finde das nicht so auffällig. Meinen Sie denn, daß das Denken der Menschen keine praktischen Motive kennt, bloß der Ausdruck einer uneigen</w:t>
      </w:r>
      <w:r w:rsidRPr="004445E0">
        <w:rPr>
          <w:rFonts w:ascii="Garamond" w:hAnsi="Garamond"/>
          <w:lang w:val="en-US"/>
        </w:rPr>
        <w:softHyphen/>
        <w:t>nützigen Wißbegierde ist? Das ist doch sehr unwahrscheinlich. Eher glaube ich, daß der Mensch, auch wenn er die Naturkräfte personifiziert, einem infantilen Vorbild folgt. Er hat an den Personen seiner ersten Umgebung gelernt, daß, wenn er eine Relation zu ihnen herstellt, dies der Weg ist, um sie zu beeinflussen, und darum behandelt er später in der gleichen Absicht alles andere, was ihm begegnet, wie jene Personen. Ich widerspreche also Ihrer deskriptiven Bemerkung nicht, es ist wirklich dem Menschen natürlich, alles zu personifizieren, was er begreifen will, um es später zu beherrschen — die psychische Bewältigung als Vorbereitung zur physischen —, aber ich gebe Motiv und Genese dieser Eigentümlichkeit des menschlichen Denkens dazu.</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»Und jetzt noch ein drittes: Sie haben ja den Ursprung der Religion früher einmal behandelt, in Ihrem Buch </w:t>
      </w:r>
      <w:r w:rsidRPr="004445E0">
        <w:rPr>
          <w:rFonts w:ascii="Garamond" w:hAnsi="Garamond"/>
          <w:i/>
          <w:iCs/>
          <w:lang w:val="en-US"/>
        </w:rPr>
        <w:t>Totem und Tabu</w:t>
      </w:r>
      <w:r w:rsidRPr="004445E0">
        <w:rPr>
          <w:rFonts w:ascii="Garamond" w:hAnsi="Garamond"/>
          <w:lang w:val="en-US"/>
        </w:rPr>
        <w:t>. Aber dort sieht es anders aus. Alles ist das Sohn-Vater-Verhältnis, Gott ist der erhöhte Vater, die Vater</w:t>
      </w:r>
      <w:r w:rsidRPr="004445E0">
        <w:rPr>
          <w:rFonts w:ascii="Garamond" w:hAnsi="Garamond"/>
          <w:lang w:val="en-US"/>
        </w:rPr>
        <w:softHyphen/>
        <w:t>sehnsucht ist die Wurzel des religiösen Bedürfnisses. Seither, scheint es, haben Sie das Moment der menschlichen Ohnmacht und Hilflosigkeit ent</w:t>
      </w:r>
      <w:r w:rsidRPr="004445E0">
        <w:rPr>
          <w:rFonts w:ascii="Garamond" w:hAnsi="Garamond"/>
          <w:lang w:val="en-US"/>
        </w:rPr>
        <w:softHyphen/>
        <w:t>deckt, dem ja allgemein die größte Rolle bei der Religionsbildung zuge</w:t>
      </w:r>
      <w:r w:rsidRPr="004445E0">
        <w:rPr>
          <w:rFonts w:ascii="Garamond" w:hAnsi="Garamond"/>
          <w:lang w:val="en-US"/>
        </w:rPr>
        <w:softHyphen/>
        <w:t>schrieben wird, und nun schreiben Sie alles auf Hilflosigkeit um, was früher Vaterkomplex war. Darf ich Sie um Auskunft über diese Wandlung bitten?«</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Gern, ich wartete nur auf diese Aufforderung. Wenn es wirklich eine Wandlung ist. In </w:t>
      </w:r>
      <w:r w:rsidRPr="004445E0">
        <w:rPr>
          <w:rFonts w:ascii="Garamond" w:hAnsi="Garamond"/>
          <w:i/>
          <w:iCs/>
          <w:lang w:val="en-US"/>
        </w:rPr>
        <w:t>Totem und Tabu</w:t>
      </w:r>
      <w:r w:rsidRPr="004445E0">
        <w:rPr>
          <w:rFonts w:ascii="Garamond" w:hAnsi="Garamond"/>
          <w:lang w:val="en-US"/>
        </w:rPr>
        <w:t xml:space="preserve"> sollte nicht die Entstehung der Religionen erklärt werden, sondern nur die des Totemismus. Können Sie von irgend</w:t>
      </w:r>
      <w:r w:rsidRPr="004445E0">
        <w:rPr>
          <w:rFonts w:ascii="Garamond" w:hAnsi="Garamond"/>
          <w:lang w:val="en-US"/>
        </w:rPr>
        <w:softHyphen/>
        <w:t>einem der Ihnen bekannten Standpunkte verständlich machen, daß die erste Form, in der sich die schützende Gottheit dem Menschen offenbarte, die tierische war, daß ein Verbot bestand, dieses Tier zu töten und zu verzehren, und doch die feierliche Sitte, es einmal im Jahr gemeinsam zu töten und zu verzehren? Gerade das hat im Totemismus statt. Und es ist kaum zweck</w:t>
      </w:r>
      <w:r w:rsidRPr="004445E0">
        <w:rPr>
          <w:rFonts w:ascii="Garamond" w:hAnsi="Garamond"/>
          <w:lang w:val="en-US"/>
        </w:rPr>
        <w:softHyphen/>
        <w:t>mäßig, darüber zu streiten, ob man den Totemismus eine Religion heißen soll. Er hat innige Beziehungen zu den späteren Gottesreligionen, die Totemtiere werden zu den heiligen Tieren der Götter. Und die ersten, aber tief</w:t>
      </w:r>
      <w:r w:rsidRPr="004445E0">
        <w:rPr>
          <w:rFonts w:ascii="Garamond" w:hAnsi="Garamond"/>
          <w:lang w:val="en-US"/>
        </w:rPr>
        <w:softHyphen/>
      </w:r>
      <w:r w:rsidRPr="004445E0">
        <w:rPr>
          <w:rFonts w:ascii="Garamond" w:hAnsi="Garamond"/>
          <w:lang w:val="en-US"/>
        </w:rPr>
        <w:lastRenderedPageBreak/>
        <w:t xml:space="preserve">gehendsten sittlichen Beschränkungen — das Mord- und das Inzestverbot — entstehen auf dem Boden des Totemismus. Ob Sie nun die Folgerungen von </w:t>
      </w:r>
      <w:r w:rsidRPr="004445E0">
        <w:rPr>
          <w:rFonts w:ascii="Garamond" w:hAnsi="Garamond"/>
          <w:i/>
          <w:iCs/>
          <w:lang w:val="en-US"/>
        </w:rPr>
        <w:t>Totem und Tabu</w:t>
      </w:r>
      <w:r w:rsidRPr="004445E0">
        <w:rPr>
          <w:rFonts w:ascii="Garamond" w:hAnsi="Garamond"/>
          <w:lang w:val="en-US"/>
        </w:rPr>
        <w:t xml:space="preserve"> annehmen oder nicht, ich hoffe, Sie werden zugeben, daß in dem Buch eine Anzahl von sehr merkwürdigen versprengten Tatsachen zu einem konsistenten Ganzen zusammengefaßt ist.</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Warum der tierische Gott auf die Dauer nicht genügte und durch den menschlichen abgelöst wurde, das ist in </w:t>
      </w:r>
      <w:r w:rsidRPr="004445E0">
        <w:rPr>
          <w:rFonts w:ascii="Garamond" w:hAnsi="Garamond"/>
          <w:i/>
          <w:iCs/>
          <w:lang w:val="en-US"/>
        </w:rPr>
        <w:t>Totem und Tabu</w:t>
      </w:r>
      <w:r w:rsidRPr="004445E0">
        <w:rPr>
          <w:rFonts w:ascii="Garamond" w:hAnsi="Garamond"/>
          <w:lang w:val="en-US"/>
        </w:rPr>
        <w:t xml:space="preserve"> kaum gestreift worden, andere Probleme der Religionsbildung finden dort überhaupt keine Erwähnung. Halten Sie solche Beschränkung für identisch mit einer Verleugnung? Meine Arbeit ist ein gutes Beispiel von strenger Isolierung des Anteils, den die psychoanalytische Betrachtung zur Lösung des religiösen Problems leisten kann. Wenn ich jetzt versuche, das andere, weniger tief Versteckte hinzuzufügen, so sollen Sie mich nicht des Widerspruchs beschuldigen wie früher der Einseitigkeit. Es ist natürlich meine Aufgabe, die Verbindungswege zwischen dem früher Gesagten und dem jetzt Vorge</w:t>
      </w:r>
      <w:r w:rsidRPr="004445E0">
        <w:rPr>
          <w:rFonts w:ascii="Garamond" w:hAnsi="Garamond"/>
          <w:lang w:val="en-US"/>
        </w:rPr>
        <w:softHyphen/>
        <w:t>brachten, der tieferen und der manifesten Motivierung, dem Vaterkomplex und der Hilflosigkeit und Schutzbedürftigkeit des Menschen aufzuzeigen.</w:t>
      </w:r>
    </w:p>
    <w:p w:rsidR="00941D22" w:rsidRPr="004445E0" w:rsidRDefault="00941D22" w:rsidP="004445E0">
      <w:pPr>
        <w:pStyle w:val="Sansinterligne"/>
        <w:rPr>
          <w:rFonts w:ascii="Garamond" w:hAnsi="Garamond"/>
          <w:lang w:val="en-US"/>
        </w:rPr>
      </w:pPr>
      <w:r w:rsidRPr="004445E0">
        <w:rPr>
          <w:rFonts w:ascii="Garamond" w:hAnsi="Garamond"/>
          <w:lang w:val="en-US"/>
        </w:rPr>
        <w:t>Diese Verbindungen sind nicht schwer zu finden. Es sind die Beziehungen der Hilflosigkeit des Kindes zu der sie fortsetzenden des Erwachsenen, so daß, wie zu erwarten stand, die psychoanalytische Motivierung der Religions</w:t>
      </w:r>
      <w:r w:rsidRPr="004445E0">
        <w:rPr>
          <w:rFonts w:ascii="Garamond" w:hAnsi="Garamond"/>
          <w:lang w:val="en-US"/>
        </w:rPr>
        <w:softHyphen/>
        <w:t>bildung der infantile Beitrag zu ihrer manifesten Motivierung wird. Versetzen wir uns in das Seelenleben des kleinen Kindes. Sie erinnern sich an die Objektwahl nach dem Anlehnungstypus, von dem die Analyse spricht? Die Libido folgt den Wegen der narzißtischen Bedürfnisse und heftet sich an die Objekte, welche deren Befriedigung versichern. So wird die Mutter, die den Hunger befriedigt, zum ersten Liebesobjekt und gewiß auch zum ersten Schutz gegen alle die unbestimmten, in der Außenwelt drohenden Gefahren, zum ersten Angstschutz, dürfen wir sagen.</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In dieser Funktion wird die Mutter bald von dem stärkeren Vater abgelöst, dem sie nun über die ganze Kindheit verbleibt. Das Verhältnis zum Vater ist aber mit einer eigentümlichen Ambivalenz behaftet. Er war selbst eine Gefahr, vielleicht von dem früheren Verhältnis zur Mutter her. So fürchtet man ihn nicht minder, als man sich nach ihm sehnt und ihn bewundert. Die Anzeichen dieser Ambivalenz des Vaterverhältnisses sind allen Religionen tief eingeprägt, wie auch in </w:t>
      </w:r>
      <w:r w:rsidRPr="004445E0">
        <w:rPr>
          <w:rFonts w:ascii="Garamond" w:hAnsi="Garamond"/>
          <w:i/>
          <w:iCs/>
          <w:lang w:val="en-US"/>
        </w:rPr>
        <w:t>Totem und Tabu</w:t>
      </w:r>
      <w:r w:rsidRPr="004445E0">
        <w:rPr>
          <w:rFonts w:ascii="Garamond" w:hAnsi="Garamond"/>
          <w:lang w:val="en-US"/>
        </w:rPr>
        <w:t xml:space="preserve"> ausgeführt wird. Wenn nun der Heranwachsende merkt, daß es ihm bestimmt ist, immer ein Kind zu bleiben, daß er des Schutzes gegen fremde Übermächte nie entbehren kann, verleiht er diesen die Züge der Vatergestalt, er schafft sich die Götter, vor denen er sich fürchtet, die er zu gewinnen sucht und denen er doch seinen Schutz überträgt. So ist das Motiv der Vatersehnsucht identisch mit dem Bedürfnis nach Schutz gegen die Folgen der menschlichen Ohnmacht; die Abwehr der kindlichen Hilflosigkeit verleiht der Reaktion auf die Hilflosigkeit, die der Erwachsene anerkennen muß, eben der Religionsbildung, ihre charakteristi</w:t>
      </w:r>
      <w:r w:rsidRPr="004445E0">
        <w:rPr>
          <w:rFonts w:ascii="Garamond" w:hAnsi="Garamond"/>
          <w:lang w:val="en-US"/>
        </w:rPr>
        <w:softHyphen/>
        <w:t>schen Züge. Aber es ist nicht unsere Absicht, die Entwicklung der Gottesidee weiter zu erforschen; wir haben es hier mit dem fertigen Schatz von religiösen Vorstellungen zu tun, wie ihn die Kultur dem Einzelnen übermittelt.</w:t>
      </w:r>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p>
    <w:p w:rsidR="009C0B0A" w:rsidRPr="004445E0" w:rsidRDefault="009C0B0A" w:rsidP="004445E0">
      <w:pPr>
        <w:pStyle w:val="Sansinterligne"/>
        <w:rPr>
          <w:rFonts w:ascii="Garamond" w:eastAsiaTheme="majorEastAsia" w:hAnsi="Garamond" w:cstheme="majorBidi"/>
          <w:b/>
          <w:bCs/>
          <w:color w:val="365F91" w:themeColor="accent1" w:themeShade="BF"/>
          <w:lang w:val="en-US"/>
        </w:rPr>
      </w:pPr>
      <w:r w:rsidRPr="004445E0">
        <w:rPr>
          <w:rFonts w:ascii="Garamond" w:hAnsi="Garamond"/>
          <w:lang w:val="en-US"/>
        </w:rPr>
        <w:br w:type="page"/>
      </w: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 xml:space="preserve">V. </w:t>
        </w:r>
        <w:r w:rsidR="004445E0" w:rsidRPr="004445E0">
          <w:rPr>
            <w:rStyle w:val="Lienhypertexte"/>
            <w:rFonts w:ascii="Garamond" w:hAnsi="Garamond"/>
            <w:lang w:val="en-US"/>
          </w:rPr>
          <w:t xml:space="preserve"> </w:t>
        </w:r>
        <w:r w:rsidR="00941D22" w:rsidRPr="004445E0">
          <w:rPr>
            <w:rStyle w:val="Lienhypertexte"/>
            <w:rFonts w:ascii="Garamond" w:hAnsi="Garamond"/>
            <w:lang w:val="en-US"/>
          </w:rPr>
          <w:t>Ps</w:t>
        </w:r>
        <w:bookmarkStart w:id="51" w:name="Illusion5"/>
        <w:bookmarkEnd w:id="51"/>
        <w:r w:rsidR="00941D22" w:rsidRPr="004445E0">
          <w:rPr>
            <w:rStyle w:val="Lienhypertexte"/>
            <w:rFonts w:ascii="Garamond" w:hAnsi="Garamond"/>
            <w:lang w:val="en-US"/>
          </w:rPr>
          <w:t>ychologische Bedeutung der</w:t>
        </w:r>
        <w:r w:rsidR="004445E0" w:rsidRPr="004445E0">
          <w:rPr>
            <w:rStyle w:val="Lienhypertexte"/>
            <w:rFonts w:ascii="Garamond" w:hAnsi="Garamond"/>
            <w:lang w:val="en-US"/>
          </w:rPr>
          <w:t xml:space="preserve"> religiösen Vorstellungen</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Um den Faden der Untersuchung wiederaufzunehmen: Welches ist also die psychologische Bedeutung der religiösen Vorstellungen, als was können wir sie klassifizieren? Die Frage ist zunächst gar nicht leicht zu beantworten. Nach Abweisung verschiedener Formulierungen wird man bei der einen stehenbleiben: Es sind Lehrsätze, Aussagen über Tatsachen und Verhält</w:t>
      </w:r>
      <w:r w:rsidRPr="004445E0">
        <w:rPr>
          <w:rFonts w:ascii="Garamond" w:hAnsi="Garamond"/>
          <w:lang w:val="en-US"/>
        </w:rPr>
        <w:softHyphen/>
        <w:t>nisse der äußeren (oder inneren) Realität, die etwas mitteilen, was man selbst nicht gefunden hat, und die beanspruchen, daß man ihnen Glauben schenkt. Da sie Auskunft geben über das für uns Wichtigste und Interessan</w:t>
      </w:r>
      <w:r w:rsidRPr="004445E0">
        <w:rPr>
          <w:rFonts w:ascii="Garamond" w:hAnsi="Garamond"/>
          <w:lang w:val="en-US"/>
        </w:rPr>
        <w:softHyphen/>
        <w:t>teste im Leben, werden sie besonders hochgeschätzt. Wer nichts von ihnen weiß, ist sehr unwissend; wer sie in sein Wissen aufgenommen hat, darf sich für sehr bereichert halten.</w:t>
      </w:r>
    </w:p>
    <w:p w:rsidR="00941D22" w:rsidRPr="004445E0" w:rsidRDefault="00941D22" w:rsidP="004445E0">
      <w:pPr>
        <w:pStyle w:val="Sansinterligne"/>
        <w:rPr>
          <w:rFonts w:ascii="Garamond" w:hAnsi="Garamond"/>
          <w:lang w:val="en-US"/>
        </w:rPr>
      </w:pPr>
      <w:r w:rsidRPr="004445E0">
        <w:rPr>
          <w:rFonts w:ascii="Garamond" w:hAnsi="Garamond"/>
          <w:lang w:val="en-US"/>
        </w:rPr>
        <w:t>Es gibt natürlich viele solche Lehrsätze über die verschiedenartigsten Dinge dieser Welt. Jede Schulstunde ist voll von ihnen. Wählen wir die geographische. Wir hören da: Konstanz liegt am Bodensee. Ein Studenten</w:t>
      </w:r>
      <w:r w:rsidRPr="004445E0">
        <w:rPr>
          <w:rFonts w:ascii="Garamond" w:hAnsi="Garamond"/>
          <w:lang w:val="en-US"/>
        </w:rPr>
        <w:softHyphen/>
        <w:t>lied setzt hinzu: Wer's nicht glaubt, geh' hin und seh'. Ich war zufällig dort und kann bestätigen, die schöne Stadt liegt am Ufer eines weiten Gewässers, das alle Umwohnenden Bodensee heißen. Ich bin jetzt auch von der Richtigkeit dieser geographischen Behauptung vollkommen überzeugt. Dabei erinnere ich mich an ein anderes, sehr merkwürdiges Erlebnis. Ich war schon ein gereifter Mann, als ich zum erstenmal auf dem Hügel der athenischen Akropolis stand, zwischen den Tempelruinen, mit dem Blick aufs blaue Meer. In meine Beglückung mengte sich ein Gefühl von Erstaunen, das mir die Deutung eingab: »Also ist das wirklich so, wie wir's in der Schule gelernt hatten!« Was für seichten und kraftlosen Glauben an die reale Wahrheit des Gehörten muß ich damals erworben haben, wenn ich heute so erstaunt sein kann! Aber ich will die Bedeutung dieses Erlebnisses nicht zu sehr betonen; es ist noch eine andere Erklärung meines Erstaunens möglich, die mir damals nicht einfiel, die durchaus subjektiver Natur ist und mit der Besonderheit des Ortes zusammenhängt.</w:t>
      </w:r>
    </w:p>
    <w:p w:rsidR="00941D22" w:rsidRPr="004445E0" w:rsidRDefault="00941D22" w:rsidP="004445E0">
      <w:pPr>
        <w:pStyle w:val="Sansinterligne"/>
        <w:rPr>
          <w:rFonts w:ascii="Garamond" w:hAnsi="Garamond"/>
          <w:lang w:val="en-US"/>
        </w:rPr>
      </w:pPr>
      <w:r w:rsidRPr="004445E0">
        <w:rPr>
          <w:rFonts w:ascii="Garamond" w:hAnsi="Garamond"/>
          <w:lang w:val="en-US"/>
        </w:rPr>
        <w:t>Alle solche Lehrsätze verlangen also Glauben für ihre Inhalte, aber nicht ohne ihren Anspruch zu begründen. Sie geben sich als das abgekürzte Resultat eines längeren, auf Beobachtung, gewiß auch Schlußfolgerung gegründeten Denkprozesses; wer die Absicht hat, diesen Prozeß selbst durchzumachen, anstatt sein Ergebnis anzunehmen, dem zeigen sie den Weg dazu. Es wird immer auch hinzugesetzt, woher man die Kenntnis hat, die der Lehrsatz verkündet, wo er nicht, wie bei geographischen Behaup</w:t>
      </w:r>
      <w:r w:rsidRPr="004445E0">
        <w:rPr>
          <w:rFonts w:ascii="Garamond" w:hAnsi="Garamond"/>
          <w:lang w:val="en-US"/>
        </w:rPr>
        <w:softHyphen/>
        <w:t>tungen, selbstverständlich ist. Zum Beispiel die Erde hat die Gestalt einer Kugel; als Beweise dafür werden angeführt der Foucaultsche Pendelversuch, das Verhalten des Horizonts, die Möglichkeit, die Erde zu umschiffen. Da es, wie alle Beteiligten einsehen, untunlich ist, alle Schulkinder auf Erdumseglungen zu schicken, bescheidet man sich damit, die Lehren der Schule auf »Treu und Glauben« annehmen zu lassen, aber man weiß, der Weg zur persönlichen Überzeugung bleibt offen.</w:t>
      </w:r>
    </w:p>
    <w:p w:rsidR="00941D22" w:rsidRPr="004445E0" w:rsidRDefault="00941D22" w:rsidP="004445E0">
      <w:pPr>
        <w:pStyle w:val="Sansinterligne"/>
        <w:rPr>
          <w:rFonts w:ascii="Garamond" w:hAnsi="Garamond"/>
          <w:lang w:val="en-US"/>
        </w:rPr>
      </w:pPr>
      <w:r w:rsidRPr="004445E0">
        <w:rPr>
          <w:rFonts w:ascii="Garamond" w:hAnsi="Garamond"/>
          <w:lang w:val="en-US"/>
        </w:rPr>
        <w:t>Versuchen wir die religiösen Lehrsätze mit demselben Maß zu messen. Wenn wir die Frage aufwerfen, worauf sich ihr Anspruch gründet, geglaubt zu werden, erhalten wir drei Antworten, die merkwürdig schlecht zusammen</w:t>
      </w:r>
      <w:r w:rsidRPr="004445E0">
        <w:rPr>
          <w:rFonts w:ascii="Garamond" w:hAnsi="Garamond"/>
          <w:lang w:val="en-US"/>
        </w:rPr>
        <w:softHyphen/>
        <w:t>stimmen. Erstens, sie verdienen Glauben, weil schon unsere Urväter sie geglaubt haben, zweitens besitzen wir Beweise, die uns aus eben dieser Vorzeit überliefert sind, und drittens ist es überhaupt verboten, die Frage nach dieser Beglaubigung aufzuwerfen. Dies Unterfangen wurde früher mit den allerhärtesten Strafen belegt, und noch heute sieht es die Gesellschaft ungern, daß jemand es erneuert.</w:t>
      </w:r>
    </w:p>
    <w:p w:rsidR="00941D22" w:rsidRPr="004445E0" w:rsidRDefault="00941D22" w:rsidP="004445E0">
      <w:pPr>
        <w:pStyle w:val="Sansinterligne"/>
        <w:rPr>
          <w:rFonts w:ascii="Garamond" w:hAnsi="Garamond"/>
          <w:lang w:val="en-US"/>
        </w:rPr>
      </w:pPr>
      <w:r w:rsidRPr="004445E0">
        <w:rPr>
          <w:rFonts w:ascii="Garamond" w:hAnsi="Garamond"/>
          <w:lang w:val="en-US"/>
        </w:rPr>
        <w:t>Dieser dritte Punkt muß unsere stärksten Bedenken wecken. Ein solches Verbot kann doch nur die eine Motivierung haben, daß die Gesellschaft die Unsicherheit des Anspruchs sehr wohl kennt, den sie für ihre religiösen Lehren erhebt. Wäre es anders, so würde sie gewiß jedem, der sich selbst eine Überzeugung schaffen will, das Material dazu bereitwilligst zur Verfü</w:t>
      </w:r>
      <w:r w:rsidRPr="004445E0">
        <w:rPr>
          <w:rFonts w:ascii="Garamond" w:hAnsi="Garamond"/>
          <w:lang w:val="en-US"/>
        </w:rPr>
        <w:softHyphen/>
        <w:t>gung stellen. Wir gehen darum mit einem nicht leicht zu beschwichtigenden Mißtrauen an die Prüfung der beiden anderen Beweisgründe. Wir sollen glauben, weil unsere Urväter geglaubt haben. Aber diese unsere Ahnen waren weit unwissender als wir, sie haben an Dinge geglaubt, die wir heute unmöglich annehmen können. Die Möglichkeit regt sich, daß auch die religiösen Lehren von solcher Art sein könnten. Die Beweise, die sie uns hinterlassen haben, sind in Schriften niedergelegt, die selbst alle Charaktere der Unzuverlässigkeit an sich tragen. Sie sind widerspruchsvoll, überarbeitet, verfälscht; wo sie von tatsächlichen Beglaubigungen berichten, selbst unbe</w:t>
      </w:r>
      <w:r w:rsidRPr="004445E0">
        <w:rPr>
          <w:rFonts w:ascii="Garamond" w:hAnsi="Garamond"/>
          <w:lang w:val="en-US"/>
        </w:rPr>
        <w:softHyphen/>
        <w:t>glaubigt. Es hilft nicht viel, wenn für ihren Wortlaut oder auch nur für ihren Inhalt die Herkunft von göttlicher Offenbarung behauptet wird, denn diese Behauptung ist bereits selbst ein Stück jener Lehren, die auf ihre Glaubwürdigkeit untersucht werden sollen, und kein Satz kann sich doch selbst beweisen.</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So kommen wir zu dem sonderbaren Ergebnis, daß gerade diejenigen Mitteilungen unseres Kulturbesitzes, die die größte Bedeutung für uns haben könnten, denen die Aufgabe zugeteilt ist, uns die Rätsel der Welt aufzuklären und uns mit den Leiden des Lebens zu versöhnen, daß gerade sie die allerschwächste Beglaubigung haben. Wir würden uns nicht entschließen können, eine für uns so gleichgiltige Tatsache </w:t>
      </w:r>
      <w:r w:rsidRPr="004445E0">
        <w:rPr>
          <w:rFonts w:ascii="Garamond" w:hAnsi="Garamond"/>
          <w:lang w:val="en-US"/>
        </w:rPr>
        <w:lastRenderedPageBreak/>
        <w:t>anzunehmen, wie daß Walfische Junge gebären anstatt Eier abzulegen, wenn sie nicht besser erweisbar wäre.</w:t>
      </w:r>
    </w:p>
    <w:p w:rsidR="00941D22" w:rsidRPr="004445E0" w:rsidRDefault="00941D22" w:rsidP="004445E0">
      <w:pPr>
        <w:pStyle w:val="Sansinterligne"/>
        <w:rPr>
          <w:rFonts w:ascii="Garamond" w:hAnsi="Garamond"/>
          <w:lang w:val="en-US"/>
        </w:rPr>
      </w:pPr>
      <w:r w:rsidRPr="004445E0">
        <w:rPr>
          <w:rFonts w:ascii="Garamond" w:hAnsi="Garamond"/>
          <w:lang w:val="en-US"/>
        </w:rPr>
        <w:t>Dieser Sachverhalt ist an sich ein sehr merkwürdiges psychologisches Problem. Auch möge niemand glauben, daß die vorstehenden Bemerkungen über die Unbeweisbarkeit der religiösen Lehren etwas Neues enthalten. Sie ist zu jeder Zeit verspürt worden, gewiß auch von den Urahnen, die solche Erbschaft hinterlassen haben. Wahrscheinlich haben viele von ihnen diesel</w:t>
      </w:r>
      <w:r w:rsidRPr="004445E0">
        <w:rPr>
          <w:rFonts w:ascii="Garamond" w:hAnsi="Garamond"/>
          <w:lang w:val="en-US"/>
        </w:rPr>
        <w:softHyphen/>
        <w:t>ben Zweifel genährt wie wir, es lastete aber ein zu starker Druck auf ihnen, als daß sie gewagt hätten, dieselben zu äußern. Und seither haben sich unzählige Menschen mit den nämlichen Zweifeln gequält, die sie unter</w:t>
      </w:r>
      <w:r w:rsidRPr="004445E0">
        <w:rPr>
          <w:rFonts w:ascii="Garamond" w:hAnsi="Garamond"/>
          <w:lang w:val="en-US"/>
        </w:rPr>
        <w:softHyphen/>
        <w:t>drücken wollten, weil sie sich für verpflichtet hielten zu glauben, sind viele glänzende Intellekte an diesem Konflikt gescheitert, haben viele Charaktere an den Kompromissen Schaden gelitten, in denen sie einen Ausweg suchten.</w:t>
      </w:r>
    </w:p>
    <w:p w:rsidR="00941D22" w:rsidRPr="004445E0" w:rsidRDefault="00941D22" w:rsidP="004445E0">
      <w:pPr>
        <w:pStyle w:val="Sansinterligne"/>
        <w:rPr>
          <w:rFonts w:ascii="Garamond" w:hAnsi="Garamond"/>
          <w:lang w:val="en-US"/>
        </w:rPr>
      </w:pPr>
      <w:r w:rsidRPr="004445E0">
        <w:rPr>
          <w:rFonts w:ascii="Garamond" w:hAnsi="Garamond"/>
          <w:lang w:val="en-US"/>
        </w:rPr>
        <w:t>Wenn alle Beweise, die man für die Glaubwürdigkeit der religiösen Lehrsätze vorbringt, aus der Vergangenheit stammen, so liegt es nahe umzuschauen, ob nicht die besser zu beurteilende Gegenwart auch solche Beweise liefern kann. Wenn es gelänge, nur ein einzelnes Stück des religiösen Systems solcherart dem Zweifel zu entziehen, so würde dadurch das Ganze außerordentlich an Glaubhaftigkeit gewinnen. Hier setzt die Tätigkeit der Spiritisten ein, die von der Fortdauer der individuellen Seele überzeugt sind und uns diesen einen Satz der religiösen Lehre zweifelsfrei demonstrieren wollen. Es gelingt ihnen leider nicht zu widerlegen, daß die Erscheinungen und Äußerungen ihrer Geister nur Produktionen ihrer eigenen Seelentätigkeit sind. Sie haben die Geister der größten Menschen, der hervorragendsten Denker zitiert, aber alle Äußerungen und Auskünfte, die sie von ihnen erhielten, waren so albern, so trostlos nichtssagend, daß man nichts anderes glaubwürdig finden kann als die Fähigkeit der Geister, sich dem Kreis von Menschen anzupassen, der sie heraufbeschwört.</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Man muß nun zweier Versuche gedenken, die den Eindruck krampfhafter Bemühung machen, dem Problem zu entgehen. Der eine, gewaltsamer Natur, ist alt, der andere subtil und modern. Der erstere ist das </w:t>
      </w:r>
      <w:r w:rsidRPr="004445E0">
        <w:rPr>
          <w:rFonts w:ascii="Garamond" w:hAnsi="Garamond"/>
          <w:i/>
          <w:iCs/>
          <w:lang w:val="en-US"/>
        </w:rPr>
        <w:t>»Credo quia absurdum'</w:t>
      </w:r>
      <w:r w:rsidRPr="004445E0">
        <w:rPr>
          <w:rFonts w:ascii="Garamond" w:hAnsi="Garamond"/>
          <w:lang w:val="en-US"/>
        </w:rPr>
        <w:t xml:space="preserve"> des Kirchenvaters. Das will besagen, die religiösen Lehren sind den Ansprüchen der Vernunft entzogen, sie stehen über der Vernunft. Man muß ihre Wahrheit innerlich verspüren, braucht sie nicht zu begreifen. Allein dieses </w:t>
      </w:r>
      <w:r w:rsidRPr="004445E0">
        <w:rPr>
          <w:rFonts w:ascii="Garamond" w:hAnsi="Garamond"/>
          <w:i/>
          <w:iCs/>
          <w:lang w:val="en-US"/>
        </w:rPr>
        <w:t>Credo</w:t>
      </w:r>
      <w:r w:rsidRPr="004445E0">
        <w:rPr>
          <w:rFonts w:ascii="Garamond" w:hAnsi="Garamond"/>
          <w:lang w:val="en-US"/>
        </w:rPr>
        <w:t xml:space="preserve"> ist nur als Selbstbekenntnis interessant, als Machtspruch ist es ohne Verbindlichkeit. Soll ich verpflichtet werden, jede Absurdität zu glauben? Und wenn nicht, warum gerade diese? Es gibt keine Instanz über der Vernunft. Wenn die Wahrheit der religiösen Lehren abhängig ist von einem inneren Erlebnis, das diese Wahrheit bezeugt, was macht man mit den vielen Menschen, die solch ein seltenes Erlebnis nicht haben? Man kann von allen Menschen verlangen, daß sie die Gabe der Vernunft anwenden, die sie besitzen, aber man kann nicht eine für alle giltige Verpflichtung auf ein Motiv aufbauen, das nur bei ganz wenigen existiert. Wenn der eine aus einem ihn tief ergreifenden ekstatischen Zustand die unerschütterliche Überzeugung von der realen Wahrheit der religiösen Lehren gewonnen hat, was bedeutet das dem anderen?</w:t>
      </w:r>
    </w:p>
    <w:p w:rsidR="00941D22" w:rsidRPr="004445E0" w:rsidRDefault="00941D22" w:rsidP="004445E0">
      <w:pPr>
        <w:pStyle w:val="Sansinterligne"/>
        <w:rPr>
          <w:rFonts w:ascii="Garamond" w:hAnsi="Garamond"/>
          <w:lang w:val="en-US"/>
        </w:rPr>
      </w:pPr>
      <w:r w:rsidRPr="004445E0">
        <w:rPr>
          <w:rFonts w:ascii="Garamond" w:hAnsi="Garamond"/>
        </w:rPr>
        <w:t xml:space="preserve">Der zweite Versuch ist der der Philosophie des »Als ob«. Er führt aus, daß es in unserer Denktätigkeit reichlich Annahmen gibt, deren Grundlosigkeit, ja deren Absurdität wir voll einsehen. </w:t>
      </w:r>
      <w:r w:rsidRPr="004445E0">
        <w:rPr>
          <w:rFonts w:ascii="Garamond" w:hAnsi="Garamond"/>
          <w:lang w:val="en-US"/>
        </w:rPr>
        <w:t>Sie werden Fiktionen geheißen, aber aus mannigfachen praktischen Motiven müßten wir uns so benehmen, »als ob« wir an diese Fiktionen glaubten. Dies treffe für die religiösen Lehren wegen ihrer unvergleichlichen Wichtigkeit für die Aufrechterhaltung der menschlichen Gesellschaft zu.</w:t>
      </w:r>
      <w:r w:rsidRPr="004445E0">
        <w:rPr>
          <w:rFonts w:ascii="Garamond" w:hAnsi="Garamond"/>
          <w:vertAlign w:val="superscript"/>
          <w:lang w:val="en-US"/>
        </w:rPr>
        <w:t>1)</w:t>
      </w:r>
      <w:r w:rsidRPr="004445E0">
        <w:rPr>
          <w:rFonts w:ascii="Garamond" w:hAnsi="Garamond"/>
          <w:lang w:val="en-US"/>
        </w:rPr>
        <w:t xml:space="preserve"> Diese Argumentation ist von dem </w:t>
      </w:r>
      <w:r w:rsidRPr="004445E0">
        <w:rPr>
          <w:rFonts w:ascii="Garamond" w:hAnsi="Garamond"/>
          <w:i/>
          <w:iCs/>
          <w:lang w:val="en-US"/>
        </w:rPr>
        <w:t>»Credo quia absurdum«</w:t>
      </w:r>
      <w:r w:rsidRPr="004445E0">
        <w:rPr>
          <w:rFonts w:ascii="Garamond" w:hAnsi="Garamond"/>
          <w:lang w:val="en-US"/>
        </w:rPr>
        <w:t xml:space="preserve"> nicht weit entfernt. Aber ich meine, die Forderung des »Als ob« ist eine solche, wie sie nur ein Philosoph aufstellen kann. Der durch die Künste der Philosophie in seinem Denken nicht beeinflußte Mensch wird sie nie annehmen können, für ihn ist mit dem Zugeständnis der Absurdität, der Vernunftwidrigkeit, alles erledigt. Er kann nicht dazu verhalten werden, gerade in der Behandlung seiner wichtigsten Interessen auf die Sicherheiten zu verzichten, die er sonst für alle seine gewöhnlichen Tätigkeiten verlangt. Ich erinnere mich an eines meiner Kinder, das sich frühzeitig durch eine besondere Betonung der Sachlichkeit auszeichnete. Wenn den Kindern ein Märchen erzählt wurde, dem sie andächtig lauschten, kam er hinzu und fragte: Ist das eine wahre Geschichte? Nachdem man es verneint hatte, zog er mit einer geringschätzigen Miene ab. Es steht zu erwarten, daß sich die Menschen gegen die religiösen Märchen bald ähnlich benehmen werden, trotz der Fürsprache des »Als ob«.</w:t>
      </w:r>
    </w:p>
    <w:p w:rsidR="00941D22" w:rsidRPr="004445E0" w:rsidRDefault="00941D22" w:rsidP="004445E0">
      <w:pPr>
        <w:pStyle w:val="Sansinterligne"/>
        <w:rPr>
          <w:rFonts w:ascii="Garamond" w:hAnsi="Garamond"/>
          <w:lang w:val="en-US"/>
        </w:rPr>
      </w:pPr>
      <w:r w:rsidRPr="004445E0">
        <w:rPr>
          <w:rFonts w:ascii="Garamond" w:hAnsi="Garamond"/>
          <w:lang w:val="en-US"/>
        </w:rPr>
        <w:t>Aber sie benehmen sich derzeit noch ganz anders, und in vergangenen Zeiten haben die religiösen Vorstellungen trotz ihres unbestreitbaren Mangels an Beglaubigung den allerstärksten Einfluß auf die Menschheit geübt. Das ist ein neues psychologisches Problem. Man muß fragen, worin besteht die innere Kraft dieser Lehren, welchem Umstand verdanken sie ihre von der vernünftigen Anerkennung unabhängige Wirksamkeit?</w:t>
      </w:r>
    </w:p>
    <w:p w:rsidR="00941D22" w:rsidRPr="004445E0" w:rsidRDefault="00941D22" w:rsidP="004445E0">
      <w:pPr>
        <w:pStyle w:val="Sansinterligne"/>
        <w:rPr>
          <w:rFonts w:ascii="Garamond" w:hAnsi="Garamond"/>
          <w:lang w:val="en-US"/>
        </w:rPr>
      </w:pPr>
      <w:r w:rsidRPr="004445E0">
        <w:rPr>
          <w:rFonts w:ascii="Garamond" w:hAnsi="Garamond"/>
          <w:lang w:val="en-US"/>
        </w:rPr>
        <w:t> </w:t>
      </w:r>
    </w:p>
    <w:p w:rsidR="00941D22" w:rsidRPr="004445E0" w:rsidRDefault="00941D22" w:rsidP="004445E0">
      <w:pPr>
        <w:pStyle w:val="Sansinterligne"/>
        <w:rPr>
          <w:rFonts w:ascii="Garamond" w:hAnsi="Garamond"/>
          <w:lang w:val="en-US"/>
        </w:rPr>
      </w:pPr>
      <w:r w:rsidRPr="004445E0">
        <w:rPr>
          <w:rFonts w:ascii="Garamond" w:hAnsi="Garamond"/>
          <w:lang w:val="en-US"/>
        </w:rPr>
        <w:t>____________________</w:t>
      </w:r>
    </w:p>
    <w:p w:rsidR="00941D22" w:rsidRPr="004445E0" w:rsidRDefault="00941D22" w:rsidP="004445E0">
      <w:pPr>
        <w:pStyle w:val="Sansinterligne"/>
        <w:rPr>
          <w:rFonts w:ascii="Garamond" w:hAnsi="Garamond"/>
          <w:lang w:val="en-US"/>
        </w:rPr>
      </w:pPr>
      <w:r w:rsidRPr="004445E0">
        <w:rPr>
          <w:rFonts w:ascii="Garamond" w:hAnsi="Garamond"/>
          <w:vertAlign w:val="superscript"/>
          <w:lang w:val="en-US"/>
        </w:rPr>
        <w:lastRenderedPageBreak/>
        <w:t>1)</w:t>
      </w:r>
      <w:r w:rsidRPr="004445E0">
        <w:rPr>
          <w:rFonts w:ascii="Garamond" w:hAnsi="Garamond"/>
          <w:lang w:val="en-US"/>
        </w:rPr>
        <w:t xml:space="preserve"> Ich hoffe kein Unrecht zu begehen, wenn ich den Philosophen des »Als ob« eine Ansicht vertreten lasse, die auch anderen Denkern nicht fremd ist. Vgl. H. Vaihinger (1922, 68): »Wir ziehen in den Kreis der Fiktion nicht nur glcichgiltige, theoretische Operationen herein, sondern Begriffsgebilde, welche die edelsten Menschen ersonnen haben, an denen das Herz des edleren Teiles der Menschheit hängt und welche diese sich nicht entreißen läßt. Wir wollen das auch gar nicht tun — als </w:t>
      </w:r>
      <w:r w:rsidRPr="004445E0">
        <w:rPr>
          <w:rFonts w:ascii="Garamond" w:hAnsi="Garamond"/>
          <w:i/>
          <w:iCs/>
          <w:lang w:val="en-US"/>
        </w:rPr>
        <w:t>praktische Fiktion</w:t>
      </w:r>
      <w:r w:rsidRPr="004445E0">
        <w:rPr>
          <w:rFonts w:ascii="Garamond" w:hAnsi="Garamond"/>
          <w:lang w:val="en-US"/>
        </w:rPr>
        <w:t xml:space="preserve"> lassen wir das alles bestehen, als </w:t>
      </w:r>
      <w:r w:rsidRPr="004445E0">
        <w:rPr>
          <w:rFonts w:ascii="Garamond" w:hAnsi="Garamond"/>
          <w:i/>
          <w:iCs/>
          <w:lang w:val="en-US"/>
        </w:rPr>
        <w:t>theoretische Wahrheit</w:t>
      </w:r>
      <w:r w:rsidRPr="004445E0">
        <w:rPr>
          <w:rFonts w:ascii="Garamond" w:hAnsi="Garamond"/>
          <w:lang w:val="en-US"/>
        </w:rPr>
        <w:t xml:space="preserve"> aber stirbt es dahin.«</w:t>
      </w:r>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p>
    <w:p w:rsidR="009C0B0A" w:rsidRPr="004445E0" w:rsidRDefault="009C0B0A" w:rsidP="004445E0">
      <w:pPr>
        <w:pStyle w:val="Sansinterligne"/>
        <w:rPr>
          <w:rFonts w:ascii="Garamond" w:eastAsiaTheme="majorEastAsia" w:hAnsi="Garamond" w:cstheme="majorBidi"/>
          <w:b/>
          <w:bCs/>
          <w:color w:val="365F91" w:themeColor="accent1" w:themeShade="BF"/>
          <w:lang w:val="en-US"/>
        </w:rPr>
      </w:pPr>
      <w:r w:rsidRPr="004445E0">
        <w:rPr>
          <w:rFonts w:ascii="Garamond" w:hAnsi="Garamond"/>
          <w:lang w:val="en-US"/>
        </w:rPr>
        <w:br w:type="page"/>
      </w: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 xml:space="preserve">VI. </w:t>
        </w:r>
        <w:r w:rsidR="004445E0" w:rsidRPr="004445E0">
          <w:rPr>
            <w:rStyle w:val="Lienhypertexte"/>
            <w:rFonts w:ascii="Garamond" w:hAnsi="Garamond"/>
            <w:lang w:val="en-US"/>
          </w:rPr>
          <w:t xml:space="preserve"> </w:t>
        </w:r>
        <w:r w:rsidR="00941D22" w:rsidRPr="004445E0">
          <w:rPr>
            <w:rStyle w:val="Lienhypertexte"/>
            <w:rFonts w:ascii="Garamond" w:hAnsi="Garamond"/>
            <w:lang w:val="en-US"/>
          </w:rPr>
          <w:t>Di</w:t>
        </w:r>
        <w:bookmarkStart w:id="52" w:name="Illusion6"/>
        <w:bookmarkEnd w:id="52"/>
        <w:r w:rsidR="00941D22" w:rsidRPr="004445E0">
          <w:rPr>
            <w:rStyle w:val="Lienhypertexte"/>
            <w:rFonts w:ascii="Garamond" w:hAnsi="Garamond"/>
            <w:lang w:val="en-US"/>
          </w:rPr>
          <w:t>e Illusi</w:t>
        </w:r>
        <w:r w:rsidR="004445E0" w:rsidRPr="004445E0">
          <w:rPr>
            <w:rStyle w:val="Lienhypertexte"/>
            <w:rFonts w:ascii="Garamond" w:hAnsi="Garamond"/>
            <w:lang w:val="en-US"/>
          </w:rPr>
          <w:t>on der religiösen Vorstellungen</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Ich meine, wir haben die Antwort auf beide Fragen genügend vorbereitet. Sie ergibt sich, wenn wir die psychische Genese der religiösen Vorstellungen ins Auge fassen. Diese, die sich als Lehrsätze ausgeben, sind nicht Niederschläge der Erfahrung oder Endresultate des Denkens, es sind Illusionen, Erfüllungen der ältesten, stärksten, dringendsten Wünsche der Menschheit; das Geheimnis ihrer Stärke ist die Stärke dieser Wünsche. Wir wissen schon, der schreckende Eindruck der kindlichen Hilflosigkeit hat das Bedürfnis nach Schutz — Schutz durch Liebe — erweckt, dem der Vater abgeholfen hat, die Erkenntnis von der Fortdauer dieser Hilflosigkeit durchs ganze Leben hat das Festhalten an der Existenz eines — aber nun mächtigeren — Vaters verursacht. Durch das gütige Walten der göttlichen Vorsehung wird die Angst vor den Gefahren des Lebens beschwichtigt, die Einsetzung einer sittlichen Weltordnung versichert die Erfüllung der Gerechtigkeitsforderung, die innerhalb der menschlichen Kultur so oft unerfüllt geblieben ist, die Verlängerung der irdischen Existenz durch ein zukünftiges Leben stellt den örtlichen und zeitlichen Rahmen bei, in dem sich diese Wunscherfüllungen vollziehen sollen. Antworten auf Rätselfragen der menschlichen Wißbegierde, wie nach der Entstehung der Welt und der Beziehung zwischen Körperlichem und Seelischem, werden unter den Voraussetzungen dieses Systems entwickelt; es bedeutet eine großartige Erleichterung für die Einzelpsyche, wenn die nie ganz überwundenen Konflikte der Kinderzeit aus dem Vaterkomplex ihr abgenommen und einer von allen angenommenen Lösung zugeführt werden.</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Wenn ich sage, das alles sind Illusionen, muß ich die Bedeutung des Wortes abgrenzen. Eine Illusion ist nicht dasselbe wie ein Irrtum, sie ist auch nicht notwendig ein Irrtum. Die Meinung des Aristoteles, daß sich Ungeziefer aus Unrat entwickle, an der das unwissende Volk noch heute festhält, war ein Irrtum, ebenso die einer früheren ärztlichen Generation, daß die </w:t>
      </w:r>
      <w:r w:rsidRPr="004445E0">
        <w:rPr>
          <w:rFonts w:ascii="Garamond" w:hAnsi="Garamond"/>
          <w:i/>
          <w:iCs/>
          <w:lang w:val="en-US"/>
        </w:rPr>
        <w:t>Tabes dorsalis</w:t>
      </w:r>
      <w:r w:rsidRPr="004445E0">
        <w:rPr>
          <w:rFonts w:ascii="Garamond" w:hAnsi="Garamond"/>
          <w:lang w:val="en-US"/>
        </w:rPr>
        <w:t xml:space="preserve"> die Folge von sexueller Ausschweifung sei. Es wäre mißbräuchlich, diese Irrtümer Illusionen zu heißen. Dagegen war es eine Illusion des Kolumbus, daß er einen neuen Seeweg nach Indien entdeckt habe. Der Anteil seines Wunsches an diesem Irrtum ist sehr deutlich. Als Illusion kann man die Behauptung gewisser Nationalisten bezeichnen, die Indogermanen seien die einzige kulturfähige Menschenrasse, oder den Glauben, den erst die Psychoanalyse zerstört hat, das Kind sei ein Wesen ohne Sexualität. Für die Illusion bleibt charakteristisch die Ableitung aus menschlichen Wünschen, sie nähert sich in dieser Hinsicht der psychiatrischen Wahnidee, aber sie scheidet sich, abgesehen von dem komplizierteren Aufbau der Wahnidee, auch von dieser. An der Wahnidee heben wir als wesentlich den Widerspruch gegen die Wirklichkeit hervor, die Illusion muß nicht notwendig falsch, d. h. unrealisierbar oder im Widerspruch mit der Realität sein. Ein Bürgermädchen kann sich z. B. die Illusion machen, daß ein Prinz kommen wird, um sie heimzuholen. Es ist möglich, einige Fälle dieser Art haben sich ereignet. Daß der Messias kommen und ein Goldenes Zeitalter begründen wird, ist weit weniger wahrscheinlich; je nach der persönlichen Einstellung des Urteilenden wird er diesen Glauben als Illusion oder als Analogie einer Wahnidee klassifizieren. Beispiele von Illusionen, die sich bewahrheitet haben, sind sonst nicht leicht aufzufinden. Aber die Illusion der Alchimisten, alle Metalle in Gold verwandeln zu können, könnte eine solche sein. Der Wunsch, sehr viel Gold, soviel Gold als möglich zu haben, ist durch unsere heutige Einsicht in die Bedingungen des Reichtums sehr gedämpft, doch hält die Chemie eine Umwandlung der Metalle in Gold nicht mehr für unmöglich. Wir heißen also einen Glauben eine Illusion, wenn sich in seiner Motivierung die Wunscherfüllung vordrängt, und sehen dabei von seinem Verhältnis zur Wirklichkeit ab, ebenso wie die Illusion selbst auf ihre Beglaubigungen verzichtet.</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Wenden wir uns nach dieser Orientierung wieder zu den religiösen Lehren, so dürfen wir wiederholend sagen: Sie sind sämtlich Illusionen, unbeweisbar, niemand darf gezwungen werden, sie für wahr zu halten, an sie zu glauben. Einige von ihnen sind so unwahrscheinlich, so sehr im Widerspruch zu allem, was wir mühselig über die Realität der Welt erfahren haben, daß man sie — mit entsprechender Berücksichtigung der psychologischen Unterschiede — den Wahnideen vergleichen kann. Über den Realitätswert der meisten von ihnen kann man nicht urteilen. So wie sie unbeweisbar sind, sind sie auch unwiderlegbar. Man weiß noch zu wenig, um ihnen kritisch näherzurücken. Die Rätsel der Welt entschleiern sich unserer Forschung nur langsam, die Wissenschaft kann auf viele Fragen heute noch keine Antwort geben. Die wissenschaftliche Arbeit ist aber für uns der einzige Weg, der zur Kenntnis der Realität außer uns führen kann. Es ist wiederum nur Illusion, wenn man von der Intuition und der Selbstversenkung etwas erwartet; sie kann uns nichts geben als — schwer deutbare — Aufschlüsse über unser eigenes Seelenleben, niemals Auskunft über die Fragen, deren Beantwortung der religiösen Lehre so leicht wird. Die eigene Willkür in die Lücke eintreten zu lassen und nach persönlichem Ermessen dies oder jenes Stück des religiösen </w:t>
      </w:r>
      <w:r w:rsidRPr="004445E0">
        <w:rPr>
          <w:rFonts w:ascii="Garamond" w:hAnsi="Garamond"/>
          <w:lang w:val="en-US"/>
        </w:rPr>
        <w:lastRenderedPageBreak/>
        <w:t>Systems für mehr oder weniger annehmbar zu erklären wäre frevelhaft. Dafür sind diese Fragen zu bedeutungsvoll, man möchte sagen: zu heilig.</w:t>
      </w:r>
    </w:p>
    <w:p w:rsidR="00941D22" w:rsidRPr="004445E0" w:rsidRDefault="00941D22" w:rsidP="004445E0">
      <w:pPr>
        <w:pStyle w:val="Sansinterligne"/>
        <w:rPr>
          <w:rFonts w:ascii="Garamond" w:hAnsi="Garamond"/>
          <w:lang w:val="en-US"/>
        </w:rPr>
      </w:pPr>
      <w:r w:rsidRPr="004445E0">
        <w:rPr>
          <w:rFonts w:ascii="Garamond" w:hAnsi="Garamond"/>
          <w:lang w:val="en-US"/>
        </w:rPr>
        <w:t>An dieser Stelle kann man auf den Einwand gefaßt sein: »Also, wenn selbst die verbissenen Skeptiker zugeben, daß die Behauptungen der Religion nicht mit dem Verstand zu widerlegen sind, warum soll ich ihnen dann nicht glauben, da sie soviel für sich haben, die Tradition, die Übereinstimmung der Menschen und all das Tröstliche ihres Inhalts?« Ja, warum nicht? So wie niemand zum Glauben gezwungen werden kann, so auch niemand zum Unglauben. Aber man gefalle sich nicht in der Selbsttäuschung, daß man mit solchen Begründungen die Wege des korrekten Denkens geht. Wenn die Verurteilung »faule Ausrede« je am Platze war, so hier. Die Unwissenheit ist die Unwissenheit; kein Recht, etwas zu glauben, leitet sich aus ihr ab. Kein vernünftiger Mensch wird sich in anderen Dingen so leichtsinnig benehmen und sich mit so armseligen Begründungen seiner Urteile, seiner Parteinahme, zufriedengeben, nur in den höchsten und heiligsten Dingen gestattet er sich das. In Wirklichkeit sind es nur Bemühungen, um sich oder anderen vorzuspiegeln, man halte noch an der Religion fest, während man sich längst von ihr abgelöst hat. Wenn es sich um Fragen der Religion handelt, machen sich die Menschen aller möglichen Unaufrichtigkeiten und intellektuellen Unarten schuldig. Philosophen überdehnen die Bedeutung von Worten, bis diese kaum etwas von ihrem ursprünglichen Sinn übrigbehalten, sie heißen irgendeine verschwommene Abstraktion, die sie sich geschaffen haben, »Gott« und sind nun auch Deisten, Gottesgläubige vor aller Welt, können sich selbst rühmen, einen höheren, reineren Gottesbegriff erkannt zu haben, obwohl ihr Gott nur mehr ein wesenloser Schatten ist und nicht mehr die machtvolle Persönlichkeit der religiösen Lehre. Kritiker beharren darauf, einen Menschen, der sich zum Gefühl der menschlichen Kleinheit und Ohnmacht vor dem Ganzen der Welt bekannt, für »tief religiös« zu erklären, obwohl nicht dieses Gefühl das Wesen der Religiosität ausmacht, sondern erst der nächste Schritt, die Reaktion darauf, die gegen dies Gefühl eine Abhilfe sucht. Wer nicht weiter geht, wer sich demütig mit der geringfügigen Rolle des Menschen in der großen Welt bescheidet, der ist vielmehr irreligiös im wahrsten Sinne des Wortes.</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Es liegt nicht im Plane dieser Untersuchung, zum Wahrheitswert der religiösen Lehren Stellung zu nehmen. </w:t>
      </w:r>
      <w:r w:rsidRPr="004445E0">
        <w:rPr>
          <w:rFonts w:ascii="Garamond" w:hAnsi="Garamond"/>
        </w:rPr>
        <w:t xml:space="preserve">Es genügt uns, sie in ihrer psychologischen Natur als Illusionen erkannt zu haben. Aber wir brauchen nicht zu verhehlen, daß diese Aufdeckung auch unsere Einstellung zu der Frage, die vielen als die wichtigste erscheinen muß, mächtig beeinflußt. </w:t>
      </w:r>
      <w:r w:rsidRPr="004445E0">
        <w:rPr>
          <w:rFonts w:ascii="Garamond" w:hAnsi="Garamond"/>
          <w:lang w:val="en-US"/>
        </w:rPr>
        <w:t>Wir wissen ungefähr, zu welchen Zeiten die religiösen Lehren geschaffen worden sind und von was für Menschen. Erfahren wir noch, aus welchen Motiven es geschah, so erfährt unser Standpunkt zum religiösen Problem eine merkliche Verschiebung. Wir sagen uns, es wäre ja sehr schön, wenn es einen Gott gäbe als Weltenschöpfer und gütige Vorsehung, eine sittliche Weltordnung und ein jenseitiges Leben, aber es ist doch sehr auffällig, daß dies alles so ist, wie wir es uns wünschen müssen. Und es wäre noch sonderbarer, daß unseren armen, unwissenden, unfreien Vorvätern die Lösung all dieser schwierigen Welträtsel geglückt sein sollte.</w:t>
      </w:r>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p>
    <w:p w:rsidR="009C0B0A" w:rsidRPr="004445E0" w:rsidRDefault="009C0B0A" w:rsidP="004445E0">
      <w:pPr>
        <w:pStyle w:val="Sansinterligne"/>
        <w:rPr>
          <w:rFonts w:ascii="Garamond" w:eastAsiaTheme="majorEastAsia" w:hAnsi="Garamond" w:cstheme="majorBidi"/>
          <w:b/>
          <w:bCs/>
          <w:color w:val="365F91" w:themeColor="accent1" w:themeShade="BF"/>
          <w:lang w:val="en-US"/>
        </w:rPr>
      </w:pPr>
      <w:r w:rsidRPr="004445E0">
        <w:rPr>
          <w:rFonts w:ascii="Garamond" w:hAnsi="Garamond"/>
          <w:lang w:val="en-US"/>
        </w:rPr>
        <w:br w:type="page"/>
      </w: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 xml:space="preserve">VII. </w:t>
        </w:r>
        <w:r w:rsidR="004445E0" w:rsidRPr="004445E0">
          <w:rPr>
            <w:rStyle w:val="Lienhypertexte"/>
            <w:rFonts w:ascii="Garamond" w:hAnsi="Garamond"/>
            <w:lang w:val="en-US"/>
          </w:rPr>
          <w:t xml:space="preserve"> </w:t>
        </w:r>
        <w:r w:rsidR="00941D22" w:rsidRPr="004445E0">
          <w:rPr>
            <w:rStyle w:val="Lienhypertexte"/>
            <w:rFonts w:ascii="Garamond" w:hAnsi="Garamond"/>
            <w:lang w:val="en-US"/>
          </w:rPr>
          <w:t>Re</w:t>
        </w:r>
        <w:bookmarkStart w:id="53" w:name="Illusion7"/>
        <w:bookmarkEnd w:id="53"/>
        <w:r w:rsidR="00941D22" w:rsidRPr="004445E0">
          <w:rPr>
            <w:rStyle w:val="Lienhypertexte"/>
            <w:rFonts w:ascii="Garamond" w:hAnsi="Garamond"/>
            <w:lang w:val="en-US"/>
          </w:rPr>
          <w:t>vision der Beziehu</w:t>
        </w:r>
        <w:r w:rsidR="004445E0" w:rsidRPr="004445E0">
          <w:rPr>
            <w:rStyle w:val="Lienhypertexte"/>
            <w:rFonts w:ascii="Garamond" w:hAnsi="Garamond"/>
            <w:lang w:val="en-US"/>
          </w:rPr>
          <w:t>ng zwischen Kultur und Religion</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Wenn wir die religiösen Lehren als Illusionen erkannt haben, erhebt sich sofort die weitere Frage, ob nicht auch anderer Kulturbesitz, den wir hochhalten und von dem wir unser Leben beherrschen lassen, ähnlicher Natur ist. Ob nicht die Voraussetzungen, die unsere staatlichen Einrichtungen regeln, gleichfalls Illusionen genannt werden müssen, ob nicht die Beziehungen der Geschlechter in unserer Kultur durch eine oder eine Reihe von erotischen Illusionen getrübt werden? Ist unser Mißtrauen einmal rege geworden, so werden wir auch vor der Frage nicht zurückschrecken, ob unsere Überzeugung, durch die Anwendung des Beobachtens und Denkens in wissenschaftlicher Arbeit etwas von der äußeren Realität erfahren zu können, eine bessere Begründung hat. Nichts darf uns abhalten, die Wendung der Beobachtung auf unser eigenes Wesen und die Verwendung des Denkens zu seiner eigenen Kritik gutzuheißen. Eine Reihe von Untersuchungen eröffnet sich hier, deren Ausfall entscheidend für den Aufbau einer »Weltanschauung« werden müßte. Wir ahnen auch, daß eine solche Bemühung nicht verschwendet sein und daß sie unserem Argwohn wenigstens teilweise Rechtfertigung bringen wird. Aber das Vermögen des Autors verweigert sich einer so umfassenden Aufgabe, notgedrungen engt er seine Arbeit auf die Verfolgung einer einzigen von diesen Illusionen, eben der religiösen, ein.</w:t>
      </w:r>
    </w:p>
    <w:p w:rsidR="00941D22" w:rsidRPr="004445E0" w:rsidRDefault="00941D22" w:rsidP="004445E0">
      <w:pPr>
        <w:pStyle w:val="Sansinterligne"/>
        <w:rPr>
          <w:rFonts w:ascii="Garamond" w:hAnsi="Garamond"/>
          <w:lang w:val="en-US"/>
        </w:rPr>
      </w:pPr>
      <w:r w:rsidRPr="004445E0">
        <w:rPr>
          <w:rFonts w:ascii="Garamond" w:hAnsi="Garamond"/>
        </w:rPr>
        <w:t xml:space="preserve">Die laute Stimme unseres Gegners gebietet uns nun halt. </w:t>
      </w:r>
      <w:r w:rsidRPr="004445E0">
        <w:rPr>
          <w:rFonts w:ascii="Garamond" w:hAnsi="Garamond"/>
          <w:lang w:val="en-US"/>
        </w:rPr>
        <w:t>Wir werden zur Rechenschaft gezogen ob unseres verbotenen Tuns. Er sagt uns:</w:t>
      </w:r>
    </w:p>
    <w:p w:rsidR="00941D22" w:rsidRPr="004445E0" w:rsidRDefault="00941D22" w:rsidP="004445E0">
      <w:pPr>
        <w:pStyle w:val="Sansinterligne"/>
        <w:rPr>
          <w:rFonts w:ascii="Garamond" w:hAnsi="Garamond"/>
          <w:lang w:val="en-US"/>
        </w:rPr>
      </w:pPr>
      <w:r w:rsidRPr="004445E0">
        <w:rPr>
          <w:rFonts w:ascii="Garamond" w:hAnsi="Garamond"/>
          <w:lang w:val="en-US"/>
        </w:rPr>
        <w:t>»Archäologische Interessen sind ja recht lobenswert, aber man stellt keine Ausgrabungen an, wenn man durch sie die Wohnstätten der Lebenden untergräbt, so daß sie einstürzen und die Menschen unter ihren Trümmern verschütten. Die religiösen Lehren sind kein Gegenstand, über den man klügeln kann wie über einen beliebigen anderen. Unsere Kultur ist auf ihnen aufgebaut, die Erhaltung der menschlichen Gesellschaft hat zur Voraus</w:t>
      </w:r>
      <w:r w:rsidRPr="004445E0">
        <w:rPr>
          <w:rFonts w:ascii="Garamond" w:hAnsi="Garamond"/>
          <w:lang w:val="en-US"/>
        </w:rPr>
        <w:softHyphen/>
        <w:t>setzung, daß die Menschen in ihrer Überzahl an die Wahrheit dieser Lehren glauben. Wenn man sie lehrt, daß es keinen allmächtigen und allgerechten Gott gibt, keine göttliche Weltordnung und kein künftiges Leben, so werden sie sich aller Verpflichtung zur Befolgung der Kulturvorschriften ledig fühlen. Jeder wird ungehemmt, angstfrei seinen asozialen, egoistischen Trieben folgen, seine Macht zu betätigen suchen, das Chaos wird wieder beginnen, das wir in vieltausendjähriger Kulturarbeit gebannt haben. Selbst wenn man es wüßte und beweisen könnte, daß die Religion nicht im Besitz der Wahrheit ist, müßte man es verschweigen und sich so benehmen, wie es die Philosophie des ›Als ob‹ verlangt. Im Interesse der Erhaltung aller! Und von der Gefährlichkeit des Unternehmens abgesehen, es ist auch eine zwecklose Grausamkeit. Unzählige Menschen finden in den Lehren der Religion ihren einzigen Trost, können nur durch ihre Hilfe das Leben ertragen. Man will ihnen diese ihre Stütze rauben und hat ihnen nichts Besseres dafür zu geben. Es ist zugestanden worden, daß die Wissenschaft derzeit nicht viel leistet, aber auch wenn sie viel weiter fortgeschritten wäre, würde sie den Menschen nicht genügen. Der Mensch hat noch andere imperative Bedürfnisse, die nie durch die kühle Wissenschaft befriedigt werden können, und es ist sehr sonderbar, geradezu ein Gipfel der Inkonsequenz, wenn ein Psycholog, der immer betont hat, wie sehr im Leben der Menschen die Intelligenz gegen das Triebleben zurücktritt, sich nun bemüht, den Menschen eine kostbare Wunschbefriedigung zu rauben, und sie dafür mit intellektueller Kost entschädigen will.«</w:t>
      </w:r>
    </w:p>
    <w:p w:rsidR="00941D22" w:rsidRPr="004445E0" w:rsidRDefault="00941D22" w:rsidP="004445E0">
      <w:pPr>
        <w:pStyle w:val="Sansinterligne"/>
        <w:rPr>
          <w:rFonts w:ascii="Garamond" w:hAnsi="Garamond"/>
          <w:lang w:val="en-US"/>
        </w:rPr>
      </w:pPr>
      <w:r w:rsidRPr="004445E0">
        <w:rPr>
          <w:rFonts w:ascii="Garamond" w:hAnsi="Garamond"/>
          <w:lang w:val="en-US"/>
        </w:rPr>
        <w:t>Das sind viel Anklagen auf einmal! Aber ich bin vorbereitet, ihnen allen zu widersprechen, und überdies werde ich die Behauptung vertreten, daß es eine größere Gefahr für die Kultur bedeutet, wenn man ihr gegenwärtiges Verhältnis zur Religion aufrechthält, als wenn man es löst. Nur weiß ich kaum, womit ich in meiner Erwiderung beginnen soll.</w:t>
      </w:r>
    </w:p>
    <w:p w:rsidR="00941D22" w:rsidRPr="004445E0" w:rsidRDefault="00941D22" w:rsidP="004445E0">
      <w:pPr>
        <w:pStyle w:val="Sansinterligne"/>
        <w:rPr>
          <w:rFonts w:ascii="Garamond" w:hAnsi="Garamond"/>
          <w:lang w:val="en-US"/>
        </w:rPr>
      </w:pPr>
      <w:r w:rsidRPr="004445E0">
        <w:rPr>
          <w:rFonts w:ascii="Garamond" w:hAnsi="Garamond"/>
          <w:lang w:val="en-US"/>
        </w:rPr>
        <w:t>Vielleicht mit der Versicherung, daß ich selbst mein Unternehmen für völlig harmlos und ungefährlich halte. Die Überschätzung des Intellekts ist diesmal nicht auf meiner Seite. Wenn die Menschen so sind, wie die Gegner sie beschreiben — und ich mag dem nicht widersprechen —, so besteht keine Gefahr, daß ein Frommgläubiger sich, durch meine Ausführungen überwältigt, seinen Glauben entreißen läßt. Außerdem habe ich nichts gesagt, was nicht andere, bessere Männer viel vollständiger, kraftvoller und eindrucksvoller vor mir gesagt haben. Die Namen dieser Männer sind bekannt; ich werde sie nicht anführen, es soll nicht der Anschein geweckt werden, daß ich mich in ihre Reihe stellen will. Ich habe bloß — dies ist das einzig Neue an meiner Darstellung — der Kritik meiner großen Vorgänger etwas psychologische Begründung hinzugefügt. Daß gerade dieser Zusatz die Wirkung erzwingen wird, die den früheren versagt geblieben ist, ist kaum zu erwarten. Freilich könnte man mich jetzt fragen, wozu schreibt man solche Dinge, wenn man ihrer Wirkungslosigkeit sicher ist. Aber darauf kommen wir später zurück.</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Der einzige, dem diese Veröffentlichung Schaden bringen kann, bin ich selbst. Ich werde die unliebenswürdigsten Vorwürfe zu hören bekommen wegen Seichtigkeit, Borniertheit, Mangel an </w:t>
      </w:r>
      <w:r w:rsidRPr="004445E0">
        <w:rPr>
          <w:rFonts w:ascii="Garamond" w:hAnsi="Garamond"/>
          <w:lang w:val="en-US"/>
        </w:rPr>
        <w:lastRenderedPageBreak/>
        <w:t>Idealismus und an Verständnis für die höchsten Interessen der Menschheit. Aber einerseits sind mir diese Vorhaltungen nicht neu, und anderseits, wenn jemand schon in jungen Jahren sich über das Mißfallen seiner Zeitgenossen hinausgesetzt hat, was soll es ihm im Greisenalter anhaben, wenn er sicher ist, bald jeder Gunst und Mißgunst entrückt zu werden? In früheren Zeiten war es anders, da erwarb man durch solche Äußerungen eine sichere Verkürzung seiner irdischen Existenz und eine gute Beschleunigung der Gelegenheit, eigene Erfahrungen über das jenseitige Leben zu machen. Aber ich wiederhole, jene Zeiten sind vorüber, und heute ist solche Schreiberei auch für den Autor ungefährlich. Höchstens daß sein Buch in dem einen oder dem anderen Land nicht übersetzt und nicht verbreitet werden darf. Natürlich gerade in einem Land, das sich des Hochstands seiner Kultur sicher fühlt. Aber wenn man überhaupt für Wunschverzicht und Ergebung in das Schicksal plädiert, muß man auch diesen Schaden ertragen können.</w:t>
      </w:r>
    </w:p>
    <w:p w:rsidR="00941D22" w:rsidRPr="004445E0" w:rsidRDefault="00941D22" w:rsidP="004445E0">
      <w:pPr>
        <w:pStyle w:val="Sansinterligne"/>
        <w:rPr>
          <w:rFonts w:ascii="Garamond" w:hAnsi="Garamond"/>
          <w:lang w:val="en-US"/>
        </w:rPr>
      </w:pPr>
      <w:r w:rsidRPr="004445E0">
        <w:rPr>
          <w:rFonts w:ascii="Garamond" w:hAnsi="Garamond"/>
          <w:lang w:val="en-US"/>
        </w:rPr>
        <w:t>Es tauchte dann bei mir die Frage auf, ob die Veröffentlichung dieser Schrift nicht doch jemand Unheil bringen könnte. Zwar keiner Person, aber einer Sache, der Sache der Psychoanalyse. Es ist ja nicht zu leugnen, daß sie meine Schöpfung ist, man hat ihr reichlich Mißtrauen und Übelwollen bezeigt; wenn ich jetzt mit so unliebsamen Äußerungen hervortrete, wird man für die Verschiebung von meiner Person auf die Psychoanalyse nur allzu bereit sein. »Jetzt sieht man«, wird es heißen, »wohin die Psychoanalyse führt. Die Maske ist gefallen; zur Leugnung von Gott und sittlichem Ideal, wie wir es ja immer vermutet haben. Um uns von der Entdeckung abzuhalten, hat man uns vorgespiegelt, die Psychoanalyse habe keine Weltanschauung und könne keine bilden.«</w:t>
      </w:r>
    </w:p>
    <w:p w:rsidR="00941D22" w:rsidRPr="004445E0" w:rsidRDefault="00941D22" w:rsidP="004445E0">
      <w:pPr>
        <w:pStyle w:val="Sansinterligne"/>
        <w:rPr>
          <w:rFonts w:ascii="Garamond" w:hAnsi="Garamond"/>
          <w:lang w:val="en-US"/>
        </w:rPr>
      </w:pPr>
      <w:r w:rsidRPr="004445E0">
        <w:rPr>
          <w:rFonts w:ascii="Garamond" w:hAnsi="Garamond"/>
          <w:lang w:val="en-US"/>
        </w:rPr>
        <w:t>Dieser Lärm wird mir wirklich unangenehm sein, meiner vielen Mitarbeiter wegen, von denen manche meine Einstellung zu den religiösen Problemen überhaupt nicht teilen. Aber die Psychoanalyse hat schon viele Stürme überstanden, man muß sie auch diesem neuen aussetzen. In Wirklichkeit ist die Psychoanalyse eine Forschungsmethode, ein parteiloses Instrument, wie etwa die Infinitesimalrechnung. Wenn ein Physiker mit deren Hilfe heraus</w:t>
      </w:r>
      <w:r w:rsidRPr="004445E0">
        <w:rPr>
          <w:rFonts w:ascii="Garamond" w:hAnsi="Garamond"/>
          <w:lang w:val="en-US"/>
        </w:rPr>
        <w:softHyphen/>
        <w:t xml:space="preserve">bekommen sollte, daß die Erde nach einer bestimmten Zeit zugrunde gehen wird, so wird man sich doch bedenken, dem Kalkül selbst destruktive Tendenzen zuzuschreiben und ihn darum zu ächten. Alles, was ich hier gegen den Wahrheitswert der Religionen gesagt habe, brauchte die Psychoanalyse nicht, ist lange vor ihrem Bestand von anderen gesagt worden. Kann man aus der Anwendung der psychoanalytischen Methode ein neues Argument gegen den Wahrheitsgehalt der Religion gewinnen, </w:t>
      </w:r>
      <w:r w:rsidRPr="004445E0">
        <w:rPr>
          <w:rFonts w:ascii="Garamond" w:hAnsi="Garamond"/>
          <w:i/>
          <w:iCs/>
          <w:lang w:val="en-US"/>
        </w:rPr>
        <w:t>tant pis</w:t>
      </w:r>
      <w:r w:rsidRPr="004445E0">
        <w:rPr>
          <w:rFonts w:ascii="Garamond" w:hAnsi="Garamond"/>
          <w:lang w:val="en-US"/>
        </w:rPr>
        <w:t xml:space="preserve"> für die Religion, aber Verteidiger der Religion werden sich mit demselben Recht der Psychoanalyse bedienen, um die affektive Bedeutung der religiösen Lehre voll zu würdigen.</w:t>
      </w:r>
    </w:p>
    <w:p w:rsidR="00941D22" w:rsidRPr="004445E0" w:rsidRDefault="00941D22" w:rsidP="004445E0">
      <w:pPr>
        <w:pStyle w:val="Sansinterligne"/>
        <w:rPr>
          <w:rFonts w:ascii="Garamond" w:hAnsi="Garamond"/>
          <w:lang w:val="en-US"/>
        </w:rPr>
      </w:pPr>
      <w:r w:rsidRPr="004445E0">
        <w:rPr>
          <w:rFonts w:ascii="Garamond" w:hAnsi="Garamond"/>
          <w:lang w:val="en-US"/>
        </w:rPr>
        <w:t>Nun, um in der Verteidigung fortzufahren: die Religion hat der mensch</w:t>
      </w:r>
      <w:r w:rsidRPr="004445E0">
        <w:rPr>
          <w:rFonts w:ascii="Garamond" w:hAnsi="Garamond"/>
          <w:lang w:val="en-US"/>
        </w:rPr>
        <w:softHyphen/>
        <w:t>lichen Kultur offenbar große Dienste geleistet, zur Bändigung der asozialen Triebe viel beigetragen, aber nicht genug. Sie hat durch viele Jahrtausende die menschliche Gesellschaft beherrscht; hatte Zeit zu zeigen, was sie leisten kann. Wenn es ihr gelungen wäre, die Mehrzahl der Menschen zu beglücken, zu trösten, mit dem Leben auszusöhnen, sie zu Kulturträgern zu machen, so würde es niemand einfallen, nach einer Änderung der bestehenden Verhältnisse zu streben. Was sehen wir anstatt dessen? Daß eine erschreckend große Anzahl von Menschen mit der Kultur unzufrieden und in ihr unglücklich ist, sie als ein Joch empfindet, das man abschütteln muß, daß diese Menschen entweder alle Kräfte an eine Abänderung dieser Kultur setzen oder in ihrer Kulturfeindschaft so weit gehen, daß sie von Kultur und Triebeinschränkung überhaupt nichts wissen wollen. Man wird uns hier einwerfen, dieser Zustand komme eben daher, daß die Religion einen Teil ihres Einflusses auf die Menschenmassen eingebüßt hat, gerade infolge der bedauerlichen Wirkung der Fortschritte in der Wissenschaft. Wir werden uns dieses Zugeständnis und seine Begründung merken und es später für unsere Absichten verwerten, aber der Einwand selbst ist kraftlos.</w:t>
      </w:r>
    </w:p>
    <w:p w:rsidR="00941D22" w:rsidRPr="004445E0" w:rsidRDefault="00941D22" w:rsidP="004445E0">
      <w:pPr>
        <w:pStyle w:val="Sansinterligne"/>
        <w:rPr>
          <w:rFonts w:ascii="Garamond" w:hAnsi="Garamond"/>
          <w:lang w:val="en-US"/>
        </w:rPr>
      </w:pPr>
      <w:r w:rsidRPr="004445E0">
        <w:rPr>
          <w:rFonts w:ascii="Garamond" w:hAnsi="Garamond"/>
          <w:lang w:val="en-US"/>
        </w:rPr>
        <w:t>Es ist zweifelhaft, ob die Menschen zur Zeit der uneingeschränkten Herr</w:t>
      </w:r>
      <w:r w:rsidRPr="004445E0">
        <w:rPr>
          <w:rFonts w:ascii="Garamond" w:hAnsi="Garamond"/>
          <w:lang w:val="en-US"/>
        </w:rPr>
        <w:softHyphen/>
        <w:t>schaft der religiösen Lehren im ganzen glücklicher waren als heute, sittlicher waren sie gewiß nicht. Sie haben es immer verstanden, die religiösen Vorschriften zu veräußerlichen und damit deren Absichten zu vereiteln. Die Priester, die den Gehorsam gegen die Religion zu bewachen hatten, kamen ihnen dabei entgegen. Gottes Güte mußte seiner Gerechtigkeit in den Arm fallen: Man sündigte,und dann brachte man Opfer oder tat Buße, und dann war man frei, um von neuem zu sündigen. Russische Innerlichkeit hat sich zur Folgerung aufgeschwungen, daß die Sünde unerläßlich sei, um alle Selig</w:t>
      </w:r>
      <w:r w:rsidRPr="004445E0">
        <w:rPr>
          <w:rFonts w:ascii="Garamond" w:hAnsi="Garamond"/>
          <w:lang w:val="en-US"/>
        </w:rPr>
        <w:softHyphen/>
        <w:t>keiten der göttlichen Gnade zu genießen, also im Grunde ein gottgefälliges Werk. Es ist offenkundig, daß die Priester die Unterwürfigkeit der Massen gegen die Religion nur erhalten konnten, indem sie der menschlichen Triebnatur so große Zugeständnisse einräumten. Es blieb dabei: Gott allein ist stark und gut, der Mensch aber schwach und sündhaft. Die Unsittlichkeit hat zu allen Zeiten an der Religion keine mindere Stütze gefunden als die Sittlichkeit. Wenn die Leistungen der Religion in bezug auf die Beglückung der Menschen, ihre Kultureignung</w:t>
      </w:r>
      <w:r w:rsidRPr="004445E0">
        <w:rPr>
          <w:rFonts w:ascii="Garamond" w:hAnsi="Garamond"/>
          <w:i/>
          <w:iCs/>
          <w:lang w:val="en-US"/>
        </w:rPr>
        <w:t xml:space="preserve"> </w:t>
      </w:r>
      <w:r w:rsidRPr="004445E0">
        <w:rPr>
          <w:rFonts w:ascii="Garamond" w:hAnsi="Garamond"/>
          <w:lang w:val="en-US"/>
        </w:rPr>
        <w:t xml:space="preserve">und ihre sittliche Beschränkung keine besseren sind, dann erhebt sich doch die Frage, ob wir ihre Notwendigkeit </w:t>
      </w:r>
      <w:r w:rsidRPr="004445E0">
        <w:rPr>
          <w:rFonts w:ascii="Garamond" w:hAnsi="Garamond"/>
          <w:lang w:val="en-US"/>
        </w:rPr>
        <w:lastRenderedPageBreak/>
        <w:t>für die Menschheit nicht überschätzen und ob wir weise daran tun, unsere Kulturforderungen auf sie zu gründen.</w:t>
      </w:r>
    </w:p>
    <w:p w:rsidR="00941D22" w:rsidRPr="004445E0" w:rsidRDefault="00941D22" w:rsidP="004445E0">
      <w:pPr>
        <w:pStyle w:val="Sansinterligne"/>
        <w:rPr>
          <w:rFonts w:ascii="Garamond" w:hAnsi="Garamond"/>
          <w:lang w:val="en-US"/>
        </w:rPr>
      </w:pPr>
      <w:r w:rsidRPr="004445E0">
        <w:rPr>
          <w:rFonts w:ascii="Garamond" w:hAnsi="Garamond"/>
          <w:lang w:val="en-US"/>
        </w:rPr>
        <w:t>Man überlege die unverkennbare gegenwärtige Situation. Wir haben das Zugeständnis gehört, daß die Religion nicht mehr denselben Einfluß auf die Menschen hat wie früher. (Es handelt sich hier um die europäisch-christliche Kultur.) Dies nicht darum, weil ihre Versprechungen geringer geworden sind, sondern weil sie den Menschen weniger glaubwürdig erscheinen. Geben wir zu, daß der Grund dieser Wandlung die Erstarkung des wissenschaftlichen Geistes in den Oberschichten der menschlichen Gesellschaft ist. (Es ist vielleicht nicht der einzige.) Die Kritik hat die Beweiskraft der religiösen Dokumente angenagt, die Naturwissenschaft die in ihnen enthaltenen Irrtümer aufgezeigt, der vergleichenden Forschung ist die fatale Ähnlichkeit der von uns verehrten religiösen Vorstellungen mit den geistigen Produktionen primitiver Völker und Zeiten aufgefallen.</w:t>
      </w:r>
    </w:p>
    <w:p w:rsidR="00941D22" w:rsidRPr="004445E0" w:rsidRDefault="00941D22" w:rsidP="004445E0">
      <w:pPr>
        <w:pStyle w:val="Sansinterligne"/>
        <w:rPr>
          <w:rFonts w:ascii="Garamond" w:hAnsi="Garamond"/>
          <w:lang w:val="en-US"/>
        </w:rPr>
      </w:pPr>
      <w:r w:rsidRPr="004445E0">
        <w:rPr>
          <w:rFonts w:ascii="Garamond" w:hAnsi="Garamond"/>
          <w:lang w:val="en-US"/>
        </w:rPr>
        <w:t>Der wissenschaftliche Geist erzeugt eine bestimmte Art, wie man sich zu den Dingen dieser Welt einstellt; vor den Dingen der Religion macht er eine Weile halt, zaudert, endlich tritt er auch hier über die Schwelle. In diesem Prozeß gibt es keine Aufhaltung, je mehr Menschen die Schätze unseres Wissens zugänglich werden, desto mehr verbreitet sich der Abfall vom religiösen Glauben, zuerst nur von den veralteten, anstößigen Einkleidungen desselben, dann aber auch von seinen fundamentalen Voraussetzungen. Die Amerikaner, die den Affenprozeß in Dayton aufgeführt, haben sich allein konsequent gezeigt. Der unvermeidliche Übergang vollzieht sich sonst über Halbheiten und Unaufrichtigkeiten.</w:t>
      </w:r>
    </w:p>
    <w:p w:rsidR="00941D22" w:rsidRPr="004445E0" w:rsidRDefault="00941D22" w:rsidP="004445E0">
      <w:pPr>
        <w:pStyle w:val="Sansinterligne"/>
        <w:rPr>
          <w:rFonts w:ascii="Garamond" w:hAnsi="Garamond"/>
          <w:lang w:val="en-US"/>
        </w:rPr>
      </w:pPr>
      <w:r w:rsidRPr="004445E0">
        <w:rPr>
          <w:rFonts w:ascii="Garamond" w:hAnsi="Garamond"/>
          <w:lang w:val="en-US"/>
        </w:rPr>
        <w:t>Von den Gebildeten und geistigen Arbeitern ist für die Kultur wenig zu befürchten. Die Ersetzung der religiösen Motive für kulturelles Benehmen durch andere, weltliche würde bei ihnen geräuschlos vor sich gehen, überdies sind sie zum guten Teil selbst Kulturträger. Anders steht es um die große Masse der Ungebildeten, Unterdrückten, die allen Grund haben, Feinde der Kultur zu sein. Solange sie nicht erfahren, daß man nicht mehr an Gott glaubt, ist es gut. Aber sie erfahren es, unfehlbar, auch wenn diese meine Schrift nicht veröffentlicht wird. Und sie sind bereit, die Resultate des wissenschaftlichen Denkens anzunehmen, ohne daß sich in ihnen die Veränderung eingestellt hätte, welche das wissenschaftliche Denken beim Menschen herbeiführt. Besteht da nicht die Gefahr, daß die Kulturfeindschaft dieser Massen sich auf den schwachen Punkt stürzen wird, den sie an ihrer Zwangsherrin erkannt haben? Wenn man seinen Nebenmenschen nur darum nicht erschlagen darf, weil der liebe Gott es verboten hat und es in diesem oder jenem Leben schwer ahnden wird, man erfährt aber, es gibt keinen lieben Gott, man braucht sich vor seiner Strafe nicht zu fürchten, dann erschlägt man ihn gewiß unbedenklich und kann nur durch irdische Gewalt davon abgehalten werden. Also entweder strengste Niederhaltung dieser gefährlichen Massen, sorgsamste Absperrung von allen Gelegenheiten zur geistigen Erweckung oder gründliche Revision der Beziehung zwischen Kultur und Religion.</w:t>
      </w:r>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p>
    <w:p w:rsidR="009C0B0A" w:rsidRPr="004445E0" w:rsidRDefault="009C0B0A" w:rsidP="004445E0">
      <w:pPr>
        <w:pStyle w:val="Sansinterligne"/>
        <w:rPr>
          <w:rFonts w:ascii="Garamond" w:eastAsiaTheme="majorEastAsia" w:hAnsi="Garamond" w:cstheme="majorBidi"/>
          <w:b/>
          <w:bCs/>
          <w:color w:val="365F91" w:themeColor="accent1" w:themeShade="BF"/>
          <w:lang w:val="en-US"/>
        </w:rPr>
      </w:pPr>
      <w:r w:rsidRPr="004445E0">
        <w:rPr>
          <w:rFonts w:ascii="Garamond" w:hAnsi="Garamond"/>
          <w:lang w:val="en-US"/>
        </w:rPr>
        <w:br w:type="page"/>
      </w: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 xml:space="preserve">VIII. </w:t>
        </w:r>
        <w:r w:rsidR="004445E0" w:rsidRPr="004445E0">
          <w:rPr>
            <w:rStyle w:val="Lienhypertexte"/>
            <w:rFonts w:ascii="Garamond" w:hAnsi="Garamond"/>
            <w:lang w:val="en-US"/>
          </w:rPr>
          <w:t xml:space="preserve"> </w:t>
        </w:r>
        <w:r w:rsidR="00941D22" w:rsidRPr="004445E0">
          <w:rPr>
            <w:rStyle w:val="Lienhypertexte"/>
            <w:rFonts w:ascii="Garamond" w:hAnsi="Garamond"/>
            <w:lang w:val="en-US"/>
          </w:rPr>
          <w:t>Re</w:t>
        </w:r>
        <w:bookmarkStart w:id="54" w:name="Illusion8"/>
        <w:bookmarkEnd w:id="54"/>
        <w:r w:rsidR="00941D22" w:rsidRPr="004445E0">
          <w:rPr>
            <w:rStyle w:val="Lienhypertexte"/>
            <w:rFonts w:ascii="Garamond" w:hAnsi="Garamond"/>
            <w:lang w:val="en-US"/>
          </w:rPr>
          <w:t>ligion als Ersatz einer rationellen Be</w:t>
        </w:r>
        <w:r w:rsidR="004445E0" w:rsidRPr="004445E0">
          <w:rPr>
            <w:rStyle w:val="Lienhypertexte"/>
            <w:rFonts w:ascii="Garamond" w:hAnsi="Garamond"/>
            <w:lang w:val="en-US"/>
          </w:rPr>
          <w:t>gründung der Kulturvorschriften</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Man sollte meinen, daß der Ausführung dieses letzteren Vorschlags keine besonderen Schwierigkeiten im Wege stehen. Es ist richtig, daß man dann auf etwas verzichtet, aber man gewinnt vielleicht mehr und vermeidet eine große Gefahr. Aber man schreckt sich davor, als ob man dadurch die Kultur einer noch größeren Gefahr aussetzen würde. Als Sankt Bonifazius den von den Sachsen als heilig verehrten Baum umhieb, erwarteten die Umstehenden ein fürchterliches Ereignis als Folge des Frevels. Es traf nicht ein, und die Sachsen nahmen die Taufe an.</w:t>
      </w:r>
    </w:p>
    <w:p w:rsidR="00941D22" w:rsidRPr="004445E0" w:rsidRDefault="00941D22" w:rsidP="004445E0">
      <w:pPr>
        <w:pStyle w:val="Sansinterligne"/>
        <w:rPr>
          <w:rFonts w:ascii="Garamond" w:hAnsi="Garamond"/>
          <w:lang w:val="en-US"/>
        </w:rPr>
      </w:pPr>
      <w:r w:rsidRPr="004445E0">
        <w:rPr>
          <w:rFonts w:ascii="Garamond" w:hAnsi="Garamond"/>
          <w:lang w:val="en-US"/>
        </w:rPr>
        <w:t>Wenn die Kultur das Gebot aufgestellt hat, den Nachbar nicht zu töten, den man haßt, der einem im Wege ist oder dessen Habe man begehrt, so geschah es offenbar im Interesse des menschlichen Zusammenlebens, das sonst undurchführbar wäre. Denn der Mörder würde die Rache der Angehö</w:t>
      </w:r>
      <w:r w:rsidRPr="004445E0">
        <w:rPr>
          <w:rFonts w:ascii="Garamond" w:hAnsi="Garamond"/>
          <w:lang w:val="en-US"/>
        </w:rPr>
        <w:softHyphen/>
        <w:t>rigen des Ermordeten auf sich ziehen und den dumpfen Neid der anderen, die ebensoviel innere Neigung zu solcher Gewalttat verspüren. Er würde sich also seiner Rache oder seines Raubes nicht lange freuen, sondern hätte alle Aussicht, bald selbst erschlagen zu werden. Selbst wenn er sich durch außer</w:t>
      </w:r>
      <w:r w:rsidRPr="004445E0">
        <w:rPr>
          <w:rFonts w:ascii="Garamond" w:hAnsi="Garamond"/>
          <w:lang w:val="en-US"/>
        </w:rPr>
        <w:softHyphen/>
        <w:t>ordentliche Kraft und Vorsicht gegen den einzelnen Gegner schützen würde, müßte er einer Vereinigung von Schwächeren unterliegen. Käme eine solche Vereinigung nicht zustande, so würde sich das Morden endlos fortsetzen, und das Ende wäre, daß die Menschen sich gegenseitig ausrotteten. Es wäre derselbe Zustand unter Einzelnen, der in Korsika noch unter Familien, sonst aber nur unter Nationen fortbesteht. Die für alle gleiche Gefahr der Lebens</w:t>
      </w:r>
      <w:r w:rsidRPr="004445E0">
        <w:rPr>
          <w:rFonts w:ascii="Garamond" w:hAnsi="Garamond"/>
          <w:lang w:val="en-US"/>
        </w:rPr>
        <w:softHyphen/>
        <w:t>unsicherheit einigt nun die Menschen zu einer Gesellschaft, welche dem Einzelnen das Töten verbietet und sich das Recht der gemeinsamen Tötung dessen vorbehält, der das Verbot übertritt. Dies ist dann Justiz und Strafe.</w:t>
      </w:r>
    </w:p>
    <w:p w:rsidR="00941D22" w:rsidRPr="004445E0" w:rsidRDefault="00941D22" w:rsidP="004445E0">
      <w:pPr>
        <w:pStyle w:val="Sansinterligne"/>
        <w:rPr>
          <w:rFonts w:ascii="Garamond" w:hAnsi="Garamond"/>
          <w:lang w:val="en-US"/>
        </w:rPr>
      </w:pPr>
      <w:r w:rsidRPr="004445E0">
        <w:rPr>
          <w:rFonts w:ascii="Garamond" w:hAnsi="Garamond"/>
          <w:lang w:val="en-US"/>
        </w:rPr>
        <w:t>Diese rationelle Begründung des Verbots zu morden teilen wir aber nicht mit, sondern wir behaupten, Gott habe das Verbot erlassen. Wir getrauen uns also seine Absichten zu erraten und finden, auch er will nicht, daß die Menschen einander ausrotten. Indem wir so verfahren, umkleiden wir das Kulturverbot mit einer ganz besonderen Feierlichkeit, riskieren aber dabei, daß wir dessen Befolgung von dem Glauben an Gott abhängig machen. Wenn wir diesen Schritt zurücknehmen, unseren Willen nicht mehr Gott zuschieben und uns mit der sozialen Begründung begnügen, haben wir zwar auf jene Verklärung des Kulturverbots verzichtet, aber auch seine Gefährdung ver</w:t>
      </w:r>
      <w:r w:rsidRPr="004445E0">
        <w:rPr>
          <w:rFonts w:ascii="Garamond" w:hAnsi="Garamond"/>
          <w:lang w:val="en-US"/>
        </w:rPr>
        <w:softHyphen/>
        <w:t>mieden. Wir gewinnen aber auch etwas anderes. Durch eine Art von Diffusion oder Infektion hat sich der Charakter der Heiligkeit, Unverletzlichkeit, der Jenseitigkeit möchte man sagen, von einigen wenigen großen Verboten auf alle weiteren kulturellen Einrichtungen, Gesetze und Verordnungen ausge</w:t>
      </w:r>
      <w:r w:rsidRPr="004445E0">
        <w:rPr>
          <w:rFonts w:ascii="Garamond" w:hAnsi="Garamond"/>
          <w:lang w:val="en-US"/>
        </w:rPr>
        <w:softHyphen/>
        <w:t>breitet. Diesen steht aber der Heiligenschein oft schlecht zu Gesicht; nicht nur, daß sie einander selbst entwerten, indem sie je nach Zeit und Örtlichkeit entgegengesetzte Entscheidungen treffen, sie tragen auch sonst alle Anzeichen menschlicher Unzulänglichkeit zur Schau. Man erkennt unter ihnen leicht, was nur Produkt einer kurzsichtigen Ängstlichkeit, Äußerung eng</w:t>
      </w:r>
      <w:r w:rsidRPr="004445E0">
        <w:rPr>
          <w:rFonts w:ascii="Garamond" w:hAnsi="Garamond"/>
          <w:lang w:val="en-US"/>
        </w:rPr>
        <w:softHyphen/>
        <w:t>herziger Interessen oder Folgerung aus unzureichenden Voraussetzungen sein kann. Die Kritik, die man an ihnen üben muß, setzt in unerwünschtem Maße auch den Respekt vor anderen, besser gerechtfertigten Kulturforderun</w:t>
      </w:r>
      <w:r w:rsidRPr="004445E0">
        <w:rPr>
          <w:rFonts w:ascii="Garamond" w:hAnsi="Garamond"/>
          <w:lang w:val="en-US"/>
        </w:rPr>
        <w:softHyphen/>
        <w:t>gen herab. Da es eine mißliche Aufgabe ist zu scheiden, was Gott selbst gefordert hat und was sich eher von der Autorität eines allvermögenden Parlaments oder eines hohen Magistrats ableitet, wäre es ein unzweifel</w:t>
      </w:r>
      <w:r w:rsidRPr="004445E0">
        <w:rPr>
          <w:rFonts w:ascii="Garamond" w:hAnsi="Garamond"/>
          <w:lang w:val="en-US"/>
        </w:rPr>
        <w:softHyphen/>
        <w:t>hafter Vorteil, Gott überhaupt aus dem Spiele zu lassen und ehrlich den rein menschlichen Ursprung aller kulturellen Einrichtungen und Vorschriften einzu</w:t>
      </w:r>
      <w:r w:rsidRPr="004445E0">
        <w:rPr>
          <w:rFonts w:ascii="Garamond" w:hAnsi="Garamond"/>
          <w:lang w:val="en-US"/>
        </w:rPr>
        <w:softHyphen/>
        <w:t>gestehen. Mit der beanspruchten Heiligkeit würde auch die Starrheit und Unwandelbarkeit dieser Gebote und Gesetze fallen. Die Menschen könnten verstehen, daß diese geschaffen sind, nicht so sehr um sie zu beherrschen, sondern vielmehr um ihren Interessen zu dienen, sie würden ein freund</w:t>
      </w:r>
      <w:r w:rsidRPr="004445E0">
        <w:rPr>
          <w:rFonts w:ascii="Garamond" w:hAnsi="Garamond"/>
          <w:lang w:val="en-US"/>
        </w:rPr>
        <w:softHyphen/>
        <w:t>licheres Verhältnis zu ihnen gewinnen, sich anstatt ihrer Abschaffung nur ihre Verbesserung zum Ziel setzen. Dies wäre ein wichtiger Fortschritt auf dem Wege, der zur Versöhnung mit dem Druck der Kultur führt.</w:t>
      </w:r>
    </w:p>
    <w:p w:rsidR="00941D22" w:rsidRPr="004445E0" w:rsidRDefault="00941D22" w:rsidP="004445E0">
      <w:pPr>
        <w:pStyle w:val="Sansinterligne"/>
        <w:rPr>
          <w:rFonts w:ascii="Garamond" w:hAnsi="Garamond"/>
          <w:lang w:val="en-US"/>
        </w:rPr>
      </w:pPr>
      <w:r w:rsidRPr="004445E0">
        <w:rPr>
          <w:rFonts w:ascii="Garamond" w:hAnsi="Garamond"/>
          <w:lang w:val="en-US"/>
        </w:rPr>
        <w:t>Unser Plaidoyer für eine rein rationelle Begründung der Kulturvorschriften, also für ihre Zurückführung auf soziale Notwendigkeit, wird aber hier plötzlich durch ein Bedenken unterbrochen. Wir haben die Entstehung des Mord</w:t>
      </w:r>
      <w:r w:rsidRPr="004445E0">
        <w:rPr>
          <w:rFonts w:ascii="Garamond" w:hAnsi="Garamond"/>
          <w:lang w:val="en-US"/>
        </w:rPr>
        <w:softHyphen/>
        <w:t xml:space="preserve">verbots zum Beispiel gewählt. Entspricht denn unsere Darstellung davon der historischen Wahrheit? </w:t>
      </w:r>
      <w:r w:rsidRPr="004445E0">
        <w:rPr>
          <w:rFonts w:ascii="Garamond" w:hAnsi="Garamond"/>
        </w:rPr>
        <w:t xml:space="preserve">Wir fürchten nein, sie scheint nur eine rationalistische Konstruktion zu sein. </w:t>
      </w:r>
      <w:r w:rsidRPr="004445E0">
        <w:rPr>
          <w:rFonts w:ascii="Garamond" w:hAnsi="Garamond"/>
          <w:lang w:val="en-US"/>
        </w:rPr>
        <w:t>Wir haben gerade dieses Stück menschlicher Kultur</w:t>
      </w:r>
      <w:r w:rsidRPr="004445E0">
        <w:rPr>
          <w:rFonts w:ascii="Garamond" w:hAnsi="Garamond"/>
          <w:lang w:val="en-US"/>
        </w:rPr>
        <w:softHyphen/>
        <w:t>geschichte mit Hilfe der Psychoanalyse studiert, und auf diese Bemühung gestützt, müssen wir sagen, in Wirklichkeit war es anders. Rein vernünftige Motive richten noch beim heutigen Menschen wenig gegen leidenschaftliche Antriebe aus; um wieviel ohnmächtiger müssen sie bei jenem Mensdientier der Urzeit gewesen sein! Vielleicht würden sich dessen Nachkommen noch heute hemmungslos, einer den andern, erschlagen, wenn unter jenen Mord</w:t>
      </w:r>
      <w:r w:rsidRPr="004445E0">
        <w:rPr>
          <w:rFonts w:ascii="Garamond" w:hAnsi="Garamond"/>
          <w:lang w:val="en-US"/>
        </w:rPr>
        <w:softHyphen/>
        <w:t xml:space="preserve">taten nicht eine gewesen wäre, der Totschlag des primitiven Vaters, die eine unwiderstehliche, folgenschwere Gefühlsreaktion heraufbeschworen hätte. Von dieser stammt das Gebot: du sollst nicht töten, das im </w:t>
      </w:r>
      <w:r w:rsidRPr="004445E0">
        <w:rPr>
          <w:rFonts w:ascii="Garamond" w:hAnsi="Garamond"/>
          <w:lang w:val="en-US"/>
        </w:rPr>
        <w:lastRenderedPageBreak/>
        <w:t>Totemismus auf den Vaterersatz beschränkt war, später auf andere ausgedehnt wurde, noch heute nicht ausnahmslos durchgeführt ist.</w:t>
      </w:r>
    </w:p>
    <w:p w:rsidR="00941D22" w:rsidRPr="004445E0" w:rsidRDefault="00941D22" w:rsidP="004445E0">
      <w:pPr>
        <w:pStyle w:val="Sansinterligne"/>
        <w:rPr>
          <w:rFonts w:ascii="Garamond" w:hAnsi="Garamond"/>
          <w:lang w:val="en-US"/>
        </w:rPr>
      </w:pPr>
      <w:r w:rsidRPr="004445E0">
        <w:rPr>
          <w:rFonts w:ascii="Garamond" w:hAnsi="Garamond"/>
          <w:lang w:val="en-US"/>
        </w:rPr>
        <w:t>Aber jener Urvater ist nach Ausführungen, die ich hier nicht zu wieder</w:t>
      </w:r>
      <w:r w:rsidRPr="004445E0">
        <w:rPr>
          <w:rFonts w:ascii="Garamond" w:hAnsi="Garamond"/>
          <w:lang w:val="en-US"/>
        </w:rPr>
        <w:softHyphen/>
        <w:t>holen brauche, das Urbild Gottes gewesen, das Modell, nach dem spätere Generationen die Gottesgestalt gebildet haben. Somit hat die religiöse Darstellung recht, Gott war wirklich an der Entstehung jenes Verbots beteiligt, sein Einfluß, nicht die Einsicht in die soziale Notwendigkeit hat es geschaffen. Und die Verschiebung des menschlichen Willens auf Gott ist vollberechtigt, die Menschen wußten ja, daß sie den Vater gewalttätig beseitigt hatten, und in der Reaktion auf ihre Freveltat setzten sie sich vor, seinen Willen fortan zu respektieren. Die religiöse Lehre teilt uns also die historische Wahrheit mit, freilich in einer gewissen Umformung und Verkleidung; unsere rationelle Darstellung verleugnet sie.</w:t>
      </w:r>
    </w:p>
    <w:p w:rsidR="00941D22" w:rsidRPr="004445E0" w:rsidRDefault="00941D22" w:rsidP="004445E0">
      <w:pPr>
        <w:pStyle w:val="Sansinterligne"/>
        <w:rPr>
          <w:rFonts w:ascii="Garamond" w:hAnsi="Garamond"/>
          <w:lang w:val="en-US"/>
        </w:rPr>
      </w:pPr>
      <w:r w:rsidRPr="004445E0">
        <w:rPr>
          <w:rFonts w:ascii="Garamond" w:hAnsi="Garamond"/>
          <w:lang w:val="en-US"/>
        </w:rPr>
        <w:t>Wir bemerken jetzt, daß der Schatz der religiösen Vorstellungen nicht allein Wunscherfüllungen enthält, sondern auch bedeutsame historische Reminiszenzen. Dies Zusammenwirken von Vergangenheit und Zukunft, welch unvergleichliche Machtfülle muß es der Religion verleihen! Aber viel</w:t>
      </w:r>
      <w:r w:rsidRPr="004445E0">
        <w:rPr>
          <w:rFonts w:ascii="Garamond" w:hAnsi="Garamond"/>
          <w:lang w:val="en-US"/>
        </w:rPr>
        <w:softHyphen/>
        <w:t>leicht dämmert uns mit Hilfe einer Analogie auch schon eine andere Einsicht. Es ist nicht gut, Begriffe weit weg von dem Boden zu versetzen, auf dem sie erwachsen sind, aber wir müssen der Übereinstimmung Ausdruck geben. Über das Menschenkind wissen wir, daß es seine Entwicklung zur Kultur nicht gut durchmachen kann, ohne durch eine bald mehr, bald minder deutliche Phase von Neurose zu passieren. Das kommt daher, daß das Kind so viele der für später unbrauchbaren Triebansprüche nicht durch rationelle Geistes</w:t>
      </w:r>
      <w:r w:rsidRPr="004445E0">
        <w:rPr>
          <w:rFonts w:ascii="Garamond" w:hAnsi="Garamond"/>
          <w:lang w:val="en-US"/>
        </w:rPr>
        <w:softHyphen/>
        <w:t>arbeit unterdrücken kann, sondern durch Verdrängungsakte bändigen muß, hinter denen in der Regel ein Angstmotiv steht. Die meisten dieser Kinderneurosen werden während des Wachstums spontan überwunden, besonders die Zwangsneurosen der Kindheit haben dies Schicksal. Mit dem Rest soll auch noch später die psychoanalytische Behandlung aufräumen. In ganz ähnlicher Weise hätte man anzunehmen, daß die Menschheit als Ganzes in ihrer säkularen Entwicklung in Zustände gerät, welche den Neurosen analog sind, und zwar aus denselben Gründen, weil sie in den Zeiten ihrer Unwissenheit und intellektuellen Schwäche die für das menschliche Zusammenleben unerläßlichen Triebverzichte nur durch rein affektive Kräfte zustande gebracht hat. Die Niederschläge der in der Vorzeit vorgefallenen verdrängungsähnlichen Vorgänge hafteten der Kultur dann noch lange an. Die Religion wäre die allgemein menschliche Zwangsneurose, wie die des Kindes stammte sie aus dem Ödipuskomplex, der Vaterbeziehung. Nach dieser Auffassung wäre vorauszusehen, daß sich die Abwendung von der Religion mit der schicksalsmäßigen Unerbittlichkeit eines Wachstumsvorganges vollziehen muß und daß wir uns gerade jetzt mitten in dieser Entwicklungsphase befinden.</w:t>
      </w:r>
    </w:p>
    <w:p w:rsidR="00941D22" w:rsidRPr="004445E0" w:rsidRDefault="00941D22" w:rsidP="004445E0">
      <w:pPr>
        <w:pStyle w:val="Sansinterligne"/>
        <w:rPr>
          <w:rFonts w:ascii="Garamond" w:hAnsi="Garamond"/>
          <w:lang w:val="en-US"/>
        </w:rPr>
      </w:pPr>
      <w:r w:rsidRPr="004445E0">
        <w:rPr>
          <w:rFonts w:ascii="Garamond" w:hAnsi="Garamond"/>
          <w:lang w:val="en-US"/>
        </w:rPr>
        <w:t>Unser Verhalten sollte sich dann nach dem Vorbild eines verständigen Erziehers richten, der sich einer bevorstehenden Neugestaltung nicht widersetzt, sondern sie zu fördern und die Gewaltsamkeit ihres Durchbruchs einzudämmen sucht. Das Wesen der Religion ist mit dieser Analogie allerdings nicht erschöpft. Bringt sie einerseits Zwangseinschränkungen wie nur eine individuelle Zwangsneurose, so enthält sie anderseits ein System von Wunschillusionen mit Verleugnung der Wirklichkeit, wie wir es isoliert nur bei einer Amentia, einer glückseligen halluzinatorischen Verworrenheit, finden. Es sind eben nur Vergleichungen, mit denen wir uns um das Verständnis des sozialen Phänomens bemühen, die Indi-vidualpathologie gibt uns kein vollwertiges Gegenstück dazu.</w:t>
      </w:r>
    </w:p>
    <w:p w:rsidR="00941D22" w:rsidRPr="004445E0" w:rsidRDefault="00941D22" w:rsidP="004445E0">
      <w:pPr>
        <w:pStyle w:val="Sansinterligne"/>
        <w:rPr>
          <w:rFonts w:ascii="Garamond" w:hAnsi="Garamond"/>
          <w:lang w:val="en-US"/>
        </w:rPr>
      </w:pPr>
      <w:r w:rsidRPr="004445E0">
        <w:rPr>
          <w:rFonts w:ascii="Garamond" w:hAnsi="Garamond"/>
          <w:lang w:val="en-US"/>
        </w:rPr>
        <w:t>Es ist wiederholt darauf hingewiesen worden (von mir und besonders von Th. Reik), bis in welche Einzelheiten sich die Analogie der Religion mit einer Zwangsneurose verfolgen, wieviel von den Sonderheiten und den Schicksalen der Religionsbildung sich auf diesem Wege verstehen läßt. Es stimmt dazu auch gut, daß der Frommgläubige in hohem Grade gegen die Gefahr gewisser neurotischer Erkrankungen geschützt ist; die Annahme der allgemeinen Neurose überhebt ihn der Aufgabe, eine persönliche Neurose auszubilden.</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Die Erkenntnis des historischen Werts gewisser religiöser Lehren steigert unseren Respekt vor ihnen, macht aber unseren Vorschlag, sie aus der Motivierung der kulturellen Vorschriften zurückzuziehen, nicht wertlos. Im Gegenteil! Mit Hilfe dieser historischen Reste hat sich uns die Auffassung der religiösen Lehrsätze als gleichsam neurotischer Relikte ergeben, und nun dürfen wir sagen, es ist wahrscheinlich an der Zeit, wie in der analytischen Behandlung des Neurotikers die Erfolge der Verdrängung durch die Ergebnisse der rationellen Geistesarbeit zu ersetzen. Daß es bei dieser Umarbeitung nicht beim Verzicht auf die feierliche Verklärung der kulturellen Vorschriften bleiben wird, daß eine allgemeine Revision derselben für viele die Aufhebung zur Folge haben muß, ist vorauszusehen, aber kaum zu bedauern. Die uns gestellte Aufgabe der Versöhnung der Menschen mit der Kultur wird auf diesem Wege weitgehend gelöst werden. Um den Verzicht auf die historische Wahrheit bei rationeller Motivierung der Kulturvorschriften darf es uns nicht leid tun. Die Wahrheiten, welche die religiösen Lehren enthalten, sind </w:t>
      </w:r>
      <w:r w:rsidRPr="004445E0">
        <w:rPr>
          <w:rFonts w:ascii="Garamond" w:hAnsi="Garamond"/>
          <w:lang w:val="en-US"/>
        </w:rPr>
        <w:lastRenderedPageBreak/>
        <w:t>doch so entstellt und systematisch verkleidet, daß die Masse der Menschen sie nicht als Wahrheit erkennen kann. Es ist ein ähnlicher Fall, wie wenn wir dem Kind erzählen, daß der Storch die Neugebornen bringt. Auch damit sagen wir die Wahrheit in symbolischer Verhüllung, denn wir wissen, was der große Vogel bedeutet. Aber das Kind weiß es nicht, es hört nur den Anteil der Entstellung heraus, hält sich für betrogen, und wir wissen, wie oft sein Mißtrauen gegen die Erwachsenen und seine Widersetzlichkeit gerade an diesen Eindruck anknüpft. Wir sind zur Überzeugung gekommen, daß es besser ist, die Mitteilung solcher symbolischer Verschleierungen der Wahrheit zu unterlassen und dem Kind die Kenntnis der realen Verhältnisse in Anpassung an seine intellektuelle Stufe nicht zu versagen.</w:t>
      </w:r>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p>
    <w:p w:rsidR="009C0B0A" w:rsidRPr="004445E0" w:rsidRDefault="009C0B0A" w:rsidP="004445E0">
      <w:pPr>
        <w:pStyle w:val="Sansinterligne"/>
        <w:rPr>
          <w:rFonts w:ascii="Garamond" w:eastAsiaTheme="majorEastAsia" w:hAnsi="Garamond" w:cstheme="majorBidi"/>
          <w:b/>
          <w:bCs/>
          <w:color w:val="365F91" w:themeColor="accent1" w:themeShade="BF"/>
          <w:lang w:val="en-US"/>
        </w:rPr>
      </w:pPr>
      <w:r w:rsidRPr="004445E0">
        <w:rPr>
          <w:rFonts w:ascii="Garamond" w:hAnsi="Garamond"/>
          <w:lang w:val="en-US"/>
        </w:rPr>
        <w:br w:type="page"/>
      </w: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 xml:space="preserve">IX. </w:t>
        </w:r>
        <w:r w:rsidR="004445E0" w:rsidRPr="004445E0">
          <w:rPr>
            <w:rStyle w:val="Lienhypertexte"/>
            <w:rFonts w:ascii="Garamond" w:hAnsi="Garamond"/>
            <w:lang w:val="en-US"/>
          </w:rPr>
          <w:t xml:space="preserve"> </w:t>
        </w:r>
        <w:r w:rsidR="00941D22" w:rsidRPr="004445E0">
          <w:rPr>
            <w:rStyle w:val="Lienhypertexte"/>
            <w:rFonts w:ascii="Garamond" w:hAnsi="Garamond"/>
            <w:lang w:val="en-US"/>
          </w:rPr>
          <w:t>Fr</w:t>
        </w:r>
        <w:bookmarkStart w:id="55" w:name="Illusion9"/>
        <w:bookmarkEnd w:id="55"/>
        <w:r w:rsidR="00941D22" w:rsidRPr="004445E0">
          <w:rPr>
            <w:rStyle w:val="Lienhypertexte"/>
            <w:rFonts w:ascii="Garamond" w:hAnsi="Garamond"/>
            <w:lang w:val="en-US"/>
          </w:rPr>
          <w:t>age nach der Möglichkeit der Ablösung der religö</w:t>
        </w:r>
        <w:r w:rsidR="004445E0" w:rsidRPr="004445E0">
          <w:rPr>
            <w:rStyle w:val="Lienhypertexte"/>
            <w:rFonts w:ascii="Garamond" w:hAnsi="Garamond"/>
            <w:lang w:val="en-US"/>
          </w:rPr>
          <w:t>sen Illusion durch die Vernunft</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»Sie gestatten sich Widersprüche, die schwer miteinander zu vereinbaren sind. Zuerst behaupten Sie, eine Schrift wie die Ihrige sei ganz ungefährlich. Niemand werde sich durch solche Erörterungen seinen religiösen Glauben rauben lassen. Da es aber doch Ihre Absicht ist, diesen Glauben zu stören, wie sich später herausstellt, darf man fragen: Warum veröffentlichen Sie sie eigentlich? An einer anderen Stelle geben Sie aber doch zu, daß es gefährlich, ja sogar sehr gefährlich werden kann, wenn jemand erfährt, daß man nicht mehr an Gott glaubt. Er war bis dahin gefügig, und nun wirft er den Gehorsam gegen die Kulturvorschriften beiseite. Ihr ganzes Argument, daß die religiöse Motivierung der Kulturgebote eine Gefahr für die Kultur bedeute, ruht ja auf der Annahme, daß der Gläubige zum Ungläubigen gemacht werden kann, das ist doch ein voller Widerspruch.«</w:t>
      </w:r>
    </w:p>
    <w:p w:rsidR="00941D22" w:rsidRPr="004445E0" w:rsidRDefault="00941D22" w:rsidP="004445E0">
      <w:pPr>
        <w:pStyle w:val="Sansinterligne"/>
        <w:rPr>
          <w:rFonts w:ascii="Garamond" w:hAnsi="Garamond"/>
          <w:lang w:val="en-US"/>
        </w:rPr>
      </w:pPr>
      <w:r w:rsidRPr="004445E0">
        <w:rPr>
          <w:rFonts w:ascii="Garamond" w:hAnsi="Garamond"/>
          <w:lang w:val="en-US"/>
        </w:rPr>
        <w:t>»Ein anderer Widerspruch ist, wenn Sie einerseits zugeben, der Mensch sei durch Intelligenz nicht zu lenken, er werde durch seine Leidenschaften und Triebansprüche beherrscht, anderseits aber den Vorschlag machen, die affektiven Grundlagen seines Kulturgehorsams durch rationelle zu ersetzen. Das verstehe wer kann. Mir scheint es entweder das eine oder das andere.«</w:t>
      </w:r>
    </w:p>
    <w:p w:rsidR="00941D22" w:rsidRPr="004445E0" w:rsidRDefault="00941D22" w:rsidP="004445E0">
      <w:pPr>
        <w:pStyle w:val="Sansinterligne"/>
        <w:rPr>
          <w:rFonts w:ascii="Garamond" w:hAnsi="Garamond"/>
        </w:rPr>
      </w:pPr>
      <w:r w:rsidRPr="004445E0">
        <w:rPr>
          <w:rFonts w:ascii="Garamond" w:hAnsi="Garamond"/>
        </w:rPr>
        <w:t xml:space="preserve">»Übrigens, haben Sie nichts aus der Geschichte gelernt? </w:t>
      </w:r>
      <w:r w:rsidRPr="004445E0">
        <w:rPr>
          <w:rFonts w:ascii="Garamond" w:hAnsi="Garamond"/>
          <w:lang w:val="en-US"/>
        </w:rPr>
        <w:t xml:space="preserve">Ein solcher Versuch, die Religion durch die Vernunft ablösen zu lassen, ist ja schon einmal gemacht worden, offiziell und in großem Stil. Sie erinnern sich doch an die Französische Revolution und Robespierre? Aber auch an die Kurzlebigkeit und klägliche Erfolglosigkeit des Experiments. Es wird jetzt in Rußland wiederholt, wir brauchen nicht neugierig zu sein, wie es ausgehen wird. </w:t>
      </w:r>
      <w:r w:rsidRPr="004445E0">
        <w:rPr>
          <w:rFonts w:ascii="Garamond" w:hAnsi="Garamond"/>
        </w:rPr>
        <w:t>Meinen Sie nicht, daß wir annehmen dürfen, der Mensch kann die Religion nicht entbehren?«</w:t>
      </w:r>
    </w:p>
    <w:p w:rsidR="00941D22" w:rsidRPr="004445E0" w:rsidRDefault="00941D22" w:rsidP="004445E0">
      <w:pPr>
        <w:pStyle w:val="Sansinterligne"/>
        <w:rPr>
          <w:rFonts w:ascii="Garamond" w:hAnsi="Garamond"/>
        </w:rPr>
      </w:pPr>
      <w:r w:rsidRPr="004445E0">
        <w:rPr>
          <w:rFonts w:ascii="Garamond" w:hAnsi="Garamond"/>
        </w:rPr>
        <w:t>»Sie haben selbst gesagt, die Religion ist mehr als eine Zwangsneurose. Aber von dieser ihrer anderen Seite haben Sie nicht gehandelt. Es genügt Ihnen, die Analogie mit der Neurose durchzuführen. Von einer Neurose muß man die Menschen befreien. Was dabei sonst verlorengeht, kümmert Sie nicht.«</w:t>
      </w:r>
    </w:p>
    <w:p w:rsidR="00941D22" w:rsidRPr="004445E0" w:rsidRDefault="00941D22" w:rsidP="004445E0">
      <w:pPr>
        <w:pStyle w:val="Sansinterligne"/>
        <w:rPr>
          <w:rFonts w:ascii="Garamond" w:hAnsi="Garamond"/>
          <w:lang w:val="en-US"/>
        </w:rPr>
      </w:pPr>
      <w:r w:rsidRPr="004445E0">
        <w:rPr>
          <w:rFonts w:ascii="Garamond" w:hAnsi="Garamond"/>
        </w:rPr>
        <w:t xml:space="preserve">Der Anschein des Widerspruchs ist wahrscheinlich entstanden, weil ich komplizierte Dinge zu eilig behandelt habe. </w:t>
      </w:r>
      <w:r w:rsidRPr="004445E0">
        <w:rPr>
          <w:rFonts w:ascii="Garamond" w:hAnsi="Garamond"/>
          <w:lang w:val="en-US"/>
        </w:rPr>
        <w:t>Einiges können wir nachholen. Ich behaupte noch immer, daß meine Schrift in einer Hinsicht ganz ungefähr</w:t>
      </w:r>
      <w:r w:rsidRPr="004445E0">
        <w:rPr>
          <w:rFonts w:ascii="Garamond" w:hAnsi="Garamond"/>
          <w:lang w:val="en-US"/>
        </w:rPr>
        <w:softHyphen/>
        <w:t>lich ist. Kein Glaubender wird sich durch diese oder ähnliche Argumente in seinem Glauben beirren lassen. Ein Glaubender hat bestimmte zärtliche Bindungen an die Inhalte der Religion. Es gibt gewiß ungezählt viele andere, die nicht in demselben Sinne gläubig sind. Sie sind den Kulturvorschriften gehorsam, weil sie sich durch die Drohungen der Religion einschüchtern lassen, und sie fürchten die Religion, solange sie dieselbe für ein Stück der sie einschränkenden Realität halten müssen. Diese sind es, die losbrechen, sobald sie den Glauben an ihren Realitätswert aufgeben dürfen, aber auch darauf haben Argumente keinen Einfluß. Sie hören auf, die Religion zu fürchten, wenn sie merken, daß auch andere sie nicht fürchten, und von ihnen habe ich behauptet, daß sie vom Niedergang des religiösen Einflusses erfahren würden, auch wenn ich meine Schrift nicht publizierte.</w:t>
      </w:r>
    </w:p>
    <w:p w:rsidR="00941D22" w:rsidRPr="004445E0" w:rsidRDefault="00941D22" w:rsidP="004445E0">
      <w:pPr>
        <w:pStyle w:val="Sansinterligne"/>
        <w:rPr>
          <w:rFonts w:ascii="Garamond" w:hAnsi="Garamond"/>
          <w:lang w:val="en-US"/>
        </w:rPr>
      </w:pPr>
      <w:r w:rsidRPr="004445E0">
        <w:rPr>
          <w:rFonts w:ascii="Garamond" w:hAnsi="Garamond"/>
          <w:lang w:val="en-US"/>
        </w:rPr>
        <w:t>Ich glaube aber, Sie legen selbst mehr Wert auf den anderen Wider</w:t>
      </w:r>
      <w:r w:rsidRPr="004445E0">
        <w:rPr>
          <w:rFonts w:ascii="Garamond" w:hAnsi="Garamond"/>
          <w:lang w:val="en-US"/>
        </w:rPr>
        <w:softHyphen/>
        <w:t>spruch, den Sie mir vorhalten. Die Menschen sind Vernunftgründen so wenig zugänglich, werden ganz von ihren Triebwünschen beherrscht. Warum soll man also ihnen eine Triebbefriedigung wegnehmen und durch Vernunft</w:t>
      </w:r>
      <w:r w:rsidRPr="004445E0">
        <w:rPr>
          <w:rFonts w:ascii="Garamond" w:hAnsi="Garamond"/>
          <w:lang w:val="en-US"/>
        </w:rPr>
        <w:softHyphen/>
        <w:t>gründe ersetzen wollen? Freilich sind die Menschen so, aber haben Sie sich gefragt, ob sie so sein müssen, ob ihre innerste Natur sie dazu nötigt? Kann der Anthropologe den Schädelindex eines Volkes angeben, das die Sitte pflegt, die Köpfchen seiner Kinder von früh an durch Bandagen zu deformie</w:t>
      </w:r>
      <w:r w:rsidRPr="004445E0">
        <w:rPr>
          <w:rFonts w:ascii="Garamond" w:hAnsi="Garamond"/>
          <w:lang w:val="en-US"/>
        </w:rPr>
        <w:softHyphen/>
        <w:t>ren? Denken Sie an den betrübenden Kontrast zwischen der strahlenden Intelligenz eines gesunden Kindes und der Denkschwäche des durchschnittli</w:t>
      </w:r>
      <w:r w:rsidRPr="004445E0">
        <w:rPr>
          <w:rFonts w:ascii="Garamond" w:hAnsi="Garamond"/>
          <w:lang w:val="en-US"/>
        </w:rPr>
        <w:softHyphen/>
        <w:t xml:space="preserve">chen Erwachsenen. Wäre es so ganz unmöglich, daß gerade die religiöse Erziehung ein großes Teil Schuld an dieser relativen Verkümmerung trägt? Ich meine, es würde sehr lange dauern, bis ein nicht beeinflußtes Kind anfinge, sich Gedanken über Gott und Dinge jenseits dieser Welt zu machen. Vielleicht würden diese Gedanken dann dieselben Wege einschlagen, die sie bei seinen Urahnen gegangen sind, aber man wartet diese Entwicklung nicht ab, man führt ihm die religiösen Lehren zu einer Zeit zu, da es weder Interesse für sie noch die Fähigkeit hat, ihre Tragweite zu begreifen. Verzögerung der sexuellen Entwicklung und Verfrühung des religiösen Einflusses, das sind doch die beiden Hauptpunkte im Programme der heutigen Pädagogik, nicht wahr? Wenn dann das Denken des Kindes erwacht, sind die religiösen Lehren bereits unangreifbar geworden. Meinen Sie aber, daß es für die Erstarkung der Denkfunktion sehr förderlich ist, wenn ihr ein so bedeutsames Gebiet durch die Androhung der Höllenstrafen verschlossen wird? Wer sich einmal dazu gebracht hat, alle die Absurditäten, die die religiösen Lehren ihm zutragen, ohne Kritik hinzunehmen und selbst die Widersprüche zwischen ihnen zu übersehen, dessen Denkschwäche braucht uns nicht arg zu verwundern. Nun haben wir aber kein anderes Mittel zur Beherrschung unserer Triebhaftigkeit als unsere Intelligenz. </w:t>
      </w:r>
      <w:r w:rsidRPr="004445E0">
        <w:rPr>
          <w:rFonts w:ascii="Garamond" w:hAnsi="Garamond"/>
          <w:lang w:val="en-US"/>
        </w:rPr>
        <w:lastRenderedPageBreak/>
        <w:t>Wie kann man von Personen, die unter der Herrschaft von Denkverboten stehen, erwarten, daß sie das psychologische Ideal, den Primat der Intelligenz, erreichen werden? Sie wissen auch, daß man den Frauen im allgemeinen den sogenannten »physiologischen Schwachsinn« nachsagt, d.h. eine geringere Intelligenz als die des Mannes. Die Tatsache selbst ist strittig, ihre Auslegung zweifelhaft, aber ein Argument für die sekundäre Natur dieser intellektuellen Verkümmerung lautet, die Frauen litten unter der Härte des frühen Verbots, ihr Denken an das zu wenden, was sie am meisten interessiert hätte, nämlich an die Probleme des Geschlechtslebens. Solange außer der sexuellen Denkhemmung die religiöse und die von ihr abgeleitete loyale auf die frühen Jahre des Menschen einwirken, können wir wirklich nicht sagen, wie er eigentlich ist.</w:t>
      </w:r>
    </w:p>
    <w:p w:rsidR="00941D22" w:rsidRPr="004445E0" w:rsidRDefault="00941D22" w:rsidP="004445E0">
      <w:pPr>
        <w:pStyle w:val="Sansinterligne"/>
        <w:rPr>
          <w:rFonts w:ascii="Garamond" w:hAnsi="Garamond"/>
          <w:lang w:val="en-US"/>
        </w:rPr>
      </w:pPr>
      <w:r w:rsidRPr="004445E0">
        <w:rPr>
          <w:rFonts w:ascii="Garamond" w:hAnsi="Garamond"/>
          <w:lang w:val="en-US"/>
        </w:rPr>
        <w:t>Aber ich will meinen Eifer ermäßigen und die Möglichkeit zugestehen, daß auch ich einer Illusion nachjage. Vielleicht ist die Wirkung des religiösen Denkverbots nicht so arg, wie ich's annehme, vielleicht stellt es sich heraus, daß die menschliche Natur dieselbe bleibt, auch wenn man die Erziehung nicht zur Unterwerfung unter die Religion mißbraucht. Ich weiß es nicht, und Sie können es auch nicht wissen. Nicht nur die großen Probleme dieses Lebens scheinen derzeit unlösbar, sondern auch viele geringere Fragen sind schwer zu entscheiden. Aber gestehen Sie mir zu, daß hier eine Berechtigung für eine Zukunftshoffnung vorhanden ist, daß vielleicht ein Schatz zu heben ist, der die Kultur bereichern kann, daß es sich der Mühe lohnt, den Versuch einer irreligiösen Erziehung zu unternehmen. Fällt er unbefriedigend aus, so bin ich bereit, die Reform aufzugeben und zum früheren, rein deskriptiven Urteil zurückzukehren: Der Mensch ist ein Wesen von schwacher Intelligenz, das von seinen Triebwünschen beherrscht wird.</w:t>
      </w:r>
    </w:p>
    <w:p w:rsidR="00941D22" w:rsidRPr="004445E0" w:rsidRDefault="00941D22" w:rsidP="004445E0">
      <w:pPr>
        <w:pStyle w:val="Sansinterligne"/>
        <w:rPr>
          <w:rFonts w:ascii="Garamond" w:hAnsi="Garamond"/>
          <w:lang w:val="en-US"/>
        </w:rPr>
      </w:pPr>
      <w:r w:rsidRPr="004445E0">
        <w:rPr>
          <w:rFonts w:ascii="Garamond" w:hAnsi="Garamond"/>
          <w:lang w:val="en-US"/>
        </w:rPr>
        <w:t>In einem anderen Punkte stimme ich Ihnen ohne Rückhalt bei. Es ist gewiß ein unsinniges Beginnen, die Religion gewaltsam und mit einem Schlage aufhe</w:t>
      </w:r>
      <w:r w:rsidRPr="004445E0">
        <w:rPr>
          <w:rFonts w:ascii="Garamond" w:hAnsi="Garamond"/>
          <w:lang w:val="en-US"/>
        </w:rPr>
        <w:softHyphen/>
        <w:t xml:space="preserve">ben zu wollen. </w:t>
      </w:r>
      <w:r w:rsidRPr="004445E0">
        <w:rPr>
          <w:rFonts w:ascii="Garamond" w:hAnsi="Garamond"/>
        </w:rPr>
        <w:t xml:space="preserve">Vor allem darum, weil es aussichtslos ist. Der Gläubige läßt sich seinen Glauben nicht entreißen, nicht durch Argumente und nicht durch Verbote. </w:t>
      </w:r>
      <w:r w:rsidRPr="004445E0">
        <w:rPr>
          <w:rFonts w:ascii="Garamond" w:hAnsi="Garamond"/>
          <w:lang w:val="en-US"/>
        </w:rPr>
        <w:t>Gelänge es aber bei einigen, so wäre es eine Grausamkeit. Wer durch Dezennien Schlafmittel genommen hat, kann natürlich nicht schlafen, wenn man ihm das Mittel entzieht. Daß die Wirkung der religiösen Tröstungen der eines Narkotikums gleichgesetzt werden darf, wird durch einen Vorgang in Amerika hübsch erläutert. Dort will man jetzt den Menschen — offenbar unter dem Einfluß der Frauenherrschaft — alle Reiz-, Rausch- und Genußmittel entziehen und übersättigt sie zur Entschädigung mit Gottesfurcht. Auch auf den Ausgang dieses Experiments braucht man nicht neugierig zu sein.</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Ich widerspreche Ihnen also, wenn Sie weiter folgern, daß der Mensch überhaupt den Trost der religiösen Illusion nicht entbehren kann, daß er ohne sie die Schwere des Lebens, die grausame Wirklichkeit, nicht ertragen würde. Ja, der Mensch nicht, dem Sie das süße — oder bittersüße — Gift von Kindheit an eingeflößt haben. Aber der andere, der nüchtern aufgezogen wurde? Vielleicht braucht der, der nicht an der Neurose leidet, auch keine Intoxikation, um sie zu betäuben. Gewiß wird der Mensch sich dann in einer schwierigen Situation befinden, er wird sich seine ganze Hilflosigkeit, seine Geringfügigkeit im Getriebe der Welt eingestehen müssen, nicht mehr der Mittelpunkt der Schöpfung, nicht mehr das Objekt zärtlicher Fürsorge einer gütigen Vorsehung. Er wird in derselben Lage sein wie das Kind, welches das Vaterhaus verlassen hat, in dem es ihm so warm und behaglich war. Aber nicht wahr, der Infantilismus ist dazu bestimmt, überwunden zu werden? Der Mensch kann nicht ewig Kind bleiben, er muß endlich hinaus ins »feindliche Leben«. Man darf das »die </w:t>
      </w:r>
      <w:r w:rsidRPr="004445E0">
        <w:rPr>
          <w:rFonts w:ascii="Garamond" w:hAnsi="Garamond"/>
          <w:i/>
          <w:iCs/>
          <w:lang w:val="en-US"/>
        </w:rPr>
        <w:t>Erziehung zur Realität«</w:t>
      </w:r>
      <w:r w:rsidRPr="004445E0">
        <w:rPr>
          <w:rFonts w:ascii="Garamond" w:hAnsi="Garamond"/>
          <w:lang w:val="en-US"/>
        </w:rPr>
        <w:t xml:space="preserve"> heißen, brauche ich Ihnen noch zu verraten, daß es die einzige Absicht meiner Schrift ist, auf die Notwendigkeit dieses Fortschritts aufmerksam zu machen?</w:t>
      </w:r>
    </w:p>
    <w:p w:rsidR="00941D22" w:rsidRPr="004445E0" w:rsidRDefault="00941D22" w:rsidP="004445E0">
      <w:pPr>
        <w:pStyle w:val="Sansinterligne"/>
        <w:rPr>
          <w:rFonts w:ascii="Garamond" w:hAnsi="Garamond"/>
          <w:lang w:val="en-US"/>
        </w:rPr>
      </w:pPr>
      <w:r w:rsidRPr="004445E0">
        <w:rPr>
          <w:rFonts w:ascii="Garamond" w:hAnsi="Garamond"/>
          <w:lang w:val="en-US"/>
        </w:rPr>
        <w:t>Sie fürchten wahrscheinlich, er wird die schwere Probe nicht bestehen? Nun, lassen Sie uns immerhin hoffen. Es macht schon etwas aus, wenn man weiß, daß man auf seine eigene Kraft angewiesen ist. Man lernt dann, sie richtig zu gebrauchen. Ganz ohne Hilfsmittel ist der Mensch nicht, seine Wissenschaft hat ihn seit den Zeiten des Diluviums viel gelehrt und wird seine Macht noch weiter vergrößern. Und was die großen Schicksalsnot</w:t>
      </w:r>
      <w:r w:rsidRPr="004445E0">
        <w:rPr>
          <w:rFonts w:ascii="Garamond" w:hAnsi="Garamond"/>
          <w:lang w:val="en-US"/>
        </w:rPr>
        <w:softHyphen/>
        <w:t>wendigkeiten betrifft, gegen die es eine Abhilfe nicht gibt, die wird er eben mit Ergebung ertragen lernen. Was soll ihm die Vorspiegelung eines Großgrundbesitzes auf dem Mond, von dessen Ertrag doch noch nie jemand etwas gesehen hat? Als ehrlicher Kleinbauer auf dieser Erde wird er seine Scholle zu bearbeiten wissen, so daß sie ihn nährt. Dadurch, daß er seine Erwartungen vom Jenseits abzieht und alle freigewordenen Kräfte auf das irdische Leben konzentriert, wird er wahrscheinlich erreichen können, daß das Leben für alle erträglich wird und die Kultur keinen mehr erdrückt. Dann wird er ohne Bedauern mit einem unserer Unglaubensgenossen sagen dürfen:</w:t>
      </w:r>
    </w:p>
    <w:p w:rsidR="00941D22" w:rsidRPr="004445E0" w:rsidRDefault="00941D22" w:rsidP="004445E0">
      <w:pPr>
        <w:pStyle w:val="Sansinterligne"/>
        <w:rPr>
          <w:rFonts w:ascii="Garamond" w:hAnsi="Garamond"/>
          <w:lang w:val="en-US"/>
        </w:rPr>
      </w:pPr>
      <w:r w:rsidRPr="004445E0">
        <w:rPr>
          <w:rFonts w:ascii="Garamond" w:hAnsi="Garamond"/>
          <w:lang w:val="en-US"/>
        </w:rPr>
        <w:t> </w:t>
      </w:r>
    </w:p>
    <w:p w:rsidR="00941D22" w:rsidRPr="004445E0" w:rsidRDefault="00941D22" w:rsidP="004445E0">
      <w:pPr>
        <w:pStyle w:val="Sansinterligne"/>
        <w:rPr>
          <w:rFonts w:ascii="Garamond" w:hAnsi="Garamond"/>
          <w:lang w:val="en-US"/>
        </w:rPr>
      </w:pPr>
      <w:r w:rsidRPr="004445E0">
        <w:rPr>
          <w:rFonts w:ascii="Garamond" w:hAnsi="Garamond"/>
          <w:lang w:val="en-US"/>
        </w:rPr>
        <w:t>Den Himmel überlassen wir</w:t>
      </w:r>
    </w:p>
    <w:p w:rsidR="00941D22" w:rsidRPr="004445E0" w:rsidRDefault="00941D22" w:rsidP="004445E0">
      <w:pPr>
        <w:pStyle w:val="Sansinterligne"/>
        <w:rPr>
          <w:rFonts w:ascii="Garamond" w:hAnsi="Garamond"/>
          <w:lang w:val="en-US"/>
        </w:rPr>
      </w:pPr>
      <w:r w:rsidRPr="004445E0">
        <w:rPr>
          <w:rFonts w:ascii="Garamond" w:hAnsi="Garamond"/>
          <w:lang w:val="en-US"/>
        </w:rPr>
        <w:t>Den Engeln und den Spatzen.</w:t>
      </w:r>
    </w:p>
    <w:p w:rsidR="00941D22" w:rsidRPr="004445E0" w:rsidRDefault="00941D22" w:rsidP="004445E0">
      <w:pPr>
        <w:pStyle w:val="Sansinterligne"/>
        <w:rPr>
          <w:rFonts w:ascii="Garamond" w:hAnsi="Garamond"/>
          <w:lang w:val="en-US"/>
        </w:rPr>
      </w:pPr>
    </w:p>
    <w:p w:rsidR="00941D22" w:rsidRPr="004445E0" w:rsidRDefault="00B437A1" w:rsidP="004445E0">
      <w:pPr>
        <w:pStyle w:val="Sansinterligne"/>
        <w:rPr>
          <w:rFonts w:ascii="Garamond" w:hAnsi="Garamond"/>
          <w:lang w:val="en-US"/>
        </w:rPr>
      </w:pPr>
      <w:hyperlink w:anchor="IllusionINHALT" w:history="1">
        <w:r w:rsidR="00941D22" w:rsidRPr="004445E0">
          <w:rPr>
            <w:rStyle w:val="Lienhypertexte"/>
            <w:rFonts w:ascii="Garamond" w:hAnsi="Garamond"/>
            <w:lang w:val="en-US"/>
          </w:rPr>
          <w:t xml:space="preserve">X. </w:t>
        </w:r>
        <w:r w:rsidR="004445E0" w:rsidRPr="004445E0">
          <w:rPr>
            <w:rStyle w:val="Lienhypertexte"/>
            <w:rFonts w:ascii="Garamond" w:hAnsi="Garamond"/>
            <w:lang w:val="en-US"/>
          </w:rPr>
          <w:t xml:space="preserve"> </w:t>
        </w:r>
        <w:r w:rsidR="00941D22" w:rsidRPr="004445E0">
          <w:rPr>
            <w:rStyle w:val="Lienhypertexte"/>
            <w:rFonts w:ascii="Garamond" w:hAnsi="Garamond"/>
            <w:lang w:val="en-US"/>
          </w:rPr>
          <w:t>Da</w:t>
        </w:r>
        <w:bookmarkStart w:id="56" w:name="Illusion10"/>
        <w:bookmarkEnd w:id="56"/>
        <w:r w:rsidR="00941D22" w:rsidRPr="004445E0">
          <w:rPr>
            <w:rStyle w:val="Lienhypertexte"/>
            <w:rFonts w:ascii="Garamond" w:hAnsi="Garamond"/>
            <w:lang w:val="en-US"/>
          </w:rPr>
          <w:t>s Verhältnis zwi</w:t>
        </w:r>
        <w:r w:rsidR="004445E0" w:rsidRPr="004445E0">
          <w:rPr>
            <w:rStyle w:val="Lienhypertexte"/>
            <w:rFonts w:ascii="Garamond" w:hAnsi="Garamond"/>
            <w:lang w:val="en-US"/>
          </w:rPr>
          <w:t>schen Religion und Wissenschaft</w:t>
        </w:r>
      </w:hyperlink>
    </w:p>
    <w:p w:rsidR="00941D22" w:rsidRPr="004445E0" w:rsidRDefault="00941D22" w:rsidP="004445E0">
      <w:pPr>
        <w:pStyle w:val="Sansinterligne"/>
        <w:rPr>
          <w:rFonts w:ascii="Garamond" w:hAnsi="Garamond"/>
          <w:lang w:val="en-US"/>
        </w:rPr>
      </w:pPr>
    </w:p>
    <w:p w:rsidR="00941D22" w:rsidRPr="004445E0" w:rsidRDefault="00941D22" w:rsidP="004445E0">
      <w:pPr>
        <w:pStyle w:val="Sansinterligne"/>
        <w:rPr>
          <w:rFonts w:ascii="Garamond" w:hAnsi="Garamond"/>
          <w:lang w:val="en-US"/>
        </w:rPr>
      </w:pPr>
      <w:r w:rsidRPr="004445E0">
        <w:rPr>
          <w:rFonts w:ascii="Garamond" w:hAnsi="Garamond"/>
          <w:lang w:val="en-US"/>
        </w:rPr>
        <w:t>»Das klingt ja großartig. Eine Menschheit, die auf alle Illusionen verzichtet hat und dadurch fähig geworden ist, sich auf der Erde erträglich einzurichten! Ich aber kann Ihre Erwartungen nicht teilen. Nicht darum, weil ich der hartnäckige Reaktionär wäre, für den Sie mich vielleicht halten. Nein, aus Besonnenheit. Ich glaube, wir haben nun die Rollen getauscht; Sie zeigen sich als der Schwärmer, der sich von Illusionen fortreißen läßt, und ich vertrete den Anspruch der Vernunft, das Recht der Skepsis. Was Sie da aufgeführt haben, scheint mir auf Irrtümern aufgebaut, die ich nach Ihrem Vorgang Illusionen heißen darf, weil sie deutlich genug den Einfluß Ihrer Wünsche verraten. Sie setzen Ihre Hoffnung darauf, daß Generationen, die nicht in früher Kindheit den Einfluß der religiösen Lehren erfahren haben, leicht den ersehnten Primat der Intelligenz über das Triebleben erreichen werden. Das ist wohl eine Illusion; in diesem entscheidenden Punkt wird sich die menschliche Natur kaum ändern. Wenn ich nicht irre — man weiß so wenig von anderen Kulturen —, gibt es auch heute Völker, die nicht unter dem Druck eines religiösen Systems aufwachsen, und sie kommen Ihrem Ideal nicht näher als andere. Wenn Sie aus unserer europäischen Kultur die Religion wegschaffen wollen, so kann es nur durch ein anderes System von Lehren geschehen, und dies würde von Anfang an alle psychologischen Charaktere der Religion übernehmen, dieselbe Heiligkeit, Starrheit, Unduld</w:t>
      </w:r>
      <w:r w:rsidRPr="004445E0">
        <w:rPr>
          <w:rFonts w:ascii="Garamond" w:hAnsi="Garamond"/>
          <w:lang w:val="en-US"/>
        </w:rPr>
        <w:softHyphen/>
        <w:t>samkeit, dasselbe Denkverbot zu seiner Verteidigung. Irgend etwas dieser Art müssen Sie haben, um den Anforderungen der Erziehung gerecht zu werden. Auf die Erziehung können Sie aber nicht verzichten. Der Weg vom Säugling zum Kulturmenschen ist weit, zu viele Menschlein würden sich auf ihm verirren und nicht rechtzeitig zu ihren Lebensaufgaben kommen, wenn sie ohne Leitung der eigenen Entwicklung überlassen werden. Die Lehren, die in ihrer Erziehung angewendet wurden, werden dem Denken ihrer reife</w:t>
      </w:r>
      <w:r w:rsidRPr="004445E0">
        <w:rPr>
          <w:rFonts w:ascii="Garamond" w:hAnsi="Garamond"/>
          <w:lang w:val="en-US"/>
        </w:rPr>
        <w:softHyphen/>
        <w:t>ren Jahre immer Schranken setzen, genauso, wie Sie es heute der Religion zum Vorwurf machen. Merken Sie nicht, daß es der untilgbare Geburtsfehler unserer, jeder Kultur ist, daß sie dem triebhaften und denkschwachen Kinde auferlegt, Entscheidungen zu treffen, die nur die gereifte Intelligenz des Erwachsenen rechtfertigen kann? Sie kann aber nicht anders, infolge der Zusammendrängung der säkularen Menschheitsentwicklung auf ein paar Kindheitsjahre, und das Kind kann nur durch affektive Mächte zur Bewältigung der ihm gestellten Aufgabe veranlaßt werden. Das sind also die Aussichten für Ihren ›Primat des Intellekts‹.«</w:t>
      </w:r>
    </w:p>
    <w:p w:rsidR="00941D22" w:rsidRPr="004445E0" w:rsidRDefault="00941D22" w:rsidP="004445E0">
      <w:pPr>
        <w:pStyle w:val="Sansinterligne"/>
        <w:rPr>
          <w:rFonts w:ascii="Garamond" w:hAnsi="Garamond"/>
          <w:lang w:val="en-US"/>
        </w:rPr>
      </w:pPr>
      <w:r w:rsidRPr="004445E0">
        <w:rPr>
          <w:rFonts w:ascii="Garamond" w:hAnsi="Garamond"/>
          <w:lang w:val="en-US"/>
        </w:rPr>
        <w:t>»Nun sollen Sie sich nicht verwundern, wenn ich für die Beibehaltung des religiösen Lehrsystems als Grundlage der Erziehung und des menschlichen Zusammenlebens eintrete. Es ist ein praktisches Problem, nicht eine Frage des Realitätswerts. Da wir im Interesse der Erhaltung unserer Kultur mit der Beeinflussung des Einzelnen nicht warten können, bis er kulturreif geworden ist — viele würden es überhaupt niemals werden —, da wir genötigt sind, dem Heranwachsenden irgendein System von Lehren aufzudrängen, das bei ihm als der Kritik entzogene Voraussetzung wirken soll, erscheint mir das religiöse System dazu als das weitaus geeignetste. Natürlich gerade wegen seiner wunscherfüllenden und tröstenden Kraft, an der Sie die ›Illusion‹ erkannt haben wollen. Angesichts der Schwierigkeiten, etwas von der Realität zu erkennen, ja der Zweifel, ob dies uns überhaupt möglich ist, wollen wir doch nicht übersehen, daß auch die menschlichen Bedürfnisse ein Stück der Realität sind, und zwar ein wichtiges, eines, das uns besonders nahe angeht.«</w:t>
      </w:r>
    </w:p>
    <w:p w:rsidR="00941D22" w:rsidRPr="004445E0" w:rsidRDefault="00941D22" w:rsidP="004445E0">
      <w:pPr>
        <w:pStyle w:val="Sansinterligne"/>
        <w:rPr>
          <w:rFonts w:ascii="Garamond" w:hAnsi="Garamond"/>
          <w:lang w:val="en-US"/>
        </w:rPr>
      </w:pPr>
      <w:r w:rsidRPr="004445E0">
        <w:rPr>
          <w:rFonts w:ascii="Garamond" w:hAnsi="Garamond"/>
          <w:lang w:val="en-US"/>
        </w:rPr>
        <w:t>»Einen anderen Vorzug der religiösen Lehre finde ich in einer ihrer Eigen</w:t>
      </w:r>
      <w:r w:rsidRPr="004445E0">
        <w:rPr>
          <w:rFonts w:ascii="Garamond" w:hAnsi="Garamond"/>
          <w:lang w:val="en-US"/>
        </w:rPr>
        <w:softHyphen/>
        <w:t>tümlichkeiten, an der Sie besonderen Anstoß zu nehmen scheinen. Sie gestattet eine begriffliche Läuterung und Sublimierung, in welcher das meiste abgestreift werden kann, das die Spur primitiven und infantilen Denkens an sich trägt. Was dann erübrigt, ist ein Gehalt von Ideen, denen die Wissenschaft nicht mehr widerspricht und die diese auch nicht widerlegen kann. Diese Umbildungen der religiösen Lehre, die Sie als Halbheiten und Kompromisse verurteilt haben, machen es möglich, den Riß zwischen der ungebildeten Masse und dem philosophischen Denker zu vermeiden, erhalten die Gemeinsamkeit unter ihnen, die für die Sicherung der Kultur so wichtig ist. Es ist dann nicht zu befürchten, der Mann aus dem Volk werde erfahren, daß die Oberschichten der Gesellschaft ›nicht mehr an Gott glauben‹. Nun glaube ich gezeigt zu haben, daß Ihre Bemühung sich auf den Versuch reduziert, eine erprobte und affektiv wertvolle Illusion durch eine andere, unerprobt und indifferent, zu ersetzen.«</w:t>
      </w:r>
    </w:p>
    <w:p w:rsidR="00941D22" w:rsidRPr="004445E0" w:rsidRDefault="00941D22" w:rsidP="004445E0">
      <w:pPr>
        <w:pStyle w:val="Sansinterligne"/>
        <w:rPr>
          <w:rFonts w:ascii="Garamond" w:hAnsi="Garamond"/>
          <w:lang w:val="en-US"/>
        </w:rPr>
      </w:pPr>
      <w:r w:rsidRPr="004445E0">
        <w:rPr>
          <w:rFonts w:ascii="Garamond" w:hAnsi="Garamond"/>
          <w:lang w:val="en-US"/>
        </w:rPr>
        <w:t>Sie sollen mich nicht für Ihre Kritik unzugänglich finden. Ich weiß, wie schwer es ist, Illusionen zu vermeiden; vielleicht sind auch die Hoffnungen, zu denen ich mich bekannt, illusorischer Natur. Aber einen Unterschied halte ich fest. Meine Illusionen — abgesehen davon, daß keine Strafe darauf steht, sie nicht zu teilen — sind nicht unkorrigierbar wie die religiösen, haben nicht den wahnhaften Charakter. Wenn die Erfahrung — nicht mir, sondern ande</w:t>
      </w:r>
      <w:r w:rsidRPr="004445E0">
        <w:rPr>
          <w:rFonts w:ascii="Garamond" w:hAnsi="Garamond"/>
          <w:lang w:val="en-US"/>
        </w:rPr>
        <w:softHyphen/>
        <w:t xml:space="preserve">ren nach mir, die ebenso denken — zeigen sollte, daß wir uns geirrt haben, so werden wir auf unsere Erwartungen verzichten. Nehmen Sie doch meinen Versuch </w:t>
      </w:r>
      <w:r w:rsidRPr="004445E0">
        <w:rPr>
          <w:rFonts w:ascii="Garamond" w:hAnsi="Garamond"/>
          <w:lang w:val="en-US"/>
        </w:rPr>
        <w:lastRenderedPageBreak/>
        <w:t>für das, was er ist. Ein Psychologe, der sich nicht darüber täuscht, wie schwer es ist, sich in dieser Welt zurechtzufinden, bemüht sich, die Entwicklung der Menschheit nach dem bißchen Einsicht zu beurteilen, das er sich durch das Studium der seelischen Vorgänge beim Einzelmenschen während dessen Entwicklung vom Kind zum Erwachsenen erworben hat. Dabei drängt sich ihm die Auffassung auf, daß die Religion einer Kindheits</w:t>
      </w:r>
      <w:r w:rsidRPr="004445E0">
        <w:rPr>
          <w:rFonts w:ascii="Garamond" w:hAnsi="Garamond"/>
          <w:lang w:val="en-US"/>
        </w:rPr>
        <w:softHyphen/>
        <w:t>neurose vergleichbar sei, und er ist optimistisch genug anzunehmen, daß die Menschheit diese neurotische Phase überwinden wird, wie so viele Kinder ihre ähnliche Neurose auswachsen. Diese Einsichten aus der Individual</w:t>
      </w:r>
      <w:r w:rsidRPr="004445E0">
        <w:rPr>
          <w:rFonts w:ascii="Garamond" w:hAnsi="Garamond"/>
          <w:lang w:val="en-US"/>
        </w:rPr>
        <w:softHyphen/>
        <w:t>psychologie mögen ungenügend sein, die Übertragung auf das Menschen</w:t>
      </w:r>
      <w:r w:rsidRPr="004445E0">
        <w:rPr>
          <w:rFonts w:ascii="Garamond" w:hAnsi="Garamond"/>
          <w:lang w:val="en-US"/>
        </w:rPr>
        <w:softHyphen/>
        <w:t>geschlecht nicht gerechtfertigt, der Optimismus unbegründet; ich gebe Ihnen alle diese Unsicherheiten zu. Aber man kann sich oft nicht abhalten zu sagen, was man meint, und entschuldigt sich damit, daß man es nicht für mehr ausgibt, als es wert ist.</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Und bei zwei Punkten muß ich noch verweilen. </w:t>
      </w:r>
      <w:r w:rsidRPr="004445E0">
        <w:rPr>
          <w:rFonts w:ascii="Garamond" w:hAnsi="Garamond"/>
        </w:rPr>
        <w:t>Erstens, die Schwäche mei</w:t>
      </w:r>
      <w:r w:rsidRPr="004445E0">
        <w:rPr>
          <w:rFonts w:ascii="Garamond" w:hAnsi="Garamond"/>
        </w:rPr>
        <w:softHyphen/>
        <w:t xml:space="preserve">ner Position bedeutet keine Stärkung der Ihrigen. Ich meine, Sie verteidigen eine verlorene Sache. Wir mögen noch so oft betonen, der menschliche Intellekt sei kraftlos im Vergleich zum menschlichen Triebleben, und recht damit haben. Aber es ist doch etwas Besonderes um diese Schwäche; die Stimme des Intellekts ist leise, aber sie ruht nicht, ehe sie sich Gehör geschafft hat. </w:t>
      </w:r>
      <w:r w:rsidRPr="004445E0">
        <w:rPr>
          <w:rFonts w:ascii="Garamond" w:hAnsi="Garamond"/>
          <w:lang w:val="en-US"/>
        </w:rPr>
        <w:t xml:space="preserve">Am Ende, nach unzählig oft wiederholten Abweisungen, findet sie es doch. Dies ist einer der wenigen Punkte, in denen man für die Zukunft der Menschheit optimistisch sein darf, aber er bedeutet an sich nicht wenig. An ihn kann man noch andere Hoffnungen anknüpfen. Der Primat des Intellekts liegt gewiß in weiter, weiter, aber wahrscheinlich doch nicht in unendlicher Ferne. Und da er sich voraussichtlich dieselben Ziele setzen wird, deren Verwirklichung Sie von Ihrem Gott erwarten — in menschlicher Ermäßigung natürlich, soweit die äußere Realität, die </w:t>
      </w:r>
      <w:r w:rsidRPr="004445E0">
        <w:rPr>
          <w:rFonts w:ascii="Garamond" w:hAnsi="Garamond"/>
          <w:i/>
          <w:iCs/>
          <w:lang w:val="en-US"/>
        </w:rPr>
        <w:t>Anangê</w:t>
      </w:r>
      <w:r w:rsidRPr="004445E0">
        <w:rPr>
          <w:rFonts w:ascii="Garamond" w:hAnsi="Garamond"/>
          <w:lang w:val="en-US"/>
        </w:rPr>
        <w:t xml:space="preserve">, es gestattet —: die Menschenliebe und die Einschränkung des Leidens, dürfen wir uns sagen, daß unsere Gegnerschaft nur eine einstweilige ist, keine unversöhnliche. Wir erhoffen dasselbe, aber Sie sind ungeduldiger, anspruchsvoller und — warum soll ich es nicht sagen? — selbstsüchtiger als ich und die Meinigen. Sie wollen die Seligkeit gleich nach dem Tod beginnen lassen, verlangen von ihr das Unmögliche und wollen den Anspruch der Einzelpersonen nicht aufgeben. Unser Gott </w:t>
      </w:r>
      <w:r w:rsidRPr="004445E0">
        <w:rPr>
          <w:rFonts w:ascii="Garamond" w:hAnsi="Garamond"/>
          <w:i/>
          <w:iCs/>
          <w:lang w:val="en-US"/>
        </w:rPr>
        <w:t>Logos</w:t>
      </w:r>
      <w:r w:rsidRPr="004445E0">
        <w:rPr>
          <w:rFonts w:ascii="Garamond" w:hAnsi="Garamond"/>
          <w:lang w:val="en-US"/>
        </w:rPr>
        <w:t xml:space="preserve"> wird von diesen Wünschen verwirklichen, was die Natur außer uns gestattet, aber sehr allmählich, erst in unabsehbarer Zukunft und für neue Menschenkinder. Eine Entschädigung für uns, die wir schwer am Leben leiden, verspricht er nicht. Auf dem Wege zu diesem fernen Ziel müssen Ihre religiösen Lehren fallengelassen werden, gleichgiltig ob die ersten Versuche mißlingen, gleichgiltig ob sich die ersten Ersatzbildungen als haltlos erweisen. Sie wissen warum; auf die Dauer kann der Vernunft und der Erfahrung nichts widerstehen, und der Widerspruch der Religion gegen beide ist allzu greifbar. Auch die geläuterten religiösen Ideen können sich diesem Schicksal nicht entziehen, solange sie noch etwas vom Trostgehalt der Religion retten wollen. Freilich, wenn sie sich auf die Behauptung eines höheren geistigen Wesens einschränken, dessen Eigenschaften unbestimm</w:t>
      </w:r>
      <w:r w:rsidRPr="004445E0">
        <w:rPr>
          <w:rFonts w:ascii="Garamond" w:hAnsi="Garamond"/>
          <w:lang w:val="en-US"/>
        </w:rPr>
        <w:softHyphen/>
        <w:t>bar, dessen Absichten unerkennbar sind, dann sind sie gegen den Einspruch der Wissenschaft gefeit, dann werden sie aber auch vom Interesse der Menschen verlassen.</w:t>
      </w:r>
    </w:p>
    <w:p w:rsidR="00941D22" w:rsidRPr="004445E0" w:rsidRDefault="00941D22" w:rsidP="004445E0">
      <w:pPr>
        <w:pStyle w:val="Sansinterligne"/>
        <w:rPr>
          <w:rFonts w:ascii="Garamond" w:hAnsi="Garamond"/>
          <w:lang w:val="en-US"/>
        </w:rPr>
      </w:pPr>
      <w:r w:rsidRPr="004445E0">
        <w:rPr>
          <w:rFonts w:ascii="Garamond" w:hAnsi="Garamond"/>
          <w:lang w:val="en-US"/>
        </w:rPr>
        <w:t>Und zweitens: Beachten Sie die Verschiedenheit Ihres und meines Verhaltens gegen die Illusion. Sie müssen die religiöse Illusion mit allen Ihren Kräften verteidigen; wenn sie entwertet wird — und sie ist wahrlich bedroht genug —, dann stürzt Ihre Welt zusammen, es bleibt Ihnen nichts übrig, als an allem zu verzweifeln, an der Kultur und an der Zukunft der Menschheit. Von dieser Leibeigenschaft bin ich, sind wir frei. Da wir bereit sind, auf ein gutes Stück unserer infantilen Wünsche zu verzichten, können wir es vertra</w:t>
      </w:r>
      <w:r w:rsidRPr="004445E0">
        <w:rPr>
          <w:rFonts w:ascii="Garamond" w:hAnsi="Garamond"/>
          <w:lang w:val="en-US"/>
        </w:rPr>
        <w:softHyphen/>
        <w:t>gen, wenn sich einige unserer Erwartungen als Illusionen herausstellen.</w:t>
      </w:r>
    </w:p>
    <w:p w:rsidR="00941D22" w:rsidRPr="004445E0" w:rsidRDefault="00941D22" w:rsidP="004445E0">
      <w:pPr>
        <w:pStyle w:val="Sansinterligne"/>
        <w:rPr>
          <w:rFonts w:ascii="Garamond" w:hAnsi="Garamond"/>
          <w:lang w:val="en-US"/>
        </w:rPr>
      </w:pPr>
      <w:r w:rsidRPr="004445E0">
        <w:rPr>
          <w:rFonts w:ascii="Garamond" w:hAnsi="Garamond"/>
          <w:lang w:val="en-US"/>
        </w:rPr>
        <w:t xml:space="preserve">Die vom Druck der religiösen Lehren befreite Erziehung wird vielleicht nicht viel am psychologischen Wesen des Menschen ändern, unser Gott </w:t>
      </w:r>
      <w:r w:rsidRPr="004445E0">
        <w:rPr>
          <w:rFonts w:ascii="Garamond" w:hAnsi="Garamond"/>
          <w:i/>
          <w:iCs/>
          <w:lang w:val="en-US"/>
        </w:rPr>
        <w:t>Logos</w:t>
      </w:r>
      <w:r w:rsidRPr="004445E0">
        <w:rPr>
          <w:rFonts w:ascii="Garamond" w:hAnsi="Garamond"/>
          <w:lang w:val="en-US"/>
        </w:rPr>
        <w:t xml:space="preserve"> ist vielleicht nicht sehr allmächtig, kann nur einen kleinen Teil von dem erfüllen, was seine Vorgänger versprochen haben. Wenn wir es einsehen müssen, werden wir es in Ergebung hinnehmen. Das Interesse an Welt und Leben werden wir darum nicht verlieren, denn wir haben an einer Stelle einen sicheren Anhalt, der Ihnen fehlt. Wir glauben daran, daß es der wissen</w:t>
      </w:r>
      <w:r w:rsidRPr="004445E0">
        <w:rPr>
          <w:rFonts w:ascii="Garamond" w:hAnsi="Garamond"/>
          <w:lang w:val="en-US"/>
        </w:rPr>
        <w:softHyphen/>
        <w:t>schaftlichen Arbeit möglich ist, etwas über die Realität der Welt zu erfahren, wodurch wir unsere Macht steigern und wonach wir unser Leben einrichten können. Wenn dieser Glaube eine Illusion ist, dann sind wir in derselben Lage wie Sie, aber die Wissenschaft hat uns durch zahlreiche und bedeut</w:t>
      </w:r>
      <w:r w:rsidRPr="004445E0">
        <w:rPr>
          <w:rFonts w:ascii="Garamond" w:hAnsi="Garamond"/>
          <w:lang w:val="en-US"/>
        </w:rPr>
        <w:softHyphen/>
        <w:t xml:space="preserve">same Erfolge den Beweis erbracht, daß sie keine Illusion ist. Sie hat viele offene und noch mehr verkappte Feinde unter denen, die ihr nicht verzeihen können, daß sie den religiösen Glauben entkräftet hat und ihn zu stürzen droht. Man wirft ihr vor, wie wenig sie uns gelehrt und wie unvergleichlich mehr sie im Dunkel gelassen hat. Aber dabei vergißt man, wie jung sie ist, wie beschwerlich ihre Anfänge waren und wie verschwindend klein der Zeitraum, seitdem der menschliche Intellekt für ihre Aufgaben erstarkt ist. Fehlen wir nicht alle darin, daß wir unseren Urteilen zu kurze Zeiträume zugrunde legen? Wir sollten uns an den Geologen ein </w:t>
      </w:r>
      <w:r w:rsidRPr="004445E0">
        <w:rPr>
          <w:rFonts w:ascii="Garamond" w:hAnsi="Garamond"/>
          <w:lang w:val="en-US"/>
        </w:rPr>
        <w:lastRenderedPageBreak/>
        <w:t>Beispiel nehmen. Man beklagt sich über die Unsicherheit der Wissenschaft, daß sie heute als Gesetz verkündet, was die nächste Generation als Irrtum erkennt und durch ein neues Gesetz von ebenso kurzer Geltungsdauer ablöst. Aber das ist ungerecht und zum Teil unwahr. Die Wandlungen der wissenschaft</w:t>
      </w:r>
      <w:r w:rsidRPr="004445E0">
        <w:rPr>
          <w:rFonts w:ascii="Garamond" w:hAnsi="Garamond"/>
          <w:lang w:val="en-US"/>
        </w:rPr>
        <w:softHyphen/>
        <w:t>lichen Meinungen sind Entwicklung, Fortschritt und nicht Umsturz. Ein Gesetz, das man zunächst für unbedingt giltig gehalten hat, erweist sich als Spezialfall einer umfassenderen Gesetzmäßigkeit oder wird eingeschränkt durch ein anderes Gesetz, das man erst später kennenlernt; eine rohe Annäherung an die Wahrheit wird ersetzt durch eine sorgfältiger angepaßte, die ihrerseits wieder eine weitere Vervollkommnung erwartet. Auf verschiedenen Gebieten hat man eine Phase der Forschung noch nicht überwunden, in der man Annahmen versucht, die man bald als unzulänglich verwerfen muß; auf anderen gibt es aber bereits einen gesicherten und fast unveränderlichen Kern von Erkenntnis. Man hat endlich versucht, die wissenschaftliche Bemühung radikal zu entwerten durch die Erwägung, daß sie, an die Bedingungen unserer eigenen Organisation gebunden, nichts anderes als subjektive Ergebnisse liefern kann, während ihr die wirkliche Natur der Dinge außer uns unzugänglich bleibt. Dabei setzt man sich über einige Momente hinweg, die für die Auffassung der wissenschaftlichen Arbeit entscheidend sind, daß unsere Organisation, d. h. unser seelischer Apparat, eben im Bemühen um die Erkundung der Außenwelt entwickelt worden ist, also ein Stück Zweckmäßigkeit in seiner Struktur realisiert haben muß, daß er selbst ein Bestandteil jener Welt ist, die wir erforschen sollen, und daß er solche Erforschung sehr wohl zuläßt, daß die Aufgabe der Wissenschaft voll umschrieben ist, wenn wir sie darauf einschränken zu zeigen, wie uns die Welt infolge der Eigenart unserer Organisation erscheinen muß, daß die endlichen Resultate der Wissenschaft gerade wegen der Art ihrer Erwerbung nicht nur durch unsere Organisation bedingt sind, sondern auch durch das, was auf diese Organisation gewirkt hat, und endlich, daß das Problem einer Weltbeschaffenheit ohne Rücksicht auf unseren wahrnehmenden seelischen Apparat eine leere Abstraktion ist, ohne praktisches Interesse.</w:t>
      </w:r>
    </w:p>
    <w:p w:rsidR="00941D22" w:rsidRPr="004445E0" w:rsidRDefault="00941D22" w:rsidP="004445E0">
      <w:pPr>
        <w:pStyle w:val="Sansinterligne"/>
        <w:rPr>
          <w:rFonts w:ascii="Garamond" w:hAnsi="Garamond"/>
          <w:lang w:val="en-US"/>
        </w:rPr>
      </w:pPr>
      <w:r w:rsidRPr="004445E0">
        <w:rPr>
          <w:rFonts w:ascii="Garamond" w:hAnsi="Garamond"/>
          <w:lang w:val="en-US"/>
        </w:rPr>
        <w:t>Nein, unsere Wissenschaft ist keine Illusion. Eine Illusion aber wäre es zu glauben, daß wir anderswoher bekommen könnten, was sie uns nicht geben kann. </w:t>
      </w:r>
    </w:p>
    <w:p w:rsidR="00941D22" w:rsidRPr="004445E0" w:rsidRDefault="00941D22" w:rsidP="004445E0">
      <w:pPr>
        <w:pStyle w:val="Sansinterligne"/>
        <w:rPr>
          <w:rFonts w:ascii="Garamond" w:hAnsi="Garamond"/>
          <w:lang w:val="en-US"/>
        </w:rPr>
      </w:pPr>
      <w:r w:rsidRPr="004445E0">
        <w:rPr>
          <w:rFonts w:ascii="Garamond" w:hAnsi="Garamond"/>
          <w:lang w:val="en-US"/>
        </w:rPr>
        <w:t>_____________________</w:t>
      </w:r>
    </w:p>
    <w:p w:rsidR="00941D22" w:rsidRPr="004445E0" w:rsidRDefault="00941D22" w:rsidP="004445E0">
      <w:pPr>
        <w:pStyle w:val="Sansinterligne"/>
        <w:rPr>
          <w:rFonts w:ascii="Garamond" w:hAnsi="Garamond"/>
          <w:lang w:val="en-US"/>
        </w:rPr>
      </w:pPr>
      <w:r w:rsidRPr="004445E0">
        <w:rPr>
          <w:rFonts w:ascii="Garamond" w:hAnsi="Garamond"/>
          <w:vertAlign w:val="superscript"/>
          <w:lang w:val="en-US"/>
        </w:rPr>
        <w:t>1)</w:t>
      </w:r>
      <w:r w:rsidRPr="004445E0">
        <w:rPr>
          <w:rFonts w:ascii="Garamond" w:hAnsi="Garamond"/>
          <w:lang w:val="en-US"/>
        </w:rPr>
        <w:t xml:space="preserve"> Das Götterpaar </w:t>
      </w:r>
      <w:r w:rsidRPr="004445E0">
        <w:rPr>
          <w:rFonts w:ascii="Garamond" w:hAnsi="Garamond"/>
          <w:i/>
          <w:iCs/>
          <w:lang w:val="en-US"/>
        </w:rPr>
        <w:t>Logos-Anangê</w:t>
      </w:r>
      <w:r w:rsidRPr="004445E0">
        <w:rPr>
          <w:rFonts w:ascii="Garamond" w:hAnsi="Garamond"/>
          <w:lang w:val="en-US"/>
        </w:rPr>
        <w:t xml:space="preserve"> [»Vernunft« und »Not«] des Holländers Multatuli.</w:t>
      </w:r>
    </w:p>
    <w:p w:rsidR="00941D22" w:rsidRDefault="00941D22" w:rsidP="00941D22">
      <w:pPr>
        <w:pStyle w:val="NormalWeb"/>
        <w:rPr>
          <w:sz w:val="15"/>
          <w:szCs w:val="15"/>
          <w:lang w:val="en-US"/>
        </w:rPr>
      </w:pPr>
    </w:p>
    <w:p w:rsidR="009C0B0A" w:rsidRDefault="004445E0">
      <w:pPr>
        <w:rPr>
          <w:rFonts w:ascii="Garamond" w:eastAsia="Times New Roman" w:hAnsi="Garamond" w:cs="Times New Roman"/>
          <w:bCs/>
          <w:sz w:val="28"/>
          <w:szCs w:val="28"/>
          <w:lang w:val="en-US" w:eastAsia="fr-FR"/>
        </w:rPr>
      </w:pPr>
      <w:r>
        <w:rPr>
          <w:rFonts w:ascii="Garamond" w:eastAsia="Times New Roman" w:hAnsi="Garamond" w:cs="Times New Roman"/>
          <w:bCs/>
          <w:sz w:val="28"/>
          <w:szCs w:val="28"/>
          <w:lang w:val="en-US" w:eastAsia="fr-FR"/>
        </w:rPr>
        <w:t>-----------------------------------------------------------------------------------------------</w:t>
      </w:r>
      <w:r w:rsidR="009C0B0A">
        <w:rPr>
          <w:rFonts w:ascii="Garamond" w:eastAsia="Times New Roman" w:hAnsi="Garamond" w:cs="Times New Roman"/>
          <w:bCs/>
          <w:sz w:val="28"/>
          <w:szCs w:val="28"/>
          <w:lang w:val="en-US" w:eastAsia="fr-FR"/>
        </w:rPr>
        <w:br w:type="page"/>
      </w:r>
    </w:p>
    <w:p w:rsidR="00941D22" w:rsidRPr="00941D22" w:rsidRDefault="00941D22" w:rsidP="00941D22">
      <w:pPr>
        <w:pStyle w:val="c"/>
        <w:rPr>
          <w:lang w:val="en-US"/>
        </w:rPr>
      </w:pPr>
      <w:r w:rsidRPr="00941D22">
        <w:rPr>
          <w:rFonts w:ascii="Garamond" w:hAnsi="Garamond"/>
          <w:bCs/>
          <w:sz w:val="28"/>
          <w:szCs w:val="28"/>
          <w:lang w:val="en-US"/>
        </w:rPr>
        <w:lastRenderedPageBreak/>
        <w:t>Da</w:t>
      </w:r>
      <w:bookmarkStart w:id="57" w:name="F55"/>
      <w:bookmarkEnd w:id="57"/>
      <w:r w:rsidRPr="00941D22">
        <w:rPr>
          <w:rFonts w:ascii="Garamond" w:hAnsi="Garamond"/>
          <w:bCs/>
          <w:sz w:val="28"/>
          <w:szCs w:val="28"/>
          <w:lang w:val="en-US"/>
        </w:rPr>
        <w:t>s Unbehagen in der Kultu</w:t>
      </w:r>
      <w:r>
        <w:rPr>
          <w:rFonts w:ascii="Garamond" w:hAnsi="Garamond"/>
          <w:bCs/>
          <w:sz w:val="28"/>
          <w:szCs w:val="28"/>
          <w:lang w:val="en-US"/>
        </w:rPr>
        <w:t>r</w:t>
      </w:r>
      <w:r>
        <w:rPr>
          <w:b/>
          <w:bCs/>
          <w:sz w:val="27"/>
          <w:szCs w:val="27"/>
          <w:lang w:val="en-US"/>
        </w:rPr>
        <w:t xml:space="preserve"> </w:t>
      </w:r>
      <w:r w:rsidRPr="00941D22">
        <w:rPr>
          <w:rFonts w:ascii="Garamond" w:hAnsi="Garamond"/>
          <w:sz w:val="22"/>
          <w:szCs w:val="22"/>
          <w:lang w:val="en-US"/>
        </w:rPr>
        <w:t>(1930)</w:t>
      </w:r>
      <w:r>
        <w:rPr>
          <w:lang w:val="en-US"/>
        </w:rPr>
        <w:t xml:space="preserve">                                                                   </w:t>
      </w:r>
      <w:hyperlink w:anchor="Werke" w:history="1">
        <w:r w:rsidRPr="00525700">
          <w:rPr>
            <w:rStyle w:val="Lienhypertexte"/>
            <w:rFonts w:ascii="Garamond" w:hAnsi="Garamond"/>
            <w:lang w:val="en-US"/>
          </w:rPr>
          <w:t>Werke</w:t>
        </w:r>
      </w:hyperlink>
      <w:r w:rsidRPr="00941D22">
        <w:rPr>
          <w:lang w:val="en-US"/>
        </w:rPr>
        <w:t> </w:t>
      </w:r>
    </w:p>
    <w:p w:rsidR="00941D22" w:rsidRDefault="00941D22" w:rsidP="00941D22">
      <w:pPr>
        <w:pStyle w:val="c"/>
        <w:rPr>
          <w:sz w:val="15"/>
          <w:szCs w:val="15"/>
          <w:lang w:val="en-US"/>
        </w:rPr>
      </w:pPr>
      <w:r w:rsidRPr="00941D22">
        <w:rPr>
          <w:sz w:val="15"/>
          <w:szCs w:val="15"/>
          <w:lang w:val="en-US"/>
        </w:rPr>
        <w:t xml:space="preserve">[Erstveröffentlichung: Wien, </w:t>
      </w:r>
      <w:r w:rsidRPr="00941D22">
        <w:rPr>
          <w:i/>
          <w:iCs/>
          <w:sz w:val="15"/>
          <w:szCs w:val="15"/>
          <w:lang w:val="en-US"/>
        </w:rPr>
        <w:t>Internationaler Psychoanalytischer Verlag</w:t>
      </w:r>
      <w:r w:rsidRPr="00941D22">
        <w:rPr>
          <w:sz w:val="15"/>
          <w:szCs w:val="15"/>
          <w:lang w:val="en-US"/>
        </w:rPr>
        <w:t>, 1930</w:t>
      </w:r>
      <w:r w:rsidRPr="00941D22">
        <w:rPr>
          <w:i/>
          <w:iCs/>
          <w:sz w:val="15"/>
          <w:szCs w:val="15"/>
          <w:lang w:val="en-US"/>
        </w:rPr>
        <w:t>a</w:t>
      </w:r>
      <w:r w:rsidRPr="00941D22">
        <w:rPr>
          <w:sz w:val="15"/>
          <w:szCs w:val="15"/>
          <w:lang w:val="en-US"/>
        </w:rPr>
        <w:t>. — Gesammelte Werke, Bd. 14, S. 419-506.]</w:t>
      </w:r>
    </w:p>
    <w:p w:rsidR="00941D22" w:rsidRDefault="00941D22" w:rsidP="00941D22">
      <w:pPr>
        <w:pStyle w:val="c"/>
        <w:rPr>
          <w:sz w:val="15"/>
          <w:szCs w:val="15"/>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 xml:space="preserve">I. </w:t>
      </w:r>
      <w:r w:rsidRPr="00941D22">
        <w:rPr>
          <w:rFonts w:ascii="Garamond" w:hAnsi="Garamond"/>
          <w:lang w:val="en-US"/>
        </w:rPr>
        <w:br/>
        <w:t>[Gefühl der Hilflosigkeit als Ursache des Bedürfnisses nach Religion]</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Man kann sich des Eindrucks nicht erwehren, daß die Menschen gemeinhin mit falschen Maßstäben messen, Macht, Erfolg und Reichtum für sich anstreben und bei anderen bewundern, die wahren Werte des Lebens aber unterschätzen. Und doch ist man bei jedem solchen allgemeinen Urteil in Gefahr, an die Buntheit der Menschenwelt und ihres seelischen Lebens zu vergessen. Es gibt einzelne Männer, denen sich die Verehrung ihrer Zeitgenossen nicht versagt, obwohl ihre Größe auf Eigenschaften und Leistungen ruht, die den Zielen und Idealen der Menge durchaus fremd sind. Man wird leicht annehmen wollen, daß es doch nur eine Minderzahl ist, welche diese großen Männer anerkennt, während die große Mehrheit nichts von ihnen wissen will. Aber es dürfte nicht so einfach zugehen, dank den Unstimmigkeiten zwischen dem Denken und dem Handeln der Menschen und der Vielstimmigkeit ihrer Wunschregungen.</w:t>
      </w:r>
    </w:p>
    <w:p w:rsidR="00941D22" w:rsidRPr="00941D22" w:rsidRDefault="00941D22" w:rsidP="00941D22">
      <w:pPr>
        <w:pStyle w:val="Sansinterligne"/>
        <w:rPr>
          <w:rFonts w:ascii="Garamond" w:hAnsi="Garamond"/>
          <w:lang w:val="en-US"/>
        </w:rPr>
      </w:pPr>
      <w:r w:rsidRPr="00941D22">
        <w:rPr>
          <w:rFonts w:ascii="Garamond" w:hAnsi="Garamond"/>
          <w:lang w:val="en-US"/>
        </w:rPr>
        <w:t>Einer dieser ausgezeichneten Männer nennt sich in Briefen meinen Freund. Ich hatte ihm meine kleine Schrift zugeschickt, welche die Religion als Illusion behandelt, und er antwortete, er wäre mit meinem Urteil über die Religion ganz einverstanden, bedauerte aber, daß ich die eigentliche Quelle der Religiosität nicht gewürdigt hätte. Diese sei ein besonderes Gefühl, das ihn selbst nie zu verlassen pflege, das er von vielen anderen bestätigt gefunden und bei Millionen Menschen voraussetzen dürfe. Ein Gefühl, das er die Empfindung der »Ewigkeit« nennen möchte, ein Gefühl wie von etwas Unbegrenztem, Schrankenlosem, gleichsam »Ozeanischem«. Dies Gefühl sei eine rein subjektive Tatsache, kein Glaubenssatz; keine Zusicherung persönlicher Fortdauer knüpfe sich daran, aber es sei die Quelle der religiösen Energie, die von den verschiedenen Kirchen und Religionssystemen gefaßt, in bestimmte Kanäle geleitet und gewiß auch aufgezehrt werde. Nur auf Grund dieses ozeanischen Gefühls dürfe man sich religiös heißen, auch wenn man jeden Glauben und jede Illusion ablehne.</w:t>
      </w:r>
    </w:p>
    <w:p w:rsidR="00941D22" w:rsidRPr="00941D22" w:rsidRDefault="00941D22" w:rsidP="00941D22">
      <w:pPr>
        <w:pStyle w:val="Sansinterligne"/>
        <w:rPr>
          <w:rFonts w:ascii="Garamond" w:hAnsi="Garamond"/>
          <w:lang w:val="en-US"/>
        </w:rPr>
      </w:pPr>
      <w:r w:rsidRPr="00941D22">
        <w:rPr>
          <w:rFonts w:ascii="Garamond" w:hAnsi="Garamond"/>
          <w:lang w:val="en-US"/>
        </w:rPr>
        <w:t>Diese Äußerung meines verehrten Freundes, der selbst einmal den Zauber der Illusion poetisch gewürdigt hat, brachte mir nicht geringe Schwierigkei</w:t>
      </w:r>
      <w:r w:rsidRPr="00941D22">
        <w:rPr>
          <w:rFonts w:ascii="Garamond" w:hAnsi="Garamond"/>
          <w:lang w:val="en-US"/>
        </w:rPr>
        <w:softHyphen/>
        <w:t>ten.</w:t>
      </w:r>
      <w:r w:rsidRPr="00941D22">
        <w:rPr>
          <w:rFonts w:ascii="Garamond" w:hAnsi="Garamond"/>
          <w:vertAlign w:val="superscript"/>
          <w:lang w:val="en-US"/>
        </w:rPr>
        <w:t>1)</w:t>
      </w:r>
      <w:r w:rsidRPr="00941D22">
        <w:rPr>
          <w:rFonts w:ascii="Garamond" w:hAnsi="Garamond"/>
          <w:lang w:val="en-US"/>
        </w:rPr>
        <w:t xml:space="preserve"> Ich selbst kann dies »ozeanische« Gefühl nicht in mir entdecken. Es ist nicht bequem, Gefühle wissenschaftlich zu bearbeiten. Man kann versuchen, ihre physiologischen Anzeichen zu beschreiben. Wo dies nicht angeht — ich fürchte, auch das ozeanische Gefühl wird sich einer solchen Charakteristik entziehen —, bleibt doch nichts übrig, als sich an den Vorstellungsinhalt zu halten, der sich assoziativ am ehesten zum Gefühl gesellt. Habe ich meinen Freund richtig verstanden, so meint er dasselbe, was ein origineller und ziemlich absonderlicher Dichter seinem Helden als Trost vor dem frei</w:t>
      </w:r>
      <w:r w:rsidRPr="00941D22">
        <w:rPr>
          <w:rFonts w:ascii="Garamond" w:hAnsi="Garamond"/>
          <w:lang w:val="en-US"/>
        </w:rPr>
        <w:softHyphen/>
        <w:t>gewählten Tod mitgibt: »Aus dieser Welt können wir nicht fallen.«</w:t>
      </w:r>
      <w:r w:rsidRPr="00941D22">
        <w:rPr>
          <w:rFonts w:ascii="Garamond" w:hAnsi="Garamond"/>
          <w:vertAlign w:val="superscript"/>
          <w:lang w:val="en-US"/>
        </w:rPr>
        <w:t>2)</w:t>
      </w:r>
      <w:r w:rsidRPr="00941D22">
        <w:rPr>
          <w:rFonts w:ascii="Garamond" w:hAnsi="Garamond"/>
          <w:lang w:val="en-US"/>
        </w:rPr>
        <w:t xml:space="preserve"> Also ein Gefühl der unauflösbaren Verbundenheit, der Zusammengehörigkeit mit dem Ganzen der Außenwelt. Ich möchte sagen, für mich hat dies eher den Charakter einer intellektuellen Einsicht, gewiß nicht ohne begleitenden Gefühlston, wie er aber auch bei anderen Denkakten von ähnlicher Tragweite nicht fehlen wird. An meiner Person könnte ich mich von der primären Natur eines solchen Gefühls nicht überzeugen. Darum darf ich aber sein tatsächliches Vorkommen bei anderen nicht bestreiten. Es fragt sich nur, ob es richtig gedeutet wird und ob es als </w:t>
      </w:r>
      <w:r w:rsidRPr="00941D22">
        <w:rPr>
          <w:rFonts w:ascii="Garamond" w:hAnsi="Garamond"/>
          <w:i/>
          <w:iCs/>
          <w:lang w:val="en-US"/>
        </w:rPr>
        <w:t>»fons et origo«</w:t>
      </w:r>
      <w:r w:rsidRPr="00941D22">
        <w:rPr>
          <w:rFonts w:ascii="Garamond" w:hAnsi="Garamond"/>
          <w:lang w:val="en-US"/>
        </w:rPr>
        <w:t xml:space="preserve"> aller religiösen Bedürfnisse anerkannt werden soll.</w:t>
      </w:r>
    </w:p>
    <w:p w:rsidR="00941D22" w:rsidRPr="00941D22" w:rsidRDefault="00941D22" w:rsidP="00941D22">
      <w:pPr>
        <w:pStyle w:val="Sansinterligne"/>
        <w:rPr>
          <w:rFonts w:ascii="Garamond" w:hAnsi="Garamond"/>
          <w:lang w:val="en-US"/>
        </w:rPr>
      </w:pPr>
      <w:r w:rsidRPr="00941D22">
        <w:rPr>
          <w:rFonts w:ascii="Garamond" w:hAnsi="Garamond"/>
          <w:lang w:val="en-US"/>
        </w:rPr>
        <w:t>Ich habe nichts vorzubringen, was die Lösung dieses Problems entschei</w:t>
      </w:r>
      <w:r w:rsidRPr="00941D22">
        <w:rPr>
          <w:rFonts w:ascii="Garamond" w:hAnsi="Garamond"/>
          <w:lang w:val="en-US"/>
        </w:rPr>
        <w:softHyphen/>
        <w:t xml:space="preserve">dend beeinflussen würde. Die Idee, daß der Mensch durch ein unmittelbares, von Anfang an hierauf gerichtetes Gefühl Kunde von seinem Zusammenhang mit der Umwelt erhalten sollte, klingt so fremdartig, fügt sich so übel in das Gewebe unserer Psychologie, daß eine psychoanalytische, d. i. genetische Ableitung eines solchen Gefühls versucht werden darf. Dann stellt sich uns folgender Gedankengang zur Verfügung: Normalerweise ist uns nichts gesicherter als das Gefühl unseres Selbst, unseres eigenen Ichs. Dies Ich erscheint uns selbständig, einheitlich, gegen alles andere gut abgesetzt. Daß dieser Anschein ein Trug ist, daß das Ich sich vielmehr nach innen ohne scharfe Grenze in ein unbewußt seelisches Wesen fortsetzt, das wir als Es bezeichnen, dem es gleichsam als Fassade dient, das hat uns erst die psychoanalytische Forschung gelehrt, die uns noch viele Auskünfte über das Verhältnis des Ichs zum Es schuldet. Aber nach außen wenigstens scheint das Ich klare und scharfe Grenzlinien zu behaupten. Nur in einem Zustand, einem außergewöhnlichen zwar, den man aber nicht als krankhaft verurteilen kann, wird es anders. Auf der Höhe </w:t>
      </w:r>
      <w:r w:rsidRPr="00941D22">
        <w:rPr>
          <w:rFonts w:ascii="Garamond" w:hAnsi="Garamond"/>
          <w:lang w:val="en-US"/>
        </w:rPr>
        <w:lastRenderedPageBreak/>
        <w:t>der Verliebtheit droht die Grenze zwischen Ich und Objekt zu verschwimmen. Allen Zeugnissen der Sinne entgegen behauptet der Verliebte, daß Ich und Du eines seien, und ist bereit, sich, als ob es so wäre, zu benehmen. Was vorübergehend durch eine physiologische Funktion aufgehoben werden kann, muß natürlich auch durch krankhafte Vorgänge gestört werden können. Die Pathologie lehrt uns eine große Anzahl von Zuständen kennen, in denen die Abgrenzung des Ichs gegen die Außenwelt unsicher wird oder die Grenzen wirklich unrichtig gezogen werden; Fälle, in denen uns Teile des eigenen Körpers, ja Stücke des eigenen Seelenlebens, Wahrnehmungen, Gedanken, Gefühle wie fremd und dem Ich nicht zugehörig erscheinen, andere, in denen man der Außenwelt zuschiebt, was offenbar im Ich entstanden ist und von ihm anerkannt werden sollte. Also ist auch das Ichgefühl Störungen unterworfen, und die Ichgrenzen sind nicht beständig.</w:t>
      </w:r>
    </w:p>
    <w:p w:rsidR="00941D22" w:rsidRPr="00941D22" w:rsidRDefault="00941D22" w:rsidP="00941D22">
      <w:pPr>
        <w:pStyle w:val="Sansinterligne"/>
        <w:rPr>
          <w:rFonts w:ascii="Garamond" w:hAnsi="Garamond"/>
          <w:lang w:val="en-US"/>
        </w:rPr>
      </w:pPr>
      <w:r w:rsidRPr="00941D22">
        <w:rPr>
          <w:rFonts w:ascii="Garamond" w:hAnsi="Garamond"/>
          <w:lang w:val="en-US"/>
        </w:rPr>
        <w:t>Eine weitere Überlegung sagt: Dies Ichgefühl des Erwachsenen kann nicht von Anfang an so gewesen sein. Es muß eine Entwicklung durchge</w:t>
      </w:r>
      <w:r w:rsidRPr="00941D22">
        <w:rPr>
          <w:rFonts w:ascii="Garamond" w:hAnsi="Garamond"/>
          <w:lang w:val="en-US"/>
        </w:rPr>
        <w:softHyphen/>
        <w:t>macht haben, die sich begreiflicherweise nicht nachweisen, aber mit ziemlicher Wahrscheinlichkeit konstruieren läßt.</w:t>
      </w:r>
      <w:r w:rsidRPr="00941D22">
        <w:rPr>
          <w:rFonts w:ascii="Garamond" w:hAnsi="Garamond"/>
          <w:vertAlign w:val="superscript"/>
          <w:lang w:val="en-US"/>
        </w:rPr>
        <w:t>3)</w:t>
      </w:r>
      <w:r w:rsidRPr="00941D22">
        <w:rPr>
          <w:rFonts w:ascii="Garamond" w:hAnsi="Garamond"/>
          <w:lang w:val="en-US"/>
        </w:rPr>
        <w:t xml:space="preserve"> Der Säugling sondert noch nicht sein Ich von einer Außenwelt als Quelle der auf ihn einströmenden Empfindungen. Er lernt es allmählich auf verschiedene Anregungen hin. Es muß ihm den stärksten Eindruck machen, daß manche der Erregungsquellen, in denen er später seine Körperorgane erkennen wird, ihm jederzeit Empfindungen zusenden können, während andere sich ihm zeitweise entziehen — darunter das Begehrteste: die Mutterbrust — und erst durch ein Hilfe heischendes Schreien herbeigeholt werden. Damit stellt sich dem Ich zuerst ein »Objekt« entgegen, als etwas, was sich »außerhalb« befindet und erst durch eine besondere Aktion in die Erscheinung gedrängt wird. Einen weiteren Antrieb zur Loslösung des Ichs von der Empfindungsmasse, also zur Anerkennung eines »Draußen«, einer Außenwelt, geben die häufigen, vielfältigen, unvermeidlichen Schmerz- und Unlustempfindungen, die das unumschränkt herrschende Lustprinzip aufheben und vermeiden heißt. Es entsteht die Tendenz, alles, was Quelle solcher Unlust werden kann, vom Ich abzusondern, es nach außen zu werfen, ein reines Lust-Ich zu bilden, dem ein fremdes, drohendes Draußen gegenübersteht. Die Grenzen dieses primitiven Lust-Ichs können der Berichtigung durch die Erfahrung nicht entgehen. Manches, was man als lustspendend nicht aufgeben möchte, ist doch nicht Ich, ist Objekt, und manche Qual, die man hinausweisen will, erweist sich doch als unabtrennbar vom Ich, als innerer Herkunft. Man lernt ein Verfahren kennen, wie man durch absichtliche Lenkung der Sinnes</w:t>
      </w:r>
      <w:r w:rsidRPr="00941D22">
        <w:rPr>
          <w:rFonts w:ascii="Garamond" w:hAnsi="Garamond"/>
          <w:lang w:val="en-US"/>
        </w:rPr>
        <w:softHyphen/>
        <w:t>tätigkeit und geeignete Muskelaktion Innerliches — dem Ich Angehöriges — und Äußerliches — einer Außenwelt Entstammendes — unterscheiden kann, und tut damit den ersten Schritt zur Einsetzung des Realitätsprinzips, das die weitere Entwicklung beherrschen soll. Diese Unterscheidung dient natürlich der praktischen Absicht, sich der verspürten und der drohenden Unlust</w:t>
      </w:r>
      <w:r w:rsidRPr="00941D22">
        <w:rPr>
          <w:rFonts w:ascii="Garamond" w:hAnsi="Garamond"/>
          <w:lang w:val="en-US"/>
        </w:rPr>
        <w:softHyphen/>
        <w:t>empfindungen zu erwehren. Daß das Ich zur Abwehr gewisser Unluster</w:t>
      </w:r>
      <w:r w:rsidRPr="00941D22">
        <w:rPr>
          <w:rFonts w:ascii="Garamond" w:hAnsi="Garamond"/>
          <w:lang w:val="en-US"/>
        </w:rPr>
        <w:softHyphen/>
        <w:t>regungen aus seinem Inneren keine anderen Methoden zur Anwendung bringt, als deren es sich gegen Unlust von außen bedient, wird dann der Ausgangspunkt bedeutsamer krankhafter Störungen.</w:t>
      </w:r>
    </w:p>
    <w:p w:rsidR="00941D22" w:rsidRPr="00941D22" w:rsidRDefault="00941D22" w:rsidP="00941D22">
      <w:pPr>
        <w:pStyle w:val="Sansinterligne"/>
        <w:rPr>
          <w:rFonts w:ascii="Garamond" w:hAnsi="Garamond"/>
          <w:lang w:val="en-US"/>
        </w:rPr>
      </w:pPr>
      <w:r w:rsidRPr="00941D22">
        <w:rPr>
          <w:rFonts w:ascii="Garamond" w:hAnsi="Garamond"/>
          <w:lang w:val="en-US"/>
        </w:rPr>
        <w:t>Auf solche Art löst sich also das Ich von der Außenwelt. Richtiger gesagt: Ursprünglich enthält das Ich alles, später scheidet es eine Außenwelt von sich ab. Unser heutiges Ichgefühl ist also nur ein eingeschrumpfter Rest eines weit umfassenderen, ja — eines allumfassenden Gefühls, welches einer innigeren Verbundenheit des Ichs mit der Umwelt entsprach. Wenn wir annehmen dürfen, daß dieses primäre Ichgefühl sich im Seelenleben vieler Menschen — in größerem oder geringerem Ausmaße — erhalten hat, so würde es sich dem enger und schärfer umgrenzten Ichgefühl der Reifezeit wie eine Art Gegenstück an die Seite stellen, und die zu ihm passenden Vorstellungsinhalte wären gerade die der Unbegrenztheit und der Verbun</w:t>
      </w:r>
      <w:r w:rsidRPr="00941D22">
        <w:rPr>
          <w:rFonts w:ascii="Garamond" w:hAnsi="Garamond"/>
          <w:lang w:val="en-US"/>
        </w:rPr>
        <w:softHyphen/>
        <w:t>denheit mit dem All, dieselben, mit denen mein Freund das »ozeanische« Gefühl erläutert. Haben wir aber ein Recht zur Annahme des Überlebens des Ursprünglichen neben dem Späteren, das aus ihm geworden ist?</w:t>
      </w:r>
    </w:p>
    <w:p w:rsidR="00941D22" w:rsidRPr="00941D22" w:rsidRDefault="00941D22" w:rsidP="00941D22">
      <w:pPr>
        <w:pStyle w:val="Sansinterligne"/>
        <w:rPr>
          <w:rFonts w:ascii="Garamond" w:hAnsi="Garamond"/>
          <w:lang w:val="en-US"/>
        </w:rPr>
      </w:pPr>
      <w:r w:rsidRPr="00941D22">
        <w:rPr>
          <w:rFonts w:ascii="Garamond" w:hAnsi="Garamond"/>
          <w:lang w:val="en-US"/>
        </w:rPr>
        <w:t>Unzweifelhaft; ein solches Vorkommnis ist weder auf seelischem noch auf anderen Gebieten befremdend. Für die Tierreihe halten wir an der Annahme fest, daß die höchstentwickelten Arten aus den niedrigsten hervorgegangen sind. Doch finden wir alle einfachen Lebensformen noch heute unter den Lebenden. Das Geschlecht der großen Saurier ist ausgestorben und hat den Säugetieren Platz gemacht, aber ein richtiger Vertreter dieses Geschlechts, das Krokodil, lebt noch mit uns. Die Analogie mag zu entlegen sein, krankt auch an dem Umstand, daß die überlebenden niedrigen Arten zumeist nicht die richtigen Ahnen der heutigen, höher entwickelten sind. Die Zwischen</w:t>
      </w:r>
      <w:r w:rsidRPr="00941D22">
        <w:rPr>
          <w:rFonts w:ascii="Garamond" w:hAnsi="Garamond"/>
          <w:lang w:val="en-US"/>
        </w:rPr>
        <w:softHyphen/>
        <w:t>glieder sind in der Regel ausgestorben und nur durch Rekonstruktion bekannt. Auf seelischem Gebiet hingegen ist die Erhaltung des Primitiven neben dem daraus entstandenen Umgewandelten so häufig, daß es sich erübrigt, es durch Beispiele zu beweisen. Meist ist dieses Vorkommen Folge einer Entwicklungsspaltung. Ein quantitativer Anteil einer Einstellung, einer Triebregung, ist unverändert erhalten geblieben, ein anderer hat die weitere Entwicklung erfahren.</w:t>
      </w:r>
    </w:p>
    <w:p w:rsidR="00941D22" w:rsidRPr="00941D22" w:rsidRDefault="00941D22" w:rsidP="00941D22">
      <w:pPr>
        <w:pStyle w:val="Sansinterligne"/>
        <w:rPr>
          <w:rFonts w:ascii="Garamond" w:hAnsi="Garamond"/>
          <w:lang w:val="en-US"/>
        </w:rPr>
      </w:pPr>
      <w:r w:rsidRPr="00941D22">
        <w:rPr>
          <w:rFonts w:ascii="Garamond" w:hAnsi="Garamond"/>
          <w:lang w:val="en-US"/>
        </w:rPr>
        <w:lastRenderedPageBreak/>
        <w:t>Wir rühren hiermit an das allgemeinere Problem der Erhaltung im Psychischen, das kaum noch Bearbeitung gefunden hat, aber so reizvoll und bedeutsam ist, daß wir ihm auch bei unzureichendem Anlaß eine Weile Aufmerksamkeit schenken dürfen. Seitdem wir den Irrtum überwunden haben, daß das uns geläufige Vergessen eine Zerstörung der Gedächtnis</w:t>
      </w:r>
      <w:r w:rsidRPr="00941D22">
        <w:rPr>
          <w:rFonts w:ascii="Garamond" w:hAnsi="Garamond"/>
          <w:lang w:val="en-US"/>
        </w:rPr>
        <w:softHyphen/>
        <w:t>spur, also eine Vernichtung bedeutet, neigen wir zu der entgegengesetzten Annahme, daß im Seelenleben nichts, was einmal gebildet wurde, untergehen kann, daß alles irgendwie erhalten bleibt und unter geeigneten Umständen, z. B. durch eine so weit reichende Regression, wieder zum Vorschein gebracht werden kann. Man versuche sich durch einen Vergleich aus einem anderen Gebret klarzumachen, was diese Annahme zum Inhalt hat. Wir greifen etwa die Entwicklung der Ewigen Stadt als Beispiel auf.</w:t>
      </w:r>
      <w:r w:rsidRPr="00941D22">
        <w:rPr>
          <w:rFonts w:ascii="Garamond" w:hAnsi="Garamond"/>
          <w:vertAlign w:val="superscript"/>
          <w:lang w:val="en-US"/>
        </w:rPr>
        <w:t>4)</w:t>
      </w:r>
      <w:r w:rsidRPr="00941D22">
        <w:rPr>
          <w:rFonts w:ascii="Garamond" w:hAnsi="Garamond"/>
          <w:lang w:val="en-US"/>
        </w:rPr>
        <w:t xml:space="preserve"> Historiker belehren uns, das älteste Rom war die </w:t>
      </w:r>
      <w:r w:rsidRPr="00941D22">
        <w:rPr>
          <w:rFonts w:ascii="Garamond" w:hAnsi="Garamond"/>
          <w:i/>
          <w:iCs/>
          <w:lang w:val="en-US"/>
        </w:rPr>
        <w:t>Roma Quadrata,</w:t>
      </w:r>
      <w:r w:rsidRPr="00941D22">
        <w:rPr>
          <w:rFonts w:ascii="Garamond" w:hAnsi="Garamond"/>
          <w:lang w:val="en-US"/>
        </w:rPr>
        <w:t xml:space="preserve"> eine umzäumte Ansiedlung auf dem Palatin. Dann folgte die Phase des </w:t>
      </w:r>
      <w:r w:rsidRPr="00941D22">
        <w:rPr>
          <w:rFonts w:ascii="Garamond" w:hAnsi="Garamond"/>
          <w:i/>
          <w:iCs/>
          <w:lang w:val="en-US"/>
        </w:rPr>
        <w:t>Septimontium,</w:t>
      </w:r>
      <w:r w:rsidRPr="00941D22">
        <w:rPr>
          <w:rFonts w:ascii="Garamond" w:hAnsi="Garamond"/>
          <w:lang w:val="en-US"/>
        </w:rPr>
        <w:t xml:space="preserve"> eine Vereinigung der Niederlassungen auf den einzelnen Hügeln, darauf die Stadt, die durch die Servianische Mauer begrenzt wurde, und noch später, nach all den Umwandlungen der republikanischen und der früheren Kaiserzeit die Stadt, die Kaiser Aurelianus durch seine Mauern umschloß. Wir wollen die Wandlungen der Stadt nicht weiter verfolgen und uns fragen, was ein Besucher, den wir mit den vollkommensten historischen und topographischen Kenntnissen ausgestattet denken, im heutigen Rom von diesen frühen Stadien noch vorfinden mag. Die Aurelianische Mauer wird er bis auf wenige Durchbrüche fast unverändert sehen. An einzelnen Stellen kann er Strecken des Servianischen Walles durch Ausgrabung zutage gefördert finden. Wenn er genug weiß — mehr als die heutige Archäologie —, kann er vielleicht den ganzen Verlauf dieser Mauer und den Umriß der </w:t>
      </w:r>
      <w:r w:rsidRPr="00941D22">
        <w:rPr>
          <w:rFonts w:ascii="Garamond" w:hAnsi="Garamond"/>
          <w:i/>
          <w:iCs/>
          <w:lang w:val="en-US"/>
        </w:rPr>
        <w:t>Roma Quadrata</w:t>
      </w:r>
      <w:r w:rsidRPr="00941D22">
        <w:rPr>
          <w:rFonts w:ascii="Garamond" w:hAnsi="Garamond"/>
          <w:lang w:val="en-US"/>
        </w:rPr>
        <w:t xml:space="preserve"> ins Stadtbild einzeichnen. Von den Gebäuden, die einst diese alten Rahmen ausgefüllt haben, findet er nichts oder geringe Reste, denn sie bestehen nicht mehr. Das Äußerste, was ihm die beste Kenntnis des Roms der Republik leisten kann, wäre, daß er die Stellen anzugeben weiß, wo die Tempel und öffentlichen Gebäude dieser Zeit gestanden hatten. Was jetzt diese Stellen einnimmt, sind Ruinen, aber nicht ihrer selbst, sondern ihrer Erneuerungen aus späteren Zeiten nach Bränden und Zerstörungen. Es bedarf kaum noch einer besonderen Erwähnung, daß alle diese Überreste des alten Roms als Einsprengungen in das Gewirre einer Großstadt aus den letzten Jahrhunderten seit der Renaissance erscheinen. Manches Alte ist gewiß noch im Boden der Stadt oder unter ihren modernen Bauwerken begraben. Dies ist die Art der Erhaltung des Vergangenen, die uns an historischen Stätten wie Rom entgegentritt.</w:t>
      </w:r>
    </w:p>
    <w:p w:rsidR="00941D22" w:rsidRPr="00941D22" w:rsidRDefault="00941D22" w:rsidP="00941D22">
      <w:pPr>
        <w:pStyle w:val="Sansinterligne"/>
        <w:rPr>
          <w:rFonts w:ascii="Garamond" w:hAnsi="Garamond"/>
          <w:lang w:val="en-US"/>
        </w:rPr>
      </w:pPr>
      <w:r w:rsidRPr="00941D22">
        <w:rPr>
          <w:rFonts w:ascii="Garamond" w:hAnsi="Garamond"/>
          <w:lang w:val="en-US"/>
        </w:rPr>
        <w:t>Nun machen wir die phantastische Annahme, Rom sei nicht eine mensch</w:t>
      </w:r>
      <w:r w:rsidRPr="00941D22">
        <w:rPr>
          <w:rFonts w:ascii="Garamond" w:hAnsi="Garamond"/>
          <w:lang w:val="en-US"/>
        </w:rPr>
        <w:softHyphen/>
        <w:t>liche Wohnstätte, sondern ein psychisches Wesen von ähnlich langer und reichhaltiger Vergangenheit, in dem also nichts, was einmal zustande gekom</w:t>
      </w:r>
      <w:r w:rsidRPr="00941D22">
        <w:rPr>
          <w:rFonts w:ascii="Garamond" w:hAnsi="Garamond"/>
          <w:lang w:val="en-US"/>
        </w:rPr>
        <w:softHyphen/>
        <w:t>men war, untergegangen ist, in dem neben der letzten Entwicklungsphase auch alle früheren noch fortbestehen. Das würde für Rom also bedeuten, daß auf dem Palatin die Kaiserpaläste und das Septizonium des Septimius Severus sich noch zur alten Höhe erheben, daß die Engelsburg noch auf ihren Zinnen die schönen Statuen trägt, mit denen sie bis zur Gotenbelagerung geschmückt war, usw. Aber noch mehr: an der Stelle des Palazzo Caffarelli stünde wieder, ohne daß man dieses Gebäude abzutragen brauchte, der Tempel des Kapitolinischen Jupiter, und zwar dieser nicht nur in seiner letzten Gestalt, wie ihn die Römer der Kaiserzeit sahen, sondern auch in seiner frühesten, als er noch etruskische Formen zeigte und mit tönernen Antifixen geziert war. Wo jetzt das Coliseo steht, könnten wir auch die verschwundene Domus aurea des Nero bewundern; auf dem Pantheonplatze fänden wir nicht nur das heutige Pantheon, wie es uns von Hadrian hinterlassen wurde, sondern auf demselben Grund auch den ursprünglichen Bau des M. Agrippa; ja, derselbe Boden trüge die Kirche Maria sopra Minerva und den alten Tempel, über dem sie gebaut ist. Und dabei brauchte es vielleicht nur eine Änderung der Blickrichtung oder des Standpunktes von Seiten des Beobachters, um den einen oder den anderen Anblick hervorzurufen.</w:t>
      </w:r>
    </w:p>
    <w:p w:rsidR="00941D22" w:rsidRPr="00941D22" w:rsidRDefault="00941D22" w:rsidP="00941D22">
      <w:pPr>
        <w:pStyle w:val="Sansinterligne"/>
        <w:rPr>
          <w:rFonts w:ascii="Garamond" w:hAnsi="Garamond"/>
          <w:lang w:val="en-US"/>
        </w:rPr>
      </w:pPr>
      <w:r w:rsidRPr="00941D22">
        <w:rPr>
          <w:rFonts w:ascii="Garamond" w:hAnsi="Garamond"/>
          <w:lang w:val="en-US"/>
        </w:rPr>
        <w:t>Es hat offenbar keinen Sinn, diese Phantasie weiter auszuspinnen, sie führt zu Unvorstellbarem, ja zu Absurdem. Wenn wir das historische Nacheinander räumlich darstellen wollen, kann es nur durch ein Nebeneinander im Raum geschehen; derselbe Raum verträgt nicht zweierlei Ausfüllung. Unser Versuch scheint eine müßige Spielerei zu sein; er hat nur eine Rechtfertigung; er zeigt uns, wie weit wir davon entfernt sind, die Eigentümlichkeiten des seelischen Lebens durch anschauliche Darstellung zu bewältigen.</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Zu einem Einwand sollten wir noch Stellung nehmen. Er fragt uns, warum wir gerade die Vergangenheit einer Stadt ausgewählt haben, um sie mit der seelischen Vergangenheit zu vergleichen. Die Annahme der Erhaltung alles Vergangenen gilt auch für das Seelenleben nur unter der Bedingung, daß das Organ der Psyche intakt geblieben ist, daß sein Gewebe nicht durch Trauma oder Entzündung gelitten hat. Zerstörende Einwirkungen, die man diesen Krankheitsursachen gleichstellen könnte, werden aber in der Geschichte keiner Stadt vermißt, auch wenn sie eine minder bewegte Vergangenheit gehabt hat als Rom, auch wenn sie, wie London, kaum je von einem Feind heimgesucht wurde. Die friedlichste Entwicklung </w:t>
      </w:r>
      <w:r w:rsidRPr="00941D22">
        <w:rPr>
          <w:rFonts w:ascii="Garamond" w:hAnsi="Garamond"/>
          <w:lang w:val="en-US"/>
        </w:rPr>
        <w:lastRenderedPageBreak/>
        <w:t>einer Stadt schließt Demolierungen und Ersetzungen von Bauwerken ein, und darum ist die Stadt von vorneherein für einen solchen Vergleich mit einem seelischen Organismus ungeeignet.</w:t>
      </w:r>
    </w:p>
    <w:p w:rsidR="00941D22" w:rsidRPr="00941D22" w:rsidRDefault="00941D22" w:rsidP="00941D22">
      <w:pPr>
        <w:pStyle w:val="Sansinterligne"/>
        <w:rPr>
          <w:rFonts w:ascii="Garamond" w:hAnsi="Garamond"/>
          <w:lang w:val="en-US"/>
        </w:rPr>
      </w:pPr>
      <w:r w:rsidRPr="00941D22">
        <w:rPr>
          <w:rFonts w:ascii="Garamond" w:hAnsi="Garamond"/>
          <w:lang w:val="en-US"/>
        </w:rPr>
        <w:t>Wir weichen diesem Einwand, wenden uns unter Verzicht auf eine ein</w:t>
      </w:r>
      <w:r w:rsidRPr="00941D22">
        <w:rPr>
          <w:rFonts w:ascii="Garamond" w:hAnsi="Garamond"/>
          <w:lang w:val="en-US"/>
        </w:rPr>
        <w:softHyphen/>
        <w:t>drucksvolle Kontrastwirkung zu einem immerhin verwandteren Vergleichs</w:t>
      </w:r>
      <w:r w:rsidRPr="00941D22">
        <w:rPr>
          <w:rFonts w:ascii="Garamond" w:hAnsi="Garamond"/>
          <w:lang w:val="en-US"/>
        </w:rPr>
        <w:softHyphen/>
        <w:t>objekt, wie es der tierische oder menschliche Leib ist. Aber auch hier finden wir das nämliche. Die früheren Phasen der Entwicklung sind in keinem Sinn mehr erhalten, sie sind in den späteren, zu denen sie den Stoff geliefert haben, aufgegangen. Der Embryo läßt sich im Erwachsenen nicht nachweisen, die Thymusdrüse, die das Kind besaß, ist nach der Pubertät durch Bindegewebe ersetzt, aber selbst nicht mehr vorhanden; in den Röhrenknochen des reifen Mannes kann ich zwar den Umriß des kindlichen Knochens einzeichnen, aber dieser selbst ist vergangen, indem er sich streckte und verdickte, bis er seine endgültige Form erhielt. Es bleibt dabei, daß eine solche Erhaltung aller Vorstufen neben der Endgestaltung nur im Seelischen möglich ist und daß wir nicht in der Lage sind, uns dies Vorkommen anschaulich zu machen.</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Vielleicht gehen wir in dieser Annahme zu weit. Vielleicht sollten wir uns zu behaupten begnügen, daß das Vergangene im Seelenleben erhalten bleiben </w:t>
      </w:r>
      <w:r w:rsidRPr="00941D22">
        <w:rPr>
          <w:rFonts w:ascii="Garamond" w:hAnsi="Garamond"/>
          <w:i/>
          <w:iCs/>
          <w:lang w:val="en-US"/>
        </w:rPr>
        <w:t>kann,</w:t>
      </w:r>
      <w:r w:rsidRPr="00941D22">
        <w:rPr>
          <w:rFonts w:ascii="Garamond" w:hAnsi="Garamond"/>
          <w:lang w:val="en-US"/>
        </w:rPr>
        <w:t xml:space="preserve"> nicht </w:t>
      </w:r>
      <w:r w:rsidRPr="00941D22">
        <w:rPr>
          <w:rFonts w:ascii="Garamond" w:hAnsi="Garamond"/>
          <w:i/>
          <w:iCs/>
          <w:lang w:val="en-US"/>
        </w:rPr>
        <w:t>notwendigerweise</w:t>
      </w:r>
      <w:r w:rsidRPr="00941D22">
        <w:rPr>
          <w:rFonts w:ascii="Garamond" w:hAnsi="Garamond"/>
          <w:lang w:val="en-US"/>
        </w:rPr>
        <w:t xml:space="preserve"> zerstört werden muß. Es ist immerhin möglich, daß auch im Psychischen manches Alte — in der Norm oder ausnahmsweise — so weit verwischt oder aufgezehrt wird, daß es durch keinen Vorgang mehr wiederhergestellt und wiederbelebt werden kann, oder daß die Erhaltung allgemein an gewisse günstige Bedingungen geknüpft ist. Es ist möglich, aber wir wissen nichts darüber. Wir dürfen nur daran festhalten, daß die Erhaltung des Vergangenen im Seelenleben eher Regel als befremdliche Ausnahme ist.</w:t>
      </w:r>
    </w:p>
    <w:p w:rsidR="00941D22" w:rsidRPr="00941D22" w:rsidRDefault="00941D22" w:rsidP="00941D22">
      <w:pPr>
        <w:pStyle w:val="Sansinterligne"/>
        <w:rPr>
          <w:rFonts w:ascii="Garamond" w:hAnsi="Garamond"/>
          <w:lang w:val="en-US"/>
        </w:rPr>
      </w:pPr>
      <w:r w:rsidRPr="00941D22">
        <w:rPr>
          <w:rFonts w:ascii="Garamond" w:hAnsi="Garamond"/>
          <w:lang w:val="en-US"/>
        </w:rPr>
        <w:t>Wenn wir so durchaus bereit sind anzuerkennen, es gebe bei vielen Menschen ein »ozeanisches« Gefühl, und geneigt, es auf eine frühe Phase des Ichgefühls zurückzuführen, erhebt sich die weitere Frage, welchen Anspruch hat dieses Gefühl, als die Quelle der religiösen Bedürfnisse angesehen zu werden.</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Mir erscheint dieser Anspruch nicht zwingend. </w:t>
      </w:r>
      <w:r w:rsidRPr="00941D22">
        <w:rPr>
          <w:rFonts w:ascii="Garamond" w:hAnsi="Garamond"/>
        </w:rPr>
        <w:t>Ein Gefühl kann doch nur dann eine Energiequelle sein, wenn es selbst der Ausdruck eines starken Bedürfnisses ist. Für die religiösen Bedürfnisse scheint mir die Ableitung von der infantilen Hilflosigkeit und der durch sie geweckten Vatersehnsucht unabweisbar, zumal da sich dies Gefühl nicht einfach aus dem kindlichen Leben fortsetzt, sondern durch die Angst vor der Übermacht des Schicksals dauernd erhalten wird. Ein ähnlich starkes Bedürfnis aus der Kindheit wie das nach dem Vaterschutz wüßte ich nicht anzugeben. Damit ist die Rolle des ozeanischen Gefühls, das etwa die Wiederherstellung des uneinge</w:t>
      </w:r>
      <w:r w:rsidRPr="00941D22">
        <w:rPr>
          <w:rFonts w:ascii="Garamond" w:hAnsi="Garamond"/>
        </w:rPr>
        <w:softHyphen/>
        <w:t xml:space="preserve">schränkten Narzißmus anstreben könnte, vom Vordergrund abgedrängt. </w:t>
      </w:r>
      <w:r w:rsidRPr="00941D22">
        <w:rPr>
          <w:rFonts w:ascii="Garamond" w:hAnsi="Garamond"/>
          <w:lang w:val="en-US"/>
        </w:rPr>
        <w:t>Bis zum Gefühl der kindlichen Hilflosigkeit kann man den Ursprung der religiösen Einstellung in klaren Umrissen verfolgen. Es mag noch anderes dahinterstecken, aber das verhüllt einstweilen der Nebel.</w:t>
      </w:r>
    </w:p>
    <w:p w:rsidR="00941D22" w:rsidRPr="00941D22" w:rsidRDefault="00941D22" w:rsidP="00941D22">
      <w:pPr>
        <w:pStyle w:val="Sansinterligne"/>
        <w:rPr>
          <w:rFonts w:ascii="Garamond" w:hAnsi="Garamond"/>
          <w:lang w:val="en-US"/>
        </w:rPr>
      </w:pPr>
      <w:r w:rsidRPr="00941D22">
        <w:rPr>
          <w:rFonts w:ascii="Garamond" w:hAnsi="Garamond"/>
          <w:lang w:val="en-US"/>
        </w:rPr>
        <w:t>Ich kann mir vorstellen, daß das ozeanische Gefühl nachträglich in Beziehungen zur Religion geraten ist. Dies Eins-Sein mit dem All, was als Gedankeninhalt ihm zugehört, spricht uns ja an wie ein erster Versuch einer religiösen Tröstung, wie ein anderer Weg zur Ableugnung der Gefahr, die das Ich als von der Außenwelt drohend erkennt. Ich wiederhole das Bekenntnis, daß es mir sehr beschwerlich ist, mit diesen kaum faßbaren Größen zu arbeiten. Ein anderer meiner Freunde, den ein unstillbarer Wissensdrang zu den ungewöhnlichsten Experimenten getrieben und endlich zum Allwisser gemacht hat, versicherte mir, daß man in den Yogapraktiken durch Abwendung von der Außenwelt, durch Bindung der Aufmerksamkeit an körperliche Funktionen, durch besondere Weisen der Atmung tatsächlich neue Empfindungen und Allgemeingefühle in sich erwecken kann, die er als Regressionen zu uralten, längst überlagerten Zuständen des Seelenlebens auffassen will. Er sieht in ihnen eine sozusagen physiologische Begründung vieler Weisheiten der Mystik. Beziehungen zu manchen dunklen Modifikationen des Seelenlebens, wie Trance und Ekstase, lägen hier nahe. Allein mich drängt es, auch einmal mit den Worten des Schillerschen Tauchers auszurufen:</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t>»Es freue sich, wer da atmet im rosigen Licht.«</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rPr>
      </w:pPr>
      <w:r w:rsidRPr="00941D22">
        <w:rPr>
          <w:rFonts w:ascii="Garamond" w:hAnsi="Garamond"/>
        </w:rPr>
        <w:t>____________________</w:t>
      </w:r>
    </w:p>
    <w:p w:rsidR="00941D22" w:rsidRPr="00941D22" w:rsidRDefault="00941D22" w:rsidP="00941D22">
      <w:pPr>
        <w:pStyle w:val="Sansinterligne"/>
        <w:rPr>
          <w:rFonts w:ascii="Garamond" w:hAnsi="Garamond"/>
        </w:rPr>
      </w:pPr>
      <w:r w:rsidRPr="00941D22">
        <w:rPr>
          <w:rFonts w:ascii="Garamond" w:hAnsi="Garamond"/>
          <w:vertAlign w:val="superscript"/>
        </w:rPr>
        <w:t>1)</w:t>
      </w:r>
      <w:r w:rsidRPr="00941D22">
        <w:rPr>
          <w:rFonts w:ascii="Garamond" w:hAnsi="Garamond"/>
        </w:rPr>
        <w:t xml:space="preserve"> </w:t>
      </w:r>
      <w:r w:rsidRPr="00941D22">
        <w:rPr>
          <w:rFonts w:ascii="Garamond" w:hAnsi="Garamond"/>
          <w:i/>
          <w:iCs/>
        </w:rPr>
        <w:t>Liluli</w:t>
      </w:r>
      <w:r w:rsidRPr="00941D22">
        <w:rPr>
          <w:rFonts w:ascii="Garamond" w:hAnsi="Garamond"/>
        </w:rPr>
        <w:t xml:space="preserve">. — Seit dem Erscheinen der beiden Bücher </w:t>
      </w:r>
      <w:r w:rsidRPr="00941D22">
        <w:rPr>
          <w:rFonts w:ascii="Garamond" w:hAnsi="Garamond"/>
          <w:i/>
          <w:iCs/>
        </w:rPr>
        <w:t>La vie de Ramakrishna</w:t>
      </w:r>
      <w:r w:rsidRPr="00941D22">
        <w:rPr>
          <w:rFonts w:ascii="Garamond" w:hAnsi="Garamond"/>
        </w:rPr>
        <w:t xml:space="preserve">  und </w:t>
      </w:r>
      <w:r w:rsidRPr="00941D22">
        <w:rPr>
          <w:rFonts w:ascii="Garamond" w:hAnsi="Garamond"/>
          <w:i/>
          <w:iCs/>
        </w:rPr>
        <w:t>La vie de Vivekananda</w:t>
      </w:r>
      <w:r w:rsidRPr="00941D22">
        <w:rPr>
          <w:rFonts w:ascii="Garamond" w:hAnsi="Garamond"/>
        </w:rPr>
        <w:t xml:space="preserve"> (1930) brauche ich nicht mehr zu verbergen, daß der im Text gemeinte Freund Romain Rolland ist.</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2)</w:t>
      </w:r>
      <w:r w:rsidRPr="00941D22">
        <w:rPr>
          <w:rFonts w:ascii="Garamond" w:hAnsi="Garamond"/>
          <w:lang w:val="en-US"/>
        </w:rPr>
        <w:t xml:space="preserve"> D. Chr. Grabbe, </w:t>
      </w:r>
      <w:r w:rsidRPr="00941D22">
        <w:rPr>
          <w:rFonts w:ascii="Garamond" w:hAnsi="Garamond"/>
          <w:i/>
          <w:iCs/>
          <w:lang w:val="en-US"/>
        </w:rPr>
        <w:t>Hannibal:</w:t>
      </w:r>
      <w:r w:rsidRPr="00941D22">
        <w:rPr>
          <w:rFonts w:ascii="Garamond" w:hAnsi="Garamond"/>
          <w:lang w:val="en-US"/>
        </w:rPr>
        <w:t xml:space="preserve"> »Ja, aus der Welt werden wir nicht fallen. Wir sind einmal darin.«</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3)</w:t>
      </w:r>
      <w:r w:rsidRPr="00941D22">
        <w:rPr>
          <w:rFonts w:ascii="Garamond" w:hAnsi="Garamond"/>
          <w:lang w:val="en-US"/>
        </w:rPr>
        <w:t xml:space="preserve"> S. die zahlreichen Arbeiten über Ichentwicklung und Ichgefühl von Ferenczi, Entwicklungsstufen des Wirklichkeitssinnes‹ (1913), bis zu den Beiträgen von P.Federn 1926, 1927 und später.</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4)</w:t>
      </w:r>
      <w:r w:rsidRPr="00941D22">
        <w:rPr>
          <w:rFonts w:ascii="Garamond" w:hAnsi="Garamond"/>
          <w:lang w:val="en-US"/>
        </w:rPr>
        <w:t xml:space="preserve"> Nach </w:t>
      </w:r>
      <w:r w:rsidRPr="00941D22">
        <w:rPr>
          <w:rFonts w:ascii="Garamond" w:hAnsi="Garamond"/>
          <w:i/>
          <w:iCs/>
          <w:lang w:val="en-US"/>
        </w:rPr>
        <w:t>The Cambridge Ancient History,</w:t>
      </w:r>
      <w:r w:rsidRPr="00941D22">
        <w:rPr>
          <w:rFonts w:ascii="Garamond" w:hAnsi="Garamond"/>
          <w:lang w:val="en-US"/>
        </w:rPr>
        <w:t xml:space="preserve"> Bd. 7 (1928): ›The Founding of Rome‹ by Hugh Last.</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rPr>
      </w:pPr>
      <w:r w:rsidRPr="00941D22">
        <w:rPr>
          <w:rFonts w:ascii="Garamond" w:hAnsi="Garamond"/>
        </w:rPr>
        <w:t xml:space="preserve">II. </w:t>
      </w:r>
      <w:r w:rsidRPr="00941D22">
        <w:rPr>
          <w:rFonts w:ascii="Garamond" w:hAnsi="Garamond"/>
        </w:rPr>
        <w:br/>
        <w:t>[Das Glück als Ziel des menschlichen Strebens]</w:t>
      </w:r>
    </w:p>
    <w:p w:rsidR="00941D22" w:rsidRPr="00941D22" w:rsidRDefault="00941D22" w:rsidP="00941D22">
      <w:pPr>
        <w:pStyle w:val="Sansinterligne"/>
        <w:rPr>
          <w:rFonts w:ascii="Garamond" w:hAnsi="Garamond"/>
        </w:rPr>
      </w:pPr>
    </w:p>
    <w:p w:rsidR="00941D22" w:rsidRPr="00941D22" w:rsidRDefault="00941D22" w:rsidP="00941D22">
      <w:pPr>
        <w:pStyle w:val="Sansinterligne"/>
        <w:rPr>
          <w:rFonts w:ascii="Garamond" w:hAnsi="Garamond"/>
          <w:lang w:val="en-US"/>
        </w:rPr>
      </w:pPr>
      <w:r w:rsidRPr="00941D22">
        <w:rPr>
          <w:rFonts w:ascii="Garamond" w:hAnsi="Garamond"/>
        </w:rPr>
        <w:t xml:space="preserve">In meiner Schrift </w:t>
      </w:r>
      <w:r w:rsidRPr="00941D22">
        <w:rPr>
          <w:rFonts w:ascii="Garamond" w:hAnsi="Garamond"/>
          <w:i/>
          <w:iCs/>
        </w:rPr>
        <w:t>Die Zukunft einer Illusion</w:t>
      </w:r>
      <w:r w:rsidRPr="00941D22">
        <w:rPr>
          <w:rFonts w:ascii="Garamond" w:hAnsi="Garamond"/>
        </w:rPr>
        <w:t xml:space="preserve"> handelte es sich weit weniger um die tiefsten Quellen des religiösen Gefühls, als vielmehr um das, was der gemeine Mann unter seiner Religion versteht, um das System von Lehren und Verheißungen, das ihm einerseits die Rätsel dieser Welt mit beneidenswerter Vollständigkeit aufklärt, anderseits ihm zusichert, daß eine sorgsame Vorsehung über sein Leben wachen und etwaige Versagungen in einer jenseitigen Existenz gutmachen wird. </w:t>
      </w:r>
      <w:r w:rsidRPr="00941D22">
        <w:rPr>
          <w:rFonts w:ascii="Garamond" w:hAnsi="Garamond"/>
          <w:lang w:val="en-US"/>
        </w:rPr>
        <w:t>Diese Vorsehung kann der gemeine Mann sich nicht anders als in der Person eines großartig erhöhten Vaters vorstellen. Nur ein solcher kann die Bedürfnisse des Menschenkindes kennen, durch seine Bitten erweicht, durch die Zeichen seiner Reue beschwichtigt werden. Das Ganze ist so offenkundig infantil, so wirklichkeitsfremd, daß es einer menschenfreundlichen Gesinnung schmerzlich wird zu denken, die große Mehrheit der Sterblichen werde sich niemals über diese Auffassung des Lebens erheben können. Noch beschämender wirkt es zu erfahren, ein wie großer Anteil der heute Lebenden, die es einsehen müssen, daß diese Religion nicht zu halten ist, doch Stück für Stück von ihr in kläglichen Rückzugsgefechten zu verteidigen sucht. Man möchte sich in die Reihen der Gläubigen mengen, um den Philosophen, die den Gott der Religion zu retten glauben, indem sie ihn durch ein unpersönliches, schattenhaft abstraktes Prinzip ersetzen, die Mahnung vorzuhalten: »Du sollst den Namen des Herrn nicht zum Eitlen anrufen!« Wenn einige der größten Geister vergangener Zeiten das gleiche getan haben, so darf man sich hierin nicht auf sie berufen. Man weiß, warum sie so mußten.</w:t>
      </w:r>
    </w:p>
    <w:p w:rsidR="00941D22" w:rsidRPr="00941D22" w:rsidRDefault="00941D22" w:rsidP="00941D22">
      <w:pPr>
        <w:pStyle w:val="Sansinterligne"/>
        <w:rPr>
          <w:rFonts w:ascii="Garamond" w:hAnsi="Garamond"/>
          <w:lang w:val="en-US"/>
        </w:rPr>
      </w:pPr>
      <w:r w:rsidRPr="00941D22">
        <w:rPr>
          <w:rFonts w:ascii="Garamond" w:hAnsi="Garamond"/>
          <w:lang w:val="en-US"/>
        </w:rPr>
        <w:t>Wir kehren zum gemeinen Mann und zu seiner Religion zurück, der einzigen, die diesen Namen tragen sollte. Da tritt uns zunächst die bekannte Äußerung eines unserer großen Dichter und Weisen entgegen, die sich über das Verhältnis der Religion zur Kunst und Wissenschaft ausspricht. Sie lautet:</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t>»Wer Wissenschaft und Kunst besitzt,</w:t>
      </w:r>
    </w:p>
    <w:p w:rsidR="00941D22" w:rsidRPr="00941D22" w:rsidRDefault="00941D22" w:rsidP="00941D22">
      <w:pPr>
        <w:pStyle w:val="Sansinterligne"/>
        <w:rPr>
          <w:rFonts w:ascii="Garamond" w:hAnsi="Garamond"/>
          <w:lang w:val="en-US"/>
        </w:rPr>
      </w:pPr>
      <w:r w:rsidRPr="00941D22">
        <w:rPr>
          <w:rFonts w:ascii="Garamond" w:hAnsi="Garamond"/>
          <w:lang w:val="en-US"/>
        </w:rPr>
        <w:t>hat auch Religion;</w:t>
      </w:r>
    </w:p>
    <w:p w:rsidR="00941D22" w:rsidRPr="00941D22" w:rsidRDefault="00941D22" w:rsidP="00941D22">
      <w:pPr>
        <w:pStyle w:val="Sansinterligne"/>
        <w:rPr>
          <w:rFonts w:ascii="Garamond" w:hAnsi="Garamond"/>
          <w:lang w:val="en-US"/>
        </w:rPr>
      </w:pPr>
      <w:r w:rsidRPr="00941D22">
        <w:rPr>
          <w:rFonts w:ascii="Garamond" w:hAnsi="Garamond"/>
          <w:lang w:val="en-US"/>
        </w:rPr>
        <w:t>Wer jene beiden nicht besitzt,</w:t>
      </w:r>
    </w:p>
    <w:p w:rsidR="00941D22" w:rsidRPr="00941D22" w:rsidRDefault="00941D22" w:rsidP="00941D22">
      <w:pPr>
        <w:pStyle w:val="Sansinterligne"/>
        <w:rPr>
          <w:rFonts w:ascii="Garamond" w:hAnsi="Garamond"/>
          <w:lang w:val="en-US"/>
        </w:rPr>
      </w:pPr>
      <w:r w:rsidRPr="00941D22">
        <w:rPr>
          <w:rFonts w:ascii="Garamond" w:hAnsi="Garamond"/>
          <w:lang w:val="en-US"/>
        </w:rPr>
        <w:t>der habe Religion!«</w:t>
      </w:r>
      <w:r w:rsidRPr="00941D22">
        <w:rPr>
          <w:rFonts w:ascii="Garamond" w:hAnsi="Garamond"/>
          <w:vertAlign w:val="superscript"/>
          <w:lang w:val="en-US"/>
        </w:rPr>
        <w:t>1)</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t>Dieser Spruch bringt einerseits die Religion in einen Gegensatz zu den beiden Höchstleistungen des Menschen, anderseits behauptet er, daß sie einander in ihrem Lebenswert vertreten oder ersetzen können. Wenn wir auch dem gemeinen Mann die Religion bestreiten wollen, haben wir offenbar die Autorität des Dichters nicht auf unserer Seite. Wir versuchen einen besonderen Weg, um uns der Würdigung seines Satzes zu nähern. Das Leben, wie es uns auferlegt ist, ist zu schwer für uns, es bringt uns zuviel Schmerzen, Enttäuschungen, unlösbare Aufgaben. Um es zu ertragen, können wir Linderungsmittel nicht entbehren. (»Es geht nicht ohne Hilfskon</w:t>
      </w:r>
      <w:r w:rsidRPr="00941D22">
        <w:rPr>
          <w:rFonts w:ascii="Garamond" w:hAnsi="Garamond"/>
          <w:lang w:val="en-US"/>
        </w:rPr>
        <w:softHyphen/>
        <w:t>struktionen«, hat uns Theodor Fontane gesagt.) Solcher Mittel gibt es viel</w:t>
      </w:r>
      <w:r w:rsidRPr="00941D22">
        <w:rPr>
          <w:rFonts w:ascii="Garamond" w:hAnsi="Garamond"/>
          <w:lang w:val="en-US"/>
        </w:rPr>
        <w:softHyphen/>
        <w:t>leicht dreierlei: mächtige Ablenkungen, die uns unser Elend geringschätzen lassen. Ersatzbefriedigungen, die es verringern, Rauschstoffe, die uns für dasselbe unempfindlich machen. Irgend etwas dieser Art ist unerläßlich.</w:t>
      </w:r>
      <w:r w:rsidRPr="00941D22">
        <w:rPr>
          <w:rFonts w:ascii="Garamond" w:hAnsi="Garamond"/>
          <w:vertAlign w:val="superscript"/>
          <w:lang w:val="en-US"/>
        </w:rPr>
        <w:t>2)</w:t>
      </w:r>
      <w:r w:rsidRPr="00941D22">
        <w:rPr>
          <w:rFonts w:ascii="Garamond" w:hAnsi="Garamond"/>
          <w:lang w:val="en-US"/>
        </w:rPr>
        <w:t xml:space="preserve"> Auf die Ablenkungen zielt Voltaire, wenn er seinen Candide in den Rat ausklingen läßt, seinen Garten zu bearbeiten; solch eine Ablenkung ist auch die wissenschaftliche Tätigkeit. Die Ersatzbefriedigungen, wie die Kunst sie bietet, sind gegen die Realität Illusionen, darum nicht minder psychisch wirksam dank der Rolle, die die Phantasie im Seelenleben behauptet hat. Die Rauschmittel beeinflussen unser Körperliches, ändern seinen Chemismus. Es ist nicht einfach, die Stellung der Religion innerhalb dieser Reihe anzugeben. Wir werden weiter ausholen müssen.</w:t>
      </w:r>
    </w:p>
    <w:p w:rsidR="00941D22" w:rsidRPr="00941D22" w:rsidRDefault="00941D22" w:rsidP="00941D22">
      <w:pPr>
        <w:pStyle w:val="Sansinterligne"/>
        <w:rPr>
          <w:rFonts w:ascii="Garamond" w:hAnsi="Garamond"/>
          <w:lang w:val="en-US"/>
        </w:rPr>
      </w:pPr>
      <w:r w:rsidRPr="00941D22">
        <w:rPr>
          <w:rFonts w:ascii="Garamond" w:hAnsi="Garamond"/>
          <w:lang w:val="en-US"/>
        </w:rPr>
        <w:t>Die Frage nach dem Zweck des menschlichen Lebens ist ungezählte Male gestellt worden; sie hat noch nie eine befriedigende Antwort gefunden, läßt eine solche vielleicht überhaupt nicht zu. Manche Fragesteller haben hinzu</w:t>
      </w:r>
      <w:r w:rsidRPr="00941D22">
        <w:rPr>
          <w:rFonts w:ascii="Garamond" w:hAnsi="Garamond"/>
          <w:lang w:val="en-US"/>
        </w:rPr>
        <w:softHyphen/>
        <w:t xml:space="preserve">gefügt: wenn sich ergeben sollte, daß das Leben keinen Zweck hat, dann würde es jeden Wert für sie verlieren. Aber diese Drohung ändert nichts. Es scheint vielmehr, daß man ein Recht dazu hat, die Frage abzulehnen. Ihre Voraussetzung scheint jene menschliche Überhebung, von der wir soviel andere Äußerungen bereits kennen. Von einem Zweck des Lebens der Tiere wird nicht gesprochen, wenn deren Bestimmung nicht etwa darin besteht, dem Menschen zu dienen. Allein auch das ist nicht haltbar, denn mit vielen Tieren weiß der Mensch nichts anzufangen — außer, daß er sie beschreibt, klassifiziert, studiert —, und ungezählte Tierarten haben sich auch dieser Verwendung entzogen, indem sie lebten und ausstarben, ehe der Mensch sie gesehen hatte. Es ist wiederum nur die Religion, die die Frage nach einem </w:t>
      </w:r>
      <w:r w:rsidRPr="00941D22">
        <w:rPr>
          <w:rFonts w:ascii="Garamond" w:hAnsi="Garamond"/>
          <w:lang w:val="en-US"/>
        </w:rPr>
        <w:lastRenderedPageBreak/>
        <w:t>Zweck des Lebens zu beantworten weiß. Man wird kaum irren zu entscheiden, daß die Idee eines Lebenszweckes mit dem religiösen System steht und fällt.</w:t>
      </w:r>
    </w:p>
    <w:p w:rsidR="00941D22" w:rsidRPr="00941D22" w:rsidRDefault="00941D22" w:rsidP="00941D22">
      <w:pPr>
        <w:pStyle w:val="Sansinterligne"/>
        <w:rPr>
          <w:rFonts w:ascii="Garamond" w:hAnsi="Garamond"/>
          <w:lang w:val="en-US"/>
        </w:rPr>
      </w:pPr>
      <w:r w:rsidRPr="00941D22">
        <w:rPr>
          <w:rFonts w:ascii="Garamond" w:hAnsi="Garamond"/>
          <w:lang w:val="en-US"/>
        </w:rPr>
        <w:t>Wir wenden uns darum der anspruchsloseren Frage zu, was die Menschen selbst durch ihr Verhalten als Zweck und Absicht ihres Lebens erkennen lassen, was sie vom Leben fordern, in ihm erreichen wollen. Die Antwort darauf ist kaum zu verfehlen; sie streben nach dem Glück, sie wollen glücklich werden und so bleiben. Dies Streben hat zwei Seiten, ein positives und ein negatives Ziel, es will einerseits die Abwesenheit von Schmerz und Unlust, anderseits das Erleben starker Lustgefühle. Im engeren Wortsinne wird »Glück« nur auf das letztere bezogen. Entsprechend dieser Zweiteilung der Ziele entfaltet sich die Tätigkeit der Menschen nach zwei Richtungen, je nachdem sie das eine oder das andere dieser Ziele — vorwiegend oder selbst ausschließlich — zu verwirklichen sucht.</w:t>
      </w:r>
    </w:p>
    <w:p w:rsidR="00941D22" w:rsidRPr="00941D22" w:rsidRDefault="00941D22" w:rsidP="00941D22">
      <w:pPr>
        <w:pStyle w:val="Sansinterligne"/>
        <w:rPr>
          <w:rFonts w:ascii="Garamond" w:hAnsi="Garamond"/>
          <w:lang w:val="en-US"/>
        </w:rPr>
      </w:pPr>
      <w:r w:rsidRPr="00941D22">
        <w:rPr>
          <w:rFonts w:ascii="Garamond" w:hAnsi="Garamond"/>
          <w:lang w:val="en-US"/>
        </w:rPr>
        <w:t>Es ist, wie man merkt, einfach das Programm des Lustprinzips, das den Lebenszweck setzt. Dies Prinzip beherrscht die Leistung des seelischen Apparates vom Anfang an; an seiner Zweckdienlichkeit kann kein Zweifel sein, und doch ist sein Programm im Hader mit der ganzen Welt, mit dem Makrokosmos ebensowohl wie mit dem Mikrokosmos. Es ist überhaupt nicht durchführbar, alle Einrichtungen des Alls widerstreben ihm; man möchte sagen, die Absicht, daß der Mensch »glücklich« sei, ist im Plan der »Schöpfung« nicht enthalten. Was man im strengsten Sinne Glück heißt, entspringt der eher plötzlichen Befriedigung hoch aufgestauter Bedürfnisse und ist seiner Natur nach nur als episodisches Phänomen möglich. Jede Fortdauer einer vom Lustprinzip ersehnten Situation ergibt nur ein Gefühl von lauem Behagen; wir sind so eingerichtet, daß wir nur den Kontrast intensiv genießen können, den Zustand nur sehr wenig.</w:t>
      </w:r>
      <w:r w:rsidRPr="00941D22">
        <w:rPr>
          <w:rFonts w:ascii="Garamond" w:hAnsi="Garamond"/>
          <w:vertAlign w:val="superscript"/>
          <w:lang w:val="en-US"/>
        </w:rPr>
        <w:t>3)</w:t>
      </w:r>
      <w:r w:rsidRPr="00941D22">
        <w:rPr>
          <w:rFonts w:ascii="Garamond" w:hAnsi="Garamond"/>
          <w:lang w:val="en-US"/>
        </w:rPr>
        <w:t xml:space="preserve"> Somit sind unsere Glücks</w:t>
      </w:r>
      <w:r w:rsidRPr="00941D22">
        <w:rPr>
          <w:rFonts w:ascii="Garamond" w:hAnsi="Garamond"/>
          <w:lang w:val="en-US"/>
        </w:rPr>
        <w:softHyphen/>
        <w:t>möglichkeiten schon durch unsere Konstitution beschränkt. Weit weniger Schwierigkeiten hat es, Unglück zu erfahren. Von drei Seiten droht das Leiden, vom eigenen Körper her, der, zu Verfall und Auflösung bestimmt, sogar Schmerz und Angst als Warnungssignale nicht entbehren kann, von der Außenwelt, die mit übermächtigen, unerbittlichen, zerstörenden Kräften gegen uns wüten kann, und endlich aus den Beziehungen zu anderen Menschen. Das Leiden, das aus dieser Quelle stammt, empfinden wir vielleicht schmerzlicher als jedes andere; wir sind geneigt, es als eine gewissermaßen überflüssige Zutat anzusehen, obwohl es nicht weniger schicksalsmäßig unabwendbar sein dürfte als das Leiden anderer Herkunft.</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A06A59" w:rsidRDefault="00941D22" w:rsidP="00941D22">
      <w:pPr>
        <w:pStyle w:val="Sansinterligne"/>
        <w:rPr>
          <w:rFonts w:ascii="Garamond" w:hAnsi="Garamond"/>
          <w:lang w:val="en-US"/>
        </w:rPr>
      </w:pPr>
      <w:r w:rsidRPr="00A06A59">
        <w:rPr>
          <w:rFonts w:ascii="Garamond" w:hAnsi="Garamond"/>
          <w:lang w:val="en-US"/>
        </w:rPr>
        <w:t>____________________</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1)</w:t>
      </w:r>
      <w:r w:rsidRPr="00941D22">
        <w:rPr>
          <w:rFonts w:ascii="Garamond" w:hAnsi="Garamond"/>
          <w:lang w:val="en-US"/>
        </w:rPr>
        <w:t xml:space="preserve"> Goethe in den </w:t>
      </w:r>
      <w:r w:rsidRPr="00941D22">
        <w:rPr>
          <w:rFonts w:ascii="Garamond" w:hAnsi="Garamond"/>
          <w:i/>
          <w:iCs/>
          <w:lang w:val="en-US"/>
        </w:rPr>
        <w:t>Zahmen Xenien</w:t>
      </w:r>
      <w:r w:rsidRPr="00941D22">
        <w:rPr>
          <w:rFonts w:ascii="Garamond" w:hAnsi="Garamond"/>
          <w:lang w:val="en-US"/>
        </w:rPr>
        <w:t xml:space="preserve"> IX (Gedichte aus dem Nachlaß).</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2)</w:t>
      </w:r>
      <w:r w:rsidRPr="00941D22">
        <w:rPr>
          <w:rFonts w:ascii="Garamond" w:hAnsi="Garamond"/>
          <w:lang w:val="en-US"/>
        </w:rPr>
        <w:t xml:space="preserve"> Auf erniedrigtem Niveau sagt Wilhelm Busch in der </w:t>
      </w:r>
      <w:r w:rsidRPr="00941D22">
        <w:rPr>
          <w:rFonts w:ascii="Garamond" w:hAnsi="Garamond"/>
          <w:i/>
          <w:iCs/>
          <w:lang w:val="en-US"/>
        </w:rPr>
        <w:t>Frommen Helene</w:t>
      </w:r>
      <w:r w:rsidRPr="00941D22">
        <w:rPr>
          <w:rFonts w:ascii="Garamond" w:hAnsi="Garamond"/>
          <w:lang w:val="en-US"/>
        </w:rPr>
        <w:t xml:space="preserve"> dasselbe: »Wer Sorgen hat, hat auch Likör.«</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3)</w:t>
      </w:r>
      <w:r w:rsidRPr="00941D22">
        <w:rPr>
          <w:rFonts w:ascii="Garamond" w:hAnsi="Garamond"/>
          <w:lang w:val="en-US"/>
        </w:rPr>
        <w:t xml:space="preserve"> Goethe mahnt sogar: »Nichts ist schwerer zu ertragen als eine Reihe von schönen Tagen.«</w:t>
      </w:r>
    </w:p>
    <w:p w:rsidR="00941D22" w:rsidRPr="00941D22" w:rsidRDefault="00941D22" w:rsidP="00941D22">
      <w:pPr>
        <w:pStyle w:val="Sansinterligne"/>
        <w:rPr>
          <w:rFonts w:ascii="Garamond" w:hAnsi="Garamond"/>
        </w:rPr>
      </w:pPr>
      <w:r w:rsidRPr="00941D22">
        <w:rPr>
          <w:rFonts w:ascii="Garamond" w:hAnsi="Garamond"/>
        </w:rPr>
        <w:t>Das mag immerhin eine Übertreibung sein.</w:t>
      </w:r>
    </w:p>
    <w:p w:rsidR="00941D22" w:rsidRPr="00941D22" w:rsidRDefault="00941D22" w:rsidP="00941D22">
      <w:pPr>
        <w:pStyle w:val="Sansinterligne"/>
        <w:rPr>
          <w:rFonts w:ascii="Garamond" w:hAnsi="Garamond"/>
          <w:lang w:val="en-US"/>
        </w:rPr>
      </w:pPr>
      <w:r w:rsidRPr="00941D22">
        <w:rPr>
          <w:rFonts w:ascii="Garamond" w:hAnsi="Garamond"/>
          <w:lang w:val="en-US"/>
        </w:rPr>
        <w:t>[II.: Techniken der Leidabwehr und Glücksgewinnung: Intoxikation, Sublimierung u.a.]</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Kein Wunder, wenn unter dem Druck dieser Leidensmöglichkeiten die Menschen ihren Glücksanspruch zu ermäßigen pflegen, wie ja auch das Lustprinzip selbst sich unter dem Einfluß der Außenwelt zum bescheideneren Realitätsprinzip umbildete, wenn man sich bereits glücklich preist, dem Unglück entgangen zu sein, das Leiden überstanden zu haben, wenn ganz allgemein die Aufgabe der Leidvermeidung die der Lustgewinnung in den Hintergrund drängt. Die Überlegung lehrt, daß man die Lösung dieser Auf gäbe auf sehr verschiedenen Wegen versuchen kann; alle diese Wege sind von den einzelnen Schulen der Lebensweisheit empfohlen und von den Menschen begangen worden. Uneingeschränkte Befriedigung aller Bedürf</w:t>
      </w:r>
      <w:r w:rsidRPr="00941D22">
        <w:rPr>
          <w:rFonts w:ascii="Garamond" w:hAnsi="Garamond"/>
          <w:lang w:val="en-US"/>
        </w:rPr>
        <w:softHyphen/>
        <w:t xml:space="preserve">nisse drängt sich als die verlockendste Art der Lebensführung vor, aber das heißt den Genuß vor die Vorsicht setzen und straft sich nach kurzem Betrieb. Die anderen Methoden, bei denen die Vermeidung von Unlust die vorwiegende Absicht ist, scheiden sich je nach der Unlustquelle, der sie die größere Aufmerksamkeit zuwenden. Es gibt da extreme und gemäßigte Verfahren, einseitige und solche, die zugleich an mehreren Stellen angreifen. Gewollte Vereinsamung, Fernhaltung von den anderen ist der nächstliegende Schutz gegen das Leid, das einem aus menschlichen Beziehungen erwachsen kann. Man versteht: das Glück, das man auf diesem Weg erreichen kann, ist das der Ruhe. Gegen die gefürchtete Außenwelt kann man sich nicht anders als durch irgendeine Art der Abwendung verteidigen, wenn man diese Aufgabe für sich allein lösen will. Es gibt freilich einen anderen und besseren Weg, indem man als ein Mitglied der menschlichen Gemeinschaft mit Hilfe der von der Wissenschaft geleiteten Technik zum Angriff auf die Natur übergeht und sie menschlichem Willen unterwirft. Man arbeitet dann mit allen am Glück aller. Die interessantesten Methoden zur Leidverhütung sind aber die, die den eigenen Organismus zu beeinflussen versuchen. Endlich ist alles Leid nur </w:t>
      </w:r>
      <w:r w:rsidRPr="00941D22">
        <w:rPr>
          <w:rFonts w:ascii="Garamond" w:hAnsi="Garamond"/>
          <w:lang w:val="en-US"/>
        </w:rPr>
        <w:lastRenderedPageBreak/>
        <w:t>Empfindung, es besteht nur, insofern wir es verspüren, und wir verspüren es nur infolge gewisser Einrichtungen unseres Organismus.</w:t>
      </w:r>
    </w:p>
    <w:p w:rsidR="00941D22" w:rsidRPr="00941D22" w:rsidRDefault="00941D22" w:rsidP="00941D22">
      <w:pPr>
        <w:pStyle w:val="Sansinterligne"/>
        <w:rPr>
          <w:rFonts w:ascii="Garamond" w:hAnsi="Garamond"/>
          <w:lang w:val="en-US"/>
        </w:rPr>
      </w:pPr>
      <w:r w:rsidRPr="00941D22">
        <w:rPr>
          <w:rFonts w:ascii="Garamond" w:hAnsi="Garamond"/>
          <w:lang w:val="en-US"/>
        </w:rPr>
        <w:t>Die roheste, aber auch wirksamste Methode solcher Beeinflussung ist die chemische, die Intoxikation. Ich glaube nicht, daß irgendwer ihren Mecha</w:t>
      </w:r>
      <w:r w:rsidRPr="00941D22">
        <w:rPr>
          <w:rFonts w:ascii="Garamond" w:hAnsi="Garamond"/>
          <w:lang w:val="en-US"/>
        </w:rPr>
        <w:softHyphen/>
        <w:t>nismus durchschaut, aber es ist Tatsache, daß es körperfremde Stoffe gibt, deren Anwesenheit in Blut und Geweben uns unmittelbare Lustempfindungen verschafft, aber auch die Bedingungen unseres Empfindungslebens so verändert, daß wir zur Aufnahme von Unlustregungen untauglich werden. Beide Wirkungen erfolgen nicht nur gleichzeitig, sie scheinen auch innig miteinander verknüpft. Es muß aber auch in unserem eigenen Chemismus Stoffe geben, die ähnliches leisten, denn wir kennen wenigstens einen krankhaften Zustand, die Manie, in dem dies rauschähnliche Verhalten zustande kommt, ohne daß ein Rauschgift eingeführt worden wäre. Überdies zeigt unser normales Seelenleben Schwankungen von erleichterter oder erschwerter Lustentbindung, mit denen eine verringerte oder vergrößerte Empfänglichkeit für Unlust parallel geht. Es ist sehr zu bedauern, daß diese toxische Seite der seelischen Vorgänge sich der wissenschaftlichen Erforschung bisher entzogen hat. Die Leistung der Rauschmittel im Kampf um das Glück und zur Fernhaltung des Elends wird so sehr als Wohltat geschätzt, daß Individuen wie Völker ihnen eine feste Stellung in ihrer Libidoökonomie eingeräumt haben. Man dankt ihnen nicht nur den unmittelbaren Lustgewinn, sondern auch ein heiß ersehntes Stück Unabhängigkeit von der Außenwelt. Man weiß doch, daß man mit Hilfe des »Sorgenbrechers« sich jederzeit dem Druck der Realität entziehen und in einer eigenen Welt mit besseren Empfindungsbedingungen Zuflucht finden kann. Es ist bekannt, daß gerade diese Eigenschaft der Rauschmittel auch ihre Gefahr und Schädlichkeit bedingt. Sie tragen unter Umständen die Schuld daran, daß große Energiebeträge, die zur Verbesserung des menschlichen Loses verwendet werden könnten, nutzlos verlorengehen.</w:t>
      </w:r>
    </w:p>
    <w:p w:rsidR="00941D22" w:rsidRPr="00941D22" w:rsidRDefault="00941D22" w:rsidP="00941D22">
      <w:pPr>
        <w:pStyle w:val="Sansinterligne"/>
        <w:rPr>
          <w:rFonts w:ascii="Garamond" w:hAnsi="Garamond"/>
          <w:lang w:val="en-US"/>
        </w:rPr>
      </w:pPr>
      <w:r w:rsidRPr="00941D22">
        <w:rPr>
          <w:rFonts w:ascii="Garamond" w:hAnsi="Garamond"/>
          <w:lang w:val="en-US"/>
        </w:rPr>
        <w:t>Der komplizierte Bau unseres seelischen Apparats gestattet aber auch eine ganze Reihe anderer Beeinflussungen. Wie Triebbefriedigung Glück ist, so wird es Ursache schweren Leidens, wenn die Außenwelt uns darben läßt, die Sättigung unserer Bedürfnisse verweigert. Man kann also hoffen, durch Einwirkung auf diese Triebregungen von einem Teil des Leidens frei zu werden. Diese Art der Leidabwehr greift nicht mehr am Empfindungsapparat an, sie sucht der inneren Quellen der Bedürfnisse Herr zu werden. In extremer Weise geschieht dies, indem man die Triebe ertötet, wie die orientalische Lebensweisheit lehrt und die Yogapraxis ausführt. Gelingt es, so hat man damit freilich auch alle andere Tätigkeit aufgegeben (das Leben geopfert), auf anderem Wege wieder nur das Glück der Ruhe erworben. Den gleichen Weg verfolgt man bei ermäßigten Zielen, wenn man nur die Beherr</w:t>
      </w:r>
      <w:r w:rsidRPr="00941D22">
        <w:rPr>
          <w:rFonts w:ascii="Garamond" w:hAnsi="Garamond"/>
          <w:lang w:val="en-US"/>
        </w:rPr>
        <w:softHyphen/>
        <w:t>schung des Trieblebens anstrebt. Das Herrschende sind dann die höheren psychischen Instanzen, die sich dem Realitätsprinzip unterworfen haben. Hierbei wird die Absicht der Befriedigung keineswegs aufgegeben; ein gewisser Schutz gegen Leiden wird dadurch erreicht, daß die Unbefriedigung der in Abhängigkeit gehaltenen Triebe nicht so schmerzlich empfunden wird wie die der ungehemmten. Dagegen steht aber eine unleugbare Herab</w:t>
      </w:r>
      <w:r w:rsidRPr="00941D22">
        <w:rPr>
          <w:rFonts w:ascii="Garamond" w:hAnsi="Garamond"/>
          <w:lang w:val="en-US"/>
        </w:rPr>
        <w:softHyphen/>
        <w:t>setzung der Genußmöglichkeiten. Das Glücksgefühl bei Befriedigung einer wilden, vom Ich ungebändigten Triebregung ist unvergleichlich intensiver als das bei Sättigung eines gezähmten Triebes. Die Unwiderstehlichkeit perverser Impulse, vielleicht der Anreiz des Verbotenen überhaupt, findet hierin eine ökonomische Erklärung.</w:t>
      </w:r>
    </w:p>
    <w:p w:rsidR="00941D22" w:rsidRPr="00941D22" w:rsidRDefault="00941D22" w:rsidP="00941D22">
      <w:pPr>
        <w:pStyle w:val="Sansinterligne"/>
        <w:rPr>
          <w:rFonts w:ascii="Garamond" w:hAnsi="Garamond"/>
          <w:lang w:val="en-US"/>
        </w:rPr>
      </w:pPr>
      <w:r w:rsidRPr="00941D22">
        <w:rPr>
          <w:rFonts w:ascii="Garamond" w:hAnsi="Garamond"/>
          <w:lang w:val="en-US"/>
        </w:rPr>
        <w:t>Eine andere Technik der Leidabwehr bedient sich der Libidoverschie</w:t>
      </w:r>
      <w:r w:rsidRPr="00941D22">
        <w:rPr>
          <w:rFonts w:ascii="Garamond" w:hAnsi="Garamond"/>
          <w:lang w:val="en-US"/>
        </w:rPr>
        <w:softHyphen/>
        <w:t>bungen, welche unser seelischer Apparat gestattet, durch die seine Funktion so viel an Geschmeidigkeit gewinnt. Die zu lösende Aufgabe ist, die Triebziele solcherart zu verlegen, daß sie von der Versagung der Außenwelt nicht getroffen werden können. Die Sublimierung der Triebe leiht dazu ihre Hilfe. Am meisten erreicht man, wenn man den Lustgewinn aus den Quellen psychischer und intellektueller Arbeit genügend zu erhöhen versteht. Das Schicksal kann einem dann wenig anhaben. Die Befriedigung solcher Art, wie die Freude des Künstlers am Schaffen, an der Verkörperung seiner Phantasiegebilde, die des Forschers an der Lösung von Problemen und am Erkennen der Wahrheit, haben eine besondere Qualität, die wir gewiß eines Tages werden metapsychologisch charakterisieren können. Derzeit können wir nur bildweise sagen, sie erscheinen uns »feiner und höher«, aber ihre Intensität ist im Vergleich mit der aus der Sättigung grober, primärer Triebregungen gedämpft; sie erschüttern nicht unsere Leiblichkeit. Die Schwäche dieser Methode liegt aber darin, daß sie nicht allgemein verwendbar, nur wenigen Menschen zugänglich ist. Sie setzt besondere, im wirksamen Ausmaß nicht gerade häufige Anlagen und Begabungen voraus. Auch diesen wenigen kann sie nicht vollkommenen Leidensschutz gewähren, sie schafft ihnen keinen für die Pfeile des Schicksals undurchdringlichen Panzer, und sie pflegt zu versagen, wenn der eigene Leib die Quelle des Leidens wird.</w:t>
      </w:r>
      <w:r w:rsidRPr="00941D22">
        <w:rPr>
          <w:rFonts w:ascii="Garamond" w:hAnsi="Garamond"/>
          <w:vertAlign w:val="superscript"/>
          <w:lang w:val="en-US"/>
        </w:rPr>
        <w:t>4)</w:t>
      </w:r>
    </w:p>
    <w:p w:rsidR="00941D22" w:rsidRPr="00941D22" w:rsidRDefault="00941D22" w:rsidP="00941D22">
      <w:pPr>
        <w:pStyle w:val="Sansinterligne"/>
        <w:rPr>
          <w:rFonts w:ascii="Garamond" w:hAnsi="Garamond"/>
          <w:lang w:val="en-US"/>
        </w:rPr>
      </w:pPr>
      <w:r w:rsidRPr="00941D22">
        <w:rPr>
          <w:rFonts w:ascii="Garamond" w:hAnsi="Garamond"/>
          <w:lang w:val="en-US"/>
        </w:rPr>
        <w:lastRenderedPageBreak/>
        <w:t>Wenn schon bei diesem Verfahren die Absicht deutlich wird, sich von der Außenwelt unabhängig zu machen, indem man seine Befriedigungen in inneren, psychischen Vorgängen sucht, so treten die gleichen Züge noch stärker bei dem nächsten hervor. Hier wird der Zusammenhang mit der Realität noch mehr gelockert, die Befriedigung wird aus Illusionen gewonnen, die man als solche erkennt, ohne sich durch deren Abweichung von der Wirklichkeit im Genuß stören zu lassen. Das Gebiet, aus dem diese Illusionen stammen, ist das des Phantasielebens; es wurde seinerzeit, als sich die Entwicklung des Realitätssinnes vollzog, ausdrücklich den Ansprüchen der Realitätsprüfung entzogen und blieb für die Erfüllung schwer durchsetzbarer Wünsche bestimmt. Obenan unter diesen Phantasiebefriedigungen steht der Genuß an Werken der Kunst, der auch dem nicht selbst Schöpferischen durch die Vermittlung des Künstlers zugänglich gemacht wird.</w:t>
      </w:r>
      <w:r w:rsidRPr="00941D22">
        <w:rPr>
          <w:rFonts w:ascii="Garamond" w:hAnsi="Garamond"/>
          <w:vertAlign w:val="superscript"/>
          <w:lang w:val="en-US"/>
        </w:rPr>
        <w:t>5)</w:t>
      </w:r>
      <w:r w:rsidRPr="00941D22">
        <w:rPr>
          <w:rFonts w:ascii="Garamond" w:hAnsi="Garamond"/>
          <w:lang w:val="en-US"/>
        </w:rPr>
        <w:t xml:space="preserve"> Wer für den Einfluß der Kunst empfänglich ist, weiß ihn als Lustquelle und Lebenströstung nicht hoch genug einzuschätzen. Doch vermag die milde Narkose, in die uns die Kunst versetzt, nicht mehr als eine flüchtige Entrückung aus den Nöten des Lebens herbeizuführen und ist nicht stark genug, um reales Elend vergessen zu machen.</w:t>
      </w:r>
    </w:p>
    <w:p w:rsidR="00941D22" w:rsidRPr="00941D22" w:rsidRDefault="00941D22" w:rsidP="00941D22">
      <w:pPr>
        <w:pStyle w:val="Sansinterligne"/>
        <w:rPr>
          <w:rFonts w:ascii="Garamond" w:hAnsi="Garamond"/>
          <w:lang w:val="en-US"/>
        </w:rPr>
      </w:pPr>
      <w:r w:rsidRPr="00941D22">
        <w:rPr>
          <w:rFonts w:ascii="Garamond" w:hAnsi="Garamond"/>
          <w:lang w:val="en-US"/>
        </w:rPr>
        <w:t>Energischer und gründlicher geht ein anderes Verfahren vor, das den einzigen Feind in der Realität erblickt, die die Quelle alles Leids ist, mit der sich nicht leben läßt, mit der man darum alle Beziehungen abbrechen muß, wenn man in irgendeinem Sinne glücklich sein will. Der Eremit kehrt dieser Welt den Rücken, er will nichts mit ihr zu schaffen haben. Aber man kann mehr tun, man kann sie umschafFen wollen, anstatt ihrer eine andere aufbauen, in der die unerträglichsten Züge ausgetilgt und durch andere im Sinne der eigenen Wünsche ersetzt sind. Wer in verzweifelter Empörung diesen Weg zum Glück einschlägt, wird in der Regel nichts erreichen; die Wirklichkeit ist zu stark für ihn. Er wird ein Wahnsinniger, der in der Durchsetzung seines Wahns meist keine Helfer findet. Es wird aber behauptet, daß jeder von uns sich in irgendeinem Punkte ähnlich wie der Paranoiker benimmt, eine ihm unleidliche Seite der Welt durch eine Wunschbildung korrigiert und diesen Wahn in die Realität einträgt. Eine besondere Bedeutung beansprucht der Fall, daß eine größere Anzahl von Menschen gemeinsam den Versuch unternimmt, sich Glücksversicherung und Leidensschutz durch wahnhafte Umbildung der Wirklichkeit zu schaffen. Als solchen Massenwahn müssen wir auch die Religionen der Menschheit kennzeichnen. Den Wahn erkennt natürlich niemals, wer ihn selbst noch teilt.</w:t>
      </w:r>
    </w:p>
    <w:p w:rsidR="00941D22" w:rsidRPr="00941D22" w:rsidRDefault="00941D22" w:rsidP="00941D22">
      <w:pPr>
        <w:pStyle w:val="Sansinterligne"/>
        <w:rPr>
          <w:rFonts w:ascii="Garamond" w:hAnsi="Garamond"/>
          <w:lang w:val="en-US"/>
        </w:rPr>
      </w:pPr>
      <w:r w:rsidRPr="00941D22">
        <w:rPr>
          <w:rFonts w:ascii="Garamond" w:hAnsi="Garamond"/>
          <w:lang w:val="en-US"/>
        </w:rPr>
        <w:t>Ich glaube nicht, daß diese Aufzählung der Methoden, wie die Menschen das Glück zu gewinnen und das Leiden fernzuhalten bemüht sind, vollständig ist, weiß auch, daß der Stoff andere Anordnungen zuläßt. Eines dieser Verfahren habe ich noch nicht angeführt; nicht daß ich daran vergessen hätte, sondern weil es uns noch in anderem Zusammenhange beschäftigen wird. Wie wäre es auch möglich, gerade an diese Technik der Lebenskunst zu vergessen! Sie zeichnet sich durch die merkwürdigste Vereinigung von charakteristischen Zügen aus. Sie strebt natürlich auch die Unabhängigkeit vom Schicksal — so nennen wir es am besten — an und verlegt in dieser Absicht die Befriedigung in innere seelische Vorgänge, bedient sich dabei der vorhin erwähnten Verschiebbarkeit der Libido, aber sie wendet sich nicht von der Außenwelt ab, klammert sich im Gegenteil an deren Objekte und gewinnt das Glück aus einer Gefühlsbeziehung zu ihnen. Sie gibt sich dabei auch nicht mit dem gleichsam müde resignierenden Ziel der Unlustvermeidung zufrieden, eher geht sie achtlos an diesem vorbei und hält am ursprünglichen, leiden</w:t>
      </w:r>
      <w:r w:rsidRPr="00941D22">
        <w:rPr>
          <w:rFonts w:ascii="Garamond" w:hAnsi="Garamond"/>
          <w:lang w:val="en-US"/>
        </w:rPr>
        <w:softHyphen/>
        <w:t>schaftlichen Streben nach positiver Glückserfüllung fest. Vielleicht kommt sie diesem Ziele wirklich näher als jede andere Methode. Ich meine natürlich jene Richtung des Lebens, welche die Liebe zum Mittelpunkt nimmt, alle Befriedigung aus dem Lieben und Geliebtwerden erwartet. Eine solche psychische Einstellung liegt uns allen nahe genug; eine der Erscheinungs</w:t>
      </w:r>
      <w:r w:rsidRPr="00941D22">
        <w:rPr>
          <w:rFonts w:ascii="Garamond" w:hAnsi="Garamond"/>
          <w:lang w:val="en-US"/>
        </w:rPr>
        <w:softHyphen/>
        <w:t>formen der Liebe, die geschlechtliche Liebe, hat uns die stärkste Erfahrung einer überwältigenden Lustempfindung vermittelt und so das Vorbild für unser Glücksstreben gegeben. Was ist natürlicher, als daß wir dabei beharren, das Glück auf demselben Wege zu suchen, auf dem wir es zuerst begegnet haben. Die schwache Seite dieser Lebenstechnik liegt klar zutage; sonst wäre es auch keinem Menschen eingefallen, diesen Weg zum Glück für einen anderen zu verlassen. Niemals sind wir ungeschützter gegen das Leiden, als wenn wir lieben, niemals hilfloser unglücklich, als wenn wir das geliebte Objekt oder seine Liebe verloren haben. Aber die auf den Glückswert der Liebe gegründete Lebenstechnik ist damit nicht erledigt, es ist viel mehr darüber zu sagen.</w:t>
      </w:r>
    </w:p>
    <w:p w:rsidR="00941D22" w:rsidRPr="00941D22" w:rsidRDefault="00941D22" w:rsidP="00941D22">
      <w:pPr>
        <w:pStyle w:val="Sansinterligne"/>
        <w:rPr>
          <w:rFonts w:ascii="Garamond" w:hAnsi="Garamond"/>
          <w:lang w:val="en-US"/>
        </w:rPr>
      </w:pPr>
      <w:r w:rsidRPr="00941D22">
        <w:rPr>
          <w:rFonts w:ascii="Garamond" w:hAnsi="Garamond"/>
          <w:lang w:val="en-US"/>
        </w:rPr>
        <w:t>Hier kann man den interessanten Fall anschließen, daß das Lebensglück vorwiegend im Genüsse der Schönheit gesucht wird, wo immer sie sich unseren Sinnen und unserem Urteil zeigt, der Schönheit menschlicher Formen und Gesten, von Naturobjekten und Landschaften, künstlerischen und selbst wissenschaftlichen Schöpfungen. Diese ästhetische Einstellung zum Lebens</w:t>
      </w:r>
      <w:r w:rsidRPr="00941D22">
        <w:rPr>
          <w:rFonts w:ascii="Garamond" w:hAnsi="Garamond"/>
          <w:lang w:val="en-US"/>
        </w:rPr>
        <w:softHyphen/>
        <w:t xml:space="preserve">ziel bietet wenig Schutz gegen drohende Leiden, vermag aber für vieles zu entschädigen. Der Genuß an der Schönheit hat einen besonderen, milde berauschenden Empfindungscharakter. Ein Nutzen der Schönheit liegt nicht klar zutage, ihre kulturelle Notwendigkeit ist nicht einzusehen, und doch könnte man sie in der Kultur nicht </w:t>
      </w:r>
      <w:r w:rsidRPr="00941D22">
        <w:rPr>
          <w:rFonts w:ascii="Garamond" w:hAnsi="Garamond"/>
          <w:lang w:val="en-US"/>
        </w:rPr>
        <w:lastRenderedPageBreak/>
        <w:t>vermissen. Die Wissenschaft der Ästhetik untersucht die Bedingungen, unter denen das Schöne empfunden wird; über Natur und Herkunft der Schönheit hat sie keine Aufklärung geben können; wie gebräuchlich, wird die Ergebnislosigkeit durch einen Aufwand an voll</w:t>
      </w:r>
      <w:r w:rsidRPr="00941D22">
        <w:rPr>
          <w:rFonts w:ascii="Garamond" w:hAnsi="Garamond"/>
          <w:lang w:val="en-US"/>
        </w:rPr>
        <w:softHyphen/>
        <w:t>tönenden, inhaltsarmen Worten verhüllt. Leider weiß auch die Psychoanalyse über die Schönheit am wenigsten zu sagen. Einzig die Ableitung aus dem Gebiet des Sexualempfindens scheint gesichert; es wäre ein vorbildliches Beispiel einer zielgehemmten Regung. Die »Schönheit« und der »Reiz« sind ursprünglich Eigenschaften des Sexualobjekts. Es ist bemerkenswert, daß die Genitalien selbst, deren Anblick immer erregend wirkt, doch fast nie als schön beurteilt werden, dagegen scheint der Charakter der Schönheit an gewissen sekundären Geschlechtsmerkmalen zu haften.</w:t>
      </w:r>
    </w:p>
    <w:p w:rsidR="00941D22" w:rsidRPr="00941D22" w:rsidRDefault="00941D22" w:rsidP="00941D22">
      <w:pPr>
        <w:pStyle w:val="Sansinterligne"/>
        <w:rPr>
          <w:rFonts w:ascii="Garamond" w:hAnsi="Garamond"/>
          <w:lang w:val="en-US"/>
        </w:rPr>
      </w:pPr>
      <w:r w:rsidRPr="00941D22">
        <w:rPr>
          <w:rFonts w:ascii="Garamond" w:hAnsi="Garamond"/>
          <w:lang w:val="en-US"/>
        </w:rPr>
        <w:t>Trotz dieser Unvollständigkeit getraue ich mich bereits einiger unsere Untersuchung abschließenden Bemerkungen. Das Programm, welches uns das Lustprinzip aufdrängt, glücklich zu werden, ist nicht zu erfüllen, doch darf man — nein, kann man — die Bemühungen, es irgendwie der Erfüllung näherzubringen, nicht aufgeben. Man kann sehr verschiedene Wege dahin einschlagen, entweder den positiven Inhalt des Ziels, den Lustgewinn, oder den negativen, die Unlustvermeidung, voranstellen. Auf keinem dieser Wege können wir alles, was wir begehren, erreichen. Das Glück in jenem ermäßigten Sinn, in dem es als möglich erkannt wird, ist ein Problem der individuellen Libidoökonomie. Es gibt hier keinen Rat, der für alle taugt; ein jeder muß selbst versuchen, auf welche besondere Fasson er selig werden kann. Die mannigfachsten Faktoren werden sich geltend machen, um seiner Wahl die Wege zu weisen. Es kommt darauf an, wieviel reale Befriedigung er von der Außenwelt zu erwarten hat und inwieweit er veranlaßt ist, sich von ihr unabhängig zu machen; zuletzt auch, wieviel Kraft er sich zutraut, diese nach seinen Wünschen abzuändern. Schon dabei wird außer den äußeren Verhältnissen die psychische Konstitution des Individuums entscheidend werden. Der vorwiegend erotische Mensch wird die Gefühlsbeziehungen zu anderen Personen voranstellen, der eher selbstgenügsame Narzißtische die wesentlichen Befriedigungen in seinen inneren seelischen Vorgängen suchen, der Tatenmensch von der Außenwelt nicht ablassen, an der er seine Kraft erproben kann. Für den mittleren dieser Typen wird die Art seiner Begabung und das Ausmaß der ihm möglichen Triebsublimierung dafür bestimmend werden, wohin er seine Interessen verlegen soll. Jede extreme Entscheidung wird sich dadurch strafen, daß sie das Individuum den Gefahren aussetzt, die die Unzulänglichkeit der ausschließend gewählten Lebenstechnik mit sich bringt. Wie der vorsichtige Kaufmann es vermeidet, sein ganzes Kapital an einer Stelle festzulegen, so wird vielleicht auch die Lebensweisheit raten, nicht alle Befriedigung von einer einzigen Strebung zu erwarten. Der Erfolg ist niemals sicher, er hängt vom Zusammentreffen vieler Momente ab, von keinem vielleicht mehr als von der Fähigkeit der psychi</w:t>
      </w:r>
      <w:r w:rsidRPr="00941D22">
        <w:rPr>
          <w:rFonts w:ascii="Garamond" w:hAnsi="Garamond"/>
          <w:lang w:val="en-US"/>
        </w:rPr>
        <w:softHyphen/>
        <w:t>schen Konstitution, ihre Funktion der Umwelt anzupassen und diese für Lustgewinn auszunützen. Wer eine besonders ungünstige Triebkonstitution mitgebracht und die zur späteren Leistung unerläßliche Umbildung und Neuordnung seiner Libidokomponenten nicht regelrecht durchgemacht hat, wird es schwer haben, aus seiner äußeren Situation Glück zu gewinnen, zumal wenn er vor schwierigere Aufgaben gestellt wird. Als letzte Lebens</w:t>
      </w:r>
      <w:r w:rsidRPr="00941D22">
        <w:rPr>
          <w:rFonts w:ascii="Garamond" w:hAnsi="Garamond"/>
          <w:lang w:val="en-US"/>
        </w:rPr>
        <w:softHyphen/>
        <w:t>technik, die ihm wenigstens Ersatzbefriedigungen verspricht, bietet sich ihm die Flucht in die neurotische Krankheit, die er meist schon in jungen Jahren vollzieht. Wer dann in späterer Lebenszeit seine Bemühungen um das Glück vereitelt sieht, findet noch Trost im Lustgewinn der chronischen Intoxikation, oder er unternimmt den verzweifelten Auflehnungsversuch der Psychose.</w:t>
      </w:r>
      <w:r w:rsidRPr="00941D22">
        <w:rPr>
          <w:rFonts w:ascii="Garamond" w:hAnsi="Garamond"/>
          <w:vertAlign w:val="superscript"/>
          <w:lang w:val="en-US"/>
        </w:rPr>
        <w:t>6)</w:t>
      </w:r>
    </w:p>
    <w:p w:rsidR="00941D22" w:rsidRPr="00941D22" w:rsidRDefault="00941D22" w:rsidP="00941D22">
      <w:pPr>
        <w:pStyle w:val="Sansinterligne"/>
        <w:rPr>
          <w:rFonts w:ascii="Garamond" w:hAnsi="Garamond"/>
          <w:lang w:val="en-US"/>
        </w:rPr>
      </w:pPr>
      <w:r w:rsidRPr="00941D22">
        <w:rPr>
          <w:rFonts w:ascii="Garamond" w:hAnsi="Garamond"/>
          <w:lang w:val="en-US"/>
        </w:rPr>
        <w:t>Die Religion beeinträchtigt dieses Spiel der Auswahl und Anpassung, indem sie ihren Weg zum Glückserwerb und Leidensschutz allen in gleicher Weise aufdrängt. Ihre Technik besteht darin, den Wert des Lebens herabzudrücken und das Bild der realen Welt wahnhaft zu entstellen, was die Einschüchterung der Intelligenz zur Voraussetzung hat. Um diesen Preis, durch gewaltsame Fixierung eines psychischen Infantilismus und Einbe</w:t>
      </w:r>
      <w:r w:rsidRPr="00941D22">
        <w:rPr>
          <w:rFonts w:ascii="Garamond" w:hAnsi="Garamond"/>
          <w:lang w:val="en-US"/>
        </w:rPr>
        <w:softHyphen/>
        <w:t>ziehung in einen Massenwahn gelingt es der Religion, vielen Menschen die individuelle Neurose zu ersparen. Aber kaum mehr; es gibt, wie wir gesagt haben, viele Wege, die zu dem Glück führen können, wie es dem Menschen erreichbar ist, keinen, der sicher dahin leitet. Auch die Religion kann ihr Versprechen nicht halten. Wenn der Gläubige sich endlich genötigt findet, von Gottes »unerforschlichem Ratschluß« zu reden, so gesteht er damit ein, daß ihm als letzte Trostmöglichkeit und Lustquelle im Leiden nur die bedingungslose Unterwerfung übriggeblieben ist. Und wenn er zu dieser bereit ist, hätte er sich wahrscheinlich den Umweg ersparen können.</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t>____________________</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4)</w:t>
      </w:r>
      <w:r w:rsidRPr="00941D22">
        <w:rPr>
          <w:rFonts w:ascii="Garamond" w:hAnsi="Garamond"/>
          <w:lang w:val="en-US"/>
        </w:rPr>
        <w:t xml:space="preserve"> Wenn nicht besondere Veranlagung den Lebensinteressen gebieterisch die Richtung vorschreibt, kann die gemeine, jedermann zugängliche Berufsarbeit an die Stelle rücken, die ihr von dem weisen Ratschlag Voltaires angewiesen wird. Es ist nicht möglich, die Bedeutung der Arbeit für die Libidoökonomie im </w:t>
      </w:r>
      <w:r w:rsidRPr="00941D22">
        <w:rPr>
          <w:rFonts w:ascii="Garamond" w:hAnsi="Garamond"/>
          <w:lang w:val="en-US"/>
        </w:rPr>
        <w:lastRenderedPageBreak/>
        <w:t>Rahmen einer knappen Übersicht ausreichend zu würdigen. Keine andere Technik der Lebens</w:t>
      </w:r>
      <w:r w:rsidRPr="00941D22">
        <w:rPr>
          <w:rFonts w:ascii="Garamond" w:hAnsi="Garamond"/>
          <w:lang w:val="en-US"/>
        </w:rPr>
        <w:softHyphen/>
        <w:t>führung bindet den Einzelnen so fest an die Realität als die Betonung der Arbeit, die ihn wenigstens in ein Stück der Realität, in die menschliche Gemeinschaft sicher einfügt. Die Möglichkeit, ein starkes Ausmaß libidinöser Komponenten, narzißtische, aggressive und selbst erotische, auf die Berufsarbeit und auf die mit ihr verknüpften menschlichen Beziehungen zu verschieben, leiht ihr einen Wert, der hinter ihrer Unerläßlichkeit zur Behauptung und Rechtfertigung der Existenz in der Gesellschaft nicht zurücksteht. Besondere Befriedigung vermittelt die Berufstätigkeit, wenn sie eine frei gewählte ist, also bestehende Neigungen, fortgeführte oder konstitutionell verstärkte Triebregungen durch Sublimie-rung nutzbar zu machen gestattet. Und dennoch wird Arbeit als Weg zum Glück von den Menschen wenig geschätzt. Man drängt sich nicht zu ihr wie zu anderen Möglichkeiten der Befriedigung. Die große Mehrzahl der Menschen arbeitet nur notgedrungen, und aus dieser natürlichen Arbeitsscheu der Menschen leiten sich die schwierigsten sozialen Probleme ab.</w:t>
      </w:r>
    </w:p>
    <w:p w:rsidR="00941D22" w:rsidRPr="00A06A59" w:rsidRDefault="00941D22" w:rsidP="00941D22">
      <w:pPr>
        <w:pStyle w:val="Sansinterligne"/>
        <w:rPr>
          <w:rFonts w:ascii="Garamond" w:hAnsi="Garamond"/>
          <w:lang w:val="en-US"/>
        </w:rPr>
      </w:pPr>
      <w:r w:rsidRPr="00A06A59">
        <w:rPr>
          <w:rFonts w:ascii="Garamond" w:hAnsi="Garamond"/>
          <w:vertAlign w:val="superscript"/>
          <w:lang w:val="en-US"/>
        </w:rPr>
        <w:t>5)</w:t>
      </w:r>
      <w:r w:rsidRPr="00A06A59">
        <w:rPr>
          <w:rFonts w:ascii="Garamond" w:hAnsi="Garamond"/>
          <w:lang w:val="en-US"/>
        </w:rPr>
        <w:t xml:space="preserve"> Vgl. Formulierungen über die zwei Prinzipien des psychischen Ge</w:t>
      </w:r>
      <w:r w:rsidRPr="00A06A59">
        <w:rPr>
          <w:rFonts w:ascii="Garamond" w:hAnsi="Garamond"/>
          <w:lang w:val="en-US"/>
        </w:rPr>
        <w:softHyphen/>
        <w:t xml:space="preserve">schehens‹ (1911 </w:t>
      </w:r>
      <w:r w:rsidRPr="00A06A59">
        <w:rPr>
          <w:rFonts w:ascii="Garamond" w:hAnsi="Garamond"/>
          <w:i/>
          <w:iCs/>
          <w:lang w:val="en-US"/>
        </w:rPr>
        <w:t>b),</w:t>
      </w:r>
      <w:r w:rsidRPr="00A06A59">
        <w:rPr>
          <w:rFonts w:ascii="Garamond" w:hAnsi="Garamond"/>
          <w:lang w:val="en-US"/>
        </w:rPr>
        <w:t xml:space="preserve"> und </w:t>
      </w:r>
      <w:r w:rsidRPr="00A06A59">
        <w:rPr>
          <w:rFonts w:ascii="Garamond" w:hAnsi="Garamond"/>
          <w:i/>
          <w:iCs/>
          <w:lang w:val="en-US"/>
        </w:rPr>
        <w:t>Vorlesungen zur Einführung in die Psychoanalyse</w:t>
      </w:r>
      <w:r w:rsidRPr="00A06A59">
        <w:rPr>
          <w:rFonts w:ascii="Garamond" w:hAnsi="Garamond"/>
          <w:lang w:val="en-US"/>
        </w:rPr>
        <w:t xml:space="preserve"> (1916-17), XXIII.</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6)</w:t>
      </w:r>
      <w:r w:rsidRPr="00941D22">
        <w:rPr>
          <w:rFonts w:ascii="Garamond" w:hAnsi="Garamond"/>
          <w:lang w:val="en-US"/>
        </w:rPr>
        <w:t xml:space="preserve"> Es drängt mich, wenigstens auf eine der Lücken hinzuweisen, die in obiger Darstellung geblieben sind. Eine Betrachtung der menschlichen Glücksmöglichkeiten sollte es nicht unterlassen, das relative Verhältnis des Narzißmus zur Objektlibido in Rechnung zu bringen. Man verlangt zu wissen, was es für die Libidoökonomie bedeutet, im wesentlichen auf sich selbst gestellt zu sein. —</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III. </w:t>
      </w:r>
      <w:r w:rsidRPr="00941D22">
        <w:rPr>
          <w:rFonts w:ascii="Garamond" w:hAnsi="Garamond"/>
          <w:lang w:val="en-US"/>
        </w:rPr>
        <w:br/>
        <w:t>[Gründe für das Unbehagen in der Kultur]</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Unsere Untersuchung über das Glück hat uns bisher nicht viel gelehrt, was nicht allgemein bekannt ist. Auch wenn wir sie mit der Frage fortsetzen, warum es für die Menschen so schwer ist, glücklich zu werden, scheint die Aussicht, Neues zu erfahren, nicht viel größer. Wir haben die Antwort bereits gegeben, indem wir auf die drei Quellen hinwiesen, aus denen unser Leiden kommt: die Übermacht der Natur, die Hinfälligkeit unseres eigenen Körpers und die Unzulänglichkeit der Einrichtungen, welche die Beziehungen der Menschen zueinander in Familie, Staat und Gesellschaft regeln. In betreff der beiden ersten kann unser Urteil nicht lange schwanken; es zwingt uns zur Anerkennung dieser Leidensquellen und zur Ergebung ins Unvermeid</w:t>
      </w:r>
      <w:r w:rsidRPr="00941D22">
        <w:rPr>
          <w:rFonts w:ascii="Garamond" w:hAnsi="Garamond"/>
          <w:lang w:val="en-US"/>
        </w:rPr>
        <w:softHyphen/>
        <w:t>liche. Wir werden die Natur nie vollkommen beherrschen, unser Organismus, selbst ein Stück dieser Natur, wird immer ein vergängliches, in Anpassung und Leistung beschränktes Gebilde bleiben. Von dieser Erkenntnis geht keine lähmende Wirkung aus; im Gegenteil, sie weist unserer Tätigkeit die Richtung. Können wir nicht alles Leiden aufheben, so doch manches, und anderes lindern, mehrtausendjährige Erfahrung hat uns davon überzeugt. Anders verhalten wir uns zur dritten, zur sozialen Leidensquelle. Diese wollen wir überhaupt nicht gelten lassen, können nicht einsehen, warum die von uns selbst geschaffenen Einrichtungen nicht vielmehr Schutz und Wohltat für uns alle sein sollten. Allerdings, wenn wir bedenken, wie schlecht uns gerade dieses Stück der Leidverhütung gelungen ist, erwacht der Verdacht, es könnte auch hier ein Stück der unbesiegbaren Natur dahinterstecken, diesmal unserer eigenen psychischen Beschaffenheit.</w:t>
      </w:r>
    </w:p>
    <w:p w:rsidR="00941D22" w:rsidRPr="00941D22" w:rsidRDefault="00941D22" w:rsidP="00941D22">
      <w:pPr>
        <w:pStyle w:val="Sansinterligne"/>
        <w:rPr>
          <w:rFonts w:ascii="Garamond" w:hAnsi="Garamond"/>
          <w:lang w:val="en-US"/>
        </w:rPr>
      </w:pPr>
      <w:r w:rsidRPr="00941D22">
        <w:rPr>
          <w:rFonts w:ascii="Garamond" w:hAnsi="Garamond"/>
          <w:lang w:val="en-US"/>
        </w:rPr>
        <w:t>Auf dem Wege, uns mit dieser Möglichkeit zu beschäftigen, treffen wir auf eine Behauptung, die so erstaunlich ist, daß wir bei ihr verweilen wollen. Sie lautet, einen großen Teil der Schuld an unserem Elend trage unsere sogenannte Kultur; wir wären viel glücklicher, wenn wir sie aufgeben und in primitive Verhältnisse zurückfinden würden. Ich heiße sie erstaunlich, weil — wie immer man den Begriff Kultur bestimmen mag — es doch feststeht, daß alles, womit wir uns gegen die Bedrohung aus den Quellen des Leidens zu schützen versuchen, eben der nämlichen Kultur zugehört.</w:t>
      </w:r>
    </w:p>
    <w:p w:rsidR="00941D22" w:rsidRPr="00941D22" w:rsidRDefault="00941D22" w:rsidP="00941D22">
      <w:pPr>
        <w:pStyle w:val="Sansinterligne"/>
        <w:rPr>
          <w:rFonts w:ascii="Garamond" w:hAnsi="Garamond"/>
          <w:lang w:val="en-US"/>
        </w:rPr>
      </w:pPr>
      <w:r w:rsidRPr="00941D22">
        <w:rPr>
          <w:rFonts w:ascii="Garamond" w:hAnsi="Garamond"/>
          <w:lang w:val="en-US"/>
        </w:rPr>
        <w:t>Auf welchem Weg sind wohl so viele Menschen zu diesem Standpunkt befremdlicher Kulturfeindlichkeit gekommen?</w:t>
      </w:r>
      <w:r w:rsidRPr="00941D22">
        <w:rPr>
          <w:rFonts w:ascii="Garamond" w:hAnsi="Garamond"/>
          <w:i/>
          <w:iCs/>
          <w:lang w:val="en-US"/>
        </w:rPr>
        <w:t xml:space="preserve"> </w:t>
      </w:r>
      <w:r w:rsidRPr="00941D22">
        <w:rPr>
          <w:rFonts w:ascii="Garamond" w:hAnsi="Garamond"/>
          <w:lang w:val="en-US"/>
        </w:rPr>
        <w:t>Ich meine, eine tiefe, lang bestehende Unzufriedenheit mit dem jeweiligen Kulturzustand stellte den Boden her, auf dem sich dann bei bestimmten historischen Anlässen eine Verurteilung erhob. Den letzten und den vorletzten dieser Anlässe glaube ich zu erkennen; ich bin nicht gelehrt genug, um die Kette derselben weit genug in die Geschichte der menschlichen Art zurückzuverfolgen. Schon beim Sieg des Christentums über die heidnischen Religionen muß ein solcher kultur</w:t>
      </w:r>
      <w:r w:rsidRPr="00941D22">
        <w:rPr>
          <w:rFonts w:ascii="Garamond" w:hAnsi="Garamond"/>
          <w:lang w:val="en-US"/>
        </w:rPr>
        <w:softHyphen/>
        <w:t>feindlicher Faktor beteiligt gewesen sein. Der durch die christliche Lehre vollzogenen Entwertung des irdischen Lebens stand er ja sehr nahe. Die vorletzte Veranlassung ergab sich, als man im Fortschritt der Entdeckungs</w:t>
      </w:r>
      <w:r w:rsidRPr="00941D22">
        <w:rPr>
          <w:rFonts w:ascii="Garamond" w:hAnsi="Garamond"/>
          <w:lang w:val="en-US"/>
        </w:rPr>
        <w:softHyphen/>
        <w:t>reisen in Berührung mit primitiven Völkern und Stämmen kam. Bei ungenü</w:t>
      </w:r>
      <w:r w:rsidRPr="00941D22">
        <w:rPr>
          <w:rFonts w:ascii="Garamond" w:hAnsi="Garamond"/>
          <w:lang w:val="en-US"/>
        </w:rPr>
        <w:softHyphen/>
        <w:t xml:space="preserve">gender Beobachtung und mißverständlicher Auffassung ihrer Sitten und Gebräuche schienen sie den Europäern ein einfaches, bedürfnisarmes, glückliches Leben zu führen, wie es den kulturell überlegenen Besuchern unerreichbar war. Die spätere Erfahrung hat manches Urteil dieser Art berichtigt; in vielen Fällen hatte man irrtümlich </w:t>
      </w:r>
      <w:r w:rsidRPr="00941D22">
        <w:rPr>
          <w:rFonts w:ascii="Garamond" w:hAnsi="Garamond"/>
          <w:lang w:val="en-US"/>
        </w:rPr>
        <w:lastRenderedPageBreak/>
        <w:t>ein Maß von Lebenserleich</w:t>
      </w:r>
      <w:r w:rsidRPr="00941D22">
        <w:rPr>
          <w:rFonts w:ascii="Garamond" w:hAnsi="Garamond"/>
          <w:lang w:val="en-US"/>
        </w:rPr>
        <w:softHyphen/>
        <w:t>terung, das der Großmut der Natur und der Bequemlichkeit in der Befriedigung der großen Bedürfnisse zu danken war, der Abwesenheit von verwickelten kulturellen Anforderungen zugeschrieben. Die letzte Veran</w:t>
      </w:r>
      <w:r w:rsidRPr="00941D22">
        <w:rPr>
          <w:rFonts w:ascii="Garamond" w:hAnsi="Garamond"/>
          <w:lang w:val="en-US"/>
        </w:rPr>
        <w:softHyphen/>
        <w:t>lassung ist uns besonders vertraut; sie trat auf, als man den Mechanismus der Neurosen kennenlernte, die das bißchen Glück des Kulturmenschen zu untergraben drohen. Man fand, daß der Mensch neurotisch wird, weil er das Maß von Versagung nicht ertragen kann, das ihm die Gesellschaft im Dienste ihrer kulturellen Ideale auferlegt, und man schloß daraus, daß es eine Rückkehr zu Glücksmöglichkeiten bedeutete, wenn diese Anforderungen aufgehoben oder sehr herabgesetzt würden.</w:t>
      </w:r>
    </w:p>
    <w:p w:rsidR="00941D22" w:rsidRPr="00941D22" w:rsidRDefault="00941D22" w:rsidP="00941D22">
      <w:pPr>
        <w:pStyle w:val="Sansinterligne"/>
        <w:rPr>
          <w:rFonts w:ascii="Garamond" w:hAnsi="Garamond"/>
          <w:lang w:val="en-US"/>
        </w:rPr>
      </w:pPr>
      <w:r w:rsidRPr="00941D22">
        <w:rPr>
          <w:rFonts w:ascii="Garamond" w:hAnsi="Garamond"/>
          <w:lang w:val="en-US"/>
        </w:rPr>
        <w:t>Es kommt noch ein Moment der Enttäuschung dazu. In den letzten Generationen haben die Menschen außerordentliche Fortschritte in den Naturwissenschaften und in ihrer technischen Anwendung gemacht, ihre Herrschaft über die Natur in einer früher unvorstellbaren Weise befestigt. Die Einzelheiten dieser Fortschritte sind allgemein bekannt, es erübrigt sich, sie aufzuzählen. Die Menschen sind stolz auf diese Errungenschaften und haben ein Recht dazu. Aber sie glauben bemerkt zu haben, daß diese neu gewon</w:t>
      </w:r>
      <w:r w:rsidRPr="00941D22">
        <w:rPr>
          <w:rFonts w:ascii="Garamond" w:hAnsi="Garamond"/>
          <w:lang w:val="en-US"/>
        </w:rPr>
        <w:softHyphen/>
        <w:t>nene Verfügung über Raum und Zeit, diese Unterwerfung der Naturkräfte, die Erfüllung jahrtausendealter Sehnsucht, das Maß von Lustbefriedigung, das sie vom Leben erwarten, nicht erhöht, sie nach ihren Empfindungen nicht glücklicher gemacht hat. Man sollte sich begnügen, aus dieser Feststellung den Schluß zu ziehen, die Macht über die Natur sei nicht die einzige Bedingung des Menschenglücks, wie sie ja auch nicht das einzige Ziel der Kulturbestrebungen ist, und nicht die Wertlosigkeit der technischen Fort</w:t>
      </w:r>
      <w:r w:rsidRPr="00941D22">
        <w:rPr>
          <w:rFonts w:ascii="Garamond" w:hAnsi="Garamond"/>
          <w:lang w:val="en-US"/>
        </w:rPr>
        <w:softHyphen/>
        <w:t>schritte für unsere Glücksökonomie daraus ableiten. Man möchte einwenden, ist es denn nicht ein positiver Lustgewinn, ein unzweideutiger Zuwachs an Glücksgefühl, wenn ich beliebig oft die Stimme des Kindes hören kann, das Hunderte von Kilometern entfernt von mir lebt, wenn ich die kürzeste Zeit nach der Landung des Freundes erfahren kann, daß er die lange, beschwer</w:t>
      </w:r>
      <w:r w:rsidRPr="00941D22">
        <w:rPr>
          <w:rFonts w:ascii="Garamond" w:hAnsi="Garamond"/>
          <w:lang w:val="en-US"/>
        </w:rPr>
        <w:softHyphen/>
        <w:t>liche Reise gut bestanden hat? Bedeutet es nichts, daß es der Medizin gelungen ist, die Sterblichkeit der kleinen Kinder, die Infektionsgefahr der gebärenden Frauen so außerordentlich herabzusetzen, ja die mittlere Lebensdauer des Kulturmenschen um eine beträchtliche Anzahl von Jahren zu verlängern? Und solcher Wohltaten, die wir dem vielgeschmähten Zeitalter der wissenschaftlichen und technischen Fortschritte verdanken, können wir noch eine große Reihe anführen; — aber da läßt sich die Stimme der pessi</w:t>
      </w:r>
      <w:r w:rsidRPr="00941D22">
        <w:rPr>
          <w:rFonts w:ascii="Garamond" w:hAnsi="Garamond"/>
          <w:lang w:val="en-US"/>
        </w:rPr>
        <w:softHyphen/>
        <w:t>mistischen Kritik vernehmen und mahnt, die meisten dieser Befriedigungen folgten dem Muster jenes »billigen Vergnügens«, das in einer gewissen Anekdote angepriesen wird. Man verschafft sich diesen Genuß, indem man in kalter Winternacht ein Bein nackt aus der Decke herausstreckt und es dann wieder einzieht. Gäbe es keine Eisenbahn, die die Entfernungen überwindet, so hätte das Kind die Vaterstadt nie verlassen, man brauchte kein Telephon, um seine Stimme zu hören. Wäre nicht die Schiffahrt über den Ozean eingerichtet, so hätte der Freund nicht die Seereise unternommen, ich brauchte den Telegraphen nicht, um meine Sorge um ihn zu beschwichtigen. Was nützt uns die Einschränkung der Kindersterblichkeit, wenn gerade sie uns die äußerste Zurückhaltung in der Kinderzeugung aufnötigt, so daß wir im ganzen doch nicht mehr Kinder aufziehen als in den Zeiten vor der Herrschaft der Hygiene, dabei aber unser Sexualleben in der Ehe unter schwierige Bedingungen gebracht und wahrscheinlich der wohltätigen, natürlichen Auslese entgegengearbeitet haben? Und was soll uns endlich ein langes Leben, wenn es beschwerlich, arm an Freuden und so leidvoll ist, daß wir den Tod nur als Erlöser bewillkommnen können?</w:t>
      </w:r>
    </w:p>
    <w:p w:rsidR="00941D22" w:rsidRPr="00941D22" w:rsidRDefault="00941D22" w:rsidP="00941D22">
      <w:pPr>
        <w:pStyle w:val="Sansinterligne"/>
        <w:rPr>
          <w:rFonts w:ascii="Garamond" w:hAnsi="Garamond"/>
          <w:lang w:val="en-US"/>
        </w:rPr>
      </w:pPr>
      <w:r w:rsidRPr="00A06A59">
        <w:rPr>
          <w:rFonts w:ascii="Garamond" w:hAnsi="Garamond"/>
          <w:lang w:val="en-US"/>
        </w:rPr>
        <w:t>Es scheint festzustehen, daß wir uns in unserer heutigen Kultur nicht wohl fühlen, aber es ist sehr schwer, sich ein Urteil darüber zu bilden, ob und inwieweit die Menschen früherer Zeiten sich glücklicher gefühlt haben und welchen Anteil ihre Kulturbedingungen daran hatten. Wir werden immer die Neigung haben, das Elend objektiv zu erfassen, d. h. uns mit unseren Ansprüchen und Empfänglichkeiten in jene Bedingungen zu versetzen, um dann zu prüfen, welche Anlässe zu Glücks- und Unglücksempfindungen wir in ihnen fänden. Diese Art der Betrachtung, die objektiv erscheint, weil sie von den Variationen der subjektiven Empfindlichkeit absieht, ist natürlich die subjektivste, die möglich ist, indem sie an die Stelle aller anderen unbe</w:t>
      </w:r>
      <w:r w:rsidRPr="00A06A59">
        <w:rPr>
          <w:rFonts w:ascii="Garamond" w:hAnsi="Garamond"/>
          <w:lang w:val="en-US"/>
        </w:rPr>
        <w:softHyphen/>
        <w:t>kannten seelischen Verfassungen die eigene einsetzt. Das Glück ist aber etwas durchaus Subjektives. Wir mögen noch so sehr vor gewissen Situationen zurückschrecken, der des antiken Galeerensklaven, des Bauern im 30jährigen Krieg, des Opfers der heiligen Inquisition, des Juden, der den Pogrom erwartet, es ist uns doch unmöglich, uns in diese Personen einzufühlen, die Veränderungen zu erraten, die ursprüngliche Stumpfheit, allmähliche Abstumpfung, Einstellung der Erwartungen, gröbere und feinere Weisen der Narkotisierung in der Empfänglichkeit für Lust- und Unlust</w:t>
      </w:r>
      <w:r w:rsidRPr="00A06A59">
        <w:rPr>
          <w:rFonts w:ascii="Garamond" w:hAnsi="Garamond"/>
          <w:lang w:val="en-US"/>
        </w:rPr>
        <w:softHyphen/>
        <w:t xml:space="preserve">empfindungen herbeigeführt haben. </w:t>
      </w:r>
      <w:r w:rsidRPr="00941D22">
        <w:rPr>
          <w:rFonts w:ascii="Garamond" w:hAnsi="Garamond"/>
          <w:lang w:val="en-US"/>
        </w:rPr>
        <w:t>Im Falle äußerster Leidmöglichkeit werden auch bestimmte seelische Schutzvorrichtungen in Tätigkeit versetzt. Es scheint mir unfruchtbar, diese Seite des Problems weiter zu verfolgen.</w:t>
      </w:r>
    </w:p>
    <w:p w:rsidR="00941D22" w:rsidRPr="00941D22" w:rsidRDefault="00941D22" w:rsidP="00941D22">
      <w:pPr>
        <w:pStyle w:val="Sansinterligne"/>
        <w:rPr>
          <w:rFonts w:ascii="Garamond" w:hAnsi="Garamond"/>
          <w:lang w:val="en-US"/>
        </w:rPr>
      </w:pPr>
      <w:r w:rsidRPr="00941D22">
        <w:rPr>
          <w:rFonts w:ascii="Garamond" w:hAnsi="Garamond"/>
          <w:lang w:val="en-US"/>
        </w:rPr>
        <w:lastRenderedPageBreak/>
        <w:t>[III.: Das Wesen der Kultur]</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Es ist Zeit, daß wir uns um das Wesen dieser Kultur kümmern, deren Glückswert in Zweifel gezogen wird. Wir werden keine Formel fordern, die dieses Wesen in wenigen Worten ausdrückt, noch ehe wir etwas aus der Untersuchung erfahren haben. Es genügt uns also zu wiederholen, daß das Wort »Kultur« die ganze Summe der Leistungen und Einrichtungen bezeich</w:t>
      </w:r>
      <w:r w:rsidRPr="00941D22">
        <w:rPr>
          <w:rFonts w:ascii="Garamond" w:hAnsi="Garamond"/>
          <w:lang w:val="en-US"/>
        </w:rPr>
        <w:softHyphen/>
        <w:t>net, in denen sich unser Leben von dem unserer tierischen Ahnen entfernt und die zwei Zwecken dienen: dem Schutz des Menschen gegen die Natur und der Regelung der Beziehungen der Menschen untereinander. Um mehr zu verstehen, werden wir die Züge der Kultur im einzelnen zusammen</w:t>
      </w:r>
      <w:r w:rsidRPr="00941D22">
        <w:rPr>
          <w:rFonts w:ascii="Garamond" w:hAnsi="Garamond"/>
          <w:lang w:val="en-US"/>
        </w:rPr>
        <w:softHyphen/>
        <w:t>suchen, wie sie sich in menschlichen Gemeinschaften zeigen. Wir lassen uns dabei ohne Bedenken vom Sprachgebrauch, oder wie man auch sagt: Sprachgefühl, leiten im Vertrauen darauf, daß wir so inneren Einsichten gerecht werden, die sich dem Ausdruck in abstrakten Worten noch widersetzen.</w:t>
      </w:r>
    </w:p>
    <w:p w:rsidR="00941D22" w:rsidRPr="00941D22" w:rsidRDefault="00941D22" w:rsidP="00941D22">
      <w:pPr>
        <w:pStyle w:val="Sansinterligne"/>
        <w:rPr>
          <w:rFonts w:ascii="Garamond" w:hAnsi="Garamond"/>
          <w:lang w:val="en-US"/>
        </w:rPr>
      </w:pPr>
      <w:r w:rsidRPr="00941D22">
        <w:rPr>
          <w:rFonts w:ascii="Garamond" w:hAnsi="Garamond"/>
          <w:lang w:val="en-US"/>
        </w:rPr>
        <w:t>Der Eingang ist leicht: Als kulturell anerkennen wir alle Tätigkeiten und Werte, die dem Menschen nützen, indem sie ihm die Erde dienstbar machen, ihn gegen die Gewalt der Naturkräfte schützen u. dgl. Über diese Seite des Kulturellen besteht ja am wenigsten Zweifel. Um weit genug zurückzugehen, die ersten kulturellen Taten waren der Gebrauch von Werkzeugen, die Zähmung des Feuers, der Bau von Wohnstätten. Unter ihnen ragt die Zähmung des Feuers als eine ganz außerordentliche, vorbildlose Leistung hervor,</w:t>
      </w:r>
      <w:r w:rsidRPr="00941D22">
        <w:rPr>
          <w:rFonts w:ascii="Garamond" w:hAnsi="Garamond"/>
          <w:vertAlign w:val="superscript"/>
          <w:lang w:val="en-US"/>
        </w:rPr>
        <w:t>1)</w:t>
      </w:r>
      <w:r w:rsidRPr="00941D22">
        <w:rPr>
          <w:rFonts w:ascii="Garamond" w:hAnsi="Garamond"/>
          <w:lang w:val="en-US"/>
        </w:rPr>
        <w:t xml:space="preserve"> mit den anderen schlug der Mensch Wege ein, die er seither immer weiter verfolgt hat, zu denen die Anregung leicht zu erraten ist. Mit all seinen Werkzeugen vervollkommnet der Mensch seine Organe — die motorischen wie die sensorischen — oder räumt die Schranken für ihre Leistung weg. Die Motoren stellen ihm riesige Kräfte zur Verfügung, die er wie seine Muskeln in beliebige Richtungen schicken kann, das Schiff und das Flugzeug machen, daß weder Wasser noch Luft seine Fortbewegung hindern können. Mit der Brille korrigiert er die Mängel der Linse in seinem Auge, mit dem Fernrohr schaut er in entfernte Weiten, mit dem Mikroskop überwindet er die Grenzen der Sichtbarkeit, die durch den Bau seiner Netzhaut abgesteckt werden. In der photographischen Kamera hat er ein Instrument geschaffen, das die flüchtigen Seheindrücke festhält, was ihm die Grammophonplatte für die ebenso vergänglichen Schalleindrücke leisten muß, beides im Grunde Materialisationen des ihm gegebenen Vermögens der Erinnerung, seines Gedächtnisses. Mit Hilfe des Telephons hört er aus Entfernungen, die selbst das Märchen als unerreichbar respektieren würde; die Schrift ist ursprünglich die Sprache des Abwesenden, das Wohnhaus ein Ersatz für den Mutterleib, die erste, wahrscheinlich noch immer ersehnte Behausung, in der man sicher war und sich so wohl fühlte.</w:t>
      </w:r>
    </w:p>
    <w:p w:rsidR="00941D22" w:rsidRPr="00941D22" w:rsidRDefault="00941D22" w:rsidP="00941D22">
      <w:pPr>
        <w:pStyle w:val="Sansinterligne"/>
        <w:rPr>
          <w:rFonts w:ascii="Garamond" w:hAnsi="Garamond"/>
          <w:lang w:val="en-US"/>
        </w:rPr>
      </w:pPr>
      <w:r w:rsidRPr="00941D22">
        <w:rPr>
          <w:rFonts w:ascii="Garamond" w:hAnsi="Garamond"/>
          <w:lang w:val="en-US"/>
        </w:rPr>
        <w:t>Es klingt nicht nur wie ein Märchen, es ist direkt die Erfüllung aller — nein, der meisten — Märchenwünsche, was der Mensch durch seine Wissenschaft und Technik auf dieser Erde hergestellt hat, in der er zuerst als ein schwa</w:t>
      </w:r>
      <w:r w:rsidRPr="00941D22">
        <w:rPr>
          <w:rFonts w:ascii="Garamond" w:hAnsi="Garamond"/>
          <w:lang w:val="en-US"/>
        </w:rPr>
        <w:softHyphen/>
        <w:t xml:space="preserve">ches Tierwesen auftrat und in die jedes Individuum seiner Art wiederum als hilfloser Säugling — </w:t>
      </w:r>
      <w:r w:rsidRPr="00941D22">
        <w:rPr>
          <w:rFonts w:ascii="Garamond" w:hAnsi="Garamond"/>
          <w:i/>
          <w:iCs/>
          <w:lang w:val="en-US"/>
        </w:rPr>
        <w:t>»oh inch of nature!«</w:t>
      </w:r>
      <w:r w:rsidRPr="00941D22">
        <w:rPr>
          <w:rFonts w:ascii="Garamond" w:hAnsi="Garamond"/>
          <w:lang w:val="en-US"/>
        </w:rPr>
        <w:t xml:space="preserve"> — eintreten muß. All diesen Besitz darf er als Kulturerwerb ansprechen. Er hatte sich seit langen Zeiten eine Idealvorstellung von Allmacht und Allwissenheit gebildet, die er in seinen Göttern verkörperte. Ihnen schrieb er alles zu, was seinen Wünschen unerreichbar schien — oder ihm verboten war. Man darf also sagen, diese Götter waren Kulturideale. Nun hat er sich der Erreichung dieses Ideals sehr angenähert, ist beinahe selbst ein Gott geworden. Freilich nur so, wie man nach allgemein menschlichem Urteil Ideale zu erreichen pflegt. Nicht vollkommen, in einigen Stücken gar nicht, in anderen nur so halbwegs. Der Mensch ist sozusagen eine Art Prothesengott geworden, recht großartig, wenn er alle seine Hilfsorgane anlegt, aber sie sind nicht mit ihm verwachsen und machen ihm gelegentlich noch viel zu schaffen. Er hat übrigens ein Recht, sich damit zu trösten, daß diese Entwicklung nicht gerade mit dem Jahr 1930 A. D. abgeschlossen sein wird. Ferne Zeiten werden neue, wahrscheinlich unvorstellbar große Fortschritte auf diesem Gebiete der Kultur mit sich bringen, die Gottähnlichkeit noch weiter steigern. Im Interesse unserer Untersuchung wollen wir aber auch nicht daran vergessen, daß der heutige Mensch sich in seiner Gottähnlichkeit nicht glücklich fühlt.</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Wir anerkennen also die Kulturhöhe eines Landes, wenn wir finden, daß alles in ihm gepflegt und zweckmäßig besorgt wird, was der Ausnützung der Erde durch den Menschen und dem Schutz desselben vor den Naturkräften dienlich, also kurz zusammengefaßt: ihm nützlich ist. In einem solchen Land seien Flüsse, die mit Überschwemmungen drohen, in ihrem Lauf reguliert, ihr Wasser durch Kanäle hingeleitet, wo es entbehrt wird. Der Erdboden werde sorgfältig bearbeitet und mit den Gewächsen beschickt, die er zu tragen geeignet ist, die mineralischen Schätze der Tiefe emsig zutage gefördert und zu den verlangten Werkzeugen und Geräten verarbeitet. Die Verkehrsmittel seien reichlich, rasch und zuverlässig, die wilden und gefährlichen Tiere seien ausgerottet, die Zucht der zu Haustieren gezähmten sei in Blüte. Wir haben aber an die Kultur noch andere Anforderungen zu stellen und hoffen bemerkenswerterweise sie in </w:t>
      </w:r>
      <w:r w:rsidRPr="00941D22">
        <w:rPr>
          <w:rFonts w:ascii="Garamond" w:hAnsi="Garamond"/>
          <w:lang w:val="en-US"/>
        </w:rPr>
        <w:lastRenderedPageBreak/>
        <w:t xml:space="preserve">denselben Ländern verwirklicht zu finden. Als wollten wir unseren zuerst erhobenen Anspruch verleugnen, begrüßen wir es auch als kulturell, wenn wir sehen, daß sich die Sorgfalt der Menschen auch Dingen zuwendet, die ganz und gar nicht nützlich sind, eher unnütz erscheinen, z. B. wenn die in einer Stadt als Spielplätze und Luftreservoirs notwendigen Gartenflächen auch Blumenbeete tragen oder wenn die Fenster der Wohnungen mit Blumentöpfen geschmückt sind. Wir merken bald, das Unnütze, dessen Schätzung wir von der Kultur erwarten, ist die Schönheit; wir fordern, daß der Kulturmensch die Schönheit verehre, wo sie ihm in der Natur begegnet, und sie herstelle an Gegenständen, soweit seiner Hände Arbeit es vermag. Weit entfernt, daß unsere Ansprüche an die Kultur damit erschöpft wären. Wir verlangen noch die Zeichen von Reinlichkeit und Ordnung zu sehen. Wir denken nicht hoch von der Kultur einer englischen Landstadt zur Zeit Shakespeares, wenn wir lesen, daß ein hoher Misthaufen vor der Türe seines väterlichen Hauses in Stratford lagerte; wir sind ungehalten und schelten es »barbarisch«, was der Gegensatz zu kulturell ist, wenn wir die Wege des Wiener Waldes mit weggeworfenen Papieren bestreut finden. Unsauberkeit jeder Art scheint uns mit Kultur unvereinbar; auch auf den menschlichen Körper dehnen wir die Forderung der Reinlichkeit aus, hören mit Erstaunen, welch üblen Geruch die Person des </w:t>
      </w:r>
      <w:r w:rsidRPr="00941D22">
        <w:rPr>
          <w:rFonts w:ascii="Garamond" w:hAnsi="Garamond"/>
          <w:i/>
          <w:iCs/>
          <w:lang w:val="en-US"/>
        </w:rPr>
        <w:t>Roi Soleil</w:t>
      </w:r>
      <w:r w:rsidRPr="00941D22">
        <w:rPr>
          <w:rFonts w:ascii="Garamond" w:hAnsi="Garamond"/>
          <w:lang w:val="en-US"/>
        </w:rPr>
        <w:t xml:space="preserve"> zu verbreiten pflegte, und schütteln den Kopf, wenn uns auf Isola Bella die winzige Waschschüssel gezeigt wird, deren sich Napoleon bei seiner Morgentoilette bediente. Ja, wir sind nicht überrascht, wenn jemand den Gebrauch von Seife direkt als Kulturmesser aufstellt. Ähnlich ist es mit der Ordnung, die ebenso wie die Reinlichkeit sich ganz auf Menschenwerk bezieht. Aber während wir Reinlichkeit in der Natur nicht erwarten dürfen, ist die Ordnung vielmehr der Natur abgelauscht; die Beobachtung der großen astronomischen Regelmäßigkeiten hat dem Menschen nicht nur das Vorbild, sondem die ersten Anhaltspunkte für die Einführung der Ordnung in sein Leben gegeben. Die Ordnung ist eine Art Wiederholungszwang, die durch einmalige Einrichtung entscheidet, wann, wo und wie etwas getan werden soll, so daß man in jedem gleichen Falle Zögern und Schwanken erspart. Die Wohltat der Ordnung ist ganz unleugbar, sie ermöglicht dem Menschen die beste Ausnützung von Raum und Zeit, während sie seine psychischen Kräfte schont. Man hätte ein Recht zu erwarten, daß sie sich von Anfang an und zwanglos im menschlichen Tun durchsetzt, und darf erstaunen, daß dies nicht der Fall ist, daß der Mensch vielmehr einen natürlichen Hang zur Nachlässigkeit, Unregelmäßigkeit und Unzuverlässigkeit in seiner Arbeit an den Tag legt und erst mühselig zur Nachahmung der himmlischen Vorbilder erzogen werden muß.</w:t>
      </w:r>
    </w:p>
    <w:p w:rsidR="00941D22" w:rsidRPr="00941D22" w:rsidRDefault="00941D22" w:rsidP="00941D22">
      <w:pPr>
        <w:pStyle w:val="Sansinterligne"/>
        <w:rPr>
          <w:rFonts w:ascii="Garamond" w:hAnsi="Garamond"/>
        </w:rPr>
      </w:pPr>
      <w:r w:rsidRPr="00941D22">
        <w:rPr>
          <w:rFonts w:ascii="Garamond" w:hAnsi="Garamond"/>
          <w:lang w:val="en-US"/>
        </w:rPr>
        <w:t xml:space="preserve">Schönheit, Reinlichkeit und Ordnung nehmen offenbar eine besondere Stellung unter den Kulturanforderungen ein. Niemand wird behaupten, daß sie ebenso lebenswichtig seien wie die Beherrschung der Naturkräfte und andere Momente, die wir noch kennenlernen sollen, und doch wird niemand gern sie als Nebensächlichkeiten zurückstellen wollen. Daß die Kultur nicht allein auf Nutzen bedacht ist, zeigt schon das Beispiel der Schönheit, die wir unter den Interessen der Kultur nicht vermissen wollen. Der Nutzen der Ordnung ist ganz offenbar; bei der Reinlichkeit haben wir zu bedenken, daß sie auch von der Hygiene gefordert wird, und können vermuten, daß dieser Zusammenhang den Menschen auch vor der Zeit einer wissenschaftlichen Krankheitsverhütung nicht ganz fremd war. </w:t>
      </w:r>
      <w:r w:rsidRPr="00941D22">
        <w:rPr>
          <w:rFonts w:ascii="Garamond" w:hAnsi="Garamond"/>
        </w:rPr>
        <w:t>Aber der Nutzen erklärt uns das Streben nicht ganz; es muß noch etwas anderes im Spiele sein.</w:t>
      </w:r>
    </w:p>
    <w:p w:rsidR="00941D22" w:rsidRPr="00941D22" w:rsidRDefault="00941D22" w:rsidP="00941D22">
      <w:pPr>
        <w:pStyle w:val="Sansinterligne"/>
        <w:rPr>
          <w:rFonts w:ascii="Garamond" w:hAnsi="Garamond"/>
          <w:lang w:val="en-US"/>
        </w:rPr>
      </w:pPr>
      <w:r w:rsidRPr="00941D22">
        <w:rPr>
          <w:rFonts w:ascii="Garamond" w:hAnsi="Garamond"/>
        </w:rPr>
        <w:t xml:space="preserve">Durch keinen anderen Zug vermeinen wir aber die Kultur besser zu kennzeichnen als durch die Schätzung und Pflege der höheren psychischen Tätigkeiten, der intellektuellen, wissenschaftlichen und künstlerischen Leistungen, der führenden Rolle, welche den Idean im Leben der Menschen eingeräumt wird. </w:t>
      </w:r>
      <w:r w:rsidRPr="00941D22">
        <w:rPr>
          <w:rFonts w:ascii="Garamond" w:hAnsi="Garamond"/>
          <w:lang w:val="en-US"/>
        </w:rPr>
        <w:t>Unter diesen Ideen stehen obenan die religiösen Systeme, auf deren verwickelten Aufbau ich an anderer Stelle Licht zu werfen versuchte; neben ihnen die philosophischen Spekulationen und endlich, was man die Idealbildungen der Menschen heißen kann, ihre Vorstellungen von einer möglichen Vollkommenheit der einzelnen Person, des Volkes, der ganzen Menschheit und die Anforderungen, die sie auf Grund solcher Vorstellungen erheben. Daß diese Schöpfungen nicht unabhängig vonein</w:t>
      </w:r>
      <w:r w:rsidRPr="00941D22">
        <w:rPr>
          <w:rFonts w:ascii="Garamond" w:hAnsi="Garamond"/>
          <w:lang w:val="en-US"/>
        </w:rPr>
        <w:softHyphen/>
        <w:t xml:space="preserve">ander sind, vielmehr innig untereinander verwoben, erschwert sowohl ihre Darstellung wie ihre psychologische Ableitung. Wenn wir ganz allgemein annehmen, die Triebfeder aller menschlichen Tätigkeiten sei das Streben nach den beiden zusammenfließenden Zielen, Nutzen und Lustgewinn, so müssen wir dasselbe auch für die hier angeführten kulturellen Äußerungen gelten lassen, obwohl es nur für die wissenschaftliche und künstlerische Tätigkeit leicht ersichtlich ist. Man kann aber nicht bezweifeln, daß auch die anderen starken Bedürfnissen der Menschen entsprechen, vielleicht solchen, die nur bei einer Minderzahl entwickelt sind. Auch darf man sich nicht durch Werturteile über einzelne dieser religiösen, philosophischen Systeme und dieser Ideale beirren lassen; ob man die höchste Leistung des Menschengeistes in ihnen sucht oder ob </w:t>
      </w:r>
      <w:r w:rsidRPr="00941D22">
        <w:rPr>
          <w:rFonts w:ascii="Garamond" w:hAnsi="Garamond"/>
          <w:lang w:val="en-US"/>
        </w:rPr>
        <w:lastRenderedPageBreak/>
        <w:t>man sie als Verirrungen beklagt, man muß anerkennen, daß ihr Vorhandensein, besonders ihre Vorherrschaft, einen Hochstand der Kultur bedeutet.</w:t>
      </w:r>
    </w:p>
    <w:p w:rsidR="00941D22" w:rsidRPr="00941D22" w:rsidRDefault="00941D22" w:rsidP="00941D22">
      <w:pPr>
        <w:pStyle w:val="Sansinterligne"/>
        <w:rPr>
          <w:rFonts w:ascii="Garamond" w:hAnsi="Garamond"/>
          <w:lang w:val="en-US"/>
        </w:rPr>
      </w:pPr>
      <w:r w:rsidRPr="00941D22">
        <w:rPr>
          <w:rFonts w:ascii="Garamond" w:hAnsi="Garamond"/>
          <w:lang w:val="en-US"/>
        </w:rPr>
        <w:t>Als letzten, gewiß nicht unwichtigsten Charakterzug einer Kultur haben wir zu würdigen, in welcher Weise die Beziehungen der Menschen zuein</w:t>
      </w:r>
      <w:r w:rsidRPr="00941D22">
        <w:rPr>
          <w:rFonts w:ascii="Garamond" w:hAnsi="Garamond"/>
          <w:lang w:val="en-US"/>
        </w:rPr>
        <w:softHyphen/>
        <w:t>ander, die sozialen Beziehungen, geregelt sind, die den Menschen als Nachbarn, als Hilfskraft, als Sexualobjekt eines anderen, als Mitglied einer Familie, eines Staates betreffen. Es wird hier besonders schwer, sich von bestimmten Idealforderungen frei zu halten und das, was überhaupt kulturell ist, zu erfassen. Vielleicht beginnt man mit der Erklärung, das kulturelle Element sei mit dem ersten Versuch, diese sozialen Beziehungen zu regeln, gegeben. Unterbliebe ein solcher Versuch, so wären diese Beziehungen der Willkür des Einzelnen unterworfen, d. h. der physisch Stärkere würde sie im Sinne seiner Interessen und Triebregungen entscheiden. Daran änderte sich nichts, wenn dieser Stärkere seinerseits einen einzelnen noch Stärkeren fände. Das menschliche Zusammenleben wird erst ermöglicht, wenn sich eine Mehrheit zusammenfindet, die stärker ist als jeder Einzelne und gegen jeden Einzelnen zusammenhält. Die Macht dieser Gemeinschaft stellt sich nun als »Recht« der Macht des Einzelnen, die als »rohe Gewalt« verurteilt wird, entgegen. Diese Ersetzung der Macht des Einzelnen durch die der Gemeinschaft ist der entscheidende kulturelle Schritt. Ihr Wesen besteht darin, daß sich die Mitglieder der Gemeinschaft in ihren Befriedigungsmög</w:t>
      </w:r>
      <w:r w:rsidRPr="00941D22">
        <w:rPr>
          <w:rFonts w:ascii="Garamond" w:hAnsi="Garamond"/>
          <w:lang w:val="en-US"/>
        </w:rPr>
        <w:softHyphen/>
        <w:t>lichkeiten beschränken, während der Einzelne keine solche Schranke kannte. Die nächste kulturelle Anforderung ist also die der Gerechtigkeit, d. h. die Versicherung, daß die einmal gegebene Rechtsordnung nicht wieder zu Gunsten eines Einzelnen durchbrochen werde. Über den ethischen Wert eines solchen Rechts wird hiermit nicht entschieden. Der weitere Weg der kulturellen Entwicklung scheint dahin zu streben, daß dieses Recht nicht mehr der Willensausdruck einer kleinen Gemeinschaft — Kaste, Bevölkerungs</w:t>
      </w:r>
      <w:r w:rsidRPr="00941D22">
        <w:rPr>
          <w:rFonts w:ascii="Garamond" w:hAnsi="Garamond"/>
          <w:lang w:val="en-US"/>
        </w:rPr>
        <w:softHyphen/>
        <w:t>schichte, Volksstammes — sei, welche sich zu anderen und vielleicht umfas</w:t>
      </w:r>
      <w:r w:rsidRPr="00941D22">
        <w:rPr>
          <w:rFonts w:ascii="Garamond" w:hAnsi="Garamond"/>
          <w:lang w:val="en-US"/>
        </w:rPr>
        <w:softHyphen/>
        <w:t>senderen solchen Massen wieder wie ein gewalttätiges Individuum verhält. Das Endergebnis soll ein Recht sein, zu dem alle — wenigstens alle Gemeinschaftsfähigen — durch ihre Triebopfer beigetragen haben und das keinen — wiederum mit der gleichen Ausnahme — zum Opfer der rohen Gewalt werden läßt.</w:t>
      </w:r>
    </w:p>
    <w:p w:rsidR="00941D22" w:rsidRPr="00941D22" w:rsidRDefault="00941D22" w:rsidP="00941D22">
      <w:pPr>
        <w:pStyle w:val="Sansinterligne"/>
        <w:rPr>
          <w:rFonts w:ascii="Garamond" w:hAnsi="Garamond"/>
          <w:lang w:val="en-US"/>
        </w:rPr>
      </w:pPr>
      <w:r w:rsidRPr="00941D22">
        <w:rPr>
          <w:rFonts w:ascii="Garamond" w:hAnsi="Garamond"/>
        </w:rPr>
        <w:t xml:space="preserve">Die individuelle Freiheit ist kein Kulturgut. </w:t>
      </w:r>
      <w:r w:rsidRPr="00941D22">
        <w:rPr>
          <w:rFonts w:ascii="Garamond" w:hAnsi="Garamond"/>
          <w:lang w:val="en-US"/>
        </w:rPr>
        <w:t>Sie war am größten vor jeder Kultur, allerdings damals meist ohne Wert, weil das Individuum kaum imstande war, sie zu verteidigen. Durch die Kulturentwicklung erfährt sie Einschränkungen, und die Gerechtigkeit fordert, daß keinem diese Einschrän</w:t>
      </w:r>
      <w:r w:rsidRPr="00941D22">
        <w:rPr>
          <w:rFonts w:ascii="Garamond" w:hAnsi="Garamond"/>
          <w:lang w:val="en-US"/>
        </w:rPr>
        <w:softHyphen/>
        <w:t>kungen erspart werden. Was sich in einer menschlichen Gemeinschaft als Freiheitsdrang rührt, kann Auflehnung gegen eine bestehende Ungerechtigkeit sein und so einer weiteren Entwicklung der Kultur günstig werden, mit der Kultur verträglich bleiben. Es kann aber auch dem Rest der ursprünglichen, von der Kultur ungebändigten Persönlichkeit entstammen und so Grundlage der Kulturfeindseligkeit werden. Der Freiheitsdrang richtet sich also gegen bestimmte Formen und Ansprüche der Kultur oder gegen Kultur überhaupt. Es scheint nicht, daß man den Menschen durch irgendwelche Beeinflussung dazu bringen kann, seine Natur in die eines Termiten umzuwandeln, er wird wohl immer seinen Anspruch auf individuelle Freiheit gegen den Willen der Masse verteidigen. Ein gut Teil des Ringens der Menschheit staut sich um die eine Aufgabe, einen zweckmäßigen, d. h. beglückenden Ausgleich zwischen diesen individuellen und den kulturellen Massenansprüchen zu finden, es ist eines ihrer Schicksalsprobleme, ob dieser Ausgleich durch eine bestimmte Gestaltung der Kultur erreichbar oder ob der Konflikt unversöhnlich ist.</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Indem wir uns vom gemeinen Empfinden sagen ließen, welche Züge im Leben der Menschen kulturell zu nennen sind, haben wir einen deutlichen Eindruck vom Gesamtbild der Kultur bekommen, freilich zunächst nichts erfahren, was nicht allgemein bekannt ist. Dabei haben wir uns gehütet, dem Vorurteil beizustimmen, Kultur sei gleichbedeutend mit Vervollkommnung, sei der Weg zur Vollkommenheit, die dem Menschen vorgezeichnet ist. Nun aber drängt sich uns eine Auffassung auf, die vielleicht anderswohin führt. </w:t>
      </w:r>
      <w:r w:rsidRPr="00941D22">
        <w:rPr>
          <w:rFonts w:ascii="Garamond" w:hAnsi="Garamond"/>
        </w:rPr>
        <w:t xml:space="preserve">Die Kulturentwicklung erscheint uns als ein eigenartiger Prozeß, der über die Menschheit abläuft, an dem uns manches wie vertraut anmutet. </w:t>
      </w:r>
      <w:r w:rsidRPr="00941D22">
        <w:rPr>
          <w:rFonts w:ascii="Garamond" w:hAnsi="Garamond"/>
          <w:lang w:val="en-US"/>
        </w:rPr>
        <w:t>Diesen Prozeß können wir durch die Veränderungen charakterisieren, die er mit den bekannten menschlichen Triebanlagen vornimmt, deren Befriedigung doch die ökonomische Aufgabe unseres Lebens ist. Einige dieser Triebe werden in solcher Weise aufgezehrt, daß an ihrer Stelle etwas auftritt, was wir beim Einzelindividuum als Charaktereigenschaft beschreiben. Das merkwürdigste Beispiel dieses Vorganges haben wir an der Analerotik des jugendlichen Menschen gefunden. Sein ursprüngliches Interesse an der Exkretions</w:t>
      </w:r>
      <w:r w:rsidRPr="00941D22">
        <w:rPr>
          <w:rFonts w:ascii="Garamond" w:hAnsi="Garamond"/>
          <w:lang w:val="en-US"/>
        </w:rPr>
        <w:softHyphen/>
        <w:t xml:space="preserve">funktion, ihren Organen und Produkten wandelt sich im Lauf des Wachstums in die Gruppe von Eigenschaften um, die uns als Sparsamkeit, Sinn für Ordnung und Reinlichkeit bekannt sind, die, an und für sich wertvoll und willkommen, sich zu auffälliger Vorherrschaft steigern können und dann das ergeben, was man den Analcharakter heißt. Wie das zugeht, wissen wir nicht, an der Richtigkeit dieser </w:t>
      </w:r>
      <w:r w:rsidRPr="00941D22">
        <w:rPr>
          <w:rFonts w:ascii="Garamond" w:hAnsi="Garamond"/>
          <w:lang w:val="en-US"/>
        </w:rPr>
        <w:lastRenderedPageBreak/>
        <w:t>Auffassung ist kein Zweifel.</w:t>
      </w:r>
      <w:r w:rsidRPr="00941D22">
        <w:rPr>
          <w:rFonts w:ascii="Garamond" w:hAnsi="Garamond"/>
          <w:vertAlign w:val="superscript"/>
          <w:lang w:val="en-US"/>
        </w:rPr>
        <w:t>2)</w:t>
      </w:r>
      <w:r w:rsidRPr="00941D22">
        <w:rPr>
          <w:rFonts w:ascii="Garamond" w:hAnsi="Garamond"/>
          <w:lang w:val="en-US"/>
        </w:rPr>
        <w:t xml:space="preserve"> Nun haben wir gefunden, daß Ordnung und Reinlichkeit wesentliche Kulturansprüche sind, obgleich ihre Lebensnotwendigkeit nicht gerade einleuchtet, ebensowenig wie ihre Eignung als Genußquellen. </w:t>
      </w:r>
      <w:r w:rsidRPr="00941D22">
        <w:rPr>
          <w:rFonts w:ascii="Garamond" w:hAnsi="Garamond"/>
        </w:rPr>
        <w:t xml:space="preserve">An dieser Stelle mußte sich uns die Ähnlichkeit des Kulturprozesses mit der Libidoentwicklung des Einzelnen zuerst aufdrängen. </w:t>
      </w:r>
      <w:r w:rsidRPr="00941D22">
        <w:rPr>
          <w:rFonts w:ascii="Garamond" w:hAnsi="Garamond"/>
          <w:lang w:val="en-US"/>
        </w:rPr>
        <w:t xml:space="preserve">Andere Triebe werden dazu veranlaßt, die Bedingungen ihrer Befriedigung zu verschieben, auf andere Wege zu verlegen, was in den meisten Fällen mit der uns wohlbekannten </w:t>
      </w:r>
      <w:r w:rsidRPr="00941D22">
        <w:rPr>
          <w:rFonts w:ascii="Garamond" w:hAnsi="Garamond"/>
          <w:i/>
          <w:iCs/>
          <w:lang w:val="en-US"/>
        </w:rPr>
        <w:t>Sublimierung</w:t>
      </w:r>
      <w:r w:rsidRPr="00941D22">
        <w:rPr>
          <w:rFonts w:ascii="Garamond" w:hAnsi="Garamond"/>
          <w:lang w:val="en-US"/>
        </w:rPr>
        <w:t xml:space="preserve"> (der Triebziele) zusammenfällt, in anderen sich noch von ihr sondern läßt. Die Trieb</w:t>
      </w:r>
      <w:r w:rsidRPr="00941D22">
        <w:rPr>
          <w:rFonts w:ascii="Garamond" w:hAnsi="Garamond"/>
          <w:lang w:val="en-US"/>
        </w:rPr>
        <w:softHyphen/>
        <w:t>sublimierung ist ein besonders hervorstechender Zug der Kulturentwicklung, sie macht es möglich, daß höhere psychische Tätigkeiten, wissenschaftliche, künstlerische, ideologische, eine so bedeutsame Rolle im Kulturleben spielen. Wenn man dem ersten Eindruck nachgibt, ist man versucht zu sagen, die Sublimierung sei überhaupt ein von der Kultur erzwungenes Triebschicksal. Aber man tut besser, sich das noch länger zu überlegen. Drittens endlich, und das scheint das Wichtigste, ist es unmöglich zu übersehen, in welchem Ausmaß die Kultur auf Triebverzicht aufgebaut ist, wie sehr sie gerade die Nichtbefriedigung (Unterdrückung, Verdrängung oder sonst etwas?) von mächtigen Trieben zur Voraussetzung hat. Diese »Kulturversagung« beherrscht das große Gebiet der sozialen Beziehungen der Menschen; wir wissen bereits, sie ist die Ursache der Feindseligkeit, gegen die alle Kulturen zu kämpfen haben. Sie wird auch an unsere wissenschaftliche Arbeit schwere Anforderungen stellen, wir haben da viel Aufklärung zu geben. Es ist nicht leicht zu verstehen, wie man es möglich macht, einem Trieb die Befriedigung zu entziehen. Es ist gar nicht so ungefährlich; wenn man es nicht ökonomisch kompensiert, kann man sich auf ernste Störungen gefaßt machen.</w:t>
      </w:r>
    </w:p>
    <w:p w:rsidR="00941D22" w:rsidRPr="00941D22" w:rsidRDefault="00941D22" w:rsidP="00941D22">
      <w:pPr>
        <w:pStyle w:val="Sansinterligne"/>
        <w:rPr>
          <w:rFonts w:ascii="Garamond" w:hAnsi="Garamond"/>
          <w:lang w:val="en-US"/>
        </w:rPr>
      </w:pPr>
      <w:r w:rsidRPr="00941D22">
        <w:rPr>
          <w:rFonts w:ascii="Garamond" w:hAnsi="Garamond"/>
          <w:lang w:val="en-US"/>
        </w:rPr>
        <w:t>Wenn wir aber wissen wollen, welchen Wert unsere Auffassung der Kulturentwicklung als eines besonderen Prozesses, vergleichbar der normalen Reifung des Individuums, beanspruchen kann, müssen wir offenbar ein anderes Problem in Angriff nehmen, uns die Frage stellen, welchen Einflüssen die Kulturentwicklung ihren Ursprung dankt, wie sie entstanden ist und wodurch ihr Lauf bestimmt wurde.</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A06A59" w:rsidRDefault="00941D22" w:rsidP="00941D22">
      <w:pPr>
        <w:pStyle w:val="Sansinterligne"/>
        <w:rPr>
          <w:rFonts w:ascii="Garamond" w:hAnsi="Garamond"/>
          <w:lang w:val="en-US"/>
        </w:rPr>
      </w:pPr>
      <w:r w:rsidRPr="00A06A59">
        <w:rPr>
          <w:rFonts w:ascii="Garamond" w:hAnsi="Garamond"/>
          <w:lang w:val="en-US"/>
        </w:rPr>
        <w:t>_________________</w:t>
      </w:r>
    </w:p>
    <w:p w:rsidR="00941D22" w:rsidRPr="00941D22" w:rsidRDefault="00941D22" w:rsidP="00941D22">
      <w:pPr>
        <w:pStyle w:val="Sansinterligne"/>
        <w:rPr>
          <w:rFonts w:ascii="Garamond" w:hAnsi="Garamond"/>
          <w:lang w:val="en-US"/>
        </w:rPr>
      </w:pPr>
      <w:r w:rsidRPr="00A06A59">
        <w:rPr>
          <w:rFonts w:ascii="Garamond" w:hAnsi="Garamond"/>
          <w:vertAlign w:val="superscript"/>
          <w:lang w:val="en-US"/>
        </w:rPr>
        <w:t>1)</w:t>
      </w:r>
      <w:r w:rsidRPr="00A06A59">
        <w:rPr>
          <w:rFonts w:ascii="Garamond" w:hAnsi="Garamond"/>
          <w:lang w:val="en-US"/>
        </w:rPr>
        <w:t xml:space="preserve"> Psychoanalytisches Material, unvollständig, nicht sicher deutbar, läßt doch wenigstens eine — phantastisch klingende — Vermutung über den Ursprung dieser menschlichen Großtat zu. </w:t>
      </w:r>
      <w:r w:rsidRPr="00941D22">
        <w:rPr>
          <w:rFonts w:ascii="Garamond" w:hAnsi="Garamond"/>
          <w:lang w:val="en-US"/>
        </w:rPr>
        <w:t xml:space="preserve">Als wäre der Urmensch gewohnt gewesen, wenn er dem Feuer begegnete, eine infantile Lust an ihm zu befriedigen, indem er es durch seinen Harnstrahl auslöschte. An der ursprünglichen phallischen Auffassung der züngelnden, sich in die Höhe reckenden Flamme kann nach vorhandenen Sagen kein Zweifel sein. Das Feuerlöschen durch Urinieren — auf das noch die späten Riesenkinder Gulliver in Liliput und Rabelais' Gargantua zurückgreifen — war also wie ein sexueller Akt mit einem Mann, ein Genuß der männlichen Potenz im homosexuellen Wettkampf. Wer zuerst auf diese Lust verzichtete, das Feuer verschonte, konnte es mit sich forttragen und in seinen Dienst zwingen. </w:t>
      </w:r>
      <w:r w:rsidRPr="00941D22">
        <w:rPr>
          <w:rFonts w:ascii="Garamond" w:hAnsi="Garamond"/>
        </w:rPr>
        <w:t xml:space="preserve">Dadurch daß er das Feuer seiner eigenen sexuellen Erregung dämpfte, hatte er die Naturkraft des Feuers gezähmt. </w:t>
      </w:r>
      <w:r w:rsidRPr="00941D22">
        <w:rPr>
          <w:rFonts w:ascii="Garamond" w:hAnsi="Garamond"/>
          <w:lang w:val="en-US"/>
        </w:rPr>
        <w:t>Diese große kulturelle Eroberung wäre also der Lohn für einen Triebverzicht. Und weiter, als hätte man das Weib zur Hüterin des auf dem häuslichen Herd gefangengehaltenen Feuers bestellt, weil ihr anatomischer Bau es ihr verbietet, einer solchen Lustversuchung nachzugeben. Es ist auch bemerkenswert, wie regelmäßig die analytischen Erfahrungen den Zusammenhang von Ehrgeiz, Feuer und Harnerotik bezeugen. —</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2)</w:t>
      </w:r>
      <w:r w:rsidRPr="00941D22">
        <w:rPr>
          <w:rFonts w:ascii="Garamond" w:hAnsi="Garamond"/>
          <w:lang w:val="en-US"/>
        </w:rPr>
        <w:t xml:space="preserve"> S. ›Charakter und Analerotik‹ (1908 </w:t>
      </w:r>
      <w:r w:rsidRPr="00941D22">
        <w:rPr>
          <w:rFonts w:ascii="Garamond" w:hAnsi="Garamond"/>
          <w:i/>
          <w:iCs/>
          <w:lang w:val="en-US"/>
        </w:rPr>
        <w:t>b)</w:t>
      </w:r>
      <w:r w:rsidRPr="00941D22">
        <w:rPr>
          <w:rFonts w:ascii="Garamond" w:hAnsi="Garamond"/>
          <w:lang w:val="en-US"/>
        </w:rPr>
        <w:t xml:space="preserve"> und zahlreiche weitere Beiträge von E. Jones u.a.</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 xml:space="preserve">IV. </w:t>
      </w:r>
      <w:r w:rsidRPr="00941D22">
        <w:rPr>
          <w:rFonts w:ascii="Garamond" w:hAnsi="Garamond"/>
          <w:lang w:val="en-US"/>
        </w:rPr>
        <w:br/>
        <w:t>[Zwei Säulen der Kultur: Eros und Ananke, Liebe und Not]</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Diese Aufgabe scheint übergroß, man darf seine Verzagtheit eingestehen. Hier das wenige, was ich erraten konnte.</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Nachdem der Urmensch entdeckt hatte, daß es — wörtlich so verstanden — in seiner Hand lag, sein Los auf der Erde durch Arbeit zu verbessern, konnte es ihm nicht gleichgültig sein, ob ein anderer mit oder gegen ihn arbeitete. Der andere gewann für ihn den Wert des Mitarbeiters, mit dem zusammen zu leben nützlich war. Noch vorher, in seiner affenähnlichen Vorzeit, hatte er die Gewohnheit angenommen, Familien zu bilden; die Mitglieder der Familie waren wahrscheinlich seine ersten Helfer. Vermutlich hing die Gründung der Familie damit zusammen, daß das Bedürfnis genitaler Befriedigung nicht mehr wie ein Gast auftrat, der plötzlich bei einem erscheint und nach seiner Abreise lange nichts mehr von sich hören läßt, sondern sich als Dauermieter beim Einzelnen niederließ. Damit bekam das Männchen ein Motiv, das Weib oder allgemeiner: die Sexualobjekte bei sich zu behalten; die Weibchen, die sich von ihren hilflosen </w:t>
      </w:r>
      <w:r w:rsidRPr="00941D22">
        <w:rPr>
          <w:rFonts w:ascii="Garamond" w:hAnsi="Garamond"/>
          <w:lang w:val="en-US"/>
        </w:rPr>
        <w:lastRenderedPageBreak/>
        <w:t>Jungen nicht trennen wollten, mußten auch in deren Interesse beim stärkeren Männchen bleiben.</w:t>
      </w:r>
      <w:r w:rsidRPr="00941D22">
        <w:rPr>
          <w:rFonts w:ascii="Garamond" w:hAnsi="Garamond"/>
          <w:vertAlign w:val="superscript"/>
          <w:lang w:val="en-US"/>
        </w:rPr>
        <w:t>1)</w:t>
      </w:r>
      <w:r w:rsidRPr="00941D22">
        <w:rPr>
          <w:rFonts w:ascii="Garamond" w:hAnsi="Garamond"/>
          <w:lang w:val="en-US"/>
        </w:rPr>
        <w:t xml:space="preserve"> In dieser primitiven Familie vermissen wir noch einen wesentlichen Zug der Kultur; die Willkür des Oberhauptes und Vaters war unbeschränkt. In </w:t>
      </w:r>
      <w:r w:rsidRPr="00941D22">
        <w:rPr>
          <w:rFonts w:ascii="Garamond" w:hAnsi="Garamond"/>
          <w:i/>
          <w:iCs/>
          <w:lang w:val="en-US"/>
        </w:rPr>
        <w:t>Totem und Tabu</w:t>
      </w:r>
      <w:r w:rsidRPr="00941D22">
        <w:rPr>
          <w:rFonts w:ascii="Garamond" w:hAnsi="Garamond"/>
          <w:lang w:val="en-US"/>
        </w:rPr>
        <w:t xml:space="preserve"> habe ich versucht, den Weg aufzuzeigen, der von dieser Familie zur nächsten Stufe des Zusammenlebens in Form der Brüderbünde führte. Bei der Überwältigung des Vaters hatten die Söhne die Erfahrung gemacht, daß eine Vereinigung stärker sein kann als der Einzelne. Die totemistische Kultur ruht auf den Einschränkungen, die sie zur Aufrechthaltung des neuen Zustandes einander auferlegen mußten. Die Tabuvorschriften waren das erste »Recht«. Das Zusammenleben der Menschen war also zweifach begründet durch den Zwang zur Arbeit, den die äußere Not schuf, und durch die Macht der Liebe, die von seiten des Mannes das Sexualobjekt im Weibe, von Seiten des Weibes das von ihr abgelöste Teilstück des Kindes nicht entbehren wollte. Eros und Ananke sind auch die Eltern der menschlichen Kultur geworden. Der erste Kulturerfolg war, daß nun auch eine größere Anzahl von Menschen in Gemeinschaft bleiben konnten. Und da beide großen Mächte dabei zusammenwirkten, könnte man erwarten, daß sich die weitere Entwicklung glatt vollziehen würde, zu immer besserer Beherrschung der Außenwelt wie zur weiteren Ausdehnung der von der Gemeinschaft umfaßten Menschenzahl. Man versteht auch nicht leicht, wie diese Kultur auf ihre Teilnehmer anders als beglückend wirken kann.</w:t>
      </w:r>
    </w:p>
    <w:p w:rsidR="00941D22" w:rsidRPr="00941D22" w:rsidRDefault="00941D22" w:rsidP="00941D22">
      <w:pPr>
        <w:pStyle w:val="Sansinterligne"/>
        <w:rPr>
          <w:rFonts w:ascii="Garamond" w:hAnsi="Garamond"/>
          <w:lang w:val="en-US"/>
        </w:rPr>
      </w:pPr>
      <w:r w:rsidRPr="00941D22">
        <w:rPr>
          <w:rFonts w:ascii="Garamond" w:hAnsi="Garamond"/>
          <w:lang w:val="en-US"/>
        </w:rPr>
        <w:t>Ehe wir noch untersuchen, woher eine Störung kommen kann, lassen wir uns durch die Anerkennung der Liebe als einer Grundlage der Kultur ablen</w:t>
      </w:r>
      <w:r w:rsidRPr="00941D22">
        <w:rPr>
          <w:rFonts w:ascii="Garamond" w:hAnsi="Garamond"/>
          <w:lang w:val="en-US"/>
        </w:rPr>
        <w:softHyphen/>
        <w:t>ken, um eine Lücke in einer früheren Erörterung auszufüllen. Wir sagten, die Erfahrung, daß die geschlechtliche (genitale) Liebe dem Menschen die stärksten Befriedigungserlebnisse gewähre, ihm eigentlich das Vorbild für alles Glück gebe, müßte es nahegelegt haben, die Glücksbefriedigung im Leben auch weiterhin auf dem Gebiet der geschlechtlichen Beziehungen zu suchen, die genitale Erotik in den Mittelpunkt des Lebens zu stellen. Wir setzten fort, daß man sich auf diesem Wege in bedenklichster Weise von einem Stück der Außenwelt, nämlich vom gewählten Liebesobjekt, abhängig mache und dem stärksten Leiden aussetze, wenn man von diesem ver</w:t>
      </w:r>
      <w:r w:rsidRPr="00941D22">
        <w:rPr>
          <w:rFonts w:ascii="Garamond" w:hAnsi="Garamond"/>
          <w:lang w:val="en-US"/>
        </w:rPr>
        <w:softHyphen/>
        <w:t>schmäht werde oder es durch Untreue oder Tod verliere. Die Weisen aller Zeiten haben darum nachdrücklichst von diesem Lebensweg abgeraten; er hat dennoch für eine große Anzahl von Menschenkindern seine Anziehung nicht verloren.</w:t>
      </w:r>
    </w:p>
    <w:p w:rsidR="00941D22" w:rsidRPr="00941D22" w:rsidRDefault="00941D22" w:rsidP="00941D22">
      <w:pPr>
        <w:pStyle w:val="Sansinterligne"/>
        <w:rPr>
          <w:rFonts w:ascii="Garamond" w:hAnsi="Garamond"/>
        </w:rPr>
      </w:pPr>
      <w:r w:rsidRPr="00941D22">
        <w:rPr>
          <w:rFonts w:ascii="Garamond" w:hAnsi="Garamond"/>
          <w:lang w:val="en-US"/>
        </w:rPr>
        <w:t>Einer geringen Minderzahl wird es durch ihre Konstitution ermöglicht, das Glück doch auf dem Wege der Liebe zu finden, wobei aber weitgehende seelische Abänderungen der Liebesfunktion unerläßlich sind. Diese Personen machen sich von der Zustimmung des Objekts unabhängig, indem sie den Hauptwert vom Geliebtwerden auf das eigene Lieben verschieben, sie schützen sich gegen dessen Verlust, indem sie ihre Liebe nicht auf einzelne Objekte, sondern in gleichem Maße auf alle Menschen richten, und sie vermei</w:t>
      </w:r>
      <w:r w:rsidRPr="00941D22">
        <w:rPr>
          <w:rFonts w:ascii="Garamond" w:hAnsi="Garamond"/>
          <w:lang w:val="en-US"/>
        </w:rPr>
        <w:softHyphen/>
        <w:t xml:space="preserve">den die Schwankungen und Enttäuschungen der genitalen Liebe dadurch, daß sie von deren Sexualziel ablenken, den Trieb in eine </w:t>
      </w:r>
      <w:r w:rsidRPr="00941D22">
        <w:rPr>
          <w:rFonts w:ascii="Garamond" w:hAnsi="Garamond"/>
          <w:i/>
          <w:iCs/>
          <w:lang w:val="en-US"/>
        </w:rPr>
        <w:t>zielgehemmte</w:t>
      </w:r>
      <w:r w:rsidRPr="00941D22">
        <w:rPr>
          <w:rFonts w:ascii="Garamond" w:hAnsi="Garamond"/>
          <w:lang w:val="en-US"/>
        </w:rPr>
        <w:t xml:space="preserve"> Regung verwandeln. Was sie auf diese Art bei sich zustande bringen, der Zustand eines gleichschwebenden, unbeirrbaren, zärtlichen Empfindens, hat mit dem stürmisch bewegten, genitalen Liebesleben, von dem es doch abgeleitet ist, nicht mehr viel äußere Ähnlichkeit. Der heilige Franciscus von Assisi mag es in dieser Ausnützung der Liebe für das innere Glücksgefühl am weitesten gebracht haben; was wir als eine der Techniken der Erfüllung des Lustprinzips erkennen, ist auch vielfach in Beziehung zur Religion gebracht worden, mit der es in jenen entlegenen Regionen zusammenhängen mag, wo die Unterscheidung des Ichs von den Objekten und dieser voneinander vernachlässigt wird. Eine ethische Betrachtung, deren tiefere Motivierung uns noch offenbar werden wird, will in dieser Bereitschaft zur allgemeinen Menschen- und Weltliebe die höchste Einstellung sehen, zu der sich der Mensch erheben kann. Wir möchten schon hier unsere zwei hauptsächlichen Bedenken nicht zurückhalten. </w:t>
      </w:r>
      <w:r w:rsidRPr="00941D22">
        <w:rPr>
          <w:rFonts w:ascii="Garamond" w:hAnsi="Garamond"/>
        </w:rPr>
        <w:t>Eine Liebe, die nicht auswählt, scheint uns einen Teil ihres eigenen Werts einzubüßen, indem sie an dem Objekt ein Unrecht tut. Und weiter: es sind nicht alle Menschen liebenswert.</w:t>
      </w:r>
    </w:p>
    <w:p w:rsidR="00941D22" w:rsidRPr="00941D22" w:rsidRDefault="00941D22" w:rsidP="00941D22">
      <w:pPr>
        <w:pStyle w:val="Sansinterligne"/>
        <w:rPr>
          <w:rFonts w:ascii="Garamond" w:hAnsi="Garamond"/>
          <w:lang w:val="en-US"/>
        </w:rPr>
      </w:pPr>
      <w:r w:rsidRPr="00941D22">
        <w:rPr>
          <w:rFonts w:ascii="Garamond" w:hAnsi="Garamond"/>
        </w:rPr>
        <w:t xml:space="preserve">Jene Liebe, welche die Familie gründete, bleibt in ihrer ursprünglichen Ausprägung, in der sie auf direkte sexuelle Befriedigung nicht verzichtet, sowie in ihrer Modifikation als zielgehemmte Zärtlichkeit in der Kultur weiter wirksam. </w:t>
      </w:r>
      <w:r w:rsidRPr="00941D22">
        <w:rPr>
          <w:rFonts w:ascii="Garamond" w:hAnsi="Garamond"/>
          <w:lang w:val="en-US"/>
        </w:rPr>
        <w:t xml:space="preserve">In beiden Formen setzt sie ihre Funktion fort, eine größere Anzahl von Menschen aneinander zu binden und in intensiverer Art, als es dem Interesse der Arbeitsgemeinschaft gelingt. Die Nachlässigkeit der Sprache in der Anwendung des Wortes »Liebe« findet eine genetische Rechtfertigung. Liebe nennt man die Beziehung zwischen Mann und Weib, die auf Grund ihrer genitalen Bedürfnisse eine Familie gegründet haben, Liebe aber auch die positiven Gefühle zwischen Eltern und Kindern, zwischen den Geschwistern in der Familie, obwohl wir diese Beziehung als zielgehemmte Liebe, als Zärtlichkeit, beschreiben müssen. Die zielgehemmte Liebe war eben ursprünglich vollsinnliche Liebe und ist es im Unbewußten des Menschen noch immer. Beide, vollsinnliche und zielgehemmte Liebe, greifen über die </w:t>
      </w:r>
      <w:r w:rsidRPr="00941D22">
        <w:rPr>
          <w:rFonts w:ascii="Garamond" w:hAnsi="Garamond"/>
          <w:lang w:val="en-US"/>
        </w:rPr>
        <w:lastRenderedPageBreak/>
        <w:t>Familie hinaus und stellen neue Bindungen an bisher Fremde her. Die genitale Liebe führt zu neuen Familienbildungen, die zielgehemmte zu »Freundschaften«, welche kulturell wichtig werden, weil sie manchen Beschränkungen der genitalen Liebe, z. B. deren Ausschließlichkeit, entgehen. Aber das Verhältnis der Liebe zur Kultur verliert im Verlaufe der Entwicklung seine Eindeutigkeit. Einerseits widersetzt sich die Liebe den Interessen der Kultur, anderseits bedroht die Kultur die Liebe mit empfindlichen Einschränkungen.</w:t>
      </w:r>
    </w:p>
    <w:p w:rsidR="00941D22" w:rsidRPr="00941D22" w:rsidRDefault="00941D22" w:rsidP="00941D22">
      <w:pPr>
        <w:pStyle w:val="Sansinterligne"/>
        <w:rPr>
          <w:rFonts w:ascii="Garamond" w:hAnsi="Garamond"/>
          <w:lang w:val="en-US"/>
        </w:rPr>
      </w:pPr>
      <w:r w:rsidRPr="00941D22">
        <w:rPr>
          <w:rFonts w:ascii="Garamond" w:hAnsi="Garamond"/>
          <w:lang w:val="en-US"/>
        </w:rPr>
        <w:t>Diese Entzweiung scheint unvermeidlich; ihr Grund ist nicht sofort zu erkennen. Sie äußert sich zunächst als ein Konflikt zwischen der Familie und der größeren Gemeinschaft, der der Einzelne angehört. Wir haben bereits erraten, daß es eine der Hauptbestrebungen der Kultur ist, die Menschen zu großen Einheiten zusammenzuballen. Die Familie will aber das Individuum nicht freigeben. Je inniger der Zusammenhalt der Familienmitglieder ist, desto mehr sind sie oft geneigt, sich von anderen abzuschließen, desto schwieriger wird ihnen der Eintritt in den größeren Lebenskreis. Die phylogenetisch ältere, in der Kindheit allein bestehende Weise des Zusammenlebens wehrt sich, von der später erworbenen, kulturellen abgelöst zu werden. Die Ablösung von der Familie wird für jeden Jugendlichen zu einer Aufgabe, bei deren Lösung ihn die Gesellschaft oft durch Pubertäts- und Aufnahmsriten unterstützt. Man gewinnt den Eindruck, dies seien Schwierigkeiten, die jeder psychischen, ja im Grunde auch jeder organischen Entwicklung anhängen.</w:t>
      </w:r>
    </w:p>
    <w:p w:rsidR="00941D22" w:rsidRPr="00941D22" w:rsidRDefault="00941D22" w:rsidP="00941D22">
      <w:pPr>
        <w:pStyle w:val="Sansinterligne"/>
        <w:rPr>
          <w:rFonts w:ascii="Garamond" w:hAnsi="Garamond"/>
          <w:lang w:val="en-US"/>
        </w:rPr>
      </w:pPr>
      <w:r w:rsidRPr="00941D22">
        <w:rPr>
          <w:rFonts w:ascii="Garamond" w:hAnsi="Garamond"/>
          <w:lang w:val="en-US"/>
        </w:rPr>
        <w:t>Ferner treten bald die Frauen in einen Gegensatz zur Kulturströmung und entfalten ihren verzögernden und zurückhaltenden Einfluß, dieselben, die anfangs durch die Forderungen ihrer Liebe das Fundament der Kultur gelegt hatten. Die Frauen vertreten die Interessen der Familie und des Sexual</w:t>
      </w:r>
      <w:r w:rsidRPr="00941D22">
        <w:rPr>
          <w:rFonts w:ascii="Garamond" w:hAnsi="Garamond"/>
          <w:lang w:val="en-US"/>
        </w:rPr>
        <w:softHyphen/>
        <w:t>lebens; die Kulturarbeit ist immer mehr Sache der Männer geworden, stellt ihnen immer schwierigere Aufgaben, nötigt sie zu Triebsublimierungen, denen die Frauen wenig gewachsen sind. Da der Mensch nicht über unbegrenzte Quantitäten psychischer Energie verfügt, muß er seine Aufgaben durch zweckmäßige Verteilung der Libido erledigen. Was er für kulturelle Zwecke verbraucht, entzieht er großenteils den Frauen und dem Sexualleben: das beständige Zusammensein mit Männern, seine Abhängigkeit von den Beziehungen zu ihnen entfremden ihn sogar seinen Aufgaben als Ehemann und Vater. So sieht sich die Frau durch die Ansprüche der Kultur in den Hintergrund gedrängt und tritt zu ihr in ein feindliches Verhältnis.</w:t>
      </w:r>
    </w:p>
    <w:p w:rsidR="00941D22" w:rsidRPr="00941D22" w:rsidRDefault="00941D22" w:rsidP="00941D22">
      <w:pPr>
        <w:pStyle w:val="Sansinterligne"/>
        <w:rPr>
          <w:rFonts w:ascii="Garamond" w:hAnsi="Garamond"/>
          <w:lang w:val="en-US"/>
        </w:rPr>
      </w:pPr>
      <w:r w:rsidRPr="00941D22">
        <w:rPr>
          <w:rFonts w:ascii="Garamond" w:hAnsi="Garamond"/>
          <w:lang w:val="en-US"/>
        </w:rPr>
        <w:t>Von Seiten der Kultur ist die Tendenz zur Einschränkung des Sexuallebens nicht minder deutlich als die andere zur Ausdehnung des Kulturkreises. Schon die erste Kulturphase, die des Totemismus, bringt das Verbot der inzes</w:t>
      </w:r>
      <w:r w:rsidRPr="00941D22">
        <w:rPr>
          <w:rFonts w:ascii="Garamond" w:hAnsi="Garamond"/>
          <w:lang w:val="en-US"/>
        </w:rPr>
        <w:softHyphen/>
        <w:t>tuösen Objektwahl mit sich, vielleicht die einschneidendste Verstümmelung, die das menschliche Liebesleben im Laufe der Zeiten erfahren hat. Durch Tabu, Gesetz und Sitte werden weitere Einschränkungen hergestellt, die sowohl die Männer als die Frauen betreffen. Nicht alle Kulturen gehen darin gleich weit; die wirtschaftliche Struktur der Gesellschaft beeinflußt auch das Maß der restlichen Sexualfreiheit. Wir wissen schon, daß die Kultur dabei dem Zwang der ökonomischen Notwendigkeit folgt, da sie der Sexualität einen großen Betrag der psychischen Energie entziehen muß, die sie selbst verbraucht. Dabei benimmt sich die Kultur gegen die Sexualität wie ein Volks</w:t>
      </w:r>
      <w:r w:rsidRPr="00941D22">
        <w:rPr>
          <w:rFonts w:ascii="Garamond" w:hAnsi="Garamond"/>
          <w:lang w:val="en-US"/>
        </w:rPr>
        <w:softHyphen/>
        <w:t>stamm oder eine Schichte der Bevölkerung, die eine andere ihrer Ausbeutung unterworfen hat. Die Angst vor dem Aufstand der Unterdrückten treibt zu strengen Vorsichtsmaßregeln. Einen Höhepunkt solcher Entwicklung zeigt unsere westeuropäische Kultur. Es ist psychologisch durchaus berechtigt, daß sie damit einsetzt, die Äußerungen des kindlichen Sexuallebens zu verpönen, denn die Eindämmung der sexuellen Gelüste der Erwachsenen hat keine Aussicht, wenn ihr nicht in der Kindheit vorgearbeitet wurde. Nur läßt es sich auf keine Art rechtfertigen, daß die Kulturgesellschaft so weit gegangen ist, diese leicht nachweisbaren, ja auffälligen Phänomene auch zu leugnen. Die Objektwahl des geschlechtsreifen Individuums wird auf das gegenteilige Geschlecht eingeengt, die meisten außergenitalen Befriedi</w:t>
      </w:r>
      <w:r w:rsidRPr="00941D22">
        <w:rPr>
          <w:rFonts w:ascii="Garamond" w:hAnsi="Garamond"/>
          <w:lang w:val="en-US"/>
        </w:rPr>
        <w:softHyphen/>
        <w:t>gungen als Perversionen untersagt. Die in diesen Verboten kundgegebene Forderung eines für alle gleichartigen Sexuallebens setzt sich über die Ungleichheiten in der angeborenen und erworbenen Sexualkonstitution der Menschen hinaus, schneidet eine ziemliche Anzahl von ihnen vom Sexualgenuß ab und wird so die Quelle schwerer Ungerechtigkeit. Der Erfolg dieser einschränkenden Maßregeln könnte nun sein, daß bei denen, die normal, die nicht konstitutionell daran verhindert sind, alles Sexualinteresse ohne Einbuße in die offen gelassenen Kanäle einströmt. Aber was von der Ächtung frei bleibt, die heterosexuelle genitale Liebe, wird durch die Beschränkungen der Legitimität und der Einehe weiter beeinträchtigt. Die heutige Kultur gibt deutlich zu erkennen, daß sie sexuelle Beziehungen nur auf Grund einer einmaligen, unauflösbaren Bindung eines Mannes an ein Weib gestatten will, daß sie die Sexualität als selbständige Lustquelle nicht mag und sie nur als bisher unersetzte Quelle für die Vermehrung der Menschen zu dulden gesinnt ist.</w:t>
      </w:r>
    </w:p>
    <w:p w:rsidR="00941D22" w:rsidRPr="00941D22" w:rsidRDefault="00941D22" w:rsidP="00941D22">
      <w:pPr>
        <w:pStyle w:val="Sansinterligne"/>
        <w:rPr>
          <w:rFonts w:ascii="Garamond" w:hAnsi="Garamond"/>
          <w:lang w:val="en-US"/>
        </w:rPr>
      </w:pPr>
      <w:r w:rsidRPr="00941D22">
        <w:rPr>
          <w:rFonts w:ascii="Garamond" w:hAnsi="Garamond"/>
          <w:lang w:val="en-US"/>
        </w:rPr>
        <w:lastRenderedPageBreak/>
        <w:t>Das ist natürlich ein Extrem. Es ist bekannt, daß es sich als undurch</w:t>
      </w:r>
      <w:r w:rsidRPr="00941D22">
        <w:rPr>
          <w:rFonts w:ascii="Garamond" w:hAnsi="Garamond"/>
          <w:lang w:val="en-US"/>
        </w:rPr>
        <w:softHyphen/>
        <w:t>führbar, selbst für kürzere Zeiten, erwiesen hat. Nur die Schwächlinge haben sich einem so weitgehenden Einbruch in ihre Sexualfreiheit gefügt, stärkere Naturen nur unter einer kompensierenden Bedingung, von der später die Rede sein kann. Die Kulturgesellschaft hat sich genötigt gesehen, viele Überschreitungen stillschweigend zuzulassen, die sie nach ihren Satzungen hätte verfolgen müssen. Doch darf man nicht nach der anderen Seite irregehen und annehmen, eine solche kulturelle Einstellung sei überhaupt harmlos, weil sie nicht alle ihre Absichten erreiche. Das Sexualleben des Kulturmenschen ist doch schwer geschädigt, es macht mitunter den Eindruck einer in Rückbildung befindlichen Funktion, wie unser Gebiß und unsere Kopfhaare als Organe zu sein scheinen. Man hat wahrscheinlich ein Recht anzunehmen, daß seine Bedeutung als Quelle von Glücksempfindungen, also in der Erfüllung unseres Lebenszweckes, empfindlich nachgelassen hat.</w:t>
      </w:r>
      <w:r w:rsidRPr="00941D22">
        <w:rPr>
          <w:rFonts w:ascii="Garamond" w:hAnsi="Garamond"/>
          <w:vertAlign w:val="superscript"/>
          <w:lang w:val="en-US"/>
        </w:rPr>
        <w:t>2)</w:t>
      </w:r>
      <w:r w:rsidRPr="00941D22">
        <w:rPr>
          <w:rFonts w:ascii="Garamond" w:hAnsi="Garamond"/>
          <w:lang w:val="en-US"/>
        </w:rPr>
        <w:t xml:space="preserve"> Manchmal glaubt man zu erkennen, es sei nicht allein der Druck der Kultur, sondern etwas am Wesen der Funktion selbst versage uns die volle Befriedigung und dränge uns auf andere Wege. Es mag ein Irrtum sein, es ist schwer zu entscheiden.</w:t>
      </w:r>
      <w:r w:rsidRPr="00941D22">
        <w:rPr>
          <w:rFonts w:ascii="Garamond" w:hAnsi="Garamond"/>
          <w:vertAlign w:val="superscript"/>
          <w:lang w:val="en-US"/>
        </w:rPr>
        <w:t>3)</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t>____________________</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1)</w:t>
      </w:r>
      <w:r w:rsidRPr="00941D22">
        <w:rPr>
          <w:rFonts w:ascii="Garamond" w:hAnsi="Garamond"/>
          <w:lang w:val="en-US"/>
        </w:rPr>
        <w:t xml:space="preserve"> Die organische Periodizität des Sexualvorgangs ist zwar erhalten geblieben, aber ihr Einfluß auf die psychische Sexualerregung hat sich eher ins Gegenteil verkehrt. Diese Veränderung hängt am ehesten zusammen mit dem Zurücktreten der Geruchsreize, durch welche der Menstruationsvorgang auf die männliche Psyche einwirkte. Deren Rolle wurde von Gesichtserregungen übernommen, die im Gegen</w:t>
      </w:r>
      <w:r w:rsidRPr="00941D22">
        <w:rPr>
          <w:rFonts w:ascii="Garamond" w:hAnsi="Garamond"/>
          <w:lang w:val="en-US"/>
        </w:rPr>
        <w:softHyphen/>
        <w:t>satz zu den intermittierenden Geruchsreizen eine permanente Wirkung unterhalten konnten. Das Tabu der Menstruation entstammt dieser »organischen Verdrängung« als Abwehr einer überwundenen Entwicklungsphase; alle anderen Motivierungen sind wahrscheinlich sekundärer Natur. (Vgl. C. D. Daly, 1927.) Dieser Vorgang wiederholt sich auf anderem Niveau, wenn die Götter einer überholten Kulturperiode zu Dämonen werden. Das Zurücktreten der Geruchsreize scheint aber selbst Folge der Abwendung des Menschen von der Erde, des Entschlusses zum aufrechten Gang, der nun die bisher gedeckten Genitalien sichtbar und schutzbedürftig macht und so das Schämen hervorruft. Am Beginne des verhängnisvollen Kulturprozesses stünde also die Aufrichtung des Menschen. Die Verkettung läuft von hier aus über die Entwertung der Geruchsreize und die Isolierung der Periode zum Obergewicht der Gesichtsreize, Sichtbarwerden der Genitalien, weiter zur Kontinuität der Sexualerregung, Gründung der Familie und damit zur Schwelle der menschlichen Kultur. Dies ist nur eine theoretische Spekulation, aber wichtig genug, um eine exakte Nachprüfung an den Lebensverhältnissen der dem Menschen nahestehenden Tiere zu verdienen.</w:t>
      </w:r>
    </w:p>
    <w:p w:rsidR="00941D22" w:rsidRPr="00941D22" w:rsidRDefault="00941D22" w:rsidP="00941D22">
      <w:pPr>
        <w:pStyle w:val="Sansinterligne"/>
        <w:rPr>
          <w:rFonts w:ascii="Garamond" w:hAnsi="Garamond"/>
          <w:lang w:val="en-US"/>
        </w:rPr>
      </w:pPr>
      <w:r w:rsidRPr="00941D22">
        <w:rPr>
          <w:rFonts w:ascii="Garamond" w:hAnsi="Garamond"/>
          <w:lang w:val="en-US"/>
        </w:rPr>
        <w:t>Auch in dem Kulturstreben nach Reinlichkeit, das in hygienischen Rücksichten eine nachträgliche Rechtfertigung findet, aber sich bereits vor dieser Einsicht ge</w:t>
      </w:r>
      <w:r w:rsidRPr="00941D22">
        <w:rPr>
          <w:rFonts w:ascii="Garamond" w:hAnsi="Garamond"/>
          <w:lang w:val="en-US"/>
        </w:rPr>
        <w:softHyphen/>
        <w:t>äußert hat, ist ein soziales Moment unverkennbar. Der Antrieb zur Reinlichkeit entspringt dem Drang nach Beseitigung der Exkremente, die der Sinneswahrneh</w:t>
      </w:r>
      <w:r w:rsidRPr="00941D22">
        <w:rPr>
          <w:rFonts w:ascii="Garamond" w:hAnsi="Garamond"/>
          <w:lang w:val="en-US"/>
        </w:rPr>
        <w:softHyphen/>
        <w:t>mung unangenehm geworden sind. Wir wissen, daß es in der Kinderstube anders ist. Die Exkremente erregen beim Kinde keinen Abscheu, erscheinen ihm als losgelöster Teil seines Körpers wertvoll. Die Erziehung dringt hier besonders energisch auf die Beschleunigung des bevorstehenden Entwicklungsganges, der die Exkremente wertlos, ekelhaft, abscheulich und verwerflich machen soll. Eine solche Umwertung wäre kaum möglich, wenn diese dem Körper entzogenen Stoffe nicht durch ihre starken Gerüche verurteilt wären, an dem Schicksal teilzunehmen, das nach der Aufrichtung des Menschen vom Boden den Geruchsreizen vorbehalten ist. Die Analerotik erliegt also zunächst der »organischen Verdrängung«, die den Weg zur Kultur gebahnt hat. Der soziale Faktor, der die weitere Umwandlung der Analerotik besorgt, bezeugt sich durch die Tatsache, daß trotz aller Entwicklungsfortschritte dem Menschen der Geruch der eigenen Exkremente kaum anstößig ist, immer nur der der Ausscheidungen des anderen. Der Unreinliche, d. h. der, der seine Exkremente nicht verbirgt, beleidigt also den anderen, zeigt keine Rücksicht für ihn, und dasselbe besagen ja auch die kräftigsten, gebräuchlichsten Beschimpfungen. Es wäre auch unverständlich, daß der Mensch den Namen seines treuesten Freundes in der Tierwelt als Schimpfwort verwendet, wenn der Hund nicht durch zwei Eigenschaften die Verachtung des Menschen auf sich zöge, daß er ein Geruchstier ist, das sich vor Exkrementen nicht scheut, und daß er sich seiner sexuellen Funktionen nicht schämt.</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2)</w:t>
      </w:r>
      <w:r w:rsidRPr="00941D22">
        <w:rPr>
          <w:rFonts w:ascii="Garamond" w:hAnsi="Garamond"/>
          <w:lang w:val="en-US"/>
        </w:rPr>
        <w:t xml:space="preserve"> Unter den Dichtungen des feinsinnigen Engländers J. Galsworthy, der sich heute allgemeiner Anerkennung erfreut, schätzte ich früh eine kleine Geschichte, be</w:t>
      </w:r>
      <w:r w:rsidRPr="00941D22">
        <w:rPr>
          <w:rFonts w:ascii="Garamond" w:hAnsi="Garamond"/>
          <w:lang w:val="en-US"/>
        </w:rPr>
        <w:softHyphen/>
        <w:t>titelt: ›The Apple-Tree‹. Sie zeigt in eindringlicher Weise, wie im Leben des heutigen Kulturmenschen für die einfache, natürliche Liebe zweier Menschenkinder kein Raum mehr ist.</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lastRenderedPageBreak/>
        <w:t>3)</w:t>
      </w:r>
      <w:r w:rsidRPr="00941D22">
        <w:rPr>
          <w:rFonts w:ascii="Garamond" w:hAnsi="Garamond"/>
          <w:lang w:val="en-US"/>
        </w:rPr>
        <w:t xml:space="preserve"> Folgende Bemerkungen, um die oben ausgesprochene Vermutung zu stützen: Auch der Mensch ist ein Tierwesen von unzweideutig bisexueller Anlage. Das Individuum entspricht einer Verschmelzung zweier symmetrischer Hälften, von denen nach Ansicht mancher Forscher die eine rein männlich, die andere weiblich ist. Ebensowohl ist es möglich, daß jede Hälfte ursprünglich hermaphroditisch war. Die Geschlechtlichkeit ist eine biologische Tatsache, die, obwohl von außerordentlicher Bedeutung für das Seelenleben, psychologisch schwer zu erfassen ist. Wir sind gewohnt zu sagen: jeder Mensch zeige sowohl männliche als weibliche Trieb</w:t>
      </w:r>
      <w:r w:rsidRPr="00941D22">
        <w:rPr>
          <w:rFonts w:ascii="Garamond" w:hAnsi="Garamond"/>
          <w:lang w:val="en-US"/>
        </w:rPr>
        <w:softHyphen/>
        <w:t>regungen, Bedürfnisse, Eigenschaften, aber den Charakter des Männlichen und Weiblichen kann zwar die Anatomie, aber nicht die Psychologie aufzeigen. Für sie verblaßt der geschlechtliche Gegensatz zu dem von Aktivität und Passivität, wobei wir allzu unbedenklich die Aktivität mit der Männlichkeit, die Passivität mit der Weiblichkeit zusammenfallen lassen, was sich in der Tierreihe keineswegs ausnahms</w:t>
      </w:r>
      <w:r w:rsidRPr="00941D22">
        <w:rPr>
          <w:rFonts w:ascii="Garamond" w:hAnsi="Garamond"/>
          <w:lang w:val="en-US"/>
        </w:rPr>
        <w:softHyphen/>
        <w:t>los bestätigt. Die Lehre von der Bisexualität liegt noch sehr im dunkeln, und daß sie noch keine Verknüpfung mit der Trieblehre gefunden hat, müssen wir in der Psychoanalyse als schwere Störung verspüren. Wie dem auch sein mag, wenn wir als tatsächlich annehmen, daß der Einzelne in seinem Sexualleben männliche wie weibliche Wünsche befriedigen will, sind wir für die Möglichkeit vorbereitet, daß diese Ansprüche nicht durch das nämliche Objekt erfüllt werden und daß sie einander stören, wenn es nicht gelingt, sie auseinanderzuhalten und jede Regung in eine besondere, ihr angemessene Bahn zu leiten. Eine andere Schwierigkeit ergibt sich daraus, daß der erotischen Beziehung außer der ihr eigenen sadistischen Komponente so häufig ein Betrag von direkter Aggressionsneigung beigesellt ist. Das Liebesobjekt wird diesen Komplikationen nicht immer soviel Verständnis und Toleranz entgegenbringen wie jene Bäuerin, die sich beklagt, daß ihr Mann sie nicht mehr liebt, weil er sie seit einer Woche nicht mehr geprügelt hat.</w:t>
      </w:r>
    </w:p>
    <w:p w:rsidR="00941D22" w:rsidRPr="00941D22" w:rsidRDefault="00941D22" w:rsidP="00941D22">
      <w:pPr>
        <w:pStyle w:val="Sansinterligne"/>
        <w:rPr>
          <w:rFonts w:ascii="Garamond" w:hAnsi="Garamond"/>
          <w:lang w:val="en-US"/>
        </w:rPr>
      </w:pPr>
      <w:r w:rsidRPr="00A06A59">
        <w:rPr>
          <w:rFonts w:ascii="Garamond" w:hAnsi="Garamond"/>
          <w:lang w:val="en-US"/>
        </w:rPr>
        <w:t>Am tiefsten reicht aber die Vermutung, die an die Ausführungen in der Anmer</w:t>
      </w:r>
      <w:r w:rsidRPr="00A06A59">
        <w:rPr>
          <w:rFonts w:ascii="Garamond" w:hAnsi="Garamond"/>
          <w:lang w:val="en-US"/>
        </w:rPr>
        <w:softHyphen/>
        <w:t xml:space="preserve">kung S. 229 f. anknüpft, daß mit der Aufrichtung des Menschen und der Entwertung des Geruchssinnes die gesamte Sexualität, nicht nur die Analerotik, ein Opfer der organischen Verdrängung zu werden drohte, so daß seither die sexuelle Funktion von einem weiter nicht zu begründenden Widerstreben begleitet wird, das eine volle Befriedigung verhindert und vom Sexualziel wegdrängt zu Sublimierungen und Libidoverschiebungen. </w:t>
      </w:r>
      <w:r w:rsidRPr="00941D22">
        <w:rPr>
          <w:rFonts w:ascii="Garamond" w:hAnsi="Garamond"/>
          <w:lang w:val="en-US"/>
        </w:rPr>
        <w:t>Ich weiß, daß Bleuler (1913) einmal auf das Vorhandensein einer solchen ursprünglichen abweisenden Einstellung zum Sexualleben hingewiesen hat. An der Tatsache des ›</w:t>
      </w:r>
      <w:r w:rsidRPr="00941D22">
        <w:rPr>
          <w:rFonts w:ascii="Garamond" w:hAnsi="Garamond"/>
          <w:i/>
          <w:iCs/>
          <w:lang w:val="en-US"/>
        </w:rPr>
        <w:t>Inter urinas et faeces naseimur</w:t>
      </w:r>
      <w:r w:rsidRPr="00941D22">
        <w:rPr>
          <w:rFonts w:ascii="Garamond" w:hAnsi="Garamond"/>
          <w:lang w:val="en-US"/>
        </w:rPr>
        <w:t>‹ [wir werden zwischen Urin und Faeces geboren] nehmen alle Neurotiker und viele außer ihnen Anstoß. Die Genitalien erzeugen auch starke Geruchsempfindungen, die vielen Menschen uner</w:t>
      </w:r>
      <w:r w:rsidRPr="00941D22">
        <w:rPr>
          <w:rFonts w:ascii="Garamond" w:hAnsi="Garamond"/>
          <w:lang w:val="en-US"/>
        </w:rPr>
        <w:softHyphen/>
        <w:t>träglich sind und ihnen den Sexualverkehr verleiden. So ergäbe sich als tiefste Wurzel der mit der Kultur fortschreitenden Sexualverdrängung die organische Abwehr der mit dem aufrechten Gang gewonnenen neuen Lebensform gegen die frühere animalische Existenz, ein Resultat wissenschaftlicher Erforschung, das sich in merkwürdiger Weise mit oft laut gewordenen banalen Vorurteilen deckt. Immerhin sind dies derzeit nur ungesicherte, von der Wissenschaft nicht erhärtete Möglich</w:t>
      </w:r>
      <w:r w:rsidRPr="00941D22">
        <w:rPr>
          <w:rFonts w:ascii="Garamond" w:hAnsi="Garamond"/>
          <w:lang w:val="en-US"/>
        </w:rPr>
        <w:softHyphen/>
        <w:t xml:space="preserve">keiten. Wir wollen auch nicht vergessen, daß trotz der unleugbaren Entwertung der Geruchsreize es selbst in Europa Völker gibt, die die starken, uns so widrigen Genitalgerüche als Reizmittel der Sexualität hochschätzen und auf sie nicht verzichten wollen. (Siehe die folkloristischen Erhebungen auf die ›Umfrage‹ von Iwan Bloch ›Über den Geruchssinn in der </w:t>
      </w:r>
      <w:r w:rsidRPr="00941D22">
        <w:rPr>
          <w:rFonts w:ascii="Garamond" w:hAnsi="Garamond"/>
          <w:i/>
          <w:iCs/>
          <w:lang w:val="en-US"/>
        </w:rPr>
        <w:t>vita sexualis</w:t>
      </w:r>
      <w:r w:rsidRPr="00941D22">
        <w:rPr>
          <w:rFonts w:ascii="Garamond" w:hAnsi="Garamond"/>
          <w:lang w:val="en-US"/>
        </w:rPr>
        <w:t xml:space="preserve">‹ in verschiedenen Jahrgängen der </w:t>
      </w:r>
      <w:r w:rsidRPr="00941D22">
        <w:rPr>
          <w:rFonts w:ascii="Garamond" w:hAnsi="Garamond"/>
          <w:i/>
          <w:iCs/>
          <w:lang w:val="en-US"/>
        </w:rPr>
        <w:t>Anthroprophyteia</w:t>
      </w:r>
      <w:r w:rsidRPr="00941D22">
        <w:rPr>
          <w:rFonts w:ascii="Garamond" w:hAnsi="Garamond"/>
          <w:lang w:val="en-US"/>
        </w:rPr>
        <w:t xml:space="preserve"> von Friedrich S. Krauß.)</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 xml:space="preserve">V. </w:t>
      </w:r>
      <w:r w:rsidRPr="00941D22">
        <w:rPr>
          <w:rFonts w:ascii="Garamond" w:hAnsi="Garamond"/>
          <w:lang w:val="en-US"/>
        </w:rPr>
        <w:br/>
        <w:t>[Einschränkung der Sexualität und Agression zugunsten der Sicherheit]</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Die psychoanalytische Arbeit hat uns gelehrt, daß gerade diese Versa</w:t>
      </w:r>
      <w:r w:rsidRPr="00941D22">
        <w:rPr>
          <w:rFonts w:ascii="Garamond" w:hAnsi="Garamond"/>
          <w:lang w:val="en-US"/>
        </w:rPr>
        <w:softHyphen/>
        <w:t>gungen des Sexuallebens von den sogenannten Neurotikern nicht vertragen werden. Sie schaffen sich in ihren Symptomen Ersatzbefriedigungen, die aber entweder an sich Leiden schaffen oder Leidensquelle werden, indem sie ihnen Schwierigkeiten mit Umwelt und Gesellschaft bereiten. Das letztere ist leicht verständlich, das andere gibt uns ein neues Rätsel auf. Die Kultur verlangt aber noch andere Opfer als an Sexualbefriedigung.</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Wir haben die Schwierigkeiten der Kulturentwicklung als eine allgemeine Entwicklungsschwierigkeit aufgefaßt, indem wir sie auf die Trägheit der Libido zurückführten, auf deren Abneigung, eine alte Position gegen eine neue zu verlassen. Wir sagen ungefähr dasselbe, wenn wir den Gegensatz zwischen Kultur und Sexualität davon ableiten, daß die sexuelle Liebe ein Verhältnis zwischen zwei Personen ist, bei dem ein Dritter nur überflüssig oder störend sein kann, während die Kultur auf Beziehungen unter einer größeren Menschenanzahl ruht. Auf der Höhe eines Liebesverhältnisses bleibt kein Interesse für die </w:t>
      </w:r>
      <w:r w:rsidRPr="00941D22">
        <w:rPr>
          <w:rFonts w:ascii="Garamond" w:hAnsi="Garamond"/>
          <w:lang w:val="en-US"/>
        </w:rPr>
        <w:lastRenderedPageBreak/>
        <w:t>Umwelt übrig; das Liebespaar genügt sich selbst, braucht auch nicht das gemeinsame Kind, um glücklich zu sein. In keinem anderen Falle verrät der Eros so deutlich den Kern seines Wesens, die Absicht, aus mehreren eines zu machen, aber wenn er dies, wie es sprichwörtlich geworden ist, in der Verliebtheit zweier Menschen zueinander erreicht hat, will er darüber nicht hinausgehen.</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Wir können uns bisher sehr gut vorstellen, daß eine Kulturgemeinschaft: aus solchen Doppelindividuen bestünde, die, in sich libidinös gesättigt, durch das Band der Arbeits- und Interessengemeinschaft miteinander verknüpft sind. </w:t>
      </w:r>
      <w:r w:rsidRPr="00941D22">
        <w:rPr>
          <w:rFonts w:ascii="Garamond" w:hAnsi="Garamond"/>
        </w:rPr>
        <w:t xml:space="preserve">In diesem Falle brauchte die Kultur der Sexualität keine Energie zu entziehen. Aber dieser wünschenswerte Zustand besteht nicht und hat niemals bestanden; die Wirklichkeit zeigt uns, daß die Kultur sich nicht mit den ihr bisher zugestandenen Bindungen begnügt, daß sie die Mitglieder der Gemeinschaft auch libidinös aneinander binden will, daß sie sich aller Mittel hiezu bedient, jeden Weg begünstigt, starke Identifizierungen unter ihnen herzustellen, im größten Ausmaße zielgehemmte Libido aufbietet, um die Gemeinschaftsbande durch Freundschaftsbeziehungen zu kräftigen. </w:t>
      </w:r>
      <w:r w:rsidRPr="00941D22">
        <w:rPr>
          <w:rFonts w:ascii="Garamond" w:hAnsi="Garamond"/>
          <w:lang w:val="en-US"/>
        </w:rPr>
        <w:t>Zur Erfüllung dieser Absichten wird die Einschränkung des Sexuallebens unvermeidlich. Uns fehlt aber die Einsicht in die Notwendigkeit, welche die Kultur auf diesen Weg drängt und ihre Gegnerschaft zur Sexualität begründet. Es muß sich um einen von uns noch nicht entdeckten störenden Faktor handeln.</w:t>
      </w:r>
    </w:p>
    <w:p w:rsidR="00941D22" w:rsidRPr="00941D22" w:rsidRDefault="00941D22" w:rsidP="00941D22">
      <w:pPr>
        <w:pStyle w:val="Sansinterligne"/>
        <w:rPr>
          <w:rFonts w:ascii="Garamond" w:hAnsi="Garamond"/>
          <w:lang w:val="en-US"/>
        </w:rPr>
      </w:pPr>
      <w:r w:rsidRPr="00941D22">
        <w:rPr>
          <w:rFonts w:ascii="Garamond" w:hAnsi="Garamond"/>
          <w:lang w:val="en-US"/>
        </w:rPr>
        <w:t>Eine der sogenannten Idealforderungen der Kulturgesellschaft kann uns hier die Spur zeigen. Sie lautet: »Du sollst den Nächsten lieben wie dich selbst«; sie ist weltberühmt, gewiß älter als das Christentum, das sie als seinen stolzesten Anspruch vorweist, aber sicherlich nicht sehr alt; in historischen Zeiten war sie den Menschen noch fremd. Wir wollen uns naiv zu ihr einstellen, als hörten wir von ihr zum ersten Male. Dann können wir ein Gefühl von Überraschung und Befremden nicht unterdrücken. Warum sollen wir das? Was soll es uns helfen? Vor allem aber, wie bringen wir das zustande? Wie wird es uns möglich? Meine Liebe ist etwas mir Wertvolles, das ich nicht ohne Rechenschaft verwerfen darf. Sie legt mir Pflichten auf, die ich mit Opfern zu erfüllen bereit sein muß. Wenn ich einen anderen liebe, muß er es auf irgendeine Art verdienen. (Ich sehe von dem Nutzen, den er mir bringen kann, sowie von seiner möglichen Bedeutung als Sexualobjekt für mich ab; diese beiden Arten der Beziehung kommen für die Vorschrift der Nächstenliebe nicht in Betracht.) Er verdient es, wenn er mir in wichtigen Stücken so ähnlich ist, daß ich in ihm mich selbst lieben kann; er verdient es, wenn er so viel vollkommener ist als ich, daß ich mein Ideal von meiner eigenen Person in ihm lieben kann; ich muß ihn lieben, wenn er der Sohn meines Freundes ist, denn der Schmerz des Freundes, wenn ihm ein Leid zustößt, wäre auch mein Schmerz, ich müßte ihn teilen. Aber wenn er mir fremd ist und mich durch keinen eigenen Wert, keine bereits erworbene Bedeutung für mein Gefühlsleben anziehen kann, wird es mir schwer, ihn zu lieben. Ich tue sogar unrecht damit, denn meine Liebe wird von all den Meinen als Bevorzugung geschätzt; es ist ein Unrecht an ihnen, wenn ich den Fremden ihnen gleichstelle. Wenn ich ihn aber lieben soll, mit jener Weltliebe, bloß weil er auch ein Wesen dieser Erde ist, wie das Insekt, der Regenwurm, die Ringelnatter, dann wird, fürchte ich, ein geringer Betrag Liebe auf ihn entfallen, unmöglich so viel, als ich nach dem Urteil der Vernunft berechtigt bin, für mich selbst zurückzubehalten. Wozu eine so feierlich auftretende Vorschrift, wenn ihre Erfüllung sich nicht als vernünftig empfehlen kann?</w:t>
      </w:r>
    </w:p>
    <w:p w:rsidR="00941D22" w:rsidRPr="00941D22" w:rsidRDefault="00941D22" w:rsidP="00941D22">
      <w:pPr>
        <w:pStyle w:val="Sansinterligne"/>
        <w:rPr>
          <w:rFonts w:ascii="Garamond" w:hAnsi="Garamond"/>
          <w:lang w:val="en-US"/>
        </w:rPr>
      </w:pPr>
      <w:r w:rsidRPr="00941D22">
        <w:rPr>
          <w:rFonts w:ascii="Garamond" w:hAnsi="Garamond"/>
          <w:lang w:val="en-US"/>
        </w:rPr>
        <w:t>Wenn ich näher zusehe, finde ich noch mehr Schwierigkeiten. Dieser Fremde ist nicht nur im allgemeinen nicht liebenswert, ich muß ehrlich bekennen, er hat mehr Anspruch auf meine Feindseligkeit, sogar auf meinen Haß. Er scheint nicht die mindeste Liebe für mich zu haben, bezeigt mir nicht die geringste Rücksicht. Wenn es ihm einen Nutzen bringt, hat er kein Bedenken, mich zu schädigen, fragt sich dabei auch nicht, ob die Höhe seines Nutzens der Größe des Schadens, den er mir zufügt, entspricht. Ja, er braucht nicht einmal einen Nutzen davon zu haben; wenn er nur irgendeine Lust damit befriedigen kann, macht er sich nichts daraus, mich zu verspotten, zu beleidigen, zu verleumden, seine Macht an mir zu zeigen, und je sicherer er sich fühlt, je hilfloser ich bin, desto sicherer darf ich dies Benehmen gegen mich von ihm erwarten. Wenn er sich anders verhält, wenn er mir als Fremdem Rücksicht und Schonung erweist, bin ich ohnedies, ohne jene Vorschrift bereit, es ihm in ähnlicher Weise zu vergelten. Ja, wenn jenes großartige Gebot lauten würde: »Liebe deinen Nächsten, wie dein Nächster dich liebt«, dann würde ich nicht widersprechen. Es gibt ein zweites Gebot, das mir noch unfaßbarer scheint und ein noch heftigeres Sträuben in mir entfesselt. Es heißt: »Liebe deine Feinde.« Wenn ich's recht überlege, habe ich unrecht, es als eine noch stärkere Zumutung abzuweisen. Es ist im Grunde dasselbe</w:t>
      </w:r>
      <w:r w:rsidRPr="00941D22">
        <w:rPr>
          <w:rFonts w:ascii="Garamond" w:hAnsi="Garamond"/>
          <w:i/>
          <w:iCs/>
          <w:lang w:val="en-US"/>
        </w:rPr>
        <w:t>.</w:t>
      </w:r>
      <w:r w:rsidRPr="00941D22">
        <w:rPr>
          <w:rFonts w:ascii="Garamond" w:hAnsi="Garamond"/>
          <w:vertAlign w:val="superscript"/>
          <w:lang w:val="en-US"/>
        </w:rPr>
        <w:t>1)</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Ich glaube nun von einer würdevollen Stimme die Mahnung zu hören: »Eben darum, weil der Nächste nicht liebenswert und eher dein Feind ist, sollst du ihn lieben wie dich selbst.« Ich verstehe dann, das ist ein ähnlicher Fall wie das </w:t>
      </w:r>
      <w:r w:rsidRPr="00941D22">
        <w:rPr>
          <w:rFonts w:ascii="Garamond" w:hAnsi="Garamond"/>
          <w:i/>
          <w:iCs/>
          <w:lang w:val="en-US"/>
        </w:rPr>
        <w:t>Credo quia absurdum.</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Es ist nun sehr wahrscheinlich, daß der Nächste, wenn er aufgefordert wird, mich so zu lieben wie sich selbst, genauso antworten wird wie ich und mich mit den nämlichen Begründungen abweisen wird. Ich </w:t>
      </w:r>
      <w:r w:rsidRPr="00941D22">
        <w:rPr>
          <w:rFonts w:ascii="Garamond" w:hAnsi="Garamond"/>
          <w:lang w:val="en-US"/>
        </w:rPr>
        <w:lastRenderedPageBreak/>
        <w:t xml:space="preserve">hoffe, nicht mit demselben objektiven Recht, aber dasselbe wird auch er meinen. Immerhin gibt es Unterschiede im Verhalten der Menschen, die die Ethik mit Hinwegsetzung über deren Bedingtheit als »gut« und »böse« klassifiziert. Solange diese unleugbaren Unterschiede nicht aufgehoben sind, bedeutet die Befolgung der hohen ethischen Forderungen eine Schädigung der Kulturabsichten, indem sie direkte Prämien für das Bösesein aufstellt. Man kann hier die Erinnerung an einen Vorgang nicht abweisen, der sich in der französischen Kammer zutrug, als über die Todesstrafe verhandelt wurde; ein Redner hatte sich leidenschaftlich für ihre Abschaffung eingesetzt und erntete stürmischen Beifall, bis eine Stimme aus dem Saale die Worte dazwischenrief: </w:t>
      </w:r>
      <w:r w:rsidRPr="00941D22">
        <w:rPr>
          <w:rFonts w:ascii="Garamond" w:hAnsi="Garamond"/>
          <w:i/>
          <w:iCs/>
          <w:lang w:val="en-US"/>
        </w:rPr>
        <w:t>»Que messieurs les assassins commencent!</w:t>
      </w:r>
      <w:r w:rsidRPr="00941D22">
        <w:rPr>
          <w:rFonts w:ascii="Garamond" w:hAnsi="Garamond"/>
          <w:lang w:val="en-US"/>
        </w:rPr>
        <w:t>«</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Das gern verleugnete Stück Wirklichkeit hinter alledem ist, daß der Mensch nicht ein sanftes, liebebedürftiges Wesen ist, das sich höchstens, wenn angegriffen, auch zu verteidigen vermag, sondern daß er zu seinen Triebbegabungen auch einen mächtigen Anteil von Aggressionsneigung rechnen darf. Infolgedessen ist ihm der Nächste nicht nur möglicher Helfer und Sexualobjekt, sondern auch eine Versuchung, seine Aggression an ihm zu befriedigen, seine Arbeitskraft ohne Entschädigung auszunützen, ihn ohne seine Einwilligung sexuell zu gebrauchen, sich in den Besitz seiner Habe zu setzen, ihn zu demütigen, ihm Schmerzen zu bereiten, zu martern und zu töten. </w:t>
      </w:r>
      <w:r w:rsidRPr="00941D22">
        <w:rPr>
          <w:rFonts w:ascii="Garamond" w:hAnsi="Garamond"/>
          <w:i/>
          <w:iCs/>
          <w:lang w:val="en-US"/>
        </w:rPr>
        <w:t>Homo homini lupus</w:t>
      </w:r>
      <w:r w:rsidRPr="00941D22">
        <w:rPr>
          <w:rFonts w:ascii="Garamond" w:hAnsi="Garamond"/>
          <w:lang w:val="en-US"/>
        </w:rPr>
        <w:t>; wer hat nach allen Erfahrungen des Lebens und der Geschichte den Mut, diesen Satz zu bestreiten? Diese grausame Aggression wartet in der Regel eine Provokation ab oder stellt sich in den Dienst einer anderen Absicht, deren Ziel auch mit milderen Mitteln zu erreichen wäre. Unter ihr günstigen Umständen, wenn die seelischen Gegenkräfte, die sie sonst hemmen, weggefallen sind, äußert sie sich auch spontan, enthüllt den Menschen als wilde Bestie, der die Schonung der eigenen Art fremd ist. Wer die Greuel der Völkerwanderung, der Einbrüche der Hunnen, der sogenannten Mongolen unter Dschengis Khan und Timurlenk, der Eroberung Jerusalems durch die frommen Kreuzfahrer, ja selbst noch die Schrecken des letzten Weltkriegs in seine Erinnerung ruft, wird sich vor der Tatsächlichkeit dieser Auffassung demütig beugen müssen.</w:t>
      </w:r>
    </w:p>
    <w:p w:rsidR="00941D22" w:rsidRPr="00941D22" w:rsidRDefault="00941D22" w:rsidP="00941D22">
      <w:pPr>
        <w:pStyle w:val="Sansinterligne"/>
        <w:rPr>
          <w:rFonts w:ascii="Garamond" w:hAnsi="Garamond"/>
          <w:lang w:val="en-US"/>
        </w:rPr>
      </w:pPr>
      <w:r w:rsidRPr="00941D22">
        <w:rPr>
          <w:rFonts w:ascii="Garamond" w:hAnsi="Garamond"/>
          <w:lang w:val="en-US"/>
        </w:rPr>
        <w:t>Die Existenz dieser Aggressionsneigung, die wir bei uns selbst verspüren können, beim anderen mit Recht voraussetzen, ist das Moment, das unser Verhältnis zum Nächsten stört und die Kultur zu ihrem Aufwand nötigt. Infolge dieser primären Feindseligkeit der Menschen gegeneinander ist die Kulturgesellschaft beständig vom Zerfall bedroht. Das Interesse der Arbeits</w:t>
      </w:r>
      <w:r w:rsidRPr="00941D22">
        <w:rPr>
          <w:rFonts w:ascii="Garamond" w:hAnsi="Garamond"/>
          <w:lang w:val="en-US"/>
        </w:rPr>
        <w:softHyphen/>
        <w:t>gemeinschaft würde sie nicht zusammenhalten, triebhafte Leidenschaften sind stärker als vernünftige Interessen. Die Kultur muß alles aufbieten, um den Aggressionstrieben der Menschen Schranken zu setzen, ihre Äußerungen durch psychische Reaktionsbildungen niederzuhalten. Daher also das Aufge</w:t>
      </w:r>
      <w:r w:rsidRPr="00941D22">
        <w:rPr>
          <w:rFonts w:ascii="Garamond" w:hAnsi="Garamond"/>
          <w:lang w:val="en-US"/>
        </w:rPr>
        <w:softHyphen/>
        <w:t>bot von Methoden, die die Menschen zu Identifizierungen und zielgehemmten Liebesbeziehungen antreiben sollen, daher die Einschränkung des Sexual</w:t>
      </w:r>
      <w:r w:rsidRPr="00941D22">
        <w:rPr>
          <w:rFonts w:ascii="Garamond" w:hAnsi="Garamond"/>
          <w:lang w:val="en-US"/>
        </w:rPr>
        <w:softHyphen/>
        <w:t>lebens und daher auch das Idealgebot, den Nächsten so zu lieben wie sich selbst, das sich wirklich dadurch rechtfertigt, daß nichts anderes der ur</w:t>
      </w:r>
      <w:r w:rsidRPr="00941D22">
        <w:rPr>
          <w:rFonts w:ascii="Garamond" w:hAnsi="Garamond"/>
          <w:lang w:val="en-US"/>
        </w:rPr>
        <w:softHyphen/>
        <w:t>sprünglichen menschlichen Natur so sehr zuwiderläuft. Durch alle ihre Mühen hat diese Kulturbestrebung bisher nicht sehr viel erreicht. Die gröbsten Aus</w:t>
      </w:r>
      <w:r w:rsidRPr="00941D22">
        <w:rPr>
          <w:rFonts w:ascii="Garamond" w:hAnsi="Garamond"/>
          <w:lang w:val="en-US"/>
        </w:rPr>
        <w:softHyphen/>
        <w:t>schreitungen der brutalen Gewalt hofft sie zu verhüten, indem sie sich selbst das Recht beilegt, an den Verbrechern Gewalt zu üben, aber die vorsichtige</w:t>
      </w:r>
      <w:r w:rsidRPr="00941D22">
        <w:rPr>
          <w:rFonts w:ascii="Garamond" w:hAnsi="Garamond"/>
          <w:lang w:val="en-US"/>
        </w:rPr>
        <w:softHyphen/>
        <w:t>ren und feineren Äußerungen der menschlichen Aggression vermag das Gesetz nicht zu erfassen. Jeder von uns kommt dahin, die Erwartungen, die er in der Jugend an seine Mitmenschen geknüpft, als Illusionen fallenzu</w:t>
      </w:r>
      <w:r w:rsidRPr="00941D22">
        <w:rPr>
          <w:rFonts w:ascii="Garamond" w:hAnsi="Garamond"/>
          <w:lang w:val="en-US"/>
        </w:rPr>
        <w:softHyphen/>
        <w:t>lassen, und kann erfahren, wie sehr ihm das Leben durch deren Übelwollen erschwert und schmerzhaft gemacht wird. Dabei wäre es ein Unrecht, der Kultur vorzuwerfen, daß sie Streit und Wettkampf aus den menschlichen Betätigungen ausschließen will. Diese sind sicherlich unentbehrlich, aber Gegnerschaft ist nicht notwendig Feindschaft, wird nur zum Anlaß für sie mißbraucht.</w:t>
      </w:r>
    </w:p>
    <w:p w:rsidR="00941D22" w:rsidRPr="00941D22" w:rsidRDefault="00941D22" w:rsidP="00941D22">
      <w:pPr>
        <w:pStyle w:val="Sansinterligne"/>
        <w:rPr>
          <w:rFonts w:ascii="Garamond" w:hAnsi="Garamond"/>
          <w:lang w:val="en-US"/>
        </w:rPr>
      </w:pPr>
      <w:r w:rsidRPr="00941D22">
        <w:rPr>
          <w:rFonts w:ascii="Garamond" w:hAnsi="Garamond"/>
          <w:lang w:val="en-US"/>
        </w:rPr>
        <w:t>Die Kommunisten glauben den Weg zur Erlösung vom Übel gefunden zu haben. Der Mensch ist eindeutig gut, seinem Nächsten wohlgesinnt, aber die Einrichtung des privaten Eigentums hat seine Natur verdorben. Besitz an privaten Gütern gibt dem einen die Macht und damit die Versuchung, den Nächsten zu mißhandeln; der vom Besitz Ausgeschlossene muß sich in Feind</w:t>
      </w:r>
      <w:r w:rsidRPr="00941D22">
        <w:rPr>
          <w:rFonts w:ascii="Garamond" w:hAnsi="Garamond"/>
          <w:lang w:val="en-US"/>
        </w:rPr>
        <w:softHyphen/>
        <w:t>seligkeit gegen den Unterdrücker auflehnen. Wenn man das Privateigentum aufhebt, alle Güter gemeinsam macht und alle Menschen an deren Genuß teilnehmen läßt, werden Übelwollen und Feindseligkeit unter den Menschen verschwinden. Da alle Bedürfnisse befriedigt sind, wird keiner Grund haben, in dem anderen seinen Feind zu sehen; der notwendigen Arbeit werden sich alle bereitwillig unterziehen. Ich habe nichts mit der wirtschaftlichen Kritik des kommunistischen Systems zu tun, ich kann nicht untersuchen, ob die Abschaffung des privaten Eigentums zweckdienlich und vorteilhaft ist.</w:t>
      </w:r>
      <w:r w:rsidRPr="00941D22">
        <w:rPr>
          <w:rFonts w:ascii="Garamond" w:hAnsi="Garamond"/>
          <w:vertAlign w:val="superscript"/>
          <w:lang w:val="en-US"/>
        </w:rPr>
        <w:t>2)</w:t>
      </w:r>
      <w:r w:rsidRPr="00941D22">
        <w:rPr>
          <w:rFonts w:ascii="Garamond" w:hAnsi="Garamond"/>
          <w:lang w:val="en-US"/>
        </w:rPr>
        <w:t xml:space="preserve"> Aber seine psychologische Voraussetzung vermag ich als haltlose Illusion zu erkennen. Mit der Aufhebung des Privateigentums entzieht man der menschlichen Aggressionslust eines ihrer Werkzeuge, gewiß ein starkes und gewiß nicht das stärkste. An den Unterschieden von Macht und Einfluß, welche die Aggression für ihre Absichten mißbraucht, daran hat </w:t>
      </w:r>
      <w:r w:rsidRPr="00941D22">
        <w:rPr>
          <w:rFonts w:ascii="Garamond" w:hAnsi="Garamond"/>
          <w:lang w:val="en-US"/>
        </w:rPr>
        <w:lastRenderedPageBreak/>
        <w:t>man nichts geändert, auch an ihrem Wesen nicht. Sie ist nicht durch das Eigentum geschaffen worden, herrschte fast uneingeschränkt in Urzeiten, als das Eigentum noch sehr armselig war, zeigt sich bereits in der Kinderstube, kaum daß das Eigentum seine anale Urform aufgegeben hat, bildet den Bodensatz aller zärtlichen und Liebesbeziehungen unter den Menschen, vielleicht mit alleiniger Ausnahme der einer Mutter zu ihrem männlichen Kind. Räumt man das persönliche Anrecht auf dingliche Güter weg, so bleibt noch das Vorrecht aus sexuellen Beziehungen, das die Quelle der stärksten Mißgunst und der heftigsten Feindseligkeit unter den sonst gleichgestellten Menschen werden muß. Hebt man auch dieses auf durch die völlige Befreiung des Sexuallebens, beseitigt also die Familie, die Keimzelle der Kultur, so läßt sich zwar nicht vorhersehen, welche neuen Wege die Kulturentwicklung einschlagen kann, aber eines darf man erwarten, daß der unzerstörbare Zug der menschlichen Natur ihr auch dorthin folgen wird.</w:t>
      </w:r>
    </w:p>
    <w:p w:rsidR="00941D22" w:rsidRPr="00941D22" w:rsidRDefault="00941D22" w:rsidP="00941D22">
      <w:pPr>
        <w:pStyle w:val="Sansinterligne"/>
        <w:rPr>
          <w:rFonts w:ascii="Garamond" w:hAnsi="Garamond"/>
          <w:lang w:val="en-US"/>
        </w:rPr>
      </w:pPr>
      <w:r w:rsidRPr="00941D22">
        <w:rPr>
          <w:rFonts w:ascii="Garamond" w:hAnsi="Garamond"/>
          <w:lang w:val="en-US"/>
        </w:rPr>
        <w:t>Es wird den Menschen offenbar nicht leicht, auf die Befriedigung dieser ihrer Aggressionsneigung zu verzichten; sie fühlen sich nicht wohl dabei. Der Vorteil eines kleineren Kulturkreises, daß er dem Trieb einen Ausweg an der Befeindung der Außenstehenden gestattet, ist nicht geringzuschätzen. Es ist immer möglich, eine größere Menge von Menschen in Liebe aneinander zu binden, wenn nur andere für die Äußerung der Aggression übrigbleiben. Ich habe mich einmal mit dem Phänomen beschäftigt, daß gerade benachbarte und einander auch sonst nahestehende Gemeinschaften sich gegenseitig befehden und verspotten, so Spanier und Portugiesen, Nord- und Süddeutsche, Engländer und Schotten usw</w:t>
      </w:r>
      <w:r w:rsidRPr="00941D22">
        <w:rPr>
          <w:rFonts w:ascii="Garamond" w:hAnsi="Garamond"/>
          <w:i/>
          <w:iCs/>
          <w:lang w:val="en-US"/>
        </w:rPr>
        <w:t>.</w:t>
      </w:r>
      <w:r w:rsidRPr="00941D22">
        <w:rPr>
          <w:rFonts w:ascii="Garamond" w:hAnsi="Garamond"/>
          <w:lang w:val="en-US"/>
        </w:rPr>
        <w:t xml:space="preserve"> Ich gab ihm den Namen »Narzißmus der kleinen Differenzen«, der nicht viel zur Erklärung beiträgt. Man erkennt nun darin eine bequeme und relativ harmlose Befriedigung der Aggressionsneigung, durch die den Mitgliedern der Gemeinschaft das Zusammenhalten erleichtert wird. Das überallhin versprengte Volk der Juden hat sich in dieser Weise anerkennenswerte Verdienste um die Kulturen seiner Wirtsvölker erworben; leider haben alle Judengemetzel des Mittelalters nicht ausgereicht, dieses Zeitalter friedlicher und sicherer für seine christlichen Genossen zu gestalten. Nachdem der Apostel Paulus die allgemeine Menschenliebe zum Fundament seiner christlichen Gemeinde gemacht hatte, war die äußerste Intoleranz des Christentums gegen die draußen Verbliebenen eine unvermeidliche Folge geworden; den Römern, die ihr staatliches Gemeinwesen nicht auf die Liebe begründet hatten, war religiöse Unduldsamkeit fremd gewesen, obwohl die Religion bei ihnen Sache des Staates und der Staat von Religion durchtränkt war. Es war auch kein unverständlicher Zufall, daß der Traum einer germanischen Weltherrschaft zu seiner Ergänzung den Antisemitismus aufrief, und man erkennt es als begreiflich, daß der Versuch, eine neue kommunistische Kultur in Rußland aufzurichten, in der Verfolgung der Bourgeois seine psychologische Unterstützung findet. Man fragt sich nur besorgt, was die Sowjets anfangen werden, nachdem sie ihre Bourgeois ausgerottet haben.</w:t>
      </w:r>
    </w:p>
    <w:p w:rsidR="00941D22" w:rsidRPr="00941D22" w:rsidRDefault="00941D22" w:rsidP="00941D22">
      <w:pPr>
        <w:pStyle w:val="Sansinterligne"/>
        <w:rPr>
          <w:rFonts w:ascii="Garamond" w:hAnsi="Garamond"/>
          <w:lang w:val="en-US"/>
        </w:rPr>
      </w:pPr>
      <w:r w:rsidRPr="00941D22">
        <w:rPr>
          <w:rFonts w:ascii="Garamond" w:hAnsi="Garamond"/>
          <w:lang w:val="en-US"/>
        </w:rPr>
        <w:t>Wenn die Kultur nicht allein der Sexualität, sondern auch der Aggressionsneigung des Menschen so große Opfer auferlegt, so verstehen wir es besser, daß es dem Menschen schwer wird, sich in ihr beglückt zu finden. Der Urmensch hatte es in der Tat darin besser, da er keine Triebeinschränkungen kannte. Zum Ausgleich war seine Sicherheit, solches Glück lange zu genießen, eine sehr geringe. Der Kulturmensch hat für ein Stück Glücksmöglichkeit ein Stück Sicherheit eingetauscht. Wir wollen aber nicht vergessen, daß in der Urfamilie nur das Oberhaupt sich solcher Triebfreiheit erfreute; die anderen lebten in sklavischer Unterdrückung. Der Gegensatz zwischen einer die Vorteile der Kultur genießenden Minderheit und einer dieser Vorteile beraubten Mehrzahl war also in jener Urzeit der Kultur aufs Äußerste getrieben. Über den heute lebenden Primitiven haben wir durch sorgfältigere Erkundung erfahren, daß sein Triebleben keineswegs ob seiner Freiheit beneidet werden darf; es unterliegt Einschränkungen von anderer Art, aber vielleicht von größerer Strenge als das des modernen Kulturmenschen.</w:t>
      </w:r>
    </w:p>
    <w:p w:rsidR="00941D22" w:rsidRPr="00941D22" w:rsidRDefault="00941D22" w:rsidP="00941D22">
      <w:pPr>
        <w:pStyle w:val="Sansinterligne"/>
        <w:rPr>
          <w:rFonts w:ascii="Garamond" w:hAnsi="Garamond"/>
          <w:lang w:val="en-US"/>
        </w:rPr>
      </w:pPr>
      <w:r w:rsidRPr="00941D22">
        <w:rPr>
          <w:rFonts w:ascii="Garamond" w:hAnsi="Garamond"/>
          <w:lang w:val="en-US"/>
        </w:rPr>
        <w:t>Wenn wir gegen unseren jetzigen Kulturzustand mit Recht einwenden, wie unzureichend er unsere Forderungen an eine beglückende Lebensordnung erfüllt, wieviel Leid er gewähren läßt, das wahrscheinlich zu vermeiden wäre, wenn wir mit schonungsloser Kritik die Wurzeln seiner Unvollkommenheit aufzudecken streben, üben wir gewiß unser gutes Recht und zeigen uns nicht als Kulturfeinde. Wir dürfen erwarten, allmählich solche Abänderungen unserer Kultur durchzusetzen, die unsere Bedürfnisse besser befriedigen und jener Kritik entgehen. Aber vielleicht machen wir uns auch mit der Idee vertraut, daß es Schwierigkeiten gibt, die dem Wesen der Kultur anhaften und die keinem Reformversuch weichen werden. Außer den Aufgaben der Triebeinschränkung, auf die wir vorbereitet sind, drängt sich uns die Gefahr eines Zustandes auf, den man »das psychologische Elend der Masse« benennen kann. Diese Gefahr droht am ehesten, wo die gesellschaftliche Bindung hauptsächlich durch Identifizierung der Teilnehmer untereinander hergestellt wird, während Führerindividualitäten nicht zu jener Bedeutung kommen, die ihnen bei der Massenbildung zufallen sollte.</w:t>
      </w:r>
      <w:r w:rsidRPr="00941D22">
        <w:rPr>
          <w:rFonts w:ascii="Garamond" w:hAnsi="Garamond"/>
          <w:vertAlign w:val="superscript"/>
          <w:lang w:val="en-US"/>
        </w:rPr>
        <w:t>3)</w:t>
      </w:r>
      <w:r w:rsidRPr="00941D22">
        <w:rPr>
          <w:rFonts w:ascii="Garamond" w:hAnsi="Garamond"/>
          <w:lang w:val="en-US"/>
        </w:rPr>
        <w:t xml:space="preserve"> Der gegenwärtige Kulturzustand Amerikas gäbe eine gute Gelegenheit, diesen befürchteten Kulturschaden zu studieren. </w:t>
      </w:r>
      <w:r w:rsidRPr="00941D22">
        <w:rPr>
          <w:rFonts w:ascii="Garamond" w:hAnsi="Garamond"/>
          <w:lang w:val="en-US"/>
        </w:rPr>
        <w:lastRenderedPageBreak/>
        <w:t>Aber ich vermeide die Versuchung, in die Kritik der Kultur Amerikas einzugehen; ich will nicht den Eindruck hervorrufen, als wollte ich mich selbst amerikanischer Methoden bedienen.</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A06A59" w:rsidRDefault="00941D22" w:rsidP="00941D22">
      <w:pPr>
        <w:pStyle w:val="Sansinterligne"/>
        <w:rPr>
          <w:rFonts w:ascii="Garamond" w:hAnsi="Garamond"/>
          <w:lang w:val="en-US"/>
        </w:rPr>
      </w:pPr>
      <w:r w:rsidRPr="00A06A59">
        <w:rPr>
          <w:rFonts w:ascii="Garamond" w:hAnsi="Garamond"/>
          <w:lang w:val="en-US"/>
        </w:rPr>
        <w:t>__________________</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1)</w:t>
      </w:r>
      <w:r w:rsidRPr="00941D22">
        <w:rPr>
          <w:rFonts w:ascii="Garamond" w:hAnsi="Garamond"/>
          <w:lang w:val="en-US"/>
        </w:rPr>
        <w:t xml:space="preserve"> Ein großer Dichter darf sich gestatten, schwer verpönte psychologische Wahrheiten wenigstens scherzend zum Ausdruck zu bringen. So gesteht H.Heine: »Ich habe die friedlichste Gesinnung. Meine Wünsche sind: eine bescheidene Hütte, ein Strohdach, aber ein gutes Bett, gutes Essen, Milch und Butter, sehr frisch, vor dem Fenster Blumen, vor der Tür einige schöne Baume, und wenn der liebe Gott mich ganz glücklich machen will, läßt er mich die Freude erleben, daß an diesen Bäumen etwa sechs bis sieben meiner Feinde aufgehängt werden. Mit gerührtem Herzen werde ich ihnen vor ihrem Tode alle Unbill verzeihen, die sie mir im Leben zugefügt — ja, man muß seinen Feinden verzeihen, aber nicht früher, als bis sie gehenkt werden.« (Heine, </w:t>
      </w:r>
      <w:r w:rsidRPr="00941D22">
        <w:rPr>
          <w:rFonts w:ascii="Garamond" w:hAnsi="Garamond"/>
          <w:i/>
          <w:iCs/>
          <w:lang w:val="en-US"/>
        </w:rPr>
        <w:t>Gedanken und Einfälle</w:t>
      </w:r>
      <w:r w:rsidRPr="00941D22">
        <w:rPr>
          <w:rFonts w:ascii="Garamond" w:hAnsi="Garamond"/>
          <w:lang w:val="en-US"/>
        </w:rPr>
        <w:t>.)</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2)</w:t>
      </w:r>
      <w:r w:rsidRPr="00941D22">
        <w:rPr>
          <w:rFonts w:ascii="Garamond" w:hAnsi="Garamond"/>
          <w:lang w:val="en-US"/>
        </w:rPr>
        <w:t xml:space="preserve"> Wer in seinen eigenen jungen Jahren das Elend der Armut verkostet, die Gleichgiltigkeit und den Hochmut der Besitzenden erfahren hat, sollte vor dem Verdacht geschützt sein, daß er kein Verständnis und kein Wohlwollen für die Bestrebungen hat, die Besitzungleichheit der Menschen und was sich aus ihr ableitet, zu bekämpfen. Freilich, wenn sich dieser Kampf auf die abstrakte Gerechtigkeits</w:t>
      </w:r>
      <w:r w:rsidRPr="00941D22">
        <w:rPr>
          <w:rFonts w:ascii="Garamond" w:hAnsi="Garamond"/>
          <w:lang w:val="en-US"/>
        </w:rPr>
        <w:softHyphen/>
        <w:t>forderung der Gleichheit aller Menschen berufen will, liegt der Einwand zu nahe, daß die Natur durch die höchst ungleichmäßige körperliche Ausstattung und geistige Begabung der Einzelnen Ungerechtigkeiten eingesetzt hat, gegen die es keine Abhilfe gibt.</w:t>
      </w:r>
    </w:p>
    <w:p w:rsidR="00941D22" w:rsidRPr="00941D22" w:rsidRDefault="00941D22" w:rsidP="00941D22">
      <w:pPr>
        <w:pStyle w:val="Sansinterligne"/>
        <w:rPr>
          <w:rFonts w:ascii="Garamond" w:hAnsi="Garamond"/>
        </w:rPr>
      </w:pPr>
      <w:r w:rsidRPr="00941D22">
        <w:rPr>
          <w:rFonts w:ascii="Garamond" w:hAnsi="Garamond"/>
          <w:vertAlign w:val="superscript"/>
        </w:rPr>
        <w:t>3)</w:t>
      </w:r>
      <w:r w:rsidRPr="00941D22">
        <w:rPr>
          <w:rFonts w:ascii="Garamond" w:hAnsi="Garamond"/>
        </w:rPr>
        <w:t xml:space="preserve"> S.: </w:t>
      </w:r>
      <w:r w:rsidRPr="00941D22">
        <w:rPr>
          <w:rFonts w:ascii="Garamond" w:hAnsi="Garamond"/>
          <w:i/>
          <w:iCs/>
        </w:rPr>
        <w:t>Massenpsychologie und Ich-Analyse</w:t>
      </w:r>
      <w:r w:rsidRPr="00941D22">
        <w:rPr>
          <w:rFonts w:ascii="Garamond" w:hAnsi="Garamond"/>
        </w:rPr>
        <w:t xml:space="preserve"> (1921 c).</w:t>
      </w:r>
    </w:p>
    <w:p w:rsidR="00941D22" w:rsidRPr="00941D22" w:rsidRDefault="00941D22" w:rsidP="00941D22">
      <w:pPr>
        <w:pStyle w:val="Sansinterligne"/>
        <w:rPr>
          <w:rFonts w:ascii="Garamond" w:hAnsi="Garamond"/>
        </w:rPr>
      </w:pPr>
    </w:p>
    <w:p w:rsidR="00941D22" w:rsidRPr="00941D22" w:rsidRDefault="00941D22" w:rsidP="00941D22">
      <w:pPr>
        <w:pStyle w:val="Sansinterligne"/>
        <w:rPr>
          <w:rFonts w:ascii="Garamond" w:hAnsi="Garamond"/>
        </w:rPr>
      </w:pPr>
    </w:p>
    <w:p w:rsidR="00941D22" w:rsidRPr="00941D22" w:rsidRDefault="00941D22" w:rsidP="00941D22">
      <w:pPr>
        <w:pStyle w:val="Sansinterligne"/>
        <w:rPr>
          <w:rFonts w:ascii="Garamond" w:hAnsi="Garamond"/>
        </w:rPr>
      </w:pPr>
      <w:r w:rsidRPr="00941D22">
        <w:rPr>
          <w:rFonts w:ascii="Garamond" w:hAnsi="Garamond"/>
        </w:rPr>
        <w:t xml:space="preserve">VI. </w:t>
      </w:r>
      <w:r w:rsidRPr="00941D22">
        <w:rPr>
          <w:rFonts w:ascii="Garamond" w:hAnsi="Garamond"/>
        </w:rPr>
        <w:br/>
        <w:t>[Der Todes- und Destruktionstrieb]</w:t>
      </w:r>
    </w:p>
    <w:p w:rsidR="00941D22" w:rsidRPr="00941D22" w:rsidRDefault="00941D22" w:rsidP="00941D22">
      <w:pPr>
        <w:pStyle w:val="Sansinterligne"/>
        <w:rPr>
          <w:rFonts w:ascii="Garamond" w:hAnsi="Garamond"/>
        </w:rPr>
      </w:pPr>
    </w:p>
    <w:p w:rsidR="00941D22" w:rsidRPr="00941D22" w:rsidRDefault="00941D22" w:rsidP="00941D22">
      <w:pPr>
        <w:pStyle w:val="Sansinterligne"/>
        <w:rPr>
          <w:rFonts w:ascii="Garamond" w:hAnsi="Garamond"/>
        </w:rPr>
      </w:pPr>
      <w:r w:rsidRPr="00941D22">
        <w:rPr>
          <w:rFonts w:ascii="Garamond" w:hAnsi="Garamond"/>
        </w:rPr>
        <w:t>Ich habe bei keiner Arbeit so stark die Empfindung gehabt wie diesmal, daß ich allgemein Bekanntes darstelle, Papier und Tinte, in weiterer Folge Setzerarbeit und Druckerschwärze aufbiete, um eigentlich selbstverständ</w:t>
      </w:r>
      <w:r w:rsidRPr="00941D22">
        <w:rPr>
          <w:rFonts w:ascii="Garamond" w:hAnsi="Garamond"/>
        </w:rPr>
        <w:softHyphen/>
        <w:t>liche Dinge zu erzählen. Darum greife ich es gerne auf, wenn sich der Anschein ergibt, daß die Anerkennung eines besonderen, selbständigen Aggressionstriebes eine Abänderung der psychoanalytischen Trieblehre bedeutet.</w:t>
      </w:r>
    </w:p>
    <w:p w:rsidR="00941D22" w:rsidRPr="00941D22" w:rsidRDefault="00941D22" w:rsidP="00941D22">
      <w:pPr>
        <w:pStyle w:val="Sansinterligne"/>
        <w:rPr>
          <w:rFonts w:ascii="Garamond" w:hAnsi="Garamond"/>
          <w:lang w:val="en-US"/>
        </w:rPr>
      </w:pPr>
      <w:r w:rsidRPr="00941D22">
        <w:rPr>
          <w:rFonts w:ascii="Garamond" w:hAnsi="Garamond"/>
          <w:lang w:val="en-US"/>
        </w:rPr>
        <w:t>Es wird sich zeigen, daß dem nicht so ist, daß es sich bloß darum handelt, eine Wendung, die längst vollzogen worden ist, schärfer zu fassen und in ihre Konsequenzen zu verfolgen. Von allen langsam entwickelten Stücken der analytischen Theorie hat sich die Trieblehre am mühseligsten vorwärts getastet. Und sie war doch dem Ganzen so unentbehrlich, daß irgend etwas an ihre Stelle gerückt werden mußte. In der vollen Ratlosigkeit der Anfänge gab mir der Satz des Dichterphilosophen Schiller den ersten Anhalt, daß »Hunger und Liebe« das Getriebe der Welt zusammenhalten. Der Hunger konnte als Vertreter jener Triebe gelten, die das Einzelwesen erhalten wollen, die Liebe strebt nach Objekten; ihre Hauptfunktion, von der Natur in jeder Weise begünstigt, ist die Erhaltung der Art. So traten zuerst Ichtriebe und Objekttriebe einander gegenüber. Für die Energie der letzteren, und ausschließlich für sie, führte ich den Namen Libido ein; somit lief der Gegensatz zwischen den Ichtrieben und den aufs Objekt gerichteten »libidinösen« Trieben der Liebe im weitesten Sinne. Einer von diesen Objekttrieben, der sadistische, tat sich zwar dadurch hervor, daß sein Ziel so gar nicht liebevoll war, auch schloß er sich offenbar in manchen Stücken den Ichtrieben an, konnte seine nahe Verwandtschaft mit Bemächtigungstrieben ohne libidinöse Absicht nicht verbergen, aber man kam über diese Unstimmigkeit hinweg; der Sadismus gehörte doch offenbar zum Sexualleben, das grausame Spiel konnte das zärtliche ersetzen. Die Neurose erschien als der Ausgang eines Kampfes zwischen dem Interesse der Selbstbewahrung und den Anforderungen der Libido, ein Kampf, in dem das Ich gesiegt hatte, aber um den Preis schwerer Leiden und Verzichte.</w:t>
      </w:r>
    </w:p>
    <w:p w:rsidR="00941D22" w:rsidRPr="00941D22" w:rsidRDefault="00941D22" w:rsidP="00941D22">
      <w:pPr>
        <w:pStyle w:val="Sansinterligne"/>
        <w:rPr>
          <w:rFonts w:ascii="Garamond" w:hAnsi="Garamond"/>
          <w:lang w:val="en-US"/>
        </w:rPr>
      </w:pPr>
      <w:r w:rsidRPr="00941D22">
        <w:rPr>
          <w:rFonts w:ascii="Garamond" w:hAnsi="Garamond"/>
          <w:lang w:val="en-US"/>
        </w:rPr>
        <w:t>Jeder Analytiker wird zugeben, daß dies auch heute nicht wie ein längst überwundener Irrtum klingt. Doch wurde eine Abänderung unerläßlich, als unsere Forschung vom Verdrängten zum Verdrängenden, von den Objekt</w:t>
      </w:r>
      <w:r w:rsidRPr="00941D22">
        <w:rPr>
          <w:rFonts w:ascii="Garamond" w:hAnsi="Garamond"/>
          <w:lang w:val="en-US"/>
        </w:rPr>
        <w:softHyphen/>
        <w:t>trieben zum Ich fortschritt. Entscheidend wurde hier die Einführung des Begriffes Narzißmus, d. h. die Einsicht, daß das Ich selbst mit Libido besetzt ist, sogar deren ursprüngliche Heimstätte sei und gewissermaßen auch ihr Hauptquartier bleibe. Diese narzißtische Libido wendet sich den Objekten zu, wird so zur Objektlibido und kann sich in narzißtische Libido zurück</w:t>
      </w:r>
      <w:r w:rsidRPr="00941D22">
        <w:rPr>
          <w:rFonts w:ascii="Garamond" w:hAnsi="Garamond"/>
          <w:lang w:val="en-US"/>
        </w:rPr>
        <w:softHyphen/>
        <w:t xml:space="preserve">verwandeln. Der Begriff Narzißmus machte es möglich, die traumatische Neurose sowie viele den Psychosen nahestehende Affektionen und diese selbst analytisch zu erfassen. Die Deutung der Übertragungsneurosen als Versuche des Ichs, sich der Sexualität zu erwehren, brauchte nicht verlassen zu werden, aber der Begriff der Libido geriet in Gefahr. </w:t>
      </w:r>
      <w:r w:rsidRPr="00941D22">
        <w:rPr>
          <w:rFonts w:ascii="Garamond" w:hAnsi="Garamond"/>
          <w:lang w:val="en-US"/>
        </w:rPr>
        <w:lastRenderedPageBreak/>
        <w:t xml:space="preserve">Da auch die Ichtriebe libidinös waren, schien es eine Weile unvermeidlich, Libido mit Triebenergie überhaupt zusammenfallen zu lassen, wie C. G. Jung schon früher gewollt hatte. Doch blieb etwas zurück wie eine noch nicht zu begründende Gewißheit, daß die Triebe nicht alle von gleicher Art sein können. Den nächsten Schritt machte ich in </w:t>
      </w:r>
      <w:r w:rsidRPr="00941D22">
        <w:rPr>
          <w:rFonts w:ascii="Garamond" w:hAnsi="Garamond"/>
          <w:i/>
          <w:iCs/>
          <w:lang w:val="en-US"/>
        </w:rPr>
        <w:t>Jenseits des Lustprinzips</w:t>
      </w:r>
      <w:r w:rsidRPr="00941D22">
        <w:rPr>
          <w:rFonts w:ascii="Garamond" w:hAnsi="Garamond"/>
          <w:lang w:val="en-US"/>
        </w:rPr>
        <w:t xml:space="preserve"> (1920 g), als mir der Wiederholungszwang und der konservative Charakter des Trieblebens zuerst auffiel. Ausgehend von Spekulationen über den Anfang des Lebens und von biologischen Parallelen zog ich den Schluß, es müsse außer dem Trieb, die lebende Substanz zu erhalten und zu immer größeren Einheiten zusammenzufassen,</w:t>
      </w:r>
      <w:r w:rsidRPr="00941D22">
        <w:rPr>
          <w:rFonts w:ascii="Garamond" w:hAnsi="Garamond"/>
          <w:vertAlign w:val="superscript"/>
          <w:lang w:val="en-US"/>
        </w:rPr>
        <w:t>1)</w:t>
      </w:r>
      <w:r w:rsidRPr="00941D22">
        <w:rPr>
          <w:rFonts w:ascii="Garamond" w:hAnsi="Garamond"/>
          <w:lang w:val="en-US"/>
        </w:rPr>
        <w:t xml:space="preserve"> einen anderen, ihm gegensätzlichen geben, der diese Einheiten aufzulösen und in den uranfänglichen, anorganischen Zustand zurückzuführen strebe. Also außer dem Eros einen Todestrieb; aus dem Zusammen- und Gegeneinanderwirkendieser beiden ließen sich die Phänomene des Lebens erklären. Nun war es nicht leicht, die Tätigkeit dieses angenommenen Todestriebs aufzuzeigen. Die Äußerungen des Eros waren auffällig und geräuschvoll genug; man konnte annehmen, daß der Todestrieb stumm im Inneren des Lebewesens an dessen Auflösung arbeite, aber das war natürlich kein Nachweis. Weiter führte die Idee, daß sich ein Anteil des Triebes gegen die Außenwelt wende und dann als Trieb zur Aggression und Destruktion zum Vorschein komme. Der Trieb würde so selbst in den Dienst des Eros gezwängt, indem das Lebewesen anderes, Belebtes wie Unbelebtes, anstatt seines eigenen Selbst vernichtete. Umgekehrt würde die Einschränkung dieser Aggression nach außen die ohnehin immer vor sich gehende Selbstzerstörung steigern müssen. Gleichzeitig konnte man aus diesem Beispiel erraten, daß die beiden Triebarten selten — vielleicht niemals — voneinander isoliert auftreten, sondern sich in verschiedenen, sehr wechselnden Mengungsverhältnissen miteinander legieren und dadurch unserem Urteil unkenntlich machen. Im längst als Partialtrieb der Sexualität bekannten Sadismus hätte man eine derartige besonders starke Legierung des Liebesstrebens mit dem Destruktionstrieb vor sich, wie in seinem Widerpart, im Masochismus, eine Verbindung der nach innen gerichteten Destruktion mit der Sexualität, durch welche die sonst unwahrnehmbare Strebung eben auffällig und fühlbar wird.</w:t>
      </w:r>
    </w:p>
    <w:p w:rsidR="00941D22" w:rsidRPr="00941D22" w:rsidRDefault="00941D22" w:rsidP="00941D22">
      <w:pPr>
        <w:pStyle w:val="Sansinterligne"/>
        <w:rPr>
          <w:rFonts w:ascii="Garamond" w:hAnsi="Garamond"/>
          <w:lang w:val="en-US"/>
        </w:rPr>
      </w:pPr>
      <w:r w:rsidRPr="00941D22">
        <w:rPr>
          <w:rFonts w:ascii="Garamond" w:hAnsi="Garamond"/>
          <w:lang w:val="en-US"/>
        </w:rPr>
        <w:t>Die Annahme des Todes- oder Destruktionstriebes hat selbst in analyti</w:t>
      </w:r>
      <w:r w:rsidRPr="00941D22">
        <w:rPr>
          <w:rFonts w:ascii="Garamond" w:hAnsi="Garamond"/>
          <w:lang w:val="en-US"/>
        </w:rPr>
        <w:softHyphen/>
        <w:t>schen Kreisen Widerstand gefunden; ich weiß, daß vielfach die Neigung besteht, alles, was an der Liebe gefährlich und feindselig gefunden wird, lieber einer ursprünglichen Bipolarität ihres eigenen Wesens zuzuschreiben. Ich hatte die hier entwickelten Auffassungen anfangs nur versuchsweise vertreten, aber im Laufe der Zeit haben sie eine solche Macht über mich gewonnen, daß ich nicht mehr anders denken kann. Ich meine, sie sind theoretisch ungleich brauchbarer als alle möglichen anderen, sie stellen jene Vereinfachung ohne Vernachlässigung oder Vergewaltigung der Tatsachen her, nach der wir in der wissenschaftlichen Arbeit streben. Ich erkenne, daß wir im Sadismus und Masochismus die stark mit Erotik legierten Äußerungen des nach außen und nach innen gerichteten Destruktionstriebes immer vor uns gesehen haben, aber ich verstehe nicht mehr, daß wir die Ubiquität der nicht erotischen Aggression und Destruktion übersehen und versäumen konnten, ihr die gebührende Stellung in der Deutung des Lebens einzuräumen. (Die nach innen gewendete Destruktionssucht entzieht sich ja, wenn sie nicht erotisch gefärbt ist, meist der Wahrnehmung.) Ich erinnere mich meiner eigenen Abwehr, als die Idee des Destruktionstriebs zuerst in der psychoanalytischen Literatur auftauchte, und wie lange es dauerte, bis ich für sie empfänglich wurde. Daß andere dieselbe Ablehnung zeigten und noch zeigen, verwundert mich weniger. Denn die Kindlein, sie hören es nicht gerne</w:t>
      </w:r>
      <w:r w:rsidRPr="00941D22">
        <w:rPr>
          <w:rFonts w:ascii="Garamond" w:hAnsi="Garamond"/>
          <w:i/>
          <w:iCs/>
          <w:lang w:val="en-US"/>
        </w:rPr>
        <w:t xml:space="preserve">, </w:t>
      </w:r>
      <w:r w:rsidRPr="00941D22">
        <w:rPr>
          <w:rFonts w:ascii="Garamond" w:hAnsi="Garamond"/>
          <w:lang w:val="en-US"/>
        </w:rPr>
        <w:t>wenn die angeborene Neigung des Menschen zum »Bösen«, zur Aggression, Destruktion und damit auch zur Grausamkeit erwähnt wird. Gott hat sie ja zum Ebenbild seiner eigenen Vollkommenheit geschaffen, man will nicht daran gemahnt werden, wie schwer es ist, die — trotz der Beteuerungen der Christian Science — unleugbare Existenz des Bösen mit seiner Allmacht oder seiner Allgüte zu vereinen. Der Teufel wäre zur Entschuldigung Gottes die beste Auskunft, er würde dabei dieselbe ökonomisch entlastende Rolle übernehmen wie der Jude in der Welt des arischen Ideals. Aber selbst dann: man kann doch von Gott ebensowohl Rechenschaft für die Existenz des Teufels verlangen wie für die des Bösen, das er verkörpert. Angesichts dieser Schwierigkeiten ist es für jedermann ratsam, an geeigneter Stelle eine tiefe Verbeugung vor der tief sittlichen Natur des Menschen zu machen; es verhilft einem zur allgemeinen Beliebtheit, und es wird einem manches dafür nachgesehen.</w:t>
      </w:r>
      <w:r w:rsidRPr="00941D22">
        <w:rPr>
          <w:rFonts w:ascii="Garamond" w:hAnsi="Garamond"/>
          <w:vertAlign w:val="superscript"/>
          <w:lang w:val="en-US"/>
        </w:rPr>
        <w:t>2)</w:t>
      </w:r>
    </w:p>
    <w:p w:rsidR="00941D22" w:rsidRPr="00941D22" w:rsidRDefault="00941D22" w:rsidP="00941D22">
      <w:pPr>
        <w:pStyle w:val="Sansinterligne"/>
        <w:rPr>
          <w:rFonts w:ascii="Garamond" w:hAnsi="Garamond"/>
          <w:lang w:val="en-US"/>
        </w:rPr>
      </w:pPr>
      <w:r w:rsidRPr="00941D22">
        <w:rPr>
          <w:rFonts w:ascii="Garamond" w:hAnsi="Garamond"/>
          <w:lang w:val="en-US"/>
        </w:rPr>
        <w:t>Der Name Libido kann wiederum für die Kraftäußerungen des Eros ver</w:t>
      </w:r>
      <w:r w:rsidRPr="00941D22">
        <w:rPr>
          <w:rFonts w:ascii="Garamond" w:hAnsi="Garamond"/>
          <w:lang w:val="en-US"/>
        </w:rPr>
        <w:softHyphen/>
        <w:t>wendet werden, um sie von der Energie des Todestriebs zu sondern.</w:t>
      </w:r>
      <w:r w:rsidRPr="00941D22">
        <w:rPr>
          <w:rFonts w:ascii="Garamond" w:hAnsi="Garamond"/>
          <w:vertAlign w:val="superscript"/>
          <w:lang w:val="en-US"/>
        </w:rPr>
        <w:t>3)</w:t>
      </w:r>
      <w:r w:rsidRPr="00941D22">
        <w:rPr>
          <w:rFonts w:ascii="Garamond" w:hAnsi="Garamond"/>
          <w:lang w:val="en-US"/>
        </w:rPr>
        <w:t xml:space="preserve"> Es ist zuzugestehen, daß wir letzteren um so viel schwerer erfassen, gewisser</w:t>
      </w:r>
      <w:r w:rsidRPr="00941D22">
        <w:rPr>
          <w:rFonts w:ascii="Garamond" w:hAnsi="Garamond"/>
          <w:lang w:val="en-US"/>
        </w:rPr>
        <w:softHyphen/>
        <w:t xml:space="preserve">maßen nur als Rückstand hinter dem Eros erraten und daß er sich uns entzieht, wo er nicht durch die Legierung mit dem Eros verraten wird. Im Sadismus, wo er das erotische Ziel in seinem Sinne umbiegt, dabei doch das sexuelle Streben voll befriedigt, gelingt uns die klarste Einsicht in sein Wesen und seine Beziehung zum Eros. Aber auch wo er ohne sexuelle Absicht auftritt, noch in der blindesten Zerstörungswut läßt sich nicht verkennen, daß seine Befriedigung mit einem außerordentlich hohen </w:t>
      </w:r>
      <w:r w:rsidRPr="00941D22">
        <w:rPr>
          <w:rFonts w:ascii="Garamond" w:hAnsi="Garamond"/>
          <w:lang w:val="en-US"/>
        </w:rPr>
        <w:lastRenderedPageBreak/>
        <w:t>narzißtischen Genuß verknüpft ist, indem sie dem Ich die Erfüllung seiner alten Allmachtswünsche zeigt. Gemäßigt und gebändigt, gleichsam zielgehemmt, muß der Destruktionstrieb, auf die Objekte gerichtet, dem Ich die Befriedigung seiner Lebensbedürfnisse und die Herrschaft über die Natur verschaffen. Da seine Annahme wesentlich auf theoretischen Gründen ruht, muß man zugeben, daß sie auch gegen theoretische Einwendungen nicht voll gesichert ist. Aber so erscheint es uns eben jetzt beim gegenwärtigen Stand unserer Einsichten; zukünftige Forschung und Überlegung wird gewiß die entscheidende Klarheit bringen.</w:t>
      </w:r>
    </w:p>
    <w:p w:rsidR="00941D22" w:rsidRPr="00941D22" w:rsidRDefault="00941D22" w:rsidP="00941D22">
      <w:pPr>
        <w:pStyle w:val="Sansinterligne"/>
        <w:rPr>
          <w:rFonts w:ascii="Garamond" w:hAnsi="Garamond"/>
          <w:lang w:val="en-US"/>
        </w:rPr>
      </w:pPr>
      <w:r w:rsidRPr="00941D22">
        <w:rPr>
          <w:rFonts w:ascii="Garamond" w:hAnsi="Garamond"/>
          <w:lang w:val="en-US"/>
        </w:rPr>
        <w:t>Für alles Weitere stelle ich mich also auf den Standpunkt, daß die Aggressionsneigung eine ursprüngliche, selbständige Triebanlage des Menschen ist, und komme darauf zurück, daß die Kultur ihr stärkstes Hindernis in ihr findet. Irgendeinmal im Laufe dieser Untersuchung hat sich uns die Einsicht aufgedrängt, die Kultur sei ein besonderer Prozeß, der über die Menschheit abläuft, und wir stehen noch immer unter dem Banne dieser Idee. Wir fügen hinzu, sie sei ein Prozeß im Dienste des Eros, der vereinzelte menschliche Individuen, später Familien, dann Stämme, Völker, Nationen zu einer großen Einheit, der Menschheit, zusammenfassen wolle. Warum das geschehen müsse, wissen wir nicht; das sei eben das Werk des Eros. Diese Menschenmengen sollen libidinös aneinander gebunden werden; die Notwendigkeit allein, die Vorteile der Arbeitsgemeinschaft werden sie nicht zusammenhalten. Diesem Programm der Kultur widersetzt sich aber der natürliche Aggressionstrieb der Menschen, die Feindseligkeit eines gegen alle und aller gegen einen. Dieser Aggressionstrieb ist der Abkömmling und Hauptvertreter des Todestriebes, den wir neben dem Eros gefunden haben, der sich mit ihm in die Weltherrschaft teilt. Und nun, meine ich, ist uns der Sinn der Kulturentwicklung nicht mehr dunkel. Sie muß uns den Kampf zwischen Eros und Tod, Lebenstrieb und Destruktionstrieb zeigen, wie er sich an der Menschenart vollzieht. Dieser Kampf ist der wesentliche Inhalt des Lebens überhaupt, und darum ist die Kulturentwicklung kurzweg zu bezeichnen als der Lebenskampf der Menschenart.</w:t>
      </w:r>
      <w:r w:rsidRPr="00941D22">
        <w:rPr>
          <w:rFonts w:ascii="Garamond" w:hAnsi="Garamond"/>
          <w:vertAlign w:val="superscript"/>
          <w:lang w:val="en-US"/>
        </w:rPr>
        <w:t>4)</w:t>
      </w:r>
      <w:r w:rsidRPr="00941D22">
        <w:rPr>
          <w:rFonts w:ascii="Garamond" w:hAnsi="Garamond"/>
          <w:lang w:val="en-US"/>
        </w:rPr>
        <w:t xml:space="preserve"> Und diesen Streit der Giganten wollen unsere Kinderfrauen beschwichtigen mit dem »Eiapopeia vom Himmel!«</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t>________________</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1)</w:t>
      </w:r>
      <w:r w:rsidRPr="00941D22">
        <w:rPr>
          <w:rFonts w:ascii="Garamond" w:hAnsi="Garamond"/>
          <w:lang w:val="en-US"/>
        </w:rPr>
        <w:t xml:space="preserve"> Der Gegensatz, in den hierbei die rastlose Ausbreitungstendenz des Eros zur allgemeinen konservativen Natur der Triebe tritt, ist auffällig und kann der Ausgangspunkt weiterer Problemstellungen werden.</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2)</w:t>
      </w:r>
      <w:r w:rsidRPr="00941D22">
        <w:rPr>
          <w:rFonts w:ascii="Garamond" w:hAnsi="Garamond"/>
          <w:lang w:val="en-US"/>
        </w:rPr>
        <w:t xml:space="preserve"> Ganz besonders überzeugend wirkt die Identifizierung des bösen Prinzips mit dem Destruktionstrieb in Goethes Mephistopheles:</w:t>
      </w:r>
    </w:p>
    <w:p w:rsidR="00941D22" w:rsidRPr="00941D22" w:rsidRDefault="00941D22" w:rsidP="00941D22">
      <w:pPr>
        <w:pStyle w:val="Sansinterligne"/>
        <w:rPr>
          <w:rFonts w:ascii="Garamond" w:hAnsi="Garamond"/>
          <w:lang w:val="en-US"/>
        </w:rPr>
      </w:pPr>
      <w:r w:rsidRPr="00941D22">
        <w:rPr>
          <w:rFonts w:ascii="Garamond" w:hAnsi="Garamond"/>
          <w:lang w:val="en-US"/>
        </w:rPr>
        <w:t>»Denn alles, was entsteht,</w:t>
      </w:r>
    </w:p>
    <w:p w:rsidR="00941D22" w:rsidRPr="00941D22" w:rsidRDefault="00941D22" w:rsidP="00941D22">
      <w:pPr>
        <w:pStyle w:val="Sansinterligne"/>
        <w:rPr>
          <w:rFonts w:ascii="Garamond" w:hAnsi="Garamond"/>
          <w:lang w:val="en-US"/>
        </w:rPr>
      </w:pPr>
      <w:r w:rsidRPr="00941D22">
        <w:rPr>
          <w:rFonts w:ascii="Garamond" w:hAnsi="Garamond"/>
          <w:lang w:val="en-US"/>
        </w:rPr>
        <w:t>Ist wert, daß es zugrunde geht.</w:t>
      </w:r>
    </w:p>
    <w:p w:rsidR="00941D22" w:rsidRPr="00941D22" w:rsidRDefault="00941D22" w:rsidP="00941D22">
      <w:pPr>
        <w:pStyle w:val="Sansinterligne"/>
        <w:rPr>
          <w:rFonts w:ascii="Garamond" w:hAnsi="Garamond"/>
          <w:lang w:val="en-US"/>
        </w:rPr>
      </w:pPr>
      <w:r w:rsidRPr="00941D22">
        <w:rPr>
          <w:rFonts w:ascii="Garamond" w:hAnsi="Garamond"/>
          <w:lang w:val="en-US"/>
        </w:rPr>
        <w:t>. . . . . . . . . . . . . . .</w:t>
      </w:r>
    </w:p>
    <w:p w:rsidR="00941D22" w:rsidRPr="00941D22" w:rsidRDefault="00941D22" w:rsidP="00941D22">
      <w:pPr>
        <w:pStyle w:val="Sansinterligne"/>
        <w:rPr>
          <w:rFonts w:ascii="Garamond" w:hAnsi="Garamond"/>
          <w:lang w:val="en-US"/>
        </w:rPr>
      </w:pPr>
      <w:r w:rsidRPr="00941D22">
        <w:rPr>
          <w:rFonts w:ascii="Garamond" w:hAnsi="Garamond"/>
          <w:lang w:val="en-US"/>
        </w:rPr>
        <w:t>So ist denn alles, was Ihr Sünde,</w:t>
      </w:r>
    </w:p>
    <w:p w:rsidR="00941D22" w:rsidRPr="00941D22" w:rsidRDefault="00941D22" w:rsidP="00941D22">
      <w:pPr>
        <w:pStyle w:val="Sansinterligne"/>
        <w:rPr>
          <w:rFonts w:ascii="Garamond" w:hAnsi="Garamond"/>
          <w:lang w:val="en-US"/>
        </w:rPr>
      </w:pPr>
      <w:r w:rsidRPr="00941D22">
        <w:rPr>
          <w:rFonts w:ascii="Garamond" w:hAnsi="Garamond"/>
          <w:lang w:val="en-US"/>
        </w:rPr>
        <w:t>Zerstörung, kurz das Böse nennt,</w:t>
      </w:r>
    </w:p>
    <w:p w:rsidR="00941D22" w:rsidRPr="00941D22" w:rsidRDefault="00941D22" w:rsidP="00941D22">
      <w:pPr>
        <w:pStyle w:val="Sansinterligne"/>
        <w:rPr>
          <w:rFonts w:ascii="Garamond" w:hAnsi="Garamond"/>
          <w:lang w:val="en-US"/>
        </w:rPr>
      </w:pPr>
      <w:r w:rsidRPr="00941D22">
        <w:rPr>
          <w:rFonts w:ascii="Garamond" w:hAnsi="Garamond"/>
          <w:lang w:val="en-US"/>
        </w:rPr>
        <w:t>Mein eigentliches Element.«</w:t>
      </w:r>
    </w:p>
    <w:p w:rsidR="00941D22" w:rsidRPr="00941D22" w:rsidRDefault="00941D22" w:rsidP="00941D22">
      <w:pPr>
        <w:pStyle w:val="Sansinterligne"/>
        <w:rPr>
          <w:rFonts w:ascii="Garamond" w:hAnsi="Garamond"/>
          <w:lang w:val="en-US"/>
        </w:rPr>
      </w:pPr>
      <w:r w:rsidRPr="00941D22">
        <w:rPr>
          <w:rFonts w:ascii="Garamond" w:hAnsi="Garamond"/>
          <w:lang w:val="en-US"/>
        </w:rPr>
        <w:t>Als seinen Gegner nennt der Teufel selbst nicht das Heilige, das Gute, sondern die Kraft der Natur zum Zeugen, zur Mehrung des Lebens, also den Eros.</w:t>
      </w:r>
    </w:p>
    <w:p w:rsidR="00941D22" w:rsidRPr="00941D22" w:rsidRDefault="00941D22" w:rsidP="00941D22">
      <w:pPr>
        <w:pStyle w:val="Sansinterligne"/>
        <w:rPr>
          <w:rFonts w:ascii="Garamond" w:hAnsi="Garamond"/>
          <w:lang w:val="en-US"/>
        </w:rPr>
      </w:pPr>
      <w:r w:rsidRPr="00941D22">
        <w:rPr>
          <w:rFonts w:ascii="Garamond" w:hAnsi="Garamond"/>
          <w:lang w:val="en-US"/>
        </w:rPr>
        <w:t>. . . . . . . . . . . . . . .</w:t>
      </w:r>
    </w:p>
    <w:p w:rsidR="00941D22" w:rsidRPr="00941D22" w:rsidRDefault="00941D22" w:rsidP="00941D22">
      <w:pPr>
        <w:pStyle w:val="Sansinterligne"/>
        <w:rPr>
          <w:rFonts w:ascii="Garamond" w:hAnsi="Garamond"/>
          <w:lang w:val="en-US"/>
        </w:rPr>
      </w:pPr>
      <w:r w:rsidRPr="00941D22">
        <w:rPr>
          <w:rFonts w:ascii="Garamond" w:hAnsi="Garamond"/>
          <w:lang w:val="en-US"/>
        </w:rPr>
        <w:t>»Der Luft, dem Wasser, wie der Erden</w:t>
      </w:r>
    </w:p>
    <w:p w:rsidR="00941D22" w:rsidRPr="00941D22" w:rsidRDefault="00941D22" w:rsidP="00941D22">
      <w:pPr>
        <w:pStyle w:val="Sansinterligne"/>
        <w:rPr>
          <w:rFonts w:ascii="Garamond" w:hAnsi="Garamond"/>
          <w:lang w:val="en-US"/>
        </w:rPr>
      </w:pPr>
      <w:r w:rsidRPr="00941D22">
        <w:rPr>
          <w:rFonts w:ascii="Garamond" w:hAnsi="Garamond"/>
          <w:lang w:val="en-US"/>
        </w:rPr>
        <w:t>Entwinden tausend Keime sich,</w:t>
      </w:r>
    </w:p>
    <w:p w:rsidR="00941D22" w:rsidRPr="00941D22" w:rsidRDefault="00941D22" w:rsidP="00941D22">
      <w:pPr>
        <w:pStyle w:val="Sansinterligne"/>
        <w:rPr>
          <w:rFonts w:ascii="Garamond" w:hAnsi="Garamond"/>
          <w:lang w:val="en-US"/>
        </w:rPr>
      </w:pPr>
      <w:r w:rsidRPr="00941D22">
        <w:rPr>
          <w:rFonts w:ascii="Garamond" w:hAnsi="Garamond"/>
          <w:lang w:val="en-US"/>
        </w:rPr>
        <w:t>Im Trocknen, Feuchten, Warmen, Kalten!</w:t>
      </w:r>
    </w:p>
    <w:p w:rsidR="00941D22" w:rsidRPr="00941D22" w:rsidRDefault="00941D22" w:rsidP="00941D22">
      <w:pPr>
        <w:pStyle w:val="Sansinterligne"/>
        <w:rPr>
          <w:rFonts w:ascii="Garamond" w:hAnsi="Garamond"/>
          <w:lang w:val="en-US"/>
        </w:rPr>
      </w:pPr>
      <w:r w:rsidRPr="00941D22">
        <w:rPr>
          <w:rFonts w:ascii="Garamond" w:hAnsi="Garamond"/>
          <w:lang w:val="en-US"/>
        </w:rPr>
        <w:t>Hätt' ich mir nicht die Flamme vorbehalten,</w:t>
      </w:r>
    </w:p>
    <w:p w:rsidR="00941D22" w:rsidRPr="00941D22" w:rsidRDefault="00941D22" w:rsidP="00941D22">
      <w:pPr>
        <w:pStyle w:val="Sansinterligne"/>
        <w:rPr>
          <w:rFonts w:ascii="Garamond" w:hAnsi="Garamond"/>
          <w:lang w:val="en-US"/>
        </w:rPr>
      </w:pPr>
      <w:r w:rsidRPr="00941D22">
        <w:rPr>
          <w:rFonts w:ascii="Garamond" w:hAnsi="Garamond"/>
          <w:lang w:val="en-US"/>
        </w:rPr>
        <w:t>Ich hätte nichts Aparts für mich.«</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3)</w:t>
      </w:r>
      <w:r w:rsidRPr="00941D22">
        <w:rPr>
          <w:rFonts w:ascii="Garamond" w:hAnsi="Garamond"/>
          <w:lang w:val="en-US"/>
        </w:rPr>
        <w:t xml:space="preserve"> Unsere gegenwärtige Auffassung kann man ungefähr in dem Satz ausdrücken, daß an jeder Triebäußerung Libido beteiligt ist, aber daß nicht alles an ihr Libido ist.</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4)</w:t>
      </w:r>
      <w:r w:rsidRPr="00941D22">
        <w:rPr>
          <w:rFonts w:ascii="Garamond" w:hAnsi="Garamond"/>
          <w:lang w:val="en-US"/>
        </w:rPr>
        <w:t xml:space="preserve"> Wahrscheinlich mit der näheren Bestimmung: wie er sich von einem gewissen» noch zu erratenden Ereignis an gestalten mußte.</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 xml:space="preserve">VII. </w:t>
      </w:r>
      <w:r w:rsidRPr="00941D22">
        <w:rPr>
          <w:rFonts w:ascii="Garamond" w:hAnsi="Garamond"/>
          <w:lang w:val="en-US"/>
        </w:rPr>
        <w:br/>
        <w:t>[Entwicklung des Über-Ichs und seiner Strenge]</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 xml:space="preserve">Warum zeigen unsere Verwandten, die Tiere, keinen solchen Kulturkampf? Oh, wir wissen es nicht. Sehr wahrscheinlich haben einige unter ihnen, die Bienen, Ameisen, Termiten durch Jahrhunderttausende gerungen, bis sie jene staatlichen Institutionen, jene Verteilung der Funktionen, jene Einschränkung der </w:t>
      </w:r>
      <w:r w:rsidRPr="00941D22">
        <w:rPr>
          <w:rFonts w:ascii="Garamond" w:hAnsi="Garamond"/>
          <w:lang w:val="en-US"/>
        </w:rPr>
        <w:lastRenderedPageBreak/>
        <w:t>Individuen gefunden haben, die wir heute bei ihnen bewundern. Kennzeichnend für unseren gegenwärtigen Zustand ist es, daß unsere Empfindungen uns sagen, in keinem dieser Tierstaaten und in keiner der dort dem Einzelwesen zugeteilten Rollen würden wir uns glücklich schätzen. Bei anderen Tierarten mag es zum zeitweiligen Ausgleich zwischen den Einflüssen der Umwelt und den in ihnen sich bekämpfenden Trieben, somit zu einem Stillstand der Entwicklung gekommen sein. Beim Urmenschen mag ein neuer Vorstoß der Libido ein neuerliches Sträuben des Destruktions</w:t>
      </w:r>
      <w:r w:rsidRPr="00941D22">
        <w:rPr>
          <w:rFonts w:ascii="Garamond" w:hAnsi="Garamond"/>
          <w:lang w:val="en-US"/>
        </w:rPr>
        <w:softHyphen/>
        <w:t>triebes angefacht haben. Es ist da sehr viel zu fragen, worauf es noch keine Antwort gibt.</w:t>
      </w:r>
    </w:p>
    <w:p w:rsidR="00941D22" w:rsidRPr="00941D22" w:rsidRDefault="00941D22" w:rsidP="00941D22">
      <w:pPr>
        <w:pStyle w:val="Sansinterligne"/>
        <w:rPr>
          <w:rFonts w:ascii="Garamond" w:hAnsi="Garamond"/>
          <w:lang w:val="en-US"/>
        </w:rPr>
      </w:pPr>
      <w:r w:rsidRPr="00941D22">
        <w:rPr>
          <w:rFonts w:ascii="Garamond" w:hAnsi="Garamond"/>
        </w:rPr>
        <w:t xml:space="preserve">Eine andere Frage liegt uns näher. Welcher Mittel bedient sich die Kultur, um die ihr entgegenstehende Aggression zu hemmen, unschädlich zu machen, vielleicht auszuschalten? </w:t>
      </w:r>
      <w:r w:rsidRPr="00941D22">
        <w:rPr>
          <w:rFonts w:ascii="Garamond" w:hAnsi="Garamond"/>
          <w:lang w:val="en-US"/>
        </w:rPr>
        <w:t>Einige solcher Methoden haben wir bereits kennengelernt, die anscheinend wichtigste aber noch nicht. Wir können sie an der Entwicklungsgeschichte des Einzelnen studieren. Was geht mit ihm vor, um seine Aggressionslust unschädlich zu machen? Etwas sehr Merkwür</w:t>
      </w:r>
      <w:r w:rsidRPr="00941D22">
        <w:rPr>
          <w:rFonts w:ascii="Garamond" w:hAnsi="Garamond"/>
          <w:lang w:val="en-US"/>
        </w:rPr>
        <w:softHyphen/>
        <w:t>diges, das wir nicht erraten hätten und das doch so naheliegt. Die Aggres</w:t>
      </w:r>
      <w:r w:rsidRPr="00941D22">
        <w:rPr>
          <w:rFonts w:ascii="Garamond" w:hAnsi="Garamond"/>
          <w:lang w:val="en-US"/>
        </w:rPr>
        <w:softHyphen/>
        <w:t>sion wird introjiziert, verinnerlicht, eigentlich aber dorthin zurückgeschickt, woher sie gekommen ist, also gegen das eigene Ich gewendet. Dort wird sie von einem Anteil des Ichs übernommen, das sich als Über-Ich dem übrigen entgegenstellt und nun als »Gewissen« gegen das Ich dieselbe strenge Aggressionsbereitschaft ausübt, die das Ich gerne an anderen, fremden Individuen befriedigt hätte. Die Spannung zwischen dem gestrengen Über-Ich und dem ihm unterworfenen Ich heißen wir Schuldbewußtsein; sie äußert sich als Strafbedürfnis. Die Kultur bewältigt also die gefährliche Aggressionslust des Individuums, indem sie es schwächt, entwaffnet und durch eine Instanz in seinem Inneren, wie durch eine Besatzung in der eroberten Stadt, überwachen läßt.</w:t>
      </w:r>
    </w:p>
    <w:p w:rsidR="00941D22" w:rsidRPr="00941D22" w:rsidRDefault="00941D22" w:rsidP="00941D22">
      <w:pPr>
        <w:pStyle w:val="Sansinterligne"/>
        <w:rPr>
          <w:rFonts w:ascii="Garamond" w:hAnsi="Garamond"/>
          <w:lang w:val="en-US"/>
        </w:rPr>
      </w:pPr>
      <w:r w:rsidRPr="00941D22">
        <w:rPr>
          <w:rFonts w:ascii="Garamond" w:hAnsi="Garamond"/>
          <w:lang w:val="en-US"/>
        </w:rPr>
        <w:t>Über die Entstehung des Schuldgefühls denkt der Analytiker anders als sonst die Psychologen; auch ihm wird es nicht leicht, darüber Rechenschaft zu geben. Zunächst, wenn man fragt, wie kommt einer zu einem Schuld</w:t>
      </w:r>
      <w:r w:rsidRPr="00941D22">
        <w:rPr>
          <w:rFonts w:ascii="Garamond" w:hAnsi="Garamond"/>
          <w:lang w:val="en-US"/>
        </w:rPr>
        <w:softHyphen/>
        <w:t>gefühl, erhält man eine Antwort, der man nicht widersprechen kann: man fühlt sich schuldig (Fromme sagen: sündig), wenn man etwas getan hat, was man als »böse« erkennt. Dann merkt man, wie wenig diese Antwort gibt. Vielleicht nach einigem Schwanken wird man hinzusetzen, auch wer dies Böse nicht getan hat, sondern bloß die Absicht, es zu tun, bei sich erkennt, kann sich für schuldig halten, und dann wird man die Frage aufwerfen, warum hier die Absicht der Ausführung gleichgeachtet wird. Beide Fälle setzen aber voraus, daß man das Böse bereits als verwerflich, als von der Ausführung auszuschließen erkannt hat. Wie kommt man zu dieser Entscheidung? Ein ursprüngliches, sozusagen natürliches Unterscheidungs</w:t>
      </w:r>
      <w:r w:rsidRPr="00941D22">
        <w:rPr>
          <w:rFonts w:ascii="Garamond" w:hAnsi="Garamond"/>
          <w:lang w:val="en-US"/>
        </w:rPr>
        <w:softHyphen/>
        <w:t>vermögen für Gut und Böse darf man ablehnen. Das Böse ist oft gar nicht das dem Ich Schädliche oder Gefährliche, im Gegenteil auch etwas, was ihm erwünscht ist, ihm Vergnügen bereitet. Darin zeigt sich also fremder Einfluß; dieser bestimmt, was Gut und Böse heißen soll. Da eigene Empfindung den Menschen nicht auf denselben Weg geführt hätte, muß er ein Motiv haben, sich diesem fremden Einfluß zu unterwerfen. Es ist in seiner Hilflosigkeit und Abhängigkeit von anderen leicht zu entdecken, kann am besten als Angst vor dem Liebesverlust bezeichnet werden. Verliert er die Liebe des anderen, von dem er abhängig ist, so büßt er auch den Schutz vor mancherlei Gefahren ein, setzt sich vor allem der Gefahr aus, daß dieser Übermächtige ihm in der Form der Bestrafung seine Überlegenheit erweist. Das Böse ist also anfänglich dasjenige, wofür man mit Liebesverlust bedroht wird; aus Angst vor diesem Verlust muß man es vermeiden. Darum macht es auch wenig aus, ob man das Böse bereits getan hat oder es erst tun will; in beiden Fällen tritt die Gefahr erst ein, wenn die Autorität es entdeckt, und diese würde sich in beiden Fällen ähnlich benehmen.</w:t>
      </w:r>
    </w:p>
    <w:p w:rsidR="00941D22" w:rsidRPr="00941D22" w:rsidRDefault="00941D22" w:rsidP="00941D22">
      <w:pPr>
        <w:pStyle w:val="Sansinterligne"/>
        <w:rPr>
          <w:rFonts w:ascii="Garamond" w:hAnsi="Garamond"/>
          <w:lang w:val="en-US"/>
        </w:rPr>
      </w:pPr>
      <w:r w:rsidRPr="00941D22">
        <w:rPr>
          <w:rFonts w:ascii="Garamond" w:hAnsi="Garamond"/>
          <w:lang w:val="en-US"/>
        </w:rPr>
        <w:t>Man heißt diesen Zustand »schlechtes Gewissen«, aber eigentlich ver</w:t>
      </w:r>
      <w:r w:rsidRPr="00941D22">
        <w:rPr>
          <w:rFonts w:ascii="Garamond" w:hAnsi="Garamond"/>
          <w:lang w:val="en-US"/>
        </w:rPr>
        <w:softHyphen/>
        <w:t>dient er diesen Namen nicht, denn auf dieser Stufe ist das Schuldbewußtsein offenbar nur Angst vor dem Liebesverlust, »soziale« Angst. Beim kleinen Kind kann es niemals etwas anderes sein, aber auch bei vielen Erwachsenen ändert sich nicht mehr daran, als daß an Stelle des Vaters oder beider Eltern die größere menschliche Gemeinschaft tritt. Darum gestatten sie sich regelmäßig, das Böse, das ihnen Annehmlichkeiten verspricht, auszuführen, wenn sie nur sicher sind, daß die Autorität nichts davon erfährt oder ihnen nichts anhaben kann, und ihre Angst gilt allein der Entdeckung.</w:t>
      </w:r>
      <w:r w:rsidRPr="00941D22">
        <w:rPr>
          <w:rFonts w:ascii="Garamond" w:hAnsi="Garamond"/>
          <w:vertAlign w:val="superscript"/>
          <w:lang w:val="en-US"/>
        </w:rPr>
        <w:t>1)</w:t>
      </w:r>
      <w:r w:rsidRPr="00941D22">
        <w:rPr>
          <w:rFonts w:ascii="Garamond" w:hAnsi="Garamond"/>
          <w:lang w:val="en-US"/>
        </w:rPr>
        <w:t xml:space="preserve"> Mit diesem Zustand hat die Gesellschaft unserer Tage im allgemeinen zu rechnen.</w:t>
      </w:r>
    </w:p>
    <w:p w:rsidR="00941D22" w:rsidRPr="00941D22" w:rsidRDefault="00941D22" w:rsidP="00941D22">
      <w:pPr>
        <w:pStyle w:val="Sansinterligne"/>
        <w:rPr>
          <w:rFonts w:ascii="Garamond" w:hAnsi="Garamond"/>
          <w:lang w:val="en-US"/>
        </w:rPr>
      </w:pPr>
      <w:r w:rsidRPr="00941D22">
        <w:rPr>
          <w:rFonts w:ascii="Garamond" w:hAnsi="Garamond"/>
          <w:lang w:val="en-US"/>
        </w:rPr>
        <w:t>Eine große Änderung tritt erst ein, wenn die Autorität durch die Aufrichtung eines Über-Ichs verinnerlicht wird. Damit werden die Gewissensphänomene auf eine neue Stufe gehoben, im Grunde sollte man erst jetzt von Gewissen und Schuldgefühl sprechen.</w:t>
      </w:r>
      <w:r w:rsidRPr="00941D22">
        <w:rPr>
          <w:rFonts w:ascii="Garamond" w:hAnsi="Garamond"/>
          <w:vertAlign w:val="superscript"/>
          <w:lang w:val="en-US"/>
        </w:rPr>
        <w:t>2)</w:t>
      </w:r>
      <w:r w:rsidRPr="00941D22">
        <w:rPr>
          <w:rFonts w:ascii="Garamond" w:hAnsi="Garamond"/>
          <w:lang w:val="en-US"/>
        </w:rPr>
        <w:t xml:space="preserve"> Jetzt entfällt auch die Angst vor dem Entdecktwerden und vollends der Unterschied zwischen Böses tun und Böses wollen, denn vor dem Über-Ich kann sich nichts verbergen, auch Gedanken nicht. Der reale Ernst der Situation ist allerdings vergangen, denn die neue Autorität, das Über-Ich, hat unseres Glaubens kein Motiv, das Ich, mit dem es innig zusammengehört, zu mißhandeln. Aber der Einfluß der Genese, der das Vergangene und </w:t>
      </w:r>
      <w:r w:rsidRPr="00941D22">
        <w:rPr>
          <w:rFonts w:ascii="Garamond" w:hAnsi="Garamond"/>
          <w:lang w:val="en-US"/>
        </w:rPr>
        <w:lastRenderedPageBreak/>
        <w:t>Überwundene weiterleben läßt, äußert sich darin, daß es im Grunde so bleibt, wie es zu Anfang war. Das Über-Ich peinigt das sündige Ich mit den nämlichen Angstempfindungen und lauert auf Gelegenheiten, es von der Außenwelt bestrafen zu lassen.</w:t>
      </w:r>
    </w:p>
    <w:p w:rsidR="00941D22" w:rsidRPr="00941D22" w:rsidRDefault="00941D22" w:rsidP="00941D22">
      <w:pPr>
        <w:pStyle w:val="Sansinterligne"/>
        <w:rPr>
          <w:rFonts w:ascii="Garamond" w:hAnsi="Garamond"/>
          <w:lang w:val="en-US"/>
        </w:rPr>
      </w:pPr>
      <w:r w:rsidRPr="00941D22">
        <w:rPr>
          <w:rFonts w:ascii="Garamond" w:hAnsi="Garamond"/>
          <w:lang w:val="en-US"/>
        </w:rPr>
        <w:t>Auf dieser zweiten Entwicklungsstufe zeigt das Gewissen eine Eigen</w:t>
      </w:r>
      <w:r w:rsidRPr="00941D22">
        <w:rPr>
          <w:rFonts w:ascii="Garamond" w:hAnsi="Garamond"/>
          <w:lang w:val="en-US"/>
        </w:rPr>
        <w:softHyphen/>
        <w:t>tümlichkeit, die der ersten fremd war und die nicht mehr leicht zu erklären ist. Es benimmt sich nämlich um so strenger und mißtrauischer, je tugendhafter der Mensch ist, so daß am Ende gerade die es in der Heiligkeit am weitesten gebracht, sich der ärgsten Sündhaftigkeit beschuldigen. Die Tugend büßt dabei ein Stück des ihr zugesagten Lohnes ein, das gefügige und enthaltsame Ich genießt nicht das Vertrauen seines Mentors, bemüht sich, wie es scheint, vergeblich, es zu erwerben. Nun wird man bereit sein einzuwenden: das seien künstlich zurechtgemachte Schwierigkeiten. Das strengere und wachsamere Gewissen sei eben der ihn kennzeichnende Zug des sittlichen Menschen, und wenn die Heiligen sich für Sünder ausgeben, so täten sie es nicht mit Unrecht unter Berufung auf die Versuchungen zur Triebbefriedigung, denen sie in besonders hohem Maße ausgesetzt sind, da Versuchungen bekanntlich durch beständige Versagung nur wachsen, während sie bei gelegentlicher Befriedigung wenigstens zeitweilig nachlassen. Eine andere Tatsache des an Problemen so reichen Gebiets der Ethik ist die, daß Mißgeschick, also äußere Versagung die Macht des Gewissens im Über-Ich so sehr fördert. Solange es dem Menschen gut geht, ist auch sein Gewissen milde und läßt dem Ich allerlei angehen; wenn ihn ein Unglück getroffen hat, hält er Einkehr in sich, erkennt seine Sündhaftigkeit, steigert seine Gewissensansprüche, legt sich Enthaltungen auf und bestraft sich durch Bußen.</w:t>
      </w:r>
      <w:r w:rsidRPr="00941D22">
        <w:rPr>
          <w:rFonts w:ascii="Garamond" w:hAnsi="Garamond"/>
          <w:vertAlign w:val="superscript"/>
          <w:lang w:val="en-US"/>
        </w:rPr>
        <w:t>3)</w:t>
      </w:r>
      <w:r w:rsidRPr="00941D22">
        <w:rPr>
          <w:rFonts w:ascii="Garamond" w:hAnsi="Garamond"/>
          <w:lang w:val="en-US"/>
        </w:rPr>
        <w:t xml:space="preserve"> Ganze Völker haben sich ebenso benommen und benehmen sich noch immer so. Aber dies erklärt sich bequem aus der ursprünglichen infantilen Stufe des Gewissens, die also nach der Introjektion ins Über-Ich nicht verlassen wird, sondern neben und hinter ihr fortbesteht. Das Schicksal wird als Ersatz der Elterninstanz angesehen; wenn man Unglück hat, bedeutet es, daß man von dieser höchsten Macht nicht mehr geliebt wird, und von diesem Liebesverlust bedroht, beugt man sich von neuem vor der Elternvertretung im Über-Ich, die man im Glück vernachlässigen wollte. Dies wird besonders deutlich, wenn man in streng religiösem Sinne im Schicksal nur den Ausdruck des göttlichen Willens erkennt. Das Volk Israel hatte sich für Gottes bevorzugtes Kind gehalten, und als der große Vater Unglück nach Unglück über dies sein Volk hereinbrechen ließ, wurde es nicht etwa irre an dieser Beziehung oder zweifelte an Gottes Macht und Gerechtigkeit, sondern erzeugte die Propheten, die ihm seine Sündhaftigkeit vorhielten, und schuf aus seinem Schuldbewußtsein die überstrengen Vorschriften seiner Priesterreligion. Es ist merkwürdig, wie anders sich der Primitive benimmt! Wenn er Unglück gehabt hat, gibt er nicht sich die Schuld, sondern dem Fetisch, der offenbar seine Schuldigkeit nicht getan hat, und verprügelt ihn, anstatt sich selbst zu bestrafen.</w:t>
      </w:r>
    </w:p>
    <w:p w:rsidR="00941D22" w:rsidRPr="00941D22" w:rsidRDefault="00941D22" w:rsidP="00941D22">
      <w:pPr>
        <w:pStyle w:val="Sansinterligne"/>
        <w:rPr>
          <w:rFonts w:ascii="Garamond" w:hAnsi="Garamond"/>
          <w:lang w:val="en-US"/>
        </w:rPr>
      </w:pPr>
      <w:r w:rsidRPr="00941D22">
        <w:rPr>
          <w:rFonts w:ascii="Garamond" w:hAnsi="Garamond"/>
          <w:lang w:val="en-US"/>
        </w:rPr>
        <w:t>Wir kennen also zwei Ursprünge des Schuldgefühls, den aus der Angst vor der Autorität und den späteren aus der Angst vor dem Über-Ich. Das erstere zwingt dazu, auf Triebbefriedigungen zu verzichten, das andere drängt, da man den Fortbestand der verbotenen Wünsche vor dem Über-Ich nicht verbergen kann, außerdem zur Bestrafung. Wir haben auch gehört, wie man die Strenge des Über-Ichs, also die Gewissensforderung, verstehen kann. Sie setzt einfach die Strenge der äußeren Autorität, die von ihr abgelöst und teilweise ersetzt wird, fort. Wir sehen nun, in welcher Beziehung der Triebverzicht zum Schuldbewußtsein steht. Ursprünglich ist ja der Triebverzicht die Folge der Angst vor der äußeren Autorität; man verzichtet auf Befriedigungen, um deren Liebe nicht zu verlieren. Hat man diesen Verzicht geleistet, so ist man sozusagen mit ihr quitt, es sollte kein Schuldgefühl erübrigen. Anders ist es im Falle der Angst vor dem Über-Ich. Hier hilft der Triebverzicht nicht genug, denn der Wunsch bleibt bestehen und läßt sich vor dem Über-Ich nicht verheimlichen. Es wird also trotz des erfolgten Verzichts ein Schuldgefühl zustande kommen, und dies ist ein großer ökonomischer Nachteil der Über-Ich-Einsetzung, wie man sagen kann, der Gewissensbildung. Der Triebverzicht hat nun keine voll befreiende Wirkung mehr, die tugendhafte Enthaltung wird nicht mehr durch die Sicherung der Liebe gelohnt, für ein drohendes äußeres Unglück — Liebesverlust und Strafe von Seiten der äußeren Autorität — hat man ein andauerndes inneres Unglück, die Spannung des Schuldbewußtseins, eingetauscht.</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Diese Verhältnisse sind so verwickelt und zugleich so wichtig, daß ich sie trotz der Gefahren der Wiederholung noch von anderer Seite angreifen möchte. Die zeitliche Reihenfolge wäre also die: zunächst Triebverzicht infolge der Angst vor der Aggression der </w:t>
      </w:r>
      <w:r w:rsidRPr="00941D22">
        <w:rPr>
          <w:rFonts w:ascii="Garamond" w:hAnsi="Garamond"/>
          <w:i/>
          <w:iCs/>
          <w:lang w:val="en-US"/>
        </w:rPr>
        <w:t>äußeren</w:t>
      </w:r>
      <w:r w:rsidRPr="00941D22">
        <w:rPr>
          <w:rFonts w:ascii="Garamond" w:hAnsi="Garamond"/>
          <w:lang w:val="en-US"/>
        </w:rPr>
        <w:t xml:space="preserve"> Autorität — darauf läuft ja die Angst vor dem Liebesverlust hinaus, die Liebe schützt vor dieser Aggression der Strafe —, dann Aufrichtung der </w:t>
      </w:r>
      <w:r w:rsidRPr="00941D22">
        <w:rPr>
          <w:rFonts w:ascii="Garamond" w:hAnsi="Garamond"/>
          <w:i/>
          <w:iCs/>
          <w:lang w:val="en-US"/>
        </w:rPr>
        <w:t>inneren</w:t>
      </w:r>
      <w:r w:rsidRPr="00941D22">
        <w:rPr>
          <w:rFonts w:ascii="Garamond" w:hAnsi="Garamond"/>
          <w:lang w:val="en-US"/>
        </w:rPr>
        <w:t xml:space="preserve"> Autorität, Triebverzicht infolge der Angst vor ihr, Gewissensangst. Im zweiten Falle Gleichwertung von böser Tat und böser Absicht, daher Schuldbewußtsein, Strafbedürfnis. Die Aggression des Gewissens konserviert die Aggression der Autorität. Soweit ist es wohl klar geworden, aber wo bleibt Raum für den das Gewissen verstärkenden Einfluß des Unglücks (des von außen auferlegten Verzichts), für die </w:t>
      </w:r>
      <w:r w:rsidRPr="00941D22">
        <w:rPr>
          <w:rFonts w:ascii="Garamond" w:hAnsi="Garamond"/>
          <w:lang w:val="en-US"/>
        </w:rPr>
        <w:lastRenderedPageBreak/>
        <w:t>außerordentliche Strenge des Gewissens bei den Besten und Fügsam</w:t>
      </w:r>
      <w:r w:rsidRPr="00941D22">
        <w:rPr>
          <w:rFonts w:ascii="Garamond" w:hAnsi="Garamond"/>
          <w:lang w:val="en-US"/>
        </w:rPr>
        <w:softHyphen/>
        <w:t>sten? Wir haben beide Besonderheiten des Gewissens bereits erklärt, aber wahrscheinlich den Eindruck übrigbehalten, daß diese Erklärungen nicht bis zum Grunde reichen, einen Rest unerklärt lassen. Und hier greift endlich eine Idee ein, die durchaus der Psychoanalyse eigen und dem gewöhnlichen Denken der Menschen fremd ist. Sie ist von solcher Art, daß sie uns verstehen läßt, wie uns der Gegenstand so verworren und undurchsichtig erscheinen mußte. Sie sagt nämlich, anfangs ist zwar das Gewissen (richtiger: die Angst, die später Gewissen wird) Ursache des Triebverzichts, aber später kehrt sich das Verhältnis um. Jeder Triebverzicht wird nun eine dynamische Quelle des Gewissens, jeder neue Verzicht steigert dessen Strenge und Intoleranz, und wenn wir es nur mit der uns bekannten Entstehungsgeschichte des Gewissens besser in Einklang bringen könnten, wären wir versucht, uns zu dem paradoxen Satz zu bekennen: Das Gewissen ist die Folge des Trieb Verzichts; oder: Der (uns von außen auferlegte) Triebverzicht schafft das Gewissen, das dann weiteren Triebverzicht fordert.</w:t>
      </w:r>
    </w:p>
    <w:p w:rsidR="00941D22" w:rsidRPr="00941D22" w:rsidRDefault="00941D22" w:rsidP="00941D22">
      <w:pPr>
        <w:pStyle w:val="Sansinterligne"/>
        <w:rPr>
          <w:rFonts w:ascii="Garamond" w:hAnsi="Garamond"/>
          <w:lang w:val="en-US"/>
        </w:rPr>
      </w:pPr>
      <w:r w:rsidRPr="00941D22">
        <w:rPr>
          <w:rFonts w:ascii="Garamond" w:hAnsi="Garamond"/>
          <w:lang w:val="en-US"/>
        </w:rPr>
        <w:t>Eigentlich ist der Widerspruch dieses Satzes gegen die gegebene Genese des Gewissens nicht so groß, und wir sehen einen Weg, ihn weiter zu ver</w:t>
      </w:r>
      <w:r w:rsidRPr="00941D22">
        <w:rPr>
          <w:rFonts w:ascii="Garamond" w:hAnsi="Garamond"/>
          <w:lang w:val="en-US"/>
        </w:rPr>
        <w:softHyphen/>
        <w:t>ringern. Greifen wir zum Zwecke einer leichteren Darstellung das Beispiel des Aggressionstriebes heraus und nehmen wir an, es handle sich in diesen Verhältnissen immer um Aggressionsverzicht. Dies soll natürlich nur eine vorläufige Annahme sein. Die Wirkung des Triebverzichts auf das Gewissen geht dann so vor sich, daß jedes Stück Aggression, dessen Befriedigung wir unterlassen, vom Über-Ich übernommen wird und dessen Aggression (gegen das Ich) steigert. Es stimmt dazu nicht recht, daß die ursprüngliche Aggression des Gewissens die fortgesetzte Strenge der äußeren Autorität ist, also mit Verzicht nichts zu tun hat. Diese Unstimmigkeit bringen wir aber zum Schwinden, wenn wir für diese erste Aggressionsausstattung des Über-Ichs eine andere Ableitung annehmen. Gegen die Autorität, welche das Kind an den ersten, aber auch bedeutsamsten Befriedigungen verhindert, muß sich bei diesem ein erhebliches Maß von Aggressionsneigung entwickelt haben, gleichgiltig welcher Art die geforderten Triebentsagungen waren. Notgedrungen mußte das Kind auf die Befriedigung dieser rachsüchtigen Aggression verzichten. Es hilft sich aus dieser schwierigen ökonomischen Situation auf dem Wege bekannter Mechanismen, indem es diese unangreif</w:t>
      </w:r>
      <w:r w:rsidRPr="00941D22">
        <w:rPr>
          <w:rFonts w:ascii="Garamond" w:hAnsi="Garamond"/>
          <w:lang w:val="en-US"/>
        </w:rPr>
        <w:softHyphen/>
        <w:t>bare Autorität durch Identifizierung in sich aufnimmt, die nun das Über-Ich wird und in den Besitz all der Aggression gerät, die man gern als Kind gegen sie ausgeübt hätte. Das Ich des Kindes muß sich mit der traurigen Rolle der so erniedrigten Autorität — des Vaters — begnügen. Es ist eine Umkehrung der Situation, wie so häufig. »Wenn ich der Vater wäre und du das Kind, ich würde dich schlecht behandeln.« Die Beziehung zwischen Über-Ich und Ich ist die durch den Wunsch entstellte Wiederkehr realer Beziehungen zwischen dem noch ungeteilten Ich und einem äußeren Objekt. Auch das ist typisch. Der wesentliche Unterschied aber ist, daß die ursprüngliche Strenge des Über-Ichs nicht — oder nicht so sehr — die ist, die man von ihm erfahren hat oder die man ihm zumutet, sondern die eigene Aggression gegen ihn vertritt. Wenn das zutrifft, darf man wirklich behaupten, das Gewissen sei im Anfang entstanden durch die Unterdrückung einer Aggression und verstärke sich im weiteren Verlauf durch neue solche Unterdrückungen.</w:t>
      </w:r>
    </w:p>
    <w:p w:rsidR="00941D22" w:rsidRPr="00941D22" w:rsidRDefault="00941D22" w:rsidP="00941D22">
      <w:pPr>
        <w:pStyle w:val="Sansinterligne"/>
        <w:rPr>
          <w:rFonts w:ascii="Garamond" w:hAnsi="Garamond"/>
          <w:lang w:val="en-US"/>
        </w:rPr>
      </w:pPr>
      <w:r w:rsidRPr="00941D22">
        <w:rPr>
          <w:rFonts w:ascii="Garamond" w:hAnsi="Garamond"/>
          <w:lang w:val="en-US"/>
        </w:rPr>
        <w:t>Welche der beiden Auffassungen hat nun recht? Die frühere, die uns genetisch so unanfechtbar erschien, oder die neuere, welche die Theorie in so willkommener Weise abrundet? Offenbar, auch nach dem Zeugnis der direkten Beobachtung, sind beide berechtigt; sie widerstreiten einander nicht, treffen sogar an einer Stelle zusammen, denn die rachsüchtige Aggression des Kindes wird durch das Maß der strafenden Aggression, die es vom Vater erwartet, mitbestimmt werden. Die Erfahrung aber lehrt, daß die Strenge des Über-Ichs, das ein Kind entwickelt, keineswegs die Strenge der Behandlung, die es selbst erfahren hat, wiedergibt.</w:t>
      </w:r>
      <w:r w:rsidRPr="00941D22">
        <w:rPr>
          <w:rFonts w:ascii="Garamond" w:hAnsi="Garamond"/>
          <w:vertAlign w:val="superscript"/>
          <w:lang w:val="en-US"/>
        </w:rPr>
        <w:t>4)</w:t>
      </w:r>
      <w:r w:rsidRPr="00941D22">
        <w:rPr>
          <w:rFonts w:ascii="Garamond" w:hAnsi="Garamond"/>
          <w:lang w:val="en-US"/>
        </w:rPr>
        <w:t xml:space="preserve"> Sie erscheint unabhängig von ihr, bei sehr milder Erziehung kann ein Kind ein sehr strenges Gewissen bekommen. Doch wäre es auch unrichtig, wollte man diese Unabhängigkeit übertreiben; es ist nicht schwer, sich zu überzeugen, daß die Strenge der Erziehung auch auf die Bildung des kindlichen Über-Ichs einen starken Einfluß übt. Es kommt darauf hinaus, daß bei der Bildung des Über-Ichs und Entstehung des Gewissens mitgebrachte konstitutionelle Faktoren und Einflüsse des Milieus der realen Umgebung zusammenwirken, und das ist keineswegs befremdend, sondern die allgemeine ätiologische Bedingung all solcher Vorgänge.</w:t>
      </w:r>
      <w:r w:rsidRPr="00941D22">
        <w:rPr>
          <w:rFonts w:ascii="Garamond" w:hAnsi="Garamond"/>
          <w:vertAlign w:val="superscript"/>
          <w:lang w:val="en-US"/>
        </w:rPr>
        <w:t>5)</w:t>
      </w:r>
    </w:p>
    <w:p w:rsidR="00941D22" w:rsidRPr="00941D22" w:rsidRDefault="00941D22" w:rsidP="00941D22">
      <w:pPr>
        <w:pStyle w:val="Sansinterligne"/>
        <w:rPr>
          <w:rFonts w:ascii="Garamond" w:hAnsi="Garamond"/>
          <w:lang w:val="en-US"/>
        </w:rPr>
      </w:pPr>
      <w:r w:rsidRPr="00941D22">
        <w:rPr>
          <w:rFonts w:ascii="Garamond" w:hAnsi="Garamond"/>
          <w:lang w:val="en-US"/>
        </w:rPr>
        <w:t>Man kann auch sagen, wenn das Kind auf die ersten großen Triebversa</w:t>
      </w:r>
      <w:r w:rsidRPr="00941D22">
        <w:rPr>
          <w:rFonts w:ascii="Garamond" w:hAnsi="Garamond"/>
          <w:lang w:val="en-US"/>
        </w:rPr>
        <w:softHyphen/>
        <w:t xml:space="preserve">gungen mit überstarker Aggression und entsprechender Strenge des Über-Ichs reagiert, folgt es dabei einem phylogenetischen Vorbild und setzt sich über die aktuell gerechtfertigte Reaktion hinaus, denn der Vater der Vorzeit war gewiß fürchterlich, und ihm durfte man das äußerste Maß von Aggression zumuten. Die Unterschiede der beiden Auffassungen von der Genese des Gewissens verringern sich also noch mehr, wenn man von der individuellen zur phylogenetischen Entwicklungsgeschichte übergeht. Dafür zeigt sich ein neuer, bedeutsamer Unterschied in diesen beiden Vorgängen. Wir können nicht über die Annahme hinaus, daß </w:t>
      </w:r>
      <w:r w:rsidRPr="00941D22">
        <w:rPr>
          <w:rFonts w:ascii="Garamond" w:hAnsi="Garamond"/>
          <w:lang w:val="en-US"/>
        </w:rPr>
        <w:lastRenderedPageBreak/>
        <w:t>das Schuldgefühl der Menschheit aus dem Ödipuskomplex stammt und bei der Tötung des Vaters durch die Brüdervereinigung erworben wurde. Damals wurde eine Aggression nicht unterdrückt, sondern ausgeführt, dieselbe Aggression, deren Unterdrückung beim Kinde die Quelle des Schuldgefühls sein soll. Nun würde ich mich nicht verwundern, wenn ein Leser ärgerlich ausriefe: »Es ist also ganz gleichgültig, ob man den Vater umbringt oder nicht, ein Schuldgefühl bekommt man auf alle Fälle! Da darf man sich einige Zweifel erlauben. Entweder ist es falsch, daß das Schuldgefühl von unterdrückten Aggressionen herrührt, oder die ganze Geschichte von der Vatertötung ist ein Roman, und die Urmenschenkinder haben ihre Väter nicht häufiger umgebracht, als es die heutigen pflegen. Übrigens, wenn es kein Roman, sondern plausible Historie ist, so hätte man einen Fall, in dem das geschieht, was alle Welt erwartet, nämlich, daß man sich schuldig fühlt, weil man wirklich etwas, was nicht zu rechtfertigen ist, getan hat. Und für diesen Fall, der sich immerhin alle Tage ereignet, ist uns die Psychoanalyse die Erklärung schuldig geblieben.«</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Das ist wahr und soll nachgeholt werden. </w:t>
      </w:r>
      <w:r w:rsidRPr="00941D22">
        <w:rPr>
          <w:rFonts w:ascii="Garamond" w:hAnsi="Garamond"/>
        </w:rPr>
        <w:t xml:space="preserve">Es ist auch kein besonderes Geheimnis. </w:t>
      </w:r>
      <w:r w:rsidRPr="00941D22">
        <w:rPr>
          <w:rFonts w:ascii="Garamond" w:hAnsi="Garamond"/>
          <w:lang w:val="en-US"/>
        </w:rPr>
        <w:t xml:space="preserve">Wenn man ein Schuldgefühl hat, nachdem und weil man etwas verbrochen hat, so sollte man dies Gefühl eher </w:t>
      </w:r>
      <w:r w:rsidRPr="00941D22">
        <w:rPr>
          <w:rFonts w:ascii="Garamond" w:hAnsi="Garamond"/>
          <w:i/>
          <w:iCs/>
          <w:lang w:val="en-US"/>
        </w:rPr>
        <w:t>Reue</w:t>
      </w:r>
      <w:r w:rsidRPr="00941D22">
        <w:rPr>
          <w:rFonts w:ascii="Garamond" w:hAnsi="Garamond"/>
          <w:lang w:val="en-US"/>
        </w:rPr>
        <w:t xml:space="preserve"> nennen. Es bezieht sich nur auf eine Tat, setzt natürlich voraus, daß ein </w:t>
      </w:r>
      <w:r w:rsidRPr="00941D22">
        <w:rPr>
          <w:rFonts w:ascii="Garamond" w:hAnsi="Garamond"/>
          <w:i/>
          <w:iCs/>
          <w:lang w:val="en-US"/>
        </w:rPr>
        <w:t>Gewissen,</w:t>
      </w:r>
      <w:r w:rsidRPr="00941D22">
        <w:rPr>
          <w:rFonts w:ascii="Garamond" w:hAnsi="Garamond"/>
          <w:lang w:val="en-US"/>
        </w:rPr>
        <w:t xml:space="preserve"> die Bereitschaft, sich schuldig zu fühlen, bereits vor der Tat bestand. Eine solche Reue kann uns also nie dazu verhelfen, den Ursprung des Gewissens und des Schuldgefühls überhaupt zu finden. Der Hergang dieser alltäglichen Fälle ist gewöhnlich der, daß ein Triebbedürfnis die Stärke erworben hat, seine Befriedigung gegen das in seiner Stärke auch nur begrenzte Gewissen durchzusetzen, und daß mit der natürlichen Abschwächung des Bedürfnisses durch seine Befriedigung das frühere Kräfteverhältnis wiederhergestellt wird. Die Psychoanalyse tut also recht daran, den Fall des Schuldgefühls aus Reue von diesen Erörterungen auszuschließen, so häufig er auch vorkommt und so groß seine praktische Bedeutung auch ist.</w:t>
      </w:r>
    </w:p>
    <w:p w:rsidR="00941D22" w:rsidRPr="00941D22" w:rsidRDefault="00941D22" w:rsidP="00941D22">
      <w:pPr>
        <w:pStyle w:val="Sansinterligne"/>
        <w:rPr>
          <w:rFonts w:ascii="Garamond" w:hAnsi="Garamond"/>
          <w:lang w:val="en-US"/>
        </w:rPr>
      </w:pPr>
      <w:r w:rsidRPr="00941D22">
        <w:rPr>
          <w:rFonts w:ascii="Garamond" w:hAnsi="Garamond"/>
          <w:lang w:val="en-US"/>
        </w:rPr>
        <w:t>Aber wenn das menschliche Schuldgefühl auf die Tötung des Urvaters zurückgeht, das war doch ein Fall von »Reue«, und damals soll der Voraus</w:t>
      </w:r>
      <w:r w:rsidRPr="00941D22">
        <w:rPr>
          <w:rFonts w:ascii="Garamond" w:hAnsi="Garamond"/>
          <w:lang w:val="en-US"/>
        </w:rPr>
        <w:softHyphen/>
        <w:t>setzung nach Gewissen und Schuldgefühl vor der Tat nicht bestanden haben? Woher kam in diesem Fall die Reue? Gewiß, dieser Fall muß uns das Geheimnis des Schuldgefühls aufklären, unseren Verlegenheiten ein Ende machen. Und ich meine, er leistet es auch. Diese Reue war das Ergebnis der uranfänglichen Gefühlsambivalenz gegen den Vater, die Söhne haßten ihn, aber sie liebten ihn auch; nachdem der Haß durch die Aggression befriedigt war, kam in der Reue über die Tat die Liebe zum Vorschein, richtete durch Identifizierung mit dem Vater das Über-Ich auf, gab ihm die Macht des Vaters wie zur Bestrafung für die gegen ihn verübte Tat der Aggression, schuf die Einschränkungen, die eine Wiederholung der Tat verhüten sollten. Und da die Aggressionsneigung gegen den Vater sich in den folgenden Geschlechtern wiederholte, blieb auch das Schuldgefühl bestehen und verstärkte sich von neuem durch jede unterdrückte und dem Über-Ich übertragene Aggression. Nun, meine ich, erfassen wir endlich zweierlei in voller Klarheit, den Anteil der Liebe an der Entstehung des Gewissens und die verhängnisvolle Unvermeidlichkeit des Schuldgefühls. Es ist wirklich nicht entscheidend, ob man den Vater getötet oder sich der Tat enthalten hat, man muß sich in beiden Fällen schuldig finden, denn das Schuldgefühl ist der Ausdruck des Ambivalenzkonflikts, des ewigen Kampfes zwischen dem Eros und dem Destruktions- oder Todestrieb. Dieser Konflikt wird angefacht, sobald den Menschen die Aufgabe des Zusammenlebens gestellt wird; solange diese Gemeinschaft nur die Form der Familie kennt, muß er sich im Ödipuskomplex äußern, das Gewissen einsetzen, das erste Schuldgefühl schaffen. Wenn eine Erweiterung dieser Gemeinschaft versucht wird, wird derselbe Konflikt in Formen, die von der Vergangenheit abhängig sind, fortgesetzt, verstärkt und hat eine weitere Steigerung des Schuldgefühls zur Folge. Da die Kultur einem inneren erotischen Antrieb gehorcht, der sie die Menschen zu einer innig verbundenen Masse vereinigen heißt, kann sie dies Ziel nur auf dem Wege einer immer wachsenden Verstärkung des Schuldgefühls erreichen. Was am Vater begonnen wurde, vollendet sich an der Masse. Ist die Kultur der notwendige Entwicklungsgang von der Familie zur Menschheit, so ist unablösbar mit ihr verbunden, als Folge des mitgeborenen Ambivalenz</w:t>
      </w:r>
      <w:r w:rsidRPr="00941D22">
        <w:rPr>
          <w:rFonts w:ascii="Garamond" w:hAnsi="Garamond"/>
          <w:lang w:val="en-US"/>
        </w:rPr>
        <w:softHyphen/>
        <w:t>konflikts, als Folge des ewigen Haders zwischen Liebe und Todesstreben, die Steigerung des Schuldgefühls vielleicht bis zu Höhen, die der Einzelne schwer erträglich findet. Man gedenkt der ergreifenden Anklage des großen Dichters gegen die »himmlischen Mächte«:</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rPr>
      </w:pPr>
      <w:r w:rsidRPr="00941D22">
        <w:rPr>
          <w:rFonts w:ascii="Garamond" w:hAnsi="Garamond"/>
        </w:rPr>
        <w:t>»Ihr führt ins Leben uns hinein,</w:t>
      </w:r>
    </w:p>
    <w:p w:rsidR="00941D22" w:rsidRPr="00941D22" w:rsidRDefault="00941D22" w:rsidP="00941D22">
      <w:pPr>
        <w:pStyle w:val="Sansinterligne"/>
        <w:rPr>
          <w:rFonts w:ascii="Garamond" w:hAnsi="Garamond"/>
        </w:rPr>
      </w:pPr>
      <w:r w:rsidRPr="00941D22">
        <w:rPr>
          <w:rFonts w:ascii="Garamond" w:hAnsi="Garamond"/>
        </w:rPr>
        <w:t>Ihr laßt den Armen schuldig werden,</w:t>
      </w:r>
    </w:p>
    <w:p w:rsidR="00941D22" w:rsidRPr="00941D22" w:rsidRDefault="00941D22" w:rsidP="00941D22">
      <w:pPr>
        <w:pStyle w:val="Sansinterligne"/>
        <w:rPr>
          <w:rFonts w:ascii="Garamond" w:hAnsi="Garamond"/>
        </w:rPr>
      </w:pPr>
      <w:r w:rsidRPr="00941D22">
        <w:rPr>
          <w:rFonts w:ascii="Garamond" w:hAnsi="Garamond"/>
        </w:rPr>
        <w:t>Dann überlaßt Ihr ihn der Pein,</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Denn jede Schuld rächt sich auf Erden.« </w:t>
      </w:r>
      <w:r w:rsidRPr="00941D22">
        <w:rPr>
          <w:rFonts w:ascii="Garamond" w:hAnsi="Garamond"/>
          <w:vertAlign w:val="superscript"/>
          <w:lang w:val="en-US"/>
        </w:rPr>
        <w:t>6)</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lastRenderedPageBreak/>
        <w:t>Und man darf wohl aufseufzen bei der Erkenntnis, daß es einzelnen Menschen gegeben ist, aus dem Wirbel der eigenen Gefühle die tiefsten Einsichten doch eigentlich mühelos heraufzuholen, zu denen wir anderen uns durch qualvolle Unsicherheit und rastloses Tasten den Weg zu bahnen haben.</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t>________________</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1)</w:t>
      </w:r>
      <w:r w:rsidRPr="00941D22">
        <w:rPr>
          <w:rFonts w:ascii="Garamond" w:hAnsi="Garamond"/>
          <w:lang w:val="en-US"/>
        </w:rPr>
        <w:t xml:space="preserve"> Man denke an Rousseaus berühmten Mandarin!</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2)</w:t>
      </w:r>
      <w:r w:rsidRPr="00941D22">
        <w:rPr>
          <w:rFonts w:ascii="Garamond" w:hAnsi="Garamond"/>
          <w:lang w:val="en-US"/>
        </w:rPr>
        <w:t xml:space="preserve"> Daß in dieser übersichtlichen Darstellung scharf getrennt wird, was sich in Wirklichkeit in fließenden Übergängen vollzieht, daß es sich nicht um die Existenz eines Über-Ichs allein, sondern um dessen relative Stärke und Einflußsphäre handelt, wird jeder Einsichtige verstehen und in Rechnung bringen. Alles Bisherige über Gewissen und Schuld ist ja allgemein bekannt und nahezu unbestritten.</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3)</w:t>
      </w:r>
      <w:r w:rsidRPr="00941D22">
        <w:rPr>
          <w:rFonts w:ascii="Garamond" w:hAnsi="Garamond"/>
          <w:lang w:val="en-US"/>
        </w:rPr>
        <w:t xml:space="preserve"> Diese Förderung der Moral durch Mißgeschick behandelt Mark Twain in einer köstlichen kleinen Geschichte: </w:t>
      </w:r>
      <w:r w:rsidRPr="00941D22">
        <w:rPr>
          <w:rFonts w:ascii="Garamond" w:hAnsi="Garamond"/>
          <w:i/>
          <w:iCs/>
          <w:lang w:val="en-US"/>
        </w:rPr>
        <w:t>The First Melon I ever Stole.</w:t>
      </w:r>
      <w:r w:rsidRPr="00941D22">
        <w:rPr>
          <w:rFonts w:ascii="Garamond" w:hAnsi="Garamond"/>
          <w:lang w:val="en-US"/>
        </w:rPr>
        <w:t xml:space="preserve"> Diese erste Melone ist zufällig unreif. Ich hörte Mark Twain diese kleine Geschichte selbst vortragen. Nachdem er ihren Titel ausgesprochen hatte, hielt er inne und fragte sich wie zweifelnd: </w:t>
      </w:r>
      <w:r w:rsidRPr="00941D22">
        <w:rPr>
          <w:rFonts w:ascii="Garamond" w:hAnsi="Garamond"/>
          <w:i/>
          <w:iCs/>
          <w:lang w:val="en-US"/>
        </w:rPr>
        <w:t>»Was it the first?«</w:t>
      </w:r>
      <w:r w:rsidRPr="00941D22">
        <w:rPr>
          <w:rFonts w:ascii="Garamond" w:hAnsi="Garamond"/>
          <w:lang w:val="en-US"/>
        </w:rPr>
        <w:t xml:space="preserve"> Damit hatte er alles gesagt. Die erste war also nicht die einzige geblieben.</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4)</w:t>
      </w:r>
      <w:r w:rsidRPr="00941D22">
        <w:rPr>
          <w:rFonts w:ascii="Garamond" w:hAnsi="Garamond"/>
          <w:lang w:val="en-US"/>
        </w:rPr>
        <w:t xml:space="preserve"> Wie von Melanie Klein und anderen, englischen Autoren richtig hervorgehoben wurde.</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5)</w:t>
      </w:r>
      <w:r w:rsidRPr="00941D22">
        <w:rPr>
          <w:rFonts w:ascii="Garamond" w:hAnsi="Garamond"/>
          <w:i/>
          <w:iCs/>
          <w:lang w:val="en-US"/>
        </w:rPr>
        <w:t xml:space="preserve"> </w:t>
      </w:r>
      <w:r w:rsidRPr="00941D22">
        <w:rPr>
          <w:rFonts w:ascii="Garamond" w:hAnsi="Garamond"/>
          <w:lang w:val="en-US"/>
        </w:rPr>
        <w:t xml:space="preserve">Fr. Alexander hat in der </w:t>
      </w:r>
      <w:r w:rsidRPr="00941D22">
        <w:rPr>
          <w:rFonts w:ascii="Garamond" w:hAnsi="Garamond"/>
          <w:i/>
          <w:iCs/>
          <w:lang w:val="en-US"/>
        </w:rPr>
        <w:t>Psychoanalyse der Gesamtpersönlichkeit</w:t>
      </w:r>
      <w:r w:rsidRPr="00941D22">
        <w:rPr>
          <w:rFonts w:ascii="Garamond" w:hAnsi="Garamond"/>
          <w:lang w:val="en-US"/>
        </w:rPr>
        <w:t xml:space="preserve"> (1927) die beiden Haupttypen der pathogenen Erziehungsmethoden, die Überstrenge und die Verwöhnung, im Anschluß an Aichhorns Studie über die Verwahrlosung zutreffend gewürdigt. Der »übermäßig weiche und nachsichtige« Vater wird beim Kinde Anlaß zur Bildung eines überstrengen Über-Ichs werden, weil diesem Kind unter dem Eindruck der Liebe, die es empfängt, kein anderer Ausweg für seine Aggression bleibt als die Wendung nach innen. Beim Verwahrlosten, der ohne Liebe erzogen wurde, entfällt die Spannung zwischen Ich und Über-Ich, seine ganze Aggression kann sich nach außen richten. Sieht man also von einem anzunehmenden konstitutionellen Faktor ab, so darf man sagen, das strenge Gewissen entstehe aus dem Zusammenwirken zweier Lebenseinflüsse, der Triebversagung, welche die Aggression entfesselt, und der Liebeserfahrung, welche diese Aggression nach innen wendet und dem Über-Ich überträgt.</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6)</w:t>
      </w:r>
      <w:r w:rsidRPr="00941D22">
        <w:rPr>
          <w:rFonts w:ascii="Garamond" w:hAnsi="Garamond"/>
          <w:lang w:val="en-US"/>
        </w:rPr>
        <w:t xml:space="preserve"> Goethe, Lieder des Harfners in </w:t>
      </w:r>
      <w:r w:rsidRPr="00941D22">
        <w:rPr>
          <w:rFonts w:ascii="Garamond" w:hAnsi="Garamond"/>
          <w:i/>
          <w:iCs/>
          <w:lang w:val="en-US"/>
        </w:rPr>
        <w:t>Wilhelm Meister.</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 xml:space="preserve">VIII. </w:t>
      </w:r>
      <w:r w:rsidRPr="00941D22">
        <w:rPr>
          <w:rFonts w:ascii="Garamond" w:hAnsi="Garamond"/>
          <w:lang w:val="en-US"/>
        </w:rPr>
        <w:br/>
        <w:t>[Schlussfolgerungen]</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Am Ende eines solchen Weges angelangt, muß der Autor seine Leser um Entschuldigung bitten, daß er ihnen kein geschickter Führer gewesen, ihnen das Erlebnis öder Strecken und beschwerlicher Umwege nicht erspart hat. Es ist kein Zweifel, daß man es besser machen kann. Ich will versuchen, nachträglich etwas gutzumachen.</w:t>
      </w:r>
    </w:p>
    <w:p w:rsidR="00941D22" w:rsidRPr="00941D22" w:rsidRDefault="00941D22" w:rsidP="00941D22">
      <w:pPr>
        <w:pStyle w:val="Sansinterligne"/>
        <w:rPr>
          <w:rFonts w:ascii="Garamond" w:hAnsi="Garamond"/>
          <w:lang w:val="en-US"/>
        </w:rPr>
      </w:pPr>
      <w:r w:rsidRPr="00941D22">
        <w:rPr>
          <w:rFonts w:ascii="Garamond" w:hAnsi="Garamond"/>
          <w:lang w:val="en-US"/>
        </w:rPr>
        <w:t>[VIII. Schlussfolgerungen: Glückseinbuße durch die Steigerung des Schuldgefühls als Preis für den Kulturfortschritt]</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Zunächst vermute ich bei den Lesern den Eindruck, daß die Erörterungen über das Schuldgefühl den Rahmen dieses Aufsatzes sprengen, indem sie zuviel Raum für sich einnehmen und ihren anderen Inhalt, mit dem sie nicht immer innig zusammenhängen, an den Rand drängen. Das mag den Aufbau der Abhandlung gestört haben, entspricht aber durchaus der Absicht, das Schuldgefühl als das wichtigste Problem der Kulturentwicklung hinzustellen und darzutun, daß der Preis für den Kulturfortschritt in der Glückseinbuße durch die Erhöhung des Schuldgefühls bezahlt wird.</w:t>
      </w:r>
      <w:r w:rsidRPr="00941D22">
        <w:rPr>
          <w:rFonts w:ascii="Garamond" w:hAnsi="Garamond"/>
          <w:vertAlign w:val="superscript"/>
          <w:lang w:val="en-US"/>
        </w:rPr>
        <w:t>1)</w:t>
      </w:r>
      <w:r w:rsidRPr="00941D22">
        <w:rPr>
          <w:rFonts w:ascii="Garamond" w:hAnsi="Garamond"/>
          <w:lang w:val="en-US"/>
        </w:rPr>
        <w:t xml:space="preserve"> Was an diesem Satz, dem Endergebnis unserer Untersuchung, noch befremdlich klingt, läßt sich wahrscheinlich auf das ganz sonderbare, noch durchaus unverstandene Verhältnis des Schuldgefühls zu unserem Bewußtsein zurückführen. In den gemeinen, uns als normal geltenden Fällen von Reue macht es sich dem Bewußtsein deutlich genug wahrnehmbar; wir sind doch gewöhnt, anstatt Schuldgefühl »Schuldbewußtsein« zu sagen. Aus dem Studium der Neurosen, denen wir doch die wertvollsten Winke zum Verständnis des Normalen danken, ergeben sich widerspruchsvolle Verhältnisse. Bei einer dieser Affektionen, der Zwangsneurose, drängt sich das Schuldgefühl überlaut dem Bewußtsein auf, es beherrscht das Krankheitsbild wie das Leben der Kranken, läßt kaum anderes neben sich aufkommen. Aber in den meisten anderen Fällen und Formen von Neurose bleibt es völlig unbewußt, ohne darum geringfügigere Wirkungen zu äußern. Die Kranken glauben uns nicht, wenn wir ihnen ein »unbewußtes Schuldgefühl« zumuten; um nur halbwegs von ihnen verstanden zu werden, erzählen wir ihnen von einem unbewußten Strafbedürfnis, in dem sich </w:t>
      </w:r>
      <w:r w:rsidRPr="00941D22">
        <w:rPr>
          <w:rFonts w:ascii="Garamond" w:hAnsi="Garamond"/>
          <w:lang w:val="en-US"/>
        </w:rPr>
        <w:lastRenderedPageBreak/>
        <w:t xml:space="preserve">das Schuldgefühl äußert. Aber die Beziehung zur Neurosenform darf nicht überschätzt werden; es gibt auch bei der Zwangsneurose Typen von Kranken, die ihr Schuldgefühl nicht wahrnehmen oder es als ein quälendes Unbehagen, eine Art von Angst erst dann empfinden, wenn sie an der Ausführung gewisser Handlungen verhindert werden. Diese Dinge sollte man endlich einmal verstehen können, man kann es noch nicht. Vielleicht ist hier die Bemerkung willkommen, daß das Schuldgefühl im Grunde nichts ist als eine topische Abart der Angst, in seinen späteren Phasen fällt es ganz mit der </w:t>
      </w:r>
      <w:r w:rsidRPr="00941D22">
        <w:rPr>
          <w:rFonts w:ascii="Garamond" w:hAnsi="Garamond"/>
          <w:i/>
          <w:iCs/>
          <w:lang w:val="en-US"/>
        </w:rPr>
        <w:t>Angst vor dem Über-Icb</w:t>
      </w:r>
      <w:r w:rsidRPr="00941D22">
        <w:rPr>
          <w:rFonts w:ascii="Garamond" w:hAnsi="Garamond"/>
          <w:lang w:val="en-US"/>
        </w:rPr>
        <w:t xml:space="preserve"> zusammen. Und bei der Angst zeigen sich im Verhältnis zum Bewußtsein dieselben außerordentlichen Variationen. Irgendwie steckt die Angst hinter allen Symptomen, aber bald nimmt sie lärmend das Bewußtsein ganz für sich in Anspruch, bald verbirgt sie sich so vollkommen, daß wir genötigt sind, von unbewußter Angst oder — wenn wir ein reineres psychologisches Gewissen haben wollen, da ja die Angst zunächst nur eine Empfindung ist — von Angstmöglichkeiten zu reden. Und darum ist es sehr wohl denkbar, daß auch das durch die Kultur erzeugte Schuldbewußtsein nicht als solches erkannt wird, zum großen Teil unbewußt bleibt oder als ein Unbehagen, eine Unzufriedenheit zum Vorschein kommt, für die man andere Motivierungen sucht. Die Religionen wenigstens haben die Rolle des Schuldgefühls in der Kultur nie verkannt. Sie treten ja, was ich an anderer Stelle nicht gewürdigt hatte,</w:t>
      </w:r>
      <w:r w:rsidRPr="00941D22">
        <w:rPr>
          <w:rFonts w:ascii="Garamond" w:hAnsi="Garamond"/>
          <w:vertAlign w:val="superscript"/>
          <w:lang w:val="en-US"/>
        </w:rPr>
        <w:t>2)</w:t>
      </w:r>
      <w:r w:rsidRPr="00941D22">
        <w:rPr>
          <w:rFonts w:ascii="Garamond" w:hAnsi="Garamond"/>
          <w:lang w:val="en-US"/>
        </w:rPr>
        <w:t xml:space="preserve"> auch mit dem Anspruch auf, die Menschheit von diesem Schuldgefühl, das sie Sünde heißen, zu erlösen. Aus der Art, wie im Christentum diese Erlösung gewonnen wird, durch den Opfertod eines Einzelnen, der damit eine allen gemeinsame Schuld auf sich nimmt, haben wir ja einen Schluß darauf gezogen, welches der erste Anlaß zur Erwerbung dieser Urschuld, mit der auch die Kultur begann, gewesen sein mag.</w:t>
      </w:r>
      <w:r w:rsidRPr="00941D22">
        <w:rPr>
          <w:rFonts w:ascii="Garamond" w:hAnsi="Garamond"/>
          <w:vertAlign w:val="superscript"/>
          <w:lang w:val="en-US"/>
        </w:rPr>
        <w:t>3)</w:t>
      </w:r>
    </w:p>
    <w:p w:rsidR="00941D22" w:rsidRPr="00941D22" w:rsidRDefault="00941D22" w:rsidP="00941D22">
      <w:pPr>
        <w:pStyle w:val="Sansinterligne"/>
        <w:rPr>
          <w:rFonts w:ascii="Garamond" w:hAnsi="Garamond"/>
          <w:lang w:val="en-US"/>
        </w:rPr>
      </w:pPr>
      <w:r w:rsidRPr="00941D22">
        <w:rPr>
          <w:rFonts w:ascii="Garamond" w:hAnsi="Garamond"/>
          <w:lang w:val="en-US"/>
        </w:rPr>
        <w:t>Es kann nicht sehr wichtig werden, mag aber nicht überflüssig sein, daß wir die Bedeutung einiger Worte wie: Über-Ich, Gewissen, Schuldgefühl, Strafbedürfnis, Reue erläutern, die wir vielleicht oft zu lose und eines fürs andere gebraucht haben. Alle beziehen sich auf dasselbe Verhältnis, benennen aber verschiedene Seiten desselben. Das Über-Ich ist eine von uns erschlossene Instanz, das Gewissen eine Funktion, die wir ihm neben anderen zuschreiben, die die Handlungen und Absichten des Ichs zu über</w:t>
      </w:r>
      <w:r w:rsidRPr="00941D22">
        <w:rPr>
          <w:rFonts w:ascii="Garamond" w:hAnsi="Garamond"/>
          <w:lang w:val="en-US"/>
        </w:rPr>
        <w:softHyphen/>
        <w:t>wachen und zu beurteilen hat, eine zensorische Tätigkeit ausübt. Das Schuldgefühl, die Härte des Über-Ichs, ist also dasselbe wie die Strenge des Gewissens, ist die dem Ich zugeteilte Wahrnehmung, daß es in solcher Weise überwacht wird, die Abschätzung der Spannung zwischen seinen Strebungen und den Forderungen des ÜberIchs, und die der ganzen Beziehung zugrunde liegende Angst vor dieser kritischen Instanz, das Strafbedürfnis, ist eine Triebäußerung des Ichs, das unter dem Einfluß des sadistischen Über-Ichs masochistisch geworden ist, d. h. ein Stück des in ihm vorhandenen Triebes zur inneren Destruktion zu einer erotischen Bindung an das Über-Ich verwendet. Vom Gewissen sollte man nicht eher sprechen, als bis ein Über-Ich nachweisbar ist; vom Schuldbewußtsein muß man zugeben, daß es früher besteht als das Über-Ich, also auch als das Gewissen. Es ist dann der unmittelbare Ausdruck der Angst vor der äußeren Autorität, die Anerkennung der Spannung zwischen dem Ich und dieser letzteren, der direkte Abkömmling des Konflikts zwischen dem Bedürfnis nach deren Liebe und dem Drang nach Triebbefriedigung, dessen Hemmung die Neigung zur Aggression erzeugt. Die Übereinanderlagerung dieser beiden Schichten des Schuldgefühls — aus Angst vor der äußeren und vor der inneren Autorität — hat uns manchen Einblick in die Beziehungen des Gewissens erschwert. Reue ist eine Gesamtbezeichnung für die Reaktion des Ichs in einem Falle des Schuldgefühls, enthält das wenig umgewandelte Empfindungsmaterial der dahinter wirksamen Angst, ist selbst eine Strafe und kann das Strafbedürfnis einschließen; auch sie kann also älter sein als das Gewissen.</w:t>
      </w:r>
    </w:p>
    <w:p w:rsidR="00941D22" w:rsidRPr="00941D22" w:rsidRDefault="00941D22" w:rsidP="00941D22">
      <w:pPr>
        <w:pStyle w:val="Sansinterligne"/>
        <w:rPr>
          <w:rFonts w:ascii="Garamond" w:hAnsi="Garamond"/>
          <w:lang w:val="en-US"/>
        </w:rPr>
      </w:pPr>
      <w:r w:rsidRPr="00941D22">
        <w:rPr>
          <w:rFonts w:ascii="Garamond" w:hAnsi="Garamond"/>
          <w:lang w:val="en-US"/>
        </w:rPr>
        <w:t>Es kann auch nichts schaden, daß wir uns nochmals die Widersprüche vorführen, die uns eine Weile bei unserer Untersuchung verwirrt haben. Das Schuldgefühl sollte einmal die Folge unterlassener Aggressionen sein, aber ein andermal und gerade bei seinem historischen Anfang, der Vatertötung, die Folge einer ausgeführten Aggression. Wir fanden auch den Ausweg aus dieser Schwierigkeit. Die Einsetzung der inneren Autorität, des Über-Ichs, hat eben die Verhältnisse gründlich geändert. Vorher fiel das Schuldgefühl mit der Reue zusammen; wir merken dabei, daß die Bezeichnung Reue für die Reaktion nach wirklicher Ausführung der Aggression zu reservieren ist. Nachher verlor infolge der Allwissenheit des Über-Ichs der Unterschied zwischen beabsichtigter und erfüllter Aggression seine Kraft; nun konnte sowohl eine wirklich ausgeführte Gewalttat Schuldgefühl erzeugen — wie alle Welt weiß — als auch eine bloß beabsichtigte — wie die Psychoanalyse erkannt hat. Über die Veränderung der psychologischen Situation hinweg hinterläßt der Ambivalenzkonflikt der beiden Urtriebe die nämliche Wirkung. Die Versuchung liegt nahe, hier die Lösung des Rätsels von der wechsel</w:t>
      </w:r>
      <w:r w:rsidRPr="00941D22">
        <w:rPr>
          <w:rFonts w:ascii="Garamond" w:hAnsi="Garamond"/>
          <w:lang w:val="en-US"/>
        </w:rPr>
        <w:softHyphen/>
        <w:t xml:space="preserve">vollen Beziehung des Schuldgefühls zum Bewußtsein zu suchen. </w:t>
      </w:r>
      <w:r w:rsidRPr="00941D22">
        <w:rPr>
          <w:rFonts w:ascii="Garamond" w:hAnsi="Garamond"/>
        </w:rPr>
        <w:t xml:space="preserve">Das Schuldgefühl aus Reue über die böse Tat müßte immer bewußt sein, das aus Wahrnehmung des bösen Impulses könnte unbewußt bleiben. </w:t>
      </w:r>
      <w:r w:rsidRPr="00941D22">
        <w:rPr>
          <w:rFonts w:ascii="Garamond" w:hAnsi="Garamond"/>
          <w:lang w:val="en-US"/>
        </w:rPr>
        <w:t xml:space="preserve">Allein so einfach ist das nicht, die Zwangsneurose widerspricht dem energisch. Der zweite Widerspruch war, daß die aggressive Energie, mit </w:t>
      </w:r>
      <w:r w:rsidRPr="00941D22">
        <w:rPr>
          <w:rFonts w:ascii="Garamond" w:hAnsi="Garamond"/>
          <w:lang w:val="en-US"/>
        </w:rPr>
        <w:lastRenderedPageBreak/>
        <w:t>der man das Über-Ich ausgestattet denkt, nach einer Auffassung bloß die Strafenergie der äußeren Autorität fortsetzt und für das Seelenleben erhält, während eine andere Auffassung meint, es sei vielmehr die nicht zur Verwendung gelangte eigene Aggression, die man gegen diese hemmende Autorität aufbringt. Die erste Lehre schien sich der Geschichte, die zweite der Theorie des Schuld</w:t>
      </w:r>
      <w:r w:rsidRPr="00941D22">
        <w:rPr>
          <w:rFonts w:ascii="Garamond" w:hAnsi="Garamond"/>
          <w:lang w:val="en-US"/>
        </w:rPr>
        <w:softHyphen/>
        <w:t>gefühls besser anzupassen. Eingehendere Überlegung hat den anscheinend unversöhnlichen Gegensatz beinahe allzuviel verwischt; es blieb als wesentlich und gemeinsam übrig, daß es sich um eine nach innen verscho</w:t>
      </w:r>
      <w:r w:rsidRPr="00941D22">
        <w:rPr>
          <w:rFonts w:ascii="Garamond" w:hAnsi="Garamond"/>
          <w:lang w:val="en-US"/>
        </w:rPr>
        <w:softHyphen/>
        <w:t>bene Aggression handelt. Die klinische Beobachtung gestattet wiederum, wirklich zwei Quellen für die dem Über-Ich zugeschriebene Aggression zu unterscheiden, von denen im einzelnen Fall die eine oder die andere die stärkere Wirkung ausübt, die im allgemeinen aber zusammenwirken.</w:t>
      </w:r>
    </w:p>
    <w:p w:rsidR="00941D22" w:rsidRPr="00941D22" w:rsidRDefault="00941D22" w:rsidP="00941D22">
      <w:pPr>
        <w:pStyle w:val="Sansinterligne"/>
        <w:rPr>
          <w:rFonts w:ascii="Garamond" w:hAnsi="Garamond"/>
          <w:lang w:val="en-US"/>
        </w:rPr>
      </w:pPr>
      <w:r w:rsidRPr="00941D22">
        <w:rPr>
          <w:rFonts w:ascii="Garamond" w:hAnsi="Garamond"/>
          <w:lang w:val="en-US"/>
        </w:rPr>
        <w:t>Hier ist, meine ich, der Ort, eine Auffassung ernsthaft zu vertreten, die ich vorhin zur vorläufigen Annahme empfohlen hatte. In der neuesten analyti</w:t>
      </w:r>
      <w:r w:rsidRPr="00941D22">
        <w:rPr>
          <w:rFonts w:ascii="Garamond" w:hAnsi="Garamond"/>
          <w:lang w:val="en-US"/>
        </w:rPr>
        <w:softHyphen/>
        <w:t>schen Literatur zeigt sich eine Vorliebe für die Lehre, daß jede Art von Versagung, jede verhinderte Triebbefriedigung eine Steigerung des Schuld</w:t>
      </w:r>
      <w:r w:rsidRPr="00941D22">
        <w:rPr>
          <w:rFonts w:ascii="Garamond" w:hAnsi="Garamond"/>
          <w:lang w:val="en-US"/>
        </w:rPr>
        <w:softHyphen/>
        <w:t>gefühls zur Folge habe oder haben könnte.</w:t>
      </w:r>
      <w:r w:rsidRPr="00941D22">
        <w:rPr>
          <w:rFonts w:ascii="Garamond" w:hAnsi="Garamond"/>
          <w:vertAlign w:val="superscript"/>
          <w:lang w:val="en-US"/>
        </w:rPr>
        <w:t>4)</w:t>
      </w:r>
      <w:r w:rsidRPr="00941D22">
        <w:rPr>
          <w:rFonts w:ascii="Garamond" w:hAnsi="Garamond"/>
          <w:lang w:val="en-US"/>
        </w:rPr>
        <w:t xml:space="preserve"> Ich glaube, man schafft sich eine große theoretische Erleichterung, wenn man das nur von den </w:t>
      </w:r>
      <w:r w:rsidRPr="00941D22">
        <w:rPr>
          <w:rFonts w:ascii="Garamond" w:hAnsi="Garamond"/>
          <w:i/>
          <w:iCs/>
          <w:lang w:val="en-US"/>
        </w:rPr>
        <w:t>aggressiven</w:t>
      </w:r>
      <w:r w:rsidRPr="00941D22">
        <w:rPr>
          <w:rFonts w:ascii="Garamond" w:hAnsi="Garamond"/>
          <w:lang w:val="en-US"/>
        </w:rPr>
        <w:t xml:space="preserve"> Trieben gelten läßt, und man wird nicht viel finden, was dieser Annahme widerspricht. Wie soll man es denn dynamisch und ökonomisch erklären, daß an Stelle eines nicht erfüllten </w:t>
      </w:r>
      <w:r w:rsidRPr="00941D22">
        <w:rPr>
          <w:rFonts w:ascii="Garamond" w:hAnsi="Garamond"/>
          <w:i/>
          <w:iCs/>
          <w:lang w:val="en-US"/>
        </w:rPr>
        <w:t>erotischen</w:t>
      </w:r>
      <w:r w:rsidRPr="00941D22">
        <w:rPr>
          <w:rFonts w:ascii="Garamond" w:hAnsi="Garamond"/>
          <w:lang w:val="en-US"/>
        </w:rPr>
        <w:t xml:space="preserve"> Anspruchs eine Steigerung des Schuldgefühls auftritt? Das scheint doch nur auf dem Umwege möglich, daß die Verhinderung der erotischen Befriedigung ein Stück Aggressionsneigung gegen die Person hervorruft, welche die Befriedigung stört, und daß diese Aggression selbst wieder unterdrückt werden muß. Dann aber ist es doch nur die Aggression, die sich in Schuldgefühl umwandelt, indem sie unterdrückt und dem Überich zugeschoben wird. Ich bin überzeugt, wir werden viele Vorgänge einfacher und durchsichtiger darstellen können, wenn wir den Fund der Psychoanalyse zur Ableitung des Schuldgefühls auf die aggressiven Triebe einschränken. Die Befragung des klinischen Materials gibt hier keine eindeutige Antwort, weil unserer Voraussetzung gemäß die beiden Triebarten kaum jemals rein, voneinander isoliert, auftreten; aber die Würdigung extremer Fälle wird wohl nach der Richtung weisen, die ich erwarte. Ich bin versucht, von dieser strengeren Auffassung einen ersten Nutzen zu ziehen, indem ich sie auf den Verdrängungsvorgang anwende. Die Symptome der Neurosen sind, wie wir gelernt haben, wesentlich Ersatz</w:t>
      </w:r>
      <w:r w:rsidRPr="00941D22">
        <w:rPr>
          <w:rFonts w:ascii="Garamond" w:hAnsi="Garamond"/>
          <w:lang w:val="en-US"/>
        </w:rPr>
        <w:softHyphen/>
        <w:t>befriedigungen für unerfüllte sexuelle Wünsche. Im Laufe der analytischen Arbeit haben wir zu unserer Überraschung erfahren, daß vielleicht jede Neurose einen Betrag von unbewußtem Schuldgefühl verhüllt, der wiederum die Symptome durch ihre Verwendung zur Strafe befestigt. Nun liegt es nahe, den Satz zu formulieren: wenn eine Triebstrebung der Verdrängung unterliegt, so werden ihre libidinösen Anteile in Symptome, ihre aggressiven Komponenten in Schuldgefühl umgesetzt. Auch wenn dieser Satz nur in durchschnittlicher Annäherung richtig ist, verdient er unser Interesse.</w:t>
      </w:r>
    </w:p>
    <w:p w:rsidR="00941D22" w:rsidRPr="00941D22" w:rsidRDefault="00941D22" w:rsidP="00941D22">
      <w:pPr>
        <w:pStyle w:val="Sansinterligne"/>
        <w:rPr>
          <w:rFonts w:ascii="Garamond" w:hAnsi="Garamond"/>
          <w:lang w:val="en-US"/>
        </w:rPr>
      </w:pPr>
      <w:r w:rsidRPr="00941D22">
        <w:rPr>
          <w:rFonts w:ascii="Garamond" w:hAnsi="Garamond"/>
          <w:lang w:val="en-US"/>
        </w:rPr>
        <w:t> </w:t>
      </w:r>
    </w:p>
    <w:p w:rsidR="00941D22" w:rsidRPr="00941D22" w:rsidRDefault="00941D22" w:rsidP="00941D22">
      <w:pPr>
        <w:pStyle w:val="Sansinterligne"/>
        <w:rPr>
          <w:rFonts w:ascii="Garamond" w:hAnsi="Garamond"/>
          <w:lang w:val="en-US"/>
        </w:rPr>
      </w:pPr>
      <w:r w:rsidRPr="00941D22">
        <w:rPr>
          <w:rFonts w:ascii="Garamond" w:hAnsi="Garamond"/>
          <w:lang w:val="en-US"/>
        </w:rPr>
        <w:t>__________________</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1)</w:t>
      </w:r>
      <w:r w:rsidRPr="00941D22">
        <w:rPr>
          <w:rFonts w:ascii="Garamond" w:hAnsi="Garamond"/>
          <w:lang w:val="en-US"/>
        </w:rPr>
        <w:t xml:space="preserve"> »So macht Gewissen Feige aus uns allen...«</w:t>
      </w:r>
    </w:p>
    <w:p w:rsidR="00941D22" w:rsidRPr="00941D22" w:rsidRDefault="00941D22" w:rsidP="00941D22">
      <w:pPr>
        <w:pStyle w:val="Sansinterligne"/>
        <w:rPr>
          <w:rFonts w:ascii="Garamond" w:hAnsi="Garamond"/>
          <w:lang w:val="en-US"/>
        </w:rPr>
      </w:pPr>
      <w:r w:rsidRPr="00A06A59">
        <w:rPr>
          <w:rFonts w:ascii="Garamond" w:hAnsi="Garamond"/>
          <w:lang w:val="en-US"/>
        </w:rPr>
        <w:t xml:space="preserve">Daß sie dem jugendlichen Menschen verheimlicht, welche Rolle die Sexualität in seinem Leben spielen wird, ist nicht der einzige Vorwurf, den man gegen die heutige Erziehung erheben muß. </w:t>
      </w:r>
      <w:r w:rsidRPr="00941D22">
        <w:rPr>
          <w:rFonts w:ascii="Garamond" w:hAnsi="Garamond"/>
        </w:rPr>
        <w:t xml:space="preserve">Sie sündigt außerdem darin, daß sie ihn nicht auf die Aggression vorbereitet, deren Objekt er zu werden bestimmt ist. Indem sie die Jugend mit so unrichtiger psychologischer Orientierung ins Leben entläßt, benimmt sich die Erziehung nicht anders, als wenn man Leute, die auf eine Polarexpedition gehen, mit Sommerkleidern und Karten der oberitalischen Seen ausrüsten würde. Dabei wird ein gewisser Mißbrauch der ethischen Forderungen deutlich. Die Strenge derselben würde nicht viel schaden, wenn die Erziehung sagte: »So sollten die Menschen sein, um glücklich zu werden und andere glücklich zu machen; aber man muß damit rechnen, daß sie nicht so sind.« </w:t>
      </w:r>
      <w:r w:rsidRPr="00941D22">
        <w:rPr>
          <w:rFonts w:ascii="Garamond" w:hAnsi="Garamond"/>
          <w:lang w:val="en-US"/>
        </w:rPr>
        <w:t>Anstatt dessen läßt man den Jugendlichen glauben, daß alle anderen die ethischen Vorschriften erfüllen, also tugendhaft sind. Damit begründet man die Forderung, daß er auch so werde.</w:t>
      </w:r>
    </w:p>
    <w:p w:rsidR="00941D22" w:rsidRPr="00941D22" w:rsidRDefault="00941D22" w:rsidP="00941D22">
      <w:pPr>
        <w:pStyle w:val="Sansinterligne"/>
        <w:rPr>
          <w:rFonts w:ascii="Garamond" w:hAnsi="Garamond"/>
        </w:rPr>
      </w:pPr>
      <w:r w:rsidRPr="00941D22">
        <w:rPr>
          <w:rFonts w:ascii="Garamond" w:hAnsi="Garamond"/>
          <w:vertAlign w:val="superscript"/>
        </w:rPr>
        <w:t>2)</w:t>
      </w:r>
      <w:r w:rsidRPr="00941D22">
        <w:rPr>
          <w:rFonts w:ascii="Garamond" w:hAnsi="Garamond"/>
        </w:rPr>
        <w:t xml:space="preserve"> Ich meine: </w:t>
      </w:r>
      <w:r w:rsidRPr="00941D22">
        <w:rPr>
          <w:rFonts w:ascii="Garamond" w:hAnsi="Garamond"/>
          <w:i/>
          <w:iCs/>
        </w:rPr>
        <w:t>Die Zukunft einer Illusion</w:t>
      </w:r>
      <w:r w:rsidRPr="00941D22">
        <w:rPr>
          <w:rFonts w:ascii="Garamond" w:hAnsi="Garamond"/>
        </w:rPr>
        <w:t xml:space="preserve"> (1927c).</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3)</w:t>
      </w:r>
      <w:r w:rsidRPr="00941D22">
        <w:rPr>
          <w:rFonts w:ascii="Garamond" w:hAnsi="Garamond"/>
          <w:lang w:val="en-US"/>
        </w:rPr>
        <w:t xml:space="preserve"> </w:t>
      </w:r>
      <w:r w:rsidRPr="00941D22">
        <w:rPr>
          <w:rFonts w:ascii="Garamond" w:hAnsi="Garamond"/>
          <w:i/>
          <w:iCs/>
          <w:lang w:val="en-US"/>
        </w:rPr>
        <w:t>Totem und Tabu</w:t>
      </w:r>
      <w:r w:rsidRPr="00941D22">
        <w:rPr>
          <w:rFonts w:ascii="Garamond" w:hAnsi="Garamond"/>
          <w:lang w:val="en-US"/>
        </w:rPr>
        <w:t xml:space="preserve"> (1912-13).</w:t>
      </w:r>
    </w:p>
    <w:p w:rsidR="00941D22" w:rsidRPr="00941D22" w:rsidRDefault="00941D22" w:rsidP="00941D22">
      <w:pPr>
        <w:pStyle w:val="Sansinterligne"/>
        <w:rPr>
          <w:rFonts w:ascii="Garamond" w:hAnsi="Garamond"/>
          <w:lang w:val="en-US"/>
        </w:rPr>
      </w:pPr>
      <w:r w:rsidRPr="00941D22">
        <w:rPr>
          <w:rFonts w:ascii="Garamond" w:hAnsi="Garamond"/>
          <w:vertAlign w:val="superscript"/>
          <w:lang w:val="en-US"/>
        </w:rPr>
        <w:t>4)</w:t>
      </w:r>
      <w:r w:rsidRPr="00941D22">
        <w:rPr>
          <w:rFonts w:ascii="Garamond" w:hAnsi="Garamond"/>
          <w:lang w:val="en-US"/>
        </w:rPr>
        <w:t xml:space="preserve"> Insbesondere bei E. Jones, Susan Isaacs, Melanie Klein; wie ich verstehe, aber auch bei Reik und Alexander.</w:t>
      </w:r>
    </w:p>
    <w:p w:rsidR="00941D22" w:rsidRPr="00941D22" w:rsidRDefault="00941D22" w:rsidP="00941D22">
      <w:pPr>
        <w:pStyle w:val="Sansinterligne"/>
        <w:rPr>
          <w:rFonts w:ascii="Garamond" w:hAnsi="Garamond"/>
          <w:lang w:val="en-US"/>
        </w:rPr>
      </w:pPr>
      <w:r w:rsidRPr="00941D22">
        <w:rPr>
          <w:rFonts w:ascii="Garamond" w:hAnsi="Garamond"/>
          <w:lang w:val="en-US"/>
        </w:rPr>
        <w:t>[VIII. Schlussfolgerungen: Analogie zwischen der Entwicklung der Kultur und des Individuums]</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 xml:space="preserve">Manche Leser dieser Abhandlung mögen auch unter dem Eindruck stehen, daß sie die Formel vom Kampf zwischen Eros und Todestrieb zu oft gehört haben. Sie sollte den Kulturprozeß kennzeichnen, der über die Menschheit abläuft, wurde aber auch auf die Entwicklung des Einzelnen bezogen und sollte überdies das Geheimnis des organischen Lebens überhaupt enthüllt haben. Es scheint unabweisbar, die </w:t>
      </w:r>
      <w:r w:rsidRPr="00941D22">
        <w:rPr>
          <w:rFonts w:ascii="Garamond" w:hAnsi="Garamond"/>
          <w:lang w:val="en-US"/>
        </w:rPr>
        <w:lastRenderedPageBreak/>
        <w:t>Beziehungen dieser drei Vorgänge zueinander zu untersuchen. Nun ist die Wiederkehr derselben Formel durch die Erwägung gerechtfertigt, daß der Kulturprozeß der Menschheit wie die Entwicklung des Einzelnen auch Lebensvorgänge sind, also am allgemeinsten Charakter des Lebens Anteil haben müssen. Anderseits trägt gerade darum der Nachweis dieses allgemeinen Zuges nichts zur Unterscheidung bei, solange dieser nicht durch besondere Bedingungen eingeengt wird. Wir können uns also erst bei der Aussage beruhigen, der Kulturprozeß sei jene Modifikation des Lebensprozesses, die er unter dem Einfluß einer vom Eros gestellten, von der Ananke, der realen Not angeregten Aufgabe erfährt, und diese Aufgabe ist die Vereinigung vereinzelter Menschen zu einer unter sich libidinös verbundenen Gemeinschaft. Fassen wir aber die Beziehung zwischen dem Kulturprozeß der Menschheit und dem Entwicklungs- oder Erziehungsprozeß des einzelnen Menschen ins Auge, so werden wir uns ohne viel Schwanken dafür entscheiden, daß die beiden sehr ähnlicher Natur sind, wenn nicht überhaupt derselbe Vorgang an andersartigen Objekten. Der Kulturprozeß der Menschenart ist natürlich eine Abstraktion von höherer Ordnung als die Entwicklung des Einzelnen, darum schwerer anschaulich zu erfassen, und die Aufspürung von Analogien soll nicht zwanghaft übertrieben werden; aber bei der Gleichartigkeit der Ziele — hier die Einreihung eines Einzelnen in eine menschliche Masse, dort die Herstellung einer Massen</w:t>
      </w:r>
      <w:r w:rsidRPr="00941D22">
        <w:rPr>
          <w:rFonts w:ascii="Garamond" w:hAnsi="Garamond"/>
          <w:lang w:val="en-US"/>
        </w:rPr>
        <w:softHyphen/>
        <w:t>einheit aus vielen Einzelnen — kann die Ähnlichkeit der dazu verwendeten Mittel und der zustande kommenden Phänomene nicht überraschen. Ein die beiden Vorgänge unterscheidender Zug darf wegen seiner außerordentlichen Bedeutsamkeit nicht lange unerwähnt bleiben. Im Entwicklungsprozeß des Einzelmenschen wird das Programm des Lustprinzips, Glücksbefriedigung zu finden, als Hauptziel festgehalten, die Einreihung in oder Anpassung an eine menschliche Gemeinschaft erscheint als eine kaum zu vermeidende Bedin</w:t>
      </w:r>
      <w:r w:rsidRPr="00941D22">
        <w:rPr>
          <w:rFonts w:ascii="Garamond" w:hAnsi="Garamond"/>
          <w:lang w:val="en-US"/>
        </w:rPr>
        <w:softHyphen/>
        <w:t>gung, die auf dem Wege zur Erreichung dieses Glücksziels erfüllt werden soll. Ginge es ohne diese Bedingung, so wäre es vielleicht besser. Anders ausgedrückt: die individuelle Entwicklung erscheint uns als ein Produkt der Interferenz zweier Strebungen, des Strebens nach Glück, das wir gewöhnlich »egoistisch«, und des Strebens nach Vereinigung mit den anderen in der Gemeinschaft, das wir »altruistisch« heißen. Beide Bezeichnungen gehen nicht viel über die Oberfläche hinaus. In der individuellen Entwicklung fällt, wie gesagt, der Hauptakzent meist auf die egoistische oder Glücksstrebung, die andere, »kulturell« zu nennende, begnügt sich in der Regel mit der Rolle einer Einschränkung. Anders beim Kulturprozeß; hier ist das Ziel der Herstellung einer Einheit aus den menschlichen Individuen bei weitem die Hauptsache, das Ziel der Beglückung besteht zwar noch, aber es wird in den Hintergrund gedrängt; fast scheint es, die Schöpfung einer großen menschlichen Gemeinschaft würde am besten gelingen, wenn man sich um das Glück des Einzelnen nicht zu kümmern brauchte. Der Entwicklungsprozeß des Einzelnen darf also seine besonderen Züge haben, die sich im Kulturprozeß der Menschheit nicht wiederfinden; nur insofern dieser erstere Vorgang den Anschluß an die Gemeinschaft: zum Ziel hat, muß er mit dem letzteren zusammenfallen.</w:t>
      </w:r>
    </w:p>
    <w:p w:rsidR="00941D22" w:rsidRPr="00941D22" w:rsidRDefault="00941D22" w:rsidP="00941D22">
      <w:pPr>
        <w:pStyle w:val="Sansinterligne"/>
        <w:rPr>
          <w:rFonts w:ascii="Garamond" w:hAnsi="Garamond"/>
          <w:lang w:val="en-US"/>
        </w:rPr>
      </w:pPr>
      <w:r w:rsidRPr="00941D22">
        <w:rPr>
          <w:rFonts w:ascii="Garamond" w:hAnsi="Garamond"/>
          <w:lang w:val="en-US"/>
        </w:rPr>
        <w:t>Wie der Planet noch um seinen Zentralkörper kreist, außer daß er um die eigene Achse rotiert, so nimmt auch der einzelne Mensch am Entwicklungs</w:t>
      </w:r>
      <w:r w:rsidRPr="00941D22">
        <w:rPr>
          <w:rFonts w:ascii="Garamond" w:hAnsi="Garamond"/>
          <w:lang w:val="en-US"/>
        </w:rPr>
        <w:softHyphen/>
        <w:t>gang der Menschheit teil, während er seinen eigenen Lebensweg geht. Aber unserem blöden Auge scheint das Kräftespiel am Himmel zu ewig gleicher Ordnung erstarrt; im organischen Geschehen sehen wir noch, wie die Kräfte miteinander ringen und die Ergebnisse des Konflikts sich beständig verändern. So haben auch die beiden Strebungen, die nach individuellem Glück und die nach menschlichem Anschluß, bei jedem Individuum miteinander zu kämpfen, so müssen die beiden Prozesse der individuellen und der Kulturentwicklung einander feindlich begegnen und sich gegenseitig den Boden bestreiten. Aber dieser Kampf zwischen Individuum und Gesellschaft ist nicht ein Abkömmling des wahrscheinlich unversöhnlichen Gegensatzes der Urtriebe, Eros und Tod, er bedeutet einen Zwist im Haushalt der Libido, vergleichbar dem Streit um die Aufteilung der Libido zwischen dem Ich und den Objekten, und er läßt einen endlichen Ausgleich zu beim Individuum, wie hoffentlich auch in der Zukunft der Kultur, mag er gegenwärtig das Leben des Einzelnen noch so sehr beschweren.</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Die Analogie zwischen dem Kulturprozeß und dem Entwicklungsweg des Individuums läßt sich um ein bedeutsames Stück erweitern. Man darf nämlich behaupten, daß auch die Gemeinschaft ein Über-Ich ausbildet, unter dessen Einfluß sich die Kulturentwicklung vollzieht. Es mag eine verlockende Aufgabe für einen Kenner menschlicher Kulturen sein, diese Gleichstellung ins einzelne zu verfolgen. Ich will mich auf die Hervorhebung einiger auffälliger Punkte beschränken. Das Überich einer Kulturepoche hat einen ähnlichen Ursprung wie das des Einzelmenschen, es ruht auf dem Eindruck, den große Führerpersönlichkeiten hinterlassen haben, Menschen von überwältigender Geisteskraft oder solche, in denen eine der menschlichen Strebungen die stärkste und reinste, darum oft auch einseitigste Ausbildung gefunden hat. Die Analogie geht in vielen Fällen noch weiter, indem diese Personen — häufig genug, </w:t>
      </w:r>
      <w:r w:rsidRPr="00941D22">
        <w:rPr>
          <w:rFonts w:ascii="Garamond" w:hAnsi="Garamond"/>
          <w:lang w:val="en-US"/>
        </w:rPr>
        <w:lastRenderedPageBreak/>
        <w:t>wenn auch nicht immer — zu ihrer Lebenszeit von den anderen verspottet, mißhandelt oder selbst auf grausame Art beseitigt wurden, wie ja auch der Urvater erst lange nach seiner gewaltsamen Tötung zur Göttlichkeit aufstieg. Für diese Schicksalsverknüpfung ist gerade die Person Jesu Christi das ergreifendste Beispiel, wenn sie nicht etwa dem Mythus angehört, der sie in dunkler Erinnerung an jenen Urvorgang ins Leben rief. Ein anderer Punkt der Übereinstimmung ist, daß das Kultur-Über-Ich ganz wie das des Einzelnen strenge Idealforderungen aufstellt, deren Nichtbefolgung durch »Gewissensangst« gestraft wird. Ja, hier stellt sich der merkwürdige Fall her, daß die hierher gehörigen seelischen Vorgänge uns von der Seite der Masse vertrauter, dem Bewußtsein zugänglicher sind, als sie es beim Einzelmen</w:t>
      </w:r>
      <w:r w:rsidRPr="00941D22">
        <w:rPr>
          <w:rFonts w:ascii="Garamond" w:hAnsi="Garamond"/>
          <w:lang w:val="en-US"/>
        </w:rPr>
        <w:softHyphen/>
        <w:t>schen werden können. Bei diesem machen sich nur die Aggressionen des Über-Ichs im Falle der Spannung als Vorwürfe überlaut vernehmbar, während die Forderungen selbst im Hintergrunde oft unbewußt bleiben. Bringt man sie zur bewußten Erkenntnis, so zeigt sich, daß sie mit den Vorschriften des jeweiligen Kultur-Über-Ichs zusammenfallen. An dieser Stelle sind sozusagen beide Vorgänge, der kulturelle Entwicklungsprozeß der Menge und der eigene des Individuums, regelmäßig miteinander verklebt. Manche Äußerun</w:t>
      </w:r>
      <w:r w:rsidRPr="00941D22">
        <w:rPr>
          <w:rFonts w:ascii="Garamond" w:hAnsi="Garamond"/>
          <w:lang w:val="en-US"/>
        </w:rPr>
        <w:softHyphen/>
        <w:t>gen und Eigenschaften des Über-Ichs können darum leichter an seinem Verhalten in der Kulturgemeinschaft als beim Einzelnen erkannt werden.</w:t>
      </w:r>
    </w:p>
    <w:p w:rsidR="00941D22" w:rsidRPr="00941D22" w:rsidRDefault="00941D22" w:rsidP="00941D22">
      <w:pPr>
        <w:pStyle w:val="Sansinterligne"/>
        <w:rPr>
          <w:rFonts w:ascii="Garamond" w:hAnsi="Garamond"/>
          <w:lang w:val="en-US"/>
        </w:rPr>
      </w:pPr>
      <w:r w:rsidRPr="00941D22">
        <w:rPr>
          <w:rFonts w:ascii="Garamond" w:hAnsi="Garamond"/>
          <w:lang w:val="en-US"/>
        </w:rPr>
        <w:t>Das Kultur-Über-Ich hat seine Ideale ausgebildet und erhebt seine Forderungen. Unter den letzteren werden die, welche die Beziehungen der Menschen zueinander betreffen, als Ethik zusammengefaßt. Zu allen Zeiten wurde auf diese Ethik der größte Wert gelegt, als ob man gerade von ihr besonders wichtige Leistungen erwartete. Und wirklich wendet sich die Ethik jenem Punkt zu, der als die wundeste Stelle jeder Kultur leicht kenntlich ist. Die Ethik ist also als ein therapeutischer Versuch aufzufassen, als Bemühung, durch ein Gebot des Über-Ichs zu erreichen, was bisher durch sonstige Kulturarbeit nicht zu erreichen war. Wir wissen bereits, es fragt sich hier darum, wie das größte Hindernis der Kultur, die konstitutionelle Neigung der Menschen zur Aggression gegeneinander, wegzuräumen ist, und gerade darum wird uns das wahrscheinlich jüngste der kulturellen Uber-Ich-Gebote besonders interessant, das Gebot: »Liebe deinen Nächsten wie dich selbst.«  In der Neurosenforschung und Neurosentherapie kommen wir dazu, zwei Vorwürfe gegen das Über-Ich des Einzelnen zu erheben: Es kümmert sich in der Strenge seiner Gebote und Verbote zu wenig um das Glück des Ichs, indem es die Widerstände gegen die Befolgung, die Triebstärke des Es und die Schwierigkeiten der realen Umwelt, nicht genügend in Rechnung bringt. Wir sind daher in therapeutischer Absicht sehr oft genötigt, das Über-Ich zu bekämpfen, und bemühen uns, seine Ansprüche zu erniedrigen. Ganz ähnliche Einwendungen können wir gegen die ethischen Forderungen des Kultur-Über-Ichs erheben. Auch dies kümmert sich nicht genug um die Tatsachen der seelischen Konstitution des Menschen, es erläßt ein Gebot und fragt nicht, ob es dem Menschen möglich ist, es zu befolgen. Vielmehr, es nimmt an, daß dem Ich des Menschen alles psychologisch möglich ist, was man ihm aufträgt, daß dem Ich die unumschränkte Herrschaft über sein Es zusteht. Das ist ein Irrtum, und auch bei den sogenannt normalen Menschen läßt sich die Beherrschung des Es nicht über bestimmte Grenzen steigern. Fordert man mehr, so erzeugt man beim Einzelnen Auflehnung oder Neurose oder macht ihn unglücklich. Das Gebot »Liebe deinen Nächsten wie dich selbst« ist die stärkste Abwehr der menschlichen Aggression und ein ausgezeichnetes Beispiel für das unpsychologische Vorgehen des Kultur-Uber-Ichs. Das Gebot ist undurchführbar; eine so großartige Inflation der Liebe kann nur deren Wert herabsetzen, nicht die Not beseitigen. Die Kultur vernachlässigt all das; sie mahnt nur, je schwerer die Befolgung der Vorschrift ist, desto verdienstvoller ist sie. Allein wer in der gegenwärtigen Kultur eine solche Vorschrift einhält, setzt sich nur in Nachteil gegen den, der sich über sie hinaussetzt. Wie gewaltig muß das Kulturhindernis der Aggression sein, wenn die Abwehr derselben ebenso unglücklich machen kann wie die Aggression selbst! Die sogenannte natürliche Ethik hat hier nichts zu bieten außer der narzißtischen Befriedigung, sich für besser halten zu dürfen, als die anderen sind. Die Ethik, die sich an die Religion anlehnt, läßt hier ihre Versprechungen eines besseren Jenseits eingreifen. Ich meine, solange sich die Tugend nicht schon auf Erden lohnt, wird die Ethik vergeblich predigen. Es scheint auch mir unzweifelhaft, daß eine reale Veränderung in den Beziehungen der Menschen zum Besitz hier mehr Abhilfe bringen wird als jedes ethische Gebot; doch wird diese Einsicht bei den Sozialisten durch ein neuerliches idealistisches Verkennen der menschlichen Natur getrübt und für die Ausführung entwertet.</w:t>
      </w:r>
    </w:p>
    <w:p w:rsidR="00941D22" w:rsidRPr="00941D22" w:rsidRDefault="00941D22" w:rsidP="00941D22">
      <w:pPr>
        <w:pStyle w:val="Sansinterligne"/>
        <w:rPr>
          <w:rFonts w:ascii="Garamond" w:hAnsi="Garamond"/>
          <w:lang w:val="en-US"/>
        </w:rPr>
      </w:pPr>
      <w:r w:rsidRPr="00941D22">
        <w:rPr>
          <w:rFonts w:ascii="Garamond" w:hAnsi="Garamond"/>
          <w:lang w:val="en-US"/>
        </w:rPr>
        <w:t xml:space="preserve">Die Betrachtungsweise, die in den Erscheinungen der Kulturentwicklung die Rolle eines Über-Ichs verfolgen will, scheint mir noch andere Aufschlüsse zu versprechen. Ich eile zum Abschluß. Einer Frage kann ich allerdings schwer ausweichen. Wenn die Kulturentwicklung so weitgehende Ähnlichkeit mit der des Einzelnen hat und mit denselben Mitteln arbeitet, soll man nicht zur Diagnose berechtigt sein, daß manche Kulturen — oder Kulturepochen — möglicherweise die ganze Menschheit — unter dem Einfluß </w:t>
      </w:r>
      <w:r w:rsidRPr="00941D22">
        <w:rPr>
          <w:rFonts w:ascii="Garamond" w:hAnsi="Garamond"/>
          <w:lang w:val="en-US"/>
        </w:rPr>
        <w:lastRenderedPageBreak/>
        <w:t>der Kulturstrebun</w:t>
      </w:r>
      <w:r w:rsidRPr="00941D22">
        <w:rPr>
          <w:rFonts w:ascii="Garamond" w:hAnsi="Garamond"/>
          <w:lang w:val="en-US"/>
        </w:rPr>
        <w:softHyphen/>
        <w:t>gen »neurotisch« geworden sind? An die analytische Zergliederung dieser Neurosen könnten therapeutische Vorschläge anschließen, die auf großes praktisches Interesse Anspruch hätten. Ich könnte nicht sagen, daß ein sol</w:t>
      </w:r>
      <w:r w:rsidRPr="00941D22">
        <w:rPr>
          <w:rFonts w:ascii="Garamond" w:hAnsi="Garamond"/>
          <w:lang w:val="en-US"/>
        </w:rPr>
        <w:softHyphen/>
        <w:t xml:space="preserve">cher Versuch zur Übertragung der Psychoanalyse auf die Kulturgemeinschaft unsinnig oder zur Unfruchtbarkeit verurteilt wäre. Aber man müßte sehr vorsichtig sein, nicht vergessen, daß es sich doch nur um Analogien handelt und daß es nicht nur bei Menschen, sondern auch bei Begriffen gefährlich ist, sie aus der Sphäre zu reißen, in der sie entstanden und entwickelt worden sind. </w:t>
      </w:r>
      <w:r w:rsidRPr="00941D22">
        <w:rPr>
          <w:rFonts w:ascii="Garamond" w:hAnsi="Garamond"/>
        </w:rPr>
        <w:t xml:space="preserve">Auch stößt die Diagnose der Gemeinschaftsneurosen auf eine besondere Schwierigkeit. Bei der Einzelneurose dient uns als nächster Anhalt der Kontrast, in dem sich der Kranke von seiner als »normal« angenommenen Umgebung abhebt. </w:t>
      </w:r>
      <w:r w:rsidRPr="00941D22">
        <w:rPr>
          <w:rFonts w:ascii="Garamond" w:hAnsi="Garamond"/>
          <w:lang w:val="en-US"/>
        </w:rPr>
        <w:t>Ein solcher Hintergrund entfällt bei einer gleichartig affizierten Masse, er müßte anderswoher geholt werden. Und was die therapeutische Verwendung der Einsicht betrifft, was hülfe die zutreffendste Analyse der sozialen Neurose, da niemand die Autorität besitzt, der Masse die Therapie aufzudrängen? Trotz aller dieser Erschwerungen darf man erwarten, daß jemand eines Tages das Wagnis einer solchen Pathologie der kulturellen Gemeinschaften unternehmen wird.</w:t>
      </w:r>
    </w:p>
    <w:p w:rsidR="00941D22" w:rsidRPr="00941D22" w:rsidRDefault="00941D22" w:rsidP="00941D22">
      <w:pPr>
        <w:pStyle w:val="Sansinterligne"/>
        <w:rPr>
          <w:rFonts w:ascii="Garamond" w:hAnsi="Garamond"/>
          <w:lang w:val="en-US"/>
        </w:rPr>
      </w:pPr>
      <w:r w:rsidRPr="00941D22">
        <w:rPr>
          <w:rFonts w:ascii="Garamond" w:hAnsi="Garamond"/>
          <w:lang w:val="en-US"/>
        </w:rPr>
        <w:t>[VIII. Schlussfolgerungen: Schicksalsfrage der Beherrschung des Agrresions- und Selbstvernichtungstriebs]</w:t>
      </w:r>
    </w:p>
    <w:p w:rsidR="00941D22" w:rsidRPr="00941D22" w:rsidRDefault="00941D22" w:rsidP="00941D22">
      <w:pPr>
        <w:pStyle w:val="Sansinterligne"/>
        <w:rPr>
          <w:rFonts w:ascii="Garamond" w:hAnsi="Garamond"/>
          <w:lang w:val="en-US"/>
        </w:rPr>
      </w:pPr>
    </w:p>
    <w:p w:rsidR="00941D22" w:rsidRPr="00941D22" w:rsidRDefault="00941D22" w:rsidP="00941D22">
      <w:pPr>
        <w:pStyle w:val="Sansinterligne"/>
        <w:rPr>
          <w:rFonts w:ascii="Garamond" w:hAnsi="Garamond"/>
          <w:lang w:val="en-US"/>
        </w:rPr>
      </w:pPr>
      <w:r w:rsidRPr="00941D22">
        <w:rPr>
          <w:rFonts w:ascii="Garamond" w:hAnsi="Garamond"/>
          <w:lang w:val="en-US"/>
        </w:rPr>
        <w:t>Eine Wertung der menschlichen Kultur zu geben liegt mir aus den ver</w:t>
      </w:r>
      <w:r w:rsidRPr="00941D22">
        <w:rPr>
          <w:rFonts w:ascii="Garamond" w:hAnsi="Garamond"/>
          <w:lang w:val="en-US"/>
        </w:rPr>
        <w:softHyphen/>
        <w:t>schiedensten Motiven sehr ferne. Ich habe mich bemüht, das enthusiastische Vorurteil von mir abzuhalten, unsere Kultur sei das Kostbarste, was wir besitzen oder erwerben können und ihr Weg müsse uns notwendigerweise zu Höhen ungeahnter Vollkommenheit führen. Ich kann wenigstens ohne Entrüstung den Kritiker anhören, der meint, wenn man die Ziele der Kulturstrebung und die Mittel, deren sie sich bedient, ins Auge faßt, müsse man zu dem Schlüsse kommen, die ganze Anstrengung sei nicht der Mühe wert und das Ergebnis könne nur ein Zustand sein, den der Einzelne unerträglich finden muß. Meine Unparteilichkeit wird mir dadurch leicht, daß ich über all diese Dinge sehr wenig weiß, mit Sicherheit nur das eine, daß die Werturteile der Menschen unbedingt von ihren Glückswünschen geleitet werden, also ein Versuch sind, ihre Illusionen mit Argumenten zu stützen. Ich verstünde es sehr wohl, wenn jemand den zwangsläufigen Charakter der menschlichen Kultur hervorheben und z. B. sagen würde, die Neigung zur Einschränkung des Sexuallebens oder zur Durchsetzung des Humanitäts</w:t>
      </w:r>
      <w:r w:rsidRPr="00941D22">
        <w:rPr>
          <w:rFonts w:ascii="Garamond" w:hAnsi="Garamond"/>
          <w:lang w:val="en-US"/>
        </w:rPr>
        <w:softHyphen/>
        <w:t>ideals auf Kosten der natürlichen Auslese seien Entwicklungsrichtungen, die sich nicht abwenden und nicht ablenken lassen und denen man sich am besten beugt, wie wenn es Naturnotwendigkeiten wären. Ich kenne auch die Einwendung dagegen, daß solche Strebungen, die man für unüberwindbar hielt, oft im Laufe der Menschheitsgeschichte beiseite geworfen und durch andere ersetzt worden sind. So sinkt mir der Mut, vor meinen Mitmenschen als Prophet aufzustehen, und ich beuge mich ihrem Vorwurf, daß ich ihnen keinen Trost zu bringen weiß, denn das verlangen sie im Grunde alle, die wildesten Revolutionäre nicht weniger leidenschaftlich als die bravsten Frommgläubigen.</w:t>
      </w:r>
    </w:p>
    <w:p w:rsidR="00941D22" w:rsidRPr="00941D22" w:rsidRDefault="00941D22" w:rsidP="00941D22">
      <w:pPr>
        <w:pStyle w:val="Sansinterligne"/>
        <w:rPr>
          <w:rFonts w:ascii="Garamond" w:hAnsi="Garamond"/>
          <w:lang w:val="en-US"/>
        </w:rPr>
      </w:pPr>
      <w:r w:rsidRPr="00A06A59">
        <w:rPr>
          <w:rFonts w:ascii="Garamond" w:hAnsi="Garamond"/>
          <w:lang w:val="en-US"/>
        </w:rPr>
        <w:t>Die Schicksalsfrage der Menschenart scheint mir zu sein, ob und in welchem Maße es ihrer Kulturentwicklung gelingen wird, der Störung des Zusammenlebens durch den menschlichen Aggressions- und Selbstvernich</w:t>
      </w:r>
      <w:r w:rsidRPr="00A06A59">
        <w:rPr>
          <w:rFonts w:ascii="Garamond" w:hAnsi="Garamond"/>
          <w:lang w:val="en-US"/>
        </w:rPr>
        <w:softHyphen/>
        <w:t xml:space="preserve">tungstrieb Herr zu werden. In diesem Bezug verdient vielleicht gerade die gegenwärtige Zeit ein besonderes Interesse. Die Menschen haben es jetzt in der Beherrschung der Naturkräfte so weit gebracht, daß sie es mit deren Hilfe leicht haben, einander bis auf den letzten Mann auszurotten. Sie wissen das, daher ein gut Stück ihrer gegenwärtigen Unruhe, ihres Unglücks, ihrer Angststimmung. Und nun ist zu erwarten, daß die andere der beiden »himmlischen Mächte«, der ewige Eros, eine Anstrengung machen wird, um sich im Kampf mit seinem ebenso unsterblichen Gegner zu behaupten. </w:t>
      </w:r>
      <w:r w:rsidRPr="00941D22">
        <w:rPr>
          <w:rFonts w:ascii="Garamond" w:hAnsi="Garamond"/>
          <w:lang w:val="en-US"/>
        </w:rPr>
        <w:t>Aber wer kann den Erfolg und Ausgang voraussehen?</w:t>
      </w:r>
    </w:p>
    <w:p w:rsidR="00941D22" w:rsidRPr="00941D22" w:rsidRDefault="00941D22" w:rsidP="00941D22">
      <w:pPr>
        <w:pStyle w:val="c"/>
        <w:rPr>
          <w:sz w:val="15"/>
          <w:szCs w:val="15"/>
          <w:lang w:val="en-US"/>
        </w:rPr>
      </w:pPr>
    </w:p>
    <w:p w:rsidR="00941D22" w:rsidRPr="00941D22" w:rsidRDefault="00941D22" w:rsidP="00941D22">
      <w:pPr>
        <w:pStyle w:val="c"/>
        <w:rPr>
          <w:sz w:val="15"/>
          <w:szCs w:val="15"/>
          <w:lang w:val="en-US"/>
        </w:rPr>
      </w:pPr>
    </w:p>
    <w:p w:rsidR="00941D22" w:rsidRPr="00941D22" w:rsidRDefault="00941D22" w:rsidP="00941D22">
      <w:pPr>
        <w:pStyle w:val="c"/>
        <w:rPr>
          <w:sz w:val="15"/>
          <w:szCs w:val="15"/>
          <w:lang w:val="en-US"/>
        </w:rPr>
      </w:pPr>
    </w:p>
    <w:p w:rsidR="00941D22" w:rsidRPr="00941D22" w:rsidRDefault="00941D22" w:rsidP="00941D22">
      <w:pPr>
        <w:pStyle w:val="c"/>
        <w:rPr>
          <w:sz w:val="15"/>
          <w:szCs w:val="15"/>
          <w:lang w:val="en-US"/>
        </w:rPr>
      </w:pPr>
    </w:p>
    <w:p w:rsidR="00941D22" w:rsidRPr="00941D22" w:rsidRDefault="00941D22" w:rsidP="00941D22">
      <w:pPr>
        <w:pStyle w:val="c"/>
        <w:rPr>
          <w:lang w:val="en-US"/>
        </w:rPr>
      </w:pPr>
    </w:p>
    <w:p w:rsidR="00A06A59" w:rsidRPr="000D4CB9" w:rsidRDefault="00A06A59">
      <w:pPr>
        <w:rPr>
          <w:rFonts w:ascii="Garamond" w:eastAsia="Times New Roman" w:hAnsi="Garamond" w:cs="Times New Roman"/>
          <w:sz w:val="18"/>
          <w:szCs w:val="18"/>
          <w:lang w:val="en-US" w:eastAsia="fr-FR"/>
        </w:rPr>
      </w:pPr>
      <w:r w:rsidRPr="000D4CB9">
        <w:rPr>
          <w:rFonts w:ascii="Garamond" w:eastAsia="Times New Roman" w:hAnsi="Garamond" w:cs="Times New Roman"/>
          <w:sz w:val="18"/>
          <w:szCs w:val="18"/>
          <w:lang w:val="en-US" w:eastAsia="fr-FR"/>
        </w:rPr>
        <w:br w:type="page"/>
      </w:r>
    </w:p>
    <w:p w:rsidR="00A06A59" w:rsidRPr="000D4CB9" w:rsidRDefault="00A06A59" w:rsidP="00A06A59">
      <w:pPr>
        <w:tabs>
          <w:tab w:val="left" w:pos="7513"/>
          <w:tab w:val="left" w:pos="9639"/>
        </w:tabs>
        <w:ind w:left="-426" w:right="-567"/>
        <w:rPr>
          <w:rFonts w:ascii="Garamond" w:hAnsi="Garamond"/>
          <w:sz w:val="18"/>
          <w:szCs w:val="18"/>
          <w:lang w:val="en-US"/>
        </w:rPr>
      </w:pPr>
    </w:p>
    <w:p w:rsidR="00A06A59" w:rsidRPr="000D4CB9" w:rsidRDefault="00A06A59" w:rsidP="00A06A59">
      <w:pPr>
        <w:tabs>
          <w:tab w:val="left" w:pos="7513"/>
          <w:tab w:val="left" w:pos="9639"/>
        </w:tabs>
        <w:ind w:left="-426" w:right="-567"/>
        <w:rPr>
          <w:rFonts w:ascii="Garamond" w:hAnsi="Garamond" w:cs="Arial"/>
          <w:bCs/>
          <w:color w:val="0000CC"/>
          <w:sz w:val="28"/>
          <w:szCs w:val="28"/>
          <w:lang w:val="en-US"/>
        </w:rPr>
      </w:pPr>
      <w:r w:rsidRPr="000D4CB9">
        <w:rPr>
          <w:rFonts w:ascii="Garamond" w:hAnsi="Garamond" w:cs="Arial"/>
          <w:bCs/>
          <w:color w:val="0000CC"/>
          <w:sz w:val="28"/>
          <w:szCs w:val="28"/>
          <w:lang w:val="en-US"/>
        </w:rPr>
        <w:t>Di</w:t>
      </w:r>
      <w:bookmarkStart w:id="58" w:name="Traumdeutung"/>
      <w:bookmarkStart w:id="59" w:name="F61"/>
      <w:bookmarkEnd w:id="58"/>
      <w:bookmarkEnd w:id="59"/>
      <w:r w:rsidRPr="000D4CB9">
        <w:rPr>
          <w:rFonts w:ascii="Garamond" w:hAnsi="Garamond" w:cs="Arial"/>
          <w:bCs/>
          <w:color w:val="0000CC"/>
          <w:sz w:val="28"/>
          <w:szCs w:val="28"/>
          <w:lang w:val="en-US"/>
        </w:rPr>
        <w:t>e Traumdeutung</w:t>
      </w:r>
      <w:r w:rsidR="00DF7E46" w:rsidRPr="000D4CB9">
        <w:rPr>
          <w:rFonts w:ascii="Garamond" w:hAnsi="Garamond" w:cs="Arial"/>
          <w:bCs/>
          <w:color w:val="0000CC"/>
          <w:sz w:val="28"/>
          <w:szCs w:val="28"/>
          <w:lang w:val="en-US"/>
        </w:rPr>
        <w:t xml:space="preserve">                                                                                              </w:t>
      </w:r>
      <w:hyperlink w:anchor="Werke" w:history="1">
        <w:r w:rsidR="00DF7E46" w:rsidRPr="0018684C">
          <w:rPr>
            <w:rStyle w:val="Lienhypertexte"/>
            <w:rFonts w:ascii="Garamond" w:hAnsi="Garamond"/>
            <w:lang w:val="en-US"/>
          </w:rPr>
          <w:t>Wer</w:t>
        </w:r>
        <w:r w:rsidR="00DF7E46" w:rsidRPr="0018684C">
          <w:rPr>
            <w:rStyle w:val="Lienhypertexte"/>
            <w:rFonts w:ascii="Garamond" w:hAnsi="Garamond"/>
            <w:lang w:val="en-US"/>
          </w:rPr>
          <w:t>k</w:t>
        </w:r>
        <w:r w:rsidR="00DF7E46" w:rsidRPr="0018684C">
          <w:rPr>
            <w:rStyle w:val="Lienhypertexte"/>
            <w:rFonts w:ascii="Garamond" w:hAnsi="Garamond"/>
            <w:lang w:val="en-US"/>
          </w:rPr>
          <w:t>e</w:t>
        </w:r>
      </w:hyperlink>
    </w:p>
    <w:p w:rsidR="00A06A59" w:rsidRPr="000D4CB9" w:rsidRDefault="00A06A59" w:rsidP="00A06A59">
      <w:pPr>
        <w:tabs>
          <w:tab w:val="left" w:pos="7513"/>
          <w:tab w:val="left" w:pos="9639"/>
        </w:tabs>
        <w:ind w:left="-426" w:right="-567"/>
        <w:rPr>
          <w:rFonts w:ascii="Garamond" w:hAnsi="Garamond" w:cs="Arial"/>
          <w:bCs/>
          <w:color w:val="000000"/>
          <w:sz w:val="28"/>
          <w:szCs w:val="28"/>
          <w:lang w:val="en-US"/>
        </w:rPr>
      </w:pPr>
    </w:p>
    <w:p w:rsidR="00A06A59" w:rsidRPr="002A638F" w:rsidRDefault="00A06A59" w:rsidP="002A638F">
      <w:pPr>
        <w:pStyle w:val="Sansinterligne"/>
        <w:rPr>
          <w:rFonts w:ascii="Garamond" w:hAnsi="Garamond"/>
          <w:color w:val="0000FF"/>
          <w:lang w:val="en-US"/>
        </w:rPr>
      </w:pPr>
      <w:r w:rsidRPr="002A638F">
        <w:rPr>
          <w:rFonts w:ascii="Garamond" w:hAnsi="Garamond"/>
          <w:lang w:val="en-US"/>
        </w:rPr>
        <w:t xml:space="preserve">  </w:t>
      </w:r>
      <w:r w:rsidRPr="002A638F">
        <w:rPr>
          <w:rFonts w:ascii="Garamond" w:hAnsi="Garamond"/>
          <w:color w:val="0000FF"/>
          <w:lang w:val="en-US"/>
        </w:rPr>
        <w:t>In</w:t>
      </w:r>
      <w:bookmarkStart w:id="60" w:name="inhalt"/>
      <w:bookmarkEnd w:id="60"/>
      <w:r w:rsidRPr="002A638F">
        <w:rPr>
          <w:rFonts w:ascii="Garamond" w:hAnsi="Garamond"/>
          <w:color w:val="0000FF"/>
          <w:lang w:val="en-US"/>
        </w:rPr>
        <w:t>halt</w:t>
      </w:r>
    </w:p>
    <w:p w:rsidR="002A638F" w:rsidRPr="002A638F" w:rsidRDefault="002A638F" w:rsidP="002A638F">
      <w:pPr>
        <w:pStyle w:val="Sansinterligne"/>
        <w:rPr>
          <w:rFonts w:ascii="Garamond" w:hAnsi="Garamond"/>
          <w:lang w:val="en-US"/>
        </w:rPr>
      </w:pPr>
    </w:p>
    <w:p w:rsidR="00A06A59" w:rsidRPr="002A638F" w:rsidRDefault="00B437A1" w:rsidP="002A638F">
      <w:pPr>
        <w:pStyle w:val="Sansinterligne"/>
        <w:rPr>
          <w:rFonts w:ascii="Garamond" w:hAnsi="Garamond"/>
          <w:color w:val="0000CC"/>
          <w:lang w:val="en-US"/>
        </w:rPr>
      </w:pPr>
      <w:hyperlink w:anchor="A" w:history="1">
        <w:r w:rsidR="00A06A59" w:rsidRPr="002A638F">
          <w:rPr>
            <w:rStyle w:val="Lienhypertexte"/>
            <w:rFonts w:ascii="Garamond" w:hAnsi="Garamond" w:cs="Arial"/>
            <w:bCs/>
            <w:color w:val="0000CC"/>
            <w:lang w:val="en-US"/>
          </w:rPr>
          <w:t>Vorworte</w:t>
        </w:r>
      </w:hyperlink>
    </w:p>
    <w:p w:rsidR="002A638F" w:rsidRPr="005E1D01" w:rsidRDefault="002A638F" w:rsidP="002A638F">
      <w:pPr>
        <w:pStyle w:val="Sansinterligne"/>
        <w:rPr>
          <w:rFonts w:ascii="Garamond" w:hAnsi="Garamond"/>
          <w:lang w:val="en-US"/>
        </w:rPr>
      </w:pPr>
    </w:p>
    <w:p w:rsidR="00A06A59" w:rsidRPr="002A638F" w:rsidRDefault="00B437A1" w:rsidP="002A638F">
      <w:pPr>
        <w:pStyle w:val="Sansinterligne"/>
        <w:rPr>
          <w:rFonts w:ascii="Garamond" w:hAnsi="Garamond"/>
          <w:color w:val="0000CC"/>
          <w:lang w:val="en-US"/>
        </w:rPr>
      </w:pPr>
      <w:hyperlink w:anchor="I" w:history="1">
        <w:r w:rsidR="00A06A59" w:rsidRPr="002A638F">
          <w:rPr>
            <w:rStyle w:val="Lienhypertexte"/>
            <w:rFonts w:ascii="Garamond" w:hAnsi="Garamond" w:cs="Arial"/>
            <w:bCs/>
            <w:color w:val="0000CC"/>
            <w:lang w:val="en-US"/>
          </w:rPr>
          <w:t>I. Die wissenschaftliche Literatur der Traumprobleme</w:t>
        </w:r>
      </w:hyperlink>
    </w:p>
    <w:p w:rsidR="00A06A59" w:rsidRPr="002A638F" w:rsidRDefault="00B437A1" w:rsidP="002A638F">
      <w:pPr>
        <w:pStyle w:val="Sansinterligne"/>
        <w:rPr>
          <w:rFonts w:ascii="Garamond" w:hAnsi="Garamond"/>
          <w:color w:val="0000CC"/>
          <w:lang w:val="en-US"/>
        </w:rPr>
      </w:pPr>
      <w:hyperlink w:anchor="II" w:history="1">
        <w:r w:rsidR="00A06A59" w:rsidRPr="002A638F">
          <w:rPr>
            <w:rStyle w:val="Lienhypertexte"/>
            <w:rFonts w:ascii="Garamond" w:hAnsi="Garamond" w:cs="Arial"/>
            <w:bCs/>
            <w:color w:val="0000CC"/>
            <w:lang w:val="en-US"/>
          </w:rPr>
          <w:t>II. Die Methode der Traumdeutung. Die Analyse eines Traummusters</w:t>
        </w:r>
      </w:hyperlink>
    </w:p>
    <w:p w:rsidR="00A06A59" w:rsidRPr="002A638F" w:rsidRDefault="00B437A1" w:rsidP="002A638F">
      <w:pPr>
        <w:pStyle w:val="Sansinterligne"/>
        <w:rPr>
          <w:rFonts w:ascii="Garamond" w:hAnsi="Garamond"/>
          <w:color w:val="0000CC"/>
          <w:lang w:val="en-US"/>
        </w:rPr>
      </w:pPr>
      <w:hyperlink w:anchor="III" w:history="1">
        <w:r w:rsidR="00A06A59" w:rsidRPr="002A638F">
          <w:rPr>
            <w:rStyle w:val="Lienhypertexte"/>
            <w:rFonts w:ascii="Garamond" w:hAnsi="Garamond" w:cs="Arial"/>
            <w:bCs/>
            <w:color w:val="0000CC"/>
            <w:lang w:val="en-US"/>
          </w:rPr>
          <w:t>III. Der Traum ist eine Wunscherfüllung</w:t>
        </w:r>
      </w:hyperlink>
    </w:p>
    <w:p w:rsidR="00A06A59" w:rsidRPr="002A638F" w:rsidRDefault="00B437A1" w:rsidP="002A638F">
      <w:pPr>
        <w:pStyle w:val="Sansinterligne"/>
        <w:rPr>
          <w:rFonts w:ascii="Garamond" w:hAnsi="Garamond"/>
          <w:color w:val="0000CC"/>
          <w:lang w:val="en-US"/>
        </w:rPr>
      </w:pPr>
      <w:hyperlink w:anchor="IV" w:history="1">
        <w:r w:rsidR="00A06A59" w:rsidRPr="002A638F">
          <w:rPr>
            <w:rStyle w:val="Lienhypertexte"/>
            <w:rFonts w:ascii="Garamond" w:hAnsi="Garamond" w:cs="Arial"/>
            <w:bCs/>
            <w:color w:val="0000CC"/>
            <w:lang w:val="en-US"/>
          </w:rPr>
          <w:t>IV. Die Traumentstellung</w:t>
        </w:r>
      </w:hyperlink>
    </w:p>
    <w:p w:rsidR="00A06A59" w:rsidRPr="002A638F" w:rsidRDefault="00A06A59" w:rsidP="002A638F">
      <w:pPr>
        <w:pStyle w:val="Sansinterligne"/>
        <w:rPr>
          <w:rFonts w:ascii="Garamond" w:hAnsi="Garamond"/>
          <w:color w:val="0000CC"/>
          <w:lang w:val="en-US"/>
        </w:rPr>
      </w:pPr>
    </w:p>
    <w:p w:rsidR="00A06A59" w:rsidRPr="002A638F" w:rsidRDefault="00B437A1" w:rsidP="002A638F">
      <w:pPr>
        <w:pStyle w:val="Sansinterligne"/>
        <w:rPr>
          <w:rFonts w:ascii="Garamond" w:hAnsi="Garamond"/>
          <w:color w:val="0000CC"/>
          <w:lang w:val="en-US"/>
        </w:rPr>
      </w:pPr>
      <w:hyperlink w:anchor="V" w:history="1">
        <w:r w:rsidR="00A06A59" w:rsidRPr="002A638F">
          <w:rPr>
            <w:rStyle w:val="Lienhypertexte"/>
            <w:rFonts w:ascii="Garamond" w:hAnsi="Garamond" w:cs="Arial"/>
            <w:bCs/>
            <w:color w:val="0000CC"/>
            <w:lang w:val="en-US"/>
          </w:rPr>
          <w:t>V. Das Traummaterial und die Traumquellen</w:t>
        </w:r>
      </w:hyperlink>
    </w:p>
    <w:p w:rsidR="002A638F" w:rsidRDefault="002A638F" w:rsidP="002A638F">
      <w:pPr>
        <w:pStyle w:val="Sansinterligne"/>
        <w:rPr>
          <w:rFonts w:ascii="Garamond" w:hAnsi="Garamond"/>
        </w:rPr>
      </w:pPr>
    </w:p>
    <w:p w:rsidR="00A06A59" w:rsidRPr="002A638F" w:rsidRDefault="00B437A1" w:rsidP="00CE4D4E">
      <w:pPr>
        <w:pStyle w:val="Sansinterligne"/>
        <w:numPr>
          <w:ilvl w:val="0"/>
          <w:numId w:val="5"/>
        </w:numPr>
        <w:rPr>
          <w:rFonts w:ascii="Garamond" w:hAnsi="Garamond"/>
          <w:color w:val="0000CC"/>
          <w:lang w:val="en-US"/>
        </w:rPr>
      </w:pPr>
      <w:hyperlink w:anchor="VA" w:history="1">
        <w:r w:rsidR="00A06A59" w:rsidRPr="002A638F">
          <w:rPr>
            <w:rStyle w:val="Lienhypertexte"/>
            <w:rFonts w:ascii="Garamond" w:hAnsi="Garamond" w:cs="Arial"/>
            <w:bCs/>
            <w:lang w:val="en-US"/>
          </w:rPr>
          <w:t>A  Das Rezente und das Indifferente im Traum</w:t>
        </w:r>
      </w:hyperlink>
    </w:p>
    <w:p w:rsidR="00A06A59" w:rsidRPr="002A638F" w:rsidRDefault="00B437A1" w:rsidP="00CE4D4E">
      <w:pPr>
        <w:pStyle w:val="Sansinterligne"/>
        <w:numPr>
          <w:ilvl w:val="0"/>
          <w:numId w:val="5"/>
        </w:numPr>
        <w:rPr>
          <w:rFonts w:ascii="Garamond" w:hAnsi="Garamond"/>
          <w:color w:val="0000CC"/>
          <w:lang w:val="en-US"/>
        </w:rPr>
      </w:pPr>
      <w:hyperlink w:anchor="VB" w:history="1">
        <w:r w:rsidR="00A06A59" w:rsidRPr="002A638F">
          <w:rPr>
            <w:rStyle w:val="Lienhypertexte"/>
            <w:rFonts w:ascii="Garamond" w:hAnsi="Garamond" w:cs="Arial"/>
            <w:bCs/>
            <w:lang w:val="en-US"/>
          </w:rPr>
          <w:t>B. Das Infantile als Traumquelle</w:t>
        </w:r>
      </w:hyperlink>
    </w:p>
    <w:p w:rsidR="00A06A59" w:rsidRPr="002A638F" w:rsidRDefault="00B437A1" w:rsidP="00CE4D4E">
      <w:pPr>
        <w:pStyle w:val="Sansinterligne"/>
        <w:numPr>
          <w:ilvl w:val="0"/>
          <w:numId w:val="5"/>
        </w:numPr>
        <w:rPr>
          <w:rFonts w:ascii="Garamond" w:hAnsi="Garamond"/>
          <w:color w:val="0000CC"/>
        </w:rPr>
      </w:pPr>
      <w:hyperlink w:anchor="VC" w:history="1">
        <w:r w:rsidR="00A06A59" w:rsidRPr="002A638F">
          <w:rPr>
            <w:rStyle w:val="Lienhypertexte"/>
            <w:rFonts w:ascii="Garamond" w:hAnsi="Garamond" w:cs="Arial"/>
            <w:bCs/>
            <w:lang w:val="en-GB"/>
          </w:rPr>
          <w:t>C. Die somatischen Traumquellen</w:t>
        </w:r>
      </w:hyperlink>
    </w:p>
    <w:p w:rsidR="00A06A59" w:rsidRPr="002A638F" w:rsidRDefault="00A06A59" w:rsidP="002A638F">
      <w:pPr>
        <w:pStyle w:val="Sansinterligne"/>
        <w:rPr>
          <w:rFonts w:ascii="Garamond" w:hAnsi="Garamond"/>
          <w:color w:val="0000CC"/>
        </w:rPr>
      </w:pPr>
    </w:p>
    <w:p w:rsidR="00A06A59" w:rsidRPr="002A638F" w:rsidRDefault="00A06A59" w:rsidP="002A638F">
      <w:pPr>
        <w:pStyle w:val="Sansinterligne"/>
        <w:rPr>
          <w:rFonts w:ascii="Garamond" w:hAnsi="Garamond"/>
        </w:rPr>
      </w:pPr>
      <w:r w:rsidRPr="002A638F">
        <w:rPr>
          <w:rFonts w:ascii="Garamond" w:hAnsi="Garamond"/>
        </w:rPr>
        <w:t xml:space="preserve"> </w:t>
      </w:r>
      <w:hyperlink w:anchor="VI" w:history="1">
        <w:r w:rsidRPr="002A638F">
          <w:rPr>
            <w:rStyle w:val="Lienhypertexte"/>
            <w:rFonts w:ascii="Garamond" w:hAnsi="Garamond" w:cs="Arial"/>
            <w:bCs/>
            <w:color w:val="0000CC"/>
            <w:lang w:val="en-US"/>
          </w:rPr>
          <w:t>VI. Die Traumarbeit</w:t>
        </w:r>
      </w:hyperlink>
    </w:p>
    <w:p w:rsidR="002A638F" w:rsidRDefault="002A638F" w:rsidP="002A638F">
      <w:pPr>
        <w:pStyle w:val="Sansinterligne"/>
        <w:rPr>
          <w:rFonts w:ascii="Garamond" w:hAnsi="Garamond"/>
        </w:rPr>
      </w:pPr>
    </w:p>
    <w:p w:rsidR="00A06A59" w:rsidRPr="002A638F" w:rsidRDefault="00B437A1" w:rsidP="00CE4D4E">
      <w:pPr>
        <w:pStyle w:val="Sansinterligne"/>
        <w:numPr>
          <w:ilvl w:val="0"/>
          <w:numId w:val="4"/>
        </w:numPr>
        <w:rPr>
          <w:rFonts w:ascii="Garamond" w:hAnsi="Garamond"/>
          <w:lang w:val="en-GB"/>
        </w:rPr>
      </w:pPr>
      <w:hyperlink w:anchor="VIA" w:history="1">
        <w:r w:rsidR="00A06A59" w:rsidRPr="002A638F">
          <w:rPr>
            <w:rStyle w:val="Lienhypertexte"/>
            <w:rFonts w:ascii="Garamond" w:hAnsi="Garamond"/>
            <w:lang w:val="en-GB"/>
          </w:rPr>
          <w:t>Die Verdichtungsarbeit</w:t>
        </w:r>
      </w:hyperlink>
    </w:p>
    <w:p w:rsidR="00A06A59" w:rsidRPr="002A638F" w:rsidRDefault="00B437A1" w:rsidP="00CE4D4E">
      <w:pPr>
        <w:pStyle w:val="Sansinterligne"/>
        <w:numPr>
          <w:ilvl w:val="0"/>
          <w:numId w:val="4"/>
        </w:numPr>
        <w:rPr>
          <w:rFonts w:ascii="Garamond" w:hAnsi="Garamond"/>
          <w:lang w:val="en-US"/>
        </w:rPr>
      </w:pPr>
      <w:hyperlink w:anchor="VIB" w:history="1">
        <w:r w:rsidR="00A06A59" w:rsidRPr="002A638F">
          <w:rPr>
            <w:rStyle w:val="Lienhypertexte"/>
            <w:rFonts w:ascii="Garamond" w:hAnsi="Garamond" w:cs="Arial"/>
            <w:bCs/>
            <w:lang w:val="en-GB"/>
          </w:rPr>
          <w:t>Die Verschiebungsarbeit</w:t>
        </w:r>
      </w:hyperlink>
    </w:p>
    <w:p w:rsidR="00A06A59" w:rsidRPr="002A638F" w:rsidRDefault="00B437A1" w:rsidP="00CE4D4E">
      <w:pPr>
        <w:pStyle w:val="Sansinterligne"/>
        <w:numPr>
          <w:ilvl w:val="0"/>
          <w:numId w:val="4"/>
        </w:numPr>
        <w:rPr>
          <w:rFonts w:ascii="Garamond" w:hAnsi="Garamond"/>
          <w:lang w:val="en-US"/>
        </w:rPr>
      </w:pPr>
      <w:hyperlink w:anchor="VIC" w:history="1">
        <w:r w:rsidR="00A06A59" w:rsidRPr="002A638F">
          <w:rPr>
            <w:rStyle w:val="Lienhypertexte"/>
            <w:rFonts w:ascii="Garamond" w:hAnsi="Garamond" w:cs="Arial"/>
            <w:bCs/>
            <w:lang w:val="en-GB"/>
          </w:rPr>
          <w:t>Die Darstellungsmittel des Traums</w:t>
        </w:r>
      </w:hyperlink>
    </w:p>
    <w:p w:rsidR="00A06A59" w:rsidRPr="002A638F" w:rsidRDefault="00B437A1" w:rsidP="00CE4D4E">
      <w:pPr>
        <w:pStyle w:val="Sansinterligne"/>
        <w:numPr>
          <w:ilvl w:val="0"/>
          <w:numId w:val="4"/>
        </w:numPr>
        <w:rPr>
          <w:rFonts w:ascii="Garamond" w:hAnsi="Garamond"/>
          <w:lang w:val="en-US"/>
        </w:rPr>
      </w:pPr>
      <w:hyperlink w:anchor="VID" w:history="1">
        <w:r w:rsidR="00A06A59" w:rsidRPr="002A638F">
          <w:rPr>
            <w:rStyle w:val="Lienhypertexte"/>
            <w:rFonts w:ascii="Garamond" w:hAnsi="Garamond" w:cs="Arial"/>
            <w:bCs/>
            <w:lang w:val="en-GB"/>
          </w:rPr>
          <w:t>Die Rücksicht auf Darstellbarkeit</w:t>
        </w:r>
      </w:hyperlink>
    </w:p>
    <w:p w:rsidR="00A06A59" w:rsidRPr="002A638F" w:rsidRDefault="00B437A1" w:rsidP="00CE4D4E">
      <w:pPr>
        <w:pStyle w:val="Sansinterligne"/>
        <w:numPr>
          <w:ilvl w:val="0"/>
          <w:numId w:val="4"/>
        </w:numPr>
        <w:rPr>
          <w:rFonts w:ascii="Garamond" w:hAnsi="Garamond"/>
          <w:lang w:val="en-US"/>
        </w:rPr>
      </w:pPr>
      <w:hyperlink w:anchor="VIE" w:history="1">
        <w:r w:rsidR="00A06A59" w:rsidRPr="002A638F">
          <w:rPr>
            <w:rStyle w:val="Lienhypertexte"/>
            <w:rFonts w:ascii="Garamond" w:hAnsi="Garamond" w:cs="Arial"/>
            <w:bCs/>
            <w:lang w:val="en-GB"/>
          </w:rPr>
          <w:t>Die Darstellung durch Symbole im Traume. Weitere typische Träume</w:t>
        </w:r>
      </w:hyperlink>
    </w:p>
    <w:p w:rsidR="00A06A59" w:rsidRPr="002A638F" w:rsidRDefault="00B437A1" w:rsidP="00CE4D4E">
      <w:pPr>
        <w:pStyle w:val="Sansinterligne"/>
        <w:numPr>
          <w:ilvl w:val="0"/>
          <w:numId w:val="4"/>
        </w:numPr>
        <w:rPr>
          <w:rFonts w:ascii="Garamond" w:hAnsi="Garamond"/>
          <w:lang w:val="en-US"/>
        </w:rPr>
      </w:pPr>
      <w:hyperlink w:anchor="VIF" w:history="1">
        <w:r w:rsidR="00A06A59" w:rsidRPr="002A638F">
          <w:rPr>
            <w:rStyle w:val="Lienhypertexte"/>
            <w:rFonts w:ascii="Garamond" w:hAnsi="Garamond" w:cs="Arial"/>
            <w:bCs/>
            <w:lang w:val="en-GB"/>
          </w:rPr>
          <w:t>Beispiele – Rechnen und Reden im Traum</w:t>
        </w:r>
      </w:hyperlink>
    </w:p>
    <w:p w:rsidR="00A06A59" w:rsidRPr="002A638F" w:rsidRDefault="00B437A1" w:rsidP="00CE4D4E">
      <w:pPr>
        <w:pStyle w:val="Sansinterligne"/>
        <w:numPr>
          <w:ilvl w:val="0"/>
          <w:numId w:val="4"/>
        </w:numPr>
        <w:rPr>
          <w:rFonts w:ascii="Garamond" w:hAnsi="Garamond"/>
        </w:rPr>
      </w:pPr>
      <w:hyperlink w:anchor="VIG" w:history="1">
        <w:r w:rsidR="00A06A59" w:rsidRPr="002A638F">
          <w:rPr>
            <w:rStyle w:val="Lienhypertexte"/>
            <w:rFonts w:ascii="Garamond" w:hAnsi="Garamond" w:cs="Arial"/>
            <w:bCs/>
          </w:rPr>
          <w:t>Absurde Träume Die intellektuellen Leistungen im Traum</w:t>
        </w:r>
      </w:hyperlink>
    </w:p>
    <w:p w:rsidR="00A06A59" w:rsidRPr="002A638F" w:rsidRDefault="00B437A1" w:rsidP="00CE4D4E">
      <w:pPr>
        <w:pStyle w:val="Sansinterligne"/>
        <w:numPr>
          <w:ilvl w:val="0"/>
          <w:numId w:val="4"/>
        </w:numPr>
        <w:rPr>
          <w:rFonts w:ascii="Garamond" w:hAnsi="Garamond"/>
        </w:rPr>
      </w:pPr>
      <w:hyperlink w:anchor="VIH" w:history="1">
        <w:r w:rsidR="00A06A59" w:rsidRPr="002A638F">
          <w:rPr>
            <w:rStyle w:val="Lienhypertexte"/>
            <w:rFonts w:ascii="Garamond" w:hAnsi="Garamond" w:cs="Arial"/>
            <w:bCs/>
          </w:rPr>
          <w:t>Die Affekte im Traume</w:t>
        </w:r>
      </w:hyperlink>
    </w:p>
    <w:p w:rsidR="00A06A59" w:rsidRPr="002A638F" w:rsidRDefault="00B437A1" w:rsidP="00CE4D4E">
      <w:pPr>
        <w:pStyle w:val="Sansinterligne"/>
        <w:numPr>
          <w:ilvl w:val="0"/>
          <w:numId w:val="4"/>
        </w:numPr>
        <w:rPr>
          <w:rFonts w:ascii="Garamond" w:hAnsi="Garamond"/>
        </w:rPr>
      </w:pPr>
      <w:hyperlink w:anchor="VIi" w:history="1">
        <w:r w:rsidR="00A06A59" w:rsidRPr="002A638F">
          <w:rPr>
            <w:rStyle w:val="Lienhypertexte"/>
            <w:rFonts w:ascii="Garamond" w:hAnsi="Garamond" w:cs="Arial"/>
            <w:bCs/>
          </w:rPr>
          <w:t>Die sekundäre Bearbeitung</w:t>
        </w:r>
      </w:hyperlink>
    </w:p>
    <w:p w:rsidR="00A06A59" w:rsidRPr="002A638F" w:rsidRDefault="00A06A59" w:rsidP="002A638F">
      <w:pPr>
        <w:pStyle w:val="Sansinterligne"/>
        <w:rPr>
          <w:rFonts w:ascii="Garamond" w:hAnsi="Garamond"/>
        </w:rPr>
      </w:pPr>
    </w:p>
    <w:p w:rsidR="00A06A59" w:rsidRPr="002A638F" w:rsidRDefault="00B437A1" w:rsidP="002A638F">
      <w:pPr>
        <w:pStyle w:val="Sansinterligne"/>
        <w:rPr>
          <w:rFonts w:ascii="Garamond" w:hAnsi="Garamond"/>
          <w:b/>
        </w:rPr>
      </w:pPr>
      <w:hyperlink w:anchor="VII" w:history="1">
        <w:r w:rsidR="00A06A59" w:rsidRPr="002A638F">
          <w:rPr>
            <w:rStyle w:val="Lienhypertexte"/>
            <w:rFonts w:ascii="Garamond" w:hAnsi="Garamond" w:cs="Arial"/>
            <w:bCs/>
            <w:color w:val="0000CC"/>
          </w:rPr>
          <w:t>VII. Zur Psychologie der Traumvorgänge</w:t>
        </w:r>
      </w:hyperlink>
      <w:r w:rsidR="00A06A59" w:rsidRPr="002A638F">
        <w:rPr>
          <w:rFonts w:ascii="Garamond" w:hAnsi="Garamond"/>
          <w:b/>
        </w:rPr>
        <w:t xml:space="preserve"> </w:t>
      </w:r>
    </w:p>
    <w:p w:rsidR="00A06A59" w:rsidRPr="002A638F" w:rsidRDefault="00A06A59" w:rsidP="002A638F">
      <w:pPr>
        <w:pStyle w:val="Sansinterligne"/>
        <w:rPr>
          <w:rFonts w:ascii="Garamond" w:hAnsi="Garamond"/>
          <w:b/>
        </w:rPr>
      </w:pPr>
    </w:p>
    <w:p w:rsidR="00A06A59" w:rsidRPr="002A638F" w:rsidRDefault="00B437A1" w:rsidP="00CE4D4E">
      <w:pPr>
        <w:pStyle w:val="Sansinterligne"/>
        <w:numPr>
          <w:ilvl w:val="0"/>
          <w:numId w:val="4"/>
        </w:numPr>
        <w:rPr>
          <w:rFonts w:ascii="Garamond" w:hAnsi="Garamond"/>
        </w:rPr>
      </w:pPr>
      <w:hyperlink w:anchor="VIIA" w:history="1">
        <w:r w:rsidR="00A06A59" w:rsidRPr="002A638F">
          <w:rPr>
            <w:rStyle w:val="Lienhypertexte"/>
            <w:rFonts w:ascii="Garamond" w:hAnsi="Garamond" w:cs="Arial"/>
            <w:bCs/>
          </w:rPr>
          <w:t>Das Vergessen der Träume</w:t>
        </w:r>
      </w:hyperlink>
    </w:p>
    <w:p w:rsidR="00A06A59" w:rsidRPr="002A638F" w:rsidRDefault="00B437A1" w:rsidP="00CE4D4E">
      <w:pPr>
        <w:pStyle w:val="Sansinterligne"/>
        <w:numPr>
          <w:ilvl w:val="0"/>
          <w:numId w:val="4"/>
        </w:numPr>
        <w:rPr>
          <w:rFonts w:ascii="Garamond" w:hAnsi="Garamond"/>
        </w:rPr>
      </w:pPr>
      <w:hyperlink w:anchor="VIIB" w:history="1">
        <w:r w:rsidR="00A06A59" w:rsidRPr="002A638F">
          <w:rPr>
            <w:rStyle w:val="Lienhypertexte"/>
            <w:rFonts w:ascii="Garamond" w:hAnsi="Garamond" w:cs="Arial"/>
            <w:bCs/>
          </w:rPr>
          <w:t>Die Regression</w:t>
        </w:r>
      </w:hyperlink>
    </w:p>
    <w:p w:rsidR="00A06A59" w:rsidRPr="002A638F" w:rsidRDefault="00B437A1" w:rsidP="00CE4D4E">
      <w:pPr>
        <w:pStyle w:val="Sansinterligne"/>
        <w:numPr>
          <w:ilvl w:val="0"/>
          <w:numId w:val="4"/>
        </w:numPr>
        <w:rPr>
          <w:rFonts w:ascii="Garamond" w:hAnsi="Garamond"/>
        </w:rPr>
      </w:pPr>
      <w:hyperlink w:anchor="VIIC" w:history="1">
        <w:r w:rsidR="00A06A59" w:rsidRPr="002A638F">
          <w:rPr>
            <w:rStyle w:val="Lienhypertexte"/>
            <w:rFonts w:ascii="Garamond" w:hAnsi="Garamond" w:cs="Arial"/>
            <w:bCs/>
          </w:rPr>
          <w:t>Zur Wunscherfüllung</w:t>
        </w:r>
      </w:hyperlink>
    </w:p>
    <w:p w:rsidR="00A06A59" w:rsidRPr="002A638F" w:rsidRDefault="00B437A1" w:rsidP="00CE4D4E">
      <w:pPr>
        <w:pStyle w:val="Sansinterligne"/>
        <w:numPr>
          <w:ilvl w:val="0"/>
          <w:numId w:val="4"/>
        </w:numPr>
        <w:rPr>
          <w:rFonts w:ascii="Garamond" w:hAnsi="Garamond"/>
          <w:color w:val="0000FF"/>
        </w:rPr>
      </w:pPr>
      <w:hyperlink w:anchor="VIID" w:history="1">
        <w:r w:rsidR="00A06A59" w:rsidRPr="002A638F">
          <w:rPr>
            <w:rStyle w:val="Lienhypertexte"/>
            <w:rFonts w:ascii="Garamond" w:hAnsi="Garamond" w:cs="Arial"/>
            <w:bCs/>
            <w:color w:val="0000FF"/>
          </w:rPr>
          <w:t>Das Wecken durch den Traum</w:t>
        </w:r>
      </w:hyperlink>
    </w:p>
    <w:p w:rsidR="00A06A59" w:rsidRPr="002A638F" w:rsidRDefault="00A06A59" w:rsidP="00CE4D4E">
      <w:pPr>
        <w:pStyle w:val="Sansinterligne"/>
        <w:numPr>
          <w:ilvl w:val="0"/>
          <w:numId w:val="4"/>
        </w:numPr>
        <w:rPr>
          <w:rFonts w:ascii="Garamond" w:hAnsi="Garamond"/>
          <w:color w:val="0000FF"/>
        </w:rPr>
      </w:pPr>
      <w:r w:rsidRPr="002A638F">
        <w:rPr>
          <w:rFonts w:ascii="Garamond" w:hAnsi="Garamond"/>
          <w:color w:val="0000FF"/>
        </w:rPr>
        <w:t xml:space="preserve">Die Funktion des Traumes </w:t>
      </w:r>
    </w:p>
    <w:p w:rsidR="00A06A59" w:rsidRPr="002A638F" w:rsidRDefault="00A06A59" w:rsidP="00CE4D4E">
      <w:pPr>
        <w:pStyle w:val="Sansinterligne"/>
        <w:numPr>
          <w:ilvl w:val="0"/>
          <w:numId w:val="4"/>
        </w:numPr>
        <w:rPr>
          <w:rFonts w:ascii="Garamond" w:hAnsi="Garamond"/>
        </w:rPr>
      </w:pPr>
      <w:r w:rsidRPr="002A638F">
        <w:rPr>
          <w:rFonts w:ascii="Garamond" w:hAnsi="Garamond"/>
          <w:color w:val="0000FF"/>
        </w:rPr>
        <w:t>Der Angsttraum</w:t>
      </w:r>
    </w:p>
    <w:p w:rsidR="00A06A59" w:rsidRPr="002A638F" w:rsidRDefault="00B437A1" w:rsidP="00CE4D4E">
      <w:pPr>
        <w:pStyle w:val="Sansinterligne"/>
        <w:numPr>
          <w:ilvl w:val="0"/>
          <w:numId w:val="4"/>
        </w:numPr>
        <w:rPr>
          <w:rFonts w:ascii="Garamond" w:hAnsi="Garamond"/>
        </w:rPr>
      </w:pPr>
      <w:hyperlink w:anchor="VIIE" w:history="1">
        <w:r w:rsidR="00A06A59" w:rsidRPr="002A638F">
          <w:rPr>
            <w:rStyle w:val="Lienhypertexte"/>
            <w:rFonts w:ascii="Garamond" w:hAnsi="Garamond" w:cs="Arial"/>
            <w:bCs/>
          </w:rPr>
          <w:t>Der Primär- und der Sekundärvorgang - die Verdrängung</w:t>
        </w:r>
      </w:hyperlink>
    </w:p>
    <w:p w:rsidR="00A06A59" w:rsidRPr="002A638F" w:rsidRDefault="00B437A1" w:rsidP="00CE4D4E">
      <w:pPr>
        <w:pStyle w:val="Sansinterligne"/>
        <w:numPr>
          <w:ilvl w:val="0"/>
          <w:numId w:val="4"/>
        </w:numPr>
        <w:rPr>
          <w:rFonts w:ascii="Garamond" w:hAnsi="Garamond"/>
        </w:rPr>
      </w:pPr>
      <w:hyperlink w:anchor="VIIF" w:history="1">
        <w:r w:rsidR="00A06A59" w:rsidRPr="002A638F">
          <w:rPr>
            <w:rStyle w:val="Lienhypertexte"/>
            <w:rFonts w:ascii="Garamond" w:hAnsi="Garamond" w:cs="Arial"/>
            <w:bCs/>
          </w:rPr>
          <w:t>Das Unbewußte und das Bewußtsein – Die Realität</w:t>
        </w:r>
      </w:hyperlink>
    </w:p>
    <w:p w:rsidR="00A06A59" w:rsidRDefault="00A06A59" w:rsidP="00A06A59">
      <w:pPr>
        <w:ind w:left="-426" w:firstLine="567"/>
      </w:pPr>
    </w:p>
    <w:p w:rsidR="00A06A59" w:rsidRPr="00A06A59" w:rsidRDefault="00A06A59" w:rsidP="00A06A59">
      <w:pPr>
        <w:shd w:val="clear" w:color="auto" w:fill="FFFFFF"/>
        <w:tabs>
          <w:tab w:val="left" w:pos="7513"/>
          <w:tab w:val="left" w:pos="9639"/>
        </w:tabs>
        <w:spacing w:before="221" w:after="44" w:line="306" w:lineRule="atLeast"/>
        <w:ind w:left="-426" w:right="-567"/>
        <w:outlineLvl w:val="3"/>
        <w:rPr>
          <w:rFonts w:ascii="Garamond" w:hAnsi="Garamond" w:cs="Arial"/>
          <w:b/>
          <w:bCs/>
          <w:color w:val="000000"/>
        </w:rPr>
      </w:pPr>
      <w:r>
        <w:rPr>
          <w:rFonts w:ascii="Garamond" w:hAnsi="Garamond" w:cs="Arial"/>
          <w:b/>
          <w:bCs/>
          <w:color w:val="000000"/>
          <w:sz w:val="18"/>
          <w:szCs w:val="18"/>
        </w:rPr>
        <w:br w:type="page"/>
      </w:r>
      <w:hyperlink w:anchor="inhalt" w:history="1">
        <w:r w:rsidRPr="00A06A59">
          <w:rPr>
            <w:rStyle w:val="Lienhypertexte"/>
            <w:rFonts w:ascii="Garamond" w:hAnsi="Garamond" w:cs="Arial"/>
            <w:b/>
            <w:bCs/>
          </w:rPr>
          <w:t>Vo</w:t>
        </w:r>
        <w:bookmarkStart w:id="61" w:name="A"/>
        <w:bookmarkEnd w:id="61"/>
        <w:r w:rsidRPr="00A06A59">
          <w:rPr>
            <w:rStyle w:val="Lienhypertexte"/>
            <w:rFonts w:ascii="Garamond" w:hAnsi="Garamond" w:cs="Arial"/>
            <w:b/>
            <w:bCs/>
          </w:rPr>
          <w:t>rworte</w:t>
        </w:r>
      </w:hyperlink>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rPr>
      </w:pPr>
      <w:r w:rsidRPr="00A06A59">
        <w:rPr>
          <w:rFonts w:ascii="Garamond" w:hAnsi="Garamond" w:cs="Arial"/>
          <w:b/>
          <w:bCs/>
          <w:color w:val="000000"/>
        </w:rPr>
        <w:t>Vorbemerkung [zur ersten Auflage]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Indem ich hier die Darstellung der Traumdeutung versuche, glaube ich den Umkreis neuropathologischer Interessen nicht überschritten zu haben. Denn der Traum erweist sich bei der psychologischen Prüfung als das erste Glied in der Reihe abnormer psychischer Gebilde, von deren weiteren Gliedern die hysterische Phobie, die Zwangs- und die Wahnvorstellung den Arzt aus praktischen Gründen beschäftigen müssen. Auf eine ähnliche praktische Bedeutung kann der Traum – wie sich zeigen wird – Anspruch nicht erheben; um so größer ist aber sein theoretischer Wert als Paradigma, und wer sich die Entstehung der Traumbilder nicht zu erklären weiß, wird sich auch um das Verständnis der Phobien, Zwangs- und Wahnideen, eventuell um deren therapeutische Beeinflussung, vergeblich bemühen.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Derselbe Zusammenhang aber, dem unser Thema seine Wichtigkeit verdankt, ist auch für die Mängel der vorliegenden Arbeit verantwortlich zu machen. Die Bruchflächen, welche man in dieser Darstellung so reichlich finden wird, entsprechen ebenso vielen Kontaktstellen, an denen das Problem der Traumbildung in umfassendere Probleme der Psychopathologie eingreift, die hier nicht behandelt werden konnten und denen, wenn Zeit und Kraft ausreichen und weiteres Material sich einstellt, spätere Bearbeitungen gewidmet werden sollen.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Eigentümlichkeiten des Materials, an dem ich die Traumdeutung erläutere, haben mir auch diese Veröffentlichung schwer gemacht. Es wird sich aus der Arbeit selbst ergeben, warum alle in der Literatur erzählten oder von Unbekannten zu sammelnden Träume für meine Zwecke unbrauchbar sein mußten; ich hatte nur die Wahl zwischen den eigenen Träumen und denen meiner in psychoanalytischer Behandlung stehenden Patienten. Die Verwendung des letzteren Materials wurde mir durch den Umstand verwehrt, daß hier die Traumvorgänge einer unerwünschten Komplikation durch die Einmengung neurotischer Charaktere unterlagen. Mit der Mitteilung meiner eigenen Träume aber erwies sich als untrennbar verbunden, daß ich von den Intimitäten meines psychischen Lebens fremden Einblicken mehr eröffnete, als mir lieb sein konnte und als sonst einem Autor, der nicht Poet, sondern Naturforscher ist, zur Aufgabe fällt. Das war peinlich, aber unvermeidlich; ich habe mich also darein gefügt, um nicht auf die Beweisführung für meine psychologischen Ergebnisse überhaupt verzichten zu müssen. Natürlich habe ich doch der Versuchung nicht widerstehen können, durch Auslassungen und Ersetzungen manchen Indiskretionen die Spitze abzubrechen; sooft dies geschah, gereichte es dem Werte der von mir verwendeten Beispiele zum entschiedensten Nachteile. Ich kann nur die Erwartung aussprechen, daß die Leser dieser Arbeit sich in meine schwierige Lage versetzen werden, um Nachsicht mit mir zu üben, und ferner, daß alle Personen, die sich in den mitgeteilten Träumen irgendwie betroffen finden, wenigstens dem Traumleben Gedankenfreiheit nicht werden versagen wollen.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Vorwort zur zweiten Auflage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Daß von diesem schwer lesbaren Buche noch vor Vollendung des ersten Jahrzehntes eine zweite Auflage notwendig geworden ist, verdanke ich nicht dem Interesse der Fachkreise, an die ich mich in den vorstehenden Sätzen gewendet hatte. Meine Kollegen von der Psychiatrie scheinen sich keine Mühe gegeben zu haben, über das anfängliche Befremden hinauszukommen, welches meine neuartige Auffassung des Traumes erwecken konnte, und die Philosophen von Beruf, die nun einmal gewohnt sind, die Probleme des Traumlebens als Anhang zu den Bewußtseinszuständen mit einigen – meist den nämlichen – Sätzen abzuhandeln, haben offenbar nicht bemerkt, daß man gerade an diesem Ende allerlei hervorziehen könne, was zu einer gründlichen Umgestaltung unserer psychologischen Lehren führen muß. Das Verhalten der wissenschaftlichen Buchkritik konnte nur zur Erwartung berechtigen, daß Totgeschwiegenwerden das Schicksal dieses meines Werkes sein müsse; auch die kleine Schar von wackeren Anhängern, die meiner Führung in der ärztlichen Handhabung der Psychoanalyse folgen und nach meinem Beispiel Träume deuten, um diese Deutungen in der Behandlung von Neurotikern zu verwerten, hätte die erste Auflage des Buches nicht erschöpft. So fühle ich mich denn jenem weiteren Kreise von Gebildeten und Wißbegierigen verpflichtet, deren Teilnahme mir die Aufforderung verschafft hat, die schwierige und für so vieles grundlegende Arbeit nach neun Jahren von neuem vorzunehmen.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freue mich, sagen zu können, daß ich wenig zu verändern fand. Ich habe hie und da neues Material eingeschaltet, aus meiner vermehrten Erfahrung einzelne Einsichten hinzugefügt, an einigen wenigen Punkten Umarbeitungen versucht; alles Wesentliche über den Traum und seine Deutung sowie über die daraus ableitbaren psychologischen Lehrsätze ist aber ungeändert geblieben; es hat wenigstens subjektiv die Probe der Zeit bestanden. Wer meine anderen Arbeiten (über Ätiologie und Mechanismus der Psychoneurosen) kennt, weiß, daß ich niemals Unfertiges für fertig ausgegeben und mich stets bemüht habe, meine Aussagen nach meinen fortschreitenden Einsichten abzuändern; auf dem Gebiete des Traumlebens durfte ich bei meinen ersten Mitteilungen stehenbleiben. In den langen Jahren meiner Arbeit an den Neurosenproblemen bin ich wiederholt ins Schwanken geraten und an manchem irre geworden; dann war es immer wieder die </w:t>
      </w:r>
      <w:r w:rsidRPr="00A06A59">
        <w:rPr>
          <w:rFonts w:ascii="Garamond" w:hAnsi="Garamond" w:cs="Arial"/>
          <w:i/>
          <w:iCs/>
          <w:color w:val="000000"/>
          <w:lang w:val="en-GB"/>
        </w:rPr>
        <w:t>Traumdeutung</w:t>
      </w:r>
      <w:r w:rsidRPr="00A06A59">
        <w:rPr>
          <w:rFonts w:ascii="Garamond" w:hAnsi="Garamond" w:cs="Arial"/>
          <w:color w:val="000000"/>
          <w:lang w:val="en-GB"/>
        </w:rPr>
        <w:t xml:space="preserve">, an der ich meine Sicherheit wiederfand. Meine zahlreichen wissenschaftlichen </w:t>
      </w:r>
      <w:r w:rsidRPr="00A06A59">
        <w:rPr>
          <w:rFonts w:ascii="Garamond" w:hAnsi="Garamond" w:cs="Arial"/>
          <w:color w:val="000000"/>
          <w:lang w:val="en-GB"/>
        </w:rPr>
        <w:lastRenderedPageBreak/>
        <w:t>Gegner zeigen also einen sicheren Instinkt, wenn sie mir gerade auf das Gebiet der Traumforschung nicht folgen wollen.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Auch das Material dieses Buches, diese zum größten Teil durch die Ereignisse entwerteten oder überholten eigenen Träume, an denen ich die Regeln der Traumdeutung erläutert hatte, erwies bei der Revision ein Beharrungsvermögen, das sich eingreifenden Änderungen widersetzte. Für mich hat dieses Buch nämlich noch eine andere subjektive Bedeutung, die ich erst nach seiner Beendigung verstehen konnte. Es erwies sich mir als ein Stück meiner Selbstanalyse, als meine Reaktion auf den Tod meines Vaters, also auf das bedeutsamste Ereignis, den einschneidendsten Verlust im Leben eines Mannes. Nachdem ich dies erkannt hatte, fühlte ich mich unfähig, die Spuren dieser Einwirkung zu verwischen. Für den Leser mag es aber gleichgültig sein, an welchem Material er Träume würdigen und deuten lernt.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Wo ich eine unabweisbare Bemerkung nicht in den alten Zusammenhang einfügen konnte, habe ich ihre Herkunft von der zweiten Bearbeitung durch eckige Klammern angedeutet </w:t>
      </w:r>
      <w:hyperlink r:id="rId1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Diese wurden in den folgenden Auflagen wieder fallengelassen.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Berchtesgaden</w:t>
      </w:r>
      <w:r w:rsidRPr="00A06A59">
        <w:rPr>
          <w:rFonts w:ascii="Garamond" w:hAnsi="Garamond" w:cs="Arial"/>
          <w:color w:val="000000"/>
          <w:lang w:val="en-GB"/>
        </w:rPr>
        <w:t>, im Sommer 1908.</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Vorwort zur dritten Auflage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Während zwischen der ersten und der zweiten Auflage dieses Buches ein Zeitraum von neun Jahren verstrichen ist, hat sich das Bedürfnis einer dritten bereits nach wenig mehr als einem Jahre bemerkbar gemacht. Ich darf mich dieser Wandlung freuen; wenn ich aber vorhin die Vernachlässigung meines Werkes von Seite der Leser nicht als Beweis für dessen Unwert gelten lassen wollte, kann ich das nunmehr zutage getretene Interesse auch nicht als Beweis für seine Trefflichkeit verwerten.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Fortschritt wissenschaftlicher Erkenntnis hat auch die »Traumdeutung« nicht unberührt gelassen. Als ich sie 1899 niederschrieb, bestand die »Sexualtheorie« noch nicht, war die Analyse der komplizierteren Formen von Psychoneurosen noch in ihren Anfängen. Die Deutung der Träume sollte ein Hilfsmittel werden, um die psychologische Analyse der Neurosen zu ermöglichen; seither hat das vertiefte Verständnis der Neurosen auf die Auffassung des Traumes zurückgewirkt. Die Lehre von der Traumdeutung selbst hat sich nach einer Richtung weiterentwickelt, auf welche in der ersten Auflage dieses Buches nicht genug Akzent gefallen war. Durch eigene Erfahrung wie durch die Arbeiten von W. </w:t>
      </w:r>
      <w:r w:rsidRPr="00A06A59">
        <w:rPr>
          <w:rFonts w:ascii="Garamond" w:hAnsi="Garamond" w:cs="Arial"/>
          <w:i/>
          <w:iCs/>
          <w:color w:val="000000"/>
          <w:lang w:val="en-GB"/>
        </w:rPr>
        <w:t>Stekel</w:t>
      </w:r>
      <w:r w:rsidRPr="00A06A59">
        <w:rPr>
          <w:rFonts w:ascii="Garamond" w:hAnsi="Garamond" w:cs="Arial"/>
          <w:color w:val="000000"/>
          <w:lang w:val="en-GB"/>
        </w:rPr>
        <w:t xml:space="preserve"> und anderen habe ich seither den Umfang und die Bedeutung der Symbolik im Traume (oder vielmehr im unbewußten Denken) richtiger würdigen gelernt. So hat sich im Laufe dieser Jahre vieles angesammelt, was Berücksichtigung verlangte. Ich habe versucht, diesen Neuerungen durch zahlreiche Einschaltungen in den Text und Anfügung von Fußnoten Rechnung zu tragen. Wenn diese Zusätze nun gelegentlich den Rahmen der Darstellung zu sprengen drohen oder wenn es doch nicht an allen Stellen gelungen ist, den früheren Text auf das Niveau unserer heutigen Einsichten zu heben, so bitte ich für diese Mängel des Buches um Nachsicht, da sie nur Folgen und Anzeichen der nunmehr beschleunigten Entwicklung unseres Wissens sind. Ich getraue mich auch vorherzusagen, nach welchen anderen Richtungen spätere Auflagen der »Traumdeutung« – falls sich ein Bedürfnis nach solchen ergeben würde – von der vorliegenden abweichen werden. Dieselben müßten einerseits einen engeren Anschluß an den reichen Stoff der Dichtung, des Mythus, des Sprachgebrauchs und der Folklore suchen, anderseits die Beziehungen des Traumes zur Neurose und zur Geistesstörung noch eingehender, als es hier möglich war, behandeln.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Herr Otto </w:t>
      </w:r>
      <w:r w:rsidRPr="00A06A59">
        <w:rPr>
          <w:rFonts w:ascii="Garamond" w:hAnsi="Garamond" w:cs="Arial"/>
          <w:i/>
          <w:iCs/>
          <w:color w:val="000000"/>
          <w:lang w:val="en-GB"/>
        </w:rPr>
        <w:t>Rank</w:t>
      </w:r>
      <w:r w:rsidRPr="00A06A59">
        <w:rPr>
          <w:rFonts w:ascii="Garamond" w:hAnsi="Garamond" w:cs="Arial"/>
          <w:color w:val="000000"/>
          <w:lang w:val="en-GB"/>
        </w:rPr>
        <w:t xml:space="preserve"> hat mir bei der Auswahl der Zusätze wertvolle Dienste geleistet und die Revision der Druckbogen allein besorgt. Ich bin ihm und vielen anderen für ihre Beiträge und Berichtigungen zu Dank verpflichtet.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t>Wien</w:t>
      </w:r>
      <w:r w:rsidRPr="00A06A59">
        <w:rPr>
          <w:rFonts w:ascii="Garamond" w:hAnsi="Garamond" w:cs="Arial"/>
          <w:color w:val="000000"/>
        </w:rPr>
        <w:t>, im Frühjahr 1911.</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rPr>
      </w:pPr>
      <w:r w:rsidRPr="00A06A59">
        <w:rPr>
          <w:rFonts w:ascii="Garamond" w:hAnsi="Garamond" w:cs="Arial"/>
          <w:b/>
          <w:bCs/>
          <w:color w:val="000000"/>
        </w:rPr>
        <w:t>Vorwort zur vierten Auflage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Im Vorjahre (1913) hat Dr. A. A. </w:t>
      </w:r>
      <w:r w:rsidRPr="00A06A59">
        <w:rPr>
          <w:rFonts w:ascii="Garamond" w:hAnsi="Garamond" w:cs="Arial"/>
          <w:i/>
          <w:iCs/>
          <w:color w:val="000000"/>
          <w:lang w:val="en-GB"/>
        </w:rPr>
        <w:t>Brill</w:t>
      </w:r>
      <w:r w:rsidRPr="00A06A59">
        <w:rPr>
          <w:rFonts w:ascii="Garamond" w:hAnsi="Garamond" w:cs="Arial"/>
          <w:color w:val="000000"/>
          <w:lang w:val="en-GB"/>
        </w:rPr>
        <w:t xml:space="preserve"> in New York eine englische Übersetzung dieses Buches zustande gebracht. [The Interpretation of Dreams. G. Allen &amp; Co., London.]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Herr Dr. Otto </w:t>
      </w:r>
      <w:r w:rsidRPr="00A06A59">
        <w:rPr>
          <w:rFonts w:ascii="Garamond" w:hAnsi="Garamond" w:cs="Arial"/>
          <w:i/>
          <w:iCs/>
          <w:color w:val="000000"/>
          <w:lang w:val="en-GB"/>
        </w:rPr>
        <w:t>Rank</w:t>
      </w:r>
      <w:r w:rsidRPr="00A06A59">
        <w:rPr>
          <w:rFonts w:ascii="Garamond" w:hAnsi="Garamond" w:cs="Arial"/>
          <w:color w:val="000000"/>
          <w:lang w:val="en-GB"/>
        </w:rPr>
        <w:t xml:space="preserve"> hat diesmal nicht nur die Korrekturen besorgt, sondern auch den Text um zwei selbständige Beiträge bereichert. (Anhang zu Kapitel VI.)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Wien</w:t>
      </w:r>
      <w:r w:rsidRPr="00A06A59">
        <w:rPr>
          <w:rFonts w:ascii="Garamond" w:hAnsi="Garamond" w:cs="Arial"/>
          <w:color w:val="000000"/>
          <w:lang w:val="en-GB"/>
        </w:rPr>
        <w:t>, im Juni 1914.</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Vorwort zur fünften Auflage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Das Interesse für die »Traumdeutung« hat auch während des Weltkrieges nicht geruht und noch vor Beendigung desselben eine neue Auflage notwendig gemacht. In dieser konnte aber die neue Literatur seit 1914 nicht voll berücksichtigt werden; soweit sie fremdsprachig war, kam sie überhaupt nicht zu meiner und Dr. </w:t>
      </w:r>
      <w:r w:rsidRPr="00A06A59">
        <w:rPr>
          <w:rFonts w:ascii="Garamond" w:hAnsi="Garamond" w:cs="Arial"/>
          <w:i/>
          <w:iCs/>
          <w:color w:val="000000"/>
          <w:lang w:val="en-GB"/>
        </w:rPr>
        <w:t>Rank's</w:t>
      </w:r>
      <w:r w:rsidRPr="00A06A59">
        <w:rPr>
          <w:rFonts w:ascii="Garamond" w:hAnsi="Garamond" w:cs="Arial"/>
          <w:color w:val="000000"/>
          <w:lang w:val="en-GB"/>
        </w:rPr>
        <w:t xml:space="preserve"> Kenntnis.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ungarische Übersetzung der »Traumdeutung«, von den Herren Dr. </w:t>
      </w:r>
      <w:r w:rsidRPr="00A06A59">
        <w:rPr>
          <w:rFonts w:ascii="Garamond" w:hAnsi="Garamond" w:cs="Arial"/>
          <w:i/>
          <w:iCs/>
          <w:color w:val="000000"/>
          <w:lang w:val="en-GB"/>
        </w:rPr>
        <w:t>Hollós</w:t>
      </w:r>
      <w:r w:rsidRPr="00A06A59">
        <w:rPr>
          <w:rFonts w:ascii="Garamond" w:hAnsi="Garamond" w:cs="Arial"/>
          <w:color w:val="000000"/>
          <w:lang w:val="en-GB"/>
        </w:rPr>
        <w:t xml:space="preserve"> und Dr. </w:t>
      </w:r>
      <w:r w:rsidRPr="00A06A59">
        <w:rPr>
          <w:rFonts w:ascii="Garamond" w:hAnsi="Garamond" w:cs="Arial"/>
          <w:i/>
          <w:iCs/>
          <w:color w:val="000000"/>
          <w:lang w:val="en-GB"/>
        </w:rPr>
        <w:t>Ferenczi</w:t>
      </w:r>
      <w:r w:rsidRPr="00A06A59">
        <w:rPr>
          <w:rFonts w:ascii="Garamond" w:hAnsi="Garamond" w:cs="Arial"/>
          <w:color w:val="000000"/>
          <w:lang w:val="en-GB"/>
        </w:rPr>
        <w:t xml:space="preserve"> besorgt, ist dem Erscheinen nahe. In meinen 1916/17 veröffentlichten »Vorlesungen zur Einführung in die Psychoanalyse« (bei H. Heller, Wien) ist das elf Vorlesungen umfassende Mittelstück einer Darstellung des Traumes gewidmet, welche elementarer zu sein bestrebt ist und einen innigeren Anschluß an die Neurosenlehre herzustellen beabsichtigt. Sie hat im ganzen den Charakter eines Auszugs aus der »Traumdeutung«, obwohl sie an einzelnen Stellen Ausführlicheres bietet.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Zu einer gründlichen Umarbeitung dieses Buches, welche es auf das Niveau unserer heutigen psychoanalytischen Anschauungen heben, dafür aber seine historische Eigenart vernichten würde, konnte ich mich nicht entschließen. Ich meine aber, es hat in nahezu zwanzigjähriger Existenz seine Aufgabe erledigt.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Budapest-Steinbruch</w:t>
      </w:r>
      <w:r w:rsidRPr="00A06A59">
        <w:rPr>
          <w:rFonts w:ascii="Garamond" w:hAnsi="Garamond" w:cs="Arial"/>
          <w:color w:val="000000"/>
          <w:lang w:val="en-GB"/>
        </w:rPr>
        <w:t>, im Juli 1918.</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Vorwort zur sechsten Auflage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Schwierigkeiten, unter denen gegenwärtig das Buchgewerbe steht, haben zur Folge gehabt, daß diese neue Auflage weit später erschienen ist, als dem Bedarf entsprochen hätte, und daß sie – zum ersten Male – als unveränderter Abdruck der ihr vorhergehenden auftritt. Nur das Literaturverzeichnis am Ende des Buches ist von Dr. O. </w:t>
      </w:r>
      <w:r w:rsidRPr="00A06A59">
        <w:rPr>
          <w:rFonts w:ascii="Garamond" w:hAnsi="Garamond" w:cs="Arial"/>
          <w:i/>
          <w:iCs/>
          <w:color w:val="000000"/>
          <w:lang w:val="en-GB"/>
        </w:rPr>
        <w:t>Rank</w:t>
      </w:r>
      <w:r w:rsidRPr="00A06A59">
        <w:rPr>
          <w:rFonts w:ascii="Garamond" w:hAnsi="Garamond" w:cs="Arial"/>
          <w:color w:val="000000"/>
          <w:lang w:val="en-GB"/>
        </w:rPr>
        <w:t xml:space="preserve"> vervollständigt und fortgeführt worden.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Meine Annahme, dieses Buch hätte in nahezu zwanzigjähriger Existenz seine Aufgabe erledigt, hat also keine Bestätigung gefunden. Ich könnte vielmehr sagen, daß es eine neue Aufgabe zu erfüllen hat. Handelte es sich früher darum, einige Aufklärungen über das Wesen des Traumes zu geben, so wird es jetzt ebenso wichtig, den hartnäckigen Mißverständnissen zu begegnen, denen diese Aufklärungen ausgesetzt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Wien</w:t>
      </w:r>
      <w:r w:rsidRPr="00A06A59">
        <w:rPr>
          <w:rFonts w:ascii="Garamond" w:hAnsi="Garamond" w:cs="Arial"/>
          <w:color w:val="000000"/>
          <w:lang w:val="en-GB"/>
        </w:rPr>
        <w:t>, im April 1921.</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br w:type="page"/>
      </w:r>
    </w:p>
    <w:p w:rsidR="00A06A59" w:rsidRPr="00A06A59" w:rsidRDefault="00B437A1" w:rsidP="00A06A59">
      <w:pPr>
        <w:shd w:val="clear" w:color="auto" w:fill="FFFFFF"/>
        <w:tabs>
          <w:tab w:val="left" w:pos="7513"/>
          <w:tab w:val="left" w:pos="9639"/>
        </w:tabs>
        <w:spacing w:before="221" w:after="44" w:line="306" w:lineRule="atLeast"/>
        <w:ind w:left="-426" w:right="-567"/>
        <w:outlineLvl w:val="3"/>
        <w:rPr>
          <w:rFonts w:ascii="Garamond" w:hAnsi="Garamond" w:cs="Arial"/>
          <w:b/>
          <w:bCs/>
          <w:color w:val="000000"/>
          <w:lang w:val="en-GB"/>
        </w:rPr>
      </w:pPr>
      <w:hyperlink w:anchor="inhalt" w:history="1">
        <w:r w:rsidR="00A06A59" w:rsidRPr="00A06A59">
          <w:rPr>
            <w:rStyle w:val="Lienhypertexte"/>
            <w:rFonts w:ascii="Garamond" w:hAnsi="Garamond" w:cs="Arial"/>
            <w:b/>
            <w:bCs/>
            <w:lang w:val="en-GB"/>
          </w:rPr>
          <w:t>I. Di</w:t>
        </w:r>
        <w:bookmarkStart w:id="62" w:name="I"/>
        <w:bookmarkEnd w:id="62"/>
        <w:r w:rsidR="00A06A59" w:rsidRPr="00A06A59">
          <w:rPr>
            <w:rStyle w:val="Lienhypertexte"/>
            <w:rFonts w:ascii="Garamond" w:hAnsi="Garamond" w:cs="Arial"/>
            <w:b/>
            <w:bCs/>
            <w:lang w:val="en-GB"/>
          </w:rPr>
          <w:t>e wissenschaftliche Literatur der Traumprobleme</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Auf den folgenden Blättern werde ich den Nachweis erbringen, daß es eine psychologische Technik gibt, welche gestattet, Träume zu deuten, und daß bei Anwendung dieses Verfahrens jeder Traum sich als ein sinnvolles psychisches Gebilde herausstellt, welches an angebbarer Stelle in das seelische Treiben des Wachens einzureihen ist. Ich werde ferner versuchen, die Vorgänge klarzulegen, von denen die Fremdartigkeit und Unkenntlichkeit des Traumes herrührt, und aus ihnen einen Rückschluß auf die Natur der psychischen Kräfte ziehen, aus deren Zusammen- oder Gegeneinanderwirken der Traum hervorgeht. So weit gelangt, wird meine Darstellung abbrechen, denn sie wird den Punkt erreicht haben, wo das Problem des Träumens in umfassendere Probleme einmündet, deren Lösung an anderem Material in Angriff genommen werden muß.</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Übersicht über die Leistungen früherer Autoren sowie über den gegenwärtigen Stand der Traumprobleme in der Wissenschaft stelle ich voran, weil ich im Verlaufe der Abhandlung nicht häufig Anlaß haben werde, darauf zurückzukommen. Das wissenschaftliche Verständnis des Traumes ist nämlich trotz mehrtausendjähriger Bemühung sehr wenig weit gediehen. Dies wird von den Autoren so allgemein zugegeben, daß es überflüssig scheint, einzelne Stimmen anzuführen. In den Schriften, deren Verzeichnis ich zum Schlusse meiner Arbeit anfüge, finden sich viele anregende Bemerkungen und reichlich interessantes Material zu unserem Thema, aber nichts oder wenig, was das Wesen des Traumes träfe oder eines seiner Rätsel endgültig löste. Noch weniger ist natürlich in das Wissen der gebildeten Laien übergegangen.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Welche Auffassung der Traum in den Urzeiten der Menschheit bei den primitiven Völkern gefunden und welchen Einfluß er auf die Bildung ihrer Anschauungen von der Welt und von der Seele genommen haben mag, das ist ein Thema von so hohem Interesse, daß ich es nur ungern von der Bearbeitung in diesem Zusammenhange ausschließe. Ich verweise auf die bekannten Werke von Sir J. </w:t>
      </w:r>
      <w:r w:rsidRPr="00A06A59">
        <w:rPr>
          <w:rFonts w:ascii="Garamond" w:hAnsi="Garamond" w:cs="Arial"/>
          <w:i/>
          <w:iCs/>
          <w:color w:val="000000"/>
          <w:lang w:val="en-GB"/>
        </w:rPr>
        <w:t>Lubbock</w:t>
      </w:r>
      <w:r w:rsidRPr="00A06A59">
        <w:rPr>
          <w:rFonts w:ascii="Garamond" w:hAnsi="Garamond" w:cs="Arial"/>
          <w:color w:val="000000"/>
          <w:lang w:val="en-GB"/>
        </w:rPr>
        <w:t xml:space="preserve">, H. </w:t>
      </w:r>
      <w:r w:rsidRPr="00A06A59">
        <w:rPr>
          <w:rFonts w:ascii="Garamond" w:hAnsi="Garamond" w:cs="Arial"/>
          <w:i/>
          <w:iCs/>
          <w:color w:val="000000"/>
          <w:lang w:val="en-GB"/>
        </w:rPr>
        <w:t>Spencer</w:t>
      </w:r>
      <w:r w:rsidRPr="00A06A59">
        <w:rPr>
          <w:rFonts w:ascii="Garamond" w:hAnsi="Garamond" w:cs="Arial"/>
          <w:color w:val="000000"/>
          <w:lang w:val="en-GB"/>
        </w:rPr>
        <w:t xml:space="preserve">, E. B. </w:t>
      </w:r>
      <w:r w:rsidRPr="00A06A59">
        <w:rPr>
          <w:rFonts w:ascii="Garamond" w:hAnsi="Garamond" w:cs="Arial"/>
          <w:i/>
          <w:iCs/>
          <w:color w:val="000000"/>
          <w:lang w:val="en-GB"/>
        </w:rPr>
        <w:t>Tylor</w:t>
      </w:r>
      <w:r w:rsidRPr="00A06A59">
        <w:rPr>
          <w:rFonts w:ascii="Garamond" w:hAnsi="Garamond" w:cs="Arial"/>
          <w:color w:val="000000"/>
          <w:lang w:val="en-GB"/>
        </w:rPr>
        <w:t xml:space="preserve"> u. a. und füge nur hinzu, daß uns die Tragweite dieser Probleme und Spekulationen erst begreiflich werden kann, nachdem wir die uns vorschwebende Aufgabe der »Traumdeutung« erledigt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Nachklang der urzeitlichen Auffassung des Traumes liegt offenbar der Traumschätzung bei den Völkern des klassischen Altertums zugrunde </w:t>
      </w:r>
      <w:hyperlink r:id="rId1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Das Folgende nach </w:t>
        </w:r>
        <w:r w:rsidRPr="00A06A59">
          <w:rPr>
            <w:rStyle w:val="innerfusslink3"/>
            <w:rFonts w:ascii="Garamond" w:hAnsi="Garamond" w:cs="Arial"/>
            <w:b/>
            <w:bCs/>
            <w:i/>
            <w:iCs/>
            <w:lang w:val="en-GB"/>
          </w:rPr>
          <w:t>Büchsenschütz</w:t>
        </w:r>
        <w:r w:rsidRPr="00A06A59">
          <w:rPr>
            <w:rStyle w:val="innerfusslink3"/>
            <w:rFonts w:ascii="Garamond" w:hAnsi="Garamond" w:cs="Arial"/>
            <w:b/>
            <w:bCs/>
            <w:lang w:val="en-GB"/>
          </w:rPr>
          <w:t>' sorgfältiger Darstellung (Traum und Traumdeutung im Altertum. Berlin 1868).</w:t>
        </w:r>
      </w:hyperlink>
      <w:r w:rsidRPr="00A06A59">
        <w:rPr>
          <w:rFonts w:ascii="Garamond" w:hAnsi="Garamond" w:cs="Arial"/>
          <w:color w:val="000000"/>
          <w:lang w:val="en-GB"/>
        </w:rPr>
        <w:t xml:space="preserve">. Es war bei ihnen Voraussetzung, daß die Träume mit der Welt übermenschlicher Wesen, an die sie glaubten, in Beziehung stünden und Offenbarungen von Seiten der Götter und Dämonen brächten. Ferner drängte sich ihnen auf, daß die Träume eine für den Träumer bedeutsame Absicht hätten, in der Regel, ihm die Zukunft zu verkünden. Die außerordentliche Verschiedenheit in dem Inhalt und dem Eindruck der Träume machte es allerdings schwierig, eine einheitliche Auffassung derselben durchzuführen, und nötigte zu mannigfachen Unterscheidungen und Gruppenbildungen der Träume, je nach ihrem Wert und ihrer Zuverlässigkeit. Bei den einzelnen Philosophen des Altertums war die Beurteilung des Traumes natürlich nicht unabhängig von der Stellung, die sie der </w:t>
      </w:r>
      <w:r w:rsidRPr="00A06A59">
        <w:rPr>
          <w:rFonts w:ascii="Garamond" w:hAnsi="Garamond" w:cs="Arial"/>
          <w:i/>
          <w:iCs/>
          <w:color w:val="000000"/>
          <w:lang w:val="en-GB"/>
        </w:rPr>
        <w:t>Mantik</w:t>
      </w:r>
      <w:r w:rsidRPr="00A06A59">
        <w:rPr>
          <w:rFonts w:ascii="Garamond" w:hAnsi="Garamond" w:cs="Arial"/>
          <w:color w:val="000000"/>
          <w:lang w:val="en-GB"/>
        </w:rPr>
        <w:t xml:space="preserve"> überhaupt einzuräumen bereit waren.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den beiden den Traum behandelnden Schriften des </w:t>
      </w:r>
      <w:r w:rsidRPr="00A06A59">
        <w:rPr>
          <w:rFonts w:ascii="Garamond" w:hAnsi="Garamond" w:cs="Arial"/>
          <w:i/>
          <w:iCs/>
          <w:color w:val="000000"/>
          <w:lang w:val="en-GB"/>
        </w:rPr>
        <w:t>Aristoteles</w:t>
      </w:r>
      <w:r w:rsidRPr="00A06A59">
        <w:rPr>
          <w:rFonts w:ascii="Garamond" w:hAnsi="Garamond" w:cs="Arial"/>
          <w:color w:val="000000"/>
          <w:lang w:val="en-GB"/>
        </w:rPr>
        <w:t xml:space="preserve"> ist der Traum bereits Objekt der Psychologie geworden. Wir hören, der Traum sei nicht gottgesandt, nicht göttlicher Natur, wohl aber dämonischer, da ja die Natur dämonisch, nicht göttlich ist, d. h. der Traum entstammt keiner übernatürlichen Offenbarung, sondern folgt aus den Gesetzen des allerdings mit der Gottheit verwandten menschlichen Geistes. Der Traum wird definiert als die Seelentätigkeit des Schlafenden, insofern er schläft.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Aristoteles</w:t>
      </w:r>
      <w:r w:rsidRPr="00A06A59">
        <w:rPr>
          <w:rFonts w:ascii="Garamond" w:hAnsi="Garamond" w:cs="Arial"/>
          <w:color w:val="000000"/>
          <w:lang w:val="en-GB"/>
        </w:rPr>
        <w:t xml:space="preserve"> kennt einige der Charaktere des Traumlebens, z. B. daß der Traum kleine, während des Schlafes eintretende Reize ins Große umdeutet (»man glaubt, durch ein Feuer zu gehen und heiß zu werden, wenn nur eine ganz unbedeutende Erwärmung dieses oder jenes Gliedes stattfindet«), und zieht aus diesem Verhalten den Schluß, daß die Träume sehr wohl die ersten bei Tag nicht bemerkten Anzeichen einer beginnenden Veränderung im Körper dem Arzt verraten könnten </w:t>
      </w:r>
      <w:hyperlink r:id="rId1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Über die Beziehung des Traumes zu den Krankheiten handelt der griechische Arzt </w:t>
        </w:r>
        <w:r w:rsidRPr="00A06A59">
          <w:rPr>
            <w:rStyle w:val="innerfusslink3"/>
            <w:rFonts w:ascii="Garamond" w:hAnsi="Garamond" w:cs="Arial"/>
            <w:b/>
            <w:bCs/>
            <w:i/>
            <w:iCs/>
            <w:lang w:val="en-GB"/>
          </w:rPr>
          <w:t>Hippokrates</w:t>
        </w:r>
        <w:r w:rsidRPr="00A06A59">
          <w:rPr>
            <w:rStyle w:val="innerfusslink3"/>
            <w:rFonts w:ascii="Garamond" w:hAnsi="Garamond" w:cs="Arial"/>
            <w:b/>
            <w:bCs/>
            <w:lang w:val="en-GB"/>
          </w:rPr>
          <w:t xml:space="preserve"> in einem Kapitel seines berühmten Werkes.</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Alten vor </w:t>
      </w:r>
      <w:r w:rsidRPr="00A06A59">
        <w:rPr>
          <w:rFonts w:ascii="Garamond" w:hAnsi="Garamond" w:cs="Arial"/>
          <w:i/>
          <w:iCs/>
          <w:color w:val="000000"/>
          <w:lang w:val="en-GB"/>
        </w:rPr>
        <w:t>Aristoteles</w:t>
      </w:r>
      <w:r w:rsidRPr="00A06A59">
        <w:rPr>
          <w:rFonts w:ascii="Garamond" w:hAnsi="Garamond" w:cs="Arial"/>
          <w:color w:val="000000"/>
          <w:lang w:val="en-GB"/>
        </w:rPr>
        <w:t xml:space="preserve"> haben den Traum bekanntlich nicht für ein Erzeugnis der träumenden Seele gehalten, sondern für eine Eingebung von göttlicher Seite, und die beiden gegensätzlichen Strömungen, die wir in der Schätzung des Traumlebens als jederzeit vorhanden auffinden werden, machten sich bereits bei ihnen geltend. Man unterschied wahrhafte und wertvolle Träume, dem Schläfer gesandt, um ihn zu warnen oder ihm die Zukunft zu verkünden, von eiteln, trügerischen und nichtigen, deren Absicht es war, ihn in die Irre zu führen oder ins Verderben zu stürzen.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Gruppe</w:t>
      </w:r>
      <w:r w:rsidRPr="00A06A59">
        <w:rPr>
          <w:rFonts w:ascii="Garamond" w:hAnsi="Garamond" w:cs="Arial"/>
          <w:color w:val="000000"/>
          <w:lang w:val="en-GB"/>
        </w:rPr>
        <w:t xml:space="preserve"> (Griechische Mythologie und Religionsgeschichte, p. 390) gibt eine solche Einteilung der Träume nach </w:t>
      </w:r>
      <w:r w:rsidRPr="00A06A59">
        <w:rPr>
          <w:rFonts w:ascii="Garamond" w:hAnsi="Garamond" w:cs="Arial"/>
          <w:i/>
          <w:iCs/>
          <w:color w:val="000000"/>
          <w:lang w:val="en-GB"/>
        </w:rPr>
        <w:t>Makrobius</w:t>
      </w:r>
      <w:r w:rsidRPr="00A06A59">
        <w:rPr>
          <w:rFonts w:ascii="Garamond" w:hAnsi="Garamond" w:cs="Arial"/>
          <w:color w:val="000000"/>
          <w:lang w:val="en-GB"/>
        </w:rPr>
        <w:t xml:space="preserve"> und </w:t>
      </w:r>
      <w:r w:rsidRPr="00A06A59">
        <w:rPr>
          <w:rFonts w:ascii="Garamond" w:hAnsi="Garamond" w:cs="Arial"/>
          <w:i/>
          <w:iCs/>
          <w:color w:val="000000"/>
          <w:lang w:val="en-GB"/>
        </w:rPr>
        <w:t>Artemidoros</w:t>
      </w:r>
      <w:r w:rsidRPr="00A06A59">
        <w:rPr>
          <w:rFonts w:ascii="Garamond" w:hAnsi="Garamond" w:cs="Arial"/>
          <w:color w:val="000000"/>
          <w:lang w:val="en-GB"/>
        </w:rPr>
        <w:t xml:space="preserve"> wieder: »Man teilte die Träume in zwei Klassen. Die eine sollte nur durch die Gegenwart </w:t>
      </w:r>
      <w:r w:rsidRPr="00A06A59">
        <w:rPr>
          <w:rFonts w:ascii="Garamond" w:hAnsi="Garamond" w:cs="Arial"/>
          <w:color w:val="000000"/>
          <w:lang w:val="en-GB"/>
        </w:rPr>
        <w:lastRenderedPageBreak/>
        <w:t xml:space="preserve">(oder Vergangenheit) beeinflußt, für die Zukunft aber bedeutungslos sein; sie umfaßte die </w:t>
      </w:r>
      <w:r w:rsidRPr="00A06A59">
        <w:rPr>
          <w:rFonts w:ascii="Garamond" w:hAnsi="Garamond" w:cs="Arial"/>
          <w:color w:val="000000"/>
        </w:rPr>
        <w:t>ενυ</w:t>
      </w:r>
      <w:r w:rsidRPr="00A06A59">
        <w:rPr>
          <w:rFonts w:ascii="Arial" w:hAnsi="Arial" w:cs="Arial"/>
          <w:color w:val="000000"/>
          <w:lang w:val="en-GB"/>
        </w:rPr>
        <w:t>̀</w:t>
      </w:r>
      <w:r w:rsidRPr="00A06A59">
        <w:rPr>
          <w:rFonts w:ascii="Garamond" w:hAnsi="Garamond" w:cs="Arial"/>
          <w:color w:val="000000"/>
        </w:rPr>
        <w:t>πνια</w:t>
      </w:r>
      <w:r w:rsidRPr="00A06A59">
        <w:rPr>
          <w:rFonts w:ascii="Garamond" w:hAnsi="Garamond" w:cs="Arial"/>
          <w:color w:val="000000"/>
          <w:lang w:val="en-GB"/>
        </w:rPr>
        <w:t xml:space="preserve">, </w:t>
      </w:r>
      <w:r w:rsidRPr="00A06A59">
        <w:rPr>
          <w:rFonts w:ascii="Garamond" w:hAnsi="Garamond" w:cs="Arial"/>
          <w:i/>
          <w:iCs/>
          <w:color w:val="000000"/>
          <w:lang w:val="en-GB"/>
        </w:rPr>
        <w:t>insomnia</w:t>
      </w:r>
      <w:r w:rsidRPr="00A06A59">
        <w:rPr>
          <w:rFonts w:ascii="Garamond" w:hAnsi="Garamond" w:cs="Arial"/>
          <w:color w:val="000000"/>
          <w:lang w:val="en-GB"/>
        </w:rPr>
        <w:t xml:space="preserve">, die unmittelbar die gegebene Vorstellung oder ihr Gegenteil wiedergeben, z. B. den Hunger oder dessen Stillung, und die </w:t>
      </w:r>
      <w:r w:rsidRPr="00A06A59">
        <w:rPr>
          <w:rFonts w:ascii="Garamond" w:hAnsi="Garamond" w:cs="Arial"/>
          <w:color w:val="000000"/>
        </w:rPr>
        <w:t>φαντάσματα</w:t>
      </w:r>
      <w:r w:rsidRPr="00A06A59">
        <w:rPr>
          <w:rFonts w:ascii="Garamond" w:hAnsi="Garamond" w:cs="Arial"/>
          <w:color w:val="000000"/>
          <w:lang w:val="en-GB"/>
        </w:rPr>
        <w:t xml:space="preserve">, welche die gegebene Vorstellung phantastisch erweitern, wie z. B. der Alpdruck, </w:t>
      </w:r>
      <w:r w:rsidRPr="00A06A59">
        <w:rPr>
          <w:rFonts w:ascii="Garamond" w:hAnsi="Garamond" w:cs="Arial"/>
          <w:i/>
          <w:iCs/>
          <w:color w:val="000000"/>
          <w:lang w:val="en-GB"/>
        </w:rPr>
        <w:t>ephialtes</w:t>
      </w:r>
      <w:r w:rsidRPr="00A06A59">
        <w:rPr>
          <w:rFonts w:ascii="Garamond" w:hAnsi="Garamond" w:cs="Arial"/>
          <w:color w:val="000000"/>
          <w:lang w:val="en-GB"/>
        </w:rPr>
        <w:t>. Die andere Klasse dagegen galt als bestimmend für die Zukunft; zu ihr gehören: 1) die direkte Weissagung, die man im Traume empfängt (</w:t>
      </w:r>
      <w:r w:rsidRPr="00A06A59">
        <w:rPr>
          <w:rFonts w:ascii="Garamond" w:hAnsi="Garamond" w:cs="Arial"/>
          <w:color w:val="000000"/>
        </w:rPr>
        <w:t>χρηματισμός</w:t>
      </w:r>
      <w:r w:rsidRPr="00A06A59">
        <w:rPr>
          <w:rFonts w:ascii="Garamond" w:hAnsi="Garamond" w:cs="Arial"/>
          <w:color w:val="000000"/>
          <w:lang w:val="en-GB"/>
        </w:rPr>
        <w:t xml:space="preserve">, </w:t>
      </w:r>
      <w:r w:rsidRPr="00A06A59">
        <w:rPr>
          <w:rFonts w:ascii="Garamond" w:hAnsi="Garamond" w:cs="Arial"/>
          <w:i/>
          <w:iCs/>
          <w:color w:val="000000"/>
          <w:lang w:val="en-GB"/>
        </w:rPr>
        <w:t>oraculum</w:t>
      </w:r>
      <w:r w:rsidRPr="00A06A59">
        <w:rPr>
          <w:rFonts w:ascii="Garamond" w:hAnsi="Garamond" w:cs="Arial"/>
          <w:color w:val="000000"/>
          <w:lang w:val="en-GB"/>
        </w:rPr>
        <w:t>), 2) das Voraussagen eines bevorstehenden Ereignisses (</w:t>
      </w:r>
      <w:r w:rsidRPr="00A06A59">
        <w:rPr>
          <w:rFonts w:ascii="Garamond" w:hAnsi="Garamond" w:cs="Arial"/>
          <w:color w:val="000000"/>
        </w:rPr>
        <w:t>όραμα</w:t>
      </w:r>
      <w:r w:rsidRPr="00A06A59">
        <w:rPr>
          <w:rFonts w:ascii="Garamond" w:hAnsi="Garamond" w:cs="Arial"/>
          <w:color w:val="000000"/>
          <w:lang w:val="en-GB"/>
        </w:rPr>
        <w:t xml:space="preserve">, </w:t>
      </w:r>
      <w:r w:rsidRPr="00A06A59">
        <w:rPr>
          <w:rFonts w:ascii="Garamond" w:hAnsi="Garamond" w:cs="Arial"/>
          <w:i/>
          <w:iCs/>
          <w:color w:val="000000"/>
          <w:lang w:val="en-GB"/>
        </w:rPr>
        <w:t>visio</w:t>
      </w:r>
      <w:r w:rsidRPr="00A06A59">
        <w:rPr>
          <w:rFonts w:ascii="Garamond" w:hAnsi="Garamond" w:cs="Arial"/>
          <w:color w:val="000000"/>
          <w:lang w:val="en-GB"/>
        </w:rPr>
        <w:t>), 3) der symbolische, der Auslegung bedürftige Traum (</w:t>
      </w:r>
      <w:r w:rsidRPr="00A06A59">
        <w:rPr>
          <w:rFonts w:ascii="Garamond" w:hAnsi="Garamond" w:cs="Arial"/>
          <w:color w:val="000000"/>
        </w:rPr>
        <w:t>όνειρος</w:t>
      </w:r>
      <w:r w:rsidRPr="00A06A59">
        <w:rPr>
          <w:rFonts w:ascii="Garamond" w:hAnsi="Garamond" w:cs="Arial"/>
          <w:color w:val="000000"/>
          <w:lang w:val="en-GB"/>
        </w:rPr>
        <w:t xml:space="preserve">, </w:t>
      </w:r>
      <w:r w:rsidRPr="00A06A59">
        <w:rPr>
          <w:rFonts w:ascii="Garamond" w:hAnsi="Garamond" w:cs="Arial"/>
          <w:i/>
          <w:iCs/>
          <w:color w:val="000000"/>
          <w:lang w:val="en-GB"/>
        </w:rPr>
        <w:t>somnium</w:t>
      </w:r>
      <w:r w:rsidRPr="00A06A59">
        <w:rPr>
          <w:rFonts w:ascii="Garamond" w:hAnsi="Garamond" w:cs="Arial"/>
          <w:color w:val="000000"/>
          <w:lang w:val="en-GB"/>
        </w:rPr>
        <w:t>). Diese Theorie hat sich viele Jahrhunderte hindurch erhalten.«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Mit dieser wechselnden Einschätzung der Träume stand die Aufgabe einer »Traumdeutung« im Zusammenhange. Da man von den Träumen im allgemeinen wichtige Aufschlüsse erwartete, aber nicht alle Träume unmittelbar verstand und nicht wissen konnte, ob nicht ein bestimmter unverständlicher Traum doch Bedeutsames ankündigte, war der Anstoß zu einer Bemühung gegeben, welche den unverständlichen Inhalt des Traums durch einen einsichtlichen und dabei bedeutungsvollen ersetzen konnte. Als die größte Autorität in der Traumdeutung galt im späteren Altertum </w:t>
      </w:r>
      <w:r w:rsidRPr="00A06A59">
        <w:rPr>
          <w:rFonts w:ascii="Garamond" w:hAnsi="Garamond" w:cs="Arial"/>
          <w:i/>
          <w:iCs/>
          <w:color w:val="000000"/>
          <w:lang w:val="en-GB"/>
        </w:rPr>
        <w:t>Artemidoros</w:t>
      </w:r>
      <w:r w:rsidRPr="00A06A59">
        <w:rPr>
          <w:rFonts w:ascii="Garamond" w:hAnsi="Garamond" w:cs="Arial"/>
          <w:color w:val="000000"/>
          <w:lang w:val="en-GB"/>
        </w:rPr>
        <w:t xml:space="preserve"> aus </w:t>
      </w:r>
      <w:r w:rsidRPr="00A06A59">
        <w:rPr>
          <w:rFonts w:ascii="Garamond" w:hAnsi="Garamond" w:cs="Arial"/>
          <w:i/>
          <w:iCs/>
          <w:color w:val="000000"/>
          <w:lang w:val="en-GB"/>
        </w:rPr>
        <w:t>Daldis</w:t>
      </w:r>
      <w:r w:rsidRPr="00A06A59">
        <w:rPr>
          <w:rFonts w:ascii="Garamond" w:hAnsi="Garamond" w:cs="Arial"/>
          <w:color w:val="000000"/>
          <w:lang w:val="en-GB"/>
        </w:rPr>
        <w:t xml:space="preserve">, dessen ausführliches Werk uns für die verloren gegangenen Schriften des nämlichen Inhaltes entschädigen muß </w:t>
      </w:r>
      <w:hyperlink r:id="rId1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 weiteren Schicksale der Traumdeutung im Mittelalter siehe bei </w:t>
        </w:r>
        <w:r w:rsidRPr="00A06A59">
          <w:rPr>
            <w:rStyle w:val="innerfusslink3"/>
            <w:rFonts w:ascii="Garamond" w:hAnsi="Garamond" w:cs="Arial"/>
            <w:b/>
            <w:bCs/>
            <w:i/>
            <w:iCs/>
            <w:lang w:val="en-GB"/>
          </w:rPr>
          <w:t>Diepgen</w:t>
        </w:r>
        <w:r w:rsidRPr="00A06A59">
          <w:rPr>
            <w:rStyle w:val="innerfusslink3"/>
            <w:rFonts w:ascii="Garamond" w:hAnsi="Garamond" w:cs="Arial"/>
            <w:b/>
            <w:bCs/>
            <w:lang w:val="en-GB"/>
          </w:rPr>
          <w:t xml:space="preserve"> und in den Spezialuntersuchungen von M. </w:t>
        </w:r>
        <w:r w:rsidRPr="00A06A59">
          <w:rPr>
            <w:rStyle w:val="innerfusslink3"/>
            <w:rFonts w:ascii="Garamond" w:hAnsi="Garamond" w:cs="Arial"/>
            <w:b/>
            <w:bCs/>
            <w:i/>
            <w:iCs/>
            <w:lang w:val="en-GB"/>
          </w:rPr>
          <w:t>Förster</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Gotthard</w:t>
        </w:r>
        <w:r w:rsidRPr="00A06A59">
          <w:rPr>
            <w:rStyle w:val="innerfusslink3"/>
            <w:rFonts w:ascii="Garamond" w:hAnsi="Garamond" w:cs="Arial"/>
            <w:b/>
            <w:bCs/>
            <w:lang w:val="en-GB"/>
          </w:rPr>
          <w:t xml:space="preserve"> u. a. Über die Traumdeutung bei den Juden handeln </w:t>
        </w:r>
        <w:r w:rsidRPr="00A06A59">
          <w:rPr>
            <w:rStyle w:val="innerfusslink3"/>
            <w:rFonts w:ascii="Garamond" w:hAnsi="Garamond" w:cs="Arial"/>
            <w:b/>
            <w:bCs/>
            <w:i/>
            <w:iCs/>
            <w:lang w:val="en-GB"/>
          </w:rPr>
          <w:t>Almoli</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Amram</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Löwinger</w:t>
        </w:r>
        <w:r w:rsidRPr="00A06A59">
          <w:rPr>
            <w:rStyle w:val="innerfusslink3"/>
            <w:rFonts w:ascii="Garamond" w:hAnsi="Garamond" w:cs="Arial"/>
            <w:b/>
            <w:bCs/>
            <w:lang w:val="en-GB"/>
          </w:rPr>
          <w:t xml:space="preserve">, sowie neuestens, mit Berücksichtigung des psychoanalytischen Standpunktes, </w:t>
        </w:r>
        <w:r w:rsidRPr="00A06A59">
          <w:rPr>
            <w:rStyle w:val="innerfusslink3"/>
            <w:rFonts w:ascii="Garamond" w:hAnsi="Garamond" w:cs="Arial"/>
            <w:b/>
            <w:bCs/>
            <w:i/>
            <w:iCs/>
            <w:lang w:val="en-GB"/>
          </w:rPr>
          <w:t>Lauer</w:t>
        </w:r>
        <w:r w:rsidRPr="00A06A59">
          <w:rPr>
            <w:rStyle w:val="innerfusslink3"/>
            <w:rFonts w:ascii="Garamond" w:hAnsi="Garamond" w:cs="Arial"/>
            <w:b/>
            <w:bCs/>
            <w:lang w:val="en-GB"/>
          </w:rPr>
          <w:t xml:space="preserve">. Kenntnis der arabischen Traumdeutung vermitteln </w:t>
        </w:r>
        <w:r w:rsidRPr="00A06A59">
          <w:rPr>
            <w:rStyle w:val="innerfusslink3"/>
            <w:rFonts w:ascii="Garamond" w:hAnsi="Garamond" w:cs="Arial"/>
            <w:b/>
            <w:bCs/>
            <w:i/>
            <w:iCs/>
            <w:lang w:val="en-GB"/>
          </w:rPr>
          <w:t>Drexl</w:t>
        </w:r>
        <w:r w:rsidRPr="00A06A59">
          <w:rPr>
            <w:rStyle w:val="innerfusslink3"/>
            <w:rFonts w:ascii="Garamond" w:hAnsi="Garamond" w:cs="Arial"/>
            <w:b/>
            <w:bCs/>
            <w:lang w:val="en-GB"/>
          </w:rPr>
          <w:t xml:space="preserve">, F. </w:t>
        </w:r>
        <w:r w:rsidRPr="00A06A59">
          <w:rPr>
            <w:rStyle w:val="innerfusslink3"/>
            <w:rFonts w:ascii="Garamond" w:hAnsi="Garamond" w:cs="Arial"/>
            <w:b/>
            <w:bCs/>
            <w:i/>
            <w:iCs/>
            <w:lang w:val="en-GB"/>
          </w:rPr>
          <w:t>Schwarz</w:t>
        </w:r>
        <w:r w:rsidRPr="00A06A59">
          <w:rPr>
            <w:rStyle w:val="innerfusslink3"/>
            <w:rFonts w:ascii="Garamond" w:hAnsi="Garamond" w:cs="Arial"/>
            <w:b/>
            <w:bCs/>
            <w:lang w:val="en-GB"/>
          </w:rPr>
          <w:t xml:space="preserve"> und der Missionär </w:t>
        </w:r>
        <w:r w:rsidRPr="00A06A59">
          <w:rPr>
            <w:rStyle w:val="innerfusslink3"/>
            <w:rFonts w:ascii="Garamond" w:hAnsi="Garamond" w:cs="Arial"/>
            <w:b/>
            <w:bCs/>
            <w:i/>
            <w:iCs/>
            <w:lang w:val="en-GB"/>
          </w:rPr>
          <w:t>Tfinkdji</w:t>
        </w:r>
        <w:r w:rsidRPr="00A06A59">
          <w:rPr>
            <w:rStyle w:val="innerfusslink3"/>
            <w:rFonts w:ascii="Garamond" w:hAnsi="Garamond" w:cs="Arial"/>
            <w:b/>
            <w:bCs/>
            <w:lang w:val="en-GB"/>
          </w:rPr>
          <w:t xml:space="preserve">, der japanischen </w:t>
        </w:r>
        <w:r w:rsidRPr="00A06A59">
          <w:rPr>
            <w:rStyle w:val="innerfusslink3"/>
            <w:rFonts w:ascii="Garamond" w:hAnsi="Garamond" w:cs="Arial"/>
            <w:b/>
            <w:bCs/>
            <w:i/>
            <w:iCs/>
            <w:lang w:val="en-GB"/>
          </w:rPr>
          <w:t>Miura</w:t>
        </w:r>
        <w:r w:rsidRPr="00A06A59">
          <w:rPr>
            <w:rStyle w:val="innerfusslink3"/>
            <w:rFonts w:ascii="Garamond" w:hAnsi="Garamond" w:cs="Arial"/>
            <w:b/>
            <w:bCs/>
            <w:lang w:val="en-GB"/>
          </w:rPr>
          <w:t xml:space="preserve"> und </w:t>
        </w:r>
        <w:r w:rsidRPr="00A06A59">
          <w:rPr>
            <w:rStyle w:val="innerfusslink3"/>
            <w:rFonts w:ascii="Garamond" w:hAnsi="Garamond" w:cs="Arial"/>
            <w:b/>
            <w:bCs/>
            <w:i/>
            <w:iCs/>
            <w:lang w:val="en-GB"/>
          </w:rPr>
          <w:t>Iwaya</w:t>
        </w:r>
        <w:r w:rsidRPr="00A06A59">
          <w:rPr>
            <w:rStyle w:val="innerfusslink3"/>
            <w:rFonts w:ascii="Garamond" w:hAnsi="Garamond" w:cs="Arial"/>
            <w:b/>
            <w:bCs/>
            <w:lang w:val="en-GB"/>
          </w:rPr>
          <w:t xml:space="preserve">, der chinesischen </w:t>
        </w:r>
        <w:r w:rsidRPr="00A06A59">
          <w:rPr>
            <w:rStyle w:val="innerfusslink3"/>
            <w:rFonts w:ascii="Garamond" w:hAnsi="Garamond" w:cs="Arial"/>
            <w:b/>
            <w:bCs/>
            <w:i/>
            <w:iCs/>
            <w:lang w:val="en-GB"/>
          </w:rPr>
          <w:t>Secker</w:t>
        </w:r>
        <w:r w:rsidRPr="00A06A59">
          <w:rPr>
            <w:rStyle w:val="innerfusslink3"/>
            <w:rFonts w:ascii="Garamond" w:hAnsi="Garamond" w:cs="Arial"/>
            <w:b/>
            <w:bCs/>
            <w:lang w:val="en-GB"/>
          </w:rPr>
          <w:t xml:space="preserve">, der indischen </w:t>
        </w:r>
        <w:r w:rsidRPr="00A06A59">
          <w:rPr>
            <w:rStyle w:val="innerfusslink3"/>
            <w:rFonts w:ascii="Garamond" w:hAnsi="Garamond" w:cs="Arial"/>
            <w:b/>
            <w:bCs/>
            <w:i/>
            <w:iCs/>
            <w:lang w:val="en-GB"/>
          </w:rPr>
          <w:t>Negelein</w:t>
        </w:r>
        <w:r w:rsidRPr="00A06A59">
          <w:rPr>
            <w:rStyle w:val="innerfusslink3"/>
            <w:rFonts w:ascii="Garamond" w:hAnsi="Garamond" w:cs="Arial"/>
            <w:b/>
            <w:bCs/>
            <w:lang w:val="en-GB"/>
          </w:rPr>
          <w:t>.</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vorwissenschaftliche Traumauffassung der Alten stand sicherlich im vollsten Einklange mit ihrer gesamten Weltanschauung, welche als Realität in die Außenwelt zu projizieren pflegte, was nur innerhalb des Seelenlebens Realität hatte. Sie trug überdies dem Haupteindruck Rechnung, welchen das Wachleben durch die am Morgen übrigbleibende Erinnerung von dem Traum empfängt, denn in dieser Erinnerung stellt sich der Traum als etwas Fremdes, das gleichsam aus einer anderen Welt herrührt, dem übrigen psychischen Inhalte entgegen. Es wäre übrigens irrig zu meinen, daß die Lehre von der übernatürlichen Herkunft der Träume in unseren Tagen der Anhänger entbehrt; von allen pietistischen und mystischen Schriftstellern abgesehen – die ja recht daran tun, die Reste des ehemals ausgedehnten Gebietes des Übernatürlichen besetzt zu halten, solange sie nicht durch naturwissenschaftliche Erklärung erobert sind –, trifft man doch auch auf scharfsinnige und allem Abenteuerlichen abgeneigte Männer, die ihren religiösen Glauben an die Existenz und an das Eingreifen übermenschlicher Geisteskräfte gerade auf die Unerklärbarkeit der Traumerscheinungen zu stützen versuchen ( </w:t>
      </w:r>
      <w:r w:rsidRPr="00A06A59">
        <w:rPr>
          <w:rFonts w:ascii="Garamond" w:hAnsi="Garamond" w:cs="Arial"/>
          <w:i/>
          <w:iCs/>
          <w:color w:val="000000"/>
          <w:lang w:val="en-GB"/>
        </w:rPr>
        <w:t>Haffner</w:t>
      </w:r>
      <w:r w:rsidRPr="00A06A59">
        <w:rPr>
          <w:rFonts w:ascii="Garamond" w:hAnsi="Garamond" w:cs="Arial"/>
          <w:color w:val="000000"/>
          <w:lang w:val="en-GB"/>
        </w:rPr>
        <w:t xml:space="preserve">). Die Wertschätzung des Traumlebens von Seiten mancher Philosophenschulen, z. B. der </w:t>
      </w:r>
      <w:r w:rsidRPr="00A06A59">
        <w:rPr>
          <w:rFonts w:ascii="Garamond" w:hAnsi="Garamond" w:cs="Arial"/>
          <w:i/>
          <w:iCs/>
          <w:color w:val="000000"/>
          <w:lang w:val="en-GB"/>
        </w:rPr>
        <w:t>Schellingianer</w:t>
      </w:r>
      <w:r w:rsidRPr="00A06A59">
        <w:rPr>
          <w:rFonts w:ascii="Garamond" w:hAnsi="Garamond" w:cs="Arial"/>
          <w:color w:val="000000"/>
          <w:lang w:val="en-GB"/>
        </w:rPr>
        <w:t>, ist ein deutlicher Nachklang der im Altertum unbestrittenen Göttlichkeit des Traumes, und auch über die divinatorische, die Zukunft verkündende Kraft des Traumes ist die Erörterung nicht abgeschlossen, weil die psychologischen Erklärungsversuche zur Bewältigung des angesammelten Materials nicht ausreichen, so unzweideutig auch die Sympathien eines jeden, der sich der wissenschaftlichen Denkungsart ergeben hat, zur Abweisung einer solchen Behauptung hinneigen mögen.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Geschichte unserer wissenschaftlichen Erkenntnis der Traumprobleme zu schreiben ist darum so schwer, weil in dieser Erkenntnis, so wertvoll sie an einzelnen Stellen geworden sein mag, ein Fortschritt längs gewisser Richtungen nicht zu bemerken ist. Es ist nicht zur Bildung eines Unterbaus von gesicherten Resultaten gekommen, auf dem dann ein nächstfolgender Forscher weitergebaut hätte, sondern jeder neue Autor faßt die nämlichen Probleme von neuem und wie vom Ursprung her wieder an. Wollte ich mich an die Zeitfolge der Autoren halten und von jedem einzelnen im Auszug berichten, welche Ansichten über die Traumprobleme er geäußert, so müßte ich darauf verzichten, ein übersichtliches Gesamtbild vom gegenwärtigen Stande der Traumerkenntnis zu entwerfen; ich habe es darum vorgezogen, die Darstellung an die Themata anstatt an die Autoren anzuknüpfen, und werde bei jedem der Traumprobleme anführen, was an Material zur Lösung desselben in der Literatur niedergelegt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 es mir aber nicht gelungen ist, die gesamte, so sehr verstreute und auf anderes übergreifende Literatur des Gegenstands zu bewältigen, so muß ich meine Leser bitten, sich zu bescheiden, wenn nur keine grundlegende Tatsache und kein bedeutsamer Gesichtspunkt in meiner Darstellung verlorengegangen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Bis vor kurzem haben die meisten Autoren sich veranlaßt gesehen, Schlaf und Traum in dem nämlichen Zusammenhang abzuhandeln, in der Regel auch die Würdigung analoger Zustände, welche in die Psychopathologie reichen, und traumähnlicher Vorkommnisse (wie der Halluzinationen, Visionen usw.) anzuschließen. Dagegen zeigt sich in den jüngsten Arbeiten das Bestreben, das Thema eingeschränkt zu halten und etwa eine einzelne Frage aus dem Gebiet des Traumlebens zum Gegenstande zu nehmen. In dieser Veränderung möchte ich einen Ausdruck der Überzeugung sehen, daß in so dunkeln Dingen Aufklärung und Übereinstimmung nur durch eine Reihe von Detailuntersuchungen zu erzielen sein dürften. Nichts anderes als eine solche Detailuntersuchung, und zwar speziell psychologischer Natur, kann ich hier bieten. Ich hatte wenig Anlaß, mich mit dem Problem des Schlafs zu befassen, </w:t>
      </w:r>
      <w:r w:rsidRPr="00A06A59">
        <w:rPr>
          <w:rFonts w:ascii="Garamond" w:hAnsi="Garamond" w:cs="Arial"/>
          <w:color w:val="000000"/>
          <w:lang w:val="en-GB"/>
        </w:rPr>
        <w:lastRenderedPageBreak/>
        <w:t xml:space="preserve">denn dies ist ein wesentlich physiologisches Problem, wenngleich in der Charakteristik des Schlafzustands die Veränderung der Funktionsbedingungen für den seelischen Apparat mit enthalten sein muß. </w:t>
      </w:r>
      <w:r w:rsidRPr="00A06A59">
        <w:rPr>
          <w:rFonts w:ascii="Garamond" w:hAnsi="Garamond" w:cs="Arial"/>
          <w:color w:val="000000"/>
        </w:rPr>
        <w:t>Es bleibt also auch die Literatur des Schlafs hier außer Betracht.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Das wissenschaftliche Interesse an den Traumphänomenen an sich führt zu den folgenden, zum Teil ineinanderfließenden Fragestellungen: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A. Beziehung des Traumes zum Wachleben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naive Urteil des Erwachten nimmt an, daß der Traum – wenn er schon nicht aus einer anderen Welt stammt – doch den Schläfer in eine andere Welt entrückt hatte. Der alte Physiologe </w:t>
      </w:r>
      <w:r w:rsidRPr="00A06A59">
        <w:rPr>
          <w:rFonts w:ascii="Garamond" w:hAnsi="Garamond" w:cs="Arial"/>
          <w:i/>
          <w:iCs/>
          <w:color w:val="000000"/>
          <w:lang w:val="en-GB"/>
        </w:rPr>
        <w:t>Burdach</w:t>
      </w:r>
      <w:r w:rsidRPr="00A06A59">
        <w:rPr>
          <w:rFonts w:ascii="Garamond" w:hAnsi="Garamond" w:cs="Arial"/>
          <w:color w:val="000000"/>
          <w:lang w:val="en-GB"/>
        </w:rPr>
        <w:t xml:space="preserve">, dem wir eine sorgfältige und feinsinnige Beschreibung der Traumphänomene verdanken, hat dieser Überzeugung in einem viel bemerkten Satze Ausdruck gegeben (1838, 499): »... nie wiederholt sich das Leben des Tages mit seinen Anstrengungen und Genüssen, seinen Freuden und Schmerzen, vielmehr geht der Traum darauf aus, uns davon zu befreien. Selbst wenn unsere ganze Seele von einem Gegenstande erfüllt war, wenn tiefer Schmerz unser Inneres zerrissen oder eine Aufgabe unsere ganze Geisteskraft in Anspruch genommen hatte, gibt uns der Traum entweder etwas ganz Fremdartiges, oder er nimmt aus der Wirklichkeit nur einzelne Elemente zu seinen Kombinationen, oder er geht nur in die Tonart unserer Stimmung ein und symbolisiert die Wirklichkeit.« – </w:t>
      </w:r>
      <w:r w:rsidRPr="00A06A59">
        <w:rPr>
          <w:rFonts w:ascii="Garamond" w:hAnsi="Garamond" w:cs="Arial"/>
          <w:i/>
          <w:iCs/>
          <w:color w:val="000000"/>
          <w:lang w:val="en-GB"/>
        </w:rPr>
        <w:t>J. H. Fichte</w:t>
      </w:r>
      <w:r w:rsidRPr="00A06A59">
        <w:rPr>
          <w:rFonts w:ascii="Garamond" w:hAnsi="Garamond" w:cs="Arial"/>
          <w:color w:val="000000"/>
          <w:lang w:val="en-GB"/>
        </w:rPr>
        <w:t xml:space="preserve"> (I, 541) spricht im selben Sinne direkt von </w:t>
      </w:r>
      <w:r w:rsidRPr="00A06A59">
        <w:rPr>
          <w:rFonts w:ascii="Garamond" w:hAnsi="Garamond" w:cs="Arial"/>
          <w:i/>
          <w:iCs/>
          <w:color w:val="000000"/>
          <w:lang w:val="en-GB"/>
        </w:rPr>
        <w:t>Ergänzungsträumen</w:t>
      </w:r>
      <w:r w:rsidRPr="00A06A59">
        <w:rPr>
          <w:rFonts w:ascii="Garamond" w:hAnsi="Garamond" w:cs="Arial"/>
          <w:color w:val="000000"/>
          <w:lang w:val="en-GB"/>
        </w:rPr>
        <w:t xml:space="preserve"> und nennt diese eine von den geheimen Wohltaten selbstheilender Natur des Geistes. – In ähnlichem Sinne äußert sich noch L. </w:t>
      </w:r>
      <w:r w:rsidRPr="00A06A59">
        <w:rPr>
          <w:rFonts w:ascii="Garamond" w:hAnsi="Garamond" w:cs="Arial"/>
          <w:i/>
          <w:iCs/>
          <w:color w:val="000000"/>
          <w:lang w:val="en-GB"/>
        </w:rPr>
        <w:t>Strümpell</w:t>
      </w:r>
      <w:r w:rsidRPr="00A06A59">
        <w:rPr>
          <w:rFonts w:ascii="Garamond" w:hAnsi="Garamond" w:cs="Arial"/>
          <w:color w:val="000000"/>
          <w:lang w:val="en-GB"/>
        </w:rPr>
        <w:t xml:space="preserve"> in der mit Recht von allen Seiten hochgehaltenen Studie über die Natur und Entstehung der Träume (S. 16): »Wer träumt, ist der Welt des wachen Bewußtseins abgekehrt...« (S. 17): »Im Traume geht das Gedächtnis für den geordneten Inhalt des wachen Bewußtseins und dessen normales Verhalten so gut wie ganz verloren...« (S. 19): »Die fast erinnerungslose Abgeschiedenheit der Seele im Traum von dem regelmäßigen Inhalte und Verlaufe des wachen Lebens...«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überwiegende Mehrheit der Autoren hat aber für die Beziehung des Traumes zum Wachleben die entgegengesetzte Auffassung vertreten. So </w:t>
      </w:r>
      <w:r w:rsidRPr="00A06A59">
        <w:rPr>
          <w:rFonts w:ascii="Garamond" w:hAnsi="Garamond" w:cs="Arial"/>
          <w:i/>
          <w:iCs/>
          <w:color w:val="000000"/>
          <w:lang w:val="en-GB"/>
        </w:rPr>
        <w:t>Haffner</w:t>
      </w:r>
      <w:r w:rsidRPr="00A06A59">
        <w:rPr>
          <w:rFonts w:ascii="Garamond" w:hAnsi="Garamond" w:cs="Arial"/>
          <w:color w:val="000000"/>
          <w:lang w:val="en-GB"/>
        </w:rPr>
        <w:t xml:space="preserve"> (S. 19): »Zunächst setzt der Traum das Wachleben fort. Unsere Träume schließen sich stets an die kurz zuvor im Bewußtsein gewesenen Vorstellungen an. Eine genaue Beobachtung wird beinahe immer einen Faden finden, in welchem der Traum an die Erlebnisse des vorhergehenden Tages anknüpfte.« </w:t>
      </w:r>
      <w:r w:rsidRPr="00A06A59">
        <w:rPr>
          <w:rFonts w:ascii="Garamond" w:hAnsi="Garamond" w:cs="Arial"/>
          <w:i/>
          <w:iCs/>
          <w:color w:val="000000"/>
          <w:lang w:val="en-GB"/>
        </w:rPr>
        <w:t>Weygandt</w:t>
      </w:r>
      <w:r w:rsidRPr="00A06A59">
        <w:rPr>
          <w:rFonts w:ascii="Garamond" w:hAnsi="Garamond" w:cs="Arial"/>
          <w:color w:val="000000"/>
          <w:lang w:val="en-GB"/>
        </w:rPr>
        <w:t xml:space="preserve"> (S. 6) widerspricht direkt der oben zitierten Behauptung </w:t>
      </w:r>
      <w:r w:rsidRPr="00A06A59">
        <w:rPr>
          <w:rFonts w:ascii="Garamond" w:hAnsi="Garamond" w:cs="Arial"/>
          <w:i/>
          <w:iCs/>
          <w:color w:val="000000"/>
          <w:lang w:val="en-GB"/>
        </w:rPr>
        <w:t>Burdachs</w:t>
      </w:r>
      <w:r w:rsidRPr="00A06A59">
        <w:rPr>
          <w:rFonts w:ascii="Garamond" w:hAnsi="Garamond" w:cs="Arial"/>
          <w:color w:val="000000"/>
          <w:lang w:val="en-GB"/>
        </w:rPr>
        <w:t xml:space="preserve">, »denn es läßt sich oft, anscheinend in der überwiegenden Mehrzahl der Träume beobachten, daß dieselben uns gerade ins gewöhnliche Leben zurückführen, statt uns davon zu befreien«. </w:t>
      </w:r>
      <w:r w:rsidRPr="00A06A59">
        <w:rPr>
          <w:rFonts w:ascii="Garamond" w:hAnsi="Garamond" w:cs="Arial"/>
          <w:i/>
          <w:iCs/>
          <w:color w:val="000000"/>
          <w:lang w:val="en-GB"/>
        </w:rPr>
        <w:t>Maury</w:t>
      </w:r>
      <w:r w:rsidRPr="00A06A59">
        <w:rPr>
          <w:rFonts w:ascii="Garamond" w:hAnsi="Garamond" w:cs="Arial"/>
          <w:color w:val="000000"/>
          <w:lang w:val="en-GB"/>
        </w:rPr>
        <w:t xml:space="preserve"> (Le Sommeil et les rêves, p. 56) sagt in einer knappen Formel: » </w:t>
      </w:r>
      <w:r w:rsidRPr="00A06A59">
        <w:rPr>
          <w:rFonts w:ascii="Garamond" w:hAnsi="Garamond" w:cs="Arial"/>
          <w:i/>
          <w:iCs/>
          <w:color w:val="000000"/>
          <w:lang w:val="en-GB"/>
        </w:rPr>
        <w:t>nous rêvons de ce que nous avons vu, dit, desire ou fait</w:t>
      </w:r>
      <w:r w:rsidRPr="00A06A59">
        <w:rPr>
          <w:rFonts w:ascii="Garamond" w:hAnsi="Garamond" w:cs="Arial"/>
          <w:color w:val="000000"/>
          <w:lang w:val="en-GB"/>
        </w:rPr>
        <w:t xml:space="preserve">«; Jessen in seiner 1855 erschienenen </w:t>
      </w:r>
      <w:r w:rsidRPr="00A06A59">
        <w:rPr>
          <w:rFonts w:ascii="Garamond" w:hAnsi="Garamond" w:cs="Arial"/>
          <w:i/>
          <w:iCs/>
          <w:color w:val="000000"/>
          <w:lang w:val="en-GB"/>
        </w:rPr>
        <w:t>Psychologie</w:t>
      </w:r>
      <w:r w:rsidRPr="00A06A59">
        <w:rPr>
          <w:rFonts w:ascii="Garamond" w:hAnsi="Garamond" w:cs="Arial"/>
          <w:color w:val="000000"/>
          <w:lang w:val="en-GB"/>
        </w:rPr>
        <w:t xml:space="preserve"> (S. 530) etwas ausführlicher: »Mehr oder weniger wird der Inhalt der Träume stets bestimmt durch die individuelle Persönlichkeit, durch das Lebensalter, Geschlecht, Stand, Bildungsstufe, gewohnte Lebensweise und durch die Ereignisse und Erfahrungen des ganzen bisherigen Lebens.«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Am unzweideutigsten nimmt zu dieser Frage der Philosoph </w:t>
      </w:r>
      <w:r w:rsidRPr="00A06A59">
        <w:rPr>
          <w:rFonts w:ascii="Garamond" w:hAnsi="Garamond" w:cs="Arial"/>
          <w:i/>
          <w:iCs/>
          <w:color w:val="000000"/>
          <w:lang w:val="en-GB"/>
        </w:rPr>
        <w:t>J. G. E. Maaß</w:t>
      </w:r>
      <w:r w:rsidRPr="00A06A59">
        <w:rPr>
          <w:rFonts w:ascii="Garamond" w:hAnsi="Garamond" w:cs="Arial"/>
          <w:color w:val="000000"/>
          <w:lang w:val="en-GB"/>
        </w:rPr>
        <w:t xml:space="preserve"> (Über die Leidenschaften, 1805) Stellung: »Die Erfahrung bestätigt unsere Behauptung, daß wir am häufigsten von den Dingen träumen, auf welche unsere wärmsten Leidenschaften gerichtet sind. Hieraus sieht man, daß unsere Leidenschaften auf die Erzeugung unserer Träume Einfluß haben müssen. Der Ehrgeizige träumt von den (vielleicht nur in seiner Einbildung) errungenen oder noch zu erringenden Lorbeeren, indes der Verliebte sich in seinen Träumen mit dem Gegenstand seiner süßen Hoffnungen beschäftigt... Alle sinnlichen Begierden und Verabscheuungen, die im Herzen schlummern, können, wenn sie durch irgendeinen Grund angeregt werden, bewirken, daß aus den mit ihnen vergesellschafteten Vorstellungen ein Traum entsteht oder daß sich diese Vorstellungen in einen bereits vorhandenen Traum einmischen.« (Mitgeteilt von </w:t>
      </w:r>
      <w:r w:rsidRPr="00A06A59">
        <w:rPr>
          <w:rFonts w:ascii="Garamond" w:hAnsi="Garamond" w:cs="Arial"/>
          <w:i/>
          <w:iCs/>
          <w:color w:val="000000"/>
          <w:lang w:val="en-GB"/>
        </w:rPr>
        <w:t>Winterstein</w:t>
      </w:r>
      <w:r w:rsidRPr="00A06A59">
        <w:rPr>
          <w:rFonts w:ascii="Garamond" w:hAnsi="Garamond" w:cs="Arial"/>
          <w:color w:val="000000"/>
          <w:lang w:val="en-GB"/>
        </w:rPr>
        <w:t>, im »Zbl. Für Psychoanalyse«.)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Nicht anders dachten die Alten über die Abhängigkeit des Trauminhaltes vom Leben. Ich zitiere nach </w:t>
      </w:r>
      <w:r w:rsidRPr="00A06A59">
        <w:rPr>
          <w:rFonts w:ascii="Garamond" w:hAnsi="Garamond" w:cs="Arial"/>
          <w:i/>
          <w:iCs/>
          <w:color w:val="000000"/>
          <w:lang w:val="en-GB"/>
        </w:rPr>
        <w:t>Radestock</w:t>
      </w:r>
      <w:r w:rsidRPr="00A06A59">
        <w:rPr>
          <w:rFonts w:ascii="Garamond" w:hAnsi="Garamond" w:cs="Arial"/>
          <w:color w:val="000000"/>
          <w:lang w:val="en-GB"/>
        </w:rPr>
        <w:t xml:space="preserve"> (S. 139): Als Xerxes vor seinem Zuge gegen Griechenland von diesem seinem Entschluß durch guten Rat abgelenkt, durch Träume aber immer wieder dazu angefeuert wurde, sagte schon der alte rationelle Traumdeuter der Perser, Artabanos, treffend zu ihm, daß die Traumbilder meist das enthielten, was der Mensch schon im Wachen denke.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Im Lehrgedicht des </w:t>
      </w:r>
      <w:r w:rsidRPr="00A06A59">
        <w:rPr>
          <w:rFonts w:ascii="Garamond" w:hAnsi="Garamond" w:cs="Arial"/>
          <w:i/>
          <w:iCs/>
          <w:color w:val="000000"/>
        </w:rPr>
        <w:t>Lucretius</w:t>
      </w:r>
      <w:r w:rsidRPr="00A06A59">
        <w:rPr>
          <w:rFonts w:ascii="Garamond" w:hAnsi="Garamond" w:cs="Arial"/>
          <w:color w:val="000000"/>
        </w:rPr>
        <w:t>, De verum natura, findet sich (IV. p. 959) die Stelle:</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rPr>
      </w:pPr>
      <w:r w:rsidRPr="00A06A59">
        <w:rPr>
          <w:rFonts w:ascii="Garamond" w:hAnsi="Garamond" w:cs="Arial"/>
          <w:i/>
          <w:iCs/>
          <w:color w:val="000000"/>
          <w:sz w:val="22"/>
          <w:szCs w:val="22"/>
        </w:rPr>
        <w:t xml:space="preserve">»Et quo quisque fere studio devinetus adhaeret, </w:t>
      </w:r>
      <w:r w:rsidRPr="00A06A59">
        <w:rPr>
          <w:rFonts w:ascii="Garamond" w:hAnsi="Garamond" w:cs="Arial"/>
          <w:i/>
          <w:iCs/>
          <w:color w:val="000000"/>
          <w:sz w:val="22"/>
          <w:szCs w:val="22"/>
        </w:rPr>
        <w:br/>
        <w:t xml:space="preserve">aut quibus in rebus multum sumus ante morati </w:t>
      </w:r>
      <w:r w:rsidRPr="00A06A59">
        <w:rPr>
          <w:rFonts w:ascii="Garamond" w:hAnsi="Garamond" w:cs="Arial"/>
          <w:i/>
          <w:iCs/>
          <w:color w:val="000000"/>
          <w:sz w:val="22"/>
          <w:szCs w:val="22"/>
        </w:rPr>
        <w:br/>
        <w:t xml:space="preserve">atque in ea ratione fuit contenta magis mens, </w:t>
      </w:r>
      <w:r w:rsidRPr="00A06A59">
        <w:rPr>
          <w:rFonts w:ascii="Garamond" w:hAnsi="Garamond" w:cs="Arial"/>
          <w:i/>
          <w:iCs/>
          <w:color w:val="000000"/>
          <w:sz w:val="22"/>
          <w:szCs w:val="22"/>
        </w:rPr>
        <w:br/>
        <w:t xml:space="preserve">in somnis eadem plerumque videmur obire; </w:t>
      </w:r>
      <w:r w:rsidRPr="00A06A59">
        <w:rPr>
          <w:rFonts w:ascii="Garamond" w:hAnsi="Garamond" w:cs="Arial"/>
          <w:i/>
          <w:iCs/>
          <w:color w:val="000000"/>
          <w:sz w:val="22"/>
          <w:szCs w:val="22"/>
        </w:rPr>
        <w:br/>
        <w:t xml:space="preserve">causidici causas agere et componere leges, </w:t>
      </w:r>
      <w:r w:rsidRPr="00A06A59">
        <w:rPr>
          <w:rFonts w:ascii="Garamond" w:hAnsi="Garamond" w:cs="Arial"/>
          <w:i/>
          <w:iCs/>
          <w:color w:val="000000"/>
          <w:sz w:val="22"/>
          <w:szCs w:val="22"/>
        </w:rPr>
        <w:br/>
        <w:t>induperatores pugnare ac proelia obire, ... etc. etc.«</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lastRenderedPageBreak/>
        <w:t>Cicero</w:t>
      </w:r>
      <w:r w:rsidRPr="00A06A59">
        <w:rPr>
          <w:rFonts w:ascii="Garamond" w:hAnsi="Garamond" w:cs="Arial"/>
          <w:color w:val="000000"/>
        </w:rPr>
        <w:t xml:space="preserve"> (De divinatione II) sagt ganz ähnlich, wie so viel später </w:t>
      </w:r>
      <w:r w:rsidRPr="00A06A59">
        <w:rPr>
          <w:rFonts w:ascii="Garamond" w:hAnsi="Garamond" w:cs="Arial"/>
          <w:i/>
          <w:iCs/>
          <w:color w:val="000000"/>
        </w:rPr>
        <w:t>Maury</w:t>
      </w:r>
      <w:r w:rsidRPr="00A06A59">
        <w:rPr>
          <w:rFonts w:ascii="Garamond" w:hAnsi="Garamond" w:cs="Arial"/>
          <w:color w:val="000000"/>
        </w:rPr>
        <w:t xml:space="preserve">: » </w:t>
      </w:r>
      <w:r w:rsidRPr="00A06A59">
        <w:rPr>
          <w:rFonts w:ascii="Garamond" w:hAnsi="Garamond" w:cs="Arial"/>
          <w:i/>
          <w:iCs/>
          <w:color w:val="000000"/>
        </w:rPr>
        <w:t>Maximeque reliquiae earum rerum moventur in animis et agitantur, de quibus vigilantes aut cogitavimus aut egimus.</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Widerspruch dieser beiden Ansichten über die Beziehung von Traumleben und Wachleben scheint in der Tat unauflösbar. Es ist darum am Platze, der Darstellung von </w:t>
      </w:r>
      <w:r w:rsidRPr="00A06A59">
        <w:rPr>
          <w:rFonts w:ascii="Garamond" w:hAnsi="Garamond" w:cs="Arial"/>
          <w:i/>
          <w:iCs/>
          <w:color w:val="000000"/>
          <w:lang w:val="en-GB"/>
        </w:rPr>
        <w:t>F. W. Hildebrandt</w:t>
      </w:r>
      <w:r w:rsidRPr="00A06A59">
        <w:rPr>
          <w:rFonts w:ascii="Garamond" w:hAnsi="Garamond" w:cs="Arial"/>
          <w:color w:val="000000"/>
          <w:lang w:val="en-GB"/>
        </w:rPr>
        <w:t xml:space="preserve"> (1875) zu gedenken, welcher meint, die Eigentümlichkeiten des Traums ließen sich überhaupt nicht anders beschreiben als durch eine »Reihe von Gegensätzen, welche scheinbar bis zu Widersprüchen sich zuspitzen«. (S. 8) »Den </w:t>
      </w:r>
      <w:r w:rsidRPr="00A06A59">
        <w:rPr>
          <w:rFonts w:ascii="Garamond" w:hAnsi="Garamond" w:cs="Arial"/>
          <w:i/>
          <w:iCs/>
          <w:color w:val="000000"/>
          <w:lang w:val="en-GB"/>
        </w:rPr>
        <w:t>ersten</w:t>
      </w:r>
      <w:r w:rsidRPr="00A06A59">
        <w:rPr>
          <w:rFonts w:ascii="Garamond" w:hAnsi="Garamond" w:cs="Arial"/>
          <w:color w:val="000000"/>
          <w:lang w:val="en-GB"/>
        </w:rPr>
        <w:t xml:space="preserve"> dieser Gegensätze bilden einerseits die </w:t>
      </w:r>
      <w:r w:rsidRPr="00A06A59">
        <w:rPr>
          <w:rFonts w:ascii="Garamond" w:hAnsi="Garamond" w:cs="Arial"/>
          <w:i/>
          <w:iCs/>
          <w:color w:val="000000"/>
          <w:lang w:val="en-GB"/>
        </w:rPr>
        <w:t>strenge Abgeschiedenheit oder Abgeschlossenheit</w:t>
      </w:r>
      <w:r w:rsidRPr="00A06A59">
        <w:rPr>
          <w:rFonts w:ascii="Garamond" w:hAnsi="Garamond" w:cs="Arial"/>
          <w:color w:val="000000"/>
          <w:lang w:val="en-GB"/>
        </w:rPr>
        <w:t xml:space="preserve"> des Traumes von dem wirklichen und wahren Leben, und anderseits das stete </w:t>
      </w:r>
      <w:r w:rsidRPr="00A06A59">
        <w:rPr>
          <w:rFonts w:ascii="Garamond" w:hAnsi="Garamond" w:cs="Arial"/>
          <w:i/>
          <w:iCs/>
          <w:color w:val="000000"/>
          <w:lang w:val="en-GB"/>
        </w:rPr>
        <w:t>Hinübergreifen</w:t>
      </w:r>
      <w:r w:rsidRPr="00A06A59">
        <w:rPr>
          <w:rFonts w:ascii="Garamond" w:hAnsi="Garamond" w:cs="Arial"/>
          <w:color w:val="000000"/>
          <w:lang w:val="en-GB"/>
        </w:rPr>
        <w:t xml:space="preserve"> des einen in das andere, die stete Abhängigkeit des einen von dem andern. – Der Traum ist etwas von der wachend erlebten Wirklichkeit durchaus Gesondertes, man möchte sagen, ein in sich selbst hermetisch abgeschlossenes Dasein, von dem wirklichen Leben getrennt durch eine unübersteigliche Kluft. Er macht uns von der Wirklichkeit los, löscht die normale Erinnerung an dieselbe in uns aus und stellt uns in eine andere Welt und in eine ganz andere Lebensgeschichte, die im Grunde nichts mit der wirklichen zu schaffen hat...« </w:t>
      </w:r>
      <w:r w:rsidRPr="00A06A59">
        <w:rPr>
          <w:rFonts w:ascii="Garamond" w:hAnsi="Garamond" w:cs="Arial"/>
          <w:i/>
          <w:iCs/>
          <w:color w:val="000000"/>
          <w:lang w:val="en-GB"/>
        </w:rPr>
        <w:t>Hildebrandt</w:t>
      </w:r>
      <w:r w:rsidRPr="00A06A59">
        <w:rPr>
          <w:rFonts w:ascii="Garamond" w:hAnsi="Garamond" w:cs="Arial"/>
          <w:color w:val="000000"/>
          <w:lang w:val="en-GB"/>
        </w:rPr>
        <w:t xml:space="preserve"> führt dann aus, wie mit dem Einschlafen unser ganzes Sein mit seinen Existenzformen »wie hinter einer unsichtbaren Falltür« verschwindet. Man macht dann etwa im Traum eine Seereise nach St. Helena, um dem dort gefangenen Napoleon etwas Vorzügliches in Moselweinen anzubieten. Man wird von dem Exkaiser aufs liebenswürdigste empfangen und bedauert fast, die interessante Illusion durch das Erwachen gestört zu sehen. Nun aber vergleicht man die Traumsituation mit der Wirklichkeit. Man war nie Weinhändler und hat's auch nie werden wollen. Man hat nie eine Seereise gemacht und würde St. Helena am wenigsten zum Ziel einer solchen nehmen. Gegen Napoleon hegt man durchaus keine sympathische Gesinnung, sondern einen grimmigen patriotischen Haß. Und zu alledem war der Träumer überhaupt noch nicht unter den Lebenden, als Napoleon auf der Insel starb; eine persönliche Beziehung zu ihm zu knüpfen lag außerhalb des Bereiches der Möglichkeit. So erscheint das Traumerlebnis als etwas eingeschobenes Fremdes zwischen zwei vollkommen zueinander passenden und einander fortsetzenden Lebensabschnitten.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»Und dennoch«, setzt </w:t>
      </w:r>
      <w:r w:rsidRPr="00A06A59">
        <w:rPr>
          <w:rFonts w:ascii="Garamond" w:hAnsi="Garamond" w:cs="Arial"/>
          <w:i/>
          <w:iCs/>
          <w:color w:val="000000"/>
          <w:lang w:val="en-GB"/>
        </w:rPr>
        <w:t>Hildebrandt</w:t>
      </w:r>
      <w:r w:rsidRPr="00A06A59">
        <w:rPr>
          <w:rFonts w:ascii="Garamond" w:hAnsi="Garamond" w:cs="Arial"/>
          <w:color w:val="000000"/>
          <w:lang w:val="en-GB"/>
        </w:rPr>
        <w:t xml:space="preserve"> fort »ebenso wahr und richtig ist das scheinbare </w:t>
      </w:r>
      <w:r w:rsidRPr="00A06A59">
        <w:rPr>
          <w:rFonts w:ascii="Garamond" w:hAnsi="Garamond" w:cs="Arial"/>
          <w:i/>
          <w:iCs/>
          <w:color w:val="000000"/>
          <w:lang w:val="en-GB"/>
        </w:rPr>
        <w:t>Gegenteil</w:t>
      </w:r>
      <w:r w:rsidRPr="00A06A59">
        <w:rPr>
          <w:rFonts w:ascii="Garamond" w:hAnsi="Garamond" w:cs="Arial"/>
          <w:color w:val="000000"/>
          <w:lang w:val="en-GB"/>
        </w:rPr>
        <w:t>. Ich meine, mit dieser Abgeschlossenheit und Abgeschiedenheit geht doch die innigste Beziehung und Verbindung Hand in Hand. Wir dürfen geradezu sagen: Was der Traum auch irgend biete, er nimmt das Material dazu aus der Wirklichkeit und aus dem Geistesleben, welches an dieser Wirklichkeit sich abwickelt... Wie wunderlich er's damit treibe, er kann doch eigentlich niemals von der realen Welt los, und seine sublimsten wie possenhaftesten Gebilde müssen immer ihren Grundstoff entlehnen von dem, was entweder in der Sinnenwelt uns vor Augen getreten ist oder in unserem wachen Gedankengange irgendwie bereits Platz gefunden hat, mit anderen Worten, von dem, was wir äußerlich oder innerlich bereits erlebt haben.«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B. Das Traummaterial – Das Gedächtnis im 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Daß alles Material, das den Trauminhalt zusammensetzt, auf irgendeine Weise vom Erlebten abstammt, also im Traum reproduziert, </w:t>
      </w:r>
      <w:r w:rsidRPr="00A06A59">
        <w:rPr>
          <w:rFonts w:ascii="Garamond" w:hAnsi="Garamond" w:cs="Arial"/>
          <w:i/>
          <w:iCs/>
          <w:color w:val="000000"/>
          <w:lang w:val="en-GB"/>
        </w:rPr>
        <w:t>erinnert</w:t>
      </w:r>
      <w:r w:rsidRPr="00A06A59">
        <w:rPr>
          <w:rFonts w:ascii="Garamond" w:hAnsi="Garamond" w:cs="Arial"/>
          <w:color w:val="000000"/>
          <w:lang w:val="en-GB"/>
        </w:rPr>
        <w:t xml:space="preserve"> wird, dies wenigstens darf uns als unbestrittene Erkenntnis gelten. Doch wäre es ein Irrtum anzunehmen, daß ein solcher Zusammenhang des Trauminhaltes mit dem Wachleben sich mühelos als augenfälliges Ergebnis der angestellten Vergleichung ergeben muß. Derselbe muß vielmehr aufmerksam gesucht werden und weiß sich in einer ganzen Reihe von Fällen für lange Zeit zu verbergen. Der Grund hiefür liegt in einer Anzahl von Eigentümlichkeiten, welche die Erinnerungsfähigkeit im Traume zeigt und die, obwohl allgemein bemerkt, sich doch bisher jeder Erklärung entzogen haben. Es wird der Mühe lohnen, diese Charaktere eingehend zu würdigen.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kommt zunächst vor, daß im Trauminhalt ein Material auftritt, welches man dann im Wachen nicht als zu seinem Wissen und Erleben gehörig anerkennt. Man erinnert wohl, daß man das Betreffende geträumt, aber erinnert nicht, daß und wann man es erlebt hat. Man bleibt dann im unklaren darüber, aus welcher Quelle der Traum geschöpft hat, und ist wohl versucht, an eine selbständig produzierende Tätigkeit des Traumes zu glauben, bis oft nach langer Zeit ein neues Erlebnis die verloren gegebene Erinnerung an das frühere Erlebnis wiederbringt und damit die Traumquelle aufdeckt. Man muß dann zugestehen, daß man im Traum etwas gewußt und erinnert hatte, was der Erinnerungsfähigkeit im Wachen entzogen war </w:t>
      </w:r>
      <w:hyperlink r:id="rId1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i/>
            <w:iCs/>
            <w:lang w:val="en-GB"/>
          </w:rPr>
          <w:t>Vaschide</w:t>
        </w:r>
        <w:r w:rsidRPr="00A06A59">
          <w:rPr>
            <w:rStyle w:val="innerfusslink3"/>
            <w:rFonts w:ascii="Garamond" w:hAnsi="Garamond" w:cs="Arial"/>
            <w:b/>
            <w:bCs/>
            <w:lang w:val="en-GB"/>
          </w:rPr>
          <w:t xml:space="preserve"> behauptet auch, es sei oft bemerkt worden, daß man im Traume fremde Sprachen geläufiger und reiner spreche als im Wachen.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Ein besonders eindrucksvolles Beispiel dieser Art erzählt </w:t>
      </w:r>
      <w:r w:rsidRPr="00A06A59">
        <w:rPr>
          <w:rFonts w:ascii="Garamond" w:hAnsi="Garamond" w:cs="Arial"/>
          <w:i/>
          <w:iCs/>
          <w:color w:val="000000"/>
        </w:rPr>
        <w:t>Delboeuf</w:t>
      </w:r>
      <w:r w:rsidRPr="00A06A59">
        <w:rPr>
          <w:rFonts w:ascii="Garamond" w:hAnsi="Garamond" w:cs="Arial"/>
          <w:color w:val="000000"/>
        </w:rPr>
        <w:t xml:space="preserve"> aus seiner eigenen Traumerfahrung. Er sah im Traum den Hof seines Hauses mit Schnee bedeckt und fand zwei kleine Eidechsen halb erstarrt und unter dem Schnee begraben, die er als Tierfreund aufnahm, erwärmte und in die für sie bestimmte kleine Höhle im Gemäuer zurückbrachte. Außerdem steckte er ihnen einige Blätter von einem kleinen Farnkraut zu, das auf der Mauer wuchs und das sie, wie er wußte, sehr liebten. Im Traum kannte er den Namen der Pflanze: </w:t>
      </w:r>
      <w:r w:rsidRPr="00A06A59">
        <w:rPr>
          <w:rFonts w:ascii="Garamond" w:hAnsi="Garamond" w:cs="Arial"/>
          <w:i/>
          <w:iCs/>
          <w:color w:val="000000"/>
        </w:rPr>
        <w:t>Asplenium ruta muralis</w:t>
      </w:r>
      <w:r w:rsidRPr="00A06A59">
        <w:rPr>
          <w:rFonts w:ascii="Garamond" w:hAnsi="Garamond" w:cs="Arial"/>
          <w:color w:val="000000"/>
        </w:rPr>
        <w:t xml:space="preserve">. – Der </w:t>
      </w:r>
      <w:r w:rsidRPr="00A06A59">
        <w:rPr>
          <w:rFonts w:ascii="Garamond" w:hAnsi="Garamond" w:cs="Arial"/>
          <w:color w:val="000000"/>
        </w:rPr>
        <w:lastRenderedPageBreak/>
        <w:t xml:space="preserve">Traum ging dann weiter, kehrte nach einer Einschaltung zu den Eidechsen zurück und zeigte </w:t>
      </w:r>
      <w:r w:rsidRPr="00A06A59">
        <w:rPr>
          <w:rFonts w:ascii="Garamond" w:hAnsi="Garamond" w:cs="Arial"/>
          <w:i/>
          <w:iCs/>
          <w:color w:val="000000"/>
        </w:rPr>
        <w:t>Delboeuf</w:t>
      </w:r>
      <w:r w:rsidRPr="00A06A59">
        <w:rPr>
          <w:rFonts w:ascii="Garamond" w:hAnsi="Garamond" w:cs="Arial"/>
          <w:color w:val="000000"/>
        </w:rPr>
        <w:t xml:space="preserve"> zu seinem Erstaunen zwei neue Tierchen, die sich über die Reste des Farns hergemacht hatten. Dann wandte er den Blick aufs freie Feld, sah eine fünfte, eine sechste Eidechse den Weg zu dem Loch in der Mauer nehmen, und endlich war die ganze Straße bedeckt von einer Prozession von Eidechsen, die alle in derselben Richtung wanderten usw.</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Delboeufs</w:t>
      </w:r>
      <w:r w:rsidRPr="00A06A59">
        <w:rPr>
          <w:rFonts w:ascii="Garamond" w:hAnsi="Garamond" w:cs="Arial"/>
          <w:color w:val="000000"/>
          <w:lang w:val="en-GB"/>
        </w:rPr>
        <w:t xml:space="preserve"> Wissen umfaßte im Wachen nur wenige lateinische Pflanzennamen und schloß die Kenntnis eines </w:t>
      </w:r>
      <w:r w:rsidRPr="00A06A59">
        <w:rPr>
          <w:rFonts w:ascii="Garamond" w:hAnsi="Garamond" w:cs="Arial"/>
          <w:i/>
          <w:iCs/>
          <w:color w:val="000000"/>
          <w:lang w:val="en-GB"/>
        </w:rPr>
        <w:t>Asplenium</w:t>
      </w:r>
      <w:r w:rsidRPr="00A06A59">
        <w:rPr>
          <w:rFonts w:ascii="Garamond" w:hAnsi="Garamond" w:cs="Arial"/>
          <w:color w:val="000000"/>
          <w:lang w:val="en-GB"/>
        </w:rPr>
        <w:t xml:space="preserve"> nicht ein. Zu seinem großen Erstaunen mußte er sich überzeugen, daß ein Farn dieses Namens wirklich existiert. </w:t>
      </w:r>
      <w:r w:rsidRPr="00A06A59">
        <w:rPr>
          <w:rFonts w:ascii="Garamond" w:hAnsi="Garamond" w:cs="Arial"/>
          <w:i/>
          <w:iCs/>
          <w:color w:val="000000"/>
          <w:lang w:val="en-GB"/>
        </w:rPr>
        <w:t>Asplenium ruta muraria</w:t>
      </w:r>
      <w:r w:rsidRPr="00A06A59">
        <w:rPr>
          <w:rFonts w:ascii="Garamond" w:hAnsi="Garamond" w:cs="Arial"/>
          <w:color w:val="000000"/>
          <w:lang w:val="en-GB"/>
        </w:rPr>
        <w:t xml:space="preserve"> war seine richtige Bezeichnung, die der Traum ein wenig entstellt hatte. An ein zufälliges Zusammentreffen konnte man wohl nicht denken; es blieb aber für </w:t>
      </w:r>
      <w:r w:rsidRPr="00A06A59">
        <w:rPr>
          <w:rFonts w:ascii="Garamond" w:hAnsi="Garamond" w:cs="Arial"/>
          <w:i/>
          <w:iCs/>
          <w:color w:val="000000"/>
          <w:lang w:val="en-GB"/>
        </w:rPr>
        <w:t>Delboeuf</w:t>
      </w:r>
      <w:r w:rsidRPr="00A06A59">
        <w:rPr>
          <w:rFonts w:ascii="Garamond" w:hAnsi="Garamond" w:cs="Arial"/>
          <w:color w:val="000000"/>
          <w:lang w:val="en-GB"/>
        </w:rPr>
        <w:t xml:space="preserve"> rätselhaft, woher er im Traume die Kenntnis des Namens </w:t>
      </w:r>
      <w:r w:rsidRPr="00A06A59">
        <w:rPr>
          <w:rFonts w:ascii="Garamond" w:hAnsi="Garamond" w:cs="Arial"/>
          <w:i/>
          <w:iCs/>
          <w:color w:val="000000"/>
          <w:lang w:val="en-GB"/>
        </w:rPr>
        <w:t>Asplenium</w:t>
      </w:r>
      <w:r w:rsidRPr="00A06A59">
        <w:rPr>
          <w:rFonts w:ascii="Garamond" w:hAnsi="Garamond" w:cs="Arial"/>
          <w:color w:val="000000"/>
          <w:lang w:val="en-GB"/>
        </w:rPr>
        <w:t xml:space="preserve"> genommen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war im Jahre 1862 vorgefallen; sechzehn Jahre später erblickt der Philosoph bei einem seiner Freunde, den er besucht, ein kleines Album mit getrockneten Blumen, wie sie als Erinnerungsgaben in manchen Gegenden der Schweiz an die Fremden verkauft werden. Eine Erinnerung steigt in ihm auf, er öffnet das Herbarium, findet in demselben das </w:t>
      </w:r>
      <w:r w:rsidRPr="00A06A59">
        <w:rPr>
          <w:rFonts w:ascii="Garamond" w:hAnsi="Garamond" w:cs="Arial"/>
          <w:i/>
          <w:iCs/>
          <w:color w:val="000000"/>
          <w:lang w:val="en-GB"/>
        </w:rPr>
        <w:t>Asplenium</w:t>
      </w:r>
      <w:r w:rsidRPr="00A06A59">
        <w:rPr>
          <w:rFonts w:ascii="Garamond" w:hAnsi="Garamond" w:cs="Arial"/>
          <w:color w:val="000000"/>
          <w:lang w:val="en-GB"/>
        </w:rPr>
        <w:t xml:space="preserve"> seines Traumes und erkennt seine eigene Handschrift in dem beigefügten lateinischen Namen. Nun ließ sich der Zusammenhang herstellen. Eine Schwester dieses Freundes hatte im Jahre 1860 – zwei Jahre vor dem Eidechsentraum – auf der Hochzeitsreise </w:t>
      </w:r>
      <w:r w:rsidRPr="00A06A59">
        <w:rPr>
          <w:rFonts w:ascii="Garamond" w:hAnsi="Garamond" w:cs="Arial"/>
          <w:i/>
          <w:iCs/>
          <w:color w:val="000000"/>
          <w:lang w:val="en-GB"/>
        </w:rPr>
        <w:t>Delboeuf</w:t>
      </w:r>
      <w:r w:rsidRPr="00A06A59">
        <w:rPr>
          <w:rFonts w:ascii="Garamond" w:hAnsi="Garamond" w:cs="Arial"/>
          <w:color w:val="000000"/>
          <w:lang w:val="en-GB"/>
        </w:rPr>
        <w:t xml:space="preserve"> besucht. Sie hatte damals dieses für ihren Bruder bestimmte Album bei sich, und </w:t>
      </w:r>
      <w:r w:rsidRPr="00A06A59">
        <w:rPr>
          <w:rFonts w:ascii="Garamond" w:hAnsi="Garamond" w:cs="Arial"/>
          <w:i/>
          <w:iCs/>
          <w:color w:val="000000"/>
          <w:lang w:val="en-GB"/>
        </w:rPr>
        <w:t>Delboeuf</w:t>
      </w:r>
      <w:r w:rsidRPr="00A06A59">
        <w:rPr>
          <w:rFonts w:ascii="Garamond" w:hAnsi="Garamond" w:cs="Arial"/>
          <w:color w:val="000000"/>
          <w:lang w:val="en-GB"/>
        </w:rPr>
        <w:t xml:space="preserve"> unterzog sich der Mühe, unter dem Diktat eines Botanikers zu jedem der getrockneten Pflänzchen den lateinischen Namen hinzuzuschreiben.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Gunst des Zufalls, welche dieses Beispiel so sehr mitteilenswert macht, gestattete </w:t>
      </w:r>
      <w:r w:rsidRPr="00A06A59">
        <w:rPr>
          <w:rFonts w:ascii="Garamond" w:hAnsi="Garamond" w:cs="Arial"/>
          <w:i/>
          <w:iCs/>
          <w:color w:val="000000"/>
          <w:lang w:val="en-GB"/>
        </w:rPr>
        <w:t>Delboeuf</w:t>
      </w:r>
      <w:r w:rsidRPr="00A06A59">
        <w:rPr>
          <w:rFonts w:ascii="Garamond" w:hAnsi="Garamond" w:cs="Arial"/>
          <w:color w:val="000000"/>
          <w:lang w:val="en-GB"/>
        </w:rPr>
        <w:t xml:space="preserve">, noch ein anderes Stück aus dem Inhalt dieses Traums auf seine vergessene Quelle zurückzuführen. Eines Tages im Jahre 1877 fiel ihm ein alter Band einer illustrierten Zeitschrift in die Hände, in welcher er den ganzen Eidechsenzug abgebildet sah, wie er ihn 1862 geträumt hatte. Der Band trug die Jahreszahl 1861, und </w:t>
      </w:r>
      <w:r w:rsidRPr="00A06A59">
        <w:rPr>
          <w:rFonts w:ascii="Garamond" w:hAnsi="Garamond" w:cs="Arial"/>
          <w:i/>
          <w:iCs/>
          <w:color w:val="000000"/>
          <w:lang w:val="en-GB"/>
        </w:rPr>
        <w:t>Delboeuf</w:t>
      </w:r>
      <w:r w:rsidRPr="00A06A59">
        <w:rPr>
          <w:rFonts w:ascii="Garamond" w:hAnsi="Garamond" w:cs="Arial"/>
          <w:color w:val="000000"/>
          <w:lang w:val="en-GB"/>
        </w:rPr>
        <w:t xml:space="preserve"> wußte sich zu erinnern, daß er von dem Erscheinen der Zeitschrift an zu ihren Abonnenten gehört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Daß der Traum über Erinnerungen verfügt, welche dem Wachen unzugänglich sind, ist eine so merkwürdige und theoretisch bedeutsame Tatsache, daß ich durch Mitteilung noch anderer »hypermnestischer« Träume die Aufmerksamkeit für sie verstärken möchte. </w:t>
      </w:r>
      <w:r w:rsidRPr="00A06A59">
        <w:rPr>
          <w:rFonts w:ascii="Garamond" w:hAnsi="Garamond" w:cs="Arial"/>
          <w:i/>
          <w:iCs/>
          <w:color w:val="000000"/>
          <w:lang w:val="en-GB"/>
        </w:rPr>
        <w:t>Maury</w:t>
      </w:r>
      <w:r w:rsidRPr="00A06A59">
        <w:rPr>
          <w:rFonts w:ascii="Garamond" w:hAnsi="Garamond" w:cs="Arial"/>
          <w:color w:val="000000"/>
          <w:lang w:val="en-GB"/>
        </w:rPr>
        <w:t xml:space="preserve"> erzählt, daß ihm eine Zeitlang das Wort </w:t>
      </w:r>
      <w:r w:rsidRPr="00A06A59">
        <w:rPr>
          <w:rFonts w:ascii="Garamond" w:hAnsi="Garamond" w:cs="Arial"/>
          <w:i/>
          <w:iCs/>
          <w:color w:val="000000"/>
          <w:lang w:val="en-GB"/>
        </w:rPr>
        <w:t>Mussidan</w:t>
      </w:r>
      <w:r w:rsidRPr="00A06A59">
        <w:rPr>
          <w:rFonts w:ascii="Garamond" w:hAnsi="Garamond" w:cs="Arial"/>
          <w:color w:val="000000"/>
          <w:lang w:val="en-GB"/>
        </w:rPr>
        <w:t xml:space="preserve"> bei Tag in den Sinn zu kommen pflegte. Er wußte, daß es der Name einer französischen Stadt sei, aber weiter nichts. Eines Nachts träumte ihm von einer Unterhaltung mit einer gewissen Person, die ihm sagte, sie käme aus </w:t>
      </w:r>
      <w:r w:rsidRPr="00A06A59">
        <w:rPr>
          <w:rFonts w:ascii="Garamond" w:hAnsi="Garamond" w:cs="Arial"/>
          <w:i/>
          <w:iCs/>
          <w:color w:val="000000"/>
          <w:lang w:val="en-GB"/>
        </w:rPr>
        <w:t>Mussidan</w:t>
      </w:r>
      <w:r w:rsidRPr="00A06A59">
        <w:rPr>
          <w:rFonts w:ascii="Garamond" w:hAnsi="Garamond" w:cs="Arial"/>
          <w:color w:val="000000"/>
          <w:lang w:val="en-GB"/>
        </w:rPr>
        <w:t xml:space="preserve">, und auf seine Frage, wo die Stadt liege, zur Antwort gab: </w:t>
      </w:r>
      <w:r w:rsidRPr="00A06A59">
        <w:rPr>
          <w:rFonts w:ascii="Garamond" w:hAnsi="Garamond" w:cs="Arial"/>
          <w:i/>
          <w:iCs/>
          <w:color w:val="000000"/>
          <w:lang w:val="en-GB"/>
        </w:rPr>
        <w:t>Mussidan</w:t>
      </w:r>
      <w:r w:rsidRPr="00A06A59">
        <w:rPr>
          <w:rFonts w:ascii="Garamond" w:hAnsi="Garamond" w:cs="Arial"/>
          <w:color w:val="000000"/>
          <w:lang w:val="en-GB"/>
        </w:rPr>
        <w:t xml:space="preserve"> sei eine Kreisstadt im </w:t>
      </w:r>
      <w:r w:rsidRPr="00A06A59">
        <w:rPr>
          <w:rFonts w:ascii="Garamond" w:hAnsi="Garamond" w:cs="Arial"/>
          <w:i/>
          <w:iCs/>
          <w:color w:val="000000"/>
          <w:lang w:val="en-GB"/>
        </w:rPr>
        <w:t>Département de la Dordogne</w:t>
      </w:r>
      <w:r w:rsidRPr="00A06A59">
        <w:rPr>
          <w:rFonts w:ascii="Garamond" w:hAnsi="Garamond" w:cs="Arial"/>
          <w:color w:val="000000"/>
          <w:lang w:val="en-GB"/>
        </w:rPr>
        <w:t xml:space="preserve">. Erwacht, schenkte </w:t>
      </w:r>
      <w:r w:rsidRPr="00A06A59">
        <w:rPr>
          <w:rFonts w:ascii="Garamond" w:hAnsi="Garamond" w:cs="Arial"/>
          <w:i/>
          <w:iCs/>
          <w:color w:val="000000"/>
          <w:lang w:val="en-GB"/>
        </w:rPr>
        <w:t>Maury</w:t>
      </w:r>
      <w:r w:rsidRPr="00A06A59">
        <w:rPr>
          <w:rFonts w:ascii="Garamond" w:hAnsi="Garamond" w:cs="Arial"/>
          <w:color w:val="000000"/>
          <w:lang w:val="en-GB"/>
        </w:rPr>
        <w:t xml:space="preserve"> der im Traume erhaltenen Auskunft keinen Glauben; das geographische Lexikon belehrte ihn aber, daß sie vollkommen richtig war. In diesem Falle ist das Mehrwissen des Traumes bestätigt, die vergessene Quelle dieses Wissens aber nicht aufgespürt worden.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Jessen</w:t>
      </w:r>
      <w:r w:rsidRPr="00A06A59">
        <w:rPr>
          <w:rFonts w:ascii="Garamond" w:hAnsi="Garamond" w:cs="Arial"/>
          <w:color w:val="000000"/>
          <w:lang w:val="en-GB"/>
        </w:rPr>
        <w:t xml:space="preserve"> erzählt (S. 55) ein ganz ähnliches Traumvorkommnis aus älteren Zeiten: »Dahin gehört u. a. der Traum des älteren </w:t>
      </w:r>
      <w:r w:rsidRPr="00A06A59">
        <w:rPr>
          <w:rFonts w:ascii="Garamond" w:hAnsi="Garamond" w:cs="Arial"/>
          <w:i/>
          <w:iCs/>
          <w:color w:val="000000"/>
          <w:lang w:val="en-GB"/>
        </w:rPr>
        <w:t>Scaliger</w:t>
      </w:r>
      <w:r w:rsidRPr="00A06A59">
        <w:rPr>
          <w:rFonts w:ascii="Garamond" w:hAnsi="Garamond" w:cs="Arial"/>
          <w:color w:val="000000"/>
          <w:lang w:val="en-GB"/>
        </w:rPr>
        <w:t xml:space="preserve"> ( </w:t>
      </w:r>
      <w:r w:rsidRPr="00A06A59">
        <w:rPr>
          <w:rFonts w:ascii="Garamond" w:hAnsi="Garamond" w:cs="Arial"/>
          <w:i/>
          <w:iCs/>
          <w:color w:val="000000"/>
          <w:lang w:val="en-GB"/>
        </w:rPr>
        <w:t>Hennings</w:t>
      </w:r>
      <w:r w:rsidRPr="00A06A59">
        <w:rPr>
          <w:rFonts w:ascii="Garamond" w:hAnsi="Garamond" w:cs="Arial"/>
          <w:color w:val="000000"/>
          <w:lang w:val="en-GB"/>
        </w:rPr>
        <w:t xml:space="preserve">, I. c. S. 300), welcher ein Gedicht zum Lobe der berühmten Männer in Verona schrieb und dem ein Mann, welcher sich </w:t>
      </w:r>
      <w:r w:rsidRPr="00A06A59">
        <w:rPr>
          <w:rFonts w:ascii="Garamond" w:hAnsi="Garamond" w:cs="Arial"/>
          <w:i/>
          <w:iCs/>
          <w:color w:val="000000"/>
          <w:lang w:val="en-GB"/>
        </w:rPr>
        <w:t>Brugnolus</w:t>
      </w:r>
      <w:r w:rsidRPr="00A06A59">
        <w:rPr>
          <w:rFonts w:ascii="Garamond" w:hAnsi="Garamond" w:cs="Arial"/>
          <w:color w:val="000000"/>
          <w:lang w:val="en-GB"/>
        </w:rPr>
        <w:t xml:space="preserve"> nannte, im Traume erschien und sich beklagte, daß er vergessen sei. Obgleich </w:t>
      </w:r>
      <w:r w:rsidRPr="00A06A59">
        <w:rPr>
          <w:rFonts w:ascii="Garamond" w:hAnsi="Garamond" w:cs="Arial"/>
          <w:i/>
          <w:iCs/>
          <w:color w:val="000000"/>
          <w:lang w:val="en-GB"/>
        </w:rPr>
        <w:t>Scaliger</w:t>
      </w:r>
      <w:r w:rsidRPr="00A06A59">
        <w:rPr>
          <w:rFonts w:ascii="Garamond" w:hAnsi="Garamond" w:cs="Arial"/>
          <w:color w:val="000000"/>
          <w:lang w:val="en-GB"/>
        </w:rPr>
        <w:t xml:space="preserve"> sich nicht erinnerte, je etwas von ihm gehört zu haben, so machte er doch Verse auf ihn, und sein Sohn erfuhr nachher in Verona, daß ehemals ein solcher </w:t>
      </w:r>
      <w:r w:rsidRPr="00A06A59">
        <w:rPr>
          <w:rFonts w:ascii="Garamond" w:hAnsi="Garamond" w:cs="Arial"/>
          <w:i/>
          <w:iCs/>
          <w:color w:val="000000"/>
          <w:lang w:val="en-GB"/>
        </w:rPr>
        <w:t>Brugnolus</w:t>
      </w:r>
      <w:r w:rsidRPr="00A06A59">
        <w:rPr>
          <w:rFonts w:ascii="Garamond" w:hAnsi="Garamond" w:cs="Arial"/>
          <w:color w:val="000000"/>
          <w:lang w:val="en-GB"/>
        </w:rPr>
        <w:t xml:space="preserve"> als Kritiker daselbst berühmt gewesen sei.«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Einen hypermnestischen Traum, welcher sich durch die besondere Eigentümlichkeit auszeichnet, daß sich in einem darauffolgenden Traum die Agnoszierung der zuerst nicht erkannten Erinnerung vollzieht, erzählt der </w:t>
      </w:r>
      <w:r w:rsidRPr="00A06A59">
        <w:rPr>
          <w:rFonts w:ascii="Garamond" w:hAnsi="Garamond" w:cs="Arial"/>
          <w:i/>
          <w:iCs/>
          <w:color w:val="000000"/>
          <w:lang w:val="en-GB"/>
        </w:rPr>
        <w:t>Marquis d'Hervey de St. Denis</w:t>
      </w:r>
      <w:r w:rsidRPr="00A06A59">
        <w:rPr>
          <w:rFonts w:ascii="Garamond" w:hAnsi="Garamond" w:cs="Arial"/>
          <w:color w:val="000000"/>
          <w:lang w:val="en-GB"/>
        </w:rPr>
        <w:t xml:space="preserve"> (nach </w:t>
      </w:r>
      <w:r w:rsidRPr="00A06A59">
        <w:rPr>
          <w:rFonts w:ascii="Garamond" w:hAnsi="Garamond" w:cs="Arial"/>
          <w:i/>
          <w:iCs/>
          <w:color w:val="000000"/>
          <w:lang w:val="en-GB"/>
        </w:rPr>
        <w:t>Vaschide</w:t>
      </w:r>
      <w:r w:rsidRPr="00A06A59">
        <w:rPr>
          <w:rFonts w:ascii="Garamond" w:hAnsi="Garamond" w:cs="Arial"/>
          <w:color w:val="000000"/>
          <w:lang w:val="en-GB"/>
        </w:rPr>
        <w:t>, p. 232): »Ich träumte einmal von einer jungen Frau mit goldblondem Haar, die ich mit meiner Schwester plaudern sah, während sie ihr eine Stickereiarbeit zeigte. Im Traume kam sie mir sehr bekannt vor, ich meinte sogar, sie zu wiederholten Malen gesehen zu haben. Nach dem Erwachen habe ich dieses Gesicht noch lebhaft vor mir, kann es aber absolut nicht erkennen. Ich schlafe nun wieder ein, das Traumbild wiederholt sich. In diesem neuen Traume spreche ich nun die blonde Dame an und frage sie, ob ich nicht schon das Vergnügen gehabt, sie irgendwo zu treffen. ›Gewiß‹, antwortet die Dame, ›erinnern Sie sich nur an das Seebad von Pornic.‹ Sofort wachte ich wieder auf und weiß mich nun mit aller Sicherheit an die Einzelheiten zu besinnen, mit denen dieses anmutige Traumgesicht verknüpft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Derselbe Autor (bei </w:t>
      </w:r>
      <w:r w:rsidRPr="00A06A59">
        <w:rPr>
          <w:rFonts w:ascii="Garamond" w:hAnsi="Garamond" w:cs="Arial"/>
          <w:i/>
          <w:iCs/>
          <w:color w:val="000000"/>
          <w:lang w:val="en-GB"/>
        </w:rPr>
        <w:t>Vaschide</w:t>
      </w:r>
      <w:r w:rsidRPr="00A06A59">
        <w:rPr>
          <w:rFonts w:ascii="Garamond" w:hAnsi="Garamond" w:cs="Arial"/>
          <w:color w:val="000000"/>
          <w:lang w:val="en-GB"/>
        </w:rPr>
        <w:t>, p. 233) berichtet: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ihm bekannter Musiker hörte einmal im Traum eine Melodie, die ihm völlig neu erschien. Erst mehrere Jahre später fand er dieselbe in einer alten Sammlung von Musikstücken aufgezeichnet, die vorher in der Hand gehabt zu haben er sich noch immer nicht erinnert.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 einer mir leider nicht zugänglichen Stelle (Proceedings of the Society for Psychical Research) soll </w:t>
      </w:r>
      <w:r w:rsidRPr="00A06A59">
        <w:rPr>
          <w:rFonts w:ascii="Garamond" w:hAnsi="Garamond" w:cs="Arial"/>
          <w:i/>
          <w:iCs/>
          <w:color w:val="000000"/>
          <w:lang w:val="en-GB"/>
        </w:rPr>
        <w:t>Myers</w:t>
      </w:r>
      <w:r w:rsidRPr="00A06A59">
        <w:rPr>
          <w:rFonts w:ascii="Garamond" w:hAnsi="Garamond" w:cs="Arial"/>
          <w:color w:val="000000"/>
          <w:lang w:val="en-GB"/>
        </w:rPr>
        <w:t xml:space="preserve"> eine ganze Sammlung solcher hypermnestischer Träume veröffentlicht haben. Ich meine, jeder, der sich mit Träumen </w:t>
      </w:r>
      <w:r w:rsidRPr="00A06A59">
        <w:rPr>
          <w:rFonts w:ascii="Garamond" w:hAnsi="Garamond" w:cs="Arial"/>
          <w:color w:val="000000"/>
          <w:lang w:val="en-GB"/>
        </w:rPr>
        <w:lastRenderedPageBreak/>
        <w:t>beschäftigt, wird es als ein sehr gewöhnliches Phänomen anerkennen müssen, daß der Traum Zeugnis für Kenntnisse und Erinnerungen ablegt, welche der Wachende nicht zu besitzen vermeint. In den psychoanalytischen Arbeiten mit Nervösen, von denen ich später berichten werde, komme ich jede Woche mehrmals in die Lage, den Patienten aus ihren Träumen zu beweisen, daß sie Zitate, obszöne Worte u. dgl. eigentlich sehr gut kennen und daß sie sich ihrer im Traume bedienen, obwohl sie sie im wachen Leben vergessen haben. Einen harmlosen Fall von Traumhypermnesie will ich hier noch mitteilen, weil sich bei ihm die Quelle, aus welcher die nur dem Traum zugängliche Kenntnis stammte, sehr leicht auffinden ließ.</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Patient träumte in einem längeren Zusammenhange, daß er sich in einem Kaffeehaus eine » </w:t>
      </w:r>
      <w:r w:rsidRPr="00A06A59">
        <w:rPr>
          <w:rFonts w:ascii="Garamond" w:hAnsi="Garamond" w:cs="Arial"/>
          <w:i/>
          <w:iCs/>
          <w:color w:val="000000"/>
          <w:lang w:val="en-GB"/>
        </w:rPr>
        <w:t>Kontuszówka</w:t>
      </w:r>
      <w:r w:rsidRPr="00A06A59">
        <w:rPr>
          <w:rFonts w:ascii="Garamond" w:hAnsi="Garamond" w:cs="Arial"/>
          <w:color w:val="000000"/>
          <w:lang w:val="en-GB"/>
        </w:rPr>
        <w:t xml:space="preserve">« geben lasse, fragte aber nach der Erzählung, was das wohl sei; er habe den Namen nie gehört. Ich konnte antworten, </w:t>
      </w:r>
      <w:r w:rsidRPr="00A06A59">
        <w:rPr>
          <w:rFonts w:ascii="Garamond" w:hAnsi="Garamond" w:cs="Arial"/>
          <w:i/>
          <w:iCs/>
          <w:color w:val="000000"/>
          <w:lang w:val="en-GB"/>
        </w:rPr>
        <w:t>Kontuszówka</w:t>
      </w:r>
      <w:r w:rsidRPr="00A06A59">
        <w:rPr>
          <w:rFonts w:ascii="Garamond" w:hAnsi="Garamond" w:cs="Arial"/>
          <w:color w:val="000000"/>
          <w:lang w:val="en-GB"/>
        </w:rPr>
        <w:t xml:space="preserve"> sei ein polnischer Schnaps, den er im Traume nicht erfunden haben könne, da mir der Name von Plakaten her schon lange bekannt sei. Der Mann wollte mir zuerst keinen Glauben schenken. Einige Tage später, nachdem er seinen Traum im Kaffeehaus hatte zur Wirklichkeit werden lassen, bemerkte er den Namen auf einem Plakate, und zwar an einer Straßenecke, welche er seit Monaten wenigstens zweimal im Tage hatte passieren müssen.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habe selbst an eigenen Träumen erfahren, wie sehr man mit der Aufdeckung der Herkunft einzelner Traumelemente vom Zufalle abhängig bleibt. So verfolgte mich durch Jahre vor der Abfassung dieses Buches das Bild eines sehr einfach gestalteten Kirchturmes, den gesehen zu haben ich mich nicht erinnern konnte. Ich erkannte ihn dann plötzlich, und zwar mit voller Sicherheit, auf einer kleinen Station zwischen Salzburg und Reichenhall. Es war in der zweiten Hälfte der neunziger Jahre, und ich hatte die Strecke im Jahre 1886 zum erstenmal befahren. In späteren Jahren, als ich mich bereits intensiv mit dem Studium der Träume beschäftigte, wurde das häufig wiederkehrende Traumbild einer gewissen merkwürdigen Lokalität mir geradezu lästig. Ich sah in bestimmter örtlicher Beziehung zu meiner Person, zu meiner Linken, einen dunklen Raum, aus dem mehrere groteske Sandsteinfiguren hervorleuchteten. Ein Schimmer von Erinnerung, dem ich nicht recht glauben wollte, sagte mir, es sei ein Eingang in einen Bierkeller; es gelang mir aber weder aufzuklären, was dieses Traumbild bedeuten wolle, noch woher es stamme. Im Jahre 1907 kam ich zufällig nach Padua, das ich zu meinem Bedauern seit 1895 nicht wieder hatte besuchen können. Mein erster Besuch in der schönen Universitätsstadt war unbefriedigend geblieben, ich hatte die Fresken </w:t>
      </w:r>
      <w:r w:rsidRPr="00A06A59">
        <w:rPr>
          <w:rFonts w:ascii="Garamond" w:hAnsi="Garamond" w:cs="Arial"/>
          <w:i/>
          <w:iCs/>
          <w:color w:val="000000"/>
          <w:lang w:val="en-GB"/>
        </w:rPr>
        <w:t>Giottos in der Madonna dell'Arena</w:t>
      </w:r>
      <w:r w:rsidRPr="00A06A59">
        <w:rPr>
          <w:rFonts w:ascii="Garamond" w:hAnsi="Garamond" w:cs="Arial"/>
          <w:color w:val="000000"/>
          <w:lang w:val="en-GB"/>
        </w:rPr>
        <w:t xml:space="preserve"> nicht besichtigen können und machte mitten auf der dahin führenden Straße kehrt, als man mir mitteilte, das Kirchlein sei an diesem Tage gesperrt. Bei meinem zweiten Besuche, zwölf Jahre später, gedachte ich mich zu entschädigen und suchte vor allem den Weg zur Madonna dell'Arena auf. An der zu ihr führenden Straße, linker Hand von meiner Wegrichtung, wahrscheinlich an der Stelle, wo ich 1895 umgekehrt war, entdeckte ich die Lokalität, die ich so oft im Traume gesehen hatte, mit den in ihr enthaltenen Sandsteinfiguren. Es war in der Tat der Eingang in einen Restaurationsgarten.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der Quellen, aus welcher der Traum Material zur Reproduktion bezieht, zum Teil solches, das in der Denktätigkeit des Wachens nicht erinnert und nicht verwendet wird, ist das Kindheitsleben. Ich werde nur einige der Autoren anführen, die dies bemerkt und betont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Hildebrandt</w:t>
      </w:r>
      <w:r w:rsidRPr="00A06A59">
        <w:rPr>
          <w:rFonts w:ascii="Garamond" w:hAnsi="Garamond" w:cs="Arial"/>
          <w:color w:val="000000"/>
          <w:lang w:val="en-GB"/>
        </w:rPr>
        <w:t xml:space="preserve"> (S. 23): »Ausdrücklich ist schon zugegeben worden, daß der Traum bisweilen mit wunderbarer Reproduktionskraft uns ganz abgelegene und selbst vergessene Vorgänge aus fernster Zeit treu vor die Seele zurückführt.«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Strümpell</w:t>
      </w:r>
      <w:r w:rsidRPr="00A06A59">
        <w:rPr>
          <w:rFonts w:ascii="Garamond" w:hAnsi="Garamond" w:cs="Arial"/>
          <w:color w:val="000000"/>
          <w:lang w:val="en-GB"/>
        </w:rPr>
        <w:t xml:space="preserve"> (S. 40): »Die Sache steigert sich noch mehr, wenn man bemerkt, wie der Traum mitunter gleichsam aus den tiefsten und massenhaftesten Verschüttungen, welche die spätere Zeit auf die frühesten Jugenderlebnisse gelagert hat, die Bilder einzelner Lokalitäten, Dinge, Personen ganz unversehrt und mit ursprünglicher Frische wieder hervorzieht. Dies beschränkt sich nicht bloß auf solche Eindrücke, die bei ihrer Entstehung ein lebhaftes Bewußtsein gewonnen oder sich mit starken psychischen Werten verbunden haben und nun später im Traum als eigentliche Erinnerungen wiederkehren, an denen das erwachte Bewußtsein sich erfreut. Die Tiefe des Traumgedächtnisses umfaßt vielmehr auch solche Bilder von Personen, Dingen, Lokalitäten und Erlebnissen der frühesten Zeit, die entweder nur ein geringes Bewußtsein oder keinen psychischen Wert besaßen oder längst das eine wie das andere verloren hatten und deshalb auch sowohl im Traum wie nach dem Erwachen als gänzlich fremd und unbekannt erscheinen, bis ihr früher Ursprung entdeckt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Volkelt</w:t>
      </w:r>
      <w:r w:rsidRPr="00A06A59">
        <w:rPr>
          <w:rFonts w:ascii="Garamond" w:hAnsi="Garamond" w:cs="Arial"/>
          <w:color w:val="000000"/>
          <w:lang w:val="en-GB"/>
        </w:rPr>
        <w:t xml:space="preserve"> (S. 119): »Besonders bemerkenswert ist es, wie gern Kindheits- und Jugenderinnerungen in den Traum eingehen. Woran wir längst nicht mehr denken, was längst für uns alle Wichtigkeit verloren: der Traum mahnt uns daran unermüdlich.«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Herrschaft des Traumes über das Kindheitsmaterial, welches bekanntlich zum größten Teil in die Lücken der bewußten Erinnerungsfähigkeit fällt, gibt Anlaß zur Entstehung von interessanten hypermnestischen Träumen, von denen ich wiederum einige Beispiele mitteilen will.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lastRenderedPageBreak/>
        <w:t>Maury</w:t>
      </w:r>
      <w:r w:rsidRPr="00A06A59">
        <w:rPr>
          <w:rFonts w:ascii="Garamond" w:hAnsi="Garamond" w:cs="Arial"/>
          <w:color w:val="000000"/>
          <w:lang w:val="en-GB"/>
        </w:rPr>
        <w:t xml:space="preserve"> erzählt (Le sommeil, p. 92), daß er von seiner Vaterstadt </w:t>
      </w:r>
      <w:r w:rsidRPr="00A06A59">
        <w:rPr>
          <w:rFonts w:ascii="Garamond" w:hAnsi="Garamond" w:cs="Arial"/>
          <w:i/>
          <w:iCs/>
          <w:color w:val="000000"/>
          <w:lang w:val="en-GB"/>
        </w:rPr>
        <w:t>Meaux</w:t>
      </w:r>
      <w:r w:rsidRPr="00A06A59">
        <w:rPr>
          <w:rFonts w:ascii="Garamond" w:hAnsi="Garamond" w:cs="Arial"/>
          <w:color w:val="000000"/>
          <w:lang w:val="en-GB"/>
        </w:rPr>
        <w:t xml:space="preserve"> als Kind häufig nach dem nahe gelegenen </w:t>
      </w:r>
      <w:r w:rsidRPr="00A06A59">
        <w:rPr>
          <w:rFonts w:ascii="Garamond" w:hAnsi="Garamond" w:cs="Arial"/>
          <w:i/>
          <w:iCs/>
          <w:color w:val="000000"/>
          <w:lang w:val="en-GB"/>
        </w:rPr>
        <w:t>Trilport</w:t>
      </w:r>
      <w:r w:rsidRPr="00A06A59">
        <w:rPr>
          <w:rFonts w:ascii="Garamond" w:hAnsi="Garamond" w:cs="Arial"/>
          <w:color w:val="000000"/>
          <w:lang w:val="en-GB"/>
        </w:rPr>
        <w:t xml:space="preserve"> gekommen war, wo sein Vater den Bau einer Brücke leitete. In einer Nacht versetzt ihn der Traum nach </w:t>
      </w:r>
      <w:r w:rsidRPr="00A06A59">
        <w:rPr>
          <w:rFonts w:ascii="Garamond" w:hAnsi="Garamond" w:cs="Arial"/>
          <w:i/>
          <w:iCs/>
          <w:color w:val="000000"/>
          <w:lang w:val="en-GB"/>
        </w:rPr>
        <w:t>Trilport</w:t>
      </w:r>
      <w:r w:rsidRPr="00A06A59">
        <w:rPr>
          <w:rFonts w:ascii="Garamond" w:hAnsi="Garamond" w:cs="Arial"/>
          <w:color w:val="000000"/>
          <w:lang w:val="en-GB"/>
        </w:rPr>
        <w:t xml:space="preserve"> und läßt ihn wieder in den Straßen der Stadt spielen. Ein Mann nähert sich ihm, der eine Art Uniform trägt. </w:t>
      </w:r>
      <w:r w:rsidRPr="00A06A59">
        <w:rPr>
          <w:rFonts w:ascii="Garamond" w:hAnsi="Garamond" w:cs="Arial"/>
          <w:i/>
          <w:iCs/>
          <w:color w:val="000000"/>
          <w:lang w:val="en-GB"/>
        </w:rPr>
        <w:t>Maury</w:t>
      </w:r>
      <w:r w:rsidRPr="00A06A59">
        <w:rPr>
          <w:rFonts w:ascii="Garamond" w:hAnsi="Garamond" w:cs="Arial"/>
          <w:color w:val="000000"/>
          <w:lang w:val="en-GB"/>
        </w:rPr>
        <w:t xml:space="preserve"> fragt ihn nach seinem Namen; er stellt sich vor, er heiße C... und sei Brückenwächter. Nach dem Erwachen fragt der an der Wirklichkeit der Erinnerung noch zweifelnde </w:t>
      </w:r>
      <w:r w:rsidRPr="00A06A59">
        <w:rPr>
          <w:rFonts w:ascii="Garamond" w:hAnsi="Garamond" w:cs="Arial"/>
          <w:i/>
          <w:iCs/>
          <w:color w:val="000000"/>
          <w:lang w:val="en-GB"/>
        </w:rPr>
        <w:t>Maury</w:t>
      </w:r>
      <w:r w:rsidRPr="00A06A59">
        <w:rPr>
          <w:rFonts w:ascii="Garamond" w:hAnsi="Garamond" w:cs="Arial"/>
          <w:color w:val="000000"/>
          <w:lang w:val="en-GB"/>
        </w:rPr>
        <w:t xml:space="preserve"> eine alte Dienerin, die seit der Kindheit bei ihm ist, ob sie sich an einen Mann dieses Namens erinnern kann. »Gewiß«, lautet die Antwort, »er war der Wächter der Brücke, die Ihr Vater damals gebaut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ebenso schön bestätigtes Beispiel von der Sicherheit der im Traume auftretenden Kindheitserinnerung berichtet </w:t>
      </w:r>
      <w:r w:rsidRPr="00A06A59">
        <w:rPr>
          <w:rFonts w:ascii="Garamond" w:hAnsi="Garamond" w:cs="Arial"/>
          <w:i/>
          <w:iCs/>
          <w:color w:val="000000"/>
          <w:lang w:val="en-GB"/>
        </w:rPr>
        <w:t>Maury</w:t>
      </w:r>
      <w:r w:rsidRPr="00A06A59">
        <w:rPr>
          <w:rFonts w:ascii="Garamond" w:hAnsi="Garamond" w:cs="Arial"/>
          <w:color w:val="000000"/>
          <w:lang w:val="en-GB"/>
        </w:rPr>
        <w:t xml:space="preserve"> von einem Herrn F..., der als Kind in </w:t>
      </w:r>
      <w:r w:rsidRPr="00A06A59">
        <w:rPr>
          <w:rFonts w:ascii="Garamond" w:hAnsi="Garamond" w:cs="Arial"/>
          <w:i/>
          <w:iCs/>
          <w:color w:val="000000"/>
          <w:lang w:val="en-GB"/>
        </w:rPr>
        <w:t>Montbrison</w:t>
      </w:r>
      <w:r w:rsidRPr="00A06A59">
        <w:rPr>
          <w:rFonts w:ascii="Garamond" w:hAnsi="Garamond" w:cs="Arial"/>
          <w:color w:val="000000"/>
          <w:lang w:val="en-GB"/>
        </w:rPr>
        <w:t xml:space="preserve"> aufgewachsen war. Dieser Mann beschloß, fünfundzwanzig Jahre nach seinem Weggang, die Heimat und alte, seither nicht gesehene Freunde der Familie wieder zu besuchen. In der Nacht vor seiner Abreise träumt er, daß er am Ziele ist und in der Nähe von </w:t>
      </w:r>
      <w:r w:rsidRPr="00A06A59">
        <w:rPr>
          <w:rFonts w:ascii="Garamond" w:hAnsi="Garamond" w:cs="Arial"/>
          <w:i/>
          <w:iCs/>
          <w:color w:val="000000"/>
          <w:lang w:val="en-GB"/>
        </w:rPr>
        <w:t>Montbrison</w:t>
      </w:r>
      <w:r w:rsidRPr="00A06A59">
        <w:rPr>
          <w:rFonts w:ascii="Garamond" w:hAnsi="Garamond" w:cs="Arial"/>
          <w:color w:val="000000"/>
          <w:lang w:val="en-GB"/>
        </w:rPr>
        <w:t xml:space="preserve"> einem ihm vom Ansehen unbekannten Herrn begegnet, der ihm sagt, er sei der Herr T., ein Freund seines Vaters. Der Träumer wußte, daß er einen Herrn dieses Namens als Kind gekannt hatte, erinnerte sich aber im Wachen nicht mehr an sein Aussehen. Einige Tage später nun wirklich in </w:t>
      </w:r>
      <w:r w:rsidRPr="00A06A59">
        <w:rPr>
          <w:rFonts w:ascii="Garamond" w:hAnsi="Garamond" w:cs="Arial"/>
          <w:i/>
          <w:iCs/>
          <w:color w:val="000000"/>
          <w:lang w:val="en-GB"/>
        </w:rPr>
        <w:t>Montbrison</w:t>
      </w:r>
      <w:r w:rsidRPr="00A06A59">
        <w:rPr>
          <w:rFonts w:ascii="Garamond" w:hAnsi="Garamond" w:cs="Arial"/>
          <w:color w:val="000000"/>
          <w:lang w:val="en-GB"/>
        </w:rPr>
        <w:t xml:space="preserve"> angelangt, findet er die für unbekannt gehaltene Lokalität des Traumes wieder und begegnet einem Herrn, den er sofort als den T. des Traumes erkennt. Die wirkliche Person war nur stärker gealtert, als sie das Traumbild gezeigt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kann hier einen eigenen Traum erzählen, in dem der zu erinnernde Eindruck durch eine Beziehung ersetzt ist. </w:t>
      </w:r>
      <w:r w:rsidRPr="00A06A59">
        <w:rPr>
          <w:rFonts w:ascii="Garamond" w:hAnsi="Garamond" w:cs="Arial"/>
          <w:color w:val="000000"/>
        </w:rPr>
        <w:t xml:space="preserve">Ich sah in einem Traum eine Person, von der ich im Traum wußte, es sei der Arzt meines heimatlichen Ortes. </w:t>
      </w:r>
      <w:r w:rsidRPr="00A06A59">
        <w:rPr>
          <w:rFonts w:ascii="Garamond" w:hAnsi="Garamond" w:cs="Arial"/>
          <w:color w:val="000000"/>
          <w:lang w:val="en-GB"/>
        </w:rPr>
        <w:t>Ihr Gesicht war nicht deutlich, sie vermengte sich aber mit der Vorstellung eines meiner Gymnasiallehrer, den ich noch heute gelegentlich treffe. Welche Beziehung die beiden Personen verknüpfe, konnte ich dann im Wachen nicht ausfindig machen. Als ich aber meine Mutter nach dem Arzt dieser meiner ersten Kinderjahre fragte, erfuhr ich, daß er einäugig gewesen war, und einäugig ist auch der Gymnasiallehrer, dessen Person die des Arztes im Traum gedeckt hatte. Es waren achtunddreißig Jahre her, daß ich den Arzt nicht mehr gesehen, und ich habe meines Wissens im wachen Leben niemals an ihn gedacht.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klingt, als sollte ein Gegengewicht gegen die übergroße Rolle der Kindheitseindrücke im Traumleben geschaffen werden, wenn mehrere Autoren behaupten, in den meisten Träumen ließen sich Elemente aus den allerjüngsten Tagen nachweisen. </w:t>
      </w:r>
      <w:r w:rsidRPr="00A06A59">
        <w:rPr>
          <w:rFonts w:ascii="Garamond" w:hAnsi="Garamond" w:cs="Arial"/>
          <w:i/>
          <w:iCs/>
          <w:color w:val="000000"/>
          <w:lang w:val="en-GB"/>
        </w:rPr>
        <w:t>Robert</w:t>
      </w:r>
      <w:r w:rsidRPr="00A06A59">
        <w:rPr>
          <w:rFonts w:ascii="Garamond" w:hAnsi="Garamond" w:cs="Arial"/>
          <w:color w:val="000000"/>
          <w:lang w:val="en-GB"/>
        </w:rPr>
        <w:t xml:space="preserve"> (S. 46) äußert sogar: Im allgemeinen beschäftigt sich der normale Traum nur mit den Eindrücken der letztvergangenen Tage. Wir werden allerdings erfahren, daß die von </w:t>
      </w:r>
      <w:r w:rsidRPr="00A06A59">
        <w:rPr>
          <w:rFonts w:ascii="Garamond" w:hAnsi="Garamond" w:cs="Arial"/>
          <w:i/>
          <w:iCs/>
          <w:color w:val="000000"/>
          <w:lang w:val="en-GB"/>
        </w:rPr>
        <w:t>Robert</w:t>
      </w:r>
      <w:r w:rsidRPr="00A06A59">
        <w:rPr>
          <w:rFonts w:ascii="Garamond" w:hAnsi="Garamond" w:cs="Arial"/>
          <w:color w:val="000000"/>
          <w:lang w:val="en-GB"/>
        </w:rPr>
        <w:t xml:space="preserve"> aufgebaute Theorie des Traumes eine solche Zurückdrängung der ältesten und Vorschiebung der jüngsten Eindrücke gebieterisch fordert. Die Tatsache aber, der </w:t>
      </w:r>
      <w:r w:rsidRPr="00A06A59">
        <w:rPr>
          <w:rFonts w:ascii="Garamond" w:hAnsi="Garamond" w:cs="Arial"/>
          <w:i/>
          <w:iCs/>
          <w:color w:val="000000"/>
          <w:lang w:val="en-GB"/>
        </w:rPr>
        <w:t>Robert</w:t>
      </w:r>
      <w:r w:rsidRPr="00A06A59">
        <w:rPr>
          <w:rFonts w:ascii="Garamond" w:hAnsi="Garamond" w:cs="Arial"/>
          <w:color w:val="000000"/>
          <w:lang w:val="en-GB"/>
        </w:rPr>
        <w:t xml:space="preserve"> Ausdruck gibt, besteht, wie ich nach eigenen Untersuchungen versichern kann, zu Recht. Ein amerikanischer Autor, </w:t>
      </w:r>
      <w:r w:rsidRPr="00A06A59">
        <w:rPr>
          <w:rFonts w:ascii="Garamond" w:hAnsi="Garamond" w:cs="Arial"/>
          <w:i/>
          <w:iCs/>
          <w:color w:val="000000"/>
          <w:lang w:val="en-GB"/>
        </w:rPr>
        <w:t>Nelson</w:t>
      </w:r>
      <w:r w:rsidRPr="00A06A59">
        <w:rPr>
          <w:rFonts w:ascii="Garamond" w:hAnsi="Garamond" w:cs="Arial"/>
          <w:color w:val="000000"/>
          <w:lang w:val="en-GB"/>
        </w:rPr>
        <w:t>, meint, am häufigsten fänden sich im Traum Eindrücke vom Tage vor dem Traumtag oder vom dritten Tag vorher verwertet, als ob die Eindrücke des dem Traum unmittelbar vorhergehenden Tages nicht abgeschwächt – nicht abgelegen – genug wären.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mehreren Autoren, die den intimen Zusammenhang des Trauminhaltes mit dem Wachleben nicht bezweifeln mochten, aufgefallen, daß Eindrücke, welche das wache Denken intensiv beschäftigen, erst dann im Traume auftreten, wenn sie von der Tagesgedankenarbeit einigermaßen zur Seite gedrängt worden sind. So träumt man in der Regel von einem lieben Toten nicht die erste Zeit, solange die Trauer den Überlebenden ganz ausfüllt ( </w:t>
      </w:r>
      <w:r w:rsidRPr="00A06A59">
        <w:rPr>
          <w:rFonts w:ascii="Garamond" w:hAnsi="Garamond" w:cs="Arial"/>
          <w:i/>
          <w:iCs/>
          <w:color w:val="000000"/>
          <w:lang w:val="en-GB"/>
        </w:rPr>
        <w:t>Delage</w:t>
      </w:r>
      <w:r w:rsidRPr="00A06A59">
        <w:rPr>
          <w:rFonts w:ascii="Garamond" w:hAnsi="Garamond" w:cs="Arial"/>
          <w:color w:val="000000"/>
          <w:lang w:val="en-GB"/>
        </w:rPr>
        <w:t xml:space="preserve">). Indes hat eine der letzten Beobachterinnen, Miß </w:t>
      </w:r>
      <w:r w:rsidRPr="00A06A59">
        <w:rPr>
          <w:rFonts w:ascii="Garamond" w:hAnsi="Garamond" w:cs="Arial"/>
          <w:i/>
          <w:iCs/>
          <w:color w:val="000000"/>
          <w:lang w:val="en-GB"/>
        </w:rPr>
        <w:t>Hallam</w:t>
      </w:r>
      <w:r w:rsidRPr="00A06A59">
        <w:rPr>
          <w:rFonts w:ascii="Garamond" w:hAnsi="Garamond" w:cs="Arial"/>
          <w:color w:val="000000"/>
          <w:lang w:val="en-GB"/>
        </w:rPr>
        <w:t>, auch Beispiele vom gegenteiligen Verhalten gesammelt und vertritt für diesen Punkt das Recht der psychologischen Individualität.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dritte, merkwürdigste und unverständlichste Eigentümlichkeit des Gedächtnisses im Traum zeigt sich in der Auswahl des reproduzierten Materials, indem nicht wie im Wachen nur das Bedeutsamste, sondern im Gegenteil auch das Gleichgültigste, Unscheinbarste der Erinnerung wert gehalten wird. Ich lasse hierüber jene Autoren zu Worte kommen, welche ihrer Verwunderung den kräftigsten Ausdruck gegeben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Hildebrandt</w:t>
      </w:r>
      <w:r w:rsidRPr="00A06A59">
        <w:rPr>
          <w:rFonts w:ascii="Garamond" w:hAnsi="Garamond" w:cs="Arial"/>
          <w:color w:val="000000"/>
          <w:lang w:val="en-GB"/>
        </w:rPr>
        <w:t xml:space="preserve"> (S. 11): »Denn das ist das Merkwürdige, daß der Traum seine Elemente in der Regel nicht aus den großen und tiefgreifenden Ereignissen, nicht aus den mächtigen und treibenden Interessen des vergangenen Tages, sondern aus den nebensächlichen Zugaben, sozusagen aus den wertlosen Brocken der jüngst verlebten oder weiter rückwärts liegenden Vergangenheit nimmt. Der erschütternde Todesfall in unserer Familie, unter dessen Eindrücken wir spät einschlafen, bleibt ausgelöscht aus unserem Gedächtnisse, bis ihn der erste wache Augenblick mit betrübender Gewalt in dasselbe zurückkehren läßt. Dagegen die Warze auf der Stirn eines Fremden, der uns begegnete und an den wir keinen Augenblick mehr dachten, nachdem wir an ihm vorübergegangen waren, die spielt eine Rolle in unserem Traume...«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Strümpell</w:t>
      </w:r>
      <w:r w:rsidRPr="00A06A59">
        <w:rPr>
          <w:rFonts w:ascii="Garamond" w:hAnsi="Garamond" w:cs="Arial"/>
          <w:color w:val="000000"/>
          <w:lang w:val="en-GB"/>
        </w:rPr>
        <w:t xml:space="preserve"> (S. 39): »... solche Fälle, wo die Zerlegung eines Traumes Bestandteile desselben auffindet, die zwar aus den Erlebnissen des vorigen oder vorletzten Tages stammen, aber doch so unbedeutend und wertlos für das wache </w:t>
      </w:r>
      <w:r w:rsidRPr="00A06A59">
        <w:rPr>
          <w:rFonts w:ascii="Garamond" w:hAnsi="Garamond" w:cs="Arial"/>
          <w:color w:val="000000"/>
          <w:lang w:val="en-GB"/>
        </w:rPr>
        <w:lastRenderedPageBreak/>
        <w:t>Bewußtsein waren, daß sie kurz nach dem Erleben der Vergessenheit anheimfielen. Dergleichen Erlebnisse sind etwa zufällig gehörte Äußerungen oder oberflächlich bemerkte Handlungen eines anderen, rasch vorübergegangene Wahrnehmungen von Dingen oder Personen, einzelne kleine Stücke aus einer Lektüre u. dgl.«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Havelock Ellis</w:t>
      </w:r>
      <w:r w:rsidRPr="00A06A59">
        <w:rPr>
          <w:rFonts w:ascii="Garamond" w:hAnsi="Garamond" w:cs="Arial"/>
          <w:color w:val="000000"/>
          <w:lang w:val="en-GB"/>
        </w:rPr>
        <w:t xml:space="preserve"> (p. 727): » </w:t>
      </w:r>
      <w:r w:rsidRPr="00A06A59">
        <w:rPr>
          <w:rFonts w:ascii="Garamond" w:hAnsi="Garamond" w:cs="Arial"/>
          <w:i/>
          <w:iCs/>
          <w:color w:val="000000"/>
          <w:lang w:val="en-GB"/>
        </w:rPr>
        <w:t>The profound emotions of waking life, the questions and problems on which we spread our chief voluntary mental energy, are not those which usually present themselves at once to dream consciousness. It is, so far as the immediate past is concerned, mostly the trifling, the incidental, the ›forgotten‹ impressions of daily life which reappear in our dreams. The psychic activities that are awake most intensely are those that sleep most profoundly.</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Binz</w:t>
      </w:r>
      <w:r w:rsidRPr="00A06A59">
        <w:rPr>
          <w:rFonts w:ascii="Garamond" w:hAnsi="Garamond" w:cs="Arial"/>
          <w:color w:val="000000"/>
          <w:lang w:val="en-GB"/>
        </w:rPr>
        <w:t xml:space="preserve"> (S. 45) nimmt gerade die in Rede stehenden Eigentümlichkeiten des Gedächtnisses im Traume zum Anlaß, seine Unbefriedigung mit den von ihm selbst unterstützten Erklärungen des Traumes auszusprechen: »Und der natürliche Traum stellt uns ähnliche Fragen. Warum träumen wir nicht immer die Gedächtniseindrücke der letztverlebten Tage, sondern tauchen oft ein, ohne irgend erkennbares Motiv, in weit hinter uns liegende, fast erloschene Vergangenheit? Warum empfängt im Traum das Bewußtsein so oft den Eindruck </w:t>
      </w:r>
      <w:r w:rsidRPr="00A06A59">
        <w:rPr>
          <w:rFonts w:ascii="Garamond" w:hAnsi="Garamond" w:cs="Arial"/>
          <w:i/>
          <w:iCs/>
          <w:color w:val="000000"/>
          <w:lang w:val="en-GB"/>
        </w:rPr>
        <w:t>gleichgültiger</w:t>
      </w:r>
      <w:r w:rsidRPr="00A06A59">
        <w:rPr>
          <w:rFonts w:ascii="Garamond" w:hAnsi="Garamond" w:cs="Arial"/>
          <w:color w:val="000000"/>
          <w:lang w:val="en-GB"/>
        </w:rPr>
        <w:t xml:space="preserve"> Erinnerungsbilder, während die Gehirnzellen da, wo sie die reizbarsten Aufzeichnungen des Erlebten in sich tragen, meist stumm und starr liegen, es sei denn, daß eine akute Auffrischung während des Wachens sie kurz vorher erregt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Man sieht leicht ein, wie die sonderbare Vorliebe des Traumgedächtnisses für das Gleichgültige und darum Unbeachtete an den Tageserlebnissen zumeist dazu führen mußte, die Abhängigkeit des Traumes vom Tagesleben überhaupt zu verkennen und dann wenigstens den Nachweis derselben in jedem einzelnen Falle zu erschweren. So war es möglich, daß Miß </w:t>
      </w:r>
      <w:r w:rsidRPr="00A06A59">
        <w:rPr>
          <w:rFonts w:ascii="Garamond" w:hAnsi="Garamond" w:cs="Arial"/>
          <w:i/>
          <w:iCs/>
          <w:color w:val="000000"/>
          <w:lang w:val="en-GB"/>
        </w:rPr>
        <w:t>Whiton Calkins</w:t>
      </w:r>
      <w:r w:rsidRPr="00A06A59">
        <w:rPr>
          <w:rFonts w:ascii="Garamond" w:hAnsi="Garamond" w:cs="Arial"/>
          <w:color w:val="000000"/>
          <w:lang w:val="en-GB"/>
        </w:rPr>
        <w:t xml:space="preserve"> bei der statistischen Bearbeitung ihrer (und ihres Gefährten) Träume doch elf Prozent der Anzahl übrig behielt, in denen eine Beziehung zum Tagesleben nicht ersichtlich war. Sicherlich hat </w:t>
      </w:r>
      <w:r w:rsidRPr="00A06A59">
        <w:rPr>
          <w:rFonts w:ascii="Garamond" w:hAnsi="Garamond" w:cs="Arial"/>
          <w:i/>
          <w:iCs/>
          <w:color w:val="000000"/>
          <w:lang w:val="en-GB"/>
        </w:rPr>
        <w:t>Hildebrandt</w:t>
      </w:r>
      <w:r w:rsidRPr="00A06A59">
        <w:rPr>
          <w:rFonts w:ascii="Garamond" w:hAnsi="Garamond" w:cs="Arial"/>
          <w:color w:val="000000"/>
          <w:lang w:val="en-GB"/>
        </w:rPr>
        <w:t xml:space="preserve"> mit der Behauptung recht, daß sich alle Traumbilder uns genetisch erklären würden, wenn wir jedesmal Zeit und Sammlung genug darauf verwendeten, ihrer Herkunft nachzuspüren. Er nennt dies freilich »ein äußerst mühseliges und undankbares Geschäft. Denn es liefe ja meistens darauf hinaus, allerlei psychisch ganz wertlose Dinge in den abgelegensten Winkeln der Gedächtniskammer aufzustöbern, allerlei völlig indifferente Momente längst vergangener Zeit aus der Verschüttung, die ihnen vielleicht schon die nächste Stunde brachte, wieder zutage zu fördern«. Ich muß aber doch bedauern, daß der scharfsinnige Autor sich von der Verfolgung des so unscheinbar beginnenden Weges abhalten ließ; er hätte ihn unmittelbar zum Zentrum der Traumerklärung geleitet.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Das Verhalten des Traumgedächtnisses ist sicherlich höchst bedeutsam für jede Theorie des Gedächtnisses überhaupt. Es lehrt, daß »Nichts, was wir geistig einmal besessen, ganz und gar verlorengehen kann« ( </w:t>
      </w:r>
      <w:r w:rsidRPr="00A06A59">
        <w:rPr>
          <w:rFonts w:ascii="Garamond" w:hAnsi="Garamond" w:cs="Arial"/>
          <w:i/>
          <w:iCs/>
          <w:color w:val="000000"/>
          <w:lang w:val="en-GB"/>
        </w:rPr>
        <w:t>Scholz</w:t>
      </w:r>
      <w:r w:rsidRPr="00A06A59">
        <w:rPr>
          <w:rFonts w:ascii="Garamond" w:hAnsi="Garamond" w:cs="Arial"/>
          <w:color w:val="000000"/>
          <w:lang w:val="en-GB"/>
        </w:rPr>
        <w:t xml:space="preserve">, S. 34). </w:t>
      </w:r>
      <w:r w:rsidRPr="00A06A59">
        <w:rPr>
          <w:rFonts w:ascii="Garamond" w:hAnsi="Garamond" w:cs="Arial"/>
          <w:color w:val="000000"/>
        </w:rPr>
        <w:t xml:space="preserve">Oder, wie </w:t>
      </w:r>
      <w:r w:rsidRPr="00A06A59">
        <w:rPr>
          <w:rFonts w:ascii="Garamond" w:hAnsi="Garamond" w:cs="Arial"/>
          <w:i/>
          <w:iCs/>
          <w:color w:val="000000"/>
        </w:rPr>
        <w:t>Delboeuf</w:t>
      </w:r>
      <w:r w:rsidRPr="00A06A59">
        <w:rPr>
          <w:rFonts w:ascii="Garamond" w:hAnsi="Garamond" w:cs="Arial"/>
          <w:color w:val="000000"/>
        </w:rPr>
        <w:t xml:space="preserve"> es ausdrückt, » </w:t>
      </w:r>
      <w:r w:rsidRPr="00A06A59">
        <w:rPr>
          <w:rFonts w:ascii="Garamond" w:hAnsi="Garamond" w:cs="Arial"/>
          <w:i/>
          <w:iCs/>
          <w:color w:val="000000"/>
        </w:rPr>
        <w:t>que tonte impression même la plus insignifiante, laisse une trace inaltérable, indéfmiment susceptible de reparaître au jour</w:t>
      </w:r>
      <w:r w:rsidRPr="00A06A59">
        <w:rPr>
          <w:rFonts w:ascii="Garamond" w:hAnsi="Garamond" w:cs="Arial"/>
          <w:color w:val="000000"/>
        </w:rPr>
        <w:t>«, ein Schluß, zu welchem so viele andere, pathologische Erscheinungen des Seelenlebens gleichfalls drängen. Man halte sich nun diese außerordentliche Leistungsfähigkeit des Gedächtnisses im Traum vor Augen, um den Widerspruch lebhaft zu empfinden, den gewisse später zu erwähnende Traumtheorien aufstellen müssen, welche die Absurdität und Inkohärenz der Träume durch ein partielles Vergessen des uns bei Tag Bekannten erklären wollen.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Man könnte etwa auf den Einfall geraten, das Phänomen des Träumens überhaupt auf das des Erinnerns zu reduzieren, im Traum die Äußerung einer auch nachts nicht rastenden Reproduktionstätigkeit sehen, die sich Selbstzweck ist. Mitteilungen wie die von </w:t>
      </w:r>
      <w:r w:rsidRPr="00A06A59">
        <w:rPr>
          <w:rFonts w:ascii="Garamond" w:hAnsi="Garamond" w:cs="Arial"/>
          <w:i/>
          <w:iCs/>
          <w:color w:val="000000"/>
        </w:rPr>
        <w:t>Pilcz</w:t>
      </w:r>
      <w:r w:rsidRPr="00A06A59">
        <w:rPr>
          <w:rFonts w:ascii="Garamond" w:hAnsi="Garamond" w:cs="Arial"/>
          <w:color w:val="000000"/>
        </w:rPr>
        <w:t xml:space="preserve"> (1899) würden hiezu stimmen, denen zufolge feste Beziehungen zwischen der Zeit des Träumens und dem Inhalt der Träume nachweisbar sind in der Weise, daß im tiefen Schlaf Eindrücke aus den ältesten Zeiten, gegen Morgen aber rezente Eindrücke vom Traum reproduziert werden. </w:t>
      </w:r>
      <w:r w:rsidRPr="00A06A59">
        <w:rPr>
          <w:rFonts w:ascii="Garamond" w:hAnsi="Garamond" w:cs="Arial"/>
          <w:color w:val="000000"/>
          <w:lang w:val="en-GB"/>
        </w:rPr>
        <w:t xml:space="preserve">Es wird aber eine solche Auffassung von vornherein unwahrscheinlich durch die Art, wie der Traum mit dem zu erinnernden Material verfährt. </w:t>
      </w:r>
      <w:r w:rsidRPr="00A06A59">
        <w:rPr>
          <w:rFonts w:ascii="Garamond" w:hAnsi="Garamond" w:cs="Arial"/>
          <w:i/>
          <w:iCs/>
          <w:color w:val="000000"/>
          <w:lang w:val="en-GB"/>
        </w:rPr>
        <w:t>Strümpell</w:t>
      </w:r>
      <w:r w:rsidRPr="00A06A59">
        <w:rPr>
          <w:rFonts w:ascii="Garamond" w:hAnsi="Garamond" w:cs="Arial"/>
          <w:color w:val="000000"/>
          <w:lang w:val="en-GB"/>
        </w:rPr>
        <w:t xml:space="preserve"> macht mit Recht darauf aufmerksam, daß Wiederholungen von Erlebnissen im Traume nicht vorkommen. Der Traum macht wohl einen Ansatz dazu, aber das folgende Glied bleibt aus; es tritt verändert auf, oder an seiner Stelle erscheint ein ganz fremdes. Der Traum bringt nur Bruchstücke von Reproduktionen. Dies ist sicherlich so weit die Regel, daß es eine theoretische Verwertung gestattet. Indes kommen Ausnahmen vor, in denen ein Traum ein Erlebnis ebenso vollständig wiederholt, wie unsere Erinnerung im Wachen es vermag. </w:t>
      </w:r>
      <w:r w:rsidRPr="00A06A59">
        <w:rPr>
          <w:rFonts w:ascii="Garamond" w:hAnsi="Garamond" w:cs="Arial"/>
          <w:i/>
          <w:iCs/>
          <w:color w:val="000000"/>
          <w:lang w:val="en-GB"/>
        </w:rPr>
        <w:t>Delboeuf</w:t>
      </w:r>
      <w:r w:rsidRPr="00A06A59">
        <w:rPr>
          <w:rFonts w:ascii="Garamond" w:hAnsi="Garamond" w:cs="Arial"/>
          <w:color w:val="000000"/>
          <w:lang w:val="en-GB"/>
        </w:rPr>
        <w:t xml:space="preserve"> erzählt von einem seiner Universitätskollegen, daß er im Traume eine gefährliche Wagenfahrt, bei welcher er einem Unfall nur wie durch ein Wunder entging, mit all ihren Einzelheiten wieder durchgemacht habe. Miß </w:t>
      </w:r>
      <w:r w:rsidRPr="00A06A59">
        <w:rPr>
          <w:rFonts w:ascii="Garamond" w:hAnsi="Garamond" w:cs="Arial"/>
          <w:i/>
          <w:iCs/>
          <w:color w:val="000000"/>
          <w:lang w:val="en-GB"/>
        </w:rPr>
        <w:t>Calkins</w:t>
      </w:r>
      <w:r w:rsidRPr="00A06A59">
        <w:rPr>
          <w:rFonts w:ascii="Garamond" w:hAnsi="Garamond" w:cs="Arial"/>
          <w:color w:val="000000"/>
          <w:lang w:val="en-GB"/>
        </w:rPr>
        <w:t xml:space="preserve"> erwähnt zweier Träume, welche die genaue Reproduktion eines Erlebnisses vom Vortag zum Inhalt hatten, und ich selbst werde späterhin Anlaß nehmen, ein mir bekanntgewordenes Beispiel von unveränderter Traumwiederkehr eines Kindererlebnisses mitzuteilen. </w:t>
      </w:r>
      <w:hyperlink r:id="rId20"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Aus späterer Erfahrung füge ich hinzu, daß gar nicht so selten harmlose und unwichtige Beschäftigungen des Tages vom Traume wiederholt werden, etwa: Koffer packen, in der Küche Speisen zubereiten u. dgl. </w:t>
        </w:r>
        <w:r w:rsidRPr="00A06A59">
          <w:rPr>
            <w:rStyle w:val="innerfusslink3"/>
            <w:rFonts w:ascii="Garamond" w:hAnsi="Garamond" w:cs="Arial"/>
            <w:b/>
            <w:bCs/>
            <w:lang w:val="en-GB"/>
          </w:rPr>
          <w:t>Bei solchen Träumen betont der Träumer selbst aber nicht den Charakter der Erinnerung, sondern den der »Wirklichkeit«. »Ich habe das alles am Tage wirklich getan.«</w:t>
        </w:r>
      </w:hyperlink>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C. Traumreize und Traumquellen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Was man unter Traumreizen und Traumquellen verstehen soll, das kann durch eine Berufung auf die Volksrede »Träume kommen vom Magen« verdeutlicht werden. Hinter der Aufstellung dieser Begriffe verbirgt sich eine Theorie, die den Traum als Folge einer Störung des Schlafes erfaßt. Man hätte nicht geträumt, wenn nicht irgendetwas Störendes im Schlaf sich geregt hätte, und der Traum ist die Reaktion auf diese Störung.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Erörterungen über die erregenden Ursachen der Träume nehmen in den Darstellungen der Autoren den breitesten Raum ein. Daß das Problem sich erst ergeben konnte, seitdem der Traum ein Gegenstand der biologischen Forschung geworden war, ist selbstverständlich. Die Alten, denen der Traum als göttliche Sendung galt, brauchten nach einer Reizquelle für ihn nicht zu suchen; aus dem Willen der göttlichen oder dämonischen Macht erfloß der Traum, aus deren Wissen oder Absicht sein Inhalt. Für die Wissenschaft erhob sich alsbald die Frage, ob der Anreiz zum Träumen stets der nämliche sei oder ein vielfacher sein könne, und damit die Erwägung, ob die ursächliche Erklärung des Traumes der Psychologie oder vielmehr der Physiologie anheimfalle. Die meisten Autoren scheinen anzunehmen, daß die Ursachen der Schlafstörung, also die Quellen des Träumens, mannigfaltiger Art sein können und daß Leibreize ebenso wie seelische Erregungen zur Rolle von Traumerregern gelangen. In der Bevorzugung der einen oder der anderen unter den Traumquellen, in der Herstellung einer Rangordnung unter ihnen je nach ihrer Bedeutsamkeit für die Entstehung des Traumes gehen die Ansichten weit auseinander.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Wo die Aufzählung der Traumquellen vollständig ist, da ergeben sich schließlich vier Arten derselben, die auch zur Einteilung der Träume verwendet worden sind: 1) </w:t>
      </w:r>
      <w:r w:rsidRPr="00A06A59">
        <w:rPr>
          <w:rFonts w:ascii="Garamond" w:hAnsi="Garamond" w:cs="Arial"/>
          <w:i/>
          <w:iCs/>
          <w:color w:val="000000"/>
          <w:lang w:val="en-GB"/>
        </w:rPr>
        <w:t>Äußere (objektive) Sinneserregung.</w:t>
      </w:r>
      <w:r w:rsidRPr="00A06A59">
        <w:rPr>
          <w:rFonts w:ascii="Garamond" w:hAnsi="Garamond" w:cs="Arial"/>
          <w:color w:val="000000"/>
          <w:lang w:val="en-GB"/>
        </w:rPr>
        <w:t xml:space="preserve"> 2) </w:t>
      </w:r>
      <w:r w:rsidRPr="00A06A59">
        <w:rPr>
          <w:rFonts w:ascii="Garamond" w:hAnsi="Garamond" w:cs="Arial"/>
          <w:i/>
          <w:iCs/>
          <w:color w:val="000000"/>
          <w:lang w:val="en-GB"/>
        </w:rPr>
        <w:t>Innere (subjektive) Sinneserregung.</w:t>
      </w:r>
      <w:r w:rsidRPr="00A06A59">
        <w:rPr>
          <w:rFonts w:ascii="Garamond" w:hAnsi="Garamond" w:cs="Arial"/>
          <w:color w:val="000000"/>
          <w:lang w:val="en-GB"/>
        </w:rPr>
        <w:t xml:space="preserve"> 3) </w:t>
      </w:r>
      <w:r w:rsidRPr="00A06A59">
        <w:rPr>
          <w:rFonts w:ascii="Garamond" w:hAnsi="Garamond" w:cs="Arial"/>
          <w:i/>
          <w:iCs/>
          <w:color w:val="000000"/>
          <w:lang w:val="en-GB"/>
        </w:rPr>
        <w:t>Innerer (organischer) Leibreiz.</w:t>
      </w:r>
      <w:r w:rsidRPr="00A06A59">
        <w:rPr>
          <w:rFonts w:ascii="Garamond" w:hAnsi="Garamond" w:cs="Arial"/>
          <w:color w:val="000000"/>
          <w:lang w:val="en-GB"/>
        </w:rPr>
        <w:t xml:space="preserve"> 4) </w:t>
      </w:r>
      <w:r w:rsidRPr="00A06A59">
        <w:rPr>
          <w:rFonts w:ascii="Garamond" w:hAnsi="Garamond" w:cs="Arial"/>
          <w:i/>
          <w:iCs/>
          <w:color w:val="000000"/>
          <w:lang w:val="en-GB"/>
        </w:rPr>
        <w:t>Rein psychische Reizquellen.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Ad 1) Die äußeren Sinnesreize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Der jüngere </w:t>
      </w:r>
      <w:r w:rsidRPr="00A06A59">
        <w:rPr>
          <w:rFonts w:ascii="Garamond" w:hAnsi="Garamond" w:cs="Arial"/>
          <w:i/>
          <w:iCs/>
          <w:color w:val="000000"/>
          <w:lang w:val="en-GB"/>
        </w:rPr>
        <w:t>Strümpell</w:t>
      </w:r>
      <w:r w:rsidRPr="00A06A59">
        <w:rPr>
          <w:rFonts w:ascii="Garamond" w:hAnsi="Garamond" w:cs="Arial"/>
          <w:color w:val="000000"/>
          <w:lang w:val="en-GB"/>
        </w:rPr>
        <w:t xml:space="preserve">, der Sohn des Philosophen, dessen Werk über den Traum uns bereits mehrmals als Wegweiser in die Traumprobleme diente, hat bekanntlich die Beobachtung eines Kranken mitgeteilt, der mit allgemeiner Anästhesie der Körperdecken und Lähmung mehrerer der höheren Sinnesorgane behaftet war. Wenn man bei diesem Manne die wenigen noch offenen Sinnespforten von der Außenwelt abschloß, verfiel er in Schlaf. Wenn wir einschlafen wollen, pflegen wir alle eine Situation anzustreben, die jener im </w:t>
      </w:r>
      <w:r w:rsidRPr="00A06A59">
        <w:rPr>
          <w:rFonts w:ascii="Garamond" w:hAnsi="Garamond" w:cs="Arial"/>
          <w:i/>
          <w:iCs/>
          <w:color w:val="000000"/>
          <w:lang w:val="en-GB"/>
        </w:rPr>
        <w:t>Strümpell</w:t>
      </w:r>
      <w:r w:rsidRPr="00A06A59">
        <w:rPr>
          <w:rFonts w:ascii="Garamond" w:hAnsi="Garamond" w:cs="Arial"/>
          <w:color w:val="000000"/>
          <w:lang w:val="en-GB"/>
        </w:rPr>
        <w:t xml:space="preserve">schen Experimente ähnlich ist. Wir verschließen die wichtigsten Sinnespforten, die Augen, und suchen von den anderen Sinnen jeden Reiz oder jede Veränderung der auf sie wirkenden Reize abzuhalten. </w:t>
      </w:r>
      <w:r w:rsidRPr="00A06A59">
        <w:rPr>
          <w:rFonts w:ascii="Garamond" w:hAnsi="Garamond" w:cs="Arial"/>
          <w:color w:val="000000"/>
        </w:rPr>
        <w:t>Wir schlafen dann ein, obwohl uns unser Vorhaben nie völlig gelingt. Wir können weder die Reize vollständig von den Sinnesorganen fernhalten noch die Erregbarkeit unserer Sinnesorgane völlig aufheben. Daß wir durch stärkere Reize jederzeit zu erwecken sind, darf uns beweisen, »daß die Seele auch im Schlaf in fortdauernder Verbindung mit der außerleiblichen Welt« geblieben ist. Die Sinnesreize, die uns während des Schlafes zukommen, können sehr wohl zu Traumquellen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Von solchen Reizen gibt es nun eine große Reihe, von den unvermeidlichen an, die der Schlafzustand mit sich bringt oder nur gelegentlich zulassen muß, bis zum zufälligen Weckreiz, welcher geeignet oder dazu bestimmt ist, dem Schlafe ein Ende zu machen. </w:t>
      </w:r>
      <w:r w:rsidRPr="00A06A59">
        <w:rPr>
          <w:rFonts w:ascii="Garamond" w:hAnsi="Garamond" w:cs="Arial"/>
          <w:color w:val="000000"/>
          <w:lang w:val="en-GB"/>
        </w:rPr>
        <w:t>Es kann stärkeres Licht in die Augen dringen, ein Geräusch sich vernehmbar machen, ein riechender Stoff die Nasenschleimhaut erregen. Wir können im Schlaf durch ungewollte Bewegungen einzelne Körperteile entblößen und so der Abkühlungsempfindung aussetzen oder durch Lageveränderung uns selbst Druck- und Berührungsempfindungen erzeugen. Es kann uns eine Fliege stechen, oder ein kleiner nächtlicher Unfall kann mehrere Sinne zugleich bestürmen. Die Aufmerksamkeit der Beobachter hat eine ganze Reihe von Träumen gesammelt, in welchen der beim Erwachen konstatierte Reiz und ein Stück des Trauminhalts so weit übereinstimmten, daß der Reiz als Traumquelle erkannt werden konnte.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Sammlung solcher auf objektive – mehr oder minder akzidentelle – Sinnesreizung zurückgehender Träume führe ich hier nach </w:t>
      </w:r>
      <w:r w:rsidRPr="00A06A59">
        <w:rPr>
          <w:rFonts w:ascii="Garamond" w:hAnsi="Garamond" w:cs="Arial"/>
          <w:i/>
          <w:iCs/>
          <w:color w:val="000000"/>
          <w:lang w:val="en-GB"/>
        </w:rPr>
        <w:t>Jessen</w:t>
      </w:r>
      <w:r w:rsidRPr="00A06A59">
        <w:rPr>
          <w:rFonts w:ascii="Garamond" w:hAnsi="Garamond" w:cs="Arial"/>
          <w:color w:val="000000"/>
          <w:lang w:val="en-GB"/>
        </w:rPr>
        <w:t>, S. 527, an: »Jedes undeutlich wahrgenommene Geräusch erweckt entsprechende Traumbilder, das Rollen des Donners versetzt uns mitten in eine Schlacht, das Krähen eines Hahns kann sich in das Angstgeschrei eines Menschen verwandeln, das Knarren einer Tür Träume von räuberischen Einbrüchen hervorrufen.«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wir des Nachts unsere Bettdecke verlieren, so träumen wir vielleicht, daß wir nackt umhergehen oder daß wir ins Wasser gefallen sind. Wenn wir schräg im Bett liegen und die Füße über den Rand desselben herauskommen, so träumt uns vielleicht, daß wir am Rande eines schrecklichen Abgrundes stehen oder daß wir von einer steilen Höhe hinabstürzen. Kommt unser Kopf zufällig unter das Kopfkissen, so hängt ein großer Felsen über uns und steht im Begriff, uns unter seiner Last zu begraben. Anhäufungen des Samens erzeugen wollüstige Träume, örtliche Schmerzen die Idee erlittener Mißhandlungen, feindlicher Angriffe oder geschehender Körperverletzungen...«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Meier</w:t>
      </w:r>
      <w:r w:rsidRPr="00A06A59">
        <w:rPr>
          <w:rFonts w:ascii="Garamond" w:hAnsi="Garamond" w:cs="Arial"/>
          <w:color w:val="000000"/>
          <w:lang w:val="en-GB"/>
        </w:rPr>
        <w:t xml:space="preserve"> (Versuch einer Erklärung des Nachtwandelns, Halle 1758, S. 33) träumte einmal, daß er von einigen Personen überfallen würde, welche ihn der Länge nach auf den Rücken auf die Erde hinlegten und ihm zwischen die große und die nächste Zehe einen Pfahl in die Erde schlugen. Indem er sich dies im Traum vorstellte, erwachte er und fühlte, </w:t>
      </w:r>
      <w:r w:rsidRPr="00A06A59">
        <w:rPr>
          <w:rFonts w:ascii="Garamond" w:hAnsi="Garamond" w:cs="Arial"/>
          <w:color w:val="000000"/>
          <w:lang w:val="en-GB"/>
        </w:rPr>
        <w:lastRenderedPageBreak/>
        <w:t xml:space="preserve">daß ihm ein Strohhalm zwischen den Zehen stecke. Demselben soll nach </w:t>
      </w:r>
      <w:r w:rsidRPr="00A06A59">
        <w:rPr>
          <w:rFonts w:ascii="Garamond" w:hAnsi="Garamond" w:cs="Arial"/>
          <w:i/>
          <w:iCs/>
          <w:color w:val="000000"/>
          <w:lang w:val="en-GB"/>
        </w:rPr>
        <w:t>Hennings</w:t>
      </w:r>
      <w:r w:rsidRPr="00A06A59">
        <w:rPr>
          <w:rFonts w:ascii="Garamond" w:hAnsi="Garamond" w:cs="Arial"/>
          <w:color w:val="000000"/>
          <w:lang w:val="en-GB"/>
        </w:rPr>
        <w:t xml:space="preserve"> (Von den Träumen und Nachtwandlern. Weimar 1784, S. 258) ein anderes Mal, als er sein Hemd am Halse etwas fest zusammengesteckt hatte, geträumt haben, daß er gehenkt würde. </w:t>
      </w:r>
      <w:r w:rsidRPr="00A06A59">
        <w:rPr>
          <w:rFonts w:ascii="Garamond" w:hAnsi="Garamond" w:cs="Arial"/>
          <w:i/>
          <w:iCs/>
          <w:color w:val="000000"/>
          <w:lang w:val="en-GB"/>
        </w:rPr>
        <w:t>Hoffbauer</w:t>
      </w:r>
      <w:r w:rsidRPr="00A06A59">
        <w:rPr>
          <w:rFonts w:ascii="Garamond" w:hAnsi="Garamond" w:cs="Arial"/>
          <w:color w:val="000000"/>
          <w:lang w:val="en-GB"/>
        </w:rPr>
        <w:t xml:space="preserve"> träumte in seiner Jugend, von einer hohen Mauer hinabzufallen, und bemerkte beim Erwachen, daß die Bettstelle auseinandergegangen und daß er wirklich gefallen war... </w:t>
      </w:r>
      <w:r w:rsidRPr="00A06A59">
        <w:rPr>
          <w:rFonts w:ascii="Garamond" w:hAnsi="Garamond" w:cs="Arial"/>
          <w:i/>
          <w:iCs/>
          <w:color w:val="000000"/>
          <w:lang w:val="en-GB"/>
        </w:rPr>
        <w:t>Gregory</w:t>
      </w:r>
      <w:r w:rsidRPr="00A06A59">
        <w:rPr>
          <w:rFonts w:ascii="Garamond" w:hAnsi="Garamond" w:cs="Arial"/>
          <w:color w:val="000000"/>
          <w:lang w:val="en-GB"/>
        </w:rPr>
        <w:t xml:space="preserve"> berichtet, er habe einmal beim Zubettegehen eine Flasche mit heißem Wasser an die Füße gelegt und darauf im Traum eine Reise auf die Spitze des Ätna gemacht, wo er die Hitze des Erdbodens fast unerträglich gefunden. Ein anderer träumte nach einem auf den Kopf gelegten Blasenpflaster, daß er von einem Haufen von Indianern skalpiert werde; ein dritter, der in einem feuchten Hemde schlief, glaubte durch einen Strom gezogen zu werden. Ein im Schlaf eintretender Anfall von Podagra ließ einen Kranken glauben, er sei in den Händen der Inquisition und erdulde die Qualen der Folter ( </w:t>
      </w:r>
      <w:r w:rsidRPr="00A06A59">
        <w:rPr>
          <w:rFonts w:ascii="Garamond" w:hAnsi="Garamond" w:cs="Arial"/>
          <w:i/>
          <w:iCs/>
          <w:color w:val="000000"/>
          <w:lang w:val="en-GB"/>
        </w:rPr>
        <w:t>Macnish</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auf die Ähnlichkeit zwischen Reiz und Trauminhalt gegründete Argument läßt eine Verstärkung zu, wenn es gelingt, bei einem Schlafenden durch planmäßige Anbringung von Sinnesreizen dem Reiz entsprechende Träume zu erzeugen. Solche Versuche hat nach </w:t>
      </w:r>
      <w:r w:rsidRPr="00A06A59">
        <w:rPr>
          <w:rFonts w:ascii="Garamond" w:hAnsi="Garamond" w:cs="Arial"/>
          <w:i/>
          <w:iCs/>
          <w:color w:val="000000"/>
          <w:lang w:val="en-GB"/>
        </w:rPr>
        <w:t>Macnish</w:t>
      </w:r>
      <w:r w:rsidRPr="00A06A59">
        <w:rPr>
          <w:rFonts w:ascii="Garamond" w:hAnsi="Garamond" w:cs="Arial"/>
          <w:color w:val="000000"/>
          <w:lang w:val="en-GB"/>
        </w:rPr>
        <w:t xml:space="preserve"> schon </w:t>
      </w:r>
      <w:r w:rsidRPr="00A06A59">
        <w:rPr>
          <w:rFonts w:ascii="Garamond" w:hAnsi="Garamond" w:cs="Arial"/>
          <w:i/>
          <w:iCs/>
          <w:color w:val="000000"/>
          <w:lang w:val="en-GB"/>
        </w:rPr>
        <w:t>Giron</w:t>
      </w:r>
      <w:r w:rsidRPr="00A06A59">
        <w:rPr>
          <w:rFonts w:ascii="Garamond" w:hAnsi="Garamond" w:cs="Arial"/>
          <w:color w:val="000000"/>
          <w:lang w:val="en-GB"/>
        </w:rPr>
        <w:t xml:space="preserve"> de </w:t>
      </w:r>
      <w:r w:rsidRPr="00A06A59">
        <w:rPr>
          <w:rFonts w:ascii="Garamond" w:hAnsi="Garamond" w:cs="Arial"/>
          <w:i/>
          <w:iCs/>
          <w:color w:val="000000"/>
          <w:lang w:val="en-GB"/>
        </w:rPr>
        <w:t>Buzareingues</w:t>
      </w:r>
      <w:r w:rsidRPr="00A06A59">
        <w:rPr>
          <w:rFonts w:ascii="Garamond" w:hAnsi="Garamond" w:cs="Arial"/>
          <w:color w:val="000000"/>
          <w:lang w:val="en-GB"/>
        </w:rPr>
        <w:t xml:space="preserve"> angestellt. »Er ließ seine Knie unbedeckt und träumte, daß er in der Nacht auf einem Postwagen reise. Er bemerkt dabei, daß Reisende wohl wissen würden, wie in einer Kutsche die Knie des Nachts kalt würden. Ein anderes Mal ließ er den Kopf hinten unbedeckt und träumte, daß er einer religiösen Zeremonie in freier Luft beiwohne. Es war nämlich in dem Lande, in welchem er lebte, Sitte, den Kopf stets bedeckt zu tragen, ausgenommen bei solchen Veranlassungen wie die eben genannte.«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Maury</w:t>
      </w:r>
      <w:r w:rsidRPr="00A06A59">
        <w:rPr>
          <w:rFonts w:ascii="Garamond" w:hAnsi="Garamond" w:cs="Arial"/>
          <w:color w:val="000000"/>
          <w:lang w:val="en-GB"/>
        </w:rPr>
        <w:t xml:space="preserve"> teilt neue Beobachtungen von an ihm selbst erzeugten Träumen mit. (Eine Reihe anderer Versuche brachte keinen Erfolg.)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1) Er wird an Lippen und Nasenspitze mit einer Feder gekitzelt. – Träumt von einer schrecklichen Tortur; eine Pechlarve wird ihm aufs Gesicht gelegt, dann weggerissen, so daß die Haut mitgeht.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2) Man wetzt eine Schere an einer Pinzette. – Er hört Glocken läuten, dann Sturmläuten und ist in die Junitage des Jahres 1848 versetzt.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3) Man läßt ihn Kölnerwasser riechen. – Er ist in Kairo im Laden von Johann Maria Farina. Daran schließen sich tolle Abenteuer, die er nicht reproduzieren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4) Man kneipt ihn leicht in den Nacken. – Er träumt, daß man ihm ein Blasenpflaster auflegt, und denkt an einen Arzt, der ihn als Kind behandelt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5) Man nähert ein heißes Eisen seinem Gesicht. Er träumt von den »Heizern« </w:t>
      </w:r>
      <w:hyperlink r:id="rId2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i/>
            <w:iCs/>
            <w:lang w:val="en-GB"/>
          </w:rPr>
          <w:t>Chauffeurs</w:t>
        </w:r>
        <w:r w:rsidRPr="00A06A59">
          <w:rPr>
            <w:rStyle w:val="innerfusslink3"/>
            <w:rFonts w:ascii="Garamond" w:hAnsi="Garamond" w:cs="Arial"/>
            <w:b/>
            <w:bCs/>
            <w:lang w:val="en-GB"/>
          </w:rPr>
          <w:t xml:space="preserve"> hießen Banden von Räubern in der Vendée, die sich dieser Tortur bedienten.</w:t>
        </w:r>
      </w:hyperlink>
      <w:r w:rsidRPr="00A06A59">
        <w:rPr>
          <w:rFonts w:ascii="Garamond" w:hAnsi="Garamond" w:cs="Arial"/>
          <w:color w:val="000000"/>
          <w:lang w:val="en-GB"/>
        </w:rPr>
        <w:t xml:space="preserve">, die sich ins Haus eingeschlichen haben und die Bewohner zwingen, ihr Geld herauszugeben, indem sie ihnen die Füße ins Kohlenbecken stecken. Dann tritt die Herzogin von </w:t>
      </w:r>
      <w:r w:rsidRPr="00A06A59">
        <w:rPr>
          <w:rFonts w:ascii="Garamond" w:hAnsi="Garamond" w:cs="Arial"/>
          <w:i/>
          <w:iCs/>
          <w:color w:val="000000"/>
          <w:lang w:val="en-GB"/>
        </w:rPr>
        <w:t>Abrantès</w:t>
      </w:r>
      <w:r w:rsidRPr="00A06A59">
        <w:rPr>
          <w:rFonts w:ascii="Garamond" w:hAnsi="Garamond" w:cs="Arial"/>
          <w:color w:val="000000"/>
          <w:lang w:val="en-GB"/>
        </w:rPr>
        <w:t xml:space="preserve"> auf, deren Sekretär er im Traume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8) Man gießt ihm einen Tropfen Wasser auf die Stirne. – Er ist in Italien, schwitzt heftig und trinkt den weißen Wein von </w:t>
      </w:r>
      <w:r w:rsidRPr="00A06A59">
        <w:rPr>
          <w:rFonts w:ascii="Garamond" w:hAnsi="Garamond" w:cs="Arial"/>
          <w:i/>
          <w:iCs/>
          <w:color w:val="000000"/>
          <w:lang w:val="en-GB"/>
        </w:rPr>
        <w:t>Orvieto</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9) Man läßt wiederholt durch ein rotes Papier das Licht einer Kerze auf ihn fallen. – Er träumt vom Wetter, von Hitze und befindet sich wieder in einem Seesturm, den er einmal auf dem Kanal </w:t>
      </w:r>
      <w:r w:rsidRPr="00A06A59">
        <w:rPr>
          <w:rFonts w:ascii="Garamond" w:hAnsi="Garamond" w:cs="Arial"/>
          <w:i/>
          <w:iCs/>
          <w:color w:val="000000"/>
          <w:lang w:val="en-GB"/>
        </w:rPr>
        <w:t>La Manche</w:t>
      </w:r>
      <w:r w:rsidRPr="00A06A59">
        <w:rPr>
          <w:rFonts w:ascii="Garamond" w:hAnsi="Garamond" w:cs="Arial"/>
          <w:color w:val="000000"/>
          <w:lang w:val="en-GB"/>
        </w:rPr>
        <w:t xml:space="preserve"> mitgemacht.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Andere Versuche, Träume experimentell zu erzeugen, rühren von d'Hervey, Weygandt u. a. her.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Von mehreren Seiten ist die »auffällige Fertigkeit des Traumes bemerkt worden, plötzliche Eindrücke aus der Sinneswelt dergestalt in seine Gebilde zu verweben, daß sie in diesen eine allmählich schon vorbereitete und eingeleitete Katastrophe bilden« ( </w:t>
      </w:r>
      <w:r w:rsidRPr="00A06A59">
        <w:rPr>
          <w:rFonts w:ascii="Garamond" w:hAnsi="Garamond" w:cs="Arial"/>
          <w:i/>
          <w:iCs/>
          <w:color w:val="000000"/>
          <w:lang w:val="en-GB"/>
        </w:rPr>
        <w:t>Hildebrandt</w:t>
      </w:r>
      <w:r w:rsidRPr="00A06A59">
        <w:rPr>
          <w:rFonts w:ascii="Garamond" w:hAnsi="Garamond" w:cs="Arial"/>
          <w:color w:val="000000"/>
          <w:lang w:val="en-GB"/>
        </w:rPr>
        <w:t>). »In jüngeren Jahren«, erzählt dieser Autor, »bediente ich mich zuzeiten, um regelmäßig in bestimmter Morgenstunde aufzustehen, des bekannten, meist an Uhrwerken angebrachten Weckers. Wohl zu hundertmalen ist mirs begegnet, daß der Ton dieses Instrumentes in einen vermeintlich sehr langen und zusammenhängenden Traum dergestalt hineinpaßte, als ob dieser ganze Traum eben nur auf ihn angelegt sei und in ihm seine eigentliche logisch unentbehrliche Pointe, sein natürlich gewiesenes Endziel fände.«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werde drei dieser Weckerträume noch in anderer Absicht zitieren.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Volkelt</w:t>
      </w:r>
      <w:r w:rsidRPr="00A06A59">
        <w:rPr>
          <w:rFonts w:ascii="Garamond" w:hAnsi="Garamond" w:cs="Arial"/>
          <w:color w:val="000000"/>
          <w:lang w:val="en-GB"/>
        </w:rPr>
        <w:t xml:space="preserve"> (S. 68) erzählt: »Einem Komponisten träumte einmal, er halte Schule und wolle eben seinen Schülern etwas klarmachen. Schon ist er damit fertig und wendet sich an einen der Knaben mit der Frage: ›Hast du mich verstanden?‹ Dieser schreit wie ein Besessener: ›Oh ja.‹Ungehalten hierüber verweist er ihm das Schreien. Doch schon schreit die ganze Klasse: › </w:t>
      </w:r>
      <w:r w:rsidRPr="00A06A59">
        <w:rPr>
          <w:rFonts w:ascii="Garamond" w:hAnsi="Garamond" w:cs="Arial"/>
          <w:i/>
          <w:iCs/>
          <w:color w:val="000000"/>
          <w:lang w:val="en-GB"/>
        </w:rPr>
        <w:t>Orja.</w:t>
      </w:r>
      <w:r w:rsidRPr="00A06A59">
        <w:rPr>
          <w:rFonts w:ascii="Garamond" w:hAnsi="Garamond" w:cs="Arial"/>
          <w:color w:val="000000"/>
          <w:lang w:val="en-GB"/>
        </w:rPr>
        <w:t xml:space="preserve">‹ Hierauf: › </w:t>
      </w:r>
      <w:r w:rsidRPr="00A06A59">
        <w:rPr>
          <w:rFonts w:ascii="Garamond" w:hAnsi="Garamond" w:cs="Arial"/>
          <w:i/>
          <w:iCs/>
          <w:color w:val="000000"/>
          <w:lang w:val="en-GB"/>
        </w:rPr>
        <w:t>Eurjo.</w:t>
      </w:r>
      <w:r w:rsidRPr="00A06A59">
        <w:rPr>
          <w:rFonts w:ascii="Garamond" w:hAnsi="Garamond" w:cs="Arial"/>
          <w:color w:val="000000"/>
          <w:lang w:val="en-GB"/>
        </w:rPr>
        <w:t xml:space="preserve">‹ Und endlich: › </w:t>
      </w:r>
      <w:r w:rsidRPr="00A06A59">
        <w:rPr>
          <w:rFonts w:ascii="Garamond" w:hAnsi="Garamond" w:cs="Arial"/>
          <w:i/>
          <w:iCs/>
          <w:color w:val="000000"/>
          <w:lang w:val="en-GB"/>
        </w:rPr>
        <w:t>Feuerjo.</w:t>
      </w:r>
      <w:r w:rsidRPr="00A06A59">
        <w:rPr>
          <w:rFonts w:ascii="Garamond" w:hAnsi="Garamond" w:cs="Arial"/>
          <w:color w:val="000000"/>
          <w:lang w:val="en-GB"/>
        </w:rPr>
        <w:t>‹ Und nun erwacht er von wirklichem Feuerjogeschrei auf der Straße.«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lastRenderedPageBreak/>
        <w:t>Garnier</w:t>
      </w:r>
      <w:r w:rsidRPr="00A06A59">
        <w:rPr>
          <w:rFonts w:ascii="Garamond" w:hAnsi="Garamond" w:cs="Arial"/>
          <w:color w:val="000000"/>
          <w:lang w:val="en-GB"/>
        </w:rPr>
        <w:t xml:space="preserve"> (Traité des facultés de l'âme, 1865) bei </w:t>
      </w:r>
      <w:r w:rsidRPr="00A06A59">
        <w:rPr>
          <w:rFonts w:ascii="Garamond" w:hAnsi="Garamond" w:cs="Arial"/>
          <w:i/>
          <w:iCs/>
          <w:color w:val="000000"/>
          <w:lang w:val="en-GB"/>
        </w:rPr>
        <w:t>Radestock</w:t>
      </w:r>
      <w:r w:rsidRPr="00A06A59">
        <w:rPr>
          <w:rFonts w:ascii="Garamond" w:hAnsi="Garamond" w:cs="Arial"/>
          <w:color w:val="000000"/>
          <w:lang w:val="en-GB"/>
        </w:rPr>
        <w:t xml:space="preserve"> berichtet, daß Napoleon I. durch die Explosion der Höllenmaschine aus einem Traum geweckt wurde, den er im Wagen schlafend hatte und der ihn den Übergang über den Tagliamento und die Kanonade der Österreicher wieder erleben ließ, bis er mit dem Ausruf aufschreckte: »Wir sind unterminiert.«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Zur Berühmtheit gelangt ist ein Traum, den </w:t>
      </w:r>
      <w:r w:rsidRPr="00A06A59">
        <w:rPr>
          <w:rFonts w:ascii="Garamond" w:hAnsi="Garamond" w:cs="Arial"/>
          <w:i/>
          <w:iCs/>
          <w:color w:val="000000"/>
          <w:lang w:val="en-GB"/>
        </w:rPr>
        <w:t>Maury</w:t>
      </w:r>
      <w:r w:rsidRPr="00A06A59">
        <w:rPr>
          <w:rFonts w:ascii="Garamond" w:hAnsi="Garamond" w:cs="Arial"/>
          <w:color w:val="000000"/>
          <w:lang w:val="en-GB"/>
        </w:rPr>
        <w:t xml:space="preserve"> erlebt hat (Le sommeil, p. 161). Er war leidend und lag in seinem Zimmer zu Bett; seine Mutter saß neben ihm. Er träumte nun von der Schreckensherrschaft zur Zeit der Revolution, machte greuliche Mordszenen mit und wurde dann endlich selbst vor den Gerichtshof zitiert. Dort sah er Robespierre, Marat, Fouquier-Tinville und alle die traurigen Helden jener gräßlichen Epoche, stand ihnen Rede, wurde nach allerlei Zwischenfällen, die sich in seiner Erinnerung nicht fixierten, verurteilt und dann, von einer unübersehbaren Menge begleitet, auf den Richtplatz geführt. Er steigt aufs Schafott, der Scharfrichter bindet ihn aufs Brett; es kippt um; das Messer der Guillotine fällt herab; er fühlt, wie sein Haupt vom Rumpf getrennt wird, wacht in der entsetzlichsten Angst auf – und findet, daß der Bettaufsatz herabgefallen war und seine Halswirbel, wirklich ähnlich wie das Messer der Guillotine, getroffen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 diesen Traum knüpft sich eine interessante, von </w:t>
      </w:r>
      <w:r w:rsidRPr="00A06A59">
        <w:rPr>
          <w:rFonts w:ascii="Garamond" w:hAnsi="Garamond" w:cs="Arial"/>
          <w:i/>
          <w:iCs/>
          <w:color w:val="000000"/>
          <w:lang w:val="en-GB"/>
        </w:rPr>
        <w:t>Le Lorrain</w:t>
      </w:r>
      <w:r w:rsidRPr="00A06A59">
        <w:rPr>
          <w:rFonts w:ascii="Garamond" w:hAnsi="Garamond" w:cs="Arial"/>
          <w:color w:val="000000"/>
          <w:lang w:val="en-GB"/>
        </w:rPr>
        <w:t xml:space="preserve"> und </w:t>
      </w:r>
      <w:r w:rsidRPr="00A06A59">
        <w:rPr>
          <w:rFonts w:ascii="Garamond" w:hAnsi="Garamond" w:cs="Arial"/>
          <w:i/>
          <w:iCs/>
          <w:color w:val="000000"/>
          <w:lang w:val="en-GB"/>
        </w:rPr>
        <w:t>Egger</w:t>
      </w:r>
      <w:r w:rsidRPr="00A06A59">
        <w:rPr>
          <w:rFonts w:ascii="Garamond" w:hAnsi="Garamond" w:cs="Arial"/>
          <w:color w:val="000000"/>
          <w:lang w:val="en-GB"/>
        </w:rPr>
        <w:t xml:space="preserve"> in der </w:t>
      </w:r>
      <w:r w:rsidRPr="00A06A59">
        <w:rPr>
          <w:rFonts w:ascii="Garamond" w:hAnsi="Garamond" w:cs="Arial"/>
          <w:i/>
          <w:iCs/>
          <w:color w:val="000000"/>
          <w:lang w:val="en-GB"/>
        </w:rPr>
        <w:t>Revue philosophique</w:t>
      </w:r>
      <w:r w:rsidRPr="00A06A59">
        <w:rPr>
          <w:rFonts w:ascii="Garamond" w:hAnsi="Garamond" w:cs="Arial"/>
          <w:color w:val="000000"/>
          <w:lang w:val="en-GB"/>
        </w:rPr>
        <w:t xml:space="preserve"> eingeleitete Diskussion, ob und wie es dem Träumer möglich werde, in dem kurzen Zeitraum, der zwischen der Wahrnehmung des Weckreizes und dem Erwachen verstreicht, eine anscheinend so überaus reiche Fülle von Trauminhalt zusammenzudrängen.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Beispiele dieser Art lassen die objektiven Sinnesreizungen während des Schlafes als die am besten sichergestellte unter den Traumquellen erscheinen. Sie ist es auch, die in der Kenntnis des Laien einzig und allein eine Rolle spielt. Fragt man einen Gebildeten, der sonst der Traumliteratur fremd geblieben ist, wie die Träume zustande kommen, so wird er zweifellos mit der Berufung auf einen ihm bekanntgewordenen Fall antworten, in dem ein Traum durch einen nach dem Erwachen erkannten objektiven Sinnesreiz aufgeklärt wurde. Die wissenschaftliche Betrachtung kann dabei nicht haltmachen; sie schöpft den Anlaß zu weiteren Fragen aus der Beobachtung, daß der während des Schlafes auf die Sinne einwirkende Reiz im Traume ja nicht in seiner wirklichen Gestalt auftritt, sondern durch irgendeine andere Vorstellung vertreten wird, die in irgendwelcher Beziehung zu ihm steht. </w:t>
      </w:r>
      <w:r w:rsidRPr="00A06A59">
        <w:rPr>
          <w:rFonts w:ascii="Garamond" w:hAnsi="Garamond" w:cs="Arial"/>
          <w:color w:val="000000"/>
        </w:rPr>
        <w:t xml:space="preserve">Die Beziehung aber, die den Traumreiz und den Traumerfolg verbindet, ist nach den Worten Maurys » </w:t>
      </w:r>
      <w:r w:rsidRPr="00A06A59">
        <w:rPr>
          <w:rFonts w:ascii="Garamond" w:hAnsi="Garamond" w:cs="Arial"/>
          <w:i/>
          <w:iCs/>
          <w:color w:val="000000"/>
        </w:rPr>
        <w:t>une affinité quelconque, mais qui n'est pas unique et exclusive</w:t>
      </w:r>
      <w:r w:rsidRPr="00A06A59">
        <w:rPr>
          <w:rFonts w:ascii="Garamond" w:hAnsi="Garamond" w:cs="Arial"/>
          <w:color w:val="000000"/>
        </w:rPr>
        <w:t xml:space="preserve">« (Analogies, p. 72). </w:t>
      </w:r>
      <w:r w:rsidRPr="00A06A59">
        <w:rPr>
          <w:rFonts w:ascii="Garamond" w:hAnsi="Garamond" w:cs="Arial"/>
          <w:color w:val="000000"/>
          <w:lang w:val="en-GB"/>
        </w:rPr>
        <w:t xml:space="preserve">Man höre z. B. drei der Weckerträume </w:t>
      </w:r>
      <w:r w:rsidRPr="00A06A59">
        <w:rPr>
          <w:rFonts w:ascii="Garamond" w:hAnsi="Garamond" w:cs="Arial"/>
          <w:i/>
          <w:iCs/>
          <w:color w:val="000000"/>
          <w:lang w:val="en-GB"/>
        </w:rPr>
        <w:t>Hildebrandts</w:t>
      </w:r>
      <w:r w:rsidRPr="00A06A59">
        <w:rPr>
          <w:rFonts w:ascii="Garamond" w:hAnsi="Garamond" w:cs="Arial"/>
          <w:color w:val="000000"/>
          <w:lang w:val="en-GB"/>
        </w:rPr>
        <w:t xml:space="preserve"> (1875, </w:t>
      </w:r>
      <w:smartTag w:uri="urn:schemas-microsoft-com:office:smarttags" w:element="metricconverter">
        <w:smartTagPr>
          <w:attr w:name="ProductID" w:val="37 f"/>
        </w:smartTagPr>
        <w:r w:rsidRPr="00A06A59">
          <w:rPr>
            <w:rFonts w:ascii="Garamond" w:hAnsi="Garamond" w:cs="Arial"/>
            <w:color w:val="000000"/>
            <w:lang w:val="en-GB"/>
          </w:rPr>
          <w:t>37 f</w:t>
        </w:r>
      </w:smartTag>
      <w:r w:rsidRPr="00A06A59">
        <w:rPr>
          <w:rFonts w:ascii="Garamond" w:hAnsi="Garamond" w:cs="Arial"/>
          <w:color w:val="000000"/>
          <w:lang w:val="en-GB"/>
        </w:rPr>
        <w:t>.); man wird sich dann die Frage vorzulegen haben, warum derselbe Reiz so verschiedene und warum er gerade diese Traumerfolge hervorrief: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(S. 37) »Also ich gehe an einem Frühlingsmorgen spazieren und schlendre durch die grünenden Felder weiter bis zu einem benachbarten Dorfe, dort sehe ich die Bewohner in Feierkleidern, das Gesangbuch unter dem Arm, zahlreich der Kirche zuwandern. Richtig! Es ist ja Sonntag, und der Frühgottesdienst wird bald beginnen. Ich beschließe, an diesem teilzunehmen, zuvor aber, weil ich etwas echauffiert bin, auf dem die Kirche umgebenden Friedhofe mich abzukühlen. Während ich hier verschiedene Grabschriften lese, höre ich den Glöckner den Turm hinansteigen und sehe nun in der Höhe des letzteren die kleine Dorfglocke, die das Zeichen zum Beginn der Andacht geben wird. Noch eine ganze Weile hängt sie bewegungslos da, dann fängt sie an zu schwingen – und plötzlich ertönen ihre Schläge hell und durchdringend – so hell und durchdringend, daß sie meinem Schlaf ein Ende machen. Die Glockentöne aber kommen von dem Wecker.«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zweite Kombination. Es ist heller Wintertag; die Straßen sind hoch mit Schnee bedeckt. Ich habe meine Teilnahme an einer Schlittenfahrt zugesagt, muß aber lange warten, bis die Meldung erfolgt, der Schlitten stehe vor der Tür. Jetzt erfolgen die Vorbereitungen zum Einsteigen – der Pelz wird angelegt, der Fußsack hervorgeholt – und endlich sitze ich auf meinem Platze. Aber noch verzögert sich die Abfahrt, bis die Zügel den harrenden Rossen das fühlbare Zeichen geben. Nun ziehen diese an; die kräftig geschüttelten Schellen beginnen ihre wohlbekannte Janitscharenmusik mit einer Mächtigkeit, die augenblicklich das Spinngewebe des Traumes zerreißt. Wieder ist's nichts anderes als der schrille Ton der Weckerglocke.«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»Noch das dritte Beispiel! Ich sehe ein Küchenmädchen mit einigen Dutzend aufgetürmter Teller den Korridor entlang zum Speisezimmer schreiten. Die Porzellansäule in ihren Armen scheint mir in Gefahr, das Gleichgewicht zu verlieren. ›Nimm dich in acht‹, warne ich, ›die ganze Ladung wird zur Erde fallen.‹ Natürlich bleibt der obligate Widerspruch nicht aus: man sei dergleichen schon gewohnt usw., während dessen ich noch immer mit Blicken der Besorgnis die Wandelnde begleite. Richtig, an der Türschwelle erfolgt ein Straucheln, – das zerbrechliche Geschirr fällt und rasselt und prasselt in hundert Scherben auf dem Fußboden umher. Aber – das endlos sich fortsetzende Getön ist doch, wie ich bald merke, kein eigentliches Rasseln, sondern ein richtiges Klingeln – und mit diesem Klingeln hat, wie nunmehr der Erwachende erkennt, nur der Wecker seine Schuldigkeit getan.«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Die Frage, warum die Seele im Traum die Natur des objektiven Sinnesreizes verkenne, ist von </w:t>
      </w:r>
      <w:r w:rsidRPr="00A06A59">
        <w:rPr>
          <w:rFonts w:ascii="Garamond" w:hAnsi="Garamond" w:cs="Arial"/>
          <w:i/>
          <w:iCs/>
          <w:color w:val="000000"/>
          <w:lang w:val="en-GB"/>
        </w:rPr>
        <w:t>Strümpell</w:t>
      </w:r>
      <w:r w:rsidRPr="00A06A59">
        <w:rPr>
          <w:rFonts w:ascii="Garamond" w:hAnsi="Garamond" w:cs="Arial"/>
          <w:color w:val="000000"/>
          <w:lang w:val="en-GB"/>
        </w:rPr>
        <w:t xml:space="preserve"> – und fast ebenso von </w:t>
      </w:r>
      <w:r w:rsidRPr="00A06A59">
        <w:rPr>
          <w:rFonts w:ascii="Garamond" w:hAnsi="Garamond" w:cs="Arial"/>
          <w:i/>
          <w:iCs/>
          <w:color w:val="000000"/>
          <w:lang w:val="en-GB"/>
        </w:rPr>
        <w:t>Wundt</w:t>
      </w:r>
      <w:r w:rsidRPr="00A06A59">
        <w:rPr>
          <w:rFonts w:ascii="Garamond" w:hAnsi="Garamond" w:cs="Arial"/>
          <w:color w:val="000000"/>
          <w:lang w:val="en-GB"/>
        </w:rPr>
        <w:t xml:space="preserve"> – dahin beantwortet worden, daß sie sich gegen solche im Schlaf angreifende Reize unter den Bedingungen der Illusionsbildung befindet. Ein Sinneseindruck wird von uns </w:t>
      </w:r>
      <w:r w:rsidRPr="00A06A59">
        <w:rPr>
          <w:rFonts w:ascii="Garamond" w:hAnsi="Garamond" w:cs="Arial"/>
          <w:i/>
          <w:iCs/>
          <w:color w:val="000000"/>
          <w:lang w:val="en-GB"/>
        </w:rPr>
        <w:t>erkannt, richtig gedeutet</w:t>
      </w:r>
      <w:r w:rsidRPr="00A06A59">
        <w:rPr>
          <w:rFonts w:ascii="Garamond" w:hAnsi="Garamond" w:cs="Arial"/>
          <w:color w:val="000000"/>
          <w:lang w:val="en-GB"/>
        </w:rPr>
        <w:t xml:space="preserve">, d. h. unter die Erinnerungsgruppe eingereiht, in die er nach allen vorausgegangenen Erfahrungen gehört, wenn der Eindruck stark, deutlich, dauerhaft genug ist und wenn uns die für diese Überlegung erforderliche Zeit zu Gebote steht. Sind diese Bedingungen nicht erfüllt, so verkennen wir das Objekt, von dem der Eindruck herrührt; wir bilden auf Grund desselben eine Illusion. »Wenn jemand auf freiem Felde spazierengeht und einen entfernten Gegenstand undeutlich wahrnimmt, kann es kommen, daß er denselben zuerst für ein Pferd hält.« Bei näherem Zusehen kann die Deutung einer ruhenden Kuh sich aufdrängen, und endlich kann sich die Vorstellung mit Bestimmtheit in die einer Gruppe von sitzenden Menschen auflösen. Ähnlich unbestimmter Natur sind nun die Eindrücke, welche die Seele im Schlafe durch äußere Reize empfängt; sie bildet auf Grund derselben Illusionen, indem durch den Eindruck eine größere oder kleinere Anzahl von Erinnerungsbildern wachgerufen wird, durch welche der Eindruck seinen psychischen Wert bekommt. Aus welchem der vielen in Betracht kommenden Erinnerungskreise die zugehörigen Bilder geweckt werden und welche der möglichen Assoziationsbeziehungen dabei in Kraft treten, dies bleibt auch nach </w:t>
      </w:r>
      <w:r w:rsidRPr="00A06A59">
        <w:rPr>
          <w:rFonts w:ascii="Garamond" w:hAnsi="Garamond" w:cs="Arial"/>
          <w:i/>
          <w:iCs/>
          <w:color w:val="000000"/>
          <w:lang w:val="en-GB"/>
        </w:rPr>
        <w:t>Strümpell</w:t>
      </w:r>
      <w:r w:rsidRPr="00A06A59">
        <w:rPr>
          <w:rFonts w:ascii="Garamond" w:hAnsi="Garamond" w:cs="Arial"/>
          <w:color w:val="000000"/>
          <w:lang w:val="en-GB"/>
        </w:rPr>
        <w:t xml:space="preserve"> unbestimmbar und gleichsam der Willkür des Seelenlebens überlassen.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stehen hier vor einer Wahl. Wir können zugeben, daß die Gesetzmäßigkeit in der Traumbildung wirklich nicht weiter zu verfolgen ist, und somit verzichten zu fragen, ob die Deutung der durch den Sinneseindruck hervorgerufenen Illusion nicht noch anderen Bedingungen unterliegt. Oder wir können auf die Vermutung geraten, daß die im Schlaf angreifende objektive Sinnesreizung als Traumquelle nur eine bescheidene Rolle spielt und daß andere Momente die Auswahl der wachzurufenden Erinnerungsbilder determinieren. In der Tat, wenn man die experimentell erzeugten Träume </w:t>
      </w:r>
      <w:r w:rsidRPr="00A06A59">
        <w:rPr>
          <w:rFonts w:ascii="Garamond" w:hAnsi="Garamond" w:cs="Arial"/>
          <w:i/>
          <w:iCs/>
          <w:color w:val="000000"/>
          <w:lang w:val="en-GB"/>
        </w:rPr>
        <w:t>Maurys</w:t>
      </w:r>
      <w:r w:rsidRPr="00A06A59">
        <w:rPr>
          <w:rFonts w:ascii="Garamond" w:hAnsi="Garamond" w:cs="Arial"/>
          <w:color w:val="000000"/>
          <w:lang w:val="en-GB"/>
        </w:rPr>
        <w:t xml:space="preserve"> prüft, die ich in dieser Absicht so ausführlich mitgeteilt habe, so ist man versucht zu sagen, der angestellte Versuch deckt eigentlich nur eines der Traumelemente nach seiner Herkunft, und der übrige Trauminhalt erscheint vielmehr zu selbständig, zu sehr im einzelnen bestimmt, als daß er durch die eine Anforderung, er müsse sich mit dem experimentell eingeführten Element vertragen, aufgeklärt werden könnte. Ja man beginnt selbst an der Illusionstheorie und an der Macht des objektiven Eindrucks, den Traum zu gestalten, zu zweifeln, wenn man erfährt, daß dieser Eindruck gelegentlich die allersonderbarste und entlegenste Deutung im Traume erfährt. So erzählt z. B. </w:t>
      </w:r>
      <w:r w:rsidRPr="00A06A59">
        <w:rPr>
          <w:rFonts w:ascii="Garamond" w:hAnsi="Garamond" w:cs="Arial"/>
          <w:i/>
          <w:iCs/>
          <w:color w:val="000000"/>
          <w:lang w:val="en-GB"/>
        </w:rPr>
        <w:t>M. Simon</w:t>
      </w:r>
      <w:r w:rsidRPr="00A06A59">
        <w:rPr>
          <w:rFonts w:ascii="Garamond" w:hAnsi="Garamond" w:cs="Arial"/>
          <w:color w:val="000000"/>
          <w:lang w:val="en-GB"/>
        </w:rPr>
        <w:t xml:space="preserve"> einen Traum, in dem er riesenhafte Personen bei Tische sitzen sah und deutlich das furchtbare Geklapper hörte, das ihre aufeinanderschlagenden Kiefer beim Kauen erzeugten. Als er erwachte, hörte er den Hufschlag eines vor seinem Fenster vorbeigaloppierenden Pferdes. Wenn hier der Lärm der Pferdehufe gerade Vorstellungen aus dem Erinnerungskreis von </w:t>
      </w:r>
      <w:r w:rsidRPr="00A06A59">
        <w:rPr>
          <w:rFonts w:ascii="Garamond" w:hAnsi="Garamond" w:cs="Arial"/>
          <w:i/>
          <w:iCs/>
          <w:color w:val="000000"/>
          <w:lang w:val="en-GB"/>
        </w:rPr>
        <w:t>GulliversReisen</w:t>
      </w:r>
      <w:r w:rsidRPr="00A06A59">
        <w:rPr>
          <w:rFonts w:ascii="Garamond" w:hAnsi="Garamond" w:cs="Arial"/>
          <w:color w:val="000000"/>
          <w:lang w:val="en-GB"/>
        </w:rPr>
        <w:t xml:space="preserve">, Aufenthalt bei den Riesen von </w:t>
      </w:r>
      <w:r w:rsidRPr="00A06A59">
        <w:rPr>
          <w:rFonts w:ascii="Garamond" w:hAnsi="Garamond" w:cs="Arial"/>
          <w:i/>
          <w:iCs/>
          <w:color w:val="000000"/>
          <w:lang w:val="en-GB"/>
        </w:rPr>
        <w:t>Brobdingnag</w:t>
      </w:r>
      <w:r w:rsidRPr="00A06A59">
        <w:rPr>
          <w:rFonts w:ascii="Garamond" w:hAnsi="Garamond" w:cs="Arial"/>
          <w:color w:val="000000"/>
          <w:lang w:val="en-GB"/>
        </w:rPr>
        <w:t xml:space="preserve"> und bei den tugendhaften Pferdewesen wachgerufen hat – wie ich ohne alle Unterstützung von Seite des Autors etwa deuten möchte –, sollte die Auswahl dieses für den Reiz so ungewöhnlichen Erinnerungskreises nicht außerdem durch andere Motive erleichtert gewesen sein? </w:t>
      </w:r>
      <w:hyperlink r:id="rId22"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Riesenhafte Personen im Traume lassen annehmen, daß es sich um eine Szene aus der Kindheit des Träumers handelt.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Die obige Deutung auf eine Reminiszenz aus Gullivers Reisen ist übrigens ein gutes Beispiel dafür, wie eine Deutung nicht sein soll. </w:t>
        </w:r>
        <w:r w:rsidRPr="00A06A59">
          <w:rPr>
            <w:rStyle w:val="innerfusslink3"/>
            <w:rFonts w:ascii="Garamond" w:hAnsi="Garamond" w:cs="Arial"/>
            <w:b/>
            <w:bCs/>
            <w:lang w:val="en-GB"/>
          </w:rPr>
          <w:t>Der Traumdeuter soll nicht seinen eigenen Witz spielen lassen und die Anlehnung an die Einfälle des Träumers hintansetzen.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Ad 2) Innere (subjektive) Sinneserregung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Allen Einwendungen zum Trotz wird man zugeben müssen, daß die Rolle objektiver Sinneserregungen während des Schlafs als Traumerreger unbestritten feststeht, und wenn diese Reize ihrer Natur und Häufigkeit nach vielleicht unzureichend erscheinen, um alle Traumbilder zu erklären, so wird darauf hingewiesen, nach anderen, aber ihnen analog wirkenden Traumquellen zu suchen. Ich weiß nun nicht, wo zuerst der Gedanke aufgetaucht ist, neben den äußeren Sinnesreizen die inneren (subjektiven) Erregungen in den Sinnesorganen in Anspruch zu nehmen; es ist aber Tatsache, daß dies in allen neueren Darstellungen der Traumätiologie mehr oder minder nachdrücklich geschieht. »Eine wesentliche Rolle spielen ferner, wie ich glaube«, sagt </w:t>
      </w:r>
      <w:r w:rsidRPr="00A06A59">
        <w:rPr>
          <w:rFonts w:ascii="Garamond" w:hAnsi="Garamond" w:cs="Arial"/>
          <w:i/>
          <w:iCs/>
          <w:color w:val="000000"/>
          <w:lang w:val="en-GB"/>
        </w:rPr>
        <w:t>Wundt</w:t>
      </w:r>
      <w:r w:rsidRPr="00A06A59">
        <w:rPr>
          <w:rFonts w:ascii="Garamond" w:hAnsi="Garamond" w:cs="Arial"/>
          <w:color w:val="000000"/>
          <w:lang w:val="en-GB"/>
        </w:rPr>
        <w:t xml:space="preserve"> (S. 363), »bei den Traumillusionen jene subjektiven Gesichts- und Gehörsempfindungen, die uns aus dem wachen Zustande als Lichtchaos des dunkeln Gesichtsfeldes, als Ohrenklingen, Ohrensausen usw. bekannt sind, unter ihnen namentlich die subjektiven Netzhauterregungen. So erklärt sich die merkwürdige Neigung des Traumes, ähnliche oder ganz übereinstimmende Objekte in der Mehrzahl dem Auge vorzuzaubern. Zahllose Vögel, Schmetterlinge, Fische, bunte Perlen, Blumen u. dgl. sehen wir vor uns ausgebreitet. Hier hat der Lichtstaub des dunkeln Gesichtsfeldes phantastische Gestalt angenommen, und die zahlreichen Lichtpunkte, aus denen derselbe besteht, werden von dem Traum in ebenso vielen Einzelbildern verkörpert, die wegen der Beweglichkeit des Lichtchaos als </w:t>
      </w:r>
      <w:r w:rsidRPr="00A06A59">
        <w:rPr>
          <w:rFonts w:ascii="Garamond" w:hAnsi="Garamond" w:cs="Arial"/>
          <w:i/>
          <w:iCs/>
          <w:color w:val="000000"/>
          <w:lang w:val="en-GB"/>
        </w:rPr>
        <w:t>bewegte</w:t>
      </w:r>
      <w:r w:rsidRPr="00A06A59">
        <w:rPr>
          <w:rFonts w:ascii="Garamond" w:hAnsi="Garamond" w:cs="Arial"/>
          <w:color w:val="000000"/>
          <w:lang w:val="en-GB"/>
        </w:rPr>
        <w:t xml:space="preserve"> Gegenstände angeschaut werden. – Hierin wurzelt wohl auch die große Neigung des Traumes zu den mannigfachsten Tiergestalten, deren Formenreichtum sich der besonderen Form der subjektiven Lichtbilder leicht anschmiegt.«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Die subjektiven Sinneserregungen haben als Quelle der Traumbilder offenbar den Vorzug, daß sie nicht wie die objektiven vom äußeren Zufall abhängig sind. Sie stehen sozusagen der Erklärung zu Gebote, sooft diese ihrer bedarf. Sie stehen aber hinter den objektiven Sinnesreizen darin zurück, daß sie jener Bestätigung ihrer Rolle als Traumerreger, welche Beobachtung und Experiment bei den letzteren ergeben, nur schwer oder gar nicht zugänglich sind. Den Haupterweis für die traumerregende Macht subjektiver Sinneserregungen erbringen die sogenannten hypnagogischen Halluzinationen, die von Joh. </w:t>
      </w:r>
      <w:r w:rsidRPr="00A06A59">
        <w:rPr>
          <w:rFonts w:ascii="Garamond" w:hAnsi="Garamond" w:cs="Arial"/>
          <w:i/>
          <w:iCs/>
          <w:color w:val="000000"/>
          <w:lang w:val="en-GB"/>
        </w:rPr>
        <w:t>Müller</w:t>
      </w:r>
      <w:r w:rsidRPr="00A06A59">
        <w:rPr>
          <w:rFonts w:ascii="Garamond" w:hAnsi="Garamond" w:cs="Arial"/>
          <w:color w:val="000000"/>
          <w:lang w:val="en-GB"/>
        </w:rPr>
        <w:t xml:space="preserve"> als »phantastische Gesichtserscheinungen« beschrieben worden sind. Es sind dies oft sehr lebhafte, wechselvolle Bilder, die sich in der Periode des Einschlafens, bei vielen Menschen ganz regelmäßig, einzustellen pflegen und auch nach dem Öffnen der Augen eine Weile bestehen bleiben können. </w:t>
      </w:r>
      <w:r w:rsidRPr="00A06A59">
        <w:rPr>
          <w:rFonts w:ascii="Garamond" w:hAnsi="Garamond" w:cs="Arial"/>
          <w:i/>
          <w:iCs/>
          <w:color w:val="000000"/>
          <w:lang w:val="en-GB"/>
        </w:rPr>
        <w:t>Maury</w:t>
      </w:r>
      <w:r w:rsidRPr="00A06A59">
        <w:rPr>
          <w:rFonts w:ascii="Garamond" w:hAnsi="Garamond" w:cs="Arial"/>
          <w:color w:val="000000"/>
          <w:lang w:val="en-GB"/>
        </w:rPr>
        <w:t xml:space="preserve">, der ihnen im hohen Grade unterworfen war, hat ihnen eine eingehende Würdigung zugewendet und ihren Zusammenhang, ja vielmehr ihre Identität mit den Traumbildern (wie übrigens schon Joh. </w:t>
      </w:r>
      <w:r w:rsidRPr="00A06A59">
        <w:rPr>
          <w:rFonts w:ascii="Garamond" w:hAnsi="Garamond" w:cs="Arial"/>
          <w:i/>
          <w:iCs/>
          <w:color w:val="000000"/>
          <w:lang w:val="en-GB"/>
        </w:rPr>
        <w:t>Müller</w:t>
      </w:r>
      <w:r w:rsidRPr="00A06A59">
        <w:rPr>
          <w:rFonts w:ascii="Garamond" w:hAnsi="Garamond" w:cs="Arial"/>
          <w:color w:val="000000"/>
          <w:lang w:val="en-GB"/>
        </w:rPr>
        <w:t xml:space="preserve">) behauptet. Für ihre Entstehung, sagt Maury, ist eine gewisse seelische Passivität, ein Nachlaß der Aufmerksamkeitsspannung erforderlich (S. 59 u. f.). Es genügt aber, daß man auf eine Sekunde in solche Lethargie verfalle, um bei sonstiger Disposition eine hypnagogische Halluzination zu sehen, nach der man vielleicht wieder aufwacht, bis das sich mehrmals wiederholende Spiel mit dem Einschlafen endigt. Erwacht man dann nach nicht zu langer Zeit, so gelingt es nach </w:t>
      </w:r>
      <w:r w:rsidRPr="00A06A59">
        <w:rPr>
          <w:rFonts w:ascii="Garamond" w:hAnsi="Garamond" w:cs="Arial"/>
          <w:i/>
          <w:iCs/>
          <w:color w:val="000000"/>
          <w:lang w:val="en-GB"/>
        </w:rPr>
        <w:t>Maury</w:t>
      </w:r>
      <w:r w:rsidRPr="00A06A59">
        <w:rPr>
          <w:rFonts w:ascii="Garamond" w:hAnsi="Garamond" w:cs="Arial"/>
          <w:color w:val="000000"/>
          <w:lang w:val="en-GB"/>
        </w:rPr>
        <w:t xml:space="preserve"> häufig, im Traum dieselben Bilder nachzuweisen, die einem als hypnagogische Halluzinationen vor dem Einschlafen vorgeschwebt haben (S. 134). So erging es </w:t>
      </w:r>
      <w:r w:rsidRPr="00A06A59">
        <w:rPr>
          <w:rFonts w:ascii="Garamond" w:hAnsi="Garamond" w:cs="Arial"/>
          <w:i/>
          <w:iCs/>
          <w:color w:val="000000"/>
          <w:lang w:val="en-GB"/>
        </w:rPr>
        <w:t>Maury</w:t>
      </w:r>
      <w:r w:rsidRPr="00A06A59">
        <w:rPr>
          <w:rFonts w:ascii="Garamond" w:hAnsi="Garamond" w:cs="Arial"/>
          <w:color w:val="000000"/>
          <w:lang w:val="en-GB"/>
        </w:rPr>
        <w:t xml:space="preserve"> einmal mit einer Reihe von grotesken Gestalten mit verzerrten Mienen und sonderbaren Frisuren, die ihn mit unglaublicher Aufdringlichkeit in der Periode des Einschlafens belästigten und von denen er nach dem Erwachen sich erinnerte geträumt zu haben. Ein andermal, als er gerade an Hungergefühl litt, weil er sich schmale Diät auferlegt hatte, sah er hypnagogisch eine Schüssel und eine mit einer Gabel bewaffnete Hand, die sich etwas von der Speise in der Schüssel holte. Im Traume befand er sich an einer reichgedeckten Tafel und hörte das Geräusch, das die Speisenden mit ihren Gabeln machten. Ein andermal, als er mit gereizten und schmerzenden Augen einschlief, hatte er die hypnagogische Halluzination von mikroskopisch kleinen Zeichen, die er mit großer Anstrengung einzeln entziffern mußte; nach einer Stunde aus dem Schlafe geweckt, erinnerte er sich an einen Traum, in dem ein aufgeschlagenes Buch, mit sehr kleinen Lettern gedruckt, vorkam, welches er mühselig hatte durchlesen müssen.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Ganz ähnlich wie diese Bilder können auch Gehörshalluzinationen von Worten, Namen usw. hypnagogisch auftreten und dann im Traum sich wiederholen, als Ouvertüre gleichsam, welche die Leitmotive der mit ihr beginnenden Oper ankündigt.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Auf den nämlichen Wegen wie Joh. </w:t>
      </w:r>
      <w:r w:rsidRPr="00A06A59">
        <w:rPr>
          <w:rFonts w:ascii="Garamond" w:hAnsi="Garamond" w:cs="Arial"/>
          <w:i/>
          <w:iCs/>
          <w:color w:val="000000"/>
          <w:lang w:val="en-GB"/>
        </w:rPr>
        <w:t>Müller</w:t>
      </w:r>
      <w:r w:rsidRPr="00A06A59">
        <w:rPr>
          <w:rFonts w:ascii="Garamond" w:hAnsi="Garamond" w:cs="Arial"/>
          <w:color w:val="000000"/>
          <w:lang w:val="en-GB"/>
        </w:rPr>
        <w:t xml:space="preserve"> und </w:t>
      </w:r>
      <w:r w:rsidRPr="00A06A59">
        <w:rPr>
          <w:rFonts w:ascii="Garamond" w:hAnsi="Garamond" w:cs="Arial"/>
          <w:i/>
          <w:iCs/>
          <w:color w:val="000000"/>
          <w:lang w:val="en-GB"/>
        </w:rPr>
        <w:t>Maury</w:t>
      </w:r>
      <w:r w:rsidRPr="00A06A59">
        <w:rPr>
          <w:rFonts w:ascii="Garamond" w:hAnsi="Garamond" w:cs="Arial"/>
          <w:color w:val="000000"/>
          <w:lang w:val="en-GB"/>
        </w:rPr>
        <w:t xml:space="preserve"> wandelt ein neuerer Beobachter der hypnagogischen Halluzinationen, </w:t>
      </w:r>
      <w:r w:rsidRPr="00A06A59">
        <w:rPr>
          <w:rFonts w:ascii="Garamond" w:hAnsi="Garamond" w:cs="Arial"/>
          <w:i/>
          <w:iCs/>
          <w:color w:val="000000"/>
          <w:lang w:val="en-GB"/>
        </w:rPr>
        <w:t>G. Trumbull Ladd</w:t>
      </w:r>
      <w:r w:rsidRPr="00A06A59">
        <w:rPr>
          <w:rFonts w:ascii="Garamond" w:hAnsi="Garamond" w:cs="Arial"/>
          <w:color w:val="000000"/>
          <w:lang w:val="en-GB"/>
        </w:rPr>
        <w:t xml:space="preserve">. Er brachte es durch Übung dahin, daß er sich zwei bis fünf Minuten nach dem allmählichen Einschlafen jäh aus dem Schlaf reißen konnte, ohne die Augen zu öffnen, und hatte dann die Gelegenheit, die eben entschwindenden Netzhautempfindungen mit den in der Erinnerung überlebenden Traumbildern zu vergleichen. Er versichert, daß sich jedesmal eine innige Beziehung zwischen beiden erkennen ließ in der Weise, daß die leuchtenden Punkte und Linien des Eigenlichts der Netzhaut gleichsam die Umrißzeichnung, das Schema für die psychisch wahrgenommenen Traumgestalten brachten. Einem Traum z. B., in welchem er deutlich gedruckte Zeilen vor sich sah, die er las und studierte, entsprach eine Anordnung der leuchtenden Punkte in der Netzhaut in parallelen Linien. Um es mit seinen Worten zu sagen: Die klar bedruckte Seite, die er im Traum gelesen, löste sich in ein Objekt auf, das seiner wachen Wahrnehmung erschien wie ein Stück eines reellen bedruckten Blattes, das man aus allzu großer Entfernung, um etwas deutlich auszunehmen, durch ein Löchelchen in einem Stück Papier ansieht. </w:t>
      </w:r>
      <w:r w:rsidRPr="00A06A59">
        <w:rPr>
          <w:rFonts w:ascii="Garamond" w:hAnsi="Garamond" w:cs="Arial"/>
          <w:i/>
          <w:iCs/>
          <w:color w:val="000000"/>
          <w:lang w:val="en-GB"/>
        </w:rPr>
        <w:t>Ladd</w:t>
      </w:r>
      <w:r w:rsidRPr="00A06A59">
        <w:rPr>
          <w:rFonts w:ascii="Garamond" w:hAnsi="Garamond" w:cs="Arial"/>
          <w:color w:val="000000"/>
          <w:lang w:val="en-GB"/>
        </w:rPr>
        <w:t xml:space="preserve"> meint, ohne übrigens den zentralen Anteil des Phänomens zu unterschätzen, daß kaum ein visueller Traum in uns abläuft, der sich nicht an das Material der inneren Erregungszustände der Netzhaut anlehnte. Besonders gilt dies für die Träume kurz nach dem Einschlafen im dunkeln Zimmer, während für die Träume am Morgen nahe dem Erwachen das objektive, im erhellten Zimmer ins Auge dringende Licht die Reizquelle abgebe. Der wechselvolle, unendlich abänderungsfähige Charakter der Eigenlichterregung entspricht genau der unruhigen Bilderflucht, die unsere Träume uns vorführen. Wenn man den Beobachtungen von </w:t>
      </w:r>
      <w:r w:rsidRPr="00A06A59">
        <w:rPr>
          <w:rFonts w:ascii="Garamond" w:hAnsi="Garamond" w:cs="Arial"/>
          <w:i/>
          <w:iCs/>
          <w:color w:val="000000"/>
          <w:lang w:val="en-GB"/>
        </w:rPr>
        <w:t>Ladd</w:t>
      </w:r>
      <w:r w:rsidRPr="00A06A59">
        <w:rPr>
          <w:rFonts w:ascii="Garamond" w:hAnsi="Garamond" w:cs="Arial"/>
          <w:color w:val="000000"/>
          <w:lang w:val="en-GB"/>
        </w:rPr>
        <w:t xml:space="preserve"> Bedeutung beimißt, wird man die Ergiebigkeit dieser subjektiven Reizquelle für den Traum nicht gering anschlagen können, denn Gesichtsbilder machen bekanntlich den Hauptbestandteil unserer Träume aus. Der Beitrag von anderen Sinnesgebieten bis auf den des Gehörs ist geringfügiger und inkonstant.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Ad 3) Innerer, organischer Leibreiz</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wir auf dem Wege sind, die Traumquellen nicht außerhalb, sondern innerhalb des Organismus zu suchen, so müssen wir uns daran erinnern, daß fast alle unsere inneren Organe, die im Zustande der Gesundheit uns kaum Kunde von ihrem Bestand geben, in Zuständen von Reizung – die wir so heißen – oder in Krankheiten eine Quelle von meist peinlichen Empfindungen für uns werden, welche den Erregern der von außen anlangenden Schmerz- und Empfindungsreize gleichgestellt werden muß. Es sind sehr alte Erfahrungen, welche z. B. </w:t>
      </w:r>
      <w:r w:rsidRPr="00A06A59">
        <w:rPr>
          <w:rFonts w:ascii="Garamond" w:hAnsi="Garamond" w:cs="Arial"/>
          <w:i/>
          <w:iCs/>
          <w:color w:val="000000"/>
          <w:lang w:val="en-GB"/>
        </w:rPr>
        <w:t>Strümpell</w:t>
      </w:r>
      <w:r w:rsidRPr="00A06A59">
        <w:rPr>
          <w:rFonts w:ascii="Garamond" w:hAnsi="Garamond" w:cs="Arial"/>
          <w:color w:val="000000"/>
          <w:lang w:val="en-GB"/>
        </w:rPr>
        <w:t xml:space="preserve"> zu der Aussage </w:t>
      </w:r>
      <w:r w:rsidRPr="00A06A59">
        <w:rPr>
          <w:rFonts w:ascii="Garamond" w:hAnsi="Garamond" w:cs="Arial"/>
          <w:color w:val="000000"/>
          <w:lang w:val="en-GB"/>
        </w:rPr>
        <w:lastRenderedPageBreak/>
        <w:t xml:space="preserve">veranlassen: »Die Seele gelangt im Schlaf zu einem viel tieferen und breiteren Empfindungsbewußtsein von ihrer Leiblichkeit als im Wachen und ist genötigt, gewisse Reizeindrücke zu empfangen und auf sich wirken zu lassen, die aus Teilen und Veränderungen ihres Körpers herstammen, von denen sie im Wachen nichts wußte.« Schon </w:t>
      </w:r>
      <w:r w:rsidRPr="00A06A59">
        <w:rPr>
          <w:rFonts w:ascii="Garamond" w:hAnsi="Garamond" w:cs="Arial"/>
          <w:i/>
          <w:iCs/>
          <w:color w:val="000000"/>
          <w:lang w:val="en-GB"/>
        </w:rPr>
        <w:t>Aristoteles</w:t>
      </w:r>
      <w:r w:rsidRPr="00A06A59">
        <w:rPr>
          <w:rFonts w:ascii="Garamond" w:hAnsi="Garamond" w:cs="Arial"/>
          <w:color w:val="000000"/>
          <w:lang w:val="en-GB"/>
        </w:rPr>
        <w:t xml:space="preserve"> erklärt es für sehr wohl möglich, daß man im Traum auf beginnende Krankheitszustände aufmerksam gemacht würde, von denen man im Wachen noch nichts merkt (kraft der Vergrößerung, die der Traum den Eindrücken angedeihen läßt, siehe oben S. 30) und ärztliche Autoren, deren Anschauung es sicherlich fernelag, an eine prophetische Gabe des Traumes zu glauben, haben wenigstens für die Krankheitsankündigung diese Bedeutung des Traumes gelten lassen. (Vgl. M. </w:t>
      </w:r>
      <w:r w:rsidRPr="00A06A59">
        <w:rPr>
          <w:rFonts w:ascii="Garamond" w:hAnsi="Garamond" w:cs="Arial"/>
          <w:i/>
          <w:iCs/>
          <w:color w:val="000000"/>
          <w:lang w:val="en-GB"/>
        </w:rPr>
        <w:t>Simon</w:t>
      </w:r>
      <w:r w:rsidRPr="00A06A59">
        <w:rPr>
          <w:rFonts w:ascii="Garamond" w:hAnsi="Garamond" w:cs="Arial"/>
          <w:color w:val="000000"/>
          <w:lang w:val="en-GB"/>
        </w:rPr>
        <w:t xml:space="preserve">, S. 31, und viele ältere Autoren </w:t>
      </w:r>
      <w:hyperlink r:id="rId2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Außer dieser diagnostischen Verwertung der Träume (z. B. bei </w:t>
        </w:r>
        <w:r w:rsidRPr="00A06A59">
          <w:rPr>
            <w:rStyle w:val="innerfusslink3"/>
            <w:rFonts w:ascii="Garamond" w:hAnsi="Garamond" w:cs="Arial"/>
            <w:b/>
            <w:bCs/>
            <w:i/>
            <w:iCs/>
            <w:lang w:val="en-GB"/>
          </w:rPr>
          <w:t>Hippokrates</w:t>
        </w:r>
        <w:r w:rsidRPr="00A06A59">
          <w:rPr>
            <w:rStyle w:val="innerfusslink3"/>
            <w:rFonts w:ascii="Garamond" w:hAnsi="Garamond" w:cs="Arial"/>
            <w:b/>
            <w:bCs/>
            <w:lang w:val="en-GB"/>
          </w:rPr>
          <w:t xml:space="preserve">) muß man ihrer therapeutischen Bedeutung im Altertum gedenken.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Bei den Griechen gab es Traumorakel, welche gewöhnlich Genesung suchende Kranke aufzusuchen pflegten. Der Kranke ging in den Tempel des Apollo oder des Äskulap, dort wurde er verschiedenen Zeremonien unterworfen, gebadet, gerieben, geräuchert, und so in Exaltation versetzt, legte man ihn im Tempel auf das Fell eines geopferten Widders. Er schlief ein und träumte von Heilmitteln, die ihm in natürlicher Gestalt oder in Symbolen und Bildern gezeigt wurden, welche dann die Priester deuteten.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Weiteres über die Heilträume der Griechen bei </w:t>
        </w:r>
        <w:r w:rsidRPr="00A06A59">
          <w:rPr>
            <w:rStyle w:val="innerfusslink3"/>
            <w:rFonts w:ascii="Garamond" w:hAnsi="Garamond" w:cs="Arial"/>
            <w:b/>
            <w:bCs/>
            <w:i/>
            <w:iCs/>
            <w:lang w:val="en-GB"/>
          </w:rPr>
          <w:t>Lehmann</w:t>
        </w:r>
        <w:r w:rsidRPr="00A06A59">
          <w:rPr>
            <w:rStyle w:val="innerfusslink3"/>
            <w:rFonts w:ascii="Garamond" w:hAnsi="Garamond" w:cs="Arial"/>
            <w:b/>
            <w:bCs/>
            <w:lang w:val="en-GB"/>
          </w:rPr>
          <w:t xml:space="preserve"> I, 74, </w:t>
        </w:r>
        <w:r w:rsidRPr="00A06A59">
          <w:rPr>
            <w:rStyle w:val="innerfusslink3"/>
            <w:rFonts w:ascii="Garamond" w:hAnsi="Garamond" w:cs="Arial"/>
            <w:b/>
            <w:bCs/>
            <w:i/>
            <w:iCs/>
            <w:lang w:val="en-GB"/>
          </w:rPr>
          <w:t>Bouché-Leclerq</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Hermann,</w:t>
        </w:r>
        <w:r w:rsidRPr="00A06A59">
          <w:rPr>
            <w:rStyle w:val="innerfusslink3"/>
            <w:rFonts w:ascii="Garamond" w:hAnsi="Garamond" w:cs="Arial"/>
            <w:b/>
            <w:bCs/>
            <w:lang w:val="en-GB"/>
          </w:rPr>
          <w:t xml:space="preserve"> Gottesd. Altert. D. Gr. § 41, Privataltert. § 38, 16, </w:t>
        </w:r>
        <w:r w:rsidRPr="00A06A59">
          <w:rPr>
            <w:rStyle w:val="innerfusslink3"/>
            <w:rFonts w:ascii="Garamond" w:hAnsi="Garamond" w:cs="Arial"/>
            <w:b/>
            <w:bCs/>
            <w:i/>
            <w:iCs/>
            <w:lang w:val="en-GB"/>
          </w:rPr>
          <w:t>Böttinger</w:t>
        </w:r>
        <w:r w:rsidRPr="00A06A59">
          <w:rPr>
            <w:rStyle w:val="innerfusslink3"/>
            <w:rFonts w:ascii="Garamond" w:hAnsi="Garamond" w:cs="Arial"/>
            <w:b/>
            <w:bCs/>
            <w:lang w:val="en-GB"/>
          </w:rPr>
          <w:t xml:space="preserve"> in Sprengels Beitr. z. Gesch. d. Med. II, p. 163 ff., W. </w:t>
        </w:r>
        <w:r w:rsidRPr="00A06A59">
          <w:rPr>
            <w:rStyle w:val="innerfusslink3"/>
            <w:rFonts w:ascii="Garamond" w:hAnsi="Garamond" w:cs="Arial"/>
            <w:b/>
            <w:bCs/>
            <w:i/>
            <w:iCs/>
            <w:lang w:val="en-GB"/>
          </w:rPr>
          <w:t>Lloyd</w:t>
        </w:r>
        <w:r w:rsidRPr="00A06A59">
          <w:rPr>
            <w:rStyle w:val="innerfusslink3"/>
            <w:rFonts w:ascii="Garamond" w:hAnsi="Garamond" w:cs="Arial"/>
            <w:b/>
            <w:bCs/>
            <w:lang w:val="en-GB"/>
          </w:rPr>
          <w:t xml:space="preserve">, Magnetism and Mesmerism in antiquity, London, 1877, </w:t>
        </w:r>
        <w:r w:rsidRPr="00A06A59">
          <w:rPr>
            <w:rStyle w:val="innerfusslink3"/>
            <w:rFonts w:ascii="Garamond" w:hAnsi="Garamond" w:cs="Arial"/>
            <w:b/>
            <w:bCs/>
            <w:i/>
            <w:iCs/>
            <w:lang w:val="en-GB"/>
          </w:rPr>
          <w:t>Döllinger</w:t>
        </w:r>
        <w:r w:rsidRPr="00A06A59">
          <w:rPr>
            <w:rStyle w:val="innerfusslink3"/>
            <w:rFonts w:ascii="Garamond" w:hAnsi="Garamond" w:cs="Arial"/>
            <w:b/>
            <w:bCs/>
            <w:lang w:val="en-GB"/>
          </w:rPr>
          <w:t>, Heidentum und Judentum, p. 130.</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scheint an beglaubigten Beispielen für solche diagnostische Leistungen des Traumes auch aus neuerer Zeit nicht zu fehlen. So z. B. berichtet </w:t>
      </w:r>
      <w:r w:rsidRPr="00A06A59">
        <w:rPr>
          <w:rFonts w:ascii="Garamond" w:hAnsi="Garamond" w:cs="Arial"/>
          <w:i/>
          <w:iCs/>
          <w:color w:val="000000"/>
          <w:lang w:val="en-GB"/>
        </w:rPr>
        <w:t>Tissié</w:t>
      </w:r>
      <w:r w:rsidRPr="00A06A59">
        <w:rPr>
          <w:rFonts w:ascii="Garamond" w:hAnsi="Garamond" w:cs="Arial"/>
          <w:color w:val="000000"/>
          <w:lang w:val="en-GB"/>
        </w:rPr>
        <w:t xml:space="preserve"> nach </w:t>
      </w:r>
      <w:r w:rsidRPr="00A06A59">
        <w:rPr>
          <w:rFonts w:ascii="Garamond" w:hAnsi="Garamond" w:cs="Arial"/>
          <w:i/>
          <w:iCs/>
          <w:color w:val="000000"/>
          <w:lang w:val="en-GB"/>
        </w:rPr>
        <w:t>Artigues</w:t>
      </w:r>
      <w:r w:rsidRPr="00A06A59">
        <w:rPr>
          <w:rFonts w:ascii="Garamond" w:hAnsi="Garamond" w:cs="Arial"/>
          <w:color w:val="000000"/>
          <w:lang w:val="en-GB"/>
        </w:rPr>
        <w:t xml:space="preserve"> (Essai sur la valeur séméiologique des rêves) die Geschichte einer dreiundvierzigjährigen Frau, die durch einige Jahre in scheinbar voller Gesundheit von Angstträumen heimgesucht wurde und bei der ärztlichen Untersuchung dann eine beginnende Herzaffektion aufwies, welcher sie alsbald erlag.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Ausgebildete Störungen der inneren Organe wirken offenbar bei einer ganzen Reihe von Personen als Traumerreger. Allgemein wird auf die Häufigkeit der Angstträume bei Herz- und Lungenkranken hingewiesen, ja diese Beziehung des Traumlebens wird von vielen Autoren so sehr in den Vordergrund gedrängt, daß ich mich hier mit der bloßen Verweisung auf die Literatur ( </w:t>
      </w:r>
      <w:r w:rsidRPr="00A06A59">
        <w:rPr>
          <w:rFonts w:ascii="Garamond" w:hAnsi="Garamond" w:cs="Arial"/>
          <w:i/>
          <w:iCs/>
          <w:color w:val="000000"/>
          <w:lang w:val="en-GB"/>
        </w:rPr>
        <w:t>Radestock</w:t>
      </w:r>
      <w:r w:rsidRPr="00A06A59">
        <w:rPr>
          <w:rFonts w:ascii="Garamond" w:hAnsi="Garamond" w:cs="Arial"/>
          <w:color w:val="000000"/>
          <w:lang w:val="en-GB"/>
        </w:rPr>
        <w:t xml:space="preserve">, </w:t>
      </w:r>
      <w:r w:rsidRPr="00A06A59">
        <w:rPr>
          <w:rFonts w:ascii="Garamond" w:hAnsi="Garamond" w:cs="Arial"/>
          <w:i/>
          <w:iCs/>
          <w:color w:val="000000"/>
          <w:lang w:val="en-GB"/>
        </w:rPr>
        <w:t>Spitta</w:t>
      </w:r>
      <w:r w:rsidRPr="00A06A59">
        <w:rPr>
          <w:rFonts w:ascii="Garamond" w:hAnsi="Garamond" w:cs="Arial"/>
          <w:color w:val="000000"/>
          <w:lang w:val="en-GB"/>
        </w:rPr>
        <w:t xml:space="preserve">, </w:t>
      </w:r>
      <w:r w:rsidRPr="00A06A59">
        <w:rPr>
          <w:rFonts w:ascii="Garamond" w:hAnsi="Garamond" w:cs="Arial"/>
          <w:i/>
          <w:iCs/>
          <w:color w:val="000000"/>
          <w:lang w:val="en-GB"/>
        </w:rPr>
        <w:t>Maury,M. Simon</w:t>
      </w:r>
      <w:r w:rsidRPr="00A06A59">
        <w:rPr>
          <w:rFonts w:ascii="Garamond" w:hAnsi="Garamond" w:cs="Arial"/>
          <w:color w:val="000000"/>
          <w:lang w:val="en-GB"/>
        </w:rPr>
        <w:t xml:space="preserve">, </w:t>
      </w:r>
      <w:r w:rsidRPr="00A06A59">
        <w:rPr>
          <w:rFonts w:ascii="Garamond" w:hAnsi="Garamond" w:cs="Arial"/>
          <w:i/>
          <w:iCs/>
          <w:color w:val="000000"/>
          <w:lang w:val="en-GB"/>
        </w:rPr>
        <w:t>Tissié</w:t>
      </w:r>
      <w:r w:rsidRPr="00A06A59">
        <w:rPr>
          <w:rFonts w:ascii="Garamond" w:hAnsi="Garamond" w:cs="Arial"/>
          <w:color w:val="000000"/>
          <w:lang w:val="en-GB"/>
        </w:rPr>
        <w:t xml:space="preserve">) begnügen kann. </w:t>
      </w:r>
      <w:r w:rsidRPr="00A06A59">
        <w:rPr>
          <w:rFonts w:ascii="Garamond" w:hAnsi="Garamond" w:cs="Arial"/>
          <w:i/>
          <w:iCs/>
          <w:color w:val="000000"/>
          <w:lang w:val="en-GB"/>
        </w:rPr>
        <w:t>Tissié</w:t>
      </w:r>
      <w:r w:rsidRPr="00A06A59">
        <w:rPr>
          <w:rFonts w:ascii="Garamond" w:hAnsi="Garamond" w:cs="Arial"/>
          <w:color w:val="000000"/>
          <w:lang w:val="en-GB"/>
        </w:rPr>
        <w:t xml:space="preserve"> meint sogar, daß die erkrankten Organe dem Trauminhalt das charakteristische Gepräge aufdrücken. Die Träume der Herzkranken sind gewöhnlich sehr kurz und enden mit schreckhaftem Erwachen; fast immer spielt im Inhalt derselben die Situation des Todes unter gräßlichen Umständen eine Rolle. Die Lungenkranken träumen vom Ersticken, Gedränge, Flucht und sind in auffälliger Zahl dem bekannten Alptraum unterworfen, den übrigens </w:t>
      </w:r>
      <w:r w:rsidRPr="00A06A59">
        <w:rPr>
          <w:rFonts w:ascii="Garamond" w:hAnsi="Garamond" w:cs="Arial"/>
          <w:i/>
          <w:iCs/>
          <w:color w:val="000000"/>
          <w:lang w:val="en-GB"/>
        </w:rPr>
        <w:t>Börner</w:t>
      </w:r>
      <w:r w:rsidRPr="00A06A59">
        <w:rPr>
          <w:rFonts w:ascii="Garamond" w:hAnsi="Garamond" w:cs="Arial"/>
          <w:color w:val="000000"/>
          <w:lang w:val="en-GB"/>
        </w:rPr>
        <w:t xml:space="preserve"> durch Lagerung aufs Gesicht, durch Verdeckung der Respirationsöffnungen experimentell hat hervorrufen können. </w:t>
      </w:r>
      <w:r w:rsidRPr="00A06A59">
        <w:rPr>
          <w:rFonts w:ascii="Garamond" w:hAnsi="Garamond" w:cs="Arial"/>
          <w:color w:val="000000"/>
        </w:rPr>
        <w:t>Bei Digestionsstörungen enthält der Traum Vorstellungen aus dem Kreise des Genießens und des Ekels. Der Einfluß sexueller Erregung endlich auf den Inhalt der Träume ist für die Erfahrung eines jeden einzelnen greifbar genug und leiht der ganzen Lehre von der Traumerregung durch Organreiz ihre stärkste Stütze.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Es ist auch, wenn man die Literatur des Traumes durcharbeitet, ganz unverkennbar, daß einzelne der Autoren ( </w:t>
      </w:r>
      <w:r w:rsidRPr="00A06A59">
        <w:rPr>
          <w:rFonts w:ascii="Garamond" w:hAnsi="Garamond" w:cs="Arial"/>
          <w:i/>
          <w:iCs/>
          <w:color w:val="000000"/>
        </w:rPr>
        <w:t>Maury, Weygandt</w:t>
      </w:r>
      <w:r w:rsidRPr="00A06A59">
        <w:rPr>
          <w:rFonts w:ascii="Garamond" w:hAnsi="Garamond" w:cs="Arial"/>
          <w:color w:val="000000"/>
        </w:rPr>
        <w:t>) durch den Einfluß ihrer eigenen Krankheitszustände auf den Inhalt ihrer Träume zur Beschäftigung mit den Traumproblemen geführt worden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Der Zuwachs an Traumquellen aus diesen unzweifelhaft festgestellten Tatsachen ist übrigens nicht so bedeutsam, als man meinen möchte. Der Traum ist ja ein Phänomen, das sich bei Gesunden – vielleicht bei allen, vielleicht allnächtlich – einstellt und das Organerkrankung offenbar nicht zu seinen unentbehrlichen Bedingungen zählt. Es handelt sich für uns aber nicht darum, woher besondere Träume rühren, sondern was für die gewöhnlichen Träume normaler Menschen die Reizquelle sein mag.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Indes bedarf es jetzt nur eines Schrittes weiter, um auf eine Traumquelle zu stoßen, die reichlicher fließt als jede frühere und eigentlich für keinen Fall zu versiegen verspricht. Wenn es sichergestellt ist, daß das Körperinnere im kranken Zustande zur Quelle der Traumreize wird, und wenn wir zugeben, daß die Seele im Schlafzustande, von der Außenwelt abgelenkt, dem Innern des Leibes größere Aufmerksamkeit zuwenden kann, so liegt es nahe anzunehmen, daß die Organe nicht erst zu erkranken brauchen, um Erregungen, die irgendwie zu Traumbildern werden, an die schlafende Seele gelangen zu lassen. Was wir im Wachen dumpf als Gemeingefühl nur seiner Qualität nach wahrnehmen und wozu nach der Meinung der Ärzte alle Organsysteme ihre Beiträge leisten, das würde nachts, zur kräftigen Einwirkung gelangt und mit seinen einzelnen Komponenten tätig, die mächtigste und gleichzeitig die gewöhnlichste Quelle für die Erweckung der Traumvorstellungen ergeben. Es erübrigte dann noch die Untersuchung, nach welchen Regeln sich die Organreize in Traumvorstellungen umsetzen.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Wir haben hier jene Theorie der Traumentstehung berührt, welche die bevorzugte bei allen ärztlichen Autoren geworden ist. Das Dunkel, in welches der Kern unseres Wesens, das » </w:t>
      </w:r>
      <w:r w:rsidRPr="00A06A59">
        <w:rPr>
          <w:rFonts w:ascii="Garamond" w:hAnsi="Garamond" w:cs="Arial"/>
          <w:i/>
          <w:iCs/>
          <w:color w:val="000000"/>
          <w:lang w:val="en-GB"/>
        </w:rPr>
        <w:t>moi splanchnique</w:t>
      </w:r>
      <w:r w:rsidRPr="00A06A59">
        <w:rPr>
          <w:rFonts w:ascii="Garamond" w:hAnsi="Garamond" w:cs="Arial"/>
          <w:color w:val="000000"/>
          <w:lang w:val="en-GB"/>
        </w:rPr>
        <w:t xml:space="preserve">«, wie </w:t>
      </w:r>
      <w:r w:rsidRPr="00A06A59">
        <w:rPr>
          <w:rFonts w:ascii="Garamond" w:hAnsi="Garamond" w:cs="Arial"/>
          <w:i/>
          <w:iCs/>
          <w:color w:val="000000"/>
          <w:lang w:val="en-GB"/>
        </w:rPr>
        <w:t>Tissié</w:t>
      </w:r>
      <w:r w:rsidRPr="00A06A59">
        <w:rPr>
          <w:rFonts w:ascii="Garamond" w:hAnsi="Garamond" w:cs="Arial"/>
          <w:color w:val="000000"/>
          <w:lang w:val="en-GB"/>
        </w:rPr>
        <w:t xml:space="preserve"> es nennt, für unsere Kenntnisse gehüllt ist, und das Dunkel der Traumentstehung entsprechen einander zu gut, um nicht in Beziehung zueinander gebracht zu werden. Der Ideengang, welcher die vegetative Organempfindung zum Traumbildner macht, hat überdies für den Arzt den anderen Anreiz, daß er Traum und Geistesstörung, die soviel Übereinstimmung in ihren Erscheinungen zeigen, auch ätiologisch vereinigen läßt, denn Alterationen des Gemeingefühls und Reize, die von den inneren Organen ausgehen, werden auch einer weitreichenden Bedeutung für die Entstehung der Psychosen bezichtigt. Es ist darum nicht zu verwundern, wenn die Leibreiztheorie sich auf mehr als einen Urheber, der sie selbständig angegeben, zurückführen läßt.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Für eine Reihe von Autoren wurde der Gedankengang maßgebend, den der Philosoph </w:t>
      </w:r>
      <w:r w:rsidRPr="00A06A59">
        <w:rPr>
          <w:rFonts w:ascii="Garamond" w:hAnsi="Garamond" w:cs="Arial"/>
          <w:i/>
          <w:iCs/>
          <w:color w:val="000000"/>
          <w:lang w:val="en-GB"/>
        </w:rPr>
        <w:t>Schopenhauer</w:t>
      </w:r>
      <w:r w:rsidRPr="00A06A59">
        <w:rPr>
          <w:rFonts w:ascii="Garamond" w:hAnsi="Garamond" w:cs="Arial"/>
          <w:color w:val="000000"/>
          <w:lang w:val="en-GB"/>
        </w:rPr>
        <w:t xml:space="preserve"> im Jahre 1851 entwickelt hat. Das Weltbild entsteht in uns dadurch, daß unser Intellekt die ihn von außen treffenden Eindrücke in die Formen der Zeit, des Raums und der Kausalität umgießt. Die Reize aus dem Inneren des Organismus, vom sympathischen Nervensystem her, äußern bei Tag höchstens einen unbewußten Einfluß auf unsere Stimmung. Bei Nacht aber, wenn die übertäubende Wirkung der Tageseindrücke aufgehört hat, vermögen jene aus dem Innern heraufdringenden Eindrücke sich Aufmerksamkeit zu verschaffen – ähnlich wie wir bei Nacht die Quelle rieseln hören, die der Lärm des Tages unvernehmbar machte. Wie anders aber soll der Intellekt auf diese Reize reagieren, als indem er seine ihm eigentümliche Funktion vollzieht? Er wird also die Reize zu raum- und zeiterfüllenden Gestalten, die sich am Leitfaden der Kausalität bewegen, umformen, und so entsteht der Traum. In die nähere Beziehung zwischen Leibreizen und Traumbildern versuchten dann </w:t>
      </w:r>
      <w:r w:rsidRPr="00A06A59">
        <w:rPr>
          <w:rFonts w:ascii="Garamond" w:hAnsi="Garamond" w:cs="Arial"/>
          <w:i/>
          <w:iCs/>
          <w:color w:val="000000"/>
          <w:lang w:val="en-GB"/>
        </w:rPr>
        <w:t>Scherner</w:t>
      </w:r>
      <w:r w:rsidRPr="00A06A59">
        <w:rPr>
          <w:rFonts w:ascii="Garamond" w:hAnsi="Garamond" w:cs="Arial"/>
          <w:color w:val="000000"/>
          <w:lang w:val="en-GB"/>
        </w:rPr>
        <w:t xml:space="preserve"> und nach ihm </w:t>
      </w:r>
      <w:r w:rsidRPr="00A06A59">
        <w:rPr>
          <w:rFonts w:ascii="Garamond" w:hAnsi="Garamond" w:cs="Arial"/>
          <w:i/>
          <w:iCs/>
          <w:color w:val="000000"/>
          <w:lang w:val="en-GB"/>
        </w:rPr>
        <w:t>Volkelt</w:t>
      </w:r>
      <w:r w:rsidRPr="00A06A59">
        <w:rPr>
          <w:rFonts w:ascii="Garamond" w:hAnsi="Garamond" w:cs="Arial"/>
          <w:color w:val="000000"/>
          <w:lang w:val="en-GB"/>
        </w:rPr>
        <w:t xml:space="preserve"> einzudringen, deren Würdigung wir uns auf den Abschnitt über die Traumtheorien aufsparen.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einer besonders konsequent durchgeführten Untersuchung hat der Psychiater </w:t>
      </w:r>
      <w:r w:rsidRPr="00A06A59">
        <w:rPr>
          <w:rFonts w:ascii="Garamond" w:hAnsi="Garamond" w:cs="Arial"/>
          <w:i/>
          <w:iCs/>
          <w:color w:val="000000"/>
          <w:lang w:val="en-GB"/>
        </w:rPr>
        <w:t>Krauß</w:t>
      </w:r>
      <w:r w:rsidRPr="00A06A59">
        <w:rPr>
          <w:rFonts w:ascii="Garamond" w:hAnsi="Garamond" w:cs="Arial"/>
          <w:color w:val="000000"/>
          <w:lang w:val="en-GB"/>
        </w:rPr>
        <w:t xml:space="preserve"> die Entstehung des Traumes wie der Delirien und Wahnideen von dem nämlichen Element, der </w:t>
      </w:r>
      <w:r w:rsidRPr="00A06A59">
        <w:rPr>
          <w:rFonts w:ascii="Garamond" w:hAnsi="Garamond" w:cs="Arial"/>
          <w:i/>
          <w:iCs/>
          <w:color w:val="000000"/>
          <w:lang w:val="en-GB"/>
        </w:rPr>
        <w:t>organisch bedingten Empfindung</w:t>
      </w:r>
      <w:r w:rsidRPr="00A06A59">
        <w:rPr>
          <w:rFonts w:ascii="Garamond" w:hAnsi="Garamond" w:cs="Arial"/>
          <w:color w:val="000000"/>
          <w:lang w:val="en-GB"/>
        </w:rPr>
        <w:t xml:space="preserve">, abgeleitet. Es lasse sich kaum eine Stelle des Organismus denken, welche nicht der Ausgangspunkt eines Traumes oder Wahnbildes werden könne. Die organisch bedingte Empfindung »läßt sich aber in zwei Reihen trennen: 1) in die der Totalstimmungen (Gemeingefühle), 2) in die spezifischen, den Hauptsystemen des vegetativen Organismus immanenten Sensationen, wovon wir fünf Gruppen unterschieden haben, </w:t>
      </w:r>
      <w:r w:rsidRPr="00A06A59">
        <w:rPr>
          <w:rFonts w:ascii="Garamond" w:hAnsi="Garamond" w:cs="Arial"/>
          <w:i/>
          <w:iCs/>
          <w:color w:val="000000"/>
          <w:lang w:val="en-GB"/>
        </w:rPr>
        <w:t>a)</w:t>
      </w:r>
      <w:r w:rsidRPr="00A06A59">
        <w:rPr>
          <w:rFonts w:ascii="Garamond" w:hAnsi="Garamond" w:cs="Arial"/>
          <w:color w:val="000000"/>
          <w:lang w:val="en-GB"/>
        </w:rPr>
        <w:t xml:space="preserve"> die Muskelempfindungen, </w:t>
      </w:r>
      <w:r w:rsidRPr="00A06A59">
        <w:rPr>
          <w:rFonts w:ascii="Garamond" w:hAnsi="Garamond" w:cs="Arial"/>
          <w:i/>
          <w:iCs/>
          <w:color w:val="000000"/>
          <w:lang w:val="en-GB"/>
        </w:rPr>
        <w:t>b)</w:t>
      </w:r>
      <w:r w:rsidRPr="00A06A59">
        <w:rPr>
          <w:rFonts w:ascii="Garamond" w:hAnsi="Garamond" w:cs="Arial"/>
          <w:color w:val="000000"/>
          <w:lang w:val="en-GB"/>
        </w:rPr>
        <w:t xml:space="preserve"> die pneumatischen, </w:t>
      </w:r>
      <w:r w:rsidRPr="00A06A59">
        <w:rPr>
          <w:rFonts w:ascii="Garamond" w:hAnsi="Garamond" w:cs="Arial"/>
          <w:i/>
          <w:iCs/>
          <w:color w:val="000000"/>
          <w:lang w:val="en-GB"/>
        </w:rPr>
        <w:t>c)</w:t>
      </w:r>
      <w:r w:rsidRPr="00A06A59">
        <w:rPr>
          <w:rFonts w:ascii="Garamond" w:hAnsi="Garamond" w:cs="Arial"/>
          <w:color w:val="000000"/>
          <w:lang w:val="en-GB"/>
        </w:rPr>
        <w:t xml:space="preserve"> die gastrischen, </w:t>
      </w:r>
      <w:r w:rsidRPr="00A06A59">
        <w:rPr>
          <w:rFonts w:ascii="Garamond" w:hAnsi="Garamond" w:cs="Arial"/>
          <w:i/>
          <w:iCs/>
          <w:color w:val="000000"/>
          <w:lang w:val="en-GB"/>
        </w:rPr>
        <w:t>d)</w:t>
      </w:r>
      <w:r w:rsidRPr="00A06A59">
        <w:rPr>
          <w:rFonts w:ascii="Garamond" w:hAnsi="Garamond" w:cs="Arial"/>
          <w:color w:val="000000"/>
          <w:lang w:val="en-GB"/>
        </w:rPr>
        <w:t xml:space="preserve"> die sexuellen und </w:t>
      </w:r>
      <w:r w:rsidRPr="00A06A59">
        <w:rPr>
          <w:rFonts w:ascii="Garamond" w:hAnsi="Garamond" w:cs="Arial"/>
          <w:i/>
          <w:iCs/>
          <w:color w:val="000000"/>
          <w:lang w:val="en-GB"/>
        </w:rPr>
        <w:t>e)</w:t>
      </w:r>
      <w:r w:rsidRPr="00A06A59">
        <w:rPr>
          <w:rFonts w:ascii="Garamond" w:hAnsi="Garamond" w:cs="Arial"/>
          <w:color w:val="000000"/>
          <w:lang w:val="en-GB"/>
        </w:rPr>
        <w:t xml:space="preserve"> die peripherischen«. (S. 33 des zweiten Artikels.)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Hergang der Traumbilderentstehung auf Grund der Leibreize nimmt </w:t>
      </w:r>
      <w:r w:rsidRPr="00A06A59">
        <w:rPr>
          <w:rFonts w:ascii="Garamond" w:hAnsi="Garamond" w:cs="Arial"/>
          <w:i/>
          <w:iCs/>
          <w:color w:val="000000"/>
          <w:lang w:val="en-GB"/>
        </w:rPr>
        <w:t>Krauß</w:t>
      </w:r>
      <w:r w:rsidRPr="00A06A59">
        <w:rPr>
          <w:rFonts w:ascii="Garamond" w:hAnsi="Garamond" w:cs="Arial"/>
          <w:color w:val="000000"/>
          <w:lang w:val="en-GB"/>
        </w:rPr>
        <w:t xml:space="preserve"> folgendermaßen an: Die geweckte Empfindung ruft nach irgendeinem Assoziationsgesetz eine ihr verwandte Vorstellung wach und verbindet sich mit ihr zu einem organischen Gebilde, gegen welches sich aber das Bewußtsein anders verhält als normal. Denn dies schenkt der Empfindung selbst keine Aufmerksamkeit, sondern wendet sie ganz den begleitenden Vorstellungen zu, was zugleich der Grund ist, warum dieser Sachverhalt so lange verkannt werden konnte. (S. 11 u. f.) </w:t>
      </w:r>
      <w:r w:rsidRPr="00A06A59">
        <w:rPr>
          <w:rFonts w:ascii="Garamond" w:hAnsi="Garamond" w:cs="Arial"/>
          <w:i/>
          <w:iCs/>
          <w:color w:val="000000"/>
          <w:lang w:val="en-GB"/>
        </w:rPr>
        <w:t>Krauß</w:t>
      </w:r>
      <w:r w:rsidRPr="00A06A59">
        <w:rPr>
          <w:rFonts w:ascii="Garamond" w:hAnsi="Garamond" w:cs="Arial"/>
          <w:color w:val="000000"/>
          <w:lang w:val="en-GB"/>
        </w:rPr>
        <w:t xml:space="preserve"> findet für den Vorgang auch den besonderen Ausdruck der </w:t>
      </w:r>
      <w:r w:rsidRPr="00A06A59">
        <w:rPr>
          <w:rFonts w:ascii="Garamond" w:hAnsi="Garamond" w:cs="Arial"/>
          <w:i/>
          <w:iCs/>
          <w:color w:val="000000"/>
          <w:lang w:val="en-GB"/>
        </w:rPr>
        <w:t>Transsubstantiation</w:t>
      </w:r>
      <w:r w:rsidRPr="00A06A59">
        <w:rPr>
          <w:rFonts w:ascii="Garamond" w:hAnsi="Garamond" w:cs="Arial"/>
          <w:color w:val="000000"/>
          <w:lang w:val="en-GB"/>
        </w:rPr>
        <w:t xml:space="preserve"> der Empfindungen in Traumbilder.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Einfluß der organischen Leibreize auf die Traumbildung wird heute nahezu allgemein angenommen, die Frage nach dem Gesetz der Beziehung zwischen beiden sehr verschiedenartig, oftmals mit dunkeln Auskünften, beantwortet. Es ergibt sich nun auf dem Boden der Leibreiztheorie die besondere Aufgabe der Traumdeutung, den Inhalt eines Traums auf die ihn verursachenden organischen Reize zurückzuführen, und wenn man nicht die von </w:t>
      </w:r>
      <w:r w:rsidRPr="00A06A59">
        <w:rPr>
          <w:rFonts w:ascii="Garamond" w:hAnsi="Garamond" w:cs="Arial"/>
          <w:i/>
          <w:iCs/>
          <w:color w:val="000000"/>
          <w:lang w:val="en-GB"/>
        </w:rPr>
        <w:t>Scherner</w:t>
      </w:r>
      <w:r w:rsidRPr="00A06A59">
        <w:rPr>
          <w:rFonts w:ascii="Garamond" w:hAnsi="Garamond" w:cs="Arial"/>
          <w:color w:val="000000"/>
          <w:lang w:val="en-GB"/>
        </w:rPr>
        <w:t xml:space="preserve"> aufgefundenen Deutungsregeln anerkennt, steht man oft vor der mißlichen Tatsache, daß die organische Reizquelle sich eben durch nichts anderes als durch den Inhalt des Traumes verrät.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Ziemlich übereinstimmend hat sich aber die Deutung verschiedener Traumformen gestaltet, die man als »typische« bezeichnet hat, weil sie bei so vielen Personen mit ganz ähnlichem Inhalt wiederkehren. Es sind dies die bekannten Träume vom Herabfallen von einer Höhe, vom Zahnausfallen, vom Fliegen und von der Verlegenheit, daß man nackt oder schlecht bekleidet ist. Letzterer Traum soll einfach von der im Schlaf gemachten Wahrnehmung herrühren, daß man die Bettdecke abgeworfen hat und nun entblößt daliegt. Der Traum vom Zahnausfallen wird auf »Zahnreiz« zurückgeführt, womit aber nicht ein krankhafter Erregungszustand der Zähne gemeint zu sein braucht. Der Traum zu fliegen ist nach </w:t>
      </w:r>
      <w:r w:rsidRPr="00A06A59">
        <w:rPr>
          <w:rFonts w:ascii="Garamond" w:hAnsi="Garamond" w:cs="Arial"/>
          <w:i/>
          <w:iCs/>
          <w:color w:val="000000"/>
          <w:lang w:val="en-GB"/>
        </w:rPr>
        <w:t>Strümpell</w:t>
      </w:r>
      <w:r w:rsidRPr="00A06A59">
        <w:rPr>
          <w:rFonts w:ascii="Garamond" w:hAnsi="Garamond" w:cs="Arial"/>
          <w:color w:val="000000"/>
          <w:lang w:val="en-GB"/>
        </w:rPr>
        <w:t xml:space="preserve"> das von der Seele gebrauchte adäquate Bild, womit sie das von den auf- und niedersteigenden Lungenflügeln ausgehende Reizquantum deutet, wenn gleichzeitig das Hautgefühl des Thorax schon bis zur Bewußtlosigkeit herabgesunken ist. Durch den letzteren Umstand wird die an die Vorstellungsform des Schwebens gebundene Empfindung vermittelt. Das Herabfallen aus der Höhe soll darin seinen Anlaß haben, daß bei eingetretener Bewußtlosigkeit des Hautdruckgefühls entweder ein Arm vom Körper herabsinkt oder ein eingezogenes Knie plötzlich gestreckt wird, wodurch das Gefühl des Hautdrucks wieder bewußt wird, der Übergang zum Bewußtwerden aber als Traum vom Niederfallen sich psychisch verkörpert ( </w:t>
      </w:r>
      <w:r w:rsidRPr="00A06A59">
        <w:rPr>
          <w:rFonts w:ascii="Garamond" w:hAnsi="Garamond" w:cs="Arial"/>
          <w:i/>
          <w:iCs/>
          <w:color w:val="000000"/>
          <w:lang w:val="en-GB"/>
        </w:rPr>
        <w:t>Strümpell</w:t>
      </w:r>
      <w:r w:rsidRPr="00A06A59">
        <w:rPr>
          <w:rFonts w:ascii="Garamond" w:hAnsi="Garamond" w:cs="Arial"/>
          <w:color w:val="000000"/>
          <w:lang w:val="en-GB"/>
        </w:rPr>
        <w:t xml:space="preserve">, S. 118). Die Schwäche dieser plausibeln Erklärungsversuche liegt offenbar darin, daß sie ohne weiteren Anhalt die oder jene Gruppe von Organempfindungen aus der seelischen Wahrnehmung verschwinden oder sich ihr aufdrängen lassen, bis die für die </w:t>
      </w:r>
      <w:r w:rsidRPr="00A06A59">
        <w:rPr>
          <w:rFonts w:ascii="Garamond" w:hAnsi="Garamond" w:cs="Arial"/>
          <w:color w:val="000000"/>
          <w:lang w:val="en-GB"/>
        </w:rPr>
        <w:lastRenderedPageBreak/>
        <w:t>Erklärung günstige Konstellation hergestellt ist. Ich werde übrigens später Gelegenheit haben, auf die typischen Träume und ihre Entstehung zurückzukommen.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M. Simon</w:t>
      </w:r>
      <w:r w:rsidRPr="00A06A59">
        <w:rPr>
          <w:rFonts w:ascii="Garamond" w:hAnsi="Garamond" w:cs="Arial"/>
          <w:color w:val="000000"/>
          <w:lang w:val="en-GB"/>
        </w:rPr>
        <w:t xml:space="preserve"> hat versucht, aus der Vergleichung einer Reihe von ähnlichen Träumen einige Regeln für den Einfluß der Organreize auf die Bestimmung ihrer Traumerfolge abzuleiten. Er sagt (S. 34): Wenn im Schlaf irgendein Organapparat, der normalerweise am Ausdruck eines Affektes beteiligt ist, durch irgendeinen anderen Anlaß sich in dem Erregungszustande befindet, in den er sonst bei jenem Affekt versetzt wird, so wird der dabei entstehende Traum Vorstellungen enthalten, die dem Affekt angepaßt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andere Regel lautet (S. 35): Wenn ein Organapparat sich im Schlafe in Tätigkeit, Erregung oder Störung befindet, so wird der Traum Vorstellungen bringen, welche sich auf die Ausübung der organischen Funktion beziehen, die jener Apparat versieht.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Mourly Vold</w:t>
      </w:r>
      <w:r w:rsidRPr="00A06A59">
        <w:rPr>
          <w:rFonts w:ascii="Garamond" w:hAnsi="Garamond" w:cs="Arial"/>
          <w:color w:val="000000"/>
          <w:lang w:val="en-GB"/>
        </w:rPr>
        <w:t xml:space="preserve"> hat es unternommen, den von der Leibreiztheorie supponierten Einfluß auf die Traumerzeugung für ein einzelnes Gebiet experimentell zu erweisen. Er hat Versuche gemacht, die Stellungen der Glieder des Schlafenden zu verändern, und die Traumerfolge mit seinen Abänderungen verglichen. Er teilt folgende Sätze als Ergebnis mit.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1) Die Stellung eines Gliedes im Traum entspricht ungefähr der in der Wirklichkeit, d. h. man träumt von einem statischen Zustand des Gliedes, welcher dem realen entspricht.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2) Wenn man von der Bewegung eines Gliedes träumt, so ist diese immer so, daß eine der bei ihrer Vollziehung vorkommenden Stellungen der wirklichen entspricht.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3) Man kann die Stellung des eigenen Gliedes im Traum auch einer fremden Person zuschieben.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4) Man kann auch träumen, daß die betreffende Bewegung gehindert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5) Das Glied in der betreffenden Stellung kann im Traum als Tier oder Ungeheuer erscheinen, wobei eine gewisse Analogie beider hergestellt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6) Die Stellung eines Gliedes kann im Traum Gedanken anregen, die zu diesem Glied irgendeine Beziehung haben, so z. B. träumt man bei Beschäftigung mit den Fingern von Zahlen.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würde aus solchen Ergebnissen schließen, daß auch die Leibreiztheorie die scheinbare Freiheit in der Bestimmung der zu erweckenden Traumbilder nicht gänzlich auszulöschen vermag </w:t>
      </w:r>
      <w:hyperlink r:id="rId2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Näheres über die seither in zwei Bänden veröffentlichten Traumprotokolle dieses Forschers siehe unten.</w:t>
        </w:r>
      </w:hyperlink>
      <w:r w:rsidRPr="00A06A59">
        <w:rPr>
          <w:rFonts w:ascii="Garamond" w:hAnsi="Garamond" w:cs="Arial"/>
          <w:color w:val="000000"/>
          <w:lang w:val="en-GB"/>
        </w:rPr>
        <w:t>.</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Ad 4) Psychische Reizquellen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Als wir die Beziehungen des Traums zum Wachleben und die Herkunft des Traummaterials behandelten, erfuhren wir, es sei die Ansicht der ältesten wie der neuesten Traumforscher, daß die Menschen von dem träumen, was sie bei Tag treiben und was sie im Wachen interessiert. Dieses aus dem Wachleben in den Schlaf sich fortsetzende Interesse wäre nicht nur ein psychisches Band, das den Traum ans Leben knüpft, sondern ergibt uns auch eine nicht zu unterschätzende Traumquelle, die neben dem im Schlaf interessant Gewordenen – den während des Schlafes einwirkenden Reizen – ausreichen sollte, die Herkunft aller Traumbilder aufzuklären. Wir haben aber auch den Widerspruch gegen obige Behauptung gehört, nämlich daß der Traum den Schläfer von den Interessen des Tages abzieht und daß wir – meistens – von den Dingen, die uns bei Tag am meisten ergriffen haben, erst dann träumen, wenn sie für das Wachleben den Reiz der Aktualität verloren haben. So erhalten wir in der Analyse des Traumlebens bei jedem Schritt den Eindruck, daß es unstatthaft ist, allgemeine Regeln aufzustellen, ohne durch ein »oft«, »in der Regel«, »meistens« Einschränkungen vorzusehen und auf die Gültigkeit der Ausnahmen vorzubereiten.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das Wachinteresse nebst den inneren und äußeren Schlafreizen zur Deckung der Traumätiologie ausreichte, so müßten wir imstande sein, von der Herkunft aller Elemente eines Traums befriedigende Rechenschaft zu geben; das Rätsel der Traumquellen wäre gelöst, und es bliebe noch die Aufgabe, den Anteil der psychischen und der somatischen Traumreize in den einzelnen Träumen abzugrenzen. In Wirklichkeit ist diese vollständige Auflösung eines Traums noch in keinem Falle gelungen, und jedem, der dies versucht hat, sind – meist sehr reichlich – Traumbestandteile übriggeblieben, über deren Herkunft er keine Aussage machen konnte. Das Tagesinteresse als psychische Traumquelle trägt offenbar nicht so weit, als man nach den zuversichtlichen Behauptungen, daß jeder im Traum sein Geschäft weiter betreibe, erwarten sollte.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Andere psychische Traumquellen sind nicht bekannt. Es lassen also alle in der Literatur vertretenen Traumerklärungen – mit Ausnahme etwa der später zu erwähnenden von </w:t>
      </w:r>
      <w:r w:rsidRPr="00A06A59">
        <w:rPr>
          <w:rFonts w:ascii="Garamond" w:hAnsi="Garamond" w:cs="Arial"/>
          <w:i/>
          <w:iCs/>
          <w:color w:val="000000"/>
          <w:lang w:val="en-GB"/>
        </w:rPr>
        <w:t>Scherner</w:t>
      </w:r>
      <w:r w:rsidRPr="00A06A59">
        <w:rPr>
          <w:rFonts w:ascii="Garamond" w:hAnsi="Garamond" w:cs="Arial"/>
          <w:color w:val="000000"/>
          <w:lang w:val="en-GB"/>
        </w:rPr>
        <w:t xml:space="preserve"> – eine große Lücke offen, wo es </w:t>
      </w:r>
      <w:r w:rsidRPr="00A06A59">
        <w:rPr>
          <w:rFonts w:ascii="Garamond" w:hAnsi="Garamond" w:cs="Arial"/>
          <w:color w:val="000000"/>
          <w:lang w:val="en-GB"/>
        </w:rPr>
        <w:lastRenderedPageBreak/>
        <w:t xml:space="preserve">sich um die Ableitung des für den Traum am meisten charakteristischen Materials von Vorstellungsbildern handelt. In dieser Verlegenheit hat die Mehrzahl der Autoren die Neigung entwickelt, den psychischen Anteil an der Traumerregung, dem so schwer beizukommen ist, möglichst zu verkleinern. Sie unterscheiden zwar als Haupteinteilung den </w:t>
      </w:r>
      <w:r w:rsidRPr="00A06A59">
        <w:rPr>
          <w:rFonts w:ascii="Garamond" w:hAnsi="Garamond" w:cs="Arial"/>
          <w:i/>
          <w:iCs/>
          <w:color w:val="000000"/>
          <w:lang w:val="en-GB"/>
        </w:rPr>
        <w:t>Nervenreiz-</w:t>
      </w:r>
      <w:r w:rsidRPr="00A06A59">
        <w:rPr>
          <w:rFonts w:ascii="Garamond" w:hAnsi="Garamond" w:cs="Arial"/>
          <w:color w:val="000000"/>
          <w:lang w:val="en-GB"/>
        </w:rPr>
        <w:t xml:space="preserve"> und den </w:t>
      </w:r>
      <w:r w:rsidRPr="00A06A59">
        <w:rPr>
          <w:rFonts w:ascii="Garamond" w:hAnsi="Garamond" w:cs="Arial"/>
          <w:i/>
          <w:iCs/>
          <w:color w:val="000000"/>
          <w:lang w:val="en-GB"/>
        </w:rPr>
        <w:t>Assoziationstraum</w:t>
      </w:r>
      <w:r w:rsidRPr="00A06A59">
        <w:rPr>
          <w:rFonts w:ascii="Garamond" w:hAnsi="Garamond" w:cs="Arial"/>
          <w:color w:val="000000"/>
          <w:lang w:val="en-GB"/>
        </w:rPr>
        <w:t xml:space="preserve">, welch letzterer ausschließlich in der Reproduktion seine Quelle findet ( </w:t>
      </w:r>
      <w:r w:rsidRPr="00A06A59">
        <w:rPr>
          <w:rFonts w:ascii="Garamond" w:hAnsi="Garamond" w:cs="Arial"/>
          <w:i/>
          <w:iCs/>
          <w:color w:val="000000"/>
          <w:lang w:val="en-GB"/>
        </w:rPr>
        <w:t>Wundt</w:t>
      </w:r>
      <w:r w:rsidRPr="00A06A59">
        <w:rPr>
          <w:rFonts w:ascii="Garamond" w:hAnsi="Garamond" w:cs="Arial"/>
          <w:color w:val="000000"/>
          <w:lang w:val="en-GB"/>
        </w:rPr>
        <w:t xml:space="preserve">, S. 365), aber sie können den Zweifel nicht loswerden, »ob sie sich ohne anstoßgebenden Leibreiz einstellen« ( </w:t>
      </w:r>
      <w:r w:rsidRPr="00A06A59">
        <w:rPr>
          <w:rFonts w:ascii="Garamond" w:hAnsi="Garamond" w:cs="Arial"/>
          <w:i/>
          <w:iCs/>
          <w:color w:val="000000"/>
          <w:lang w:val="en-GB"/>
        </w:rPr>
        <w:t>Volkelt</w:t>
      </w:r>
      <w:r w:rsidRPr="00A06A59">
        <w:rPr>
          <w:rFonts w:ascii="Garamond" w:hAnsi="Garamond" w:cs="Arial"/>
          <w:color w:val="000000"/>
          <w:lang w:val="en-GB"/>
        </w:rPr>
        <w:t xml:space="preserve">, S. 127). Auch die Charakteristik des reinen Assoziationstraumes versagt: »In den eigentlichen Assoziationsträumen kann von einem solchen festen Kern nicht mehr die Rede sein. Hier dringt die lose Gruppierung auch in den Mittelpunkt des Traumes ein. Das ohnedies von Vernunft und Verstand freigelassene Vorstellungsleben ist hier auch von jenen gewichtvolleren Leib- und Seelenerregungen nicht mehr zusammengehalten und so seinem eigenen bunten Schieben und Treiben, seinem eigenen lockeren Durcheinandertaumeln überlassen.« ( </w:t>
      </w:r>
      <w:r w:rsidRPr="00A06A59">
        <w:rPr>
          <w:rFonts w:ascii="Garamond" w:hAnsi="Garamond" w:cs="Arial"/>
          <w:i/>
          <w:iCs/>
          <w:color w:val="000000"/>
          <w:lang w:val="en-GB"/>
        </w:rPr>
        <w:t>Volkelt</w:t>
      </w:r>
      <w:r w:rsidRPr="00A06A59">
        <w:rPr>
          <w:rFonts w:ascii="Garamond" w:hAnsi="Garamond" w:cs="Arial"/>
          <w:color w:val="000000"/>
          <w:lang w:val="en-GB"/>
        </w:rPr>
        <w:t xml:space="preserve">, S. 118.) Eine Verkleinerung des psychischen Anteils an der Traumerregung versucht dann </w:t>
      </w:r>
      <w:r w:rsidRPr="00A06A59">
        <w:rPr>
          <w:rFonts w:ascii="Garamond" w:hAnsi="Garamond" w:cs="Arial"/>
          <w:i/>
          <w:iCs/>
          <w:color w:val="000000"/>
          <w:lang w:val="en-GB"/>
        </w:rPr>
        <w:t>Wundt</w:t>
      </w:r>
      <w:r w:rsidRPr="00A06A59">
        <w:rPr>
          <w:rFonts w:ascii="Garamond" w:hAnsi="Garamond" w:cs="Arial"/>
          <w:color w:val="000000"/>
          <w:lang w:val="en-GB"/>
        </w:rPr>
        <w:t xml:space="preserve">, indem er ausführt, daß man die »Phantasmen des Traumes wohl mit Unrecht als reine Halluzinationen ansehe. Wahrscheinlich sind die meisten Traumvorstellungen in Wirklichkeit Illusionen, indem sie von den leisen Sinneseindrücken ausgehen, die niemals im Schlafe erlöschen.« (S. 359 u. f.) </w:t>
      </w:r>
      <w:r w:rsidRPr="00A06A59">
        <w:rPr>
          <w:rFonts w:ascii="Garamond" w:hAnsi="Garamond" w:cs="Arial"/>
          <w:i/>
          <w:iCs/>
          <w:color w:val="000000"/>
          <w:lang w:val="en-GB"/>
        </w:rPr>
        <w:t>Weygandt</w:t>
      </w:r>
      <w:r w:rsidRPr="00A06A59">
        <w:rPr>
          <w:rFonts w:ascii="Garamond" w:hAnsi="Garamond" w:cs="Arial"/>
          <w:color w:val="000000"/>
          <w:lang w:val="en-GB"/>
        </w:rPr>
        <w:t xml:space="preserve"> hat sich diese Ansicht angeeignet und sie verallgemeinert. </w:t>
      </w:r>
      <w:r w:rsidRPr="00A06A59">
        <w:rPr>
          <w:rFonts w:ascii="Garamond" w:hAnsi="Garamond" w:cs="Arial"/>
          <w:color w:val="000000"/>
        </w:rPr>
        <w:t xml:space="preserve">Er behauptet für alle Traumvorstellungen, daß »ihre nächste Ursache Sinnesreize sind, daran erst schließen sich reproduktive Assoziationen« (S. 17). Noch weiter in der Verdrängung der psychischen Reizquellen geht </w:t>
      </w:r>
      <w:r w:rsidRPr="00A06A59">
        <w:rPr>
          <w:rFonts w:ascii="Garamond" w:hAnsi="Garamond" w:cs="Arial"/>
          <w:i/>
          <w:iCs/>
          <w:color w:val="000000"/>
        </w:rPr>
        <w:t>Tissié</w:t>
      </w:r>
      <w:r w:rsidRPr="00A06A59">
        <w:rPr>
          <w:rFonts w:ascii="Garamond" w:hAnsi="Garamond" w:cs="Arial"/>
          <w:color w:val="000000"/>
        </w:rPr>
        <w:t xml:space="preserve"> (p. 183): » </w:t>
      </w:r>
      <w:r w:rsidRPr="00A06A59">
        <w:rPr>
          <w:rFonts w:ascii="Garamond" w:hAnsi="Garamond" w:cs="Arial"/>
          <w:i/>
          <w:iCs/>
          <w:color w:val="000000"/>
        </w:rPr>
        <w:t>Les rêves d'origine absolument psychique n'existent pas</w:t>
      </w:r>
      <w:r w:rsidRPr="00A06A59">
        <w:rPr>
          <w:rFonts w:ascii="Garamond" w:hAnsi="Garamond" w:cs="Arial"/>
          <w:color w:val="000000"/>
        </w:rPr>
        <w:t xml:space="preserve">«, und anderswo (p. 6): » </w:t>
      </w:r>
      <w:r w:rsidRPr="00A06A59">
        <w:rPr>
          <w:rFonts w:ascii="Garamond" w:hAnsi="Garamond" w:cs="Arial"/>
          <w:i/>
          <w:iCs/>
          <w:color w:val="000000"/>
        </w:rPr>
        <w:t>Les pensées de nos rêves nous viennent du dehors...</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Diejenigen Autoren, welche wie der einflußreiche Philosoph </w:t>
      </w:r>
      <w:r w:rsidRPr="00A06A59">
        <w:rPr>
          <w:rFonts w:ascii="Garamond" w:hAnsi="Garamond" w:cs="Arial"/>
          <w:i/>
          <w:iCs/>
          <w:color w:val="000000"/>
        </w:rPr>
        <w:t>Wundt</w:t>
      </w:r>
      <w:r w:rsidRPr="00A06A59">
        <w:rPr>
          <w:rFonts w:ascii="Garamond" w:hAnsi="Garamond" w:cs="Arial"/>
          <w:color w:val="000000"/>
        </w:rPr>
        <w:t xml:space="preserve"> eine Mittelstellung einnehmen, versäumen nicht anzumerken, daß in den meisten Träumen somatische Reize und die unbekannten oder als Tagesinteresse erkannten psychischen Anreger des Traumes zusammenwirken.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Wir werden später erfahren, daß das Rätsel der Traumbildung durch die Aufdeckung einer unvermuteten psychischen Reizquelle gelöst werden kann. Vorläufig wollen wir uns über die Überschätzung der nicht aus dem Seelenleben stammenden Reize zur Traumbildung nicht verwundern. Nicht nur daß diese allein leicht aufzufinden und selbst durchs Experiment zu bestätigen sind; es entspricht auch die somatische Auffassung der Traumentstehung durchwegs der heute in der Psychiatrie herrschenden Denkrichtung. Die Herrschaft des Gehirns über den Organismus wird zwar nachdrücklichst betont, aber alles, was eine Unabhängigkeit des Seelenlebens von nachweisbaren organischen Veränderungen oder eine Spontaneität in dessen Äußerungen erweisen könnte, schreckt den Psychiater heute so, als ob dessen Anerkennung die Zeiten der Naturphilosophie und des metaphysischen Seelenwesens wiederbringen müßte. Das Mißtrauen des Psychiaters hat die Psyche gleichsam unter Kuratel gesetzt und fordert nun, daß keine ihrer Regungen ein ihr eigenes Vermögen verrate. </w:t>
      </w:r>
      <w:r w:rsidRPr="00A06A59">
        <w:rPr>
          <w:rFonts w:ascii="Garamond" w:hAnsi="Garamond" w:cs="Arial"/>
          <w:color w:val="000000"/>
          <w:lang w:val="en-GB"/>
        </w:rPr>
        <w:t>Doch zeugt dies Benehmen von nichts anderem als von einem geringen Zutrauen in die Haltbarkeit der Kausalverkettung, die sich zwischen Leiblichem und Seelischem erstreckt. Selbst wo das Psychische sich bei der Erforschung als der primäre Anlaß eines Phänomens erkennen läßt, wird ein tieferes Eindringen die Fortsetzung des Weges bis zur organischen Begründung des Seelischen einmal zu finden wissen. Wo aber das Psychische für unsere derzeitige Erkenntnis die Endstation bedeuten müßte, da braucht es darum nicht geleugnet zu werden.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D. Warum man den Traum nach dem Erwachen vergisst?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Daß der Traum am Morgen »zerrinnt«, ist sprichwörtlich. Freilich ist er der Erinnerung fähig. Denn wir kennen den Traum ja nur aus der Erinnerung an ihn nach dem Erwachen; aber wir glauben sehr oft, daß wir ihn nur unvollständig erinnern, während in der Nacht mehr von ihm da war; wir können beobachten, wie eine des Morgens noch lebhafte Traumerinnerung im Laufe des Tages bis auf kleine Brocken dahinschwindet; wir wissen oft, daß wir geträumt haben, aber nicht, was wir geträumt haben, und wir sind an die Erfahrung, daß der Traum dem Vergessen unterworfen ist, so gewöhnt, daß wir die Möglichkeit nicht als absurd verwerfen, daß auch der bei Nacht geträumt haben könnte, der am Morgen weder vom Inhalt noch von der Tatsache des Träumens etwas weiß. Anderseits kommt es vor, daß Träume eine außerordentliche Haltbarkeit im Gedächtnisse zeigen. Ich habe bei meinen Patienten Träume analysiert, die sich ihnen vor fünfundzwanzig und mehr Jahren ereignet hatten, und kann mich an einen eigenen Traum erinnern, der durch mindestens siebenunddreißig Jahre vom heutigen Tag getrennt ist und doch an seiner Gedächtnisfrische nichts eingebüßt hat. Dies alles ist sehr merkwürdig und zunächst nicht verständlich.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Über das Vergessen der Träume handelt am ausführlichsten </w:t>
      </w:r>
      <w:r w:rsidRPr="00A06A59">
        <w:rPr>
          <w:rFonts w:ascii="Garamond" w:hAnsi="Garamond" w:cs="Arial"/>
          <w:i/>
          <w:iCs/>
          <w:color w:val="000000"/>
          <w:lang w:val="en-GB"/>
        </w:rPr>
        <w:t>Strümpell</w:t>
      </w:r>
      <w:r w:rsidRPr="00A06A59">
        <w:rPr>
          <w:rFonts w:ascii="Garamond" w:hAnsi="Garamond" w:cs="Arial"/>
          <w:color w:val="000000"/>
          <w:lang w:val="en-GB"/>
        </w:rPr>
        <w:t xml:space="preserve">. Dieses Vergessen ist offenbar ein komplexes Phänomen, denn </w:t>
      </w:r>
      <w:r w:rsidRPr="00A06A59">
        <w:rPr>
          <w:rFonts w:ascii="Garamond" w:hAnsi="Garamond" w:cs="Arial"/>
          <w:i/>
          <w:iCs/>
          <w:color w:val="000000"/>
          <w:lang w:val="en-GB"/>
        </w:rPr>
        <w:t>Strümpell</w:t>
      </w:r>
      <w:r w:rsidRPr="00A06A59">
        <w:rPr>
          <w:rFonts w:ascii="Garamond" w:hAnsi="Garamond" w:cs="Arial"/>
          <w:color w:val="000000"/>
          <w:lang w:val="en-GB"/>
        </w:rPr>
        <w:t xml:space="preserve"> führt es nicht auf einen einzigen, sondern auf eine ganze Reihe von Gründen zurück.</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Zunächst sind für das Vergessen der Träume alle jene Gründe wirksam, die im Wachleben das Vergessen herbeiführen. Wir pflegen als Wachende eine Unzahl von Empfindungen und Wahrnehmungen alsbald zu vergessen, weil sie zu schwach waren, weil die an sie geknüpfte Seelenerregung einen zu geringen Grad hatte. Dasselbe ist rücksichtlich vieler Traumbilder der Fall; sie werden vergessen, weil sie zu schwach waren, während stärkere Bilder </w:t>
      </w:r>
      <w:r w:rsidRPr="00A06A59">
        <w:rPr>
          <w:rFonts w:ascii="Garamond" w:hAnsi="Garamond" w:cs="Arial"/>
          <w:color w:val="000000"/>
          <w:lang w:val="en-GB"/>
        </w:rPr>
        <w:lastRenderedPageBreak/>
        <w:t xml:space="preserve">aus ihrer Nähe erinnert werden. Übrigens ist das Moment der Intensität für sich allein sicher nicht entscheidend für die Erhaltung der Traumbilder; </w:t>
      </w:r>
      <w:r w:rsidRPr="00A06A59">
        <w:rPr>
          <w:rFonts w:ascii="Garamond" w:hAnsi="Garamond" w:cs="Arial"/>
          <w:i/>
          <w:iCs/>
          <w:color w:val="000000"/>
          <w:lang w:val="en-GB"/>
        </w:rPr>
        <w:t>Strümpell</w:t>
      </w:r>
      <w:r w:rsidRPr="00A06A59">
        <w:rPr>
          <w:rFonts w:ascii="Garamond" w:hAnsi="Garamond" w:cs="Arial"/>
          <w:color w:val="000000"/>
          <w:lang w:val="en-GB"/>
        </w:rPr>
        <w:t xml:space="preserve"> gesteht wie auch andere Autoren ( </w:t>
      </w:r>
      <w:r w:rsidRPr="00A06A59">
        <w:rPr>
          <w:rFonts w:ascii="Garamond" w:hAnsi="Garamond" w:cs="Arial"/>
          <w:i/>
          <w:iCs/>
          <w:color w:val="000000"/>
          <w:lang w:val="en-GB"/>
        </w:rPr>
        <w:t>Calkins</w:t>
      </w:r>
      <w:r w:rsidRPr="00A06A59">
        <w:rPr>
          <w:rFonts w:ascii="Garamond" w:hAnsi="Garamond" w:cs="Arial"/>
          <w:color w:val="000000"/>
          <w:lang w:val="en-GB"/>
        </w:rPr>
        <w:t xml:space="preserve">) zu, daß man häufig Traumbilder rasch vergißt, von denen man weiß, daß sie sehr lebhaft waren, während unter den im Gedächtnis erhaltenen sich sehr viele schattenhafte, sinnesschwache Bilder befinden. Ferner pflegt man im Wachen leicht zu vergessen, was sich nur einmal ereignet hat, und besser zu merken, was man wiederholt wahrnehmen konnte. Die meisten Traumbilder sind aber einmalige Erlebnisse </w:t>
      </w:r>
      <w:hyperlink r:id="rId2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Periodisch wiederkehrende Träume sind wiederholt bemerkt worden, vgl. die Sammlung von </w:t>
        </w:r>
        <w:r w:rsidRPr="00A06A59">
          <w:rPr>
            <w:rStyle w:val="innerfusslink3"/>
            <w:rFonts w:ascii="Garamond" w:hAnsi="Garamond" w:cs="Arial"/>
            <w:b/>
            <w:bCs/>
            <w:i/>
            <w:iCs/>
            <w:lang w:val="en-GB"/>
          </w:rPr>
          <w:t>Chabaneix</w:t>
        </w:r>
        <w:r w:rsidRPr="00A06A59">
          <w:rPr>
            <w:rStyle w:val="innerfusslink3"/>
            <w:rFonts w:ascii="Garamond" w:hAnsi="Garamond" w:cs="Arial"/>
            <w:b/>
            <w:bCs/>
            <w:lang w:val="en-GB"/>
          </w:rPr>
          <w:t>.</w:t>
        </w:r>
      </w:hyperlink>
      <w:r w:rsidRPr="00A06A59">
        <w:rPr>
          <w:rFonts w:ascii="Garamond" w:hAnsi="Garamond" w:cs="Arial"/>
          <w:color w:val="000000"/>
          <w:lang w:val="en-GB"/>
        </w:rPr>
        <w:t xml:space="preserve">; diese Eigentümlichkeit wird gleichmäßig zum Vergessen aller Träume beitragen. Weit bedeutsamer ist dann ein dritter Grund des Vergessens. Damit Empfindungen, Vorstellungen, Gedanken usw. eine gewisse Erinnerungsgröße erlangen, ist es notwendig, daß sie nicht vereinzelt bleiben, sondern Verbindungen und Vergesellschaftungen passender Art eingehen. Löst man einen kleinen Vers in seine Worte auf und schüttelt diese durcheinander, so wird es sehr schwer, ihn zu merken. »Wohlgeordnet und in sachgemäßer Folge hilft ein Wort dem anderen, und das Ganze steht sinnvoll in der Erinnerung leicht und lange fest. Widersinniges behalten wir im allgemeinen ebenso schwer und ebenso selten wie das Verworrene und Ordnungslose.« Nun fehlt den Träumen in den meisten Fällen Verständlichkeit und Ordnung. Die Traumkompositionen entbehren an sich der Möglichkeit ihres eigenen Gedächtnisses und werden vergessen, weil sie meistens schon in den nächsten Zeitmomenten auseinanderfallen. – Zu diesen Ausführungen stimmt allerdings nicht ganz, was </w:t>
      </w:r>
      <w:r w:rsidRPr="00A06A59">
        <w:rPr>
          <w:rFonts w:ascii="Garamond" w:hAnsi="Garamond" w:cs="Arial"/>
          <w:i/>
          <w:iCs/>
          <w:color w:val="000000"/>
          <w:lang w:val="en-GB"/>
        </w:rPr>
        <w:t>Radestock</w:t>
      </w:r>
      <w:r w:rsidRPr="00A06A59">
        <w:rPr>
          <w:rFonts w:ascii="Garamond" w:hAnsi="Garamond" w:cs="Arial"/>
          <w:color w:val="000000"/>
          <w:lang w:val="en-GB"/>
        </w:rPr>
        <w:t xml:space="preserve"> (S. 168) bemerkt haben will, daß wir gerade die sonderbarsten Träume am besten behalten.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Noch wirkungsvoller für das Vergessen des Traumes erscheinen </w:t>
      </w:r>
      <w:r w:rsidRPr="00A06A59">
        <w:rPr>
          <w:rFonts w:ascii="Garamond" w:hAnsi="Garamond" w:cs="Arial"/>
          <w:i/>
          <w:iCs/>
          <w:color w:val="000000"/>
          <w:lang w:val="en-GB"/>
        </w:rPr>
        <w:t>Strümpell</w:t>
      </w:r>
      <w:r w:rsidRPr="00A06A59">
        <w:rPr>
          <w:rFonts w:ascii="Garamond" w:hAnsi="Garamond" w:cs="Arial"/>
          <w:color w:val="000000"/>
          <w:lang w:val="en-GB"/>
        </w:rPr>
        <w:t xml:space="preserve"> andere Momente, die sich aus dem Verhältnis von Traum und Wachleben ableiten. Die Vergeßlichkeit der Träume für das wache Bewußtsein ist augenscheinlich nur das Gegenstück zu der früher erwähnten Tatsache, daß der Traum (fast) nie geordnete Erinnerungen aus dem Wachleben, sondern nur Einzelheiten aus demselben übernimmt, die er aus ihren gewohnten psychischen Verbindungen reißt, in denen sie im Wachen erinnert werden. Die Traumkomposition hat somit keinen Platz in der Gesellschaft der psychischen Reihen, mit denen die Seele erfüllt ist. Es fehlen ihr alle Erinnerungshilfen. »Auf diese Weise hebt sich das Traumgebilde gleichsam von dem Boden unseres Seelenlebens ab und schwebt im psychischen Raum wie eine Wolke am Himmel, die der neu belebte Atem rasch verweht.« (S. 87.) Nach derselben Richtung wirkt der Umstand, daß mit dem Erwachen sofort die herandrängende Sinneswelt die Aufmerksamkeit mit Beschlag belegt, so daß vor dieser Macht die wenigsten Traumbilder standhalten können. Diese weichen vor den Eindrücken des jungen Tages wie der Glanz der Gestirne vor dem Licht der Sonne.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 letzter Stelle ist als förderlich für das Vergessen der Träume der Tatsache zu gedenken, daß die meisten Menschen ihren Träumen überhaupt wenig Interesse entgegenbringen. Wer sich z. B. als Forscher eine Zeitlang für den Traum interessiert, träumt währenddessen auch mehr als sonst, das heißt wohl: er erinnert seine Träume leichter und häufiger.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Zwei andere Gründe des Vergessens der Träume, die </w:t>
      </w:r>
      <w:r w:rsidRPr="00A06A59">
        <w:rPr>
          <w:rFonts w:ascii="Garamond" w:hAnsi="Garamond" w:cs="Arial"/>
          <w:i/>
          <w:iCs/>
          <w:color w:val="000000"/>
          <w:lang w:val="en-GB"/>
        </w:rPr>
        <w:t>Bonatelli</w:t>
      </w:r>
      <w:r w:rsidRPr="00A06A59">
        <w:rPr>
          <w:rFonts w:ascii="Garamond" w:hAnsi="Garamond" w:cs="Arial"/>
          <w:color w:val="000000"/>
          <w:lang w:val="en-GB"/>
        </w:rPr>
        <w:t xml:space="preserve"> (bei </w:t>
      </w:r>
      <w:r w:rsidRPr="00A06A59">
        <w:rPr>
          <w:rFonts w:ascii="Garamond" w:hAnsi="Garamond" w:cs="Arial"/>
          <w:i/>
          <w:iCs/>
          <w:color w:val="000000"/>
          <w:lang w:val="en-GB"/>
        </w:rPr>
        <w:t>Benini</w:t>
      </w:r>
      <w:r w:rsidRPr="00A06A59">
        <w:rPr>
          <w:rFonts w:ascii="Garamond" w:hAnsi="Garamond" w:cs="Arial"/>
          <w:color w:val="000000"/>
          <w:lang w:val="en-GB"/>
        </w:rPr>
        <w:t xml:space="preserve">) zu den </w:t>
      </w:r>
      <w:r w:rsidRPr="00A06A59">
        <w:rPr>
          <w:rFonts w:ascii="Garamond" w:hAnsi="Garamond" w:cs="Arial"/>
          <w:i/>
          <w:iCs/>
          <w:color w:val="000000"/>
          <w:lang w:val="en-GB"/>
        </w:rPr>
        <w:t>Strümpell</w:t>
      </w:r>
      <w:r w:rsidRPr="00A06A59">
        <w:rPr>
          <w:rFonts w:ascii="Garamond" w:hAnsi="Garamond" w:cs="Arial"/>
          <w:color w:val="000000"/>
          <w:lang w:val="en-GB"/>
        </w:rPr>
        <w:t>schen hinzugefügt, sind wohl bereits in diesen enthalten, nämlich: 1) daß die Veränderung des Gemeingefühls zwischen Schlafen und Wachen der wechselseitigen Reproduktion ungünstig ist und 2) daß die andere Anordnung des Vorstellungsmaterials im Traume diesen sozusagen unübersetzbar fürs Wachbewußtsein macht.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Nach all diesen Gründen fürs Vergessen wird es, wie </w:t>
      </w:r>
      <w:r w:rsidRPr="00A06A59">
        <w:rPr>
          <w:rFonts w:ascii="Garamond" w:hAnsi="Garamond" w:cs="Arial"/>
          <w:i/>
          <w:iCs/>
          <w:color w:val="000000"/>
          <w:lang w:val="en-GB"/>
        </w:rPr>
        <w:t>Strümpell</w:t>
      </w:r>
      <w:r w:rsidRPr="00A06A59">
        <w:rPr>
          <w:rFonts w:ascii="Garamond" w:hAnsi="Garamond" w:cs="Arial"/>
          <w:color w:val="000000"/>
          <w:lang w:val="en-GB"/>
        </w:rPr>
        <w:t xml:space="preserve"> selbst hervorhebt, erst recht merkwürdig, daß soviel von den Träumen doch in der Erinnerung behalten wird. Die fortgesetzten Bemühungen der Autoren, das Erinnern der Träume in Regeln zu fassen, kommen einem Eingeständnis gleich, daß auch hier etwas rätselhaft und ungelöst geblieben ist. Mit Recht sind einzelne Eigentümlichkeiten der Erinnerung an den Traum neuerdings besonders bemerkt worden, z. B. daß man einen Traum, den man am Morgen für vergessen hält, im Laufe des Tages aus Anlaß einer Wahrnehmung erinnern kann, die zufällig an den – doch vergessenen – Inhalt des Traums anrührt ( </w:t>
      </w:r>
      <w:r w:rsidRPr="00A06A59">
        <w:rPr>
          <w:rFonts w:ascii="Garamond" w:hAnsi="Garamond" w:cs="Arial"/>
          <w:i/>
          <w:iCs/>
          <w:color w:val="000000"/>
          <w:lang w:val="en-GB"/>
        </w:rPr>
        <w:t>Radestock, Tissié</w:t>
      </w:r>
      <w:r w:rsidRPr="00A06A59">
        <w:rPr>
          <w:rFonts w:ascii="Garamond" w:hAnsi="Garamond" w:cs="Arial"/>
          <w:color w:val="000000"/>
          <w:lang w:val="en-GB"/>
        </w:rPr>
        <w:t>). Die gesamte Erinnerung an den Traum unterliegt aber einer Einwendung, die geeignet ist, ihren Wert in kritischen Augen recht ausgiebig herabzusetzen. Man kann zweifeln, ob unsere Erinnerung, die soviel vom Traum wegläßt, das, was sie erhalten hat, nicht verfälscht.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Solche Zweifel an der Exaktheit der Reproduktion des Traumes spricht auch </w:t>
      </w:r>
      <w:r w:rsidRPr="00A06A59">
        <w:rPr>
          <w:rFonts w:ascii="Garamond" w:hAnsi="Garamond" w:cs="Arial"/>
          <w:i/>
          <w:iCs/>
          <w:color w:val="000000"/>
          <w:lang w:val="en-GB"/>
        </w:rPr>
        <w:t>Strümpell</w:t>
      </w:r>
      <w:r w:rsidRPr="00A06A59">
        <w:rPr>
          <w:rFonts w:ascii="Garamond" w:hAnsi="Garamond" w:cs="Arial"/>
          <w:color w:val="000000"/>
          <w:lang w:val="en-GB"/>
        </w:rPr>
        <w:t xml:space="preserve"> aus: »Dann geschieht es eben leicht, daß das wache Bewußtsein unwillkürlich manches in die Erinnerung des Traumes einfügt: man bildet sich ein, allerlei geträumt zu haben, was der gewesene Traum nicht enthielt.«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Besonders entschieden äußert sich </w:t>
      </w:r>
      <w:r w:rsidRPr="00A06A59">
        <w:rPr>
          <w:rFonts w:ascii="Garamond" w:hAnsi="Garamond" w:cs="Arial"/>
          <w:i/>
          <w:iCs/>
          <w:color w:val="000000"/>
          <w:lang w:val="en-GB"/>
        </w:rPr>
        <w:t>Jessen</w:t>
      </w:r>
      <w:r w:rsidRPr="00A06A59">
        <w:rPr>
          <w:rFonts w:ascii="Garamond" w:hAnsi="Garamond" w:cs="Arial"/>
          <w:color w:val="000000"/>
          <w:lang w:val="en-GB"/>
        </w:rPr>
        <w:t xml:space="preserve"> (S. 547):</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»Außerdem ist aber bei der Untersuchung und Deutung zusammenhängender und folgerichtiger Träume der, wie es scheint, bisher wenig beachtete Umstand sehr in Betracht zu ziehen, daß es dabei fast immer mit der Wahrheit hapert, weil wir, wenn wir einen gehabten Traum in unser Gedächtnis zurückrufen, ohne es zu bemerken oder zu wollen, die Lücken der Traumbilder ausfüllen und ergänzen. Selten und vielleicht niemals ist ein zusammenhängender Traum so </w:t>
      </w:r>
      <w:r w:rsidRPr="00A06A59">
        <w:rPr>
          <w:rFonts w:ascii="Garamond" w:hAnsi="Garamond" w:cs="Arial"/>
          <w:color w:val="000000"/>
          <w:lang w:val="en-GB"/>
        </w:rPr>
        <w:lastRenderedPageBreak/>
        <w:t>zusammenhängend gewesen, wie er uns in der Erinnerung erscheint. Auch dem wahrheitsliebendsten Menschen ist es kaum möglich, einen gehabten merkwürdigen Traum ohne allen Zusatz und ohne alle Ausschmückung zu erzählen: das Bestreben des menschlichen Geistes, alles im Zusammenhange zu erblicken, ist so groß, daß er bei der Erinnerung eines einigermaßen unzusammenhängenden Traumes die Mängel des Zusammenhanges unwillkürlich ergänzt.«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Fast wie eine Übersetzung dieser Worte </w:t>
      </w:r>
      <w:r w:rsidRPr="00A06A59">
        <w:rPr>
          <w:rFonts w:ascii="Garamond" w:hAnsi="Garamond" w:cs="Arial"/>
          <w:i/>
          <w:iCs/>
          <w:color w:val="000000"/>
        </w:rPr>
        <w:t>Jessens</w:t>
      </w:r>
      <w:r w:rsidRPr="00A06A59">
        <w:rPr>
          <w:rFonts w:ascii="Garamond" w:hAnsi="Garamond" w:cs="Arial"/>
          <w:color w:val="000000"/>
        </w:rPr>
        <w:t xml:space="preserve"> klingen die doch gewiß selbständig konzipierten Bemerkungen von V. Egger: » </w:t>
      </w:r>
      <w:r w:rsidRPr="00A06A59">
        <w:rPr>
          <w:rFonts w:ascii="Garamond" w:hAnsi="Garamond" w:cs="Arial"/>
          <w:i/>
          <w:iCs/>
          <w:color w:val="000000"/>
        </w:rPr>
        <w:t>... l'observation des rêves a ses difficultés spéciales et le seul moyen d'éviter toute erreur en pareille matière est de confier au papier sans le moindre retard ce que l'on vient d'éprouver et de remarquer; sinon, l'oubli vient vite ou total ou partiel; l'oubli total est sans gravité; mais l'oubli partiel est perfide; car si l'on se met ensuite à raconter ce que l'on n'a pas oublié, on est exposé à compléter par imagination les fragments incohérents et disjoints fourni par la mémoire...; on devient artiste à son insu, et le récit periodiquement répété s'impose à la créance de son auteur, qui, de bonne foi, le présente comme un fait authentique, dûment établi selon les bonnes méthodes...</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Ganz ähnlich </w:t>
      </w:r>
      <w:r w:rsidRPr="00A06A59">
        <w:rPr>
          <w:rFonts w:ascii="Garamond" w:hAnsi="Garamond" w:cs="Arial"/>
          <w:i/>
          <w:iCs/>
          <w:color w:val="000000"/>
        </w:rPr>
        <w:t>Spitta</w:t>
      </w:r>
      <w:r w:rsidRPr="00A06A59">
        <w:rPr>
          <w:rFonts w:ascii="Garamond" w:hAnsi="Garamond" w:cs="Arial"/>
          <w:color w:val="000000"/>
        </w:rPr>
        <w:t xml:space="preserve"> (S. 338), der anzunehmen scheint, daß wir überhaupt erst bei dem Versuch, den Traum zu reproduzieren, die Ordnung in die lose miteinander assoziierten Traumelemente einführen – »aus dem </w:t>
      </w:r>
      <w:r w:rsidRPr="00A06A59">
        <w:rPr>
          <w:rFonts w:ascii="Garamond" w:hAnsi="Garamond" w:cs="Arial"/>
          <w:i/>
          <w:iCs/>
          <w:color w:val="000000"/>
        </w:rPr>
        <w:t>Nebeneinander</w:t>
      </w:r>
      <w:r w:rsidRPr="00A06A59">
        <w:rPr>
          <w:rFonts w:ascii="Garamond" w:hAnsi="Garamond" w:cs="Arial"/>
          <w:color w:val="000000"/>
        </w:rPr>
        <w:t xml:space="preserve"> ein </w:t>
      </w:r>
      <w:r w:rsidRPr="00A06A59">
        <w:rPr>
          <w:rFonts w:ascii="Garamond" w:hAnsi="Garamond" w:cs="Arial"/>
          <w:i/>
          <w:iCs/>
          <w:color w:val="000000"/>
        </w:rPr>
        <w:t>Hintereinander, Auseinander</w:t>
      </w:r>
      <w:r w:rsidRPr="00A06A59">
        <w:rPr>
          <w:rFonts w:ascii="Garamond" w:hAnsi="Garamond" w:cs="Arial"/>
          <w:color w:val="000000"/>
        </w:rPr>
        <w:t xml:space="preserve"> machen, also den Prozeß der logischen Verbindung, der im Traum fehlt, hinzufügen«.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Da wir nun eine andere als eine objektive Kontrolle für die Treue unserer Erinnerung nicht besitzen, diese aber beim Traum, der unser eigenes Erlebnis ist und für den wir nur die Erinnerung als Quelle kennen, nicht möglich ist, welcher Wert bleibt da unserer Erinnerung an den Traum noch übrig?</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rPr>
      </w:pPr>
      <w:r w:rsidRPr="00A06A59">
        <w:rPr>
          <w:rFonts w:ascii="Garamond" w:hAnsi="Garamond" w:cs="Arial"/>
          <w:b/>
          <w:bCs/>
          <w:color w:val="000000"/>
        </w:rPr>
        <w:t>E. Die psychologischen Besonderheiten des Traumes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Wir gehen in der wissenschaftlichen Betrachtung des Traumes von der Annahme aus, daß der Traum ein Ergebnis unserer eigenen Seelentätigkeit ist; doch erscheint uns der fertige Traum als etwas Fremdes, zu dessen Urheberschaft zu bekennen es uns so wenig drängt, daß wir ebenso gerne sagen: »Mir hat geträumt« wie: »Ich habe geträumt.« Woher rührt diese »Seelenfremdheit« des Traumes? Nach unseren Erörterungen über die Traumquellen sollten wir meinen, sie sei nicht durch das Material bedingt, das in den Trauminhalt gelangt; dies ist ja zum größten Teile dem Traumleben wie dem Wachleben gemeinsam. Man kann sich fragen, ob es nicht Abänderungen der psychischen Vorgänge im Traume sind, welche diesen Eindruck hervorrufen, und kann so eine psychologische Charakteristik des Traumes versuchen.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Niemand hat die Wesensverschiedenheit von Traum- und Wachleben stärker betont und zu weitgehenderen Schlüssen verwendet als G. Th. </w:t>
      </w:r>
      <w:r w:rsidRPr="00A06A59">
        <w:rPr>
          <w:rFonts w:ascii="Garamond" w:hAnsi="Garamond" w:cs="Arial"/>
          <w:i/>
          <w:iCs/>
          <w:color w:val="000000"/>
          <w:lang w:val="en-GB"/>
        </w:rPr>
        <w:t>Fechner</w:t>
      </w:r>
      <w:r w:rsidRPr="00A06A59">
        <w:rPr>
          <w:rFonts w:ascii="Garamond" w:hAnsi="Garamond" w:cs="Arial"/>
          <w:color w:val="000000"/>
          <w:lang w:val="en-GB"/>
        </w:rPr>
        <w:t xml:space="preserve"> in einigen Bemerkungen seiner </w:t>
      </w:r>
      <w:r w:rsidRPr="00A06A59">
        <w:rPr>
          <w:rFonts w:ascii="Garamond" w:hAnsi="Garamond" w:cs="Arial"/>
          <w:i/>
          <w:iCs/>
          <w:color w:val="000000"/>
          <w:lang w:val="en-GB"/>
        </w:rPr>
        <w:t>Elemente der Psychophysik.</w:t>
      </w:r>
      <w:r w:rsidRPr="00A06A59">
        <w:rPr>
          <w:rFonts w:ascii="Garamond" w:hAnsi="Garamond" w:cs="Arial"/>
          <w:color w:val="000000"/>
          <w:lang w:val="en-GB"/>
        </w:rPr>
        <w:t xml:space="preserve"> (S. 520, II T.) Er meint, »weder die einfache Herabdrückung des bewußten Seelenlebens unter die Hauptschwelle« noch die Abziehung der Aufmerksamkeit von den Einflüssen der Außenwelt genüge, um die Eigentümlichkeiten des Traumlebens dem wachen Leben gegenüber aufzuklären. Er vermutet vielmehr, daß auch der </w:t>
      </w:r>
      <w:r w:rsidRPr="00A06A59">
        <w:rPr>
          <w:rFonts w:ascii="Garamond" w:hAnsi="Garamond" w:cs="Arial"/>
          <w:i/>
          <w:iCs/>
          <w:color w:val="000000"/>
          <w:lang w:val="en-GB"/>
        </w:rPr>
        <w:t>Schauplatz der Träume ein anderer ist als der des wachen Vorstellungslebens</w:t>
      </w:r>
      <w:r w:rsidRPr="00A06A59">
        <w:rPr>
          <w:rFonts w:ascii="Garamond" w:hAnsi="Garamond" w:cs="Arial"/>
          <w:color w:val="000000"/>
          <w:lang w:val="en-GB"/>
        </w:rPr>
        <w:t>. »Sollte der Schauplatz der psychophysischen Tätigkeit während des Schlafens und des Wachens derselbe sein, so könnte der Traum meines Erachtens bloß eine auf einem niederen Grade der Intensität sich haltende Fortsetzung des wachen Vorstellungslebens sein und müßte übrigens dessen Stoff und dessen Form teilen. Aber es verhält sich ganz anders.«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Was </w:t>
      </w:r>
      <w:r w:rsidRPr="00A06A59">
        <w:rPr>
          <w:rFonts w:ascii="Garamond" w:hAnsi="Garamond" w:cs="Arial"/>
          <w:i/>
          <w:iCs/>
          <w:color w:val="000000"/>
          <w:lang w:val="en-GB"/>
        </w:rPr>
        <w:t>Fechner</w:t>
      </w:r>
      <w:r w:rsidRPr="00A06A59">
        <w:rPr>
          <w:rFonts w:ascii="Garamond" w:hAnsi="Garamond" w:cs="Arial"/>
          <w:color w:val="000000"/>
          <w:lang w:val="en-GB"/>
        </w:rPr>
        <w:t xml:space="preserve"> mit einer solchen Umsiedlung der Seelentätigkeit meint, ist wohl nicht klar geworden; auch hat kein anderer, soviel ich weiß, den Weg weiter verfolgt, dessen Spur er in jener Bemerkung aufgezeigt. Eine anatomische Deutung im Sinne der physiologischen Gehirnlokalisation oder selbst mit Bezug auf die histologische Schichtung der Hirnrinde wird man wohl auszuschließen haben. Vielleicht aber erweist sich der Gedanke einmal als sinnreich und fruchtbar, wenn man ihn auf einen seelischen Apparat bezieht, der aus mehreren hintereinander eingeschalteten Instanzen aufgebaut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Andere Autoren haben sich damit begnügt, die eine oder die andere der greifbaren psychologischen Besonderheiten des Traumlebens hervorzuheben und etwa zum Ausgangspunkt weiter reichender Erklärungsversuche zu machen.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mit Recht bemerkt worden, daß eine der Haupteigentümlichkeiten des Traumlebens schon im Zustand des Einschlafens auftritt und als den Schlaf einleitendes Phänomen zu bezeichnen ist. Das Charakteristische des wachen Zustandes ist nach </w:t>
      </w:r>
      <w:r w:rsidRPr="00A06A59">
        <w:rPr>
          <w:rFonts w:ascii="Garamond" w:hAnsi="Garamond" w:cs="Arial"/>
          <w:i/>
          <w:iCs/>
          <w:color w:val="000000"/>
          <w:lang w:val="en-GB"/>
        </w:rPr>
        <w:t>Schleiermacher</w:t>
      </w:r>
      <w:r w:rsidRPr="00A06A59">
        <w:rPr>
          <w:rFonts w:ascii="Garamond" w:hAnsi="Garamond" w:cs="Arial"/>
          <w:color w:val="000000"/>
          <w:lang w:val="en-GB"/>
        </w:rPr>
        <w:t xml:space="preserve"> (S. 351), daß die Denktätigkeit in </w:t>
      </w:r>
      <w:r w:rsidRPr="00A06A59">
        <w:rPr>
          <w:rFonts w:ascii="Garamond" w:hAnsi="Garamond" w:cs="Arial"/>
          <w:i/>
          <w:iCs/>
          <w:color w:val="000000"/>
          <w:lang w:val="en-GB"/>
        </w:rPr>
        <w:t>Begriffen</w:t>
      </w:r>
      <w:r w:rsidRPr="00A06A59">
        <w:rPr>
          <w:rFonts w:ascii="Garamond" w:hAnsi="Garamond" w:cs="Arial"/>
          <w:color w:val="000000"/>
          <w:lang w:val="en-GB"/>
        </w:rPr>
        <w:t xml:space="preserve"> und nicht in </w:t>
      </w:r>
      <w:r w:rsidRPr="00A06A59">
        <w:rPr>
          <w:rFonts w:ascii="Garamond" w:hAnsi="Garamond" w:cs="Arial"/>
          <w:i/>
          <w:iCs/>
          <w:color w:val="000000"/>
          <w:lang w:val="en-GB"/>
        </w:rPr>
        <w:t>Bildern</w:t>
      </w:r>
      <w:r w:rsidRPr="00A06A59">
        <w:rPr>
          <w:rFonts w:ascii="Garamond" w:hAnsi="Garamond" w:cs="Arial"/>
          <w:color w:val="000000"/>
          <w:lang w:val="en-GB"/>
        </w:rPr>
        <w:t xml:space="preserve"> vor sich geht. Nun denkt der Traum hauptsächlich in Bildern, und man kann beobachten, daß mit der Annäherung an den Schlaf in demselben Maße, in dem die gewollten Tätigkeiten sich erschwert zeigen, </w:t>
      </w:r>
      <w:r w:rsidRPr="00A06A59">
        <w:rPr>
          <w:rFonts w:ascii="Garamond" w:hAnsi="Garamond" w:cs="Arial"/>
          <w:i/>
          <w:iCs/>
          <w:color w:val="000000"/>
          <w:lang w:val="en-GB"/>
        </w:rPr>
        <w:t>ungewollte Vorstellungen</w:t>
      </w:r>
      <w:r w:rsidRPr="00A06A59">
        <w:rPr>
          <w:rFonts w:ascii="Garamond" w:hAnsi="Garamond" w:cs="Arial"/>
          <w:color w:val="000000"/>
          <w:lang w:val="en-GB"/>
        </w:rPr>
        <w:t xml:space="preserve"> hervortreten, die alle in die Klasse der Bilder gehören. Die Unfähigkeit zu solcher Vorstellungsarbeit, die wir als absichtlich gewollte empfinden, und das mit dieser </w:t>
      </w:r>
      <w:r w:rsidRPr="00A06A59">
        <w:rPr>
          <w:rFonts w:ascii="Garamond" w:hAnsi="Garamond" w:cs="Arial"/>
          <w:i/>
          <w:iCs/>
          <w:color w:val="000000"/>
          <w:lang w:val="en-GB"/>
        </w:rPr>
        <w:t>Zerstreuung</w:t>
      </w:r>
      <w:r w:rsidRPr="00A06A59">
        <w:rPr>
          <w:rFonts w:ascii="Garamond" w:hAnsi="Garamond" w:cs="Arial"/>
          <w:color w:val="000000"/>
          <w:lang w:val="en-GB"/>
        </w:rPr>
        <w:t xml:space="preserve"> regelmäßig verknüpfte Hervortreten von Bildern, dies sind zwei Charaktere, die dem Traum verbleiben und die wir bei der psychologischen Analyse desselben als wesentliche Charaktere des Traumlebens anerkennen müssen. Von den Bildern – den hypnagogischen Halluzinationen – haben wir erfahren, daß </w:t>
      </w:r>
      <w:r w:rsidRPr="00A06A59">
        <w:rPr>
          <w:rFonts w:ascii="Garamond" w:hAnsi="Garamond" w:cs="Arial"/>
          <w:color w:val="000000"/>
          <w:lang w:val="en-GB"/>
        </w:rPr>
        <w:lastRenderedPageBreak/>
        <w:t xml:space="preserve">sie selbst dem Inhalt nach mit den Traumbildern identisch sind </w:t>
      </w:r>
      <w:hyperlink r:id="rId2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H. </w:t>
        </w:r>
        <w:r w:rsidRPr="00A06A59">
          <w:rPr>
            <w:rStyle w:val="innerfusslink3"/>
            <w:rFonts w:ascii="Garamond" w:hAnsi="Garamond" w:cs="Arial"/>
            <w:b/>
            <w:bCs/>
            <w:i/>
            <w:iCs/>
            <w:lang w:val="en-GB"/>
          </w:rPr>
          <w:t>Silberer</w:t>
        </w:r>
        <w:r w:rsidRPr="00A06A59">
          <w:rPr>
            <w:rStyle w:val="innerfusslink3"/>
            <w:rFonts w:ascii="Garamond" w:hAnsi="Garamond" w:cs="Arial"/>
            <w:b/>
            <w:bCs/>
            <w:lang w:val="en-GB"/>
          </w:rPr>
          <w:t xml:space="preserve"> hat an schönen Beispielen gezeigt, wie sich selbst abstrakte Gedanken im Zustande der Schläfrigkeit in anschaulich-plastische Bilder umsetzen, die das nämliche ausdrücken wollen. (Jahrbuch von </w:t>
        </w:r>
        <w:r w:rsidRPr="00A06A59">
          <w:rPr>
            <w:rStyle w:val="innerfusslink3"/>
            <w:rFonts w:ascii="Garamond" w:hAnsi="Garamond" w:cs="Arial"/>
            <w:b/>
            <w:bCs/>
            <w:i/>
            <w:iCs/>
            <w:lang w:val="en-GB"/>
          </w:rPr>
          <w:t>Bleuler-Freud</w:t>
        </w:r>
        <w:r w:rsidRPr="00A06A59">
          <w:rPr>
            <w:rStyle w:val="innerfusslink3"/>
            <w:rFonts w:ascii="Garamond" w:hAnsi="Garamond" w:cs="Arial"/>
            <w:b/>
            <w:bCs/>
            <w:lang w:val="en-GB"/>
          </w:rPr>
          <w:t>, Band I. 1909). Ich werde auf diese Befunde in anderem Zusammenhange zurückkommen.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denkt also vorwiegend in visuellen Bildern, aber doch nicht ausschließlich. Er arbeitet auch mit Gehörsbildern und in geringerem Ausmaße mit den Eindrücken der anderen Sinne. Vieles wird auch im Traum einfach gedacht oder vorgestellt (wahrscheinlich also durch Wortvorstellungsreste vertreten), ganz wie sonst im Wachen. Charakteristisch für den Traum sind aber doch nur jene Inhaltselemente, welche sich wie Bilder verhalten, d. h. den Wahrnehmungen ähnlicher sind als den Erinnerungsvorstellungen. Mit Hinwegsetzung über alle die dem Psychiater wohlbekannten Diskussionen über das Wesen der Halluzination können wir mit allen sachkundigen Autoren aussagen, daß der Traum </w:t>
      </w:r>
      <w:r w:rsidRPr="00A06A59">
        <w:rPr>
          <w:rFonts w:ascii="Garamond" w:hAnsi="Garamond" w:cs="Arial"/>
          <w:i/>
          <w:iCs/>
          <w:color w:val="000000"/>
          <w:lang w:val="en-GB"/>
        </w:rPr>
        <w:t>halluziniert</w:t>
      </w:r>
      <w:r w:rsidRPr="00A06A59">
        <w:rPr>
          <w:rFonts w:ascii="Garamond" w:hAnsi="Garamond" w:cs="Arial"/>
          <w:color w:val="000000"/>
          <w:lang w:val="en-GB"/>
        </w:rPr>
        <w:t>, daß er Gedanken durch Halluzinationen ersetzt. In dieser Hinsicht besteht kein Unterschied zwischen visuellen und akustischen Vorstellungen; es ist bemerkt worden, daß die Erinnerung an eine Tonfolge, mit der man einschläft, sich beim Versinken in den Schlaf in die Halluzination derselben Melodie verwandelt, um beim Zusichkommen, das mit dem Einnicken mehrmals abwechseln kann, wieder der leiseren und qualitativ anders gearteten Erinnerungsvorstellung Platz zu machen.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Verwandlung der Vorstellung in Halluzination ist nicht die einzige Abweichung des Traumes von einem etwa ihm entsprechenden Wachgedanken. Aus diesen Bildern gestaltet der Traum eine Situation, er stellt etwas als gegenwärtig dar, er </w:t>
      </w:r>
      <w:r w:rsidRPr="00A06A59">
        <w:rPr>
          <w:rFonts w:ascii="Garamond" w:hAnsi="Garamond" w:cs="Arial"/>
          <w:i/>
          <w:iCs/>
          <w:color w:val="000000"/>
          <w:lang w:val="en-GB"/>
        </w:rPr>
        <w:t>dramatisiert</w:t>
      </w:r>
      <w:r w:rsidRPr="00A06A59">
        <w:rPr>
          <w:rFonts w:ascii="Garamond" w:hAnsi="Garamond" w:cs="Arial"/>
          <w:color w:val="000000"/>
          <w:lang w:val="en-GB"/>
        </w:rPr>
        <w:t xml:space="preserve"> eine Idee, wie </w:t>
      </w:r>
      <w:r w:rsidRPr="00A06A59">
        <w:rPr>
          <w:rFonts w:ascii="Garamond" w:hAnsi="Garamond" w:cs="Arial"/>
          <w:i/>
          <w:iCs/>
          <w:color w:val="000000"/>
          <w:lang w:val="en-GB"/>
        </w:rPr>
        <w:t>Spitta</w:t>
      </w:r>
      <w:r w:rsidRPr="00A06A59">
        <w:rPr>
          <w:rFonts w:ascii="Garamond" w:hAnsi="Garamond" w:cs="Arial"/>
          <w:color w:val="000000"/>
          <w:lang w:val="en-GB"/>
        </w:rPr>
        <w:t xml:space="preserve"> (S. 145) sich ausdrückt. Die Charakteristik dieser Seite des Traumlebens wird aber erst vollständig, wenn man hinzunimmt, daß man beim Träumen – in der Regel, die Ausnahmen fordern eine besondere Aufklärung – nicht zu denken, sondern zu erleben vermeint, die Halluzinationen also mit vollem Glauben aufnimmt. Die Kritik, man habe nichts erlebt, sondern nur in eigentümlicher Form gedacht – geträumt –, regt sich erst beim Erwachen. Dieser Charakter scheidet den echten Schlaftraum von der Tagträumerei, die niemals mit der Realität verwechselt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Burdach</w:t>
      </w:r>
      <w:r w:rsidRPr="00A06A59">
        <w:rPr>
          <w:rFonts w:ascii="Garamond" w:hAnsi="Garamond" w:cs="Arial"/>
          <w:color w:val="000000"/>
          <w:lang w:val="en-GB"/>
        </w:rPr>
        <w:t xml:space="preserve"> hat die bisher betrachteten Charaktere des Traumlebens in folgenden Sätzen zusammengefaßt (S. 476): »Zu den wesentlichen Merkmalen des Traumes gehört </w:t>
      </w:r>
      <w:r w:rsidRPr="00A06A59">
        <w:rPr>
          <w:rFonts w:ascii="Garamond" w:hAnsi="Garamond" w:cs="Arial"/>
          <w:i/>
          <w:iCs/>
          <w:color w:val="000000"/>
          <w:lang w:val="en-GB"/>
        </w:rPr>
        <w:t>a)</w:t>
      </w:r>
      <w:r w:rsidRPr="00A06A59">
        <w:rPr>
          <w:rFonts w:ascii="Garamond" w:hAnsi="Garamond" w:cs="Arial"/>
          <w:color w:val="000000"/>
          <w:lang w:val="en-GB"/>
        </w:rPr>
        <w:t xml:space="preserve"> daß die subjektive Tätigkeit unserer Seele als objektiv erscheint, indem das Wahrnehmungsvermögen die Produkte der Phantasie so auffaßt, als ob es sinnliche Rührungen wären;... </w:t>
      </w:r>
      <w:r w:rsidRPr="00A06A59">
        <w:rPr>
          <w:rFonts w:ascii="Garamond" w:hAnsi="Garamond" w:cs="Arial"/>
          <w:i/>
          <w:iCs/>
          <w:color w:val="000000"/>
          <w:lang w:val="en-GB"/>
        </w:rPr>
        <w:t>b)</w:t>
      </w:r>
      <w:r w:rsidRPr="00A06A59">
        <w:rPr>
          <w:rFonts w:ascii="Garamond" w:hAnsi="Garamond" w:cs="Arial"/>
          <w:color w:val="000000"/>
          <w:lang w:val="en-GB"/>
        </w:rPr>
        <w:t xml:space="preserve"> der Schlaf ist eine Aufhebung der Eigenmächtigkeit. Daher gehört eine gewisse Passivität zum Einschlafen... Die Schlummerbilder werden durch den Nachlaß der Eigenmächtigkeit bedingt.«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handelt sich nun um den Versuch, die Gläubigkeit der Seele gegen die Traumhalluzinationen, die erst nach Einstellung einer gewissen eigenmächtigen Tätigkeit auftreten können, zu erklären. </w:t>
      </w:r>
      <w:r w:rsidRPr="00A06A59">
        <w:rPr>
          <w:rFonts w:ascii="Garamond" w:hAnsi="Garamond" w:cs="Arial"/>
          <w:i/>
          <w:iCs/>
          <w:color w:val="000000"/>
          <w:lang w:val="en-GB"/>
        </w:rPr>
        <w:t>Strümpell</w:t>
      </w:r>
      <w:r w:rsidRPr="00A06A59">
        <w:rPr>
          <w:rFonts w:ascii="Garamond" w:hAnsi="Garamond" w:cs="Arial"/>
          <w:color w:val="000000"/>
          <w:lang w:val="en-GB"/>
        </w:rPr>
        <w:t xml:space="preserve"> führt aus, daß die Seele sich dabei korrekt und ihrem Mechanismus gemäß benimmt. Die Traumelemente sind keineswegs bloße Vorstellungen, sondern </w:t>
      </w:r>
      <w:r w:rsidRPr="00A06A59">
        <w:rPr>
          <w:rFonts w:ascii="Garamond" w:hAnsi="Garamond" w:cs="Arial"/>
          <w:i/>
          <w:iCs/>
          <w:color w:val="000000"/>
          <w:lang w:val="en-GB"/>
        </w:rPr>
        <w:t>wahrhafte</w:t>
      </w:r>
      <w:r w:rsidRPr="00A06A59">
        <w:rPr>
          <w:rFonts w:ascii="Garamond" w:hAnsi="Garamond" w:cs="Arial"/>
          <w:color w:val="000000"/>
          <w:lang w:val="en-GB"/>
        </w:rPr>
        <w:t xml:space="preserve"> und </w:t>
      </w:r>
      <w:r w:rsidRPr="00A06A59">
        <w:rPr>
          <w:rFonts w:ascii="Garamond" w:hAnsi="Garamond" w:cs="Arial"/>
          <w:i/>
          <w:iCs/>
          <w:color w:val="000000"/>
          <w:lang w:val="en-GB"/>
        </w:rPr>
        <w:t>wirkliche Erlebnisse der Seele</w:t>
      </w:r>
      <w:r w:rsidRPr="00A06A59">
        <w:rPr>
          <w:rFonts w:ascii="Garamond" w:hAnsi="Garamond" w:cs="Arial"/>
          <w:color w:val="000000"/>
          <w:lang w:val="en-GB"/>
        </w:rPr>
        <w:t xml:space="preserve">, wie sie im Wachen durch Vermittlung der Sinne auftreten (S. 34). Während die Seele wachend in Wortbildern und in der Sprache vorstellt und denkt, stellt sie vor und denkt im Traum in wirklichen Empfindungsbildern (S. 35). Überdies kommt im Traum ein Raumbewußtsein hinzu, indem, wie im Wachen, Empfindungen und Bilder in einen äußeren Raum versetzt werden (S. 36). Man muß also zugestehen, daß sich die Seele im Traume ihren Bildern und Wahrnehmungen gegenüber in derselben Lage befindet wie im Wachen (S. 43). Wenn sie dabei dennoch irregeht, so rührt dies daher, daß ihr im Schlafzustand das Kriterium fehlt, welches allein zwischen von außen und von innen gegebenen Sinneswahrnehmungen unterscheiden kann. Sie kann ihre Bilder nicht den Proben unterziehen, welche allein deren objektive Realität erweisen. Sie vernachlässigt </w:t>
      </w:r>
      <w:r w:rsidRPr="00A06A59">
        <w:rPr>
          <w:rFonts w:ascii="Garamond" w:hAnsi="Garamond" w:cs="Arial"/>
          <w:i/>
          <w:iCs/>
          <w:color w:val="000000"/>
          <w:lang w:val="en-GB"/>
        </w:rPr>
        <w:t>außerdem</w:t>
      </w:r>
      <w:r w:rsidRPr="00A06A59">
        <w:rPr>
          <w:rFonts w:ascii="Garamond" w:hAnsi="Garamond" w:cs="Arial"/>
          <w:color w:val="000000"/>
          <w:lang w:val="en-GB"/>
        </w:rPr>
        <w:t xml:space="preserve"> den Unterschied zwischen </w:t>
      </w:r>
      <w:r w:rsidRPr="00A06A59">
        <w:rPr>
          <w:rFonts w:ascii="Garamond" w:hAnsi="Garamond" w:cs="Arial"/>
          <w:i/>
          <w:iCs/>
          <w:color w:val="000000"/>
          <w:lang w:val="en-GB"/>
        </w:rPr>
        <w:t>willkürlich</w:t>
      </w:r>
      <w:r w:rsidRPr="00A06A59">
        <w:rPr>
          <w:rFonts w:ascii="Garamond" w:hAnsi="Garamond" w:cs="Arial"/>
          <w:color w:val="000000"/>
          <w:lang w:val="en-GB"/>
        </w:rPr>
        <w:t xml:space="preserve"> vertauschbaren Bildern und anderen, wo diese Willkür wegfällt. Sie irrt, weil sie das Gesetz der Kausalität nicht auf den Inhalt ihres Traumes anwenden kann (S. 58). Kurz, ihre Abkehrung von der Außenwelt enthält auch den Grund für ihren Glauben an die subjektive Traumwelt.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Zum selben Schlusse gelangt nach teilweise abweichenden psychologischen Entwicklungen </w:t>
      </w:r>
      <w:r w:rsidRPr="00A06A59">
        <w:rPr>
          <w:rFonts w:ascii="Garamond" w:hAnsi="Garamond" w:cs="Arial"/>
          <w:i/>
          <w:iCs/>
          <w:color w:val="000000"/>
          <w:lang w:val="en-GB"/>
        </w:rPr>
        <w:t>Delboeuf.</w:t>
      </w:r>
      <w:r w:rsidRPr="00A06A59">
        <w:rPr>
          <w:rFonts w:ascii="Garamond" w:hAnsi="Garamond" w:cs="Arial"/>
          <w:color w:val="000000"/>
          <w:lang w:val="en-GB"/>
        </w:rPr>
        <w:t xml:space="preserve"> Wir schenken den Traumbildern den Realitätsglauben, weil wir im Schlafe keine anderen Eindrücke zum Vergleiche haben, weil wir von der Außenwelt abgelöst sind. Aber nicht etwa darum glauben wir an die Wahrheit unserer Halluzinationen, weil uns im Schlafe die Möglichkeit entzogen ist, Proben anzustellen. Der Traum kann uns alle diese Prüfungen vorspiegeln, uns etwa zeigen, daß wir die gesehene Rose berühren, und wir träumen dabei doch. Es gibt nach </w:t>
      </w:r>
      <w:r w:rsidRPr="00A06A59">
        <w:rPr>
          <w:rFonts w:ascii="Garamond" w:hAnsi="Garamond" w:cs="Arial"/>
          <w:i/>
          <w:iCs/>
          <w:color w:val="000000"/>
          <w:lang w:val="en-GB"/>
        </w:rPr>
        <w:t>Delboeuf</w:t>
      </w:r>
      <w:r w:rsidRPr="00A06A59">
        <w:rPr>
          <w:rFonts w:ascii="Garamond" w:hAnsi="Garamond" w:cs="Arial"/>
          <w:color w:val="000000"/>
          <w:lang w:val="en-GB"/>
        </w:rPr>
        <w:t xml:space="preserve"> kein stichhältiges Kriterium dafür, ob etwas ein Traum ist oder wache Wirklichkeit, außer – und dies nur in praktischer Allgemeinheit – der Tatsache des Erwachens. Ich erkläre alles für Täuschung, was zwischen Einschlafen und Erwachen erlebt worden ist, wenn ich durch das Erwachen merke, daß ich ausgekleidet in meinem Bette liege (S. 84). Während des Schlafes habe ich die Traumbilder für wahr gehalten infolge der nicht einzuschläfernden </w:t>
      </w:r>
      <w:r w:rsidRPr="00A06A59">
        <w:rPr>
          <w:rFonts w:ascii="Garamond" w:hAnsi="Garamond" w:cs="Arial"/>
          <w:i/>
          <w:iCs/>
          <w:color w:val="000000"/>
          <w:lang w:val="en-GB"/>
        </w:rPr>
        <w:t>Denkgewohnheit</w:t>
      </w:r>
      <w:r w:rsidRPr="00A06A59">
        <w:rPr>
          <w:rFonts w:ascii="Garamond" w:hAnsi="Garamond" w:cs="Arial"/>
          <w:color w:val="000000"/>
          <w:lang w:val="en-GB"/>
        </w:rPr>
        <w:t xml:space="preserve">, eine Außenwelt anzunehmen, zu der ich mein Ich in Gegensatz bringe </w:t>
      </w:r>
      <w:hyperlink r:id="rId2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Einen ähnlichen Versuch wie Delboeuf, die Traumtätigkeit zu erklären durch die Abänderung, welche eine abnorm eingeführte Bedingung an der sonst korrekten Funktion des intakten seelischen Apparats zur Folge haben </w:t>
        </w:r>
        <w:r w:rsidRPr="00A06A59">
          <w:rPr>
            <w:rStyle w:val="innerfusslink3"/>
            <w:rFonts w:ascii="Garamond" w:hAnsi="Garamond" w:cs="Arial"/>
            <w:b/>
            <w:bCs/>
            <w:lang w:val="en-GB"/>
          </w:rPr>
          <w:lastRenderedPageBreak/>
          <w:t xml:space="preserve">muß, hat Haffner (1887, 243) unternommen, diese Bedingung aber in etwas anderen Worten beschrieben. Das erste Kennzeichen des Traums ist nach ihm die Ort- und Zeitlosigkeit, d. i. die Emanzipation der Vorstellung von der dem Individuum zukommenden Stelle in der örtlichen und zeitlichen Ordnung. Mit diesem verbindet sich der zweite Grundcharakter des Traums, die Verwechslung der Halluzinationen, Imaginationen und Phantasiekombinationen mit äußeren Wahrnehmungen. »Da die Gesamtheit der höheren Seelenkräfte, insbesondere Begriffsbildung, Urteil und Schlußfolgerung einerseits und die freie Selbstbestimmung anderseits, an die sinnlichen Phantasiebilder sich anschließen und diese jederzeit zur Unterlage haben, so nehmen auch diese Tätigkeiten an der Regellosigkeit der Traumvorstellungen teil. Sie nehmen teil, sagen wir, denn an und für sich ist unsere Urteilskraft, wie unsere Willenskraft, im Schlafe in keiner Weise alteriert. Wir sind der Tätigkeit nach ebenso scharfsinnig und ebenso frei wie im wachen Zustande. Der Mensch kann auch im Traume nicht gegen die Denkgesetze an sich verstoßen, d. h. nicht das ihm als entgegengesetzt sich Darstellende identisch setzen usw. Er kann auch im Traume nur das begehren, was er als ein Gutes sich vorstellt ( </w:t>
        </w:r>
        <w:r w:rsidRPr="00A06A59">
          <w:rPr>
            <w:rStyle w:val="innerfusslink3"/>
            <w:rFonts w:ascii="Garamond" w:hAnsi="Garamond" w:cs="Arial"/>
            <w:b/>
            <w:bCs/>
            <w:i/>
            <w:iCs/>
            <w:lang w:val="en-GB"/>
          </w:rPr>
          <w:t>sub ratione boni</w:t>
        </w:r>
        <w:r w:rsidRPr="00A06A59">
          <w:rPr>
            <w:rStyle w:val="innerfusslink3"/>
            <w:rFonts w:ascii="Garamond" w:hAnsi="Garamond" w:cs="Arial"/>
            <w:b/>
            <w:bCs/>
            <w:lang w:val="en-GB"/>
          </w:rPr>
          <w:t xml:space="preserve">). Aber in dieser Anwendung der Gesetze des Denkens und Wollens wird der menschliche Geist im Traume irregeführt durch die Verwechslung einer Vorstellung mit einer anderen. So kommt es, daß wir im Traum die größten Widersprüche setzen und begehen, während wir anderseits die scharfsinnigsten Urteilsbildungen und die konsequentesten Schlußfolgerungen vollziehen, die tugendhaftesten und heiligsten Entschließungen fassen können. </w:t>
        </w:r>
        <w:r w:rsidRPr="00A06A59">
          <w:rPr>
            <w:rStyle w:val="innerfusslink3"/>
            <w:rFonts w:ascii="Garamond" w:hAnsi="Garamond" w:cs="Arial"/>
            <w:b/>
            <w:bCs/>
            <w:i/>
            <w:iCs/>
            <w:lang w:val="en-GB"/>
          </w:rPr>
          <w:t>Mangel an Orientierung</w:t>
        </w:r>
        <w:r w:rsidRPr="00A06A59">
          <w:rPr>
            <w:rStyle w:val="innerfusslink3"/>
            <w:rFonts w:ascii="Garamond" w:hAnsi="Garamond" w:cs="Arial"/>
            <w:b/>
            <w:bCs/>
            <w:lang w:val="en-GB"/>
          </w:rPr>
          <w:t xml:space="preserve"> ist das ganze Geheimnis des Fluges, mit welchem unsere Phantasie im Traume sich bewegt, und </w:t>
        </w:r>
        <w:r w:rsidRPr="00A06A59">
          <w:rPr>
            <w:rStyle w:val="innerfusslink3"/>
            <w:rFonts w:ascii="Garamond" w:hAnsi="Garamond" w:cs="Arial"/>
            <w:b/>
            <w:bCs/>
            <w:i/>
            <w:iCs/>
            <w:lang w:val="en-GB"/>
          </w:rPr>
          <w:t>Mangel an kritischer Reflexion</w:t>
        </w:r>
        <w:r w:rsidRPr="00A06A59">
          <w:rPr>
            <w:rStyle w:val="innerfusslink3"/>
            <w:rFonts w:ascii="Garamond" w:hAnsi="Garamond" w:cs="Arial"/>
            <w:b/>
            <w:bCs/>
            <w:lang w:val="en-GB"/>
          </w:rPr>
          <w:t>, sowie an Verständigung mit anderen, ist die Hauptquelle der maßlosen Extravaganzen unserer Urteile wie unserer Hoffnungen und Wünsche im Traum.« (S. 18)</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Wird so die Abwendung von der Außenwelt zu dem bestimmenden Momente für die Ausprägung der auffälligsten Charaktere des Traumlebens erhoben, so verlohnt es sich, einige feinsinnige Bemerkungen des alten </w:t>
      </w:r>
      <w:r w:rsidRPr="00A06A59">
        <w:rPr>
          <w:rFonts w:ascii="Garamond" w:hAnsi="Garamond" w:cs="Arial"/>
          <w:i/>
          <w:iCs/>
          <w:color w:val="000000"/>
          <w:lang w:val="en-GB"/>
        </w:rPr>
        <w:t>Burdach</w:t>
      </w:r>
      <w:r w:rsidRPr="00A06A59">
        <w:rPr>
          <w:rFonts w:ascii="Garamond" w:hAnsi="Garamond" w:cs="Arial"/>
          <w:color w:val="000000"/>
          <w:lang w:val="en-GB"/>
        </w:rPr>
        <w:t xml:space="preserve"> anzuführen, welche auf die Beziehung der schlafenden Seele zur Außenwelt Licht werfen und dazu angetan sind, vor einer Überschätzung der vorstehenden Ableitungen zurückzuhalten. »Der Schlaf erfolgt nur unter der Bedingung«, sagt Burdach, »daß die Seele nicht von Sinnesreizen angeregt wird, ... aber es ist nicht sowohl der Mangel an Sinnesreizen die Bedingung des Schlafes, als vielmehr der Mangel an Interesse dafür </w:t>
      </w:r>
      <w:hyperlink r:id="rId2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Man vergleiche hiezu das » </w:t>
        </w:r>
        <w:r w:rsidRPr="00A06A59">
          <w:rPr>
            <w:rStyle w:val="innerfusslink3"/>
            <w:rFonts w:ascii="Garamond" w:hAnsi="Garamond" w:cs="Arial"/>
            <w:b/>
            <w:bCs/>
            <w:i/>
            <w:iCs/>
            <w:lang w:val="en-GB"/>
          </w:rPr>
          <w:t>désintérêt</w:t>
        </w:r>
        <w:r w:rsidRPr="00A06A59">
          <w:rPr>
            <w:rStyle w:val="innerfusslink3"/>
            <w:rFonts w:ascii="Garamond" w:hAnsi="Garamond" w:cs="Arial"/>
            <w:b/>
            <w:bCs/>
            <w:lang w:val="en-GB"/>
          </w:rPr>
          <w:t>«, in dem Claparede (1905) den Mechanismus des Einschlafens findet.</w:t>
        </w:r>
      </w:hyperlink>
      <w:r w:rsidRPr="00A06A59">
        <w:rPr>
          <w:rFonts w:ascii="Garamond" w:hAnsi="Garamond" w:cs="Arial"/>
          <w:color w:val="000000"/>
          <w:lang w:val="en-GB"/>
        </w:rPr>
        <w:t>; mancher sinnliche Eindruck ist selbst notwendig, insofern er zur Beruhigung der Seele dient, wie denn der Müller nur dann schläft, wenn er das Klappern seiner Mühle hört, und der, welcher aus Vorsicht ein Nachtlicht zu brennen für nötig hält, im Dunkeln nicht einschlafen kann.« (S. 457.)</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Seele isoliert sich im Schlafe gegen die Außenwelt und zieht sich von der Peripherie ... zurück ... Indes ist der Zusammenhang nicht ganz unterbrochen; wenn man nicht im Schlafe selbst, sondern erst nach dem Erwachen hörte und fühlte, so könnte man überhaupt nicht geweckt werden. Noch mehr wird die Fortdauer der Sensation dadurch bewiesen, daß man nicht immer durch die bloß sinnliche Stärke eines Eindruckes, sondern durch die psychische Beziehung desselben geweckt wird; ein gleichgültiges Wort weckt den Schlafenden nicht, ruft man ihn aber beim Namen, so erwacht er..., die Seele unterscheidet also im Schlafe zwischen den Sensationen ... Daher kann man denn auch durch den Mangel eines Sinnesreizes, wenn dieser sich auf eine für die Vorstellung wichtige Sache bezieht, geweckt werden; so erwacht man vom Auslöschen eines Nachtlichtes und der Müller vom Stillstande seiner Mühle, also vom Aufhören der Sinnestätigkeit, und dies setzt voraus, daß diese perzipiert worden ist, aber als gleichgültig, oder vielmehr befriedigend, die Seele nicht aufgestört hat.« (S. 460 u. ff.)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wir selbst von diesen nicht geringzuschätzenden Einwendungen absehen wollen, so müssen wir doch zugestehen, daß die bisher gewürdigten und aus der Abkehrung von der Außenwelt abgeleiteten Eigenschaften des Traumlebens die Fremdartigkeit desselben nicht voll zu decken vermögen. Denn im anderen Falle müßte es möglich sein, die Halluzinationen des Traumes in Vorstellungen, die Situationen des Traumes in Gedanken zurückzuverwandeln und damit die Aufgabe der Traumdeutung zu lösen. Nun verfahren wir nicht anders, wenn wir nach dem Erwachen den Traum aus der Erinnerung reproduzieren, und ob uns diese Rückübersetzung ganz oder nur teilweise gelingt, der Traum behält seine Rätselhaftigkeit unverringert bei.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Autoren nehmen auch alle unbedenklich an, daß im Traume noch andere und tiefer greifende Veränderungen mit dem Vorstellungsmaterial des Wachens vorgefallen sind. Eine derselben sucht </w:t>
      </w:r>
      <w:r w:rsidRPr="00A06A59">
        <w:rPr>
          <w:rFonts w:ascii="Garamond" w:hAnsi="Garamond" w:cs="Arial"/>
          <w:i/>
          <w:iCs/>
          <w:color w:val="000000"/>
          <w:lang w:val="en-GB"/>
        </w:rPr>
        <w:t>Strümpell</w:t>
      </w:r>
      <w:r w:rsidRPr="00A06A59">
        <w:rPr>
          <w:rFonts w:ascii="Garamond" w:hAnsi="Garamond" w:cs="Arial"/>
          <w:color w:val="000000"/>
          <w:lang w:val="en-GB"/>
        </w:rPr>
        <w:t xml:space="preserve"> in folgender Erörterung herauszugreifen (S. 17): »Die Seele verliert mit dem Aufhören der sinnlich tätigen Anschauung und des normalen Lebensbewußtseins auch den Grund, in welchem ihre Gefühle, Begehrungen, Interessen und Handlungen wurzeln. Auch diejenigen geistigen Zustände, Gefühle, Interessen, Wertschätzungen, welche im Wachen den Erinnerungsbildern anhaften, unterliegen ... einem verdunkelnden Drucke, infolgedessen sich ihre Verbindung mit den Bildern auflöst, die Wahrnehmungsbilder von Dingen, Personen, Lokalitäten, Begebenheiten und Handlungen </w:t>
      </w:r>
      <w:r w:rsidRPr="00A06A59">
        <w:rPr>
          <w:rFonts w:ascii="Garamond" w:hAnsi="Garamond" w:cs="Arial"/>
          <w:color w:val="000000"/>
          <w:lang w:val="en-GB"/>
        </w:rPr>
        <w:lastRenderedPageBreak/>
        <w:t xml:space="preserve">des wachen Lebens werden einzeln sehr zahlreich reproduziert, aber keines derselben bringt seinen </w:t>
      </w:r>
      <w:r w:rsidRPr="00A06A59">
        <w:rPr>
          <w:rFonts w:ascii="Garamond" w:hAnsi="Garamond" w:cs="Arial"/>
          <w:i/>
          <w:iCs/>
          <w:color w:val="000000"/>
          <w:lang w:val="en-GB"/>
        </w:rPr>
        <w:t>psychischen Wert</w:t>
      </w:r>
      <w:r w:rsidRPr="00A06A59">
        <w:rPr>
          <w:rFonts w:ascii="Garamond" w:hAnsi="Garamond" w:cs="Arial"/>
          <w:color w:val="000000"/>
          <w:lang w:val="en-GB"/>
        </w:rPr>
        <w:t xml:space="preserve"> mit. Dieser ist von ihnen abgelöst, und sie schwanken deshalb in der Seele nach eigenen Mitteln umher...«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Entblößung der Bilder von ihrem psychischen Wert, die selbst wiederum auf die Abwendung von der Außenwelt zurückgeführt wird, soll nach </w:t>
      </w:r>
      <w:r w:rsidRPr="00A06A59">
        <w:rPr>
          <w:rFonts w:ascii="Garamond" w:hAnsi="Garamond" w:cs="Arial"/>
          <w:i/>
          <w:iCs/>
          <w:color w:val="000000"/>
          <w:lang w:val="en-GB"/>
        </w:rPr>
        <w:t>Strümpell</w:t>
      </w:r>
      <w:r w:rsidRPr="00A06A59">
        <w:rPr>
          <w:rFonts w:ascii="Garamond" w:hAnsi="Garamond" w:cs="Arial"/>
          <w:color w:val="000000"/>
          <w:lang w:val="en-GB"/>
        </w:rPr>
        <w:t xml:space="preserve"> einen Hauptanteil an dem Eindruck der Fremdartigkeit haben, mit dem sich der Traum in unserer Erinnerung dem Leben gegenüberstellt.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haben gehört, daß schon das Einschlafen den Verzicht auf eine der seelischen Tätigkeiten, nämlich auf die willkürliche Leitung des Vorstellungsablaufs, mit sich bringt. Es wird uns so die ohnedies naheliegende Vermutung aufgedrängt, daß der Schlafzustand sich auch über die seelischen Verrichtungen erstrecken möge. Die eine oder andere dieser Verrichtungen wird etwa ganz aufgehoben; ob die übrigbleibenden ungestört weiterarbeiten, ob sie unter solchen Umständen normale Arbeit leisten können, kommt jetzt in Frage. Der Gesichtspunkt taucht auf, daß man die Eigentümlichkeiten des Traumes erklären könne durch die psychische Minderleistung im Schlafzustande, und nun kommt der Eindruck, den der Traum unserem wachen Urteil macht, einer solchen Auffassung entgegen. Der Traum ist unzusammenhängend, vereinigt ohne Anstoß die ärgsten Widersprüche, läßt Unmöglichkeiten zu, läßt unser bei Tag einflußreiches Wissen beiseite, zeigt uns ethisch und moralisch stumpfsinnig. Wer sich im Wachen so benehmen würde, wie es der Traum in seinen Situationen vorführt, den würden wir für wahnsinnig halten; wer im Wachen so spräche oder solche Dinge mitteilen wollte, wie sie im Trauminhalt vorkommen, der würde uns den Eindruck eines Verworrenen oder eines Schwachsinnigen machen. Somit glauben wir nur dem Tatbestand Worte zu leihen, wenn wir die psychische Tätigkeit im Traum nur sehr gering anschlagen und insbesondere die höheren intellektuellen Leistungen als im Traum aufgehoben oder wenigstens schwer geschädigt erklären.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Mit ungewöhnlicher Einmütigkeit – von den Ausnahmen wird an anderer Stelle die Rede sein – haben die Autoren solche Urteile über den Traum gefällt, die auch unmittelbar zu einer bestimmten Theorie oder Erklärung des Traumlebens hinleiten. Es ist an der Zeit, daß ich mein eben ausgesprochenes Resumé durch eine Sammlung von Aussprüchen verschiedener Autoren – Philosophen und Ärzte – über die psychologischen Charaktere des Traumes ersetze: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Nach </w:t>
      </w:r>
      <w:r w:rsidRPr="00A06A59">
        <w:rPr>
          <w:rFonts w:ascii="Garamond" w:hAnsi="Garamond" w:cs="Arial"/>
          <w:i/>
          <w:iCs/>
          <w:color w:val="000000"/>
        </w:rPr>
        <w:t>Lemoine</w:t>
      </w:r>
      <w:r w:rsidRPr="00A06A59">
        <w:rPr>
          <w:rFonts w:ascii="Garamond" w:hAnsi="Garamond" w:cs="Arial"/>
          <w:color w:val="000000"/>
        </w:rPr>
        <w:t xml:space="preserve"> ist die </w:t>
      </w:r>
      <w:r w:rsidRPr="00A06A59">
        <w:rPr>
          <w:rFonts w:ascii="Garamond" w:hAnsi="Garamond" w:cs="Arial"/>
          <w:i/>
          <w:iCs/>
          <w:color w:val="000000"/>
        </w:rPr>
        <w:t>Inkohärenz</w:t>
      </w:r>
      <w:r w:rsidRPr="00A06A59">
        <w:rPr>
          <w:rFonts w:ascii="Garamond" w:hAnsi="Garamond" w:cs="Arial"/>
          <w:color w:val="000000"/>
        </w:rPr>
        <w:t xml:space="preserve"> der Traumbilder der einzig wesentliche Charakter des Traumes.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t>Maury</w:t>
      </w:r>
      <w:r w:rsidRPr="00A06A59">
        <w:rPr>
          <w:rFonts w:ascii="Garamond" w:hAnsi="Garamond" w:cs="Arial"/>
          <w:color w:val="000000"/>
        </w:rPr>
        <w:t xml:space="preserve"> pflichtet dem bei; er sagt (Le sommeil, p. 163): » </w:t>
      </w:r>
      <w:r w:rsidRPr="00A06A59">
        <w:rPr>
          <w:rFonts w:ascii="Garamond" w:hAnsi="Garamond" w:cs="Arial"/>
          <w:i/>
          <w:iCs/>
          <w:color w:val="000000"/>
        </w:rPr>
        <w:t>II n'y a pas de rêves absolument raisonnables et qui ne contiennent quelque incohérence, quelque anachronisme, quelque absurdité.</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Nach </w:t>
      </w:r>
      <w:r w:rsidRPr="00A06A59">
        <w:rPr>
          <w:rFonts w:ascii="Garamond" w:hAnsi="Garamond" w:cs="Arial"/>
          <w:i/>
          <w:iCs/>
          <w:color w:val="000000"/>
        </w:rPr>
        <w:t>Hegel</w:t>
      </w:r>
      <w:r w:rsidRPr="00A06A59">
        <w:rPr>
          <w:rFonts w:ascii="Garamond" w:hAnsi="Garamond" w:cs="Arial"/>
          <w:color w:val="000000"/>
        </w:rPr>
        <w:t xml:space="preserve"> bei </w:t>
      </w:r>
      <w:r w:rsidRPr="00A06A59">
        <w:rPr>
          <w:rFonts w:ascii="Garamond" w:hAnsi="Garamond" w:cs="Arial"/>
          <w:i/>
          <w:iCs/>
          <w:color w:val="000000"/>
        </w:rPr>
        <w:t>Spitta</w:t>
      </w:r>
      <w:r w:rsidRPr="00A06A59">
        <w:rPr>
          <w:rFonts w:ascii="Garamond" w:hAnsi="Garamond" w:cs="Arial"/>
          <w:color w:val="000000"/>
        </w:rPr>
        <w:t xml:space="preserve"> fehlt dem Traum aller objektive verständige Zusammenhang.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t>Dugas</w:t>
      </w:r>
      <w:r w:rsidRPr="00A06A59">
        <w:rPr>
          <w:rFonts w:ascii="Garamond" w:hAnsi="Garamond" w:cs="Arial"/>
          <w:color w:val="000000"/>
        </w:rPr>
        <w:t xml:space="preserve"> sagt: » </w:t>
      </w:r>
      <w:r w:rsidRPr="00A06A59">
        <w:rPr>
          <w:rFonts w:ascii="Garamond" w:hAnsi="Garamond" w:cs="Arial"/>
          <w:i/>
          <w:iCs/>
          <w:color w:val="000000"/>
        </w:rPr>
        <w:t>Le rêve c'est l'anarchie psychique affective et mentale, c'est le jeu des fonctions livrées à elles-mêmes et s'exercant sans contrôle et sans but; dans le rêve l'esprit est un automate spirituel.</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»Die Auflockerung, Lösung und Durcheinandermischung des im Wachen durch die logische Gewalt des zentralen Ich zusammengehaltenen Vorstellungslebens« räumt selbst </w:t>
      </w:r>
      <w:r w:rsidRPr="00A06A59">
        <w:rPr>
          <w:rFonts w:ascii="Garamond" w:hAnsi="Garamond" w:cs="Arial"/>
          <w:i/>
          <w:iCs/>
          <w:color w:val="000000"/>
        </w:rPr>
        <w:t>Volkelt</w:t>
      </w:r>
      <w:r w:rsidRPr="00A06A59">
        <w:rPr>
          <w:rFonts w:ascii="Garamond" w:hAnsi="Garamond" w:cs="Arial"/>
          <w:color w:val="000000"/>
        </w:rPr>
        <w:t xml:space="preserve"> ein (S. 14), nach dessen Lehre die psychische Tätigkeit während des Schlafes keineswegs zwecklos erscheint.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Die </w:t>
      </w:r>
      <w:r w:rsidRPr="00A06A59">
        <w:rPr>
          <w:rFonts w:ascii="Garamond" w:hAnsi="Garamond" w:cs="Arial"/>
          <w:i/>
          <w:iCs/>
          <w:color w:val="000000"/>
        </w:rPr>
        <w:t>Absurdität</w:t>
      </w:r>
      <w:r w:rsidRPr="00A06A59">
        <w:rPr>
          <w:rFonts w:ascii="Garamond" w:hAnsi="Garamond" w:cs="Arial"/>
          <w:color w:val="000000"/>
        </w:rPr>
        <w:t xml:space="preserve"> der im Traume vorkommenden Vorstellungsverbindungen kann man kaum schärfer verurteilen, als es schon Cicero ( </w:t>
      </w:r>
      <w:r w:rsidRPr="00A06A59">
        <w:rPr>
          <w:rFonts w:ascii="Garamond" w:hAnsi="Garamond" w:cs="Arial"/>
          <w:i/>
          <w:iCs/>
          <w:color w:val="000000"/>
        </w:rPr>
        <w:t>De divinatione</w:t>
      </w:r>
      <w:r w:rsidRPr="00A06A59">
        <w:rPr>
          <w:rFonts w:ascii="Garamond" w:hAnsi="Garamond" w:cs="Arial"/>
          <w:color w:val="000000"/>
        </w:rPr>
        <w:t xml:space="preserve">, II) tat: » </w:t>
      </w:r>
      <w:r w:rsidRPr="00A06A59">
        <w:rPr>
          <w:rFonts w:ascii="Garamond" w:hAnsi="Garamond" w:cs="Arial"/>
          <w:i/>
          <w:iCs/>
          <w:color w:val="000000"/>
        </w:rPr>
        <w:t>Nihil tam praepostere, tam incondite, tam monstruose cogitari potest, quod non possimus somniare.</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t>Fechner</w:t>
      </w:r>
      <w:r w:rsidRPr="00A06A59">
        <w:rPr>
          <w:rFonts w:ascii="Garamond" w:hAnsi="Garamond" w:cs="Arial"/>
          <w:color w:val="000000"/>
        </w:rPr>
        <w:t xml:space="preserve"> sagt (S. 522): »Es ist, als ob die psychologische Tätigkeit aus dem Gehirne eines Vernünftigen in das eines Narren übersiedelt.«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Radestock</w:t>
      </w:r>
      <w:r w:rsidRPr="00A06A59">
        <w:rPr>
          <w:rFonts w:ascii="Garamond" w:hAnsi="Garamond" w:cs="Arial"/>
          <w:color w:val="000000"/>
          <w:lang w:val="en-GB"/>
        </w:rPr>
        <w:t xml:space="preserve"> (S. 145): »In der Tat scheint es unmöglich, in diesem tollen Treiben feste Gesetze zu erkennen. Der strengen Polizei des vernünftigen, den wachen Vorstellungslauf leitenden Willens und der Aufmerksamkeit sich entziehend, wirbelt der Traum in tollem Spiel alles kaleidoskopartig durcheinander.«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Hildebrandt</w:t>
      </w:r>
      <w:r w:rsidRPr="00A06A59">
        <w:rPr>
          <w:rFonts w:ascii="Garamond" w:hAnsi="Garamond" w:cs="Arial"/>
          <w:color w:val="000000"/>
          <w:lang w:val="en-GB"/>
        </w:rPr>
        <w:t xml:space="preserve"> (S. 45): »Welche wunderlichen Sprünge erlaubt sich der Träumende z. B. bei seinen Verstandesschlüssen! Mit welcher Unbefangenheit sieht er die bekanntesten Erfahrungssätze geradezu auf den Kopf gestellt! Welche lächerlichen Widersprüche kann er in den Ordnungen der Natur und der Gesellschaft vertragen, bevor ihm, wie man sagt, die Sache zu bunt wird und die Überspannung des Unsinnes das Erwachen herbeiführt! Wir multiplizieren gelegentlich ganz harmlos: Drei mal drei macht zwanzig; es wundert uns gar nicht, daß ein Hund uns einen Vers hersagt, daß ein Toter auf eigenen Füßen nach seinem Grabe geht, daß ein Felsstück auf dem Wasser schwimmt; wir gehen alles Ernstes in höherem Auftrage nach dem Herzogtum Bernburg oder dem Fürstentum Liechtenstein, um die Kriegsmarine des Landes zu beobachten, oder lassen uns von Karl dem Zwölften kurz vor der Schlacht bei Pultawa als Freiwillige anwerben.«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lastRenderedPageBreak/>
        <w:t>Binz</w:t>
      </w:r>
      <w:r w:rsidRPr="00A06A59">
        <w:rPr>
          <w:rFonts w:ascii="Garamond" w:hAnsi="Garamond" w:cs="Arial"/>
          <w:color w:val="000000"/>
          <w:lang w:val="en-GB"/>
        </w:rPr>
        <w:t xml:space="preserve"> (S. 33) mit dem Hinweis auf die aus diesen Eindrücken sich ergebende Traumtheorie: »Unter zehn Träumen sind mindestens neun absurden Inhaltes. Wir koppeln in ihnen Personen und Dinge zusammen, welche nicht die geringsten Beziehungen zueinander haben. Schon im nächsten Augenblick, wie in einem Kaleidoskop, ist die Gruppierung eine andere geworden, womöglich noch unsinniger und toller, als sie es schon vorher war; und so geht das wechselnde Spiel des unvollkommen schlafenden Gehirns weiter, bis wir erwachen, mit der Hand nach der Stirne greifen und uns fragen, ob wir in der Tat noch die Fähigkeit des vernünftigen Vorstellens und Denkens besitzen.«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t>Maury</w:t>
      </w:r>
      <w:r w:rsidRPr="00A06A59">
        <w:rPr>
          <w:rFonts w:ascii="Garamond" w:hAnsi="Garamond" w:cs="Arial"/>
          <w:color w:val="000000"/>
        </w:rPr>
        <w:t xml:space="preserve"> (Le Sommeil, p. 50) findet für das Verhältnis der Traumbilder zu den Gedanken des Wachens einen für den Arzt sehr eindrucksvollen Vergleich: » </w:t>
      </w:r>
      <w:r w:rsidRPr="00A06A59">
        <w:rPr>
          <w:rFonts w:ascii="Garamond" w:hAnsi="Garamond" w:cs="Arial"/>
          <w:i/>
          <w:iCs/>
          <w:color w:val="000000"/>
        </w:rPr>
        <w:t>La production de ces images que chez l'homme éveillé fait le plus souvent naître la volonté, correspond, pour l'intelligence, à ce que sont pour la motilité certains mouvements que nous offrent la chorée et les affections paralytiques...</w:t>
      </w:r>
      <w:r w:rsidRPr="00A06A59">
        <w:rPr>
          <w:rFonts w:ascii="Garamond" w:hAnsi="Garamond" w:cs="Arial"/>
          <w:color w:val="000000"/>
        </w:rPr>
        <w:t xml:space="preserve">« Im übrigen ist ihm der Traum » </w:t>
      </w:r>
      <w:r w:rsidRPr="00A06A59">
        <w:rPr>
          <w:rFonts w:ascii="Garamond" w:hAnsi="Garamond" w:cs="Arial"/>
          <w:i/>
          <w:iCs/>
          <w:color w:val="000000"/>
        </w:rPr>
        <w:t>toute une série de degradations de la faculté pensante et raisonnante</w:t>
      </w:r>
      <w:r w:rsidRPr="00A06A59">
        <w:rPr>
          <w:rFonts w:ascii="Garamond" w:hAnsi="Garamond" w:cs="Arial"/>
          <w:color w:val="000000"/>
        </w:rPr>
        <w:t>« (p. 27).</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Es ist kaum nötig, die Äußerungen der Autoren anzuführen, welche den Satz von </w:t>
      </w:r>
      <w:r w:rsidRPr="00A06A59">
        <w:rPr>
          <w:rFonts w:ascii="Garamond" w:hAnsi="Garamond" w:cs="Arial"/>
          <w:i/>
          <w:iCs/>
          <w:color w:val="000000"/>
        </w:rPr>
        <w:t>Maury</w:t>
      </w:r>
      <w:r w:rsidRPr="00A06A59">
        <w:rPr>
          <w:rFonts w:ascii="Garamond" w:hAnsi="Garamond" w:cs="Arial"/>
          <w:color w:val="000000"/>
        </w:rPr>
        <w:t xml:space="preserve"> für die einzelnen höheren Seelenleistungen wiederholen.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Nach </w:t>
      </w:r>
      <w:r w:rsidRPr="00A06A59">
        <w:rPr>
          <w:rFonts w:ascii="Garamond" w:hAnsi="Garamond" w:cs="Arial"/>
          <w:i/>
          <w:iCs/>
          <w:color w:val="000000"/>
        </w:rPr>
        <w:t>Strümpell</w:t>
      </w:r>
      <w:r w:rsidRPr="00A06A59">
        <w:rPr>
          <w:rFonts w:ascii="Garamond" w:hAnsi="Garamond" w:cs="Arial"/>
          <w:color w:val="000000"/>
        </w:rPr>
        <w:t xml:space="preserve"> treten im Traum – selbstverständlich auch dort, wo der Unsinn nicht augenfällig ist – sämtliche logischen, auf Verhältnissen und Beziehungen beruhenden Operationen der Seele zurück (S. 26). Nach </w:t>
      </w:r>
      <w:r w:rsidRPr="00A06A59">
        <w:rPr>
          <w:rFonts w:ascii="Garamond" w:hAnsi="Garamond" w:cs="Arial"/>
          <w:i/>
          <w:iCs/>
          <w:color w:val="000000"/>
        </w:rPr>
        <w:t>Spitta</w:t>
      </w:r>
      <w:r w:rsidRPr="00A06A59">
        <w:rPr>
          <w:rFonts w:ascii="Garamond" w:hAnsi="Garamond" w:cs="Arial"/>
          <w:color w:val="000000"/>
        </w:rPr>
        <w:t xml:space="preserve"> (S. 148) scheinen im Traum die Vorstellungen dem Kausalitätsgesetz völlig entzogen zu sein. </w:t>
      </w:r>
      <w:r w:rsidRPr="00A06A59">
        <w:rPr>
          <w:rFonts w:ascii="Garamond" w:hAnsi="Garamond" w:cs="Arial"/>
          <w:i/>
          <w:iCs/>
          <w:color w:val="000000"/>
        </w:rPr>
        <w:t>Radestock</w:t>
      </w:r>
      <w:r w:rsidRPr="00A06A59">
        <w:rPr>
          <w:rFonts w:ascii="Garamond" w:hAnsi="Garamond" w:cs="Arial"/>
          <w:color w:val="000000"/>
        </w:rPr>
        <w:t xml:space="preserve"> u. a. betonen die dem Traum eigene Schwäche des Urteils und des Schlusses. Nach </w:t>
      </w:r>
      <w:r w:rsidRPr="00A06A59">
        <w:rPr>
          <w:rFonts w:ascii="Garamond" w:hAnsi="Garamond" w:cs="Arial"/>
          <w:i/>
          <w:iCs/>
          <w:color w:val="000000"/>
        </w:rPr>
        <w:t>Jodl</w:t>
      </w:r>
      <w:r w:rsidRPr="00A06A59">
        <w:rPr>
          <w:rFonts w:ascii="Garamond" w:hAnsi="Garamond" w:cs="Arial"/>
          <w:color w:val="000000"/>
        </w:rPr>
        <w:t xml:space="preserve"> (S. 123) gibt es im Traum keine Kritik, keine Korrektur einer Wahrnehmungsreihe durch den Inhalt des Gesamtbewußtseins. Derselbe Autor äußert: »Alle Arten der Bewußtseinstätigkeit kommen im Traume vor, aber unvollständig, gehemmt, gegeneinander isoliert.« </w:t>
      </w:r>
      <w:r w:rsidRPr="00A06A59">
        <w:rPr>
          <w:rFonts w:ascii="Garamond" w:hAnsi="Garamond" w:cs="Arial"/>
          <w:color w:val="000000"/>
          <w:lang w:val="en-GB"/>
        </w:rPr>
        <w:t xml:space="preserve">Die Widersprüche, in welche sich der Traum gegen unser waches Wissen setzt, erklärt </w:t>
      </w:r>
      <w:r w:rsidRPr="00A06A59">
        <w:rPr>
          <w:rFonts w:ascii="Garamond" w:hAnsi="Garamond" w:cs="Arial"/>
          <w:i/>
          <w:iCs/>
          <w:color w:val="000000"/>
          <w:lang w:val="en-GB"/>
        </w:rPr>
        <w:t>Stricker</w:t>
      </w:r>
      <w:r w:rsidRPr="00A06A59">
        <w:rPr>
          <w:rFonts w:ascii="Garamond" w:hAnsi="Garamond" w:cs="Arial"/>
          <w:color w:val="000000"/>
          <w:lang w:val="en-GB"/>
        </w:rPr>
        <w:t xml:space="preserve"> (mit vielen anderen) daraus, daß Tatsachen im Traum vergessen oder logische Beziehungen zwischen Vorstellungen verlorengegangen sind (S. 98) usw., usw.</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Von den Autoren, die im allgemeinen so ungünstig über die psychischen Leistungen im Traume urteilen, wird indes zugegeben, daß ein gewisser Rest von seelischer Tätigkeit dem Traume verbleibt. </w:t>
      </w:r>
      <w:r w:rsidRPr="00A06A59">
        <w:rPr>
          <w:rFonts w:ascii="Garamond" w:hAnsi="Garamond" w:cs="Arial"/>
          <w:i/>
          <w:iCs/>
          <w:color w:val="000000"/>
          <w:lang w:val="en-GB"/>
        </w:rPr>
        <w:t>Wundt</w:t>
      </w:r>
      <w:r w:rsidRPr="00A06A59">
        <w:rPr>
          <w:rFonts w:ascii="Garamond" w:hAnsi="Garamond" w:cs="Arial"/>
          <w:color w:val="000000"/>
          <w:lang w:val="en-GB"/>
        </w:rPr>
        <w:t xml:space="preserve">, dessen Lehren für so viele andere Bearbeiter der Traumprobleme maßgebend geworden sind, gesteht dies ausdrücklich zu. Man könnte nach der Art und Beschaffenheit des im Traume sich äußernden Restes von normaler Seelentätigkeit fragen. Es wird nun ziemlich allgemein zugegeben, daß die Reproduktionsfähigkeit, das Gedächtnis, im Traum am wenigsten gelitten zu haben scheint, ja eine gewisse Überlegenheit gegen die gleiche Funktion des Wachens (vgl. oben S. 9) aufweisen kann, obwohl ein Teil der Absurditäten des Traumes durch die Vergeßlichkeit eben dieses Traumlebens erklärt werden soll. Nach </w:t>
      </w:r>
      <w:r w:rsidRPr="00A06A59">
        <w:rPr>
          <w:rFonts w:ascii="Garamond" w:hAnsi="Garamond" w:cs="Arial"/>
          <w:i/>
          <w:iCs/>
          <w:color w:val="000000"/>
          <w:lang w:val="en-GB"/>
        </w:rPr>
        <w:t>Spitta</w:t>
      </w:r>
      <w:r w:rsidRPr="00A06A59">
        <w:rPr>
          <w:rFonts w:ascii="Garamond" w:hAnsi="Garamond" w:cs="Arial"/>
          <w:color w:val="000000"/>
          <w:lang w:val="en-GB"/>
        </w:rPr>
        <w:t xml:space="preserve"> ist es das </w:t>
      </w:r>
      <w:r w:rsidRPr="00A06A59">
        <w:rPr>
          <w:rFonts w:ascii="Garamond" w:hAnsi="Garamond" w:cs="Arial"/>
          <w:i/>
          <w:iCs/>
          <w:color w:val="000000"/>
          <w:lang w:val="en-GB"/>
        </w:rPr>
        <w:t>Gemütsleben</w:t>
      </w:r>
      <w:r w:rsidRPr="00A06A59">
        <w:rPr>
          <w:rFonts w:ascii="Garamond" w:hAnsi="Garamond" w:cs="Arial"/>
          <w:color w:val="000000"/>
          <w:lang w:val="en-GB"/>
        </w:rPr>
        <w:t xml:space="preserve"> der Seele, was vom Schlaf nicht befallen wird und dann den Traum dirigiert. Als »Gemüt« bezeichnet er »die konstante Zusammenfassung der Gefühle als des innersten subjektiven Wesens des Menschen« (S. 84).</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Scholz</w:t>
      </w:r>
      <w:r w:rsidRPr="00A06A59">
        <w:rPr>
          <w:rFonts w:ascii="Garamond" w:hAnsi="Garamond" w:cs="Arial"/>
          <w:color w:val="000000"/>
          <w:lang w:val="en-GB"/>
        </w:rPr>
        <w:t xml:space="preserve"> (S. 37) erblickt eine der im Traume sich äußernden Seelentätigkeiten in der » </w:t>
      </w:r>
      <w:r w:rsidRPr="00A06A59">
        <w:rPr>
          <w:rFonts w:ascii="Garamond" w:hAnsi="Garamond" w:cs="Arial"/>
          <w:i/>
          <w:iCs/>
          <w:color w:val="000000"/>
          <w:lang w:val="en-GB"/>
        </w:rPr>
        <w:t>allegorisierenden Umdeutung</w:t>
      </w:r>
      <w:r w:rsidRPr="00A06A59">
        <w:rPr>
          <w:rFonts w:ascii="Garamond" w:hAnsi="Garamond" w:cs="Arial"/>
          <w:color w:val="000000"/>
          <w:lang w:val="en-GB"/>
        </w:rPr>
        <w:t xml:space="preserve">«, welcher das Traummaterial unterzogen wird. Siebeck konstatiert auch im Traum die » </w:t>
      </w:r>
      <w:r w:rsidRPr="00A06A59">
        <w:rPr>
          <w:rFonts w:ascii="Garamond" w:hAnsi="Garamond" w:cs="Arial"/>
          <w:i/>
          <w:iCs/>
          <w:color w:val="000000"/>
          <w:lang w:val="en-GB"/>
        </w:rPr>
        <w:t>ergänzende Deutungsfähigkeit</w:t>
      </w:r>
      <w:r w:rsidRPr="00A06A59">
        <w:rPr>
          <w:rFonts w:ascii="Garamond" w:hAnsi="Garamond" w:cs="Arial"/>
          <w:color w:val="000000"/>
          <w:lang w:val="en-GB"/>
        </w:rPr>
        <w:t xml:space="preserve">« der Seele (S. 11), welche von ihr gegen alles Wahrnehmen und Anschauen geübt wird. Eine besondere Schwierigkeit hat es für den Traum mit der Beurteilung der angeblich höchsten psychischen Funktion, der des Bewußtseins. Da wir vom Traum nur durchs Bewußtsein etwas wissen, kann an dessen Erhaltung kein Zweifel sein; doch meint </w:t>
      </w:r>
      <w:r w:rsidRPr="00A06A59">
        <w:rPr>
          <w:rFonts w:ascii="Garamond" w:hAnsi="Garamond" w:cs="Arial"/>
          <w:i/>
          <w:iCs/>
          <w:color w:val="000000"/>
          <w:lang w:val="en-GB"/>
        </w:rPr>
        <w:t>Spitta</w:t>
      </w:r>
      <w:r w:rsidRPr="00A06A59">
        <w:rPr>
          <w:rFonts w:ascii="Garamond" w:hAnsi="Garamond" w:cs="Arial"/>
          <w:color w:val="000000"/>
          <w:lang w:val="en-GB"/>
        </w:rPr>
        <w:t xml:space="preserve">, es sei im Traum nur das Bewußtsein erhalten, nicht auch das </w:t>
      </w:r>
      <w:r w:rsidRPr="00A06A59">
        <w:rPr>
          <w:rFonts w:ascii="Garamond" w:hAnsi="Garamond" w:cs="Arial"/>
          <w:i/>
          <w:iCs/>
          <w:color w:val="000000"/>
          <w:lang w:val="en-GB"/>
        </w:rPr>
        <w:t>Selbst</w:t>
      </w:r>
      <w:r w:rsidRPr="00A06A59">
        <w:rPr>
          <w:rFonts w:ascii="Garamond" w:hAnsi="Garamond" w:cs="Arial"/>
          <w:color w:val="000000"/>
          <w:lang w:val="en-GB"/>
        </w:rPr>
        <w:t xml:space="preserve">bewußtsein. </w:t>
      </w:r>
      <w:r w:rsidRPr="00A06A59">
        <w:rPr>
          <w:rFonts w:ascii="Garamond" w:hAnsi="Garamond" w:cs="Arial"/>
          <w:i/>
          <w:iCs/>
          <w:color w:val="000000"/>
          <w:lang w:val="en-GB"/>
        </w:rPr>
        <w:t>Delboeuf</w:t>
      </w:r>
      <w:r w:rsidRPr="00A06A59">
        <w:rPr>
          <w:rFonts w:ascii="Garamond" w:hAnsi="Garamond" w:cs="Arial"/>
          <w:color w:val="000000"/>
          <w:lang w:val="en-GB"/>
        </w:rPr>
        <w:t xml:space="preserve"> gesteht ein, daß er diese Unterscheidung nicht zu begreifen vermag.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Assoziationsgesetze, nach denen sich die Vorstellungen verknüpfen, gelten auch für die Traumbilder, ja ihre Herrschaft kommt im Traume reiner und stärker zum Ausdruck. </w:t>
      </w:r>
      <w:r w:rsidRPr="00A06A59">
        <w:rPr>
          <w:rFonts w:ascii="Garamond" w:hAnsi="Garamond" w:cs="Arial"/>
          <w:i/>
          <w:iCs/>
          <w:color w:val="000000"/>
          <w:lang w:val="en-GB"/>
        </w:rPr>
        <w:t>Strümpell</w:t>
      </w:r>
      <w:r w:rsidRPr="00A06A59">
        <w:rPr>
          <w:rFonts w:ascii="Garamond" w:hAnsi="Garamond" w:cs="Arial"/>
          <w:color w:val="000000"/>
          <w:lang w:val="en-GB"/>
        </w:rPr>
        <w:t xml:space="preserve"> (S. 70): »Der Traum verläuft entweder ausschließlich, wie es scheint, nach den Gesetzen nackter Vorstellungen oder organischer Reize mit solchen Vorstellungen, das heißt, ohne daß Reflexion und Verstand, ästhetischer Geschmack und sittliches Urteil etwas dabei vermögen.« Die Autoren, deren Ansichten ich hier reproduziere, stellen sich die Bildung der Träume etwa folgenderart vor: Die Summe der im Schlaf einwirkenden Sensationsreize aus den verschiedenen, an anderer Stelle angeführten Quellen wecken in der Seele zunächst eine Anzahl von Vorstellungen, die sich als Halluzinationen (nach </w:t>
      </w:r>
      <w:r w:rsidRPr="00A06A59">
        <w:rPr>
          <w:rFonts w:ascii="Garamond" w:hAnsi="Garamond" w:cs="Arial"/>
          <w:i/>
          <w:iCs/>
          <w:color w:val="000000"/>
          <w:lang w:val="en-GB"/>
        </w:rPr>
        <w:t>Wundt</w:t>
      </w:r>
      <w:r w:rsidRPr="00A06A59">
        <w:rPr>
          <w:rFonts w:ascii="Garamond" w:hAnsi="Garamond" w:cs="Arial"/>
          <w:color w:val="000000"/>
          <w:lang w:val="en-GB"/>
        </w:rPr>
        <w:t xml:space="preserve"> richtiger Illusionen wegen ihrer Abkunft von den äußeren und inneren Reizen) darstellen. Diese verknüpfen sich untereinander nach den bekannten Assoziationsgesetzen und rufen ihrerseits nach denselben Regeln eine neue Reihe von Vorstellungen (Bildern) wach. Das ganze Material wird dann vom noch tätigen Rest der ordnenden und denkenden Seelenvermögen, so gut es eben gehen will, verarbeitet (vgl. etwa </w:t>
      </w:r>
      <w:r w:rsidRPr="00A06A59">
        <w:rPr>
          <w:rFonts w:ascii="Garamond" w:hAnsi="Garamond" w:cs="Arial"/>
          <w:i/>
          <w:iCs/>
          <w:color w:val="000000"/>
          <w:lang w:val="en-GB"/>
        </w:rPr>
        <w:t>Wundt</w:t>
      </w:r>
      <w:r w:rsidRPr="00A06A59">
        <w:rPr>
          <w:rFonts w:ascii="Garamond" w:hAnsi="Garamond" w:cs="Arial"/>
          <w:color w:val="000000"/>
          <w:lang w:val="en-GB"/>
        </w:rPr>
        <w:t xml:space="preserve"> und </w:t>
      </w:r>
      <w:r w:rsidRPr="00A06A59">
        <w:rPr>
          <w:rFonts w:ascii="Garamond" w:hAnsi="Garamond" w:cs="Arial"/>
          <w:i/>
          <w:iCs/>
          <w:color w:val="000000"/>
          <w:lang w:val="en-GB"/>
        </w:rPr>
        <w:t>Weygandt</w:t>
      </w:r>
      <w:r w:rsidRPr="00A06A59">
        <w:rPr>
          <w:rFonts w:ascii="Garamond" w:hAnsi="Garamond" w:cs="Arial"/>
          <w:color w:val="000000"/>
          <w:lang w:val="en-GB"/>
        </w:rPr>
        <w:t>). Es ist bloß noch nicht gelungen, die Motive einzusehen, welche darüber entscheiden, daß die Erweckung der nicht von außen stammenden Bilder nach diesem oder nach jenem Assoziationsgesetz vor sich gehe.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Es ist aber wiederholt bemerkt worden, daß die Assoziationen, welche die Traumvorstellungen untereinander verbinden, von ganz besonderer Art und verschieden von den im wachen Denken tätigen sind. So sagt </w:t>
      </w:r>
      <w:r w:rsidRPr="00A06A59">
        <w:rPr>
          <w:rFonts w:ascii="Garamond" w:hAnsi="Garamond" w:cs="Arial"/>
          <w:i/>
          <w:iCs/>
          <w:color w:val="000000"/>
          <w:lang w:val="en-GB"/>
        </w:rPr>
        <w:t>Volkelt</w:t>
      </w:r>
      <w:r w:rsidRPr="00A06A59">
        <w:rPr>
          <w:rFonts w:ascii="Garamond" w:hAnsi="Garamond" w:cs="Arial"/>
          <w:color w:val="000000"/>
          <w:lang w:val="en-GB"/>
        </w:rPr>
        <w:t xml:space="preserve"> (S. 15): </w:t>
      </w:r>
      <w:r w:rsidRPr="00A06A59">
        <w:rPr>
          <w:rFonts w:ascii="Garamond" w:hAnsi="Garamond" w:cs="Arial"/>
          <w:color w:val="000000"/>
          <w:lang w:val="en-GB"/>
        </w:rPr>
        <w:lastRenderedPageBreak/>
        <w:t xml:space="preserve">»Im Traume jagen und haschen sich die Vorstellungen nach zufälligen Ähnlichkeiten und kaum wahrnehmbaren Zusammenhängen. Alle Träume sind von solchen nachlässigen, zwanglosen Assoziationen durchzogen.« </w:t>
      </w:r>
      <w:r w:rsidRPr="00A06A59">
        <w:rPr>
          <w:rFonts w:ascii="Garamond" w:hAnsi="Garamond" w:cs="Arial"/>
          <w:i/>
          <w:iCs/>
          <w:color w:val="000000"/>
          <w:lang w:val="en-GB"/>
        </w:rPr>
        <w:t>Maury</w:t>
      </w:r>
      <w:r w:rsidRPr="00A06A59">
        <w:rPr>
          <w:rFonts w:ascii="Garamond" w:hAnsi="Garamond" w:cs="Arial"/>
          <w:color w:val="000000"/>
          <w:lang w:val="en-GB"/>
        </w:rPr>
        <w:t xml:space="preserve"> legt auf diesen Charakter der Vorstellungsbindung, der ihm gestattet, das Traumleben in engere Analogie mit gewissen Geistesstörungen zu bringen, den größten Wert. </w:t>
      </w:r>
      <w:r w:rsidRPr="00A06A59">
        <w:rPr>
          <w:rFonts w:ascii="Garamond" w:hAnsi="Garamond" w:cs="Arial"/>
          <w:color w:val="000000"/>
        </w:rPr>
        <w:t xml:space="preserve">Er anerkennt zwei Hauptcharaktere des » </w:t>
      </w:r>
      <w:r w:rsidRPr="00A06A59">
        <w:rPr>
          <w:rFonts w:ascii="Garamond" w:hAnsi="Garamond" w:cs="Arial"/>
          <w:i/>
          <w:iCs/>
          <w:color w:val="000000"/>
        </w:rPr>
        <w:t>délire</w:t>
      </w:r>
      <w:r w:rsidRPr="00A06A59">
        <w:rPr>
          <w:rFonts w:ascii="Garamond" w:hAnsi="Garamond" w:cs="Arial"/>
          <w:color w:val="000000"/>
        </w:rPr>
        <w:t xml:space="preserve">«: 1) </w:t>
      </w:r>
      <w:r w:rsidRPr="00A06A59">
        <w:rPr>
          <w:rFonts w:ascii="Garamond" w:hAnsi="Garamond" w:cs="Arial"/>
          <w:i/>
          <w:iCs/>
          <w:color w:val="000000"/>
        </w:rPr>
        <w:t>une action spontanée et comme automatique de l'esprit;</w:t>
      </w:r>
      <w:r w:rsidRPr="00A06A59">
        <w:rPr>
          <w:rFonts w:ascii="Garamond" w:hAnsi="Garamond" w:cs="Arial"/>
          <w:color w:val="000000"/>
        </w:rPr>
        <w:t xml:space="preserve"> 2) </w:t>
      </w:r>
      <w:r w:rsidRPr="00A06A59">
        <w:rPr>
          <w:rFonts w:ascii="Garamond" w:hAnsi="Garamond" w:cs="Arial"/>
          <w:i/>
          <w:iCs/>
          <w:color w:val="000000"/>
        </w:rPr>
        <w:t>une association vicieuse et irrégulière des idées</w:t>
      </w:r>
      <w:r w:rsidRPr="00A06A59">
        <w:rPr>
          <w:rFonts w:ascii="Garamond" w:hAnsi="Garamond" w:cs="Arial"/>
          <w:color w:val="000000"/>
        </w:rPr>
        <w:t xml:space="preserve"> (Le Sommeil, p. 126). </w:t>
      </w:r>
      <w:r w:rsidRPr="00A06A59">
        <w:rPr>
          <w:rFonts w:ascii="Garamond" w:hAnsi="Garamond" w:cs="Arial"/>
          <w:color w:val="000000"/>
          <w:lang w:val="en-GB"/>
        </w:rPr>
        <w:t xml:space="preserve">Von </w:t>
      </w:r>
      <w:r w:rsidRPr="00A06A59">
        <w:rPr>
          <w:rFonts w:ascii="Garamond" w:hAnsi="Garamond" w:cs="Arial"/>
          <w:i/>
          <w:iCs/>
          <w:color w:val="000000"/>
          <w:lang w:val="en-GB"/>
        </w:rPr>
        <w:t>Maury</w:t>
      </w:r>
      <w:r w:rsidRPr="00A06A59">
        <w:rPr>
          <w:rFonts w:ascii="Garamond" w:hAnsi="Garamond" w:cs="Arial"/>
          <w:color w:val="000000"/>
          <w:lang w:val="en-GB"/>
        </w:rPr>
        <w:t xml:space="preserve"> selbst rühren zwei ausgezeichnete Traumbeispiele her, in denen der bloße Gleichklang der Worte die Verknüpfung der Traumvorstellungen vermittelt. Er träumte einmal, daß er eine Pilgerfahrt ( </w:t>
      </w:r>
      <w:r w:rsidRPr="00A06A59">
        <w:rPr>
          <w:rFonts w:ascii="Garamond" w:hAnsi="Garamond" w:cs="Arial"/>
          <w:i/>
          <w:iCs/>
          <w:color w:val="000000"/>
          <w:lang w:val="en-GB"/>
        </w:rPr>
        <w:t>pélérinage</w:t>
      </w:r>
      <w:r w:rsidRPr="00A06A59">
        <w:rPr>
          <w:rFonts w:ascii="Garamond" w:hAnsi="Garamond" w:cs="Arial"/>
          <w:color w:val="000000"/>
          <w:lang w:val="en-GB"/>
        </w:rPr>
        <w:t xml:space="preserve">) nach Jerusalem oder Mekka unternehme, dann befand er sich nach vielen Abenteuern beim Chemiker </w:t>
      </w:r>
      <w:r w:rsidRPr="00A06A59">
        <w:rPr>
          <w:rFonts w:ascii="Garamond" w:hAnsi="Garamond" w:cs="Arial"/>
          <w:i/>
          <w:iCs/>
          <w:color w:val="000000"/>
          <w:lang w:val="en-GB"/>
        </w:rPr>
        <w:t>Pelletier</w:t>
      </w:r>
      <w:r w:rsidRPr="00A06A59">
        <w:rPr>
          <w:rFonts w:ascii="Garamond" w:hAnsi="Garamond" w:cs="Arial"/>
          <w:color w:val="000000"/>
          <w:lang w:val="en-GB"/>
        </w:rPr>
        <w:t xml:space="preserve">, dieser gab ihm nach einem Gespräch eine Schaufel ( </w:t>
      </w:r>
      <w:r w:rsidRPr="00A06A59">
        <w:rPr>
          <w:rFonts w:ascii="Garamond" w:hAnsi="Garamond" w:cs="Arial"/>
          <w:i/>
          <w:iCs/>
          <w:color w:val="000000"/>
          <w:lang w:val="en-GB"/>
        </w:rPr>
        <w:t>pelle</w:t>
      </w:r>
      <w:r w:rsidRPr="00A06A59">
        <w:rPr>
          <w:rFonts w:ascii="Garamond" w:hAnsi="Garamond" w:cs="Arial"/>
          <w:color w:val="000000"/>
          <w:lang w:val="en-GB"/>
        </w:rPr>
        <w:t xml:space="preserve">) von Zink, und diese wurde in einem darauffolgenden Traumstück sein großes Schlachtschwert (p. 137). Ein andermal ging er im Traum auf der Landstraße und las auf den Meilensteinen die </w:t>
      </w:r>
      <w:r w:rsidRPr="00A06A59">
        <w:rPr>
          <w:rFonts w:ascii="Garamond" w:hAnsi="Garamond" w:cs="Arial"/>
          <w:i/>
          <w:iCs/>
          <w:color w:val="000000"/>
          <w:lang w:val="en-GB"/>
        </w:rPr>
        <w:t>Kilo</w:t>
      </w:r>
      <w:r w:rsidRPr="00A06A59">
        <w:rPr>
          <w:rFonts w:ascii="Garamond" w:hAnsi="Garamond" w:cs="Arial"/>
          <w:color w:val="000000"/>
          <w:lang w:val="en-GB"/>
        </w:rPr>
        <w:t xml:space="preserve">meter ab, darauf befand er sich bei einem Gewürzkrämer, der eine große Waage hatte, und ein Mann legte </w:t>
      </w:r>
      <w:r w:rsidRPr="00A06A59">
        <w:rPr>
          <w:rFonts w:ascii="Garamond" w:hAnsi="Garamond" w:cs="Arial"/>
          <w:i/>
          <w:iCs/>
          <w:color w:val="000000"/>
          <w:lang w:val="en-GB"/>
        </w:rPr>
        <w:t>Kilo</w:t>
      </w:r>
      <w:r w:rsidRPr="00A06A59">
        <w:rPr>
          <w:rFonts w:ascii="Garamond" w:hAnsi="Garamond" w:cs="Arial"/>
          <w:color w:val="000000"/>
          <w:lang w:val="en-GB"/>
        </w:rPr>
        <w:t xml:space="preserve">gewichte auf die Waagschale, um </w:t>
      </w:r>
      <w:r w:rsidRPr="00A06A59">
        <w:rPr>
          <w:rFonts w:ascii="Garamond" w:hAnsi="Garamond" w:cs="Arial"/>
          <w:i/>
          <w:iCs/>
          <w:color w:val="000000"/>
          <w:lang w:val="en-GB"/>
        </w:rPr>
        <w:t>Maury</w:t>
      </w:r>
      <w:r w:rsidRPr="00A06A59">
        <w:rPr>
          <w:rFonts w:ascii="Garamond" w:hAnsi="Garamond" w:cs="Arial"/>
          <w:color w:val="000000"/>
          <w:lang w:val="en-GB"/>
        </w:rPr>
        <w:t xml:space="preserve"> abzuwägen; dann sagte ihm der Gewürzkrämer: »Sie sind nicht in Paris, sondern auf der Insel </w:t>
      </w:r>
      <w:r w:rsidRPr="00A06A59">
        <w:rPr>
          <w:rFonts w:ascii="Garamond" w:hAnsi="Garamond" w:cs="Arial"/>
          <w:i/>
          <w:iCs/>
          <w:color w:val="000000"/>
          <w:lang w:val="en-GB"/>
        </w:rPr>
        <w:t>Gilolo</w:t>
      </w:r>
      <w:r w:rsidRPr="00A06A59">
        <w:rPr>
          <w:rFonts w:ascii="Garamond" w:hAnsi="Garamond" w:cs="Arial"/>
          <w:color w:val="000000"/>
          <w:lang w:val="en-GB"/>
        </w:rPr>
        <w:t xml:space="preserve">.« Es folgten darauf mehrere Bilder, in welchen er die Blume </w:t>
      </w:r>
      <w:r w:rsidRPr="00A06A59">
        <w:rPr>
          <w:rFonts w:ascii="Garamond" w:hAnsi="Garamond" w:cs="Arial"/>
          <w:i/>
          <w:iCs/>
          <w:color w:val="000000"/>
          <w:lang w:val="en-GB"/>
        </w:rPr>
        <w:t>Lo</w:t>
      </w:r>
      <w:r w:rsidRPr="00A06A59">
        <w:rPr>
          <w:rFonts w:ascii="Garamond" w:hAnsi="Garamond" w:cs="Arial"/>
          <w:color w:val="000000"/>
          <w:lang w:val="en-GB"/>
        </w:rPr>
        <w:t xml:space="preserve">belia sah, dann den General </w:t>
      </w:r>
      <w:r w:rsidRPr="00A06A59">
        <w:rPr>
          <w:rFonts w:ascii="Garamond" w:hAnsi="Garamond" w:cs="Arial"/>
          <w:i/>
          <w:iCs/>
          <w:color w:val="000000"/>
          <w:lang w:val="en-GB"/>
        </w:rPr>
        <w:t>Lo</w:t>
      </w:r>
      <w:r w:rsidRPr="00A06A59">
        <w:rPr>
          <w:rFonts w:ascii="Garamond" w:hAnsi="Garamond" w:cs="Arial"/>
          <w:color w:val="000000"/>
          <w:lang w:val="en-GB"/>
        </w:rPr>
        <w:t xml:space="preserve">pez, von dessen Tod er kurz vorher gelesen hatte; endlich erwachte er, eine Partie </w:t>
      </w:r>
      <w:r w:rsidRPr="00A06A59">
        <w:rPr>
          <w:rFonts w:ascii="Garamond" w:hAnsi="Garamond" w:cs="Arial"/>
          <w:i/>
          <w:iCs/>
          <w:color w:val="000000"/>
          <w:lang w:val="en-GB"/>
        </w:rPr>
        <w:t>Lo</w:t>
      </w:r>
      <w:r w:rsidRPr="00A06A59">
        <w:rPr>
          <w:rFonts w:ascii="Garamond" w:hAnsi="Garamond" w:cs="Arial"/>
          <w:color w:val="000000"/>
          <w:lang w:val="en-GB"/>
        </w:rPr>
        <w:t xml:space="preserve">tto spielend. </w:t>
      </w:r>
      <w:hyperlink r:id="rId29" w:anchor="#" w:history="1">
        <w:r w:rsidRPr="00A06A59">
          <w:rPr>
            <w:rStyle w:val="fusslink"/>
            <w:rFonts w:ascii="Garamond" w:hAnsi="Garamond" w:cs="Arial"/>
            <w:b/>
            <w:bCs/>
            <w:color w:val="003399"/>
          </w:rPr>
          <w:t>[Fußnote]</w:t>
        </w:r>
        <w:r w:rsidRPr="00A06A59">
          <w:rPr>
            <w:rStyle w:val="innerfusslink3"/>
            <w:rFonts w:ascii="Garamond" w:hAnsi="Garamond" w:cs="Arial"/>
            <w:b/>
            <w:bCs/>
          </w:rPr>
          <w:t>An späterer Stelle wird uns der Sinn solcher Träume, die von Worten mit gleichen Anfangsbuchstaben und ähnlichem Anlaute erfüllt sind, zugänglich werden.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sind aber wohl gefaßt darauf, daß diese Geringschätzung der psychischen Leistungen des Traumes nicht ohne Widerspruch von anderer Seite geblieben ist. Zwar scheint der Widerspruch hier schwierig. Es will auch nicht viel bedeuten, wenn einer der Herabsetzer des Traumlebens versichert ( </w:t>
      </w:r>
      <w:r w:rsidRPr="00A06A59">
        <w:rPr>
          <w:rFonts w:ascii="Garamond" w:hAnsi="Garamond" w:cs="Arial"/>
          <w:i/>
          <w:iCs/>
          <w:color w:val="000000"/>
          <w:lang w:val="en-GB"/>
        </w:rPr>
        <w:t>Spitta</w:t>
      </w:r>
      <w:r w:rsidRPr="00A06A59">
        <w:rPr>
          <w:rFonts w:ascii="Garamond" w:hAnsi="Garamond" w:cs="Arial"/>
          <w:color w:val="000000"/>
          <w:lang w:val="en-GB"/>
        </w:rPr>
        <w:t xml:space="preserve">, S. 118), daß dieselben psychologischen Gesetze, die im Wachen herrschen, auch den Traum regieren, oder wenn ein anderer ( </w:t>
      </w:r>
      <w:r w:rsidRPr="00A06A59">
        <w:rPr>
          <w:rFonts w:ascii="Garamond" w:hAnsi="Garamond" w:cs="Arial"/>
          <w:i/>
          <w:iCs/>
          <w:color w:val="000000"/>
          <w:lang w:val="en-GB"/>
        </w:rPr>
        <w:t>Dugas</w:t>
      </w:r>
      <w:r w:rsidRPr="00A06A59">
        <w:rPr>
          <w:rFonts w:ascii="Garamond" w:hAnsi="Garamond" w:cs="Arial"/>
          <w:color w:val="000000"/>
          <w:lang w:val="en-GB"/>
        </w:rPr>
        <w:t xml:space="preserve">) ausspricht » </w:t>
      </w:r>
      <w:r w:rsidRPr="00A06A59">
        <w:rPr>
          <w:rFonts w:ascii="Garamond" w:hAnsi="Garamond" w:cs="Arial"/>
          <w:i/>
          <w:iCs/>
          <w:color w:val="000000"/>
          <w:lang w:val="en-GB"/>
        </w:rPr>
        <w:t>le rêve n'est pas déraison ni même irraison pure</w:t>
      </w:r>
      <w:r w:rsidRPr="00A06A59">
        <w:rPr>
          <w:rFonts w:ascii="Garamond" w:hAnsi="Garamond" w:cs="Arial"/>
          <w:color w:val="000000"/>
          <w:lang w:val="en-GB"/>
        </w:rPr>
        <w:t>«, solange beide sich nicht die Mühe nehmen, diese Schätzung mit der von ihnen beschriebenen psychischen Anarchie und Auflösung aller Funktionen im Traum in Einklang zu bringen. Aber anderen scheint die Möglichkeit gedämmert zu haben, daß der Wahnsinn des Traumes vielleicht doch nicht ohne Methode sei, vielleicht nur Verstellung wie der des Dänenprinzen, auf dessen Wahnsinn sich das hier zitierte, einsichtsvolle Urteil bezieht. Diese Autoren müssen es vermieden haben, nach dem Anschein zu urteilen, oder der Anschein, den der Traum ihnen bot, war ein anderer.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So würdigt </w:t>
      </w:r>
      <w:r w:rsidRPr="00A06A59">
        <w:rPr>
          <w:rFonts w:ascii="Garamond" w:hAnsi="Garamond" w:cs="Arial"/>
          <w:i/>
          <w:iCs/>
          <w:color w:val="000000"/>
          <w:lang w:val="en-GB"/>
        </w:rPr>
        <w:t>Havelock Ellis</w:t>
      </w:r>
      <w:r w:rsidRPr="00A06A59">
        <w:rPr>
          <w:rFonts w:ascii="Garamond" w:hAnsi="Garamond" w:cs="Arial"/>
          <w:color w:val="000000"/>
          <w:lang w:val="en-GB"/>
        </w:rPr>
        <w:t xml:space="preserve"> den Traum, ohne bei seiner scheinbaren Absurdität verweilen zu wollen, als » </w:t>
      </w:r>
      <w:r w:rsidRPr="00A06A59">
        <w:rPr>
          <w:rFonts w:ascii="Garamond" w:hAnsi="Garamond" w:cs="Arial"/>
          <w:i/>
          <w:iCs/>
          <w:color w:val="000000"/>
          <w:lang w:val="en-GB"/>
        </w:rPr>
        <w:t>an archaic world of vast emotions and imperfect thoughts</w:t>
      </w:r>
      <w:r w:rsidRPr="00A06A59">
        <w:rPr>
          <w:rFonts w:ascii="Garamond" w:hAnsi="Garamond" w:cs="Arial"/>
          <w:color w:val="000000"/>
          <w:lang w:val="en-GB"/>
        </w:rPr>
        <w:t xml:space="preserve">«, deren Studium uns primitive Entwicklungsstufen des psychischen Lebens kennen lehren könnte. J. </w:t>
      </w:r>
      <w:r w:rsidRPr="00A06A59">
        <w:rPr>
          <w:rFonts w:ascii="Garamond" w:hAnsi="Garamond" w:cs="Arial"/>
          <w:i/>
          <w:iCs/>
          <w:color w:val="000000"/>
          <w:lang w:val="en-GB"/>
        </w:rPr>
        <w:t>Sully</w:t>
      </w:r>
      <w:r w:rsidRPr="00A06A59">
        <w:rPr>
          <w:rFonts w:ascii="Garamond" w:hAnsi="Garamond" w:cs="Arial"/>
          <w:color w:val="000000"/>
          <w:lang w:val="en-GB"/>
        </w:rPr>
        <w:t xml:space="preserve"> (p. 362) vertritt dieselbe Auffassung des Traumes in einer noch weiter ausgreifenden und tiefer eindringenden Weise. Seine Aussprüche verdienen um so mehr Beachtung, wenn wir hinzunehmen, daß er wie vielleicht kein anderer Psychologe von der verhüllten Sinnigkeit des Traumes überzeugt war. » </w:t>
      </w:r>
      <w:r w:rsidRPr="00A06A59">
        <w:rPr>
          <w:rFonts w:ascii="Garamond" w:hAnsi="Garamond" w:cs="Arial"/>
          <w:i/>
          <w:iCs/>
          <w:color w:val="000000"/>
          <w:lang w:val="en-GB"/>
        </w:rPr>
        <w:t>Now our dreams are a means of conserving these successive personalities. When asleep we go back to the old ways of looking at things and of feeling about them, to impulses and activities which long ago dominated us.</w:t>
      </w:r>
      <w:r w:rsidRPr="00A06A59">
        <w:rPr>
          <w:rFonts w:ascii="Garamond" w:hAnsi="Garamond" w:cs="Arial"/>
          <w:color w:val="000000"/>
          <w:lang w:val="en-GB"/>
        </w:rPr>
        <w:t xml:space="preserve">« </w:t>
      </w:r>
      <w:r w:rsidRPr="00A06A59">
        <w:rPr>
          <w:rFonts w:ascii="Garamond" w:hAnsi="Garamond" w:cs="Arial"/>
          <w:color w:val="000000"/>
        </w:rPr>
        <w:t xml:space="preserve">Ein Denker wie </w:t>
      </w:r>
      <w:r w:rsidRPr="00A06A59">
        <w:rPr>
          <w:rFonts w:ascii="Garamond" w:hAnsi="Garamond" w:cs="Arial"/>
          <w:i/>
          <w:iCs/>
          <w:color w:val="000000"/>
        </w:rPr>
        <w:t>Delboeuf</w:t>
      </w:r>
      <w:r w:rsidRPr="00A06A59">
        <w:rPr>
          <w:rFonts w:ascii="Garamond" w:hAnsi="Garamond" w:cs="Arial"/>
          <w:color w:val="000000"/>
        </w:rPr>
        <w:t xml:space="preserve"> behauptet – freilich ohne den Beweis gegen das widersprechende Material zu führen und darum eigentlich mit Unrecht: » </w:t>
      </w:r>
      <w:r w:rsidRPr="00A06A59">
        <w:rPr>
          <w:rFonts w:ascii="Garamond" w:hAnsi="Garamond" w:cs="Arial"/>
          <w:i/>
          <w:iCs/>
          <w:color w:val="000000"/>
        </w:rPr>
        <w:t>Dans le sommeil, hormis la perception, toutes les facultés de l'esprit, intelligence, imagination, mémoire, volonté, moralité, restent intactes dans leur essence; seulement, elles s'appliquent à des objets imaginaires et mobiles. Le songeur est un acteur qui joue à volonté les fous et les sages, les bourreaux et les victimes, les nains et les géants, les démons et les anges.</w:t>
      </w:r>
      <w:r w:rsidRPr="00A06A59">
        <w:rPr>
          <w:rFonts w:ascii="Garamond" w:hAnsi="Garamond" w:cs="Arial"/>
          <w:color w:val="000000"/>
        </w:rPr>
        <w:t xml:space="preserve">« (p. 222.) Am energischesten scheint die Herabsetzung der psychischen Leistung im Traum der </w:t>
      </w:r>
      <w:r w:rsidRPr="00A06A59">
        <w:rPr>
          <w:rFonts w:ascii="Garamond" w:hAnsi="Garamond" w:cs="Arial"/>
          <w:i/>
          <w:iCs/>
          <w:color w:val="000000"/>
        </w:rPr>
        <w:t>Marquis d'Hervey</w:t>
      </w:r>
      <w:r w:rsidRPr="00A06A59">
        <w:rPr>
          <w:rFonts w:ascii="Garamond" w:hAnsi="Garamond" w:cs="Arial"/>
          <w:color w:val="000000"/>
        </w:rPr>
        <w:t xml:space="preserve"> bestritten zu haben, gegen den </w:t>
      </w:r>
      <w:r w:rsidRPr="00A06A59">
        <w:rPr>
          <w:rFonts w:ascii="Garamond" w:hAnsi="Garamond" w:cs="Arial"/>
          <w:i/>
          <w:iCs/>
          <w:color w:val="000000"/>
        </w:rPr>
        <w:t>Maury</w:t>
      </w:r>
      <w:r w:rsidRPr="00A06A59">
        <w:rPr>
          <w:rFonts w:ascii="Garamond" w:hAnsi="Garamond" w:cs="Arial"/>
          <w:color w:val="000000"/>
        </w:rPr>
        <w:t xml:space="preserve"> lebhaft polemisiert und dessen Schrift ich mir trotz aller Bemühung nicht verschaffen konnte. </w:t>
      </w:r>
      <w:r w:rsidRPr="00A06A59">
        <w:rPr>
          <w:rFonts w:ascii="Garamond" w:hAnsi="Garamond" w:cs="Arial"/>
          <w:i/>
          <w:iCs/>
          <w:color w:val="000000"/>
        </w:rPr>
        <w:t>Maury</w:t>
      </w:r>
      <w:r w:rsidRPr="00A06A59">
        <w:rPr>
          <w:rFonts w:ascii="Garamond" w:hAnsi="Garamond" w:cs="Arial"/>
          <w:color w:val="000000"/>
        </w:rPr>
        <w:t xml:space="preserve"> sagt über ihn (Le sommeil, p. 19): » </w:t>
      </w:r>
      <w:r w:rsidRPr="00A06A59">
        <w:rPr>
          <w:rFonts w:ascii="Garamond" w:hAnsi="Garamond" w:cs="Arial"/>
          <w:i/>
          <w:iCs/>
          <w:color w:val="000000"/>
        </w:rPr>
        <w:t>M. le Marquis d'Hervey prête à l'intelligence durant le sommeil, toute sa liberté d'action et d'attention et il ne semble faire consister le sommeil que dans l'occlusion des sens, dans leur fermeture au monde exterieur; en sorte que l'homme qui dort ne se distingue guère, selon sa manière de voir, de l'homme qui laisse vaguer sa pensée en se bouchant les sens; toute la différence qui sépare alors la pensée ordinaire de celle du dormeur c'est que, chez celui-ci, l'idée prend une forme visible, objective et ressemble, à s'y méprendre, à la sensationdéterminée par les objets extérieurs; le souvenir revêt l'apparence du fait présent.«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t>Maury</w:t>
      </w:r>
      <w:r w:rsidRPr="00A06A59">
        <w:rPr>
          <w:rFonts w:ascii="Garamond" w:hAnsi="Garamond" w:cs="Arial"/>
          <w:color w:val="000000"/>
        </w:rPr>
        <w:t xml:space="preserve"> fügt aber hinzu: » </w:t>
      </w:r>
      <w:r w:rsidRPr="00A06A59">
        <w:rPr>
          <w:rFonts w:ascii="Garamond" w:hAnsi="Garamond" w:cs="Arial"/>
          <w:i/>
          <w:iCs/>
          <w:color w:val="000000"/>
        </w:rPr>
        <w:t>qu'il y a une différence de plus et capitale à savoir que les facultés intellectuelles de l'homme endormi n'offrent pas l'équilibre qu'elles gardent chez l'homme éveillé.</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Bei </w:t>
      </w:r>
      <w:r w:rsidRPr="00A06A59">
        <w:rPr>
          <w:rFonts w:ascii="Garamond" w:hAnsi="Garamond" w:cs="Arial"/>
          <w:i/>
          <w:iCs/>
          <w:color w:val="000000"/>
        </w:rPr>
        <w:t>Vaschide</w:t>
      </w:r>
      <w:r w:rsidRPr="00A06A59">
        <w:rPr>
          <w:rFonts w:ascii="Garamond" w:hAnsi="Garamond" w:cs="Arial"/>
          <w:color w:val="000000"/>
        </w:rPr>
        <w:t xml:space="preserve">, der uns eine bessere Kenntnis des Buches von </w:t>
      </w:r>
      <w:r w:rsidRPr="00A06A59">
        <w:rPr>
          <w:rFonts w:ascii="Garamond" w:hAnsi="Garamond" w:cs="Arial"/>
          <w:i/>
          <w:iCs/>
          <w:color w:val="000000"/>
        </w:rPr>
        <w:t>d'Hervey</w:t>
      </w:r>
      <w:r w:rsidRPr="00A06A59">
        <w:rPr>
          <w:rFonts w:ascii="Garamond" w:hAnsi="Garamond" w:cs="Arial"/>
          <w:color w:val="000000"/>
        </w:rPr>
        <w:t xml:space="preserve"> vermittelt, finden wir, daß sich dieser Autor in folgender Art über die scheinbare Inkohärenz der Träume äußert. » </w:t>
      </w:r>
      <w:r w:rsidRPr="00A06A59">
        <w:rPr>
          <w:rFonts w:ascii="Garamond" w:hAnsi="Garamond" w:cs="Arial"/>
          <w:i/>
          <w:iCs/>
          <w:color w:val="000000"/>
        </w:rPr>
        <w:t>L'image du rêve est la copie de l'idée. Le principal est l'idée; la vision n'est qu'accessoire. Ceci établi, il faut savoir suivre la marche des idées, il faut savoir analyser le tissu des rêves; l'incohérence devient alors compréhensible, les conceptions les plus fantasques deviennent des faits simples et parfaitement logiques</w:t>
      </w:r>
      <w:r w:rsidRPr="00A06A59">
        <w:rPr>
          <w:rFonts w:ascii="Garamond" w:hAnsi="Garamond" w:cs="Arial"/>
          <w:color w:val="000000"/>
        </w:rPr>
        <w:t xml:space="preserve">« (p. 146). Und (p. 147):» </w:t>
      </w:r>
      <w:r w:rsidRPr="00A06A59">
        <w:rPr>
          <w:rFonts w:ascii="Garamond" w:hAnsi="Garamond" w:cs="Arial"/>
          <w:i/>
          <w:iCs/>
          <w:color w:val="000000"/>
        </w:rPr>
        <w:t>Les rêves les plus bizarres trouvent même une explication des plus logiques quand on sait les analyser.</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J. </w:t>
      </w:r>
      <w:r w:rsidRPr="00A06A59">
        <w:rPr>
          <w:rFonts w:ascii="Garamond" w:hAnsi="Garamond" w:cs="Arial"/>
          <w:i/>
          <w:iCs/>
          <w:color w:val="000000"/>
        </w:rPr>
        <w:t>Stärcke</w:t>
      </w:r>
      <w:r w:rsidRPr="00A06A59">
        <w:rPr>
          <w:rFonts w:ascii="Garamond" w:hAnsi="Garamond" w:cs="Arial"/>
          <w:color w:val="000000"/>
        </w:rPr>
        <w:t xml:space="preserve"> hat darauf aufmerksam gemacht, daß eine ähnliche Auflösung der Trauminkohärenz von einem alten Autor, Wolf </w:t>
      </w:r>
      <w:r w:rsidRPr="00A06A59">
        <w:rPr>
          <w:rFonts w:ascii="Garamond" w:hAnsi="Garamond" w:cs="Arial"/>
          <w:i/>
          <w:iCs/>
          <w:color w:val="000000"/>
        </w:rPr>
        <w:t>Davidson</w:t>
      </w:r>
      <w:r w:rsidRPr="00A06A59">
        <w:rPr>
          <w:rFonts w:ascii="Garamond" w:hAnsi="Garamond" w:cs="Arial"/>
          <w:color w:val="000000"/>
        </w:rPr>
        <w:t xml:space="preserve">, der mir unbekannt war, 1799 verteidigt worden ist (p. 136): »Die sonderbaren Sprünge unserer Vorstellungen im Traume haben alle ihren Grund in dem Gesetze der Assoziation, nur daß diese Verbindung </w:t>
      </w:r>
      <w:r w:rsidRPr="00A06A59">
        <w:rPr>
          <w:rFonts w:ascii="Garamond" w:hAnsi="Garamond" w:cs="Arial"/>
          <w:color w:val="000000"/>
        </w:rPr>
        <w:lastRenderedPageBreak/>
        <w:t>manchmal sehr dunkel in der Seele vorgeht, so daß wir oft einen Sprung der Vorstellung zu beobachten glauben, wo doch keiner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Die Skala der Würdigung des Traumes als psychisches Produkt hat in der Literatur einen großen Umfang; sie reicht von der tiefsten Geringschätzung, deren Ausdruck wir kennengelernt haben, durch die Ahnung eines noch nicht enthüllten Wertes bis zur Überschätzung, die den Traum weit über die Leistungen des Wachlebens stellt. Hildebrandt, der, wie wir wissen, in drei Antinomien die psychologische Charakteristik des Traumlebens entwirft, faßt im dritten dieser Gegensätze die Endpunkte dieser Reihe zusammen (S. </w:t>
      </w:r>
      <w:smartTag w:uri="urn:schemas-microsoft-com:office:smarttags" w:element="metricconverter">
        <w:smartTagPr>
          <w:attr w:name="ProductID" w:val="19 f"/>
        </w:smartTagPr>
        <w:r w:rsidRPr="00A06A59">
          <w:rPr>
            <w:rFonts w:ascii="Garamond" w:hAnsi="Garamond" w:cs="Arial"/>
            <w:color w:val="000000"/>
          </w:rPr>
          <w:t>19 f</w:t>
        </w:r>
      </w:smartTag>
      <w:r w:rsidRPr="00A06A59">
        <w:rPr>
          <w:rFonts w:ascii="Garamond" w:hAnsi="Garamond" w:cs="Arial"/>
          <w:color w:val="000000"/>
        </w:rPr>
        <w:t xml:space="preserve">.): »Es ist der zwischen einer </w:t>
      </w:r>
      <w:r w:rsidRPr="00A06A59">
        <w:rPr>
          <w:rFonts w:ascii="Garamond" w:hAnsi="Garamond" w:cs="Arial"/>
          <w:i/>
          <w:iCs/>
          <w:color w:val="000000"/>
        </w:rPr>
        <w:t>Steigerung</w:t>
      </w:r>
      <w:r w:rsidRPr="00A06A59">
        <w:rPr>
          <w:rFonts w:ascii="Garamond" w:hAnsi="Garamond" w:cs="Arial"/>
          <w:color w:val="000000"/>
        </w:rPr>
        <w:t xml:space="preserve">, einer nicht selten bis zur </w:t>
      </w:r>
      <w:r w:rsidRPr="00A06A59">
        <w:rPr>
          <w:rFonts w:ascii="Garamond" w:hAnsi="Garamond" w:cs="Arial"/>
          <w:i/>
          <w:iCs/>
          <w:color w:val="000000"/>
        </w:rPr>
        <w:t>Virtuosität</w:t>
      </w:r>
      <w:r w:rsidRPr="00A06A59">
        <w:rPr>
          <w:rFonts w:ascii="Garamond" w:hAnsi="Garamond" w:cs="Arial"/>
          <w:color w:val="000000"/>
        </w:rPr>
        <w:t xml:space="preserve"> sich erhebenden </w:t>
      </w:r>
      <w:r w:rsidRPr="00A06A59">
        <w:rPr>
          <w:rFonts w:ascii="Garamond" w:hAnsi="Garamond" w:cs="Arial"/>
          <w:i/>
          <w:iCs/>
          <w:color w:val="000000"/>
        </w:rPr>
        <w:t>Potenzierung</w:t>
      </w:r>
      <w:r w:rsidRPr="00A06A59">
        <w:rPr>
          <w:rFonts w:ascii="Garamond" w:hAnsi="Garamond" w:cs="Arial"/>
          <w:color w:val="000000"/>
        </w:rPr>
        <w:t xml:space="preserve">, und anderseits einer entschiedenen, oft bis unter das Niveau des Menschlichen führenden </w:t>
      </w:r>
      <w:r w:rsidRPr="00A06A59">
        <w:rPr>
          <w:rFonts w:ascii="Garamond" w:hAnsi="Garamond" w:cs="Arial"/>
          <w:i/>
          <w:iCs/>
          <w:color w:val="000000"/>
        </w:rPr>
        <w:t>Herabminderung</w:t>
      </w:r>
      <w:r w:rsidRPr="00A06A59">
        <w:rPr>
          <w:rFonts w:ascii="Garamond" w:hAnsi="Garamond" w:cs="Arial"/>
          <w:color w:val="000000"/>
        </w:rPr>
        <w:t xml:space="preserve"> und </w:t>
      </w:r>
      <w:r w:rsidRPr="00A06A59">
        <w:rPr>
          <w:rFonts w:ascii="Garamond" w:hAnsi="Garamond" w:cs="Arial"/>
          <w:i/>
          <w:iCs/>
          <w:color w:val="000000"/>
        </w:rPr>
        <w:t>Schwächung</w:t>
      </w:r>
      <w:r w:rsidRPr="00A06A59">
        <w:rPr>
          <w:rFonts w:ascii="Garamond" w:hAnsi="Garamond" w:cs="Arial"/>
          <w:color w:val="000000"/>
        </w:rPr>
        <w:t xml:space="preserve"> des Seelenlebens.«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»Was das erstere betrifft, wer könnte nicht aus eigener Erfahrung bestätigen, daß in dem Schaffen und Weben des Traumgenius bisweilen eine Tiefe und Innigkeit des Gemütes, eine Zartheit der Empfindung, eine Klarheit der Anschauung, eine Feinheit der Beobachtung, eine Schlagfertigkeit des Witzes zutage tritt, wie wir solches alles als konstantes Eigentum während des wachen Lebens zu besitzen bescheidentlich in Abrede stellen würden? Der Traum hat eine wunderbare Poesie, eine treffliche Allegorie, einen unvergleichlichen Humor, eine köstliche Ironie. Er schauet die Welt in einem eigentümlich idealisierenden Lichte und potenziert den Effekt ihrer Erscheinungen oft im sinnigsten Verständnisse des ihnen zum Grunde liegenden Wesens. Er stellt uns das irdisch Schöne in wahrhaft himmlischem Glanze, das Erhabene in höchster Majestät, das erfahrungsgemäß Furchtbare in der grauenvollsten Gestalt, das Lächerliche mit unbeschreiblich drastischer Komik vor Augen; und bisweilen sind wir nach dem Erwachen irgendeines dieser Eindrücke noch so voll, daß es uns vorkommen will, dergleichen habe die wirkliche Welt uns noch nie und niemals geboten.«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Man darf sich fragen, ist es wirklich das nämliche Objekt, dem jene geringschätzigen Bemerkungen und diese begeisterte Anpreisung gilt? Haben die einen die blödsinnigen Träume, die anderen die tiefsinnigen und feinsinnigen übersehen? Und wenn beiderlei vorkommt, Träume, die solche und die jene Beurteilung verdienen, scheint es da nicht müßig, nach einer psychologischen Charakteristik des Traumes zu suchen, genügt es nicht zu sagen, im Traume sei alles möglich, von der tiefsten Herabsetzung des Seelenlebens bis zu einer im Wachen ungewohnten Steigerung desselben? So bequem diese Lösung wäre, sie hat dies eine gegen sich, daß den Bestrebungen aller Traumforscher die Voraussetzung zugrunde zu liegen scheint, es gäbe eine solche in ihren wesentlichen Zügen allgemeingültige Charakteristik des Traumes, welche über jene Widersprüche hinweghelfen müßte.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unstreitig, daß die psychischen Leistungen des Traumes bereitwilligere und wärmere Anerkennung gefunden haben in jener, jetzt hinter uns liegenden, intellektuellen Periode, da die Philosophie und nicht die exakten Naturwissenschaften die Geister beherrschte. Aussprüche, wie die von </w:t>
      </w:r>
      <w:r w:rsidRPr="00A06A59">
        <w:rPr>
          <w:rFonts w:ascii="Garamond" w:hAnsi="Garamond" w:cs="Arial"/>
          <w:i/>
          <w:iCs/>
          <w:color w:val="000000"/>
          <w:lang w:val="en-GB"/>
        </w:rPr>
        <w:t>Schubert</w:t>
      </w:r>
      <w:r w:rsidRPr="00A06A59">
        <w:rPr>
          <w:rFonts w:ascii="Garamond" w:hAnsi="Garamond" w:cs="Arial"/>
          <w:color w:val="000000"/>
          <w:lang w:val="en-GB"/>
        </w:rPr>
        <w:t xml:space="preserve">, daß der Traum eine Befreiung des Geistes von der Gewalt der äußeren Natur sei, eine Loslösung der Seele von den Fesseln der Sinnlichkeit, und ähnliche Urteile von dem jüngeren </w:t>
      </w:r>
      <w:r w:rsidRPr="00A06A59">
        <w:rPr>
          <w:rFonts w:ascii="Garamond" w:hAnsi="Garamond" w:cs="Arial"/>
          <w:i/>
          <w:iCs/>
          <w:color w:val="000000"/>
          <w:lang w:val="en-GB"/>
        </w:rPr>
        <w:t>Fichte</w:t>
      </w:r>
      <w:hyperlink r:id="rId3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Vgl. </w:t>
        </w:r>
        <w:r w:rsidRPr="00A06A59">
          <w:rPr>
            <w:rStyle w:val="innerfusslink3"/>
            <w:rFonts w:ascii="Garamond" w:hAnsi="Garamond" w:cs="Arial"/>
            <w:b/>
            <w:bCs/>
            <w:i/>
            <w:iCs/>
            <w:lang w:val="en-GB"/>
          </w:rPr>
          <w:t>Haffner</w:t>
        </w:r>
        <w:r w:rsidRPr="00A06A59">
          <w:rPr>
            <w:rStyle w:val="innerfusslink3"/>
            <w:rFonts w:ascii="Garamond" w:hAnsi="Garamond" w:cs="Arial"/>
            <w:b/>
            <w:bCs/>
            <w:lang w:val="en-GB"/>
          </w:rPr>
          <w:t xml:space="preserve"> und </w:t>
        </w:r>
        <w:r w:rsidRPr="00A06A59">
          <w:rPr>
            <w:rStyle w:val="innerfusslink3"/>
            <w:rFonts w:ascii="Garamond" w:hAnsi="Garamond" w:cs="Arial"/>
            <w:b/>
            <w:bCs/>
            <w:i/>
            <w:iCs/>
            <w:lang w:val="en-GB"/>
          </w:rPr>
          <w:t>Spitta</w:t>
        </w:r>
        <w:r w:rsidRPr="00A06A59">
          <w:rPr>
            <w:rStyle w:val="innerfusslink3"/>
            <w:rFonts w:ascii="Garamond" w:hAnsi="Garamond" w:cs="Arial"/>
            <w:b/>
            <w:bCs/>
            <w:lang w:val="en-GB"/>
          </w:rPr>
          <w:t>.</w:t>
        </w:r>
      </w:hyperlink>
      <w:r w:rsidRPr="00A06A59">
        <w:rPr>
          <w:rFonts w:ascii="Garamond" w:hAnsi="Garamond" w:cs="Arial"/>
          <w:color w:val="000000"/>
          <w:lang w:val="en-GB"/>
        </w:rPr>
        <w:t xml:space="preserve"> u. a., welche sämtlich den Traum als einen Aufschwung des Seelenlebens zu einer höheren Stufe darstellen, erscheinen uns heute kaum begreiflich; sie werden in der Gegenwart auch nur bei Mystikern und Frömmlern wiederholt </w:t>
      </w:r>
      <w:hyperlink r:id="rId3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Der geistreiche Mystiker </w:t>
        </w:r>
        <w:r w:rsidRPr="00A06A59">
          <w:rPr>
            <w:rStyle w:val="innerfusslink3"/>
            <w:rFonts w:ascii="Garamond" w:hAnsi="Garamond" w:cs="Arial"/>
            <w:b/>
            <w:bCs/>
            <w:i/>
            <w:iCs/>
            <w:lang w:val="en-GB"/>
          </w:rPr>
          <w:t>Du Prel</w:t>
        </w:r>
        <w:r w:rsidRPr="00A06A59">
          <w:rPr>
            <w:rStyle w:val="innerfusslink3"/>
            <w:rFonts w:ascii="Garamond" w:hAnsi="Garamond" w:cs="Arial"/>
            <w:b/>
            <w:bCs/>
            <w:lang w:val="en-GB"/>
          </w:rPr>
          <w:t>, einer der wenigen Autoren, denen ich die Vernachlässigung in früheren Auflagen dieses Buches abbitten möchte, äußert, nicht das Wachen, sondern der Traum sei die Pforte zur Metaphysik, soweit sie den Menschen betrifft (Philosophie der Mystik, p. 59).</w:t>
        </w:r>
      </w:hyperlink>
      <w:r w:rsidRPr="00A06A59">
        <w:rPr>
          <w:rFonts w:ascii="Garamond" w:hAnsi="Garamond" w:cs="Arial"/>
          <w:i/>
          <w:iCs/>
          <w:color w:val="000000"/>
          <w:lang w:val="en-GB"/>
        </w:rPr>
        <w:t>.</w:t>
      </w:r>
      <w:r w:rsidRPr="00A06A59">
        <w:rPr>
          <w:rFonts w:ascii="Garamond" w:hAnsi="Garamond" w:cs="Arial"/>
          <w:color w:val="000000"/>
          <w:lang w:val="en-GB"/>
        </w:rPr>
        <w:t xml:space="preserve"> Mit dem Eindringen naturwissenschaftlicher Denkweise ist eine Reaktion in der Würdigung des Traumes einhergegangen. Gerade die ärztlichen Autoren sind am ehesten geneigt, die psychische Tätigkeit im Traume für geringfügig und wertlos anzuschlagen, während Philosophen und nicht zünftige Beobachter – Amateurpsychologen –, deren Beiträge gerade auf diesem Gebiete nicht zu vernachlässigen sind, im besseren Einvernehmen mit den Ahnungen des Volkes, meist an dem psychischen Wert der Träume festgehalten haben. Wer zur Geringschätzung der psychischen Leistung im Traume neigt, der bevorzugt begreiflicherweise in der Traumätiologie die somatischen Reizquellen; für den, welcher der träumenden Seele den größeren Teil ihrer Fähigkeiten im Wachen belassen hat, entfällt natürlich jedes Motiv, ihr nicht auch selbständige Anregungen zum Träumen zuzugestehen.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Unter den Überleistungen, welche man auch bei nüchterner Vergleichung versucht sein kann, dem Traumleben zuzuschreiben, ist die des Gedächtnisses die auffälligste; wir haben die sie beweisenden, gar nicht seltenen Erfahrungen ausführlich behandelt. Ein anderer, von alten Autoren häufig gepriesener Vorzug des Traumlebens, daß es sich souverän über Zeit- und Ortsentfernungen hinwegzusetzen vermöge, ist mit Leichtigkeit als eine Illusion zu erkennen. Dieser Vorzug ist, wie </w:t>
      </w:r>
      <w:r w:rsidRPr="00A06A59">
        <w:rPr>
          <w:rFonts w:ascii="Garamond" w:hAnsi="Garamond" w:cs="Arial"/>
          <w:i/>
          <w:iCs/>
          <w:color w:val="000000"/>
          <w:lang w:val="en-GB"/>
        </w:rPr>
        <w:t>Hildebrandt</w:t>
      </w:r>
      <w:r w:rsidRPr="00A06A59">
        <w:rPr>
          <w:rFonts w:ascii="Garamond" w:hAnsi="Garamond" w:cs="Arial"/>
          <w:color w:val="000000"/>
          <w:lang w:val="en-GB"/>
        </w:rPr>
        <w:t xml:space="preserve"> bemerkt, eben ein illusorischer Vorzug; das Träumen setzt sich über Zeit und Raum nicht anders hinweg als das wache Denken, und eben weil es nur eine Form des Denkens ist. Der Traum sollte sich in bezug auf die Zeitlichkeit noch eines anderen Vorzugs erfreuen, noch in anderem Sinne vom Ablauf der Zeit unabhängig sein. Träume, wie der oben S. 19 mitgeteilte </w:t>
      </w:r>
      <w:r w:rsidRPr="00A06A59">
        <w:rPr>
          <w:rFonts w:ascii="Garamond" w:hAnsi="Garamond" w:cs="Arial"/>
          <w:i/>
          <w:iCs/>
          <w:color w:val="000000"/>
          <w:lang w:val="en-GB"/>
        </w:rPr>
        <w:t>Maury</w:t>
      </w:r>
      <w:r w:rsidRPr="00A06A59">
        <w:rPr>
          <w:rFonts w:ascii="Garamond" w:hAnsi="Garamond" w:cs="Arial"/>
          <w:color w:val="000000"/>
          <w:lang w:val="en-GB"/>
        </w:rPr>
        <w:t xml:space="preserve">s von seiner Hinrichtung durch die Guillotine, </w:t>
      </w:r>
      <w:r w:rsidRPr="00A06A59">
        <w:rPr>
          <w:rFonts w:ascii="Garamond" w:hAnsi="Garamond" w:cs="Arial"/>
          <w:color w:val="000000"/>
          <w:lang w:val="en-GB"/>
        </w:rPr>
        <w:lastRenderedPageBreak/>
        <w:t xml:space="preserve">scheinen zu beweisen, daß der Traum in eine sehr kurze Spanne Zeit weit mehr Wahrnehmungsinhalt zu drängen vermag, als unsere psychische Tätigkeit im Wachen Denkinhalt bewältigen kann. Diese Folgerung ist indes mit mannigfaltigen Argumenten bestritten worden; seit den Aufsätzen von </w:t>
      </w:r>
      <w:r w:rsidRPr="00A06A59">
        <w:rPr>
          <w:rFonts w:ascii="Garamond" w:hAnsi="Garamond" w:cs="Arial"/>
          <w:i/>
          <w:iCs/>
          <w:color w:val="000000"/>
          <w:lang w:val="en-GB"/>
        </w:rPr>
        <w:t>Le Lorrain</w:t>
      </w:r>
      <w:r w:rsidRPr="00A06A59">
        <w:rPr>
          <w:rFonts w:ascii="Garamond" w:hAnsi="Garamond" w:cs="Arial"/>
          <w:color w:val="000000"/>
          <w:lang w:val="en-GB"/>
        </w:rPr>
        <w:t xml:space="preserve"> und </w:t>
      </w:r>
      <w:r w:rsidRPr="00A06A59">
        <w:rPr>
          <w:rFonts w:ascii="Garamond" w:hAnsi="Garamond" w:cs="Arial"/>
          <w:i/>
          <w:iCs/>
          <w:color w:val="000000"/>
          <w:lang w:val="en-GB"/>
        </w:rPr>
        <w:t>Egger</w:t>
      </w:r>
      <w:r w:rsidRPr="00A06A59">
        <w:rPr>
          <w:rFonts w:ascii="Garamond" w:hAnsi="Garamond" w:cs="Arial"/>
          <w:color w:val="000000"/>
          <w:lang w:val="en-GB"/>
        </w:rPr>
        <w:t xml:space="preserve"> »über die scheinbare Dauer der Träume« hat sich hierüber eine interessante Diskussion angesponnen, welche in dieser heikeln und tiefreichenden Frage wahrscheinlich noch nicht die letzte Aufklärung erreicht hat </w:t>
      </w:r>
      <w:hyperlink r:id="rId3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Weitere Literatur und kritische Erörterung dieser Probleme in der Pariser Dissertation der Tobowolska (1900).</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Daß der Traum die intellektuellen Arbeiten des Tages aufzunehmen und zu einem bei Tag nicht erreichten Abschluß zu bringen vermag, daß er Zweifel und Probleme lösen, bei Dichtern und Komponisten die Quelle neuer Eingebungen werden kann, scheint nach vielfachen Berichten und nach der von </w:t>
      </w:r>
      <w:r w:rsidRPr="00A06A59">
        <w:rPr>
          <w:rFonts w:ascii="Garamond" w:hAnsi="Garamond" w:cs="Arial"/>
          <w:i/>
          <w:iCs/>
          <w:color w:val="000000"/>
          <w:lang w:val="en-GB"/>
        </w:rPr>
        <w:t>Chabaneix</w:t>
      </w:r>
      <w:r w:rsidRPr="00A06A59">
        <w:rPr>
          <w:rFonts w:ascii="Garamond" w:hAnsi="Garamond" w:cs="Arial"/>
          <w:color w:val="000000"/>
          <w:lang w:val="en-GB"/>
        </w:rPr>
        <w:t xml:space="preserve"> angestellten Sammlung unbestreitbar zu sein. Aber wenn auch nicht die Tatsache, so unterliegt doch deren Auffassung vielen, ans Prinzipielle streifenden Zweifeln </w:t>
      </w:r>
      <w:hyperlink r:id="rId3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Vgl. die Kritik bei H. </w:t>
        </w:r>
        <w:r w:rsidRPr="00A06A59">
          <w:rPr>
            <w:rStyle w:val="innerfusslink3"/>
            <w:rFonts w:ascii="Garamond" w:hAnsi="Garamond" w:cs="Arial"/>
            <w:b/>
            <w:bCs/>
            <w:i/>
            <w:iCs/>
            <w:lang w:val="en-GB"/>
          </w:rPr>
          <w:t>Ellis</w:t>
        </w:r>
        <w:r w:rsidRPr="00A06A59">
          <w:rPr>
            <w:rStyle w:val="innerfusslink3"/>
            <w:rFonts w:ascii="Garamond" w:hAnsi="Garamond" w:cs="Arial"/>
            <w:b/>
            <w:bCs/>
            <w:lang w:val="en-GB"/>
          </w:rPr>
          <w:t xml:space="preserve"> (World of Dreams, p. 268).</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Endlich bildet die behauptete divinatorische Kraft des Traumes ein Streitobjekt, an welchem schwer überwindliche Bedenken mit hartnäckig wiederholten Versicherungen zusammentreffen. Man vermeidet es – und wohl mit Recht –, alles Tatsächliche an diesem Thema abzuleugnen, weil für eine Reihe von Fällen die Möglichkeit einer natürlichen psychologischen Erklärung vielleicht nahe bevorsteht.</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F. Die ethischen Gefühle im Traume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Aus Motiven, welche erst nach Kenntnisnahme meiner eigenen Untersuchungen über den Traum verständlich werden können, habe ich von dem Thema der Psychologie des Traumes das Teilproblem abgesondert, ob und inwieweit die moralischen Dispositionen und Empfindungen des Wachens sich ins Traumleben erstrecken. Der nämliche Widerspruch in der Darstellung der Autoren, den wir für alle anderen seelischen Leistungen mit Befremden bemerken mußten, macht uns auch hier betroffen. Die einen versichern mit ebensolcher Entschiedenheit, daß der Traum von den sittlichen Anforderungen nichts weiß, wie die andern, daß die moralische Natur des Menschen auch fürs Traumleben erhalten bleibt.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Berufung auf die allnächtliche Traumerfahrung scheint die Richtigkeit der ersteren Behauptung über jeden Zweifel zu erheben. </w:t>
      </w:r>
      <w:r w:rsidRPr="00A06A59">
        <w:rPr>
          <w:rFonts w:ascii="Garamond" w:hAnsi="Garamond" w:cs="Arial"/>
          <w:i/>
          <w:iCs/>
          <w:color w:val="000000"/>
          <w:lang w:val="en-GB"/>
        </w:rPr>
        <w:t>Jessen</w:t>
      </w:r>
      <w:r w:rsidRPr="00A06A59">
        <w:rPr>
          <w:rFonts w:ascii="Garamond" w:hAnsi="Garamond" w:cs="Arial"/>
          <w:color w:val="000000"/>
          <w:lang w:val="en-GB"/>
        </w:rPr>
        <w:t xml:space="preserve"> sagt (S. 553): »Auch besser und tugendhafter wird man nicht im Schlafe, vielmehr scheint das Gewissen in den Träumen zu schweigen, indem man kein Mitleid empfindet und die schwersten Verbrechen, Diebstahl, Mord und Totschlag mit völliger Gleichgültigkeit und ohne nachfolgende Reue verüben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Radestock</w:t>
      </w:r>
      <w:r w:rsidRPr="00A06A59">
        <w:rPr>
          <w:rFonts w:ascii="Garamond" w:hAnsi="Garamond" w:cs="Arial"/>
          <w:color w:val="000000"/>
          <w:lang w:val="en-GB"/>
        </w:rPr>
        <w:t xml:space="preserve"> (S. 146): »Es ist zu berücksichtigen, daß die Assoziationen im Traume ablaufen und die Vorstellungen sich verbinden, ohne daß Reflexion und Verstand, ästhetischer Geschmack und sittliches Urteil etwas dabei vermögen; das Urteil ist höchst schwach, und es herrscht </w:t>
      </w:r>
      <w:r w:rsidRPr="00A06A59">
        <w:rPr>
          <w:rFonts w:ascii="Garamond" w:hAnsi="Garamond" w:cs="Arial"/>
          <w:i/>
          <w:iCs/>
          <w:color w:val="000000"/>
          <w:lang w:val="en-GB"/>
        </w:rPr>
        <w:t>ethische Gleichgültigkeit</w:t>
      </w:r>
      <w:r w:rsidRPr="00A06A59">
        <w:rPr>
          <w:rFonts w:ascii="Garamond" w:hAnsi="Garamond" w:cs="Arial"/>
          <w:color w:val="000000"/>
          <w:lang w:val="en-GB"/>
        </w:rPr>
        <w:t xml:space="preserve"> vor.«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Volkelt</w:t>
      </w:r>
      <w:r w:rsidRPr="00A06A59">
        <w:rPr>
          <w:rFonts w:ascii="Garamond" w:hAnsi="Garamond" w:cs="Arial"/>
          <w:color w:val="000000"/>
          <w:lang w:val="en-GB"/>
        </w:rPr>
        <w:t xml:space="preserve"> (S. 23): »Besonders zügellos aber geht es, wie jeder weiß, im Traume in geschlechtlicher Beziehung zu. Wie der Träumende selbst aufs äußerste schamlos und jedes sittlichen Gefühls und Urteils verlustig ist, so sieht er auch alle anderen und selbst die verehrtesten Personen mitten in Handlungen, die er im Wachen auch nur in Gedanken mit ihnen zusammenzubringen sich scheuen würde.«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schärfsten Gegensatz hiezu bilden Äußerungen wie die von </w:t>
      </w:r>
      <w:r w:rsidRPr="00A06A59">
        <w:rPr>
          <w:rFonts w:ascii="Garamond" w:hAnsi="Garamond" w:cs="Arial"/>
          <w:i/>
          <w:iCs/>
          <w:color w:val="000000"/>
          <w:lang w:val="en-GB"/>
        </w:rPr>
        <w:t>Schopenhauer</w:t>
      </w:r>
      <w:r w:rsidRPr="00A06A59">
        <w:rPr>
          <w:rFonts w:ascii="Garamond" w:hAnsi="Garamond" w:cs="Arial"/>
          <w:color w:val="000000"/>
          <w:lang w:val="en-GB"/>
        </w:rPr>
        <w:t xml:space="preserve">, daß jeder im Traum in vollster Gemäßheit seines Charakters handelt und redet. K. Ph. Fischer </w:t>
      </w:r>
      <w:hyperlink r:id="rId3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Grundzüge des Systems der Anthropologie. Erlangen 1850. (Nach Spitta).</w:t>
        </w:r>
      </w:hyperlink>
      <w:r w:rsidRPr="00A06A59">
        <w:rPr>
          <w:rFonts w:ascii="Garamond" w:hAnsi="Garamond" w:cs="Arial"/>
          <w:color w:val="000000"/>
          <w:lang w:val="en-GB"/>
        </w:rPr>
        <w:t xml:space="preserve"> behauptet, daß die subjektiven Gefühle und Bestrebungen oder Affekte und Leidenschaften in der Willkür des Traumlebens sich offenbaren, daß die moralischen Eigentümlichkeiten der Personen in ihren Träumen sich spiegeln.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Harfner</w:t>
      </w:r>
      <w:r w:rsidRPr="00A06A59">
        <w:rPr>
          <w:rFonts w:ascii="Garamond" w:hAnsi="Garamond" w:cs="Arial"/>
          <w:color w:val="000000"/>
          <w:lang w:val="en-GB"/>
        </w:rPr>
        <w:t xml:space="preserve"> (S. 25): »Seltene Ausnahmen abgerechnet, ... wird ein tugendhafter Mensch auch im Traum tugendhaft sein; er wird den Versuchungen widerstehen, dem Haß, dem Neid, dem Zorn und allen Lastern sich verschließen; der Mann der Sünde aber wird auch in seinen Träumen in der Regel die Bilder finden, die er im Wachen vor sich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Scholz</w:t>
      </w:r>
      <w:r w:rsidRPr="00A06A59">
        <w:rPr>
          <w:rFonts w:ascii="Garamond" w:hAnsi="Garamond" w:cs="Arial"/>
          <w:color w:val="000000"/>
          <w:lang w:val="en-GB"/>
        </w:rPr>
        <w:t xml:space="preserve"> (S. 36): »Im Traum ist Wahrheit, trotz aller Maskierung in Hoheit oder Erniedrigung erkennen wir unser eigenes Selbst wieder ... Der ehrliche Mann kann auch im Traume kein entehrendes Verbrechen begehen, oder wenn es doch der Fall ist, so entsetzt er sich darüber, als über etwas seiner Natur Fremdes. Der römische Kaiser, der einen seiner Untertanen hinrichten ließ, weil diesem geträumt hatte, er habe dem Kaiser den Kopf abschlagen lassen, hatte darum so unrecht nicht, wenn er dies damit rechtfertigte, daß, wer so träume, auch ähnliche Gedanken im Wachen haben müsse. Von etwas, das in unserem Innern keinen Raum haben kann, sagen wir deshalb auch bezeichnenderweise: Es fällt mir auch im Traum nicht 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Im Gegensatz hiezu meint </w:t>
      </w:r>
      <w:r w:rsidRPr="00A06A59">
        <w:rPr>
          <w:rFonts w:ascii="Garamond" w:hAnsi="Garamond" w:cs="Arial"/>
          <w:i/>
          <w:iCs/>
          <w:color w:val="000000"/>
          <w:lang w:val="en-GB"/>
        </w:rPr>
        <w:t>Plato</w:t>
      </w:r>
      <w:r w:rsidRPr="00A06A59">
        <w:rPr>
          <w:rFonts w:ascii="Garamond" w:hAnsi="Garamond" w:cs="Arial"/>
          <w:color w:val="000000"/>
          <w:lang w:val="en-GB"/>
        </w:rPr>
        <w:t>, diejenigen seien die besten, denen das, was andere wachend tun, nur im Traume einfalle.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lastRenderedPageBreak/>
        <w:t>Pfaff</w:t>
      </w:r>
      <w:hyperlink r:id="rId3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Das Traumleben und seine Deutung. 1868 (bei Spina, S. 192).</w:t>
        </w:r>
      </w:hyperlink>
      <w:r w:rsidRPr="00A06A59">
        <w:rPr>
          <w:rFonts w:ascii="Garamond" w:hAnsi="Garamond" w:cs="Arial"/>
          <w:color w:val="000000"/>
          <w:lang w:val="en-GB"/>
        </w:rPr>
        <w:t xml:space="preserve"> sagt geradezu in Abänderung eines bekannten Sprichwortes: »Erzähle mir eine Zeitlang deine Träume, und ich will dir sagen, wie es um dein Inneres steht.«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kleine Schrift von </w:t>
      </w:r>
      <w:r w:rsidRPr="00A06A59">
        <w:rPr>
          <w:rFonts w:ascii="Garamond" w:hAnsi="Garamond" w:cs="Arial"/>
          <w:i/>
          <w:iCs/>
          <w:color w:val="000000"/>
          <w:lang w:val="en-GB"/>
        </w:rPr>
        <w:t>Hildebrandt</w:t>
      </w:r>
      <w:r w:rsidRPr="00A06A59">
        <w:rPr>
          <w:rFonts w:ascii="Garamond" w:hAnsi="Garamond" w:cs="Arial"/>
          <w:color w:val="000000"/>
          <w:lang w:val="en-GB"/>
        </w:rPr>
        <w:t xml:space="preserve">, der ich bereits so zahlreiche Zitate entnommen habe, der formvollendetste und gedankenreichste Beitrag zur Erforschung der Traumprobleme, den ich in der Literatur gefunden, rückt gerade das Problem der Sittlichkeit im Traume in den Mittelpunkt ihres Interesses. Auch für </w:t>
      </w:r>
      <w:r w:rsidRPr="00A06A59">
        <w:rPr>
          <w:rFonts w:ascii="Garamond" w:hAnsi="Garamond" w:cs="Arial"/>
          <w:i/>
          <w:iCs/>
          <w:color w:val="000000"/>
          <w:lang w:val="en-GB"/>
        </w:rPr>
        <w:t>Hildebrandt</w:t>
      </w:r>
      <w:r w:rsidRPr="00A06A59">
        <w:rPr>
          <w:rFonts w:ascii="Garamond" w:hAnsi="Garamond" w:cs="Arial"/>
          <w:color w:val="000000"/>
          <w:lang w:val="en-GB"/>
        </w:rPr>
        <w:t xml:space="preserve"> steht es als Regel fest: Je reiner das Leben, desto reiner der Traum; je unreiner jenes, desto unreiner dieser.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sittliche Natur des Menschen bleibt auch im Traume bestehen: »Aber während kein noch so handgreiflicher Rechnungsfehler, keine noch so romantische Umkehr der Wissenschaft, kein noch so scherzhafter Anachronismus verletzt oder uns auch nur verdächtig wird, so geht uns doch der Unterschied zwischen Gut und Böse, zwischen Recht und Unrecht, zwischen Tugend und Laster nie verloren. Wie vieles auch von dem, was am Tage mit uns geht, in den Schlummerstunden weichen mag – </w:t>
      </w:r>
      <w:r w:rsidRPr="00A06A59">
        <w:rPr>
          <w:rFonts w:ascii="Garamond" w:hAnsi="Garamond" w:cs="Arial"/>
          <w:i/>
          <w:iCs/>
          <w:color w:val="000000"/>
          <w:lang w:val="en-GB"/>
        </w:rPr>
        <w:t>Kants</w:t>
      </w:r>
      <w:r w:rsidRPr="00A06A59">
        <w:rPr>
          <w:rFonts w:ascii="Garamond" w:hAnsi="Garamond" w:cs="Arial"/>
          <w:color w:val="000000"/>
          <w:lang w:val="en-GB"/>
        </w:rPr>
        <w:t xml:space="preserve"> kategorischer Imperativ hat sich als untrennbarer Begleiter so an unsere Fersen geheftet, daß wir ihn auch schlafend nicht loswerden. ... Erklären aber läßt sich (diese Tatsache) eben nur daraus, daß das Fundamentale der Menschennatur, das sittliche Wesen, zu fest gefügt ist, um an der Wirkung der kaleidoskopischen Durchschüttelung teilzunehmen, welcher Phantasie, Verstand, Gedächtnis und sonstige Fakultäten gleichen Ranges im Traume unterliegen.« (S. 45 u. ff.)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der weiteren Diskussion des Gegenstandes sind nun merkwürdige Verschiebungen und Inkonsequenzen bei beiden Gruppen von Autoren hervorgetreten. Strenggenommen wäre für alle diejenigen, welche meinen, im Traum zerfalle die sittliche Persönlichkeit des Menschen, das Interesse an den unmoralischen Träumen mit dieser Erklärung zu Ende. Sie könnten den Versuch, den Träumer für seine Träume verantwortlich zu machen, aus der Schlechtigkeit seiner Träume auf eine böse Regung in seiner Natur zu schließen, mit derselben Ruhe ablehnen wie den anscheinend gleichwertigen Versuch, aus der Absurdität seiner Träume die Wertlosigkeit seiner intellektuellen Leistungen im Wachen zu erweisen. Die anderen, für die sich »der kategorische Imperativ« auch in den Traum erstreckt, hätten die Verantwortlichkeit für unmoralische Träume ohne Einschränkung anzunehmen; es wäre ihnen nur zu wünschen, daß eigene Träume von solch verwerflicher Art sie nicht an der sonst festgehaltenen Wertschätzung der eigenen Sittlichkeit irremachen müßten.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Nun scheint es aber, daß niemand von sich selbst so recht sicher weiß, inwieweit er gut oder böse ist, und daß niemand die Erinnerung an eigene unmoralische Träume verleugnen kann. Denn über jenen Gegensatz in der Beurteilung der Traummoralität hinweg zeigen sich bei den Autoren beider Gruppen Bemühungen, die Herkunft der unsittlichen Träume aufzuklären, und es entwickelt sich ein neuer Gegensatz, je nachdem deren Ursprung in den Funktionen des psychischen Lebens oder in somatisch bedingten Beeinträchtigungen desselben gesucht wird. Die zwingende Gewalt der Tatsächlichkeit läßt dann Vertreter der Verantwortlichkeit wie der Unverantwortlichkeit des Traumlebens in der Anerkennung einer besonderen psychischen Quelle für die Immoralität der Träume zusammentreffen.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Alle die, welche die Sittlichkeit im Traume fortbestehen lassen, hüten sich doch davor, die volle Verantwortlichkeit für ihre Träume zu übernehmen. </w:t>
      </w:r>
      <w:r w:rsidRPr="00A06A59">
        <w:rPr>
          <w:rFonts w:ascii="Garamond" w:hAnsi="Garamond" w:cs="Arial"/>
          <w:i/>
          <w:iCs/>
          <w:color w:val="000000"/>
          <w:lang w:val="en-GB"/>
        </w:rPr>
        <w:t>Haffner</w:t>
      </w:r>
      <w:r w:rsidRPr="00A06A59">
        <w:rPr>
          <w:rFonts w:ascii="Garamond" w:hAnsi="Garamond" w:cs="Arial"/>
          <w:color w:val="000000"/>
          <w:lang w:val="en-GB"/>
        </w:rPr>
        <w:t xml:space="preserve"> sagt (S. 24): »Wir sind für Träume nicht verantwortlich, weil unserem Denken und Wollen die Basis entrückt ist, auf welcher unser Leben allein Wahrheit und Wirklichkeit hat... Es kann eben darum kein Traumwollen und Traumhandeln Tugend oder Sünde sein.« Doch ist der Mensch für den sündhaften Traum verantwortlich, sofern er ihn indirekt verursacht. Es erwächst für ihn die Pflicht, wie im Wachen, so ganz besonders vor dem Schlafengehen seine Seele sittlich zu reinigen.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Viel tiefer reicht die Analyse dieses Gemenges von Ablehnung und von Anerkennung der Verantwortlichkeit für den sittlichen Inhalt der Träume bei </w:t>
      </w:r>
      <w:r w:rsidRPr="00A06A59">
        <w:rPr>
          <w:rFonts w:ascii="Garamond" w:hAnsi="Garamond" w:cs="Arial"/>
          <w:i/>
          <w:iCs/>
          <w:color w:val="000000"/>
          <w:lang w:val="en-GB"/>
        </w:rPr>
        <w:t>Hildebrandt</w:t>
      </w:r>
      <w:r w:rsidRPr="00A06A59">
        <w:rPr>
          <w:rFonts w:ascii="Garamond" w:hAnsi="Garamond" w:cs="Arial"/>
          <w:color w:val="000000"/>
          <w:lang w:val="en-GB"/>
        </w:rPr>
        <w:t>. Nachdem er ausgeführt, daß die dramatische Darstellungsweise des Traumes, die Zusammendrängung der kompliziertesten Überlegungsvorgänge in das kleinste Zeiträumchen, und die auch von ihm zugestandene Entwertung und Vermengung der Vorstellungselemente im Traume gegen den unsittlichen Anschein der Träume in Abzug gebracht werden muß, gesteht er, daß es doch den ernstesten Bedenken unterliege, alle Verantwortung für Traumsünden und Schulden schlechthin zu leugnen.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 49): »Wenn wir irgendeine ungerechte Anklage, namentlich eine solche, die sich auf unsere Absichten und Gesinnungen bezieht, recht entschieden zurückweisen wollen, so gebrauchen wir wohl die Redensart: Das sei uns nicht im Traume eingefallen. Damit sprechen wir allerdings einerseits aus, daß wir das Traumgebiet für das fernste und letzte halten, auf welchem wir für unsere Gedanken einzustehen hätten, weil dort diese Gedanken mit unserem wirklichen Wesen nur so lose und locker zusammenhängen, daß sie kaum noch als die unsrigen betrachtet werden dürfen; aber indem wir eben auch auf diesem Gebiete das Vorhandensein solcher Gedanken ausdrücklich zu leugnen uns veranlaßt fühlen, so geben wir doch indirekt damit zugleich zu, daß unsere Rechtfertigung nicht vollkommen sein </w:t>
      </w:r>
      <w:r w:rsidRPr="00A06A59">
        <w:rPr>
          <w:rFonts w:ascii="Garamond" w:hAnsi="Garamond" w:cs="Arial"/>
          <w:color w:val="000000"/>
          <w:lang w:val="en-GB"/>
        </w:rPr>
        <w:lastRenderedPageBreak/>
        <w:t>würde, wenn sie nicht bis dort hinüber reichte. Und ich glaube, wir reden hier, wenn auch unbewußt, die Sprache der Wahrheit.«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(S. 52): »Es läßt sich nämlich keine Traumtat denken, deren erstes Motiv nicht irgendwie als Wunsch, Gelüste, Regung vorher durch die Seele des Wachenden gezogen wäre.« Von dieser ersten Regung müsse man sagen: Der Traum erfand es nicht – er bildete es nur nach und spann's nur aus, er bearbeitete nur ein Quentlein historischen Stoffes, das er bei uns vorgefunden hatte, in dramatischer Form; er setzte das Wort des Apostels in Szene: Wer seinen Bruder haßt, der ist ein Totschläger. Und während man das ganze, breit ausgeführte Gebilde des lasterhaften Traums nach dem Erwachen, seiner sittlichen Stärke bewußt, belächeln kann, so will jener ursprüngliche Bildungsstoff sich doch keine lächerliche Seite abgewinnen lassen. Man fühlt sich für die Verirrungen des Träumenden verantwortlich, nicht für die ganze Summe, aber doch für einen gewissen Prozentsatz. »Kurz, verstehen wir in diesem schwer anzufechtenden Sinne das Wort Christi: Aus dem Herzen kommen arge Gedanken – dann können wir auch kaum der Überzeugung uns erwehren, daß jede im Traum begangene Sünde ein dunkles Minimum wenigstens von Schuld mit sich führe.«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den Keimen und Andeutungen böser Regungen, die als Versuchungsgedanken tagsüber durch unsere Seelen ziehen, findet also </w:t>
      </w:r>
      <w:r w:rsidRPr="00A06A59">
        <w:rPr>
          <w:rFonts w:ascii="Garamond" w:hAnsi="Garamond" w:cs="Arial"/>
          <w:i/>
          <w:iCs/>
          <w:color w:val="000000"/>
          <w:lang w:val="en-GB"/>
        </w:rPr>
        <w:t>Hildebrandt</w:t>
      </w:r>
      <w:r w:rsidRPr="00A06A59">
        <w:rPr>
          <w:rFonts w:ascii="Garamond" w:hAnsi="Garamond" w:cs="Arial"/>
          <w:color w:val="000000"/>
          <w:lang w:val="en-GB"/>
        </w:rPr>
        <w:t xml:space="preserve"> die Quelle für die Immoralität der Träume, und er steht nicht an, diese immoralischen Elemente bei der sittlichen Wertschätzung der Persönlichkeit einzurechnen. Es sind dieselben Gedanken und die nämliche Schätzung derselben, welche, wie wir wissen, die Frommen und Heiligen zu allen Zeiten klagen ließ, sie seien arge Sünder </w:t>
      </w:r>
      <w:hyperlink r:id="rId3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Es ist nicht ohne Interesse zu erfahren, wie sich die heilige Inquisition zu unserem Problem gestellt. Im </w:t>
        </w:r>
        <w:r w:rsidRPr="00A06A59">
          <w:rPr>
            <w:rStyle w:val="innerfusslink3"/>
            <w:rFonts w:ascii="Garamond" w:hAnsi="Garamond" w:cs="Arial"/>
            <w:b/>
            <w:bCs/>
            <w:i/>
            <w:iCs/>
            <w:lang w:val="en-GB"/>
          </w:rPr>
          <w:t>Tractatus de Officio sanctissimae Inquisitionis</w:t>
        </w:r>
        <w:r w:rsidRPr="00A06A59">
          <w:rPr>
            <w:rStyle w:val="innerfusslink3"/>
            <w:rFonts w:ascii="Garamond" w:hAnsi="Garamond" w:cs="Arial"/>
            <w:b/>
            <w:bCs/>
            <w:lang w:val="en-GB"/>
          </w:rPr>
          <w:t xml:space="preserve"> des Thomas Careña, 1659, ist folgende Stelle: »Spricht jemand im Traum Ketzereien aus, so sollen die Inquisitoren daraus Anlaß nehmen, seine Lebensführung zu untersuchen, denn im Schlafe pflegt das wiederzukommen, was unter Tags jemand beschäftigt hat.« (Dr. Ehniger, S. Urban, Schweiz.)</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Aus dem allgemeinen Vorkommen dieser </w:t>
      </w:r>
      <w:r w:rsidRPr="00A06A59">
        <w:rPr>
          <w:rFonts w:ascii="Garamond" w:hAnsi="Garamond" w:cs="Arial"/>
          <w:i/>
          <w:iCs/>
          <w:color w:val="000000"/>
          <w:lang w:val="en-GB"/>
        </w:rPr>
        <w:t>kontrastierenden</w:t>
      </w:r>
      <w:r w:rsidRPr="00A06A59">
        <w:rPr>
          <w:rFonts w:ascii="Garamond" w:hAnsi="Garamond" w:cs="Arial"/>
          <w:color w:val="000000"/>
          <w:lang w:val="en-GB"/>
        </w:rPr>
        <w:t xml:space="preserve"> Vorstellungen – bei den meisten Menschen und auch auf anderem als ethischem Gebiete – besteht wohl kein Zweifel. Die Beurteilung derselben ist gelegentlich eine minder ernsthafte gewesen. Bei </w:t>
      </w:r>
      <w:r w:rsidRPr="00A06A59">
        <w:rPr>
          <w:rFonts w:ascii="Garamond" w:hAnsi="Garamond" w:cs="Arial"/>
          <w:i/>
          <w:iCs/>
          <w:color w:val="000000"/>
          <w:lang w:val="en-GB"/>
        </w:rPr>
        <w:t>Spitta</w:t>
      </w:r>
      <w:r w:rsidRPr="00A06A59">
        <w:rPr>
          <w:rFonts w:ascii="Garamond" w:hAnsi="Garamond" w:cs="Arial"/>
          <w:color w:val="000000"/>
          <w:lang w:val="en-GB"/>
        </w:rPr>
        <w:t xml:space="preserve"> findet sich folgende hieher gehörige Äußerung von A. </w:t>
      </w:r>
      <w:r w:rsidRPr="00A06A59">
        <w:rPr>
          <w:rFonts w:ascii="Garamond" w:hAnsi="Garamond" w:cs="Arial"/>
          <w:i/>
          <w:iCs/>
          <w:color w:val="000000"/>
          <w:lang w:val="en-GB"/>
        </w:rPr>
        <w:t>Zeller</w:t>
      </w:r>
      <w:r w:rsidRPr="00A06A59">
        <w:rPr>
          <w:rFonts w:ascii="Garamond" w:hAnsi="Garamond" w:cs="Arial"/>
          <w:color w:val="000000"/>
          <w:lang w:val="en-GB"/>
        </w:rPr>
        <w:t xml:space="preserve"> (Artikel » </w:t>
      </w:r>
      <w:r w:rsidRPr="00A06A59">
        <w:rPr>
          <w:rFonts w:ascii="Garamond" w:hAnsi="Garamond" w:cs="Arial"/>
          <w:i/>
          <w:iCs/>
          <w:color w:val="000000"/>
          <w:lang w:val="en-GB"/>
        </w:rPr>
        <w:t>Irre</w:t>
      </w:r>
      <w:r w:rsidRPr="00A06A59">
        <w:rPr>
          <w:rFonts w:ascii="Garamond" w:hAnsi="Garamond" w:cs="Arial"/>
          <w:color w:val="000000"/>
          <w:lang w:val="en-GB"/>
        </w:rPr>
        <w:t xml:space="preserve">« in der Allgemeinen Enzyklpädie der Wissenschaften von </w:t>
      </w:r>
      <w:r w:rsidRPr="00A06A59">
        <w:rPr>
          <w:rFonts w:ascii="Garamond" w:hAnsi="Garamond" w:cs="Arial"/>
          <w:i/>
          <w:iCs/>
          <w:color w:val="000000"/>
          <w:lang w:val="en-GB"/>
        </w:rPr>
        <w:t>Ersch</w:t>
      </w:r>
      <w:r w:rsidRPr="00A06A59">
        <w:rPr>
          <w:rFonts w:ascii="Garamond" w:hAnsi="Garamond" w:cs="Arial"/>
          <w:color w:val="000000"/>
          <w:lang w:val="en-GB"/>
        </w:rPr>
        <w:t xml:space="preserve"> und </w:t>
      </w:r>
      <w:r w:rsidRPr="00A06A59">
        <w:rPr>
          <w:rFonts w:ascii="Garamond" w:hAnsi="Garamond" w:cs="Arial"/>
          <w:i/>
          <w:iCs/>
          <w:color w:val="000000"/>
          <w:lang w:val="en-GB"/>
        </w:rPr>
        <w:t>Gruber</w:t>
      </w:r>
      <w:r w:rsidRPr="00A06A59">
        <w:rPr>
          <w:rFonts w:ascii="Garamond" w:hAnsi="Garamond" w:cs="Arial"/>
          <w:color w:val="000000"/>
          <w:lang w:val="en-GB"/>
        </w:rPr>
        <w:t>) zitiert (S. 194): »So glücklich ist selten ein Geist organisiert, daß er zu allen Zeiten volle Macht besäße und nicht immer wieder nicht allein unwesentliche, sondern auch völlig fratzenhafte und widersinnige Vorstellungen den stetigen, klaren Gang seiner Gedanken unterbrächen, ja die größten Denker haben sich über dieses traumartige, neckende und peinliche Gesindel von Vorstellungen zu beklagen gehabt, da es ihre tiefsten Betrachtungen und ihre heiligste und ernsthafteste Gedankenarbeit stört.«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helleres Licht fällt auf die psychologische Stellung dieser Kontrastgedanken aus einer weiteren Bemerkung von </w:t>
      </w:r>
      <w:r w:rsidRPr="00A06A59">
        <w:rPr>
          <w:rFonts w:ascii="Garamond" w:hAnsi="Garamond" w:cs="Arial"/>
          <w:i/>
          <w:iCs/>
          <w:color w:val="000000"/>
          <w:lang w:val="en-GB"/>
        </w:rPr>
        <w:t>Hildebrandt</w:t>
      </w:r>
      <w:r w:rsidRPr="00A06A59">
        <w:rPr>
          <w:rFonts w:ascii="Garamond" w:hAnsi="Garamond" w:cs="Arial"/>
          <w:color w:val="000000"/>
          <w:lang w:val="en-GB"/>
        </w:rPr>
        <w:t xml:space="preserve">, daß der Traum uns wohl bisweilen in Tiefen und Falten unseres Wesens blicken lasse, die uns im Zustand des Wachens meist verschlossen bleiben (S. 55). Dieselbe Erkenntnis verrät Kant an einer Stelle der </w:t>
      </w:r>
      <w:r w:rsidRPr="00A06A59">
        <w:rPr>
          <w:rFonts w:ascii="Garamond" w:hAnsi="Garamond" w:cs="Arial"/>
          <w:i/>
          <w:iCs/>
          <w:color w:val="000000"/>
          <w:lang w:val="en-GB"/>
        </w:rPr>
        <w:t>Anthropologie</w:t>
      </w:r>
      <w:r w:rsidRPr="00A06A59">
        <w:rPr>
          <w:rFonts w:ascii="Garamond" w:hAnsi="Garamond" w:cs="Arial"/>
          <w:color w:val="000000"/>
          <w:lang w:val="en-GB"/>
        </w:rPr>
        <w:t xml:space="preserve">, wenn er meint, der Traum sei wohl dazu da, um uns die verborgenen Anlagen zu entdecken und uns zu offenbaren, nicht was wir sind, sondern was wir hätten werden können, wenn wir eine andere Erziehung gehabt hätten; </w:t>
      </w:r>
      <w:r w:rsidRPr="00A06A59">
        <w:rPr>
          <w:rFonts w:ascii="Garamond" w:hAnsi="Garamond" w:cs="Arial"/>
          <w:i/>
          <w:iCs/>
          <w:color w:val="000000"/>
          <w:lang w:val="en-GB"/>
        </w:rPr>
        <w:t>Radestock</w:t>
      </w:r>
      <w:r w:rsidRPr="00A06A59">
        <w:rPr>
          <w:rFonts w:ascii="Garamond" w:hAnsi="Garamond" w:cs="Arial"/>
          <w:color w:val="000000"/>
          <w:lang w:val="en-GB"/>
        </w:rPr>
        <w:t xml:space="preserve"> (S. 84) mit den Worten, daß der Traum uns oft nur offenbart, was wir uns nicht gestehen wollen, und daß wir ihn darum mit Unrecht einen Lügner und Betrüger schelten. J. E. </w:t>
      </w:r>
      <w:r w:rsidRPr="00A06A59">
        <w:rPr>
          <w:rFonts w:ascii="Garamond" w:hAnsi="Garamond" w:cs="Arial"/>
          <w:i/>
          <w:iCs/>
          <w:color w:val="000000"/>
          <w:lang w:val="en-GB"/>
        </w:rPr>
        <w:t>Erdmann</w:t>
      </w:r>
      <w:r w:rsidRPr="00A06A59">
        <w:rPr>
          <w:rFonts w:ascii="Garamond" w:hAnsi="Garamond" w:cs="Arial"/>
          <w:color w:val="000000"/>
          <w:lang w:val="en-GB"/>
        </w:rPr>
        <w:t xml:space="preserve"> äußert: »Mir hat nie ein Traum offenbart, was von einem Menschen zu halten sei, allein was ich von ihm halte und wie ich hinsichtlich seiner gesinnt bin, das habe ich bereits einigemal aus einem Traume gelernt zu meiner eigenen großen Überraschung.« Und ähnlich meint J. H. </w:t>
      </w:r>
      <w:r w:rsidRPr="00A06A59">
        <w:rPr>
          <w:rFonts w:ascii="Garamond" w:hAnsi="Garamond" w:cs="Arial"/>
          <w:i/>
          <w:iCs/>
          <w:color w:val="000000"/>
          <w:lang w:val="en-GB"/>
        </w:rPr>
        <w:t>Fichte</w:t>
      </w:r>
      <w:r w:rsidRPr="00A06A59">
        <w:rPr>
          <w:rFonts w:ascii="Garamond" w:hAnsi="Garamond" w:cs="Arial"/>
          <w:color w:val="000000"/>
          <w:lang w:val="en-GB"/>
        </w:rPr>
        <w:t xml:space="preserve">: »Der Charakter unserer Träume bleibt ein weit treuerer Spiegel unserer Gesamtstimmung, als was wir davon durch die Selbstbeobachtung des Wachens erfahren.« Wir werden aufmerksam gemacht, daß das Auftauchen dieser unserem sittlichen Bewußtsein fremden Antriebe nur analog ist zu der uns bereits bekannten Verfügung des Traumes über anderes Vorstellungsmaterial, welches dem Wachen fehlt oder darin eine geringfügige Rolle spielt, durch Bemerkungen, wie die von </w:t>
      </w:r>
      <w:r w:rsidRPr="00A06A59">
        <w:rPr>
          <w:rFonts w:ascii="Garamond" w:hAnsi="Garamond" w:cs="Arial"/>
          <w:i/>
          <w:iCs/>
          <w:color w:val="000000"/>
          <w:lang w:val="en-GB"/>
        </w:rPr>
        <w:t>Benini</w:t>
      </w:r>
      <w:r w:rsidRPr="00A06A59">
        <w:rPr>
          <w:rFonts w:ascii="Garamond" w:hAnsi="Garamond" w:cs="Arial"/>
          <w:color w:val="000000"/>
          <w:lang w:val="en-GB"/>
        </w:rPr>
        <w:t xml:space="preserve">: » </w:t>
      </w:r>
      <w:r w:rsidRPr="00A06A59">
        <w:rPr>
          <w:rFonts w:ascii="Garamond" w:hAnsi="Garamond" w:cs="Arial"/>
          <w:i/>
          <w:iCs/>
          <w:color w:val="000000"/>
          <w:lang w:val="en-GB"/>
        </w:rPr>
        <w:t>Certe nostre inclinazioni che si credevano soffocate e spente da un pezzo, si ridestano; passioni vecchie e sepolte rivivono; cose e persone a cui non pensiamo mai, ci vengono dinanzi</w:t>
      </w:r>
      <w:r w:rsidRPr="00A06A59">
        <w:rPr>
          <w:rFonts w:ascii="Garamond" w:hAnsi="Garamond" w:cs="Arial"/>
          <w:color w:val="000000"/>
          <w:lang w:val="en-GB"/>
        </w:rPr>
        <w:t xml:space="preserve">« (p. 149), und von </w:t>
      </w:r>
      <w:r w:rsidRPr="00A06A59">
        <w:rPr>
          <w:rFonts w:ascii="Garamond" w:hAnsi="Garamond" w:cs="Arial"/>
          <w:i/>
          <w:iCs/>
          <w:color w:val="000000"/>
          <w:lang w:val="en-GB"/>
        </w:rPr>
        <w:t>Volkelt</w:t>
      </w:r>
      <w:r w:rsidRPr="00A06A59">
        <w:rPr>
          <w:rFonts w:ascii="Garamond" w:hAnsi="Garamond" w:cs="Arial"/>
          <w:color w:val="000000"/>
          <w:lang w:val="en-GB"/>
        </w:rPr>
        <w:t xml:space="preserve">: »Auch Vorstellungen, die in das wache Bewußtsein fast unbeachtet eingegangen sind und von ihm vielleicht nie wieder der Vergessenheit entzogen würden, pflegen sehr häufig dem Traum ihre Anwesenheit in der Seele kundzutun« (S. 105). Endlich ist es hier am Platze, uns zu erinnern, daß nach Schleiermacher schon das Einschlafen vom Hervortreten </w:t>
      </w:r>
      <w:r w:rsidRPr="00A06A59">
        <w:rPr>
          <w:rFonts w:ascii="Garamond" w:hAnsi="Garamond" w:cs="Arial"/>
          <w:i/>
          <w:iCs/>
          <w:color w:val="000000"/>
          <w:lang w:val="en-GB"/>
        </w:rPr>
        <w:t>ungewollter</w:t>
      </w:r>
      <w:r w:rsidRPr="00A06A59">
        <w:rPr>
          <w:rFonts w:ascii="Garamond" w:hAnsi="Garamond" w:cs="Arial"/>
          <w:color w:val="000000"/>
          <w:lang w:val="en-GB"/>
        </w:rPr>
        <w:t xml:space="preserve"> Vorstellungen (Bilder) begleitet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Als » </w:t>
      </w:r>
      <w:r w:rsidRPr="00A06A59">
        <w:rPr>
          <w:rFonts w:ascii="Garamond" w:hAnsi="Garamond" w:cs="Arial"/>
          <w:i/>
          <w:iCs/>
          <w:color w:val="000000"/>
          <w:lang w:val="en-GB"/>
        </w:rPr>
        <w:t>ungewollte Vorstellungen</w:t>
      </w:r>
      <w:r w:rsidRPr="00A06A59">
        <w:rPr>
          <w:rFonts w:ascii="Garamond" w:hAnsi="Garamond" w:cs="Arial"/>
          <w:color w:val="000000"/>
          <w:lang w:val="en-GB"/>
        </w:rPr>
        <w:t>« dürfen wir nun dies ganze Vorstellungsmaterial zusammenfassen, dessen Vorkommen in den unmoralischen wie in den absurden Träumen unser Befremden erregt. Ein wichtiger Unterschied liegt nur darin, daß die ungewollten Vorstellungen auf sittlichem Gebiet den Gegensatz zu unserem sonstigen Empfinden erkennen lassen, während die anderen uns bloß fremdartig erscheinen. Es ist bisher kein Schritt geschehen, der uns ermöglichte, diese Verschiedenheit durch tiefer gehende Erkenntnis aufzuheben.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Welche Bedeutung hat nun das Hervortreten ungewollter Vorstellungen im Traume, welche Schlüsse für die Psychologie der wachenden und der träumenden Seele lassen sich aus diesem nächtlichen Auftauchen kontrastierender ethischer Regungen ableiten? Hier ist eine neue Meinungsverschiedenheit und eine abermals verschiedene Gruppierung der Autoren zu verzeichnen. Den Gedankengang von </w:t>
      </w:r>
      <w:r w:rsidRPr="00A06A59">
        <w:rPr>
          <w:rFonts w:ascii="Garamond" w:hAnsi="Garamond" w:cs="Arial"/>
          <w:i/>
          <w:iCs/>
          <w:color w:val="000000"/>
          <w:lang w:val="en-GB"/>
        </w:rPr>
        <w:t>Hildebrandt</w:t>
      </w:r>
      <w:r w:rsidRPr="00A06A59">
        <w:rPr>
          <w:rFonts w:ascii="Garamond" w:hAnsi="Garamond" w:cs="Arial"/>
          <w:color w:val="000000"/>
          <w:lang w:val="en-GB"/>
        </w:rPr>
        <w:t xml:space="preserve"> und anderen Vertretern seiner Grundansicht kann man wohl nicht anderswohin fortsetzen, als daß den unmoralischen Regungen auch im Wachen eine gewisse Macht innewohne, die zwar gehemmt ist, bis zur Tat vorzudringen, und daß im Schlaf etwas wegfalle, was, gleichfalls wie eine Hemmung wirksam, uns gehindert habe, die Existenz dieser Regung zu bemerken. Der Traum zeigte so das wirkliche, wenn auch nicht das ganze Wesen des Menschen und gehörte zu den Mitteln, das verborgene Seeleninnere für unsere Kenntnis zugänglich zu machen. Nur von solchen Voraussetzungen her kann </w:t>
      </w:r>
      <w:r w:rsidRPr="00A06A59">
        <w:rPr>
          <w:rFonts w:ascii="Garamond" w:hAnsi="Garamond" w:cs="Arial"/>
          <w:i/>
          <w:iCs/>
          <w:color w:val="000000"/>
          <w:lang w:val="en-GB"/>
        </w:rPr>
        <w:t>Hildebrandt</w:t>
      </w:r>
      <w:r w:rsidRPr="00A06A59">
        <w:rPr>
          <w:rFonts w:ascii="Garamond" w:hAnsi="Garamond" w:cs="Arial"/>
          <w:color w:val="000000"/>
          <w:lang w:val="en-GB"/>
        </w:rPr>
        <w:t xml:space="preserve"> dem Traum die Rolle eines </w:t>
      </w:r>
      <w:r w:rsidRPr="00A06A59">
        <w:rPr>
          <w:rFonts w:ascii="Garamond" w:hAnsi="Garamond" w:cs="Arial"/>
          <w:i/>
          <w:iCs/>
          <w:color w:val="000000"/>
          <w:lang w:val="en-GB"/>
        </w:rPr>
        <w:t>Warners</w:t>
      </w:r>
      <w:r w:rsidRPr="00A06A59">
        <w:rPr>
          <w:rFonts w:ascii="Garamond" w:hAnsi="Garamond" w:cs="Arial"/>
          <w:color w:val="000000"/>
          <w:lang w:val="en-GB"/>
        </w:rPr>
        <w:t xml:space="preserve"> zuweisen, der uns auf verborgene sittliche Schäden unserer Seele aufmerksam macht, wie er nach dem Zugeständnis der Ärzte auch bisher unbemerkte körperliche Leiden dem Bewußtsein verkünden kann. Und auch </w:t>
      </w:r>
      <w:r w:rsidRPr="00A06A59">
        <w:rPr>
          <w:rFonts w:ascii="Garamond" w:hAnsi="Garamond" w:cs="Arial"/>
          <w:i/>
          <w:iCs/>
          <w:color w:val="000000"/>
          <w:lang w:val="en-GB"/>
        </w:rPr>
        <w:t>Spitta</w:t>
      </w:r>
      <w:r w:rsidRPr="00A06A59">
        <w:rPr>
          <w:rFonts w:ascii="Garamond" w:hAnsi="Garamond" w:cs="Arial"/>
          <w:color w:val="000000"/>
          <w:lang w:val="en-GB"/>
        </w:rPr>
        <w:t xml:space="preserve"> kann von keiner anderen Auffassung geleitet sein, wenn er auf die Erregungsquellen hinweist, die z. B. zur Zeit der Pubertät der Psyche zufließen, und den Träumer tröstet, er habe alles getan, was in seinen Kräften steht, wenn er im Wachen einen streng tugendhaften Lebenswandel geführt und sich bemüht, die sündigen Gedanken, sooft sie kommen, zu unterdrücken, sie nicht reifen und zur Tat werden zu lassen. Nach dieser Auffassung könnten wir die » </w:t>
      </w:r>
      <w:r w:rsidRPr="00A06A59">
        <w:rPr>
          <w:rFonts w:ascii="Garamond" w:hAnsi="Garamond" w:cs="Arial"/>
          <w:i/>
          <w:iCs/>
          <w:color w:val="000000"/>
          <w:lang w:val="en-GB"/>
        </w:rPr>
        <w:t>ungewollten</w:t>
      </w:r>
      <w:r w:rsidRPr="00A06A59">
        <w:rPr>
          <w:rFonts w:ascii="Garamond" w:hAnsi="Garamond" w:cs="Arial"/>
          <w:color w:val="000000"/>
          <w:lang w:val="en-GB"/>
        </w:rPr>
        <w:t xml:space="preserve">« Vorstellungen als die während des Tages » </w:t>
      </w:r>
      <w:r w:rsidRPr="00A06A59">
        <w:rPr>
          <w:rFonts w:ascii="Garamond" w:hAnsi="Garamond" w:cs="Arial"/>
          <w:i/>
          <w:iCs/>
          <w:color w:val="000000"/>
          <w:lang w:val="en-GB"/>
        </w:rPr>
        <w:t>unterdrückten</w:t>
      </w:r>
      <w:r w:rsidRPr="00A06A59">
        <w:rPr>
          <w:rFonts w:ascii="Garamond" w:hAnsi="Garamond" w:cs="Arial"/>
          <w:color w:val="000000"/>
          <w:lang w:val="en-GB"/>
        </w:rPr>
        <w:t>« bezeichnen und müßten in ihrem Auftauchen ein echtes psychisches Phänomen erblicken.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Nach anderen Autoren hätten wir kein Recht zu letzterer Folgerung. Für </w:t>
      </w:r>
      <w:r w:rsidRPr="00A06A59">
        <w:rPr>
          <w:rFonts w:ascii="Garamond" w:hAnsi="Garamond" w:cs="Arial"/>
          <w:i/>
          <w:iCs/>
          <w:color w:val="000000"/>
          <w:lang w:val="en-GB"/>
        </w:rPr>
        <w:t>Jessen</w:t>
      </w:r>
      <w:r w:rsidRPr="00A06A59">
        <w:rPr>
          <w:rFonts w:ascii="Garamond" w:hAnsi="Garamond" w:cs="Arial"/>
          <w:color w:val="000000"/>
          <w:lang w:val="en-GB"/>
        </w:rPr>
        <w:t xml:space="preserve"> stellen die ungewollten Vorstellungen im Traume wie im Wachen und in Fieber- und anderen Delirien »den Charakter einer zur Ruhe gelegten Willenstätigkeit und eines </w:t>
      </w:r>
      <w:r w:rsidRPr="00A06A59">
        <w:rPr>
          <w:rFonts w:ascii="Garamond" w:hAnsi="Garamond" w:cs="Arial"/>
          <w:i/>
          <w:iCs/>
          <w:color w:val="000000"/>
          <w:lang w:val="en-GB"/>
        </w:rPr>
        <w:t>gewissermaßen mechanischen</w:t>
      </w:r>
      <w:r w:rsidRPr="00A06A59">
        <w:rPr>
          <w:rFonts w:ascii="Garamond" w:hAnsi="Garamond" w:cs="Arial"/>
          <w:color w:val="000000"/>
          <w:lang w:val="en-GB"/>
        </w:rPr>
        <w:t xml:space="preserve"> Prozesses von Bildern und Vorstellungen durch innere Bewegungen dar« (S. 360). Ein unmoralischer Traum beweise weiter nichts für das Seelenleben des Träumers, als daß dieser von dem betreffenden Vorstellungsinhalt irgendwie einmal Kenntnis gewonnen habe, gewiß nicht eine ihm eigene Seelenregung. Bei einem anderen Autor, </w:t>
      </w:r>
      <w:r w:rsidRPr="00A06A59">
        <w:rPr>
          <w:rFonts w:ascii="Garamond" w:hAnsi="Garamond" w:cs="Arial"/>
          <w:i/>
          <w:iCs/>
          <w:color w:val="000000"/>
          <w:lang w:val="en-GB"/>
        </w:rPr>
        <w:t>Maury</w:t>
      </w:r>
      <w:r w:rsidRPr="00A06A59">
        <w:rPr>
          <w:rFonts w:ascii="Garamond" w:hAnsi="Garamond" w:cs="Arial"/>
          <w:color w:val="000000"/>
          <w:lang w:val="en-GB"/>
        </w:rPr>
        <w:t xml:space="preserve">, könnte man in Zweifel geraten, ob nicht auch er dem Traumzustand die Fähigkeit zuschreibt, die seelische Tätigkeit nach ihren Komponenten zu zerlegen, anstatt sie planlos zu zerstören. </w:t>
      </w:r>
      <w:r w:rsidRPr="00A06A59">
        <w:rPr>
          <w:rFonts w:ascii="Garamond" w:hAnsi="Garamond" w:cs="Arial"/>
          <w:color w:val="000000"/>
        </w:rPr>
        <w:t xml:space="preserve">Er sagt von den Träumen, in denen man sich über die Schranken der Moralität hinaussetzt: » </w:t>
      </w:r>
      <w:r w:rsidRPr="00A06A59">
        <w:rPr>
          <w:rFonts w:ascii="Garamond" w:hAnsi="Garamond" w:cs="Arial"/>
          <w:i/>
          <w:iCs/>
          <w:color w:val="000000"/>
        </w:rPr>
        <w:t>Ce sont nos penchants qui parlent et qui nous font agir, sans que la conscience nous retienne, bien que parfois elle nous avertisse. J'ai mes défauts et mes penchants vicieux; à l'état de veille, je tâche de lutter contre eux, et il m'arrive assez souvent de n'y pas succomber. Mais dans mes songes j'y succombe toujours ou pour mieux dire j'agis par leur impulsion, sans crainte et sans remords. ... Evidemment les visions qui se déroulent devant ma pensée et qui constituent le rêve, me sont suggérées par les incitations que je ressens et que ma volonté absente ne cherche pas à refouler.</w:t>
      </w:r>
      <w:r w:rsidRPr="00A06A59">
        <w:rPr>
          <w:rFonts w:ascii="Garamond" w:hAnsi="Garamond" w:cs="Arial"/>
          <w:color w:val="000000"/>
        </w:rPr>
        <w:t>« (Le sommeil, p. 113.)</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Wenn man an die Fähigkeit des Traumes glaubte, eine wirklich vorhandene, aber unterdrückte oder versteckte unmoralische Disposition des Träumers zu enthüllen, so könnte man dieser Meinung schärferen Ausdruck nicht geben als mit den Worten </w:t>
      </w:r>
      <w:r w:rsidRPr="00A06A59">
        <w:rPr>
          <w:rFonts w:ascii="Garamond" w:hAnsi="Garamond" w:cs="Arial"/>
          <w:i/>
          <w:iCs/>
          <w:color w:val="000000"/>
        </w:rPr>
        <w:t>Maury</w:t>
      </w:r>
      <w:r w:rsidRPr="00A06A59">
        <w:rPr>
          <w:rFonts w:ascii="Garamond" w:hAnsi="Garamond" w:cs="Arial"/>
          <w:color w:val="000000"/>
        </w:rPr>
        <w:t xml:space="preserve">s (p. 165): » </w:t>
      </w:r>
      <w:r w:rsidRPr="00A06A59">
        <w:rPr>
          <w:rFonts w:ascii="Garamond" w:hAnsi="Garamond" w:cs="Arial"/>
          <w:i/>
          <w:iCs/>
          <w:color w:val="000000"/>
        </w:rPr>
        <w:t>En rêve l'homme se révèle donc tout entier à soi-même dans sa nudité et sa misère natives. Dès qu'il suspend l'exercice de sa volonté, il devient le jouet de toutes les passions contre lesquelles, à l'état de veille, la conscience, le sentiment de l'honneur, la crainte nous déjendent.</w:t>
      </w:r>
      <w:r w:rsidRPr="00A06A59">
        <w:rPr>
          <w:rFonts w:ascii="Garamond" w:hAnsi="Garamond" w:cs="Arial"/>
          <w:color w:val="000000"/>
        </w:rPr>
        <w:t xml:space="preserve">« An anderer Stelle findet er das treffende Wort (p. 462): » </w:t>
      </w:r>
      <w:r w:rsidRPr="00A06A59">
        <w:rPr>
          <w:rFonts w:ascii="Garamond" w:hAnsi="Garamond" w:cs="Arial"/>
          <w:i/>
          <w:iCs/>
          <w:color w:val="000000"/>
        </w:rPr>
        <w:t>Dans le songe, c'est surtout l'homme instinetif qui se révèle. ... L'homme revient pour ainsi dire à l'état de nature quand il rêve; mais moins les idées acquises ont pénétré dans son esprit, plus les penchants en désaccord avec elles conservent encore sur lui l'influence dans le rêve.</w:t>
      </w:r>
      <w:r w:rsidRPr="00A06A59">
        <w:rPr>
          <w:rFonts w:ascii="Garamond" w:hAnsi="Garamond" w:cs="Arial"/>
          <w:color w:val="000000"/>
        </w:rPr>
        <w:t xml:space="preserve">« </w:t>
      </w:r>
      <w:r w:rsidRPr="00A06A59">
        <w:rPr>
          <w:rFonts w:ascii="Garamond" w:hAnsi="Garamond" w:cs="Arial"/>
          <w:color w:val="000000"/>
          <w:lang w:val="en-GB"/>
        </w:rPr>
        <w:t>Er führt dann als Beispiel an, daß seine Träume ihn nicht selten als Opfer gerade jenes Aberglaubens zeigen, den er in seinen Schriften am heftigsten bekämpft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Der Wert all dieser scharfsinnigen Bemerkungen für eine psychologische Erkenntnis des Traumlebens wird aber bei </w:t>
      </w:r>
      <w:r w:rsidRPr="00A06A59">
        <w:rPr>
          <w:rFonts w:ascii="Garamond" w:hAnsi="Garamond" w:cs="Arial"/>
          <w:i/>
          <w:iCs/>
          <w:color w:val="000000"/>
          <w:lang w:val="en-GB"/>
        </w:rPr>
        <w:t>Maury</w:t>
      </w:r>
      <w:r w:rsidRPr="00A06A59">
        <w:rPr>
          <w:rFonts w:ascii="Garamond" w:hAnsi="Garamond" w:cs="Arial"/>
          <w:color w:val="000000"/>
          <w:lang w:val="en-GB"/>
        </w:rPr>
        <w:t xml:space="preserve"> dadurch beeinträchtigt, daß er in den von ihm so richtig beobachteten Phänomenen nichts als Beweise für den </w:t>
      </w:r>
      <w:r w:rsidRPr="00A06A59">
        <w:rPr>
          <w:rFonts w:ascii="Garamond" w:hAnsi="Garamond" w:cs="Arial"/>
          <w:i/>
          <w:iCs/>
          <w:color w:val="000000"/>
          <w:lang w:val="en-GB"/>
        </w:rPr>
        <w:t>automatisme psychologique</w:t>
      </w:r>
      <w:r w:rsidRPr="00A06A59">
        <w:rPr>
          <w:rFonts w:ascii="Garamond" w:hAnsi="Garamond" w:cs="Arial"/>
          <w:color w:val="000000"/>
          <w:lang w:val="en-GB"/>
        </w:rPr>
        <w:t xml:space="preserve"> sehen will, der nach ihm das Traumleben beherrscht. </w:t>
      </w:r>
      <w:r w:rsidRPr="00A06A59">
        <w:rPr>
          <w:rFonts w:ascii="Garamond" w:hAnsi="Garamond" w:cs="Arial"/>
          <w:color w:val="000000"/>
        </w:rPr>
        <w:t>Diesen Automatismus faßt er als vollen Gegensatz zur psychischen Tätigkeit.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Stelle in den </w:t>
      </w:r>
      <w:r w:rsidRPr="00A06A59">
        <w:rPr>
          <w:rFonts w:ascii="Garamond" w:hAnsi="Garamond" w:cs="Arial"/>
          <w:i/>
          <w:iCs/>
          <w:color w:val="000000"/>
          <w:lang w:val="en-GB"/>
        </w:rPr>
        <w:t>Studien über das Bewußtsein</w:t>
      </w:r>
      <w:r w:rsidRPr="00A06A59">
        <w:rPr>
          <w:rFonts w:ascii="Garamond" w:hAnsi="Garamond" w:cs="Arial"/>
          <w:color w:val="000000"/>
          <w:lang w:val="en-GB"/>
        </w:rPr>
        <w:t xml:space="preserve"> von </w:t>
      </w:r>
      <w:r w:rsidRPr="00A06A59">
        <w:rPr>
          <w:rFonts w:ascii="Garamond" w:hAnsi="Garamond" w:cs="Arial"/>
          <w:i/>
          <w:iCs/>
          <w:color w:val="000000"/>
          <w:lang w:val="en-GB"/>
        </w:rPr>
        <w:t>Stricker</w:t>
      </w:r>
      <w:r w:rsidRPr="00A06A59">
        <w:rPr>
          <w:rFonts w:ascii="Garamond" w:hAnsi="Garamond" w:cs="Arial"/>
          <w:color w:val="000000"/>
          <w:lang w:val="en-GB"/>
        </w:rPr>
        <w:t xml:space="preserve"> lautet: »Der Traum besteht nicht einzig und allein aus Täuschungen; wenn man sich z. B. im Traum vor Räubern fürchtet, so sind die Räuber zwar imaginär, die Furcht aber ist real.« So wird man darauf aufmerksam gemacht, daß die Affektentwicklung im Traume die Beurteilung nicht zuläßt, welche man dem übrigen Trauminhalt schenkt, und das Problem wird vor uns aufgerollt, was an den psychischen Vorgängen im Traum real sein mag, das heißt einen Anspruch auf Einreihung unter die psychischen Vorgänge des Wachens beanspruchen darf?</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rPr>
      </w:pPr>
      <w:r w:rsidRPr="00A06A59">
        <w:rPr>
          <w:rFonts w:ascii="Garamond" w:hAnsi="Garamond" w:cs="Arial"/>
          <w:b/>
          <w:bCs/>
          <w:color w:val="000000"/>
        </w:rPr>
        <w:t>G. Traumtheorien und Funktion des Traumes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Eine Aussage über den Traum, welche möglichst viele der beobachteten Charaktere desselben von einem Gesichtspunkte aus zu erklären versucht und gleichzeitig die Stellung des Traumes zu einem umfassenderen Erscheinungsgebiet bestimmt, wird man eine Traumtheorie heißen dürfen. </w:t>
      </w:r>
      <w:r w:rsidRPr="00A06A59">
        <w:rPr>
          <w:rFonts w:ascii="Garamond" w:hAnsi="Garamond" w:cs="Arial"/>
          <w:color w:val="000000"/>
          <w:lang w:val="en-GB"/>
        </w:rPr>
        <w:t xml:space="preserve">Die einzelnen Traumtheorien werden sich </w:t>
      </w:r>
      <w:r w:rsidRPr="00A06A59">
        <w:rPr>
          <w:rFonts w:ascii="Garamond" w:hAnsi="Garamond" w:cs="Arial"/>
          <w:color w:val="000000"/>
          <w:lang w:val="en-GB"/>
        </w:rPr>
        <w:lastRenderedPageBreak/>
        <w:t>darin unterscheiden, daß sie den oder jenen Charakter des Traumes zum wesentlichen erheben, Erklärungen und Beziehungen an ihn anknüpfen lassen. Eine Funktion, d. i. ein Nutzen oder eine sonstige Leistung des Traumes, wird nicht notwendig aus der Theorie ableitbar sein müssen, aber unsere auf die Teleologie gewohnheitsgemäß gerichtete Erwartung wird doch jenen Theorien entgegenkommen, die mit der Einsicht in eine Funktion des Traumes verbunden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haben bereits mehrere Auffassungen des Traumes kennengelernt, die den Namen von Traumtheorien in diesem Sinne mehr oder weniger verdienten. Der Glaube der Alten, daß der Traum eine Sendung der Götter sei, um die Handlungen der Menschen zu lenken, war eine vollständige Theorie des Traumes, die über alles am Traum Wissenswerte Auskunft erteilte. Seitdem der Traum ein Gegenstand der biologischen Forschung geworden ist, kennen wir eine größere Anzahl von Traumtheorien, aber darunter auch manche recht unvollständige.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man auf Vollzähligkeit verzichtet, kann man etwa folgende lockere Gruppierung der Traumtheorien versuchen, je nach der zugrunde gelegten Annahme über Maß und Art der psychischen Tätigkeit im 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1) Solche Theorien, welche die volle psychische Tätigkeit des Wachens sich in den Traum fortsetzen lassen, wie die von Delboeuf. Hier schläft die Seele nicht, ihr Apparat bleibt intakt, aber unter die vom Wachen abweichenden Bedingungen des Schlafzustandes gebracht, muß sie bei normalem Funktionieren andere Ergebnisse liefern als im Wachen. Bei diesen Theorien fragt es sich, ob sie imstande sind, die Unterschiede des Traumes von dem Wachdenken sämtlich aus den Bedingungen des Schlafzustandes abzuleiten. Überdies fehlt ihnen ein möglicher Zugang zu einer Funktion des Traumes; man sieht nicht ein, wozu man träumt, warum der komplizierte Mechanismus des seelischen Apparats weiterspielt, auch wenn er in Verhältnisse versetzt wird, für die er nicht berechnet scheint. Traumlos schlafen oder, wenn störende Reize kommen, aufwachen, blieben die einzig zweckmäßigen Reaktionen anstatt der dritten, der des Träumens.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2) Solche Theorien, welche im Gegenteile für den Traum eine Herabsetzung der psychischen Tätigkeit, eine Auflockerung der Zusammenhänge, eine Verarmung an anspruchsfähigem Material annehmen. Diesen Theorien zufolge müßte eine ganz andere psychologische Charakteristik des Schlafes gegeben werden als etwa nach </w:t>
      </w:r>
      <w:r w:rsidRPr="00A06A59">
        <w:rPr>
          <w:rFonts w:ascii="Garamond" w:hAnsi="Garamond" w:cs="Arial"/>
          <w:i/>
          <w:iCs/>
          <w:color w:val="000000"/>
          <w:lang w:val="en-GB"/>
        </w:rPr>
        <w:t>Delboeuf</w:t>
      </w:r>
      <w:r w:rsidRPr="00A06A59">
        <w:rPr>
          <w:rFonts w:ascii="Garamond" w:hAnsi="Garamond" w:cs="Arial"/>
          <w:color w:val="000000"/>
          <w:lang w:val="en-GB"/>
        </w:rPr>
        <w:t>. Der Schlaf erstreckt sich weit über die Seele, er besteht nicht bloß in einer Absperrung der Seele von der Außenwelt, er dringt vielmehr in ihren Mechanismus ein und macht ihn zeitweilig unbrauchbar. Wenn ich einen Vergleich mit psychiatrischem Material heranziehen darf, so möchte ich sagen, die ersteren Theorien konstruieren den Traum wie eine Paranoia, die zweiterwähnten machen ihn zum Vorbilde des Schwachsinns oder einer Amentia.</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Theorie, daß im Traumleben nur ein Bruchteil der durch den Schlaf lahmgelegten Seelentätigkeit zum Ausdruck komme, ist die bei ärztlichen Schriftstellern und in der wissenschaftlichen Welt überhaupt weit bevorzugte. Soweit ein allgemeineres Interesse für Traumerklärung vorauszusetzen ist, darf man sie wohl als die </w:t>
      </w:r>
      <w:r w:rsidRPr="00A06A59">
        <w:rPr>
          <w:rFonts w:ascii="Garamond" w:hAnsi="Garamond" w:cs="Arial"/>
          <w:i/>
          <w:iCs/>
          <w:color w:val="000000"/>
          <w:lang w:val="en-GB"/>
        </w:rPr>
        <w:t>herrschende</w:t>
      </w:r>
      <w:r w:rsidRPr="00A06A59">
        <w:rPr>
          <w:rFonts w:ascii="Garamond" w:hAnsi="Garamond" w:cs="Arial"/>
          <w:color w:val="000000"/>
          <w:lang w:val="en-GB"/>
        </w:rPr>
        <w:t xml:space="preserve"> Theorie des Traumes bezeichnen. Es ist hervorzuheben, mit welcher Leichtigkeit gerade diese Theorie die ärgste Klippe jeder Traumerklärung, nämlich das Scheitern an einem der durch den Traum verkörperten Gegensätze, vermeidet. Da ihr der Traum das Ergebnis eines partiellen Wachens ist (»ein allmähliches, partielles und zugleich sehr anomalisches Wachen«, sagt Herbarts </w:t>
      </w:r>
      <w:r w:rsidRPr="00A06A59">
        <w:rPr>
          <w:rFonts w:ascii="Garamond" w:hAnsi="Garamond" w:cs="Arial"/>
          <w:i/>
          <w:iCs/>
          <w:color w:val="000000"/>
          <w:lang w:val="en-GB"/>
        </w:rPr>
        <w:t>Psychologie</w:t>
      </w:r>
      <w:r w:rsidRPr="00A06A59">
        <w:rPr>
          <w:rFonts w:ascii="Garamond" w:hAnsi="Garamond" w:cs="Arial"/>
          <w:color w:val="000000"/>
          <w:lang w:val="en-GB"/>
        </w:rPr>
        <w:t xml:space="preserve"> über den Traum), so kann sie durch eine Reihe von Zuständen von immer weitergehender Erweckung bis zur vollen Wachheit die ganze Reihe von der Minderleistung des Traums, die sich durch Absurdität verrät, bis zur voll konzentrierten Denkleistung decken.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Wem die physiologische Darstellungsweise unentbehrlich geworden ist oder wissenschaftlicher dünkt, der wird diese Theorie des Traums in der Schilderung von </w:t>
      </w:r>
      <w:r w:rsidRPr="00A06A59">
        <w:rPr>
          <w:rFonts w:ascii="Garamond" w:hAnsi="Garamond" w:cs="Arial"/>
          <w:i/>
          <w:iCs/>
          <w:color w:val="000000"/>
          <w:lang w:val="en-GB"/>
        </w:rPr>
        <w:t>Binz</w:t>
      </w:r>
      <w:r w:rsidRPr="00A06A59">
        <w:rPr>
          <w:rFonts w:ascii="Garamond" w:hAnsi="Garamond" w:cs="Arial"/>
          <w:color w:val="000000"/>
          <w:lang w:val="en-GB"/>
        </w:rPr>
        <w:t xml:space="preserve"> ausgedrückt finden (S. 43):</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»Dieser Zustand (von Erstarrung) aber geht in den frühen Morgenstunden nur allmählich seinem Ende entgegen. Immer geringer werden die in dem Gehirneiweiß aufgehäuften Ermüdungsstoffe, und immer mehr von ihnen wird zerlegt oder von dem rastlos treibenden Blutstrom fortgespült. Da und dort leuchten schon einzelne Zellenhaufen wach geworden hervor, während ringsumher noch alles in Erstarrung ruht. Es tritt nun die </w:t>
      </w:r>
      <w:r w:rsidRPr="00A06A59">
        <w:rPr>
          <w:rFonts w:ascii="Garamond" w:hAnsi="Garamond" w:cs="Arial"/>
          <w:i/>
          <w:iCs/>
          <w:color w:val="000000"/>
          <w:lang w:val="en-GB"/>
        </w:rPr>
        <w:t>isolierte Arbeit der Einzelgruppen</w:t>
      </w:r>
      <w:r w:rsidRPr="00A06A59">
        <w:rPr>
          <w:rFonts w:ascii="Garamond" w:hAnsi="Garamond" w:cs="Arial"/>
          <w:color w:val="000000"/>
          <w:lang w:val="en-GB"/>
        </w:rPr>
        <w:t xml:space="preserve"> vor unser umnebeltes Bewußtsein, und zu ihr fehlt die Kontrolle anderer, der Assoziation vorstehender Gehirnteile. Darum fügen die geschaffenen Bilder, welche meist den materiellen Eindrücken nahe liegender Vergangenheit entsprechen, sich wild und regellos aneinander. Immer größer wird die Zahl der frei werdenden Gehirnzellen, immer geringer die Unvernunft des Traumes.«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Man wird die Auffassung des Träumens als eines unvollständigen, partiellen Wachens, oder Spuren von ihrem Einflusse, sicherlich bei allen modernen Physiologen und Philosophen finden. Am ausführlichsten ist sie bei </w:t>
      </w:r>
      <w:r w:rsidRPr="00A06A59">
        <w:rPr>
          <w:rFonts w:ascii="Garamond" w:hAnsi="Garamond" w:cs="Arial"/>
          <w:i/>
          <w:iCs/>
          <w:color w:val="000000"/>
          <w:lang w:val="en-GB"/>
        </w:rPr>
        <w:t>Maury</w:t>
      </w:r>
      <w:r w:rsidRPr="00A06A59">
        <w:rPr>
          <w:rFonts w:ascii="Garamond" w:hAnsi="Garamond" w:cs="Arial"/>
          <w:color w:val="000000"/>
          <w:lang w:val="en-GB"/>
        </w:rPr>
        <w:t xml:space="preserve"> dargestellt. Dort hat es oft den Anschein, als stellte sich der Autor das Wachsein oder Eingeschlafensein nach anatomischen Regionen verschiebbar vor, wobei ihm allerdings eine anatomische Provinz und eine bestimmte </w:t>
      </w:r>
      <w:r w:rsidRPr="00A06A59">
        <w:rPr>
          <w:rFonts w:ascii="Garamond" w:hAnsi="Garamond" w:cs="Arial"/>
          <w:color w:val="000000"/>
          <w:lang w:val="en-GB"/>
        </w:rPr>
        <w:lastRenderedPageBreak/>
        <w:t>psychische Funktion aneinander gebunden erscheinen. Ich möchte hier aber nur andeuten, daß, wenn die Theorie des partiellen Wachens sich bestätigte, über den feineren Ausbau derselben sehr viel zu verhandeln wäre.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Funktion des Traumes kann sich bei dieser Auffassung des Traumlebens natürlich nicht herausstellen. Vielmehr wird das Urteil über die Stellung und Bedeutung des Traumes konsequenterweise durch die Äußerung von </w:t>
      </w:r>
      <w:r w:rsidRPr="00A06A59">
        <w:rPr>
          <w:rFonts w:ascii="Garamond" w:hAnsi="Garamond" w:cs="Arial"/>
          <w:i/>
          <w:iCs/>
          <w:color w:val="000000"/>
          <w:lang w:val="en-GB"/>
        </w:rPr>
        <w:t>Binz</w:t>
      </w:r>
      <w:r w:rsidRPr="00A06A59">
        <w:rPr>
          <w:rFonts w:ascii="Garamond" w:hAnsi="Garamond" w:cs="Arial"/>
          <w:color w:val="000000"/>
          <w:lang w:val="en-GB"/>
        </w:rPr>
        <w:t xml:space="preserve"> gegeben (S. 357): »Alle Tatsachen, wie wir sehen, drängen dahin, den Traum als einen </w:t>
      </w:r>
      <w:r w:rsidRPr="00A06A59">
        <w:rPr>
          <w:rFonts w:ascii="Garamond" w:hAnsi="Garamond" w:cs="Arial"/>
          <w:i/>
          <w:iCs/>
          <w:color w:val="000000"/>
          <w:lang w:val="en-GB"/>
        </w:rPr>
        <w:t>körperlichen</w:t>
      </w:r>
      <w:r w:rsidRPr="00A06A59">
        <w:rPr>
          <w:rFonts w:ascii="Garamond" w:hAnsi="Garamond" w:cs="Arial"/>
          <w:color w:val="000000"/>
          <w:lang w:val="en-GB"/>
        </w:rPr>
        <w:t>, in allen Fällen unnützen, in vielen Fällen geradezu krankhaften Vorgang zu kennzeichnen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Ausdruck »körperlich« mit Beziehung auf den Traum, der seine Hervorhebung dem Autor selbst verdankt, weist wohl nach mehr als einer Richtung. Er bezieht sich zunächst auf die Traumätiologie, die ja </w:t>
      </w:r>
      <w:r w:rsidRPr="00A06A59">
        <w:rPr>
          <w:rFonts w:ascii="Garamond" w:hAnsi="Garamond" w:cs="Arial"/>
          <w:i/>
          <w:iCs/>
          <w:color w:val="000000"/>
          <w:lang w:val="en-GB"/>
        </w:rPr>
        <w:t>Binz</w:t>
      </w:r>
      <w:r w:rsidRPr="00A06A59">
        <w:rPr>
          <w:rFonts w:ascii="Garamond" w:hAnsi="Garamond" w:cs="Arial"/>
          <w:color w:val="000000"/>
          <w:lang w:val="en-GB"/>
        </w:rPr>
        <w:t xml:space="preserve"> besonders nahelag, wenn er die experimentelle Erzeugung von Träumen durch Darreichung von Giften studierte. Es liegt nämlich im Zusammenhange dieser Art von Traumtheorien, die Anregung zum Träumen womöglich ausschließlich von somatischer Seite ausgehen zu lassen. In extremster Form dargestellt, lautete es so: Nachdem wir durch Entfernung der Reize uns in Schlaf versetzt haben, wäre zum Träumen kein Bedürfnis und kein Anlaß bis zum Morgen, wo das allmähliche Erwachen durch die neu anlangenden Reize sich in dem Phänomen des Träumens spiegeln könnte. Nun gelingt es aber nicht, den Schlaf reizlos zu halten; es kommen, ähnlich wie Mephisto von den Lebenskeimen klagt, von überall her Reize an den Schlafenden heran, von außen, von innen, von all den Körpergebieten sogar, um die man sich als Wachender nie gekümmert hat. So wird der Schlaf gestört, die Seele bald an dem, bald an jenem Zipfelchen wach gerüttelt und funktioniert dann ein Weilchen mit dem geweckten Teil, froh, wieder einzuschlafen. Der Traum ist die Reaktion auf die durch den Reiz verursachte Schlafstörung, übrigens eine rein überflüssige Reaktion.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Traum, der doch immerhin eine Leistung des Seelenorgans bleibt, als einen körperlichen Vorgang zu bezeichnen, hat aber auch noch einen anderen Sinn. Es ist die </w:t>
      </w:r>
      <w:r w:rsidRPr="00A06A59">
        <w:rPr>
          <w:rFonts w:ascii="Garamond" w:hAnsi="Garamond" w:cs="Arial"/>
          <w:i/>
          <w:iCs/>
          <w:color w:val="000000"/>
          <w:lang w:val="en-GB"/>
        </w:rPr>
        <w:t>Würde</w:t>
      </w:r>
      <w:r w:rsidRPr="00A06A59">
        <w:rPr>
          <w:rFonts w:ascii="Garamond" w:hAnsi="Garamond" w:cs="Arial"/>
          <w:color w:val="000000"/>
          <w:lang w:val="en-GB"/>
        </w:rPr>
        <w:t xml:space="preserve"> eines psychischen Vorgangs, die damit dem Traume abgesprochen werden soll. Das in seiner Anwendung auf den Traum bereits sehr alte Gleichnis von den »zehn Fingern eines der Musik ganz unkundigen Menschen, die über die Tasten des Instrumentes hinlaufen« veranschaulicht vielleicht am besten, welche Würdigung die Traumleistung bei den Vertretern der exakten Wissenschaft zumeist gefunden hat. Der Traum wird in dieser Auffassung etwas ganz und gar Undeutbares; denn wie sollten die zehn Finger des unmusikalischen Spielers ein Stück Musik produzieren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hat der Theorie des partiellen Wachens schon frühzeitig nicht an Einwänden gefehlt. </w:t>
      </w:r>
      <w:r w:rsidRPr="00A06A59">
        <w:rPr>
          <w:rFonts w:ascii="Garamond" w:hAnsi="Garamond" w:cs="Arial"/>
          <w:i/>
          <w:iCs/>
          <w:color w:val="000000"/>
          <w:lang w:val="en-GB"/>
        </w:rPr>
        <w:t>Burdach</w:t>
      </w:r>
      <w:r w:rsidRPr="00A06A59">
        <w:rPr>
          <w:rFonts w:ascii="Garamond" w:hAnsi="Garamond" w:cs="Arial"/>
          <w:color w:val="000000"/>
          <w:lang w:val="en-GB"/>
        </w:rPr>
        <w:t xml:space="preserve"> meinte 1830: »Wenn man sagt, der Traum sei ein partielles Wachen, so wird damit erstlich weder das Wachen noch das Schlafen erklärt, zweitens nichts anderes gesagt, als daß einige Kräfte der Seele im Traume tätig sind, während andere ruhen. Aber solche Ungleichheit findet während des ganzen Lebens statt...« (S. 483).</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 die herrschende Traumtheorie, welche im Traum einen »körperlichen« Vorgang sieht, lehnt sich eine sehr interessante Auffassung des Traumes an, die erst 1886 von Robert ausgesprochen wurde und die bestechend wirkt, weil sie für das Träumen eine Funktion, einen nützlichen Erfolg, anzugeben weiß. </w:t>
      </w:r>
      <w:r w:rsidRPr="00A06A59">
        <w:rPr>
          <w:rFonts w:ascii="Garamond" w:hAnsi="Garamond" w:cs="Arial"/>
          <w:i/>
          <w:iCs/>
          <w:color w:val="000000"/>
          <w:lang w:val="en-GB"/>
        </w:rPr>
        <w:t>Robert</w:t>
      </w:r>
      <w:r w:rsidRPr="00A06A59">
        <w:rPr>
          <w:rFonts w:ascii="Garamond" w:hAnsi="Garamond" w:cs="Arial"/>
          <w:color w:val="000000"/>
          <w:lang w:val="en-GB"/>
        </w:rPr>
        <w:t xml:space="preserve"> nimmt zur Grundlage seiner Theorie zwei Tatsachen der Beobachtung, bei denen wir bereits in der Würdigung des Traummaterials verweilt haben (vgl. S. 12), nämlich daß man so häufig von den nebensächlichsten Eindrücken des Tages träumt und daß man so selten die großen Interessen des Tages mit hinübernimmt. Robert behauptet als ausschließlich richtig: Es werden nie Dinge, die man voll ausgedacht hat, zu Traumerregern, immer nur solche, die einem unfertig im Sinne liegen oder den Geist flüchtig streifen (S. 10). – »Darum kann man meistens den Traum sich nicht erklären, weil die Ursachen desselben eben </w:t>
      </w:r>
      <w:r w:rsidRPr="00A06A59">
        <w:rPr>
          <w:rFonts w:ascii="Garamond" w:hAnsi="Garamond" w:cs="Arial"/>
          <w:i/>
          <w:iCs/>
          <w:color w:val="000000"/>
          <w:lang w:val="en-GB"/>
        </w:rPr>
        <w:t>die nicht zum genügendenErkennen des Träumenden gekommenen Sinneseindrücke des verflossenen Tages</w:t>
      </w:r>
      <w:r w:rsidRPr="00A06A59">
        <w:rPr>
          <w:rFonts w:ascii="Garamond" w:hAnsi="Garamond" w:cs="Arial"/>
          <w:color w:val="000000"/>
          <w:lang w:val="en-GB"/>
        </w:rPr>
        <w:t xml:space="preserve"> sind.« Die Bedingung, daß ein Eindruck in den Traum gelange, ist also, entweder daß dieser Eindruck in seiner Verarbeitung gestört wurde oder daß er als allzu unbedeutend auf solche Verarbeitung keinen Anspruch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stellt sich Robert nun dar »als ein körperlicher Ausscheidungsprozeß, der in seiner geistigen Reaktionserscheinung zum Erkennen gelangt«. </w:t>
      </w:r>
      <w:r w:rsidRPr="00A06A59">
        <w:rPr>
          <w:rFonts w:ascii="Garamond" w:hAnsi="Garamond" w:cs="Arial"/>
          <w:i/>
          <w:iCs/>
          <w:color w:val="000000"/>
          <w:lang w:val="en-GB"/>
        </w:rPr>
        <w:t>Träume sind Ausscheidungen von im Keime erstickten Gedanken</w:t>
      </w:r>
      <w:r w:rsidRPr="00A06A59">
        <w:rPr>
          <w:rFonts w:ascii="Garamond" w:hAnsi="Garamond" w:cs="Arial"/>
          <w:color w:val="000000"/>
          <w:lang w:val="en-GB"/>
        </w:rPr>
        <w:t xml:space="preserve">. »Ein Mensch, dem man die Fähigkeit nehmen würde zu träumen, müßte in gegebener Zeit geistesgestört werden, weil sich in seinem Hirn eine Unmasse unfertiger, unausgedachter Gedanken und seichter Eindrücke ansammeln würde, unter deren Wucht dasjenige ersticken müßte, was dem Gedächtnisse als fertiges Ganzes einzuverleiben wäre.« </w:t>
      </w:r>
      <w:r w:rsidRPr="00A06A59">
        <w:rPr>
          <w:rFonts w:ascii="Garamond" w:hAnsi="Garamond" w:cs="Arial"/>
          <w:color w:val="000000"/>
        </w:rPr>
        <w:t xml:space="preserve">Der Traum leistet dem überbürdeten Gehirn die Dienste eines Sicherheitsventils. </w:t>
      </w:r>
      <w:r w:rsidRPr="00A06A59">
        <w:rPr>
          <w:rFonts w:ascii="Garamond" w:hAnsi="Garamond" w:cs="Arial"/>
          <w:i/>
          <w:iCs/>
          <w:color w:val="000000"/>
          <w:lang w:val="en-GB"/>
        </w:rPr>
        <w:t>Die Träume haben heilende, entlastende Kraft.</w:t>
      </w:r>
      <w:r w:rsidRPr="00A06A59">
        <w:rPr>
          <w:rFonts w:ascii="Garamond" w:hAnsi="Garamond" w:cs="Arial"/>
          <w:color w:val="000000"/>
          <w:lang w:val="en-GB"/>
        </w:rPr>
        <w:t xml:space="preserve"> (S. 32.)</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wäre mißverständlich, an </w:t>
      </w:r>
      <w:r w:rsidRPr="00A06A59">
        <w:rPr>
          <w:rFonts w:ascii="Garamond" w:hAnsi="Garamond" w:cs="Arial"/>
          <w:i/>
          <w:iCs/>
          <w:color w:val="000000"/>
          <w:lang w:val="en-GB"/>
        </w:rPr>
        <w:t>Robert</w:t>
      </w:r>
      <w:r w:rsidRPr="00A06A59">
        <w:rPr>
          <w:rFonts w:ascii="Garamond" w:hAnsi="Garamond" w:cs="Arial"/>
          <w:color w:val="000000"/>
          <w:lang w:val="en-GB"/>
        </w:rPr>
        <w:t xml:space="preserve"> die Frage zu richten, wie denn durch das Vorstellen im Traum eine Entlastung der Seele herbeigeführt werden kann. Der Autor schließt offenbar aus jenen beiden Eigentümlichkeiten des Traummaterials, daß während des Schlafes eine solche Ausstoßung von wertlosen Eindrücken </w:t>
      </w:r>
      <w:r w:rsidRPr="00A06A59">
        <w:rPr>
          <w:rFonts w:ascii="Garamond" w:hAnsi="Garamond" w:cs="Arial"/>
          <w:i/>
          <w:iCs/>
          <w:color w:val="000000"/>
          <w:lang w:val="en-GB"/>
        </w:rPr>
        <w:t>irgendwie</w:t>
      </w:r>
      <w:r w:rsidRPr="00A06A59">
        <w:rPr>
          <w:rFonts w:ascii="Garamond" w:hAnsi="Garamond" w:cs="Arial"/>
          <w:color w:val="000000"/>
          <w:lang w:val="en-GB"/>
        </w:rPr>
        <w:t xml:space="preserve"> als somatischer Vorgang vollzogen werde und das Träumen sei kein besonderer psychischer Prozeß, sondern nur die Kunde, die wir von jener Aussonderung erhalten. Übrigens ist eine Ausscheidung nicht das einzige, was nachts in der Seele vorgeht. </w:t>
      </w:r>
      <w:r w:rsidRPr="00A06A59">
        <w:rPr>
          <w:rFonts w:ascii="Garamond" w:hAnsi="Garamond" w:cs="Arial"/>
          <w:i/>
          <w:iCs/>
          <w:color w:val="000000"/>
          <w:lang w:val="en-GB"/>
        </w:rPr>
        <w:t>Robert</w:t>
      </w:r>
      <w:r w:rsidRPr="00A06A59">
        <w:rPr>
          <w:rFonts w:ascii="Garamond" w:hAnsi="Garamond" w:cs="Arial"/>
          <w:color w:val="000000"/>
          <w:lang w:val="en-GB"/>
        </w:rPr>
        <w:t xml:space="preserve"> fügt selbst hinzu, daß überdies die Anregungen des Tages ausgearbeitet werden, und »was sich </w:t>
      </w:r>
      <w:r w:rsidRPr="00A06A59">
        <w:rPr>
          <w:rFonts w:ascii="Garamond" w:hAnsi="Garamond" w:cs="Arial"/>
          <w:color w:val="000000"/>
          <w:lang w:val="en-GB"/>
        </w:rPr>
        <w:lastRenderedPageBreak/>
        <w:t xml:space="preserve">von dem unverdaut im Geiste liegenden Gedankenstoff nicht ausscheiden läßt, wird durch der </w:t>
      </w:r>
      <w:r w:rsidRPr="00A06A59">
        <w:rPr>
          <w:rFonts w:ascii="Garamond" w:hAnsi="Garamond" w:cs="Arial"/>
          <w:i/>
          <w:iCs/>
          <w:color w:val="000000"/>
          <w:lang w:val="en-GB"/>
        </w:rPr>
        <w:t>Phantasie entlehnte Gedankenfäden zu einem abgerundeten Ganzen verbunden</w:t>
      </w:r>
      <w:r w:rsidRPr="00A06A59">
        <w:rPr>
          <w:rFonts w:ascii="Garamond" w:hAnsi="Garamond" w:cs="Arial"/>
          <w:color w:val="000000"/>
          <w:lang w:val="en-GB"/>
        </w:rPr>
        <w:t xml:space="preserve"> und so dem Gedächtnisse als unschädliches Phantasiegemälde eingereiht«. (S. 23.)</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den schroffsten Gegensatz zur herrschenden Theorie tritt die </w:t>
      </w:r>
      <w:r w:rsidRPr="00A06A59">
        <w:rPr>
          <w:rFonts w:ascii="Garamond" w:hAnsi="Garamond" w:cs="Arial"/>
          <w:i/>
          <w:iCs/>
          <w:color w:val="000000"/>
          <w:lang w:val="en-GB"/>
        </w:rPr>
        <w:t>Roberts</w:t>
      </w:r>
      <w:r w:rsidRPr="00A06A59">
        <w:rPr>
          <w:rFonts w:ascii="Garamond" w:hAnsi="Garamond" w:cs="Arial"/>
          <w:color w:val="000000"/>
          <w:lang w:val="en-GB"/>
        </w:rPr>
        <w:t xml:space="preserve"> aber in der Beurteilung der Traumquellen. Während dort überhaupt nicht geträumt würde, wenn nicht die äußeren und inneren Sensationsreize die Seele immer wieder weckten, liegt der Antrieb zum Träumen nach der Theorie </w:t>
      </w:r>
      <w:r w:rsidRPr="00A06A59">
        <w:rPr>
          <w:rFonts w:ascii="Garamond" w:hAnsi="Garamond" w:cs="Arial"/>
          <w:i/>
          <w:iCs/>
          <w:color w:val="000000"/>
          <w:lang w:val="en-GB"/>
        </w:rPr>
        <w:t>Roberts</w:t>
      </w:r>
      <w:r w:rsidRPr="00A06A59">
        <w:rPr>
          <w:rFonts w:ascii="Garamond" w:hAnsi="Garamond" w:cs="Arial"/>
          <w:color w:val="000000"/>
          <w:lang w:val="en-GB"/>
        </w:rPr>
        <w:t xml:space="preserve"> in der Seele selbst, in ihrer Überladung, die nach Entlastung verlangt, und </w:t>
      </w:r>
      <w:r w:rsidRPr="00A06A59">
        <w:rPr>
          <w:rFonts w:ascii="Garamond" w:hAnsi="Garamond" w:cs="Arial"/>
          <w:i/>
          <w:iCs/>
          <w:color w:val="000000"/>
          <w:lang w:val="en-GB"/>
        </w:rPr>
        <w:t>Robert</w:t>
      </w:r>
      <w:r w:rsidRPr="00A06A59">
        <w:rPr>
          <w:rFonts w:ascii="Garamond" w:hAnsi="Garamond" w:cs="Arial"/>
          <w:color w:val="000000"/>
          <w:lang w:val="en-GB"/>
        </w:rPr>
        <w:t xml:space="preserve"> urteilt vollkommen konsequent, daß die im körperlichen Befinden liegenden traumbedingenden Ursachen einen untergeordneten Raum einnehmen und einen Geist, in dem kein dem wachen Bewußtsein entnommener Stoff zur Traumbildung wäre, keinesfalls zum Träumen veranlassen könnten. Zugegeben sei bloß, daß die im Traume aus den Tiefen der Seele heraus sich entwickelnden Phantasiebilder durch die Nervenreize beeinflußt werden können. (S. 48.) So ist der Traum nach Robert doch nicht so ganz abhängig vom Somatischen, er ist zwar kein psychischer Vorgang, hat keine Stelle unter den psychischen Vorgängen des Wachens, er ist ein allnächtlicher somatischer Vorgang am Apparat der Seelentätigkeit und hat eine Funktion zu erfüllen, diesen Apparat vor Überspannung zu behüten, oder wenn man das Gleichnis wechseln darf: die Seele auszumisten.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Auf die nämlichen Charaktere des Traumes, die in der Auswahl des Traummaterials deutlich werden, stützt ein anderer Autor, Yves </w:t>
      </w:r>
      <w:r w:rsidRPr="00A06A59">
        <w:rPr>
          <w:rFonts w:ascii="Garamond" w:hAnsi="Garamond" w:cs="Arial"/>
          <w:i/>
          <w:iCs/>
          <w:color w:val="000000"/>
          <w:lang w:val="en-GB"/>
        </w:rPr>
        <w:t>Delage</w:t>
      </w:r>
      <w:r w:rsidRPr="00A06A59">
        <w:rPr>
          <w:rFonts w:ascii="Garamond" w:hAnsi="Garamond" w:cs="Arial"/>
          <w:color w:val="000000"/>
          <w:lang w:val="en-GB"/>
        </w:rPr>
        <w:t>, seine eigene Theorie, und es ist lehrreich zu beobachten, wie durch eine leise Wendung in der Auffassung derselben Dinge ein Endergebnis von ganz anderer Tragweite gewonnen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Delage</w:t>
      </w:r>
      <w:r w:rsidRPr="00A06A59">
        <w:rPr>
          <w:rFonts w:ascii="Garamond" w:hAnsi="Garamond" w:cs="Arial"/>
          <w:color w:val="000000"/>
          <w:lang w:val="en-GB"/>
        </w:rPr>
        <w:t xml:space="preserve"> hatte an sich selbst, nachdem er eine ihm teure Person durch den Tod verloren, die Erfahrung gemacht, daß man von dem </w:t>
      </w:r>
      <w:r w:rsidRPr="00A06A59">
        <w:rPr>
          <w:rFonts w:ascii="Garamond" w:hAnsi="Garamond" w:cs="Arial"/>
          <w:i/>
          <w:iCs/>
          <w:color w:val="000000"/>
          <w:lang w:val="en-GB"/>
        </w:rPr>
        <w:t>nicht</w:t>
      </w:r>
      <w:r w:rsidRPr="00A06A59">
        <w:rPr>
          <w:rFonts w:ascii="Garamond" w:hAnsi="Garamond" w:cs="Arial"/>
          <w:color w:val="000000"/>
          <w:lang w:val="en-GB"/>
        </w:rPr>
        <w:t xml:space="preserve"> träumt, was einen tagsüber ausgiebig beschäftigt hat, oder erst dann, wenn es anderen Interessen tagsüber zu weichen beginnt. Seine Nachforschungen bei anderen Personen bestätigten ihm die Allgemeinheit dieses Sachverhalts. </w:t>
      </w:r>
      <w:r w:rsidRPr="00A06A59">
        <w:rPr>
          <w:rFonts w:ascii="Garamond" w:hAnsi="Garamond" w:cs="Arial"/>
          <w:color w:val="000000"/>
        </w:rPr>
        <w:t xml:space="preserve">Eine schöne Bemerkung dieser Art, wenn sie sich als allgemein richtig herausstellte, macht </w:t>
      </w:r>
      <w:r w:rsidRPr="00A06A59">
        <w:rPr>
          <w:rFonts w:ascii="Garamond" w:hAnsi="Garamond" w:cs="Arial"/>
          <w:i/>
          <w:iCs/>
          <w:color w:val="000000"/>
        </w:rPr>
        <w:t>Delage</w:t>
      </w:r>
      <w:r w:rsidRPr="00A06A59">
        <w:rPr>
          <w:rFonts w:ascii="Garamond" w:hAnsi="Garamond" w:cs="Arial"/>
          <w:color w:val="000000"/>
        </w:rPr>
        <w:t xml:space="preserve"> über das Träumen junger Eheleute: » </w:t>
      </w:r>
      <w:r w:rsidRPr="00A06A59">
        <w:rPr>
          <w:rFonts w:ascii="Garamond" w:hAnsi="Garamond" w:cs="Arial"/>
          <w:i/>
          <w:iCs/>
          <w:color w:val="000000"/>
        </w:rPr>
        <w:t>S'ils ont été fortement épris, presque jamais ils n'ont rêvé l'un de l'autre avant le mariage ou pendant la lune de miel; et s'ils ont rêvé d'amour c'est pour être infidèles avec quelque personne indifférente ou odieuse.</w:t>
      </w:r>
      <w:r w:rsidRPr="00A06A59">
        <w:rPr>
          <w:rFonts w:ascii="Garamond" w:hAnsi="Garamond" w:cs="Arial"/>
          <w:color w:val="000000"/>
        </w:rPr>
        <w:t xml:space="preserve">« </w:t>
      </w:r>
      <w:r w:rsidRPr="00A06A59">
        <w:rPr>
          <w:rFonts w:ascii="Garamond" w:hAnsi="Garamond" w:cs="Arial"/>
          <w:color w:val="000000"/>
          <w:lang w:val="en-GB"/>
        </w:rPr>
        <w:t xml:space="preserve">Wovon träumt man nun aber? </w:t>
      </w:r>
      <w:r w:rsidRPr="00A06A59">
        <w:rPr>
          <w:rFonts w:ascii="Garamond" w:hAnsi="Garamond" w:cs="Arial"/>
          <w:i/>
          <w:iCs/>
          <w:color w:val="000000"/>
          <w:lang w:val="en-GB"/>
        </w:rPr>
        <w:t>Delage</w:t>
      </w:r>
      <w:r w:rsidRPr="00A06A59">
        <w:rPr>
          <w:rFonts w:ascii="Garamond" w:hAnsi="Garamond" w:cs="Arial"/>
          <w:color w:val="000000"/>
          <w:lang w:val="en-GB"/>
        </w:rPr>
        <w:t xml:space="preserve"> erkennt das in unseren Träumen vorkommende Material als bestehend aus Bruchstücken und Resten von Eindrücken der letzten Tage und früherer Zeiten. Alles, was in unseren Träumen auftritt, was wir zuerst geneigt sein mögen, als Schöpfung des Traumlebens anzusehen, erweist sich bei genauerer Prüfung als unerkannte Reproduktion, als » </w:t>
      </w:r>
      <w:r w:rsidRPr="00A06A59">
        <w:rPr>
          <w:rFonts w:ascii="Garamond" w:hAnsi="Garamond" w:cs="Arial"/>
          <w:i/>
          <w:iCs/>
          <w:color w:val="000000"/>
          <w:lang w:val="en-GB"/>
        </w:rPr>
        <w:t>Souvenir inconscient</w:t>
      </w:r>
      <w:r w:rsidRPr="00A06A59">
        <w:rPr>
          <w:rFonts w:ascii="Garamond" w:hAnsi="Garamond" w:cs="Arial"/>
          <w:color w:val="000000"/>
          <w:lang w:val="en-GB"/>
        </w:rPr>
        <w:t>«. Aber dieses Vorstellungsmaterial zeigt einen gemeinsamen Charakter, es rührt von Eindrücken her, die unsere Sinne wahrscheinlich stärker betroffen haben als unseren Geist oder von denen die Aufmerksamkeit sehr bald nach ihrem Auftauchen wieder abgelenkt wurde. Je weniger bewußt und dabei je stärker ein Eindruck gewesen ist, desto mehr Aussicht hat er, im nächsten Traum eine Rolle zu spielen.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Es sind im wesentlichen dieselben zwei Kategorien von Eindrücken, die nebensächlichen und die unerledigten, wie sie </w:t>
      </w:r>
      <w:r w:rsidRPr="00A06A59">
        <w:rPr>
          <w:rFonts w:ascii="Garamond" w:hAnsi="Garamond" w:cs="Arial"/>
          <w:i/>
          <w:iCs/>
          <w:color w:val="000000"/>
          <w:lang w:val="en-GB"/>
        </w:rPr>
        <w:t>Robert</w:t>
      </w:r>
      <w:r w:rsidRPr="00A06A59">
        <w:rPr>
          <w:rFonts w:ascii="Garamond" w:hAnsi="Garamond" w:cs="Arial"/>
          <w:color w:val="000000"/>
          <w:lang w:val="en-GB"/>
        </w:rPr>
        <w:t xml:space="preserve"> hervorhebt, aber </w:t>
      </w:r>
      <w:r w:rsidRPr="00A06A59">
        <w:rPr>
          <w:rFonts w:ascii="Garamond" w:hAnsi="Garamond" w:cs="Arial"/>
          <w:i/>
          <w:iCs/>
          <w:color w:val="000000"/>
          <w:lang w:val="en-GB"/>
        </w:rPr>
        <w:t>Delage</w:t>
      </w:r>
      <w:r w:rsidRPr="00A06A59">
        <w:rPr>
          <w:rFonts w:ascii="Garamond" w:hAnsi="Garamond" w:cs="Arial"/>
          <w:color w:val="000000"/>
          <w:lang w:val="en-GB"/>
        </w:rPr>
        <w:t xml:space="preserve"> wendet den Zusammenhang anders, indem er meint, diese Eindrücke werden nicht, weil sie gleichgültig sind, traumfähig, sondern weil sie unerledigt sind. Auch die nebensächlichen Eindrücke sind gewissermaßen nicht voll erledigt worden, auch sie sind ihrer Natur nach als neue Eindrücke » </w:t>
      </w:r>
      <w:r w:rsidRPr="00A06A59">
        <w:rPr>
          <w:rFonts w:ascii="Garamond" w:hAnsi="Garamond" w:cs="Arial"/>
          <w:i/>
          <w:iCs/>
          <w:color w:val="000000"/>
          <w:lang w:val="en-GB"/>
        </w:rPr>
        <w:t>autant de ressorts tendus</w:t>
      </w:r>
      <w:r w:rsidRPr="00A06A59">
        <w:rPr>
          <w:rFonts w:ascii="Garamond" w:hAnsi="Garamond" w:cs="Arial"/>
          <w:color w:val="000000"/>
          <w:lang w:val="en-GB"/>
        </w:rPr>
        <w:t xml:space="preserve">«, die sich während des Schlafes entspannen werden. Noch mehr Anrecht auf eine Rolle im Traum als der schwache und fast unbeachtete Eindruck wird ein starker Eindruck haben, der zufällig in seiner Verarbeitung aufgehalten wurde oder mit Absicht zurückgedrängt worden ist. Die tagsüber durch Hemmung und Unterdrückung aufgespeicherte psychische Energie wird nachts die Triebfeder des Traums. Im Traum kommt das psychisch Unterdrückte zum Vorschein. </w:t>
      </w:r>
      <w:hyperlink r:id="rId37"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Ganz ähnlich äußert sich der Dichter Anatole </w:t>
        </w:r>
        <w:r w:rsidRPr="00A06A59">
          <w:rPr>
            <w:rStyle w:val="innerfusslink3"/>
            <w:rFonts w:ascii="Garamond" w:hAnsi="Garamond" w:cs="Arial"/>
            <w:b/>
            <w:bCs/>
            <w:i/>
            <w:iCs/>
          </w:rPr>
          <w:t>France(Lys rouge): Ce que nous voyons la nuit, ce sont les restes malheureux de ce que nous avons négligé dans la veille. Le rêve est souvent la revanche des choses qu'on méprise ou le reproche des êtres abandonnés.</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Leider bricht der Gedankengang von </w:t>
      </w:r>
      <w:r w:rsidRPr="00A06A59">
        <w:rPr>
          <w:rFonts w:ascii="Garamond" w:hAnsi="Garamond" w:cs="Arial"/>
          <w:i/>
          <w:iCs/>
          <w:color w:val="000000"/>
        </w:rPr>
        <w:t>Delage</w:t>
      </w:r>
      <w:r w:rsidRPr="00A06A59">
        <w:rPr>
          <w:rFonts w:ascii="Garamond" w:hAnsi="Garamond" w:cs="Arial"/>
          <w:color w:val="000000"/>
        </w:rPr>
        <w:t xml:space="preserve"> an dieser Stelle ab; er kann einer selbständigen psychischen Tätigkeit im Traum nur die geringste Rolle einräumen, und so schließt er sich mit seiner Traumtheorie unvermittelt wieder an die herrschende Lehre vom partiellen Schlafen des Gehirns an: </w:t>
      </w:r>
      <w:r w:rsidRPr="00A06A59">
        <w:rPr>
          <w:rFonts w:ascii="Garamond" w:hAnsi="Garamond" w:cs="Arial"/>
          <w:i/>
          <w:iCs/>
          <w:color w:val="000000"/>
        </w:rPr>
        <w:t>»En somme le rêve est le produit de la pensée errante, sans but et sans direction, se fixant successivement sur les souvenirs, qui ont gardé assez d'intensité pour se placer sur sa route et l'arrêter au passage, établissant entre eux un lieu tantôt faible et indécis, tantôt plus fort et plus serré, selon que l'activité actuelle du cerveau est plus ou moins abolie par le sommeil.</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3) Zu einer dritten Gruppe kann man jene Theorien des Traumes vereinigen, welche der träumenden Seele die Fähigkeit und Neigung zu besonderen psychischen Leistungen zuschreiben, die sie im Wachen entweder gar nicht oder nur in unvollkommener Weise ausführen kann. Aus der Betätigung dieser Fähigkeiten ergibt sich zumeist eine nützliche Funktion des Traumes. </w:t>
      </w:r>
      <w:r w:rsidRPr="00A06A59">
        <w:rPr>
          <w:rFonts w:ascii="Garamond" w:hAnsi="Garamond" w:cs="Arial"/>
          <w:color w:val="000000"/>
          <w:lang w:val="en-GB"/>
        </w:rPr>
        <w:t xml:space="preserve">Die Wertschätzungen, welche der Traum bei älteren psychologischen Autoren gefunden hat, gehören meist in diese Reihe. Ich will mich aber damit begnügen, an deren Statt die Äußerung von </w:t>
      </w:r>
      <w:r w:rsidRPr="00A06A59">
        <w:rPr>
          <w:rFonts w:ascii="Garamond" w:hAnsi="Garamond" w:cs="Arial"/>
          <w:i/>
          <w:iCs/>
          <w:color w:val="000000"/>
          <w:lang w:val="en-GB"/>
        </w:rPr>
        <w:t>Burdach</w:t>
      </w:r>
      <w:r w:rsidRPr="00A06A59">
        <w:rPr>
          <w:rFonts w:ascii="Garamond" w:hAnsi="Garamond" w:cs="Arial"/>
          <w:color w:val="000000"/>
          <w:lang w:val="en-GB"/>
        </w:rPr>
        <w:t xml:space="preserve"> anzuführen, derzufolge der Traum »die Naturtätigkeit der Seele ist, welche nicht durch die Macht der </w:t>
      </w:r>
      <w:r w:rsidRPr="00A06A59">
        <w:rPr>
          <w:rFonts w:ascii="Garamond" w:hAnsi="Garamond" w:cs="Arial"/>
          <w:color w:val="000000"/>
          <w:lang w:val="en-GB"/>
        </w:rPr>
        <w:lastRenderedPageBreak/>
        <w:t>Individualität beschränkt, nicht durch Selbstbewußtsein gestört, nicht durch Selbstbestimmung gerichtet wird, sondern die in freiem Spiele sich ergehende Lebendigkeit der sensibeln Zentralpunkte ist« (S. 486).</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Dieses Schwelgen im freien Gebrauch der eigenen Kräfte stellen sich </w:t>
      </w:r>
      <w:r w:rsidRPr="00A06A59">
        <w:rPr>
          <w:rFonts w:ascii="Garamond" w:hAnsi="Garamond" w:cs="Arial"/>
          <w:i/>
          <w:iCs/>
          <w:color w:val="000000"/>
          <w:lang w:val="en-GB"/>
        </w:rPr>
        <w:t>Burdach</w:t>
      </w:r>
      <w:r w:rsidRPr="00A06A59">
        <w:rPr>
          <w:rFonts w:ascii="Garamond" w:hAnsi="Garamond" w:cs="Arial"/>
          <w:color w:val="000000"/>
          <w:lang w:val="en-GB"/>
        </w:rPr>
        <w:t xml:space="preserve"> u. a. offenbar als einen Zustand vor, in welchem die Seele sich erfrischt und neue Kräfte für die Tagesarbeit sammelt, also etwa nach Art eines Ferienurlaubs. </w:t>
      </w:r>
      <w:r w:rsidRPr="00A06A59">
        <w:rPr>
          <w:rFonts w:ascii="Garamond" w:hAnsi="Garamond" w:cs="Arial"/>
          <w:i/>
          <w:iCs/>
          <w:color w:val="000000"/>
          <w:lang w:val="en-GB"/>
        </w:rPr>
        <w:t>Burdach</w:t>
      </w:r>
      <w:r w:rsidRPr="00A06A59">
        <w:rPr>
          <w:rFonts w:ascii="Garamond" w:hAnsi="Garamond" w:cs="Arial"/>
          <w:color w:val="000000"/>
          <w:lang w:val="en-GB"/>
        </w:rPr>
        <w:t xml:space="preserve"> zitiert und akzeptiert darum auch die liebenswürdigen Worte, in denen der Dichter </w:t>
      </w:r>
      <w:r w:rsidRPr="00A06A59">
        <w:rPr>
          <w:rFonts w:ascii="Garamond" w:hAnsi="Garamond" w:cs="Arial"/>
          <w:i/>
          <w:iCs/>
          <w:color w:val="000000"/>
          <w:lang w:val="en-GB"/>
        </w:rPr>
        <w:t>Novalis</w:t>
      </w:r>
      <w:r w:rsidRPr="00A06A59">
        <w:rPr>
          <w:rFonts w:ascii="Garamond" w:hAnsi="Garamond" w:cs="Arial"/>
          <w:color w:val="000000"/>
          <w:lang w:val="en-GB"/>
        </w:rPr>
        <w:t xml:space="preserve"> das Walten des Traumes preist: »Der Traum ist eine Schutzwehr gegen die Regelmäßigkeit und Gewöhnlichkeit des Lebens, eine freie Erholung der gebundenen Phantasie, wo sie alle Bilder des Lebens durcheinanderwirft und die beständige Ernsthaftigkeit des erwachsenen Menschen durch ein fröhliches Kinderspiel unterbricht; ohne die Träume würden wir gewiß früher alt, und so kann man den Traum, wenn auch nicht als unmittelbar von oben gegeben, doch als eine köstliche Aufgabe, als einen freundlichen Begleiter auf der Wallfahrt zum Grabe betrachten.«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erfrischende und heilende Tätigkeit des Traumes schildert noch eindringlicher </w:t>
      </w:r>
      <w:r w:rsidRPr="00A06A59">
        <w:rPr>
          <w:rFonts w:ascii="Garamond" w:hAnsi="Garamond" w:cs="Arial"/>
          <w:i/>
          <w:iCs/>
          <w:color w:val="000000"/>
          <w:lang w:val="en-GB"/>
        </w:rPr>
        <w:t>Purkinje</w:t>
      </w:r>
      <w:r w:rsidRPr="00A06A59">
        <w:rPr>
          <w:rFonts w:ascii="Garamond" w:hAnsi="Garamond" w:cs="Arial"/>
          <w:color w:val="000000"/>
          <w:lang w:val="en-GB"/>
        </w:rPr>
        <w:t xml:space="preserve"> (S. 456): »Besonders würden die produktiven Träume diese Funktionen vermitteln. Es sind leichte Spiele der Imagination, die mit den Tagesbegebenheiten keinen Zusammenhang haben. Die Seele will die Spannungen des wachen Lebens nicht fortsetzen, sondern sie auflösen, sich von ihnen erholen. Sie erzeugt zuvörderst denen des Wachens entgegengesetzte Zustände. Sie heilt Traurigkeit durch Freude, Sorgen durch Hoffnungen und heitere zerstreuende Bilder, Haß durch Liebe und Freundlichkeit, Furcht durch Mut und Zuversicht; den Zweifel beschwichtigt sie durch Überzeugung und festen Glauben, vergebliche Erwartung durch Erfüllung. Viele wunde Stellen des Gemütes, die der Tag immerwährend offen erhalten würde, heilt der Schlaf, indem er sie zudeckt und vor neuer Aufregung bewahrt. Darauf beruht zum Teil die schmerzenheilende Wirkung der Zeit.« Wir empfinden es alle, daß der Schlaf eine Wohltat für das Seelenleben ist, und die dunkle Ahnung des Volksbewußtseins läßt sich offenbar das Vorurteil nicht rauben, daß der Traum einer der Wege ist, auf denen der Schlaf seine Wohltaten spendet.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originellste und weitgehendste Versuch, den Traum aus einer besonderen Tätigkeit der Seele, die sich erst im Schlafzustande frei entfalten kann, zu erklären, ist der von </w:t>
      </w:r>
      <w:r w:rsidRPr="00A06A59">
        <w:rPr>
          <w:rFonts w:ascii="Garamond" w:hAnsi="Garamond" w:cs="Arial"/>
          <w:i/>
          <w:iCs/>
          <w:color w:val="000000"/>
          <w:lang w:val="en-GB"/>
        </w:rPr>
        <w:t>Scherner</w:t>
      </w:r>
      <w:r w:rsidRPr="00A06A59">
        <w:rPr>
          <w:rFonts w:ascii="Garamond" w:hAnsi="Garamond" w:cs="Arial"/>
          <w:color w:val="000000"/>
          <w:lang w:val="en-GB"/>
        </w:rPr>
        <w:t xml:space="preserve"> 1861 unternommene. Das Buch </w:t>
      </w:r>
      <w:r w:rsidRPr="00A06A59">
        <w:rPr>
          <w:rFonts w:ascii="Garamond" w:hAnsi="Garamond" w:cs="Arial"/>
          <w:i/>
          <w:iCs/>
          <w:color w:val="000000"/>
          <w:lang w:val="en-GB"/>
        </w:rPr>
        <w:t>Scherners</w:t>
      </w:r>
      <w:r w:rsidRPr="00A06A59">
        <w:rPr>
          <w:rFonts w:ascii="Garamond" w:hAnsi="Garamond" w:cs="Arial"/>
          <w:color w:val="000000"/>
          <w:lang w:val="en-GB"/>
        </w:rPr>
        <w:t xml:space="preserve">, in einem schwülen und schwülstigen Stil geschrieben, von einer nahezu trunkenen Begeisterung für den Gegenstand getragen, die abstoßend wirken muß, wenn sie nicht mit sich fortzureißen vermag, setzt einer Analyse solche Schwierigkeiten entgegen, daß wir bereitwillig nach der klareren und kürzeren Darstellung greifen, in welcher der Philosoph </w:t>
      </w:r>
      <w:r w:rsidRPr="00A06A59">
        <w:rPr>
          <w:rFonts w:ascii="Garamond" w:hAnsi="Garamond" w:cs="Arial"/>
          <w:i/>
          <w:iCs/>
          <w:color w:val="000000"/>
          <w:lang w:val="en-GB"/>
        </w:rPr>
        <w:t>Volkelt</w:t>
      </w:r>
      <w:r w:rsidRPr="00A06A59">
        <w:rPr>
          <w:rFonts w:ascii="Garamond" w:hAnsi="Garamond" w:cs="Arial"/>
          <w:color w:val="000000"/>
          <w:lang w:val="en-GB"/>
        </w:rPr>
        <w:t xml:space="preserve"> die Lehren </w:t>
      </w:r>
      <w:r w:rsidRPr="00A06A59">
        <w:rPr>
          <w:rFonts w:ascii="Garamond" w:hAnsi="Garamond" w:cs="Arial"/>
          <w:i/>
          <w:iCs/>
          <w:color w:val="000000"/>
          <w:lang w:val="en-GB"/>
        </w:rPr>
        <w:t>Scherners</w:t>
      </w:r>
      <w:r w:rsidRPr="00A06A59">
        <w:rPr>
          <w:rFonts w:ascii="Garamond" w:hAnsi="Garamond" w:cs="Arial"/>
          <w:color w:val="000000"/>
          <w:lang w:val="en-GB"/>
        </w:rPr>
        <w:t xml:space="preserve"> uns vorführt. »Es blitzt und leuchtet wohl aus den mystischen Zusammenballungen, aus all dem Pracht- und Glanzgewoge ein ahnungsvoller Schein von Sinn heraus, allein hell werden hiedurch des Philosophen Pfade nicht.« Solche Beurteilung findet die Darstellung Scherners selbst bei seinem Anhänger.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Scherner</w:t>
      </w:r>
      <w:r w:rsidRPr="00A06A59">
        <w:rPr>
          <w:rFonts w:ascii="Garamond" w:hAnsi="Garamond" w:cs="Arial"/>
          <w:color w:val="000000"/>
          <w:lang w:val="en-GB"/>
        </w:rPr>
        <w:t xml:space="preserve"> gehört nicht zu den Autoren, welche der Seele gestatten, ihre Fähigkeiten unverringert ins Traumleben mitzunehmen. Er führt selbst aus, wie im Traum die Zentralität, die Spontanenergie des Ichs entnervt wird, wie infolge dieser Dezentralisation Erkennen, Fühlen, Wollen und Vorstellen verändert werden und wie den Überbleibseln dieser Seelenkräfte kein wahrer Geistcharakter, sondern nur noch die Natur eines Mechanismus zukommt. Aber dafür schwingt sich im Traum die als </w:t>
      </w:r>
      <w:r w:rsidRPr="00A06A59">
        <w:rPr>
          <w:rFonts w:ascii="Garamond" w:hAnsi="Garamond" w:cs="Arial"/>
          <w:i/>
          <w:iCs/>
          <w:color w:val="000000"/>
          <w:lang w:val="en-GB"/>
        </w:rPr>
        <w:t>Phantasie</w:t>
      </w:r>
      <w:r w:rsidRPr="00A06A59">
        <w:rPr>
          <w:rFonts w:ascii="Garamond" w:hAnsi="Garamond" w:cs="Arial"/>
          <w:color w:val="000000"/>
          <w:lang w:val="en-GB"/>
        </w:rPr>
        <w:t xml:space="preserve"> zu benennende Tätigkeit der Seele, frei von aller Verstandesherrschaft und damit der strengen Maße ledig, zur unbeschränkten Herrschaft auf. Sie nimmt zwar die letzten Bausteine aus dem Gedächtnis des Wachens, aber führt aus ihnen Gebäude auf, die von den Gebilden des Wachens himmelweit verschieden sind, sie zeigt sich im Traume nicht nur reproduktiv, sondern auch </w:t>
      </w:r>
      <w:r w:rsidRPr="00A06A59">
        <w:rPr>
          <w:rFonts w:ascii="Garamond" w:hAnsi="Garamond" w:cs="Arial"/>
          <w:i/>
          <w:iCs/>
          <w:color w:val="000000"/>
          <w:lang w:val="en-GB"/>
        </w:rPr>
        <w:t>produktiv</w:t>
      </w:r>
      <w:r w:rsidRPr="00A06A59">
        <w:rPr>
          <w:rFonts w:ascii="Garamond" w:hAnsi="Garamond" w:cs="Arial"/>
          <w:color w:val="000000"/>
          <w:lang w:val="en-GB"/>
        </w:rPr>
        <w:t xml:space="preserve">. Ihre Eigentümlichkeiten verleihen dem Traumleben seine besonderen Charaktere. Sie zeigt eine Vorliebe für das </w:t>
      </w:r>
      <w:r w:rsidRPr="00A06A59">
        <w:rPr>
          <w:rFonts w:ascii="Garamond" w:hAnsi="Garamond" w:cs="Arial"/>
          <w:i/>
          <w:iCs/>
          <w:color w:val="000000"/>
          <w:lang w:val="en-GB"/>
        </w:rPr>
        <w:t>Ungemessene, Übertriebene, Ungeheuerliche</w:t>
      </w:r>
      <w:r w:rsidRPr="00A06A59">
        <w:rPr>
          <w:rFonts w:ascii="Garamond" w:hAnsi="Garamond" w:cs="Arial"/>
          <w:color w:val="000000"/>
          <w:lang w:val="en-GB"/>
        </w:rPr>
        <w:t xml:space="preserve">. Zugleich aber gewinnt sie durch die Befreiung von den hinderlichen Denkkategorien eine größere Schmiegsamkeit, Behendigkeit, Wendungslust; sie ist aufs feinste empfindsam für die zarten Stimmungsreize des Gemüts, für die wühlerischen Affekte, sie bildet sofort das innere Leben in die äußere plastische Anschaulichkeit hinein. Der Traumphantasie </w:t>
      </w:r>
      <w:r w:rsidRPr="00A06A59">
        <w:rPr>
          <w:rFonts w:ascii="Garamond" w:hAnsi="Garamond" w:cs="Arial"/>
          <w:i/>
          <w:iCs/>
          <w:color w:val="000000"/>
          <w:lang w:val="en-GB"/>
        </w:rPr>
        <w:t>fehlt die Begriffssprache</w:t>
      </w:r>
      <w:r w:rsidRPr="00A06A59">
        <w:rPr>
          <w:rFonts w:ascii="Garamond" w:hAnsi="Garamond" w:cs="Arial"/>
          <w:color w:val="000000"/>
          <w:lang w:val="en-GB"/>
        </w:rPr>
        <w:t xml:space="preserve">; was sie sagen will, muß sie anschaulich hinmalen, und da der Begriff hier nicht schwächend einwirkt, malt sie es in Fülle, Kraft und Größe der Anschauungsform hin. Ihre Sprache wird hiedurch, so deutlich sie ist, weitläufig, schwerfällig, unbeholfen. Besonders erschwert wird die Deutlichkeit ihrer Sprache dadurch, daß sie die Abneigung hat, ein Objekt durch sein eigentliches Bild auszudrücken, und lieber ein </w:t>
      </w:r>
      <w:r w:rsidRPr="00A06A59">
        <w:rPr>
          <w:rFonts w:ascii="Garamond" w:hAnsi="Garamond" w:cs="Arial"/>
          <w:i/>
          <w:iCs/>
          <w:color w:val="000000"/>
          <w:lang w:val="en-GB"/>
        </w:rPr>
        <w:t>fremdes Bild</w:t>
      </w:r>
      <w:r w:rsidRPr="00A06A59">
        <w:rPr>
          <w:rFonts w:ascii="Garamond" w:hAnsi="Garamond" w:cs="Arial"/>
          <w:color w:val="000000"/>
          <w:lang w:val="en-GB"/>
        </w:rPr>
        <w:t xml:space="preserve"> wählt, insofern dieses nur dasjenige Moment des Objekts, an dessen Darstellung ihr liegt, durch sich auszudrücken imstande ist. Das ist die </w:t>
      </w:r>
      <w:r w:rsidRPr="00A06A59">
        <w:rPr>
          <w:rFonts w:ascii="Garamond" w:hAnsi="Garamond" w:cs="Arial"/>
          <w:i/>
          <w:iCs/>
          <w:color w:val="000000"/>
          <w:lang w:val="en-GB"/>
        </w:rPr>
        <w:t>symbolisierende Tätigkeit</w:t>
      </w:r>
      <w:r w:rsidRPr="00A06A59">
        <w:rPr>
          <w:rFonts w:ascii="Garamond" w:hAnsi="Garamond" w:cs="Arial"/>
          <w:color w:val="000000"/>
          <w:lang w:val="en-GB"/>
        </w:rPr>
        <w:t xml:space="preserve"> der Phantasie... Sehr wichtig ist ferner, daß die Traumphantasie die Gegenstände nicht erschöpfend, sondern nur in ihrem Umriß und diesen in freiester Weise nachbildet. Ihre Malereien erscheinen daher wie genial hingehaucht. Die Traumphantasie bleibt aber nicht bei der bloßen Hinstellung des Gegenstandes stehen, sondern sie ist innerlich genötigt, das Traum-Ich mehr oder weniger mit ihm zu verwickeln und so eine Handlung zu erzeugen. Der Gesichtsreiztraum z. B. malt Goldstücke auf die Straße; der Träumer sammelt sie, freut sich, trägt sie davon.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Material, an welchem die Traumphantasie ihre künstlerische Tätigkeit vollzieht, ist nach </w:t>
      </w:r>
      <w:r w:rsidRPr="00A06A59">
        <w:rPr>
          <w:rFonts w:ascii="Garamond" w:hAnsi="Garamond" w:cs="Arial"/>
          <w:i/>
          <w:iCs/>
          <w:color w:val="000000"/>
          <w:lang w:val="en-GB"/>
        </w:rPr>
        <w:t>Scherner</w:t>
      </w:r>
      <w:r w:rsidRPr="00A06A59">
        <w:rPr>
          <w:rFonts w:ascii="Garamond" w:hAnsi="Garamond" w:cs="Arial"/>
          <w:color w:val="000000"/>
          <w:lang w:val="en-GB"/>
        </w:rPr>
        <w:t xml:space="preserve"> vorwiegend das der bei Tag so dunkeln, organischen Leibreize (vgl. S. 22), so daß in der Annahme der Traumquellen und </w:t>
      </w:r>
      <w:r w:rsidRPr="00A06A59">
        <w:rPr>
          <w:rFonts w:ascii="Garamond" w:hAnsi="Garamond" w:cs="Arial"/>
          <w:color w:val="000000"/>
          <w:lang w:val="en-GB"/>
        </w:rPr>
        <w:lastRenderedPageBreak/>
        <w:t xml:space="preserve">Traumerreger die allzu phantastische Theorie </w:t>
      </w:r>
      <w:r w:rsidRPr="00A06A59">
        <w:rPr>
          <w:rFonts w:ascii="Garamond" w:hAnsi="Garamond" w:cs="Arial"/>
          <w:i/>
          <w:iCs/>
          <w:color w:val="000000"/>
          <w:lang w:val="en-GB"/>
        </w:rPr>
        <w:t>Scherners</w:t>
      </w:r>
      <w:r w:rsidRPr="00A06A59">
        <w:rPr>
          <w:rFonts w:ascii="Garamond" w:hAnsi="Garamond" w:cs="Arial"/>
          <w:color w:val="000000"/>
          <w:lang w:val="en-GB"/>
        </w:rPr>
        <w:t xml:space="preserve"> und die vielleicht übernüchterne Lehre </w:t>
      </w:r>
      <w:r w:rsidRPr="00A06A59">
        <w:rPr>
          <w:rFonts w:ascii="Garamond" w:hAnsi="Garamond" w:cs="Arial"/>
          <w:i/>
          <w:iCs/>
          <w:color w:val="000000"/>
          <w:lang w:val="en-GB"/>
        </w:rPr>
        <w:t>Wundts</w:t>
      </w:r>
      <w:r w:rsidRPr="00A06A59">
        <w:rPr>
          <w:rFonts w:ascii="Garamond" w:hAnsi="Garamond" w:cs="Arial"/>
          <w:color w:val="000000"/>
          <w:lang w:val="en-GB"/>
        </w:rPr>
        <w:t xml:space="preserve"> und anderer Physiologen, die sich sonst wie Antipoden zueinander verhalten, sich hier völlig decken. Aber während nach der physiologischen Theorie die seelische Reaktion auf die inneren Leibreize mit der Erweckung von irgend zu ihnen passenden Vorstellungen erschöpft ist, die dann einige andere Vorstellungen auf dem Wege der Assoziation sich zu Hilfe rufen, und mit diesem Stadium die Verfolgung der psychischen Vorgänge des Traums beendigt scheint, geben die Leibreize nach </w:t>
      </w:r>
      <w:r w:rsidRPr="00A06A59">
        <w:rPr>
          <w:rFonts w:ascii="Garamond" w:hAnsi="Garamond" w:cs="Arial"/>
          <w:i/>
          <w:iCs/>
          <w:color w:val="000000"/>
          <w:lang w:val="en-GB"/>
        </w:rPr>
        <w:t>Scherner</w:t>
      </w:r>
      <w:r w:rsidRPr="00A06A59">
        <w:rPr>
          <w:rFonts w:ascii="Garamond" w:hAnsi="Garamond" w:cs="Arial"/>
          <w:color w:val="000000"/>
          <w:lang w:val="en-GB"/>
        </w:rPr>
        <w:t xml:space="preserve"> der Seele nur ein Material, das sie ihren phantastischen Absichten dienstbar machen kann. Die Traumbildung fängt für Scherner dort erst an, wo sie für den Blick der anderen versiegt.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Zweckmäßig wird man freilich nicht finden können, was die Traumphantasie mit den Leibreizen vornimmt. Sie treibt ein neckendes Spiel mit ihnen, stellt sich die Organquelle, aus der die Reize im betreffenden Traum stammen, in irgendeiner plastischen Symbolik vor. Ja </w:t>
      </w:r>
      <w:r w:rsidRPr="00A06A59">
        <w:rPr>
          <w:rFonts w:ascii="Garamond" w:hAnsi="Garamond" w:cs="Arial"/>
          <w:i/>
          <w:iCs/>
          <w:color w:val="000000"/>
          <w:lang w:val="en-GB"/>
        </w:rPr>
        <w:t>Scherner</w:t>
      </w:r>
      <w:r w:rsidRPr="00A06A59">
        <w:rPr>
          <w:rFonts w:ascii="Garamond" w:hAnsi="Garamond" w:cs="Arial"/>
          <w:color w:val="000000"/>
          <w:lang w:val="en-GB"/>
        </w:rPr>
        <w:t xml:space="preserve"> meint, worin </w:t>
      </w:r>
      <w:r w:rsidRPr="00A06A59">
        <w:rPr>
          <w:rFonts w:ascii="Garamond" w:hAnsi="Garamond" w:cs="Arial"/>
          <w:i/>
          <w:iCs/>
          <w:color w:val="000000"/>
          <w:lang w:val="en-GB"/>
        </w:rPr>
        <w:t>Volkelt</w:t>
      </w:r>
      <w:r w:rsidRPr="00A06A59">
        <w:rPr>
          <w:rFonts w:ascii="Garamond" w:hAnsi="Garamond" w:cs="Arial"/>
          <w:color w:val="000000"/>
          <w:lang w:val="en-GB"/>
        </w:rPr>
        <w:t xml:space="preserve"> und andere ihm nicht folgen, daß die Traumphantasie eine bestimmte Lieblingsdarstellung für den ganzen Organismus habe; diese wäre das </w:t>
      </w:r>
      <w:r w:rsidRPr="00A06A59">
        <w:rPr>
          <w:rFonts w:ascii="Garamond" w:hAnsi="Garamond" w:cs="Arial"/>
          <w:i/>
          <w:iCs/>
          <w:color w:val="000000"/>
          <w:lang w:val="en-GB"/>
        </w:rPr>
        <w:t>Haus</w:t>
      </w:r>
      <w:r w:rsidRPr="00A06A59">
        <w:rPr>
          <w:rFonts w:ascii="Garamond" w:hAnsi="Garamond" w:cs="Arial"/>
          <w:color w:val="000000"/>
          <w:lang w:val="en-GB"/>
        </w:rPr>
        <w:t>. Sie scheint sich aber zum Glück für ihre Darstellungen nicht an diesen Stoff zu binden; sie kann auch umgekehrt ganze Reihen von Häusern benützen, um ein einzelnes Organ zu bezeichnen, z. B. sehr lange Häuserstraßen für den Eingeweidereiz. Andere Male stellen einzelne Teile des Hauses wirklich einzelne Körperteile dar, so z. B. im Kopfschmerztraum die Decke eines Zimmers (welche der Träumer mit ekelhaftigen krötenartigen Spinnen bedeckt sieht) den Kopf.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Von der Haussymbolik ganz abgesehen, werden beliebige andere Gegenstände zur Darstellung der den Traumreiz ausschickenden Körperteile verwendet. »So findet die atmende Lunge in dem flammenerfüllten Ofen mit seinem luftartigen Brausen ihr Symbol, das Herz in hohlen Kisten und Körben, die Harnblase in runden, beutelförmigen oder überhaupt nur ausgehöhlten Gegenständen. Der männliche Geschlechtsreiztraum läßt den Träumer den oberen Teil einer Klarinette, daneben den gleichen Teil einer Tabakspfeife, daneben wieder einen Pelz auf der Straße finden. Klarinette und Tabakspfeife stellen die annähernde Form des männlichen Gliedes, der Pelz das Schamhaar dar. Im weiblichen Geschlechtstraum kann sich die Schrittenge der zusammenschließenden Schenkel durch einen schmalen, von Häusern umschlossenen Hof, die weibliche Scheide durch einen mitten durch den Hofraum führenden, schlüpfrig weichen, sehr schmalen Fußpfad symbolisieren, den die Träumerin wandeln muß, um etwa einen Brief zu einem Herrn zu tragen.« ( </w:t>
      </w:r>
      <w:r w:rsidRPr="00A06A59">
        <w:rPr>
          <w:rFonts w:ascii="Garamond" w:hAnsi="Garamond" w:cs="Arial"/>
          <w:i/>
          <w:iCs/>
          <w:color w:val="000000"/>
          <w:lang w:val="en-GB"/>
        </w:rPr>
        <w:t>Volkelt</w:t>
      </w:r>
      <w:r w:rsidRPr="00A06A59">
        <w:rPr>
          <w:rFonts w:ascii="Garamond" w:hAnsi="Garamond" w:cs="Arial"/>
          <w:color w:val="000000"/>
          <w:lang w:val="en-GB"/>
        </w:rPr>
        <w:t>, S. 39.) Besonders wichtig ist es, daß am Schlusse eines solchen Leibreiztraumes die Traumphantasie sich sozusagen demaskiert, indem sie das erregende Organ oder dessen Funktion unverhüllt hinstellt. So schließt der »Zahnreiztraum« gewöhnlich damit, daß der Träumer sich einen Zahn aus dem Munde nimmt.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Traumphantasie kann ihre Aufmerksamkeit aber nicht bloß der Form des erregenden Organs zuwenden, sie kann ebensowohl die in ihm enthaltene Substanz zum Objekt der Symbolisierung nehmen. So führt z. B. der Eingeweidereiztraum durch kotige Straßen, der Harnreiztraum an schäumendes Wasser. Oder der Reiz als solcher, die Art seiner Erregtheit, das Objekt, das er begehrt, werden symbolisch dargestellt, oder das Traum-Ich tritt in konkrete Verbindung mit den Symbolisierungen des eigenen Zustandes, z. B. wenn wir bei Schmerzreizen uns mit beißenden Hunden oder tobenden Stieren verzweifelt balgen oder die Träumerin sich im Geschlechtstraum von einem nackten Manne verfolgt sieht. Von all dem möglichen Reichtum in der Ausführung abgesehen, bleibt eine symbolisierende Phantasietätigkeit als die Zentralkraft eines jeden Traumes bestehen. In den Charakter dieser Phantasie näher einzudringen, der so erkannten psychischen Tätigkeit ihre Stellung in einem System philosophischer Gedanken anzuweisen, versuchte dann Volkelt in seinem schön und warm geschriebenen Buch, das aber allzu schwer verständlich für jeden bleibt, der nicht durch frühe Schulung für das ahnungsvolle Erfassen philosophischer Begriffsschemen vorbereitet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nützliche Funktion ist mit der Betätigung der symbolisierenden Phantasie </w:t>
      </w:r>
      <w:r w:rsidRPr="00A06A59">
        <w:rPr>
          <w:rFonts w:ascii="Garamond" w:hAnsi="Garamond" w:cs="Arial"/>
          <w:i/>
          <w:iCs/>
          <w:color w:val="000000"/>
          <w:lang w:val="en-GB"/>
        </w:rPr>
        <w:t>Scherners</w:t>
      </w:r>
      <w:r w:rsidRPr="00A06A59">
        <w:rPr>
          <w:rFonts w:ascii="Garamond" w:hAnsi="Garamond" w:cs="Arial"/>
          <w:color w:val="000000"/>
          <w:lang w:val="en-GB"/>
        </w:rPr>
        <w:t xml:space="preserve"> in den Träumen nicht verbunden. Die Seele spielt träumend mit den ihr dargebotenen Reizen. Man könnte auf die Vermutung kommen, daß sie unartig spielt. Man könnte aber auch an uns die Frage richten, ob unsere eingehende Beschäftigung mit der </w:t>
      </w:r>
      <w:r w:rsidRPr="00A06A59">
        <w:rPr>
          <w:rFonts w:ascii="Garamond" w:hAnsi="Garamond" w:cs="Arial"/>
          <w:i/>
          <w:iCs/>
          <w:color w:val="000000"/>
          <w:lang w:val="en-GB"/>
        </w:rPr>
        <w:t>Scherner</w:t>
      </w:r>
      <w:r w:rsidRPr="00A06A59">
        <w:rPr>
          <w:rFonts w:ascii="Garamond" w:hAnsi="Garamond" w:cs="Arial"/>
          <w:color w:val="000000"/>
          <w:lang w:val="en-GB"/>
        </w:rPr>
        <w:t xml:space="preserve">schen Theorie des Traumes zu irgendetwas Nützlichem führen kann, deren Willkürlichkeit und Losgebundenheit von den Regeln aller Forschung doch allzu augenfällig scheint. Da wäre es denn am Platze, gegen eine Verwerfung der Lehre </w:t>
      </w:r>
      <w:r w:rsidRPr="00A06A59">
        <w:rPr>
          <w:rFonts w:ascii="Garamond" w:hAnsi="Garamond" w:cs="Arial"/>
          <w:i/>
          <w:iCs/>
          <w:color w:val="000000"/>
          <w:lang w:val="en-GB"/>
        </w:rPr>
        <w:t>Scherners</w:t>
      </w:r>
      <w:r w:rsidRPr="00A06A59">
        <w:rPr>
          <w:rFonts w:ascii="Garamond" w:hAnsi="Garamond" w:cs="Arial"/>
          <w:color w:val="000000"/>
          <w:lang w:val="en-GB"/>
        </w:rPr>
        <w:t xml:space="preserve"> vor aller Prüfung als allzu hochmütig ein Veto einzulegen. Diese Lehre baut sich auf dem Eindruck auf, den jemand von seinen Träumen empfing, der ihnen große Aufmerksamkeit schenkte und der persönlich sehr wohl veranlagt scheint, dunkeln seelischen Dingen nachzuspüren. Sie handelt ferner von einem Gegenstand, der den Menschen durch Jahrtausende rätselhaft wohl, aber zugleich inhalts- und beziehungsreich erschienen ist und zu dessen Erhellung die gestrenge Wissenschaft, wie sie selbst bekennt, nicht viel anderes beigetragen hat, als daß sie im vollen Gegensatz zur populären Empfindung dem Objekte Inhalt und Bedeutsamkeit abzusprechen versuchte. Endlich wollen wir uns ehrlich sagen, daß es den Anschein hat, wir könnten bei den Versuchen, den Traum aufzuklären, der Phantastik nicht leicht entgehen. Es gibt auch Ganglienzellenphantastik; die S. 54 zitierte Stelle eines nüchternen und exakten Forschers wie </w:t>
      </w:r>
      <w:r w:rsidRPr="00A06A59">
        <w:rPr>
          <w:rFonts w:ascii="Garamond" w:hAnsi="Garamond" w:cs="Arial"/>
          <w:i/>
          <w:iCs/>
          <w:color w:val="000000"/>
          <w:lang w:val="en-GB"/>
        </w:rPr>
        <w:t>Binz</w:t>
      </w:r>
      <w:r w:rsidRPr="00A06A59">
        <w:rPr>
          <w:rFonts w:ascii="Garamond" w:hAnsi="Garamond" w:cs="Arial"/>
          <w:color w:val="000000"/>
          <w:lang w:val="en-GB"/>
        </w:rPr>
        <w:t xml:space="preserve">, welche schildert, wie die Aurora des Erwachens </w:t>
      </w:r>
      <w:r w:rsidRPr="00A06A59">
        <w:rPr>
          <w:rFonts w:ascii="Garamond" w:hAnsi="Garamond" w:cs="Arial"/>
          <w:color w:val="000000"/>
          <w:lang w:val="en-GB"/>
        </w:rPr>
        <w:lastRenderedPageBreak/>
        <w:t xml:space="preserve">über die eingeschlafenen Zellhaufen der Hirnrinde hinzieht, steht an Phantastik und an – Unwahrscheinlichkeit hinter den </w:t>
      </w:r>
      <w:r w:rsidRPr="00A06A59">
        <w:rPr>
          <w:rFonts w:ascii="Garamond" w:hAnsi="Garamond" w:cs="Arial"/>
          <w:i/>
          <w:iCs/>
          <w:color w:val="000000"/>
          <w:lang w:val="en-GB"/>
        </w:rPr>
        <w:t>Scherner</w:t>
      </w:r>
      <w:r w:rsidRPr="00A06A59">
        <w:rPr>
          <w:rFonts w:ascii="Garamond" w:hAnsi="Garamond" w:cs="Arial"/>
          <w:color w:val="000000"/>
          <w:lang w:val="en-GB"/>
        </w:rPr>
        <w:t xml:space="preserve">schen Deutungsversuchen nicht zurück. Ich hoffe zeigen zu können, daß hinter den letzteren etwas Reelles steckt, das allerdings nur verschwommen erkannt worden ist und nicht den Charakter der Allgemeinheit besitzt, auf den eine Theorie des Traumes Anspruch erheben kann. Vorläufig kann uns die </w:t>
      </w:r>
      <w:r w:rsidRPr="00A06A59">
        <w:rPr>
          <w:rFonts w:ascii="Garamond" w:hAnsi="Garamond" w:cs="Arial"/>
          <w:i/>
          <w:iCs/>
          <w:color w:val="000000"/>
          <w:lang w:val="en-GB"/>
        </w:rPr>
        <w:t>Scherner</w:t>
      </w:r>
      <w:r w:rsidRPr="00A06A59">
        <w:rPr>
          <w:rFonts w:ascii="Garamond" w:hAnsi="Garamond" w:cs="Arial"/>
          <w:color w:val="000000"/>
          <w:lang w:val="en-GB"/>
        </w:rPr>
        <w:t>sche Theorie des Traumes in ihrem Gegensatz zur medizinischen etwa vor Augen führen, zwischen welchen Extremen die Erklärung des Traumlebens heute noch unsicher schwankt.</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H. Beziehungen zwischen Traum und Geisteskrankheiten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Wer von der Beziehung des Traumes zu den Geistesstörungen spricht, kann dreierlei meinen: 1) ätiologische und klinische Beziehungen, etwa wenn ein Traum einen psychotischen Zustand vertritt, einleitet oder nach ihm erübrigt, 2) Veränderungen, die das Traumleben im Falle der Geisteskrankheit erleidet, 3) Innere Beziehungen zwischen Traum und Psychosen, Analogien, die auf Wesensverwandtschaft hindeuten. Diese mannigfachen Beziehungen zwischen den beiden Reihen von Phänomenen sind in früheren Zeiten der Medizin – und in der Gegenwart von neuem wieder – ein Lieblingsthema ärztlicher Autoren gewesen, wie die bei </w:t>
      </w:r>
      <w:r w:rsidRPr="00A06A59">
        <w:rPr>
          <w:rFonts w:ascii="Garamond" w:hAnsi="Garamond" w:cs="Arial"/>
          <w:i/>
          <w:iCs/>
          <w:color w:val="000000"/>
          <w:lang w:val="en-GB"/>
        </w:rPr>
        <w:t>Spitta</w:t>
      </w:r>
      <w:r w:rsidRPr="00A06A59">
        <w:rPr>
          <w:rFonts w:ascii="Garamond" w:hAnsi="Garamond" w:cs="Arial"/>
          <w:color w:val="000000"/>
          <w:lang w:val="en-GB"/>
        </w:rPr>
        <w:t xml:space="preserve">, </w:t>
      </w:r>
      <w:r w:rsidRPr="00A06A59">
        <w:rPr>
          <w:rFonts w:ascii="Garamond" w:hAnsi="Garamond" w:cs="Arial"/>
          <w:i/>
          <w:iCs/>
          <w:color w:val="000000"/>
          <w:lang w:val="en-GB"/>
        </w:rPr>
        <w:t>Radestock</w:t>
      </w:r>
      <w:r w:rsidRPr="00A06A59">
        <w:rPr>
          <w:rFonts w:ascii="Garamond" w:hAnsi="Garamond" w:cs="Arial"/>
          <w:color w:val="000000"/>
          <w:lang w:val="en-GB"/>
        </w:rPr>
        <w:t xml:space="preserve">, </w:t>
      </w:r>
      <w:r w:rsidRPr="00A06A59">
        <w:rPr>
          <w:rFonts w:ascii="Garamond" w:hAnsi="Garamond" w:cs="Arial"/>
          <w:i/>
          <w:iCs/>
          <w:color w:val="000000"/>
          <w:lang w:val="en-GB"/>
        </w:rPr>
        <w:t>Maury</w:t>
      </w:r>
      <w:r w:rsidRPr="00A06A59">
        <w:rPr>
          <w:rFonts w:ascii="Garamond" w:hAnsi="Garamond" w:cs="Arial"/>
          <w:color w:val="000000"/>
          <w:lang w:val="en-GB"/>
        </w:rPr>
        <w:t xml:space="preserve"> und </w:t>
      </w:r>
      <w:r w:rsidRPr="00A06A59">
        <w:rPr>
          <w:rFonts w:ascii="Garamond" w:hAnsi="Garamond" w:cs="Arial"/>
          <w:i/>
          <w:iCs/>
          <w:color w:val="000000"/>
          <w:lang w:val="en-GB"/>
        </w:rPr>
        <w:t>Tissié</w:t>
      </w:r>
      <w:r w:rsidRPr="00A06A59">
        <w:rPr>
          <w:rFonts w:ascii="Garamond" w:hAnsi="Garamond" w:cs="Arial"/>
          <w:color w:val="000000"/>
          <w:lang w:val="en-GB"/>
        </w:rPr>
        <w:t xml:space="preserve"> gesammelte Literatur des Gegenstandes lehrt. Jüngst hat Sante de Sanctis diesem Zusammenhange seine Aufmerksamkeit zugewendet </w:t>
      </w:r>
      <w:hyperlink r:id="rId3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Spätere Autoren, die solche Beziehungen behandeln, sind: </w:t>
        </w:r>
        <w:r w:rsidRPr="00A06A59">
          <w:rPr>
            <w:rStyle w:val="innerfusslink3"/>
            <w:rFonts w:ascii="Garamond" w:hAnsi="Garamond" w:cs="Arial"/>
            <w:b/>
            <w:bCs/>
            <w:i/>
            <w:iCs/>
            <w:lang w:val="en-GB"/>
          </w:rPr>
          <w:t>Féré</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Ideler</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Laségue</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Pichon</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Régis</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Vespa</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Gießler</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Kazowsky</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Pachantoni</w:t>
        </w:r>
        <w:r w:rsidRPr="00A06A59">
          <w:rPr>
            <w:rStyle w:val="innerfusslink3"/>
            <w:rFonts w:ascii="Garamond" w:hAnsi="Garamond" w:cs="Arial"/>
            <w:b/>
            <w:bCs/>
            <w:lang w:val="en-GB"/>
          </w:rPr>
          <w:t xml:space="preserve"> u. a.</w:t>
        </w:r>
      </w:hyperlink>
      <w:r w:rsidRPr="00A06A59">
        <w:rPr>
          <w:rFonts w:ascii="Garamond" w:hAnsi="Garamond" w:cs="Arial"/>
          <w:color w:val="000000"/>
          <w:lang w:val="en-GB"/>
        </w:rPr>
        <w:t>. Dem Interesse unserer Darstellung wird es genügen, den bedeutsamen Gegenstand bloß zu streifen.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 den klinischen und ätiologischen Beziehungen zwischen Traum und Psychosen will ich folgende Beobachtungen als Paradigmata mitteilen. Hohnbaum berichtet (bei </w:t>
      </w:r>
      <w:r w:rsidRPr="00A06A59">
        <w:rPr>
          <w:rFonts w:ascii="Garamond" w:hAnsi="Garamond" w:cs="Arial"/>
          <w:i/>
          <w:iCs/>
          <w:color w:val="000000"/>
          <w:lang w:val="en-GB"/>
        </w:rPr>
        <w:t>Krauß</w:t>
      </w:r>
      <w:r w:rsidRPr="00A06A59">
        <w:rPr>
          <w:rFonts w:ascii="Garamond" w:hAnsi="Garamond" w:cs="Arial"/>
          <w:color w:val="000000"/>
          <w:lang w:val="en-GB"/>
        </w:rPr>
        <w:t xml:space="preserve">), daß der erste Ausbruch des Wahnsinns sich öfters von einem ängstlichen, schreckhaften Traum herschrieb und daß die vorherrschende Idee mit diesem Traume in Verbindung stand. </w:t>
      </w:r>
      <w:r w:rsidRPr="00A06A59">
        <w:rPr>
          <w:rFonts w:ascii="Garamond" w:hAnsi="Garamond" w:cs="Arial"/>
          <w:color w:val="000000"/>
        </w:rPr>
        <w:t xml:space="preserve">Sante de Sanctis bringt ähnliche Beobachtungen von Paranoischen und erklärt den Traum in einzelnen derselben für die » </w:t>
      </w:r>
      <w:r w:rsidRPr="00A06A59">
        <w:rPr>
          <w:rFonts w:ascii="Garamond" w:hAnsi="Garamond" w:cs="Arial"/>
          <w:i/>
          <w:iCs/>
          <w:color w:val="000000"/>
        </w:rPr>
        <w:t>vraie cause déterminante de la folie</w:t>
      </w:r>
      <w:r w:rsidRPr="00A06A59">
        <w:rPr>
          <w:rFonts w:ascii="Garamond" w:hAnsi="Garamond" w:cs="Arial"/>
          <w:color w:val="000000"/>
        </w:rPr>
        <w:t xml:space="preserve">«. Die Psychose kann mit dem wirksamen, die wahnhafte Aufklärung enthaltenden Traum mit einem Schlag ins Leben treten oder sich durch weitere Träume, die noch gegen Zweifel anzukämpfen haben, langsam entwickeln. </w:t>
      </w:r>
      <w:r w:rsidRPr="00A06A59">
        <w:rPr>
          <w:rFonts w:ascii="Garamond" w:hAnsi="Garamond" w:cs="Arial"/>
          <w:color w:val="000000"/>
          <w:lang w:val="en-GB"/>
        </w:rPr>
        <w:t xml:space="preserve">In einem Falle von </w:t>
      </w:r>
      <w:r w:rsidRPr="00A06A59">
        <w:rPr>
          <w:rFonts w:ascii="Garamond" w:hAnsi="Garamond" w:cs="Arial"/>
          <w:i/>
          <w:iCs/>
          <w:color w:val="000000"/>
          <w:lang w:val="en-GB"/>
        </w:rPr>
        <w:t>de Sanctis</w:t>
      </w:r>
      <w:r w:rsidRPr="00A06A59">
        <w:rPr>
          <w:rFonts w:ascii="Garamond" w:hAnsi="Garamond" w:cs="Arial"/>
          <w:color w:val="000000"/>
          <w:lang w:val="en-GB"/>
        </w:rPr>
        <w:t xml:space="preserve"> schlossen sich an den ergreifenden Traum leichte hysterische Anfälle, dann in weiterer Folge ein ängstlich-melancholischer Zustand. </w:t>
      </w:r>
      <w:r w:rsidRPr="00A06A59">
        <w:rPr>
          <w:rFonts w:ascii="Garamond" w:hAnsi="Garamond" w:cs="Arial"/>
          <w:i/>
          <w:iCs/>
          <w:color w:val="000000"/>
          <w:lang w:val="en-GB"/>
        </w:rPr>
        <w:t>Féré</w:t>
      </w:r>
      <w:r w:rsidRPr="00A06A59">
        <w:rPr>
          <w:rFonts w:ascii="Garamond" w:hAnsi="Garamond" w:cs="Arial"/>
          <w:color w:val="000000"/>
          <w:lang w:val="en-GB"/>
        </w:rPr>
        <w:t xml:space="preserve"> (bei </w:t>
      </w:r>
      <w:r w:rsidRPr="00A06A59">
        <w:rPr>
          <w:rFonts w:ascii="Garamond" w:hAnsi="Garamond" w:cs="Arial"/>
          <w:i/>
          <w:iCs/>
          <w:color w:val="000000"/>
          <w:lang w:val="en-GB"/>
        </w:rPr>
        <w:t>Tissié</w:t>
      </w:r>
      <w:r w:rsidRPr="00A06A59">
        <w:rPr>
          <w:rFonts w:ascii="Garamond" w:hAnsi="Garamond" w:cs="Arial"/>
          <w:color w:val="000000"/>
          <w:lang w:val="en-GB"/>
        </w:rPr>
        <w:t xml:space="preserve">) berichtet von einem Traum, der eine hysterische Lähmung zur Folge hatte. Hier wird uns der Traum als Ätiologie der Geistesstörung vorgeführt, obwohl wir dem Tatbestand ebenso Rechnung tragen, wenn wir aussagen, die geistige Störung habe ihre erste Äußerung am Traumleben gezeigt, sei im Traum zuerst durchgebrochen. In anderen Beispielen enthält das Traumleben die krankhaften Symptome, oder die Psychose bleibt aufs Traumleben eingeschränkt. So macht </w:t>
      </w:r>
      <w:r w:rsidRPr="00A06A59">
        <w:rPr>
          <w:rFonts w:ascii="Garamond" w:hAnsi="Garamond" w:cs="Arial"/>
          <w:i/>
          <w:iCs/>
          <w:color w:val="000000"/>
          <w:lang w:val="en-GB"/>
        </w:rPr>
        <w:t>Thomayer</w:t>
      </w:r>
      <w:r w:rsidRPr="00A06A59">
        <w:rPr>
          <w:rFonts w:ascii="Garamond" w:hAnsi="Garamond" w:cs="Arial"/>
          <w:color w:val="000000"/>
          <w:lang w:val="en-GB"/>
        </w:rPr>
        <w:t xml:space="preserve"> auf </w:t>
      </w:r>
      <w:r w:rsidRPr="00A06A59">
        <w:rPr>
          <w:rFonts w:ascii="Garamond" w:hAnsi="Garamond" w:cs="Arial"/>
          <w:i/>
          <w:iCs/>
          <w:color w:val="000000"/>
          <w:lang w:val="en-GB"/>
        </w:rPr>
        <w:t>Angstträume</w:t>
      </w:r>
      <w:r w:rsidRPr="00A06A59">
        <w:rPr>
          <w:rFonts w:ascii="Garamond" w:hAnsi="Garamond" w:cs="Arial"/>
          <w:color w:val="000000"/>
          <w:lang w:val="en-GB"/>
        </w:rPr>
        <w:t xml:space="preserve"> aufmerksam, die als Äquivalente von epileptischen Anfällen aufgefaßt werden müssen. Allison hat nächtliche Geisteskrankheit ( </w:t>
      </w:r>
      <w:r w:rsidRPr="00A06A59">
        <w:rPr>
          <w:rFonts w:ascii="Garamond" w:hAnsi="Garamond" w:cs="Arial"/>
          <w:i/>
          <w:iCs/>
          <w:color w:val="000000"/>
          <w:lang w:val="en-GB"/>
        </w:rPr>
        <w:t>nocturnal insanity</w:t>
      </w:r>
      <w:r w:rsidRPr="00A06A59">
        <w:rPr>
          <w:rFonts w:ascii="Garamond" w:hAnsi="Garamond" w:cs="Arial"/>
          <w:color w:val="000000"/>
          <w:lang w:val="en-GB"/>
        </w:rPr>
        <w:t xml:space="preserve">) beschrieben (nach </w:t>
      </w:r>
      <w:r w:rsidRPr="00A06A59">
        <w:rPr>
          <w:rFonts w:ascii="Garamond" w:hAnsi="Garamond" w:cs="Arial"/>
          <w:i/>
          <w:iCs/>
          <w:color w:val="000000"/>
          <w:lang w:val="en-GB"/>
        </w:rPr>
        <w:t>Radestock</w:t>
      </w:r>
      <w:r w:rsidRPr="00A06A59">
        <w:rPr>
          <w:rFonts w:ascii="Garamond" w:hAnsi="Garamond" w:cs="Arial"/>
          <w:color w:val="000000"/>
          <w:lang w:val="en-GB"/>
        </w:rPr>
        <w:t xml:space="preserve">), bei der die Individuen tagsüber anscheinend vollkommen gesund sind, während bei Nacht regelmäßig Halluzinationen, Tobsuchtsanfälle u. dgl. auftreten. Ähnliche Beobachtungen bei </w:t>
      </w:r>
      <w:r w:rsidRPr="00A06A59">
        <w:rPr>
          <w:rFonts w:ascii="Garamond" w:hAnsi="Garamond" w:cs="Arial"/>
          <w:i/>
          <w:iCs/>
          <w:color w:val="000000"/>
          <w:lang w:val="en-GB"/>
        </w:rPr>
        <w:t>de Sanctis</w:t>
      </w:r>
      <w:r w:rsidRPr="00A06A59">
        <w:rPr>
          <w:rFonts w:ascii="Garamond" w:hAnsi="Garamond" w:cs="Arial"/>
          <w:color w:val="000000"/>
          <w:lang w:val="en-GB"/>
        </w:rPr>
        <w:t xml:space="preserve"> (paranoisches Traumäquivalent bei einem Alkoholiker, Stimmen, die die Ehefrau der Untreue beschuldigen); bei </w:t>
      </w:r>
      <w:r w:rsidRPr="00A06A59">
        <w:rPr>
          <w:rFonts w:ascii="Garamond" w:hAnsi="Garamond" w:cs="Arial"/>
          <w:i/>
          <w:iCs/>
          <w:color w:val="000000"/>
          <w:lang w:val="en-GB"/>
        </w:rPr>
        <w:t>Tissié</w:t>
      </w:r>
      <w:r w:rsidRPr="00A06A59">
        <w:rPr>
          <w:rFonts w:ascii="Garamond" w:hAnsi="Garamond" w:cs="Arial"/>
          <w:color w:val="000000"/>
          <w:lang w:val="en-GB"/>
        </w:rPr>
        <w:t xml:space="preserve">. </w:t>
      </w:r>
      <w:r w:rsidRPr="00A06A59">
        <w:rPr>
          <w:rFonts w:ascii="Garamond" w:hAnsi="Garamond" w:cs="Arial"/>
          <w:i/>
          <w:iCs/>
          <w:color w:val="000000"/>
          <w:lang w:val="en-GB"/>
        </w:rPr>
        <w:t>Tissié</w:t>
      </w:r>
      <w:r w:rsidRPr="00A06A59">
        <w:rPr>
          <w:rFonts w:ascii="Garamond" w:hAnsi="Garamond" w:cs="Arial"/>
          <w:color w:val="000000"/>
          <w:lang w:val="en-GB"/>
        </w:rPr>
        <w:t xml:space="preserve"> bringt aus neuerer Zeit eine reiche Anzahl von Beobachtungen, in denen Handlungen pathologischen Charakters (aus Wahnvoraussetzungen, Zwangsimpulse) sich aus Träumen ableiten. </w:t>
      </w:r>
      <w:r w:rsidRPr="00A06A59">
        <w:rPr>
          <w:rFonts w:ascii="Garamond" w:hAnsi="Garamond" w:cs="Arial"/>
          <w:i/>
          <w:iCs/>
          <w:color w:val="000000"/>
          <w:lang w:val="en-GB"/>
        </w:rPr>
        <w:t>Guislain</w:t>
      </w:r>
      <w:r w:rsidRPr="00A06A59">
        <w:rPr>
          <w:rFonts w:ascii="Garamond" w:hAnsi="Garamond" w:cs="Arial"/>
          <w:color w:val="000000"/>
          <w:lang w:val="en-GB"/>
        </w:rPr>
        <w:t xml:space="preserve"> beschreibt einen Fall, in dem der Schlaf durch ein intermittierendes Irresein ersetzt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Es ist wohl kein Zweifel, daß eines Tages neben der Psychologie des Traumes eine Psychopathologie des Traumes die Ärzte beschäftigen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Besonders deutlich wird es häufig in Fällen von Genesung nach Geisteskrankheit, daß bei gesunder Funktion am Tage das Traumleben noch der Psychose angehören kann. </w:t>
      </w:r>
      <w:r w:rsidRPr="00A06A59">
        <w:rPr>
          <w:rFonts w:ascii="Garamond" w:hAnsi="Garamond" w:cs="Arial"/>
          <w:i/>
          <w:iCs/>
          <w:color w:val="000000"/>
          <w:lang w:val="en-GB"/>
        </w:rPr>
        <w:t>Gregory</w:t>
      </w:r>
      <w:r w:rsidRPr="00A06A59">
        <w:rPr>
          <w:rFonts w:ascii="Garamond" w:hAnsi="Garamond" w:cs="Arial"/>
          <w:color w:val="000000"/>
          <w:lang w:val="en-GB"/>
        </w:rPr>
        <w:t xml:space="preserve"> soll auf dieses Vorkommen zuerst aufmerksam gemacht haben (nach Krauß). </w:t>
      </w:r>
      <w:r w:rsidRPr="00A06A59">
        <w:rPr>
          <w:rFonts w:ascii="Garamond" w:hAnsi="Garamond" w:cs="Arial"/>
          <w:i/>
          <w:iCs/>
          <w:color w:val="000000"/>
          <w:lang w:val="en-GB"/>
        </w:rPr>
        <w:t>Macario</w:t>
      </w:r>
      <w:r w:rsidRPr="00A06A59">
        <w:rPr>
          <w:rFonts w:ascii="Garamond" w:hAnsi="Garamond" w:cs="Arial"/>
          <w:color w:val="000000"/>
          <w:lang w:val="en-GB"/>
        </w:rPr>
        <w:t xml:space="preserve"> (bei </w:t>
      </w:r>
      <w:r w:rsidRPr="00A06A59">
        <w:rPr>
          <w:rFonts w:ascii="Garamond" w:hAnsi="Garamond" w:cs="Arial"/>
          <w:i/>
          <w:iCs/>
          <w:color w:val="000000"/>
          <w:lang w:val="en-GB"/>
        </w:rPr>
        <w:t>Tissié</w:t>
      </w:r>
      <w:r w:rsidRPr="00A06A59">
        <w:rPr>
          <w:rFonts w:ascii="Garamond" w:hAnsi="Garamond" w:cs="Arial"/>
          <w:color w:val="000000"/>
          <w:lang w:val="en-GB"/>
        </w:rPr>
        <w:t>) erzählt von einem Maniacus, der eine Woche nach seiner völligen Herstellung in Träumen die Ideenflucht und die leidenschaftlichen Antriebe seiner Krankheit wieder erlebte.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Über die Veränderungen, welche das Traumleben bei dauernd Psychotischen erfährt, sind bis jetzt nur sehr wenige Untersuchungen angestellt worden. Dagegen hat die innere Verwandtschaft zwischen Traum und Geistesstörung, die sich in so weitgehender Übereinstimmung der Erscheinungen beider äußert, frühzeitig Beachtung gefunden. </w:t>
      </w:r>
      <w:r w:rsidRPr="00A06A59">
        <w:rPr>
          <w:rFonts w:ascii="Garamond" w:hAnsi="Garamond" w:cs="Arial"/>
          <w:color w:val="000000"/>
        </w:rPr>
        <w:t xml:space="preserve">Nach </w:t>
      </w:r>
      <w:r w:rsidRPr="00A06A59">
        <w:rPr>
          <w:rFonts w:ascii="Garamond" w:hAnsi="Garamond" w:cs="Arial"/>
          <w:i/>
          <w:iCs/>
          <w:color w:val="000000"/>
        </w:rPr>
        <w:t>Maury</w:t>
      </w:r>
      <w:r w:rsidRPr="00A06A59">
        <w:rPr>
          <w:rFonts w:ascii="Garamond" w:hAnsi="Garamond" w:cs="Arial"/>
          <w:color w:val="000000"/>
        </w:rPr>
        <w:t xml:space="preserve"> hat zuerst </w:t>
      </w:r>
      <w:r w:rsidRPr="00A06A59">
        <w:rPr>
          <w:rFonts w:ascii="Garamond" w:hAnsi="Garamond" w:cs="Arial"/>
          <w:i/>
          <w:iCs/>
          <w:color w:val="000000"/>
        </w:rPr>
        <w:t>Cabanis</w:t>
      </w:r>
      <w:r w:rsidRPr="00A06A59">
        <w:rPr>
          <w:rFonts w:ascii="Garamond" w:hAnsi="Garamond" w:cs="Arial"/>
          <w:color w:val="000000"/>
        </w:rPr>
        <w:t xml:space="preserve"> in seinen </w:t>
      </w:r>
      <w:r w:rsidRPr="00A06A59">
        <w:rPr>
          <w:rFonts w:ascii="Garamond" w:hAnsi="Garamond" w:cs="Arial"/>
          <w:i/>
          <w:iCs/>
          <w:color w:val="000000"/>
        </w:rPr>
        <w:t>Rapports du physique et du moral</w:t>
      </w:r>
      <w:r w:rsidRPr="00A06A59">
        <w:rPr>
          <w:rFonts w:ascii="Garamond" w:hAnsi="Garamond" w:cs="Arial"/>
          <w:color w:val="000000"/>
        </w:rPr>
        <w:t xml:space="preserve"> auf sie hingewiesen, nach ihm </w:t>
      </w:r>
      <w:r w:rsidRPr="00A06A59">
        <w:rPr>
          <w:rFonts w:ascii="Garamond" w:hAnsi="Garamond" w:cs="Arial"/>
          <w:i/>
          <w:iCs/>
          <w:color w:val="000000"/>
        </w:rPr>
        <w:t>Lélut</w:t>
      </w:r>
      <w:r w:rsidRPr="00A06A59">
        <w:rPr>
          <w:rFonts w:ascii="Garamond" w:hAnsi="Garamond" w:cs="Arial"/>
          <w:color w:val="000000"/>
        </w:rPr>
        <w:t xml:space="preserve">, J. </w:t>
      </w:r>
      <w:r w:rsidRPr="00A06A59">
        <w:rPr>
          <w:rFonts w:ascii="Garamond" w:hAnsi="Garamond" w:cs="Arial"/>
          <w:i/>
          <w:iCs/>
          <w:color w:val="000000"/>
        </w:rPr>
        <w:t>Moreau</w:t>
      </w:r>
      <w:r w:rsidRPr="00A06A59">
        <w:rPr>
          <w:rFonts w:ascii="Garamond" w:hAnsi="Garamond" w:cs="Arial"/>
          <w:color w:val="000000"/>
        </w:rPr>
        <w:t xml:space="preserve"> und ganz besonders der Philosoph </w:t>
      </w:r>
      <w:r w:rsidRPr="00A06A59">
        <w:rPr>
          <w:rFonts w:ascii="Garamond" w:hAnsi="Garamond" w:cs="Arial"/>
          <w:i/>
          <w:iCs/>
          <w:color w:val="000000"/>
        </w:rPr>
        <w:t>Maine de Biran</w:t>
      </w:r>
      <w:r w:rsidRPr="00A06A59">
        <w:rPr>
          <w:rFonts w:ascii="Garamond" w:hAnsi="Garamond" w:cs="Arial"/>
          <w:color w:val="000000"/>
        </w:rPr>
        <w:t xml:space="preserve">. </w:t>
      </w:r>
      <w:r w:rsidRPr="00A06A59">
        <w:rPr>
          <w:rFonts w:ascii="Garamond" w:hAnsi="Garamond" w:cs="Arial"/>
          <w:color w:val="000000"/>
          <w:lang w:val="en-GB"/>
        </w:rPr>
        <w:t xml:space="preserve">Sicherlich ist die Vergleichung noch älter. </w:t>
      </w:r>
      <w:r w:rsidRPr="00A06A59">
        <w:rPr>
          <w:rFonts w:ascii="Garamond" w:hAnsi="Garamond" w:cs="Arial"/>
          <w:i/>
          <w:iCs/>
          <w:color w:val="000000"/>
          <w:lang w:val="en-GB"/>
        </w:rPr>
        <w:t>Radestock</w:t>
      </w:r>
      <w:r w:rsidRPr="00A06A59">
        <w:rPr>
          <w:rFonts w:ascii="Garamond" w:hAnsi="Garamond" w:cs="Arial"/>
          <w:color w:val="000000"/>
          <w:lang w:val="en-GB"/>
        </w:rPr>
        <w:t xml:space="preserve"> leitet das Kapitel, in dem er sie behandelt, mit einer Sammlung von Aussprüchen ein, welche Traum und Wahnsinn in Analogie bringen. </w:t>
      </w:r>
      <w:r w:rsidRPr="00A06A59">
        <w:rPr>
          <w:rFonts w:ascii="Garamond" w:hAnsi="Garamond" w:cs="Arial"/>
          <w:i/>
          <w:iCs/>
          <w:color w:val="000000"/>
          <w:lang w:val="en-GB"/>
        </w:rPr>
        <w:t>Kant</w:t>
      </w:r>
      <w:r w:rsidRPr="00A06A59">
        <w:rPr>
          <w:rFonts w:ascii="Garamond" w:hAnsi="Garamond" w:cs="Arial"/>
          <w:color w:val="000000"/>
          <w:lang w:val="en-GB"/>
        </w:rPr>
        <w:t xml:space="preserve"> sagt an einer Stelle: »Der Verrückte ist ein Träumer im Wachen.« </w:t>
      </w:r>
      <w:r w:rsidRPr="00A06A59">
        <w:rPr>
          <w:rFonts w:ascii="Garamond" w:hAnsi="Garamond" w:cs="Arial"/>
          <w:i/>
          <w:iCs/>
          <w:color w:val="000000"/>
          <w:lang w:val="en-GB"/>
        </w:rPr>
        <w:t>Krauß</w:t>
      </w:r>
      <w:r w:rsidRPr="00A06A59">
        <w:rPr>
          <w:rFonts w:ascii="Garamond" w:hAnsi="Garamond" w:cs="Arial"/>
          <w:color w:val="000000"/>
          <w:lang w:val="en-GB"/>
        </w:rPr>
        <w:t xml:space="preserve">: »Der Wahnsinn ist ein Traum innerhalb des Sinnenwachseins.« </w:t>
      </w:r>
      <w:r w:rsidRPr="00A06A59">
        <w:rPr>
          <w:rFonts w:ascii="Garamond" w:hAnsi="Garamond" w:cs="Arial"/>
          <w:i/>
          <w:iCs/>
          <w:color w:val="000000"/>
          <w:lang w:val="en-GB"/>
        </w:rPr>
        <w:t>Schopenhauer</w:t>
      </w:r>
      <w:r w:rsidRPr="00A06A59">
        <w:rPr>
          <w:rFonts w:ascii="Garamond" w:hAnsi="Garamond" w:cs="Arial"/>
          <w:color w:val="000000"/>
          <w:lang w:val="en-GB"/>
        </w:rPr>
        <w:t xml:space="preserve"> nennt den Traum einen kurzen Wahnsinn und den Wahnsinn einen langen Traum. </w:t>
      </w:r>
      <w:r w:rsidRPr="00A06A59">
        <w:rPr>
          <w:rFonts w:ascii="Garamond" w:hAnsi="Garamond" w:cs="Arial"/>
          <w:i/>
          <w:iCs/>
          <w:color w:val="000000"/>
          <w:lang w:val="en-GB"/>
        </w:rPr>
        <w:t>Hagen</w:t>
      </w:r>
      <w:r w:rsidRPr="00A06A59">
        <w:rPr>
          <w:rFonts w:ascii="Garamond" w:hAnsi="Garamond" w:cs="Arial"/>
          <w:color w:val="000000"/>
          <w:lang w:val="en-GB"/>
        </w:rPr>
        <w:t xml:space="preserve"> bezeichnet das Delirium als Traumleben, welches nicht durch Schlaf, sondern durch Krankheiten herbeigeführt </w:t>
      </w:r>
      <w:r w:rsidRPr="00A06A59">
        <w:rPr>
          <w:rFonts w:ascii="Garamond" w:hAnsi="Garamond" w:cs="Arial"/>
          <w:color w:val="000000"/>
          <w:lang w:val="en-GB"/>
        </w:rPr>
        <w:lastRenderedPageBreak/>
        <w:t xml:space="preserve">ist. </w:t>
      </w:r>
      <w:r w:rsidRPr="00A06A59">
        <w:rPr>
          <w:rFonts w:ascii="Garamond" w:hAnsi="Garamond" w:cs="Arial"/>
          <w:i/>
          <w:iCs/>
          <w:color w:val="000000"/>
          <w:lang w:val="en-GB"/>
        </w:rPr>
        <w:t>Wundt</w:t>
      </w:r>
      <w:r w:rsidRPr="00A06A59">
        <w:rPr>
          <w:rFonts w:ascii="Garamond" w:hAnsi="Garamond" w:cs="Arial"/>
          <w:color w:val="000000"/>
          <w:lang w:val="en-GB"/>
        </w:rPr>
        <w:t xml:space="preserve"> äußert in der </w:t>
      </w:r>
      <w:r w:rsidRPr="00A06A59">
        <w:rPr>
          <w:rFonts w:ascii="Garamond" w:hAnsi="Garamond" w:cs="Arial"/>
          <w:i/>
          <w:iCs/>
          <w:color w:val="000000"/>
          <w:lang w:val="en-GB"/>
        </w:rPr>
        <w:t>Physiologischen Psychologie</w:t>
      </w:r>
      <w:r w:rsidRPr="00A06A59">
        <w:rPr>
          <w:rFonts w:ascii="Garamond" w:hAnsi="Garamond" w:cs="Arial"/>
          <w:color w:val="000000"/>
          <w:lang w:val="en-GB"/>
        </w:rPr>
        <w:t>: »In der Tat können wir im Traum fast alle Erscheinungen, die uns in den Irrenhäusern begegnen, selber durchleben.«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einzelnen Übereinstimmungen, auf Grund deren eine solche Gleichstellung sich dem Urteil empfiehlt, zählt </w:t>
      </w:r>
      <w:r w:rsidRPr="00A06A59">
        <w:rPr>
          <w:rFonts w:ascii="Garamond" w:hAnsi="Garamond" w:cs="Arial"/>
          <w:i/>
          <w:iCs/>
          <w:color w:val="000000"/>
          <w:lang w:val="en-GB"/>
        </w:rPr>
        <w:t>Spitta</w:t>
      </w:r>
      <w:r w:rsidRPr="00A06A59">
        <w:rPr>
          <w:rFonts w:ascii="Garamond" w:hAnsi="Garamond" w:cs="Arial"/>
          <w:color w:val="000000"/>
          <w:lang w:val="en-GB"/>
        </w:rPr>
        <w:t xml:space="preserve"> (übrigens sehr ähnlich wie </w:t>
      </w:r>
      <w:r w:rsidRPr="00A06A59">
        <w:rPr>
          <w:rFonts w:ascii="Garamond" w:hAnsi="Garamond" w:cs="Arial"/>
          <w:i/>
          <w:iCs/>
          <w:color w:val="000000"/>
          <w:lang w:val="en-GB"/>
        </w:rPr>
        <w:t>Maury</w:t>
      </w:r>
      <w:r w:rsidRPr="00A06A59">
        <w:rPr>
          <w:rFonts w:ascii="Garamond" w:hAnsi="Garamond" w:cs="Arial"/>
          <w:color w:val="000000"/>
          <w:lang w:val="en-GB"/>
        </w:rPr>
        <w:t>) in folgender Reihe auf: »1) Aufhebung oder doch Retardation des Selbstbewußtseins, infolgedessen Unkenntnis über den Zustand als solchen, also Unmöglichkeit des Erstaunens, Mangel des moralischen Bewußtseins, 2) Modifizierte Perzeption der Sinnesorgane, und zwar im Traum verminderte, im Wahnsinn im allgemeinen sehr gesteigerte, 3) Verbindung der Vorstellungen untereinander lediglich nach den Gesetzen der Assoziation und Reproduktion, also automatische Reihenbildung, daher Unproportionalität der Verhältnisse zwischen den Vorstellungen (Übertreibungen, Phantasmen) und aus alledem resultierend: 4) Veränderung beziehungsweise Umkehrung der Persönlichkeit und zuweilen der Eigentümlichkeiten des Charakters (Perversitäten).«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Radestock</w:t>
      </w:r>
      <w:r w:rsidRPr="00A06A59">
        <w:rPr>
          <w:rFonts w:ascii="Garamond" w:hAnsi="Garamond" w:cs="Arial"/>
          <w:color w:val="000000"/>
          <w:lang w:val="en-GB"/>
        </w:rPr>
        <w:t xml:space="preserve"> fügt noch einige Züge hinzu, Analogien im Material: »Im Gebiet des Gesichts- und Gehörsinnes und des Gemeingefühls findet man die meisten Halluzinationen und Illusionen. Die wenigsten Elemente liefern wie beim Traum der Geruch- und Geschmacksinn. – Dem Fieberkranken steigen in den Delirien wie dem Träumenden Erinnerungen aus langer Vergangenheit auf; was der Wachende und Gesunde vergessen zu haben schien, dessen erinnert sich der Schlafende und Kranke.« – Die Analogie von Traum und Psychose erhält erst dadurch ihren vollen Wert, daß sie sich wie eine Familienähnlichkeit in die feinere Mimik und bis auf einzelne Auffälligkeiten des Gesichtsausdruckes erstreckt.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»Dem von körperlichen und geistigen Leiden Gequälten gewährt der Traum, was die Wirklichkeit versagte: Wohlsein und Glück; so heben sich auch bei dem Geisteskranken die lichten Bilder von Glück, Größe, Erhabenheit und Reichtum. Der vermeintliche Besitz von Gütern und die imaginäre Erfüllung von Wünschen, deren Verweigerung oder Vernichtung eben einen psychischen Grund des Irreseins abgaben, machen häufig den Hauptinhalt des Deliriums aus. Die Frau, die ein teures Kind verloren, deliriert in Mutterfreuden, wer Vermögensverluste erlitten, hält sich für außerordentlich reich, das betrogene Mädchen sieht sich zärtlich geliebt.«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Stelle </w:t>
      </w:r>
      <w:r w:rsidRPr="00A06A59">
        <w:rPr>
          <w:rFonts w:ascii="Garamond" w:hAnsi="Garamond" w:cs="Arial"/>
          <w:i/>
          <w:iCs/>
          <w:color w:val="000000"/>
          <w:lang w:val="en-GB"/>
        </w:rPr>
        <w:t>Radestock</w:t>
      </w:r>
      <w:r w:rsidRPr="00A06A59">
        <w:rPr>
          <w:rFonts w:ascii="Garamond" w:hAnsi="Garamond" w:cs="Arial"/>
          <w:color w:val="000000"/>
          <w:lang w:val="en-GB"/>
        </w:rPr>
        <w:t xml:space="preserve">s ist die Abkürzung einer feinsinnigen Ausführung von Griesinger [S. 111], die mit aller Klarheit die </w:t>
      </w:r>
      <w:r w:rsidRPr="00A06A59">
        <w:rPr>
          <w:rFonts w:ascii="Garamond" w:hAnsi="Garamond" w:cs="Arial"/>
          <w:i/>
          <w:iCs/>
          <w:color w:val="000000"/>
          <w:lang w:val="en-GB"/>
        </w:rPr>
        <w:t>Wunscherfüllung</w:t>
      </w:r>
      <w:r w:rsidRPr="00A06A59">
        <w:rPr>
          <w:rFonts w:ascii="Garamond" w:hAnsi="Garamond" w:cs="Arial"/>
          <w:color w:val="000000"/>
          <w:lang w:val="en-GB"/>
        </w:rPr>
        <w:t xml:space="preserve"> als einen dem Traum und der Psychose gemeinsamen Charakter des Vorstellens enthüllt. Meine eigenen Untersuchungen haben mich gelehrt, daß hier der Schlüssel zu einer psychologischen Theorie des Traumes und der Psychosen zu finden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»Barocke Gedankenverbindungen und Schwäche des Urteils sind es, welche den Traum und den Wahnsinn hauptsächlich charakterisieren.« Die </w:t>
      </w:r>
      <w:r w:rsidRPr="00A06A59">
        <w:rPr>
          <w:rFonts w:ascii="Garamond" w:hAnsi="Garamond" w:cs="Arial"/>
          <w:i/>
          <w:iCs/>
          <w:color w:val="000000"/>
          <w:lang w:val="en-GB"/>
        </w:rPr>
        <w:t>Überschätzung</w:t>
      </w:r>
      <w:r w:rsidRPr="00A06A59">
        <w:rPr>
          <w:rFonts w:ascii="Garamond" w:hAnsi="Garamond" w:cs="Arial"/>
          <w:color w:val="000000"/>
          <w:lang w:val="en-GB"/>
        </w:rPr>
        <w:t xml:space="preserve"> der eigenen geistigen Leistungen, die dem nüchternen Urteil als unsinnig erscheinen, findet sich hier wie dort; dem </w:t>
      </w:r>
      <w:r w:rsidRPr="00A06A59">
        <w:rPr>
          <w:rFonts w:ascii="Garamond" w:hAnsi="Garamond" w:cs="Arial"/>
          <w:i/>
          <w:iCs/>
          <w:color w:val="000000"/>
          <w:lang w:val="en-GB"/>
        </w:rPr>
        <w:t>rapiden Vorstellungsverlauf</w:t>
      </w:r>
      <w:r w:rsidRPr="00A06A59">
        <w:rPr>
          <w:rFonts w:ascii="Garamond" w:hAnsi="Garamond" w:cs="Arial"/>
          <w:color w:val="000000"/>
          <w:lang w:val="en-GB"/>
        </w:rPr>
        <w:t xml:space="preserve"> des Traumes entspricht die </w:t>
      </w:r>
      <w:r w:rsidRPr="00A06A59">
        <w:rPr>
          <w:rFonts w:ascii="Garamond" w:hAnsi="Garamond" w:cs="Arial"/>
          <w:i/>
          <w:iCs/>
          <w:color w:val="000000"/>
          <w:lang w:val="en-GB"/>
        </w:rPr>
        <w:t>Ideenflucht</w:t>
      </w:r>
      <w:r w:rsidRPr="00A06A59">
        <w:rPr>
          <w:rFonts w:ascii="Garamond" w:hAnsi="Garamond" w:cs="Arial"/>
          <w:color w:val="000000"/>
          <w:lang w:val="en-GB"/>
        </w:rPr>
        <w:t xml:space="preserve"> der Psychose. Bei beiden fehlt jedes </w:t>
      </w:r>
      <w:r w:rsidRPr="00A06A59">
        <w:rPr>
          <w:rFonts w:ascii="Garamond" w:hAnsi="Garamond" w:cs="Arial"/>
          <w:i/>
          <w:iCs/>
          <w:color w:val="000000"/>
          <w:lang w:val="en-GB"/>
        </w:rPr>
        <w:t>Zeitmaß.</w:t>
      </w:r>
      <w:r w:rsidRPr="00A06A59">
        <w:rPr>
          <w:rFonts w:ascii="Garamond" w:hAnsi="Garamond" w:cs="Arial"/>
          <w:color w:val="000000"/>
          <w:lang w:val="en-GB"/>
        </w:rPr>
        <w:t xml:space="preserve"> Die </w:t>
      </w:r>
      <w:r w:rsidRPr="00A06A59">
        <w:rPr>
          <w:rFonts w:ascii="Garamond" w:hAnsi="Garamond" w:cs="Arial"/>
          <w:i/>
          <w:iCs/>
          <w:color w:val="000000"/>
          <w:lang w:val="en-GB"/>
        </w:rPr>
        <w:t>Spaltung der Persönlichkeit</w:t>
      </w:r>
      <w:r w:rsidRPr="00A06A59">
        <w:rPr>
          <w:rFonts w:ascii="Garamond" w:hAnsi="Garamond" w:cs="Arial"/>
          <w:color w:val="000000"/>
          <w:lang w:val="en-GB"/>
        </w:rPr>
        <w:t xml:space="preserve"> im Traume, welche z. B. das eigene Wissen auf zwei Personen verteilt, von denen die fremde das eigene Ich im Traume korrigiert, ist völlig gleichwertig der bekannten Persönlichkeitsteilung bei halluzinatorischer Paranoia; auch der Träumer hört die eigenen Gedanken von fremden Stimmen vorgebracht. Selbst für die konstanten Wahnideen findet sich eine Analogie in den stereotyp wiederkehrenden pathologischen Träumen ( </w:t>
      </w:r>
      <w:r w:rsidRPr="00A06A59">
        <w:rPr>
          <w:rFonts w:ascii="Garamond" w:hAnsi="Garamond" w:cs="Arial"/>
          <w:i/>
          <w:iCs/>
          <w:color w:val="000000"/>
          <w:lang w:val="en-GB"/>
        </w:rPr>
        <w:t>rêve obsédant</w:t>
      </w:r>
      <w:r w:rsidRPr="00A06A59">
        <w:rPr>
          <w:rFonts w:ascii="Garamond" w:hAnsi="Garamond" w:cs="Arial"/>
          <w:color w:val="000000"/>
          <w:lang w:val="en-GB"/>
        </w:rPr>
        <w:t>). – Nach der Genesung von einem Delirium sagen die Kranken nicht selten, daß ihnen die ganze Zeit ihrer Krankheit wie ein oft nicht unbehaglicher Traum erscheint, ja sie teilen uns mit, daß sie gelegentlich noch während der Krankheit geahnt haben, sie seien nur in einem Traume befangen, ganz wie es oft im Schlaftraum vorkommt.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Nach alledem ist es nicht zu verwundern, wenn </w:t>
      </w:r>
      <w:r w:rsidRPr="00A06A59">
        <w:rPr>
          <w:rFonts w:ascii="Garamond" w:hAnsi="Garamond" w:cs="Arial"/>
          <w:i/>
          <w:iCs/>
          <w:color w:val="000000"/>
          <w:lang w:val="en-GB"/>
        </w:rPr>
        <w:t>Radestock</w:t>
      </w:r>
      <w:r w:rsidRPr="00A06A59">
        <w:rPr>
          <w:rFonts w:ascii="Garamond" w:hAnsi="Garamond" w:cs="Arial"/>
          <w:color w:val="000000"/>
          <w:lang w:val="en-GB"/>
        </w:rPr>
        <w:t xml:space="preserve"> seine wie vieler anderer Meinung in den Worten zusammenfaßt, daß »der Wahnsinn, eine anormale krankhafte Erscheinung, als eine Steigerung des periodisch wiederkehrenden normalen Traumzustandes zu betrachten ist«. (S. 228.)</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Noch inniger vielleicht, als es durch diese Analogie der sich äußernden Phänomene möglich ist, hat </w:t>
      </w:r>
      <w:r w:rsidRPr="00A06A59">
        <w:rPr>
          <w:rFonts w:ascii="Garamond" w:hAnsi="Garamond" w:cs="Arial"/>
          <w:i/>
          <w:iCs/>
          <w:color w:val="000000"/>
          <w:lang w:val="en-GB"/>
        </w:rPr>
        <w:t>Krauß</w:t>
      </w:r>
      <w:r w:rsidRPr="00A06A59">
        <w:rPr>
          <w:rFonts w:ascii="Garamond" w:hAnsi="Garamond" w:cs="Arial"/>
          <w:color w:val="000000"/>
          <w:lang w:val="en-GB"/>
        </w:rPr>
        <w:t xml:space="preserve"> die Verwandtschaft von Traum und Wahnsinn in der Ätiologie (vielmehr: in den Erregungsquellen) begründen wollen. Das beiden gemeinschaftliche Grundelement ist nach ihm, wie wir gehört haben, die </w:t>
      </w:r>
      <w:r w:rsidRPr="00A06A59">
        <w:rPr>
          <w:rFonts w:ascii="Garamond" w:hAnsi="Garamond" w:cs="Arial"/>
          <w:i/>
          <w:iCs/>
          <w:color w:val="000000"/>
          <w:lang w:val="en-GB"/>
        </w:rPr>
        <w:t>organisch bedingte Empfindung</w:t>
      </w:r>
      <w:r w:rsidRPr="00A06A59">
        <w:rPr>
          <w:rFonts w:ascii="Garamond" w:hAnsi="Garamond" w:cs="Arial"/>
          <w:color w:val="000000"/>
          <w:lang w:val="en-GB"/>
        </w:rPr>
        <w:t xml:space="preserve">, die Leibreizsensation, das durch Beiträge von allen Organen her zustande gekommene Gemeingefühl (vgl. </w:t>
      </w:r>
      <w:r w:rsidRPr="00A06A59">
        <w:rPr>
          <w:rFonts w:ascii="Garamond" w:hAnsi="Garamond" w:cs="Arial"/>
          <w:i/>
          <w:iCs/>
          <w:color w:val="000000"/>
          <w:lang w:val="en-GB"/>
        </w:rPr>
        <w:t>Peisse</w:t>
      </w:r>
      <w:r w:rsidRPr="00A06A59">
        <w:rPr>
          <w:rFonts w:ascii="Garamond" w:hAnsi="Garamond" w:cs="Arial"/>
          <w:color w:val="000000"/>
          <w:lang w:val="en-GB"/>
        </w:rPr>
        <w:t xml:space="preserve">, bei </w:t>
      </w:r>
      <w:r w:rsidRPr="00A06A59">
        <w:rPr>
          <w:rFonts w:ascii="Garamond" w:hAnsi="Garamond" w:cs="Arial"/>
          <w:i/>
          <w:iCs/>
          <w:color w:val="000000"/>
          <w:lang w:val="en-GB"/>
        </w:rPr>
        <w:t>Maury</w:t>
      </w:r>
      <w:r w:rsidRPr="00A06A59">
        <w:rPr>
          <w:rFonts w:ascii="Garamond" w:hAnsi="Garamond" w:cs="Arial"/>
          <w:color w:val="000000"/>
          <w:lang w:val="en-GB"/>
        </w:rPr>
        <w:t>, p. 52).</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nicht zu bestreitende, bis in charakteristische Einzelheiten reichende Übereinstimmung von Traum und Geistesstörung gehört zu den stärksten Stützen der medizinischen Theorie des Traumlebens, nach welcher sich der Traum als unnützer und störender Vorgang und als Ausdruck einer herabgesetzten Seelentätigkeit darstellt. Man wird indes nicht erwarten können, die endgültige Aufklärung über den Traum von den Seelenstörungen her zu empfangen, wo es allgemein bekannt ist, in welch unbefriedigendem Zustand unsere Einsicht in den Hergang der letzteren sich </w:t>
      </w:r>
      <w:r w:rsidRPr="00A06A59">
        <w:rPr>
          <w:rFonts w:ascii="Garamond" w:hAnsi="Garamond" w:cs="Arial"/>
          <w:color w:val="000000"/>
          <w:lang w:val="en-GB"/>
        </w:rPr>
        <w:lastRenderedPageBreak/>
        <w:t>befindet. Wohl aber ist es wahrscheinlich, daß eine veränderte Auffassung des Traumes unsere Meinungen über den inneren Mechanismus der Geistesstörungen mitbeeinflussen muß, und so dürfen wir sagen, daß wir an der Aufklärung der Psychosen arbeiten, wenn wir uns bemühen, das Geheimnis des Traumes aufzuhellen.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Zusatz 1909:</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bedarf einer Rechtfertigung, daß ich die Literatur der Traumprobleme nicht auch über den Zeitabschnitt vom ersten Erscheinen bis zur zweiten Auflage dieses Buches fortgeführt habe. Dieselbe mag dem Leser wenig befriedigend erscheinen; ich bin nichtsdestoweniger durch sie bestimmt worden. Die Motive, die mich überhaupt zu einer Darstellung der Behandlung des Traumes in der Literatur veranlaßt hatten, waren mit der vorstehenden Einleitung erschöpft; eine Fortsetzung dieser Arbeit hätte mich außerordentliche Bemühung gekostet und sehr wenig Nutzen oder Belehrung gebracht. Denn der in Rede stehende Zeitraum von neun Jahren hat weder an tatsächlichem Material noch an Gesichtspunkten für die Auffassung des Traumes Neues oder Wertvolles gebracht. Meine Arbeit ist in den meisten seither veröffentlichten Publikationen unerwähnt und unberücksichtigt geblieben; am wenigsten Beachtung hat sie natürlich bei den sogenannten »Traumforschern« gefunden, die von der dem wissenschaftlichen Menschen eigenen Abneigung, etwas Neues zu erlernen, hiemit ein glänzendes Beispiel gegeben haben, » </w:t>
      </w:r>
      <w:r w:rsidRPr="00A06A59">
        <w:rPr>
          <w:rFonts w:ascii="Garamond" w:hAnsi="Garamond" w:cs="Arial"/>
          <w:i/>
          <w:iCs/>
          <w:color w:val="000000"/>
          <w:lang w:val="en-GB"/>
        </w:rPr>
        <w:t>Les savants ne sont pas curieux</w:t>
      </w:r>
      <w:r w:rsidRPr="00A06A59">
        <w:rPr>
          <w:rFonts w:ascii="Garamond" w:hAnsi="Garamond" w:cs="Arial"/>
          <w:color w:val="000000"/>
          <w:lang w:val="en-GB"/>
        </w:rPr>
        <w:t xml:space="preserve">«, meint der Spötter Anatole </w:t>
      </w:r>
      <w:r w:rsidRPr="00A06A59">
        <w:rPr>
          <w:rFonts w:ascii="Garamond" w:hAnsi="Garamond" w:cs="Arial"/>
          <w:i/>
          <w:iCs/>
          <w:color w:val="000000"/>
          <w:lang w:val="en-GB"/>
        </w:rPr>
        <w:t>France</w:t>
      </w:r>
      <w:r w:rsidRPr="00A06A59">
        <w:rPr>
          <w:rFonts w:ascii="Garamond" w:hAnsi="Garamond" w:cs="Arial"/>
          <w:color w:val="000000"/>
          <w:lang w:val="en-GB"/>
        </w:rPr>
        <w:t>. Wenn es in der Wissenschaft ein Recht zur Revanche gibt, so wäre ich wohl berechtigt, auch meinerseits die Literatur seit dem Erscheinen dieses Buches zu vernachlässigen. Die wenigen Berichterstattungen, die sich in wissenschaftlichen Journalen gezeigt haben, sind so voll von Unverstand und Mißverständnissen, daß ich den Kritikern mit nichts anderem als mit der Aufforderung, dieses Buch noch einmal zu lesen, antworten könnte. Vielleicht dürfte die Aufforderung auch lauten: es überhaupt zu lesen.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US"/>
        </w:rPr>
      </w:pPr>
      <w:r w:rsidRPr="00A06A59">
        <w:rPr>
          <w:rFonts w:ascii="Garamond" w:hAnsi="Garamond" w:cs="Arial"/>
          <w:color w:val="000000"/>
          <w:lang w:val="en-GB"/>
        </w:rPr>
        <w:t xml:space="preserve">In den Arbeiten jener Ärzte, welche sich zur Anwendung des psychoanalytischen Heilverfahrens entschlossen haben, und anderer sind reichlich Träume veröffentlicht und nach meinen Anweisungen gedeutet worden. Soweit diese Arbeiten über die Bestätigung meiner Aufstellungen hinausgehen, habe ich deren Ergebnisse in den Zusammenhang meiner Darstellung eingetragen. Ein zweites Literaturverzeichnis am Ende stellt die wichtigsten Veröffentlichungen seit dem ersten Erscheinen dieses Buches zusammen. </w:t>
      </w:r>
      <w:hyperlink r:id="rId39" w:anchor="#" w:history="1">
        <w:r w:rsidRPr="00A06A59">
          <w:rPr>
            <w:rStyle w:val="fusslink"/>
            <w:rFonts w:ascii="Garamond" w:hAnsi="Garamond" w:cs="Arial"/>
            <w:b/>
            <w:bCs/>
            <w:color w:val="003399"/>
          </w:rPr>
          <w:t>[Fußnote]</w:t>
        </w:r>
        <w:r w:rsidRPr="00A06A59">
          <w:rPr>
            <w:rStyle w:val="innerfusslink3"/>
            <w:rFonts w:ascii="Garamond" w:hAnsi="Garamond" w:cs="Arial"/>
            <w:b/>
            <w:bCs/>
          </w:rPr>
          <w:t>In dieser Bearbeitung (1930) weggelassen.</w:t>
        </w:r>
      </w:hyperlink>
      <w:r w:rsidRPr="00A06A59">
        <w:rPr>
          <w:rFonts w:ascii="Garamond" w:hAnsi="Garamond" w:cs="Arial"/>
          <w:color w:val="000000"/>
        </w:rPr>
        <w:t xml:space="preserve"> Das reichhaltige Buch von </w:t>
      </w:r>
      <w:r w:rsidRPr="00A06A59">
        <w:rPr>
          <w:rFonts w:ascii="Garamond" w:hAnsi="Garamond" w:cs="Arial"/>
          <w:i/>
          <w:iCs/>
          <w:color w:val="000000"/>
        </w:rPr>
        <w:t>Sante de Sanctis</w:t>
      </w:r>
      <w:r w:rsidRPr="00A06A59">
        <w:rPr>
          <w:rFonts w:ascii="Garamond" w:hAnsi="Garamond" w:cs="Arial"/>
          <w:color w:val="000000"/>
        </w:rPr>
        <w:t xml:space="preserve"> über die Träume, dem bald nach seinem Erscheinen eine Übersetzung ins Deutsche zuteil geworden ist, hat sich mit meiner </w:t>
      </w:r>
      <w:r w:rsidRPr="00A06A59">
        <w:rPr>
          <w:rFonts w:ascii="Garamond" w:hAnsi="Garamond" w:cs="Arial"/>
          <w:i/>
          <w:iCs/>
          <w:color w:val="000000"/>
        </w:rPr>
        <w:t>Traumdeutung</w:t>
      </w:r>
      <w:r w:rsidRPr="00A06A59">
        <w:rPr>
          <w:rFonts w:ascii="Garamond" w:hAnsi="Garamond" w:cs="Arial"/>
          <w:color w:val="000000"/>
        </w:rPr>
        <w:t xml:space="preserve"> zeitlich gekreuzt, so daß ich von ihm ebensowenig Notiz nehmen konnte wie der italienische Autor von mir. </w:t>
      </w:r>
      <w:r w:rsidRPr="00A06A59">
        <w:rPr>
          <w:rFonts w:ascii="Garamond" w:hAnsi="Garamond" w:cs="Arial"/>
          <w:color w:val="000000"/>
          <w:lang w:val="en-US"/>
        </w:rPr>
        <w:t>Ich mußte dann leider urteilen, daß seine fleißige Arbeit überaus arm an Ideen sei, so arm, daß man aus ihr nicht einmal die Möglichkeit der bei mir behandelten Probleme ahnen könnte.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habe nur zweier Erscheinungen zu gedenken, die nahe an meine Behandlung der Traumprobleme streifen. Ein jüngerer Philosoph, H. </w:t>
      </w:r>
      <w:r w:rsidRPr="00A06A59">
        <w:rPr>
          <w:rFonts w:ascii="Garamond" w:hAnsi="Garamond" w:cs="Arial"/>
          <w:i/>
          <w:iCs/>
          <w:color w:val="000000"/>
          <w:lang w:val="en-GB"/>
        </w:rPr>
        <w:t>Swoboda</w:t>
      </w:r>
      <w:r w:rsidRPr="00A06A59">
        <w:rPr>
          <w:rFonts w:ascii="Garamond" w:hAnsi="Garamond" w:cs="Arial"/>
          <w:color w:val="000000"/>
          <w:lang w:val="en-GB"/>
        </w:rPr>
        <w:t xml:space="preserve">, der es unternommen hat, die Entdeckung der biologischen Periodizität (in Reihen von 23 und 28 Tagen), die von Wilh. </w:t>
      </w:r>
      <w:r w:rsidRPr="00A06A59">
        <w:rPr>
          <w:rFonts w:ascii="Garamond" w:hAnsi="Garamond" w:cs="Arial"/>
          <w:i/>
          <w:iCs/>
          <w:color w:val="000000"/>
          <w:lang w:val="en-GB"/>
        </w:rPr>
        <w:t>Fließ</w:t>
      </w:r>
      <w:r w:rsidRPr="00A06A59">
        <w:rPr>
          <w:rFonts w:ascii="Garamond" w:hAnsi="Garamond" w:cs="Arial"/>
          <w:color w:val="000000"/>
          <w:lang w:val="en-GB"/>
        </w:rPr>
        <w:t xml:space="preserve"> herrührt, auf das psychische Geschehen auszudehnen, hat in einer phantasievollen Schrift </w:t>
      </w:r>
      <w:hyperlink r:id="rId4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H. </w:t>
        </w:r>
        <w:r w:rsidRPr="00A06A59">
          <w:rPr>
            <w:rStyle w:val="innerfusslink3"/>
            <w:rFonts w:ascii="Garamond" w:hAnsi="Garamond" w:cs="Arial"/>
            <w:b/>
            <w:bCs/>
            <w:i/>
            <w:iCs/>
            <w:lang w:val="en-GB"/>
          </w:rPr>
          <w:t>Swoboda</w:t>
        </w:r>
        <w:r w:rsidRPr="00A06A59">
          <w:rPr>
            <w:rStyle w:val="innerfusslink3"/>
            <w:rFonts w:ascii="Garamond" w:hAnsi="Garamond" w:cs="Arial"/>
            <w:b/>
            <w:bCs/>
            <w:lang w:val="en-GB"/>
          </w:rPr>
          <w:t>, Die Perioden des menschlichen Organismus, 1904</w:t>
        </w:r>
      </w:hyperlink>
      <w:r w:rsidRPr="00A06A59">
        <w:rPr>
          <w:rFonts w:ascii="Garamond" w:hAnsi="Garamond" w:cs="Arial"/>
          <w:color w:val="000000"/>
          <w:lang w:val="en-GB"/>
        </w:rPr>
        <w:t xml:space="preserve"> mit diesem Schlüssel unter anderem auch das Rätsel der Träume lösen wollen. Die Bedeutung der Träume wäre dabei zu kurz gekommen; das Inhaltsmaterial derselben würde sich durch das Zusammentreffen all jener Erinnerungen erklären, die in jener Nacht gerade eine der biologischen Perioden zum ersten- oder n-tenmal vollenden. Eine persönliche Mitteilung des Autors ließ mich zuerst annehmen, daß er selbst diese Lehre nicht mehr ernsthaft vertreten wolle. Es scheint, daß ich mich in diesem Schluß geirrt habe; ich werde an anderer Stelle einige Beobachtungen zu der Aufstellung </w:t>
      </w:r>
      <w:r w:rsidRPr="00A06A59">
        <w:rPr>
          <w:rFonts w:ascii="Garamond" w:hAnsi="Garamond" w:cs="Arial"/>
          <w:i/>
          <w:iCs/>
          <w:color w:val="000000"/>
          <w:lang w:val="en-GB"/>
        </w:rPr>
        <w:t>Swobodas</w:t>
      </w:r>
      <w:r w:rsidRPr="00A06A59">
        <w:rPr>
          <w:rFonts w:ascii="Garamond" w:hAnsi="Garamond" w:cs="Arial"/>
          <w:color w:val="000000"/>
          <w:lang w:val="en-GB"/>
        </w:rPr>
        <w:t xml:space="preserve"> mitteilen, die mir aber ein überzeugendes Ergebnis nicht gebracht haben. Bei weitem erfreulicher war mir der Zufall, an unerwarteter Stelle eine Auffassung des Traumes zu finden, die sich mit dem Kern der meinigen völlig deckt. Die Zeitverhältnisse schließen die Möglichkeit aus, daß jene Äußerung durch die Lektüre meines Buches beeinflußt worden sei; ich muß also in ihr die einzige in der Literatur nachweisbare Übereinstimmung eines unabhängigen Denkers mit dem Wesen meiner Traumlehre begrüßen. Das Buch, in dem sich die von mir ins Auge gefaßte Stelle über das Träumen findet, ist </w:t>
      </w:r>
      <w:smartTag w:uri="urn:schemas-microsoft-com:office:smarttags" w:element="metricconverter">
        <w:smartTagPr>
          <w:attr w:name="ProductID" w:val="1900 in"/>
        </w:smartTagPr>
        <w:r w:rsidRPr="00A06A59">
          <w:rPr>
            <w:rFonts w:ascii="Garamond" w:hAnsi="Garamond" w:cs="Arial"/>
            <w:color w:val="000000"/>
            <w:lang w:val="en-GB"/>
          </w:rPr>
          <w:t>1900 in</w:t>
        </w:r>
      </w:smartTag>
      <w:r w:rsidRPr="00A06A59">
        <w:rPr>
          <w:rFonts w:ascii="Garamond" w:hAnsi="Garamond" w:cs="Arial"/>
          <w:color w:val="000000"/>
          <w:lang w:val="en-GB"/>
        </w:rPr>
        <w:t xml:space="preserve"> zweiter Auflage unter dem Titel »Phantasien eines Realisten« von </w:t>
      </w:r>
      <w:r w:rsidRPr="00A06A59">
        <w:rPr>
          <w:rFonts w:ascii="Garamond" w:hAnsi="Garamond" w:cs="Arial"/>
          <w:i/>
          <w:iCs/>
          <w:color w:val="000000"/>
          <w:lang w:val="en-GB"/>
        </w:rPr>
        <w:t>Lynkeus</w:t>
      </w:r>
      <w:r w:rsidRPr="00A06A59">
        <w:rPr>
          <w:rFonts w:ascii="Garamond" w:hAnsi="Garamond" w:cs="Arial"/>
          <w:color w:val="000000"/>
          <w:lang w:val="en-GB"/>
        </w:rPr>
        <w:t xml:space="preserve"> veröffentlicht worden. </w:t>
      </w:r>
      <w:hyperlink r:id="rId4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Man vgl. ›J </w:t>
        </w:r>
        <w:r w:rsidRPr="00A06A59">
          <w:rPr>
            <w:rStyle w:val="innerfusslink3"/>
            <w:rFonts w:ascii="Garamond" w:hAnsi="Garamond" w:cs="Arial"/>
            <w:b/>
            <w:bCs/>
            <w:i/>
            <w:iCs/>
            <w:lang w:val="en-GB"/>
          </w:rPr>
          <w:t>osef Popper-Lynkeus</w:t>
        </w:r>
        <w:r w:rsidRPr="00A06A59">
          <w:rPr>
            <w:rStyle w:val="innerfusslink3"/>
            <w:rFonts w:ascii="Garamond" w:hAnsi="Garamond" w:cs="Arial"/>
            <w:b/>
            <w:bCs/>
            <w:lang w:val="en-GB"/>
          </w:rPr>
          <w:t xml:space="preserve"> und die Theorie des Traumes‹ (1923) im Band XI meiner »Gesammelten Schriften«.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Zusatz 1914:</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vorstehende Rechtfertigung ist im Jahre 1909 niedergeschrieben worden. Seither hat sich die Sachlage allerdings geändert; mein Beitrag zur »Traumdeutung« wird in der Literatur nicht mehr übersehen. Allein die neue Situation macht mir die Fortsetzung des vorstehenden Berichts erst recht unmöglich. Die </w:t>
      </w:r>
      <w:r w:rsidRPr="00A06A59">
        <w:rPr>
          <w:rFonts w:ascii="Garamond" w:hAnsi="Garamond" w:cs="Arial"/>
          <w:i/>
          <w:iCs/>
          <w:color w:val="000000"/>
          <w:lang w:val="en-GB"/>
        </w:rPr>
        <w:t>Traumdeutung</w:t>
      </w:r>
      <w:r w:rsidRPr="00A06A59">
        <w:rPr>
          <w:rFonts w:ascii="Garamond" w:hAnsi="Garamond" w:cs="Arial"/>
          <w:color w:val="000000"/>
          <w:lang w:val="en-GB"/>
        </w:rPr>
        <w:t xml:space="preserve"> hat eine ganze Reihe neuer Behauptungen und Probleme gebracht, die nun von den Autoren in verschiedenster Weise erörtert worden sind. Ich kann diese Arbeiten doch nicht darstellen, ehe ich meine eigenen Ansichten entwickelt habe, auf welche die </w:t>
      </w:r>
      <w:r w:rsidRPr="00A06A59">
        <w:rPr>
          <w:rFonts w:ascii="Garamond" w:hAnsi="Garamond" w:cs="Arial"/>
          <w:color w:val="000000"/>
          <w:lang w:val="en-GB"/>
        </w:rPr>
        <w:lastRenderedPageBreak/>
        <w:t>Autoren sich beziehen. Was mir an dieser neuesten Literatur wertvoll erschien, habe ich darum im Zusammenhange meiner nun folgenden Ausführungen gewürdigt.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br w:type="page"/>
      </w:r>
    </w:p>
    <w:p w:rsidR="00A06A59" w:rsidRPr="00A06A59" w:rsidRDefault="00B437A1" w:rsidP="00A06A59">
      <w:pPr>
        <w:shd w:val="clear" w:color="auto" w:fill="FFFFFF"/>
        <w:tabs>
          <w:tab w:val="left" w:pos="7513"/>
          <w:tab w:val="left" w:pos="9639"/>
        </w:tabs>
        <w:spacing w:before="221" w:after="44" w:line="306" w:lineRule="atLeast"/>
        <w:ind w:left="-426" w:right="-567"/>
        <w:outlineLvl w:val="3"/>
        <w:rPr>
          <w:rFonts w:ascii="Garamond" w:hAnsi="Garamond" w:cs="Arial"/>
          <w:b/>
          <w:bCs/>
          <w:color w:val="000000"/>
        </w:rPr>
      </w:pPr>
      <w:hyperlink w:anchor="inhalt" w:history="1">
        <w:r w:rsidR="00A06A59" w:rsidRPr="00A06A59">
          <w:rPr>
            <w:rStyle w:val="Lienhypertexte"/>
            <w:rFonts w:ascii="Garamond" w:hAnsi="Garamond" w:cs="Arial"/>
            <w:b/>
            <w:bCs/>
          </w:rPr>
          <w:t>II. Di</w:t>
        </w:r>
        <w:bookmarkStart w:id="63" w:name="II"/>
        <w:bookmarkEnd w:id="63"/>
        <w:r w:rsidR="00A06A59" w:rsidRPr="00A06A59">
          <w:rPr>
            <w:rStyle w:val="Lienhypertexte"/>
            <w:rFonts w:ascii="Garamond" w:hAnsi="Garamond" w:cs="Arial"/>
            <w:b/>
            <w:bCs/>
          </w:rPr>
          <w:t>e Methode der Traumdeutung. Die Analyse eines Traummusters</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Die Überschrift, die ich meiner Abhandlung gegeben habe, läßt erkennen, an welche Tradition in der Auffassung der Träume ich anknüpfen möchte. Ich habe mir vorgesetzt zu zeigen, daß Träume einer Deutung fähig sind, und Beiträge zur Klärung der eben behandelten Traumprobleme werden sich mir nur als etwaiger Nebengewinn bei der Erledigung meiner eigentlichen Aufgabe ergeben können. Mit der Voraussetzung, daß Träume deutbar sind, trete ich sofort in Widerspruch zu der herrschenden Traumlehre, ja zu allen Traumtheorien mit Ausnahme der </w:t>
      </w:r>
      <w:r w:rsidRPr="00A06A59">
        <w:rPr>
          <w:rFonts w:ascii="Garamond" w:hAnsi="Garamond" w:cs="Arial"/>
          <w:i/>
          <w:iCs/>
          <w:color w:val="000000"/>
        </w:rPr>
        <w:t>Scherner</w:t>
      </w:r>
      <w:r w:rsidRPr="00A06A59">
        <w:rPr>
          <w:rFonts w:ascii="Garamond" w:hAnsi="Garamond" w:cs="Arial"/>
          <w:color w:val="000000"/>
        </w:rPr>
        <w:t>schen, denn »einen Traum deuten« heißt, seinen »Sinn« angeben, ihn durch etwas ersetzen, was sich als vollwichtiges, gleichwertiges Glied in die Verkettung unserer seelischen Aktionen einfügt. Wie wir erfahren haben, lassen aber die wissenschaftlichen Theorien des Traumes für ein Problem der Traumdeutung keinen Raum, denn der Traum ist für sie überhaupt kein seelischer Akt, sondern ein somatischer Vorgang, der sich durch Zeichen am seelischen Apparat kundgibt. Anders hat sich zu allen Zeiten die Laienmeinung benommen. Sie bedient sich ihres guten Rechts, inkonsequent zu verfahren, und obwohl sie zugesteht, der Traum sei unverständlich und absurd, kann sie sich doch nicht entschließen, dem Traume jede Bedeutung abzusprechen. Von einer dunkeln Ahnung geleitet, scheint sie doch anzunehmen, der Traum habe einen Sinn, wiewohl einen verborgenen, er sei zum Ersatze eines anderen Denkvorganges bestimmt und es handle sich nur darum, diesen Ersatz in richtiger Weise aufzudecken, um zur verborgenen Bedeutung des Traumes zu gelangen.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Laienwelt hat sich darum von jeher bemüht, den Traum zu »deuten«, und dabei zwei im Wesen verschiedene Methoden versucht. Das erste dieser Verfahren faßt den Trauminhalt als Ganzes ins Auge und sucht denselben durch einen anderen, verständlichen und in gewissen Hinsichten analogen Inhalt zu ersetzen. Dies ist die </w:t>
      </w:r>
      <w:r w:rsidRPr="00A06A59">
        <w:rPr>
          <w:rFonts w:ascii="Garamond" w:hAnsi="Garamond" w:cs="Arial"/>
          <w:i/>
          <w:iCs/>
          <w:color w:val="000000"/>
          <w:lang w:val="en-GB"/>
        </w:rPr>
        <w:t>symbolische</w:t>
      </w:r>
      <w:r w:rsidRPr="00A06A59">
        <w:rPr>
          <w:rFonts w:ascii="Garamond" w:hAnsi="Garamond" w:cs="Arial"/>
          <w:color w:val="000000"/>
          <w:lang w:val="en-GB"/>
        </w:rPr>
        <w:t xml:space="preserve"> Traumdeutung; sie scheitert natürlich von vornherein an jenen Träumen, welche nicht bloß unverständlich, sondern auch verworren erscheinen. Ein Beispiel für ihr Verfahren gibt etwa die Auslegung, welche der biblische Josef dem Traume des Pharao angedeihen ließ. Sieben fette Kühe, nach denen sieben magere kommen, welche die ersteren aufzehren, das ist ein symbolischer Ersatz für die Vorhersagung von sieben Hungerjahren im Lande Ägypten, welche allen Überfluß aufzehren, den sieben fruchtbare Jahre geschaffen haben. Die meisten der artifiziellen Träume, welche von Dichtern geschaffen wurden, sind für solche symbolische Deutung bestimmt, denn sie geben den vom Dichter gefaßten Gedanken in einer Verkleidung wieder, die zu den aus der Erfahrung bekannten Charakteren unseres Träumens passend gefunden wird </w:t>
      </w:r>
      <w:hyperlink r:id="rId4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In einer Novelle »Gradiva« des Dichters W. Jensen entdeckte ich zufällig mehrere artifizielle Träume, die vollkommen korrekt gebildet waren und sich deuten ließen, als wären sie nicht erfunden, sondern von realen Personen geträumt worden. Der Dichter bestätigte auf Anfrage von meiner Seite, daß ihm meine Traumlehre fremd geblieben war. Ich habe diese Übereinstimmung zwischen meiner Forschung und dem Schaffen des Dichters als Beweis für die Richtigkeit meiner Traumanalyse verwertet. ( </w:t>
        </w:r>
        <w:r w:rsidRPr="00A06A59">
          <w:rPr>
            <w:rStyle w:val="innerfusslink3"/>
            <w:rFonts w:ascii="Garamond" w:hAnsi="Garamond" w:cs="Arial"/>
            <w:b/>
            <w:bCs/>
            <w:i/>
            <w:iCs/>
            <w:lang w:val="en-GB"/>
          </w:rPr>
          <w:t>Der Wahn und die Träume in W. Jensens ›Gradiva‹</w:t>
        </w:r>
        <w:r w:rsidRPr="00A06A59">
          <w:rPr>
            <w:rStyle w:val="innerfusslink3"/>
            <w:rFonts w:ascii="Garamond" w:hAnsi="Garamond" w:cs="Arial"/>
            <w:b/>
            <w:bCs/>
            <w:lang w:val="en-GB"/>
          </w:rPr>
          <w:t>, erstes Heft der von mir herausgegebenen »Schriften zur angewandten Seelenkunde«, 1906, dritte Auflage 1924. Ges. Schriften, Bd. IX.)</w:t>
        </w:r>
      </w:hyperlink>
      <w:r w:rsidRPr="00A06A59">
        <w:rPr>
          <w:rFonts w:ascii="Garamond" w:hAnsi="Garamond" w:cs="Arial"/>
          <w:color w:val="000000"/>
          <w:lang w:val="en-GB"/>
        </w:rPr>
        <w:t xml:space="preserve"> Die Meinung, der Traum beschäftige sich vorwiegend mit der Zukunft, deren Gestaltung er im voraus ahne – ein Rest der einst den Träumen zuerkannten prophetischen Bedeutung – wird dann zum Motiv, den durch symbolische Deutung gefundenen Sinn des Traumes durch ein »es wird« ins Futurum zu versetzen.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Wie man den Weg zu einer solchen symbolischen Deutung findet, dazu läßt sich eine Unterweisung natürlich nicht geben. Das Gelingen bleibt Sache des witzigen Einfalls, der unvermittelten Intuition, und darum konnte die Traumdeutung mittels Symbolik sich zu einer Kunstübung erheben, die an eine besondere Begabung gebunden schien </w:t>
      </w:r>
      <w:hyperlink r:id="rId4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i/>
            <w:iCs/>
            <w:lang w:val="en-GB"/>
          </w:rPr>
          <w:t>Aristoteles</w:t>
        </w:r>
        <w:r w:rsidRPr="00A06A59">
          <w:rPr>
            <w:rStyle w:val="innerfusslink3"/>
            <w:rFonts w:ascii="Garamond" w:hAnsi="Garamond" w:cs="Arial"/>
            <w:b/>
            <w:bCs/>
            <w:lang w:val="en-GB"/>
          </w:rPr>
          <w:t xml:space="preserve"> hat sich dahin geäußert, der beste Traumdeuter sei der, welcher Ähnlichkeiten am besten auffasse: denn die Traumbilder seien, wie die Bilder im »Wasser, durch die Bewegung verzerrt, und der treffe am besten, der in dem verzerrten Bild das Wahre zu erkennen vermöge (Büchsenschütz, p. 65).</w:t>
        </w:r>
      </w:hyperlink>
      <w:r w:rsidRPr="00A06A59">
        <w:rPr>
          <w:rFonts w:ascii="Garamond" w:hAnsi="Garamond" w:cs="Arial"/>
          <w:color w:val="000000"/>
          <w:lang w:val="en-GB"/>
        </w:rPr>
        <w:t xml:space="preserve">. Von solchem Anspruch hält sich die andere der populären Methoden der Traumdeutung völlig ferne. Man könnte sie als die »Chiffriermethode« bezeichnen, da sie den Traum wie eine Art von Geheimschrift behandelt, in der jedes Zeichen nach einem feststehenden Schlüssel in ein anderes Zeichen von bekannter Bedeutung übersetzt wird. Ich habe z. B. von einem Brief geträumt, aber auch von einem Leichenbegängnis u. dgl.; ich sehe nun in einem »Traumbuch« nach und finde, daß »Brief« mit »Verdruß«, »Leichenbegängnis« mit »Verlobung« zu übersetzen ist. Es bleibt mir dann überlassen, aus den Schlagworten, die ich entziffert habe, einen Zusammenhang herzustellen, den ich wiederum als zukünftig hinnehme. Eine interessante Abänderung dieses Chiffrierverfahrens, durch welche dessen Charakter als rein mechanische Übertragung einigermaßen korrigiert wird, zeigt sich in der Schrift über Traumdeutung des </w:t>
      </w:r>
      <w:r w:rsidRPr="00A06A59">
        <w:rPr>
          <w:rFonts w:ascii="Garamond" w:hAnsi="Garamond" w:cs="Arial"/>
          <w:i/>
          <w:iCs/>
          <w:color w:val="000000"/>
          <w:lang w:val="en-GB"/>
        </w:rPr>
        <w:t>Artemidoros</w:t>
      </w:r>
      <w:r w:rsidRPr="00A06A59">
        <w:rPr>
          <w:rFonts w:ascii="Garamond" w:hAnsi="Garamond" w:cs="Arial"/>
          <w:color w:val="000000"/>
          <w:lang w:val="en-GB"/>
        </w:rPr>
        <w:t xml:space="preserve"> aus Daldis </w:t>
      </w:r>
      <w:hyperlink r:id="rId4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Artemidoros aus Daldis, wahrscheinlich zu Anfang des zweiten Jahrhunderts unserer Zeitrechnung geboren, hat uns die vollständigste und sorgfältigste Bearbeitung der Traumdeutung in der griechisch-römischen Welt überliefert. Er legte, wie Th. Gomperz (1866) hervorhebt, Wert darauf, die Deutung der Träume auf Beobachtung und Erfahrung zu gründen, und </w:t>
        </w:r>
        <w:r w:rsidRPr="00A06A59">
          <w:rPr>
            <w:rStyle w:val="innerfusslink3"/>
            <w:rFonts w:ascii="Garamond" w:hAnsi="Garamond" w:cs="Arial"/>
            <w:b/>
            <w:bCs/>
            <w:lang w:val="en-GB"/>
          </w:rPr>
          <w:lastRenderedPageBreak/>
          <w:t xml:space="preserve">sonderte seine Kunst strenge von anderen, trügerischen Künsten. Das Prinzip seiner Deutungskunst ist nach der Darstellung von Gomperz identisch mit der Magie, das Prinzip der Assoziation. Ein Traumding bedeutet das, woran es erinnert. Wohlverstanden, woran es den Traumdeuter erinnert! Eine nicht zu beherrschende Quelle der Willkür und Unsicherheit ergibt sich dann aus dem Umstand, daß das Traumelement den Deuter an verschiedene Dinge und jeden an etwas anderes erinnern kann. Die Technik, die ich im folgenden auseinandersetze, weicht von der antiken in dem einen wesentlichen Punkte ab, daß sie dem Träumer selbst die Deutungsarbeit auferlegt. Sie will nicht berücksichtigen, was dem Traumdeuter, sondern was dem Träumer zu dem betreffenden Element des Traumes einfällt. – Nach neueren Berichten des Missionärs </w:t>
        </w:r>
        <w:r w:rsidRPr="00A06A59">
          <w:rPr>
            <w:rStyle w:val="innerfusslink3"/>
            <w:rFonts w:ascii="Garamond" w:hAnsi="Garamond" w:cs="Arial"/>
            <w:b/>
            <w:bCs/>
            <w:i/>
            <w:iCs/>
            <w:lang w:val="en-GB"/>
          </w:rPr>
          <w:t>Tfinkdji</w:t>
        </w:r>
        <w:r w:rsidRPr="00A06A59">
          <w:rPr>
            <w:rStyle w:val="innerfusslink3"/>
            <w:rFonts w:ascii="Garamond" w:hAnsi="Garamond" w:cs="Arial"/>
            <w:b/>
            <w:bCs/>
            <w:lang w:val="en-GB"/>
          </w:rPr>
          <w:t xml:space="preserve"> (Anthropos 1913) nehmen aber auch die modernen Traumdeuter des Orients die Mitwirkung des Träumers ausgiebig in Anspruch. </w:t>
        </w:r>
        <w:r w:rsidRPr="00A06A59">
          <w:rPr>
            <w:rStyle w:val="innerfusslink3"/>
            <w:rFonts w:ascii="Garamond" w:hAnsi="Garamond" w:cs="Arial"/>
            <w:b/>
            <w:bCs/>
          </w:rPr>
          <w:t xml:space="preserve">Der Gewährsmann erzählt von den Traumdeutern bei den mesopotamischen Arabern: » </w:t>
        </w:r>
        <w:r w:rsidRPr="00A06A59">
          <w:rPr>
            <w:rStyle w:val="innerfusslink3"/>
            <w:rFonts w:ascii="Garamond" w:hAnsi="Garamond" w:cs="Arial"/>
            <w:b/>
            <w:bCs/>
            <w:i/>
            <w:iCs/>
          </w:rPr>
          <w:t>Pour interprêter exactement un songe, les oniromanciens les plus habiles s'informent de ceux qui les consultent de toutes les circonstances qu'ils regardent nécessaires pour la bonne explication</w:t>
        </w:r>
        <w:r w:rsidRPr="00A06A59">
          <w:rPr>
            <w:rStyle w:val="innerfusslink3"/>
            <w:rFonts w:ascii="Garamond" w:hAnsi="Garamond" w:cs="Arial"/>
            <w:b/>
            <w:bCs/>
          </w:rPr>
          <w:t xml:space="preserve"> ... </w:t>
        </w:r>
        <w:r w:rsidRPr="00A06A59">
          <w:rPr>
            <w:rStyle w:val="innerfusslink3"/>
            <w:rFonts w:ascii="Garamond" w:hAnsi="Garamond" w:cs="Arial"/>
            <w:b/>
            <w:bCs/>
            <w:i/>
            <w:iCs/>
          </w:rPr>
          <w:t>En un mot, nos oniromanciens ne laissent aucune circonstance leur échapper et ne donnent l'interprétation désirée avant d'avoir parfaitement saisi et reçu toutes les interrogations désirables.</w:t>
        </w:r>
        <w:r w:rsidRPr="00A06A59">
          <w:rPr>
            <w:rStyle w:val="innerfusslink3"/>
            <w:rFonts w:ascii="Garamond" w:hAnsi="Garamond" w:cs="Arial"/>
            <w:b/>
            <w:bCs/>
          </w:rPr>
          <w:t xml:space="preserve">« Unter diesen Fragen befinden sich regelmäßig solche um genaue Angaben über die nächsten Familienangehörigen (Eltern, Frau, Kinder) sowie die typische Formel: » </w:t>
        </w:r>
        <w:r w:rsidRPr="00A06A59">
          <w:rPr>
            <w:rStyle w:val="innerfusslink3"/>
            <w:rFonts w:ascii="Garamond" w:hAnsi="Garamond" w:cs="Arial"/>
            <w:b/>
            <w:bCs/>
            <w:i/>
            <w:iCs/>
          </w:rPr>
          <w:t>habuistine in hac nocte copulam conjugalem ante vel post somnium?</w:t>
        </w:r>
        <w:r w:rsidRPr="00A06A59">
          <w:rPr>
            <w:rStyle w:val="innerfusslink3"/>
            <w:rFonts w:ascii="Garamond" w:hAnsi="Garamond" w:cs="Arial"/>
            <w:b/>
            <w:bCs/>
          </w:rPr>
          <w:t xml:space="preserve">« – » </w:t>
        </w:r>
        <w:r w:rsidRPr="00A06A59">
          <w:rPr>
            <w:rStyle w:val="innerfusslink3"/>
            <w:rFonts w:ascii="Garamond" w:hAnsi="Garamond" w:cs="Arial"/>
            <w:b/>
            <w:bCs/>
            <w:i/>
            <w:iCs/>
          </w:rPr>
          <w:t>L'idée dominante dans l'interprétation des songes consiste à expliquer le rêve par son opposé.</w:t>
        </w:r>
        <w:r w:rsidRPr="00A06A59">
          <w:rPr>
            <w:rStyle w:val="innerfusslink3"/>
            <w:rFonts w:ascii="Garamond" w:hAnsi="Garamond" w:cs="Arial"/>
            <w:b/>
            <w:bCs/>
          </w:rPr>
          <w:t>«</w:t>
        </w:r>
      </w:hyperlink>
      <w:r w:rsidRPr="00A06A59">
        <w:rPr>
          <w:rFonts w:ascii="Garamond" w:hAnsi="Garamond" w:cs="Arial"/>
          <w:color w:val="000000"/>
        </w:rPr>
        <w:t xml:space="preserve">. Hier wird nicht nur auf den Trauminhalt, sondern auch auf die Person und die Lebensumstände des Träumers Rücksicht genommen, so daß das nämliche Traumelement für den Reichen, den Verheirateten, den Redner andere Bedeutung hat als für den Armen, den Ledigen und etwa den Kaufmann. Das Wesentliche an diesem Verfahren ist nun, daß die Deutungsarbeit nicht auf das Ganze des Traumes gerichtet wird, sondern auf jedes Stück des Trauminhalts für sich, als ob der Traum ein Konglomerat wäre, in dem jeder Brocken Gestein eine besondere Bestimmung verlangt. Es sind sicherlich die unzusammenhängenden und verworrenen Träume, von denen der Antrieb zur Schöpfung der Chiffriermethode ausgegangen ist </w:t>
      </w:r>
      <w:hyperlink r:id="rId45"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Dr. Alfred </w:t>
        </w:r>
        <w:r w:rsidRPr="00A06A59">
          <w:rPr>
            <w:rStyle w:val="innerfusslink3"/>
            <w:rFonts w:ascii="Garamond" w:hAnsi="Garamond" w:cs="Arial"/>
            <w:b/>
            <w:bCs/>
            <w:i/>
            <w:iCs/>
          </w:rPr>
          <w:t>Robitsek</w:t>
        </w:r>
        <w:r w:rsidRPr="00A06A59">
          <w:rPr>
            <w:rStyle w:val="innerfusslink3"/>
            <w:rFonts w:ascii="Garamond" w:hAnsi="Garamond" w:cs="Arial"/>
            <w:b/>
            <w:bCs/>
          </w:rPr>
          <w:t xml:space="preserve"> macht mich darauf aufmerksam, daß die orientalischen Traumbücher, von denen die unsrigen klägliche Abklatsche sind, die Deutung der Traumelemente meist nach dem Gleichklang und der Ähnlichkeit der Worte vornehmen. Da diese Verwandtschaften bei der Übersetzung in unsere Sprache verlorengehen müssen, würde daher die Unbegreiflichkeit der Ersetzungen in unseren populären »Traumbüchern« stammen. – Über diese außerordentliche Bedeutung des Wortspiels und der Wortspielerei in den alten orientalischen Kulturen mag man sich aus den Schriften Hugo </w:t>
        </w:r>
        <w:r w:rsidRPr="00A06A59">
          <w:rPr>
            <w:rStyle w:val="innerfusslink3"/>
            <w:rFonts w:ascii="Garamond" w:hAnsi="Garamond" w:cs="Arial"/>
            <w:b/>
            <w:bCs/>
            <w:i/>
            <w:iCs/>
          </w:rPr>
          <w:t>Wincklers</w:t>
        </w:r>
        <w:r w:rsidRPr="00A06A59">
          <w:rPr>
            <w:rStyle w:val="innerfusslink3"/>
            <w:rFonts w:ascii="Garamond" w:hAnsi="Garamond" w:cs="Arial"/>
            <w:b/>
            <w:bCs/>
          </w:rPr>
          <w:t xml:space="preserve"> unterrichten. – Das schönste Beispiel einer Traumdeutung, welches uns aus dem Altertum überliefert ist, beruht auf einer Wortspielerei. </w:t>
        </w:r>
        <w:r w:rsidRPr="00A06A59">
          <w:rPr>
            <w:rStyle w:val="innerfusslink3"/>
            <w:rFonts w:ascii="Garamond" w:hAnsi="Garamond" w:cs="Arial"/>
            <w:b/>
            <w:bCs/>
            <w:i/>
            <w:iCs/>
          </w:rPr>
          <w:t>Artemidoros</w:t>
        </w:r>
        <w:r w:rsidRPr="00A06A59">
          <w:rPr>
            <w:rStyle w:val="innerfusslink3"/>
            <w:rFonts w:ascii="Garamond" w:hAnsi="Garamond" w:cs="Arial"/>
            <w:b/>
            <w:bCs/>
          </w:rPr>
          <w:t xml:space="preserve"> erzählt: (p. 255) »Es scheint mir aber auch </w:t>
        </w:r>
        <w:r w:rsidRPr="00A06A59">
          <w:rPr>
            <w:rStyle w:val="innerfusslink3"/>
            <w:rFonts w:ascii="Garamond" w:hAnsi="Garamond" w:cs="Arial"/>
            <w:b/>
            <w:bCs/>
            <w:i/>
            <w:iCs/>
          </w:rPr>
          <w:t>Aristandros</w:t>
        </w:r>
        <w:r w:rsidRPr="00A06A59">
          <w:rPr>
            <w:rStyle w:val="innerfusslink3"/>
            <w:rFonts w:ascii="Garamond" w:hAnsi="Garamond" w:cs="Arial"/>
            <w:b/>
            <w:bCs/>
          </w:rPr>
          <w:t xml:space="preserve"> dem </w:t>
        </w:r>
        <w:r w:rsidRPr="00A06A59">
          <w:rPr>
            <w:rStyle w:val="innerfusslink3"/>
            <w:rFonts w:ascii="Garamond" w:hAnsi="Garamond" w:cs="Arial"/>
            <w:b/>
            <w:bCs/>
            <w:i/>
            <w:iCs/>
          </w:rPr>
          <w:t>Alexandros</w:t>
        </w:r>
        <w:r w:rsidRPr="00A06A59">
          <w:rPr>
            <w:rStyle w:val="innerfusslink3"/>
            <w:rFonts w:ascii="Garamond" w:hAnsi="Garamond" w:cs="Arial"/>
            <w:b/>
            <w:bCs/>
          </w:rPr>
          <w:t xml:space="preserve"> von Makedonien eine gar glückliche Auslegung gegeben zu haben, als dieser Tyros eingeschlossen hielt und belagerte und wegen des großen Zeitverlustes, unwillig und betrübt, das Gefühl hatte, er sehe einen Satyros auf seinem Schilde tanzen; zufällig befand sich Aristandros in der Nähe von Tyros und im Geleite des Königs, der die Syrier bekriegte. Indem er nun das Wort Satyros in σά und </w:t>
        </w:r>
        <w:r w:rsidRPr="00A06A59">
          <w:rPr>
            <w:rStyle w:val="innerfusslink3"/>
            <w:rFonts w:ascii="Garamond" w:hAnsi="Garamond" w:cs="Courier New"/>
            <w:b/>
            <w:bCs/>
          </w:rPr>
          <w:t>Τόροζ</w:t>
        </w:r>
        <w:r w:rsidRPr="00A06A59">
          <w:rPr>
            <w:rStyle w:val="innerfusslink3"/>
            <w:rFonts w:ascii="Garamond" w:hAnsi="Garamond" w:cs="Arial"/>
            <w:b/>
            <w:bCs/>
          </w:rPr>
          <w:t xml:space="preserve"> zerlegte, bewirkte er, daß der König die Belagerung nachdrücklicher in Angriff nahm, so daß er Herr der Stadt wurde.« ( </w:t>
        </w:r>
        <w:r w:rsidRPr="00A06A59">
          <w:rPr>
            <w:rStyle w:val="innerfusslink3"/>
            <w:rFonts w:ascii="Garamond" w:hAnsi="Garamond" w:cs="Courier New"/>
            <w:b/>
            <w:bCs/>
          </w:rPr>
          <w:t>Σά</w:t>
        </w:r>
        <w:r w:rsidRPr="00A06A59">
          <w:rPr>
            <w:rStyle w:val="innerfusslink3"/>
            <w:rFonts w:ascii="Garamond" w:hAnsi="Garamond" w:cs="Arial"/>
            <w:b/>
            <w:bCs/>
          </w:rPr>
          <w:t xml:space="preserve"> – </w:t>
        </w:r>
        <w:r w:rsidRPr="00A06A59">
          <w:rPr>
            <w:rStyle w:val="innerfusslink3"/>
            <w:rFonts w:ascii="Garamond" w:hAnsi="Garamond" w:cs="Courier New"/>
            <w:b/>
            <w:bCs/>
          </w:rPr>
          <w:t>Τόροζ</w:t>
        </w:r>
        <w:r w:rsidRPr="00A06A59">
          <w:rPr>
            <w:rStyle w:val="innerfusslink3"/>
            <w:rFonts w:ascii="Garamond" w:hAnsi="Garamond" w:cs="Arial"/>
            <w:b/>
            <w:bCs/>
          </w:rPr>
          <w:t xml:space="preserve"> = dein ist Tyros.) – Übrigens hängt der Traum so innig am sprachlichen Ausdruck, daß Ferenczi mit Recht bemerken kann, jede Sprache habe ihre eigene Traumsprache. </w:t>
        </w:r>
        <w:r w:rsidRPr="00A06A59">
          <w:rPr>
            <w:rStyle w:val="innerfusslink3"/>
            <w:rFonts w:ascii="Garamond" w:hAnsi="Garamond" w:cs="Arial"/>
            <w:b/>
            <w:bCs/>
            <w:lang w:val="en-GB"/>
          </w:rPr>
          <w:t xml:space="preserve">Ein Traum ist in der Regel unübersetzbar in andere Sprachen und ein Buch wie das vorliegende, meinte ich, darum auch. Nichtsdestoweniger ist es zuerst Dr. A. A. </w:t>
        </w:r>
        <w:r w:rsidRPr="00A06A59">
          <w:rPr>
            <w:rStyle w:val="innerfusslink3"/>
            <w:rFonts w:ascii="Garamond" w:hAnsi="Garamond" w:cs="Arial"/>
            <w:b/>
            <w:bCs/>
            <w:i/>
            <w:iCs/>
            <w:lang w:val="en-GB"/>
          </w:rPr>
          <w:t>Brill</w:t>
        </w:r>
        <w:r w:rsidRPr="00A06A59">
          <w:rPr>
            <w:rStyle w:val="innerfusslink3"/>
            <w:rFonts w:ascii="Garamond" w:hAnsi="Garamond" w:cs="Arial"/>
            <w:b/>
            <w:bCs/>
            <w:lang w:val="en-GB"/>
          </w:rPr>
          <w:t xml:space="preserve"> in New York, dann anderen nach ihm, gelungen, Übersetzungen der </w:t>
        </w:r>
        <w:r w:rsidRPr="00A06A59">
          <w:rPr>
            <w:rStyle w:val="innerfusslink3"/>
            <w:rFonts w:ascii="Garamond" w:hAnsi="Garamond" w:cs="Arial"/>
            <w:b/>
            <w:bCs/>
            <w:i/>
            <w:iCs/>
            <w:lang w:val="en-GB"/>
          </w:rPr>
          <w:t>Traumdeutung</w:t>
        </w:r>
        <w:r w:rsidRPr="00A06A59">
          <w:rPr>
            <w:rStyle w:val="innerfusslink3"/>
            <w:rFonts w:ascii="Garamond" w:hAnsi="Garamond" w:cs="Arial"/>
            <w:b/>
            <w:bCs/>
            <w:lang w:val="en-GB"/>
          </w:rPr>
          <w:t xml:space="preserve"> zu schaffen.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Für die wissenschaftliche Behandlung des Themas kann die Unbrauchbarkeit beider populärer Deutungsverfahren des Traumes keinen Moment lang zweifelhaft sein. Die symbolische Methode ist in ihrer Anwendung beschränkt und keiner allgemeinen Darlegung fähig. Bei der Chiffriermethode käme alles darauf an, daß der »Schlüssel«, das Traumbuch, verläßlich wäre, und dafür fehlen alle Garantien. Man wäre versucht, den Philosophen und Psychiatern recht zu geben und mit ihnen das Problem der Traumdeutung als eine imaginäre Aufgabe zu streichen </w:t>
      </w:r>
      <w:hyperlink r:id="rId4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Nach Abschluß meines Manuskriptes ist mir eine Schrift von </w:t>
        </w:r>
        <w:r w:rsidRPr="00A06A59">
          <w:rPr>
            <w:rStyle w:val="innerfusslink3"/>
            <w:rFonts w:ascii="Garamond" w:hAnsi="Garamond" w:cs="Arial"/>
            <w:b/>
            <w:bCs/>
            <w:i/>
            <w:iCs/>
            <w:lang w:val="en-GB"/>
          </w:rPr>
          <w:t>Stumpf</w:t>
        </w:r>
        <w:r w:rsidRPr="00A06A59">
          <w:rPr>
            <w:rStyle w:val="innerfusslink3"/>
            <w:rFonts w:ascii="Garamond" w:hAnsi="Garamond" w:cs="Arial"/>
            <w:b/>
            <w:bCs/>
            <w:lang w:val="en-GB"/>
          </w:rPr>
          <w:t xml:space="preserve"> zugegangen, die in der Absicht zu erweisen, der Traum sei sinnvoll und deutbar, mit meiner Arbeit zusammentrifft. Die Deutung geschieht aber mittels einer allegorisierenden Symbolik ohne Gewähr für Allgemeingültigkeit des Verfahrens.</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Allein ich bin eines Bessern belehrt worden. Ich habe einsehen müssen, daß hier wiederum einer jener nicht seltenen Fälle vorliegt, in denen ein uralter, hartnäckig festgehaltener Volksglaube der Wahrheit der Dinge näher gekommen zu sein scheint als das Urteil der heute geltenden Wissenschaft. Ich muß behaupten, daß der Traum wirklich eine </w:t>
      </w:r>
      <w:r w:rsidRPr="00A06A59">
        <w:rPr>
          <w:rFonts w:ascii="Garamond" w:hAnsi="Garamond" w:cs="Arial"/>
          <w:color w:val="000000"/>
          <w:lang w:val="en-GB"/>
        </w:rPr>
        <w:lastRenderedPageBreak/>
        <w:t>Bedeutung hat und daß ein wissenschaftliches Verfahren der Traumdeutung möglich ist. Zur Kenntnis dieses Verfahrens bin ich auf folgende Weise gelangt: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Seit Jahren beschäftige ich mich mit der Auflösung gewisser psychopathologischer Gebilde, der hysterischen Phobien, der Zwangsvorstellungen u. a. in therapeutischer Absicht; seitdem ich nämlich aus einer bedeutsamen Mitteilung von Josef </w:t>
      </w:r>
      <w:r w:rsidRPr="00A06A59">
        <w:rPr>
          <w:rFonts w:ascii="Garamond" w:hAnsi="Garamond" w:cs="Arial"/>
          <w:i/>
          <w:iCs/>
          <w:color w:val="000000"/>
          <w:lang w:val="en-GB"/>
        </w:rPr>
        <w:t>Breuer</w:t>
      </w:r>
      <w:r w:rsidRPr="00A06A59">
        <w:rPr>
          <w:rFonts w:ascii="Garamond" w:hAnsi="Garamond" w:cs="Arial"/>
          <w:color w:val="000000"/>
          <w:lang w:val="en-GB"/>
        </w:rPr>
        <w:t xml:space="preserve"> weiß, daß für diese als Krankheitssymptome empfundenen Bildungen Auflösung und Lösung in eines zusammenfällt </w:t>
      </w:r>
      <w:hyperlink r:id="rId4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i/>
            <w:iCs/>
            <w:lang w:val="en-GB"/>
          </w:rPr>
          <w:t>Breuer</w:t>
        </w:r>
        <w:r w:rsidRPr="00A06A59">
          <w:rPr>
            <w:rStyle w:val="innerfusslink3"/>
            <w:rFonts w:ascii="Garamond" w:hAnsi="Garamond" w:cs="Arial"/>
            <w:b/>
            <w:bCs/>
            <w:lang w:val="en-GB"/>
          </w:rPr>
          <w:t xml:space="preserve"> und </w:t>
        </w:r>
        <w:r w:rsidRPr="00A06A59">
          <w:rPr>
            <w:rStyle w:val="innerfusslink3"/>
            <w:rFonts w:ascii="Garamond" w:hAnsi="Garamond" w:cs="Arial"/>
            <w:b/>
            <w:bCs/>
            <w:i/>
            <w:iCs/>
            <w:lang w:val="en-GB"/>
          </w:rPr>
          <w:t>Freud</w:t>
        </w:r>
        <w:r w:rsidRPr="00A06A59">
          <w:rPr>
            <w:rStyle w:val="innerfusslink3"/>
            <w:rFonts w:ascii="Garamond" w:hAnsi="Garamond" w:cs="Arial"/>
            <w:b/>
            <w:bCs/>
            <w:lang w:val="en-GB"/>
          </w:rPr>
          <w:t>, Studien über Hysterie, Wien 1895, 4. Aufl., 1932 (Ges. Schriften, Bd. I).</w:t>
        </w:r>
      </w:hyperlink>
      <w:r w:rsidRPr="00A06A59">
        <w:rPr>
          <w:rFonts w:ascii="Garamond" w:hAnsi="Garamond" w:cs="Arial"/>
          <w:color w:val="000000"/>
          <w:lang w:val="en-GB"/>
        </w:rPr>
        <w:t xml:space="preserve">. Hat man eine solche pathologische Vorstellung auf die Elemente zurückführen können, aus denen sie im Seelenleben des Kranken hervorgegangen ist, so ist diese auch zerfallen, der Kranke von ihr befreit. Bei der Ohnmacht unserer sonstigen therapeutischen Bestrebungen und angesichts der Rätselhaftigkeit dieser Zustände erschien es mir verlockend, auf dem von </w:t>
      </w:r>
      <w:r w:rsidRPr="00A06A59">
        <w:rPr>
          <w:rFonts w:ascii="Garamond" w:hAnsi="Garamond" w:cs="Arial"/>
          <w:i/>
          <w:iCs/>
          <w:color w:val="000000"/>
          <w:lang w:val="en-GB"/>
        </w:rPr>
        <w:t>Breuer</w:t>
      </w:r>
      <w:r w:rsidRPr="00A06A59">
        <w:rPr>
          <w:rFonts w:ascii="Garamond" w:hAnsi="Garamond" w:cs="Arial"/>
          <w:color w:val="000000"/>
          <w:lang w:val="en-GB"/>
        </w:rPr>
        <w:t xml:space="preserve"> eingeschlagenen Wege trotz aller Schwierigkeiten bis zur vollen Aufklärung vorzudringen. Wie sich die Technik des Verfahrens schließlich gestaltet hat und welches die Ergebnisse der Bemühung gewesen sind, darüber werde ich ein anderes Mal ausführlich Bericht zu erstatten haben. Im Verlaufe dieser psychoanalytischen Studien geriet ich auf die Traumdeutung. Die Patienten, die ich verpflichtet hatte, mir alle Einfälle und Gedanken mitzuteilen, die sich ihnen zu einem bestimmten Thema aufdrängten, erzählten mir ihre Träume und lehrten mich so, daß ein Traum in die psychische Verkettung eingeschoben sein kann, die von einer pathologischen Idee her nach rückwärts in der Erinnerung zu verfolgen ist. Es lag nun nahe, den Traum selbst wie ein Symptom zu behandeln und die für letztere ausgearbeitete Methode der Deutung auf ihn anzuwenden.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Dazu bedarf es nun einer gewissen psychischen Vorbereitung des Kranken. Man strebt zweierlei bei ihm an, eine Steigerung seiner Aufmerksamkeit für seine psychischen Wahrnehmungen und eine Ausschaltung der Kritik, mit der er die ihm auftauchenden Gedanken sonst zu sichten pflegt. Zum Zwecke seiner Selbstbeobachtung mit gesammelter Aufmerksamkeit ist es vorteilhaft, daß er eine ruhige Lage einnimmt und die Augen schließt; den Verzicht auf die Kritik der wahrgenommenen Gedankenbildungen muß man ihm ausdrücklich auferlegen. Man sagt ihm also, der Erfolg der Psychoanalyse hänge davon ab, daß er alles beachtet und mitteilt, was ihm durch den Sinn geht, und nicht etwa sich verleiten läßt, den einen Einfall zu unterdrücken, weil er ihm unwichtig oder nicht zum Thema gehörig, den anderen, weil er ihm unsinnig erscheint. Er müsse sich völlig unparteiisch gegen seine Einfälle verhalten; denn gerade an der Kritik läge es, wenn es ihm sonst nicht gelänge, die gesuchte Auflösung des Traums, der Zwangsidee u. dgl. zu finden.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 den psychoanalytischen Arbeiten habe ich gemerkt, daß die psychische Verfassung des Mannes, welcher nachdenkt, eine ganz andere ist als die desjenigen, welcher seine psychischen Vorgänge beobachtet. Beim Nachdenken tritt eine psychische Aktion mehr ins Spiel als bei der aufmerksamsten Selbstbeobachtung, wie es auch die gespannte Miene und die in Falten gezogene Stirne des Nachdenklichen im Gegensatz zur mimischen Ruhe des Selbstbeobachters erweist. In beiden Fällen muß eine Sammlung der Aufmerksamkeit vorhanden sein, aber der Nachdenkende übt außerdem eine Kritik aus, infolge deren er einen Teil der ihm aufsteigenden Einfälle verwirft, nachdem er sie wahrgenommen hat, andere kurz abbricht, so daß er den Gedankenwegen nicht folgt, welche sie eröffnen würden, und gegen noch andere Gedanken weiß er sich so zu benehmen, daß sie überhaupt nicht bewußt, also vor ihrer Wahrnehmung unterdrückt werden. Der Selbstbeobachter hingegen hat nur die Mühe, die Kritik zu unterdrücken; gelingt ihm dies, so kommt ihm eine Unzahl von Einfällen zum Bewußtsein, die sonst unfaßbar geblieben wären. Mit Hilfe dieses für die Selbstwahrnehmung neu gewonnenen Materials läßt sich die Deutung der pathologischen Ideen sowie der Traumgebilde vollziehen. Wie man sieht, handelt es sich darum, einen psychischen Zustand herzustellen, der mit dem vor dem Einschlafen (und sicherlich auch mit dem hypnotischen) eine gewisse Analogie in der Verteilung der psychischen Energie (der beweglichen Aufmerksamkeit) gemein hat. Beim Einschlafen treten die »ungewollten Vorstellungen« hervor durch den Nachlaß einer gewissen willkürlichen (und gewiß auch kritischen) Aktion, die wir auf den Ablauf unserer Vorstellungen einwirken lassen; als den Grund dieses Nachlasses pflegen wir »Ermüdung« anzugeben; die auftauchenden ungewollten Vorstellungen verwandeln sich in visuelle und akustische Bilder. (Vergleiche die Bemerkungen von </w:t>
      </w:r>
      <w:r w:rsidRPr="00A06A59">
        <w:rPr>
          <w:rFonts w:ascii="Garamond" w:hAnsi="Garamond" w:cs="Arial"/>
          <w:i/>
          <w:iCs/>
          <w:color w:val="000000"/>
          <w:lang w:val="en-GB"/>
        </w:rPr>
        <w:t>Schleiermacher</w:t>
      </w:r>
      <w:r w:rsidRPr="00A06A59">
        <w:rPr>
          <w:rFonts w:ascii="Garamond" w:hAnsi="Garamond" w:cs="Arial"/>
          <w:color w:val="000000"/>
          <w:lang w:val="en-GB"/>
        </w:rPr>
        <w:t xml:space="preserve">, u. a. S. 34. </w:t>
      </w:r>
      <w:hyperlink r:id="rId4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H. </w:t>
        </w:r>
        <w:r w:rsidRPr="00A06A59">
          <w:rPr>
            <w:rStyle w:val="innerfusslink3"/>
            <w:rFonts w:ascii="Garamond" w:hAnsi="Garamond" w:cs="Arial"/>
            <w:b/>
            <w:bCs/>
            <w:i/>
            <w:iCs/>
            <w:lang w:val="en-GB"/>
          </w:rPr>
          <w:t>Silberer</w:t>
        </w:r>
        <w:r w:rsidRPr="00A06A59">
          <w:rPr>
            <w:rStyle w:val="innerfusslink3"/>
            <w:rFonts w:ascii="Garamond" w:hAnsi="Garamond" w:cs="Arial"/>
            <w:b/>
            <w:bCs/>
            <w:lang w:val="en-GB"/>
          </w:rPr>
          <w:t xml:space="preserve"> hat aus der direkten Beobachtung dieser Umsetzung von Vorstellungen in Gesichtsbilder wichtige Beiträge zur Deutung der Träume gewonnen. (Jahrbuch f. Psychoanalyt. Forschungen I u. II, 1909 u. ff)</w:t>
        </w:r>
      </w:hyperlink>
      <w:r w:rsidRPr="00A06A59">
        <w:rPr>
          <w:rFonts w:ascii="Garamond" w:hAnsi="Garamond" w:cs="Arial"/>
          <w:color w:val="000000"/>
          <w:lang w:val="en-GB"/>
        </w:rPr>
        <w:t xml:space="preserve"> Bei dem Zustand, den man zur Analyse der Träume und pathologischen Ideen benützt, verzichtet man absichtlich und willkürlich auf jene Aktivität und verwendet die ersparte psychische Energie (oder ein Stück derselben) zur aufmerksamen Verfolgung der jetzt auftauchenden ungewollten Gedanken, die ihren Charakter als Vorstellungen (dies der Unterschied gegen den Zustand beim Einschlafen) beibehalten. </w:t>
      </w:r>
      <w:r w:rsidRPr="00A06A59">
        <w:rPr>
          <w:rFonts w:ascii="Garamond" w:hAnsi="Garamond" w:cs="Arial"/>
          <w:i/>
          <w:iCs/>
          <w:color w:val="000000"/>
          <w:lang w:val="en-GB"/>
        </w:rPr>
        <w:t>Man macht so die »ungewollten« Vorstellungen zu »gewollten«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hier geforderte Einstellung auf anscheinend »freisteigende« Einfälle mit Verzicht auf die sonst gegen diese geübte Kritik scheint manchen Personen nicht leicht zu werden. Die »ungewollten Gedanken« pflegen den heftigsten Widerstand, der sie am Auftauchen hindern will, zu entfesseln. Wenn wir aber unserem großen Dichterphilosophen </w:t>
      </w:r>
      <w:r w:rsidRPr="00A06A59">
        <w:rPr>
          <w:rFonts w:ascii="Garamond" w:hAnsi="Garamond" w:cs="Arial"/>
          <w:color w:val="000000"/>
          <w:lang w:val="en-GB"/>
        </w:rPr>
        <w:lastRenderedPageBreak/>
        <w:t xml:space="preserve">Fr. </w:t>
      </w:r>
      <w:r w:rsidRPr="00A06A59">
        <w:rPr>
          <w:rFonts w:ascii="Garamond" w:hAnsi="Garamond" w:cs="Arial"/>
          <w:i/>
          <w:iCs/>
          <w:color w:val="000000"/>
          <w:lang w:val="en-GB"/>
        </w:rPr>
        <w:t>Schiller</w:t>
      </w:r>
      <w:r w:rsidRPr="00A06A59">
        <w:rPr>
          <w:rFonts w:ascii="Garamond" w:hAnsi="Garamond" w:cs="Arial"/>
          <w:color w:val="000000"/>
          <w:lang w:val="en-GB"/>
        </w:rPr>
        <w:t xml:space="preserve"> Glauben schenken, muß eine ganz ähnliche Einstellung auch die Bedingung der dichterischen Produktion enthalten. An einer Stelle seines Briefwechsels mit </w:t>
      </w:r>
      <w:r w:rsidRPr="00A06A59">
        <w:rPr>
          <w:rFonts w:ascii="Garamond" w:hAnsi="Garamond" w:cs="Arial"/>
          <w:i/>
          <w:iCs/>
          <w:color w:val="000000"/>
          <w:lang w:val="en-GB"/>
        </w:rPr>
        <w:t>Körner</w:t>
      </w:r>
      <w:r w:rsidRPr="00A06A59">
        <w:rPr>
          <w:rFonts w:ascii="Garamond" w:hAnsi="Garamond" w:cs="Arial"/>
          <w:color w:val="000000"/>
          <w:lang w:val="en-GB"/>
        </w:rPr>
        <w:t xml:space="preserve">, deren Aufspürung Otto </w:t>
      </w:r>
      <w:r w:rsidRPr="00A06A59">
        <w:rPr>
          <w:rFonts w:ascii="Garamond" w:hAnsi="Garamond" w:cs="Arial"/>
          <w:i/>
          <w:iCs/>
          <w:color w:val="000000"/>
          <w:lang w:val="en-GB"/>
        </w:rPr>
        <w:t>Rank</w:t>
      </w:r>
      <w:r w:rsidRPr="00A06A59">
        <w:rPr>
          <w:rFonts w:ascii="Garamond" w:hAnsi="Garamond" w:cs="Arial"/>
          <w:color w:val="000000"/>
          <w:lang w:val="en-GB"/>
        </w:rPr>
        <w:t xml:space="preserve"> zu danken ist, antwortet </w:t>
      </w:r>
      <w:r w:rsidRPr="00A06A59">
        <w:rPr>
          <w:rFonts w:ascii="Garamond" w:hAnsi="Garamond" w:cs="Arial"/>
          <w:i/>
          <w:iCs/>
          <w:color w:val="000000"/>
          <w:lang w:val="en-GB"/>
        </w:rPr>
        <w:t>Schiller</w:t>
      </w:r>
      <w:r w:rsidRPr="00A06A59">
        <w:rPr>
          <w:rFonts w:ascii="Garamond" w:hAnsi="Garamond" w:cs="Arial"/>
          <w:color w:val="000000"/>
          <w:lang w:val="en-GB"/>
        </w:rPr>
        <w:t xml:space="preserve"> auf die Klage seines Freundes über seine mangelnde Produktivität: »Der Grund deiner Klage liegt, wie mir scheint, in dem Zwange, den dein Verstand deiner Imagination auflegt. Ich muß hier einen Gedanken hinwerfen und ihn durch ein Gleichnis versinnlichen. Es scheint nicht gut und dem Schöpfungswerke der Seele nachteilig zu sein, wenn der Verstand die zuströmenden Ideen, gleichsam an den Toren schon, zu scharf mustert. Eine Idee kann, isoliert betrachtet, sehr unbeträchtlich und sehr abenteuerlich sein, aber vielleicht wird sie durch eine, die nach ihr kommt, wichtig, vielleicht kann sie in einer gewissen Verbindung mit anderen, die vielleicht ebenso abgeschmackt scheinen, ein sehr zweckmäßiges Glied abgeben: – Alles das kann der Verstand nicht beurteilen, wenn er sie nicht so lange festhält, bis er sie in Verbindung mit diesen anderen angeschaut hat. Bei einem schöpferischen Kopfe hingegen, deucht mir, hat der Verstand seine Wache von den Toren zurückgezogen, die Ideen stürzen </w:t>
      </w:r>
      <w:r w:rsidRPr="00A06A59">
        <w:rPr>
          <w:rFonts w:ascii="Garamond" w:hAnsi="Garamond" w:cs="Arial"/>
          <w:i/>
          <w:iCs/>
          <w:color w:val="000000"/>
          <w:lang w:val="en-GB"/>
        </w:rPr>
        <w:t>pêle-mêle</w:t>
      </w:r>
      <w:r w:rsidRPr="00A06A59">
        <w:rPr>
          <w:rFonts w:ascii="Garamond" w:hAnsi="Garamond" w:cs="Arial"/>
          <w:color w:val="000000"/>
          <w:lang w:val="en-GB"/>
        </w:rPr>
        <w:t xml:space="preserve"> herein, und alsdann erst übersieht und mustert er den großen Haufen. – Ihr Herren Kritiker, und wie Ihr Euch sonst nennt, schämt oder fürchtet Euch vor dem augenblicklichen, vorübergehenden Wahnwitze, der sich bei allen eigenen Schöpfern findet und dessen längere oder kürzere Dauer den denkenden Künstler von dem Träumer unterscheidet. Daher Eure Klagen der Unfruchtbarkeit, weil Ihr zu früh verwerft und zu strenge sondert.« (Brief vom 1. Dezember 1788.)</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Und doch ist ein »solches Zurückziehen der Wache von den Toren des Verstandes«, wie </w:t>
      </w:r>
      <w:r w:rsidRPr="00A06A59">
        <w:rPr>
          <w:rFonts w:ascii="Garamond" w:hAnsi="Garamond" w:cs="Arial"/>
          <w:i/>
          <w:iCs/>
          <w:color w:val="000000"/>
          <w:lang w:val="en-GB"/>
        </w:rPr>
        <w:t>Schiller</w:t>
      </w:r>
      <w:r w:rsidRPr="00A06A59">
        <w:rPr>
          <w:rFonts w:ascii="Garamond" w:hAnsi="Garamond" w:cs="Arial"/>
          <w:color w:val="000000"/>
          <w:lang w:val="en-GB"/>
        </w:rPr>
        <w:t xml:space="preserve"> es nennt, ein derartiges sich in den Zustand der kritiklosen Selbstbeobachtung Versetzen keineswegs schwer.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meisten meiner Patienten bringen es nach der ersten Unterweisung zustande; ich selbst kann es sehr vollkommen, wenn ich mich dabei durch Niederschreiben meiner Einfälle unterstütze. Der Betrag von psychischer Energie, um den man so die kritische Tätigkeit herabsetzt und mit welchem man die Intensität der Selbstbeobachtung erhöhen kann, schwankt erheblich je nach dem Thema, welches von der Aufmerksamkeit fixiert werden soll.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erste Schritt bei der Anwendung dieses Verfahrens lehrt nun, daß man nicht den Traum als Ganzes, sondern nur die einzelnen Teilstücke seines Inhalts zum Objekt der Aufmerksamkeit machen darf. Frage ich den noch nicht eingeübten Patienten: Was fällt Ihnen zu diesem Traum ein? so weiß er in der Regel nichts in seinem geistigen Blickfelde zu erfassen. Ich muß ihm den Traum zerstückt vorlegen, dann liefert er mir zu jedem Stück eine Reihe von Einfällen, die man als die »Hintergedanken« dieser Traumpartie bezeichnen kann. In dieser ersten wichtigen Bedingung weicht also die von mir geübte Methode der Traumdeutung bereits von der populären, historisch und sagenhaft berühmten Methode der Deutung durch Symbolik ab und nähert sich der zweiten, der »Chiffriermethode«. Sie ist wie diese eine Deutung </w:t>
      </w:r>
      <w:r w:rsidRPr="00A06A59">
        <w:rPr>
          <w:rFonts w:ascii="Garamond" w:hAnsi="Garamond" w:cs="Arial"/>
          <w:i/>
          <w:iCs/>
          <w:color w:val="000000"/>
          <w:lang w:val="en-GB"/>
        </w:rPr>
        <w:t>en detail</w:t>
      </w:r>
      <w:r w:rsidRPr="00A06A59">
        <w:rPr>
          <w:rFonts w:ascii="Garamond" w:hAnsi="Garamond" w:cs="Arial"/>
          <w:color w:val="000000"/>
          <w:lang w:val="en-GB"/>
        </w:rPr>
        <w:t xml:space="preserve">, nicht </w:t>
      </w:r>
      <w:r w:rsidRPr="00A06A59">
        <w:rPr>
          <w:rFonts w:ascii="Garamond" w:hAnsi="Garamond" w:cs="Arial"/>
          <w:i/>
          <w:iCs/>
          <w:color w:val="000000"/>
          <w:lang w:val="en-GB"/>
        </w:rPr>
        <w:t>en masse</w:t>
      </w:r>
      <w:r w:rsidRPr="00A06A59">
        <w:rPr>
          <w:rFonts w:ascii="Garamond" w:hAnsi="Garamond" w:cs="Arial"/>
          <w:color w:val="000000"/>
          <w:lang w:val="en-GB"/>
        </w:rPr>
        <w:t>; wie diese faßt sie den Traum von vornherein als etwas Zusammengesetztes, als ein Konglomerat von psychischen Bildungen auf.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Im Verlaufe meiner Psychoanalysen bei Neurotikern habe ich wohl bereits über tausend Träume zur Deutung gebracht, aber dieses Material möchte ich hier nicht zur Einführung in die Technik und Lehre der Traumdeutung verwenden. Ganz abgesehen davon, daß ich mich dem Einwand aussetzen würde, es seien ja die Träume von Neuropathen, die einen Rückschluß auf die Träume gesunder Menschen nicht gestatten, nötigt mich ein anderer Grund zu deren Verwerfung. Das Thema, auf welches diese Träume zielen, ist natürlich immer die Krankheitsgeschichte, welche der Neurose zugrunde liegt. Hiedurch würde für jeden Traum ein überlanger Vorbericht und ein Eindringen in das Wesen und die ätiologischen Bedingungen der Psychoneurosen erforderlich, Dinge, die an und für sich neu und im höchsten Grade befremdlich sind und so die Aufmerksamkeit vom Traumproblem ablenken würden. Meine Absicht geht vielmehr dahin, in der Traumauflösung eine Vorarbeit für die Erschließung der schwierigeren Probleme der Neurosenpsychologie zu schaffen. Verzichte ich aber auf die Träume der Neurotiker, mein Hauptmaterial, so darf ich gegen den Rest nicht allzu wählerisch verfahren. Es bleiben nur noch jene Träume, die mir gelegentlich von gesunden Personen meiner Bekanntschaft erzählt worden sind oder die ich als Beispiele in der Literatur über das Traumleben verzeichnet finde. Leider geht mir bei all diesen Träumen die Analyse ab, ohne welche ich den Sinn des Traumes nicht finden kann. Mein Verfahren ist ja nicht so bequem wie das der populären Chiffriermethode, welche den gegebenen Trauminhalt nach einem fixierten Schlüssel übersetzt; ich bin vielmehr gefaßt darauf, daß derselbe Trauminhalt bei verschiedenen Personen und in verschiedenem Zusammenhang auch einen anderen Sinn verbergen mag. Somit bin ich auf meine eigenen Träume angewiesen als auf ein reichliches und bequemes Material, das von einer ungefähr normalen Person herrührt und sich auf mannigfache Anlässe des täglichen Lebens bezieht. Man wird mir sicherlich Zweifel in die Verläßlichkeit solcher »Selbstanalysen« entgegensetzen. Die Willkür sei dabei keineswegs ausgeschlossen. Nach meinem Urteil liegen die Verhältnisse bei der Selbstbeobachtung eher günstiger als bei der Beobachtung anderer; jedenfalls darf man versuchen, wie weit man in der Traumdeutung mit der Selbstanalyse reicht. Andere Schwierigkeiten habe ich in meinem eigenen Innern zu überwinden. Man hat eine begreifliche Scheu, soviel Intimes aus seinem Seelenleben preiszugeben, weiß sich dabei </w:t>
      </w:r>
      <w:r w:rsidRPr="00A06A59">
        <w:rPr>
          <w:rFonts w:ascii="Garamond" w:hAnsi="Garamond" w:cs="Arial"/>
          <w:color w:val="000000"/>
          <w:lang w:val="en-GB"/>
        </w:rPr>
        <w:lastRenderedPageBreak/>
        <w:t xml:space="preserve">auch nicht gesichert vor der Mißdeutung der Fremden. </w:t>
      </w:r>
      <w:r w:rsidRPr="00A06A59">
        <w:rPr>
          <w:rFonts w:ascii="Garamond" w:hAnsi="Garamond" w:cs="Arial"/>
          <w:color w:val="000000"/>
        </w:rPr>
        <w:t xml:space="preserve">Aber darüber muß man sich hinaussetzen können. » </w:t>
      </w:r>
      <w:r w:rsidRPr="00A06A59">
        <w:rPr>
          <w:rFonts w:ascii="Garamond" w:hAnsi="Garamond" w:cs="Arial"/>
          <w:i/>
          <w:iCs/>
          <w:color w:val="000000"/>
        </w:rPr>
        <w:t>Tout psychologiste,</w:t>
      </w:r>
      <w:r w:rsidRPr="00A06A59">
        <w:rPr>
          <w:rFonts w:ascii="Garamond" w:hAnsi="Garamond" w:cs="Arial"/>
          <w:color w:val="000000"/>
        </w:rPr>
        <w:t xml:space="preserve"> schreibt </w:t>
      </w:r>
      <w:r w:rsidRPr="00A06A59">
        <w:rPr>
          <w:rFonts w:ascii="Garamond" w:hAnsi="Garamond" w:cs="Arial"/>
          <w:i/>
          <w:iCs/>
          <w:color w:val="000000"/>
        </w:rPr>
        <w:t>Delboeuf</w:t>
      </w:r>
      <w:r w:rsidRPr="00A06A59">
        <w:rPr>
          <w:rFonts w:ascii="Garamond" w:hAnsi="Garamond" w:cs="Arial"/>
          <w:color w:val="000000"/>
        </w:rPr>
        <w:t xml:space="preserve">, </w:t>
      </w:r>
      <w:r w:rsidRPr="00A06A59">
        <w:rPr>
          <w:rFonts w:ascii="Garamond" w:hAnsi="Garamond" w:cs="Arial"/>
          <w:i/>
          <w:iCs/>
          <w:color w:val="000000"/>
        </w:rPr>
        <w:t>est obligé de faire l'aveu même de ses faiblesses s'il croît par là jeter du jour sur quelque problème obscur.</w:t>
      </w:r>
      <w:r w:rsidRPr="00A06A59">
        <w:rPr>
          <w:rFonts w:ascii="Garamond" w:hAnsi="Garamond" w:cs="Arial"/>
          <w:color w:val="000000"/>
        </w:rPr>
        <w:t xml:space="preserve">« Und auch beim Leser, darf ich annehmen, wird das anfängliche Interesse an den Indiskretionen, die ich begehen muß, sehr bald der ausschließlichen Vertiefung in die hiedurch beleuchteten psychologischen Probleme Platz machen </w:t>
      </w:r>
      <w:hyperlink r:id="rId49" w:anchor="#" w:history="1">
        <w:r w:rsidRPr="00A06A59">
          <w:rPr>
            <w:rStyle w:val="fusslink"/>
            <w:rFonts w:ascii="Garamond" w:hAnsi="Garamond" w:cs="Arial"/>
            <w:b/>
            <w:bCs/>
            <w:color w:val="003399"/>
          </w:rPr>
          <w:t>[Fußnote]</w:t>
        </w:r>
        <w:r w:rsidRPr="00A06A59">
          <w:rPr>
            <w:rStyle w:val="innerfusslink3"/>
            <w:rFonts w:ascii="Garamond" w:hAnsi="Garamond" w:cs="Arial"/>
            <w:b/>
            <w:bCs/>
          </w:rPr>
          <w:t>Immerhin will ich es nicht unterlassen, in Einschränkung des oben Gesagten anzugeben, daß ich fast niemals die mir zugängliche vollständige Deutung eines eigenen Traumes mitgeteilt habe. Ich hatte wahrscheinlich recht, der Diskretion der Leser nicht zuviel zuzutrauen.</w:t>
        </w:r>
      </w:hyperlink>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Ich werde also einen meiner eigenen Träume hervorsuchen und an ihm meine Deutungsweise erläutern. Jeder solche Traum macht einen Vorbericht nötig. Nun muß ich aber den Leser bitten, für eine ganze Weile meine Interessen zu den seinigen zu machen und sich mit mir in die kleinsten Einzelheiten meines Lebens zu versenken, denn solche Übertragung fordert gebieterisch das Interesse für die versteckte Bedeutung der Träume.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Vorbericht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Im Sommer 1895 hatte ich eine junge Dame psychoanalytisch behandelt, die mir und den Meinigen freundschaftlich sehr nahestand. Man versteht es, daß solche Vermengung der Beziehungen zur Quelle mannigfacher Erregungen für den Arzt werden kann, zumal für den Psychotherapeuten. </w:t>
      </w:r>
      <w:r w:rsidRPr="00A06A59">
        <w:rPr>
          <w:rFonts w:ascii="Garamond" w:hAnsi="Garamond" w:cs="Arial"/>
          <w:color w:val="000000"/>
        </w:rPr>
        <w:t xml:space="preserve">Das persönliche Interesse des Arztes ist größer, seine Autorität geringer. </w:t>
      </w:r>
      <w:r w:rsidRPr="00A06A59">
        <w:rPr>
          <w:rFonts w:ascii="Garamond" w:hAnsi="Garamond" w:cs="Arial"/>
          <w:color w:val="000000"/>
          <w:lang w:val="en-GB"/>
        </w:rPr>
        <w:t xml:space="preserve">Ein Mißerfolg droht die alte Freundschaft mit den Angehörigen des Kranken zu lockern. Die Kur endete mit einem teilweisen Erfolg, die Patientin verlor ihre hysterische Angst, aber nicht alle ihre somatischen Symptome. Ich war damals noch nicht recht sicher in den Kriterien, welche die endgültige Erledigung einer hysterischen Krankengeschichte bezeichnen, und mutete der Patientin eine Lösung zu, die ihr nicht annehmbar erschien. In solcher Uneinigkeit brachen wir der Sommerzeit wegen die Behandlung ab. – Eines Tages besuchte mich ein jüngerer Kollege, einer meiner nächsten Freunde, der die Patientin – Irma – und ihre Familie in ihrem Landaufenthalt besucht hatte. Ich fragte ihn, wie er sie gefunden habe, und bekam die Antwort: Es geht ihr besser, aber nicht ganz gut. Ich weiß, daß mich die Worte meines Freundes Otto oder der Ton, in dem sie gesprochen waren, ärgerten. Ich glaubte einen Vorwurf herauszuhören, etwa daß ich der Patientin zu viel versprochen hätte, und führte – ob mit Recht oder Unrecht – die vermeintliche Parteinahme Ottos gegen mich auf den Einfluß von Angehörigen der Kranken zurück, die, wie ich annahm, meine Behandlung nie gerne gesehen hatten. Übrigens wurde mir meine peinliche Empfindung nicht klar, ich gab ihr auch keinen Ausdruck. Am selben Abend schrieb ich noch die Krankengeschichte Irmas nieder, um sie, wie zu meiner Rechtfertigung, dem Dr. M., einem gemeinsamen Freunde, der damals tonangebenden Persönlichkeit in unserem Kreise, zu übergeben. In der auf diesen Abend folgenden Nacht (wohl eher am Morgen) hatte ich den nachstehenden Traum, der unmittelbar nach dem Erwachen fixiert wurde </w:t>
      </w:r>
      <w:hyperlink r:id="rId5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Es ist dies der erste Traum, den ich einer eingehenden Deutung unterzog.</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Traum vom 23./24. Juli 1895</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 xml:space="preserve">Eine große Halle – viele Gäste, die wir empfangen. – Unter ihnen Irma, die ich sofort beiseite nehme, um gleichsam ihren Brief zu beantworten,ihr Vorwürfe zu machen, daß sie die »Lösung« noch nicht akzeptiert. Ich sage ihr: Wenn du noch Schmerzen hast, so ist es wirklich nur deine Schuld. – Sie antwortet: Wenn du wüßtest, was ich für Schmerzen jetzt habe im Hals, Magen und Leib, es schnürt mich zusammen. – Ich erschrecke und sehe sie an. Sie sieht bleich und gedunsen aus; ich denke, am Ende übersehe ich da doch etwas Organisches. Ich nehme sie zum Fenster und schaue ihr in den Hals. </w:t>
      </w:r>
      <w:r w:rsidRPr="00A06A59">
        <w:rPr>
          <w:rFonts w:ascii="Garamond" w:hAnsi="Garamond" w:cs="Arial"/>
          <w:i/>
          <w:iCs/>
          <w:color w:val="000000"/>
        </w:rPr>
        <w:t xml:space="preserve">Dabei zeigt sie etwas Sträuben wie die Frauen, die ein künstliches Gebiß tragen. Ich denke mir, sie hat es doch nicht nötig. – Der Mund geht dann auch gut auf, und ich finde rechts einen großen weißen Fleck, und anderwärts sehe ich an merkwürdigen krausen Gebilden, die offenbar den Nasenmuscheln nachgebildet sind, ausgedehnte weißgraue Schorfe. – Ich rufe schnell Dr. M. hinzu, der die Untersuchung wiederholt und bestätigt... </w:t>
      </w:r>
      <w:r w:rsidRPr="00A06A59">
        <w:rPr>
          <w:rFonts w:ascii="Garamond" w:hAnsi="Garamond" w:cs="Arial"/>
          <w:i/>
          <w:iCs/>
          <w:color w:val="000000"/>
          <w:lang w:val="en-GB"/>
        </w:rPr>
        <w:t>Dr. M. sieht ganz anders aus als sonst; er ist sehr bleich, hinkt, ist am Kinn bartlos... Mein Freund Otto steht jetzt auch neben ihr, und Freund Leopold perkutiert sie über dem Leibchen und sagt: Sie hat eine Dämpfung links unten, weist auch auf eine infiltrierte Hautpartie an der linken Schulter hin (was ich trotz des Kleides wie er spüre)... M. sagt: Kein Zweifel, es ist eine Infektion, aber es macht nichts; es wird noch Dysenterie hinzukommen und das Gift sich ausscheiden... Wir wissen auch unmittelbar, woher die Infektion rührt. Freund Otto hat ihr unlängst, als sie sich unwohl fühlte, eine Injektion gegeben mit einem Propylpräparat, Propylen... Propionsäure... Trimethylamin (dessen Formel ich fettgedruckt vor mir sehe)... Man macht solche Injektionen nicht so leichtfertig... Wahrscheinlich war auch die Spritze nicht rein.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Dieser Traum hat vor vielen anderen eines voraus. Es ist sofort klar, an welche Ereignisse des letzten Tages er anknüpft und welches Thema er behandelt. Der Vorbericht gibt hierüber Auskunft. Die Nachricht, die ich von Otto über Irmas Befinden erhalten, die Krankengeschichte, an der ich bis tief in die Nacht geschrieben, haben meine Seelentätigkeit auch während des Schlafes beschäftigt. Trotzdem dürfte niemand, der den Vorbericht und den Inhalt des Traumes zur Kenntnis genommen hat, ahnen können, was der Traum bedeutet. Ich selbst weiß es auch nicht. Ich wundere mich über die Krankheitssymptome, welche Irma im Traum mir klagt, da es nicht dieselben sind, wegen welcher ich sie behandelt habe. Ich lächle über die unsinnige Idee einer Injektion mit Propionsäure und über den </w:t>
      </w:r>
      <w:r w:rsidRPr="00A06A59">
        <w:rPr>
          <w:rFonts w:ascii="Garamond" w:hAnsi="Garamond" w:cs="Arial"/>
          <w:color w:val="000000"/>
          <w:lang w:val="en-GB"/>
        </w:rPr>
        <w:lastRenderedPageBreak/>
        <w:t>Trost, den Dr. M. ausspricht. Der Traum scheint mir gegen sein Ende hin dunkler und gedrängter, als er zu Beginn ist. Um die Bedeutung von alledem zu erfahren, muß ich mich zu einer eingehenden Analyse entschließen.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Analyse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Die Halle – viele Gäste, die wir empfangen</w:t>
      </w:r>
      <w:r w:rsidRPr="00A06A59">
        <w:rPr>
          <w:rFonts w:ascii="Garamond" w:hAnsi="Garamond" w:cs="Arial"/>
          <w:color w:val="000000"/>
          <w:lang w:val="en-GB"/>
        </w:rPr>
        <w:t>. Wir wohnten in diesem Sommer auf der Bellevue, einem einzelstehenden Hause auf einem der Hügel, die sich an den Kahlenberg anschließen. Dies Haus war ehemals zu einem Vergnügungslokal bestimmt, hat hievon die ungewöhnlich hohen, hallenförmigen Räume. Der Traum ist auch auf der Bellevue vorgefallen, und zwar wenige Tage vor dem Geburtsfeste meiner Frau. Am Tage hatte meine Frau die Erwartung ausgesprochen, zu ihrem Geburtstag würden mehrere Freunde, und darunter auch Irma, als Gäste zu uns kommen. Mein Traum antizipiert also diese Situation: Es ist der Geburtstag meiner Frau, und viele Leute, darunter Irma, werden von uns als Gäste in der großen Halle der Bellevue empfangen.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Ich mache Irma Vorwürfe, daß sie die Lösung nicht akzeptiert hat; ich sage: Wenn du noch Schmerzen hast, ist es deine eigene Schuld</w:t>
      </w:r>
      <w:r w:rsidRPr="00A06A59">
        <w:rPr>
          <w:rFonts w:ascii="Garamond" w:hAnsi="Garamond" w:cs="Arial"/>
          <w:color w:val="000000"/>
          <w:lang w:val="en-GB"/>
        </w:rPr>
        <w:t>. Das hätte ich ihr auch im Wachen sagen können, oder habe es ihr gesagt. Ich hatte damals die (später als unrichtig erkannte) Meinung, daß meine Aufgabe sich darin erschöpfe, den Kranken den verborgenen Sinn ihrer Symptome mitzuteilen; ob sie diese Lösung dann annehmen oder nicht, wovon der Erfolg abhängt, dafür sei ich nicht mehr verantwortlich. Ich bin diesem jetzt glücklich überwundenen Irrtum dankbar dafür, daß er mir die Existenz zu einer Zeit erleichtert, da ich in all meiner unvermeidlichen Ignoranz Heilerfolge produzieren sollte. – Ich merke aber an dem Satz, den ich im Traume zu Irma spreche, daß ich vor allem nicht schuld sein will an den Schmerzen, die sie noch hat. Wenn es Irmas eigene Schuld ist, dann kann es nicht meine sein. Sollte in dieser Richtung die Absicht des Traums zu suchen sein?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Irmas Klagen; Schmerzen im Hals, Leib und Magen, es schnürt sie zusammen</w:t>
      </w:r>
      <w:r w:rsidRPr="00A06A59">
        <w:rPr>
          <w:rFonts w:ascii="Garamond" w:hAnsi="Garamond" w:cs="Arial"/>
          <w:color w:val="000000"/>
          <w:lang w:val="en-GB"/>
        </w:rPr>
        <w:t>. Schmerzen im Magen gehörten zum Symptomkomplex meiner Patientin, sie waren aber nicht sehr vordringlich; sie klagte eher über Empfindungen von Übelkeit und Ekel. Schmerzen im Hals, im Leib, Schnüren in der Kehle spielten bei ihr kaum eine Rolle. Ich wundere mich, warum ich mich zu dieser Auswahl der Symptome im Traum entschlossen habe, kann es auch für den Moment nicht finden.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Sie sieht bleich und gedunsen aus</w:t>
      </w:r>
      <w:r w:rsidRPr="00A06A59">
        <w:rPr>
          <w:rFonts w:ascii="Garamond" w:hAnsi="Garamond" w:cs="Arial"/>
          <w:color w:val="000000"/>
          <w:lang w:val="en-GB"/>
        </w:rPr>
        <w:t>. Meine Patientin war immer rosig. Ich vermute, daß sich hier eine andere Person ihr unterschiebt.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Ich erschrecke im Gedanken, daß ich doch eine organische Affektion übersehen habe</w:t>
      </w:r>
      <w:r w:rsidRPr="00A06A59">
        <w:rPr>
          <w:rFonts w:ascii="Garamond" w:hAnsi="Garamond" w:cs="Arial"/>
          <w:color w:val="000000"/>
          <w:lang w:val="en-GB"/>
        </w:rPr>
        <w:t>. Wie man mir gerne glauben wird, eine nie erlöschende Angst beim Spezialisten, der fast ausschließlich Neurotiker sieht und der so viele Erscheinungen auf Hysterie zu schieben gewohnt ist, welche andere Ärzte als organisch behandeln. Anderseits beschleicht mich – ich weiß nicht woher – ein leiser Zweifel, ob mein Erschrecken ganz ehrlich ist. Wenn die Schmerzen Irmas organisch begründet sind, so bin ich wiederum zu deren Heilung nicht verpflichtet. Meine Kur beseitigt ja nur hysterische Schmerzen. Es kommt mir also eigentlich vor, als sollte ich einen Irrtum in der Diagnose wünschen; dann wäre der Vorwurf des Mißerfolgs auch beseitigt.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Ich nehme sie zum Fenster, um ihr in den Hals zu sehen. Sie sträubt sich ein wenig wie die Frauen, die falsche Zähne tragen. Ich denke mir, sie hat es ja doch nicht nötig.</w:t>
      </w:r>
      <w:r w:rsidRPr="00A06A59">
        <w:rPr>
          <w:rFonts w:ascii="Garamond" w:hAnsi="Garamond" w:cs="Arial"/>
          <w:color w:val="000000"/>
          <w:lang w:val="en-GB"/>
        </w:rPr>
        <w:t xml:space="preserve"> Bei Irma hatte ich niemals Anlaß, die Mundhöhle zu inspizieren. Der Vorgang im Traum erinnert mich an die vor einiger Zeit vorgenommene Untersuchung einer Gouvernante, die zunächst den Eindruck von jugendlicher Schönheit gemacht hatte, beim Öffnen des Mundes aber gewisse Anstalten traf, um ihr Gebiß zu verbergen. An diesen Fall knüpfen sich andere Erinnerungen an ärztliche Untersuchungen und an kleine Geheimnisse, die dabei, keinem von beiden zur Lust, enthüllt werden. – </w:t>
      </w:r>
      <w:r w:rsidRPr="00A06A59">
        <w:rPr>
          <w:rFonts w:ascii="Garamond" w:hAnsi="Garamond" w:cs="Arial"/>
          <w:i/>
          <w:iCs/>
          <w:color w:val="000000"/>
          <w:lang w:val="en-GB"/>
        </w:rPr>
        <w:t>Sie hat es doch nicht nötig</w:t>
      </w:r>
      <w:r w:rsidRPr="00A06A59">
        <w:rPr>
          <w:rFonts w:ascii="Garamond" w:hAnsi="Garamond" w:cs="Arial"/>
          <w:color w:val="000000"/>
          <w:lang w:val="en-GB"/>
        </w:rPr>
        <w:t xml:space="preserve">, ist wohl zunächst ein Kompliment für Irma; ich vermute aber noch eine andere Bedeutung. Man fühlt es bei aufmerksamer Analyse, ob man die zu erwartenden Hintergedanken erschöpft hat oder nicht. Die Art, wie Irma beim Fenster steht, erinnert mich plötzlich an ein anderes Erlebnis. Irma besitzt eine intime Freundin, die ich sehr hochschätze. Als ich eines Abends bei ihr einen Besuch machte, fand ich sie in der im Traum reproduzierten Situation beim Fenster, und ihr Arzt, derselbe Dr. M., erklärte, daß sie einen diphtheritischen Belag habe. Die Person des Dr. M. und der Belag kehren ja im Fortgang des Traumes wieder. Jetzt fällt mir ein, daß ich in den letzten Monaten allen Grund bekommen habe, von dieser anderen Dame anzunehmen, sie sei gleichfalls hysterisch. Ja, Irma selbst hat es mir verraten. Was weiß ich aber von ihren Zuständen? Gerade das eine, daß sie an hysterischem Würgen leidet wie meine Irma im Traum. Ich habe also im Traum meine Patientin durch ihre Freundin ersetzt. Jetzt erinnere ich mich, ich habe oft mit der Vermutung gespielt, diese Dame könnte mich gleichfalls in Anspruch nehmen, sie von ihren Symptomen zu befreien. Ich hielt es aber dann selbst für unwahrscheinlich, denn sie ist von sehr zurückhaltender Natur. Sie </w:t>
      </w:r>
      <w:r w:rsidRPr="00A06A59">
        <w:rPr>
          <w:rFonts w:ascii="Garamond" w:hAnsi="Garamond" w:cs="Arial"/>
          <w:i/>
          <w:iCs/>
          <w:color w:val="000000"/>
          <w:lang w:val="en-GB"/>
        </w:rPr>
        <w:t>sträubt</w:t>
      </w:r>
      <w:r w:rsidRPr="00A06A59">
        <w:rPr>
          <w:rFonts w:ascii="Garamond" w:hAnsi="Garamond" w:cs="Arial"/>
          <w:color w:val="000000"/>
          <w:lang w:val="en-GB"/>
        </w:rPr>
        <w:t xml:space="preserve"> sich, wie es der Traum zeigt. Eine andere Erklärung wäre, </w:t>
      </w:r>
      <w:r w:rsidRPr="00A06A59">
        <w:rPr>
          <w:rFonts w:ascii="Garamond" w:hAnsi="Garamond" w:cs="Arial"/>
          <w:i/>
          <w:iCs/>
          <w:color w:val="000000"/>
          <w:lang w:val="en-GB"/>
        </w:rPr>
        <w:t>daß sie es nicht nötig hat</w:t>
      </w:r>
      <w:r w:rsidRPr="00A06A59">
        <w:rPr>
          <w:rFonts w:ascii="Garamond" w:hAnsi="Garamond" w:cs="Arial"/>
          <w:color w:val="000000"/>
          <w:lang w:val="en-GB"/>
        </w:rPr>
        <w:t xml:space="preserve">; sie hat sich wirklich bisher stark genug gezeigt, ihre Zustände ohne fremde Hilfe zu beherrschen. Nun sind nur noch einige Züge übrig, die ich weder bei der Irma noch bei ihrer Freundin unterbringen kann: </w:t>
      </w:r>
      <w:r w:rsidRPr="00A06A59">
        <w:rPr>
          <w:rFonts w:ascii="Garamond" w:hAnsi="Garamond" w:cs="Arial"/>
          <w:i/>
          <w:iCs/>
          <w:color w:val="000000"/>
          <w:lang w:val="en-GB"/>
        </w:rPr>
        <w:t>bleich, gedunsen, falsche Zähne</w:t>
      </w:r>
      <w:r w:rsidRPr="00A06A59">
        <w:rPr>
          <w:rFonts w:ascii="Garamond" w:hAnsi="Garamond" w:cs="Arial"/>
          <w:color w:val="000000"/>
          <w:lang w:val="en-GB"/>
        </w:rPr>
        <w:t xml:space="preserve">. Die falschen Zähne führten mich </w:t>
      </w:r>
      <w:r w:rsidRPr="00A06A59">
        <w:rPr>
          <w:rFonts w:ascii="Garamond" w:hAnsi="Garamond" w:cs="Arial"/>
          <w:color w:val="000000"/>
          <w:lang w:val="en-GB"/>
        </w:rPr>
        <w:lastRenderedPageBreak/>
        <w:t xml:space="preserve">auf jene Gouvernante; ich fühle mich nun geneigt, mich mit </w:t>
      </w:r>
      <w:r w:rsidRPr="00A06A59">
        <w:rPr>
          <w:rFonts w:ascii="Garamond" w:hAnsi="Garamond" w:cs="Arial"/>
          <w:i/>
          <w:iCs/>
          <w:color w:val="000000"/>
          <w:lang w:val="en-GB"/>
        </w:rPr>
        <w:t>schlechten</w:t>
      </w:r>
      <w:r w:rsidRPr="00A06A59">
        <w:rPr>
          <w:rFonts w:ascii="Garamond" w:hAnsi="Garamond" w:cs="Arial"/>
          <w:color w:val="000000"/>
          <w:lang w:val="en-GB"/>
        </w:rPr>
        <w:t xml:space="preserve"> Zähnen zu begnügen. Dann fällt mir eine andere Person ein, auf welche jene Züge anspielen können. Sie ist gleichfalls nicht meine Patientin, und ich möchte sie nicht zur Patientin haben, da ich gemerkt habe, daß sie sich vor mir geniert, und ich sie für keine gefügige Kranke halte. Sie ist für gewöhnlich bleich, und als sie einmal eine besonders gute Zeit hatte, war sie gedunsen </w:t>
      </w:r>
      <w:hyperlink r:id="rId5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Auf diese dritte Person läßt sich auch die noch unaufgeklärte Klage über </w:t>
        </w:r>
        <w:r w:rsidRPr="00A06A59">
          <w:rPr>
            <w:rStyle w:val="innerfusslink3"/>
            <w:rFonts w:ascii="Garamond" w:hAnsi="Garamond" w:cs="Arial"/>
            <w:b/>
            <w:bCs/>
            <w:i/>
            <w:iCs/>
            <w:lang w:val="en-GB"/>
          </w:rPr>
          <w:t>Schmerzen im Leib</w:t>
        </w:r>
        <w:r w:rsidRPr="00A06A59">
          <w:rPr>
            <w:rStyle w:val="innerfusslink3"/>
            <w:rFonts w:ascii="Garamond" w:hAnsi="Garamond" w:cs="Arial"/>
            <w:b/>
            <w:bCs/>
            <w:lang w:val="en-GB"/>
          </w:rPr>
          <w:t xml:space="preserve"> zurückführen. Es handelt sich natürlich um meine eigene Frau; die Leibschmerzen erinnern mich an einen der Anlässe, bei denen ihre Scheu mir deutlich wurde. Ich muß mir eingestehen, daß ich Irma und meine Frau in diesem Traume nicht sehr liebenswürdig behandle, aber zu meiner Entschuldigung sei bemerkt, daß ich beide am Ideal der braven, gefügigen Patientin messe.</w:t>
        </w:r>
      </w:hyperlink>
      <w:r w:rsidRPr="00A06A59">
        <w:rPr>
          <w:rFonts w:ascii="Garamond" w:hAnsi="Garamond" w:cs="Arial"/>
          <w:color w:val="000000"/>
          <w:lang w:val="en-GB"/>
        </w:rPr>
        <w:t xml:space="preserve">. Ich habe also meine Patientin Irma mit zwei anderen Personen verglichen, die sich gleichfalls der Behandlung sträuben würden. Was kann es für Sinn haben, daß ich sie im Traume mit ihrer Freundin vertauscht habe? Etwa, daß ich sie vertauschen möchte; die andere erweckt entweder bei mir stärkere Sympathien, oder ich habe eine höhere Meinung von ihrer Intelligenz. Ich halte nämlich Irma für unklug, weil sie meine Lösung nicht akzeptiert. Die andere wäre klüger, würde also eher nachgeben. </w:t>
      </w:r>
      <w:r w:rsidRPr="00A06A59">
        <w:rPr>
          <w:rFonts w:ascii="Garamond" w:hAnsi="Garamond" w:cs="Arial"/>
          <w:i/>
          <w:iCs/>
          <w:color w:val="000000"/>
          <w:lang w:val="en-GB"/>
        </w:rPr>
        <w:t>Der Mund geht dann auch gut auf</w:t>
      </w:r>
      <w:r w:rsidRPr="00A06A59">
        <w:rPr>
          <w:rFonts w:ascii="Garamond" w:hAnsi="Garamond" w:cs="Arial"/>
          <w:color w:val="000000"/>
          <w:lang w:val="en-GB"/>
        </w:rPr>
        <w:t xml:space="preserve">; sie würde mehr erzählen als Irma </w:t>
      </w:r>
      <w:hyperlink r:id="rId5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Ich ahne, daß die Deutung dieses Stücks nicht weit genug geführt ist, um allem verborgenen Sinn zu folgen. Wollte ich die Vergleichung der drei Frauen fortsetzen, so käme ich weit ab. – Jeder Traum hat mindestens eine Stelle, an welcher er unergründlich ist, gleichsam einen Nabel, durch den er mit dem Unerkannten zusammenhängt.</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Was ich im Halse sehe: einen weißen Fleck und verschorfte Nasenmuscheln.</w:t>
      </w:r>
      <w:r w:rsidRPr="00A06A59">
        <w:rPr>
          <w:rFonts w:ascii="Garamond" w:hAnsi="Garamond" w:cs="Arial"/>
          <w:color w:val="000000"/>
          <w:lang w:val="en-GB"/>
        </w:rPr>
        <w:t xml:space="preserve"> Der weiße Fleck erinnert an Diphtheritis und somit an Irmas Freundin, außerdem aber an die schwere Erkrankung meiner ältesten Tochter vor nahezu zwei Jahren und an all den Schreck jener bösen Zeit. Die Schorfe an den Nasenmuscheln mahnen an eine Sorge um meine eigene Gesundheit. Ich gebrauchte damals häufig Kokain, um lästige Nasenschwellungen zu unterdrücken, und hatte vor wenigen Tagen gehört, daß eine Patientin, die es mir gleichtat, sich eine ausgedehnte Nekrose der Nasenschleimhaut zugezogen hatte. Die Empfehlung des Kokains, die 1885 von mir ausging, hat mir auch schwerwiegende Vorwürfe eingetragen. Ein teurer, 1895 schon verstorbener Freund hatte durch den Mißbrauch dieses Mittels seinen Untergang beschleunigt.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Ich rufe schnell Dr. M. hinzu, der die Untersuchung wiederholt</w:t>
      </w:r>
      <w:r w:rsidRPr="00A06A59">
        <w:rPr>
          <w:rFonts w:ascii="Garamond" w:hAnsi="Garamond" w:cs="Arial"/>
          <w:color w:val="000000"/>
          <w:lang w:val="en-GB"/>
        </w:rPr>
        <w:t xml:space="preserve">. Das entspräche einfach der Stellung, die M. unter uns einnahm. Aber das </w:t>
      </w:r>
      <w:r w:rsidRPr="00A06A59">
        <w:rPr>
          <w:rFonts w:ascii="Garamond" w:hAnsi="Garamond" w:cs="Arial"/>
          <w:i/>
          <w:iCs/>
          <w:color w:val="000000"/>
          <w:lang w:val="en-GB"/>
        </w:rPr>
        <w:t>»schnell«</w:t>
      </w:r>
      <w:r w:rsidRPr="00A06A59">
        <w:rPr>
          <w:rFonts w:ascii="Garamond" w:hAnsi="Garamond" w:cs="Arial"/>
          <w:color w:val="000000"/>
          <w:lang w:val="en-GB"/>
        </w:rPr>
        <w:t xml:space="preserve"> ist auffällig genug, um eine besondere Erklärung zu fordern. Es erinnert mich an ein trauriges ärztliches Erlebnis. Ich hatte einmal durch die fortgesetzte Ordination eines Mittels, welches damals noch als harmlos galt (Sulfonal), eine schwere Intoxikation bei einer Kranken hervorgerufen und wandte mich dann eiligst an den erfahrenen älteren Kollegen um Beistand. Daß ich diesen Fall wirklich im Auge habe, wird durch einen Nebenumstand erhärtet. Die Kranke, welche der Intoxikation erlag, führte denselben Namen wie meine älteste Tochter. Ich hatte bis jetzt niemals daran gedacht; jetzt kommt es mir beinahe wie eine Schicksalsvergeltung vor. Als sollte sich die Ersetzung der Personen in anderem Sinne fortsetzen; diese Mathilde für jene Mathilde; Aug' um Aug', Zahn um Zahn. Es ist, als ob ich alle Gelegenheiten hervorsuchte, aus denen ich mir den Vorwurf mangelnder ärztlicher Gewissenhaftigkeit machen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Dr. M. ist bleich, ohne Bart am Kinn und hinkt</w:t>
      </w:r>
      <w:r w:rsidRPr="00A06A59">
        <w:rPr>
          <w:rFonts w:ascii="Garamond" w:hAnsi="Garamond" w:cs="Arial"/>
          <w:color w:val="000000"/>
          <w:lang w:val="en-GB"/>
        </w:rPr>
        <w:t>. Davon ist so viel richtig, daß sein schlechtes Aussehen häufig die Sorge seiner Freunde erweckt. Die beiden anderen Charaktere müssen einer anderen Person angehören. Es fällt mir mein im Auslande lebender älterer Bruder ein, der das Kinn rasiert trägt und dem, wenn ich mich recht erinnere, der M. des Traumes im ganzen ähnlich sah. Über ihn kam vor einigen Tagen die Nachricht, daß er wegen einer arthritischen Erkrankung in der Hüfte hinke. Es muß einen Grund haben, daß ich die beiden Personen im Traume zu einer einzigen verschmelze. Ich erinnere mich wirklich, daß ich gegen beide aus ähnlichen Gründen mißgestimmt war. Beide hatten einen gewissen Vorschlag, den ich ihnen in der letzten Zeit gemacht hatte, zurückgewiesen.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Freund Otto steht jetzt bei der Kranken, und Freund Leopold untersucht sie und weist eine Dämpfung links unten nach</w:t>
      </w:r>
      <w:r w:rsidRPr="00A06A59">
        <w:rPr>
          <w:rFonts w:ascii="Garamond" w:hAnsi="Garamond" w:cs="Arial"/>
          <w:color w:val="000000"/>
          <w:lang w:val="en-GB"/>
        </w:rPr>
        <w:t xml:space="preserve">. Freund Leopold ist gleichfalls Arzt, ein Verwandter von Otto. Das Schicksal hat die beiden, da sie dieselbe Spezialität ausüben, zu Konkurrenten gemacht, die man beständig miteinander vergleicht. Sie haben mir beide Jahre hindurch assistiert, als ich noch eine öffentliche Ordination für nervenkranke Kinder leitete </w:t>
      </w:r>
      <w:r w:rsidRPr="00A06A59">
        <w:rPr>
          <w:rFonts w:ascii="Garamond" w:hAnsi="Garamond" w:cs="Arial"/>
          <w:i/>
          <w:iCs/>
          <w:color w:val="000000"/>
          <w:lang w:val="en-GB"/>
        </w:rPr>
        <w:t>.</w:t>
      </w:r>
      <w:r w:rsidRPr="00A06A59">
        <w:rPr>
          <w:rFonts w:ascii="Garamond" w:hAnsi="Garamond" w:cs="Arial"/>
          <w:color w:val="000000"/>
          <w:lang w:val="en-GB"/>
        </w:rPr>
        <w:t xml:space="preserve"> Szenen, wie die im Traum reproduzierte, haben sich dort oftmals zugetragen. Während ich mit </w:t>
      </w:r>
      <w:r w:rsidRPr="00A06A59">
        <w:rPr>
          <w:rFonts w:ascii="Garamond" w:hAnsi="Garamond" w:cs="Arial"/>
          <w:i/>
          <w:iCs/>
          <w:color w:val="000000"/>
          <w:lang w:val="en-GB"/>
        </w:rPr>
        <w:t>Otto</w:t>
      </w:r>
      <w:r w:rsidRPr="00A06A59">
        <w:rPr>
          <w:rFonts w:ascii="Garamond" w:hAnsi="Garamond" w:cs="Arial"/>
          <w:color w:val="000000"/>
          <w:lang w:val="en-GB"/>
        </w:rPr>
        <w:t xml:space="preserve"> über die Diagnose eines Falles debattierte, hatte Leopold das Kind neuerdings untersucht und einen unerwarteten Beitrag zur Entscheidung beigebracht. Es bestand eben zwischen ihnen eine ähnliche Charakterverschiedenheit wie zwischen dem Inspektor </w:t>
      </w:r>
      <w:r w:rsidRPr="00A06A59">
        <w:rPr>
          <w:rFonts w:ascii="Garamond" w:hAnsi="Garamond" w:cs="Arial"/>
          <w:i/>
          <w:iCs/>
          <w:color w:val="000000"/>
          <w:lang w:val="en-GB"/>
        </w:rPr>
        <w:t>Bräsig</w:t>
      </w:r>
      <w:r w:rsidRPr="00A06A59">
        <w:rPr>
          <w:rFonts w:ascii="Garamond" w:hAnsi="Garamond" w:cs="Arial"/>
          <w:color w:val="000000"/>
          <w:lang w:val="en-GB"/>
        </w:rPr>
        <w:t xml:space="preserve"> und seinem Freunde </w:t>
      </w:r>
      <w:r w:rsidRPr="00A06A59">
        <w:rPr>
          <w:rFonts w:ascii="Garamond" w:hAnsi="Garamond" w:cs="Arial"/>
          <w:i/>
          <w:iCs/>
          <w:color w:val="000000"/>
          <w:lang w:val="en-GB"/>
        </w:rPr>
        <w:t>Karl</w:t>
      </w:r>
      <w:r w:rsidRPr="00A06A59">
        <w:rPr>
          <w:rFonts w:ascii="Garamond" w:hAnsi="Garamond" w:cs="Arial"/>
          <w:color w:val="000000"/>
          <w:lang w:val="en-GB"/>
        </w:rPr>
        <w:t xml:space="preserve">. Der eine tat sich durch »Fixigkeit« hervor, der andere war langsam, bedächtig, aber gründlich. Wenn ich im Traume Otto und den vorsichtigen Leopold einander gegenüberstelle, so geschieht es offenbar, um Leopold herauszustreichen. Es ist ein ähnliches Vergleichen wie oben zwischen der unfolgsamen Patientin Irma und ihrer für klüger gehaltenen Freundin. Ich merke jetzt auch eines der Gleise, auf denen sich die Gedankenverbindung im Traume fortschiebt: vom kranken Kind zum Kinderkrankeninstitut. – </w:t>
      </w:r>
      <w:r w:rsidRPr="00A06A59">
        <w:rPr>
          <w:rFonts w:ascii="Garamond" w:hAnsi="Garamond" w:cs="Arial"/>
          <w:i/>
          <w:iCs/>
          <w:color w:val="000000"/>
          <w:lang w:val="en-GB"/>
        </w:rPr>
        <w:t>Die Dämpfung links unten</w:t>
      </w:r>
      <w:r w:rsidRPr="00A06A59">
        <w:rPr>
          <w:rFonts w:ascii="Garamond" w:hAnsi="Garamond" w:cs="Arial"/>
          <w:color w:val="000000"/>
          <w:lang w:val="en-GB"/>
        </w:rPr>
        <w:t xml:space="preserve"> macht mir den </w:t>
      </w:r>
      <w:r w:rsidRPr="00A06A59">
        <w:rPr>
          <w:rFonts w:ascii="Garamond" w:hAnsi="Garamond" w:cs="Arial"/>
          <w:color w:val="000000"/>
          <w:lang w:val="en-GB"/>
        </w:rPr>
        <w:lastRenderedPageBreak/>
        <w:t xml:space="preserve">Eindruck, als entspräche sie allen Details eines einzelnen Falls, in dem mich Leopold durch seine Gründlichkeit frappiert hat. </w:t>
      </w:r>
      <w:r w:rsidRPr="00A06A59">
        <w:rPr>
          <w:rFonts w:ascii="Garamond" w:hAnsi="Garamond" w:cs="Arial"/>
          <w:color w:val="000000"/>
        </w:rPr>
        <w:t xml:space="preserve">Es schwebt mir außerdem etwas vor wie eine metastatische Affektion, aber es könnte auch eine Beziehung zu der Patientin sein, die ich an Stelle von Irma haben möchte. </w:t>
      </w:r>
      <w:r w:rsidRPr="00A06A59">
        <w:rPr>
          <w:rFonts w:ascii="Garamond" w:hAnsi="Garamond" w:cs="Arial"/>
          <w:color w:val="000000"/>
          <w:lang w:val="en-GB"/>
        </w:rPr>
        <w:t>Diese Dame imitiert nämlich, soweit ich es übersehen kann, eine Tuberkulose.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rPr>
        <w:t>Eine infiltrierte Hautpartie an der linken Schulter</w:t>
      </w:r>
      <w:r w:rsidRPr="00A06A59">
        <w:rPr>
          <w:rFonts w:ascii="Garamond" w:hAnsi="Garamond" w:cs="Arial"/>
          <w:color w:val="000000"/>
        </w:rPr>
        <w:t xml:space="preserve">. </w:t>
      </w:r>
      <w:r w:rsidRPr="00A06A59">
        <w:rPr>
          <w:rFonts w:ascii="Garamond" w:hAnsi="Garamond" w:cs="Arial"/>
          <w:color w:val="000000"/>
          <w:lang w:val="en-GB"/>
        </w:rPr>
        <w:t xml:space="preserve">Ich weiß sofort, das ist mein eigener Schulterrheumatismus, den ich regelmäßig verspüre, wenn ich bis tief in die Nacht wach geblieben bin. Der Wortlaut im Traume klingt auch so zweideutig: </w:t>
      </w:r>
      <w:r w:rsidRPr="00A06A59">
        <w:rPr>
          <w:rFonts w:ascii="Garamond" w:hAnsi="Garamond" w:cs="Arial"/>
          <w:i/>
          <w:iCs/>
          <w:color w:val="000000"/>
          <w:lang w:val="en-GB"/>
        </w:rPr>
        <w:t>was ich ... wie er spüre</w:t>
      </w:r>
      <w:r w:rsidRPr="00A06A59">
        <w:rPr>
          <w:rFonts w:ascii="Garamond" w:hAnsi="Garamond" w:cs="Arial"/>
          <w:color w:val="000000"/>
          <w:lang w:val="en-GB"/>
        </w:rPr>
        <w:t>. Am eigenen Körper spüre, ist gemeint. Übrigens fällt mir auf, wie ungewöhnlich die Bezeichnung »infiltrierte Hautpartie« klingt. An die »Infiltration links hinten oben« sind wir gewöhnt; die bezöge sich auf die Lunge und somit wieder auf Tuberkulose.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Trotz des Kleides</w:t>
      </w:r>
      <w:r w:rsidRPr="00A06A59">
        <w:rPr>
          <w:rFonts w:ascii="Garamond" w:hAnsi="Garamond" w:cs="Arial"/>
          <w:color w:val="000000"/>
          <w:lang w:val="en-GB"/>
        </w:rPr>
        <w:t>. Das ist allerdings nur eine Einschaltung. Die Kinder im Krankeninstitut untersuchten wir natürlich entkleidet; es ist irgendein Gegensatz zur Art, wie man erwachsene weibliche Patienten untersuchen muß. Von einem hervorragenden Kliniker pflegte man zu erzählen, daß er seine Patienten stets nur durch die Kleider physikalisch untersucht habe. Das Weitere ist mir dunkel, ich habe, offen gesagt, keine Neigung, mich hier tiefer einzulassen.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Dr. M. sagt: Es ist eine Infektion, aber es macht nichts. Es wird noch Dysenterie hinzukommen und das Gift sich ausscheiden.</w:t>
      </w:r>
      <w:r w:rsidRPr="00A06A59">
        <w:rPr>
          <w:rFonts w:ascii="Garamond" w:hAnsi="Garamond" w:cs="Arial"/>
          <w:color w:val="000000"/>
          <w:lang w:val="en-GB"/>
        </w:rPr>
        <w:t xml:space="preserve"> Das erscheint mir zuerst lächerlich, muß aber doch, wie alles andere, sorgfältig zerlegt werden. Näher betrachtet, zeigt es doch eine Art von Sinn. Was ich an der Patientin gefunden habe, war eine lokale Diphtheritis. Aus der Zeit der Erkrankung meiner Tochter erinnere ich mich an die Diskussion über Diphtheritis und Diphtherie. Letztere ist die Allgemeininfektion, die von der lokalen Diphtheritis ausgeht. Eine solche Allgemeininfektion weist Leopold durch die Dämpfung nach, welche also an metastatische Herde denken läßt. Ich glaube zwar, daß gerade bei Diphtherie derartige Metastasen nicht vorkommen. Sie erinnern mich eher an Pyämie.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Es macht nichts</w:t>
      </w:r>
      <w:r w:rsidRPr="00A06A59">
        <w:rPr>
          <w:rFonts w:ascii="Garamond" w:hAnsi="Garamond" w:cs="Arial"/>
          <w:color w:val="000000"/>
          <w:lang w:val="en-GB"/>
        </w:rPr>
        <w:t>, ist ein Trost. Ich meine, er fügt sich folgendermaßen ein: Das letzte Stück des Traumes hat den Inhalt gebracht, daß die Schmerzen der Patientin von einer schweren organischen Affektion herrühren. Es ahnt mir, daß ich auch damit nur die Schuld von mir abwälzen will. Für den Fortbestand diphtheritischer Leiden kann die psychische Kur nicht verantwortlich gemacht werden. Nun geniert es mich doch, daß ich Irma ein so schweres Leiden andichte, einzig und allein, um mich zu entlasten. Es sieht so grausam aus. Ich brauche also eine Versicherung des guten Ausgangs, und es scheint mir nicht übel gewählt, daß ich den Trost gerade der Person des Dr. M. in den Mund lege. Ich erhebe mich aber hier über den Traum, was der Aufklärung bedarf.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Warum ist dieser Trost aber so unsinnig?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Dysenterie</w:t>
      </w:r>
      <w:r w:rsidRPr="00A06A59">
        <w:rPr>
          <w:rFonts w:ascii="Garamond" w:hAnsi="Garamond" w:cs="Arial"/>
          <w:color w:val="000000"/>
          <w:lang w:val="en-GB"/>
        </w:rPr>
        <w:t>: Irgendeine fernliegende theoretische Vorstellung, daß Krankheitsstoffe durch den Darm entfernt werden können. Will ich mich damit über den Reichtum des Dr. M. an weit hergeholten Erklärungen, sonderbaren pathologischen Verknüpfungen lustig machen? Zu Dysenterie fällt mir noch etwas anderes ein. Vor einigen Monaten hatte ich einen jungen Mann mit merkwürdigen Stuhlbeschwerden übernommen, den andere Kollegen als einen Fall von »Anämie mit Unterernährung« behandelt hatten. Ich erkannte, daß es sich um eine Hysterie handle, wollte meine Psychotherapie nicht an ihm versuchen und schickte ihn auf eine Seereise. Nun bekam ich vor einigen Tagen einen verzweifelten Brief von ihm aus Ägypten, daß er dort einen neuen Anfall durchgemacht, den der Arzt für Dysenterie erklärt habe. Ich vermute zwar, die Diagnose ist nur ein Irrtum des unwissenden Kollegen, der sich von der Hysterie äffen läßt; aber ich konnte mir doch die Vorwürfe nicht ersparen, daß ich den Kranken in die Lage versetzt, sich zu einer hysterischen Darmaffektion etwa noch eine organische zu holen. Dysenterie klingt ferner an Diphtherie an, welcher Name ††† im Traum nicht genannt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Ja, es muß so sein, daß ich mich mit der tröstlichen Prognose: Es wird noch Dysenterie hinzukommen usw. über Dr. M. lustig mache, denn ich entsinne mich, daß er einmal vor Jahren etwas ganz Ähnliches von einem Kollegen lachend erzählt hat. Er war zur Konsultation mit diesem Kollegen bei einem Schwerkranken berufen worden und fühlte sich veranlaßt, dem anderen, der sehr hoffnungsfreudig schien, vorzuhalten, daß er beim Patienten Eiweiß im Harn finde. Der Kollege ließ sich aber nicht irremachen, sondern antwortete beruhigt: </w:t>
      </w:r>
      <w:r w:rsidRPr="00A06A59">
        <w:rPr>
          <w:rFonts w:ascii="Garamond" w:hAnsi="Garamond" w:cs="Arial"/>
          <w:i/>
          <w:iCs/>
          <w:color w:val="000000"/>
          <w:lang w:val="en-GB"/>
        </w:rPr>
        <w:t>Das macht nichts</w:t>
      </w:r>
      <w:r w:rsidRPr="00A06A59">
        <w:rPr>
          <w:rFonts w:ascii="Garamond" w:hAnsi="Garamond" w:cs="Arial"/>
          <w:color w:val="000000"/>
          <w:lang w:val="en-GB"/>
        </w:rPr>
        <w:t xml:space="preserve">, Herr Kollege, </w:t>
      </w:r>
      <w:r w:rsidRPr="00A06A59">
        <w:rPr>
          <w:rFonts w:ascii="Garamond" w:hAnsi="Garamond" w:cs="Arial"/>
          <w:i/>
          <w:iCs/>
          <w:color w:val="000000"/>
          <w:lang w:val="en-GB"/>
        </w:rPr>
        <w:t>der</w:t>
      </w:r>
      <w:r w:rsidRPr="00A06A59">
        <w:rPr>
          <w:rFonts w:ascii="Garamond" w:hAnsi="Garamond" w:cs="Arial"/>
          <w:color w:val="000000"/>
          <w:lang w:val="en-GB"/>
        </w:rPr>
        <w:t xml:space="preserve"> Eiweiß wird sich schon ausscheiden! – Es ist mir also nicht mehr zweifelhaft, daß in diesem Stück des Traumes ein Hohn auf die der Hysterie unwissenden Kollegen enthalten ist. Wie zur Bestätigung fährt mir jetzt durch den Sinn: Weiß denn Dr. M., daß die Erscheinungen bei seiner Patientin, der Freundin Irmas, welche eine Tuberkulose befürchten lassen, auch auf Hysterie beruhen? Hat er diese Hysterie erkannt, oder ist er ihr »aufgesessen«?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Welches Motiv kann ich aber haben, diesen Freund so schlecht zu behandeln? Das ist sehr einfach: Dr. M. ist mit meiner »Lösung« bei Irma so wenig einverstanden wie Irma selbst. Ich habe also in diesem Traum bereits an zwei Personen Rache genommen, an Irma mit den Worten: Wenn du noch Schmerzen hast, ist es deine eigene Schuld, und an Dr. M. mit dem Wortlaut der ihm in den Mund gelegten unsinnigen Tröstung.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lastRenderedPageBreak/>
        <w:t>Wir wissen unmittelbar, woher die Infektion rührt</w:t>
      </w:r>
      <w:r w:rsidRPr="00A06A59">
        <w:rPr>
          <w:rFonts w:ascii="Garamond" w:hAnsi="Garamond" w:cs="Arial"/>
          <w:color w:val="000000"/>
          <w:lang w:val="en-GB"/>
        </w:rPr>
        <w:t>. Dies unmittelbare Wissen im Traume ist merkwürdig. Eben vorhin wußten wir es noch nicht, da die Infektion erst durch Leopold nachgewiesen wurde.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Freund Otto hat ihr, als sie sich unwohl fühlte, eine Injektion gegeben</w:t>
      </w:r>
      <w:r w:rsidRPr="00A06A59">
        <w:rPr>
          <w:rFonts w:ascii="Garamond" w:hAnsi="Garamond" w:cs="Arial"/>
          <w:color w:val="000000"/>
          <w:lang w:val="en-GB"/>
        </w:rPr>
        <w:t>. Otto hatte wirklich erzählt, daß er in der kurzen Zeit seiner Anwesenheit bei Irmas Familie ins benachbarte Hotel geholt wurde, um dort jemandem, der sich plötzlich unwohl fühlte, eine Injektion zu machen. Die Injektionen erinnern mich wieder an den unglücklichen Freund, der sich mit Kokain vergiftet hat. Ich hatte ihm das Mittel nur zur internen Anwendung während der Morphiumentziehung geraten; er machte sich aber unverzüglich Kokaininjektionen.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Mit einem Propylpräparat ... Propylen ... Propionsäure</w:t>
      </w:r>
      <w:r w:rsidRPr="00A06A59">
        <w:rPr>
          <w:rFonts w:ascii="Garamond" w:hAnsi="Garamond" w:cs="Arial"/>
          <w:color w:val="000000"/>
          <w:lang w:val="en-GB"/>
        </w:rPr>
        <w:t xml:space="preserve">. Wie komme ich nur dazu? Am selben Abend, nach welchem ich an der Krankengeschichte geschrieben und darauf geträumt hatte, öffnete meine Frau eine Flasche Likör, auf welcher »Ananas« </w:t>
      </w:r>
      <w:hyperlink r:id="rId5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»Ananas« enthält übrigens einen merkwürdigen Anklang an den Familiennamen meiner Patientin Irma.</w:t>
        </w:r>
      </w:hyperlink>
      <w:r w:rsidRPr="00A06A59">
        <w:rPr>
          <w:rFonts w:ascii="Garamond" w:hAnsi="Garamond" w:cs="Arial"/>
          <w:color w:val="000000"/>
          <w:lang w:val="en-GB"/>
        </w:rPr>
        <w:t xml:space="preserve"> zu lesen stand und die ein Geschenk unseres Freundes Otto war. Er hatte nämlich die Gewohnheit, bei allen möglichen Anlässen zu schenken; hoffentlich wird er einmal durch eine Frau davon kuriert. Diesem Likör entströmte ein solcher Fuselgeruch, daß ich mich weigerte, davon zu kosten. Meine Frau meinte: Diese Flasche schenken wir den Dienstleuten, und ich, noch vorsichtiger, untersagte es mit der menschenfreundlichen Bemerkung, sie sollen sich auch nicht vergiften. Der Fuselgeruch (Amyl...) hat nun offenbar bei mir die Erinnerung an die ganze Reihe: Propyl, Methyl usw. geweckt, die für den Traum die Propylenpräparate lieferte. Ich habe dabei allerdings eine Substitution vorgenommen, Propyl geträumt, nachdem ich Amyl gerochen, aber derartige Substitutionen sind vielleicht gerade in der organischen Chemie gestattet.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Trimethylamin</w:t>
      </w:r>
      <w:r w:rsidRPr="00A06A59">
        <w:rPr>
          <w:rFonts w:ascii="Garamond" w:hAnsi="Garamond" w:cs="Arial"/>
          <w:color w:val="000000"/>
          <w:lang w:val="en-GB"/>
        </w:rPr>
        <w:t>. Von diesem Körper sehe ich im Traume die chemische Formel, was jedenfalls eine große Anstrengung meines Gedächtnisses bezeugt, und zwar ist die Formel fett gedruckt, als wollte man aus dem Kontext etwas als ganz besonders wichtig herausheben. Worauf führt mich nun Trimethylamin, auf das ich in solcher Weise aufmerksam gemacht werde? Auf ein Gespräch mit einem anderen Freunde, der seit Jahren um all meine keimenden Arbeiten weiß, wie ich um die seinigen. Er hatte mir damals gewisse Ideen zu einer Sexualchemie mitgeteilt und unter anderem erwähnt, eines der Produkte des Sexualstoffwechsels glaube er im Trimethylamin zu erkennen. Dieser Körper führt mich also auf die Sexualität, auf jenes Moment, dem ich für die Entstehung der nervösen Affektionen, welche ich heilen will, die größte Bedeutung beilege. Meine Patientin Irma ist eine jugendliche Witwe; wenn es mir darum zu tun ist, den Mißerfolg der Kur bei ihr zu entschuldigen, werde ich mich wohl am besten auf diese Tatsache berufen, an welcher ihre Freunde gern ändern möchten. Wie merkwürdig übrigens ein solcher Traum gefügt ist! Die andere, welche ich an Irmas Statt im Traume zur Patientin habe, ist auch eine junge Witwe.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ahne, warum die Formel Trimethylamin im Traume sich so breitgemacht hat. Es kommt soviel Wichtiges in diesem einen Wort zusammen: Trimethylamin ist nicht nur eine Anspielung auf das übermächtige Moment der Sexualität, sondern auch auf eine Person, an deren Zustimmung ich mich mit Befriedigung erinnere, wenn ich mich mit meinen Ansichten verlassen fühle. Sollte dieser Freund, der in meinem Leben eine so große Rolle spielt, in dem Gedankenzusammenhang des Traumes weiter nicht vorkommen? Doch; er ist ein besonderer Kenner der Wirkungen, welche von Affektionen der Nase und ihrer Nebenhöhlen ausgehen, und hat der Wissenschaft einige höchst merkwürdige Beziehungen der Nasenmuscheln zu den weiblichen Sexualorganen eröffnet. (Die drei krausen Gebilde im Hals bei Irma.) Ich habe Irma von ihm untersuchen lassen, ob ihre Magenschmerzen etwa nasalen Ursprungs sind. Er leidet aber selbst an Naseneiterungen, die mir Sorge bereiten, und darauf spielt wohl die Pyämie an, die mir bei den Metastasen des Traumes vorschwebt.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Man macht solche Injektionen nicht so leichtfertig</w:t>
      </w:r>
      <w:r w:rsidRPr="00A06A59">
        <w:rPr>
          <w:rFonts w:ascii="Garamond" w:hAnsi="Garamond" w:cs="Arial"/>
          <w:color w:val="000000"/>
          <w:lang w:val="en-GB"/>
        </w:rPr>
        <w:t>. Hier wird der Vorwurf der Leichtfertigkeit unmittelbar gegen Freund Otto geschleudert. Ich glaube, etwas Ähnliches habe ich mir am Nachmittage gedacht, als er durch Wort und Blick seine Parteinahme gegen mich zu bezeugen schien. Es war etwa: Wie leicht er sich beeinflussen läßt; wie leicht er mit seinem Urteil fertig wird. – Außerdem deutet mir der obenstehende Satz wiederum auf den verstorbenen Freund, der sich so rasch zu Kokaininjektionen entschloß. Ich hatte Injektionen mit dem Mittel, wie gesagt, gar nicht beabsichtigt. Bei dem Vorwurf, den ich gegen Otto erhebe, leichtfertig mit jenen chemischen Stoffen umzugehen, merke ich, daß ich wieder die Geschichte jener unglücklichen Mathilde berühre, aus der derselbe Vorwurf gegen mich hervorgeht. Ich sammle hier offenbar Beispiele für meine Gewissenhaftigkeit, aber auch fürs Gegenteil.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Wahrscheinlich war auch die Spritze nicht rein</w:t>
      </w:r>
      <w:r w:rsidRPr="00A06A59">
        <w:rPr>
          <w:rFonts w:ascii="Garamond" w:hAnsi="Garamond" w:cs="Arial"/>
          <w:color w:val="000000"/>
          <w:lang w:val="en-GB"/>
        </w:rPr>
        <w:t xml:space="preserve">. Noch ein Vorwurf gegen Otto, der aber anderswoher stammt. Gestern traf ich zufällig den Sohn einer zweiundachtzigjährigen Dame, der ich täglich zwei Morphiuminjektionen geben muß </w:t>
      </w:r>
      <w:r w:rsidRPr="00A06A59">
        <w:rPr>
          <w:rFonts w:ascii="Garamond" w:hAnsi="Garamond" w:cs="Arial"/>
          <w:i/>
          <w:iCs/>
          <w:color w:val="000000"/>
          <w:lang w:val="en-GB"/>
        </w:rPr>
        <w:t>.</w:t>
      </w:r>
      <w:r w:rsidRPr="00A06A59">
        <w:rPr>
          <w:rFonts w:ascii="Garamond" w:hAnsi="Garamond" w:cs="Arial"/>
          <w:color w:val="000000"/>
          <w:lang w:val="en-GB"/>
        </w:rPr>
        <w:t xml:space="preserve"> Sie ist gegenwärtig auf dem Lande, und ich hörte über sie, daß sie an einer Venenentzündung leide. Ich dachte sofort daran, es handle sich um ein Infiltrat durch Verunreinigung der Spritze. Es ist mein Stolz, daß ich ihr in zwei Jahren nicht ein einziges Infiltrat gemacht habe; es ist freilich meine beständige Sorge, ob die Spritze auch rein ist. Ich bin eben gewissenhaft. Von der Venenentzündung komme ich wieder auf meine Frau, die in einer Schwangerschaft an </w:t>
      </w:r>
      <w:r w:rsidRPr="00A06A59">
        <w:rPr>
          <w:rFonts w:ascii="Garamond" w:hAnsi="Garamond" w:cs="Arial"/>
          <w:color w:val="000000"/>
          <w:lang w:val="en-GB"/>
        </w:rPr>
        <w:lastRenderedPageBreak/>
        <w:t>Venenstauungen gelitten, und nun tauchen in meiner Erinnerung drei ähnliche Situationen, mit meiner Frau, mit Irma und der verstorbenen Mathilde auf, deren Identität mir offenbar das Recht gegeben hat, die drei Personen im Traum füreinander einzusetzen.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US"/>
        </w:rPr>
      </w:pPr>
      <w:r w:rsidRPr="00A06A59">
        <w:rPr>
          <w:rFonts w:ascii="Garamond" w:hAnsi="Garamond" w:cs="Arial"/>
          <w:color w:val="000000"/>
          <w:lang w:val="en-US"/>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habe nun die Traumdeutung vollendet </w:t>
      </w:r>
      <w:hyperlink r:id="rId5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Wenn ich auch, wie begreiflich, nicht alles mitgeteilt habe, was mir zur Deutungsarbeit eingefallen ist.</w:t>
        </w:r>
      </w:hyperlink>
      <w:r w:rsidRPr="00A06A59">
        <w:rPr>
          <w:rFonts w:ascii="Garamond" w:hAnsi="Garamond" w:cs="Arial"/>
          <w:color w:val="000000"/>
          <w:lang w:val="en-GB"/>
        </w:rPr>
        <w:t xml:space="preserve">. Während dieser Arbeit hatte ich Mühe, mich all der Einfälle zu erwehren, zu denen der Vergleich zwischen dem Trauminhalt und den dahinter versteckten Traumgedanken die Anregung geben mußte. Auch ist mir unterdes der »Sinn« des Traumes aufgegangen. Ich habe eine Absicht gemerkt, welche durch den Traum verwirklicht wird und die das Motiv des Träumens gewesen sein muß. Der Traum erfüllt einige Wünsche, welche durch die Ereignisse des letzten Abends (die Nachricht Ottos, die Niederschrift der Krankengeschichte) in mir rege gemacht worden sind. Das Ergebnis des Traumes ist nämlich, daß ich nicht schuld bin an dem noch vorhandenen Leiden Irmas und daß Otto daran schuld ist. Nun hat mich Otto durch seine Bemerkung über Irmas unvollkommene Heilung geärgert, der Traum rächt mich an ihm, indem er den Vorwurf auf ihn selbst zurückwendet. Von der Verantwortung für Irmas Befinden spricht der Traum mich frei, indem er dasselbe auf andere Momente (gleich eine ganze Reihe von Begründungen) zurückführt. Der Traum stellt einen gewissen Sachverhalt so dar, wie ich ihn wünschen möchte; </w:t>
      </w:r>
      <w:r w:rsidRPr="00A06A59">
        <w:rPr>
          <w:rFonts w:ascii="Garamond" w:hAnsi="Garamond" w:cs="Arial"/>
          <w:i/>
          <w:iCs/>
          <w:color w:val="000000"/>
          <w:lang w:val="en-GB"/>
        </w:rPr>
        <w:t>sein Inhalt ist also eine Wunscherfüllung, sein Motiv ein Wunsch</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Soviel springt in die Augen. Aber auch von den Details des Traumes wird mir manches unter dem Gesichtspunkte der Wunscherfüllung verständlich. Ich räche mich nicht nur an Otto für seine voreilige Parteinahme gegen mich, indem ich ihm eine voreilige ärztliche Handlung zuschiebe (die Injektion), sondern ich nehme auch Rache an ihm für den schlechten Likör, der nach Fusel duftet, und ich finde im Traum einen Ausdruck, der beide Vorwürfe vereint: die Injektion mit einem Propylenpräparat. Ich bin noch nicht befriedigt, sondern setze meine Rache fort, indem ich ihm seinen verläßlicheren Konkurrenten gegenüberstelle. Ich scheine damit zu sagen: Der ist mir lieber als du. Otto ist aber nicht der einzige, der die Schwere meines Zorns zu fühlen hat. Ich räche mich auch an der unfolgsamen Patientin, indem ich sie mit einer klügeren, gefügigeren vertausche. Ich lasse auch dem Dr. M. seinen Widerspruch nicht ruhig hingehen, sondern drücke ihm in einer deutlichen Anspielung meine Meinung aus, daß er der Sache als ein Unwissender gegenübersteht (» </w:t>
      </w:r>
      <w:r w:rsidRPr="00A06A59">
        <w:rPr>
          <w:rFonts w:ascii="Garamond" w:hAnsi="Garamond" w:cs="Arial"/>
          <w:i/>
          <w:iCs/>
          <w:color w:val="000000"/>
          <w:lang w:val="en-GB"/>
        </w:rPr>
        <w:t>Es wird Dysenterie hinzukommen</w:t>
      </w:r>
      <w:r w:rsidRPr="00A06A59">
        <w:rPr>
          <w:rFonts w:ascii="Garamond" w:hAnsi="Garamond" w:cs="Arial"/>
          <w:color w:val="000000"/>
          <w:lang w:val="en-GB"/>
        </w:rPr>
        <w:t xml:space="preserve"> etc.«). Ja, mir scheint, ich appelliere von ihm weg an einen anderen, Besserwissenden (meinen Freund, der mir vom Trimethylamin erzählt hat), wie ich von Irma an ihre Freundin, von Otto an Leopold mich gewendet habe. Schafft mir diese Personen weg, ersetzt sie mir durch drei andere meiner Wahl, dann bin ich der Vorwürfe ledig, die ich nicht verdient haben will! Die Grundlosigkeit dieser Vorwürfe selbst wird mir im Traume auf die weitläufigste Art erwiesen. Irmas Schmerzen fallen nicht mir zur Last, denn sie ist selbst schuld an ihnen, indem sie meine Lösung anzunehmen verweigert. Irmas Schmerzen gehen mich nichts an, denn sie sind organischer Natur, durch eine psychische Kur gar nicht heilbar. Irmas Leiden erklären sich befriedigend durch ihre Witwenschaft (Trimethylamin!), woran ich ja nichts ändern kann. Irmas Leiden ist durch eine unvorsichtige Injektion von Seiten Ottos hervorgerufen worden mit einem dazu nicht geeigneten Stoff, wie ich sie nie gemacht hätte. Irmas Leiden rührt von einer Injektion mit unreiner Spritze her wie die Venenentzündung meiner alten Dame, während ich bei meinen Injektionen niemals etwas anstelle. Ich merke zwar, diese Erklärungen für Irmas Leiden, die darin zusammentreffen, mich zu entlasten, stimmen untereinander nicht zusammen, ja sie schließen einander aus. Das ganze Plaidoyer – nichts anderes ist dieser Traum – erinnert lebhaft an die Verteidigung des Mannes, der von seinem Nachbarn angeklagt war, ihm einen Kessel in schadhaftem Zustande zurückgegeben zu haben. Erstens habe er ihn unversehrt zurückgebracht, zweitens war der Kessel schon durchlöchert, als er ihn entlehnte, drittens hat er nie einen Kessel vom Nachbarn entlehnt. Aber um so besser; wenn nur eine dieser drei Verteidigungsarten als stichhältig erkannt wird, muß der Mann freigesprochen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spielen in den Traum noch andere Themata hinein, deren Beziehung zu meiner Entlastung von Irmas Krankheit nicht so durchsichtig ist: Die Krankheit meiner Tochter und die einer gleichnamigen Patientin, die Kokainschädlichkeit, die Affektion meines in Ägypten reisenden Patienten, die Sorge um die Gesundheit meiner Frau, meines Bruders, des Dr. M., meine eigenen Körperbeschwerden, die Sorge um den abwesenden Freund, der an Naseneiterungen leidet. Doch wenn ich all das ins Auge fasse, fügt es sich zu einem einzigen Gedankenkreis zusammen, etwa mit der Etikette: Sorge um die Gesundheit, eigene und fremde, ärztliche Gewissenhaftigkeit. Ich erinnere mich an eine unklare peinliche Empfindung, als mir Otto die Nachricht von Irmas Befinden brachte. Aus dem im Traume mitspielenden Gedankenkreis möchte ich nachträglich den Ausdruck für diese flüchtige Empfindung einsetzen. Es ist, als ob er mir gesagt hätte: Du nimmst deine ärztlichen Pflichten nicht ernsthaft genug, bist nicht gewissenhaft, hältst nicht, was du versprichst. Daraufhin hätte sich mir jener Gedankenkreis zur Verfügung gestellt, damit ich den Nachweis erbringen könne, in wie hohem Grade ich gewissenhaft bin, wie sehr mir die Gesundheit meiner Angehörigen, Freunde und Patienten am Herzen liegt. Bemerkenswerterweise sind unter diesem </w:t>
      </w:r>
      <w:r w:rsidRPr="00A06A59">
        <w:rPr>
          <w:rFonts w:ascii="Garamond" w:hAnsi="Garamond" w:cs="Arial"/>
          <w:color w:val="000000"/>
          <w:lang w:val="en-GB"/>
        </w:rPr>
        <w:lastRenderedPageBreak/>
        <w:t>Gedankenmaterial auch peinliche Erinnerungen, die eher für die meinem Freund Otto zugeschriebene Beschuldigung als für meine Entschuldigung sprechen. Das Material ist gleichsam unparteiisch, aber der Zusammenhang dieses breiteren Stoffes, auf dem der Traum ruht, mit dem engeren Thema des Traums, aus dem der Wunsch hervorgegangen ist, an Irmas Krankheit unschuldig zu sein, ist doch unverkennbar.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will nicht behaupten, daß ich den Sinn dieses Traumes vollständig aufgedeckt habe, daß seine Deutung eine lückenlose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könnte noch lange bei ihm verweilen, weitere Aufklärungen aus ihm entnehmen und neue Rätsel erörtern, die er aufwerfen heißt. Ich kenne selbst die Stellen, von denen aus weitere Gedankenzusammenhänge zu verfolgen sind; aber Rücksichten, wie sie bei jedem eigenen Traum in Betracht kommen, halten mich von der Deutungsarbeit ab. Wer mit dem Tadel für solche Reserve rasch bei der Hand ist, der möge nur selbst versuchen, aufrichtiger zu sein als ich. Ich begnüge mich für den Moment mit der einen neu gewonnenen Erkenntnis: Wenn man die hier angezeigte Methode der Traumdeutung befolgt, findet man, daß der Traum wirklich einen Sinn hat und keineswegs der Ausdruck einer zerbröckelten Hirntätigkeit ist, wie die Autoren wollen. </w:t>
      </w:r>
      <w:r w:rsidRPr="00A06A59">
        <w:rPr>
          <w:rFonts w:ascii="Garamond" w:hAnsi="Garamond" w:cs="Arial"/>
          <w:i/>
          <w:iCs/>
          <w:color w:val="000000"/>
          <w:lang w:val="en-GB"/>
        </w:rPr>
        <w:t>Nach vollendeter Deutungsarbeit läßt sich der Traum als eine Wunscherfüllung erkennen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br w:type="page"/>
      </w:r>
    </w:p>
    <w:p w:rsidR="00A06A59" w:rsidRPr="00A06A59" w:rsidRDefault="00B437A1" w:rsidP="00A06A59">
      <w:pPr>
        <w:shd w:val="clear" w:color="auto" w:fill="FFFFFF"/>
        <w:tabs>
          <w:tab w:val="left" w:pos="7513"/>
          <w:tab w:val="left" w:pos="9639"/>
        </w:tabs>
        <w:spacing w:before="221" w:after="44" w:line="306" w:lineRule="atLeast"/>
        <w:ind w:left="-426" w:right="-567"/>
        <w:outlineLvl w:val="3"/>
        <w:rPr>
          <w:rFonts w:ascii="Garamond" w:hAnsi="Garamond" w:cs="Arial"/>
          <w:b/>
          <w:bCs/>
          <w:color w:val="000000"/>
          <w:lang w:val="en-GB"/>
        </w:rPr>
      </w:pPr>
      <w:hyperlink w:anchor="inhalt" w:history="1">
        <w:r w:rsidR="00A06A59" w:rsidRPr="00A06A59">
          <w:rPr>
            <w:rStyle w:val="Lienhypertexte"/>
            <w:rFonts w:ascii="Garamond" w:hAnsi="Garamond" w:cs="Arial"/>
            <w:b/>
            <w:bCs/>
            <w:lang w:val="en-GB"/>
          </w:rPr>
          <w:t>III. De</w:t>
        </w:r>
        <w:bookmarkStart w:id="64" w:name="III"/>
        <w:bookmarkEnd w:id="64"/>
        <w:r w:rsidR="00A06A59" w:rsidRPr="00A06A59">
          <w:rPr>
            <w:rStyle w:val="Lienhypertexte"/>
            <w:rFonts w:ascii="Garamond" w:hAnsi="Garamond" w:cs="Arial"/>
            <w:b/>
            <w:bCs/>
            <w:lang w:val="en-GB"/>
          </w:rPr>
          <w:t>r Traum ist eine Wunscherfüllung</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man einen engen Hohlweg passiert hat und plötzlich auf einer Anhöhe angelangt ist, von welcher aus die Wege sich teilen und die reichste Aussicht nach verschiedenen Richtungen sich öffnet, darf man einen Moment lang verweilen und überlegen, wohin man zunächst sich wenden soll. Ähnlich ergeht es uns, nachdem wir diese erste Traumdeutung überwunden haben. Wir stehen in der Klarheit einer plötzlichen Erkenntnis. Der Traum ist nicht vergleichbar dem unregelmäßigen Ertönen eines musikalischen Instruments, das anstatt von der Hand des Spielers, von dem Stoß einer äußeren Gewalt getroffen wird, er ist nicht sinnlos, nicht absurd, setzt nicht voraus, daß ein Teil unseres Vorstellungsschatzes schläft, während ein anderer zu erwachen beginnt. Er ist ein vollgültiges psychisches Phänomen, und zwar eine Wunscherfüllung; er ist einzureihen in den Zusammenhang der uns verständlichen seelischen Aktionen des Wachens; eine hoch komplizierte geistige Tätigkeit hat ihn aufgebaut. </w:t>
      </w:r>
      <w:r w:rsidRPr="00A06A59">
        <w:rPr>
          <w:rFonts w:ascii="Garamond" w:hAnsi="Garamond" w:cs="Arial"/>
          <w:color w:val="000000"/>
        </w:rPr>
        <w:t xml:space="preserve">Aber eine Fülle von Fragen bestürmt uns im gleichen Moment, da wir uns dieser Erkenntnis freuen wollen. Wenn der Traum laut Angabe der Traumdeutung einen erfüllten Wunsch darstellt, woher rührt die auffällige und befremdende Form, in welcher diese Wunscherfüllung ausgedrückt ist? </w:t>
      </w:r>
      <w:r w:rsidRPr="00A06A59">
        <w:rPr>
          <w:rFonts w:ascii="Garamond" w:hAnsi="Garamond" w:cs="Arial"/>
          <w:color w:val="000000"/>
          <w:lang w:val="en-GB"/>
        </w:rPr>
        <w:t>Welche Veränderung ist mit den Traumgedanken vorgegangen, bis sich aus ihnen der manifeste Traum, wie wir ihn beim Erwachen erinnern, gestaltete? Auf welchem Wege ist diese Veränderung vor sich gegangen? Woher stammt das Material, das zum Traum verarbeitet worden ist? Woher rühren manche der Eigentümlichkeiten, die wir an den Traumgedanken bemerken konnten, wie z. B., daß sie einander widersprechen dürfen? (Die Analogie mit dem Kessel, S. 84.) Kann der Traum uns etwas Neues über unsere inneren psychischen Vorgänge lehren, kann sein Inhalt Meinungen korrigieren, an die wir tagsüber geglaubt haben? Ich schlage vor, alle diese Fragen einstweilen beiseite zu lassen und einen einzigen Weg weiter zu verfolgen. Wir haben erfahren, daß der Traum einen Wunsch als erfüllt darstellt. Unser nächstes Interesse soll es sein zu erkunden, ob dies ein allgemeiner Charakter des Traumes ist oder nur der zufällige Inhalt jenes Traumes (»von Irmas Injektion«), mit dem unsere Analyse begonnen hat, denn selbst wenn wir uns darauf gefaßt machen, daß jeder Traum einen Sinn und psychischen Wert hat, müssen wir noch die Möglichkeit offen lassen, daß dieser Sinn nicht in jedem Traume der nämliche sei. Unser erster Traum war eine Wunscherfüllung; ein anderer stellt sich vielleicht als eine erfüllte Befürchtung heraus; ein dritter mag eine Reflexion zum Inhalt haben, ein vierter einfach eine Erinnerung reproduzieren. Gibt es also noch andere Wunschträume oder gibt es vielleicht nichts anderes als Wunschträume?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leicht zu zeigen, daß die Träume häufig den Charakter der Wunscherfüllung unverhüllt erkennen lassen, so daß man sich wundern mag, warum die Sprache der Träume nicht schon längst ein Verständnis gefunden hat. Da ist z. B. ein Traum, den ich mir beliebig oft, gleichsam experimentell, erzeugen kann. Wenn ich am Abend Sardellen, Oliven oder sonst stark gesalzene Speisen nehme, bekomme ich in der Nacht Durst, der mich weckt. Dem Erwachen geht aber ein Traum voraus, der jedesmal den gleichen Inhalt hat, nämlich daß ich trinke. Ich schlürfe Wasser in vollen Zügen, es schmeckt mir so köstlich, wie nur ein kühler Trunk schmecken kann, wenn man verschmachtet ist, und dann erwache ich und muß wirklich trinken. Der Anlaß dieses einfachen Traumes ist der Durst, den ich ja beim Erwachen verspüre. Aus dieser Empfindung geht der Wunsch hervor zu trinken, und diesen Wunsch zeigt mir der Traum erfüllt. Er dient dabei einer Funktion, die ich bald errate. Ich bin ein guter Schläfer, nicht gewöhnt, durch ein Bedürfnis geweckt zu werden. Wenn es mir gelingt, meinen Durst durch den Traum, daß ich trinke, zu beschwichtigen, so brauche ich nicht aufzuwachen, um ihn zu befriedigen. Es ist also ein Bequemlichkeitstraum. Das Träumen setzt sich an Stelle des Handelns wie auch sonst im Leben. Leider ist das Bedürfnis nach Wasser, um den Durst zu löschen, nicht mit einem Traum zu befriedigen, wie mein Rachedurst gegen Freund Otto und Dr. M., aber der gute Wille ist der gleiche. Derselbe Traum hat sich unlängst einigermaßen modifiziert. Da bekam ich schon vor dem Einschlafen Durst und trank das Wasserglas leer, das auf dem Kästchen neben meinem Bett stand. Einige Stunden später kam in der Nacht ein neuer Durstanfall, der seine Unbequemlichkeiten im Gefolge hatte. Um mir Wasser zu verschaffen, hätte ich aufstehen und mir das Glas holen müssen, welches auf dem Nachtkästchen meiner Frau stand. Ich träumte also zweckentsprechend, daß meine Frau mir aus einem Gefäß zu trinken gibt; dies Gefäß war ein etruskischer Aschenkrug, den ich mir von einer italienischen Reise heimgebracht und seither verschenkt hatte. Das Wasser in ihm schmeckte aber so salzig (von der Asche offenbar), daß ich erwachen mußte. Man merkt, wie bequem der Traum es einzurichten versteht; da Wunscherfüllung seine einzige Absicht ist, darf er vollkommen egoistisch sein. Liebe zur Bequemlichkeit ist mit Rücksicht auf andere wirklich nicht vereinbar. Die Einmengung des Aschenkruges ist wahrscheinlich wieder eine Wunscherfüllung; es tut mir leid, daß ich dies Gefäß nicht mehr besitze, wie übrigens auch das Wasserglas auf Seiten meiner Frau mir nicht zugänglich ist. Der Aschenkrug paßt sich auch der nun stärker gewordenen Sensation des salzigen Geschmacks an, von der ich weiß, daß sie mich zum Erwachen zwingen wird </w:t>
      </w:r>
      <w:hyperlink r:id="rId5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Das Tatsächliche der Durstträume war auch Weygandt bekannt, der S. 41 darüber äußert: »Gerade die Durstempfindung wird am präzisesten von allen aufgefaßt: sie erzeugt stets eine Vorstellung des Durstlöschens. – Die Art, wie sich der Traum das Durstlöschcn vorstellt, ist mannigfaltig und wird nach einer naheliegenden Erinnerung spezialisiert. Eine allgemeine Erscheinung ist auch hier, </w:t>
        </w:r>
        <w:r w:rsidRPr="00A06A59">
          <w:rPr>
            <w:rStyle w:val="innerfusslink3"/>
            <w:rFonts w:ascii="Garamond" w:hAnsi="Garamond" w:cs="Arial"/>
            <w:b/>
            <w:bCs/>
            <w:lang w:val="en-GB"/>
          </w:rPr>
          <w:lastRenderedPageBreak/>
          <w:t>daß sich sofort nach der Vorstellung des Durstlöschens eine Enttäuschung über die geringe Wirkung der vermeintlichen Erfrischungen einstellt.« Er übersieht aber das Allgemeingültige in der Reaktion des Traumes auf den Reiz. – Wenn andere Personen, die in der Nacht vom Durst befallen werden, erwachen, ohne vorher zu träumen, so bedeutet dies keinen Einwand gegen mein Experiment, sondern charakterisiert diese anderen als schlechtere Schläfer. – Vgl. dazu Jesaias, 29, 8: »Denn gleich wie einem Hungrigen träumet, daß er esse, wenn er aber aufwacht, so ist seine Seele noch leer; und wie einem Durstigen träumet, daß er trinke, wenn er aber aufwacht, ist er matt und durstig« ...</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Solche Bequemlichkeitsträume waren bei mir in juvenilen Jahren sehr häufig. Von jeher gewöhnt, bis tief in die Nacht zu arbeiten, war mir das zeitige Erwachen immer eine Schwierigkeit. Ich pflegte dann zu träumen, daß ich außer Bett bin und beim Waschtisch stehe. Nach einer Weile konnte ich mich der Einsicht nicht verschließen, daß ich noch nicht aufgestanden war, hatte aber doch dazwischen eine Weile geschlafen. Denselben Trägheitstraum in besonders witziger Form kenne ich von einem jungen Kollegen, der meine Schlafneigung zu teilen scheint. Die Zimmerfrau, bei der er in der Nähe des Spitals wohnte, hatte den strengen Auftrag, ihn jeden Morgen rechtzeitig zu wecken, aber auch ihre liebe Not, wenn sie den Auftrag ausführen wollte. Eines Morgens war der Schlaf besonders süß. Die Frau rief ins Zimmer: Herr Pepi, stehen S' auf, Sie müssen ins Spital. Daraufhin träumte der Schläfer ein Zimmer im Spital, ein Bett, in dem er lag, und eine Kopftafel, auf der zu lesen stand: Pepi H... </w:t>
      </w:r>
      <w:r w:rsidRPr="00A06A59">
        <w:rPr>
          <w:rFonts w:ascii="Garamond" w:hAnsi="Garamond" w:cs="Arial"/>
          <w:i/>
          <w:iCs/>
          <w:color w:val="000000"/>
          <w:lang w:val="en-GB"/>
        </w:rPr>
        <w:t>cand. med.</w:t>
      </w:r>
      <w:r w:rsidRPr="00A06A59">
        <w:rPr>
          <w:rFonts w:ascii="Garamond" w:hAnsi="Garamond" w:cs="Arial"/>
          <w:color w:val="000000"/>
          <w:lang w:val="en-GB"/>
        </w:rPr>
        <w:t>, zweiundzwanzig Jahre. Er sagte sich träumend: Wenn ich also schon im Spital bin, brauche ich nicht erst hinzugehen, wendete sich um und schlief weiter. Er hatte sich dabei das Motiv seines Träumens unverhohlen eingestanden.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anderer Traum, dessen Reiz gleichfalls während des Schlafes selbst einwirkte: Eine meiner Patientinnen, die sich einer ungünstig verlaufenen Kieferoperation hatte unterziehen müssen, sollte nach dem Wunsche der Ärzte Tag und Nacht einen Kühlapparat auf der kranken Wange tragen. Sie pflegte ihn aber wegzuschleudern, sobald sie eingeschlafen war. Eines Tages bat man mich, ihr darüber Vorwürfe zu machen; sie hatte den Apparat wiederum auf den Boden geworfen. Die Kranke verantwortete sich: »Diesmal kann ich wirklich nichts dafür; es war die Folge eines Traums, den ich bei Nacht gehabt. Ich war im Traum in einer Loge in der Oper und interessierte mich lebhaft für die Vorstellung. Im Sanatorium aber lag der Herr Karl </w:t>
      </w:r>
      <w:r w:rsidRPr="00A06A59">
        <w:rPr>
          <w:rFonts w:ascii="Garamond" w:hAnsi="Garamond" w:cs="Arial"/>
          <w:i/>
          <w:iCs/>
          <w:color w:val="000000"/>
          <w:lang w:val="en-GB"/>
        </w:rPr>
        <w:t>Meyer</w:t>
      </w:r>
      <w:r w:rsidRPr="00A06A59">
        <w:rPr>
          <w:rFonts w:ascii="Garamond" w:hAnsi="Garamond" w:cs="Arial"/>
          <w:color w:val="000000"/>
          <w:lang w:val="en-GB"/>
        </w:rPr>
        <w:t xml:space="preserve"> und jammerte fürchterlich vor Kieferschmerzen. Ich habe gesagt, da ich die Schmerzen nicht habe, brauche ich auch den Apparat nicht; darum habe ich ihn weggeworfen.« Dieser Traum der armen Dulderin klingt wie die Darstellung einer Redensart, die sich einem in unangenehmen Lagen über die Lippen drängt: Ich wüßte mir wirklich ein besseres Vergnügen. Der Traum zeigt dieses bessere Vergnügen. Herr Karl </w:t>
      </w:r>
      <w:r w:rsidRPr="00A06A59">
        <w:rPr>
          <w:rFonts w:ascii="Garamond" w:hAnsi="Garamond" w:cs="Arial"/>
          <w:i/>
          <w:iCs/>
          <w:color w:val="000000"/>
          <w:lang w:val="en-GB"/>
        </w:rPr>
        <w:t>Meyer</w:t>
      </w:r>
      <w:r w:rsidRPr="00A06A59">
        <w:rPr>
          <w:rFonts w:ascii="Garamond" w:hAnsi="Garamond" w:cs="Arial"/>
          <w:color w:val="000000"/>
          <w:lang w:val="en-GB"/>
        </w:rPr>
        <w:t>, dem die Träumerin ihre Schmerzen zuschob, war der indifferenteste junge Mann ihrer Bekanntschaft, an den sie sich erinnern konnte.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Nicht schwieriger ist es, die Wunscherfüllung in einigen anderen Träumen aufzudecken, die ich von Gesunden gesammelt habe. Ein Freund, der meine Traumtheorie kennt und sie seiner Frau mitgeteilt hat, sagt mir eines Tages: »Ich soll dir von meiner Frau erzählen, daß sie gestern geträumt hat, sie hätte die Periode bekommen. Du wirst wissen, was das bedeutet.« Freilich weiß ich's; wenn die junge Frau geträumt hat, daß sie die Periode hat, so ist die Periode ausgeblieben. Ich kann mir's denken, daß sie gerne noch einige Zeit ihre Freiheit genossen hätte, ehe die Beschwerden der Mütterlichkeit beginnen. Es war eine geschickte Art, die Anzeige von ihrer ersten Gravidität zu machen. Ein anderer Freund schreibt, seine Frau habe unlängst geträumt, daß sie an ihrer Hemdenbrust Milchflecken bemerke. Dies ist auch eine Graviditätsanzeige, aber nicht mehr vom ersten Mal; die junge Mutter wünscht sich, für das zweite Kind mehr Nahrung zu haben als seinerzeit fürs erste.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junge Frau, die Wochen hindurch bei der Pflege ihres infektiös erkrankten Kindes vom Verkehr abgeschnitten war, träumt nach glücklicher Beendigung der Krankheit von einer Gesellschaft, in der sich A. Daudet, Bourget, M. Prévost u. a. befinden, die sämtlich sehr liebenswürdig gegen sie sind und sie vortrefflich amüsieren. Die betreffenden Autoren tragen auch im Traum die Züge, welche ihnen ihre Bilder geben; M. Prevost, von dem sie ein Bild nicht kennt, sieht dem – Desinfektionsmanne gleich, der am Tag vorher die Krankenzimmer gereinigt und sie als erster Besucher nach langer Zeit betreten hatte. Man meint den Traum lückenlos übersetzen zu können: Jetzt wäre es einmal Zeit für etwas Amüsanteres als diese ewigen Krankenpflegen.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Vielleicht wird diese Auslese genügen, um zu erweisen, daß man sehr häufig und unter den mannigfaltigsten Bedingungen Träume findet, die sich nur als Wunscherfüllungen verstehen lassen und die ihren Inhalt unverhüllt zur Schau tragen. Es sind dies zumeist kurze und einfache Träume, die von den verworrenen und überreichen Traumkompositionen, die wesentlich die Aufmerksamkeit der Autoren auf sich gezogen haben, wohltuend abstechen. Es verlohnt sich aber, bei diesen einfachen Träumen noch zu verweilen. Die allereinfachsten Formen von Träumen darf man wohl bei Kindern erwarten, deren psychische Leistungen sicherlich minder kompliziert sind als die Erwachsener. Die Kinderpsychologie ist nach meiner Meinung dazu berufen, für die Psychologie der Erwachsenen ähnliche Dienste zu leisten wie die Untersuchung des Baues oder der Entwicklung niederer Tiere für die Erforschung </w:t>
      </w:r>
      <w:r w:rsidRPr="00A06A59">
        <w:rPr>
          <w:rFonts w:ascii="Garamond" w:hAnsi="Garamond" w:cs="Arial"/>
          <w:color w:val="000000"/>
          <w:lang w:val="en-GB"/>
        </w:rPr>
        <w:lastRenderedPageBreak/>
        <w:t>der Struktur der höchsten Tierklassen. Es sind bis jetzt wenig zielbewußte Schritte geschehen, die Psychologie der Kinder zu solchem Zwecke auszunützen.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Träume der kleinen Kinder sind häufig simple Wunscherfüllungen und dann im Gegensatz zu den Träumen Erwachsener gar nicht interessant. Sie geben keine Rätsel zu lösen, sind aber natürlich unschätzbar für den Erweis, daß der Traum seinem innersten Wesen nach eine Wunscherfüllung bedeutet. Bei meinem Materiale von eigenen Kindern konnte ich einige Beispiele von solchen Träumen sammeln.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Einem Ausfluge nach dem schönen Hallstatt im Sommer 1896 von Aussee aus verdanke ich zwei Träume, den einen von meiner damals achteinhalbjährigen Tochter, den anderen von meinem fünfeinvierteljährigen Knaben. Als Vorbericht muß ich angeben, daß wir in diesem Sommer auf einem Hügel bei Aussee wohnten, von wo aus wir bei schönem Wetter eine herrliche Dachsteinaussicht genossen. Mit dem Fernrohr war die Simony-Hütte gut zu erkennen. Die Kleinen bemühten sich wiederholt, sie durchs Fernrohr zu sehen; ich weiß nicht, mit welchem Erfolg. Vor der Partie hatte ich den Kindern erzählt, Hallstatt läge am Fuße des Dachsteins. Sie freuten sich sehr auf den Tag. Von Hallstatt aus gingen wir ins Echerntal, das mit seinen wechselnden Ansichten die Kinder sehr entzückte. Nur eines, der fünfjährige Knabe, wurde allmählich mißgestimmt. Sooft ein neuer Berg in Sicht kam, fragte er: Ist das der Dachstein? worauf ich antworten mußte: Nein, nur ein Vorberg. Nachdem sich diese Frage einige Male wiederholt hatte, verstummte er ganz; den Stufenweg zum Wasserfall wollte er überhaupt nicht mitmachen. Ich hielt ihn für ermüdet. Am nächsten Morgen kam er aber ganz selig auf mich zu und erzählte: Heute nacht habe ich geträumt, daß wir auf der Simony-Hütte gewesen sind. Ich verstand ihn nun; er hatte erwartet, als ich vom Dachstein sprach, daß er auf dem Ausfluge nach Hallstatt den Berg besteigen und die Hütte zu Gesicht bekommen werde, von der beim Fernrohr so viel die Rede war. Als er dann merkte, daß man ihm zumute, sich mit Vorbergen und einem Wasserfall abspeisen zu lassen, fühlte er sich getäuscht und wurde verstimmt. Der Traum entschädigte ihn dafür. Ich versuchte Details des Traumes zu erfahren; sie waren ärmlich. »Man geht sechs Stunden lang auf Stufen hinauf«, wie er es gehört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Auch bei dem achteinhalbjährigen Mädchen waren auf diesem Ausflug Wünsche rege geworden, die der Traum befriedigen mußte. Wir hatten den zwölfjährigen Knaben unserer Nachbarn nach Hallstatt mitgenommen, einen vollendeten Ritter, der, wie mir schien, sich bereits aller Sympathien des kleinen Frauenzimmers erfreute. Sie erzählte nun am nächsten Morgen folgenden Traum: Denk' dir, ich hab' geträumt, daß der Emil einer von uns ist, Papa und Mama zu euch sagt und im großen Zimmer mit uns schläft wie unsere Buben. Dann kommt die Mama ins Zimmer und wirft eine Handvoll großer Schokoladestangen in blauem und grünem Papier unter unsere Betten. Die Brüder, die sich also nicht kraft erblicher Übertragung auf Traumdeutung verstehen, erklärten ganz wie unsere Autoren: Dieser Traum ist ein Unsinn. Das Mädchen trat wenigstens für einen Teil des Traumes ein, und es ist wertvoll für die Theorie der Neurosen zu erfahren, für welchen: Daß der Emil ganz bei uns ist, das ist ein Unsinn, aber das mit den Schokoladestangen nicht. Mir war gerade das letztere dunkel. Die Mama lieferte mir hiefür die Erklärung. Auf dem Wege vom Bahnhof nach Hause hatten die Kinder vor dem Automaten haltgemacht und sich gerade solche Schokoladestangen in metallisch glänzendem Papier gewünscht, die der Automat nach ihrer Erfahrung zu verkaufen hatte. Die Mama hatte mit Recht gemeint, jener Tag habe genug Wunscherfüllungen gebracht, und diesen Wunsch für den Traum übriggelassen. Mir war die kleine Szene entgangen. Den von meiner Tochter proskribierten Teil des Traumes verstand ich ohne weiteres. Ich hatte selbst gehört, wie der artige Gast auf dem Wege die Kinder aufgefordert hatte zu warten, bis der Papa oder die Mama nachkommen. </w:t>
      </w:r>
      <w:r w:rsidRPr="00A06A59">
        <w:rPr>
          <w:rFonts w:ascii="Garamond" w:hAnsi="Garamond" w:cs="Arial"/>
          <w:color w:val="000000"/>
        </w:rPr>
        <w:t>Aus dieser zeitweiligen Zugehörigkeit machte der Traum der Kleinen eine dauernde Adoption. Andere Formen des Beisammenseins als die im Traum erwähnten, die von den Brüdern hergenommen sind, kannte ihre Zärtlichkeit noch nicht. Warum die Schokoladestangen unter die Betten geworfen wurden, ließ sich ohne Ausfragen des Kindes natürlich nicht aufklären.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Einen ganz ähnlichen Traum wie den meines Knaben habe ich von befreundeter Seite erfahren. Er betraf ein achtjähriges Mädchen. Der Vater hatte mit mehreren Kindern einen Spaziergang nach Dornbach in der Absicht unternommen, die Rohrer-Hütte zu besuchen, kehrte aber um, weil es zu spät geworden war, und versprach den Kindern, sie ein anderes Mal zu entschädigen. </w:t>
      </w:r>
      <w:r w:rsidRPr="00A06A59">
        <w:rPr>
          <w:rFonts w:ascii="Garamond" w:hAnsi="Garamond" w:cs="Arial"/>
          <w:color w:val="000000"/>
          <w:lang w:val="en-GB"/>
        </w:rPr>
        <w:t>Auf dem Rückweg kamen sie an der Tafel vorbei, welche den Weg zum Hameau anzeigt. Die Kinder verlangten nun, auch aufs Hameau geführt zu werden, mußten sich aber aus demselben Grund wiederum auf einen anderen Tag vertrösten lassen. Am nächsten Morgen kam das achtjährige Mädchen dem Papa befriedigt entgegen: Papa, heut' hab ich geträumt, du warst mit uns bei der Rohrer-Hütte und auf dem Hameau. Ihre Ungeduld hatte also die Erfüllung des vom Papa geleisteten Versprechens antizipiert.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Ebenso aufrichtig ist ein anderer Traum, den die landschaftliche Schönheit Aussees bei meinem damals dreieinvierteljährigen Töchterchen erregt hat. Die Kleine war zum erstenmal über den See gefahren, und die Zeit der Seefahrt war ihr zu rasch vergangen. An der Landungsstelle wollte sie das Boot nicht verlassen und weinte bitterlich. </w:t>
      </w:r>
      <w:r w:rsidRPr="00A06A59">
        <w:rPr>
          <w:rFonts w:ascii="Garamond" w:hAnsi="Garamond" w:cs="Arial"/>
          <w:color w:val="000000"/>
          <w:lang w:val="en-GB"/>
        </w:rPr>
        <w:lastRenderedPageBreak/>
        <w:t>Am nächsten Morgen erzählte sie: Heute nacht bin ich auf dem See gefahren. Hoffen wir, daß die Dauer dieser Traumfahrt sie besser befriedigt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Mein ältester, derzeit achtjähriger Knabe träumt bereits die Realisierung seiner Phantasien. </w:t>
      </w:r>
      <w:r w:rsidRPr="00A06A59">
        <w:rPr>
          <w:rFonts w:ascii="Garamond" w:hAnsi="Garamond" w:cs="Arial"/>
          <w:color w:val="000000"/>
          <w:lang w:val="en-GB"/>
        </w:rPr>
        <w:t>Er ist mit dem Achilleus in einem Wagen gefahren, und der Diomedes war Wagenlenker. Er hat sich natürlich tags vorher für die Sagen Griechenlands begeistert, die der älteren Schwester geschenkt worden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man mir zugibt, daß das Sprechen aus dem Schlaf der Kinder gleichfalls dem Kreis des Träumens angehört, so kann ich im folgenden einen der jüngsten Träume meiner Sammlung mitteilen. Mein jüngstes Mädchen, damals neunzehn Monate alt, hatte eines Morgens erbrochen und war darum den Tag über nüchtern erhalten worden. In der Nacht, die diesem Hungertag folgte, hörte man sie erregt aus dem Schlaf rufen: </w:t>
      </w:r>
      <w:r w:rsidRPr="00A06A59">
        <w:rPr>
          <w:rFonts w:ascii="Garamond" w:hAnsi="Garamond" w:cs="Arial"/>
          <w:i/>
          <w:iCs/>
          <w:color w:val="000000"/>
          <w:lang w:val="en-GB"/>
        </w:rPr>
        <w:t>Anna F . eud, Er(d)beer, Hochbeer, Eier(s)peis, Papp</w:t>
      </w:r>
      <w:r w:rsidRPr="00A06A59">
        <w:rPr>
          <w:rFonts w:ascii="Garamond" w:hAnsi="Garamond" w:cs="Arial"/>
          <w:color w:val="000000"/>
          <w:lang w:val="en-GB"/>
        </w:rPr>
        <w:t xml:space="preserve">. Ihren Namen gebrauchte sie damals, um die Besitzergreifung auszudrücken; der Speisezettel umfaßte wohl alles, was ihr als begehrenswerte Mahlzeit erscheinen mußte; daß die Erdbeeren darin in zwei Varietäten vorkamen, war eine Demonstration gegen die häusliche Sanitätspolizei und hatte seinen Grund in dem von ihr wohl bemerkten Nebenumstand, daß die Kinderfrau ihre Indisposition auf allzu reichlichen Erdbeergenuß geschoben hatte; für dies ihr unbequeme Gutachten nahm sie also im Traume ihre Revanche </w:t>
      </w:r>
      <w:hyperlink r:id="rId5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Dieselbe Leistung wie bei der jüngsten Enkelin vollbringt dann der Traum kurz nachher bei der Großmutter, deren Alter das des Kindes ungefähr zu 70 Jahren ergänzt. Nachdem sie einen Tag lang durch die Unruhe ihrer Wanderniere zum Hungern gezwungen war, träumt sie dann, offenbar mit Versetzung in die glückliche Zeit des blühenden Mädchentums, daß sie für beide Hauptmahlzeiten »ausgebeten«, zu Gast geladen, ist und jedesmal die köstlichsten Bissen vorgesetzt bekommt.</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Wenn wir die Kindheit glücklich preisen, weil sie die sexuelle Begierde noch nicht kennt, so wollen wir nicht verkennen, eine wie reiche Quelle der Enttäuschung, Entsagung und damit der Traumanregung der andere der großen Lebenstriebe für sie werden kann </w:t>
      </w:r>
      <w:hyperlink r:id="rId5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Eingehendere Beschäftigung mit dem Seelenleben der Kinder belehrt uns freilich, daß sexuelle Triebkräfte in infantiler Gestaltung in der psychischen Tätigkeit des Kindes eine genügend große, nur zu lange übersehene Rolle spielen, und läßt uns an dem Glücke der Kindheit, wie die Erwachsenen es späterhin konstruieren, einigermaßen zweifeln. (Vgl. des Verfassers Drei Abhandlungen zur Sexualtheorie, 1905 und 6. Aufl. 1926. Ges. Schriften, Bd. V.)</w:t>
        </w:r>
      </w:hyperlink>
      <w:r w:rsidRPr="00A06A59">
        <w:rPr>
          <w:rFonts w:ascii="Garamond" w:hAnsi="Garamond" w:cs="Arial"/>
          <w:color w:val="000000"/>
          <w:lang w:val="en-GB"/>
        </w:rPr>
        <w:t xml:space="preserve">. Hier ein zweites Beispiel dafür. Mein zweiundzwanzigmonatiger Neffe hat zu meinem Geburtstage die Aufgabe bekommen, mir zu gratulieren und als Geschenk ein Körbchen mit Kirschen zu überreichen, die um diese Zeit des Jahres noch zu den Primeurs zählen. Es scheint ihm hart anzukommen, denn er wiederholt unaufhörlich: Kirschen sind d(r)in, und ist nicht zu bewegen, das Körbchen aus den Händen zu geben. Aber er weiß sich zu entschädigen. Er pflegte bisher jeden Morgen seiner Mutter zu erzählen, daß er vom »weißen Soldat« geträumt, einem Gardeoffizier im Mantel, den er einst auf der Straße bewunderte. Am Tag nach dem Geburtstagsopfer erwacht er freudig mit der Mitteilung, die nur einem Traum entstammen kann: </w:t>
      </w:r>
      <w:r w:rsidRPr="00A06A59">
        <w:rPr>
          <w:rFonts w:ascii="Garamond" w:hAnsi="Garamond" w:cs="Arial"/>
          <w:i/>
          <w:iCs/>
          <w:color w:val="000000"/>
          <w:lang w:val="en-GB"/>
        </w:rPr>
        <w:t>He(r)man alle Kirschen aufgessen!</w:t>
      </w:r>
      <w:hyperlink r:id="rId58"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Es soll nicht unerwähnt bleiben, daß sich bei kleinen Kindern bald kompliziertere und minder durchsichtige Träume einzustellen pflegen und daß anderseits Träume von so einfachem infantilen Charakter unter Umständen auch bei Erwachsenen häufig vorkommen. Wie reich an ungeahntem Inhalt Träume von Kindern im Alter von vier bis fünf Jahren bereits sein können, zeigen die Beispiele in meiner ›Analyse der Phobie eines fünfjährigen Knaben‹ (Jahrbuch von Bleuler-Freud I., 1909) und in </w:t>
        </w:r>
        <w:r w:rsidRPr="00A06A59">
          <w:rPr>
            <w:rStyle w:val="innerfusslink3"/>
            <w:rFonts w:ascii="Garamond" w:hAnsi="Garamond" w:cs="Arial"/>
            <w:b/>
            <w:bCs/>
            <w:i/>
            <w:iCs/>
          </w:rPr>
          <w:t>Jungs</w:t>
        </w:r>
        <w:r w:rsidRPr="00A06A59">
          <w:rPr>
            <w:rStyle w:val="innerfusslink3"/>
            <w:rFonts w:ascii="Garamond" w:hAnsi="Garamond" w:cs="Arial"/>
            <w:b/>
            <w:bCs/>
          </w:rPr>
          <w:t xml:space="preserve"> ›Über den Konflikt der kindlichen Seele‹ (ebenda II. Bd., 1910). – Analytisch gedeutete Kinderträume siehe noch bei </w:t>
        </w:r>
        <w:r w:rsidRPr="00A06A59">
          <w:rPr>
            <w:rStyle w:val="innerfusslink3"/>
            <w:rFonts w:ascii="Garamond" w:hAnsi="Garamond" w:cs="Arial"/>
            <w:b/>
            <w:bCs/>
            <w:i/>
            <w:iCs/>
          </w:rPr>
          <w:t>v. Hug-Hellmuth</w:t>
        </w:r>
        <w:r w:rsidRPr="00A06A59">
          <w:rPr>
            <w:rStyle w:val="innerfusslink3"/>
            <w:rFonts w:ascii="Garamond" w:hAnsi="Garamond" w:cs="Arial"/>
            <w:b/>
            <w:bCs/>
          </w:rPr>
          <w:t xml:space="preserve">, </w:t>
        </w:r>
        <w:r w:rsidRPr="00A06A59">
          <w:rPr>
            <w:rStyle w:val="innerfusslink3"/>
            <w:rFonts w:ascii="Garamond" w:hAnsi="Garamond" w:cs="Arial"/>
            <w:b/>
            <w:bCs/>
            <w:i/>
            <w:iCs/>
          </w:rPr>
          <w:t>Putnam</w:t>
        </w:r>
        <w:r w:rsidRPr="00A06A59">
          <w:rPr>
            <w:rStyle w:val="innerfusslink3"/>
            <w:rFonts w:ascii="Garamond" w:hAnsi="Garamond" w:cs="Arial"/>
            <w:b/>
            <w:bCs/>
          </w:rPr>
          <w:t xml:space="preserve">, </w:t>
        </w:r>
        <w:r w:rsidRPr="00A06A59">
          <w:rPr>
            <w:rStyle w:val="innerfusslink3"/>
            <w:rFonts w:ascii="Garamond" w:hAnsi="Garamond" w:cs="Arial"/>
            <w:b/>
            <w:bCs/>
            <w:i/>
            <w:iCs/>
          </w:rPr>
          <w:t>van Raalte</w:t>
        </w:r>
        <w:r w:rsidRPr="00A06A59">
          <w:rPr>
            <w:rStyle w:val="innerfusslink3"/>
            <w:rFonts w:ascii="Garamond" w:hAnsi="Garamond" w:cs="Arial"/>
            <w:b/>
            <w:bCs/>
          </w:rPr>
          <w:t xml:space="preserve">, </w:t>
        </w:r>
        <w:r w:rsidRPr="00A06A59">
          <w:rPr>
            <w:rStyle w:val="innerfusslink3"/>
            <w:rFonts w:ascii="Garamond" w:hAnsi="Garamond" w:cs="Arial"/>
            <w:b/>
            <w:bCs/>
            <w:i/>
            <w:iCs/>
          </w:rPr>
          <w:t>Spielrein</w:t>
        </w:r>
        <w:r w:rsidRPr="00A06A59">
          <w:rPr>
            <w:rStyle w:val="innerfusslink3"/>
            <w:rFonts w:ascii="Garamond" w:hAnsi="Garamond" w:cs="Arial"/>
            <w:b/>
            <w:bCs/>
          </w:rPr>
          <w:t xml:space="preserve">, </w:t>
        </w:r>
        <w:r w:rsidRPr="00A06A59">
          <w:rPr>
            <w:rStyle w:val="innerfusslink3"/>
            <w:rFonts w:ascii="Garamond" w:hAnsi="Garamond" w:cs="Arial"/>
            <w:b/>
            <w:bCs/>
            <w:i/>
            <w:iCs/>
          </w:rPr>
          <w:t>Tausk</w:t>
        </w:r>
        <w:r w:rsidRPr="00A06A59">
          <w:rPr>
            <w:rStyle w:val="innerfusslink3"/>
            <w:rFonts w:ascii="Garamond" w:hAnsi="Garamond" w:cs="Arial"/>
            <w:b/>
            <w:bCs/>
          </w:rPr>
          <w:t xml:space="preserve">; andere bei </w:t>
        </w:r>
        <w:r w:rsidRPr="00A06A59">
          <w:rPr>
            <w:rStyle w:val="innerfusslink3"/>
            <w:rFonts w:ascii="Garamond" w:hAnsi="Garamond" w:cs="Arial"/>
            <w:b/>
            <w:bCs/>
            <w:i/>
            <w:iCs/>
          </w:rPr>
          <w:t>Bianchieri</w:t>
        </w:r>
        <w:r w:rsidRPr="00A06A59">
          <w:rPr>
            <w:rStyle w:val="innerfusslink3"/>
            <w:rFonts w:ascii="Garamond" w:hAnsi="Garamond" w:cs="Arial"/>
            <w:b/>
            <w:bCs/>
          </w:rPr>
          <w:t xml:space="preserve">, </w:t>
        </w:r>
        <w:r w:rsidRPr="00A06A59">
          <w:rPr>
            <w:rStyle w:val="innerfusslink3"/>
            <w:rFonts w:ascii="Garamond" w:hAnsi="Garamond" w:cs="Arial"/>
            <w:b/>
            <w:bCs/>
            <w:i/>
            <w:iCs/>
          </w:rPr>
          <w:t>Busemann</w:t>
        </w:r>
        <w:r w:rsidRPr="00A06A59">
          <w:rPr>
            <w:rStyle w:val="innerfusslink3"/>
            <w:rFonts w:ascii="Garamond" w:hAnsi="Garamond" w:cs="Arial"/>
            <w:b/>
            <w:bCs/>
          </w:rPr>
          <w:t xml:space="preserve">, </w:t>
        </w:r>
        <w:r w:rsidRPr="00A06A59">
          <w:rPr>
            <w:rStyle w:val="innerfusslink3"/>
            <w:rFonts w:ascii="Garamond" w:hAnsi="Garamond" w:cs="Arial"/>
            <w:b/>
            <w:bCs/>
            <w:i/>
            <w:iCs/>
          </w:rPr>
          <w:t>Doglia</w:t>
        </w:r>
        <w:r w:rsidRPr="00A06A59">
          <w:rPr>
            <w:rStyle w:val="innerfusslink3"/>
            <w:rFonts w:ascii="Garamond" w:hAnsi="Garamond" w:cs="Arial"/>
            <w:b/>
            <w:bCs/>
          </w:rPr>
          <w:t xml:space="preserve"> und </w:t>
        </w:r>
        <w:r w:rsidRPr="00A06A59">
          <w:rPr>
            <w:rStyle w:val="innerfusslink3"/>
            <w:rFonts w:ascii="Garamond" w:hAnsi="Garamond" w:cs="Arial"/>
            <w:b/>
            <w:bCs/>
            <w:i/>
            <w:iCs/>
          </w:rPr>
          <w:t>Bianchieri</w:t>
        </w:r>
        <w:r w:rsidRPr="00A06A59">
          <w:rPr>
            <w:rStyle w:val="innerfusslink3"/>
            <w:rFonts w:ascii="Garamond" w:hAnsi="Garamond" w:cs="Arial"/>
            <w:b/>
            <w:bCs/>
          </w:rPr>
          <w:t xml:space="preserve"> und besonders bei </w:t>
        </w:r>
        <w:r w:rsidRPr="00A06A59">
          <w:rPr>
            <w:rStyle w:val="innerfusslink3"/>
            <w:rFonts w:ascii="Garamond" w:hAnsi="Garamond" w:cs="Arial"/>
            <w:b/>
            <w:bCs/>
            <w:i/>
            <w:iCs/>
          </w:rPr>
          <w:t>Wiggam</w:t>
        </w:r>
        <w:r w:rsidRPr="00A06A59">
          <w:rPr>
            <w:rStyle w:val="innerfusslink3"/>
            <w:rFonts w:ascii="Garamond" w:hAnsi="Garamond" w:cs="Arial"/>
            <w:b/>
            <w:bCs/>
          </w:rPr>
          <w:t xml:space="preserve">, der die Wunscherfüllungstendenz derselben betont. – Anderseits scheinen sich bei Erwachsenen Träume vom infantilen Typus besonders häufig wieder einzustellen, wenn sie unter ungewöhnliche Lebensbedingungen versetzt werden. </w:t>
        </w:r>
        <w:r w:rsidRPr="00A06A59">
          <w:rPr>
            <w:rStyle w:val="innerfusslink3"/>
            <w:rFonts w:ascii="Garamond" w:hAnsi="Garamond" w:cs="Arial"/>
            <w:b/>
            <w:bCs/>
            <w:lang w:val="en-GB"/>
          </w:rPr>
          <w:t xml:space="preserve">So berichtet Otto </w:t>
        </w:r>
        <w:r w:rsidRPr="00A06A59">
          <w:rPr>
            <w:rStyle w:val="innerfusslink3"/>
            <w:rFonts w:ascii="Garamond" w:hAnsi="Garamond" w:cs="Arial"/>
            <w:b/>
            <w:bCs/>
            <w:i/>
            <w:iCs/>
            <w:lang w:val="en-GB"/>
          </w:rPr>
          <w:t>Nordenskjöld</w:t>
        </w:r>
        <w:r w:rsidRPr="00A06A59">
          <w:rPr>
            <w:rStyle w:val="innerfusslink3"/>
            <w:rFonts w:ascii="Garamond" w:hAnsi="Garamond" w:cs="Arial"/>
            <w:b/>
            <w:bCs/>
            <w:lang w:val="en-GB"/>
          </w:rPr>
          <w:t xml:space="preserve"> in seinem Buche </w:t>
        </w:r>
        <w:r w:rsidRPr="00A06A59">
          <w:rPr>
            <w:rStyle w:val="innerfusslink3"/>
            <w:rFonts w:ascii="Garamond" w:hAnsi="Garamond" w:cs="Arial"/>
            <w:b/>
            <w:bCs/>
            <w:i/>
            <w:iCs/>
            <w:lang w:val="en-GB"/>
          </w:rPr>
          <w:t>Antarctic</w:t>
        </w:r>
        <w:r w:rsidRPr="00A06A59">
          <w:rPr>
            <w:rStyle w:val="innerfusslink3"/>
            <w:rFonts w:ascii="Garamond" w:hAnsi="Garamond" w:cs="Arial"/>
            <w:b/>
            <w:bCs/>
            <w:lang w:val="en-GB"/>
          </w:rPr>
          <w:t xml:space="preserve"> (1904) über die mit ihm überwinternde Mannschaft (Bd. I, p. 336): »Sehr bezeichnend für die Richtung unserer innersten Gedanken waren unsere Träume, die nie lebhafter und zahlreicher waren als gerade jetzt. Selbst diejenigen unserer Kameraden, die sonst nur ausnahmsweise träumten, hatten jetzt des Morgens, wenn wir unsere letzten Erfahrungen aus dieser Phantasiewelt miteinander austauschten, lange Geschichten zu erzählen. Alle handelten sie von jener äußeren Welt, die uns jetzt so fern lag, waren aber oft unseren jetzigen Verhältnissen angepaßt. Ein besonders charakteristischer Traum bestand darin, daß sich einer der Kameraden auf die Schulbank zurückversetzt glaubte, wo ihm die Aufgabe zuteil wurde, ganz kleinen Miniaturseehunden, die eigens für Unterrichtszwecke angefertigt waren, die Haut abzuziehen. Essen und Trinken waren übrigens die Mittelpunkte, um die sich unsere Träume am häufigsten drehten. Einer von uns, der nächtlicherweise darin </w:t>
        </w:r>
        <w:r w:rsidRPr="00A06A59">
          <w:rPr>
            <w:rStyle w:val="innerfusslink3"/>
            <w:rFonts w:ascii="Garamond" w:hAnsi="Garamond" w:cs="Arial"/>
            <w:b/>
            <w:bCs/>
            <w:i/>
            <w:iCs/>
            <w:lang w:val="en-GB"/>
          </w:rPr>
          <w:t>exzellierte</w:t>
        </w:r>
        <w:r w:rsidRPr="00A06A59">
          <w:rPr>
            <w:rStyle w:val="innerfusslink3"/>
            <w:rFonts w:ascii="Garamond" w:hAnsi="Garamond" w:cs="Arial"/>
            <w:b/>
            <w:bCs/>
            <w:lang w:val="en-GB"/>
          </w:rPr>
          <w:t xml:space="preserve">, auf große Mittagsgesellschaften zu gehen, war seelenfroh, wenn er des Morgens berichten konnte, ›daß er ein Diner von drei Gängen eingenommen habe‹; ein anderer träumte vom Tabak, von ganzen Bergen Tabak; wieder andere von dem Schiff, das mit vollen Segeln auf dem offenen Wasser </w:t>
        </w:r>
        <w:r w:rsidRPr="00A06A59">
          <w:rPr>
            <w:rStyle w:val="innerfusslink3"/>
            <w:rFonts w:ascii="Garamond" w:hAnsi="Garamond" w:cs="Arial"/>
            <w:b/>
            <w:bCs/>
            <w:lang w:val="en-GB"/>
          </w:rPr>
          <w:lastRenderedPageBreak/>
          <w:t xml:space="preserve">daherkam. Noch ein anderer Traum verdient der Erwähnung: Der Briefträger kommt mit der Post und gibt eine lange Erklärung, warum diese so lange habe auf sich warten lassen, er habe sie verkehrt abgeliefert und erst nach großer Mühe sei es ihm gelungen, sie wieder zu erlangen. Natürlich beschäftigte man sich im Schlaf mit noch unmöglicheren Dingen, aber der Mangel an Phantasie in fast allen Träumen, die ich selbst träumte oder erzählen hörte, war ganz auffallend. </w:t>
        </w:r>
        <w:r w:rsidRPr="00A06A59">
          <w:rPr>
            <w:rStyle w:val="innerfusslink3"/>
            <w:rFonts w:ascii="Garamond" w:hAnsi="Garamond" w:cs="Arial"/>
            <w:b/>
            <w:bCs/>
          </w:rPr>
          <w:t xml:space="preserve">Es würde sicher von großem psychologischen Interesse sein, wenn alle diese Träume aufgezeichnet würden. Man wird aber leicht verstehen können, wie ersehnt der Schlaf war, da er uns alles bieten konnte, was ein jeder von uns am glühendsten begehrte.« – Nach </w:t>
        </w:r>
        <w:r w:rsidRPr="00A06A59">
          <w:rPr>
            <w:rStyle w:val="innerfusslink3"/>
            <w:rFonts w:ascii="Garamond" w:hAnsi="Garamond" w:cs="Arial"/>
            <w:b/>
            <w:bCs/>
            <w:i/>
            <w:iCs/>
          </w:rPr>
          <w:t>Du Prel</w:t>
        </w:r>
        <w:r w:rsidRPr="00A06A59">
          <w:rPr>
            <w:rStyle w:val="innerfusslink3"/>
            <w:rFonts w:ascii="Garamond" w:hAnsi="Garamond" w:cs="Arial"/>
            <w:b/>
            <w:bCs/>
          </w:rPr>
          <w:t xml:space="preserve"> (p. 231) zitiere ich noch: »Mungo Park, auf einer Reise in Afrika dem Verschmachten nahe, träumte ohne Aufhören von wasserreichen Tälern und Auen seiner Heimat. So sah sich auch der von Hunger gequälte Trenck in der Sternschanze zu Magdeburg von üppigen Mahlzeiten umgeben, und George Back, Teilnehmer der ersten Expedition Franklins, als er infolge furchtbarer Entbehrungen dem Hungertode nahe war, träumte stets und gleichmäßig von reichen Mahlzeiten.«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Wovon die Tiere träumen, weiß ich nicht. Ein Sprichwort, dessen Erwähnung ich einem meiner Hörer danke, behauptet es zu wissen, denn es stellt die Frage auf: </w:t>
      </w:r>
      <w:r w:rsidRPr="00A06A59">
        <w:rPr>
          <w:rFonts w:ascii="Garamond" w:hAnsi="Garamond" w:cs="Arial"/>
          <w:i/>
          <w:iCs/>
          <w:color w:val="000000"/>
          <w:lang w:val="en-GB"/>
        </w:rPr>
        <w:t>Wovon träumt die Gans?</w:t>
      </w:r>
      <w:r w:rsidRPr="00A06A59">
        <w:rPr>
          <w:rFonts w:ascii="Garamond" w:hAnsi="Garamond" w:cs="Arial"/>
          <w:color w:val="000000"/>
          <w:lang w:val="en-GB"/>
        </w:rPr>
        <w:t xml:space="preserve"> und beantwortet sie: </w:t>
      </w:r>
      <w:r w:rsidRPr="00A06A59">
        <w:rPr>
          <w:rFonts w:ascii="Garamond" w:hAnsi="Garamond" w:cs="Arial"/>
          <w:i/>
          <w:iCs/>
          <w:color w:val="000000"/>
          <w:lang w:val="en-GB"/>
        </w:rPr>
        <w:t>Vom Kukuruz</w:t>
      </w:r>
      <w:r w:rsidRPr="00A06A59">
        <w:rPr>
          <w:rFonts w:ascii="Garamond" w:hAnsi="Garamond" w:cs="Arial"/>
          <w:color w:val="000000"/>
          <w:lang w:val="en-GB"/>
        </w:rPr>
        <w:t xml:space="preserve"> (Mais) </w:t>
      </w:r>
      <w:hyperlink r:id="rId5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Ein ungarisches, von </w:t>
        </w:r>
        <w:r w:rsidRPr="00A06A59">
          <w:rPr>
            <w:rStyle w:val="innerfusslink3"/>
            <w:rFonts w:ascii="Garamond" w:hAnsi="Garamond" w:cs="Arial"/>
            <w:b/>
            <w:bCs/>
            <w:i/>
            <w:iCs/>
            <w:lang w:val="en-GB"/>
          </w:rPr>
          <w:t>Ferenczi</w:t>
        </w:r>
        <w:r w:rsidRPr="00A06A59">
          <w:rPr>
            <w:rStyle w:val="innerfusslink3"/>
            <w:rFonts w:ascii="Garamond" w:hAnsi="Garamond" w:cs="Arial"/>
            <w:b/>
            <w:bCs/>
            <w:lang w:val="en-GB"/>
          </w:rPr>
          <w:t xml:space="preserve"> angezogenes Sprichwort behauptet vollständiger, daß »das Schwein von Eicheln, die Gans von Mais träumt«. Ein jüdisches Sprichwort lautet: »Wovon träumt das Huhn? – Von Hirse.« (Sammlung jüd. Sprichw. Und Redensarten, herausg. v. Bernstein, 2. Aufl., S. 116.</w:t>
        </w:r>
      </w:hyperlink>
      <w:r w:rsidRPr="00A06A59">
        <w:rPr>
          <w:rFonts w:ascii="Garamond" w:hAnsi="Garamond" w:cs="Arial"/>
          <w:color w:val="000000"/>
          <w:lang w:val="en-GB"/>
        </w:rPr>
        <w:t xml:space="preserve">. Die ganze Theorie, daß der Traum eine Wunscherfüllung sei, ist in diesen zwei Sätzen enthalten </w:t>
      </w:r>
      <w:hyperlink r:id="rId6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Es liegt mir fern zu behaupten, daß noch niemals ein Autor vor mir daran gedacht habe, einen Traum von einem Wunsch abzuleiten. (Vgl. die ersten Sätze des nächsten Abschnittes.) Wer auf solche Andeutungen Wert legt, könnte schon aus dem Altertum den unter dem ersten Ptolemäus lebenden Arzt </w:t>
        </w:r>
        <w:r w:rsidRPr="00A06A59">
          <w:rPr>
            <w:rStyle w:val="innerfusslink3"/>
            <w:rFonts w:ascii="Garamond" w:hAnsi="Garamond" w:cs="Arial"/>
            <w:b/>
            <w:bCs/>
            <w:i/>
            <w:iCs/>
            <w:lang w:val="en-GB"/>
          </w:rPr>
          <w:t>Herophilos</w:t>
        </w:r>
        <w:r w:rsidRPr="00A06A59">
          <w:rPr>
            <w:rStyle w:val="innerfusslink3"/>
            <w:rFonts w:ascii="Garamond" w:hAnsi="Garamond" w:cs="Arial"/>
            <w:b/>
            <w:bCs/>
            <w:lang w:val="en-GB"/>
          </w:rPr>
          <w:t xml:space="preserve"> anführen, der nach </w:t>
        </w:r>
        <w:r w:rsidRPr="00A06A59">
          <w:rPr>
            <w:rStyle w:val="innerfusslink3"/>
            <w:rFonts w:ascii="Garamond" w:hAnsi="Garamond" w:cs="Arial"/>
            <w:b/>
            <w:bCs/>
            <w:i/>
            <w:iCs/>
            <w:lang w:val="en-GB"/>
          </w:rPr>
          <w:t>Büchsenschütz</w:t>
        </w:r>
        <w:r w:rsidRPr="00A06A59">
          <w:rPr>
            <w:rStyle w:val="innerfusslink3"/>
            <w:rFonts w:ascii="Garamond" w:hAnsi="Garamond" w:cs="Arial"/>
            <w:b/>
            <w:bCs/>
            <w:lang w:val="en-GB"/>
          </w:rPr>
          <w:t xml:space="preserve"> (p. 33) drei Arten von Träumen unterschied: gottgesandte, natürliche, welche entstehen, indem die Seele sich ein Bild dessen schafft, was ihr zuträglich ist und was eintreten wird, und gemischte, die von selbst durch Annäherung von Bildern entstehen, wenn wir das sehen, was wir wünschen. Aus der Beispielsammlung von </w:t>
        </w:r>
        <w:r w:rsidRPr="00A06A59">
          <w:rPr>
            <w:rStyle w:val="innerfusslink3"/>
            <w:rFonts w:ascii="Garamond" w:hAnsi="Garamond" w:cs="Arial"/>
            <w:b/>
            <w:bCs/>
            <w:i/>
            <w:iCs/>
            <w:lang w:val="en-GB"/>
          </w:rPr>
          <w:t>Scherner</w:t>
        </w:r>
        <w:r w:rsidRPr="00A06A59">
          <w:rPr>
            <w:rStyle w:val="innerfusslink3"/>
            <w:rFonts w:ascii="Garamond" w:hAnsi="Garamond" w:cs="Arial"/>
            <w:b/>
            <w:bCs/>
            <w:lang w:val="en-GB"/>
          </w:rPr>
          <w:t xml:space="preserve"> weiß J. </w:t>
        </w:r>
        <w:r w:rsidRPr="00A06A59">
          <w:rPr>
            <w:rStyle w:val="innerfusslink3"/>
            <w:rFonts w:ascii="Garamond" w:hAnsi="Garamond" w:cs="Arial"/>
            <w:b/>
            <w:bCs/>
            <w:i/>
            <w:iCs/>
            <w:lang w:val="en-GB"/>
          </w:rPr>
          <w:t>Stärcke</w:t>
        </w:r>
        <w:r w:rsidRPr="00A06A59">
          <w:rPr>
            <w:rStyle w:val="innerfusslink3"/>
            <w:rFonts w:ascii="Garamond" w:hAnsi="Garamond" w:cs="Arial"/>
            <w:b/>
            <w:bCs/>
            <w:lang w:val="en-GB"/>
          </w:rPr>
          <w:t xml:space="preserve"> einen Traum hervorzuheben, der vom Autor selbst als Wunscherfüllung bezeichnet wird (p. 239). </w:t>
        </w:r>
        <w:r w:rsidRPr="00A06A59">
          <w:rPr>
            <w:rStyle w:val="innerfusslink3"/>
            <w:rFonts w:ascii="Garamond" w:hAnsi="Garamond" w:cs="Arial"/>
            <w:b/>
            <w:bCs/>
            <w:i/>
            <w:iCs/>
            <w:lang w:val="en-GB"/>
          </w:rPr>
          <w:t>Scherner</w:t>
        </w:r>
        <w:r w:rsidRPr="00A06A59">
          <w:rPr>
            <w:rStyle w:val="innerfusslink3"/>
            <w:rFonts w:ascii="Garamond" w:hAnsi="Garamond" w:cs="Arial"/>
            <w:b/>
            <w:bCs/>
            <w:lang w:val="en-GB"/>
          </w:rPr>
          <w:t xml:space="preserve"> sagt: »Den wachen Wunsch der Träumerin erfüllte die Phantasie sofort einfach darum, weil er im Gemüte derselben lebhaft bestand.« Dieser Traum steht unter den »Stimmungsträumen«; in seiner Nähe befinden sich Träume für »männliches und weibliches Liebessehnen« und für »verdrießliche Stimmung«. Es ist, wie man sieht, keine Rede davon, daß </w:t>
        </w:r>
        <w:r w:rsidRPr="00A06A59">
          <w:rPr>
            <w:rStyle w:val="innerfusslink3"/>
            <w:rFonts w:ascii="Garamond" w:hAnsi="Garamond" w:cs="Arial"/>
            <w:b/>
            <w:bCs/>
            <w:i/>
            <w:iCs/>
            <w:lang w:val="en-GB"/>
          </w:rPr>
          <w:t>Scherner</w:t>
        </w:r>
        <w:r w:rsidRPr="00A06A59">
          <w:rPr>
            <w:rStyle w:val="innerfusslink3"/>
            <w:rFonts w:ascii="Garamond" w:hAnsi="Garamond" w:cs="Arial"/>
            <w:b/>
            <w:bCs/>
            <w:lang w:val="en-GB"/>
          </w:rPr>
          <w:t xml:space="preserve"> dem Wünschen für den Traum eine andere Bedeutung zuschrieb als irgendeinem sonstigen Seelenzustand des Wachens, geschweige denn, daß er den Wunsch mit dem Wesen des Traumes in Zusammenhang gebracht hätte.</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bemerken jetzt, daß wir zu unserer Lehre von dem verborgenen Sinn des Traumes auch auf dem kürzesten Wege gelangt wären, wenn wir nur den Sprachgebrauch befragt hätten. Die Sprachweisheit redet zwar manchmal verächtlich genug vom Traum – man meint, sie wolle der Wissenschaft recht geben, wenn sie urteilt: </w:t>
      </w:r>
      <w:r w:rsidRPr="00A06A59">
        <w:rPr>
          <w:rFonts w:ascii="Garamond" w:hAnsi="Garamond" w:cs="Arial"/>
          <w:i/>
          <w:iCs/>
          <w:color w:val="000000"/>
          <w:lang w:val="en-GB"/>
        </w:rPr>
        <w:t>Träume sind Schäume</w:t>
      </w:r>
      <w:r w:rsidRPr="00A06A59">
        <w:rPr>
          <w:rFonts w:ascii="Garamond" w:hAnsi="Garamond" w:cs="Arial"/>
          <w:color w:val="000000"/>
          <w:lang w:val="en-GB"/>
        </w:rPr>
        <w:t xml:space="preserve"> – aber für den Sprachgebrauch ist der Traum doch vorwiegend der holde Wunscherfüller. »Das hätt' ich mir in meinen kühnsten Träumen nicht vorgestellt«, ruft entzückt, wer in der Wirklichkeit seine Erwartungen übertroffen findet.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br w:type="page"/>
      </w:r>
    </w:p>
    <w:p w:rsidR="00A06A59" w:rsidRPr="00A06A59" w:rsidRDefault="00B437A1" w:rsidP="00A06A59">
      <w:pPr>
        <w:shd w:val="clear" w:color="auto" w:fill="FFFFFF"/>
        <w:tabs>
          <w:tab w:val="left" w:pos="7513"/>
          <w:tab w:val="left" w:pos="9639"/>
        </w:tabs>
        <w:spacing w:before="221" w:after="44" w:line="306" w:lineRule="atLeast"/>
        <w:ind w:left="-426" w:right="-567"/>
        <w:outlineLvl w:val="3"/>
        <w:rPr>
          <w:rFonts w:ascii="Garamond" w:hAnsi="Garamond" w:cs="Arial"/>
          <w:b/>
          <w:bCs/>
          <w:color w:val="000000"/>
          <w:lang w:val="en-GB"/>
        </w:rPr>
      </w:pPr>
      <w:hyperlink w:anchor="inhalt" w:history="1">
        <w:r w:rsidR="00A06A59" w:rsidRPr="00A06A59">
          <w:rPr>
            <w:rStyle w:val="Lienhypertexte"/>
            <w:rFonts w:ascii="Garamond" w:hAnsi="Garamond" w:cs="Arial"/>
            <w:b/>
            <w:bCs/>
            <w:lang w:val="en-GB"/>
          </w:rPr>
          <w:t>IV. Di</w:t>
        </w:r>
        <w:bookmarkStart w:id="65" w:name="IV"/>
        <w:bookmarkEnd w:id="65"/>
        <w:r w:rsidR="00A06A59" w:rsidRPr="00A06A59">
          <w:rPr>
            <w:rStyle w:val="Lienhypertexte"/>
            <w:rFonts w:ascii="Garamond" w:hAnsi="Garamond" w:cs="Arial"/>
            <w:b/>
            <w:bCs/>
            <w:lang w:val="en-GB"/>
          </w:rPr>
          <w:t>e Traumentstellung</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ich nun die Behauptung aufstelle, daß Wunscherfüllung der Sinn eines </w:t>
      </w:r>
      <w:r w:rsidRPr="00A06A59">
        <w:rPr>
          <w:rFonts w:ascii="Garamond" w:hAnsi="Garamond" w:cs="Arial"/>
          <w:i/>
          <w:iCs/>
          <w:color w:val="000000"/>
          <w:lang w:val="en-GB"/>
        </w:rPr>
        <w:t>jeden</w:t>
      </w:r>
      <w:r w:rsidRPr="00A06A59">
        <w:rPr>
          <w:rFonts w:ascii="Garamond" w:hAnsi="Garamond" w:cs="Arial"/>
          <w:color w:val="000000"/>
          <w:lang w:val="en-GB"/>
        </w:rPr>
        <w:t xml:space="preserve"> Traumes sei, also daß es keine anderen als Wunschträume geben kann, so bin ich des entschiedensten Widerspruches im vorhinein sicher. Man wird mir entgegenhalten: »Daß es Träume gibt, welche als Wunscherfüllungen zu verstehen sind, ist nicht neu, sondern längst von den Autoren bemerkt worden. (Vgl. </w:t>
      </w:r>
      <w:r w:rsidRPr="00A06A59">
        <w:rPr>
          <w:rFonts w:ascii="Garamond" w:hAnsi="Garamond" w:cs="Arial"/>
          <w:i/>
          <w:iCs/>
          <w:color w:val="000000"/>
          <w:lang w:val="en-GB"/>
        </w:rPr>
        <w:t>Radestock</w:t>
      </w:r>
      <w:r w:rsidRPr="00A06A59">
        <w:rPr>
          <w:rFonts w:ascii="Garamond" w:hAnsi="Garamond" w:cs="Arial"/>
          <w:color w:val="000000"/>
          <w:lang w:val="en-GB"/>
        </w:rPr>
        <w:t xml:space="preserve">, S. 137–8, </w:t>
      </w:r>
      <w:r w:rsidRPr="00A06A59">
        <w:rPr>
          <w:rFonts w:ascii="Garamond" w:hAnsi="Garamond" w:cs="Arial"/>
          <w:i/>
          <w:iCs/>
          <w:color w:val="000000"/>
          <w:lang w:val="en-GB"/>
        </w:rPr>
        <w:t>Volkelt</w:t>
      </w:r>
      <w:r w:rsidRPr="00A06A59">
        <w:rPr>
          <w:rFonts w:ascii="Garamond" w:hAnsi="Garamond" w:cs="Arial"/>
          <w:color w:val="000000"/>
          <w:lang w:val="en-GB"/>
        </w:rPr>
        <w:t xml:space="preserve">, S. 110, </w:t>
      </w:r>
      <w:r w:rsidRPr="00A06A59">
        <w:rPr>
          <w:rFonts w:ascii="Garamond" w:hAnsi="Garamond" w:cs="Arial"/>
          <w:i/>
          <w:iCs/>
          <w:color w:val="000000"/>
          <w:lang w:val="en-GB"/>
        </w:rPr>
        <w:t>Purkinje,</w:t>
      </w:r>
      <w:r w:rsidRPr="00A06A59">
        <w:rPr>
          <w:rFonts w:ascii="Garamond" w:hAnsi="Garamond" w:cs="Arial"/>
          <w:color w:val="000000"/>
          <w:lang w:val="en-GB"/>
        </w:rPr>
        <w:t xml:space="preserve"> S. 456, </w:t>
      </w:r>
      <w:r w:rsidRPr="00A06A59">
        <w:rPr>
          <w:rFonts w:ascii="Garamond" w:hAnsi="Garamond" w:cs="Arial"/>
          <w:i/>
          <w:iCs/>
          <w:color w:val="000000"/>
          <w:lang w:val="en-GB"/>
        </w:rPr>
        <w:t>Tissié</w:t>
      </w:r>
      <w:r w:rsidRPr="00A06A59">
        <w:rPr>
          <w:rFonts w:ascii="Garamond" w:hAnsi="Garamond" w:cs="Arial"/>
          <w:color w:val="000000"/>
          <w:lang w:val="en-GB"/>
        </w:rPr>
        <w:t xml:space="preserve">, S. </w:t>
      </w:r>
      <w:smartTag w:uri="urn:schemas-microsoft-com:office:smarttags" w:element="metricconverter">
        <w:smartTagPr>
          <w:attr w:name="ProductID" w:val="70, M"/>
        </w:smartTagPr>
        <w:r w:rsidRPr="00A06A59">
          <w:rPr>
            <w:rFonts w:ascii="Garamond" w:hAnsi="Garamond" w:cs="Arial"/>
            <w:color w:val="000000"/>
            <w:lang w:val="en-GB"/>
          </w:rPr>
          <w:t>70, M</w:t>
        </w:r>
      </w:smartTag>
      <w:r w:rsidRPr="00A06A59">
        <w:rPr>
          <w:rFonts w:ascii="Garamond" w:hAnsi="Garamond" w:cs="Arial"/>
          <w:color w:val="000000"/>
          <w:lang w:val="en-GB"/>
        </w:rPr>
        <w:t xml:space="preserve">. </w:t>
      </w:r>
      <w:r w:rsidRPr="00A06A59">
        <w:rPr>
          <w:rFonts w:ascii="Garamond" w:hAnsi="Garamond" w:cs="Arial"/>
          <w:i/>
          <w:iCs/>
          <w:color w:val="000000"/>
          <w:lang w:val="en-GB"/>
        </w:rPr>
        <w:t>Simon</w:t>
      </w:r>
      <w:r w:rsidRPr="00A06A59">
        <w:rPr>
          <w:rFonts w:ascii="Garamond" w:hAnsi="Garamond" w:cs="Arial"/>
          <w:color w:val="000000"/>
          <w:lang w:val="en-GB"/>
        </w:rPr>
        <w:t xml:space="preserve">, S. 42 über die Hungerträume des eingekerkerten Baron </w:t>
      </w:r>
      <w:r w:rsidRPr="00A06A59">
        <w:rPr>
          <w:rFonts w:ascii="Garamond" w:hAnsi="Garamond" w:cs="Arial"/>
          <w:i/>
          <w:iCs/>
          <w:color w:val="000000"/>
          <w:lang w:val="en-GB"/>
        </w:rPr>
        <w:t>Trenck</w:t>
      </w:r>
      <w:r w:rsidRPr="00A06A59">
        <w:rPr>
          <w:rFonts w:ascii="Garamond" w:hAnsi="Garamond" w:cs="Arial"/>
          <w:color w:val="000000"/>
          <w:lang w:val="en-GB"/>
        </w:rPr>
        <w:t xml:space="preserve">, und die Stelle bei </w:t>
      </w:r>
      <w:r w:rsidRPr="00A06A59">
        <w:rPr>
          <w:rFonts w:ascii="Garamond" w:hAnsi="Garamond" w:cs="Arial"/>
          <w:i/>
          <w:iCs/>
          <w:color w:val="000000"/>
          <w:lang w:val="en-GB"/>
        </w:rPr>
        <w:t>Griesinger</w:t>
      </w:r>
      <w:r w:rsidRPr="00A06A59">
        <w:rPr>
          <w:rFonts w:ascii="Garamond" w:hAnsi="Garamond" w:cs="Arial"/>
          <w:color w:val="000000"/>
          <w:lang w:val="en-GB"/>
        </w:rPr>
        <w:t xml:space="preserve">, S. 111.) </w:t>
      </w:r>
      <w:hyperlink r:id="rId61"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Schon der Neuplatoniker </w:t>
        </w:r>
        <w:r w:rsidRPr="00A06A59">
          <w:rPr>
            <w:rStyle w:val="innerfusslink3"/>
            <w:rFonts w:ascii="Garamond" w:hAnsi="Garamond" w:cs="Arial"/>
            <w:b/>
            <w:bCs/>
            <w:i/>
            <w:iCs/>
          </w:rPr>
          <w:t>Plotin</w:t>
        </w:r>
        <w:r w:rsidRPr="00A06A59">
          <w:rPr>
            <w:rStyle w:val="innerfusslink3"/>
            <w:rFonts w:ascii="Garamond" w:hAnsi="Garamond" w:cs="Arial"/>
            <w:b/>
            <w:bCs/>
          </w:rPr>
          <w:t xml:space="preserve"> sagt: »Wenn die Begierde sich regt, dann kommt die Phantasie und präsentiert uns gleichsam das Objekt derselben.« ( </w:t>
        </w:r>
        <w:r w:rsidRPr="00A06A59">
          <w:rPr>
            <w:rStyle w:val="innerfusslink3"/>
            <w:rFonts w:ascii="Garamond" w:hAnsi="Garamond" w:cs="Arial"/>
            <w:b/>
            <w:bCs/>
            <w:i/>
            <w:iCs/>
          </w:rPr>
          <w:t>Du Prel</w:t>
        </w:r>
        <w:r w:rsidRPr="00A06A59">
          <w:rPr>
            <w:rStyle w:val="innerfusslink3"/>
            <w:rFonts w:ascii="Garamond" w:hAnsi="Garamond" w:cs="Arial"/>
            <w:b/>
            <w:bCs/>
          </w:rPr>
          <w:t>, p. 276.)</w:t>
        </w:r>
      </w:hyperlink>
      <w:r w:rsidRPr="00A06A59">
        <w:rPr>
          <w:rFonts w:ascii="Garamond" w:hAnsi="Garamond" w:cs="Arial"/>
          <w:color w:val="000000"/>
        </w:rPr>
        <w:t xml:space="preserve"> Daß es aber nichts anderes geben soll als Wunscherfüllungsträume, das ist wieder eine ungerechtfertigte Verallgemeinerung, die sich zum Glück leicht zurückweisen läßt. </w:t>
      </w:r>
      <w:r w:rsidRPr="00A06A59">
        <w:rPr>
          <w:rFonts w:ascii="Garamond" w:hAnsi="Garamond" w:cs="Arial"/>
          <w:color w:val="000000"/>
          <w:lang w:val="en-GB"/>
        </w:rPr>
        <w:t xml:space="preserve">Es kommen doch reichlich genug Träume vor, welche den peinlichsten Inhalt erkennen lassen, aber keine Spur irgendeiner Wunscherfüllung. Der pessimistische Philosoph Eduard </w:t>
      </w:r>
      <w:r w:rsidRPr="00A06A59">
        <w:rPr>
          <w:rFonts w:ascii="Garamond" w:hAnsi="Garamond" w:cs="Arial"/>
          <w:i/>
          <w:iCs/>
          <w:color w:val="000000"/>
          <w:lang w:val="en-GB"/>
        </w:rPr>
        <w:t>v. Hartmann</w:t>
      </w:r>
      <w:r w:rsidRPr="00A06A59">
        <w:rPr>
          <w:rFonts w:ascii="Garamond" w:hAnsi="Garamond" w:cs="Arial"/>
          <w:color w:val="000000"/>
          <w:lang w:val="en-GB"/>
        </w:rPr>
        <w:t xml:space="preserve"> steht wohl der Wunscherfüllungstheorie am fernsten. Er äußert in seiner </w:t>
      </w:r>
      <w:r w:rsidRPr="00A06A59">
        <w:rPr>
          <w:rFonts w:ascii="Garamond" w:hAnsi="Garamond" w:cs="Arial"/>
          <w:i/>
          <w:iCs/>
          <w:color w:val="000000"/>
          <w:lang w:val="en-GB"/>
        </w:rPr>
        <w:t>Philosophie des Unbewußten</w:t>
      </w:r>
      <w:r w:rsidRPr="00A06A59">
        <w:rPr>
          <w:rFonts w:ascii="Garamond" w:hAnsi="Garamond" w:cs="Arial"/>
          <w:color w:val="000000"/>
          <w:lang w:val="en-GB"/>
        </w:rPr>
        <w:t xml:space="preserve"> II. Teil (Steroetyp-Ausgabe, S. 344): »Was den Traum betrifft, so treten mit ihm alle Plackereien des wachen Lebens auch in den Schlafzustand hinüber, nur das einzige nicht, was den Gebildeten einigermaßen mit dem Leben aussöhnen kann: wissenschaftlicher und Kunstgenuß ...« Aber auch minder unzufriedene Beobachter haben hervorgehoben, daß im Traum Schmerz und Unlust häufiger sei als Lust, so </w:t>
      </w:r>
      <w:r w:rsidRPr="00A06A59">
        <w:rPr>
          <w:rFonts w:ascii="Garamond" w:hAnsi="Garamond" w:cs="Arial"/>
          <w:i/>
          <w:iCs/>
          <w:color w:val="000000"/>
          <w:lang w:val="en-GB"/>
        </w:rPr>
        <w:t>Scholz</w:t>
      </w:r>
      <w:r w:rsidRPr="00A06A59">
        <w:rPr>
          <w:rFonts w:ascii="Garamond" w:hAnsi="Garamond" w:cs="Arial"/>
          <w:color w:val="000000"/>
          <w:lang w:val="en-GB"/>
        </w:rPr>
        <w:t xml:space="preserve"> (S. 33), </w:t>
      </w:r>
      <w:r w:rsidRPr="00A06A59">
        <w:rPr>
          <w:rFonts w:ascii="Garamond" w:hAnsi="Garamond" w:cs="Arial"/>
          <w:i/>
          <w:iCs/>
          <w:color w:val="000000"/>
          <w:lang w:val="en-GB"/>
        </w:rPr>
        <w:t>Volkelt</w:t>
      </w:r>
      <w:r w:rsidRPr="00A06A59">
        <w:rPr>
          <w:rFonts w:ascii="Garamond" w:hAnsi="Garamond" w:cs="Arial"/>
          <w:color w:val="000000"/>
          <w:lang w:val="en-GB"/>
        </w:rPr>
        <w:t xml:space="preserve"> (S. 80) u. a. Ja, die Damen Sarah </w:t>
      </w:r>
      <w:r w:rsidRPr="00A06A59">
        <w:rPr>
          <w:rFonts w:ascii="Garamond" w:hAnsi="Garamond" w:cs="Arial"/>
          <w:i/>
          <w:iCs/>
          <w:color w:val="000000"/>
          <w:lang w:val="en-GB"/>
        </w:rPr>
        <w:t>Weed</w:t>
      </w:r>
      <w:r w:rsidRPr="00A06A59">
        <w:rPr>
          <w:rFonts w:ascii="Garamond" w:hAnsi="Garamond" w:cs="Arial"/>
          <w:color w:val="000000"/>
          <w:lang w:val="en-GB"/>
        </w:rPr>
        <w:t xml:space="preserve"> und Florence </w:t>
      </w:r>
      <w:r w:rsidRPr="00A06A59">
        <w:rPr>
          <w:rFonts w:ascii="Garamond" w:hAnsi="Garamond" w:cs="Arial"/>
          <w:i/>
          <w:iCs/>
          <w:color w:val="000000"/>
          <w:lang w:val="en-GB"/>
        </w:rPr>
        <w:t>Hallam</w:t>
      </w:r>
      <w:r w:rsidRPr="00A06A59">
        <w:rPr>
          <w:rFonts w:ascii="Garamond" w:hAnsi="Garamond" w:cs="Arial"/>
          <w:color w:val="000000"/>
          <w:lang w:val="en-GB"/>
        </w:rPr>
        <w:t xml:space="preserve"> haben aus der Bearbeitung ihrer Träume einen ziffernmäßigen Ausdruck für das Überwiegen der Unlust in den Träumen entnommen. Sie bezeichnen 58 Prozent der Träume als peinlich und nur 28.6 Prozent als positiv angenehm. Außer diesen Träumen, welche die mannigfaltigen peinlichen Gefühle des Lebens in den Schlaf fortsetzen, gibt es auch Angstträume, in denen uns diese entsetzlichste aller Unlustempfindungen schüttelt, bis wir erwachen, und von solchen Angstträumen werden gerade die Kinder so leicht heimgesucht (vgl. </w:t>
      </w:r>
      <w:r w:rsidRPr="00A06A59">
        <w:rPr>
          <w:rFonts w:ascii="Garamond" w:hAnsi="Garamond" w:cs="Arial"/>
          <w:i/>
          <w:iCs/>
          <w:color w:val="000000"/>
          <w:lang w:val="en-GB"/>
        </w:rPr>
        <w:t>Debacker</w:t>
      </w:r>
      <w:r w:rsidRPr="00A06A59">
        <w:rPr>
          <w:rFonts w:ascii="Garamond" w:hAnsi="Garamond" w:cs="Arial"/>
          <w:color w:val="000000"/>
          <w:lang w:val="en-GB"/>
        </w:rPr>
        <w:t>, über den pavor nocturnus), bei denen wir die Wunschträume unverhüllt gefunden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Wirklich scheinen gerade die Angstträume eine Verallgemeinerung des Satzes, den wir aus den Beispielen des vorigen Abschnittes gewonnen haben, der Traum sei eine Wunscherfüllung, unmöglich zu machen, ja diesen Satz als Absurdität zu brandmarken.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Dennoch ist es nicht sehr schwer, sich diesen anscheinend zwingenden Einwänden zu entziehen. Man wolle bloß beachten, daß unsere Lehre nicht auf der Würdigung des manifesten Trauminhalts beruht, sondern sich auf den Gedankeninhalt bezieht, welcher durch die Deutungsarbeit hinter dem Traume erkannt wird. Stellen wir </w:t>
      </w:r>
      <w:r w:rsidRPr="00A06A59">
        <w:rPr>
          <w:rFonts w:ascii="Garamond" w:hAnsi="Garamond" w:cs="Arial"/>
          <w:i/>
          <w:iCs/>
          <w:color w:val="000000"/>
          <w:lang w:val="en-GB"/>
        </w:rPr>
        <w:t>manifesten</w:t>
      </w:r>
      <w:r w:rsidRPr="00A06A59">
        <w:rPr>
          <w:rFonts w:ascii="Garamond" w:hAnsi="Garamond" w:cs="Arial"/>
          <w:color w:val="000000"/>
          <w:lang w:val="en-GB"/>
        </w:rPr>
        <w:t xml:space="preserve"> und </w:t>
      </w:r>
      <w:r w:rsidRPr="00A06A59">
        <w:rPr>
          <w:rFonts w:ascii="Garamond" w:hAnsi="Garamond" w:cs="Arial"/>
          <w:i/>
          <w:iCs/>
          <w:color w:val="000000"/>
          <w:lang w:val="en-GB"/>
        </w:rPr>
        <w:t>latenten Trauminhalt</w:t>
      </w:r>
      <w:r w:rsidRPr="00A06A59">
        <w:rPr>
          <w:rFonts w:ascii="Garamond" w:hAnsi="Garamond" w:cs="Arial"/>
          <w:color w:val="000000"/>
          <w:lang w:val="en-GB"/>
        </w:rPr>
        <w:t xml:space="preserve"> einander gegenüber. Es ist richtig, daß es Träume gibt, deren manifester Inhalt von der peinlichsten Art ist. Aber hat jemand versucht, diese Träume zu deuten, den latenten Gedankeninhalt derselben aufzudecken? Wenn aber nicht, dann treffen uns die beiden Einwände nicht mehr; es bleibt immerhin möglich, daß auch peinliche und Angstträume sich nach der Deutung als Wunscherfüllungen enthüllen </w:t>
      </w:r>
      <w:hyperlink r:id="rId6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Es ist ganz unglaublich, mit welcher Hartnäckigkeit sich Leser und Kritiker dieser Erwägung verschließen und die grundlegende Unterscheidung von manifestem und latentem Trauminhalt unbeachtet lassen. – Keine der in der Literatur niedergelegten Äußerungen kommt aber dieser meiner Aufstellung so sehr entgegen wie eine Stelle in J. Sullys Aufsatz: ›The Dream as a Revelation‹ (S. 364), deren Verdienst dadurch nicht geschmälert werden soll, daß ich sie erst hier anführe: » </w:t>
        </w:r>
        <w:r w:rsidRPr="00A06A59">
          <w:rPr>
            <w:rStyle w:val="innerfusslink3"/>
            <w:rFonts w:ascii="Garamond" w:hAnsi="Garamond" w:cs="Arial"/>
            <w:b/>
            <w:bCs/>
            <w:i/>
            <w:iCs/>
            <w:lang w:val="en-GB"/>
          </w:rPr>
          <w:t>It would seem, then, after all, that dreams are not the utter nonsense they have been said to be by such authorities as Chaucer, Shakespeare and Milton. The chaotic aggregations of our night-fancy have a significance and communicate new knowledge. Like some letter in cypher, the dream-inscription when scrutinized closely loses its first look of balderdash and takes on the aspect of a serious, intelligible message. Or, to vary the figure slightly, we may say that, like some palimpsest, the dream discloses beneath its worthless surface-characters traces of an old and precious communication.</w:t>
        </w:r>
        <w:r w:rsidRPr="00A06A59">
          <w:rPr>
            <w:rStyle w:val="innerfusslink3"/>
            <w:rFonts w:ascii="Garamond" w:hAnsi="Garamond" w:cs="Arial"/>
            <w:b/>
            <w:bCs/>
            <w:lang w:val="en-GB"/>
          </w:rPr>
          <w:t>« (p. 364)</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 wissenschaftlicher Arbeit ist es oft von Vorteil, wenn die Lösung des einen Problems Schwierigkeiten bereitet, ein zweites hinzuzunehmen, etwa wie man zwei Nüsse leichter miteinander als einzeln aufknackt. So stehen wir nicht nur vor der Frage: Wie können peinliche und Angstträume Wunscherfüllungen sein, sondern wir können auch aus unseren bisherigen Erörterungen über den Traum eine zweite Frage aufwerfen: Warum zeigen die Träume indifferenten Inhalts, welche sich als Wunscherfüllungen ergeben, diesen ihren Sinn nicht unverhüllt? Man nehme den weitläufig behandelten Traum von Irmas Injektion, er ist keineswegs peinlicher Natur, er ist durch die Deutung als eklatante Wunscherfüllung zu erkennen. Wozu bedarf es aber überhaupt einer Deutung? Warum sagt der Traum nicht direkt, was er bedeutet? Tatsächlich macht auch der Traum von Irmas Injektion zunächst nicht den Eindruck, daß er einen Wunsch des Träumers als erfüllt darstellt. Der Leser wird diesen Eindruck nicht bekommen haben, aber auch ich selbst wußte es nicht, ehe ich die Analyse angestellt hatte. Heißen wir dieses der Erklärung bedürftige Verhalten </w:t>
      </w:r>
      <w:r w:rsidRPr="00A06A59">
        <w:rPr>
          <w:rFonts w:ascii="Garamond" w:hAnsi="Garamond" w:cs="Arial"/>
          <w:color w:val="000000"/>
          <w:lang w:val="en-GB"/>
        </w:rPr>
        <w:lastRenderedPageBreak/>
        <w:t xml:space="preserve">des Traumes: die </w:t>
      </w:r>
      <w:r w:rsidRPr="00A06A59">
        <w:rPr>
          <w:rFonts w:ascii="Garamond" w:hAnsi="Garamond" w:cs="Arial"/>
          <w:i/>
          <w:iCs/>
          <w:color w:val="000000"/>
          <w:lang w:val="en-GB"/>
        </w:rPr>
        <w:t>Tatsache der Traumentstellung</w:t>
      </w:r>
      <w:r w:rsidRPr="00A06A59">
        <w:rPr>
          <w:rFonts w:ascii="Garamond" w:hAnsi="Garamond" w:cs="Arial"/>
          <w:color w:val="000000"/>
          <w:lang w:val="en-GB"/>
        </w:rPr>
        <w:t>, so erhebt sich also die zweite Frage: Wovon rührt diese Traumentstellung her?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Wenn man hierüber seine ersten Einfälle befragt, könnte man auf verschiedene mögliche Lösungen geraten, z. B. daß während des Schlafes ein Unvermögen bestehe, den Traumgedanken einen entsprechenden Ausdruck zu schaffen. </w:t>
      </w:r>
      <w:r w:rsidRPr="00A06A59">
        <w:rPr>
          <w:rFonts w:ascii="Garamond" w:hAnsi="Garamond" w:cs="Arial"/>
          <w:color w:val="000000"/>
        </w:rPr>
        <w:t>Allein die Analyse gewisser Träume nötigt uns, für die Traumentstellung eine andere Erklärung zuzulassen. Ich will dies an einem zweiten Traum von mir selbst zeigen, welcher wiederum vielfache Indiskretionen erfordert, aber für dies persönliche Opfer durch eine gründliche Aufhellung des Problems entschädigt.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Vorbericht</w:t>
      </w:r>
      <w:r w:rsidRPr="00A06A59">
        <w:rPr>
          <w:rFonts w:ascii="Garamond" w:hAnsi="Garamond" w:cs="Arial"/>
          <w:color w:val="000000"/>
          <w:lang w:val="en-GB"/>
        </w:rPr>
        <w:t xml:space="preserve">: Im Frühjahr 1897 erfuhr ich, daß zwei Professoren unserer Universität mich für die Ernennung zum </w:t>
      </w:r>
      <w:r w:rsidRPr="00A06A59">
        <w:rPr>
          <w:rFonts w:ascii="Garamond" w:hAnsi="Garamond" w:cs="Arial"/>
          <w:i/>
          <w:iCs/>
          <w:color w:val="000000"/>
          <w:lang w:val="en-GB"/>
        </w:rPr>
        <w:t>Prof. extraord.</w:t>
      </w:r>
      <w:r w:rsidRPr="00A06A59">
        <w:rPr>
          <w:rFonts w:ascii="Garamond" w:hAnsi="Garamond" w:cs="Arial"/>
          <w:color w:val="000000"/>
          <w:lang w:val="en-GB"/>
        </w:rPr>
        <w:t xml:space="preserve"> vorgeschlagen hatten. Diese Nachricht kam mir überraschend und erfreute mich lebhaft als Ausdruck einer durch persönliche Beziehungen nicht aufzuklärenden Anerkennung von seiten zweier hervorragender Männer. Ich sagte mir aber sofort, daß ich an dieses Ereignis keine Erwartungen knüpfen dürfe. Das Ministerium hatte in den letzten Jahren Vorschläge solcher Art unberücksichtigt gelassen, und mehrere Kollegen, die mir an Jahren voraus waren und an Verdiensten mindestens gleichkamen, warteten seitdem vergebens auf ihre Ernennung. Ich hatte keinen Grund anzunehmen, daß es mir besser ergehen würde. Ich beschloß also bei mir, mich zu trösten. Ich bin, soviel ich weiß, nicht ehrgeizig, übe meine ärztliche Tätigkeit mit zufriedenstellendem Erfolge aus, auch ohne daß mich ein Titel empfiehlt. Es handelte sich übrigens gar nicht darum, ob ich die Trauben für süß oder sauer erklärte, da sie unzweifelhaft zu hoch für mich hingen.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Eines Abends besuchte mich ein befreundeter Kollege, einer von denjenigen, deren Schicksal ich mir zur Warnung hatte dienen lassen. Seit längerer Zeit ein Kandidat für die Beförderung zum Professor, die den Arzt in unserer Gesellschaft zum Halbgott für seine Kranken erhebt, und minder resigniert als ich, pflegte er von Zeit zu Zeit seine Vorstellung in den Bureaus des hohen Ministeriums zu machen, um seine Angelegenheit zu fördern. Von einem solchen Besuche kam er zu mir. Er erzählte, daß er diesmal den hohen Herrn in die Enge getrieben und ihn geradeheraus befragt habe, ob an dem Aufschub seiner Ernennung wirklich – konfessionelle Rücksichten die Schuld trügen. Die Antwort hatte gelautet, daß allerdings – bei der gegenwärtigen Strömung – Se. Exzellenz vorläufig nicht in der Lage sei usw. »Nun weiß ich wenigstens, woran ich bin«, schloß mein Freund seine Erzählung, die mir nichts Neues brachte, mich aber in meiner Resignation bestärken mußte. Dieselben konfessionellen Rücksichten sind nämlich auch auf meinen Fall anwendbar.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Am Morgen nach diesem Besuch hatte ich folgenden Traum, der auch durch seine Form bemerkenswert war. Er bestand aus zwei Gedanken und zwei Bildern, so daß ein Gedanke und ein Bild einander ablösten. Ich setze aber nur die erste Hälfte des Traumes hieher, da die andere mit der Absicht nichts zu tun hat, welcher die Mitteilung des Traumes dienen soll.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 </w:t>
      </w:r>
      <w:r w:rsidRPr="00A06A59">
        <w:rPr>
          <w:rFonts w:ascii="Garamond" w:hAnsi="Garamond" w:cs="Arial"/>
          <w:i/>
          <w:iCs/>
          <w:color w:val="000000"/>
          <w:lang w:val="en-GB"/>
        </w:rPr>
        <w:t>Freund R. ist mein Onkel. – Ich empfinde große Zärtlichkeit für ihn.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II. </w:t>
      </w:r>
      <w:r w:rsidRPr="00A06A59">
        <w:rPr>
          <w:rFonts w:ascii="Garamond" w:hAnsi="Garamond" w:cs="Arial"/>
          <w:i/>
          <w:iCs/>
          <w:color w:val="000000"/>
          <w:lang w:val="en-GB"/>
        </w:rPr>
        <w:t>Ich sehe sein Gesicht etwas verändert vor mir. Es ist wie in die Länge gezogen, ein gelber Bart, der es umrahmt, ist besonders deutlich hervorgehoben.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Dann folgen die beiden anderen Stücke, wieder ein Gedanke und ein Bild, die ich übergehe.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Deutung dieses Traumes vollzog sich folgendermaßen: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Als mir der Traum im Laufe des Vormittags einfiel, lachte ich auf und sagte: Der Traum ist ein Unsinn. Er ließ sich aber nicht abtun und ging mir den ganzen Tag nach, bis ich mir endlich am Abend Vorwürfe machte: »Wenn einer deiner Patienten zur Traumdeutung nichts zu sagen wüßte als: Das ist ein Unsinn, so würdest du es ihm verweisen und vermuten, daß sich hinter dem Traum eine unangenehme Geschichte versteckt, welche zur Kenntnis zu nehmen er sich ersparen will. Verfahr' mit dir selbst ebenso; deine Meinung, der Traum sei ein Unsinn, bedeutet nur einen inneren Widerstand gegen die Traumdeutung. Laß dich nicht abhalten.« Ich machte mich also an die Deutung.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R. ist mein Onkel.</w:t>
      </w:r>
      <w:r w:rsidRPr="00A06A59">
        <w:rPr>
          <w:rFonts w:ascii="Garamond" w:hAnsi="Garamond" w:cs="Arial"/>
          <w:color w:val="000000"/>
          <w:lang w:val="en-GB"/>
        </w:rPr>
        <w:t xml:space="preserve">« Was kann das heißen? Ich habe doch nur einen Onkel gehabt, den Onkel Josef </w:t>
      </w:r>
      <w:hyperlink r:id="rId6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Es ist merkwürdig, wie sich hier meine Erinnerung – im Wachen – für die Zwecke der Analyse einschränkt. Ich habe fünf von meinen Onkeln gekannt, einen von ihnen geliebt und geehrt. In dem Augenblicke aber, da ich den Widerstand gegen die Traumdeutung überwunden habe, sage ich mir: Ich habe doch nur einen Onkel gehabt, den, der eben im Traum gemeint ist.</w:t>
        </w:r>
      </w:hyperlink>
      <w:r w:rsidRPr="00A06A59">
        <w:rPr>
          <w:rFonts w:ascii="Garamond" w:hAnsi="Garamond" w:cs="Arial"/>
          <w:color w:val="000000"/>
          <w:lang w:val="en-GB"/>
        </w:rPr>
        <w:t xml:space="preserve">. Mit dem war's allerdings eine traurige Geschichte. Er hatte sich einmal, es sind mehr als dreißig Jahre her, in gewinnsüchtiger Absicht zu einer Handlung verleiten lassen, welche das Gesetz schwer bestraft, und wurde dann auch von der Strafe getroffen. Mein Vater, der damals aus Kummer in wenigen Tagen grau wurde, pflegte immer zu sagen, Onkel Josef sei nie ein schlechter Mensch gewesen, wohl aber ein Schwachkopf; so drückte er sich aus. Wenn also Freund R. mein Onkel Josef ist, so will ich damit sagen: R. ist ein </w:t>
      </w:r>
      <w:r w:rsidRPr="00A06A59">
        <w:rPr>
          <w:rFonts w:ascii="Garamond" w:hAnsi="Garamond" w:cs="Arial"/>
          <w:color w:val="000000"/>
          <w:lang w:val="en-GB"/>
        </w:rPr>
        <w:lastRenderedPageBreak/>
        <w:t xml:space="preserve">Schwachkopf. Kaum glaublich und sehr unangenehm! Aber da ist ja jenes Gesicht, das ich im Traum sehe, mit den länglichen Zügen und dem gelben Bart. Mein Onkel hatte wirklich so ein Gesicht, länglich, von einem schönen blonden Bart umrahmt. Mein Freund R. war intensiv schwarz, aber wenn die Schwarzhaarigen zu ergrauen anfangen, so büßen sie für die Pracht ihrer Jugendjahre. Ihr schwarzer Bart macht Haar für Haar eine unerfreuliche Farbenwandlung durch; er wird zuerst rotbraun, dann gelbbraun, dann erst definitiv grau. In diesem Stadium befindet sich jetzt der Bart meines Freundes R.; übrigens auch schon der meinige, wie ich mit Mißvergnügen bemerke. Das Gesicht, das ich im Traum sehe, ist gleichzeitig das meines Freundes R. und das meines Onkels. Es ist wie eine Mischphotographie von </w:t>
      </w:r>
      <w:r w:rsidRPr="00A06A59">
        <w:rPr>
          <w:rFonts w:ascii="Garamond" w:hAnsi="Garamond" w:cs="Arial"/>
          <w:i/>
          <w:iCs/>
          <w:color w:val="000000"/>
          <w:lang w:val="en-GB"/>
        </w:rPr>
        <w:t>Galton</w:t>
      </w:r>
      <w:r w:rsidRPr="00A06A59">
        <w:rPr>
          <w:rFonts w:ascii="Garamond" w:hAnsi="Garamond" w:cs="Arial"/>
          <w:color w:val="000000"/>
          <w:lang w:val="en-GB"/>
        </w:rPr>
        <w:t>, der, um Familienähnlichkeiten zu eruieren, mehrere Gesichter auf die nämliche Platte photographieren ließ. Es ist also kein Zweifel möglich, ich meine wirklich, daß Freund R. ein Schwachkopf ist – wie mein Onkel Josef.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ahne noch gar nicht, zu welchem Zweck ich diese Beziehung hergestellt, gegen die ich mich unausgesetzt sträuben muß. Sie ist doch nicht sehr tiefgehend, denn der Onkel war ein Verbrecher, mein Freund R. ist unbescholten. Etwa bis auf die Bestrafung dafür, daß er mit dem Rad einen Lehrbuben niedergeworfen. Sollte ich diese Untat meinen? Das hieße die Vergleichung ins Lächerliche ziehen. Da fällt mir aber ein anderes Gespräch ein, das ich vor einigen Tagen mit meinem anderen Kollegen N., und zwar über das gleiche Thema hatte. Ich traf N. auf der Straße; er ist auch zum Professor vorgeschlagen, wußte von meiner Ehrung und gratulierte mir dazu. Ich lehnte entschieden ab. »Gerade Sie sollten sich den Scherz nicht machen, da Sie den Wert des Vorschlags an sich selbst erfahren haben.« Er darauf wahrscheinlich nicht ernsthaft: »Das kann man nicht wissen. Gegen mich liegt ja etwas Besonderes vor. Wissen Sie nicht, daß eine Person einmal eine gerichtliche Anzeige gegen mich erstattet hat? Ich brauche Ihnen nicht zu versichern, daß die Untersuchung eingestellt wurde; es war ein gemeiner Erpressungsversuch; ich hatte noch alle Mühe, die Anzeigerin selbst vor Bestrafung zu retten. Aber vielleicht macht man im Ministerium diese Angelegenheit gegen mich geltend, um mich nicht zu ernennen. Sie aber, Sie sind unbescholten.« Da habe ich ja den Verbrecher, gleichzeitig aber auch die Deutung und Tendenz meines Traumes. Mein Onkel Josef stellt mir da beide nicht zu Professoren ernannten Kollegen dar, den einen als Schwachkopf, den anderen als Verbrecher. Ich weiß jetzt auch, wozu ich diese Darstellung brauche. Wenn für den Aufschub der Ernennung meiner Freunde R. und N. »konfessionelle« Rücksichten maßgebend sind, so ist auch meine Ernennung in Frage gestellt; wenn ich aber die Zurückweisung der beiden auf andere Gründe schieben kann, die mich nicht treffen, so bleibt mir die Hoffnung ungestört. So verfährt mein Traum; er macht den einen, R., zum Schwachkopf, den anderen, N., zum Verbrecher; ich bin aber weder das eine noch das andere; unsere Gemeinsamkeit ist aufgehoben, ich darf mich auf meine Ernennung zum Professor freuen und bin der peinlichen Anwendung entgangen, die ich aus R.s Nachricht, was ihm der hohe Beamte bekannt, für meine eigene Person hätte machen müssen.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muß mich mit der Deutung dieses Traumes noch weiter beschäftigen. Er ist für mein Gefühl noch nicht befriedigend erledigt, ich bin noch immer nicht über die Leichtigkeit beruhigt, mit der ich zwei geachtete Kollegen degradiere, um mir den Weg zur Professur frei zu halten. Meine Unzufriedenheit mit meinem Vorgehen hat sich allerdings bereits ermäßigt, seitdem ich den Wert der Aussagen im Traum zu würdigen weiß. Ich würde gegen jedermann bestreiten, daß ich R. wirklich für einen Schwachkopf halte und daß ich N.s Darstellung jener Erpressungsaffäre nicht glaube. Ich glaube ja auch nicht, daß Irma durch eine Infektion Ottos mit einem Propylenpräparat gefährlich krank geworden ist; es ist, hier wie dort, nur mein </w:t>
      </w:r>
      <w:r w:rsidRPr="00A06A59">
        <w:rPr>
          <w:rFonts w:ascii="Garamond" w:hAnsi="Garamond" w:cs="Arial"/>
          <w:i/>
          <w:iCs/>
          <w:color w:val="000000"/>
          <w:lang w:val="en-GB"/>
        </w:rPr>
        <w:t>Wunsch, daß es sich so verhalten möge</w:t>
      </w:r>
      <w:r w:rsidRPr="00A06A59">
        <w:rPr>
          <w:rFonts w:ascii="Garamond" w:hAnsi="Garamond" w:cs="Arial"/>
          <w:color w:val="000000"/>
          <w:lang w:val="en-GB"/>
        </w:rPr>
        <w:t>, den mein Traum ausdrückt. Die Behauptung, in welcher sich mein Wunsch realisiert, klingt im zweiten Traum minder absurd als im ersten; sie ist hier mit geschickter Benützung tatsächlicher Anhaltspunkte geformt, etwa wie eine gutgemachte Verleumdung, an der »etwas daran ist«, denn Freund R. hatte seinerzeit das Votum eines Fachprofessors gegen sich, und Freund N. hat mir das Material für die Anschwärzung arglos selbst geliefert. Dennoch, ich wiederhole es, scheint mir der Traum weiterer Aufklärung bedürftig.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entsinne mich jetzt, daß der Traum noch ein Stück enthielt, auf welches die Deutung bisher keine Rücksicht genommen hat. Nachdem mir eingefallen, R. ist mein Onkel, empfinde ich im Traum warme Zärtlichkeit für ihn. Wohin gehört diese Empfindung? Für meinen Onkel Josef habe ich zärtliche Gefühle natürlich niemals gehabt. Freund R. ist mir seit Jahren lieb und teuer; aber käme ich zu ihm und drückte ihm meine Zuneigung in Worten aus, die annähernd dem Grad meiner Zärtlichkeit im Traume entsprechen, so wäre er ohne Zweifel erstaunt. Meine Zärtlichkeit gegen ihn erscheint mir unwahr und übertrieben, ähnlich wie mein Urteil über seine geistigen Qualitäten, das ich durch die Verschmelzung seiner Persönlichkeit mit der des Onkels ausdrücke; aber in entgegengesetztem Sinne übertrieben. Nun dämmert mir aber ein neuer Sachverhalt. Die Zärtlichkeit des Traumes gehört nicht zum latenten Inhalt, zu den Gedanken hinter dem Traume; sie steht im Gegensatz zu diesem Inhalt; sie ist geeignet, mir die Kenntnis der Traumdeutung zu verdecken. Wahrscheinlich ist gerade dies ihre Bestimmung. Ich erinnere mich, mit welchem Widerstand ich an die Traumdeutung ging, wie lange ich sie aufschieben wollte und den Traum für baren Unsinn erklärte. Von meinen psychoanalytischen Behandlungen her weiß ich, wie ein solches Verwerfungsurteil </w:t>
      </w:r>
      <w:r w:rsidRPr="00A06A59">
        <w:rPr>
          <w:rFonts w:ascii="Garamond" w:hAnsi="Garamond" w:cs="Arial"/>
          <w:color w:val="000000"/>
          <w:lang w:val="en-GB"/>
        </w:rPr>
        <w:lastRenderedPageBreak/>
        <w:t xml:space="preserve">zu deuten ist. Es hat keinen Erkenntniswert, sondern bloß den einer Affektäußerung. Wenn meine kleine Tochter einen Apfel nicht mag, den man ihr angeboten hat, so behauptet sie, der Apfel schmeckt bitter, ohne ihn auch nur gekostet zu haben. Wenn meine Patienten sich so benehmen wie die Kleine, so weiß ich, daß es sich bei ihnen um eine Vorstellung handelt, welche sie </w:t>
      </w:r>
      <w:r w:rsidRPr="00A06A59">
        <w:rPr>
          <w:rFonts w:ascii="Garamond" w:hAnsi="Garamond" w:cs="Arial"/>
          <w:i/>
          <w:iCs/>
          <w:color w:val="000000"/>
          <w:lang w:val="en-GB"/>
        </w:rPr>
        <w:t>verdrängen</w:t>
      </w:r>
      <w:r w:rsidRPr="00A06A59">
        <w:rPr>
          <w:rFonts w:ascii="Garamond" w:hAnsi="Garamond" w:cs="Arial"/>
          <w:color w:val="000000"/>
          <w:lang w:val="en-GB"/>
        </w:rPr>
        <w:t xml:space="preserve"> wollen. Dasselbe gilt für meinen Traum. Ich mag ihn nicht deuten, weil die Deutung etwas enthält, wogegen ich mich sträube. Nach vollzogener Traumdeutung erfahre ich, wogegen ich mich gesträubt hatte; es war die Behauptung, daß R. ein Schwachkopf ist. Die Zärtlichkeit, die ich gegen R. empfinde, kann ich nicht auf die latenten Traumgedanken, wohl aber auf dies mein Sträuben zurückführen. Wenn mein Traum im Vergleich zu seinem latenten Inhalt in diesem Punkte entstellt, und zwar ins Gegensätzliche entstellt ist, so dient die im Traum manifeste Zärtlichkeit dieser Entstellung oder, mit anderen Worten, die </w:t>
      </w:r>
      <w:r w:rsidRPr="00A06A59">
        <w:rPr>
          <w:rFonts w:ascii="Garamond" w:hAnsi="Garamond" w:cs="Arial"/>
          <w:i/>
          <w:iCs/>
          <w:color w:val="000000"/>
          <w:lang w:val="en-GB"/>
        </w:rPr>
        <w:t>Entstellung</w:t>
      </w:r>
      <w:r w:rsidRPr="00A06A59">
        <w:rPr>
          <w:rFonts w:ascii="Garamond" w:hAnsi="Garamond" w:cs="Arial"/>
          <w:color w:val="000000"/>
          <w:lang w:val="en-GB"/>
        </w:rPr>
        <w:t xml:space="preserve"> erweist sich hier als absichtlich, als ein Mittel der </w:t>
      </w:r>
      <w:r w:rsidRPr="00A06A59">
        <w:rPr>
          <w:rFonts w:ascii="Garamond" w:hAnsi="Garamond" w:cs="Arial"/>
          <w:i/>
          <w:iCs/>
          <w:color w:val="000000"/>
          <w:lang w:val="en-GB"/>
        </w:rPr>
        <w:t>Verstellung</w:t>
      </w:r>
      <w:r w:rsidRPr="00A06A59">
        <w:rPr>
          <w:rFonts w:ascii="Garamond" w:hAnsi="Garamond" w:cs="Arial"/>
          <w:color w:val="000000"/>
          <w:lang w:val="en-GB"/>
        </w:rPr>
        <w:t>. Meine Traumgedanken enthalten eine Schmähung für R.; damit ich diese nicht merke, gelangt in den Traum das Gegenteil, ein zärtliches Empfinden für ihn.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Es könnte dies eine allgemeingültige Erkenntnis sein. Wie die Beispiele in Abschnitt III gezeigt haben, gibt es ja Träume, welche unverhüllte Wunscherfüllungen sind. Wo die Wunscherfüllung unkenntlich, verkleidet ist, da müßte eine Tendenz zur Abwehr gegen diesen Wunsch vorhanden sein, und infolge dieser Abwehr könnte der Wunsch sich nicht anders als entstellt zum Ausdruck bringen. Ich will zu diesem Vorkommnis aus dem psychischen Binnenleben das Seitenstück aus dem sozialen Leben suchen. </w:t>
      </w:r>
      <w:r w:rsidRPr="00A06A59">
        <w:rPr>
          <w:rFonts w:ascii="Garamond" w:hAnsi="Garamond" w:cs="Arial"/>
          <w:color w:val="000000"/>
          <w:lang w:val="en-GB"/>
        </w:rPr>
        <w:t xml:space="preserve">Wo findet man im sozialen Leben eine ähnliche Entstellung eines psychischen Akts? Nur dort, wo es sich um zwei Personen handelt, von denen die eine eine gewisse Macht besitzt, die zweite wegen dieser Macht eine Rücksicht zu nehmen hat. Diese zweite Person entstellt dann ihre psychischen Akte, oder, wie wir auch sagen können, sie </w:t>
      </w:r>
      <w:r w:rsidRPr="00A06A59">
        <w:rPr>
          <w:rFonts w:ascii="Garamond" w:hAnsi="Garamond" w:cs="Arial"/>
          <w:i/>
          <w:iCs/>
          <w:color w:val="000000"/>
          <w:lang w:val="en-GB"/>
        </w:rPr>
        <w:t>verstellt</w:t>
      </w:r>
      <w:r w:rsidRPr="00A06A59">
        <w:rPr>
          <w:rFonts w:ascii="Garamond" w:hAnsi="Garamond" w:cs="Arial"/>
          <w:color w:val="000000"/>
          <w:lang w:val="en-GB"/>
        </w:rPr>
        <w:t xml:space="preserve"> sich. Die Höflichkeit, die ich alle Tage übe, ist zum guten Teil eine solche Verstellung; wenn ich meine Träume für den Leser deute, bin ich zu solchen Entstellungen genötigt. Über den Zwang zu solcher Entstellung klagt auch der Dichter: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»Das Beste, was du wissen kannst, darfst du den Buben doch nicht sagen.«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ähnlicher Lage befindet sich der politische Schriftsteller, der den Machthabern unangenehme Wahrheiten zu sagen hat. Wenn er sie unverhohlen sagt, wird der Machthaber seine Äußerung unterdrücken, nachträglich, wenn es sich um mündliche Äußerung handelt, präventiv, wenn sie auf dem Wege des Drucks kundgegeben werden soll. Der Schriftsteller hat die Zensur zu fürchten, er ermäßigt und entstellt darum den Ausdruck seiner Meinung. Je nach der Stärke und Empfindlichkeit dieser Zensur sieht er sich genötigt, entweder bloß gewisse Formen des Angriffs einzuhalten oder in Anspielungen anstatt in direkten Bezeichnungen zu reden, oder er muß seine anstößige Mitteilung hinter einer harmlos erscheinenden Verkleidung verbergen, er darf z. B. von Vorfällen zwischen zwei Mandarinen im Reich der Mitte erzählen, während er die Beamten des Vaterlandes im Auge hat. Je strenger die Zensur waltet, desto weitgehender wird die Verkleidung, desto witziger oft die Mittel, welche den Leser doch auf die Spur der eigentlichen Bedeutung leiten. </w:t>
      </w:r>
      <w:hyperlink r:id="rId6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Frau Dr. H. v. Hug-Hellmuth hat im Jahre 1915 (Internat. Zeitschrift f. ärztl. Psychoanalyse III) einen Traum mitgeteilt, der vielleicht wie kein anderer geeignet ist, meine Namengebung zu rechtfertigen. Die Traumentstellung arbeitet in diesem Beispiel mit demselben Mittel wie die Briefzensur, um die Stellen auszulöschen, die ihr anstößig erscheinen. Die Briefzensur macht solche Stellen durch Überstreichen unlesbar, die Traumzensur ersetzt sie durch ein unverständliches Gemurmel.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Zum Verständnis des Traumes sei mitgeteilt, daß die Träumerin, eine hochangesehene, feingebildete Dame, fünfzig Jahre zählt, Witwe eines vor ungefähr zwölf Jahren verstorbenen höheren Offiziers und Mutter erwachsener Söhne ist, deren einer zur Zeit des Traumes im Felde steht.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Und nun der Traum von den » </w:t>
        </w:r>
        <w:r w:rsidRPr="00A06A59">
          <w:rPr>
            <w:rStyle w:val="innerfusslink3"/>
            <w:rFonts w:ascii="Garamond" w:hAnsi="Garamond" w:cs="Arial"/>
            <w:b/>
            <w:bCs/>
            <w:i/>
            <w:iCs/>
            <w:lang w:val="en-GB"/>
          </w:rPr>
          <w:t>Liebesdiensten</w:t>
        </w:r>
        <w:r w:rsidRPr="00A06A59">
          <w:rPr>
            <w:rStyle w:val="innerfusslink3"/>
            <w:rFonts w:ascii="Garamond" w:hAnsi="Garamond" w:cs="Arial"/>
            <w:b/>
            <w:bCs/>
            <w:lang w:val="en-GB"/>
          </w:rPr>
          <w:t xml:space="preserve">«. »Sie geht ins Garnisonsspital Nr. 1 und sagt dem Posten beim Tor, sie müsse den Oberarzt ... (sie nennt einen ihr unbekannten Namen) sprechen, da sie im Spital Dienst tun wolle. Dabei betont sie das Wort ›Dienst‹ so, daß der Unteroffizier sofort merkt, es handle sich um ›Liebesdienste‹. </w:t>
        </w:r>
        <w:r w:rsidRPr="00A06A59">
          <w:rPr>
            <w:rStyle w:val="innerfusslink3"/>
            <w:rFonts w:ascii="Garamond" w:hAnsi="Garamond" w:cs="Arial"/>
            <w:b/>
            <w:bCs/>
          </w:rPr>
          <w:t xml:space="preserve">Da sie eine alte Frau ist, läßt er sie nach einigem Zögern passieren. </w:t>
        </w:r>
        <w:r w:rsidRPr="00A06A59">
          <w:rPr>
            <w:rStyle w:val="innerfusslink3"/>
            <w:rFonts w:ascii="Garamond" w:hAnsi="Garamond" w:cs="Arial"/>
            <w:b/>
            <w:bCs/>
            <w:lang w:val="en-GB"/>
          </w:rPr>
          <w:t xml:space="preserve">Statt aber zum Oberarzt zu kommen, gelangt sie in ein großes, düsteres Zimmer, in dem viele Offiziere und Militärärzte an einem langen Tisch stehen und sitzen. Sie wendet sich mit ihrem Antrag an einen Stabsarzt, der sie nach wenigen Worten schon versteht. Der Wortlaut ihrer Rede im Traum ist: ›Ich und zahlreiche andere Frauen und junge Mädchen Wiens sind bereit, den Soldaten, Mannschaft und Offiziere ohne Unterschied, ...‹ Hier folgt im Traum ein Gemurmel. Daß dasselbe aber von allen Anwesenden richtig verstanden wird, zeigen ihr die teils verlegenen, teils hämischen Mienen der Offiziere. Die Dame fährt fort: ›Ich weiß, daß unser Entschluß befremdend klingt, aber es ist uns bitterernst. Der Soldat im Feld wird auch nicht gefragt, ob er sterben will oder nicht.‹ Ein minutenlanges peinliches Schweigen folgt. Der Stabsarzt legt ihr den Arm um die Mitte und sagt: ›Gnädige Frau, nehmen Sie den Fall, es würde tatsächlich dazu kommen, ...‹ (Gemurmel). Sie entzieht sich seinem Arm mit dem Gedanken: Es ist doch einer wie der andere, und </w:t>
        </w:r>
        <w:r w:rsidRPr="00A06A59">
          <w:rPr>
            <w:rStyle w:val="innerfusslink3"/>
            <w:rFonts w:ascii="Garamond" w:hAnsi="Garamond" w:cs="Arial"/>
            <w:b/>
            <w:bCs/>
            <w:lang w:val="en-GB"/>
          </w:rPr>
          <w:lastRenderedPageBreak/>
          <w:t xml:space="preserve">erwidert: ›Mein Gott, ich bin eine alte Frau und werde vielleicht gar nicht in die Lage kommen. Übrigens, eine Bedingung müßte eingehalten werden: die Berücksichtigung des Alters; daß nicht eine ältere Frau einem ganz jungen Burschen ... (Gemurmel); das wäre entsetzliche – Der Stabsarzt: ›Ich verstehe vollkommen.‹ Einige Offiziere, darunter einer, der sich in jungen Jahren um sie beworben hatte, lachen hell auf, und die Dame wünscht zu dem ihr bekannten Oberarzt geführt zu werden, damit alles ins reine gebracht werde. Dabei fällt ihr zur größten Bestürzung ein, daß sie seinen Namen nicht kennt. Der Stabsarzt weist sie trotzdem sehr höflich und respektvoll an, über eine sehr schmale eiserne Wendeltreppe, die direkt von dem Zimmer aus in die oberen Stockwerke führt, in den zweiten Stock zu gehen. Im Hinaufsteigen hört sie einen Offizier sagen: ›Das ist ein kolossaler Entschluß, gleichgültig, ob eine jung oder alt ist; alle Achtung!‹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Mit dem Gefühle, einfach ihre Pflicht zu tun, geht sie eine endlose Treppe hinauf.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Dieser Traum wiederholt sich innerhalb weniger Wochen noch zweimal mit – wie die Dame bemerkt – ganz unbedeutenden und recht sinnlosen Abänderungen.«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bis ins einzelne durchzuführende Übereinstimmung zwischen den Phänomenen der Zensur und denen der Traumentstellung gibt uns die Berechtigung, ähnliche Bedingungen für beide vorauszusetzen. Wir dürfen also als die Urheber der Traumgestaltung zwei psychische Mächte (Strömungen, Systeme) im Einzelmenschen annehmen, von denen die eine den durch den Traum zum Ausdruck gebrachten Wunsch bildet, während die andere eine Zensur an diesem Traumwunsch übt und durch diese Zensur eine Entstellung seiner Äußerung erzwingt. Es fragt sich nur, worin die Machtbefugnis dieser zweiten Instanz besteht, kraft deren sie ihre Zensur ausüben darf. Wenn wir uns erinnern, daß die latenten Traumgedanken vor der Analyse nicht bewußt sind, der von ihnen ausgehende manifeste Trauminhalt aber als bewußt erinnert wird, so liegt die Annahme nicht ferne, das Vorrecht der zweiten Instanz sei eben die Zulassung zum Bewußtsein. Aus dem ersten System könne nichts zum Bewußtsein gelangen, was nicht vorher die zweite Instanz passiert habe, und die zweite Instanz lasse nichts passieren, ohne ihre Rechte auszuüben und die ihr genehmen Abänderungen am Bewußtseinswerber durchzusetzen. Wir verraten dabei eine ganz bestimmte Auffassung vom »Wesen« des Bewußtseins; das Bewußtwerden ist für uns ein besonderer psychischer Akt, verschieden und unabhängig von dem Vorgang des Gesetzt- oder Vorgestelltwerdens, und das Bewußtsein erscheint uns als ein Sinnesorgan, welches einen anderwärts gegebenen Inhalt wahrnimmt. </w:t>
      </w:r>
      <w:r w:rsidRPr="00A06A59">
        <w:rPr>
          <w:rFonts w:ascii="Garamond" w:hAnsi="Garamond" w:cs="Arial"/>
          <w:color w:val="000000"/>
        </w:rPr>
        <w:t xml:space="preserve">Es läßt sich zeigen, daß die Psychopathologie dieser Grundannahmen schlechterdings nicht entraten kann. </w:t>
      </w:r>
      <w:r w:rsidRPr="00A06A59">
        <w:rPr>
          <w:rFonts w:ascii="Garamond" w:hAnsi="Garamond" w:cs="Arial"/>
          <w:color w:val="000000"/>
          <w:lang w:val="en-GB"/>
        </w:rPr>
        <w:t>Eine eingehendere Würdigung derselben dürfen wir uns für eine spätere Stelle vorbehalten.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ich die Vorstellung der beiden psychischen Instanzen und ihrer Beziehungen zum Bewußtsein festhalte, ergibt sich für die auffällige Zärtlichkeit, die ich im Traum für meinen Freund R. empfinde, der in der Traumdeutung so herabgesetzt wird, eine völlig kongruente Analogie aus dem politischen Leben der Menschen. Ich versetze mich in ein Staatsleben, in welchem ein auf seine Macht eifersüchtiger Herrscher und eine rege öffentliche Meinung miteinander ringen. Das Volk empöre sich gegen einen ihm mißliebigen Beamten und verlange dessen Entlassung; um nicht zu zeigen, daß er dem Volkswillen Rechnung tragen muß, wird der Selbstherrscher dem Beamten gerade dann eine hohe Auszeichnung verleihen, zu der sonst kein Anlaß vorläge. So zeichnet meine zweite, den Zugang zum Bewußtsein beherrschende Instanz Freund R. durch einen Erguß von übergroßer Zärtlichkeit aus, weil die Wunschbestrebungen des ersten Systems ihn aus einem besonderen Interesse, dem sie gerade nachhängen, als einen Schwachkopf beschimpfen möchten </w:t>
      </w:r>
      <w:hyperlink r:id="rId6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Solche heuchlerische Träume sind weder bei mir noch bei anderen seltene Vorkommnisse. Während ich mit der Bearbeitung eines gewissen wissenschaftlichen Problems beschäftigt bin, sucht mich mehrere Nächte kurz nacheinander ein leicht verwirrender Traum heim, der die Versöhnung mit einem längst beiseite geschobenen Freunde zum Inhalt hat. Beim vierten oder fünften Male gelingt es mir endlich, den Sinn dieser Träume zu erfassen. Er liegt in der Aufmunterung, doch den letzten Rest von Rücksicht für die betreffende Person aufzugeben, sich von ihr völlig frei zu machen, und hatte sich in so heuchlerischer Weise ins Gegenteil verkleidet. Von einer Person habe ich einen »heuchlerischen Ödipustraum« mitgeteilt, in dem sich die feindseligen Regungen und Todeswünsche der Traumgedanken durch manifeste Zärtlichkeit ersetzen. (»Typisches Beispiel eines verkappten Ödipustraumes.«) Eine andere Art von heuchlerischen Träumen wird an anderer Stelle (siehe Abschnitt VI »Die Traumarbeit«) erwähnt werden.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Vielleicht werden wir hier von der Ahnung erfaßt, daß die Traumdeutung imstande sei, uns Aufschlüsse über den Bau unseres seelischen Apparats zu geben, welche wir von der Philosophie bisher vergebens erwartet haben. Wir folgen aber nicht dieser Spur, sondern kehren, nachdem wir die Traumentstellung aufgeklärt haben, zu unserem Ausgangsproblem zurück. Es wurde gefragt, wie denn die Träume mit peinlichem Inhalt als Wunscherfüllungen </w:t>
      </w:r>
      <w:r w:rsidRPr="00A06A59">
        <w:rPr>
          <w:rFonts w:ascii="Garamond" w:hAnsi="Garamond" w:cs="Arial"/>
          <w:color w:val="000000"/>
          <w:lang w:val="en-GB"/>
        </w:rPr>
        <w:lastRenderedPageBreak/>
        <w:t xml:space="preserve">aufgelöst werden können. Wir sehen nun, dies ist möglich, wenn eine Traumentstellung stattgefunden hat, wenn der peinliche Inhalt nur zur Verkleidung eines erwünschten dient. Mit Rücksicht auf unsere Annahmen über die zwei psychischen Instanzen können wir jetzt auch sagen, die peinlichen Träume enthalten tatsächlich etwas, was der zweiten Instanz peinlich ist, was aber gleichzeitig einen Wunsch der ersten Instanz erfüllt. Sie sind insofern Wunschträume, als ja jeder Traum von der ersten Instanz ausgeht, die zweite sich nur abwehrend, nicht schöpferisch gegen den Traum verhält </w:t>
      </w:r>
      <w:hyperlink r:id="rId6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Späterhin werden wir auch den Fall kennenlernen, daß im Gegenteile der Traum einen Wunsch dieser zweiten Instanz zum Ausdruck bringt.</w:t>
        </w:r>
      </w:hyperlink>
      <w:r w:rsidRPr="00A06A59">
        <w:rPr>
          <w:rFonts w:ascii="Garamond" w:hAnsi="Garamond" w:cs="Arial"/>
          <w:color w:val="000000"/>
          <w:lang w:val="en-GB"/>
        </w:rPr>
        <w:t>. Beschränken wir uns auf eine Würdigung dessen, was die zweite Instanz zum Traum beiträgt, so können wir den Traum niemals verstehen. Es bleiben dann alle Rätsel bestehen, welche von den Autoren am Traum bemerkt worden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Daß der Traum wirklich einen geheimen Sinn hat, der eine Wunscherfüllung ergibt, muß wiederum für jeden Fall durch die Analyse erwiesen werden. Ich greife darum einige Träume peinlichen Inhalts heraus und versuche deren Analyse. Es sind zum Teil Träume von Hysterikern, die einen langen Vorbericht und stellenweise ein Eindringen in die psychischen Vorgänge bei der Hysterie erfordern. Ich kann dieser Erschwerung der Darstellung aber nicht aus dem Wege gehen.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ich einen Psychoneurotiker in analytische Behandlung nehme, werden seine Träume regelmäßig, wie bereits erwähnt, zum Thema unserer Besprechungen. Ich muß ihm dabei alle die psychologischen Aufklärungen geben, mit deren Hilfe ich selbst zum Verständnis seiner Symptome gelangt bin, und erfahre dabei eine unerbittliche Kritik, wie ich sie von den Fachgenossen wohl nicht schärfer zu erwarten habe. Ganz regelmäßig erhebt sich der Widerspruch meiner Patienten gegen den Satz, daß die Träume sämtlich Wunscherfüllungen seien. Hier einige Beispiele von dem Material an Träumen, welche mir als Gegenbeweise vorgehalten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»Sie sagen immer, der Traum ist ein erfüllter Wunsch«, beginnt eine witzige Patientin. »Nun will ich Ihnen einen Traum erzählen, dessen Inhalt ganz im Gegenteil dahin geht, daß mir ein Wunsch </w:t>
      </w:r>
      <w:r w:rsidRPr="00A06A59">
        <w:rPr>
          <w:rFonts w:ascii="Garamond" w:hAnsi="Garamond" w:cs="Arial"/>
          <w:i/>
          <w:iCs/>
          <w:color w:val="000000"/>
          <w:lang w:val="en-GB"/>
        </w:rPr>
        <w:t>nicht</w:t>
      </w:r>
      <w:r w:rsidRPr="00A06A59">
        <w:rPr>
          <w:rFonts w:ascii="Garamond" w:hAnsi="Garamond" w:cs="Arial"/>
          <w:color w:val="000000"/>
          <w:lang w:val="en-GB"/>
        </w:rPr>
        <w:t xml:space="preserve"> erfüllt wird. </w:t>
      </w:r>
      <w:r w:rsidRPr="00A06A59">
        <w:rPr>
          <w:rFonts w:ascii="Garamond" w:hAnsi="Garamond" w:cs="Arial"/>
          <w:color w:val="000000"/>
        </w:rPr>
        <w:t>Wie vereinen Sie das mit Ihrer Theorie? Der Traum lautet wie folgt: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Ich will ein Souper geben, habe aber nichts vorrätig als etwas geräucherten Lachs. Ich denke daran, einkaufen zu gehen, erinnere mich aber, daß es Sonntag nachmittag ist, wo alle Läden gesperrt sind. Ich will nun einigen Lieferanten telephonieren, aber das Telephon ist gestört. So muß ich auf den Wunsch, ein Souper zu geben, verzichten.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antwortete natürlich, daß über den Sinn dieses Traumes nur die Analyse entscheiden kann, wenngleich ich zugebe, daß er für den ersten Anblick vernünftig und zusammenhängend erscheint und dem Gegenteil einer Wunscherfüllung ähnlich sieht. »Aus welchem Material ist aber dieser Traum hervorgegangen? Sie wissen, daß die Anregung zu einem Traum jedesmal in den Erlebnissen des letzten Tages liegt.«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Analyse</w:t>
      </w:r>
      <w:r w:rsidRPr="00A06A59">
        <w:rPr>
          <w:rFonts w:ascii="Garamond" w:hAnsi="Garamond" w:cs="Arial"/>
          <w:color w:val="000000"/>
          <w:lang w:val="en-GB"/>
        </w:rPr>
        <w:t xml:space="preserve">: Der Mann der Patientin, ein biederer und tüchtiger Großfleischhauer, hat ihr tags vorher erklärt, er werde zu dick und wolle darum eine Entfettungskur beginnen. Er werde früh aufstehen, Bewegung machen, strenge Diät halten und vor allem keine Einladungen zu Soupers mehr annehmen. – Von dem Manne erzählt sie lachend weiter, er habe am Stammtisch die Bekanntschaft eines Malers gemacht, der ihn durchaus abkonterfeien wolle, weil er einen so ausdrucksvollen Kopf noch nicht gefunden habe. Ihr Mann habe aber in seiner derben Manier erwidert, er bedanke sich schön und er sei ganz überzeugt, ein Stück vom Hintern eines schönen jungen Mädchens sei dem Maler lieber als sein ganzes Gesicht. </w:t>
      </w:r>
      <w:hyperlink r:id="rId6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Dem Maler sitzen. </w:t>
        </w:r>
        <w:r w:rsidRPr="00A06A59">
          <w:rPr>
            <w:rFonts w:ascii="Garamond" w:hAnsi="Garamond" w:cs="Arial"/>
            <w:b/>
            <w:bCs/>
            <w:color w:val="000000"/>
            <w:lang w:val="en-GB"/>
          </w:rPr>
          <w:br/>
        </w:r>
        <w:r w:rsidRPr="00A06A59">
          <w:rPr>
            <w:rStyle w:val="innerfusslink3"/>
            <w:rFonts w:ascii="Garamond" w:hAnsi="Garamond" w:cs="Arial"/>
            <w:b/>
            <w:bCs/>
            <w:lang w:val="en-GB"/>
          </w:rPr>
          <w:t xml:space="preserve">Goethe: </w:t>
        </w:r>
        <w:r w:rsidRPr="00A06A59">
          <w:rPr>
            <w:rFonts w:ascii="Garamond" w:hAnsi="Garamond" w:cs="Arial"/>
            <w:b/>
            <w:bCs/>
            <w:color w:val="000000"/>
            <w:lang w:val="en-GB"/>
          </w:rPr>
          <w:br/>
        </w:r>
        <w:r w:rsidRPr="00A06A59">
          <w:rPr>
            <w:rStyle w:val="innerfusslink3"/>
            <w:rFonts w:ascii="Garamond" w:hAnsi="Garamond" w:cs="Arial"/>
            <w:b/>
            <w:bCs/>
            <w:lang w:val="en-GB"/>
          </w:rPr>
          <w:t xml:space="preserve">       »Und wenn er keinen Hintern hat, </w:t>
        </w:r>
        <w:r w:rsidRPr="00A06A59">
          <w:rPr>
            <w:rFonts w:ascii="Garamond" w:hAnsi="Garamond" w:cs="Arial"/>
            <w:b/>
            <w:bCs/>
            <w:color w:val="000000"/>
            <w:lang w:val="en-GB"/>
          </w:rPr>
          <w:br/>
        </w:r>
        <w:r w:rsidRPr="00A06A59">
          <w:rPr>
            <w:rStyle w:val="innerfusslink3"/>
            <w:rFonts w:ascii="Garamond" w:hAnsi="Garamond" w:cs="Arial"/>
            <w:b/>
            <w:bCs/>
            <w:lang w:val="en-GB"/>
          </w:rPr>
          <w:t>       Wie kann der Edle sitzen?«</w:t>
        </w:r>
      </w:hyperlink>
      <w:r w:rsidRPr="00A06A59">
        <w:rPr>
          <w:rFonts w:ascii="Garamond" w:hAnsi="Garamond" w:cs="Arial"/>
          <w:color w:val="000000"/>
          <w:lang w:val="en-GB"/>
        </w:rPr>
        <w:t xml:space="preserve"> Sie sei jetzt sehr verliebt in ihren Mann und necke sich mit ihm herum. Sie hat ihn auch gebeten, ihr keinen Kaviar zu schenken. – Was soll das heißen?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Sie wünscht es sich nämlich schon lange, jeden Vormittag eine Kaviarsemmel essen zu können, gönnt sich aber die Ausgabe nicht. Natürlich bekäme sie den Kaviar sofort von ihrem Mann, wenn sie ihn darum bitten würde. Aber sie hat ihn im Gegenteil gebeten, ihr keinen Kaviar zu schenken, damit sie ihn länger damit necken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Begründung erscheint mir fadenscheinig. Hinter solchen unbefriedigenden Auskünften pflegen sich uneingestandene Motive zu verbergen. Man denke an die Hypnotisierten </w:t>
      </w:r>
      <w:r w:rsidRPr="00A06A59">
        <w:rPr>
          <w:rFonts w:ascii="Garamond" w:hAnsi="Garamond" w:cs="Arial"/>
          <w:i/>
          <w:iCs/>
          <w:color w:val="000000"/>
          <w:lang w:val="en-GB"/>
        </w:rPr>
        <w:t>Bernheims</w:t>
      </w:r>
      <w:r w:rsidRPr="00A06A59">
        <w:rPr>
          <w:rFonts w:ascii="Garamond" w:hAnsi="Garamond" w:cs="Arial"/>
          <w:color w:val="000000"/>
          <w:lang w:val="en-GB"/>
        </w:rPr>
        <w:t>, die einen posthypnotischen Auftrag ausführen, und, nach ihren Motiven befragt, nicht etwa antworten: Ich weiß nicht, warum ich das getan habe, sondern eine offenbar unzureichende Begründung erfinden müssen. So ähnlich wird es wohl mit dem Kaviar meiner Patientin sein. Ich merke, sie ist genötigt, sich im Leben einen unerfüllten Wunsch zu schaffen. Ihr Traum zeigt ihr auch die Wunschverweigerung als eingetroffen. Wozu braucht sie aber einen unerfüllten Wunsch?)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US"/>
        </w:rPr>
      </w:pPr>
      <w:r w:rsidRPr="00A06A59">
        <w:rPr>
          <w:rFonts w:ascii="Garamond" w:hAnsi="Garamond" w:cs="Arial"/>
          <w:color w:val="000000"/>
        </w:rPr>
        <w:t xml:space="preserve">Die bisherigen Einfälle haben zur Deutung des Traumes nicht ausgereicht. Ich dringe nach Weiterem. Nach einer kurzen Pause, wie sie eben der Überwindung eines Widerstandes entspricht, berichtet sie ferner, daß sie gestern einen </w:t>
      </w:r>
      <w:r w:rsidRPr="00A06A59">
        <w:rPr>
          <w:rFonts w:ascii="Garamond" w:hAnsi="Garamond" w:cs="Arial"/>
          <w:color w:val="000000"/>
        </w:rPr>
        <w:lastRenderedPageBreak/>
        <w:t xml:space="preserve">Besuch bei einer Freundin gemacht, auf die sie eigentlich eifersüchtig ist, weil ihr Mann diese Frau immer so sehr lobt. </w:t>
      </w:r>
      <w:r w:rsidRPr="00A06A59">
        <w:rPr>
          <w:rFonts w:ascii="Garamond" w:hAnsi="Garamond" w:cs="Arial"/>
          <w:color w:val="000000"/>
          <w:lang w:val="en-GB"/>
        </w:rPr>
        <w:t xml:space="preserve">Zum Glück ist diese Freundin sehr dürr und mager, und ihr Mann ist ein Liebhaber voller Körperformen. Wovon sprach nun diese magere Freundin? Natürlich von ihrem Wunsch, etwas stärker zu werden. </w:t>
      </w:r>
      <w:r w:rsidRPr="00A06A59">
        <w:rPr>
          <w:rFonts w:ascii="Garamond" w:hAnsi="Garamond" w:cs="Arial"/>
          <w:color w:val="000000"/>
        </w:rPr>
        <w:t xml:space="preserve">Sie fragte sie auch: »Wann laden Sie uns wieder einmal ein? </w:t>
      </w:r>
      <w:r w:rsidRPr="00A06A59">
        <w:rPr>
          <w:rFonts w:ascii="Garamond" w:hAnsi="Garamond" w:cs="Arial"/>
          <w:color w:val="000000"/>
          <w:lang w:val="en-US"/>
        </w:rPr>
        <w:t>Man ißt immer so gut bei Ihnen.«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US"/>
        </w:rPr>
        <w:t xml:space="preserve">Nun ist der Sinn des Traumes klar. Ich kann der Patientin sagen: »Es ist geradeso, als ob Sie sich bei der Aufforderung gedacht hätten: Dich werde ich natürlich einladen, damit du dich bei mir anessen, dick werden und meinem Mann noch besser gefallen kannst. Lieber geb' ich kein Souper mehr. Der Traum sagt Ihnen dann, daß Sie kein Souper geben können, erfüllt also Ihren Wunsch, zur Abrundung der Körperformen Ihrer Freundin nichts beizutragen. </w:t>
      </w:r>
      <w:r w:rsidRPr="00A06A59">
        <w:rPr>
          <w:rFonts w:ascii="Garamond" w:hAnsi="Garamond" w:cs="Arial"/>
          <w:color w:val="000000"/>
          <w:lang w:val="en-GB"/>
        </w:rPr>
        <w:t>Daß man von den Dingen, die man in Gesellschaften vorgesetzt bekommt, dick wird, lehrt Sie ja der Vorsatz Ihres Mannes, im Interesse seiner Entfettung Soupereinladungen nicht mehr anzunehmen.« Es fehlt jetzt nur noch irgendein Zusammentreffen, welches die Lösung bestätigt. Es ist auch der geräucherte Lachs im Trauminhalt noch nicht abgeleitet. »Wie kommen Sie zu dem im Traum erwähnten Lachs?« »Geräucherter Lachs ist die Lieblingsspeise dieser Freundin«, antwortet sie. Zufällig kenne ich die Dame auch und kann bestätigen, daß sie sich den Lachs ebensowenig vergönnt wie meine Patientin den Kaviar.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Derselbe Traum läßt auch noch eine andere und feinere Deutung zu, die durch einen Nebenumstand selbst notwendig gemacht wird. Die beiden Deutungen widersprechen einander nicht, sondern überdecken einander und ergeben ein schönes Beispiel für die gewöhnliche Doppelsinnigkeit der Träume wie aller anderen psychopathologischen Bildungen. Wir haben gehört, daß die Patientin gleichzeitig mit ihrem Traum von der Wunschverweigerung bemüht war, sich einen versagten Wunsch im Realen zu verschaffen (die Kaviarsemmel). Auch die Freundin hatte einen Wunsch geäußert, nämlich dicker zu werden, und es würde uns nicht wundern, wenn unsere Dame geträumt hätte, der Freundin gehe der Wunsch nicht in Erfüllung. Es ist nämlich ihr eigener Wunsch, daß der Freundin ein Wunsch – nämlich der nach Körperzunahme – nicht in Erfüllung gehe. Anstatt dessen träumt sie aber, daß ihr selbst ein Wunsch nicht erfüllt wird. Der Traum erhält eine neue Deutung, wenn sie im Traum nicht sich, sondern die Freundin meint, wenn sie sich an die Stelle der Freundin gesetzt oder, wie wir sagen können, sich mit ihr </w:t>
      </w:r>
      <w:r w:rsidRPr="00A06A59">
        <w:rPr>
          <w:rFonts w:ascii="Garamond" w:hAnsi="Garamond" w:cs="Arial"/>
          <w:i/>
          <w:iCs/>
          <w:color w:val="000000"/>
          <w:lang w:val="en-GB"/>
        </w:rPr>
        <w:t>identifiziert</w:t>
      </w:r>
      <w:r w:rsidRPr="00A06A59">
        <w:rPr>
          <w:rFonts w:ascii="Garamond" w:hAnsi="Garamond" w:cs="Arial"/>
          <w:color w:val="000000"/>
          <w:lang w:val="en-GB"/>
        </w:rPr>
        <w:t xml:space="preserve">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meine, dies hat sie wirklich getan, und als Anzeichen dieser Identifizierung hat sie sich den versagten Wunsch im Realen geschaffen. Was hat aber die hysterische Identifizierung für Sinn? Das aufzuklären bedarf einer eingehenderen Darstellung. Die Identifizierung ist ein für den Mechanismus der hysterischen Symptome höchst wichtiges Moment; auf diesem Wege bringen es die Kranken zustande, die Erlebnisse einer großen Reihe von Personen, nicht nur die eigenen, in ihren Symptomen auszudrücken, gleichsam für einen ganzen Menschenhaufen zu leiden und alle Rollen eines Schauspiels allein mit ihren persönlichen Mitteln darzustellen. Man wird mir einwenden, dies sei die bekannte hysterische Imitation, die Fähigkeit Hysterischer, alle Symptome, die ihnen bei anderen Eindruck machen, nachzuahmen, gleichsam ein zur Reproduktion gesteigertes Mitleiden. Damit ist aber nur der Weg bezeichnet, auf dem der psychische Vorgang bei der hysterischen Imitation abläuft; etwas anderes ist der Weg und der seelische Akt, der diesen Weg geht. Letzterer ist um ein geringes komplizierter, als man sich die Imitation der Hysterischen vorzustellen liebt; er entspricht einem unbewußten Schlußprozeß, wie ein Beispiel klarstellen wird. Der Arzt, welcher eine Kranke mit einer bestimmten Art von Zuckungen unter anderen Kranken auf demselben Zimmer im Krankenhause hat, zeigt sich nicht erstaunt, wenn er eines Morgens erfährt, daß dieser besondere hysterische Anfall Nachahmung gefunden hat. Er sagt sich einfach: Die anderen haben ihn gesehen und nachgemacht; das ist psychische Infektion. </w:t>
      </w:r>
      <w:r w:rsidRPr="00A06A59">
        <w:rPr>
          <w:rFonts w:ascii="Garamond" w:hAnsi="Garamond" w:cs="Arial"/>
          <w:color w:val="000000"/>
        </w:rPr>
        <w:t xml:space="preserve">Ja, aber die psychische Infektion geht etwa auf folgende Weise zu. </w:t>
      </w:r>
      <w:r w:rsidRPr="00A06A59">
        <w:rPr>
          <w:rFonts w:ascii="Garamond" w:hAnsi="Garamond" w:cs="Arial"/>
          <w:color w:val="000000"/>
          <w:lang w:val="en-GB"/>
        </w:rPr>
        <w:t xml:space="preserve">Die Kranken wissen in der Regel mehr voneinander als der Arzt über jede von ihnen, und sie kümmern sich umeinander, wenn die ärztliche Visite vorüber ist. Die eine bekomme heute ihren Anfall; es wird alsbald den anderen bekannt, daß ein Brief von Hause, Auffrischung des Liebeskummers u. dgl. davon die Ursache ist. Ihr Mitgefühl wird rege, es vollzieht sich in ihnen folgender, nicht zum Bewußtsein gelangender Schluß: Wenn man von solcher Ursache solche Anfälle haben kann, so kann ich auch solche Anfälle bekommen, denn ich habe dieselben Anlässe. Wäre dies ein des Bewußtseins fähiger Schluß, so würde er vielleicht in die </w:t>
      </w:r>
      <w:r w:rsidRPr="00A06A59">
        <w:rPr>
          <w:rFonts w:ascii="Garamond" w:hAnsi="Garamond" w:cs="Arial"/>
          <w:i/>
          <w:iCs/>
          <w:color w:val="000000"/>
          <w:lang w:val="en-GB"/>
        </w:rPr>
        <w:t>Angst</w:t>
      </w:r>
      <w:r w:rsidRPr="00A06A59">
        <w:rPr>
          <w:rFonts w:ascii="Garamond" w:hAnsi="Garamond" w:cs="Arial"/>
          <w:color w:val="000000"/>
          <w:lang w:val="en-GB"/>
        </w:rPr>
        <w:t xml:space="preserve"> ausmünden, den gleichen Anfall zu bekommen; er vollzieht sich aber auf einem anderen psychischen Terrain, endet daher in der Realisierung des gefürchteten Symptoms. Die Identifizierung ist also nicht simple Imitation, sondern </w:t>
      </w:r>
      <w:r w:rsidRPr="00A06A59">
        <w:rPr>
          <w:rFonts w:ascii="Garamond" w:hAnsi="Garamond" w:cs="Arial"/>
          <w:i/>
          <w:iCs/>
          <w:color w:val="000000"/>
          <w:lang w:val="en-GB"/>
        </w:rPr>
        <w:t>Aneignung</w:t>
      </w:r>
      <w:r w:rsidRPr="00A06A59">
        <w:rPr>
          <w:rFonts w:ascii="Garamond" w:hAnsi="Garamond" w:cs="Arial"/>
          <w:color w:val="000000"/>
          <w:lang w:val="en-GB"/>
        </w:rPr>
        <w:t xml:space="preserve"> auf Grund des gleichen ätiologischen Anspruches; sie drückt ein »gleichwie« aus und bezieht sich auf ein im Unbewußten verbleibendes Gemeinsames.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Identifizierung wird in der Hysterie am häufigsten benützt zum Ausdruck einer sexuellen Gemeinsamkeit. Die Hysterika identifiziert sich in ihren Symptomen am ehesten – wenn auch nicht ausschließlich – mit solchen Personen, mit denen sie im sexuellen Verkehr gestanden hat oder welche mit den nämlichen Personen wie sie selbst sexuell verkehren. Die Sprache trägt einer solchen Auffassung gleichfalls Rechnung. Zwei Liebende sind »Eines«. In der hysterischen Phantasie wie im Traum genügt es für die Identifizierung, daß man an sexuelle Beziehungen denkt, ohne </w:t>
      </w:r>
      <w:r w:rsidRPr="00A06A59">
        <w:rPr>
          <w:rFonts w:ascii="Garamond" w:hAnsi="Garamond" w:cs="Arial"/>
          <w:color w:val="000000"/>
          <w:lang w:val="en-GB"/>
        </w:rPr>
        <w:lastRenderedPageBreak/>
        <w:t xml:space="preserve">daß sie darum als real gelten müssen. Die Patientin folgt also bloß den Regeln der hysterischen Denkvorgänge, wenn sie ihrer Eifersucht gegen die Freundin (die sie als unberechtigt übrigens selbst erkennt) Ausdruck gibt, indem sie sich im Traum an ihre Stelle setzt und sich durch die Schaffung eines Symptoms (des versagten Wunsches) mit ihr identifiziert. Man möchte den Vorgang noch sprachlich in folgender Weise erläutern: Sie setzt sich an die Stelle der Freundin im Traum, weil diese sich bei ihrem Mann an ihre Stelle setzt, weil sie deren Platz in der Wertschätzung ihres Mannes einnehmen möchte </w:t>
      </w:r>
      <w:hyperlink r:id="rId6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Ich bedaure selbst die Einschaltung solcher Stücke aus der Psychopathologie der Hysterie, welche, infolge ihrer fragmentarischen Darstellung und aus allem Zusammenhang gerissen, doch nicht sehr aufklärend wirken können. Wenn sie auf die innigen Beziehungen des Themas vom Traum zu den Psychoneurosen hinzuweisen vermögen, so haben sie die Absicht erfüllt, in der ich sie aufgenommen habe.</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einfacherer Weise und doch auch nach dem Schema, daß die Nichterfüllung des einen Wunsches die Erfüllung eines anderen bedeutet, löste sich der Widerspruch gegen meine Traumlehre bei einer anderen Patientin, der witzigsten unter all meinen Träumerinnen. Ich hatte ihr an einem Tage auseinandergesetzt, daß der Traum eine Wunscherfüllung sei; am nächsten Tage brachte sie mir einen Traum, daß sie mit ihrer Schwiegermutter nach dem gemeinsamen Landaufenthalt fahre. Nun wußte ich, daß sie sich heftig gesträubt hatte, den Sommer in der Nähe der Schwiegermutter zu verbringen, wußte auch, daß sie der von ihr gefürchteten Gemeinschaft in den letzten Tagen durch die Miete eines vom Sitz der Schwiegermutter weit entfernten Landaufenthalts glücklich ausgewichen war. Jetzt machte der Traum diese erwünschte Lösung rückgängig; war das nicht der schärfste Gegensatz zu meiner Lehre von der Wunscherfüllung durch den Traum? Gewiß, man brauchte nur die Konsequenz aus diesem Traum zu ziehen, um seine Deutung zu haben. Nach diesem Traum hatte ich unrecht; </w:t>
      </w:r>
      <w:r w:rsidRPr="00A06A59">
        <w:rPr>
          <w:rFonts w:ascii="Garamond" w:hAnsi="Garamond" w:cs="Arial"/>
          <w:i/>
          <w:iCs/>
          <w:color w:val="000000"/>
          <w:lang w:val="en-GB"/>
        </w:rPr>
        <w:t>es war also ihr Wunsch, daß ich unrecht haben sollte, und diesen zeigte ihr der Traum erfüllt</w:t>
      </w:r>
      <w:r w:rsidRPr="00A06A59">
        <w:rPr>
          <w:rFonts w:ascii="Garamond" w:hAnsi="Garamond" w:cs="Arial"/>
          <w:color w:val="000000"/>
          <w:lang w:val="en-GB"/>
        </w:rPr>
        <w:t>. Der Wunsch, daß ich unrecht haben sollte, der sich an dem Thema der Landwohnung erfüllte, bezog sich aber in Wirklichkeit auf einen anderen und ernsteren Gegenstand. Ich hatte um die nämliche Zeit aus dem Material, welches ihre Analyse ergab, geschlossen, daß in einer gewissen Periode ihres Lebens etwas für ihre Erkrankung Bedeutsames vorgefallen sein müsse. Sie hatte es in Abrede gestellt, weil es sich nicht in ihrer Erinnerung vorfand. Wir kamen bald darauf, daß ich recht hatte. Ihr Wunsch, daß ich unrecht haben möge, verwandelt in den Traum, daß sie mit ihrer Schwiegermutter aufs Land fahre, entsprach also dem berechtigten Wunsch, daß jene damals erst vermuteten Dinge sich nie ereignet haben möchten.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Ohne Analyse, nur vermittels einer Vermutung, gestattete ich mir ein kleines Vorkommnis bei einem Freunde zu deuten, der durch die acht Gymnasialklassen mein Kollege gewesen war. Er hörte einmal in einem kleinen Kreise einen Vortrag von mir über die Neuigkeit, daß der Traum eine Wunscherfüllung sei, ging nach Hause, träumte, </w:t>
      </w:r>
      <w:r w:rsidRPr="00A06A59">
        <w:rPr>
          <w:rFonts w:ascii="Garamond" w:hAnsi="Garamond" w:cs="Arial"/>
          <w:i/>
          <w:iCs/>
          <w:color w:val="000000"/>
          <w:lang w:val="en-GB"/>
        </w:rPr>
        <w:t>daß er alle seine Prozesse verloren habe</w:t>
      </w:r>
      <w:r w:rsidRPr="00A06A59">
        <w:rPr>
          <w:rFonts w:ascii="Garamond" w:hAnsi="Garamond" w:cs="Arial"/>
          <w:color w:val="000000"/>
          <w:lang w:val="en-GB"/>
        </w:rPr>
        <w:t xml:space="preserve"> – er war Advokat –, und beklagte sich bei mir darüber. Ich half mir mit der Ausflucht: Man kann nicht alle Prozesse gewinnen, dachte aber bei mir: Wenn ich durch acht Jahre als Primus in der ersten Bank gesessen, während er irgendwo in der Mitte der Klasse den Platz gewechselt, sollte ihm aus diesen Knabenjahren der Wunsch ferne geblieben sein, daß ich mich auch einmal gründlich blamieren möge?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anderer Traum von mehr düsterem Charakter wurde mir gleichfalls von einer Patientin als Einspruch gegen die Theorie des Wunschtraumes vorgetragen. Die Patientin, ein junges Mädchen, begann: Sie erinnern sich, daß meine Schwester jetzt nur einen Buben hat, den Karl; den älteren, Otto, hat sie verloren, als ich noch in ihrem Hause war. Otto war mein Liebling, ich habe ihn eigentlich erzogen. Den Kleinen habe ich auch gern, aber natürlich lange nicht so sehr wie den Verstorbenen. Nun träume ich diese Nacht, </w:t>
      </w:r>
      <w:r w:rsidRPr="00A06A59">
        <w:rPr>
          <w:rFonts w:ascii="Garamond" w:hAnsi="Garamond" w:cs="Arial"/>
          <w:i/>
          <w:iCs/>
          <w:color w:val="000000"/>
          <w:lang w:val="en-GB"/>
        </w:rPr>
        <w:t>daß ich den Karl tot vor mir liegen sehe. Er liegt in seinem kleinen Sarg, die Hände gefaltet, Kerzen ringsherum, kurz ganz so wie damals der kleine Otto, dessen Tod mich so erschüttert hat</w:t>
      </w:r>
      <w:r w:rsidRPr="00A06A59">
        <w:rPr>
          <w:rFonts w:ascii="Garamond" w:hAnsi="Garamond" w:cs="Arial"/>
          <w:color w:val="000000"/>
          <w:lang w:val="en-GB"/>
        </w:rPr>
        <w:t>. Nun sagen Sie mir, was soll das heißen? Sie kennen mich ja; bin ich eine so schlechte Person, daß ich meiner Schwester den Verlust des einzigen Kindes wünschen sollte, das sie noch besitzt? Oder heißt der Traum, daß ich lieber den Karl tot wünschte als den Otto, den ich um so viel lieber gehabt habe?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versicherte ihr, daß diese letzte Deutung ausgeschlossen sei. Nach kurzem Besinnen konnte ich ihr die richtige Deutung des Traumes sagen, die ich dann von ihr bestätigen ließ. Es gelang mir dies, weil mir die ganze Vorgeschichte der Träumerin bekannt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Frühzeitig verwaist, was das Mädchen im Hause ihrer um vieles älteren Schwester aufgezogen worden und begegnete unter den Freunden und Besuchern des Hauses auch dem Manne, der einen bleibenden Eindruck auf ihr Herz machte. Es schien eine Weile, als ob diese kaum ausgesprochenen Beziehungen mit einer Heirat enden sollten, aber dieser glückliche Ausgang wurde durch die Schwester vereitelt, deren Motive nie eine völlige Aufklärung gefunden haben. Nach dem Bruch mied der von unserer Patientin geliebte Mann das Haus; sie selbst machte sich einige Zeit nach dem Tod des kleinen Otto, an den sie ihre Zärtlichkeit unterdessen gewendet hatte, selbständig. Es gelang ihr aber nicht, sich von der Abhängigkeit frei zu machen, in welche sie durch ihre Neigung zu dem Freund ihrer Schwester geraten war. Ihr Stolz gebot ihr, ihm auszuweichen; es war ihr aber unmöglich, ihre Liebe auf andere </w:t>
      </w:r>
      <w:r w:rsidRPr="00A06A59">
        <w:rPr>
          <w:rFonts w:ascii="Garamond" w:hAnsi="Garamond" w:cs="Arial"/>
          <w:color w:val="000000"/>
          <w:lang w:val="en-GB"/>
        </w:rPr>
        <w:lastRenderedPageBreak/>
        <w:t>Bewerber zu übertragen, die sich in der Folge einstellten. Wenn der geliebte Mann, der dem Literatenstand angehörte, irgendwo einen Vortrag angekündigt hatte, war sie unfehlbar unter den Zuhörern zu finden, und auch sonst ergriff sie jede Gelegenheit, ihn am dritten Orte aus der Ferne zu sehen. Ich erinnerte mich, daß sie mir tags vorher erzählt hatte, der Professor ginge in ein bestimmtes Konzert und sie wolle auch dorthin gehen, um sich wieder einmal seines Anblicks zu erfreuen. Das war am Tag vor dem Traum; an dem Tag, an dem sie mir den Traum erzählte, sollte das Konzert stattfinden. Ich konnte mir so die richtige Deutung leicht konstruieren und fragte sie, ob ihr irgendein Ereignis einfalle, das nach dem Tod des kleinen Otto eingetreten sei. Sie antwortete sofort: Gewiß, damals ist der Professor nach langem Ausbleiben wiedergekommen, und ich habe ihn an dem Sarg des kleinen Otto wieder einmal gesehen. Es war genauso, wie ich es erwartet hatte. Ich deutete also den Traum in folgender Art: »Wenn jetzt der andere Knabe stürbe, würde sich dasselbe wiederholen. Sie würden den Tag bei Ihrer Schwester zubringen, der Professor käme sicherlich hinauf, um zu kondolieren, und unter den nämlichen Verhältnissen wie damals würden Sie ihn wiedersehen. Der Traum bedeutet nichts als diesen Ihren Wunsch nach Wiedersehen, gegen den Sie innerlich ankämpfen. Ich weiß, daß Sie das Billett für das heutige Konzert in der Tasche tragen. Ihr Traum ist ein Ungeduldstraum, er hat das Wiedersehen, das heute stattfinden soll, um einige Stunden verfrüht.«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Zur Verdeckung ihres Wunsches hatte sie offenbar eine Situation gewählt, in welcher solche Wünsche unterdrückt zu werden pflegen, eine Situation, in der man von Trauer so sehr erfüllt ist, daß man an Liebe nicht denkt. Und doch ist es sehr gut möglich, daß auch in der realen Situation, welche der Traum getreulich kopierte, am Sarge des ersten, von ihr stärker geliebten Knaben sie die zärtliche Empfindung für den lange vermißten Besucher nicht hatte unterdrücken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andere Aufklärung fand ein ähnlicher Traum einer anderen Patientin, die sich in früheren Jahren durch raschen Witz und heitere Laune hervorgetan hatte und diese Eigenschaften jetzt wenigstens noch in ihren Einfällen während der Behandlung bewies. Dieser Dame kam es im Zusammenhange eines längeren Traumes vor, daß sie ihre einzige, fünfzehnjährige Tochter in einer Schachtel tot daliegen sah. Sie hatte nicht übel Lust, aus dieser Traumerscheinung einen Einwand gegen die Wunscherfüllungstheorie zu machen, ahnte aber selbst, daß das Detail der Schachtel den Weg zu einer anderen Auffassung des Traumes anzeigen müsse </w:t>
      </w:r>
      <w:hyperlink r:id="rId6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Ähnlich wie im Traum vom vereitelten Souper der geräucherte Lachs.</w:t>
        </w:r>
      </w:hyperlink>
      <w:r w:rsidRPr="00A06A59">
        <w:rPr>
          <w:rFonts w:ascii="Garamond" w:hAnsi="Garamond" w:cs="Arial"/>
          <w:color w:val="000000"/>
          <w:lang w:val="en-GB"/>
        </w:rPr>
        <w:t xml:space="preserve">. Bei der Analyse fiel ihr ein, daß in der Gesellschaft abends vorher die Rede auf das englische Wort » </w:t>
      </w:r>
      <w:r w:rsidRPr="00A06A59">
        <w:rPr>
          <w:rFonts w:ascii="Garamond" w:hAnsi="Garamond" w:cs="Arial"/>
          <w:i/>
          <w:iCs/>
          <w:color w:val="000000"/>
          <w:lang w:val="en-GB"/>
        </w:rPr>
        <w:t>box</w:t>
      </w:r>
      <w:r w:rsidRPr="00A06A59">
        <w:rPr>
          <w:rFonts w:ascii="Garamond" w:hAnsi="Garamond" w:cs="Arial"/>
          <w:color w:val="000000"/>
          <w:lang w:val="en-GB"/>
        </w:rPr>
        <w:t xml:space="preserve">« gekommen war und auf die mannigfaltigen Übersetzungen desselben im Deutschen als: Schachtel, Loge, Kasten, Ohrfeige usw. Aus anderen Bestandstücken desselben Traumes ließ sich nun ergänzen, daß sie die Verwandtschaft des englischen » </w:t>
      </w:r>
      <w:r w:rsidRPr="00A06A59">
        <w:rPr>
          <w:rFonts w:ascii="Garamond" w:hAnsi="Garamond" w:cs="Arial"/>
          <w:i/>
          <w:iCs/>
          <w:color w:val="000000"/>
          <w:lang w:val="en-GB"/>
        </w:rPr>
        <w:t>box</w:t>
      </w:r>
      <w:r w:rsidRPr="00A06A59">
        <w:rPr>
          <w:rFonts w:ascii="Garamond" w:hAnsi="Garamond" w:cs="Arial"/>
          <w:color w:val="000000"/>
          <w:lang w:val="en-GB"/>
        </w:rPr>
        <w:t>« mit dem deutschen »Büchse« erraten habe und dann von der Erinnerung heimgesucht worden sei, daß »Büchse« auch als vulgäre Bezeichnung des weiblichen Genitals gebraucht werde. Mit einiger Nachsicht für ihre Kenntnisse in der topographischen Anatomie konnte man also annehmen, daß das Kind in der »Schachtel« eine Frucht im Mutterleibe bedeute. Soweit aufgeklärt, leugnete sie nun nicht, daß das Traumbild wirklich einem Wunsch von ihr entspreche. Wie so viele junge Frauen war sie keineswegs glücklich, als sie in die Gravidität geriet, und gestand sich mehr als einmal den Wunsch ein, daß ihr das Kind im Mutterleibe absterben möge; ja in einem Wutanfalle nach einer heftigen Szene mit ihrem Manne schlug sie mit den Fäusten auf ihren Leib los, um das Kind darin zu treffen. Das tote Kind war also wirklich eine Wunscherfüllung, aber die eines seit fünfzehn Jahren beseitigten Wunsches, und es ist nicht zu verwundern, wenn man die Wunscherfüllung nach so verspätetem Eintreffen nicht mehr erkennt. Unterdessen hat sich eben zu viel geändert.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Gruppe, zu welcher die beiden letzten Träume gehören, die den Tod lieber Angehöriger zum Inhalt haben, soll bei den typischen Träumen nochmals Berücksichtigung finden. Ich werde dort an neuen Beispielen zeigen können, daß trotz des unerwünschten Inhalts alle diese Träume als Wunscherfüllungen gedeutet werden müssen. Keinem Patienten, sondern einem intelligenten Rechtsgelehrten meiner Bekanntschaft verdanke ich folgenden Traum, der mir wiederum in der Absicht erzählt wurde, mich von voreiliger Verallgemeinerung in der Lehre vom Wunschtraum zurückzuhalten: » </w:t>
      </w:r>
      <w:r w:rsidRPr="00A06A59">
        <w:rPr>
          <w:rFonts w:ascii="Garamond" w:hAnsi="Garamond" w:cs="Arial"/>
          <w:i/>
          <w:iCs/>
          <w:color w:val="000000"/>
          <w:lang w:val="en-GB"/>
        </w:rPr>
        <w:t>Ich träume</w:t>
      </w:r>
      <w:r w:rsidRPr="00A06A59">
        <w:rPr>
          <w:rFonts w:ascii="Garamond" w:hAnsi="Garamond" w:cs="Arial"/>
          <w:color w:val="000000"/>
          <w:lang w:val="en-GB"/>
        </w:rPr>
        <w:t xml:space="preserve">«, berichtet mein Gewährsmann, » </w:t>
      </w:r>
      <w:r w:rsidRPr="00A06A59">
        <w:rPr>
          <w:rFonts w:ascii="Garamond" w:hAnsi="Garamond" w:cs="Arial"/>
          <w:i/>
          <w:iCs/>
          <w:color w:val="000000"/>
          <w:lang w:val="en-GB"/>
        </w:rPr>
        <w:t>daß ich, eine Dame am Arm, vor mein Haus komme. Dort wartet ein geschlossener Wagen, ein Herr tritt auf mich zu, legitimiert sich als Polizeiagent und fordert mich auf, ihm zu folgen. Ich bitte nur noch um die Zeit, meine Angelegenheiten zu ordnen.</w:t>
      </w:r>
      <w:r w:rsidRPr="00A06A59">
        <w:rPr>
          <w:rFonts w:ascii="Garamond" w:hAnsi="Garamond" w:cs="Arial"/>
          <w:color w:val="000000"/>
          <w:lang w:val="en-GB"/>
        </w:rPr>
        <w:t xml:space="preserve"> Glauben Sie, daß es vielleicht ein Wunsch von mir ist, verhaftet zu werden?« – Gewiß nicht, muß ich zugeben. Wissen Sie vielleicht, unter welcher Beschuldigung Sie verhaftet wurden? – »Ja, ich glaube wegen Kindesmords.« – Kindesmord? Sie wissen doch, daß dieses Verbrechen nur eine Mutter an ihrem Neugeborenen begehen kann? – »Das ist richtig.« </w:t>
      </w:r>
      <w:hyperlink r:id="rId70" w:anchor="#" w:history="1">
        <w:r w:rsidRPr="00A06A59">
          <w:rPr>
            <w:rStyle w:val="fusslink"/>
            <w:rFonts w:ascii="Garamond" w:hAnsi="Garamond" w:cs="Arial"/>
            <w:b/>
            <w:bCs/>
            <w:color w:val="003399"/>
          </w:rPr>
          <w:t>[Fußnote]</w:t>
        </w:r>
        <w:r w:rsidRPr="00A06A59">
          <w:rPr>
            <w:rStyle w:val="innerfusslink3"/>
            <w:rFonts w:ascii="Garamond" w:hAnsi="Garamond" w:cs="Arial"/>
            <w:b/>
            <w:bCs/>
          </w:rPr>
          <w:t>Es ereignet sich häufig, daß ein Traum unvollständig erzählt wird und daß erst während der Analyse die Erinnerung an diese ausgelassenen Stücke des Traumes auftaucht. Diese nachträglich eingefügten Stücke ergeben regelmäßig den Schlüssel zur Traumdeutung. Vergleiche weiter unten über das Vergessen der Träume.</w:t>
        </w:r>
      </w:hyperlink>
      <w:r w:rsidRPr="00A06A59">
        <w:rPr>
          <w:rFonts w:ascii="Garamond" w:hAnsi="Garamond" w:cs="Arial"/>
          <w:color w:val="000000"/>
        </w:rPr>
        <w:t xml:space="preserve"> – Und unter welchen Umständen haben Sie geträumt; was ist am Abend vorher vorgegangen? – »Das möchte ich Ihnen nicht gerne erzählen, es ist eine heikle Angelegenheit.« – Ich brauche es aber, sonst müssen wir auf die Deutung des Traums verzichten. – »Also hören Sie. </w:t>
      </w:r>
      <w:r w:rsidRPr="00A06A59">
        <w:rPr>
          <w:rFonts w:ascii="Garamond" w:hAnsi="Garamond" w:cs="Arial"/>
          <w:color w:val="000000"/>
          <w:lang w:val="en-GB"/>
        </w:rPr>
        <w:t xml:space="preserve">Ich habe die Nacht nicht zu Hause, sondern bei einer Dame zugebracht, die mir sehr viel bedeutet. Als wir </w:t>
      </w:r>
      <w:r w:rsidRPr="00A06A59">
        <w:rPr>
          <w:rFonts w:ascii="Garamond" w:hAnsi="Garamond" w:cs="Arial"/>
          <w:color w:val="000000"/>
          <w:lang w:val="en-GB"/>
        </w:rPr>
        <w:lastRenderedPageBreak/>
        <w:t xml:space="preserve">am Morgen erwachten, ging neuerdings etwas zwischen uns vor. Dann schlief ich wiederum ein und träumte, was Sie wissen.« – Es ist eine verheiratete Frau? – »Ja.« – Und Sie wollen kein Kind mit ihr erzeugen? – »Nein, nein, das könnte uns verraten.« – Sie üben also nicht normalen Koitus? – »Ich gebrauche die Vorsicht, mich vor der Ejakulation zurückzuziehen.« – Darf ich annehmen, Sie hätten das Kunststück in dieser Nacht mehrere Male ausgeführt und seien nach der Wiederholung am Morgen ein wenig unsicher gewesen, ob es Ihnen gelungen ist? – »Das könnte wohl sein.« – Dann ist Ihr Traum eine Wunscherfüllung. Sie erhalten durch ihn die Beruhigung, daß Sie kein Kind erzeugt haben, oder was nahezu das gleiche ist, Sie hätten ein Kind umgebracht. Die Mittelglieder kann ich Ihnen leicht nachweisen. Erinnern Sie sich, vor einigen Tagen sprachen wir über die Ehenot und über die Inkonsequenz, daß es gestattet ist, den Koitus so zu halten, daß keine Befruchtung zustande kommt, während jeder Eingriff, wenn einmal Ei und Same sich getroffen und einen Fötus gebildet haben, als Verbrechen bestraft wird. Im Anschluß daran gedachten wir auch der mittelalterlichen Streitfrage, in welchem Zeitpunkt eigentlich die Seele in den Fötus hineinfahre, weil der Begriff des Mordes erst von da an zulässig wird. Sie kennen gewiß auch das schaurige Gedicht von </w:t>
      </w:r>
      <w:r w:rsidRPr="00A06A59">
        <w:rPr>
          <w:rFonts w:ascii="Garamond" w:hAnsi="Garamond" w:cs="Arial"/>
          <w:i/>
          <w:iCs/>
          <w:color w:val="000000"/>
          <w:lang w:val="en-GB"/>
        </w:rPr>
        <w:t>Lenau</w:t>
      </w:r>
      <w:r w:rsidRPr="00A06A59">
        <w:rPr>
          <w:rFonts w:ascii="Garamond" w:hAnsi="Garamond" w:cs="Arial"/>
          <w:color w:val="000000"/>
          <w:lang w:val="en-GB"/>
        </w:rPr>
        <w:t xml:space="preserve">, welches Kindermord und Kinderverhütung gleichstellt. – »An </w:t>
      </w:r>
      <w:r w:rsidRPr="00A06A59">
        <w:rPr>
          <w:rFonts w:ascii="Garamond" w:hAnsi="Garamond" w:cs="Arial"/>
          <w:i/>
          <w:iCs/>
          <w:color w:val="000000"/>
          <w:lang w:val="en-GB"/>
        </w:rPr>
        <w:t>Lenau</w:t>
      </w:r>
      <w:r w:rsidRPr="00A06A59">
        <w:rPr>
          <w:rFonts w:ascii="Garamond" w:hAnsi="Garamond" w:cs="Arial"/>
          <w:color w:val="000000"/>
          <w:lang w:val="en-GB"/>
        </w:rPr>
        <w:t xml:space="preserve"> habe ich merkwürdigerweise heute vormittag wie zufällig gedacht.« – Auch ein Nachklang Ihres Traums. Und nun will ich Ihnen noch eine kleine Nebenwunscherfüllung in Ihrem Traum nachweisen. Sie kommen mit der Dame am Arm vor Ihr Haus. Sie </w:t>
      </w:r>
      <w:r w:rsidRPr="00A06A59">
        <w:rPr>
          <w:rFonts w:ascii="Garamond" w:hAnsi="Garamond" w:cs="Arial"/>
          <w:i/>
          <w:iCs/>
          <w:color w:val="000000"/>
          <w:lang w:val="en-GB"/>
        </w:rPr>
        <w:t>führen</w:t>
      </w:r>
      <w:r w:rsidRPr="00A06A59">
        <w:rPr>
          <w:rFonts w:ascii="Garamond" w:hAnsi="Garamond" w:cs="Arial"/>
          <w:color w:val="000000"/>
          <w:lang w:val="en-GB"/>
        </w:rPr>
        <w:t xml:space="preserve"> sie also </w:t>
      </w:r>
      <w:r w:rsidRPr="00A06A59">
        <w:rPr>
          <w:rFonts w:ascii="Garamond" w:hAnsi="Garamond" w:cs="Arial"/>
          <w:i/>
          <w:iCs/>
          <w:color w:val="000000"/>
          <w:lang w:val="en-GB"/>
        </w:rPr>
        <w:t>heim</w:t>
      </w:r>
      <w:r w:rsidRPr="00A06A59">
        <w:rPr>
          <w:rFonts w:ascii="Garamond" w:hAnsi="Garamond" w:cs="Arial"/>
          <w:color w:val="000000"/>
          <w:lang w:val="en-GB"/>
        </w:rPr>
        <w:t xml:space="preserve">, anstatt daß Sie in Wirklichkeit die Nacht in deren Hause zubringen. Daß die Wunscherfüllung, die den Kern des Traumes bildet, sich in so unangenehmer Form verbirgt, hat vielleicht mehr als einen Grund. Aus meinem Aufsatz über die Ätiologie der Angstneurose könnten Sie erfahren, daß ich den </w:t>
      </w:r>
      <w:r w:rsidRPr="00A06A59">
        <w:rPr>
          <w:rFonts w:ascii="Garamond" w:hAnsi="Garamond" w:cs="Arial"/>
          <w:i/>
          <w:iCs/>
          <w:color w:val="000000"/>
          <w:lang w:val="en-GB"/>
        </w:rPr>
        <w:t>coitus interruptus</w:t>
      </w:r>
      <w:r w:rsidRPr="00A06A59">
        <w:rPr>
          <w:rFonts w:ascii="Garamond" w:hAnsi="Garamond" w:cs="Arial"/>
          <w:color w:val="000000"/>
          <w:lang w:val="en-GB"/>
        </w:rPr>
        <w:t xml:space="preserve"> als eines der ursächlichen Momente für die Entstehung der neurotischen Angst in Anspruch nehme. Es würde dazu stimmen, wenn Ihnen nach mehrmaligem Koitus dieser Art eine unbehagliche Stimmung verbliebe, die nun als Element in die Zusammensetzung Ihres Traumes eingeht. Dieser Verstimmung bedienen Sie sich auch, um sich die Wunscherfüllung zu verhüllen. Übrigens ist auch die Erwähnung des Kindesmords nicht erklärt. Wie kommen Sie zu diesem spezifisch weiblichen Verbrechen? – »Ich will Ihnen gestehen, daß ich vor Jahren einmal in eine solche Angelegenheit verflochten war. Ich war schuld daran, daß ein Mädchen sich durch eine Fruchtabtreibung vor den Folgen eines Verhältnisses mit mir zu schützen versuchte. Ich hatte mit der Ausführung des Vorsatzes gar nichts zu tun, war aber lange Zeit in begreiflicher Angst, daß die Sache entdeckt würde.« – Ich verstehe, diese Erinnerung ergab einen zweiten Grund, warum Ihnen die Vermutung, Sie hätten Ihr Kunststück schlecht gemacht, peinlich sein mußte.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junger Arzt, welcher in meinem Kolleg diesen Traum erzählen hörte, muß sich von ihm betroffen gefühlt haben, denn er beeilte sich, ihn nachzuträumen, dessen Gedankenform auf ein anderes Thema anzuwenden. Er hatte tags vorher sein Einkommenbekenntnis übergeben, welches vollkommen aufrichtig gehalten war, da er nur wenig zu bekennen hatte. Er träumte nun, ein Bekannter komme aus der Sitzung der Steuerkommission zu ihm und teile ihm mit, daß alle anderen Steuerbekenntnisse unbeanstandet geblieben seien, das seinige aber habe allgemeines Mißtrauen erweckt und werde ihm eine empfindliche Steuerstrafe eintragen. Der Traum ist eine lässig verhüllte Wunscherfüllung, für einen Arzt von großem Einkommen zu gelten. Er erinnert übrigens an die bekannte Geschichte von jenem jungen Mädchen, welchem abgeraten wird, ihrem Freier zuzusagen, weil er ein jähzorniger Mensch sei und sie in der Ehe sicherlich mit Schlägen traktieren werde. Die Antwort des Mädchens lautet: Schlüg' er mich erst! Ihr Wunsch, verheiratet zu sein, ist so lebhaft, daß sie die in Aussicht gestellte Unannehmlichkeit, die mit dieser Ehe verbunden sein soll, mit in den Kauf nimmt und selbst zum Wunsch erhebt.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Fasse ich die sehr häufig vorkommenden Träume solcher Art, die meiner Lehre direkt zu widersprechen scheinen, indem sie das Versagen eines Wunsches oder das Eintreffen von etwas offenbar Ungewünschtem zum Inhalt haben, als » </w:t>
      </w:r>
      <w:r w:rsidRPr="00A06A59">
        <w:rPr>
          <w:rFonts w:ascii="Garamond" w:hAnsi="Garamond" w:cs="Arial"/>
          <w:i/>
          <w:iCs/>
          <w:color w:val="000000"/>
          <w:lang w:val="en-GB"/>
        </w:rPr>
        <w:t>Gegenwunschträume</w:t>
      </w:r>
      <w:r w:rsidRPr="00A06A59">
        <w:rPr>
          <w:rFonts w:ascii="Garamond" w:hAnsi="Garamond" w:cs="Arial"/>
          <w:color w:val="000000"/>
          <w:lang w:val="en-GB"/>
        </w:rPr>
        <w:t xml:space="preserve">« zusammen, so sehe ich, daß sie sich allgemein auf zwei Prinzipien zurückführen lassen, von denen das eine noch nicht erwähnt worden ist, obwohl es im Leben wie im Träumen der Menschen eine große Rolle spielt. Die eine Triebkraft dieser Träume ist der Wunsch, daß ich unrecht haben soll. Diese Träume ereignen sich regelmäßig im Laufe meiner Behandlungen, wenn sich der Patient im Widerstand gegen mich befindet, und ich kann mit großer Sicherheit darauf rechnen, einen solchen Traum hervorzurufen, nachdem ich dem Kranken die Lehre, der Traum sei eine Wunscherfüllung, zuerst vorgetragen habe </w:t>
      </w:r>
      <w:hyperlink r:id="rId7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Ähnliche »Gegenwunschträume« wurden mir in den letzten Jahren wiederholt von meinen Hörern berichtet als deren Reaktion auf ihr erstes Zusammentreffen mit der »Wunschtheorie des Traumes«.</w:t>
        </w:r>
      </w:hyperlink>
      <w:r w:rsidRPr="00A06A59">
        <w:rPr>
          <w:rFonts w:ascii="Garamond" w:hAnsi="Garamond" w:cs="Arial"/>
          <w:color w:val="000000"/>
          <w:lang w:val="en-GB"/>
        </w:rPr>
        <w:t xml:space="preserve">. Ja, ich darf erwarten, daß es manchem meiner Leser ebenso ergehen wird; er wird sich bereitwillig im Traume einen Wunsch versagen, um sich nur den Wunsch, daß ich unrecht haben möge, zu erfüllen. Der letzte Kurtraum dieser Art, den ich mitteilen will, zeigt wiederum das nämliche. Ein junges Mädchen, welches sich die Fortsetzung meiner Behandlung mühsam erkämpft hat, gegen den Willen ihrer Angehörigen und der zu Rate gezogenen Autoritäten, träumt: </w:t>
      </w:r>
      <w:r w:rsidRPr="00A06A59">
        <w:rPr>
          <w:rFonts w:ascii="Garamond" w:hAnsi="Garamond" w:cs="Arial"/>
          <w:i/>
          <w:iCs/>
          <w:color w:val="000000"/>
          <w:lang w:val="en-GB"/>
        </w:rPr>
        <w:t>Zu Hause verbiete man ihr, weiter zu mir zu kommen. Sie beruft sich dann bei mir auf ein ihr gegebenes Versprechen, sie im Notfalle auch umsonst zu behandeln, und ich sage ihr: In Geldsachen kann ich keine Rücksicht üben.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Es ist wirklich nicht leicht, hier die Wunscherfüllung nachzuweisen, aber in all solchen Fällen findet sich außer dem einen Rätsel noch ein anderes, dessen Lösung auch das erste lösen hilft. Woher stammen die Worte, die sie mir in den Mund legt? Ich habe ihr natürlich nie etwas Ähnliches gesagt, aber einer ihrer Brüder, und gerade jener, der den größten Einfluß auf sie hat, war so liebenswürdig, über mich diesen Ausspruch zu tun. Der Traum will also erreichen, daß der Bruder recht behalte, und diesem Bruder recht verschaffen will sie nicht nur im Traume; es ist der Inhalt ihres Lebens und das Motiv ihres Krankseins.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Traum, welcher der Theorie von der Wunscherfüllung auf den ersten Blick besondere Schwierigkeit bereitet, ist von einem Arzt (Aug. </w:t>
      </w:r>
      <w:r w:rsidRPr="00A06A59">
        <w:rPr>
          <w:rFonts w:ascii="Garamond" w:hAnsi="Garamond" w:cs="Arial"/>
          <w:i/>
          <w:iCs/>
          <w:color w:val="000000"/>
          <w:lang w:val="en-GB"/>
        </w:rPr>
        <w:t>Stärcke</w:t>
      </w:r>
      <w:r w:rsidRPr="00A06A59">
        <w:rPr>
          <w:rFonts w:ascii="Garamond" w:hAnsi="Garamond" w:cs="Arial"/>
          <w:color w:val="000000"/>
          <w:lang w:val="en-GB"/>
        </w:rPr>
        <w:t>) geträumt und gedeutet worden: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»Ich habe und sehe an meinem linken Zeigefinger einen syphilitischen Primäraffekt an der letzten Phalange.«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Man wird sich vielleicht von der Analyse dieses Traums durch die Erwägung abhalten lassen, daß er ja bis auf seinen unerwünschten Inhalt klar und kohärent erscheint. Allein, wenn man die Mühe einer Analyse nicht scheut, erfährt man, daß »Primäraffekt« gleichzusetzen ist einer </w:t>
      </w:r>
      <w:r w:rsidRPr="00A06A59">
        <w:rPr>
          <w:rFonts w:ascii="Garamond" w:hAnsi="Garamond" w:cs="Arial"/>
          <w:i/>
          <w:iCs/>
          <w:color w:val="000000"/>
          <w:lang w:val="en-GB"/>
        </w:rPr>
        <w:t>»prima affectio«</w:t>
      </w:r>
      <w:r w:rsidRPr="00A06A59">
        <w:rPr>
          <w:rFonts w:ascii="Garamond" w:hAnsi="Garamond" w:cs="Arial"/>
          <w:color w:val="000000"/>
          <w:lang w:val="en-GB"/>
        </w:rPr>
        <w:t xml:space="preserve"> (erste Liebe) und daß das widerliche Geschwür nach den Worten </w:t>
      </w:r>
      <w:r w:rsidRPr="00A06A59">
        <w:rPr>
          <w:rFonts w:ascii="Garamond" w:hAnsi="Garamond" w:cs="Arial"/>
          <w:i/>
          <w:iCs/>
          <w:color w:val="000000"/>
          <w:lang w:val="en-GB"/>
        </w:rPr>
        <w:t>Stärckes</w:t>
      </w:r>
      <w:r w:rsidRPr="00A06A59">
        <w:rPr>
          <w:rFonts w:ascii="Garamond" w:hAnsi="Garamond" w:cs="Arial"/>
          <w:color w:val="000000"/>
          <w:lang w:val="en-GB"/>
        </w:rPr>
        <w:t xml:space="preserve"> »sich als Vertreter von mit großem Affekt belegten Wunscherfüllungen« erweist. </w:t>
      </w:r>
      <w:hyperlink r:id="rId72" w:anchor="#" w:history="1">
        <w:r w:rsidRPr="00A06A59">
          <w:rPr>
            <w:rStyle w:val="fusslink"/>
            <w:rFonts w:ascii="Garamond" w:hAnsi="Garamond" w:cs="Arial"/>
            <w:b/>
            <w:bCs/>
            <w:color w:val="003399"/>
          </w:rPr>
          <w:t>[Fußnote]</w:t>
        </w:r>
        <w:r w:rsidRPr="00A06A59">
          <w:rPr>
            <w:rStyle w:val="innerfusslink3"/>
            <w:rFonts w:ascii="Garamond" w:hAnsi="Garamond" w:cs="Arial"/>
            <w:b/>
            <w:bCs/>
          </w:rPr>
          <w:t>Zentralblatt für Psychoanalyse II, 1911/12</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Das andere Motiv der Gegenwunschträume liegt so nahe, daß man leicht in Gefahr kommt, es zu übersehen, wie mir selbst durch längere Zeit geschehen ist. In der Sexualkonstitution so vieler Menschen gibt es eine masochistische Komponente, die durch die Verkehrung ins Gegenteil der aggressiven, sadistischen entstanden ist. </w:t>
      </w:r>
      <w:r w:rsidRPr="00A06A59">
        <w:rPr>
          <w:rFonts w:ascii="Garamond" w:hAnsi="Garamond" w:cs="Arial"/>
          <w:color w:val="000000"/>
          <w:lang w:val="en-GB"/>
        </w:rPr>
        <w:t xml:space="preserve">Man heißt solche Menschen »ideelle« Masochisten, wenn sie die Lust nicht in dem ihnen zugefügten körperlichen Schmerz, sondern in der Demütigung und seelischen Peinigung suchen. Es leuchtet ohne weiteres ein, daß diese Personen Gegenwunsch- und Unlustträume haben können, die für sie doch nichts anderes als Wunscherfüllungen sind, Befriedigung ihrer masochistischen Neigungen. Ich setze einen solchen Traum hieher: Ein junger Mann, der in früheren Jahren seinen älteren Bruder, dem er homosexuell zugetan war, sehr gequält hat, träumt nun nach gründlicher Charakterwandlung einen aus drei Stücken bestehenden Traum: </w:t>
      </w:r>
      <w:r w:rsidRPr="00A06A59">
        <w:rPr>
          <w:rFonts w:ascii="Garamond" w:hAnsi="Garamond" w:cs="Arial"/>
          <w:i/>
          <w:iCs/>
          <w:color w:val="000000"/>
          <w:lang w:val="en-GB"/>
        </w:rPr>
        <w:t>I. Wie ihn sein älterer Bruder »sekkiert«. II. Wie zwei Erwachsene in homosexueller Absicht miteinander schön tun. III. Der Bruder hat das Unternehmen verkauft, dessen Leitung er sich für seine Zukunft vorbehalten hat.</w:t>
      </w:r>
      <w:r w:rsidRPr="00A06A59">
        <w:rPr>
          <w:rFonts w:ascii="Garamond" w:hAnsi="Garamond" w:cs="Arial"/>
          <w:color w:val="000000"/>
          <w:lang w:val="en-GB"/>
        </w:rPr>
        <w:t xml:space="preserve"> Aus letzterem Traume erwacht er mit den peinlichsten Gefühlen, und doch ist es ein masochistischer Wunschtraum, dessen Übersetzung lauten könnte: es geschähe mir ganz recht, wenn der Bruder mir jenen Verkauf antäte, zur Strafe für alle Quälereien, die er von mir ausgestanden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hoffe, die vorstehenden Beispiele werden genügen, um es – bis auf weiteren Einspruch – glaubwürdig erscheinen zu lassen, daß auch die Träume mit peinlichem Inhalt als Wunscherfüllung aufzulösen sind </w:t>
      </w:r>
      <w:hyperlink r:id="rId7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Ich verweise darauf, daß dies Thema hier nicht erledigt ist und noch später behandelt werden wird.</w:t>
        </w:r>
      </w:hyperlink>
      <w:r w:rsidRPr="00A06A59">
        <w:rPr>
          <w:rFonts w:ascii="Garamond" w:hAnsi="Garamond" w:cs="Arial"/>
          <w:color w:val="000000"/>
          <w:lang w:val="en-GB"/>
        </w:rPr>
        <w:t xml:space="preserve">. Es wird auch niemand eine Äußerung des Zufalls darin erblicken, daß man bei der Deutung dieser Träume jedesmal auf Themata gerät, von denen man nicht gerne spricht oder an die man nicht gerne denkt. Das peinliche Gefühl, welches solche Träume erwecken, ist wohl einfach identisch mit dem Widerwillen, der uns von der Behandlung oder Erwägung solcher Themata – meist mit Erfolg – abhalten möchte und welcher von jedem von uns überwunden werden muß, wenn wir uns genötigt sehen, es doch in Angriff zu nehmen. Dieses im Traum also wiederkehrende Unlustgefühl schließt aber das Bestehen eines Wunsches nicht aus; es gibt bei jedem Menschen Wünsche, die er anderen nicht mitteilen möchte, und Wünsche, die er sich selbst nicht eingestehen will. Anderseits finden wir uns berechtigt, den Unlustcharakter all dieser Träume mit der Tatsache der Traumentstellung in Zusammenhang zu bringen und zu schließen, diese Träume seien gerade darum so entstellt und die Wunscherfüllung in ihnen bis zur Unkenntlichkeit verkleidet, weil ein Widerwillen, eine Verdrängungsabsicht gegen das Thema des Traumes oder gegen den aus ihm geschöpften Wunsch besteht. Die Traumentstellung erweist sich also tatsächlich als ein Akt der Zensur. Allem, was die Analyse der Unlustträume zutage gefördert hat, tragen wir aber Rechnung, wenn wir unsere Formel, die das Wesen des Traumes ausdrücken soll, in folgender Art verändern: </w:t>
      </w:r>
      <w:r w:rsidRPr="00A06A59">
        <w:rPr>
          <w:rFonts w:ascii="Garamond" w:hAnsi="Garamond" w:cs="Arial"/>
          <w:i/>
          <w:iCs/>
          <w:color w:val="000000"/>
          <w:lang w:val="en-GB"/>
        </w:rPr>
        <w:t>Der Traum ist die (verkleidete) Erfüllung eines (unterdrückten, verdrängten) Wunsches</w:t>
      </w:r>
      <w:r w:rsidRPr="00A06A59">
        <w:rPr>
          <w:rFonts w:ascii="Garamond" w:hAnsi="Garamond" w:cs="Arial"/>
          <w:color w:val="000000"/>
          <w:lang w:val="en-GB"/>
        </w:rPr>
        <w:t xml:space="preserve">. </w:t>
      </w:r>
      <w:hyperlink r:id="rId74"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Ein großer unter den lebenden Dichtern, der, wie mir gesagt wurde, von Psychoanalyse und Traumdeutung nichts wissen will, findet doch aus eigenem eine fast identische Formel für das Wesen des Traumes: »Unbefugtes Auftauchen unterdrückter Sehnsuchtswünsche unter falschem Antlitz und Namen.« C. </w:t>
        </w:r>
        <w:r w:rsidRPr="00A06A59">
          <w:rPr>
            <w:rStyle w:val="innerfusslink3"/>
            <w:rFonts w:ascii="Garamond" w:hAnsi="Garamond" w:cs="Arial"/>
            <w:b/>
            <w:bCs/>
            <w:i/>
            <w:iCs/>
          </w:rPr>
          <w:t>Spitteler</w:t>
        </w:r>
        <w:r w:rsidRPr="00A06A59">
          <w:rPr>
            <w:rStyle w:val="innerfusslink3"/>
            <w:rFonts w:ascii="Garamond" w:hAnsi="Garamond" w:cs="Arial"/>
            <w:b/>
            <w:bCs/>
          </w:rPr>
          <w:t xml:space="preserve">, Meine frühesten Erlebnisse (Süddeutsche Monatshefte, Oktober 1913).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Vorgreifend führe ich hier die von Otto </w:t>
        </w:r>
        <w:r w:rsidRPr="00A06A59">
          <w:rPr>
            <w:rStyle w:val="innerfusslink3"/>
            <w:rFonts w:ascii="Garamond" w:hAnsi="Garamond" w:cs="Arial"/>
            <w:b/>
            <w:bCs/>
            <w:i/>
            <w:iCs/>
          </w:rPr>
          <w:t>Rank</w:t>
        </w:r>
        <w:r w:rsidRPr="00A06A59">
          <w:rPr>
            <w:rStyle w:val="innerfusslink3"/>
            <w:rFonts w:ascii="Garamond" w:hAnsi="Garamond" w:cs="Arial"/>
            <w:b/>
            <w:bCs/>
          </w:rPr>
          <w:t xml:space="preserve"> herrührende Erweiterung und Modifikation der obigen Grundformel an: »Der Traum stellt regelmäßig auf der Grundlage und mit Hilfe verdrängten infantil-sexuellen Materials aktuelle, in der Regel auch erotische Wünsche in verhüllter und symbolisch eingekleideter Form als erfüllt dar.« (»Ein Traum, der sich selbst deutet. «)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Ich habe an keiner Stelle gesagt, daß ich diese </w:t>
        </w:r>
        <w:r w:rsidRPr="00A06A59">
          <w:rPr>
            <w:rStyle w:val="innerfusslink3"/>
            <w:rFonts w:ascii="Garamond" w:hAnsi="Garamond" w:cs="Arial"/>
            <w:b/>
            <w:bCs/>
            <w:i/>
            <w:iCs/>
          </w:rPr>
          <w:t>Rank</w:t>
        </w:r>
        <w:r w:rsidRPr="00A06A59">
          <w:rPr>
            <w:rStyle w:val="innerfusslink3"/>
            <w:rFonts w:ascii="Garamond" w:hAnsi="Garamond" w:cs="Arial"/>
            <w:b/>
            <w:bCs/>
          </w:rPr>
          <w:t xml:space="preserve">sche Formel zur meinigen gemacht habe. </w:t>
        </w:r>
        <w:r w:rsidRPr="00A06A59">
          <w:rPr>
            <w:rStyle w:val="innerfusslink3"/>
            <w:rFonts w:ascii="Garamond" w:hAnsi="Garamond" w:cs="Arial"/>
            <w:b/>
            <w:bCs/>
            <w:lang w:val="en-GB"/>
          </w:rPr>
          <w:t xml:space="preserve">Die kürzere, </w:t>
        </w:r>
        <w:r w:rsidRPr="00A06A59">
          <w:rPr>
            <w:rStyle w:val="innerfusslink3"/>
            <w:rFonts w:ascii="Garamond" w:hAnsi="Garamond" w:cs="Arial"/>
            <w:b/>
            <w:bCs/>
            <w:lang w:val="en-GB"/>
          </w:rPr>
          <w:lastRenderedPageBreak/>
          <w:t xml:space="preserve">im Text enthaltene Fassung scheint mir zu genügen. Aber daß ich die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xml:space="preserve">sche Modifikation überhaupt erwähnte, hat genügt, um der Psychoanalyse den ungezählte Male wiederholten Vorwurf einzutragen: sie behaupte, </w:t>
        </w:r>
        <w:r w:rsidRPr="00A06A59">
          <w:rPr>
            <w:rStyle w:val="innerfusslink3"/>
            <w:rFonts w:ascii="Garamond" w:hAnsi="Garamond" w:cs="Arial"/>
            <w:b/>
            <w:bCs/>
            <w:i/>
            <w:iCs/>
            <w:lang w:val="en-GB"/>
          </w:rPr>
          <w:t>alle Traume haben sexuellen Inhalt</w:t>
        </w:r>
        <w:r w:rsidRPr="00A06A59">
          <w:rPr>
            <w:rStyle w:val="innerfusslink3"/>
            <w:rFonts w:ascii="Garamond" w:hAnsi="Garamond" w:cs="Arial"/>
            <w:b/>
            <w:bCs/>
            <w:lang w:val="en-GB"/>
          </w:rPr>
          <w:t xml:space="preserve">. Wenn man diesen Satz so versteht, wie er verstanden werden will, so beweist er nur, wie wenig Gewissenhaftigkeit Kritiker bei ihren Geschäften zu verbrauchen pflegen und wie gerne Gegner die klarsten Äußerungen übersehen, wenn sie ihrer Neigung zur Aggression nicht taugen, denn wenige Seiten vorher hatte ich die mannigfaltigen Wunscherfüllungen der Kinderträume erwähnt (eine Landpartie oder Seefahrt zu machen, eine versäumte Mahlzeit nachzuholen usw.), an anderen Stellen von den Hungerträumen, den Träumen auf Durstreiz, auf Exkretionsreiz, von den reinen Bequemlichkeitsträumen gehandelt. Selbst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xml:space="preserve"> stellt keine absolute Behauptung auf. Er sagt »in der Regel auch erotische Wünsche«, und dies ist für die meisten Träume Erwachsener durchaus zu bestätigen.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Anders sieht es aus, wenn man »sexuell« in dem nun in der Psychoanalyse gebräuchlichen Sinne von »Eros« gebraucht. Aber das interessante Problem, ob nicht alle Träume von »libidinösen« Triebkräften (im Gegensatz zu »destruktiven«) geschaffen werden, haben die Gegner kaum vor Augen gehabt.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Nun erübrigen noch die Angstträume als besondere Unterart der Träume mit peinlichem Inhalt, deren Auffassung als Wunschträume bei den Unaufgeklärten die geringste Bereitwilligkeit begegnen wird. Doch kann ich die Angstträume hier ganz kurz abtun; es ist nicht eine neue Seite des Traumproblems, die sich uns in ihnen zeigen würde, sondern es handelt sich bei ihnen um das Verständnis der neurotischen Angst überhaupt. Die Angst, die wir im Traume empfinden, ist nur scheinbar durch den Inhalt des Traumes erklärt. Wenn wir den Trauminhalt der Deutung unterziehen, merken wir, daß die Traumangst durch den Inhalt des Traumes nicht besser gerechtfertigt wird als etwa die Angst einer Phobie durch die Vorstellung, an welcher die Phobie hängt. Es ist z. B. zwar richtig, daß man aus dem Fenster stürzen kann und darum Ursache hat, sich beim Fenster einer gewissen Vorsicht zu befleißen, aber es ist nicht zu verstehen, warum bei der entsprechenden Phobie die Angst so groß ist und den Kranken weit über ihre Anlässe hinaus verfolgt. Dieselbe Aufklärung erweist sich dann als gültig für die Phobie wie für den Angsttraum. Die Angst ist beide Male an die sie begleitende Vorstellung nur </w:t>
      </w:r>
      <w:r w:rsidRPr="00A06A59">
        <w:rPr>
          <w:rFonts w:ascii="Garamond" w:hAnsi="Garamond" w:cs="Arial"/>
          <w:i/>
          <w:iCs/>
          <w:color w:val="000000"/>
          <w:lang w:val="en-GB"/>
        </w:rPr>
        <w:t>angelötet</w:t>
      </w:r>
      <w:r w:rsidRPr="00A06A59">
        <w:rPr>
          <w:rFonts w:ascii="Garamond" w:hAnsi="Garamond" w:cs="Arial"/>
          <w:color w:val="000000"/>
          <w:lang w:val="en-GB"/>
        </w:rPr>
        <w:t xml:space="preserve"> und stammt aus anderer Quelle.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Wegen dieses intimen Zusammenhangs der Traumangst mit der Neurosenangst muß ich hier bei der Erörterung der ersteren auf die letztere verweisen. In einem kleinen Aufsatze über die »Angstneurose« (Neurologisches Zentralblatt 1895 [Ges. Schriften, Bd. I]) habe ich seinerzeit behauptet, daß die neurotische Angst aus dem Sexualleben stammt und einer von ihrer Bestimmung abgelenkten, nicht zur Verwendung gelangten Libido entspricht. Diese Formel hat sich seither immer mehr als stichhältig erwiesen. Aus ihr läßt sich nun der Satz ableiten, daß die Angstträume Träume sexuellen Inhalts sind, deren zugehörige Libido eine Verwandlung in Angst erfahren hat. Es wird sich späterhin die Gelegenheit ergeben, diese Behauptung durch die Analyse einiger Träume bei Neurotikern zu unterstützen. Auch werde ich bei weiteren Versuchen, mich einer Theorie des Traums zu nähern, nochmals auf die Bedingung der Angstträume und deren Verträglichkeit mit der Wunscherfüllungstheorie zu sprechen kommen.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br w:type="page"/>
      </w:r>
    </w:p>
    <w:p w:rsidR="00A06A59" w:rsidRPr="00A06A59" w:rsidRDefault="00B437A1" w:rsidP="00A06A59">
      <w:pPr>
        <w:shd w:val="clear" w:color="auto" w:fill="FFFFFF"/>
        <w:tabs>
          <w:tab w:val="left" w:pos="7513"/>
          <w:tab w:val="left" w:pos="9639"/>
        </w:tabs>
        <w:spacing w:before="221" w:after="44" w:line="306" w:lineRule="atLeast"/>
        <w:ind w:left="-426" w:right="-567"/>
        <w:outlineLvl w:val="3"/>
        <w:rPr>
          <w:rFonts w:ascii="Garamond" w:hAnsi="Garamond" w:cs="Arial"/>
          <w:b/>
          <w:bCs/>
          <w:color w:val="000000"/>
          <w:lang w:val="en-GB"/>
        </w:rPr>
      </w:pPr>
      <w:hyperlink w:anchor="inhalt" w:history="1">
        <w:r w:rsidR="00A06A59" w:rsidRPr="00A06A59">
          <w:rPr>
            <w:rStyle w:val="Lienhypertexte"/>
            <w:rFonts w:ascii="Garamond" w:hAnsi="Garamond" w:cs="Arial"/>
            <w:b/>
            <w:bCs/>
            <w:lang w:val="en-GB"/>
          </w:rPr>
          <w:t>V. Da</w:t>
        </w:r>
        <w:bookmarkStart w:id="66" w:name="V"/>
        <w:bookmarkEnd w:id="66"/>
        <w:r w:rsidR="00A06A59" w:rsidRPr="00A06A59">
          <w:rPr>
            <w:rStyle w:val="Lienhypertexte"/>
            <w:rFonts w:ascii="Garamond" w:hAnsi="Garamond" w:cs="Arial"/>
            <w:b/>
            <w:bCs/>
            <w:lang w:val="en-GB"/>
          </w:rPr>
          <w:t>s Traummaterial und die Traumquellen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Als wir aus der Analyse des Traums von Irmas Injektion ersehen hatten, daß der Traum eine Wunscherfüllung ist, nahm uns zunächst das Interesse gefangen, ob wir hiemit einen allgemeinen Charakter des Traums aufgedeckt haben, und wir brachten vorläufig jede andere wissenschaftliche Neugierde zum Schweigen, die sich in uns während jener Deutungsarbeit geregt haben mochte. Nachdem wir jetzt auf dem einen Wege zum Ziel gelangt sind, dürfen wir zurückkehren und einen neuen Ausgangspunkt für unsere Streifungen durch die Probleme des Traumes wählen, sollten wir darüber auch das noch keineswegs voll erledigte Thema der Wunscherfüllung für eine Weile aus den Augen verlieren.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Seitdem wir durch Anwendung unseres Verfahrens der Traumdeutung einen </w:t>
      </w:r>
      <w:r w:rsidRPr="00A06A59">
        <w:rPr>
          <w:rFonts w:ascii="Garamond" w:hAnsi="Garamond" w:cs="Arial"/>
          <w:i/>
          <w:iCs/>
          <w:color w:val="000000"/>
          <w:lang w:val="en-GB"/>
        </w:rPr>
        <w:t>latenten</w:t>
      </w:r>
      <w:r w:rsidRPr="00A06A59">
        <w:rPr>
          <w:rFonts w:ascii="Garamond" w:hAnsi="Garamond" w:cs="Arial"/>
          <w:color w:val="000000"/>
          <w:lang w:val="en-GB"/>
        </w:rPr>
        <w:t xml:space="preserve"> Trauminhalt aufdecken können, der an Bedeutsamkeit den </w:t>
      </w:r>
      <w:r w:rsidRPr="00A06A59">
        <w:rPr>
          <w:rFonts w:ascii="Garamond" w:hAnsi="Garamond" w:cs="Arial"/>
          <w:i/>
          <w:iCs/>
          <w:color w:val="000000"/>
          <w:lang w:val="en-GB"/>
        </w:rPr>
        <w:t>manifesten</w:t>
      </w:r>
      <w:r w:rsidRPr="00A06A59">
        <w:rPr>
          <w:rFonts w:ascii="Garamond" w:hAnsi="Garamond" w:cs="Arial"/>
          <w:color w:val="000000"/>
          <w:lang w:val="en-GB"/>
        </w:rPr>
        <w:t xml:space="preserve"> Trauminhalt weit hinter sich läßt, muß es uns drängen, die einzelnen Traumprobleme von neuem aufzunehmen, um zu versuchen, ob sich für uns nicht Rätsel und Widersprüche befriedigend lösen, die, solange man nur den manifesten Trauminhalt kannte, unangreifbar erschienen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Angaben der Autoren über den Zusammenhang des Traums mit dem Wachleben sowie über die Herkunft des Traummaterials sind im einleitenden Abschnitt ausführlich mitgeteilt worden. Wir erinnern uns auch jener drei Eigentümlichkeiten des Traumgedächtnisses, die so vielfach bemerkt, aber nicht erklärt worden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1. Daß der Traum die Eindrücke der letzten Tage deutlich bevorzugt ( </w:t>
      </w:r>
      <w:r w:rsidRPr="00A06A59">
        <w:rPr>
          <w:rFonts w:ascii="Garamond" w:hAnsi="Garamond" w:cs="Arial"/>
          <w:i/>
          <w:iCs/>
          <w:color w:val="000000"/>
          <w:lang w:val="en-GB"/>
        </w:rPr>
        <w:t>Robert</w:t>
      </w:r>
      <w:r w:rsidRPr="00A06A59">
        <w:rPr>
          <w:rFonts w:ascii="Garamond" w:hAnsi="Garamond" w:cs="Arial"/>
          <w:color w:val="000000"/>
          <w:lang w:val="en-GB"/>
        </w:rPr>
        <w:t xml:space="preserve">, </w:t>
      </w:r>
      <w:r w:rsidRPr="00A06A59">
        <w:rPr>
          <w:rFonts w:ascii="Garamond" w:hAnsi="Garamond" w:cs="Arial"/>
          <w:i/>
          <w:iCs/>
          <w:color w:val="000000"/>
          <w:lang w:val="en-GB"/>
        </w:rPr>
        <w:t>Strümpell</w:t>
      </w:r>
      <w:r w:rsidRPr="00A06A59">
        <w:rPr>
          <w:rFonts w:ascii="Garamond" w:hAnsi="Garamond" w:cs="Arial"/>
          <w:color w:val="000000"/>
          <w:lang w:val="en-GB"/>
        </w:rPr>
        <w:t xml:space="preserve">, </w:t>
      </w:r>
      <w:r w:rsidRPr="00A06A59">
        <w:rPr>
          <w:rFonts w:ascii="Garamond" w:hAnsi="Garamond" w:cs="Arial"/>
          <w:i/>
          <w:iCs/>
          <w:color w:val="000000"/>
          <w:lang w:val="en-GB"/>
        </w:rPr>
        <w:t>Hildebrandt</w:t>
      </w:r>
      <w:r w:rsidRPr="00A06A59">
        <w:rPr>
          <w:rFonts w:ascii="Garamond" w:hAnsi="Garamond" w:cs="Arial"/>
          <w:color w:val="000000"/>
          <w:lang w:val="en-GB"/>
        </w:rPr>
        <w:t xml:space="preserve">, auch </w:t>
      </w:r>
      <w:r w:rsidRPr="00A06A59">
        <w:rPr>
          <w:rFonts w:ascii="Garamond" w:hAnsi="Garamond" w:cs="Arial"/>
          <w:i/>
          <w:iCs/>
          <w:color w:val="000000"/>
          <w:lang w:val="en-GB"/>
        </w:rPr>
        <w:t>Weed-Hallam</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2. daß er eine Auswahl nach anderen Prinzipien als unser Wachgedächtnis trifft, indem er nicht das Wesentliche und Wichtige, sondern das Nebensächliche und Unbeachtete erinnert;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3. daß er die Verfügung über unsere frühesten Kindheitseindrücke besitzt und selbst Einzelheiten aus dieser Lebenszeit hervorholt, die uns wiederum als trivial erscheinen und im Wachen für längst vergessen gehalten worden sind. </w:t>
      </w:r>
      <w:hyperlink r:id="rId75" w:anchor="#" w:history="1">
        <w:r w:rsidRPr="00A06A59">
          <w:rPr>
            <w:rStyle w:val="fusslink"/>
            <w:rFonts w:ascii="Garamond" w:hAnsi="Garamond" w:cs="Arial"/>
            <w:b/>
            <w:bCs/>
            <w:color w:val="003399"/>
          </w:rPr>
          <w:t>[Fußnote]</w:t>
        </w:r>
        <w:r w:rsidRPr="00A06A59">
          <w:rPr>
            <w:rStyle w:val="innerfusslink3"/>
            <w:rFonts w:ascii="Garamond" w:hAnsi="Garamond" w:cs="Arial"/>
            <w:b/>
            <w:bCs/>
          </w:rPr>
          <w:t>Es ist klar, daß die Auffassung Roberts, der Traum sei dazu bestimmt, unser Gedächtnis von den wertlosen Eindrücken des Tages zu entlasten, nicht mehr zu halten ist, wenn im Traume einigermaßen häufig gleichgültige Erinnerungsbilder aus unserer Kindheit auftreten. Man müßte den Schluß ziehen, daß der Traum die ihm zufallende Aufgabe sehr ungenügend zu erfüllen pflegt.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Diese Besonderheiten in der Auswahl des Traummaterials sind von den Autoren natürlich am manifesten Trauminhalte beobachtet worden.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br w:type="page"/>
      </w:r>
    </w:p>
    <w:p w:rsidR="00A06A59" w:rsidRPr="00A06A59" w:rsidRDefault="00B437A1"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hyperlink w:anchor="inhalt" w:history="1">
        <w:r w:rsidR="00A06A59" w:rsidRPr="00A06A59">
          <w:rPr>
            <w:rStyle w:val="Lienhypertexte"/>
            <w:rFonts w:ascii="Garamond" w:hAnsi="Garamond" w:cs="Arial"/>
            <w:b/>
            <w:bCs/>
            <w:lang w:val="en-GB"/>
          </w:rPr>
          <w:t>A. Da</w:t>
        </w:r>
        <w:bookmarkStart w:id="67" w:name="VA"/>
        <w:bookmarkEnd w:id="67"/>
        <w:r w:rsidR="00A06A59" w:rsidRPr="00A06A59">
          <w:rPr>
            <w:rStyle w:val="Lienhypertexte"/>
            <w:rFonts w:ascii="Garamond" w:hAnsi="Garamond" w:cs="Arial"/>
            <w:b/>
            <w:bCs/>
            <w:lang w:val="en-GB"/>
          </w:rPr>
          <w:t>s Rezente und das Indifferente im Traum</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ich jetzt in betreff der Herkunft der im Trauminhalt auftretenden Elemente meine eigene Erfahrung zu Rate ziehe, so muß ich zunächst die Behauptung aufstellen, daß in jedem Traum eine Anknüpfung an die Erlebnisse des </w:t>
      </w:r>
      <w:r w:rsidRPr="00A06A59">
        <w:rPr>
          <w:rFonts w:ascii="Garamond" w:hAnsi="Garamond" w:cs="Arial"/>
          <w:i/>
          <w:iCs/>
          <w:color w:val="000000"/>
          <w:lang w:val="en-GB"/>
        </w:rPr>
        <w:t>letztabgelaufenen Tages</w:t>
      </w:r>
      <w:r w:rsidRPr="00A06A59">
        <w:rPr>
          <w:rFonts w:ascii="Garamond" w:hAnsi="Garamond" w:cs="Arial"/>
          <w:color w:val="000000"/>
          <w:lang w:val="en-GB"/>
        </w:rPr>
        <w:t xml:space="preserve"> aufzufinden ist. Welchen Traum immer ich vornehme, einen eigenen oder fremden, jedesmal bestätigt sich mir diese Erfahrung. In Kenntnis dieser Tatsache kann ich etwa die Traumdeutung damit beginnen, daß ich zuerst nach dem Erlebnis des Tages forsche, welches den Traum angeregt hat; für viele Fälle ist dies sogar der nächste Weg. An den beiden Träumen, die ich im vorigen Abschnitt einer genauen Analyse unterzogen habe (von Irmas Injektion, von meinem Onkel mit dem gelben Bart), ist die Beziehung zum Tag so augenfällig, daß sie keiner weiteren Beleuchtung bedarf. Um aber zu zeigen, wie regelmäßig sich diese Beziehung erweisen läßt, will ich ein Stück meiner eigenen Traumchronik daraufhin untersuchen. Ich teile die Träume nur so weit mit, als ich es zur Aufdeckung der gesuchten Traumquelle bedarf.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1. </w:t>
      </w:r>
      <w:r w:rsidRPr="00A06A59">
        <w:rPr>
          <w:rFonts w:ascii="Garamond" w:hAnsi="Garamond" w:cs="Arial"/>
          <w:i/>
          <w:iCs/>
          <w:color w:val="000000"/>
          <w:lang w:val="en-GB"/>
        </w:rPr>
        <w:t>Ich mache einen Besuch in einem Hause, wo ich nur mit Schwierigkeiten vorgelassen werde</w:t>
      </w:r>
      <w:r w:rsidRPr="00A06A59">
        <w:rPr>
          <w:rFonts w:ascii="Garamond" w:hAnsi="Garamond" w:cs="Arial"/>
          <w:color w:val="000000"/>
          <w:lang w:val="en-GB"/>
        </w:rPr>
        <w:t xml:space="preserve"> usw., </w:t>
      </w:r>
      <w:r w:rsidRPr="00A06A59">
        <w:rPr>
          <w:rFonts w:ascii="Garamond" w:hAnsi="Garamond" w:cs="Arial"/>
          <w:i/>
          <w:iCs/>
          <w:color w:val="000000"/>
          <w:lang w:val="en-GB"/>
        </w:rPr>
        <w:t xml:space="preserve">lasse eine Frau unterdessen auf mich </w:t>
      </w:r>
      <w:r w:rsidRPr="00A06A59">
        <w:rPr>
          <w:rFonts w:ascii="Garamond" w:hAnsi="Garamond" w:cs="Arial"/>
          <w:b/>
          <w:bCs/>
          <w:i/>
          <w:iCs/>
          <w:color w:val="000000"/>
          <w:lang w:val="en-GB"/>
        </w:rPr>
        <w:t>warten</w:t>
      </w:r>
      <w:r w:rsidRPr="00A06A59">
        <w:rPr>
          <w:rFonts w:ascii="Garamond" w:hAnsi="Garamond" w:cs="Arial"/>
          <w:i/>
          <w:iCs/>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Quelle:</w:t>
      </w:r>
      <w:r w:rsidRPr="00A06A59">
        <w:rPr>
          <w:rFonts w:ascii="Garamond" w:hAnsi="Garamond" w:cs="Arial"/>
          <w:color w:val="000000"/>
          <w:lang w:val="en-GB"/>
        </w:rPr>
        <w:t xml:space="preserve"> Gespräch mit einer Verwandten am Abend, daß eine Anschaffung, die sie verlangt, </w:t>
      </w:r>
      <w:r w:rsidRPr="00A06A59">
        <w:rPr>
          <w:rFonts w:ascii="Garamond" w:hAnsi="Garamond" w:cs="Arial"/>
          <w:i/>
          <w:iCs/>
          <w:color w:val="000000"/>
          <w:lang w:val="en-GB"/>
        </w:rPr>
        <w:t>warten</w:t>
      </w:r>
      <w:r w:rsidRPr="00A06A59">
        <w:rPr>
          <w:rFonts w:ascii="Garamond" w:hAnsi="Garamond" w:cs="Arial"/>
          <w:color w:val="000000"/>
          <w:lang w:val="en-GB"/>
        </w:rPr>
        <w:t xml:space="preserve"> müsse, bis usw.</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2. </w:t>
      </w:r>
      <w:r w:rsidRPr="00A06A59">
        <w:rPr>
          <w:rFonts w:ascii="Garamond" w:hAnsi="Garamond" w:cs="Arial"/>
          <w:i/>
          <w:iCs/>
          <w:color w:val="000000"/>
          <w:lang w:val="en-GB"/>
        </w:rPr>
        <w:t xml:space="preserve">Ich habe eine </w:t>
      </w:r>
      <w:r w:rsidRPr="00A06A59">
        <w:rPr>
          <w:rFonts w:ascii="Garamond" w:hAnsi="Garamond" w:cs="Arial"/>
          <w:b/>
          <w:bCs/>
          <w:i/>
          <w:iCs/>
          <w:color w:val="000000"/>
          <w:lang w:val="en-GB"/>
        </w:rPr>
        <w:t>Monographie</w:t>
      </w:r>
      <w:r w:rsidRPr="00A06A59">
        <w:rPr>
          <w:rFonts w:ascii="Garamond" w:hAnsi="Garamond" w:cs="Arial"/>
          <w:i/>
          <w:iCs/>
          <w:color w:val="000000"/>
          <w:lang w:val="en-GB"/>
        </w:rPr>
        <w:t xml:space="preserve"> über eine gewisse</w:t>
      </w:r>
      <w:r w:rsidRPr="00A06A59">
        <w:rPr>
          <w:rFonts w:ascii="Garamond" w:hAnsi="Garamond" w:cs="Arial"/>
          <w:color w:val="000000"/>
          <w:lang w:val="en-GB"/>
        </w:rPr>
        <w:t xml:space="preserve"> (unklar) </w:t>
      </w:r>
      <w:r w:rsidRPr="00A06A59">
        <w:rPr>
          <w:rFonts w:ascii="Garamond" w:hAnsi="Garamond" w:cs="Arial"/>
          <w:i/>
          <w:iCs/>
          <w:color w:val="000000"/>
          <w:lang w:val="en-GB"/>
        </w:rPr>
        <w:t>Pflanzenart geschrieben.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Quelle:</w:t>
      </w:r>
      <w:r w:rsidRPr="00A06A59">
        <w:rPr>
          <w:rFonts w:ascii="Garamond" w:hAnsi="Garamond" w:cs="Arial"/>
          <w:color w:val="000000"/>
          <w:lang w:val="en-GB"/>
        </w:rPr>
        <w:t xml:space="preserve"> Am Vormittag im Schaufenster einer Buchhandlung eine </w:t>
      </w:r>
      <w:r w:rsidRPr="00A06A59">
        <w:rPr>
          <w:rFonts w:ascii="Garamond" w:hAnsi="Garamond" w:cs="Arial"/>
          <w:i/>
          <w:iCs/>
          <w:color w:val="000000"/>
          <w:lang w:val="en-GB"/>
        </w:rPr>
        <w:t>Monographie</w:t>
      </w:r>
      <w:r w:rsidRPr="00A06A59">
        <w:rPr>
          <w:rFonts w:ascii="Garamond" w:hAnsi="Garamond" w:cs="Arial"/>
          <w:color w:val="000000"/>
          <w:lang w:val="en-GB"/>
        </w:rPr>
        <w:t xml:space="preserve"> gesehen über die Gattung Zyklamen.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3. </w:t>
      </w:r>
      <w:r w:rsidRPr="00A06A59">
        <w:rPr>
          <w:rFonts w:ascii="Garamond" w:hAnsi="Garamond" w:cs="Arial"/>
          <w:i/>
          <w:iCs/>
          <w:color w:val="000000"/>
          <w:lang w:val="en-GB"/>
        </w:rPr>
        <w:t xml:space="preserve">Ich sehe zwei Frauen auf der Straße </w:t>
      </w:r>
      <w:r w:rsidRPr="00A06A59">
        <w:rPr>
          <w:rFonts w:ascii="Garamond" w:hAnsi="Garamond" w:cs="Arial"/>
          <w:b/>
          <w:bCs/>
          <w:i/>
          <w:iCs/>
          <w:color w:val="000000"/>
          <w:lang w:val="en-GB"/>
        </w:rPr>
        <w:t>, Mutter und Tochter</w:t>
      </w:r>
      <w:r w:rsidRPr="00A06A59">
        <w:rPr>
          <w:rFonts w:ascii="Garamond" w:hAnsi="Garamond" w:cs="Arial"/>
          <w:i/>
          <w:iCs/>
          <w:color w:val="000000"/>
          <w:lang w:val="en-GB"/>
        </w:rPr>
        <w:t>, von denen die letztere meine Patientin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Quelle:</w:t>
      </w:r>
      <w:r w:rsidRPr="00A06A59">
        <w:rPr>
          <w:rFonts w:ascii="Garamond" w:hAnsi="Garamond" w:cs="Arial"/>
          <w:color w:val="000000"/>
          <w:lang w:val="en-GB"/>
        </w:rPr>
        <w:t xml:space="preserve"> Eine in Behandlung stehende Patientin hat mir abends mitgeteilt, welche Schwierigkeiten ihre </w:t>
      </w:r>
      <w:r w:rsidRPr="00A06A59">
        <w:rPr>
          <w:rFonts w:ascii="Garamond" w:hAnsi="Garamond" w:cs="Arial"/>
          <w:i/>
          <w:iCs/>
          <w:color w:val="000000"/>
          <w:lang w:val="en-GB"/>
        </w:rPr>
        <w:t>Mutter</w:t>
      </w:r>
      <w:r w:rsidRPr="00A06A59">
        <w:rPr>
          <w:rFonts w:ascii="Garamond" w:hAnsi="Garamond" w:cs="Arial"/>
          <w:color w:val="000000"/>
          <w:lang w:val="en-GB"/>
        </w:rPr>
        <w:t xml:space="preserve"> einer Fortsetzung der Behandlung entgegenstellt.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smartTag w:uri="urn:schemas-microsoft-com:office:smarttags" w:element="metricconverter">
        <w:smartTagPr>
          <w:attr w:name="ProductID" w:val="4. In"/>
        </w:smartTagPr>
        <w:r w:rsidRPr="00A06A59">
          <w:rPr>
            <w:rFonts w:ascii="Garamond" w:hAnsi="Garamond" w:cs="Arial"/>
            <w:color w:val="000000"/>
            <w:lang w:val="en-GB"/>
          </w:rPr>
          <w:t xml:space="preserve">4. </w:t>
        </w:r>
        <w:r w:rsidRPr="00A06A59">
          <w:rPr>
            <w:rFonts w:ascii="Garamond" w:hAnsi="Garamond" w:cs="Arial"/>
            <w:i/>
            <w:iCs/>
            <w:color w:val="000000"/>
            <w:lang w:val="en-GB"/>
          </w:rPr>
          <w:t>In</w:t>
        </w:r>
      </w:smartTag>
      <w:r w:rsidRPr="00A06A59">
        <w:rPr>
          <w:rFonts w:ascii="Garamond" w:hAnsi="Garamond" w:cs="Arial"/>
          <w:i/>
          <w:iCs/>
          <w:color w:val="000000"/>
          <w:lang w:val="en-GB"/>
        </w:rPr>
        <w:t xml:space="preserve"> der Buchhandlung von S. und R. nehme ich ein Abonnement auf eine periodische Publikation, die jährlich </w:t>
      </w:r>
      <w:r w:rsidRPr="00A06A59">
        <w:rPr>
          <w:rFonts w:ascii="Garamond" w:hAnsi="Garamond" w:cs="Arial"/>
          <w:b/>
          <w:bCs/>
          <w:i/>
          <w:iCs/>
          <w:color w:val="000000"/>
          <w:lang w:val="en-GB"/>
        </w:rPr>
        <w:t>zwanzig Gulden</w:t>
      </w:r>
      <w:r w:rsidRPr="00A06A59">
        <w:rPr>
          <w:rFonts w:ascii="Garamond" w:hAnsi="Garamond" w:cs="Arial"/>
          <w:i/>
          <w:iCs/>
          <w:color w:val="000000"/>
          <w:lang w:val="en-GB"/>
        </w:rPr>
        <w:t xml:space="preserve"> kostet.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Quelle:</w:t>
      </w:r>
      <w:r w:rsidRPr="00A06A59">
        <w:rPr>
          <w:rFonts w:ascii="Garamond" w:hAnsi="Garamond" w:cs="Arial"/>
          <w:color w:val="000000"/>
          <w:lang w:val="en-GB"/>
        </w:rPr>
        <w:t xml:space="preserve"> Meine Frau hat mich am Tage daran erinnert, daß ich ihr </w:t>
      </w:r>
      <w:r w:rsidRPr="00A06A59">
        <w:rPr>
          <w:rFonts w:ascii="Garamond" w:hAnsi="Garamond" w:cs="Arial"/>
          <w:i/>
          <w:iCs/>
          <w:color w:val="000000"/>
          <w:lang w:val="en-GB"/>
        </w:rPr>
        <w:t>zwanzig Gulden</w:t>
      </w:r>
      <w:r w:rsidRPr="00A06A59">
        <w:rPr>
          <w:rFonts w:ascii="Garamond" w:hAnsi="Garamond" w:cs="Arial"/>
          <w:color w:val="000000"/>
          <w:lang w:val="en-GB"/>
        </w:rPr>
        <w:t xml:space="preserve"> vom Wochengelde noch schuldig bin.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5. </w:t>
      </w:r>
      <w:r w:rsidRPr="00A06A59">
        <w:rPr>
          <w:rFonts w:ascii="Garamond" w:hAnsi="Garamond" w:cs="Arial"/>
          <w:i/>
          <w:iCs/>
          <w:color w:val="000000"/>
          <w:lang w:val="en-GB"/>
        </w:rPr>
        <w:t xml:space="preserve">Ich erhalte eine </w:t>
      </w:r>
      <w:r w:rsidRPr="00A06A59">
        <w:rPr>
          <w:rFonts w:ascii="Garamond" w:hAnsi="Garamond" w:cs="Arial"/>
          <w:b/>
          <w:bCs/>
          <w:i/>
          <w:iCs/>
          <w:color w:val="000000"/>
          <w:lang w:val="en-GB"/>
        </w:rPr>
        <w:t>Zuschrift</w:t>
      </w:r>
      <w:r w:rsidRPr="00A06A59">
        <w:rPr>
          <w:rFonts w:ascii="Garamond" w:hAnsi="Garamond" w:cs="Arial"/>
          <w:i/>
          <w:iCs/>
          <w:color w:val="000000"/>
          <w:lang w:val="en-GB"/>
        </w:rPr>
        <w:t xml:space="preserve"> vom sozialdemokratischen Komitee, in der ich al </w:t>
      </w:r>
      <w:r w:rsidRPr="00A06A59">
        <w:rPr>
          <w:rFonts w:ascii="Garamond" w:hAnsi="Garamond" w:cs="Arial"/>
          <w:b/>
          <w:bCs/>
          <w:i/>
          <w:iCs/>
          <w:color w:val="000000"/>
          <w:lang w:val="en-GB"/>
        </w:rPr>
        <w:t>s Mitglied</w:t>
      </w:r>
      <w:r w:rsidRPr="00A06A59">
        <w:rPr>
          <w:rFonts w:ascii="Garamond" w:hAnsi="Garamond" w:cs="Arial"/>
          <w:i/>
          <w:iCs/>
          <w:color w:val="000000"/>
          <w:lang w:val="en-GB"/>
        </w:rPr>
        <w:t xml:space="preserve"> behandelt werde.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Quelle: Zuschriften</w:t>
      </w:r>
      <w:r w:rsidRPr="00A06A59">
        <w:rPr>
          <w:rFonts w:ascii="Garamond" w:hAnsi="Garamond" w:cs="Arial"/>
          <w:color w:val="000000"/>
          <w:lang w:val="en-GB"/>
        </w:rPr>
        <w:t xml:space="preserve"> erhalten gleichzeitig vom liberalen </w:t>
      </w:r>
      <w:r w:rsidRPr="00A06A59">
        <w:rPr>
          <w:rFonts w:ascii="Garamond" w:hAnsi="Garamond" w:cs="Arial"/>
          <w:i/>
          <w:iCs/>
          <w:color w:val="000000"/>
          <w:lang w:val="en-GB"/>
        </w:rPr>
        <w:t>Wahlkomitee</w:t>
      </w:r>
      <w:r w:rsidRPr="00A06A59">
        <w:rPr>
          <w:rFonts w:ascii="Garamond" w:hAnsi="Garamond" w:cs="Arial"/>
          <w:color w:val="000000"/>
          <w:lang w:val="en-GB"/>
        </w:rPr>
        <w:t xml:space="preserve"> und vom Präsidium des humanitären Vereins, dessen </w:t>
      </w:r>
      <w:r w:rsidRPr="00A06A59">
        <w:rPr>
          <w:rFonts w:ascii="Garamond" w:hAnsi="Garamond" w:cs="Arial"/>
          <w:i/>
          <w:iCs/>
          <w:color w:val="000000"/>
          <w:lang w:val="en-GB"/>
        </w:rPr>
        <w:t>Mitglied</w:t>
      </w:r>
      <w:r w:rsidRPr="00A06A59">
        <w:rPr>
          <w:rFonts w:ascii="Garamond" w:hAnsi="Garamond" w:cs="Arial"/>
          <w:color w:val="000000"/>
          <w:lang w:val="en-GB"/>
        </w:rPr>
        <w:t xml:space="preserve"> ich wirklich bin.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6. </w:t>
      </w:r>
      <w:r w:rsidRPr="00A06A59">
        <w:rPr>
          <w:rFonts w:ascii="Garamond" w:hAnsi="Garamond" w:cs="Arial"/>
          <w:i/>
          <w:iCs/>
          <w:color w:val="000000"/>
          <w:lang w:val="en-GB"/>
        </w:rPr>
        <w:t xml:space="preserve">Ein Mann auf einem </w:t>
      </w:r>
      <w:r w:rsidRPr="00A06A59">
        <w:rPr>
          <w:rFonts w:ascii="Garamond" w:hAnsi="Garamond" w:cs="Arial"/>
          <w:b/>
          <w:bCs/>
          <w:i/>
          <w:iCs/>
          <w:color w:val="000000"/>
          <w:lang w:val="en-GB"/>
        </w:rPr>
        <w:t>steilen Fels mitten im Meer, in Böcklinscher Manier.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Quelle: Dreyfus</w:t>
      </w:r>
      <w:r w:rsidRPr="00A06A59">
        <w:rPr>
          <w:rFonts w:ascii="Garamond" w:hAnsi="Garamond" w:cs="Arial"/>
          <w:color w:val="000000"/>
          <w:lang w:val="en-GB"/>
        </w:rPr>
        <w:t xml:space="preserve"> auf der </w:t>
      </w:r>
      <w:r w:rsidRPr="00A06A59">
        <w:rPr>
          <w:rFonts w:ascii="Garamond" w:hAnsi="Garamond" w:cs="Arial"/>
          <w:i/>
          <w:iCs/>
          <w:color w:val="000000"/>
          <w:lang w:val="en-GB"/>
        </w:rPr>
        <w:t>Teufelsinsel,</w:t>
      </w:r>
      <w:r w:rsidRPr="00A06A59">
        <w:rPr>
          <w:rFonts w:ascii="Garamond" w:hAnsi="Garamond" w:cs="Arial"/>
          <w:color w:val="000000"/>
          <w:lang w:val="en-GB"/>
        </w:rPr>
        <w:t xml:space="preserve"> gleichzeitig Nachrichten von meinen Verwandten in </w:t>
      </w:r>
      <w:r w:rsidRPr="00A06A59">
        <w:rPr>
          <w:rFonts w:ascii="Garamond" w:hAnsi="Garamond" w:cs="Arial"/>
          <w:i/>
          <w:iCs/>
          <w:color w:val="000000"/>
          <w:lang w:val="en-GB"/>
        </w:rPr>
        <w:t>England</w:t>
      </w:r>
      <w:r w:rsidRPr="00A06A59">
        <w:rPr>
          <w:rFonts w:ascii="Garamond" w:hAnsi="Garamond" w:cs="Arial"/>
          <w:color w:val="000000"/>
          <w:lang w:val="en-GB"/>
        </w:rPr>
        <w:t xml:space="preserve"> usw.</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Man könnte die Frage aufwerfen, ob die Traumanknüpfung unfehlbar an die Ereignisse des letzten Tages erfolgt oder ob sie sich auf Eindrücke eines längeren Zeitraumes der jüngsten Vergangenheit erstrecken kann. Dieser Gegenstand kann prinzipielle Bedeutsamkeit wahrscheinlich nicht beanspruchen, doch möchte ich mich für das ausschließliche Vorrecht des letzten Tages vor dem Traume (des Traumtages) entscheiden. Sooft ich zu finden vermeinte, daß ein Eindruck vor zwei oder drei Tagen die Quelle des Traumes gewesen sei, konnte ich mich doch bei genauerer Nachforschung überzeugen, daß jener Eindruck am Vortage wieder erinnert worden war, daß also eine nachweisbare Reproduktion am Vortage sich zwischen dem Ereignistage und der Traumzeit eingeschoben hatte, und konnte außerdem den rezenten Anlaß nachweisen, von dem die Erinnerung an den älteren Eindruck ausgegangen sein konnte.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Hingegen konnte ich mich nicht davon überzeugen, daß zwischen dem erregenden Tageseindruck und dessen Wiederkehr im Traume ein regelmäßiges Intervall von biologischer Bedeutsamkeit (als erstes dieser Art nennt H. </w:t>
      </w:r>
      <w:r w:rsidRPr="00A06A59">
        <w:rPr>
          <w:rFonts w:ascii="Garamond" w:hAnsi="Garamond" w:cs="Arial"/>
          <w:i/>
          <w:iCs/>
          <w:color w:val="000000"/>
          <w:lang w:val="en-GB"/>
        </w:rPr>
        <w:t>Swoboda</w:t>
      </w:r>
      <w:r w:rsidRPr="00A06A59">
        <w:rPr>
          <w:rFonts w:ascii="Garamond" w:hAnsi="Garamond" w:cs="Arial"/>
          <w:color w:val="000000"/>
          <w:lang w:val="en-GB"/>
        </w:rPr>
        <w:t xml:space="preserve"> achtzehn Stunden) eingeschoben ist. </w:t>
      </w:r>
      <w:hyperlink r:id="rId76"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H. </w:t>
        </w:r>
        <w:r w:rsidRPr="00A06A59">
          <w:rPr>
            <w:rStyle w:val="innerfusslink3"/>
            <w:rFonts w:ascii="Garamond" w:hAnsi="Garamond" w:cs="Arial"/>
            <w:b/>
            <w:bCs/>
            <w:i/>
            <w:iCs/>
          </w:rPr>
          <w:t>Swoboda</w:t>
        </w:r>
        <w:r w:rsidRPr="00A06A59">
          <w:rPr>
            <w:rStyle w:val="innerfusslink3"/>
            <w:rFonts w:ascii="Garamond" w:hAnsi="Garamond" w:cs="Arial"/>
            <w:b/>
            <w:bCs/>
          </w:rPr>
          <w:t xml:space="preserve"> hat, wie in den Ergänzungen zum ersten Abschnitt (S. 66) mitgeteilt, die von W. Fließ gefundenen biologischen Intervalle von 23 und 28 Tagen in weitem Ausmaß auf das seelische Geschehen übertragen und insbesondere behauptet, daß diese Zeiten für das Auftauchen der Traumelemente in den Träumen entscheidend sind. Die Traumdeutung würde nicht wesentlich abgeändert, wenn sich solches nachweisen ließe, aber für die Herkunft des Traummaterials ergäbe sich eine neue Quelle. Ich habe nun neuerdings einige Untersuchungen an eigenen Träumen angestellt, um die Anwendbarkeit der »Periodenlehre« auf das Traummaterial zu prüfen, und habe hiezu besonders auffällige Elemente des Trauminhaltes gewählt, deren Auftreten im Leben sich zeitlich mit Sicherheit bestimmen ließ.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I. Traum vom 1./2. Oktober 1910. </w:t>
        </w:r>
        <w:r w:rsidRPr="00A06A59">
          <w:rPr>
            <w:rFonts w:ascii="Garamond" w:hAnsi="Garamond" w:cs="Arial"/>
            <w:b/>
            <w:bCs/>
            <w:color w:val="000000"/>
          </w:rPr>
          <w:br/>
        </w:r>
        <w:r w:rsidRPr="00A06A59">
          <w:rPr>
            <w:rFonts w:ascii="Garamond" w:hAnsi="Garamond" w:cs="Arial"/>
            <w:b/>
            <w:bCs/>
            <w:color w:val="000000"/>
          </w:rPr>
          <w:lastRenderedPageBreak/>
          <w:br/>
        </w:r>
        <w:r w:rsidRPr="00A06A59">
          <w:rPr>
            <w:rStyle w:val="innerfusslink3"/>
            <w:rFonts w:ascii="Garamond" w:hAnsi="Garamond" w:cs="Arial"/>
            <w:b/>
            <w:bCs/>
          </w:rPr>
          <w:t xml:space="preserve">(Bruchstück) ... </w:t>
        </w:r>
        <w:r w:rsidRPr="00A06A59">
          <w:rPr>
            <w:rStyle w:val="innerfusslink3"/>
            <w:rFonts w:ascii="Garamond" w:hAnsi="Garamond" w:cs="Arial"/>
            <w:b/>
            <w:bCs/>
            <w:i/>
            <w:iCs/>
          </w:rPr>
          <w:t xml:space="preserve">Irgendwo in Italien. Drei Töchter zeigen mir kleine Kostbarkeiten, wie in einem Antiquarladen, setzen sich mir dabei auf den Schoß. Bei einem der Stücke sage ich: Das haben Sie ja von mir. Ich sehe dabei deutlich eine kleine Profilmaske mit den scharfgeschnittenen Zügen Savonarolas. </w:t>
        </w:r>
        <w:r w:rsidRPr="00A06A59">
          <w:rPr>
            <w:rFonts w:ascii="Garamond" w:hAnsi="Garamond" w:cs="Arial"/>
            <w:b/>
            <w:bCs/>
            <w:i/>
            <w:iCs/>
            <w:color w:val="000000"/>
          </w:rPr>
          <w:br/>
        </w:r>
        <w:r w:rsidRPr="00A06A59">
          <w:rPr>
            <w:rFonts w:ascii="Garamond" w:hAnsi="Garamond" w:cs="Arial"/>
            <w:b/>
            <w:bCs/>
            <w:i/>
            <w:iCs/>
            <w:color w:val="000000"/>
          </w:rPr>
          <w:br/>
        </w:r>
        <w:r w:rsidRPr="00A06A59">
          <w:rPr>
            <w:rStyle w:val="innerfusslink3"/>
            <w:rFonts w:ascii="Garamond" w:hAnsi="Garamond" w:cs="Arial"/>
            <w:b/>
            <w:bCs/>
            <w:lang w:val="en-GB"/>
          </w:rPr>
          <w:t xml:space="preserve">Wann habe ich zuletzt das Bild </w:t>
        </w:r>
        <w:r w:rsidRPr="00A06A59">
          <w:rPr>
            <w:rStyle w:val="innerfusslink3"/>
            <w:rFonts w:ascii="Garamond" w:hAnsi="Garamond" w:cs="Arial"/>
            <w:b/>
            <w:bCs/>
            <w:i/>
            <w:iCs/>
            <w:lang w:val="en-GB"/>
          </w:rPr>
          <w:t>Savonarolas</w:t>
        </w:r>
        <w:r w:rsidRPr="00A06A59">
          <w:rPr>
            <w:rStyle w:val="innerfusslink3"/>
            <w:rFonts w:ascii="Garamond" w:hAnsi="Garamond" w:cs="Arial"/>
            <w:b/>
            <w:bCs/>
            <w:lang w:val="en-GB"/>
          </w:rPr>
          <w:t xml:space="preserve"> gesehen? Ich war nach dem Ausweis meines Reisetagebuches am 4. und 5. September in Florenz; dort dachte ich daran, meinem Reisebegleiter das Medaillon mit den Zügen des fanatischen Mönches im Pflaster der Piazza Signoria an der Stelle, wo er den Tod durch Verbrennen fand, zu zeigen, und ich meine, am 3., vormittags, machte ich ihn auf dasselbe aufmerksam. Von diesem Eindruck bis zur Wiederkehr im Traume sind allerdings 27 1 Tage verflossen, eine »weibliche Periode«, nach Fließ. Zum Unglück für die Beweiskraft dieses Beispiels muß ich aber erwähnen, daß an </w:t>
        </w:r>
        <w:r w:rsidRPr="00A06A59">
          <w:rPr>
            <w:rStyle w:val="innerfusslink3"/>
            <w:rFonts w:ascii="Garamond" w:hAnsi="Garamond" w:cs="Arial"/>
            <w:b/>
            <w:bCs/>
            <w:i/>
            <w:iCs/>
            <w:lang w:val="en-GB"/>
          </w:rPr>
          <w:t>dem Traumtage selbst</w:t>
        </w:r>
        <w:r w:rsidRPr="00A06A59">
          <w:rPr>
            <w:rStyle w:val="innerfusslink3"/>
            <w:rFonts w:ascii="Garamond" w:hAnsi="Garamond" w:cs="Arial"/>
            <w:b/>
            <w:bCs/>
            <w:lang w:val="en-GB"/>
          </w:rPr>
          <w:t xml:space="preserve"> der tüchtige, aber düster blickende Kollege bei mir war (das erstemal seit meiner Rückkunft), für den ich vor Jahren schon den Scherznamen »Rabbi Savonarola« aufgebracht habe. Er stellte mir einen Unfallkranken vor, der in dem Pontebbazug verunglückt war, in dem ich selbst acht Tage vorher gereist war, und leitete so meine Gedanken zur letzten Italienreise zurück. Das Erscheinen des auffälligen Elementes » </w:t>
        </w:r>
        <w:r w:rsidRPr="00A06A59">
          <w:rPr>
            <w:rStyle w:val="innerfusslink3"/>
            <w:rFonts w:ascii="Garamond" w:hAnsi="Garamond" w:cs="Arial"/>
            <w:b/>
            <w:bCs/>
            <w:i/>
            <w:iCs/>
            <w:lang w:val="en-GB"/>
          </w:rPr>
          <w:t>Savonarola</w:t>
        </w:r>
        <w:r w:rsidRPr="00A06A59">
          <w:rPr>
            <w:rStyle w:val="innerfusslink3"/>
            <w:rFonts w:ascii="Garamond" w:hAnsi="Garamond" w:cs="Arial"/>
            <w:b/>
            <w:bCs/>
            <w:lang w:val="en-GB"/>
          </w:rPr>
          <w:t xml:space="preserve">« im Trauminhalt ist durch diesen Besuch des Kollegen am Traumtage aufgeklärt, das achtundzwanzigtägige Intervall wird seiner Bedeutung für dessen Herleitung verlustig.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II. Traum vom 10./11. Oktober.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i/>
            <w:iCs/>
            <w:lang w:val="en-GB"/>
          </w:rPr>
          <w:t>Ich arbeite wieder einmal Chemie im Universitätslaboratorium. HofratL. lädt mich ein, an einen Ort zu kommen, und geht auf dem Korridor voran, eine Lampe oder sonst ein Instrument wie scharfsinnig</w:t>
        </w:r>
        <w:r w:rsidRPr="00A06A59">
          <w:rPr>
            <w:rStyle w:val="innerfusslink3"/>
            <w:rFonts w:ascii="Garamond" w:hAnsi="Garamond" w:cs="Arial"/>
            <w:b/>
            <w:bCs/>
            <w:lang w:val="en-GB"/>
          </w:rPr>
          <w:t xml:space="preserve"> (?) ( </w:t>
        </w:r>
        <w:r w:rsidRPr="00A06A59">
          <w:rPr>
            <w:rStyle w:val="innerfusslink3"/>
            <w:rFonts w:ascii="Garamond" w:hAnsi="Garamond" w:cs="Arial"/>
            <w:b/>
            <w:bCs/>
            <w:i/>
            <w:iCs/>
            <w:lang w:val="en-GB"/>
          </w:rPr>
          <w:t>scharfsichtig</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in der erhobenen Hand vor sich hintragend, in eigentümlicher Haltung mit vorgestrecktem Kopf. Wir kommen dann über einen freien Platz...</w:t>
        </w:r>
        <w:r w:rsidRPr="00A06A59">
          <w:rPr>
            <w:rStyle w:val="innerfusslink3"/>
            <w:rFonts w:ascii="Garamond" w:hAnsi="Garamond" w:cs="Arial"/>
            <w:b/>
            <w:bCs/>
            <w:lang w:val="en-GB"/>
          </w:rPr>
          <w:t xml:space="preserve"> (Rest vergessen).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Das Auffälligste in diesem Trauminhalt ist die Art, wie Hofrat L. die Lampe (oder Lupe) vor sich hinträgt, das Auge spähend in die Weite gerichtet. L. habe ich viele Jahre lang nicht mehr gesehen, aber ich weiß jetzt schon, er ist nur eine Ersatzperson für einen anderen, größeren, für den Archimedes nahe bei der Arethusaquelle in Syrakus, der genauso wie er im Traume dasteht und so den Brennspiegel handhabt, nach dem Belagerungsheer der Römer spähend. Wann habe ich dieses Denkmal zuerst (und zuletzt) gesehen? Nach meinen Aufzeichnungen war es am 17. September abends, und von diesem Datum bis zum Traume sind tatsächlich 13 10 = 23 Tage verstrichen, eine »männliche Periode« nach Fließ.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Leider hebt das Eingehen auf die Deutung des Traumes auch hier ein Stück von der Unerläßlichkeit dieses Zusammenhangs auf. Der Traumanlaß war die am Traumtag erhaltene Nachricht, daß die Klinik, in deren Hörsaal ich als Gast meine Vorlesungen abhalte, demnächst anderswohin verlegt werden solle. Ich nahm an, daß die neue Lokalität sehr unbequem gelegen sei, sagte mir, es werde dann sein, als ob ich überhaupt keinen Hörsaal zur Verfügung habe, und von da an müßten meine Gedanken bis in den Beginn meiner Dozentenzeit zurückgegangen sein, als ich wirklich keinen Hörsaal hatte und mit meinen Bemühungen, mir einen zu verschaffen, auf geringes Entgegenkommen bei den hochvermögenden Herren Hofräten und Professoren stieß. Ich ging damals zu L., der gerade die Würde des Dekans bekleidete und den ich für einen Gönner hielt, um ihm meine Not zu klagen. Er versprach mir Abhilfe, ließ aber dann nichts weiter von sich hören. Im Traum ist er der Archimedes, der mir gibt, pïõ? óôþ, und mich selbst in die andere Lokalität geleitet. Daß den Traumgedanken weder Rachsucht noch Größenbewußtsein fremd sind, wird der Deutungskundige leicht erraten. Ich muß aber urteilen, daß ohne diesen Traumanlaß der Archimedes kaum in den Traum dieser Nacht gelangt wäre; es bleibt mir unsicher, ob der starke und noch rezente Eindruck der Statue in Siracusa sich nicht auch bei einem anderen Zeitintervall geltend gemacht hätte.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III. Traum vom 2./3. Oktober 1910.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(Bruchstück) ... </w:t>
        </w:r>
        <w:r w:rsidRPr="00A06A59">
          <w:rPr>
            <w:rStyle w:val="innerfusslink3"/>
            <w:rFonts w:ascii="Garamond" w:hAnsi="Garamond" w:cs="Arial"/>
            <w:b/>
            <w:bCs/>
            <w:i/>
            <w:iCs/>
            <w:lang w:val="en-GB"/>
          </w:rPr>
          <w:t>Etwas von Prof. Oser, der selbst das Menü für mich gemacht hat, was sehr beruhigend wirkt</w:t>
        </w:r>
        <w:r w:rsidRPr="00A06A59">
          <w:rPr>
            <w:rStyle w:val="innerfusslink3"/>
            <w:rFonts w:ascii="Garamond" w:hAnsi="Garamond" w:cs="Arial"/>
            <w:b/>
            <w:bCs/>
            <w:lang w:val="en-GB"/>
          </w:rPr>
          <w:t xml:space="preserve"> (anderes vergessen).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Der Traum ist die Reaktion auf eine Verdauungsstörung dieses Tages, die mich erwägen ließ, ob ich mich nicht wegen Bestimmung einer Diät an einen Kollegen wenden solle. Daß ich im Traum den im Sommer verstorbenen Oser dazu bestimme, knüpft an den sehr kurz vorher (1. Oktober) erfolgten Tod eines anderen </w:t>
        </w:r>
        <w:r w:rsidRPr="00A06A59">
          <w:rPr>
            <w:rStyle w:val="innerfusslink3"/>
            <w:rFonts w:ascii="Garamond" w:hAnsi="Garamond" w:cs="Arial"/>
            <w:b/>
            <w:bCs/>
            <w:lang w:val="en-GB"/>
          </w:rPr>
          <w:lastRenderedPageBreak/>
          <w:t xml:space="preserve">von mir hochgeschätzten Universitätslehrers an. Wann ist aber Oser gestorben, und wann habe ich seinen Tod erfahren? Nach dem Ausweis des Zeitungsblattes am 22. August; da ich damals in Holland weilte, wohin ich die Wiener Zeitung regelmäßig nachsenden ließ, muß ich die Todesnachricht am 24. oder 25. August gelesen haben. Dieses Intervall entspricht aber keiner Periode mehr, es umfaßt 7 30 2 = 39 Tage oder vielleicht 40 Tage. Ich kann mich nicht besinnen, in der Zwischenzeit von Oser gesprochen oder an ihn gedacht zu haben.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Solche für die Periodenlehre nicht mehr ohne weitere Bearbeitung brauchbare Intervalle ergeben sich nun aus meinen Träumen ungleich häufiger als die regulären. Konstant finde ich nur die im Text behauptete Beziehung zu einem Eindrucke des Traumtages selbst.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Auch H. </w:t>
      </w:r>
      <w:r w:rsidRPr="00A06A59">
        <w:rPr>
          <w:rFonts w:ascii="Garamond" w:hAnsi="Garamond" w:cs="Arial"/>
          <w:i/>
          <w:iCs/>
          <w:color w:val="000000"/>
          <w:lang w:val="en-GB"/>
        </w:rPr>
        <w:t>Ellis</w:t>
      </w:r>
      <w:r w:rsidRPr="00A06A59">
        <w:rPr>
          <w:rFonts w:ascii="Garamond" w:hAnsi="Garamond" w:cs="Arial"/>
          <w:color w:val="000000"/>
          <w:lang w:val="en-GB"/>
        </w:rPr>
        <w:t xml:space="preserve">, der dieser Frage Aufmerksamkeit geschenkt hat, gibt an, daß er eine solche Periodizität der Reproduktion in seinen Träumen »trotz des Achtens darauf« nicht finden konnte. Er erzählt einen Traum, in welchem er sich in Spanien befand und nach einem Ort: </w:t>
      </w:r>
      <w:r w:rsidRPr="00A06A59">
        <w:rPr>
          <w:rFonts w:ascii="Garamond" w:hAnsi="Garamond" w:cs="Arial"/>
          <w:i/>
          <w:iCs/>
          <w:color w:val="000000"/>
          <w:lang w:val="en-GB"/>
        </w:rPr>
        <w:t>Daraus, Varaus</w:t>
      </w:r>
      <w:r w:rsidRPr="00A06A59">
        <w:rPr>
          <w:rFonts w:ascii="Garamond" w:hAnsi="Garamond" w:cs="Arial"/>
          <w:color w:val="000000"/>
          <w:lang w:val="en-GB"/>
        </w:rPr>
        <w:t xml:space="preserve"> oder </w:t>
      </w:r>
      <w:r w:rsidRPr="00A06A59">
        <w:rPr>
          <w:rFonts w:ascii="Garamond" w:hAnsi="Garamond" w:cs="Arial"/>
          <w:i/>
          <w:iCs/>
          <w:color w:val="000000"/>
          <w:lang w:val="en-GB"/>
        </w:rPr>
        <w:t>Zaraus</w:t>
      </w:r>
      <w:r w:rsidRPr="00A06A59">
        <w:rPr>
          <w:rFonts w:ascii="Garamond" w:hAnsi="Garamond" w:cs="Arial"/>
          <w:color w:val="000000"/>
          <w:lang w:val="en-GB"/>
        </w:rPr>
        <w:t xml:space="preserve"> fahren wollte. Erwacht, konnte er sich an einen solchen Ortsnamen nicht erinnern und legte den Traum beiseite. Einige Monate später fand er tatsächlich den Namen </w:t>
      </w:r>
      <w:r w:rsidRPr="00A06A59">
        <w:rPr>
          <w:rFonts w:ascii="Garamond" w:hAnsi="Garamond" w:cs="Arial"/>
          <w:i/>
          <w:iCs/>
          <w:color w:val="000000"/>
          <w:lang w:val="en-GB"/>
        </w:rPr>
        <w:t>Zaraus</w:t>
      </w:r>
      <w:r w:rsidRPr="00A06A59">
        <w:rPr>
          <w:rFonts w:ascii="Garamond" w:hAnsi="Garamond" w:cs="Arial"/>
          <w:color w:val="000000"/>
          <w:lang w:val="en-GB"/>
        </w:rPr>
        <w:t xml:space="preserve"> als den einer Station zwischen San Sebastian und Bilbao, welche er 250 Tage vor dem Traum mit dem Zuge passiert hatte (p. 227).</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meine also, es gibt für jeden Traum einen Traumerreger aus jenen Erlebnissen, über die »man noch keine Nacht geschlafen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Eindrücke der jüngsten Vergangenheit (mit Ausschluß des Tages vor der Traumnacht) zeigen also keine andersartige Beziehung zum Trauminhalte als andere Eindrücke aus beliebig ferner liegenden Zeiten. Der Traum kann sein Material aus jeder Zeit des Lebens wählen, wofern nur von den Erlebnissen des Traumtages (den »rezenten« Eindrücken) zu diesen früheren ein Gedankenfaden reicht.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Woher aber die Bevorzugung der rezenten Eindrücke? Wir werden zu Vermutungen über diesen Punkt gelangen, wenn wir einen der erwähnten Träume einer genaueren Analyse unterziehen. </w:t>
      </w:r>
      <w:r w:rsidRPr="00A06A59">
        <w:rPr>
          <w:rFonts w:ascii="Garamond" w:hAnsi="Garamond" w:cs="Arial"/>
          <w:color w:val="000000"/>
        </w:rPr>
        <w:t>Ich wähle 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Traum von der botanischen Monographie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rPr>
        <w:t xml:space="preserve">Ich habe eine Monographie über eine gewisse Pflanze geschrieben. </w:t>
      </w:r>
      <w:r w:rsidRPr="00A06A59">
        <w:rPr>
          <w:rFonts w:ascii="Garamond" w:hAnsi="Garamond" w:cs="Arial"/>
          <w:i/>
          <w:iCs/>
          <w:color w:val="000000"/>
          <w:lang w:val="en-GB"/>
        </w:rPr>
        <w:t>Das Buch liegt vor mir, ich blättere eben eine eingeschlagene farbige Tafel um. Jedem Exemplar ist ein getrocknetes Spezimen der Pflanze beigebunden, ähnlich wie aus einem Herbarium.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Analyse: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habe am Vormittage im Schaufenster einer Buchhandlung ein neues Buch gesehen, welches sich betitelt: </w:t>
      </w:r>
      <w:r w:rsidRPr="00A06A59">
        <w:rPr>
          <w:rFonts w:ascii="Garamond" w:hAnsi="Garamond" w:cs="Arial"/>
          <w:i/>
          <w:iCs/>
          <w:color w:val="000000"/>
          <w:lang w:val="en-GB"/>
        </w:rPr>
        <w:t>Die Gattung Zyklamen</w:t>
      </w:r>
      <w:r w:rsidRPr="00A06A59">
        <w:rPr>
          <w:rFonts w:ascii="Garamond" w:hAnsi="Garamond" w:cs="Arial"/>
          <w:color w:val="000000"/>
          <w:lang w:val="en-GB"/>
        </w:rPr>
        <w:t xml:space="preserve"> – offenbar eine </w:t>
      </w:r>
      <w:r w:rsidRPr="00A06A59">
        <w:rPr>
          <w:rFonts w:ascii="Garamond" w:hAnsi="Garamond" w:cs="Arial"/>
          <w:i/>
          <w:iCs/>
          <w:color w:val="000000"/>
          <w:lang w:val="en-GB"/>
        </w:rPr>
        <w:t>Monographie</w:t>
      </w:r>
      <w:r w:rsidRPr="00A06A59">
        <w:rPr>
          <w:rFonts w:ascii="Garamond" w:hAnsi="Garamond" w:cs="Arial"/>
          <w:color w:val="000000"/>
          <w:lang w:val="en-GB"/>
        </w:rPr>
        <w:t xml:space="preserve"> über diese Pflanze.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Zyklamen ist die </w:t>
      </w:r>
      <w:r w:rsidRPr="00A06A59">
        <w:rPr>
          <w:rFonts w:ascii="Garamond" w:hAnsi="Garamond" w:cs="Arial"/>
          <w:i/>
          <w:iCs/>
          <w:color w:val="000000"/>
          <w:lang w:val="en-GB"/>
        </w:rPr>
        <w:t>Lieblingsblume</w:t>
      </w:r>
      <w:r w:rsidRPr="00A06A59">
        <w:rPr>
          <w:rFonts w:ascii="Garamond" w:hAnsi="Garamond" w:cs="Arial"/>
          <w:color w:val="000000"/>
          <w:lang w:val="en-GB"/>
        </w:rPr>
        <w:t xml:space="preserve"> meiner Frau. Ich mache mir Vorwürfe, daß ich so selten daran denke, ihr </w:t>
      </w:r>
      <w:r w:rsidRPr="00A06A59">
        <w:rPr>
          <w:rFonts w:ascii="Garamond" w:hAnsi="Garamond" w:cs="Arial"/>
          <w:i/>
          <w:iCs/>
          <w:color w:val="000000"/>
          <w:lang w:val="en-GB"/>
        </w:rPr>
        <w:t>Blumen mitzubringen</w:t>
      </w:r>
      <w:r w:rsidRPr="00A06A59">
        <w:rPr>
          <w:rFonts w:ascii="Garamond" w:hAnsi="Garamond" w:cs="Arial"/>
          <w:color w:val="000000"/>
          <w:lang w:val="en-GB"/>
        </w:rPr>
        <w:t xml:space="preserve">, wie sie sich's wünscht. – Bei dem Thema: </w:t>
      </w:r>
      <w:r w:rsidRPr="00A06A59">
        <w:rPr>
          <w:rFonts w:ascii="Garamond" w:hAnsi="Garamond" w:cs="Arial"/>
          <w:i/>
          <w:iCs/>
          <w:color w:val="000000"/>
          <w:lang w:val="en-GB"/>
        </w:rPr>
        <w:t>Blumen mitbringen</w:t>
      </w:r>
      <w:r w:rsidRPr="00A06A59">
        <w:rPr>
          <w:rFonts w:ascii="Garamond" w:hAnsi="Garamond" w:cs="Arial"/>
          <w:color w:val="000000"/>
          <w:lang w:val="en-GB"/>
        </w:rPr>
        <w:t xml:space="preserve"> erinnere ich mich einer Geschichte, welche ich unlängst im Freundeskreise erzählt und als Beweis für meine Behauptung verwendet habe, daß Vergessen sehr häufig die Ausführung einer Absicht des Unbewußten sei und immerhin einen Schluß auf die geheime Gesinnung des Vergessenden gestatte. Eine junge Frau, welche daran gewöhnt war, zu ihrem Geburtstage einen Strauß von ihrem Manne vorzufinden, vermißt dieses Zeichen der Zärtlichkeit an einem solchen Festtag und bricht darüber in Tränen aus. Der Mann kommt hinzu, weiß sich ihr Weinen nicht zu erklären, bis sie ihm sagt: Heute ist mein Geburtstag. Da schlägt er sich vor die Stirne, ruft aus: Entschuldige, hab' ich doch ganz daran vergessen, und will fort, ihr </w:t>
      </w:r>
      <w:r w:rsidRPr="00A06A59">
        <w:rPr>
          <w:rFonts w:ascii="Garamond" w:hAnsi="Garamond" w:cs="Arial"/>
          <w:i/>
          <w:iCs/>
          <w:color w:val="000000"/>
          <w:lang w:val="en-GB"/>
        </w:rPr>
        <w:t>Blumen</w:t>
      </w:r>
      <w:r w:rsidRPr="00A06A59">
        <w:rPr>
          <w:rFonts w:ascii="Garamond" w:hAnsi="Garamond" w:cs="Arial"/>
          <w:color w:val="000000"/>
          <w:lang w:val="en-GB"/>
        </w:rPr>
        <w:t xml:space="preserve"> zu holen. Sie läßt sich aber nicht trösten, denn sie sieht in der Vergeßlichkeit ihres Mannes einen Beweis dafür, daß sie in seinen Gedanken nicht mehr dieselbe Rolle spielt wie einstens. – Diese Frau L. ist meiner Frau vor zwei Tagen begegnet, hat ihr mitgeteilt, daß sie sich wohlfühlt, und sich nach mir erkundigt. Sie stand in früheren Jahren in meiner Behandlung.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neuer Ansatz: Ich habe wirklich einmal etwas Ähnliches geschrieben wie eine </w:t>
      </w:r>
      <w:r w:rsidRPr="00A06A59">
        <w:rPr>
          <w:rFonts w:ascii="Garamond" w:hAnsi="Garamond" w:cs="Arial"/>
          <w:i/>
          <w:iCs/>
          <w:color w:val="000000"/>
          <w:lang w:val="en-GB"/>
        </w:rPr>
        <w:t>Monographie</w:t>
      </w:r>
      <w:r w:rsidRPr="00A06A59">
        <w:rPr>
          <w:rFonts w:ascii="Garamond" w:hAnsi="Garamond" w:cs="Arial"/>
          <w:color w:val="000000"/>
          <w:lang w:val="en-GB"/>
        </w:rPr>
        <w:t xml:space="preserve"> über eine Pflanze, nämlich einen Aufsatz über die </w:t>
      </w:r>
      <w:r w:rsidRPr="00A06A59">
        <w:rPr>
          <w:rFonts w:ascii="Garamond" w:hAnsi="Garamond" w:cs="Arial"/>
          <w:i/>
          <w:iCs/>
          <w:color w:val="000000"/>
          <w:lang w:val="en-GB"/>
        </w:rPr>
        <w:t>Cocapflanze</w:t>
      </w:r>
      <w:r w:rsidRPr="00A06A59">
        <w:rPr>
          <w:rFonts w:ascii="Garamond" w:hAnsi="Garamond" w:cs="Arial"/>
          <w:color w:val="000000"/>
          <w:lang w:val="en-GB"/>
        </w:rPr>
        <w:t xml:space="preserve">, welcher die Aufmerksamkeit von K. </w:t>
      </w:r>
      <w:r w:rsidRPr="00A06A59">
        <w:rPr>
          <w:rFonts w:ascii="Garamond" w:hAnsi="Garamond" w:cs="Arial"/>
          <w:i/>
          <w:iCs/>
          <w:color w:val="000000"/>
          <w:lang w:val="en-GB"/>
        </w:rPr>
        <w:t>Koller</w:t>
      </w:r>
      <w:r w:rsidRPr="00A06A59">
        <w:rPr>
          <w:rFonts w:ascii="Garamond" w:hAnsi="Garamond" w:cs="Arial"/>
          <w:color w:val="000000"/>
          <w:lang w:val="en-GB"/>
        </w:rPr>
        <w:t xml:space="preserve"> auf die anästhesierende Eigenschaft des Kokains gelenkt hat. Ich hatte diese Verwendung des Alkaloids in meiner Publikation selbst angedeutet, aber war nicht gründlich genug, die Sache weiter zu verfolgen. Dazu fällt mir ein, daß ich am Vormittag des Tages nach dem Traume (zu dessen Deutung ich erst abends Zeit fand) des Kokains in einer Art von Tagesphantasie gedacht habe. Wenn ich je Glaukom bekommen sollte, würde ich nach Berlin reisen und mich dort bei meinem Berliner Freunde von einem Arzt, den er mir empfiehlt, inkognito operieren lassen. Der Operateur, der nicht wüßte, an wem er arbeitet, würde wieder einmal rühmen, wie leicht sich diese Operationen seit der Einführung des Kokains gestaltet haben; ich würde durch keine Miene verraten, daß ich an dieser Entdeckung selbst einen Anteil </w:t>
      </w:r>
      <w:r w:rsidRPr="00A06A59">
        <w:rPr>
          <w:rFonts w:ascii="Garamond" w:hAnsi="Garamond" w:cs="Arial"/>
          <w:color w:val="000000"/>
          <w:lang w:val="en-GB"/>
        </w:rPr>
        <w:lastRenderedPageBreak/>
        <w:t xml:space="preserve">habe. An diese Phantasie schlossen sich Gedanken an, wie unbequem es doch für den Arzt sei, ärztliche Leistungen von Seiten der Kollegen für seine Person in Anspruch zu nehmen. Den Berliner Augenarzt, der mich nicht kennt, würde ich wie ein anderer entlohnen können. Nachdem dieser Tagtraum mir in den Sinn gekommen, merke ich erst, daß sich die Erinnerung an ein bestimmtes Erlebnis hinter ihm verbirgt. Kurz nach der Entdeckung </w:t>
      </w:r>
      <w:r w:rsidRPr="00A06A59">
        <w:rPr>
          <w:rFonts w:ascii="Garamond" w:hAnsi="Garamond" w:cs="Arial"/>
          <w:i/>
          <w:iCs/>
          <w:color w:val="000000"/>
          <w:lang w:val="en-GB"/>
        </w:rPr>
        <w:t>Kollers</w:t>
      </w:r>
      <w:r w:rsidRPr="00A06A59">
        <w:rPr>
          <w:rFonts w:ascii="Garamond" w:hAnsi="Garamond" w:cs="Arial"/>
          <w:color w:val="000000"/>
          <w:lang w:val="en-GB"/>
        </w:rPr>
        <w:t xml:space="preserve"> war nämlich mein Vater an Glaukom erkrankt; er wurde von meinem Freunde, dem Augenarzt Dr. </w:t>
      </w:r>
      <w:r w:rsidRPr="00A06A59">
        <w:rPr>
          <w:rFonts w:ascii="Garamond" w:hAnsi="Garamond" w:cs="Arial"/>
          <w:i/>
          <w:iCs/>
          <w:color w:val="000000"/>
          <w:lang w:val="en-GB"/>
        </w:rPr>
        <w:t>Königstein</w:t>
      </w:r>
      <w:r w:rsidRPr="00A06A59">
        <w:rPr>
          <w:rFonts w:ascii="Garamond" w:hAnsi="Garamond" w:cs="Arial"/>
          <w:color w:val="000000"/>
          <w:lang w:val="en-GB"/>
        </w:rPr>
        <w:t xml:space="preserve">, operiert, Dr. </w:t>
      </w:r>
      <w:r w:rsidRPr="00A06A59">
        <w:rPr>
          <w:rFonts w:ascii="Garamond" w:hAnsi="Garamond" w:cs="Arial"/>
          <w:i/>
          <w:iCs/>
          <w:color w:val="000000"/>
          <w:lang w:val="en-GB"/>
        </w:rPr>
        <w:t>Koller</w:t>
      </w:r>
      <w:r w:rsidRPr="00A06A59">
        <w:rPr>
          <w:rFonts w:ascii="Garamond" w:hAnsi="Garamond" w:cs="Arial"/>
          <w:color w:val="000000"/>
          <w:lang w:val="en-GB"/>
        </w:rPr>
        <w:t xml:space="preserve"> besorgte die Kokainanästhesie und machte dann die Bemerkung, daß bei diesem Falle alle die drei Personen sich vereinigt fänden, die an der Einführung des Kokains Anteil gehabt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Meine Gedanken gehen nun weiter, wann ich zuletzt an diese Geschichte des Kokains erinnert worden bin. Es war dies vor einigen Tagen, als ich die Festschrift in die Hand bekam, mit deren Erscheinen dankbare Schüler das Jubiläum ihres Lehrers und Laboratoriumsvorstandes gefeiert hatten. Unter den Ruhmestiteln des Laboratoriums fand ich auch angeführt, daß dort die Entdeckung der anästhesierenden Eigenschaft des Kokains durch K. Koller vorgefallen sei. Ich bemerke nun plötzlich, daß mein Traum mit einem Erlebnis des Abends vorher zusammenhängt. Ich hatte gerade Dr. Königstein nach Hause begleitet, mit dem ich in ein Gespräch über eine Angelegenheit geraten war, die mich jedesmal, wenn sie berührt wird, lebhaft erregt. Als ich mich in dem Hausflur mit ihm aufhielt, kam Professor </w:t>
      </w:r>
      <w:r w:rsidRPr="00A06A59">
        <w:rPr>
          <w:rFonts w:ascii="Garamond" w:hAnsi="Garamond" w:cs="Arial"/>
          <w:i/>
          <w:iCs/>
          <w:color w:val="000000"/>
          <w:lang w:val="en-GB"/>
        </w:rPr>
        <w:t>Gärtner</w:t>
      </w:r>
      <w:r w:rsidRPr="00A06A59">
        <w:rPr>
          <w:rFonts w:ascii="Garamond" w:hAnsi="Garamond" w:cs="Arial"/>
          <w:color w:val="000000"/>
          <w:lang w:val="en-GB"/>
        </w:rPr>
        <w:t xml:space="preserve"> mit seiner jungen Frau hinzu. Ich konnte mich nicht enthalten, die beiden darüber zu beglückwünschen, wie </w:t>
      </w:r>
      <w:r w:rsidRPr="00A06A59">
        <w:rPr>
          <w:rFonts w:ascii="Garamond" w:hAnsi="Garamond" w:cs="Arial"/>
          <w:i/>
          <w:iCs/>
          <w:color w:val="000000"/>
          <w:lang w:val="en-GB"/>
        </w:rPr>
        <w:t>blühend</w:t>
      </w:r>
      <w:r w:rsidRPr="00A06A59">
        <w:rPr>
          <w:rFonts w:ascii="Garamond" w:hAnsi="Garamond" w:cs="Arial"/>
          <w:color w:val="000000"/>
          <w:lang w:val="en-GB"/>
        </w:rPr>
        <w:t xml:space="preserve"> sie aussehen. Nun ist Professor Gärtner einer der Verfasser der Festschrift, von der ich eben sprach, und konnte mich wohl an diese erinnern. Auch die Frau L., deren Geburtstagsenttäuschung ich unlängst erzählte, war im Gespräch mit Dr. Königstein, in anderem Zusammenhange allerdings, erwähnt worden.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will versuchen, auch die anderen Bestimmungen des Trauminhalts zu deuten. Ein </w:t>
      </w:r>
      <w:r w:rsidRPr="00A06A59">
        <w:rPr>
          <w:rFonts w:ascii="Garamond" w:hAnsi="Garamond" w:cs="Arial"/>
          <w:i/>
          <w:iCs/>
          <w:color w:val="000000"/>
          <w:lang w:val="en-GB"/>
        </w:rPr>
        <w:t>getrocknetes Spezimen</w:t>
      </w:r>
      <w:r w:rsidRPr="00A06A59">
        <w:rPr>
          <w:rFonts w:ascii="Garamond" w:hAnsi="Garamond" w:cs="Arial"/>
          <w:color w:val="000000"/>
          <w:lang w:val="en-GB"/>
        </w:rPr>
        <w:t xml:space="preserve"> der Pflanze liegt der Monographie bei, als ob es ein </w:t>
      </w:r>
      <w:r w:rsidRPr="00A06A59">
        <w:rPr>
          <w:rFonts w:ascii="Garamond" w:hAnsi="Garamond" w:cs="Arial"/>
          <w:i/>
          <w:iCs/>
          <w:color w:val="000000"/>
          <w:lang w:val="en-GB"/>
        </w:rPr>
        <w:t>Herbarium</w:t>
      </w:r>
      <w:r w:rsidRPr="00A06A59">
        <w:rPr>
          <w:rFonts w:ascii="Garamond" w:hAnsi="Garamond" w:cs="Arial"/>
          <w:color w:val="000000"/>
          <w:lang w:val="en-GB"/>
        </w:rPr>
        <w:t xml:space="preserve"> wäre. Ans Herbarium knüpft sich eine Gymnasialerinnerung. Unser Gymnasialdirektor rief einmal die Schüler der höheren Klassen zusammen, um ihnen das Herbarium der Anstalt zur Durchsicht und zur Reinigung zu übergeben. Es hatten sich kleine </w:t>
      </w:r>
      <w:r w:rsidRPr="00A06A59">
        <w:rPr>
          <w:rFonts w:ascii="Garamond" w:hAnsi="Garamond" w:cs="Arial"/>
          <w:i/>
          <w:iCs/>
          <w:color w:val="000000"/>
          <w:lang w:val="en-GB"/>
        </w:rPr>
        <w:t>Würmer</w:t>
      </w:r>
      <w:r w:rsidRPr="00A06A59">
        <w:rPr>
          <w:rFonts w:ascii="Garamond" w:hAnsi="Garamond" w:cs="Arial"/>
          <w:color w:val="000000"/>
          <w:lang w:val="en-GB"/>
        </w:rPr>
        <w:t xml:space="preserve"> eingefunden – </w:t>
      </w:r>
      <w:r w:rsidRPr="00A06A59">
        <w:rPr>
          <w:rFonts w:ascii="Garamond" w:hAnsi="Garamond" w:cs="Arial"/>
          <w:i/>
          <w:iCs/>
          <w:color w:val="000000"/>
          <w:lang w:val="en-GB"/>
        </w:rPr>
        <w:t>Bücherwurm</w:t>
      </w:r>
      <w:r w:rsidRPr="00A06A59">
        <w:rPr>
          <w:rFonts w:ascii="Garamond" w:hAnsi="Garamond" w:cs="Arial"/>
          <w:color w:val="000000"/>
          <w:lang w:val="en-GB"/>
        </w:rPr>
        <w:t xml:space="preserve">. Zu meiner Hilfeleistung scheint er nicht Zutrauen gezeigt zu haben, denn er überließ mir nur wenige Blätter. Ich weiß noch heute, daß Kruziferen darauf waren. Ich hatte niemals ein besonders intimes Verhältnis zur Botanik. Bei meiner botanischen Vorprüfung bekam ich wiederum eine Kruzifere zur Bestimmung und – erkannte sie nicht. Es wäre mir schlecht ergangen, wenn nicht meine theoretischen Kenntnisse mir herausgeholfen hätten. – Von den Kruziferen gerate ich auf die Kompositen. Eigentlich ist auch die Artischocke eine Komposite, und zwar die, welche ich </w:t>
      </w:r>
      <w:r w:rsidRPr="00A06A59">
        <w:rPr>
          <w:rFonts w:ascii="Garamond" w:hAnsi="Garamond" w:cs="Arial"/>
          <w:i/>
          <w:iCs/>
          <w:color w:val="000000"/>
          <w:lang w:val="en-GB"/>
        </w:rPr>
        <w:t>meine Lieblingsblume</w:t>
      </w:r>
      <w:r w:rsidRPr="00A06A59">
        <w:rPr>
          <w:rFonts w:ascii="Garamond" w:hAnsi="Garamond" w:cs="Arial"/>
          <w:color w:val="000000"/>
          <w:lang w:val="en-GB"/>
        </w:rPr>
        <w:t xml:space="preserve"> heißen könnte. Edler als ich, pflegt meine Frau mir diese Lieblingsblume vom Markte heimzubringen.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sehe die Monographie </w:t>
      </w:r>
      <w:r w:rsidRPr="00A06A59">
        <w:rPr>
          <w:rFonts w:ascii="Garamond" w:hAnsi="Garamond" w:cs="Arial"/>
          <w:i/>
          <w:iCs/>
          <w:color w:val="000000"/>
          <w:lang w:val="en-GB"/>
        </w:rPr>
        <w:t>vor mir liegen</w:t>
      </w:r>
      <w:r w:rsidRPr="00A06A59">
        <w:rPr>
          <w:rFonts w:ascii="Garamond" w:hAnsi="Garamond" w:cs="Arial"/>
          <w:color w:val="000000"/>
          <w:lang w:val="en-GB"/>
        </w:rPr>
        <w:t xml:space="preserve">, die ich geschrieben habe. Auch dies ist nicht ohne Bezug. Mein visueller Freund schrieb mir gestern aus Berlin: »Mit deinem Traumbuche beschäftige ich mich sehr viel. </w:t>
      </w:r>
      <w:r w:rsidRPr="00A06A59">
        <w:rPr>
          <w:rFonts w:ascii="Garamond" w:hAnsi="Garamond" w:cs="Arial"/>
          <w:i/>
          <w:iCs/>
          <w:color w:val="000000"/>
          <w:lang w:val="en-GB"/>
        </w:rPr>
        <w:t>Ich sehe es fertig vor mir liegen und blättere darin</w:t>
      </w:r>
      <w:r w:rsidRPr="00A06A59">
        <w:rPr>
          <w:rFonts w:ascii="Garamond" w:hAnsi="Garamond" w:cs="Arial"/>
          <w:color w:val="000000"/>
          <w:lang w:val="en-GB"/>
        </w:rPr>
        <w:t>.« Wie habe ich ihn um diese Sehergabe beneidet! Wenn ich es doch auch schon fertig vor mir liegen sehen könnte!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Die zusammengelegte farbige Tafel:</w:t>
      </w:r>
      <w:r w:rsidRPr="00A06A59">
        <w:rPr>
          <w:rFonts w:ascii="Garamond" w:hAnsi="Garamond" w:cs="Arial"/>
          <w:color w:val="000000"/>
          <w:lang w:val="en-GB"/>
        </w:rPr>
        <w:t xml:space="preserve"> Als ich Student der Medizin war, litt ich viel unter dem Impuls, nur aus </w:t>
      </w:r>
      <w:r w:rsidRPr="00A06A59">
        <w:rPr>
          <w:rFonts w:ascii="Garamond" w:hAnsi="Garamond" w:cs="Arial"/>
          <w:i/>
          <w:iCs/>
          <w:color w:val="000000"/>
          <w:lang w:val="en-GB"/>
        </w:rPr>
        <w:t>Monographien</w:t>
      </w:r>
      <w:r w:rsidRPr="00A06A59">
        <w:rPr>
          <w:rFonts w:ascii="Garamond" w:hAnsi="Garamond" w:cs="Arial"/>
          <w:color w:val="000000"/>
          <w:lang w:val="en-GB"/>
        </w:rPr>
        <w:t xml:space="preserve"> lernen zu wollen. Ich hielt mir damals, trotz meiner beschränkten Mittel, mehrere medizinische Archive, deren </w:t>
      </w:r>
      <w:r w:rsidRPr="00A06A59">
        <w:rPr>
          <w:rFonts w:ascii="Garamond" w:hAnsi="Garamond" w:cs="Arial"/>
          <w:i/>
          <w:iCs/>
          <w:color w:val="000000"/>
          <w:lang w:val="en-GB"/>
        </w:rPr>
        <w:t>farbige Tafeln</w:t>
      </w:r>
      <w:r w:rsidRPr="00A06A59">
        <w:rPr>
          <w:rFonts w:ascii="Garamond" w:hAnsi="Garamond" w:cs="Arial"/>
          <w:color w:val="000000"/>
          <w:lang w:val="en-GB"/>
        </w:rPr>
        <w:t xml:space="preserve"> mein Entzücken waren. Ich war stolz auf diese Neigung zur Gründlichkeit. Als ich dann selbst zu publizieren begann, mußte ich auch die Tafeln für meine Abhandlungen zeichnen, und ich weiß, daß eine derselben so kümmerlich ausfiel, daß mich ein wohlwollender Kollege ihretwegen verhöhnte. Dazu kommt noch, ich weiß nicht recht wie, eine sehr frühe Jugenderinnerung. Mein Vater machte sich einmal den Scherz, mir und meiner ältesten Schwester ein Buch mit </w:t>
      </w:r>
      <w:r w:rsidRPr="00A06A59">
        <w:rPr>
          <w:rFonts w:ascii="Garamond" w:hAnsi="Garamond" w:cs="Arial"/>
          <w:i/>
          <w:iCs/>
          <w:color w:val="000000"/>
          <w:lang w:val="en-GB"/>
        </w:rPr>
        <w:t>farbigen Tafeln</w:t>
      </w:r>
      <w:r w:rsidRPr="00A06A59">
        <w:rPr>
          <w:rFonts w:ascii="Garamond" w:hAnsi="Garamond" w:cs="Arial"/>
          <w:color w:val="000000"/>
          <w:lang w:val="en-GB"/>
        </w:rPr>
        <w:t xml:space="preserve"> (Beschreibung einer Reise in Persien) zur Vernichtung zu überlassen. Es war erziehlich kaum zu rechtfertigen. Ich war damals fünf Jahre, die Schwester unter drei Jahren alt, und das Bild, wie wir Kinder überselig dieses Buch zerpflücken ( </w:t>
      </w:r>
      <w:r w:rsidRPr="00A06A59">
        <w:rPr>
          <w:rFonts w:ascii="Garamond" w:hAnsi="Garamond" w:cs="Arial"/>
          <w:i/>
          <w:iCs/>
          <w:color w:val="000000"/>
          <w:lang w:val="en-GB"/>
        </w:rPr>
        <w:t>wie eine Artischocke</w:t>
      </w:r>
      <w:r w:rsidRPr="00A06A59">
        <w:rPr>
          <w:rFonts w:ascii="Garamond" w:hAnsi="Garamond" w:cs="Arial"/>
          <w:color w:val="000000"/>
          <w:lang w:val="en-GB"/>
        </w:rPr>
        <w:t xml:space="preserve">, Blatt für Blatt, muß ich sagen), ist nahezu das einzige, was mir aus dieser Lebenszeit in plastischer Erinnerung geblieben ist. Als ich dann Student wurde, entwickelte sich bei mir eine ausgesprochene Vorliebe, Bücher zu sammeln und zu besitzen (analog der Neigung, aus Monographien zu studieren, eine </w:t>
      </w:r>
      <w:r w:rsidRPr="00A06A59">
        <w:rPr>
          <w:rFonts w:ascii="Garamond" w:hAnsi="Garamond" w:cs="Arial"/>
          <w:i/>
          <w:iCs/>
          <w:color w:val="000000"/>
          <w:lang w:val="en-GB"/>
        </w:rPr>
        <w:t>Liebhaberei,</w:t>
      </w:r>
      <w:r w:rsidRPr="00A06A59">
        <w:rPr>
          <w:rFonts w:ascii="Garamond" w:hAnsi="Garamond" w:cs="Arial"/>
          <w:color w:val="000000"/>
          <w:lang w:val="en-GB"/>
        </w:rPr>
        <w:t xml:space="preserve"> wie sie in den Traumgedanken betreffs Zyklamen und Artischocke bereits vorkommt). Ich wurde ein </w:t>
      </w:r>
      <w:r w:rsidRPr="00A06A59">
        <w:rPr>
          <w:rFonts w:ascii="Garamond" w:hAnsi="Garamond" w:cs="Arial"/>
          <w:i/>
          <w:iCs/>
          <w:color w:val="000000"/>
          <w:lang w:val="en-GB"/>
        </w:rPr>
        <w:t>Bücherwurm</w:t>
      </w:r>
      <w:r w:rsidRPr="00A06A59">
        <w:rPr>
          <w:rFonts w:ascii="Garamond" w:hAnsi="Garamond" w:cs="Arial"/>
          <w:color w:val="000000"/>
          <w:lang w:val="en-GB"/>
        </w:rPr>
        <w:t xml:space="preserve"> (vgl. </w:t>
      </w:r>
      <w:r w:rsidRPr="00A06A59">
        <w:rPr>
          <w:rFonts w:ascii="Garamond" w:hAnsi="Garamond" w:cs="Arial"/>
          <w:i/>
          <w:iCs/>
          <w:color w:val="000000"/>
          <w:lang w:val="en-GB"/>
        </w:rPr>
        <w:t>Herbarium</w:t>
      </w:r>
      <w:r w:rsidRPr="00A06A59">
        <w:rPr>
          <w:rFonts w:ascii="Garamond" w:hAnsi="Garamond" w:cs="Arial"/>
          <w:color w:val="000000"/>
          <w:lang w:val="en-GB"/>
        </w:rPr>
        <w:t xml:space="preserve">). Ich habe diese erste Leidenschaft meines Lebens, seitdem ich über mich nachdenke, immer auf diesen Kindereindruck zurückgeführt, oder vielmehr, ich habe erkannt, daß diese Kinderszene eine »Deckerinnerung« für meine spätere Bibliophilie ist </w:t>
      </w:r>
      <w:hyperlink r:id="rId7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Vgl. meinen Aufsatz ›Über Deckerinnerungen in der Monatsschrift für Psychiatrie und Neurologie, 1899. (Ges. Schriften, Bd. I.)</w:t>
        </w:r>
      </w:hyperlink>
      <w:r w:rsidRPr="00A06A59">
        <w:rPr>
          <w:rFonts w:ascii="Garamond" w:hAnsi="Garamond" w:cs="Arial"/>
          <w:color w:val="000000"/>
          <w:lang w:val="en-GB"/>
        </w:rPr>
        <w:t xml:space="preserve">. Natürlich habe ich auch frühzeitig erfahren, daß man durch Leidenschaften leicht in Leiden gerät. Als ich siebzehn Jahre alt war, hatte ich ein ansehnliches Konto beim Buchhändler und keine Mittel, es zu begleichen, und mein Vater ließ es kaum als Entschuldigung gelten, daß sich meine Neigungen auf nichts Böseres geworfen hatten. Die Erwähnung dieses späteren Jugenderlebnisses bringt mich aber sofort zu dem Gespräch mit meinem Freunde Dr. Königstein zurück. Denn um dieselben Vorwürfe wie damals, daß ich meinen </w:t>
      </w:r>
      <w:r w:rsidRPr="00A06A59">
        <w:rPr>
          <w:rFonts w:ascii="Garamond" w:hAnsi="Garamond" w:cs="Arial"/>
          <w:i/>
          <w:iCs/>
          <w:color w:val="000000"/>
          <w:lang w:val="en-GB"/>
        </w:rPr>
        <w:t>Liebhabereien</w:t>
      </w:r>
      <w:r w:rsidRPr="00A06A59">
        <w:rPr>
          <w:rFonts w:ascii="Garamond" w:hAnsi="Garamond" w:cs="Arial"/>
          <w:color w:val="000000"/>
          <w:lang w:val="en-GB"/>
        </w:rPr>
        <w:t xml:space="preserve"> zuviel nachgebe, handelte es sich auch im Gespräch am Abend des Traumtages.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Aus Gründen, die nicht hieher gehören, will ich die Deutung dieses Traumes nicht verfolgen, sondern bloß den Weg angeben, welcher zu ihr führt. Während der Deutungsarbeit bin ich an das Gespräch mit Dr. </w:t>
      </w:r>
      <w:r w:rsidRPr="00A06A59">
        <w:rPr>
          <w:rFonts w:ascii="Garamond" w:hAnsi="Garamond" w:cs="Arial"/>
          <w:i/>
          <w:iCs/>
          <w:color w:val="000000"/>
          <w:lang w:val="en-GB"/>
        </w:rPr>
        <w:t>Königstein</w:t>
      </w:r>
      <w:r w:rsidRPr="00A06A59">
        <w:rPr>
          <w:rFonts w:ascii="Garamond" w:hAnsi="Garamond" w:cs="Arial"/>
          <w:color w:val="000000"/>
          <w:lang w:val="en-GB"/>
        </w:rPr>
        <w:t xml:space="preserve"> erinnert worden, und zwar von mehr als einer Stelle aus. Wenn ich mir vorhalte, welche Dinge in diesem Gespräch berührt worden sind, so wird der Sinn des Traumes mir verständlich. Alle angefangenen Gedankengänge, von den Liebhabereien meiner Frau und meinen eigenen, vom Kokain, von den Schwierigkeiten ärztlicher Behandlung unter Kollegen, von meiner Vorliebe für monographische Studien und meiner Vernachlässigung gewisser Fächer wie der Botanik, dies alles erhält dann seine Fortsetzung und mündet in irgendeinen der Fäden der vielverzweigten Unterredung ein. Der Traum bekommt wieder den Charakter einer Rechtfertigung, eines Plaidoyers für mein Recht, wie der erstanalysierte Traum von Irmas Injektion; ja er setzt das dort begonnene Thema fort und erörtert es an einem neuen Material, welches im Intervall zwischen beiden Träumen hinzugekommen ist. Selbst die scheinbar indifferente Ausdrucksform des Traumes bekommt einen Akzent. Es heißt jetzt: Ich bin doch der Mann, der die wertvolle und erfolgreiche Abhandlung (über das Kokain) geschrieben hat, ähnlich wie ich damals zu meiner Rechtfertigung vorbrachte: Ich bin doch ein tüchtiger und fleißiger Student; in beiden Fällen also: Ich darf mir das erlauben. Ich kann aber auf die Ausführung der Traumdeutung hier verzichten, weil mich zur Mitteilung des Traumes nur die Absicht bewogen hat, an einem Beispiele die Beziehung des Trauminhalts zu dem erregenden Erlebnis des Vortages zu untersuchen. Solange ich von diesem Traume nur den manifesten Inhalt kenne, wird mir nur eine Beziehung des Traumes zu einem Tageseindruck augenfällig; nachdem ich die Analyse gemacht habe, ergibt sich eine zweite Quelle des Traumes in einem anderen Erlebnis desselben Tages. Der erste der Eindrücke, auf welche sich der Traum bezieht, ist ein gleichgültiger, ein Nebenumstand. Ich sehe im Schaufenster ein Buch, dessen Titel mich flüchtig berührt, dessen Inhalt mich kaum interessieren dürfte. Das zweite Erlebnis hatte einen hohen psychischen Wert; ich habe mit meinem Freund, dem Augenarzt, wohl eine Stunde lang eifrig gesprochen, ihm Andeutungen gemacht, die uns beiden nahegehen mußten, und Erinnerungen in mir wachgerufen, bei denen die mannigfaltigsten Erregungen meines Innern mir bemerklich wurden. Überdies wurde dieses Gespräch unvollendet abgebrochen, weil Bekannte hinzukamen. Wie stehen nun die beiden Eindrücke des Tages zueinander und zu dem in der Nacht erfolgenden 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Im Trauminhalte finde ich nur eine Anspielung auf den gleichgültigen Eindruck und kann so bestätigen, daß der Traum mit Vorliebe Nebensächliches aus dem Leben in seinem Inhalt aufnimmt. In der Traumdeutung hingegen führt alles auf das wichtige, mit Recht erregende Erlebnis hin. Wenn ich den Sinn des Traumes, wie es einzig richtig ist, nach dem latenten, durch die Analyse zutage geförderten Inhalt beurteile, so bin ich unversehens zu einer neuen und wichtigen Erkenntnis gelangt. Ich sehe das Rätsel zerfallen, daß der Traum sich nur mit den wertlosen Brocken des Tageslebens beschäftigt; ich muß auch der Behauptung widersprechen, daß das Seelenleben des Wachens sich in den Traum nicht fortsetzt und der Traum dafür psychische Tätigkeit an läppisches Material verschwendet. Das Gegenteil ist wahr; was uns bei Tage in Anspruch genommen hat, beherrscht auch die Traumgedanken, und wir geben uns die Mühe zu träumen nur bei solchen Materien, welche uns bei Tage Anlaß zum Denken geboten hätten.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naheliegendste Erklärung dafür, daß ich doch vom gleichgültigen Tageseindruck träume, während der mit Recht aufregende mich zum Traume veranlaßt hat, ist wohl die, daß hier wieder ein Phänomen der Traumentstellung vorliegt, welche wir oben auf eine als Zensur waltende psychische Macht zurückgeführt haben. Die Erinnerung an die Monographie über die Gattung Zyklamen erfährt eine Verwendung, als ob sie eine </w:t>
      </w:r>
      <w:r w:rsidRPr="00A06A59">
        <w:rPr>
          <w:rFonts w:ascii="Garamond" w:hAnsi="Garamond" w:cs="Arial"/>
          <w:i/>
          <w:iCs/>
          <w:color w:val="000000"/>
          <w:lang w:val="en-GB"/>
        </w:rPr>
        <w:t>Anspielung</w:t>
      </w:r>
      <w:r w:rsidRPr="00A06A59">
        <w:rPr>
          <w:rFonts w:ascii="Garamond" w:hAnsi="Garamond" w:cs="Arial"/>
          <w:color w:val="000000"/>
          <w:lang w:val="en-GB"/>
        </w:rPr>
        <w:t xml:space="preserve"> auf das Gespräch mit dem Freunde wäre, ganz ähnlich wie im Traum von dem verhinderten Souper die Erwähnung der Freundin durch die Anspielung »geräucherter Lachs« vertreten wird. Es fragt sich nur, durch welche Mittelglieder kann der Eindruck der Monographie zu dem Gespräche mit dem Augenarzt in das Verhältnis der Anspielung treten, da eine solche Beziehung zunächst nicht ersichtlich ist. In dem Beispiele vom verhinderten Souper ist die Beziehung von vornherein gegeben; »geräucherter Lachs« als die Lieblingsspeise der Freundin gehört ohne weiteres zu dem Vorstellungskreise, den die Person der Freundin bei der Träumenden anzuregen vermag. In unserem neuen Beispiel handelt es sich um zwei gesonderte Eindrücke, die zunächst nichts gemeinsam haben, als daß sie am nämlichen Tage erfolgen. Die Monographie fällt mir am Vormittag auf, das Gespräch führe ich dann am Abend. Die Antwort, welche die Analyse an die Hand gibt, lautet: Solche erst nicht vorhandene Beziehungen zwischen den beiden Eindrücken werden nachträglich vom Vorstellungsinhalt des einen zum Vorstellungsinhalt des anderen angesponnen. Ich habe die betreffenden Mittelglieder bereits bei der Niederschrift der Analyse hervorgehoben. An die Vorstellung der Monographie über Zyklamen würde sich ohne Beeinflussung von anderswoher wohl nur die Idee knüpfen, daß diese die Lieblingsblume meiner Frau ist, etwa noch die Erinnerung an den vermißten Blumenstrauß der Frau L. Ich glaube nicht, daß diese Hintergedanken genügt hätten, einen Traum hervorzurufen.</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i/>
          <w:iCs/>
          <w:color w:val="000000"/>
          <w:sz w:val="22"/>
          <w:szCs w:val="22"/>
          <w:lang w:val="en-GB"/>
        </w:rPr>
        <w:t xml:space="preserve">»There needs no ghost, my lord, come from the grave </w:t>
      </w:r>
      <w:r w:rsidRPr="00A06A59">
        <w:rPr>
          <w:rFonts w:ascii="Garamond" w:hAnsi="Garamond" w:cs="Arial"/>
          <w:i/>
          <w:iCs/>
          <w:color w:val="000000"/>
          <w:sz w:val="22"/>
          <w:szCs w:val="22"/>
          <w:lang w:val="en-GB"/>
        </w:rPr>
        <w:br/>
        <w:t>To tell us this«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heißt es im » </w:t>
      </w:r>
      <w:r w:rsidRPr="00A06A59">
        <w:rPr>
          <w:rFonts w:ascii="Garamond" w:hAnsi="Garamond" w:cs="Arial"/>
          <w:i/>
          <w:iCs/>
          <w:color w:val="000000"/>
          <w:lang w:val="en-GB"/>
        </w:rPr>
        <w:t>Hamlet«</w:t>
      </w:r>
      <w:r w:rsidRPr="00A06A59">
        <w:rPr>
          <w:rFonts w:ascii="Garamond" w:hAnsi="Garamond" w:cs="Arial"/>
          <w:color w:val="000000"/>
          <w:lang w:val="en-GB"/>
        </w:rPr>
        <w:t xml:space="preserve">. Aber siehe da, in der Analyse werde ich daran erinnert, daß der Mann, der unser Gespräch störte, </w:t>
      </w:r>
      <w:r w:rsidRPr="00A06A59">
        <w:rPr>
          <w:rFonts w:ascii="Garamond" w:hAnsi="Garamond" w:cs="Arial"/>
          <w:i/>
          <w:iCs/>
          <w:color w:val="000000"/>
          <w:lang w:val="en-GB"/>
        </w:rPr>
        <w:t>Gärtner</w:t>
      </w:r>
      <w:r w:rsidRPr="00A06A59">
        <w:rPr>
          <w:rFonts w:ascii="Garamond" w:hAnsi="Garamond" w:cs="Arial"/>
          <w:color w:val="000000"/>
          <w:lang w:val="en-GB"/>
        </w:rPr>
        <w:t xml:space="preserve"> hieß, daß ich seine Frau </w:t>
      </w:r>
      <w:r w:rsidRPr="00A06A59">
        <w:rPr>
          <w:rFonts w:ascii="Garamond" w:hAnsi="Garamond" w:cs="Arial"/>
          <w:i/>
          <w:iCs/>
          <w:color w:val="000000"/>
          <w:lang w:val="en-GB"/>
        </w:rPr>
        <w:t>blühend</w:t>
      </w:r>
      <w:r w:rsidRPr="00A06A59">
        <w:rPr>
          <w:rFonts w:ascii="Garamond" w:hAnsi="Garamond" w:cs="Arial"/>
          <w:color w:val="000000"/>
          <w:lang w:val="en-GB"/>
        </w:rPr>
        <w:t xml:space="preserve"> fand; ja ich besinne mich eben jetzt nachträglich, daß eine meiner Patientinnen, die den schönen Namen </w:t>
      </w:r>
      <w:r w:rsidRPr="00A06A59">
        <w:rPr>
          <w:rFonts w:ascii="Garamond" w:hAnsi="Garamond" w:cs="Arial"/>
          <w:i/>
          <w:iCs/>
          <w:color w:val="000000"/>
          <w:lang w:val="en-GB"/>
        </w:rPr>
        <w:t>Flora</w:t>
      </w:r>
      <w:r w:rsidRPr="00A06A59">
        <w:rPr>
          <w:rFonts w:ascii="Garamond" w:hAnsi="Garamond" w:cs="Arial"/>
          <w:color w:val="000000"/>
          <w:lang w:val="en-GB"/>
        </w:rPr>
        <w:t xml:space="preserve"> trägt, eine Weile im Mittelpunkt unseres Gespräches stand. Es muß so zugegangen sein, daß sich über diese Mittelglieder aus dem botanischen Vorstellungskreis die Verknüpfung der beiden Tageserlebnisse, des gleichgültigen und des aufregenden, vollzog. Dann stellten sich weitere Beziehungen ein, die des Kokains, welche mit Fug und Recht zwischen der Person des Dr. </w:t>
      </w:r>
      <w:r w:rsidRPr="00A06A59">
        <w:rPr>
          <w:rFonts w:ascii="Garamond" w:hAnsi="Garamond" w:cs="Arial"/>
          <w:i/>
          <w:iCs/>
          <w:color w:val="000000"/>
          <w:lang w:val="en-GB"/>
        </w:rPr>
        <w:t>Königstein</w:t>
      </w:r>
      <w:r w:rsidRPr="00A06A59">
        <w:rPr>
          <w:rFonts w:ascii="Garamond" w:hAnsi="Garamond" w:cs="Arial"/>
          <w:color w:val="000000"/>
          <w:lang w:val="en-GB"/>
        </w:rPr>
        <w:t xml:space="preserve"> und einer botanischen Monographie, die ich geschrieben habe, vermitteln kann, und befestigten diese Verschmelzung der beiden Vorstellungskreise zu einem, so daß nun ein Stück aus dem ersten Erlebnis als Anspielung auf das zweite verwendet werden konnte.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bin darauf gefaßt, daß man diese Aufklärung als eine willkürliche oder als eine gekünstelte anfechten wird. Was wäre geschehen, wenn Professor </w:t>
      </w:r>
      <w:r w:rsidRPr="00A06A59">
        <w:rPr>
          <w:rFonts w:ascii="Garamond" w:hAnsi="Garamond" w:cs="Arial"/>
          <w:i/>
          <w:iCs/>
          <w:color w:val="000000"/>
          <w:lang w:val="en-GB"/>
        </w:rPr>
        <w:t>Gärtner</w:t>
      </w:r>
      <w:r w:rsidRPr="00A06A59">
        <w:rPr>
          <w:rFonts w:ascii="Garamond" w:hAnsi="Garamond" w:cs="Arial"/>
          <w:color w:val="000000"/>
          <w:lang w:val="en-GB"/>
        </w:rPr>
        <w:t xml:space="preserve"> mit seiner blühenden Frau nicht hinzugetreten wäre, wenn die besprochene Patientin nicht </w:t>
      </w:r>
      <w:r w:rsidRPr="00A06A59">
        <w:rPr>
          <w:rFonts w:ascii="Garamond" w:hAnsi="Garamond" w:cs="Arial"/>
          <w:i/>
          <w:iCs/>
          <w:color w:val="000000"/>
          <w:lang w:val="en-GB"/>
        </w:rPr>
        <w:t>Flora,</w:t>
      </w:r>
      <w:r w:rsidRPr="00A06A59">
        <w:rPr>
          <w:rFonts w:ascii="Garamond" w:hAnsi="Garamond" w:cs="Arial"/>
          <w:color w:val="000000"/>
          <w:lang w:val="en-GB"/>
        </w:rPr>
        <w:t xml:space="preserve"> sondern </w:t>
      </w:r>
      <w:r w:rsidRPr="00A06A59">
        <w:rPr>
          <w:rFonts w:ascii="Garamond" w:hAnsi="Garamond" w:cs="Arial"/>
          <w:i/>
          <w:iCs/>
          <w:color w:val="000000"/>
          <w:lang w:val="en-GB"/>
        </w:rPr>
        <w:t>Anna</w:t>
      </w:r>
      <w:r w:rsidRPr="00A06A59">
        <w:rPr>
          <w:rFonts w:ascii="Garamond" w:hAnsi="Garamond" w:cs="Arial"/>
          <w:color w:val="000000"/>
          <w:lang w:val="en-GB"/>
        </w:rPr>
        <w:t xml:space="preserve"> hieße? Und doch ist die Antwort leicht. Wenn sich nicht diese Gedankenbeziehungen ergeben hätten, so wären wahrscheinlich andere ausgewählt worden. Es ist so leicht, derartige Beziehungen herzustellen, wie ja die Scherz- und Rätselfragen, mit denen wir uns den Tag erheitern, zu beweisen vermögen. Der Machtbereich des Witzes ist ein uneingeschränkter. Um einen Schritt weiter zu gehen: wenn sich zwischen den beiden Eindrücken des Tages keine genug ausgiebigen Mittelbeziehungen hätten herstellen lassen, so wäre der Traum eben anders ausgefallen; ein anderer gleichgültiger Eindruck des Tages, wie sie in Scharen an uns herantreten und von uns vergessen werden, hätte für den Traum die Stelle der »Monographie« übernommen, wäre in Verbindung mit dem Inhalt des Gesprächs gelangt und hätte dieses im Trauminhalt vertreten. Da kein anderer als der von der Monographie dieses Schicksal hatte, so wird er wohl der für die Verknüpfung passendste gewesen sein. Man braucht sich nie wie Hänschen Schlau bei </w:t>
      </w:r>
      <w:r w:rsidRPr="00A06A59">
        <w:rPr>
          <w:rFonts w:ascii="Garamond" w:hAnsi="Garamond" w:cs="Arial"/>
          <w:i/>
          <w:iCs/>
          <w:color w:val="000000"/>
          <w:lang w:val="en-GB"/>
        </w:rPr>
        <w:t>Lessing</w:t>
      </w:r>
      <w:r w:rsidRPr="00A06A59">
        <w:rPr>
          <w:rFonts w:ascii="Garamond" w:hAnsi="Garamond" w:cs="Arial"/>
          <w:color w:val="000000"/>
          <w:lang w:val="en-GB"/>
        </w:rPr>
        <w:t xml:space="preserve"> darüber zu wundern, »daß nur die Reichen in der Welt das meiste Geld besitzen«.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psychologische Vorgang, durch welchen nach unserer Darlegung das gleichgültige Erlebnis zur Stellvertretung für das psychisch wertvolle gelangt, muß uns noch bedenklich und befremdend erscheinen. In einem späteren Abschnitt werden wir uns vor der Aufgabe sehen, die Eigentümlichkeiten dieser scheinbar inkorrekten Operation unserem Verständnis näherzubringen. Hier haben wir es nur mit dem Erfolge des Vorganges zu tun, zu dessen Annahme wir durch ungezählte und regelmäßig wiederkehrende Erfahrungen bei der Traumanalyse gedrängt werden. Der Vorgang ist aber so, als ob eine </w:t>
      </w:r>
      <w:r w:rsidRPr="00A06A59">
        <w:rPr>
          <w:rFonts w:ascii="Garamond" w:hAnsi="Garamond" w:cs="Arial"/>
          <w:i/>
          <w:iCs/>
          <w:color w:val="000000"/>
          <w:lang w:val="en-GB"/>
        </w:rPr>
        <w:t>Verschiebung</w:t>
      </w:r>
      <w:r w:rsidRPr="00A06A59">
        <w:rPr>
          <w:rFonts w:ascii="Garamond" w:hAnsi="Garamond" w:cs="Arial"/>
          <w:color w:val="000000"/>
          <w:lang w:val="en-GB"/>
        </w:rPr>
        <w:t xml:space="preserve"> – sagen wir: des psychischen Akzentes – auf dem Wege jener Mittelglieder zustande käme, bis anfangs </w:t>
      </w:r>
      <w:r w:rsidRPr="00A06A59">
        <w:rPr>
          <w:rFonts w:ascii="Garamond" w:hAnsi="Garamond" w:cs="Arial"/>
          <w:i/>
          <w:iCs/>
          <w:color w:val="000000"/>
          <w:lang w:val="en-GB"/>
        </w:rPr>
        <w:t>schwach</w:t>
      </w:r>
      <w:r w:rsidRPr="00A06A59">
        <w:rPr>
          <w:rFonts w:ascii="Garamond" w:hAnsi="Garamond" w:cs="Arial"/>
          <w:color w:val="000000"/>
          <w:lang w:val="en-GB"/>
        </w:rPr>
        <w:t xml:space="preserve"> mit Intensität geladene Vorstellungen durch Übernahme der Ladung von den anfänglich </w:t>
      </w:r>
      <w:r w:rsidRPr="00A06A59">
        <w:rPr>
          <w:rFonts w:ascii="Garamond" w:hAnsi="Garamond" w:cs="Arial"/>
          <w:i/>
          <w:iCs/>
          <w:color w:val="000000"/>
          <w:lang w:val="en-GB"/>
        </w:rPr>
        <w:t>intensiver</w:t>
      </w:r>
      <w:r w:rsidRPr="00A06A59">
        <w:rPr>
          <w:rFonts w:ascii="Garamond" w:hAnsi="Garamond" w:cs="Arial"/>
          <w:color w:val="000000"/>
          <w:lang w:val="en-GB"/>
        </w:rPr>
        <w:t xml:space="preserve"> besetzten zu einer Stärke gelangen, welche sie befähigt, den Zugang zum Bewußtsein zu erzwingen. Solche Verschiebungen wundern uns keineswegs, wo es sich um die Anbringung von Affektgrößen oder überhaupt um motorische Aktionen handelt. Daß die einsam gebliebene Jungfrau ihre Zärtlichkeit auf Tiere überträgt, der Junggeselle leidenschaftlicher Sammler wird, daß der Soldat einen Streifen farbigen Zeuges, die Fahne, mit seinem Herzblute verteidigt, daß im Liebesverhältnis ein um Sekunden verlängerter Händedruck Seligkeit erzeugt, oder im </w:t>
      </w:r>
      <w:r w:rsidRPr="00A06A59">
        <w:rPr>
          <w:rFonts w:ascii="Garamond" w:hAnsi="Garamond" w:cs="Arial"/>
          <w:i/>
          <w:iCs/>
          <w:color w:val="000000"/>
          <w:lang w:val="en-GB"/>
        </w:rPr>
        <w:t>Othello</w:t>
      </w:r>
      <w:r w:rsidRPr="00A06A59">
        <w:rPr>
          <w:rFonts w:ascii="Garamond" w:hAnsi="Garamond" w:cs="Arial"/>
          <w:color w:val="000000"/>
          <w:lang w:val="en-GB"/>
        </w:rPr>
        <w:t xml:space="preserve"> ein verlorenes Schnupftuch einen Wutausbruch, das sind sämtlich Beispiele von psychischen Verschiebungen, die uns unanfechtbar erscheinen. Daß aber auf demselben Wege und nach denselben Grundsätzen eine Entscheidung darüber gefällt wird, was in unser Bewußtsein gelangt und was ihm vorenthalten bleibt, also was wir denken, das macht uns den Eindruck des Krankhaften, und wir heißen es Denkfehler, wo es im Wachleben vorkommt. Verraten wir hier als das Ergebnis später anzustellender Betrachtungen, daß der psychische Vorgang, den wir in der Traumverschiebung erkannt haben, sich zwar nicht als ein krankhaft gestörter, wohl aber als ein vom normalen verschiedener, als ein Vorgang von mehr </w:t>
      </w:r>
      <w:r w:rsidRPr="00A06A59">
        <w:rPr>
          <w:rFonts w:ascii="Garamond" w:hAnsi="Garamond" w:cs="Arial"/>
          <w:i/>
          <w:iCs/>
          <w:color w:val="000000"/>
          <w:lang w:val="en-GB"/>
        </w:rPr>
        <w:t>primärer</w:t>
      </w:r>
      <w:r w:rsidRPr="00A06A59">
        <w:rPr>
          <w:rFonts w:ascii="Garamond" w:hAnsi="Garamond" w:cs="Arial"/>
          <w:color w:val="000000"/>
          <w:lang w:val="en-GB"/>
        </w:rPr>
        <w:t xml:space="preserve"> Natur herausstellen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deuten somit die Tatsache, daß der Trauminhalt Reste von nebensächlichen Erlebnissen aufnimmt, als eine Äußerung der </w:t>
      </w:r>
      <w:r w:rsidRPr="00A06A59">
        <w:rPr>
          <w:rFonts w:ascii="Garamond" w:hAnsi="Garamond" w:cs="Arial"/>
          <w:i/>
          <w:iCs/>
          <w:color w:val="000000"/>
          <w:lang w:val="en-GB"/>
        </w:rPr>
        <w:t>Traumentstellung</w:t>
      </w:r>
      <w:r w:rsidRPr="00A06A59">
        <w:rPr>
          <w:rFonts w:ascii="Garamond" w:hAnsi="Garamond" w:cs="Arial"/>
          <w:color w:val="000000"/>
          <w:lang w:val="en-GB"/>
        </w:rPr>
        <w:t xml:space="preserve"> (durch Verschiebung) und erinnern daran, daß wir in der Traumentstellung eine Folge der zwischen zwei psychischen Instanzen bestehenden Durchgangszensur erkannt haben. Wir erwarten dabei, daß die Traumanalyse uns regelmäßig die wirkliche, psychisch bedeutsame Traumquelle aus dem Tagesleben aufdecken wird, deren Erinnerung ihren Akzent auf die gleichgültige Erinnerung verschoben hat. Durch diese Auffassung haben wir uns in vollen Gegensatz zu der Theorie von </w:t>
      </w:r>
      <w:r w:rsidRPr="00A06A59">
        <w:rPr>
          <w:rFonts w:ascii="Garamond" w:hAnsi="Garamond" w:cs="Arial"/>
          <w:i/>
          <w:iCs/>
          <w:color w:val="000000"/>
          <w:lang w:val="en-GB"/>
        </w:rPr>
        <w:t>Robert</w:t>
      </w:r>
      <w:r w:rsidRPr="00A06A59">
        <w:rPr>
          <w:rFonts w:ascii="Garamond" w:hAnsi="Garamond" w:cs="Arial"/>
          <w:color w:val="000000"/>
          <w:lang w:val="en-GB"/>
        </w:rPr>
        <w:t xml:space="preserve"> gebracht, die für uns unverwendbar geworden ist. Die Tatsache, welche </w:t>
      </w:r>
      <w:r w:rsidRPr="00A06A59">
        <w:rPr>
          <w:rFonts w:ascii="Garamond" w:hAnsi="Garamond" w:cs="Arial"/>
          <w:i/>
          <w:iCs/>
          <w:color w:val="000000"/>
          <w:lang w:val="en-GB"/>
        </w:rPr>
        <w:t>Robert</w:t>
      </w:r>
      <w:r w:rsidRPr="00A06A59">
        <w:rPr>
          <w:rFonts w:ascii="Garamond" w:hAnsi="Garamond" w:cs="Arial"/>
          <w:color w:val="000000"/>
          <w:lang w:val="en-GB"/>
        </w:rPr>
        <w:t xml:space="preserve"> erklären wollte, besteht eben nicht; ihre Annahme beruht auf einem Mißverständnis, auf der Unterlassung, für den scheinbaren Trauminhalt den wirklichen Sinn des Traumes einzusetzen. Man kann noch weiterhin gegen die Lehre von Robert einwenden: Wenn der Traum wirklich die Aufgabe hätte, unser Gedächtnis durch besondere psychische Arbeit von den »Schlacken« der Tageserinnerung zu befreien, so müßte unser Schlafen gequälter sein und auf angestrengtere Arbeit verwendet werden, als wir es von unserem wachen Geistesleben behaupten können. Denn die Anzahl der indifferenten Eindrücke des Tages, vor denen wir unser Gedächtnis zu schützen hätten, ist offenbar unermeßlich groß; die Nacht würde nicht hinreichen, die Summe zu bewältigen. Es ist sehr viel wahrscheinlicher, daß das Vergessen der gleichgültigen Eindrücke ohne aktives Eingreifen unserer seelischen Mächte vor sich geht.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Dennoch verspüren wir eine Warnung, von dem </w:t>
      </w:r>
      <w:r w:rsidRPr="00A06A59">
        <w:rPr>
          <w:rFonts w:ascii="Garamond" w:hAnsi="Garamond" w:cs="Arial"/>
          <w:i/>
          <w:iCs/>
          <w:color w:val="000000"/>
          <w:lang w:val="en-GB"/>
        </w:rPr>
        <w:t>Robert</w:t>
      </w:r>
      <w:r w:rsidRPr="00A06A59">
        <w:rPr>
          <w:rFonts w:ascii="Garamond" w:hAnsi="Garamond" w:cs="Arial"/>
          <w:color w:val="000000"/>
          <w:lang w:val="en-GB"/>
        </w:rPr>
        <w:t>schen Gedanken ohne weitere Berücksichtigung Abschied zu nehmen. Wir haben die Tatsache unerklärt gelassen, daß einer der indifferenten Eindrücke des Tages – und zwar des letzten Tages – regelmäßig einen Beitrag zum Trauminhalte liefert. Die Beziehungen zwischen diesem Eindruck und der eigentlichen Traumquelle im Unbewußten bestehen nicht immer von vornherein; wie wir gesehen haben, werden sie erst nachträglich, gleichsam zum Dienste der beabsichtigten Verschiebung, während der Traumarbeit hergestellt. Es muß also eine Nötigung vorhanden sein, Verbindungen gerade nach der Richtung des rezenten, obwohl gleichgültigen, Eindruckes anzubahnen: dieser muß eine besondere Eignung durch irgendeine Qualität dazu bieten. Sonst wäre es ja ebenso leicht durchführbar, daß die Traumgedanken ihren Akzent auf einen unwesentlichen Bestandteil ihres eigenen Vorstellungskreises verschieben.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Folgende Erfahrungen können uns hier auf den Weg zur Aufklärung leiten. Wenn uns ein Tag zwei oder mehr Erlebnisse gebracht hat, welche Träume anzuregen würdig sind, so vereinigt der Traum die Erwähnung beider zu einem einzigen Ganzen; er gehorcht einem </w:t>
      </w:r>
      <w:r w:rsidRPr="00A06A59">
        <w:rPr>
          <w:rFonts w:ascii="Garamond" w:hAnsi="Garamond" w:cs="Arial"/>
          <w:i/>
          <w:iCs/>
          <w:color w:val="000000"/>
          <w:lang w:val="en-GB"/>
        </w:rPr>
        <w:t>Zwang, eine Einheit aus ihnen zu gestalten</w:t>
      </w:r>
      <w:r w:rsidRPr="00A06A59">
        <w:rPr>
          <w:rFonts w:ascii="Garamond" w:hAnsi="Garamond" w:cs="Arial"/>
          <w:color w:val="000000"/>
          <w:lang w:val="en-GB"/>
        </w:rPr>
        <w:t>; z. B.: Ich stieg eines Nachmittags im Sommer in ein Eisenbahncoupé ein, in welchem ich zwei Bekannte traf, die einander aber fremd waren. Der eine war ein einflußreicher Kollege, der andere ein Angehöriger einer vornehmen Familie, in welcher ich ärztlich beschäftigt war. Ich machte die beiden Herren miteinander bekannt; ihr Verkehr ging aber die lange Fahrt über mich, so daß ich bald mit dem einen, bald mit dem anderen einen Gesprächsstoff zu behandeln hatte. Den Kollegen bat ich, einem gemeinsamen Bekannten, der eben seine ärztliche Praxis begonnen hatte, seine Empfehlung zuzuwenden. Der Kollege erwiderte, er sei von der Tüchtigkeit des jungen Mannes überzeugt, aber sein unscheinbares Wesen werde ihm den Eingang in vornehme Häuser nicht leicht werden lassen. Ich erwiderte: Gerade darum bedarf er der Empfehlung. Bei dem anderen Mitreisenden erkundigte ich mich bald darauf nach dem Befinden seiner Tante – der Mutter einer meiner Patientinnen –, welche damals schwerkrank daniederlag. In der Nacht nach dieser Reise träumte ich, mein junger Freund, für den ich die Protektion erbeten hatte, befinde sich in einem eleganten Salon und halte vor einer ausgewählten Gesellschaft, in die ich alle mir bekannten vornehmen und reichen Leute versetzt hatte, mit weltmännischen Gesten eine Trauerrede auf die (für den Traum bereits verstorbene) alte Dame, welche die Tante des zweiten Reisegenossen war. [Ich gestehe offen, daß ich mit dieser Dame nicht in guten Beziehungen gestanden hatte.] Mein Traum hatte also wiederum Verknüpfungen zwischen beiden Eindrücken des Tages aufgefunden und mittels derselben eine einheitliche Situation komponiert.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Auf Grund vieler ähnlicher Erfahrungen muß ich den Satz aufstellen, daß für die Traumarbeit eine Art von Nötigung besteht, alle vorhandenen Traumreizquellen zu einer Einheit im Traume zusammenzusetzen </w:t>
      </w:r>
      <w:hyperlink r:id="rId7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 Neigung der Traumarbeit, gleichzeitig als interessant Vorhandenes in einer Behandlung zu verschmelzen, ist bereits von mehreren Autoren bemerkt worden, z. B. von </w:t>
        </w:r>
        <w:r w:rsidRPr="00A06A59">
          <w:rPr>
            <w:rStyle w:val="innerfusslink3"/>
            <w:rFonts w:ascii="Garamond" w:hAnsi="Garamond" w:cs="Arial"/>
            <w:b/>
            <w:bCs/>
            <w:i/>
            <w:iCs/>
            <w:lang w:val="en-GB"/>
          </w:rPr>
          <w:t>Delage</w:t>
        </w:r>
        <w:r w:rsidRPr="00A06A59">
          <w:rPr>
            <w:rStyle w:val="innerfusslink3"/>
            <w:rFonts w:ascii="Garamond" w:hAnsi="Garamond" w:cs="Arial"/>
            <w:b/>
            <w:bCs/>
            <w:lang w:val="en-GB"/>
          </w:rPr>
          <w:t xml:space="preserve"> (p. 41). </w:t>
        </w:r>
        <w:r w:rsidRPr="00A06A59">
          <w:rPr>
            <w:rStyle w:val="innerfusslink3"/>
            <w:rFonts w:ascii="Garamond" w:hAnsi="Garamond" w:cs="Arial"/>
            <w:b/>
            <w:bCs/>
            <w:i/>
            <w:iCs/>
            <w:lang w:val="en-GB"/>
          </w:rPr>
          <w:t>Delboeuf</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rapprochement force</w:t>
        </w:r>
        <w:r w:rsidRPr="00A06A59">
          <w:rPr>
            <w:rStyle w:val="innerfusslink3"/>
            <w:rFonts w:ascii="Garamond" w:hAnsi="Garamond" w:cs="Arial"/>
            <w:b/>
            <w:bCs/>
            <w:lang w:val="en-GB"/>
          </w:rPr>
          <w:t xml:space="preserve"> (p. 236).</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will jetzt die Frage in Erörterung ziehen, ob die traumerregende Quelle, auf welche die Analyse hinführt, jedesmal ein rezentes (und bedeutsames) Ereignis sein muß oder ob ein inneres Erlebnis, also die Erinnerung an ein psychisch wertvolles Ereignis, ein Gedankengang, die Rolle des Traumerregers übernehmen kann. Die Antwort, die sich aus zahlreichen Analysen auf das bestimmteste ergibt, lautet im letzteren Sinne. Der Traumerreger kann ein innerer Vorgang sein, der gleichsam durch die Denkarbeit am Tage rezent geworden ist. Es wird jetzt wohl der richtige Moment sein, die verschiedenen Bedingungen, welche die Traumquellen erkennen lassen, in einem Schema zusammenzustellen.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Traumquelle kann sein: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a)</w:t>
      </w:r>
      <w:r w:rsidRPr="00A06A59">
        <w:rPr>
          <w:rFonts w:ascii="Garamond" w:hAnsi="Garamond" w:cs="Arial"/>
          <w:color w:val="000000"/>
          <w:lang w:val="en-GB"/>
        </w:rPr>
        <w:t xml:space="preserve"> Ein rezentes und psychisch bedeutsames Erlebnis, welches im Traume direkt vertreten ist </w:t>
      </w:r>
      <w:hyperlink r:id="rId7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Traum von Irmas Injektion; Traum vom Freund, der mein Onkel ist.</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b)</w:t>
      </w:r>
      <w:r w:rsidRPr="00A06A59">
        <w:rPr>
          <w:rFonts w:ascii="Garamond" w:hAnsi="Garamond" w:cs="Arial"/>
          <w:color w:val="000000"/>
          <w:lang w:val="en-GB"/>
        </w:rPr>
        <w:t xml:space="preserve"> Mehrere rezente, bedeutsame Erlebnisse, die durch den Traum zu einer Einheit vereinigt werden </w:t>
      </w:r>
      <w:hyperlink r:id="rId8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Traum von der Trauerrede des jungen Arztes.</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c)</w:t>
      </w:r>
      <w:r w:rsidRPr="00A06A59">
        <w:rPr>
          <w:rFonts w:ascii="Garamond" w:hAnsi="Garamond" w:cs="Arial"/>
          <w:color w:val="000000"/>
          <w:lang w:val="en-GB"/>
        </w:rPr>
        <w:t xml:space="preserve"> Ein oder mehrere rezente und bedeutsame Erlebnisse, die im Trauminhalt durch die Erwähnung eines gleichzeitigen, aber indifferenten Erlebnisses vertreten werden </w:t>
      </w:r>
      <w:hyperlink r:id="rId8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Traum von der botanischen Monographie.</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w:t>
      </w:r>
      <w:r w:rsidRPr="00A06A59">
        <w:rPr>
          <w:rFonts w:ascii="Garamond" w:hAnsi="Garamond" w:cs="Arial"/>
          <w:color w:val="000000"/>
          <w:lang w:val="en-GB"/>
        </w:rPr>
        <w:t xml:space="preserve"> Ein inneres bedeutsames Erlebnis (Erinnerung, Gedankengang), welches dann im Traume </w:t>
      </w:r>
      <w:r w:rsidRPr="00A06A59">
        <w:rPr>
          <w:rFonts w:ascii="Garamond" w:hAnsi="Garamond" w:cs="Arial"/>
          <w:i/>
          <w:iCs/>
          <w:color w:val="000000"/>
          <w:lang w:val="en-GB"/>
        </w:rPr>
        <w:t>regelmäßig</w:t>
      </w:r>
      <w:r w:rsidRPr="00A06A59">
        <w:rPr>
          <w:rFonts w:ascii="Garamond" w:hAnsi="Garamond" w:cs="Arial"/>
          <w:color w:val="000000"/>
          <w:lang w:val="en-GB"/>
        </w:rPr>
        <w:t xml:space="preserve"> durch die Erwähnung eines rezenten, aber indifferenten Eindruckes vertreten wird </w:t>
      </w:r>
      <w:hyperlink r:id="rId8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Solcherart sind die meisten Träume meiner Patienten während der Analyse.</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Wie man sieht, wird für die Traumdeutung durchwegs die Bedingung festgehalten, daß ein Bestandteil des Trauminhalts einen rezenten Eindruck des Vortages wiederholt. Dieser zur Vertretung im Traume bestimmte Anteil kann entweder dem Vorstellungskreise des eigentlichen Traumerregers selbst angehören – und zwar entweder als </w:t>
      </w:r>
      <w:r w:rsidRPr="00A06A59">
        <w:rPr>
          <w:rFonts w:ascii="Garamond" w:hAnsi="Garamond" w:cs="Arial"/>
          <w:color w:val="000000"/>
          <w:lang w:val="en-GB"/>
        </w:rPr>
        <w:lastRenderedPageBreak/>
        <w:t xml:space="preserve">wesentlicher oder als unwichtiger Bestandteil desselben –, oder er rührt aus dem Bereiche eines indifferenten Eindruckes her, der durch mehr oder minder reichliche Verknüpfung mit dem Kreis des Traumerregers in Beziehung gebracht worden ist. Die scheinbare Mehrheit der Bedingungen kommt hier nur durch die </w:t>
      </w:r>
      <w:r w:rsidRPr="00A06A59">
        <w:rPr>
          <w:rFonts w:ascii="Garamond" w:hAnsi="Garamond" w:cs="Arial"/>
          <w:i/>
          <w:iCs/>
          <w:color w:val="000000"/>
          <w:lang w:val="en-GB"/>
        </w:rPr>
        <w:t>Alternative</w:t>
      </w:r>
      <w:r w:rsidRPr="00A06A59">
        <w:rPr>
          <w:rFonts w:ascii="Garamond" w:hAnsi="Garamond" w:cs="Arial"/>
          <w:color w:val="000000"/>
          <w:lang w:val="en-GB"/>
        </w:rPr>
        <w:t xml:space="preserve"> zustande, daß </w:t>
      </w:r>
      <w:r w:rsidRPr="00A06A59">
        <w:rPr>
          <w:rFonts w:ascii="Garamond" w:hAnsi="Garamond" w:cs="Arial"/>
          <w:i/>
          <w:iCs/>
          <w:color w:val="000000"/>
          <w:lang w:val="en-GB"/>
        </w:rPr>
        <w:t>eine Verschiebung unterblieben oder vorgefallen ist</w:t>
      </w:r>
      <w:r w:rsidRPr="00A06A59">
        <w:rPr>
          <w:rFonts w:ascii="Garamond" w:hAnsi="Garamond" w:cs="Arial"/>
          <w:color w:val="000000"/>
          <w:lang w:val="en-GB"/>
        </w:rPr>
        <w:t>, und wir merken hier, daß diese Alternative uns dieselbe Leichtigkeit bietet, die Kontraste des Traumes zu erklären, wie der medizinischen Theorie des Traumes die Reihe vom partiellen bis zum vollen Wachen der Gehirnzellen (vgl. S. 53).</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Man bemerkt an dieser Reihe ferner, daß das psychisch wertvolle, aber nicht rezente Element (der Gedankengang, die Erinnerung) für die Zwecke der Traumbildung durch ein rezentes, aber psychisch indifferentes Element ersetzt werden kann, wenn dabei nur die beiden Bedingungen eingehalten werden, daß 1) der Trauminhalt eine Anknüpfung an das rezent Erlebte erhält; 2) der Traumerreger ein psychisch wertvoller Vorgang bleibt. In einem einzigen Falle ( </w:t>
      </w:r>
      <w:r w:rsidRPr="00A06A59">
        <w:rPr>
          <w:rFonts w:ascii="Garamond" w:hAnsi="Garamond" w:cs="Arial"/>
          <w:i/>
          <w:iCs/>
          <w:color w:val="000000"/>
          <w:lang w:val="en-GB"/>
        </w:rPr>
        <w:t>a</w:t>
      </w:r>
      <w:r w:rsidRPr="00A06A59">
        <w:rPr>
          <w:rFonts w:ascii="Garamond" w:hAnsi="Garamond" w:cs="Arial"/>
          <w:color w:val="000000"/>
          <w:lang w:val="en-GB"/>
        </w:rPr>
        <w:t xml:space="preserve">) werden beide Bedingungen durch denselben Eindruck erfüllt. Zieht man noch in Erwägung, daß dieselben indifferenten Eindrücke, welche für den Traum verwertet werden, solange sie rezent sind, diese Eignung einbüßen, sobald sie einen Tag (oder höchstens mehrere) älter geworden sind, so muß man sich zur Annahme entschließen, daß die Frische eines Eindruckes ihm an sich einen gewissen psychischen Wert für die Traumbildung verleiht, welcher der Wertigkeit affektbetonter Erinnerungen oder Gedankengänge irgendwie gleichkommt. Wir werden erst bei späteren psychologischen Überlegungen erraten können, worin dieser Wert </w:t>
      </w:r>
      <w:r w:rsidRPr="00A06A59">
        <w:rPr>
          <w:rFonts w:ascii="Garamond" w:hAnsi="Garamond" w:cs="Arial"/>
          <w:i/>
          <w:iCs/>
          <w:color w:val="000000"/>
          <w:lang w:val="en-GB"/>
        </w:rPr>
        <w:t>rezenter</w:t>
      </w:r>
      <w:r w:rsidRPr="00A06A59">
        <w:rPr>
          <w:rFonts w:ascii="Garamond" w:hAnsi="Garamond" w:cs="Arial"/>
          <w:color w:val="000000"/>
          <w:lang w:val="en-GB"/>
        </w:rPr>
        <w:t xml:space="preserve"> Eindrücke für die Traumbildung begründet sein kann </w:t>
      </w:r>
      <w:hyperlink r:id="rId8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Vgl. im Abschnitt VII über die »Übertragung«.</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Nebenbei wird hier unsere Aufmerksamkeit darauf gelenkt, daß zur Nachtzeit und von unserem Bewußtsein unbemerkt wichtige Veränderungen mit unserem Erinnerungs- und Vorstellungsmaterial vor sich gehen können. Die Forderung, eine Nacht über eine Angelegenheit zu schlafen, ehe man sich endgültig über sie entscheidet, ist offenbar vollberechtigt. Wir merken aber, daß wir an diesem Punkte aus der Psychologie des Träumens in die des Schlafens übergegriffen haben, ein Schritt, zu welchem sich der Anlaß noch öfter ergeben wird </w:t>
      </w:r>
      <w:hyperlink r:id="rId8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Einen wichtigen Beitrag, der die Rolle des Rezenten für die Traumbildung betrifft, bringt O. </w:t>
        </w:r>
        <w:r w:rsidRPr="00A06A59">
          <w:rPr>
            <w:rStyle w:val="innerfusslink3"/>
            <w:rFonts w:ascii="Garamond" w:hAnsi="Garamond" w:cs="Arial"/>
            <w:b/>
            <w:bCs/>
            <w:i/>
            <w:iCs/>
            <w:lang w:val="en-GB"/>
          </w:rPr>
          <w:t>Pötzl</w:t>
        </w:r>
        <w:r w:rsidRPr="00A06A59">
          <w:rPr>
            <w:rStyle w:val="innerfusslink3"/>
            <w:rFonts w:ascii="Garamond" w:hAnsi="Garamond" w:cs="Arial"/>
            <w:b/>
            <w:bCs/>
            <w:lang w:val="en-GB"/>
          </w:rPr>
          <w:t xml:space="preserve"> in einer an Anknüpfungen überreichen Arbeit (Experimentell erregte Traumbilder in ihrer Beziehung zum indirekten Sehen. Zeitschr. Für die ges. Neurologie und Psychatrie, XXXVII, 1917). </w:t>
        </w:r>
        <w:r w:rsidRPr="00A06A59">
          <w:rPr>
            <w:rStyle w:val="innerfusslink3"/>
            <w:rFonts w:ascii="Garamond" w:hAnsi="Garamond" w:cs="Arial"/>
            <w:b/>
            <w:bCs/>
            <w:i/>
            <w:iCs/>
            <w:lang w:val="en-GB"/>
          </w:rPr>
          <w:t>Pötzl</w:t>
        </w:r>
        <w:r w:rsidRPr="00A06A59">
          <w:rPr>
            <w:rStyle w:val="innerfusslink3"/>
            <w:rFonts w:ascii="Garamond" w:hAnsi="Garamond" w:cs="Arial"/>
            <w:b/>
            <w:bCs/>
            <w:lang w:val="en-GB"/>
          </w:rPr>
          <w:t xml:space="preserve"> ließ von verschiedenen Versuchspersonen in Zeichnung fixieren, was sie von einem tachistoskopisch exponierten Bild bewußt aufgefaßt hatten. Er kümmerte sich dann um den Traum der Versuchsperson in der folgenden Nacht und ließ geeignete Anteile dieses Traumes gleichfalls durch eine Zeichnung darstellen. Es ergab sich dann unverkennbar, daß die nicht von der Versuchsperson aufgefaßten Einzelheiten des exponierten Bildes Material für die Traumbildung geliefert hatten, während die bewußt wahrgenommenen und in der Zeichnung nach der Exposition fixierten im manifesten Trauminhalt nicht wieder erschienen waren. Das von der Traumarbeit aufgenommene Material wurde von ihr in der bekannten »willkürlichen«, richtiger: selbstherrlichen Art im Dienste der traumbildenden Tendenzen verarbeitet. Die Anregungen der </w:t>
        </w:r>
        <w:r w:rsidRPr="00A06A59">
          <w:rPr>
            <w:rStyle w:val="innerfusslink3"/>
            <w:rFonts w:ascii="Garamond" w:hAnsi="Garamond" w:cs="Arial"/>
            <w:b/>
            <w:bCs/>
            <w:i/>
            <w:iCs/>
            <w:lang w:val="en-GB"/>
          </w:rPr>
          <w:t>Pötzl</w:t>
        </w:r>
        <w:r w:rsidRPr="00A06A59">
          <w:rPr>
            <w:rStyle w:val="innerfusslink3"/>
            <w:rFonts w:ascii="Garamond" w:hAnsi="Garamond" w:cs="Arial"/>
            <w:b/>
            <w:bCs/>
            <w:lang w:val="en-GB"/>
          </w:rPr>
          <w:t>schen Untersuchung gehen weit über die Absichten einer Traumdeutung, wie sie in diesem Buche versucht wird, hinaus. Es sei noch mit einem Wort darauf hingewiesen, wie weit diese neue Art, die Traumbildung experimentell zu studieren, von der früheren groben Technik absteht, die darin bestand, schlafstörende Reize in den Trauminhalt einzuführen.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gibt nun einen Einwand, welcher die letzten Schlußfolgerungen umzustoßen droht. Wenn indifferente Eindrücke nur, solange sie rezent sind, in den Trauminhalt gelangen können, wie kommt es, daß wir im Trauminhalt auch Elemente aus früheren Lebensperioden vorfinden, die zur Zeit, da sie rezent waren – nach </w:t>
      </w:r>
      <w:r w:rsidRPr="00A06A59">
        <w:rPr>
          <w:rFonts w:ascii="Garamond" w:hAnsi="Garamond" w:cs="Arial"/>
          <w:i/>
          <w:iCs/>
          <w:color w:val="000000"/>
          <w:lang w:val="en-GB"/>
        </w:rPr>
        <w:t>Strümpell</w:t>
      </w:r>
      <w:r w:rsidRPr="00A06A59">
        <w:rPr>
          <w:rFonts w:ascii="Garamond" w:hAnsi="Garamond" w:cs="Arial"/>
          <w:color w:val="000000"/>
          <w:lang w:val="en-GB"/>
        </w:rPr>
        <w:t>s Worten –, keinen psychischen Wert besaßen, also längst vergessen sein sollten, Elemente also, die weder frisch noch psychisch bedeutsam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Dieser Einwand ist voll zu erledigen, wenn man sich auf die Ergebnisse der Psychoanalyse bei Neurotikern stützt. Die Lösung lautet nämlich, daß die Verschiebung, welche das psychisch wichtige Material durch indifferentes ersetzt (für das Träumen wie für das Denken), hier bereits in jenen frühen Lebensperioden stattgefunden hat und seither im Gedächtnis fixiert worden ist. Jene ursprünglich indifferenten Elemente sind eben nicht mehr indifferent, seitdem sie durch Verschiebung die Wertigkeit vom psychisch bedeutsamen Material übernommen haben. Was wirklich indifferent geblieben ist, kann auch nicht mehr im Traume reproduziert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Aus den vorstehenden Erörterungen wird man mit Recht schließen, daß ich die Behauptung aufstelle, es gebe keine indifferenten Traumerreger, also auch keine harmlosen Träume. Dies ist in aller Strenge und Ausschließlichkeit meine Meinung, abgesehen von den Träumen der Kinder und etwa den kurzen Traumreaktionen auf nächtliche Sensationen. Was man sonst träumt, ist entweder manifest als psychisch bedeutsam zu erkennen, oder es ist entstellt und dann erst nach vollzogener Traumdeutung zu beurteilen, worauf es sich wiederum als bedeutsam zu erkennen gibt. Der Traum gibt sich nie mit Kleinigkeiten ab; um Geringes lassen wir uns im Schlaf nicht stören </w:t>
      </w:r>
      <w:hyperlink r:id="rId8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H. </w:t>
        </w:r>
        <w:r w:rsidRPr="00A06A59">
          <w:rPr>
            <w:rStyle w:val="innerfusslink3"/>
            <w:rFonts w:ascii="Garamond" w:hAnsi="Garamond" w:cs="Arial"/>
            <w:b/>
            <w:bCs/>
            <w:i/>
            <w:iCs/>
            <w:lang w:val="en-GB"/>
          </w:rPr>
          <w:t>Ellis</w:t>
        </w:r>
        <w:r w:rsidRPr="00A06A59">
          <w:rPr>
            <w:rStyle w:val="innerfusslink3"/>
            <w:rFonts w:ascii="Garamond" w:hAnsi="Garamond" w:cs="Arial"/>
            <w:b/>
            <w:bCs/>
            <w:lang w:val="en-GB"/>
          </w:rPr>
          <w:t xml:space="preserve">, der </w:t>
        </w:r>
        <w:r w:rsidRPr="00A06A59">
          <w:rPr>
            <w:rStyle w:val="innerfusslink3"/>
            <w:rFonts w:ascii="Garamond" w:hAnsi="Garamond" w:cs="Arial"/>
            <w:b/>
            <w:bCs/>
            <w:lang w:val="en-GB"/>
          </w:rPr>
          <w:lastRenderedPageBreak/>
          <w:t xml:space="preserve">liebenswürdige Kritiker der </w:t>
        </w:r>
        <w:r w:rsidRPr="00A06A59">
          <w:rPr>
            <w:rStyle w:val="innerfusslink3"/>
            <w:rFonts w:ascii="Garamond" w:hAnsi="Garamond" w:cs="Arial"/>
            <w:b/>
            <w:bCs/>
            <w:i/>
            <w:iCs/>
            <w:lang w:val="en-GB"/>
          </w:rPr>
          <w:t>Traumdeutung,</w:t>
        </w:r>
        <w:r w:rsidRPr="00A06A59">
          <w:rPr>
            <w:rStyle w:val="innerfusslink3"/>
            <w:rFonts w:ascii="Garamond" w:hAnsi="Garamond" w:cs="Arial"/>
            <w:b/>
            <w:bCs/>
            <w:lang w:val="en-GB"/>
          </w:rPr>
          <w:t xml:space="preserve"> schreibt (p. 169): »Da ist der Punkt, von dem an viele von uns nicht mehr imstande sein werden, F. weiter zu folgen.« Allein H. </w:t>
        </w:r>
        <w:r w:rsidRPr="00A06A59">
          <w:rPr>
            <w:rStyle w:val="innerfusslink3"/>
            <w:rFonts w:ascii="Garamond" w:hAnsi="Garamond" w:cs="Arial"/>
            <w:b/>
            <w:bCs/>
            <w:i/>
            <w:iCs/>
            <w:lang w:val="en-GB"/>
          </w:rPr>
          <w:t>Ellis</w:t>
        </w:r>
        <w:r w:rsidRPr="00A06A59">
          <w:rPr>
            <w:rStyle w:val="innerfusslink3"/>
            <w:rFonts w:ascii="Garamond" w:hAnsi="Garamond" w:cs="Arial"/>
            <w:b/>
            <w:bCs/>
            <w:lang w:val="en-GB"/>
          </w:rPr>
          <w:t xml:space="preserve"> hat keine Analysen von Träumen angestellt und will nicht glauben, wie unberechtigt das Urteilen nach dem manifesten Trauminhalt ist.</w:t>
        </w:r>
      </w:hyperlink>
      <w:r w:rsidRPr="00A06A59">
        <w:rPr>
          <w:rFonts w:ascii="Garamond" w:hAnsi="Garamond" w:cs="Arial"/>
          <w:color w:val="000000"/>
          <w:lang w:val="en-GB"/>
        </w:rPr>
        <w:t xml:space="preserve">. Die scheinbar harmlosen Träume erweisen sich als arg, wenn man sich um ihre Deutung bemüht; wenn man mir die Redensart gestattet, sie haben es »faustdick hinter den Ohren«. Da dies wiederum ein Punkt ist, bei dem ich Widerspruch erwarten darf, und da ich gerne die Gelegenheit ergreife, die Traumentstellung bei ihrer Arbeit zu zeigen, will ich eine Reihe von » </w:t>
      </w:r>
      <w:r w:rsidRPr="00A06A59">
        <w:rPr>
          <w:rFonts w:ascii="Garamond" w:hAnsi="Garamond" w:cs="Arial"/>
          <w:i/>
          <w:iCs/>
          <w:color w:val="000000"/>
          <w:lang w:val="en-GB"/>
        </w:rPr>
        <w:t>harmlosen Träumen</w:t>
      </w:r>
      <w:r w:rsidRPr="00A06A59">
        <w:rPr>
          <w:rFonts w:ascii="Garamond" w:hAnsi="Garamond" w:cs="Arial"/>
          <w:color w:val="000000"/>
          <w:lang w:val="en-GB"/>
        </w:rPr>
        <w:t>« aus meiner Sammlung hier der Analyse unterziehen.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kluge und feine junge Dame, die aber auch im Leben zu den Reservierten, zu den »stillen Wassern« gehört, erzählt: </w:t>
      </w:r>
      <w:r w:rsidRPr="00A06A59">
        <w:rPr>
          <w:rFonts w:ascii="Garamond" w:hAnsi="Garamond" w:cs="Arial"/>
          <w:i/>
          <w:iCs/>
          <w:color w:val="000000"/>
          <w:lang w:val="en-GB"/>
        </w:rPr>
        <w:t>Ich habe geträumt, daß ich auf den Markt zu spät komme und beim Fleischhauer sowie bei der Gemüsefrau nichts bekomme</w:t>
      </w:r>
      <w:r w:rsidRPr="00A06A59">
        <w:rPr>
          <w:rFonts w:ascii="Garamond" w:hAnsi="Garamond" w:cs="Arial"/>
          <w:color w:val="000000"/>
          <w:lang w:val="en-GB"/>
        </w:rPr>
        <w:t xml:space="preserve">. Gewiß ein harmloser Traum, aber so sieht ein Traum nicht aus; ich lasse ihn mir detailliert erzählen. Dann lautet der Bericht folgendermaßen: </w:t>
      </w:r>
      <w:r w:rsidRPr="00A06A59">
        <w:rPr>
          <w:rFonts w:ascii="Garamond" w:hAnsi="Garamond" w:cs="Arial"/>
          <w:i/>
          <w:iCs/>
          <w:color w:val="000000"/>
          <w:lang w:val="en-GB"/>
        </w:rPr>
        <w:t>Sie geht auf den Markt mit ihrerKöchin, die den Korb trägt. Der Fleischhauer sagt ihr, nachdem sie etwas verlangt hat: Das ist nicht mehr zu haben, und will ihr etwas anderes geben mit der Bemerkung: Das ist auch gut. Sie lehnt ab und geht zur Gemüsefrau, die will ihr ein eigentümliches Gemüse verkaufen, das in Bündeln zusammengebunden ist, aber schwarz von Farbe. Sie sagt: Das kenne ich nicht, das nehme ich nicht.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Tagesanknüpfung des Traumes ist einfach genug. Sie war wirklich zu spät auf den Markt gegangen und hatte nichts mehr bekommen. </w:t>
      </w:r>
      <w:r w:rsidRPr="00A06A59">
        <w:rPr>
          <w:rFonts w:ascii="Garamond" w:hAnsi="Garamond" w:cs="Arial"/>
          <w:i/>
          <w:iCs/>
          <w:color w:val="000000"/>
          <w:lang w:val="en-GB"/>
        </w:rPr>
        <w:t>Die Fleischbank war schon geschlossen</w:t>
      </w:r>
      <w:r w:rsidRPr="00A06A59">
        <w:rPr>
          <w:rFonts w:ascii="Garamond" w:hAnsi="Garamond" w:cs="Arial"/>
          <w:color w:val="000000"/>
          <w:lang w:val="en-GB"/>
        </w:rPr>
        <w:t>, drängt sich einem als Beschreibung des Erlebnisses auf. Doch halt, ist das nicht eine recht gemeine Redensart, die – oder vielmehr deren Gegenteil – auf eine Nachlässigkeit in der Kleidung eines Mannes geht? Die Träumerin hat diese Worte übrigens nicht gebraucht, ist ihnen vielleicht ausgewichen; suchen wir nach der Deutung der im Traume enthaltenen Einzelheiten.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Wo etwas im Traum den Charakter einer Rede hat, also gesagt oder gehört wird, nicht bloß gedacht – was sich meist sicher unterscheiden läßt – das stammt von Reden des wachen Lebens her, die freilich als Rohmaterial behandelt, zerstückelt, leise verändert, vor allem aber aus dem Zusammenhange gerissen worden sind </w:t>
      </w:r>
      <w:hyperlink r:id="rId8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Vergleiche über die Reden im Traum im Abschnitt über die Traumarbeit. Ein einziger der Autoren scheint die Herkunft der Traumreden erkannt zu haben, </w:t>
        </w:r>
        <w:r w:rsidRPr="00A06A59">
          <w:rPr>
            <w:rStyle w:val="innerfusslink3"/>
            <w:rFonts w:ascii="Garamond" w:hAnsi="Garamond" w:cs="Arial"/>
            <w:b/>
            <w:bCs/>
            <w:i/>
            <w:iCs/>
            <w:lang w:val="en-GB"/>
          </w:rPr>
          <w:t>Delboeuf</w:t>
        </w:r>
        <w:r w:rsidRPr="00A06A59">
          <w:rPr>
            <w:rStyle w:val="innerfusslink3"/>
            <w:rFonts w:ascii="Garamond" w:hAnsi="Garamond" w:cs="Arial"/>
            <w:b/>
            <w:bCs/>
            <w:lang w:val="en-GB"/>
          </w:rPr>
          <w:t xml:space="preserve"> (p. 226), indem er sie mit » </w:t>
        </w:r>
        <w:r w:rsidRPr="00A06A59">
          <w:rPr>
            <w:rStyle w:val="innerfusslink3"/>
            <w:rFonts w:ascii="Garamond" w:hAnsi="Garamond" w:cs="Arial"/>
            <w:b/>
            <w:bCs/>
            <w:i/>
            <w:iCs/>
            <w:lang w:val="en-GB"/>
          </w:rPr>
          <w:t>clichés</w:t>
        </w:r>
        <w:r w:rsidRPr="00A06A59">
          <w:rPr>
            <w:rStyle w:val="innerfusslink3"/>
            <w:rFonts w:ascii="Garamond" w:hAnsi="Garamond" w:cs="Arial"/>
            <w:b/>
            <w:bCs/>
            <w:lang w:val="en-GB"/>
          </w:rPr>
          <w:t>« vergleicht.</w:t>
        </w:r>
      </w:hyperlink>
      <w:r w:rsidRPr="00A06A59">
        <w:rPr>
          <w:rFonts w:ascii="Garamond" w:hAnsi="Garamond" w:cs="Arial"/>
          <w:color w:val="000000"/>
          <w:lang w:val="en-GB"/>
        </w:rPr>
        <w:t xml:space="preserve">. Man kann bei der Deutungsarbeit von solchen Reden ausgehen. Woher stammt also die Rede des Fleischhauers: </w:t>
      </w:r>
      <w:r w:rsidRPr="00A06A59">
        <w:rPr>
          <w:rFonts w:ascii="Garamond" w:hAnsi="Garamond" w:cs="Arial"/>
          <w:i/>
          <w:iCs/>
          <w:color w:val="000000"/>
          <w:lang w:val="en-GB"/>
        </w:rPr>
        <w:t>Das ist nicht mehr zu haben?</w:t>
      </w:r>
      <w:r w:rsidRPr="00A06A59">
        <w:rPr>
          <w:rFonts w:ascii="Garamond" w:hAnsi="Garamond" w:cs="Arial"/>
          <w:color w:val="000000"/>
          <w:lang w:val="en-GB"/>
        </w:rPr>
        <w:t xml:space="preserve"> Von mir selbst; ich hatte ihr einige Tage vorher erklärt, »daß die ältesten Kindererlebnisse </w:t>
      </w:r>
      <w:r w:rsidRPr="00A06A59">
        <w:rPr>
          <w:rFonts w:ascii="Garamond" w:hAnsi="Garamond" w:cs="Arial"/>
          <w:i/>
          <w:iCs/>
          <w:color w:val="000000"/>
          <w:lang w:val="en-GB"/>
        </w:rPr>
        <w:t>nicht mehr</w:t>
      </w:r>
      <w:r w:rsidRPr="00A06A59">
        <w:rPr>
          <w:rFonts w:ascii="Garamond" w:hAnsi="Garamond" w:cs="Arial"/>
          <w:color w:val="000000"/>
          <w:lang w:val="en-GB"/>
        </w:rPr>
        <w:t xml:space="preserve"> als solche </w:t>
      </w:r>
      <w:r w:rsidRPr="00A06A59">
        <w:rPr>
          <w:rFonts w:ascii="Garamond" w:hAnsi="Garamond" w:cs="Arial"/>
          <w:i/>
          <w:iCs/>
          <w:color w:val="000000"/>
          <w:lang w:val="en-GB"/>
        </w:rPr>
        <w:t>zu haben sind</w:t>
      </w:r>
      <w:r w:rsidRPr="00A06A59">
        <w:rPr>
          <w:rFonts w:ascii="Garamond" w:hAnsi="Garamond" w:cs="Arial"/>
          <w:color w:val="000000"/>
          <w:lang w:val="en-GB"/>
        </w:rPr>
        <w:t xml:space="preserve">, sondern durch ›Übertragungen‹ und Träume in der Analyse ersetzt werden«. Ich bin also der Fleischhauer, und sie lehnt diese Übertragungen alter Denk- und Empfindungsweisen auf die Gegenwart ab. – Woher rührt ihre Traumrede: </w:t>
      </w:r>
      <w:r w:rsidRPr="00A06A59">
        <w:rPr>
          <w:rFonts w:ascii="Garamond" w:hAnsi="Garamond" w:cs="Arial"/>
          <w:i/>
          <w:iCs/>
          <w:color w:val="000000"/>
          <w:lang w:val="en-GB"/>
        </w:rPr>
        <w:t>Das kenne ich nicht, das nehme ich nicht?</w:t>
      </w:r>
      <w:r w:rsidRPr="00A06A59">
        <w:rPr>
          <w:rFonts w:ascii="Garamond" w:hAnsi="Garamond" w:cs="Arial"/>
          <w:color w:val="000000"/>
          <w:lang w:val="en-GB"/>
        </w:rPr>
        <w:t xml:space="preserve"> Diese ist für die Analyse zu zerteilen. » </w:t>
      </w:r>
      <w:r w:rsidRPr="00A06A59">
        <w:rPr>
          <w:rFonts w:ascii="Garamond" w:hAnsi="Garamond" w:cs="Arial"/>
          <w:i/>
          <w:iCs/>
          <w:color w:val="000000"/>
          <w:lang w:val="en-GB"/>
        </w:rPr>
        <w:t>Das kenne ich nicht</w:t>
      </w:r>
      <w:r w:rsidRPr="00A06A59">
        <w:rPr>
          <w:rFonts w:ascii="Garamond" w:hAnsi="Garamond" w:cs="Arial"/>
          <w:color w:val="000000"/>
          <w:lang w:val="en-GB"/>
        </w:rPr>
        <w:t xml:space="preserve">« hat sie selbst tags vorher zu ihrer Köchin gesagt, mit der sie einen Streit hatte, damals aber hinzugefügt: </w:t>
      </w:r>
      <w:r w:rsidRPr="00A06A59">
        <w:rPr>
          <w:rFonts w:ascii="Garamond" w:hAnsi="Garamond" w:cs="Arial"/>
          <w:i/>
          <w:iCs/>
          <w:color w:val="000000"/>
          <w:lang w:val="en-GB"/>
        </w:rPr>
        <w:t>Benehmen Sie sich anständig</w:t>
      </w:r>
      <w:r w:rsidRPr="00A06A59">
        <w:rPr>
          <w:rFonts w:ascii="Garamond" w:hAnsi="Garamond" w:cs="Arial"/>
          <w:color w:val="000000"/>
          <w:lang w:val="en-GB"/>
        </w:rPr>
        <w:t xml:space="preserve">. Hier wird eine Verschiebung greifbar; von den beiden Sätzen, die sie gegen ihre Köchin gebraucht, hat sie den bedeutungslosen in den Traum genommen; der unterdrückte aber: »Benehmen Sie sich anständig!« stimmt allein zum übrigen Trauminhalt. So könnte man jemandem zurufen, der unanständige Zumutungen wagt und vergißt, »die Fleischbank zuzuschließen«. Daß wir der Deutung wirklich auf die Spur gekommen sind, beweist dann der Zusammenklang mit den Anspielungen, die in der Begebenheit mit der Gemüsefrau niedergelegt sind. Ein Gemüse, das in Bündeln zusammengebunden verkauft wird (länglich ist, wie sie nachträglich hinzufügt), und dabei schwarz, was kann das anderes sein als die Traumvereinigung von Spargel und schwarzem Rettich? Spargel brauche ich keinem und keiner Wissenden zu deuten, aber auch das andere Gemüse – als Zuruf: </w:t>
      </w:r>
      <w:r w:rsidRPr="00A06A59">
        <w:rPr>
          <w:rFonts w:ascii="Garamond" w:hAnsi="Garamond" w:cs="Arial"/>
          <w:i/>
          <w:iCs/>
          <w:color w:val="000000"/>
          <w:lang w:val="en-GB"/>
        </w:rPr>
        <w:t>Schwarzer, rett' dich!</w:t>
      </w:r>
      <w:r w:rsidRPr="00A06A59">
        <w:rPr>
          <w:rFonts w:ascii="Garamond" w:hAnsi="Garamond" w:cs="Arial"/>
          <w:color w:val="000000"/>
          <w:lang w:val="en-GB"/>
        </w:rPr>
        <w:t xml:space="preserve"> – scheint mir auf das nämliche sexuelle Thema hinzuweisen, das wir gleich anfangs errieten, als wir für die Traumerzählung einsetzen wollten: die Fleischbank war geschlossen. Es kommt nicht darauf an, den Sinn dieses Traumes vollständig zu erkennen; soviel steht fest, daß er sinnreich ist und keineswegs harmlos </w:t>
      </w:r>
      <w:hyperlink r:id="rId8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Für Wißbegierige bemerke ich, daß hinter dem Traume sich eine Phantasie verbirgt von unanständigem, sexuell provozierendem Benehmen meinerseits und von Abwehr von Seite der Dame. Wem diese Deutung unerhört erscheinen sollte, den mahne ich an die zahlreichen Fälle, wo Ärzte solche Anklagen von hysterischen Frauen erfahren haben, bei denen die nämliche Phantasie nicht entstellt und als Traum aufgetreten, sondern unverhüllt bewußt und wahnhaft geworden ist. Mit diesem Traume trat die Patientin in die psychoanalytische Behandlung ein. Ich lernte erst später verstehen, daß sie mit ihm das initiale Trauma wiederholte, von dem ihre Neurose ausging, und habe seither das gleiche Verhalten bei anderen Personen gefunden, die in ihrer Kindheit sexuellen Attentaten ausgesetzt waren und nun gleichsam deren Wiederholung im Traume herbeiwünschten.</w:t>
        </w:r>
      </w:hyperlink>
      <w:r w:rsidRPr="00A06A59">
        <w:rPr>
          <w:rFonts w:ascii="Garamond" w:hAnsi="Garamond" w:cs="Arial"/>
          <w:color w:val="000000"/>
          <w:lang w:val="en-GB"/>
        </w:rPr>
        <w: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US"/>
        </w:rPr>
      </w:pPr>
      <w:r w:rsidRPr="00A06A59">
        <w:rPr>
          <w:rFonts w:ascii="Garamond" w:hAnsi="Garamond" w:cs="Arial"/>
          <w:color w:val="000000"/>
          <w:sz w:val="22"/>
          <w:szCs w:val="22"/>
          <w:lang w:val="en-US"/>
        </w:rPr>
        <w:t>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Ein anderer harmloser Traum derselben Patientin, in gewisser Hinsicht ein Gegenstück zum vorigen: </w:t>
      </w:r>
      <w:r w:rsidRPr="00A06A59">
        <w:rPr>
          <w:rFonts w:ascii="Garamond" w:hAnsi="Garamond" w:cs="Arial"/>
          <w:i/>
          <w:iCs/>
          <w:color w:val="000000"/>
          <w:lang w:val="en-GB"/>
        </w:rPr>
        <w:t>Ihr Mann fragt: Soll man das Klavier nicht stimmen lassen? Sie: Es lohnt nicht, es muß ohnedies neu beledert werden.</w:t>
      </w:r>
      <w:r w:rsidRPr="00A06A59">
        <w:rPr>
          <w:rFonts w:ascii="Garamond" w:hAnsi="Garamond" w:cs="Arial"/>
          <w:color w:val="000000"/>
          <w:lang w:val="en-GB"/>
        </w:rPr>
        <w:t xml:space="preserve"> Wiederum die Wiederholung eines realen Ereignisses vom Vortag. Ihr Mann hat so gefragt und sie so ähnlich geantwortet. Aber was bedeutet es, daß sie es träumt? Sie erzählt zwar vom Klavier, es sei ein </w:t>
      </w:r>
      <w:r w:rsidRPr="00A06A59">
        <w:rPr>
          <w:rFonts w:ascii="Garamond" w:hAnsi="Garamond" w:cs="Arial"/>
          <w:i/>
          <w:iCs/>
          <w:color w:val="000000"/>
          <w:lang w:val="en-GB"/>
        </w:rPr>
        <w:t>ekelhafter</w:t>
      </w:r>
      <w:r w:rsidRPr="00A06A59">
        <w:rPr>
          <w:rFonts w:ascii="Garamond" w:hAnsi="Garamond" w:cs="Arial"/>
          <w:color w:val="000000"/>
          <w:lang w:val="en-GB"/>
        </w:rPr>
        <w:t xml:space="preserve"> Kasten, der einen </w:t>
      </w:r>
      <w:r w:rsidRPr="00A06A59">
        <w:rPr>
          <w:rFonts w:ascii="Garamond" w:hAnsi="Garamond" w:cs="Arial"/>
          <w:i/>
          <w:iCs/>
          <w:color w:val="000000"/>
          <w:lang w:val="en-GB"/>
        </w:rPr>
        <w:t>schlechten Ton</w:t>
      </w:r>
      <w:r w:rsidRPr="00A06A59">
        <w:rPr>
          <w:rFonts w:ascii="Garamond" w:hAnsi="Garamond" w:cs="Arial"/>
          <w:color w:val="000000"/>
          <w:lang w:val="en-GB"/>
        </w:rPr>
        <w:t xml:space="preserve"> gibt, ein Ding, das ihr Mann schon vor der Ehe besessen hat </w:t>
      </w:r>
      <w:hyperlink r:id="rId8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Eine Ersetzung durch das Gegenteil, wie uns nach der Deutung klar werden wird.</w:t>
        </w:r>
      </w:hyperlink>
      <w:r w:rsidRPr="00A06A59">
        <w:rPr>
          <w:rFonts w:ascii="Garamond" w:hAnsi="Garamond" w:cs="Arial"/>
          <w:color w:val="000000"/>
          <w:lang w:val="en-GB"/>
        </w:rPr>
        <w:t xml:space="preserve"> usw., aber den Schlüssel zur Lösung ergibt doch erst die Rede: </w:t>
      </w:r>
      <w:r w:rsidRPr="00A06A59">
        <w:rPr>
          <w:rFonts w:ascii="Garamond" w:hAnsi="Garamond" w:cs="Arial"/>
          <w:i/>
          <w:iCs/>
          <w:color w:val="000000"/>
          <w:lang w:val="en-GB"/>
        </w:rPr>
        <w:t>Es lohnt nicht</w:t>
      </w:r>
      <w:r w:rsidRPr="00A06A59">
        <w:rPr>
          <w:rFonts w:ascii="Garamond" w:hAnsi="Garamond" w:cs="Arial"/>
          <w:color w:val="000000"/>
          <w:lang w:val="en-GB"/>
        </w:rPr>
        <w:t xml:space="preserve">. Diese stammt von einem gestern gemachten Besuch bei ihrer Freundin. Dort wurde sie aufgefordert, ihre Jacke abzulegen, und weigerte sich mit den Worten: Danke, </w:t>
      </w:r>
      <w:r w:rsidRPr="00A06A59">
        <w:rPr>
          <w:rFonts w:ascii="Garamond" w:hAnsi="Garamond" w:cs="Arial"/>
          <w:i/>
          <w:iCs/>
          <w:color w:val="000000"/>
          <w:lang w:val="en-GB"/>
        </w:rPr>
        <w:t>es lohnt nicht</w:t>
      </w:r>
      <w:r w:rsidRPr="00A06A59">
        <w:rPr>
          <w:rFonts w:ascii="Garamond" w:hAnsi="Garamond" w:cs="Arial"/>
          <w:color w:val="000000"/>
          <w:lang w:val="en-GB"/>
        </w:rPr>
        <w:t xml:space="preserve">, ich muß gleich gehen. Bei dieser Erzählung muß mir einfallen, daß sie gestern während der Analysenarbeit plötzlich an ihre Jacke griff, an der sich ein Knopf geöffnet hatte. Es ist also, als wollte sie sagen: Bitte, sehen Sie nicht hin, </w:t>
      </w:r>
      <w:r w:rsidRPr="00A06A59">
        <w:rPr>
          <w:rFonts w:ascii="Garamond" w:hAnsi="Garamond" w:cs="Arial"/>
          <w:i/>
          <w:iCs/>
          <w:color w:val="000000"/>
          <w:lang w:val="en-GB"/>
        </w:rPr>
        <w:t>es lohnt nicht</w:t>
      </w:r>
      <w:r w:rsidRPr="00A06A59">
        <w:rPr>
          <w:rFonts w:ascii="Garamond" w:hAnsi="Garamond" w:cs="Arial"/>
          <w:color w:val="000000"/>
          <w:lang w:val="en-GB"/>
        </w:rPr>
        <w:t xml:space="preserve">. So ergänzt sich der </w:t>
      </w:r>
      <w:r w:rsidRPr="00A06A59">
        <w:rPr>
          <w:rFonts w:ascii="Garamond" w:hAnsi="Garamond" w:cs="Arial"/>
          <w:i/>
          <w:iCs/>
          <w:color w:val="000000"/>
          <w:lang w:val="en-GB"/>
        </w:rPr>
        <w:t>Kasten</w:t>
      </w:r>
      <w:r w:rsidRPr="00A06A59">
        <w:rPr>
          <w:rFonts w:ascii="Garamond" w:hAnsi="Garamond" w:cs="Arial"/>
          <w:color w:val="000000"/>
          <w:lang w:val="en-GB"/>
        </w:rPr>
        <w:t xml:space="preserve"> zum </w:t>
      </w:r>
      <w:r w:rsidRPr="00A06A59">
        <w:rPr>
          <w:rFonts w:ascii="Garamond" w:hAnsi="Garamond" w:cs="Arial"/>
          <w:i/>
          <w:iCs/>
          <w:color w:val="000000"/>
          <w:lang w:val="en-GB"/>
        </w:rPr>
        <w:t>Brustkasten</w:t>
      </w:r>
      <w:r w:rsidRPr="00A06A59">
        <w:rPr>
          <w:rFonts w:ascii="Garamond" w:hAnsi="Garamond" w:cs="Arial"/>
          <w:color w:val="000000"/>
          <w:lang w:val="en-GB"/>
        </w:rPr>
        <w:t xml:space="preserve">, und die Deutung des Traumes führt direkt in die Zeit ihrer körperlichen Entwicklung, da sie anfing, mit ihren Körperformen unzufrieden zu sein. Es führt auch wohl in frühere Zeiten, wenn wir auf das » </w:t>
      </w:r>
      <w:r w:rsidRPr="00A06A59">
        <w:rPr>
          <w:rFonts w:ascii="Garamond" w:hAnsi="Garamond" w:cs="Arial"/>
          <w:i/>
          <w:iCs/>
          <w:color w:val="000000"/>
          <w:lang w:val="en-GB"/>
        </w:rPr>
        <w:t>Ekelhaft</w:t>
      </w:r>
      <w:r w:rsidRPr="00A06A59">
        <w:rPr>
          <w:rFonts w:ascii="Garamond" w:hAnsi="Garamond" w:cs="Arial"/>
          <w:color w:val="000000"/>
          <w:lang w:val="en-GB"/>
        </w:rPr>
        <w:t xml:space="preserve">« und den » </w:t>
      </w:r>
      <w:r w:rsidRPr="00A06A59">
        <w:rPr>
          <w:rFonts w:ascii="Garamond" w:hAnsi="Garamond" w:cs="Arial"/>
          <w:i/>
          <w:iCs/>
          <w:color w:val="000000"/>
          <w:lang w:val="en-GB"/>
        </w:rPr>
        <w:t>schlechten Ton</w:t>
      </w:r>
      <w:r w:rsidRPr="00A06A59">
        <w:rPr>
          <w:rFonts w:ascii="Garamond" w:hAnsi="Garamond" w:cs="Arial"/>
          <w:color w:val="000000"/>
          <w:lang w:val="en-GB"/>
        </w:rPr>
        <w:t>« Rücksicht nehmen und uns daran erinnern, wie häufig die kleinen Hemisphären des weiblichen Körpers – als Gegensatz und als Ersatz – für die großen eintreten – in der Anspielung und im Traum.</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unterbreche diese Reihe, indem ich einen kurzen harmlosen Traum eines jungen Mannes einschiebe. Er hat geträumt, </w:t>
      </w:r>
      <w:r w:rsidRPr="00A06A59">
        <w:rPr>
          <w:rFonts w:ascii="Garamond" w:hAnsi="Garamond" w:cs="Arial"/>
          <w:i/>
          <w:iCs/>
          <w:color w:val="000000"/>
          <w:lang w:val="en-GB"/>
        </w:rPr>
        <w:t>daß er wieder seinen Winterrock anzieht, was schrecklich ist</w:t>
      </w:r>
      <w:r w:rsidRPr="00A06A59">
        <w:rPr>
          <w:rFonts w:ascii="Garamond" w:hAnsi="Garamond" w:cs="Arial"/>
          <w:color w:val="000000"/>
          <w:lang w:val="en-GB"/>
        </w:rPr>
        <w:t>. Anlaß dieses Traumes ist angeblich die plötzlich wieder eingetretene Kälte. Ein feineres Urteil wird indes bemerken, daß die beiden kurzen Stücke des Traumes nicht gut zueinander passen, denn in der Kälte den schweren oder dicken Rock tragen, was könnte daran »schrecklich« sein. Zum Schaden für die Harmlosigkeit dieses Traumes bringt auch der erste Einfall bei der Analyse die Erinnerung, daß eine Dame ihm gestern vertraulich gestanden, daß ihr letztes Kind einem geplatzten Kondom seine Existenz verdankt. Er rekonstruiert nun seine Gedanken bei diesem Anlasse: Ein dünner Kondom ist gefährlich, ein dicker schlecht. Der Kondom ist der »Überzieher« mit Recht, man zieht ihn ja über; so heißt man auch einen leichten Rock. Ein Ereignis wie das von der Dame berichtete wäre für den unverheirateten Mann allerdings »schrecklich«.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Nun wieder zurück zu unserer harmlosen Träumerin.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Sie steckt eine Kerze in den Leuchter; die Kerze ist aber gebrochen, so daß sie nicht gut steht. Die Mädchen in der Schule sagen, sie sei ungeschickt; das Fräulein aber, es sei nicht ihre Schuld.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realer Anlaß auch hier; sie hat gestern wirklich eine Kerze in den Leuchter gesteckt; die war aber nicht gebrochen. Hier ist eine durchsichtige Symbolik verwendet worden. Die Kerze ist ein Gegenstand, der die weiblichen Genitalien reizt; wenn sie gebrochen ist, so daß sie nicht gut steht, so bedeutet dies die Impotenz des Mannes (» </w:t>
      </w:r>
      <w:r w:rsidRPr="00A06A59">
        <w:rPr>
          <w:rFonts w:ascii="Garamond" w:hAnsi="Garamond" w:cs="Arial"/>
          <w:i/>
          <w:iCs/>
          <w:color w:val="000000"/>
          <w:lang w:val="en-GB"/>
        </w:rPr>
        <w:t>es sei nicht ihre Schuld</w:t>
      </w:r>
      <w:r w:rsidRPr="00A06A59">
        <w:rPr>
          <w:rFonts w:ascii="Garamond" w:hAnsi="Garamond" w:cs="Arial"/>
          <w:color w:val="000000"/>
          <w:lang w:val="en-GB"/>
        </w:rPr>
        <w:t>«). Ob nur die sorgfältig erzogene und allem Häßlichen fremd gebliebene junge Frau diese Verwendung der Kerze kennt? Zufällig kann sie noch angeben, durch welches Erlebnis sie zu dieser Kenntnis gekommen ist. Bei einer Kahnfahrt auf dem Rhein fährt ein Boot an ihnen vorüber, in dem Studenten sitzen, welche mit großem Behagen ein Lied singen oder brüllen:</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»Wenn die Königin von Schweden, </w:t>
      </w:r>
      <w:r w:rsidRPr="00A06A59">
        <w:rPr>
          <w:rFonts w:ascii="Garamond" w:hAnsi="Garamond" w:cs="Arial"/>
          <w:color w:val="000000"/>
          <w:sz w:val="22"/>
          <w:szCs w:val="22"/>
          <w:lang w:val="en-GB"/>
        </w:rPr>
        <w:br/>
        <w:t xml:space="preserve">bei geschlossenen Fensterläden </w:t>
      </w:r>
      <w:r w:rsidRPr="00A06A59">
        <w:rPr>
          <w:rFonts w:ascii="Garamond" w:hAnsi="Garamond" w:cs="Arial"/>
          <w:color w:val="000000"/>
          <w:sz w:val="22"/>
          <w:szCs w:val="22"/>
          <w:lang w:val="en-GB"/>
        </w:rPr>
        <w:br/>
        <w:t>mit Apollokerzen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letzte Wort hört oder versteht sie nicht. Ihr Mann muß ihr die verlangte Aufklärung geben. Diese Verse sind dann im Trauminhalt ersetzt durch eine harmlose Erinnerung an einen Auftrag, den sie einmal im Pensionat </w:t>
      </w:r>
      <w:r w:rsidRPr="00A06A59">
        <w:rPr>
          <w:rFonts w:ascii="Garamond" w:hAnsi="Garamond" w:cs="Arial"/>
          <w:i/>
          <w:iCs/>
          <w:color w:val="000000"/>
          <w:lang w:val="en-GB"/>
        </w:rPr>
        <w:t>ungeschickt</w:t>
      </w:r>
      <w:r w:rsidRPr="00A06A59">
        <w:rPr>
          <w:rFonts w:ascii="Garamond" w:hAnsi="Garamond" w:cs="Arial"/>
          <w:color w:val="000000"/>
          <w:lang w:val="en-GB"/>
        </w:rPr>
        <w:t xml:space="preserve"> ausführte, und zwar vermöge des Gemeinsamen: </w:t>
      </w:r>
      <w:r w:rsidRPr="00A06A59">
        <w:rPr>
          <w:rFonts w:ascii="Garamond" w:hAnsi="Garamond" w:cs="Arial"/>
          <w:i/>
          <w:iCs/>
          <w:color w:val="000000"/>
          <w:lang w:val="en-GB"/>
        </w:rPr>
        <w:t>geschlossene Fensterläden</w:t>
      </w:r>
      <w:r w:rsidRPr="00A06A59">
        <w:rPr>
          <w:rFonts w:ascii="Garamond" w:hAnsi="Garamond" w:cs="Arial"/>
          <w:color w:val="000000"/>
          <w:lang w:val="en-GB"/>
        </w:rPr>
        <w:t>. Die Verbindung des Themas von der Onanie mit der Impotenz ist klar genug. »Apollo« im latenten Trauminhalt verknüpft diesen Traum mit einem früheren, in dem von der jungfräulichen Pallas die Rede war. Alles wahrlich nicht harmlos.</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Damit man sich die Schlüsse aus den Träumen auf die wirklichen Lebensverhältnisse der Träumer nicht zu leicht vorstelle, füge ich noch einen Traum an, der gleichfalls harmlos scheint und von derselben Person herrührt. </w:t>
      </w:r>
      <w:r w:rsidRPr="00A06A59">
        <w:rPr>
          <w:rFonts w:ascii="Garamond" w:hAnsi="Garamond" w:cs="Arial"/>
          <w:i/>
          <w:iCs/>
          <w:color w:val="000000"/>
          <w:lang w:val="en-GB"/>
        </w:rPr>
        <w:t>Ich habe etwas geträumt</w:t>
      </w:r>
      <w:r w:rsidRPr="00A06A59">
        <w:rPr>
          <w:rFonts w:ascii="Garamond" w:hAnsi="Garamond" w:cs="Arial"/>
          <w:color w:val="000000"/>
          <w:lang w:val="en-GB"/>
        </w:rPr>
        <w:t xml:space="preserve">, erzählt sie, </w:t>
      </w:r>
      <w:r w:rsidRPr="00A06A59">
        <w:rPr>
          <w:rFonts w:ascii="Garamond" w:hAnsi="Garamond" w:cs="Arial"/>
          <w:i/>
          <w:iCs/>
          <w:color w:val="000000"/>
          <w:lang w:val="en-GB"/>
        </w:rPr>
        <w:t>was ich bei Tag wirklich getan habe, nämlich einen kleinen Koffer so voll mit Büchern gefüllt, daß ich Mühe hatte, ihn zu schließen, und ich habe es so geträumt, wie es wirklich vorgefallen ist</w:t>
      </w:r>
      <w:r w:rsidRPr="00A06A59">
        <w:rPr>
          <w:rFonts w:ascii="Garamond" w:hAnsi="Garamond" w:cs="Arial"/>
          <w:color w:val="000000"/>
          <w:lang w:val="en-GB"/>
        </w:rPr>
        <w:t xml:space="preserve">. Hier legt die Erzählerin selbst das Hauptgewicht auf die Übereinstimmung von Traum und Wirklichkeit. Alle solchen Urteile über den Traum, Bemerkungen zum Traum, gehören nun, obwohl sie sich einen Platz im wachen Denken geschaffen haben, doch </w:t>
      </w:r>
      <w:r w:rsidRPr="00A06A59">
        <w:rPr>
          <w:rFonts w:ascii="Garamond" w:hAnsi="Garamond" w:cs="Arial"/>
          <w:color w:val="000000"/>
          <w:lang w:val="en-GB"/>
        </w:rPr>
        <w:lastRenderedPageBreak/>
        <w:t xml:space="preserve">regelmäßig in den latenten Trauminhalt, wie uns noch spätere Beispiele bestätigen werden. Es wird uns also gesagt, das, was der Traum erzählt, ist am Tag vorher wirklich vorgefallen. Es wäre nun zu weitläufig, mitzuteilen, auf welchem Wege man zum Einfalle kommt, bei der Deutung das Englische zur Hilfe zu nehmen. Genug, es handelt sich wieder um eine kleine </w:t>
      </w:r>
      <w:r w:rsidRPr="00A06A59">
        <w:rPr>
          <w:rFonts w:ascii="Garamond" w:hAnsi="Garamond" w:cs="Arial"/>
          <w:i/>
          <w:iCs/>
          <w:color w:val="000000"/>
          <w:lang w:val="en-GB"/>
        </w:rPr>
        <w:t>box</w:t>
      </w:r>
      <w:r w:rsidRPr="00A06A59">
        <w:rPr>
          <w:rFonts w:ascii="Garamond" w:hAnsi="Garamond" w:cs="Arial"/>
          <w:color w:val="000000"/>
          <w:lang w:val="en-GB"/>
        </w:rPr>
        <w:t xml:space="preserve"> (vgl. S. 107 den Traum vom toten Kind in der Schachtel), die so angefüllt worden ist, daß nichts mehr hineinging. Wenigstens nichts Arges diesmal.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all diesen »harmlosen« Träumen schlägt das sexuelle Moment als Motiv der Zensur so sehr auffällig vor. Doch ist dies ein Thema von prinzipieller Bedeutung, welches wir zur Seite stellen müssen.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B. Da</w:t>
        </w:r>
        <w:bookmarkStart w:id="68" w:name="VB"/>
        <w:bookmarkEnd w:id="68"/>
        <w:r w:rsidRPr="00A06A59">
          <w:rPr>
            <w:rStyle w:val="Lienhypertexte"/>
            <w:rFonts w:ascii="Garamond" w:hAnsi="Garamond" w:cs="Arial"/>
            <w:b/>
            <w:bCs/>
            <w:lang w:val="en-GB"/>
          </w:rPr>
          <w:t>s Infantile als Traumquelle</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Als dritte unter den Eigentümlichkeiten des Trauminhaltes haben wir mit allen Autoren (bis auf Robert) angeführt, daß im Traume Eindrücke aus den frühesten Lebensaltern erscheinen können, über welche das Gedächtnis im Wachen nicht zu verfügen scheint. Wie selten oder wie häufig sich dies ereignet, ist begreiflicherweise schwer zu beurteilen, weil die betreffenden Elemente des Traumes nach dem Erwachen nicht in ihrer Herkunft erkannt werden. Der Nachweis, daß es sich hier um Eindrücke der Kindheit handelt, muß also auf objektivem Wege erbracht werden, wozu sich die Bedingungen nur in seltenen Fällen zusammenfinden können. Als besonders beweiskräftig wird von A. </w:t>
      </w:r>
      <w:r w:rsidRPr="00A06A59">
        <w:rPr>
          <w:rFonts w:ascii="Garamond" w:hAnsi="Garamond" w:cs="Arial"/>
          <w:i/>
          <w:iCs/>
          <w:color w:val="000000"/>
          <w:lang w:val="en-GB"/>
        </w:rPr>
        <w:t>Maury</w:t>
      </w:r>
      <w:r w:rsidRPr="00A06A59">
        <w:rPr>
          <w:rFonts w:ascii="Garamond" w:hAnsi="Garamond" w:cs="Arial"/>
          <w:color w:val="000000"/>
          <w:lang w:val="en-GB"/>
        </w:rPr>
        <w:t xml:space="preserve"> die Geschichte eines Mannes erzählt, welcher eines Tages sich entschloß, nach zwanzigjähriger Abwesenheit seinen Heimatsort aufzusuchen. In der Nacht vor der Abreise träumte er, er sei in einer ihm ganz unbekannten Ortschaft und begegne daselbst auf der Straße einem unbekannten Herrn, mit dem er sich unterhalte. In seine Heimat zurückgekehrt, konnte er sich nun überzeugen, daß diese unbekannte Ortschaft in nächster Nähe seiner Heimatstadt wirklich existiere, und auch der unbekannte Mann des Traumes stellte sich als ein dort lebender Freund seines verstorbenen Vaters heraus. Wohl ein zwingender Beweis dafür, daß er beide, Mann wie Ortschaft, in seiner Kindheit gesehen hatte. Der Traum ist übrigens als Ungeduldstraum zu deuten, wie der des Mädchens, welches das Billet für den Konzertabend in der Tasche trägt (S. 107); des Kindes, welchem der Vater den Ausflug nach dem Hameau versprochen hat, u. dgl. Die Motive, welche dem Träumer gerade diesen Eindruck aus seiner Kindheit reproduzieren, sind natürlich ohne Analyse nicht aufzudecken.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Einer meiner Kolleghörer, welcher sich rühmte, daß seine Träume nur sehr selten der Traumentstellung unterliegen, teilte mir mit, daß er vor einiger Zeit im Traume gesehen, </w:t>
      </w:r>
      <w:r w:rsidRPr="00A06A59">
        <w:rPr>
          <w:rFonts w:ascii="Garamond" w:hAnsi="Garamond" w:cs="Arial"/>
          <w:i/>
          <w:iCs/>
          <w:color w:val="000000"/>
          <w:lang w:val="en-GB"/>
        </w:rPr>
        <w:t>sein ehemaliger Hofmeister befinde sich im Bette der Bonne</w:t>
      </w:r>
      <w:r w:rsidRPr="00A06A59">
        <w:rPr>
          <w:rFonts w:ascii="Garamond" w:hAnsi="Garamond" w:cs="Arial"/>
          <w:color w:val="000000"/>
          <w:lang w:val="en-GB"/>
        </w:rPr>
        <w:t>, die bis zu seinem elften Jahre im Hause gewesen war. Die Örtlichkeit für diese Szene fiel ihm noch im Traume ein. Lebhaft interessiert teilte er den Traum seinem älteren Bruder mit, der ihm lachend die Wirklichkeit des Geträumten bestätigte. Er erinnere sich sehr gut daran, denn er sei damals sechs Jahre alt gewesen. Das Liebespaar pflegte ihn, den älteren Knaben, durch Bier betrunken zu machen, wenn die Umstände einem nächtlichen Verkehre günstig waren. Das kleinere, damals dreijährige Kind unser Träumer, das im Zimmer der Bonne schlief, wurde nicht als Störung betrachtet.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Noch in einem anderen Falle läßt es sich mit Sicherheit ohne Beihilfe der Traumdeutung feststellen, daß der Traum Elemente aus der Kindheit enthält, wenn nämlich der Traum ein sogenannter </w:t>
      </w:r>
      <w:r w:rsidRPr="00A06A59">
        <w:rPr>
          <w:rFonts w:ascii="Garamond" w:hAnsi="Garamond" w:cs="Arial"/>
          <w:i/>
          <w:iCs/>
          <w:color w:val="000000"/>
          <w:lang w:val="en-GB"/>
        </w:rPr>
        <w:t>perennierender</w:t>
      </w:r>
      <w:r w:rsidRPr="00A06A59">
        <w:rPr>
          <w:rFonts w:ascii="Garamond" w:hAnsi="Garamond" w:cs="Arial"/>
          <w:color w:val="000000"/>
          <w:lang w:val="en-GB"/>
        </w:rPr>
        <w:t xml:space="preserve"> ist, der, in der Kindheit zuerst geträumt, später immer wieder von Zeit zu Zeit während des Schlafes des Erwachsenen auftritt. Zu den bekannten Beispielen dieser Art kann ich einige aus meiner Erfahrung hinzufügen, wenngleich ich an mir selbst einen solchen perennierenden Traum nicht kennengelernt habe. Ein Arzt in den Dreißigern erzählte mir, daß in seinem Traumleben von den ersten Zeiten seiner Kindheit an bis zum heutigen Tage häufig ein gelber Löwe erscheint, über den er die genaueste Auskunft zu geben vermag. Dieser ihm aus Träumen bekannte Löwe fand sich nämlich eines Tages </w:t>
      </w:r>
      <w:r w:rsidRPr="00A06A59">
        <w:rPr>
          <w:rFonts w:ascii="Garamond" w:hAnsi="Garamond" w:cs="Arial"/>
          <w:i/>
          <w:iCs/>
          <w:color w:val="000000"/>
          <w:lang w:val="en-GB"/>
        </w:rPr>
        <w:t>in natura</w:t>
      </w:r>
      <w:r w:rsidRPr="00A06A59">
        <w:rPr>
          <w:rFonts w:ascii="Garamond" w:hAnsi="Garamond" w:cs="Arial"/>
          <w:color w:val="000000"/>
          <w:lang w:val="en-GB"/>
        </w:rPr>
        <w:t xml:space="preserve"> als ein lange verschollener Gegenstand aus Porzellan vor, und der junge Mann hörte damals von seiner Mutter, daß dieses Objekt das begehrteste Spielzeug seiner frühen Kinderzeit gewesen war, woran er sich selbst nicht mehr erinnern konnte.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Wendet man sich nun von dem manifesten Trauminhalt zu den Traumgedanken, welche erst die Analyse aufdeckt, so kann man mit Erstaunen die Mitwirkung von Kindheitserlebnissen auch bei solchen Träumen konstatieren, deren Inhalt keine derartige Vermutung erweckt hätte. Dem geehrten Kollegen vom »gelben Löwen« verdanke ich ein besonders liebenswürdiges und lehrreiches Beispiel eines solchen Traumes. Nach der Lektüre von </w:t>
      </w:r>
      <w:r w:rsidRPr="00A06A59">
        <w:rPr>
          <w:rFonts w:ascii="Garamond" w:hAnsi="Garamond" w:cs="Arial"/>
          <w:i/>
          <w:iCs/>
          <w:color w:val="000000"/>
          <w:lang w:val="en-GB"/>
        </w:rPr>
        <w:t>Nansens</w:t>
      </w:r>
      <w:r w:rsidRPr="00A06A59">
        <w:rPr>
          <w:rFonts w:ascii="Garamond" w:hAnsi="Garamond" w:cs="Arial"/>
          <w:color w:val="000000"/>
          <w:lang w:val="en-GB"/>
        </w:rPr>
        <w:t xml:space="preserve"> Reisebericht über seine Polarexpedition träumte er, in einer Eiswüste galvanisiere er den kühnen Forscher wegen einer Ischias, über welche dieser klage! Zur Analyse dieses Traumes fiel ihm eine Geschichte aus seiner Kindheit ein, ohne welche der Traum allerdings unverständlich bliebe. Als er ein drei- oder vierjähriges Kind war, hörte er eines Tages neugierig zu, wie die Erwachsenen von Entdeckungsreisen sprachen, und fragte dann den Papa, ob das eine schwere Krankheit sei. Er hatte offenbar </w:t>
      </w:r>
      <w:r w:rsidRPr="00A06A59">
        <w:rPr>
          <w:rFonts w:ascii="Garamond" w:hAnsi="Garamond" w:cs="Arial"/>
          <w:i/>
          <w:iCs/>
          <w:color w:val="000000"/>
          <w:lang w:val="en-GB"/>
        </w:rPr>
        <w:t>Reisen</w:t>
      </w:r>
      <w:r w:rsidRPr="00A06A59">
        <w:rPr>
          <w:rFonts w:ascii="Garamond" w:hAnsi="Garamond" w:cs="Arial"/>
          <w:color w:val="000000"/>
          <w:lang w:val="en-GB"/>
        </w:rPr>
        <w:t xml:space="preserve"> mit » </w:t>
      </w:r>
      <w:r w:rsidRPr="00A06A59">
        <w:rPr>
          <w:rFonts w:ascii="Garamond" w:hAnsi="Garamond" w:cs="Arial"/>
          <w:i/>
          <w:iCs/>
          <w:color w:val="000000"/>
          <w:lang w:val="en-GB"/>
        </w:rPr>
        <w:t>Reißen</w:t>
      </w:r>
      <w:r w:rsidRPr="00A06A59">
        <w:rPr>
          <w:rFonts w:ascii="Garamond" w:hAnsi="Garamond" w:cs="Arial"/>
          <w:color w:val="000000"/>
          <w:lang w:val="en-GB"/>
        </w:rPr>
        <w:t>« verwechselt, und der Spott seiner Geschwister sorgte dafür, daß ihm das beschämende Erlebnis nicht in Vergessenheit geriet.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ganz ähnlicher Fall ist es, wenn ich in der Analyse des Traumes von der Monographie über die Gattung Zyklamen auf eine erhalten gebliebene Jugenderinnerung stoße, daß der Vater dem fünfjährigen Knaben ein mit farbigen Tafeln ausgestattetes Buch zur Zerstörung überläßt. Man wird etwa den Zweifel aufwerfen, ob diese Erinnerung wirklich an der Gestaltung des Trauminhalts Anteil genommen hat, ob nicht vielmehr die Arbeit der Analyse eine Beziehung erst nachträglich herstellt. Aber die Reichhaltigkeit und Verschlungenheit der Assoziationsverknüpfungen bürgt für die erstere Auffassung. (Zyklamen – Lieblingsblume – Lieblingsspeise – Artischocke; zerpflücken wie eine Artischocke, Blatt für Blatt [eine Wendung, die einem anläßlich der Teilung des chinesischen Reiches täglich ans Ohr schlägt]; – Herbarium – Bücherwurm, dessen Lieblingsspeise Bücher sind.) Außerdem kann ich versichern, daß der letzte Sinn des Traumes, den ich hier nicht ausgeführt habe, zum Inhalt der Kinderszene in intimster Beziehung steht.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Bei einer anderen Reihe von Träumen wird man durch die Analyse belehrt, daß der Wunsch selbst, der den Traum erregt hat, als dessen Erfüllung der Traum sich darstellt, aus dem Kinderleben stammt, so daß man zu seiner Überraschung </w:t>
      </w:r>
      <w:r w:rsidRPr="00A06A59">
        <w:rPr>
          <w:rFonts w:ascii="Garamond" w:hAnsi="Garamond" w:cs="Arial"/>
          <w:i/>
          <w:iCs/>
          <w:color w:val="000000"/>
          <w:lang w:val="en-GB"/>
        </w:rPr>
        <w:t>im Traum das Kind mit seinen Impulsen weiterlebend findet.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setze an dieser Stelle die Deutung eines Traumes fort, aus dem wir bereits einmal neue Belehrung geschöpft haben, ich meine den Traum: Freund R. ist mein Onkel. Wir haben dessen Deutung so weit gefördert, daß uns das Wunschmotiv, zum Professor ernannt zu werden, greifbar entgegentrat, und wir erklärten uns die Zärtlichkeit des Traumes für Freund R. als eine Oppositions- und Trotzschöpfung gegen die Schmähung der beiden Kollegen, die in den Traumgedanken enthalten war. Der Traum war mein eigener; ich darf darum dessen Analyse mit der Mitteilung fortsetzen, daß mein Gefühl durch die erreichte Lösung noch nicht befriedigt war. Ich wußte, daß mein Urteil über die in den Traumgedanken mißhandelten Kollegen im Wachen ganz anders gelautet hatte; die Macht des Wunsches, ihr Schicksal in betreff der Ernennung nicht zu teilen, erschien mir zu gering, um den Gegensatz zwischen wacher und Traumschätzung voll aufzuklären. Wenn mein Bedürfnis, mit einem anderen Titel angeredet zu werden, so stark sein sollte, so beweist dies einen krankhaften Ehrgeiz, den ich nicht an mir kenne, den ich ferne von mir glaube. Ich weiß nicht, wie andere, die mich zu kennen glauben, in diesem Punkt über mich urteilen würden; vielleicht habe ich auch wirklich Ehrgeiz besessen; aber wenn, so hat er sich längst auf andere Objekte als auf Titel und Rang eines </w:t>
      </w:r>
      <w:r w:rsidRPr="00A06A59">
        <w:rPr>
          <w:rFonts w:ascii="Garamond" w:hAnsi="Garamond" w:cs="Arial"/>
          <w:i/>
          <w:iCs/>
          <w:color w:val="000000"/>
          <w:lang w:val="en-GB"/>
        </w:rPr>
        <w:t>Professor extraordinarius</w:t>
      </w:r>
      <w:r w:rsidRPr="00A06A59">
        <w:rPr>
          <w:rFonts w:ascii="Garamond" w:hAnsi="Garamond" w:cs="Arial"/>
          <w:color w:val="000000"/>
          <w:lang w:val="en-GB"/>
        </w:rPr>
        <w:t xml:space="preserve"> geworfen.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Woher dann also der Ehrgeiz, der mir den Traum eingegeben hat? Da fällt mir ein, was ich so oft in der Kindheit erzählen gehört habe, daß bei meiner Geburt eine alte Bäuerin der über den Erstgeborenen glücklichen Mutter prophezeit, daß sie der Welt einen großen Mann geschenkt habe. Solche Prophezeiungen müssen sehr häufig vorfallen; es gibt so viel erwartungsfrohe Mütter und so viel alte Bäuerinnen oder andere alte Weiber, deren Macht auf Erden vergangen ist und die sich darum der Zukunft zugewendet haben. </w:t>
      </w:r>
      <w:r w:rsidRPr="00A06A59">
        <w:rPr>
          <w:rFonts w:ascii="Garamond" w:hAnsi="Garamond" w:cs="Arial"/>
          <w:color w:val="000000"/>
        </w:rPr>
        <w:t xml:space="preserve">Es wird auch nicht der Schade der Prophetin gewesen sein. Sollte meine Größensehnsucht aus dieser Quelle stammen? Aber da besinne ich mich eben eines anderen Eindrucks aus späteren Jugendjahren, der sich zur Erklärung noch besser eignen würde: Es war eines Abends in einem der Wirtshäuser im Prater, wohin die Eltern den elf- oder zwölfjährigen Knaben mitzunehmen pflegten, daß uns ein Mann auffiel, der von Tisch zu Tisch ging und für ein kleines Honorar Verse über ein ihm aufgegebenes Thema improvisierte. </w:t>
      </w:r>
      <w:r w:rsidRPr="00A06A59">
        <w:rPr>
          <w:rFonts w:ascii="Garamond" w:hAnsi="Garamond" w:cs="Arial"/>
          <w:color w:val="000000"/>
          <w:lang w:val="en-GB"/>
        </w:rPr>
        <w:t xml:space="preserve">Ich wurde abgeschickt, den Dichter an unseren Tisch zu bestellen, und er erwies sich dem Boten dankbar. Ehe er nach seiner Aufgabe fragte, ließ er einige Reime über mich fallen und erklärte es in seiner Inspiration für wahrscheinlich, daß ich noch einmal »Minister« werde. An den Eindruck dieser zweiten Prophezeiung kann ich mich noch sehr wohl erinnern. Es war die Zeit des Bürgerministeriums, der Vater hatte kurz vorher die Bilder der bürgerlichen Doktoren </w:t>
      </w:r>
      <w:r w:rsidRPr="00A06A59">
        <w:rPr>
          <w:rFonts w:ascii="Garamond" w:hAnsi="Garamond" w:cs="Arial"/>
          <w:i/>
          <w:iCs/>
          <w:color w:val="000000"/>
          <w:lang w:val="en-GB"/>
        </w:rPr>
        <w:t>Herbst</w:t>
      </w:r>
      <w:r w:rsidRPr="00A06A59">
        <w:rPr>
          <w:rFonts w:ascii="Garamond" w:hAnsi="Garamond" w:cs="Arial"/>
          <w:color w:val="000000"/>
          <w:lang w:val="en-GB"/>
        </w:rPr>
        <w:t xml:space="preserve">, </w:t>
      </w:r>
      <w:r w:rsidRPr="00A06A59">
        <w:rPr>
          <w:rFonts w:ascii="Garamond" w:hAnsi="Garamond" w:cs="Arial"/>
          <w:i/>
          <w:iCs/>
          <w:color w:val="000000"/>
          <w:lang w:val="en-GB"/>
        </w:rPr>
        <w:t>Giskra</w:t>
      </w:r>
      <w:r w:rsidRPr="00A06A59">
        <w:rPr>
          <w:rFonts w:ascii="Garamond" w:hAnsi="Garamond" w:cs="Arial"/>
          <w:color w:val="000000"/>
          <w:lang w:val="en-GB"/>
        </w:rPr>
        <w:t xml:space="preserve">, </w:t>
      </w:r>
      <w:r w:rsidRPr="00A06A59">
        <w:rPr>
          <w:rFonts w:ascii="Garamond" w:hAnsi="Garamond" w:cs="Arial"/>
          <w:i/>
          <w:iCs/>
          <w:color w:val="000000"/>
          <w:lang w:val="en-GB"/>
        </w:rPr>
        <w:t>Unger</w:t>
      </w:r>
      <w:r w:rsidRPr="00A06A59">
        <w:rPr>
          <w:rFonts w:ascii="Garamond" w:hAnsi="Garamond" w:cs="Arial"/>
          <w:color w:val="000000"/>
          <w:lang w:val="en-GB"/>
        </w:rPr>
        <w:t xml:space="preserve">, </w:t>
      </w:r>
      <w:r w:rsidRPr="00A06A59">
        <w:rPr>
          <w:rFonts w:ascii="Garamond" w:hAnsi="Garamond" w:cs="Arial"/>
          <w:i/>
          <w:iCs/>
          <w:color w:val="000000"/>
          <w:lang w:val="en-GB"/>
        </w:rPr>
        <w:t>Berger</w:t>
      </w:r>
      <w:r w:rsidRPr="00A06A59">
        <w:rPr>
          <w:rFonts w:ascii="Garamond" w:hAnsi="Garamond" w:cs="Arial"/>
          <w:color w:val="000000"/>
          <w:lang w:val="en-GB"/>
        </w:rPr>
        <w:t xml:space="preserve"> u.a. nach Hause gebracht, und wir hatten diesen Herren zur Ehre illuminiert. Es waren sogar Juden unter ihnen; jeder fleißige Judenknabe trug also das Ministerportefeuille in seiner Schultasche. Es muß mit den Eindrücken jener Zeit sogar zusammenhängen, daß ich bis kurz vor der Inskription an der Universität willens war, Jura zu studieren, und erst im letzten Moment umsattelte. Dem Mediziner ist ja die Ministerlaufbahn überhaupt verschlossen. Und nun mein Traum! Ich merke es erst jetzt, daß er mich aus der trüben Gegenwart in die hoffnungsfrohe Zeit des Bürgerministeriums zurückversetzt und meinen Wunsch von </w:t>
      </w:r>
      <w:r w:rsidRPr="00A06A59">
        <w:rPr>
          <w:rFonts w:ascii="Garamond" w:hAnsi="Garamond" w:cs="Arial"/>
          <w:i/>
          <w:iCs/>
          <w:color w:val="000000"/>
          <w:lang w:val="en-GB"/>
        </w:rPr>
        <w:t>damals</w:t>
      </w:r>
      <w:r w:rsidRPr="00A06A59">
        <w:rPr>
          <w:rFonts w:ascii="Garamond" w:hAnsi="Garamond" w:cs="Arial"/>
          <w:color w:val="000000"/>
          <w:lang w:val="en-GB"/>
        </w:rPr>
        <w:t xml:space="preserve"> nach seinen Kräften erfüllt. Indem ich die beiden gelehrten und achtenswerten Kollegen, weil sie Juden sind, so schlecht behandle, den einen, als ob er ein Schwachkopf, den anderen, als ob er ein Verbrecher wäre, indem ich so verfahre, benehme ich mich, als ob ich der Minister wäre, habe ich mich an die Stelle des Ministers gesetzt. Welch gründliche Rache an Seiner Exzellenz! Er verweigert es, mich zum </w:t>
      </w:r>
      <w:r w:rsidRPr="00A06A59">
        <w:rPr>
          <w:rFonts w:ascii="Garamond" w:hAnsi="Garamond" w:cs="Arial"/>
          <w:i/>
          <w:iCs/>
          <w:color w:val="000000"/>
          <w:lang w:val="en-GB"/>
        </w:rPr>
        <w:t>Professor extraordinarius</w:t>
      </w:r>
      <w:r w:rsidRPr="00A06A59">
        <w:rPr>
          <w:rFonts w:ascii="Garamond" w:hAnsi="Garamond" w:cs="Arial"/>
          <w:color w:val="000000"/>
          <w:lang w:val="en-GB"/>
        </w:rPr>
        <w:t xml:space="preserve"> zu ernennen, und ich setze mich dafür im Traum an seine Stelle.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einem anderen Falle konnte ich merken, daß der Wunsch, welcher den Traum erregt, obzwar ein gegenwärtiger, doch eine mächtige Verstärkung aus tiefreichenden Kindererinnerungen bezieht. Es handelt sich hier um eine Reihe von Träumen, denen die Sehnsucht, nach </w:t>
      </w:r>
      <w:r w:rsidRPr="00A06A59">
        <w:rPr>
          <w:rFonts w:ascii="Garamond" w:hAnsi="Garamond" w:cs="Arial"/>
          <w:i/>
          <w:iCs/>
          <w:color w:val="000000"/>
          <w:lang w:val="en-GB"/>
        </w:rPr>
        <w:t>Rom</w:t>
      </w:r>
      <w:r w:rsidRPr="00A06A59">
        <w:rPr>
          <w:rFonts w:ascii="Garamond" w:hAnsi="Garamond" w:cs="Arial"/>
          <w:color w:val="000000"/>
          <w:lang w:val="en-GB"/>
        </w:rPr>
        <w:t xml:space="preserve"> zu kommen, zugrunde liegt. Ich werde diese Sehnsucht wohl noch lange Zeit durch Träume befriedigen müssen, denn um die Zeit des Jahres, welche mir für eine Reise zur Verfügung steht, ist der Aufenthalt in Rom aus Rücksichten der Gesundheit zu meiden </w:t>
      </w:r>
      <w:hyperlink r:id="rId8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Ich habe seither längst erfahren, daß auch zur Erfüllung solcher lange für unerreichbar gehaltenen Wünsche nur etwas Mut erfordert wird, und bin dann ein eifriger Rompilger geworden</w:t>
        </w:r>
      </w:hyperlink>
      <w:r w:rsidRPr="00A06A59">
        <w:rPr>
          <w:rFonts w:ascii="Garamond" w:hAnsi="Garamond" w:cs="Arial"/>
          <w:color w:val="000000"/>
          <w:lang w:val="en-GB"/>
        </w:rPr>
        <w:t xml:space="preserve">. So träume ich denn einmal, daß ich vom Coupéfenster aus Tiber und Engelsbrücke sehe; dann setzt sich der Zug in Bewegung, und es fällt mir ein, daß ich die Stadt ja gar nicht betreten habe. Die Aussicht, die ich im Traume sah, war einem bekannten Stiche nachgebildet, den ich tags zuvor im Salon eines Patienten flüchtig bemerkt hatte. Ein andermal führt mich jemand auf einen Hügel und zeigt mir Rom vom Nebel halb verschleiert und noch so ferne, daß ich mich über die Deutlichkeit der Aussicht wundere. Der Inhalt dieses Traumes ist reicher, als ich hier ausführen möchte. Das Motiv, »das gelobte Land von ferne sehen«, ist darin leicht zu erkennen. Die Stadt, die ich so zuerst im Nebel gesehen habe, ist – </w:t>
      </w:r>
      <w:r w:rsidRPr="00A06A59">
        <w:rPr>
          <w:rFonts w:ascii="Garamond" w:hAnsi="Garamond" w:cs="Arial"/>
          <w:i/>
          <w:iCs/>
          <w:color w:val="000000"/>
          <w:lang w:val="en-GB"/>
        </w:rPr>
        <w:t>Lübeck</w:t>
      </w:r>
      <w:r w:rsidRPr="00A06A59">
        <w:rPr>
          <w:rFonts w:ascii="Garamond" w:hAnsi="Garamond" w:cs="Arial"/>
          <w:color w:val="000000"/>
          <w:lang w:val="en-GB"/>
        </w:rPr>
        <w:t xml:space="preserve">; der Hügel findet sein Vorbild in – </w:t>
      </w:r>
      <w:r w:rsidRPr="00A06A59">
        <w:rPr>
          <w:rFonts w:ascii="Garamond" w:hAnsi="Garamond" w:cs="Arial"/>
          <w:i/>
          <w:iCs/>
          <w:color w:val="000000"/>
          <w:lang w:val="en-GB"/>
        </w:rPr>
        <w:t>Gleichenberg</w:t>
      </w:r>
      <w:r w:rsidRPr="00A06A59">
        <w:rPr>
          <w:rFonts w:ascii="Garamond" w:hAnsi="Garamond" w:cs="Arial"/>
          <w:color w:val="000000"/>
          <w:lang w:val="en-GB"/>
        </w:rPr>
        <w:t xml:space="preserve">. In einem dritten Traum bin ich endlich in Rom, wie mir der Traum sagt. Ich sehe aber zu meiner Enttäuschung eine keineswegs städtische Szenerie, </w:t>
      </w:r>
      <w:r w:rsidRPr="00A06A59">
        <w:rPr>
          <w:rFonts w:ascii="Garamond" w:hAnsi="Garamond" w:cs="Arial"/>
          <w:i/>
          <w:iCs/>
          <w:color w:val="000000"/>
          <w:lang w:val="en-GB"/>
        </w:rPr>
        <w:t xml:space="preserve">einen kleinen Fluß mit dunklem Wasser, auf der einen Seite </w:t>
      </w:r>
      <w:r w:rsidRPr="00A06A59">
        <w:rPr>
          <w:rFonts w:ascii="Garamond" w:hAnsi="Garamond" w:cs="Arial"/>
          <w:i/>
          <w:iCs/>
          <w:color w:val="000000"/>
          <w:lang w:val="en-GB"/>
        </w:rPr>
        <w:lastRenderedPageBreak/>
        <w:t>desselben schwarze Felsen, auf der anderen Wiesen mit großen weißen Blumen. Ich bemerke einen Herrn Zucker</w:t>
      </w:r>
      <w:r w:rsidRPr="00A06A59">
        <w:rPr>
          <w:rFonts w:ascii="Garamond" w:hAnsi="Garamond" w:cs="Arial"/>
          <w:color w:val="000000"/>
          <w:lang w:val="en-GB"/>
        </w:rPr>
        <w:t xml:space="preserve"> (den ich oberflächlich kenne) </w:t>
      </w:r>
      <w:r w:rsidRPr="00A06A59">
        <w:rPr>
          <w:rFonts w:ascii="Garamond" w:hAnsi="Garamond" w:cs="Arial"/>
          <w:i/>
          <w:iCs/>
          <w:color w:val="000000"/>
          <w:lang w:val="en-GB"/>
        </w:rPr>
        <w:t>und beschließe, ihn um den Weg in die Stadt zu fragen.</w:t>
      </w:r>
      <w:r w:rsidRPr="00A06A59">
        <w:rPr>
          <w:rFonts w:ascii="Garamond" w:hAnsi="Garamond" w:cs="Arial"/>
          <w:color w:val="000000"/>
          <w:lang w:val="en-GB"/>
        </w:rPr>
        <w:t xml:space="preserve"> Es ist offenbar, daß ich mich vergebens bemühe, eine Stadt im Traume zu sehen, die ich im Wachen nicht gesehen habe. Wenn ich das Landschaftsbild des Traums in seine Elemente zersetze, so deuten die weißen Blumen auf das mir bekannte </w:t>
      </w:r>
      <w:r w:rsidRPr="00A06A59">
        <w:rPr>
          <w:rFonts w:ascii="Garamond" w:hAnsi="Garamond" w:cs="Arial"/>
          <w:i/>
          <w:iCs/>
          <w:color w:val="000000"/>
          <w:lang w:val="en-GB"/>
        </w:rPr>
        <w:t>Ravenna</w:t>
      </w:r>
      <w:r w:rsidRPr="00A06A59">
        <w:rPr>
          <w:rFonts w:ascii="Garamond" w:hAnsi="Garamond" w:cs="Arial"/>
          <w:color w:val="000000"/>
          <w:lang w:val="en-GB"/>
        </w:rPr>
        <w:t xml:space="preserve">, das wenigstens eine Zeitlang als Italiens Hauptstadt Rom den Vorrang abgenommen hatte. In den Sümpfen um Ravenna haben wir die schönsten Seerosen mitten im schwarzen Wasser gefunden; der Traum läßt sie auf Wiesen wachsen wie die Narzissen in unserm </w:t>
      </w:r>
      <w:r w:rsidRPr="00A06A59">
        <w:rPr>
          <w:rFonts w:ascii="Garamond" w:hAnsi="Garamond" w:cs="Arial"/>
          <w:i/>
          <w:iCs/>
          <w:color w:val="000000"/>
          <w:lang w:val="en-GB"/>
        </w:rPr>
        <w:t>Aussee</w:t>
      </w:r>
      <w:r w:rsidRPr="00A06A59">
        <w:rPr>
          <w:rFonts w:ascii="Garamond" w:hAnsi="Garamond" w:cs="Arial"/>
          <w:color w:val="000000"/>
          <w:lang w:val="en-GB"/>
        </w:rPr>
        <w:t xml:space="preserve">, weil es damals so mühselig war, sie aus dem Wasser zu holen. Der dunkle Fels, so nahe am Wasser, erinnert lebhaft an das Tal der </w:t>
      </w:r>
      <w:r w:rsidRPr="00A06A59">
        <w:rPr>
          <w:rFonts w:ascii="Garamond" w:hAnsi="Garamond" w:cs="Arial"/>
          <w:i/>
          <w:iCs/>
          <w:color w:val="000000"/>
          <w:lang w:val="en-GB"/>
        </w:rPr>
        <w:t>Tepl</w:t>
      </w:r>
      <w:r w:rsidRPr="00A06A59">
        <w:rPr>
          <w:rFonts w:ascii="Garamond" w:hAnsi="Garamond" w:cs="Arial"/>
          <w:color w:val="000000"/>
          <w:lang w:val="en-GB"/>
        </w:rPr>
        <w:t xml:space="preserve"> bei </w:t>
      </w:r>
      <w:r w:rsidRPr="00A06A59">
        <w:rPr>
          <w:rFonts w:ascii="Garamond" w:hAnsi="Garamond" w:cs="Arial"/>
          <w:i/>
          <w:iCs/>
          <w:color w:val="000000"/>
          <w:lang w:val="en-GB"/>
        </w:rPr>
        <w:t>Karlsbad</w:t>
      </w:r>
      <w:r w:rsidRPr="00A06A59">
        <w:rPr>
          <w:rFonts w:ascii="Garamond" w:hAnsi="Garamond" w:cs="Arial"/>
          <w:color w:val="000000"/>
          <w:lang w:val="en-GB"/>
        </w:rPr>
        <w:t xml:space="preserve">. » </w:t>
      </w:r>
      <w:r w:rsidRPr="00A06A59">
        <w:rPr>
          <w:rFonts w:ascii="Garamond" w:hAnsi="Garamond" w:cs="Arial"/>
          <w:i/>
          <w:iCs/>
          <w:color w:val="000000"/>
          <w:lang w:val="en-GB"/>
        </w:rPr>
        <w:t>Karlsbad</w:t>
      </w:r>
      <w:r w:rsidRPr="00A06A59">
        <w:rPr>
          <w:rFonts w:ascii="Garamond" w:hAnsi="Garamond" w:cs="Arial"/>
          <w:color w:val="000000"/>
          <w:lang w:val="en-GB"/>
        </w:rPr>
        <w:t xml:space="preserve">« setzt mich nun in den Stand, mir den sonderbaren Zug zu erklären, daß ich Herrn Zucker um den Weg frage. Es sind hier in dem Material, aus dem der Traum gesponnen ist, zwei jener lustigen jüdischen Anekdoten zu erkennen, die soviel tiefsinnige, oft bittere Lebensweisheit verbergen und die wir in Gesprächen und Briefen so gerne zitieren. Die eine ist die Geschichte von der »Konstitution«, des Inhalts, wie ein armer Jude ohne Fahrbillet den Einlaß in den Eilzug nach Karlsbad erschleicht, dann ertappt, bei jeder Revision vom Zuge gewiesen und immer härter behandelt wird, und der dann einem Bekannten, welcher ihn auf einer seiner Leidensstationen antrifft, auf die Frage, wohin er reise, zur Antwort gibt: »Wenn's meine Konstitution aushält nach </w:t>
      </w:r>
      <w:r w:rsidRPr="00A06A59">
        <w:rPr>
          <w:rFonts w:ascii="Garamond" w:hAnsi="Garamond" w:cs="Arial"/>
          <w:i/>
          <w:iCs/>
          <w:color w:val="000000"/>
          <w:lang w:val="en-GB"/>
        </w:rPr>
        <w:t>Karlsbad</w:t>
      </w:r>
      <w:r w:rsidRPr="00A06A59">
        <w:rPr>
          <w:rFonts w:ascii="Garamond" w:hAnsi="Garamond" w:cs="Arial"/>
          <w:color w:val="000000"/>
          <w:lang w:val="en-GB"/>
        </w:rPr>
        <w:t xml:space="preserve">.« Nahe dabei ruht im Gedächtnis eine andere Geschichte, von einem des Französischen unkundigen Juden, dem eingeschärft wird, in Paris nach dem Wege zur Rue Richelieu zu fragen. Auch </w:t>
      </w:r>
      <w:r w:rsidRPr="00A06A59">
        <w:rPr>
          <w:rFonts w:ascii="Garamond" w:hAnsi="Garamond" w:cs="Arial"/>
          <w:i/>
          <w:iCs/>
          <w:color w:val="000000"/>
          <w:lang w:val="en-GB"/>
        </w:rPr>
        <w:t>Paris</w:t>
      </w:r>
      <w:r w:rsidRPr="00A06A59">
        <w:rPr>
          <w:rFonts w:ascii="Garamond" w:hAnsi="Garamond" w:cs="Arial"/>
          <w:color w:val="000000"/>
          <w:lang w:val="en-GB"/>
        </w:rPr>
        <w:t xml:space="preserve"> war lange Jahre hindurch ein Ziel meiner Sehnsucht, und die Seligkeit, in welcher ich zuerst den Fuß auf das Pflaster von Paris setzte, nahm ich als Gewähr, daß ich auch die Erfüllung anderer Wünsche erreichen werde. Das Um-den-Weg-Fragen ist ferner eine direkte Anspielung an </w:t>
      </w:r>
      <w:r w:rsidRPr="00A06A59">
        <w:rPr>
          <w:rFonts w:ascii="Garamond" w:hAnsi="Garamond" w:cs="Arial"/>
          <w:i/>
          <w:iCs/>
          <w:color w:val="000000"/>
          <w:lang w:val="en-GB"/>
        </w:rPr>
        <w:t>Rom</w:t>
      </w:r>
      <w:r w:rsidRPr="00A06A59">
        <w:rPr>
          <w:rFonts w:ascii="Garamond" w:hAnsi="Garamond" w:cs="Arial"/>
          <w:color w:val="000000"/>
          <w:lang w:val="en-GB"/>
        </w:rPr>
        <w:t xml:space="preserve">, denn nach Rom führen bekanntlich alle Wege. Übrigens deutet der Name </w:t>
      </w:r>
      <w:r w:rsidRPr="00A06A59">
        <w:rPr>
          <w:rFonts w:ascii="Garamond" w:hAnsi="Garamond" w:cs="Arial"/>
          <w:i/>
          <w:iCs/>
          <w:color w:val="000000"/>
          <w:lang w:val="en-GB"/>
        </w:rPr>
        <w:t>Zucker</w:t>
      </w:r>
      <w:r w:rsidRPr="00A06A59">
        <w:rPr>
          <w:rFonts w:ascii="Garamond" w:hAnsi="Garamond" w:cs="Arial"/>
          <w:color w:val="000000"/>
          <w:lang w:val="en-GB"/>
        </w:rPr>
        <w:t xml:space="preserve"> wiederum auf </w:t>
      </w:r>
      <w:r w:rsidRPr="00A06A59">
        <w:rPr>
          <w:rFonts w:ascii="Garamond" w:hAnsi="Garamond" w:cs="Arial"/>
          <w:i/>
          <w:iCs/>
          <w:color w:val="000000"/>
          <w:lang w:val="en-GB"/>
        </w:rPr>
        <w:t>Karlsbad</w:t>
      </w:r>
      <w:r w:rsidRPr="00A06A59">
        <w:rPr>
          <w:rFonts w:ascii="Garamond" w:hAnsi="Garamond" w:cs="Arial"/>
          <w:color w:val="000000"/>
          <w:lang w:val="en-GB"/>
        </w:rPr>
        <w:t xml:space="preserve">, wohin wir doch alle mit der </w:t>
      </w:r>
      <w:r w:rsidRPr="00A06A59">
        <w:rPr>
          <w:rFonts w:ascii="Garamond" w:hAnsi="Garamond" w:cs="Arial"/>
          <w:i/>
          <w:iCs/>
          <w:color w:val="000000"/>
          <w:lang w:val="en-GB"/>
        </w:rPr>
        <w:t>konstitutionellen</w:t>
      </w:r>
      <w:r w:rsidRPr="00A06A59">
        <w:rPr>
          <w:rFonts w:ascii="Garamond" w:hAnsi="Garamond" w:cs="Arial"/>
          <w:color w:val="000000"/>
          <w:lang w:val="en-GB"/>
        </w:rPr>
        <w:t xml:space="preserve"> Krankheit Diabetes Behafteten schicken. Der Anlaß dieses Traumes war der Vorschlag meines Berliner Freundes, uns zu Ostern in Prag zu treffen. Aus den Dingen, die ich mit ihm zu besprechen hatte, würde sich eine weitere Beziehung zu »Zucker« und »Diabetes« ergeben.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vierter Traum, kurz nach dem letzterwähnten, bringt mich wieder nach Rom. Ich sehe eine Straßenecke vor mir und wundere mich darüber, daß dort so viele deutsche Plakate angeschlagen sind. Tags vorher hatte ich meinem Freund in prophetischer Voraussicht geschrieben, Prag dürfte für deutsche Spaziergänger kein bequemer Aufenthaltsort sein. Der Traum drückte also gleichzeitig den Wunsch aus, ihn in Rom zu treffen anstatt in einer böhmischen Stadt, und das wahrscheinlich aus der Studentenzeit stammende Interesse daran, daß in Prag der deutschen Sprache mehr Duldung gewährt sein möge. Die tschechische Sprache muß ich übrigens in meinen ersten Kinderjahren verstanden haben, da ich in einem kleinen Orte Mährens mit slawischer Bevölkerung geboren bin. Ein tschechischer Kindervers, den ich in meinem siebzehnten Jahre gehört, hat sich meinem Gedächtnis mühelos so eingeprägt, daß ich ihn noch heute hersagen kann, obwohl ich keine Ahnung von seiner Bedeutung habe. Es fehlt also auch diesen Träumen nicht an mannigfaltigen Beziehungen zu den Eindrücken meiner ersten Lebensjahre.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Auf meiner letzten Italienreise, die mich unter anderem am Trasimener See vorbeiführte, fand ich endlich, nachdem ich den Tiber gesehen und schmerzlich bewegt achtzig Kilometer weit von Rom umgekehrt war, die Verstärkung auf, welche meine Sehnsucht nach der ewigen Stadt aus Jugendeindrücken bezieht. Ich erwog gerade den Plan, ein nächstes Jahr an Rom vorbei nach Neapel zu reisen, als mir ein Satz einfiel, den ich bei einem unserer klassischen Schriftsteller </w:t>
      </w:r>
      <w:hyperlink r:id="rId9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Der Schriftsteller, bei dem ich diese Stelle las, muß wohl </w:t>
        </w:r>
        <w:r w:rsidRPr="00A06A59">
          <w:rPr>
            <w:rStyle w:val="innerfusslink3"/>
            <w:rFonts w:ascii="Garamond" w:hAnsi="Garamond" w:cs="Arial"/>
            <w:b/>
            <w:bCs/>
            <w:i/>
            <w:iCs/>
            <w:lang w:val="en-GB"/>
          </w:rPr>
          <w:t>Jean Paul</w:t>
        </w:r>
        <w:r w:rsidRPr="00A06A59">
          <w:rPr>
            <w:rStyle w:val="innerfusslink3"/>
            <w:rFonts w:ascii="Garamond" w:hAnsi="Garamond" w:cs="Arial"/>
            <w:b/>
            <w:bCs/>
            <w:lang w:val="en-GB"/>
          </w:rPr>
          <w:t xml:space="preserve"> gewesen sein.</w:t>
        </w:r>
      </w:hyperlink>
      <w:r w:rsidRPr="00A06A59">
        <w:rPr>
          <w:rFonts w:ascii="Garamond" w:hAnsi="Garamond" w:cs="Arial"/>
          <w:color w:val="000000"/>
          <w:lang w:val="en-GB"/>
        </w:rPr>
        <w:t xml:space="preserve"> gelesen haben muß: Es ist fraglich, wer eifriger in seiner Stube auf und ab lief, nachdem er den Plan gefaßt, nach Rom zu gehen, der Konrektor </w:t>
      </w:r>
      <w:r w:rsidRPr="00A06A59">
        <w:rPr>
          <w:rFonts w:ascii="Garamond" w:hAnsi="Garamond" w:cs="Arial"/>
          <w:i/>
          <w:iCs/>
          <w:color w:val="000000"/>
          <w:lang w:val="en-GB"/>
        </w:rPr>
        <w:t>Winckelmann</w:t>
      </w:r>
      <w:r w:rsidRPr="00A06A59">
        <w:rPr>
          <w:rFonts w:ascii="Garamond" w:hAnsi="Garamond" w:cs="Arial"/>
          <w:color w:val="000000"/>
          <w:lang w:val="en-GB"/>
        </w:rPr>
        <w:t xml:space="preserve"> oder der Feldherr </w:t>
      </w:r>
      <w:r w:rsidRPr="00A06A59">
        <w:rPr>
          <w:rFonts w:ascii="Garamond" w:hAnsi="Garamond" w:cs="Arial"/>
          <w:i/>
          <w:iCs/>
          <w:color w:val="000000"/>
          <w:lang w:val="en-GB"/>
        </w:rPr>
        <w:t>Hannibal</w:t>
      </w:r>
      <w:r w:rsidRPr="00A06A59">
        <w:rPr>
          <w:rFonts w:ascii="Garamond" w:hAnsi="Garamond" w:cs="Arial"/>
          <w:color w:val="000000"/>
          <w:lang w:val="en-GB"/>
        </w:rPr>
        <w:t xml:space="preserve">. Ich war ja auf den Spuren Hannibals gewandelt; es war mir so wenig wie ihm beschieden, Rom zu sehen, und auch er war nach </w:t>
      </w:r>
      <w:r w:rsidRPr="00A06A59">
        <w:rPr>
          <w:rFonts w:ascii="Garamond" w:hAnsi="Garamond" w:cs="Arial"/>
          <w:i/>
          <w:iCs/>
          <w:color w:val="000000"/>
          <w:lang w:val="en-GB"/>
        </w:rPr>
        <w:t>Kampanien</w:t>
      </w:r>
      <w:r w:rsidRPr="00A06A59">
        <w:rPr>
          <w:rFonts w:ascii="Garamond" w:hAnsi="Garamond" w:cs="Arial"/>
          <w:color w:val="000000"/>
          <w:lang w:val="en-GB"/>
        </w:rPr>
        <w:t xml:space="preserve"> gezogen, nachdem alle Welt in Rom ihn erwartet hatte. Hannibal, mit dem ich diese Ähnlichkeit erreicht hatte, war aber der Lieblingsheld meiner Gymnasialjahre gewesen; wie so viele in jenem Alter, hatte ich meine Sympathien während der punischen Kriege nicht den Römern, sondern dem Karthager zugewendet. Als dann im Obergymnasium das erste Verständnis für die Konsequenzen der Abstammung aus landesfremder Rasse erwuchs und die antisemitischen Regungen unter den Kameraden mahnten, Stellung zu nehmen, da hob sich die Gestalt des semitischen Feldherrn noch höher in meinen Augen. </w:t>
      </w:r>
      <w:r w:rsidRPr="00A06A59">
        <w:rPr>
          <w:rFonts w:ascii="Garamond" w:hAnsi="Garamond" w:cs="Arial"/>
          <w:i/>
          <w:iCs/>
          <w:color w:val="000000"/>
          <w:lang w:val="en-GB"/>
        </w:rPr>
        <w:t>Hannibal</w:t>
      </w:r>
      <w:r w:rsidRPr="00A06A59">
        <w:rPr>
          <w:rFonts w:ascii="Garamond" w:hAnsi="Garamond" w:cs="Arial"/>
          <w:color w:val="000000"/>
          <w:lang w:val="en-GB"/>
        </w:rPr>
        <w:t xml:space="preserve"> und </w:t>
      </w:r>
      <w:r w:rsidRPr="00A06A59">
        <w:rPr>
          <w:rFonts w:ascii="Garamond" w:hAnsi="Garamond" w:cs="Arial"/>
          <w:i/>
          <w:iCs/>
          <w:color w:val="000000"/>
          <w:lang w:val="en-GB"/>
        </w:rPr>
        <w:t>Rom</w:t>
      </w:r>
      <w:r w:rsidRPr="00A06A59">
        <w:rPr>
          <w:rFonts w:ascii="Garamond" w:hAnsi="Garamond" w:cs="Arial"/>
          <w:color w:val="000000"/>
          <w:lang w:val="en-GB"/>
        </w:rPr>
        <w:t xml:space="preserve"> symbolisierten dem Jüngling den Gegensatz zwischen der Zähigkeit des Judentums und der Organisation der katholischen Kirche. Die Bedeutung, welche die antisemitische Bewegung seither für unser Gemütsleben gewonnen hat, verhalf dann den Gedanken und Empfindungen jener früheren Zeit zur Fixierung. So ist der Wunsch, nach Rom zu kommen, für das Traumleben zum Deckmantel und Symbol für mehrere andere heiß ersehnte Wünsche geworden, an deren Verwirklichung man mit der Ausdauer und Ausschließlichkeit des Puniers arbeiten möchte und deren Erfüllung zeitweilig vom Schicksal ebensowenig begünstigt scheint wie der Lebenswunsch Hannibals, in Rom einzuziehen.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Und nun stoße ich erst auf das Jugenderlebnis, das in all diesen Empfindungen und Träumen noch heute seine Macht äußert. Ich mochte zehn oder zwölf Jahre gewesen sein, als mein Vater begann, mich auf seine Spaziergänge mitzunehmen und mir in Gesprächen seine Ansichten über die Dinge dieser Welt zu eröffnen. So erzählte er mir </w:t>
      </w:r>
      <w:r w:rsidRPr="00A06A59">
        <w:rPr>
          <w:rFonts w:ascii="Garamond" w:hAnsi="Garamond" w:cs="Arial"/>
          <w:color w:val="000000"/>
          <w:lang w:val="en-GB"/>
        </w:rPr>
        <w:lastRenderedPageBreak/>
        <w:t xml:space="preserve">einmal, um mir zu zeigen, in wieviel bessere Zeiten ich gekommen sei als er: Als ich ein junger Mensch war, bin ich in deinem Geburtsort am Samstag in der Straße spazierengegangen, schön gekleidet, mit einer neuen Pelzmütze auf dem Kopf. Da kommt ein Christ daher, haut mir mit einem Schlag die Mütze in den Kot und ruft dabei: Jud, herunter vom Trottoir! »Und was hast du getan?« Ich bin auf den Fahrweg gegangen und habe die Mütze aufgehoben, war die gelassene Antwort. Das schien mir nicht heldenhaft von dem großen starken Mann, der mich Kleinen an der Hand führte. Ich stellte dieser Situation, die mich nicht befriedigte, eine andere gegenüber, die meinem Empfinden besser entsprach, die Szene, in welcher Hannibals Vater, Hamilkar Barkas </w:t>
      </w:r>
      <w:hyperlink r:id="rId9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In der ersten Auflage stand hier der Name: Hasdrubal, ein befremdender Irrtum, dessen Aufklärung ich in meiner </w:t>
        </w:r>
        <w:r w:rsidRPr="00A06A59">
          <w:rPr>
            <w:rStyle w:val="innerfusslink3"/>
            <w:rFonts w:ascii="Garamond" w:hAnsi="Garamond" w:cs="Arial"/>
            <w:b/>
            <w:bCs/>
            <w:i/>
            <w:iCs/>
            <w:lang w:val="en-GB"/>
          </w:rPr>
          <w:t>Psychopathologie des Alltagslebens</w:t>
        </w:r>
        <w:r w:rsidRPr="00A06A59">
          <w:rPr>
            <w:rStyle w:val="innerfusslink3"/>
            <w:rFonts w:ascii="Garamond" w:hAnsi="Garamond" w:cs="Arial"/>
            <w:b/>
            <w:bCs/>
            <w:lang w:val="en-GB"/>
          </w:rPr>
          <w:t xml:space="preserve"> gegeben habe.</w:t>
        </w:r>
      </w:hyperlink>
      <w:r w:rsidRPr="00A06A59">
        <w:rPr>
          <w:rFonts w:ascii="Garamond" w:hAnsi="Garamond" w:cs="Arial"/>
          <w:color w:val="000000"/>
          <w:lang w:val="en-GB"/>
        </w:rPr>
        <w:t>, seinen Knaben vor dem Hausaltar schwören läßt, an den Römern Rache zu nehmen. Seitdem hatte Hannibal einen Platz in meinen Phantasien.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meine, daß ich diese Schwärmerei für den karthagischen General noch ein Stück weiter in meine Kindheit zurück verfolgen kann, so daß es sich auch hier nur um die Übertragung einer bereits gebildeten Affektrelation auf einen neuen Träger handeln dürfte. Eines der ersten Bücher, das dem lesefähigen Kind in die Hände fiel, war </w:t>
      </w:r>
      <w:r w:rsidRPr="00A06A59">
        <w:rPr>
          <w:rFonts w:ascii="Garamond" w:hAnsi="Garamond" w:cs="Arial"/>
          <w:i/>
          <w:iCs/>
          <w:color w:val="000000"/>
          <w:lang w:val="en-GB"/>
        </w:rPr>
        <w:t>Thiers</w:t>
      </w:r>
      <w:r w:rsidRPr="00A06A59">
        <w:rPr>
          <w:rFonts w:ascii="Garamond" w:hAnsi="Garamond" w:cs="Arial"/>
          <w:color w:val="000000"/>
          <w:lang w:val="en-GB"/>
        </w:rPr>
        <w:t xml:space="preserve">' »Konsulat und Kaiserreich«; ich erinnere mich, daß ich meinen Holzsoldaten kleine Zettel mit den Namen der kaiserlichen Marschälle auf den flachen Rücken geklebt und daß damals schon Masséna (als Jude: Menasse) mein erklärter Liebling war </w:t>
      </w:r>
      <w:hyperlink r:id="rId9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 jüdische Abstammung des Marschalls wird übrigens bezweifelt.</w:t>
        </w:r>
      </w:hyperlink>
      <w:r w:rsidRPr="00A06A59">
        <w:rPr>
          <w:rFonts w:ascii="Garamond" w:hAnsi="Garamond" w:cs="Arial"/>
          <w:color w:val="000000"/>
          <w:lang w:val="en-GB"/>
        </w:rPr>
        <w:t>. (Diese Bevorzugung wird wohl auch durch den Zufall des gleichen Geburtsdatums, genau hundert Jahre später, aufzuklären sein.) Napoleon selbst schließt sich durch den Übergang über die Alpen an Hannibal an. Und vielleicht ließe sich die Entwicklung dieses Kriegerideals noch weiter zurück in die Kindheit verfolgen bis auf Wünsche, die der bald freundschaftliche, bald kriegerische Verkehr während der ersten drei Jahre mit einem um ein Jahr älteren Knaben bei dem schwächeren der beiden Gespielen hervorrufen mußte.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Je tiefer man sich in die Analyse der Träume einläßt, desto häufiger wird man auf die Spur von Kindheitserlebnissen geführt, welche im latenten Trauminhalt eine Rolle als Traumquellen spielen.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haben gehört (S. 14), daß der Traum sehr selten Erinnerungen so reproduziert, daß sie unverkürzt und unverändert den alleinigen manifesten Trauminhalt bilden. Immerhin sind einige Beispiele für dieses Vorkommen sichergestellt, zu denen ich einige neue hinzufügen kann, die sich wiederum auf Infantilszenen beziehen. Bei einem meiner Patienten brachte einmal ein Traum eine kaum entstellte Wiedergabe eines sexuellen Vorfalles, die sofort als getreue Erinnerung erkannt wurde. Die Erinnerung daran war im Wachen zwar nie völlig verloren gewesen, aber doch stark verdunkelt worden, und ihre Neubelebung war ein Erfolg der vorausgegangenen analytischen Arbeit. Der Träumer hatte mit zwölf Jahren einen bettlägerigen Kollegen besucht, der sich wahrscheinlich nur zufällig bei einer Bewegung im Bette entblößte. Beim Anblick seiner Genitalien von einer Art Zwang ergriffen, entblößte er sich selbst und faßte das Glied des anderen, der ihn aber unwillig und verwundert ansah, worauf er verlegen wurde und abließ. Diese Szene wiederholte ein Traum dreiundzwanzig Jahre später auch mit allen Einzelheiten der in ihr vorkommenden Empfindungen, veränderte sie aber dahin, daß der Träumer anstatt der aktiven die passive Rolle übernahm, während die Person des Schulkollegen durch eine der Gegenwart angehörige ersetzt wurde.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der Regel freilich ist die Infantilszene im manifesten Trauminhalt nur durch eine Anspielung vertreten und muß durch Deutung aus dem Traum entwickelt werden. Die Mitteilung solcher Beispiele kann nicht sehr beweiskräftig ausfallen, weil ja für diese Kindererlebnisse meistens jede andere Gewähr fehlt; sie werden, wenn sie in ein frühes Alter fallen, von der Erinnerung nicht mehr anerkannt. Das Recht, überhaupt aus Träumen auf solche Kindererlebnisse zu schließen, ergibt sich bei der psychoanalytischen Arbeit aus einer ganzen Reihe von Momenten, die in ihrem Zusammenwirken verläßlich genug erscheinen. Zum Zwecke der Traumdeutung aus ihrem Zusammenhange gerissen, werden solche Zurückführungen auf Kindererlebnisse vielleicht wenig Eindruck machen, besonders da ich nicht einmal alles Material mitteile, auf welches sich die Deutung stützt. Indes will ich mich darum von der Mitteilung nicht abhalten lassen.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 einer meiner Patientinnen haben alle Träume den Charakter des » </w:t>
      </w:r>
      <w:r w:rsidRPr="00A06A59">
        <w:rPr>
          <w:rFonts w:ascii="Garamond" w:hAnsi="Garamond" w:cs="Arial"/>
          <w:i/>
          <w:iCs/>
          <w:color w:val="000000"/>
          <w:lang w:val="en-GB"/>
        </w:rPr>
        <w:t>Gehetzten</w:t>
      </w:r>
      <w:r w:rsidRPr="00A06A59">
        <w:rPr>
          <w:rFonts w:ascii="Garamond" w:hAnsi="Garamond" w:cs="Arial"/>
          <w:color w:val="000000"/>
          <w:lang w:val="en-GB"/>
        </w:rPr>
        <w:t xml:space="preserve">«; sie hetzt sich, um zurechtzukommen, den Eisenbahnzug nicht zu versäumen u. dgl. In einem Traume </w:t>
      </w:r>
      <w:r w:rsidRPr="00A06A59">
        <w:rPr>
          <w:rFonts w:ascii="Garamond" w:hAnsi="Garamond" w:cs="Arial"/>
          <w:i/>
          <w:iCs/>
          <w:color w:val="000000"/>
          <w:lang w:val="en-GB"/>
        </w:rPr>
        <w:t>soll sie ihre Freundin besuchen; die Mutter hat ihr gesagt, sie soll fahren, nicht gehen; sie läuft aber und fällt dabei in einem fort.</w:t>
      </w:r>
      <w:r w:rsidRPr="00A06A59">
        <w:rPr>
          <w:rFonts w:ascii="Garamond" w:hAnsi="Garamond" w:cs="Arial"/>
          <w:color w:val="000000"/>
          <w:lang w:val="en-GB"/>
        </w:rPr>
        <w:t xml:space="preserve"> Das bei der Analyse auftauchende Material gestattet, die Erinnerung an Kinderhetzereien zu erkennen (man weiß, was der Wiener » </w:t>
      </w:r>
      <w:r w:rsidRPr="00A06A59">
        <w:rPr>
          <w:rFonts w:ascii="Garamond" w:hAnsi="Garamond" w:cs="Arial"/>
          <w:i/>
          <w:iCs/>
          <w:color w:val="000000"/>
          <w:lang w:val="en-GB"/>
        </w:rPr>
        <w:t>eine Hetz</w:t>
      </w:r>
      <w:r w:rsidRPr="00A06A59">
        <w:rPr>
          <w:rFonts w:ascii="Garamond" w:hAnsi="Garamond" w:cs="Arial"/>
          <w:color w:val="000000"/>
          <w:lang w:val="en-GB"/>
        </w:rPr>
        <w:t xml:space="preserve">« nennt), und gibt speziell für den einen Traum die Zurückführung auf den bei Kindern beliebten Scherz, den Satz: » </w:t>
      </w:r>
      <w:r w:rsidRPr="00A06A59">
        <w:rPr>
          <w:rFonts w:ascii="Garamond" w:hAnsi="Garamond" w:cs="Arial"/>
          <w:i/>
          <w:iCs/>
          <w:color w:val="000000"/>
          <w:lang w:val="en-GB"/>
        </w:rPr>
        <w:t>Die Kuh rannte, bis sie fiel</w:t>
      </w:r>
      <w:r w:rsidRPr="00A06A59">
        <w:rPr>
          <w:rFonts w:ascii="Garamond" w:hAnsi="Garamond" w:cs="Arial"/>
          <w:color w:val="000000"/>
          <w:lang w:val="en-GB"/>
        </w:rPr>
        <w:t>« so rasch auszusprechen, als ob er ein einziges Wort wäre, was wiederum ein »Hetzen« ist. Alle diese harmlosen Hetzereien unter kleinen Freundinnen werden erinnert, weil sie andere, minder harmlose, ersetzen.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lastRenderedPageBreak/>
        <w:t xml:space="preserve">Von einer anderen folgender Traum: </w:t>
      </w:r>
      <w:r w:rsidRPr="00A06A59">
        <w:rPr>
          <w:rFonts w:ascii="Garamond" w:hAnsi="Garamond" w:cs="Arial"/>
          <w:i/>
          <w:iCs/>
          <w:color w:val="000000"/>
          <w:lang w:val="en-GB"/>
        </w:rPr>
        <w:t xml:space="preserve">Sie ist in einem großen Zimmer, in dem allerlei Maschinen stehen, etwa so, wie sie sich eine orthopädische Anstalt vorstellt. Sie hört, daß ich keine Zeit habe und daß sie die Behandlung gleichzeitig mit fünf anderen machen muß. Sie sträubt sich aber und will sich in das für sie bestimmte Bett – oder was es ist – nicht legen. Sie steht in einem Winkel und wartet, daß ich sage, es ist nicht wahr. </w:t>
      </w:r>
      <w:r w:rsidRPr="00A06A59">
        <w:rPr>
          <w:rFonts w:ascii="Garamond" w:hAnsi="Garamond" w:cs="Arial"/>
          <w:i/>
          <w:iCs/>
          <w:color w:val="000000"/>
        </w:rPr>
        <w:t>Die anderen lachen sie unterdes aus, es sei Faxerei von ihr. – Daneben, als ob sie viele kleine Quadrate machen würde.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erste Teil dieses Trauminhalts ist eine Anknüpfung an die Kur und Übertragung auf mich. Der zweite enthält die Anspielung an die Kinderszene; mit der Erwähnung des Bettes sind die beiden Stücke aneinandergelötet. Die </w:t>
      </w:r>
      <w:r w:rsidRPr="00A06A59">
        <w:rPr>
          <w:rFonts w:ascii="Garamond" w:hAnsi="Garamond" w:cs="Arial"/>
          <w:i/>
          <w:iCs/>
          <w:color w:val="000000"/>
          <w:lang w:val="en-GB"/>
        </w:rPr>
        <w:t>orthopädische Anstalt</w:t>
      </w:r>
      <w:r w:rsidRPr="00A06A59">
        <w:rPr>
          <w:rFonts w:ascii="Garamond" w:hAnsi="Garamond" w:cs="Arial"/>
          <w:color w:val="000000"/>
          <w:lang w:val="en-GB"/>
        </w:rPr>
        <w:t xml:space="preserve"> geht auf eine meiner Reden zurück, in der ich die Behandlung ihrer Dauer wie ihrem Wesen nach mit einer </w:t>
      </w:r>
      <w:r w:rsidRPr="00A06A59">
        <w:rPr>
          <w:rFonts w:ascii="Garamond" w:hAnsi="Garamond" w:cs="Arial"/>
          <w:i/>
          <w:iCs/>
          <w:color w:val="000000"/>
          <w:lang w:val="en-GB"/>
        </w:rPr>
        <w:t>orthopädischen</w:t>
      </w:r>
      <w:r w:rsidRPr="00A06A59">
        <w:rPr>
          <w:rFonts w:ascii="Garamond" w:hAnsi="Garamond" w:cs="Arial"/>
          <w:color w:val="000000"/>
          <w:lang w:val="en-GB"/>
        </w:rPr>
        <w:t xml:space="preserve"> verglichen hatte. Ich mußte ihr zu Anfang der Behandlung mitteilen, </w:t>
      </w:r>
      <w:r w:rsidRPr="00A06A59">
        <w:rPr>
          <w:rFonts w:ascii="Garamond" w:hAnsi="Garamond" w:cs="Arial"/>
          <w:i/>
          <w:iCs/>
          <w:color w:val="000000"/>
          <w:lang w:val="en-GB"/>
        </w:rPr>
        <w:t>daß ich vorläufig wenig Zeit für sie habe</w:t>
      </w:r>
      <w:r w:rsidRPr="00A06A59">
        <w:rPr>
          <w:rFonts w:ascii="Garamond" w:hAnsi="Garamond" w:cs="Arial"/>
          <w:color w:val="000000"/>
          <w:lang w:val="en-GB"/>
        </w:rPr>
        <w:t xml:space="preserve">, ihr aber später eine ganze Stunde täglich widmen würde. Dies machte die alte Empfindlichkeit in ihr rege, die ein Hauptcharakterzug der zur Hysterie bestimmten Kinder ist. Sie sind unersättlich nach Liebe. Meine Patientin war die jüngste von sechs Geschwistern (daher: </w:t>
      </w:r>
      <w:r w:rsidRPr="00A06A59">
        <w:rPr>
          <w:rFonts w:ascii="Garamond" w:hAnsi="Garamond" w:cs="Arial"/>
          <w:i/>
          <w:iCs/>
          <w:color w:val="000000"/>
          <w:lang w:val="en-GB"/>
        </w:rPr>
        <w:t>mit fünf anderen</w:t>
      </w:r>
      <w:r w:rsidRPr="00A06A59">
        <w:rPr>
          <w:rFonts w:ascii="Garamond" w:hAnsi="Garamond" w:cs="Arial"/>
          <w:color w:val="000000"/>
          <w:lang w:val="en-GB"/>
        </w:rPr>
        <w:t xml:space="preserve">) und als solche der Liebling des Vaters, scheint aber gefunden zu haben, daß der geliebte Vater ihr noch zu wenig Zeit und Aufmerksamkeit widme. Daß </w:t>
      </w:r>
      <w:r w:rsidRPr="00A06A59">
        <w:rPr>
          <w:rFonts w:ascii="Garamond" w:hAnsi="Garamond" w:cs="Arial"/>
          <w:i/>
          <w:iCs/>
          <w:color w:val="000000"/>
          <w:lang w:val="en-GB"/>
        </w:rPr>
        <w:t>sie wartet, bis ich sage, es ist nicht wahr</w:t>
      </w:r>
      <w:r w:rsidRPr="00A06A59">
        <w:rPr>
          <w:rFonts w:ascii="Garamond" w:hAnsi="Garamond" w:cs="Arial"/>
          <w:color w:val="000000"/>
          <w:lang w:val="en-GB"/>
        </w:rPr>
        <w:t xml:space="preserve">, hat folgende Ableitung: Ein kleiner Schneiderjunge hatte ihr ein Kleid gebracht und sie ihm dafür das Geld mitgegeben. Dann fragte sie ihren Mann, ob sie das Geld nochmals bezahlen müsse, wenn er es verliere. Der Mann, um sie zu </w:t>
      </w:r>
      <w:r w:rsidRPr="00A06A59">
        <w:rPr>
          <w:rFonts w:ascii="Garamond" w:hAnsi="Garamond" w:cs="Arial"/>
          <w:i/>
          <w:iCs/>
          <w:color w:val="000000"/>
          <w:lang w:val="en-GB"/>
        </w:rPr>
        <w:t>necken</w:t>
      </w:r>
      <w:r w:rsidRPr="00A06A59">
        <w:rPr>
          <w:rFonts w:ascii="Garamond" w:hAnsi="Garamond" w:cs="Arial"/>
          <w:color w:val="000000"/>
          <w:lang w:val="en-GB"/>
        </w:rPr>
        <w:t xml:space="preserve">, versicherte: ja (die </w:t>
      </w:r>
      <w:r w:rsidRPr="00A06A59">
        <w:rPr>
          <w:rFonts w:ascii="Garamond" w:hAnsi="Garamond" w:cs="Arial"/>
          <w:i/>
          <w:iCs/>
          <w:color w:val="000000"/>
          <w:lang w:val="en-GB"/>
        </w:rPr>
        <w:t>Neckerei</w:t>
      </w:r>
      <w:r w:rsidRPr="00A06A59">
        <w:rPr>
          <w:rFonts w:ascii="Garamond" w:hAnsi="Garamond" w:cs="Arial"/>
          <w:color w:val="000000"/>
          <w:lang w:val="en-GB"/>
        </w:rPr>
        <w:t xml:space="preserve"> im Trauminhalt), und sie fragte immer wieder von neuem </w:t>
      </w:r>
      <w:r w:rsidRPr="00A06A59">
        <w:rPr>
          <w:rFonts w:ascii="Garamond" w:hAnsi="Garamond" w:cs="Arial"/>
          <w:i/>
          <w:iCs/>
          <w:color w:val="000000"/>
          <w:lang w:val="en-GB"/>
        </w:rPr>
        <w:t>und wartete darauf, daß er endlich sage, es ist nicht wahr</w:t>
      </w:r>
      <w:r w:rsidRPr="00A06A59">
        <w:rPr>
          <w:rFonts w:ascii="Garamond" w:hAnsi="Garamond" w:cs="Arial"/>
          <w:color w:val="000000"/>
          <w:lang w:val="en-GB"/>
        </w:rPr>
        <w:t xml:space="preserve">. Nun läßt sich für den latenten Trauminhalt der Gedanke konstruieren, ob sie mir wohl das Doppelte bezahlen müsse, wenn ich ihr die doppelte Zeit widme, ein Gedanke, der geizig oder </w:t>
      </w:r>
      <w:r w:rsidRPr="00A06A59">
        <w:rPr>
          <w:rFonts w:ascii="Garamond" w:hAnsi="Garamond" w:cs="Arial"/>
          <w:i/>
          <w:iCs/>
          <w:color w:val="000000"/>
          <w:lang w:val="en-GB"/>
        </w:rPr>
        <w:t>schmutzig</w:t>
      </w:r>
      <w:r w:rsidRPr="00A06A59">
        <w:rPr>
          <w:rFonts w:ascii="Garamond" w:hAnsi="Garamond" w:cs="Arial"/>
          <w:color w:val="000000"/>
          <w:lang w:val="en-GB"/>
        </w:rPr>
        <w:t xml:space="preserve"> ist. (Die Unreinlichkeit der Kinderzeit wird sehr häufig vom Traum durch Geldgeiz ersetzt; das Wort »schmutzig« bildet dabei die Brücke.) Wenn all das vom </w:t>
      </w:r>
      <w:r w:rsidRPr="00A06A59">
        <w:rPr>
          <w:rFonts w:ascii="Garamond" w:hAnsi="Garamond" w:cs="Arial"/>
          <w:i/>
          <w:iCs/>
          <w:color w:val="000000"/>
          <w:lang w:val="en-GB"/>
        </w:rPr>
        <w:t>Warten, bis ich sage</w:t>
      </w:r>
      <w:r w:rsidRPr="00A06A59">
        <w:rPr>
          <w:rFonts w:ascii="Garamond" w:hAnsi="Garamond" w:cs="Arial"/>
          <w:color w:val="000000"/>
          <w:lang w:val="en-GB"/>
        </w:rPr>
        <w:t xml:space="preserve"> usw., das Wort »schmutzig« im Traum umschreiben soll, so stimmt das </w:t>
      </w:r>
      <w:r w:rsidRPr="00A06A59">
        <w:rPr>
          <w:rFonts w:ascii="Garamond" w:hAnsi="Garamond" w:cs="Arial"/>
          <w:i/>
          <w:iCs/>
          <w:color w:val="000000"/>
          <w:lang w:val="en-GB"/>
        </w:rPr>
        <w:t>Im-Winkel-Stehen</w:t>
      </w:r>
      <w:r w:rsidRPr="00A06A59">
        <w:rPr>
          <w:rFonts w:ascii="Garamond" w:hAnsi="Garamond" w:cs="Arial"/>
          <w:color w:val="000000"/>
          <w:lang w:val="en-GB"/>
        </w:rPr>
        <w:t xml:space="preserve"> und das </w:t>
      </w:r>
      <w:r w:rsidRPr="00A06A59">
        <w:rPr>
          <w:rFonts w:ascii="Garamond" w:hAnsi="Garamond" w:cs="Arial"/>
          <w:i/>
          <w:iCs/>
          <w:color w:val="000000"/>
          <w:lang w:val="en-GB"/>
        </w:rPr>
        <w:t>Sich-nicht-ins-Bett-Legen</w:t>
      </w:r>
      <w:r w:rsidRPr="00A06A59">
        <w:rPr>
          <w:rFonts w:ascii="Garamond" w:hAnsi="Garamond" w:cs="Arial"/>
          <w:color w:val="000000"/>
          <w:lang w:val="en-GB"/>
        </w:rPr>
        <w:t xml:space="preserve"> dazu als Bestandteil einer Kinderszene, in der sie das Bett schmutzig gemacht hätte, zur Strafe </w:t>
      </w:r>
      <w:r w:rsidRPr="00A06A59">
        <w:rPr>
          <w:rFonts w:ascii="Garamond" w:hAnsi="Garamond" w:cs="Arial"/>
          <w:i/>
          <w:iCs/>
          <w:color w:val="000000"/>
          <w:lang w:val="en-GB"/>
        </w:rPr>
        <w:t>in den Winkel gestellt</w:t>
      </w:r>
      <w:r w:rsidRPr="00A06A59">
        <w:rPr>
          <w:rFonts w:ascii="Garamond" w:hAnsi="Garamond" w:cs="Arial"/>
          <w:color w:val="000000"/>
          <w:lang w:val="en-GB"/>
        </w:rPr>
        <w:t xml:space="preserve"> wird unter der Androhung, daß sie der Papa nicht mehr liebhaben werde, die Geschwister sie auslachen usw. Die </w:t>
      </w:r>
      <w:r w:rsidRPr="00A06A59">
        <w:rPr>
          <w:rFonts w:ascii="Garamond" w:hAnsi="Garamond" w:cs="Arial"/>
          <w:i/>
          <w:iCs/>
          <w:color w:val="000000"/>
          <w:lang w:val="en-GB"/>
        </w:rPr>
        <w:t>kleinen Quadrate</w:t>
      </w:r>
      <w:r w:rsidRPr="00A06A59">
        <w:rPr>
          <w:rFonts w:ascii="Garamond" w:hAnsi="Garamond" w:cs="Arial"/>
          <w:color w:val="000000"/>
          <w:lang w:val="en-GB"/>
        </w:rPr>
        <w:t xml:space="preserve"> zielen auf ihre kleine Nichte, die ihr die Rechenkunst gezeigt, wie man in neun Quadrate, glaube ich, Zahlen so einschreibt, daß sie addiert nach allen Richtungen fünfzehn ergeben.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eines Mannes: </w:t>
      </w:r>
      <w:r w:rsidRPr="00A06A59">
        <w:rPr>
          <w:rFonts w:ascii="Garamond" w:hAnsi="Garamond" w:cs="Arial"/>
          <w:i/>
          <w:iCs/>
          <w:color w:val="000000"/>
          <w:lang w:val="en-GB"/>
        </w:rPr>
        <w:t xml:space="preserve">Er sieht zwei Knaben, die sich balgen, und zwar Faßbinderknaben, wie er aus den herumliegenden Gerätschaften schließt; einer der Knaben hat den anderen niedergeworfen, der liegende Knabe hat Ohrringe mit blauen Steinen. Er eilt dem Missetäter mit erhobenem Stock nach, um ihn zu züchtigen. </w:t>
      </w:r>
      <w:r w:rsidRPr="00A06A59">
        <w:rPr>
          <w:rFonts w:ascii="Garamond" w:hAnsi="Garamond" w:cs="Arial"/>
          <w:i/>
          <w:iCs/>
          <w:color w:val="000000"/>
        </w:rPr>
        <w:t xml:space="preserve">Dieser flüchtet zu einer Frau, die bei einem Bretterzaun steht, als ob sie seine Mutter wäre. Esist eine Taglöhnersfrau, die dem Träumer den Rücken zuwendet. Endlich kehrt sie sich um und schaut ihn mit einem gräßlichen Blick an, so daß er erschreckt davonläuft. </w:t>
      </w:r>
      <w:r w:rsidRPr="00A06A59">
        <w:rPr>
          <w:rFonts w:ascii="Garamond" w:hAnsi="Garamond" w:cs="Arial"/>
          <w:i/>
          <w:iCs/>
          <w:color w:val="000000"/>
          <w:lang w:val="en-GB"/>
        </w:rPr>
        <w:t>An ihren Augen sieht man vom unteren Lid das rote Fleisch vorstehen.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hat triviale Begebenheiten des Vortags reichlich verwertet. Er hat gestern wirklich zwei Knaben auf der Straße gesehen, von denen einer den anderen hinwarf. Als er hinzueilte, um zu schlichten, ergriffen sie die Flucht. </w:t>
      </w:r>
      <w:r w:rsidRPr="00A06A59">
        <w:rPr>
          <w:rFonts w:ascii="Garamond" w:hAnsi="Garamond" w:cs="Arial"/>
          <w:i/>
          <w:iCs/>
          <w:color w:val="000000"/>
          <w:lang w:val="en-GB"/>
        </w:rPr>
        <w:t>Faßbinderknaben:</w:t>
      </w:r>
      <w:r w:rsidRPr="00A06A59">
        <w:rPr>
          <w:rFonts w:ascii="Garamond" w:hAnsi="Garamond" w:cs="Arial"/>
          <w:color w:val="000000"/>
          <w:lang w:val="en-GB"/>
        </w:rPr>
        <w:t xml:space="preserve"> wird erst durch einen nachfolgenden Traum erklärt, in dessen Analyse er die Redensart gebraucht: </w:t>
      </w:r>
      <w:r w:rsidRPr="00A06A59">
        <w:rPr>
          <w:rFonts w:ascii="Garamond" w:hAnsi="Garamond" w:cs="Arial"/>
          <w:i/>
          <w:iCs/>
          <w:color w:val="000000"/>
          <w:lang w:val="en-GB"/>
        </w:rPr>
        <w:t>Dem Faß den Boden ausschlagen.</w:t>
      </w:r>
      <w:r w:rsidRPr="00A06A59">
        <w:rPr>
          <w:rFonts w:ascii="Garamond" w:hAnsi="Garamond" w:cs="Arial"/>
          <w:color w:val="000000"/>
          <w:lang w:val="en-GB"/>
        </w:rPr>
        <w:t xml:space="preserve"> – Ohrringe mit blauen Steinen tragen nach seiner Beobachtung meist die </w:t>
      </w:r>
      <w:r w:rsidRPr="00A06A59">
        <w:rPr>
          <w:rFonts w:ascii="Garamond" w:hAnsi="Garamond" w:cs="Arial"/>
          <w:i/>
          <w:iCs/>
          <w:color w:val="000000"/>
          <w:lang w:val="en-GB"/>
        </w:rPr>
        <w:t>Prostituierten</w:t>
      </w:r>
      <w:r w:rsidRPr="00A06A59">
        <w:rPr>
          <w:rFonts w:ascii="Garamond" w:hAnsi="Garamond" w:cs="Arial"/>
          <w:color w:val="000000"/>
          <w:lang w:val="en-GB"/>
        </w:rPr>
        <w:t xml:space="preserve">. So fügt sich ein bekannter Klapphornvers von </w:t>
      </w:r>
      <w:r w:rsidRPr="00A06A59">
        <w:rPr>
          <w:rFonts w:ascii="Garamond" w:hAnsi="Garamond" w:cs="Arial"/>
          <w:i/>
          <w:iCs/>
          <w:color w:val="000000"/>
          <w:lang w:val="en-GB"/>
        </w:rPr>
        <w:t>zwei Knaben</w:t>
      </w:r>
      <w:r w:rsidRPr="00A06A59">
        <w:rPr>
          <w:rFonts w:ascii="Garamond" w:hAnsi="Garamond" w:cs="Arial"/>
          <w:color w:val="000000"/>
          <w:lang w:val="en-GB"/>
        </w:rPr>
        <w:t xml:space="preserve"> an: Der andere Knabe, der hieß Marie (d. h. war ein Mädchen). </w:t>
      </w:r>
      <w:r w:rsidRPr="00A06A59">
        <w:rPr>
          <w:rFonts w:ascii="Garamond" w:hAnsi="Garamond" w:cs="Arial"/>
          <w:i/>
          <w:iCs/>
          <w:color w:val="000000"/>
          <w:lang w:val="en-GB"/>
        </w:rPr>
        <w:t>Die stehende Frau:</w:t>
      </w:r>
      <w:r w:rsidRPr="00A06A59">
        <w:rPr>
          <w:rFonts w:ascii="Garamond" w:hAnsi="Garamond" w:cs="Arial"/>
          <w:color w:val="000000"/>
          <w:lang w:val="en-GB"/>
        </w:rPr>
        <w:t xml:space="preserve"> Nach der Szene mit den beiden Knaben ging er am Donauufer spazieren und benützte die Einsamkeit dort, um </w:t>
      </w:r>
      <w:r w:rsidRPr="00A06A59">
        <w:rPr>
          <w:rFonts w:ascii="Garamond" w:hAnsi="Garamond" w:cs="Arial"/>
          <w:i/>
          <w:iCs/>
          <w:color w:val="000000"/>
          <w:lang w:val="en-GB"/>
        </w:rPr>
        <w:t>gegen einen Bretterzaun</w:t>
      </w:r>
      <w:r w:rsidRPr="00A06A59">
        <w:rPr>
          <w:rFonts w:ascii="Garamond" w:hAnsi="Garamond" w:cs="Arial"/>
          <w:color w:val="000000"/>
          <w:lang w:val="en-GB"/>
        </w:rPr>
        <w:t xml:space="preserve"> zu urinieren. Auf dem weiteren Weg lächelte ihn eine anständig gekleidete ältere Dame sehr freundlich an und wollte ihm ihre Adreßkarte überreichen.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 die Frau im Traume so steht wie er beim Urinieren, so handelt es sich um ein urinierendes Weib, und dazu gehört dann der gräßliche » </w:t>
      </w:r>
      <w:r w:rsidRPr="00A06A59">
        <w:rPr>
          <w:rFonts w:ascii="Garamond" w:hAnsi="Garamond" w:cs="Arial"/>
          <w:i/>
          <w:iCs/>
          <w:color w:val="000000"/>
          <w:lang w:val="en-GB"/>
        </w:rPr>
        <w:t>Anblick</w:t>
      </w:r>
      <w:r w:rsidRPr="00A06A59">
        <w:rPr>
          <w:rFonts w:ascii="Garamond" w:hAnsi="Garamond" w:cs="Arial"/>
          <w:color w:val="000000"/>
          <w:lang w:val="en-GB"/>
        </w:rPr>
        <w:t xml:space="preserve">«, </w:t>
      </w:r>
      <w:r w:rsidRPr="00A06A59">
        <w:rPr>
          <w:rFonts w:ascii="Garamond" w:hAnsi="Garamond" w:cs="Arial"/>
          <w:i/>
          <w:iCs/>
          <w:color w:val="000000"/>
          <w:lang w:val="en-GB"/>
        </w:rPr>
        <w:t>das Vorstehen des roten Fleisches,</w:t>
      </w:r>
      <w:r w:rsidRPr="00A06A59">
        <w:rPr>
          <w:rFonts w:ascii="Garamond" w:hAnsi="Garamond" w:cs="Arial"/>
          <w:color w:val="000000"/>
          <w:lang w:val="en-GB"/>
        </w:rPr>
        <w:t xml:space="preserve"> was sich nur auf die beim Kauern klaffenden Genitalien beziehen kann, die, in der Kinderzeit gesehen, in der späteren Erinnerung als » </w:t>
      </w:r>
      <w:r w:rsidRPr="00A06A59">
        <w:rPr>
          <w:rFonts w:ascii="Garamond" w:hAnsi="Garamond" w:cs="Arial"/>
          <w:i/>
          <w:iCs/>
          <w:color w:val="000000"/>
          <w:lang w:val="en-GB"/>
        </w:rPr>
        <w:t>wildes Fleisch</w:t>
      </w:r>
      <w:r w:rsidRPr="00A06A59">
        <w:rPr>
          <w:rFonts w:ascii="Garamond" w:hAnsi="Garamond" w:cs="Arial"/>
          <w:color w:val="000000"/>
          <w:lang w:val="en-GB"/>
        </w:rPr>
        <w:t xml:space="preserve">«, als »Wunde« wieder auftreten. Der Traum vereinigt zwei Anlässe, bei denen der kleine Knabe die Genitalien kleiner Mädchen sehen konnte, beim </w:t>
      </w:r>
      <w:r w:rsidRPr="00A06A59">
        <w:rPr>
          <w:rFonts w:ascii="Garamond" w:hAnsi="Garamond" w:cs="Arial"/>
          <w:i/>
          <w:iCs/>
          <w:color w:val="000000"/>
          <w:lang w:val="en-GB"/>
        </w:rPr>
        <w:t>Hinwerfen</w:t>
      </w:r>
      <w:r w:rsidRPr="00A06A59">
        <w:rPr>
          <w:rFonts w:ascii="Garamond" w:hAnsi="Garamond" w:cs="Arial"/>
          <w:color w:val="000000"/>
          <w:lang w:val="en-GB"/>
        </w:rPr>
        <w:t xml:space="preserve"> und bei deren </w:t>
      </w:r>
      <w:r w:rsidRPr="00A06A59">
        <w:rPr>
          <w:rFonts w:ascii="Garamond" w:hAnsi="Garamond" w:cs="Arial"/>
          <w:i/>
          <w:iCs/>
          <w:color w:val="000000"/>
          <w:lang w:val="en-GB"/>
        </w:rPr>
        <w:t>Urinieren,</w:t>
      </w:r>
      <w:r w:rsidRPr="00A06A59">
        <w:rPr>
          <w:rFonts w:ascii="Garamond" w:hAnsi="Garamond" w:cs="Arial"/>
          <w:color w:val="000000"/>
          <w:lang w:val="en-GB"/>
        </w:rPr>
        <w:t xml:space="preserve"> und wie aus dem anderen Zusammenhange hervorgeht, bewahrt er die Erinnerung an eine </w:t>
      </w:r>
      <w:r w:rsidRPr="00A06A59">
        <w:rPr>
          <w:rFonts w:ascii="Garamond" w:hAnsi="Garamond" w:cs="Arial"/>
          <w:i/>
          <w:iCs/>
          <w:color w:val="000000"/>
          <w:lang w:val="en-GB"/>
        </w:rPr>
        <w:t>Züchtigung</w:t>
      </w:r>
      <w:r w:rsidRPr="00A06A59">
        <w:rPr>
          <w:rFonts w:ascii="Garamond" w:hAnsi="Garamond" w:cs="Arial"/>
          <w:color w:val="000000"/>
          <w:lang w:val="en-GB"/>
        </w:rPr>
        <w:t xml:space="preserve"> oder Drohung des Vaters wegen der von dem Buben bei diesen Anlässen bewiesenen sexuellen Neugierde.</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ganze Summe von Kindererinnerungen, zu einer Phantasie notdürftig vereinigt, findet sich hinter folgendem Traum einer älteren Dame.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 xml:space="preserve">Sie geht in Hetze aus, Kommissionen zu machen. Auf dem Graben sinkt sie dann, wie zusammengebrochen, in die Knie. Viele Leute sammeln sich um sie, besonders die Fiakerkutscher; aber niemand hilft ihr auf. Sie macht viele vergebliche Versuche; endlich muß es </w:t>
      </w:r>
      <w:r w:rsidRPr="00A06A59">
        <w:rPr>
          <w:rFonts w:ascii="Garamond" w:hAnsi="Garamond" w:cs="Arial"/>
          <w:i/>
          <w:iCs/>
          <w:color w:val="000000"/>
          <w:lang w:val="en-GB"/>
        </w:rPr>
        <w:lastRenderedPageBreak/>
        <w:t>gelungen sein, denn man setzt sie in einen Fiaker, der sie nach Hause bringen soll; durchsFenster wirft man ihr einen großen, schwer gefüllten Korb nach (ähnlich einem Einkaufskorb).</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dieselbe, die in ihren Träumen immer gehetzt wird, wie sie als Kind gehetzt hat. </w:t>
      </w:r>
      <w:r w:rsidRPr="00A06A59">
        <w:rPr>
          <w:rFonts w:ascii="Garamond" w:hAnsi="Garamond" w:cs="Arial"/>
          <w:color w:val="000000"/>
        </w:rPr>
        <w:t xml:space="preserve">Die erste Situation des Traumes ist offenbar von dem Anblick eines gestürzten Pferdes hergenommen, wie auch das »Zusammenbrechen« auf Wettrennen deutet. </w:t>
      </w:r>
      <w:r w:rsidRPr="00A06A59">
        <w:rPr>
          <w:rFonts w:ascii="Garamond" w:hAnsi="Garamond" w:cs="Arial"/>
          <w:color w:val="000000"/>
          <w:lang w:val="en-GB"/>
        </w:rPr>
        <w:t xml:space="preserve">Sie war in jungen Jahren </w:t>
      </w:r>
      <w:r w:rsidRPr="00A06A59">
        <w:rPr>
          <w:rFonts w:ascii="Garamond" w:hAnsi="Garamond" w:cs="Arial"/>
          <w:i/>
          <w:iCs/>
          <w:color w:val="000000"/>
          <w:lang w:val="en-GB"/>
        </w:rPr>
        <w:t>Reiterin</w:t>
      </w:r>
      <w:r w:rsidRPr="00A06A59">
        <w:rPr>
          <w:rFonts w:ascii="Garamond" w:hAnsi="Garamond" w:cs="Arial"/>
          <w:color w:val="000000"/>
          <w:lang w:val="en-GB"/>
        </w:rPr>
        <w:t xml:space="preserve">, in noch jüngeren wahrscheinlich auch </w:t>
      </w:r>
      <w:r w:rsidRPr="00A06A59">
        <w:rPr>
          <w:rFonts w:ascii="Garamond" w:hAnsi="Garamond" w:cs="Arial"/>
          <w:i/>
          <w:iCs/>
          <w:color w:val="000000"/>
          <w:lang w:val="en-GB"/>
        </w:rPr>
        <w:t>Pferd</w:t>
      </w:r>
      <w:r w:rsidRPr="00A06A59">
        <w:rPr>
          <w:rFonts w:ascii="Garamond" w:hAnsi="Garamond" w:cs="Arial"/>
          <w:color w:val="000000"/>
          <w:lang w:val="en-GB"/>
        </w:rPr>
        <w:t xml:space="preserve">. Zu dem </w:t>
      </w:r>
      <w:r w:rsidRPr="00A06A59">
        <w:rPr>
          <w:rFonts w:ascii="Garamond" w:hAnsi="Garamond" w:cs="Arial"/>
          <w:i/>
          <w:iCs/>
          <w:color w:val="000000"/>
          <w:lang w:val="en-GB"/>
        </w:rPr>
        <w:t>Hinstürzen</w:t>
      </w:r>
      <w:r w:rsidRPr="00A06A59">
        <w:rPr>
          <w:rFonts w:ascii="Garamond" w:hAnsi="Garamond" w:cs="Arial"/>
          <w:color w:val="000000"/>
          <w:lang w:val="en-GB"/>
        </w:rPr>
        <w:t xml:space="preserve"> gehört die erste Kindheitserinnerung an den siebzehnjährigen Sohn des Portiers, der, auf der Straße von epileptischen Krämpfen befallen, im Wagen nach Hause gebracht wurde. Davon hat sie natürlich nur gehört, aber die Vorstellung von epileptischen Krämpfen, vom » </w:t>
      </w:r>
      <w:r w:rsidRPr="00A06A59">
        <w:rPr>
          <w:rFonts w:ascii="Garamond" w:hAnsi="Garamond" w:cs="Arial"/>
          <w:i/>
          <w:iCs/>
          <w:color w:val="000000"/>
          <w:lang w:val="en-GB"/>
        </w:rPr>
        <w:t>Hinfallenden</w:t>
      </w:r>
      <w:r w:rsidRPr="00A06A59">
        <w:rPr>
          <w:rFonts w:ascii="Garamond" w:hAnsi="Garamond" w:cs="Arial"/>
          <w:color w:val="000000"/>
          <w:lang w:val="en-GB"/>
        </w:rPr>
        <w:t xml:space="preserve">« hat große Macht über ihre Phantasie gewonnen und später ihre eigenen hysterischen Anfälle in ihrer Form beeinflußt. – Wenn eine Frauensperson vom Fallen träumt, so hat das wohl regelmäßig einen sexuellen Sinn, sie wird eine » </w:t>
      </w:r>
      <w:r w:rsidRPr="00A06A59">
        <w:rPr>
          <w:rFonts w:ascii="Garamond" w:hAnsi="Garamond" w:cs="Arial"/>
          <w:i/>
          <w:iCs/>
          <w:color w:val="000000"/>
          <w:lang w:val="en-GB"/>
        </w:rPr>
        <w:t>Gefallene</w:t>
      </w:r>
      <w:r w:rsidRPr="00A06A59">
        <w:rPr>
          <w:rFonts w:ascii="Garamond" w:hAnsi="Garamond" w:cs="Arial"/>
          <w:color w:val="000000"/>
          <w:lang w:val="en-GB"/>
        </w:rPr>
        <w:t xml:space="preserve">«; für unseren Traum wird diese Deutung am wenigsten zweifelhaft sein, denn sie fällt auf dem </w:t>
      </w:r>
      <w:r w:rsidRPr="00A06A59">
        <w:rPr>
          <w:rFonts w:ascii="Garamond" w:hAnsi="Garamond" w:cs="Arial"/>
          <w:i/>
          <w:iCs/>
          <w:color w:val="000000"/>
          <w:lang w:val="en-GB"/>
        </w:rPr>
        <w:t>Graben</w:t>
      </w:r>
      <w:r w:rsidRPr="00A06A59">
        <w:rPr>
          <w:rFonts w:ascii="Garamond" w:hAnsi="Garamond" w:cs="Arial"/>
          <w:color w:val="000000"/>
          <w:lang w:val="en-GB"/>
        </w:rPr>
        <w:t xml:space="preserve">, jenem Platze von Wien, der als Korso der Prostitution bekannt ist. Der </w:t>
      </w:r>
      <w:r w:rsidRPr="00A06A59">
        <w:rPr>
          <w:rFonts w:ascii="Garamond" w:hAnsi="Garamond" w:cs="Arial"/>
          <w:i/>
          <w:iCs/>
          <w:color w:val="000000"/>
          <w:lang w:val="en-GB"/>
        </w:rPr>
        <w:t>Einkaufskorb</w:t>
      </w:r>
      <w:r w:rsidRPr="00A06A59">
        <w:rPr>
          <w:rFonts w:ascii="Garamond" w:hAnsi="Garamond" w:cs="Arial"/>
          <w:color w:val="000000"/>
          <w:lang w:val="en-GB"/>
        </w:rPr>
        <w:t xml:space="preserve"> gibt mehr als eine Deutung; als Korb erinnert er an die vielen </w:t>
      </w:r>
      <w:r w:rsidRPr="00A06A59">
        <w:rPr>
          <w:rFonts w:ascii="Garamond" w:hAnsi="Garamond" w:cs="Arial"/>
          <w:i/>
          <w:iCs/>
          <w:color w:val="000000"/>
          <w:lang w:val="en-GB"/>
        </w:rPr>
        <w:t>Körbe</w:t>
      </w:r>
      <w:r w:rsidRPr="00A06A59">
        <w:rPr>
          <w:rFonts w:ascii="Garamond" w:hAnsi="Garamond" w:cs="Arial"/>
          <w:color w:val="000000"/>
          <w:lang w:val="en-GB"/>
        </w:rPr>
        <w:t xml:space="preserve">, die sie zuerst ihren Freiern ausgeteilt und später, wie sie meint, sich auch selbst geholt hat. Dazu gehört dann auch, daß ihr </w:t>
      </w:r>
      <w:r w:rsidRPr="00A06A59">
        <w:rPr>
          <w:rFonts w:ascii="Garamond" w:hAnsi="Garamond" w:cs="Arial"/>
          <w:i/>
          <w:iCs/>
          <w:color w:val="000000"/>
          <w:lang w:val="en-GB"/>
        </w:rPr>
        <w:t>niemand aufhelfen will</w:t>
      </w:r>
      <w:r w:rsidRPr="00A06A59">
        <w:rPr>
          <w:rFonts w:ascii="Garamond" w:hAnsi="Garamond" w:cs="Arial"/>
          <w:color w:val="000000"/>
          <w:lang w:val="en-GB"/>
        </w:rPr>
        <w:t xml:space="preserve">, was sie selbst als Verschmähtwerden auslegt. Ferner erinnert der </w:t>
      </w:r>
      <w:r w:rsidRPr="00A06A59">
        <w:rPr>
          <w:rFonts w:ascii="Garamond" w:hAnsi="Garamond" w:cs="Arial"/>
          <w:i/>
          <w:iCs/>
          <w:color w:val="000000"/>
          <w:lang w:val="en-GB"/>
        </w:rPr>
        <w:t>Einkaufskorb</w:t>
      </w:r>
      <w:r w:rsidRPr="00A06A59">
        <w:rPr>
          <w:rFonts w:ascii="Garamond" w:hAnsi="Garamond" w:cs="Arial"/>
          <w:color w:val="000000"/>
          <w:lang w:val="en-GB"/>
        </w:rPr>
        <w:t xml:space="preserve"> an Phantasien, die der Analyse bereits bekannt geworden sind, in denen sie tief unter ihrem Stande geheiratet hat und nun selbst zu Markte einkaufen geht. Endlich aber könnte der Einkaufskorb als Zeichen einer </w:t>
      </w:r>
      <w:r w:rsidRPr="00A06A59">
        <w:rPr>
          <w:rFonts w:ascii="Garamond" w:hAnsi="Garamond" w:cs="Arial"/>
          <w:i/>
          <w:iCs/>
          <w:color w:val="000000"/>
          <w:lang w:val="en-GB"/>
        </w:rPr>
        <w:t>dienenden Person</w:t>
      </w:r>
      <w:r w:rsidRPr="00A06A59">
        <w:rPr>
          <w:rFonts w:ascii="Garamond" w:hAnsi="Garamond" w:cs="Arial"/>
          <w:color w:val="000000"/>
          <w:lang w:val="en-GB"/>
        </w:rPr>
        <w:t xml:space="preserve"> gedeutet werden. Dazu kommen nun weitere Kindheitserinnerungen, an eine Köchin, die weggeschickt wurde, weil sie stahl; die ist auch so </w:t>
      </w:r>
      <w:r w:rsidRPr="00A06A59">
        <w:rPr>
          <w:rFonts w:ascii="Garamond" w:hAnsi="Garamond" w:cs="Arial"/>
          <w:i/>
          <w:iCs/>
          <w:color w:val="000000"/>
          <w:lang w:val="en-GB"/>
        </w:rPr>
        <w:t>in die Knie gesunken</w:t>
      </w:r>
      <w:r w:rsidRPr="00A06A59">
        <w:rPr>
          <w:rFonts w:ascii="Garamond" w:hAnsi="Garamond" w:cs="Arial"/>
          <w:color w:val="000000"/>
          <w:lang w:val="en-GB"/>
        </w:rPr>
        <w:t xml:space="preserve"> und hat gefleht. Sie war damals zwölf Jahre alt. Dann an ein Stubenmädchen, das weggeschickt wurde, weil es sich mit dem </w:t>
      </w:r>
      <w:r w:rsidRPr="00A06A59">
        <w:rPr>
          <w:rFonts w:ascii="Garamond" w:hAnsi="Garamond" w:cs="Arial"/>
          <w:i/>
          <w:iCs/>
          <w:color w:val="000000"/>
          <w:lang w:val="en-GB"/>
        </w:rPr>
        <w:t>Kutscher</w:t>
      </w:r>
      <w:r w:rsidRPr="00A06A59">
        <w:rPr>
          <w:rFonts w:ascii="Garamond" w:hAnsi="Garamond" w:cs="Arial"/>
          <w:color w:val="000000"/>
          <w:lang w:val="en-GB"/>
        </w:rPr>
        <w:t xml:space="preserve"> des Hauses abgab, der sie übrigens später heiratete. Diese Erinnerung ergibt uns also eine Quelle für die </w:t>
      </w:r>
      <w:r w:rsidRPr="00A06A59">
        <w:rPr>
          <w:rFonts w:ascii="Garamond" w:hAnsi="Garamond" w:cs="Arial"/>
          <w:i/>
          <w:iCs/>
          <w:color w:val="000000"/>
          <w:lang w:val="en-GB"/>
        </w:rPr>
        <w:t>Kutscher</w:t>
      </w:r>
      <w:r w:rsidRPr="00A06A59">
        <w:rPr>
          <w:rFonts w:ascii="Garamond" w:hAnsi="Garamond" w:cs="Arial"/>
          <w:color w:val="000000"/>
          <w:lang w:val="en-GB"/>
        </w:rPr>
        <w:t xml:space="preserve"> im Traum (die sich im Gegensatz zur Wirklichkeit der Gefallenen nicht annehmen). Es bleibt aber noch das </w:t>
      </w:r>
      <w:r w:rsidRPr="00A06A59">
        <w:rPr>
          <w:rFonts w:ascii="Garamond" w:hAnsi="Garamond" w:cs="Arial"/>
          <w:i/>
          <w:iCs/>
          <w:color w:val="000000"/>
          <w:lang w:val="en-GB"/>
        </w:rPr>
        <w:t>Nachwerfen</w:t>
      </w:r>
      <w:r w:rsidRPr="00A06A59">
        <w:rPr>
          <w:rFonts w:ascii="Garamond" w:hAnsi="Garamond" w:cs="Arial"/>
          <w:color w:val="000000"/>
          <w:lang w:val="en-GB"/>
        </w:rPr>
        <w:t xml:space="preserve"> des Korbs, und zwar </w:t>
      </w:r>
      <w:r w:rsidRPr="00A06A59">
        <w:rPr>
          <w:rFonts w:ascii="Garamond" w:hAnsi="Garamond" w:cs="Arial"/>
          <w:i/>
          <w:iCs/>
          <w:color w:val="000000"/>
          <w:lang w:val="en-GB"/>
        </w:rPr>
        <w:t>durchs Fenster</w:t>
      </w:r>
      <w:r w:rsidRPr="00A06A59">
        <w:rPr>
          <w:rFonts w:ascii="Garamond" w:hAnsi="Garamond" w:cs="Arial"/>
          <w:color w:val="000000"/>
          <w:lang w:val="en-GB"/>
        </w:rPr>
        <w:t xml:space="preserve">, zu erklären. Das mahnt sie an das </w:t>
      </w:r>
      <w:r w:rsidRPr="00A06A59">
        <w:rPr>
          <w:rFonts w:ascii="Garamond" w:hAnsi="Garamond" w:cs="Arial"/>
          <w:i/>
          <w:iCs/>
          <w:color w:val="000000"/>
          <w:lang w:val="en-GB"/>
        </w:rPr>
        <w:t>Expedieren</w:t>
      </w:r>
      <w:r w:rsidRPr="00A06A59">
        <w:rPr>
          <w:rFonts w:ascii="Garamond" w:hAnsi="Garamond" w:cs="Arial"/>
          <w:color w:val="000000"/>
          <w:lang w:val="en-GB"/>
        </w:rPr>
        <w:t xml:space="preserve"> des Gepäcks auf der Eisenbahn, an das » </w:t>
      </w:r>
      <w:r w:rsidRPr="00A06A59">
        <w:rPr>
          <w:rFonts w:ascii="Garamond" w:hAnsi="Garamond" w:cs="Arial"/>
          <w:i/>
          <w:iCs/>
          <w:color w:val="000000"/>
          <w:lang w:val="en-GB"/>
        </w:rPr>
        <w:t>Fensterln</w:t>
      </w:r>
      <w:r w:rsidRPr="00A06A59">
        <w:rPr>
          <w:rFonts w:ascii="Garamond" w:hAnsi="Garamond" w:cs="Arial"/>
          <w:color w:val="000000"/>
          <w:lang w:val="en-GB"/>
        </w:rPr>
        <w:t xml:space="preserve">« auf dem Lande, an kleine Eindrücke von dem Landaufenthalte, wie ein Herr einer Dame </w:t>
      </w:r>
      <w:r w:rsidRPr="00A06A59">
        <w:rPr>
          <w:rFonts w:ascii="Garamond" w:hAnsi="Garamond" w:cs="Arial"/>
          <w:i/>
          <w:iCs/>
          <w:color w:val="000000"/>
          <w:lang w:val="en-GB"/>
        </w:rPr>
        <w:t>blaue Pflaumen durchs Fenster</w:t>
      </w:r>
      <w:r w:rsidRPr="00A06A59">
        <w:rPr>
          <w:rFonts w:ascii="Garamond" w:hAnsi="Garamond" w:cs="Arial"/>
          <w:color w:val="000000"/>
          <w:lang w:val="en-GB"/>
        </w:rPr>
        <w:t xml:space="preserve"> in ihr Zimmer wirft, wie ihre kleine Schwester sich gefürchtet, weil ein vorübergehender Trottel </w:t>
      </w:r>
      <w:r w:rsidRPr="00A06A59">
        <w:rPr>
          <w:rFonts w:ascii="Garamond" w:hAnsi="Garamond" w:cs="Arial"/>
          <w:i/>
          <w:iCs/>
          <w:color w:val="000000"/>
          <w:lang w:val="en-GB"/>
        </w:rPr>
        <w:t>durchs Fenster</w:t>
      </w:r>
      <w:r w:rsidRPr="00A06A59">
        <w:rPr>
          <w:rFonts w:ascii="Garamond" w:hAnsi="Garamond" w:cs="Arial"/>
          <w:color w:val="000000"/>
          <w:lang w:val="en-GB"/>
        </w:rPr>
        <w:t xml:space="preserve"> ins Zimmer sah. Und nun taucht dahinter eine dunkle Erinnerung aus dem zehnten Lebensjahre auf, von einer Bonne, die auf dem Lande Liebesszenen mit einem Diener des Hauses aufführte, von denen das Kind doch etwas gemerkt haben konnte, und die mitsamt ihrem Liebhaber » </w:t>
      </w:r>
      <w:r w:rsidRPr="00A06A59">
        <w:rPr>
          <w:rFonts w:ascii="Garamond" w:hAnsi="Garamond" w:cs="Arial"/>
          <w:i/>
          <w:iCs/>
          <w:color w:val="000000"/>
          <w:lang w:val="en-GB"/>
        </w:rPr>
        <w:t>expediert</w:t>
      </w:r>
      <w:r w:rsidRPr="00A06A59">
        <w:rPr>
          <w:rFonts w:ascii="Garamond" w:hAnsi="Garamond" w:cs="Arial"/>
          <w:color w:val="000000"/>
          <w:lang w:val="en-GB"/>
        </w:rPr>
        <w:t xml:space="preserve">«, » </w:t>
      </w:r>
      <w:r w:rsidRPr="00A06A59">
        <w:rPr>
          <w:rFonts w:ascii="Garamond" w:hAnsi="Garamond" w:cs="Arial"/>
          <w:i/>
          <w:iCs/>
          <w:color w:val="000000"/>
          <w:lang w:val="en-GB"/>
        </w:rPr>
        <w:t>hinausgeworfen</w:t>
      </w:r>
      <w:r w:rsidRPr="00A06A59">
        <w:rPr>
          <w:rFonts w:ascii="Garamond" w:hAnsi="Garamond" w:cs="Arial"/>
          <w:color w:val="000000"/>
          <w:lang w:val="en-GB"/>
        </w:rPr>
        <w:t xml:space="preserve">« wurde (im Traum der Gegensatz: » </w:t>
      </w:r>
      <w:r w:rsidRPr="00A06A59">
        <w:rPr>
          <w:rFonts w:ascii="Garamond" w:hAnsi="Garamond" w:cs="Arial"/>
          <w:i/>
          <w:iCs/>
          <w:color w:val="000000"/>
          <w:lang w:val="en-GB"/>
        </w:rPr>
        <w:t>hineingeworfen</w:t>
      </w:r>
      <w:r w:rsidRPr="00A06A59">
        <w:rPr>
          <w:rFonts w:ascii="Garamond" w:hAnsi="Garamond" w:cs="Arial"/>
          <w:color w:val="000000"/>
          <w:lang w:val="en-GB"/>
        </w:rPr>
        <w:t xml:space="preserve">«), eine Geschichte, der wir uns auch von mehreren anderen Wegen her genähert hatten. Das Gepäck, der Koffer einer dienenden Person, wird aber in Wien geringschätzig als die »sieben </w:t>
      </w:r>
      <w:r w:rsidRPr="00A06A59">
        <w:rPr>
          <w:rFonts w:ascii="Garamond" w:hAnsi="Garamond" w:cs="Arial"/>
          <w:i/>
          <w:iCs/>
          <w:color w:val="000000"/>
          <w:lang w:val="en-GB"/>
        </w:rPr>
        <w:t>Zwetschken</w:t>
      </w:r>
      <w:r w:rsidRPr="00A06A59">
        <w:rPr>
          <w:rFonts w:ascii="Garamond" w:hAnsi="Garamond" w:cs="Arial"/>
          <w:color w:val="000000"/>
          <w:lang w:val="en-GB"/>
        </w:rPr>
        <w:t>« bezeichnet. »Pack' deine sieben Zwetschken zusammen und geh'.«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 solchen Träumen von Patienten, deren Analyse zu dunkel oder gar nicht mehr erinnerten Kindereindrücken, oft aus den ersten drei Lebensjahren, führt, hat meine Sammlung natürlich überreichen Vorrat. Es ist aber mißlich, Schlüsse aus ihnen zu ziehen, die für den Traum im allgemeinen gelten sollen; es handelt sich ja regelmäßig um neurotische, speziell hysterische Personen, und die Rolle, welche den Kinderszenen in diesen Träumen zufällt, könnte durch die Natur der Neurose und nicht durch das Wesen des Traums bedingt sein. Indes begegnet es mir bei der Deutung meiner eigenen Träume, die ich doch nicht wegen grober Leidenssymptome unternehme, ebensooft, daß ich im latenten Trauminhalt unvermutet auf eine Infantilszene stoße und daß mir eine ganze Serie von Träumen mit einemmal in die von einem Kindererlebnis ausgehenden Bahnen einmündet. Beispiele hiefür habe ich schon erbracht, und ich werde noch bei verschiedenen Anlässen weitere erbringen. Vielleicht kann ich den ganzen Abschnitt nicht besser beschließen als durch Mitteilung einiger Träume, in denen rezente Anlässe und langvergessene Kindererlebnisse mitsammen als Traumquellen auftreten.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Nachdem ich gereist bin, müde und hungrig das Bett aufgesucht habe, melden sich im Schlafe die großen Bedürfnisse des Lebens und ich träume: </w:t>
      </w:r>
      <w:r w:rsidRPr="00A06A59">
        <w:rPr>
          <w:rFonts w:ascii="Garamond" w:hAnsi="Garamond" w:cs="Arial"/>
          <w:i/>
          <w:iCs/>
          <w:color w:val="000000"/>
          <w:lang w:val="en-GB"/>
        </w:rPr>
        <w:t>Ich gehe in eine Küche, um mir Mehlspeise geben zu lassen. Dort stehen drei Frauen, von denen eine die Wirtin ist und etwas in der Hand dreht, als ob sie Knödel machen würde. Sie antwortet, daß ich warten soll, bis sie fertig ist</w:t>
      </w:r>
      <w:r w:rsidRPr="00A06A59">
        <w:rPr>
          <w:rFonts w:ascii="Garamond" w:hAnsi="Garamond" w:cs="Arial"/>
          <w:color w:val="000000"/>
          <w:lang w:val="en-GB"/>
        </w:rPr>
        <w:t xml:space="preserve"> (nicht deutlich als Rede). </w:t>
      </w:r>
      <w:r w:rsidRPr="00A06A59">
        <w:rPr>
          <w:rFonts w:ascii="Garamond" w:hAnsi="Garamond" w:cs="Arial"/>
          <w:i/>
          <w:iCs/>
          <w:color w:val="000000"/>
          <w:lang w:val="en-GB"/>
        </w:rPr>
        <w:t>Ich werde ungeduldig und gehe beleidigt weg. Ich ziehe einen Überrock an; der erste, den ich versuche, ist mir aber zu lang. Ich ziehe ihn wieder aus, etwas überrascht, daß er Pelzbesatz hat. Ein zweiter, den ich anziehe, hat einen langen Streifen mit türkischer Zeichnung eingesetzt. Ein Fremdermit langem Gesicht und kurzem Spitzbart kommt hinzu und hindert mich am Anziehen, indem er ihn für den seinen erklärt. Ich zeige ihm nun, daß er über und über türkisch gestickt ist. Er fragt: Was gehen Sie die türkischen (Zeichnungen, Streifen...) an? Wir sind aber dann ganz freundlich miteinander.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In der Analyse dieses Traums fällt mir ganz unerwartet der erste Roman ein, den ich, vielleicht dreizehnjährig, gelesen, d. h. mit dem Ende des ersten Bandes begonnen habe. Den Namen des Romans und seines Autors habe ich nie gewußt, aber der Schluß ist mir nun in lebhafter Erinnerung. Der Held verfällt in Wahnsinn und ruft beständig die drei Frauennamen, die ihm im Leben das größte Glück und das Unheil bedeutet haben. </w:t>
      </w:r>
      <w:r w:rsidRPr="00A06A59">
        <w:rPr>
          <w:rFonts w:ascii="Garamond" w:hAnsi="Garamond" w:cs="Arial"/>
          <w:i/>
          <w:iCs/>
          <w:color w:val="000000"/>
          <w:lang w:val="en-GB"/>
        </w:rPr>
        <w:t>Pélagie</w:t>
      </w:r>
      <w:r w:rsidRPr="00A06A59">
        <w:rPr>
          <w:rFonts w:ascii="Garamond" w:hAnsi="Garamond" w:cs="Arial"/>
          <w:color w:val="000000"/>
          <w:lang w:val="en-GB"/>
        </w:rPr>
        <w:t xml:space="preserve"> ist einer dieser Namen. Noch weiß ich nicht, was ich mit diesem Einfall in der Analyse beginnen werde. Da tauchen zu den drei Frauen die </w:t>
      </w:r>
      <w:r w:rsidRPr="00A06A59">
        <w:rPr>
          <w:rFonts w:ascii="Garamond" w:hAnsi="Garamond" w:cs="Arial"/>
          <w:color w:val="000000"/>
          <w:lang w:val="en-GB"/>
        </w:rPr>
        <w:lastRenderedPageBreak/>
        <w:t xml:space="preserve">drei Parzen auf, die das Geschick des Menschen spinnen, und ich weiß, daß eine der drei Frauen, die Wirtin im Traum, die Mutter ist, die das Leben gibt, mitunter auch, wie bei mir, dem Lebenden die erste Nahrung. An der Frauenbrust treffen sich Liebe und Hunger. Ein junger Mann, erzählt die Anekdote, der ein großer Verehrer der Frauenschönheit wurde, äußerte einmal, als die Rede auf die schöne Amme kam, die ihn als Säugling genährt: es tue ihm leid, die gute Gelegenheit damals nicht besser ausgenützt zu haben. Ich pflege mich der Anekdote zur Erläuterung für das Moment der </w:t>
      </w:r>
      <w:r w:rsidRPr="00A06A59">
        <w:rPr>
          <w:rFonts w:ascii="Garamond" w:hAnsi="Garamond" w:cs="Arial"/>
          <w:i/>
          <w:iCs/>
          <w:color w:val="000000"/>
          <w:lang w:val="en-GB"/>
        </w:rPr>
        <w:t>Nachträglichkeit</w:t>
      </w:r>
      <w:r w:rsidRPr="00A06A59">
        <w:rPr>
          <w:rFonts w:ascii="Garamond" w:hAnsi="Garamond" w:cs="Arial"/>
          <w:color w:val="000000"/>
          <w:lang w:val="en-GB"/>
        </w:rPr>
        <w:t xml:space="preserve"> in dem Mechanismus der Psychoneurosen zu bedienen. – Die eine der Parzen also reibt die Handflächen aneinander, als ob sie </w:t>
      </w:r>
      <w:r w:rsidRPr="00A06A59">
        <w:rPr>
          <w:rFonts w:ascii="Garamond" w:hAnsi="Garamond" w:cs="Arial"/>
          <w:i/>
          <w:iCs/>
          <w:color w:val="000000"/>
          <w:lang w:val="en-GB"/>
        </w:rPr>
        <w:t>Knödel</w:t>
      </w:r>
      <w:r w:rsidRPr="00A06A59">
        <w:rPr>
          <w:rFonts w:ascii="Garamond" w:hAnsi="Garamond" w:cs="Arial"/>
          <w:color w:val="000000"/>
          <w:lang w:val="en-GB"/>
        </w:rPr>
        <w:t xml:space="preserve"> machen würde. Eine sonderbare Beschäftigung für eine Parze, welche dringend der Aufklärung bedarf! Diese kommt nun aus einer anderen und früheren Kindererinnerung. Als ich sechs Jahre alt war und den ersten Unterricht bei meiner Mutter genoß, sollte ich glauben, daß wir aus Erde gemacht sind und darum zur Erde zurückkehren müssen. Es behagte mir aber nicht, und ich zweifelte die Lehre an. Da rieb die Mutter die Handflächen aneinander – ganz ähnlich wie beim Knödelmachen, nur daß sich kein Teig zwischen ihnen befindet – und zeigte mir die schwärzlichen </w:t>
      </w:r>
      <w:r w:rsidRPr="00A06A59">
        <w:rPr>
          <w:rFonts w:ascii="Garamond" w:hAnsi="Garamond" w:cs="Arial"/>
          <w:i/>
          <w:iCs/>
          <w:color w:val="000000"/>
          <w:lang w:val="en-GB"/>
        </w:rPr>
        <w:t>Epidermis</w:t>
      </w:r>
      <w:r w:rsidRPr="00A06A59">
        <w:rPr>
          <w:rFonts w:ascii="Garamond" w:hAnsi="Garamond" w:cs="Arial"/>
          <w:color w:val="000000"/>
          <w:lang w:val="en-GB"/>
        </w:rPr>
        <w:t xml:space="preserve">schuppen, die sich dabei abreiben, als eine Probe der Erde, aus der wir gemacht sind, vor. Mein Erstaunen über diese Demonstration </w:t>
      </w:r>
      <w:r w:rsidRPr="00A06A59">
        <w:rPr>
          <w:rFonts w:ascii="Garamond" w:hAnsi="Garamond" w:cs="Arial"/>
          <w:i/>
          <w:iCs/>
          <w:color w:val="000000"/>
          <w:lang w:val="en-GB"/>
        </w:rPr>
        <w:t>ad oculos</w:t>
      </w:r>
      <w:r w:rsidRPr="00A06A59">
        <w:rPr>
          <w:rFonts w:ascii="Garamond" w:hAnsi="Garamond" w:cs="Arial"/>
          <w:color w:val="000000"/>
          <w:lang w:val="en-GB"/>
        </w:rPr>
        <w:t xml:space="preserve"> war grenzenlos, und ich ergab mich in das, was ich später in den Worten ausgedrückt hören sollte: »Du bist der Natur einen Tod schuldig.« </w:t>
      </w:r>
      <w:hyperlink r:id="rId93" w:anchor="#" w:history="1">
        <w:r w:rsidRPr="00A06A59">
          <w:rPr>
            <w:rStyle w:val="fusslink"/>
            <w:rFonts w:ascii="Garamond" w:hAnsi="Garamond" w:cs="Arial"/>
            <w:b/>
            <w:bCs/>
            <w:color w:val="003399"/>
          </w:rPr>
          <w:t>[Fußnote]</w:t>
        </w:r>
        <w:r w:rsidRPr="00A06A59">
          <w:rPr>
            <w:rStyle w:val="innerfusslink3"/>
            <w:rFonts w:ascii="Garamond" w:hAnsi="Garamond" w:cs="Arial"/>
            <w:b/>
            <w:bCs/>
          </w:rPr>
          <w:t>Beide zu diesen Kinderszenen gehörigen Affekte, das Erstaunen und die Ergebung ins Unvermeidliche, fanden sich in einem Traum kurz vorher, der mir zuerst die Erinnerung an dieses Kindererlebnis wiederbrachte.</w:t>
        </w:r>
      </w:hyperlink>
      <w:r w:rsidRPr="00A06A59">
        <w:rPr>
          <w:rFonts w:ascii="Garamond" w:hAnsi="Garamond" w:cs="Arial"/>
          <w:color w:val="000000"/>
        </w:rPr>
        <w:t xml:space="preserve"> </w:t>
      </w:r>
      <w:r w:rsidRPr="00A06A59">
        <w:rPr>
          <w:rFonts w:ascii="Garamond" w:hAnsi="Garamond" w:cs="Arial"/>
          <w:color w:val="000000"/>
          <w:lang w:val="en-GB"/>
        </w:rPr>
        <w:t xml:space="preserve">So sind es also wirklich Parzen, zu denen ich in die Küche gehe, wie so oft in den Kinderjahren, wenn ich hungrig war und die Mutter beim Herd mich mahnte zu warten, bis das Mittagessen fertig sei. Und nun die </w:t>
      </w:r>
      <w:r w:rsidRPr="00A06A59">
        <w:rPr>
          <w:rFonts w:ascii="Garamond" w:hAnsi="Garamond" w:cs="Arial"/>
          <w:i/>
          <w:iCs/>
          <w:color w:val="000000"/>
          <w:lang w:val="en-GB"/>
        </w:rPr>
        <w:t>Knödel!</w:t>
      </w:r>
      <w:r w:rsidRPr="00A06A59">
        <w:rPr>
          <w:rFonts w:ascii="Garamond" w:hAnsi="Garamond" w:cs="Arial"/>
          <w:color w:val="000000"/>
          <w:lang w:val="en-GB"/>
        </w:rPr>
        <w:t xml:space="preserve"> Wenigstens einer meiner Universitätslehrer, aber gerade der, dem ich meine </w:t>
      </w:r>
      <w:r w:rsidRPr="00A06A59">
        <w:rPr>
          <w:rFonts w:ascii="Garamond" w:hAnsi="Garamond" w:cs="Arial"/>
          <w:i/>
          <w:iCs/>
          <w:color w:val="000000"/>
          <w:lang w:val="en-GB"/>
        </w:rPr>
        <w:t>histologischen</w:t>
      </w:r>
      <w:r w:rsidRPr="00A06A59">
        <w:rPr>
          <w:rFonts w:ascii="Garamond" w:hAnsi="Garamond" w:cs="Arial"/>
          <w:color w:val="000000"/>
          <w:lang w:val="en-GB"/>
        </w:rPr>
        <w:t xml:space="preserve"> Kenntnisse ( </w:t>
      </w:r>
      <w:r w:rsidRPr="00A06A59">
        <w:rPr>
          <w:rFonts w:ascii="Garamond" w:hAnsi="Garamond" w:cs="Arial"/>
          <w:i/>
          <w:iCs/>
          <w:color w:val="000000"/>
          <w:lang w:val="en-GB"/>
        </w:rPr>
        <w:t>Epidermis</w:t>
      </w:r>
      <w:r w:rsidRPr="00A06A59">
        <w:rPr>
          <w:rFonts w:ascii="Garamond" w:hAnsi="Garamond" w:cs="Arial"/>
          <w:color w:val="000000"/>
          <w:lang w:val="en-GB"/>
        </w:rPr>
        <w:t xml:space="preserve">) verdanke, wird sich bei dem Namen </w:t>
      </w:r>
      <w:r w:rsidRPr="00A06A59">
        <w:rPr>
          <w:rFonts w:ascii="Garamond" w:hAnsi="Garamond" w:cs="Arial"/>
          <w:i/>
          <w:iCs/>
          <w:color w:val="000000"/>
          <w:lang w:val="en-GB"/>
        </w:rPr>
        <w:t>Knödl</w:t>
      </w:r>
      <w:r w:rsidRPr="00A06A59">
        <w:rPr>
          <w:rFonts w:ascii="Garamond" w:hAnsi="Garamond" w:cs="Arial"/>
          <w:color w:val="000000"/>
          <w:lang w:val="en-GB"/>
        </w:rPr>
        <w:t xml:space="preserve"> an eine Person erinnern, die er belangen mußte, weil sie ein </w:t>
      </w:r>
      <w:r w:rsidRPr="00A06A59">
        <w:rPr>
          <w:rFonts w:ascii="Garamond" w:hAnsi="Garamond" w:cs="Arial"/>
          <w:i/>
          <w:iCs/>
          <w:color w:val="000000"/>
          <w:lang w:val="en-GB"/>
        </w:rPr>
        <w:t>Plagiat</w:t>
      </w:r>
      <w:r w:rsidRPr="00A06A59">
        <w:rPr>
          <w:rFonts w:ascii="Garamond" w:hAnsi="Garamond" w:cs="Arial"/>
          <w:color w:val="000000"/>
          <w:lang w:val="en-GB"/>
        </w:rPr>
        <w:t xml:space="preserve"> an seinen Schriften begangen hatte. Ein Plagiat begehen, sich aneignen, was man bekommen kann, auch wenn es einem andern gehört, leitet offenbar zum zweiten Teil des Traumes, in dem ich wie der </w:t>
      </w:r>
      <w:r w:rsidRPr="00A06A59">
        <w:rPr>
          <w:rFonts w:ascii="Garamond" w:hAnsi="Garamond" w:cs="Arial"/>
          <w:i/>
          <w:iCs/>
          <w:color w:val="000000"/>
          <w:lang w:val="en-GB"/>
        </w:rPr>
        <w:t>Überrockdieb</w:t>
      </w:r>
      <w:r w:rsidRPr="00A06A59">
        <w:rPr>
          <w:rFonts w:ascii="Garamond" w:hAnsi="Garamond" w:cs="Arial"/>
          <w:color w:val="000000"/>
          <w:lang w:val="en-GB"/>
        </w:rPr>
        <w:t xml:space="preserve"> behandelt werde, der eine Zeitlang in den Hörsälen sein Wesen trieb. Ich habe den Ausdruck </w:t>
      </w:r>
      <w:r w:rsidRPr="00A06A59">
        <w:rPr>
          <w:rFonts w:ascii="Garamond" w:hAnsi="Garamond" w:cs="Arial"/>
          <w:i/>
          <w:iCs/>
          <w:color w:val="000000"/>
          <w:lang w:val="en-GB"/>
        </w:rPr>
        <w:t>Plagiat</w:t>
      </w:r>
      <w:r w:rsidRPr="00A06A59">
        <w:rPr>
          <w:rFonts w:ascii="Garamond" w:hAnsi="Garamond" w:cs="Arial"/>
          <w:color w:val="000000"/>
          <w:lang w:val="en-GB"/>
        </w:rPr>
        <w:t xml:space="preserve"> niedergeschrieben, absichtslos, weil er sich mir darbot, und nun merke ich, daß er als Brücke zwischen verschiedenen Stücken des manifesten Trauminhalts dienen kann. Die Assoziationskette </w:t>
      </w:r>
      <w:r w:rsidRPr="00A06A59">
        <w:rPr>
          <w:rFonts w:ascii="Garamond" w:hAnsi="Garamond" w:cs="Arial"/>
          <w:i/>
          <w:iCs/>
          <w:color w:val="000000"/>
          <w:lang w:val="en-GB"/>
        </w:rPr>
        <w:t>Pelagie – Plagiat – Plagiostomen</w:t>
      </w:r>
      <w:hyperlink r:id="rId9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 Plagiostomen ergänze ich nicht willkürlich; sie mahnen mich an eine ärgerliche Gelegenheit von Blamage vor demselben Lehrer.</w:t>
        </w:r>
      </w:hyperlink>
      <w:r w:rsidRPr="00A06A59">
        <w:rPr>
          <w:rFonts w:ascii="Garamond" w:hAnsi="Garamond" w:cs="Arial"/>
          <w:i/>
          <w:iCs/>
          <w:color w:val="000000"/>
        </w:rPr>
        <w:t>(Haifische) – Fischblase</w:t>
      </w:r>
      <w:r w:rsidRPr="00A06A59">
        <w:rPr>
          <w:rFonts w:ascii="Garamond" w:hAnsi="Garamond" w:cs="Arial"/>
          <w:color w:val="000000"/>
        </w:rPr>
        <w:t xml:space="preserve"> verbindet den alten Roman mit der Affäre </w:t>
      </w:r>
      <w:r w:rsidRPr="00A06A59">
        <w:rPr>
          <w:rFonts w:ascii="Garamond" w:hAnsi="Garamond" w:cs="Arial"/>
          <w:i/>
          <w:iCs/>
          <w:color w:val="000000"/>
        </w:rPr>
        <w:t>Knödl</w:t>
      </w:r>
      <w:r w:rsidRPr="00A06A59">
        <w:rPr>
          <w:rFonts w:ascii="Garamond" w:hAnsi="Garamond" w:cs="Arial"/>
          <w:color w:val="000000"/>
        </w:rPr>
        <w:t xml:space="preserve"> und mit den Überziehern, die ja offenbar ein Gerät der sexuellen Technik bedeuten. (Vgl. </w:t>
      </w:r>
      <w:r w:rsidRPr="00A06A59">
        <w:rPr>
          <w:rFonts w:ascii="Garamond" w:hAnsi="Garamond" w:cs="Arial"/>
          <w:i/>
          <w:iCs/>
          <w:color w:val="000000"/>
        </w:rPr>
        <w:t>Maury</w:t>
      </w:r>
      <w:r w:rsidRPr="00A06A59">
        <w:rPr>
          <w:rFonts w:ascii="Garamond" w:hAnsi="Garamond" w:cs="Arial"/>
          <w:color w:val="000000"/>
        </w:rPr>
        <w:t xml:space="preserve">s Traum von </w:t>
      </w:r>
      <w:r w:rsidRPr="00A06A59">
        <w:rPr>
          <w:rFonts w:ascii="Garamond" w:hAnsi="Garamond" w:cs="Arial"/>
          <w:i/>
          <w:iCs/>
          <w:color w:val="000000"/>
        </w:rPr>
        <w:t>Kilo – Lotto</w:t>
      </w:r>
      <w:r w:rsidRPr="00A06A59">
        <w:rPr>
          <w:rFonts w:ascii="Garamond" w:hAnsi="Garamond" w:cs="Arial"/>
          <w:color w:val="000000"/>
        </w:rPr>
        <w:t xml:space="preserve">, S. 42.) Eine höchst gezwungene und unsinnige Verbindung zwar, aber doch keine, die ich im Wachen herstellen könnte, wenn sie nicht schon durch die Traumarbeit hergestellt wäre. Ja, als ob dem Drang, Verbindungen zu erzwingen, gar nichts heilig wäre, dient nun der teure Name </w:t>
      </w:r>
      <w:r w:rsidRPr="00A06A59">
        <w:rPr>
          <w:rFonts w:ascii="Garamond" w:hAnsi="Garamond" w:cs="Arial"/>
          <w:i/>
          <w:iCs/>
          <w:color w:val="000000"/>
        </w:rPr>
        <w:t>Brücke</w:t>
      </w:r>
      <w:r w:rsidRPr="00A06A59">
        <w:rPr>
          <w:rFonts w:ascii="Garamond" w:hAnsi="Garamond" w:cs="Arial"/>
          <w:color w:val="000000"/>
        </w:rPr>
        <w:t xml:space="preserve"> ( </w:t>
      </w:r>
      <w:r w:rsidRPr="00A06A59">
        <w:rPr>
          <w:rFonts w:ascii="Garamond" w:hAnsi="Garamond" w:cs="Arial"/>
          <w:i/>
          <w:iCs/>
          <w:color w:val="000000"/>
        </w:rPr>
        <w:t>Wortbrücke</w:t>
      </w:r>
      <w:r w:rsidRPr="00A06A59">
        <w:rPr>
          <w:rFonts w:ascii="Garamond" w:hAnsi="Garamond" w:cs="Arial"/>
          <w:color w:val="000000"/>
        </w:rPr>
        <w:t xml:space="preserve"> siehe oben) dazu, mich an dasselbe Institut zu erinnern, in dem ich meine glücklichsten Stunden als Schüler verbracht, sonst ganz bedürfnislos</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(»So wird's Euch an der Weisheit </w:t>
      </w:r>
      <w:r w:rsidRPr="00A06A59">
        <w:rPr>
          <w:rFonts w:ascii="Garamond" w:hAnsi="Garamond" w:cs="Arial"/>
          <w:i/>
          <w:iCs/>
          <w:color w:val="000000"/>
          <w:sz w:val="22"/>
          <w:szCs w:val="22"/>
          <w:lang w:val="en-GB"/>
        </w:rPr>
        <w:t xml:space="preserve">Brüsten </w:t>
      </w:r>
      <w:r w:rsidRPr="00A06A59">
        <w:rPr>
          <w:rFonts w:ascii="Garamond" w:hAnsi="Garamond" w:cs="Arial"/>
          <w:i/>
          <w:iCs/>
          <w:color w:val="000000"/>
          <w:sz w:val="22"/>
          <w:szCs w:val="22"/>
          <w:lang w:val="en-GB"/>
        </w:rPr>
        <w:br/>
      </w:r>
      <w:r w:rsidRPr="00A06A59">
        <w:rPr>
          <w:rFonts w:ascii="Garamond" w:hAnsi="Garamond" w:cs="Arial"/>
          <w:color w:val="000000"/>
          <w:sz w:val="22"/>
          <w:szCs w:val="22"/>
          <w:lang w:val="en-GB"/>
        </w:rPr>
        <w:t>mit jedem Tage mehr gelüsten«),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im vollsten Gegensatz zu den Begierden, die mich, während ich träume, </w:t>
      </w:r>
      <w:r w:rsidRPr="00A06A59">
        <w:rPr>
          <w:rFonts w:ascii="Garamond" w:hAnsi="Garamond" w:cs="Arial"/>
          <w:i/>
          <w:iCs/>
          <w:color w:val="000000"/>
          <w:lang w:val="en-GB"/>
        </w:rPr>
        <w:t>plagen</w:t>
      </w:r>
      <w:r w:rsidRPr="00A06A59">
        <w:rPr>
          <w:rFonts w:ascii="Garamond" w:hAnsi="Garamond" w:cs="Arial"/>
          <w:color w:val="000000"/>
          <w:lang w:val="en-GB"/>
        </w:rPr>
        <w:t xml:space="preserve">. Und endlich taucht die Erinnerung an einen anderen teuren Lehrer auf, dessen Name wiederum an etwas Eßbares anklingt ( </w:t>
      </w:r>
      <w:r w:rsidRPr="00A06A59">
        <w:rPr>
          <w:rFonts w:ascii="Garamond" w:hAnsi="Garamond" w:cs="Arial"/>
          <w:i/>
          <w:iCs/>
          <w:color w:val="000000"/>
          <w:lang w:val="en-GB"/>
        </w:rPr>
        <w:t>Fleischl</w:t>
      </w:r>
      <w:r w:rsidRPr="00A06A59">
        <w:rPr>
          <w:rFonts w:ascii="Garamond" w:hAnsi="Garamond" w:cs="Arial"/>
          <w:color w:val="000000"/>
          <w:lang w:val="en-GB"/>
        </w:rPr>
        <w:t xml:space="preserve">, wie </w:t>
      </w:r>
      <w:r w:rsidRPr="00A06A59">
        <w:rPr>
          <w:rFonts w:ascii="Garamond" w:hAnsi="Garamond" w:cs="Arial"/>
          <w:i/>
          <w:iCs/>
          <w:color w:val="000000"/>
          <w:lang w:val="en-GB"/>
        </w:rPr>
        <w:t>Knödl</w:t>
      </w:r>
      <w:r w:rsidRPr="00A06A59">
        <w:rPr>
          <w:rFonts w:ascii="Garamond" w:hAnsi="Garamond" w:cs="Arial"/>
          <w:color w:val="000000"/>
          <w:lang w:val="en-GB"/>
        </w:rPr>
        <w:t xml:space="preserve">), und an eine traurige Szene, in der </w:t>
      </w:r>
      <w:r w:rsidRPr="00A06A59">
        <w:rPr>
          <w:rFonts w:ascii="Garamond" w:hAnsi="Garamond" w:cs="Arial"/>
          <w:i/>
          <w:iCs/>
          <w:color w:val="000000"/>
          <w:lang w:val="en-GB"/>
        </w:rPr>
        <w:t>Epidermisschuppen</w:t>
      </w:r>
      <w:r w:rsidRPr="00A06A59">
        <w:rPr>
          <w:rFonts w:ascii="Garamond" w:hAnsi="Garamond" w:cs="Arial"/>
          <w:color w:val="000000"/>
          <w:lang w:val="en-GB"/>
        </w:rPr>
        <w:t xml:space="preserve"> eine Rolle spielen (die Mutter Wirtin) und Geistesstörung (der Roman) und ein Mittel aus der lateinischen </w:t>
      </w:r>
      <w:r w:rsidRPr="00A06A59">
        <w:rPr>
          <w:rFonts w:ascii="Garamond" w:hAnsi="Garamond" w:cs="Arial"/>
          <w:i/>
          <w:iCs/>
          <w:color w:val="000000"/>
          <w:lang w:val="en-GB"/>
        </w:rPr>
        <w:t>Küche</w:t>
      </w:r>
      <w:r w:rsidRPr="00A06A59">
        <w:rPr>
          <w:rFonts w:ascii="Garamond" w:hAnsi="Garamond" w:cs="Arial"/>
          <w:color w:val="000000"/>
          <w:lang w:val="en-GB"/>
        </w:rPr>
        <w:t xml:space="preserve">, das den </w:t>
      </w:r>
      <w:r w:rsidRPr="00A06A59">
        <w:rPr>
          <w:rFonts w:ascii="Garamond" w:hAnsi="Garamond" w:cs="Arial"/>
          <w:i/>
          <w:iCs/>
          <w:color w:val="000000"/>
          <w:lang w:val="en-GB"/>
        </w:rPr>
        <w:t>Hunger</w:t>
      </w:r>
      <w:r w:rsidRPr="00A06A59">
        <w:rPr>
          <w:rFonts w:ascii="Garamond" w:hAnsi="Garamond" w:cs="Arial"/>
          <w:color w:val="000000"/>
          <w:lang w:val="en-GB"/>
        </w:rPr>
        <w:t xml:space="preserve"> benimmt, das Kokain.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 könnte ich den verschlungenen Gedankenwegen weiter folgen und das in der Analyse fehlende Stück des Traums voll aufklären, aber ich muß es unterlassen, weil die persönlichen Opfer, die es erfordern würde, zu groß sind. Ich greife nur einen der Fäden auf, der direkt zu einem der dem Gewirre zugrunde liegenden Traumgedanken führen kann. Der Fremde mit langem Gesicht und Spitzbart, der mich am Anziehen hindern will, trägt die Züge eines Kaufmannes in Spalato, bei dem meine Frau reichlich </w:t>
      </w:r>
      <w:r w:rsidRPr="00A06A59">
        <w:rPr>
          <w:rFonts w:ascii="Garamond" w:hAnsi="Garamond" w:cs="Arial"/>
          <w:i/>
          <w:iCs/>
          <w:color w:val="000000"/>
          <w:lang w:val="en-GB"/>
        </w:rPr>
        <w:t>türkische</w:t>
      </w:r>
      <w:r w:rsidRPr="00A06A59">
        <w:rPr>
          <w:rFonts w:ascii="Garamond" w:hAnsi="Garamond" w:cs="Arial"/>
          <w:color w:val="000000"/>
          <w:lang w:val="en-GB"/>
        </w:rPr>
        <w:t xml:space="preserve"> Stoffe eingekauft hat. Er hieß </w:t>
      </w:r>
      <w:r w:rsidRPr="00A06A59">
        <w:rPr>
          <w:rFonts w:ascii="Garamond" w:hAnsi="Garamond" w:cs="Arial"/>
          <w:i/>
          <w:iCs/>
          <w:color w:val="000000"/>
          <w:lang w:val="en-GB"/>
        </w:rPr>
        <w:t>Popoviæ</w:t>
      </w:r>
      <w:r w:rsidRPr="00A06A59">
        <w:rPr>
          <w:rFonts w:ascii="Garamond" w:hAnsi="Garamond" w:cs="Arial"/>
          <w:color w:val="000000"/>
          <w:lang w:val="en-GB"/>
        </w:rPr>
        <w:t xml:space="preserve">, ein verdächtiger Name, der auch dem Humoristen </w:t>
      </w:r>
      <w:r w:rsidRPr="00A06A59">
        <w:rPr>
          <w:rFonts w:ascii="Garamond" w:hAnsi="Garamond" w:cs="Arial"/>
          <w:i/>
          <w:iCs/>
          <w:color w:val="000000"/>
          <w:lang w:val="en-GB"/>
        </w:rPr>
        <w:t>Stettenheim</w:t>
      </w:r>
      <w:r w:rsidRPr="00A06A59">
        <w:rPr>
          <w:rFonts w:ascii="Garamond" w:hAnsi="Garamond" w:cs="Arial"/>
          <w:color w:val="000000"/>
          <w:lang w:val="en-GB"/>
        </w:rPr>
        <w:t xml:space="preserve"> zu einer andeutungsvollen Bemerkung Anlaß gegeben hat. (»Er nannte mir seinen Namen und drückte mir errötend die Hand.«) Übrigens derselbe Mißbrauch mit Namen wie oben mit </w:t>
      </w:r>
      <w:r w:rsidRPr="00A06A59">
        <w:rPr>
          <w:rFonts w:ascii="Garamond" w:hAnsi="Garamond" w:cs="Arial"/>
          <w:i/>
          <w:iCs/>
          <w:color w:val="000000"/>
          <w:lang w:val="en-GB"/>
        </w:rPr>
        <w:t>Pélagie, Knödl, Brücke, Fleischl</w:t>
      </w:r>
      <w:r w:rsidRPr="00A06A59">
        <w:rPr>
          <w:rFonts w:ascii="Garamond" w:hAnsi="Garamond" w:cs="Arial"/>
          <w:color w:val="000000"/>
          <w:lang w:val="en-GB"/>
        </w:rPr>
        <w:t xml:space="preserve">. Daß solche Namenspielerei Kinderunart ist, darf man ohne Widerspruch behaupten; wenn ich mich in ihr ergehe, ist es aber ein Akt der Vergeltung, denn mein eigener Name ist unzählige Male solchen schwachsinnigen Witzeleien zum Opfer gefallen. Goethe bemerkt einmal, wie empfindlich man für seinen Namen ist, mit dem man sich verwachsen fühlt wie mit seiner </w:t>
      </w:r>
      <w:r w:rsidRPr="00A06A59">
        <w:rPr>
          <w:rFonts w:ascii="Garamond" w:hAnsi="Garamond" w:cs="Arial"/>
          <w:i/>
          <w:iCs/>
          <w:color w:val="000000"/>
          <w:lang w:val="en-GB"/>
        </w:rPr>
        <w:t>Haut</w:t>
      </w:r>
      <w:r w:rsidRPr="00A06A59">
        <w:rPr>
          <w:rFonts w:ascii="Garamond" w:hAnsi="Garamond" w:cs="Arial"/>
          <w:color w:val="000000"/>
          <w:lang w:val="en-GB"/>
        </w:rPr>
        <w:t>, als Herder auf seinen Namen dichtete:</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rPr>
      </w:pPr>
      <w:r w:rsidRPr="00A06A59">
        <w:rPr>
          <w:rFonts w:ascii="Garamond" w:hAnsi="Garamond" w:cs="Arial"/>
          <w:color w:val="000000"/>
          <w:sz w:val="22"/>
          <w:szCs w:val="22"/>
        </w:rPr>
        <w:t xml:space="preserve">»Der du von </w:t>
      </w:r>
      <w:r w:rsidRPr="00A06A59">
        <w:rPr>
          <w:rFonts w:ascii="Garamond" w:hAnsi="Garamond" w:cs="Arial"/>
          <w:i/>
          <w:iCs/>
          <w:color w:val="000000"/>
          <w:sz w:val="22"/>
          <w:szCs w:val="22"/>
        </w:rPr>
        <w:t>Göttern</w:t>
      </w:r>
      <w:r w:rsidRPr="00A06A59">
        <w:rPr>
          <w:rFonts w:ascii="Garamond" w:hAnsi="Garamond" w:cs="Arial"/>
          <w:color w:val="000000"/>
          <w:sz w:val="22"/>
          <w:szCs w:val="22"/>
        </w:rPr>
        <w:t xml:space="preserve"> abstammst, von Gothen oder vom Kote« –</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»So seid ihr </w:t>
      </w:r>
      <w:r w:rsidRPr="00A06A59">
        <w:rPr>
          <w:rFonts w:ascii="Garamond" w:hAnsi="Garamond" w:cs="Arial"/>
          <w:i/>
          <w:iCs/>
          <w:color w:val="000000"/>
          <w:sz w:val="22"/>
          <w:szCs w:val="22"/>
          <w:lang w:val="en-GB"/>
        </w:rPr>
        <w:t>Götterbilder</w:t>
      </w:r>
      <w:r w:rsidRPr="00A06A59">
        <w:rPr>
          <w:rFonts w:ascii="Garamond" w:hAnsi="Garamond" w:cs="Arial"/>
          <w:color w:val="000000"/>
          <w:sz w:val="22"/>
          <w:szCs w:val="22"/>
          <w:lang w:val="en-GB"/>
        </w:rPr>
        <w:t xml:space="preserve"> auch zu Staub.«</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Ich merke, daß die Abschweifung über den Mißbrauch von Namen nur diese Klage vorbereiten sollte. Aber brechen wir hier ab. Der Einkauf in Spalato mahnt mich an einen anderen Einkauf in Cattaro, bei dem ich allzu zurückhaltend war und die Gelegenheit zu schönen Erwerbungen versäumte. (Die Gelegenheit bei der Amme versäumt, s.o.) Einer der Traumgedanken, die dem Träumer der Hunger eingibt, lautet nämlich: </w:t>
      </w:r>
      <w:r w:rsidRPr="00A06A59">
        <w:rPr>
          <w:rFonts w:ascii="Garamond" w:hAnsi="Garamond" w:cs="Arial"/>
          <w:i/>
          <w:iCs/>
          <w:color w:val="000000"/>
          <w:lang w:val="en-GB"/>
        </w:rPr>
        <w:t>Man soll sich nichts entgehen lassen, nehmen, was man haben kann, auch wenn ein kleines Unrecht dabei mitläuft; man soll keine Gelegenheit versäumen, das Leben ist so kurz, der Tod unvermeidlich.</w:t>
      </w:r>
      <w:r w:rsidRPr="00A06A59">
        <w:rPr>
          <w:rFonts w:ascii="Garamond" w:hAnsi="Garamond" w:cs="Arial"/>
          <w:color w:val="000000"/>
          <w:lang w:val="en-GB"/>
        </w:rPr>
        <w:t xml:space="preserve"> Weil es auch sexuell gemeint ist und weil die Begierde vor dem Unrecht nicht haltmachen will, hat dieses </w:t>
      </w:r>
      <w:r w:rsidRPr="00A06A59">
        <w:rPr>
          <w:rFonts w:ascii="Garamond" w:hAnsi="Garamond" w:cs="Arial"/>
          <w:i/>
          <w:iCs/>
          <w:color w:val="000000"/>
          <w:lang w:val="en-GB"/>
        </w:rPr>
        <w:t>carpe diem</w:t>
      </w:r>
      <w:r w:rsidRPr="00A06A59">
        <w:rPr>
          <w:rFonts w:ascii="Garamond" w:hAnsi="Garamond" w:cs="Arial"/>
          <w:color w:val="000000"/>
          <w:lang w:val="en-GB"/>
        </w:rPr>
        <w:t xml:space="preserve"> die Zensur zu fürchten und muß sich hinter einem Traum verbergen. Dazu kommen nun alle Gegengedanken zu Wort, die Erinnerung an die Zeit, da die </w:t>
      </w:r>
      <w:r w:rsidRPr="00A06A59">
        <w:rPr>
          <w:rFonts w:ascii="Garamond" w:hAnsi="Garamond" w:cs="Arial"/>
          <w:i/>
          <w:iCs/>
          <w:color w:val="000000"/>
          <w:lang w:val="en-GB"/>
        </w:rPr>
        <w:t>geistige Nahrung</w:t>
      </w:r>
      <w:r w:rsidRPr="00A06A59">
        <w:rPr>
          <w:rFonts w:ascii="Garamond" w:hAnsi="Garamond" w:cs="Arial"/>
          <w:color w:val="000000"/>
          <w:lang w:val="en-GB"/>
        </w:rPr>
        <w:t xml:space="preserve"> dem Träumer allein genügte, alle Abhaltungen und selbst die Drohungen mit den ekelhaften sexuellen Strafen.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zweiter Traum erfordert einen längeren </w:t>
      </w:r>
      <w:r w:rsidRPr="00A06A59">
        <w:rPr>
          <w:rFonts w:ascii="Garamond" w:hAnsi="Garamond" w:cs="Arial"/>
          <w:i/>
          <w:iCs/>
          <w:color w:val="000000"/>
          <w:lang w:val="en-GB"/>
        </w:rPr>
        <w:t>Vorbericht: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bin auf den Westbahnhof gefahren, um meine Ferienreise nach Aussee anzutreten, gehe aber schon zum früher abgehenden Ischler Zug auf den Perron. Dort sehe ich nun den Grafen Thun dastehen, der wiederum zum Kaiser nach Ischl fährt. Er war trotz des Regens im offenen Wagen angekommen, direkt durch die Eingangstür für Lokalzüge hinausgetreten und hatte den Türhüter, der ihn nicht kannte und ihm das Billet abnehmen wollte, mit einer kurzen Handbewegung ohne Erklärung von sich gewiesen. Ich soll dann, nachdem er im Ischler Zuge abgefahren ist, den Perron wieder verlassen und in den Wartesaal zurückgehen, setze es aber mühselig durch, daß ich bleiben darf. Ich vertreibe mir die Zeit damit aufzupassen, wer da kommen wird, um sich auf dem Protektionswege ein Coupé anweisen zu lassen; nehme mir vor, dann Lärm zu schlagen, d. h. gleiches Recht zu verlangen. Unterdes singe ich mir etwas vor, was ich dann als die Arie aus </w:t>
      </w:r>
      <w:r w:rsidRPr="00A06A59">
        <w:rPr>
          <w:rFonts w:ascii="Garamond" w:hAnsi="Garamond" w:cs="Arial"/>
          <w:i/>
          <w:iCs/>
          <w:color w:val="000000"/>
          <w:lang w:val="en-GB"/>
        </w:rPr>
        <w:t>Figaros Hochzeit</w:t>
      </w:r>
      <w:r w:rsidRPr="00A06A59">
        <w:rPr>
          <w:rFonts w:ascii="Garamond" w:hAnsi="Garamond" w:cs="Arial"/>
          <w:color w:val="000000"/>
          <w:lang w:val="en-GB"/>
        </w:rPr>
        <w:t xml:space="preserve"> erkenne:</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»Will der Herr Graf ein Tänzelein wagen, Tänzelein wagen, </w:t>
      </w:r>
      <w:r w:rsidRPr="00A06A59">
        <w:rPr>
          <w:rFonts w:ascii="Garamond" w:hAnsi="Garamond" w:cs="Arial"/>
          <w:color w:val="000000"/>
          <w:sz w:val="22"/>
          <w:szCs w:val="22"/>
          <w:lang w:val="en-GB"/>
        </w:rPr>
        <w:br/>
        <w:t xml:space="preserve">Soll er's nur sagen, </w:t>
      </w:r>
      <w:r w:rsidRPr="00A06A59">
        <w:rPr>
          <w:rFonts w:ascii="Garamond" w:hAnsi="Garamond" w:cs="Arial"/>
          <w:color w:val="000000"/>
          <w:sz w:val="22"/>
          <w:szCs w:val="22"/>
          <w:lang w:val="en-GB"/>
        </w:rPr>
        <w:br/>
        <w:t>ich spiel' ihm eins auf.«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anderer hätte den Gesang vielleicht nicht erkannt.)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war den ganzen Abend in übermütiger, streitlustiger Stimmung gewesen, hatte Kellner und Kutscher gefrozzelt, hoffentlich ohne ihnen wehe zu tun; nun gehen mir allerlei freche und revolutionäre Gedanken durch den Kopf, wie sie zu den Worten Figaros passen und zur Erinnerung an die Komödie von </w:t>
      </w:r>
      <w:r w:rsidRPr="00A06A59">
        <w:rPr>
          <w:rFonts w:ascii="Garamond" w:hAnsi="Garamond" w:cs="Arial"/>
          <w:i/>
          <w:iCs/>
          <w:color w:val="000000"/>
          <w:lang w:val="en-GB"/>
        </w:rPr>
        <w:t>Beaumarchais</w:t>
      </w:r>
      <w:r w:rsidRPr="00A06A59">
        <w:rPr>
          <w:rFonts w:ascii="Garamond" w:hAnsi="Garamond" w:cs="Arial"/>
          <w:color w:val="000000"/>
          <w:lang w:val="en-GB"/>
        </w:rPr>
        <w:t xml:space="preserve">, die ich in der </w:t>
      </w:r>
      <w:r w:rsidRPr="00A06A59">
        <w:rPr>
          <w:rFonts w:ascii="Garamond" w:hAnsi="Garamond" w:cs="Arial"/>
          <w:i/>
          <w:iCs/>
          <w:color w:val="000000"/>
          <w:lang w:val="en-GB"/>
        </w:rPr>
        <w:t>Comédie française</w:t>
      </w:r>
      <w:r w:rsidRPr="00A06A59">
        <w:rPr>
          <w:rFonts w:ascii="Garamond" w:hAnsi="Garamond" w:cs="Arial"/>
          <w:color w:val="000000"/>
          <w:lang w:val="en-GB"/>
        </w:rPr>
        <w:t xml:space="preserve"> aufführen gesehen. Das Wort von den großen Herren, die sich die Mühe gegeben haben, geboren zu werden; das Herrenrecht, das der Graf Almaviva bei Susanne zur Geltung bringen will; die Scherze, die unsere bösen oppositionellen Tagschreiber mit dem Namen des Grafen </w:t>
      </w:r>
      <w:r w:rsidRPr="00A06A59">
        <w:rPr>
          <w:rFonts w:ascii="Garamond" w:hAnsi="Garamond" w:cs="Arial"/>
          <w:i/>
          <w:iCs/>
          <w:color w:val="000000"/>
          <w:lang w:val="en-GB"/>
        </w:rPr>
        <w:t>Thun</w:t>
      </w:r>
      <w:r w:rsidRPr="00A06A59">
        <w:rPr>
          <w:rFonts w:ascii="Garamond" w:hAnsi="Garamond" w:cs="Arial"/>
          <w:color w:val="000000"/>
          <w:lang w:val="en-GB"/>
        </w:rPr>
        <w:t xml:space="preserve"> anstellen, indem sie ihn Graf </w:t>
      </w:r>
      <w:r w:rsidRPr="00A06A59">
        <w:rPr>
          <w:rFonts w:ascii="Garamond" w:hAnsi="Garamond" w:cs="Arial"/>
          <w:i/>
          <w:iCs/>
          <w:color w:val="000000"/>
          <w:lang w:val="en-GB"/>
        </w:rPr>
        <w:t>Nichtsthun</w:t>
      </w:r>
      <w:r w:rsidRPr="00A06A59">
        <w:rPr>
          <w:rFonts w:ascii="Garamond" w:hAnsi="Garamond" w:cs="Arial"/>
          <w:color w:val="000000"/>
          <w:lang w:val="en-GB"/>
        </w:rPr>
        <w:t xml:space="preserve"> nennen. Ich beneide ihn wirklich nicht; er hat jetzt einen schweren Gang zum Kaiser, und ich bin der eigentliche Graf </w:t>
      </w:r>
      <w:r w:rsidRPr="00A06A59">
        <w:rPr>
          <w:rFonts w:ascii="Garamond" w:hAnsi="Garamond" w:cs="Arial"/>
          <w:i/>
          <w:iCs/>
          <w:color w:val="000000"/>
          <w:lang w:val="en-GB"/>
        </w:rPr>
        <w:t>Nichtsthun</w:t>
      </w:r>
      <w:r w:rsidRPr="00A06A59">
        <w:rPr>
          <w:rFonts w:ascii="Garamond" w:hAnsi="Garamond" w:cs="Arial"/>
          <w:color w:val="000000"/>
          <w:lang w:val="en-GB"/>
        </w:rPr>
        <w:t xml:space="preserve">; ich gehe auf Ferien. Allerlei lustige Ferienvorsätze dazu. Es kommt nun ein Herr, der mir als Regierungsvertreter bei den medizinischen Prüfungen bekannt ist und der sich durch seine Leistungen in dieser Rolle den schmeichelhaften Beinamen »des Regierungsbeischläfers« zugezogen hat. Er verlangt unter Berufung auf seine amtliche Eigenschaft ein Halbcoupé erster Klasse, und ich höre den Beamten zu einem andern sagen: Wo geben wir den Herrn mit der halben Ersten hin? Eine nette Bevorzugung; ich zahle meine erste Klasse ganz. Ich bekomme dann auch ein Coupé für mich, aber nicht in einem durchgehenden Wagen, so daß mir die Nacht über kein Abort zur Verfügung steht. Meine Klage beim Beamten hat keinen Erfolg; ich räche mich, indem ich ihm den Vorschlag mache, in diesem Coupé wenigstens ein Loch im Boden anbringen zu lassen, für etwaige Bedürfnisse der Reisenden. Ich erwache auch wirklich um dreiviertel drei Uhr morgens mit Harndrang aus nachstehendem </w:t>
      </w:r>
      <w:r w:rsidRPr="00A06A59">
        <w:rPr>
          <w:rFonts w:ascii="Garamond" w:hAnsi="Garamond" w:cs="Arial"/>
          <w:i/>
          <w:iCs/>
          <w:color w:val="000000"/>
          <w:lang w:val="en-GB"/>
        </w:rPr>
        <w:t>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Menschenmenge, Studentenversammlung. – Ein Graf (Thun oder Taaffe) redet. Aufgefordert, etwas über die Deutschen zu sagen, erklärt er mit höhnischer Gebärde für ihre Lieblingsblume den Huflattich und steckt dann etwas wie ein zerfetztes Blatt, eigentlich ein zusammengeknülltes Blattgerippe ins Knopfloch. Ich fahre auf, fahre also auf</w:t>
      </w:r>
      <w:hyperlink r:id="rId9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Diese Wiederholung hat sich, scheinbar aus Zerstreutheit, in den Text des Traumes eingeschlichen und wird von mir belassen, da die Analyse zeigt, daß sie ihre Bedeutung hat.</w:t>
        </w:r>
      </w:hyperlink>
      <w:r w:rsidRPr="00A06A59">
        <w:rPr>
          <w:rFonts w:ascii="Garamond" w:hAnsi="Garamond" w:cs="Arial"/>
          <w:i/>
          <w:iCs/>
          <w:color w:val="000000"/>
          <w:lang w:val="en-GB"/>
        </w:rPr>
        <w:t>, wundere mich aber doch über diese meine Gesinnung.</w:t>
      </w:r>
      <w:r w:rsidRPr="00A06A59">
        <w:rPr>
          <w:rFonts w:ascii="Garamond" w:hAnsi="Garamond" w:cs="Arial"/>
          <w:color w:val="000000"/>
          <w:lang w:val="en-GB"/>
        </w:rPr>
        <w:t xml:space="preserve"> Dann undeutlicher: </w:t>
      </w:r>
      <w:r w:rsidRPr="00A06A59">
        <w:rPr>
          <w:rFonts w:ascii="Garamond" w:hAnsi="Garamond" w:cs="Arial"/>
          <w:i/>
          <w:iCs/>
          <w:color w:val="000000"/>
          <w:lang w:val="en-GB"/>
        </w:rPr>
        <w:t>Als ob es die Aula wäre, die Zugänge besetzt, und man müßte fliehen. Ich bahne mir den Weg durch eine Reihe von schön eingerichteten Zimmern, offenbar Regierungszimmern, mit Möbeln in einer Farbe zwischen braun und violett, und komme endlich in einen Gang, in dem eine Haushälterin, ein älteres dickes Frauenzimmer, sitzt. Ich vermeide es, mit ihr zu sprechen; sie hält mich aber offenbar für berechtigt, hier zu passieren, denn sie fragt, ob sie mit der Lampe mitgehen soll. Ichdeute oder sage ihr, sie soll auf der Treppe stehenbleiben, und komme mir dabei sehr schlau vor, daß ich die Kontrolle am Ende vermeide. So bin ich drunten und finde einen schmalen, steil aufsteigenden Weg, den ich gehe.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Wieder undeutlich... </w:t>
      </w:r>
      <w:r w:rsidRPr="00A06A59">
        <w:rPr>
          <w:rFonts w:ascii="Garamond" w:hAnsi="Garamond" w:cs="Arial"/>
          <w:i/>
          <w:iCs/>
          <w:color w:val="000000"/>
          <w:lang w:val="en-GB"/>
        </w:rPr>
        <w:t>Als ob jetzt die zweite Aufgabe käme, aus der Stadt wegzukommen, wie früher aus dem Haus. Ich fahre in einem Einspänner und gebe ihm Auftrag, zu einem Bahnhof zu fahren. »Auf der Bahnstrecke selbst kann ich nicht mit Ihnen fahren«, sage ich, nachdem er einen Einwand gemacht hat, als ob ich ihn übermüdet hätte. Dabei ist es, als wäre ich schon eine Strecke mit ihm gefahren, die man sonst mit der Bahn fährt. Die Bahnhöfe sind besetzt; ich überlege, ob ich nach Krems oder Znaim soll, denke aber, dort wird der Hof sein, und entscheide mich für Graz oder so etwas. Nun sitze ich im Waggon, der ähnlich einem Stadtbahnwagen ist, und habe im Knopfloch ein eigentümlich geflochtenes, langes Ding, daran violettbraune Veilchen aus starrem Stoff, was den Leuten sehr auffällt.</w:t>
      </w:r>
      <w:r w:rsidRPr="00A06A59">
        <w:rPr>
          <w:rFonts w:ascii="Garamond" w:hAnsi="Garamond" w:cs="Arial"/>
          <w:color w:val="000000"/>
          <w:lang w:val="en-GB"/>
        </w:rPr>
        <w:t xml:space="preserve"> Hier bricht die Szene ab.</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 xml:space="preserve">Ich bin wieder vor dem Bahnhofe, aber zu zweit mit einem älteren Herrn, erfinde einen Plan, um unerkannt zu bleiben, sehe diesen Plan aber auch schon ausgeführt. Denken und Erleben ist gleichsam eins. Er stellt sich blind, wenigstens auf einem Auge, und ich halte ihm ein männliches Uringlas vor (das wir in der Stadt kaufen mußten oder gekauft haben). Ich bin also ein Krankenpfleger und muß ihm das Glas geben, weil er blind ist. </w:t>
      </w:r>
      <w:r w:rsidRPr="00A06A59">
        <w:rPr>
          <w:rFonts w:ascii="Garamond" w:hAnsi="Garamond" w:cs="Arial"/>
          <w:i/>
          <w:iCs/>
          <w:color w:val="000000"/>
        </w:rPr>
        <w:t xml:space="preserve">Wenn der Kondukteur uns so sieht, muß er uns als unauffällig entkommen lassen. </w:t>
      </w:r>
      <w:r w:rsidRPr="00A06A59">
        <w:rPr>
          <w:rFonts w:ascii="Garamond" w:hAnsi="Garamond" w:cs="Arial"/>
          <w:i/>
          <w:iCs/>
          <w:color w:val="000000"/>
          <w:lang w:val="en-GB"/>
        </w:rPr>
        <w:t>Dabei ist die Stellung des Betreffenden und sein urinierendes Glied plastisch gesehen.</w:t>
      </w:r>
      <w:r w:rsidRPr="00A06A59">
        <w:rPr>
          <w:rFonts w:ascii="Garamond" w:hAnsi="Garamond" w:cs="Arial"/>
          <w:color w:val="000000"/>
          <w:lang w:val="en-GB"/>
        </w:rPr>
        <w:t xml:space="preserve"> Darauf das Erwachen mit Harndrang.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ganze Traum macht etwa den Eindruck einer Phantasie, die den Träumer in das Revolutionsjahr 1848 versetzt, dessen Andenken ja durch das Jubiläum des Jahres 1898 erneuert war, wie überdies durch einen kleinen Ausflug in </w:t>
      </w:r>
      <w:r w:rsidRPr="00A06A59">
        <w:rPr>
          <w:rFonts w:ascii="Garamond" w:hAnsi="Garamond" w:cs="Arial"/>
          <w:i/>
          <w:iCs/>
          <w:color w:val="000000"/>
          <w:lang w:val="en-GB"/>
        </w:rPr>
        <w:t>die Wachau</w:t>
      </w:r>
      <w:r w:rsidRPr="00A06A59">
        <w:rPr>
          <w:rFonts w:ascii="Garamond" w:hAnsi="Garamond" w:cs="Arial"/>
          <w:color w:val="000000"/>
          <w:lang w:val="en-GB"/>
        </w:rPr>
        <w:t xml:space="preserve">, bei dem ich </w:t>
      </w:r>
      <w:r w:rsidRPr="00A06A59">
        <w:rPr>
          <w:rFonts w:ascii="Garamond" w:hAnsi="Garamond" w:cs="Arial"/>
          <w:i/>
          <w:iCs/>
          <w:color w:val="000000"/>
          <w:lang w:val="en-GB"/>
        </w:rPr>
        <w:t>Emmersdorf</w:t>
      </w:r>
      <w:hyperlink r:id="rId9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Ein Irrtum, aber diesmal keine Fehlleistung! Ich erfuhr später, daß das Emmersdorf der Wachau nicht identisch ist mit dem gleichnamigen Asyl des Revolutionärs Fischhof.</w:t>
        </w:r>
      </w:hyperlink>
      <w:r w:rsidRPr="00A06A59">
        <w:rPr>
          <w:rFonts w:ascii="Garamond" w:hAnsi="Garamond" w:cs="Arial"/>
          <w:color w:val="000000"/>
          <w:lang w:val="en-GB"/>
        </w:rPr>
        <w:t xml:space="preserve"> kennengelernt hatte, den Ruhesitz des Studentenführers Fischhof, auf den einige Züge des manifesten Trauminhalts weisen mögen. Die Gedankenverbindung führt mich dann nach England, in das Haus meines Bruders, der seiner Frau scherzhaft vorzuhalten pflegte » </w:t>
      </w:r>
      <w:r w:rsidRPr="00A06A59">
        <w:rPr>
          <w:rFonts w:ascii="Garamond" w:hAnsi="Garamond" w:cs="Arial"/>
          <w:i/>
          <w:iCs/>
          <w:color w:val="000000"/>
          <w:lang w:val="en-GB"/>
        </w:rPr>
        <w:t>Fifty years ago</w:t>
      </w:r>
      <w:r w:rsidRPr="00A06A59">
        <w:rPr>
          <w:rFonts w:ascii="Garamond" w:hAnsi="Garamond" w:cs="Arial"/>
          <w:color w:val="000000"/>
          <w:lang w:val="en-GB"/>
        </w:rPr>
        <w:t xml:space="preserve">« nach dem Titel eines Gedichtes von Lord Tennyson, worauf die Kinder zu rektifizieren gewöhnt waren: </w:t>
      </w:r>
      <w:r w:rsidRPr="00A06A59">
        <w:rPr>
          <w:rFonts w:ascii="Garamond" w:hAnsi="Garamond" w:cs="Arial"/>
          <w:i/>
          <w:iCs/>
          <w:color w:val="000000"/>
          <w:lang w:val="en-GB"/>
        </w:rPr>
        <w:t>Fifteen years ago</w:t>
      </w:r>
      <w:r w:rsidRPr="00A06A59">
        <w:rPr>
          <w:rFonts w:ascii="Garamond" w:hAnsi="Garamond" w:cs="Arial"/>
          <w:color w:val="000000"/>
          <w:lang w:val="en-GB"/>
        </w:rPr>
        <w:t xml:space="preserve">. Diese Phantasie, die sich an die Gedanken anschließt, welche der Anblick des Grafen Thun hervorgerufen hatte, ist aber nur wie die Fassade italienischer Kirchen ohne organischen Zusammenhang dem Gebäude dahinter vorgesetzt; anders als diese Fassaden ist sie übrigens lückenhaft, verworren, und Bestandteile aus dem Inneren drängen sich an vielen Stellen durch. Die erste Situation des Traumes ist aus mehreren Szenen zusammengebraut, in die ich sie zerlegen kann. Die hochmütige Stellung des Grafen im Traum ist kopiert nach einer Gymnasialszene aus meinem </w:t>
      </w:r>
      <w:r w:rsidRPr="00A06A59">
        <w:rPr>
          <w:rFonts w:ascii="Garamond" w:hAnsi="Garamond" w:cs="Arial"/>
          <w:i/>
          <w:iCs/>
          <w:color w:val="000000"/>
          <w:lang w:val="en-GB"/>
        </w:rPr>
        <w:t>fünfzehnten Jahr</w:t>
      </w:r>
      <w:r w:rsidRPr="00A06A59">
        <w:rPr>
          <w:rFonts w:ascii="Garamond" w:hAnsi="Garamond" w:cs="Arial"/>
          <w:color w:val="000000"/>
          <w:lang w:val="en-GB"/>
        </w:rPr>
        <w:t xml:space="preserve">. Wir hatten gegen einen mißliebigen und ignoranten Lehrer eine Verschwörung angezettelt, deren Seele ein Kollege war, der sich seitdem </w:t>
      </w:r>
      <w:r w:rsidRPr="00A06A59">
        <w:rPr>
          <w:rFonts w:ascii="Garamond" w:hAnsi="Garamond" w:cs="Arial"/>
          <w:i/>
          <w:iCs/>
          <w:color w:val="000000"/>
          <w:lang w:val="en-GB"/>
        </w:rPr>
        <w:t>Heinrich VIII.</w:t>
      </w:r>
      <w:r w:rsidRPr="00A06A59">
        <w:rPr>
          <w:rFonts w:ascii="Garamond" w:hAnsi="Garamond" w:cs="Arial"/>
          <w:color w:val="000000"/>
          <w:lang w:val="en-GB"/>
        </w:rPr>
        <w:t xml:space="preserve"> von </w:t>
      </w:r>
      <w:r w:rsidRPr="00A06A59">
        <w:rPr>
          <w:rFonts w:ascii="Garamond" w:hAnsi="Garamond" w:cs="Arial"/>
          <w:i/>
          <w:iCs/>
          <w:color w:val="000000"/>
          <w:lang w:val="en-GB"/>
        </w:rPr>
        <w:t>England</w:t>
      </w:r>
      <w:r w:rsidRPr="00A06A59">
        <w:rPr>
          <w:rFonts w:ascii="Garamond" w:hAnsi="Garamond" w:cs="Arial"/>
          <w:color w:val="000000"/>
          <w:lang w:val="en-GB"/>
        </w:rPr>
        <w:t xml:space="preserve"> zum Vorbilde genommen zu haben scheint. Die Führung des Hauptschlags fiel mir zu, und eine Diskussion über die Bedeutung der Donau für Österreich ( </w:t>
      </w:r>
      <w:r w:rsidRPr="00A06A59">
        <w:rPr>
          <w:rFonts w:ascii="Garamond" w:hAnsi="Garamond" w:cs="Arial"/>
          <w:i/>
          <w:iCs/>
          <w:color w:val="000000"/>
          <w:lang w:val="en-GB"/>
        </w:rPr>
        <w:t>Wachau!</w:t>
      </w:r>
      <w:r w:rsidRPr="00A06A59">
        <w:rPr>
          <w:rFonts w:ascii="Garamond" w:hAnsi="Garamond" w:cs="Arial"/>
          <w:color w:val="000000"/>
          <w:lang w:val="en-GB"/>
        </w:rPr>
        <w:t xml:space="preserve">) war der Anlaß, bei dem es zur offenen Empörung kam. Ein Mitverschworener war der einzige aristokratische Kollege, den wir hatten, wegen seiner auffälligen Längenentwicklung die » </w:t>
      </w:r>
      <w:r w:rsidRPr="00A06A59">
        <w:rPr>
          <w:rFonts w:ascii="Garamond" w:hAnsi="Garamond" w:cs="Arial"/>
          <w:i/>
          <w:iCs/>
          <w:color w:val="000000"/>
          <w:lang w:val="en-GB"/>
        </w:rPr>
        <w:t>Giraffe</w:t>
      </w:r>
      <w:r w:rsidRPr="00A06A59">
        <w:rPr>
          <w:rFonts w:ascii="Garamond" w:hAnsi="Garamond" w:cs="Arial"/>
          <w:color w:val="000000"/>
          <w:lang w:val="en-GB"/>
        </w:rPr>
        <w:t xml:space="preserve">« genannt, und der stand, vom Schultyrannen, dem Professor der </w:t>
      </w:r>
      <w:r w:rsidRPr="00A06A59">
        <w:rPr>
          <w:rFonts w:ascii="Garamond" w:hAnsi="Garamond" w:cs="Arial"/>
          <w:i/>
          <w:iCs/>
          <w:color w:val="000000"/>
          <w:lang w:val="en-GB"/>
        </w:rPr>
        <w:t>deutschen Sprache</w:t>
      </w:r>
      <w:r w:rsidRPr="00A06A59">
        <w:rPr>
          <w:rFonts w:ascii="Garamond" w:hAnsi="Garamond" w:cs="Arial"/>
          <w:color w:val="000000"/>
          <w:lang w:val="en-GB"/>
        </w:rPr>
        <w:t xml:space="preserve">, zur Rede gestellt, so da wie der Graf im Traume. Das Erklären der </w:t>
      </w:r>
      <w:r w:rsidRPr="00A06A59">
        <w:rPr>
          <w:rFonts w:ascii="Garamond" w:hAnsi="Garamond" w:cs="Arial"/>
          <w:i/>
          <w:iCs/>
          <w:color w:val="000000"/>
          <w:lang w:val="en-GB"/>
        </w:rPr>
        <w:t>Lieblingsblume</w:t>
      </w:r>
      <w:r w:rsidRPr="00A06A59">
        <w:rPr>
          <w:rFonts w:ascii="Garamond" w:hAnsi="Garamond" w:cs="Arial"/>
          <w:color w:val="000000"/>
          <w:lang w:val="en-GB"/>
        </w:rPr>
        <w:t xml:space="preserve"> und </w:t>
      </w:r>
      <w:r w:rsidRPr="00A06A59">
        <w:rPr>
          <w:rFonts w:ascii="Garamond" w:hAnsi="Garamond" w:cs="Arial"/>
          <w:i/>
          <w:iCs/>
          <w:color w:val="000000"/>
          <w:lang w:val="en-GB"/>
        </w:rPr>
        <w:t>Ins-Knopfloch-Stecken</w:t>
      </w:r>
      <w:r w:rsidRPr="00A06A59">
        <w:rPr>
          <w:rFonts w:ascii="Garamond" w:hAnsi="Garamond" w:cs="Arial"/>
          <w:color w:val="000000"/>
          <w:lang w:val="en-GB"/>
        </w:rPr>
        <w:t xml:space="preserve"> von etwas, was wieder eine Blume sein muß (was an die Orchideen erinnert, die ich einer Freundin am selben Tag gebracht hatte, und außerdem an eine Rose von Jericho), mahnt auffällig an die Szene aus den Königsdramen Shakespeares, die den Bürgerkrieg der </w:t>
      </w:r>
      <w:r w:rsidRPr="00A06A59">
        <w:rPr>
          <w:rFonts w:ascii="Garamond" w:hAnsi="Garamond" w:cs="Arial"/>
          <w:i/>
          <w:iCs/>
          <w:color w:val="000000"/>
          <w:lang w:val="en-GB"/>
        </w:rPr>
        <w:t>roten</w:t>
      </w:r>
      <w:r w:rsidRPr="00A06A59">
        <w:rPr>
          <w:rFonts w:ascii="Garamond" w:hAnsi="Garamond" w:cs="Arial"/>
          <w:color w:val="000000"/>
          <w:lang w:val="en-GB"/>
        </w:rPr>
        <w:t xml:space="preserve"> und der </w:t>
      </w:r>
      <w:r w:rsidRPr="00A06A59">
        <w:rPr>
          <w:rFonts w:ascii="Garamond" w:hAnsi="Garamond" w:cs="Arial"/>
          <w:i/>
          <w:iCs/>
          <w:color w:val="000000"/>
          <w:lang w:val="en-GB"/>
        </w:rPr>
        <w:t>weißen</w:t>
      </w:r>
      <w:r w:rsidRPr="00A06A59">
        <w:rPr>
          <w:rFonts w:ascii="Garamond" w:hAnsi="Garamond" w:cs="Arial"/>
          <w:color w:val="000000"/>
          <w:lang w:val="en-GB"/>
        </w:rPr>
        <w:t xml:space="preserve"> Rose eröffnet; die Erwähnung </w:t>
      </w:r>
      <w:r w:rsidRPr="00A06A59">
        <w:rPr>
          <w:rFonts w:ascii="Garamond" w:hAnsi="Garamond" w:cs="Arial"/>
          <w:i/>
          <w:iCs/>
          <w:color w:val="000000"/>
          <w:lang w:val="en-GB"/>
        </w:rPr>
        <w:t>Heinrichs VIII.</w:t>
      </w:r>
      <w:r w:rsidRPr="00A06A59">
        <w:rPr>
          <w:rFonts w:ascii="Garamond" w:hAnsi="Garamond" w:cs="Arial"/>
          <w:color w:val="000000"/>
          <w:lang w:val="en-GB"/>
        </w:rPr>
        <w:t xml:space="preserve"> hat den Weg zu dieser Reminiszenz gebahnt. Dann ist es nicht weit von den Rosen zu den roten und weißen Nelken. (Dazwischen schieben sich in der Analyse zwei Verslein ein, eines </w:t>
      </w:r>
      <w:r w:rsidRPr="00A06A59">
        <w:rPr>
          <w:rFonts w:ascii="Garamond" w:hAnsi="Garamond" w:cs="Arial"/>
          <w:i/>
          <w:iCs/>
          <w:color w:val="000000"/>
          <w:lang w:val="en-GB"/>
        </w:rPr>
        <w:t>deutsch</w:t>
      </w:r>
      <w:r w:rsidRPr="00A06A59">
        <w:rPr>
          <w:rFonts w:ascii="Garamond" w:hAnsi="Garamond" w:cs="Arial"/>
          <w:color w:val="000000"/>
          <w:lang w:val="en-GB"/>
        </w:rPr>
        <w:t xml:space="preserve">, das andere </w:t>
      </w:r>
      <w:r w:rsidRPr="00A06A59">
        <w:rPr>
          <w:rFonts w:ascii="Garamond" w:hAnsi="Garamond" w:cs="Arial"/>
          <w:i/>
          <w:iCs/>
          <w:color w:val="000000"/>
          <w:lang w:val="en-GB"/>
        </w:rPr>
        <w:t>spanisch:</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Rosen, Tulpen, Nelken, </w:t>
      </w:r>
      <w:r w:rsidRPr="00A06A59">
        <w:rPr>
          <w:rFonts w:ascii="Garamond" w:hAnsi="Garamond" w:cs="Arial"/>
          <w:color w:val="000000"/>
          <w:sz w:val="22"/>
          <w:szCs w:val="22"/>
          <w:lang w:val="en-GB"/>
        </w:rPr>
        <w:br/>
        <w:t>alle Blumen welken.</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rPr>
      </w:pPr>
      <w:r w:rsidRPr="00A06A59">
        <w:rPr>
          <w:rFonts w:ascii="Garamond" w:hAnsi="Garamond" w:cs="Arial"/>
          <w:i/>
          <w:iCs/>
          <w:color w:val="000000"/>
          <w:sz w:val="22"/>
          <w:szCs w:val="22"/>
        </w:rPr>
        <w:t xml:space="preserve">Isabelita, no llores, </w:t>
      </w:r>
      <w:r w:rsidRPr="00A06A59">
        <w:rPr>
          <w:rFonts w:ascii="Garamond" w:hAnsi="Garamond" w:cs="Arial"/>
          <w:i/>
          <w:iCs/>
          <w:color w:val="000000"/>
          <w:sz w:val="22"/>
          <w:szCs w:val="22"/>
        </w:rPr>
        <w:br/>
        <w:t>que se marchitan las flores.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w:t>
      </w:r>
      <w:r w:rsidRPr="00A06A59">
        <w:rPr>
          <w:rFonts w:ascii="Garamond" w:hAnsi="Garamond" w:cs="Arial"/>
          <w:i/>
          <w:iCs/>
          <w:color w:val="000000"/>
          <w:lang w:val="en-GB"/>
        </w:rPr>
        <w:t>Spanische</w:t>
      </w:r>
      <w:r w:rsidRPr="00A06A59">
        <w:rPr>
          <w:rFonts w:ascii="Garamond" w:hAnsi="Garamond" w:cs="Arial"/>
          <w:color w:val="000000"/>
          <w:lang w:val="en-GB"/>
        </w:rPr>
        <w:t xml:space="preserve"> vom » </w:t>
      </w:r>
      <w:r w:rsidRPr="00A06A59">
        <w:rPr>
          <w:rFonts w:ascii="Garamond" w:hAnsi="Garamond" w:cs="Arial"/>
          <w:i/>
          <w:iCs/>
          <w:color w:val="000000"/>
          <w:lang w:val="en-GB"/>
        </w:rPr>
        <w:t>Figaro</w:t>
      </w:r>
      <w:r w:rsidRPr="00A06A59">
        <w:rPr>
          <w:rFonts w:ascii="Garamond" w:hAnsi="Garamond" w:cs="Arial"/>
          <w:color w:val="000000"/>
          <w:lang w:val="en-GB"/>
        </w:rPr>
        <w:t xml:space="preserve">« her.) Die weißen Nelken sind bei uns in Wien das Abzeichen der </w:t>
      </w:r>
      <w:r w:rsidRPr="00A06A59">
        <w:rPr>
          <w:rFonts w:ascii="Garamond" w:hAnsi="Garamond" w:cs="Arial"/>
          <w:i/>
          <w:iCs/>
          <w:color w:val="000000"/>
          <w:lang w:val="en-GB"/>
        </w:rPr>
        <w:t>Antisemiten</w:t>
      </w:r>
      <w:r w:rsidRPr="00A06A59">
        <w:rPr>
          <w:rFonts w:ascii="Garamond" w:hAnsi="Garamond" w:cs="Arial"/>
          <w:color w:val="000000"/>
          <w:lang w:val="en-GB"/>
        </w:rPr>
        <w:t xml:space="preserve">, die roten das der </w:t>
      </w:r>
      <w:r w:rsidRPr="00A06A59">
        <w:rPr>
          <w:rFonts w:ascii="Garamond" w:hAnsi="Garamond" w:cs="Arial"/>
          <w:i/>
          <w:iCs/>
          <w:color w:val="000000"/>
          <w:lang w:val="en-GB"/>
        </w:rPr>
        <w:t>Sozialdemokraten</w:t>
      </w:r>
      <w:r w:rsidRPr="00A06A59">
        <w:rPr>
          <w:rFonts w:ascii="Garamond" w:hAnsi="Garamond" w:cs="Arial"/>
          <w:color w:val="000000"/>
          <w:lang w:val="en-GB"/>
        </w:rPr>
        <w:t xml:space="preserve"> geworden. Dahinter eine Erinnerung an eine antisemitische Herausforderung während einer Eisenbahnfahrt im schönen Sachsenlande ( </w:t>
      </w:r>
      <w:r w:rsidRPr="00A06A59">
        <w:rPr>
          <w:rFonts w:ascii="Garamond" w:hAnsi="Garamond" w:cs="Arial"/>
          <w:i/>
          <w:iCs/>
          <w:color w:val="000000"/>
          <w:lang w:val="en-GB"/>
        </w:rPr>
        <w:t>Angelsachsen</w:t>
      </w:r>
      <w:r w:rsidRPr="00A06A59">
        <w:rPr>
          <w:rFonts w:ascii="Garamond" w:hAnsi="Garamond" w:cs="Arial"/>
          <w:color w:val="000000"/>
          <w:lang w:val="en-GB"/>
        </w:rPr>
        <w:t xml:space="preserve">). Die dritte Szene, welche Bestandteile für die Bildung der ersten Traumsituation abgegeben hat, fällt in meine erste Studentenzeit. In einem </w:t>
      </w:r>
      <w:r w:rsidRPr="00A06A59">
        <w:rPr>
          <w:rFonts w:ascii="Garamond" w:hAnsi="Garamond" w:cs="Arial"/>
          <w:i/>
          <w:iCs/>
          <w:color w:val="000000"/>
          <w:lang w:val="en-GB"/>
        </w:rPr>
        <w:t>deutschen</w:t>
      </w:r>
      <w:r w:rsidRPr="00A06A59">
        <w:rPr>
          <w:rFonts w:ascii="Garamond" w:hAnsi="Garamond" w:cs="Arial"/>
          <w:color w:val="000000"/>
          <w:lang w:val="en-GB"/>
        </w:rPr>
        <w:t xml:space="preserve"> Studentenverein gab es eine Diskussion über das Verhältnis der Philosophie zu den Naturwissenschaften. Ich grüner Junge, der materialistischen Lehre voll, drängte mich vor, um einen höchst einseitigen Standpunkt zu vertreten. Da erhob sich ein überlegener älterer Kollege, der seitdem seine Fähigkeit erwiesen hat, Menschen zu lenken und Massen zu organisieren, der übrigens auch einen Namen aus dem Tierreich trägt, und machte uns tüchtig herunter; auch er habe in seiner Jugend die Schweine gehütet und sei dann reuig ins Vaterhaus zurückgekehrt. </w:t>
      </w:r>
      <w:r w:rsidRPr="00A06A59">
        <w:rPr>
          <w:rFonts w:ascii="Garamond" w:hAnsi="Garamond" w:cs="Arial"/>
          <w:i/>
          <w:iCs/>
          <w:color w:val="000000"/>
          <w:lang w:val="en-GB"/>
        </w:rPr>
        <w:t>Ich fuhr auf</w:t>
      </w:r>
      <w:r w:rsidRPr="00A06A59">
        <w:rPr>
          <w:rFonts w:ascii="Garamond" w:hAnsi="Garamond" w:cs="Arial"/>
          <w:color w:val="000000"/>
          <w:lang w:val="en-GB"/>
        </w:rPr>
        <w:t xml:space="preserve"> (wie im Traum), wurde </w:t>
      </w:r>
      <w:r w:rsidRPr="00A06A59">
        <w:rPr>
          <w:rFonts w:ascii="Garamond" w:hAnsi="Garamond" w:cs="Arial"/>
          <w:i/>
          <w:iCs/>
          <w:color w:val="000000"/>
          <w:lang w:val="en-GB"/>
        </w:rPr>
        <w:t>saugrob</w:t>
      </w:r>
      <w:r w:rsidRPr="00A06A59">
        <w:rPr>
          <w:rFonts w:ascii="Garamond" w:hAnsi="Garamond" w:cs="Arial"/>
          <w:color w:val="000000"/>
          <w:lang w:val="en-GB"/>
        </w:rPr>
        <w:t xml:space="preserve"> und antwortete, seitdem ich wüßte, daß er die </w:t>
      </w:r>
      <w:r w:rsidRPr="00A06A59">
        <w:rPr>
          <w:rFonts w:ascii="Garamond" w:hAnsi="Garamond" w:cs="Arial"/>
          <w:i/>
          <w:iCs/>
          <w:color w:val="000000"/>
          <w:lang w:val="en-GB"/>
        </w:rPr>
        <w:t>Schweine</w:t>
      </w:r>
      <w:r w:rsidRPr="00A06A59">
        <w:rPr>
          <w:rFonts w:ascii="Garamond" w:hAnsi="Garamond" w:cs="Arial"/>
          <w:color w:val="000000"/>
          <w:lang w:val="en-GB"/>
        </w:rPr>
        <w:t xml:space="preserve"> gehütet, </w:t>
      </w:r>
      <w:r w:rsidRPr="00A06A59">
        <w:rPr>
          <w:rFonts w:ascii="Garamond" w:hAnsi="Garamond" w:cs="Arial"/>
          <w:i/>
          <w:iCs/>
          <w:color w:val="000000"/>
          <w:lang w:val="en-GB"/>
        </w:rPr>
        <w:t>wunderte ich mich nicht</w:t>
      </w:r>
      <w:r w:rsidRPr="00A06A59">
        <w:rPr>
          <w:rFonts w:ascii="Garamond" w:hAnsi="Garamond" w:cs="Arial"/>
          <w:color w:val="000000"/>
          <w:lang w:val="en-GB"/>
        </w:rPr>
        <w:t xml:space="preserve"> mehr über den Ton seiner Reden. (Im Traum </w:t>
      </w:r>
      <w:r w:rsidRPr="00A06A59">
        <w:rPr>
          <w:rFonts w:ascii="Garamond" w:hAnsi="Garamond" w:cs="Arial"/>
          <w:i/>
          <w:iCs/>
          <w:color w:val="000000"/>
          <w:lang w:val="en-GB"/>
        </w:rPr>
        <w:t>wundere</w:t>
      </w:r>
      <w:r w:rsidRPr="00A06A59">
        <w:rPr>
          <w:rFonts w:ascii="Garamond" w:hAnsi="Garamond" w:cs="Arial"/>
          <w:color w:val="000000"/>
          <w:lang w:val="en-GB"/>
        </w:rPr>
        <w:t xml:space="preserve"> ich mich über meine deutschnationale Gesinnung.) Großer Aufruhr; ich wurde von vielen Seiten </w:t>
      </w:r>
      <w:r w:rsidRPr="00A06A59">
        <w:rPr>
          <w:rFonts w:ascii="Garamond" w:hAnsi="Garamond" w:cs="Arial"/>
          <w:color w:val="000000"/>
          <w:lang w:val="en-GB"/>
        </w:rPr>
        <w:lastRenderedPageBreak/>
        <w:t xml:space="preserve">aufgefordert, meine Worte zurückzunehmen, blieb aber standhaft. Der Beleidigte war zu verständig, um das Ansinnen einer </w:t>
      </w:r>
      <w:r w:rsidRPr="00A06A59">
        <w:rPr>
          <w:rFonts w:ascii="Garamond" w:hAnsi="Garamond" w:cs="Arial"/>
          <w:i/>
          <w:iCs/>
          <w:color w:val="000000"/>
          <w:lang w:val="en-GB"/>
        </w:rPr>
        <w:t>Herausforderung</w:t>
      </w:r>
      <w:r w:rsidRPr="00A06A59">
        <w:rPr>
          <w:rFonts w:ascii="Garamond" w:hAnsi="Garamond" w:cs="Arial"/>
          <w:color w:val="000000"/>
          <w:lang w:val="en-GB"/>
        </w:rPr>
        <w:t>, das man an ihn richtete, anzunehmen, und ließ die Sache auf sich beruhen.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übrigen Elemente der Traumszene stammen aus tieferen Schichten. Was soll es bedeuten, daß der Graf den »Huflattich« proklamiert? Hier muß ich meine Assoziationsreihe befragen. </w:t>
      </w:r>
      <w:r w:rsidRPr="00A06A59">
        <w:rPr>
          <w:rFonts w:ascii="Garamond" w:hAnsi="Garamond" w:cs="Arial"/>
          <w:i/>
          <w:iCs/>
          <w:color w:val="000000"/>
          <w:lang w:val="en-GB"/>
        </w:rPr>
        <w:t>Huflattich – lattice – Salat – Salathund</w:t>
      </w:r>
      <w:r w:rsidRPr="00A06A59">
        <w:rPr>
          <w:rFonts w:ascii="Garamond" w:hAnsi="Garamond" w:cs="Arial"/>
          <w:color w:val="000000"/>
          <w:lang w:val="en-GB"/>
        </w:rPr>
        <w:t xml:space="preserve"> (der Hund, der anderen nicht gönnt, was er doch selber nicht frißt). Hier sieht man durch auf einen Vorrat an Schimpfwörtern: </w:t>
      </w:r>
      <w:r w:rsidRPr="00A06A59">
        <w:rPr>
          <w:rFonts w:ascii="Garamond" w:hAnsi="Garamond" w:cs="Arial"/>
          <w:i/>
          <w:iCs/>
          <w:color w:val="000000"/>
          <w:lang w:val="en-GB"/>
        </w:rPr>
        <w:t>Gir-affe, Schwein, Sau, Hund;</w:t>
      </w:r>
      <w:r w:rsidRPr="00A06A59">
        <w:rPr>
          <w:rFonts w:ascii="Garamond" w:hAnsi="Garamond" w:cs="Arial"/>
          <w:color w:val="000000"/>
          <w:lang w:val="en-GB"/>
        </w:rPr>
        <w:t xml:space="preserve"> ich wüßte auch auf dem Umweg über einen Namen zu einem Esel zu gelangen und damit wieder zu einem Hohn auf einen akademischen Lehrer. Außerdem übersetze ich mir ich weiß nicht, ob mit Recht </w:t>
      </w:r>
      <w:r w:rsidRPr="00A06A59">
        <w:rPr>
          <w:rFonts w:ascii="Garamond" w:hAnsi="Garamond" w:cs="Arial"/>
          <w:i/>
          <w:iCs/>
          <w:color w:val="000000"/>
          <w:lang w:val="en-GB"/>
        </w:rPr>
        <w:t>Huflattich</w:t>
      </w:r>
      <w:r w:rsidRPr="00A06A59">
        <w:rPr>
          <w:rFonts w:ascii="Garamond" w:hAnsi="Garamond" w:cs="Arial"/>
          <w:color w:val="000000"/>
          <w:lang w:val="en-GB"/>
        </w:rPr>
        <w:t xml:space="preserve"> mit » </w:t>
      </w:r>
      <w:r w:rsidRPr="00A06A59">
        <w:rPr>
          <w:rFonts w:ascii="Garamond" w:hAnsi="Garamond" w:cs="Arial"/>
          <w:i/>
          <w:iCs/>
          <w:color w:val="000000"/>
          <w:lang w:val="en-GB"/>
        </w:rPr>
        <w:t>pisse-en-lit</w:t>
      </w:r>
      <w:r w:rsidRPr="00A06A59">
        <w:rPr>
          <w:rFonts w:ascii="Garamond" w:hAnsi="Garamond" w:cs="Arial"/>
          <w:color w:val="000000"/>
          <w:lang w:val="en-GB"/>
        </w:rPr>
        <w:t xml:space="preserve">«. Die Kenntnis kommt mir aus dem Germinal </w:t>
      </w:r>
      <w:r w:rsidRPr="00A06A59">
        <w:rPr>
          <w:rFonts w:ascii="Garamond" w:hAnsi="Garamond" w:cs="Arial"/>
          <w:i/>
          <w:iCs/>
          <w:color w:val="000000"/>
          <w:lang w:val="en-GB"/>
        </w:rPr>
        <w:t>Zolas</w:t>
      </w:r>
      <w:r w:rsidRPr="00A06A59">
        <w:rPr>
          <w:rFonts w:ascii="Garamond" w:hAnsi="Garamond" w:cs="Arial"/>
          <w:color w:val="000000"/>
          <w:lang w:val="en-GB"/>
        </w:rPr>
        <w:t xml:space="preserve">, in dem die Kinder aufgefordert werden, solchen Salat mitzubringen. Der Hund – </w:t>
      </w:r>
      <w:r w:rsidRPr="00A06A59">
        <w:rPr>
          <w:rFonts w:ascii="Garamond" w:hAnsi="Garamond" w:cs="Arial"/>
          <w:i/>
          <w:iCs/>
          <w:color w:val="000000"/>
          <w:lang w:val="en-GB"/>
        </w:rPr>
        <w:t>chien</w:t>
      </w:r>
      <w:r w:rsidRPr="00A06A59">
        <w:rPr>
          <w:rFonts w:ascii="Garamond" w:hAnsi="Garamond" w:cs="Arial"/>
          <w:color w:val="000000"/>
          <w:lang w:val="en-GB"/>
        </w:rPr>
        <w:t xml:space="preserve"> – enthält in seinem Namen einen Anklang an die größere Funktion ( </w:t>
      </w:r>
      <w:r w:rsidRPr="00A06A59">
        <w:rPr>
          <w:rFonts w:ascii="Garamond" w:hAnsi="Garamond" w:cs="Arial"/>
          <w:i/>
          <w:iCs/>
          <w:color w:val="000000"/>
          <w:lang w:val="en-GB"/>
        </w:rPr>
        <w:t>chier</w:t>
      </w:r>
      <w:r w:rsidRPr="00A06A59">
        <w:rPr>
          <w:rFonts w:ascii="Garamond" w:hAnsi="Garamond" w:cs="Arial"/>
          <w:color w:val="000000"/>
          <w:lang w:val="en-GB"/>
        </w:rPr>
        <w:t xml:space="preserve">, wie </w:t>
      </w:r>
      <w:r w:rsidRPr="00A06A59">
        <w:rPr>
          <w:rFonts w:ascii="Garamond" w:hAnsi="Garamond" w:cs="Arial"/>
          <w:i/>
          <w:iCs/>
          <w:color w:val="000000"/>
          <w:lang w:val="en-GB"/>
        </w:rPr>
        <w:t>pisser</w:t>
      </w:r>
      <w:r w:rsidRPr="00A06A59">
        <w:rPr>
          <w:rFonts w:ascii="Garamond" w:hAnsi="Garamond" w:cs="Arial"/>
          <w:color w:val="000000"/>
          <w:lang w:val="en-GB"/>
        </w:rPr>
        <w:t xml:space="preserve"> für die kleinere). Nun werden wir bald das Unanständige in allen drei Aggregatzuständen beisammen haben; denn im selben </w:t>
      </w:r>
      <w:r w:rsidRPr="00A06A59">
        <w:rPr>
          <w:rFonts w:ascii="Garamond" w:hAnsi="Garamond" w:cs="Arial"/>
          <w:i/>
          <w:iCs/>
          <w:color w:val="000000"/>
          <w:lang w:val="en-GB"/>
        </w:rPr>
        <w:t>Germinal,</w:t>
      </w:r>
      <w:r w:rsidRPr="00A06A59">
        <w:rPr>
          <w:rFonts w:ascii="Garamond" w:hAnsi="Garamond" w:cs="Arial"/>
          <w:color w:val="000000"/>
          <w:lang w:val="en-GB"/>
        </w:rPr>
        <w:t xml:space="preserve"> der mit der künftigen Revolution genug zu tun hat, ist ein ganz eigentümlicher Wettkampf beschrieben, der sich auf die Produktion gasförmiger Exkretionen, </w:t>
      </w:r>
      <w:r w:rsidRPr="00A06A59">
        <w:rPr>
          <w:rFonts w:ascii="Garamond" w:hAnsi="Garamond" w:cs="Arial"/>
          <w:i/>
          <w:iCs/>
          <w:color w:val="000000"/>
          <w:lang w:val="en-GB"/>
        </w:rPr>
        <w:t>flatus</w:t>
      </w:r>
      <w:r w:rsidRPr="00A06A59">
        <w:rPr>
          <w:rFonts w:ascii="Garamond" w:hAnsi="Garamond" w:cs="Arial"/>
          <w:color w:val="000000"/>
          <w:lang w:val="en-GB"/>
        </w:rPr>
        <w:t xml:space="preserve"> genannt, bezieht </w:t>
      </w:r>
      <w:hyperlink r:id="rId9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Nicht im </w:t>
        </w:r>
        <w:r w:rsidRPr="00A06A59">
          <w:rPr>
            <w:rStyle w:val="innerfusslink3"/>
            <w:rFonts w:ascii="Garamond" w:hAnsi="Garamond" w:cs="Arial"/>
            <w:b/>
            <w:bCs/>
            <w:i/>
            <w:iCs/>
            <w:lang w:val="en-GB"/>
          </w:rPr>
          <w:t>Germinal,</w:t>
        </w:r>
        <w:r w:rsidRPr="00A06A59">
          <w:rPr>
            <w:rStyle w:val="innerfusslink3"/>
            <w:rFonts w:ascii="Garamond" w:hAnsi="Garamond" w:cs="Arial"/>
            <w:b/>
            <w:bCs/>
            <w:lang w:val="en-GB"/>
          </w:rPr>
          <w:t xml:space="preserve"> sondern in </w:t>
        </w:r>
        <w:r w:rsidRPr="00A06A59">
          <w:rPr>
            <w:rStyle w:val="innerfusslink3"/>
            <w:rFonts w:ascii="Garamond" w:hAnsi="Garamond" w:cs="Arial"/>
            <w:b/>
            <w:bCs/>
            <w:i/>
            <w:iCs/>
            <w:lang w:val="en-GB"/>
          </w:rPr>
          <w:t>La terre</w:t>
        </w:r>
        <w:r w:rsidRPr="00A06A59">
          <w:rPr>
            <w:rStyle w:val="innerfusslink3"/>
            <w:rFonts w:ascii="Garamond" w:hAnsi="Garamond" w:cs="Arial"/>
            <w:b/>
            <w:bCs/>
            <w:lang w:val="en-GB"/>
          </w:rPr>
          <w:t xml:space="preserve">. Ein Irrtum, der mir erst nach der Analyse bemerklich wird. Ich mache übrigens auf die identischen Buchstaben in </w:t>
        </w:r>
        <w:r w:rsidRPr="00A06A59">
          <w:rPr>
            <w:rStyle w:val="innerfusslink3"/>
            <w:rFonts w:ascii="Garamond" w:hAnsi="Garamond" w:cs="Arial"/>
            <w:b/>
            <w:bCs/>
            <w:i/>
            <w:iCs/>
            <w:lang w:val="en-GB"/>
          </w:rPr>
          <w:t>Huflattich</w:t>
        </w:r>
        <w:r w:rsidRPr="00A06A59">
          <w:rPr>
            <w:rStyle w:val="innerfusslink3"/>
            <w:rFonts w:ascii="Garamond" w:hAnsi="Garamond" w:cs="Arial"/>
            <w:b/>
            <w:bCs/>
            <w:lang w:val="en-GB"/>
          </w:rPr>
          <w:t xml:space="preserve"> und </w:t>
        </w:r>
        <w:r w:rsidRPr="00A06A59">
          <w:rPr>
            <w:rStyle w:val="innerfusslink3"/>
            <w:rFonts w:ascii="Garamond" w:hAnsi="Garamond" w:cs="Arial"/>
            <w:b/>
            <w:bCs/>
            <w:i/>
            <w:iCs/>
            <w:lang w:val="en-GB"/>
          </w:rPr>
          <w:t>flatus</w:t>
        </w:r>
        <w:r w:rsidRPr="00A06A59">
          <w:rPr>
            <w:rStyle w:val="innerfusslink3"/>
            <w:rFonts w:ascii="Garamond" w:hAnsi="Garamond" w:cs="Arial"/>
            <w:b/>
            <w:bCs/>
            <w:lang w:val="en-GB"/>
          </w:rPr>
          <w:t xml:space="preserve"> aufmerksam.</w:t>
        </w:r>
      </w:hyperlink>
      <w:r w:rsidRPr="00A06A59">
        <w:rPr>
          <w:rFonts w:ascii="Garamond" w:hAnsi="Garamond" w:cs="Arial"/>
          <w:color w:val="000000"/>
          <w:lang w:val="en-GB"/>
        </w:rPr>
        <w:t xml:space="preserve">. Und nun muß ich bemerken, wie der Weg zu diesem </w:t>
      </w:r>
      <w:r w:rsidRPr="00A06A59">
        <w:rPr>
          <w:rFonts w:ascii="Garamond" w:hAnsi="Garamond" w:cs="Arial"/>
          <w:i/>
          <w:iCs/>
          <w:color w:val="000000"/>
          <w:lang w:val="en-GB"/>
        </w:rPr>
        <w:t>flatus</w:t>
      </w:r>
      <w:r w:rsidRPr="00A06A59">
        <w:rPr>
          <w:rFonts w:ascii="Garamond" w:hAnsi="Garamond" w:cs="Arial"/>
          <w:color w:val="000000"/>
          <w:lang w:val="en-GB"/>
        </w:rPr>
        <w:t xml:space="preserve"> seit langem angelegt ist, von den </w:t>
      </w:r>
      <w:r w:rsidRPr="00A06A59">
        <w:rPr>
          <w:rFonts w:ascii="Garamond" w:hAnsi="Garamond" w:cs="Arial"/>
          <w:i/>
          <w:iCs/>
          <w:color w:val="000000"/>
          <w:lang w:val="en-GB"/>
        </w:rPr>
        <w:t>Blumen</w:t>
      </w:r>
      <w:r w:rsidRPr="00A06A59">
        <w:rPr>
          <w:rFonts w:ascii="Garamond" w:hAnsi="Garamond" w:cs="Arial"/>
          <w:color w:val="000000"/>
          <w:lang w:val="en-GB"/>
        </w:rPr>
        <w:t xml:space="preserve"> aus über das </w:t>
      </w:r>
      <w:r w:rsidRPr="00A06A59">
        <w:rPr>
          <w:rFonts w:ascii="Garamond" w:hAnsi="Garamond" w:cs="Arial"/>
          <w:i/>
          <w:iCs/>
          <w:color w:val="000000"/>
          <w:lang w:val="en-GB"/>
        </w:rPr>
        <w:t>spanische</w:t>
      </w:r>
      <w:r w:rsidRPr="00A06A59">
        <w:rPr>
          <w:rFonts w:ascii="Garamond" w:hAnsi="Garamond" w:cs="Arial"/>
          <w:color w:val="000000"/>
          <w:lang w:val="en-GB"/>
        </w:rPr>
        <w:t xml:space="preserve"> Verslein, die </w:t>
      </w:r>
      <w:r w:rsidRPr="00A06A59">
        <w:rPr>
          <w:rFonts w:ascii="Garamond" w:hAnsi="Garamond" w:cs="Arial"/>
          <w:i/>
          <w:iCs/>
          <w:color w:val="000000"/>
          <w:lang w:val="en-GB"/>
        </w:rPr>
        <w:t>Isabelita</w:t>
      </w:r>
      <w:r w:rsidRPr="00A06A59">
        <w:rPr>
          <w:rFonts w:ascii="Garamond" w:hAnsi="Garamond" w:cs="Arial"/>
          <w:color w:val="000000"/>
          <w:lang w:val="en-GB"/>
        </w:rPr>
        <w:t xml:space="preserve">, zu </w:t>
      </w:r>
      <w:r w:rsidRPr="00A06A59">
        <w:rPr>
          <w:rFonts w:ascii="Garamond" w:hAnsi="Garamond" w:cs="Arial"/>
          <w:i/>
          <w:iCs/>
          <w:color w:val="000000"/>
          <w:lang w:val="en-GB"/>
        </w:rPr>
        <w:t>Isabella</w:t>
      </w:r>
      <w:r w:rsidRPr="00A06A59">
        <w:rPr>
          <w:rFonts w:ascii="Garamond" w:hAnsi="Garamond" w:cs="Arial"/>
          <w:color w:val="000000"/>
          <w:lang w:val="en-GB"/>
        </w:rPr>
        <w:t xml:space="preserve"> und Ferdinand, über </w:t>
      </w:r>
      <w:r w:rsidRPr="00A06A59">
        <w:rPr>
          <w:rFonts w:ascii="Garamond" w:hAnsi="Garamond" w:cs="Arial"/>
          <w:i/>
          <w:iCs/>
          <w:color w:val="000000"/>
          <w:lang w:val="en-GB"/>
        </w:rPr>
        <w:t>Heinrich VIII.</w:t>
      </w:r>
      <w:r w:rsidRPr="00A06A59">
        <w:rPr>
          <w:rFonts w:ascii="Garamond" w:hAnsi="Garamond" w:cs="Arial"/>
          <w:color w:val="000000"/>
          <w:lang w:val="en-GB"/>
        </w:rPr>
        <w:t xml:space="preserve">, die </w:t>
      </w:r>
      <w:r w:rsidRPr="00A06A59">
        <w:rPr>
          <w:rFonts w:ascii="Garamond" w:hAnsi="Garamond" w:cs="Arial"/>
          <w:i/>
          <w:iCs/>
          <w:color w:val="000000"/>
          <w:lang w:val="en-GB"/>
        </w:rPr>
        <w:t>englische</w:t>
      </w:r>
      <w:r w:rsidRPr="00A06A59">
        <w:rPr>
          <w:rFonts w:ascii="Garamond" w:hAnsi="Garamond" w:cs="Arial"/>
          <w:color w:val="000000"/>
          <w:lang w:val="en-GB"/>
        </w:rPr>
        <w:t xml:space="preserve"> Geschichte zum Kampf der Armada gegen </w:t>
      </w:r>
      <w:r w:rsidRPr="00A06A59">
        <w:rPr>
          <w:rFonts w:ascii="Garamond" w:hAnsi="Garamond" w:cs="Arial"/>
          <w:i/>
          <w:iCs/>
          <w:color w:val="000000"/>
          <w:lang w:val="en-GB"/>
        </w:rPr>
        <w:t>England</w:t>
      </w:r>
      <w:r w:rsidRPr="00A06A59">
        <w:rPr>
          <w:rFonts w:ascii="Garamond" w:hAnsi="Garamond" w:cs="Arial"/>
          <w:color w:val="000000"/>
          <w:lang w:val="en-GB"/>
        </w:rPr>
        <w:t xml:space="preserve">, nach dessen siegreicher Beendigung die Engländer eine Medaille prägten mit der Inschrift </w:t>
      </w:r>
      <w:r w:rsidRPr="00A06A59">
        <w:rPr>
          <w:rFonts w:ascii="Garamond" w:hAnsi="Garamond" w:cs="Arial"/>
          <w:i/>
          <w:iCs/>
          <w:color w:val="000000"/>
          <w:lang w:val="en-GB"/>
        </w:rPr>
        <w:t xml:space="preserve">: </w:t>
      </w:r>
      <w:r w:rsidRPr="00A06A59">
        <w:rPr>
          <w:rFonts w:ascii="Garamond" w:hAnsi="Garamond" w:cs="Arial"/>
          <w:b/>
          <w:bCs/>
          <w:i/>
          <w:iCs/>
          <w:color w:val="000000"/>
          <w:lang w:val="en-GB"/>
        </w:rPr>
        <w:t>Flavit</w:t>
      </w:r>
      <w:r w:rsidRPr="00A06A59">
        <w:rPr>
          <w:rFonts w:ascii="Garamond" w:hAnsi="Garamond" w:cs="Arial"/>
          <w:i/>
          <w:iCs/>
          <w:color w:val="000000"/>
          <w:lang w:val="en-GB"/>
        </w:rPr>
        <w:t xml:space="preserve"> et dissipati sunt</w:t>
      </w:r>
      <w:r w:rsidRPr="00A06A59">
        <w:rPr>
          <w:rFonts w:ascii="Garamond" w:hAnsi="Garamond" w:cs="Arial"/>
          <w:color w:val="000000"/>
          <w:lang w:val="en-GB"/>
        </w:rPr>
        <w:t xml:space="preserve">, da der Sturmwind die spanische Flotte zerstreut hatte </w:t>
      </w:r>
      <w:hyperlink r:id="rId9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Der ungebetene Biograph, den ich gefunden habe, Dr. Fritz Wittels, hält mir vor, daß ich in obigem Denkspruch den Namen Jehovah ausgelassen habe. Auf der englischen Denkmünze ist der Gottesname in hebräischen Buchstaben enthalten, und zwar auf dem Hintergrund einer Wolke, aber in solcher Art, daß man ihn ebensowohl zum Bild als zur Inschrift gehörig auffassen kann.</w:t>
        </w:r>
      </w:hyperlink>
      <w:r w:rsidRPr="00A06A59">
        <w:rPr>
          <w:rFonts w:ascii="Garamond" w:hAnsi="Garamond" w:cs="Arial"/>
          <w:color w:val="000000"/>
          <w:lang w:val="en-GB"/>
        </w:rPr>
        <w:t>. Diesen Spruch gedachte ich aber zur halb scherzhaft gemeinten Überschrift des Kapitels »Therapie« zu nehmen, wenn ich je dazu gelangen sollte, ausführliche Kunde von meiner Auffassung und Behandlung der Hysterie zu geben.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Von der zweiten Szene des Traumes kann ich eine so ausführliche Auflösung nicht geben, und zwar aus Rücksichten der Zensur. Ich setze mich nämlich an die Stelle eines hohen Herrn jener Revolutionszeit, der auch ein Abenteuer mit einem </w:t>
      </w:r>
      <w:r w:rsidRPr="00A06A59">
        <w:rPr>
          <w:rFonts w:ascii="Garamond" w:hAnsi="Garamond" w:cs="Arial"/>
          <w:i/>
          <w:iCs/>
          <w:color w:val="000000"/>
          <w:lang w:val="en-GB"/>
        </w:rPr>
        <w:t>Adler</w:t>
      </w:r>
      <w:r w:rsidRPr="00A06A59">
        <w:rPr>
          <w:rFonts w:ascii="Garamond" w:hAnsi="Garamond" w:cs="Arial"/>
          <w:color w:val="000000"/>
          <w:lang w:val="en-GB"/>
        </w:rPr>
        <w:t xml:space="preserve"> gehabt, an </w:t>
      </w:r>
      <w:r w:rsidRPr="00A06A59">
        <w:rPr>
          <w:rFonts w:ascii="Garamond" w:hAnsi="Garamond" w:cs="Arial"/>
          <w:i/>
          <w:iCs/>
          <w:color w:val="000000"/>
          <w:lang w:val="en-GB"/>
        </w:rPr>
        <w:t>incontinentia alvi</w:t>
      </w:r>
      <w:r w:rsidRPr="00A06A59">
        <w:rPr>
          <w:rFonts w:ascii="Garamond" w:hAnsi="Garamond" w:cs="Arial"/>
          <w:color w:val="000000"/>
          <w:lang w:val="en-GB"/>
        </w:rPr>
        <w:t xml:space="preserve"> gelitten haben soll u. dgl., und ich glaube, </w:t>
      </w:r>
      <w:r w:rsidRPr="00A06A59">
        <w:rPr>
          <w:rFonts w:ascii="Garamond" w:hAnsi="Garamond" w:cs="Arial"/>
          <w:i/>
          <w:iCs/>
          <w:color w:val="000000"/>
          <w:lang w:val="en-GB"/>
        </w:rPr>
        <w:t>ich wäre nicht berechtigt, hier</w:t>
      </w:r>
      <w:r w:rsidRPr="00A06A59">
        <w:rPr>
          <w:rFonts w:ascii="Garamond" w:hAnsi="Garamond" w:cs="Arial"/>
          <w:color w:val="000000"/>
          <w:lang w:val="en-GB"/>
        </w:rPr>
        <w:t xml:space="preserve"> die Zensur </w:t>
      </w:r>
      <w:r w:rsidRPr="00A06A59">
        <w:rPr>
          <w:rFonts w:ascii="Garamond" w:hAnsi="Garamond" w:cs="Arial"/>
          <w:i/>
          <w:iCs/>
          <w:color w:val="000000"/>
          <w:lang w:val="en-GB"/>
        </w:rPr>
        <w:t>zu passieren</w:t>
      </w:r>
      <w:r w:rsidRPr="00A06A59">
        <w:rPr>
          <w:rFonts w:ascii="Garamond" w:hAnsi="Garamond" w:cs="Arial"/>
          <w:color w:val="000000"/>
          <w:lang w:val="en-GB"/>
        </w:rPr>
        <w:t xml:space="preserve">, obwohl ein </w:t>
      </w:r>
      <w:r w:rsidRPr="00A06A59">
        <w:rPr>
          <w:rFonts w:ascii="Garamond" w:hAnsi="Garamond" w:cs="Arial"/>
          <w:i/>
          <w:iCs/>
          <w:color w:val="000000"/>
          <w:lang w:val="en-GB"/>
        </w:rPr>
        <w:t>Hofrat</w:t>
      </w:r>
      <w:r w:rsidRPr="00A06A59">
        <w:rPr>
          <w:rFonts w:ascii="Garamond" w:hAnsi="Garamond" w:cs="Arial"/>
          <w:color w:val="000000"/>
          <w:lang w:val="en-GB"/>
        </w:rPr>
        <w:t xml:space="preserve"> ( </w:t>
      </w:r>
      <w:r w:rsidRPr="00A06A59">
        <w:rPr>
          <w:rFonts w:ascii="Garamond" w:hAnsi="Garamond" w:cs="Arial"/>
          <w:i/>
          <w:iCs/>
          <w:color w:val="000000"/>
          <w:lang w:val="en-GB"/>
        </w:rPr>
        <w:t>Aula, consiliarius aulicus</w:t>
      </w:r>
      <w:r w:rsidRPr="00A06A59">
        <w:rPr>
          <w:rFonts w:ascii="Garamond" w:hAnsi="Garamond" w:cs="Arial"/>
          <w:color w:val="000000"/>
          <w:lang w:val="en-GB"/>
        </w:rPr>
        <w:t xml:space="preserve">) mir den größeren Teil jener Geschichten erzählt hat. Die Reihe von Zimmern im Traum verdankt ihre Anregung dem Salonwagen Seiner Exzellenz, in den ich einen Moment hineinblicken konnte; sie bedeutet aber, wie so häufig im Traum, </w:t>
      </w:r>
      <w:r w:rsidRPr="00A06A59">
        <w:rPr>
          <w:rFonts w:ascii="Garamond" w:hAnsi="Garamond" w:cs="Arial"/>
          <w:i/>
          <w:iCs/>
          <w:color w:val="000000"/>
          <w:lang w:val="en-GB"/>
        </w:rPr>
        <w:t>Frauenzimmer</w:t>
      </w:r>
      <w:r w:rsidRPr="00A06A59">
        <w:rPr>
          <w:rFonts w:ascii="Garamond" w:hAnsi="Garamond" w:cs="Arial"/>
          <w:color w:val="000000"/>
          <w:lang w:val="en-GB"/>
        </w:rPr>
        <w:t xml:space="preserve"> (ärarische Frauenzimmer). Mit der Person der Haushälterin statte ich einer geistreichen älteren Dame schlechten Dank für die Bewirtung und die vielen guten Geschichten ab, die mir in ihrem Hause geboten worden sind. Der Zug mit der Lampe geht auf </w:t>
      </w:r>
      <w:r w:rsidRPr="00A06A59">
        <w:rPr>
          <w:rFonts w:ascii="Garamond" w:hAnsi="Garamond" w:cs="Arial"/>
          <w:i/>
          <w:iCs/>
          <w:color w:val="000000"/>
          <w:lang w:val="en-GB"/>
        </w:rPr>
        <w:t>Grillparzer</w:t>
      </w:r>
      <w:r w:rsidRPr="00A06A59">
        <w:rPr>
          <w:rFonts w:ascii="Garamond" w:hAnsi="Garamond" w:cs="Arial"/>
          <w:color w:val="000000"/>
          <w:lang w:val="en-GB"/>
        </w:rPr>
        <w:t xml:space="preserve"> zurück, der ein reizendes Erlebnis ähnlichen Inhaltes notiert und dann in »Hero und Leander« (des </w:t>
      </w:r>
      <w:r w:rsidRPr="00A06A59">
        <w:rPr>
          <w:rFonts w:ascii="Garamond" w:hAnsi="Garamond" w:cs="Arial"/>
          <w:i/>
          <w:iCs/>
          <w:color w:val="000000"/>
          <w:lang w:val="en-GB"/>
        </w:rPr>
        <w:t>Meeres</w:t>
      </w:r>
      <w:r w:rsidRPr="00A06A59">
        <w:rPr>
          <w:rFonts w:ascii="Garamond" w:hAnsi="Garamond" w:cs="Arial"/>
          <w:color w:val="000000"/>
          <w:lang w:val="en-GB"/>
        </w:rPr>
        <w:t xml:space="preserve"> und der Liebe </w:t>
      </w:r>
      <w:r w:rsidRPr="00A06A59">
        <w:rPr>
          <w:rFonts w:ascii="Garamond" w:hAnsi="Garamond" w:cs="Arial"/>
          <w:i/>
          <w:iCs/>
          <w:color w:val="000000"/>
          <w:lang w:val="en-GB"/>
        </w:rPr>
        <w:t>Wellen</w:t>
      </w:r>
      <w:r w:rsidRPr="00A06A59">
        <w:rPr>
          <w:rFonts w:ascii="Garamond" w:hAnsi="Garamond" w:cs="Arial"/>
          <w:color w:val="000000"/>
          <w:lang w:val="en-GB"/>
        </w:rPr>
        <w:t xml:space="preserve"> – die Armada und der </w:t>
      </w:r>
      <w:r w:rsidRPr="00A06A59">
        <w:rPr>
          <w:rFonts w:ascii="Garamond" w:hAnsi="Garamond" w:cs="Arial"/>
          <w:i/>
          <w:iCs/>
          <w:color w:val="000000"/>
          <w:lang w:val="en-GB"/>
        </w:rPr>
        <w:t>Sturm</w:t>
      </w:r>
      <w:r w:rsidRPr="00A06A59">
        <w:rPr>
          <w:rFonts w:ascii="Garamond" w:hAnsi="Garamond" w:cs="Arial"/>
          <w:color w:val="000000"/>
          <w:lang w:val="en-GB"/>
        </w:rPr>
        <w:t xml:space="preserve">) verwendet hat </w:t>
      </w:r>
      <w:hyperlink r:id="rId9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An diesem Teil des Traumes hat H. Silberer in einer inhaltsreichen Arbeit (1910) zu zeigen versucht, daß die Traumarbeit nicht nur die latenten Traumgedanken, sondern auch die psychischen Vorgänge bei der Traumbildung wiederzugeben vermöge. (»Das funktionale Phänomen.«) Ich meine aber, er übersieht dabei, daß die »psychischen Vorgänge bei der Traumbildung« für mich ein Gedanken </w:t>
        </w:r>
        <w:r w:rsidRPr="00A06A59">
          <w:rPr>
            <w:rStyle w:val="innerfusslink3"/>
            <w:rFonts w:ascii="Garamond" w:hAnsi="Garamond" w:cs="Arial"/>
            <w:b/>
            <w:bCs/>
            <w:i/>
            <w:iCs/>
            <w:lang w:val="en-GB"/>
          </w:rPr>
          <w:t>material</w:t>
        </w:r>
        <w:r w:rsidRPr="00A06A59">
          <w:rPr>
            <w:rStyle w:val="innerfusslink3"/>
            <w:rFonts w:ascii="Garamond" w:hAnsi="Garamond" w:cs="Arial"/>
            <w:b/>
            <w:bCs/>
            <w:lang w:val="en-GB"/>
          </w:rPr>
          <w:t xml:space="preserve"> sind, wie alles andere. In diesem übermütigen Traum bin ich offenbar stolz darauf, diese Vorgänge entdeckt zu haben.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Auch die detaillierte Analyse der beiden übrigen Traumstücke muß ich zurückhalten; ich werde nur jene Elemente herausgreifen, die zu den beiden Kinderszenen führen, um derentwillen ich den Traum überhaupt aufgenommen habe. Man wird mit Recht vermuten, daß es sexuelles Material ist, welches mich zu dieser Unterdrückung nötigt; man braucht sich aber mit dieser Aufklärung nicht zufriedenzugeben. Man macht doch sich selbst aus vielem kein Geheimnis, was man vor anderen als Geheimnis behandeln muß, und hier handelt es sich nicht um die Gründe, die mich nötigen, die Lösung zu verbergen, sondern um die Motive der inneren Zensur, welche den eigentlichen Inhalt des Traums vor mir selbst verstecken. Ich muß also darum sagen, daß die Analyse diese drei Traumstücke als impertinente Prahlereien, als Ausfluß eines lächerlichen, in meinem wachen Leben längst unterdrückten Größenwahns erkennen läßt, der sich mit einzelnen Ausläufern bis in den manifesten Trauminhalt wagt ( </w:t>
      </w:r>
      <w:r w:rsidRPr="00A06A59">
        <w:rPr>
          <w:rFonts w:ascii="Garamond" w:hAnsi="Garamond" w:cs="Arial"/>
          <w:i/>
          <w:iCs/>
          <w:color w:val="000000"/>
          <w:lang w:val="en-GB"/>
        </w:rPr>
        <w:t>ich komme mir schlau vor</w:t>
      </w:r>
      <w:r w:rsidRPr="00A06A59">
        <w:rPr>
          <w:rFonts w:ascii="Garamond" w:hAnsi="Garamond" w:cs="Arial"/>
          <w:color w:val="000000"/>
          <w:lang w:val="en-GB"/>
        </w:rPr>
        <w:t xml:space="preserve">), allerdings die übermütige Stimmung des Abends vor dem Träumen trefflich verstehen läßt. Prahlerei zwar auf allen Gebieten; so geht die Erwähnung von </w:t>
      </w:r>
      <w:r w:rsidRPr="00A06A59">
        <w:rPr>
          <w:rFonts w:ascii="Garamond" w:hAnsi="Garamond" w:cs="Arial"/>
          <w:i/>
          <w:iCs/>
          <w:color w:val="000000"/>
          <w:lang w:val="en-GB"/>
        </w:rPr>
        <w:t>Graz</w:t>
      </w:r>
      <w:r w:rsidRPr="00A06A59">
        <w:rPr>
          <w:rFonts w:ascii="Garamond" w:hAnsi="Garamond" w:cs="Arial"/>
          <w:color w:val="000000"/>
          <w:lang w:val="en-GB"/>
        </w:rPr>
        <w:t xml:space="preserve"> auf die Redensart »Was kostet Graz?«, in der man sich gefällt, wenn man sich überreich mit Geld versehen glaubt. Wer an Meister </w:t>
      </w:r>
      <w:r w:rsidRPr="00A06A59">
        <w:rPr>
          <w:rFonts w:ascii="Garamond" w:hAnsi="Garamond" w:cs="Arial"/>
          <w:i/>
          <w:iCs/>
          <w:color w:val="000000"/>
          <w:lang w:val="en-GB"/>
        </w:rPr>
        <w:t>Rabelais</w:t>
      </w:r>
      <w:r w:rsidRPr="00A06A59">
        <w:rPr>
          <w:rFonts w:ascii="Garamond" w:hAnsi="Garamond" w:cs="Arial"/>
          <w:color w:val="000000"/>
          <w:lang w:val="en-GB"/>
        </w:rPr>
        <w:t xml:space="preserve">' unübertroffene Schilderung von dem Leben und Taten des Gargantua und seines Sohnes Pantagruel denken will, wird auch den angedeuteten Inhalt des ersten Traumstücks unter die Prahlereien einreihen können. Zu den zwei versprochenen Kinderszenen gehört aber folgendes: Ich hatte für diese Reise einen </w:t>
      </w:r>
      <w:r w:rsidRPr="00A06A59">
        <w:rPr>
          <w:rFonts w:ascii="Garamond" w:hAnsi="Garamond" w:cs="Arial"/>
          <w:i/>
          <w:iCs/>
          <w:color w:val="000000"/>
          <w:lang w:val="en-GB"/>
        </w:rPr>
        <w:t>neuen</w:t>
      </w:r>
      <w:r w:rsidRPr="00A06A59">
        <w:rPr>
          <w:rFonts w:ascii="Garamond" w:hAnsi="Garamond" w:cs="Arial"/>
          <w:color w:val="000000"/>
          <w:lang w:val="en-GB"/>
        </w:rPr>
        <w:t xml:space="preserve"> Koffer gekauft, dessen Farbe, ein </w:t>
      </w:r>
      <w:r w:rsidRPr="00A06A59">
        <w:rPr>
          <w:rFonts w:ascii="Garamond" w:hAnsi="Garamond" w:cs="Arial"/>
          <w:i/>
          <w:iCs/>
          <w:color w:val="000000"/>
          <w:lang w:val="en-GB"/>
        </w:rPr>
        <w:t>Braunviolett</w:t>
      </w:r>
      <w:r w:rsidRPr="00A06A59">
        <w:rPr>
          <w:rFonts w:ascii="Garamond" w:hAnsi="Garamond" w:cs="Arial"/>
          <w:color w:val="000000"/>
          <w:lang w:val="en-GB"/>
        </w:rPr>
        <w:t xml:space="preserve">, im Traum mehrmals auftritt (violettbraune Veilchen aus starrem Stoff neben einem Ding, das man » </w:t>
      </w:r>
      <w:r w:rsidRPr="00A06A59">
        <w:rPr>
          <w:rFonts w:ascii="Garamond" w:hAnsi="Garamond" w:cs="Arial"/>
          <w:i/>
          <w:iCs/>
          <w:color w:val="000000"/>
          <w:lang w:val="en-GB"/>
        </w:rPr>
        <w:t>Mädchenfänger</w:t>
      </w:r>
      <w:r w:rsidRPr="00A06A59">
        <w:rPr>
          <w:rFonts w:ascii="Garamond" w:hAnsi="Garamond" w:cs="Arial"/>
          <w:color w:val="000000"/>
          <w:lang w:val="en-GB"/>
        </w:rPr>
        <w:t xml:space="preserve">« heißt – die Möbel in </w:t>
      </w:r>
      <w:r w:rsidRPr="00A06A59">
        <w:rPr>
          <w:rFonts w:ascii="Garamond" w:hAnsi="Garamond" w:cs="Arial"/>
          <w:color w:val="000000"/>
          <w:lang w:val="en-GB"/>
        </w:rPr>
        <w:lastRenderedPageBreak/>
        <w:t xml:space="preserve">den Regierungszimmern). Daß man mit etwas </w:t>
      </w:r>
      <w:r w:rsidRPr="00A06A59">
        <w:rPr>
          <w:rFonts w:ascii="Garamond" w:hAnsi="Garamond" w:cs="Arial"/>
          <w:i/>
          <w:iCs/>
          <w:color w:val="000000"/>
          <w:lang w:val="en-GB"/>
        </w:rPr>
        <w:t>Neuem</w:t>
      </w:r>
      <w:r w:rsidRPr="00A06A59">
        <w:rPr>
          <w:rFonts w:ascii="Garamond" w:hAnsi="Garamond" w:cs="Arial"/>
          <w:color w:val="000000"/>
          <w:lang w:val="en-GB"/>
        </w:rPr>
        <w:t xml:space="preserve"> den </w:t>
      </w:r>
      <w:r w:rsidRPr="00A06A59">
        <w:rPr>
          <w:rFonts w:ascii="Garamond" w:hAnsi="Garamond" w:cs="Arial"/>
          <w:i/>
          <w:iCs/>
          <w:color w:val="000000"/>
          <w:lang w:val="en-GB"/>
        </w:rPr>
        <w:t>Leuten auffällt</w:t>
      </w:r>
      <w:r w:rsidRPr="00A06A59">
        <w:rPr>
          <w:rFonts w:ascii="Garamond" w:hAnsi="Garamond" w:cs="Arial"/>
          <w:color w:val="000000"/>
          <w:lang w:val="en-GB"/>
        </w:rPr>
        <w:t xml:space="preserve">, ist ein bekannter Kinderglaube. Nun ist mir folgende Szene aus meinem Kinderleben erzählt worden, deren Erinnerung ersetzt ist durch die Erinnerung an die Erzählung. Ich soll – im Alter von zwei Jahren – noch gelegentlich das </w:t>
      </w:r>
      <w:r w:rsidRPr="00A06A59">
        <w:rPr>
          <w:rFonts w:ascii="Garamond" w:hAnsi="Garamond" w:cs="Arial"/>
          <w:i/>
          <w:iCs/>
          <w:color w:val="000000"/>
          <w:lang w:val="en-GB"/>
        </w:rPr>
        <w:t>Bett naß</w:t>
      </w:r>
      <w:r w:rsidRPr="00A06A59">
        <w:rPr>
          <w:rFonts w:ascii="Garamond" w:hAnsi="Garamond" w:cs="Arial"/>
          <w:color w:val="000000"/>
          <w:lang w:val="en-GB"/>
        </w:rPr>
        <w:t xml:space="preserve"> gemacht haben, und als ich dafür Vorwürfe zu hören bekam, den Vater durch das Versprechen </w:t>
      </w:r>
      <w:r w:rsidRPr="00A06A59">
        <w:rPr>
          <w:rFonts w:ascii="Garamond" w:hAnsi="Garamond" w:cs="Arial"/>
          <w:i/>
          <w:iCs/>
          <w:color w:val="000000"/>
          <w:lang w:val="en-GB"/>
        </w:rPr>
        <w:t>getröstet</w:t>
      </w:r>
      <w:r w:rsidRPr="00A06A59">
        <w:rPr>
          <w:rFonts w:ascii="Garamond" w:hAnsi="Garamond" w:cs="Arial"/>
          <w:color w:val="000000"/>
          <w:lang w:val="en-GB"/>
        </w:rPr>
        <w:t xml:space="preserve"> haben, daß ich ihm in N. (der nächsten größeren Stadt) ein </w:t>
      </w:r>
      <w:r w:rsidRPr="00A06A59">
        <w:rPr>
          <w:rFonts w:ascii="Garamond" w:hAnsi="Garamond" w:cs="Arial"/>
          <w:i/>
          <w:iCs/>
          <w:color w:val="000000"/>
          <w:lang w:val="en-GB"/>
        </w:rPr>
        <w:t>neues</w:t>
      </w:r>
      <w:r w:rsidRPr="00A06A59">
        <w:rPr>
          <w:rFonts w:ascii="Garamond" w:hAnsi="Garamond" w:cs="Arial"/>
          <w:color w:val="000000"/>
          <w:lang w:val="en-GB"/>
        </w:rPr>
        <w:t xml:space="preserve">, schönes </w:t>
      </w:r>
      <w:r w:rsidRPr="00A06A59">
        <w:rPr>
          <w:rFonts w:ascii="Garamond" w:hAnsi="Garamond" w:cs="Arial"/>
          <w:i/>
          <w:iCs/>
          <w:color w:val="000000"/>
          <w:lang w:val="en-GB"/>
        </w:rPr>
        <w:t>rotes</w:t>
      </w:r>
      <w:r w:rsidRPr="00A06A59">
        <w:rPr>
          <w:rFonts w:ascii="Garamond" w:hAnsi="Garamond" w:cs="Arial"/>
          <w:color w:val="000000"/>
          <w:lang w:val="en-GB"/>
        </w:rPr>
        <w:t xml:space="preserve"> Bett kaufen werde. (Daher im Traum die Einschaltung, daß wir das Glas </w:t>
      </w:r>
      <w:r w:rsidRPr="00A06A59">
        <w:rPr>
          <w:rFonts w:ascii="Garamond" w:hAnsi="Garamond" w:cs="Arial"/>
          <w:i/>
          <w:iCs/>
          <w:color w:val="000000"/>
          <w:lang w:val="en-GB"/>
        </w:rPr>
        <w:t>in der Stadt gekauft haben</w:t>
      </w:r>
      <w:r w:rsidRPr="00A06A59">
        <w:rPr>
          <w:rFonts w:ascii="Garamond" w:hAnsi="Garamond" w:cs="Arial"/>
          <w:color w:val="000000"/>
          <w:lang w:val="en-GB"/>
        </w:rPr>
        <w:t xml:space="preserve"> oder </w:t>
      </w:r>
      <w:r w:rsidRPr="00A06A59">
        <w:rPr>
          <w:rFonts w:ascii="Garamond" w:hAnsi="Garamond" w:cs="Arial"/>
          <w:i/>
          <w:iCs/>
          <w:color w:val="000000"/>
          <w:lang w:val="en-GB"/>
        </w:rPr>
        <w:t>kaufen mußten</w:t>
      </w:r>
      <w:r w:rsidRPr="00A06A59">
        <w:rPr>
          <w:rFonts w:ascii="Garamond" w:hAnsi="Garamond" w:cs="Arial"/>
          <w:color w:val="000000"/>
          <w:lang w:val="en-GB"/>
        </w:rPr>
        <w:t xml:space="preserve">; was man versprochen hat, </w:t>
      </w:r>
      <w:r w:rsidRPr="00A06A59">
        <w:rPr>
          <w:rFonts w:ascii="Garamond" w:hAnsi="Garamond" w:cs="Arial"/>
          <w:i/>
          <w:iCs/>
          <w:color w:val="000000"/>
          <w:lang w:val="en-GB"/>
        </w:rPr>
        <w:t>muß</w:t>
      </w:r>
      <w:r w:rsidRPr="00A06A59">
        <w:rPr>
          <w:rFonts w:ascii="Garamond" w:hAnsi="Garamond" w:cs="Arial"/>
          <w:color w:val="000000"/>
          <w:lang w:val="en-GB"/>
        </w:rPr>
        <w:t xml:space="preserve"> man halten.) (Man beachte übrigens die Zusammenstellung des männlichen Glases und des weiblichen Koffers, </w:t>
      </w:r>
      <w:r w:rsidRPr="00A06A59">
        <w:rPr>
          <w:rFonts w:ascii="Garamond" w:hAnsi="Garamond" w:cs="Arial"/>
          <w:i/>
          <w:iCs/>
          <w:color w:val="000000"/>
          <w:lang w:val="en-GB"/>
        </w:rPr>
        <w:t>box</w:t>
      </w:r>
      <w:r w:rsidRPr="00A06A59">
        <w:rPr>
          <w:rFonts w:ascii="Garamond" w:hAnsi="Garamond" w:cs="Arial"/>
          <w:color w:val="000000"/>
          <w:lang w:val="en-GB"/>
        </w:rPr>
        <w:t>.) Der ganze Größenwahn des Kindes ist in diesem Versprechen enthalten. Die Bedeutung der Harnschwierigkeiten des Kindes für den Traum ist uns bereits bei einer früheren Traumdeutung (vergleiche den Traum S. 139) aufgefallen. Aus den Psychoanalysen an Neurotischen haben wir auch den intimen Zusammenhang des Bettnässens mit dem Charakterzug des Ehrgeizes erkannt.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Dann gab es aber einmal einen anderen häuslichen Anstand, als ich sieben oder acht Jahre alt war, an den ich mich sehr wohl erinnere. Ich setzte mich abends vor dem Schlafengehen über das Gebot der Diskretion hinweg, Bedürfnisse nicht im Schlafzimmer der Eltern in deren Anwesenheit zu verrichten, und der Vater ließ in seiner Strafrede darüber die Bemerkung fallen: Aus dem Buben wird nichts werden. Es muß eine furchtbare Kränkung für meinen Ehrgeiz gewesen sein, denn Anspielungen an diese Szene kehren immer in meinen Träumen wieder und sind regelmäßig mit Aufzählung meiner Leistungen und Erfolge verknüpft, als wollte ich sagen: Siehst du, ich bin doch etwas geworden. Diese Kinderszene gibt nun den Stoff für das letzte Bild des Traumes, in dem natürlich zur Rache die Rollen vertauscht sind. Der ältere Mann, offenbar der Vater, da die Blindheit auf einem Auge sein einseitiges Glaukom bedeutet </w:t>
      </w:r>
      <w:hyperlink r:id="rId10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Andere Deutung: Er ist einäugig wie </w:t>
        </w:r>
        <w:r w:rsidRPr="00A06A59">
          <w:rPr>
            <w:rStyle w:val="innerfusslink3"/>
            <w:rFonts w:ascii="Garamond" w:hAnsi="Garamond" w:cs="Arial"/>
            <w:b/>
            <w:bCs/>
            <w:i/>
            <w:iCs/>
            <w:lang w:val="en-GB"/>
          </w:rPr>
          <w:t>Odhin</w:t>
        </w:r>
        <w:r w:rsidRPr="00A06A59">
          <w:rPr>
            <w:rStyle w:val="innerfusslink3"/>
            <w:rFonts w:ascii="Garamond" w:hAnsi="Garamond" w:cs="Arial"/>
            <w:b/>
            <w:bCs/>
            <w:lang w:val="en-GB"/>
          </w:rPr>
          <w:t xml:space="preserve">, der Göttervater.– </w:t>
        </w:r>
        <w:r w:rsidRPr="00A06A59">
          <w:rPr>
            <w:rStyle w:val="innerfusslink3"/>
            <w:rFonts w:ascii="Garamond" w:hAnsi="Garamond" w:cs="Arial"/>
            <w:b/>
            <w:bCs/>
            <w:i/>
            <w:iCs/>
            <w:lang w:val="en-GB"/>
          </w:rPr>
          <w:t>Odhins Trost</w:t>
        </w:r>
        <w:r w:rsidRPr="00A06A59">
          <w:rPr>
            <w:rStyle w:val="innerfusslink3"/>
            <w:rFonts w:ascii="Garamond" w:hAnsi="Garamond" w:cs="Arial"/>
            <w:b/>
            <w:bCs/>
            <w:lang w:val="en-GB"/>
          </w:rPr>
          <w:t xml:space="preserve">. – Der </w:t>
        </w:r>
        <w:r w:rsidRPr="00A06A59">
          <w:rPr>
            <w:rStyle w:val="innerfusslink3"/>
            <w:rFonts w:ascii="Garamond" w:hAnsi="Garamond" w:cs="Arial"/>
            <w:b/>
            <w:bCs/>
            <w:i/>
            <w:iCs/>
            <w:lang w:val="en-GB"/>
          </w:rPr>
          <w:t>Trost</w:t>
        </w:r>
        <w:r w:rsidRPr="00A06A59">
          <w:rPr>
            <w:rStyle w:val="innerfusslink3"/>
            <w:rFonts w:ascii="Garamond" w:hAnsi="Garamond" w:cs="Arial"/>
            <w:b/>
            <w:bCs/>
            <w:lang w:val="en-GB"/>
          </w:rPr>
          <w:t xml:space="preserve"> aus der Kinderszene, daß ich ihm ein neues Bett kaufen werde.</w:t>
        </w:r>
      </w:hyperlink>
      <w:r w:rsidRPr="00A06A59">
        <w:rPr>
          <w:rFonts w:ascii="Garamond" w:hAnsi="Garamond" w:cs="Arial"/>
          <w:color w:val="000000"/>
          <w:lang w:val="en-GB"/>
        </w:rPr>
        <w:t xml:space="preserve">, uriniert jetzt vor mir, wie ich damals vor ihm. Mit dem Glaukom mahne ich ihn an das Kokain, das ihm bei der Operation zugute kam, als hätte ich damit mein Versprechen erfüllt. Außerdem mache ich mich über ihn lustig; weil er blind ist, muß ich ihm das </w:t>
      </w:r>
      <w:r w:rsidRPr="00A06A59">
        <w:rPr>
          <w:rFonts w:ascii="Garamond" w:hAnsi="Garamond" w:cs="Arial"/>
          <w:i/>
          <w:iCs/>
          <w:color w:val="000000"/>
          <w:lang w:val="en-GB"/>
        </w:rPr>
        <w:t>Glas</w:t>
      </w:r>
      <w:r w:rsidRPr="00A06A59">
        <w:rPr>
          <w:rFonts w:ascii="Garamond" w:hAnsi="Garamond" w:cs="Arial"/>
          <w:color w:val="000000"/>
          <w:lang w:val="en-GB"/>
        </w:rPr>
        <w:t xml:space="preserve"> vorhalten und schwelge in Anspielungen an meine Erkenntnisse in der Lehre von der Hysterie, auf die ich stolz bin. </w:t>
      </w:r>
      <w:hyperlink r:id="rId101"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Dazu einiges Deutungsmaterial: Das Vorhalten des Glases erinnert an die Geschichte vom Bauern, der beim Optiker Glas nach Glas versucht, aber nicht lesen kann. – (Bauern </w:t>
        </w:r>
        <w:r w:rsidRPr="00A06A59">
          <w:rPr>
            <w:rStyle w:val="innerfusslink3"/>
            <w:rFonts w:ascii="Garamond" w:hAnsi="Garamond" w:cs="Arial"/>
            <w:b/>
            <w:bCs/>
            <w:i/>
            <w:iCs/>
          </w:rPr>
          <w:t>fänger</w:t>
        </w:r>
        <w:r w:rsidRPr="00A06A59">
          <w:rPr>
            <w:rStyle w:val="innerfusslink3"/>
            <w:rFonts w:ascii="Garamond" w:hAnsi="Garamond" w:cs="Arial"/>
            <w:b/>
            <w:bCs/>
          </w:rPr>
          <w:t xml:space="preserve"> Mädchen </w:t>
        </w:r>
        <w:r w:rsidRPr="00A06A59">
          <w:rPr>
            <w:rStyle w:val="innerfusslink3"/>
            <w:rFonts w:ascii="Garamond" w:hAnsi="Garamond" w:cs="Arial"/>
            <w:b/>
            <w:bCs/>
            <w:i/>
            <w:iCs/>
          </w:rPr>
          <w:t>fänger</w:t>
        </w:r>
        <w:r w:rsidRPr="00A06A59">
          <w:rPr>
            <w:rStyle w:val="innerfusslink3"/>
            <w:rFonts w:ascii="Garamond" w:hAnsi="Garamond" w:cs="Arial"/>
            <w:b/>
            <w:bCs/>
          </w:rPr>
          <w:t xml:space="preserve"> im vorigen Traumstück.) </w:t>
        </w:r>
        <w:r w:rsidRPr="00A06A59">
          <w:rPr>
            <w:rStyle w:val="innerfusslink3"/>
            <w:rFonts w:ascii="Garamond" w:hAnsi="Garamond" w:cs="Arial"/>
            <w:b/>
            <w:bCs/>
            <w:lang w:val="en-GB"/>
          </w:rPr>
          <w:t xml:space="preserve">Die Behandlung des schwachsinnig gewordenen Vaters bei den Bauern in </w:t>
        </w:r>
        <w:r w:rsidRPr="00A06A59">
          <w:rPr>
            <w:rStyle w:val="innerfusslink3"/>
            <w:rFonts w:ascii="Garamond" w:hAnsi="Garamond" w:cs="Arial"/>
            <w:b/>
            <w:bCs/>
            <w:i/>
            <w:iCs/>
            <w:lang w:val="en-GB"/>
          </w:rPr>
          <w:t>Zolas</w:t>
        </w:r>
        <w:r w:rsidRPr="00A06A59">
          <w:rPr>
            <w:rStyle w:val="innerfusslink3"/>
            <w:rFonts w:ascii="Garamond" w:hAnsi="Garamond" w:cs="Arial"/>
            <w:b/>
            <w:bCs/>
            <w:lang w:val="en-GB"/>
          </w:rPr>
          <w:t xml:space="preserve"> »La terre«. Die traurige Genugtuung, daß der Vater in seinen letzten Lebenstagen wie ein Kind das Bett beschmutzt hat; daher bin ich im Traum sein </w:t>
        </w:r>
        <w:r w:rsidRPr="00A06A59">
          <w:rPr>
            <w:rStyle w:val="innerfusslink3"/>
            <w:rFonts w:ascii="Garamond" w:hAnsi="Garamond" w:cs="Arial"/>
            <w:b/>
            <w:bCs/>
            <w:i/>
            <w:iCs/>
            <w:lang w:val="en-GB"/>
          </w:rPr>
          <w:t>Krankenpfleger</w:t>
        </w:r>
        <w:r w:rsidRPr="00A06A59">
          <w:rPr>
            <w:rStyle w:val="innerfusslink3"/>
            <w:rFonts w:ascii="Garamond" w:hAnsi="Garamond" w:cs="Arial"/>
            <w:b/>
            <w:bCs/>
            <w:lang w:val="en-GB"/>
          </w:rPr>
          <w:t xml:space="preserve">. » </w:t>
        </w:r>
        <w:r w:rsidRPr="00A06A59">
          <w:rPr>
            <w:rStyle w:val="innerfusslink3"/>
            <w:rFonts w:ascii="Garamond" w:hAnsi="Garamond" w:cs="Arial"/>
            <w:b/>
            <w:bCs/>
            <w:i/>
            <w:iCs/>
            <w:lang w:val="en-GB"/>
          </w:rPr>
          <w:t>Denken und Erleben sind hier gleichsam eins</w:t>
        </w:r>
        <w:r w:rsidRPr="00A06A59">
          <w:rPr>
            <w:rStyle w:val="innerfusslink3"/>
            <w:rFonts w:ascii="Garamond" w:hAnsi="Garamond" w:cs="Arial"/>
            <w:b/>
            <w:bCs/>
            <w:lang w:val="en-GB"/>
          </w:rPr>
          <w:t xml:space="preserve">« erinnert an ein stark revolutionäres Buchdrama von Oskar </w:t>
        </w:r>
        <w:r w:rsidRPr="00A06A59">
          <w:rPr>
            <w:rStyle w:val="innerfusslink3"/>
            <w:rFonts w:ascii="Garamond" w:hAnsi="Garamond" w:cs="Arial"/>
            <w:b/>
            <w:bCs/>
            <w:i/>
            <w:iCs/>
            <w:lang w:val="en-GB"/>
          </w:rPr>
          <w:t>Panizza</w:t>
        </w:r>
        <w:r w:rsidRPr="00A06A59">
          <w:rPr>
            <w:rStyle w:val="innerfusslink3"/>
            <w:rFonts w:ascii="Garamond" w:hAnsi="Garamond" w:cs="Arial"/>
            <w:b/>
            <w:bCs/>
            <w:lang w:val="en-GB"/>
          </w:rPr>
          <w:t xml:space="preserve">, in dem Gottvater als paralytischer Greis schmählich genug behandelt wird; dort heißt es: Wille und Tat sind bei ihm eines, und er muß von seinem Erzengel, einer Art Ganymed, abgehalten werden zu schimpfen und zu fluchen, weil diese Verwünschungen sich sofort erfüllen würden. – Das </w:t>
        </w:r>
        <w:r w:rsidRPr="00A06A59">
          <w:rPr>
            <w:rStyle w:val="innerfusslink3"/>
            <w:rFonts w:ascii="Garamond" w:hAnsi="Garamond" w:cs="Arial"/>
            <w:b/>
            <w:bCs/>
            <w:i/>
            <w:iCs/>
            <w:lang w:val="en-GB"/>
          </w:rPr>
          <w:t>Pläne</w:t>
        </w:r>
        <w:r w:rsidRPr="00A06A59">
          <w:rPr>
            <w:rStyle w:val="innerfusslink3"/>
            <w:rFonts w:ascii="Garamond" w:hAnsi="Garamond" w:cs="Arial"/>
            <w:b/>
            <w:bCs/>
            <w:lang w:val="en-GB"/>
          </w:rPr>
          <w:t xml:space="preserve">machen ist ein aus späterer Zeit der Kritik stammender Vorwurf gegen den Vater, wie überhaupt der ganze rebellische, majestätsbeleidigende und die hohe Obrigkeit verhöhnende Inhalt des Traums auf Auflehnung gegen den Vater zurückgeht. Der Fürst heißt Landesvater, und der Vater ist die älteste, erste, für das Kind einzige Autorität, aus deren Machtvollkommenheit im Laufe der menschlichen Kulturgeschichte die anderen sozialen Obrigkeiten hervorgegangen sind (insofern nicht das »Mutterrecht« zur Einschränkung dieses Satzes nötigt). – Die Fassung im Traum, » </w:t>
        </w:r>
        <w:r w:rsidRPr="00A06A59">
          <w:rPr>
            <w:rStyle w:val="innerfusslink3"/>
            <w:rFonts w:ascii="Garamond" w:hAnsi="Garamond" w:cs="Arial"/>
            <w:b/>
            <w:bCs/>
            <w:i/>
            <w:iCs/>
            <w:lang w:val="en-GB"/>
          </w:rPr>
          <w:t>Denken und Erleben sind eins</w:t>
        </w:r>
        <w:r w:rsidRPr="00A06A59">
          <w:rPr>
            <w:rStyle w:val="innerfusslink3"/>
            <w:rFonts w:ascii="Garamond" w:hAnsi="Garamond" w:cs="Arial"/>
            <w:b/>
            <w:bCs/>
            <w:lang w:val="en-GB"/>
          </w:rPr>
          <w:t xml:space="preserve">«, zielt auf die Erklärung der hysterischen Symptome, zu der auch das </w:t>
        </w:r>
        <w:r w:rsidRPr="00A06A59">
          <w:rPr>
            <w:rStyle w:val="innerfusslink3"/>
            <w:rFonts w:ascii="Garamond" w:hAnsi="Garamond" w:cs="Arial"/>
            <w:b/>
            <w:bCs/>
            <w:i/>
            <w:iCs/>
            <w:lang w:val="en-GB"/>
          </w:rPr>
          <w:t>männliche Glas</w:t>
        </w:r>
        <w:r w:rsidRPr="00A06A59">
          <w:rPr>
            <w:rStyle w:val="innerfusslink3"/>
            <w:rFonts w:ascii="Garamond" w:hAnsi="Garamond" w:cs="Arial"/>
            <w:b/>
            <w:bCs/>
            <w:lang w:val="en-GB"/>
          </w:rPr>
          <w:t xml:space="preserve"> eine Beziehung hat. Einem Wiener brauchte ich das Prinzip des »Gschnas« nicht auseinanderzusetzen; es besteht darin, Gegenstände von seltenem und wertvollem Ansehen aus trivialem, am liebsten komischem und wertlosem Material herzustellen, z. B. Rüstungen aus Kochtöpfen, Strohwischen und Salzstangeln, wie es unsere Künstler an ihren lustigen Abenden lieben. Ich hatte nun gemerkt, daß die Hysterischen es ebenso machen; neben dem, was ihnen wirklich zugestoßen ist, gestalten sie sich unbewußt gräßliche oder ausschweifende Phantasiebegebenheiten, die sie aus dem harmlosesten und banalsten Material des Erlebens aufbauen. An diesen Phantasien hängen erst die Symptome, nicht an den Erinnerungen der wirklichen Begebenheiten, seien diese nun ernsthaft oder gleichfalls harmlos. Diese Aufklärung hatte mir über viele Schwierigkeiten hinweggeholfen und machte mir viel Freude. Ich konnte sie mit dem Traumelement des » </w:t>
        </w:r>
        <w:r w:rsidRPr="00A06A59">
          <w:rPr>
            <w:rStyle w:val="innerfusslink3"/>
            <w:rFonts w:ascii="Garamond" w:hAnsi="Garamond" w:cs="Arial"/>
            <w:b/>
            <w:bCs/>
            <w:i/>
            <w:iCs/>
            <w:lang w:val="en-GB"/>
          </w:rPr>
          <w:t>männlichen Glases</w:t>
        </w:r>
        <w:r w:rsidRPr="00A06A59">
          <w:rPr>
            <w:rStyle w:val="innerfusslink3"/>
            <w:rFonts w:ascii="Garamond" w:hAnsi="Garamond" w:cs="Arial"/>
            <w:b/>
            <w:bCs/>
            <w:lang w:val="en-GB"/>
          </w:rPr>
          <w:t xml:space="preserve">« andeuten, weil mir von dem letzten »Gschnasabend« erzählt worden war, es sei dort ein Giftbecher der Lucrezia Borgia ausgestellt gewesen, dessen Kern und Hauptbestandteil ein </w:t>
        </w:r>
        <w:r w:rsidRPr="00A06A59">
          <w:rPr>
            <w:rStyle w:val="innerfusslink3"/>
            <w:rFonts w:ascii="Garamond" w:hAnsi="Garamond" w:cs="Arial"/>
            <w:b/>
            <w:bCs/>
            <w:i/>
            <w:iCs/>
            <w:lang w:val="en-GB"/>
          </w:rPr>
          <w:t>Uringlas</w:t>
        </w:r>
        <w:r w:rsidRPr="00A06A59">
          <w:rPr>
            <w:rStyle w:val="innerfusslink3"/>
            <w:rFonts w:ascii="Garamond" w:hAnsi="Garamond" w:cs="Arial"/>
            <w:b/>
            <w:bCs/>
            <w:lang w:val="en-GB"/>
          </w:rPr>
          <w:t xml:space="preserve"> für Männer, wie es in den Spitälern gebräuchlich ist, gebildet hätte.</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die beiden Urinierszenen aus der Kindheit bei mir ohnedies mit dem Thema der Größensucht eng verbunden sind, so kam ihrer Erweckung auf der Reise nach Aussee noch der zufällige Umstand zugute, daß mein Coupé kein Klosett besaß und ich vorbereitet sein mußte, während der Fahrt in Verlegenheit zu kommen, was dann am Morgen auch eintraf. Ich erwachte dann mit den Empfindungen des körperlichen Bedürfnisses. Ich meine, man könnte </w:t>
      </w:r>
      <w:r w:rsidRPr="00A06A59">
        <w:rPr>
          <w:rFonts w:ascii="Garamond" w:hAnsi="Garamond" w:cs="Arial"/>
          <w:color w:val="000000"/>
          <w:lang w:val="en-GB"/>
        </w:rPr>
        <w:lastRenderedPageBreak/>
        <w:t>geneigt sein, diesen Empfindungen die Rolle des eigentlichen Traumerregers zuzuweisen, würde aber einer anderen Auffassung den Vorzug geben, nämlich daß die Traumgedanken erst den Harndrang hervorgerufen haben. Es ist bei mir ganz ungewöhnlich, daß ich durch irgendein Bedürfnis im Schlaf gestört werde, am wenigsten um die Zeit dieses Erwachens, drei Viertel drei Uhr morgens. Einem weiteren Einwand begegne ich durch die Bemerkung, daß ich auf anderen Reisen unter bequemeren Verhältnissen fast niemals den Harndrang nach frühzeitigem Erwachen verspürt habe. Übrigens kann ich diesen Punkt auch ohne Schaden unentschieden lassen.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Seitdem ich ferner durch Erfahrungen bei der Traumanalyse aufmerksam gemacht worden bin, daß auch von Träumen, deren Deutung zunächst vollständig erscheint, weil Traumquellen und Wunscherreger leicht nachweisbar sind, – daß auch von solchen Träumen wichtige Gedankenfäden ausgehen, die bis in die früheste Kindheit hineinreichen, habe ich mich fragen müssen, ob nicht auch in diesem Zug eine wesentliche Bedingung des Träumens gegeben ist. Wenn ich diesen Gedanken verallgemeinern dürfte, so käme jedem Traum in seinem manifesten Inhalt eine Anknüpfung an das rezent Erlebte zu, in seinem latenten Inhalt aber eine Anknüpfung an das älteste Erlebte, von dem ich bei der Analyse der Hysterie wirklich zeigen kann, daß es im guten Sinne bis auf die Gegenwart rezent geblieben ist. Diese Vermutung erscheint aber noch recht schwer erweislich; ich werde auf die wahrscheinliche Rolle frühester Kindheitserlebnisse für die Traumbildung noch in anderem Zusammenhange (Abschnitt VII) zurückkommen müssen.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Von den drei eingangs betrachteten Besonderheiten des Traumgedächtnisses hat sich uns die eine – die Bevorzugung des Nebensächlichen im Trauminhalt – durch ihre Zurückführung auf die </w:t>
      </w:r>
      <w:r w:rsidRPr="00A06A59">
        <w:rPr>
          <w:rFonts w:ascii="Garamond" w:hAnsi="Garamond" w:cs="Arial"/>
          <w:i/>
          <w:iCs/>
          <w:color w:val="000000"/>
          <w:lang w:val="en-GB"/>
        </w:rPr>
        <w:t>Traumentstellung</w:t>
      </w:r>
      <w:r w:rsidRPr="00A06A59">
        <w:rPr>
          <w:rFonts w:ascii="Garamond" w:hAnsi="Garamond" w:cs="Arial"/>
          <w:color w:val="000000"/>
          <w:lang w:val="en-GB"/>
        </w:rPr>
        <w:t xml:space="preserve"> befriedigend gelöst. Die beiden anderen, die Auszeichnung des Rezenten wie des Infantilen haben wir bestätigen, aber nicht aus den Motiven des Träumens ableiten können. Wir wollen diese beiden Charaktere, deren Erklärung oder Verwertung uns erübrigt, im Gedächtnis behalten; sie werden anderswo ihre Einreihung finden müssen, entweder in der Psychologie des Schlafzustandes oder bei jenen Erwägungen über den Aufbau des seelischen Apparats, die wir später anstellen werden, wenn wir gemerkt haben, daß man durch die Traumdeutung wie durch eine Fensterlücke in das Innere desselben einen Blick werfen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anderes Ergebnis der letzten Traumanalysen will ich aber gleich hier hervorheben. Der Traum erscheint häufig </w:t>
      </w:r>
      <w:r w:rsidRPr="00A06A59">
        <w:rPr>
          <w:rFonts w:ascii="Garamond" w:hAnsi="Garamond" w:cs="Arial"/>
          <w:i/>
          <w:iCs/>
          <w:color w:val="000000"/>
          <w:lang w:val="en-GB"/>
        </w:rPr>
        <w:t>mehrdeutig</w:t>
      </w:r>
      <w:r w:rsidRPr="00A06A59">
        <w:rPr>
          <w:rFonts w:ascii="Garamond" w:hAnsi="Garamond" w:cs="Arial"/>
          <w:color w:val="000000"/>
          <w:lang w:val="en-GB"/>
        </w:rPr>
        <w:t xml:space="preserve">; es können nicht nur, wie Beispiele zeigen, mehrere Wunscherfüllungen nebeneinander in ihm vereinigt sein; es kann auch ein Sinn, eine Wunscherfüllung die andere decken, bis man zuunterst auf die Erfüllung eines Wunsches aus der ersten Kindheit stößt, und auch hier wieder die Erwägung, ob in diesem Satze das »häufig« nicht richtiger durch »regelmäßig« zu ersetzen ist </w:t>
      </w:r>
      <w:hyperlink r:id="rId10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 Übereinanderschichtung der Bedeutungen des Traums ist eines der heikelsten, aber auch inhaltsreichsten Probleme der Traumdeutung. Wer an diese Möglichkeit vergißt, wird leicht irregehen und zur Aufstellung unhaltbarer Behauptungen über das Wesen des Traums verleitet werden. Doch sind über dieses Thema noch viel zu wenige Untersuchungen angestellt worden. Bisher hat nur die ziemlich regelmäßige Symbolschichtung im Harnreiztraume eine gründliche Würdigung durch O.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xml:space="preserve"> erfahren.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C. Di</w:t>
        </w:r>
        <w:bookmarkStart w:id="69" w:name="VC"/>
        <w:bookmarkEnd w:id="69"/>
        <w:r w:rsidRPr="00A06A59">
          <w:rPr>
            <w:rStyle w:val="Lienhypertexte"/>
            <w:rFonts w:ascii="Garamond" w:hAnsi="Garamond" w:cs="Arial"/>
            <w:b/>
            <w:bCs/>
            <w:lang w:val="en-GB"/>
          </w:rPr>
          <w:t>e somatischen Traumquellen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man den Versuch macht, einen gebildeten Laien für die Probleme des Traumes zu interessieren, und in dieser Absicht die Frage an ihn richtet, aus welchen Quellen wohl nach seiner Meinung die Träume herrühren, so merkt man zumeist, daß der Gefragte im gesicherten Besitz dieses Teils der Lösung zu sein vermeint. Er gedenkt sofort des Einflusses, den gestörte oder beschwerte Verdauung (»Träume kommen aus dem Magen«), zufällige Körperlage und kleine Erlebnisse während des Schlafens auf die Traumbildung äußern, und scheint nicht zu ahnen, daß nach Berücksichtigung all dieser Momente etwas der Erklärung Bedürftiges noch erübrigt.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Welche Rolle für die Traumbildung die wissenschaftliche Literatur den somatischen Reizquellen zugesteht, haben wir im einleitenden Abschnitt (S. 15) ausführlich auseinandergesetzt, so daß wir uns hier nur an die Ergebnisse dieser Untersuchung zu erinnern brauchen. Wir haben gehört, daß dreierlei somatische Reizquellen unterschieden werden, die von äußeren Objekten ausgehenden objektiven Sinnesreize, die nur subjektiv begründeten inneren Erregungszustände der Sinnesorgane und die aus dem Körperinnern stammenden Leibreize, und wir haben die Neigung der Autoren bemerkt, neben diesen somatischen Reizquellen etwaige </w:t>
      </w:r>
      <w:r w:rsidRPr="00A06A59">
        <w:rPr>
          <w:rFonts w:ascii="Garamond" w:hAnsi="Garamond" w:cs="Arial"/>
          <w:i/>
          <w:iCs/>
          <w:color w:val="000000"/>
          <w:lang w:val="en-GB"/>
        </w:rPr>
        <w:t>psychische</w:t>
      </w:r>
      <w:r w:rsidRPr="00A06A59">
        <w:rPr>
          <w:rFonts w:ascii="Garamond" w:hAnsi="Garamond" w:cs="Arial"/>
          <w:color w:val="000000"/>
          <w:lang w:val="en-GB"/>
        </w:rPr>
        <w:t xml:space="preserve"> Quellen des Traumes in den Hintergrund zu drängen oder ganz auszuschalten (S. 29). Bei der Prüfung der Ansprüche, welche zugunsten von somatischen Reizquellen erhoben werden, haben wir erfahren, daß die Bedeutung der </w:t>
      </w:r>
      <w:r w:rsidRPr="00A06A59">
        <w:rPr>
          <w:rFonts w:ascii="Garamond" w:hAnsi="Garamond" w:cs="Arial"/>
          <w:i/>
          <w:iCs/>
          <w:color w:val="000000"/>
          <w:lang w:val="en-GB"/>
        </w:rPr>
        <w:t>objektiven</w:t>
      </w:r>
      <w:r w:rsidRPr="00A06A59">
        <w:rPr>
          <w:rFonts w:ascii="Garamond" w:hAnsi="Garamond" w:cs="Arial"/>
          <w:color w:val="000000"/>
          <w:lang w:val="en-GB"/>
        </w:rPr>
        <w:t xml:space="preserve"> Sinnesorganerregungen teils zufällige Reize während des Schlafes, teils solche, die sich auch vom schlafenden Seelenleben nicht fernehalten lassen durch zahlreiche Beobachtungen sichergestellt wird und durch das Experiment eine Bestätigung erfährt (S. 18), daß die Rolle der </w:t>
      </w:r>
      <w:r w:rsidRPr="00A06A59">
        <w:rPr>
          <w:rFonts w:ascii="Garamond" w:hAnsi="Garamond" w:cs="Arial"/>
          <w:i/>
          <w:iCs/>
          <w:color w:val="000000"/>
          <w:lang w:val="en-GB"/>
        </w:rPr>
        <w:t>subjektiven</w:t>
      </w:r>
      <w:r w:rsidRPr="00A06A59">
        <w:rPr>
          <w:rFonts w:ascii="Garamond" w:hAnsi="Garamond" w:cs="Arial"/>
          <w:color w:val="000000"/>
          <w:lang w:val="en-GB"/>
        </w:rPr>
        <w:t xml:space="preserve"> Sinneserregungen durch die Wiederkehr der hypnagogischen Sinnesbilder in den Träumen (S. 22) dargetan erscheint und daß die im weitesten Umfang angenommene Zurückführung unserer Traumbilder und Traumvorstellungen auf </w:t>
      </w:r>
      <w:r w:rsidRPr="00A06A59">
        <w:rPr>
          <w:rFonts w:ascii="Garamond" w:hAnsi="Garamond" w:cs="Arial"/>
          <w:i/>
          <w:iCs/>
          <w:color w:val="000000"/>
          <w:lang w:val="en-GB"/>
        </w:rPr>
        <w:t>inneren</w:t>
      </w:r>
      <w:r w:rsidRPr="00A06A59">
        <w:rPr>
          <w:rFonts w:ascii="Garamond" w:hAnsi="Garamond" w:cs="Arial"/>
          <w:color w:val="000000"/>
          <w:lang w:val="en-GB"/>
        </w:rPr>
        <w:t xml:space="preserve"> Leibreiz zwar nicht in ihrer ganzen Breite beweisbar ist, aber sich an die allbekannte Beeinflussung anlehnen kann, welche der Erregungszustand der Digestions-, Harn- und Sexualorgane auf den Inhalt unserer Träume ausübt.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 </w:t>
      </w:r>
      <w:r w:rsidRPr="00A06A59">
        <w:rPr>
          <w:rFonts w:ascii="Garamond" w:hAnsi="Garamond" w:cs="Arial"/>
          <w:i/>
          <w:iCs/>
          <w:color w:val="000000"/>
        </w:rPr>
        <w:t>Nervenreiz</w:t>
      </w:r>
      <w:r w:rsidRPr="00A06A59">
        <w:rPr>
          <w:rFonts w:ascii="Garamond" w:hAnsi="Garamond" w:cs="Arial"/>
          <w:color w:val="000000"/>
        </w:rPr>
        <w:t xml:space="preserve">« und » </w:t>
      </w:r>
      <w:r w:rsidRPr="00A06A59">
        <w:rPr>
          <w:rFonts w:ascii="Garamond" w:hAnsi="Garamond" w:cs="Arial"/>
          <w:i/>
          <w:iCs/>
          <w:color w:val="000000"/>
        </w:rPr>
        <w:t>Leibreiz</w:t>
      </w:r>
      <w:r w:rsidRPr="00A06A59">
        <w:rPr>
          <w:rFonts w:ascii="Garamond" w:hAnsi="Garamond" w:cs="Arial"/>
          <w:color w:val="000000"/>
        </w:rPr>
        <w:t>« wären also die somatischen Quellen des Traumes, d. h. nach mehreren Autoren die einzigen Quellen des Traumes überhaupt.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Wir haben aber auch bereits einer Reihe von Zweifeln Gehör geschenkt, welche nicht sowohl die Richtigkeit als vielmehr die Zulänglichkeit der somatischen Reiztheorie anzugreifen schienen.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So sicher sich alle Vertreter dieser Lehre bezüglich deren tatsächlichen Grundlagen fühlen mußten – zumal soweit die akzidentellen und äußeren Nervenreize in Betracht kommen, die im Trauminhalt wiederzufinden keinerlei Mühe erfordert, – so blieb doch keiner der Einsicht ferne, daß der reiche Vorstellungsinhalt der Träume eine Ableitung aus den äußeren Nervenreizen allein nicht wohl zulasse. Miß Mary Whiton </w:t>
      </w:r>
      <w:r w:rsidRPr="00A06A59">
        <w:rPr>
          <w:rFonts w:ascii="Garamond" w:hAnsi="Garamond" w:cs="Arial"/>
          <w:i/>
          <w:iCs/>
          <w:color w:val="000000"/>
        </w:rPr>
        <w:t>Calkins</w:t>
      </w:r>
      <w:r w:rsidRPr="00A06A59">
        <w:rPr>
          <w:rFonts w:ascii="Garamond" w:hAnsi="Garamond" w:cs="Arial"/>
          <w:color w:val="000000"/>
        </w:rPr>
        <w:t xml:space="preserve"> hat ihre eigenen Träume und die einer zweiten Person durch sechs Wochen hindurch von diesem Gesichtspunkte aus geprüft und nur 13,2 Prozent, respektive 6,7 Prozent, gefunden, in denen das Element äußerer Sinneswahrnehmung nachweisbar war; nur zwei Fälle der Sammlung ließen sich auf organische Empfindungen zurückführen. Die Statistik bestätigt uns hier, was uns bereits eine flüchtige Überschau unserer eigenen Erfahrungen hatte vermuten lassen.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Man beschied sich vielfach, den »Nervenreiztraum« als eine gut erforschte Unterart des Traumes vor anderen Traumformen hervorzuheben. </w:t>
      </w:r>
      <w:r w:rsidRPr="00A06A59">
        <w:rPr>
          <w:rFonts w:ascii="Garamond" w:hAnsi="Garamond" w:cs="Arial"/>
          <w:i/>
          <w:iCs/>
          <w:color w:val="000000"/>
        </w:rPr>
        <w:t>Spitta</w:t>
      </w:r>
      <w:r w:rsidRPr="00A06A59">
        <w:rPr>
          <w:rFonts w:ascii="Garamond" w:hAnsi="Garamond" w:cs="Arial"/>
          <w:color w:val="000000"/>
        </w:rPr>
        <w:t xml:space="preserve"> trennte die Träume in </w:t>
      </w:r>
      <w:r w:rsidRPr="00A06A59">
        <w:rPr>
          <w:rFonts w:ascii="Garamond" w:hAnsi="Garamond" w:cs="Arial"/>
          <w:i/>
          <w:iCs/>
          <w:color w:val="000000"/>
        </w:rPr>
        <w:t>Nervenreiz-</w:t>
      </w:r>
      <w:r w:rsidRPr="00A06A59">
        <w:rPr>
          <w:rFonts w:ascii="Garamond" w:hAnsi="Garamond" w:cs="Arial"/>
          <w:color w:val="000000"/>
        </w:rPr>
        <w:t xml:space="preserve"> und </w:t>
      </w:r>
      <w:r w:rsidRPr="00A06A59">
        <w:rPr>
          <w:rFonts w:ascii="Garamond" w:hAnsi="Garamond" w:cs="Arial"/>
          <w:i/>
          <w:iCs/>
          <w:color w:val="000000"/>
        </w:rPr>
        <w:t>Assoziationstraum</w:t>
      </w:r>
      <w:r w:rsidRPr="00A06A59">
        <w:rPr>
          <w:rFonts w:ascii="Garamond" w:hAnsi="Garamond" w:cs="Arial"/>
          <w:color w:val="000000"/>
        </w:rPr>
        <w:t>. Es war aber klar, daß die Lösung unbefriedigend blieb, solange es nicht gelang, das Band zwischen den somatischen Traumquellen und dem Vorstellungsinhalt des Traumes nachzuweisen.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Neben den ersten Einwand, der Unzulänglichkeit in der Häufigkeit der äußeren Reizquellen, stellt sich so als zweiter die Unzulänglichkeit in der Aufklärung des Traums, die durch die Einführung dieser Art von Traumquellen zu erreichen ist. Die Vertreter der Lehre sind uns zwei solcher Aufklärungen schuldig, erstens, warum der äußere Reiz im Traum nicht in seiner wirklichen Natur erkannt, sondern regelmäßig verkannt wird (vergleiche die Weckerträume, S. 20), und zweitens, warum das Resultat der Reaktion der wahrnehmenden Seele auf diesen verkannten Reiz so unbestimmbar wechselvoll ausfallen kann. Als Antwort auf diese Frage haben wir von </w:t>
      </w:r>
      <w:r w:rsidRPr="00A06A59">
        <w:rPr>
          <w:rFonts w:ascii="Garamond" w:hAnsi="Garamond" w:cs="Arial"/>
          <w:i/>
          <w:iCs/>
          <w:color w:val="000000"/>
        </w:rPr>
        <w:t>Strümpell</w:t>
      </w:r>
      <w:r w:rsidRPr="00A06A59">
        <w:rPr>
          <w:rFonts w:ascii="Garamond" w:hAnsi="Garamond" w:cs="Arial"/>
          <w:color w:val="000000"/>
        </w:rPr>
        <w:t xml:space="preserve"> gehört, daß die Seele infolge ihrer Abwendung von der Außenwelt während des Schlafes nicht imstande ist, die richtige Deutung des objektiven Sinnesreizes zu geben, sondern genötigt wird, auf Grund der nach vielen Richtungen unbestimmten Anregung Illusionen zu bilden, in seinen Worten ausgedrückt (S. 108):</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»Sobald durch einen äußeren oder inneren Nervenreiz während des Schlafes in der Seele eine Empfindung oder ein Empfindungskomplex, ein Gefühl, überhaupt ein psychischer Vorgang entsteht und von der Seele perzipiert wird, so ruft dieser Vorgang aus dem der Seele vom Wachen her verbliebenen Erfahrungskreise Empfindungsbilder, also frühere Wahrnehmungen, entweder nackt oder mit zugehörigen psychischen Werten hervor. Er sammelt gleichsam um sich eine größere oder kleinere Anzahl solcher Bilder, durch welche der vom Nervenreiz herrührende Eindruck </w:t>
      </w:r>
      <w:r w:rsidRPr="00A06A59">
        <w:rPr>
          <w:rFonts w:ascii="Garamond" w:hAnsi="Garamond" w:cs="Arial"/>
          <w:color w:val="000000"/>
        </w:rPr>
        <w:lastRenderedPageBreak/>
        <w:t xml:space="preserve">seinen psychischen Wert bekommt. Man sagt gewöhnlich auch hier, wie es der Sprachgebrauch für das wache Verhalten tut, daß die Seele im Schlaf die Nervenreizeindrücke </w:t>
      </w:r>
      <w:r w:rsidRPr="00A06A59">
        <w:rPr>
          <w:rFonts w:ascii="Garamond" w:hAnsi="Garamond" w:cs="Arial"/>
          <w:i/>
          <w:iCs/>
          <w:color w:val="000000"/>
        </w:rPr>
        <w:t>deute</w:t>
      </w:r>
      <w:r w:rsidRPr="00A06A59">
        <w:rPr>
          <w:rFonts w:ascii="Garamond" w:hAnsi="Garamond" w:cs="Arial"/>
          <w:color w:val="000000"/>
        </w:rPr>
        <w:t xml:space="preserve">. Das Resultat dieser Deutung ist der sogenannte </w:t>
      </w:r>
      <w:r w:rsidRPr="00A06A59">
        <w:rPr>
          <w:rFonts w:ascii="Garamond" w:hAnsi="Garamond" w:cs="Arial"/>
          <w:i/>
          <w:iCs/>
          <w:color w:val="000000"/>
        </w:rPr>
        <w:t>Nervenreiztraum</w:t>
      </w:r>
      <w:r w:rsidRPr="00A06A59">
        <w:rPr>
          <w:rFonts w:ascii="Garamond" w:hAnsi="Garamond" w:cs="Arial"/>
          <w:color w:val="000000"/>
        </w:rPr>
        <w:t>, d. h. ein Traum, dessen Bestandteile dadurch bedingt sind, daß ein Nervenreiz nach den Gesetzen der Reproduktion seine psychische Wirkung im Seelenleben vollzieht.«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In allem Wesentlichen mit dieser Lehre identisch ist die Äußerung von </w:t>
      </w:r>
      <w:r w:rsidRPr="00A06A59">
        <w:rPr>
          <w:rFonts w:ascii="Garamond" w:hAnsi="Garamond" w:cs="Arial"/>
          <w:i/>
          <w:iCs/>
          <w:color w:val="000000"/>
        </w:rPr>
        <w:t>Wundt</w:t>
      </w:r>
      <w:r w:rsidRPr="00A06A59">
        <w:rPr>
          <w:rFonts w:ascii="Garamond" w:hAnsi="Garamond" w:cs="Arial"/>
          <w:color w:val="000000"/>
        </w:rPr>
        <w:t xml:space="preserve">, die Vorstellungen des Traumes gehen jedenfalls zum größten Teil von Sinnesreizen aus, namentlich auch von solchen des allgemeinen Sinnes, und sind daher zumeist phantastische Illusionen, wahrscheinlich nur zum kleineren Teil reine, zu Halluzinationen gesteigerte Erinnerungsvorstellungen. Für das Verhältnis des Trauminhalts zu den Traumreizen, welches sich nach dieser Theorie ergibt, findet </w:t>
      </w:r>
      <w:r w:rsidRPr="00A06A59">
        <w:rPr>
          <w:rFonts w:ascii="Garamond" w:hAnsi="Garamond" w:cs="Arial"/>
          <w:i/>
          <w:iCs/>
          <w:color w:val="000000"/>
        </w:rPr>
        <w:t>Strümpell</w:t>
      </w:r>
      <w:r w:rsidRPr="00A06A59">
        <w:rPr>
          <w:rFonts w:ascii="Garamond" w:hAnsi="Garamond" w:cs="Arial"/>
          <w:color w:val="000000"/>
        </w:rPr>
        <w:t xml:space="preserve"> das treffliche Gleichnis (S. 84), es sei, wie »wenn die zehn Finger eines der Musik ganz unkundigen Menschen über die Tasten des Instrumentes hinlaufen«. Der Traum erschiene so nicht als ein seelisches Phänomen, aus psychischen Motiven entsprungen, sondern als der Erfolg eines physiologischen Reizes, der sich in psychischer Symptomatologie äußert, weil der vom Reiz betroffene Apparat keiner anderen Äußerung fähig ist. Auf eine ähnliche Voraussetzung ist z. B. die Erklärung der Zwangsvorstellungen aufgebaut, die </w:t>
      </w:r>
      <w:r w:rsidRPr="00A06A59">
        <w:rPr>
          <w:rFonts w:ascii="Garamond" w:hAnsi="Garamond" w:cs="Arial"/>
          <w:i/>
          <w:iCs/>
          <w:color w:val="000000"/>
        </w:rPr>
        <w:t>Meynert</w:t>
      </w:r>
      <w:r w:rsidRPr="00A06A59">
        <w:rPr>
          <w:rFonts w:ascii="Garamond" w:hAnsi="Garamond" w:cs="Arial"/>
          <w:color w:val="000000"/>
        </w:rPr>
        <w:t xml:space="preserve"> durch das berühmte Gleichnis vom Zifferblatt, auf dem einzelne Zahlen stärker gewölbt vorspringen, zu geben versuchte.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 beliebt die Lehre von den somatischen Traumreizen geworden ist und so bestechend sie erscheinen mag, so ist es doch leicht, den schwachen Punkt in ihr aufzuweisen. Jeder somatische Traumreiz, welcher im Schlafe den seelischen Apparat zur Deutung durch Illusionsbildung auffordert, kann ungezählt viele solcher Deutungsversuche anregen, also in ungemein verschiedenen Vorstellungen seine Vertretung im Trauminhalt erreichen </w:t>
      </w:r>
      <w:hyperlink r:id="rId10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Ich möchte jedermann raten, die in zwei Bänden gesammelten, ausführlichen und genauen Protokolle experimentell erzeugter Träume von Mourly Vold durchzulesen, um sich zu überzeugen, wie wenig Aufklärung der Inhalt des einzelnen Traums in den angegebenen Versuchsbedingungen findet und wie gering überhaupt der Nutzen solcher Experimente für das Verständnis der Traumprobleme ist.</w:t>
        </w:r>
      </w:hyperlink>
      <w:r w:rsidRPr="00A06A59">
        <w:rPr>
          <w:rFonts w:ascii="Garamond" w:hAnsi="Garamond" w:cs="Arial"/>
          <w:color w:val="000000"/>
          <w:lang w:val="en-GB"/>
        </w:rPr>
        <w:t xml:space="preserve">. Die Lehre von </w:t>
      </w:r>
      <w:r w:rsidRPr="00A06A59">
        <w:rPr>
          <w:rFonts w:ascii="Garamond" w:hAnsi="Garamond" w:cs="Arial"/>
          <w:i/>
          <w:iCs/>
          <w:color w:val="000000"/>
          <w:lang w:val="en-GB"/>
        </w:rPr>
        <w:t>Strümpell</w:t>
      </w:r>
      <w:r w:rsidRPr="00A06A59">
        <w:rPr>
          <w:rFonts w:ascii="Garamond" w:hAnsi="Garamond" w:cs="Arial"/>
          <w:color w:val="000000"/>
          <w:lang w:val="en-GB"/>
        </w:rPr>
        <w:t xml:space="preserve"> und </w:t>
      </w:r>
      <w:r w:rsidRPr="00A06A59">
        <w:rPr>
          <w:rFonts w:ascii="Garamond" w:hAnsi="Garamond" w:cs="Arial"/>
          <w:i/>
          <w:iCs/>
          <w:color w:val="000000"/>
          <w:lang w:val="en-GB"/>
        </w:rPr>
        <w:t>Wundt</w:t>
      </w:r>
      <w:r w:rsidRPr="00A06A59">
        <w:rPr>
          <w:rFonts w:ascii="Garamond" w:hAnsi="Garamond" w:cs="Arial"/>
          <w:color w:val="000000"/>
          <w:lang w:val="en-GB"/>
        </w:rPr>
        <w:t xml:space="preserve"> ist aber unfähig, irgendein Motiv anzugeben, welches die Beziehung zwischen dem äußeren Reiz und der zu seiner Deutung gewählten Traumvorstellung regelt, also die »sonderbare Auswahl« zu erklären, welche die Reize »oft genug bei ihrer produktiven Wirksamkeit treffen«. ( </w:t>
      </w:r>
      <w:r w:rsidRPr="00A06A59">
        <w:rPr>
          <w:rFonts w:ascii="Garamond" w:hAnsi="Garamond" w:cs="Arial"/>
          <w:i/>
          <w:iCs/>
          <w:color w:val="000000"/>
          <w:lang w:val="en-GB"/>
        </w:rPr>
        <w:t>Lipps</w:t>
      </w:r>
      <w:r w:rsidRPr="00A06A59">
        <w:rPr>
          <w:rFonts w:ascii="Garamond" w:hAnsi="Garamond" w:cs="Arial"/>
          <w:color w:val="000000"/>
          <w:lang w:val="en-GB"/>
        </w:rPr>
        <w:t xml:space="preserve">, Grundtatsachen des Seelenlebens, S. 170.) Andere Einwendungen richten sich gegen die Grundvoraussetzung der ganzen Illusionslehre, daß die Seele im Schlaf nicht in der Lage sei, die wirkliche Natur der objektiven Sinnesreize zu erkennen. Der alte Physiologe </w:t>
      </w:r>
      <w:r w:rsidRPr="00A06A59">
        <w:rPr>
          <w:rFonts w:ascii="Garamond" w:hAnsi="Garamond" w:cs="Arial"/>
          <w:i/>
          <w:iCs/>
          <w:color w:val="000000"/>
          <w:lang w:val="en-GB"/>
        </w:rPr>
        <w:t>Burdach</w:t>
      </w:r>
      <w:r w:rsidRPr="00A06A59">
        <w:rPr>
          <w:rFonts w:ascii="Garamond" w:hAnsi="Garamond" w:cs="Arial"/>
          <w:color w:val="000000"/>
          <w:lang w:val="en-GB"/>
        </w:rPr>
        <w:t xml:space="preserve"> beweist uns, daß die Seele auch im Schlafe sehr wohl fähig ist, die an sie gelangenden Sinneseindrücke richtig zu deuten und der richtigen Deutung gemäß zu reagieren, indem er ausführt, daß man gewisse, dem Individuum wichtig erscheinende Sinneseindrücke von der Vernachlässigung während des Schlafes ausnehmen kann (Amme und Kind) und daß man durch den eigenen Namen weit sicherer geweckt wird als durch einen gleichgültigen Gehörseindruck, was ja voraussetzt, daß die Seele auch im Schlafe zwischen den Sensationen unterscheidet (Abschnitt I, S. 37). </w:t>
      </w:r>
      <w:r w:rsidRPr="00A06A59">
        <w:rPr>
          <w:rFonts w:ascii="Garamond" w:hAnsi="Garamond" w:cs="Arial"/>
          <w:i/>
          <w:iCs/>
          <w:color w:val="000000"/>
          <w:lang w:val="en-GB"/>
        </w:rPr>
        <w:t>Burdach</w:t>
      </w:r>
      <w:r w:rsidRPr="00A06A59">
        <w:rPr>
          <w:rFonts w:ascii="Garamond" w:hAnsi="Garamond" w:cs="Arial"/>
          <w:color w:val="000000"/>
          <w:lang w:val="en-GB"/>
        </w:rPr>
        <w:t xml:space="preserve"> folgert aus diesen Beobachtungen, daß während des Schlafzustandes nicht eine </w:t>
      </w:r>
      <w:r w:rsidRPr="00A06A59">
        <w:rPr>
          <w:rFonts w:ascii="Garamond" w:hAnsi="Garamond" w:cs="Arial"/>
          <w:i/>
          <w:iCs/>
          <w:color w:val="000000"/>
          <w:lang w:val="en-GB"/>
        </w:rPr>
        <w:t>Unfähigkeit</w:t>
      </w:r>
      <w:r w:rsidRPr="00A06A59">
        <w:rPr>
          <w:rFonts w:ascii="Garamond" w:hAnsi="Garamond" w:cs="Arial"/>
          <w:color w:val="000000"/>
          <w:lang w:val="en-GB"/>
        </w:rPr>
        <w:t xml:space="preserve">, die Sinnesreize </w:t>
      </w:r>
      <w:r w:rsidRPr="00A06A59">
        <w:rPr>
          <w:rFonts w:ascii="Garamond" w:hAnsi="Garamond" w:cs="Arial"/>
          <w:i/>
          <w:iCs/>
          <w:color w:val="000000"/>
          <w:lang w:val="en-GB"/>
        </w:rPr>
        <w:t>zu deuten</w:t>
      </w:r>
      <w:r w:rsidRPr="00A06A59">
        <w:rPr>
          <w:rFonts w:ascii="Garamond" w:hAnsi="Garamond" w:cs="Arial"/>
          <w:color w:val="000000"/>
          <w:lang w:val="en-GB"/>
        </w:rPr>
        <w:t xml:space="preserve">, sondern ein </w:t>
      </w:r>
      <w:r w:rsidRPr="00A06A59">
        <w:rPr>
          <w:rFonts w:ascii="Garamond" w:hAnsi="Garamond" w:cs="Arial"/>
          <w:i/>
          <w:iCs/>
          <w:color w:val="000000"/>
          <w:lang w:val="en-GB"/>
        </w:rPr>
        <w:t>Mangel an Interesse</w:t>
      </w:r>
      <w:r w:rsidRPr="00A06A59">
        <w:rPr>
          <w:rFonts w:ascii="Garamond" w:hAnsi="Garamond" w:cs="Arial"/>
          <w:color w:val="000000"/>
          <w:lang w:val="en-GB"/>
        </w:rPr>
        <w:t xml:space="preserve"> für sie anzunehmen ist. Die nämlichen Argumente, die </w:t>
      </w:r>
      <w:r w:rsidRPr="00A06A59">
        <w:rPr>
          <w:rFonts w:ascii="Garamond" w:hAnsi="Garamond" w:cs="Arial"/>
          <w:i/>
          <w:iCs/>
          <w:color w:val="000000"/>
          <w:lang w:val="en-GB"/>
        </w:rPr>
        <w:t>Burdach</w:t>
      </w:r>
      <w:r w:rsidRPr="00A06A59">
        <w:rPr>
          <w:rFonts w:ascii="Garamond" w:hAnsi="Garamond" w:cs="Arial"/>
          <w:color w:val="000000"/>
          <w:lang w:val="en-GB"/>
        </w:rPr>
        <w:t xml:space="preserve"> 1830 verwendet, kehren dann zur Bekämpfung der somatischen Reiztheorie unverändert bei </w:t>
      </w:r>
      <w:r w:rsidRPr="00A06A59">
        <w:rPr>
          <w:rFonts w:ascii="Garamond" w:hAnsi="Garamond" w:cs="Arial"/>
          <w:i/>
          <w:iCs/>
          <w:color w:val="000000"/>
          <w:lang w:val="en-GB"/>
        </w:rPr>
        <w:t>Lipps</w:t>
      </w:r>
      <w:r w:rsidRPr="00A06A59">
        <w:rPr>
          <w:rFonts w:ascii="Garamond" w:hAnsi="Garamond" w:cs="Arial"/>
          <w:color w:val="000000"/>
          <w:lang w:val="en-GB"/>
        </w:rPr>
        <w:t xml:space="preserve"> im Jahre 1883 wieder. Die Seele erscheint uns demnach so wie der Schläfer in der Anekdote, der auf die Frage »Schläfst du?« antwortet »nein«, nach der zweiten Anrede, »dann leih mir zehn Gulden«, aber sich hinter der Ausrede verschanzt: »Ich schlafe.«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Unzulänglichkeit der Lehre von den somatischen Traumreizen läßt sich auch auf andere Weise dartun. Die Beobachtung zeigt, daß ich durch äußere Reize nicht zum Träumen genötigt werde, wenngleich diese Reize im Trauminhalt erscheinen, sobald und für den Fall, daß ich träume. Gegen einen Haut- oder Druckreiz etwa, der mich im Schlafe befällt, stehen mir verschiedene Reaktionen zu Gebote. Ich kann ihn überhören und dann beim Erwachen finden, daß z. B. ein Bein unbedeckt oder ein Arm gedrückt war; die Pathologie zeigt mir ja die zahlreichsten Beispiele, daß verschiedenartige und kräftig erregende Empfindungs- und Bewegungsreize während des Schlafes wirkungslos bleiben. Ich kann die Sensation während des Schlafes verspüren, gleichsam durch den Schlaf hindurch, wie es in der Regel mit schmerzhaften Reizen geschieht, aber ohne den Schmerz in einen Traum zu verweben; und ich kann drittens auf den Reiz erwachen, um ihn zu beseitigen </w:t>
      </w:r>
      <w:hyperlink r:id="rId10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Vgl. hiezu K. Landauer, Handlungen des Schlafendem (Zeitschr. F. d. ges. Neurologie und Psychiatrie, XXXIX, 1918). Es gibt für jeden Beobachter sichtbare, sinnvolle Handlungen des Schlafenden. Der Schläfer ist nicht absolut verblödet, im Gegenteil: er vermag logisch und willensstark zu handeln.</w:t>
        </w:r>
      </w:hyperlink>
      <w:r w:rsidRPr="00A06A59">
        <w:rPr>
          <w:rFonts w:ascii="Garamond" w:hAnsi="Garamond" w:cs="Arial"/>
          <w:color w:val="000000"/>
          <w:lang w:val="en-GB"/>
        </w:rPr>
        <w:t xml:space="preserve">. Erst eine vierte mögliche Reaktion ist, daß ich durch den Nervenreiz zum Traum veranlaßt werde; die anderen Möglichkeiten werden aber mindestens ebenso häufig vollzogen wie die der Traumbildung. Diese könnte nicht geschehen, wenn nicht das </w:t>
      </w:r>
      <w:r w:rsidRPr="00A06A59">
        <w:rPr>
          <w:rFonts w:ascii="Garamond" w:hAnsi="Garamond" w:cs="Arial"/>
          <w:i/>
          <w:iCs/>
          <w:color w:val="000000"/>
          <w:lang w:val="en-GB"/>
        </w:rPr>
        <w:t>Motiv des Träumens außerhalb der somatischen Reizquellen läge</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gerechter Würdigung jener oben aufgedeckten Lücke in der Erklärung des Traums durch somatische Reize haben nun andere Autoren – </w:t>
      </w:r>
      <w:r w:rsidRPr="00A06A59">
        <w:rPr>
          <w:rFonts w:ascii="Garamond" w:hAnsi="Garamond" w:cs="Arial"/>
          <w:i/>
          <w:iCs/>
          <w:color w:val="000000"/>
          <w:lang w:val="en-GB"/>
        </w:rPr>
        <w:t>Scherner</w:t>
      </w:r>
      <w:r w:rsidRPr="00A06A59">
        <w:rPr>
          <w:rFonts w:ascii="Garamond" w:hAnsi="Garamond" w:cs="Arial"/>
          <w:color w:val="000000"/>
          <w:lang w:val="en-GB"/>
        </w:rPr>
        <w:t xml:space="preserve">, dem der Philosoph </w:t>
      </w:r>
      <w:r w:rsidRPr="00A06A59">
        <w:rPr>
          <w:rFonts w:ascii="Garamond" w:hAnsi="Garamond" w:cs="Arial"/>
          <w:i/>
          <w:iCs/>
          <w:color w:val="000000"/>
          <w:lang w:val="en-GB"/>
        </w:rPr>
        <w:t>Volkelt</w:t>
      </w:r>
      <w:r w:rsidRPr="00A06A59">
        <w:rPr>
          <w:rFonts w:ascii="Garamond" w:hAnsi="Garamond" w:cs="Arial"/>
          <w:color w:val="000000"/>
          <w:lang w:val="en-GB"/>
        </w:rPr>
        <w:t xml:space="preserve"> sich anschloß – die Seelentätigkeiten, welche aus den </w:t>
      </w:r>
      <w:r w:rsidRPr="00A06A59">
        <w:rPr>
          <w:rFonts w:ascii="Garamond" w:hAnsi="Garamond" w:cs="Arial"/>
          <w:color w:val="000000"/>
          <w:lang w:val="en-GB"/>
        </w:rPr>
        <w:lastRenderedPageBreak/>
        <w:t xml:space="preserve">somatischen Reizen die bunten Traumbilder entstehen lassen, näher zu bestimmen gesucht, also doch wieder das Wesen des Träumens ins </w:t>
      </w:r>
      <w:r w:rsidRPr="00A06A59">
        <w:rPr>
          <w:rFonts w:ascii="Garamond" w:hAnsi="Garamond" w:cs="Arial"/>
          <w:i/>
          <w:iCs/>
          <w:color w:val="000000"/>
          <w:lang w:val="en-GB"/>
        </w:rPr>
        <w:t>Seelische</w:t>
      </w:r>
      <w:r w:rsidRPr="00A06A59">
        <w:rPr>
          <w:rFonts w:ascii="Garamond" w:hAnsi="Garamond" w:cs="Arial"/>
          <w:color w:val="000000"/>
          <w:lang w:val="en-GB"/>
        </w:rPr>
        <w:t xml:space="preserve"> und in eine psychische Aktivität verlegt. </w:t>
      </w:r>
      <w:r w:rsidRPr="00A06A59">
        <w:rPr>
          <w:rFonts w:ascii="Garamond" w:hAnsi="Garamond" w:cs="Arial"/>
          <w:i/>
          <w:iCs/>
          <w:color w:val="000000"/>
          <w:lang w:val="en-GB"/>
        </w:rPr>
        <w:t>Scherner</w:t>
      </w:r>
      <w:r w:rsidRPr="00A06A59">
        <w:rPr>
          <w:rFonts w:ascii="Garamond" w:hAnsi="Garamond" w:cs="Arial"/>
          <w:color w:val="000000"/>
          <w:lang w:val="en-GB"/>
        </w:rPr>
        <w:t xml:space="preserve"> gab nicht nur eine poetisch nachempfundene, glühend belebte Schilderung der psychischen Eigentümlichkeiten, die sich bei der Traumbildung entfalten, er glaubte auch das Prinzip erraten zu haben, nach dem die Seele mit den ihr dargebotenen Reizen verfährt. In freier Betätigung der ihrer Tagesfesseln entledigten Phantasie strebt nach </w:t>
      </w:r>
      <w:r w:rsidRPr="00A06A59">
        <w:rPr>
          <w:rFonts w:ascii="Garamond" w:hAnsi="Garamond" w:cs="Arial"/>
          <w:i/>
          <w:iCs/>
          <w:color w:val="000000"/>
          <w:lang w:val="en-GB"/>
        </w:rPr>
        <w:t>Scherner</w:t>
      </w:r>
      <w:r w:rsidRPr="00A06A59">
        <w:rPr>
          <w:rFonts w:ascii="Garamond" w:hAnsi="Garamond" w:cs="Arial"/>
          <w:color w:val="000000"/>
          <w:lang w:val="en-GB"/>
        </w:rPr>
        <w:t xml:space="preserve"> die Traumarbeit dahin, die Natur des Organs, von dem der Reiz ausgeht, und die Art dieses Reizes </w:t>
      </w:r>
      <w:r w:rsidRPr="00A06A59">
        <w:rPr>
          <w:rFonts w:ascii="Garamond" w:hAnsi="Garamond" w:cs="Arial"/>
          <w:i/>
          <w:iCs/>
          <w:color w:val="000000"/>
          <w:lang w:val="en-GB"/>
        </w:rPr>
        <w:t>symbolisch</w:t>
      </w:r>
      <w:r w:rsidRPr="00A06A59">
        <w:rPr>
          <w:rFonts w:ascii="Garamond" w:hAnsi="Garamond" w:cs="Arial"/>
          <w:color w:val="000000"/>
          <w:lang w:val="en-GB"/>
        </w:rPr>
        <w:t xml:space="preserve"> darzustellen. Es ergibt sich so eine Art von Traumbuch als Anleitung zur Deutung der Träume, mittels dessen aus Traumbildern auf Körpergefühle, Organzustände und Reizzustände geschlossen werden darf. »So drückt das Bild der Katze die ärgerliche Mißstimmung des Gemütes aus, das Bild des hellen und glatten Gebäcks die Leibesnacktheit.« </w:t>
      </w:r>
      <w:r w:rsidRPr="00A06A59">
        <w:rPr>
          <w:rFonts w:ascii="Garamond" w:hAnsi="Garamond" w:cs="Arial"/>
          <w:color w:val="000000"/>
        </w:rPr>
        <w:t xml:space="preserve">Der menschliche Leib als Ganzes wird von der Traumphantasie als Haus vorgestellt, das einzelne Körperorgan durch einen Teil des Hauses. In den »Zahnreizträumen« entspricht dem Mundorgan ein hochgewölbter Hausflur und dem Hinabfall des Schlundes zur Speiseröhre eine Treppe, »im Kopfschmerztraum wird zur Bezeichnung der Höhenstellung des Kopfes die Decke eines Zimmers gewählt, welche mit ekelhaften, krötenartigen Spinnen bedeckt ist.« »Diese Symbole werden vom Traum in mehrfacher Auswahl für das nämliche Organ verwendet; so findet die atmende Lunge in dem flammenerfüllten Ofen mit seinem Brausen ihr Symbol, das Herz in hohlen Kisten und Körben, die Harnblase in runden, beutelförmigen oder überhaupt nur ausgehöhlten Gegenständen.« »Besonders wichtig ist es, daß am Schlusse des Traumes öfters das erregende Organ oder dessen Funktion unverhüllt hingestellt wird, und zwar zumeist an dem eigenen Leib des Träumers. So endet der Zahnreiztraum gewöhnlich damit, daß der Träumer sich einen Zahn aus dem Munde zieht.« (Ibid., 35.) </w:t>
      </w:r>
      <w:r w:rsidRPr="00A06A59">
        <w:rPr>
          <w:rFonts w:ascii="Garamond" w:hAnsi="Garamond" w:cs="Arial"/>
          <w:color w:val="000000"/>
          <w:lang w:val="en-GB"/>
        </w:rPr>
        <w:t xml:space="preserve">Man kann nicht sagen, daß diese Theorie der Traumdeutung viel Gunst bei den Autoren gefunden hat. Sie erschien vor allem extravagant; man hat selbst gezögert, das Stück Berechtigung herauszufinden, das sie nach meinem Urteil beanspruchen darf. Sie führt, wie man sieht, zur Wiederbelebung der Traumdeutung mittels </w:t>
      </w:r>
      <w:r w:rsidRPr="00A06A59">
        <w:rPr>
          <w:rFonts w:ascii="Garamond" w:hAnsi="Garamond" w:cs="Arial"/>
          <w:i/>
          <w:iCs/>
          <w:color w:val="000000"/>
          <w:lang w:val="en-GB"/>
        </w:rPr>
        <w:t>Symbolik</w:t>
      </w:r>
      <w:r w:rsidRPr="00A06A59">
        <w:rPr>
          <w:rFonts w:ascii="Garamond" w:hAnsi="Garamond" w:cs="Arial"/>
          <w:color w:val="000000"/>
          <w:lang w:val="en-GB"/>
        </w:rPr>
        <w:t xml:space="preserve">, deren sich die Alten bedienten, nur daß das Gebiet, aus welchem die Deutung geholt werden soll, auf den Umfang der menschlichen Leiblichkeit beschränkt wird. Der Mangel einer wissenschaftlich faßbaren Technik bei der Deutung muß die Anwendbarkeit der </w:t>
      </w:r>
      <w:r w:rsidRPr="00A06A59">
        <w:rPr>
          <w:rFonts w:ascii="Garamond" w:hAnsi="Garamond" w:cs="Arial"/>
          <w:i/>
          <w:iCs/>
          <w:color w:val="000000"/>
          <w:lang w:val="en-GB"/>
        </w:rPr>
        <w:t>Scherner</w:t>
      </w:r>
      <w:r w:rsidRPr="00A06A59">
        <w:rPr>
          <w:rFonts w:ascii="Garamond" w:hAnsi="Garamond" w:cs="Arial"/>
          <w:color w:val="000000"/>
          <w:lang w:val="en-GB"/>
        </w:rPr>
        <w:t xml:space="preserve">schen Lehre schwer beeinträchtigen. Willkür in der Traumdeutung scheint keineswegs ausgeschlossen, zumal da auch hier ein Reiz sich in mehrfachen Vertretungen im Trauminhalt äußern kann; so hat bereits </w:t>
      </w:r>
      <w:r w:rsidRPr="00A06A59">
        <w:rPr>
          <w:rFonts w:ascii="Garamond" w:hAnsi="Garamond" w:cs="Arial"/>
          <w:i/>
          <w:iCs/>
          <w:color w:val="000000"/>
          <w:lang w:val="en-GB"/>
        </w:rPr>
        <w:t>Scherners</w:t>
      </w:r>
      <w:r w:rsidRPr="00A06A59">
        <w:rPr>
          <w:rFonts w:ascii="Garamond" w:hAnsi="Garamond" w:cs="Arial"/>
          <w:color w:val="000000"/>
          <w:lang w:val="en-GB"/>
        </w:rPr>
        <w:t xml:space="preserve"> Anhänger </w:t>
      </w:r>
      <w:r w:rsidRPr="00A06A59">
        <w:rPr>
          <w:rFonts w:ascii="Garamond" w:hAnsi="Garamond" w:cs="Arial"/>
          <w:i/>
          <w:iCs/>
          <w:color w:val="000000"/>
          <w:lang w:val="en-GB"/>
        </w:rPr>
        <w:t>Volkelt</w:t>
      </w:r>
      <w:r w:rsidRPr="00A06A59">
        <w:rPr>
          <w:rFonts w:ascii="Garamond" w:hAnsi="Garamond" w:cs="Arial"/>
          <w:color w:val="000000"/>
          <w:lang w:val="en-GB"/>
        </w:rPr>
        <w:t xml:space="preserve"> die Darstellung des Körpers als Haus nicht bestätigen können. Es muß auch Anstoß erregen, daß hier wiederum der Seele die Traumarbeit als nutz- und ziellose Betätigung auferlegt ist, da sich doch nach der in Rede stehenden Lehre die Seele damit begnügt, über den sie beschäftigenden Reiz zu phantasieren, ohne daß etwas wie eine Erledigung des Reizes in der Ferne winkte.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Von einem Einwand aber wird die </w:t>
      </w:r>
      <w:r w:rsidRPr="00A06A59">
        <w:rPr>
          <w:rFonts w:ascii="Garamond" w:hAnsi="Garamond" w:cs="Arial"/>
          <w:i/>
          <w:iCs/>
          <w:color w:val="000000"/>
          <w:lang w:val="en-GB"/>
        </w:rPr>
        <w:t>Scherner</w:t>
      </w:r>
      <w:r w:rsidRPr="00A06A59">
        <w:rPr>
          <w:rFonts w:ascii="Garamond" w:hAnsi="Garamond" w:cs="Arial"/>
          <w:color w:val="000000"/>
          <w:lang w:val="en-GB"/>
        </w:rPr>
        <w:t xml:space="preserve">sche Lehre der Symbolisierung von Leibreizen durch den Traum schwer getroffen. Diese Leibreize sind jederzeit vorhanden, die Seele ist für sie nach allgemeiner Annahme während des Schlafens zugänglicher als im Wachen. Man versteht dann nicht, warum die Seele nicht kontinuierlich die Nacht hindurch träumt, und zwar jede Nacht von allen Organen. Will man sich diesem Einwand durch die Bedingung entziehen, es müßten vom Auge, Ohr, von den Zähnen, Därmen usw. besondere Erregungen ausgehen, um die Traumtätigkeit zu wecken, so steht man vor der Schwierigkeit, diese Reizsteigerungen als objektiv zu erweisen, was nur in einer geringen Zahl von Fällen möglich ist. Wenn der Traum vom Fliegen eine Symbolisierung des Auf- und Niedersteigens der Lungenflügel bei der Atmung bedeutet, so müßte entweder dieser Traum, wie schon </w:t>
      </w:r>
      <w:r w:rsidRPr="00A06A59">
        <w:rPr>
          <w:rFonts w:ascii="Garamond" w:hAnsi="Garamond" w:cs="Arial"/>
          <w:i/>
          <w:iCs/>
          <w:color w:val="000000"/>
          <w:lang w:val="en-GB"/>
        </w:rPr>
        <w:t>Strümpell</w:t>
      </w:r>
      <w:r w:rsidRPr="00A06A59">
        <w:rPr>
          <w:rFonts w:ascii="Garamond" w:hAnsi="Garamond" w:cs="Arial"/>
          <w:color w:val="000000"/>
          <w:lang w:val="en-GB"/>
        </w:rPr>
        <w:t xml:space="preserve"> bemerkt, weit häufiger geträumt werden oder eine gesteigerte Atmungstätigkeit während dieses Traumes nachweisbar sein. Es ist noch ein dritter Fall möglich, der wahrscheinlichste von allen, daß nämlich zeitweise besondere Motive wirksam sind, um den gleichmäßig vorhandenen viszeralen Sensationen Aufmerksamkeit zuzuwenden, aber dieser Fall führt bereits über die </w:t>
      </w:r>
      <w:r w:rsidRPr="00A06A59">
        <w:rPr>
          <w:rFonts w:ascii="Garamond" w:hAnsi="Garamond" w:cs="Arial"/>
          <w:i/>
          <w:iCs/>
          <w:color w:val="000000"/>
          <w:lang w:val="en-GB"/>
        </w:rPr>
        <w:t>Scherner</w:t>
      </w:r>
      <w:r w:rsidRPr="00A06A59">
        <w:rPr>
          <w:rFonts w:ascii="Garamond" w:hAnsi="Garamond" w:cs="Arial"/>
          <w:color w:val="000000"/>
          <w:lang w:val="en-GB"/>
        </w:rPr>
        <w:t>sche Theorie hinaus.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Wert der Erörterungen von </w:t>
      </w:r>
      <w:r w:rsidRPr="00A06A59">
        <w:rPr>
          <w:rFonts w:ascii="Garamond" w:hAnsi="Garamond" w:cs="Arial"/>
          <w:i/>
          <w:iCs/>
          <w:color w:val="000000"/>
          <w:lang w:val="en-GB"/>
        </w:rPr>
        <w:t>Scherner</w:t>
      </w:r>
      <w:r w:rsidRPr="00A06A59">
        <w:rPr>
          <w:rFonts w:ascii="Garamond" w:hAnsi="Garamond" w:cs="Arial"/>
          <w:color w:val="000000"/>
          <w:lang w:val="en-GB"/>
        </w:rPr>
        <w:t xml:space="preserve"> und </w:t>
      </w:r>
      <w:r w:rsidRPr="00A06A59">
        <w:rPr>
          <w:rFonts w:ascii="Garamond" w:hAnsi="Garamond" w:cs="Arial"/>
          <w:i/>
          <w:iCs/>
          <w:color w:val="000000"/>
          <w:lang w:val="en-GB"/>
        </w:rPr>
        <w:t>Volkelt</w:t>
      </w:r>
      <w:r w:rsidRPr="00A06A59">
        <w:rPr>
          <w:rFonts w:ascii="Garamond" w:hAnsi="Garamond" w:cs="Arial"/>
          <w:color w:val="000000"/>
          <w:lang w:val="en-GB"/>
        </w:rPr>
        <w:t xml:space="preserve"> liegt darin, daß sie auf eine Reihe von Charakteren des Trauminhalts aufmerksam machen, welche der Erklärung bedürftig sind und neue Erkenntnisse zu verdecken scheinen. Es ist ganz richtig, daß in den Träumen Symbolisierungen von Körperorganen und Funktionen enthalten sind, daß Wasser im Traum häufig auf Harnreiz deutet, daß das männliche Genitale durch einen aufrecht stehenden Stab oder eine Säule dargestellt werden kann usw. In Träumen, welche ein sehr bewegtes Gesichtsfeld und leuchtende Farben zeigen, im Gegensatz zu der Mattigkeit anderer Träume, kann man die Deutung als »Gesichtsreiztraum« kaum abweisen, ebensowenig den Beitrag der Illusionsbildung in Träumen bestreiten, welche Lärm und Stimmengewirr enthalten. Ein Traum wie der von </w:t>
      </w:r>
      <w:r w:rsidRPr="00A06A59">
        <w:rPr>
          <w:rFonts w:ascii="Garamond" w:hAnsi="Garamond" w:cs="Arial"/>
          <w:i/>
          <w:iCs/>
          <w:color w:val="000000"/>
          <w:lang w:val="en-GB"/>
        </w:rPr>
        <w:t>Scherner</w:t>
      </w:r>
      <w:r w:rsidRPr="00A06A59">
        <w:rPr>
          <w:rFonts w:ascii="Garamond" w:hAnsi="Garamond" w:cs="Arial"/>
          <w:color w:val="000000"/>
          <w:lang w:val="en-GB"/>
        </w:rPr>
        <w:t xml:space="preserve">, daß zwei Reihen schöner blonder Knaben auf einer Brücke einander gegenüberstehen, sich gegenseitig angreifen, dann wieder ihre alte Stellung einnehmen, bis endlich der Träumer sich auf eine Brücke setzt und einen langen Zahn aus seinem Kiefer zieht; oder ein ähnlicher von </w:t>
      </w:r>
      <w:r w:rsidRPr="00A06A59">
        <w:rPr>
          <w:rFonts w:ascii="Garamond" w:hAnsi="Garamond" w:cs="Arial"/>
          <w:i/>
          <w:iCs/>
          <w:color w:val="000000"/>
          <w:lang w:val="en-GB"/>
        </w:rPr>
        <w:t>Volkelt</w:t>
      </w:r>
      <w:r w:rsidRPr="00A06A59">
        <w:rPr>
          <w:rFonts w:ascii="Garamond" w:hAnsi="Garamond" w:cs="Arial"/>
          <w:color w:val="000000"/>
          <w:lang w:val="en-GB"/>
        </w:rPr>
        <w:t xml:space="preserve">, in dem zwei Reihen von Schubladen eine Rolle spielen und der wiederum mit dem Ausziehen eines Zahnes endigt: dergleichen bei beiden Autoren in großer Fülle mitgeteilte Traumbildungen lassen es nicht zu, daß man die </w:t>
      </w:r>
      <w:r w:rsidRPr="00A06A59">
        <w:rPr>
          <w:rFonts w:ascii="Garamond" w:hAnsi="Garamond" w:cs="Arial"/>
          <w:i/>
          <w:iCs/>
          <w:color w:val="000000"/>
          <w:lang w:val="en-GB"/>
        </w:rPr>
        <w:t>Scherner</w:t>
      </w:r>
      <w:r w:rsidRPr="00A06A59">
        <w:rPr>
          <w:rFonts w:ascii="Garamond" w:hAnsi="Garamond" w:cs="Arial"/>
          <w:color w:val="000000"/>
          <w:lang w:val="en-GB"/>
        </w:rPr>
        <w:t>sche Theorie als müßige Erfindung beiseite wirft, ohne nach ihrem guten Kern zu forschen. Es stellt sich dann die Aufgabe, für die vermeintliche Symbolisierung des angeblichen Zahnreizes eine andersartige Aufklärung zu erbringen.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Ich habe es die ganze Zeit über, welche uns die Lehre von den somatischen Traumquellen beschäftigte, unterlassen, jenes Argument geltend zu machen, welches sich aus unseren Traumanalysen ableitet. Wenn wir durch ein Verfahren, das andere Autoren auf ihr Material an Träumen nicht angewendet hatten, erweisen konnten, daß der Traum einen ihm eigenen Wert als psychische Aktion besitzt, daß ein Wunsch das Motiv seiner Bildung wird und daß die Erlebnisse des Vortages das nächste Material für seinen Inhalt abgeben, so ist jede andere Traumlehre, welche ein so wichtiges Untersuchungsverfahren vernachlässigt und dementsprechend den Traum als eine nutzlose und rätselhafte psychische Reaktion auf somatische Reize erscheinen läßt, auch ohne besondere Kritik gerichtet. Es müßte denn, was sehr unwahrscheinlich ist, zwei ganz verschiedene Arten von Träumen geben, von denen die eine nur uns, die andere nur den früheren Beurteilern des Traumes untergekommen ist. Es erübrigt nur noch, den Tatsachen, auf welche sich die gebräuchliche Lehre von den somatischen Traumreizen stützt, eine Unterbringung innerhalb unserer Traumlehre zu verschaffen.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ersten Schritt hiezu haben wir bereits getan, als wir den Satz aufstellten, daß die Traumarbeit unter dem Zwange stehe, alle gleichzeitig vorhandenen Traumanregungen zu einer Einheit zu verarbeiten (S. 124). Wir sahen, daß, wenn zwei oder mehr eindrucksfähige Erlebnisse vom Vortage übriggeblieben sind, die aus ihnen sich ergebenden Wünsche in einem Traume vereinigt werden, desgleichen, daß zum Traummaterial der psychisch wertvolle Eindruck und die indifferenten Erlebnisse des Vortages zusammentreten, vorausgesetzt, daß sich kommunizierende Vorstellungen zwischen beiden herstellen lassen. Der Traum erscheint somit als Reaktion auf alles, was in der schlafenden Psyche gleichzeitig als aktuell vorhanden ist. Soweit wir also das Traummaterial bisher analysiert haben, erkannten wir es als eine Sammlung von psychischen Resten, Erinnerungsspuren, denen wir (wegen der Bevorzugung des rezenten und des infantilen Materials) einen psychologisch derzeit unbestimmbaren Charakter von Aktualität zusprechen mußten. Es schafft uns nun nicht viel Verlegenheit vorherzusagen, was geschehen wird, wenn zu diesen Erinnerungsaktualitäten neues Material an Sensationen während des Schlafzustandes hinzutritt. Diese Erregungen erlangen wiederum eine Wichtigkeit für den Traum dadurch, daß sie aktuell sind; sie werden mit den anderen psychischen Aktualitäten vereinigt, um das Material für die Traumbildung abzugeben. Die Reize während des Schlafes werden, um es anders zu sagen, in eine Wunscherfüllung verarbeitet, deren andere Bestandteile die uns bekannten psychischen Tagesreste sind. Diese Vereinigung </w:t>
      </w:r>
      <w:r w:rsidRPr="00A06A59">
        <w:rPr>
          <w:rFonts w:ascii="Garamond" w:hAnsi="Garamond" w:cs="Arial"/>
          <w:i/>
          <w:iCs/>
          <w:color w:val="000000"/>
          <w:lang w:val="en-GB"/>
        </w:rPr>
        <w:t>muß</w:t>
      </w:r>
      <w:r w:rsidRPr="00A06A59">
        <w:rPr>
          <w:rFonts w:ascii="Garamond" w:hAnsi="Garamond" w:cs="Arial"/>
          <w:color w:val="000000"/>
          <w:lang w:val="en-GB"/>
        </w:rPr>
        <w:t xml:space="preserve"> nicht vollzogen werden; wir haben ja gehört, daß gegen körperliche Reize während des Schlafes mehr als eine Art des Verhaltens möglich ist. Wo sie vollzogen wird, da ist es eben gelungen, ein Vorstellungsmaterial für den Trauminhalt zu finden, welches für beiderlei Traumquellen, die somatischen wie die psychischen, eine Vertretung darstellt.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Das Wesen des Traumes wird nicht verändert, wenn zu den psychischen Traumquellen somatisches Material hinzutritt; er bleibt eine Wunscherfüllung, gleichgültig wie deren Ausdruck durch das aktuelle Material bestimmt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will hier gerne Raum lassen für eine Reihe von Eigentümlichkeiten, welche die Bedeutung äußerer Reize für den Traum veränderlich gestalten können. Ich stelle mir vor, daß ein Zusammenwirken individueller, physiologischer und zufälliger, in den jeweiligen Umständen gegebener Momente darüber entscheidet, wie man sich in den einzelnen Fällen von intensiverer objektiver Reizung während des Schlafes benehmen wird; die habituelle akzidentelle Schlaftiefe im Zusammenhalt mit der Intensität des Reizes wird es das eine Mal ermöglichen, den Reiz so zu unterdrücken, daß er im Schlaf nicht stört, ein anderes Mal dazu nötigen aufzuwachen oder den Versuch unterstützen, den Reiz durch Verwebung in einen Traum zu überwinden. Der Mannigfaltigkeit dieser Konstellationen entsprechend, werden äußere objektive Reize bei dem einen häufiger oder seltener im Traum zum Ausdruck kommen als bei dem anderen. Bei mir, der ich ein ausgezeichneter Schläfer bin und hartnäckig daran festhalte, mich durch keinen Anlaß im Schlaf stören zu lassen, ist die Einmengung äußerer Erregungsursachen in die Träume sehr selten, während psychische Motive mich doch offenbar sehr leicht zum Träumen bringen. Ich habe eigentlich nur einen einzigen Traum aufgezeichnet, in dem eine objektive, schmerzhafte Reizquelle zu erkennen ist, und gerade in diesem Traum wird es sehr lehrreich werden nachzusehen, welchen Traumerfolg der äußere Reiz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Ich reite auf einem grauen Pferd, zuerst zaghaft und ungeschickt, als ob ich nur angelehnt wäre. Da begegne ich einem Kollegen P., der im Lodenanzug hoch zu Roß sitzt und mich an etwas mahnt (wahrscheinlich, daß ich schlecht sitze). Nun finde ich mich auf dem höchst intelligenten Roß immer mehr zurecht, sitze bequem und merke, daß ich oben ganz heimisch bin. Als Sattel habe ich eine Art Polster, das den Raum zwischen Hals und Kruppe des Pferdes vollkommen ausfüllt. Ich reite so knapp zwischen zwei Lastwagen hindurch. Nachdem ich die Straße eine Strecke weit geritten bin, kehre ich um und will absteigen, zunächst vor einer kleinen offenen Kapelle, die in der Straßenfront liegt. Dannsteige ich wirklich vor einer ihr nahe stehenden ab; das Hotel ist in derselben Straße; ich könnte das Pferd allein hingehen lassen, ziehe es aber vor, es bis dahin zu führen. Es ist, als ob ich mich schämen würde, dort als Reiter anzukommen. Vor dem Hotel steht ein Hotelbursche, der mir einen Zettel zeigt, der von mir gefunden wurde, und mich darum verspottet. Auf dem Zettel steht, zweimal unterstrichen: Nichts essen, und dann ein zweiter Vorsatz</w:t>
      </w:r>
      <w:r w:rsidRPr="00A06A59">
        <w:rPr>
          <w:rFonts w:ascii="Garamond" w:hAnsi="Garamond" w:cs="Arial"/>
          <w:color w:val="000000"/>
          <w:lang w:val="en-GB"/>
        </w:rPr>
        <w:t xml:space="preserve"> (undeutlich) </w:t>
      </w:r>
      <w:r w:rsidRPr="00A06A59">
        <w:rPr>
          <w:rFonts w:ascii="Garamond" w:hAnsi="Garamond" w:cs="Arial"/>
          <w:i/>
          <w:iCs/>
          <w:color w:val="000000"/>
          <w:lang w:val="en-GB"/>
        </w:rPr>
        <w:t>wie: nichts arbeiten; dazu eine dumpfe Idee, daß ich in einer fremden Stadt bin, in der ich nichts arbeite.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Dem Traum wird man zunächst nicht anmerken, daß er unter dem Einflusse, unter dem Zwange vielmehr, eines Schmerzreizes entstanden ist. Ich hatte aber tags vorher an Furunkeln gelitten, die mir jede Bewegung zur Qual machten, und zuletzt war ein Furunkel an der Wurzel des Skrotum zur Apfelgröße herangewachsen, hatte mir bei jedem Schritt die unerträglichsten Schmerzen bereitet, und fieberhafte Müdigkeit, Eßunlust, die trotzdem festgehaltene schwere Arbeit des Tages hatten sich mit den Schmerzen vereint, um meine Stimmung zu stören. Ich war nicht recht fähig, meinen ärztlichen Aufgaben nachzukommen, aber bei der Art und bei dem Sitz des Übels ließ sich an eine andere Verrichtung denken, für die ich sicherlich so untauglich gewesen wäre wie für keine andere, und diese ist das </w:t>
      </w:r>
      <w:r w:rsidRPr="00A06A59">
        <w:rPr>
          <w:rFonts w:ascii="Garamond" w:hAnsi="Garamond" w:cs="Arial"/>
          <w:i/>
          <w:iCs/>
          <w:color w:val="000000"/>
          <w:lang w:val="en-GB"/>
        </w:rPr>
        <w:t>Reiten</w:t>
      </w:r>
      <w:r w:rsidRPr="00A06A59">
        <w:rPr>
          <w:rFonts w:ascii="Garamond" w:hAnsi="Garamond" w:cs="Arial"/>
          <w:color w:val="000000"/>
          <w:lang w:val="en-GB"/>
        </w:rPr>
        <w:t xml:space="preserve">. Gerade in diese Tätigkeit versetzt mich nun der Traum; es ist die energischste Negation des Leidens, die der Vorstellung zugänglich ist. Ich kann überhaupt nicht reiten, träume auch sonst nicht davon, bin überhaupt nur einmal auf einem Pferd gesessen und damals ohne Sattel, und es behagte mir nicht. Aber in diesem Traum reite ich, als ob ich keinen Furunkel am Damm hätte, </w:t>
      </w:r>
      <w:r w:rsidRPr="00A06A59">
        <w:rPr>
          <w:rFonts w:ascii="Garamond" w:hAnsi="Garamond" w:cs="Arial"/>
          <w:i/>
          <w:iCs/>
          <w:color w:val="000000"/>
          <w:lang w:val="en-GB"/>
        </w:rPr>
        <w:t>nein gerade weil ich keinen haben will</w:t>
      </w:r>
      <w:r w:rsidRPr="00A06A59">
        <w:rPr>
          <w:rFonts w:ascii="Garamond" w:hAnsi="Garamond" w:cs="Arial"/>
          <w:color w:val="000000"/>
          <w:lang w:val="en-GB"/>
        </w:rPr>
        <w:t>. Mein Sattel ist der Beschreibung gemäß der Breiumschlag, der mir das Einschlafen ermöglicht hat. Wahrscheinlich habe ich durch die ersten Stunden des Schlafes so verwahrt nichts von meinem Leiden verspürt. Dann meldeten sich die schmerzhaften Empfindungen und wollten mich aufwecken, da kam der Traum und sagte beschwichtigend: »Schlaf doch weiter, du wirst doch nicht aufwachen! Du hast ja gar keinen Furunkel, denn du reitest ja auf einem Pferd, und mit einem Furunkel an der Stelle kann man doch nicht reiten!« Und es gelang ihm so; der Schmerz wurde übertäubt, und ich schlief weiter.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hat sich aber nicht damit begnügt, mir durch die hartnäckige Festhaltung einer mit dem Leiden unverträglichen Vorstellung, den Furunkel »abzusuggerieren«, wobei er sich benommen wie der halluzinatorische Wahnsinn der Mutter, die ihr Kind verloren hat </w:t>
      </w:r>
      <w:hyperlink r:id="rId10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Vergleiche die Stelle bei </w:t>
        </w:r>
        <w:r w:rsidRPr="00A06A59">
          <w:rPr>
            <w:rStyle w:val="innerfusslink3"/>
            <w:rFonts w:ascii="Garamond" w:hAnsi="Garamond" w:cs="Arial"/>
            <w:b/>
            <w:bCs/>
            <w:i/>
            <w:iCs/>
            <w:lang w:val="en-GB"/>
          </w:rPr>
          <w:t>Griesinger</w:t>
        </w:r>
        <w:r w:rsidRPr="00A06A59">
          <w:rPr>
            <w:rStyle w:val="innerfusslink3"/>
            <w:rFonts w:ascii="Garamond" w:hAnsi="Garamond" w:cs="Arial"/>
            <w:b/>
            <w:bCs/>
            <w:lang w:val="en-GB"/>
          </w:rPr>
          <w:t xml:space="preserve"> und die Bemerkung in meinem zweiten Aufsatz über die Abwehr-Neuropsychosen (Neurologisches Zentralblatt 1996. (Ges. Schriften, Bd. I.</w:t>
        </w:r>
      </w:hyperlink>
      <w:r w:rsidRPr="00A06A59">
        <w:rPr>
          <w:rFonts w:ascii="Garamond" w:hAnsi="Garamond" w:cs="Arial"/>
          <w:color w:val="000000"/>
          <w:lang w:val="en-GB"/>
        </w:rPr>
        <w:t xml:space="preserve">, oder des Kaufmannes, den Verluste um sein Vermögen gebracht haben; sondern die Einzelheiten der abgeleugneten Sensation und des zu ihrer Verdrängung gebrauchten Bildes dienen ihm auch als Material, um das, was sonst in der Seele aktuell vorhanden ist, an die Situation des Traumes anzuknüpfen und zur Darstellung zu bringen. Ich reite ein </w:t>
      </w:r>
      <w:r w:rsidRPr="00A06A59">
        <w:rPr>
          <w:rFonts w:ascii="Garamond" w:hAnsi="Garamond" w:cs="Arial"/>
          <w:i/>
          <w:iCs/>
          <w:color w:val="000000"/>
          <w:lang w:val="en-GB"/>
        </w:rPr>
        <w:t>graues</w:t>
      </w:r>
      <w:r w:rsidRPr="00A06A59">
        <w:rPr>
          <w:rFonts w:ascii="Garamond" w:hAnsi="Garamond" w:cs="Arial"/>
          <w:color w:val="000000"/>
          <w:lang w:val="en-GB"/>
        </w:rPr>
        <w:t xml:space="preserve"> Pferd, die Farbe des Pferdes entspricht genau dem </w:t>
      </w:r>
      <w:r w:rsidRPr="00A06A59">
        <w:rPr>
          <w:rFonts w:ascii="Garamond" w:hAnsi="Garamond" w:cs="Arial"/>
          <w:i/>
          <w:iCs/>
          <w:color w:val="000000"/>
          <w:lang w:val="en-GB"/>
        </w:rPr>
        <w:t>pfeffer- und salzfarbigen</w:t>
      </w:r>
      <w:r w:rsidRPr="00A06A59">
        <w:rPr>
          <w:rFonts w:ascii="Garamond" w:hAnsi="Garamond" w:cs="Arial"/>
          <w:color w:val="000000"/>
          <w:lang w:val="en-GB"/>
        </w:rPr>
        <w:t xml:space="preserve"> Dreß, in dem ich dem Kollegen P. zuletzt auf dem Lande begegnet bin. </w:t>
      </w:r>
      <w:r w:rsidRPr="00A06A59">
        <w:rPr>
          <w:rFonts w:ascii="Garamond" w:hAnsi="Garamond" w:cs="Arial"/>
          <w:i/>
          <w:iCs/>
          <w:color w:val="000000"/>
          <w:lang w:val="en-GB"/>
        </w:rPr>
        <w:t>Scharfgewürzte</w:t>
      </w:r>
      <w:r w:rsidRPr="00A06A59">
        <w:rPr>
          <w:rFonts w:ascii="Garamond" w:hAnsi="Garamond" w:cs="Arial"/>
          <w:color w:val="000000"/>
          <w:lang w:val="en-GB"/>
        </w:rPr>
        <w:t xml:space="preserve"> Nahrung ist mir als die Ursache der Furunkulose vorgehalten worden, immerhin als Ätiologie dem </w:t>
      </w:r>
      <w:r w:rsidRPr="00A06A59">
        <w:rPr>
          <w:rFonts w:ascii="Garamond" w:hAnsi="Garamond" w:cs="Arial"/>
          <w:i/>
          <w:iCs/>
          <w:color w:val="000000"/>
          <w:lang w:val="en-GB"/>
        </w:rPr>
        <w:t>Zucker</w:t>
      </w:r>
      <w:r w:rsidRPr="00A06A59">
        <w:rPr>
          <w:rFonts w:ascii="Garamond" w:hAnsi="Garamond" w:cs="Arial"/>
          <w:color w:val="000000"/>
          <w:lang w:val="en-GB"/>
        </w:rPr>
        <w:t xml:space="preserve"> vorzuziehen, an den man bei Furunkulose denken kann. Freund P. liebt es, sich mir gegenüber aufs </w:t>
      </w:r>
      <w:r w:rsidRPr="00A06A59">
        <w:rPr>
          <w:rFonts w:ascii="Garamond" w:hAnsi="Garamond" w:cs="Arial"/>
          <w:i/>
          <w:iCs/>
          <w:color w:val="000000"/>
          <w:lang w:val="en-GB"/>
        </w:rPr>
        <w:t>hohe Roß</w:t>
      </w:r>
      <w:r w:rsidRPr="00A06A59">
        <w:rPr>
          <w:rFonts w:ascii="Garamond" w:hAnsi="Garamond" w:cs="Arial"/>
          <w:color w:val="000000"/>
          <w:lang w:val="en-GB"/>
        </w:rPr>
        <w:t xml:space="preserve"> zu setzen, seitdem er mich bei einer Patientin abgelöst, mit der ich große </w:t>
      </w:r>
      <w:r w:rsidRPr="00A06A59">
        <w:rPr>
          <w:rFonts w:ascii="Garamond" w:hAnsi="Garamond" w:cs="Arial"/>
          <w:i/>
          <w:iCs/>
          <w:color w:val="000000"/>
          <w:lang w:val="en-GB"/>
        </w:rPr>
        <w:t>Kunststücke</w:t>
      </w:r>
      <w:r w:rsidRPr="00A06A59">
        <w:rPr>
          <w:rFonts w:ascii="Garamond" w:hAnsi="Garamond" w:cs="Arial"/>
          <w:color w:val="000000"/>
          <w:lang w:val="en-GB"/>
        </w:rPr>
        <w:t xml:space="preserve"> ausgeführt hatte (ich sitze im Traum auf dem Pferd zuerst wie ein </w:t>
      </w:r>
      <w:r w:rsidRPr="00A06A59">
        <w:rPr>
          <w:rFonts w:ascii="Garamond" w:hAnsi="Garamond" w:cs="Arial"/>
          <w:i/>
          <w:iCs/>
          <w:color w:val="000000"/>
          <w:lang w:val="en-GB"/>
        </w:rPr>
        <w:t>Kunstreiter</w:t>
      </w:r>
      <w:r w:rsidRPr="00A06A59">
        <w:rPr>
          <w:rFonts w:ascii="Garamond" w:hAnsi="Garamond" w:cs="Arial"/>
          <w:color w:val="000000"/>
          <w:lang w:val="en-GB"/>
        </w:rPr>
        <w:t xml:space="preserve"> tangential), die mich aber wirklich, wie das Roß in der Anekdote den Sonntagsreiter, geführt hat, wohin sie wollte. So kommt das Roß zur symbolischen Bedeutung einer Patientin (es ist im Traum </w:t>
      </w:r>
      <w:r w:rsidRPr="00A06A59">
        <w:rPr>
          <w:rFonts w:ascii="Garamond" w:hAnsi="Garamond" w:cs="Arial"/>
          <w:i/>
          <w:iCs/>
          <w:color w:val="000000"/>
          <w:lang w:val="en-GB"/>
        </w:rPr>
        <w:t>höchst intelligent</w:t>
      </w:r>
      <w:r w:rsidRPr="00A06A59">
        <w:rPr>
          <w:rFonts w:ascii="Garamond" w:hAnsi="Garamond" w:cs="Arial"/>
          <w:color w:val="000000"/>
          <w:lang w:val="en-GB"/>
        </w:rPr>
        <w:t xml:space="preserve">). » </w:t>
      </w:r>
      <w:r w:rsidRPr="00A06A59">
        <w:rPr>
          <w:rFonts w:ascii="Garamond" w:hAnsi="Garamond" w:cs="Arial"/>
          <w:i/>
          <w:iCs/>
          <w:color w:val="000000"/>
          <w:lang w:val="en-GB"/>
        </w:rPr>
        <w:t>Ich fühle mich ganz heimisch oben</w:t>
      </w:r>
      <w:r w:rsidRPr="00A06A59">
        <w:rPr>
          <w:rFonts w:ascii="Garamond" w:hAnsi="Garamond" w:cs="Arial"/>
          <w:color w:val="000000"/>
          <w:lang w:val="en-GB"/>
        </w:rPr>
        <w:t xml:space="preserve">« geht auf die Stellung, die ich in dem Hause innehatte, ehe ich durch P. ersetzt wurde. » </w:t>
      </w:r>
      <w:r w:rsidRPr="00A06A59">
        <w:rPr>
          <w:rFonts w:ascii="Garamond" w:hAnsi="Garamond" w:cs="Arial"/>
          <w:i/>
          <w:iCs/>
          <w:color w:val="000000"/>
          <w:lang w:val="en-GB"/>
        </w:rPr>
        <w:t>Ich habe gemeint, Sie sitzen oben fest im Sattel</w:t>
      </w:r>
      <w:r w:rsidRPr="00A06A59">
        <w:rPr>
          <w:rFonts w:ascii="Garamond" w:hAnsi="Garamond" w:cs="Arial"/>
          <w:color w:val="000000"/>
          <w:lang w:val="en-GB"/>
        </w:rPr>
        <w:t xml:space="preserve">«, hat mir mit Beziehung auf dasselbe Haus einer meiner wenigen Gönner unter den großen Ärzten dieser Stadt vor kurzem gesagt. Es war auch ein </w:t>
      </w:r>
      <w:r w:rsidRPr="00A06A59">
        <w:rPr>
          <w:rFonts w:ascii="Garamond" w:hAnsi="Garamond" w:cs="Arial"/>
          <w:i/>
          <w:iCs/>
          <w:color w:val="000000"/>
          <w:lang w:val="en-GB"/>
        </w:rPr>
        <w:t>Kunststück</w:t>
      </w:r>
      <w:r w:rsidRPr="00A06A59">
        <w:rPr>
          <w:rFonts w:ascii="Garamond" w:hAnsi="Garamond" w:cs="Arial"/>
          <w:color w:val="000000"/>
          <w:lang w:val="en-GB"/>
        </w:rPr>
        <w:t xml:space="preserve">, mit solchen Schmerzen acht bis zehn Stunden täglich Psychotherapie zu treiben, aber ich weiß, daß ich ohne volles körperliches Wohlbefinden meine besonders schwierige Arbeit nicht lange fortsetzen kann, und der Traum ist voll düsterer Anspielungen auf die Situation, die sich dann ergeben muß (der </w:t>
      </w:r>
      <w:r w:rsidRPr="00A06A59">
        <w:rPr>
          <w:rFonts w:ascii="Garamond" w:hAnsi="Garamond" w:cs="Arial"/>
          <w:i/>
          <w:iCs/>
          <w:color w:val="000000"/>
          <w:lang w:val="en-GB"/>
        </w:rPr>
        <w:t>Zettel</w:t>
      </w:r>
      <w:r w:rsidRPr="00A06A59">
        <w:rPr>
          <w:rFonts w:ascii="Garamond" w:hAnsi="Garamond" w:cs="Arial"/>
          <w:color w:val="000000"/>
          <w:lang w:val="en-GB"/>
        </w:rPr>
        <w:t xml:space="preserve">, wie ihn die Neurastheniker haben und dem Arzte vorzeigen): – </w:t>
      </w:r>
      <w:r w:rsidRPr="00A06A59">
        <w:rPr>
          <w:rFonts w:ascii="Garamond" w:hAnsi="Garamond" w:cs="Arial"/>
          <w:i/>
          <w:iCs/>
          <w:color w:val="000000"/>
          <w:lang w:val="en-GB"/>
        </w:rPr>
        <w:t>Nicht arbeiten und nicht essen</w:t>
      </w:r>
      <w:r w:rsidRPr="00A06A59">
        <w:rPr>
          <w:rFonts w:ascii="Garamond" w:hAnsi="Garamond" w:cs="Arial"/>
          <w:color w:val="000000"/>
          <w:lang w:val="en-GB"/>
        </w:rPr>
        <w:t xml:space="preserve">. Bei weiterer Deutung sehe ich, daß es der Traumarbeit gelungen ist, von der Wunschsituation des Reitens den Weg zu finden zu sehr frühen Kinderstreitszenen, die sich zwischen mir und einem jetzt in England lebenden, übrigens um ein Jahr älteren Neffen abgespielt haben mußten. </w:t>
      </w:r>
      <w:r w:rsidRPr="00A06A59">
        <w:rPr>
          <w:rFonts w:ascii="Garamond" w:hAnsi="Garamond" w:cs="Arial"/>
          <w:color w:val="000000"/>
        </w:rPr>
        <w:t xml:space="preserve">Außerdem hat er Elemente aus meinen Reisen in Italien aufgenommen; die Straße im Traum ist aus Eindrücken von Verona und von Siena zusammengesetzt. </w:t>
      </w:r>
      <w:r w:rsidRPr="00A06A59">
        <w:rPr>
          <w:rFonts w:ascii="Garamond" w:hAnsi="Garamond" w:cs="Arial"/>
          <w:color w:val="000000"/>
          <w:lang w:val="en-GB"/>
        </w:rPr>
        <w:t xml:space="preserve">Noch tiefer gehende Deutung führt zu sexuellen Traumgedanken, und ich erinnere mich, was bei einer Patientin, die nie in Italien war, die Traumanspielungen an das schöne Land bedeuten sollten ( </w:t>
      </w:r>
      <w:r w:rsidRPr="00A06A59">
        <w:rPr>
          <w:rFonts w:ascii="Garamond" w:hAnsi="Garamond" w:cs="Arial"/>
          <w:i/>
          <w:iCs/>
          <w:color w:val="000000"/>
          <w:lang w:val="en-GB"/>
        </w:rPr>
        <w:t>gen Italien – Genitalien</w:t>
      </w:r>
      <w:r w:rsidRPr="00A06A59">
        <w:rPr>
          <w:rFonts w:ascii="Garamond" w:hAnsi="Garamond" w:cs="Arial"/>
          <w:color w:val="000000"/>
          <w:lang w:val="en-GB"/>
        </w:rPr>
        <w:t>), nicht ohne Anknüpfung gleichzeitig an das Haus, in dem ich vor Freund P. Arzt war, und an die Stelle, an welcher mein Furunkel sitzt.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einem anderen Traume gelang es mir auf ähnliche Weise, eine </w:t>
      </w:r>
      <w:r w:rsidRPr="00A06A59">
        <w:rPr>
          <w:rFonts w:ascii="Garamond" w:hAnsi="Garamond" w:cs="Arial"/>
          <w:i/>
          <w:iCs/>
          <w:color w:val="000000"/>
          <w:lang w:val="en-GB"/>
        </w:rPr>
        <w:t>diesmal</w:t>
      </w:r>
      <w:r w:rsidRPr="00A06A59">
        <w:rPr>
          <w:rFonts w:ascii="Garamond" w:hAnsi="Garamond" w:cs="Arial"/>
          <w:color w:val="000000"/>
          <w:lang w:val="en-GB"/>
        </w:rPr>
        <w:t xml:space="preserve"> von einer Sinnesreizung drohende Schlafstörung abzuwehren, aber es war nur ein Zufall, der mich in den Stand setzte, den Zusammenhang des Traumes mit dem zufälligen Traumreiz zu entdecken und solcherart den Traum zu verstehen. Eines Morgens erwachte ich, es war im Hochsommer, in einem tirolischen Höhenort, mit dem Wissen, geträumt zu haben: </w:t>
      </w:r>
      <w:r w:rsidRPr="00A06A59">
        <w:rPr>
          <w:rFonts w:ascii="Garamond" w:hAnsi="Garamond" w:cs="Arial"/>
          <w:i/>
          <w:iCs/>
          <w:color w:val="000000"/>
          <w:lang w:val="en-GB"/>
        </w:rPr>
        <w:t>Der Papst ist gestorben</w:t>
      </w:r>
      <w:r w:rsidRPr="00A06A59">
        <w:rPr>
          <w:rFonts w:ascii="Garamond" w:hAnsi="Garamond" w:cs="Arial"/>
          <w:color w:val="000000"/>
          <w:lang w:val="en-GB"/>
        </w:rPr>
        <w:t xml:space="preserve">. Die Deutung dieses kurzen, nicht visuellen Traumes gelang mir nicht. Ich erinnerte mich nur der einen Anlehnung für den Traum, daß in der Zeitung kurze Zeit vorher ein leichtes Unwohlsein Sr. Heiligkeit gemeldet worden war. </w:t>
      </w:r>
      <w:r w:rsidRPr="00A06A59">
        <w:rPr>
          <w:rFonts w:ascii="Garamond" w:hAnsi="Garamond" w:cs="Arial"/>
          <w:color w:val="000000"/>
        </w:rPr>
        <w:t xml:space="preserve">Aber im Laufe des Vormittags fragte meine Frau: »Hast du heute morgens das fürchterliche Glockenläuten gehört?« Ich wußte nichts davon, daß ich es gehört hatte, aber ich verstand jetzt meinen Traum. Er war die Reaktion meines Schlafbedürfnisses auf den Lärm gewesen, durch den die frommen Tiroler mich wecken wollten. </w:t>
      </w:r>
      <w:r w:rsidRPr="00A06A59">
        <w:rPr>
          <w:rFonts w:ascii="Garamond" w:hAnsi="Garamond" w:cs="Arial"/>
          <w:color w:val="000000"/>
          <w:lang w:val="en-GB"/>
        </w:rPr>
        <w:t xml:space="preserve">Ich rächte mich an </w:t>
      </w:r>
      <w:r w:rsidRPr="00A06A59">
        <w:rPr>
          <w:rFonts w:ascii="Garamond" w:hAnsi="Garamond" w:cs="Arial"/>
          <w:color w:val="000000"/>
          <w:lang w:val="en-GB"/>
        </w:rPr>
        <w:lastRenderedPageBreak/>
        <w:t>ihnen durch die Folgerung, die den Inhalt des Traumes bildet, und schlief nun ganz ohne Interesse für das Geläute weiter.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Unter den in den vorstehenden Abschnitten erwähnten Träumen fänden sich bereits mehrere, die als Beispiele für die Verarbeitung sogenannter Nervenreize dienen können. Der Traum vom Trinken in vollen Zügen ist ein solcher; in ihm ist der somatische Reiz anscheinend die einzige Traumquelle, der aus der Sensation entspringende Wunsch der Durst das einzige Traummotiv. Ähnlich ist es in anderen einfachen Träumen, wenn der somatische Reiz für sich allein einen Wunsch zu bilden vermag. Der Traum der Kranken, die nachts den Kühlapparat von der Wange abwirft, zeigt eine ungewöhnliche Art, auf Schmerzensreize mit Wunscherfüllung zu reagieren; es scheint, daß es der Kranken vorübergehend gelungen war, sich analgisch zu machen, wobei sie ihre Schmerzen einem Fremden zuschob.</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Mein Traum von den drei Parzen ist ein offenbarer Hungertraum, aber er weiß das Nahrungsbedürfnis bis auf die Sehnsucht des Kindes nach der Mutterbrust zurückzuschieben und die harmlose Begierde zur Decke für eine ernstere, die sich nicht so unverhüllt äußern darf, zu benützen. Im Traume vom Grafen </w:t>
      </w:r>
      <w:r w:rsidRPr="00A06A59">
        <w:rPr>
          <w:rFonts w:ascii="Garamond" w:hAnsi="Garamond" w:cs="Arial"/>
          <w:i/>
          <w:iCs/>
          <w:color w:val="000000"/>
          <w:lang w:val="en-GB"/>
        </w:rPr>
        <w:t>Thun</w:t>
      </w:r>
      <w:r w:rsidRPr="00A06A59">
        <w:rPr>
          <w:rFonts w:ascii="Garamond" w:hAnsi="Garamond" w:cs="Arial"/>
          <w:color w:val="000000"/>
          <w:lang w:val="en-GB"/>
        </w:rPr>
        <w:t xml:space="preserve"> konnten wir sehen, auf welchen Wegen ein akzidentell gegebenes körperliches Bedürfnis mit den stärksten aber auch stärkst unterdrückten Regungen des Seelenlebens in Verbindung gebracht wird. Und wenn, wie in dem von </w:t>
      </w:r>
      <w:r w:rsidRPr="00A06A59">
        <w:rPr>
          <w:rFonts w:ascii="Garamond" w:hAnsi="Garamond" w:cs="Arial"/>
          <w:i/>
          <w:iCs/>
          <w:color w:val="000000"/>
          <w:lang w:val="en-GB"/>
        </w:rPr>
        <w:t>Garnier</w:t>
      </w:r>
      <w:r w:rsidRPr="00A06A59">
        <w:rPr>
          <w:rFonts w:ascii="Garamond" w:hAnsi="Garamond" w:cs="Arial"/>
          <w:color w:val="000000"/>
          <w:lang w:val="en-GB"/>
        </w:rPr>
        <w:t xml:space="preserve"> berichteten Falle, der Erste Konsul das Geräusch der explodierenden Höllenmaschine in einen Schlachtentraum verwebt, ehe er davon erwacht, so offenbart sich darin ganz besonders klar das Bestreben, in dessen Dienst die Seelentätigkeit sich überhaupt um die Sensationen während des Schlafes kümmert. Ein junger Advokat, der, voll von seinem ersten großen Konkurs, des Nachmittags einschläft, benimmt sich ganz ähnlich wie der große Napoleon. Er träumt von einem gewissen G. Reich in </w:t>
      </w:r>
      <w:r w:rsidRPr="00A06A59">
        <w:rPr>
          <w:rFonts w:ascii="Garamond" w:hAnsi="Garamond" w:cs="Arial"/>
          <w:i/>
          <w:iCs/>
          <w:color w:val="000000"/>
          <w:lang w:val="en-GB"/>
        </w:rPr>
        <w:t>Hussiatyn</w:t>
      </w:r>
      <w:r w:rsidRPr="00A06A59">
        <w:rPr>
          <w:rFonts w:ascii="Garamond" w:hAnsi="Garamond" w:cs="Arial"/>
          <w:color w:val="000000"/>
          <w:lang w:val="en-GB"/>
        </w:rPr>
        <w:t xml:space="preserve">, den er aus einem Konkurs kennt, aber </w:t>
      </w:r>
      <w:r w:rsidRPr="00A06A59">
        <w:rPr>
          <w:rFonts w:ascii="Garamond" w:hAnsi="Garamond" w:cs="Arial"/>
          <w:i/>
          <w:iCs/>
          <w:color w:val="000000"/>
          <w:lang w:val="en-GB"/>
        </w:rPr>
        <w:t>Hussiatyn</w:t>
      </w:r>
      <w:r w:rsidRPr="00A06A59">
        <w:rPr>
          <w:rFonts w:ascii="Garamond" w:hAnsi="Garamond" w:cs="Arial"/>
          <w:color w:val="000000"/>
          <w:lang w:val="en-GB"/>
        </w:rPr>
        <w:t xml:space="preserve"> drängt sich weiter gebieterisch auf; er muß erwachen und hört seine Frau, die an einem Bronchialkatarrh leidet, heftig – husten.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US"/>
        </w:rPr>
      </w:pPr>
      <w:r w:rsidRPr="00A06A59">
        <w:rPr>
          <w:rFonts w:ascii="Garamond" w:hAnsi="Garamond" w:cs="Arial"/>
          <w:color w:val="000000"/>
          <w:lang w:val="en-GB"/>
        </w:rPr>
        <w:t xml:space="preserve">Halten wir diesen Traum des ersten Napoleon, der übrigens ein ausgezeichneter Schläfer war, und jenen anderen des langschläfrigen Studenten zusammen, der von seiner Zimmerfrau geweckt, er müsse ins Spital, sich in ein Spitalsbett träumt und dann mit der Motivierung weiterschläft: Wenn ich schon im Spital bin, brauche ich ja nicht aufzustehen, um hinzugehen. Der letztere ist ein offenbarer Bequemlichkeitstraum, der Schläfer gesteht sich das Motiv seines Träumens unverhohlen ein, deckt aber damit eines der Geheimnisse des Träumens überhaupt auf. In gewissem Sinne sind alle Träume </w:t>
      </w:r>
      <w:r w:rsidRPr="00A06A59">
        <w:rPr>
          <w:rFonts w:ascii="Garamond" w:hAnsi="Garamond" w:cs="Arial"/>
          <w:i/>
          <w:iCs/>
          <w:color w:val="000000"/>
          <w:lang w:val="en-GB"/>
        </w:rPr>
        <w:t>Bequemlichkeitsträume</w:t>
      </w:r>
      <w:r w:rsidRPr="00A06A59">
        <w:rPr>
          <w:rFonts w:ascii="Garamond" w:hAnsi="Garamond" w:cs="Arial"/>
          <w:color w:val="000000"/>
          <w:lang w:val="en-GB"/>
        </w:rPr>
        <w:t xml:space="preserve">; sie dienen der Absicht, den Schlaf fortzusetzen, anstatt zu erwachen. </w:t>
      </w:r>
      <w:r w:rsidRPr="00A06A59">
        <w:rPr>
          <w:rFonts w:ascii="Garamond" w:hAnsi="Garamond" w:cs="Arial"/>
          <w:i/>
          <w:iCs/>
          <w:color w:val="000000"/>
        </w:rPr>
        <w:t>Der Traum ist der Wächter des Schlafes, nicht sein Störer.</w:t>
      </w:r>
      <w:r w:rsidRPr="00A06A59">
        <w:rPr>
          <w:rFonts w:ascii="Garamond" w:hAnsi="Garamond" w:cs="Arial"/>
          <w:color w:val="000000"/>
        </w:rPr>
        <w:t xml:space="preserve"> </w:t>
      </w:r>
      <w:r w:rsidRPr="00A06A59">
        <w:rPr>
          <w:rFonts w:ascii="Garamond" w:hAnsi="Garamond" w:cs="Arial"/>
          <w:color w:val="000000"/>
          <w:lang w:val="en-US"/>
        </w:rPr>
        <w:t xml:space="preserve">Gegen die psychisch erweckenden Momente werden wir diese Auffassung an anderer Stelle rechtfertigen; ihre Anwendbarkeit auf die Rolle der objektiven äußeren Reize können wir hier bereits begründen. Die Seele kümmert sich entweder überhaupt nicht um die Anlässe zu Sensationen während des Schlafens, wenn sie dies gegen die Intensität und die von ihr wohlverstandene Bedeutung dieser Reize vermag; oder sie verwendet den Traum dazu, diese Reize in Abrede zu stellen, oder drittens, wenn sie dieselben anerkennen muß, so sucht sie jene Deutung derselben auf, welche die aktuelle Sensation als einen Teilbestand einer gewünschten und mit dem Schlafen verträglichen Situation hinstellt. Die aktuelle Sensation wird in einen Traum verflochten, </w:t>
      </w:r>
      <w:r w:rsidRPr="00A06A59">
        <w:rPr>
          <w:rFonts w:ascii="Garamond" w:hAnsi="Garamond" w:cs="Arial"/>
          <w:i/>
          <w:iCs/>
          <w:color w:val="000000"/>
          <w:lang w:val="en-US"/>
        </w:rPr>
        <w:t>um ihr die Realität zu rauben</w:t>
      </w:r>
      <w:r w:rsidRPr="00A06A59">
        <w:rPr>
          <w:rFonts w:ascii="Garamond" w:hAnsi="Garamond" w:cs="Arial"/>
          <w:color w:val="000000"/>
          <w:lang w:val="en-US"/>
        </w:rPr>
        <w:t xml:space="preserve">. Napoleon darf weiter schlafen; es ist ja nur eine Traumerinnerung an den Kanonendonner von Arcole, was ihn stören will </w:t>
      </w:r>
      <w:hyperlink r:id="rId106" w:anchor="#" w:history="1">
        <w:r w:rsidRPr="00A06A59">
          <w:rPr>
            <w:rStyle w:val="fusslink"/>
            <w:rFonts w:ascii="Garamond" w:hAnsi="Garamond" w:cs="Arial"/>
            <w:b/>
            <w:bCs/>
            <w:color w:val="003399"/>
            <w:lang w:val="en-US"/>
          </w:rPr>
          <w:t>[Fußnote]</w:t>
        </w:r>
        <w:r w:rsidRPr="00A06A59">
          <w:rPr>
            <w:rStyle w:val="innerfusslink3"/>
            <w:rFonts w:ascii="Garamond" w:hAnsi="Garamond" w:cs="Arial"/>
            <w:b/>
            <w:bCs/>
            <w:lang w:val="en-US"/>
          </w:rPr>
          <w:t>Der Inhalt dieses Traumes wird in den zwei Quellen, aus denen ich ihn kenne, nicht übereinstimmend erzählt.</w:t>
        </w:r>
      </w:hyperlink>
      <w:r w:rsidRPr="00A06A59">
        <w:rPr>
          <w:rFonts w:ascii="Garamond" w:hAnsi="Garamond" w:cs="Arial"/>
          <w:color w:val="000000"/>
          <w:lang w:val="en-US"/>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US"/>
        </w:rPr>
        <w:t>Der Wunsch zu schlafen (auf den sich das bewußte Ich eingestellt hat und der nebst der Traumzensur und der später zu erwähnenden »sekundären Bearbeitung« dessen Beitrag zum Träumen darstellt) muß so als Motiv der Traumbildung jedesmal eingerechnet werden, und jeder gelungene Traum ist eine Erfüllung desselben.</w:t>
      </w:r>
      <w:r w:rsidRPr="00A06A59">
        <w:rPr>
          <w:rFonts w:ascii="Garamond" w:hAnsi="Garamond" w:cs="Arial"/>
          <w:color w:val="000000"/>
          <w:lang w:val="en-US"/>
        </w:rPr>
        <w:t xml:space="preserve"> Wie dieser allgemeine, regelmäßig vorhandene und sich gleichbleibende Schlafwunsch sich zu den anderen Wünschen stellt, von denen bald der, bald jener durch den Trauminhalt erfüllt werden, dies wird Gegenstand einer anderen Auseinandersetzung sein. In dem Schlafwunsch haben wir aber jenes Moment aufgedeckt, welches die Lücke in der </w:t>
      </w:r>
      <w:r w:rsidRPr="00A06A59">
        <w:rPr>
          <w:rFonts w:ascii="Garamond" w:hAnsi="Garamond" w:cs="Arial"/>
          <w:i/>
          <w:iCs/>
          <w:color w:val="000000"/>
          <w:lang w:val="en-US"/>
        </w:rPr>
        <w:t>Strümpell</w:t>
      </w:r>
      <w:r w:rsidRPr="00A06A59">
        <w:rPr>
          <w:rFonts w:ascii="Garamond" w:hAnsi="Garamond" w:cs="Arial"/>
          <w:color w:val="000000"/>
          <w:lang w:val="en-US"/>
        </w:rPr>
        <w:t xml:space="preserve">- </w:t>
      </w:r>
      <w:r w:rsidRPr="00A06A59">
        <w:rPr>
          <w:rFonts w:ascii="Garamond" w:hAnsi="Garamond" w:cs="Arial"/>
          <w:i/>
          <w:iCs/>
          <w:color w:val="000000"/>
          <w:lang w:val="en-US"/>
        </w:rPr>
        <w:t>Wundt</w:t>
      </w:r>
      <w:r w:rsidRPr="00A06A59">
        <w:rPr>
          <w:rFonts w:ascii="Garamond" w:hAnsi="Garamond" w:cs="Arial"/>
          <w:color w:val="000000"/>
          <w:lang w:val="en-US"/>
        </w:rPr>
        <w:t xml:space="preserve">schen Theorie auszufüllen, die Schiefheit und Launenhaftigkeit in der Deutung des äußeren Reizes aufzuklären vermag. Die richtige Deutung, deren die schlafende Seele sehr wohl fähig ist, nähme ein tätiges Interesse in Anspruch, stellte die Anforderung, dem Schlaf ein Ende zu machen; es werden darum von den überhaupt möglichen Deutungen nur solche zugelassen, die mit der absolutistisch geübten Zensur des Schlaf Wunsches vereinbar sind. </w:t>
      </w:r>
      <w:r w:rsidRPr="00A06A59">
        <w:rPr>
          <w:rFonts w:ascii="Garamond" w:hAnsi="Garamond" w:cs="Arial"/>
          <w:color w:val="000000"/>
          <w:lang w:val="en-GB"/>
        </w:rPr>
        <w:t>Etwa: Die Nachtigall ist's und nicht die Lerche. Denn wenn's die Lerche ist, so hat die Liebesnacht ihr Ende gefunden. Unter den nun zulässigen Deutungen des Reizes wird dann jene ausgewählt, welche die beste Verknüpfung mit den in der Seele lauernden Wunschregungen erwerben kann. So ist alles eindeutig bestimmt und nichts der Willkür überlassen. Die Mißdeutung ist nicht Illusion, sondern – wenn man so will – Ausrede. Hier ist aber wiederum, wie bei dem Ersatz durch Verschiebung zu Diensten der Traumzensur, ein Akt der Beugung des normalen psychischen Vorganges zuzugeben.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die äußeren Nerven- und inneren Leibreize intensiv genug sind, um sich psychische Beachtung zu erzwingen, so stellen sie – falls überhaupt Träumen und nicht Erwachen ihr Erfolg ist – einen festen Punkt für die Traumbildung dar, einen Kern im Traummaterial, zu dem eine entsprechende Wunscherfüllung in ähnlicher Weise gesucht wird, wie </w:t>
      </w:r>
      <w:r w:rsidRPr="00A06A59">
        <w:rPr>
          <w:rFonts w:ascii="Garamond" w:hAnsi="Garamond" w:cs="Arial"/>
          <w:color w:val="000000"/>
          <w:lang w:val="en-GB"/>
        </w:rPr>
        <w:lastRenderedPageBreak/>
        <w:t>(siehe oben) die vermittelnden Vorstellungen zwischen zwei psychischen Traumreizen. Es ist insofern für eine Anzahl von Träumen richtig, daß in ihnen das somatische Element den Trauminhalt kommandiert. In diesem extremen Falle wird selbst behufs der Traumbildung ein gerade nicht aktueller Wunsch geweckt. Der Traum kann aber nicht anders als einen Wunsch in einer Situation als erfüllt darstellen; er ist gleichsam vor die Aufgabe gestellt zu suchen, welcher Wunsch durch die nun aktuelle Sensation als erfüllt dargestellt werden kann. Ist dies aktuelle Material von schmerzlichem oder peinlichem Charakter, so ist es doch darum zur Traumbildung nicht unbrauchbar. Das Seelenleben verfügt auch über Wünsche, deren Erfüllung Unlust hervorruft, was ein Widerspruch scheint, aber durch die Berufung auf das Vorhandensein zweier psychischer Instanzen und die zwischen ihnen bestehende Zensur erklärlich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gibt, wie wir gehört haben, im Seelenleben </w:t>
      </w:r>
      <w:r w:rsidRPr="00A06A59">
        <w:rPr>
          <w:rFonts w:ascii="Garamond" w:hAnsi="Garamond" w:cs="Arial"/>
          <w:i/>
          <w:iCs/>
          <w:color w:val="000000"/>
          <w:lang w:val="en-GB"/>
        </w:rPr>
        <w:t>verdrängte</w:t>
      </w:r>
      <w:r w:rsidRPr="00A06A59">
        <w:rPr>
          <w:rFonts w:ascii="Garamond" w:hAnsi="Garamond" w:cs="Arial"/>
          <w:color w:val="000000"/>
          <w:lang w:val="en-GB"/>
        </w:rPr>
        <w:t xml:space="preserve"> Wünsche, die dem ersten System angehören, gegen deren Erfüllung das zweite System sich sträubt. Es gibt ist nicht etwa historisch gemeint, daß es solche Wünsche gegeben und diese dann vernichtet worden sind; sondern die Lehre von der Verdrängung, deren man in der Psychoneurotik bedarf, behauptet, daß solche verdrängte Wünsche noch existieren, gleichzeitig aber eine Hemmung, die auf ihnen lastet. Die Sprache trifft das Richtige, wenn sie vom » </w:t>
      </w:r>
      <w:r w:rsidRPr="00A06A59">
        <w:rPr>
          <w:rFonts w:ascii="Garamond" w:hAnsi="Garamond" w:cs="Arial"/>
          <w:i/>
          <w:iCs/>
          <w:color w:val="000000"/>
          <w:lang w:val="en-GB"/>
        </w:rPr>
        <w:t>Unterdrücken</w:t>
      </w:r>
      <w:r w:rsidRPr="00A06A59">
        <w:rPr>
          <w:rFonts w:ascii="Garamond" w:hAnsi="Garamond" w:cs="Arial"/>
          <w:color w:val="000000"/>
          <w:lang w:val="en-GB"/>
        </w:rPr>
        <w:t>« solcher Impulse redet. Die psychische Veranstaltung, damit solche unterdrückte Wünsche zur Realisierung durchdringen, bleibt erhalten und gebrauchsfähig. Ereignet es sich aber, daß solch ein unterdrückter Wunsch doch vollzogen wird, so äußert sich die überwundene Hemmung des zweiten (bewußtseinsfähigen) Systems als Unlust. Um nun diese Erörterung zu schließen: wenn Sensationen mit Unlustcharakter im Schlafe aus somatischen Quellen vorhanden sind, so wird diese Konstellation von der Traumarbeit benützt, um die Erfüllung eines sonst unterdrückten Wunsches – mit mehr oder weniger Beibehalt der Zensur – darzustellen.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Dieser Sachverhalt ermöglicht eine Reihe von Angstträumen, während eine andere Reihe dieser der Wunschtheorie ungünstigen Traumbildungen einen anderen Mechanismus erkennen läßt. Die Angst in den Träumen kann nämlich eine psychoneurotische sein, aus psychosexuellen Erregungen stammen, wobei die Angst verdrängter Libido entspricht. Dann hat diese Angst wie der ganze Angsttraum die Bedeutung eines neurotischen Symptoms, und wir stehen an der Grenze, wo die wunscherfüllende Tendenz des Traumes scheitert. In anderen Angstträumen aber ist die Angstempfindung somatisch gegeben (etwa wie bei Lungen- und Herzkranken bei zufälliger Atembehinderung), und dann wird sie dazu benützt, solchen energisch unterdrückten Wünschen zur Erfüllung als Traum zu verhelfen, deren Träumen aus psychischen Motiven die gleiche Angstentbindung zur Folge gehabt hätte. Es ist nicht schwer, die beiden scheinbar gesonderten Fälle zu vereinigen. Von zwei psychischen Bildungen, einer Affektneigung und einem Vorstellungsinhalt, die innig zusammengehören, hebt die eine, die aktuell gegeben ist, auch im Traum die andere; bald die somatisch gegebene Angst den unterdrückten Vorstellungsinhalt, bald der aus der Verdrängung befreite, mit sexueller Erregung einhergehende Vorstellungsinhalt die Angstentbindung. Von dem einen Fall kann man sagen, daß ein somatisch gegebener Affekt psychisch gedeutet wird; im anderen Falle ist alles psychisch gegeben, aber der unterdrückt gewesene Inhalt ersetzt sich leicht durch eine zur Angst passende somatische Deutung. Die Schwierigkeiten, die sich hier für das Verständnis ergeben, haben mit dem Traum nur wenig zu tun; sie rühren daher, daß wir mit diesen Erörterungen die Probleme der Angstentwicklung und der Verdrängung streifen.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Zu den kommandierenden Traumreizen aus der inneren Leiblichkeit gehört unzweifelhaft die körperliche Gesamtstimmung. Nicht daß sie den Trauminhalt liefern könnte, aber sie nötigt den Traumgedanken eine Auswahl aus dem Material auf, welches zur Darstellung im Trauminhalt dienen soll, indem sie den einen Teil dieses Materials, als zu ihrem Wesen passend, nahelegt, den anderen fernehält. Überdies ist ja wohl diese Allgemeinstimmung vom Tage her mit den für den Traum bedeutsamen psychischen Resten verknüpft. Dabei kann diese Stimmung selbst im Traume erhalten bleiben oder überwunden werden, so daß sie, wenn unlustvoll, ins Gegenteil umschlägt.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die somatischen Reizquellen während des Schlafes – die Schlafsensationen also – nicht von ungewöhnlicher Intensität sind, so spielen sie nach meiner Schätzung für die Traumbildung eine ähnliche Rolle wie die als rezent verbliebenen, aber indifferenten Eindrücke des Tages. Ich meine nämlich, sie werden zur Traumbildung herangezogen, wenn sie sich zur Vereinigung mit dem Vorstellungsinhalt der psychischen Traumquellen eignen, im anderen Falle aber nicht. Sie werden wie ein wohlfeiles, allezeit bereitliegendes Material behandelt, welches zur Verwendung kommt, sooft man dessen bedarf, anstatt daß ein kostbares Material die Art seiner Verwendung selbst mitvorschreibt. Der Fall ist etwa ähnlich, wie wenn der Kunstgönner dem Künstler einen seltenen Stein, einen Onyx bringt, aus ihm ein Kunstwerk zu gestalten. Die Größe des Steins, seine Farbe und Fleckung helfen mit entscheiden, welcher Kopf oder welche Szene in ihm dargestellt werden soll, während bei gleichmäßigem und reichlichem Material von Marmor oder Sandstein der Künstler allein der Idee nachfolgt, die sich in seinem Sinn gestaltet. Auf diese Weise allein scheint mir die Tatsache verständlich, daß jener Trauminhalt, der von den nicht ins Ungewohnte gesteigerten Reizen aus unserer Leiblichkeit geliefert wird, doch nicht in allen Träumen und nicht in jeder Nacht im Traume </w:t>
      </w:r>
      <w:r w:rsidRPr="00A06A59">
        <w:rPr>
          <w:rFonts w:ascii="Garamond" w:hAnsi="Garamond" w:cs="Arial"/>
          <w:color w:val="000000"/>
          <w:lang w:val="en-GB"/>
        </w:rPr>
        <w:lastRenderedPageBreak/>
        <w:t xml:space="preserve">erscheint </w:t>
      </w:r>
      <w:hyperlink r:id="rId10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xml:space="preserve"> hat in einer Reihe von Arbeiten gezeigt, daß gewisse, durch Organreiz hervorgerufene Weckträume (die Harnreiz- und Pollutionsträume) besonders geeignet sind, den Kampf zwischen dem Schlafbedürfnis und den Anforderungen des organischen Bedürfnisses sowie den Einfluß des letzteren auf den Trauminhalt zu demonstrieren.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Vielleicht wird ein Beispiel, das uns wieder zur Traumdeutung zurückführt, meine Meinung am besten erläutern. Eines Tages mühte ich mich ab zu verstehen, was die Empfindung von Gehemmtsein, nicht von der Stelle können, nicht fertig werden u. dgl., die so häufig geträumt wird und die der Angst so nahe verwandt ist, wohl bedeuten mag. In der Nacht darauf hatte ich folgenden Traum: </w:t>
      </w:r>
      <w:r w:rsidRPr="00A06A59">
        <w:rPr>
          <w:rFonts w:ascii="Garamond" w:hAnsi="Garamond" w:cs="Arial"/>
          <w:i/>
          <w:iCs/>
          <w:color w:val="000000"/>
          <w:lang w:val="en-GB"/>
        </w:rPr>
        <w:t>Ich gehe in sehr unvollständiger Toilette aus einer Wohnung im Parterre über die Treppe in ein höheres Stockwerk. Dabei überspringe ich jedesmal drei Stufen, freue mich, daß ich so flink Treppen steigen kann. Plötzlich sehe ich, daß ein Dienstmädchen die Treppen herab- und also mir entgegenkommt. Ichschäme mich, will mich eilen, und nun tritt jenes Gehemmtsein auf, ich klebe an den Stufen und komme nicht von der Stelle.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analyse: Die Situation des Traumes ist der alltäglichen Wirklichkeit entnommen. Ich habe in einem Hause in Wien zwei Wohnungen, die nur durch die Treppe außen verbunden sind. Im Hochparterre befindet sich meine ärztliche Wohnung und mein Arbeitszimmer, einen Stock höher die Wohnräume. </w:t>
      </w:r>
      <w:r w:rsidRPr="00A06A59">
        <w:rPr>
          <w:rFonts w:ascii="Garamond" w:hAnsi="Garamond" w:cs="Arial"/>
          <w:color w:val="000000"/>
          <w:lang w:val="en-GB"/>
        </w:rPr>
        <w:t>Wenn ich in später Stunde unten meine Arbeit vollendet habe, gehe ich über die Treppe ins Schlafzimmer. An dem Abend vor dem Traum hatte ich diesen kurzen Weg wirklich in etwas derangierter Toilette gemacht, d. h. ich hatte Kragen, Krawatte und Manschetten abgelegt; im Traum war daraus ein höherer, aber, wie gewöhnlich, unbestimmter Grad von Kleiderlosigkeit geworden. Das Überspringen von Stufen ist meine gewöhnliche Art, die Treppe zu gehen, übrigens eine bereits im Traum anerkannte Wunscherfüllung, denn mit der Leichtigkeit dieser Leistung hatte ich mich ob des Zustands meiner Herzarbeit getröstet. Ferner ist diese Art, die Treppe zu gehen, ein wirksamer Gegensatz zu der Hemmung in der zweiten Hälfte des Traums. Sie zeigt mir – was des Beweises nicht bedurfte – daß der Traum keine Schwierigkeit hat, sich motorische Aktionen in aller Vollkommenheit ausgeführt vorzustellen; man denke an das Fliegen im 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Treppe, über die ich gehe, ist aber nicht die meines Hauses; ich erkenne sie zunächst nicht, erst die mir entgegenkommende Person klärt mich über die gemeinte Örtlichkeit auf. Diese Person ist das Dienstmädchen der alten Dame, die ich täglich zweimal besuche, um ihr Injektionen zu machen; die Treppe ist auch ganz ähnlich jener, die ich zweimal im Tage dort zu ersteigen habe.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Wie gelangt nun diese Treppe und diese Frauensperson in meinen Traum? Das Schämen, weil man nicht voll angekleidet ist, hat unzweifelhaft sexuellen Charakter; das Dienstmädchen, von dem ich träume, ist älter als ich, mürrisch und keineswegs anreizend. Zu diesen Fragen fällt mir nun nichts anderes ein als das Folgende: Wenn ich in diesem Hause den Morgenbesuch mache, werde ich gewöhnlich auf der Treppe von Räuspern befallen; das Produkt der Expektoration gerät auf die Stiege. In diesen beiden Stockwerken befindet sich nämlich kein Spucknapf, und ich vertrete den Standpunkt, daß die Reinhaltung der Treppe nicht auf meine Kosten erfolgen darf, sondern durch die Anbringung eines Spucknapfes ermöglicht werden soll. Die Hausmeisterin, eine gleichfalls ältliche und mürrische Person, aber von reinlichen Instinkten, wie ich ihr zuzugestehen bereit bin, nimmt in dieser Angelegenheit einen anderen Standpunkt ein. Sie lauert mir auf, ob ich mir wieder die besagte Freiheit erlauben werde, und wenn sie das konstatiert hat, höre ich sie vernehmlich brummen. </w:t>
      </w:r>
      <w:r w:rsidRPr="00A06A59">
        <w:rPr>
          <w:rFonts w:ascii="Garamond" w:hAnsi="Garamond" w:cs="Arial"/>
          <w:color w:val="000000"/>
        </w:rPr>
        <w:t xml:space="preserve">Auch versagt sie mir dann für Tage die gewohnte Hochachtung, wenn wir uns begegnen. Am Vortag des Traumes bekam nun die Partei der Hausmeisterin eine Verstärkung durch das Dienstmädchen. Ich hatte eilig, wie immer, meinen Besuch bei der Kranken abgemacht, als die Dienerin mich im Vorzimmer stellte und die Bemerkung von sich gab: »Herr Doktor hätten sich heute schon die Stiefel abputzen können, ehe Sie ins Zimmer kommen. </w:t>
      </w:r>
      <w:r w:rsidRPr="00A06A59">
        <w:rPr>
          <w:rFonts w:ascii="Garamond" w:hAnsi="Garamond" w:cs="Arial"/>
          <w:color w:val="000000"/>
          <w:lang w:val="en-GB"/>
        </w:rPr>
        <w:t>Der rote Teppich ist wiederum ganz schmutzig von Ihren Füßen.« Dies ist der ganze Anspruch, den Treppe und Dienstmädchen geltend machen können, um in meinem Traum zu erscheinen.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Zwischen meinem Über-die-Treppe-Fliegen und dem Auf-der-Treppe-Spucken besteht ein inniger Zusammenhang. Rachenkatarrh wie Herzbeschwerden sollen beide die Strafen für das Laster des Rauchens darstellen, wegen dessen ich natürlich auch bei meiner Hausfrau nicht den Ruf der größten Nettigkeit genieße, in dem einen Haus so wenig wie in dem anderen, die der Traum zu einem Gebilde verschmilzt.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weitere Deutung des Traumes muß ich verschieben, bis ich berichten kann, woher der typische Traum von der unvollständigen Bekleidung rührt. Ich bemerke nur als vorläufiges Ergebnis des mitgeteilten Traumes, daß die Traumsensation der gehemmten Bewegung überall dort hervorgerufen wird, wo ein gewisser Zusammenhang ihrer bedarf. Ein besonderer Zustand meiner Motilität im Schlafe kann nicht die Ursache dieses Trauminhalts sein, denn einen Moment vorher sah ich mich ja wie zur Sicherung dieser Erkenntnis leichtfüßig über die Stufen eilen.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t>D. Typische Träume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Wir sind im allgemeinen nicht imstande, den Traum eines anderen zu deuten, wenn derselbe uns nicht die hinter dem Trauminhalt stehenden unbewußten Gedanken ausliefern will, und dadurch wird die praktische Verwertbarkeit unserer Methode der Traumdeutung schwer beeinträchtigt </w:t>
      </w:r>
      <w:hyperlink r:id="rId10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Der Satz, daß unsere Methode der Traumdeutung unanwendbar wird, wenn wir nicht über das Assoziationsmaterial des Träumers verfügen, fordert die Ergänzung, daß unsere Deutungsarbeit in einem Falle von diesen Assoziationen unabhängig ist, nämlich dann, wenn der Träumer </w:t>
        </w:r>
        <w:r w:rsidRPr="00A06A59">
          <w:rPr>
            <w:rStyle w:val="innerfusslink3"/>
            <w:rFonts w:ascii="Garamond" w:hAnsi="Garamond" w:cs="Arial"/>
            <w:b/>
            <w:bCs/>
            <w:i/>
            <w:iCs/>
            <w:lang w:val="en-GB"/>
          </w:rPr>
          <w:t>symbolische</w:t>
        </w:r>
        <w:r w:rsidRPr="00A06A59">
          <w:rPr>
            <w:rStyle w:val="innerfusslink3"/>
            <w:rFonts w:ascii="Garamond" w:hAnsi="Garamond" w:cs="Arial"/>
            <w:b/>
            <w:bCs/>
            <w:lang w:val="en-GB"/>
          </w:rPr>
          <w:t xml:space="preserve"> Elemente im Trauminhalt verwendet hat. Wir bedienen uns dann, strenggenommen, einer zweiten, </w:t>
        </w:r>
        <w:r w:rsidRPr="00A06A59">
          <w:rPr>
            <w:rStyle w:val="innerfusslink3"/>
            <w:rFonts w:ascii="Garamond" w:hAnsi="Garamond" w:cs="Arial"/>
            <w:b/>
            <w:bCs/>
            <w:i/>
            <w:iCs/>
            <w:lang w:val="en-GB"/>
          </w:rPr>
          <w:t>auxiliären</w:t>
        </w:r>
        <w:r w:rsidRPr="00A06A59">
          <w:rPr>
            <w:rStyle w:val="innerfusslink3"/>
            <w:rFonts w:ascii="Garamond" w:hAnsi="Garamond" w:cs="Arial"/>
            <w:b/>
            <w:bCs/>
            <w:lang w:val="en-GB"/>
          </w:rPr>
          <w:t xml:space="preserve"> Methode der Traumdeutung. (S. u.)</w:t>
        </w:r>
      </w:hyperlink>
      <w:r w:rsidRPr="00A06A59">
        <w:rPr>
          <w:rFonts w:ascii="Garamond" w:hAnsi="Garamond" w:cs="Arial"/>
          <w:color w:val="000000"/>
          <w:lang w:val="en-GB"/>
        </w:rPr>
        <w:t>. Nun gibt es aber, so recht im Gegensatz zu der sonstigen Freiheit des einzelnen, sich seine Traumwelt in individueller Besonderheit auszustatten und dadurch dem Verständnis der anderen unzugänglich zu machen, eine gewisse Anzahl von Träumen, die fast jedermann in derselben Weise geträumt hat, von denen wir anzunehmen gewohnt sind, daß sie auch bei jedermann dieselbe Bedeutung haben. Ein besonderes Interesse wendet sich diesen typischen Träumen auch darum zu, weil sie vermutlich bei allen Menschen aus den gleichen Quellen stammen, also besonders gut geeignet scheinen, uns über die Quellen der Träume Aufschluß zu geben.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werden also mit ganz besonderen Erwartungen darangehen, unsere Technik der Traumdeutung an diesen typischen Träumen zu versuchen, und uns nur sehr ungern eingestehen, daß unsere Kunst sich gerade an diesem Material nicht recht bewährt. Bei der Deutung der typischen Träume versagen in der Regel die Einfälle des Träumers, die uns sonst zum Verständnis des Traumes geleitet haben, oder sie werden unklar und unzureichend, so daß wir unsere Aufgabe mit ihrer Hilfe nicht lösen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Woher dies rührt und wie wir diesem Mangel unserer Technik abhelfen, wird sich an einer späteren Stelle unserer Arbeit ergeben. Dann wird dem Leser auch verständlich werden, warum ich hier nur einige aus der Gruppe der typischen Träume behandeln kann und die Erörterung der anderen auf jenen späteren Zusammenhang verschiebe.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α</w:t>
      </w:r>
      <w:r w:rsidRPr="00A06A59">
        <w:rPr>
          <w:rFonts w:ascii="Garamond" w:hAnsi="Garamond" w:cs="Arial"/>
          <w:color w:val="000000"/>
          <w:lang w:val="en-GB"/>
        </w:rPr>
        <w:t xml:space="preserve"> </w:t>
      </w:r>
      <w:r w:rsidRPr="00A06A59">
        <w:rPr>
          <w:rFonts w:ascii="Garamond" w:hAnsi="Garamond" w:cs="Arial"/>
          <w:i/>
          <w:iCs/>
          <w:color w:val="000000"/>
          <w:lang w:val="en-GB"/>
        </w:rPr>
        <w:t>Der Verlegenheitstraum der Nacktheit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Der Traum, daß man nackt oder schlecht bekleidet in Gegenwart Fremder sei, kommt auch mit der Zutat vor, man habe sich dessen gar nicht geschämt u. dgl. Unser Interesse gebührt aber dem Nacktheitstraum nur dann, wenn man in ihm Scham und Verlegenheit empfindet, entfliehen oder sich verbergen will und dabei der eigentümlichen Hemmung unterliegt, daß man nicht von der Stelle kann und sich unvermögend fühlt, die peinliche Situation zu verändern. Nur in dieser Verbindung ist der Traum typisch; der Kern seines Inhalts mag sonst in allerlei andere Verknüpfungen einbezogen werden oder mit individuellen Zutaten versetzt sein. Es handelt sich im wesentlichen um die peinliche Empfindung von der Natur der Scham, daß man seine Nacktheit, meist durch Lokomotion, verbergen möchte und es nicht zustande bringt. Ich glaube, die allermeisten meiner Leser werden sich in dieser Situation im Traume bereits befunden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Für gewöhnlich ist die Art und Weise der Entkleidung wenig deutlich. Man hört etwa erzählen, ich war im Hemd, aber dies ist selten ein klares Bild; meist ist die Unbekleidung so unbestimmt, daß sie durch eine Alternative in der Erzählung wiedergegeben wird: »Ich war im Hemd oder im Unterrock.« In der Regel ist der Defekt der Toilette nicht so arg, daß die dazugehörige Scham gerechtfertigt schiene. Für den, der den Rock des Kaisers getragen hat, ersetzt sich die Nacktheit häufig durch eine vorschriftswidrige Adjustierung. »Ich bin ohne Säbel auf der Straße und sehe Offiziere näher kommen, oder ohne Halsbinde, oder trage eine karierte Zivilhose« u. dgl.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Leute, vor denen man sich schämt, sind fast immer Fremde mit unbestimmt gelassenen Gesichtern. Niemals ereignet es sich im typischen Traum, daß man wegen der Kleidung, die einem selbst solche Verlegenheit bereitet, beanstandet oder auch nur bemerkt wird. Die Leute machen ganz im Gegenteil gleichgültige, oder wie ich es in einem besonders klaren Traum wahrnehmen konnte, feierlich steife Mienen. Das gibt zu denken.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Schamverlegenheit des Träumers und die Gleichgültigkeit der Leute ergeben mitsammen einen Widerspruch, wie er im Traume häufig vorkommt. Zu der Empfindung des Träumenden würde doch nur passen, daß die Fremden ihn erstaunt ansehen und verlachen oder sich über ihn entrüsten. Ich meine aber, dieser anstößige Zug ist durch die Wunscherfüllung beseitigt worden, während der andere, durch irgendwelche Macht gehalten, stehenblieb, und so stimmen die beiden Stücke dann schlecht zueinander. Wir besitzen ein interessantes Zeugnis dafür, daß der Traum in seiner durch Wunscherfüllung partiell entstellten Form das richtige Verständnis nicht gefunden hat. Er ist nämlich die Grundlage eines Märchens geworden, welches uns allen in der </w:t>
      </w:r>
      <w:r w:rsidRPr="00A06A59">
        <w:rPr>
          <w:rFonts w:ascii="Garamond" w:hAnsi="Garamond" w:cs="Arial"/>
          <w:i/>
          <w:iCs/>
          <w:color w:val="000000"/>
          <w:lang w:val="en-GB"/>
        </w:rPr>
        <w:t>Andersen</w:t>
      </w:r>
      <w:r w:rsidRPr="00A06A59">
        <w:rPr>
          <w:rFonts w:ascii="Garamond" w:hAnsi="Garamond" w:cs="Arial"/>
          <w:color w:val="000000"/>
          <w:lang w:val="en-GB"/>
        </w:rPr>
        <w:t xml:space="preserve">schen Fassung (Des Kaisers neue Kleider) bekannt ist und in der jüngsten Zeit durch L. </w:t>
      </w:r>
      <w:r w:rsidRPr="00A06A59">
        <w:rPr>
          <w:rFonts w:ascii="Garamond" w:hAnsi="Garamond" w:cs="Arial"/>
          <w:i/>
          <w:iCs/>
          <w:color w:val="000000"/>
          <w:lang w:val="en-GB"/>
        </w:rPr>
        <w:t>Fulda</w:t>
      </w:r>
      <w:r w:rsidRPr="00A06A59">
        <w:rPr>
          <w:rFonts w:ascii="Garamond" w:hAnsi="Garamond" w:cs="Arial"/>
          <w:color w:val="000000"/>
          <w:lang w:val="en-GB"/>
        </w:rPr>
        <w:t xml:space="preserve"> im </w:t>
      </w:r>
      <w:r w:rsidRPr="00A06A59">
        <w:rPr>
          <w:rFonts w:ascii="Garamond" w:hAnsi="Garamond" w:cs="Arial"/>
          <w:i/>
          <w:iCs/>
          <w:color w:val="000000"/>
          <w:lang w:val="en-GB"/>
        </w:rPr>
        <w:t>Talisman</w:t>
      </w:r>
      <w:r w:rsidRPr="00A06A59">
        <w:rPr>
          <w:rFonts w:ascii="Garamond" w:hAnsi="Garamond" w:cs="Arial"/>
          <w:color w:val="000000"/>
          <w:lang w:val="en-GB"/>
        </w:rPr>
        <w:t xml:space="preserve"> poetischer Verwertung zugeführt worden ist. Im Andersenschen Märchen wird von zwei Betrügern erzählt, die für den Kaiser ein kostbares Gewand weben, das aber nur den Guten und Treuen sichtbar sein soll. Der Kaiser geht mit diesem unsichtbaren Gewand bekleidet aus, und durch die prüfsteinartige Kraft des Gewebes erschreckt, tun alle Leute, als ob sie die Nacktheit des Kaisers nicht merken.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Letzteres ist aber die Situation unseres Traumes. Es gehört wohl nicht viel Kühnheit dazu anzunehmen, daß der unverständliche Trauminhalt eine Anregung gegeben hat, um eine Einkleidung zu erfinden, in welcher die vor der Erinnerung stehende Situation sinnreich wird. Dieselbe ist dabei ihrer ursprünglichen Bedeutung beraubt und fremden Zwecken dienstbar gemacht worden. Aber wir werden hören, daß solches Mißverständnis des Trauminhalts durch die bewußte Denktätigkeit eines zweiten psychischen Systems häufig vorkommt und als ein Faktor für die endgültige Traumgestaltung anzuerkennen ist; ferner, daß bei der Bildung von Zwangsvorstellungen und Phobien ähnliche Mißverständnisse – gleichfalls innerhalb der nämlichen psychischen Persönlichkeit eine Hauptrolle spielen. Es läßt sich auch für unseren Traum angeben, woher das Material für die Umdeutung genommen wird. Der Betrüger ist der Traum, der Kaiser der Träumer selbst, und die moralisierende Tendenz verrät eine dunkle Kenntnis davon, daß es sich im latenten Trauminhalt um unerlaubte, der Verdrängung geopferte Wünsche handelt. Der Zusammenhang, in welchem solche Träume während meiner Analysen bei Neurotikern auftreten, läßt nämlich keinen Zweifel darüber, daß dem Traume eine Erinnerung aus der frühesten Kindheit zugrunde liegt. Nur in unserer Kindheit gab es die Zeit, daß wir in mangelhafter Bekleidung von unseren Angehörigen wie von fremden Pflegepersonen, Dienstmädchen, Besuchern gesehen wurden, und wir haben uns damals unserer Nacktheit nicht geschämt </w:t>
      </w:r>
      <w:hyperlink r:id="rId10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Das Kind tritt aber auch im Märchen auf, denn dort ruft plötzlich ein kleines Kind: »Aber er hat ja gar nichts an.«</w:t>
        </w:r>
      </w:hyperlink>
      <w:r w:rsidRPr="00A06A59">
        <w:rPr>
          <w:rFonts w:ascii="Garamond" w:hAnsi="Garamond" w:cs="Arial"/>
          <w:color w:val="000000"/>
          <w:lang w:val="en-GB"/>
        </w:rPr>
        <w:t xml:space="preserve">. An vielen Kindern kann man noch in späteren Jahren beobachten, daß ihre Entkleidung wie berauschend auf sie wirkt, anstatt sie zur Scham zu leiten. Sie lachen, springen herum, schlagen sich auf den Leib, die Mutter oder wer dabei ist, verweist es ihnen, sagt: Pfui, das ist eine Schande, das darf man nicht. Die Kinder zeigen häufig Exhibitionsgelüste; man kann kaum durch ein Dorf in unseren Gegenden gehen, ohne daß man einem zwei- bis dreijährigen Kleinen begegnete, welches vor dem Wanderer, vielleicht ihm zu Ehren, sein Hemdchen hochhebt. Einer meiner Patienten hat in seiner bewußten Erinnerung eine Szene aus seinem achten Lebensjahr bewahrt, wie er nach der Entkleidung vor dem Schlafengehen im Hemd zu seiner kleinen Schwester im nächsten Zimmer hinaustanzen will und wie die dienende Person es ihm verwehrt. In der Jugendgeschichte von Neurotikern spielt die Entblößung vor Kindern des anderen Geschlechts eine große Rolle; in der Paranoia ist der Wahn, beim An- und Auskleiden beobachtet zu werden, auf diese Erlebnisse zurückzuführen; unter den pervers Gebliebenen ist eine Klasse, bei denen der infantile Impuls zum Symptom erhoben worden ist, die der </w:t>
      </w:r>
      <w:r w:rsidRPr="00A06A59">
        <w:rPr>
          <w:rFonts w:ascii="Garamond" w:hAnsi="Garamond" w:cs="Arial"/>
          <w:i/>
          <w:iCs/>
          <w:color w:val="000000"/>
          <w:lang w:val="en-GB"/>
        </w:rPr>
        <w:t>Exhibitionisten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der Scham entbehrende Kindheit erscheint unserer Rückschau später als ein Paradies, und das Paradies selbst ist nichts anderes als die Massenphantasie von der Kindheit des einzelnen. Darum sind auch im Paradies die Menschen nackt und schämen sich nicht voreinander, bis ein Moment kommt, in dem die Scham und die Angst erwachen, die Vertreibung erfolgt, das Geschlechtsleben und die Kulturarbeit beginnt. In dieses Paradies kann uns nun der Traum allnächtlich zurückführen; wir haben bereits der Vermutung Ausdruck gegeben, daß die Eindrücke aus der ersten Kindheit (der prähistorischen Periode bis etwa zum vollendeten dritten Jahr) an und für sich, vielleicht ohne daß es auf ihren Inhalt weiter ankäme, nach Reproduktion verlangen, daß deren Wiederholung eine Wunscherfüllung ist. Die Nacktheitsträume sind also </w:t>
      </w:r>
      <w:r w:rsidRPr="00A06A59">
        <w:rPr>
          <w:rFonts w:ascii="Garamond" w:hAnsi="Garamond" w:cs="Arial"/>
          <w:i/>
          <w:iCs/>
          <w:color w:val="000000"/>
          <w:lang w:val="en-GB"/>
        </w:rPr>
        <w:t>Exhibitionsträume</w:t>
      </w:r>
      <w:hyperlink r:id="rId11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Eine Anzahl interessanter Nacktheitsträume bei Frauen, die sich ohne Schwierigkeiten auf die infantile Exhibitionslust zurückführen ließen, aber in manchen Zügen von dem oben behandelten »typischen« Nacktheitstraum abweichen, hat </w:t>
        </w:r>
        <w:r w:rsidRPr="00A06A59">
          <w:rPr>
            <w:rStyle w:val="innerfusslink3"/>
            <w:rFonts w:ascii="Garamond" w:hAnsi="Garamond" w:cs="Arial"/>
            <w:b/>
            <w:bCs/>
            <w:i/>
            <w:iCs/>
            <w:lang w:val="en-GB"/>
          </w:rPr>
          <w:t>Ferenczi</w:t>
        </w:r>
        <w:r w:rsidRPr="00A06A59">
          <w:rPr>
            <w:rStyle w:val="innerfusslink3"/>
            <w:rFonts w:ascii="Garamond" w:hAnsi="Garamond" w:cs="Arial"/>
            <w:b/>
            <w:bCs/>
            <w:lang w:val="en-GB"/>
          </w:rPr>
          <w:t xml:space="preserve"> mitgeteilt.</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Kern des Exhibitionstraumes bildet die eigene Gestalt, die nicht als die eines Kindes, sondern wie in der Gegenwart gesehen wird, und die mangelhafte Bekleidung, welche durch die Überlagerung so vieler späterer Negligéerinnerungen oder der Zensur zuliebe undeutlich ausfällt; dazu kommen nun die Personen, vor denen man sich schämt. Ich kenne kein Beispiel, daß die tatsächlichen Zuschauer bei jenen infantilen Exhibitionen im Traume wieder auftreten. Der Traum ist eben fast niemals eine einfache Erinnerung. Merkwürdigerweise werden jene Personen, denen unser sexuelles Interesse in der Kindheit galt, in allen Reproduktionen des Traums, der Hysterie und der Zwangsneurose ausgelassen; erst die Paranoia setzt die Zuschauer wieder ein und schließt, obwohl sie unsichtbar geblieben sind, mit fanatischer Überzeugung auf ihre Gegenwart. Was der Traum für sie einsetzt, »viele fremde Leute«, die sich nicht um das gebotene Schauspiel kümmern, ist geradezu der </w:t>
      </w:r>
      <w:r w:rsidRPr="00A06A59">
        <w:rPr>
          <w:rFonts w:ascii="Garamond" w:hAnsi="Garamond" w:cs="Arial"/>
          <w:i/>
          <w:iCs/>
          <w:color w:val="000000"/>
          <w:lang w:val="en-GB"/>
        </w:rPr>
        <w:t>Wunschgegensatz</w:t>
      </w:r>
      <w:r w:rsidRPr="00A06A59">
        <w:rPr>
          <w:rFonts w:ascii="Garamond" w:hAnsi="Garamond" w:cs="Arial"/>
          <w:color w:val="000000"/>
          <w:lang w:val="en-GB"/>
        </w:rPr>
        <w:t xml:space="preserve"> zu jener einzelnen, wohlvertrauten Person, der man die Entblößung bot. »Viele fremde Leute« finden sich in Träumen übrigens auch häufig in beliebigem anderen Zusammenhang; sie bedeuten immer als Wunschgegensatz »Geheimnis« </w:t>
      </w:r>
      <w:hyperlink r:id="rId11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Dasselbe bedeutet, aus begreiflichen Gründen, im Traume die Anwesenheit der »ganzen Familie«.</w:t>
        </w:r>
      </w:hyperlink>
      <w:r w:rsidRPr="00A06A59">
        <w:rPr>
          <w:rFonts w:ascii="Garamond" w:hAnsi="Garamond" w:cs="Arial"/>
          <w:color w:val="000000"/>
          <w:lang w:val="en-GB"/>
        </w:rPr>
        <w:t>. Man merkt, wie auch die Restitution des alten Sachverhalts, die in der Paranoia vor sich geht, diesem Gegensatze Rechnung trägt. Man ist nicht mehr allein, man wird ganz gewiß beobachtet, aber die Beobachter sind »viele, fremde, merkwürdig unbestimmt gelassene Leute«.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Außerdem kommt im Exhibitionstraum die Verdrängung zur Sprache. Die peinliche Empfindung des Traums ist ja die Reaktion des zweiten psychischen Systems dagegen, daß der von ihr verworfene Inhalt der Exhibitionsszene dennoch zur Vorstellung gelangt ist. </w:t>
      </w:r>
      <w:r w:rsidRPr="00A06A59">
        <w:rPr>
          <w:rFonts w:ascii="Garamond" w:hAnsi="Garamond" w:cs="Arial"/>
          <w:color w:val="000000"/>
          <w:lang w:val="en-GB"/>
        </w:rPr>
        <w:t>Um sie zu ersparen, hätte die Szene nicht wieder belebt werden dürfen.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Von der Empfindung des Gehemmtseins werden wir später nochmals handeln. Sie dient im Traum vortrefflich dazu, den </w:t>
      </w:r>
      <w:r w:rsidRPr="00A06A59">
        <w:rPr>
          <w:rFonts w:ascii="Garamond" w:hAnsi="Garamond" w:cs="Arial"/>
          <w:i/>
          <w:iCs/>
          <w:color w:val="000000"/>
          <w:lang w:val="en-GB"/>
        </w:rPr>
        <w:t>Willenskonflikt</w:t>
      </w:r>
      <w:r w:rsidRPr="00A06A59">
        <w:rPr>
          <w:rFonts w:ascii="Garamond" w:hAnsi="Garamond" w:cs="Arial"/>
          <w:color w:val="000000"/>
          <w:lang w:val="en-GB"/>
        </w:rPr>
        <w:t xml:space="preserve">, das </w:t>
      </w:r>
      <w:r w:rsidRPr="00A06A59">
        <w:rPr>
          <w:rFonts w:ascii="Garamond" w:hAnsi="Garamond" w:cs="Arial"/>
          <w:i/>
          <w:iCs/>
          <w:color w:val="000000"/>
          <w:lang w:val="en-GB"/>
        </w:rPr>
        <w:t>Nein</w:t>
      </w:r>
      <w:r w:rsidRPr="00A06A59">
        <w:rPr>
          <w:rFonts w:ascii="Garamond" w:hAnsi="Garamond" w:cs="Arial"/>
          <w:color w:val="000000"/>
          <w:lang w:val="en-GB"/>
        </w:rPr>
        <w:t>, darzustellen. Nach der unbewußten Absicht soll die Exhibition fortgesetzt, nach der Forderung der Zensur unterbrochen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Beziehungen unserer typischen Träume zu den Märchen und anderen Dichtungsstoffen sind gewiß weder vereinzelte noch zufällige. Gelegentlich hat ein scharfes Dichterauge den Umwandlungsprozeß, dessen Werkzeug sonst der Dichter ist, analytisch erkannt und ihn in umgekehrter Richtung verfolgt, also die Dichtung auf den Traum zurückgeführt. Ein Freund macht mich auf folgende Stelle aus Gottfried </w:t>
      </w:r>
      <w:r w:rsidRPr="00A06A59">
        <w:rPr>
          <w:rFonts w:ascii="Garamond" w:hAnsi="Garamond" w:cs="Arial"/>
          <w:i/>
          <w:iCs/>
          <w:color w:val="000000"/>
          <w:lang w:val="en-GB"/>
        </w:rPr>
        <w:t>KellersGrünem Heinrich</w:t>
      </w:r>
      <w:r w:rsidRPr="00A06A59">
        <w:rPr>
          <w:rFonts w:ascii="Garamond" w:hAnsi="Garamond" w:cs="Arial"/>
          <w:color w:val="000000"/>
          <w:lang w:val="en-GB"/>
        </w:rPr>
        <w:t xml:space="preserve"> aufmerksam: »Ich wünsche Ihnen nicht, lieber Lee, daß Sie jemals die ausgesuchte pikante Wahrheit in der Lage des Odysseus, wo er nackt und mit Schlamm bedeckt vor Nausikaa und ihren Gespielen erscheint, so recht aus Erfahrung empfinden lernen! Wollen Sie wissen, wie das zugeht? Halten wir das Beispiel einmal fest. Wenn Sie einst getrennt von Ihrer Heimat und allem, was Ihnen lieb ist, in der Fremde umherschweifen und Sie haben viel gesehen und viel erfahren, haben Kummer und Sorge, sind wohl gar elend und verlassen, so wird es Ihnen des Nachts unfehlbar träumen, daß Sie sich Ihrer Heimat nähern; Sie sehen sie glänzen und leuchten in den schönsten Farben, holde, feine und liebe Gestalten treten Ihnen entgegen; da entdecken Sie plötzlich, daß Sie zerfetzt, nackt und staubbedeckt umhergehen. Eine namenlose Scham und Angst faßt Sie, Sie suchen sich zu bedecken, zu verbergen und erwachen im Schweiße gebadet. Dies ist, solange es Menschen gibt, der Traum des kummervollen, umhergeworfenen Mannes, und so hat </w:t>
      </w:r>
      <w:r w:rsidRPr="00A06A59">
        <w:rPr>
          <w:rFonts w:ascii="Garamond" w:hAnsi="Garamond" w:cs="Arial"/>
          <w:i/>
          <w:iCs/>
          <w:color w:val="000000"/>
          <w:lang w:val="en-GB"/>
        </w:rPr>
        <w:t>Homer</w:t>
      </w:r>
      <w:r w:rsidRPr="00A06A59">
        <w:rPr>
          <w:rFonts w:ascii="Garamond" w:hAnsi="Garamond" w:cs="Arial"/>
          <w:color w:val="000000"/>
          <w:lang w:val="en-GB"/>
        </w:rPr>
        <w:t xml:space="preserve"> jene Lage aus dem tiefsten und ewigen Wesen der Menschheit herausgenommen.«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Das tiefste und ewige Wesen der Menschheit, auf dessen Erweckung der Dichter in der Regel bei seinen Hörern baut, das sind jene Regungen des Seelenlebens, die in der später prähistorisch gewordenen Kinderzeit wurzeln. Hinter den bewußtseinsfähigen und einwandfreien Wünschen des Heimatlosen brechen im Traum die unterdrückten und unerlaubt gewordenen Kinderwünsche hervor, und darum schlägt der Traum, den die Sage von der Nausikaa objektiviert, regelmäßig in einen Angsttraum 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Mein eigener auf S. 164 erwähnter Traum von dem Eilen über die Treppe, das sich bald nachher in ein An-den-Stufen-Kleben verwandelt, ist gleichfalls ein Exhibitionstraum, da er die wesentlichen Bestandstücke eines solchen aufweist. Er müßte sich also auf Kindererlebnisse zurückführen lassen, und die Kenntnis derselben müßte einen Aufschluß darüber geben, inwiefern das Benehmen des Dienstmädchens gegen mich, ihr Vorwurf, daß ich den Teppich schmutzig gemacht habe, ihr zur Stellung verhilft, die sie im Traum einnimmt. Ich kann die gewünschten Aufklärungen nun wirklich beibringen. In einer Psychoanalyse lernt man die zeitliche Annäherung auf sachlichen Zusammenhang umdeuten; zwei Gedanken, die, anscheinend zusammenhanglos, unmittelbar aufeinander folgen, gehören zu einer Einheit, die zu erraten ist, ebenso wie ein </w:t>
      </w:r>
      <w:r w:rsidRPr="00A06A59">
        <w:rPr>
          <w:rFonts w:ascii="Garamond" w:hAnsi="Garamond" w:cs="Arial"/>
          <w:i/>
          <w:iCs/>
          <w:color w:val="000000"/>
          <w:lang w:val="en-GB"/>
        </w:rPr>
        <w:t>a</w:t>
      </w:r>
      <w:r w:rsidRPr="00A06A59">
        <w:rPr>
          <w:rFonts w:ascii="Garamond" w:hAnsi="Garamond" w:cs="Arial"/>
          <w:color w:val="000000"/>
          <w:lang w:val="en-GB"/>
        </w:rPr>
        <w:t xml:space="preserve"> und ein </w:t>
      </w:r>
      <w:r w:rsidRPr="00A06A59">
        <w:rPr>
          <w:rFonts w:ascii="Garamond" w:hAnsi="Garamond" w:cs="Arial"/>
          <w:i/>
          <w:iCs/>
          <w:color w:val="000000"/>
          <w:lang w:val="en-GB"/>
        </w:rPr>
        <w:t>b</w:t>
      </w:r>
      <w:r w:rsidRPr="00A06A59">
        <w:rPr>
          <w:rFonts w:ascii="Garamond" w:hAnsi="Garamond" w:cs="Arial"/>
          <w:color w:val="000000"/>
          <w:lang w:val="en-GB"/>
        </w:rPr>
        <w:t xml:space="preserve">, die ich nebeneinander hinschreibe, als eine Silbe: </w:t>
      </w:r>
      <w:r w:rsidRPr="00A06A59">
        <w:rPr>
          <w:rFonts w:ascii="Garamond" w:hAnsi="Garamond" w:cs="Arial"/>
          <w:i/>
          <w:iCs/>
          <w:color w:val="000000"/>
          <w:lang w:val="en-GB"/>
        </w:rPr>
        <w:t>ab</w:t>
      </w:r>
      <w:r w:rsidRPr="00A06A59">
        <w:rPr>
          <w:rFonts w:ascii="Garamond" w:hAnsi="Garamond" w:cs="Arial"/>
          <w:color w:val="000000"/>
          <w:lang w:val="en-GB"/>
        </w:rPr>
        <w:t xml:space="preserve"> ausgesprochen werden sollen. Ähnlich mit der Aufeinanderbeziehung der Träume. Der erwähnte Traum von der Treppe ist aus einer Traumreihe herausgegriffen, deren andere Glieder mir der Deutung nach bekannt sind. Der von ihnen eingeschlossene Traum muß in denselben Zusammenhang gehören. Nun liegt jenen anderen einschließenden Träumen die Erinnerung an eine Kinderfrau zugrunde, die mich von irgendeinem Termin der Säuglingszeit bis zum Alter von zweieinhalb Jahren betreut hat, von der mir auch eine dunkle Erinnerung im Bewußtsein geblieben ist. Nach den Auskünften, die ich unlängst von meiner Mutter eingeholt habe, war sie alt und häßlich, aber sehr klug und tüchtig; nach den Schlüssen, die ich aus meinen Träumen ziehen darf, hat sie mir nicht immer die liebevollste Behandlung angedeihen und mich harte Worte hören lassen, wenn ich der Erziehung zur Reinlichkeit kein genügendes Verständnis entgegenbrachte. Indem also das Dienstmädchen dieses Erziehungswerk fortzusetzen sich bemüht, erwirbt sie den Anspruch, von mir als Inkarnation der prähistorischen Alten im Traum behandelt zu werden. Es ist wohl anzunehmen, daß das Kind dieser Erzieherin, trotz ihrer schlechten Behandlung, seine Liebe geschenkt hat </w:t>
      </w:r>
      <w:hyperlink r:id="rId11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Eine Oberdeutung dieses Traumes: Auf der Treppe spucken, das führte, da »Spuken« eine Tätigkeit der Geister ist, bei loser Übersetzung zum » </w:t>
        </w:r>
        <w:r w:rsidRPr="00A06A59">
          <w:rPr>
            <w:rStyle w:val="innerfusslink3"/>
            <w:rFonts w:ascii="Garamond" w:hAnsi="Garamond" w:cs="Arial"/>
            <w:b/>
            <w:bCs/>
            <w:i/>
            <w:iCs/>
            <w:lang w:val="en-GB"/>
          </w:rPr>
          <w:t>esprit d'escalier</w:t>
        </w:r>
        <w:r w:rsidRPr="00A06A59">
          <w:rPr>
            <w:rStyle w:val="innerfusslink3"/>
            <w:rFonts w:ascii="Garamond" w:hAnsi="Garamond" w:cs="Arial"/>
            <w:b/>
            <w:bCs/>
            <w:lang w:val="en-GB"/>
          </w:rPr>
          <w:t xml:space="preserve">«. Treppenwitz heißt soviel als Mangel an Schlagfertigkeit. Den habe ich mir wirklich vorzuwerfen. Ob aber die Kinderfrau es an » </w:t>
        </w:r>
        <w:r w:rsidRPr="00A06A59">
          <w:rPr>
            <w:rStyle w:val="innerfusslink3"/>
            <w:rFonts w:ascii="Garamond" w:hAnsi="Garamond" w:cs="Arial"/>
            <w:b/>
            <w:bCs/>
            <w:i/>
            <w:iCs/>
            <w:lang w:val="en-GB"/>
          </w:rPr>
          <w:t>Schlagfertigkeit</w:t>
        </w:r>
        <w:r w:rsidRPr="00A06A59">
          <w:rPr>
            <w:rStyle w:val="innerfusslink3"/>
            <w:rFonts w:ascii="Garamond" w:hAnsi="Garamond" w:cs="Arial"/>
            <w:b/>
            <w:bCs/>
            <w:lang w:val="en-GB"/>
          </w:rPr>
          <w:t>« hat fehlen lassen?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β</w:t>
      </w:r>
      <w:r w:rsidRPr="00A06A59">
        <w:rPr>
          <w:rFonts w:ascii="Garamond" w:hAnsi="Garamond" w:cs="Arial"/>
          <w:color w:val="000000"/>
          <w:lang w:val="en-GB"/>
        </w:rPr>
        <w:t xml:space="preserve"> </w:t>
      </w:r>
      <w:r w:rsidRPr="00A06A59">
        <w:rPr>
          <w:rFonts w:ascii="Garamond" w:hAnsi="Garamond" w:cs="Arial"/>
          <w:i/>
          <w:iCs/>
          <w:color w:val="000000"/>
          <w:lang w:val="en-GB"/>
        </w:rPr>
        <w:t>Die Träume vom Tod teurer Personen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andere Reihe von Träumen, die typisch genannt werden dürfen, sind die mit dem Inhalt, daß ein teurer Verwandter, Eltern oder Geschwister, Kinder usw. gestorben ist. Man muß sofort von diesen Träumen zwei Klassen unterscheiden, die einen, bei welchen man im Traum von Trauer unberührt bleibt, so daß man sich nach dem Erwachen über seine Gefühllosigkeit wundert, die anderen, bei denen man tiefen Schmerz über den Todesfall empfindet, ja ihn selbst in heißen Tränen während des Schlafes äußert.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Träume der ersten Gruppe dürfen wir beiseite lassen; sie haben keinen Anspruch, als typisch zu gelten. Wenn man sie analysiert, findet man, daß sie etwas anderes bedeuten, als sie enthalten, daß sie dazu bestimmt sind, </w:t>
      </w:r>
      <w:r w:rsidRPr="00A06A59">
        <w:rPr>
          <w:rFonts w:ascii="Garamond" w:hAnsi="Garamond" w:cs="Arial"/>
          <w:color w:val="000000"/>
          <w:lang w:val="en-GB"/>
        </w:rPr>
        <w:lastRenderedPageBreak/>
        <w:t>irgendeinen anderen Wunsch zu verdecken. So der Traum der Tante, die den einzigen Sohn ihrer Schwester aufgebahrt vor sich sieht. (S. 106.) Das bedeutet nicht, daß sie dem kleinen Neffen den Tod wünscht, sondern verbirgt nur, wie wir erfahren haben, den Wunsch, eine gewisse geliebte Person nach langer Entbehrung wiederzusehen, dieselbe, die sie früher einmal nach ähnlich langer Pause bei der Leiche eines anderen Neffen wiedergesehen hatte. Dieser Wunsch, welcher der eigentliche Inhalt des Traumes ist, gibt keinen Anlaß zur Trauer, und darum wird auch im Traum keine Trauer verspürt. Man merkt es hier, daß die im Traum enthaltene Empfindung nicht zum manifesten Trauminhalt gehört, sondern zum latenten, daß der Affektinhalt des Traumes von der Entstellung frei geblieben ist, welche den Vorstellungsinhalt betroffen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Anders die Träume, in denen der Tod einer geliebten verwandten Person vorgestellt und dabei schmerzlicher Affekt verspürt wird. Diese bedeuten, was ihr Inhalt besagt, den Wunsch, daß die betreffende Person sterben möge, und da ich hier erwarten darf, daß sich die Gefühle aller Leser und aller Personen, die Ähnliches geträumt haben, gegen meine Auslegung sträuben werden, muß ich den Beweis auf der breitesten Basis anstreben.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haben bereits einen Traum erläutert, aus dem wir lernen konnten, daß die Wünsche, welche sich in Träumen als erfüllt darstellen, nicht immer aktuelle Wünsche sind. Es können auch verflossene, abgetane, überlagerte und verdrängte Wünsche sein, denen wir nur wegen ihres Wiederauftauchens im Traum doch eine Art von Fortexistenz zusprechen müssen. Sie sind nicht tot wie die Verstorbenen nach unserem Begriff, sondern wie die Schatten der Odyssee, die, sobald sie Blut getrunken haben, zu einem gewissen Leben erwachen. In jenem Traum vom toten Kind in der Schachtel (S. 107) handelte es sich um einen Wunsch, der vor fünfzehn Jahren aktuell war und von damals her unumwunden eingestanden wurde. Es ist vielleicht für die Theorie des Traumes nicht gleichgültig, wenn ich hinzufüge, daß selbst diesem Wunsche eine Erinnerung aus der frühesten Kindheit zugrunde lag. Die Träumerin hatte als kleines Kind – wann, ist nicht sicher festzustellen – gehört, daß ihre Mutter in der Schwangerschaft, deren Frucht sie wurde, in eine schwere Verstimmung verfallen war und dem Kinde in ihrem Leibe sehnlichst den Tod gewünscht hatte. Selbst erwachsen und gravid geworden, folgte sie nur dem Beispiele der Mutter.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jemand unter Schmerzensäußerungen davon träumt, sein Vater oder seine Mutter, Bruder oder Schwester seien gestorben, so werde ich diesen Traum niemals als Beweis dafür verwenden, daß er ihnen </w:t>
      </w:r>
      <w:r w:rsidRPr="00A06A59">
        <w:rPr>
          <w:rFonts w:ascii="Garamond" w:hAnsi="Garamond" w:cs="Arial"/>
          <w:i/>
          <w:iCs/>
          <w:color w:val="000000"/>
          <w:lang w:val="en-GB"/>
        </w:rPr>
        <w:t>jetzt</w:t>
      </w:r>
      <w:r w:rsidRPr="00A06A59">
        <w:rPr>
          <w:rFonts w:ascii="Garamond" w:hAnsi="Garamond" w:cs="Arial"/>
          <w:color w:val="000000"/>
          <w:lang w:val="en-GB"/>
        </w:rPr>
        <w:t xml:space="preserve"> den Tod wünscht. Die Theorie des Traumes fordert nicht so viel; sie begnügt sich zu schließen, daß er ihnen – irgendeinmal in der Kindheit – den Tod gewünscht habe. Ich fürchte aber, diese Einschränkung wird noch wenig zur Beruhigung der Beschwerdenführer beitragen; diese dürften ebenso energisch die Möglichkeit bestreiten, daß sie je so gedacht haben, wie sie sich sicher fühlen, nicht in der Gegenwart solche Wünsche zu hegen. Ich muß darum ein Stück vom untergegangenen Kinderseelenleben nach den Zeugnissen, die die Gegenwart noch aufweist, wieder herstellen </w:t>
      </w:r>
      <w:hyperlink r:id="rId11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Vgl. hiezu: ›Analyse der Phobie eines fünfjährigen Knaben im Jahrbuch für psycoanalytische und psychopathologische Forschung, Bd. I, 1909 (Ges. Schriften, Bd. VIII) und »Über infantile Sexualtheorien« in »Sammlung kleiner Schriften zur Neurosenlehre«, zweite Folge (Ges. Schriften, Bd. V).</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Fassen wir zunächst das Verhältnis der Kinder zu ihren Geschwistern ins Auge. Ich weiß nicht, warum wir voraussetzen, es müsse ein liebevolles sein, da doch die Beispiele von Geschwisterfeindschaft unter Erwachsenen in der Erfahrung eines jeden sich drängen und wir so oft feststellen können, diese Entzweiung rühre noch aus der Kindheit her oder habe von jeher bestanden. Aber auch sehr viele Erwachsene, die heute an ihren Geschwistern zärtlich hängen und ihnen beistehen, haben in ihrer Kindheit in kaum unterbrochener Feindschaft mit ihnen gelebt. Das ältere Kind hat das jüngere mißhandelt, angeschwärzt, es seiner Spielsachen beraubt; das jüngere hat sich in ohnmächtiger Wut gegen das ältere verzehrt, es beneidet und gefürchtet, oder seine ersten Regungen von Freiheitsdrang und Rechtsbewußtsein haben sich gegen den Unterdrücker gewendet. Die Eltern sagen, die Kinder vertragen sich nicht, und wissen den Grund hiefür nicht zu finden. Es ist nicht schwer zu sehen, daß auch der Charakter des braven Kindes ein anderer ist, als wir ihn bei einem Erwachsenen zu finden wünschen. Das Kind ist absolut egoistisch, es empfindet seine Bedürfnisse intensiv und strebt rücksichtslos nach ihrer Befriedigung, insbesondere gegen seine Mitbewerber, andere Kinder, und in erster Linie gegen seine Geschwister. Wir heißen das Kind aber darum nicht »schlecht«, wir heißen es »schlimm«; es ist unverantwortlich für seine bösen Taten vor unserem Urteil wie vor dem Strafgesetz. Und das mit Recht; denn wir dürfen erwarten, daß noch innerhalb von Lebenszeiten, die wir der Kindheit zurechnen, in dem kleinen Egoisten die altruistischen Regungen und die Moral erwachen werden, daß, mit </w:t>
      </w:r>
      <w:r w:rsidRPr="00A06A59">
        <w:rPr>
          <w:rFonts w:ascii="Garamond" w:hAnsi="Garamond" w:cs="Arial"/>
          <w:i/>
          <w:iCs/>
          <w:color w:val="000000"/>
          <w:lang w:val="en-GB"/>
        </w:rPr>
        <w:t>Meynert</w:t>
      </w:r>
      <w:r w:rsidRPr="00A06A59">
        <w:rPr>
          <w:rFonts w:ascii="Garamond" w:hAnsi="Garamond" w:cs="Arial"/>
          <w:color w:val="000000"/>
          <w:lang w:val="en-GB"/>
        </w:rPr>
        <w:t xml:space="preserve"> zu reden, ein sekundäres Ich das primäre überlagern und hemmen wird. Wohl entsteht die Moralität nicht gleichzeitig auf der ganzen Linie, auch ist die Dauer der morallosen Kindheitsperiode bei den einzelnen Individuen verschieden lang. Wo die Entwicklung dieser Moralität ausbleibt, sprechen wir gerne von »Degeneration«; es handelt sich offenbar um eine Entwicklungshemmung. Wo der primäre Charakter durch die spätere Entwicklung bereits überlagert ist, kann er durch die Erkrankung an Hysterie wenigstens partiell wieder freigelegt werden. Die Übereinstimmung des sogenannten hysterischen Charakters mit dem eines schlimmen Kindes </w:t>
      </w:r>
      <w:r w:rsidRPr="00A06A59">
        <w:rPr>
          <w:rFonts w:ascii="Garamond" w:hAnsi="Garamond" w:cs="Arial"/>
          <w:color w:val="000000"/>
          <w:lang w:val="en-GB"/>
        </w:rPr>
        <w:lastRenderedPageBreak/>
        <w:t>ist geradezu auffällig. Die Zwangsneurose hingegen entspricht einer Übermoralität, als verstärkende Belastung dem sich wieder regenden primären Charakter auferlegt.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Viele Personen also, die heute ihre Geschwister lieben und sich durch ihr Hinsterben beraubt fühlen würden, tragen von früher her böse Wünsche gegen dieselben in ihrem Unbewußten, welche sich in Träumen zu realisieren vermögen. Es ist aber ganz besonders interessant, kleine Kinder bis zu drei Jahren oder wenig darüber in ihrem Verhalten gegen jüngere Geschwister zu beobachten. Das Kind war bisher das einzige; nun wird ihm angekündigt, daß der Storch ein neues Kind gebracht hat. Das Kind mustert den Ankömmling und äußert dann entschieden. »Der Storch soll es wieder mitnehmen.« </w:t>
      </w:r>
      <w:hyperlink r:id="rId114" w:anchor="#" w:history="1">
        <w:r w:rsidRPr="00A06A59">
          <w:rPr>
            <w:rStyle w:val="fusslink"/>
            <w:rFonts w:ascii="Garamond" w:hAnsi="Garamond" w:cs="Arial"/>
            <w:b/>
            <w:bCs/>
            <w:color w:val="003399"/>
            <w:lang w:val="en-US"/>
          </w:rPr>
          <w:t>[Fußnote]</w:t>
        </w:r>
        <w:r w:rsidRPr="00A06A59">
          <w:rPr>
            <w:rStyle w:val="innerfusslink3"/>
            <w:rFonts w:ascii="Garamond" w:hAnsi="Garamond" w:cs="Arial"/>
            <w:b/>
            <w:bCs/>
            <w:lang w:val="en-US"/>
          </w:rPr>
          <w:t xml:space="preserve">Der 3½jährige Hans, dessen Phobie Gegenstand der Analyse in der vorhin erwähnten Veröffentlichung ist, ruft im Fieber kurz nach der Geburt einer Schwester: »Ich will aber kein Schwesterchen haben.« In seiner Neurose, 1½Jahre später, gesteht er den Wunsch, daß die Mutter das Kleine beim Baden in die Wanne fallen lassen möge, damit es sterbe, unumwunden ein. </w:t>
        </w:r>
        <w:r w:rsidRPr="00A06A59">
          <w:rPr>
            <w:rStyle w:val="innerfusslink3"/>
            <w:rFonts w:ascii="Garamond" w:hAnsi="Garamond" w:cs="Arial"/>
            <w:b/>
            <w:bCs/>
            <w:lang w:val="en-GB"/>
          </w:rPr>
          <w:t>Dabei ist Hans ein gutartiges, zärtliches Kind, welches bald auch diese Schwester liebgewinnt und sie besonders gern protegiert.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Ich bekenne mich in allem Ernst zur Meinung, daß das Kind abzuschätzen weiß, welche Benachteiligung es von dem Fremdling zu erwarten hat. Von einer mir nahestehenden Dame, die sich heute mit ihrer um vier Jahre jüngeren Schwester sehr gut verträgt, weiß ich, daß sie die Nachricht von deren Ankunft mit dem Vorbehalt beantwortet hat: »Aber meine rote Kappe werde ich ihr doch nicht geben.« Sollte das Kind erst später zu dieser Erkenntnis kommen, so wird seine Feindseligkeit in diesem Zeitpunkt erwachen. Ich kenne einen Fall, daß ein nicht dreijähriges Mädchen den Säugling in der Wiege zu erwürgen versuchte, von dessen weiterer Anwesenheit ihr nichts Gutes ahnte. Der Eifersucht sind Kinder um diese Lebenszeit in aller Stärke und Deutlichkeit fähig. Oder das kleine Geschwisterchen ist wirklich bald wieder verschwunden, das Kind hat wieder alle Zärtlichkeit im Hause auf sich vereinigt, nun kommt ein neues vom Storch geschickt; ist es da nicht korrekt, daß unser Liebling den Wunsch in sich erschaffen sollte, der neue Konkurrent möge dasselbe Schicksal haben wie der frühere, damit es ihm selbst wieder so gut gehe wie vorhin und in der Zwischenzeit? </w:t>
      </w:r>
      <w:hyperlink r:id="rId115" w:anchor="#" w:history="1">
        <w:r w:rsidRPr="00A06A59">
          <w:rPr>
            <w:rStyle w:val="fusslink"/>
            <w:rFonts w:ascii="Garamond" w:hAnsi="Garamond" w:cs="Arial"/>
            <w:b/>
            <w:bCs/>
            <w:color w:val="003399"/>
          </w:rPr>
          <w:t>[Fußnote]</w:t>
        </w:r>
        <w:r w:rsidRPr="00A06A59">
          <w:rPr>
            <w:rStyle w:val="innerfusslink3"/>
            <w:rFonts w:ascii="Garamond" w:hAnsi="Garamond" w:cs="Arial"/>
            <w:b/>
            <w:bCs/>
          </w:rPr>
          <w:t>Solche in der Kindheit erlebte Sterbefälle mögen in der Familie bald vergessen worden sein, die psychoanalytische Erforschung zeigt doch, daß sie für die spätere Neurose sehr bedeutungsvoll geworden sind.</w:t>
        </w:r>
      </w:hyperlink>
      <w:r w:rsidRPr="00A06A59">
        <w:rPr>
          <w:rFonts w:ascii="Garamond" w:hAnsi="Garamond" w:cs="Arial"/>
          <w:color w:val="000000"/>
        </w:rPr>
        <w:t xml:space="preserve"> </w:t>
      </w:r>
      <w:r w:rsidRPr="00A06A59">
        <w:rPr>
          <w:rFonts w:ascii="Garamond" w:hAnsi="Garamond" w:cs="Arial"/>
          <w:color w:val="000000"/>
          <w:lang w:val="en-GB"/>
        </w:rPr>
        <w:t xml:space="preserve">Natürlich ist dieses Verhalten des Kindes gegen die Nachgeborenen in normalen Verhältnissen eine einfache Funktion des Altersunterschieds. Bei einem gewissen Intervall werden sich in dem älteren Mädchen bereits die mütterlichen Instinkte gegen das hilflose Neugeborene regen. Empfindungen von Feindseligkeit gegen die Geschwister müssen im Kindesalter noch weit häufiger sein, als sie der stumpfen Beobachtung Erwachsener auffallen </w:t>
      </w:r>
      <w:hyperlink r:id="rId11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Beobachtungen, die sich auf das ursprünglich feindselige Verhalten von Kindern gegen Geschwister und einen Elternteil beziehen, sind seither in großer Anzahl gemacht und in der psychoanalytischen Literatur niedergelegt worden. Besonders echt und naiv hat der Dichter </w:t>
        </w:r>
        <w:r w:rsidRPr="00A06A59">
          <w:rPr>
            <w:rStyle w:val="innerfusslink3"/>
            <w:rFonts w:ascii="Garamond" w:hAnsi="Garamond" w:cs="Arial"/>
            <w:b/>
            <w:bCs/>
            <w:i/>
            <w:iCs/>
            <w:lang w:val="en-GB"/>
          </w:rPr>
          <w:t>Spitteler</w:t>
        </w:r>
        <w:r w:rsidRPr="00A06A59">
          <w:rPr>
            <w:rStyle w:val="innerfusslink3"/>
            <w:rFonts w:ascii="Garamond" w:hAnsi="Garamond" w:cs="Arial"/>
            <w:b/>
            <w:bCs/>
            <w:lang w:val="en-GB"/>
          </w:rPr>
          <w:t xml:space="preserve"> diese typische kindliche Einstellung aus seiner frühesten Kindheit geschildert: »Übrigens war noch ein zweiter Adolf da. Ein kleines Geschöpf, von dem man behauptete, er wäre mein Bruder, von dem ich aber nicht begriff, wozu er nützlich sei; noch weniger, weswegen man solch ein Wesen aus ihm mache wie von mir selber. Ich genügte für mein Bedürfnis, was brauchte ich einen Bruder? Und nicht bloß unnütz war er, sondern mitunter sogar hinderlich. Wenn ich die Großmutter belästigte, wollte er sie ebenfalls belästigen, wenn ich im Kinderwagen gefahren wurde, saß er gegenüber und nahm mir die Hälfte Platz weg, so daß wir uns mit den Füßen stoßen mußten.«</w:t>
        </w:r>
      </w:hyperlink>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Bei meinen eigenen Kindern, die einander rasch folgten, habe ich die Gelegenheit zu solchen Beobachtungen versäumt; ich hole sie jetzt bei meinem kleinen Neffen nach, dessen Alleinherrschaft nach fünfzehn Monaten durch das Auftreten einer Mitbewerberin gestört wurde. Ich höre zwar, daß der junge Mann sich sehr ritterlich gegen das Schwesterchen benimmt, ihr die Hand küßt und sie streichelt; ich überzeuge mich aber, daß er schon vor seinem vollendeten zweiten Jahr seine Sprachfähigkeit dazu benützt, um Kritik an der ihm doch nur überflüssig erscheinenden Person zu üben. Sooft die Rede auf sie kommt, mengt er sich ins Gespräch und ruft unwillig: Zu k(l)ein, zu k(l)ein. In den letzten Monaten, seitdem das Kind sich durch vortreffliche Entwicklung dieser Geringschätzung entzogen hat, weiß er seine Mahnung, daß sie so viel Aufmerksamkeit nicht verdient, anders zu begründen. Er erinnert bei allen geeigneten Anlässen daran: Sie hat keine Zähne </w:t>
      </w:r>
      <w:hyperlink r:id="rId117" w:anchor="#" w:history="1">
        <w:r w:rsidRPr="00A06A59">
          <w:rPr>
            <w:rStyle w:val="fusslink"/>
            <w:rFonts w:ascii="Garamond" w:hAnsi="Garamond" w:cs="Arial"/>
            <w:b/>
            <w:bCs/>
            <w:color w:val="003399"/>
          </w:rPr>
          <w:t>[Fußnote]</w:t>
        </w:r>
        <w:r w:rsidRPr="00A06A59">
          <w:rPr>
            <w:rStyle w:val="innerfusslink3"/>
            <w:rFonts w:ascii="Garamond" w:hAnsi="Garamond" w:cs="Arial"/>
            <w:b/>
            <w:bCs/>
          </w:rPr>
          <w:t>In die nämlichen Worte kleidet der dreieinhalbjährige Hans die vernichtende Kritik seiner Schwester (I. c.). Er nimmt an, daß sie wegen des Mangels der Zähne nicht sprechen kann.</w:t>
        </w:r>
      </w:hyperlink>
      <w:r w:rsidRPr="00A06A59">
        <w:rPr>
          <w:rFonts w:ascii="Garamond" w:hAnsi="Garamond" w:cs="Arial"/>
          <w:color w:val="000000"/>
        </w:rPr>
        <w:t>. Von dem ältesten Mädchen einer anderen Schwester haben wir alle die Erinnerung bewahrt, wie das damals sechsjährige Kind sich eine halbe Stunde lang von allen Tanten bestätigen ließ: »Nicht wahr, das kann die Lucie noch nicht verstehen?« Lucie war die um zweieinhalb Jahre jüngere Konkurrentin.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lastRenderedPageBreak/>
        <w:t xml:space="preserve">Den gesteigerter Feindseligkeit entsprechenden Traum vom Tod der Geschwister habe ich z. B. bei keiner meiner Patientinnen vermißt. </w:t>
      </w:r>
      <w:r w:rsidRPr="00A06A59">
        <w:rPr>
          <w:rFonts w:ascii="Garamond" w:hAnsi="Garamond" w:cs="Arial"/>
          <w:color w:val="000000"/>
          <w:lang w:val="en-GB"/>
        </w:rPr>
        <w:t xml:space="preserve">Ich fand nur eine Ausnahme, die sich leicht in eine Bestätigung der Regel umdeuten ließ. Als ich einst einer Dame während einer Sitzung diesen Sachverhalt erklärte, der mir bei dem Symptom an der Tagesordnung in Betracht zu kommen schien, antwortete sie zu meinem Erstaunen, sie habe solche Träume nie gehabt. Ein anderer Traum fiel ihr aber ein, der angeblich damit nichts zu schaffen hatte, ein Traum, den sie mit vier Jahren zuerst, als damals Jüngste, und dann wiederholt geträumt hatte. » </w:t>
      </w:r>
      <w:r w:rsidRPr="00A06A59">
        <w:rPr>
          <w:rFonts w:ascii="Garamond" w:hAnsi="Garamond" w:cs="Arial"/>
          <w:i/>
          <w:iCs/>
          <w:color w:val="000000"/>
          <w:lang w:val="en-GB"/>
        </w:rPr>
        <w:t>Eine Menge Kinder, alle ihre Brüder, Schwestern, Cousins und Cousinen tummelten sich auf einer Wiese. Plötzlich bekamen sie Flügel, flogen auf und waren weg.</w:t>
      </w:r>
      <w:r w:rsidRPr="00A06A59">
        <w:rPr>
          <w:rFonts w:ascii="Garamond" w:hAnsi="Garamond" w:cs="Arial"/>
          <w:color w:val="000000"/>
          <w:lang w:val="en-GB"/>
        </w:rPr>
        <w:t>« Von der Bedeutung dieses Traumes hatte sie keine Ahnung; es wird uns nicht schwerfallen, einen Traum vom Tod aller Geschwister in seiner ursprünglichen, durch die Zensur wenig beeinflußten Form darin zu erkennen. Ich getraue mich, folgende Analyse unterzuschieben. Bei dem Tode eines aus der Kinderschar die Kinder zweier Brüder wurden in diesem Falle in geschwisterlicher Gemeinschaft aufgezogen wird unsere noch nicht vierjährige Träumerin eine weise erwachsene Person gefragt haben: was wird denn aus den Kindern, wenn sie tot sind? Die Antwort wird gelautet haben: Dann bekommen sie Flügel und werden Engerln. Im Traum nach dieser Aufklärung haben nun die Geschwister alle Flügel wie die Engel, und was die Hauptsache ist sie fliegen weg. Unsere kleine Engelmacherin bleibt allein, man denke, das einzige von einer solchen Schar! Daß sich die Kinder auf einer Wiese tummeln, von der sie wegfliegen, deutet kaum mißverständlich auf Schmetterlinge hin, als ob dieselbe Gedankenverbindung das Kind geleitet hätte, welche die Alten bewog, die Psyche mit Schmetterlingsflügeln zu bilden.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Vielleicht wirft nun jemand ein, die feindseligen Impulse der Kinder gegen ihre Geschwister seien wohl zuzugeben, aber wie käme das Kindergemüt zu der Höhe von Schlechtigkeit, dem Mitbewerber oder stärkeren Spielgenossen den Tod zu wünschen, als ob alle Vergehen nur durch die Todesstrafe zu sühnen seien? Wer so spricht, erwägt nicht, daß die Vorstellung des Kindes vom »Totsein« mit der unsrigen das Wort und dann nur noch wenig anderes gemein hat. Das Kind weiß nichts von den Greueln der Verwesung, vom Frieren im kalten Grab, vom Schrecken des endlosen Nichts, das der Erwachsene, wie alle Mythen vom Jenseits zeugen, in seiner Vorstellung so schlecht verträgt. Die Furcht vor dem Tode ist ihm fremd, darum spielt es mit dem gräßlichen Wort und droht einem anderen Kind: »Wenn du das noch einmal tust, wirst du sterben, wie der Franz gestorben ist«, wobei es die arme Mutter schaudernd überläuft, die vielleicht nicht daran vergessen kann, daß die größere Hälfte der erdgeborenen Menschen ihr Leben nicht über die Jahre der Kindheit bringt. Noch mit acht Jahren kann das Kind, von einem Gang durch das Naturhistorische Museum heimgekehrt, seiner Mutter sagen: »Mama, ich habe dich so lieb; wenn du einmal stirbst, lasse ich dich ausstopfen und stelle dich hier im Zimmer auf, damit ich dich immer, immer sehen kann!« So wenig gleicht die kindliche Vorstellung vom Gestorbensein der unsrigen </w:t>
      </w:r>
      <w:hyperlink r:id="rId11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Von einem hochbegabten zehnjährigen Knaben hörte ich nach dem plötzlichen Tode seines Vaters zu meinem Erstaunen folgende Äußerung: Daß der Vater gestorben ist, verstehe ich, aber warum er nicht zum Nachtmahl nach Hause kommt, kann ich mir nicht erklären. Weiteres Material zu diesem Thema findet sich in der von Frau Dr. v. </w:t>
        </w:r>
        <w:r w:rsidRPr="00A06A59">
          <w:rPr>
            <w:rStyle w:val="innerfusslink3"/>
            <w:rFonts w:ascii="Garamond" w:hAnsi="Garamond" w:cs="Arial"/>
            <w:b/>
            <w:bCs/>
            <w:i/>
            <w:iCs/>
            <w:lang w:val="en-GB"/>
          </w:rPr>
          <w:t>Hug-Hellmuth</w:t>
        </w:r>
        <w:r w:rsidRPr="00A06A59">
          <w:rPr>
            <w:rStyle w:val="innerfusslink3"/>
            <w:rFonts w:ascii="Garamond" w:hAnsi="Garamond" w:cs="Arial"/>
            <w:b/>
            <w:bCs/>
            <w:lang w:val="en-GB"/>
          </w:rPr>
          <w:t xml:space="preserve"> redigierten Rubrik »Kinderseele« von </w:t>
        </w:r>
        <w:r w:rsidRPr="00A06A59">
          <w:rPr>
            <w:rStyle w:val="innerfusslink3"/>
            <w:rFonts w:ascii="Garamond" w:hAnsi="Garamond" w:cs="Arial"/>
            <w:b/>
            <w:bCs/>
            <w:i/>
            <w:iCs/>
            <w:lang w:val="en-GB"/>
          </w:rPr>
          <w:t>Imago, Zeitschrift für Anwendung der Psychoanalyse auf die Geisteswissenschaften</w:t>
        </w:r>
        <w:r w:rsidRPr="00A06A59">
          <w:rPr>
            <w:rStyle w:val="innerfusslink3"/>
            <w:rFonts w:ascii="Garamond" w:hAnsi="Garamond" w:cs="Arial"/>
            <w:b/>
            <w:bCs/>
            <w:lang w:val="en-GB"/>
          </w:rPr>
          <w:t>, Bd. I–V, 1912–1918</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Gestorben sein heißt für das Kind, welchem ja überdies die Szenen des Leidens vor dem Tode zu sehen erspart wird, so viel als »fort sein«, die Überlebenden nicht mehr stören. Es unterscheidet nicht, auf welche Art diese Abwesenheit zustande kommt, ob durch Verreisen, Entlassung, Entfremdung oder Tod </w:t>
      </w:r>
      <w:hyperlink r:id="rId11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 Beobachtung eines psychoanalytisch geschulten Vaters erhascht auch den Moment, in dem sein geistig hochentwickeltes vierjähriges Töchterchen den Unterschied zwischen »fortsein« und »totsein« anerkennt. Das Kind machte Schwierigkeiten beim Essen und fühlte sich von einer der Aufwärterinnen in der Pension unfreundlich beobachtet. »Die Josefine soll tot sein«, äußerte sie darum gegen den Vater. »Warum gerade tot sein?« fragte der Vater beschwichtigend. »Ist es nicht genug, wenn sie weggeht?« »Nein«, antwortete das Kind, »dann kommt sie wieder.« Für die uneingeschränkte Eigenliebe (den Narzißmus) des Kindes ist jede Störung ein </w:t>
        </w:r>
        <w:r w:rsidRPr="00A06A59">
          <w:rPr>
            <w:rStyle w:val="innerfusslink3"/>
            <w:rFonts w:ascii="Garamond" w:hAnsi="Garamond" w:cs="Arial"/>
            <w:b/>
            <w:bCs/>
            <w:i/>
            <w:iCs/>
            <w:lang w:val="en-GB"/>
          </w:rPr>
          <w:t>crimen laesae majestatis</w:t>
        </w:r>
        <w:r w:rsidRPr="00A06A59">
          <w:rPr>
            <w:rStyle w:val="innerfusslink3"/>
            <w:rFonts w:ascii="Garamond" w:hAnsi="Garamond" w:cs="Arial"/>
            <w:b/>
            <w:bCs/>
            <w:lang w:val="en-GB"/>
          </w:rPr>
          <w:t>, und wie die drakonische Gesetzgebung setzt das Gefühl des Kindes auf alle solche Vergehen nur die eine nicht dosierbare Strafe.</w:t>
        </w:r>
      </w:hyperlink>
      <w:r w:rsidRPr="00A06A59">
        <w:rPr>
          <w:rFonts w:ascii="Garamond" w:hAnsi="Garamond" w:cs="Arial"/>
          <w:color w:val="000000"/>
          <w:lang w:val="en-GB"/>
        </w:rPr>
        <w:t xml:space="preserve">. Wenn in den prähistorischen Jahren eines Kindes seine Kinderfrau weggeschickt worden und einige Zeit darauf seine Mutter gestorben ist, so liegen für seine Erinnerung, wie man sie in der Analyse aufdeckt, beide Ereignisse in einer Reihe übereinander. Daß das Kind die Abwesenden nicht sehr intensiv vermißt, hat manche Mutter zu ihrem Schmerz erfahren, wenn sie nach mehrwöchentlicher Sommerreise in ihr Haus zurückkehrte und auf ihre Erkundigung hören mußte: Die Kinder haben nicht ein einziges Mal nach der Mama gefragt. Wenn sie aber wirklich in jenes »unentdeckte Land« verreist ist, »von des Bezirk kein Wanderer wiederkehrt«, so scheinen die Kinder sie zunächst vergessen zu haben, und erst </w:t>
      </w:r>
      <w:r w:rsidRPr="00A06A59">
        <w:rPr>
          <w:rFonts w:ascii="Garamond" w:hAnsi="Garamond" w:cs="Arial"/>
          <w:i/>
          <w:iCs/>
          <w:color w:val="000000"/>
          <w:lang w:val="en-GB"/>
        </w:rPr>
        <w:t>nachträglich</w:t>
      </w:r>
      <w:r w:rsidRPr="00A06A59">
        <w:rPr>
          <w:rFonts w:ascii="Garamond" w:hAnsi="Garamond" w:cs="Arial"/>
          <w:color w:val="000000"/>
          <w:lang w:val="en-GB"/>
        </w:rPr>
        <w:t xml:space="preserve"> beginnen sie, sich an die Tote zu erinnern.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das Kind also Motive hat, die Abwesenheit eines anderen Kindes zu wünschen, so mangelt ihm jede Abhaltung, diesen Wunsch in die Form zu kleiden, es möge tot sein, und die psychische Reaktion auf den </w:t>
      </w:r>
      <w:r w:rsidRPr="00A06A59">
        <w:rPr>
          <w:rFonts w:ascii="Garamond" w:hAnsi="Garamond" w:cs="Arial"/>
          <w:color w:val="000000"/>
          <w:lang w:val="en-GB"/>
        </w:rPr>
        <w:lastRenderedPageBreak/>
        <w:t>Todeswunschtraum beweist, daß trotz aller Verschiedenheit im Inhalt der Wunsch beim Kinde doch irgendwie das nämliche ist wie der gleichlautende Wunsch des Erwachsenen.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nun der Todeswunsch des Kindes gegen seine Geschwister erklärt wird durch den Egoismus des Kindes, der es die Geschwister als Mitbewerber auffassen läßt, wie soll sich der Todeswunsch gegen die Eltern erklären, die für das Kind die Spender von Liebe und Erfüller seiner Bedürfnisse sind, deren Erhaltung es gerade aus egoistischen Motiven wünschen sollte?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Zur Lösung dieser Schwierigkeit leitet uns die Erfahrung, daß die Träume vom Tode der Eltern überwiegend häufig den Teil des Elternpaares betreffen, der das Geschlecht des Träumers teilt, daß also der Mann zumeist vom Tode des Vaters, das Weib vom Tode der Mutter träumt. Ich kann dies nicht als regelmäßig hinstellen, aber das Überwiegen in dem angedeuteten Sinne ist so deutlich, daß es eine Erklärung durch ein Moment von allgemeiner Bedeutung fordert </w:t>
      </w:r>
      <w:hyperlink r:id="rId12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Der Sachverhalt wird häufig durch das Auftreten einer Straftendenz verhüllt, welche in moralischer Reaktion mit dem Verlust des geliebten Elternteils droht.</w:t>
        </w:r>
      </w:hyperlink>
      <w:r w:rsidRPr="00A06A59">
        <w:rPr>
          <w:rFonts w:ascii="Garamond" w:hAnsi="Garamond" w:cs="Arial"/>
          <w:color w:val="000000"/>
          <w:lang w:val="en-GB"/>
        </w:rPr>
        <w:t>. Es verhält sich – grob ausgesprochen – so, als ob eine sexuelle Vorliebe sich frühzeitig geltend machen würde, als ob der Knabe im Vater, das Mädchen in der Mutter den Mitbewerber in der Liebe erblickte, durch dessen Beseitigung ihm nur Vorteil erwachsen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Ehe man diese Vorstellung als ungeheuerlich verwirft, möge man auch hier die realen Beziehungen zwischen Eltern und Kindern ins Auge fassen. Man hat zu sondern, was die Kulturforderung der Pietät von diesem Verhältnis verlangt und was die tägliche Beobachtung als tatsächlich ergibt. In der Beziehung zwischen Eltern und Kindern liegen mehr als nur ein Anlaß zur Feindseligkeit verborgen; die Bedingungen für das Zustandekommen von Wünschen, welche vor der Zensur nicht bestehen, sind im reichsten Ausmaße gegeben. Verweilen wir zunächst bei der Relation zwischen Vater und Sohn. Ich meine, die Heiligkeit, die wir den Vorschriften des Dekalogs zuerkannt haben, stumpft unseren Sinn für die Wahrnehmung der Wirklichkeit ab. Wir getrauen uns vielleicht kaum zu merken, daß der größere Teil der Menschheit sich über die Befolgung des vierten Gebots hinaussetzt. In den tiefsten wie in den höchsten Schichten der menschlichen Gesellschaft pflegt die Pietät gegen die Eltern vor anderen Interessen zurückzutreten. Die dunklen Nachrichten, die in Mythologie und Sage aus der Urzeit der menschlichen Gesellschaft auf uns gekommen sind, geben von der Machtfülle des Vaters und von der Rücksichtslosigkeit, mit der sie gebraucht wurde, eine unerfreuliche Vorstellung. Kronos verschlingt seine Kinder, etwa wie der Eber den Wurf des Mutterschweins, und Zeus entmannt den Vater </w:t>
      </w:r>
      <w:hyperlink r:id="rId12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Wenigstens in einigen mythologischen Darstellungen. Nach anderen wird die Entmannung nur von Kronos an seinem Vater Uranos vollzogen.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Über die mythologische Bedeutung dieses Motivs vgl. Otto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»Der Mythos von der Geburt des Helden«, 5. Heft der »Schrifte zur angew. Seelenkunde«, 1909 und »Das Inzestmotiv in Dichtung und Sage«, 1912, Kap. l IX, 2.</w:t>
        </w:r>
      </w:hyperlink>
      <w:r w:rsidRPr="00A06A59">
        <w:rPr>
          <w:rFonts w:ascii="Garamond" w:hAnsi="Garamond" w:cs="Arial"/>
          <w:color w:val="000000"/>
          <w:lang w:val="en-GB"/>
        </w:rPr>
        <w:t xml:space="preserve"> und setzt sich als Herrscher an seine Stelle. Je unumschränkter der Vater in der alten Familie herrschte, desto mehr muß der Sohn als berufener Nachfolger in die Lage des Feindes gerückt, desto größer muß seine Ungeduld geworden sein, durch den Tod des Vaters selbst zur Herrschaft zu gelangen. Noch in unserer bürgerlichen Familie pflegt der Vater durch die Verweigerung der Selbstbestimmung und der dazu nötigen Mittel an den Sohn dem natürlichen Keim zur Feindschaft, der in dem Verhältnisse liegt, zur Entwicklung zu verhelfen. Der Arzt kommt oft genug in die Lage zu bemerken, daß der Schmerz über den Verlust des Vaters beim Sohne die Befriedigung über die endlich erlangte Freiheit nicht unterdrücken kann. Den Rest der in unserer heutigen Gesellschaft arg antiquierten </w:t>
      </w:r>
      <w:r w:rsidRPr="00A06A59">
        <w:rPr>
          <w:rFonts w:ascii="Garamond" w:hAnsi="Garamond" w:cs="Arial"/>
          <w:i/>
          <w:iCs/>
          <w:color w:val="000000"/>
          <w:lang w:val="en-GB"/>
        </w:rPr>
        <w:t>potestas patris familias</w:t>
      </w:r>
      <w:r w:rsidRPr="00A06A59">
        <w:rPr>
          <w:rFonts w:ascii="Garamond" w:hAnsi="Garamond" w:cs="Arial"/>
          <w:color w:val="000000"/>
          <w:lang w:val="en-GB"/>
        </w:rPr>
        <w:t xml:space="preserve"> pflegt jeder Vater krampfhaft festzuhalten, und jeder Dichter ist der Wirkung sicher, der wie </w:t>
      </w:r>
      <w:r w:rsidRPr="00A06A59">
        <w:rPr>
          <w:rFonts w:ascii="Garamond" w:hAnsi="Garamond" w:cs="Arial"/>
          <w:i/>
          <w:iCs/>
          <w:color w:val="000000"/>
          <w:lang w:val="en-GB"/>
        </w:rPr>
        <w:t>Ibsen</w:t>
      </w:r>
      <w:r w:rsidRPr="00A06A59">
        <w:rPr>
          <w:rFonts w:ascii="Garamond" w:hAnsi="Garamond" w:cs="Arial"/>
          <w:color w:val="000000"/>
          <w:lang w:val="en-GB"/>
        </w:rPr>
        <w:t xml:space="preserve"> den uralten Kampf zwischen Vater und Sohn in den Vordergrund seiner Fabeln rückt. Die Anlässe zu Konflikten zwischen Tochter und Mutter ergeben sich, wenn die Tochter heranwächst und in der Mutter die Wächterin findet, während sie nach sexueller Freiheit begehrt, die Mutter aber durch das Aufblühen der Tochter gemahnt wird, daß für sie die Zeit gekommen ist, sexuellen Ansprüchen zu entsagen.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Alle diese Verhältnisse liegen offenkundig da vor jedermanns Augen. Sie fördern uns aber nicht bei der Absicht, die Träume vom Tod der Eltern zu erklären, welche sich bei Personen finden, denen die Pietät gegen die Eltern längst etwas Unantastbares geworden ist. Auch sind wir durch die vorhergehenden Erörterungen darauf vorbereitet, daß sich der Todeswunsch gegen die Eltern aus der frühesten Kindheit herleiten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Mit einer alle Zweifel ausschließenden Sicherheit bestätigt sich diese Vermutung für die Psychoneurotiker bei den mit ihnen vorgenommenen Analysen. Man lernt hiebei, daß sehr frühzeitig die sexuellen Wünsche des Kindes erwachen – soweit sie im keimenden Zustande diesen Namen verdienen – und daß die erste Neigung des Mädchens dem Vater, die ersten infantilen Begierden des Knaben der Mutter gelten. Der Vater wird somit für den Knaben, die Mutter für das Mädchen zum störenden Mitbewerber, und wie wenig für das Kind dazugehört, damit diese Empfindung zum Todeswunsch führe, haben wir bereits für den Fall der Geschwister ausgeführt. Die sexuelle Auswahl macht sich in der Regel bereits bei den Eltern geltend; ein natürlicher Zug sorgt dafür, daß der Mann die kleinen Töchter verzärtelt, </w:t>
      </w:r>
      <w:r w:rsidRPr="00A06A59">
        <w:rPr>
          <w:rFonts w:ascii="Garamond" w:hAnsi="Garamond" w:cs="Arial"/>
          <w:color w:val="000000"/>
          <w:lang w:val="en-GB"/>
        </w:rPr>
        <w:lastRenderedPageBreak/>
        <w:t>die Frau den Söhnen die Stange hält, während beide, wo der Zauber des Geschlechts ihr Urteil nicht verstört, mit Strenge für die Erziehung der Kleinen wirken. Das Kind bemerkt die Bevorzugung sehr wohl und lehnt sich gegen den Teil des Elternpaares auf, der sich ihr widersetzt. Liebe bei dem Erwachsenen zu finden ist ihm nicht nur die Befriedigung eines besonderen Bedürfnisses, sondern bedeutet auch, daß in allen anderen Stücken seinem Willen nachgegeben wird. So folgt es dem eigenen sexuellen Triebe und erneuert gleichzeitig die von den Eltern ausgehende Anregung, wenn es seine Wahl zwischen den Eltern im gleichen Sinne wie diese trifft.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Von den Zeichen dieser infantilen Neigungen seitens der Kinder pflegt man die meisten zu übersehen, einige kann man auch nach den ersten Kinderjahren bemerken. Ein achtjähriges Mädchen meiner Bekanntschaft benützt die Gelegenheit, wenn die Mutter vom Tische abberufen wird, um sich als ihre Nachfolgerin zu proklamieren. »Jetzt will ich die Mama sein. Karl, willst du noch Gemüse? Nimm doch, ich bitte dich« usw. Ein besonders begabtes und lebhaftes Mädchen von vier Jahren, an der dies Stück Kinderpsychologie besonders durchsichtig ist, äußert direkt: »Jetzt kann das Muatterl einmal fortgehen, dann muß das Vaterl mich heiraten, und ich will seine Frau sein.« Im Kinderleben schließt dieser Wunsch durchaus nicht aus, daß das Kind auch seine Mutter zärtlich liebe. Wenn der kleine Knabe neben der Mutter schlafen darf, sobald der Vater verreist ist, und nach dessen Rückkehr ins Kinderzimmer zurück muß zu einer Person, die ihm weit weniger gefällt, so mag sich leicht der Wunsch bei ihm gestalten, daß der Vater immer abwesend sein möge, damit er seinen Platz bei der lieben, schönen Mama behalten kann, und ein Mittel zur Erreichung dieses Wunsches ist es offenbar, wenn der Vater tot ist, denn das eine hat ihn seine Erfahrung gelehrt: »Tote« Leute, wie der Großpapa z. B. , sind immer abwesend, kommen nie wieder.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sich solche Beobachtungen an kleinen Kindern der vorgeschlagenen Deutung zwanglos fügen, so ergeben sie allerdings nicht die volle Überzeugung, welche die Psychoanalysen erwachsener Neurotiker dem Arzte aufdrängen. Die Mitteilung der betreffenden Träume erfolgt hier mit solchen Einleitungen, daß ihre Deutung als </w:t>
      </w:r>
      <w:r w:rsidRPr="00A06A59">
        <w:rPr>
          <w:rFonts w:ascii="Garamond" w:hAnsi="Garamond" w:cs="Arial"/>
          <w:i/>
          <w:iCs/>
          <w:color w:val="000000"/>
          <w:lang w:val="en-GB"/>
        </w:rPr>
        <w:t>Wunschträume</w:t>
      </w:r>
      <w:r w:rsidRPr="00A06A59">
        <w:rPr>
          <w:rFonts w:ascii="Garamond" w:hAnsi="Garamond" w:cs="Arial"/>
          <w:color w:val="000000"/>
          <w:lang w:val="en-GB"/>
        </w:rPr>
        <w:t xml:space="preserve"> unausweichlich wird. Ich finde eines Tages eine Dame betrübt und verweint. Sie sagt: Ich will meine Verwandten nicht mehr sehen, es muß ihnen ja vor mir grausen. Dann erzählt sie fast ohne Übergang, daß sie sich an einen Traum erinnert, dessen Bedeutung sie natürlich nicht kennt. Sie hat ihn mit vier Jahren geträumt, er lautet folgendermaßen: </w:t>
      </w:r>
      <w:r w:rsidRPr="00A06A59">
        <w:rPr>
          <w:rFonts w:ascii="Garamond" w:hAnsi="Garamond" w:cs="Arial"/>
          <w:i/>
          <w:iCs/>
          <w:color w:val="000000"/>
          <w:lang w:val="en-GB"/>
        </w:rPr>
        <w:t>Ein Luchs oder Fuchs geht auf dem Dache spazieren, dann fällt etwas herunter oder sie fällt herunter, und dann trägt man die Mutter tot aus dem Hause</w:t>
      </w:r>
      <w:r w:rsidRPr="00A06A59">
        <w:rPr>
          <w:rFonts w:ascii="Garamond" w:hAnsi="Garamond" w:cs="Arial"/>
          <w:color w:val="000000"/>
          <w:lang w:val="en-GB"/>
        </w:rPr>
        <w:t>, wobei sie schmerzlich weint. Ich habe ihr kaum mitgeteilt, daß dieser Traum den Wunsch aus ihrer Kindheit bedeuten muß, die Mutter tot zu sehen, und daß sie dieses Traumes wegen meinen muß, die Verwandten grausen sich vor ihr, so liefert sie bereits etwas Material, den Traum aufzuklären. »Luchsaug« ist ein Schimpfwort, mit dem sie einmal als ganz kleines Kind von einem Gassenjungen belegt wurde; ihrer Mutter ist, als das Kind drei Jahre alt war, ein Ziegelstein vom Dach auf den Kopf gefallen, so daß sie heftig blutete.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hatte einmal Gelegenheit, ein junges Mädchen, das verschiedene psychische Zustände durchmachte, eingehend zu studieren. In einer tobsüchtigen Verworrenheit, mit der die Krankheit begann, zeigte die Kranke eine ganz besondere Abneigung gegen ihre Mutter, schlug und beschimpfte sie, sobald sie sich dem Bette näherte, während sie gegen eine um vieles ältere Schwester zu derselben Zeit liebevoll und gefügig blieb. Dann folgte ein klarer, aber etwas apathischer Zustand mit sehr gestörtem Schlaf; in dieser Phase begann ich die Behandlung und analysierte ihre Träume. Eine Unzahl derselben handelte mehr oder minder verhüllt vom Tode der Mutter; bald wohnte sie dem Leichenbegängnis einer alten Frau bei, bald sah sie sich und ihre Schwester in Trauerkleidern bei Tische sitzen; es blieb über den Sinn dieser Träume kein Zweifel. Bei noch weiter fortschreitender Besserung traten hysterische Phobien auf; die quälendste darunter war, daß der Mutter etwas geschehen sei. Von wo immer sie sich befand, mußte sie dann nach Hause eilen, um sich zu überzeugen, daß die Mutter noch lebe. Der Fall war nun, zusammengehalten mit meinen sonstigen Erfahrungen, sehr lehrreich; er zeigte in gleichsam mehrsprachiger Übersetzung verschiedene Reaktionsweisen des psychischen Apparats auf dieselbe erregende Vorstellung. In der Verworrenheit, die ich als </w:t>
      </w:r>
      <w:r w:rsidRPr="00A06A59">
        <w:rPr>
          <w:rFonts w:ascii="Garamond" w:hAnsi="Garamond" w:cs="Arial"/>
          <w:i/>
          <w:iCs/>
          <w:color w:val="000000"/>
          <w:lang w:val="en-GB"/>
        </w:rPr>
        <w:t>Überwältigung</w:t>
      </w:r>
      <w:r w:rsidRPr="00A06A59">
        <w:rPr>
          <w:rFonts w:ascii="Garamond" w:hAnsi="Garamond" w:cs="Arial"/>
          <w:color w:val="000000"/>
          <w:lang w:val="en-GB"/>
        </w:rPr>
        <w:t xml:space="preserve"> der zweiten psychischen Instanz durch die sonst unterdrückte erste auffasse, wurde die unbewußte Feindseligkeit gegen die Mutter motorisch mächtig; als dann die erste Beruhigung eintrat, der Aufruhr unterdrückt, die Herrschaft der Zensur wiederhergestellt war, blieb dieser Feindseligkeit nur mehr das Gebiet des Träumens offen, um den Wunsch nach ihrem Tod zu verwirklichen; als das Normale sich noch weiter gestärkt hatte, schuf es als hysterische Gegensatzreaktion und Abwehrerscheinung die übermäßige Sorge um die Mutter. In diesem Zusammenhange ist es nicht mehr unerklärlich, warum die hysterischen Mädchen so oft überzärtlich an ihren Müttern hängen.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andermal hatte ich Gelegenheit, tiefe Einblicke in das unbewußte Seelenleben eines jungen Mannes zu tun, der, durch Zwangsneurose fast existenzunfähig, nicht auf die Straße gehen konnte, weil ihn die Sorge quälte, er bringe alle Leute, die an ihm vorbeigingen, um. Er verbrachte seine Tage damit, die Beweisstücke für sein Alibi in Ordnung zu halten, falls die Anklage wegen eines der in der Stadt vorgefallenen Morde gegen ihn erhoben werden sollte. Überflüssig zu bemerken, daß er ein ebenso moralischer wie fein gebildeter Mensch war. Die – übrigens zur Heilung </w:t>
      </w:r>
      <w:r w:rsidRPr="00A06A59">
        <w:rPr>
          <w:rFonts w:ascii="Garamond" w:hAnsi="Garamond" w:cs="Arial"/>
          <w:color w:val="000000"/>
          <w:lang w:val="en-GB"/>
        </w:rPr>
        <w:lastRenderedPageBreak/>
        <w:t>führende – Analyse deckte als die Begründung dieser peinlichen Zwangsvorstellung Mordimpulse gegen seinen etwas überstrengen Vater auf, die sich, als er sieben Jahre alt war, zu seinem Erstaunen bewußt geäußert hatten, aber natürlich aus weit früheren Kindesjahren stammten. Nach der qualvollen Krankheit und dem Tode des Vaters trat im 31. Lebensjahre der Zwangsvorwurf auf, der sich in Form jener Phobie auf Fremde übertrug. Wer imstande war, seinen eigenen Vater von einem Berggipfel in den Abgrund stoßen zu wollen, dem ist allerdings zuzutrauen, daß er auch das Leben Fernerstehender nicht schone; der tut darum recht daran, sich in seine Zimmer einzuschließen.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Nach meinen bereits zahlreichen Erfahrungen spielen die Eltern im Kinderseelenleben aller späteren Psychoneurotiker die Hauptrolle, und Verliebtheit gegen den einen, Haß gegen den andern Teil des Elternpaares gehören zum eisernen Bestand des in jener Zeit gebildeten und für die Symptomatik der späteren Neurose so bedeutsamen Materials an psychischen Regungen. Ich glaube aber nicht, daß die Psychoneurotiker sich hierin von anderen normal verbleibenden Menschenkindern scharf sondern, indem sie absolut Neues und ihnen Eigentümliches zu schaffen vermögen. Es ist bei weitem wahrscheinlicher und wird durch gelegentliche Beobachtungen an normalen Kindern unterstützt, daß sie auch mit diesen verliebten und feindseligen Wünschen gegen ihre Eltern uns nur durch die Vergrößerung kenntlich machen, was minder deutlich und weniger intensiv in der Seele der meisten Kinder vorgeht. Das Altertum hat uns zur Unterstützung dieser Erkenntnis einen Sagenstoff überliefert, dessen durchgreifende und allgemeingültige Wirksamkeit nur durch eine ähnliche Allgemeingültigkeit der besprochenen Voraussetzung aus der Kinderpsychologie verständlich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Ich meine die Sage vom König </w:t>
      </w:r>
      <w:r w:rsidRPr="00A06A59">
        <w:rPr>
          <w:rFonts w:ascii="Garamond" w:hAnsi="Garamond" w:cs="Arial"/>
          <w:i/>
          <w:iCs/>
          <w:color w:val="000000"/>
        </w:rPr>
        <w:t>Ödipus</w:t>
      </w:r>
      <w:r w:rsidRPr="00A06A59">
        <w:rPr>
          <w:rFonts w:ascii="Garamond" w:hAnsi="Garamond" w:cs="Arial"/>
          <w:color w:val="000000"/>
        </w:rPr>
        <w:t xml:space="preserve"> und das gleichnamige Drama des </w:t>
      </w:r>
      <w:r w:rsidRPr="00A06A59">
        <w:rPr>
          <w:rFonts w:ascii="Garamond" w:hAnsi="Garamond" w:cs="Arial"/>
          <w:i/>
          <w:iCs/>
          <w:color w:val="000000"/>
        </w:rPr>
        <w:t>Sophokles</w:t>
      </w:r>
      <w:r w:rsidRPr="00A06A59">
        <w:rPr>
          <w:rFonts w:ascii="Garamond" w:hAnsi="Garamond" w:cs="Arial"/>
          <w:color w:val="000000"/>
        </w:rPr>
        <w:t xml:space="preserve">. Ödipus, der Sohn des Laïos, Königs von Theben, und der Jokaste, wird als Säugling ausgesetzt, weil ein Orakel dem Vater verkündet hatte, der noch ungeborene Sohn werde sein Mörder sein. Er wird gerettet und wächst als Königssohn an einem fremden Hofe auf, bis er, seiner Herkunft unsicher, selbst das Orakel befragt und von ihm den Rat erhält, die Heimat zu meiden, weil er der Mörder seines Vaters und der Ehegemahl seiner Mutter werden müßte. Auf dem Wege von seiner vermeintlichen Heimat weg trifft er mit König Laïos zusammen und erschlägt ihn in rasch entbranntem Streit. Dann kommt er vor Theben, wo er die Rätsel der den Weg sperrenden Sphinx löst und zum Dank dafür von den Thebanern zum König gewählt und mit Jokastes Hand beschenkt wird. Er regiert lange Zeit in Frieden und Würde und zeugt mit der ihm unbekannten Mutter zwei Söhne und zwei Töchter, bis eine Pest ausbricht, welche eine neuerliche Befragung des Orakels von Seiten der Thebaner veranlaßt. Hier setzt die Tragödie des </w:t>
      </w:r>
      <w:r w:rsidRPr="00A06A59">
        <w:rPr>
          <w:rFonts w:ascii="Garamond" w:hAnsi="Garamond" w:cs="Arial"/>
          <w:i/>
          <w:iCs/>
          <w:color w:val="000000"/>
        </w:rPr>
        <w:t>Sophokle</w:t>
      </w:r>
      <w:r w:rsidRPr="00A06A59">
        <w:rPr>
          <w:rFonts w:ascii="Garamond" w:hAnsi="Garamond" w:cs="Arial"/>
          <w:color w:val="000000"/>
        </w:rPr>
        <w:t xml:space="preserve">s ein. Die Boten bringen den Bescheid, daß die Pest aufhören werde, wenn der Mörder des Laïos aus dem Lande getrieben sei. </w:t>
      </w:r>
      <w:r w:rsidRPr="00A06A59">
        <w:rPr>
          <w:rFonts w:ascii="Garamond" w:hAnsi="Garamond" w:cs="Arial"/>
          <w:color w:val="000000"/>
          <w:lang w:val="en-GB"/>
        </w:rPr>
        <w:t>Wo aber weilt der?</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»Wo findet sich </w:t>
      </w:r>
      <w:r w:rsidRPr="00A06A59">
        <w:rPr>
          <w:rFonts w:ascii="Garamond" w:hAnsi="Garamond" w:cs="Arial"/>
          <w:color w:val="000000"/>
          <w:sz w:val="22"/>
          <w:szCs w:val="22"/>
          <w:lang w:val="en-GB"/>
        </w:rPr>
        <w:br/>
        <w:t xml:space="preserve">die schwer erkennbar dunkle Spur der alten Schuld?« </w:t>
      </w:r>
      <w:r w:rsidRPr="00A06A59">
        <w:rPr>
          <w:rFonts w:ascii="Garamond" w:hAnsi="Garamond" w:cs="Arial"/>
          <w:color w:val="000000"/>
          <w:sz w:val="22"/>
          <w:szCs w:val="22"/>
          <w:lang w:val="en-GB"/>
        </w:rPr>
        <w:br/>
      </w:r>
      <w:r w:rsidRPr="00A06A59">
        <w:rPr>
          <w:rFonts w:ascii="Garamond" w:hAnsi="Garamond" w:cs="Arial"/>
          <w:color w:val="000000"/>
          <w:sz w:val="22"/>
          <w:szCs w:val="22"/>
          <w:lang w:val="en-GB"/>
        </w:rPr>
        <w:br/>
      </w:r>
      <w:r w:rsidRPr="00A06A59">
        <w:rPr>
          <w:rFonts w:ascii="Garamond" w:hAnsi="Garamond" w:cs="Arial"/>
          <w:i/>
          <w:iCs/>
          <w:color w:val="000000"/>
          <w:sz w:val="22"/>
          <w:szCs w:val="22"/>
          <w:lang w:val="en-GB"/>
        </w:rPr>
        <w:t xml:space="preserve">(Übersetzung von Donner, V. </w:t>
      </w:r>
      <w:smartTag w:uri="urn:schemas-microsoft-com:office:smarttags" w:element="metricconverter">
        <w:smartTagPr>
          <w:attr w:name="ProductID" w:val="108 f"/>
        </w:smartTagPr>
        <w:r w:rsidRPr="00A06A59">
          <w:rPr>
            <w:rFonts w:ascii="Garamond" w:hAnsi="Garamond" w:cs="Arial"/>
            <w:i/>
            <w:iCs/>
            <w:color w:val="000000"/>
            <w:sz w:val="22"/>
            <w:szCs w:val="22"/>
            <w:lang w:val="en-GB"/>
          </w:rPr>
          <w:t>108 f</w:t>
        </w:r>
      </w:smartTag>
      <w:r w:rsidRPr="00A06A59">
        <w:rPr>
          <w:rFonts w:ascii="Garamond" w:hAnsi="Garamond" w:cs="Arial"/>
          <w:i/>
          <w:iCs/>
          <w:color w:val="000000"/>
          <w:sz w:val="22"/>
          <w:szCs w:val="22"/>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Handlung des Stückes besteht nun in nichts anderem als in der schrittweise gesteigerten und kunstvoll verzögerten Enthüllung – der Arbeit einer Psychoanalyse vergleichbar, – daß Ödipus selbst der Mörder des Laïos, aber auch der Sohn des Ermordeten und der Jokaste ist. Durch seine unwissentlich verübten Greuel erschüttert, blendet sich Ödipus und verläßt die Heimat. Der Orakelspruch ist erfüllt.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König Ödipus</w:t>
      </w:r>
      <w:r w:rsidRPr="00A06A59">
        <w:rPr>
          <w:rFonts w:ascii="Garamond" w:hAnsi="Garamond" w:cs="Arial"/>
          <w:color w:val="000000"/>
          <w:lang w:val="en-GB"/>
        </w:rPr>
        <w:t xml:space="preserve"> ist eine sogenannte Schicksalstragödie; ihre tragische Wirkung soll auf dem Gegensatz zwischen dem übermächtigen Willen der Götter und dem vergeblichen Sträuben der vom Unheil bedrohten Menschen beruhen; Ergebung in den Willen der Gottheit, Einsicht in die eigene Ohnmacht soll der tief ergriffene Zuschauer aus dem Trauerspiele lernen. Folgerichtig haben moderne Dichter es versucht, eine ähnliche tragische Wirkung zu erzielen, indem sie den nämlichen Gegensatz mit einer selbsterfundenen Fabel verwoben. Allein die Zuschauer haben ungerührt zugesehen, wie trotz alles Sträubens schuldloser Menschen ein Fluch oder Orakelspruch sich an ihnen vollzog; die späteren Schicksalstragödien sind ohne Wirkung geblieben.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der König Ödipus den modernen Menschen nicht minder zu erschüttern weiß als den zeitgenössischen Griechen, so kann die Lösung wohl nur darin liegen, daß die Wirkung der griechischen Tragödie nicht auf dem Gegensatz zwischen Schicksal und Menschenwillen ruht, sondern in der Besonderheit des Stoffes zu suchen ist, an welchem dieser Gegensatz erwiesen wird. Es muß eine Stimme in unserem Innern geben, welche die zwingende Gewalt des Schicksals im </w:t>
      </w:r>
      <w:r w:rsidRPr="00A06A59">
        <w:rPr>
          <w:rFonts w:ascii="Garamond" w:hAnsi="Garamond" w:cs="Arial"/>
          <w:i/>
          <w:iCs/>
          <w:color w:val="000000"/>
          <w:lang w:val="en-GB"/>
        </w:rPr>
        <w:t>Ödipus</w:t>
      </w:r>
      <w:r w:rsidRPr="00A06A59">
        <w:rPr>
          <w:rFonts w:ascii="Garamond" w:hAnsi="Garamond" w:cs="Arial"/>
          <w:color w:val="000000"/>
          <w:lang w:val="en-GB"/>
        </w:rPr>
        <w:t xml:space="preserve"> anzuerkennen bereit ist, während wir Verfügungen wie in der </w:t>
      </w:r>
      <w:r w:rsidRPr="00A06A59">
        <w:rPr>
          <w:rFonts w:ascii="Garamond" w:hAnsi="Garamond" w:cs="Arial"/>
          <w:i/>
          <w:iCs/>
          <w:color w:val="000000"/>
          <w:lang w:val="en-GB"/>
        </w:rPr>
        <w:t>Ahnfrau</w:t>
      </w:r>
      <w:r w:rsidRPr="00A06A59">
        <w:rPr>
          <w:rFonts w:ascii="Garamond" w:hAnsi="Garamond" w:cs="Arial"/>
          <w:color w:val="000000"/>
          <w:lang w:val="en-GB"/>
        </w:rPr>
        <w:t xml:space="preserve"> oder in anderen Schicksalstragödien als willkürliche zurückzuweisen vermögen. Und ein solches Moment ist in der Tat in der Geschichte des Königs Ödipus enthalten. Sein Schicksal ergreift uns nur darum, weil es auch das unsrige hätte werden können, weil das Orakel vor unserer Geburt denselben Fluch über uns verhängt hat wie über ihn. Uns allen vielleicht war es beschieden, die erste sexuelle Regung auf die Mutter, den ersten Haß und gewalttätigen Wunsch gegen den </w:t>
      </w:r>
      <w:r w:rsidRPr="00A06A59">
        <w:rPr>
          <w:rFonts w:ascii="Garamond" w:hAnsi="Garamond" w:cs="Arial"/>
          <w:color w:val="000000"/>
          <w:lang w:val="en-GB"/>
        </w:rPr>
        <w:lastRenderedPageBreak/>
        <w:t>Vater zu richten; unsere Träume überzeugen uns davon. König Ödipus, der seinen Vater Laïos erschlagen und seine Mutter Jokaste geheiratet hat, ist nur die Wunscherfüllung unserer Kindheit. Aber glücklicher als er, ist es uns seitdem, insofern wir nicht Psychoneurotiker geworden sind, gelungen, unsere sexuellen Regungen von unseren Müttern abzulösen, unsere Eifersucht gegen unsere Väter zu vergessen. Vor der Person, an welcher sich jener urzeitliche Kindheitswunsch erfüllt hat, schaudern wir zurück mit dem ganzen Betrag der Verdrängung, welche diese Wünsche in unserem Innern seither erlitten haben. Während der Dichter in jener Untersuchung die Schuld des Ödipus ans Licht bringt, nötigt er uns zur Erkenntnis unseres eigenen Innern, in dem jene Impulse, wenn auch unterdrückt, noch immer vorhanden sind. Die Gegenüberstellung, mit der uns der Chor verläßt,</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 sehet, das ist Ödipus, </w:t>
      </w:r>
      <w:r w:rsidRPr="00A06A59">
        <w:rPr>
          <w:rFonts w:ascii="Garamond" w:hAnsi="Garamond" w:cs="Arial"/>
          <w:color w:val="000000"/>
          <w:sz w:val="22"/>
          <w:szCs w:val="22"/>
          <w:lang w:val="en-GB"/>
        </w:rPr>
        <w:br/>
        <w:t xml:space="preserve">der entwirrt die hohen Rätsel und der erste war an Macht, </w:t>
      </w:r>
      <w:r w:rsidRPr="00A06A59">
        <w:rPr>
          <w:rFonts w:ascii="Garamond" w:hAnsi="Garamond" w:cs="Arial"/>
          <w:color w:val="000000"/>
          <w:sz w:val="22"/>
          <w:szCs w:val="22"/>
          <w:lang w:val="en-GB"/>
        </w:rPr>
        <w:br/>
        <w:t xml:space="preserve">dessen Glück die Bürger alle priesen und beneideten; </w:t>
      </w:r>
      <w:r w:rsidRPr="00A06A59">
        <w:rPr>
          <w:rFonts w:ascii="Garamond" w:hAnsi="Garamond" w:cs="Arial"/>
          <w:color w:val="000000"/>
          <w:sz w:val="22"/>
          <w:szCs w:val="22"/>
          <w:lang w:val="en-GB"/>
        </w:rPr>
        <w:br/>
        <w:t>Seht, in welches Mißgeschickes grause Wogen er versank!«</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Mahnung trifft uns selbst und unseren Stolz, die wir seit den Kinderjahren so weise und so mächtig geworden sind in unserer Schätzung. Wie Ödipus leben wir in Unwissenheit der die Moral beleidigenden Wünsche, welche die Natur uns aufgenötigt hat, und nach deren Enthüllung möchten wir wohl alle den Blick abwenden von den Szenen unserer Kindheit </w:t>
      </w:r>
      <w:hyperlink r:id="rId12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Keine der Ermittlungen der psychoanalytischen Forschung hat so erbitterten Widerspruch, ein so grimmiges Sträuben und so ergötzliche Verrenkungen der Kritik hervorgerufen wie dieser Hinweis auf die kindlichen, im Unbewußten erhalten gebliebenen Inzestneigungen. Die letzte Zeit hat selbst einen Versuch gebracht, den Inzest, allen Erfahrungen trotzend, nur als »symbolisch« gelten zu lassen. Eine geistreiche Überdeutung des Ödipusmythus gibt, auf einer Briefstelle Schopenhauers fußend, Ferenczi (1912). – Der hier zuerst in der »Traumdeutung« berührte »Ödipuskomplex« hat durch weitere Studien eine ungeahnt große Bedeutung für das Verständnis der Menschheitsgeschichte und der Entwicklung von Religion und Sittlichkeit gewonnen. S. Totem und Tabu, 1913 (Ges. Schriften, Bd. X).</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Daß die Sage von Ödipus einem uralten Traumstoff entsprossen ist, welcher jene peinliche Störung des Verhältnisses zu den Eltern durch die ersten Regungen der Sexualität zum Inhalte hat, dafür findet sich im Texte der Sophokleischen Tragödie selbst ein nicht mißzuverstehender Hinweis. Jokaste tröstet den noch nicht aufgeklärten, aber durch die Erinnerung der Orakelsprüche besorgt gemachten Ödipus durch die Erwähnung eines Traums, den ja so viele Menschen träumen, ohne daß er, meint sie, etwas bedeute:</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 </w:t>
      </w:r>
      <w:r w:rsidRPr="00A06A59">
        <w:rPr>
          <w:rFonts w:ascii="Garamond" w:hAnsi="Garamond" w:cs="Arial"/>
          <w:i/>
          <w:iCs/>
          <w:color w:val="000000"/>
          <w:sz w:val="22"/>
          <w:szCs w:val="22"/>
          <w:lang w:val="en-GB"/>
        </w:rPr>
        <w:t xml:space="preserve">Denn viele Menschen sahen auch in Träumen schon </w:t>
      </w:r>
      <w:r w:rsidRPr="00A06A59">
        <w:rPr>
          <w:rFonts w:ascii="Garamond" w:hAnsi="Garamond" w:cs="Arial"/>
          <w:i/>
          <w:iCs/>
          <w:color w:val="000000"/>
          <w:sz w:val="22"/>
          <w:szCs w:val="22"/>
          <w:lang w:val="en-GB"/>
        </w:rPr>
        <w:br/>
        <w:t xml:space="preserve">Sich zugesellt der Mutter: doch wer alles dies </w:t>
      </w:r>
      <w:r w:rsidRPr="00A06A59">
        <w:rPr>
          <w:rFonts w:ascii="Garamond" w:hAnsi="Garamond" w:cs="Arial"/>
          <w:i/>
          <w:iCs/>
          <w:color w:val="000000"/>
          <w:sz w:val="22"/>
          <w:szCs w:val="22"/>
          <w:lang w:val="en-GB"/>
        </w:rPr>
        <w:br/>
        <w:t>Für nichtig achtet, trägt die Last des Lebens leicht.«</w:t>
      </w:r>
      <w:r w:rsidRPr="00A06A59">
        <w:rPr>
          <w:rFonts w:ascii="Garamond" w:hAnsi="Garamond" w:cs="Arial"/>
          <w:color w:val="000000"/>
          <w:sz w:val="22"/>
          <w:szCs w:val="22"/>
          <w:lang w:val="en-GB"/>
        </w:rPr>
        <w:t xml:space="preserve"> (V, 955 ff.)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Der Traum, mit der Mutter sexuell zu verkehren, wird ebenso wie damals auch heute vielen Menschen zuteil, die ihn empört und verwundert erzählen. Er ist, wie begreiflich, der Schlüssel der Tragödie und das Ergänzungsstück zum Traum vom Tod des Vaters. Die Ödipus-Fabel ist die Reaktion der Phantasie auf diese beiden typischen Träume, und wie die Träume von Erwachsenen mit Ablehnungsgefühlen erlebt werden, so muß die Sage Schreck und Selbstbestrafung in ihren Inhalt mit aufnehmen. Ihre weitere Gestaltung rührt wiederum von einer mißverständlichen sekundären Bearbeitung des Stoffes her, welche ihn einer theologisierenden Absicht dienstbar zu machen sucht. (Vgl. den Traumstoff von der Exhibition, S. 167.) Der Versuch, die göttliche Allmacht mit der menschlichen Verantwortlichkeit zu vereinigen, muß natürlich an diesem Material wie an jedem andern mißlingen.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Auf demselben Boden wie </w:t>
      </w:r>
      <w:r w:rsidRPr="00A06A59">
        <w:rPr>
          <w:rFonts w:ascii="Garamond" w:hAnsi="Garamond" w:cs="Arial"/>
          <w:i/>
          <w:iCs/>
          <w:color w:val="000000"/>
          <w:lang w:val="en-GB"/>
        </w:rPr>
        <w:t>König Ödipus</w:t>
      </w:r>
      <w:r w:rsidRPr="00A06A59">
        <w:rPr>
          <w:rFonts w:ascii="Garamond" w:hAnsi="Garamond" w:cs="Arial"/>
          <w:color w:val="000000"/>
          <w:lang w:val="en-GB"/>
        </w:rPr>
        <w:t xml:space="preserve"> wurzelt eine andere der großen tragischen Dichterschöpfungen, der </w:t>
      </w:r>
      <w:r w:rsidRPr="00A06A59">
        <w:rPr>
          <w:rFonts w:ascii="Garamond" w:hAnsi="Garamond" w:cs="Arial"/>
          <w:i/>
          <w:iCs/>
          <w:color w:val="000000"/>
          <w:lang w:val="en-GB"/>
        </w:rPr>
        <w:t>Hamlet</w:t>
      </w:r>
      <w:r w:rsidRPr="00A06A59">
        <w:rPr>
          <w:rFonts w:ascii="Garamond" w:hAnsi="Garamond" w:cs="Arial"/>
          <w:color w:val="000000"/>
          <w:lang w:val="en-GB"/>
        </w:rPr>
        <w:t xml:space="preserve"> Shakespeares. Aber in der veränderten Behandlung des nämlichen Stoffes offenbart sich der ganze Unterschied im Seelenleben der beiden weit auseinanderliegenden Kulturperioden, das säkulare Fortschreiten der Verdrängung im Gemütsleben der Menschheit. Im </w:t>
      </w:r>
      <w:r w:rsidRPr="00A06A59">
        <w:rPr>
          <w:rFonts w:ascii="Garamond" w:hAnsi="Garamond" w:cs="Arial"/>
          <w:i/>
          <w:iCs/>
          <w:color w:val="000000"/>
          <w:lang w:val="en-GB"/>
        </w:rPr>
        <w:t>Ödipus</w:t>
      </w:r>
      <w:r w:rsidRPr="00A06A59">
        <w:rPr>
          <w:rFonts w:ascii="Garamond" w:hAnsi="Garamond" w:cs="Arial"/>
          <w:color w:val="000000"/>
          <w:lang w:val="en-GB"/>
        </w:rPr>
        <w:t xml:space="preserve"> wird die zugrundeliegende Wunschphantasie des Kindes wie im Traum ans Licht gezogen und realisiert; im </w:t>
      </w:r>
      <w:r w:rsidRPr="00A06A59">
        <w:rPr>
          <w:rFonts w:ascii="Garamond" w:hAnsi="Garamond" w:cs="Arial"/>
          <w:i/>
          <w:iCs/>
          <w:color w:val="000000"/>
          <w:lang w:val="en-GB"/>
        </w:rPr>
        <w:t>Hamlet</w:t>
      </w:r>
      <w:r w:rsidRPr="00A06A59">
        <w:rPr>
          <w:rFonts w:ascii="Garamond" w:hAnsi="Garamond" w:cs="Arial"/>
          <w:color w:val="000000"/>
          <w:lang w:val="en-GB"/>
        </w:rPr>
        <w:t xml:space="preserve"> bleibt sie verdrängt, und wir erfahren von ihrer Existenz – dem Sachverhalt bei einer Neurose ähnlich – nur durch die von ihr ausgehenden Hemmungswirkungen. Mit der überwältigenden Wirkung des moderneren Dramas hat es sich eigentümlicherweise als vereinbar gezeigt, daß man über den Charakter des Helden in voller Unklarheit verbleiben könne. Das Stück ist auf die Zögerung Hamlets gebaut, die ihm zugeteilte Aufgabe der Rache zu erfüllen; welches die Gründe oder Motive dieser Zögerung sind, gesteht der Text nicht ein; die vielfältigsten Deutungsversuche haben es nicht anzugeben vermocht. Nach der heute noch herrschenden, durch Goethe begründeten Auffassung stellt Hamlet den Typus des Menschen dar, dessen frische Tatkraft durch die überwuchernde Entwicklung der Gedankentätigkeit gelähmt wird (»Von des Gedankens Blässe angekränkelt«). Nach </w:t>
      </w:r>
      <w:r w:rsidRPr="00A06A59">
        <w:rPr>
          <w:rFonts w:ascii="Garamond" w:hAnsi="Garamond" w:cs="Arial"/>
          <w:color w:val="000000"/>
          <w:lang w:val="en-GB"/>
        </w:rPr>
        <w:lastRenderedPageBreak/>
        <w:t xml:space="preserve">anderen hat der Dichter einen krankhaften, unentschlossenen, in das Bereich der Neurasthenie fallenden Charakter zu schildern versucht. </w:t>
      </w:r>
      <w:r w:rsidRPr="00A06A59">
        <w:rPr>
          <w:rFonts w:ascii="Garamond" w:hAnsi="Garamond" w:cs="Arial"/>
          <w:color w:val="000000"/>
        </w:rPr>
        <w:t xml:space="preserve">Allein die Fabel des Stückes lehrt, daß Hamlet uns keineswegs als eine Person erscheinen soll, die des Handelns überhaupt unfähig ist. Wir sehen ihn zweimal handelnd auftreten, das einemal in rasch auffahrender Leidenschaft, wie er den Lauscher hinter der Tapete niederstößt, ein anderesmal planmäßig, ja selbst arglistig, indem er mit der vollen Unbedenklichkeit des Renaissanceprinzen die zwei Höflinge in den ihm selbst zugedachten Tod schickt. </w:t>
      </w:r>
      <w:r w:rsidRPr="00A06A59">
        <w:rPr>
          <w:rFonts w:ascii="Garamond" w:hAnsi="Garamond" w:cs="Arial"/>
          <w:color w:val="000000"/>
          <w:lang w:val="en-GB"/>
        </w:rPr>
        <w:t xml:space="preserve">Was hemmt ihn also bei der Erfüllung der Aufgabe, die der Geist seines Vaters ihm gestellt hat? Hier bietet sich wieder die Auskunft, daß es die besondere Natur dieser Aufgabe ist. Hamlet kann alles, nur nicht die Rache an dem Mann vollziehen, der seinen Vater beseitigt und bei seiner Mutter dessen Stelle eingenommen hat, an dem Mann, der ihm die Realisierung seiner verdrängten Kinderwünsche zeigt. Der Abscheu, der ihn zur Rache drängen sollte, ersetzt sich so bei ihm durch Selbstvorwürfe, durch Gewissensskrupel, die ihm vorhalten, daß er, wörtlich verstanden, selbst nicht besser sei als der von ihm zu strafende Sünder. Ich habe dabei ins Bewußte übersetzt, was in der Seele des Helden unbewußt bleiben muß; wenn jemand Hamlet einen Hysteriker nennen will, kann ich es nur als Folgerung aus meiner Deutung anerkennen. Die Sexualabneigung stimmt sehr wohl dazu, die Hamlet dann im Gespräch mit Ophelia äußert, die nämliche Sexualabneigung, die von der Seele des Dichters in den nächsten Jahren immer mehr Besitz nehmen sollte, bis zu ihren Gipfeläußerungen im </w:t>
      </w:r>
      <w:r w:rsidRPr="00A06A59">
        <w:rPr>
          <w:rFonts w:ascii="Garamond" w:hAnsi="Garamond" w:cs="Arial"/>
          <w:i/>
          <w:iCs/>
          <w:color w:val="000000"/>
          <w:lang w:val="en-GB"/>
        </w:rPr>
        <w:t>Timon von Athen</w:t>
      </w:r>
      <w:r w:rsidRPr="00A06A59">
        <w:rPr>
          <w:rFonts w:ascii="Garamond" w:hAnsi="Garamond" w:cs="Arial"/>
          <w:color w:val="000000"/>
          <w:lang w:val="en-GB"/>
        </w:rPr>
        <w:t xml:space="preserve">. Es kann natürlich nur das eigene Seelenleben des Dichters gewesen sein, das uns im Hamlet entgegentritt; ich entnehme dem Werk von Georg Brandes über Shakespeare (1896) die Notiz, daß das Drama unmittelbar nach dem Tode von Shakespeares Vater (1601), also in der frischen Trauer um ihn, in der Wiederbelebung, dürfen wir annehmen, der auf den Vater bezüglichen Kindheitsempfindungen gedichtet worden ist. Bekannt ist auch, daß Shakespeares früh verstorbener Sohn den Namen Hamnet (identisch mit Hamlet) trug. Wie </w:t>
      </w:r>
      <w:r w:rsidRPr="00A06A59">
        <w:rPr>
          <w:rFonts w:ascii="Garamond" w:hAnsi="Garamond" w:cs="Arial"/>
          <w:i/>
          <w:iCs/>
          <w:color w:val="000000"/>
          <w:lang w:val="en-GB"/>
        </w:rPr>
        <w:t>Hamlet</w:t>
      </w:r>
      <w:r w:rsidRPr="00A06A59">
        <w:rPr>
          <w:rFonts w:ascii="Garamond" w:hAnsi="Garamond" w:cs="Arial"/>
          <w:color w:val="000000"/>
          <w:lang w:val="en-GB"/>
        </w:rPr>
        <w:t xml:space="preserve"> das Verhältnis des Sohnes zu den Eltern behandelt, so ruht der in der Zeit nahestehende </w:t>
      </w:r>
      <w:r w:rsidRPr="00A06A59">
        <w:rPr>
          <w:rFonts w:ascii="Garamond" w:hAnsi="Garamond" w:cs="Arial"/>
          <w:i/>
          <w:iCs/>
          <w:color w:val="000000"/>
          <w:lang w:val="en-GB"/>
        </w:rPr>
        <w:t>Macbeth</w:t>
      </w:r>
      <w:r w:rsidRPr="00A06A59">
        <w:rPr>
          <w:rFonts w:ascii="Garamond" w:hAnsi="Garamond" w:cs="Arial"/>
          <w:color w:val="000000"/>
          <w:lang w:val="en-GB"/>
        </w:rPr>
        <w:t xml:space="preserve"> auf dem Thema der Kinderlosigkeit. Wie übrigens jedes neurotische Symptom, wie selbst der Traum der Überdeutung fähig ist, ja dieselbe zu seinem vollen Verständnis fordert, so wird auch jede echte dichterische Schöpfung aus mehr als aus einem Motiv und einer Anregung in der Seele des Dichters hervorgegangen sein und mehr als eine Deutung zulassen. Ich habe hier nur die Deutung der tiefsten Schicht von Regungen in der Seele des schaffenden Dichters versucht </w:t>
      </w:r>
      <w:hyperlink r:id="rId12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 obenstehenden Andeutungen zum analytischen Verständnis des </w:t>
        </w:r>
        <w:r w:rsidRPr="00A06A59">
          <w:rPr>
            <w:rStyle w:val="innerfusslink3"/>
            <w:rFonts w:ascii="Garamond" w:hAnsi="Garamond" w:cs="Arial"/>
            <w:b/>
            <w:bCs/>
            <w:i/>
            <w:iCs/>
            <w:lang w:val="en-GB"/>
          </w:rPr>
          <w:t>Hamlet</w:t>
        </w:r>
        <w:r w:rsidRPr="00A06A59">
          <w:rPr>
            <w:rStyle w:val="innerfusslink3"/>
            <w:rFonts w:ascii="Garamond" w:hAnsi="Garamond" w:cs="Arial"/>
            <w:b/>
            <w:bCs/>
            <w:lang w:val="en-GB"/>
          </w:rPr>
          <w:t xml:space="preserve"> hat dann E. </w:t>
        </w:r>
        <w:r w:rsidRPr="00A06A59">
          <w:rPr>
            <w:rStyle w:val="innerfusslink3"/>
            <w:rFonts w:ascii="Garamond" w:hAnsi="Garamond" w:cs="Arial"/>
            <w:b/>
            <w:bCs/>
            <w:i/>
            <w:iCs/>
            <w:lang w:val="en-GB"/>
          </w:rPr>
          <w:t>Jones</w:t>
        </w:r>
        <w:r w:rsidRPr="00A06A59">
          <w:rPr>
            <w:rStyle w:val="innerfusslink3"/>
            <w:rFonts w:ascii="Garamond" w:hAnsi="Garamond" w:cs="Arial"/>
            <w:b/>
            <w:bCs/>
            <w:lang w:val="en-GB"/>
          </w:rPr>
          <w:t xml:space="preserve"> vervollständigt und gegen andere in der Literatur niedergelegte Auffassungen verteidigt. (Das Problem des </w:t>
        </w:r>
        <w:r w:rsidRPr="00A06A59">
          <w:rPr>
            <w:rStyle w:val="innerfusslink3"/>
            <w:rFonts w:ascii="Garamond" w:hAnsi="Garamond" w:cs="Arial"/>
            <w:b/>
            <w:bCs/>
            <w:i/>
            <w:iCs/>
            <w:lang w:val="en-GB"/>
          </w:rPr>
          <w:t>Hamlet</w:t>
        </w:r>
        <w:r w:rsidRPr="00A06A59">
          <w:rPr>
            <w:rStyle w:val="innerfusslink3"/>
            <w:rFonts w:ascii="Garamond" w:hAnsi="Garamond" w:cs="Arial"/>
            <w:b/>
            <w:bCs/>
            <w:lang w:val="en-GB"/>
          </w:rPr>
          <w:t xml:space="preserve"> und der Ödipuskomplex. 1911.) An der oben gemachten Voraussetzung, daß der Autor der Werke Shakespeares der Mann aus Stratford war, bin ich seither allerdings irre geworden. – Weitere Bemühungen um die Analyse des </w:t>
        </w:r>
        <w:r w:rsidRPr="00A06A59">
          <w:rPr>
            <w:rStyle w:val="innerfusslink3"/>
            <w:rFonts w:ascii="Garamond" w:hAnsi="Garamond" w:cs="Arial"/>
            <w:b/>
            <w:bCs/>
            <w:i/>
            <w:iCs/>
            <w:lang w:val="en-GB"/>
          </w:rPr>
          <w:t>Macbeth</w:t>
        </w:r>
        <w:r w:rsidRPr="00A06A59">
          <w:rPr>
            <w:rStyle w:val="innerfusslink3"/>
            <w:rFonts w:ascii="Garamond" w:hAnsi="Garamond" w:cs="Arial"/>
            <w:b/>
            <w:bCs/>
            <w:lang w:val="en-GB"/>
          </w:rPr>
          <w:t xml:space="preserve"> in meinem Aufsatze »Einige Charaktertypen aus der psychoanalytischen Arbeit«, Imago IV, 1916 (Ges. Schriften, Bd. X) und bei L. </w:t>
        </w:r>
        <w:r w:rsidRPr="00A06A59">
          <w:rPr>
            <w:rStyle w:val="innerfusslink3"/>
            <w:rFonts w:ascii="Garamond" w:hAnsi="Garamond" w:cs="Arial"/>
            <w:b/>
            <w:bCs/>
            <w:i/>
            <w:iCs/>
            <w:lang w:val="en-GB"/>
          </w:rPr>
          <w:t>Jekels,</w:t>
        </w:r>
        <w:r w:rsidRPr="00A06A59">
          <w:rPr>
            <w:rStyle w:val="innerfusslink3"/>
            <w:rFonts w:ascii="Garamond" w:hAnsi="Garamond" w:cs="Arial"/>
            <w:b/>
            <w:bCs/>
            <w:lang w:val="en-GB"/>
          </w:rPr>
          <w:t xml:space="preserve"> Shakespeares </w:t>
        </w:r>
        <w:r w:rsidRPr="00A06A59">
          <w:rPr>
            <w:rStyle w:val="innerfusslink3"/>
            <w:rFonts w:ascii="Garamond" w:hAnsi="Garamond" w:cs="Arial"/>
            <w:b/>
            <w:bCs/>
            <w:i/>
            <w:iCs/>
            <w:lang w:val="en-GB"/>
          </w:rPr>
          <w:t>Macbeth,</w:t>
        </w:r>
        <w:r w:rsidRPr="00A06A59">
          <w:rPr>
            <w:rStyle w:val="innerfusslink3"/>
            <w:rFonts w:ascii="Garamond" w:hAnsi="Garamond" w:cs="Arial"/>
            <w:b/>
            <w:bCs/>
            <w:lang w:val="en-GB"/>
          </w:rPr>
          <w:t xml:space="preserve"> Imago V, (1918)</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kann die typischen Träume vom Tode teurer Verwandter nicht verlassen, ohne daß ich deren Bedeutung für die Theorie des Traumes überhaupt noch mit einigen Worten beleuchte. Diese Träume zeigen uns den recht ungewöhnlichen Fall verwirklicht, daß der durch den verdrängten Wunsch gebildete Traumgedanke jeder Zensur entgeht und unverändert in den Traum übertritt. Es müssen besondere Verhältnisse sein, die solches Schicksal ermöglichen. Ich finde die Begünstigung für diese Träume in folgenden zwei Momenten: Erstens gibt es keinen Wunsch, von dem wir uns ferner glauben; wir meinen, das zu wünschen könnte »uns auch im Traume nicht einfallen«, und darum ist die Traumzensur gegen dieses Ungeheuerliche nicht gerüstet, ähnlich etwa wie die Gesetzgebung </w:t>
      </w:r>
      <w:r w:rsidRPr="00A06A59">
        <w:rPr>
          <w:rFonts w:ascii="Garamond" w:hAnsi="Garamond" w:cs="Arial"/>
          <w:i/>
          <w:iCs/>
          <w:color w:val="000000"/>
          <w:lang w:val="en-GB"/>
        </w:rPr>
        <w:t>Solons</w:t>
      </w:r>
      <w:r w:rsidRPr="00A06A59">
        <w:rPr>
          <w:rFonts w:ascii="Garamond" w:hAnsi="Garamond" w:cs="Arial"/>
          <w:color w:val="000000"/>
          <w:lang w:val="en-GB"/>
        </w:rPr>
        <w:t xml:space="preserve"> keine Strafe für den Vatermord aufzustellen wußte. Zweitens aber kommt dem verdrängten und nicht geahnten Wunsch gerade hier besonders häufig ein Tagesrest entgegen in Gestalt einer </w:t>
      </w:r>
      <w:r w:rsidRPr="00A06A59">
        <w:rPr>
          <w:rFonts w:ascii="Garamond" w:hAnsi="Garamond" w:cs="Arial"/>
          <w:i/>
          <w:iCs/>
          <w:color w:val="000000"/>
          <w:lang w:val="en-GB"/>
        </w:rPr>
        <w:t>Sorge</w:t>
      </w:r>
      <w:r w:rsidRPr="00A06A59">
        <w:rPr>
          <w:rFonts w:ascii="Garamond" w:hAnsi="Garamond" w:cs="Arial"/>
          <w:color w:val="000000"/>
          <w:lang w:val="en-GB"/>
        </w:rPr>
        <w:t xml:space="preserve"> um das Leben der teuren Person. Diese Sorge kann sich nicht anders in den Traum eintragen, als indem sie sich des gleichlautenden Wunsches bedient; der Wunsch aber kann sich mit der am Tage rege gewordenen Sorge maskieren. Wenn man meint, daß dies alles einfacher zugeht, daß man eben bei Nacht und im Traum nur fortsetzt, was man bei Tag angesponnen hat, so läßt man die Träume vom Tode teurer Personen eben außer allem Zusammenhang mit der Traumerklärung und hält ein sehr wohl reduzierbares Rätsel überflüssigerweise fest.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Lehrreich ist es auch, die Beziehung dieser Träume zu den Angstträumen zu verfolgen. In den Träumen vom Tode teurer Personen hat der verdrängte Wunsch einen Weg gefunden, auf dem er sich der Zensur – und der durch sie bedingten Entstellung – entziehen kann. Die nie fehlende Begleiterscheinung ist dann, daß schmerzliche Empfindungen im Traume verspürt werden. Ebenso kommt der Angsttraum nur zustande, wenn die Zensur ganz oder teilweise überwältigt wird, und anderseits erleichtert es die Überwältigung der Zensur, wenn Angst als aktuelle Sensation aus somatischen Quellen bereits gegeben ist. Es wird so handgreiflich, in welcher Tendenz die Zensur ihres Amtes waltet, die Traumentstellung ausübt; es geschieht, </w:t>
      </w:r>
      <w:r w:rsidRPr="00A06A59">
        <w:rPr>
          <w:rFonts w:ascii="Garamond" w:hAnsi="Garamond" w:cs="Arial"/>
          <w:i/>
          <w:iCs/>
          <w:color w:val="000000"/>
          <w:lang w:val="en-GB"/>
        </w:rPr>
        <w:t>um die Entwicklung von Angst oder anderen Formen peinlichen Affekts zu verhüten.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Ich habe im vorstehenden von dem Egoismus der Kinderseele gesprochen und knüpfe nun daran mit der Absicht, hier einen Zusammenhang ahnen zu lassen, daß die Träume auch diesen Charakter bewahrt haben. Sie sind sämtlich absolut egoistisch, in allen tritt das liebe Ich auf, wenn auch verkleidet. Die Wünsche, die in ihnen erfüllt werden, sind regelmäßig Wünsche dieses Ichs; es ist nur ein täuschender Anschein, wenn je das Interesse für einen anderen einen Traum hervorgerufen haben sollte. Ich will einige Beispiele, welche dieser Behauptung widersprechen, der Analyse unterziehen.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noch nicht vierjähriger Knabe erzählt: </w:t>
      </w:r>
      <w:r w:rsidRPr="00A06A59">
        <w:rPr>
          <w:rFonts w:ascii="Garamond" w:hAnsi="Garamond" w:cs="Arial"/>
          <w:i/>
          <w:iCs/>
          <w:color w:val="000000"/>
          <w:lang w:val="en-GB"/>
        </w:rPr>
        <w:t>Er hat eine große garnierte Schüssel gesehen, worauf ein großes Stück Fleisch gebraten war, unddas Stück war auf einmal ganz – nicht zerschnitten – aufgegessen. Die Person, die es gegessen hat, hat er nicht gesehen</w:t>
      </w:r>
      <w:hyperlink r:id="rId12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Auch das Große, Überreiche, Übermäßige und Übertriebene der Träume könnte ein Kindheitscharakter sein. Das Kind kennt keinen sehnlicheren Wunsch als groß zu werden, von allem so viel zu bekommen wie die Großen; es ist schwer zu befriedigen, kennt kein Genug, verlangt unersättlich nach Wiederholung dessen, was ihm gefallen oder geschmeckt hat. </w:t>
        </w:r>
        <w:r w:rsidRPr="00A06A59">
          <w:rPr>
            <w:rStyle w:val="innerfusslink3"/>
            <w:rFonts w:ascii="Garamond" w:hAnsi="Garamond" w:cs="Arial"/>
            <w:b/>
            <w:bCs/>
            <w:i/>
            <w:iCs/>
            <w:lang w:val="en-GB"/>
          </w:rPr>
          <w:t>Maß halten</w:t>
        </w:r>
        <w:r w:rsidRPr="00A06A59">
          <w:rPr>
            <w:rStyle w:val="innerfusslink3"/>
            <w:rFonts w:ascii="Garamond" w:hAnsi="Garamond" w:cs="Arial"/>
            <w:b/>
            <w:bCs/>
            <w:lang w:val="en-GB"/>
          </w:rPr>
          <w:t>, sich bescheiden, resignieren lernt es erst durch die Kultur der Erziehung. Bekanntlich neigt auch der Neurotiker zur Maßlosigkeit und Unmäßigkeit.</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Wer mag der fremde Mensch sein, von dessen üppiger Fleischmahlzeit unser Kleiner träumt? Die Erlebnisse des Traumtages müssen uns darüber aufklären. Der Knabe bekommt seit einigen Tagen nach ärztlicher Vorschrift Milchdiät; am Abend des Traumtages war er aber unartig, und da wurde ihm zur Strafe die Abendmahlzeit entzogen. Er hat schon früher einmal eine solche Hungerkur durchgemacht und sich sehr tapfer dabei benommen. Er wußte, daß er nichts bekommen würde, getraute sich aber auch nicht mit einem Worte anzudeuten, daß er Hunger hat. Die Erziehung fängt an, bei ihm zu wirken; sie äußert sich bereits im Traum, der einen Anfang von Traumentstellung zeigt. Es ist kein Zweifel, daß er selbst die Person ist, deren Wünsche auf eine so reiche Mahlzeit, und zwar eine Bratenmahlzeit, zielen. Da er aber weiß, daß diese ihm verboten ist, wagt er es nicht, wie die hungrigen Kinder es im Traum tun (vgl. den Erdbeertraum meiner kleinen Anna, S. 90), sich selbst zur Mahlzeit hinzusetzen. Die Person bleibt anonym.</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träume einmal, daß ich in der Auslage einer Buchhandlung ein neues Heft jener Sammlung im Liebhabereinband sehe, die ich sonst zu kaufen pflege (Künstlermonographien, Monographien zur Weltgeschichte, berühmte Kunststätten usw.). </w:t>
      </w:r>
      <w:r w:rsidRPr="00A06A59">
        <w:rPr>
          <w:rFonts w:ascii="Garamond" w:hAnsi="Garamond" w:cs="Arial"/>
          <w:i/>
          <w:iCs/>
          <w:color w:val="000000"/>
          <w:lang w:val="en-GB"/>
        </w:rPr>
        <w:t>Die neue Sammlung nennt sich: Berühmte Redner (oder Reden), und das Heft I derselben trägt den Namen Dr. Lecher.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der Analyse wird es mir unwahrscheinlich, daß mich der Ruhm Dr. </w:t>
      </w:r>
      <w:r w:rsidRPr="00A06A59">
        <w:rPr>
          <w:rFonts w:ascii="Garamond" w:hAnsi="Garamond" w:cs="Arial"/>
          <w:i/>
          <w:iCs/>
          <w:color w:val="000000"/>
          <w:lang w:val="en-GB"/>
        </w:rPr>
        <w:t>Lechers</w:t>
      </w:r>
      <w:r w:rsidRPr="00A06A59">
        <w:rPr>
          <w:rFonts w:ascii="Garamond" w:hAnsi="Garamond" w:cs="Arial"/>
          <w:color w:val="000000"/>
          <w:lang w:val="en-GB"/>
        </w:rPr>
        <w:t>, des Dauerredners der deutschen Obstruktion im Parlamente, während meiner Träume beschäftige. Der Sachverhalt ist der, daß ich vor einigen Tagen neue Patienten zur psychischen Kur aufgenommen habe und nun zehn bis elf Stunden täglich zu sprechen genötigt bin. Ich bin also selbst so ein Dauerredner.</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träume ein andermal, daß ein mir bekannter Lehrer an unserer Universität sagt: </w:t>
      </w:r>
      <w:r w:rsidRPr="00A06A59">
        <w:rPr>
          <w:rFonts w:ascii="Garamond" w:hAnsi="Garamond" w:cs="Arial"/>
          <w:i/>
          <w:iCs/>
          <w:color w:val="000000"/>
          <w:lang w:val="en-GB"/>
        </w:rPr>
        <w:t>Mein Sohn, der Myop</w:t>
      </w:r>
      <w:r w:rsidRPr="00A06A59">
        <w:rPr>
          <w:rFonts w:ascii="Garamond" w:hAnsi="Garamond" w:cs="Arial"/>
          <w:color w:val="000000"/>
          <w:lang w:val="en-GB"/>
        </w:rPr>
        <w:t>. Dann folgt ein Dialog, aus kurzen Reden und Gegenreden bestehend. Es folgt aber dann ein drittes Traumstück, in dem ich und meine Söhne vorkommen, und für den latenten Trauminhalt sind Vater und Sohn, ProfessorM., nur Strohmänner, die mich und meinen Ältesten decken. Ich werde diesen Traum wegen einer anderen Eigentümlichkeit noch weiter unten behandeln.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Beispiel von wirklich niedrigen egoistischen Gefühlen, die sich hinter zärtlicher Sorge verbergen, gibt folgender 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Mein Freund Otto schaut schlecht aus, ist braun im Gesicht und hat vortretende Augen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Otto ist mein Hausarzt, in dessen Schuld ich hoffnungslos verbleibe, weil er seit Jahren die Gesundheit meiner Kinder überwacht, sie erfolgreich behandelt, wenn sie erkranken, und sie überdies zu allen Gelegenheiten, die einen Vorwand abgeben können, beschenkt. Er war am Traumtage zu Besuch, und da bemerkte meine Frau, daß er müde und abgespannt aussehe. Nachts kommt mein Traum und leiht ihm einige der Zeichen der Basedowschen Krankheit. Wer sich in der Traumdeutung von meinen Regeln frei macht, der wird diesen Traum so verstehen, daß ich um die Gesundheit meines Freundes besorgt bin und daß diese Besorgnis sich im Traum realisiert. Es wäre ein Widerspruch </w:t>
      </w:r>
      <w:r w:rsidRPr="00A06A59">
        <w:rPr>
          <w:rFonts w:ascii="Garamond" w:hAnsi="Garamond" w:cs="Arial"/>
          <w:color w:val="000000"/>
          <w:lang w:val="en-GB"/>
        </w:rPr>
        <w:lastRenderedPageBreak/>
        <w:t xml:space="preserve">nicht nur gegen die Behauptung, daß der Traum eine Wunscherfüllung ist, sondern auch gegen die andere, daß er nur egoistischen Regungen zugänglich ist. Aber wer so deutet, möge mir erklären, warum ich bei Otto die </w:t>
      </w:r>
      <w:r w:rsidRPr="00A06A59">
        <w:rPr>
          <w:rFonts w:ascii="Garamond" w:hAnsi="Garamond" w:cs="Arial"/>
          <w:i/>
          <w:iCs/>
          <w:color w:val="000000"/>
          <w:lang w:val="en-GB"/>
        </w:rPr>
        <w:t>Basedowsche</w:t>
      </w:r>
      <w:r w:rsidRPr="00A06A59">
        <w:rPr>
          <w:rFonts w:ascii="Garamond" w:hAnsi="Garamond" w:cs="Arial"/>
          <w:color w:val="000000"/>
          <w:lang w:val="en-GB"/>
        </w:rPr>
        <w:t xml:space="preserve"> Krankheit befürchte, zu welcher Diagnose sein Aussehen auch nicht den leisesten Anlaß gibt? Meine Analyse liefert hingegen folgendes Material aus einer Begebenheit, die sich vor sechs Jahren zugetragen hat. Wir fuhren, eine kleine Gesellschaft, in der sich auch ProfessorR. befand, in tiefer Dunkelheit durch den Wald von N., einige Stunden weit von unserem Sommeraufenthalt entfernt. Der nicht ganz nüchterne Kutscher warf uns mit dem Wagen einen Abhang hinunter, und es war noch glücklich, daß wir alle heil davonkamen. Wir waren aber genötigt, im nächsten Wirtshause zu übernachten, wo die Kunde von unserem Unfall große Sympathie für uns erweckte. Ein Herr, der die unverkennbaren Zeichen des </w:t>
      </w:r>
      <w:r w:rsidRPr="00A06A59">
        <w:rPr>
          <w:rFonts w:ascii="Garamond" w:hAnsi="Garamond" w:cs="Arial"/>
          <w:i/>
          <w:iCs/>
          <w:color w:val="000000"/>
          <w:lang w:val="en-GB"/>
        </w:rPr>
        <w:t>morbus Basedowii</w:t>
      </w:r>
      <w:r w:rsidRPr="00A06A59">
        <w:rPr>
          <w:rFonts w:ascii="Garamond" w:hAnsi="Garamond" w:cs="Arial"/>
          <w:color w:val="000000"/>
          <w:lang w:val="en-GB"/>
        </w:rPr>
        <w:t xml:space="preserve"> an sich trug – übrigens nur Bräunung der Gesichtshaut und vortretende Augen, ganz wie im Traum, keine Struma, – stellte sich ganz zu unserer Verfügung und fragte, was er für uns tun könne. Professor R. in seiner bestimmten Art antwortete: Nichts anderes, als daß Sie mir ein Nachthemd leihen. Darauf der Edle: Das tut mir leid, das kann ich nicht, und ging von dannen.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Zur Fortsetzung der Analyse fällt mir ein, daß </w:t>
      </w:r>
      <w:r w:rsidRPr="00A06A59">
        <w:rPr>
          <w:rFonts w:ascii="Garamond" w:hAnsi="Garamond" w:cs="Arial"/>
          <w:i/>
          <w:iCs/>
          <w:color w:val="000000"/>
          <w:lang w:val="en-GB"/>
        </w:rPr>
        <w:t>Basedow</w:t>
      </w:r>
      <w:r w:rsidRPr="00A06A59">
        <w:rPr>
          <w:rFonts w:ascii="Garamond" w:hAnsi="Garamond" w:cs="Arial"/>
          <w:color w:val="000000"/>
          <w:lang w:val="en-GB"/>
        </w:rPr>
        <w:t xml:space="preserve"> nicht nur der Name eines Arztes ist, sondern auch der eines berühmten Pädagogen. (Im Wachen fühle ich mich jetzt dieses Wissens nicht recht sicher.) Freund Otto ist aber diejenige Person, die ich gebeten habe, für den Fall, daß mir etwas zustößt, die körperliche Erziehung meiner Kinder, speziell in der Pubertätszeit (daher das Nachthemd), zu überwachen. Indem ich nun Freund Otto im Traum mit den Krankheitssymptomen jenes edlen Helfers sehe, will ich offenbar sagen: Wenn mir etwas zustößt, wird von ihm ebensowenig etwas für die Kinder zu haben sein, wie damals von Herrn BaronL. trotz seiner liebenswürdigen Anerbietungen. </w:t>
      </w:r>
      <w:r w:rsidRPr="00A06A59">
        <w:rPr>
          <w:rFonts w:ascii="Garamond" w:hAnsi="Garamond" w:cs="Arial"/>
          <w:color w:val="000000"/>
        </w:rPr>
        <w:t xml:space="preserve">Der egoistische Einschlag dieses Traumes dürfte nun wohl aufgedeckt sein. </w:t>
      </w:r>
      <w:hyperlink r:id="rId125"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Als Ernest Jones in einem wissenschaftlichen Vortrag vor einer amerikanischen Gesellschaft vom Egoismus der Träume sprach, erhob eine gelehrte Dame gegen diese unwissenschaftliche Verallgemeinerung den Einwand, der Autor könne doch nur über die Träume von Österreichern urteilen und dürfe über die Träume von Amerikanern nichts aussagen. Sie sei für ihre Person sicher, daß alle ihre Träume streng altruistische seien.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Zur Entschuldigung dieser rassestolzen Dame sei übrigens bemerkt, daß man den Satz, die Träume seien durchaus egoistisch, nicht mißverstehen darf. Da alles, was überhaupt im vorbewußten Denken vorkommt, in den Traum (Inhalt wie latente Traumgedanken) übertreten kann, ist diese Möglichkeit auch den altruistischen Regungen offen. </w:t>
        </w:r>
        <w:r w:rsidRPr="00A06A59">
          <w:rPr>
            <w:rStyle w:val="innerfusslink3"/>
            <w:rFonts w:ascii="Garamond" w:hAnsi="Garamond" w:cs="Arial"/>
            <w:b/>
            <w:bCs/>
            <w:lang w:val="en-GB"/>
          </w:rPr>
          <w:t>In derselben Weise wird eine zärtliche oder verliebte Regung für eine andere Person, die im Unbewußten vorhanden ist, im Traume erscheinen können. Das Richtige an obigem Satz schränkt sich also auf die Tatsache ein, daß man unter den unbewußten Anregungen des Traumes sehr häufig egoistische Tendenzen findet, die im Wachleben überwunden scheinen.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Wo steckt aber hier die Wunscherfüllung? Nicht in der Rache an Freund Otto, dessen Schicksal es nun einmal ist, in meinen Träumen schlecht behandelt zu werden, sondern in folgender Beziehung. Indem ich Otto als BaronL. im Traum darstellte, habe ich gleichzeitig meine eigene Person mit einer anderen identifiziert, nämlich mit der des ProfessorsR., denn ich fordere ja etwas von Otto, wie in jener Begebenheit R. von BaronL. gefordert hat. Und daran liegt es. ProfessorR., dem ich mich sonst wirklich nicht zu vergleichen wage, hat ähnlich wie ich seinen Weg außerhalb der Schule selbständig verfolgt und ist erst in späten Jahren zu dem längst verdienten Titel gelangt. Ich will also wieder einmal Professor werden! Ja selbst das »in späten Jahren« ist eine Wunscherfüllung, denn es besagt, daß ich lange genug lebe, um meine Knaben selbst durch die Pubertät zu geleiten.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Von anderen typischen Träumen, in denen man mit Behagen fliegt oder mit Angstgefühlen fällt, weiß ich nichts aus eigener Erfahrung und verdanke alles, was ich über sie zu sagen habe, den Psychoanalysen. Aus den Auskünften, die man dort erhält, muß man schließen, daß auch diese Träume Eindrücke der Kinderzeit wiederholen, nämlich sich auf die Bewegungsspiele beziehen, die für das Kind eine so außerordentliche Anziehung haben. Welcher Onkel hat nicht schon ein Kind fliegen lassen, indem er, die Arme ausstreckend, durchs Zimmer mit ihm eilte, oder Fallen mit ihm gespielt, indem er es auf den Knien schaukelte und das Bein plötzlich streckte oder es hochhob und plötzlich tat, als ob er ihm die Unterstützung entziehen wollte. Die Kinder jauchzen dann und verlangen unermüdlich nach Wiederholung, besonders wenn etwas Schreck und Schwindel mit dabei ist; dann schaffen sie sich nach Jahren die Wiederholung im Traum, lassen aber im Traum die Hände weg, die sie gehalten haben, so daß sie nun frei schweben und fallen. Die Vorliebe aller kleinen Kinder für solche Spiele wie für Schaukeln und Wippen ist bekannt; wenn sie dann gymnastische Kunststücke im Zirkus sehen, wird die Erinnerung von neuem aufgefrischt </w:t>
      </w:r>
      <w:hyperlink r:id="rId12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 analytische Untersuchung hat uns erraten lassen, daß an der Vorliebe der Kinder für gymnastische Darstellungen und an deren Wiederholung im hysterischen Anfall außer der Organlust noch ein anderes Moment beteiligt ist, das (oft unbewußte) Erinnerungsbild des (an Menschen oder Tieren) beobachteten Sexualverkehrs.</w:t>
        </w:r>
      </w:hyperlink>
      <w:r w:rsidRPr="00A06A59">
        <w:rPr>
          <w:rFonts w:ascii="Garamond" w:hAnsi="Garamond" w:cs="Arial"/>
          <w:color w:val="000000"/>
          <w:lang w:val="en-GB"/>
        </w:rPr>
        <w:t xml:space="preserve">. Bei manchen Knaben besteht dann der hysterische Anfall nur aus Reproduktionen solcher </w:t>
      </w:r>
      <w:r w:rsidRPr="00A06A59">
        <w:rPr>
          <w:rFonts w:ascii="Garamond" w:hAnsi="Garamond" w:cs="Arial"/>
          <w:color w:val="000000"/>
          <w:lang w:val="en-GB"/>
        </w:rPr>
        <w:lastRenderedPageBreak/>
        <w:t xml:space="preserve">Kunststücke, die sie mit großer Geschicklichkeit ausführen. Nicht selten sind bei diesen an sich harmlosen Bewegungsspielen auch sexuelle Empfindungen wachgerufen worden </w:t>
      </w:r>
      <w:hyperlink r:id="rId12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Ein junger, von Nervosität völlig freier Kollege teilt mir hiezu mit: »Ich weiß aus eigener Erfahrung, daß ich früher beim Schaukeln, und zwar in dem Moment, wo die Abwärtsbewegung die größte Wucht hat, ein eigentümliches Gefühl in den Genitalien bekam, das ich, obwohl es mir eigentlich nicht angenehm war, doch als Lustgefühl bezeichnen muß.« Von Patienten habe ich oftmals gehört, daß die ersten Erektionen mit Lustgefühl, die sie erinnern, in der Knabenzeit beim Klettern aufgetreten sind. Aus den Psychoanalysen ergibt sich mit aller Sicherheit, daß häufig die ersten sexuellen Regungen in den Rauf- und Ringspielen der Kinderjahre wurzeln.</w:t>
        </w:r>
      </w:hyperlink>
      <w:r w:rsidRPr="00A06A59">
        <w:rPr>
          <w:rFonts w:ascii="Garamond" w:hAnsi="Garamond" w:cs="Arial"/>
          <w:color w:val="000000"/>
          <w:lang w:val="en-GB"/>
        </w:rPr>
        <w:t>. Um es mit einem bei uns gebräuchlichen, all diese Veranstaltungen deckenden Worte zu sagen: es ist das »Hetzen« in der Kindheit, welches die Träume vom Fliegen, Fallen, Schwindel u. dgl. wiederholen, dessen Lustgefühle jetzt in Angst verkehrt sind. Wie aber jede Mutter weiß, ist auch das Hetzen der Kinder in der Wirklichkeit häufig genug in Zwist und Weinen ausgegangen.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habe also guten Grund, die Erklärung abzulehnen, daß der Zustand unserer Hautgefühle während des Schlafes, die Sensationen von der Bewegung unserer Lungen u. dgl. die Träume vom Fliegen und Fallen hervorrufen. Ich sehe, daß diese Sensationen selbst aus der Erinnerung reproduziert sind, auf welche der Traum sich bezieht, daß sie also Trauminhalt sind und nicht Traumquellen.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verhehle mir aber keineswegs, daß ich für diese Reihe von typischen Träumen eine volle Aufklärung nicht erbringen kann. Mein Material hat mich gerade hiebei im Stiche gelassen. Den allgemeinen Gesichtspunkt, daß alle die Haut- und Bewegungssensationen dieser typischen Träume wachgerufen werden, sobald irgendein psychisches Motiv ihrer bedarf, und daß sie vernachlässigt werden können, wenn ihnen ein solches Bedürfnis nicht entgegenkommt, muß ich festhalten. Auch die Beziehung zu den infantilen Erlebnissen scheint mir aus den Andeutungen, die ich in der Analyse der Psychoneurotiker erhalten habe, sicher hervorzugehen. Aber welche anderen Bedeutungen sich im Laufe des Lebens an die Erinnerung jener Sensationen geknüpft haben mögen – vielleicht bei jeder Person andere trotz der typischen Erscheinung dieser Träume – weiß ich nicht anzugeben und möchte gerne in die Lage kommen, diese Lücke durch sorgfältige Analyse von guten Beispielen auszufüllen. Wer sich darüber verwundert, daß ich trotz der Häufigkeit gerade der Träume vom Fliegen, Fallen, Zahnausziehen u. dgl. mich über Mangel an Material beklage, dem bin ich die Aufklärung schuldig, daß ich an mir selbst solche Träume nicht erfahren habe, seitdem ich dem Thema der Traumdeutung Aufmerksamkeit schenke. Die Träume der Neurotiker, die mir sonst zu Gebote stehen, sind aber nicht alle und oft nicht bis an das Ende ihrer verborgenen Absicht deutbar; eine gewisse psychische Macht, die beim Aufbau der Neurose beteiligt war und bei deren Auflösung wieder zur Wirksamkeit gebracht wird, stellt sich der Deutung bis zum letzten Rätsel entgegen.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γ</w:t>
      </w:r>
      <w:r w:rsidRPr="00A06A59">
        <w:rPr>
          <w:rFonts w:ascii="Garamond" w:hAnsi="Garamond" w:cs="Arial"/>
          <w:color w:val="000000"/>
          <w:lang w:val="en-GB"/>
        </w:rPr>
        <w:t xml:space="preserve"> </w:t>
      </w:r>
      <w:r w:rsidRPr="00A06A59">
        <w:rPr>
          <w:rFonts w:ascii="Garamond" w:hAnsi="Garamond" w:cs="Arial"/>
          <w:i/>
          <w:iCs/>
          <w:color w:val="000000"/>
          <w:lang w:val="en-GB"/>
        </w:rPr>
        <w:t>Der Prüfungstraum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Jeder, der mit der Maturitätsprüfung seine Gymnasialstudien abgeschlossen hat, klagt über die Hartnäckigkeit, mit welcher der Angsttraum, daß er durchgefallen sei, die Klasse wiederholen müsse u. dgl., ihn verfolgt. Für den Besitzer eines akademischen Grades ersetzt sich dieser typische Traum durch einen anderen, der ihm vorhält, daß er beim Rigorosum nicht bestanden habe, und gegen den er vergeblich noch im Schlaf einwendet, daß er ja schon seit Jahren praktiziere, Privatdozent sei oder Kanzleileiter. Es sind die unauslöschlichen Erinnerungen an die Strafen, die wir in der Kindheit für verübte Untaten erlitten haben, die sich so an den beiden Knotenpunkten unserer Studien, an dem » </w:t>
      </w:r>
      <w:r w:rsidRPr="00A06A59">
        <w:rPr>
          <w:rFonts w:ascii="Garamond" w:hAnsi="Garamond" w:cs="Arial"/>
          <w:i/>
          <w:iCs/>
          <w:color w:val="000000"/>
          <w:lang w:val="en-GB"/>
        </w:rPr>
        <w:t>dies irae, dies illa</w:t>
      </w:r>
      <w:r w:rsidRPr="00A06A59">
        <w:rPr>
          <w:rFonts w:ascii="Garamond" w:hAnsi="Garamond" w:cs="Arial"/>
          <w:color w:val="000000"/>
          <w:lang w:val="en-GB"/>
        </w:rPr>
        <w:t>« der strengen Prüfungen in unserem Inneren wieder geregt haben. Auch die »Prüfungsangst« der Neurotiker findet in dieser Kinderangst ihre Verstärkung. Nachdem wir aufgehört haben, Schüler zu sein, sind es nicht mehr wie zuerst die Eltern und Erzieher oder später die Lehrer, die unsere Bestrafung besorgen; die unerbittliche Kausalverkettung des Lebens hat unsere weitere Erziehung übernommen, und nun träumen wir von der Matura oder von dem Rigorosum – und wer hat damals nicht selbst als Gerechter gezagt? – sooft wir erwarten, daß der Erfolg uns bestrafen werde, weil wir etwas nicht recht gemacht, nicht ordentlich zustande gebracht haben, sooft wir den Druck einer Verantwortung fühlen.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Eine weitere Aufklärung der Prüfungsträume danke ich einer Bemerkung von Seite eines kundigen Kollegen, der einmal in einer wissenschaftlichen Unterhaltung hervorhob, daß seines Wissens der Maturatraum nur bei Personen vorkomme, die diese Prüfung bestanden haben, niemals bei solchen, die an ihr gescheitert sind. Der ängstliche Prüfungstraum, der, wie sich immer mehr bestätigt, dann auftritt, wenn man vom nächsten Tage eine verantwortliche Leistung und die Möglichkeit einer Blamage erwartet, würde also eine Gelegenheit aus der Vergangenheit herausgesucht haben, bei welcher sich die große Angst als unberechtigt erwies und durch den Ausgang widerlegt wurde. </w:t>
      </w:r>
      <w:r w:rsidRPr="00A06A59">
        <w:rPr>
          <w:rFonts w:ascii="Garamond" w:hAnsi="Garamond" w:cs="Arial"/>
          <w:color w:val="000000"/>
        </w:rPr>
        <w:t xml:space="preserve">Es wäre dies ein sehr auffälliges Beispiel von Mißverständnis des Trauminhalts durch die wache Instanz. Die als Empörung gegen den Traum aufgefaßte Einrede: Aber ich bin ja schon Doktor u. dgl., wäre in Wirklichkeit der Trost, den der Traum spendet und der also lauten würde: Fürchte dich doch nicht vor morgen; denke daran, welche </w:t>
      </w:r>
      <w:r w:rsidRPr="00A06A59">
        <w:rPr>
          <w:rFonts w:ascii="Garamond" w:hAnsi="Garamond" w:cs="Arial"/>
          <w:color w:val="000000"/>
        </w:rPr>
        <w:lastRenderedPageBreak/>
        <w:t>Angst du vor der Maturitätsprüfung gehabt hast, und es ist dir doch nichts geschehen. Heute bist du ja schon Doktor usw. Die Angst aber, die wir dem Traume anrechnen, stammte aus den Tagesresten.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Die Proben auf diese Erklärung, die ich bei mir und anderen anstellen konnte, haben, wenngleich sie nicht zahlreich genug waren, gut gestimmt. Ich bin z. B. als Rigorosant in gerichtlicher Medizin durchgefallen; niemals hat dieser Gegenstand mir im Traume zu schaffen gemacht, während ich häufig genug in Botanik, Zoologie oder Chemie geprüft wurde, in welchen Fächern ich mit gut begründeter Angst zur Prüfung gegangen, der Strafe aber durch Gunst des Schicksals oder des Prüfers entgangen bin. Im Gymnasialprüfungstraume werde ich regelmäßig aus Geschichte geprüft, wo ich damals glänzend bestanden habe, aber allerdings nur, weil mein liebenswürdiger Professor – der einäugige Helfer eines anderen Traumes, vgl. S. 12 – nicht übersehen hatte, daß auf dem Prüfungszettel, den ich ihm zurückgab, die mittlere von drei Fragen mit dem Fingernagel durchgestrichen war, zur Mahnung, daß er auf dieser Frage nicht bestehen solle. Einer meiner Patienten, der von der Matura zurückgetreten war und sie später nachgetragen hatte, dann aber bei der Offiziersprüfung durchgefallen und nicht Offizier geworden ist, berichtet mir, daß er oft genug von der ersteren, aber nie von der letzteren Prüfung träumt.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 Prüfungsträume setzen der Deutung bereits jene Schwierigkeit entgegen, die ich vorhin als charakteristisch für die meisten der typischen Träume angegeben habe. </w:t>
      </w:r>
      <w:r w:rsidRPr="00A06A59">
        <w:rPr>
          <w:rFonts w:ascii="Garamond" w:hAnsi="Garamond" w:cs="Arial"/>
          <w:color w:val="000000"/>
          <w:lang w:val="en-GB"/>
        </w:rPr>
        <w:t>Das Material an Assoziationen welches uns der Träumer zur Verfügung stellt, reicht für die Deutung nur selten aus. Man muß sich das bessere Verständnis solcher Träume aus einer größeren Reihe von Beispielen zusammentragen. Vor kurzem gewann ich den sicheren Eindruck, daß die Einrede: Du bist ja schon Doktor u. dgl., nicht nur den Trost verdeckt, sondern auch einen Vorwurf andeutet. Derselbe hätte gelautet: Du bist jetzt schon so alt, schon so weit im Leben und machst noch immer solche Dummheiten, Kindereien. Dies Gemenge von Selbstkritik und Trost würde dem latenten Inhalt der Prüfungsträume entsprechen. Es ist dann nicht weiter auffällig, wenn die Vorwürfe wegen der »Dummheiten« und »Kindereien« sich in den zuletzt analysierten Beispielen auf die Wiederholung beanständeter sexueller Akte bezogen.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 </w:t>
      </w:r>
      <w:r w:rsidRPr="00A06A59">
        <w:rPr>
          <w:rFonts w:ascii="Garamond" w:hAnsi="Garamond" w:cs="Arial"/>
          <w:i/>
          <w:iCs/>
          <w:color w:val="000000"/>
          <w:lang w:val="en-GB"/>
        </w:rPr>
        <w:t>Stekel</w:t>
      </w:r>
      <w:r w:rsidRPr="00A06A59">
        <w:rPr>
          <w:rFonts w:ascii="Garamond" w:hAnsi="Garamond" w:cs="Arial"/>
          <w:color w:val="000000"/>
          <w:lang w:val="en-GB"/>
        </w:rPr>
        <w:t>, von dem die erste Deutung des »Maturatraumes« herrührt, vertritt die Meinung, daß er sich regelmäßig auf sexuelle Erprobung und sexuelle Reife beziehe. Meine Erfahrung hat dies oft bestätigen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br w:type="page"/>
      </w:r>
    </w:p>
    <w:p w:rsidR="00A06A59" w:rsidRPr="00A06A59" w:rsidRDefault="00B437A1" w:rsidP="00A06A59">
      <w:pPr>
        <w:shd w:val="clear" w:color="auto" w:fill="FFFFFF"/>
        <w:tabs>
          <w:tab w:val="left" w:pos="7513"/>
          <w:tab w:val="left" w:pos="9639"/>
        </w:tabs>
        <w:spacing w:before="221" w:after="44" w:line="306" w:lineRule="atLeast"/>
        <w:ind w:left="-426" w:right="-567"/>
        <w:outlineLvl w:val="3"/>
        <w:rPr>
          <w:rFonts w:ascii="Garamond" w:hAnsi="Garamond" w:cs="Arial"/>
          <w:b/>
          <w:bCs/>
          <w:color w:val="000000"/>
          <w:lang w:val="en-GB"/>
        </w:rPr>
      </w:pPr>
      <w:hyperlink w:anchor="inhalt" w:history="1">
        <w:r w:rsidR="00A06A59" w:rsidRPr="00A06A59">
          <w:rPr>
            <w:rStyle w:val="Lienhypertexte"/>
            <w:rFonts w:ascii="Garamond" w:hAnsi="Garamond" w:cs="Arial"/>
            <w:b/>
            <w:bCs/>
            <w:lang w:val="en-GB"/>
          </w:rPr>
          <w:t>VI. Di</w:t>
        </w:r>
        <w:bookmarkStart w:id="70" w:name="VI"/>
        <w:bookmarkEnd w:id="70"/>
        <w:r w:rsidR="00A06A59" w:rsidRPr="00A06A59">
          <w:rPr>
            <w:rStyle w:val="Lienhypertexte"/>
            <w:rFonts w:ascii="Garamond" w:hAnsi="Garamond" w:cs="Arial"/>
            <w:b/>
            <w:bCs/>
            <w:lang w:val="en-GB"/>
          </w:rPr>
          <w:t>e Traumarbeit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Alle anderen bisherigen Versuche, die Traumprobleme zu erledigen, knüpften direkt an den in der Erinnerung gegebenen </w:t>
      </w:r>
      <w:r w:rsidRPr="00A06A59">
        <w:rPr>
          <w:rFonts w:ascii="Garamond" w:hAnsi="Garamond" w:cs="Arial"/>
          <w:i/>
          <w:iCs/>
          <w:color w:val="000000"/>
          <w:lang w:val="en-GB"/>
        </w:rPr>
        <w:t>manifesten</w:t>
      </w:r>
      <w:r w:rsidRPr="00A06A59">
        <w:rPr>
          <w:rFonts w:ascii="Garamond" w:hAnsi="Garamond" w:cs="Arial"/>
          <w:color w:val="000000"/>
          <w:lang w:val="en-GB"/>
        </w:rPr>
        <w:t xml:space="preserve"> Trauminhalt an und bemühten sich, aus diesem die Traumdeutung zu gewinnen oder, wenn sie auf eine Deutung verzichteten, ihr Urteil über den Traum durch den Hinweis auf den Trauminhalt zu begründen. Nur wir allein stehen einem anderen Sachverhalt gegenüber; für uns schiebt sich zwischen den Trauminhalt und die Resultate unserer Betrachtung ein neues psychisches Material ein: der durch unser Verfahren gewonnene </w:t>
      </w:r>
      <w:r w:rsidRPr="00A06A59">
        <w:rPr>
          <w:rFonts w:ascii="Garamond" w:hAnsi="Garamond" w:cs="Arial"/>
          <w:i/>
          <w:iCs/>
          <w:color w:val="000000"/>
          <w:lang w:val="en-GB"/>
        </w:rPr>
        <w:t>latente</w:t>
      </w:r>
      <w:r w:rsidRPr="00A06A59">
        <w:rPr>
          <w:rFonts w:ascii="Garamond" w:hAnsi="Garamond" w:cs="Arial"/>
          <w:color w:val="000000"/>
          <w:lang w:val="en-GB"/>
        </w:rPr>
        <w:t xml:space="preserve"> Trauminhalt oder die Traumgedanken. Aus diesem letzteren, nicht aus dem manifesten Trauminhalt entwickelten wir die Lösung des Traumes. An uns tritt darum auch als neu eine Aufgabe heran, die es vordem nicht gegeben hat, die Aufgabe, die Beziehungen des manifesten Trauminhalts zu den latenten Traumgedanken zu untersuchen und nachzuspüren, durch welche Vorgänge aus den letzteren der erstere geworden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Traumgedanken und Trauminhalt liegen vor uns wie zwei Darstellungen desselben Inhaltes in zwei verschiedenen Sprachen, oder besser gesagt, der Trauminhalt erscheint uns als eine Übertragung der Traumgedanken in eine andere Ausdrucksweise, deren Zeichen und Fügungsgesetze wir durch die Vergleichung von Original und Übersetzung kennenlernen sollen. Die Traumgedanken sind uns ohne weiteres verständlich, sobald wir sie erfahren haben. Der Trauminhalt ist gleichsam in einer Bilderschrift gegeben, deren Zeichen einzeln in die Sprache der Traumgedanken zu übertragen sind. Man würde offenbar in die Irre geführt, wenn man diese Zeichen nach ihrem Bilderwert anstatt nach ihrer Zeichenbeziehung lesen wollte. Ich habe etwa ein Bilderrätsel (Rebus) vor mir: ein Haus, auf dessen Dach ein Boot zu sehen ist, dann ein einzelner Buchstabe, dann eine laufende Figur, deren Kopf wegapostrophiert ist, u. dgl. Ich könnte nun in die Kritik verfallen, diese Zusammenstellung und deren Bestandteile für unsinnig zu erklären. Ein Boot gehört nicht auf das Dach eines Hauses, und eine Person ohne Kopf kann nicht laufen; auch ist die Person größer als das Haus, und wenn das Ganze eine Landschaft darstellen soll, so fügen sich die einzelnen Buchstaben nicht ein, die ja in freier Natur nicht vorkommen. Die richtige Beurteilung des Rebus ergibt sich offenbar erst dann, wenn ich gegen das Ganze und die Einzelheiten desselben keine solchen Einsprüche erhebe, sondern mich bemühe, jedes Bild durch eine Silbe oder ein Wort zu ersetzen, das nach irgendwelcher Beziehung durch das Bild darstellbar ist. Die Worte, die sich so zusammenfinden, sind nicht mehr sinnlos, sondern können den schönsten und sinnreichsten Dichterspruch ergeben. Ein solches Bilderrätsel ist nun der Traum, und unsere Vorgänger auf dem Gebiete der Traumdeutung haben den Fehler begangen, den Rebus als zeichnerische Komposition zu beurteilen. Als solche erschien er ihnen unsinnig und wertlos.</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A. Di</w:t>
        </w:r>
        <w:bookmarkStart w:id="71" w:name="VIA"/>
        <w:bookmarkEnd w:id="71"/>
        <w:r w:rsidRPr="00A06A59">
          <w:rPr>
            <w:rStyle w:val="Lienhypertexte"/>
            <w:rFonts w:ascii="Garamond" w:hAnsi="Garamond" w:cs="Arial"/>
            <w:b/>
            <w:bCs/>
            <w:lang w:val="en-GB"/>
          </w:rPr>
          <w:t>e Verdichtungsarbeit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Das erste, was dem Untersucher bei der Vergleichung von Trauminhalt und Traumgedanken klar wird, ist, daß hier eine großartige </w:t>
      </w:r>
      <w:r w:rsidRPr="00A06A59">
        <w:rPr>
          <w:rFonts w:ascii="Garamond" w:hAnsi="Garamond" w:cs="Arial"/>
          <w:i/>
          <w:iCs/>
          <w:color w:val="000000"/>
          <w:lang w:val="en-GB"/>
        </w:rPr>
        <w:t>Verdichtungsarbeit</w:t>
      </w:r>
      <w:r w:rsidRPr="00A06A59">
        <w:rPr>
          <w:rFonts w:ascii="Garamond" w:hAnsi="Garamond" w:cs="Arial"/>
          <w:color w:val="000000"/>
          <w:lang w:val="en-GB"/>
        </w:rPr>
        <w:t xml:space="preserve"> geleistet wurde. Der Traum ist knapp, armselig, lakonisch im Vergleich zu dem Umfang und zur Reichhaltigkeit der Traumgedanken. Der Traum füllt niedergeschrieben eine halbe Seite; die Analyse, in der die Traumgedanken enthalten sind, bedarf das sechs-, acht-, zwölffache an Schriftraum. Die Relation ist für verschiedene Träume wechselnd; sie ändert, soweit ich es kontrollieren konnte, niemals ihren Sinn. In der Regel unterschätzt man das Maß der statthabenden Kompression, indem man die ans Licht gebrachten Traumgedanken für das vollständige Material hält, während weitere Deutungsarbeit neue hinter dem Traum versteckte Gedanken enthüllen kann. Wir haben bereits anführen müssen, daß man eigentlich niemals sicher ist, einen Traum vollständig gedeutet zu haben; selbst wenn die Auflösung befriedigend und lückenlos erscheint, bleibt es doch immer möglich, daß sich noch ein anderer Sinn durch denselben Traum kundgibt. Die </w:t>
      </w:r>
      <w:r w:rsidRPr="00A06A59">
        <w:rPr>
          <w:rFonts w:ascii="Garamond" w:hAnsi="Garamond" w:cs="Arial"/>
          <w:i/>
          <w:iCs/>
          <w:color w:val="000000"/>
          <w:lang w:val="en-GB"/>
        </w:rPr>
        <w:t>Verdichtungsquote</w:t>
      </w:r>
      <w:r w:rsidRPr="00A06A59">
        <w:rPr>
          <w:rFonts w:ascii="Garamond" w:hAnsi="Garamond" w:cs="Arial"/>
          <w:color w:val="000000"/>
          <w:lang w:val="en-GB"/>
        </w:rPr>
        <w:t xml:space="preserve"> ist also – strenggenommen – unbestimmbar. Man könnte gegen die Behauptung, daß aus dem Mißverhältnis zwischen Trauminhalt und Traumgedanken der Schluß zu ziehen sei, es finde eine ausgiebige Verdichtung des psychischen Materials bei der Traumbildung statt, einen Einwand geltend machen, der für den ersten Eindruck recht bestechend scheint. Wir haben ja so oft die Empfindung, daß wir sehr viel die ganze Nacht hindurch geträumt und dann das meiste wieder vergessen haben. Der Traum, den wir beim Erwachen erinnern, wäre dann bloß ein Rest der gesamten Traumarbeit, welche wohl den Traumgedanken an Umfang gleichkäme, wenn wir sie eben vollständig erinnern könnten. Daran ist ein Stück sicherlich richtig; man kann sich nicht mit der Beobachtung täuschen, daß ein Traum am getreuesten reproduziert wird, wenn man ihn bald nach dem Erwachen zu erinnern versucht, und daß seine Erinnerung gegen den Abend hin immer mehr und mehr lückenhaft wird. Zum andern Teil aber läßt sich erkennen, daß die Empfindung, man habe sehr viel mehr geträumt, als man reproduzieren kann, sehr häufig auf einer Illusion beruht, deren Entstehung späterhin erläutert werden soll. Die Annahme einer Verdichtung in der Traumarbeit wird überdies von der Möglichkeit des Traumvergessens nicht berührt, denn sie wird durch die Vorstellungsmassen erwiesen, die zu den einzelnen erhalten gebliebenen Stücken des Traumes gehören. Ist tatsächlich ein großes Stück des Traumes für die Erinnerung verlorengegangen, so bleibt uns hiedurch etwa der Zugang zu einer neuen Reihe von Traumgedanken versperrt. Es ist eine durch nichts zu rechtfertigende Erwartung, daß die untergegangenen Traumstücke sich gleichfalls nur auf jene Gedanken bezogen hätten, die wir bereits aus der Analyse der erhalten gebliebenen kennen </w:t>
      </w:r>
      <w:hyperlink r:id="rId12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Hinweise auf die Verdichtung im Traum finden sich bei zahlreichen Autoren. </w:t>
        </w:r>
        <w:r w:rsidRPr="00A06A59">
          <w:rPr>
            <w:rStyle w:val="innerfusslink3"/>
            <w:rFonts w:ascii="Garamond" w:hAnsi="Garamond" w:cs="Arial"/>
            <w:b/>
            <w:bCs/>
            <w:i/>
            <w:iCs/>
          </w:rPr>
          <w:t>Du Prel</w:t>
        </w:r>
        <w:r w:rsidRPr="00A06A59">
          <w:rPr>
            <w:rStyle w:val="innerfusslink3"/>
            <w:rFonts w:ascii="Garamond" w:hAnsi="Garamond" w:cs="Arial"/>
            <w:b/>
            <w:bCs/>
          </w:rPr>
          <w:t xml:space="preserve"> äußert an einer Stelle (p. 85), es sei absolut sicher, daß ein Verdichtungsprozeß der Vorstellungsreihe stattgefunden habe.</w:t>
        </w:r>
      </w:hyperlink>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Angesichts der überreichen Menge von Einfällen, welche die Analyse zu jedem einzelnen Element des Trauminhaltes beibringt, wird sich bei manchem Leser der prinzipielle Zweifel regen, ob man denn all das, was einem bei der Analyse nachträglich einfällt, zu den Traumgedanken rechnen darf, d. h. annehmen darf, all diese Gedanken seien schon während des Schlafzustandes tätig gewesen und hätten an der Traumbildung mitgewirkt? Ob nicht vielmehr während des Analysierens neue Gedankenverbindungen entstehen, die an der Traumbildung unbeteiligt waren? Ich kann diesem Zweifel nur bedingt beitreten. Daß einzelne Gedankenverbindungen erst während der Analyse entstehen, ist allerdings richtig; aber man kann sich jedesmal überzeugen, daß solche neue Verbindungen sich nur zwischen Gedanken herstellen, die schon in den Traumgedanken in anderer Weise verbunden sind; die neuen Verbindungen sind gleichsam Nebenschließungen, Kurzschlüsse, ermöglicht durch den Bestand anderer und tiefer liegender Verbindungswege. Für die Überzahl der bei der Analyse aufgedeckten Gedankenmassen muß man zugestehen, daß sie schon bei der Traumbildung tätig gewesen sind, denn wenn man sich durch eine Kette solcher Gedanken, die außer Zusammenhang mit der Traumbildung scheinen, durchgearbeitet hat, stößt man dann plötzlich auf einen Gedanken, der, im Trauminhalt vertreten, für die Traumdeutung unentbehrlich ist und doch nicht anders als durch jene Gedankenkette zugänglich war. Man vergleiche hiezu etwa den Traum von der botanischen Monographie, der als das Ergebnis einer erstaunlichen Verdichtungsleistung erscheint, wenngleich ich seine Analyse nicht vollständig mitgeteilt habe.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Wie soll man sich aber dann den psychischen Zustand während des Schlafens, der dem Träumen vorangeht, vorstellen? Bestehen alle die Traumgedanken nebeneinander, oder werden sie nacheinander durchlaufen, oder werden mehrere gleichzeitige Gedankengänge von verschiedenen Zentren aus gebildet, die dann zusammentreffen? Ich meine, es liegt noch keine Nötigung vor, sich von dem psychischen Zustand bei der Traumbildung eine plastische Vorstellung zu schaffen. Vergessen wir nur nicht, daß es sich um </w:t>
      </w:r>
      <w:r w:rsidRPr="00A06A59">
        <w:rPr>
          <w:rFonts w:ascii="Garamond" w:hAnsi="Garamond" w:cs="Arial"/>
          <w:i/>
          <w:iCs/>
          <w:color w:val="000000"/>
        </w:rPr>
        <w:t>unbewußtes</w:t>
      </w:r>
      <w:r w:rsidRPr="00A06A59">
        <w:rPr>
          <w:rFonts w:ascii="Garamond" w:hAnsi="Garamond" w:cs="Arial"/>
          <w:color w:val="000000"/>
        </w:rPr>
        <w:t xml:space="preserve"> Denken handelt und daß der Vorgang leicht ein anderer sein kann als der, welchen wir beim absichtlichen, von Bewußtsein begleiteten Nachdenken in uns wahrnehmen.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Die Tatsache aber, daß die Traumbildung auf einer Verdichtung beruht, steht unerschütterlich fest. Wie kommt diese Verdichtung nun zustande?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man erwägt, daß von den aufgefundenen Traumgedanken nur die wenigsten durch eines ihrer Vorstellungselemente im Traum vertreten sind, so sollte man schließen, die Verdichtung geschehe auf dem Wege der </w:t>
      </w:r>
      <w:r w:rsidRPr="00A06A59">
        <w:rPr>
          <w:rFonts w:ascii="Garamond" w:hAnsi="Garamond" w:cs="Arial"/>
          <w:i/>
          <w:iCs/>
          <w:color w:val="000000"/>
          <w:lang w:val="en-GB"/>
        </w:rPr>
        <w:t>Auslassung</w:t>
      </w:r>
      <w:r w:rsidRPr="00A06A59">
        <w:rPr>
          <w:rFonts w:ascii="Garamond" w:hAnsi="Garamond" w:cs="Arial"/>
          <w:color w:val="000000"/>
          <w:lang w:val="en-GB"/>
        </w:rPr>
        <w:t>, indem der Traum nicht eine getreuliche Übersetzung oder eine Projektion Punkt für Punkt der Traumgedanken, sondern eine höchst unvollständige und lückenhafte Wiedergabe derselben sei. Diese Einsicht ist, wie wir bald finden werden, eine sehr mangelhafte. Doch fußen wir zunächst auf ihr und fragen uns weiter: Wenn nur wenige Elemente aus den Traumgedanken in den Trauminhalt gelangen, welche Bedingungen bestimmen die Auswahl derselben?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Um hierüber Aufschluß zu bekommen, wendet man nun seine Aufmerksamkeit den Elementen des Trauminhalts zu, welche die gesuchten Bedingungen ja erfüllt haben müssen. Ein Traum, zu dessen Bildung eine besonders starke Verdichtung beigetragen, wird für diese Untersuchung das günstigste Material sein. Ich wähle</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den auf S. 117 mitgeteilten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Traum von der botanischen Monographie.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trauminhalt: </w:t>
      </w:r>
      <w:r w:rsidRPr="00A06A59">
        <w:rPr>
          <w:rFonts w:ascii="Garamond" w:hAnsi="Garamond" w:cs="Arial"/>
          <w:i/>
          <w:iCs/>
          <w:color w:val="000000"/>
          <w:lang w:val="en-GB"/>
        </w:rPr>
        <w:t>Ich habe eine Monographie über eine (unbestimmt gelassene) Pflanzenart geschrieben. Das Buch liegt vor mir, ich blättere eben eine eingeschlagene farbige Tafel um. Dem Exemplar ist ein getrocknetes Spezimen der Pflanze beigebunden.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augenfälligste Element dieses Traums ist die </w:t>
      </w:r>
      <w:r w:rsidRPr="00A06A59">
        <w:rPr>
          <w:rFonts w:ascii="Garamond" w:hAnsi="Garamond" w:cs="Arial"/>
          <w:i/>
          <w:iCs/>
          <w:color w:val="000000"/>
          <w:lang w:val="en-GB"/>
        </w:rPr>
        <w:t>botanische Monographie</w:t>
      </w:r>
      <w:r w:rsidRPr="00A06A59">
        <w:rPr>
          <w:rFonts w:ascii="Garamond" w:hAnsi="Garamond" w:cs="Arial"/>
          <w:color w:val="000000"/>
          <w:lang w:val="en-GB"/>
        </w:rPr>
        <w:t xml:space="preserve">. Diese stammt aus den Eindrücken des Traumtages; in einem Schaufenster einer Buchhandlung hatte ich tatsächlich eine </w:t>
      </w:r>
      <w:r w:rsidRPr="00A06A59">
        <w:rPr>
          <w:rFonts w:ascii="Garamond" w:hAnsi="Garamond" w:cs="Arial"/>
          <w:i/>
          <w:iCs/>
          <w:color w:val="000000"/>
          <w:lang w:val="en-GB"/>
        </w:rPr>
        <w:t>Monographie über die Gattung »Zyklamen«</w:t>
      </w:r>
      <w:r w:rsidRPr="00A06A59">
        <w:rPr>
          <w:rFonts w:ascii="Garamond" w:hAnsi="Garamond" w:cs="Arial"/>
          <w:color w:val="000000"/>
          <w:lang w:val="en-GB"/>
        </w:rPr>
        <w:t xml:space="preserve"> gesehen. Die Erwähnung dieser Gattung fehlt im Trauminhalt, in dem nur die Monographie und ihre Beziehung zur Botanik übriggeblieben sind. Die »botanische Monographie« erweist sofort ihre Beziehung zu der </w:t>
      </w:r>
      <w:r w:rsidRPr="00A06A59">
        <w:rPr>
          <w:rFonts w:ascii="Garamond" w:hAnsi="Garamond" w:cs="Arial"/>
          <w:i/>
          <w:iCs/>
          <w:color w:val="000000"/>
          <w:lang w:val="en-GB"/>
        </w:rPr>
        <w:t>Arbeit über Kokain</w:t>
      </w:r>
      <w:r w:rsidRPr="00A06A59">
        <w:rPr>
          <w:rFonts w:ascii="Garamond" w:hAnsi="Garamond" w:cs="Arial"/>
          <w:color w:val="000000"/>
          <w:lang w:val="en-GB"/>
        </w:rPr>
        <w:t xml:space="preserve">, die ich einmal geschrieben habe; vom Kokain aus geht die Gedankenverbindung einerseits zur Festschrift und zu gewissen Vorgängen in einem Universitätslaboratorium, anderseits zu meinem Freund, dem Augenarzt Dr. </w:t>
      </w:r>
      <w:r w:rsidRPr="00A06A59">
        <w:rPr>
          <w:rFonts w:ascii="Garamond" w:hAnsi="Garamond" w:cs="Arial"/>
          <w:i/>
          <w:iCs/>
          <w:color w:val="000000"/>
          <w:lang w:val="en-GB"/>
        </w:rPr>
        <w:t>Königstein</w:t>
      </w:r>
      <w:r w:rsidRPr="00A06A59">
        <w:rPr>
          <w:rFonts w:ascii="Garamond" w:hAnsi="Garamond" w:cs="Arial"/>
          <w:color w:val="000000"/>
          <w:lang w:val="en-GB"/>
        </w:rPr>
        <w:t xml:space="preserve">, der an der Verwertung des Kokains seinen Anteil gehabt hat. An die Person des Dr. K. knüpft sich weiter die Erinnerung an das unterbrochene Gespräch, das ich abends zuvor mit ihm geführt, und die vielfältigen Gedanken über die Entlohnung ärztlicher Leistungen unter Kollegen. Dieses Gespräch ist nun der eigentliche aktuelle Traumerreger; die Monographie über Zyklamen ist gleichfalls eine Aktualität, aber indifferenter Natur; wie ich sehe, erweist sich die »botanische Monographie« des Traumes als ein </w:t>
      </w:r>
      <w:r w:rsidRPr="00A06A59">
        <w:rPr>
          <w:rFonts w:ascii="Garamond" w:hAnsi="Garamond" w:cs="Arial"/>
          <w:i/>
          <w:iCs/>
          <w:color w:val="000000"/>
          <w:lang w:val="en-GB"/>
        </w:rPr>
        <w:t>mittleres Gemeinsames</w:t>
      </w:r>
      <w:r w:rsidRPr="00A06A59">
        <w:rPr>
          <w:rFonts w:ascii="Garamond" w:hAnsi="Garamond" w:cs="Arial"/>
          <w:color w:val="000000"/>
          <w:lang w:val="en-GB"/>
        </w:rPr>
        <w:t xml:space="preserve"> zwischen beiden Erlebnissen des Tages, von dem indifferenten Eindruck unverändert übernommen, mit dem psychisch bedeutsamen Erlebnis durch ausgiebigste Assoziationsverbindungen verknüpft.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Aber nicht nur die zusammengesetzte Vorstellung »botanische Monographie«, sondern auch jedes ihrer Elemente »botanisch« und »Monographie« gesondert geht durch mehrfache Verbindungen tiefer und tiefer in das Gewirre der Traumgedanken ein. Zu »botanisch« gehören die Erinnerungen an die Person des Professors </w:t>
      </w:r>
      <w:r w:rsidRPr="00A06A59">
        <w:rPr>
          <w:rFonts w:ascii="Garamond" w:hAnsi="Garamond" w:cs="Arial"/>
          <w:i/>
          <w:iCs/>
          <w:color w:val="000000"/>
          <w:lang w:val="en-GB"/>
        </w:rPr>
        <w:t>Gärtner</w:t>
      </w:r>
      <w:r w:rsidRPr="00A06A59">
        <w:rPr>
          <w:rFonts w:ascii="Garamond" w:hAnsi="Garamond" w:cs="Arial"/>
          <w:color w:val="000000"/>
          <w:lang w:val="en-GB"/>
        </w:rPr>
        <w:t xml:space="preserve">, an seine </w:t>
      </w:r>
      <w:r w:rsidRPr="00A06A59">
        <w:rPr>
          <w:rFonts w:ascii="Garamond" w:hAnsi="Garamond" w:cs="Arial"/>
          <w:i/>
          <w:iCs/>
          <w:color w:val="000000"/>
          <w:lang w:val="en-GB"/>
        </w:rPr>
        <w:t>blühende</w:t>
      </w:r>
      <w:r w:rsidRPr="00A06A59">
        <w:rPr>
          <w:rFonts w:ascii="Garamond" w:hAnsi="Garamond" w:cs="Arial"/>
          <w:color w:val="000000"/>
          <w:lang w:val="en-GB"/>
        </w:rPr>
        <w:t xml:space="preserve"> Frau, an meine Patientin, die </w:t>
      </w:r>
      <w:r w:rsidRPr="00A06A59">
        <w:rPr>
          <w:rFonts w:ascii="Garamond" w:hAnsi="Garamond" w:cs="Arial"/>
          <w:i/>
          <w:iCs/>
          <w:color w:val="000000"/>
          <w:lang w:val="en-GB"/>
        </w:rPr>
        <w:t>Flora</w:t>
      </w:r>
      <w:r w:rsidRPr="00A06A59">
        <w:rPr>
          <w:rFonts w:ascii="Garamond" w:hAnsi="Garamond" w:cs="Arial"/>
          <w:color w:val="000000"/>
          <w:lang w:val="en-GB"/>
        </w:rPr>
        <w:t xml:space="preserve"> heißt, und an die Dame, von der ich die Geschichte mit den vergessenen </w:t>
      </w:r>
      <w:r w:rsidRPr="00A06A59">
        <w:rPr>
          <w:rFonts w:ascii="Garamond" w:hAnsi="Garamond" w:cs="Arial"/>
          <w:i/>
          <w:iCs/>
          <w:color w:val="000000"/>
          <w:lang w:val="en-GB"/>
        </w:rPr>
        <w:t>Blumen</w:t>
      </w:r>
      <w:r w:rsidRPr="00A06A59">
        <w:rPr>
          <w:rFonts w:ascii="Garamond" w:hAnsi="Garamond" w:cs="Arial"/>
          <w:color w:val="000000"/>
          <w:lang w:val="en-GB"/>
        </w:rPr>
        <w:t xml:space="preserve"> erzählt habe. Gärtner führt neuerdings auf das Laboratorium und auf das Gespräch mit Königstein; in dasselbe Gespräch gehört die Erwähnung der beiden Patientinnen. Von der Frau mit den Blumen zweigt ein Gedankenweg zu den </w:t>
      </w:r>
      <w:r w:rsidRPr="00A06A59">
        <w:rPr>
          <w:rFonts w:ascii="Garamond" w:hAnsi="Garamond" w:cs="Arial"/>
          <w:i/>
          <w:iCs/>
          <w:color w:val="000000"/>
          <w:lang w:val="en-GB"/>
        </w:rPr>
        <w:t>Lieblingsblumen</w:t>
      </w:r>
      <w:r w:rsidRPr="00A06A59">
        <w:rPr>
          <w:rFonts w:ascii="Garamond" w:hAnsi="Garamond" w:cs="Arial"/>
          <w:color w:val="000000"/>
          <w:lang w:val="en-GB"/>
        </w:rPr>
        <w:t xml:space="preserve"> meiner Frau ab, dessen anderer Ausgang im Titel der bei Tag flüchtig gesehenen Monographie liegt. Außerdem erinnert » </w:t>
      </w:r>
      <w:r w:rsidRPr="00A06A59">
        <w:rPr>
          <w:rFonts w:ascii="Garamond" w:hAnsi="Garamond" w:cs="Arial"/>
          <w:i/>
          <w:iCs/>
          <w:color w:val="000000"/>
          <w:lang w:val="en-GB"/>
        </w:rPr>
        <w:t>botanisch</w:t>
      </w:r>
      <w:r w:rsidRPr="00A06A59">
        <w:rPr>
          <w:rFonts w:ascii="Garamond" w:hAnsi="Garamond" w:cs="Arial"/>
          <w:color w:val="000000"/>
          <w:lang w:val="en-GB"/>
        </w:rPr>
        <w:t xml:space="preserve">« an eine Gymnasialepisode und an ein Examen der Universitätszeit, und ein neues, in jenem Gespräch angeschlagenes Thema, das meiner </w:t>
      </w:r>
      <w:r w:rsidRPr="00A06A59">
        <w:rPr>
          <w:rFonts w:ascii="Garamond" w:hAnsi="Garamond" w:cs="Arial"/>
          <w:i/>
          <w:iCs/>
          <w:color w:val="000000"/>
          <w:lang w:val="en-GB"/>
        </w:rPr>
        <w:t>Liebhabereien</w:t>
      </w:r>
      <w:r w:rsidRPr="00A06A59">
        <w:rPr>
          <w:rFonts w:ascii="Garamond" w:hAnsi="Garamond" w:cs="Arial"/>
          <w:color w:val="000000"/>
          <w:lang w:val="en-GB"/>
        </w:rPr>
        <w:t xml:space="preserve">, knüpft sich durch Vermittlung meiner scherzhaft so genannten </w:t>
      </w:r>
      <w:r w:rsidRPr="00A06A59">
        <w:rPr>
          <w:rFonts w:ascii="Garamond" w:hAnsi="Garamond" w:cs="Arial"/>
          <w:i/>
          <w:iCs/>
          <w:color w:val="000000"/>
          <w:lang w:val="en-GB"/>
        </w:rPr>
        <w:t>Lieblingsblume</w:t>
      </w:r>
      <w:r w:rsidRPr="00A06A59">
        <w:rPr>
          <w:rFonts w:ascii="Garamond" w:hAnsi="Garamond" w:cs="Arial"/>
          <w:color w:val="000000"/>
          <w:lang w:val="en-GB"/>
        </w:rPr>
        <w:t xml:space="preserve">, der Artischocke, an die von den vergessenen Blumen ausgehende Gedankenkette an; hinter »Artischocke« steckt die Erinnerung an Italien einerseits und an eine Kinderszene anderseits, mit der ich meine seither intim gewordenen Beziehungen zu Büchern eröffnet habe. </w:t>
      </w:r>
      <w:r w:rsidRPr="00A06A59">
        <w:rPr>
          <w:rFonts w:ascii="Garamond" w:hAnsi="Garamond" w:cs="Arial"/>
          <w:i/>
          <w:iCs/>
          <w:color w:val="000000"/>
          <w:lang w:val="en-GB"/>
        </w:rPr>
        <w:t>»Botanisch«</w:t>
      </w:r>
      <w:r w:rsidRPr="00A06A59">
        <w:rPr>
          <w:rFonts w:ascii="Garamond" w:hAnsi="Garamond" w:cs="Arial"/>
          <w:color w:val="000000"/>
          <w:lang w:val="en-GB"/>
        </w:rPr>
        <w:t xml:space="preserve"> ist also ein wahrer Knotenpunkt, in welchem für den Traum zahlreiche Gedankengänge zusammentreffen, die, wie ich versichern kann, in jenem Gespräch mit Fug und Recht in Zusammenhang gebracht worden sind. Man befindet sich hier mitten in einer Gedankenfabrik, in der wie im Weber-Meisterstück</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»Ein Tritt tausend Fäden regt, </w:t>
      </w:r>
      <w:r w:rsidRPr="00A06A59">
        <w:rPr>
          <w:rFonts w:ascii="Garamond" w:hAnsi="Garamond" w:cs="Arial"/>
          <w:color w:val="000000"/>
          <w:sz w:val="22"/>
          <w:szCs w:val="22"/>
          <w:lang w:val="en-GB"/>
        </w:rPr>
        <w:br/>
        <w:t xml:space="preserve">Die Schifflein herüber, hinüber schießen, </w:t>
      </w:r>
      <w:r w:rsidRPr="00A06A59">
        <w:rPr>
          <w:rFonts w:ascii="Garamond" w:hAnsi="Garamond" w:cs="Arial"/>
          <w:color w:val="000000"/>
          <w:sz w:val="22"/>
          <w:szCs w:val="22"/>
          <w:lang w:val="en-GB"/>
        </w:rPr>
        <w:br/>
        <w:t xml:space="preserve">Die Fäden ungesehen fließen, </w:t>
      </w:r>
      <w:r w:rsidRPr="00A06A59">
        <w:rPr>
          <w:rFonts w:ascii="Garamond" w:hAnsi="Garamond" w:cs="Arial"/>
          <w:color w:val="000000"/>
          <w:sz w:val="22"/>
          <w:szCs w:val="22"/>
          <w:lang w:val="en-GB"/>
        </w:rPr>
        <w:br/>
        <w:t>Ein Schlag tausend Verbindungen schlägt.«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 </w:t>
      </w:r>
      <w:r w:rsidRPr="00A06A59">
        <w:rPr>
          <w:rFonts w:ascii="Garamond" w:hAnsi="Garamond" w:cs="Arial"/>
          <w:i/>
          <w:iCs/>
          <w:color w:val="000000"/>
          <w:lang w:val="en-GB"/>
        </w:rPr>
        <w:t>Monographie</w:t>
      </w:r>
      <w:r w:rsidRPr="00A06A59">
        <w:rPr>
          <w:rFonts w:ascii="Garamond" w:hAnsi="Garamond" w:cs="Arial"/>
          <w:color w:val="000000"/>
          <w:lang w:val="en-GB"/>
        </w:rPr>
        <w:t>« im Traume rührt wiederum an zwei Themata, an die Einseitigkeit meiner Studien und an die Kostspieligkeit meiner Liebhabereien.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Aus dieser ersten Untersuchung holt man sich den Eindruck, daß die Elemente »botanisch« und »Monographie« darum in den Trauminhalt Aufnahme gefunden haben, weil sie mit den meisten Traumgedanken die ausgiebigsten Berührungen aufweisen können, also </w:t>
      </w:r>
      <w:r w:rsidRPr="00A06A59">
        <w:rPr>
          <w:rFonts w:ascii="Garamond" w:hAnsi="Garamond" w:cs="Arial"/>
          <w:i/>
          <w:iCs/>
          <w:color w:val="000000"/>
          <w:lang w:val="en-GB"/>
        </w:rPr>
        <w:t>Knotenpunkte</w:t>
      </w:r>
      <w:r w:rsidRPr="00A06A59">
        <w:rPr>
          <w:rFonts w:ascii="Garamond" w:hAnsi="Garamond" w:cs="Arial"/>
          <w:color w:val="000000"/>
          <w:lang w:val="en-GB"/>
        </w:rPr>
        <w:t xml:space="preserve"> darstellen, in denen sehr viele der Traumgedanken zusammentreffen, weil sie mit Bezug auf die Traumdeutung </w:t>
      </w:r>
      <w:r w:rsidRPr="00A06A59">
        <w:rPr>
          <w:rFonts w:ascii="Garamond" w:hAnsi="Garamond" w:cs="Arial"/>
          <w:i/>
          <w:iCs/>
          <w:color w:val="000000"/>
          <w:lang w:val="en-GB"/>
        </w:rPr>
        <w:t>vieldeutig</w:t>
      </w:r>
      <w:r w:rsidRPr="00A06A59">
        <w:rPr>
          <w:rFonts w:ascii="Garamond" w:hAnsi="Garamond" w:cs="Arial"/>
          <w:color w:val="000000"/>
          <w:lang w:val="en-GB"/>
        </w:rPr>
        <w:t xml:space="preserve"> sind. Man kann die dieser Erklärung zugrunde liegende Tatsache auch anders aussprechen und dann sagen: Jedes der Elemente des Trauminhaltes erweist sich als </w:t>
      </w:r>
      <w:r w:rsidRPr="00A06A59">
        <w:rPr>
          <w:rFonts w:ascii="Garamond" w:hAnsi="Garamond" w:cs="Arial"/>
          <w:i/>
          <w:iCs/>
          <w:color w:val="000000"/>
          <w:lang w:val="en-GB"/>
        </w:rPr>
        <w:t>überdeterminiert</w:t>
      </w:r>
      <w:r w:rsidRPr="00A06A59">
        <w:rPr>
          <w:rFonts w:ascii="Garamond" w:hAnsi="Garamond" w:cs="Arial"/>
          <w:color w:val="000000"/>
          <w:lang w:val="en-GB"/>
        </w:rPr>
        <w:t xml:space="preserve">, als mehrfach in den Traumgedanken vertreten. Wir erfahren mehr, wenn wir die übrigen Bestandteile des Traumes auf ihr Vorkommen in den Traumgedanken prüfen. Die </w:t>
      </w:r>
      <w:r w:rsidRPr="00A06A59">
        <w:rPr>
          <w:rFonts w:ascii="Garamond" w:hAnsi="Garamond" w:cs="Arial"/>
          <w:i/>
          <w:iCs/>
          <w:color w:val="000000"/>
          <w:lang w:val="en-GB"/>
        </w:rPr>
        <w:t>farbige Tafel</w:t>
      </w:r>
      <w:r w:rsidRPr="00A06A59">
        <w:rPr>
          <w:rFonts w:ascii="Garamond" w:hAnsi="Garamond" w:cs="Arial"/>
          <w:color w:val="000000"/>
          <w:lang w:val="en-GB"/>
        </w:rPr>
        <w:t xml:space="preserve">, die ich aufschlage, geht (vgl. die Analyse S. 119) auf ein neues Thema, die Kritik der Kollegen an meinen Arbeiten, und auf ein bereits im Traum vertretenes, meine Liebhabereien, außerdem auf die Kindererinnerung, in der ich ein Buch mit farbigen Tafeln zerpflücke, das </w:t>
      </w:r>
      <w:r w:rsidRPr="00A06A59">
        <w:rPr>
          <w:rFonts w:ascii="Garamond" w:hAnsi="Garamond" w:cs="Arial"/>
          <w:i/>
          <w:iCs/>
          <w:color w:val="000000"/>
          <w:lang w:val="en-GB"/>
        </w:rPr>
        <w:t>getrocknete Exemplar der Pflanze</w:t>
      </w:r>
      <w:r w:rsidRPr="00A06A59">
        <w:rPr>
          <w:rFonts w:ascii="Garamond" w:hAnsi="Garamond" w:cs="Arial"/>
          <w:color w:val="000000"/>
          <w:lang w:val="en-GB"/>
        </w:rPr>
        <w:t xml:space="preserve"> rührt an das Gymnasialerlebnis vom Herbarium und hebt diese Erinnerung besonders hervor. Ich sehe also, welcher Art die Beziehung zwischen Trauminhalt und Traumgedanken ist: Nicht nur die Elemente des Traums sind durch die Traumgedanken </w:t>
      </w:r>
      <w:r w:rsidRPr="00A06A59">
        <w:rPr>
          <w:rFonts w:ascii="Garamond" w:hAnsi="Garamond" w:cs="Arial"/>
          <w:i/>
          <w:iCs/>
          <w:color w:val="000000"/>
          <w:lang w:val="en-GB"/>
        </w:rPr>
        <w:t>mehrfach</w:t>
      </w:r>
      <w:r w:rsidRPr="00A06A59">
        <w:rPr>
          <w:rFonts w:ascii="Garamond" w:hAnsi="Garamond" w:cs="Arial"/>
          <w:color w:val="000000"/>
          <w:lang w:val="en-GB"/>
        </w:rPr>
        <w:t xml:space="preserve"> determiniert, sondern die einzelnen Traumgedanken sind auch im Traum durch mehrere Elemente vertreten. Von einem Element des Traums führt der Assoziationsweg zu mehreren Traumgedanken, von einem Traumgedanken zu mehreren Traumelementen. Die Traumbildung erfolgt also nicht so, daß der einzelne Traumgedanke oder eine Gruppe von solchen eine Abkürzung für den Trauminhalt liefert und dann der nächste Traumgedanke eine nächste Abkürzung als Vertretung, etwa wie aus einer Bevölkerung Volksvertreter gewählt werden, sondern die ganze Masse der Traumgedanken unterliegt einer gewissen Bearbeitung, nach welcher die meist- und bestunterstützten Elemente sich für den Eintritt in den Trauminhalt herausheben, etwa der Wahl durch Listenskrutinium analog. Welchen Traum immer ich einer ähnlichen Zergliederung unterziehe, ich finde stets die nämlichen Grundsätze bestätigt, daß die Traumelemente aus der ganzen Masse der Traumgedanken gebildet werden und daß jedes von ihnen in bezug auf die Traumgedanken mehrfach determiniert erscheint.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Es ist gewiß nicht überflüssig, diese Relation von Trauminhalt und Traumgedanken an einem neuen Beispiel zu erweisen, welches sich durch besonders kunstvolle Verschlingung der wechselseitigen Beziehungen auszeichnet. Der Traum rührt von einem Patienten her, den ich wegen Angst in geschlossenen Räumen behandle. Es wird sich bald ergeben, weshalb ich mich veranlaßt finde, diese ausnehmend geistreiche Traumleistung in folgender Weise zu überschreiben: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schöner 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Er fährt mit großer Gesellschaft in die X-Straße, in der sich ein bescheidenes Einkehrwirtshaus befindet</w:t>
      </w:r>
      <w:r w:rsidRPr="00A06A59">
        <w:rPr>
          <w:rFonts w:ascii="Garamond" w:hAnsi="Garamond" w:cs="Arial"/>
          <w:color w:val="000000"/>
          <w:lang w:val="en-GB"/>
        </w:rPr>
        <w:t xml:space="preserve"> (was nicht richtig ist). </w:t>
      </w:r>
      <w:r w:rsidRPr="00A06A59">
        <w:rPr>
          <w:rFonts w:ascii="Garamond" w:hAnsi="Garamond" w:cs="Arial"/>
          <w:i/>
          <w:iCs/>
          <w:color w:val="000000"/>
          <w:lang w:val="en-GB"/>
        </w:rPr>
        <w:t>In den Räumen desselben wird Theater gespielt; er ist bald Publikum, bald Schauspieler. Am Ende heißt es, man müsse sich umziehen, um wieder in die Stadt zu kommen. Ein Teil des Personals wird in die Parterreräume verwiesen, ein anderer in die des ersten Stockes. Dann entsteht ein Streit. Die oben ärgern sich, daß die unten noch nicht fertig sind, so daß sie nicht herunter können. Sein Bruder ist oben, er unten, und er ärgert sich über den Bruder, daß man so gedrängt wird.</w:t>
      </w:r>
      <w:r w:rsidRPr="00A06A59">
        <w:rPr>
          <w:rFonts w:ascii="Garamond" w:hAnsi="Garamond" w:cs="Arial"/>
          <w:color w:val="000000"/>
          <w:lang w:val="en-GB"/>
        </w:rPr>
        <w:t xml:space="preserve"> (Diese Partie ist unklar.) </w:t>
      </w:r>
      <w:r w:rsidRPr="00A06A59">
        <w:rPr>
          <w:rFonts w:ascii="Garamond" w:hAnsi="Garamond" w:cs="Arial"/>
          <w:i/>
          <w:iCs/>
          <w:color w:val="000000"/>
          <w:lang w:val="en-GB"/>
        </w:rPr>
        <w:t>Es war übrigens schon beim Ankommen bestimmt und eingeteilt, wer oben und wer unten sein soll. Dann geht er allein über die Anhöhe, welche die X-Straße gegen die Stadt hin macht, und geht so schwer, so mühselig, daß er nicht von der Stelle kommt. Ein älterer Herr gesellt sich zu ihm und schimpft über den König von Italien. Am Ende der Anhöhe geht er dann viel leichter.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Beschwerden beim Steigen waren so deutlich, daß er nach dem Erwachen eine Weile zweifelte, ob es Traum oder Wirklichkeit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Dem manifesten Inhalt nach wird man diesen Traum kaum loben können. Die Deutung will ich regelwidrig mit jenem Stück beginnen, welches vom Träumer als das deutlichste bezeichnet wurde.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geträumte und wahrscheinlich im Traum verspürte Beschwerde, das mühselige Steigen unter Dyspnoe, ist eines der Symptome, die der Patient vor Jahren wirklich gezeigt hatte, und wurde damals im Verein mit anderen Erscheinungen auf eine (wahrscheinlich hysterisch vorgetäuschte) Tuberkulose bezogen. Wir kennen bereits diese dem Traum eigentümliche Sensation der Gehhemmung aus den Exhibitionsträumen und finden hier wieder, daß sie als ein allezeit bereitliegendes Material zu Zwecken irgendwelcher anderen Darstellung verwendet wird. Das Stück des Trauminhalts, welches beschreibt, wie das Steigen anfänglich schwer war und am Ende der Anhöhe leicht wurde, erinnerte mich bei der Erzählung des Traums an die bekannte meisterhafte Introduktion der »Sappho« von Alphonse </w:t>
      </w:r>
      <w:r w:rsidRPr="00A06A59">
        <w:rPr>
          <w:rFonts w:ascii="Garamond" w:hAnsi="Garamond" w:cs="Arial"/>
          <w:i/>
          <w:iCs/>
          <w:color w:val="000000"/>
          <w:lang w:val="en-GB"/>
        </w:rPr>
        <w:t>Daudet</w:t>
      </w:r>
      <w:r w:rsidRPr="00A06A59">
        <w:rPr>
          <w:rFonts w:ascii="Garamond" w:hAnsi="Garamond" w:cs="Arial"/>
          <w:color w:val="000000"/>
          <w:lang w:val="en-GB"/>
        </w:rPr>
        <w:t xml:space="preserve">. Dort trägt ein junger Mann die Geliebte die Treppen hinauf, anfänglich wie federleicht; aber je weiter er steigt, desto schwerer lastet sie auf seinen Armen, und diese Szene ist vorbildlich für den Verlauf des Verhältnisses, durch </w:t>
      </w:r>
      <w:r w:rsidRPr="00A06A59">
        <w:rPr>
          <w:rFonts w:ascii="Garamond" w:hAnsi="Garamond" w:cs="Arial"/>
          <w:color w:val="000000"/>
          <w:lang w:val="en-GB"/>
        </w:rPr>
        <w:lastRenderedPageBreak/>
        <w:t xml:space="preserve">dessen Schilderung </w:t>
      </w:r>
      <w:r w:rsidRPr="00A06A59">
        <w:rPr>
          <w:rFonts w:ascii="Garamond" w:hAnsi="Garamond" w:cs="Arial"/>
          <w:i/>
          <w:iCs/>
          <w:color w:val="000000"/>
          <w:lang w:val="en-GB"/>
        </w:rPr>
        <w:t>Daudet</w:t>
      </w:r>
      <w:r w:rsidRPr="00A06A59">
        <w:rPr>
          <w:rFonts w:ascii="Garamond" w:hAnsi="Garamond" w:cs="Arial"/>
          <w:color w:val="000000"/>
          <w:lang w:val="en-GB"/>
        </w:rPr>
        <w:t xml:space="preserve"> die Jugend mahnen will, eine ernstere Neigung nicht an Mädchen von niedriger Herkunft und zweifelhafter Vergangenheit zu verschwenden </w:t>
      </w:r>
      <w:hyperlink r:id="rId12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Man denke zur Würdigung dieser Darstellung des Dichters an die im Abschnitt über Symbolik mitgeteilte Bedeutung der Stiegenträume.</w:t>
        </w:r>
      </w:hyperlink>
      <w:r w:rsidRPr="00A06A59">
        <w:rPr>
          <w:rFonts w:ascii="Garamond" w:hAnsi="Garamond" w:cs="Arial"/>
          <w:color w:val="000000"/>
          <w:lang w:val="en-GB"/>
        </w:rPr>
        <w:t xml:space="preserve">. Obwohl ich wußte, daß mein Patient vor kurzem ein Liebesverhältnis mit einer Dame vom Theater unterhalten und gelöst hatte, erwartete ich doch nicht, meinen Deutungseinfall berechtigt zu finden. Auch war es ja in der Sappho </w:t>
      </w:r>
      <w:r w:rsidRPr="00A06A59">
        <w:rPr>
          <w:rFonts w:ascii="Garamond" w:hAnsi="Garamond" w:cs="Arial"/>
          <w:i/>
          <w:iCs/>
          <w:color w:val="000000"/>
          <w:lang w:val="en-GB"/>
        </w:rPr>
        <w:t>umgekehrt</w:t>
      </w:r>
      <w:r w:rsidRPr="00A06A59">
        <w:rPr>
          <w:rFonts w:ascii="Garamond" w:hAnsi="Garamond" w:cs="Arial"/>
          <w:color w:val="000000"/>
          <w:lang w:val="en-GB"/>
        </w:rPr>
        <w:t xml:space="preserve"> wie im Traum; in letzterem war das Steigen anfänglich schwer und späterhin leicht; im Roman diente es der Symbolik nur, wenn das, was zuerst leichtgenommen wurde, sich am Ende als eine schwere Last erwies. Zu meinem Erstaunen bemerkte der Patient, die Deutung stimme sehr wohl zum Inhalte des Stückes, das er am Abend vorher im Theater gesehen. Das Stück hieß »Rund um Wien« und behandelte den Lebenslauf eines Mädchens, das, zuerst anständig, dann zur Demimonde übergeht, Verhältnisse mit hochstehenden Personen anknüpft, dadurch » </w:t>
      </w:r>
      <w:r w:rsidRPr="00A06A59">
        <w:rPr>
          <w:rFonts w:ascii="Garamond" w:hAnsi="Garamond" w:cs="Arial"/>
          <w:i/>
          <w:iCs/>
          <w:color w:val="000000"/>
          <w:lang w:val="en-GB"/>
        </w:rPr>
        <w:t>in die Höhe kommt</w:t>
      </w:r>
      <w:r w:rsidRPr="00A06A59">
        <w:rPr>
          <w:rFonts w:ascii="Garamond" w:hAnsi="Garamond" w:cs="Arial"/>
          <w:color w:val="000000"/>
          <w:lang w:val="en-GB"/>
        </w:rPr>
        <w:t xml:space="preserve">«, endlich aber immer mehr » </w:t>
      </w:r>
      <w:r w:rsidRPr="00A06A59">
        <w:rPr>
          <w:rFonts w:ascii="Garamond" w:hAnsi="Garamond" w:cs="Arial"/>
          <w:i/>
          <w:iCs/>
          <w:color w:val="000000"/>
          <w:lang w:val="en-GB"/>
        </w:rPr>
        <w:t>herunterkommt</w:t>
      </w:r>
      <w:r w:rsidRPr="00A06A59">
        <w:rPr>
          <w:rFonts w:ascii="Garamond" w:hAnsi="Garamond" w:cs="Arial"/>
          <w:color w:val="000000"/>
          <w:lang w:val="en-GB"/>
        </w:rPr>
        <w:t xml:space="preserve">«. Das Stück hatte ihn auch an ein anderes vor Jahren gespieltes erinnert, welches den Titel trug »Von Stufe zu Stufe« und auf dessen Ankündigung eine aus mehreren Stufen bestehende </w:t>
      </w:r>
      <w:r w:rsidRPr="00A06A59">
        <w:rPr>
          <w:rFonts w:ascii="Garamond" w:hAnsi="Garamond" w:cs="Arial"/>
          <w:i/>
          <w:iCs/>
          <w:color w:val="000000"/>
          <w:lang w:val="en-GB"/>
        </w:rPr>
        <w:t>Stiege</w:t>
      </w:r>
      <w:r w:rsidRPr="00A06A59">
        <w:rPr>
          <w:rFonts w:ascii="Garamond" w:hAnsi="Garamond" w:cs="Arial"/>
          <w:color w:val="000000"/>
          <w:lang w:val="en-GB"/>
        </w:rPr>
        <w:t xml:space="preserve"> zu sehen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Nun die weitere Deutung. In der X-Straße hatte die Schauspielerin gewohnt, mit welcher er das letzte, beziehungsreiche Verhältnis unterhalten. Ein Wirtshaus gibt es in dieser Straße nicht. Allein, als er der Dame zuliebe einen Teil des Sommers in Wien verbrachte, war er in einem kleinen Hotel in der Nähe </w:t>
      </w:r>
      <w:r w:rsidRPr="00A06A59">
        <w:rPr>
          <w:rFonts w:ascii="Garamond" w:hAnsi="Garamond" w:cs="Arial"/>
          <w:i/>
          <w:iCs/>
          <w:color w:val="000000"/>
          <w:lang w:val="en-GB"/>
        </w:rPr>
        <w:t>abgestiegen</w:t>
      </w:r>
      <w:r w:rsidRPr="00A06A59">
        <w:rPr>
          <w:rFonts w:ascii="Garamond" w:hAnsi="Garamond" w:cs="Arial"/>
          <w:color w:val="000000"/>
          <w:lang w:val="en-GB"/>
        </w:rPr>
        <w:t xml:space="preserve">. Beim Verlassen des Hotels sagte er dem Kutscher: Ich bin froh, daß ich wenigstens kein Ungeziefer bekommen habe! </w:t>
      </w:r>
      <w:r w:rsidRPr="00A06A59">
        <w:rPr>
          <w:rFonts w:ascii="Garamond" w:hAnsi="Garamond" w:cs="Arial"/>
          <w:color w:val="000000"/>
        </w:rPr>
        <w:t xml:space="preserve">(Übrigens auch eine seiner Phobien.) Der Kutscher darauf: Wie kann man aber da absteigen! </w:t>
      </w:r>
      <w:r w:rsidRPr="00A06A59">
        <w:rPr>
          <w:rFonts w:ascii="Garamond" w:hAnsi="Garamond" w:cs="Arial"/>
          <w:color w:val="000000"/>
          <w:lang w:val="en-GB"/>
        </w:rPr>
        <w:t xml:space="preserve">Das ist ja gar kein Hotel, eigentlich nur ein </w:t>
      </w:r>
      <w:r w:rsidRPr="00A06A59">
        <w:rPr>
          <w:rFonts w:ascii="Garamond" w:hAnsi="Garamond" w:cs="Arial"/>
          <w:i/>
          <w:iCs/>
          <w:color w:val="000000"/>
          <w:lang w:val="en-GB"/>
        </w:rPr>
        <w:t>Einkehrwirtshaus.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 das Einkehrwirtshaus knüpft sich ihm sofort die Erinnerung eines Zitates:</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»Bei einem Wirte wundermild, </w:t>
      </w:r>
      <w:r w:rsidRPr="00A06A59">
        <w:rPr>
          <w:rFonts w:ascii="Garamond" w:hAnsi="Garamond" w:cs="Arial"/>
          <w:color w:val="000000"/>
          <w:sz w:val="22"/>
          <w:szCs w:val="22"/>
          <w:lang w:val="en-GB"/>
        </w:rPr>
        <w:br/>
        <w:t>Da war ich jüngst zu Gaste.«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Der Wirt im </w:t>
      </w:r>
      <w:r w:rsidRPr="00A06A59">
        <w:rPr>
          <w:rFonts w:ascii="Garamond" w:hAnsi="Garamond" w:cs="Arial"/>
          <w:i/>
          <w:iCs/>
          <w:color w:val="000000"/>
          <w:lang w:val="en-GB"/>
        </w:rPr>
        <w:t>Uhland</w:t>
      </w:r>
      <w:r w:rsidRPr="00A06A59">
        <w:rPr>
          <w:rFonts w:ascii="Garamond" w:hAnsi="Garamond" w:cs="Arial"/>
          <w:color w:val="000000"/>
          <w:lang w:val="en-GB"/>
        </w:rPr>
        <w:t xml:space="preserve">schen Gedicht ist aber ein </w:t>
      </w:r>
      <w:r w:rsidRPr="00A06A59">
        <w:rPr>
          <w:rFonts w:ascii="Garamond" w:hAnsi="Garamond" w:cs="Arial"/>
          <w:i/>
          <w:iCs/>
          <w:color w:val="000000"/>
          <w:lang w:val="en-GB"/>
        </w:rPr>
        <w:t>Apfelbaum</w:t>
      </w:r>
      <w:r w:rsidRPr="00A06A59">
        <w:rPr>
          <w:rFonts w:ascii="Garamond" w:hAnsi="Garamond" w:cs="Arial"/>
          <w:color w:val="000000"/>
          <w:lang w:val="en-GB"/>
        </w:rPr>
        <w:t xml:space="preserve">. </w:t>
      </w:r>
      <w:r w:rsidRPr="00A06A59">
        <w:rPr>
          <w:rFonts w:ascii="Garamond" w:hAnsi="Garamond" w:cs="Arial"/>
          <w:color w:val="000000"/>
        </w:rPr>
        <w:t>Nun setzt ein zweites Zitat die Gedankenkette fort:</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rPr>
      </w:pPr>
      <w:r w:rsidRPr="00A06A59">
        <w:rPr>
          <w:rFonts w:ascii="Garamond" w:hAnsi="Garamond" w:cs="Arial"/>
          <w:color w:val="000000"/>
          <w:sz w:val="22"/>
          <w:szCs w:val="22"/>
        </w:rPr>
        <w:t xml:space="preserve">Faust </w:t>
      </w:r>
      <w:r w:rsidRPr="00A06A59">
        <w:rPr>
          <w:rFonts w:ascii="Garamond" w:hAnsi="Garamond" w:cs="Arial"/>
          <w:i/>
          <w:iCs/>
          <w:color w:val="000000"/>
          <w:sz w:val="22"/>
          <w:szCs w:val="22"/>
        </w:rPr>
        <w:t xml:space="preserve">(mit der Jungen tanzend) </w:t>
      </w:r>
      <w:r w:rsidRPr="00A06A59">
        <w:rPr>
          <w:rFonts w:ascii="Garamond" w:hAnsi="Garamond" w:cs="Arial"/>
          <w:i/>
          <w:iCs/>
          <w:color w:val="000000"/>
          <w:sz w:val="22"/>
          <w:szCs w:val="22"/>
        </w:rPr>
        <w:br/>
      </w:r>
      <w:r w:rsidRPr="00A06A59">
        <w:rPr>
          <w:rFonts w:ascii="Garamond" w:hAnsi="Garamond" w:cs="Arial"/>
          <w:color w:val="000000"/>
          <w:sz w:val="22"/>
          <w:szCs w:val="22"/>
        </w:rPr>
        <w:t xml:space="preserve">Einst hatt' ich einen </w:t>
      </w:r>
      <w:r w:rsidRPr="00A06A59">
        <w:rPr>
          <w:rFonts w:ascii="Garamond" w:hAnsi="Garamond" w:cs="Arial"/>
          <w:i/>
          <w:iCs/>
          <w:color w:val="000000"/>
          <w:sz w:val="22"/>
          <w:szCs w:val="22"/>
        </w:rPr>
        <w:t>schönen Traum</w:t>
      </w:r>
      <w:r w:rsidRPr="00A06A59">
        <w:rPr>
          <w:rFonts w:ascii="Garamond" w:hAnsi="Garamond" w:cs="Arial"/>
          <w:color w:val="000000"/>
          <w:sz w:val="22"/>
          <w:szCs w:val="22"/>
        </w:rPr>
        <w:t xml:space="preserve">; </w:t>
      </w:r>
      <w:r w:rsidRPr="00A06A59">
        <w:rPr>
          <w:rFonts w:ascii="Garamond" w:hAnsi="Garamond" w:cs="Arial"/>
          <w:color w:val="000000"/>
          <w:sz w:val="22"/>
          <w:szCs w:val="22"/>
        </w:rPr>
        <w:br/>
        <w:t xml:space="preserve">Da sah ich einen </w:t>
      </w:r>
      <w:r w:rsidRPr="00A06A59">
        <w:rPr>
          <w:rFonts w:ascii="Garamond" w:hAnsi="Garamond" w:cs="Arial"/>
          <w:i/>
          <w:iCs/>
          <w:color w:val="000000"/>
          <w:sz w:val="22"/>
          <w:szCs w:val="22"/>
        </w:rPr>
        <w:t>Apfelbaum</w:t>
      </w:r>
      <w:r w:rsidRPr="00A06A59">
        <w:rPr>
          <w:rFonts w:ascii="Garamond" w:hAnsi="Garamond" w:cs="Arial"/>
          <w:color w:val="000000"/>
          <w:sz w:val="22"/>
          <w:szCs w:val="22"/>
        </w:rPr>
        <w:t xml:space="preserve">, </w:t>
      </w:r>
      <w:r w:rsidRPr="00A06A59">
        <w:rPr>
          <w:rFonts w:ascii="Garamond" w:hAnsi="Garamond" w:cs="Arial"/>
          <w:color w:val="000000"/>
          <w:sz w:val="22"/>
          <w:szCs w:val="22"/>
        </w:rPr>
        <w:br/>
        <w:t xml:space="preserve">Zwei schöne Äpfel glänzten dran, </w:t>
      </w:r>
      <w:r w:rsidRPr="00A06A59">
        <w:rPr>
          <w:rFonts w:ascii="Garamond" w:hAnsi="Garamond" w:cs="Arial"/>
          <w:color w:val="000000"/>
          <w:sz w:val="22"/>
          <w:szCs w:val="22"/>
        </w:rPr>
        <w:br/>
        <w:t xml:space="preserve">Sie reizten mich, </w:t>
      </w:r>
      <w:r w:rsidRPr="00A06A59">
        <w:rPr>
          <w:rFonts w:ascii="Garamond" w:hAnsi="Garamond" w:cs="Arial"/>
          <w:i/>
          <w:iCs/>
          <w:color w:val="000000"/>
          <w:sz w:val="22"/>
          <w:szCs w:val="22"/>
        </w:rPr>
        <w:t>ich stieg hinan</w:t>
      </w:r>
      <w:r w:rsidRPr="00A06A59">
        <w:rPr>
          <w:rFonts w:ascii="Garamond" w:hAnsi="Garamond" w:cs="Arial"/>
          <w:color w:val="000000"/>
          <w:sz w:val="22"/>
          <w:szCs w:val="22"/>
        </w:rPr>
        <w:t>.</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Die Schöne </w:t>
      </w:r>
      <w:r w:rsidRPr="00A06A59">
        <w:rPr>
          <w:rFonts w:ascii="Garamond" w:hAnsi="Garamond" w:cs="Arial"/>
          <w:color w:val="000000"/>
          <w:sz w:val="22"/>
          <w:szCs w:val="22"/>
          <w:lang w:val="en-GB"/>
        </w:rPr>
        <w:br/>
        <w:t xml:space="preserve">Der Äpfelchen begehrt ihr sehr, </w:t>
      </w:r>
      <w:r w:rsidRPr="00A06A59">
        <w:rPr>
          <w:rFonts w:ascii="Garamond" w:hAnsi="Garamond" w:cs="Arial"/>
          <w:color w:val="000000"/>
          <w:sz w:val="22"/>
          <w:szCs w:val="22"/>
          <w:lang w:val="en-GB"/>
        </w:rPr>
        <w:br/>
        <w:t xml:space="preserve">Und schon vom Paradiese her. </w:t>
      </w:r>
      <w:r w:rsidRPr="00A06A59">
        <w:rPr>
          <w:rFonts w:ascii="Garamond" w:hAnsi="Garamond" w:cs="Arial"/>
          <w:color w:val="000000"/>
          <w:sz w:val="22"/>
          <w:szCs w:val="22"/>
          <w:lang w:val="en-GB"/>
        </w:rPr>
        <w:br/>
        <w:t xml:space="preserve">Von Freuden fühl' ich mich bewegt, </w:t>
      </w:r>
      <w:r w:rsidRPr="00A06A59">
        <w:rPr>
          <w:rFonts w:ascii="Garamond" w:hAnsi="Garamond" w:cs="Arial"/>
          <w:color w:val="000000"/>
          <w:sz w:val="22"/>
          <w:szCs w:val="22"/>
          <w:lang w:val="en-GB"/>
        </w:rPr>
        <w:br/>
        <w:t>Daß auch mein Garten solche trägt.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Es ist nicht der leiseste Zweifel möglich, was unter dem Apfelbaum und den Äpfelchen gemeint ist. Ein schöner Busen stand auch obenan unter den Reizen, durch welche die Schauspielerin meinen Träumer gefesselt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hatten nach dem Zusammenhang der Analyse allen Grund anzunehmen, daß der Traum auf einen Eindruck aus der Kindheit zurückgehe. Wenn dies richtig war, so mußte er sich auf die Amme des jetzt bald dreißigjährigen Mannes beziehen. Für das Kind ist der Busen der Amme tatsächlich das Einkehrwirtshaus. Die Amme sowohl als die </w:t>
      </w:r>
      <w:r w:rsidRPr="00A06A59">
        <w:rPr>
          <w:rFonts w:ascii="Garamond" w:hAnsi="Garamond" w:cs="Arial"/>
          <w:i/>
          <w:iCs/>
          <w:color w:val="000000"/>
          <w:lang w:val="en-GB"/>
        </w:rPr>
        <w:t>Sappho Daudets</w:t>
      </w:r>
      <w:r w:rsidRPr="00A06A59">
        <w:rPr>
          <w:rFonts w:ascii="Garamond" w:hAnsi="Garamond" w:cs="Arial"/>
          <w:color w:val="000000"/>
          <w:lang w:val="en-GB"/>
        </w:rPr>
        <w:t xml:space="preserve"> erscheinen als Anspielung auf die vor kurzem verlassene Geliebte.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Im Trauminhalt erscheint auch der (ältere) Bruder des Patienten, und zwar ist dieser </w:t>
      </w:r>
      <w:r w:rsidRPr="00A06A59">
        <w:rPr>
          <w:rFonts w:ascii="Garamond" w:hAnsi="Garamond" w:cs="Arial"/>
          <w:i/>
          <w:iCs/>
          <w:color w:val="000000"/>
          <w:lang w:val="en-GB"/>
        </w:rPr>
        <w:t>oben</w:t>
      </w:r>
      <w:r w:rsidRPr="00A06A59">
        <w:rPr>
          <w:rFonts w:ascii="Garamond" w:hAnsi="Garamond" w:cs="Arial"/>
          <w:color w:val="000000"/>
          <w:lang w:val="en-GB"/>
        </w:rPr>
        <w:t xml:space="preserve">, er selbst </w:t>
      </w:r>
      <w:r w:rsidRPr="00A06A59">
        <w:rPr>
          <w:rFonts w:ascii="Garamond" w:hAnsi="Garamond" w:cs="Arial"/>
          <w:i/>
          <w:iCs/>
          <w:color w:val="000000"/>
          <w:lang w:val="en-GB"/>
        </w:rPr>
        <w:t>unten</w:t>
      </w:r>
      <w:r w:rsidRPr="00A06A59">
        <w:rPr>
          <w:rFonts w:ascii="Garamond" w:hAnsi="Garamond" w:cs="Arial"/>
          <w:color w:val="000000"/>
          <w:lang w:val="en-GB"/>
        </w:rPr>
        <w:t xml:space="preserve">. Dies ist wieder eine </w:t>
      </w:r>
      <w:r w:rsidRPr="00A06A59">
        <w:rPr>
          <w:rFonts w:ascii="Garamond" w:hAnsi="Garamond" w:cs="Arial"/>
          <w:i/>
          <w:iCs/>
          <w:color w:val="000000"/>
          <w:lang w:val="en-GB"/>
        </w:rPr>
        <w:t>Umkehrung</w:t>
      </w:r>
      <w:r w:rsidRPr="00A06A59">
        <w:rPr>
          <w:rFonts w:ascii="Garamond" w:hAnsi="Garamond" w:cs="Arial"/>
          <w:color w:val="000000"/>
          <w:lang w:val="en-GB"/>
        </w:rPr>
        <w:t xml:space="preserve"> des wirklichen Verhältnisses, denn der Bruder hat, wie mir bekannt ist, seine soziale Position verloren, mein Patient sie erhalten. </w:t>
      </w:r>
      <w:r w:rsidRPr="00A06A59">
        <w:rPr>
          <w:rFonts w:ascii="Garamond" w:hAnsi="Garamond" w:cs="Arial"/>
          <w:color w:val="000000"/>
        </w:rPr>
        <w:t xml:space="preserve">Der Träumer vermied bei der Reproduktion des Trauminhaltes zu sagen: Der Bruder sei oben, er selbst »parterre« gewesen. Es wäre eine zu deutliche Äußerung geworden, denn man sagt bei uns von einer Person, sie ist » </w:t>
      </w:r>
      <w:r w:rsidRPr="00A06A59">
        <w:rPr>
          <w:rFonts w:ascii="Garamond" w:hAnsi="Garamond" w:cs="Arial"/>
          <w:i/>
          <w:iCs/>
          <w:color w:val="000000"/>
        </w:rPr>
        <w:t>parterre</w:t>
      </w:r>
      <w:r w:rsidRPr="00A06A59">
        <w:rPr>
          <w:rFonts w:ascii="Garamond" w:hAnsi="Garamond" w:cs="Arial"/>
          <w:color w:val="000000"/>
        </w:rPr>
        <w:t xml:space="preserve">«, wenn sie Vermögen und Stellung eingebüßt hat, also in ähnlicher Übertragung, wie man » </w:t>
      </w:r>
      <w:r w:rsidRPr="00A06A59">
        <w:rPr>
          <w:rFonts w:ascii="Garamond" w:hAnsi="Garamond" w:cs="Arial"/>
          <w:i/>
          <w:iCs/>
          <w:color w:val="000000"/>
        </w:rPr>
        <w:t>heruntergekommen</w:t>
      </w:r>
      <w:r w:rsidRPr="00A06A59">
        <w:rPr>
          <w:rFonts w:ascii="Garamond" w:hAnsi="Garamond" w:cs="Arial"/>
          <w:color w:val="000000"/>
        </w:rPr>
        <w:t xml:space="preserve">« gebraucht. Es muß nun einen Sinn haben, daß an dieser Stelle im Traum etwas </w:t>
      </w:r>
      <w:r w:rsidRPr="00A06A59">
        <w:rPr>
          <w:rFonts w:ascii="Garamond" w:hAnsi="Garamond" w:cs="Arial"/>
          <w:i/>
          <w:iCs/>
          <w:color w:val="000000"/>
        </w:rPr>
        <w:t>umgekehrt</w:t>
      </w:r>
      <w:r w:rsidRPr="00A06A59">
        <w:rPr>
          <w:rFonts w:ascii="Garamond" w:hAnsi="Garamond" w:cs="Arial"/>
          <w:color w:val="000000"/>
        </w:rPr>
        <w:t xml:space="preserve"> dargestellt ist. Die Umkehrung muß auch für eine andere Beziehung zwischen Traumgedanken und Trauminhalt gelten. </w:t>
      </w:r>
      <w:r w:rsidRPr="00A06A59">
        <w:rPr>
          <w:rFonts w:ascii="Garamond" w:hAnsi="Garamond" w:cs="Arial"/>
          <w:color w:val="000000"/>
          <w:lang w:val="en-GB"/>
        </w:rPr>
        <w:t xml:space="preserve">Es liegt der Hinweis darauf vor, wie diese Umkehrung vorzunehmen ist. Offenbar am Ende des Traumes, wo es sich mit dem Steigen wiederum </w:t>
      </w:r>
      <w:r w:rsidRPr="00A06A59">
        <w:rPr>
          <w:rFonts w:ascii="Garamond" w:hAnsi="Garamond" w:cs="Arial"/>
          <w:i/>
          <w:iCs/>
          <w:color w:val="000000"/>
          <w:lang w:val="en-GB"/>
        </w:rPr>
        <w:t>umgekehrt</w:t>
      </w:r>
      <w:r w:rsidRPr="00A06A59">
        <w:rPr>
          <w:rFonts w:ascii="Garamond" w:hAnsi="Garamond" w:cs="Arial"/>
          <w:color w:val="000000"/>
          <w:lang w:val="en-GB"/>
        </w:rPr>
        <w:t xml:space="preserve"> verhält wie in der </w:t>
      </w:r>
      <w:r w:rsidRPr="00A06A59">
        <w:rPr>
          <w:rFonts w:ascii="Garamond" w:hAnsi="Garamond" w:cs="Arial"/>
          <w:i/>
          <w:iCs/>
          <w:color w:val="000000"/>
          <w:lang w:val="en-GB"/>
        </w:rPr>
        <w:t>Sappho</w:t>
      </w:r>
      <w:r w:rsidRPr="00A06A59">
        <w:rPr>
          <w:rFonts w:ascii="Garamond" w:hAnsi="Garamond" w:cs="Arial"/>
          <w:color w:val="000000"/>
          <w:lang w:val="en-GB"/>
        </w:rPr>
        <w:t xml:space="preserve">. Dann ergibt sich leicht, welche Umkehrung gemeint ist: In der </w:t>
      </w:r>
      <w:r w:rsidRPr="00A06A59">
        <w:rPr>
          <w:rFonts w:ascii="Garamond" w:hAnsi="Garamond" w:cs="Arial"/>
          <w:i/>
          <w:iCs/>
          <w:color w:val="000000"/>
          <w:lang w:val="en-GB"/>
        </w:rPr>
        <w:t>Sappho</w:t>
      </w:r>
      <w:r w:rsidRPr="00A06A59">
        <w:rPr>
          <w:rFonts w:ascii="Garamond" w:hAnsi="Garamond" w:cs="Arial"/>
          <w:color w:val="000000"/>
          <w:lang w:val="en-GB"/>
        </w:rPr>
        <w:t xml:space="preserve"> trägt der Mann das zu ihm in sexuellen Beziehungen stehende Weib; in den Traumgedanken </w:t>
      </w:r>
      <w:r w:rsidRPr="00A06A59">
        <w:rPr>
          <w:rFonts w:ascii="Garamond" w:hAnsi="Garamond" w:cs="Arial"/>
          <w:color w:val="000000"/>
          <w:lang w:val="en-GB"/>
        </w:rPr>
        <w:lastRenderedPageBreak/>
        <w:t xml:space="preserve">handelt es sich also </w:t>
      </w:r>
      <w:r w:rsidRPr="00A06A59">
        <w:rPr>
          <w:rFonts w:ascii="Garamond" w:hAnsi="Garamond" w:cs="Arial"/>
          <w:i/>
          <w:iCs/>
          <w:color w:val="000000"/>
          <w:lang w:val="en-GB"/>
        </w:rPr>
        <w:t>umgekehrt</w:t>
      </w:r>
      <w:r w:rsidRPr="00A06A59">
        <w:rPr>
          <w:rFonts w:ascii="Garamond" w:hAnsi="Garamond" w:cs="Arial"/>
          <w:color w:val="000000"/>
          <w:lang w:val="en-GB"/>
        </w:rPr>
        <w:t xml:space="preserve"> um ein Weib, das den Mann trägt, und da dieser Fall sich nur in der Kindheit ereignen kann, bezieht es sich wieder auf die Amme, die schwer an dem Säugling trägt. Der Schluß des Traumes trifft es also, die Sappho und die Amme in der nämlichen Andeutung darzustellen.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Wie der Name Sappho vom Dichter nicht ohne Beziehung auf eine lesbische Gewohnheit gewählt ist, so deuten die Stücke des Traumes, in denen Personen </w:t>
      </w:r>
      <w:r w:rsidRPr="00A06A59">
        <w:rPr>
          <w:rFonts w:ascii="Garamond" w:hAnsi="Garamond" w:cs="Arial"/>
          <w:i/>
          <w:iCs/>
          <w:color w:val="000000"/>
          <w:lang w:val="en-GB"/>
        </w:rPr>
        <w:t>oben</w:t>
      </w:r>
      <w:r w:rsidRPr="00A06A59">
        <w:rPr>
          <w:rFonts w:ascii="Garamond" w:hAnsi="Garamond" w:cs="Arial"/>
          <w:color w:val="000000"/>
          <w:lang w:val="en-GB"/>
        </w:rPr>
        <w:t xml:space="preserve"> und </w:t>
      </w:r>
      <w:r w:rsidRPr="00A06A59">
        <w:rPr>
          <w:rFonts w:ascii="Garamond" w:hAnsi="Garamond" w:cs="Arial"/>
          <w:i/>
          <w:iCs/>
          <w:color w:val="000000"/>
          <w:lang w:val="en-GB"/>
        </w:rPr>
        <w:t>unten</w:t>
      </w:r>
      <w:r w:rsidRPr="00A06A59">
        <w:rPr>
          <w:rFonts w:ascii="Garamond" w:hAnsi="Garamond" w:cs="Arial"/>
          <w:color w:val="000000"/>
          <w:lang w:val="en-GB"/>
        </w:rPr>
        <w:t xml:space="preserve"> beschäftigt sind, auf Phantasien sexuellen Inhalts, die den Träumer beschäftigen und als unterdrückte Gelüste nicht außer Zusammenhang mit seiner Neurose stehen. Daß es Phantasien und nicht Erinnerungen der tatsächlichen Vorgänge sind, die so im Traum dargestellt werden, zeigt die Traumdeutung selbst nicht an; dieselbe liefert uns nur einen Gedankeninhalt und überläßt es uns, dessen Realitätswert festzustellen. Wirkliche und phantasierte Begebenheiten erscheinen hier und nicht nur hier, auch bei der Schöpfung wichtigerer psychischer Gebilde als der Träume zunächst als gleichwertig. Große Gesellschaft bedeutet, wie wir bereits wissen, Geheimnis. Der Bruder ist nichts anderes als der in die Kindheitsszene durch »Zurückphantasieren« eingetragene Vertreter aller späteren Nebenbuhler beim Weibe. Die Episode von dem Herrn, der auf den König von Italien schimpft, bezieht sich durch Vermittlung eines rezenten und an sich gleichgültigen Erlebnisses wiederum auf das Eindrängen von Personen niederen Standes in höhere Gesellschaft. Es ist, als ob der Warnung, welche </w:t>
      </w:r>
      <w:r w:rsidRPr="00A06A59">
        <w:rPr>
          <w:rFonts w:ascii="Garamond" w:hAnsi="Garamond" w:cs="Arial"/>
          <w:i/>
          <w:iCs/>
          <w:color w:val="000000"/>
          <w:lang w:val="en-GB"/>
        </w:rPr>
        <w:t>Daudet</w:t>
      </w:r>
      <w:r w:rsidRPr="00A06A59">
        <w:rPr>
          <w:rFonts w:ascii="Garamond" w:hAnsi="Garamond" w:cs="Arial"/>
          <w:color w:val="000000"/>
          <w:lang w:val="en-GB"/>
        </w:rPr>
        <w:t xml:space="preserve"> dem Jüngling erteilt, eine ähnliche, für das saugende Kind gültige an die Seite gestellt werden sollte </w:t>
      </w:r>
      <w:hyperlink r:id="rId13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 phantastische Natur der auf die Amme des Träumers bezüglichen Situation wird durch den objektiv erhobenen Umstand erwiesen, daß die Amme in diesem Fall die Mutter war. Ich erinnere übrigens an das auf S. 142 erwähnte Bedauern des jungen Mannes der Anekdote, die Situation bei seiner Amme nicht besser ausgenützt zu haben, welches wohl die Quelle dieses Traumes ist.</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Um ein drittes Beispiel für das Studium der Verdichtung bei der Traumbildung bereitzuhaben, teile ich die partielle Analyse eines anderen Traumes mit, den ich einer älteren, in psychoanalytischer Behandlung stehenden Dame verdanke. Den schweren Angstzuständen entsprechend, an denen die Kranke litt, enthielten ihre Träume überreichlich sexuelles Gedankenmaterial, dessen Kenntnisnahme sie anfangs ebensosehr überraschte wie erschreckte. Da ich die Traumdeutung nicht bis zum Ende führen kann, scheint das Traummaterial in mehrere Gruppen ohne sichtbaren Zusammenhang zu zerfallen.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»Der Käfertraum«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trauminhalt: </w:t>
      </w:r>
      <w:r w:rsidRPr="00A06A59">
        <w:rPr>
          <w:rFonts w:ascii="Garamond" w:hAnsi="Garamond" w:cs="Arial"/>
          <w:i/>
          <w:iCs/>
          <w:color w:val="000000"/>
          <w:lang w:val="en-GB"/>
        </w:rPr>
        <w:t>Sie besinnt sich, daß sie zwei Maikäfer in einer Schachtel hat, denen sie die Freiheit geben muß, weil sie sonst ersticken. Sie öffnet die Schachtel, die Käfer sind ganz matt; einer fliegt zum geöffneten Fenster hinaus, der andere aber wird vom Fensterflügel zerquetscht, während sie das Fenster schließt, wie irgend jemand von ihr verlangt (Äußerungen des Ekels).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analyse: Ihr Mann ist verreist, die vierzehnjährige Tochter schläft im Bette neben ihr. Die Kleine macht sie am Abend aufmerksam, daß eine Motte in ihr Wasserglas gefallen ist; sie versäumt es aber, sie herauszuholen, und bedauert das arme Tierchen am Morgen. In ihrer Abendlektüre war erzählt, wie Buben eine Katze in siedendes Wasser werfen, und die Zuckungen des Tieres geschildert. Dies sind die beiden an sich gleichgültigen Traumanlässe. Das Thema von der </w:t>
      </w:r>
      <w:r w:rsidRPr="00A06A59">
        <w:rPr>
          <w:rFonts w:ascii="Garamond" w:hAnsi="Garamond" w:cs="Arial"/>
          <w:i/>
          <w:iCs/>
          <w:color w:val="000000"/>
          <w:lang w:val="en-GB"/>
        </w:rPr>
        <w:t>Grausamkeit gegen Tiere</w:t>
      </w:r>
      <w:r w:rsidRPr="00A06A59">
        <w:rPr>
          <w:rFonts w:ascii="Garamond" w:hAnsi="Garamond" w:cs="Arial"/>
          <w:color w:val="000000"/>
          <w:lang w:val="en-GB"/>
        </w:rPr>
        <w:t xml:space="preserve"> beschäftigt sie weiter. Ihre Tochter war vor Jahren, als sie in einer gewissen Gegend im Sommer wohnten, sehr grausam gegen das Getier. Sie legte sich eine Schmetterlingssammlung an und verlangte von ihr </w:t>
      </w:r>
      <w:r w:rsidRPr="00A06A59">
        <w:rPr>
          <w:rFonts w:ascii="Garamond" w:hAnsi="Garamond" w:cs="Arial"/>
          <w:i/>
          <w:iCs/>
          <w:color w:val="000000"/>
          <w:lang w:val="en-GB"/>
        </w:rPr>
        <w:t>Arsenik</w:t>
      </w:r>
      <w:r w:rsidRPr="00A06A59">
        <w:rPr>
          <w:rFonts w:ascii="Garamond" w:hAnsi="Garamond" w:cs="Arial"/>
          <w:color w:val="000000"/>
          <w:lang w:val="en-GB"/>
        </w:rPr>
        <w:t xml:space="preserve"> zur Tötung der Schmetterlinge. Einmal kam es vor, daß ein Nachtfalter mit der Nadel durch den Leib noch lange im Zimmer herumflog; ein andermal fanden sich einige Raupen, die zur Verpuppung aufbewahrt wurden, verhungert. Dasselbe Kind pflegte in noch zarterem Alter </w:t>
      </w:r>
      <w:r w:rsidRPr="00A06A59">
        <w:rPr>
          <w:rFonts w:ascii="Garamond" w:hAnsi="Garamond" w:cs="Arial"/>
          <w:i/>
          <w:iCs/>
          <w:color w:val="000000"/>
          <w:lang w:val="en-GB"/>
        </w:rPr>
        <w:t>Käfern</w:t>
      </w:r>
      <w:r w:rsidRPr="00A06A59">
        <w:rPr>
          <w:rFonts w:ascii="Garamond" w:hAnsi="Garamond" w:cs="Arial"/>
          <w:color w:val="000000"/>
          <w:lang w:val="en-GB"/>
        </w:rPr>
        <w:t xml:space="preserve"> und Schmetterlingen die Flügel auszureißen; heute würde sie vor all diesen grausamen Handlungen zurückschrecken; sie ist so gutmütig geworden.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Dieser Widerspruch beschäftigt sie. Er erinnert an einen anderen Widerspruch, den zwischen </w:t>
      </w:r>
      <w:r w:rsidRPr="00A06A59">
        <w:rPr>
          <w:rFonts w:ascii="Garamond" w:hAnsi="Garamond" w:cs="Arial"/>
          <w:i/>
          <w:iCs/>
          <w:color w:val="000000"/>
          <w:lang w:val="en-GB"/>
        </w:rPr>
        <w:t>Aussehen</w:t>
      </w:r>
      <w:r w:rsidRPr="00A06A59">
        <w:rPr>
          <w:rFonts w:ascii="Garamond" w:hAnsi="Garamond" w:cs="Arial"/>
          <w:color w:val="000000"/>
          <w:lang w:val="en-GB"/>
        </w:rPr>
        <w:t xml:space="preserve"> und Gesinnung, wie er in </w:t>
      </w:r>
      <w:r w:rsidRPr="00A06A59">
        <w:rPr>
          <w:rFonts w:ascii="Garamond" w:hAnsi="Garamond" w:cs="Arial"/>
          <w:i/>
          <w:iCs/>
          <w:color w:val="000000"/>
          <w:lang w:val="en-GB"/>
        </w:rPr>
        <w:t>Adam Bede</w:t>
      </w:r>
      <w:r w:rsidRPr="00A06A59">
        <w:rPr>
          <w:rFonts w:ascii="Garamond" w:hAnsi="Garamond" w:cs="Arial"/>
          <w:color w:val="000000"/>
          <w:lang w:val="en-GB"/>
        </w:rPr>
        <w:t xml:space="preserve"> von der </w:t>
      </w:r>
      <w:r w:rsidRPr="00A06A59">
        <w:rPr>
          <w:rFonts w:ascii="Garamond" w:hAnsi="Garamond" w:cs="Arial"/>
          <w:i/>
          <w:iCs/>
          <w:color w:val="000000"/>
          <w:lang w:val="en-GB"/>
        </w:rPr>
        <w:t>Eliot</w:t>
      </w:r>
      <w:r w:rsidRPr="00A06A59">
        <w:rPr>
          <w:rFonts w:ascii="Garamond" w:hAnsi="Garamond" w:cs="Arial"/>
          <w:color w:val="000000"/>
          <w:lang w:val="en-GB"/>
        </w:rPr>
        <w:t xml:space="preserve"> dargestellt ist. Ein schönes, aber eitles und ganz dummes Mädchen, daneben ein häßliches, aber edles. Der </w:t>
      </w:r>
      <w:r w:rsidRPr="00A06A59">
        <w:rPr>
          <w:rFonts w:ascii="Garamond" w:hAnsi="Garamond" w:cs="Arial"/>
          <w:i/>
          <w:iCs/>
          <w:color w:val="000000"/>
          <w:lang w:val="en-GB"/>
        </w:rPr>
        <w:t>Aristokrat</w:t>
      </w:r>
      <w:r w:rsidRPr="00A06A59">
        <w:rPr>
          <w:rFonts w:ascii="Garamond" w:hAnsi="Garamond" w:cs="Arial"/>
          <w:color w:val="000000"/>
          <w:lang w:val="en-GB"/>
        </w:rPr>
        <w:t xml:space="preserve">, der das Gänschen verführt; der Arbeiter, der adelig fühlt und sich ebenso benimmt. Man kann das den Leuten nicht </w:t>
      </w:r>
      <w:r w:rsidRPr="00A06A59">
        <w:rPr>
          <w:rFonts w:ascii="Garamond" w:hAnsi="Garamond" w:cs="Arial"/>
          <w:i/>
          <w:iCs/>
          <w:color w:val="000000"/>
          <w:lang w:val="en-GB"/>
        </w:rPr>
        <w:t>ansehen</w:t>
      </w:r>
      <w:r w:rsidRPr="00A06A59">
        <w:rPr>
          <w:rFonts w:ascii="Garamond" w:hAnsi="Garamond" w:cs="Arial"/>
          <w:color w:val="000000"/>
          <w:lang w:val="en-GB"/>
        </w:rPr>
        <w:t xml:space="preserve">. Wer würde </w:t>
      </w:r>
      <w:r w:rsidRPr="00A06A59">
        <w:rPr>
          <w:rFonts w:ascii="Garamond" w:hAnsi="Garamond" w:cs="Arial"/>
          <w:i/>
          <w:iCs/>
          <w:color w:val="000000"/>
          <w:lang w:val="en-GB"/>
        </w:rPr>
        <w:t>ihr</w:t>
      </w:r>
      <w:r w:rsidRPr="00A06A59">
        <w:rPr>
          <w:rFonts w:ascii="Garamond" w:hAnsi="Garamond" w:cs="Arial"/>
          <w:color w:val="000000"/>
          <w:lang w:val="en-GB"/>
        </w:rPr>
        <w:t xml:space="preserve"> ansehen, daß sie von sinnlichen Wünschen geplagt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demselben Jahre, als die Kleine ihre Schmetterlingssammlung anlegte, litt die Gegend arg unter der </w:t>
      </w:r>
      <w:r w:rsidRPr="00A06A59">
        <w:rPr>
          <w:rFonts w:ascii="Garamond" w:hAnsi="Garamond" w:cs="Arial"/>
          <w:i/>
          <w:iCs/>
          <w:color w:val="000000"/>
          <w:lang w:val="en-GB"/>
        </w:rPr>
        <w:t>Maikäferplage</w:t>
      </w:r>
      <w:r w:rsidRPr="00A06A59">
        <w:rPr>
          <w:rFonts w:ascii="Garamond" w:hAnsi="Garamond" w:cs="Arial"/>
          <w:color w:val="000000"/>
          <w:lang w:val="en-GB"/>
        </w:rPr>
        <w:t xml:space="preserve">. Die Kinder wüteten gegen die Käfer, </w:t>
      </w:r>
      <w:r w:rsidRPr="00A06A59">
        <w:rPr>
          <w:rFonts w:ascii="Garamond" w:hAnsi="Garamond" w:cs="Arial"/>
          <w:i/>
          <w:iCs/>
          <w:color w:val="000000"/>
          <w:lang w:val="en-GB"/>
        </w:rPr>
        <w:t>zerquetschten</w:t>
      </w:r>
      <w:r w:rsidRPr="00A06A59">
        <w:rPr>
          <w:rFonts w:ascii="Garamond" w:hAnsi="Garamond" w:cs="Arial"/>
          <w:color w:val="000000"/>
          <w:lang w:val="en-GB"/>
        </w:rPr>
        <w:t xml:space="preserve"> sie grausam. Sie hat damals einen Menschen gesehen, der den Maikäfern die Flügel ausriß und die Leiber dann verspeiste. Sie selbst ist im </w:t>
      </w:r>
      <w:r w:rsidRPr="00A06A59">
        <w:rPr>
          <w:rFonts w:ascii="Garamond" w:hAnsi="Garamond" w:cs="Arial"/>
          <w:i/>
          <w:iCs/>
          <w:color w:val="000000"/>
          <w:lang w:val="en-GB"/>
        </w:rPr>
        <w:t>Mai</w:t>
      </w:r>
      <w:r w:rsidRPr="00A06A59">
        <w:rPr>
          <w:rFonts w:ascii="Garamond" w:hAnsi="Garamond" w:cs="Arial"/>
          <w:color w:val="000000"/>
          <w:lang w:val="en-GB"/>
        </w:rPr>
        <w:t xml:space="preserve"> geboren, hat auch im </w:t>
      </w:r>
      <w:r w:rsidRPr="00A06A59">
        <w:rPr>
          <w:rFonts w:ascii="Garamond" w:hAnsi="Garamond" w:cs="Arial"/>
          <w:i/>
          <w:iCs/>
          <w:color w:val="000000"/>
          <w:lang w:val="en-GB"/>
        </w:rPr>
        <w:t>Mai</w:t>
      </w:r>
      <w:r w:rsidRPr="00A06A59">
        <w:rPr>
          <w:rFonts w:ascii="Garamond" w:hAnsi="Garamond" w:cs="Arial"/>
          <w:color w:val="000000"/>
          <w:lang w:val="en-GB"/>
        </w:rPr>
        <w:t xml:space="preserve"> geheiratet. Drei Tage nach der Hochzeit schrieb sie den Eltern einen Brief nach Hause, wie glücklich sie sei. Sie war es aber keineswegs.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Am Abend vor dem Traum hatte sie in alten Briefen gekramt und verschiedene ernste und komische Briefe den Ihrigen vorgelesen, so einen höchst lächerlichen Brief eines Klavierlehrers, der ihr als Mädchen den Hof gemacht hatte, auch den eines </w:t>
      </w:r>
      <w:r w:rsidRPr="00A06A59">
        <w:rPr>
          <w:rFonts w:ascii="Garamond" w:hAnsi="Garamond" w:cs="Arial"/>
          <w:i/>
          <w:iCs/>
          <w:color w:val="000000"/>
          <w:lang w:val="en-GB"/>
        </w:rPr>
        <w:t>aristokratischen</w:t>
      </w:r>
      <w:r w:rsidRPr="00A06A59">
        <w:rPr>
          <w:rFonts w:ascii="Garamond" w:hAnsi="Garamond" w:cs="Arial"/>
          <w:color w:val="000000"/>
          <w:lang w:val="en-GB"/>
        </w:rPr>
        <w:t xml:space="preserve"> Verehrers </w:t>
      </w:r>
      <w:hyperlink r:id="rId13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Dies der eigentliche Traumerreger.</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Sie macht sich Vorwürfe, daß eine ihrer Töchter ein schlechtes Buch von </w:t>
      </w:r>
      <w:r w:rsidRPr="00A06A59">
        <w:rPr>
          <w:rFonts w:ascii="Garamond" w:hAnsi="Garamond" w:cs="Arial"/>
          <w:i/>
          <w:iCs/>
          <w:color w:val="000000"/>
          <w:lang w:val="en-GB"/>
        </w:rPr>
        <w:t>Maupassant</w:t>
      </w:r>
      <w:r w:rsidRPr="00A06A59">
        <w:rPr>
          <w:rFonts w:ascii="Garamond" w:hAnsi="Garamond" w:cs="Arial"/>
          <w:color w:val="000000"/>
          <w:lang w:val="en-GB"/>
        </w:rPr>
        <w:t xml:space="preserve"> in die Hand bekommen </w:t>
      </w:r>
      <w:hyperlink r:id="rId13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Zu ergänzen: Solche Lektüre sei </w:t>
        </w:r>
        <w:r w:rsidRPr="00A06A59">
          <w:rPr>
            <w:rStyle w:val="innerfusslink3"/>
            <w:rFonts w:ascii="Garamond" w:hAnsi="Garamond" w:cs="Arial"/>
            <w:b/>
            <w:bCs/>
            <w:i/>
            <w:iCs/>
            <w:lang w:val="en-GB"/>
          </w:rPr>
          <w:t>Gift</w:t>
        </w:r>
        <w:r w:rsidRPr="00A06A59">
          <w:rPr>
            <w:rStyle w:val="innerfusslink3"/>
            <w:rFonts w:ascii="Garamond" w:hAnsi="Garamond" w:cs="Arial"/>
            <w:b/>
            <w:bCs/>
            <w:lang w:val="en-GB"/>
          </w:rPr>
          <w:t xml:space="preserve"> für ein junges Mädchen. Sie selbst hat in ihrer Jugend viel aus verbotenen Büchern geschöpft.</w:t>
        </w:r>
      </w:hyperlink>
      <w:r w:rsidRPr="00A06A59">
        <w:rPr>
          <w:rFonts w:ascii="Garamond" w:hAnsi="Garamond" w:cs="Arial"/>
          <w:color w:val="000000"/>
          <w:lang w:val="en-GB"/>
        </w:rPr>
        <w:t xml:space="preserve">. Das </w:t>
      </w:r>
      <w:r w:rsidRPr="00A06A59">
        <w:rPr>
          <w:rFonts w:ascii="Garamond" w:hAnsi="Garamond" w:cs="Arial"/>
          <w:i/>
          <w:iCs/>
          <w:color w:val="000000"/>
          <w:lang w:val="en-GB"/>
        </w:rPr>
        <w:t>Arsenik,</w:t>
      </w:r>
      <w:r w:rsidRPr="00A06A59">
        <w:rPr>
          <w:rFonts w:ascii="Garamond" w:hAnsi="Garamond" w:cs="Arial"/>
          <w:color w:val="000000"/>
          <w:lang w:val="en-GB"/>
        </w:rPr>
        <w:t xml:space="preserve"> das ihre Kleine verlangt, erinnert sie an die </w:t>
      </w:r>
      <w:r w:rsidRPr="00A06A59">
        <w:rPr>
          <w:rFonts w:ascii="Garamond" w:hAnsi="Garamond" w:cs="Arial"/>
          <w:i/>
          <w:iCs/>
          <w:color w:val="000000"/>
          <w:lang w:val="en-GB"/>
        </w:rPr>
        <w:t>Arsenikpillen</w:t>
      </w:r>
      <w:r w:rsidRPr="00A06A59">
        <w:rPr>
          <w:rFonts w:ascii="Garamond" w:hAnsi="Garamond" w:cs="Arial"/>
          <w:color w:val="000000"/>
          <w:lang w:val="en-GB"/>
        </w:rPr>
        <w:t xml:space="preserve">, die dem Duc de Mora im </w:t>
      </w:r>
      <w:r w:rsidRPr="00A06A59">
        <w:rPr>
          <w:rFonts w:ascii="Garamond" w:hAnsi="Garamond" w:cs="Arial"/>
          <w:i/>
          <w:iCs/>
          <w:color w:val="000000"/>
          <w:lang w:val="en-GB"/>
        </w:rPr>
        <w:t>Nabab</w:t>
      </w:r>
      <w:r w:rsidRPr="00A06A59">
        <w:rPr>
          <w:rFonts w:ascii="Garamond" w:hAnsi="Garamond" w:cs="Arial"/>
          <w:color w:val="000000"/>
          <w:lang w:val="en-GB"/>
        </w:rPr>
        <w:t xml:space="preserve"> die Jugendkraft wiedergeben. Zu »Freiheit geben« fällt ihr die Stelle aus der </w:t>
      </w:r>
      <w:r w:rsidRPr="00A06A59">
        <w:rPr>
          <w:rFonts w:ascii="Garamond" w:hAnsi="Garamond" w:cs="Arial"/>
          <w:i/>
          <w:iCs/>
          <w:color w:val="000000"/>
          <w:lang w:val="en-GB"/>
        </w:rPr>
        <w:t>Zauberflöte</w:t>
      </w:r>
      <w:r w:rsidRPr="00A06A59">
        <w:rPr>
          <w:rFonts w:ascii="Garamond" w:hAnsi="Garamond" w:cs="Arial"/>
          <w:color w:val="000000"/>
          <w:lang w:val="en-GB"/>
        </w:rPr>
        <w:t xml:space="preserve"> ein:</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»Zur Liebe kann ich dich nicht zwingen, </w:t>
      </w:r>
      <w:r w:rsidRPr="00A06A59">
        <w:rPr>
          <w:rFonts w:ascii="Garamond" w:hAnsi="Garamond" w:cs="Arial"/>
          <w:color w:val="000000"/>
          <w:sz w:val="22"/>
          <w:szCs w:val="22"/>
          <w:lang w:val="en-GB"/>
        </w:rPr>
        <w:br/>
        <w:t xml:space="preserve">Doch geb ich dir die </w:t>
      </w:r>
      <w:r w:rsidRPr="00A06A59">
        <w:rPr>
          <w:rFonts w:ascii="Garamond" w:hAnsi="Garamond" w:cs="Arial"/>
          <w:i/>
          <w:iCs/>
          <w:color w:val="000000"/>
          <w:sz w:val="22"/>
          <w:szCs w:val="22"/>
          <w:lang w:val="en-GB"/>
        </w:rPr>
        <w:t>Freiheit</w:t>
      </w:r>
      <w:r w:rsidRPr="00A06A59">
        <w:rPr>
          <w:rFonts w:ascii="Garamond" w:hAnsi="Garamond" w:cs="Arial"/>
          <w:color w:val="000000"/>
          <w:sz w:val="22"/>
          <w:szCs w:val="22"/>
          <w:lang w:val="en-GB"/>
        </w:rPr>
        <w:t xml:space="preserve"> nicht.«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 den »Maikäfern« noch die Rede des </w:t>
      </w:r>
      <w:r w:rsidRPr="00A06A59">
        <w:rPr>
          <w:rFonts w:ascii="Garamond" w:hAnsi="Garamond" w:cs="Arial"/>
          <w:i/>
          <w:iCs/>
          <w:color w:val="000000"/>
          <w:lang w:val="en-GB"/>
        </w:rPr>
        <w:t>Käthchens</w:t>
      </w:r>
      <w:hyperlink r:id="rId13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Ein weiterer Gedankengang führt zur </w:t>
        </w:r>
        <w:r w:rsidRPr="00A06A59">
          <w:rPr>
            <w:rStyle w:val="innerfusslink3"/>
            <w:rFonts w:ascii="Garamond" w:hAnsi="Garamond" w:cs="Arial"/>
            <w:b/>
            <w:bCs/>
            <w:i/>
            <w:iCs/>
            <w:lang w:val="en-GB"/>
          </w:rPr>
          <w:t>Penthesilea</w:t>
        </w:r>
        <w:r w:rsidRPr="00A06A59">
          <w:rPr>
            <w:rStyle w:val="innerfusslink3"/>
            <w:rFonts w:ascii="Garamond" w:hAnsi="Garamond" w:cs="Arial"/>
            <w:b/>
            <w:bCs/>
            <w:lang w:val="en-GB"/>
          </w:rPr>
          <w:t xml:space="preserve"> desselben Dichters: </w:t>
        </w:r>
        <w:r w:rsidRPr="00A06A59">
          <w:rPr>
            <w:rStyle w:val="innerfusslink3"/>
            <w:rFonts w:ascii="Garamond" w:hAnsi="Garamond" w:cs="Arial"/>
            <w:b/>
            <w:bCs/>
            <w:i/>
            <w:iCs/>
            <w:lang w:val="en-GB"/>
          </w:rPr>
          <w:t>Grausamkeit</w:t>
        </w:r>
        <w:r w:rsidRPr="00A06A59">
          <w:rPr>
            <w:rStyle w:val="innerfusslink3"/>
            <w:rFonts w:ascii="Garamond" w:hAnsi="Garamond" w:cs="Arial"/>
            <w:b/>
            <w:bCs/>
            <w:lang w:val="en-GB"/>
          </w:rPr>
          <w:t xml:space="preserve"> gegen den Geliebten.</w:t>
        </w:r>
      </w:hyperlink>
      <w:r w:rsidRPr="00A06A59">
        <w:rPr>
          <w:rFonts w:ascii="Garamond" w:hAnsi="Garamond" w:cs="Arial"/>
          <w:color w:val="000000"/>
          <w:lang w:val="en-GB"/>
        </w:rPr>
        <w:t>:</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rPr>
      </w:pPr>
      <w:r w:rsidRPr="00A06A59">
        <w:rPr>
          <w:rFonts w:ascii="Garamond" w:hAnsi="Garamond" w:cs="Arial"/>
          <w:color w:val="000000"/>
          <w:sz w:val="22"/>
          <w:szCs w:val="22"/>
        </w:rPr>
        <w:t xml:space="preserve">»Verliebt ja wie ein </w:t>
      </w:r>
      <w:r w:rsidRPr="00A06A59">
        <w:rPr>
          <w:rFonts w:ascii="Garamond" w:hAnsi="Garamond" w:cs="Arial"/>
          <w:i/>
          <w:iCs/>
          <w:color w:val="000000"/>
          <w:sz w:val="22"/>
          <w:szCs w:val="22"/>
        </w:rPr>
        <w:t>Käfer</w:t>
      </w:r>
      <w:r w:rsidRPr="00A06A59">
        <w:rPr>
          <w:rFonts w:ascii="Garamond" w:hAnsi="Garamond" w:cs="Arial"/>
          <w:color w:val="000000"/>
          <w:sz w:val="22"/>
          <w:szCs w:val="22"/>
        </w:rPr>
        <w:t xml:space="preserve"> bist du mir.«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Dazwischen </w:t>
      </w:r>
      <w:r w:rsidRPr="00A06A59">
        <w:rPr>
          <w:rFonts w:ascii="Garamond" w:hAnsi="Garamond" w:cs="Arial"/>
          <w:i/>
          <w:iCs/>
          <w:color w:val="000000"/>
        </w:rPr>
        <w:t>Tannhäuser</w:t>
      </w:r>
      <w:r w:rsidRPr="00A06A59">
        <w:rPr>
          <w:rFonts w:ascii="Garamond" w:hAnsi="Garamond" w:cs="Arial"/>
          <w:color w:val="000000"/>
        </w:rPr>
        <w:t xml:space="preserve">: »Weil du von </w:t>
      </w:r>
      <w:r w:rsidRPr="00A06A59">
        <w:rPr>
          <w:rFonts w:ascii="Garamond" w:hAnsi="Garamond" w:cs="Arial"/>
          <w:i/>
          <w:iCs/>
          <w:color w:val="000000"/>
        </w:rPr>
        <w:t>böser Lust</w:t>
      </w:r>
      <w:r w:rsidRPr="00A06A59">
        <w:rPr>
          <w:rFonts w:ascii="Garamond" w:hAnsi="Garamond" w:cs="Arial"/>
          <w:color w:val="000000"/>
        </w:rPr>
        <w:t xml:space="preserve"> beseelt«.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Sie lebt in Angst und Sorge um den abwesenden Mann. Die Furcht, daß ihm auf der Reise etwas </w:t>
      </w:r>
      <w:r w:rsidRPr="00A06A59">
        <w:rPr>
          <w:rFonts w:ascii="Garamond" w:hAnsi="Garamond" w:cs="Arial"/>
          <w:i/>
          <w:iCs/>
          <w:color w:val="000000"/>
          <w:lang w:val="en-GB"/>
        </w:rPr>
        <w:t>zustoße</w:t>
      </w:r>
      <w:r w:rsidRPr="00A06A59">
        <w:rPr>
          <w:rFonts w:ascii="Garamond" w:hAnsi="Garamond" w:cs="Arial"/>
          <w:color w:val="000000"/>
          <w:lang w:val="en-GB"/>
        </w:rPr>
        <w:t xml:space="preserve">, äußert sich in zahlreichen Phantasien des Tages. Kurz vorher hatte sie in ihren unbewußten Gedanken während der Analyse eine Klage über seine »Greisenhaftigkeit« gefunden. Der Wunschgedanke, welchen dieser Traum verhüllt, läßt sich vielleicht am besten erraten, wenn ich erzähle, daß sie mehrere Tage vor dem Traum plötzlich mitten in ihren Beschäftigungen durch den gegen ihren Mann gerichteten Imperativ erschreckt wurde: </w:t>
      </w:r>
      <w:r w:rsidRPr="00A06A59">
        <w:rPr>
          <w:rFonts w:ascii="Garamond" w:hAnsi="Garamond" w:cs="Arial"/>
          <w:i/>
          <w:iCs/>
          <w:color w:val="000000"/>
          <w:lang w:val="en-GB"/>
        </w:rPr>
        <w:t>Häng' dich auf</w:t>
      </w:r>
      <w:r w:rsidRPr="00A06A59">
        <w:rPr>
          <w:rFonts w:ascii="Garamond" w:hAnsi="Garamond" w:cs="Arial"/>
          <w:color w:val="000000"/>
          <w:lang w:val="en-GB"/>
        </w:rPr>
        <w:t xml:space="preserve">. Es ergab sich, daß sie einige Stunden vorher irgendwo gelesen hatte, beim Erhängen stelle sich eine kräftige Erektion ein. Es war der Wunsch nach dieser Erektion, der in dieser schreckenerregenden Verkleidung aus der Verdrängung wiederkehrte. »Häng' dich auf« besagte so viel als »Verschaff dir eine Erektion um jeden Preis«. Die Arsenikpillen des Dr. Jenkins im </w:t>
      </w:r>
      <w:r w:rsidRPr="00A06A59">
        <w:rPr>
          <w:rFonts w:ascii="Garamond" w:hAnsi="Garamond" w:cs="Arial"/>
          <w:i/>
          <w:iCs/>
          <w:color w:val="000000"/>
          <w:lang w:val="en-GB"/>
        </w:rPr>
        <w:t>Nabab</w:t>
      </w:r>
      <w:r w:rsidRPr="00A06A59">
        <w:rPr>
          <w:rFonts w:ascii="Garamond" w:hAnsi="Garamond" w:cs="Arial"/>
          <w:color w:val="000000"/>
          <w:lang w:val="en-GB"/>
        </w:rPr>
        <w:t xml:space="preserve"> gehören hieher; es war der Patientin aber auch bekannt, daß man das stärkste Aphrodisiakum, </w:t>
      </w:r>
      <w:r w:rsidRPr="00A06A59">
        <w:rPr>
          <w:rFonts w:ascii="Garamond" w:hAnsi="Garamond" w:cs="Arial"/>
          <w:i/>
          <w:iCs/>
          <w:color w:val="000000"/>
          <w:lang w:val="en-GB"/>
        </w:rPr>
        <w:t>Kanthariden</w:t>
      </w:r>
      <w:r w:rsidRPr="00A06A59">
        <w:rPr>
          <w:rFonts w:ascii="Garamond" w:hAnsi="Garamond" w:cs="Arial"/>
          <w:color w:val="000000"/>
          <w:lang w:val="en-GB"/>
        </w:rPr>
        <w:t xml:space="preserve">, durch </w:t>
      </w:r>
      <w:r w:rsidRPr="00A06A59">
        <w:rPr>
          <w:rFonts w:ascii="Garamond" w:hAnsi="Garamond" w:cs="Arial"/>
          <w:i/>
          <w:iCs/>
          <w:color w:val="000000"/>
          <w:lang w:val="en-GB"/>
        </w:rPr>
        <w:t>Zerquetschen</w:t>
      </w:r>
      <w:r w:rsidRPr="00A06A59">
        <w:rPr>
          <w:rFonts w:ascii="Garamond" w:hAnsi="Garamond" w:cs="Arial"/>
          <w:color w:val="000000"/>
          <w:lang w:val="en-GB"/>
        </w:rPr>
        <w:t xml:space="preserve"> von </w:t>
      </w:r>
      <w:r w:rsidRPr="00A06A59">
        <w:rPr>
          <w:rFonts w:ascii="Garamond" w:hAnsi="Garamond" w:cs="Arial"/>
          <w:i/>
          <w:iCs/>
          <w:color w:val="000000"/>
          <w:lang w:val="en-GB"/>
        </w:rPr>
        <w:t>Käfern</w:t>
      </w:r>
      <w:r w:rsidRPr="00A06A59">
        <w:rPr>
          <w:rFonts w:ascii="Garamond" w:hAnsi="Garamond" w:cs="Arial"/>
          <w:color w:val="000000"/>
          <w:lang w:val="en-GB"/>
        </w:rPr>
        <w:t xml:space="preserve"> bereitet (sog. spanische Fliegen). Auf diesen Sinn zielt der Hauptbestandteil des Trauminhalts.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w:t>
      </w:r>
      <w:r w:rsidRPr="00A06A59">
        <w:rPr>
          <w:rFonts w:ascii="Garamond" w:hAnsi="Garamond" w:cs="Arial"/>
          <w:i/>
          <w:iCs/>
          <w:color w:val="000000"/>
          <w:lang w:val="en-GB"/>
        </w:rPr>
        <w:t>Fenster</w:t>
      </w:r>
      <w:r w:rsidRPr="00A06A59">
        <w:rPr>
          <w:rFonts w:ascii="Garamond" w:hAnsi="Garamond" w:cs="Arial"/>
          <w:color w:val="000000"/>
          <w:lang w:val="en-GB"/>
        </w:rPr>
        <w:t xml:space="preserve"> öffnen und schließen ist eine der ständigen Differenzen mit ihrem Manne. Sie selbst schläft aerophil, der Mann aerophob. Die </w:t>
      </w:r>
      <w:r w:rsidRPr="00A06A59">
        <w:rPr>
          <w:rFonts w:ascii="Garamond" w:hAnsi="Garamond" w:cs="Arial"/>
          <w:i/>
          <w:iCs/>
          <w:color w:val="000000"/>
          <w:lang w:val="en-GB"/>
        </w:rPr>
        <w:t>Mattigkeit</w:t>
      </w:r>
      <w:r w:rsidRPr="00A06A59">
        <w:rPr>
          <w:rFonts w:ascii="Garamond" w:hAnsi="Garamond" w:cs="Arial"/>
          <w:color w:val="000000"/>
          <w:lang w:val="en-GB"/>
        </w:rPr>
        <w:t xml:space="preserve"> ist das Hauptsymptom, über das sie in diesen Tagen zu klagen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allen drei hier mitgeteilten Träumen habe ich durch die Schrift hervorgehoben, wo eines der Traumelemente in den Traumgedanken wiederkehrt, um die mehrfache Beziehung der ersteren augenfällig zu machen. Da aber für keinen dieser Träume die Analyse bis zum Ende geführt ist, verlohnt es sich wohl, auf einen Traum mit ausführlicher mitgeteilter Analyse einzugehen, um die Überdeterminierung des Trauminhalts an ihm zu erweisen. Ich wähle hiefür den Traum von Irmas Injektion. Wir werden an diesem Beispiel mühelos erkennen, daß die Verdichtungsarbeit bei der Traumbildung sich mehr als nur eines Mittels bedient.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Hauptperson des Trauminhalts ist die Patientin Irma, die mit den ihr im Leben zukommenden Zügen gesehen wurde und also zunächst sich selbst darstellt. Die Stellung aber, in welcher ich sie beim Fenster untersuche, ist von einer Erinnerung an eine andere Person hergenommen, von jener Dame, mit der ich meine Patientin vertauschen möchte, wie die Traumgedanken zeigen. Insofern Irma einen diphtheritischen Belag erkennen läßt, bei dem die Sorge um meine älteste Tochter erinnert wird, gelangt sie zur Darstellung dieses meines Kindes, hinter welchem, durch die Namensgleichheit mit ihm verknüpft, die Person einer durch Intoxikation verlorenen Patientin sich verbirgt. Im weiteren Verlauf des Traums wandelt sich die Bedeutung von Irmas Persönlichkeit (ohne daß ihr im Traum gesehenes Bild sich änderte); sie wird zu einem der Kinder, die wir in der öffentlichen Ordination des Kinder-Krankeninstituts untersuchen, wobei meine Freunde die Verschiedenheit ihrer geistigen Anlagen erweisen. Der Übergang wurde offenbar durch die Vorstellung meiner kindlichen Tochter vermittelt. Durch das Sträuben beim Mundöffnen wird dieselbe Irma zur Anspielung auf eine andere, einmal von mir untersuchte Dame, ferner in demselben Zusammenhang auf meine eigene Frau. In den krankhaften Veränderungen, die ich in ihrem Hals entdecke, habe ich überdies Anspielungen auf eine ganze Reihe von noch anderen Personen zusammengetragen.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All diese Personen, auf die ich bei der Verfolgung von »Irma« gerate, treten im Traum nicht leibhaftig auf; sie verbergen sich hinter der Traumperson »Irma«, welche so zu einem Sammelbild mit allerdings widerspruchsvollen Zügen ausgestaltet wird. Irma wird zur Vertreterin dieser anderen, bei der Verdichtungsarbeit hingeopferten Personen, indem ich an ihr all das vorgehen lasse, was mich Zug für Zug an diese Personen erinnert.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Ich kann mir eine </w:t>
      </w:r>
      <w:r w:rsidRPr="00A06A59">
        <w:rPr>
          <w:rFonts w:ascii="Garamond" w:hAnsi="Garamond" w:cs="Arial"/>
          <w:i/>
          <w:iCs/>
          <w:color w:val="000000"/>
          <w:lang w:val="en-GB"/>
        </w:rPr>
        <w:t>Sammelperson</w:t>
      </w:r>
      <w:r w:rsidRPr="00A06A59">
        <w:rPr>
          <w:rFonts w:ascii="Garamond" w:hAnsi="Garamond" w:cs="Arial"/>
          <w:color w:val="000000"/>
          <w:lang w:val="en-GB"/>
        </w:rPr>
        <w:t xml:space="preserve"> auch auf andere Weise für die Traumverdichtung herstellen, indem ich aktuelle Züge zweier oder mehrerer Personen zu einem Traumbilde vereinige. Solcherart ist der Dr. M. meines Traumes entstanden, er trägt den Namen des Dr. M., spricht und handelt wie er; seine leibliche Charakteristik und sein Leiden sind die einer anderen Person, meines ältesten Bruders; ein einziger Zug, das blasse Aussehen, ist doppelt determiniert, indem er in der Realität beiden Personen gemeinsam ist. Eine ähnliche Mischperson ist der Dr. R. meines Onkeltraums. Hier aber ist das Traumbild noch auf andere Weise bereitet. Ich habe nicht Züge, die dem einen eigen sind, mit den Zügen des anderen vereinigt und dafür das Erinnerungsbild eines jeden um gewisse Züge verkürzt, sondern ich habe das Verfahren eingeschlagen, nach welchem </w:t>
      </w:r>
      <w:r w:rsidRPr="00A06A59">
        <w:rPr>
          <w:rFonts w:ascii="Garamond" w:hAnsi="Garamond" w:cs="Arial"/>
          <w:i/>
          <w:iCs/>
          <w:color w:val="000000"/>
          <w:lang w:val="en-GB"/>
        </w:rPr>
        <w:t>Galton</w:t>
      </w:r>
      <w:r w:rsidRPr="00A06A59">
        <w:rPr>
          <w:rFonts w:ascii="Garamond" w:hAnsi="Garamond" w:cs="Arial"/>
          <w:color w:val="000000"/>
          <w:lang w:val="en-GB"/>
        </w:rPr>
        <w:t xml:space="preserve"> seine Familienporträts erzeugt, nämlich beide Bilder aufeinanderprojiziert, wobei die gemeinsamen Züge verstärkt hervortreten, die nicht zusammenstimmenden einander auslöschen und im Bilde undeutlich werden. Im Onkeltraum hebt sich so als verstärkter Zug aus der zwei Personen gehörigen und darum verschwommenen Physiognomie der </w:t>
      </w:r>
      <w:r w:rsidRPr="00A06A59">
        <w:rPr>
          <w:rFonts w:ascii="Garamond" w:hAnsi="Garamond" w:cs="Arial"/>
          <w:i/>
          <w:iCs/>
          <w:color w:val="000000"/>
          <w:lang w:val="en-GB"/>
        </w:rPr>
        <w:t>blonde Bart</w:t>
      </w:r>
      <w:r w:rsidRPr="00A06A59">
        <w:rPr>
          <w:rFonts w:ascii="Garamond" w:hAnsi="Garamond" w:cs="Arial"/>
          <w:color w:val="000000"/>
          <w:lang w:val="en-GB"/>
        </w:rPr>
        <w:t xml:space="preserve"> hervor, der überdies eine Anspielung auf meinen Vater und auf mich enthält, vermittelt durch die Beziehung zum Ergrauen.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Herstellung von Sammel- und Mischpersonen ist eines der Hauptarbeitsmittel der Traumverdichtung. Es wird sich bald der Anlaß ergeben, sie in einem anderen Zusammenhange zu behandeln.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Der Einfall »Dysenterie« im Injektionstraum ist gleichfalls mehrfach determiniert, einerseits durch den paraphasischen Gleichklang mit Diphtherie, anderseits durch die Beziehung auf den von mir in den Orient geschickten Patienten, dessen Hysterie verkannt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Als ein interessanter Fall von Verdichtung erweist sich auch die Erwähnung von » </w:t>
      </w:r>
      <w:r w:rsidRPr="00A06A59">
        <w:rPr>
          <w:rFonts w:ascii="Garamond" w:hAnsi="Garamond" w:cs="Arial"/>
          <w:i/>
          <w:iCs/>
          <w:color w:val="000000"/>
          <w:lang w:val="en-GB"/>
        </w:rPr>
        <w:t>Propylen</w:t>
      </w:r>
      <w:r w:rsidRPr="00A06A59">
        <w:rPr>
          <w:rFonts w:ascii="Garamond" w:hAnsi="Garamond" w:cs="Arial"/>
          <w:color w:val="000000"/>
          <w:lang w:val="en-GB"/>
        </w:rPr>
        <w:t xml:space="preserve">« im Traum. In den Traumgedanken war nicht » </w:t>
      </w:r>
      <w:r w:rsidRPr="00A06A59">
        <w:rPr>
          <w:rFonts w:ascii="Garamond" w:hAnsi="Garamond" w:cs="Arial"/>
          <w:i/>
          <w:iCs/>
          <w:color w:val="000000"/>
          <w:lang w:val="en-GB"/>
        </w:rPr>
        <w:t>Propylen</w:t>
      </w:r>
      <w:r w:rsidRPr="00A06A59">
        <w:rPr>
          <w:rFonts w:ascii="Garamond" w:hAnsi="Garamond" w:cs="Arial"/>
          <w:color w:val="000000"/>
          <w:lang w:val="en-GB"/>
        </w:rPr>
        <w:t xml:space="preserve">«, sondern » </w:t>
      </w:r>
      <w:r w:rsidRPr="00A06A59">
        <w:rPr>
          <w:rFonts w:ascii="Garamond" w:hAnsi="Garamond" w:cs="Arial"/>
          <w:i/>
          <w:iCs/>
          <w:color w:val="000000"/>
          <w:lang w:val="en-GB"/>
        </w:rPr>
        <w:t>Amylen</w:t>
      </w:r>
      <w:r w:rsidRPr="00A06A59">
        <w:rPr>
          <w:rFonts w:ascii="Garamond" w:hAnsi="Garamond" w:cs="Arial"/>
          <w:color w:val="000000"/>
          <w:lang w:val="en-GB"/>
        </w:rPr>
        <w:t xml:space="preserve">« enthalten. Man könnte meinen, daß hier eine einfache Verschiebung bei der Traumbildung Platz gegriffen hat. So ist es auch, allein diese Verschiebung dient den Zwecken der Verdichtung, wie folgender Nachtrag zur Traumanalyse zeigt. Wenn meine Aufmerksamkeit bei dem Worte » </w:t>
      </w:r>
      <w:r w:rsidRPr="00A06A59">
        <w:rPr>
          <w:rFonts w:ascii="Garamond" w:hAnsi="Garamond" w:cs="Arial"/>
          <w:i/>
          <w:iCs/>
          <w:color w:val="000000"/>
          <w:lang w:val="en-GB"/>
        </w:rPr>
        <w:t>Propylen</w:t>
      </w:r>
      <w:r w:rsidRPr="00A06A59">
        <w:rPr>
          <w:rFonts w:ascii="Garamond" w:hAnsi="Garamond" w:cs="Arial"/>
          <w:color w:val="000000"/>
          <w:lang w:val="en-GB"/>
        </w:rPr>
        <w:t xml:space="preserve">« noch einen Moment haltmacht, so fällt mir der Gleichklang mit dem Worte » </w:t>
      </w:r>
      <w:r w:rsidRPr="00A06A59">
        <w:rPr>
          <w:rFonts w:ascii="Garamond" w:hAnsi="Garamond" w:cs="Arial"/>
          <w:i/>
          <w:iCs/>
          <w:color w:val="000000"/>
          <w:lang w:val="en-GB"/>
        </w:rPr>
        <w:t>Propyläen</w:t>
      </w:r>
      <w:r w:rsidRPr="00A06A59">
        <w:rPr>
          <w:rFonts w:ascii="Garamond" w:hAnsi="Garamond" w:cs="Arial"/>
          <w:color w:val="000000"/>
          <w:lang w:val="en-GB"/>
        </w:rPr>
        <w:t xml:space="preserve">« ein. Die </w:t>
      </w:r>
      <w:r w:rsidRPr="00A06A59">
        <w:rPr>
          <w:rFonts w:ascii="Garamond" w:hAnsi="Garamond" w:cs="Arial"/>
          <w:i/>
          <w:iCs/>
          <w:color w:val="000000"/>
          <w:lang w:val="en-GB"/>
        </w:rPr>
        <w:t>Propyläen</w:t>
      </w:r>
      <w:r w:rsidRPr="00A06A59">
        <w:rPr>
          <w:rFonts w:ascii="Garamond" w:hAnsi="Garamond" w:cs="Arial"/>
          <w:color w:val="000000"/>
          <w:lang w:val="en-GB"/>
        </w:rPr>
        <w:t xml:space="preserve"> befinden sich aber nicht nur in Athen, sondern auch in München. In dieser Stadt habe ich ein Jahr vor dem Traum meinen damals schwerkranken Freund aufgesucht, dessen Erwähnung durch das bald auf </w:t>
      </w:r>
      <w:r w:rsidRPr="00A06A59">
        <w:rPr>
          <w:rFonts w:ascii="Garamond" w:hAnsi="Garamond" w:cs="Arial"/>
          <w:i/>
          <w:iCs/>
          <w:color w:val="000000"/>
          <w:lang w:val="en-GB"/>
        </w:rPr>
        <w:t>Propylen</w:t>
      </w:r>
      <w:r w:rsidRPr="00A06A59">
        <w:rPr>
          <w:rFonts w:ascii="Garamond" w:hAnsi="Garamond" w:cs="Arial"/>
          <w:color w:val="000000"/>
          <w:lang w:val="en-GB"/>
        </w:rPr>
        <w:t xml:space="preserve"> folgende </w:t>
      </w:r>
      <w:r w:rsidRPr="00A06A59">
        <w:rPr>
          <w:rFonts w:ascii="Garamond" w:hAnsi="Garamond" w:cs="Arial"/>
          <w:i/>
          <w:iCs/>
          <w:color w:val="000000"/>
          <w:lang w:val="en-GB"/>
        </w:rPr>
        <w:t>Trimethylamin</w:t>
      </w:r>
      <w:r w:rsidRPr="00A06A59">
        <w:rPr>
          <w:rFonts w:ascii="Garamond" w:hAnsi="Garamond" w:cs="Arial"/>
          <w:color w:val="000000"/>
          <w:lang w:val="en-GB"/>
        </w:rPr>
        <w:t xml:space="preserve"> des Traumes unverkennbar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gehe über den auffälligen Umstand hinweg, daß hier und anderswo bei der Traumanalyse Assoziationen von der verschiedensten Wertigkeit wie gleichwertig zur Gedankenverbindung benützt werden, und gebe der Versuchung nach, mir den Vorgang bei der Ersetzung von </w:t>
      </w:r>
      <w:r w:rsidRPr="00A06A59">
        <w:rPr>
          <w:rFonts w:ascii="Garamond" w:hAnsi="Garamond" w:cs="Arial"/>
          <w:i/>
          <w:iCs/>
          <w:color w:val="000000"/>
          <w:lang w:val="en-GB"/>
        </w:rPr>
        <w:t>Amylen</w:t>
      </w:r>
      <w:r w:rsidRPr="00A06A59">
        <w:rPr>
          <w:rFonts w:ascii="Garamond" w:hAnsi="Garamond" w:cs="Arial"/>
          <w:color w:val="000000"/>
          <w:lang w:val="en-GB"/>
        </w:rPr>
        <w:t xml:space="preserve"> in den Traumgedanken durch </w:t>
      </w:r>
      <w:r w:rsidRPr="00A06A59">
        <w:rPr>
          <w:rFonts w:ascii="Garamond" w:hAnsi="Garamond" w:cs="Arial"/>
          <w:i/>
          <w:iCs/>
          <w:color w:val="000000"/>
          <w:lang w:val="en-GB"/>
        </w:rPr>
        <w:t>Propylen</w:t>
      </w:r>
      <w:r w:rsidRPr="00A06A59">
        <w:rPr>
          <w:rFonts w:ascii="Garamond" w:hAnsi="Garamond" w:cs="Arial"/>
          <w:color w:val="000000"/>
          <w:lang w:val="en-GB"/>
        </w:rPr>
        <w:t xml:space="preserve"> in dem Trauminhalt gleichsam plastisch vorzustellen.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Hier befinde sich die Vorstellungsgruppe meines Freundes Otto, der mich nicht versteht, mir unrecht gibt und mir nach Amylen duftenden Likör schenkt; dort durch Gegensatz verbunden die meines Berliner Freundes, der mich versteht, mir recht geben würde und dem ich soviel wertvolle Mitteilungen, auch über die Chemie der Sexualvorgänge, verdanke.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Was aus der Gruppe Otto meine Aufmerksamkeit besonders erregen soll, ist durch die rezenten, den Traum erregenden Anlässe bestimmt; das </w:t>
      </w:r>
      <w:r w:rsidRPr="00A06A59">
        <w:rPr>
          <w:rFonts w:ascii="Garamond" w:hAnsi="Garamond" w:cs="Arial"/>
          <w:i/>
          <w:iCs/>
          <w:color w:val="000000"/>
          <w:lang w:val="en-GB"/>
        </w:rPr>
        <w:t>Amylen</w:t>
      </w:r>
      <w:r w:rsidRPr="00A06A59">
        <w:rPr>
          <w:rFonts w:ascii="Garamond" w:hAnsi="Garamond" w:cs="Arial"/>
          <w:color w:val="000000"/>
          <w:lang w:val="en-GB"/>
        </w:rPr>
        <w:t xml:space="preserve"> gehört zu diesen ausgezeichneten, für den Trauminhalt prädestinierten Elementen. Die reiche Vorstellungsgruppe »Wilhelm« wird geradezu durch den Gegensatz zu Otto belebt und die Elemente in ihr hervorgehoben, welche an die bereits erregten in Otto anklingen. In diesem ganzen Traum rekurriere ich ja von einer Person, die mein Mißfallen erregt, auf eine andere, die ich ihr nach Wunsch entgegenstellen kann, rufe ich Zug für Zug den Freund gegen den Widersacher auf. So erweckt das Amylen bei Otto auch in der anderen Gruppe Erinnerungen aus dem Kreis der Chemie; das Trimethylamin, von mehreren Seiten her unterstützt, gelangt in den Trauminhalt. Auch »Amylen« könnte unverwandelt in den Trauminhalt kommen, es unterliegt aber der Einwirkung der Gruppe »Wilhelm«, indem aus dem ganzen Erinnerungsumfang, den dieser Name deckt, ein Element hervorgesucht wird, welches eine doppelte Determinierung für Amylen ergeben kann. In der Nähe von Amylen liegt für die Assoziation »Propylen«; aus dem Kreise »Wilhelm« kommt ihm München mit den Propyläen entgegen. In Propylen-Propyläen treffen beide Vorstellungskreise zusammen. Wie durch einen Kompromiß gelangt dieses mittlere Element dann in den Trauminhalt. Es ist hier ein mittleres Gemeinsames geschaffen worden, welches mehrfache Determinierung zuläßt. Wir greifen so mit Händen, daß die mehrfache Determinierung das Durchdringen in den Trauminhalt erleichtern muß. Zum Zwecke dieser Mittelbildung ist unbedenklich eine Verschiebung der Aufmerksamkeit von dem eigentlich Gemeinten zu einem in der Assoziation Naheliegenden vorgenommen worden.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Studium des Injektionstraums gestattet uns bereits, einige Übersicht über die Verdichtungsvorgänge bei der Traumbildung zu gewinnen. Wir konnten die Auswahl der mehrfach in den Traumgedanken vorkommenden Elemente, die Bildung neuer Einheiten (Sammelpersonen, Mischgebilde) und die Herstellung von mittleren Gemeinsamen als Einzelheiten der Verdichtungsarbeit erkennen. Wozu die Verdichtung dient und wodurch sie </w:t>
      </w:r>
      <w:r w:rsidRPr="00A06A59">
        <w:rPr>
          <w:rFonts w:ascii="Garamond" w:hAnsi="Garamond" w:cs="Arial"/>
          <w:color w:val="000000"/>
          <w:lang w:val="en-GB"/>
        </w:rPr>
        <w:lastRenderedPageBreak/>
        <w:t xml:space="preserve">gefordert wird, werden wir uns erst fragen, wenn wir die psychischen Vorgänge bei der Traumbildung im Zusammenhange erfassen wollen </w:t>
      </w:r>
      <w:r w:rsidRPr="00A06A59">
        <w:rPr>
          <w:rFonts w:ascii="Garamond" w:hAnsi="Garamond" w:cs="Arial"/>
          <w:i/>
          <w:iCs/>
          <w:color w:val="000000"/>
          <w:lang w:val="en-GB"/>
        </w:rPr>
        <w:t>.</w:t>
      </w:r>
      <w:r w:rsidRPr="00A06A59">
        <w:rPr>
          <w:rFonts w:ascii="Garamond" w:hAnsi="Garamond" w:cs="Arial"/>
          <w:color w:val="000000"/>
          <w:lang w:val="en-GB"/>
        </w:rPr>
        <w:t xml:space="preserve"> Begnügen wir uns jetzt mit der Feststellung der Traumverdichtung als einer bemerkenswerten Relation zwischen Traumgedanken und Trauminhalt.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Am greifbarsten wird die Verdichtungsarbeit des Traums, wenn sie Worte und Namen zu ihren Objekten gewählt hat. Worte werden vom Traum überhaupt häufig wie Dinge behandelt und erfahren dann dieselben Zusammensetzungen wie die Dingvorstellungen. Komische und seltsame Wortschöpfungen sind das Ergebnis solcher Träume.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1)</w:t>
      </w:r>
      <w:r w:rsidRPr="00A06A59">
        <w:rPr>
          <w:rFonts w:ascii="Garamond" w:hAnsi="Garamond" w:cs="Arial"/>
          <w:color w:val="000000"/>
          <w:lang w:val="en-GB"/>
        </w:rPr>
        <w:t xml:space="preserve"> Als mir einmal ein Kollege einen von ihm verfaßten Aufsatz überschickte, in welchem eine physiologische Entdeckung der Neuzeit nach meinem Urteil überschätzt und vor allem in überschwenglichen Ausdrücken abgehandelt war, da träumte ich die nächste Nacht einen Satz, der sich offenbar auf diese Abhandlung bezog: » </w:t>
      </w:r>
      <w:r w:rsidRPr="00A06A59">
        <w:rPr>
          <w:rFonts w:ascii="Garamond" w:hAnsi="Garamond" w:cs="Arial"/>
          <w:i/>
          <w:iCs/>
          <w:color w:val="000000"/>
          <w:lang w:val="en-GB"/>
        </w:rPr>
        <w:t>Das ist ein wahrhaft norekdaler Stil.</w:t>
      </w:r>
      <w:r w:rsidRPr="00A06A59">
        <w:rPr>
          <w:rFonts w:ascii="Garamond" w:hAnsi="Garamond" w:cs="Arial"/>
          <w:color w:val="000000"/>
          <w:lang w:val="en-GB"/>
        </w:rPr>
        <w:t xml:space="preserve">« Die Auflösung des Wortgebildes bereitete mir anfänglich Schwierigkeiten; es war nicht zweifelhaft, daß es den Superlativen »kolossal, pyramidal« parodistisch nachgeschaffen war; aber woher es stammte, war nicht leicht zu sagen. Endlich zerfiel mir das Ungetüm in die beiden Namen </w:t>
      </w:r>
      <w:r w:rsidRPr="00A06A59">
        <w:rPr>
          <w:rFonts w:ascii="Garamond" w:hAnsi="Garamond" w:cs="Arial"/>
          <w:i/>
          <w:iCs/>
          <w:color w:val="000000"/>
          <w:lang w:val="en-GB"/>
        </w:rPr>
        <w:t>Nora</w:t>
      </w:r>
      <w:r w:rsidRPr="00A06A59">
        <w:rPr>
          <w:rFonts w:ascii="Garamond" w:hAnsi="Garamond" w:cs="Arial"/>
          <w:color w:val="000000"/>
          <w:lang w:val="en-GB"/>
        </w:rPr>
        <w:t xml:space="preserve"> und </w:t>
      </w:r>
      <w:r w:rsidRPr="00A06A59">
        <w:rPr>
          <w:rFonts w:ascii="Garamond" w:hAnsi="Garamond" w:cs="Arial"/>
          <w:i/>
          <w:iCs/>
          <w:color w:val="000000"/>
          <w:lang w:val="en-GB"/>
        </w:rPr>
        <w:t>Ekdal</w:t>
      </w:r>
      <w:r w:rsidRPr="00A06A59">
        <w:rPr>
          <w:rFonts w:ascii="Garamond" w:hAnsi="Garamond" w:cs="Arial"/>
          <w:color w:val="000000"/>
          <w:lang w:val="en-GB"/>
        </w:rPr>
        <w:t xml:space="preserve"> aus zwei bekannten Schauspielen von </w:t>
      </w:r>
      <w:r w:rsidRPr="00A06A59">
        <w:rPr>
          <w:rFonts w:ascii="Garamond" w:hAnsi="Garamond" w:cs="Arial"/>
          <w:i/>
          <w:iCs/>
          <w:color w:val="000000"/>
          <w:lang w:val="en-GB"/>
        </w:rPr>
        <w:t>Ibsen</w:t>
      </w:r>
      <w:r w:rsidRPr="00A06A59">
        <w:rPr>
          <w:rFonts w:ascii="Garamond" w:hAnsi="Garamond" w:cs="Arial"/>
          <w:color w:val="000000"/>
          <w:lang w:val="en-GB"/>
        </w:rPr>
        <w:t>. Von demselben Autor, dessen letztes Opus ich im Traum also kritisierte, hatte ich vorher einen Zeitungsaufsatz über Ibsen gelesen.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2)</w:t>
      </w:r>
      <w:r w:rsidRPr="00A06A59">
        <w:rPr>
          <w:rFonts w:ascii="Garamond" w:hAnsi="Garamond" w:cs="Arial"/>
          <w:color w:val="000000"/>
          <w:lang w:val="en-GB"/>
        </w:rPr>
        <w:t xml:space="preserve"> Eine meiner Patientinnen teilt mir einen kurzen Traum mit, der in eine unsinnige Wortkombination ausläuft. Sie befindet sich mit ihrem Manne bei einer Bauernfestlichkeit und sagt dann: » </w:t>
      </w:r>
      <w:r w:rsidRPr="00A06A59">
        <w:rPr>
          <w:rFonts w:ascii="Garamond" w:hAnsi="Garamond" w:cs="Arial"/>
          <w:i/>
          <w:iCs/>
          <w:color w:val="000000"/>
          <w:lang w:val="en-GB"/>
        </w:rPr>
        <w:t>Das wird in einen allgemeinen ›Maistollmütz‹ ausgehen.</w:t>
      </w:r>
      <w:r w:rsidRPr="00A06A59">
        <w:rPr>
          <w:rFonts w:ascii="Garamond" w:hAnsi="Garamond" w:cs="Arial"/>
          <w:color w:val="000000"/>
          <w:lang w:val="en-GB"/>
        </w:rPr>
        <w:t xml:space="preserve">« </w:t>
      </w:r>
      <w:r w:rsidRPr="00A06A59">
        <w:rPr>
          <w:rFonts w:ascii="Garamond" w:hAnsi="Garamond" w:cs="Arial"/>
          <w:color w:val="000000"/>
        </w:rPr>
        <w:t xml:space="preserve">Dabei im Traum der dunkle Gedanke, das sei eine Mehlspeise aus Mais, eine Art Polenta. </w:t>
      </w:r>
      <w:r w:rsidRPr="00A06A59">
        <w:rPr>
          <w:rFonts w:ascii="Garamond" w:hAnsi="Garamond" w:cs="Arial"/>
          <w:color w:val="000000"/>
          <w:lang w:val="en-GB"/>
        </w:rPr>
        <w:t xml:space="preserve">Die Analyse zerlegt das Wort in </w:t>
      </w:r>
      <w:r w:rsidRPr="00A06A59">
        <w:rPr>
          <w:rFonts w:ascii="Garamond" w:hAnsi="Garamond" w:cs="Arial"/>
          <w:i/>
          <w:iCs/>
          <w:color w:val="000000"/>
          <w:lang w:val="en-GB"/>
        </w:rPr>
        <w:t>Mais – toll – mannstoll – Olmütz</w:t>
      </w:r>
      <w:r w:rsidRPr="00A06A59">
        <w:rPr>
          <w:rFonts w:ascii="Garamond" w:hAnsi="Garamond" w:cs="Arial"/>
          <w:color w:val="000000"/>
          <w:lang w:val="en-GB"/>
        </w:rPr>
        <w:t xml:space="preserve">, welche Stücke sich sämtlich als Rest einer Konversation bei Tisch mit ihren Verwandten erkennen lassen. Hinter </w:t>
      </w:r>
      <w:r w:rsidRPr="00A06A59">
        <w:rPr>
          <w:rFonts w:ascii="Garamond" w:hAnsi="Garamond" w:cs="Arial"/>
          <w:i/>
          <w:iCs/>
          <w:color w:val="000000"/>
          <w:lang w:val="en-GB"/>
        </w:rPr>
        <w:t>Mais</w:t>
      </w:r>
      <w:r w:rsidRPr="00A06A59">
        <w:rPr>
          <w:rFonts w:ascii="Garamond" w:hAnsi="Garamond" w:cs="Arial"/>
          <w:color w:val="000000"/>
          <w:lang w:val="en-GB"/>
        </w:rPr>
        <w:t xml:space="preserve"> verbergen sich außer der Anspielung auf die eben eröffnete Jubiläumsausstellung die Worte: </w:t>
      </w:r>
      <w:r w:rsidRPr="00A06A59">
        <w:rPr>
          <w:rFonts w:ascii="Garamond" w:hAnsi="Garamond" w:cs="Arial"/>
          <w:i/>
          <w:iCs/>
          <w:color w:val="000000"/>
          <w:lang w:val="en-GB"/>
        </w:rPr>
        <w:t>Meißen</w:t>
      </w:r>
      <w:r w:rsidRPr="00A06A59">
        <w:rPr>
          <w:rFonts w:ascii="Garamond" w:hAnsi="Garamond" w:cs="Arial"/>
          <w:color w:val="000000"/>
          <w:lang w:val="en-GB"/>
        </w:rPr>
        <w:t xml:space="preserve"> (eine </w:t>
      </w:r>
      <w:r w:rsidRPr="00A06A59">
        <w:rPr>
          <w:rFonts w:ascii="Garamond" w:hAnsi="Garamond" w:cs="Arial"/>
          <w:i/>
          <w:iCs/>
          <w:color w:val="000000"/>
          <w:lang w:val="en-GB"/>
        </w:rPr>
        <w:t>Meißner</w:t>
      </w:r>
      <w:r w:rsidRPr="00A06A59">
        <w:rPr>
          <w:rFonts w:ascii="Garamond" w:hAnsi="Garamond" w:cs="Arial"/>
          <w:color w:val="000000"/>
          <w:lang w:val="en-GB"/>
        </w:rPr>
        <w:t xml:space="preserve"> Porzellanfigur, die einen Vogel darstellt), </w:t>
      </w:r>
      <w:r w:rsidRPr="00A06A59">
        <w:rPr>
          <w:rFonts w:ascii="Garamond" w:hAnsi="Garamond" w:cs="Arial"/>
          <w:i/>
          <w:iCs/>
          <w:color w:val="000000"/>
          <w:lang w:val="en-GB"/>
        </w:rPr>
        <w:t>Miß</w:t>
      </w:r>
      <w:r w:rsidRPr="00A06A59">
        <w:rPr>
          <w:rFonts w:ascii="Garamond" w:hAnsi="Garamond" w:cs="Arial"/>
          <w:color w:val="000000"/>
          <w:lang w:val="en-GB"/>
        </w:rPr>
        <w:t xml:space="preserve"> (die Engländerin ihrer Verwandten war nach </w:t>
      </w:r>
      <w:r w:rsidRPr="00A06A59">
        <w:rPr>
          <w:rFonts w:ascii="Garamond" w:hAnsi="Garamond" w:cs="Arial"/>
          <w:i/>
          <w:iCs/>
          <w:color w:val="000000"/>
          <w:lang w:val="en-GB"/>
        </w:rPr>
        <w:t>Olmütz</w:t>
      </w:r>
      <w:r w:rsidRPr="00A06A59">
        <w:rPr>
          <w:rFonts w:ascii="Garamond" w:hAnsi="Garamond" w:cs="Arial"/>
          <w:color w:val="000000"/>
          <w:lang w:val="en-GB"/>
        </w:rPr>
        <w:t xml:space="preserve"> gereist), </w:t>
      </w:r>
      <w:r w:rsidRPr="00A06A59">
        <w:rPr>
          <w:rFonts w:ascii="Garamond" w:hAnsi="Garamond" w:cs="Arial"/>
          <w:i/>
          <w:iCs/>
          <w:color w:val="000000"/>
          <w:lang w:val="en-GB"/>
        </w:rPr>
        <w:t>mies =</w:t>
      </w:r>
      <w:r w:rsidRPr="00A06A59">
        <w:rPr>
          <w:rFonts w:ascii="Garamond" w:hAnsi="Garamond" w:cs="Arial"/>
          <w:color w:val="000000"/>
          <w:lang w:val="en-GB"/>
        </w:rPr>
        <w:t xml:space="preserve"> ekel, übel im scherzhaft gebrauchten jüdischen Jargon, und eine lange Kette von Gedanken und Anknüpfungen ging von jeder der Silben des Wortklumpens ab.</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3)</w:t>
      </w:r>
      <w:r w:rsidRPr="00A06A59">
        <w:rPr>
          <w:rFonts w:ascii="Garamond" w:hAnsi="Garamond" w:cs="Arial"/>
          <w:color w:val="000000"/>
          <w:lang w:val="en-GB"/>
        </w:rPr>
        <w:t xml:space="preserve"> Ein junger Mann, bei dem ein Bekannter spät abends angeläutet hat, um eine Besuchskarte abzugeben, träumt in der darauffolgenden Nacht: </w:t>
      </w:r>
      <w:r w:rsidRPr="00A06A59">
        <w:rPr>
          <w:rFonts w:ascii="Garamond" w:hAnsi="Garamond" w:cs="Arial"/>
          <w:i/>
          <w:iCs/>
          <w:color w:val="000000"/>
          <w:lang w:val="en-GB"/>
        </w:rPr>
        <w:t>Ein Geschäftsmann wartet spät abends, um den Zimmertelegraphen zu richten. Nachdem er weggegangen ist, läutet es noch immer, nicht kontinuierlich, sondern nur in einzelnen Schlägen. Der Diener holt den Mann wieder, und der sagt: Es ist doch merkwürdig, daß auch Leute, die sonst tutelrein sind, solche Angelegenheiten nicht zu behandeln verstehen.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Der indifferente Traumanlaß deckt, wie man sieht, nur eines der Elemente des Traumes. Zur Bedeutung ist er überhaupt nur gekommen, indem er sich an ein früheres Erlebnis des Träumers angereiht hat, das, an sich auch gleichgültig, von seiner Phantasie mit stellvertretender Bedeutung ausgestattet wurde. Als Knabe, der mit seinem Vater wohnte, schüttete er einmal schlaftrunken ein Glas Wasser auf den Boden, so daß das Kabel des Zimmertelegraphen durchtränkt wurde und das </w:t>
      </w:r>
      <w:r w:rsidRPr="00A06A59">
        <w:rPr>
          <w:rFonts w:ascii="Garamond" w:hAnsi="Garamond" w:cs="Arial"/>
          <w:i/>
          <w:iCs/>
          <w:color w:val="000000"/>
        </w:rPr>
        <w:t>kontinuierliche Läuten</w:t>
      </w:r>
      <w:r w:rsidRPr="00A06A59">
        <w:rPr>
          <w:rFonts w:ascii="Garamond" w:hAnsi="Garamond" w:cs="Arial"/>
          <w:color w:val="000000"/>
        </w:rPr>
        <w:t xml:space="preserve"> den Vater im Schlaf störte. Da das kontinuierliche Läuten dem Naßwerden entspricht, so werden dann » </w:t>
      </w:r>
      <w:r w:rsidRPr="00A06A59">
        <w:rPr>
          <w:rFonts w:ascii="Garamond" w:hAnsi="Garamond" w:cs="Arial"/>
          <w:i/>
          <w:iCs/>
          <w:color w:val="000000"/>
        </w:rPr>
        <w:t>einzelne Schläge</w:t>
      </w:r>
      <w:r w:rsidRPr="00A06A59">
        <w:rPr>
          <w:rFonts w:ascii="Garamond" w:hAnsi="Garamond" w:cs="Arial"/>
          <w:color w:val="000000"/>
        </w:rPr>
        <w:t xml:space="preserve">« zur Darstellung des </w:t>
      </w:r>
      <w:r w:rsidRPr="00A06A59">
        <w:rPr>
          <w:rFonts w:ascii="Garamond" w:hAnsi="Garamond" w:cs="Arial"/>
          <w:i/>
          <w:iCs/>
          <w:color w:val="000000"/>
        </w:rPr>
        <w:t>Tropfenfallens</w:t>
      </w:r>
      <w:r w:rsidRPr="00A06A59">
        <w:rPr>
          <w:rFonts w:ascii="Garamond" w:hAnsi="Garamond" w:cs="Arial"/>
          <w:color w:val="000000"/>
        </w:rPr>
        <w:t xml:space="preserve"> verwendet. Das Wort » </w:t>
      </w:r>
      <w:r w:rsidRPr="00A06A59">
        <w:rPr>
          <w:rFonts w:ascii="Garamond" w:hAnsi="Garamond" w:cs="Arial"/>
          <w:i/>
          <w:iCs/>
          <w:color w:val="000000"/>
        </w:rPr>
        <w:t>tutelrein</w:t>
      </w:r>
      <w:r w:rsidRPr="00A06A59">
        <w:rPr>
          <w:rFonts w:ascii="Garamond" w:hAnsi="Garamond" w:cs="Arial"/>
          <w:color w:val="000000"/>
        </w:rPr>
        <w:t xml:space="preserve">« zerlegt sich aber nach drei Richtungen und zielt damit auf drei der in den Traumgedanken vertretenen Materien: » </w:t>
      </w:r>
      <w:r w:rsidRPr="00A06A59">
        <w:rPr>
          <w:rFonts w:ascii="Garamond" w:hAnsi="Garamond" w:cs="Arial"/>
          <w:i/>
          <w:iCs/>
          <w:color w:val="000000"/>
        </w:rPr>
        <w:t>Tutel</w:t>
      </w:r>
      <w:r w:rsidRPr="00A06A59">
        <w:rPr>
          <w:rFonts w:ascii="Garamond" w:hAnsi="Garamond" w:cs="Arial"/>
          <w:color w:val="000000"/>
        </w:rPr>
        <w:t xml:space="preserve">« = </w:t>
      </w:r>
      <w:r w:rsidRPr="00A06A59">
        <w:rPr>
          <w:rFonts w:ascii="Garamond" w:hAnsi="Garamond" w:cs="Arial"/>
          <w:i/>
          <w:iCs/>
          <w:color w:val="000000"/>
        </w:rPr>
        <w:t>Kuratel</w:t>
      </w:r>
      <w:r w:rsidRPr="00A06A59">
        <w:rPr>
          <w:rFonts w:ascii="Garamond" w:hAnsi="Garamond" w:cs="Arial"/>
          <w:color w:val="000000"/>
        </w:rPr>
        <w:t xml:space="preserve"> bedeutet Vormundschaft; </w:t>
      </w:r>
      <w:r w:rsidRPr="00A06A59">
        <w:rPr>
          <w:rFonts w:ascii="Garamond" w:hAnsi="Garamond" w:cs="Arial"/>
          <w:i/>
          <w:iCs/>
          <w:color w:val="000000"/>
        </w:rPr>
        <w:t>Tutel</w:t>
      </w:r>
      <w:r w:rsidRPr="00A06A59">
        <w:rPr>
          <w:rFonts w:ascii="Garamond" w:hAnsi="Garamond" w:cs="Arial"/>
          <w:color w:val="000000"/>
        </w:rPr>
        <w:t xml:space="preserve"> (vielleicht » </w:t>
      </w:r>
      <w:r w:rsidRPr="00A06A59">
        <w:rPr>
          <w:rFonts w:ascii="Garamond" w:hAnsi="Garamond" w:cs="Arial"/>
          <w:i/>
          <w:iCs/>
          <w:color w:val="000000"/>
        </w:rPr>
        <w:t>Tuttel</w:t>
      </w:r>
      <w:r w:rsidRPr="00A06A59">
        <w:rPr>
          <w:rFonts w:ascii="Garamond" w:hAnsi="Garamond" w:cs="Arial"/>
          <w:color w:val="000000"/>
        </w:rPr>
        <w:t xml:space="preserve">«) ist eine vulgäre Bezeichnung der weiblichen Brust, und Bestandteil »rein« übernimmt die ersten Silben des Zimmertelegraphen um » </w:t>
      </w:r>
      <w:r w:rsidRPr="00A06A59">
        <w:rPr>
          <w:rFonts w:ascii="Garamond" w:hAnsi="Garamond" w:cs="Arial"/>
          <w:i/>
          <w:iCs/>
          <w:color w:val="000000"/>
        </w:rPr>
        <w:t>zimmerrein</w:t>
      </w:r>
      <w:r w:rsidRPr="00A06A59">
        <w:rPr>
          <w:rFonts w:ascii="Garamond" w:hAnsi="Garamond" w:cs="Arial"/>
          <w:color w:val="000000"/>
        </w:rPr>
        <w:t xml:space="preserve">« zu bilden, was mit dem Naßmachen des Fußbodens viel zu tun hat und überdies an einen der in der Familie des Träumers vertretenen Namen anklingt </w:t>
      </w:r>
      <w:hyperlink r:id="rId134"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Die nämliche Zerlegung und Zusammensetzung der Silben eine wahre Silbenchemie dient uns im Wachen zu mannigfachen Scherzen. »Wie gewinnt man auf die billigste Art Silber? </w:t>
        </w:r>
        <w:r w:rsidRPr="00A06A59">
          <w:rPr>
            <w:rStyle w:val="innerfusslink3"/>
            <w:rFonts w:ascii="Garamond" w:hAnsi="Garamond" w:cs="Arial"/>
            <w:b/>
            <w:bCs/>
            <w:lang w:val="en-GB"/>
          </w:rPr>
          <w:t>Man begibt sich in eine Allee, in der Silberpappeln stehen, gebietet Schweigen, dann hört das Pappeln (Schwätzen) auf, und das Silber wird frei.« Der erste Leser und Kritiker dieses Buches hat mir den Einwand gemacht, den die späteren wahrscheinlich wiederholen werden, »daß der Träumer oft zu witzig erscheine«. Das ist richtig, solange es nur auf den Träumer bezogen wird, involviert einen Vorwurf nur dann, wenn es auf den Traumdeuter übergreifen soll. In der wachen Wirklichkeit kann ich wenig Anspruch auf das Prädikat »witzig« erheben; wenn meine Träume witzig erscheinen, so liegt es nicht an meiner Person, sondern an den eigentümlichen psychologischen Bedingungen, unter denen der Traum gearbeitet wird, und hängt mit der Theorie des Witzigen und Komischen intim zusammen. Der Traum wird witzig, weil ihm der gerade und nächste Weg zum Ausdruck seiner Gedanken gesperrt ist; er wird es notgedrungen. Die Leser können sich überzeugen, daß Träume meiner Patienten den Eindruck des Witzigen (Witzelnden) im selben und im höheren Grade machen wie die meinen. Immerhin gab mir dieser Vorwurf Anlaß, die Technik des Witzes mit der Traumarbeit zu vergleichen, was in dem 1905 veröffentlichten Buche »Der Witz und seine Beziehung zum Unbewußten« geschehen ist (Ges. Schriften, Bd. IX)</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lastRenderedPageBreak/>
        <w:t>4)</w:t>
      </w:r>
      <w:r w:rsidRPr="00A06A59">
        <w:rPr>
          <w:rFonts w:ascii="Garamond" w:hAnsi="Garamond" w:cs="Arial"/>
          <w:color w:val="000000"/>
          <w:lang w:val="en-GB"/>
        </w:rPr>
        <w:t xml:space="preserve"> In einem längeren wüsten Traum von mir, der eine Schiffsreise zum scheinbaren Mittelpunkt hat, kommt es vor, daß die nächste Station </w:t>
      </w:r>
      <w:r w:rsidRPr="00A06A59">
        <w:rPr>
          <w:rFonts w:ascii="Garamond" w:hAnsi="Garamond" w:cs="Arial"/>
          <w:i/>
          <w:iCs/>
          <w:color w:val="000000"/>
          <w:lang w:val="en-GB"/>
        </w:rPr>
        <w:t>Hearsing</w:t>
      </w:r>
      <w:r w:rsidRPr="00A06A59">
        <w:rPr>
          <w:rFonts w:ascii="Garamond" w:hAnsi="Garamond" w:cs="Arial"/>
          <w:color w:val="000000"/>
          <w:lang w:val="en-GB"/>
        </w:rPr>
        <w:t xml:space="preserve"> heißt, die nächst weitere aber </w:t>
      </w:r>
      <w:r w:rsidRPr="00A06A59">
        <w:rPr>
          <w:rFonts w:ascii="Garamond" w:hAnsi="Garamond" w:cs="Arial"/>
          <w:i/>
          <w:iCs/>
          <w:color w:val="000000"/>
          <w:lang w:val="en-GB"/>
        </w:rPr>
        <w:t>Fließ</w:t>
      </w:r>
      <w:r w:rsidRPr="00A06A59">
        <w:rPr>
          <w:rFonts w:ascii="Garamond" w:hAnsi="Garamond" w:cs="Arial"/>
          <w:color w:val="000000"/>
          <w:lang w:val="en-GB"/>
        </w:rPr>
        <w:t xml:space="preserve">. Letzteres ist der Name meines Freundes in B., der oft das Ziel meiner Reise gewesen ist. </w:t>
      </w:r>
      <w:r w:rsidRPr="00A06A59">
        <w:rPr>
          <w:rFonts w:ascii="Garamond" w:hAnsi="Garamond" w:cs="Arial"/>
          <w:i/>
          <w:iCs/>
          <w:color w:val="000000"/>
          <w:lang w:val="en-GB"/>
        </w:rPr>
        <w:t>Hearsing</w:t>
      </w:r>
      <w:r w:rsidRPr="00A06A59">
        <w:rPr>
          <w:rFonts w:ascii="Garamond" w:hAnsi="Garamond" w:cs="Arial"/>
          <w:color w:val="000000"/>
          <w:lang w:val="en-GB"/>
        </w:rPr>
        <w:t xml:space="preserve"> aber ist kombiniert aus den Ortsnamen unserer Wiener Lokalstrecke, die so häufig auf </w:t>
      </w:r>
      <w:r w:rsidRPr="00A06A59">
        <w:rPr>
          <w:rFonts w:ascii="Garamond" w:hAnsi="Garamond" w:cs="Arial"/>
          <w:i/>
          <w:iCs/>
          <w:color w:val="000000"/>
          <w:lang w:val="en-GB"/>
        </w:rPr>
        <w:t>ing</w:t>
      </w:r>
      <w:r w:rsidRPr="00A06A59">
        <w:rPr>
          <w:rFonts w:ascii="Garamond" w:hAnsi="Garamond" w:cs="Arial"/>
          <w:color w:val="000000"/>
          <w:lang w:val="en-GB"/>
        </w:rPr>
        <w:t xml:space="preserve"> ausgehen: Hietzing, Liesing, Mödling (Medelitz, </w:t>
      </w:r>
      <w:r w:rsidRPr="00A06A59">
        <w:rPr>
          <w:rFonts w:ascii="Garamond" w:hAnsi="Garamond" w:cs="Arial"/>
          <w:i/>
          <w:iCs/>
          <w:color w:val="000000"/>
          <w:lang w:val="en-GB"/>
        </w:rPr>
        <w:t>meae deliciae</w:t>
      </w:r>
      <w:r w:rsidRPr="00A06A59">
        <w:rPr>
          <w:rFonts w:ascii="Garamond" w:hAnsi="Garamond" w:cs="Arial"/>
          <w:color w:val="000000"/>
          <w:lang w:val="en-GB"/>
        </w:rPr>
        <w:t xml:space="preserve"> der alte Name, also » </w:t>
      </w:r>
      <w:r w:rsidRPr="00A06A59">
        <w:rPr>
          <w:rFonts w:ascii="Garamond" w:hAnsi="Garamond" w:cs="Arial"/>
          <w:i/>
          <w:iCs/>
          <w:color w:val="000000"/>
          <w:lang w:val="en-GB"/>
        </w:rPr>
        <w:t>meine Freud</w:t>
      </w:r>
      <w:r w:rsidRPr="00A06A59">
        <w:rPr>
          <w:rFonts w:ascii="Garamond" w:hAnsi="Garamond" w:cs="Arial"/>
          <w:color w:val="000000"/>
          <w:lang w:val="en-GB"/>
        </w:rPr>
        <w:t xml:space="preserve">«), und dem englischen </w:t>
      </w:r>
      <w:r w:rsidRPr="00A06A59">
        <w:rPr>
          <w:rFonts w:ascii="Garamond" w:hAnsi="Garamond" w:cs="Arial"/>
          <w:i/>
          <w:iCs/>
          <w:color w:val="000000"/>
          <w:lang w:val="en-GB"/>
        </w:rPr>
        <w:t>Hearsay</w:t>
      </w:r>
      <w:r w:rsidRPr="00A06A59">
        <w:rPr>
          <w:rFonts w:ascii="Garamond" w:hAnsi="Garamond" w:cs="Arial"/>
          <w:color w:val="000000"/>
          <w:lang w:val="en-GB"/>
        </w:rPr>
        <w:t xml:space="preserve"> = Hörensagen, was auf Verleumdung deutet und die Beziehung zu dem indifferenten Traumerreger des Tages herstellt, einem Gedicht in den </w:t>
      </w:r>
      <w:r w:rsidRPr="00A06A59">
        <w:rPr>
          <w:rFonts w:ascii="Garamond" w:hAnsi="Garamond" w:cs="Arial"/>
          <w:i/>
          <w:iCs/>
          <w:color w:val="000000"/>
          <w:lang w:val="en-GB"/>
        </w:rPr>
        <w:t>Fliegenden Blättern</w:t>
      </w:r>
      <w:r w:rsidRPr="00A06A59">
        <w:rPr>
          <w:rFonts w:ascii="Garamond" w:hAnsi="Garamond" w:cs="Arial"/>
          <w:color w:val="000000"/>
          <w:lang w:val="en-GB"/>
        </w:rPr>
        <w:t xml:space="preserve"> von einem verleumderischen Zwerg, »Sagter Hatergesagt«. Durch Beziehung der Endsilbe » </w:t>
      </w:r>
      <w:r w:rsidRPr="00A06A59">
        <w:rPr>
          <w:rFonts w:ascii="Garamond" w:hAnsi="Garamond" w:cs="Arial"/>
          <w:i/>
          <w:iCs/>
          <w:color w:val="000000"/>
          <w:lang w:val="en-GB"/>
        </w:rPr>
        <w:t>ing</w:t>
      </w:r>
      <w:r w:rsidRPr="00A06A59">
        <w:rPr>
          <w:rFonts w:ascii="Garamond" w:hAnsi="Garamond" w:cs="Arial"/>
          <w:color w:val="000000"/>
          <w:lang w:val="en-GB"/>
        </w:rPr>
        <w:t xml:space="preserve">« zum Namen </w:t>
      </w:r>
      <w:r w:rsidRPr="00A06A59">
        <w:rPr>
          <w:rFonts w:ascii="Garamond" w:hAnsi="Garamond" w:cs="Arial"/>
          <w:i/>
          <w:iCs/>
          <w:color w:val="000000"/>
          <w:lang w:val="en-GB"/>
        </w:rPr>
        <w:t>Fließ</w:t>
      </w:r>
      <w:r w:rsidRPr="00A06A59">
        <w:rPr>
          <w:rFonts w:ascii="Garamond" w:hAnsi="Garamond" w:cs="Arial"/>
          <w:color w:val="000000"/>
          <w:lang w:val="en-GB"/>
        </w:rPr>
        <w:t xml:space="preserve"> gewinnt man » </w:t>
      </w:r>
      <w:r w:rsidRPr="00A06A59">
        <w:rPr>
          <w:rFonts w:ascii="Garamond" w:hAnsi="Garamond" w:cs="Arial"/>
          <w:i/>
          <w:iCs/>
          <w:color w:val="000000"/>
          <w:lang w:val="en-GB"/>
        </w:rPr>
        <w:t>Vlissingen</w:t>
      </w:r>
      <w:r w:rsidRPr="00A06A59">
        <w:rPr>
          <w:rFonts w:ascii="Garamond" w:hAnsi="Garamond" w:cs="Arial"/>
          <w:color w:val="000000"/>
          <w:lang w:val="en-GB"/>
        </w:rPr>
        <w:t xml:space="preserve">«, wirklich die Station der Seereise, die mein Bruder berührt, wenn er von England zu uns auf Besuch kommt. Der englische Name von </w:t>
      </w:r>
      <w:r w:rsidRPr="00A06A59">
        <w:rPr>
          <w:rFonts w:ascii="Garamond" w:hAnsi="Garamond" w:cs="Arial"/>
          <w:i/>
          <w:iCs/>
          <w:color w:val="000000"/>
          <w:lang w:val="en-GB"/>
        </w:rPr>
        <w:t>Vlissingen</w:t>
      </w:r>
      <w:r w:rsidRPr="00A06A59">
        <w:rPr>
          <w:rFonts w:ascii="Garamond" w:hAnsi="Garamond" w:cs="Arial"/>
          <w:color w:val="000000"/>
          <w:lang w:val="en-GB"/>
        </w:rPr>
        <w:t xml:space="preserve"> lautet aber </w:t>
      </w:r>
      <w:r w:rsidRPr="00A06A59">
        <w:rPr>
          <w:rFonts w:ascii="Garamond" w:hAnsi="Garamond" w:cs="Arial"/>
          <w:i/>
          <w:iCs/>
          <w:color w:val="000000"/>
          <w:lang w:val="en-GB"/>
        </w:rPr>
        <w:t>Flushing</w:t>
      </w:r>
      <w:r w:rsidRPr="00A06A59">
        <w:rPr>
          <w:rFonts w:ascii="Garamond" w:hAnsi="Garamond" w:cs="Arial"/>
          <w:color w:val="000000"/>
          <w:lang w:val="en-GB"/>
        </w:rPr>
        <w:t>, was in englischer Sprache Erröten bedeutet und an die Patienten mit »Errötensangst« mahnt, die ich behandle, auch an eine rezente Publikation Bechterews über diese Neurose, die mir Anlaß zu ärgerlichen Empfindungen gegeben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5)</w:t>
      </w:r>
      <w:r w:rsidRPr="00A06A59">
        <w:rPr>
          <w:rFonts w:ascii="Garamond" w:hAnsi="Garamond" w:cs="Arial"/>
          <w:color w:val="000000"/>
          <w:lang w:val="en-GB"/>
        </w:rPr>
        <w:t xml:space="preserve"> Ein anderes Mal habe ich einen Traum, der aus zwei gesonderten Stücken besteht. Das erste ist das lebhaft erinnerte Wort » </w:t>
      </w:r>
      <w:r w:rsidRPr="00A06A59">
        <w:rPr>
          <w:rFonts w:ascii="Garamond" w:hAnsi="Garamond" w:cs="Arial"/>
          <w:i/>
          <w:iCs/>
          <w:color w:val="000000"/>
          <w:lang w:val="en-GB"/>
        </w:rPr>
        <w:t>Autodidasker</w:t>
      </w:r>
      <w:r w:rsidRPr="00A06A59">
        <w:rPr>
          <w:rFonts w:ascii="Garamond" w:hAnsi="Garamond" w:cs="Arial"/>
          <w:color w:val="000000"/>
          <w:lang w:val="en-GB"/>
        </w:rPr>
        <w:t xml:space="preserve">«, das andere deckt sich getreu mit einer vor Tagen produzierten, kurzen und harmlosen Phantasie des Inhalts, daß ich dem ProfessorN., wenn ich ihn nächstens sehe, sagen muß: »Der Patient, über dessen Zustand ich Sie zuletzt konsultiert habe, leidet wirklich nur an einer Neurose, ganz wie Sie vermutet haben.« Das neugebildete » </w:t>
      </w:r>
      <w:r w:rsidRPr="00A06A59">
        <w:rPr>
          <w:rFonts w:ascii="Garamond" w:hAnsi="Garamond" w:cs="Arial"/>
          <w:i/>
          <w:iCs/>
          <w:color w:val="000000"/>
          <w:lang w:val="en-GB"/>
        </w:rPr>
        <w:t>Autodidasker</w:t>
      </w:r>
      <w:r w:rsidRPr="00A06A59">
        <w:rPr>
          <w:rFonts w:ascii="Garamond" w:hAnsi="Garamond" w:cs="Arial"/>
          <w:color w:val="000000"/>
          <w:lang w:val="en-GB"/>
        </w:rPr>
        <w:t>« hat nun nicht nur der Anforderung zu genügen, daß es komprimierten Sinn enthält oder vertritt, es soll auch dieser Sinn in gutem Zusammenhange mit meinem aus dem Wachen wiederholten Vorsatze stehen, dem ProfessorN. jene Genugtuung zu geben.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Nun zerlegt sich </w:t>
      </w:r>
      <w:r w:rsidRPr="00A06A59">
        <w:rPr>
          <w:rFonts w:ascii="Garamond" w:hAnsi="Garamond" w:cs="Arial"/>
          <w:i/>
          <w:iCs/>
          <w:color w:val="000000"/>
          <w:lang w:val="en-GB"/>
        </w:rPr>
        <w:t>Autodidasker</w:t>
      </w:r>
      <w:r w:rsidRPr="00A06A59">
        <w:rPr>
          <w:rFonts w:ascii="Garamond" w:hAnsi="Garamond" w:cs="Arial"/>
          <w:color w:val="000000"/>
          <w:lang w:val="en-GB"/>
        </w:rPr>
        <w:t xml:space="preserve"> leicht in </w:t>
      </w:r>
      <w:r w:rsidRPr="00A06A59">
        <w:rPr>
          <w:rFonts w:ascii="Garamond" w:hAnsi="Garamond" w:cs="Arial"/>
          <w:i/>
          <w:iCs/>
          <w:color w:val="000000"/>
          <w:lang w:val="en-GB"/>
        </w:rPr>
        <w:t>Autor, Autodidakt</w:t>
      </w:r>
      <w:r w:rsidRPr="00A06A59">
        <w:rPr>
          <w:rFonts w:ascii="Garamond" w:hAnsi="Garamond" w:cs="Arial"/>
          <w:color w:val="000000"/>
          <w:lang w:val="en-GB"/>
        </w:rPr>
        <w:t xml:space="preserve"> und </w:t>
      </w:r>
      <w:r w:rsidRPr="00A06A59">
        <w:rPr>
          <w:rFonts w:ascii="Garamond" w:hAnsi="Garamond" w:cs="Arial"/>
          <w:i/>
          <w:iCs/>
          <w:color w:val="000000"/>
          <w:lang w:val="en-GB"/>
        </w:rPr>
        <w:t>Lasker</w:t>
      </w:r>
      <w:r w:rsidRPr="00A06A59">
        <w:rPr>
          <w:rFonts w:ascii="Garamond" w:hAnsi="Garamond" w:cs="Arial"/>
          <w:color w:val="000000"/>
          <w:lang w:val="en-GB"/>
        </w:rPr>
        <w:t xml:space="preserve">, an den sich der Name </w:t>
      </w:r>
      <w:r w:rsidRPr="00A06A59">
        <w:rPr>
          <w:rFonts w:ascii="Garamond" w:hAnsi="Garamond" w:cs="Arial"/>
          <w:i/>
          <w:iCs/>
          <w:color w:val="000000"/>
          <w:lang w:val="en-GB"/>
        </w:rPr>
        <w:t>Lassalle</w:t>
      </w:r>
      <w:r w:rsidRPr="00A06A59">
        <w:rPr>
          <w:rFonts w:ascii="Garamond" w:hAnsi="Garamond" w:cs="Arial"/>
          <w:color w:val="000000"/>
          <w:lang w:val="en-GB"/>
        </w:rPr>
        <w:t xml:space="preserve"> schließt. Die ersten dieser Worte führen zu der – dieses Mal bedeutsamen Veranlassung – des Traumes: Ich hatte meiner Frau mehrere Bände eines bekannten Autors mitgebracht, mit dem mein Bruder befreundet ist und der, wie ich erfahren habe, aus demselben Orte stammt wie ich (J. J. David). Eines Abends sprach sie mit mir über den tiefen Eindruck, den ihr die ergreifend traurige Geschichte eines verkommenen Talents in einer der Davidschen Novellen gemacht hatte, und unsere Unterhaltung wendete sich darauf den Spuren von Begabung zu, die wir an unseren eigenen Kindern wahrnehmen. Unter der Herrschaft des eben Gelesenen äußerte sie eine Besorgnis, die sich auf die Kinder bezog, und ich tröstete sie mit der Bemerkung, daß gerade solche Gefahren durch die Erziehung abgewendet werden können. In der Nacht ging mein Gedankengang weiter, nahm die Besorgnisse meiner Frau auf und verwob allerlei anderes damit. Eine Äußerung, die der Dichter gegen meinen Bruder in bezug auf das Heiraten getan hatte, zeigte meinen Gedanken einen Nebenweg, der zur Darstellung im Traum führen konnte. Dieser Weg leitete nach Breslau, wohin eine uns sehr befreundete Dame geheiratet hatte. Für die Besorgnis, am Weibe zugrunde zu gehen, die den Kern meiner Traumgedanken bildete, fand ich in Breslau die Exempel </w:t>
      </w:r>
      <w:r w:rsidRPr="00A06A59">
        <w:rPr>
          <w:rFonts w:ascii="Garamond" w:hAnsi="Garamond" w:cs="Arial"/>
          <w:i/>
          <w:iCs/>
          <w:color w:val="000000"/>
          <w:lang w:val="en-GB"/>
        </w:rPr>
        <w:t>Lasker</w:t>
      </w:r>
      <w:r w:rsidRPr="00A06A59">
        <w:rPr>
          <w:rFonts w:ascii="Garamond" w:hAnsi="Garamond" w:cs="Arial"/>
          <w:color w:val="000000"/>
          <w:lang w:val="en-GB"/>
        </w:rPr>
        <w:t xml:space="preserve"> und </w:t>
      </w:r>
      <w:r w:rsidRPr="00A06A59">
        <w:rPr>
          <w:rFonts w:ascii="Garamond" w:hAnsi="Garamond" w:cs="Arial"/>
          <w:i/>
          <w:iCs/>
          <w:color w:val="000000"/>
          <w:lang w:val="en-GB"/>
        </w:rPr>
        <w:t>Lassalle</w:t>
      </w:r>
      <w:r w:rsidRPr="00A06A59">
        <w:rPr>
          <w:rFonts w:ascii="Garamond" w:hAnsi="Garamond" w:cs="Arial"/>
          <w:color w:val="000000"/>
          <w:lang w:val="en-GB"/>
        </w:rPr>
        <w:t xml:space="preserve"> auf, die mir gleichzeitig die beiden Arten dieser Beeinflussung zum Unheil darzustellen gestatteten </w:t>
      </w:r>
      <w:hyperlink r:id="rId13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Lasker starb an progressiver Paralyse, also an den Folgen der beim Weib erworbenen Infektion (Lues); Lassalle, wie bekannt, im Duell wegen einer Dame.</w:t>
        </w:r>
      </w:hyperlink>
      <w:r w:rsidRPr="00A06A59">
        <w:rPr>
          <w:rFonts w:ascii="Garamond" w:hAnsi="Garamond" w:cs="Arial"/>
          <w:color w:val="000000"/>
          <w:lang w:val="en-GB"/>
        </w:rPr>
        <w:t xml:space="preserve">. Das » </w:t>
      </w:r>
      <w:r w:rsidRPr="00A06A59">
        <w:rPr>
          <w:rFonts w:ascii="Garamond" w:hAnsi="Garamond" w:cs="Arial"/>
          <w:i/>
          <w:iCs/>
          <w:color w:val="000000"/>
          <w:lang w:val="en-GB"/>
        </w:rPr>
        <w:t>cherchez la femme</w:t>
      </w:r>
      <w:r w:rsidRPr="00A06A59">
        <w:rPr>
          <w:rFonts w:ascii="Garamond" w:hAnsi="Garamond" w:cs="Arial"/>
          <w:color w:val="000000"/>
          <w:lang w:val="en-GB"/>
        </w:rPr>
        <w:t xml:space="preserve">«, in dem sich diese Gedanken zusammenfassen lassen, bringt mich in anderem Sinn auf meinen noch unverheirateten Bruder, der Alexander heißt. Nun merke ich, daß </w:t>
      </w:r>
      <w:r w:rsidRPr="00A06A59">
        <w:rPr>
          <w:rFonts w:ascii="Garamond" w:hAnsi="Garamond" w:cs="Arial"/>
          <w:i/>
          <w:iCs/>
          <w:color w:val="000000"/>
          <w:lang w:val="en-GB"/>
        </w:rPr>
        <w:t>Alex</w:t>
      </w:r>
      <w:r w:rsidRPr="00A06A59">
        <w:rPr>
          <w:rFonts w:ascii="Garamond" w:hAnsi="Garamond" w:cs="Arial"/>
          <w:color w:val="000000"/>
          <w:lang w:val="en-GB"/>
        </w:rPr>
        <w:t xml:space="preserve">, wie wir den Namen abkürzen, fast wie eine Umstellung von </w:t>
      </w:r>
      <w:r w:rsidRPr="00A06A59">
        <w:rPr>
          <w:rFonts w:ascii="Garamond" w:hAnsi="Garamond" w:cs="Arial"/>
          <w:i/>
          <w:iCs/>
          <w:color w:val="000000"/>
          <w:lang w:val="en-GB"/>
        </w:rPr>
        <w:t>Lasker</w:t>
      </w:r>
      <w:r w:rsidRPr="00A06A59">
        <w:rPr>
          <w:rFonts w:ascii="Garamond" w:hAnsi="Garamond" w:cs="Arial"/>
          <w:color w:val="000000"/>
          <w:lang w:val="en-GB"/>
        </w:rPr>
        <w:t xml:space="preserve"> klingt und daß dieses Moment mitgewirkt haben muß, meinen Gedanken die Umwegsrichtung über Breslau mitzuteilen.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Spielerei mit Namen und Silben, die ich hier treibe, enthält aber noch einen weiteren Sinn. Sie vertritt den Wunsch eines glücklichen Familienlebens für meinen Bruder, und zwar auf folgendem Weg: In dem Künstlerroman </w:t>
      </w:r>
      <w:r w:rsidRPr="00A06A59">
        <w:rPr>
          <w:rFonts w:ascii="Garamond" w:hAnsi="Garamond" w:cs="Arial"/>
          <w:i/>
          <w:iCs/>
          <w:color w:val="000000"/>
          <w:lang w:val="en-GB"/>
        </w:rPr>
        <w:t>L'oeuvre</w:t>
      </w:r>
      <w:r w:rsidRPr="00A06A59">
        <w:rPr>
          <w:rFonts w:ascii="Garamond" w:hAnsi="Garamond" w:cs="Arial"/>
          <w:color w:val="000000"/>
          <w:lang w:val="en-GB"/>
        </w:rPr>
        <w:t xml:space="preserve">, der meinen Traumgedanken inhaltlich naheliegen mußte, hat der Dichter bekanntlich sich selbst und sein eigenes Familienglück episodisch mitgeschildert und tritt darin unter dem Namen </w:t>
      </w:r>
      <w:r w:rsidRPr="00A06A59">
        <w:rPr>
          <w:rFonts w:ascii="Garamond" w:hAnsi="Garamond" w:cs="Arial"/>
          <w:i/>
          <w:iCs/>
          <w:color w:val="000000"/>
          <w:lang w:val="en-GB"/>
        </w:rPr>
        <w:t>Sandoz</w:t>
      </w:r>
      <w:r w:rsidRPr="00A06A59">
        <w:rPr>
          <w:rFonts w:ascii="Garamond" w:hAnsi="Garamond" w:cs="Arial"/>
          <w:color w:val="000000"/>
          <w:lang w:val="en-GB"/>
        </w:rPr>
        <w:t xml:space="preserve"> auf. Wahrscheinlich hat er bei der Namensverwandlung folgenden Weg eingeschlagen: </w:t>
      </w:r>
      <w:r w:rsidRPr="00A06A59">
        <w:rPr>
          <w:rFonts w:ascii="Garamond" w:hAnsi="Garamond" w:cs="Arial"/>
          <w:i/>
          <w:iCs/>
          <w:color w:val="000000"/>
          <w:lang w:val="en-GB"/>
        </w:rPr>
        <w:t>Zola</w:t>
      </w:r>
      <w:r w:rsidRPr="00A06A59">
        <w:rPr>
          <w:rFonts w:ascii="Garamond" w:hAnsi="Garamond" w:cs="Arial"/>
          <w:color w:val="000000"/>
          <w:lang w:val="en-GB"/>
        </w:rPr>
        <w:t xml:space="preserve"> gibt umgekehrt (wie die Kinder so gerne zu tun pflegen) </w:t>
      </w:r>
      <w:r w:rsidRPr="00A06A59">
        <w:rPr>
          <w:rFonts w:ascii="Garamond" w:hAnsi="Garamond" w:cs="Arial"/>
          <w:i/>
          <w:iCs/>
          <w:color w:val="000000"/>
          <w:lang w:val="en-GB"/>
        </w:rPr>
        <w:t>Aloz</w:t>
      </w:r>
      <w:r w:rsidRPr="00A06A59">
        <w:rPr>
          <w:rFonts w:ascii="Garamond" w:hAnsi="Garamond" w:cs="Arial"/>
          <w:color w:val="000000"/>
          <w:lang w:val="en-GB"/>
        </w:rPr>
        <w:t xml:space="preserve">. Das war ihm wohl noch zu unverhüllt; darum ersetzte sich ihm die Silbe Al, die auch den Namen Alexander einleitet, durch die dritte Silbe desselben Namens </w:t>
      </w:r>
      <w:r w:rsidRPr="00A06A59">
        <w:rPr>
          <w:rFonts w:ascii="Garamond" w:hAnsi="Garamond" w:cs="Arial"/>
          <w:i/>
          <w:iCs/>
          <w:color w:val="000000"/>
          <w:lang w:val="en-GB"/>
        </w:rPr>
        <w:t>sand</w:t>
      </w:r>
      <w:r w:rsidRPr="00A06A59">
        <w:rPr>
          <w:rFonts w:ascii="Garamond" w:hAnsi="Garamond" w:cs="Arial"/>
          <w:color w:val="000000"/>
          <w:lang w:val="en-GB"/>
        </w:rPr>
        <w:t xml:space="preserve">, und so kam </w:t>
      </w:r>
      <w:r w:rsidRPr="00A06A59">
        <w:rPr>
          <w:rFonts w:ascii="Garamond" w:hAnsi="Garamond" w:cs="Arial"/>
          <w:i/>
          <w:iCs/>
          <w:color w:val="000000"/>
          <w:lang w:val="en-GB"/>
        </w:rPr>
        <w:t>Sandoz</w:t>
      </w:r>
      <w:r w:rsidRPr="00A06A59">
        <w:rPr>
          <w:rFonts w:ascii="Garamond" w:hAnsi="Garamond" w:cs="Arial"/>
          <w:color w:val="000000"/>
          <w:lang w:val="en-GB"/>
        </w:rPr>
        <w:t xml:space="preserve"> zustande. So ähnlich entstand also auch mein </w:t>
      </w:r>
      <w:r w:rsidRPr="00A06A59">
        <w:rPr>
          <w:rFonts w:ascii="Garamond" w:hAnsi="Garamond" w:cs="Arial"/>
          <w:i/>
          <w:iCs/>
          <w:color w:val="000000"/>
          <w:lang w:val="en-GB"/>
        </w:rPr>
        <w:t>Autodidasker</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Meine Phantasie, daß ich Professor N. erzähle, der von uns beiden gesehene Kranke leide nur an einer Neurose, ist auf folgende Weise in den Traum gekommen. Kurz vor Schluß meines Arbeitsjahrs bekam ich einen Patienten, bei dem mich meine Diagnostik im Stiche ließ. Es war ein schweres organisches Leiden, vielleicht eine Rückenmarksveränderung, anzunehmen, aber nicht zu beweisen. Eine Neurose zu diagnostizieren wäre verlockend gewesen und hätte allen Schwierigkeiten ein Ende bereitet, wenn nicht die sexuelle Anamnese, ohne die ich keine Neurose anerkennen will, vom Kranken so energisch in Abrede gestellt worden wäre. In meiner Verlegenheit rief ich den Arzt zur Hilfe, den ich menschlich am meisten verehre (wie andere auch) und vor dessen Autorität ich mich am ehesten beuge. Er hörte meine Zweifel an, hieß sie berechtigt und meinte dann: »Beobachten Sie den Mann weiter, es wird Neurose sein.« Da ich weiß, daß er meine Ansichten über die Ätiologie der Neurosen nicht teilt, hielt ich meinen </w:t>
      </w:r>
      <w:r w:rsidRPr="00A06A59">
        <w:rPr>
          <w:rFonts w:ascii="Garamond" w:hAnsi="Garamond" w:cs="Arial"/>
          <w:color w:val="000000"/>
          <w:lang w:val="en-GB"/>
        </w:rPr>
        <w:lastRenderedPageBreak/>
        <w:t>Widerspruch zurück, verbarg aber nicht meinen Unglauben. Einige Tage später machte ich dem Kranken die Mitteilung, daß ich mit ihm nichts anzufangen wisse, und riet ihm, sich an einen anderen zu wenden. Da begann er zu meiner höchsten Überraschung, mich um Verzeihung zu bitten, daß er mich belogen habe; er habe sich so sehr geschämt, und nun enthüllte er mir gerade das Stück sexueller Ätiologie, das ich erwartet hatte und dessen ich zur Annahme einer Neurose bedurfte. Mir war es eine Erleichterung, aber auch gleichzeitig eine Beschämung; ich mußte mir zugestehen, daß mein Consiliarius, durch die Berücksichtigung der Anamnese unbeirrt, richtiger gesehen hatte. Ich nahm mir vor, es ihm zu sagen, wenn ich ihn wiedersehe, ihm zu sagen, daß er recht gehabt habe und ich unrecht.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Gerade das tue ich nun im Traum. Aber was für Wunscherfüllung soll es denn sein, wenn ich bekenne, daß ich unrecht habe? Gerade das ist mein Wunsch; ich möchte unrecht haben mit meinen Befürchtungen, respektive ich möchte, daß meine Frau, deren Befürchtungen ich in den Traumgedanken mir angeeignet habe, unrecht behält. </w:t>
      </w:r>
      <w:r w:rsidRPr="00A06A59">
        <w:rPr>
          <w:rFonts w:ascii="Garamond" w:hAnsi="Garamond" w:cs="Arial"/>
          <w:color w:val="000000"/>
          <w:lang w:val="en-US"/>
        </w:rPr>
        <w:t xml:space="preserve">Das Thema, auf welches sich das Recht- oder Unrechtbehalten im Traum bezieht, ist von dem für die Traumgedanken wirklich Interessanten nicht weitab gelegen. </w:t>
      </w:r>
      <w:r w:rsidRPr="00A06A59">
        <w:rPr>
          <w:rFonts w:ascii="Garamond" w:hAnsi="Garamond" w:cs="Arial"/>
          <w:color w:val="000000"/>
          <w:lang w:val="en-GB"/>
        </w:rPr>
        <w:t xml:space="preserve">Dieselbe Alternative der organischen oder der funktionellen Schädigung durch das Weib, eigentlich durch das Sexualleben: Tabes-Paralyse oder Neurose, an welch letztere sich die Art des Untergangs von </w:t>
      </w:r>
      <w:r w:rsidRPr="00A06A59">
        <w:rPr>
          <w:rFonts w:ascii="Garamond" w:hAnsi="Garamond" w:cs="Arial"/>
          <w:i/>
          <w:iCs/>
          <w:color w:val="000000"/>
          <w:lang w:val="en-GB"/>
        </w:rPr>
        <w:t>Lassalle</w:t>
      </w:r>
      <w:r w:rsidRPr="00A06A59">
        <w:rPr>
          <w:rFonts w:ascii="Garamond" w:hAnsi="Garamond" w:cs="Arial"/>
          <w:color w:val="000000"/>
          <w:lang w:val="en-GB"/>
        </w:rPr>
        <w:t xml:space="preserve"> lockerer anreiht.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Professor N. spielt in diesem festgefügten (und bei sorgfältiger Deutung ganz durchsichtigen) Traum nicht nur wegen dieser Analogie und wegen meines Wunsches, unrecht zu behalten, eine Rolle auch nicht wegen seiner nebenhergehenden Beziehungen zu Breslau und zur Familie unserer dorthin verheirateten Freundin, sondern auch wegen folgender kleinen Begebenheit, die sich an unsere Konsultation anschloß. Nachdem er mit jener Vermutung die ärztliche Aufgabe erledigt hatte, wandte sich sein Interesse persönlichen Dingen zu. »Wieviel Kinder haben Sie jetzt?« – »Sechs.« Eine Gebärde von Respekt und Bedenklichkeit. – »Mädel, Buben?« – »Drei und drei, das ist mein Stolz und mein Reichtum.« – »Nun geben Sie acht, mit den Mädeln geht es ja gut, aber die Buben machen einem später Schwierigkeiten in der Erziehung.« – Ich wendete ein, daß sie bis jetzt recht zahm geblieben sind; offenbar behagte mir diese zweite Diagnose über die Zukunft meiner Buben ebensowenig wie die früher gefällte, daß mein Patient nur eine Neurose habe. Diese beiden Eindrücke sind also durch Kontiguität, durch das Erleben in einem Zuge verbunden, und wenn ich die Geschichte von der Neurose in den Traum nehme, ersetze ich durch sie die Rede über die Erziehung, die noch mehr Zusammenhang mit den Traumgedanken aufweist, da sie so nahe an die später geäußerten Besorgnisse meiner Frau rührt. So findet selbst meine Angst, daß N. mit den Bemerkungen über die Erziehungsschwierigkeiten bei den Buben recht behalten möge, Eingang in den Trauminhalt, indem sie sich hinter der Darstellung meines Wunsches, daß ich mit solchen Befürchtungen unrecht haben möge, verbirgt. Dieselbe Phantasie dient unverändert der Darstellung beider gegensätzlicher Glieder der Alternative.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6) Marcinowski:</w:t>
      </w:r>
      <w:r w:rsidRPr="00A06A59">
        <w:rPr>
          <w:rFonts w:ascii="Garamond" w:hAnsi="Garamond" w:cs="Arial"/>
          <w:color w:val="000000"/>
          <w:lang w:val="en-GB"/>
        </w:rPr>
        <w:t xml:space="preserve"> »Heute früh erlebte ich zwischen Traum und Wachen eine sehr hübsche Wortverdichtung. Im Ablauf einer Fülle von kaum erinnerbaren Traumbruchstücken stutzte ich gewissermaßen über ein Wort, das ich halb wie geschrieben, halb wie gedruckt vor mir sehe. Es lautet: </w:t>
      </w:r>
      <w:r w:rsidRPr="00A06A59">
        <w:rPr>
          <w:rFonts w:ascii="Garamond" w:hAnsi="Garamond" w:cs="Arial"/>
          <w:i/>
          <w:iCs/>
          <w:color w:val="000000"/>
          <w:lang w:val="en-GB"/>
        </w:rPr>
        <w:t>erzefilisch</w:t>
      </w:r>
      <w:r w:rsidRPr="00A06A59">
        <w:rPr>
          <w:rFonts w:ascii="Garamond" w:hAnsi="Garamond" w:cs="Arial"/>
          <w:color w:val="000000"/>
          <w:lang w:val="en-GB"/>
        </w:rPr>
        <w:t xml:space="preserve"> und gehört zu einem Satz, der außerhalb jedes Zusammenhanges völlig isoliert in mein bewußtes Erinnern hinüberglitt; er lautete: </w:t>
      </w:r>
      <w:r w:rsidRPr="00A06A59">
        <w:rPr>
          <w:rFonts w:ascii="Garamond" w:hAnsi="Garamond" w:cs="Arial"/>
          <w:i/>
          <w:iCs/>
          <w:color w:val="000000"/>
          <w:lang w:val="en-GB"/>
        </w:rPr>
        <w:t>Das wirkt erzefilisch auf die Geschlechtsempfindung.</w:t>
      </w:r>
      <w:r w:rsidRPr="00A06A59">
        <w:rPr>
          <w:rFonts w:ascii="Garamond" w:hAnsi="Garamond" w:cs="Arial"/>
          <w:color w:val="000000"/>
          <w:lang w:val="en-GB"/>
        </w:rPr>
        <w:t xml:space="preserve"> Ich wußte sofort, daß es eigentlich erzieherisch heißen solle, schwankte auch einigemal hin und her, ob es nicht richtiger erzifilisch heiße. Dabei fiel mir das Wort Syphilis ein, und ich zerbrach mir, noch im Halbschlaf zu analysieren beginnend, den Kopf, wie das wohl in meinen Traum hineinkäme, da ich weder persönlich noch von Berufs wegen irgendwelche Berührungspunkte mit dieser Krankheit habe. Dann fiel mir ein ›erzihlerisch‹, das </w:t>
      </w:r>
      <w:r w:rsidRPr="00A06A59">
        <w:rPr>
          <w:rFonts w:ascii="Garamond" w:hAnsi="Garamond" w:cs="Arial"/>
          <w:i/>
          <w:iCs/>
          <w:color w:val="000000"/>
          <w:lang w:val="en-GB"/>
        </w:rPr>
        <w:t>e</w:t>
      </w:r>
      <w:r w:rsidRPr="00A06A59">
        <w:rPr>
          <w:rFonts w:ascii="Garamond" w:hAnsi="Garamond" w:cs="Arial"/>
          <w:color w:val="000000"/>
          <w:lang w:val="en-GB"/>
        </w:rPr>
        <w:t xml:space="preserve"> erklärend und zu gleicher Zeit erklärend, daß ich gestern abend von unserer Erzieherin veranlaßt wurde, über das Problem der Prostitution zu sprechen, und ich hatte ihr dabei tatsächlich, um erzieherisch auf ihr nicht ganz normal entwickeltes Empfindungsleben einzuwirken, das Buch von Hesse </w:t>
      </w:r>
      <w:r w:rsidRPr="00A06A59">
        <w:rPr>
          <w:rFonts w:ascii="Garamond" w:hAnsi="Garamond" w:cs="Arial"/>
          <w:i/>
          <w:iCs/>
          <w:color w:val="000000"/>
          <w:lang w:val="en-GB"/>
        </w:rPr>
        <w:t>Über die Prostitution</w:t>
      </w:r>
      <w:r w:rsidRPr="00A06A59">
        <w:rPr>
          <w:rFonts w:ascii="Garamond" w:hAnsi="Garamond" w:cs="Arial"/>
          <w:color w:val="000000"/>
          <w:lang w:val="en-GB"/>
        </w:rPr>
        <w:t xml:space="preserve"> gegeben, nachdem ich ihr mancherlei über das Problem erzählt hatte. Und nun wurde mir auf einmal klar, daß das Wort Syphilis nicht im wörtlichen Sinne zu nehmen sei, sondern für Gift stand, in Beziehung natürlich zum Geschlechtsleben. Der Satz lautet also in der Übersetzung ganz logisch: Durch meine </w:t>
      </w:r>
      <w:r w:rsidRPr="00A06A59">
        <w:rPr>
          <w:rFonts w:ascii="Garamond" w:hAnsi="Garamond" w:cs="Arial"/>
          <w:i/>
          <w:iCs/>
          <w:color w:val="000000"/>
          <w:lang w:val="en-GB"/>
        </w:rPr>
        <w:t>Erzählung</w:t>
      </w:r>
      <w:r w:rsidRPr="00A06A59">
        <w:rPr>
          <w:rFonts w:ascii="Garamond" w:hAnsi="Garamond" w:cs="Arial"/>
          <w:color w:val="000000"/>
          <w:lang w:val="en-GB"/>
        </w:rPr>
        <w:t xml:space="preserve"> habe ich auf meine </w:t>
      </w:r>
      <w:r w:rsidRPr="00A06A59">
        <w:rPr>
          <w:rFonts w:ascii="Garamond" w:hAnsi="Garamond" w:cs="Arial"/>
          <w:i/>
          <w:iCs/>
          <w:color w:val="000000"/>
          <w:lang w:val="en-GB"/>
        </w:rPr>
        <w:t>Erzieherin erzieherisch</w:t>
      </w:r>
      <w:r w:rsidRPr="00A06A59">
        <w:rPr>
          <w:rFonts w:ascii="Garamond" w:hAnsi="Garamond" w:cs="Arial"/>
          <w:color w:val="000000"/>
          <w:lang w:val="en-GB"/>
        </w:rPr>
        <w:t xml:space="preserve"> auf deren Empfindungsleben einwirken wollen, aber habe die Befürchtung, daß es zu gleicher Zeit </w:t>
      </w:r>
      <w:r w:rsidRPr="00A06A59">
        <w:rPr>
          <w:rFonts w:ascii="Garamond" w:hAnsi="Garamond" w:cs="Arial"/>
          <w:i/>
          <w:iCs/>
          <w:color w:val="000000"/>
          <w:lang w:val="en-GB"/>
        </w:rPr>
        <w:t>vergiftend</w:t>
      </w:r>
      <w:r w:rsidRPr="00A06A59">
        <w:rPr>
          <w:rFonts w:ascii="Garamond" w:hAnsi="Garamond" w:cs="Arial"/>
          <w:color w:val="000000"/>
          <w:lang w:val="en-GB"/>
        </w:rPr>
        <w:t xml:space="preserve"> wirken könne. </w:t>
      </w:r>
      <w:r w:rsidRPr="00A06A59">
        <w:rPr>
          <w:rFonts w:ascii="Garamond" w:hAnsi="Garamond" w:cs="Arial"/>
          <w:i/>
          <w:iCs/>
          <w:color w:val="000000"/>
          <w:lang w:val="en-GB"/>
        </w:rPr>
        <w:t>Erzefilisch</w:t>
      </w:r>
      <w:r w:rsidRPr="00A06A59">
        <w:rPr>
          <w:rFonts w:ascii="Garamond" w:hAnsi="Garamond" w:cs="Arial"/>
          <w:color w:val="000000"/>
          <w:lang w:val="en-GB"/>
        </w:rPr>
        <w:t xml:space="preserve"> = erzäh – (erzieh –) (erzefilisch).«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Wortverbildungen des Traumes ähneln sehr den bei der Paranoia bekannten, die aber auch bei Hysterie und Zwangsvorstellungen nicht vermißt werden. Die Sprachkünste der Kinder, die zu gewissen Zeiten die Worte tatsächlich wie Objekte behandeln, auch neue Sprachen und artifizielle Wortfügungen erfinden, sind für den Traum wie für die Psychoneurosen hier die gemeinsame Quelle.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Analyse unsinniger Wortbildungen im Traume ist besonders dazu geeignet, die Verdichtungsleistung der Traumarbeit aufzuzeigen. Man möge aus der hier verwendeten geringen Auswahl von Beispielen nicht den Schluß ziehen, daß solches Material selten oder gar nur ausnahmsweise zur Beobachtung kommt. Es ist vielmehr sehr häufig, allein die Abhängigkeit der Traumdeutung von der psychoanalytischen Behandlung hat die Folge, daß die wenigsten </w:t>
      </w:r>
      <w:r w:rsidRPr="00A06A59">
        <w:rPr>
          <w:rFonts w:ascii="Garamond" w:hAnsi="Garamond" w:cs="Arial"/>
          <w:color w:val="000000"/>
          <w:lang w:val="en-GB"/>
        </w:rPr>
        <w:lastRenderedPageBreak/>
        <w:t xml:space="preserve">Beispiele angemerkt und mitgeteilt werden und daß die mitgeteilten Analysen meist nur für den Kenner der Neurosenpathologie verständlich sind. So ein Traum von Dr. v. </w:t>
      </w:r>
      <w:r w:rsidRPr="00A06A59">
        <w:rPr>
          <w:rFonts w:ascii="Garamond" w:hAnsi="Garamond" w:cs="Arial"/>
          <w:i/>
          <w:iCs/>
          <w:color w:val="000000"/>
          <w:lang w:val="en-GB"/>
        </w:rPr>
        <w:t>Karpinska</w:t>
      </w:r>
      <w:r w:rsidRPr="00A06A59">
        <w:rPr>
          <w:rFonts w:ascii="Garamond" w:hAnsi="Garamond" w:cs="Arial"/>
          <w:color w:val="000000"/>
          <w:lang w:val="en-GB"/>
        </w:rPr>
        <w:t xml:space="preserve"> (Internat. Zeitschr. f. Psychoanalyse II, 1914), der die sinnlose Wortbildung » </w:t>
      </w:r>
      <w:r w:rsidRPr="00A06A59">
        <w:rPr>
          <w:rFonts w:ascii="Garamond" w:hAnsi="Garamond" w:cs="Arial"/>
          <w:i/>
          <w:iCs/>
          <w:color w:val="000000"/>
          <w:lang w:val="en-GB"/>
        </w:rPr>
        <w:t>Svingnum elvi</w:t>
      </w:r>
      <w:r w:rsidRPr="00A06A59">
        <w:rPr>
          <w:rFonts w:ascii="Garamond" w:hAnsi="Garamond" w:cs="Arial"/>
          <w:color w:val="000000"/>
          <w:lang w:val="en-GB"/>
        </w:rPr>
        <w:t xml:space="preserve">« enthält. Erwähnenswert ist noch der Fall, daß im Traum ein an sich nicht bedeutungsloses Wort erscheint, das aber, seiner eigentlichen Bedeutung entfremdet, verschiedene andere Bedeutungen zusammenfaßt, zu denen es sich wie ein »sinnloses« Wort verhält. Dies ist in dem Traum von der »Kategorie« eines zehnjährigen Knaben der Fall, den V. Tausk (Zur Psychologie der Kindersexualität, Internat. Zeitschr. für Psychoanalyse I, 1913) mitteilt. » </w:t>
      </w:r>
      <w:r w:rsidRPr="00A06A59">
        <w:rPr>
          <w:rFonts w:ascii="Garamond" w:hAnsi="Garamond" w:cs="Arial"/>
          <w:i/>
          <w:iCs/>
          <w:color w:val="000000"/>
          <w:lang w:val="en-GB"/>
        </w:rPr>
        <w:t>Kategorie</w:t>
      </w:r>
      <w:r w:rsidRPr="00A06A59">
        <w:rPr>
          <w:rFonts w:ascii="Garamond" w:hAnsi="Garamond" w:cs="Arial"/>
          <w:color w:val="000000"/>
          <w:lang w:val="en-GB"/>
        </w:rPr>
        <w:t xml:space="preserve">« bedeutet hier das weibliche Genitale und » </w:t>
      </w:r>
      <w:r w:rsidRPr="00A06A59">
        <w:rPr>
          <w:rFonts w:ascii="Garamond" w:hAnsi="Garamond" w:cs="Arial"/>
          <w:i/>
          <w:iCs/>
          <w:color w:val="000000"/>
          <w:lang w:val="en-GB"/>
        </w:rPr>
        <w:t>kategorieren</w:t>
      </w:r>
      <w:r w:rsidRPr="00A06A59">
        <w:rPr>
          <w:rFonts w:ascii="Garamond" w:hAnsi="Garamond" w:cs="Arial"/>
          <w:color w:val="000000"/>
          <w:lang w:val="en-GB"/>
        </w:rPr>
        <w:t>« soviel wie urinieren.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Wo in einem Traum Reden vorkommen, die ausdrücklich als solche von Gedanken unterschieden werden, da gilt als ausnahmslose Regel, daß Traumrede von erinnerter Rede im Traummaterial abstammt. Der Wortlaut der Rede ist entweder unversehrt erhalten oder leise im Ausdruck verschoben; häufig ist die Traumrede aus verschiedenen Redeerinnerungen zusammengestückelt; der Wortlaut dabei das sich Gleichgebliebene, der Sinn womöglich mehr- oder andersdeutig verändert. Die Traumrede dient nicht selten als bloße Anspielung auf das Ereignis, bei dem die erinnerte Rede vorfiel </w:t>
      </w:r>
      <w:hyperlink r:id="rId13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Bei einem an Zwangsvorstellungen leidenden jungen Manne mit übrigens intakten und hochentwickelten intellektuellen Funktionen fand ich unlängst die einzige Ausnahme von dieser Regel. Die Reden, die in seinen Traumen vorkamen, stammten nicht von gehörten oder selbst gehaltenen Reden ab, sondern entsprachen dem unentstellten Wortlaute seiner Zwangsgedanken, die ihm im Wachen nur abgeändert zum Bewußtsein kamen.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B. Di</w:t>
        </w:r>
        <w:bookmarkStart w:id="72" w:name="VIB"/>
        <w:bookmarkEnd w:id="72"/>
        <w:r w:rsidRPr="00A06A59">
          <w:rPr>
            <w:rStyle w:val="Lienhypertexte"/>
            <w:rFonts w:ascii="Garamond" w:hAnsi="Garamond" w:cs="Arial"/>
            <w:b/>
            <w:bCs/>
            <w:lang w:val="en-GB"/>
          </w:rPr>
          <w:t>e Verschiebungsarbeit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andere, wahrscheinlich nicht minder bedeutsame Relation mußte uns bereits auffallen, während wir die Beispiele für die Traumverdichtung sammelten. Wir konnten bemerken, daß die Elemente, welche im Trauminhalt sich als die wesentlichen Bestandteile hervordrängen, in den Traumgedanken keineswegs die gleiche Rolle spielen. Als Korrelat dazu kann man auch die Umkehrung dieses Satzes aussprechen. Was in den Traumgedanken offenbar der wesentliche Inhalt ist, braucht im Traum gar nicht vertreten zu sein. Der Traum ist gleichsam </w:t>
      </w:r>
      <w:r w:rsidRPr="00A06A59">
        <w:rPr>
          <w:rFonts w:ascii="Garamond" w:hAnsi="Garamond" w:cs="Arial"/>
          <w:i/>
          <w:iCs/>
          <w:color w:val="000000"/>
          <w:lang w:val="en-GB"/>
        </w:rPr>
        <w:t>anders zentriert</w:t>
      </w:r>
      <w:r w:rsidRPr="00A06A59">
        <w:rPr>
          <w:rFonts w:ascii="Garamond" w:hAnsi="Garamond" w:cs="Arial"/>
          <w:color w:val="000000"/>
          <w:lang w:val="en-GB"/>
        </w:rPr>
        <w:t xml:space="preserve">, sein Inhalt um andere Elemente als Mittelpunkt geordnet als die Traumgedanken. So z. B. ist im Traum von der botanischen Monographie Mittelpunkt des Trauminhalts offenbar das Element »botanisch«; in den Traumgedanken handelt es sich um die Komplikationen und Konflikte, die sich aus verpflichtenden Leistungen zwischen Kollegen ergeben, in weiterer Folge um den Vorwurf, daß ich meinen Liebhabereien allzu große Opfer zu bringen pflege, und das Element »botanisch« findet in diesem Kern der Traumgedanken überhaupt keine Stelle, wenn es nicht durch eine Gegensätzlichkeit locker damit verbunden ist, denn Botanik hatte niemals einen Platz unter meinen Lieblingsstudien. In dem </w:t>
      </w:r>
      <w:r w:rsidRPr="00A06A59">
        <w:rPr>
          <w:rFonts w:ascii="Garamond" w:hAnsi="Garamond" w:cs="Arial"/>
          <w:i/>
          <w:iCs/>
          <w:color w:val="000000"/>
          <w:lang w:val="en-GB"/>
        </w:rPr>
        <w:t>Sapphotraum</w:t>
      </w:r>
      <w:r w:rsidRPr="00A06A59">
        <w:rPr>
          <w:rFonts w:ascii="Garamond" w:hAnsi="Garamond" w:cs="Arial"/>
          <w:color w:val="000000"/>
          <w:lang w:val="en-GB"/>
        </w:rPr>
        <w:t xml:space="preserve"> meines Patienten ist das </w:t>
      </w:r>
      <w:r w:rsidRPr="00A06A59">
        <w:rPr>
          <w:rFonts w:ascii="Garamond" w:hAnsi="Garamond" w:cs="Arial"/>
          <w:i/>
          <w:iCs/>
          <w:color w:val="000000"/>
          <w:lang w:val="en-GB"/>
        </w:rPr>
        <w:t>Auf-</w:t>
      </w:r>
      <w:r w:rsidRPr="00A06A59">
        <w:rPr>
          <w:rFonts w:ascii="Garamond" w:hAnsi="Garamond" w:cs="Arial"/>
          <w:color w:val="000000"/>
          <w:lang w:val="en-GB"/>
        </w:rPr>
        <w:t xml:space="preserve"> und </w:t>
      </w:r>
      <w:r w:rsidRPr="00A06A59">
        <w:rPr>
          <w:rFonts w:ascii="Garamond" w:hAnsi="Garamond" w:cs="Arial"/>
          <w:i/>
          <w:iCs/>
          <w:color w:val="000000"/>
          <w:lang w:val="en-GB"/>
        </w:rPr>
        <w:t>Niedersteigen, Oben-</w:t>
      </w:r>
      <w:r w:rsidRPr="00A06A59">
        <w:rPr>
          <w:rFonts w:ascii="Garamond" w:hAnsi="Garamond" w:cs="Arial"/>
          <w:color w:val="000000"/>
          <w:lang w:val="en-GB"/>
        </w:rPr>
        <w:t xml:space="preserve"> und </w:t>
      </w:r>
      <w:r w:rsidRPr="00A06A59">
        <w:rPr>
          <w:rFonts w:ascii="Garamond" w:hAnsi="Garamond" w:cs="Arial"/>
          <w:i/>
          <w:iCs/>
          <w:color w:val="000000"/>
          <w:lang w:val="en-GB"/>
        </w:rPr>
        <w:t>Untensein</w:t>
      </w:r>
      <w:r w:rsidRPr="00A06A59">
        <w:rPr>
          <w:rFonts w:ascii="Garamond" w:hAnsi="Garamond" w:cs="Arial"/>
          <w:color w:val="000000"/>
          <w:lang w:val="en-GB"/>
        </w:rPr>
        <w:t xml:space="preserve"> zum Mittelpunkt gemacht; der Traum handelt aber von den Gefahren sexueller Beziehungen zu </w:t>
      </w:r>
      <w:r w:rsidRPr="00A06A59">
        <w:rPr>
          <w:rFonts w:ascii="Garamond" w:hAnsi="Garamond" w:cs="Arial"/>
          <w:i/>
          <w:iCs/>
          <w:color w:val="000000"/>
          <w:lang w:val="en-GB"/>
        </w:rPr>
        <w:t>niedrig</w:t>
      </w:r>
      <w:r w:rsidRPr="00A06A59">
        <w:rPr>
          <w:rFonts w:ascii="Garamond" w:hAnsi="Garamond" w:cs="Arial"/>
          <w:color w:val="000000"/>
          <w:lang w:val="en-GB"/>
        </w:rPr>
        <w:t xml:space="preserve">stehenden Personen, so daß nur eines der Elemente der Traumgedanken, dies aber in ungebührlicher Verbreiterung, in den Trauminhalt eingegangen scheint. Ähnlich ist im Traum von den Maikäfern, welcher die Beziehungen der Sexualität zur Grausamkeit zum Thema hat, zwar das Moment der Grausamkeit im Trauminhalt wieder erschienen, aber in andersartiger Verknüpfung und ohne Erwähnung des Sexuellen, also aus dem Zusammenhang gerissen und dadurch zu etwas Fremdem umgestaltet. In dem Onkeltraum wiederum scheint der blonde Bart, der dessen Mittelpunkt bildet, außer aller Sinnbeziehung zu den Größenwünschen, die wir als den Kern der Traumgedanken erkannt haben. Solche Träume machen dann mit gutem Recht einen » </w:t>
      </w:r>
      <w:r w:rsidRPr="00A06A59">
        <w:rPr>
          <w:rFonts w:ascii="Garamond" w:hAnsi="Garamond" w:cs="Arial"/>
          <w:i/>
          <w:iCs/>
          <w:color w:val="000000"/>
          <w:lang w:val="en-GB"/>
        </w:rPr>
        <w:t>verschobenen</w:t>
      </w:r>
      <w:r w:rsidRPr="00A06A59">
        <w:rPr>
          <w:rFonts w:ascii="Garamond" w:hAnsi="Garamond" w:cs="Arial"/>
          <w:color w:val="000000"/>
          <w:lang w:val="en-GB"/>
        </w:rPr>
        <w:t xml:space="preserve">« Eindruck. Im vollen Gegensatz zu diesen Beispielen zeigt dann der Traum von Irmas Injektion, daß bei der Traumbildung die einzelnen Elemente auch wohl den Platz behaupten können, den sie in den Traumgedanken einnehmen. Die Kenntnisnahme dieser neuen, in ihrem Sinne durchaus inkonstanten Relation zwischen Traumgedanken und Trauminhalt ist zunächst geeignet, unsere Verwunderung zu erregen. Wenn wir bei einem psychischen Vorgang des Normallebens finden, daß eine Vorstellung aus mehreren anderen herausgegriffen wurde und für das Bewußtsein besondere Lebhaftigkeit erlangt hat, so pflegen wir diesen Erfolg als Beweis dafür anzusehen, daß der siegenden Vorstellung eine besonders hohe psychische Wertigkeit (ein gewisser Grad von Interesse) zukommt. Wir machen nun die Erfahrung, daß diese Wertigkeit der einzelnen Elemente in den Traumgedanken für die Traumbildung nicht erhalten bleibt oder nicht in Betracht kommt. Es ist ja kein Zweifel darüber, welches die höchstwertigen Elemente der Traumgedanken sind; unser Urteil sagt es uns unmittelbar. Bei der Traumbildung können diese wesentlichen, mit intensivem Interesse betonten Elemente nun so behandelt werden, als ob sie minderwertig wären, und an ihre Stelle treten im Traum andere Elemente, die in den Traumgedanken sicherlich minderwertig waren. Es macht zunächst den Eindruck, als käme die psychische Intensität </w:t>
      </w:r>
      <w:hyperlink r:id="rId13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Psychische Intensität, Wertigkeit, Interessebetonung einer Vorstellung ist natürlich von sinnlicher Intensität, Intensität des Vorgestellten, gesondert zu halten.</w:t>
        </w:r>
      </w:hyperlink>
      <w:r w:rsidRPr="00A06A59">
        <w:rPr>
          <w:rFonts w:ascii="Garamond" w:hAnsi="Garamond" w:cs="Arial"/>
          <w:color w:val="000000"/>
          <w:lang w:val="en-GB"/>
        </w:rPr>
        <w:t xml:space="preserve"> der einzelnen Vorstellungen für die Traumauswahl überhaupt nicht in Betracht, sondern bloß die mehr oder minder vielseitige Determinierung derselben. Nicht was in den Traumgedanken wichtig ist, kommt in den Traum, sondern was in ihnen mehrfach enthalten, könnte man meinen; das Verständnis der Traumbildung wird aber durch diese Annahme nicht sehr gefördert, denn von vornherein wird man nicht glauben können, daß die beiden Momente der mehrfachen Determinierung und der eigenen Wertigkeit bei der Traumauswahl anders als gleichsinnig wirken können. Jene Vorstellungen, welche in den Traumgedanken die wichtigsten sind, werden wohl auch die am häufigsten in ihnen wiederkehrenden sein, da von ihnen wie von Mittelpunkten die einzelnen Traumgedanken ausstrahlen. Und doch kann der Traum diese intensiv betonten und vielseitig unterstützten Elemente ablehnen und andere Elemente, denen nur die letztere Eigenschaft zukommt, in seinen Inhalt aufnehmen.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Zur Lösung dieser Schwierigkeit wird man einen anderen Eindruck verwenden, den man bei der Untersuchung der Überdeterminierung des Trauminhalts empfangen hat. Vielleicht hat schon mancher Leser dieser Untersuchung bei sich geurteilt, die Überdeterminierung der Traumelemente sei kein bedeutsamer Fund, weil sie ein selbstverständlicher ist. Man geht ja bei der Analyse von den Traumelementen aus und verzeichnet alle Einfälle, die sich an dieselben knüpfen; kein Wunder dann, daß in dem so gewonnenen Gedankenmaterial eben diese Elemente sich besonders häufig wiederfinden. Ich könnte diesen Einwand nicht gelten lassen, werde aber selbst etwas ihm ähnlich Klingendes zur Sprache bringen: Unter den Gedanken, welche die Analyse zutage fördert, finden sich viele, die dem Kern des Traumes ferner stehen und die sich wie künstliche Einschaltungen zu einem gewissen Zwecke ausnehmen. Der Zweck derselben ergibt sich leicht; gerade sie stellen eine Verbindung, oft eine gezwungene und gesuchte Verbindung zwischen Trauminhalt und Traumgedanken her, und wenn diese Elemente aus der Analyse ausgemerzt würden, entfiele für die Bestandteile des Trauminhalts oftmals nicht nur die Überdeterminierung, sondern überhaupt eine genügende Determinierung durch die Traumgedanken. Wir werden so zum Schlusse geleitet, daß die mehrfache </w:t>
      </w:r>
      <w:r w:rsidRPr="00A06A59">
        <w:rPr>
          <w:rFonts w:ascii="Garamond" w:hAnsi="Garamond" w:cs="Arial"/>
          <w:color w:val="000000"/>
          <w:lang w:val="en-GB"/>
        </w:rPr>
        <w:lastRenderedPageBreak/>
        <w:t>Determinierung, die für die Traumauswahl entscheidet, wohl nicht immer ein primäres Moment der Traumbildung, sondern oft ein sekundäres Ergebnis einer uns noch unbekannten psychischen Macht ist. Sie muß aber bei alledem für das Eintreten der einzelnen Elemente in den Traum von Bedeutung sein, denn wir können beobachten, daß sie mit einem gewissen Aufwand hergestellt wird, wo sie sich aus dem Traummaterial nicht ohne Nachhilfe ergibt.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liegt nun der Einfall nahe, daß bei der Traumarbeit eine psychische Macht sich äußert, die einerseits die psychisch hochwertigen Elemente ihrer Intensität entkleidet und anderseits </w:t>
      </w:r>
      <w:r w:rsidRPr="00A06A59">
        <w:rPr>
          <w:rFonts w:ascii="Garamond" w:hAnsi="Garamond" w:cs="Arial"/>
          <w:i/>
          <w:iCs/>
          <w:color w:val="000000"/>
          <w:lang w:val="en-GB"/>
        </w:rPr>
        <w:t>auf dem Wege der Überdeterminierung</w:t>
      </w:r>
      <w:r w:rsidRPr="00A06A59">
        <w:rPr>
          <w:rFonts w:ascii="Garamond" w:hAnsi="Garamond" w:cs="Arial"/>
          <w:color w:val="000000"/>
          <w:lang w:val="en-GB"/>
        </w:rPr>
        <w:t xml:space="preserve"> aus minderwertigen neue Wertigkeiten schafft, die dann in den Trauminhalt gelangen. Wenn das so zugeht, so hat bei der Traumbildung eine </w:t>
      </w:r>
      <w:r w:rsidRPr="00A06A59">
        <w:rPr>
          <w:rFonts w:ascii="Garamond" w:hAnsi="Garamond" w:cs="Arial"/>
          <w:i/>
          <w:iCs/>
          <w:color w:val="000000"/>
          <w:lang w:val="en-GB"/>
        </w:rPr>
        <w:t>Übertragung und Verschiebung der psychischen Intensitäten</w:t>
      </w:r>
      <w:r w:rsidRPr="00A06A59">
        <w:rPr>
          <w:rFonts w:ascii="Garamond" w:hAnsi="Garamond" w:cs="Arial"/>
          <w:color w:val="000000"/>
          <w:lang w:val="en-GB"/>
        </w:rPr>
        <w:t xml:space="preserve"> der einzelnen Elemente stattgefunden, als deren Folge die Textverschiedenheit von Trauminhalt und Traumgedanken erscheint. Der Vorgang, den wir so supponieren, ist geradezu das wesentliche Stück der Traumarbeit: er verdient den Namen </w:t>
      </w:r>
      <w:r w:rsidRPr="00A06A59">
        <w:rPr>
          <w:rFonts w:ascii="Garamond" w:hAnsi="Garamond" w:cs="Arial"/>
          <w:i/>
          <w:iCs/>
          <w:color w:val="000000"/>
          <w:lang w:val="en-GB"/>
        </w:rPr>
        <w:t>Traumverschiebung</w:t>
      </w:r>
      <w:r w:rsidRPr="00A06A59">
        <w:rPr>
          <w:rFonts w:ascii="Garamond" w:hAnsi="Garamond" w:cs="Arial"/>
          <w:color w:val="000000"/>
          <w:lang w:val="en-GB"/>
        </w:rPr>
        <w:t xml:space="preserve">. </w:t>
      </w:r>
      <w:r w:rsidRPr="00A06A59">
        <w:rPr>
          <w:rFonts w:ascii="Garamond" w:hAnsi="Garamond" w:cs="Arial"/>
          <w:i/>
          <w:iCs/>
          <w:color w:val="000000"/>
          <w:lang w:val="en-GB"/>
        </w:rPr>
        <w:t>Traumverschiebung und Traumverdichtung</w:t>
      </w:r>
      <w:r w:rsidRPr="00A06A59">
        <w:rPr>
          <w:rFonts w:ascii="Garamond" w:hAnsi="Garamond" w:cs="Arial"/>
          <w:color w:val="000000"/>
          <w:lang w:val="en-GB"/>
        </w:rPr>
        <w:t xml:space="preserve"> sind die beiden Werkmeister, deren Tätigkeit wir die Gestaltung des Traumes hauptsächlich zuschreiben dürfen.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denke, wir haben es auch leicht, die psychische Macht, die sich in den Tatsachen der Traumverschiebung äußert, zu erkennen. Der Erfolg dieser Verschiebung ist, daß der Trauminhalt dem Kern der Traumgedanken nicht mehr gleichsieht, daß der Traum nur eine Entstellung des Traumwunsches im Unbewußten wiedergibt. Die Traumentstellung aber ist uns bereits bekannt; wir haben sie auf die Zensur zurückgeführt, welche die eine psychische Instanz im Gedankenleben gegen eine andere ausübt. Die Traumverschiebung ist eines der Hauptmittel zur Erzielung dieser Entstellung. </w:t>
      </w:r>
      <w:r w:rsidRPr="00A06A59">
        <w:rPr>
          <w:rFonts w:ascii="Garamond" w:hAnsi="Garamond" w:cs="Arial"/>
          <w:i/>
          <w:iCs/>
          <w:color w:val="000000"/>
          <w:lang w:val="en-GB"/>
        </w:rPr>
        <w:t>Is fecit cui profuit</w:t>
      </w:r>
      <w:r w:rsidRPr="00A06A59">
        <w:rPr>
          <w:rFonts w:ascii="Garamond" w:hAnsi="Garamond" w:cs="Arial"/>
          <w:color w:val="000000"/>
          <w:lang w:val="en-GB"/>
        </w:rPr>
        <w:t xml:space="preserve">. Wir dürfen annehmen, daß die Traumverschiebung durch den Einfluß jener Zensur, der endopsychischen Abwehr, zustande kommt </w:t>
      </w:r>
      <w:hyperlink r:id="rId13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Da ich die Zurückführung der Traumentstellung auf die Zensur als den Kern meiner Traumauffassung bezeichnen darf, schalte ich hier das letzte Stück jener Erzählung Träumen wie Wachen aus den </w:t>
        </w:r>
        <w:r w:rsidRPr="00A06A59">
          <w:rPr>
            <w:rStyle w:val="innerfusslink3"/>
            <w:rFonts w:ascii="Garamond" w:hAnsi="Garamond" w:cs="Arial"/>
            <w:b/>
            <w:bCs/>
            <w:i/>
            <w:iCs/>
            <w:lang w:val="en-GB"/>
          </w:rPr>
          <w:t>Phantasien eines Realisten</w:t>
        </w:r>
        <w:r w:rsidRPr="00A06A59">
          <w:rPr>
            <w:rStyle w:val="innerfusslink3"/>
            <w:rFonts w:ascii="Garamond" w:hAnsi="Garamond" w:cs="Arial"/>
            <w:b/>
            <w:bCs/>
            <w:lang w:val="en-GB"/>
          </w:rPr>
          <w:t xml:space="preserve"> von »Lynkeus« (Wien, 2. Aufl., 1900) ein, in dem ich diesen Hauptcharakter meiner Lehre wiederfinde: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»Von einem Manne, der die merkwürdige Eigenschaft hat, niemals Unsinn zu träumen.«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»Deine herrliche Eigenschaft, zu träumen wie zu wachen, beruht auf deinen Tugenden, auf deiner Güte, deiner Gerechtigkeit, deiner Wahrheitsliebe; es ist die moralische Klarheit deiner Natur, die mir alles an dir verständlich macht.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›Wenn ich es aber recht bedenke‹, erwiderte der andere, ›so glaube ich beinahe, alle Menschen seien so wie ich beschaffen und gar niemand träume jemals Unsinn! Ein Traum, an den man sich so deutlich erinnert, daß man ihn nacherzählen kann, der also kein Fiebertraum ist, hat </w:t>
        </w:r>
        <w:r w:rsidRPr="00A06A59">
          <w:rPr>
            <w:rStyle w:val="innerfusslink3"/>
            <w:rFonts w:ascii="Garamond" w:hAnsi="Garamond" w:cs="Arial"/>
            <w:b/>
            <w:bCs/>
            <w:i/>
            <w:iCs/>
            <w:lang w:val="en-GB"/>
          </w:rPr>
          <w:t>immer</w:t>
        </w:r>
        <w:r w:rsidRPr="00A06A59">
          <w:rPr>
            <w:rStyle w:val="innerfusslink3"/>
            <w:rFonts w:ascii="Garamond" w:hAnsi="Garamond" w:cs="Arial"/>
            <w:b/>
            <w:bCs/>
            <w:lang w:val="en-GB"/>
          </w:rPr>
          <w:t xml:space="preserve"> Sinn, und es kann auch gar nicht anders sein! Denn was miteinander in Widerspruch steht, könnte sich ja nicht zu einem Ganzen gruppieren. Daß Zeit und Raum oft durcheinandergerüttelt werden, benimmt dem wahren Inhalt des Traumes gar nichts, denn sie sind beide gewiß ohne Bedeutung für seinen wesentlichen Inhalt gewesen. Wir machen es ja oft im Wachen auch so; denke an das Märchen, an so viele kühne und sinnvolle Phantasiegebilde, zu denen nur ein Unverständiger sagen würde: »Das ist widersinnig! Denn das ist nicht möglich.«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›Wenn man nur die Träume immer richtig zu deuten wüßte, so wie du das eben mit dem meinen getan hast! sagte der Freund.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›Das ist gewiß keine leichte Aufgabe, aber es müßte bei einiger Aufmerksamkeit dem Träumenden selbst wohl immer gelingen. Warum es meistens nicht gelingt? Es scheint bei Euch etwas Verstecktes in den Träumen zu liegen, etwas Unkeusches eigener und höherer Art, eine gewisse Heimlichkeit in Eurem Wesen, die schwer auszudenken ist; und darum scheint Euer Träumen so oft ohne Sinn, sogar ein Widersinn zu sein. Es ist aber im tiefsten Grunde durchaus nicht so; ja, es kann gar nicht so sein, denn es ist immer derselbe Mensch, ob er wacht oder träumt.«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welcher Weise die Momente der Verschiebung, Verdichtung und Überdeterminierung bei der Traumbildung ineinanderspielen, welches der übergeordnete und welches der nebensächliche Faktor wird, das würden wir späteren Untersuchungen vorbehalten. Vorläufig können wir als eine zweite Bedingung, der die in den Traum gelangenden Elemente genügen müssen, angeben, </w:t>
      </w:r>
      <w:r w:rsidRPr="00A06A59">
        <w:rPr>
          <w:rFonts w:ascii="Garamond" w:hAnsi="Garamond" w:cs="Arial"/>
          <w:i/>
          <w:iCs/>
          <w:color w:val="000000"/>
          <w:lang w:val="en-GB"/>
        </w:rPr>
        <w:t>daß sie der Zensur des Widerstandes entzogen seien</w:t>
      </w:r>
      <w:r w:rsidRPr="00A06A59">
        <w:rPr>
          <w:rFonts w:ascii="Garamond" w:hAnsi="Garamond" w:cs="Arial"/>
          <w:color w:val="000000"/>
          <w:lang w:val="en-GB"/>
        </w:rPr>
        <w:t>. Die Traumverschiebung aber wollen wir von nun an als unzweifelhafte Tatsache bei der Traumdeutung in Rechnung ziehen.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C. Di</w:t>
        </w:r>
        <w:bookmarkStart w:id="73" w:name="VIC"/>
        <w:bookmarkEnd w:id="73"/>
        <w:r w:rsidRPr="00A06A59">
          <w:rPr>
            <w:rStyle w:val="Lienhypertexte"/>
            <w:rFonts w:ascii="Garamond" w:hAnsi="Garamond" w:cs="Arial"/>
            <w:b/>
            <w:bCs/>
            <w:lang w:val="en-GB"/>
          </w:rPr>
          <w:t>e Darstellungsmittel des Traums</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Außer den beiden Momenten der Traum </w:t>
      </w:r>
      <w:r w:rsidRPr="00A06A59">
        <w:rPr>
          <w:rFonts w:ascii="Garamond" w:hAnsi="Garamond" w:cs="Arial"/>
          <w:i/>
          <w:iCs/>
          <w:color w:val="000000"/>
          <w:lang w:val="en-GB"/>
        </w:rPr>
        <w:t>verdichtung</w:t>
      </w:r>
      <w:r w:rsidRPr="00A06A59">
        <w:rPr>
          <w:rFonts w:ascii="Garamond" w:hAnsi="Garamond" w:cs="Arial"/>
          <w:color w:val="000000"/>
          <w:lang w:val="en-GB"/>
        </w:rPr>
        <w:t xml:space="preserve"> und Traum </w:t>
      </w:r>
      <w:r w:rsidRPr="00A06A59">
        <w:rPr>
          <w:rFonts w:ascii="Garamond" w:hAnsi="Garamond" w:cs="Arial"/>
          <w:i/>
          <w:iCs/>
          <w:color w:val="000000"/>
          <w:lang w:val="en-GB"/>
        </w:rPr>
        <w:t>verschiebung,</w:t>
      </w:r>
      <w:r w:rsidRPr="00A06A59">
        <w:rPr>
          <w:rFonts w:ascii="Garamond" w:hAnsi="Garamond" w:cs="Arial"/>
          <w:color w:val="000000"/>
          <w:lang w:val="en-GB"/>
        </w:rPr>
        <w:t xml:space="preserve"> die wir bei der Verwandlung des latenten Gedankenmaterials in den manifesten Trauminhalt als wirksam aufgefunden haben, werden wir bei der Fortführung dieser Untersuchung noch zwei weiteren Bedingungen begegnen, die unzweifelhaften Einfluß auf die Auswahl des in den Traum gelangenden Materials üben. Vorher möchte ich, selbst auf die Gefahr hin, daß wir auf unserem Wege haltzumachen scheinen, einen ersten Blick auf die Vorgänge bei der Ausführung der Traumdeutung werfen. Ich verhehle mir nicht, daß es am ehesten gelingen würde, dieselben klarzustellen und ihre Zuverlässigkeit gegen Einwendungen zu sichern, wenn ich einen einzelnen Traum zum Muster nehme, seine Deutung entwickle, wie ich es in Abschnitt II bei dem Traum von Irmas Injektion gezeigt habe, dann aber die Traumgedanken, die ich aufgedeckt habe, zusammenstelle und nun die Bildung des Traums aus ihnen rekonstruiere, also die Analyse der Träume durch eine Synthese derselben ergänze. Diese Arbeit habe ich an mehreren Beispielen zu meiner eigenen Belehrung vollzogen; ich kann sie aber hier nicht aufnehmen, weil mannigfache und von jedem billig Denkenden gutzuheißende Rücksichten auf das psychische Material zu dieser Demonstration mich daran verhindern. Bei der Analyse der Träume störten diese Rücksichten weniger, denn die Analyse durfte unvollständig sein und behielt ihren Wert, wenn sie auch nur ein Stück weit in das Gewebe des Traumes hineinführte. Von der Synthese wüßte ich es nicht anders, als daß sie, um zu überzeugen, vollständig sein muß. Eine vollständige Synthese könnte ich nur von Träumen solcher Personen geben, die dem lesenden Publikum unbekannt sind. Da aber nur Patienten, Neurotiker, mir dazu die Mittel bieten, so muß dies Stück Darstellung des Traums einen Aufschub erfahren, bis ich – an anderer Stelle – die psychologische Aufklärung der Neurosen so weit führen kann, daß der Anschluß an unser Thema herzustellen ist </w:t>
      </w:r>
      <w:hyperlink r:id="rId13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Ich habe die vollständige Analyse und Synthese zweier Träume seither in dem Bruchstück einer Hysterie-Analyse, 1905 (Ges. Schriften, Bd. VIII) gegeben. Als die vollständigste Deutung eines längeren Traumes muß die Analyse von O.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»Ein Traum, der sich selbst deutet«, anerkannt werden.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Aus meinen Versuchen, Träume aus den Traumgedanken synthetisch herzustellen, weiß ich, daß das bei der Deutung sich ergebende Material von verschiedenartigem Wert ist. Den einen Teil desselben bilden die wesentlichen Traumgedanken, die also den Traum voll ersetzen und allein zu dessen Ersatz hinreichen würden, wenn es für den Traum keine Zensur gäbe. Dem anderen Teil ist man gewohnt, geringe Bedeutung zuzuschreiben. Man legt auch keinen Wert auf die Behauptung, daß alle diese Gedanken an der Traumbildung beteiligt gewesen seien, vielmehr können sich Einfälle unter ihnen finden, welche an Erlebnisse nach dem Traume, zwischen den Zeitpunkten des Träumens und des Deutens, anknüpfen. Dieser Anteil umfaßt alle die Verbindungswege, die vom manifesten Trauminhalt bis zu den latenten Traumgedanken geführt haben, aber ebenso die vermittelnden und annähernden Assoziationen, durch welche man während der Deutungsarbeit zur Kenntnis dieser Verbindungswege gekommen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Uns interessieren an dieser Stelle ausschließlich die wesentlichen Traumgedanken. Diese enthüllen sich zumeist als ein Komplex von Gedanken und Erinnerungen vom allerverwickeltsten Aufbau mit allen Eigenschaften der uns aus dem Wachen bekannten Gedankengänge. Nicht selten sind es Gedankenzüge, die von mehr als einem Zentrum ausgehen, aber der Berührungspunkte nicht entbehren; fast regelmäßig steht neben einem Gedankengang sein kontradiktorisches Widerspiel, durch Kontrastassoziation mit ihm verbunden.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einzelnen Stücke dieses komplizierten Gebildes stehen natürlich in den mannigfaltigsten logischen Relationen zueinander. Sie bilden Vorder- und Hintergrund, Abschweifungen und Erläuterungen, Bedingungen, Beweisgänge und Einsprüche. Wenn dann die ganze Masse dieser Traumgedanken der Pressung der Traumarbeit unterliegt, wobei die Stücke gedreht, zerbröckelt und zusammengeschoben werden, etwa wie treibendes Eis, so entsteht die Frage, was aus den logischen Banden wird, welche bishin das Gefüge gebildet hatten. Welche Darstellung erfahren im Traum das »Wenn, weil, gleichwie, obgleich, entweder–oder« und alle anderen Präpositionen, ohne die wir Satz und Rede nicht verstehen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Man muß zunächst darauf antworten, der Traum hat für diese logischen Relationen unter den Traumgedanken keine Mittel der Darstellung zur Verfügung. Zumeist läßt er all diese Präpositionen unberücksichtigt und übernimmt nur den sachlichen Inhalt der Traumgedanken zur Bearbeitung. Der Traumdeutung bleibt es überlassen, den Zusammenhang wiederherzustellen, den die Traumarbeit vernichtet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muß am psychischen Material liegen, in dem der Traum gearbeitet ist, wenn ihm diese Ausdrucksfähigkeit abgeht. In einer ähnlichen Beschränkung befinden sich ja die darstellenden Künste, Malerei und Plastik im Vergleich zur Poesie, die sich der Rede bedienen kann, und auch hier liegt der Grund des Unvermögens in dem Material, durch dessen Bearbeitung die beiden Künste etwas zum Ausdruck zu bringen streben. Ehe die Malerei zur Kenntnis der für sie gültigen Gesetze des Ausdrucks gekommen war, bemühte sie sich noch, diesen Nachteil auszugleichen. Aus dem </w:t>
      </w:r>
      <w:r w:rsidRPr="00A06A59">
        <w:rPr>
          <w:rFonts w:ascii="Garamond" w:hAnsi="Garamond" w:cs="Arial"/>
          <w:color w:val="000000"/>
          <w:lang w:val="en-GB"/>
        </w:rPr>
        <w:lastRenderedPageBreak/>
        <w:t>Munde der gemalten Personen ließ man auf alten Bildern Zettelchen heraushängen, welche als Schrift die Rede brachten, die im Bilde darzustellen der Maler verzweifelte.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Vielleicht wird sich hier ein Einwand erheben, der für den Traum den Verzicht auf die Darstellung logischer Relationen bestreitet. Es gibt ja Träume, in welchen die kompliziertesten Geistesoperationen vor sich gehen, begründet und widersprochen, gewitzelt und verglichen wird wie im wachen Denken. Allein auch hier trügt der Schein; wenn man auf die Deutung solcher Träume eingeht, erfährt man, daß das alles </w:t>
      </w:r>
      <w:r w:rsidRPr="00A06A59">
        <w:rPr>
          <w:rFonts w:ascii="Garamond" w:hAnsi="Garamond" w:cs="Arial"/>
          <w:i/>
          <w:iCs/>
          <w:color w:val="000000"/>
          <w:lang w:val="en-GB"/>
        </w:rPr>
        <w:t>Traummaterial</w:t>
      </w:r>
      <w:r w:rsidRPr="00A06A59">
        <w:rPr>
          <w:rFonts w:ascii="Garamond" w:hAnsi="Garamond" w:cs="Arial"/>
          <w:color w:val="000000"/>
          <w:lang w:val="en-GB"/>
        </w:rPr>
        <w:t xml:space="preserve"> ist, </w:t>
      </w:r>
      <w:r w:rsidRPr="00A06A59">
        <w:rPr>
          <w:rFonts w:ascii="Garamond" w:hAnsi="Garamond" w:cs="Arial"/>
          <w:i/>
          <w:iCs/>
          <w:color w:val="000000"/>
          <w:lang w:val="en-GB"/>
        </w:rPr>
        <w:t>nicht Darstellung intellektueller Arbeit im Traum</w:t>
      </w:r>
      <w:r w:rsidRPr="00A06A59">
        <w:rPr>
          <w:rFonts w:ascii="Garamond" w:hAnsi="Garamond" w:cs="Arial"/>
          <w:color w:val="000000"/>
          <w:lang w:val="en-GB"/>
        </w:rPr>
        <w:t xml:space="preserve">. Der </w:t>
      </w:r>
      <w:r w:rsidRPr="00A06A59">
        <w:rPr>
          <w:rFonts w:ascii="Garamond" w:hAnsi="Garamond" w:cs="Arial"/>
          <w:i/>
          <w:iCs/>
          <w:color w:val="000000"/>
          <w:lang w:val="en-GB"/>
        </w:rPr>
        <w:t>Inhalt</w:t>
      </w:r>
      <w:r w:rsidRPr="00A06A59">
        <w:rPr>
          <w:rFonts w:ascii="Garamond" w:hAnsi="Garamond" w:cs="Arial"/>
          <w:color w:val="000000"/>
          <w:lang w:val="en-GB"/>
        </w:rPr>
        <w:t xml:space="preserve"> der Traumgedanken ist durch das scheinbare Denken des Traumes wiedergegeben, nicht die </w:t>
      </w:r>
      <w:r w:rsidRPr="00A06A59">
        <w:rPr>
          <w:rFonts w:ascii="Garamond" w:hAnsi="Garamond" w:cs="Arial"/>
          <w:i/>
          <w:iCs/>
          <w:color w:val="000000"/>
          <w:lang w:val="en-GB"/>
        </w:rPr>
        <w:t>Beziehung der Traumgedanken zueinander</w:t>
      </w:r>
      <w:r w:rsidRPr="00A06A59">
        <w:rPr>
          <w:rFonts w:ascii="Garamond" w:hAnsi="Garamond" w:cs="Arial"/>
          <w:color w:val="000000"/>
          <w:lang w:val="en-GB"/>
        </w:rPr>
        <w:t>, in deren Feststellung das Denken besteht. Ich werde hiefür Beispiele erbringen. Am leichtesten ist es aber zu konstatieren, daß alle Reden, die in Träumen vorkommen und die ausdrücklich als solche bezeichnet werden, unveränderte oder nur wenig modifizierte Nachbildungen von Reden sind, die sich ebenso in den Erinnerungen des Traummaterials vorfinden. Die Rede ist oft nur eine Anspielung auf ein in den Traumgedanken enthaltenes Ereignis; der Sinn des Traumes ein ganz anderer.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Allerdings werde ich nicht bestreiten, daß auch kritische Denkarbeit, die nicht einfach Material aus den Traumgedanken wiederholt, ihren Anteil an der Traumbildung nimmt. Den Einfluß dieses Faktors werde ich zu Ende dieser Erörterung beleuchten müssen. Es wird sich dann ergeben, daß diese Denkarbeit nicht durch die Traumgedanken, sondern durch den in gewissem Sinne bereits fertigen Traum hervorgerufen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bleibt also vorläufig dabei, daß die logischen Relationen zwischen den Traumgedanken im Traume eine besondere Darstellung nicht finden. Wo sich z. B. Widerspruch im Traum findet, da ist es entweder Widerspruch gegen den Traum oder Widerspruch aus dem Inhalt eines der Traumgedanken; einem Widerspruch </w:t>
      </w:r>
      <w:r w:rsidRPr="00A06A59">
        <w:rPr>
          <w:rFonts w:ascii="Garamond" w:hAnsi="Garamond" w:cs="Arial"/>
          <w:i/>
          <w:iCs/>
          <w:color w:val="000000"/>
          <w:lang w:val="en-GB"/>
        </w:rPr>
        <w:t>zwischen</w:t>
      </w:r>
      <w:r w:rsidRPr="00A06A59">
        <w:rPr>
          <w:rFonts w:ascii="Garamond" w:hAnsi="Garamond" w:cs="Arial"/>
          <w:color w:val="000000"/>
          <w:lang w:val="en-GB"/>
        </w:rPr>
        <w:t xml:space="preserve"> den Traumgedanken entspricht der Widerspruch im Traum nur in höchst indirekt vermittelter Weise.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Wie es aber endlich der Malerei gelungen ist, wenigstens die Redeabsicht der dargestellten Personen, Zärtlichkeit, Drohung, Verwarnung u. dgl. anders zum Ausdruck zu bringen als durch den flatternden Zettel, so hat sich auch für den Traum die Möglichkeit ergeben, einzelnen der logischen Relationen zwischen seinen Traumgedanken durch eine zugehörige Modifikation der eigentümlichen Traumdarstellung Rücksicht zuzuwenden. Man kann die Erfahrung machen, daß die verschiedenen Träume in dieser Berücksichtigung verschieden weit gehen; während sich der eine Traum über das logische Gefüge seines Materials völlig hinaussetzt, sucht ein anderer dasselbe möglichst vollständig anzudeuten. Der Traum entfernt sich hierin mehr oder weniger weit von dem ihm zur Bearbeitung vorliegenden Text. Ähnlich wechselnd benimmt sich der Traum übrigens auch gegen das </w:t>
      </w:r>
      <w:r w:rsidRPr="00A06A59">
        <w:rPr>
          <w:rFonts w:ascii="Garamond" w:hAnsi="Garamond" w:cs="Arial"/>
          <w:i/>
          <w:iCs/>
          <w:color w:val="000000"/>
          <w:lang w:val="en-GB"/>
        </w:rPr>
        <w:t>zeitliche</w:t>
      </w:r>
      <w:r w:rsidRPr="00A06A59">
        <w:rPr>
          <w:rFonts w:ascii="Garamond" w:hAnsi="Garamond" w:cs="Arial"/>
          <w:color w:val="000000"/>
          <w:lang w:val="en-GB"/>
        </w:rPr>
        <w:t xml:space="preserve"> Gefüge der Traumgedanken, wenn ein solches im Unbewußten hergestellt ist (wie z. B. im Traum von Irmas Injektion).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Durch welche Mittel vermag aber die Traumarbeit die schwer darstellbaren Relationen im Traummaterial anzudeuten? Ich werde versuchen, sie einzeln aufzuzählen.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Zunächst wird der Traum dem unleugbar vorhandenen Zusammenhang zwischen allen Stücken der Traumgedanken dadurch im ganzen gerecht, daß er dieses Material in einer Zusammenfassung als Situation oder Vorgang vereinigt. Er gibt </w:t>
      </w:r>
      <w:r w:rsidRPr="00A06A59">
        <w:rPr>
          <w:rFonts w:ascii="Garamond" w:hAnsi="Garamond" w:cs="Arial"/>
          <w:i/>
          <w:iCs/>
          <w:color w:val="000000"/>
          <w:lang w:val="en-GB"/>
        </w:rPr>
        <w:t>logischen Zusammenhang</w:t>
      </w:r>
      <w:r w:rsidRPr="00A06A59">
        <w:rPr>
          <w:rFonts w:ascii="Garamond" w:hAnsi="Garamond" w:cs="Arial"/>
          <w:color w:val="000000"/>
          <w:lang w:val="en-GB"/>
        </w:rPr>
        <w:t xml:space="preserve"> wieder als </w:t>
      </w:r>
      <w:r w:rsidRPr="00A06A59">
        <w:rPr>
          <w:rFonts w:ascii="Garamond" w:hAnsi="Garamond" w:cs="Arial"/>
          <w:i/>
          <w:iCs/>
          <w:color w:val="000000"/>
          <w:lang w:val="en-GB"/>
        </w:rPr>
        <w:t>Gleichzeitigkeit</w:t>
      </w:r>
      <w:r w:rsidRPr="00A06A59">
        <w:rPr>
          <w:rFonts w:ascii="Garamond" w:hAnsi="Garamond" w:cs="Arial"/>
          <w:color w:val="000000"/>
          <w:lang w:val="en-GB"/>
        </w:rPr>
        <w:t>; er verfährt darin ähnlich wie der Maler, der alle Philosophen oder Dichter zum Bild einer Schule von Athen oder des Parnaß zusammenstellt, die niemals in einer Halle oder auf einem Berggipfel beisammen gewesen sind, wohl aber für die denkende Betrachtung eine Gemeinschaft bilden.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Diese Darstellungsweise setzt der Traum ins einzelne fort. Sooft er zwei Elemente nahe beieinander zeigt, bürgt er für einen besonders innigen Zusammenhang zwischen ihren Entsprechenden in den Traumgedanken. </w:t>
      </w:r>
      <w:r w:rsidRPr="00A06A59">
        <w:rPr>
          <w:rFonts w:ascii="Garamond" w:hAnsi="Garamond" w:cs="Arial"/>
          <w:color w:val="000000"/>
          <w:lang w:val="en-GB"/>
        </w:rPr>
        <w:t xml:space="preserve">Es ist wie in unserem Schriftsystem: </w:t>
      </w:r>
      <w:r w:rsidRPr="00A06A59">
        <w:rPr>
          <w:rFonts w:ascii="Garamond" w:hAnsi="Garamond" w:cs="Arial"/>
          <w:i/>
          <w:iCs/>
          <w:color w:val="000000"/>
          <w:lang w:val="en-GB"/>
        </w:rPr>
        <w:t>ab</w:t>
      </w:r>
      <w:r w:rsidRPr="00A06A59">
        <w:rPr>
          <w:rFonts w:ascii="Garamond" w:hAnsi="Garamond" w:cs="Arial"/>
          <w:color w:val="000000"/>
          <w:lang w:val="en-GB"/>
        </w:rPr>
        <w:t xml:space="preserve"> bedeutet, daß die beiden Buchstaben in einer Silbe ausgesprochen werden sollen, </w:t>
      </w:r>
      <w:r w:rsidRPr="00A06A59">
        <w:rPr>
          <w:rFonts w:ascii="Garamond" w:hAnsi="Garamond" w:cs="Arial"/>
          <w:i/>
          <w:iCs/>
          <w:color w:val="000000"/>
          <w:lang w:val="en-GB"/>
        </w:rPr>
        <w:t>a</w:t>
      </w:r>
      <w:r w:rsidRPr="00A06A59">
        <w:rPr>
          <w:rFonts w:ascii="Garamond" w:hAnsi="Garamond" w:cs="Arial"/>
          <w:color w:val="000000"/>
          <w:lang w:val="en-GB"/>
        </w:rPr>
        <w:t xml:space="preserve">, und </w:t>
      </w:r>
      <w:r w:rsidRPr="00A06A59">
        <w:rPr>
          <w:rFonts w:ascii="Garamond" w:hAnsi="Garamond" w:cs="Arial"/>
          <w:i/>
          <w:iCs/>
          <w:color w:val="000000"/>
          <w:lang w:val="en-GB"/>
        </w:rPr>
        <w:t>b</w:t>
      </w:r>
      <w:r w:rsidRPr="00A06A59">
        <w:rPr>
          <w:rFonts w:ascii="Garamond" w:hAnsi="Garamond" w:cs="Arial"/>
          <w:color w:val="000000"/>
          <w:lang w:val="en-GB"/>
        </w:rPr>
        <w:t xml:space="preserve"> nach einer freien Lücke, läßt </w:t>
      </w:r>
      <w:r w:rsidRPr="00A06A59">
        <w:rPr>
          <w:rFonts w:ascii="Garamond" w:hAnsi="Garamond" w:cs="Arial"/>
          <w:i/>
          <w:iCs/>
          <w:color w:val="000000"/>
          <w:lang w:val="en-GB"/>
        </w:rPr>
        <w:t>a</w:t>
      </w:r>
      <w:r w:rsidRPr="00A06A59">
        <w:rPr>
          <w:rFonts w:ascii="Garamond" w:hAnsi="Garamond" w:cs="Arial"/>
          <w:color w:val="000000"/>
          <w:lang w:val="en-GB"/>
        </w:rPr>
        <w:t xml:space="preserve"> als den letzten Buchstaben des einen Worts und </w:t>
      </w:r>
      <w:r w:rsidRPr="00A06A59">
        <w:rPr>
          <w:rFonts w:ascii="Garamond" w:hAnsi="Garamond" w:cs="Arial"/>
          <w:i/>
          <w:iCs/>
          <w:color w:val="000000"/>
          <w:lang w:val="en-GB"/>
        </w:rPr>
        <w:t>b</w:t>
      </w:r>
      <w:r w:rsidRPr="00A06A59">
        <w:rPr>
          <w:rFonts w:ascii="Garamond" w:hAnsi="Garamond" w:cs="Arial"/>
          <w:color w:val="000000"/>
          <w:lang w:val="en-GB"/>
        </w:rPr>
        <w:t xml:space="preserve"> als den ersten eines anderen Worts erkennen. Demzufolge bilden sich die Traumkombinationen nicht aus beliebigen, völlig disparaten Bestandteilen des Traummaterials, sondern aus solchen, die auch in den Traumgedanken in innigerem Zusammenhange stehen.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Die </w:t>
      </w:r>
      <w:r w:rsidRPr="00A06A59">
        <w:rPr>
          <w:rFonts w:ascii="Garamond" w:hAnsi="Garamond" w:cs="Arial"/>
          <w:i/>
          <w:iCs/>
          <w:color w:val="000000"/>
          <w:lang w:val="en-GB"/>
        </w:rPr>
        <w:t>Kausalbeziehungen</w:t>
      </w:r>
      <w:r w:rsidRPr="00A06A59">
        <w:rPr>
          <w:rFonts w:ascii="Garamond" w:hAnsi="Garamond" w:cs="Arial"/>
          <w:color w:val="000000"/>
          <w:lang w:val="en-GB"/>
        </w:rPr>
        <w:t xml:space="preserve"> darzustellen hat der Traum zwei Verfahren, die im Wesen auf dasselbe hinauslaufen. Die häufigere Darstellungsweise, wenn die Traumgedanken etwa lauten: Weil dies so und so war, mußte dies und jenes geschehen, besteht darin, den Nebensatz als Vortraum zu bringen und dann den Hauptsatz als Haupttraum anzufügen. Wenn ich recht gedeutet habe, kann die Zeitfolge auch die umgekehrte sein. </w:t>
      </w:r>
      <w:r w:rsidRPr="00A06A59">
        <w:rPr>
          <w:rFonts w:ascii="Garamond" w:hAnsi="Garamond" w:cs="Arial"/>
          <w:color w:val="000000"/>
        </w:rPr>
        <w:t>Stets entspricht dem Hauptsatz der breiter ausgeführte Teil des Traumes.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schönes Beispiel von solcher Darstellung der Kausalität hat mir einmal eine Patientin geliefert, deren Traum ich späterhin vollständig mitteilen werde. Er bestand aus einem kurzen Vorspiel und einem sehr weitläufigen Traumstück, das im hohen Grade zentriert war und etwa überschrieben werden konnte: »Durch die Blume.« Der Vortraum lautete so: </w:t>
      </w:r>
      <w:r w:rsidRPr="00A06A59">
        <w:rPr>
          <w:rFonts w:ascii="Garamond" w:hAnsi="Garamond" w:cs="Arial"/>
          <w:i/>
          <w:iCs/>
          <w:color w:val="000000"/>
          <w:lang w:val="en-GB"/>
        </w:rPr>
        <w:t xml:space="preserve">Sie geht in die Küche zu den beiden Mägden und tadelt sie, daß sie nicht fertig werden »mit dem bißl Essen«. Dabei sieht sie sehr viel </w:t>
      </w:r>
      <w:r w:rsidRPr="00A06A59">
        <w:rPr>
          <w:rFonts w:ascii="Garamond" w:hAnsi="Garamond" w:cs="Arial"/>
          <w:i/>
          <w:iCs/>
          <w:color w:val="000000"/>
          <w:lang w:val="en-GB"/>
        </w:rPr>
        <w:lastRenderedPageBreak/>
        <w:t>grobes Küchengeschirr zum Abtropfen umgestürzt in der Küche stehen, und zwar in Haufen aufeinander gestellt. Die beiden Mägde gehen Wasser holen und müssen dabei wie in einen Fluß steigen, der bis ans Haus oder in den Hof reicht.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Dann folgt der Haupttraum, der sich so einleitet: </w:t>
      </w:r>
      <w:r w:rsidRPr="00A06A59">
        <w:rPr>
          <w:rFonts w:ascii="Garamond" w:hAnsi="Garamond" w:cs="Arial"/>
          <w:i/>
          <w:iCs/>
          <w:color w:val="000000"/>
          <w:lang w:val="en-GB"/>
        </w:rPr>
        <w:t>Sie steigt von hoch herab, über eigentümlich gebildete Geländer, und freut sich, daß ihr Kleid dabei nirgends hängenbleibt</w:t>
      </w:r>
      <w:r w:rsidRPr="00A06A59">
        <w:rPr>
          <w:rFonts w:ascii="Garamond" w:hAnsi="Garamond" w:cs="Arial"/>
          <w:color w:val="000000"/>
          <w:lang w:val="en-GB"/>
        </w:rPr>
        <w:t xml:space="preserve"> usw. Der Vortraum bezieht sich nun auf das elterliche Haus der Dame. Die Worte in der Küche hat sie wohl oft so von ihrer Mutter gehört. Die Haufen von rohem Geschirr stammen aus der einfachen Geschirrhandlung, die sich in demselben Hause befand. Der andere Teil des Traumes enthält eine Anspielung auf den Vater, der sich viel mit Dienstmädchen zu schaffen machte und dann bei einer Überschwemmung das Haus stand nahe am Ufer des Flusses sich eine tödliche Erkrankung holte. Der Gedanke, der sich hinter diesem Vortraum verbirgt, heißt also: Weil ich aus diesem Hause, aus so kleinlichen und unerquicklichen Verhältnissen stamme. Der Haupttraum nimmt denselben Gedanken wieder auf und bringt ihn in durch Wunscherfüllung verwandelter Form: Ich bin von hoher Abkunft. Eigentlich also: Weil ich von so niedriger Abkunft bin, war mein Lebenslauf so und so.</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Soviel ich sehe, bedeutet eine Teilung des Traums in zwei ungleiche Stücke nicht jedesmal eine kausale Beziehung zwischen den Gedanken der beiden Stücke. Oft scheint es, als ob in den beiden Träumen dasselbe Material von verschiedenen Gesichtspunkten aus dargestellt würde; sicherlich gilt dies für die in eine Pollution auslaufende Traumreihe einer Nacht, in welcher das somatische Bedürfnis sich einen fortschreitend deutlicheren Ausdruck erzwingt. Oder die beiden Träume sind aus gesonderten Zentren im Traummaterial hervorgegangen und überschneiden einander im Inhalt, so daß in dem einen Traum Zentrum ist, was im anderen als Andeutung mitwirkt und umgekehrt. In einer gewissen Anzahl von Träumen bedeutet aber die Spaltung in kürzeren Vor- und längeren Nachtraum tatsächlich kausale Beziehung zwischen beiden Stücken. Die andere Darstellungsweise des Kausalverhältnisses findet Anwendung bei minder umfangreichem Material und besteht darin, daß ein Bild im Traume, sei es einer Person oder einer Sache, sich in ein anderes verwandelt. Nur wo wir diese Verwandlung im Traume vor sich gehen sehen, wird der kausale Zusammenhang ernstlich behauptet; nicht wo wir bloß merken, es sei an Stelle des einen jetzt das andere gekommen. Ich sagte, die beiden Verfahren, Kausalbeziehung darzustellen, liefen auf dasselbe hinaus; in beiden Fällen wird die </w:t>
      </w:r>
      <w:r w:rsidRPr="00A06A59">
        <w:rPr>
          <w:rFonts w:ascii="Garamond" w:hAnsi="Garamond" w:cs="Arial"/>
          <w:i/>
          <w:iCs/>
          <w:color w:val="000000"/>
          <w:lang w:val="en-GB"/>
        </w:rPr>
        <w:t>Verursachung</w:t>
      </w:r>
      <w:r w:rsidRPr="00A06A59">
        <w:rPr>
          <w:rFonts w:ascii="Garamond" w:hAnsi="Garamond" w:cs="Arial"/>
          <w:color w:val="000000"/>
          <w:lang w:val="en-GB"/>
        </w:rPr>
        <w:t xml:space="preserve"> dargestellt durch ein </w:t>
      </w:r>
      <w:r w:rsidRPr="00A06A59">
        <w:rPr>
          <w:rFonts w:ascii="Garamond" w:hAnsi="Garamond" w:cs="Arial"/>
          <w:i/>
          <w:iCs/>
          <w:color w:val="000000"/>
          <w:lang w:val="en-GB"/>
        </w:rPr>
        <w:t>Nacheinander</w:t>
      </w:r>
      <w:r w:rsidRPr="00A06A59">
        <w:rPr>
          <w:rFonts w:ascii="Garamond" w:hAnsi="Garamond" w:cs="Arial"/>
          <w:color w:val="000000"/>
          <w:lang w:val="en-GB"/>
        </w:rPr>
        <w:t>; einmal durch das Aufeinanderfolgen der Träume, das andere Mal durch die unmittelbare Verwandlung eines Bildes in ein anderes. In den allermeisten Fällen freilich wird die Kausalrelation überhaupt nicht dargestellt, sondern fällt unter das auch im Traumvorgang unvermeidliche Nacheinander der Elemente.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Alternative »Entweder–Oder« kann der Traum überhaupt nicht ausdrücken; er pflegt die Glieder derselben wie gleichberechtigt in einen Zusammenhang aufzunehmen. Ein klassisches Beispiel hiefür enthält der Traum von Irmas Injektion. In dessen latenten Gedanken heißt es offenbar: Ich bin unschuldig an dem Fortbestand von Irmas Schmerzen; die Schuld liegt </w:t>
      </w:r>
      <w:r w:rsidRPr="00A06A59">
        <w:rPr>
          <w:rFonts w:ascii="Garamond" w:hAnsi="Garamond" w:cs="Arial"/>
          <w:i/>
          <w:iCs/>
          <w:color w:val="000000"/>
          <w:lang w:val="en-GB"/>
        </w:rPr>
        <w:t>entweder</w:t>
      </w:r>
      <w:r w:rsidRPr="00A06A59">
        <w:rPr>
          <w:rFonts w:ascii="Garamond" w:hAnsi="Garamond" w:cs="Arial"/>
          <w:color w:val="000000"/>
          <w:lang w:val="en-GB"/>
        </w:rPr>
        <w:t xml:space="preserve"> an ihrem Sträuben gegen die Annahme der Lösung, </w:t>
      </w:r>
      <w:r w:rsidRPr="00A06A59">
        <w:rPr>
          <w:rFonts w:ascii="Garamond" w:hAnsi="Garamond" w:cs="Arial"/>
          <w:i/>
          <w:iCs/>
          <w:color w:val="000000"/>
          <w:lang w:val="en-GB"/>
        </w:rPr>
        <w:t>oder</w:t>
      </w:r>
      <w:r w:rsidRPr="00A06A59">
        <w:rPr>
          <w:rFonts w:ascii="Garamond" w:hAnsi="Garamond" w:cs="Arial"/>
          <w:color w:val="000000"/>
          <w:lang w:val="en-GB"/>
        </w:rPr>
        <w:t xml:space="preserve"> daran, daß sie unter ungünstigen sexuellen Bedingungen lebt, die ich nicht ändern kann, </w:t>
      </w:r>
      <w:r w:rsidRPr="00A06A59">
        <w:rPr>
          <w:rFonts w:ascii="Garamond" w:hAnsi="Garamond" w:cs="Arial"/>
          <w:i/>
          <w:iCs/>
          <w:color w:val="000000"/>
          <w:lang w:val="en-GB"/>
        </w:rPr>
        <w:t>oder</w:t>
      </w:r>
      <w:r w:rsidRPr="00A06A59">
        <w:rPr>
          <w:rFonts w:ascii="Garamond" w:hAnsi="Garamond" w:cs="Arial"/>
          <w:color w:val="000000"/>
          <w:lang w:val="en-GB"/>
        </w:rPr>
        <w:t xml:space="preserve"> ihre Schmerzen sind überhaupt nicht hysterischer, sondern organischer Natur. Der Traum vollzieht aber alle diese einander fast ausschließenden Möglichkeiten und nimmt keinen Anstoß, aus dem Traumwunsch eine vierte solche Lösung hinzuzufügen. Das Entweder–Oder habe ich dann nach der Traumdeutung in den Zusammenhang der Traumgedanken eingesetzt.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Wo aber der Erzähler bei der Reproduktion des Traumes ein EntwederOder gebrauchen möchte: Es war entweder ein Garten oder ein Wohnzimmer usw., da kommt in den Traumgedanken nicht etwa eine Alternative, sondern ein »und«, eine einfache Anreihung, vor. Mit EntwederOder beschreiben wir zumeist einen noch auflösbaren Charakter von Verschwommenheit an einem Traumelemente. Die Deutungsregel für diesen Fall lautet: Die einzelnen Glieder der scheinbaren Alternative sind einander gleichzusetzen und durch »und« zu verbinden. Ich träume z. B. , nachdem ich längere Zeit vergeblich auf die Adresse meines in Italien weilenden Freundes gewartet habe, daß ich ein Telegramm erhalte, welches mir diese Adresse mitteilt. Ich sehe sie in blauem Druck auf den Papierstreifen des Telegramms; das erste Wort ist verschwommen,</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r w:rsidRPr="00A06A59">
        <w:rPr>
          <w:rFonts w:ascii="Garamond" w:hAnsi="Garamond"/>
          <w:color w:val="000000"/>
          <w:sz w:val="22"/>
          <w:szCs w:val="22"/>
          <w:lang w:val="en-GB"/>
        </w:rPr>
        <w:t xml:space="preserve">etwa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r w:rsidRPr="00A06A59">
        <w:rPr>
          <w:rFonts w:ascii="Garamond" w:hAnsi="Garamond"/>
          <w:i/>
          <w:iCs/>
          <w:color w:val="000000"/>
          <w:sz w:val="22"/>
          <w:szCs w:val="22"/>
          <w:lang w:val="en-GB"/>
        </w:rPr>
        <w:t>via</w:t>
      </w:r>
      <w:r w:rsidRPr="00A06A59">
        <w:rPr>
          <w:rFonts w:ascii="Garamond" w:hAnsi="Garamond"/>
          <w:color w:val="000000"/>
          <w:sz w:val="22"/>
          <w:szCs w:val="22"/>
          <w:lang w:val="en-GB"/>
        </w:rPr>
        <w:t xml:space="preserve">,                    }       das zweite deutlich: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r w:rsidRPr="00A06A59">
        <w:rPr>
          <w:rFonts w:ascii="Garamond" w:hAnsi="Garamond"/>
          <w:i/>
          <w:iCs/>
          <w:color w:val="000000"/>
          <w:sz w:val="22"/>
          <w:szCs w:val="22"/>
          <w:lang w:val="en-GB"/>
        </w:rPr>
        <w:t>Sezerno</w:t>
      </w:r>
      <w:r w:rsidRPr="00A06A59">
        <w:rPr>
          <w:rFonts w:ascii="Garamond" w:hAnsi="Garamond"/>
          <w:color w:val="000000"/>
          <w:sz w:val="22"/>
          <w:szCs w:val="22"/>
          <w:lang w:val="en-GB"/>
        </w:rPr>
        <w:t xml:space="preserve">,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rPr>
      </w:pPr>
      <w:r w:rsidRPr="00A06A59">
        <w:rPr>
          <w:rFonts w:ascii="Garamond" w:hAnsi="Garamond"/>
          <w:color w:val="000000"/>
          <w:sz w:val="22"/>
          <w:szCs w:val="22"/>
        </w:rPr>
        <w:t xml:space="preserve">oder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rPr>
      </w:pPr>
      <w:r w:rsidRPr="00A06A59">
        <w:rPr>
          <w:rFonts w:ascii="Garamond" w:hAnsi="Garamond"/>
          <w:i/>
          <w:iCs/>
          <w:color w:val="000000"/>
          <w:sz w:val="22"/>
          <w:szCs w:val="22"/>
        </w:rPr>
        <w:t>Villa</w:t>
      </w:r>
      <w:r w:rsidRPr="00A06A59">
        <w:rPr>
          <w:rFonts w:ascii="Garamond" w:hAnsi="Garamond"/>
          <w:color w:val="000000"/>
          <w:sz w:val="22"/>
          <w:szCs w:val="22"/>
        </w:rPr>
        <w:t xml:space="preserve">,                  }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rPr>
      </w:pPr>
      <w:r w:rsidRPr="00A06A59">
        <w:rPr>
          <w:rFonts w:ascii="Garamond" w:hAnsi="Garamond"/>
          <w:color w:val="000000"/>
          <w:sz w:val="22"/>
          <w:szCs w:val="22"/>
        </w:rPr>
        <w:t>oder sogar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rPr>
      </w:pPr>
      <w:r w:rsidRPr="00A06A59">
        <w:rPr>
          <w:rFonts w:ascii="Garamond" w:hAnsi="Garamond"/>
          <w:i/>
          <w:iCs/>
          <w:color w:val="000000"/>
          <w:sz w:val="22"/>
          <w:szCs w:val="22"/>
        </w:rPr>
        <w:t>Casa</w:t>
      </w:r>
      <w:r w:rsidRPr="00A06A59">
        <w:rPr>
          <w:rFonts w:ascii="Garamond" w:hAnsi="Garamond"/>
          <w:color w:val="000000"/>
          <w:sz w:val="22"/>
          <w:szCs w:val="22"/>
        </w:rPr>
        <w:t xml:space="preserve">).           }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rPr>
      </w:pP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rPr>
      </w:pP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lastRenderedPageBreak/>
        <w:t>Das zweite Wort, das an italienische Namen anklingt und mich an unsere etymologischen Besprechungen erinnert, drückt auch meinen Ärger aus, daß er seinen Aufenthalt so lange vor mir geheimgehalten; jedes der Glieder aber des Ternavorschlages zum ersten Wort läßt sich bei der Analyse als selbständiger und gleichberechtigter Ausgangspunkt der Gedankenverkettung erkennen.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In der Nacht vor dem Begräbnis meines Vaters träume ich von einer bedruckten Tafel, einem Plakat oder Anschlagezettel – etwa wie die das Rauchverbot verkündenden Zettel in den Wartesälen der Eisenbahnen, – auf dem zu lesen ist, entweder:</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r w:rsidRPr="00A06A59">
        <w:rPr>
          <w:rFonts w:ascii="Garamond" w:hAnsi="Garamond"/>
          <w:i/>
          <w:iCs/>
          <w:color w:val="000000"/>
          <w:sz w:val="22"/>
          <w:szCs w:val="22"/>
          <w:lang w:val="en-GB"/>
        </w:rPr>
        <w:t>Man bittet, die Augen zuzudrücken</w:t>
      </w:r>
      <w:r w:rsidRPr="00A06A59">
        <w:rPr>
          <w:rFonts w:ascii="Garamond" w:hAnsi="Garamond"/>
          <w:color w:val="000000"/>
          <w:sz w:val="22"/>
          <w:szCs w:val="22"/>
          <w:lang w:val="en-GB"/>
        </w:rPr>
        <w:t xml:space="preserve">,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r w:rsidRPr="00A06A59">
        <w:rPr>
          <w:rFonts w:ascii="Garamond" w:hAnsi="Garamond"/>
          <w:color w:val="000000"/>
          <w:sz w:val="22"/>
          <w:szCs w:val="22"/>
          <w:lang w:val="en-GB"/>
        </w:rPr>
        <w:t xml:space="preserve">oder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r w:rsidRPr="00A06A59">
        <w:rPr>
          <w:rFonts w:ascii="Garamond" w:hAnsi="Garamond"/>
          <w:i/>
          <w:iCs/>
          <w:color w:val="000000"/>
          <w:sz w:val="22"/>
          <w:szCs w:val="22"/>
          <w:lang w:val="en-GB"/>
        </w:rPr>
        <w:t>Man bittet, ein Auge zuzudrücken</w:t>
      </w:r>
      <w:r w:rsidRPr="00A06A59">
        <w:rPr>
          <w:rFonts w:ascii="Garamond" w:hAnsi="Garamond"/>
          <w:color w:val="000000"/>
          <w:sz w:val="22"/>
          <w:szCs w:val="22"/>
          <w:lang w:val="en-GB"/>
        </w:rPr>
        <w:t xml:space="preserve">,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r w:rsidRPr="00A06A59">
        <w:rPr>
          <w:rFonts w:ascii="Garamond" w:hAnsi="Garamond"/>
          <w:color w:val="000000"/>
          <w:sz w:val="22"/>
          <w:szCs w:val="22"/>
          <w:lang w:val="en-GB"/>
        </w:rPr>
        <w:t xml:space="preserve">was ich in folgender Form darzustellen gewohnt bin:                           </w:t>
      </w: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p>
    <w:p w:rsidR="00A06A59" w:rsidRPr="00A06A59" w:rsidRDefault="00A06A59" w:rsidP="00A06A59">
      <w:pPr>
        <w:pStyle w:val="PrformatHTML"/>
        <w:shd w:val="clear" w:color="auto" w:fill="FFFFFF"/>
        <w:tabs>
          <w:tab w:val="left" w:pos="7513"/>
          <w:tab w:val="left" w:pos="9639"/>
        </w:tabs>
        <w:spacing w:line="124" w:lineRule="atLeast"/>
        <w:ind w:left="-426" w:right="-567"/>
        <w:rPr>
          <w:rFonts w:ascii="Garamond" w:hAnsi="Garamond"/>
          <w:color w:val="000000"/>
          <w:sz w:val="22"/>
          <w:szCs w:val="22"/>
          <w:lang w:val="en-GB"/>
        </w:rPr>
      </w:pPr>
      <w:r w:rsidRPr="00A06A59">
        <w:rPr>
          <w:rFonts w:ascii="Garamond" w:hAnsi="Garamond"/>
          <w:i/>
          <w:iCs/>
          <w:color w:val="000000"/>
          <w:sz w:val="22"/>
          <w:szCs w:val="22"/>
          <w:lang w:val="en-GB"/>
        </w:rPr>
        <w:t>Man bittet, die/ein Auge(n) zuzudrücken.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Jede der beiden Fassungen hat ihren besonderen Sinn und führt in der Traumdeutung auf besondere Wege. Ich hatte das Zeremoniell möglichst einfach gewählt, weil ich wußte, wie der Verstorbene über solche Veranstaltungen gedacht hatte. Andere Familienmitglieder waren aber mit solch puritanischer Einfachheit nicht einverstanden; sie meinten, man werde sich vor den Trauergästen schämen müssen. Daher bittet der eine Wortlaut des Traumes, »ein Auge zuzudrücken«, d. h. Nachsicht zu üben. Die Bedeutung der Verschwommenheit, die wir mit einem Entweder–Oder beschrieben, ist hier besonders leicht zu erfassen. Es ist der Traumarbeit nicht gelungen, einen einheitlichen, aber dann zweideutigen Wortlaut für die Traumgedanken herzustellen. So sondern sich die beiden Hauptgedankenzüge schon im Trauminhalt voneinander.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einigen Fällen drückt die Zweiteilung des Traumes in zwei gleich große Stücke die schwer darstellbare Alternative aus.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Höchst auffällig ist das Verhalten des Traumes gegen die Kategorie von </w:t>
      </w:r>
      <w:r w:rsidRPr="00A06A59">
        <w:rPr>
          <w:rFonts w:ascii="Garamond" w:hAnsi="Garamond" w:cs="Arial"/>
          <w:i/>
          <w:iCs/>
          <w:color w:val="000000"/>
          <w:lang w:val="en-GB"/>
        </w:rPr>
        <w:t>Gegensatz</w:t>
      </w:r>
      <w:r w:rsidRPr="00A06A59">
        <w:rPr>
          <w:rFonts w:ascii="Garamond" w:hAnsi="Garamond" w:cs="Arial"/>
          <w:color w:val="000000"/>
          <w:lang w:val="en-GB"/>
        </w:rPr>
        <w:t xml:space="preserve"> und </w:t>
      </w:r>
      <w:r w:rsidRPr="00A06A59">
        <w:rPr>
          <w:rFonts w:ascii="Garamond" w:hAnsi="Garamond" w:cs="Arial"/>
          <w:i/>
          <w:iCs/>
          <w:color w:val="000000"/>
          <w:lang w:val="en-GB"/>
        </w:rPr>
        <w:t>Widerspruch</w:t>
      </w:r>
      <w:r w:rsidRPr="00A06A59">
        <w:rPr>
          <w:rFonts w:ascii="Garamond" w:hAnsi="Garamond" w:cs="Arial"/>
          <w:color w:val="000000"/>
          <w:lang w:val="en-GB"/>
        </w:rPr>
        <w:t xml:space="preserve">. Dieser wird schlechtweg vernachlässigt, das »Nein« scheint für den Traum nicht zu existieren. Gegensätze werden mit besonderer Vorliebe zu einer Einheit zusammengezogen oder in einem dargestellt. Der Traum nimmt sich ja auch die Freiheit, ein beliebiges Element durch seinen Wunschgegensatz darzustellen, so daß man zunächst von keinem eines Gegenteils fähigen Element weiß, ob es in dem Traumgedanken positiv oder negativ enthalten ist </w:t>
      </w:r>
      <w:hyperlink r:id="rId14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Aus einer Arbeit von K. </w:t>
        </w:r>
        <w:r w:rsidRPr="00A06A59">
          <w:rPr>
            <w:rStyle w:val="innerfusslink3"/>
            <w:rFonts w:ascii="Garamond" w:hAnsi="Garamond" w:cs="Arial"/>
            <w:b/>
            <w:bCs/>
            <w:i/>
            <w:iCs/>
            <w:lang w:val="en-GB"/>
          </w:rPr>
          <w:t>Abel</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Der Gegensinn der Urworte</w:t>
        </w:r>
        <w:r w:rsidRPr="00A06A59">
          <w:rPr>
            <w:rStyle w:val="innerfusslink3"/>
            <w:rFonts w:ascii="Garamond" w:hAnsi="Garamond" w:cs="Arial"/>
            <w:b/>
            <w:bCs/>
            <w:lang w:val="en-GB"/>
          </w:rPr>
          <w:t xml:space="preserve">, 1884 (siehe mein Referat im Jahrbuch f. PsA. II, 1910 [Ges. Schriften, Bd. X]), erfuhr ich die überraschende, auch von anderen Sprachforschern bestätigte Tatsache, daß die ältesten Sprachen sich in diesem Punkte ganz ähnlich benehmen wie der Traum. Sie haben anfänglich nur ein Wort für die beiden Gegensätze an den Enden einer Qualitäten- oder Tätigkeitsreihe (starkschwach, altjung, fernnah, binden-trennen) und bilden gesonderte Bezeichnungen für die beiden Gegensätze erst sekundär durch leichte Modifikationen des gemeinsamen Urworts. </w:t>
        </w:r>
        <w:r w:rsidRPr="00A06A59">
          <w:rPr>
            <w:rStyle w:val="innerfusslink3"/>
            <w:rFonts w:ascii="Garamond" w:hAnsi="Garamond" w:cs="Arial"/>
            <w:b/>
            <w:bCs/>
            <w:i/>
            <w:iCs/>
            <w:lang w:val="en-GB"/>
          </w:rPr>
          <w:t>Abel</w:t>
        </w:r>
        <w:r w:rsidRPr="00A06A59">
          <w:rPr>
            <w:rStyle w:val="innerfusslink3"/>
            <w:rFonts w:ascii="Garamond" w:hAnsi="Garamond" w:cs="Arial"/>
            <w:b/>
            <w:bCs/>
            <w:lang w:val="en-GB"/>
          </w:rPr>
          <w:t xml:space="preserve"> weist diese Verhältnisse im großen Ausmaße im Altägyptischen nach, zeigt aber deutliche Reste derselben Entwicklung auch in den semitischen und indogermanischen Sprachen auf.</w:t>
        </w:r>
      </w:hyperlink>
      <w:r w:rsidRPr="00A06A59">
        <w:rPr>
          <w:rFonts w:ascii="Garamond" w:hAnsi="Garamond" w:cs="Arial"/>
          <w:color w:val="000000"/>
          <w:lang w:val="en-GB"/>
        </w:rPr>
        <w:t xml:space="preserve">. In dem einen der letzterwähnten Träume, dessen Vordersatz wir bereits gedeutet haben (»weil ich von solcher Abkunft bin«), steigt die Träumerin über ein Geländer herab und hält dabei einen blühenden Zweig in den Händen. Da ihr zu diesem Bilde einfällt, wie der Engel einen Lilienstengel auf den Bildern von Maria Verkündigung (sie heißt selbst Maria) in der Hand trägt und wie die weißgekleideten Mädchen bei der Fronleichnamsprozession gehen, während die Straßen mit grünen Zweigen geschmückt sind, so ist der blühende Zweig im Traume ganz gewiß eine Anspielung auf sexuelle Unschuld. Der Zweig ist aber dicht mit </w:t>
      </w:r>
      <w:r w:rsidRPr="00A06A59">
        <w:rPr>
          <w:rFonts w:ascii="Garamond" w:hAnsi="Garamond" w:cs="Arial"/>
          <w:i/>
          <w:iCs/>
          <w:color w:val="000000"/>
          <w:lang w:val="en-GB"/>
        </w:rPr>
        <w:t>roten</w:t>
      </w:r>
      <w:r w:rsidRPr="00A06A59">
        <w:rPr>
          <w:rFonts w:ascii="Garamond" w:hAnsi="Garamond" w:cs="Arial"/>
          <w:color w:val="000000"/>
          <w:lang w:val="en-GB"/>
        </w:rPr>
        <w:t xml:space="preserve"> Blüten besetzt, von denen jede einzelne einer Kamelie gleicht. Am Ende ihres Weges, heißt es im Traum weiter, sind die Blüten schon ziemlich abgefallen; dann folgen unverkennbare Anspielungen auf die Periode. Somit ist der nämliche Zweig, der getragen wird wie eine Lilie und wie von einem unschuldigen Mädchen, gleichzeitig eine Anspielung auf die </w:t>
      </w:r>
      <w:r w:rsidRPr="00A06A59">
        <w:rPr>
          <w:rFonts w:ascii="Garamond" w:hAnsi="Garamond" w:cs="Arial"/>
          <w:i/>
          <w:iCs/>
          <w:color w:val="000000"/>
          <w:lang w:val="en-GB"/>
        </w:rPr>
        <w:t>Kameliendame</w:t>
      </w:r>
      <w:r w:rsidRPr="00A06A59">
        <w:rPr>
          <w:rFonts w:ascii="Garamond" w:hAnsi="Garamond" w:cs="Arial"/>
          <w:color w:val="000000"/>
          <w:lang w:val="en-GB"/>
        </w:rPr>
        <w:t xml:space="preserve">, die, wie bekannt, stets eine weiße Kamelie trug, zur Zeit der Periode aber eine rote. Der nämliche Blütenzweig (»des Mädchens Blüten« in den Liedern von der Müllerin bei Goethe) stellt die sexuelle Unschuld dar und auch ihr Gegenteil. Der nämliche Traum auch, welcher die Freude ausdrückt, daß es ihr gelungen, unbefleckt durchs Leben zu gehen, läßt an einigen Stellen (wie an der vom Abfallen der Blüten) den gegensätzlichen Gedankengang durchschimmern, daß sie sich verschiedene Sünden gegen die sexuelle Reinheit habe zuschulden kommen lassen (in der Kindheit nämlich). Wir können bei der Analyse des Traums deutlich die beiden Gedankengänge unterscheiden, von denen der tröstliche oberflächlich, der vorwurfsvolle tiefer gelagert scheint, die </w:t>
      </w:r>
      <w:r w:rsidRPr="00A06A59">
        <w:rPr>
          <w:rFonts w:ascii="Garamond" w:hAnsi="Garamond" w:cs="Arial"/>
          <w:color w:val="000000"/>
          <w:lang w:val="en-GB"/>
        </w:rPr>
        <w:lastRenderedPageBreak/>
        <w:t>einander schnurstracks zuwiderlaufen und deren gleiche aber gegenteilige Elemente durch die nämlichen Traumelemente Darstellung gefunden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Einer einzigen unter den logischen Relationen kommt der Mechanismus der Traumbildung im höchsten Ausmaße zugute. Es ist dies die Relation der Ähnlichkeit, Übereinstimmung, Berührung, das » </w:t>
      </w:r>
      <w:r w:rsidRPr="00A06A59">
        <w:rPr>
          <w:rFonts w:ascii="Garamond" w:hAnsi="Garamond" w:cs="Arial"/>
          <w:i/>
          <w:iCs/>
          <w:color w:val="000000"/>
          <w:lang w:val="en-GB"/>
        </w:rPr>
        <w:t>Gleichwie</w:t>
      </w:r>
      <w:r w:rsidRPr="00A06A59">
        <w:rPr>
          <w:rFonts w:ascii="Garamond" w:hAnsi="Garamond" w:cs="Arial"/>
          <w:color w:val="000000"/>
          <w:lang w:val="en-GB"/>
        </w:rPr>
        <w:t xml:space="preserve">«, die im Traume wie keine andere mit mannigfachen Mitteln dargestellt werden kann </w:t>
      </w:r>
      <w:hyperlink r:id="rId14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Vergleiche die Bemerkung des Aristoteles über die Eignung zum Traumdeuter (s. oben S. 68).</w:t>
        </w:r>
      </w:hyperlink>
      <w:r w:rsidRPr="00A06A59">
        <w:rPr>
          <w:rFonts w:ascii="Garamond" w:hAnsi="Garamond" w:cs="Arial"/>
          <w:color w:val="000000"/>
          <w:lang w:val="en-GB"/>
        </w:rPr>
        <w:t>. Die im Traummaterial vorhandenen Deckungen oder Fälle von »Gleichwie« sind ja die ersten Stützpunkte der Traumbildung, und ein nicht unbeträchtliches Stück der Traumarbeit besteht darin, neue solche Deckungen zu schaffen, wenn die vorhandenen der Widerstandszensur wegen nicht in den Traum gelangen können. Das Verdichtungsbestreben der Traumarbeit kommt der Darstellung der Ähnlichkeitsrelation zu Hilfe.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Ähnlichkeit, Übereinstimmung, Gemeinsamkeit</w:t>
      </w:r>
      <w:r w:rsidRPr="00A06A59">
        <w:rPr>
          <w:rFonts w:ascii="Garamond" w:hAnsi="Garamond" w:cs="Arial"/>
          <w:color w:val="000000"/>
          <w:lang w:val="en-GB"/>
        </w:rPr>
        <w:t xml:space="preserve"> wird vom Traum ganz allgemein dargestellt durch Zusammenziehung zu einer </w:t>
      </w:r>
      <w:r w:rsidRPr="00A06A59">
        <w:rPr>
          <w:rFonts w:ascii="Garamond" w:hAnsi="Garamond" w:cs="Arial"/>
          <w:i/>
          <w:iCs/>
          <w:color w:val="000000"/>
          <w:lang w:val="en-GB"/>
        </w:rPr>
        <w:t>Einheit</w:t>
      </w:r>
      <w:r w:rsidRPr="00A06A59">
        <w:rPr>
          <w:rFonts w:ascii="Garamond" w:hAnsi="Garamond" w:cs="Arial"/>
          <w:color w:val="000000"/>
          <w:lang w:val="en-GB"/>
        </w:rPr>
        <w:t xml:space="preserve">, welche entweder im Traummaterial bereits vorgefunden oder neu gebildet wird. Den ersten Fall kann man als </w:t>
      </w:r>
      <w:r w:rsidRPr="00A06A59">
        <w:rPr>
          <w:rFonts w:ascii="Garamond" w:hAnsi="Garamond" w:cs="Arial"/>
          <w:i/>
          <w:iCs/>
          <w:color w:val="000000"/>
          <w:lang w:val="en-GB"/>
        </w:rPr>
        <w:t>Identifizierung,</w:t>
      </w:r>
      <w:r w:rsidRPr="00A06A59">
        <w:rPr>
          <w:rFonts w:ascii="Garamond" w:hAnsi="Garamond" w:cs="Arial"/>
          <w:color w:val="000000"/>
          <w:lang w:val="en-GB"/>
        </w:rPr>
        <w:t xml:space="preserve"> den zweiten als </w:t>
      </w:r>
      <w:r w:rsidRPr="00A06A59">
        <w:rPr>
          <w:rFonts w:ascii="Garamond" w:hAnsi="Garamond" w:cs="Arial"/>
          <w:i/>
          <w:iCs/>
          <w:color w:val="000000"/>
          <w:lang w:val="en-GB"/>
        </w:rPr>
        <w:t>Mischbildung</w:t>
      </w:r>
      <w:r w:rsidRPr="00A06A59">
        <w:rPr>
          <w:rFonts w:ascii="Garamond" w:hAnsi="Garamond" w:cs="Arial"/>
          <w:color w:val="000000"/>
          <w:lang w:val="en-GB"/>
        </w:rPr>
        <w:t xml:space="preserve"> benennen. Die Identifizierung kommt zur Anwendung, wo es sich um Personen handelt; die Mischbildung, wo Dinge das Material der Vereinigung sind, doch werden Mischbildungen auch von Personen hergestellt, Örtlichkeiten werden oft wie Personen behandelt.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Identifizierung besteht darin, daß nur eine der durch ein Gemeinsames verknüpften Personen im Trauminhalt zur Darstellung gelangt, während die zweite oder die anderen Personen für den Traum unterdrückt scheinen. Diese eine deckende Person geht aber im Traum in alle die Beziehungen und Situationen ein, welche sich von ihr oder von den gedeckten Personen ableiten. Bei der Mischbildung, die sich auf Personen erstreckt, sind bereits im Traumbild Züge, die den Personen eigentümlich, aber nicht gemeinsam sind, vorhanden, so daß durch die Vereinigung dieser Züge eine neue Einheit, eine Mischperson, bestimmt erscheint. Die Mischung selbst kann auf verschiedenen Wegen zustande gebracht werden. Entweder die Traumperson hat von der einen ihrer Beziehungspersonen den Namen – wir wissen dann in einer Art, die dem Wissen im Wachen ganz analog ist, daß diese oder jene Person gemeint ist – während die visuellen Züge der anderen Person angehören; oder das Traumbild selbst ist aus visuellen Zügen, die sich in Wirklichkeit auf beide verteilen, zusammengesetzt. Anstatt durch visuelle Züge kann der Anteil der zweiten Person auch vertreten werden durch die Gebärden, die man ihr zuschreibt, die Worte, die man sie sprechen läßt, oder die Situation, in welche man sie versetzt. Bei der letzteren Art der Kennzeichnung beginnt der scharfe Unterschied zwischen Identifizierung und Mischpersonbildung sich zu verflüchtigen. Es kann aber auch vorkommen, daß die Bildung einer solchen Mischperson mißlingt. Dann wird die Szene des Traums der einen Person zugeschrieben, und die andere – in der Regel wichtigere – tritt als sonst unbeteiligte Anwesende daneben hin. Der Träumer erzählt etwa: Meine Mutter war auch dabei ( </w:t>
      </w:r>
      <w:r w:rsidRPr="00A06A59">
        <w:rPr>
          <w:rFonts w:ascii="Garamond" w:hAnsi="Garamond" w:cs="Arial"/>
          <w:i/>
          <w:iCs/>
          <w:color w:val="000000"/>
          <w:lang w:val="en-GB"/>
        </w:rPr>
        <w:t>Stekel</w:t>
      </w:r>
      <w:r w:rsidRPr="00A06A59">
        <w:rPr>
          <w:rFonts w:ascii="Garamond" w:hAnsi="Garamond" w:cs="Arial"/>
          <w:color w:val="000000"/>
          <w:lang w:val="en-GB"/>
        </w:rPr>
        <w:t>). Ein solches Element des Trauminhalts ist dann einem Determinativum in der Hieroglyphenschrift zu vergleichen, welches nicht zur Aussprache, sondern zur Erläuterung eines anderen Zeichens bestimmt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Gemeinsame, welches die Vereinigung der beiden Personen rechtfertigt, d. h. veranlaßt, kann im Traume dargestellt sein oder fehlen. In der Regel dient die Identifizierung oder Mischpersonbildung eben dazu, die Darstellung dieses Gemeinsamen zu ersparen. Anstatt zu wiederholen: </w:t>
      </w:r>
      <w:r w:rsidRPr="00A06A59">
        <w:rPr>
          <w:rFonts w:ascii="Garamond" w:hAnsi="Garamond" w:cs="Arial"/>
          <w:i/>
          <w:iCs/>
          <w:color w:val="000000"/>
          <w:lang w:val="en-GB"/>
        </w:rPr>
        <w:t>A</w:t>
      </w:r>
      <w:r w:rsidRPr="00A06A59">
        <w:rPr>
          <w:rFonts w:ascii="Garamond" w:hAnsi="Garamond" w:cs="Arial"/>
          <w:color w:val="000000"/>
          <w:lang w:val="en-GB"/>
        </w:rPr>
        <w:t xml:space="preserve"> ist mir feindlich gesinnt, </w:t>
      </w:r>
      <w:r w:rsidRPr="00A06A59">
        <w:rPr>
          <w:rFonts w:ascii="Garamond" w:hAnsi="Garamond" w:cs="Arial"/>
          <w:i/>
          <w:iCs/>
          <w:color w:val="000000"/>
          <w:lang w:val="en-GB"/>
        </w:rPr>
        <w:t>B</w:t>
      </w:r>
      <w:r w:rsidRPr="00A06A59">
        <w:rPr>
          <w:rFonts w:ascii="Garamond" w:hAnsi="Garamond" w:cs="Arial"/>
          <w:color w:val="000000"/>
          <w:lang w:val="en-GB"/>
        </w:rPr>
        <w:t xml:space="preserve"> aber auch, bilde ich im Traum eine Mischperson aus </w:t>
      </w:r>
      <w:r w:rsidRPr="00A06A59">
        <w:rPr>
          <w:rFonts w:ascii="Garamond" w:hAnsi="Garamond" w:cs="Arial"/>
          <w:i/>
          <w:iCs/>
          <w:color w:val="000000"/>
          <w:lang w:val="en-GB"/>
        </w:rPr>
        <w:t>A</w:t>
      </w:r>
      <w:r w:rsidRPr="00A06A59">
        <w:rPr>
          <w:rFonts w:ascii="Garamond" w:hAnsi="Garamond" w:cs="Arial"/>
          <w:color w:val="000000"/>
          <w:lang w:val="en-GB"/>
        </w:rPr>
        <w:t xml:space="preserve"> und </w:t>
      </w:r>
      <w:r w:rsidRPr="00A06A59">
        <w:rPr>
          <w:rFonts w:ascii="Garamond" w:hAnsi="Garamond" w:cs="Arial"/>
          <w:i/>
          <w:iCs/>
          <w:color w:val="000000"/>
          <w:lang w:val="en-GB"/>
        </w:rPr>
        <w:t>B</w:t>
      </w:r>
      <w:r w:rsidRPr="00A06A59">
        <w:rPr>
          <w:rFonts w:ascii="Garamond" w:hAnsi="Garamond" w:cs="Arial"/>
          <w:color w:val="000000"/>
          <w:lang w:val="en-GB"/>
        </w:rPr>
        <w:t xml:space="preserve"> oder stelle mir </w:t>
      </w:r>
      <w:r w:rsidRPr="00A06A59">
        <w:rPr>
          <w:rFonts w:ascii="Garamond" w:hAnsi="Garamond" w:cs="Arial"/>
          <w:i/>
          <w:iCs/>
          <w:color w:val="000000"/>
          <w:lang w:val="en-GB"/>
        </w:rPr>
        <w:t>A</w:t>
      </w:r>
      <w:r w:rsidRPr="00A06A59">
        <w:rPr>
          <w:rFonts w:ascii="Garamond" w:hAnsi="Garamond" w:cs="Arial"/>
          <w:color w:val="000000"/>
          <w:lang w:val="en-GB"/>
        </w:rPr>
        <w:t xml:space="preserve"> vor in einer andersartigen Aktion, welche uns </w:t>
      </w:r>
      <w:r w:rsidRPr="00A06A59">
        <w:rPr>
          <w:rFonts w:ascii="Garamond" w:hAnsi="Garamond" w:cs="Arial"/>
          <w:i/>
          <w:iCs/>
          <w:color w:val="000000"/>
          <w:lang w:val="en-GB"/>
        </w:rPr>
        <w:t>B</w:t>
      </w:r>
      <w:r w:rsidRPr="00A06A59">
        <w:rPr>
          <w:rFonts w:ascii="Garamond" w:hAnsi="Garamond" w:cs="Arial"/>
          <w:color w:val="000000"/>
          <w:lang w:val="en-GB"/>
        </w:rPr>
        <w:t xml:space="preserve"> charakterisiert. Die so gewonnene Traumperson tritt mir im Traum in irgendwelcher neuen Verknüpfung entgegen, und aus dem Umstände, daß sie sowohl </w:t>
      </w:r>
      <w:r w:rsidRPr="00A06A59">
        <w:rPr>
          <w:rFonts w:ascii="Garamond" w:hAnsi="Garamond" w:cs="Arial"/>
          <w:i/>
          <w:iCs/>
          <w:color w:val="000000"/>
          <w:lang w:val="en-GB"/>
        </w:rPr>
        <w:t>A</w:t>
      </w:r>
      <w:r w:rsidRPr="00A06A59">
        <w:rPr>
          <w:rFonts w:ascii="Garamond" w:hAnsi="Garamond" w:cs="Arial"/>
          <w:color w:val="000000"/>
          <w:lang w:val="en-GB"/>
        </w:rPr>
        <w:t xml:space="preserve"> als auch </w:t>
      </w:r>
      <w:r w:rsidRPr="00A06A59">
        <w:rPr>
          <w:rFonts w:ascii="Garamond" w:hAnsi="Garamond" w:cs="Arial"/>
          <w:i/>
          <w:iCs/>
          <w:color w:val="000000"/>
          <w:lang w:val="en-GB"/>
        </w:rPr>
        <w:t>B</w:t>
      </w:r>
      <w:r w:rsidRPr="00A06A59">
        <w:rPr>
          <w:rFonts w:ascii="Garamond" w:hAnsi="Garamond" w:cs="Arial"/>
          <w:color w:val="000000"/>
          <w:lang w:val="en-GB"/>
        </w:rPr>
        <w:t xml:space="preserve"> bedeutet, schöpfe ich dann die Berechtigung, in die betreffende Stelle der Traumdeutung einzusetzen, was den beiden gemeinsam ist, nämlich das feindselige Verhältnis zu mir. Auf solche Weise erziele ich oft eine ganz außerordentliche Verdichtung für den Trauminhalt; ich kann mir die direkte Darstellung sehr komplizierter Verhältnisse, die mit einer Person zusammenhängen, ersparen, wenn ich zu dieser Person eine andere gefunden habe, die auf einen Teil dieser Beziehungen den gleichen Anspruch hat. Es ist leicht zu verstehen, inwiefern diese Darstellung durch Identifizierung auch dazu dienen kann, die Widerstandszensur zu umgehen, welche die Traumarbeit unter so harte Bedingungen setzt. Der Anstoß für die Zensur mag gerade in jenen Vorstellungen liegen, welche im Material mit der einen Person verknüpft sind; ich finde nun eine zweite Person, welche gleichfalls Beziehungen zu dem beanstandeten Material hat, aber nur zu einem Teil desselben. Die Berührung in jenem nicht zensurfreien Punkte gibt mir jetzt das Recht, eine Mischperson zu bilden, die nach beiden Seiten hin durch indifferente Züge charakterisiert ist. Diese Misch- oder Identifizierungsperson ist nun als zensurfrei zur Aufnahme in den Trauminhalt geeignet, und ich habe durch Anwendung der Traumverdichtung den Anforderungen der Traumzensur genügt.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Wo im Traum auch ein Gemeinsames der beiden Personen dargestellt ist, da ist dies gewöhnlich ein Wink, nach einem anderen verhüllten Gemeinsamen zu suchen, dessen Darstellung durch die Zensur unmöglich gemacht wird. Es hat hier gewissermaßen zugunsten der Darstellbarkeit eine Verschiebung in betreff des Gemeinsamen </w:t>
      </w:r>
      <w:r w:rsidRPr="00A06A59">
        <w:rPr>
          <w:rFonts w:ascii="Garamond" w:hAnsi="Garamond" w:cs="Arial"/>
          <w:color w:val="000000"/>
          <w:lang w:val="en-GB"/>
        </w:rPr>
        <w:lastRenderedPageBreak/>
        <w:t>stattgefunden. Daraus, daß mir die Mischperson mit einem indifferenten Gemeinsamen im Traum gezeigt wird, soll ich ein anderes, keineswegs indifferentes Gemeinsame in den Traumgedanken erschließen.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Identifizierung oder Mischpersonbildung dient demnach im Traum verschiedenen Zwecken, erstens der Darstellung eines beiden Personen Gemeinsamen, zweitens der Darstellung einer </w:t>
      </w:r>
      <w:r w:rsidRPr="00A06A59">
        <w:rPr>
          <w:rFonts w:ascii="Garamond" w:hAnsi="Garamond" w:cs="Arial"/>
          <w:i/>
          <w:iCs/>
          <w:color w:val="000000"/>
          <w:lang w:val="en-GB"/>
        </w:rPr>
        <w:t>verschobenen</w:t>
      </w:r>
      <w:r w:rsidRPr="00A06A59">
        <w:rPr>
          <w:rFonts w:ascii="Garamond" w:hAnsi="Garamond" w:cs="Arial"/>
          <w:color w:val="000000"/>
          <w:lang w:val="en-GB"/>
        </w:rPr>
        <w:t xml:space="preserve"> Gemeinsamkeit, drittens aber noch, um eine bloß </w:t>
      </w:r>
      <w:r w:rsidRPr="00A06A59">
        <w:rPr>
          <w:rFonts w:ascii="Garamond" w:hAnsi="Garamond" w:cs="Arial"/>
          <w:i/>
          <w:iCs/>
          <w:color w:val="000000"/>
          <w:lang w:val="en-GB"/>
        </w:rPr>
        <w:t>gewünschte</w:t>
      </w:r>
      <w:r w:rsidRPr="00A06A59">
        <w:rPr>
          <w:rFonts w:ascii="Garamond" w:hAnsi="Garamond" w:cs="Arial"/>
          <w:color w:val="000000"/>
          <w:lang w:val="en-GB"/>
        </w:rPr>
        <w:t xml:space="preserve"> Gemeinsamkeit zum Ausdruck zu bringen. Da das Herbeiwünschen einer Gemeinsamkeit zwischen zwei Personen häufig mit einem </w:t>
      </w:r>
      <w:r w:rsidRPr="00A06A59">
        <w:rPr>
          <w:rFonts w:ascii="Garamond" w:hAnsi="Garamond" w:cs="Arial"/>
          <w:i/>
          <w:iCs/>
          <w:color w:val="000000"/>
          <w:lang w:val="en-GB"/>
        </w:rPr>
        <w:t>Vertauschen</w:t>
      </w:r>
      <w:r w:rsidRPr="00A06A59">
        <w:rPr>
          <w:rFonts w:ascii="Garamond" w:hAnsi="Garamond" w:cs="Arial"/>
          <w:color w:val="000000"/>
          <w:lang w:val="en-GB"/>
        </w:rPr>
        <w:t xml:space="preserve"> derselben zusammenfällt, so ist auch diese Relation im Traum durch Identifizierung ausgedrückt. Ich wünsche im Traume von Irmas Injektion, diese Patientin mit einer anderen zu vertauschen, wünsche also, daß die andere meine Patientin sein möge, wie es die eine ist; der Traum trägt diesem Wunsche Rechnung, indem er mir eine Person zeigt, die Irma heißt, die aber in einer Position untersucht wird, wie ich sie nur bei der anderen zu sehen Gelegenheit hatte. Im Onkeltraum ist diese Vertauschung zum Mittelpunkt des Traums gemacht; ich identifiziere mich mit dem Minister, indem ich meine Kollegen nicht besser als er behandle und beurteile.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eine Erfahrung, von der ich keine Ausnahme gefunden habe, daß jeder Traum die eigene Person behandelt. Träume sind absolut egoistisch </w:t>
      </w:r>
      <w:hyperlink r:id="rId14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Vgl. hiezu die Bemerkung S. 187.</w:t>
        </w:r>
      </w:hyperlink>
      <w:r w:rsidRPr="00A06A59">
        <w:rPr>
          <w:rFonts w:ascii="Garamond" w:hAnsi="Garamond" w:cs="Arial"/>
          <w:color w:val="000000"/>
          <w:lang w:val="en-GB"/>
        </w:rPr>
        <w:t xml:space="preserve">. Wo im Trauminhalt nicht mein Ich, sondern nur eine fremde Person vorkommt, da darf ich ruhig annehmen, daß mein Ich durch Identifizierung hinter jener Person versteckt ist. Ich darf mein Ich ergänzen. Andere Male, wo mein Ich im Traum erscheint, lehrt mich die Situation, in der es sich befindet, daß hinter dem Ich eine andere Person sich durch Identifizierung verbirgt. Der Traum soll mich dann mahnen, in der Traumdeutung etwas, was dieser Person anhängt, das verhüllte Gemeinsame, auf mich zu übertragen. Es gibt auch Träume, in denen mein Ich nebst anderen Personen vorkommt, die sich durch Lösung der Identifizierung wiederum als mein Ich enthüllen. Ich soll dann mit meinem Ich vermittels dieser Identifizierungen gewisse Vorstellungen vereinigen, gegen deren Aufnahme sich die Zensur erhoben hat. Ich kann also mein Ich in einem Traum mehrfach darstellen, das eine Mal direkt, das andere Mal vermittels der Identifizierung mit fremden Personen. Mit mehreren solchen Identifizierungen läßt sich ein ungemein reiches Gedankenmaterial verdichten </w:t>
      </w:r>
      <w:hyperlink r:id="rId14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Wenn ich im Zweifel bin, hinter welcher der im Traum auftretenden Personen ich mein Ich zu suchen habe, so halte ich mich an folgende Regel: Die Person, die im Traume einem Affekt unterliegt, den ich als Schlafender verspüre, die verbirgt mein Ich.</w:t>
        </w:r>
      </w:hyperlink>
      <w:r w:rsidRPr="00A06A59">
        <w:rPr>
          <w:rFonts w:ascii="Garamond" w:hAnsi="Garamond" w:cs="Arial"/>
          <w:color w:val="000000"/>
          <w:lang w:val="en-GB"/>
        </w:rPr>
        <w:t xml:space="preserve">. Daß das eigene Ich in einem Traume mehrmals vorkommt oder in verschiedenen Gestaltungen auftritt, ist im Grunde nicht verwunderlicher, als daß es in einem bewußten Gedanken mehrmals und an verschiedenen Stellen oder in anderen Beziehungen enthalten ist, z. B. im Satze: Wenn </w:t>
      </w:r>
      <w:r w:rsidRPr="00A06A59">
        <w:rPr>
          <w:rFonts w:ascii="Garamond" w:hAnsi="Garamond" w:cs="Arial"/>
          <w:i/>
          <w:iCs/>
          <w:color w:val="000000"/>
          <w:lang w:val="en-GB"/>
        </w:rPr>
        <w:t>ich</w:t>
      </w:r>
      <w:r w:rsidRPr="00A06A59">
        <w:rPr>
          <w:rFonts w:ascii="Garamond" w:hAnsi="Garamond" w:cs="Arial"/>
          <w:color w:val="000000"/>
          <w:lang w:val="en-GB"/>
        </w:rPr>
        <w:t xml:space="preserve"> daran denke, was für gesundes Kind </w:t>
      </w:r>
      <w:r w:rsidRPr="00A06A59">
        <w:rPr>
          <w:rFonts w:ascii="Garamond" w:hAnsi="Garamond" w:cs="Arial"/>
          <w:i/>
          <w:iCs/>
          <w:color w:val="000000"/>
          <w:lang w:val="en-GB"/>
        </w:rPr>
        <w:t>ich</w:t>
      </w:r>
      <w:r w:rsidRPr="00A06A59">
        <w:rPr>
          <w:rFonts w:ascii="Garamond" w:hAnsi="Garamond" w:cs="Arial"/>
          <w:color w:val="000000"/>
          <w:lang w:val="en-GB"/>
        </w:rPr>
        <w:t xml:space="preserve">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Durchsichtiger noch als bei Personen gestaltet sich die Auflösung der Identifizierungen bei mit Eigennamen bezeichneten Örtlichkeiten, da hier die Störung durch das im Traume übermächtige Ich entfällt. In einem meiner Romträume (S. 135) heißt der Ort, an dem ich mich befinde, </w:t>
      </w:r>
      <w:r w:rsidRPr="00A06A59">
        <w:rPr>
          <w:rFonts w:ascii="Garamond" w:hAnsi="Garamond" w:cs="Arial"/>
          <w:i/>
          <w:iCs/>
          <w:color w:val="000000"/>
          <w:lang w:val="en-GB"/>
        </w:rPr>
        <w:t>Rom</w:t>
      </w:r>
      <w:r w:rsidRPr="00A06A59">
        <w:rPr>
          <w:rFonts w:ascii="Garamond" w:hAnsi="Garamond" w:cs="Arial"/>
          <w:color w:val="000000"/>
          <w:lang w:val="en-GB"/>
        </w:rPr>
        <w:t xml:space="preserve">; ich erstaune aber über die Menge von deutschen Plakaten an einer Straßenecke. Letzteres ist eine Wunscherfüllung, zu der mir sofort </w:t>
      </w:r>
      <w:r w:rsidRPr="00A06A59">
        <w:rPr>
          <w:rFonts w:ascii="Garamond" w:hAnsi="Garamond" w:cs="Arial"/>
          <w:i/>
          <w:iCs/>
          <w:color w:val="000000"/>
          <w:lang w:val="en-GB"/>
        </w:rPr>
        <w:t>Prag</w:t>
      </w:r>
      <w:r w:rsidRPr="00A06A59">
        <w:rPr>
          <w:rFonts w:ascii="Garamond" w:hAnsi="Garamond" w:cs="Arial"/>
          <w:color w:val="000000"/>
          <w:lang w:val="en-GB"/>
        </w:rPr>
        <w:t xml:space="preserve"> einfällt; der Wunsch selbst mag aus einer heute überwundenen deutschnationalen Periode der Jugendzeit stammen. Um die Zeit, da ich träumte, war in </w:t>
      </w:r>
      <w:r w:rsidRPr="00A06A59">
        <w:rPr>
          <w:rFonts w:ascii="Garamond" w:hAnsi="Garamond" w:cs="Arial"/>
          <w:i/>
          <w:iCs/>
          <w:color w:val="000000"/>
          <w:lang w:val="en-GB"/>
        </w:rPr>
        <w:t>Prag</w:t>
      </w:r>
      <w:r w:rsidRPr="00A06A59">
        <w:rPr>
          <w:rFonts w:ascii="Garamond" w:hAnsi="Garamond" w:cs="Arial"/>
          <w:color w:val="000000"/>
          <w:lang w:val="en-GB"/>
        </w:rPr>
        <w:t xml:space="preserve"> ein Zusammentreffen mit meinem Freunde in Aussicht genommen; die Identifizierung von Rom und Prag erklärt sich also durch eine gewünschte Gemeinsamkeit; ich möchte meinen Freund lieber in </w:t>
      </w:r>
      <w:r w:rsidRPr="00A06A59">
        <w:rPr>
          <w:rFonts w:ascii="Garamond" w:hAnsi="Garamond" w:cs="Arial"/>
          <w:i/>
          <w:iCs/>
          <w:color w:val="000000"/>
          <w:lang w:val="en-GB"/>
        </w:rPr>
        <w:t>Rom</w:t>
      </w:r>
      <w:r w:rsidRPr="00A06A59">
        <w:rPr>
          <w:rFonts w:ascii="Garamond" w:hAnsi="Garamond" w:cs="Arial"/>
          <w:color w:val="000000"/>
          <w:lang w:val="en-GB"/>
        </w:rPr>
        <w:t xml:space="preserve"> treffen als in </w:t>
      </w:r>
      <w:r w:rsidRPr="00A06A59">
        <w:rPr>
          <w:rFonts w:ascii="Garamond" w:hAnsi="Garamond" w:cs="Arial"/>
          <w:i/>
          <w:iCs/>
          <w:color w:val="000000"/>
          <w:lang w:val="en-GB"/>
        </w:rPr>
        <w:t>Prag</w:t>
      </w:r>
      <w:r w:rsidRPr="00A06A59">
        <w:rPr>
          <w:rFonts w:ascii="Garamond" w:hAnsi="Garamond" w:cs="Arial"/>
          <w:color w:val="000000"/>
          <w:lang w:val="en-GB"/>
        </w:rPr>
        <w:t xml:space="preserve">, für diese Zusammenkunft </w:t>
      </w:r>
      <w:r w:rsidRPr="00A06A59">
        <w:rPr>
          <w:rFonts w:ascii="Garamond" w:hAnsi="Garamond" w:cs="Arial"/>
          <w:i/>
          <w:iCs/>
          <w:color w:val="000000"/>
          <w:lang w:val="en-GB"/>
        </w:rPr>
        <w:t>Prag</w:t>
      </w:r>
      <w:r w:rsidRPr="00A06A59">
        <w:rPr>
          <w:rFonts w:ascii="Garamond" w:hAnsi="Garamond" w:cs="Arial"/>
          <w:color w:val="000000"/>
          <w:lang w:val="en-GB"/>
        </w:rPr>
        <w:t xml:space="preserve"> und </w:t>
      </w:r>
      <w:r w:rsidRPr="00A06A59">
        <w:rPr>
          <w:rFonts w:ascii="Garamond" w:hAnsi="Garamond" w:cs="Arial"/>
          <w:i/>
          <w:iCs/>
          <w:color w:val="000000"/>
          <w:lang w:val="en-GB"/>
        </w:rPr>
        <w:t>Rom</w:t>
      </w:r>
      <w:r w:rsidRPr="00A06A59">
        <w:rPr>
          <w:rFonts w:ascii="Garamond" w:hAnsi="Garamond" w:cs="Arial"/>
          <w:color w:val="000000"/>
          <w:lang w:val="en-GB"/>
        </w:rPr>
        <w:t xml:space="preserve"> vertauschen.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Möglichkeit, Mischbildungen zu schaffen, steht obenan unter den Zügen, welche den Träumen so oft ein phantastisches Gepräge verleihen, indem durch sie Elemente in den Trauminhalt eingeführt werden, welche niemals Gegenstand der Wahrnehmung sein konnten. Der psychische Vorgang bei der Mischbildung im Traume ist offenbar der nämliche, wie wenn wir im Wachen einen Zentauren oder Drachen uns vorstellen oder nachbilden. Der Unterschied liegt nur darin, daß bei der phantastischen Schöpfung im Wachen der beabsichtigte Eindruck des Neugebildes selbst das Maßgebende ist, während die Mischbildung des Traumes durch ein Moment, welches außerhalb ihrer Gestaltung liegt, das Gemeinsame in den Traumgedanken, determiniert wird. Die Mischbildung des Traumes kann in sehr mannigfacher Weise ausgeführt werden. In der kunstlosesten Ausführung werden nur die Eigenschaften des einen Dinges dargestellt, und diese Darstellung ist von einem Wissen begleitet, daß sie auch für ein anderes Objekt gelte. Eine sorgfältigere Technik vereinigt Züge des einen wie des anderen Objektes zu einem neuen Bilde und bedient sich dabei geschickt der etwa in der Realität gegebenen Ähnlichkeiten zwischen beiden Objekten. Das Neugebildete kann gänzlich absurd ausfallen oder selbst als phantastisch gelungen erscheinen, je nachdem Material und Witz bei der Zusammensetzung es ermöglichen. Sind die Objekte, welche zu einer Einheit verdichtet werden sollen, gar zu disparat, so begnügt sich die Traumarbeit oft damit, ein Mischgebilde mit einem deutlicheren Kern zu schaffen, an den sich undeutlichere Bestimmungen anfügen. Die Vereinigung zu einem Bilde ist hier gleichsam nicht gelungen; die beiden Darstellungen überdecken einander und erzeugen etwas wie einen Wettstreit der </w:t>
      </w:r>
      <w:r w:rsidRPr="00A06A59">
        <w:rPr>
          <w:rFonts w:ascii="Garamond" w:hAnsi="Garamond" w:cs="Arial"/>
          <w:color w:val="000000"/>
          <w:lang w:val="en-GB"/>
        </w:rPr>
        <w:lastRenderedPageBreak/>
        <w:t>visuellen Bilder. Wenn man sich die Bildung eines Begriffes aus individuellen Wahrnehmungsbildern vorführen wollte, könnte man zu ähnlichen Darstellungen in einer Zeichnung gelangen.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wimmelt natürlich in den Träumen von solchen Mischgebilden; einige Beispiele habe ich in den bisher analysierten Träumen bereits mitgeteilt; ich werde nun weitere hinzufügen. In dem Traum auf S. 216, welcher den Lebenslauf der Patientin »durch die Blume« oder »verblümt« beschreibt, trägt das Traum-Ich einen blühenden Zweig in der Hand, der, wie wir erfahren haben, gleichzeitig Unschuld und sexuelle Sündigkeit bedeutet. Der Zweig erinnert durch die Art, wie die Blüten stehen, außerdem an </w:t>
      </w:r>
      <w:r w:rsidRPr="00A06A59">
        <w:rPr>
          <w:rFonts w:ascii="Garamond" w:hAnsi="Garamond" w:cs="Arial"/>
          <w:i/>
          <w:iCs/>
          <w:color w:val="000000"/>
          <w:lang w:val="en-GB"/>
        </w:rPr>
        <w:t>Kirschblüten</w:t>
      </w:r>
      <w:r w:rsidRPr="00A06A59">
        <w:rPr>
          <w:rFonts w:ascii="Garamond" w:hAnsi="Garamond" w:cs="Arial"/>
          <w:color w:val="000000"/>
          <w:lang w:val="en-GB"/>
        </w:rPr>
        <w:t xml:space="preserve">; die Blüten selbst, einzeln genommen, sind </w:t>
      </w:r>
      <w:r w:rsidRPr="00A06A59">
        <w:rPr>
          <w:rFonts w:ascii="Garamond" w:hAnsi="Garamond" w:cs="Arial"/>
          <w:i/>
          <w:iCs/>
          <w:color w:val="000000"/>
          <w:lang w:val="en-GB"/>
        </w:rPr>
        <w:t>Kamelien</w:t>
      </w:r>
      <w:r w:rsidRPr="00A06A59">
        <w:rPr>
          <w:rFonts w:ascii="Garamond" w:hAnsi="Garamond" w:cs="Arial"/>
          <w:color w:val="000000"/>
          <w:lang w:val="en-GB"/>
        </w:rPr>
        <w:t xml:space="preserve">, wobei dazu das Ganze noch den Eindruck eines </w:t>
      </w:r>
      <w:r w:rsidRPr="00A06A59">
        <w:rPr>
          <w:rFonts w:ascii="Garamond" w:hAnsi="Garamond" w:cs="Arial"/>
          <w:i/>
          <w:iCs/>
          <w:color w:val="000000"/>
          <w:lang w:val="en-GB"/>
        </w:rPr>
        <w:t>exotischen</w:t>
      </w:r>
      <w:r w:rsidRPr="00A06A59">
        <w:rPr>
          <w:rFonts w:ascii="Garamond" w:hAnsi="Garamond" w:cs="Arial"/>
          <w:color w:val="000000"/>
          <w:lang w:val="en-GB"/>
        </w:rPr>
        <w:t xml:space="preserve"> Gewächses macht. Das Gemeinsame an den Elementen dieses Mischgebildes ergibt sich aus den Traumgedanken. Der blühende Zweig ist aus Anspielungen an Geschenke zusammengesetzt, durch welche sie bewogen wurde oder werden sollte, sich gefällig zu erweisen. So in der Kindheit die </w:t>
      </w:r>
      <w:r w:rsidRPr="00A06A59">
        <w:rPr>
          <w:rFonts w:ascii="Garamond" w:hAnsi="Garamond" w:cs="Arial"/>
          <w:i/>
          <w:iCs/>
          <w:color w:val="000000"/>
          <w:lang w:val="en-GB"/>
        </w:rPr>
        <w:t>Kirschen</w:t>
      </w:r>
      <w:r w:rsidRPr="00A06A59">
        <w:rPr>
          <w:rFonts w:ascii="Garamond" w:hAnsi="Garamond" w:cs="Arial"/>
          <w:color w:val="000000"/>
          <w:lang w:val="en-GB"/>
        </w:rPr>
        <w:t xml:space="preserve">, in späteren Jahren ein </w:t>
      </w:r>
      <w:r w:rsidRPr="00A06A59">
        <w:rPr>
          <w:rFonts w:ascii="Garamond" w:hAnsi="Garamond" w:cs="Arial"/>
          <w:i/>
          <w:iCs/>
          <w:color w:val="000000"/>
          <w:lang w:val="en-GB"/>
        </w:rPr>
        <w:t>Kamelienstock</w:t>
      </w:r>
      <w:r w:rsidRPr="00A06A59">
        <w:rPr>
          <w:rFonts w:ascii="Garamond" w:hAnsi="Garamond" w:cs="Arial"/>
          <w:color w:val="000000"/>
          <w:lang w:val="en-GB"/>
        </w:rPr>
        <w:t xml:space="preserve">; das </w:t>
      </w:r>
      <w:r w:rsidRPr="00A06A59">
        <w:rPr>
          <w:rFonts w:ascii="Garamond" w:hAnsi="Garamond" w:cs="Arial"/>
          <w:i/>
          <w:iCs/>
          <w:color w:val="000000"/>
          <w:lang w:val="en-GB"/>
        </w:rPr>
        <w:t>Exotische</w:t>
      </w:r>
      <w:r w:rsidRPr="00A06A59">
        <w:rPr>
          <w:rFonts w:ascii="Garamond" w:hAnsi="Garamond" w:cs="Arial"/>
          <w:color w:val="000000"/>
          <w:lang w:val="en-GB"/>
        </w:rPr>
        <w:t xml:space="preserve"> ist eine Anspielung auf einen vielgereisten Naturforscher, welcher mit einer Blumenzeichnung um ihre Gunst werben wollte. Eine andere Patientin schafft sich im Traum ein Mittelding aus </w:t>
      </w:r>
      <w:r w:rsidRPr="00A06A59">
        <w:rPr>
          <w:rFonts w:ascii="Garamond" w:hAnsi="Garamond" w:cs="Arial"/>
          <w:i/>
          <w:iCs/>
          <w:color w:val="000000"/>
          <w:lang w:val="en-GB"/>
        </w:rPr>
        <w:t>Badekabinen</w:t>
      </w:r>
      <w:r w:rsidRPr="00A06A59">
        <w:rPr>
          <w:rFonts w:ascii="Garamond" w:hAnsi="Garamond" w:cs="Arial"/>
          <w:color w:val="000000"/>
          <w:lang w:val="en-GB"/>
        </w:rPr>
        <w:t xml:space="preserve"> im Seebad, ländlichen </w:t>
      </w:r>
      <w:r w:rsidRPr="00A06A59">
        <w:rPr>
          <w:rFonts w:ascii="Garamond" w:hAnsi="Garamond" w:cs="Arial"/>
          <w:i/>
          <w:iCs/>
          <w:color w:val="000000"/>
          <w:lang w:val="en-GB"/>
        </w:rPr>
        <w:t>Aborthäuschen</w:t>
      </w:r>
      <w:r w:rsidRPr="00A06A59">
        <w:rPr>
          <w:rFonts w:ascii="Garamond" w:hAnsi="Garamond" w:cs="Arial"/>
          <w:color w:val="000000"/>
          <w:lang w:val="en-GB"/>
        </w:rPr>
        <w:t xml:space="preserve"> und den </w:t>
      </w:r>
      <w:r w:rsidRPr="00A06A59">
        <w:rPr>
          <w:rFonts w:ascii="Garamond" w:hAnsi="Garamond" w:cs="Arial"/>
          <w:i/>
          <w:iCs/>
          <w:color w:val="000000"/>
          <w:lang w:val="en-GB"/>
        </w:rPr>
        <w:t>Bodenkammern</w:t>
      </w:r>
      <w:r w:rsidRPr="00A06A59">
        <w:rPr>
          <w:rFonts w:ascii="Garamond" w:hAnsi="Garamond" w:cs="Arial"/>
          <w:color w:val="000000"/>
          <w:lang w:val="en-GB"/>
        </w:rPr>
        <w:t xml:space="preserve"> unserer städtischen Wohnhäuser. Den beiden ersten Elementen ist die Beziehung auf menschliche Nacktheit und Entblößung gemeinsam; es läßt sich aus der Zusammensetzung mit dem dritten Element schließen, daß (in ihrer Kindheit) auch die Bodenkammer der Schauplatz von Entblößung war. Ein Träumer schafft sich eine Mischlokalität aus zwei Örtlichkeiten, in denen »Kur« gemacht wird, aus meinem Ordinationszimmer und dem öffentlichen Lokal, in dem er zuerst seine Frau kennengelernt hat. Ein Mädchen träumt, nachdem der ältere Bruder versprochen hat, sie mit Kaviar zu regalieren, von diesem Bruder, daß dessen Beine von den </w:t>
      </w:r>
      <w:r w:rsidRPr="00A06A59">
        <w:rPr>
          <w:rFonts w:ascii="Garamond" w:hAnsi="Garamond" w:cs="Arial"/>
          <w:i/>
          <w:iCs/>
          <w:color w:val="000000"/>
          <w:lang w:val="en-GB"/>
        </w:rPr>
        <w:t>schwarzen Kaviarperlen übersät</w:t>
      </w:r>
      <w:r w:rsidRPr="00A06A59">
        <w:rPr>
          <w:rFonts w:ascii="Garamond" w:hAnsi="Garamond" w:cs="Arial"/>
          <w:color w:val="000000"/>
          <w:lang w:val="en-GB"/>
        </w:rPr>
        <w:t xml:space="preserve"> sind. Die Elemente » </w:t>
      </w:r>
      <w:r w:rsidRPr="00A06A59">
        <w:rPr>
          <w:rFonts w:ascii="Garamond" w:hAnsi="Garamond" w:cs="Arial"/>
          <w:i/>
          <w:iCs/>
          <w:color w:val="000000"/>
          <w:lang w:val="en-GB"/>
        </w:rPr>
        <w:t>Ansteckung</w:t>
      </w:r>
      <w:r w:rsidRPr="00A06A59">
        <w:rPr>
          <w:rFonts w:ascii="Garamond" w:hAnsi="Garamond" w:cs="Arial"/>
          <w:color w:val="000000"/>
          <w:lang w:val="en-GB"/>
        </w:rPr>
        <w:t xml:space="preserve">« im moralischen Sinn und die Erinnerung an einen </w:t>
      </w:r>
      <w:r w:rsidRPr="00A06A59">
        <w:rPr>
          <w:rFonts w:ascii="Garamond" w:hAnsi="Garamond" w:cs="Arial"/>
          <w:i/>
          <w:iCs/>
          <w:color w:val="000000"/>
          <w:lang w:val="en-GB"/>
        </w:rPr>
        <w:t>Ausschlag</w:t>
      </w:r>
      <w:r w:rsidRPr="00A06A59">
        <w:rPr>
          <w:rFonts w:ascii="Garamond" w:hAnsi="Garamond" w:cs="Arial"/>
          <w:color w:val="000000"/>
          <w:lang w:val="en-GB"/>
        </w:rPr>
        <w:t xml:space="preserve"> der Kindheit, der die Beine mit </w:t>
      </w:r>
      <w:r w:rsidRPr="00A06A59">
        <w:rPr>
          <w:rFonts w:ascii="Garamond" w:hAnsi="Garamond" w:cs="Arial"/>
          <w:i/>
          <w:iCs/>
          <w:color w:val="000000"/>
          <w:lang w:val="en-GB"/>
        </w:rPr>
        <w:t>roten</w:t>
      </w:r>
      <w:r w:rsidRPr="00A06A59">
        <w:rPr>
          <w:rFonts w:ascii="Garamond" w:hAnsi="Garamond" w:cs="Arial"/>
          <w:color w:val="000000"/>
          <w:lang w:val="en-GB"/>
        </w:rPr>
        <w:t xml:space="preserve"> anstatt mit schwarzen Pünktchen übersät erscheinen ließ, haben sich hier mit den </w:t>
      </w:r>
      <w:r w:rsidRPr="00A06A59">
        <w:rPr>
          <w:rFonts w:ascii="Garamond" w:hAnsi="Garamond" w:cs="Arial"/>
          <w:i/>
          <w:iCs/>
          <w:color w:val="000000"/>
          <w:lang w:val="en-GB"/>
        </w:rPr>
        <w:t>Kaviarperlen</w:t>
      </w:r>
      <w:r w:rsidRPr="00A06A59">
        <w:rPr>
          <w:rFonts w:ascii="Garamond" w:hAnsi="Garamond" w:cs="Arial"/>
          <w:color w:val="000000"/>
          <w:lang w:val="en-GB"/>
        </w:rPr>
        <w:t xml:space="preserve"> zu einem neuen Begriff vereinigt, dessen, » </w:t>
      </w:r>
      <w:r w:rsidRPr="00A06A59">
        <w:rPr>
          <w:rFonts w:ascii="Garamond" w:hAnsi="Garamond" w:cs="Arial"/>
          <w:i/>
          <w:iCs/>
          <w:color w:val="000000"/>
          <w:lang w:val="en-GB"/>
        </w:rPr>
        <w:t>was sie von ihrem Bruder bekommen hat</w:t>
      </w:r>
      <w:r w:rsidRPr="00A06A59">
        <w:rPr>
          <w:rFonts w:ascii="Garamond" w:hAnsi="Garamond" w:cs="Arial"/>
          <w:color w:val="000000"/>
          <w:lang w:val="en-GB"/>
        </w:rPr>
        <w:t xml:space="preserve">«. Teile des menschlichen Körpers werden in diesem Traum behandelt wie Objekte, wie auch in sonstigen Träumen. In einem von Ferenczi mitgeteilten Traume kam ein Mischgebilde vor, das aus der Person eines </w:t>
      </w:r>
      <w:r w:rsidRPr="00A06A59">
        <w:rPr>
          <w:rFonts w:ascii="Garamond" w:hAnsi="Garamond" w:cs="Arial"/>
          <w:i/>
          <w:iCs/>
          <w:color w:val="000000"/>
          <w:lang w:val="en-GB"/>
        </w:rPr>
        <w:t>Arztes</w:t>
      </w:r>
      <w:r w:rsidRPr="00A06A59">
        <w:rPr>
          <w:rFonts w:ascii="Garamond" w:hAnsi="Garamond" w:cs="Arial"/>
          <w:color w:val="000000"/>
          <w:lang w:val="en-GB"/>
        </w:rPr>
        <w:t xml:space="preserve"> und aus einem </w:t>
      </w:r>
      <w:r w:rsidRPr="00A06A59">
        <w:rPr>
          <w:rFonts w:ascii="Garamond" w:hAnsi="Garamond" w:cs="Arial"/>
          <w:i/>
          <w:iCs/>
          <w:color w:val="000000"/>
          <w:lang w:val="en-GB"/>
        </w:rPr>
        <w:t>Pferde</w:t>
      </w:r>
      <w:r w:rsidRPr="00A06A59">
        <w:rPr>
          <w:rFonts w:ascii="Garamond" w:hAnsi="Garamond" w:cs="Arial"/>
          <w:color w:val="000000"/>
          <w:lang w:val="en-GB"/>
        </w:rPr>
        <w:t xml:space="preserve"> zusammengesetzt war und überdies ein </w:t>
      </w:r>
      <w:r w:rsidRPr="00A06A59">
        <w:rPr>
          <w:rFonts w:ascii="Garamond" w:hAnsi="Garamond" w:cs="Arial"/>
          <w:i/>
          <w:iCs/>
          <w:color w:val="000000"/>
          <w:lang w:val="en-GB"/>
        </w:rPr>
        <w:t>Nachthemd</w:t>
      </w:r>
      <w:r w:rsidRPr="00A06A59">
        <w:rPr>
          <w:rFonts w:ascii="Garamond" w:hAnsi="Garamond" w:cs="Arial"/>
          <w:color w:val="000000"/>
          <w:lang w:val="en-GB"/>
        </w:rPr>
        <w:t xml:space="preserve"> anhatte. Das Gemeinsame dieser drei Bestandteile ergab sich aus der Analyse, nachdem das Nachthemd als Anspielung auf den Vater der Träumerin in einer Kindheitsszene erkannt war. Es handelte sich in allen drei Fällen um Objekte ihrer geschlechtlichen Neugierde. Sie war als Kind von ihrer Kindsfrau öfters in das militärische Gestüt mitgenommen worden, wo sie Gelegenheit hatte, ihre – damals noch ungehemmte – Neugierde ausgiebig zu befriedigen.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habe vorhin behauptet, daß der Traum kein Mittel hat, die Relation des Widerspruches, Gegensatzes, das »Nein« auszudrücken. Ich gehe daran, dieser Behauptung zum ersten Male zu widersprechen. Ein Teil der Fälle, die sich als »Gegensatz« zusammenfassen lassen, findet seine Darstellung einfach durch Identifizierung, wie wir gesehen haben, wenn nämlich mit der Gegenüberstellung ein Vertauschen, an die Stelle setzen, verbunden werden kann. Davon haben wir wiederholt Beispiele erwähnt. Ein anderer Teil der Gegensätze in den Traumgedanken, der etwa unter die Kategorie » </w:t>
      </w:r>
      <w:r w:rsidRPr="00A06A59">
        <w:rPr>
          <w:rFonts w:ascii="Garamond" w:hAnsi="Garamond" w:cs="Arial"/>
          <w:i/>
          <w:iCs/>
          <w:color w:val="000000"/>
          <w:lang w:val="en-GB"/>
        </w:rPr>
        <w:t>Umgekehrt, im Gegenteile</w:t>
      </w:r>
      <w:r w:rsidRPr="00A06A59">
        <w:rPr>
          <w:rFonts w:ascii="Garamond" w:hAnsi="Garamond" w:cs="Arial"/>
          <w:color w:val="000000"/>
          <w:lang w:val="en-GB"/>
        </w:rPr>
        <w:t xml:space="preserve">« fällt, gelangt zu seiner Darstellung im Traum auf folgende merkwürdige, beinahe witzig zu nennende Weise. Das »Umgekehrt« gelangt nicht für sich in den Trauminhalt, sondern äußert seine Anwesenheit im Material dadurch, daß ein aus sonstigen Gründen naheliegendes Stück des schon gebildeten Trauminhaltes – gleichsam nachträglich – </w:t>
      </w:r>
      <w:r w:rsidRPr="00A06A59">
        <w:rPr>
          <w:rFonts w:ascii="Garamond" w:hAnsi="Garamond" w:cs="Arial"/>
          <w:i/>
          <w:iCs/>
          <w:color w:val="000000"/>
          <w:lang w:val="en-GB"/>
        </w:rPr>
        <w:t>umgekehrt</w:t>
      </w:r>
      <w:r w:rsidRPr="00A06A59">
        <w:rPr>
          <w:rFonts w:ascii="Garamond" w:hAnsi="Garamond" w:cs="Arial"/>
          <w:color w:val="000000"/>
          <w:lang w:val="en-GB"/>
        </w:rPr>
        <w:t xml:space="preserve"> wird. Der Vorgang ist leichter zu illustrieren als zu beschreiben. Im schönen Traum von » </w:t>
      </w:r>
      <w:r w:rsidRPr="00A06A59">
        <w:rPr>
          <w:rFonts w:ascii="Garamond" w:hAnsi="Garamond" w:cs="Arial"/>
          <w:i/>
          <w:iCs/>
          <w:color w:val="000000"/>
          <w:lang w:val="en-GB"/>
        </w:rPr>
        <w:t>Auf und nieder</w:t>
      </w:r>
      <w:r w:rsidRPr="00A06A59">
        <w:rPr>
          <w:rFonts w:ascii="Garamond" w:hAnsi="Garamond" w:cs="Arial"/>
          <w:color w:val="000000"/>
          <w:lang w:val="en-GB"/>
        </w:rPr>
        <w:t xml:space="preserve">« (S. 196) ist die Traumdarstellung des Steigens umgekehrt wie das Vorbild in den Traumgedanken, nämlich die Introduktionsszene der Sappho </w:t>
      </w:r>
      <w:r w:rsidRPr="00A06A59">
        <w:rPr>
          <w:rFonts w:ascii="Garamond" w:hAnsi="Garamond" w:cs="Arial"/>
          <w:i/>
          <w:iCs/>
          <w:color w:val="000000"/>
          <w:lang w:val="en-GB"/>
        </w:rPr>
        <w:t>Daudets</w:t>
      </w:r>
      <w:r w:rsidRPr="00A06A59">
        <w:rPr>
          <w:rFonts w:ascii="Garamond" w:hAnsi="Garamond" w:cs="Arial"/>
          <w:color w:val="000000"/>
          <w:lang w:val="en-GB"/>
        </w:rPr>
        <w:t xml:space="preserve">; es geht im Traume anfangs schwer, später leicht, während in der Szene das Steigen anfangs leicht, später immer schwerer wird. Auch das »Oben« und »Unten« in bezug auf den Bruder ist im Traum verkehrt dargestellt. Dies deutet auf eine Relation von Umkehrung oder Gegensatz, die zwischen zwei Stücken des Materials in den Traumgedanken besteht und die wir darin gefunden haben, daß in der Kindheitsphantasie des Träumers er von seiner Amme getragen wird, umgekehrt wie im Roman der Held die Geliebte trägt. Auch mein Traum von </w:t>
      </w:r>
      <w:r w:rsidRPr="00A06A59">
        <w:rPr>
          <w:rFonts w:ascii="Garamond" w:hAnsi="Garamond" w:cs="Arial"/>
          <w:i/>
          <w:iCs/>
          <w:color w:val="000000"/>
          <w:lang w:val="en-GB"/>
        </w:rPr>
        <w:t>Goethes</w:t>
      </w:r>
      <w:r w:rsidRPr="00A06A59">
        <w:rPr>
          <w:rFonts w:ascii="Garamond" w:hAnsi="Garamond" w:cs="Arial"/>
          <w:color w:val="000000"/>
          <w:lang w:val="en-GB"/>
        </w:rPr>
        <w:t xml:space="preserve"> Angriff gegen Herrn M. (s. unten) enthält ein solches »Umgekehrt«, das erst redressiert werden muß, ehe man auf die Deutung des Traumes gelangen kann. Im Traum hat </w:t>
      </w:r>
      <w:r w:rsidRPr="00A06A59">
        <w:rPr>
          <w:rFonts w:ascii="Garamond" w:hAnsi="Garamond" w:cs="Arial"/>
          <w:i/>
          <w:iCs/>
          <w:color w:val="000000"/>
          <w:lang w:val="en-GB"/>
        </w:rPr>
        <w:t>Goethe</w:t>
      </w:r>
      <w:r w:rsidRPr="00A06A59">
        <w:rPr>
          <w:rFonts w:ascii="Garamond" w:hAnsi="Garamond" w:cs="Arial"/>
          <w:color w:val="000000"/>
          <w:lang w:val="en-GB"/>
        </w:rPr>
        <w:t xml:space="preserve"> einen jungen Mann, Herrn M. angegriffen; in der Realität, wie sie die Traumgedanken enthalten, ist ein bedeutender Mann, mein Freund, von einem unbekannten jungen Autor angegriffen worden. Im Traum rechne ich vom Sterbedatum </w:t>
      </w:r>
      <w:r w:rsidRPr="00A06A59">
        <w:rPr>
          <w:rFonts w:ascii="Garamond" w:hAnsi="Garamond" w:cs="Arial"/>
          <w:i/>
          <w:iCs/>
          <w:color w:val="000000"/>
          <w:lang w:val="en-GB"/>
        </w:rPr>
        <w:t>Goethes</w:t>
      </w:r>
      <w:r w:rsidRPr="00A06A59">
        <w:rPr>
          <w:rFonts w:ascii="Garamond" w:hAnsi="Garamond" w:cs="Arial"/>
          <w:color w:val="000000"/>
          <w:lang w:val="en-GB"/>
        </w:rPr>
        <w:t xml:space="preserve"> an; in der Wirklichkeit ging die Rechnung vom Geburtsjahr des Paralytikers aus. Der Gedanke, der in dem Traummaterial maßgebend ist, ergibt sich als der Widerspruch dagegen, daß </w:t>
      </w:r>
      <w:r w:rsidRPr="00A06A59">
        <w:rPr>
          <w:rFonts w:ascii="Garamond" w:hAnsi="Garamond" w:cs="Arial"/>
          <w:i/>
          <w:iCs/>
          <w:color w:val="000000"/>
          <w:lang w:val="en-GB"/>
        </w:rPr>
        <w:t>Goethe</w:t>
      </w:r>
      <w:r w:rsidRPr="00A06A59">
        <w:rPr>
          <w:rFonts w:ascii="Garamond" w:hAnsi="Garamond" w:cs="Arial"/>
          <w:color w:val="000000"/>
          <w:lang w:val="en-GB"/>
        </w:rPr>
        <w:t xml:space="preserve"> behandelt werden soll, als sei er ein Verrückter. </w:t>
      </w:r>
      <w:r w:rsidRPr="00A06A59">
        <w:rPr>
          <w:rFonts w:ascii="Garamond" w:hAnsi="Garamond" w:cs="Arial"/>
          <w:color w:val="000000"/>
        </w:rPr>
        <w:t xml:space="preserve">Umgekehrt, sagt der Traum, wenn du das Buch nicht verstehst, bist du der Schwachsinnige, nicht der Autor. In all diesen Träumen von Umkehrung scheint mir überdies eine Beziehung auf die verächtliche Wendung (»einem die </w:t>
      </w:r>
      <w:r w:rsidRPr="00A06A59">
        <w:rPr>
          <w:rFonts w:ascii="Garamond" w:hAnsi="Garamond" w:cs="Arial"/>
          <w:i/>
          <w:iCs/>
          <w:color w:val="000000"/>
        </w:rPr>
        <w:t>Kehrseite</w:t>
      </w:r>
      <w:r w:rsidRPr="00A06A59">
        <w:rPr>
          <w:rFonts w:ascii="Garamond" w:hAnsi="Garamond" w:cs="Arial"/>
          <w:color w:val="000000"/>
        </w:rPr>
        <w:t xml:space="preserve"> zeigen«) enthalten zu sein (die Umkehrung in bezug auf den Bruder im Sapphotraum). </w:t>
      </w:r>
      <w:r w:rsidRPr="00A06A59">
        <w:rPr>
          <w:rFonts w:ascii="Garamond" w:hAnsi="Garamond" w:cs="Arial"/>
          <w:color w:val="000000"/>
          <w:lang w:val="en-GB"/>
        </w:rPr>
        <w:t>Es ist ferner bemerkenswert, wie häufig die Umkehrung gerade in Träumen gebraucht wird, die von verdrängten homosexuellen Regungen eingegeben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Die Umkehrung, Verwandlung ins Gegenteil, ist übrigens eines der beliebtesten, der vielseitigsten Verwendung fähigen Darstellungsmittel der Traumarbeit. Sie dient zunächst dazu, der Wunscherfüllung gegen ein bestimmtes Element der Traumgedanken Geltung zu verschaffen. Wäre es doch umgekehrt gewesen! ist oftmals der beste Ausdruck für die Reaktion des Ichs gegen ein peinliches Stück Erinnerung. Ganz besonders wertvoll wird die Umkehrung aber im Dienste der Zensur, indem sie ein Maß von Entstellung des Darzustellenden zustande bringt, welches das Verständnis des Traumes zunächst geradezu lähmt. Man darf darum, wenn ein Traum seinen Sinn hartnäckig verweigert, jedesmal den Versuch der Umkehrung mit bestimmten Stücken seines manifesten Inhaltes wagen, worauf nicht selten alles sofort klar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Neben der inhaltlichen Umkehrung ist die zeitliche nicht zu übersehen. Eine häufigere Technik der Traumentstellung besteht darin, den Ausgang der Begebenheit oder den Schluß des Gedankengangs zu Eingang des Traums darzustellen und am Ende desselben die Voraussetzungen des Schlusses oder die Ursachen des Geschehens nachzutragen. Wer nicht an dieses technische Mittel der Traumentstellung gedacht hat, steht dann der Aufgabe der Traumdeutung ratlos gegenüber </w:t>
      </w:r>
      <w:hyperlink r:id="rId14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Derselben Technik der zeitlichen Umkehrung bedient sich manchmal der hysterische Anfall, um seinen Sinn dem Zuschauer zu verbergen. Ein hysterisches Mädchen hat z. B. in einem Anfalle einen kleinen Roman darzustellen, den sie sich im Anschluß an eine Begegnung in der Stadtbahn im Unbewußten phantasiert hat. Wie der Betreffende, durch die Schönheit ihres Fußes angezogen, sie, während sie liest, anspricht, wie sie dann mit ihm geht und eine stürmische Liebesszene erlebt. Ihr Anfall setzt mit der Darstellung dieser Liebesszene durch die Körperzuckungen ein (dabei Lippenbewegungen fürs Küssen, Verschränkung der Arme für die Umarmung), darauf eilt sie ins andere Zimmer, setzt sich auf einen Stuhl, hebt das Kleid, um den Fuß zu zeigen, tut, als ob sie in einem Buche lesen würde, und spricht mich an (gibt mir Antwort). Vgl. hiezu die Bemerkung </w:t>
        </w:r>
        <w:r w:rsidRPr="00A06A59">
          <w:rPr>
            <w:rStyle w:val="innerfusslink3"/>
            <w:rFonts w:ascii="Garamond" w:hAnsi="Garamond" w:cs="Arial"/>
            <w:b/>
            <w:bCs/>
            <w:i/>
            <w:iCs/>
            <w:lang w:val="en-GB"/>
          </w:rPr>
          <w:t>Artemidorus</w:t>
        </w:r>
        <w:r w:rsidRPr="00A06A59">
          <w:rPr>
            <w:rStyle w:val="innerfusslink3"/>
            <w:rFonts w:ascii="Garamond" w:hAnsi="Garamond" w:cs="Arial"/>
            <w:b/>
            <w:bCs/>
            <w:lang w:val="en-GB"/>
          </w:rPr>
          <w:t>': »Bei der Auslegung von Traumgeschichten muß man sie einmal vom Anfang gegen das Ende, das andere Mal vom Ende gegen den Anfang hin ins Auge fassen...«</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Ja in manchen Fällen erhält man den Sinn des Traumes erst, wenn man an dem Trauminhalt eine mehrfache Umkehrung, nach verschiedenen Relationen, vorgenommen hat. So z. B. verbirgt sich im Traume eines jungen Zwangsneurotikers die Erinnerung an den infantilen Todeswunsch gegen den gefürchteten Vater hinter folgendem Wortlaut: </w:t>
      </w:r>
      <w:r w:rsidRPr="00A06A59">
        <w:rPr>
          <w:rFonts w:ascii="Garamond" w:hAnsi="Garamond" w:cs="Arial"/>
          <w:i/>
          <w:iCs/>
          <w:color w:val="000000"/>
          <w:lang w:val="en-GB"/>
        </w:rPr>
        <w:t>Sein Vater schimpft mit ihm, weil er so spät nach Hause kommt</w:t>
      </w:r>
      <w:r w:rsidRPr="00A06A59">
        <w:rPr>
          <w:rFonts w:ascii="Garamond" w:hAnsi="Garamond" w:cs="Arial"/>
          <w:color w:val="000000"/>
          <w:lang w:val="en-GB"/>
        </w:rPr>
        <w:t xml:space="preserve">. Allein der Zusammenhang der psychoanalytischen Kur und die Einfälle des Träumers beweisen, daß es zunächst lauten muß: </w:t>
      </w:r>
      <w:r w:rsidRPr="00A06A59">
        <w:rPr>
          <w:rFonts w:ascii="Garamond" w:hAnsi="Garamond" w:cs="Arial"/>
          <w:i/>
          <w:iCs/>
          <w:color w:val="000000"/>
          <w:lang w:val="en-GB"/>
        </w:rPr>
        <w:t>Er ist böse auf den Vater</w:t>
      </w:r>
      <w:r w:rsidRPr="00A06A59">
        <w:rPr>
          <w:rFonts w:ascii="Garamond" w:hAnsi="Garamond" w:cs="Arial"/>
          <w:color w:val="000000"/>
          <w:lang w:val="en-GB"/>
        </w:rPr>
        <w:t xml:space="preserve">, und sodann, daß ihm der Vater auf alle Fälle </w:t>
      </w:r>
      <w:r w:rsidRPr="00A06A59">
        <w:rPr>
          <w:rFonts w:ascii="Garamond" w:hAnsi="Garamond" w:cs="Arial"/>
          <w:i/>
          <w:iCs/>
          <w:color w:val="000000"/>
          <w:lang w:val="en-GB"/>
        </w:rPr>
        <w:t>zu früh</w:t>
      </w:r>
      <w:r w:rsidRPr="00A06A59">
        <w:rPr>
          <w:rFonts w:ascii="Garamond" w:hAnsi="Garamond" w:cs="Arial"/>
          <w:color w:val="000000"/>
          <w:lang w:val="en-GB"/>
        </w:rPr>
        <w:t xml:space="preserve"> (d. h. zu bald) nach Hause kam. Er hätte es vorgezogen, daß der Vater überhaupt nicht nach Hause gekommen wäre, was mit dem Todeswunsch gegen den Vater identisch ist (siehe S. 175). Der Träumer hatte sich nämlich als kleiner Knabe während einer längeren Abwesenheit des Vaters eine sexuelle Aggression gegen eine andere Person zuschulden kommen lassen und war mit der Drohung gestraft worden: Na wart', bis der Vater zurückkommt!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Will man die Beziehungen zwischen Trauminhalt und Traumgedanken weiter verfolgen, so nimmt man jetzt am besten den Traum selbst zum Ausgangspunkt und stellt sich die Frage, was gewisse formale Charaktere der Traumdarstellung in bezug auf die Traumgedanken bedeuten. Zu diesen formalen Charakteren, die uns im Traume auffallen müssen, gehören vor allem die Unterschiede in der sinnlichen Intensität der einzelnen Traumgebilde und in der Deutlichkeit einzelner Traumpartien oder ganzer Träume untereinander verglichen. Die Unterschiede in der Intensität der einzelnen Traumgebilde umfassen eine ganze Skala von einer Schärfe der Ausprägung, die man – wiewohl ohne Gewähr – geneigt ist, über die der Realität zu stellen, bis zu einer ärgerlichen Verschwommenheit, die man als charakteristisch für den Traum erklärt, weil sie eigentlich mit keinem der Grade der Undeutlichkeit, die wir gelegentlich an den Objekten der Realität wahrnehmen, vollkommen zu vergleichen ist. Gewöhnlich bezeichnen wir überdies den Eindruck, den wir von einem undeutlichen Traumobjekt empfangen, als »flüchtig«, während wir von den deutlicheren Traumbildern meinen, daß sie auch durch längere Zeit der Wahrnehmung standgehalten haben. Es fragt sich nun, durch welche Bedingungen im Traummaterial diese Unterschiede in der Lebhaftigkeit der einzelnen Stücke des Trauminhalts hervorgerufen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Man hat hier zunächst gewissen Erwartungen entgegenzutreten, die sich wie unvermeidlich einstellen. Da zu dem Material des Traums auch wirkliche Sensationen während des Schlafes gehören können, wird man wahrscheinlich voraussetzen, daß diese oder die von ihnen abgeleiteten Traumelemente im Trauminhalt durch besondere Intensität hervorstechen, oder umgekehrt, daß, was im Traum ganz besonders lebhaft ausfällt, auf solche reale Schlafsensationen zurückführbar sein wird. Meine Erfahrung hat dies aber niemals bestätigt. Es ist nicht richtig, daß die Elemente des Traums, welche Abkömmlinge von realen Eindrücken während des Schlafes (Nervenreizen) sind, sich vor den anderen, die aus Erinnerungen stammen, durch Lebhaftigkeit auszeichnen. Das Moment der Realität geht für die Intensitätsbestimmung der Traumbilder verloren.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Ferner könnte man an der Erwartung festhalten, daß die sinnliche Intensität (Lebhaftigkeit) der einzelnen Traumbilder eine Beziehung habe zur psychischen Intensität der ihnen entsprechenden Elemente in den Traumgedanken. In den letzteren fällt Intensität mit psychischer Wertigkeit zusammen; die intensivsten Elemente sind keine anderen als die bedeutsamsten, welche den Mittelpunkt der Traumgedanken bilden. Nun wissen wir zwar, daß gerade diese Elemente der Zensur wegen meist keine Aufnahme in den Trauminhalt finden. Aber es könnte doch sein, daß ihre sie vertretenden nächsten Abkömmlinge im Traum einen höheren Intensitätsgrad aufbringen, ohne daß sie darum das Zentrum der Traumdarstellung bilden müßten. Auch diese Erwartung wird indes durch die vergleichende Betrachtung von Traum und Traummaterial zerstört. Die Intensität der Elemente hier hat mit der Intensität der Elemente dort nichts zu schaffen; es findet zwischen Traummaterial und Traum tatsächlich eine völlige » </w:t>
      </w:r>
      <w:r w:rsidRPr="00A06A59">
        <w:rPr>
          <w:rFonts w:ascii="Garamond" w:hAnsi="Garamond" w:cs="Arial"/>
          <w:i/>
          <w:iCs/>
          <w:color w:val="000000"/>
          <w:lang w:val="en-GB"/>
        </w:rPr>
        <w:t>Umwertung aller psychischen Werte</w:t>
      </w:r>
      <w:r w:rsidRPr="00A06A59">
        <w:rPr>
          <w:rFonts w:ascii="Garamond" w:hAnsi="Garamond" w:cs="Arial"/>
          <w:color w:val="000000"/>
          <w:lang w:val="en-GB"/>
        </w:rPr>
        <w:t>« statt. Gerade in einem flüchtig hingehauchten, durch kräftigere Bilder verdeckten Element des Traums kann man oft einzig und allein einen direkten Abkömmling dessen entdecken, was in den Traumgedanken übermäßig dominierte.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 Intensität der Elemente des Traumes zeigt sich anders determiniert, und zwar durch zwei voneinander unabhängige Momente. </w:t>
      </w:r>
      <w:r w:rsidRPr="00A06A59">
        <w:rPr>
          <w:rFonts w:ascii="Garamond" w:hAnsi="Garamond" w:cs="Arial"/>
          <w:color w:val="000000"/>
          <w:lang w:val="en-GB"/>
        </w:rPr>
        <w:t xml:space="preserve">Zunächst ist es leicht zu sehen, daß jene Elemente besonders intensiv dargestellt sind, durch welche die Wunscherfüllung sich ausdrückt. Dann aber lehrt die Analyse, daß von den lebhaftesten Elementen des Traums auch die meisten Gedankengänge ausgehen, daß die lebhaftesten gleichzeitig die best determinierten sind. Es ist keine Änderung des Sinnes, wenn wir den letzten, empirisch gewonnenen Satz in nachstehender Form aussprechen: Die größte Intensität zeigen jene Elemente des Traums, für deren Bildung die ausgiebigste </w:t>
      </w:r>
      <w:r w:rsidRPr="00A06A59">
        <w:rPr>
          <w:rFonts w:ascii="Garamond" w:hAnsi="Garamond" w:cs="Arial"/>
          <w:i/>
          <w:iCs/>
          <w:color w:val="000000"/>
          <w:lang w:val="en-GB"/>
        </w:rPr>
        <w:t>Verdichtungsarbeit</w:t>
      </w:r>
      <w:r w:rsidRPr="00A06A59">
        <w:rPr>
          <w:rFonts w:ascii="Garamond" w:hAnsi="Garamond" w:cs="Arial"/>
          <w:color w:val="000000"/>
          <w:lang w:val="en-GB"/>
        </w:rPr>
        <w:t xml:space="preserve"> in Anspruch genommen wurde. Wir dürfen dann erwarten, daß diese Bedingung und die andere der Wunscherfüllung auch in einer einzigen Formel ausgedrückt werden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Problem, das ich jetzt behandelt habe, die Ursachen der größeren und geringeren Intensität oder Deutlichkeit der einzelnen Traumelemente, möchte ich vor Verwechslung mit einem anderen Problem schützen, welches sich auf die verschiedene Deutlichkeit ganzer Träume oder Traumabschnitte bezieht. Dort ist der Gegensatz von Deutlichkeit: Verschwommenheit, hier Verworrenheit. Es ist allerdings unverkennbar, daß in beiden Skalen die steigenden und fallenden Qualitäten einander im Vorkommen begleiten. Eine Partie des Traums, die uns klar erscheint, enthält zumeist intensive Elemente; ein unklarer Traum ist im Gegenteil aus wenig intensiven Elementen zusammengesetzt. Doch ist das Problem, welches die Skala vom anscheinend Klaren bis zum Undeutlich-Verworrenen bietet, weit komplizierter als das der Lebhaftigkeitsschwankungen der Traumelemente; ja ersteres entzieht sich aus später anzuführenden Gründen hier noch der Erörterung. In einzelnen Fällen merkt man nicht ohne Überraschung, daß der Eindruck von Klarheit oder Undeutlichkeit, den man von einem Traum empfängt, überhaupt nichts für das Traumgefüge bedeutet, sondern aus dem Traummaterial als ein Bestandteil desselben herrührt. So erinnere ich mich an einen Traum, der mir nach dem Erwachen so besonders gut gefügt, lückenlos und klar erschien, daß ich noch in der Schlaftrunkenheit mir vorsetzte, eine neue Kategorie von Träumen zuzulassen, die nicht dem Mechanismus der Verdichtung und Verschiebung unterlegen waren, sondern als »Phantasien während des Schlafens« bezeichnet werden durften. Nähere Prüfung ergab, daß dieser rare Traum dieselben Risse und Sprünge in seinem Gefüge zeigte wie jeder andere; ich ließ darum die Kategorie der Traumphantasien auch wieder fallen </w:t>
      </w:r>
      <w:hyperlink r:id="rId14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Ich weiß heute nicht, ob mit Recht.</w:t>
        </w:r>
      </w:hyperlink>
      <w:r w:rsidRPr="00A06A59">
        <w:rPr>
          <w:rFonts w:ascii="Garamond" w:hAnsi="Garamond" w:cs="Arial"/>
          <w:color w:val="000000"/>
          <w:lang w:val="en-GB"/>
        </w:rPr>
        <w:t xml:space="preserve">. Der reduzierte Inhalt des Traums war aber, daß ich meinem Freunde eine schwierige und lange gesuchte Theorie der Bisexualität vortrug, und die wunscherfüllende Kraft des Traumes hatte es zu verantworten, daß uns diese Theorie (die übrigens im Traum nicht mitgeteilt wurde) klar und lückenlos erschien. Was ich also für ein Urteil über den fertigen Traum gehalten hatte, war ein Stück, und zwar das wesentliche Stück des Trauminhalts. Die Traumarbeit griff hier gleichsam in das erste wache Denken über und übermittelte mir als </w:t>
      </w:r>
      <w:r w:rsidRPr="00A06A59">
        <w:rPr>
          <w:rFonts w:ascii="Garamond" w:hAnsi="Garamond" w:cs="Arial"/>
          <w:i/>
          <w:iCs/>
          <w:color w:val="000000"/>
          <w:lang w:val="en-GB"/>
        </w:rPr>
        <w:t>Urteil</w:t>
      </w:r>
      <w:r w:rsidRPr="00A06A59">
        <w:rPr>
          <w:rFonts w:ascii="Garamond" w:hAnsi="Garamond" w:cs="Arial"/>
          <w:color w:val="000000"/>
          <w:lang w:val="en-GB"/>
        </w:rPr>
        <w:t xml:space="preserve"> über den Traum jenes Stück des Traummaterials, dessen genaue Darstellung im Traum ihr nicht gelungen war. Ein vollkommenes Gegenstück hiezu erlebte ich einmal bei einer Patientin, die einen in die Analyse gehörigen Traum zuerst überhaupt nicht erzählen wollte, »weil er so undeutlich und verworren sei«, und endlich unter wiederholten Protesten gegen die Sicherheit ihrer Darstellung angab, es seien im Traum mehrere Personen vorgekommen, sie, ihr Mann und ihr Vater, und als ob sie nicht gewußt hätte, ob ihr Mann ihr Vater sei oder wer eigentlich ihr Vater sei oder so ähnlich. Die Zusammenstellung dieses Traumes mit ihren Einfällen in der Sitzung ergab als unzweifelhaft, daß es sich um die ziemlich alltägliche Geschichte eines Dienstmädchens handle, welches bekennen mußte, daß sie ein Kind erwarte, und nun Zweifel zu hören bekomme, »wer eigentlich der Vater (des Kindes) sei« </w:t>
      </w:r>
      <w:hyperlink r:id="rId14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Begleitende hysterische Symptome: Ausbleiben der Periode und große Verstimmung, das Hauptleiden dieser Kranken.</w:t>
        </w:r>
      </w:hyperlink>
      <w:r w:rsidRPr="00A06A59">
        <w:rPr>
          <w:rFonts w:ascii="Garamond" w:hAnsi="Garamond" w:cs="Arial"/>
          <w:color w:val="000000"/>
          <w:lang w:val="en-GB"/>
        </w:rPr>
        <w:t xml:space="preserve">. Die Unklarheit, die der Traum zeigte, war also auch hier ein Stück aus dem traumerregenden Material. Ein Stück dieses Inhalts war in der </w:t>
      </w:r>
      <w:r w:rsidRPr="00A06A59">
        <w:rPr>
          <w:rFonts w:ascii="Garamond" w:hAnsi="Garamond" w:cs="Arial"/>
          <w:i/>
          <w:iCs/>
          <w:color w:val="000000"/>
          <w:lang w:val="en-GB"/>
        </w:rPr>
        <w:t>Form</w:t>
      </w:r>
      <w:r w:rsidRPr="00A06A59">
        <w:rPr>
          <w:rFonts w:ascii="Garamond" w:hAnsi="Garamond" w:cs="Arial"/>
          <w:color w:val="000000"/>
          <w:lang w:val="en-GB"/>
        </w:rPr>
        <w:t xml:space="preserve"> des Traumes dargestellt worden. </w:t>
      </w:r>
      <w:r w:rsidRPr="00A06A59">
        <w:rPr>
          <w:rFonts w:ascii="Garamond" w:hAnsi="Garamond" w:cs="Arial"/>
          <w:i/>
          <w:iCs/>
          <w:color w:val="000000"/>
          <w:lang w:val="en-GB"/>
        </w:rPr>
        <w:t>Die Form des Traumes oder des Träumern wird in ganz überraschender Häufigkeit zur Darstellung des verdeckten Inhaltes verwendet</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Glossen über den Traum, anscheinend harmlose Bemerkungen zu demselben, dienen oft dazu, ein Stück des Geträumten in der raffiniertesten Weise zu verhüllen, während sie es doch eigentlich verraten. So z. B. wenn ein </w:t>
      </w:r>
      <w:r w:rsidRPr="00A06A59">
        <w:rPr>
          <w:rFonts w:ascii="Garamond" w:hAnsi="Garamond" w:cs="Arial"/>
          <w:color w:val="000000"/>
          <w:lang w:val="en-GB"/>
        </w:rPr>
        <w:lastRenderedPageBreak/>
        <w:t xml:space="preserve">Träumer äußert: Hier ist der Traum </w:t>
      </w:r>
      <w:r w:rsidRPr="00A06A59">
        <w:rPr>
          <w:rFonts w:ascii="Garamond" w:hAnsi="Garamond" w:cs="Arial"/>
          <w:i/>
          <w:iCs/>
          <w:color w:val="000000"/>
          <w:lang w:val="en-GB"/>
        </w:rPr>
        <w:t>verwischt</w:t>
      </w:r>
      <w:r w:rsidRPr="00A06A59">
        <w:rPr>
          <w:rFonts w:ascii="Garamond" w:hAnsi="Garamond" w:cs="Arial"/>
          <w:color w:val="000000"/>
          <w:lang w:val="en-GB"/>
        </w:rPr>
        <w:t xml:space="preserve">, und die Analyse eine infantile Reminiszenz an das Belauschen einer Person ergibt, die sich nach der Defäkation reinigt. Oder in einem anderen Falle, der ausführliche Mitteilung verdient: Ein junger Mann hat einen sehr deutlichen Traum, der ihn an bewußtgebliebene Phantasien seiner Knabenjahre mahnt: Er befindet sich abends in einem Sommerhotel, irrt sich in der Zimmernummer und kommt in einen Raum, in dem sich eine ältere Dame und ihre zwei Töchter entkleiden, um zu Bette zu gehen. Er setzt fort: </w:t>
      </w:r>
      <w:r w:rsidRPr="00A06A59">
        <w:rPr>
          <w:rFonts w:ascii="Garamond" w:hAnsi="Garamond" w:cs="Arial"/>
          <w:i/>
          <w:iCs/>
          <w:color w:val="000000"/>
          <w:lang w:val="en-GB"/>
        </w:rPr>
        <w:t>Dann sind einige Lücken im Traum, da fehlt etwas</w:t>
      </w:r>
      <w:r w:rsidRPr="00A06A59">
        <w:rPr>
          <w:rFonts w:ascii="Garamond" w:hAnsi="Garamond" w:cs="Arial"/>
          <w:color w:val="000000"/>
          <w:lang w:val="en-GB"/>
        </w:rPr>
        <w:t>, und am Ende war ein Mann im Zimmer, der mich hinauswerfen wollte, mit dem ich ringen mußte. Er bemüht sich vergebens, den Inhalt und die Absicht jener knabenhaften Phantasie zu erinnern, auf die der Traum offenbar anspielt. Aber man wird endlich aufmerksam, daß der gesuchte Inhalt durch die Äußerung über die undeutliche Stelle des Traumes bereits gegeben ist. Die »Lücken« sind die Genitalöffnungen der zu Bette gehenden Frauen: »da fehlt etwas« beschreibt den Hauptcharakter des weiblichen Genitales. Er brannte in jenen jungen Jahren vor Wißbegierde, ein weibliches Genitale zu sehen, und war noch geneigt, an der infantilen Sexualtheorie, die dem Weibe ein männliches Glied zuschreibt, festzuhalten.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ganz ähnlicher Form kleidete sich eine analoge Reminiszenz eines anderen Träumers ein. Er träumt: </w:t>
      </w:r>
      <w:r w:rsidRPr="00A06A59">
        <w:rPr>
          <w:rFonts w:ascii="Garamond" w:hAnsi="Garamond" w:cs="Arial"/>
          <w:i/>
          <w:iCs/>
          <w:color w:val="000000"/>
          <w:lang w:val="en-GB"/>
        </w:rPr>
        <w:t>Ich gehe mit Frl. K. in das Volksgartenrestaurant...,</w:t>
      </w:r>
      <w:r w:rsidRPr="00A06A59">
        <w:rPr>
          <w:rFonts w:ascii="Garamond" w:hAnsi="Garamond" w:cs="Arial"/>
          <w:color w:val="000000"/>
          <w:lang w:val="en-GB"/>
        </w:rPr>
        <w:t xml:space="preserve"> dann kommt eine dunkle Stelle, eine Unterbrechung..., </w:t>
      </w:r>
      <w:r w:rsidRPr="00A06A59">
        <w:rPr>
          <w:rFonts w:ascii="Garamond" w:hAnsi="Garamond" w:cs="Arial"/>
          <w:i/>
          <w:iCs/>
          <w:color w:val="000000"/>
          <w:lang w:val="en-GB"/>
        </w:rPr>
        <w:t>dann befinde ich mich in einem Bordellsalon, in dem ich zwei oder drei Frauen sehe, eine in Hemd und Höschen.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analyse: Frl. K. ist die Tochter seines früheren Chefs, wie er selbst zugibt, ein Schwesterersatz. Er hatte nur selten Gelegenheit, mit ihr zu sprechen, aber einmal fiel eine Unterhaltung zwischen ihnen vor, in der »man sich gleichsam in seiner Geschlechtlichkeit erkannte, als ob man sagen würde: Ich bin ein Mann und du ein Weib«. Im angegebenen Restaurant war er nur einmal in Begleitung der Schwester seines Schwagers, eines Mädchens, das ihm vollkommen gleichgültig war. Ein andermal begleitete er eine Gesellschaft von drei Damen bis zum Eingange in dieses Restaurant. Die Damen waren seine Schwester, seine Schwägerin und die bereits erwähnte Schwester seines Schwagers, alle drei ihm höchst gleichgültig, aber alle drei der Schwesterreihe angehörig. Ein Bordell hat er nur selten besucht, vielleicht zwei- oder dreimal in seinem Leben.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Deutung stützte sich auf die » </w:t>
      </w:r>
      <w:r w:rsidRPr="00A06A59">
        <w:rPr>
          <w:rFonts w:ascii="Garamond" w:hAnsi="Garamond" w:cs="Arial"/>
          <w:i/>
          <w:iCs/>
          <w:color w:val="000000"/>
          <w:lang w:val="en-GB"/>
        </w:rPr>
        <w:t>dunkle Stelle</w:t>
      </w:r>
      <w:r w:rsidRPr="00A06A59">
        <w:rPr>
          <w:rFonts w:ascii="Garamond" w:hAnsi="Garamond" w:cs="Arial"/>
          <w:color w:val="000000"/>
          <w:lang w:val="en-GB"/>
        </w:rPr>
        <w:t xml:space="preserve">«, » </w:t>
      </w:r>
      <w:r w:rsidRPr="00A06A59">
        <w:rPr>
          <w:rFonts w:ascii="Garamond" w:hAnsi="Garamond" w:cs="Arial"/>
          <w:i/>
          <w:iCs/>
          <w:color w:val="000000"/>
          <w:lang w:val="en-GB"/>
        </w:rPr>
        <w:t>Unterbrechung</w:t>
      </w:r>
      <w:r w:rsidRPr="00A06A59">
        <w:rPr>
          <w:rFonts w:ascii="Garamond" w:hAnsi="Garamond" w:cs="Arial"/>
          <w:color w:val="000000"/>
          <w:lang w:val="en-GB"/>
        </w:rPr>
        <w:t>« im Traume und behauptete, daß er in knabenhafter Wißbegierde einigemal, allerdings nur selten, das Genitale seiner um einige Jahre jüngeren Schwester inspiziert habe. Einige Tage später stellte sich die bewußte Erinnerung an die vom Traume angedeutete Untat 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Alle Träume derselben Nacht gehören ihrem Inhalt nach zu dem nämlichen Ganzen; ihre Sonderung in mehrere Stücke, deren Gruppierung und Anzahl, all das ist sinnreich und darf als ein Stück Mitteilung aus den latenten Traumgedanken aufgefaßt werden. Bei der Deutung von Träumen, die aus mehreren Hauptstücken bestehen, oder überhaupt solchen, die derselben Nacht angehören, darf man auch an die Möglichkeit nicht vergessen, daß diese verschiedenen und aufeinanderfolgenden Träume dasselbe bedeuten, die nämlichen Regungen in verschiedenem Material zum Ausdruck bringen. Der zeitlich vorangehende dieser homologen Träume ist dann häufig der entstelltere, schüchterne, der nachfolgende ist dreister und deutlicher.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Schon der biblische Traum des Pharao von den Ähren und von den Kühen, den Josef deutete, war von dieser Art. Er findet sich bei Josephus ( </w:t>
      </w:r>
      <w:r w:rsidRPr="00A06A59">
        <w:rPr>
          <w:rFonts w:ascii="Garamond" w:hAnsi="Garamond" w:cs="Arial"/>
          <w:i/>
          <w:iCs/>
          <w:color w:val="000000"/>
          <w:lang w:val="en-GB"/>
        </w:rPr>
        <w:t>Jüdische Altertümer</w:t>
      </w:r>
      <w:r w:rsidRPr="00A06A59">
        <w:rPr>
          <w:rFonts w:ascii="Garamond" w:hAnsi="Garamond" w:cs="Arial"/>
          <w:color w:val="000000"/>
          <w:lang w:val="en-GB"/>
        </w:rPr>
        <w:t>, Buch II, Kap. 5 und 6) ausführlicher als in der Bibel berichtet. Nachdem der König den ersten Traum erzählt hat, sagt er: »Nach diesem ersten Traumgesicht wachte ich beunruhigt auf und dachte nach, was dasselbe wohl bedeuten möge, schlief jedoch hierüber allmählich wieder ein und hatte nun einen noch viel seltsameren Traum, der mich noch mehr in Furcht und Verwirrung gesetzt hat.« Nach Anhören der Traumerzählung sagt Josef: »Dein Traum, oKönig, ist dem Anschein nach wohl ein zweifacher, allein beide Gesichte haben nur eine Bedeutung.«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Jung</w:t>
      </w:r>
      <w:r w:rsidRPr="00A06A59">
        <w:rPr>
          <w:rFonts w:ascii="Garamond" w:hAnsi="Garamond" w:cs="Arial"/>
          <w:color w:val="000000"/>
          <w:lang w:val="en-GB"/>
        </w:rPr>
        <w:t xml:space="preserve">, der in seinem ›Beitrag zur Psychologie des Gerüchtes erzählt, wie der versteckt erotische Traum eines Schulmädchens von ihren Freundinnen ohne Deutung verstanden und in Abänderungen weitergeführt wurde, bemerkt zu einer dieser Traumerzählungen, »daß der Schlußgedanke einer langen Reihe von Traumbildern genau das enthält, was schon im ersten Bild der Serie darzustellen versucht worden war. Die Zensur schiebt den Komplex so lange wie möglich weg durch immer wieder erneute symbolische Verdeckungen, Verschiebungen, Wendungen ins Harmlose usw.« (Zentr. F. Psychoanalyse I, 1910, p. 87) </w:t>
      </w:r>
      <w:r w:rsidRPr="00A06A59">
        <w:rPr>
          <w:rFonts w:ascii="Garamond" w:hAnsi="Garamond" w:cs="Arial"/>
          <w:i/>
          <w:iCs/>
          <w:color w:val="000000"/>
          <w:lang w:val="en-GB"/>
        </w:rPr>
        <w:t>Scherner</w:t>
      </w:r>
      <w:r w:rsidRPr="00A06A59">
        <w:rPr>
          <w:rFonts w:ascii="Garamond" w:hAnsi="Garamond" w:cs="Arial"/>
          <w:color w:val="000000"/>
          <w:lang w:val="en-GB"/>
        </w:rPr>
        <w:t xml:space="preserve"> hat diese Eigentümlichkeit der Traumdarstellung gut gekannt und beschreibt sie im Anschluß an seine Lehre von den Organreizen als ein besonderes Gesetz (p. 166): »Endlich aber beobachtet die Phantasie in allen von bestimmten Nervenreizen ausgehenden symbolischen Traumbildungen das gemeingültige Gesetz, daß sie bei Beginn des Traumes nur in den fernsten und freiesten Andeutungen des Reizobjektes malt, am Schlusse aber, wo der malerische Erguß sich erschöpft hatte, den Reiz selbst, respektive sein betreffendes Organ oder dessen Funktion in Nacktheit hinstellt, womit der Traum, seinen organischen Anlaß selbst bezeichnend, das Ende erreicht...«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Eine schöne Bestätigung dieses </w:t>
      </w:r>
      <w:r w:rsidRPr="00A06A59">
        <w:rPr>
          <w:rFonts w:ascii="Garamond" w:hAnsi="Garamond" w:cs="Arial"/>
          <w:i/>
          <w:iCs/>
          <w:color w:val="000000"/>
          <w:lang w:val="en-GB"/>
        </w:rPr>
        <w:t>Scherner</w:t>
      </w:r>
      <w:r w:rsidRPr="00A06A59">
        <w:rPr>
          <w:rFonts w:ascii="Garamond" w:hAnsi="Garamond" w:cs="Arial"/>
          <w:color w:val="000000"/>
          <w:lang w:val="en-GB"/>
        </w:rPr>
        <w:t xml:space="preserve">schen Gesetzes hat Otto </w:t>
      </w:r>
      <w:r w:rsidRPr="00A06A59">
        <w:rPr>
          <w:rFonts w:ascii="Garamond" w:hAnsi="Garamond" w:cs="Arial"/>
          <w:i/>
          <w:iCs/>
          <w:color w:val="000000"/>
          <w:lang w:val="en-GB"/>
        </w:rPr>
        <w:t>Rank</w:t>
      </w:r>
      <w:r w:rsidRPr="00A06A59">
        <w:rPr>
          <w:rFonts w:ascii="Garamond" w:hAnsi="Garamond" w:cs="Arial"/>
          <w:color w:val="000000"/>
          <w:lang w:val="en-GB"/>
        </w:rPr>
        <w:t xml:space="preserve"> in seiner Arbeit: »Ein Traum, der sich selbst deutet«, geliefert. Der von ihm dort mitgeteilte Traum eines Mädchens setzte sich aus zwei auch zeitlich gesonderten Träumen einer Nacht zusammen, von denen der zweite mit einer Pollution abschloß. Dieser Pollutionstraum gestattete eine bis ins einzelne durchgeführte Deutung unter weitgehendem Verzicht auf die Beiträge der Träumerin, und die Fülle der Beziehungen zwischen den beiden Trauminhalten ermöglichte es zu erkennen, daß der erste Traum in schüchterner Darstellung dasselbe zum Ausdruck brachte wie der zweite, so daß dieser, der Pollutionstraum, zur vollen Aufklärung des ersteren verholfen hatte. </w:t>
      </w:r>
      <w:r w:rsidRPr="00A06A59">
        <w:rPr>
          <w:rFonts w:ascii="Garamond" w:hAnsi="Garamond" w:cs="Arial"/>
          <w:i/>
          <w:iCs/>
          <w:color w:val="000000"/>
          <w:lang w:val="en-GB"/>
        </w:rPr>
        <w:t>Rank</w:t>
      </w:r>
      <w:r w:rsidRPr="00A06A59">
        <w:rPr>
          <w:rFonts w:ascii="Garamond" w:hAnsi="Garamond" w:cs="Arial"/>
          <w:color w:val="000000"/>
          <w:lang w:val="en-GB"/>
        </w:rPr>
        <w:t xml:space="preserve"> erörtert von diesem Beispiele aus mit gutem Recht die Bedeutung der Pollutionsträume für die Theorie des Träumens überhaupt.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solche Lage, Klarheit oder Verworrenheit des Traums auf Sicherheit oder Zweifel im Traummaterial umdeuten zu können, kommt man aber nach meiner Erfahrung nur in wenigen Fällen. Ich werde späterhin den bisher nicht erwähnten Faktor bei der Traumbildung aufzudecken haben, von dessen Einwirkung diese Qualitätenskala des Traumes wesentlich abhängt.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manchen Träumen, die ein Stück weit eine gewisse Situation und Szenerie festhalten, kommen Unterbrechungen vor, die mit folgenden Worten beschrieben werden: »Es ist dann aber, als wäre es gleichzeitig ein anderer Ort, und dort ereignete sich dies und jenes.« Was in solcher Weise die Haupthandlung des Traumes unterbricht, die nach einer Weile wieder fortgesetzt werden kann, das stellt sich im Traummaterial als ein Nebensatz, als ein eingeschobener Gedanke heraus. Die Kondition in den Traumgedanken wird im Traum durch Gleichzeitigkeit dargestellt (wenn – wann).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Was bedeutet die so häufig im Traum erscheinende Sensation der gehemmten Bewegung, die so nahe an Angst streift? Man will gehen und kommt nicht von der Stelle, will etwas verrichten und stößt fortwährend auf Hindernisse. Der Eisenbahnzug will sich in Bewegung setzen, und man kann ihn nicht erreichen; man hebt die Hand, um eine Beleidigung zu rächen, und sie versagt usw. Wir sind dieser Sensation im Traume schon bei den Exhibitionsträumen begegnet, haben ihre Deutung aber noch nicht ernstlich versucht. Es ist bequem aber unzureichend, zu antworten, im Schlaf bestehe motorische Lähmung, die sich durch die erwähnte Sensation bemerkbar macht. Wir dürfen fragen: Warum träumt man dann nicht beständig von solchen gehemmten Bewegungen?, und wir dürfen erwarten, daß diese im Schlaf jederzeit hervorzurufende Sensation irgendwelchen Zwecken der Darstellung diene und nur durch das im Traummaterial gegebene Bedürfnis nach dieser Darstellung erweckt werde.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Nichts-zustande-Bringen tritt im Traum nicht immer als Sensation, sondern auch einfach als Stück des Trauminhalts auf. Ich halte einen solchen Fall für besonders geeignet, uns über die Bedeutung dieses Traumrequisits aufzuklären. Ich werde verkürzt einen Traum mitteilen, in dem ich der Unredlichkeit beschuldigt erscheine. </w:t>
      </w:r>
      <w:r w:rsidRPr="00A06A59">
        <w:rPr>
          <w:rFonts w:ascii="Garamond" w:hAnsi="Garamond" w:cs="Arial"/>
          <w:i/>
          <w:iCs/>
          <w:color w:val="000000"/>
          <w:lang w:val="en-GB"/>
        </w:rPr>
        <w:t>Die Örtlichkeit ist ein Gemenge aus einer Privatheilanstalt und mehreren anderen Lokalen. Ein Diener erscheint, um mich zu einer Untersuchung zu rufen. Im Traum weiß ich, daß etwas vermißt wird und daß die Untersuchung wegen des Verdachts erfolgt, daß ich mir das Verlorene angeeignet.</w:t>
      </w:r>
      <w:r w:rsidRPr="00A06A59">
        <w:rPr>
          <w:rFonts w:ascii="Garamond" w:hAnsi="Garamond" w:cs="Arial"/>
          <w:color w:val="000000"/>
          <w:lang w:val="en-GB"/>
        </w:rPr>
        <w:t xml:space="preserve"> Die Analyse zeigt, daß Untersuchung zweideutig zu nehmen ist und ärztliche Untersuchung mit einschließt. </w:t>
      </w:r>
      <w:r w:rsidRPr="00A06A59">
        <w:rPr>
          <w:rFonts w:ascii="Garamond" w:hAnsi="Garamond" w:cs="Arial"/>
          <w:i/>
          <w:iCs/>
          <w:color w:val="000000"/>
          <w:lang w:val="en-GB"/>
        </w:rPr>
        <w:t>Im Bewußtsein meiner Unschuld und meiner Konsiliarfunktion in diesem Hause gehe ich ruhig mit dem Diener. An einer Türe empfängt uns ein anderer Diener und sagt, auf mich deutend: Den haben Sie mitgebracht, der ist ja ein anständiger Mensch. Ich gehe dann ohne Diener in einen großen Saal, in dem Maschinen stehen, der mich an ein Inferno mit seinen höllischen Strafaufgaben erinnert. An einem Apparat sehe ich einen Kollegen eingespannt, der allen Grund hätte, sich um mich zu bekümmern; er beachtet mich aber nicht. Es heißt dann, daß ich jetzt gehen kann. Da finde ich meinen Hut nicht und kann doch nicht gehen.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offenbar die Wunscherfüllung des Traums, daß ich als ehrlicher Mann anerkannt werde und gehen darf; in den Traumgedanken muß also allerlei Material vorhanden sein, das den Widerspruch dagegen enthält. Daß ich gehen darf, ist das Zeichen meiner Absolution; wenn also der Traum am Ende ein Ereignis bringt, das mich im Gehen aufhält, so liegt es wohl nahe zu schließen, daß durch diesen Zug das unterdrückte Material des Widerspruchs sich zur Geltung bringt. Daß ich den Hut nicht finde, bedeutet also: Du bist doch kein ehrlicher Mensch. Das Nicht-zustande-Bringen des Traums ist ein </w:t>
      </w:r>
      <w:r w:rsidRPr="00A06A59">
        <w:rPr>
          <w:rFonts w:ascii="Garamond" w:hAnsi="Garamond" w:cs="Arial"/>
          <w:i/>
          <w:iCs/>
          <w:color w:val="000000"/>
          <w:lang w:val="en-GB"/>
        </w:rPr>
        <w:t>Ausdruck des Widerspruches</w:t>
      </w:r>
      <w:r w:rsidRPr="00A06A59">
        <w:rPr>
          <w:rFonts w:ascii="Garamond" w:hAnsi="Garamond" w:cs="Arial"/>
          <w:color w:val="000000"/>
          <w:lang w:val="en-GB"/>
        </w:rPr>
        <w:t xml:space="preserve">, ein » </w:t>
      </w:r>
      <w:r w:rsidRPr="00A06A59">
        <w:rPr>
          <w:rFonts w:ascii="Garamond" w:hAnsi="Garamond" w:cs="Arial"/>
          <w:i/>
          <w:iCs/>
          <w:color w:val="000000"/>
          <w:lang w:val="en-GB"/>
        </w:rPr>
        <w:t>Nein</w:t>
      </w:r>
      <w:r w:rsidRPr="00A06A59">
        <w:rPr>
          <w:rFonts w:ascii="Garamond" w:hAnsi="Garamond" w:cs="Arial"/>
          <w:color w:val="000000"/>
          <w:lang w:val="en-GB"/>
        </w:rPr>
        <w:t xml:space="preserve">«, wonach also die frühere Behauptung zu korrigieren ist, daß der Traum das Nein nicht auszudrücken vermag </w:t>
      </w:r>
      <w:hyperlink r:id="rId14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Eine Beziehung zu einem Kindheitserlebnis ergibt sich in der vollständigen Analyse durch folgende Vermittlung: – Der Mohr hat seine Schuldigkeit getan, der Mohr </w:t>
        </w:r>
        <w:r w:rsidRPr="00A06A59">
          <w:rPr>
            <w:rStyle w:val="innerfusslink3"/>
            <w:rFonts w:ascii="Garamond" w:hAnsi="Garamond" w:cs="Arial"/>
            <w:b/>
            <w:bCs/>
            <w:i/>
            <w:iCs/>
            <w:lang w:val="en-GB"/>
          </w:rPr>
          <w:t>kann gehen</w:t>
        </w:r>
        <w:r w:rsidRPr="00A06A59">
          <w:rPr>
            <w:rStyle w:val="innerfusslink3"/>
            <w:rFonts w:ascii="Garamond" w:hAnsi="Garamond" w:cs="Arial"/>
            <w:b/>
            <w:bCs/>
            <w:lang w:val="en-GB"/>
          </w:rPr>
          <w:t xml:space="preserve">. Und dann die Scherzfrage: Wie alt ist der Mohr, wenn er seine Schuldigkeit getan hat? Ein Jahr, dann kann er gehen. (Ich soll so viel wirres schwarzes Haar mit zur Welt gebracht haben, daß mich die junge Mutter für einen kleinen Mohren erklärte.) Daß ich den Hut nicht finde, ist ein mehrsinnig verwertetes Tageserlebnis. Unser im Aufbewahren geniales Stubenmädchen hatte ihn versteckt. – Auch die Ablehnung trauriger Todesgedanken verbirgt sich hinter diesem Traumende: Ich habe meine Schuldigkeit noch lange nicht getan; ich darf noch nicht gehen. – Geburt und Tod wie in dem kurz vorher erfolgten Traume von </w:t>
        </w:r>
        <w:r w:rsidRPr="00A06A59">
          <w:rPr>
            <w:rStyle w:val="innerfusslink3"/>
            <w:rFonts w:ascii="Garamond" w:hAnsi="Garamond" w:cs="Arial"/>
            <w:b/>
            <w:bCs/>
            <w:i/>
            <w:iCs/>
            <w:lang w:val="en-GB"/>
          </w:rPr>
          <w:t>Goethe</w:t>
        </w:r>
        <w:r w:rsidRPr="00A06A59">
          <w:rPr>
            <w:rStyle w:val="innerfusslink3"/>
            <w:rFonts w:ascii="Garamond" w:hAnsi="Garamond" w:cs="Arial"/>
            <w:b/>
            <w:bCs/>
            <w:lang w:val="en-GB"/>
          </w:rPr>
          <w:t xml:space="preserve"> und dem Paralytiker (s. u.).</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In anderen Träumen, welche das Nicht-zustande-Kommen der Bewegung nicht bloß als Situation, sondern als Sensation enthalten, ist derselbe Widerspruch durch die Sensation der Bewegungshemmung kräftiger ausgedrückt, als ein Wille, dem ein Gegenwille sich widersetzt. Die Sensation der Bewegungshemmung stellt also einen </w:t>
      </w:r>
      <w:r w:rsidRPr="00A06A59">
        <w:rPr>
          <w:rFonts w:ascii="Garamond" w:hAnsi="Garamond" w:cs="Arial"/>
          <w:i/>
          <w:iCs/>
          <w:color w:val="000000"/>
          <w:lang w:val="en-GB"/>
        </w:rPr>
        <w:t>Willenskonflikt</w:t>
      </w:r>
      <w:r w:rsidRPr="00A06A59">
        <w:rPr>
          <w:rFonts w:ascii="Garamond" w:hAnsi="Garamond" w:cs="Arial"/>
          <w:color w:val="000000"/>
          <w:lang w:val="en-GB"/>
        </w:rPr>
        <w:t xml:space="preserve"> dar. Wir werden später hören, daß gerade die motorische Lähmung im Schlaf zu den fundamentalen Bedingungen des psychischen Vorgangs während des Träumens gehört. Der auf die motorischen Bahnen übertragene Impuls ist nun nichts anderes als der Wille, und daß wir sicher sind, im Schlaf diesen Impuls als gehemmt zu empfinden, macht den ganzen Vorgang so überaus geeignet zur Darstellung des </w:t>
      </w:r>
      <w:r w:rsidRPr="00A06A59">
        <w:rPr>
          <w:rFonts w:ascii="Garamond" w:hAnsi="Garamond" w:cs="Arial"/>
          <w:i/>
          <w:iCs/>
          <w:color w:val="000000"/>
          <w:lang w:val="en-GB"/>
        </w:rPr>
        <w:t>Wollens</w:t>
      </w:r>
      <w:r w:rsidRPr="00A06A59">
        <w:rPr>
          <w:rFonts w:ascii="Garamond" w:hAnsi="Garamond" w:cs="Arial"/>
          <w:color w:val="000000"/>
          <w:lang w:val="en-GB"/>
        </w:rPr>
        <w:t xml:space="preserve"> und des » </w:t>
      </w:r>
      <w:r w:rsidRPr="00A06A59">
        <w:rPr>
          <w:rFonts w:ascii="Garamond" w:hAnsi="Garamond" w:cs="Arial"/>
          <w:i/>
          <w:iCs/>
          <w:color w:val="000000"/>
          <w:lang w:val="en-GB"/>
        </w:rPr>
        <w:t>Nein</w:t>
      </w:r>
      <w:r w:rsidRPr="00A06A59">
        <w:rPr>
          <w:rFonts w:ascii="Garamond" w:hAnsi="Garamond" w:cs="Arial"/>
          <w:color w:val="000000"/>
          <w:lang w:val="en-GB"/>
        </w:rPr>
        <w:t xml:space="preserve">«, das sich ihm entgegensetzt. Nach meiner Erklärung der Angst begreift es sich auch leicht, daß die Sensation der Willenshemmung der Angst so nahesteht und sich im Traume so oft mit ihr verbindet. Die Angst ist ein libidinöser Impuls, der vom Unbewußten ausgeht und vom Vorbewußten gehemmt wird </w:t>
      </w:r>
      <w:hyperlink r:id="rId14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Dieser Satz hält neueren Einsichten nicht mehr stand.</w:t>
        </w:r>
      </w:hyperlink>
      <w:r w:rsidRPr="00A06A59">
        <w:rPr>
          <w:rFonts w:ascii="Garamond" w:hAnsi="Garamond" w:cs="Arial"/>
          <w:color w:val="000000"/>
          <w:lang w:val="en-GB"/>
        </w:rPr>
        <w:t>. Wo also im Traume die Sensation der Hemmung mit Angst verbunden ist, da muß es sich um ein Wollen handeln, das einmal fähig war, Libido zu entwickeln, um eine sexuelle Regung.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Was die häufig während eines Traums auftauchende Urteilsäußerung: »Das ist ja nur ein Traum«, bedeute und welcher psychischen Macht sie zuzuschreiben sei, werde ich an anderer Stelle (s. unten) erörtern. Ich nehme hier vorweg, daß sie zur Entwertung des Geträumten dienen soll. Das in der Nähe liegende interessante Problem, was dadurch ausgedrückt wird, wenn ein gewisser Inhalt im Traum selbst als »geträumt« bezeichnet wird, das Rätsel des »Traumes im Traume«, hat W. </w:t>
      </w:r>
      <w:r w:rsidRPr="00A06A59">
        <w:rPr>
          <w:rFonts w:ascii="Garamond" w:hAnsi="Garamond" w:cs="Arial"/>
          <w:i/>
          <w:iCs/>
          <w:color w:val="000000"/>
          <w:lang w:val="en-GB"/>
        </w:rPr>
        <w:t>Stekel</w:t>
      </w:r>
      <w:r w:rsidRPr="00A06A59">
        <w:rPr>
          <w:rFonts w:ascii="Garamond" w:hAnsi="Garamond" w:cs="Arial"/>
          <w:color w:val="000000"/>
          <w:lang w:val="en-GB"/>
        </w:rPr>
        <w:t xml:space="preserve"> durch die Analyse einiger überzeugender Beispiele in ähnlichem Sinne gelöst. Das »Geträumte« des Traumes soll wiederum entwertet, seiner Realität beraubt werden; was nach dem Erwachen aus dem »Traum im Traume« weiter geträumt wird, das will der Traumwunsch an die Stelle der ausgelöschten Realität setzen. Man darf also annehmen, daß das » </w:t>
      </w:r>
      <w:r w:rsidRPr="00A06A59">
        <w:rPr>
          <w:rFonts w:ascii="Garamond" w:hAnsi="Garamond" w:cs="Arial"/>
          <w:i/>
          <w:iCs/>
          <w:color w:val="000000"/>
          <w:lang w:val="en-GB"/>
        </w:rPr>
        <w:t>Geträumte</w:t>
      </w:r>
      <w:r w:rsidRPr="00A06A59">
        <w:rPr>
          <w:rFonts w:ascii="Garamond" w:hAnsi="Garamond" w:cs="Arial"/>
          <w:color w:val="000000"/>
          <w:lang w:val="en-GB"/>
        </w:rPr>
        <w:t xml:space="preserve">« die Darstellung der Realität, die wirkliche Erinnerung, der fortsetzende Traum im Gegenteil die Darstellung des bloß vom Träumer Gewünschten enthält. Der Einschluß eines gewissen Inhalts in einen »Traum im Traume« ist also gleichzusetzen dem Wunsche, daß das so als Traum Bezeichnete nicht hätte geschehen sollen. Mit anderen Worten: wenn eine bestimmte Begebenheit von der Traumarbeit selbst in einen Traum gesetzt wird, so bedeutet dies die entschiedenste Bestätigung der Realität dieser Begebenheit, die stärkste </w:t>
      </w:r>
      <w:r w:rsidRPr="00A06A59">
        <w:rPr>
          <w:rFonts w:ascii="Garamond" w:hAnsi="Garamond" w:cs="Arial"/>
          <w:i/>
          <w:iCs/>
          <w:color w:val="000000"/>
          <w:lang w:val="en-GB"/>
        </w:rPr>
        <w:t>Bejahung</w:t>
      </w:r>
      <w:r w:rsidRPr="00A06A59">
        <w:rPr>
          <w:rFonts w:ascii="Garamond" w:hAnsi="Garamond" w:cs="Arial"/>
          <w:color w:val="000000"/>
          <w:lang w:val="en-GB"/>
        </w:rPr>
        <w:t xml:space="preserve"> derselben. Die Traumarbeit verwendet das Träumen selbst als eine Form der Ablehnung und bezeugt damit die Einsicht, daß der Traum eine Wunscherfüllung ist.</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D. Di</w:t>
        </w:r>
        <w:bookmarkStart w:id="74" w:name="VID"/>
        <w:bookmarkEnd w:id="74"/>
        <w:r w:rsidRPr="00A06A59">
          <w:rPr>
            <w:rStyle w:val="Lienhypertexte"/>
            <w:rFonts w:ascii="Garamond" w:hAnsi="Garamond" w:cs="Arial"/>
            <w:b/>
            <w:bCs/>
            <w:lang w:val="en-GB"/>
          </w:rPr>
          <w:t>e Rücksicht auf Darstellbarkeit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haben es bisher mit der Untersuchung zu tun gehabt, wie der Traum die Relationen zwischen den Traumgedanken darstellt, griffen dabei aber mehrfach auf das weitere Thema zurück, welche Veränderung das Traummaterial überhaupt für die Zwecke der Traumbildung erfährt. Wir wissen nun, daß das Traummaterial, seiner Relationen zum guten Teile entblößt, einer Kompression unterliegt, während gleichzeitig Intensitätsverschiebungen zwischen seinen Elementen eine psychische Umwertung dieses Materials erzwingen. Die Verschiebungen, die wir berücksichtigt haben, erwiesen sich als Ersetzungen einer bestimmten Vorstellung durch eine andere ihr in der Assoziation irgendwie nahestehende, und sie wurden der Verdichtung dienstbar gemacht, indem auf solche Weise anstatt zweier Elemente ein mittleres Gemeinsames zwischen ihnen zur Aufnahme in den Traum gelangte. Von einer anderen Art der Verschiebung haben wir noch keine Erwähnung getan. Aus den Analysen erfährt man aber, daß eine solche besteht und daß sie sich in einer </w:t>
      </w:r>
      <w:r w:rsidRPr="00A06A59">
        <w:rPr>
          <w:rFonts w:ascii="Garamond" w:hAnsi="Garamond" w:cs="Arial"/>
          <w:i/>
          <w:iCs/>
          <w:color w:val="000000"/>
          <w:lang w:val="en-GB"/>
        </w:rPr>
        <w:t>Vertauschung</w:t>
      </w:r>
      <w:r w:rsidRPr="00A06A59">
        <w:rPr>
          <w:rFonts w:ascii="Garamond" w:hAnsi="Garamond" w:cs="Arial"/>
          <w:color w:val="000000"/>
          <w:lang w:val="en-GB"/>
        </w:rPr>
        <w:t xml:space="preserve"> des </w:t>
      </w:r>
      <w:r w:rsidRPr="00A06A59">
        <w:rPr>
          <w:rFonts w:ascii="Garamond" w:hAnsi="Garamond" w:cs="Arial"/>
          <w:i/>
          <w:iCs/>
          <w:color w:val="000000"/>
          <w:lang w:val="en-GB"/>
        </w:rPr>
        <w:t>sprachlichen Ausdruckes</w:t>
      </w:r>
      <w:r w:rsidRPr="00A06A59">
        <w:rPr>
          <w:rFonts w:ascii="Garamond" w:hAnsi="Garamond" w:cs="Arial"/>
          <w:color w:val="000000"/>
          <w:lang w:val="en-GB"/>
        </w:rPr>
        <w:t xml:space="preserve"> für den betreffenden Gedanken kundgibt. Es handelt sich beide Male um Verschiebung längs einer Assoziationskette, aber der gleiche Vorgang findet in verschiedenen psychischen Sphären statt, und das Ergebnis dieser Verschiebung ist das eine Mal, daß ein Element durch ein anderes substituiert wird, während im anderen Falle ein Element seine </w:t>
      </w:r>
      <w:r w:rsidRPr="00A06A59">
        <w:rPr>
          <w:rFonts w:ascii="Garamond" w:hAnsi="Garamond" w:cs="Arial"/>
          <w:i/>
          <w:iCs/>
          <w:color w:val="000000"/>
          <w:lang w:val="en-GB"/>
        </w:rPr>
        <w:t>Wortfassung</w:t>
      </w:r>
      <w:r w:rsidRPr="00A06A59">
        <w:rPr>
          <w:rFonts w:ascii="Garamond" w:hAnsi="Garamond" w:cs="Arial"/>
          <w:color w:val="000000"/>
          <w:lang w:val="en-GB"/>
        </w:rPr>
        <w:t xml:space="preserve"> gegen eine andere vertauscht.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zweite Art der bei der Traumbildung vorkommenden Verschiebungen hat nicht nur großes theoretisches Interesse, sondern ist auch besonders gut geeignet, den Anschein phantastischer Absurdität, mit dem der Traum sich verkleidet, aufzuklären. Die Verschiebung erfolgt in der Regel nach der Richtung, daß ein farbloser und abstrakter Ausdruck des Traumgedankens gegen einen bildlichen und konkreten eingetauscht wird. Der Vorteil, und somit die Absicht dieses Ersatzes, liegt auf der Hand. Das Bildliche ist für den Traum </w:t>
      </w:r>
      <w:r w:rsidRPr="00A06A59">
        <w:rPr>
          <w:rFonts w:ascii="Garamond" w:hAnsi="Garamond" w:cs="Arial"/>
          <w:i/>
          <w:iCs/>
          <w:color w:val="000000"/>
          <w:lang w:val="en-GB"/>
        </w:rPr>
        <w:t>darstellungsfähig</w:t>
      </w:r>
      <w:r w:rsidRPr="00A06A59">
        <w:rPr>
          <w:rFonts w:ascii="Garamond" w:hAnsi="Garamond" w:cs="Arial"/>
          <w:color w:val="000000"/>
          <w:lang w:val="en-GB"/>
        </w:rPr>
        <w:t>, läßt sich in eine Situation einfügen, wo der abstrakte Ausdruck der Traumdarstellung ähnliche Schwierigkeiten bereiten würde wie etwa ein politischer Leitartikel einer Zeitung der Illustration. Aber nicht nur die Darstellbarkeit, auch die Interessen der Verdichtung und der Zensur können bei diesem Tausche gewinnen. Ist erst der abstrakt ausgedrückt unbrauchbare Traumgedanke in eine bildliche Sprache umgeformt, so ergeben sich zwischen diesem neuen Ausdruck und dem übrigen Traummaterial leichter als vorher die Berührungen und Identitäten, welcher die Traumarbeit bedarf und die sie schafft, wo sie nicht vorhanden sind, denn die konkreten Termini sind in jeder Sprache ihrer Entwicklung zufolge anknüpfungsreicher als die begrifflichen. Man kann sich vorstellen, daß ein gutes Stück der Zwischenarbeit bei der Traumbildung, welche die gesonderten Traumgedanken auf möglichst knappen und einheitlichen Ausdruck im Traume zu reduzieren sucht, auf solche Weise, durch passende sprachliche Umformung der einzelnen Gedanken vor sich geht. Der eine Gedanke, dessen Ausdruck etwa aus anderen Gründen feststeht, wird dabei verteilend und auswählend auf die Ausdrucksmöglichkeiten des anderen einwirken, und dies vielleicht von vorneherein, ähnlich wie bei der Arbeit des Dichters. Wenn ein Gedicht in Reimen entstehen soll, so ist die zweite Reimzeile an zwei Bedingungen gebunden; sie muß den ihr zukommenden Sinn ausdrücken, und ihr Ausdruck muß den Gleichklang mit der ersten Reimzeile finden. Die besten Gedichte sind wohl die, wo man die Absicht, den Reim zu finden, nicht merkt, sondern wo beide Gedanken von vornherein durch gegenseitige Induzierung den sprachlichen Ausdruck gewählt haben, der mit leichter Nachbearbeitung den Gleichklang entstehen läßt.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einigen Fällen dient die Ausdrucksvertauschung der Traumverdichtung noch auf kürzerem Wege, indem sie eine Wortfügung finden läßt, welche als zweideutig mehr als einem der Traumgedanken Ausdruck gestattet. Das ganze Gebiet des Wortwitzes wird so der Traumarbeit dienstbar gemacht. Man darf sich über die Rolle, welche dem Worte bei der Traumbildung zufällt, nicht wundern. Das Wort, als der Knotenpunkt mehrfacher Vorstellungen, ist sozusagen eine prädestinierte Vieldeutigkeit, und die Neurosen (Zwangsvorstellungen, Phobien) benützen die Vorteile, die das Wort so zur Verdichtung und Verkleidung bietet, nicht minder ungescheut wie der Traum </w:t>
      </w:r>
      <w:hyperlink r:id="rId14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i/>
            <w:iCs/>
            <w:lang w:val="en-GB"/>
          </w:rPr>
          <w:t>Der Witz und seine Beziehung zum Unbewußten</w:t>
        </w:r>
        <w:r w:rsidRPr="00A06A59">
          <w:rPr>
            <w:rStyle w:val="innerfusslink3"/>
            <w:rFonts w:ascii="Garamond" w:hAnsi="Garamond" w:cs="Arial"/>
            <w:b/>
            <w:bCs/>
            <w:lang w:val="en-GB"/>
          </w:rPr>
          <w:t>, 1905 (Ges. Schriften Bd. IX), und die »Wortbrücken« in den Lösungen neurotischer Symptome.</w:t>
        </w:r>
      </w:hyperlink>
      <w:r w:rsidRPr="00A06A59">
        <w:rPr>
          <w:rFonts w:ascii="Garamond" w:hAnsi="Garamond" w:cs="Arial"/>
          <w:color w:val="000000"/>
          <w:lang w:val="en-GB"/>
        </w:rPr>
        <w:t>. Daß die Traumentstellung bei der Verschiebung des Ausdrucks mitprofitiert, ist leicht zu zeigen. Es ist ja irreführend, wenn ein zweideutiges Wort anstatt zweier eindeutiger gesetzt wird, und der Ersatz der alltäglich nüchternen Ausdrucksweise durch eine bildliche hält unser Verständnis auf, besonders da der Traum niemals aussagt, ob die von ihm gebrachten Elemente wörtlich oder im übertragenen Sinne zu deuten sind, direkt oder durch Vermittlung eingeschobener Redensarten auf das Traummaterial bezogen werden sollen. Es ist im allgemeinen bei der Deutung eines jeden Traumelements zweifelhaft, ob 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 im positiven oder negativen Sinne genommen werden soll (Gegensatzrelation);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b. historisch zu deuten ist (als Reminiszenz);</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c. symbolisch, oder ob</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d. seine Verwertung vom Wortlaute ausgehen soll.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Trotz dieser Vielseitigkeit darf man sagen, daß die Darstellung der Traumarbeit, die </w:t>
      </w:r>
      <w:r w:rsidRPr="00A06A59">
        <w:rPr>
          <w:rFonts w:ascii="Garamond" w:hAnsi="Garamond" w:cs="Arial"/>
          <w:i/>
          <w:iCs/>
          <w:color w:val="000000"/>
          <w:lang w:val="en-GB"/>
        </w:rPr>
        <w:t>ja nicht beabsichtigt, verstanden</w:t>
      </w:r>
      <w:r w:rsidRPr="00A06A59">
        <w:rPr>
          <w:rFonts w:ascii="Garamond" w:hAnsi="Garamond" w:cs="Arial"/>
          <w:color w:val="000000"/>
          <w:lang w:val="en-GB"/>
        </w:rPr>
        <w:t xml:space="preserve"> zu werden, dem Übersetzer keine größeren Schwierigkeiten zumutet als etwa die alten Hieroglyphenschreiber ihren Lesern.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Beispiele von Darstellungen im Traume, die nur durch Zweideutigkeit des Ausdrucks zusammengehalten werden, habe ich bereits mehrere angeführt (»Der Mund geht gut auf« im Injektionstraum; »Ich kann doch nicht gehen« im letzten Traum, S. 231 usw.). Ich werde nun einen Traum mitteilen, in dessen Analyse die Verbildlichung des abstrakten Gedankens eine größere Rolle spielt. Der Unterschied solcher Traumdeutung von der Deutung mittels Symbolik läßt sich noch immer scharf bestimmen; bei der symbolischen Traumdeutung wird der Schlüssel der Symbolisierung vom Traumdeuter willkürlich gewählt; in unseren Fällen von sprachlicher Verkleidung sind diese Schlüssel allgemein bekannt und durch feststehende Sprachübungen gegeben. Verfügt man über den richtigen Einfall zur rechten Gelegenheit, so kann man Träume dieser Art auch unabhängig von den Angaben des Träumers ganz oder stückweise auflösen.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mir befreundete Dame träumt: </w:t>
      </w:r>
      <w:r w:rsidRPr="00A06A59">
        <w:rPr>
          <w:rFonts w:ascii="Garamond" w:hAnsi="Garamond" w:cs="Arial"/>
          <w:i/>
          <w:iCs/>
          <w:color w:val="000000"/>
          <w:lang w:val="en-GB"/>
        </w:rPr>
        <w:t>Sie befindet sich in der Oper. Es ist eine Wagner-Vorstellung, die bis ¾8 Uhr morgens gedauert hat. Im Parkett und Parterre stehen Tische, an denen gespeist und getrunken wird. Ihr eben von der Hochzeitsreise heimgekehrter Vetter sitzt an einem solchen Tische mit seiner jungen Frau; neben ihnen ein Aristokrat. Von diesem heißt es, die junge Frau habe sich ihn von der Hochzeitsreise mitgebracht, ganz offen, etwa wie man einen Hut von derHochzeitsreise mitbringt. Inmitten des Parketts befindet sich ein hoher Turm, der oben eine Plattform trägt, die von einem eisernen Gitter umgeben ist. Dort hoch oben ist der Dirigent mit den Zügen Hans Richters; er läuft beständig hinter seinem Gitter herum, schwitzt furchtbar und leitet von diesem Posten aus das unten um die Basis des Turms angeordnete Orchester. Sie selbst sitzt mit einer</w:t>
      </w:r>
      <w:r w:rsidRPr="00A06A59">
        <w:rPr>
          <w:rFonts w:ascii="Garamond" w:hAnsi="Garamond" w:cs="Arial"/>
          <w:color w:val="000000"/>
          <w:lang w:val="en-GB"/>
        </w:rPr>
        <w:t xml:space="preserve"> (mir bekannten) </w:t>
      </w:r>
      <w:r w:rsidRPr="00A06A59">
        <w:rPr>
          <w:rFonts w:ascii="Garamond" w:hAnsi="Garamond" w:cs="Arial"/>
          <w:i/>
          <w:iCs/>
          <w:color w:val="000000"/>
          <w:lang w:val="en-GB"/>
        </w:rPr>
        <w:t>Freundin in einer Loge. Ihre jüngere Schwester will ihr aus dem Parkett ein großes Stück Kohle hinaufreichen mit der Motivierung, sie habe doch nicht gewußt, daß es so lange dauern werde, und müsse jetzt wohl erbärmlich frieren. (Etwa als ob die Logen während der langen Vorstellung geheizt werden müßten.)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ist wohl unsinnig genug, obwohl sonst gut auf eine Situation gebracht. Der Turm mitten im Parkett, von dem aus der Dirigent das Orchester leitet; vor allem aber die Kohle, die ihr die Schwester hinaufreicht! Ich habe von diesem Traume absichtlich keine Analyse verlangt; mit etwas Kenntnis von den persönlichen Beziehungen der Träumerin gelang es mir, Stücke von ihm selbständig zu deuten. Ich wußte, daß sie viel Sympathie für einen Musiker gehabt hatte, dessen Laufbahn vorzeitig durch Geisteskrankheit unterbrochen worden war. Ich entschloß mich also, den Turm im Parkett </w:t>
      </w:r>
      <w:r w:rsidRPr="00A06A59">
        <w:rPr>
          <w:rFonts w:ascii="Garamond" w:hAnsi="Garamond" w:cs="Arial"/>
          <w:i/>
          <w:iCs/>
          <w:color w:val="000000"/>
          <w:lang w:val="en-GB"/>
        </w:rPr>
        <w:t>wörtlich</w:t>
      </w:r>
      <w:r w:rsidRPr="00A06A59">
        <w:rPr>
          <w:rFonts w:ascii="Garamond" w:hAnsi="Garamond" w:cs="Arial"/>
          <w:color w:val="000000"/>
          <w:lang w:val="en-GB"/>
        </w:rPr>
        <w:t xml:space="preserve"> zu nehmen. Dann kam heraus, daß der Mann, den sie an Hans </w:t>
      </w:r>
      <w:r w:rsidRPr="00A06A59">
        <w:rPr>
          <w:rFonts w:ascii="Garamond" w:hAnsi="Garamond" w:cs="Arial"/>
          <w:i/>
          <w:iCs/>
          <w:color w:val="000000"/>
          <w:lang w:val="en-GB"/>
        </w:rPr>
        <w:t>Richters</w:t>
      </w:r>
      <w:r w:rsidRPr="00A06A59">
        <w:rPr>
          <w:rFonts w:ascii="Garamond" w:hAnsi="Garamond" w:cs="Arial"/>
          <w:color w:val="000000"/>
          <w:lang w:val="en-GB"/>
        </w:rPr>
        <w:t xml:space="preserve"> Stelle zu sehen gewünscht hätte, die übrigen Mitglieder des Orchesters </w:t>
      </w:r>
      <w:r w:rsidRPr="00A06A59">
        <w:rPr>
          <w:rFonts w:ascii="Garamond" w:hAnsi="Garamond" w:cs="Arial"/>
          <w:i/>
          <w:iCs/>
          <w:color w:val="000000"/>
          <w:lang w:val="en-GB"/>
        </w:rPr>
        <w:t>turmhoch</w:t>
      </w:r>
      <w:r w:rsidRPr="00A06A59">
        <w:rPr>
          <w:rFonts w:ascii="Garamond" w:hAnsi="Garamond" w:cs="Arial"/>
          <w:color w:val="000000"/>
          <w:lang w:val="en-GB"/>
        </w:rPr>
        <w:t xml:space="preserve"> überragt. Dieser Turm ist als ein </w:t>
      </w:r>
      <w:r w:rsidRPr="00A06A59">
        <w:rPr>
          <w:rFonts w:ascii="Garamond" w:hAnsi="Garamond" w:cs="Arial"/>
          <w:i/>
          <w:iCs/>
          <w:color w:val="000000"/>
          <w:lang w:val="en-GB"/>
        </w:rPr>
        <w:t>Mischgebilde durch Apposition</w:t>
      </w:r>
      <w:r w:rsidRPr="00A06A59">
        <w:rPr>
          <w:rFonts w:ascii="Garamond" w:hAnsi="Garamond" w:cs="Arial"/>
          <w:color w:val="000000"/>
          <w:lang w:val="en-GB"/>
        </w:rPr>
        <w:t xml:space="preserve"> zu bezeichnen; mit seinem Unterbau stellt er die Größe des Mannes dar, mit dem Gitter oben, hinter dem er wie ein Gefangener oder wie ein Tier im Käfig (Anspielung auf den Namen des Unglücklichen) </w:t>
      </w:r>
      <w:hyperlink r:id="rId15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i/>
            <w:iCs/>
            <w:lang w:val="en-GB"/>
          </w:rPr>
          <w:t>Hugo Wolf</w:t>
        </w:r>
        <w:r w:rsidRPr="00A06A59">
          <w:rPr>
            <w:rStyle w:val="innerfusslink3"/>
            <w:rFonts w:ascii="Garamond" w:hAnsi="Garamond" w:cs="Arial"/>
            <w:b/>
            <w:bCs/>
            <w:lang w:val="en-GB"/>
          </w:rPr>
          <w:t>.</w:t>
        </w:r>
      </w:hyperlink>
      <w:r w:rsidRPr="00A06A59">
        <w:rPr>
          <w:rFonts w:ascii="Garamond" w:hAnsi="Garamond" w:cs="Arial"/>
          <w:color w:val="000000"/>
          <w:lang w:val="en-GB"/>
        </w:rPr>
        <w:t xml:space="preserve"> herumläuft, das spätere Schicksal desselben. »Narrenturm« wäre etwa das Wort, in dem die beiden Gedanken hätten zusammentreffen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Nachdem so die Darstellungsweise des Traums aufgedeckt war, konnte man versuchen, die zweite scheinbare Absurdität, die mit den Kohlen, die ihr von der Schwester gereicht werden, mit demselben Schlüssel aufzulösen. »Kohle« mußte »heimliche Liebe« bedeuten.</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»Kein </w:t>
      </w:r>
      <w:r w:rsidRPr="00A06A59">
        <w:rPr>
          <w:rFonts w:ascii="Garamond" w:hAnsi="Garamond" w:cs="Arial"/>
          <w:i/>
          <w:iCs/>
          <w:color w:val="000000"/>
          <w:sz w:val="22"/>
          <w:szCs w:val="22"/>
          <w:lang w:val="en-GB"/>
        </w:rPr>
        <w:t>Feuer</w:t>
      </w:r>
      <w:r w:rsidRPr="00A06A59">
        <w:rPr>
          <w:rFonts w:ascii="Garamond" w:hAnsi="Garamond" w:cs="Arial"/>
          <w:color w:val="000000"/>
          <w:sz w:val="22"/>
          <w:szCs w:val="22"/>
          <w:lang w:val="en-GB"/>
        </w:rPr>
        <w:t xml:space="preserve">, keine </w:t>
      </w:r>
      <w:r w:rsidRPr="00A06A59">
        <w:rPr>
          <w:rFonts w:ascii="Garamond" w:hAnsi="Garamond" w:cs="Arial"/>
          <w:i/>
          <w:iCs/>
          <w:color w:val="000000"/>
          <w:sz w:val="22"/>
          <w:szCs w:val="22"/>
          <w:lang w:val="en-GB"/>
        </w:rPr>
        <w:t xml:space="preserve">Kohle </w:t>
      </w:r>
      <w:r w:rsidRPr="00A06A59">
        <w:rPr>
          <w:rFonts w:ascii="Garamond" w:hAnsi="Garamond" w:cs="Arial"/>
          <w:i/>
          <w:iCs/>
          <w:color w:val="000000"/>
          <w:sz w:val="22"/>
          <w:szCs w:val="22"/>
          <w:lang w:val="en-GB"/>
        </w:rPr>
        <w:br/>
      </w:r>
      <w:r w:rsidRPr="00A06A59">
        <w:rPr>
          <w:rFonts w:ascii="Garamond" w:hAnsi="Garamond" w:cs="Arial"/>
          <w:color w:val="000000"/>
          <w:sz w:val="22"/>
          <w:szCs w:val="22"/>
          <w:lang w:val="en-GB"/>
        </w:rPr>
        <w:t xml:space="preserve">kann brennen so heiß </w:t>
      </w:r>
      <w:r w:rsidRPr="00A06A59">
        <w:rPr>
          <w:rFonts w:ascii="Garamond" w:hAnsi="Garamond" w:cs="Arial"/>
          <w:color w:val="000000"/>
          <w:sz w:val="22"/>
          <w:szCs w:val="22"/>
          <w:lang w:val="en-GB"/>
        </w:rPr>
        <w:br/>
        <w:t xml:space="preserve">als wie </w:t>
      </w:r>
      <w:r w:rsidRPr="00A06A59">
        <w:rPr>
          <w:rFonts w:ascii="Garamond" w:hAnsi="Garamond" w:cs="Arial"/>
          <w:i/>
          <w:iCs/>
          <w:color w:val="000000"/>
          <w:sz w:val="22"/>
          <w:szCs w:val="22"/>
          <w:lang w:val="en-GB"/>
        </w:rPr>
        <w:t>heimliche Liebe</w:t>
      </w:r>
      <w:r w:rsidRPr="00A06A59">
        <w:rPr>
          <w:rFonts w:ascii="Garamond" w:hAnsi="Garamond" w:cs="Arial"/>
          <w:color w:val="000000"/>
          <w:sz w:val="22"/>
          <w:szCs w:val="22"/>
          <w:lang w:val="en-GB"/>
        </w:rPr>
        <w:t xml:space="preserve">, </w:t>
      </w:r>
      <w:r w:rsidRPr="00A06A59">
        <w:rPr>
          <w:rFonts w:ascii="Garamond" w:hAnsi="Garamond" w:cs="Arial"/>
          <w:color w:val="000000"/>
          <w:sz w:val="22"/>
          <w:szCs w:val="22"/>
          <w:lang w:val="en-GB"/>
        </w:rPr>
        <w:br/>
        <w:t>von der niemand was weiß.«</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Sie selbst und ihre Freundin waren </w:t>
      </w:r>
      <w:r w:rsidRPr="00A06A59">
        <w:rPr>
          <w:rFonts w:ascii="Garamond" w:hAnsi="Garamond" w:cs="Arial"/>
          <w:i/>
          <w:iCs/>
          <w:color w:val="000000"/>
          <w:lang w:val="en-GB"/>
        </w:rPr>
        <w:t>sitzen geblieben</w:t>
      </w:r>
      <w:r w:rsidRPr="00A06A59">
        <w:rPr>
          <w:rFonts w:ascii="Garamond" w:hAnsi="Garamond" w:cs="Arial"/>
          <w:color w:val="000000"/>
          <w:lang w:val="en-GB"/>
        </w:rPr>
        <w:t xml:space="preserve">; die jüngere Schwester, die noch Aussicht hat zu heiraten, reicht ihr die Kohle hinauf, »weil sie doch nicht gewußt habe, </w:t>
      </w:r>
      <w:r w:rsidRPr="00A06A59">
        <w:rPr>
          <w:rFonts w:ascii="Garamond" w:hAnsi="Garamond" w:cs="Arial"/>
          <w:i/>
          <w:iCs/>
          <w:color w:val="000000"/>
          <w:lang w:val="en-GB"/>
        </w:rPr>
        <w:t>daß es so lange dauern wird</w:t>
      </w:r>
      <w:r w:rsidRPr="00A06A59">
        <w:rPr>
          <w:rFonts w:ascii="Garamond" w:hAnsi="Garamond" w:cs="Arial"/>
          <w:color w:val="000000"/>
          <w:lang w:val="en-GB"/>
        </w:rPr>
        <w:t xml:space="preserve">«. Was so lange dauern wird, ist im Traume nicht gesagt; in einer Erzählung würden wir ergänzen: die Vorstellung; im Traume dürfen wir den Satz für sich ins Auge fassen, ihn für zweideutig erklären und hinzufügen, »bis sie heiratet«. Die Deutung »heimliche Liebe« wird dann unterstützt durch die Erwähnung des Vetters, der mit seiner Frau im Parkett sitzt, und durch die dieser letzteren angedichtete </w:t>
      </w:r>
      <w:r w:rsidRPr="00A06A59">
        <w:rPr>
          <w:rFonts w:ascii="Garamond" w:hAnsi="Garamond" w:cs="Arial"/>
          <w:i/>
          <w:iCs/>
          <w:color w:val="000000"/>
          <w:lang w:val="en-GB"/>
        </w:rPr>
        <w:t>offene Liebschaft</w:t>
      </w:r>
      <w:r w:rsidRPr="00A06A59">
        <w:rPr>
          <w:rFonts w:ascii="Garamond" w:hAnsi="Garamond" w:cs="Arial"/>
          <w:color w:val="000000"/>
          <w:lang w:val="en-GB"/>
        </w:rPr>
        <w:t xml:space="preserve">. Die Gegensätze zwischen heimlicher und offener Liebe, zwischen ihrem Feuer und der Kälte der jungen Frau beherrschen den Traum. Hier wie dort übrigens ein » </w:t>
      </w:r>
      <w:r w:rsidRPr="00A06A59">
        <w:rPr>
          <w:rFonts w:ascii="Garamond" w:hAnsi="Garamond" w:cs="Arial"/>
          <w:i/>
          <w:iCs/>
          <w:color w:val="000000"/>
          <w:lang w:val="en-GB"/>
        </w:rPr>
        <w:t>Hochstehender</w:t>
      </w:r>
      <w:r w:rsidRPr="00A06A59">
        <w:rPr>
          <w:rFonts w:ascii="Garamond" w:hAnsi="Garamond" w:cs="Arial"/>
          <w:color w:val="000000"/>
          <w:lang w:val="en-GB"/>
        </w:rPr>
        <w:t>« als Mittelwort zwischen dem Aristokraten und dem zu großen Hoffnungen berechtigenden Musiker.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Mit den vorstehenden Erörterungen haben wir endlich ein drittes Moment aufgedeckt, dessen Anteil bei der Verwandlung der Traumgedanken in den Trauminhalt nicht gering anzuschlagen ist: </w:t>
      </w:r>
      <w:r w:rsidRPr="00A06A59">
        <w:rPr>
          <w:rFonts w:ascii="Garamond" w:hAnsi="Garamond" w:cs="Arial"/>
          <w:i/>
          <w:iCs/>
          <w:color w:val="000000"/>
          <w:lang w:val="en-GB"/>
        </w:rPr>
        <w:t>Die Rücksicht auf die Darstellbarkeit in dem eigentümlichen psychischen Material, dessen sich der Traum bedient</w:t>
      </w:r>
      <w:r w:rsidRPr="00A06A59">
        <w:rPr>
          <w:rFonts w:ascii="Garamond" w:hAnsi="Garamond" w:cs="Arial"/>
          <w:color w:val="000000"/>
          <w:lang w:val="en-GB"/>
        </w:rPr>
        <w:t xml:space="preserve">, also zumeist in visuellen Bildern. Unter den </w:t>
      </w:r>
      <w:r w:rsidRPr="00A06A59">
        <w:rPr>
          <w:rFonts w:ascii="Garamond" w:hAnsi="Garamond" w:cs="Arial"/>
          <w:color w:val="000000"/>
          <w:lang w:val="en-GB"/>
        </w:rPr>
        <w:lastRenderedPageBreak/>
        <w:t>verschiedenen Nebenanknüpfungen an die wesentlichen Traumgedanken wird diejenige bevorzugt werden, welche eine visuelle Darstellung erlaubt, und die Traumarbeit scheut nicht die Mühe, den spröden Gedanken etwa zuerst in eine andere sprachliche Form umzugießen, sei diese auch die ungewöhnlichere, wenn sie nur die Darstellung ermöglicht und so der psychologischen Bedrängnis des eingeklemmten Denkens ein Ende macht. Diese Umleerung des Gedankeninhalts in eine andere Form kann sich aber gleichzeitig in den Dienst der Verdichtungsarbeit stellen und Beziehungen zu einem anderen Gedanken schaffen, die sonst nicht vorhanden wären. Dieser andere Gedanke mag etwa selbst zum Zwecke des Entgegenkommens vorher seinen ursprünglichen Ausdruck verändert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Herbert </w:t>
      </w:r>
      <w:r w:rsidRPr="00A06A59">
        <w:rPr>
          <w:rFonts w:ascii="Garamond" w:hAnsi="Garamond" w:cs="Arial"/>
          <w:i/>
          <w:iCs/>
          <w:color w:val="000000"/>
          <w:lang w:val="en-GB"/>
        </w:rPr>
        <w:t>Silberer</w:t>
      </w:r>
      <w:hyperlink r:id="rId15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Jahrb. v. Bleuler-Freud I, 1909</w:t>
        </w:r>
      </w:hyperlink>
      <w:r w:rsidRPr="00A06A59">
        <w:rPr>
          <w:rFonts w:ascii="Garamond" w:hAnsi="Garamond" w:cs="Arial"/>
          <w:color w:val="000000"/>
          <w:lang w:val="en-GB"/>
        </w:rPr>
        <w:t xml:space="preserve"> hat einen guten Weg gezeigt, wie man die bei der Traumbildung vor sich gehende Umsetzung der Gedanken in Bilder direkt beobachten und somit dies eine Moment der Traumarbeit isoliert studieren kann. Wenn er sich im Zustande der Ermüdung und Schlaftrunkenheit eine Denkanstrengung auferlegte, so ereignete es sich ihm häufig, daß der Gedanke entschlüpfte und dafür ein Bild auftrat, in dem er nun den Ersatz des Gedankens erkennen konnte. </w:t>
      </w:r>
      <w:r w:rsidRPr="00A06A59">
        <w:rPr>
          <w:rFonts w:ascii="Garamond" w:hAnsi="Garamond" w:cs="Arial"/>
          <w:i/>
          <w:iCs/>
          <w:color w:val="000000"/>
          <w:lang w:val="en-GB"/>
        </w:rPr>
        <w:t>Silberer</w:t>
      </w:r>
      <w:r w:rsidRPr="00A06A59">
        <w:rPr>
          <w:rFonts w:ascii="Garamond" w:hAnsi="Garamond" w:cs="Arial"/>
          <w:color w:val="000000"/>
          <w:lang w:val="en-GB"/>
        </w:rPr>
        <w:t xml:space="preserve"> nennt diesen Ersatz nicht ganz zweckmäßig einen »autosymbolischen«. Ich gebe hier einige Beispiele aus der Arbeit von </w:t>
      </w:r>
      <w:r w:rsidRPr="00A06A59">
        <w:rPr>
          <w:rFonts w:ascii="Garamond" w:hAnsi="Garamond" w:cs="Arial"/>
          <w:i/>
          <w:iCs/>
          <w:color w:val="000000"/>
          <w:lang w:val="en-GB"/>
        </w:rPr>
        <w:t>Silberer</w:t>
      </w:r>
      <w:r w:rsidRPr="00A06A59">
        <w:rPr>
          <w:rFonts w:ascii="Garamond" w:hAnsi="Garamond" w:cs="Arial"/>
          <w:color w:val="000000"/>
          <w:lang w:val="en-GB"/>
        </w:rPr>
        <w:t xml:space="preserve"> wieder, auf welche ich wegen gewisser Eigenschaften der beobachteten Phänomene noch an anderer Stelle zurückkommen werde.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»Beispiel Nr. 1. Ich denke daran, daß ich vorhabe, in einem Aufsatze eine holprige Stelle auszubessern.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Symbol: Ich sehe mich ein Stück Holz glatthobeln.«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»Beispiel Nr. 5. Ich suche mir den Zweck gewisser metaphysischer Studien, die ich eben zu betreiben vorhabe, zu vergegenwärtigen. Dieser Zweck besteht darin, so denke ich mir, daß man sich auf der Suche nach den Daseinsgründen zu immer höheren Bewußtseinsformen oder Daseinsschichten durcharbeitet.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Symbol: Ich fahre mit einem langen Messer unter eine Torte, wie um ein Stück davon zu nehmen.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Deutung:</w:t>
      </w:r>
      <w:r w:rsidRPr="00A06A59">
        <w:rPr>
          <w:rFonts w:ascii="Garamond" w:hAnsi="Garamond" w:cs="Arial"/>
          <w:color w:val="000000"/>
          <w:lang w:val="en-GB"/>
        </w:rPr>
        <w:t xml:space="preserve"> Meine Bewegung mit dem Messer bedeutet das ›Durcharbeiten‹, von dem die Rede ist... Die Erklärung des Symbolgrundes ist die folgende: Es fällt mir bei Tisch hie und da das Zerschneiden und Vorlegen einer Torte zu, ein Geschäft, welches ich mit einem langen, biegsamen Messer verrichte, was einige Sorgfalt erheischt. Insbesondere ist das reinliche Herausheben der geschnittenen Tortenteile mit gewissen Schwierigkeiten verbunden; das Messer muß behutsam </w:t>
      </w:r>
      <w:r w:rsidRPr="00A06A59">
        <w:rPr>
          <w:rFonts w:ascii="Garamond" w:hAnsi="Garamond" w:cs="Arial"/>
          <w:i/>
          <w:iCs/>
          <w:color w:val="000000"/>
          <w:lang w:val="en-GB"/>
        </w:rPr>
        <w:t>unter</w:t>
      </w:r>
      <w:r w:rsidRPr="00A06A59">
        <w:rPr>
          <w:rFonts w:ascii="Garamond" w:hAnsi="Garamond" w:cs="Arial"/>
          <w:color w:val="000000"/>
          <w:lang w:val="en-GB"/>
        </w:rPr>
        <w:t xml:space="preserve"> die betreffenden Stücke geschoben werden (das langsame ›Durcharbeiten‹, um zu den Gründen zu gelangen). Es liegt aber noch mehr Symbolik in dem Bild. Die Torte des Symbols war nämlich eine Dobos-Torte, also eine Torte, bei welcher das schneidende Messer durch verschiedene </w:t>
      </w:r>
      <w:r w:rsidRPr="00A06A59">
        <w:rPr>
          <w:rFonts w:ascii="Garamond" w:hAnsi="Garamond" w:cs="Arial"/>
          <w:i/>
          <w:iCs/>
          <w:color w:val="000000"/>
          <w:lang w:val="en-GB"/>
        </w:rPr>
        <w:t>Schichten</w:t>
      </w:r>
      <w:r w:rsidRPr="00A06A59">
        <w:rPr>
          <w:rFonts w:ascii="Garamond" w:hAnsi="Garamond" w:cs="Arial"/>
          <w:color w:val="000000"/>
          <w:lang w:val="en-GB"/>
        </w:rPr>
        <w:t xml:space="preserve"> zu dringen hat (die Schichten des Bewußtseins und Denkens).«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»Beispiel Nr. 9.</w:t>
      </w:r>
      <w:r w:rsidRPr="00A06A59">
        <w:rPr>
          <w:rFonts w:ascii="Garamond" w:hAnsi="Garamond" w:cs="Arial"/>
          <w:color w:val="000000"/>
          <w:lang w:val="en-GB"/>
        </w:rPr>
        <w:t xml:space="preserve"> Ich verliere in einem Gedankengang den Faden. Ich gebe mir Mühe, ihn wiederzufinden, muß aber erkennen, daß mir der Anknüpfungspunkt vollends entfallen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Symbol:</w:t>
      </w:r>
      <w:r w:rsidRPr="00A06A59">
        <w:rPr>
          <w:rFonts w:ascii="Garamond" w:hAnsi="Garamond" w:cs="Arial"/>
          <w:color w:val="000000"/>
          <w:lang w:val="en-GB"/>
        </w:rPr>
        <w:t xml:space="preserve"> Ein Stück Schriftsatz, dessen letzte Zeilen herausgefallen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Angesichts der Rolle, welche Witzworte, Zitate, Lieder und Sprichwörter im Gedankenleben der Gebildeten spielen, wäre es vollkommen der Erwartung gemäß, wenn Verkleidungen solcher Art überaus häufig für Darstellung der Traumgedanken verwendet werden wollten. Was bedeuten z. B. im Traume Wagen, von denen jeder mit anderem Gemüse angefüllt ist? Es ist der Wunschgegensatz von »Kraut und Rüben«, also »Durcheinander«, und bedeutet demnach »Unordnung«. Ich habe mich gewundert, daß mir dieser Traum nur ein einziges Mal berichtet worden ist </w:t>
      </w:r>
      <w:hyperlink r:id="rId15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Diese Darstellung ist mir wirklich nicht wieder begegnet, so daß ich an der Berechtigung der Deutung irre geworden bin.</w:t>
        </w:r>
      </w:hyperlink>
      <w:r w:rsidRPr="00A06A59">
        <w:rPr>
          <w:rFonts w:ascii="Garamond" w:hAnsi="Garamond" w:cs="Arial"/>
          <w:color w:val="000000"/>
          <w:lang w:val="en-GB"/>
        </w:rPr>
        <w:t>. Nur für wenige Materien hat sich eine allgemein gültige Traumsymbolik herausgebildet, auf Grund allgemein bekannter Anspielungen und Wortersetzungen. Ein gutes Teil dieser Symbolik hat übrigens der Traum mit den Psychoneurosen, den Sagen und Volksgebräuchen gemeinsam.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Ja, wenn man genauer zusieht, muß man erkennen, daß die Traumarbeit mit dieser Art von Ersetzung überhaupt nichts Originelles leistet. Zur Erreichung ihrer Zwecke, in diesem Falle der zensurfreien Darstellbarkeit, wandelt sie eben nur die Wege, die sie im unbewußten Denken bereits gebahnt vorfindet, bevorzugt sie jene Umwandlungen des verdrängten Materials, die als Witz und Anspielung auch bewußtwerden dürfen und mit denen alle Phantasien der Neurotiker erfüllt sind. Hier eröffnet sich dann plötzlich ein Verständnis für die Traumdeutungen </w:t>
      </w:r>
      <w:r w:rsidRPr="00A06A59">
        <w:rPr>
          <w:rFonts w:ascii="Garamond" w:hAnsi="Garamond" w:cs="Arial"/>
          <w:i/>
          <w:iCs/>
          <w:color w:val="000000"/>
          <w:lang w:val="en-GB"/>
        </w:rPr>
        <w:t>Scherner</w:t>
      </w:r>
      <w:r w:rsidRPr="00A06A59">
        <w:rPr>
          <w:rFonts w:ascii="Garamond" w:hAnsi="Garamond" w:cs="Arial"/>
          <w:color w:val="000000"/>
          <w:lang w:val="en-GB"/>
        </w:rPr>
        <w:t xml:space="preserve">s, deren richtigen Kern ich an anderer Stelle verteidigt habe. Die Phantasiebeschäftigung mit dem eigenen Körper ist keineswegs dem Traume allein eigentümlich oder für ihn charakteristisch. Meine Analysen haben mir gezeigt, daß sie im unbewußten Denken der Neurotiker ein regelmäßiges Vorkommnis ist und auf sexuelle Neugierde zurückgeht, deren Gegenstand die Genitalien des anderen, aber doch auch des eigenen Geschlechts für den heranwachsenden Jüngling oder für die Jungfrau werden. Wie aber </w:t>
      </w:r>
      <w:r w:rsidRPr="00A06A59">
        <w:rPr>
          <w:rFonts w:ascii="Garamond" w:hAnsi="Garamond" w:cs="Arial"/>
          <w:i/>
          <w:iCs/>
          <w:color w:val="000000"/>
          <w:lang w:val="en-GB"/>
        </w:rPr>
        <w:t>Scherner</w:t>
      </w:r>
      <w:r w:rsidRPr="00A06A59">
        <w:rPr>
          <w:rFonts w:ascii="Garamond" w:hAnsi="Garamond" w:cs="Arial"/>
          <w:color w:val="000000"/>
          <w:lang w:val="en-GB"/>
        </w:rPr>
        <w:t xml:space="preserve"> und </w:t>
      </w:r>
      <w:r w:rsidRPr="00A06A59">
        <w:rPr>
          <w:rFonts w:ascii="Garamond" w:hAnsi="Garamond" w:cs="Arial"/>
          <w:i/>
          <w:iCs/>
          <w:color w:val="000000"/>
          <w:lang w:val="en-GB"/>
        </w:rPr>
        <w:t>Volkelt</w:t>
      </w:r>
      <w:r w:rsidRPr="00A06A59">
        <w:rPr>
          <w:rFonts w:ascii="Garamond" w:hAnsi="Garamond" w:cs="Arial"/>
          <w:color w:val="000000"/>
          <w:lang w:val="en-GB"/>
        </w:rPr>
        <w:t xml:space="preserve"> ganz zutreffend hervorheben, ist das Haus nicht der einzige Vorstellungskreis, der zur Symbolisierung der Leiblichkeit verwendet wird im Traume so wenig wie im </w:t>
      </w:r>
      <w:r w:rsidRPr="00A06A59">
        <w:rPr>
          <w:rFonts w:ascii="Garamond" w:hAnsi="Garamond" w:cs="Arial"/>
          <w:color w:val="000000"/>
          <w:lang w:val="en-GB"/>
        </w:rPr>
        <w:lastRenderedPageBreak/>
        <w:t xml:space="preserve">unbewußten Phantasieren der Neurose. Ich kenne Patienten, die allerdings die architektonische Symbolik des Körpers und der Genitalien (reicht doch das sexuelle Interesse weit über das Gebiet der äußeren Genitalien hinaus) beibehalten haben, denen Pfeiler und Säulen Beine bedeuten (wie im </w:t>
      </w:r>
      <w:r w:rsidRPr="00A06A59">
        <w:rPr>
          <w:rFonts w:ascii="Garamond" w:hAnsi="Garamond" w:cs="Arial"/>
          <w:i/>
          <w:iCs/>
          <w:color w:val="000000"/>
          <w:lang w:val="en-GB"/>
        </w:rPr>
        <w:t>Hohen Lied</w:t>
      </w:r>
      <w:r w:rsidRPr="00A06A59">
        <w:rPr>
          <w:rFonts w:ascii="Garamond" w:hAnsi="Garamond" w:cs="Arial"/>
          <w:color w:val="000000"/>
          <w:lang w:val="en-GB"/>
        </w:rPr>
        <w:t xml:space="preserve">), die jedes Tor an eine der Körperöffnungen (»Loch«), die jede Wasserleitung an den Harnapparat denken läßt usw. Aber ebenso gerne wird der Vorstellungskreis des Pflanzenlebens oder der Küche zum Versteck sexueller Bilder gewählt </w:t>
      </w:r>
      <w:hyperlink r:id="rId15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Reichliches Belegmaterial hiezu in den drei Ergänzungsbänden von Ed. </w:t>
        </w:r>
        <w:r w:rsidRPr="00A06A59">
          <w:rPr>
            <w:rStyle w:val="innerfusslink3"/>
            <w:rFonts w:ascii="Garamond" w:hAnsi="Garamond" w:cs="Arial"/>
            <w:b/>
            <w:bCs/>
            <w:i/>
            <w:iCs/>
            <w:lang w:val="en-GB"/>
          </w:rPr>
          <w:t>Fuchs</w:t>
        </w:r>
        <w:r w:rsidRPr="00A06A59">
          <w:rPr>
            <w:rStyle w:val="innerfusslink3"/>
            <w:rFonts w:ascii="Garamond" w:hAnsi="Garamond" w:cs="Arial"/>
            <w:b/>
            <w:bCs/>
            <w:lang w:val="en-GB"/>
          </w:rPr>
          <w:t>' »Illustr. Sittengeschichte« (Privatdrucke bei A. Langen, München).</w:t>
        </w:r>
      </w:hyperlink>
      <w:r w:rsidRPr="00A06A59">
        <w:rPr>
          <w:rFonts w:ascii="Garamond" w:hAnsi="Garamond" w:cs="Arial"/>
          <w:color w:val="000000"/>
          <w:lang w:val="en-GB"/>
        </w:rPr>
        <w:t xml:space="preserve">; im ersteren Falle hat der Sprachgebrauch, der Niederschlag von Phantasievergleichungen ältester Zeiten, reichlich vorgearbeitet (der »Weinberg« des Herrn, der »Samen«, der »Garten« des Mädchens im </w:t>
      </w:r>
      <w:r w:rsidRPr="00A06A59">
        <w:rPr>
          <w:rFonts w:ascii="Garamond" w:hAnsi="Garamond" w:cs="Arial"/>
          <w:i/>
          <w:iCs/>
          <w:color w:val="000000"/>
          <w:lang w:val="en-GB"/>
        </w:rPr>
        <w:t>Hohen Lied</w:t>
      </w:r>
      <w:r w:rsidRPr="00A06A59">
        <w:rPr>
          <w:rFonts w:ascii="Garamond" w:hAnsi="Garamond" w:cs="Arial"/>
          <w:color w:val="000000"/>
          <w:lang w:val="en-GB"/>
        </w:rPr>
        <w:t>). In scheinbar harmlosen Anspielungen an die Verrichtungen der Küche lassen sich die häßlichsten wie die intimsten Einzelheiten des Sexuallebens denken und träumen, und die Symptomatik der Hysterie wird geradezu undeutbar, wenn man vergißt, daß sich sexuelle Symbolik hinter dem Alltäglichen und Unauffälligen als seinem besten Versteck verbergen kann. Es hat seinen guten sexuellen Sinn, wenn neurotische Kinder kein Blut und kein rohes Fleisch sehen wollen, bei Eiern und Nudeln erbrechen, wenn die dem Menschen natürliche Furcht vor der Schlange beim Neurotiker eine ungeheuerliche Steigerung erfährt, und überall, wo die Neurose sich solcher Verhüllung bedient, wandelt sie die Wege, die einst in alten Kulturperioden die ganze Menschheit begangen hat und von deren Existenz unter leichter Verschüttung heute noch Sprachgebrauch, Aberglaube und Sitte Zeugnis ablegen.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füge hier den angekündigten Blumentraum einer Patientin ein, in dem ich alles, was sexuell zu deuten ist, unterstreiche. Der schöne Traum wollte der Träumerin nach der Deutung gar nicht mehr gefallen.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a)</w:t>
      </w:r>
      <w:r w:rsidRPr="00A06A59">
        <w:rPr>
          <w:rFonts w:ascii="Garamond" w:hAnsi="Garamond" w:cs="Arial"/>
          <w:color w:val="000000"/>
          <w:lang w:val="en-GB"/>
        </w:rPr>
        <w:t xml:space="preserve"> vortraum: </w:t>
      </w:r>
      <w:r w:rsidRPr="00A06A59">
        <w:rPr>
          <w:rFonts w:ascii="Garamond" w:hAnsi="Garamond" w:cs="Arial"/>
          <w:i/>
          <w:iCs/>
          <w:color w:val="000000"/>
          <w:lang w:val="en-GB"/>
        </w:rPr>
        <w:t>Sie geht in die Küche zu den beiden Mädchen und tadelt sie, daß sie nicht fertig werden »mit dem bissel Essen«, und sieht dabei soviel umgestürztes Geschirr zum Abtropfen stehen, grobes Geschirr in Haufen zusammengestellt.</w:t>
      </w:r>
      <w:r w:rsidRPr="00A06A59">
        <w:rPr>
          <w:rFonts w:ascii="Garamond" w:hAnsi="Garamond" w:cs="Arial"/>
          <w:color w:val="000000"/>
          <w:lang w:val="en-GB"/>
        </w:rPr>
        <w:t xml:space="preserve"> Späterer Zusatz: </w:t>
      </w:r>
      <w:r w:rsidRPr="00A06A59">
        <w:rPr>
          <w:rFonts w:ascii="Garamond" w:hAnsi="Garamond" w:cs="Arial"/>
          <w:i/>
          <w:iCs/>
          <w:color w:val="000000"/>
          <w:lang w:val="en-GB"/>
        </w:rPr>
        <w:t>Die beiden Mädchen gehen Wasser holen und müssen dabei wie in einen Fluß steigen, der bis ins Haus oder in den Hof reicht</w:t>
      </w:r>
      <w:hyperlink r:id="rId15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Zur Deutung dieses als »kausal« zu nehmenden Vortraumes siehe S. 216.</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rPr>
        <w:t>b)</w:t>
      </w:r>
      <w:r w:rsidRPr="00A06A59">
        <w:rPr>
          <w:rFonts w:ascii="Garamond" w:hAnsi="Garamond" w:cs="Arial"/>
          <w:color w:val="000000"/>
        </w:rPr>
        <w:t xml:space="preserve"> haupttraum: </w:t>
      </w:r>
      <w:hyperlink r:id="rId155" w:anchor="#" w:history="1">
        <w:r w:rsidRPr="00A06A59">
          <w:rPr>
            <w:rStyle w:val="fusslink"/>
            <w:rFonts w:ascii="Garamond" w:hAnsi="Garamond" w:cs="Arial"/>
            <w:b/>
            <w:bCs/>
            <w:color w:val="003399"/>
          </w:rPr>
          <w:t>[Fußnote]</w:t>
        </w:r>
        <w:r w:rsidRPr="00A06A59">
          <w:rPr>
            <w:rStyle w:val="innerfusslink3"/>
            <w:rFonts w:ascii="Garamond" w:hAnsi="Garamond" w:cs="Arial"/>
            <w:b/>
            <w:bCs/>
          </w:rPr>
          <w:t>Ihr Lebenslauf.</w:t>
        </w:r>
      </w:hyperlink>
      <w:r w:rsidRPr="00A06A59">
        <w:rPr>
          <w:rFonts w:ascii="Garamond" w:hAnsi="Garamond" w:cs="Arial"/>
          <w:i/>
          <w:iCs/>
          <w:color w:val="000000"/>
        </w:rPr>
        <w:t>Sie steigt von hoch herab</w:t>
      </w:r>
      <w:hyperlink r:id="rId156" w:anchor="#" w:history="1">
        <w:r w:rsidRPr="00A06A59">
          <w:rPr>
            <w:rStyle w:val="fusslink"/>
            <w:rFonts w:ascii="Garamond" w:hAnsi="Garamond" w:cs="Arial"/>
            <w:b/>
            <w:bCs/>
            <w:color w:val="003399"/>
          </w:rPr>
          <w:t>[Fußnote]</w:t>
        </w:r>
        <w:r w:rsidRPr="00A06A59">
          <w:rPr>
            <w:rStyle w:val="innerfusslink3"/>
            <w:rFonts w:ascii="Garamond" w:hAnsi="Garamond" w:cs="Arial"/>
            <w:b/>
            <w:bCs/>
          </w:rPr>
          <w:t>Hohe Abkunft, Wunschgegensatz zum Vortraume.</w:t>
        </w:r>
      </w:hyperlink>
      <w:r w:rsidRPr="00A06A59">
        <w:rPr>
          <w:rFonts w:ascii="Garamond" w:hAnsi="Garamond" w:cs="Arial"/>
          <w:i/>
          <w:iCs/>
          <w:color w:val="000000"/>
        </w:rPr>
        <w:t>über eigentümliche Geländer oder Zäune, die zu großen Carreaus vereinigt sind und aus Flechtwerk von kleinen Quadraten bestehen</w:t>
      </w:r>
      <w:hyperlink r:id="rId157" w:anchor="#" w:history="1">
        <w:r w:rsidRPr="00A06A59">
          <w:rPr>
            <w:rStyle w:val="fusslink"/>
            <w:rFonts w:ascii="Garamond" w:hAnsi="Garamond" w:cs="Arial"/>
            <w:b/>
            <w:bCs/>
            <w:color w:val="003399"/>
          </w:rPr>
          <w:t>[Fußnote]</w:t>
        </w:r>
        <w:r w:rsidRPr="00A06A59">
          <w:rPr>
            <w:rStyle w:val="innerfusslink3"/>
            <w:rFonts w:ascii="Garamond" w:hAnsi="Garamond" w:cs="Arial"/>
            <w:b/>
            <w:bCs/>
          </w:rPr>
          <w:t>Mischgebilde, das zwei Lokalitäten vereinigt, den sogenannten Boden des Vaterhauses, auf dem sie mit dem Bruder spielte, dem Gegenstande ihrer späteren Phantasien, und den Hof eines schlimmen Onkels, der sie zu necken pflegte.</w:t>
        </w:r>
      </w:hyperlink>
      <w:r w:rsidRPr="00A06A59">
        <w:rPr>
          <w:rFonts w:ascii="Garamond" w:hAnsi="Garamond" w:cs="Arial"/>
          <w:i/>
          <w:iCs/>
          <w:color w:val="000000"/>
        </w:rPr>
        <w:t>. Es ist eigentlich nicht zum Steigen eingerichtet; sie hat immer Sorge, daß sie Platz für den Fuß findet, und freut sich, daß ihr Kleid dabei nirgends hängenbleibt, daß sie im Gehen so anständig bleibt</w:t>
      </w:r>
      <w:hyperlink r:id="rId158" w:anchor="#" w:history="1">
        <w:r w:rsidRPr="00A06A59">
          <w:rPr>
            <w:rStyle w:val="fusslink"/>
            <w:rFonts w:ascii="Garamond" w:hAnsi="Garamond" w:cs="Arial"/>
            <w:b/>
            <w:bCs/>
            <w:color w:val="003399"/>
          </w:rPr>
          <w:t>[Fußnote]</w:t>
        </w:r>
        <w:r w:rsidRPr="00A06A59">
          <w:rPr>
            <w:rStyle w:val="innerfusslink3"/>
            <w:rFonts w:ascii="Garamond" w:hAnsi="Garamond" w:cs="Arial"/>
            <w:b/>
            <w:bCs/>
          </w:rPr>
          <w:t>Wunschgegensatz zu einer realen Erinnerung vom Hofe des Onkels, daß sie sich im Schlafe zu entblößen pflegte.</w:t>
        </w:r>
      </w:hyperlink>
      <w:r w:rsidRPr="00A06A59">
        <w:rPr>
          <w:rFonts w:ascii="Garamond" w:hAnsi="Garamond" w:cs="Arial"/>
          <w:i/>
          <w:iCs/>
          <w:color w:val="000000"/>
        </w:rPr>
        <w:t xml:space="preserve">. Dabei trägt sie einen </w:t>
      </w:r>
      <w:r w:rsidRPr="00A06A59">
        <w:rPr>
          <w:rFonts w:ascii="Garamond" w:hAnsi="Garamond" w:cs="Arial"/>
          <w:b/>
          <w:bCs/>
          <w:i/>
          <w:iCs/>
          <w:color w:val="000000"/>
        </w:rPr>
        <w:t>großen Ast</w:t>
      </w:r>
      <w:r w:rsidRPr="00A06A59">
        <w:rPr>
          <w:rFonts w:ascii="Garamond" w:hAnsi="Garamond" w:cs="Arial"/>
          <w:i/>
          <w:iCs/>
          <w:color w:val="000000"/>
        </w:rPr>
        <w:t xml:space="preserve"> in derHand</w:t>
      </w:r>
      <w:hyperlink r:id="rId159" w:anchor="#" w:history="1">
        <w:r w:rsidRPr="00A06A59">
          <w:rPr>
            <w:rStyle w:val="fusslink"/>
            <w:rFonts w:ascii="Garamond" w:hAnsi="Garamond" w:cs="Arial"/>
            <w:b/>
            <w:bCs/>
            <w:color w:val="003399"/>
          </w:rPr>
          <w:t>[Fußnote]</w:t>
        </w:r>
        <w:r w:rsidRPr="00A06A59">
          <w:rPr>
            <w:rStyle w:val="innerfusslink3"/>
            <w:rFonts w:ascii="Garamond" w:hAnsi="Garamond" w:cs="Arial"/>
            <w:b/>
            <w:bCs/>
          </w:rPr>
          <w:t>Wie der Engel in der Verkündigung Maria einen Lilienstengel.</w:t>
        </w:r>
      </w:hyperlink>
      <w:r w:rsidRPr="00A06A59">
        <w:rPr>
          <w:rFonts w:ascii="Garamond" w:hAnsi="Garamond" w:cs="Arial"/>
          <w:i/>
          <w:iCs/>
          <w:color w:val="000000"/>
        </w:rPr>
        <w:t xml:space="preserve">, eigentlich wie einen Baum, der dick mit </w:t>
      </w:r>
      <w:r w:rsidRPr="00A06A59">
        <w:rPr>
          <w:rFonts w:ascii="Garamond" w:hAnsi="Garamond" w:cs="Arial"/>
          <w:b/>
          <w:bCs/>
          <w:i/>
          <w:iCs/>
          <w:color w:val="000000"/>
        </w:rPr>
        <w:t>roten Blüten</w:t>
      </w:r>
      <w:r w:rsidRPr="00A06A59">
        <w:rPr>
          <w:rFonts w:ascii="Garamond" w:hAnsi="Garamond" w:cs="Arial"/>
          <w:i/>
          <w:iCs/>
          <w:color w:val="000000"/>
        </w:rPr>
        <w:t xml:space="preserve"> besetzt ist, verzweigt und ausgebreitet.</w:t>
      </w:r>
      <w:hyperlink r:id="rId16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 Erklärung dieses Mischgebildes siehe S. 219: Unschuld, Periode, </w:t>
        </w:r>
        <w:r w:rsidRPr="00A06A59">
          <w:rPr>
            <w:rStyle w:val="innerfusslink3"/>
            <w:rFonts w:ascii="Garamond" w:hAnsi="Garamond" w:cs="Arial"/>
            <w:b/>
            <w:bCs/>
            <w:i/>
            <w:iCs/>
            <w:lang w:val="en-GB"/>
          </w:rPr>
          <w:t>Kameliendame</w:t>
        </w:r>
      </w:hyperlink>
      <w:r w:rsidRPr="00A06A59">
        <w:rPr>
          <w:rFonts w:ascii="Garamond" w:hAnsi="Garamond" w:cs="Arial"/>
          <w:i/>
          <w:iCs/>
          <w:color w:val="000000"/>
          <w:lang w:val="en-GB"/>
        </w:rPr>
        <w:t>.</w:t>
      </w:r>
      <w:r w:rsidRPr="00A06A59">
        <w:rPr>
          <w:rFonts w:ascii="Garamond" w:hAnsi="Garamond" w:cs="Arial"/>
          <w:color w:val="000000"/>
          <w:lang w:val="en-GB"/>
        </w:rPr>
        <w:t xml:space="preserve">. </w:t>
      </w:r>
      <w:r w:rsidRPr="00A06A59">
        <w:rPr>
          <w:rFonts w:ascii="Garamond" w:hAnsi="Garamond" w:cs="Arial"/>
          <w:i/>
          <w:iCs/>
          <w:color w:val="000000"/>
          <w:lang w:val="en-GB"/>
        </w:rPr>
        <w:t xml:space="preserve">Dabei ist die Idee Kirsch </w:t>
      </w:r>
      <w:r w:rsidRPr="00A06A59">
        <w:rPr>
          <w:rFonts w:ascii="Garamond" w:hAnsi="Garamond" w:cs="Arial"/>
          <w:b/>
          <w:bCs/>
          <w:i/>
          <w:iCs/>
          <w:color w:val="000000"/>
          <w:lang w:val="en-GB"/>
        </w:rPr>
        <w:t>blüten</w:t>
      </w:r>
      <w:r w:rsidRPr="00A06A59">
        <w:rPr>
          <w:rFonts w:ascii="Garamond" w:hAnsi="Garamond" w:cs="Arial"/>
          <w:i/>
          <w:iCs/>
          <w:color w:val="000000"/>
          <w:lang w:val="en-GB"/>
        </w:rPr>
        <w:t xml:space="preserve">, sie sehen aber auch aus wie gefüllte </w:t>
      </w:r>
      <w:r w:rsidRPr="00A06A59">
        <w:rPr>
          <w:rFonts w:ascii="Garamond" w:hAnsi="Garamond" w:cs="Arial"/>
          <w:b/>
          <w:bCs/>
          <w:i/>
          <w:iCs/>
          <w:color w:val="000000"/>
          <w:lang w:val="en-GB"/>
        </w:rPr>
        <w:t>Kamelien,</w:t>
      </w:r>
      <w:r w:rsidRPr="00A06A59">
        <w:rPr>
          <w:rFonts w:ascii="Garamond" w:hAnsi="Garamond" w:cs="Arial"/>
          <w:i/>
          <w:iCs/>
          <w:color w:val="000000"/>
          <w:lang w:val="en-GB"/>
        </w:rPr>
        <w:t xml:space="preserve"> die freilich nicht auf Bäumen wachsen. Während des Herabgehens hat sie zuerst </w:t>
      </w:r>
      <w:r w:rsidRPr="00A06A59">
        <w:rPr>
          <w:rFonts w:ascii="Garamond" w:hAnsi="Garamond" w:cs="Arial"/>
          <w:b/>
          <w:bCs/>
          <w:i/>
          <w:iCs/>
          <w:color w:val="000000"/>
          <w:lang w:val="en-GB"/>
        </w:rPr>
        <w:t>einen,</w:t>
      </w:r>
      <w:r w:rsidRPr="00A06A59">
        <w:rPr>
          <w:rFonts w:ascii="Garamond" w:hAnsi="Garamond" w:cs="Arial"/>
          <w:i/>
          <w:iCs/>
          <w:color w:val="000000"/>
          <w:lang w:val="en-GB"/>
        </w:rPr>
        <w:t xml:space="preserve"> dann plötzlich </w:t>
      </w:r>
      <w:r w:rsidRPr="00A06A59">
        <w:rPr>
          <w:rFonts w:ascii="Garamond" w:hAnsi="Garamond" w:cs="Arial"/>
          <w:b/>
          <w:bCs/>
          <w:i/>
          <w:iCs/>
          <w:color w:val="000000"/>
          <w:lang w:val="en-GB"/>
        </w:rPr>
        <w:t>zwei</w:t>
      </w:r>
      <w:r w:rsidRPr="00A06A59">
        <w:rPr>
          <w:rFonts w:ascii="Garamond" w:hAnsi="Garamond" w:cs="Arial"/>
          <w:i/>
          <w:iCs/>
          <w:color w:val="000000"/>
          <w:lang w:val="en-GB"/>
        </w:rPr>
        <w:t xml:space="preserve">, später wieder </w:t>
      </w:r>
      <w:r w:rsidRPr="00A06A59">
        <w:rPr>
          <w:rFonts w:ascii="Garamond" w:hAnsi="Garamond" w:cs="Arial"/>
          <w:b/>
          <w:bCs/>
          <w:i/>
          <w:iCs/>
          <w:color w:val="000000"/>
          <w:lang w:val="en-GB"/>
        </w:rPr>
        <w:t>einen</w:t>
      </w:r>
      <w:hyperlink r:id="rId16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Auf die Mehrheit der ihrer Phantasie dienenden Personen.</w:t>
        </w:r>
      </w:hyperlink>
      <w:r w:rsidRPr="00A06A59">
        <w:rPr>
          <w:rFonts w:ascii="Garamond" w:hAnsi="Garamond" w:cs="Arial"/>
          <w:i/>
          <w:iCs/>
          <w:color w:val="000000"/>
          <w:lang w:val="en-GB"/>
        </w:rPr>
        <w:t xml:space="preserve">. Wie sie unten anlangt, sind die unteren </w:t>
      </w:r>
      <w:r w:rsidRPr="00A06A59">
        <w:rPr>
          <w:rFonts w:ascii="Garamond" w:hAnsi="Garamond" w:cs="Arial"/>
          <w:b/>
          <w:bCs/>
          <w:i/>
          <w:iCs/>
          <w:color w:val="000000"/>
          <w:lang w:val="en-GB"/>
        </w:rPr>
        <w:t>Blüten</w:t>
      </w:r>
      <w:r w:rsidRPr="00A06A59">
        <w:rPr>
          <w:rFonts w:ascii="Garamond" w:hAnsi="Garamond" w:cs="Arial"/>
          <w:i/>
          <w:iCs/>
          <w:color w:val="000000"/>
          <w:lang w:val="en-GB"/>
        </w:rPr>
        <w:t xml:space="preserve"> schon ziemlich </w:t>
      </w:r>
      <w:r w:rsidRPr="00A06A59">
        <w:rPr>
          <w:rFonts w:ascii="Garamond" w:hAnsi="Garamond" w:cs="Arial"/>
          <w:b/>
          <w:bCs/>
          <w:i/>
          <w:iCs/>
          <w:color w:val="000000"/>
          <w:lang w:val="en-GB"/>
        </w:rPr>
        <w:t>abgefallen.</w:t>
      </w:r>
      <w:r w:rsidRPr="00A06A59">
        <w:rPr>
          <w:rFonts w:ascii="Garamond" w:hAnsi="Garamond" w:cs="Arial"/>
          <w:i/>
          <w:iCs/>
          <w:color w:val="000000"/>
          <w:lang w:val="en-GB"/>
        </w:rPr>
        <w:t xml:space="preserve"> Sie sieht dann, unten angelangt, einen Hausknecht, der einen ebensolchen Baum, sie möchte sagen – kämmt, d. h. mit einem </w:t>
      </w:r>
      <w:r w:rsidRPr="00A06A59">
        <w:rPr>
          <w:rFonts w:ascii="Garamond" w:hAnsi="Garamond" w:cs="Arial"/>
          <w:b/>
          <w:bCs/>
          <w:i/>
          <w:iCs/>
          <w:color w:val="000000"/>
          <w:lang w:val="en-GB"/>
        </w:rPr>
        <w:t>Holz dicke Haarbüschel,</w:t>
      </w:r>
      <w:r w:rsidRPr="00A06A59">
        <w:rPr>
          <w:rFonts w:ascii="Garamond" w:hAnsi="Garamond" w:cs="Arial"/>
          <w:i/>
          <w:iCs/>
          <w:color w:val="000000"/>
          <w:lang w:val="en-GB"/>
        </w:rPr>
        <w:t xml:space="preserve"> die wie Moos von ihm herabhängen, rauft. Andere Arbeiter haben solche </w:t>
      </w:r>
      <w:r w:rsidRPr="00A06A59">
        <w:rPr>
          <w:rFonts w:ascii="Garamond" w:hAnsi="Garamond" w:cs="Arial"/>
          <w:b/>
          <w:bCs/>
          <w:i/>
          <w:iCs/>
          <w:color w:val="000000"/>
          <w:lang w:val="en-GB"/>
        </w:rPr>
        <w:t>Äste</w:t>
      </w:r>
      <w:r w:rsidRPr="00A06A59">
        <w:rPr>
          <w:rFonts w:ascii="Garamond" w:hAnsi="Garamond" w:cs="Arial"/>
          <w:i/>
          <w:iCs/>
          <w:color w:val="000000"/>
          <w:lang w:val="en-GB"/>
        </w:rPr>
        <w:t xml:space="preserve"> aus einem </w:t>
      </w:r>
      <w:r w:rsidRPr="00A06A59">
        <w:rPr>
          <w:rFonts w:ascii="Garamond" w:hAnsi="Garamond" w:cs="Arial"/>
          <w:b/>
          <w:bCs/>
          <w:i/>
          <w:iCs/>
          <w:color w:val="000000"/>
          <w:lang w:val="en-GB"/>
        </w:rPr>
        <w:t>Garten</w:t>
      </w:r>
      <w:r w:rsidRPr="00A06A59">
        <w:rPr>
          <w:rFonts w:ascii="Garamond" w:hAnsi="Garamond" w:cs="Arial"/>
          <w:i/>
          <w:iCs/>
          <w:color w:val="000000"/>
          <w:lang w:val="en-GB"/>
        </w:rPr>
        <w:t xml:space="preserve"> abgehauen und auf die </w:t>
      </w:r>
      <w:r w:rsidRPr="00A06A59">
        <w:rPr>
          <w:rFonts w:ascii="Garamond" w:hAnsi="Garamond" w:cs="Arial"/>
          <w:b/>
          <w:bCs/>
          <w:i/>
          <w:iCs/>
          <w:color w:val="000000"/>
          <w:lang w:val="en-GB"/>
        </w:rPr>
        <w:t>Straße</w:t>
      </w:r>
      <w:r w:rsidRPr="00A06A59">
        <w:rPr>
          <w:rFonts w:ascii="Garamond" w:hAnsi="Garamond" w:cs="Arial"/>
          <w:i/>
          <w:iCs/>
          <w:color w:val="000000"/>
          <w:lang w:val="en-GB"/>
        </w:rPr>
        <w:t xml:space="preserve"> geworfen, wo sie </w:t>
      </w:r>
      <w:r w:rsidRPr="00A06A59">
        <w:rPr>
          <w:rFonts w:ascii="Garamond" w:hAnsi="Garamond" w:cs="Arial"/>
          <w:b/>
          <w:bCs/>
          <w:i/>
          <w:iCs/>
          <w:color w:val="000000"/>
          <w:lang w:val="en-GB"/>
        </w:rPr>
        <w:t>herumliegen,</w:t>
      </w:r>
      <w:r w:rsidRPr="00A06A59">
        <w:rPr>
          <w:rFonts w:ascii="Garamond" w:hAnsi="Garamond" w:cs="Arial"/>
          <w:i/>
          <w:iCs/>
          <w:color w:val="000000"/>
          <w:lang w:val="en-GB"/>
        </w:rPr>
        <w:t xml:space="preserve"> so daß </w:t>
      </w:r>
      <w:r w:rsidRPr="00A06A59">
        <w:rPr>
          <w:rFonts w:ascii="Garamond" w:hAnsi="Garamond" w:cs="Arial"/>
          <w:b/>
          <w:bCs/>
          <w:i/>
          <w:iCs/>
          <w:color w:val="000000"/>
          <w:lang w:val="en-GB"/>
        </w:rPr>
        <w:t>viele Leute sich davon nehmen.</w:t>
      </w:r>
      <w:r w:rsidRPr="00A06A59">
        <w:rPr>
          <w:rFonts w:ascii="Garamond" w:hAnsi="Garamond" w:cs="Arial"/>
          <w:i/>
          <w:iCs/>
          <w:color w:val="000000"/>
          <w:lang w:val="en-GB"/>
        </w:rPr>
        <w:t xml:space="preserve"> Sie fragt aber, ob das recht ist, ob man sich auch </w:t>
      </w:r>
      <w:r w:rsidRPr="00A06A59">
        <w:rPr>
          <w:rFonts w:ascii="Garamond" w:hAnsi="Garamond" w:cs="Arial"/>
          <w:b/>
          <w:bCs/>
          <w:i/>
          <w:iCs/>
          <w:color w:val="000000"/>
          <w:lang w:val="en-GB"/>
        </w:rPr>
        <w:t>einen nehmen</w:t>
      </w:r>
      <w:r w:rsidRPr="00A06A59">
        <w:rPr>
          <w:rFonts w:ascii="Garamond" w:hAnsi="Garamond" w:cs="Arial"/>
          <w:i/>
          <w:iCs/>
          <w:color w:val="000000"/>
          <w:lang w:val="en-GB"/>
        </w:rPr>
        <w:t xml:space="preserve"> kann</w:t>
      </w:r>
      <w:hyperlink r:id="rId16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Ob man sich auch einen herunterreißen darf, i.e. masturbieren.</w:t>
        </w:r>
      </w:hyperlink>
      <w:r w:rsidRPr="00A06A59">
        <w:rPr>
          <w:rFonts w:ascii="Garamond" w:hAnsi="Garamond" w:cs="Arial"/>
          <w:i/>
          <w:iCs/>
          <w:color w:val="000000"/>
          <w:lang w:val="en-GB"/>
        </w:rPr>
        <w:t xml:space="preserve">. Im Garten steht ein junger </w:t>
      </w:r>
      <w:r w:rsidRPr="00A06A59">
        <w:rPr>
          <w:rFonts w:ascii="Garamond" w:hAnsi="Garamond" w:cs="Arial"/>
          <w:b/>
          <w:bCs/>
          <w:i/>
          <w:iCs/>
          <w:color w:val="000000"/>
          <w:lang w:val="en-GB"/>
        </w:rPr>
        <w:t>Mann</w:t>
      </w:r>
      <w:r w:rsidRPr="00A06A59">
        <w:rPr>
          <w:rFonts w:ascii="Garamond" w:hAnsi="Garamond" w:cs="Arial"/>
          <w:color w:val="000000"/>
          <w:lang w:val="en-GB"/>
        </w:rPr>
        <w:t xml:space="preserve"> (von ihr bekannter Persönlichkeit, ein Fremder), </w:t>
      </w:r>
      <w:r w:rsidRPr="00A06A59">
        <w:rPr>
          <w:rFonts w:ascii="Garamond" w:hAnsi="Garamond" w:cs="Arial"/>
          <w:i/>
          <w:iCs/>
          <w:color w:val="000000"/>
          <w:lang w:val="en-GB"/>
        </w:rPr>
        <w:t xml:space="preserve">auf den sie zugeht, um ihn zu fragen, wie man solche </w:t>
      </w:r>
      <w:r w:rsidRPr="00A06A59">
        <w:rPr>
          <w:rFonts w:ascii="Garamond" w:hAnsi="Garamond" w:cs="Arial"/>
          <w:b/>
          <w:bCs/>
          <w:i/>
          <w:iCs/>
          <w:color w:val="000000"/>
          <w:lang w:val="en-GB"/>
        </w:rPr>
        <w:t>Äste in ihren eigenen Garten</w:t>
      </w:r>
      <w:r w:rsidRPr="00A06A59">
        <w:rPr>
          <w:rFonts w:ascii="Garamond" w:hAnsi="Garamond" w:cs="Arial"/>
          <w:i/>
          <w:iCs/>
          <w:color w:val="000000"/>
          <w:lang w:val="en-GB"/>
        </w:rPr>
        <w:t xml:space="preserve"> umsetzen könne</w:t>
      </w:r>
      <w:hyperlink r:id="rId16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Der Ast hat längst die Vertretung des männlichen Genitales übernommen, enthält übrigens eine sehr deutliche Anspielung an den Familiennamen.</w:t>
        </w:r>
      </w:hyperlink>
      <w:r w:rsidRPr="00A06A59">
        <w:rPr>
          <w:rFonts w:ascii="Garamond" w:hAnsi="Garamond" w:cs="Arial"/>
          <w:i/>
          <w:iCs/>
          <w:color w:val="000000"/>
          <w:lang w:val="en-GB"/>
        </w:rPr>
        <w:t>. Er umfängt sie, worauf sie sich sträubt und ihn fragt, was ihm einfällt, ob man sie denn so umfangen darf. Er sagt, das ist kein Unrecht, das ist erlaubt</w:t>
      </w:r>
      <w:hyperlink r:id="rId16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Bezieht sich wie das Nächstfolgende auf eheliche Vorsichten.</w:t>
        </w:r>
      </w:hyperlink>
      <w:r w:rsidRPr="00A06A59">
        <w:rPr>
          <w:rFonts w:ascii="Garamond" w:hAnsi="Garamond" w:cs="Arial"/>
          <w:color w:val="000000"/>
          <w:lang w:val="en-GB"/>
        </w:rPr>
        <w:t xml:space="preserve">. </w:t>
      </w:r>
      <w:r w:rsidRPr="00A06A59">
        <w:rPr>
          <w:rFonts w:ascii="Garamond" w:hAnsi="Garamond" w:cs="Arial"/>
          <w:i/>
          <w:iCs/>
          <w:color w:val="000000"/>
          <w:lang w:val="en-GB"/>
        </w:rPr>
        <w:t xml:space="preserve">Er erklärt sich dann bereit, mit ihr in den </w:t>
      </w:r>
      <w:r w:rsidRPr="00A06A59">
        <w:rPr>
          <w:rFonts w:ascii="Garamond" w:hAnsi="Garamond" w:cs="Arial"/>
          <w:b/>
          <w:bCs/>
          <w:i/>
          <w:iCs/>
          <w:color w:val="000000"/>
          <w:lang w:val="en-GB"/>
        </w:rPr>
        <w:t>anderen Garten</w:t>
      </w:r>
      <w:r w:rsidRPr="00A06A59">
        <w:rPr>
          <w:rFonts w:ascii="Garamond" w:hAnsi="Garamond" w:cs="Arial"/>
          <w:i/>
          <w:iCs/>
          <w:color w:val="000000"/>
          <w:lang w:val="en-GB"/>
        </w:rPr>
        <w:t xml:space="preserve"> zu gehen, um ihr das Einsetzen zu zeigen, und sagt ihr etwas, was sie nicht recht versteht: Es fehlen mir ohnedies drei </w:t>
      </w:r>
      <w:r w:rsidRPr="00A06A59">
        <w:rPr>
          <w:rFonts w:ascii="Garamond" w:hAnsi="Garamond" w:cs="Arial"/>
          <w:b/>
          <w:bCs/>
          <w:i/>
          <w:iCs/>
          <w:color w:val="000000"/>
          <w:lang w:val="en-GB"/>
        </w:rPr>
        <w:t>Meter</w:t>
      </w:r>
      <w:r w:rsidRPr="00A06A59">
        <w:rPr>
          <w:rFonts w:ascii="Garamond" w:hAnsi="Garamond" w:cs="Arial"/>
          <w:color w:val="000000"/>
          <w:lang w:val="en-GB"/>
        </w:rPr>
        <w:t xml:space="preserve"> – (später sagt sie: </w:t>
      </w:r>
      <w:r w:rsidRPr="00A06A59">
        <w:rPr>
          <w:rFonts w:ascii="Garamond" w:hAnsi="Garamond" w:cs="Arial"/>
          <w:i/>
          <w:iCs/>
          <w:color w:val="000000"/>
          <w:lang w:val="en-GB"/>
        </w:rPr>
        <w:t xml:space="preserve">Quadratmeter) oder drei Klafter Grund. Es ist, als ob er für seine Bereitwilligkeit etwas von ihr verlangen würde, als ob er die Absicht hätte, sich in </w:t>
      </w:r>
      <w:r w:rsidRPr="00A06A59">
        <w:rPr>
          <w:rFonts w:ascii="Garamond" w:hAnsi="Garamond" w:cs="Arial"/>
          <w:b/>
          <w:bCs/>
          <w:i/>
          <w:iCs/>
          <w:color w:val="000000"/>
          <w:lang w:val="en-GB"/>
        </w:rPr>
        <w:t>ihrem Garten zu entschädigen,</w:t>
      </w:r>
      <w:r w:rsidRPr="00A06A59">
        <w:rPr>
          <w:rFonts w:ascii="Garamond" w:hAnsi="Garamond" w:cs="Arial"/>
          <w:i/>
          <w:iCs/>
          <w:color w:val="000000"/>
          <w:lang w:val="en-GB"/>
        </w:rPr>
        <w:t xml:space="preserve"> oder als wollte er irgendein Gesetz </w:t>
      </w:r>
      <w:r w:rsidRPr="00A06A59">
        <w:rPr>
          <w:rFonts w:ascii="Garamond" w:hAnsi="Garamond" w:cs="Arial"/>
          <w:b/>
          <w:bCs/>
          <w:i/>
          <w:iCs/>
          <w:color w:val="000000"/>
          <w:lang w:val="en-GB"/>
        </w:rPr>
        <w:t>betrügen,</w:t>
      </w:r>
      <w:r w:rsidRPr="00A06A59">
        <w:rPr>
          <w:rFonts w:ascii="Garamond" w:hAnsi="Garamond" w:cs="Arial"/>
          <w:i/>
          <w:iCs/>
          <w:color w:val="000000"/>
          <w:lang w:val="en-GB"/>
        </w:rPr>
        <w:t xml:space="preserve"> einen Vorteil davon haben, ohne daß sie einen Schaden hat. Ob er ihr dann wirklich etwas zeigt, weiß sie nicht.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vorstehende, wegen seiner symbolischen Elemente hervorgehobene Traum ist ein »biographischer« zu nennen. Solche Träume kommen in den Psychoanalysen häufig vor, aber vielleicht nur selten außerhalb derselben </w:t>
      </w:r>
      <w:hyperlink r:id="rId16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Ein analoger »biographischer« Traum ist der unter den Beispielen zur Traumsymbolik als dritter mitgeteilte; ferner der von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xml:space="preserve"> ausführlich mitgeteilte Traum, der sich selbst deutet; einen anderen, der »verkehrt« gelesen werden muß, siehe bei </w:t>
        </w:r>
        <w:r w:rsidRPr="00A06A59">
          <w:rPr>
            <w:rStyle w:val="innerfusslink3"/>
            <w:rFonts w:ascii="Garamond" w:hAnsi="Garamond" w:cs="Arial"/>
            <w:b/>
            <w:bCs/>
            <w:i/>
            <w:iCs/>
            <w:lang w:val="en-GB"/>
          </w:rPr>
          <w:t>Stekel</w:t>
        </w:r>
        <w:r w:rsidRPr="00A06A59">
          <w:rPr>
            <w:rStyle w:val="innerfusslink3"/>
            <w:rFonts w:ascii="Garamond" w:hAnsi="Garamond" w:cs="Arial"/>
            <w:b/>
            <w:bCs/>
            <w:lang w:val="en-GB"/>
          </w:rPr>
          <w:t xml:space="preserve"> (p. 486).</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Ich habe natürlich gerade an solchem Material Überfluß, aber dessen Mitteilung würde zu tief in die Erörterung neurotischer Verhältnisse führen. Alles leitete zum gleichen Schluß, daß man keine besondere symbolisierende Tätigkeit der Seele bei der Traumarbeit anzunehmen braucht, sondern daß der Traum sich solcher Symbolisierungen, welche im unbewußten Denken bereits fertig enthalten sind, bedient, weil sie wegen ihrer Darstellbarkeit, zumeist auch wegen ihrer Zensurfreiheit, den Anforderungen der Traumbildung besser genügen.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E. Di</w:t>
        </w:r>
        <w:bookmarkStart w:id="75" w:name="VIE"/>
        <w:bookmarkEnd w:id="75"/>
        <w:r w:rsidRPr="00A06A59">
          <w:rPr>
            <w:rStyle w:val="Lienhypertexte"/>
            <w:rFonts w:ascii="Garamond" w:hAnsi="Garamond" w:cs="Arial"/>
            <w:b/>
            <w:bCs/>
            <w:lang w:val="en-GB"/>
          </w:rPr>
          <w:t>e Darstellung durch Symbole im Traume. Weitere typische Träume</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Analyse des letzten biographischen Traums steht als Beweis dafür, daß ich die Symbolik im Traume von Anfang an erkannt habe. Zur vollen Würdigung ihres Umfangs und ihrer Bedeutung gelangte ich aber erst allmählich durch vermehrte Erfahrung und unter dem Einfluß der Arbeiten W. </w:t>
      </w:r>
      <w:r w:rsidRPr="00A06A59">
        <w:rPr>
          <w:rFonts w:ascii="Garamond" w:hAnsi="Garamond" w:cs="Arial"/>
          <w:i/>
          <w:iCs/>
          <w:color w:val="000000"/>
          <w:lang w:val="en-GB"/>
        </w:rPr>
        <w:t>Stekels</w:t>
      </w:r>
      <w:r w:rsidRPr="00A06A59">
        <w:rPr>
          <w:rFonts w:ascii="Garamond" w:hAnsi="Garamond" w:cs="Arial"/>
          <w:color w:val="000000"/>
          <w:lang w:val="en-GB"/>
        </w:rPr>
        <w:t xml:space="preserve"> (W. </w:t>
      </w:r>
      <w:r w:rsidRPr="00A06A59">
        <w:rPr>
          <w:rFonts w:ascii="Garamond" w:hAnsi="Garamond" w:cs="Arial"/>
          <w:i/>
          <w:iCs/>
          <w:color w:val="000000"/>
          <w:lang w:val="en-GB"/>
        </w:rPr>
        <w:t>Stekel,</w:t>
      </w:r>
      <w:r w:rsidRPr="00A06A59">
        <w:rPr>
          <w:rFonts w:ascii="Garamond" w:hAnsi="Garamond" w:cs="Arial"/>
          <w:color w:val="000000"/>
          <w:lang w:val="en-GB"/>
        </w:rPr>
        <w:t xml:space="preserve"> Die Sprache des Traumes, 1911), über die eine Äußerung hier am Platze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Dieser Autor, der der Psychoanalyse vielleicht ebensoviel geschadet als genützt hat, brachte eine große Anzahl von unvermuteten Symbolübersetzungen vor, die anfänglich nicht geglaubt wurden, später aber größtenteils Bestätigung fanden und angenommen werden mußten. </w:t>
      </w:r>
      <w:r w:rsidRPr="00A06A59">
        <w:rPr>
          <w:rFonts w:ascii="Garamond" w:hAnsi="Garamond" w:cs="Arial"/>
          <w:i/>
          <w:iCs/>
          <w:color w:val="000000"/>
          <w:lang w:val="en-GB"/>
        </w:rPr>
        <w:t>Stekels</w:t>
      </w:r>
      <w:r w:rsidRPr="00A06A59">
        <w:rPr>
          <w:rFonts w:ascii="Garamond" w:hAnsi="Garamond" w:cs="Arial"/>
          <w:color w:val="000000"/>
          <w:lang w:val="en-GB"/>
        </w:rPr>
        <w:t xml:space="preserve"> Verdienst wird durch die Bemerkung nicht geschmälert, daß die skeptische Zurückhaltung der anderen nicht ungerechtfertigt war. Denn die Beispiele, auf welche er seine Deutungen stützte, waren häufig nicht überzeugend, und er hatte sich einer Methode bedient, die als wissenschaftlich unzuverlässig zu verwerfen ist. </w:t>
      </w:r>
      <w:r w:rsidRPr="00A06A59">
        <w:rPr>
          <w:rFonts w:ascii="Garamond" w:hAnsi="Garamond" w:cs="Arial"/>
          <w:i/>
          <w:iCs/>
          <w:color w:val="000000"/>
          <w:lang w:val="en-GB"/>
        </w:rPr>
        <w:t>Stekel</w:t>
      </w:r>
      <w:r w:rsidRPr="00A06A59">
        <w:rPr>
          <w:rFonts w:ascii="Garamond" w:hAnsi="Garamond" w:cs="Arial"/>
          <w:color w:val="000000"/>
          <w:lang w:val="en-GB"/>
        </w:rPr>
        <w:t xml:space="preserve"> fand seine Symboldeutungen auf dem Wege der Intuition, kraft eines ihm eigenen Vermögens, die Symbole unmittelbar zu verstehen. Eine solche Kunst ist aber nicht allgemein vorauszusetzen, ihre Leistungsfähigkeit ist jeder Kritik entzogen, und ihre Ergebnisse haben daher auf Glaubwürdigkeit keinen Anspruch. Es ist ähnlich, als wollte man die Diagnose der Infektionskrankheiten auf die Geruchseindrücke am Krankenbette gründen, obwohl es unzweifelhaft Kliniker gab, denen der bei den meisten verkümmerte Geruchssinn mehr leistete als anderen und die wirklich imstande waren, einen Abdominaltyphus nach dem Geruch zu diagnostizieren.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fortschreitende Erfahrung der Psychoanalyse hat uns Patienten auffinden lassen, die ein solches unmittelbares Verständnis der Traumsymbolik in überraschender Weise an den Tag legten. Häufig waren es an Dementia praecox Leidende, so daß eine Zeitlang die Neigung bestand, alle Träumer mit solchem Symbolverständnis dieser Affektion zu verdächtigen. Allein das trifft nicht zu, es handelt sich um eine persönliche Begabung oder Eigentümlichkeit ohne ersichtliche pathologische Bedeutung.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man sich mit der ausgiebigen Verwendung der Symbolik für die Darstellung sexuellen Materials im Traume vertraut gemacht hat, muß man sich die Frage vorlegen, ob nicht viele dieser Symbole wie die »Sigel« der Stenographie mit ein für allemal festgelegter Bedeutung auftreten, und sieht sich vor der Versuchung, ein neues Traumbuch nach der Chiffriermethode zu entwerfen. Dazu ist zu bemerken: Diese Symbolik gehört nicht dem Traume zu eigen an, sondern dem unbewußten Vorstellen, speziell des Volkes, und ist im Folklore, in den Mythen, Sagen, Redensarten, in der Spruchweisheit und in den umlaufenden Witzen eines Volkes vollständiger als im Traume aufzufinden.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müßten also die Aufgabe der Traumdeutung weit überschreiten, wenn wir der Bedeutung des Symbols gerecht werden und die zahlreichen, großenteils noch ungelösten Probleme erörtern wollten, welche sich an den Begriff des Symbols knüpfen </w:t>
      </w:r>
      <w:hyperlink r:id="rId16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Vgl. die Arbeiten von </w:t>
        </w:r>
        <w:r w:rsidRPr="00A06A59">
          <w:rPr>
            <w:rStyle w:val="innerfusslink3"/>
            <w:rFonts w:ascii="Garamond" w:hAnsi="Garamond" w:cs="Arial"/>
            <w:b/>
            <w:bCs/>
            <w:i/>
            <w:iCs/>
            <w:lang w:val="en-GB"/>
          </w:rPr>
          <w:t>Bleuler</w:t>
        </w:r>
        <w:r w:rsidRPr="00A06A59">
          <w:rPr>
            <w:rStyle w:val="innerfusslink3"/>
            <w:rFonts w:ascii="Garamond" w:hAnsi="Garamond" w:cs="Arial"/>
            <w:b/>
            <w:bCs/>
            <w:lang w:val="en-GB"/>
          </w:rPr>
          <w:t xml:space="preserve"> und seinen Züricher Schülern, </w:t>
        </w:r>
        <w:r w:rsidRPr="00A06A59">
          <w:rPr>
            <w:rStyle w:val="innerfusslink3"/>
            <w:rFonts w:ascii="Garamond" w:hAnsi="Garamond" w:cs="Arial"/>
            <w:b/>
            <w:bCs/>
            <w:i/>
            <w:iCs/>
            <w:lang w:val="en-GB"/>
          </w:rPr>
          <w:t>Maeder</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Abraham</w:t>
        </w:r>
        <w:r w:rsidRPr="00A06A59">
          <w:rPr>
            <w:rStyle w:val="innerfusslink3"/>
            <w:rFonts w:ascii="Garamond" w:hAnsi="Garamond" w:cs="Arial"/>
            <w:b/>
            <w:bCs/>
            <w:lang w:val="en-GB"/>
          </w:rPr>
          <w:t xml:space="preserve"> u.a. über Symbolik, und die nichtärztlichen Autoren, auf welche sie sich beziehen ( </w:t>
        </w:r>
        <w:r w:rsidRPr="00A06A59">
          <w:rPr>
            <w:rStyle w:val="innerfusslink3"/>
            <w:rFonts w:ascii="Garamond" w:hAnsi="Garamond" w:cs="Arial"/>
            <w:b/>
            <w:bCs/>
            <w:i/>
            <w:iCs/>
            <w:lang w:val="en-GB"/>
          </w:rPr>
          <w:t>Kleinpaul</w:t>
        </w:r>
        <w:r w:rsidRPr="00A06A59">
          <w:rPr>
            <w:rStyle w:val="innerfusslink3"/>
            <w:rFonts w:ascii="Garamond" w:hAnsi="Garamond" w:cs="Arial"/>
            <w:b/>
            <w:bCs/>
            <w:lang w:val="en-GB"/>
          </w:rPr>
          <w:t xml:space="preserve"> u.a.). Das Zutreffendste, was über diesen Gegenstand geäußert worden ist, findet sich in der Schrift von O.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xml:space="preserve"> und H. </w:t>
        </w:r>
        <w:r w:rsidRPr="00A06A59">
          <w:rPr>
            <w:rStyle w:val="innerfusslink3"/>
            <w:rFonts w:ascii="Garamond" w:hAnsi="Garamond" w:cs="Arial"/>
            <w:b/>
            <w:bCs/>
            <w:i/>
            <w:iCs/>
            <w:lang w:val="en-GB"/>
          </w:rPr>
          <w:t>Sachs</w:t>
        </w:r>
        <w:r w:rsidRPr="00A06A59">
          <w:rPr>
            <w:rStyle w:val="innerfusslink3"/>
            <w:rFonts w:ascii="Garamond" w:hAnsi="Garamond" w:cs="Arial"/>
            <w:b/>
            <w:bCs/>
            <w:lang w:val="en-GB"/>
          </w:rPr>
          <w:t xml:space="preserve">, Die Bedeutung der Psychoanalyse für die Geisteswissenschaften, 1913, Kap. I. Ferner E. </w:t>
        </w:r>
        <w:r w:rsidRPr="00A06A59">
          <w:rPr>
            <w:rStyle w:val="innerfusslink3"/>
            <w:rFonts w:ascii="Garamond" w:hAnsi="Garamond" w:cs="Arial"/>
            <w:b/>
            <w:bCs/>
            <w:i/>
            <w:iCs/>
            <w:lang w:val="en-GB"/>
          </w:rPr>
          <w:t>Jones</w:t>
        </w:r>
        <w:r w:rsidRPr="00A06A59">
          <w:rPr>
            <w:rStyle w:val="innerfusslink3"/>
            <w:rFonts w:ascii="Garamond" w:hAnsi="Garamond" w:cs="Arial"/>
            <w:b/>
            <w:bCs/>
            <w:lang w:val="en-GB"/>
          </w:rPr>
          <w:t>, Die Theorie der Symbolik, Int. Zeitschr. F. Psychoanalyse, V. 1919.</w:t>
        </w:r>
      </w:hyperlink>
      <w:r w:rsidRPr="00A06A59">
        <w:rPr>
          <w:rFonts w:ascii="Garamond" w:hAnsi="Garamond" w:cs="Arial"/>
          <w:color w:val="000000"/>
          <w:lang w:val="en-GB"/>
        </w:rPr>
        <w:t xml:space="preserve">. Wir wollen uns hier darauf beschränken zu sagen, daß die Darstellung durch ein Symbol zu den indirekten Darstellungen gehört, daß wir aber durch allerlei Anzeichen gewarnt werden, die Symboldarstellung unterschiedslos mit den anderen Arten indirekter Darstellung zusammenzuwerfen, ohne noch diese unterscheidenden Merkmale in begrifflicher Klarheit erfassen zu können. In einer Reihe von Fällen ist das Gemeinsame zwischen dem Symbol und dem Eigentlichen, für welches es eintritt, offenkundig, in anderen ist es versteckt; die Wahl des Symbols erscheint dann rätselhaft. Gerade diese Fälle müssen auf den letzten Sinn der Symbolbeziehung Licht werfen können; sie weisen darauf hin, daß dieselbe genetischer Natur ist. Was heute symbolisch verbunden ist, war wahrscheinlich in Urzeiten durch begriffliche und sprachliche Identität vereint </w:t>
      </w:r>
      <w:hyperlink r:id="rId16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Diese Auffassung würde eine außerordentliche Unterstützung in einer von Dr. Hans </w:t>
        </w:r>
        <w:r w:rsidRPr="00A06A59">
          <w:rPr>
            <w:rStyle w:val="innerfusslink3"/>
            <w:rFonts w:ascii="Garamond" w:hAnsi="Garamond" w:cs="Arial"/>
            <w:b/>
            <w:bCs/>
            <w:i/>
            <w:iCs/>
            <w:lang w:val="en-GB"/>
          </w:rPr>
          <w:t>Sperber</w:t>
        </w:r>
        <w:r w:rsidRPr="00A06A59">
          <w:rPr>
            <w:rStyle w:val="innerfusslink3"/>
            <w:rFonts w:ascii="Garamond" w:hAnsi="Garamond" w:cs="Arial"/>
            <w:b/>
            <w:bCs/>
            <w:lang w:val="en-GB"/>
          </w:rPr>
          <w:t xml:space="preserve"> vorgetragenen Lehre finden. </w:t>
        </w:r>
        <w:r w:rsidRPr="00A06A59">
          <w:rPr>
            <w:rStyle w:val="innerfusslink3"/>
            <w:rFonts w:ascii="Garamond" w:hAnsi="Garamond" w:cs="Arial"/>
            <w:b/>
            <w:bCs/>
            <w:i/>
            <w:iCs/>
            <w:lang w:val="en-GB"/>
          </w:rPr>
          <w:t>Sperber</w:t>
        </w:r>
        <w:r w:rsidRPr="00A06A59">
          <w:rPr>
            <w:rStyle w:val="innerfusslink3"/>
            <w:rFonts w:ascii="Garamond" w:hAnsi="Garamond" w:cs="Arial"/>
            <w:b/>
            <w:bCs/>
            <w:lang w:val="en-GB"/>
          </w:rPr>
          <w:t xml:space="preserve"> (Über den Einfluß sexueller Momente auf die Entstehung und Entwicklung der Sprache, Imago I, 1912) meint, daß die Urworte sämtlich sexuelle Dinge bezeichneten und dann diese sexuelle Bedeutung verloren, indem sie auf andere Dinge und Tätigkeiten übergingen, die mit den sexuellen verglichen wurden.</w:t>
        </w:r>
      </w:hyperlink>
      <w:r w:rsidRPr="00A06A59">
        <w:rPr>
          <w:rFonts w:ascii="Garamond" w:hAnsi="Garamond" w:cs="Arial"/>
          <w:color w:val="000000"/>
          <w:lang w:val="en-GB"/>
        </w:rPr>
        <w:t xml:space="preserve">. Die Symbolbeziehung scheint ein Rest und Merkzeichen einstiger Identität. Dabei kann man beobachten, daß die Symbolgemeinschaft in einer Anzahl von Fällen über die Sprachgemeinschaft hinausreicht, wie bereits </w:t>
      </w:r>
      <w:r w:rsidRPr="00A06A59">
        <w:rPr>
          <w:rFonts w:ascii="Garamond" w:hAnsi="Garamond" w:cs="Arial"/>
          <w:i/>
          <w:iCs/>
          <w:color w:val="000000"/>
          <w:lang w:val="en-GB"/>
        </w:rPr>
        <w:t>Schubert</w:t>
      </w:r>
      <w:r w:rsidRPr="00A06A59">
        <w:rPr>
          <w:rFonts w:ascii="Garamond" w:hAnsi="Garamond" w:cs="Arial"/>
          <w:color w:val="000000"/>
          <w:lang w:val="en-GB"/>
        </w:rPr>
        <w:t xml:space="preserve"> (1814) behauptet hat </w:t>
      </w:r>
      <w:hyperlink r:id="rId16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So tritt z. B. das auf dem Wasser fahrende Schiff in den Harnträumen ungarischer Träumer auf, obwohl dieser Sprache die Bezeichnung »schiffen« für »urinieren« fremd ist ( </w:t>
        </w:r>
        <w:r w:rsidRPr="00A06A59">
          <w:rPr>
            <w:rStyle w:val="innerfusslink3"/>
            <w:rFonts w:ascii="Garamond" w:hAnsi="Garamond" w:cs="Arial"/>
            <w:b/>
            <w:bCs/>
            <w:i/>
            <w:iCs/>
            <w:lang w:val="en-GB"/>
          </w:rPr>
          <w:t>Ferenczi</w:t>
        </w:r>
        <w:r w:rsidRPr="00A06A59">
          <w:rPr>
            <w:rStyle w:val="innerfusslink3"/>
            <w:rFonts w:ascii="Garamond" w:hAnsi="Garamond" w:cs="Arial"/>
            <w:b/>
            <w:bCs/>
            <w:lang w:val="en-GB"/>
          </w:rPr>
          <w:t>; vgl. auch S. 251). In den Träumen von Franzosen und anderen Romanen dient das Zimmer zur symbolischen Darstellung der Frau, obwohl diese Völker nichts dem deutschen »Frauenzimmer« Analoges kennen.</w:t>
        </w:r>
      </w:hyperlink>
      <w:r w:rsidRPr="00A06A59">
        <w:rPr>
          <w:rFonts w:ascii="Garamond" w:hAnsi="Garamond" w:cs="Arial"/>
          <w:color w:val="000000"/>
          <w:lang w:val="en-GB"/>
        </w:rPr>
        <w:t>. Eine Anzahl von Symbolen ist so alt wie die Sprachbildung überhaupt, andere werden aber in der Gegenwart fortlaufend neu gebildet (z. B. das Luftschiff, der Zeppelin).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Der Traum bedient sich nun dieser Symbolik zur verkleideten Darstellung seiner latenten Gedanken. Unter den so verwendeten Symbolen sind nun allerdings viele, die regelmäßig oder fast regelmäßig das nämliche bedeuten wollen. Nur möge man der eigentümlichen Plastizität des psychischen Materials eingedenk bleiben. Ein Symbol kann oft genug im Trauminhalt nicht symbolisch, sondern in seinem eigentlichen Sinne zu deuten sein; andere Male kann ein Träumer sich aus speziellem Erinnerungsmaterial das Recht schaffen, alles mögliche als Sexualsymbol zu verwenden, was nicht allgemein so verwendet wird. Wo ihm zur Darstellung eines Inhalts mehrere Symbole zur Auswahl bereitstehen, wird er sich für jenes Symbol entscheiden, das überdies noch Sachbeziehungen zu seinem sonstigen Gedankenmaterial aufweist, also eine individuelle Motivierung neben der typisch gültigen gestattet.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die neueren Forschungen über den Traum seit </w:t>
      </w:r>
      <w:r w:rsidRPr="00A06A59">
        <w:rPr>
          <w:rFonts w:ascii="Garamond" w:hAnsi="Garamond" w:cs="Arial"/>
          <w:i/>
          <w:iCs/>
          <w:color w:val="000000"/>
          <w:lang w:val="en-GB"/>
        </w:rPr>
        <w:t>Scherner</w:t>
      </w:r>
      <w:r w:rsidRPr="00A06A59">
        <w:rPr>
          <w:rFonts w:ascii="Garamond" w:hAnsi="Garamond" w:cs="Arial"/>
          <w:color w:val="000000"/>
          <w:lang w:val="en-GB"/>
        </w:rPr>
        <w:t xml:space="preserve"> die Anerkennung der Traumsymbolik unabweisbar gemacht haben, – selbst H. </w:t>
      </w:r>
      <w:r w:rsidRPr="00A06A59">
        <w:rPr>
          <w:rFonts w:ascii="Garamond" w:hAnsi="Garamond" w:cs="Arial"/>
          <w:i/>
          <w:iCs/>
          <w:color w:val="000000"/>
          <w:lang w:val="en-GB"/>
        </w:rPr>
        <w:t>Ellis</w:t>
      </w:r>
      <w:r w:rsidRPr="00A06A59">
        <w:rPr>
          <w:rFonts w:ascii="Garamond" w:hAnsi="Garamond" w:cs="Arial"/>
          <w:color w:val="000000"/>
          <w:lang w:val="en-GB"/>
        </w:rPr>
        <w:t xml:space="preserve"> bekennt sich dazu, es sei ein Zweifel nicht möglich, daß unsere Träume von Symbolik erfüllt seien, – so ist doch zuzugeben, daß die Aufgabe einer Traumdeutung durch die Existenz der Symbole im Traume nicht nur erleichtert, sondern auch erschwert wird. Die Technik der Deutung nach den freien Einfällen des Träumers läßt uns für die symbolischen Elemente des Trauminhaltes meist im Stich; eine Rückkehr zur Willkür des Traumdeuters, wie sie im Altertum geübt wurde und in den verwilderten Deutungen von </w:t>
      </w:r>
      <w:r w:rsidRPr="00A06A59">
        <w:rPr>
          <w:rFonts w:ascii="Garamond" w:hAnsi="Garamond" w:cs="Arial"/>
          <w:i/>
          <w:iCs/>
          <w:color w:val="000000"/>
          <w:lang w:val="en-GB"/>
        </w:rPr>
        <w:t>Stekel</w:t>
      </w:r>
      <w:r w:rsidRPr="00A06A59">
        <w:rPr>
          <w:rFonts w:ascii="Garamond" w:hAnsi="Garamond" w:cs="Arial"/>
          <w:color w:val="000000"/>
          <w:lang w:val="en-GB"/>
        </w:rPr>
        <w:t xml:space="preserve"> wieder aufzuleben scheint, ist aus Motiven wissenschaftlicher Kritik ausgeschlossen. Somit nötigen uns die im Trauminhalt vorhandenen, symbolisch aufzufassenden Elemente zu einer kombinierten Technik, welche sich einerseits auf die Assoziationen des Träumers stützt, anderseits das Fehlende aus dem Symbolverständnis des Deuters einsetzt. Kritische Vorsicht in der Auflösung der Symbole und sorgfältiges Studium derselben an besonders durchsichtigen Traumbeispielen müssen zusammentreffen, um den Vorwurf der Willkürlichkeit in der Traumdeutung zu entkräften. Die Unsicherheiten, die unserer Tätigkeit als Deuter des Traumes noch anhaften, rühren zum Teil von unserer unvollkommenen Erkenntnis her, die durch weitere Vertiefung fortschreitend gehoben werden kann, zum anderen Teil hängen sie gerade von gewissen Eigenschaften der Traumsymbole ab. Dieselben sind oft viel- und mehrdeutig, so daß, wie in der chinesischen Schrift, erst der Zusammenhang die jedesmal richtige Auffassung ermöglicht. Mit dieser Vieldeutigkeit der Symbole verbindet sich dann die Eignung des Traumes, Überdeutungen zuzulassen, in einem Inhalt verschiedene, oft ihrer Natur nach sehr abweichende Gedankenbildungen und Wunschregungen darzustellen.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Nach diesen Einschränkungen und Verwahrungen führe ich an: Der Kaiser und die Kaiserin (König und Königin) stellen wirklich zumeist die Eltern des Träumers dar, Prinz oder Prinzessin ist er selbst. Dieselbe hohe Autorität wie dem Kaiser wird aber auch großen Männern zugestanden, darum erscheint in manchen Träumen z. B. </w:t>
      </w:r>
      <w:r w:rsidRPr="00A06A59">
        <w:rPr>
          <w:rFonts w:ascii="Garamond" w:hAnsi="Garamond" w:cs="Arial"/>
          <w:i/>
          <w:iCs/>
          <w:color w:val="000000"/>
          <w:lang w:val="en-GB"/>
        </w:rPr>
        <w:t>Goethe</w:t>
      </w:r>
      <w:r w:rsidRPr="00A06A59">
        <w:rPr>
          <w:rFonts w:ascii="Garamond" w:hAnsi="Garamond" w:cs="Arial"/>
          <w:color w:val="000000"/>
          <w:lang w:val="en-GB"/>
        </w:rPr>
        <w:t xml:space="preserve"> als Vatersymbol. ( </w:t>
      </w:r>
      <w:r w:rsidRPr="00A06A59">
        <w:rPr>
          <w:rFonts w:ascii="Garamond" w:hAnsi="Garamond" w:cs="Arial"/>
          <w:i/>
          <w:iCs/>
          <w:color w:val="000000"/>
          <w:lang w:val="en-GB"/>
        </w:rPr>
        <w:t>Hitschmann</w:t>
      </w:r>
      <w:r w:rsidRPr="00A06A59">
        <w:rPr>
          <w:rFonts w:ascii="Garamond" w:hAnsi="Garamond" w:cs="Arial"/>
          <w:color w:val="000000"/>
          <w:lang w:val="en-GB"/>
        </w:rPr>
        <w:t xml:space="preserve">.) Alle in die Länge reichenden Objekte, Stöcke, Baumstämme, Schirme (des der Erektion vergleichbaren Aufspannens wegen!), alle länglichen und scharfen Waffen: Messer, Dolche, Piken, wollen das männliche Glied vertreten. Ein häufiges, nicht recht verständliches Symbol desselben ist die Nagelfeile (des Reibens und Schabens wegen?). Dosen, Schachteln, Kästen, Schränke, Öfen entsprechen dem Frauenleib, aber auch Höhlen, Schiffe und alle Arten von Gefäßen. Zimmer im Traume sind zumeist Frauenzimmer, die Schilderung ihrer verschiedenen Eingänge und Ausgänge macht an dieser Auslegung gerade nicht irre. </w:t>
      </w:r>
      <w:hyperlink r:id="rId169"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»Ein in einer Pension wohnender Patient träumt, </w:t>
        </w:r>
        <w:r w:rsidRPr="00A06A59">
          <w:rPr>
            <w:rStyle w:val="innerfusslink3"/>
            <w:rFonts w:ascii="Garamond" w:hAnsi="Garamond" w:cs="Arial"/>
            <w:b/>
            <w:bCs/>
            <w:i/>
            <w:iCs/>
          </w:rPr>
          <w:t>er begegne jemand vom Dienstpersonal und frage sie, welche Nummer sie habe; sie antwortet zu seiner Überraschung: 14</w:t>
        </w:r>
        <w:r w:rsidRPr="00A06A59">
          <w:rPr>
            <w:rStyle w:val="innerfusslink3"/>
            <w:rFonts w:ascii="Garamond" w:hAnsi="Garamond" w:cs="Arial"/>
            <w:b/>
            <w:bCs/>
          </w:rPr>
          <w:t xml:space="preserve">. Tatsächlich hat er Beziehungen zu dem in Rede stehenden Mädchen angeknüpft und auch mehrmals Zusammenkünfte mit ihr in seinem Schlafzimmer gehabt. Sie befürchtete begreiflicherweise, daß die Wirtin sie im Verdacht habe, und machte ihm am Tage vor dem Traum den Vorschlag, sich mit ihr in einem der unbewohnten Zimmer zu treffen. </w:t>
        </w:r>
        <w:r w:rsidRPr="00A06A59">
          <w:rPr>
            <w:rStyle w:val="innerfusslink3"/>
            <w:rFonts w:ascii="Garamond" w:hAnsi="Garamond" w:cs="Arial"/>
            <w:b/>
            <w:bCs/>
            <w:lang w:val="en-GB"/>
          </w:rPr>
          <w:t xml:space="preserve">In Wirklichkeit hatte dieses Zimmer die Nummer14, während im Traum das Weib diese Nummer trägt. </w:t>
        </w:r>
        <w:r w:rsidRPr="00A06A59">
          <w:rPr>
            <w:rStyle w:val="innerfusslink3"/>
            <w:rFonts w:ascii="Garamond" w:hAnsi="Garamond" w:cs="Arial"/>
            <w:b/>
            <w:bCs/>
          </w:rPr>
          <w:t xml:space="preserve">Ein deutlicherer Beleg für die Identifizierung von Frau und Zimmer laßt sich kaum denken.« (Ernest Jones, Intern. Zeitschr. F. Psychoanalyse II, 1914). (Vgl. </w:t>
        </w:r>
        <w:r w:rsidRPr="00A06A59">
          <w:rPr>
            <w:rStyle w:val="innerfusslink3"/>
            <w:rFonts w:ascii="Garamond" w:hAnsi="Garamond" w:cs="Arial"/>
            <w:b/>
            <w:bCs/>
            <w:i/>
            <w:iCs/>
          </w:rPr>
          <w:t>Artemidorus</w:t>
        </w:r>
        <w:r w:rsidRPr="00A06A59">
          <w:rPr>
            <w:rStyle w:val="innerfusslink3"/>
            <w:rFonts w:ascii="Garamond" w:hAnsi="Garamond" w:cs="Arial"/>
            <w:b/>
            <w:bCs/>
          </w:rPr>
          <w:t xml:space="preserve"> » </w:t>
        </w:r>
        <w:r w:rsidRPr="00A06A59">
          <w:rPr>
            <w:rStyle w:val="innerfusslink3"/>
            <w:rFonts w:ascii="Garamond" w:hAnsi="Garamond" w:cs="Arial"/>
            <w:b/>
            <w:bCs/>
            <w:i/>
            <w:iCs/>
          </w:rPr>
          <w:t>Symbolik der Träume«</w:t>
        </w:r>
        <w:r w:rsidRPr="00A06A59">
          <w:rPr>
            <w:rStyle w:val="innerfusslink3"/>
            <w:rFonts w:ascii="Garamond" w:hAnsi="Garamond" w:cs="Arial"/>
            <w:b/>
            <w:bCs/>
          </w:rPr>
          <w:t xml:space="preserve"> [übersetzt von F. S. </w:t>
        </w:r>
        <w:r w:rsidRPr="00A06A59">
          <w:rPr>
            <w:rStyle w:val="innerfusslink3"/>
            <w:rFonts w:ascii="Garamond" w:hAnsi="Garamond" w:cs="Arial"/>
            <w:b/>
            <w:bCs/>
            <w:i/>
            <w:iCs/>
          </w:rPr>
          <w:t>Krauß</w:t>
        </w:r>
        <w:r w:rsidRPr="00A06A59">
          <w:rPr>
            <w:rStyle w:val="innerfusslink3"/>
            <w:rFonts w:ascii="Garamond" w:hAnsi="Garamond" w:cs="Arial"/>
            <w:b/>
            <w:bCs/>
          </w:rPr>
          <w:t>, Wien, 1881, p. 110]: »So z. B. bedeutet die Schlafstube die Gattin, falls eine solche im Hause ist.«)</w:t>
        </w:r>
      </w:hyperlink>
      <w:r w:rsidRPr="00A06A59">
        <w:rPr>
          <w:rFonts w:ascii="Garamond" w:hAnsi="Garamond" w:cs="Arial"/>
          <w:color w:val="000000"/>
        </w:rPr>
        <w:t xml:space="preserve"> </w:t>
      </w:r>
      <w:r w:rsidRPr="00A06A59">
        <w:rPr>
          <w:rFonts w:ascii="Garamond" w:hAnsi="Garamond" w:cs="Arial"/>
          <w:color w:val="000000"/>
          <w:lang w:val="en-GB"/>
        </w:rPr>
        <w:t xml:space="preserve">Das Interesse, ob das Zimmer »offen« oder »verschlossen« ist, wird in diesem Zusammenhange leicht verständlich. (Vgl. den Traum Doras im Bruchstück einer Hysterie-Analyse.) Welcher Schlüssel das Zimmer aufsperrt, braucht dann nicht ausdrücklich gesagt zu werden; die Symbolik von Schloß und Schlüssel hat </w:t>
      </w:r>
      <w:r w:rsidRPr="00A06A59">
        <w:rPr>
          <w:rFonts w:ascii="Garamond" w:hAnsi="Garamond" w:cs="Arial"/>
          <w:i/>
          <w:iCs/>
          <w:color w:val="000000"/>
          <w:lang w:val="en-GB"/>
        </w:rPr>
        <w:t>Uhland</w:t>
      </w:r>
      <w:r w:rsidRPr="00A06A59">
        <w:rPr>
          <w:rFonts w:ascii="Garamond" w:hAnsi="Garamond" w:cs="Arial"/>
          <w:color w:val="000000"/>
          <w:lang w:val="en-GB"/>
        </w:rPr>
        <w:t xml:space="preserve"> im Lied vom Grafen Eberstein zur anmutigsten Zote gedient. – Der Traum, durch eine Flucht von Zimmern zu gehen, ist ein Bordell- oder Haremstraum. Er wird aber, wie H. </w:t>
      </w:r>
      <w:r w:rsidRPr="00A06A59">
        <w:rPr>
          <w:rFonts w:ascii="Garamond" w:hAnsi="Garamond" w:cs="Arial"/>
          <w:i/>
          <w:iCs/>
          <w:color w:val="000000"/>
          <w:lang w:val="en-GB"/>
        </w:rPr>
        <w:t>Sachs</w:t>
      </w:r>
      <w:r w:rsidRPr="00A06A59">
        <w:rPr>
          <w:rFonts w:ascii="Garamond" w:hAnsi="Garamond" w:cs="Arial"/>
          <w:color w:val="000000"/>
          <w:lang w:val="en-GB"/>
        </w:rPr>
        <w:t xml:space="preserve"> an schönen Beispielen gezeigt hat, zur Darstellung der Ehe (Gegensatz) verwendet. – Eine interessante Beziehung zur infantilen Sexualforschung ergibt sich, wenn der Träumer von zwei Zimmern träumt, die früher eines waren, oder ein ihm bekanntes Zimmer einer Wohnung im Traume in zwei geteilt sieht oder das Umgekehrte. In der Kindheit hat man das weibliche Genitale (den Popo) für einen einzigen Raum gehalten (die infantile Kloakentheorie) und erst später erfahren, daß diese Körperregion zwei gesonderte Höhlungen und Öffnungen umfaßt. – Stiegen, Leitern, Treppen, respektive das Steigen auf ihnen, und zwar sowohl aufwärts als abwärts, sind symbolische Darstellungen des Geschlechtsaktes </w:t>
      </w:r>
      <w:hyperlink r:id="rId17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Ich wiederhole hierüber, was ich an anderer Stelle (Die zukünftigen Chancen der psychoanalytischen Therapie, Zentralbl. F. Psychoanalyse I, </w:t>
        </w:r>
        <w:r w:rsidRPr="00A06A59">
          <w:rPr>
            <w:rStyle w:val="innerfusslink3"/>
            <w:rFonts w:ascii="Garamond" w:hAnsi="Garamond" w:cs="Arial"/>
            <w:b/>
            <w:bCs/>
            <w:lang w:val="en-GB"/>
          </w:rPr>
          <w:lastRenderedPageBreak/>
          <w:t xml:space="preserve">1910 [Ges. Schriften, Bd. VI]) geäußert habe: »Vor einiger Zeit wurde es mir bekannt, daß ein uns ferner stehender Psychologe sich an einen von uns mit der Bemerkung gewendet, wir überschätzten doch gewiß die geheime sexuelle Bedeutung der Träume. Sein häufigster Traum sei, eine Stiege hinaufzusteigen, und da sei doch gewiß nichts Sexuelles dahinter. Durch diesen Einwand aufmerksam gemacht, haben wir dem Vorkommen von Stiegen, Treppen, Leitern im Traum Aufmerksamkeit geschenkt und konnten bald feststellen, daß die Stiege (und was ihr analog ist) ein sicheres Koitussymbol darstellt. Die Grundlage der Vergleichung ist nicht schwer aufzufinden; in rhythmischen Absätzen, unter zunehmender Atemnot kommt man auf eine Höhe und kann dann in ein paar raschen Sprüngen wieder unten sein. So findet sich der Rhythmus des Koitus im Stiegensteigen wieder. Vergessen wir nicht, den Sprachgebrauch heranzuziehen. Er zeigt uns, daß das Steigen ohne weiteres als Ersatzbezeichnung der sexuellen Aktion gebraucht wird. </w:t>
        </w:r>
        <w:r w:rsidRPr="00A06A59">
          <w:rPr>
            <w:rStyle w:val="innerfusslink3"/>
            <w:rFonts w:ascii="Garamond" w:hAnsi="Garamond" w:cs="Arial"/>
            <w:b/>
            <w:bCs/>
          </w:rPr>
          <w:t xml:space="preserve">Man pflegt zu sagen, der Mann ist ein Steiger, nachsteigen. Im Französischen heißt die Stufe der Treppe </w:t>
        </w:r>
        <w:r w:rsidRPr="00A06A59">
          <w:rPr>
            <w:rStyle w:val="innerfusslink3"/>
            <w:rFonts w:ascii="Garamond" w:hAnsi="Garamond" w:cs="Arial"/>
            <w:b/>
            <w:bCs/>
            <w:i/>
            <w:iCs/>
          </w:rPr>
          <w:t>la marche: ›un vieux marcheur‹</w:t>
        </w:r>
        <w:r w:rsidRPr="00A06A59">
          <w:rPr>
            <w:rStyle w:val="innerfusslink3"/>
            <w:rFonts w:ascii="Garamond" w:hAnsi="Garamond" w:cs="Arial"/>
            <w:b/>
            <w:bCs/>
          </w:rPr>
          <w:t xml:space="preserve"> deckt sich ganz mit unserem »ein alter Steiger.«</w:t>
        </w:r>
      </w:hyperlink>
      <w:r w:rsidRPr="00A06A59">
        <w:rPr>
          <w:rFonts w:ascii="Garamond" w:hAnsi="Garamond" w:cs="Arial"/>
          <w:color w:val="000000"/>
          <w:lang w:val="en-GB"/>
        </w:rPr>
        <w:t xml:space="preserve">. – Glatte Wände, über die man klettert, Fassaden von Häusern, an denen man sich – häufig unter starker Angst – herabläßt, entsprechen aufrechten menschlichen Körpern, wiederholen im Traum wahrscheinlich die Erinnerung an das Emporklettern des kleinen Kindes an Eltern und Pflegepersonen. Die »glatten« Mauern sind Männer; an den »Vorsprüngen« der Häuser hält man sich nicht selten in der Traumangst fest. – Tische, gedeckte Tische und Bretter sind gleichfalls Frauen, wohl des Gegensatzes wegen, der hier die Körperwölbungen aufhebt. »Holz« scheint überhaupt nach seinen sprachlichen Beziehungen ein Vertreter des weiblichen Stoffes (Materie) zu sein. Der Name der Insel </w:t>
      </w:r>
      <w:r w:rsidRPr="00A06A59">
        <w:rPr>
          <w:rFonts w:ascii="Garamond" w:hAnsi="Garamond" w:cs="Arial"/>
          <w:i/>
          <w:iCs/>
          <w:color w:val="000000"/>
          <w:lang w:val="en-GB"/>
        </w:rPr>
        <w:t>Madeira</w:t>
      </w:r>
      <w:r w:rsidRPr="00A06A59">
        <w:rPr>
          <w:rFonts w:ascii="Garamond" w:hAnsi="Garamond" w:cs="Arial"/>
          <w:color w:val="000000"/>
          <w:lang w:val="en-GB"/>
        </w:rPr>
        <w:t xml:space="preserve"> bedeutet im Portugiesischen: Holz. Da »Tisch und Bett« die Ehe ausmachen, wird im Traum häufig der erstere für das letztere gesetzt und, soweit es angeht, der sexuelle Vorstellungskomplex auf den Eßkomplex transponiert. – Von Kleidungsstücken ist der Hut einer Frau sehr häufig mit Sicherheit als Genitale, und zwar des Mannes, zu deuten. Ebenso der Mantel, wobei es dahingestellt bleibt, welcher Anteil an dieser Symbolverwendung dem Wortanklang zukommt. In Träumen der Männer findet man häufig die Krawatte als Symbol des Penis, wohl nicht nur darum, weil sie lange herabhängt und für den Mann charakteristisch ist, sondern auch, weil man sie nach seinem Wohlgefallen auswählen kann, eine Freiheit, die beim Eigentlichen dieses Symbols von der Natur verwehrt ist </w:t>
      </w:r>
      <w:hyperlink r:id="rId17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Vgl. im </w:t>
        </w:r>
        <w:r w:rsidRPr="00A06A59">
          <w:rPr>
            <w:rStyle w:val="innerfusslink3"/>
            <w:rFonts w:ascii="Garamond" w:hAnsi="Garamond" w:cs="Arial"/>
            <w:b/>
            <w:bCs/>
            <w:i/>
            <w:iCs/>
            <w:lang w:val="en-GB"/>
          </w:rPr>
          <w:t>Zentbl. Psychoanal.,</w:t>
        </w:r>
        <w:r w:rsidRPr="00A06A59">
          <w:rPr>
            <w:rStyle w:val="innerfusslink3"/>
            <w:rFonts w:ascii="Garamond" w:hAnsi="Garamond" w:cs="Arial"/>
            <w:b/>
            <w:bCs/>
            <w:lang w:val="en-GB"/>
          </w:rPr>
          <w:t xml:space="preserve"> II, 675, die Zeichnung einer 19jährigen Manischen: ein Mann mit einer Schlange als </w:t>
        </w:r>
        <w:r w:rsidRPr="00A06A59">
          <w:rPr>
            <w:rStyle w:val="innerfusslink3"/>
            <w:rFonts w:ascii="Garamond" w:hAnsi="Garamond" w:cs="Arial"/>
            <w:b/>
            <w:bCs/>
            <w:i/>
            <w:iCs/>
            <w:lang w:val="en-GB"/>
          </w:rPr>
          <w:t>Krawatte</w:t>
        </w:r>
        <w:r w:rsidRPr="00A06A59">
          <w:rPr>
            <w:rStyle w:val="innerfusslink3"/>
            <w:rFonts w:ascii="Garamond" w:hAnsi="Garamond" w:cs="Arial"/>
            <w:b/>
            <w:bCs/>
            <w:lang w:val="en-GB"/>
          </w:rPr>
          <w:t xml:space="preserve">, die sich einem Mädchen entgegenwendet. Dazu die Geschichte Der Schamhaftige </w:t>
        </w:r>
        <w:r w:rsidRPr="00A06A59">
          <w:rPr>
            <w:rStyle w:val="innerfusslink3"/>
            <w:rFonts w:ascii="Garamond" w:hAnsi="Garamond" w:cs="Arial"/>
            <w:b/>
            <w:bCs/>
            <w:i/>
            <w:iCs/>
            <w:lang w:val="en-GB"/>
          </w:rPr>
          <w:t>(Anthropophyteia,</w:t>
        </w:r>
        <w:r w:rsidRPr="00A06A59">
          <w:rPr>
            <w:rStyle w:val="innerfusslink3"/>
            <w:rFonts w:ascii="Garamond" w:hAnsi="Garamond" w:cs="Arial"/>
            <w:b/>
            <w:bCs/>
            <w:lang w:val="en-GB"/>
          </w:rPr>
          <w:t xml:space="preserve"> VI, 334): In eine Badestube trat eine Dame ein, und dort befand sich ein Herr, der kaum das Hemd anzulegen vermochte; er war sehr beschämt, deckte sich aber sofort den Hals mit dem Vorderteil des Hemdes zu und sagte: »Bitte um Verzeihung, bin ohne </w:t>
        </w:r>
        <w:r w:rsidRPr="00A06A59">
          <w:rPr>
            <w:rStyle w:val="innerfusslink3"/>
            <w:rFonts w:ascii="Garamond" w:hAnsi="Garamond" w:cs="Arial"/>
            <w:b/>
            <w:bCs/>
            <w:i/>
            <w:iCs/>
            <w:lang w:val="en-GB"/>
          </w:rPr>
          <w:t>Krawatte</w:t>
        </w:r>
        <w:r w:rsidRPr="00A06A59">
          <w:rPr>
            <w:rStyle w:val="innerfusslink3"/>
            <w:rFonts w:ascii="Garamond" w:hAnsi="Garamond" w:cs="Arial"/>
            <w:b/>
            <w:bCs/>
            <w:lang w:val="en-GB"/>
          </w:rPr>
          <w:t>.«</w:t>
        </w:r>
      </w:hyperlink>
      <w:r w:rsidRPr="00A06A59">
        <w:rPr>
          <w:rFonts w:ascii="Garamond" w:hAnsi="Garamond" w:cs="Arial"/>
          <w:color w:val="000000"/>
        </w:rPr>
        <w:t xml:space="preserve">. Personen, die dies Symbol im Traume verwenden, treiben im Leben oft großen Luxus mit Krawatten und besitzen förmliche Sammlungen von ihnen. – Alle komplizierten Maschinerien und Apparate der Träume sind mit großer Wahrscheinlichkeit Genitalien in der Regel männliche, – in deren Beschreibung sich die Traumsymbolik so unermüdlich wie die Witzarbeit erweist. Ganz unverkennbar ist es auch, daß alle Waffen und Werkzeuge zu Symbolen des männlichen Gliedes verwendet werden: Pflug, Hammer, Flinte, Revolver, Dolch, Säbel usw. – Ebenso sind viele Landschaften der Träume, besonders solche mit Brücken oder mit bewaldeten Bergen, unschwer als Genitalbeschreibungen zu erkennen. </w:t>
      </w:r>
      <w:r w:rsidRPr="00A06A59">
        <w:rPr>
          <w:rFonts w:ascii="Garamond" w:hAnsi="Garamond" w:cs="Arial"/>
          <w:i/>
          <w:iCs/>
          <w:color w:val="000000"/>
        </w:rPr>
        <w:t>Marcinowski</w:t>
      </w:r>
      <w:r w:rsidRPr="00A06A59">
        <w:rPr>
          <w:rFonts w:ascii="Garamond" w:hAnsi="Garamond" w:cs="Arial"/>
          <w:color w:val="000000"/>
        </w:rPr>
        <w:t xml:space="preserve"> hat eine Reihe von Beispielen gesammelt, in denen die Träumer ihre Träume durch Zeichnungen erläuterten, welche die darin vorkommenden Landschaften und Räumlichkeiten darstellen sollten. </w:t>
      </w:r>
      <w:r w:rsidRPr="00A06A59">
        <w:rPr>
          <w:rFonts w:ascii="Garamond" w:hAnsi="Garamond" w:cs="Arial"/>
          <w:color w:val="000000"/>
          <w:lang w:val="en-GB"/>
        </w:rPr>
        <w:t xml:space="preserve">Diese Zeichnungen machen den Unterschied von manifester und latenter Bedeutung im Traume sehr anschaulich. Während sie, arglos betrachtet, Pläne, Landkarten u. dgl. zu bringen scheinen, enthüllen sie sich einer eindringlicheren Untersuchung als Darstellungen des menschlichen Körpers, der Genitalien usw. und ermöglichen erst nach dieser Auffassung das Verständnis des Traumes. (Vgl. hiezu </w:t>
      </w:r>
      <w:r w:rsidRPr="00A06A59">
        <w:rPr>
          <w:rFonts w:ascii="Garamond" w:hAnsi="Garamond" w:cs="Arial"/>
          <w:i/>
          <w:iCs/>
          <w:color w:val="000000"/>
          <w:lang w:val="en-GB"/>
        </w:rPr>
        <w:t>Pfisters</w:t>
      </w:r>
      <w:r w:rsidRPr="00A06A59">
        <w:rPr>
          <w:rFonts w:ascii="Garamond" w:hAnsi="Garamond" w:cs="Arial"/>
          <w:color w:val="000000"/>
          <w:lang w:val="en-GB"/>
        </w:rPr>
        <w:t xml:space="preserve"> Arbeiten über Kryptographie und Vexierbilder.) Auch darf man bei unverständlichen Wortneubildungen an Zusammensetzung aus Bestandteilen mit sexueller Bedeutung denken. – Auch Kinder bedeuten im Traume oft nichts anderes als Genitalien, wie ja Männer und Frauen gewohnt sind, ihr Genitale liebkosend als ihr »Kleines« zu bezeichnen. Den »kleinen Bruder« hat </w:t>
      </w:r>
      <w:r w:rsidRPr="00A06A59">
        <w:rPr>
          <w:rFonts w:ascii="Garamond" w:hAnsi="Garamond" w:cs="Arial"/>
          <w:i/>
          <w:iCs/>
          <w:color w:val="000000"/>
          <w:lang w:val="en-GB"/>
        </w:rPr>
        <w:t>Stekel</w:t>
      </w:r>
      <w:r w:rsidRPr="00A06A59">
        <w:rPr>
          <w:rFonts w:ascii="Garamond" w:hAnsi="Garamond" w:cs="Arial"/>
          <w:color w:val="000000"/>
          <w:lang w:val="en-GB"/>
        </w:rPr>
        <w:t xml:space="preserve"> richtig als den Penis erkannt. Mit einem kleinen Kinde spielen, den Kleinen schlagen usw. sind häufig Traumdarstellungen der Onanie. – Zur symbolischen Darstellung der Kastration dient der Traumarbeit: die Kahlheit, das Haarschneiden, der Zahnausfall und das Köpfen. Als Verwahrung gegen die Kastration ist es aufzufassen, wenn eines der gebräuchlichen Penissymbole im Traume in Doppel- oder Mehrzahl vorkommt. Auch das Auftreten der Eidechse im Traume – eines Tieres, dem der abgerissene Schwanz nachwächst – hat dieselbe Bedeutung. (Vgl. oben den Eidechsentraum S. 8.) – Von den Tieren, die in Mythologie und Folklore als Genitalsymbole verwendet werden, spielen mehrere auch im Traum diese Rolle: der Fisch, die Schnecke, die Katze, die Maus (der Genitalbehaarung wegen), vor allem aber das bedeutsamste Symbol des männlichen Gliedes, die Schlange. Kleine Tiere, Ungeziefer sind die Vertreter von kleinen Kindern, z. B. der unerwünschten Geschwister; mit Ungeziefer behaftet sein ist oft gleichzusetzen der Gravidität. – Als ein ganz rezentes Traumsymbol des männlichen Genitales ist das Luftschiff zu erwähnen, welches sowohl durch seine Beziehung zum Fliegen wie gelegentlich durch seine Form solche Verwendung rechtfertigt. – Eine Reihe anderer, zum Teil noch nicht genügend </w:t>
      </w:r>
      <w:r w:rsidRPr="00A06A59">
        <w:rPr>
          <w:rFonts w:ascii="Garamond" w:hAnsi="Garamond" w:cs="Arial"/>
          <w:color w:val="000000"/>
          <w:lang w:val="en-GB"/>
        </w:rPr>
        <w:lastRenderedPageBreak/>
        <w:t xml:space="preserve">verifizierter Symbole hat </w:t>
      </w:r>
      <w:r w:rsidRPr="00A06A59">
        <w:rPr>
          <w:rFonts w:ascii="Garamond" w:hAnsi="Garamond" w:cs="Arial"/>
          <w:i/>
          <w:iCs/>
          <w:color w:val="000000"/>
          <w:lang w:val="en-GB"/>
        </w:rPr>
        <w:t>Stekel</w:t>
      </w:r>
      <w:r w:rsidRPr="00A06A59">
        <w:rPr>
          <w:rFonts w:ascii="Garamond" w:hAnsi="Garamond" w:cs="Arial"/>
          <w:color w:val="000000"/>
          <w:lang w:val="en-GB"/>
        </w:rPr>
        <w:t xml:space="preserve"> angegeben und durch Beispiele belegt. Die Schriften von </w:t>
      </w:r>
      <w:r w:rsidRPr="00A06A59">
        <w:rPr>
          <w:rFonts w:ascii="Garamond" w:hAnsi="Garamond" w:cs="Arial"/>
          <w:i/>
          <w:iCs/>
          <w:color w:val="000000"/>
          <w:lang w:val="en-GB"/>
        </w:rPr>
        <w:t>Stekel</w:t>
      </w:r>
      <w:r w:rsidRPr="00A06A59">
        <w:rPr>
          <w:rFonts w:ascii="Garamond" w:hAnsi="Garamond" w:cs="Arial"/>
          <w:color w:val="000000"/>
          <w:lang w:val="en-GB"/>
        </w:rPr>
        <w:t xml:space="preserve">, besonders sein Buch: </w:t>
      </w:r>
      <w:r w:rsidRPr="00A06A59">
        <w:rPr>
          <w:rFonts w:ascii="Garamond" w:hAnsi="Garamond" w:cs="Arial"/>
          <w:i/>
          <w:iCs/>
          <w:color w:val="000000"/>
          <w:lang w:val="en-GB"/>
        </w:rPr>
        <w:t>Die Sprache des Traumes</w:t>
      </w:r>
      <w:r w:rsidRPr="00A06A59">
        <w:rPr>
          <w:rFonts w:ascii="Garamond" w:hAnsi="Garamond" w:cs="Arial"/>
          <w:color w:val="000000"/>
          <w:lang w:val="en-GB"/>
        </w:rPr>
        <w:t>, enthalten die reichste Sammlung von Symbolauflösungen, die zum Teil scharfsinnig erraten sind und sich bei der Nachprüfung als richtig erwiesen haben, z. B. in dem Abschnitt über die Symbolik des Todes. Die mangelhafte Kritik des Verfassers und seine Neigung zu Verallgemeinerungen um jeden Preis machen aber andere seiner Deutungen zweifelhaft oder unverwendbar, so daß bei dem Gebrauch dieser Arbeiten Vorsicht dringend anzuraten ist. Ich beschränke mich darum auf die Hervorhebung weniger Beispiele.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lang w:val="en-GB"/>
        </w:rPr>
        <w:t>Rechts</w:t>
      </w:r>
      <w:r w:rsidRPr="00A06A59">
        <w:rPr>
          <w:rFonts w:ascii="Garamond" w:hAnsi="Garamond" w:cs="Arial"/>
          <w:color w:val="000000"/>
          <w:lang w:val="en-GB"/>
        </w:rPr>
        <w:t xml:space="preserve"> und </w:t>
      </w:r>
      <w:r w:rsidRPr="00A06A59">
        <w:rPr>
          <w:rFonts w:ascii="Garamond" w:hAnsi="Garamond" w:cs="Arial"/>
          <w:i/>
          <w:iCs/>
          <w:color w:val="000000"/>
          <w:lang w:val="en-GB"/>
        </w:rPr>
        <w:t>Links</w:t>
      </w:r>
      <w:r w:rsidRPr="00A06A59">
        <w:rPr>
          <w:rFonts w:ascii="Garamond" w:hAnsi="Garamond" w:cs="Arial"/>
          <w:color w:val="000000"/>
          <w:lang w:val="en-GB"/>
        </w:rPr>
        <w:t xml:space="preserve"> sollen nach </w:t>
      </w:r>
      <w:r w:rsidRPr="00A06A59">
        <w:rPr>
          <w:rFonts w:ascii="Garamond" w:hAnsi="Garamond" w:cs="Arial"/>
          <w:i/>
          <w:iCs/>
          <w:color w:val="000000"/>
          <w:lang w:val="en-GB"/>
        </w:rPr>
        <w:t>Stekel</w:t>
      </w:r>
      <w:r w:rsidRPr="00A06A59">
        <w:rPr>
          <w:rFonts w:ascii="Garamond" w:hAnsi="Garamond" w:cs="Arial"/>
          <w:color w:val="000000"/>
          <w:lang w:val="en-GB"/>
        </w:rPr>
        <w:t xml:space="preserve"> im Traum ethisch aufzufassen sein. »Der rechte Weg bedeutet immer den Weg des Rechtes, der linke den des Verbrechens. So kann der linke Homosexualität, Inzest, Perversion, der rechte die Ehe, Verkehr mit einer Dirne usw. darstellen. Immer gewertet von dem individuell moralischen Standpunkt des Träumers« (l. c. p. </w:t>
      </w:r>
      <w:smartTag w:uri="urn:schemas-microsoft-com:office:smarttags" w:element="metricconverter">
        <w:smartTagPr>
          <w:attr w:name="ProductID" w:val="466f"/>
        </w:smartTagPr>
        <w:r w:rsidRPr="00A06A59">
          <w:rPr>
            <w:rFonts w:ascii="Garamond" w:hAnsi="Garamond" w:cs="Arial"/>
            <w:color w:val="000000"/>
            <w:lang w:val="en-GB"/>
          </w:rPr>
          <w:t>466f</w:t>
        </w:r>
      </w:smartTag>
      <w:r w:rsidRPr="00A06A59">
        <w:rPr>
          <w:rFonts w:ascii="Garamond" w:hAnsi="Garamond" w:cs="Arial"/>
          <w:color w:val="000000"/>
          <w:lang w:val="en-GB"/>
        </w:rPr>
        <w:t xml:space="preserve">.). Die </w:t>
      </w:r>
      <w:r w:rsidRPr="00A06A59">
        <w:rPr>
          <w:rFonts w:ascii="Garamond" w:hAnsi="Garamond" w:cs="Arial"/>
          <w:i/>
          <w:iCs/>
          <w:color w:val="000000"/>
          <w:lang w:val="en-GB"/>
        </w:rPr>
        <w:t>Verwandten</w:t>
      </w:r>
      <w:r w:rsidRPr="00A06A59">
        <w:rPr>
          <w:rFonts w:ascii="Garamond" w:hAnsi="Garamond" w:cs="Arial"/>
          <w:color w:val="000000"/>
          <w:lang w:val="en-GB"/>
        </w:rPr>
        <w:t xml:space="preserve"> überhaupt spielen im Traume meistens die Rolle von Genitalien (p. 473). Hier kann ich in dieser Bedeutung nur den Sohn, die Tochter, die jüngere Schwester bestätigen, soweit also das Anwendungsgebiet des »Kleinen« reicht. Dagegen erkennt man an gesicherten Beispielen die </w:t>
      </w:r>
      <w:r w:rsidRPr="00A06A59">
        <w:rPr>
          <w:rFonts w:ascii="Garamond" w:hAnsi="Garamond" w:cs="Arial"/>
          <w:i/>
          <w:iCs/>
          <w:color w:val="000000"/>
          <w:lang w:val="en-GB"/>
        </w:rPr>
        <w:t>Schwestern</w:t>
      </w:r>
      <w:r w:rsidRPr="00A06A59">
        <w:rPr>
          <w:rFonts w:ascii="Garamond" w:hAnsi="Garamond" w:cs="Arial"/>
          <w:color w:val="000000"/>
          <w:lang w:val="en-GB"/>
        </w:rPr>
        <w:t xml:space="preserve"> als Symbole der Brüste, die </w:t>
      </w:r>
      <w:r w:rsidRPr="00A06A59">
        <w:rPr>
          <w:rFonts w:ascii="Garamond" w:hAnsi="Garamond" w:cs="Arial"/>
          <w:i/>
          <w:iCs/>
          <w:color w:val="000000"/>
          <w:lang w:val="en-GB"/>
        </w:rPr>
        <w:t>Brüder</w:t>
      </w:r>
      <w:r w:rsidRPr="00A06A59">
        <w:rPr>
          <w:rFonts w:ascii="Garamond" w:hAnsi="Garamond" w:cs="Arial"/>
          <w:color w:val="000000"/>
          <w:lang w:val="en-GB"/>
        </w:rPr>
        <w:t xml:space="preserve"> als solche der großen Hemisphären. Das </w:t>
      </w:r>
      <w:r w:rsidRPr="00A06A59">
        <w:rPr>
          <w:rFonts w:ascii="Garamond" w:hAnsi="Garamond" w:cs="Arial"/>
          <w:i/>
          <w:iCs/>
          <w:color w:val="000000"/>
          <w:lang w:val="en-GB"/>
        </w:rPr>
        <w:t>Nichteinholen</w:t>
      </w:r>
      <w:r w:rsidRPr="00A06A59">
        <w:rPr>
          <w:rFonts w:ascii="Garamond" w:hAnsi="Garamond" w:cs="Arial"/>
          <w:color w:val="000000"/>
          <w:lang w:val="en-GB"/>
        </w:rPr>
        <w:t xml:space="preserve"> eines Wagens löst </w:t>
      </w:r>
      <w:r w:rsidRPr="00A06A59">
        <w:rPr>
          <w:rFonts w:ascii="Garamond" w:hAnsi="Garamond" w:cs="Arial"/>
          <w:i/>
          <w:iCs/>
          <w:color w:val="000000"/>
          <w:lang w:val="en-GB"/>
        </w:rPr>
        <w:t>Stekel</w:t>
      </w:r>
      <w:r w:rsidRPr="00A06A59">
        <w:rPr>
          <w:rFonts w:ascii="Garamond" w:hAnsi="Garamond" w:cs="Arial"/>
          <w:color w:val="000000"/>
          <w:lang w:val="en-GB"/>
        </w:rPr>
        <w:t xml:space="preserve"> als das Bedauern über eine nicht einzuholende Altersdifferenz (p. 479). Das </w:t>
      </w:r>
      <w:r w:rsidRPr="00A06A59">
        <w:rPr>
          <w:rFonts w:ascii="Garamond" w:hAnsi="Garamond" w:cs="Arial"/>
          <w:i/>
          <w:iCs/>
          <w:color w:val="000000"/>
          <w:lang w:val="en-GB"/>
        </w:rPr>
        <w:t>Gepäck</w:t>
      </w:r>
      <w:r w:rsidRPr="00A06A59">
        <w:rPr>
          <w:rFonts w:ascii="Garamond" w:hAnsi="Garamond" w:cs="Arial"/>
          <w:color w:val="000000"/>
          <w:lang w:val="en-GB"/>
        </w:rPr>
        <w:t xml:space="preserve">, mit dem man reist, sei die Sündenlast, von der man gedrückt wird (ibd.). Gerade das Reisegepäck erweist sich aber häufig als unverkennbares Symbol der eigenen Genitalien. Auch den häufig in Träumen vorkommenden Zahlen hat </w:t>
      </w:r>
      <w:r w:rsidRPr="00A06A59">
        <w:rPr>
          <w:rFonts w:ascii="Garamond" w:hAnsi="Garamond" w:cs="Arial"/>
          <w:i/>
          <w:iCs/>
          <w:color w:val="000000"/>
          <w:lang w:val="en-GB"/>
        </w:rPr>
        <w:t>Stekel</w:t>
      </w:r>
      <w:r w:rsidRPr="00A06A59">
        <w:rPr>
          <w:rFonts w:ascii="Garamond" w:hAnsi="Garamond" w:cs="Arial"/>
          <w:color w:val="000000"/>
          <w:lang w:val="en-GB"/>
        </w:rPr>
        <w:t xml:space="preserve"> fixierte Symbolbedeutungen zugewiesen, doch erscheinen diese Auflösungen weder genügend sichergestellt noch allgemein gültig, wenngleich die Deutung im einzelnen Falle meist als wahrscheinlich anerkannt werden darf. </w:t>
      </w:r>
      <w:r w:rsidRPr="00A06A59">
        <w:rPr>
          <w:rFonts w:ascii="Garamond" w:hAnsi="Garamond" w:cs="Arial"/>
          <w:color w:val="000000"/>
        </w:rPr>
        <w:t xml:space="preserve">Die Dreizahl ist übrigens ein mehrseitig sichergestelltes Symbol des männlichen Genitales. Eine der Verallgemeinerungen, welche </w:t>
      </w:r>
      <w:r w:rsidRPr="00A06A59">
        <w:rPr>
          <w:rFonts w:ascii="Garamond" w:hAnsi="Garamond" w:cs="Arial"/>
          <w:i/>
          <w:iCs/>
          <w:color w:val="000000"/>
        </w:rPr>
        <w:t>Stekel</w:t>
      </w:r>
      <w:r w:rsidRPr="00A06A59">
        <w:rPr>
          <w:rFonts w:ascii="Garamond" w:hAnsi="Garamond" w:cs="Arial"/>
          <w:color w:val="000000"/>
        </w:rPr>
        <w:t xml:space="preserve"> aufstellt, bezieht sich auf die doppelsinnige Bedeutung der Genitalsymbole. »Wo gäbe es ein Symbol, das – wenn es die Phantasie nur einigermaßen erlaubt – nicht männlich und weiblich zugleich gebraucht werden könnte!« Der eingeschobene Satz nimmt allerdings viel von der Sicherheit dieser Behauptung zurück, denn die Phantasie erlaubt es eben nicht immer. Ich halte es aber doch für nicht überflüssig, auszusprechen, daß nach meinen Erfahrungen der allgemeine Satz </w:t>
      </w:r>
      <w:r w:rsidRPr="00A06A59">
        <w:rPr>
          <w:rFonts w:ascii="Garamond" w:hAnsi="Garamond" w:cs="Arial"/>
          <w:i/>
          <w:iCs/>
          <w:color w:val="000000"/>
        </w:rPr>
        <w:t>Stekel</w:t>
      </w:r>
      <w:r w:rsidRPr="00A06A59">
        <w:rPr>
          <w:rFonts w:ascii="Garamond" w:hAnsi="Garamond" w:cs="Arial"/>
          <w:color w:val="000000"/>
        </w:rPr>
        <w:t>s vor der Anerkennung einer größeren Mannigfaltigkeit zurückzutreten hat. Außer Symbolen, die ebenso häufig für das männliche wie für das weibliche Genitale stehen, gibt es solche, die vorwiegend oder fast ausschließlich eines der Geschlechter bezeichnen, und noch andere, von denen nur die männliche oder nur die weibliche Bedeutung bekannt ist. Lange, feste Gegenstände und Waffen als Symbole des weiblichen Genitales zu gebrauchen oder hohle (Kasten, Schachteln, Dosen usw.) als Symbole des männlichen, gestattet eben die Phantasie nicht.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Es ist richtig, daß die Neigung des Traumes und der unbewußten Phantasien, die Sexualsymbole bisexuell zu verwenden, einen archaischen Zug verrät, da in der Kindheit die Verschiedenheit der Genitalien unbekannt ist und beiden Geschlechtern das nämliche Genitale zugesprochen wird. Man kann aber auch zur irrigen Annahme eines bisexuellen Sexualsymbols verleitet werden, wenn man daran vergißt, daß in manchen Träumen eine allgemeine Geschlechtsverkehrung vorgenommen wird, so daß das Männliche durch Weibliches dargestellt wird und umgekehrt. Solche Träume drücken z. B. den Wunsch einer Frau aus, lieber ein Mann zu sein.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 Genitalien können auch im Traum durch andere Körperteile vertreten werden, das männliche Glied durch die Hand oder den Fuß, die weibliche Genitalöffnung durch den Mund, das Ohr, selbst das Auge. Die Sekrete des menschlichen Körpers – Schleim, Tränen, Harn, Sperma usw. – können im Traum füreinander gesetzt werden. Diese im ganzen richtige Aufstellung von W. </w:t>
      </w:r>
      <w:r w:rsidRPr="00A06A59">
        <w:rPr>
          <w:rFonts w:ascii="Garamond" w:hAnsi="Garamond" w:cs="Arial"/>
          <w:i/>
          <w:iCs/>
          <w:color w:val="000000"/>
        </w:rPr>
        <w:t>Stekel</w:t>
      </w:r>
      <w:r w:rsidRPr="00A06A59">
        <w:rPr>
          <w:rFonts w:ascii="Garamond" w:hAnsi="Garamond" w:cs="Arial"/>
          <w:color w:val="000000"/>
        </w:rPr>
        <w:t xml:space="preserve"> hat eine berechtigte kritische Einschränkung durch Bemerkungen von R. </w:t>
      </w:r>
      <w:r w:rsidRPr="00A06A59">
        <w:rPr>
          <w:rFonts w:ascii="Garamond" w:hAnsi="Garamond" w:cs="Arial"/>
          <w:i/>
          <w:iCs/>
          <w:color w:val="000000"/>
        </w:rPr>
        <w:t>Reitler</w:t>
      </w:r>
      <w:r w:rsidRPr="00A06A59">
        <w:rPr>
          <w:rFonts w:ascii="Garamond" w:hAnsi="Garamond" w:cs="Arial"/>
          <w:color w:val="000000"/>
        </w:rPr>
        <w:t xml:space="preserve"> erfahren (Internationale Zeitschrift f. Psychoanalyse I, 1913). </w:t>
      </w:r>
      <w:r w:rsidRPr="00A06A59">
        <w:rPr>
          <w:rFonts w:ascii="Garamond" w:hAnsi="Garamond" w:cs="Arial"/>
          <w:color w:val="000000"/>
          <w:lang w:val="en-GB"/>
        </w:rPr>
        <w:t>Es handelt sich im wesentlichen um Ersetzung der bedeutungsvollen Sekrete wie des Samens durch ein indifferentes.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in hohem Grade unvollständigen Andeutungen mögen genügen, um andere zu sorgfältigerer Sammelarbeit anzuregen. </w:t>
      </w:r>
      <w:hyperlink r:id="rId172"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Bei aller Verschiedenheit der </w:t>
        </w:r>
        <w:r w:rsidRPr="00A06A59">
          <w:rPr>
            <w:rStyle w:val="innerfusslink3"/>
            <w:rFonts w:ascii="Garamond" w:hAnsi="Garamond" w:cs="Arial"/>
            <w:b/>
            <w:bCs/>
            <w:i/>
            <w:iCs/>
          </w:rPr>
          <w:t>Scherner</w:t>
        </w:r>
        <w:r w:rsidRPr="00A06A59">
          <w:rPr>
            <w:rStyle w:val="innerfusslink3"/>
            <w:rFonts w:ascii="Garamond" w:hAnsi="Garamond" w:cs="Arial"/>
            <w:b/>
            <w:bCs/>
          </w:rPr>
          <w:t xml:space="preserve">schen Auffassung von der Traumsymbolik und der hier entwickelten muß ich doch hervorheben, daß </w:t>
        </w:r>
        <w:r w:rsidRPr="00A06A59">
          <w:rPr>
            <w:rStyle w:val="innerfusslink3"/>
            <w:rFonts w:ascii="Garamond" w:hAnsi="Garamond" w:cs="Arial"/>
            <w:b/>
            <w:bCs/>
            <w:i/>
            <w:iCs/>
          </w:rPr>
          <w:t>Scherner</w:t>
        </w:r>
        <w:r w:rsidRPr="00A06A59">
          <w:rPr>
            <w:rStyle w:val="innerfusslink3"/>
            <w:rFonts w:ascii="Garamond" w:hAnsi="Garamond" w:cs="Arial"/>
            <w:b/>
            <w:bCs/>
          </w:rPr>
          <w:t xml:space="preserve"> als der eigentliche Entdecker der Symbolik im Traume anerkannt werden sollte und daß die Erfahrungen der Psychoanalyse sein für phantastisch gehaltenes, vor langen Jahren (1861) veröffentlichtes Buch nachträglich zu Ehren gebracht haben.</w:t>
        </w:r>
      </w:hyperlink>
      <w:r w:rsidRPr="00A06A59">
        <w:rPr>
          <w:rFonts w:ascii="Garamond" w:hAnsi="Garamond" w:cs="Arial"/>
          <w:color w:val="000000"/>
        </w:rPr>
        <w:t xml:space="preserve"> </w:t>
      </w:r>
      <w:r w:rsidRPr="00A06A59">
        <w:rPr>
          <w:rFonts w:ascii="Garamond" w:hAnsi="Garamond" w:cs="Arial"/>
          <w:color w:val="000000"/>
          <w:lang w:val="en-GB"/>
        </w:rPr>
        <w:t xml:space="preserve">Eine weit ausführlichere Darstellung der Traumsymbolik habe ich in meinen </w:t>
      </w:r>
      <w:r w:rsidRPr="00A06A59">
        <w:rPr>
          <w:rFonts w:ascii="Garamond" w:hAnsi="Garamond" w:cs="Arial"/>
          <w:i/>
          <w:iCs/>
          <w:color w:val="000000"/>
          <w:lang w:val="en-GB"/>
        </w:rPr>
        <w:t>Vorlesungen zur Einführung in die Psychoanalyse</w:t>
      </w:r>
      <w:r w:rsidRPr="00A06A59">
        <w:rPr>
          <w:rFonts w:ascii="Garamond" w:hAnsi="Garamond" w:cs="Arial"/>
          <w:color w:val="000000"/>
          <w:lang w:val="en-GB"/>
        </w:rPr>
        <w:t xml:space="preserve"> (1916/17) versucht.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werde nun einige Beispiele von der Verwendung solcher Symbole in Träumen anfügen, welche zeigen sollen, wie unmöglich es wird, zur Deutung des Traums zu gelangen, wenn man sich der Traumsymbolik verschließt, wie unabweisbar sich aber eine solche auch in vielen Fällen aufdrängt. An derselben Stelle möchte ich aber nachdrücklich davor warnen, die Bedeutung der Symbole für die Traumdeutung zu überschätzen, etwa die Arbeit der Traumübersetzung auf Symbolübersetzung einzuschränken und die Technik der Verwertung von Einfällen des Träumers aufzugeben. Die beiden Techniken der Traumdeutung müssen einander ergänzen; praktisch wie theoretisch </w:t>
      </w:r>
      <w:r w:rsidRPr="00A06A59">
        <w:rPr>
          <w:rFonts w:ascii="Garamond" w:hAnsi="Garamond" w:cs="Arial"/>
          <w:color w:val="000000"/>
          <w:lang w:val="en-GB"/>
        </w:rPr>
        <w:lastRenderedPageBreak/>
        <w:t>verbleibt aber der Vorrang dem zuerst beschriebenen Verfahren, das den Äußerungen des Träumers die entscheidende Bedeutung beilegt, während die von uns vorgenommene Symbolübersetzung als Hilfsmittel hinzutritt.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rPr>
      </w:pPr>
      <w:r w:rsidRPr="00A06A59">
        <w:rPr>
          <w:rFonts w:ascii="Garamond" w:hAnsi="Garamond" w:cs="Arial"/>
          <w:color w:val="000000"/>
          <w:sz w:val="22"/>
          <w:szCs w:val="22"/>
        </w:rPr>
        <w:t xml:space="preserve">1 </w:t>
      </w:r>
      <w:r w:rsidRPr="00A06A59">
        <w:rPr>
          <w:rFonts w:ascii="Garamond" w:hAnsi="Garamond" w:cs="Arial"/>
          <w:color w:val="000000"/>
          <w:sz w:val="22"/>
          <w:szCs w:val="22"/>
        </w:rPr>
        <w:br/>
        <w:t xml:space="preserve">Der Hut als Symbol des Mannes </w:t>
      </w:r>
      <w:r w:rsidRPr="00A06A59">
        <w:rPr>
          <w:rFonts w:ascii="Garamond" w:hAnsi="Garamond" w:cs="Arial"/>
          <w:color w:val="000000"/>
          <w:sz w:val="22"/>
          <w:szCs w:val="22"/>
        </w:rPr>
        <w:br/>
        <w:t xml:space="preserve">(des männlichen Genitales </w:t>
      </w:r>
      <w:hyperlink r:id="rId173" w:anchor="#" w:history="1">
        <w:r w:rsidRPr="00A06A59">
          <w:rPr>
            <w:rStyle w:val="fusslink"/>
            <w:rFonts w:ascii="Garamond" w:hAnsi="Garamond" w:cs="Arial"/>
            <w:b/>
            <w:bCs/>
            <w:color w:val="003399"/>
            <w:sz w:val="22"/>
            <w:szCs w:val="22"/>
          </w:rPr>
          <w:t>[Fußnote]</w:t>
        </w:r>
        <w:r w:rsidRPr="00A06A59">
          <w:rPr>
            <w:rStyle w:val="innerfusslink3"/>
            <w:rFonts w:ascii="Garamond" w:hAnsi="Garamond" w:cs="Arial"/>
            <w:b/>
            <w:bCs/>
            <w:sz w:val="22"/>
            <w:szCs w:val="22"/>
          </w:rPr>
          <w:t>Aus »Nachträge zur Traumdeutung«, Zentralblatt für Psychoanalyse I, Nr. 5/6, 1911</w:t>
        </w:r>
      </w:hyperlink>
      <w:r w:rsidRPr="00A06A59">
        <w:rPr>
          <w:rFonts w:ascii="Garamond" w:hAnsi="Garamond" w:cs="Arial"/>
          <w:color w:val="000000"/>
          <w:sz w:val="22"/>
          <w:szCs w:val="22"/>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(Teilstück aus dem Traum einer jungen, infolge von Versuchungsangst agoraphobischen Frau)</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rPr>
        <w:t>»Ich gehe im Sommer auf der Straße spazieren, trage einen Strohhut von eigentümlicher Form, dessen Mittelstück nach oben aufgebogen ist, dessen Seitenteile nach abwärts hängen</w:t>
      </w:r>
      <w:r w:rsidRPr="00A06A59">
        <w:rPr>
          <w:rFonts w:ascii="Garamond" w:hAnsi="Garamond" w:cs="Arial"/>
          <w:color w:val="000000"/>
        </w:rPr>
        <w:t xml:space="preserve"> (Beschreibung hier stockend), </w:t>
      </w:r>
      <w:r w:rsidRPr="00A06A59">
        <w:rPr>
          <w:rFonts w:ascii="Garamond" w:hAnsi="Garamond" w:cs="Arial"/>
          <w:i/>
          <w:iCs/>
          <w:color w:val="000000"/>
        </w:rPr>
        <w:t xml:space="preserve">und zwar so, daß der eine tiefer steht als der andere. </w:t>
      </w:r>
      <w:r w:rsidRPr="00A06A59">
        <w:rPr>
          <w:rFonts w:ascii="Garamond" w:hAnsi="Garamond" w:cs="Arial"/>
          <w:i/>
          <w:iCs/>
          <w:color w:val="000000"/>
          <w:lang w:val="en-GB"/>
        </w:rPr>
        <w:t>Ich bin heiter und in sicherer Stimmung, und wie ich an einem Trupp junger Offiziere vorbeigehe, denke ich mir: Ihr könnt mir alle nichts anhaben.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 sie zu dem Hut im Traume keinen Einfall produzieren kann, sage ich ihr: Der Hut ist wohl ein männliches Genitale mit seinem emporgerichteten Mittelstück und den beiden herabhängenden Seitenteilen. Daß der Hut ein Mann sein soll, ist vielleicht sonderbar, aber man sagt ja auch: »Unter die Haube kommen!« Absichtlich enthalte ich mich der Deutung jenes Details über das ungleiche Herabhängen der beiden Seitenteile, obwohl gerade solche Einzelheiten in ihrer Determinierung der Deutung den Weg weisen müssen. Ich setze fort: Wenn sie also einen Mann mit so prächtigem Genitale hat, braucht sie sich vor den Offizieren nicht zu fürchten, d. h. nichts von ihnen zu wünschen, da sie sonst wesentlich durch ihre Versuchungsphantasien vom Gehen ohne Schutz und Begleitung abgehalten wird. Diese letztere Aufklärung ihrer Angst hatte ich ihr schon zu wiederholten Malen, auf anderes Material gestützt, geben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Es ist nun sehr beachtenswert, wie sich die Träumerin nach dieser Deutung benimmt. Sie zieht die Beschreibung des Huts zurück und will nicht gesagt haben, daß die beiden Seitenteile nach abwärts hingen. Ich bin des Gehörten zu sicher, um mich beirren zu lassen, und beharre dabei. Sie schweigt eine Weile und findet dann den Mut zu fragen, was es bedeute, daß bei ihrem Manne ein Hoden tiefer stehe als der andere, und ob es bei allen Männern so sei. Damit war dies sonderbare Detail des Hutes aufgeklärt und die ganze Deutung von ihr akzeptiert.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Hutsymbol war mir längst bekannt, als mir die Patientin diesen Traum mitteilte. Aus anderen, aber minder durchsichtigen Fällen glaubte ich zu entnehmen, daß der Hut auch für ein weibliches Genitale stehen kann </w:t>
      </w:r>
      <w:hyperlink r:id="rId17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Vgl. ein solches Beispiel in der Mitteilung von Kirchgraber (Zentralbl. F. PsA. III, 1912, p. 95). Von </w:t>
        </w:r>
        <w:r w:rsidRPr="00A06A59">
          <w:rPr>
            <w:rStyle w:val="innerfusslink3"/>
            <w:rFonts w:ascii="Garamond" w:hAnsi="Garamond" w:cs="Arial"/>
            <w:b/>
            <w:bCs/>
            <w:i/>
            <w:iCs/>
            <w:lang w:val="en-GB"/>
          </w:rPr>
          <w:t>Stekel</w:t>
        </w:r>
        <w:r w:rsidRPr="00A06A59">
          <w:rPr>
            <w:rStyle w:val="innerfusslink3"/>
            <w:rFonts w:ascii="Garamond" w:hAnsi="Garamond" w:cs="Arial"/>
            <w:b/>
            <w:bCs/>
            <w:lang w:val="en-GB"/>
          </w:rPr>
          <w:t xml:space="preserve"> (Jahrbuch, Bd. I, p. 475) wird ein Traum mitgeteilt, in welchem der Hut mit schiefstehender Feder in der Mitte den (impotenten) Mann symbolisiert</w:t>
        </w:r>
      </w:hyperlink>
      <w:r w:rsidRPr="00A06A59">
        <w:rPr>
          <w:rFonts w:ascii="Garamond" w:hAnsi="Garamond" w:cs="Arial"/>
          <w:color w:val="000000"/>
          <w:lang w:val="en-GB"/>
        </w:rPr>
        <w: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2 </w:t>
      </w:r>
      <w:r w:rsidRPr="00A06A59">
        <w:rPr>
          <w:rFonts w:ascii="Garamond" w:hAnsi="Garamond" w:cs="Arial"/>
          <w:color w:val="000000"/>
          <w:sz w:val="22"/>
          <w:szCs w:val="22"/>
          <w:lang w:val="en-GB"/>
        </w:rPr>
        <w:br/>
        <w:t>Das Kleine ist das Genitale – das Überfahrenwerden ist ein Symbol des Geschlechtsverkehres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anderer Traum derselben agoraphobischen Patientin)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Ihre Mutter schickt ihre kleine Tochter weg, damit sie allein gehen muß. Sie fährt dann mit der Mutter in der Eisenbahn und sieht ihre Kleine direkt auf den Schienenweg zugehen, so daß sie überfahren werden muß. Man hört die Knochen krachen (dabei ein unbehagliches Gefühl, aber kein eigentliches Entsetzen). Dann sieht sie sich aus dem Waggonfenster um, ob man nicht hinten die Teile sieht. Dann macht sie ihrer Mutter Vorwürfe, daß sie die Kleine allein hat gehen lassen.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analyse: Die vollständige Deutung des Traumes ist hier nicht leicht zu geben. Er stammt aus einem Zyklus von Träumen und kann nur im Zusammenhange mit diesen anderen voll verstanden werden. Es ist eben nicht leicht, das für den Erweis der Symbolik benötigte Material genügend isoliert zu bekommen. – Die Kranke findet zuerst, daß die Eisenbahnfahrt historisch zu deuten ist, als Anspielung auf eine Fahrt von einer Nervenheilanstalt weg, in deren Leiter sie natürlich verliebt war. Die Mutter holte sie von dort ab, der Arzt erschien auf dem Bahnhof und überreichte ihr einen Strauß Blumen zum Abschied; es war ihr unangenehm, daß die Mutter Zeugin dieser Huldigung sein mußte. Hier erscheint also die Mutter als Störerin ihrer Liebesbestrebungen, welche Rolle der strengen Frau während ihrer Mädchenjahre wirklich zugefallen war. – Der nächste Einfall bezieht sich auf den Satz: sie sieht sich um, ob man nicht die Teile von hinten sieht. In der Traumfassade müßte man natürlich an die Teile des überfahrenen und zermalmten Töchterchens denken. Der Einfall weist aber nach ganz anderer Richtung. Sie erinnert, daß sie einmal den Vater im Badezimmer nackt von rückwärts gesehen, kommt auf die Geschlechtsunterschiede zu sprechen und hebt hervor, daß man beim Manne die Genitalien noch von rückwärts sehen könne, beim Weibe aber nicht. </w:t>
      </w:r>
      <w:r w:rsidRPr="00A06A59">
        <w:rPr>
          <w:rFonts w:ascii="Garamond" w:hAnsi="Garamond" w:cs="Arial"/>
          <w:color w:val="000000"/>
        </w:rPr>
        <w:t xml:space="preserve">In diesem Zusammenhange deutet sie nun selbst, daß das Kleine das Genitale sei, ihre Kleine (sie hat eine vierjährige Tochter) ihr eigenes Genitale. Sie macht der Mutter den Vorwurf, daß sie verlangt hätte, sie solle so leben, als ob sie kein </w:t>
      </w:r>
      <w:r w:rsidRPr="00A06A59">
        <w:rPr>
          <w:rFonts w:ascii="Garamond" w:hAnsi="Garamond" w:cs="Arial"/>
          <w:color w:val="000000"/>
        </w:rPr>
        <w:lastRenderedPageBreak/>
        <w:t xml:space="preserve">Genitale hätte, und findet diesen Vorwurf in dem einleitenden Satz des Traumes wieder: Die Mutter schickte ihre Kleine weg, damit sie allein gehen mußte. In ihrer Phantasie bedeutet das Alleingehen auf der Straße keinen Mann, keine sexuelle Beziehung haben ( </w:t>
      </w:r>
      <w:r w:rsidRPr="00A06A59">
        <w:rPr>
          <w:rFonts w:ascii="Garamond" w:hAnsi="Garamond" w:cs="Arial"/>
          <w:i/>
          <w:iCs/>
          <w:color w:val="000000"/>
        </w:rPr>
        <w:t>coire</w:t>
      </w:r>
      <w:r w:rsidRPr="00A06A59">
        <w:rPr>
          <w:rFonts w:ascii="Garamond" w:hAnsi="Garamond" w:cs="Arial"/>
          <w:color w:val="000000"/>
        </w:rPr>
        <w:t xml:space="preserve"> = zusammengehen), und das mag sie nicht. </w:t>
      </w:r>
      <w:r w:rsidRPr="00A06A59">
        <w:rPr>
          <w:rFonts w:ascii="Garamond" w:hAnsi="Garamond" w:cs="Arial"/>
          <w:color w:val="000000"/>
          <w:lang w:val="en-GB"/>
        </w:rPr>
        <w:t>Nach allen ihren Angaben hat sie wirklich als Mädchen unter der Eifersucht der Mutter infolge ihrer Bevorzugung durch den Vater gelitten.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tiefere Deutung dieses Traumes ergibt sich aus einem anderen Traum derselben Nacht, in dem sie sich mit ihrem Bruder identifiziert. Sie war wirklich ein bubenhaftes Mädel, mußte oft hören, daß an ihr ein Bub verlorengegangen sei. Zu dieser Identifizierung mit dem Bruder wird es dann besonders klar, daß das »Kleine« das Genitale bedeutet. Die Mutter droht ihm (ihr) mit der Kastration, die nichts anderes als Bestrafung für das Spielen mit dem Gliede sein kann, und somit zeigt die Identifizierung, daß sie selbst als Kind onaniert hat, was ihre Erinnerung bisher nur vom Bruder bewahrt hatte. Eine Kenntnis des männlichen Genitales, die ihr später verlorenging, muß sie nach den Angaben dieses zweiten Traums damals früh erworben haben. Ferner deutet der zweite Traum auf die infantile Sexualtheorie hin, daß die Mädel durch Kastration aus Buben hervorgehen. Nachdem ich ihr diese Kindermeinung vorgetragen, findet sie sofort eine Bestätigung hiefür in der Kenntnis der Anekdote, daß der Bub das Mädel fragt: Abgeschnitten? worauf das Mädel antwortet: Nein, immer so g'west.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Das Wegschicken der Kleinen, des Genitales, im ersten Traum, bezieht sich also auch auf die Kastrationsdrohung. Schließlich grollt sie der Mutter, daß sie sie nicht als Knaben geboren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Daß das »Überfahrenwerden« sexuellen Verkehr symbolisiert, würde aus diesem Traume nicht evident, wenn man es nicht aus zahlreichen anderen Quellen sicher wüßte.</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3 </w:t>
      </w:r>
      <w:r w:rsidRPr="00A06A59">
        <w:rPr>
          <w:rFonts w:ascii="Garamond" w:hAnsi="Garamond" w:cs="Arial"/>
          <w:color w:val="000000"/>
          <w:sz w:val="22"/>
          <w:szCs w:val="22"/>
          <w:lang w:val="en-GB"/>
        </w:rPr>
        <w:br/>
        <w:t>Darstellung des Genitales durch Gebäude, Stiegen, Schachte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(Traum eines durch seinen Vaterkomplex gehemmten jungen Mannes)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 xml:space="preserve">Er geht mit seinem Vater an einem Ort spazieren, der gewiß der Prater ist, denn man sieht die </w:t>
      </w:r>
      <w:r w:rsidRPr="00A06A59">
        <w:rPr>
          <w:rFonts w:ascii="Garamond" w:hAnsi="Garamond" w:cs="Arial"/>
          <w:b/>
          <w:bCs/>
          <w:i/>
          <w:iCs/>
          <w:color w:val="000000"/>
          <w:lang w:val="en-GB"/>
        </w:rPr>
        <w:t>Rotunde</w:t>
      </w:r>
      <w:r w:rsidRPr="00A06A59">
        <w:rPr>
          <w:rFonts w:ascii="Garamond" w:hAnsi="Garamond" w:cs="Arial"/>
          <w:i/>
          <w:iCs/>
          <w:color w:val="000000"/>
          <w:lang w:val="en-GB"/>
        </w:rPr>
        <w:t xml:space="preserve">, vor dieser einen kleineren Vorbau, an dem ein </w:t>
      </w:r>
      <w:r w:rsidRPr="00A06A59">
        <w:rPr>
          <w:rFonts w:ascii="Garamond" w:hAnsi="Garamond" w:cs="Arial"/>
          <w:b/>
          <w:bCs/>
          <w:i/>
          <w:iCs/>
          <w:color w:val="000000"/>
          <w:lang w:val="en-GB"/>
        </w:rPr>
        <w:t>Fesselballon</w:t>
      </w:r>
      <w:r w:rsidRPr="00A06A59">
        <w:rPr>
          <w:rFonts w:ascii="Garamond" w:hAnsi="Garamond" w:cs="Arial"/>
          <w:i/>
          <w:iCs/>
          <w:color w:val="000000"/>
          <w:lang w:val="en-GB"/>
        </w:rPr>
        <w:t xml:space="preserve"> angebracht ist, der aber ziemlich </w:t>
      </w:r>
      <w:r w:rsidRPr="00A06A59">
        <w:rPr>
          <w:rFonts w:ascii="Garamond" w:hAnsi="Garamond" w:cs="Arial"/>
          <w:b/>
          <w:bCs/>
          <w:i/>
          <w:iCs/>
          <w:color w:val="000000"/>
          <w:lang w:val="en-GB"/>
        </w:rPr>
        <w:t>schlaff</w:t>
      </w:r>
      <w:r w:rsidRPr="00A06A59">
        <w:rPr>
          <w:rFonts w:ascii="Garamond" w:hAnsi="Garamond" w:cs="Arial"/>
          <w:i/>
          <w:iCs/>
          <w:color w:val="000000"/>
          <w:lang w:val="en-GB"/>
        </w:rPr>
        <w:t xml:space="preserve"> scheint. Sein Vater fragt ihn, wozu das alles ist; er wundert sich darüber, erklärt es ihm aber. Dann kommen sie in einen Hof, in dem eine große Platte von Blech ausgebreitet liegt. Sein Vater will sich ein großes Stück davon </w:t>
      </w:r>
      <w:r w:rsidRPr="00A06A59">
        <w:rPr>
          <w:rFonts w:ascii="Garamond" w:hAnsi="Garamond" w:cs="Arial"/>
          <w:b/>
          <w:bCs/>
          <w:i/>
          <w:iCs/>
          <w:color w:val="000000"/>
          <w:lang w:val="en-GB"/>
        </w:rPr>
        <w:t>abreißen,</w:t>
      </w:r>
      <w:r w:rsidRPr="00A06A59">
        <w:rPr>
          <w:rFonts w:ascii="Garamond" w:hAnsi="Garamond" w:cs="Arial"/>
          <w:i/>
          <w:iCs/>
          <w:color w:val="000000"/>
          <w:lang w:val="en-GB"/>
        </w:rPr>
        <w:t xml:space="preserve"> sieht sich aber vorher um, ob es nicht jemand bemerken kann. Er sagt ihm, er braucht es doch nur dem Aufseher zu sagen, dann kann er sich ohne weiteres davon nehmen. Aus diesem Hof führt eine </w:t>
      </w:r>
      <w:r w:rsidRPr="00A06A59">
        <w:rPr>
          <w:rFonts w:ascii="Garamond" w:hAnsi="Garamond" w:cs="Arial"/>
          <w:b/>
          <w:bCs/>
          <w:i/>
          <w:iCs/>
          <w:color w:val="000000"/>
          <w:lang w:val="en-GB"/>
        </w:rPr>
        <w:t>Treppe</w:t>
      </w:r>
      <w:r w:rsidRPr="00A06A59">
        <w:rPr>
          <w:rFonts w:ascii="Garamond" w:hAnsi="Garamond" w:cs="Arial"/>
          <w:i/>
          <w:iCs/>
          <w:color w:val="000000"/>
          <w:lang w:val="en-GB"/>
        </w:rPr>
        <w:t xml:space="preserve"> in einen </w:t>
      </w:r>
      <w:r w:rsidRPr="00A06A59">
        <w:rPr>
          <w:rFonts w:ascii="Garamond" w:hAnsi="Garamond" w:cs="Arial"/>
          <w:b/>
          <w:bCs/>
          <w:i/>
          <w:iCs/>
          <w:color w:val="000000"/>
          <w:lang w:val="en-GB"/>
        </w:rPr>
        <w:t>Schacht</w:t>
      </w:r>
      <w:r w:rsidRPr="00A06A59">
        <w:rPr>
          <w:rFonts w:ascii="Garamond" w:hAnsi="Garamond" w:cs="Arial"/>
          <w:i/>
          <w:iCs/>
          <w:color w:val="000000"/>
          <w:lang w:val="en-GB"/>
        </w:rPr>
        <w:t xml:space="preserve"> hinunter, dessen Wände weich ausgepolstert sind, etwa wie ein Lederfauteuil. Am Ende dieses Schachtes ist eine längere Plattform, und dann beginnt ein neuer Schacht...</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analyse: Dieser Träumer gehörte einem therapeutisch nicht günstigen Typus von Kranken an, die bis zu einem gewissen Punkt der Analyse überhaupt keine Widerstände machen und sich von da an fast unzugänglich erweisen. Diesen Traum deutete er fast selbständig. Die Rotunde, sagte er, ist mein Genitale, der Fesselballon davor mein Penis, über dessen Schlaffheit ich zu klagen habe. Man darf also eingehender übersetzen, die Rotunde sei das vom Kind regelmäßig zum Genitale gerechnete Gesäß, der kleinere Vorbau der Hodensack. Im Traum fragt ihn der Vater, was das alles ist, d. h. nach Zweck und Verrichtung der Genitalien. Es liegt nahe, diesen Sachverhalt umzukehren, so daß er der fragende Teil wird. Da eine solche Befragung des Vaters in Wirklichkeit nie stattgefunden hat, muß man den Traumgedanken als Wunsch auffassen oder ihn etwa konditionell nehmen: »Wenn ich den Vater um sexuelle Aufklärung gebeten hätte.« Die Fortsetzung dieses Gedankens werden wir bald an anderer Stelle finden.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Hof, in dem das Blech ausgebreitet liegt, ist nicht in erster Linie symbolisch zu fassen, sondern stammt aus dem Geschäftslokal des Vaters. Aus Gründen der Diskretion habe ich das »Blech« für das andere Material, mit dem der Vater handelt, eingesetzt, ohne sonst etwas am Wortlaut des Traumes zu ändern. Der Träumer ist in das Geschäft des Vaters eingetreten und hat an den eher unkorrekten Praktiken, auf denen der Gewinn zum Teil beruht, gewaltigen Anstoß genommen. Daher dürfte die Fortsetzung des obigen Traumgedankens lauten: »(Wenn ich ihn gefragt hätte), würde er mich betrogen haben, wie er seine Kunden betrügt.« Für das </w:t>
      </w:r>
      <w:r w:rsidRPr="00A06A59">
        <w:rPr>
          <w:rFonts w:ascii="Garamond" w:hAnsi="Garamond" w:cs="Arial"/>
          <w:i/>
          <w:iCs/>
          <w:color w:val="000000"/>
          <w:lang w:val="en-GB"/>
        </w:rPr>
        <w:t>Abreißen</w:t>
      </w:r>
      <w:r w:rsidRPr="00A06A59">
        <w:rPr>
          <w:rFonts w:ascii="Garamond" w:hAnsi="Garamond" w:cs="Arial"/>
          <w:color w:val="000000"/>
          <w:lang w:val="en-GB"/>
        </w:rPr>
        <w:t>, welches der Darstellung der geschäftlichen Unredlichkeit dient, gibt der Träumer selbst die zweite Erklärung, es bedeute die Onanie. Dies ist uns nicht nur längst bekannt (siehe oben, S. 239), sondern stimmt auch sehr gut dazu, daß das Geheimnis der Onanie durch das Gegenteil ausgedrückt ist (man darf es ja offen tun). Es entspricht dann allen Erwartungen, daß die onanistische Tätigkeit wieder dem Vater zugeschoben wird, wie die Befragung in der ersten Traumszene. Den Schacht deutet er sofort unter Berufung auf die weiche Polsterung der Wände als Vagina. Daß das Herabsteigen wie sonst das Aufsteigen den Koitusverkehr in der Vagina beschreiben will, setze ich aus anderer Kenntnis ein (vgl. meine Bemerkung im Zentralblaa für Psychoanalyse I, 1, 1910; siehe oben S. 243 Note).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Einzelheiten, daß auf den ersten Schacht eine längere Plattform folgt und dann ein neuer Schacht, erklärt er selbst biographisch. Er hat eine Zeitlang koitiert, dann den Verkehr infolge von Hemmungen aufgegeben und hofft ihn jetzt </w:t>
      </w:r>
      <w:r w:rsidRPr="00A06A59">
        <w:rPr>
          <w:rFonts w:ascii="Garamond" w:hAnsi="Garamond" w:cs="Arial"/>
          <w:color w:val="000000"/>
          <w:lang w:val="en-GB"/>
        </w:rPr>
        <w:lastRenderedPageBreak/>
        <w:t>mit Hilfe der Kur wieder aufnehmen zu können. Der Traum wird aber gegen Ende undeutlicher, und dem Kundigen muß es plausibel erscheinen, daß sich schon in der zweiten Traumszene der Einfluß eines anderen Themas geltend mache, auf welches das Geschäft des Vaters, sein betrügerisches Vorgehen, die erste als Schacht dargestellte Vagina deuten, so daß man eine Beziehung auf die Mutter annehmen kann.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4 </w:t>
      </w:r>
      <w:r w:rsidRPr="00A06A59">
        <w:rPr>
          <w:rFonts w:ascii="Garamond" w:hAnsi="Garamond" w:cs="Arial"/>
          <w:color w:val="000000"/>
          <w:sz w:val="22"/>
          <w:szCs w:val="22"/>
          <w:lang w:val="en-GB"/>
        </w:rPr>
        <w:br/>
        <w:t>Das männliche Glied durch Personen, das weibliche durch eine Landschaft symbolisiert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(Traum einer Frau aus dem Volke, deren Mann Wachmann ist, mitgeteilt von B. </w:t>
      </w:r>
      <w:r w:rsidRPr="00A06A59">
        <w:rPr>
          <w:rFonts w:ascii="Garamond" w:hAnsi="Garamond" w:cs="Arial"/>
          <w:i/>
          <w:iCs/>
          <w:color w:val="000000"/>
          <w:lang w:val="en-GB"/>
        </w:rPr>
        <w:t>Dattner</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Dann sei jemand in die Wohnung eingebrochen und sie habe angstvoll nach einem Wachmann gerufen. Dieser aber sei mit zwei ›Pülchern einträchtig in eine Kirche</w:t>
      </w:r>
      <w:hyperlink r:id="rId17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»Oder Kapelle = Vagina.«</w:t>
        </w:r>
      </w:hyperlink>
      <w:r w:rsidRPr="00A06A59">
        <w:rPr>
          <w:rFonts w:ascii="Garamond" w:hAnsi="Garamond" w:cs="Arial"/>
          <w:i/>
          <w:iCs/>
          <w:color w:val="000000"/>
          <w:lang w:val="en-GB"/>
        </w:rPr>
        <w:t>gegangen, zu der mehrere Stufen</w:t>
      </w:r>
      <w:hyperlink r:id="rId17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»Symbol des Koitus.«</w:t>
        </w:r>
      </w:hyperlink>
      <w:r w:rsidRPr="00A06A59">
        <w:rPr>
          <w:rFonts w:ascii="Garamond" w:hAnsi="Garamond" w:cs="Arial"/>
          <w:i/>
          <w:iCs/>
          <w:color w:val="000000"/>
          <w:lang w:val="en-GB"/>
        </w:rPr>
        <w:t>emporführten; hinter der Kirche sei ein Berg</w:t>
      </w:r>
      <w:hyperlink r:id="rId17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Mons veneris</w:t>
        </w:r>
        <w:r w:rsidRPr="00A06A59">
          <w:rPr>
            <w:rStyle w:val="innerfusslink3"/>
            <w:rFonts w:ascii="Garamond" w:hAnsi="Garamond" w:cs="Arial"/>
            <w:b/>
            <w:bCs/>
            <w:lang w:val="en-GB"/>
          </w:rPr>
          <w:t>.«</w:t>
        </w:r>
      </w:hyperlink>
      <w:r w:rsidRPr="00A06A59">
        <w:rPr>
          <w:rFonts w:ascii="Garamond" w:hAnsi="Garamond" w:cs="Arial"/>
          <w:i/>
          <w:iCs/>
          <w:color w:val="000000"/>
          <w:lang w:val="en-GB"/>
        </w:rPr>
        <w:t>gewesen und oben ein dichter Wald</w:t>
      </w:r>
      <w:hyperlink r:id="rId17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Crines pubis.</w:t>
        </w:r>
        <w:r w:rsidRPr="00A06A59">
          <w:rPr>
            <w:rStyle w:val="innerfusslink3"/>
            <w:rFonts w:ascii="Garamond" w:hAnsi="Garamond" w:cs="Arial"/>
            <w:b/>
            <w:bCs/>
            <w:lang w:val="en-GB"/>
          </w:rPr>
          <w:t>«</w:t>
        </w:r>
      </w:hyperlink>
      <w:r w:rsidRPr="00A06A59">
        <w:rPr>
          <w:rFonts w:ascii="Garamond" w:hAnsi="Garamond" w:cs="Arial"/>
          <w:color w:val="000000"/>
          <w:lang w:val="en-GB"/>
        </w:rPr>
        <w:t xml:space="preserve">. </w:t>
      </w:r>
      <w:r w:rsidRPr="00A06A59">
        <w:rPr>
          <w:rFonts w:ascii="Garamond" w:hAnsi="Garamond" w:cs="Arial"/>
          <w:i/>
          <w:iCs/>
          <w:color w:val="000000"/>
          <w:lang w:val="en-GB"/>
        </w:rPr>
        <w:t>Der Wachmann sei mit einem Helm, Ringkragen und Mantel</w:t>
      </w:r>
      <w:hyperlink r:id="rId179"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»Dämonen in Mänteln und Kapuzen sind nach der Aufklärung eines Fachmannes phallischer Natur.«</w:t>
        </w:r>
      </w:hyperlink>
      <w:r w:rsidRPr="00A06A59">
        <w:rPr>
          <w:rFonts w:ascii="Garamond" w:hAnsi="Garamond" w:cs="Arial"/>
          <w:i/>
          <w:iCs/>
          <w:color w:val="000000"/>
          <w:lang w:val="en-GB"/>
        </w:rPr>
        <w:t>versehen gewesen. Er habe einen braunen Vollbart gehabt. Die beiden Vaganten, die friedlich mit dem Wachmann gegangen seien, hätten sackartig aufgebundene Schürzen um die Lenden gehabt</w:t>
      </w:r>
      <w:hyperlink r:id="rId18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»Die beiden Hälften des Hodensackes.«</w:t>
        </w:r>
      </w:hyperlink>
      <w:r w:rsidRPr="00A06A59">
        <w:rPr>
          <w:rFonts w:ascii="Garamond" w:hAnsi="Garamond" w:cs="Arial"/>
          <w:color w:val="000000"/>
          <w:lang w:val="en-GB"/>
        </w:rPr>
        <w:t xml:space="preserve">. </w:t>
      </w:r>
      <w:r w:rsidRPr="00A06A59">
        <w:rPr>
          <w:rFonts w:ascii="Garamond" w:hAnsi="Garamond" w:cs="Arial"/>
          <w:i/>
          <w:iCs/>
          <w:color w:val="000000"/>
          <w:lang w:val="en-GB"/>
        </w:rPr>
        <w:t>Vor der Kirche habe zum Berg ein Weg geführt. Dieser sei beiderseits mit Gras und Gestrüpp verwachsen gewesen, das immer dichter wurde und auf der Höhe des Berges ein ordentlicher Wald geworden sei.</w:t>
      </w:r>
      <w:r w:rsidRPr="00A06A59">
        <w:rPr>
          <w:rFonts w:ascii="Garamond" w:hAnsi="Garamond" w:cs="Arial"/>
          <w:color w:val="000000"/>
          <w:lang w:val="en-GB"/>
        </w:rPr>
        <w: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5 </w:t>
      </w:r>
      <w:r w:rsidRPr="00A06A59">
        <w:rPr>
          <w:rFonts w:ascii="Garamond" w:hAnsi="Garamond" w:cs="Arial"/>
          <w:color w:val="000000"/>
          <w:sz w:val="22"/>
          <w:szCs w:val="22"/>
          <w:lang w:val="en-GB"/>
        </w:rPr>
        <w:br/>
        <w:t>Kastrationsträume bei Kindern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lang w:val="en-GB"/>
        </w:rPr>
        <w:t>a)</w:t>
      </w:r>
      <w:r w:rsidRPr="00A06A59">
        <w:rPr>
          <w:rFonts w:ascii="Garamond" w:hAnsi="Garamond" w:cs="Arial"/>
          <w:color w:val="000000"/>
          <w:lang w:val="en-GB"/>
        </w:rPr>
        <w:t xml:space="preserve"> »Ein Knabe von drei Jahren und fünf Monaten, dem die Wiederkehr des Vaters aus dem Felde sichtlich unbequem ist, erwacht eines Morgens verstört und aufgeregt und wiederholt immerfort die Frage: </w:t>
      </w:r>
      <w:r w:rsidRPr="00A06A59">
        <w:rPr>
          <w:rFonts w:ascii="Garamond" w:hAnsi="Garamond" w:cs="Arial"/>
          <w:i/>
          <w:iCs/>
          <w:color w:val="000000"/>
          <w:lang w:val="en-GB"/>
        </w:rPr>
        <w:t xml:space="preserve">Warum hat Papi seinen Kopf auf einem Teller getragen? </w:t>
      </w:r>
      <w:r w:rsidRPr="00A06A59">
        <w:rPr>
          <w:rFonts w:ascii="Garamond" w:hAnsi="Garamond" w:cs="Arial"/>
          <w:i/>
          <w:iCs/>
          <w:color w:val="000000"/>
        </w:rPr>
        <w:t>Heute nacht hat Papi seinen Kopf auf einem Teller getragen.</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t>b)</w:t>
      </w:r>
      <w:r w:rsidRPr="00A06A59">
        <w:rPr>
          <w:rFonts w:ascii="Garamond" w:hAnsi="Garamond" w:cs="Arial"/>
          <w:color w:val="000000"/>
        </w:rPr>
        <w:t xml:space="preserve"> »Ein heute an schwerer Zwangsneurose leidender Student erinnert, daß er im sechsten Lebensjahr wiederholt folgenden Traum gehabt hat: </w:t>
      </w:r>
      <w:r w:rsidRPr="00A06A59">
        <w:rPr>
          <w:rFonts w:ascii="Garamond" w:hAnsi="Garamond" w:cs="Arial"/>
          <w:i/>
          <w:iCs/>
          <w:color w:val="000000"/>
        </w:rPr>
        <w:t>Er geht zum Friseur, um sich die Haare schneiden zu lassen. Da kommt eine große Frau mit strengen Zügen auf ihn zu und schlägt ihm den Kopf ab. Die Frau erkennt er als die Mutter.</w:t>
      </w:r>
      <w:r w:rsidRPr="00A06A59">
        <w:rPr>
          <w:rFonts w:ascii="Garamond" w:hAnsi="Garamond" w:cs="Arial"/>
          <w:color w:val="000000"/>
        </w:rPr>
        <w: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rPr>
      </w:pPr>
      <w:r w:rsidRPr="00A06A59">
        <w:rPr>
          <w:rFonts w:ascii="Garamond" w:hAnsi="Garamond" w:cs="Arial"/>
          <w:color w:val="000000"/>
          <w:sz w:val="22"/>
          <w:szCs w:val="22"/>
        </w:rPr>
        <w:t xml:space="preserve">6 </w:t>
      </w:r>
      <w:r w:rsidRPr="00A06A59">
        <w:rPr>
          <w:rFonts w:ascii="Garamond" w:hAnsi="Garamond" w:cs="Arial"/>
          <w:color w:val="000000"/>
          <w:sz w:val="22"/>
          <w:szCs w:val="22"/>
        </w:rPr>
        <w:br/>
        <w:t>Zur Harnsymbolik</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Die hier reproduzierten Zeichnungen stammen aus einer Reihe von Bildern, die Ferenczi in einem ungarischen Witzblatt (»Fidibusz«) aufgefunden und in ihrer Brauchbarkeit zur Illustration der Traumtheorie erkannt hat. </w:t>
      </w:r>
      <w:r w:rsidRPr="00A06A59">
        <w:rPr>
          <w:rFonts w:ascii="Garamond" w:hAnsi="Garamond" w:cs="Arial"/>
          <w:color w:val="000000"/>
          <w:lang w:val="en-GB"/>
        </w:rPr>
        <w:t xml:space="preserve">O. </w:t>
      </w:r>
      <w:r w:rsidRPr="00A06A59">
        <w:rPr>
          <w:rFonts w:ascii="Garamond" w:hAnsi="Garamond" w:cs="Arial"/>
          <w:i/>
          <w:iCs/>
          <w:color w:val="000000"/>
          <w:lang w:val="en-GB"/>
        </w:rPr>
        <w:t>Rank</w:t>
      </w:r>
      <w:r w:rsidRPr="00A06A59">
        <w:rPr>
          <w:rFonts w:ascii="Garamond" w:hAnsi="Garamond" w:cs="Arial"/>
          <w:color w:val="000000"/>
          <w:lang w:val="en-GB"/>
        </w:rPr>
        <w:t xml:space="preserve"> hat das als » </w:t>
      </w:r>
      <w:r w:rsidRPr="00A06A59">
        <w:rPr>
          <w:rFonts w:ascii="Garamond" w:hAnsi="Garamond" w:cs="Arial"/>
          <w:i/>
          <w:iCs/>
          <w:color w:val="000000"/>
          <w:lang w:val="en-GB"/>
        </w:rPr>
        <w:t>Traum der französischen Bonne</w:t>
      </w:r>
      <w:r w:rsidRPr="00A06A59">
        <w:rPr>
          <w:rFonts w:ascii="Garamond" w:hAnsi="Garamond" w:cs="Arial"/>
          <w:color w:val="000000"/>
          <w:lang w:val="en-GB"/>
        </w:rPr>
        <w:t xml:space="preserve">« überschriebene Blatt bereits in seiner Arbeit über die Symbolschichtung im Wecktraum usw. </w:t>
      </w:r>
      <w:r w:rsidRPr="00A06A59">
        <w:rPr>
          <w:rFonts w:ascii="Garamond" w:hAnsi="Garamond" w:cs="Arial"/>
          <w:color w:val="000000"/>
        </w:rPr>
        <w:t>(p. 99) verwertet.</w:t>
      </w:r>
    </w:p>
    <w:p w:rsidR="00A06A59" w:rsidRPr="00A06A59" w:rsidRDefault="00A06A59" w:rsidP="00A06A59">
      <w:pPr>
        <w:shd w:val="clear" w:color="auto" w:fill="FFFFFF"/>
        <w:tabs>
          <w:tab w:val="left" w:pos="7513"/>
          <w:tab w:val="left" w:pos="9639"/>
        </w:tabs>
        <w:spacing w:line="124" w:lineRule="atLeast"/>
        <w:ind w:left="-426" w:right="-567"/>
        <w:rPr>
          <w:rFonts w:ascii="Garamond" w:hAnsi="Garamond" w:cs="Arial"/>
          <w:color w:val="000000"/>
        </w:rPr>
      </w:pPr>
      <w:r w:rsidRPr="00A06A59">
        <w:rPr>
          <w:rFonts w:ascii="Garamond" w:hAnsi="Garamond" w:cs="Arial"/>
          <w:noProof/>
          <w:color w:val="000000"/>
          <w:lang w:eastAsia="fr-FR"/>
        </w:rPr>
        <w:lastRenderedPageBreak/>
        <w:drawing>
          <wp:inline distT="0" distB="0" distL="0" distR="0">
            <wp:extent cx="4382135" cy="6837045"/>
            <wp:effectExtent l="19050" t="0" r="0" b="0"/>
            <wp:docPr id="2" name="Image 2" descr="a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b1"/>
                    <pic:cNvPicPr>
                      <a:picLocks noChangeAspect="1" noChangeArrowheads="1"/>
                    </pic:cNvPicPr>
                  </pic:nvPicPr>
                  <pic:blipFill>
                    <a:blip r:embed="rId181" cstate="print"/>
                    <a:srcRect/>
                    <a:stretch>
                      <a:fillRect/>
                    </a:stretch>
                  </pic:blipFill>
                  <pic:spPr bwMode="auto">
                    <a:xfrm>
                      <a:off x="0" y="0"/>
                      <a:ext cx="4382135" cy="6837045"/>
                    </a:xfrm>
                    <a:prstGeom prst="rect">
                      <a:avLst/>
                    </a:prstGeom>
                    <a:noFill/>
                    <a:ln w="9525">
                      <a:noFill/>
                      <a:miter lim="800000"/>
                      <a:headEnd/>
                      <a:tailEnd/>
                    </a:ln>
                  </pic:spPr>
                </pic:pic>
              </a:graphicData>
            </a:graphic>
          </wp:inline>
        </w:drawing>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Erst das letzte Bild, welches das Erwachen der Bonne infolge des Geschreis des Kindes enthält, zeigt uns, daß die früheren sieben die Phasen eines Traumes darstellen. </w:t>
      </w:r>
      <w:r w:rsidRPr="00A06A59">
        <w:rPr>
          <w:rFonts w:ascii="Garamond" w:hAnsi="Garamond" w:cs="Arial"/>
          <w:color w:val="000000"/>
          <w:lang w:val="en-GB"/>
        </w:rPr>
        <w:t>Das erste Bild anerkennt den Reiz, der zum Erwachen führen sollte. Der Knabe hat ein Bedürfnis geäußert und verlangt die entsprechende Hilfeleistung. Der Traum vertauscht aber die Situation im Schlafzimmer mit der eines Spazierganges. Im zweiten Bild hat sie den Knaben bereits an eine Straßenecke gestellt, er uriniert, und sie darf weiterschlafen. Der Weckreiz hält aber an, ja er verstärkt sich; der Knabe, der sich nicht beachtet findet, brüllt immer kräftiger. Je dringender er das Erwachen und die Hilfeleistung seiner Bonne fordert, desto mehr steigert deren Traum seine Versicherung, daß alles in Ordnung sei und daß sie nicht zu erwachen brauche. Er übersetzt dabei den Weckreiz in die Dimensionen des Symbols. Der Wasserstrom, welchen der urinierende Knabe liefert, wird immer mächtiger. Im vierten Bilde trägt er bereits einen Kahn, dann eine Gondel, ein Segelschiff, endlich ein großes Dampfschiff! Der Kampf zwischen dem eigensinnigen Schlafbedürfnis und dem unermüdlichen Weckreiz ist hier in geistreichster Weise von einem mutwilligen Künstler verbildlicht.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lastRenderedPageBreak/>
        <w:t xml:space="preserve">7 </w:t>
      </w:r>
      <w:r w:rsidRPr="00A06A59">
        <w:rPr>
          <w:rFonts w:ascii="Garamond" w:hAnsi="Garamond" w:cs="Arial"/>
          <w:color w:val="000000"/>
          <w:sz w:val="22"/>
          <w:szCs w:val="22"/>
          <w:lang w:val="en-GB"/>
        </w:rPr>
        <w:br/>
        <w:t>Ein Stiegentraum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(Mitgeteilt und gedeutet von Otto </w:t>
      </w:r>
      <w:r w:rsidRPr="00A06A59">
        <w:rPr>
          <w:rFonts w:ascii="Garamond" w:hAnsi="Garamond" w:cs="Arial"/>
          <w:i/>
          <w:iCs/>
          <w:color w:val="000000"/>
          <w:lang w:val="en-GB"/>
        </w:rPr>
        <w:t>Rank</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»Demselben Kollegen, von dem der (unten S. 266 angeführte) Zahnreiztraum herrührt, verdanke ich den folgenden ähnlich durchsichtigen Pollutionstraum: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Ich jage im Stiegenhaus die Treppe hinunter einem kleinen Mädchen, das mir irgend etwas getan hat, nach, um es zu bestrafen. Unten amEnde der Stiege hält mir jemand (eine erwachsene weibliche Person?) das Kind auf; ich fasse es, weiß aber nicht, ob ich es geschlagen habe, denn plötzlich befand ich mich mitten auf der Stiege, wo ich das Kind (gleichsam wie in der Luft) koitierte. Eigentlich war es kein Koitus, sondern ich rieb nur mein Genitale an ihrem äußeren Genitale, wobei ich dieses sowie ihren seitwärts zurückgelegten Kopf überaus deutlich sah. Während des Sexualaktes sah ich links ober mir (auch wie in der Luft) zwei kleine Gemälde hängen, Landschaften, die ein Haus im Grünen darstellten. Auf dem einen kleineren stand unten an Stelle der Namenssignatur des Malers mein eigener Vorname, als wäre es für mich zum Geburtstagsgeschenk bestimmt. Dann hing noch ein Zettel vor beiden Bildern, worauf stand, daß billigere Bilder auch zur Verfügung stehen; (ich sehe mich dann höchst undeutlich so wie oben auf dem Treppenabsatz im Bette liegen) und erwache durch die Empfindung der Nässe, welche von der erfolgten Pollution herrührt.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deutung: Der Träumer war am Abend des Traumtages im Laden eines Buchhändlers gewesen, wo er während der Wartezeit einige der ausgestellten Bilder besichtigt hatte, die ähnliche Motive wie die Traumbilder darstellten. Bei einem kleinen Bildchen, das ihm besonders gefallen hatte, trat er näher und sah nach dem Namen des Malers, der ihm jedoch völlig unbekannt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Am selben Abend hatte er später in Gesellschaft von einem böhmischen Dienstmädchen erzählen gehört, das sich gerühmt hatte, ihr außereheliches Kind sei auf der Stiege gemacht worden. Der Träumer hatte sich nach dem Detail dieses nicht alltäglichen Vorkommnisses erkundigt und erfahren, daß das Dienstmädchen mit ihrem Verehrer nach Hause in die Wohnung ihrer Eltern gegangen war, wo zu geschlechtlichem Verkehr keine Gelegenheit gewesen wäre, und daß der erregte Mann den Koitus auf der Stiege vollzogen hatte. Der Träumer hatte dazu in scherzhafter Anspielung auf den boshaften Ausdruck für Weinfälscherei geäußert: das Kind sei wirklich auf der Kellerstiege gewachsen.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 die Tagesanknüpfungen, die ziemlich aufdringlich im Trauminhalt vertreten sind und vom Träumer ohne weiteres reproduziert werden. Ebenso leicht produziert er aber ein altes Stück infantiler Erinnerung, das ebenfalls im Traume Verwendung gefunden hat. Das Stiegenhaus ist das jenes Hauses, in welchem er den größten Teil seiner Kinderjahre verbracht und wo er insbesondere die erste bewußte Bekanntschaft mit den Sexualproblemen gemacht hatte. In diesem Stiegenhaus hatte er häufig gespielt und war dabei unter anderem auch rittlings längs des Geländers hinuntergerutscht, wobei er sexuelle Erregung verspürt hatte. Im Traume eilt er nun ebenfalls ungemein rasch über die Stiege hinunter, so rasch, daß er nach eigener deutlicher Angabe die einzelnen Stufen gar nicht berührt, sondern, wie man zu sagen pflegt, hinunter </w:t>
      </w:r>
      <w:r w:rsidRPr="00A06A59">
        <w:rPr>
          <w:rFonts w:ascii="Garamond" w:hAnsi="Garamond" w:cs="Arial"/>
          <w:i/>
          <w:iCs/>
          <w:color w:val="000000"/>
          <w:lang w:val="en-GB"/>
        </w:rPr>
        <w:t>fliegt</w:t>
      </w:r>
      <w:r w:rsidRPr="00A06A59">
        <w:rPr>
          <w:rFonts w:ascii="Garamond" w:hAnsi="Garamond" w:cs="Arial"/>
          <w:color w:val="000000"/>
          <w:lang w:val="en-GB"/>
        </w:rPr>
        <w:t xml:space="preserve"> oder rutscht. Mit Bezug auf das infantile Erlebnis scheint dieser Beginn des Traumes den Moment der sexuellen Erregung darzustellen. – In diesem Stiegenhaus und der dazugehörigen Wohnung hatte der Träumer aber auch mit den Nachbarskindern häufig sexuelle Raufspiele getrieben, wobei er sich in ähnlicher Weise befriedigt hatte, wie es im Traume geschieht.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Weiß man aus Freuds sexualsymbolischen Forschungen (siehe »Zentralblatt f. PsA.«, Heft 1, p. </w:t>
      </w:r>
      <w:smartTag w:uri="urn:schemas-microsoft-com:office:smarttags" w:element="metricconverter">
        <w:smartTagPr>
          <w:attr w:name="ProductID" w:val="2f"/>
        </w:smartTagPr>
        <w:r w:rsidRPr="00A06A59">
          <w:rPr>
            <w:rFonts w:ascii="Garamond" w:hAnsi="Garamond" w:cs="Arial"/>
            <w:color w:val="000000"/>
            <w:lang w:val="en-GB"/>
          </w:rPr>
          <w:t>2f</w:t>
        </w:r>
      </w:smartTag>
      <w:r w:rsidRPr="00A06A59">
        <w:rPr>
          <w:rFonts w:ascii="Garamond" w:hAnsi="Garamond" w:cs="Arial"/>
          <w:color w:val="000000"/>
          <w:lang w:val="en-GB"/>
        </w:rPr>
        <w:t xml:space="preserve">.), daß die Stiege und das Stiegensteigen im Traume fast regelmäßig den Koitus symbolisieren, so wird der Traum völlig durchsichtig. </w:t>
      </w:r>
      <w:r w:rsidRPr="00A06A59">
        <w:rPr>
          <w:rFonts w:ascii="Garamond" w:hAnsi="Garamond" w:cs="Arial"/>
          <w:color w:val="000000"/>
        </w:rPr>
        <w:t xml:space="preserve">Seine Triebkraft ist, wie ja auch sein Effekt, die Pollution, zeigt, rein libidinöser Natur. Im Schlafzustand erwacht die sexuelle Erregung (im Traume dargestellt durch das Hinuntereilen – rutschen – über die Stiege), deren sadistischer Einschlag auf Grund der Raufspiele in der Verfolgung und Überwältigung des Kindes angedeutet ist. </w:t>
      </w:r>
      <w:r w:rsidRPr="00A06A59">
        <w:rPr>
          <w:rFonts w:ascii="Garamond" w:hAnsi="Garamond" w:cs="Arial"/>
          <w:color w:val="000000"/>
          <w:lang w:val="en-GB"/>
        </w:rPr>
        <w:t xml:space="preserve">Die libidinöse Erregung steigert sich und drängt zur sexuellen Aktion (dargestellt im Traume durch das Fassen des Kindes und seine Beförderung in die Mitte der Stiege). Bis daher wäre der Traum rein sexualsymbolisch und für den wenig geübten Traumdeuter völlig undurchsichtig. Aber der überstarken libidinösen Erregung genügt diese symbolische Befriedigung nicht, welche die Ruhe des Schlafes gewährleistet hätte. Die Erregung führt zum Orgasmus, und damit wird die ganze Stiegensymbolik als Vertretung des Koitus entlarvt. – Wenn </w:t>
      </w:r>
      <w:r w:rsidRPr="00A06A59">
        <w:rPr>
          <w:rFonts w:ascii="Garamond" w:hAnsi="Garamond" w:cs="Arial"/>
          <w:i/>
          <w:iCs/>
          <w:color w:val="000000"/>
          <w:lang w:val="en-GB"/>
        </w:rPr>
        <w:t>Freud</w:t>
      </w:r>
      <w:r w:rsidRPr="00A06A59">
        <w:rPr>
          <w:rFonts w:ascii="Garamond" w:hAnsi="Garamond" w:cs="Arial"/>
          <w:color w:val="000000"/>
          <w:lang w:val="en-GB"/>
        </w:rPr>
        <w:t xml:space="preserve"> als einen der Gründe für die sexuelle Verwertung des Stiegensymbols den rhythmischen Charakter beider Aktionen hervorhebt, so scheint dieser Traum besonders deutlich dafür zu sprechen, da nach ausdrücklicher Angabe des Träumers die Rhythmik seines Sexualaktes, das Auf- und Niederreiben, das im ganzen Traum am deutlichsten ausgeprägte Element gewesen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Noch eine Bemerkung über die beiden Bilder, die, abgesehen von ihrer realen Bedeutung, auch in symbolischem Sinne als Weibsbilder gelten, was schon daraus hervorgeht, daß es sich um ein großes und ein kleines Bild handelt, ebenso wie im Trauminhalt ein großes (erwachsenes) und ein kleines Mädchen vorkommen. Daß auch billigere Bilder </w:t>
      </w:r>
      <w:r w:rsidRPr="00A06A59">
        <w:rPr>
          <w:rFonts w:ascii="Garamond" w:hAnsi="Garamond" w:cs="Arial"/>
          <w:color w:val="000000"/>
          <w:lang w:val="en-GB"/>
        </w:rPr>
        <w:lastRenderedPageBreak/>
        <w:t>zur Verfügung stehen, führt zum Prostituiertenkomplex, wie andererseits der Vorname des Träumers auf dem kleinen Bilde und der Gedanke, es sei ihm zum Geburtstag bestimmt, auf den Elternkomplex hinweisen (auf der Stiege geboren = im Koitus erzeugt).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undeutliche Schlußszene, wo der Träumer sich selbst oben auf dem Treppenabsatze im Bette liegen sieht und Nässe verspürt, scheint über die infantile Onanie hinaus noch weiter in die Kindheit zurückzuweisen und vermutlich lustvolle Szenen von Bettnässen zum Vorbild zu haben.«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8 </w:t>
      </w:r>
      <w:r w:rsidRPr="00A06A59">
        <w:rPr>
          <w:rFonts w:ascii="Garamond" w:hAnsi="Garamond" w:cs="Arial"/>
          <w:color w:val="000000"/>
          <w:sz w:val="22"/>
          <w:szCs w:val="22"/>
          <w:lang w:val="en-GB"/>
        </w:rPr>
        <w:br/>
        <w:t>Ein modifizierter Stiegentraum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mache einem meiner Patienten, einem schwerkranken Abstinenten, dessen Phantasie an seine Mutter fixiert ist und der wiederholt vom Treppensteigen in Begleitung der Mutter geträumt hat, die Bemerkung, daß mäßige Masturbation ihm wahrscheinlich weniger schädlich wäre als seine erzwungene Enthaltsamkeit. Diese Beeinflussung provoziert folgenden 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Sein Klavierlehrer mache ihm Vorwürfe, daß er sein Klavierspiel vernachlässige, die Etüden von Moscheles sowie den Gradus ad Parnassum von Clementi nicht übt.</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Er bemerkt hiezu, der </w:t>
      </w:r>
      <w:r w:rsidRPr="00A06A59">
        <w:rPr>
          <w:rFonts w:ascii="Garamond" w:hAnsi="Garamond" w:cs="Arial"/>
          <w:i/>
          <w:iCs/>
          <w:color w:val="000000"/>
          <w:lang w:val="en-GB"/>
        </w:rPr>
        <w:t>Gradus</w:t>
      </w:r>
      <w:r w:rsidRPr="00A06A59">
        <w:rPr>
          <w:rFonts w:ascii="Garamond" w:hAnsi="Garamond" w:cs="Arial"/>
          <w:color w:val="000000"/>
          <w:lang w:val="en-GB"/>
        </w:rPr>
        <w:t xml:space="preserve"> sei ja auch eine Stiege und die Klaviatur selbst sei eine Stiege, weil sie eine Skala enthalte. Man darf sagen, es gibt keinen Vorstellungskreis, der sich der Darstellung sexueller Tatsachen und Wünsche verweigern würde.</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9 </w:t>
      </w:r>
      <w:r w:rsidRPr="00A06A59">
        <w:rPr>
          <w:rFonts w:ascii="Garamond" w:hAnsi="Garamond" w:cs="Arial"/>
          <w:color w:val="000000"/>
          <w:sz w:val="22"/>
          <w:szCs w:val="22"/>
          <w:lang w:val="en-GB"/>
        </w:rPr>
        <w:br/>
        <w:t>Wirklichkeitsgefühl und Darstellung der Wiederholung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jetzt 35 jähriger Mann erzählt einen gut erinnerten Traum, den er mit vier Jahren gehabt haben will: </w:t>
      </w:r>
      <w:r w:rsidRPr="00A06A59">
        <w:rPr>
          <w:rFonts w:ascii="Garamond" w:hAnsi="Garamond" w:cs="Arial"/>
          <w:i/>
          <w:iCs/>
          <w:color w:val="000000"/>
          <w:lang w:val="en-GB"/>
        </w:rPr>
        <w:t>Der Notar, bei dem das Testament des Vaters hinterlegt war –</w:t>
      </w:r>
      <w:r w:rsidRPr="00A06A59">
        <w:rPr>
          <w:rFonts w:ascii="Garamond" w:hAnsi="Garamond" w:cs="Arial"/>
          <w:color w:val="000000"/>
          <w:lang w:val="en-GB"/>
        </w:rPr>
        <w:t xml:space="preserve"> er hatte den Vater im Alter von drei Jahren verloren, </w:t>
      </w:r>
      <w:r w:rsidRPr="00A06A59">
        <w:rPr>
          <w:rFonts w:ascii="Garamond" w:hAnsi="Garamond" w:cs="Arial"/>
          <w:i/>
          <w:iCs/>
          <w:color w:val="000000"/>
          <w:lang w:val="en-GB"/>
        </w:rPr>
        <w:t>brachte zwei große Kaiserbirnen, von denen er eine zum Essen bekam. Die andere lag auf dem Fensterbrett des Wohnzimmers.</w:t>
      </w:r>
      <w:r w:rsidRPr="00A06A59">
        <w:rPr>
          <w:rFonts w:ascii="Garamond" w:hAnsi="Garamond" w:cs="Arial"/>
          <w:color w:val="000000"/>
          <w:lang w:val="en-GB"/>
        </w:rPr>
        <w:t xml:space="preserve"> Er erwachte mit der Überzeugung von der Realität des Geträumten und verlangte hartnäckig von der Mutter die zweite Birne; sie liege doch auf dem Fensterbrett. Die Mutter lachte darüber.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analyse: Der Notar war ein jovialer alter Herr, der, wie er sich zu erinnern glaubt, wirklich einmal Birnen mitbrachte. Das Fensterbrett war so, wie er es im Traume sah. Anderes will ihm dazu nicht einfallen; etwa noch, daß die Mutter kürzlich ihm einen Traum erzählt. Sie hat zwei Vögel auf ihrem Kopfe sitzen, fragt sich, wann sie fortfliegen werden, aber sie fliegen nicht fort, sondern der eine fliegt zu ihrem Munde und saugt aus ihm.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Das Versagen der Einfälle des Träumers gibt uns das Recht, die Deutung durch Symbolersetzung zu versuchen. Die beiden Birnen – </w:t>
      </w:r>
      <w:r w:rsidRPr="00A06A59">
        <w:rPr>
          <w:rFonts w:ascii="Garamond" w:hAnsi="Garamond" w:cs="Arial"/>
          <w:i/>
          <w:iCs/>
          <w:color w:val="000000"/>
        </w:rPr>
        <w:t>pommes ou poires</w:t>
      </w:r>
      <w:r w:rsidRPr="00A06A59">
        <w:rPr>
          <w:rFonts w:ascii="Garamond" w:hAnsi="Garamond" w:cs="Arial"/>
          <w:color w:val="000000"/>
        </w:rPr>
        <w:t xml:space="preserve"> – sind die Brüste der Mutter, die ihn genährt hat; das Fensterbrett der Vorsprung des Busens, analog den Balkonen im Häusertraum (vgl. S. 243). Sein Wirklichkeitsgefühl nach dem Erwachen hat recht, denn die Mutter hat ihn wirklich gesäugt, sogar weit über die gebräuchliche Zeit hinaus, und die Mutterbrust wäre noch immer zu haben. </w:t>
      </w:r>
      <w:r w:rsidRPr="00A06A59">
        <w:rPr>
          <w:rFonts w:ascii="Garamond" w:hAnsi="Garamond" w:cs="Arial"/>
          <w:color w:val="000000"/>
          <w:lang w:val="en-GB"/>
        </w:rPr>
        <w:t xml:space="preserve">Der Traum ist zu übersetzen: Mutter, gib (zeig') mir die Brust wieder, an der ich früher einmal getrunken habe. Das »früher« wird durch das Essen der einen Birne dargestellt, das »wieder« durch das Verlangen nach der anderen. Die </w:t>
      </w:r>
      <w:r w:rsidRPr="00A06A59">
        <w:rPr>
          <w:rFonts w:ascii="Garamond" w:hAnsi="Garamond" w:cs="Arial"/>
          <w:i/>
          <w:iCs/>
          <w:color w:val="000000"/>
          <w:lang w:val="en-GB"/>
        </w:rPr>
        <w:t>zeitliche Wiederholung</w:t>
      </w:r>
      <w:r w:rsidRPr="00A06A59">
        <w:rPr>
          <w:rFonts w:ascii="Garamond" w:hAnsi="Garamond" w:cs="Arial"/>
          <w:color w:val="000000"/>
          <w:lang w:val="en-GB"/>
        </w:rPr>
        <w:t xml:space="preserve"> eines Akts wird im Traum regelmäßig zur </w:t>
      </w:r>
      <w:r w:rsidRPr="00A06A59">
        <w:rPr>
          <w:rFonts w:ascii="Garamond" w:hAnsi="Garamond" w:cs="Arial"/>
          <w:i/>
          <w:iCs/>
          <w:color w:val="000000"/>
          <w:lang w:val="en-GB"/>
        </w:rPr>
        <w:t>zahlenmäßigen Vermehrung</w:t>
      </w:r>
      <w:r w:rsidRPr="00A06A59">
        <w:rPr>
          <w:rFonts w:ascii="Garamond" w:hAnsi="Garamond" w:cs="Arial"/>
          <w:color w:val="000000"/>
          <w:lang w:val="en-GB"/>
        </w:rPr>
        <w:t xml:space="preserve"> eines Objektes.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natürlich sehr auffällig, daß die Symbolik bereits im Traume eines Vierjährigen eine Rolle spielt, aber dies ist nicht Ausnahme, sondern Regel. Man darf sagen, der Träumer verfügt über die Symbolik </w:t>
      </w:r>
      <w:r w:rsidRPr="00A06A59">
        <w:rPr>
          <w:rFonts w:ascii="Garamond" w:hAnsi="Garamond" w:cs="Arial"/>
          <w:i/>
          <w:iCs/>
          <w:color w:val="000000"/>
          <w:lang w:val="en-GB"/>
        </w:rPr>
        <w:t>von allem Anfang an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Wie frühzeitig sich der Mensch, auch außerhalb des Traumlebens, der symbolischen Darstellung bedient, mag folgende unbeeinflußte Erinnerung einer jetzt 27jährigen Dame lehren: </w:t>
      </w:r>
      <w:r w:rsidRPr="00A06A59">
        <w:rPr>
          <w:rFonts w:ascii="Garamond" w:hAnsi="Garamond" w:cs="Arial"/>
          <w:i/>
          <w:iCs/>
          <w:color w:val="000000"/>
          <w:lang w:val="en-GB"/>
        </w:rPr>
        <w:t xml:space="preserve">Sie ist zwischen drei und vier Jahre alt. Das Kindsmädchen treibt sie, ihren um elf Monate jüngeren Bruder und eine im Alter zwischen beiden stehende Cousine auf den Abort, damit sie dort vor dem Spaziergang ihre kleinen Geschäfte verrichten. Sie setzt sich als die älteste auf den Sitz, die beiden anderen auf Töpfe. </w:t>
      </w:r>
      <w:r w:rsidRPr="00A06A59">
        <w:rPr>
          <w:rFonts w:ascii="Garamond" w:hAnsi="Garamond" w:cs="Arial"/>
          <w:i/>
          <w:iCs/>
          <w:color w:val="000000"/>
        </w:rPr>
        <w:t>Sie fragt die Cousine: Hast du auch ein Portemonnaie? Der Waller hat ein Würstchen, ich hab' ein Portemonnaie. Antwort der Cousine: Ja, ich hab' auch ein Portemonnaie. Das Kindsmädchen hat lachend zugehört und erzählt die Unterhaltung der Mama, die mit einer scharfen Zurechtweisung reagiert.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Es sei hier ein Traum eingeschaltet, dessen hübsche Symbolik eine Deutung mit geringer Nachhilfe der Träumerin gestattete:</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10 </w:t>
      </w:r>
      <w:r w:rsidRPr="00A06A59">
        <w:rPr>
          <w:rFonts w:ascii="Garamond" w:hAnsi="Garamond" w:cs="Arial"/>
          <w:color w:val="000000"/>
          <w:sz w:val="22"/>
          <w:szCs w:val="22"/>
          <w:lang w:val="en-GB"/>
        </w:rPr>
        <w:br/>
        <w:t xml:space="preserve">»Zur Frage der Symbolik in den Träumen Gesunder« </w:t>
      </w:r>
      <w:hyperlink r:id="rId182" w:anchor="#" w:history="1">
        <w:r w:rsidRPr="00A06A59">
          <w:rPr>
            <w:rStyle w:val="fusslink"/>
            <w:rFonts w:ascii="Garamond" w:hAnsi="Garamond" w:cs="Arial"/>
            <w:b/>
            <w:bCs/>
            <w:color w:val="003399"/>
            <w:sz w:val="22"/>
            <w:szCs w:val="22"/>
            <w:lang w:val="en-GB"/>
          </w:rPr>
          <w:t>[Fußnote]</w:t>
        </w:r>
        <w:r w:rsidRPr="00A06A59">
          <w:rPr>
            <w:rStyle w:val="innerfusslink3"/>
            <w:rFonts w:ascii="Garamond" w:hAnsi="Garamond" w:cs="Arial"/>
            <w:b/>
            <w:bCs/>
            <w:sz w:val="22"/>
            <w:szCs w:val="22"/>
            <w:lang w:val="en-GB"/>
          </w:rPr>
          <w:t>Alfred Robitsek im Zentralblatt f. PsA. II, 1911, p. 340.</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»Ein von den Gegnern der Psychoanalyse häufig zuletzt auch von Havelock </w:t>
      </w:r>
      <w:r w:rsidRPr="00A06A59">
        <w:rPr>
          <w:rFonts w:ascii="Garamond" w:hAnsi="Garamond" w:cs="Arial"/>
          <w:i/>
          <w:iCs/>
          <w:color w:val="000000"/>
          <w:lang w:val="en-GB"/>
        </w:rPr>
        <w:t>Ellis</w:t>
      </w:r>
      <w:r w:rsidRPr="00A06A59">
        <w:rPr>
          <w:rFonts w:ascii="Garamond" w:hAnsi="Garamond" w:cs="Arial"/>
          <w:color w:val="000000"/>
          <w:lang w:val="en-GB"/>
        </w:rPr>
        <w:t xml:space="preserve"> (»The World of Dreams«, London 1911, p. 168) vorgebrachter Einwand lautet, daß die Traumsymbolik vielleicht ein Produkt der neurotischen Psyche sei, aber keineswegs für die normale Gültigkeit habe. Während nun die psychoanalytische Forschung zwischen normalem und neurotischem Seelenleben überhaupt keine prinzipiellen, sondern nur quantitative Unterschiede kennt, zeigt die Analyse der Träume, in denen ja bei Gesunden und Kranken in gleicher Weise die verdrängten Komplexe wirksam sind, die volle Identität der Mechanismen wie der Symbolik. Ja die unbefangenen Träume Gesunder enthalten oft eine viel einfachere, durchsichtigere und mehr charakteristische Symbolik als die neurotischer Personen, in denen sie infolge der stärker wirkenden Zensur und der hieraus resultierenden weitergehenden Traumentstellung häufig gequält, dunkel und schwer zu deuten ist. Der in folgendem mitgeteilte Traum diene zur Illustrierung dieser Tatsache. Er stammt von einem nicht neurotischen Mädchen von eher prüdem und zurückhaltendem Wesen; im Laufe des Gespräches erfahre ich, daß sie verlobt ist, daß sich aber der Heirat Hindernisse entgegenstellen, die sie zu verzögern geeignet sind. Sie erzählt mir spontan folgenden 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I arrange the centre of a table with flowers for a birthday.</w:t>
      </w:r>
      <w:r w:rsidRPr="00A06A59">
        <w:rPr>
          <w:rFonts w:ascii="Garamond" w:hAnsi="Garamond" w:cs="Arial"/>
          <w:color w:val="000000"/>
          <w:lang w:val="en-GB"/>
        </w:rPr>
        <w:t xml:space="preserve"> (Ich richte die Mitte eines Tisches mit Blumen für einen Geburtstag her.) Auf Fragen gibt sie an, sie sei im Traume wie in ihrem Heim gewesen (das sie zur Zeit nicht besitzt) und habe ein </w:t>
      </w:r>
      <w:r w:rsidRPr="00A06A59">
        <w:rPr>
          <w:rFonts w:ascii="Garamond" w:hAnsi="Garamond" w:cs="Arial"/>
          <w:i/>
          <w:iCs/>
          <w:color w:val="000000"/>
          <w:lang w:val="en-GB"/>
        </w:rPr>
        <w:t>Glücksgefühl</w:t>
      </w:r>
      <w:r w:rsidRPr="00A06A59">
        <w:rPr>
          <w:rFonts w:ascii="Garamond" w:hAnsi="Garamond" w:cs="Arial"/>
          <w:color w:val="000000"/>
          <w:lang w:val="en-GB"/>
        </w:rPr>
        <w:t xml:space="preserve"> empfunden.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›populäre‹ Symbolik ermöglicht mir, den Traum für mich zu übersetzen. Er ist der Ausdruck ihrer bräutlichen Wünsche: der Tisch mit dem Blumenmittelstück ist symbolisch für sie selbst und das Genitale; sie stellt ihre Zukunftswünsche erfüllt dar, indem sie sich bereits mit dem Gedanken an die Geburt eines Kindes beschäftigt; die Hochzeit liegt also längst hinter ihr.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mache sie darauf aufmerksam, daß </w:t>
      </w:r>
      <w:r w:rsidRPr="00A06A59">
        <w:rPr>
          <w:rFonts w:ascii="Garamond" w:hAnsi="Garamond" w:cs="Arial"/>
          <w:i/>
          <w:iCs/>
          <w:color w:val="000000"/>
          <w:lang w:val="en-GB"/>
        </w:rPr>
        <w:t>the centre of a table</w:t>
      </w:r>
      <w:r w:rsidRPr="00A06A59">
        <w:rPr>
          <w:rFonts w:ascii="Garamond" w:hAnsi="Garamond" w:cs="Arial"/>
          <w:color w:val="000000"/>
          <w:lang w:val="en-GB"/>
        </w:rPr>
        <w:t xml:space="preserve"> ein ungewöhnlicher Ausdruck sei, was sie zugibt, kann hier aber natürlich nicht direkt weiterfragen. Ich vermied es sorgfältig, ihr die Bedeutung der Symbole zu suggerieren, und fragte sie nur, was ihr zu den einzelnen Teilen des Traumes in den Sinn komme. Ihre Zurückhaltung wich im Verlaufe der Analyse einem deutlichen Interesse an der Deutung und einer Offenheit, die der Ernst des Gespräches ermöglichte. – Auf meine Frage, was für Blumen es gewesen seien, antwortete sie zunächst: </w:t>
      </w:r>
      <w:r w:rsidRPr="00A06A59">
        <w:rPr>
          <w:rFonts w:ascii="Garamond" w:hAnsi="Garamond" w:cs="Arial"/>
          <w:i/>
          <w:iCs/>
          <w:color w:val="000000"/>
          <w:lang w:val="en-GB"/>
        </w:rPr>
        <w:t>expensive flowers; one has to pay for them</w:t>
      </w:r>
      <w:r w:rsidRPr="00A06A59">
        <w:rPr>
          <w:rFonts w:ascii="Garamond" w:hAnsi="Garamond" w:cs="Arial"/>
          <w:color w:val="000000"/>
          <w:lang w:val="en-GB"/>
        </w:rPr>
        <w:t xml:space="preserve"> (teuere Blumen, für die man zahlen muß), dann, es seien </w:t>
      </w:r>
      <w:r w:rsidRPr="00A06A59">
        <w:rPr>
          <w:rFonts w:ascii="Garamond" w:hAnsi="Garamond" w:cs="Arial"/>
          <w:i/>
          <w:iCs/>
          <w:color w:val="000000"/>
          <w:lang w:val="en-GB"/>
        </w:rPr>
        <w:t>lilies of the valley, violets and pinks or carnations</w:t>
      </w:r>
      <w:r w:rsidRPr="00A06A59">
        <w:rPr>
          <w:rFonts w:ascii="Garamond" w:hAnsi="Garamond" w:cs="Arial"/>
          <w:color w:val="000000"/>
          <w:lang w:val="en-GB"/>
        </w:rPr>
        <w:t xml:space="preserve"> gewesen (Maiglöckchen, wörtlich: Lilien vom Tale, Veilchen und Nelken). Ich nahm an, daß das Wort </w:t>
      </w:r>
      <w:r w:rsidRPr="00A06A59">
        <w:rPr>
          <w:rFonts w:ascii="Garamond" w:hAnsi="Garamond" w:cs="Arial"/>
          <w:i/>
          <w:iCs/>
          <w:color w:val="000000"/>
          <w:lang w:val="en-GB"/>
        </w:rPr>
        <w:t>Lilie</w:t>
      </w:r>
      <w:r w:rsidRPr="00A06A59">
        <w:rPr>
          <w:rFonts w:ascii="Garamond" w:hAnsi="Garamond" w:cs="Arial"/>
          <w:color w:val="000000"/>
          <w:lang w:val="en-GB"/>
        </w:rPr>
        <w:t xml:space="preserve"> in diesem Traume in seiner populären Bedeutung als Keuschheitssymbol erscheine; sie bestätigte diese Annahme, indem ihr zu </w:t>
      </w:r>
      <w:r w:rsidRPr="00A06A59">
        <w:rPr>
          <w:rFonts w:ascii="Garamond" w:hAnsi="Garamond" w:cs="Arial"/>
          <w:i/>
          <w:iCs/>
          <w:color w:val="000000"/>
          <w:lang w:val="en-GB"/>
        </w:rPr>
        <w:t>Liliepurity</w:t>
      </w:r>
      <w:r w:rsidRPr="00A06A59">
        <w:rPr>
          <w:rFonts w:ascii="Garamond" w:hAnsi="Garamond" w:cs="Arial"/>
          <w:color w:val="000000"/>
          <w:lang w:val="en-GB"/>
        </w:rPr>
        <w:t xml:space="preserve"> (Reinheit) einfiel. </w:t>
      </w:r>
      <w:r w:rsidRPr="00A06A59">
        <w:rPr>
          <w:rFonts w:ascii="Garamond" w:hAnsi="Garamond" w:cs="Arial"/>
          <w:i/>
          <w:iCs/>
          <w:color w:val="000000"/>
          <w:lang w:val="en-GB"/>
        </w:rPr>
        <w:t>Valley</w:t>
      </w:r>
      <w:r w:rsidRPr="00A06A59">
        <w:rPr>
          <w:rFonts w:ascii="Garamond" w:hAnsi="Garamond" w:cs="Arial"/>
          <w:color w:val="000000"/>
          <w:lang w:val="en-GB"/>
        </w:rPr>
        <w:t xml:space="preserve">, das Tal, ist ein häufiges weibliches Traumsymbol; so wird das zufällige Zusammentreffen der beiden Symbole in dem englischen Namen für Maiglöckchen zur Traumsymbolik, zur Betonung ihrer kostbaren Jungfräulichkeit </w:t>
      </w:r>
      <w:r w:rsidRPr="00A06A59">
        <w:rPr>
          <w:rFonts w:ascii="Garamond" w:hAnsi="Garamond" w:cs="Arial"/>
          <w:i/>
          <w:iCs/>
          <w:color w:val="000000"/>
          <w:lang w:val="en-GB"/>
        </w:rPr>
        <w:t>expensive flowers, one has to pay for them</w:t>
      </w:r>
      <w:r w:rsidRPr="00A06A59">
        <w:rPr>
          <w:rFonts w:ascii="Garamond" w:hAnsi="Garamond" w:cs="Arial"/>
          <w:color w:val="000000"/>
          <w:lang w:val="en-GB"/>
        </w:rPr>
        <w:t xml:space="preserve"> verwendet und zum Ausdruck der Erwartung, daß der Mann ihren Wert zu würdigen wissen werde. Die Bemerkung </w:t>
      </w:r>
      <w:r w:rsidRPr="00A06A59">
        <w:rPr>
          <w:rFonts w:ascii="Garamond" w:hAnsi="Garamond" w:cs="Arial"/>
          <w:i/>
          <w:iCs/>
          <w:color w:val="000000"/>
          <w:lang w:val="en-GB"/>
        </w:rPr>
        <w:t>expensive flowers</w:t>
      </w:r>
      <w:r w:rsidRPr="00A06A59">
        <w:rPr>
          <w:rFonts w:ascii="Garamond" w:hAnsi="Garamond" w:cs="Arial"/>
          <w:color w:val="000000"/>
          <w:lang w:val="en-GB"/>
        </w:rPr>
        <w:t xml:space="preserve"> etc. hat, wie sich zeigen wird, bei jedem der drei Blumensymbole eine andere Bedeutung.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geheimen Sinn der scheinbar recht asexuellen › </w:t>
      </w:r>
      <w:r w:rsidRPr="00A06A59">
        <w:rPr>
          <w:rFonts w:ascii="Garamond" w:hAnsi="Garamond" w:cs="Arial"/>
          <w:i/>
          <w:iCs/>
          <w:color w:val="000000"/>
          <w:lang w:val="en-GB"/>
        </w:rPr>
        <w:t>violets‹</w:t>
      </w:r>
      <w:r w:rsidRPr="00A06A59">
        <w:rPr>
          <w:rFonts w:ascii="Garamond" w:hAnsi="Garamond" w:cs="Arial"/>
          <w:color w:val="000000"/>
          <w:lang w:val="en-GB"/>
        </w:rPr>
        <w:t xml:space="preserve"> suchte ich mir recht kühn, wie ich meinte – mit einer unbewußten Beziehung zum französischen </w:t>
      </w:r>
      <w:r w:rsidRPr="00A06A59">
        <w:rPr>
          <w:rFonts w:ascii="Garamond" w:hAnsi="Garamond" w:cs="Arial"/>
          <w:i/>
          <w:iCs/>
          <w:color w:val="000000"/>
          <w:lang w:val="en-GB"/>
        </w:rPr>
        <w:t>viol</w:t>
      </w:r>
      <w:r w:rsidRPr="00A06A59">
        <w:rPr>
          <w:rFonts w:ascii="Garamond" w:hAnsi="Garamond" w:cs="Arial"/>
          <w:color w:val="000000"/>
          <w:lang w:val="en-GB"/>
        </w:rPr>
        <w:t xml:space="preserve"> zu erklären. Zu meiner Überraschung assoziierte die Träumerin </w:t>
      </w:r>
      <w:r w:rsidRPr="00A06A59">
        <w:rPr>
          <w:rFonts w:ascii="Garamond" w:hAnsi="Garamond" w:cs="Arial"/>
          <w:i/>
          <w:iCs/>
          <w:color w:val="000000"/>
          <w:lang w:val="en-GB"/>
        </w:rPr>
        <w:t>violate</w:t>
      </w:r>
      <w:r w:rsidRPr="00A06A59">
        <w:rPr>
          <w:rFonts w:ascii="Garamond" w:hAnsi="Garamond" w:cs="Arial"/>
          <w:color w:val="000000"/>
          <w:lang w:val="en-GB"/>
        </w:rPr>
        <w:t xml:space="preserve">, das englische Wort für vergewaltigen. Die zufällige große Wortähnlichkeit von </w:t>
      </w:r>
      <w:r w:rsidRPr="00A06A59">
        <w:rPr>
          <w:rFonts w:ascii="Garamond" w:hAnsi="Garamond" w:cs="Arial"/>
          <w:i/>
          <w:iCs/>
          <w:color w:val="000000"/>
          <w:lang w:val="en-GB"/>
        </w:rPr>
        <w:t>violet</w:t>
      </w:r>
      <w:r w:rsidRPr="00A06A59">
        <w:rPr>
          <w:rFonts w:ascii="Garamond" w:hAnsi="Garamond" w:cs="Arial"/>
          <w:color w:val="000000"/>
          <w:lang w:val="en-GB"/>
        </w:rPr>
        <w:t xml:space="preserve"> und </w:t>
      </w:r>
      <w:r w:rsidRPr="00A06A59">
        <w:rPr>
          <w:rFonts w:ascii="Garamond" w:hAnsi="Garamond" w:cs="Arial"/>
          <w:i/>
          <w:iCs/>
          <w:color w:val="000000"/>
          <w:lang w:val="en-GB"/>
        </w:rPr>
        <w:t>violate –</w:t>
      </w:r>
      <w:r w:rsidRPr="00A06A59">
        <w:rPr>
          <w:rFonts w:ascii="Garamond" w:hAnsi="Garamond" w:cs="Arial"/>
          <w:color w:val="000000"/>
          <w:lang w:val="en-GB"/>
        </w:rPr>
        <w:t xml:space="preserve"> in der englischen Aussprache unterscheiden sie sich nur durch eine Akzentverschiedenheit der letzten Silbe – wird vom Traume benutzt, um durch die Blume den Gedanken an die Gewaltsamkeit der Defloration (auch dieses Wort benutzt die Blumensymbolik), vielleicht auch einen masochistischen Zug des Mädchens zum Ausdruck zu bringen. Ein schönes Beispiel für die Wortbrücken, über welche die Wege zum Unbewußten führen. Das </w:t>
      </w:r>
      <w:r w:rsidRPr="00A06A59">
        <w:rPr>
          <w:rFonts w:ascii="Garamond" w:hAnsi="Garamond" w:cs="Arial"/>
          <w:i/>
          <w:iCs/>
          <w:color w:val="000000"/>
          <w:lang w:val="en-GB"/>
        </w:rPr>
        <w:t>one has to pay for them</w:t>
      </w:r>
      <w:r w:rsidRPr="00A06A59">
        <w:rPr>
          <w:rFonts w:ascii="Garamond" w:hAnsi="Garamond" w:cs="Arial"/>
          <w:color w:val="000000"/>
          <w:lang w:val="en-GB"/>
        </w:rPr>
        <w:t xml:space="preserve"> bedeutet hier das Leben, mit dem sie das Weib- und Mutterwerden bezahlen muß.</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 › </w:t>
      </w:r>
      <w:r w:rsidRPr="00A06A59">
        <w:rPr>
          <w:rFonts w:ascii="Garamond" w:hAnsi="Garamond" w:cs="Arial"/>
          <w:i/>
          <w:iCs/>
          <w:color w:val="000000"/>
          <w:lang w:val="en-GB"/>
        </w:rPr>
        <w:t>pinks</w:t>
      </w:r>
      <w:r w:rsidRPr="00A06A59">
        <w:rPr>
          <w:rFonts w:ascii="Garamond" w:hAnsi="Garamond" w:cs="Arial"/>
          <w:color w:val="000000"/>
          <w:lang w:val="en-GB"/>
        </w:rPr>
        <w:t xml:space="preserve">‹, die sie dann › </w:t>
      </w:r>
      <w:r w:rsidRPr="00A06A59">
        <w:rPr>
          <w:rFonts w:ascii="Garamond" w:hAnsi="Garamond" w:cs="Arial"/>
          <w:i/>
          <w:iCs/>
          <w:color w:val="000000"/>
          <w:lang w:val="en-GB"/>
        </w:rPr>
        <w:t>carnation‹</w:t>
      </w:r>
      <w:r w:rsidRPr="00A06A59">
        <w:rPr>
          <w:rFonts w:ascii="Garamond" w:hAnsi="Garamond" w:cs="Arial"/>
          <w:color w:val="000000"/>
          <w:lang w:val="en-GB"/>
        </w:rPr>
        <w:t xml:space="preserve"> nennt, fällt mir die Beziehung dieses Wortes zum ›Fleischlichen‹ auf. Ihr Einfall dazu lautete aber › </w:t>
      </w:r>
      <w:r w:rsidRPr="00A06A59">
        <w:rPr>
          <w:rFonts w:ascii="Garamond" w:hAnsi="Garamond" w:cs="Arial"/>
          <w:i/>
          <w:iCs/>
          <w:color w:val="000000"/>
          <w:lang w:val="en-GB"/>
        </w:rPr>
        <w:t>colour‹</w:t>
      </w:r>
      <w:r w:rsidRPr="00A06A59">
        <w:rPr>
          <w:rFonts w:ascii="Garamond" w:hAnsi="Garamond" w:cs="Arial"/>
          <w:color w:val="000000"/>
          <w:lang w:val="en-GB"/>
        </w:rPr>
        <w:t xml:space="preserve"> (Farbe). Sie fügte hinzu, daß › </w:t>
      </w:r>
      <w:r w:rsidRPr="00A06A59">
        <w:rPr>
          <w:rFonts w:ascii="Garamond" w:hAnsi="Garamond" w:cs="Arial"/>
          <w:i/>
          <w:iCs/>
          <w:color w:val="000000"/>
          <w:lang w:val="en-GB"/>
        </w:rPr>
        <w:t>carnations‹</w:t>
      </w:r>
      <w:r w:rsidRPr="00A06A59">
        <w:rPr>
          <w:rFonts w:ascii="Garamond" w:hAnsi="Garamond" w:cs="Arial"/>
          <w:color w:val="000000"/>
          <w:lang w:val="en-GB"/>
        </w:rPr>
        <w:t xml:space="preserve"> die Blumen seien, welche ihr von ihrem Verlobten </w:t>
      </w:r>
      <w:r w:rsidRPr="00A06A59">
        <w:rPr>
          <w:rFonts w:ascii="Garamond" w:hAnsi="Garamond" w:cs="Arial"/>
          <w:i/>
          <w:iCs/>
          <w:color w:val="000000"/>
          <w:lang w:val="en-GB"/>
        </w:rPr>
        <w:t>häufig und in großen Mengen</w:t>
      </w:r>
      <w:r w:rsidRPr="00A06A59">
        <w:rPr>
          <w:rFonts w:ascii="Garamond" w:hAnsi="Garamond" w:cs="Arial"/>
          <w:color w:val="000000"/>
          <w:lang w:val="en-GB"/>
        </w:rPr>
        <w:t xml:space="preserve"> geschenkt werden. Zu Ende des Gespräches gesteht sie plötzlich spontan, sie habe mir nicht die Wahrheit gesagt, es sei ihr nicht › </w:t>
      </w:r>
      <w:r w:rsidRPr="00A06A59">
        <w:rPr>
          <w:rFonts w:ascii="Garamond" w:hAnsi="Garamond" w:cs="Arial"/>
          <w:i/>
          <w:iCs/>
          <w:color w:val="000000"/>
          <w:lang w:val="en-GB"/>
        </w:rPr>
        <w:t>colour</w:t>
      </w:r>
      <w:r w:rsidRPr="00A06A59">
        <w:rPr>
          <w:rFonts w:ascii="Garamond" w:hAnsi="Garamond" w:cs="Arial"/>
          <w:color w:val="000000"/>
          <w:lang w:val="en-GB"/>
        </w:rPr>
        <w:t xml:space="preserve">‹ </w:t>
      </w:r>
      <w:r w:rsidRPr="00A06A59">
        <w:rPr>
          <w:rFonts w:ascii="Garamond" w:hAnsi="Garamond" w:cs="Arial"/>
          <w:i/>
          <w:iCs/>
          <w:color w:val="000000"/>
          <w:lang w:val="en-GB"/>
        </w:rPr>
        <w:t>,</w:t>
      </w:r>
      <w:r w:rsidRPr="00A06A59">
        <w:rPr>
          <w:rFonts w:ascii="Garamond" w:hAnsi="Garamond" w:cs="Arial"/>
          <w:color w:val="000000"/>
          <w:lang w:val="en-GB"/>
        </w:rPr>
        <w:t xml:space="preserve"> sondern › </w:t>
      </w:r>
      <w:r w:rsidRPr="00A06A59">
        <w:rPr>
          <w:rFonts w:ascii="Garamond" w:hAnsi="Garamond" w:cs="Arial"/>
          <w:i/>
          <w:iCs/>
          <w:color w:val="000000"/>
          <w:lang w:val="en-GB"/>
        </w:rPr>
        <w:t>incarnation</w:t>
      </w:r>
      <w:r w:rsidRPr="00A06A59">
        <w:rPr>
          <w:rFonts w:ascii="Garamond" w:hAnsi="Garamond" w:cs="Arial"/>
          <w:color w:val="000000"/>
          <w:lang w:val="en-GB"/>
        </w:rPr>
        <w:t xml:space="preserve">‹ (Fleischwerdung) eingefallen, welches Wort ich erwartet hatte; übrigens ist auch </w:t>
      </w:r>
      <w:r w:rsidRPr="00A06A59">
        <w:rPr>
          <w:rFonts w:ascii="Garamond" w:hAnsi="Garamond" w:cs="Arial"/>
          <w:i/>
          <w:iCs/>
          <w:color w:val="000000"/>
          <w:lang w:val="en-GB"/>
        </w:rPr>
        <w:t>colour</w:t>
      </w:r>
      <w:r w:rsidRPr="00A06A59">
        <w:rPr>
          <w:rFonts w:ascii="Garamond" w:hAnsi="Garamond" w:cs="Arial"/>
          <w:color w:val="000000"/>
          <w:lang w:val="en-GB"/>
        </w:rPr>
        <w:t xml:space="preserve"> als Einfall nicht entlegen, sondern durch die Bedeutung von </w:t>
      </w:r>
      <w:r w:rsidRPr="00A06A59">
        <w:rPr>
          <w:rFonts w:ascii="Garamond" w:hAnsi="Garamond" w:cs="Arial"/>
          <w:i/>
          <w:iCs/>
          <w:color w:val="000000"/>
          <w:lang w:val="en-GB"/>
        </w:rPr>
        <w:t>carnation – Fleischfarbe</w:t>
      </w:r>
      <w:r w:rsidRPr="00A06A59">
        <w:rPr>
          <w:rFonts w:ascii="Garamond" w:hAnsi="Garamond" w:cs="Arial"/>
          <w:color w:val="000000"/>
          <w:lang w:val="en-GB"/>
        </w:rPr>
        <w:t xml:space="preserve">, also durch den Komplex determiniert. Diese Unaufrichtigkeit zeigt, daß der Widerstand an dieser Stelle am größten war, entsprechend dem Umstand, daß die Symbolik hier am durchsichtigsten ist, der Kampf zwischen Libido und Verdrängung bei diesem phallischen Thema am stärksten war. Die Bemerkung, daß diese Blumen häufige Geschenke des Verlobten seien, ist neben der Doppelbedeutung von </w:t>
      </w:r>
      <w:r w:rsidRPr="00A06A59">
        <w:rPr>
          <w:rFonts w:ascii="Garamond" w:hAnsi="Garamond" w:cs="Arial"/>
          <w:i/>
          <w:iCs/>
          <w:color w:val="000000"/>
          <w:lang w:val="en-GB"/>
        </w:rPr>
        <w:t>carnation</w:t>
      </w:r>
      <w:r w:rsidRPr="00A06A59">
        <w:rPr>
          <w:rFonts w:ascii="Garamond" w:hAnsi="Garamond" w:cs="Arial"/>
          <w:color w:val="000000"/>
          <w:lang w:val="en-GB"/>
        </w:rPr>
        <w:t xml:space="preserve"> ein weiterer Hinweis auf ihren phallischen Sinn im Traume. Der Tagesanlaß des Blumengeschenkes wird benutzt, um den Gedanken von sexuellem Geschenk und Gegengeschenk auszudrücken: sie schenkt ihre Jungfräulichkeit und erwartet dafür ein reiches Liebesleben. Auch hier dürfte das › </w:t>
      </w:r>
      <w:r w:rsidRPr="00A06A59">
        <w:rPr>
          <w:rFonts w:ascii="Garamond" w:hAnsi="Garamond" w:cs="Arial"/>
          <w:i/>
          <w:iCs/>
          <w:color w:val="000000"/>
          <w:lang w:val="en-GB"/>
        </w:rPr>
        <w:t>expensive flowers, one has to pay for them</w:t>
      </w:r>
      <w:r w:rsidRPr="00A06A59">
        <w:rPr>
          <w:rFonts w:ascii="Garamond" w:hAnsi="Garamond" w:cs="Arial"/>
          <w:color w:val="000000"/>
          <w:lang w:val="en-GB"/>
        </w:rPr>
        <w:t xml:space="preserve">‹ – eine wohl wirkliche, finanzielle – Bedeutung haben. – Die Blumensymbolik des Traumes enthält also das jungfräulich weibliche, das männliche Symbol und die Beziehung auf die gewaltsame Defloration. Es sei darauf hingewiesen, daß die sexuelle Blumensymbolik, die ja auch </w:t>
      </w:r>
      <w:r w:rsidRPr="00A06A59">
        <w:rPr>
          <w:rFonts w:ascii="Garamond" w:hAnsi="Garamond" w:cs="Arial"/>
          <w:color w:val="000000"/>
          <w:lang w:val="en-GB"/>
        </w:rPr>
        <w:lastRenderedPageBreak/>
        <w:t>sonst sehr verbreitet ist, die menschlichen Sexualorgane durch die Blüten, die Sexualorgane der Pflanzen symbolisiert; das Blumenschenken unter Liebenden hat vielleicht überhaupt diese unbewußte Bedeutung.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Geburtstag, den sie im Traume vorbereitet, bedeutet wohl die Geburt eines Kindes. Sie identifiziert sich mit dem Bräutigam, stellt ihn dar, wie er sie für eine Geburt herrichtet, also koitiert. Der latente Gedanke könnte lauten: Wenn ich er wäre, würde ich nicht warten, sondern die Braut deflorieren, ohne sie zu fragen, Gewalt brauchen; darauf deutet ja auch das </w:t>
      </w:r>
      <w:r w:rsidRPr="00A06A59">
        <w:rPr>
          <w:rFonts w:ascii="Garamond" w:hAnsi="Garamond" w:cs="Arial"/>
          <w:i/>
          <w:iCs/>
          <w:color w:val="000000"/>
          <w:lang w:val="en-GB"/>
        </w:rPr>
        <w:t>violate</w:t>
      </w:r>
      <w:r w:rsidRPr="00A06A59">
        <w:rPr>
          <w:rFonts w:ascii="Garamond" w:hAnsi="Garamond" w:cs="Arial"/>
          <w:color w:val="000000"/>
          <w:lang w:val="en-GB"/>
        </w:rPr>
        <w:t>. So kommt auch die sadistische Libidokomponente zum Ausdruck.</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einer tieferen Schicht des Traumes dürfte das › </w:t>
      </w:r>
      <w:r w:rsidRPr="00A06A59">
        <w:rPr>
          <w:rFonts w:ascii="Garamond" w:hAnsi="Garamond" w:cs="Arial"/>
          <w:i/>
          <w:iCs/>
          <w:color w:val="000000"/>
          <w:lang w:val="en-GB"/>
        </w:rPr>
        <w:t>I arrange</w:t>
      </w:r>
      <w:r w:rsidRPr="00A06A59">
        <w:rPr>
          <w:rFonts w:ascii="Garamond" w:hAnsi="Garamond" w:cs="Arial"/>
          <w:color w:val="000000"/>
          <w:lang w:val="en-GB"/>
        </w:rPr>
        <w:t xml:space="preserve"> etc.‹ eine autoerotische, also infantile Bedeutung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Sie hat auch eine nur im Traume mögliche Erkenntnis ihrer körperlichen Dürftigkeit; sie sieht sich flach wie einen Tisch; um so mehr wird die Kostbarkeit des </w:t>
      </w:r>
      <w:r w:rsidRPr="00A06A59">
        <w:rPr>
          <w:rFonts w:ascii="Garamond" w:hAnsi="Garamond" w:cs="Arial"/>
          <w:i/>
          <w:iCs/>
          <w:color w:val="000000"/>
          <w:lang w:val="en-GB"/>
        </w:rPr>
        <w:t>centre</w:t>
      </w:r>
      <w:r w:rsidRPr="00A06A59">
        <w:rPr>
          <w:rFonts w:ascii="Garamond" w:hAnsi="Garamond" w:cs="Arial"/>
          <w:color w:val="000000"/>
          <w:lang w:val="en-GB"/>
        </w:rPr>
        <w:t xml:space="preserve"> (sie nennt es ein andermal </w:t>
      </w:r>
      <w:r w:rsidRPr="00A06A59">
        <w:rPr>
          <w:rFonts w:ascii="Garamond" w:hAnsi="Garamond" w:cs="Arial"/>
          <w:i/>
          <w:iCs/>
          <w:color w:val="000000"/>
          <w:lang w:val="en-GB"/>
        </w:rPr>
        <w:t>a centre piece of flowers</w:t>
      </w:r>
      <w:r w:rsidRPr="00A06A59">
        <w:rPr>
          <w:rFonts w:ascii="Garamond" w:hAnsi="Garamond" w:cs="Arial"/>
          <w:color w:val="000000"/>
          <w:lang w:val="en-GB"/>
        </w:rPr>
        <w:t>), ihre Jungfräulichkeit, hervorgehoben. Auch das Horizontale des Tisches dürfte ein Element zum Symbol beitragen. – Beachtenswert ist die Konzentration des Traumes; nichts ist überflüssig, jedes Wort ist ein Symbol.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Sie bringt später einen Nachtrag zum Traume: › </w:t>
      </w:r>
      <w:r w:rsidRPr="00A06A59">
        <w:rPr>
          <w:rFonts w:ascii="Garamond" w:hAnsi="Garamond" w:cs="Arial"/>
          <w:i/>
          <w:iCs/>
          <w:color w:val="000000"/>
          <w:lang w:val="en-GB"/>
        </w:rPr>
        <w:t>I decorate the flowers with green crinkled paper.</w:t>
      </w:r>
      <w:r w:rsidRPr="00A06A59">
        <w:rPr>
          <w:rFonts w:ascii="Garamond" w:hAnsi="Garamond" w:cs="Arial"/>
          <w:color w:val="000000"/>
          <w:lang w:val="en-GB"/>
        </w:rPr>
        <w:t xml:space="preserve">‹ (Ich verziere die Blumen mit grünem, gekräuseltem Papier.) Sie fügt hinzu, es sei › </w:t>
      </w:r>
      <w:r w:rsidRPr="00A06A59">
        <w:rPr>
          <w:rFonts w:ascii="Garamond" w:hAnsi="Garamond" w:cs="Arial"/>
          <w:i/>
          <w:iCs/>
          <w:color w:val="000000"/>
          <w:lang w:val="en-GB"/>
        </w:rPr>
        <w:t>fancy paper</w:t>
      </w:r>
      <w:r w:rsidRPr="00A06A59">
        <w:rPr>
          <w:rFonts w:ascii="Garamond" w:hAnsi="Garamond" w:cs="Arial"/>
          <w:color w:val="000000"/>
          <w:lang w:val="en-GB"/>
        </w:rPr>
        <w:t xml:space="preserve">‹ (Phantasiepapier), mit dem man die gewöhnlichen Blumentöpfe verkleide. Sie sagt weiter: › </w:t>
      </w:r>
      <w:r w:rsidRPr="00A06A59">
        <w:rPr>
          <w:rFonts w:ascii="Garamond" w:hAnsi="Garamond" w:cs="Arial"/>
          <w:i/>
          <w:iCs/>
          <w:color w:val="000000"/>
          <w:lang w:val="en-GB"/>
        </w:rPr>
        <w:t>to hide untidy things, whatever was to be seen, which was not pretty to the eye; there is a gap, a little space in the flowers.</w:t>
      </w:r>
      <w:r w:rsidRPr="00A06A59">
        <w:rPr>
          <w:rFonts w:ascii="Garamond" w:hAnsi="Garamond" w:cs="Arial"/>
          <w:color w:val="000000"/>
          <w:lang w:val="en-GB"/>
        </w:rPr>
        <w:t xml:space="preserve">‹ Also: um unsaubere Dinge zu verbergen, die nicht hübsch anzusehen sind; ein Spalt, ein kleiner Zwischenraum in den Blumen. › </w:t>
      </w:r>
      <w:r w:rsidRPr="00A06A59">
        <w:rPr>
          <w:rFonts w:ascii="Garamond" w:hAnsi="Garamond" w:cs="Arial"/>
          <w:i/>
          <w:iCs/>
          <w:color w:val="000000"/>
          <w:lang w:val="en-GB"/>
        </w:rPr>
        <w:t>The paper looks like velvet or moss</w:t>
      </w:r>
      <w:r w:rsidRPr="00A06A59">
        <w:rPr>
          <w:rFonts w:ascii="Garamond" w:hAnsi="Garamond" w:cs="Arial"/>
          <w:color w:val="000000"/>
          <w:lang w:val="en-GB"/>
        </w:rPr>
        <w:t xml:space="preserve">‹ (das Papier sieht wie Samt oder Moos aus). Zu › </w:t>
      </w:r>
      <w:r w:rsidRPr="00A06A59">
        <w:rPr>
          <w:rFonts w:ascii="Garamond" w:hAnsi="Garamond" w:cs="Arial"/>
          <w:i/>
          <w:iCs/>
          <w:color w:val="000000"/>
          <w:lang w:val="en-GB"/>
        </w:rPr>
        <w:t>decorate</w:t>
      </w:r>
      <w:r w:rsidRPr="00A06A59">
        <w:rPr>
          <w:rFonts w:ascii="Garamond" w:hAnsi="Garamond" w:cs="Arial"/>
          <w:color w:val="000000"/>
          <w:lang w:val="en-GB"/>
        </w:rPr>
        <w:t xml:space="preserve">‹ assoziiert sie › </w:t>
      </w:r>
      <w:r w:rsidRPr="00A06A59">
        <w:rPr>
          <w:rFonts w:ascii="Garamond" w:hAnsi="Garamond" w:cs="Arial"/>
          <w:i/>
          <w:iCs/>
          <w:color w:val="000000"/>
          <w:lang w:val="en-GB"/>
        </w:rPr>
        <w:t>decorum</w:t>
      </w:r>
      <w:r w:rsidRPr="00A06A59">
        <w:rPr>
          <w:rFonts w:ascii="Garamond" w:hAnsi="Garamond" w:cs="Arial"/>
          <w:color w:val="000000"/>
          <w:lang w:val="en-GB"/>
        </w:rPr>
        <w:t xml:space="preserve">‹, wie ich es erwartet hatte. Die grüne Farbe sei vorherrschend; sie assoziiert dazu › </w:t>
      </w:r>
      <w:r w:rsidRPr="00A06A59">
        <w:rPr>
          <w:rFonts w:ascii="Garamond" w:hAnsi="Garamond" w:cs="Arial"/>
          <w:i/>
          <w:iCs/>
          <w:color w:val="000000"/>
          <w:lang w:val="en-GB"/>
        </w:rPr>
        <w:t>hope</w:t>
      </w:r>
      <w:r w:rsidRPr="00A06A59">
        <w:rPr>
          <w:rFonts w:ascii="Garamond" w:hAnsi="Garamond" w:cs="Arial"/>
          <w:color w:val="000000"/>
          <w:lang w:val="en-GB"/>
        </w:rPr>
        <w:t xml:space="preserve">‹ (Hoffnung), wieder eine Beziehung zur Gravidität. In diesem Teile des Traumes herrscht nicht die Identifizierung mit dem Manne, sondern es kommen Gedanken von Scham und Offenheit zur Geltung. Sie macht sich schön für ihn, gesteht sich körperliche Fehler ein, deren sie sich schämt und die sie zu korrigieren sucht. Die Einfälle Samt, Moos sind ein deutlicher Hinweis, daß es sich um die </w:t>
      </w:r>
      <w:r w:rsidRPr="00A06A59">
        <w:rPr>
          <w:rFonts w:ascii="Garamond" w:hAnsi="Garamond" w:cs="Arial"/>
          <w:i/>
          <w:iCs/>
          <w:color w:val="000000"/>
          <w:lang w:val="en-GB"/>
        </w:rPr>
        <w:t>crines pubis</w:t>
      </w:r>
      <w:r w:rsidRPr="00A06A59">
        <w:rPr>
          <w:rFonts w:ascii="Garamond" w:hAnsi="Garamond" w:cs="Arial"/>
          <w:color w:val="000000"/>
          <w:lang w:val="en-GB"/>
        </w:rPr>
        <w:t xml:space="preserve"> handelt.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Der Traum ist ein Ausdruck von Gedanken, die das wache Denken des Mädchens kaum kennt; Gedanken, die sich mit der Sinnenliebe und ihren Organen beschäftigen; sie wird für einen Geburtstag zugerichtet, d. h. koitiert; die Furcht vor der Defloration, vielleicht auch das lustbetonte Leiden kommen zum Ausdruck; sie gesteht sich ihre körperlichen Mängel ein, überkompensiert diese durch Überschätzung des Wertes ihrer Jungfräulichkeit. Ihre Scham entschuldigt die sich zeigende Sinnlichkeit damit, daß diese ja das Kind zum Ziel hat. Auch materielle Erwägungen, die der Liebenden fremd sind, finden ihren Ausdruck. Der Affekt des einfachen Traumes – das Glücksgefühl – zeigt an, daß hier starke Gefühlskomplexe ihre Befriedigung gefunden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Ferenczi</w:t>
      </w:r>
      <w:r w:rsidRPr="00A06A59">
        <w:rPr>
          <w:rFonts w:ascii="Garamond" w:hAnsi="Garamond" w:cs="Arial"/>
          <w:color w:val="000000"/>
          <w:lang w:val="en-GB"/>
        </w:rPr>
        <w:t xml:space="preserve"> hat mit Recht darauf aufmerksam gemacht, wie leicht gerade »Träume von Ahnungslosen« den Sinn der Symbole und die Bedeutung der Träume erraten lassen. (Int. Zeitschr. F. PsA. IV, 1916/17)</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nachstehende Analyse des Traumes einer historischen Persönlichkeit unserer Tage schalte ich hier ein, weil in ihm ein Gegenstand, der sich auch sonst zur Vertretung des männlichen Gliedes eignen würde, durch eine hinzugefügte Bestimmung aufs deutlichste als phallisches Symbol gekennzeichnet wird. Die »unendliche Verlängerung« einer Reitgerte kann nicht leicht anderes als die Erektion bedeuten. Überdies gibt dieser Traum ein schönes Beispiel dafür, wie ernsthafte und dem Sexuellen fernabliegende Gedanken durch infantil-sexuelles Material zur Darstellung gebracht werden.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11 </w:t>
      </w:r>
      <w:r w:rsidRPr="00A06A59">
        <w:rPr>
          <w:rFonts w:ascii="Garamond" w:hAnsi="Garamond" w:cs="Arial"/>
          <w:color w:val="000000"/>
          <w:sz w:val="22"/>
          <w:szCs w:val="22"/>
          <w:lang w:val="en-GB"/>
        </w:rPr>
        <w:br/>
        <w:t>Ein Traum Bismarcks</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(Von Dr. Hanns </w:t>
      </w:r>
      <w:r w:rsidRPr="00A06A59">
        <w:rPr>
          <w:rFonts w:ascii="Garamond" w:hAnsi="Garamond" w:cs="Arial"/>
          <w:i/>
          <w:iCs/>
          <w:color w:val="000000"/>
          <w:sz w:val="22"/>
          <w:szCs w:val="22"/>
          <w:lang w:val="en-GB"/>
        </w:rPr>
        <w:t>Sachs</w:t>
      </w:r>
      <w:r w:rsidRPr="00A06A59">
        <w:rPr>
          <w:rFonts w:ascii="Garamond" w:hAnsi="Garamond" w:cs="Arial"/>
          <w:color w:val="000000"/>
          <w:sz w:val="22"/>
          <w:szCs w:val="22"/>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seinen </w:t>
      </w:r>
      <w:r w:rsidRPr="00A06A59">
        <w:rPr>
          <w:rFonts w:ascii="Garamond" w:hAnsi="Garamond" w:cs="Arial"/>
          <w:i/>
          <w:iCs/>
          <w:color w:val="000000"/>
          <w:lang w:val="en-GB"/>
        </w:rPr>
        <w:t>Gedanken und Erinnerungen</w:t>
      </w:r>
      <w:r w:rsidRPr="00A06A59">
        <w:rPr>
          <w:rFonts w:ascii="Garamond" w:hAnsi="Garamond" w:cs="Arial"/>
          <w:color w:val="000000"/>
          <w:lang w:val="en-GB"/>
        </w:rPr>
        <w:t xml:space="preserve"> teilt Bismarck (Bd. II der Volksausgabe, p. 222) einen Brief mit, den er am 18. Dezember 1881 an Kaiser Wilhelm schrieb. Dieser Brief enthält folgende Stelle: ›Eurer Majestät Mitteilung ermutigt mich zur Erzählung eines Traumes, den ich Frühjahr </w:t>
      </w:r>
      <w:smartTag w:uri="urn:schemas-microsoft-com:office:smarttags" w:element="metricconverter">
        <w:smartTagPr>
          <w:attr w:name="ProductID" w:val="1863 in"/>
        </w:smartTagPr>
        <w:r w:rsidRPr="00A06A59">
          <w:rPr>
            <w:rFonts w:ascii="Garamond" w:hAnsi="Garamond" w:cs="Arial"/>
            <w:color w:val="000000"/>
            <w:lang w:val="en-GB"/>
          </w:rPr>
          <w:t>1863 in</w:t>
        </w:r>
      </w:smartTag>
      <w:r w:rsidRPr="00A06A59">
        <w:rPr>
          <w:rFonts w:ascii="Garamond" w:hAnsi="Garamond" w:cs="Arial"/>
          <w:color w:val="000000"/>
          <w:lang w:val="en-GB"/>
        </w:rPr>
        <w:t xml:space="preserve"> den schwersten Konfliktstagen hatte, aus denen ein menschliches Auge keinen gangbaren Ausweg sah. Mir träumte und ich erzählte es sofort am Morgen meiner Frau und anderen Zeugen, daß ich auf einem schmalen Alpenpfad ritt, rechts Abgrund, links Felsen; der Pfad wurde schmäler, so daß das Pferd sich weigerte, und Umkehr und Absitzen wegen Mangel an Platz unmöglich; da schlug ich mit meiner Gerte in der linken Hand gegen die glatte Felswand und rief Gott an; die Gerte wurde unendlich lang, die Felswand stürzte wie eine Kulisse und eröffnete einen breiten Weg mit dem Blick auf Hügel und Waldland wie in Böhmen, preußische Truppen mit Fahnen und in mir noch im Traum der Gedanke, wie ich das schleunig Eurer Majestät melden könnte. Dieser Traum erfüllte sich, und ich erwachte froh und gestärkt aus ihm‹.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Handlung des Traumes zerfällt in zwei Abschnitte: im ersten Teil gerät der Träumer in Bedrängnis, aus der er dann im zweiten auf wunderbare Weise erlöst wird. Die schwierige Lage, in der sich Roß und Reiter befinden, ist eine </w:t>
      </w:r>
      <w:r w:rsidRPr="00A06A59">
        <w:rPr>
          <w:rFonts w:ascii="Garamond" w:hAnsi="Garamond" w:cs="Arial"/>
          <w:color w:val="000000"/>
          <w:lang w:val="en-GB"/>
        </w:rPr>
        <w:lastRenderedPageBreak/>
        <w:t xml:space="preserve">leicht kenntliche Traumdarstellung der kritischen Situation des Staatsmannes, die er am Abend vor dem Traume, über die Probleme seiner Politik nachdenkend, besonders bitter empfunden haben mochte. Mit der zur Darstellung gelangten gleichnisweisen Wendung schildert </w:t>
      </w:r>
      <w:r w:rsidRPr="00A06A59">
        <w:rPr>
          <w:rFonts w:ascii="Garamond" w:hAnsi="Garamond" w:cs="Arial"/>
          <w:i/>
          <w:iCs/>
          <w:color w:val="000000"/>
          <w:lang w:val="en-GB"/>
        </w:rPr>
        <w:t>Bismarck</w:t>
      </w:r>
      <w:r w:rsidRPr="00A06A59">
        <w:rPr>
          <w:rFonts w:ascii="Garamond" w:hAnsi="Garamond" w:cs="Arial"/>
          <w:color w:val="000000"/>
          <w:lang w:val="en-GB"/>
        </w:rPr>
        <w:t xml:space="preserve"> selbst in der oben wiedergegebenen Briefstelle die Trostlosigkeit seiner damaligen Position; sie war ihm also durchaus geläufig und naheliegend. Nebstdem haben wir wohl auch ein schönes Beispiel von </w:t>
      </w:r>
      <w:r w:rsidRPr="00A06A59">
        <w:rPr>
          <w:rFonts w:ascii="Garamond" w:hAnsi="Garamond" w:cs="Arial"/>
          <w:i/>
          <w:iCs/>
          <w:color w:val="000000"/>
          <w:lang w:val="en-GB"/>
        </w:rPr>
        <w:t>Silberers</w:t>
      </w:r>
      <w:r w:rsidRPr="00A06A59">
        <w:rPr>
          <w:rFonts w:ascii="Garamond" w:hAnsi="Garamond" w:cs="Arial"/>
          <w:color w:val="000000"/>
          <w:lang w:val="en-GB"/>
        </w:rPr>
        <w:t xml:space="preserve"> funktionalem Phänomen vor uns. Die Vorgänge im Geiste des Träumers, der bei jeder von seinen Gedanken versuchten Lösung auf unübersteigliche Hindernisse stößt, seinen Geist aber trotzdem nicht von der Beschäftigung mit den Problemen losreißen kann und darf, sind sehr treffend durch den Reiter gegeben, der weder vorwärts noch rückwärts kann. Der Stolz, der ihm verbietet, an ein Nachgeben oder Zurücktreten zu denken, kommt im Traume durch die Worte Umkehren oder absitzen ... unmöglich zum Ausdruck. In seiner Eigenschaft als stets angestrengt Tätiger, der sich für fremdes Wohl plagt, lag es für Bismarck nahe, sich mit einem Pferde zu vergleichen, und er hat dies auch bei verschiedenen Gelegenheiten getan, z. B. in seinem bekannten Ausspruch: Ein wackeres Pferd stirbt in seinen Sielen. So ausgelegt bedeuten die Worte, daß das Pferd sich weigerte, nichts anderes, als daß der Übermüdete das Bedürfnis empfinde, sich von den Sorgen der Gegenwart abzuwenden, oder anders ausgedrückt, daß er im Begriffe stehe, sich von den Fesseln des Realitätsprinzips durch Schlaf und Traum zu befreien. Der Wunscherfüllung, die dann im zweiten Teil so stark zu Wort kommt, wird dann auch hier schon präludiert durch das Wort Alpenpfad. </w:t>
      </w:r>
      <w:r w:rsidRPr="00A06A59">
        <w:rPr>
          <w:rFonts w:ascii="Garamond" w:hAnsi="Garamond" w:cs="Arial"/>
          <w:i/>
          <w:iCs/>
          <w:color w:val="000000"/>
          <w:lang w:val="en-GB"/>
        </w:rPr>
        <w:t>Bismarck</w:t>
      </w:r>
      <w:r w:rsidRPr="00A06A59">
        <w:rPr>
          <w:rFonts w:ascii="Garamond" w:hAnsi="Garamond" w:cs="Arial"/>
          <w:color w:val="000000"/>
          <w:lang w:val="en-GB"/>
        </w:rPr>
        <w:t xml:space="preserve"> wußte damals wohl schon, daß er seinen nächsten Urlaub in den Alpen – nämlich in Gastein – zubringen werde; der Traum, der ihn dahin versetzte, befreite ihn also mit einem Schlage von allen lästigen Staatsgeschäften.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Im zweiten Teil werden die Wünsche des Träumers auf doppelte Weise – unverhüllt und greifbar, daneben noch symbolisch – als erfüllt dargestellt. Symbolisch durch das Verschwinden des hemmenden Felsens, an dessen Stelle ein breiter Weg – also der gesuchte Ausweg in bequemster Form – erscheint, unverhüllt durch den Anblick der vorrückenden preußischen Truppen. Man braucht zur Erklärung dieser prophetischen Vision durchaus nicht mystische Zusammenhänge zu konstruieren; die Freudsche Wunscherfüllungstheorie genügt vollständig. </w:t>
      </w:r>
      <w:r w:rsidRPr="00A06A59">
        <w:rPr>
          <w:rFonts w:ascii="Garamond" w:hAnsi="Garamond" w:cs="Arial"/>
          <w:i/>
          <w:iCs/>
          <w:color w:val="000000"/>
          <w:lang w:val="en-GB"/>
        </w:rPr>
        <w:t>Bismarck</w:t>
      </w:r>
      <w:r w:rsidRPr="00A06A59">
        <w:rPr>
          <w:rFonts w:ascii="Garamond" w:hAnsi="Garamond" w:cs="Arial"/>
          <w:color w:val="000000"/>
          <w:lang w:val="en-GB"/>
        </w:rPr>
        <w:t xml:space="preserve"> ersehnte schon damals als den besten Ausgang aus den inneren Konflikten Preußens einen siegreichen Krieg mit Österreich. Wenn er die preußischen Truppen in Böhmen, also in Feindesland, mit ihren Fahnen sieht, so stellt ihm der Traum dadurch diesen Wunsch als erfüllt dar, wie es </w:t>
      </w:r>
      <w:r w:rsidRPr="00A06A59">
        <w:rPr>
          <w:rFonts w:ascii="Garamond" w:hAnsi="Garamond" w:cs="Arial"/>
          <w:i/>
          <w:iCs/>
          <w:color w:val="000000"/>
          <w:lang w:val="en-GB"/>
        </w:rPr>
        <w:t>Freud</w:t>
      </w:r>
      <w:r w:rsidRPr="00A06A59">
        <w:rPr>
          <w:rFonts w:ascii="Garamond" w:hAnsi="Garamond" w:cs="Arial"/>
          <w:color w:val="000000"/>
          <w:lang w:val="en-GB"/>
        </w:rPr>
        <w:t xml:space="preserve"> postuliert. Individuell bedeutsam ist nur, daß der Träumer, mit dem wir uns hier beschäftigen, sich mit der Traumerfüllung nicht begnügte, sondern auch die reale zu erzwingen wußte. Ein Zug, der jedem Kenner der psychoanalytischen Deutungstechnik auffallen muß, ist die Reitgerte, die unendlich lang wird. Gerte, Stock, Lanze und Ähnliches sind uns als phallische Symbole geläufig; wenn aber diese Gerte noch die auffallendste Eigenschaft des Phallus, die Ausdehnungsfähigkeit, besitzt, so kann kaum ein Zweifel bestehen. </w:t>
      </w:r>
      <w:r w:rsidRPr="00A06A59">
        <w:rPr>
          <w:rFonts w:ascii="Garamond" w:hAnsi="Garamond" w:cs="Arial"/>
          <w:color w:val="000000"/>
        </w:rPr>
        <w:t xml:space="preserve">Die Übertreibung des Phänomens durch die Verlängerung ins Unendliche scheint auf die infantile Überbesetzung zu deuten. </w:t>
      </w:r>
      <w:r w:rsidRPr="00A06A59">
        <w:rPr>
          <w:rFonts w:ascii="Garamond" w:hAnsi="Garamond" w:cs="Arial"/>
          <w:color w:val="000000"/>
          <w:lang w:val="en-US"/>
        </w:rPr>
        <w:t xml:space="preserve">Das In-die-Hand-Nehmen der Gerte ist eine deutliche Anspielung auf die Masturbation, wobei natürlich nicht an die aktuellen Verhältnisse des Träumers, sondern an weit zurückliegende Kinderlust zu denken ist. Sehr wertvoll ist hier die von Dr. </w:t>
      </w:r>
      <w:r w:rsidRPr="00A06A59">
        <w:rPr>
          <w:rFonts w:ascii="Garamond" w:hAnsi="Garamond" w:cs="Arial"/>
          <w:i/>
          <w:iCs/>
          <w:color w:val="000000"/>
          <w:lang w:val="en-US"/>
        </w:rPr>
        <w:t>Stekel</w:t>
      </w:r>
      <w:r w:rsidRPr="00A06A59">
        <w:rPr>
          <w:rFonts w:ascii="Garamond" w:hAnsi="Garamond" w:cs="Arial"/>
          <w:color w:val="000000"/>
          <w:lang w:val="en-US"/>
        </w:rPr>
        <w:t xml:space="preserve"> gefundene Deutung, nach der </w:t>
      </w:r>
      <w:r w:rsidRPr="00A06A59">
        <w:rPr>
          <w:rFonts w:ascii="Garamond" w:hAnsi="Garamond" w:cs="Arial"/>
          <w:i/>
          <w:iCs/>
          <w:color w:val="000000"/>
          <w:lang w:val="en-US"/>
        </w:rPr>
        <w:t>links</w:t>
      </w:r>
      <w:r w:rsidRPr="00A06A59">
        <w:rPr>
          <w:rFonts w:ascii="Garamond" w:hAnsi="Garamond" w:cs="Arial"/>
          <w:color w:val="000000"/>
          <w:lang w:val="en-US"/>
        </w:rPr>
        <w:t xml:space="preserve"> im Traume das Unrecht, das Verbotene, die Sünde bedeutet, was auf die gegen ein Verbot betriebene Kinderonanie sehr gut anwendbar wäre. </w:t>
      </w:r>
      <w:r w:rsidRPr="00A06A59">
        <w:rPr>
          <w:rFonts w:ascii="Garamond" w:hAnsi="Garamond" w:cs="Arial"/>
          <w:color w:val="000000"/>
          <w:lang w:val="en-GB"/>
        </w:rPr>
        <w:t xml:space="preserve">Zwischen dieser tiefsten, infantilen Schicht und der obersten, die sich mit den Tagesplänen des Staatsmannes beschäftigt, läßt sich noch eine Mittelschicht nachweisen, die mit beiden anderen in Beziehung steht. Der ganze Vorgang der wunderbaren Befreiung aus einer Not durch das Schlagen auf den Fels mit der Heranziehung Gottes als Helfer erinnert auffällig an eine biblische Szene, nämlich wie Moses für die dürstenden Kinder Israels aus dem Felsen Wasser schlägt. Die genaue Bekanntschaft mit dieser Stelle dürfen wir bei dem aus einem bibelgläubigen, protestantischen Hause hervorgegangenen </w:t>
      </w:r>
      <w:r w:rsidRPr="00A06A59">
        <w:rPr>
          <w:rFonts w:ascii="Garamond" w:hAnsi="Garamond" w:cs="Arial"/>
          <w:i/>
          <w:iCs/>
          <w:color w:val="000000"/>
          <w:lang w:val="en-GB"/>
        </w:rPr>
        <w:t>Bismarck</w:t>
      </w:r>
      <w:r w:rsidRPr="00A06A59">
        <w:rPr>
          <w:rFonts w:ascii="Garamond" w:hAnsi="Garamond" w:cs="Arial"/>
          <w:color w:val="000000"/>
          <w:lang w:val="en-GB"/>
        </w:rPr>
        <w:t xml:space="preserve"> ohne weiteres annehmen. Mit dem Anführer Moses, dem das Volk, das er befreien will, mit Auflehnung, Haß und Undank lohnt, konnte sich Bismarck in der Konfliktszeit unschwer vergleichen. Dadurch wäre also die Anlehnung an die aktuellen Wünsche gegeben. </w:t>
      </w:r>
      <w:r w:rsidRPr="00A06A59">
        <w:rPr>
          <w:rFonts w:ascii="Garamond" w:hAnsi="Garamond" w:cs="Arial"/>
          <w:color w:val="000000"/>
        </w:rPr>
        <w:t xml:space="preserve">Anderseits enthält die Bibelstelle manche Einzelheiten, die für die Masturbationsphantasie sehr gut verwertbar sind. Gegen das Gebot Gottes greift Moses zum Stock, und für diese Übertretung straft ihn der Herr, indem er ihm verkündet, daß er sterben müsse, ohne das gelobte Land zu betreten. Das verbotene Ergreifen des – im Traume unzweideutig phallischen – Stockes, das Erzeugen von Flüssigkeit durch das Schlagen damit und die Todesdrohung – damit haben wir alle Hauptmomente der infantilen Masturbation beisammen. Interessant ist die Bearbeitung, die jene beiden heterogenen Bilder, von denen eines aus der Psyche des genialen Staatsmannes, das andere aus den Regungen der primitiven Kinderseele stammt, durch Vermittlung der Bibelstelle zusammengeschweißt hat, wobei es ihr gelungen ist, alle peinlichen Momente wegzuwischen. </w:t>
      </w:r>
      <w:r w:rsidRPr="00A06A59">
        <w:rPr>
          <w:rFonts w:ascii="Garamond" w:hAnsi="Garamond" w:cs="Arial"/>
          <w:color w:val="000000"/>
          <w:lang w:val="en-GB"/>
        </w:rPr>
        <w:t xml:space="preserve">Daß das Ergreifen des Stockes eine verbotene, aufrührerische Handlung ist, wird nur mehr durch die linke Hand, mit der es geschieht, symbolisch angedeutet. Im manifesten Trauminhalt wird aber dabei Gott angerufen, wie um recht ostentativ jeden Gedanken an ein Verbot oder eine Heimlichkeit abzuweisen. Von den beiden Verheißungen Gottes an Moses, daß er das verheißene Land sehen, nicht betreten werde, wird die eine sehr deutlich als erfüllt dargestellt (Blick auf Hügel und Waldland), die andere, höchst peinliche, gar nicht </w:t>
      </w:r>
      <w:r w:rsidRPr="00A06A59">
        <w:rPr>
          <w:rFonts w:ascii="Garamond" w:hAnsi="Garamond" w:cs="Arial"/>
          <w:color w:val="000000"/>
          <w:lang w:val="en-GB"/>
        </w:rPr>
        <w:lastRenderedPageBreak/>
        <w:t>erwähnt. Das Wasser ist wahrscheinlich der sekundären Bearbeitung, welche die Vereinheitlichung dieser Szene mit der vorigen erfolgreich anstrebte, zum Opfer gefallen, statt dessen stürzt der Fels selber.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Den Schluß einer infantilen Masturbationsphantasie, in der das Verbotsmotiv vertreten ist, müßten wir so erwarten, daß das Kind wünscht, die Autoritätspersonen seiner Umgebung möchten nichts von dem Geschehenen erfahren. Im Traume ist dieser Wunsch durch das Gegenteil, den Wunsch, das Vorgefallene dem König sogleich zu melden, ersetzt. Diese Umkehrung schließt sich aber ausgezeichnet und ganz unauffällig der in der obersten Schicht der Traumgedanken und in einem Teile des manifesten Trauminhaltes enthaltenen Siegesphantasie an. Ein solcher Sieges- und Eroberungstraum ist oft der Deckmantel eines erotischen Eroberungswunsches; einzelne Züge des Traumes, wie z. B. , daß dem Eindringenden ein Widerstand entgegengesetzt wird, nach Anwendung der sich verlängernden Gerte aber ein breiter Weg erscheint, dürften dahin deuten, doch reichten sie nicht hin, um daraus eine bestimmte, den Traum durchziehende Gedanken- und Wunschrichtung zu ergründen. Wir sehen hier ein Musterbeispiel einer durchaus gelungenen Traumentstellung. Das Anstößige wurde überarbeitet, daß es nirgends über das Gewebe hinausragt, das als schützende Decke darübergebreitet ist. Die Folge davon ist, daß jede Entbindung von Angst hintertrieben werden konnte. Es ist ein Idealfall von gelungener Wunscherfüllung ohne Zensurverletzung, so daß wir begreifen können, daß der Träumer aus solchem Traum froh und gestärkt erwachte.«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schließe mit dem</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12 </w:t>
      </w:r>
      <w:r w:rsidRPr="00A06A59">
        <w:rPr>
          <w:rFonts w:ascii="Garamond" w:hAnsi="Garamond" w:cs="Arial"/>
          <w:color w:val="000000"/>
          <w:sz w:val="22"/>
          <w:szCs w:val="22"/>
          <w:lang w:val="en-GB"/>
        </w:rPr>
        <w:br/>
        <w:t>Traum eines Chemikers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eines jungen Mannes, der sich bemühte, seine onanistischen Gewohnheiten gegen den Verkehr mit dem Weibe aufzugeben.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vorbericht: Am Tage vor dem Traume hat er einem Studenten Aufschluß über die Grignardsche Reaktion gegeben, bei welcher Magnesium unter katalytischer Jodeinwirkung in absolut reinem Äther aufzulösen ist. Zwei Tage vorher gab es bei der nämlichen Reaktion eine Explosion, bei der sich ein Arbeiter die Hand verbrannte.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Traum: I) </w:t>
      </w:r>
      <w:r w:rsidRPr="00A06A59">
        <w:rPr>
          <w:rFonts w:ascii="Garamond" w:hAnsi="Garamond" w:cs="Arial"/>
          <w:i/>
          <w:iCs/>
          <w:color w:val="000000"/>
          <w:lang w:val="en-GB"/>
        </w:rPr>
        <w:t>Er soll Phenylmagnesiumbromid machen, sieht die Apparatur besonders deutlich, hat aber sich selbst fürs Magnesium substituiert.Er ist nun in eigentümlich schwankender Verfassung, sagt sich immer: Es ist das Richtige, es geht, meine Füße lösen sich schon auf, meine Knie werden weich. Dann greift er hin, fühlt an seine Füße, nimmt inzwischen (er weiß nicht wie) seine Beine aus dem Kolben heraus, sagt sich wieder: Das kann nicht sein. – Ja doch, es ist richtig gemacht. Dabei erwacht er partiell, wiederholt sich den Traum, weil er ihn mir erzählen will. Er fürchtet sich direkt vor der Auflösung des Traumes, ist während dieses Halbschlafes sehr erregt und wiederholt sich beständig: Phenyl, Phenyl.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II) </w:t>
      </w:r>
      <w:r w:rsidRPr="00A06A59">
        <w:rPr>
          <w:rFonts w:ascii="Garamond" w:hAnsi="Garamond" w:cs="Arial"/>
          <w:i/>
          <w:iCs/>
          <w:color w:val="000000"/>
          <w:lang w:val="en-GB"/>
        </w:rPr>
        <w:t xml:space="preserve">Er ist mit seiner ganzen Familie in ***ing, soll um ½12 Uhr beim Rendezvous am Schottentor mit jener gewissen Dame sein, wacht aber erst um ½12 Uhr auf. </w:t>
      </w:r>
      <w:r w:rsidRPr="00A06A59">
        <w:rPr>
          <w:rFonts w:ascii="Garamond" w:hAnsi="Garamond" w:cs="Arial"/>
          <w:i/>
          <w:iCs/>
          <w:color w:val="000000"/>
        </w:rPr>
        <w:t xml:space="preserve">Er sagt sich: Es ist jetzt zu spät; bis du hinkommst, ist es ½1 Uhr. Im nächsten Moment sieht er die ganze Familie um den Tisch versammelt, besonders deutlich die Mutter und das Stubenmädchen mit dem Suppentopf. </w:t>
      </w:r>
      <w:r w:rsidRPr="00A06A59">
        <w:rPr>
          <w:rFonts w:ascii="Garamond" w:hAnsi="Garamond" w:cs="Arial"/>
          <w:i/>
          <w:iCs/>
          <w:color w:val="000000"/>
          <w:lang w:val="en-GB"/>
        </w:rPr>
        <w:t>Er sagt sich dann: Nun, wenn wir schon essen, kann ich ja nicht mehr fort.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analyse: Er ist sicher, daß schon der erste Traum eine Beziehung zur Dame seines Rendezvous hat (der Traum ist in der Nacht vor der erwarteten Zusammenkunft geträumt). Der Student, dem er die Auskunft gab, ist ein besonders ekelhafter Kerl; er sagte ihm: Das ist nicht das Richtige, weil das Magnesium noch ganz unberührt war, und jener antwortete, als ob ihm gar nichts daran läge: Das ist halt nicht das Richtige. Dieser Student muß er selbst sein; – er ist so gleichgültig gegen seine </w:t>
      </w:r>
      <w:r w:rsidRPr="00A06A59">
        <w:rPr>
          <w:rFonts w:ascii="Garamond" w:hAnsi="Garamond" w:cs="Arial"/>
          <w:i/>
          <w:iCs/>
          <w:color w:val="000000"/>
          <w:lang w:val="en-GB"/>
        </w:rPr>
        <w:t>Analyse</w:t>
      </w:r>
      <w:r w:rsidRPr="00A06A59">
        <w:rPr>
          <w:rFonts w:ascii="Garamond" w:hAnsi="Garamond" w:cs="Arial"/>
          <w:color w:val="000000"/>
          <w:lang w:val="en-GB"/>
        </w:rPr>
        <w:t xml:space="preserve">, wie jener für seine </w:t>
      </w:r>
      <w:r w:rsidRPr="00A06A59">
        <w:rPr>
          <w:rFonts w:ascii="Garamond" w:hAnsi="Garamond" w:cs="Arial"/>
          <w:i/>
          <w:iCs/>
          <w:color w:val="000000"/>
          <w:lang w:val="en-GB"/>
        </w:rPr>
        <w:t>Synthese</w:t>
      </w:r>
      <w:r w:rsidRPr="00A06A59">
        <w:rPr>
          <w:rFonts w:ascii="Garamond" w:hAnsi="Garamond" w:cs="Arial"/>
          <w:color w:val="000000"/>
          <w:lang w:val="en-GB"/>
        </w:rPr>
        <w:t>; – das Er im Traume, das die Operation vollzieht, aber ich. Wie ekelhaft muß er mir mit seiner Gleichgültigkeit gegen den Erfolg erscheinen!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Anderseits ist er dasjenige, womit die Analyse (Synthese) gemacht wird. Es handelt sich um das Gelingen der Kur. Die Beine im Traume erinnern an einen Eindruck von gestern abends. Er traf in der Tanzstunde mit einer Dame zusammen, die er erobern will; er drückte sie so fest an sich, daß sie einmal aufschrie. Als er mit dem Druck gegen ihre Beine aufhörte, fühlte er ihren kräftigen Gegendruck auf seinen Unterschenkeln bis oberhalb der Knie, an den im Traume erwähnten Stellen. In dieser Situation ist also das Weib das Magnesium in der Retorte, mit dem es endlich geht. Er ist feminin gegen mich, wie er viril gegen das Weib ist. Geht es mit der Dame, so geht es auch mit der Kur. Das Sichbefühlen und die Wahrnehmungen an seinen Knien deuten auf die Onanie und entsprechen seiner Müdigkeit vom Tage vorher. – Das Rendezvous war wirklich für ½12 Uhr verabredet. Sein Wunsch, es zu verschlafen und bei den häuslichen Sexualobjekten (d. h. bei der Onanie) zu bleiben, entspricht seinem Widerstande.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Zur Wiederholung des Namens Phenyl berichtet er: Alle diese Radikale auf yl haben ihm immer sehr gefallen, sie sind sehr bequem zu gebrauchen: Benzyl, Azetyl usw. Das erklärt nun nichts, aber als ich ihm das Radikal: </w:t>
      </w:r>
      <w:r w:rsidRPr="00A06A59">
        <w:rPr>
          <w:rFonts w:ascii="Garamond" w:hAnsi="Garamond" w:cs="Arial"/>
          <w:i/>
          <w:iCs/>
          <w:color w:val="000000"/>
          <w:lang w:val="en-GB"/>
        </w:rPr>
        <w:t>Schlehmihl</w:t>
      </w:r>
      <w:r w:rsidRPr="00A06A59">
        <w:rPr>
          <w:rFonts w:ascii="Garamond" w:hAnsi="Garamond" w:cs="Arial"/>
          <w:color w:val="000000"/>
          <w:lang w:val="en-GB"/>
        </w:rPr>
        <w:t xml:space="preserve"> vorschlage, lacht er sehr und erzählt, daß er während des Sommers ein Buch von </w:t>
      </w:r>
      <w:r w:rsidRPr="00A06A59">
        <w:rPr>
          <w:rFonts w:ascii="Garamond" w:hAnsi="Garamond" w:cs="Arial"/>
          <w:i/>
          <w:iCs/>
          <w:color w:val="000000"/>
          <w:lang w:val="en-GB"/>
        </w:rPr>
        <w:t>Prévost</w:t>
      </w:r>
      <w:r w:rsidRPr="00A06A59">
        <w:rPr>
          <w:rFonts w:ascii="Garamond" w:hAnsi="Garamond" w:cs="Arial"/>
          <w:color w:val="000000"/>
          <w:lang w:val="en-GB"/>
        </w:rPr>
        <w:t xml:space="preserve"> gelesen, und in diesem war im </w:t>
      </w:r>
      <w:r w:rsidRPr="00A06A59">
        <w:rPr>
          <w:rFonts w:ascii="Garamond" w:hAnsi="Garamond" w:cs="Arial"/>
          <w:color w:val="000000"/>
          <w:lang w:val="en-GB"/>
        </w:rPr>
        <w:lastRenderedPageBreak/>
        <w:t xml:space="preserve">Kapitel: </w:t>
      </w:r>
      <w:r w:rsidRPr="00A06A59">
        <w:rPr>
          <w:rFonts w:ascii="Garamond" w:hAnsi="Garamond" w:cs="Arial"/>
          <w:i/>
          <w:iCs/>
          <w:color w:val="000000"/>
          <w:lang w:val="en-GB"/>
        </w:rPr>
        <w:t>Les exclus de l'amour</w:t>
      </w:r>
      <w:r w:rsidRPr="00A06A59">
        <w:rPr>
          <w:rFonts w:ascii="Garamond" w:hAnsi="Garamond" w:cs="Arial"/>
          <w:color w:val="000000"/>
          <w:lang w:val="en-GB"/>
        </w:rPr>
        <w:t xml:space="preserve">, allerdings von den » </w:t>
      </w:r>
      <w:r w:rsidRPr="00A06A59">
        <w:rPr>
          <w:rFonts w:ascii="Garamond" w:hAnsi="Garamond" w:cs="Arial"/>
          <w:i/>
          <w:iCs/>
          <w:color w:val="000000"/>
          <w:lang w:val="en-GB"/>
        </w:rPr>
        <w:t>Schlemiliés</w:t>
      </w:r>
      <w:r w:rsidRPr="00A06A59">
        <w:rPr>
          <w:rFonts w:ascii="Garamond" w:hAnsi="Garamond" w:cs="Arial"/>
          <w:color w:val="000000"/>
          <w:lang w:val="en-GB"/>
        </w:rPr>
        <w:t>« die Rede, bei deren Schilderung er sich sagte: Das ist mein Fall. – Schlemihlerei wäre es auch gewesen, wenn er das Rendezvous versäumt hätte.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Es scheint, daß die sexuelle Traumsymbolik bereits eine direkte experimentelle Bestätigung gefunden hat. Phil. Dr. K. </w:t>
      </w:r>
      <w:r w:rsidRPr="00A06A59">
        <w:rPr>
          <w:rFonts w:ascii="Garamond" w:hAnsi="Garamond" w:cs="Arial"/>
          <w:i/>
          <w:iCs/>
          <w:color w:val="000000"/>
          <w:lang w:val="en-GB"/>
        </w:rPr>
        <w:t>Schrötter</w:t>
      </w:r>
      <w:r w:rsidRPr="00A06A59">
        <w:rPr>
          <w:rFonts w:ascii="Garamond" w:hAnsi="Garamond" w:cs="Arial"/>
          <w:color w:val="000000"/>
          <w:lang w:val="en-GB"/>
        </w:rPr>
        <w:t xml:space="preserve"> hat 1912 über Anregung von H. </w:t>
      </w:r>
      <w:r w:rsidRPr="00A06A59">
        <w:rPr>
          <w:rFonts w:ascii="Garamond" w:hAnsi="Garamond" w:cs="Arial"/>
          <w:i/>
          <w:iCs/>
          <w:color w:val="000000"/>
          <w:lang w:val="en-GB"/>
        </w:rPr>
        <w:t>Swoboda</w:t>
      </w:r>
      <w:r w:rsidRPr="00A06A59">
        <w:rPr>
          <w:rFonts w:ascii="Garamond" w:hAnsi="Garamond" w:cs="Arial"/>
          <w:color w:val="000000"/>
          <w:lang w:val="en-GB"/>
        </w:rPr>
        <w:t xml:space="preserve"> bei tief hypnotisierten Personen Träume durch einen suggestiven Auftrag erzeugt, der einen großen Teil des Trauminhalts festlegte. Wenn die Suggestion den Auftrag brachte, vom normalen oder abnormen Sexualverkehr zu träumen, so führte der Traum diese Aufträge aus, indem er an Stelle des sexuellen Materials die aus der psychoanalytischen Traumdeutung bekannten Symbole einsetzte. So z. B. erschien nach der Suggestion, vom homosexuellen Verkehr mit einer Freundin zu träumen, im Traume diese Freundin mit einer schäbigen </w:t>
      </w:r>
      <w:r w:rsidRPr="00A06A59">
        <w:rPr>
          <w:rFonts w:ascii="Garamond" w:hAnsi="Garamond" w:cs="Arial"/>
          <w:i/>
          <w:iCs/>
          <w:color w:val="000000"/>
          <w:lang w:val="en-GB"/>
        </w:rPr>
        <w:t>Reisetasche</w:t>
      </w:r>
      <w:r w:rsidRPr="00A06A59">
        <w:rPr>
          <w:rFonts w:ascii="Garamond" w:hAnsi="Garamond" w:cs="Arial"/>
          <w:color w:val="000000"/>
          <w:lang w:val="en-GB"/>
        </w:rPr>
        <w:t xml:space="preserve"> in der Hand, worauf ein Zettel klebte, bedruckt mit den Worten: »Nur für Damen.« Der Träumerin war angeblich von Symbolik im Traume und Traumdeutung niemals etwas bekanntgegeben worden. Leider wird die Einschätzung dieser bedeutsamen Untersuchung durch die unglückliche Tatsache gestört, daß Dr. Schrötter bald nachher durch Selbstmord endete. </w:t>
      </w:r>
      <w:r w:rsidRPr="00A06A59">
        <w:rPr>
          <w:rFonts w:ascii="Garamond" w:hAnsi="Garamond" w:cs="Arial"/>
          <w:color w:val="000000"/>
        </w:rPr>
        <w:t xml:space="preserve">Von seinen Traumexperimenten berichtet bloß eine vorläufige Mitteilung im </w:t>
      </w:r>
      <w:r w:rsidRPr="00A06A59">
        <w:rPr>
          <w:rFonts w:ascii="Garamond" w:hAnsi="Garamond" w:cs="Arial"/>
          <w:i/>
          <w:iCs/>
          <w:color w:val="000000"/>
        </w:rPr>
        <w:t>Zentralblatt für Psychoanalyse</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Ähnliche Ergebnisse hat </w:t>
      </w:r>
      <w:smartTag w:uri="urn:schemas-microsoft-com:office:smarttags" w:element="metricconverter">
        <w:smartTagPr>
          <w:attr w:name="ProductID" w:val="1923 G"/>
        </w:smartTagPr>
        <w:r w:rsidRPr="00A06A59">
          <w:rPr>
            <w:rFonts w:ascii="Garamond" w:hAnsi="Garamond" w:cs="Arial"/>
            <w:color w:val="000000"/>
          </w:rPr>
          <w:t>1923 G</w:t>
        </w:r>
      </w:smartTag>
      <w:r w:rsidRPr="00A06A59">
        <w:rPr>
          <w:rFonts w:ascii="Garamond" w:hAnsi="Garamond" w:cs="Arial"/>
          <w:color w:val="000000"/>
        </w:rPr>
        <w:t xml:space="preserve">. </w:t>
      </w:r>
      <w:r w:rsidRPr="00A06A59">
        <w:rPr>
          <w:rFonts w:ascii="Garamond" w:hAnsi="Garamond" w:cs="Arial"/>
          <w:i/>
          <w:iCs/>
          <w:color w:val="000000"/>
        </w:rPr>
        <w:t>Roffenstein</w:t>
      </w:r>
      <w:r w:rsidRPr="00A06A59">
        <w:rPr>
          <w:rFonts w:ascii="Garamond" w:hAnsi="Garamond" w:cs="Arial"/>
          <w:color w:val="000000"/>
        </w:rPr>
        <w:t xml:space="preserve"> veröffentlicht. Besonders interessant erscheinen aber Versuche, die </w:t>
      </w:r>
      <w:r w:rsidRPr="00A06A59">
        <w:rPr>
          <w:rFonts w:ascii="Garamond" w:hAnsi="Garamond" w:cs="Arial"/>
          <w:i/>
          <w:iCs/>
          <w:color w:val="000000"/>
        </w:rPr>
        <w:t>Betlheim</w:t>
      </w:r>
      <w:r w:rsidRPr="00A06A59">
        <w:rPr>
          <w:rFonts w:ascii="Garamond" w:hAnsi="Garamond" w:cs="Arial"/>
          <w:color w:val="000000"/>
        </w:rPr>
        <w:t xml:space="preserve"> und </w:t>
      </w:r>
      <w:r w:rsidRPr="00A06A59">
        <w:rPr>
          <w:rFonts w:ascii="Garamond" w:hAnsi="Garamond" w:cs="Arial"/>
          <w:i/>
          <w:iCs/>
          <w:color w:val="000000"/>
        </w:rPr>
        <w:t>Hartmann</w:t>
      </w:r>
      <w:r w:rsidRPr="00A06A59">
        <w:rPr>
          <w:rFonts w:ascii="Garamond" w:hAnsi="Garamond" w:cs="Arial"/>
          <w:color w:val="000000"/>
        </w:rPr>
        <w:t xml:space="preserve"> angestellt haben, weil bei ihnen die Hypnose ausgeschaltet war. Diese Autoren (Über Fehlreaktionen bei der Korsakoffschen Psychose, Archiv für Psychiatrie, Bd. 72, 1924) haben Kranken mit solcher Verworrenheit Geschichten grob sexuellen Inhalts erzählt und die Entstellungen beachtet, welche bei der Reproduktion des Erzählten auftraten. Es zeigte sich, daß dabei die aus der Traumdeutung bekannten Symbole zum Vorschein kamen (Stiegen steigen, stechen und schießen als Symbole des Koitus, Messer und Zigarette als Penissymbole). Ein besonderer Wert wird dem Erscheinen des Symbols der Stiege beigelegt, weil, wie die Autoren mit Recht bemerken, »eine derartige Symbolisierung einem bewußten Entstellungswunsch unerreichbar wäre«.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Erst nachdem wir die Symbolik im Traume gewürdigt haben, können wir in der oben S. 190 abgebrochenen Behandlung der </w:t>
      </w:r>
      <w:r w:rsidRPr="00A06A59">
        <w:rPr>
          <w:rFonts w:ascii="Garamond" w:hAnsi="Garamond" w:cs="Arial"/>
          <w:i/>
          <w:iCs/>
          <w:color w:val="000000"/>
          <w:lang w:val="en-GB"/>
        </w:rPr>
        <w:t>typischen Träume</w:t>
      </w:r>
      <w:r w:rsidRPr="00A06A59">
        <w:rPr>
          <w:rFonts w:ascii="Garamond" w:hAnsi="Garamond" w:cs="Arial"/>
          <w:color w:val="000000"/>
          <w:lang w:val="en-GB"/>
        </w:rPr>
        <w:t xml:space="preserve"> fortfahren. Ich halte es für gerechtfertigt, diese Träume im groben in zwei Klassen einzuteilen, in solche, die wirklich jedesmal den gleichen Sinn haben, und zweitens in solche, die trotz des gleichen oder ähnlichen Inhalts doch die verschiedenartigsten Deutungen erfahren müssen. Von den typischen Träumen der ersten Art habe ich den Prüfungstraum bereits eingehender behandelt.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Wegen des ähnlichen Affekteindruckes verdienen die Träume vom Nichterreichen eines Eisenbahnzuges den Prüfungsträumen angereiht zu werden. Ihre Aufklärung rechtfertigt dann diese Annäherung. Es sind Trostträume gegen eine andere im Schlaf empfundene Angstregung, die Angst zu sterben. »Abreisen« ist eines der häufigsten und am besten zu begründenden Todessymbole. Der Traum sagt dann tröstend: Sei ruhig, du wirst nicht sterben (abreisen), wie der Prüfungstraum beschwichtigte: Fürchte nichts; es wird dir auch diesmal nichts geschehen. Die Schwierigkeit im Verständnis beider Arten von Träumen rührt daher, daß die Angstempfindung gerade an den Ausdruck des Trostes geknüpft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Sinn der » </w:t>
      </w:r>
      <w:r w:rsidRPr="00A06A59">
        <w:rPr>
          <w:rFonts w:ascii="Garamond" w:hAnsi="Garamond" w:cs="Arial"/>
          <w:i/>
          <w:iCs/>
          <w:color w:val="000000"/>
          <w:lang w:val="en-GB"/>
        </w:rPr>
        <w:t>Zahnreizträume</w:t>
      </w:r>
      <w:r w:rsidRPr="00A06A59">
        <w:rPr>
          <w:rFonts w:ascii="Garamond" w:hAnsi="Garamond" w:cs="Arial"/>
          <w:color w:val="000000"/>
          <w:lang w:val="en-GB"/>
        </w:rPr>
        <w:t>«, die ich bei meinen Patienten oft genug zu analysieren hatte, ist mir lange Zeit entgangen, weil sich zu meiner Überraschung der Deutung derselben regelmäßig allzu große Widerstände entgegenstellten.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Endlich ließ die übergroße Evidenz keinen Zweifel daran, daß bei Männern nichts anderes als das Onaniegelüste der Pubertätszeit die Triebkraft dieser Träume abgebe. Ich will zwei solcher Träume analysieren, von denen einer gleichzeitig ein »Flugtraum« ist. Beide rühren von derselben Person her, einem jungen Manne mit starker, aber im Leben gehemmter Homosexualität: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Er befindet sich bei einer »Fidelio«-Vorstellung im Parkett der Oper, neben L., einer ihm sympathischen Persönlichkeit, deren Freundschaft er gern erwerben möchte. Plötzlich fliegt er schräg hinweg über das Parkett bis ans Ende, greift sich dann in den Mund und zieht sich zwei Zähne aus.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Flug beschreibt er selbst, als ob er in die Luft »geworfen« würde. Da es sich um eine Vorstellung des </w:t>
      </w:r>
      <w:r w:rsidRPr="00A06A59">
        <w:rPr>
          <w:rFonts w:ascii="Garamond" w:hAnsi="Garamond" w:cs="Arial"/>
          <w:i/>
          <w:iCs/>
          <w:color w:val="000000"/>
          <w:lang w:val="en-GB"/>
        </w:rPr>
        <w:t>Fidelio</w:t>
      </w:r>
      <w:r w:rsidRPr="00A06A59">
        <w:rPr>
          <w:rFonts w:ascii="Garamond" w:hAnsi="Garamond" w:cs="Arial"/>
          <w:color w:val="000000"/>
          <w:lang w:val="en-GB"/>
        </w:rPr>
        <w:t xml:space="preserve"> handelt, liegt das Dichterwort nahe:</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»Wer ein holdes Weib errungen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Aber das Erringen auch des holdesten Weibes gehört nicht zu den Wünschen des Träumers. Zu diesen stimmen zwei andere Verse besser:</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lastRenderedPageBreak/>
        <w:t xml:space="preserve">»Wem der </w:t>
      </w:r>
      <w:r w:rsidRPr="00A06A59">
        <w:rPr>
          <w:rFonts w:ascii="Garamond" w:hAnsi="Garamond" w:cs="Arial"/>
          <w:i/>
          <w:iCs/>
          <w:color w:val="000000"/>
          <w:sz w:val="22"/>
          <w:szCs w:val="22"/>
          <w:lang w:val="en-GB"/>
        </w:rPr>
        <w:t>große Wurf</w:t>
      </w:r>
      <w:r w:rsidRPr="00A06A59">
        <w:rPr>
          <w:rFonts w:ascii="Garamond" w:hAnsi="Garamond" w:cs="Arial"/>
          <w:color w:val="000000"/>
          <w:sz w:val="22"/>
          <w:szCs w:val="22"/>
          <w:lang w:val="en-GB"/>
        </w:rPr>
        <w:t xml:space="preserve"> gelungen, </w:t>
      </w:r>
      <w:r w:rsidRPr="00A06A59">
        <w:rPr>
          <w:rFonts w:ascii="Garamond" w:hAnsi="Garamond" w:cs="Arial"/>
          <w:color w:val="000000"/>
          <w:sz w:val="22"/>
          <w:szCs w:val="22"/>
          <w:lang w:val="en-GB"/>
        </w:rPr>
        <w:br/>
        <w:t>Eines Freundes Freund zu sein...«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enthält nun diesen »großen Wurf«, der aber nicht allein Wunscherfüllung ist. Es verbirgt sich hinter ihm auch die peinliche Überlegung, daß er mit seinen Werbungen um Freundschaft schon so oft Unglück gehabt hat, »hinausgeworfen« wurde, und die Furcht, dieses Schicksal könnte sich bei dem jungen Manne, neben dem er die </w:t>
      </w:r>
      <w:r w:rsidRPr="00A06A59">
        <w:rPr>
          <w:rFonts w:ascii="Garamond" w:hAnsi="Garamond" w:cs="Arial"/>
          <w:i/>
          <w:iCs/>
          <w:color w:val="000000"/>
          <w:lang w:val="en-GB"/>
        </w:rPr>
        <w:t>Fidelio</w:t>
      </w:r>
      <w:r w:rsidRPr="00A06A59">
        <w:rPr>
          <w:rFonts w:ascii="Garamond" w:hAnsi="Garamond" w:cs="Arial"/>
          <w:color w:val="000000"/>
          <w:lang w:val="en-GB"/>
        </w:rPr>
        <w:t>-Vorstellung genießt, wiederholen. Und nun schließt sich daran das für den feinsinnigen Träumer beschämende Geständnis an, daß er einst nach einer Abweisung von Seite eines Freundes aus Sehnsucht zweimal hintereinander in sinnlicher Erregung onaniert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andere Traum: </w:t>
      </w:r>
      <w:r w:rsidRPr="00A06A59">
        <w:rPr>
          <w:rFonts w:ascii="Garamond" w:hAnsi="Garamond" w:cs="Arial"/>
          <w:i/>
          <w:iCs/>
          <w:color w:val="000000"/>
          <w:lang w:val="en-GB"/>
        </w:rPr>
        <w:t>Zwei ihm bekannte Universitätsprofessoren behandeln ihn an meiner Statt. Der eine tut irgend etwas an seinem Gliede; er hat Angst vor einer Operation. Der andere stößt mit einer eisernen Stange gegen seinen Mund, so daß er ein oder zwei Zähne verliert. Er ist mit vier seidenen Tüchern gebunden.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Der sexuelle Sinn dieses Traumes ist wohl nicht zweifelhaft. Die seidenen Tücher entsprechen einer Identifizierung mit einem ihm bekannten Homosexuellen. Der Träumer, der niemals einen Koitus ausgeführt, auch nie in der Wirklichkeit geschlechtlichen Verkehr mit Männern gesucht hat, stellt sich den sexuellen Verkehr nach dem Vorbilde der ihm einst vertrauten Pubertätsonanie vor.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Ich meine, daß auch die häufigen Modifikationen des typischen Zahnreiztraumes, z. B. daß ein anderer dem Träumer den Zahn auszieht und ähnliches, durch die gleiche Aufklärung verständlich werden </w:t>
      </w:r>
      <w:hyperlink r:id="rId183"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Das Ausreißen eines Zahnes durch einen anderen ist zumeist als Kastration zu deuten (ähnlich wie das Haarschneiden durch den Friseur; </w:t>
        </w:r>
        <w:r w:rsidRPr="00A06A59">
          <w:rPr>
            <w:rStyle w:val="innerfusslink3"/>
            <w:rFonts w:ascii="Garamond" w:hAnsi="Garamond" w:cs="Arial"/>
            <w:b/>
            <w:bCs/>
            <w:i/>
            <w:iCs/>
          </w:rPr>
          <w:t>Stekel</w:t>
        </w:r>
        <w:r w:rsidRPr="00A06A59">
          <w:rPr>
            <w:rStyle w:val="innerfusslink3"/>
            <w:rFonts w:ascii="Garamond" w:hAnsi="Garamond" w:cs="Arial"/>
            <w:b/>
            <w:bCs/>
          </w:rPr>
          <w:t xml:space="preserve">). Es ist zu unterscheiden zwischen Zahnreizträumen und Zahnarztträumen überhaupt, wie solche z. B. </w:t>
        </w:r>
        <w:r w:rsidRPr="00A06A59">
          <w:rPr>
            <w:rStyle w:val="innerfusslink3"/>
            <w:rFonts w:ascii="Garamond" w:hAnsi="Garamond" w:cs="Arial"/>
            <w:b/>
            <w:bCs/>
            <w:i/>
            <w:iCs/>
          </w:rPr>
          <w:t>Coriat</w:t>
        </w:r>
        <w:r w:rsidRPr="00A06A59">
          <w:rPr>
            <w:rStyle w:val="innerfusslink3"/>
            <w:rFonts w:ascii="Garamond" w:hAnsi="Garamond" w:cs="Arial"/>
            <w:b/>
            <w:bCs/>
          </w:rPr>
          <w:t xml:space="preserve"> (Zentralbl. f. PsA. </w:t>
        </w:r>
        <w:r w:rsidRPr="00A06A59">
          <w:rPr>
            <w:rStyle w:val="innerfusslink3"/>
            <w:rFonts w:ascii="Garamond" w:hAnsi="Garamond" w:cs="Arial"/>
            <w:b/>
            <w:bCs/>
            <w:lang w:val="en-GB"/>
          </w:rPr>
          <w:t>III, 440) mitgeteilt hat.</w:t>
        </w:r>
      </w:hyperlink>
      <w:r w:rsidRPr="00A06A59">
        <w:rPr>
          <w:rFonts w:ascii="Garamond" w:hAnsi="Garamond" w:cs="Arial"/>
          <w:color w:val="000000"/>
          <w:lang w:val="en-GB"/>
        </w:rPr>
        <w:t>. Rätselhaft mag es aber scheinen, wieso der »Zahnreiz« zu dieser Bedeutung gelangen kann. Ich mache hier auf die so häufige Verlegung von unten nach oben aufmerksam, die im Dienste der Sexualverdrängung steht und vermöge welcher in der Hysterie allerlei Sensationen und Intentionen, die sich an den Genitalien abspielen sollten, wenigstens an anderen einwandfreien Körperteilen realisiert werden können. Ein Fall von solcher Verlegung ist es auch, wenn in der Symbolik des unbewußten Denkens die Genitalien durch das Angesicht ersetzt werden. Der Sprachgebrauch tut dabei mit, indem er »Hinterbacken« als Homologe der Wangen anerkennt, »Schamlippen« neben den Lippen nennt, welche die Mundspalte einrahmen. Die Nase wird in zahlreichen Anspielungen dem Penis gleichgestellt, die Behaarung hier und dort vervollständigt die Ähnlichkeit. Nur ein Gebilde steht außer jeder Möglichkeit von Vergleichung, die Zähne, und gerade dies Zusammentreffen von Übereinstimmung und Abweichung macht die Zähne für die Zwecke der Darstellung unter dem Drucke der Sexualverdrängung geeignet.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will nicht behaupten, daß nun die Deutung des Zahnreiztraums als Onanietraum, an deren Berechtigung ich nicht zweifeln kann, voll durchsichtig geworden ist </w:t>
      </w:r>
      <w:hyperlink r:id="rId18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Nach einer Mitteilung von C. G. </w:t>
        </w:r>
        <w:r w:rsidRPr="00A06A59">
          <w:rPr>
            <w:rStyle w:val="innerfusslink3"/>
            <w:rFonts w:ascii="Garamond" w:hAnsi="Garamond" w:cs="Arial"/>
            <w:b/>
            <w:bCs/>
            <w:i/>
            <w:iCs/>
            <w:lang w:val="en-GB"/>
          </w:rPr>
          <w:t>Jung</w:t>
        </w:r>
        <w:r w:rsidRPr="00A06A59">
          <w:rPr>
            <w:rStyle w:val="innerfusslink3"/>
            <w:rFonts w:ascii="Garamond" w:hAnsi="Garamond" w:cs="Arial"/>
            <w:b/>
            <w:bCs/>
            <w:lang w:val="en-GB"/>
          </w:rPr>
          <w:t xml:space="preserve"> haben die Zahnreizträume bei Frauen die Bedeutung von Geburtsträumen. E. </w:t>
        </w:r>
        <w:r w:rsidRPr="00A06A59">
          <w:rPr>
            <w:rStyle w:val="innerfusslink3"/>
            <w:rFonts w:ascii="Garamond" w:hAnsi="Garamond" w:cs="Arial"/>
            <w:b/>
            <w:bCs/>
            <w:i/>
            <w:iCs/>
            <w:lang w:val="en-GB"/>
          </w:rPr>
          <w:t>Jones</w:t>
        </w:r>
        <w:r w:rsidRPr="00A06A59">
          <w:rPr>
            <w:rStyle w:val="innerfusslink3"/>
            <w:rFonts w:ascii="Garamond" w:hAnsi="Garamond" w:cs="Arial"/>
            <w:b/>
            <w:bCs/>
            <w:lang w:val="en-GB"/>
          </w:rPr>
          <w:t xml:space="preserve"> hat eine gute Bestätigung hiefür erbracht. Das Gemeinsame dieser Deutung mit der oben vertretenen liegt darin, daß es sich in beiden Fällen (Kastration – Geburt) um die Ablösung eines Teiles vom Körperganzen handelt.</w:t>
        </w:r>
      </w:hyperlink>
      <w:r w:rsidRPr="00A06A59">
        <w:rPr>
          <w:rFonts w:ascii="Garamond" w:hAnsi="Garamond" w:cs="Arial"/>
          <w:color w:val="000000"/>
          <w:lang w:val="en-GB"/>
        </w:rPr>
        <w:t xml:space="preserve">. Ich gebe so viel, als ich zur Erklärung weiß, und muß einen Rest unaufgelöst lassen. Aber ich muß auch auf einen anderen im sprachlichen Ausdruck enthaltenen Zusammenhang hinweisen. In unseren Landen existiert eine unfeine Bezeichnung für den masturbatorischen Akt: sich einen ausreißen oder sich einen herunterreißen </w:t>
      </w:r>
      <w:hyperlink r:id="rId18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Vgl. hiezu den »biographischen« Traum auf S: 239</w:t>
        </w:r>
      </w:hyperlink>
      <w:r w:rsidRPr="00A06A59">
        <w:rPr>
          <w:rFonts w:ascii="Garamond" w:hAnsi="Garamond" w:cs="Arial"/>
          <w:color w:val="000000"/>
          <w:lang w:val="en-GB"/>
        </w:rPr>
        <w:t>. Ich weiß nicht zu sagen, woher diese Redeweisen stammen, welche Verbildlichung ihnen zugrunde liegt, aber zur ersteren von den beiden würde sich der »Zahn« sehr gut fügen.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 die Träume vom Zahnziehen oder Zahnausfall im Volksglauben auf den Tod eines Angehörigen gedeutet werden, die Psychoanalyse ihnen aber solche Bedeutung höchstens im oben angedeuteten parodistischen Sinn zugestehen kann, schalte ich hier einen von Otto </w:t>
      </w:r>
      <w:r w:rsidRPr="00A06A59">
        <w:rPr>
          <w:rFonts w:ascii="Garamond" w:hAnsi="Garamond" w:cs="Arial"/>
          <w:i/>
          <w:iCs/>
          <w:color w:val="000000"/>
          <w:lang w:val="en-GB"/>
        </w:rPr>
        <w:t>Rank</w:t>
      </w:r>
      <w:r w:rsidRPr="00A06A59">
        <w:rPr>
          <w:rFonts w:ascii="Garamond" w:hAnsi="Garamond" w:cs="Arial"/>
          <w:color w:val="000000"/>
          <w:lang w:val="en-GB"/>
        </w:rPr>
        <w:t xml:space="preserve"> zur Verfügung gestellten »Zahnreiztraum« 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»Zum Thema der Zahnreizträume ist mir von einem Kollegen, der sich seit einiger Zeit für die Probleme der Traumdeutung lebhafter zu interessieren beginnt, der folgende Bericht zugekommen: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 xml:space="preserve">Mir träumte kürzlich, ich sei beim Zahnarzt, der mir einen rückwärtigen Zahn des Unterkiefers ausbohrt. Er arbeitet so lange herum, bis der Zahn unbrauchbar geworden ist. Dann faßt er ihn mit der Zange und zieht ihn mit einer spielenden Leichtigkeit heraus, die mich in Verwunderung setzt. Er sagt, ich solle mir nichts daraus machen, denn das sei gar nicht der eigentlich behandelte Zahn, und legt ihn auf den Tisch, wo der Zahn (wie mir nun scheint, ein oberer Schneidezahn) in mehrere Schichten zerfällt. Ich erhebe mich vom Operationsstuhl, trete neugierig näher und stelle interessiert eine medizinische Frage. Der Arzt erklärt mir, während er die einzelnen Teilstücke des auffallend weißen Zahnes sondert und mit einem Instrument zermalmt (pulverisiert), daß das mit der Pubertät </w:t>
      </w:r>
      <w:r w:rsidRPr="00A06A59">
        <w:rPr>
          <w:rFonts w:ascii="Garamond" w:hAnsi="Garamond" w:cs="Arial"/>
          <w:i/>
          <w:iCs/>
          <w:color w:val="000000"/>
          <w:lang w:val="en-GB"/>
        </w:rPr>
        <w:lastRenderedPageBreak/>
        <w:t>zusammenhängt und daß die Zähne nur vor der Pubertät so leicht herausgehen; bei Frauen sei das hiefür entscheidende Moment die Geburt eines Kindes.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merke dann (wie ich glaube im Halbschlaf), daß dieser Traum von einer Pollution begleitet war, die ich aber nicht mit Sicherheit an eine bestimmte Stelle des Traumes einzureihen weiß; am ehesten scheint sie mir noch beim Herausziehen des Zahnes eingetreten zu sein.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träume dann weiter einen mir nicht mehr erinnerlichen Vorgang, der damit abschloß, </w:t>
      </w:r>
      <w:r w:rsidRPr="00A06A59">
        <w:rPr>
          <w:rFonts w:ascii="Garamond" w:hAnsi="Garamond" w:cs="Arial"/>
          <w:i/>
          <w:iCs/>
          <w:color w:val="000000"/>
          <w:lang w:val="en-GB"/>
        </w:rPr>
        <w:t>daß ich, Hut und Rock in der Hoffnung, man werde mir die Kleidungsstücke nachbringen, irgendwo (möglicherweise in der Garderobe des Zahnarztes) zurücklassend und bloß mit dem Überrock bekleidet, mich beeilte, einen abgehenden Zug noch zu erreichen. Es gelang mir auch im letzten Moment, auf den rückwärtigen Waggon aufzuspringen, wo bereits jemand stand. Ich konnte jedoch nicht mehr in das Innere des Wagens gelangen, sondern mußte in einer unbequemen Stellung, aus der ich mich mit schließlichem Erfolg zu befreien versuchte, die Reise mitmachen. Wir fahren durch einen großen Tunnel, wobei inder Gegenrichtung zwei Züge wie durch unseren Zug hindurchfahren, als ob dieser der Tunnel wäre. Ich schaue wie von außen durch ein Waggonfenster hinein.‹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Als Material zu einer Deutung dieses Traumes ergeben sich folgende Erlebnisse und Gedanken des Vortages: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 Ich stehe tatsächlich seit kurzem in zahnärztlicher Behandlung und habe zur Zeit des Traumes kontinuierlich Schmerzen in dem Zahn des Unterkiefers, der im Traume angebohrt wird und an dem der Arzt auch in Wirklichkeit schon länger herumarbeitet, als mir lieb ist. Am Vormittag des Traumtages war ich neuerlich wegen der Schmerzen beim Arzt gewesen, der mir nahegelegt hatte, einen anderen als den behandelten Zahn im selben Kiefer ziehen zu lassen, von dem wahrscheinlich der Schmerz herrühren dürfte. Es handelte sich um einen eben durchbrechenden Weisheitszahn. Ich hatte bei der Gelegenheit auch eine darauf bezügliche Frage an sein ärztliches Gewissen gestellt.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II. Am Nachmittag desselben Tages war ich genötigt, einer Dame gegenüber meine üble Laune mit den Zahnschmerzen entschuldigen zu müssen, worauf sie mir erzählte, sie habe Furcht, sich eine Wurzel ziehen zu lassen, deren Krone fast gänzlich abgebröckelt sei. Sie meinte, das Ziehen wäre bei den Augenzähnen besonders schmerzhaft und gefährlich, obwohl ihr andererseits eine Bekannte gesagt habe, daß es bei den Zähnen des Oberkiefers (um einen solchen handelte es sich bei ihr) leichter gehe. Diese Bekannte habe ihr auch erzählt, ihr sei einmal in der Narkose ein falscher Zahn gezogen worden, eine Mitteilung, welche ihre Scheu vor der notwendigen Operation nur vermehrt habe. Sie fragte mich dann, ob unter Augenzähnen Backen- oder Eckzähne zu verstehen seien und was über diese bekannt sei. Ich machte sie einerseits auf den abergläubischen Einschlag in all diesen Meinungen aufmerksam, ohne jedoch die Betonung des richtigen Kernes mancher volkstümlichen Anschauungen zu versäumen. Sie weiß darauf von einem ihrer Erfahrung nach sehr alten und allgemein bekannten Volksglauben zu berichten, der behauptet: </w:t>
      </w:r>
      <w:r w:rsidRPr="00A06A59">
        <w:rPr>
          <w:rFonts w:ascii="Garamond" w:hAnsi="Garamond" w:cs="Arial"/>
          <w:i/>
          <w:iCs/>
          <w:color w:val="000000"/>
          <w:lang w:val="en-GB"/>
        </w:rPr>
        <w:t>Wenn eine Schwangere Zahnschmerzen hat, so bekommt sie einen Buben.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III. Dieses Sprichwort interessierte mich mit Rücksicht auf die von Freud in seiner </w:t>
      </w:r>
      <w:r w:rsidRPr="00A06A59">
        <w:rPr>
          <w:rFonts w:ascii="Garamond" w:hAnsi="Garamond" w:cs="Arial"/>
          <w:i/>
          <w:iCs/>
          <w:color w:val="000000"/>
          <w:lang w:val="en-GB"/>
        </w:rPr>
        <w:t>Traumdeutung</w:t>
      </w:r>
      <w:r w:rsidRPr="00A06A59">
        <w:rPr>
          <w:rFonts w:ascii="Garamond" w:hAnsi="Garamond" w:cs="Arial"/>
          <w:color w:val="000000"/>
          <w:lang w:val="en-GB"/>
        </w:rPr>
        <w:t xml:space="preserve"> (2. Aufl., p. </w:t>
      </w:r>
      <w:smartTag w:uri="urn:schemas-microsoft-com:office:smarttags" w:element="metricconverter">
        <w:smartTagPr>
          <w:attr w:name="ProductID" w:val="193f"/>
        </w:smartTagPr>
        <w:r w:rsidRPr="00A06A59">
          <w:rPr>
            <w:rFonts w:ascii="Garamond" w:hAnsi="Garamond" w:cs="Arial"/>
            <w:color w:val="000000"/>
            <w:lang w:val="en-GB"/>
          </w:rPr>
          <w:t>193f</w:t>
        </w:r>
      </w:smartTag>
      <w:r w:rsidRPr="00A06A59">
        <w:rPr>
          <w:rFonts w:ascii="Garamond" w:hAnsi="Garamond" w:cs="Arial"/>
          <w:color w:val="000000"/>
          <w:lang w:val="en-GB"/>
        </w:rPr>
        <w:t xml:space="preserve">.) mitgeteilte typische Bedeutung der Zahnreizträume als Onanieersatz, da ja auch in dem Volksspruch der Zahn und das männliche Genitale (Bub) in eine gewisse Beziehung gebracht werden. Ich las also am Abend desselben Tages die betreffende Stelle in der </w:t>
      </w:r>
      <w:r w:rsidRPr="00A06A59">
        <w:rPr>
          <w:rFonts w:ascii="Garamond" w:hAnsi="Garamond" w:cs="Arial"/>
          <w:i/>
          <w:iCs/>
          <w:color w:val="000000"/>
          <w:lang w:val="en-GB"/>
        </w:rPr>
        <w:t>Traumdeutung</w:t>
      </w:r>
      <w:r w:rsidRPr="00A06A59">
        <w:rPr>
          <w:rFonts w:ascii="Garamond" w:hAnsi="Garamond" w:cs="Arial"/>
          <w:color w:val="000000"/>
          <w:lang w:val="en-GB"/>
        </w:rPr>
        <w:t xml:space="preserve"> nach und fand dort unter anderem die im folgenden wiedergegebenen Ausführungen, deren Einfluß auf meinen Traum ebenso leicht zu erkennen ist wie die Einwirkung der beiden vorgenannten Erlebnisse. Freud schreibt von den Zahnreizträumen, »daß bei Männern nichts anderes als das Onaniegelüste der </w:t>
      </w:r>
      <w:r w:rsidRPr="00A06A59">
        <w:rPr>
          <w:rFonts w:ascii="Garamond" w:hAnsi="Garamond" w:cs="Arial"/>
          <w:i/>
          <w:iCs/>
          <w:color w:val="000000"/>
          <w:lang w:val="en-GB"/>
        </w:rPr>
        <w:t>Pubertätszeit</w:t>
      </w:r>
      <w:r w:rsidRPr="00A06A59">
        <w:rPr>
          <w:rFonts w:ascii="Garamond" w:hAnsi="Garamond" w:cs="Arial"/>
          <w:color w:val="000000"/>
          <w:lang w:val="en-GB"/>
        </w:rPr>
        <w:t xml:space="preserve"> die Triebkraft dieser Träume abgebe« (p. 193). Ferner: »Ich meine, daß auch die häufigen Modifikationen des typischen Zahnreiztraumes, z. B. daß ein anderer dem Träumer den Zahn auszieht und ähnliches, durch die gleiche Aufklärung verständlich werden. Rätselhaft mag es aber scheinen, wieso der Zahnreiz zu dieser Bedeutung gelangen kann. Ich mache hier auf die so häufige </w:t>
      </w:r>
      <w:r w:rsidRPr="00A06A59">
        <w:rPr>
          <w:rFonts w:ascii="Garamond" w:hAnsi="Garamond" w:cs="Arial"/>
          <w:i/>
          <w:iCs/>
          <w:color w:val="000000"/>
          <w:lang w:val="en-GB"/>
        </w:rPr>
        <w:t>Verlegung von unten nach oben</w:t>
      </w:r>
      <w:r w:rsidRPr="00A06A59">
        <w:rPr>
          <w:rFonts w:ascii="Garamond" w:hAnsi="Garamond" w:cs="Arial"/>
          <w:color w:val="000000"/>
          <w:lang w:val="en-GB"/>
        </w:rPr>
        <w:t xml:space="preserve"> (im vorliegenden Traume auch vom Unterkiefer in den Oberkiefer) aufmerksam, die im Dienste der Sexualverdrängung steht und vermöge welcher in der Hysterie allerlei Sensationen und Intentionen, die sich an den Genitalien abspielen sollten, wenigstens an anderen einwandfreien Körperstellen realisiert werden können«. »Aber ich muß auch auf einen anderen im sprachlichen Ausdruck enthaltenen Zusammenhang hinweisen. In unseren Landen existiert eine unfeine Bezeichnung für den masturbatorischen Akt: sich einen ausreißen oder sich einen herunterreißen«. Dieser Ausdruck war mir schon in früher Jugend als Bezeichnung für die Onanie geläufig, und von hier aus wird der geübte Traumdeuter unschwer den Zugang zum Kindheitsmaterial, das diesem Traume zugrunde liegen mag, finden. Ich erwähne nur noch, daß die Leichtigkeit, mit der im Traum der Zahn, der sich nach dem Ziehen in einen oberen Schneidezahn verwandelt, herausgeht, mich an einen Vorfall meiner Kinderzeit erinnert, wo ich mir einen wackligen </w:t>
      </w:r>
      <w:r w:rsidRPr="00A06A59">
        <w:rPr>
          <w:rFonts w:ascii="Garamond" w:hAnsi="Garamond" w:cs="Arial"/>
          <w:i/>
          <w:iCs/>
          <w:color w:val="000000"/>
          <w:lang w:val="en-GB"/>
        </w:rPr>
        <w:t>oberen Vorderzahn</w:t>
      </w:r>
      <w:r w:rsidRPr="00A06A59">
        <w:rPr>
          <w:rFonts w:ascii="Garamond" w:hAnsi="Garamond" w:cs="Arial"/>
          <w:color w:val="000000"/>
          <w:lang w:val="en-GB"/>
        </w:rPr>
        <w:t xml:space="preserve"> leicht und schmerzlos </w:t>
      </w:r>
      <w:r w:rsidRPr="00A06A59">
        <w:rPr>
          <w:rFonts w:ascii="Garamond" w:hAnsi="Garamond" w:cs="Arial"/>
          <w:i/>
          <w:iCs/>
          <w:color w:val="000000"/>
          <w:lang w:val="en-GB"/>
        </w:rPr>
        <w:t>selbst ausriß</w:t>
      </w:r>
      <w:r w:rsidRPr="00A06A59">
        <w:rPr>
          <w:rFonts w:ascii="Garamond" w:hAnsi="Garamond" w:cs="Arial"/>
          <w:color w:val="000000"/>
          <w:lang w:val="en-GB"/>
        </w:rPr>
        <w:t>. Dieses Ereignis, das mir heute noch in allen Einzelheiten deutlich erinnerlich ist, fällt in dieselbe frühe Zeit, in die bei mir die ersten bewußten Onanieversuche zurückgehen (Deckerinnerung).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Der Hinweis Freuds auf eine Mitteilung von C. </w:t>
      </w:r>
      <w:r w:rsidRPr="00A06A59">
        <w:rPr>
          <w:rFonts w:ascii="Garamond" w:hAnsi="Garamond" w:cs="Arial"/>
          <w:i/>
          <w:iCs/>
          <w:color w:val="000000"/>
          <w:lang w:val="en-GB"/>
        </w:rPr>
        <w:t>Jung,</w:t>
      </w:r>
      <w:r w:rsidRPr="00A06A59">
        <w:rPr>
          <w:rFonts w:ascii="Garamond" w:hAnsi="Garamond" w:cs="Arial"/>
          <w:color w:val="000000"/>
          <w:lang w:val="en-GB"/>
        </w:rPr>
        <w:t xml:space="preserve"> wonach die Zahnreizträume bei Frauen die Bedeutung von </w:t>
      </w:r>
      <w:r w:rsidRPr="00A06A59">
        <w:rPr>
          <w:rFonts w:ascii="Garamond" w:hAnsi="Garamond" w:cs="Arial"/>
          <w:i/>
          <w:iCs/>
          <w:color w:val="000000"/>
          <w:lang w:val="en-GB"/>
        </w:rPr>
        <w:t>Geburtsträumen</w:t>
      </w:r>
      <w:r w:rsidRPr="00A06A59">
        <w:rPr>
          <w:rFonts w:ascii="Garamond" w:hAnsi="Garamond" w:cs="Arial"/>
          <w:color w:val="000000"/>
          <w:lang w:val="en-GB"/>
        </w:rPr>
        <w:t xml:space="preserve"> haben </w:t>
      </w:r>
      <w:r w:rsidRPr="00A06A59">
        <w:rPr>
          <w:rFonts w:ascii="Garamond" w:hAnsi="Garamond" w:cs="Arial"/>
          <w:i/>
          <w:iCs/>
          <w:color w:val="000000"/>
          <w:lang w:val="en-GB"/>
        </w:rPr>
        <w:t>(Traumdeutung</w:t>
      </w:r>
      <w:r w:rsidRPr="00A06A59">
        <w:rPr>
          <w:rFonts w:ascii="Garamond" w:hAnsi="Garamond" w:cs="Arial"/>
          <w:color w:val="000000"/>
          <w:lang w:val="en-GB"/>
        </w:rPr>
        <w:t>, S. 194 Anm.), sowie der Volksglaube von der Bedeutung des Zahnschmerzes bei Schwangeren haben die Gegenüberstellung der weiblichen Bedeutung gegenüber der männlichen (Pubertät) im Traume veranlaßt. Dazu erinnere ich mich eines früheren Traumes, wo mir, bald nachdem ich aus der Behandlung eines Zahnarztes entlassen worden war, träumte, daß mir die eben eingesetzten Goldkronen herausfielen, worüber ich mich wegen des bedeutenden Kostenaufwandes, den ich damals noch nicht ganz verschmerzt hatte, im Traume sehr ärgerte. Dieser Traum wird mir jetzt im Hinblick auf ein gewisses Erlebnis als Anpreisung der materiellen Vorzüge der Masturbation gegenüber der in jeder Form ökonomisch nachteiligeren Objektliebe verständlich (Goldkronen), und ich glaube, daß die Mitteilung jener Dame über die Bedeutung des Zahnschmerzes bei Schwangeren diese Gedankengänge in mir wieder wachrief.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So weit die ohne weiteres einleuchtende und, wie ich glaube, auch einwandfreie Deutung des Kollegen, der ich nichts hinzuzufügen habe als etwa den Hinweis auf den wahrscheinlichen Sinn des zweiten Traumteiles, der über die Wortbrücken: Zahn-(ziehen-Zug; reißen-reisen) den allem Anschein nach unter Schwierigkeiten vollzogenen Übergang des Träumers von der Masturbation zum Geschlechtsverkehr (Tunnel, durch den die Züge in verschiedenen Richtungen hinein- und herausfahren) sowie die Gefahren desselben (Schwangerschaft; Überzieher) darstellt.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Dagegen scheint mir der Fall theoretisch nach zwei Richtungen interessant. Erstens ist es beweisend für den von </w:t>
      </w:r>
      <w:r w:rsidRPr="00A06A59">
        <w:rPr>
          <w:rFonts w:ascii="Garamond" w:hAnsi="Garamond" w:cs="Arial"/>
          <w:i/>
          <w:iCs/>
          <w:color w:val="000000"/>
          <w:lang w:val="en-GB"/>
        </w:rPr>
        <w:t>Freud</w:t>
      </w:r>
      <w:r w:rsidRPr="00A06A59">
        <w:rPr>
          <w:rFonts w:ascii="Garamond" w:hAnsi="Garamond" w:cs="Arial"/>
          <w:color w:val="000000"/>
          <w:lang w:val="en-GB"/>
        </w:rPr>
        <w:t xml:space="preserve"> aufgedeckten Zusammenhang, daß die Ejakulation im Traume beim Akt des Zahnziehens erfolgt. Sind wir doch genötigt, die Pollution, in welcher Form immer sie auftreten mag, als eine masturbatorische Befriedigung anzusehen, welche ohne Zuhilfenahme mechanischer Reizungen zustande kommt. Dazu kommt, daß in diesem Falle die pollutionistische Befriedigung nicht, wie sonst, an einem wenn auch nur imaginierten Objekt erfolgt, sondern objektlos, wenn man so sagen darf, rein autoerotisch ist und höchstens einen leisen homosexuellen Einschlag (Zahnarzt) erkennen läßt.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zweite Punkt, der mir der Hervorhebung wert erscheint, ist folgender: Es liegt der Einwand nahe, daß die </w:t>
      </w:r>
      <w:r w:rsidRPr="00A06A59">
        <w:rPr>
          <w:rFonts w:ascii="Garamond" w:hAnsi="Garamond" w:cs="Arial"/>
          <w:i/>
          <w:iCs/>
          <w:color w:val="000000"/>
          <w:lang w:val="en-GB"/>
        </w:rPr>
        <w:t>Freud</w:t>
      </w:r>
      <w:r w:rsidRPr="00A06A59">
        <w:rPr>
          <w:rFonts w:ascii="Garamond" w:hAnsi="Garamond" w:cs="Arial"/>
          <w:color w:val="000000"/>
          <w:lang w:val="en-GB"/>
        </w:rPr>
        <w:t xml:space="preserve">sche Auffassung hier ganz überflüssigerweise geltend gemacht zu werden suche, da doch die Erlebnisse des Vortages allein vollkommen hinreichen, uns den Inhalt des Traumes verständlich zu machen. Der Besuch beim Zahnarzt, das Gespräch mit der Dame und die Lektüre der </w:t>
      </w:r>
      <w:r w:rsidRPr="00A06A59">
        <w:rPr>
          <w:rFonts w:ascii="Garamond" w:hAnsi="Garamond" w:cs="Arial"/>
          <w:i/>
          <w:iCs/>
          <w:color w:val="000000"/>
          <w:lang w:val="en-GB"/>
        </w:rPr>
        <w:t>Traumdeutung</w:t>
      </w:r>
      <w:r w:rsidRPr="00A06A59">
        <w:rPr>
          <w:rFonts w:ascii="Garamond" w:hAnsi="Garamond" w:cs="Arial"/>
          <w:color w:val="000000"/>
          <w:lang w:val="en-GB"/>
        </w:rPr>
        <w:t xml:space="preserve"> erklärten hinreichend, daß der auch nachts durch Zahnschmerzen beunruhigte Schläfer diesen Traum produziere; wenn man durchaus wolle, sogar zur Beseitigung des schlafstörenden Schmerzes (mittels der Vorstellung von der Entfernung des schmerzenden Zahnes bei gleichzeitiger Übertönung der gefürchteten Schmerzempfindung durch Libido). Nun wird man aber selbst bei den weitestgehenden Zugeständnissen in dieser Richtung die Behauptung nicht ernsthaft vertreten wollen, daß die Lektüre der </w:t>
      </w:r>
      <w:r w:rsidRPr="00A06A59">
        <w:rPr>
          <w:rFonts w:ascii="Garamond" w:hAnsi="Garamond" w:cs="Arial"/>
          <w:i/>
          <w:iCs/>
          <w:color w:val="000000"/>
          <w:lang w:val="en-GB"/>
        </w:rPr>
        <w:t>Freud</w:t>
      </w:r>
      <w:r w:rsidRPr="00A06A59">
        <w:rPr>
          <w:rFonts w:ascii="Garamond" w:hAnsi="Garamond" w:cs="Arial"/>
          <w:color w:val="000000"/>
          <w:lang w:val="en-GB"/>
        </w:rPr>
        <w:t xml:space="preserve">schen Aufklärungen den Zusammenhang von Zahnziehen und Masturbationsakt in dem Träumer hergestellt oder auch nur wirksam gemacht haben könnte, wenn er nicht, wie der Träumer selbst eingestanden hat (sich einen ausreißen), längst vorgebildet gewesen wäre. Was vielmehr diesen Zusammenhang neben dem Gespräch mit der Dame belebt haben mag, ergibt die spätere Mitteilung des Träumers, daß er bei der Lektüre der </w:t>
      </w:r>
      <w:r w:rsidRPr="00A06A59">
        <w:rPr>
          <w:rFonts w:ascii="Garamond" w:hAnsi="Garamond" w:cs="Arial"/>
          <w:i/>
          <w:iCs/>
          <w:color w:val="000000"/>
          <w:lang w:val="en-GB"/>
        </w:rPr>
        <w:t>Traumdeutung</w:t>
      </w:r>
      <w:r w:rsidRPr="00A06A59">
        <w:rPr>
          <w:rFonts w:ascii="Garamond" w:hAnsi="Garamond" w:cs="Arial"/>
          <w:color w:val="000000"/>
          <w:lang w:val="en-GB"/>
        </w:rPr>
        <w:t xml:space="preserve"> aus begreiflichen Gründen an diese typische Bedeutung der Zahnreizträume nicht recht glauben mochte und den Wunsch hegte zu wissen, ob dies für alle derartigen Träume zutreffe. Der Traum bestätigt ihm nun das wenigstens für seine eigene Person und zeigt ihm so, warum er daran zweifeln mußte. Der Traum ist also auch in dieser Hinsicht die Erfüllung eines Wunsches, nämlich sich von der Tragweite und der Haltbarkeit dieser Freudschen Auffassung zu überzeugen.«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Zur zweiten Gruppe von typischen Träumen gehören die, in denen man fliegt oder schwebt, fällt, schwimmt u. dgl. Was bedeuten diese Träume? Das ist allgemein nicht zu sagen. Sie bedeuten, wie wir hören werden, in jedem Falle etwas anderes, nur das Material an Sensationen, das sie enthalten, stammt allemal aus derselben Quelle.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Aus den Auskünften, die man durch die Psychoanalysen erhält, muß man schließen, daß auch diese Träume Eindrücke der Kinderzeit wiederholen, nämlich sich auf die Bewegungsspiele beziehen, die für das Kind eine so außerordentliche Anziehung haben. Welcher Onkel hat nicht schon ein Kind fliegen lassen, indem er, die Arme ausstreckend, durchs Zimmer mit ihm eilte, oder Fallen mit ihm gespielt, indem er es auf den Knien schaukelte und das Bein plötzlich streckte oder es hochhob und plötzlich tat, als ob er ihm die Unterstützung entziehen wollte. Die Kinder jauchzen dann und verlangen unermüdlich nach Wiederholung, besonders wenn etwas Schreck und Schwindel mit dabei ist; dann schaffen sie sich nach Jahren die Wiederholung im Traume, lassen aber im Traume die Hände weg, die sie gehalten haben, so daß sie nun frei schweben und fallen. Die Vorliebe aller kleinen Kinder für solche Spiele wie für Schaukeln und Wippen ist bekannt; wenn sie dann gymnastische Kunststücke im Zirkus sehen, wird die Erinnerung von neuem aufgefrischt. Bei manchen Knaben besteht dann der hysterische Anfall nur aus Reproduktionen solcher Kunststücke, die sie mit großer Geschicklichkeit ausführen. Nicht selten sind bei diesen an </w:t>
      </w:r>
      <w:r w:rsidRPr="00A06A59">
        <w:rPr>
          <w:rFonts w:ascii="Garamond" w:hAnsi="Garamond" w:cs="Arial"/>
          <w:color w:val="000000"/>
          <w:lang w:val="en-GB"/>
        </w:rPr>
        <w:lastRenderedPageBreak/>
        <w:t>sich harmlosen Bewegungsspielen auch sexuelle Empfindungen wachgerufen worden. Um es mit einem bei uns gebräuchlichen, all diese Veranstaltungen deckenden Worte zu sagen: es ist das »Hetzen« in der Kindheit, welches die Träume vom Fliegen, Fallen, Schwindel u. dgl. wiederholen, dessen Lustgefühle jetzt in Angst verkehrt sind. Wie aber jede Mutter weiß, ist auch das Hetzen der Kinder in Wirklichkeit häufig genug in Zwist und Weinen ausgegangen.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habe also guten Grund, die Erklärung abzulehnen, daß der Zustand unserer Hautgefühle während des Schlafes, die Sensationen von der Bewegung unserer Lungen u. dgl. die Träume vom Fliegen und Fallen hervorrufen. Ich sehe, daß diese Sensationen selbst aus der Erinnerung reproduziert sind, auf welche der Traum sich bezieht, daß sie also Trauminhalt sind und nicht Traumquellen </w:t>
      </w:r>
      <w:hyperlink r:id="rId186"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Der Absatz über die Bewegungsträume ist des Zusammenhanges halber hier wiederholt. Vgl. S. 187</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Dieses gleichartige und aus der nämlichen Quelle stammende Material von Bewegungsempfindungen wird nun zur Darstellung der allermannigfaltigsten Traumgedanken verwendet. Die meist lustbetonten Träume vom Fliegen oder Schweben erfordern die verschiedensten Deutungen, ganz spezielle bei einigen Personen, Deutungen von selbst typischer Natur bei anderen. Eine meiner Patientinnen pflegte sehr häufig zu träumen, daß sie über die Straße in einer gewissen Höhe schwebe, ohne den Boden zu berühren. Sie war sehr klein gewachsen und scheute jede Beschmutzung, die der Verkehr mit Menschen mit sich bringt. Ihr Schwebetraum erfüllte ihr beide Wünsche, indem er ihre Füße vom Erdboden abhob und ihr Haupt in höhere Regionen ragen ließ. Bei anderen Träumerinnen hatte der Fliegetraum die Bedeutung der Sehnsucht: Wenn ich ein Vöglein wär'; andere wurden so nächtlicherweise zu Engeln, in der Entbehrung, bei Tage so genannt zu werden. Die nahe Verbindung des Fliegens mit der Vorstellung des Vogels macht es verständlich, daß der Fliegetraum bei Männern meist eine grobsinnliche Bedeutung hat. Wir werden uns auch nicht verwundern zu hören, daß dieser oder jener Träumer jedesmal sehr stolz auf sein Fliegenkönnen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Dr. Paul </w:t>
      </w:r>
      <w:r w:rsidRPr="00A06A59">
        <w:rPr>
          <w:rFonts w:ascii="Garamond" w:hAnsi="Garamond" w:cs="Arial"/>
          <w:i/>
          <w:iCs/>
          <w:color w:val="000000"/>
          <w:lang w:val="en-GB"/>
        </w:rPr>
        <w:t>Federn</w:t>
      </w:r>
      <w:r w:rsidRPr="00A06A59">
        <w:rPr>
          <w:rFonts w:ascii="Garamond" w:hAnsi="Garamond" w:cs="Arial"/>
          <w:color w:val="000000"/>
          <w:lang w:val="en-GB"/>
        </w:rPr>
        <w:t xml:space="preserve"> (Wien) hat die bestechende Vermutung ausgesprochen, daß ein guter Teil dieser Fliegeträume Erektionsträume sind, da das merkwürdige und die menschliche Phantasie unausgesetzt beschäftigende Phänomen der Erektion als Aufhebung der Schwerkraft imponieren muß. (Vgl. hiezu die geflügelten Phallen der Antike.)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bemerkenswert, daß der nüchterne und eigentlich jeder Deutung abgeneigte Traumexperimentator Mourly </w:t>
      </w:r>
      <w:r w:rsidRPr="00A06A59">
        <w:rPr>
          <w:rFonts w:ascii="Garamond" w:hAnsi="Garamond" w:cs="Arial"/>
          <w:i/>
          <w:iCs/>
          <w:color w:val="000000"/>
          <w:lang w:val="en-GB"/>
        </w:rPr>
        <w:t>Vold</w:t>
      </w:r>
      <w:r w:rsidRPr="00A06A59">
        <w:rPr>
          <w:rFonts w:ascii="Garamond" w:hAnsi="Garamond" w:cs="Arial"/>
          <w:color w:val="000000"/>
          <w:lang w:val="en-GB"/>
        </w:rPr>
        <w:t xml:space="preserve"> gleichfalls die erotische Deutung der Fliege-(Schwebe-)Träume vertritt (Über den Traum, ges. Schr. Bd. II.). Er nennt die Erotik das »wichtigste Motiv zum Schwebetraum«, beruft sich auf das starke Vibrationsgefühl im Körper, welches diese Träume begleitet, und auf die häufige Verbindung solcher Träume mit Erektionen oder Pollutionen.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Träume vom </w:t>
      </w:r>
      <w:r w:rsidRPr="00A06A59">
        <w:rPr>
          <w:rFonts w:ascii="Garamond" w:hAnsi="Garamond" w:cs="Arial"/>
          <w:i/>
          <w:iCs/>
          <w:color w:val="000000"/>
          <w:lang w:val="en-GB"/>
        </w:rPr>
        <w:t>Fallen</w:t>
      </w:r>
      <w:r w:rsidRPr="00A06A59">
        <w:rPr>
          <w:rFonts w:ascii="Garamond" w:hAnsi="Garamond" w:cs="Arial"/>
          <w:color w:val="000000"/>
          <w:lang w:val="en-GB"/>
        </w:rPr>
        <w:t xml:space="preserve"> tragen häufiger den Angstcharakter. Ihre Deutung unterliegt bei Frauen keiner Schwierigkeit, da sie fast regelmäßig die symbolische Verwendung des Fallens akzeptieren, welches die Nachgiebigkeit gegen eine erotische Versuchung umschreibt. Die infantilen Quellen des Falltraumes haben wir noch nicht erschöpft; fast alle Kinder sind gelegentlich gefallen und wurden dann aufgehoben und geliebkost; wenn sie nachts aus dem Bettchen gefallen waren, von ihrer Pflegeperson in ihr Bett genommen.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Personen, die häufig vom </w:t>
      </w:r>
      <w:r w:rsidRPr="00A06A59">
        <w:rPr>
          <w:rFonts w:ascii="Garamond" w:hAnsi="Garamond" w:cs="Arial"/>
          <w:i/>
          <w:iCs/>
          <w:color w:val="000000"/>
          <w:lang w:val="en-GB"/>
        </w:rPr>
        <w:t>Schwimmen</w:t>
      </w:r>
      <w:r w:rsidRPr="00A06A59">
        <w:rPr>
          <w:rFonts w:ascii="Garamond" w:hAnsi="Garamond" w:cs="Arial"/>
          <w:color w:val="000000"/>
          <w:lang w:val="en-GB"/>
        </w:rPr>
        <w:t xml:space="preserve"> träumen, mit großem Behagen die Wellen teilen usw., sind gewöhnlich Bettnässer gewesen und wiederholen nun im Traume eine Lust, auf die sie seit langer Zeit zu verzichten gelernt haben. Zu welcher Darstellung sich die Träume vom Schwimmen leicht bieten, werden wir bald an dem einen oder dem anderen Beispiele erfahren.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Deutung der Träume vom </w:t>
      </w:r>
      <w:r w:rsidRPr="00A06A59">
        <w:rPr>
          <w:rFonts w:ascii="Garamond" w:hAnsi="Garamond" w:cs="Arial"/>
          <w:i/>
          <w:iCs/>
          <w:color w:val="000000"/>
          <w:lang w:val="en-GB"/>
        </w:rPr>
        <w:t>Feuer</w:t>
      </w:r>
      <w:r w:rsidRPr="00A06A59">
        <w:rPr>
          <w:rFonts w:ascii="Garamond" w:hAnsi="Garamond" w:cs="Arial"/>
          <w:color w:val="000000"/>
          <w:lang w:val="en-GB"/>
        </w:rPr>
        <w:t xml:space="preserve"> gibt einem Verbot der Kinderstube recht, welches die Kinder nicht »zündeln« heißt, damit sie nicht nächtlicherweile das Bett nässen sollen. Es liegt nämlich auch ihnen die Reminiszenz an die Enuresis nocturna der Kinderjahre zugrunde. In dem Bruchstück einer Hysterie-Analyse </w:t>
      </w:r>
      <w:hyperlink r:id="rId18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Ges. Schriften, Bd. VIII.</w:t>
        </w:r>
      </w:hyperlink>
      <w:r w:rsidRPr="00A06A59">
        <w:rPr>
          <w:rFonts w:ascii="Garamond" w:hAnsi="Garamond" w:cs="Arial"/>
          <w:color w:val="000000"/>
          <w:lang w:val="en-GB"/>
        </w:rPr>
        <w:t xml:space="preserve"> habe ich die vollständige Analyse und Synthese eines solchen Feuertraumes im Zusammenhange mit der Krankengeschichte der Träumerin gegeben und gezeigt, zur Darstellung welcher Regungen reiferer Jahre sich dieses infantile Material verwenden läßt.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Man könnte noch eine ganze Anzahl von »typischen« Träumen anführen, wenn man darunter die Tatsache der häufigen Wiederkehr des gleichen manifesten Trauminhalts bei verschiedenen Träumern versteht, so z. B. : Die Träume vom Gehen durch enge Gassen, vom Gehen durch eine ganze Flucht von Zimmern, die Träume vom nächtlichen Räuber, dem auch die Vorsichtsmaßregeln der Nervösen vor dem Schlafengehen gelten, die von Verfolgung durch wilde Tiere (Stiere, Pferde) oder von Bedrohung mit Messern, Dolchen, Lanzen, die beide letztere für den manifesten Trauminhalt von Angstleidenden charakteristisch sind, u. dgl. Eine Untersuchung, die sich speziell mit diesem Material beschäftigen würde, wäre sehr dankenswert. Ich habe an ihrer Statt zwei Bemerkungen zu bieten, die sich aber nicht ausschließlich auf typische Träume beziehen.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Je mehr man sich mit der Lösung von Träumen beschäftigt, desto bereitwilliger muß man anerkennen, daß die Mehrzahl der Träume Erwachsener sexuelles Material behandelt und erotische Wünsche zum Ausdruck bringt. Nur </w:t>
      </w:r>
      <w:r w:rsidRPr="00A06A59">
        <w:rPr>
          <w:rFonts w:ascii="Garamond" w:hAnsi="Garamond" w:cs="Arial"/>
          <w:color w:val="000000"/>
          <w:lang w:val="en-GB"/>
        </w:rPr>
        <w:lastRenderedPageBreak/>
        <w:t xml:space="preserve">wer wirklich Träume analysiert, d. h. vom manifesten Inhalt derselben zu den latenten Traumgedanken vordringt, kann sich ein Urteil hierüber bilden, nie wer sich damit begnügt, den manifesten Inhalt zu registrieren (wie z. B. </w:t>
      </w:r>
      <w:r w:rsidRPr="00A06A59">
        <w:rPr>
          <w:rFonts w:ascii="Garamond" w:hAnsi="Garamond" w:cs="Arial"/>
          <w:i/>
          <w:iCs/>
          <w:color w:val="000000"/>
          <w:lang w:val="en-GB"/>
        </w:rPr>
        <w:t>Näcke</w:t>
      </w:r>
      <w:r w:rsidRPr="00A06A59">
        <w:rPr>
          <w:rFonts w:ascii="Garamond" w:hAnsi="Garamond" w:cs="Arial"/>
          <w:color w:val="000000"/>
          <w:lang w:val="en-GB"/>
        </w:rPr>
        <w:t xml:space="preserve"> in seinen Arbeiten über sexuelle Träume). Stellen wir gleich fest, daß diese Tatsache uns nichts Überraschendes bringt, sondern in voller Übereinstimmung mit unseren Grundsätzen der Traumerklärung steht. Kein anderer Trieb hat seit der Kindheit so viel Unterdrückung erfahren müssen wie der Sexualtrieb in seinen zahlreichen Komponenten </w:t>
      </w:r>
      <w:hyperlink r:id="rId188"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Vgl. des Verf. Drei Abhandlungen zur Sexualtheorie, 1905, 6. Aufl. 1926 [Ges. Schriften, Bd. V]</w:t>
        </w:r>
      </w:hyperlink>
      <w:r w:rsidRPr="00A06A59">
        <w:rPr>
          <w:rFonts w:ascii="Garamond" w:hAnsi="Garamond" w:cs="Arial"/>
          <w:color w:val="000000"/>
          <w:lang w:val="en-GB"/>
        </w:rPr>
        <w:t>, von keinem anderen erübrigen so viele und so starke unbewußte Wünsche, die nun im Schlafzustande traumerzeugend wirken. Man darf bei der Traumdeutung diese Bedeutung sexueller Komplexe niemals vergessen, darf sie natürlich auch nicht zur Ausschließlichkeit übertreiben.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 vielen Träumen wird man bei sorgfältiger Deutung feststellen können, daß sie selbst bisexuell zu verstehen sind, indem sie eine unabweisbare Überdeutung ergeben, in welcher sie homosexuelle, d. h. der normalen Geschlechtsbetätigung der träumenden Person entgegengesetzte Regungen realisieren. </w:t>
      </w:r>
      <w:r w:rsidRPr="00A06A59">
        <w:rPr>
          <w:rFonts w:ascii="Garamond" w:hAnsi="Garamond" w:cs="Arial"/>
          <w:color w:val="000000"/>
        </w:rPr>
        <w:t xml:space="preserve">Daß aber alle Träume bisexuell zu deuten seien, wie W. </w:t>
      </w:r>
      <w:r w:rsidRPr="00A06A59">
        <w:rPr>
          <w:rFonts w:ascii="Garamond" w:hAnsi="Garamond" w:cs="Arial"/>
          <w:i/>
          <w:iCs/>
          <w:color w:val="000000"/>
        </w:rPr>
        <w:t>Stekel</w:t>
      </w:r>
      <w:hyperlink r:id="rId189" w:anchor="#" w:history="1">
        <w:r w:rsidRPr="00A06A59">
          <w:rPr>
            <w:rStyle w:val="fusslink"/>
            <w:rFonts w:ascii="Garamond" w:hAnsi="Garamond" w:cs="Arial"/>
            <w:b/>
            <w:bCs/>
            <w:color w:val="003399"/>
          </w:rPr>
          <w:t>[Fußnote]</w:t>
        </w:r>
        <w:r w:rsidRPr="00A06A59">
          <w:rPr>
            <w:rStyle w:val="innerfusslink3"/>
            <w:rFonts w:ascii="Garamond" w:hAnsi="Garamond" w:cs="Arial"/>
            <w:b/>
            <w:bCs/>
          </w:rPr>
          <w:t>Die Sprache des Traumes, 1911.</w:t>
        </w:r>
      </w:hyperlink>
      <w:r w:rsidRPr="00A06A59">
        <w:rPr>
          <w:rFonts w:ascii="Garamond" w:hAnsi="Garamond" w:cs="Arial"/>
          <w:color w:val="000000"/>
        </w:rPr>
        <w:t xml:space="preserve"> </w:t>
      </w:r>
      <w:r w:rsidRPr="00A06A59">
        <w:rPr>
          <w:rFonts w:ascii="Garamond" w:hAnsi="Garamond" w:cs="Arial"/>
          <w:color w:val="000000"/>
          <w:lang w:val="en-GB"/>
        </w:rPr>
        <w:t xml:space="preserve">und Alf. </w:t>
      </w:r>
      <w:r w:rsidRPr="00A06A59">
        <w:rPr>
          <w:rFonts w:ascii="Garamond" w:hAnsi="Garamond" w:cs="Arial"/>
          <w:i/>
          <w:iCs/>
          <w:color w:val="000000"/>
          <w:lang w:val="en-GB"/>
        </w:rPr>
        <w:t>Adler</w:t>
      </w:r>
      <w:hyperlink r:id="rId19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Der psychische Hermaphroditismus im Leben und in der Neurose, Fortschritte der Medizin 1910, Nr. 16, und spätere Arbeiten im Zentralblatt für Psychoanalyse I, 1910/11.</w:t>
        </w:r>
      </w:hyperlink>
      <w:r w:rsidRPr="00A06A59">
        <w:rPr>
          <w:rFonts w:ascii="Garamond" w:hAnsi="Garamond" w:cs="Arial"/>
          <w:color w:val="000000"/>
          <w:lang w:val="en-GB"/>
        </w:rPr>
        <w:t xml:space="preserve"> behaupten, scheint mir eine ebenso unbeweisbare wie unwahrscheinliche Verallgemeinerung, welche ich nicht vertreten möchte. Ich wüßte vor allem den Augenschein nicht wegzuschaffen, daß es zahlreiche Träume gibt, welche andere als – im weitesten Sinne – erotische Bedürfnisse befriedigen, die Hunger- und Durstträume, Bequemlichkeitsträume usw. Auch die ähnlichen Aufstellungen, »daß hinter jedem Traum die Todesklausel zu finden sei« ( </w:t>
      </w:r>
      <w:r w:rsidRPr="00A06A59">
        <w:rPr>
          <w:rFonts w:ascii="Garamond" w:hAnsi="Garamond" w:cs="Arial"/>
          <w:i/>
          <w:iCs/>
          <w:color w:val="000000"/>
          <w:lang w:val="en-GB"/>
        </w:rPr>
        <w:t>Stekel</w:t>
      </w:r>
      <w:r w:rsidRPr="00A06A59">
        <w:rPr>
          <w:rFonts w:ascii="Garamond" w:hAnsi="Garamond" w:cs="Arial"/>
          <w:color w:val="000000"/>
          <w:lang w:val="en-GB"/>
        </w:rPr>
        <w:t xml:space="preserve">), daß jeder Traum ein »Fortschreiten von der weiblichen zur männlichen Linie« erkennen lasse ( </w:t>
      </w:r>
      <w:r w:rsidRPr="00A06A59">
        <w:rPr>
          <w:rFonts w:ascii="Garamond" w:hAnsi="Garamond" w:cs="Arial"/>
          <w:i/>
          <w:iCs/>
          <w:color w:val="000000"/>
          <w:lang w:val="en-GB"/>
        </w:rPr>
        <w:t>Adler</w:t>
      </w:r>
      <w:r w:rsidRPr="00A06A59">
        <w:rPr>
          <w:rFonts w:ascii="Garamond" w:hAnsi="Garamond" w:cs="Arial"/>
          <w:color w:val="000000"/>
          <w:lang w:val="en-GB"/>
        </w:rPr>
        <w:t xml:space="preserve">), scheinen mir das Maß des in der Traumdeutung Zulässigen weit zu überschreiten. – Die Behauptung, daß </w:t>
      </w:r>
      <w:r w:rsidRPr="00A06A59">
        <w:rPr>
          <w:rFonts w:ascii="Garamond" w:hAnsi="Garamond" w:cs="Arial"/>
          <w:i/>
          <w:iCs/>
          <w:color w:val="000000"/>
          <w:lang w:val="en-GB"/>
        </w:rPr>
        <w:t>alle Träume eine sexuelle Deutung erfordern</w:t>
      </w:r>
      <w:r w:rsidRPr="00A06A59">
        <w:rPr>
          <w:rFonts w:ascii="Garamond" w:hAnsi="Garamond" w:cs="Arial"/>
          <w:color w:val="000000"/>
          <w:lang w:val="en-GB"/>
        </w:rPr>
        <w:t xml:space="preserve">, gegen welche in der Literatur unermüdlich polemisiert wird, ist meiner </w:t>
      </w:r>
      <w:r w:rsidRPr="00A06A59">
        <w:rPr>
          <w:rFonts w:ascii="Garamond" w:hAnsi="Garamond" w:cs="Arial"/>
          <w:i/>
          <w:iCs/>
          <w:color w:val="000000"/>
          <w:lang w:val="en-GB"/>
        </w:rPr>
        <w:t>Traumdeutung</w:t>
      </w:r>
      <w:r w:rsidRPr="00A06A59">
        <w:rPr>
          <w:rFonts w:ascii="Garamond" w:hAnsi="Garamond" w:cs="Arial"/>
          <w:color w:val="000000"/>
          <w:lang w:val="en-GB"/>
        </w:rPr>
        <w:t xml:space="preserve"> fremd. Sie ist in sieben Auflagen dieses Buches nicht zu finden und steht in greifbarem Widerspruch zu anderem Inhalt desselben.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Daß die auffällig </w:t>
      </w:r>
      <w:r w:rsidRPr="00A06A59">
        <w:rPr>
          <w:rFonts w:ascii="Garamond" w:hAnsi="Garamond" w:cs="Arial"/>
          <w:i/>
          <w:iCs/>
          <w:color w:val="000000"/>
          <w:lang w:val="en-GB"/>
        </w:rPr>
        <w:t>harmlosen</w:t>
      </w:r>
      <w:r w:rsidRPr="00A06A59">
        <w:rPr>
          <w:rFonts w:ascii="Garamond" w:hAnsi="Garamond" w:cs="Arial"/>
          <w:color w:val="000000"/>
          <w:lang w:val="en-GB"/>
        </w:rPr>
        <w:t xml:space="preserve"> Träume durchwegs grobe erotische Wünsche verkörpern, haben wir bereits an anderer Stelle behauptet und könnten wir durch zahlreiche neue Beispiele erhärten. Aber auch viele indifferent scheinende Träume, denen man nach keiner Richtung etwas Besonderes anmerken würde, führen sich nach der Analyse auf unzweifelhaft sexuelle Wunschregungen oft unerwarteter Art zurück. Wer würde z. B. bei nachfolgendem Traume einen sexuellen Wunsch vor der Deutungsarbeit vermuten? Der Träumer erzählt: </w:t>
      </w:r>
      <w:r w:rsidRPr="00A06A59">
        <w:rPr>
          <w:rFonts w:ascii="Garamond" w:hAnsi="Garamond" w:cs="Arial"/>
          <w:i/>
          <w:iCs/>
          <w:color w:val="000000"/>
          <w:lang w:val="en-GB"/>
        </w:rPr>
        <w:t>Zwischen zwei stattlichen Palästen steht etwas zurücktretend ein kleines Häuschen, dessen Tore geschlossen sind. Meine Frau führt mich das Stück der Straße bis zu dem Häuschen hin, drückt die Tür ein, und dann schlüpfe ich rasch und leicht in das Innere eines schräg aufsteigenden Hofes.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Wer einige Übung im Übersetzen von Träumen hat, wird allerdings sofort daran gemahnt werden, daß das Eindringen in enge Räume, das Öffnen verschlossener Türen zur gebräuchlichsten sexuellen Symbolik gehört, und wird mit Leichtigkeit in diesem Traume eine Darstellung eines Koitusversuches von rückwärts (zwischen den beiden stattlichen Hinterbacken des weiblichen Körpers) finden. Der enge, schräg aufsteigende Gang ist natürlich die Scheide; die der Frau des Träumers zugeschobene Hilfeleistung nötigt zur Deutung, daß in Wirklichkeit nur die Rücksicht auf die Ehefrau die Abhaltung von einem solchen Versuche besorgt, und eine Erkundigung ergibt, daß am Traumtag ein junges Mädchen in den Haushalt des Träumers eingetreten ist, welches sein Wohlgefallen erregt und ihm den Eindruck gemacht hat, als würde es sich gegen eine derartige Annäherung nicht zu sehr sträuben. Das kleine Haus zwischen den zwei Palästen ist von einer Reminiszenz an den Hradschin in Prag hergenommen und weist somit auf das nämliche aus dieser Stadt stammende Mädchen hin.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ich gegen Patienten die Häufigkeit des Ödipustraumes, mit der eigenen Mutter geschlechtlich zu verkehren, betone, so bekomme ich zur Antwort: Ich kann mich an einen solchen Traum nicht erinnern. Gleich darauf steigt aber die Erinnerung an einen anderen, unkenntlichen und indifferenten Traum auf, der sich bei dem Betreffenden häufig wiederholt hat, und die Analyse zeigt, daß dies ein Traum des gleichen Inhalts, nämlich wiederum ein Ödipustraum ist. Ich kann versichern, daß die verkappten Träume vom Sexualverkehre mit der Mutter um ein Vielfaches häufiger sind als die aufrichtigen. </w:t>
      </w:r>
      <w:hyperlink r:id="rId191"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Ein typisches Beispiel eines solchen verkappten Ödipustraumes habe ich in Nr. 1 des </w:t>
        </w:r>
        <w:r w:rsidRPr="00A06A59">
          <w:rPr>
            <w:rStyle w:val="innerfusslink3"/>
            <w:rFonts w:ascii="Garamond" w:hAnsi="Garamond" w:cs="Arial"/>
            <w:b/>
            <w:bCs/>
            <w:i/>
            <w:iCs/>
          </w:rPr>
          <w:t>Zentralblattes für Psychoanalyse</w:t>
        </w:r>
        <w:r w:rsidRPr="00A06A59">
          <w:rPr>
            <w:rStyle w:val="innerfusslink3"/>
            <w:rFonts w:ascii="Garamond" w:hAnsi="Garamond" w:cs="Arial"/>
            <w:b/>
            <w:bCs/>
          </w:rPr>
          <w:t xml:space="preserve"> veröffentlicht; ein anderes mit ausführlicher Deutung O. </w:t>
        </w:r>
        <w:r w:rsidRPr="00A06A59">
          <w:rPr>
            <w:rStyle w:val="innerfusslink3"/>
            <w:rFonts w:ascii="Garamond" w:hAnsi="Garamond" w:cs="Arial"/>
            <w:b/>
            <w:bCs/>
            <w:i/>
            <w:iCs/>
          </w:rPr>
          <w:t>Rank</w:t>
        </w:r>
        <w:r w:rsidRPr="00A06A59">
          <w:rPr>
            <w:rStyle w:val="innerfusslink3"/>
            <w:rFonts w:ascii="Garamond" w:hAnsi="Garamond" w:cs="Arial"/>
            <w:b/>
            <w:bCs/>
          </w:rPr>
          <w:t xml:space="preserve"> (1911). Über andere verkappte Ödipusträume, in denen die Symbolik des Auges hervortritt, siehe </w:t>
        </w:r>
        <w:r w:rsidRPr="00A06A59">
          <w:rPr>
            <w:rStyle w:val="innerfusslink3"/>
            <w:rFonts w:ascii="Garamond" w:hAnsi="Garamond" w:cs="Arial"/>
            <w:b/>
            <w:bCs/>
            <w:i/>
            <w:iCs/>
          </w:rPr>
          <w:t>Rank</w:t>
        </w:r>
        <w:r w:rsidRPr="00A06A59">
          <w:rPr>
            <w:rStyle w:val="innerfusslink3"/>
            <w:rFonts w:ascii="Garamond" w:hAnsi="Garamond" w:cs="Arial"/>
            <w:b/>
            <w:bCs/>
          </w:rPr>
          <w:t xml:space="preserve"> (1913). Daselbst auch Arbeiten über »Augenträume« und Augensymbolik von </w:t>
        </w:r>
        <w:r w:rsidRPr="00A06A59">
          <w:rPr>
            <w:rStyle w:val="innerfusslink3"/>
            <w:rFonts w:ascii="Garamond" w:hAnsi="Garamond" w:cs="Arial"/>
            <w:b/>
            <w:bCs/>
            <w:i/>
            <w:iCs/>
          </w:rPr>
          <w:t>Eder</w:t>
        </w:r>
        <w:r w:rsidRPr="00A06A59">
          <w:rPr>
            <w:rStyle w:val="innerfusslink3"/>
            <w:rFonts w:ascii="Garamond" w:hAnsi="Garamond" w:cs="Arial"/>
            <w:b/>
            <w:bCs/>
          </w:rPr>
          <w:t xml:space="preserve">, </w:t>
        </w:r>
        <w:r w:rsidRPr="00A06A59">
          <w:rPr>
            <w:rStyle w:val="innerfusslink3"/>
            <w:rFonts w:ascii="Garamond" w:hAnsi="Garamond" w:cs="Arial"/>
            <w:b/>
            <w:bCs/>
            <w:i/>
            <w:iCs/>
          </w:rPr>
          <w:t>Ferenczi</w:t>
        </w:r>
        <w:r w:rsidRPr="00A06A59">
          <w:rPr>
            <w:rStyle w:val="innerfusslink3"/>
            <w:rFonts w:ascii="Garamond" w:hAnsi="Garamond" w:cs="Arial"/>
            <w:b/>
            <w:bCs/>
          </w:rPr>
          <w:t xml:space="preserve">, </w:t>
        </w:r>
        <w:r w:rsidRPr="00A06A59">
          <w:rPr>
            <w:rStyle w:val="innerfusslink3"/>
            <w:rFonts w:ascii="Garamond" w:hAnsi="Garamond" w:cs="Arial"/>
            <w:b/>
            <w:bCs/>
            <w:i/>
            <w:iCs/>
          </w:rPr>
          <w:t>Reitler</w:t>
        </w:r>
        <w:r w:rsidRPr="00A06A59">
          <w:rPr>
            <w:rStyle w:val="innerfusslink3"/>
            <w:rFonts w:ascii="Garamond" w:hAnsi="Garamond" w:cs="Arial"/>
            <w:b/>
            <w:bCs/>
          </w:rPr>
          <w:t xml:space="preserve">. </w:t>
        </w:r>
        <w:r w:rsidRPr="00A06A59">
          <w:rPr>
            <w:rStyle w:val="innerfusslink3"/>
            <w:rFonts w:ascii="Garamond" w:hAnsi="Garamond" w:cs="Arial"/>
            <w:b/>
            <w:bCs/>
            <w:lang w:val="en-GB"/>
          </w:rPr>
          <w:t xml:space="preserve">Die Blendung in der Ödipussage wie anderwärts als Stellvertretung der Kastration. Den Alten war übrigens auch die symbolische Deutung der unverhüllten Ödipusträume nicht fremd. (Vgl. O.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xml:space="preserve">, Jahrb. II, p. 534): »So ist von Julius Cäsar ein Traum vom geschlechtlichen Verkehr mit der Mutter überliefert, den die Traumdeuter als günstiges Vorzeichen für die Besitzergreifung der Erde ( </w:t>
        </w:r>
        <w:r w:rsidRPr="00A06A59">
          <w:rPr>
            <w:rStyle w:val="innerfusslink3"/>
            <w:rFonts w:ascii="Garamond" w:hAnsi="Garamond" w:cs="Arial"/>
            <w:b/>
            <w:bCs/>
            <w:i/>
            <w:iCs/>
            <w:lang w:val="en-GB"/>
          </w:rPr>
          <w:t>Mutter – Erde</w:t>
        </w:r>
        <w:r w:rsidRPr="00A06A59">
          <w:rPr>
            <w:rStyle w:val="innerfusslink3"/>
            <w:rFonts w:ascii="Garamond" w:hAnsi="Garamond" w:cs="Arial"/>
            <w:b/>
            <w:bCs/>
            <w:lang w:val="en-GB"/>
          </w:rPr>
          <w:t xml:space="preserve">) auslegten. Ebenso bekannt ist das den Tarquiniern gegebene Orakel, demjenigen von ihnen werde </w:t>
        </w:r>
        <w:r w:rsidRPr="00A06A59">
          <w:rPr>
            <w:rStyle w:val="innerfusslink3"/>
            <w:rFonts w:ascii="Garamond" w:hAnsi="Garamond" w:cs="Arial"/>
            <w:b/>
            <w:bCs/>
            <w:lang w:val="en-GB"/>
          </w:rPr>
          <w:lastRenderedPageBreak/>
          <w:t xml:space="preserve">die Herrschaft Roms zufallen, der zuerst die </w:t>
        </w:r>
        <w:r w:rsidRPr="00A06A59">
          <w:rPr>
            <w:rStyle w:val="innerfusslink3"/>
            <w:rFonts w:ascii="Garamond" w:hAnsi="Garamond" w:cs="Arial"/>
            <w:b/>
            <w:bCs/>
            <w:i/>
            <w:iCs/>
            <w:lang w:val="en-GB"/>
          </w:rPr>
          <w:t>Mutter küsse</w:t>
        </w:r>
        <w:r w:rsidRPr="00A06A59">
          <w:rPr>
            <w:rStyle w:val="innerfusslink3"/>
            <w:rFonts w:ascii="Garamond" w:hAnsi="Garamond" w:cs="Arial"/>
            <w:b/>
            <w:bCs/>
            <w:lang w:val="en-GB"/>
          </w:rPr>
          <w:t xml:space="preserve"> ( </w:t>
        </w:r>
        <w:r w:rsidRPr="00A06A59">
          <w:rPr>
            <w:rStyle w:val="innerfusslink3"/>
            <w:rFonts w:ascii="Garamond" w:hAnsi="Garamond" w:cs="Arial"/>
            <w:b/>
            <w:bCs/>
            <w:i/>
            <w:iCs/>
            <w:lang w:val="en-GB"/>
          </w:rPr>
          <w:t>osculum matri tulerit</w:t>
        </w:r>
        <w:r w:rsidRPr="00A06A59">
          <w:rPr>
            <w:rStyle w:val="innerfusslink3"/>
            <w:rFonts w:ascii="Garamond" w:hAnsi="Garamond" w:cs="Arial"/>
            <w:b/>
            <w:bCs/>
            <w:lang w:val="en-GB"/>
          </w:rPr>
          <w:t xml:space="preserve">), was Brutus als Hinweis auf die </w:t>
        </w:r>
        <w:r w:rsidRPr="00A06A59">
          <w:rPr>
            <w:rStyle w:val="innerfusslink3"/>
            <w:rFonts w:ascii="Garamond" w:hAnsi="Garamond" w:cs="Arial"/>
            <w:b/>
            <w:bCs/>
            <w:i/>
            <w:iCs/>
            <w:lang w:val="en-GB"/>
          </w:rPr>
          <w:t>Mutter-Erde</w:t>
        </w:r>
        <w:r w:rsidRPr="00A06A59">
          <w:rPr>
            <w:rStyle w:val="innerfusslink3"/>
            <w:rFonts w:ascii="Garamond" w:hAnsi="Garamond" w:cs="Arial"/>
            <w:b/>
            <w:bCs/>
            <w:lang w:val="en-GB"/>
          </w:rPr>
          <w:t xml:space="preserve"> auffaßte ( </w:t>
        </w:r>
        <w:r w:rsidRPr="00A06A59">
          <w:rPr>
            <w:rStyle w:val="innerfusslink3"/>
            <w:rFonts w:ascii="Garamond" w:hAnsi="Garamond" w:cs="Arial"/>
            <w:b/>
            <w:bCs/>
            <w:i/>
            <w:iCs/>
            <w:lang w:val="en-GB"/>
          </w:rPr>
          <w:t>terram osculo contigit, scilicet quod ea communis mater omnium mortalium esset.</w:t>
        </w:r>
        <w:r w:rsidRPr="00A06A59">
          <w:rPr>
            <w:rStyle w:val="innerfusslink3"/>
            <w:rFonts w:ascii="Garamond" w:hAnsi="Garamond" w:cs="Arial"/>
            <w:b/>
            <w:bCs/>
            <w:lang w:val="en-GB"/>
          </w:rPr>
          <w:t xml:space="preserve"> Livius I, LVI). Vgl. hiezu den Traum des Hippias bei Herodot VI, 107: »Die Barbaren aber führte Hippias nach Marathon, nachdem er in der vergangenen Nacht folgendes Traumgesicht gehabt: Es deuchte dem Hippias, er schliefe bei seiner eigenen Mutter. Aus diesem Traume schloß er nun, er würde heimkommen nach Athen und seine Herrschaft wieder erhalten und im Vaterlande sterben in seinen alten Tagen.« Diese Mythen und Deutungen weisen auf eine richtige psychologische Erkenntnis hin. Ich habe gefunden, daß die Personen, die sich von der Mutter bevorzugt oder ausgezeichnet wissen, im Leben jene besondere Zuversicht zu sich selbst, jenen unerschütterlichen Optimismus bekunden, die nicht selten als heldenhaft erscheinen und den wirklichen Erfolg erzwingen.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Typisches Beispiel eines verkappten Ödipustraumes: </w:t>
        </w:r>
        <w:r w:rsidRPr="00A06A59">
          <w:rPr>
            <w:rFonts w:ascii="Garamond" w:hAnsi="Garamond" w:cs="Arial"/>
            <w:b/>
            <w:bCs/>
            <w:color w:val="000000"/>
            <w:lang w:val="en-GB"/>
          </w:rPr>
          <w:br/>
        </w:r>
        <w:r w:rsidRPr="00A06A59">
          <w:rPr>
            <w:rFonts w:ascii="Garamond" w:hAnsi="Garamond" w:cs="Arial"/>
            <w:b/>
            <w:bCs/>
            <w:color w:val="000000"/>
            <w:lang w:val="en-GB"/>
          </w:rPr>
          <w:br/>
        </w:r>
        <w:r w:rsidRPr="00A06A59">
          <w:rPr>
            <w:rStyle w:val="innerfusslink3"/>
            <w:rFonts w:ascii="Garamond" w:hAnsi="Garamond" w:cs="Arial"/>
            <w:b/>
            <w:bCs/>
            <w:lang w:val="en-GB"/>
          </w:rPr>
          <w:t xml:space="preserve">Ein Mann träumt: </w:t>
        </w:r>
        <w:r w:rsidRPr="00A06A59">
          <w:rPr>
            <w:rStyle w:val="innerfusslink3"/>
            <w:rFonts w:ascii="Garamond" w:hAnsi="Garamond" w:cs="Arial"/>
            <w:b/>
            <w:bCs/>
            <w:i/>
            <w:iCs/>
            <w:lang w:val="en-GB"/>
          </w:rPr>
          <w:t>Er hat ein geheimes Verhältnis mit einer Dame, die ein anderer heiraten will. Er ist besorgt, daß dieser andere das Verhältnis entdecken könnte, so daß aus der Heirat nichts werde, und benimmt sich darum sehr zärtlich gegen den Mann; er schmiegt sich an ihn und küßt ihn.</w:t>
        </w:r>
        <w:r w:rsidRPr="00A06A59">
          <w:rPr>
            <w:rStyle w:val="innerfusslink3"/>
            <w:rFonts w:ascii="Garamond" w:hAnsi="Garamond" w:cs="Arial"/>
            <w:b/>
            <w:bCs/>
            <w:lang w:val="en-GB"/>
          </w:rPr>
          <w:t xml:space="preserve"> Die Tatsachen im Leben des Träumers berühren den Inhalt dieses Traumes nur in einem Punkte. Er unterhält ein geheimes Verhältnis mit einer verheirateten Frau, und eine vieldeutige Äußerung ihres Mannes, mit dem er befreundet ist, hat den Verdacht bei ihm geweckt, daß dieser etwas gemerkt haben könnte. Aber in der Wirklichkeit spielt noch etwas anderes mit, dessen Erwähnung im Traume vermieden wird und das doch allein den Schlüssel zum Verständnis des Traumes gibt. Das Leben des Ehemannes ist durch ein organisches Leiden bedroht. Seine Frau ist auf die Möglichkeit seines plötzlichen Todes vorbereitet, und unser Träumer beschäftigt sich bewußt mit dem Vorsatze, nach dem Hinscheiden des Mannes die junge Witwe zur Frau zu nehmen. Durch diese äußere Situation findet sich der Träumer in die Konstellation des Ödipustraumes versetzt; sein Wunsch kann den Mann töten, um die Frau zum Weib zu gewinnen; sein Traum gibt diesem Wunsch in heuchlerischer Entstellung Ausdruck. Anstatt des Verheiratetseins mit dem anderen setzt er ein, daß ein anderer sie erst heiraten will, was seiner eigenen geheimen Absicht entspricht, und die feindseligen Wünsche gegen den Mann verbergen sich hinter demonstrativen Zärtlichkeiten, die aus der Erinnerung an seinen kindlichen Verkehr mit dem Vater stammen.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gibt Träume von Landschaften oder Örtlichkeiten, bei denen im Traume noch die Sicherheit betont wird: Da war ich schon einmal. </w:t>
      </w:r>
      <w:r w:rsidRPr="00A06A59">
        <w:rPr>
          <w:rFonts w:ascii="Garamond" w:hAnsi="Garamond" w:cs="Arial"/>
          <w:color w:val="000000"/>
        </w:rPr>
        <w:t xml:space="preserve">Dieses » </w:t>
      </w:r>
      <w:r w:rsidRPr="00A06A59">
        <w:rPr>
          <w:rFonts w:ascii="Garamond" w:hAnsi="Garamond" w:cs="Arial"/>
          <w:i/>
          <w:iCs/>
          <w:color w:val="000000"/>
        </w:rPr>
        <w:t>déjà vu</w:t>
      </w:r>
      <w:r w:rsidRPr="00A06A59">
        <w:rPr>
          <w:rFonts w:ascii="Garamond" w:hAnsi="Garamond" w:cs="Arial"/>
          <w:color w:val="000000"/>
        </w:rPr>
        <w:t xml:space="preserve">« hat aber im Traum eine besondere Bedeutung. </w:t>
      </w:r>
      <w:r w:rsidRPr="00A06A59">
        <w:rPr>
          <w:rFonts w:ascii="Garamond" w:hAnsi="Garamond" w:cs="Arial"/>
          <w:color w:val="000000"/>
          <w:lang w:val="en-GB"/>
        </w:rPr>
        <w:t xml:space="preserve">Diese Örtlichkeit ist dann immer das Genitale der Mutter; in der Tat kann man von keiner anderen mit solcher Sicherheit behaupten, daß man »dort schon einmal war«. Ein einziges Mal brachte mich ein Zwangsneurotiker durch die Mitteilung eines Traumes in Verlegenheit, in dem es hieß, er besuche eine Wohnung, in der er schon </w:t>
      </w:r>
      <w:r w:rsidRPr="00A06A59">
        <w:rPr>
          <w:rFonts w:ascii="Garamond" w:hAnsi="Garamond" w:cs="Arial"/>
          <w:i/>
          <w:iCs/>
          <w:color w:val="000000"/>
          <w:lang w:val="en-GB"/>
        </w:rPr>
        <w:t>zweimal</w:t>
      </w:r>
      <w:r w:rsidRPr="00A06A59">
        <w:rPr>
          <w:rFonts w:ascii="Garamond" w:hAnsi="Garamond" w:cs="Arial"/>
          <w:color w:val="000000"/>
          <w:lang w:val="en-GB"/>
        </w:rPr>
        <w:t xml:space="preserve"> gewesen sei. Gerade dieser Patient hatte mir aber längere Zeit vorher als Begebenheit aus seinem sechsten Lebensjahre erzählt, er habe damals einmal das Bett der Mutter geteilt und die Gelegenheit dazu mißbraucht, den Finger ins Genitale der Schlafenden einzuführen.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Einer großen Anzahl von Träumen, die häufig angsterfüllt sind, oft das Passieren von engen Räumen oder den Aufenthalt im Wasser zum Inhalt haben, liegen Phantasien über das Intrauterinleben, das Verweilen im Mutterleibe und den Geburtstakt zugrunde. Im folgenden gebe ich den Traum eines jungen Mannes wieder, der in der Phantasie schon die intrauterine Gelegenheit zur Belauschung eines Koitus zwischen den Eltern benutzt.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Er befindet sich in einem tiefen Schacht, in dem ein Fenster ist wie im Semmeringtunnel. Durch dieses sieht er zuerst leere Landschaft, und dann komponiert er ein Bild hinein, welches dann auch sofort da ist und die Leere ausfüllt. Das Bild stellt einen Acker dar, der vom Instrument tief aufgewühlt wird, und die schöne Luft, die Idee der gründlichenArbeit, die dabei ist, die blauschwarzen Schollen machen einen schönen Eindruck. Dann kommt er weiter, sieht eine Pädagogik aufgeschlagen ... und wundert sich, daß den sexuellen Gefühlen (des Kindes) darin so viel Aufmerksamkeit geschenkt wird, wobei er an mich denken muß.</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schöner Wassertraum einer Patientin, der zu einer besonderen Verwendung in der Kur gelangte, ist folgender: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In ihrem Sommeraufenthalt am **See stürzt sie sich ins dunkle Wasser, dort, wo sich der blasse Mond im Wasser spiegelt.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Träume dieser Art sind Geburtsträume; zu ihrer Deutung gelangt man, wenn man die im manifesten Traume mitgeteilte Tatsache umkehrt, also anstatt: sich ins Wasser stürzen aus dem Wasser herauskommen, d. h.: geboren werden </w:t>
      </w:r>
      <w:hyperlink r:id="rId19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Über die mythologische Bedeutung der Wassergeburt siehe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xml:space="preserve"> Der Mythus von der Geburt des Helden, 1909.</w:t>
        </w:r>
      </w:hyperlink>
      <w:r w:rsidRPr="00A06A59">
        <w:rPr>
          <w:rFonts w:ascii="Garamond" w:hAnsi="Garamond" w:cs="Arial"/>
          <w:color w:val="000000"/>
          <w:lang w:val="en-GB"/>
        </w:rPr>
        <w:t xml:space="preserve">. Die Lokalität, aus der man geboren wird, erkennt man, wenn man an den mutwilligen Sinn von » </w:t>
      </w:r>
      <w:r w:rsidRPr="00A06A59">
        <w:rPr>
          <w:rFonts w:ascii="Garamond" w:hAnsi="Garamond" w:cs="Arial"/>
          <w:i/>
          <w:iCs/>
          <w:color w:val="000000"/>
          <w:lang w:val="en-GB"/>
        </w:rPr>
        <w:t>la lune</w:t>
      </w:r>
      <w:r w:rsidRPr="00A06A59">
        <w:rPr>
          <w:rFonts w:ascii="Garamond" w:hAnsi="Garamond" w:cs="Arial"/>
          <w:color w:val="000000"/>
          <w:lang w:val="en-GB"/>
        </w:rPr>
        <w:t xml:space="preserve">« im Französischen denkt. Der blasse Mond ist dann der weiße Popo, aus dem das Kind </w:t>
      </w:r>
      <w:r w:rsidRPr="00A06A59">
        <w:rPr>
          <w:rFonts w:ascii="Garamond" w:hAnsi="Garamond" w:cs="Arial"/>
          <w:color w:val="000000"/>
          <w:lang w:val="en-GB"/>
        </w:rPr>
        <w:lastRenderedPageBreak/>
        <w:t xml:space="preserve">hergekommen zu sein bald errät. Was soll es nun heißen, daß die Patientin sich wünscht, in ihrem Sommeraufenthalt »geboren zu werden«? Ich befrage die Träumerin, die ohne zu zögern antwortet: Bin ich nicht durch die Kur wie </w:t>
      </w:r>
      <w:r w:rsidRPr="00A06A59">
        <w:rPr>
          <w:rFonts w:ascii="Garamond" w:hAnsi="Garamond" w:cs="Arial"/>
          <w:i/>
          <w:iCs/>
          <w:color w:val="000000"/>
          <w:lang w:val="en-GB"/>
        </w:rPr>
        <w:t>neugeboren?</w:t>
      </w:r>
      <w:r w:rsidRPr="00A06A59">
        <w:rPr>
          <w:rFonts w:ascii="Garamond" w:hAnsi="Garamond" w:cs="Arial"/>
          <w:color w:val="000000"/>
          <w:lang w:val="en-GB"/>
        </w:rPr>
        <w:t xml:space="preserve"> So wird dieser Traum zur Einladung, die Behandlung an jenem Sommerorte fortzusetzen, d. h. sie dort zu besuchen; er enthält vielleicht auch eine ganz schüchterne Andeutung des Wunsches, selbst Mutter zu werden </w:t>
      </w:r>
      <w:hyperlink r:id="rId193"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 Bedeutung der Phantasien und unbewußten Gedanken über das Leben im Mutterleibe habe ich erst spät würdigen gelernt. Sie enthalten sowohl die Aufklärung für die sonderbare Angst so vieler Menschen, lebendig begraben zu werden, als auch die tiefste unbewußte Begründung des Glaubens an ein Fortleben nach dem Tode, welches nur die Projektion in die Zukunft dieses unheimlichen Lebens vor der Geburt darstellt. </w:t>
        </w:r>
        <w:r w:rsidRPr="00A06A59">
          <w:rPr>
            <w:rStyle w:val="innerfusslink3"/>
            <w:rFonts w:ascii="Garamond" w:hAnsi="Garamond" w:cs="Arial"/>
            <w:b/>
            <w:bCs/>
            <w:i/>
            <w:iCs/>
            <w:lang w:val="en-GB"/>
          </w:rPr>
          <w:t>Der Geburtsakt ist übrigens das erste Angsterlebnis und somit Quelle und Vorbild des Angstaffekts.</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Einen anderen Geburtstraum entnehme ich samt seiner Deutung einer Arbeit von E. </w:t>
      </w:r>
      <w:r w:rsidRPr="00A06A59">
        <w:rPr>
          <w:rFonts w:ascii="Garamond" w:hAnsi="Garamond" w:cs="Arial"/>
          <w:i/>
          <w:iCs/>
          <w:color w:val="000000"/>
          <w:lang w:val="en-GB"/>
        </w:rPr>
        <w:t>Jones</w:t>
      </w:r>
      <w:r w:rsidRPr="00A06A59">
        <w:rPr>
          <w:rFonts w:ascii="Garamond" w:hAnsi="Garamond" w:cs="Arial"/>
          <w:color w:val="000000"/>
          <w:lang w:val="en-GB"/>
        </w:rPr>
        <w:t xml:space="preserve">: » </w:t>
      </w:r>
      <w:r w:rsidRPr="00A06A59">
        <w:rPr>
          <w:rFonts w:ascii="Garamond" w:hAnsi="Garamond" w:cs="Arial"/>
          <w:i/>
          <w:iCs/>
          <w:color w:val="000000"/>
          <w:lang w:val="en-GB"/>
        </w:rPr>
        <w:t>Sie stand am Meeresufer und beaufsichtigte einen kleinen Knaben, welcher der ihrige zu sein schien, während er ins Wasser watete. Dies tat er so weit, bis das Wasser ihn bedeckte, so daß sie nur noch seinen Kopf sehen konnte, wie er sich an der Oberfläche auf und nieder bewegte. Die Szene verwandelte sich dann in die gefüllte Halle eines Hotels. Ihr Gatte verließ sie, und sie trat in ein Gespräch mit einem Fremden.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zweite Hälfte des Traumes enthüllte sich ohne weiteres bei der Analyse als Darstellung einer Flucht von ihrem Gatten und Anknüpfung intimer Beziehungen zu einer dritten Person. Der erste Teil des Traumes war eine offenkundige Geburtsphantasie. In den Träumen wie in der Mythologie wird die Entbindung eines Kindes aus dem Fruchtwasser gewöhnlich mittels Umkehrung als Eintritt des Kindes ins Wasser dargestellt; neben vielen anderen bieten die Geburt des Adonis, Osiris, Moses und Bacchus gut bekannte Beispiele hiefür. Das Auf- und Niedertauchen des Kopfes im Wasser erinnert die Patientin sogleich an die Empfindung der Kindesbewegungen, welche sie während ihrer einzigen Schwangerschaft kennengelernt hatte. Der Gedanke an den ins Wasser steigenden Knaben erweckt eine Träumerei, in welcher sie sich selbst sah, wie sie ihn aus dem Wasser herauszog, ihn in die Kinderstube führte, ihn wusch und kleidete und schließlich in ihr Haus führte.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zweite Hälfte des Traumes stellt also Gedanken dar, welche das Fortlaufen betreffen, das zu der ersten Hälfte der verborgenen Traumgedanken in Beziehung steht; die erste Hälfte des Traumes entspricht dem latenten Inhalt der zweiten Hälfte, der Geburtsphantasie. Außer der früher erwähnten Umkehrung greifen weitere Umkehrungen in jeder Hälfte des Traumes Platz. In der ersten Hälfte geht das Kind </w:t>
      </w:r>
      <w:r w:rsidRPr="00A06A59">
        <w:rPr>
          <w:rFonts w:ascii="Garamond" w:hAnsi="Garamond" w:cs="Arial"/>
          <w:i/>
          <w:iCs/>
          <w:color w:val="000000"/>
          <w:lang w:val="en-GB"/>
        </w:rPr>
        <w:t>in das Wasser</w:t>
      </w:r>
      <w:r w:rsidRPr="00A06A59">
        <w:rPr>
          <w:rFonts w:ascii="Garamond" w:hAnsi="Garamond" w:cs="Arial"/>
          <w:color w:val="000000"/>
          <w:lang w:val="en-GB"/>
        </w:rPr>
        <w:t xml:space="preserve"> und dann baumelt sein Kopf; in den zugrundeliegenden Traumgedanken tauchen erst die Kindesbewegungen auf, und dann </w:t>
      </w:r>
      <w:r w:rsidRPr="00A06A59">
        <w:rPr>
          <w:rFonts w:ascii="Garamond" w:hAnsi="Garamond" w:cs="Arial"/>
          <w:i/>
          <w:iCs/>
          <w:color w:val="000000"/>
          <w:lang w:val="en-GB"/>
        </w:rPr>
        <w:t>verläßt</w:t>
      </w:r>
      <w:r w:rsidRPr="00A06A59">
        <w:rPr>
          <w:rFonts w:ascii="Garamond" w:hAnsi="Garamond" w:cs="Arial"/>
          <w:color w:val="000000"/>
          <w:lang w:val="en-GB"/>
        </w:rPr>
        <w:t xml:space="preserve"> das Kind das Wasser (eine doppelte Umkehrung). In der zweiten Hälfte verläßt ihr Gatte sie; in den Traumgedanken verläßt sie ihren Gatten.« (Übersetzt von O. </w:t>
      </w:r>
      <w:r w:rsidRPr="00A06A59">
        <w:rPr>
          <w:rFonts w:ascii="Garamond" w:hAnsi="Garamond" w:cs="Arial"/>
          <w:i/>
          <w:iCs/>
          <w:color w:val="000000"/>
          <w:lang w:val="en-GB"/>
        </w:rPr>
        <w:t>Rank</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Einen weiteren Geburtstraum erzählt Abraham von einer jungen, ihrer ersten Entbindung entgegensehenden Frau. Von einer Stelle des Fußbodens im Zimmer führt ein unterirdischer Kanal direkt ins Wasser (Geburtsweg – Fruchtwasser). Sie hebt eine Klappe im Fußboden auf, und sogleich erscheint ein in einen bräunlichen Pelz gekleidetes Geschöpf, das beinahe einem Seehund gleicht. Dieses Wesen entpuppt sich als der jüngere Bruder der Träumerin, zu dem sie von jeher in einem mütterlichen Verhältnisse gestanden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Rank</w:t>
      </w:r>
      <w:r w:rsidRPr="00A06A59">
        <w:rPr>
          <w:rFonts w:ascii="Garamond" w:hAnsi="Garamond" w:cs="Arial"/>
          <w:color w:val="000000"/>
          <w:lang w:val="en-GB"/>
        </w:rPr>
        <w:t xml:space="preserve"> hat an einer Reihe von Träumen gezeigt, daß die Geburtsträume sich derselben Symbolik bedienen wie die Harnreizträume. Der erotische Reiz wird in ihnen als Harnreiz dargestellt; die Schichtung der Bedeutung in diesen Träumen entspricht einem Bedeutungswandel des Symbols seit der Kindheit.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dürfen hier auf das Thema zurückgreifen, das wir (S. 165) abgebrochen hatten, auf die Rolle organischer, schlafstörender Reize für die Traumbildung. Träume, die unter diesen Einflüssen zustande gekommen sind, zeigen uns nicht nur die Wunscherfüllungstendenz und den Bequemlichkeitscharakter ganz offen, sondern sehr häufig auch eine völlig durchsichtige Symbolik, da nicht selten ein Reiz zum Erwachen führt, </w:t>
      </w:r>
      <w:r w:rsidRPr="00A06A59">
        <w:rPr>
          <w:rFonts w:ascii="Garamond" w:hAnsi="Garamond" w:cs="Arial"/>
          <w:i/>
          <w:iCs/>
          <w:color w:val="000000"/>
          <w:lang w:val="en-GB"/>
        </w:rPr>
        <w:t>dessen Befriedigung in symbolischer Einkleidung im Traume bereits vergeblich versucht worden war</w:t>
      </w:r>
      <w:r w:rsidRPr="00A06A59">
        <w:rPr>
          <w:rFonts w:ascii="Garamond" w:hAnsi="Garamond" w:cs="Arial"/>
          <w:color w:val="000000"/>
          <w:lang w:val="en-GB"/>
        </w:rPr>
        <w:t>. Dies gilt für die Pollutionsträume wie für die durch Harn- und Stuhldrang ausgelösten. »Der eigentümliche Charakter der Pollutionsträume gestattet uns nicht nur, gewisse, bereits als typisch erkannte, aber doch heftig bestrittene Sexualsymbole direkt zu entlarven, sondern vermag uns auch zu überzeugen, daß manche scheinbar harmlose Traumsituation auch nur das symbolische Vorspiel einer grob sexuellen Szene ist, die jedoch meistens nur in den relativ seltenen Pollutionsträumen zu direkter Darstellung gelangt, während sie oft genug in einen Angsttraum umschlägt, der gleichfalls zum Erwachen führt.«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Symbolik der </w:t>
      </w:r>
      <w:r w:rsidRPr="00A06A59">
        <w:rPr>
          <w:rFonts w:ascii="Garamond" w:hAnsi="Garamond" w:cs="Arial"/>
          <w:i/>
          <w:iCs/>
          <w:color w:val="000000"/>
          <w:lang w:val="en-GB"/>
        </w:rPr>
        <w:t>Harnreizträume</w:t>
      </w:r>
      <w:r w:rsidRPr="00A06A59">
        <w:rPr>
          <w:rFonts w:ascii="Garamond" w:hAnsi="Garamond" w:cs="Arial"/>
          <w:color w:val="000000"/>
          <w:lang w:val="en-GB"/>
        </w:rPr>
        <w:t xml:space="preserve"> ist besonders durchsichtig und seit jeher erraten worden. Schon Hippokrates vertrat die Auffassung, daß es eine Störung der Blase bedeutet, wenn man von Fontänen und Brunnen träumt (H. </w:t>
      </w:r>
      <w:r w:rsidRPr="00A06A59">
        <w:rPr>
          <w:rFonts w:ascii="Garamond" w:hAnsi="Garamond" w:cs="Arial"/>
          <w:i/>
          <w:iCs/>
          <w:color w:val="000000"/>
          <w:lang w:val="en-GB"/>
        </w:rPr>
        <w:t>Ellis</w:t>
      </w:r>
      <w:r w:rsidRPr="00A06A59">
        <w:rPr>
          <w:rFonts w:ascii="Garamond" w:hAnsi="Garamond" w:cs="Arial"/>
          <w:color w:val="000000"/>
          <w:lang w:val="en-GB"/>
        </w:rPr>
        <w:t xml:space="preserve">). </w:t>
      </w:r>
      <w:r w:rsidRPr="00A06A59">
        <w:rPr>
          <w:rFonts w:ascii="Garamond" w:hAnsi="Garamond" w:cs="Arial"/>
          <w:i/>
          <w:iCs/>
          <w:color w:val="000000"/>
          <w:lang w:val="en-GB"/>
        </w:rPr>
        <w:t>Scherner</w:t>
      </w:r>
      <w:r w:rsidRPr="00A06A59">
        <w:rPr>
          <w:rFonts w:ascii="Garamond" w:hAnsi="Garamond" w:cs="Arial"/>
          <w:color w:val="000000"/>
          <w:lang w:val="en-GB"/>
        </w:rPr>
        <w:t xml:space="preserve"> hat die Mannigfaltigkeit der Harnreizsymbolik studiert und auch bereits behauptet, daß »der stärkere Harnreiz stets in die Reizung der Geschlechtssphäre und deren symbolische Gebilde umschlägt ... Der Harnreiztraum ist oft der Repräsentant des Geschlechtstraumes zugleich.«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O. </w:t>
      </w:r>
      <w:r w:rsidRPr="00A06A59">
        <w:rPr>
          <w:rFonts w:ascii="Garamond" w:hAnsi="Garamond" w:cs="Arial"/>
          <w:i/>
          <w:iCs/>
          <w:color w:val="000000"/>
          <w:lang w:val="en-GB"/>
        </w:rPr>
        <w:t>Rank</w:t>
      </w:r>
      <w:r w:rsidRPr="00A06A59">
        <w:rPr>
          <w:rFonts w:ascii="Garamond" w:hAnsi="Garamond" w:cs="Arial"/>
          <w:color w:val="000000"/>
          <w:lang w:val="en-GB"/>
        </w:rPr>
        <w:t xml:space="preserve">, dessen Ausführungen in seiner Arbeit über die Symbolschichtung im Wecktraum ich hier gefolgt bin, hat es sehr wahrscheinlich gemacht, daß eine große Anzahl von »Harnreizträumen« eigentlich durch sexuellen Reiz verursacht werden, der sich zunächst auf dem Wege der Regression in der infantilen Form der Urethralerotik zu befriedigen sucht. Besonders lehrreich sind dann jene Fälle, in denen der so hergestellte Harnreiz zum Erwachen und zur Blasenentleerung führt, worauf aber trotzdem der Traum fortgesetzt wird und sein Bedürfnis nun in unverhüllten erotischen Bildern äußert </w:t>
      </w:r>
      <w:hyperlink r:id="rId194"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 gleichen Symboldarstellungen, die im infantilen Sinne dem vesikalen Traume zugrunde liegen, erscheinen im rezenten Sinne in exquisit sexueller Bedeutung: Wasser = Urin = Sperma = Geburtswasser; Schiff = schiffen (urinieren) = Fruchtbehälter (Kasten); naß werden = Enuresis = Koitus = Gravidität; schwimmen = Urinfülle = Aufenthalt des Ungeborenen; Regen = Urinieren = Befruchtungssymbol; Reisen (fahren = Aussteigen) = Aufstehen aus dem Bett = Geschlechtlich verkehren (fahren, Hochzeitsreise); Urinieren = sexuelle Entleerung (Pollution).« (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l. c.)</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ganz analoger Weise decken die </w:t>
      </w:r>
      <w:r w:rsidRPr="00A06A59">
        <w:rPr>
          <w:rFonts w:ascii="Garamond" w:hAnsi="Garamond" w:cs="Arial"/>
          <w:i/>
          <w:iCs/>
          <w:color w:val="000000"/>
          <w:lang w:val="en-GB"/>
        </w:rPr>
        <w:t>Darmreizträume</w:t>
      </w:r>
      <w:r w:rsidRPr="00A06A59">
        <w:rPr>
          <w:rFonts w:ascii="Garamond" w:hAnsi="Garamond" w:cs="Arial"/>
          <w:color w:val="000000"/>
          <w:lang w:val="en-GB"/>
        </w:rPr>
        <w:t xml:space="preserve"> die dazugehörige Symbolik auf und bestätigen dabei den auch völkerpsychologisch reichlich belegten Zusammenhang von </w:t>
      </w:r>
      <w:r w:rsidRPr="00A06A59">
        <w:rPr>
          <w:rFonts w:ascii="Garamond" w:hAnsi="Garamond" w:cs="Arial"/>
          <w:i/>
          <w:iCs/>
          <w:color w:val="000000"/>
          <w:lang w:val="en-GB"/>
        </w:rPr>
        <w:t>Gold</w:t>
      </w:r>
      <w:r w:rsidRPr="00A06A59">
        <w:rPr>
          <w:rFonts w:ascii="Garamond" w:hAnsi="Garamond" w:cs="Arial"/>
          <w:color w:val="000000"/>
          <w:lang w:val="en-GB"/>
        </w:rPr>
        <w:t xml:space="preserve"> und </w:t>
      </w:r>
      <w:r w:rsidRPr="00A06A59">
        <w:rPr>
          <w:rFonts w:ascii="Garamond" w:hAnsi="Garamond" w:cs="Arial"/>
          <w:i/>
          <w:iCs/>
          <w:color w:val="000000"/>
          <w:lang w:val="en-GB"/>
        </w:rPr>
        <w:t>Kot</w:t>
      </w:r>
      <w:hyperlink r:id="rId19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S. </w:t>
        </w:r>
        <w:r w:rsidRPr="00A06A59">
          <w:rPr>
            <w:rStyle w:val="innerfusslink3"/>
            <w:rFonts w:ascii="Garamond" w:hAnsi="Garamond" w:cs="Arial"/>
            <w:b/>
            <w:bCs/>
            <w:i/>
            <w:iCs/>
            <w:lang w:val="en-GB"/>
          </w:rPr>
          <w:t>Freud</w:t>
        </w:r>
        <w:r w:rsidRPr="00A06A59">
          <w:rPr>
            <w:rStyle w:val="innerfusslink3"/>
            <w:rFonts w:ascii="Garamond" w:hAnsi="Garamond" w:cs="Arial"/>
            <w:b/>
            <w:bCs/>
            <w:lang w:val="en-GB"/>
          </w:rPr>
          <w:t xml:space="preserve"> Charakter und Analerotik; </w:t>
        </w:r>
        <w:r w:rsidRPr="00A06A59">
          <w:rPr>
            <w:rStyle w:val="innerfusslink3"/>
            <w:rFonts w:ascii="Garamond" w:hAnsi="Garamond" w:cs="Arial"/>
            <w:b/>
            <w:bCs/>
            <w:i/>
            <w:iCs/>
            <w:lang w:val="en-GB"/>
          </w:rPr>
          <w:t>Rank</w:t>
        </w:r>
        <w:r w:rsidRPr="00A06A59">
          <w:rPr>
            <w:rStyle w:val="innerfusslink3"/>
            <w:rFonts w:ascii="Garamond" w:hAnsi="Garamond" w:cs="Arial"/>
            <w:b/>
            <w:bCs/>
            <w:lang w:val="en-GB"/>
          </w:rPr>
          <w:t xml:space="preserve"> Die Symbolschichtung usw.; </w:t>
        </w:r>
        <w:r w:rsidRPr="00A06A59">
          <w:rPr>
            <w:rStyle w:val="innerfusslink3"/>
            <w:rFonts w:ascii="Garamond" w:hAnsi="Garamond" w:cs="Arial"/>
            <w:b/>
            <w:bCs/>
            <w:i/>
            <w:iCs/>
            <w:lang w:val="en-GB"/>
          </w:rPr>
          <w:t>Dattner</w:t>
        </w:r>
        <w:r w:rsidRPr="00A06A59">
          <w:rPr>
            <w:rStyle w:val="innerfusslink3"/>
            <w:rFonts w:ascii="Garamond" w:hAnsi="Garamond" w:cs="Arial"/>
            <w:b/>
            <w:bCs/>
            <w:lang w:val="en-GB"/>
          </w:rPr>
          <w:t xml:space="preserve">, Internat. Zeitschrift f. PsA. I, 1913; </w:t>
        </w:r>
        <w:r w:rsidRPr="00A06A59">
          <w:rPr>
            <w:rStyle w:val="innerfusslink3"/>
            <w:rFonts w:ascii="Garamond" w:hAnsi="Garamond" w:cs="Arial"/>
            <w:b/>
            <w:bCs/>
            <w:i/>
            <w:iCs/>
            <w:lang w:val="en-GB"/>
          </w:rPr>
          <w:t>Reik</w:t>
        </w:r>
        <w:r w:rsidRPr="00A06A59">
          <w:rPr>
            <w:rStyle w:val="innerfusslink3"/>
            <w:rFonts w:ascii="Garamond" w:hAnsi="Garamond" w:cs="Arial"/>
            <w:b/>
            <w:bCs/>
            <w:lang w:val="en-GB"/>
          </w:rPr>
          <w:t>, Internat. Zeitschr. III, 1915.</w:t>
        </w:r>
      </w:hyperlink>
      <w:r w:rsidRPr="00A06A59">
        <w:rPr>
          <w:rFonts w:ascii="Garamond" w:hAnsi="Garamond" w:cs="Arial"/>
          <w:color w:val="000000"/>
          <w:lang w:val="en-GB"/>
        </w:rPr>
        <w:t xml:space="preserve">. »So träumt z. B. eine Frau zur Zeit, da sie wegen einer </w:t>
      </w:r>
      <w:r w:rsidRPr="00A06A59">
        <w:rPr>
          <w:rFonts w:ascii="Garamond" w:hAnsi="Garamond" w:cs="Arial"/>
          <w:i/>
          <w:iCs/>
          <w:color w:val="000000"/>
          <w:lang w:val="en-GB"/>
        </w:rPr>
        <w:t>Darmstörung</w:t>
      </w:r>
      <w:r w:rsidRPr="00A06A59">
        <w:rPr>
          <w:rFonts w:ascii="Garamond" w:hAnsi="Garamond" w:cs="Arial"/>
          <w:color w:val="000000"/>
          <w:lang w:val="en-GB"/>
        </w:rPr>
        <w:t xml:space="preserve"> in ärztlicher Behandlung steht, von einem Schatzgräber, der in der Nähe einer kleinen Holzhütte, die wie ein ländlicher </w:t>
      </w:r>
      <w:r w:rsidRPr="00A06A59">
        <w:rPr>
          <w:rFonts w:ascii="Garamond" w:hAnsi="Garamond" w:cs="Arial"/>
          <w:i/>
          <w:iCs/>
          <w:color w:val="000000"/>
          <w:lang w:val="en-GB"/>
        </w:rPr>
        <w:t>Abort</w:t>
      </w:r>
      <w:r w:rsidRPr="00A06A59">
        <w:rPr>
          <w:rFonts w:ascii="Garamond" w:hAnsi="Garamond" w:cs="Arial"/>
          <w:color w:val="000000"/>
          <w:lang w:val="en-GB"/>
        </w:rPr>
        <w:t xml:space="preserve"> aussieht, einen </w:t>
      </w:r>
      <w:r w:rsidRPr="00A06A59">
        <w:rPr>
          <w:rFonts w:ascii="Garamond" w:hAnsi="Garamond" w:cs="Arial"/>
          <w:i/>
          <w:iCs/>
          <w:color w:val="000000"/>
          <w:lang w:val="en-GB"/>
        </w:rPr>
        <w:t>Schatz</w:t>
      </w:r>
      <w:r w:rsidRPr="00A06A59">
        <w:rPr>
          <w:rFonts w:ascii="Garamond" w:hAnsi="Garamond" w:cs="Arial"/>
          <w:color w:val="000000"/>
          <w:lang w:val="en-GB"/>
        </w:rPr>
        <w:t xml:space="preserve"> vergräbt. Ein zweiter Teil des Traumes hat zum Inhalt, wie sie ihrem Kind, einem kleinen Mäderl, das sich </w:t>
      </w:r>
      <w:r w:rsidRPr="00A06A59">
        <w:rPr>
          <w:rFonts w:ascii="Garamond" w:hAnsi="Garamond" w:cs="Arial"/>
          <w:i/>
          <w:iCs/>
          <w:color w:val="000000"/>
          <w:lang w:val="en-GB"/>
        </w:rPr>
        <w:t>beschmutzt</w:t>
      </w:r>
      <w:r w:rsidRPr="00A06A59">
        <w:rPr>
          <w:rFonts w:ascii="Garamond" w:hAnsi="Garamond" w:cs="Arial"/>
          <w:color w:val="000000"/>
          <w:lang w:val="en-GB"/>
        </w:rPr>
        <w:t xml:space="preserve"> hat, </w:t>
      </w:r>
      <w:r w:rsidRPr="00A06A59">
        <w:rPr>
          <w:rFonts w:ascii="Garamond" w:hAnsi="Garamond" w:cs="Arial"/>
          <w:i/>
          <w:iCs/>
          <w:color w:val="000000"/>
          <w:lang w:val="en-GB"/>
        </w:rPr>
        <w:t>den Hintern abwischt.</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w:t>
      </w:r>
      <w:r w:rsidRPr="00A06A59">
        <w:rPr>
          <w:rFonts w:ascii="Garamond" w:hAnsi="Garamond" w:cs="Arial"/>
          <w:i/>
          <w:iCs/>
          <w:color w:val="000000"/>
          <w:lang w:val="en-GB"/>
        </w:rPr>
        <w:t>Geburtsträumen</w:t>
      </w:r>
      <w:r w:rsidRPr="00A06A59">
        <w:rPr>
          <w:rFonts w:ascii="Garamond" w:hAnsi="Garamond" w:cs="Arial"/>
          <w:color w:val="000000"/>
          <w:lang w:val="en-GB"/>
        </w:rPr>
        <w:t xml:space="preserve"> schließen sich die Träume von » </w:t>
      </w:r>
      <w:r w:rsidRPr="00A06A59">
        <w:rPr>
          <w:rFonts w:ascii="Garamond" w:hAnsi="Garamond" w:cs="Arial"/>
          <w:i/>
          <w:iCs/>
          <w:color w:val="000000"/>
          <w:lang w:val="en-GB"/>
        </w:rPr>
        <w:t>Rettungen</w:t>
      </w:r>
      <w:r w:rsidRPr="00A06A59">
        <w:rPr>
          <w:rFonts w:ascii="Garamond" w:hAnsi="Garamond" w:cs="Arial"/>
          <w:color w:val="000000"/>
          <w:lang w:val="en-GB"/>
        </w:rPr>
        <w:t xml:space="preserve">« an. Retten, besonders aus dem Wasser retten, ist gleichbedeutend mit gebären, wenn es von einer Frau geträumt wird, modifiziert aber diesen Sinn, wenn der Träumer ein Mann ist. (Siehe einen solchen Traum bei </w:t>
      </w:r>
      <w:r w:rsidRPr="00A06A59">
        <w:rPr>
          <w:rFonts w:ascii="Garamond" w:hAnsi="Garamond" w:cs="Arial"/>
          <w:i/>
          <w:iCs/>
          <w:color w:val="000000"/>
          <w:lang w:val="en-GB"/>
        </w:rPr>
        <w:t>Pfister</w:t>
      </w:r>
      <w:r w:rsidRPr="00A06A59">
        <w:rPr>
          <w:rFonts w:ascii="Garamond" w:hAnsi="Garamond" w:cs="Arial"/>
          <w:color w:val="000000"/>
          <w:lang w:val="en-GB"/>
        </w:rPr>
        <w:t xml:space="preserve">, Ein Fall von psychoanalytischer Seelsorge und Seelenheilung. </w:t>
      </w:r>
      <w:r w:rsidRPr="00A06A59">
        <w:rPr>
          <w:rFonts w:ascii="Garamond" w:hAnsi="Garamond" w:cs="Arial"/>
          <w:color w:val="000000"/>
        </w:rPr>
        <w:t xml:space="preserve">Evangelische Freiheit, 1909.) – Über das Symbol des »Rettens« vgl. meinen Vortrag: Die zukünftigen Chancen der psychoanalytischen Therapie, Zentralblatt f. Psychoanalyse, Nr. 1, 1910 (Ges. Schriften, Bd. VI), sowie: Beiträge zur Psychologie des Liebeslebens, I. Über einen besonderen Typus der Objektwahl beim Manne, Jahrbuch f. PsA., Bd. II, 1910 (Ges. Schriften, Bd. V). </w:t>
      </w:r>
      <w:hyperlink r:id="rId196"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Ferner </w:t>
        </w:r>
        <w:r w:rsidRPr="00A06A59">
          <w:rPr>
            <w:rStyle w:val="innerfusslink3"/>
            <w:rFonts w:ascii="Garamond" w:hAnsi="Garamond" w:cs="Arial"/>
            <w:b/>
            <w:bCs/>
            <w:i/>
            <w:iCs/>
          </w:rPr>
          <w:t>Rank</w:t>
        </w:r>
        <w:r w:rsidRPr="00A06A59">
          <w:rPr>
            <w:rStyle w:val="innerfusslink3"/>
            <w:rFonts w:ascii="Garamond" w:hAnsi="Garamond" w:cs="Arial"/>
            <w:b/>
            <w:bCs/>
          </w:rPr>
          <w:t xml:space="preserve">, Belege zur Rettunsphantasie (Zentralblatt f. Psychoanalyse, I, 1910, p. 331); </w:t>
        </w:r>
        <w:r w:rsidRPr="00A06A59">
          <w:rPr>
            <w:rStyle w:val="innerfusslink3"/>
            <w:rFonts w:ascii="Garamond" w:hAnsi="Garamond" w:cs="Arial"/>
            <w:b/>
            <w:bCs/>
            <w:i/>
            <w:iCs/>
          </w:rPr>
          <w:t>Reik</w:t>
        </w:r>
        <w:r w:rsidRPr="00A06A59">
          <w:rPr>
            <w:rStyle w:val="innerfusslink3"/>
            <w:rFonts w:ascii="Garamond" w:hAnsi="Garamond" w:cs="Arial"/>
            <w:b/>
            <w:bCs/>
          </w:rPr>
          <w:t xml:space="preserve">, Zur Rettungssymbolik (ebenda, p. 499), </w:t>
        </w:r>
        <w:r w:rsidRPr="00A06A59">
          <w:rPr>
            <w:rStyle w:val="innerfusslink3"/>
            <w:rFonts w:ascii="Garamond" w:hAnsi="Garamond" w:cs="Arial"/>
            <w:b/>
            <w:bCs/>
            <w:i/>
            <w:iCs/>
          </w:rPr>
          <w:t>Rank,</w:t>
        </w:r>
        <w:r w:rsidRPr="00A06A59">
          <w:rPr>
            <w:rStyle w:val="innerfusslink3"/>
            <w:rFonts w:ascii="Garamond" w:hAnsi="Garamond" w:cs="Arial"/>
            <w:b/>
            <w:bCs/>
          </w:rPr>
          <w:t xml:space="preserve"> Die »Geburtsrettungsphantasie« in Traum und Dichtung, (Internat. </w:t>
        </w:r>
        <w:r w:rsidRPr="00A06A59">
          <w:rPr>
            <w:rStyle w:val="innerfusslink3"/>
            <w:rFonts w:ascii="Garamond" w:hAnsi="Garamond" w:cs="Arial"/>
            <w:b/>
            <w:bCs/>
            <w:lang w:val="en-GB"/>
          </w:rPr>
          <w:t>Zeitschr. f. PsA., II, 1914).</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Räuber, nächtlichen Einbrecher und Gespenster, vor denen man sich vor dem Zubettgehen fürchtet und die auch gelegentlich den Schlafenden heimsuchen, entstammen einer und derselben infantilen Reminiszenz. Es sind die nächtlichen Besucher, die das Kind aus dem Schlafe geweckt haben, um es auf den Topf zu setzen, damit es das Bett nicht nässe, oder die die Decke gehoben haben, um sorgsam nachzuschauen, wie es während des Schlafens die Hände hält. Aus den Analysen einiger dieser Angstträume habe ich noch die Person des nächtlichen Besuchers zur Agnoszierung bringen können. Der Räuber war jedesmal der Vater, die Gespenster werden wohl eher weiblichen Personen im weißen Nachtgewande entsprechen.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F. Be</w:t>
        </w:r>
        <w:bookmarkStart w:id="76" w:name="VIF"/>
        <w:bookmarkEnd w:id="76"/>
        <w:r w:rsidRPr="00A06A59">
          <w:rPr>
            <w:rStyle w:val="Lienhypertexte"/>
            <w:rFonts w:ascii="Garamond" w:hAnsi="Garamond" w:cs="Arial"/>
            <w:b/>
            <w:bCs/>
            <w:lang w:val="en-GB"/>
          </w:rPr>
          <w:t>ispiele – Rechnen und Reden im Traum</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Ehe ich nun das vierte der die Traumbildung beherrschenden Momente an die ihm gebührende Stelle setze, will ich aus meiner Traumsammlung einige Beispiele heranziehen, welche teils das Zusammenwirken der drei uns bekannten Momente erläutern, teils Beweise für frei hingestellte Behauptungen nachtragen oder unabweisbare Folgerungen aus ihnen ausführen können. Es ist mir ja in der vorstehenden Darstellung der Traumarbeit recht schwer geworden, meine Ergebnisse an Beispielen zu erweisen. Die Beispiele für die einzelnen Sätze sind nur im Zusammenhang einer Traumdeutung beweiskräftig; aus dem Zusammenhang gerissen, büßen sie ihre Schönheit ein, und eine auch nur wenig vertiefte Traumdeutung wird bald so umfangreich, daß sie den Faden der Erörterung, zu deren Illustrierung sie dienen soll, verlieren läßt. Dieses technische Motiv mag entschuldigen, wenn ich nun allerlei aneinanderreihe, was nur durch die Beziehung auf den Text des vorstehenden Abschnittes zusammengehalten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Zunächst einige Beispiele von besonders eigentümlichen oder von ungewöhnlichen Darstellungsweisen im Traume. Im Traume einer Dame heißt es: </w:t>
      </w:r>
      <w:r w:rsidRPr="00A06A59">
        <w:rPr>
          <w:rFonts w:ascii="Garamond" w:hAnsi="Garamond" w:cs="Arial"/>
          <w:i/>
          <w:iCs/>
          <w:color w:val="000000"/>
          <w:lang w:val="en-GB"/>
        </w:rPr>
        <w:t>Ein Stubenmädchen steht auf der Leiter wie zum Fensterputzen und hat einen Schimpansen und eine Gorillakatze</w:t>
      </w:r>
      <w:r w:rsidRPr="00A06A59">
        <w:rPr>
          <w:rFonts w:ascii="Garamond" w:hAnsi="Garamond" w:cs="Arial"/>
          <w:color w:val="000000"/>
          <w:lang w:val="en-GB"/>
        </w:rPr>
        <w:t xml:space="preserve"> (später korrigiert: </w:t>
      </w:r>
      <w:r w:rsidRPr="00A06A59">
        <w:rPr>
          <w:rFonts w:ascii="Garamond" w:hAnsi="Garamond" w:cs="Arial"/>
          <w:i/>
          <w:iCs/>
          <w:color w:val="000000"/>
          <w:lang w:val="en-GB"/>
        </w:rPr>
        <w:t>Angorakatze</w:t>
      </w:r>
      <w:r w:rsidRPr="00A06A59">
        <w:rPr>
          <w:rFonts w:ascii="Garamond" w:hAnsi="Garamond" w:cs="Arial"/>
          <w:color w:val="000000"/>
          <w:lang w:val="en-GB"/>
        </w:rPr>
        <w:t xml:space="preserve">) </w:t>
      </w:r>
      <w:r w:rsidRPr="00A06A59">
        <w:rPr>
          <w:rFonts w:ascii="Garamond" w:hAnsi="Garamond" w:cs="Arial"/>
          <w:i/>
          <w:iCs/>
          <w:color w:val="000000"/>
          <w:lang w:val="en-GB"/>
        </w:rPr>
        <w:t>bei sich. Sie wirft die Tiere auf die Träumerin; der Schimpanse schmiegt sich an die letztere an, und das ist sehr ekelhaft.</w:t>
      </w:r>
      <w:r w:rsidRPr="00A06A59">
        <w:rPr>
          <w:rFonts w:ascii="Garamond" w:hAnsi="Garamond" w:cs="Arial"/>
          <w:color w:val="000000"/>
          <w:lang w:val="en-GB"/>
        </w:rPr>
        <w:t xml:space="preserve"> Dieser Traum hat seinen Zweck durch ein höchst einfaches Mittel erreicht, indem er nämlich eine Redensart wörtlich nahm und nach ihrem Wortlaute darstellte. »Affe« wie Tiernamen überhaupt sind Schimpfwörter, und die Traumsituation besagt nichts anderes als » </w:t>
      </w:r>
      <w:r w:rsidRPr="00A06A59">
        <w:rPr>
          <w:rFonts w:ascii="Garamond" w:hAnsi="Garamond" w:cs="Arial"/>
          <w:i/>
          <w:iCs/>
          <w:color w:val="000000"/>
          <w:lang w:val="en-GB"/>
        </w:rPr>
        <w:t>mit Schimpfworten um sich werfen</w:t>
      </w:r>
      <w:r w:rsidRPr="00A06A59">
        <w:rPr>
          <w:rFonts w:ascii="Garamond" w:hAnsi="Garamond" w:cs="Arial"/>
          <w:color w:val="000000"/>
          <w:lang w:val="en-GB"/>
        </w:rPr>
        <w:t>«. Diese selbe Sammlung wird alsbald weitere Beispiele für die Anwendung dieses einfachen Kunstgriffes bei der Traumarbeit bringen.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Ganz ähnlich verfährt ein anderer Traum: </w:t>
      </w:r>
      <w:r w:rsidRPr="00A06A59">
        <w:rPr>
          <w:rFonts w:ascii="Garamond" w:hAnsi="Garamond" w:cs="Arial"/>
          <w:i/>
          <w:iCs/>
          <w:color w:val="000000"/>
          <w:lang w:val="en-GB"/>
        </w:rPr>
        <w:t>Eine Frau mit einem Kind,das einen auffällig mißbildeten Schädel hat; von diesem Kinde hat sie gehört, daß es durch die Lage im Mutterleibe so geworden. Man könnte den Schädel, sagt der Arzt, durch Kompression in eine bessere Form bringen, allein das würde dem Gehirn schaden. Sie denkt, da es ein Bub ist, schadet es ihm weniger.</w:t>
      </w:r>
      <w:r w:rsidRPr="00A06A59">
        <w:rPr>
          <w:rFonts w:ascii="Garamond" w:hAnsi="Garamond" w:cs="Arial"/>
          <w:color w:val="000000"/>
          <w:lang w:val="en-GB"/>
        </w:rPr>
        <w:t xml:space="preserve"> Dieser Traum enthält die plastische Darstellung des abstrakten Begriffs: » </w:t>
      </w:r>
      <w:r w:rsidRPr="00A06A59">
        <w:rPr>
          <w:rFonts w:ascii="Garamond" w:hAnsi="Garamond" w:cs="Arial"/>
          <w:i/>
          <w:iCs/>
          <w:color w:val="000000"/>
          <w:lang w:val="en-GB"/>
        </w:rPr>
        <w:t>Kindereindrücke</w:t>
      </w:r>
      <w:r w:rsidRPr="00A06A59">
        <w:rPr>
          <w:rFonts w:ascii="Garamond" w:hAnsi="Garamond" w:cs="Arial"/>
          <w:color w:val="000000"/>
          <w:lang w:val="en-GB"/>
        </w:rPr>
        <w:t>«, den die Träumerin in den Erklärungen zur Kur gehört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Einen etwas anderen Weg schlägt die Traumarbeit im folgenden Beispiel ein. Der Traum enthält die Erinnerung an einen Ausflug zum Hilmteich bei Graz: </w:t>
      </w:r>
      <w:r w:rsidRPr="00A06A59">
        <w:rPr>
          <w:rFonts w:ascii="Garamond" w:hAnsi="Garamond" w:cs="Arial"/>
          <w:i/>
          <w:iCs/>
          <w:color w:val="000000"/>
          <w:lang w:val="en-GB"/>
        </w:rPr>
        <w:t>Es ist ein schreckliches Wetter draußen; ein armseliges Hotel, von den Wänden tropft das Wasser, die Betten sind feucht.</w:t>
      </w:r>
      <w:r w:rsidRPr="00A06A59">
        <w:rPr>
          <w:rFonts w:ascii="Garamond" w:hAnsi="Garamond" w:cs="Arial"/>
          <w:color w:val="000000"/>
          <w:lang w:val="en-GB"/>
        </w:rPr>
        <w:t xml:space="preserve"> (Letzteres Stück des Inhalts ist minder direkt im Traum, als ich es bringe.) Der Traum bedeutet » </w:t>
      </w:r>
      <w:r w:rsidRPr="00A06A59">
        <w:rPr>
          <w:rFonts w:ascii="Garamond" w:hAnsi="Garamond" w:cs="Arial"/>
          <w:i/>
          <w:iCs/>
          <w:color w:val="000000"/>
          <w:lang w:val="en-GB"/>
        </w:rPr>
        <w:t>überflüssig</w:t>
      </w:r>
      <w:r w:rsidRPr="00A06A59">
        <w:rPr>
          <w:rFonts w:ascii="Garamond" w:hAnsi="Garamond" w:cs="Arial"/>
          <w:color w:val="000000"/>
          <w:lang w:val="en-GB"/>
        </w:rPr>
        <w:t xml:space="preserve">«. Das Abstraktum, das sich in den Traumgedanken fand, ist zunächst etwas gewaltsam äquivok gemacht worden, etwa durch »überfließend« ersetzt oder durch »flüssig und überflüssig«, und dann durch eine Häufung gleichartiger Eindrücke zur Darstellung gebracht. Wasser draußen, Wasser innen an den Wänden, Wasser als Feuchtigkeit in den Betten, alles flüssig und » </w:t>
      </w:r>
      <w:r w:rsidRPr="00A06A59">
        <w:rPr>
          <w:rFonts w:ascii="Garamond" w:hAnsi="Garamond" w:cs="Arial"/>
          <w:i/>
          <w:iCs/>
          <w:color w:val="000000"/>
          <w:lang w:val="en-GB"/>
        </w:rPr>
        <w:t>über</w:t>
      </w:r>
      <w:r w:rsidRPr="00A06A59">
        <w:rPr>
          <w:rFonts w:ascii="Garamond" w:hAnsi="Garamond" w:cs="Arial"/>
          <w:color w:val="000000"/>
          <w:lang w:val="en-GB"/>
        </w:rPr>
        <w:t xml:space="preserve">« </w:t>
      </w:r>
      <w:r w:rsidRPr="00A06A59">
        <w:rPr>
          <w:rFonts w:ascii="Garamond" w:hAnsi="Garamond" w:cs="Arial"/>
          <w:i/>
          <w:iCs/>
          <w:color w:val="000000"/>
          <w:lang w:val="en-GB"/>
        </w:rPr>
        <w:t>-</w:t>
      </w:r>
      <w:r w:rsidRPr="00A06A59">
        <w:rPr>
          <w:rFonts w:ascii="Garamond" w:hAnsi="Garamond" w:cs="Arial"/>
          <w:color w:val="000000"/>
          <w:lang w:val="en-GB"/>
        </w:rPr>
        <w:t xml:space="preserve">flüssig. Daß zu Zwecken der Darstellung im Traume die Orthographie weit hinter dem Wortklang zurücktritt, wird uns nicht gerade wundernehmen, wenn sich z. B. der Reim ähnliche Freiheiten gestatten darf. In einem weitläufigen von </w:t>
      </w:r>
      <w:r w:rsidRPr="00A06A59">
        <w:rPr>
          <w:rFonts w:ascii="Garamond" w:hAnsi="Garamond" w:cs="Arial"/>
          <w:i/>
          <w:iCs/>
          <w:color w:val="000000"/>
          <w:lang w:val="en-GB"/>
        </w:rPr>
        <w:t>Rank</w:t>
      </w:r>
      <w:r w:rsidRPr="00A06A59">
        <w:rPr>
          <w:rFonts w:ascii="Garamond" w:hAnsi="Garamond" w:cs="Arial"/>
          <w:color w:val="000000"/>
          <w:lang w:val="en-GB"/>
        </w:rPr>
        <w:t xml:space="preserve"> mitgeteilten und sehr eingehend analysierten Traum eines jungen Mädchens wird erzählt, daß sie zwischen Feldern spazierengeht, wo sie schöne Gerste- und Korn </w:t>
      </w:r>
      <w:r w:rsidRPr="00A06A59">
        <w:rPr>
          <w:rFonts w:ascii="Garamond" w:hAnsi="Garamond" w:cs="Arial"/>
          <w:i/>
          <w:iCs/>
          <w:color w:val="000000"/>
          <w:lang w:val="en-GB"/>
        </w:rPr>
        <w:t>ähren</w:t>
      </w:r>
      <w:r w:rsidRPr="00A06A59">
        <w:rPr>
          <w:rFonts w:ascii="Garamond" w:hAnsi="Garamond" w:cs="Arial"/>
          <w:color w:val="000000"/>
          <w:lang w:val="en-GB"/>
        </w:rPr>
        <w:t xml:space="preserve"> abschneidet. Ein Jugendfreund kommt ihr entgegen, und sie will es vermeiden, ihn anzutreffen. Die Analyse zeigt, daß es sich um einen </w:t>
      </w:r>
      <w:r w:rsidRPr="00A06A59">
        <w:rPr>
          <w:rFonts w:ascii="Garamond" w:hAnsi="Garamond" w:cs="Arial"/>
          <w:i/>
          <w:iCs/>
          <w:color w:val="000000"/>
          <w:lang w:val="en-GB"/>
        </w:rPr>
        <w:t>Kuß in Ehren</w:t>
      </w:r>
      <w:r w:rsidRPr="00A06A59">
        <w:rPr>
          <w:rFonts w:ascii="Garamond" w:hAnsi="Garamond" w:cs="Arial"/>
          <w:color w:val="000000"/>
          <w:lang w:val="en-GB"/>
        </w:rPr>
        <w:t xml:space="preserve"> handelt (Jahrb. II, p. 491). Die Ähren, die nicht abgerissen, sondern abgeschnitten werden sollen, dienen in diesem Traum als solche und in ihrer Verdichtung mit </w:t>
      </w:r>
      <w:r w:rsidRPr="00A06A59">
        <w:rPr>
          <w:rFonts w:ascii="Garamond" w:hAnsi="Garamond" w:cs="Arial"/>
          <w:i/>
          <w:iCs/>
          <w:color w:val="000000"/>
          <w:lang w:val="en-GB"/>
        </w:rPr>
        <w:t>Ehre, Ehrungen</w:t>
      </w:r>
      <w:r w:rsidRPr="00A06A59">
        <w:rPr>
          <w:rFonts w:ascii="Garamond" w:hAnsi="Garamond" w:cs="Arial"/>
          <w:color w:val="000000"/>
          <w:lang w:val="en-GB"/>
        </w:rPr>
        <w:t xml:space="preserve"> zur Darstellung einer ganzen Reihe von anderen Gedanken.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Dafür hat die Sprache in anderen Fällen dem Traume die Darstellung seiner Gedanken sehr leicht gemacht, da sie über eine ganze Reihe von Worten verfügt, die ursprünglich bildlich und konkret gemeint waren und gegenwärtig im abgeblaßten, abstrakten Sinne gebraucht werden. Der Traum braucht diesen Worten nur ihre frühere volle Bedeutung wiederzugeben oder in dem Bedeutungswandel des Wortes ein Stück weit herabzusteigen. Z. B. es träumt jemand, daß sein Bruder in einem </w:t>
      </w:r>
      <w:r w:rsidRPr="00A06A59">
        <w:rPr>
          <w:rFonts w:ascii="Garamond" w:hAnsi="Garamond" w:cs="Arial"/>
          <w:i/>
          <w:iCs/>
          <w:color w:val="000000"/>
          <w:lang w:val="en-GB"/>
        </w:rPr>
        <w:t>Kasten</w:t>
      </w:r>
      <w:r w:rsidRPr="00A06A59">
        <w:rPr>
          <w:rFonts w:ascii="Garamond" w:hAnsi="Garamond" w:cs="Arial"/>
          <w:color w:val="000000"/>
          <w:lang w:val="en-GB"/>
        </w:rPr>
        <w:t xml:space="preserve"> steckt; bei der Deutungsarbeit ersetzt sich der Kasten durch einen » </w:t>
      </w:r>
      <w:r w:rsidRPr="00A06A59">
        <w:rPr>
          <w:rFonts w:ascii="Garamond" w:hAnsi="Garamond" w:cs="Arial"/>
          <w:i/>
          <w:iCs/>
          <w:color w:val="000000"/>
          <w:lang w:val="en-GB"/>
        </w:rPr>
        <w:t>Schrank</w:t>
      </w:r>
      <w:r w:rsidRPr="00A06A59">
        <w:rPr>
          <w:rFonts w:ascii="Garamond" w:hAnsi="Garamond" w:cs="Arial"/>
          <w:color w:val="000000"/>
          <w:lang w:val="en-GB"/>
        </w:rPr>
        <w:t xml:space="preserve">«, und der Traumgedanke lautet nun, daß dieser Bruder sich » </w:t>
      </w:r>
      <w:r w:rsidRPr="00A06A59">
        <w:rPr>
          <w:rFonts w:ascii="Garamond" w:hAnsi="Garamond" w:cs="Arial"/>
          <w:i/>
          <w:iCs/>
          <w:color w:val="000000"/>
          <w:lang w:val="en-GB"/>
        </w:rPr>
        <w:t>einschränken</w:t>
      </w:r>
      <w:r w:rsidRPr="00A06A59">
        <w:rPr>
          <w:rFonts w:ascii="Garamond" w:hAnsi="Garamond" w:cs="Arial"/>
          <w:color w:val="000000"/>
          <w:lang w:val="en-GB"/>
        </w:rPr>
        <w:t xml:space="preserve">« solle, an seiner Statt nämlich. Ein anderer Träumer steigt auf einen Berg, von dem aus er eine ganz außerordentlich weite </w:t>
      </w:r>
      <w:r w:rsidRPr="00A06A59">
        <w:rPr>
          <w:rFonts w:ascii="Garamond" w:hAnsi="Garamond" w:cs="Arial"/>
          <w:i/>
          <w:iCs/>
          <w:color w:val="000000"/>
          <w:lang w:val="en-GB"/>
        </w:rPr>
        <w:t>Aussicht</w:t>
      </w:r>
      <w:r w:rsidRPr="00A06A59">
        <w:rPr>
          <w:rFonts w:ascii="Garamond" w:hAnsi="Garamond" w:cs="Arial"/>
          <w:color w:val="000000"/>
          <w:lang w:val="en-GB"/>
        </w:rPr>
        <w:t xml:space="preserve"> hat. Er identifiziert sich dabei mit einem Bruder, der eine » </w:t>
      </w:r>
      <w:r w:rsidRPr="00A06A59">
        <w:rPr>
          <w:rFonts w:ascii="Garamond" w:hAnsi="Garamond" w:cs="Arial"/>
          <w:i/>
          <w:iCs/>
          <w:color w:val="000000"/>
          <w:lang w:val="en-GB"/>
        </w:rPr>
        <w:t>Rundschau</w:t>
      </w:r>
      <w:r w:rsidRPr="00A06A59">
        <w:rPr>
          <w:rFonts w:ascii="Garamond" w:hAnsi="Garamond" w:cs="Arial"/>
          <w:color w:val="000000"/>
          <w:lang w:val="en-GB"/>
        </w:rPr>
        <w:t xml:space="preserve">« herausgibt, welche sich mit den Beziehungen zum </w:t>
      </w:r>
      <w:r w:rsidRPr="00A06A59">
        <w:rPr>
          <w:rFonts w:ascii="Garamond" w:hAnsi="Garamond" w:cs="Arial"/>
          <w:i/>
          <w:iCs/>
          <w:color w:val="000000"/>
          <w:lang w:val="en-GB"/>
        </w:rPr>
        <w:t>fernsten</w:t>
      </w:r>
      <w:r w:rsidRPr="00A06A59">
        <w:rPr>
          <w:rFonts w:ascii="Garamond" w:hAnsi="Garamond" w:cs="Arial"/>
          <w:color w:val="000000"/>
          <w:lang w:val="en-GB"/>
        </w:rPr>
        <w:t xml:space="preserve"> Osten beschäftigt.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einem Traum des </w:t>
      </w:r>
      <w:r w:rsidRPr="00A06A59">
        <w:rPr>
          <w:rFonts w:ascii="Garamond" w:hAnsi="Garamond" w:cs="Arial"/>
          <w:i/>
          <w:iCs/>
          <w:color w:val="000000"/>
          <w:lang w:val="en-GB"/>
        </w:rPr>
        <w:t>Grünen Heinrich</w:t>
      </w:r>
      <w:r w:rsidRPr="00A06A59">
        <w:rPr>
          <w:rFonts w:ascii="Garamond" w:hAnsi="Garamond" w:cs="Arial"/>
          <w:color w:val="000000"/>
          <w:lang w:val="en-GB"/>
        </w:rPr>
        <w:t xml:space="preserve"> wälzt sich ein übermütiges Pferd im schönsten Hafer, von dem jedes Korn aber »ein süßer Mandelkern, eine Rosine und ein neuer Pfennig« ist, »zusammen in rote Seide gewickelt und mit einem Endchen Schweinsborste eingebunden«. Der Dichter (oder der Träumer) gibt uns sofort die Deutung dieser Traumdarstellung, denn das Pferd fühlt sich angenehm gekitzelt, so daß es ruft: </w:t>
      </w:r>
      <w:r w:rsidRPr="00A06A59">
        <w:rPr>
          <w:rFonts w:ascii="Garamond" w:hAnsi="Garamond" w:cs="Arial"/>
          <w:i/>
          <w:iCs/>
          <w:color w:val="000000"/>
          <w:lang w:val="en-GB"/>
        </w:rPr>
        <w:t>Der Hafer sticht mich.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Besonders ausgiebigen Gebrauch vom Redensart- und Wortwitztraum macht (nach Henzen) die altnordische Sagaliteratur, in der sich kaum ein Traumbeispiel ohne Doppelsinn oder Wortspiel findet.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Es wäre eine besondere Arbeit, solche Darstellungsweisen zu sammeln und nach den ihnen zugrundeliegenden Prinzipien zu ordnen. Manche dieser Darstellungen sind fast witzig zu nennen. Man hat den Eindruck, daß man sie niemals selbst erraten hätte, wenn der Träumer sie nicht mitzuteilen wüßte: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1) Ein Mann träumt, </w:t>
      </w:r>
      <w:r w:rsidRPr="00A06A59">
        <w:rPr>
          <w:rFonts w:ascii="Garamond" w:hAnsi="Garamond" w:cs="Arial"/>
          <w:i/>
          <w:iCs/>
          <w:color w:val="000000"/>
          <w:lang w:val="en-GB"/>
        </w:rPr>
        <w:t>man frage ihn nach einem Namen, an den er sich aber nicht besinnen könne</w:t>
      </w:r>
      <w:r w:rsidRPr="00A06A59">
        <w:rPr>
          <w:rFonts w:ascii="Garamond" w:hAnsi="Garamond" w:cs="Arial"/>
          <w:color w:val="000000"/>
          <w:lang w:val="en-GB"/>
        </w:rPr>
        <w:t xml:space="preserve">. </w:t>
      </w:r>
      <w:r w:rsidRPr="00A06A59">
        <w:rPr>
          <w:rFonts w:ascii="Garamond" w:hAnsi="Garamond" w:cs="Arial"/>
          <w:color w:val="000000"/>
        </w:rPr>
        <w:t xml:space="preserve">Er erklärt selbst, das wolle heißen: </w:t>
      </w:r>
      <w:r w:rsidRPr="00A06A59">
        <w:rPr>
          <w:rFonts w:ascii="Garamond" w:hAnsi="Garamond" w:cs="Arial"/>
          <w:i/>
          <w:iCs/>
          <w:color w:val="000000"/>
        </w:rPr>
        <w:t>Es fällt mir nicht im Traume 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2) Eine Patientin erzählt einen Traum, in welchem </w:t>
      </w:r>
      <w:r w:rsidRPr="00A06A59">
        <w:rPr>
          <w:rFonts w:ascii="Garamond" w:hAnsi="Garamond" w:cs="Arial"/>
          <w:i/>
          <w:iCs/>
          <w:color w:val="000000"/>
          <w:lang w:val="en-GB"/>
        </w:rPr>
        <w:t>alle handelnden Personen besonders groß waren</w:t>
      </w:r>
      <w:r w:rsidRPr="00A06A59">
        <w:rPr>
          <w:rFonts w:ascii="Garamond" w:hAnsi="Garamond" w:cs="Arial"/>
          <w:color w:val="000000"/>
          <w:lang w:val="en-GB"/>
        </w:rPr>
        <w:t>. Das will heißen, setzt sie hinzu, daß es sich um eine Begebenheit aus meiner frühen Kindheit handeln muß, denn damals sind mir natürlich alle Erwachsenen so ungeheuer groß erschienen. Ihre eigene Person trat in diesem Trauminhalt nicht auf.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Verlegung in die Kindheit wird in anderen Träumen auch anders ausgedrückt, indem Zeit in Raum übersetzt wird. Man sieht die betreffenden Personen und Szenen wie weit entfernt am Ende eines langen Weges oder so, als ob man sie mit einem verkehrt gerichteten Opernglas betrachten würde.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3) Ein im Wachleben zu abstrakter und unbestimmter Ausdrucksweise geneigter Mann, sonst mit gutem Witz begabt, träumt in gewissem Zusammenhange, daß </w:t>
      </w:r>
      <w:r w:rsidRPr="00A06A59">
        <w:rPr>
          <w:rFonts w:ascii="Garamond" w:hAnsi="Garamond" w:cs="Arial"/>
          <w:i/>
          <w:iCs/>
          <w:color w:val="000000"/>
          <w:lang w:val="en-GB"/>
        </w:rPr>
        <w:t>er auf einen Bahnhof gehe, wie eben ein Zug ankomme. Dann werde aber der Perron an den stehenden Zug angenähert</w:t>
      </w:r>
      <w:r w:rsidRPr="00A06A59">
        <w:rPr>
          <w:rFonts w:ascii="Garamond" w:hAnsi="Garamond" w:cs="Arial"/>
          <w:color w:val="000000"/>
          <w:lang w:val="en-GB"/>
        </w:rPr>
        <w:t>, also eine absurde Umkehrung des wirklichen Vorganges. Dieses Detail ist auch nichts anderes als ein Index, der daran mahnt, daß etwas anderes im Trauminhalt umgekehrt werden solle. Die Analyse desselben Traumes führt zu Erinnerungen an Bilderbücher, in denen Männer dargestellt waren, die auf dem Kopfe standen und auf den Händen gingen.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4) Derselbe Träumer berichtet ein anderes Mal von einem kurzen Traum, der fast an die Technik eines Rebus erinnert. </w:t>
      </w:r>
      <w:r w:rsidRPr="00A06A59">
        <w:rPr>
          <w:rFonts w:ascii="Garamond" w:hAnsi="Garamond" w:cs="Arial"/>
          <w:i/>
          <w:iCs/>
          <w:color w:val="000000"/>
          <w:lang w:val="en-GB"/>
        </w:rPr>
        <w:t>Sein Onkel gibt ihm im Automobil einen Kuß</w:t>
      </w:r>
      <w:r w:rsidRPr="00A06A59">
        <w:rPr>
          <w:rFonts w:ascii="Garamond" w:hAnsi="Garamond" w:cs="Arial"/>
          <w:color w:val="000000"/>
          <w:lang w:val="en-GB"/>
        </w:rPr>
        <w:t xml:space="preserve">. Er fügt unmittelbar die Deutung hinzu, die ich nie gefunden hätte, das heiße: </w:t>
      </w:r>
      <w:r w:rsidRPr="00A06A59">
        <w:rPr>
          <w:rFonts w:ascii="Garamond" w:hAnsi="Garamond" w:cs="Arial"/>
          <w:i/>
          <w:iCs/>
          <w:color w:val="000000"/>
          <w:lang w:val="en-GB"/>
        </w:rPr>
        <w:t>Autoerotismus</w:t>
      </w:r>
      <w:r w:rsidRPr="00A06A59">
        <w:rPr>
          <w:rFonts w:ascii="Garamond" w:hAnsi="Garamond" w:cs="Arial"/>
          <w:color w:val="000000"/>
          <w:lang w:val="en-GB"/>
        </w:rPr>
        <w:t>. Ein Scherz im Wachen hätte ebenso lauten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5) Der Träumer </w:t>
      </w:r>
      <w:r w:rsidRPr="00A06A59">
        <w:rPr>
          <w:rFonts w:ascii="Garamond" w:hAnsi="Garamond" w:cs="Arial"/>
          <w:i/>
          <w:iCs/>
          <w:color w:val="000000"/>
          <w:lang w:val="en-GB"/>
        </w:rPr>
        <w:t>zieht eine Frau hinter dem Bett hervor</w:t>
      </w:r>
      <w:r w:rsidRPr="00A06A59">
        <w:rPr>
          <w:rFonts w:ascii="Garamond" w:hAnsi="Garamond" w:cs="Arial"/>
          <w:color w:val="000000"/>
          <w:lang w:val="en-GB"/>
        </w:rPr>
        <w:t xml:space="preserve">. Das heißt: Er gibt ihr den </w:t>
      </w:r>
      <w:r w:rsidRPr="00A06A59">
        <w:rPr>
          <w:rFonts w:ascii="Garamond" w:hAnsi="Garamond" w:cs="Arial"/>
          <w:i/>
          <w:iCs/>
          <w:color w:val="000000"/>
          <w:lang w:val="en-GB"/>
        </w:rPr>
        <w:t>Vorzug.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6) Der Träumer </w:t>
      </w:r>
      <w:r w:rsidRPr="00A06A59">
        <w:rPr>
          <w:rFonts w:ascii="Garamond" w:hAnsi="Garamond" w:cs="Arial"/>
          <w:i/>
          <w:iCs/>
          <w:color w:val="000000"/>
          <w:lang w:val="en-GB"/>
        </w:rPr>
        <w:t>sitzt als Offizier an einer Tafel dem Kaiser gegenüber:</w:t>
      </w:r>
      <w:r w:rsidRPr="00A06A59">
        <w:rPr>
          <w:rFonts w:ascii="Garamond" w:hAnsi="Garamond" w:cs="Arial"/>
          <w:color w:val="000000"/>
          <w:lang w:val="en-GB"/>
        </w:rPr>
        <w:t xml:space="preserve"> Er bringt sich in </w:t>
      </w:r>
      <w:r w:rsidRPr="00A06A59">
        <w:rPr>
          <w:rFonts w:ascii="Garamond" w:hAnsi="Garamond" w:cs="Arial"/>
          <w:i/>
          <w:iCs/>
          <w:color w:val="000000"/>
          <w:lang w:val="en-GB"/>
        </w:rPr>
        <w:t>Gegensatz</w:t>
      </w:r>
      <w:r w:rsidRPr="00A06A59">
        <w:rPr>
          <w:rFonts w:ascii="Garamond" w:hAnsi="Garamond" w:cs="Arial"/>
          <w:color w:val="000000"/>
          <w:lang w:val="en-GB"/>
        </w:rPr>
        <w:t xml:space="preserve"> zum Vater.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7) Der Träumer </w:t>
      </w:r>
      <w:r w:rsidRPr="00A06A59">
        <w:rPr>
          <w:rFonts w:ascii="Garamond" w:hAnsi="Garamond" w:cs="Arial"/>
          <w:i/>
          <w:iCs/>
          <w:color w:val="000000"/>
          <w:lang w:val="en-GB"/>
        </w:rPr>
        <w:t>behandelt eine andere Person wegen eines Knochenbruches</w:t>
      </w:r>
      <w:r w:rsidRPr="00A06A59">
        <w:rPr>
          <w:rFonts w:ascii="Garamond" w:hAnsi="Garamond" w:cs="Arial"/>
          <w:color w:val="000000"/>
          <w:lang w:val="en-GB"/>
        </w:rPr>
        <w:t xml:space="preserve">. Die Analyse erweist diesen Bruch als Darstellung eines </w:t>
      </w:r>
      <w:r w:rsidRPr="00A06A59">
        <w:rPr>
          <w:rFonts w:ascii="Garamond" w:hAnsi="Garamond" w:cs="Arial"/>
          <w:i/>
          <w:iCs/>
          <w:color w:val="000000"/>
          <w:lang w:val="en-GB"/>
        </w:rPr>
        <w:t>Ehebruches</w:t>
      </w:r>
      <w:r w:rsidRPr="00A06A59">
        <w:rPr>
          <w:rFonts w:ascii="Garamond" w:hAnsi="Garamond" w:cs="Arial"/>
          <w:color w:val="000000"/>
          <w:lang w:val="en-GB"/>
        </w:rPr>
        <w:t xml:space="preserve"> u. dgl.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8) Die Tageszeiten vertreten im Trauminhalt sehr häufig Lebenszeiten der Kindheit. So bedeutet z. B. um ¼6 Uhr früh bei einem Träumer das Alter von 5 Jahren und 3 Monaten, den bedeutungsvollen Zeitpunkt der Geburt eines jüngeren Bruders.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9) Eine andere Darstellung von </w:t>
      </w:r>
      <w:r w:rsidRPr="00A06A59">
        <w:rPr>
          <w:rFonts w:ascii="Garamond" w:hAnsi="Garamond" w:cs="Arial"/>
          <w:i/>
          <w:iCs/>
          <w:color w:val="000000"/>
          <w:lang w:val="en-GB"/>
        </w:rPr>
        <w:t>Lebenszeiten</w:t>
      </w:r>
      <w:r w:rsidRPr="00A06A59">
        <w:rPr>
          <w:rFonts w:ascii="Garamond" w:hAnsi="Garamond" w:cs="Arial"/>
          <w:color w:val="000000"/>
          <w:lang w:val="en-GB"/>
        </w:rPr>
        <w:t xml:space="preserve"> im Traume: </w:t>
      </w:r>
      <w:r w:rsidRPr="00A06A59">
        <w:rPr>
          <w:rFonts w:ascii="Garamond" w:hAnsi="Garamond" w:cs="Arial"/>
          <w:i/>
          <w:iCs/>
          <w:color w:val="000000"/>
          <w:lang w:val="en-GB"/>
        </w:rPr>
        <w:t>Eine Frau geht mit zwei kleinen Mädchen, die 1¼Jahre auseinander sind</w:t>
      </w:r>
      <w:r w:rsidRPr="00A06A59">
        <w:rPr>
          <w:rFonts w:ascii="Garamond" w:hAnsi="Garamond" w:cs="Arial"/>
          <w:color w:val="000000"/>
          <w:lang w:val="en-GB"/>
        </w:rPr>
        <w:t>. Die Träumerin findet keine Familie ihrer Bekanntschaft, für die das zuträfe. Sie deutet selbst, daß beide Kinder ihre eigene Person darstellen und daß der Traum sie mahnt, die beiden traumatischen Ereignisse ihrer Kindheit seien um soviel voneinander entfernt. (3½ und 4¾Jahre.)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10) Es ist nicht zu verwundern, daß Personen, die in psychoanalytischer Behandlung stehen, häufig von dieser träumen und alle die Gedanken und Erwartungen, die sie erregt, im Traume ausdrücken müssen. Das für die Kur gewählte Bild ist in der Regel das einer Fahrt, meist im </w:t>
      </w:r>
      <w:r w:rsidRPr="00A06A59">
        <w:rPr>
          <w:rFonts w:ascii="Garamond" w:hAnsi="Garamond" w:cs="Arial"/>
          <w:i/>
          <w:iCs/>
          <w:color w:val="000000"/>
          <w:lang w:val="en-GB"/>
        </w:rPr>
        <w:t>Automobil</w:t>
      </w:r>
      <w:r w:rsidRPr="00A06A59">
        <w:rPr>
          <w:rFonts w:ascii="Garamond" w:hAnsi="Garamond" w:cs="Arial"/>
          <w:color w:val="000000"/>
          <w:lang w:val="en-GB"/>
        </w:rPr>
        <w:t xml:space="preserve">, als einem neuartigen und komplizierten Vehikel; im Hinweis auf die Schnelligkeit des Automobils kommt dann der Spott des Behandelten auf seine Rechnung. Soll das » </w:t>
      </w:r>
      <w:r w:rsidRPr="00A06A59">
        <w:rPr>
          <w:rFonts w:ascii="Garamond" w:hAnsi="Garamond" w:cs="Arial"/>
          <w:i/>
          <w:iCs/>
          <w:color w:val="000000"/>
          <w:lang w:val="en-GB"/>
        </w:rPr>
        <w:t>Unbewußte</w:t>
      </w:r>
      <w:r w:rsidRPr="00A06A59">
        <w:rPr>
          <w:rFonts w:ascii="Garamond" w:hAnsi="Garamond" w:cs="Arial"/>
          <w:color w:val="000000"/>
          <w:lang w:val="en-GB"/>
        </w:rPr>
        <w:t xml:space="preserve">« als Element der Wachgedanken im Traume Darstellung finden, so ersetzt es sich ganz zweckmäßigerweise durch » </w:t>
      </w:r>
      <w:r w:rsidRPr="00A06A59">
        <w:rPr>
          <w:rFonts w:ascii="Garamond" w:hAnsi="Garamond" w:cs="Arial"/>
          <w:i/>
          <w:iCs/>
          <w:color w:val="000000"/>
          <w:lang w:val="en-GB"/>
        </w:rPr>
        <w:t>unterirdische</w:t>
      </w:r>
      <w:r w:rsidRPr="00A06A59">
        <w:rPr>
          <w:rFonts w:ascii="Garamond" w:hAnsi="Garamond" w:cs="Arial"/>
          <w:color w:val="000000"/>
          <w:lang w:val="en-GB"/>
        </w:rPr>
        <w:t xml:space="preserve">« Lokalitäten, die andere Male, ganz ohne Beziehung zur analytischen Kur, den Frauenleib oder den Mutterleib bedeutet hatten. » </w:t>
      </w:r>
      <w:r w:rsidRPr="00A06A59">
        <w:rPr>
          <w:rFonts w:ascii="Garamond" w:hAnsi="Garamond" w:cs="Arial"/>
          <w:i/>
          <w:iCs/>
          <w:color w:val="000000"/>
          <w:lang w:val="en-GB"/>
        </w:rPr>
        <w:t>Unten</w:t>
      </w:r>
      <w:r w:rsidRPr="00A06A59">
        <w:rPr>
          <w:rFonts w:ascii="Garamond" w:hAnsi="Garamond" w:cs="Arial"/>
          <w:color w:val="000000"/>
          <w:lang w:val="en-GB"/>
        </w:rPr>
        <w:t xml:space="preserve">« im Traume bezieht sich sehr häufig auf die Genitalien, das gegensätzliche » </w:t>
      </w:r>
      <w:r w:rsidRPr="00A06A59">
        <w:rPr>
          <w:rFonts w:ascii="Garamond" w:hAnsi="Garamond" w:cs="Arial"/>
          <w:i/>
          <w:iCs/>
          <w:color w:val="000000"/>
          <w:lang w:val="en-GB"/>
        </w:rPr>
        <w:t>oben</w:t>
      </w:r>
      <w:r w:rsidRPr="00A06A59">
        <w:rPr>
          <w:rFonts w:ascii="Garamond" w:hAnsi="Garamond" w:cs="Arial"/>
          <w:color w:val="000000"/>
          <w:lang w:val="en-GB"/>
        </w:rPr>
        <w:t xml:space="preserve">« auf Gesicht, Mund oder Brust. Mit </w:t>
      </w:r>
      <w:r w:rsidRPr="00A06A59">
        <w:rPr>
          <w:rFonts w:ascii="Garamond" w:hAnsi="Garamond" w:cs="Arial"/>
          <w:i/>
          <w:iCs/>
          <w:color w:val="000000"/>
          <w:lang w:val="en-GB"/>
        </w:rPr>
        <w:t>wilden Tieren</w:t>
      </w:r>
      <w:r w:rsidRPr="00A06A59">
        <w:rPr>
          <w:rFonts w:ascii="Garamond" w:hAnsi="Garamond" w:cs="Arial"/>
          <w:color w:val="000000"/>
          <w:lang w:val="en-GB"/>
        </w:rPr>
        <w:t xml:space="preserve"> symbolisiert die Traumarbeit in der Regel leidenschaftliche Triebe, sowohl die des Träumers als auch die anderer Personen, vor denen der Träumer sich fürchtet, also mit einer ganz geringfügigen Verschiebung die Personen selbst, welche die Träger dieser Leidenschaften sind. Von hier ist es nicht weit zu der an den Totemismus anklingenden Darstellung des gefürchteten </w:t>
      </w:r>
      <w:r w:rsidRPr="00A06A59">
        <w:rPr>
          <w:rFonts w:ascii="Garamond" w:hAnsi="Garamond" w:cs="Arial"/>
          <w:i/>
          <w:iCs/>
          <w:color w:val="000000"/>
          <w:lang w:val="en-GB"/>
        </w:rPr>
        <w:t>Vaters</w:t>
      </w:r>
      <w:r w:rsidRPr="00A06A59">
        <w:rPr>
          <w:rFonts w:ascii="Garamond" w:hAnsi="Garamond" w:cs="Arial"/>
          <w:color w:val="000000"/>
          <w:lang w:val="en-GB"/>
        </w:rPr>
        <w:t xml:space="preserve"> durch böse Tiere, Hunde, wilde Pferde. Man könnte sagen, die wilden Tiere dienen zur Darstellung der vom Ich gefürchteten, durch Verdrängung bekämpften Libido. Auch die Neurose selbst, die »kranke Person«, wird oft vom Träumer abgespalten und als selbständige Person im Traume veranschaulicht.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11) (H. </w:t>
      </w:r>
      <w:r w:rsidRPr="00A06A59">
        <w:rPr>
          <w:rFonts w:ascii="Garamond" w:hAnsi="Garamond" w:cs="Arial"/>
          <w:i/>
          <w:iCs/>
          <w:color w:val="000000"/>
          <w:lang w:val="en-GB"/>
        </w:rPr>
        <w:t>Sachs</w:t>
      </w:r>
      <w:r w:rsidRPr="00A06A59">
        <w:rPr>
          <w:rFonts w:ascii="Garamond" w:hAnsi="Garamond" w:cs="Arial"/>
          <w:color w:val="000000"/>
          <w:lang w:val="en-GB"/>
        </w:rPr>
        <w:t xml:space="preserve">) »Aus der › </w:t>
      </w:r>
      <w:r w:rsidRPr="00A06A59">
        <w:rPr>
          <w:rFonts w:ascii="Garamond" w:hAnsi="Garamond" w:cs="Arial"/>
          <w:i/>
          <w:iCs/>
          <w:color w:val="000000"/>
          <w:lang w:val="en-GB"/>
        </w:rPr>
        <w:t>Traumdeutung</w:t>
      </w:r>
      <w:r w:rsidRPr="00A06A59">
        <w:rPr>
          <w:rFonts w:ascii="Garamond" w:hAnsi="Garamond" w:cs="Arial"/>
          <w:color w:val="000000"/>
          <w:lang w:val="en-GB"/>
        </w:rPr>
        <w:t>‹ wissen wir, daß die Traumarbeit verschiedene Wege kennt, um ein Wort oder eine Redewendung sinnlich-anschaulich darzustellen. Sie kann sich z. B. den Umstand, daß der darzustellende Ausdruck zweideutig ist, zunutze machen und, den Doppelsinn als Weiche benutzend, statt der ersten in den Traumgedanken vorkommenden Bedeutung die zweite in den manifesten Trauminhalt aufnehmen.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Dies ist bei dem kleinen, im folgenden mitgeteilten Traume geschehen, und zwar unter geschickter Benutzung der dazu tauglichen rezenten Tageseindrücke als Darstellungsmaterial.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hatte am Traumtage an einer Erkältung gelitten und deshalb am Abend beschlossen, das Bett, wenn irgend möglich, während der Nacht nicht zu verlassen. Der Traum ließ mich scheinbar nur meine Tagesarbeit fortsetzen; ich hatte mich damit beschäftigt, Zeitungsausschnitte in ein Buch zu kleben, wobei ich bestrebt war, jedem Ausschnitt den passenden Platz anzuweisen. Der Traum lautete: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Ich bemühe mich, einen Ausschnitt in das Buch zu kleben; er geht aber nicht auf die Seite, was mir großen Schmerz verursacht.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erwachte und mußte konstatieren, daß der Schmerz des Traums als realer Leibschmerz andauere, der mich denn auch zwang, meinem Vorsatz untreu zu werden. Der Traum hatte mir als Hüter des Schlafes die Erfüllung meines Wunsches, im Bette zu bleiben, durch die Darstellung der Worte er geht aber nicht auf die Seite vorgetäuscht.«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Man darf geradezu sagen, die Traumarbeit bediene sich zur visuellen Darstellung der Traumgedanken aller ihr zugänglichen Mittel, ob sie der Wachkritik erlaubt oder unerlaubt erscheinen mögen, und setzt sich dadurch dem Zweifel wie dem Gespött aller jener aus, die von Traumdeutung nur gehört und sie nicht selbst geübt haben. An solchen Beispielen ist besonders das Buch von </w:t>
      </w:r>
      <w:r w:rsidRPr="00A06A59">
        <w:rPr>
          <w:rFonts w:ascii="Garamond" w:hAnsi="Garamond" w:cs="Arial"/>
          <w:i/>
          <w:iCs/>
          <w:color w:val="000000"/>
          <w:lang w:val="en-GB"/>
        </w:rPr>
        <w:t>Stekel</w:t>
      </w:r>
      <w:r w:rsidRPr="00A06A59">
        <w:rPr>
          <w:rFonts w:ascii="Garamond" w:hAnsi="Garamond" w:cs="Arial"/>
          <w:color w:val="000000"/>
          <w:lang w:val="en-GB"/>
        </w:rPr>
        <w:t xml:space="preserve">, </w:t>
      </w:r>
      <w:r w:rsidRPr="00A06A59">
        <w:rPr>
          <w:rFonts w:ascii="Garamond" w:hAnsi="Garamond" w:cs="Arial"/>
          <w:i/>
          <w:iCs/>
          <w:color w:val="000000"/>
          <w:lang w:val="en-GB"/>
        </w:rPr>
        <w:t>Die Sprache des Traumes</w:t>
      </w:r>
      <w:r w:rsidRPr="00A06A59">
        <w:rPr>
          <w:rFonts w:ascii="Garamond" w:hAnsi="Garamond" w:cs="Arial"/>
          <w:color w:val="000000"/>
          <w:lang w:val="en-GB"/>
        </w:rPr>
        <w:t xml:space="preserve"> , reich, doch vermeide ich es, von dort die Belege zu entnehmen, weil die Kritiklosigkeit und technische Willkür des Autors auch den nicht in Vorurteilen Befangenen unsicher machen.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12) Aus einer Arbeit von V. Tausk, ›Kleider und Farben im Dienste der Traumdarstellung‹ (Int. Zeitschr. f. PsA., 1914):</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a)</w:t>
      </w:r>
      <w:r w:rsidRPr="00A06A59">
        <w:rPr>
          <w:rFonts w:ascii="Garamond" w:hAnsi="Garamond" w:cs="Arial"/>
          <w:color w:val="000000"/>
          <w:lang w:val="en-GB"/>
        </w:rPr>
        <w:t xml:space="preserve"> A. träumt, </w:t>
      </w:r>
      <w:r w:rsidRPr="00A06A59">
        <w:rPr>
          <w:rFonts w:ascii="Garamond" w:hAnsi="Garamond" w:cs="Arial"/>
          <w:i/>
          <w:iCs/>
          <w:color w:val="000000"/>
          <w:lang w:val="en-GB"/>
        </w:rPr>
        <w:t>er sehe seine frühere Gouvernante im schwarzen Lüsterkleid, das über dem Gesäß straff anliegt</w:t>
      </w:r>
      <w:r w:rsidRPr="00A06A59">
        <w:rPr>
          <w:rFonts w:ascii="Garamond" w:hAnsi="Garamond" w:cs="Arial"/>
          <w:color w:val="000000"/>
          <w:lang w:val="en-GB"/>
        </w:rPr>
        <w:t xml:space="preserve">. – Das heißt, er erklärt diese Frau für </w:t>
      </w:r>
      <w:r w:rsidRPr="00A06A59">
        <w:rPr>
          <w:rFonts w:ascii="Garamond" w:hAnsi="Garamond" w:cs="Arial"/>
          <w:i/>
          <w:iCs/>
          <w:color w:val="000000"/>
          <w:lang w:val="en-GB"/>
        </w:rPr>
        <w:t>lüstern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b)</w:t>
      </w:r>
      <w:r w:rsidRPr="00A06A59">
        <w:rPr>
          <w:rFonts w:ascii="Garamond" w:hAnsi="Garamond" w:cs="Arial"/>
          <w:color w:val="000000"/>
          <w:lang w:val="en-GB"/>
        </w:rPr>
        <w:t xml:space="preserve"> C. sieht im Traum </w:t>
      </w:r>
      <w:r w:rsidRPr="00A06A59">
        <w:rPr>
          <w:rFonts w:ascii="Garamond" w:hAnsi="Garamond" w:cs="Arial"/>
          <w:i/>
          <w:iCs/>
          <w:color w:val="000000"/>
          <w:lang w:val="en-GB"/>
        </w:rPr>
        <w:t>auf der X-er Landstraße ein Mädchen, von weißem Licht umflossen und mit einer weißen Bluse bekleidet</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Träumer hat auf jener Landstraße mit einem Fräulein </w:t>
      </w:r>
      <w:r w:rsidRPr="00A06A59">
        <w:rPr>
          <w:rFonts w:ascii="Garamond" w:hAnsi="Garamond" w:cs="Arial"/>
          <w:i/>
          <w:iCs/>
          <w:color w:val="000000"/>
          <w:lang w:val="en-GB"/>
        </w:rPr>
        <w:t>Weiß</w:t>
      </w:r>
      <w:r w:rsidRPr="00A06A59">
        <w:rPr>
          <w:rFonts w:ascii="Garamond" w:hAnsi="Garamond" w:cs="Arial"/>
          <w:color w:val="000000"/>
          <w:lang w:val="en-GB"/>
        </w:rPr>
        <w:t xml:space="preserve"> die ersten Intimitäten ausgetauscht.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c)</w:t>
      </w:r>
      <w:r w:rsidRPr="00A06A59">
        <w:rPr>
          <w:rFonts w:ascii="Garamond" w:hAnsi="Garamond" w:cs="Arial"/>
          <w:color w:val="000000"/>
          <w:lang w:val="en-GB"/>
        </w:rPr>
        <w:t xml:space="preserve"> Frau D. träumt, sie sehe </w:t>
      </w:r>
      <w:r w:rsidRPr="00A06A59">
        <w:rPr>
          <w:rFonts w:ascii="Garamond" w:hAnsi="Garamond" w:cs="Arial"/>
          <w:i/>
          <w:iCs/>
          <w:color w:val="000000"/>
          <w:lang w:val="en-GB"/>
        </w:rPr>
        <w:t>den alten Blasel (einen 80jährigen Wiener Schauspieler) in voller Rüstung auf dem Diwan liegen. Dann springt er über Tische und Stühle, zieht seinen Degen, sieht sich dabei im Spiegel und fuchtelt mit dem Degen in der Luft herum, als kämpfe er gegen einen eingebildeten Feind</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Deutung:</w:t>
      </w:r>
      <w:r w:rsidRPr="00A06A59">
        <w:rPr>
          <w:rFonts w:ascii="Garamond" w:hAnsi="Garamond" w:cs="Arial"/>
          <w:color w:val="000000"/>
          <w:lang w:val="en-GB"/>
        </w:rPr>
        <w:t xml:space="preserve"> Die Träumerin hat ein </w:t>
      </w:r>
      <w:r w:rsidRPr="00A06A59">
        <w:rPr>
          <w:rFonts w:ascii="Garamond" w:hAnsi="Garamond" w:cs="Arial"/>
          <w:i/>
          <w:iCs/>
          <w:color w:val="000000"/>
          <w:lang w:val="en-GB"/>
        </w:rPr>
        <w:t>altes Blasenleiden</w:t>
      </w:r>
      <w:r w:rsidRPr="00A06A59">
        <w:rPr>
          <w:rFonts w:ascii="Garamond" w:hAnsi="Garamond" w:cs="Arial"/>
          <w:color w:val="000000"/>
          <w:lang w:val="en-GB"/>
        </w:rPr>
        <w:t xml:space="preserve">. Sie liegt bei der Analyse auf dem Diwan, und wenn sie sich im Spiegel sieht, dann kommt sie sich insgeheim trotz ihrer Jahre und ihrer Krankheit noch </w:t>
      </w:r>
      <w:r w:rsidRPr="00A06A59">
        <w:rPr>
          <w:rFonts w:ascii="Garamond" w:hAnsi="Garamond" w:cs="Arial"/>
          <w:i/>
          <w:iCs/>
          <w:color w:val="000000"/>
          <w:lang w:val="en-GB"/>
        </w:rPr>
        <w:t>sehr rüstig</w:t>
      </w:r>
      <w:r w:rsidRPr="00A06A59">
        <w:rPr>
          <w:rFonts w:ascii="Garamond" w:hAnsi="Garamond" w:cs="Arial"/>
          <w:color w:val="000000"/>
          <w:lang w:val="en-GB"/>
        </w:rPr>
        <w:t xml:space="preserve"> vor.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13) Die »große Leistung« im Traume.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männliche Träumer sieht sich </w:t>
      </w:r>
      <w:r w:rsidRPr="00A06A59">
        <w:rPr>
          <w:rFonts w:ascii="Garamond" w:hAnsi="Garamond" w:cs="Arial"/>
          <w:i/>
          <w:iCs/>
          <w:color w:val="000000"/>
          <w:lang w:val="en-GB"/>
        </w:rPr>
        <w:t>als gravides Weib im Bette liegend. Der Zustand wird ihm sehr beschwerlich. Er ruft aus: Da will ich doch lieber...</w:t>
      </w:r>
      <w:r w:rsidRPr="00A06A59">
        <w:rPr>
          <w:rFonts w:ascii="Garamond" w:hAnsi="Garamond" w:cs="Arial"/>
          <w:color w:val="000000"/>
          <w:lang w:val="en-GB"/>
        </w:rPr>
        <w:t xml:space="preserve"> (in der Analyse ergänzt er, nach einer Erinnerung an eine Pflegeperson: Steine klopfen). </w:t>
      </w:r>
      <w:r w:rsidRPr="00A06A59">
        <w:rPr>
          <w:rFonts w:ascii="Garamond" w:hAnsi="Garamond" w:cs="Arial"/>
          <w:i/>
          <w:iCs/>
          <w:color w:val="000000"/>
          <w:lang w:val="en-GB"/>
        </w:rPr>
        <w:t>Hinter seinem Bett hängt eine Landkarte, deren unterer Rand durch eine Holzleiste gespannt erhalten wird. Er reißt diese Leiste herunter, indem er sie an beiden Enden packt, wobei sie aber nicht quer bricht, sondern in zwei Längshälften zersplittert. Damit hat er sich erleichtert und auch die Geburt befördert.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Er deutet ohne Hilfe das Herunterreißen der </w:t>
      </w:r>
      <w:r w:rsidRPr="00A06A59">
        <w:rPr>
          <w:rFonts w:ascii="Garamond" w:hAnsi="Garamond" w:cs="Arial"/>
          <w:i/>
          <w:iCs/>
          <w:color w:val="000000"/>
          <w:lang w:val="en-GB"/>
        </w:rPr>
        <w:t>Leiste</w:t>
      </w:r>
      <w:r w:rsidRPr="00A06A59">
        <w:rPr>
          <w:rFonts w:ascii="Garamond" w:hAnsi="Garamond" w:cs="Arial"/>
          <w:color w:val="000000"/>
          <w:lang w:val="en-GB"/>
        </w:rPr>
        <w:t xml:space="preserve"> als eine große » </w:t>
      </w:r>
      <w:r w:rsidRPr="00A06A59">
        <w:rPr>
          <w:rFonts w:ascii="Garamond" w:hAnsi="Garamond" w:cs="Arial"/>
          <w:i/>
          <w:iCs/>
          <w:color w:val="000000"/>
          <w:lang w:val="en-GB"/>
        </w:rPr>
        <w:t>Leistung</w:t>
      </w:r>
      <w:r w:rsidRPr="00A06A59">
        <w:rPr>
          <w:rFonts w:ascii="Garamond" w:hAnsi="Garamond" w:cs="Arial"/>
          <w:color w:val="000000"/>
          <w:lang w:val="en-GB"/>
        </w:rPr>
        <w:t>«, durch welche er sich aus seiner unbehaglichen Situation (in der Kur) befreit, indem er sich aus seiner weiblichen Einstellung herausreißt ... Das absurde Detail, daß die Holzleiste nicht nur bricht, sondern der Länge nach splittert, findet seine Erklärung, indem der Träumer erinnert, daß die Verdoppelung im Verein mit der Zerstörung eine Anspielung auf die Kastration enthält. Der Traum stellt sehr häufig die Kastration im trotzigen Wunschgegensatz durch das Vorhandensein von zwei Penissymbolen dar. Die »Leiste« ist ja auch eine den Genitalien nahe liegende Körperregion. Er fügt dann die Deutung zusammen, er überwinde die Kastrationsdrohung, welche ihn in die weibliche Einstellung gebracht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14) In einer von mir französisch durchgeführten Analyse ist ein Traum zu deuten, in dem ich als Elefant erscheine. Ich muß natürlich fragen, wie ich zu dieser Darstellung komme. » </w:t>
      </w:r>
      <w:r w:rsidRPr="00A06A59">
        <w:rPr>
          <w:rFonts w:ascii="Garamond" w:hAnsi="Garamond" w:cs="Arial"/>
          <w:i/>
          <w:iCs/>
          <w:color w:val="000000"/>
          <w:lang w:val="en-GB"/>
        </w:rPr>
        <w:t>Vous me trompez</w:t>
      </w:r>
      <w:r w:rsidRPr="00A06A59">
        <w:rPr>
          <w:rFonts w:ascii="Garamond" w:hAnsi="Garamond" w:cs="Arial"/>
          <w:color w:val="000000"/>
          <w:lang w:val="en-GB"/>
        </w:rPr>
        <w:t xml:space="preserve">«, antwortet der Träumer ( </w:t>
      </w:r>
      <w:r w:rsidRPr="00A06A59">
        <w:rPr>
          <w:rFonts w:ascii="Garamond" w:hAnsi="Garamond" w:cs="Arial"/>
          <w:i/>
          <w:iCs/>
          <w:color w:val="000000"/>
          <w:lang w:val="en-GB"/>
        </w:rPr>
        <w:t>trompe =</w:t>
      </w:r>
      <w:r w:rsidRPr="00A06A59">
        <w:rPr>
          <w:rFonts w:ascii="Garamond" w:hAnsi="Garamond" w:cs="Arial"/>
          <w:color w:val="000000"/>
          <w:lang w:val="en-GB"/>
        </w:rPr>
        <w:t xml:space="preserve"> Rüssel).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Traumarbeit gelingt oft auch die Darstellung von sehr sprödem Material, wie es etwa Eigennamen sind, durch gezwungene Verwertung sehr entlegener Beziehungen. In einem meiner Träume </w:t>
      </w:r>
      <w:r w:rsidRPr="00A06A59">
        <w:rPr>
          <w:rFonts w:ascii="Garamond" w:hAnsi="Garamond" w:cs="Arial"/>
          <w:i/>
          <w:iCs/>
          <w:color w:val="000000"/>
          <w:lang w:val="en-GB"/>
        </w:rPr>
        <w:t>hat mir der alte Brücke eine Aufgabe gestellt. Ich fertige ein Präparat an und klaube etwas heraus, was wie zerknülltes Silberpapier aussieht.</w:t>
      </w:r>
      <w:r w:rsidRPr="00A06A59">
        <w:rPr>
          <w:rFonts w:ascii="Garamond" w:hAnsi="Garamond" w:cs="Arial"/>
          <w:color w:val="000000"/>
          <w:lang w:val="en-GB"/>
        </w:rPr>
        <w:t xml:space="preserve"> (Von diesem Traume noch später mehr.) Der nicht leicht auffindbare Einfall dazu ergibt: »Stanniol«, und nun weiß ich, daß ich den Autornamen </w:t>
      </w:r>
      <w:r w:rsidRPr="00A06A59">
        <w:rPr>
          <w:rFonts w:ascii="Garamond" w:hAnsi="Garamond" w:cs="Arial"/>
          <w:i/>
          <w:iCs/>
          <w:color w:val="000000"/>
          <w:lang w:val="en-GB"/>
        </w:rPr>
        <w:t>Stannius</w:t>
      </w:r>
      <w:r w:rsidRPr="00A06A59">
        <w:rPr>
          <w:rFonts w:ascii="Garamond" w:hAnsi="Garamond" w:cs="Arial"/>
          <w:color w:val="000000"/>
          <w:lang w:val="en-GB"/>
        </w:rPr>
        <w:t xml:space="preserve"> meine, den eine von mir in früheren Jahren mit Ehrfurcht betrachtete Abhandlung über das Nervensystem </w:t>
      </w:r>
      <w:r w:rsidRPr="00A06A59">
        <w:rPr>
          <w:rFonts w:ascii="Garamond" w:hAnsi="Garamond" w:cs="Arial"/>
          <w:color w:val="000000"/>
          <w:lang w:val="en-GB"/>
        </w:rPr>
        <w:lastRenderedPageBreak/>
        <w:t>der Fische trägt. Die erste wissenschaftliche Aufgabe, die mir mein Lehrer gestellt, bezog sich wirklich auf das Nervensystem eines Fisches, des Ammocoetes. Letzterer Name war im Bilderrätsel offenbar gar nicht zu gebrauchen.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will mir nicht versagen, hier noch einen Traum mit sonderbarem Inhalt einzuschalten, der auch noch als Kindertraum bemerkenswert ist und sich durch die Analyse sehr leicht aufklärt. Eine Dame erzählt: Ich kann mich erinnern, daß ich als Kind wiederholt geträumt habe, </w:t>
      </w:r>
      <w:r w:rsidRPr="00A06A59">
        <w:rPr>
          <w:rFonts w:ascii="Garamond" w:hAnsi="Garamond" w:cs="Arial"/>
          <w:i/>
          <w:iCs/>
          <w:color w:val="000000"/>
          <w:lang w:val="en-GB"/>
        </w:rPr>
        <w:t>der liebe Gott habe einen zugespitzten Papierhut auf dem Kopfe</w:t>
      </w:r>
      <w:r w:rsidRPr="00A06A59">
        <w:rPr>
          <w:rFonts w:ascii="Garamond" w:hAnsi="Garamond" w:cs="Arial"/>
          <w:color w:val="000000"/>
          <w:lang w:val="en-GB"/>
        </w:rPr>
        <w:t>. Einen solchen Hut pflegte man mir nämlich sehr oft bei Tische aufzusetzen, damit ich nicht auf die Teller der anderen Kinder hinschauen könne, wieviel sie von dem betreffenden Gericht bekommen haben. Da ich gehört habe, Gott sei allwissend, so bedeutet der Traum, ich wisse alles auch trotz des aufgesetzten Hutes.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Worin die Traumarbeit besteht und wie sie mit ihrem Material, den Traumgedanken, umspringt, läßt sich in lehrreicher Weise an den Zahlen und Rechnungen zeigen, die in Träumen vorkommen. Geträumte Zahlen gelten überdies dem Aberglauben als besonders verheißungsvoll. Ich werde also einige Beispiele solcher Art aus meiner Sammlung heraussuchen.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1. Aus dem Traum einer Dame, kurz vor Beendigung ihrer Kur: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 xml:space="preserve">Sie will irgend etwas bezahlen; ihre Tochter nimmt ihr </w:t>
      </w:r>
      <w:r w:rsidRPr="00A06A59">
        <w:rPr>
          <w:rFonts w:ascii="Garamond" w:hAnsi="Garamond" w:cs="Arial"/>
          <w:b/>
          <w:bCs/>
          <w:i/>
          <w:iCs/>
          <w:color w:val="000000"/>
          <w:lang w:val="en-GB"/>
        </w:rPr>
        <w:t>3 fl. 65 kr.</w:t>
      </w:r>
      <w:r w:rsidRPr="00A06A59">
        <w:rPr>
          <w:rFonts w:ascii="Garamond" w:hAnsi="Garamond" w:cs="Arial"/>
          <w:i/>
          <w:iCs/>
          <w:color w:val="000000"/>
          <w:lang w:val="en-GB"/>
        </w:rPr>
        <w:t xml:space="preserve"> aus der Geldtasche; sie sagt aber: Was tust du? Es kostet ja nur </w:t>
      </w:r>
      <w:r w:rsidRPr="00A06A59">
        <w:rPr>
          <w:rFonts w:ascii="Garamond" w:hAnsi="Garamond" w:cs="Arial"/>
          <w:b/>
          <w:bCs/>
          <w:i/>
          <w:iCs/>
          <w:color w:val="000000"/>
          <w:lang w:val="en-GB"/>
        </w:rPr>
        <w:t>21 kr.</w:t>
      </w:r>
      <w:r w:rsidRPr="00A06A59">
        <w:rPr>
          <w:rFonts w:ascii="Garamond" w:hAnsi="Garamond" w:cs="Arial"/>
          <w:color w:val="000000"/>
          <w:lang w:val="en-GB"/>
        </w:rPr>
        <w:t xml:space="preserve"> Dieses Stückchen Traum war mir durch die Verhältnisse der Träumerin ohne weitere Aufklärung ihrerseits verständlich. Die Dame war eine Fremde, die ihre Tochter in einem Wiener Erziehungsinstitute untergebracht hatte und die meine Behandlung fortsetzen konnte, solange ihre Tochter in Wien blieb. In drei Wochen war deren Schuljahr zu Ende, und damit endete auch die Kur. Am Tage vor dem Traum hatte ihr die Institutsvorsteherin nahegelegt, ob sie sich nicht entschließen könnte, das Kind noch ein weiteres Jahr bei ihr zu lassen. Sie hatte dann offenbar bei sich diese Anregung dahin fortgesetzt, daß sie in diesem Falle auch die Behandlung um ein Jahr verlängern könnte. Darauf bezieht sich nun der Traum, denn ein Jahr ist gleich </w:t>
      </w:r>
      <w:r w:rsidRPr="00A06A59">
        <w:rPr>
          <w:rFonts w:ascii="Garamond" w:hAnsi="Garamond" w:cs="Arial"/>
          <w:b/>
          <w:bCs/>
          <w:color w:val="000000"/>
          <w:lang w:val="en-GB"/>
        </w:rPr>
        <w:t>365</w:t>
      </w:r>
      <w:r w:rsidRPr="00A06A59">
        <w:rPr>
          <w:rFonts w:ascii="Garamond" w:hAnsi="Garamond" w:cs="Arial"/>
          <w:color w:val="000000"/>
          <w:lang w:val="en-GB"/>
        </w:rPr>
        <w:t xml:space="preserve"> Tagen, die drei Wochen bis zum Abschluß des Schuljahres und der Kur lassen sich ersetzen durch </w:t>
      </w:r>
      <w:r w:rsidRPr="00A06A59">
        <w:rPr>
          <w:rFonts w:ascii="Garamond" w:hAnsi="Garamond" w:cs="Arial"/>
          <w:b/>
          <w:bCs/>
          <w:color w:val="000000"/>
          <w:lang w:val="en-GB"/>
        </w:rPr>
        <w:t>21</w:t>
      </w:r>
      <w:r w:rsidRPr="00A06A59">
        <w:rPr>
          <w:rFonts w:ascii="Garamond" w:hAnsi="Garamond" w:cs="Arial"/>
          <w:color w:val="000000"/>
          <w:lang w:val="en-GB"/>
        </w:rPr>
        <w:t xml:space="preserve"> Tage (wenngleich nicht ebenso viele Behandlungsstunden). Die Zahlen, die in den Traumgedanken bei Zeiten standen, werden im Traum Geldwerten beigesetzt, nicht ohne daß damit ein tieferer Sinn zum Ausdruck käme, denn » </w:t>
      </w:r>
      <w:r w:rsidRPr="00A06A59">
        <w:rPr>
          <w:rFonts w:ascii="Garamond" w:hAnsi="Garamond" w:cs="Arial"/>
          <w:i/>
          <w:iCs/>
          <w:color w:val="000000"/>
          <w:lang w:val="en-GB"/>
        </w:rPr>
        <w:t>Time is money</w:t>
      </w:r>
      <w:r w:rsidRPr="00A06A59">
        <w:rPr>
          <w:rFonts w:ascii="Garamond" w:hAnsi="Garamond" w:cs="Arial"/>
          <w:color w:val="000000"/>
          <w:lang w:val="en-GB"/>
        </w:rPr>
        <w:t xml:space="preserve">«, Zeit hat Geldwert. </w:t>
      </w:r>
      <w:r w:rsidRPr="00A06A59">
        <w:rPr>
          <w:rFonts w:ascii="Garamond" w:hAnsi="Garamond" w:cs="Arial"/>
          <w:b/>
          <w:bCs/>
          <w:color w:val="000000"/>
          <w:lang w:val="en-GB"/>
        </w:rPr>
        <w:t>365</w:t>
      </w:r>
      <w:r w:rsidRPr="00A06A59">
        <w:rPr>
          <w:rFonts w:ascii="Garamond" w:hAnsi="Garamond" w:cs="Arial"/>
          <w:color w:val="000000"/>
          <w:lang w:val="en-GB"/>
        </w:rPr>
        <w:t xml:space="preserve"> Kreuzer sind dann allerdings </w:t>
      </w:r>
      <w:r w:rsidRPr="00A06A59">
        <w:rPr>
          <w:rFonts w:ascii="Garamond" w:hAnsi="Garamond" w:cs="Arial"/>
          <w:b/>
          <w:bCs/>
          <w:color w:val="000000"/>
          <w:lang w:val="en-GB"/>
        </w:rPr>
        <w:t>3</w:t>
      </w:r>
      <w:r w:rsidRPr="00A06A59">
        <w:rPr>
          <w:rFonts w:ascii="Garamond" w:hAnsi="Garamond" w:cs="Arial"/>
          <w:color w:val="000000"/>
          <w:lang w:val="en-GB"/>
        </w:rPr>
        <w:t xml:space="preserve"> Gulden </w:t>
      </w:r>
      <w:r w:rsidRPr="00A06A59">
        <w:rPr>
          <w:rFonts w:ascii="Garamond" w:hAnsi="Garamond" w:cs="Arial"/>
          <w:b/>
          <w:bCs/>
          <w:color w:val="000000"/>
          <w:lang w:val="en-GB"/>
        </w:rPr>
        <w:t>65</w:t>
      </w:r>
      <w:r w:rsidRPr="00A06A59">
        <w:rPr>
          <w:rFonts w:ascii="Garamond" w:hAnsi="Garamond" w:cs="Arial"/>
          <w:color w:val="000000"/>
          <w:lang w:val="en-GB"/>
        </w:rPr>
        <w:t xml:space="preserve"> Kreuzer. Die Kleinheit der im Traum erscheinenden Summen ist offenkundige Wunscherfüllung; der Wunsch hat die Kosten der Behandlung wie des Lehrjahres im Institut verkleinert.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2. Zu komplizierteren Beziehungen führen die Zahlen in einem anderen Traum. Eine junge, aber schon seit einer Reihe von Jahren verheiratete Dame erfährt, daß eine ihr fast gleichalterige Bekannte, EliseL., sich eben verlobt hat. Daraufhin träumt sie: </w:t>
      </w:r>
      <w:r w:rsidRPr="00A06A59">
        <w:rPr>
          <w:rFonts w:ascii="Garamond" w:hAnsi="Garamond" w:cs="Arial"/>
          <w:i/>
          <w:iCs/>
          <w:color w:val="000000"/>
          <w:lang w:val="en-GB"/>
        </w:rPr>
        <w:t>Sie sitzt mit ihrem Manne im Theater, eine Seite des Parketts ist ganz unbesetzt. Ihr Mann erzählt ihr, Elise L. und ihr Bräutigam hätten auch gehen wollen, hätten abernur schlechte Sitze bekommen, 3 für 1 fl. 50 kr., und die konnten sie ja nicht nehmen. Sie meint, es wäre auch kein Unglück gewesen.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Woher rühren die </w:t>
      </w:r>
      <w:r w:rsidRPr="00A06A59">
        <w:rPr>
          <w:rFonts w:ascii="Garamond" w:hAnsi="Garamond" w:cs="Arial"/>
          <w:b/>
          <w:bCs/>
          <w:color w:val="000000"/>
          <w:lang w:val="en-GB"/>
        </w:rPr>
        <w:t>1 fl. 50 kr.?</w:t>
      </w:r>
      <w:r w:rsidRPr="00A06A59">
        <w:rPr>
          <w:rFonts w:ascii="Garamond" w:hAnsi="Garamond" w:cs="Arial"/>
          <w:color w:val="000000"/>
          <w:lang w:val="en-GB"/>
        </w:rPr>
        <w:t xml:space="preserve"> Aus einem eigentlich indifferenten Anlaß des Vortages. Ihre Schwägerin hatte von ihrem Manne </w:t>
      </w:r>
      <w:r w:rsidRPr="00A06A59">
        <w:rPr>
          <w:rFonts w:ascii="Garamond" w:hAnsi="Garamond" w:cs="Arial"/>
          <w:b/>
          <w:bCs/>
          <w:color w:val="000000"/>
          <w:lang w:val="en-GB"/>
        </w:rPr>
        <w:t>150 fl.</w:t>
      </w:r>
      <w:r w:rsidRPr="00A06A59">
        <w:rPr>
          <w:rFonts w:ascii="Garamond" w:hAnsi="Garamond" w:cs="Arial"/>
          <w:color w:val="000000"/>
          <w:lang w:val="en-GB"/>
        </w:rPr>
        <w:t xml:space="preserve"> zum Geschenk bekommen und sich beeilt, sie loszuwerden, indem sie sich einen Schmuck dafür kaufte. Wir wollen anmerken, daß 150 fl. </w:t>
      </w:r>
      <w:r w:rsidRPr="00A06A59">
        <w:rPr>
          <w:rFonts w:ascii="Garamond" w:hAnsi="Garamond" w:cs="Arial"/>
          <w:i/>
          <w:iCs/>
          <w:color w:val="000000"/>
          <w:lang w:val="en-GB"/>
        </w:rPr>
        <w:t>100mal</w:t>
      </w:r>
      <w:r w:rsidRPr="00A06A59">
        <w:rPr>
          <w:rFonts w:ascii="Garamond" w:hAnsi="Garamond" w:cs="Arial"/>
          <w:color w:val="000000"/>
          <w:lang w:val="en-GB"/>
        </w:rPr>
        <w:t xml:space="preserve"> mehr ist als 1 fl. 50 kr. Woher die </w:t>
      </w:r>
      <w:r w:rsidRPr="00A06A59">
        <w:rPr>
          <w:rFonts w:ascii="Garamond" w:hAnsi="Garamond" w:cs="Arial"/>
          <w:b/>
          <w:bCs/>
          <w:color w:val="000000"/>
          <w:lang w:val="en-GB"/>
        </w:rPr>
        <w:t>3.</w:t>
      </w:r>
      <w:r w:rsidRPr="00A06A59">
        <w:rPr>
          <w:rFonts w:ascii="Garamond" w:hAnsi="Garamond" w:cs="Arial"/>
          <w:color w:val="000000"/>
          <w:lang w:val="en-GB"/>
        </w:rPr>
        <w:t xml:space="preserve"> die bei den Theatersitzen steht? Dafür ergibt sich nur die eine Anknüpfung, daß die Braut um ebensoviel Monate </w:t>
      </w:r>
      <w:r w:rsidRPr="00A06A59">
        <w:rPr>
          <w:rFonts w:ascii="Garamond" w:hAnsi="Garamond" w:cs="Arial"/>
          <w:i/>
          <w:iCs/>
          <w:color w:val="000000"/>
          <w:lang w:val="en-GB"/>
        </w:rPr>
        <w:t>drei</w:t>
      </w:r>
      <w:r w:rsidRPr="00A06A59">
        <w:rPr>
          <w:rFonts w:ascii="Garamond" w:hAnsi="Garamond" w:cs="Arial"/>
          <w:color w:val="000000"/>
          <w:lang w:val="en-GB"/>
        </w:rPr>
        <w:t xml:space="preserve"> jünger ist als sie. Zur Auflösung des Traumes führt dann die Erkundigung, was der Zug im Traum, daß eine Seite des Parketts leer bleibt, bedeuten kann. Derselbe ist eine unveränderte Anspielung auf eine kleine Begebenheit, die ihrem Manne guten Grund zur Neckerei gegeben hat. Sie hatte sich vorgenommen, zu einer der angekündigten Theatervorstellungen der Woche zu gehen, und war so vorsorglich, mehrere Tage vorher Karten zu nehmen, für die sie Vorkaufsgebühr zu zahlen hatte. Als sie dann ins Theater kamen, fanden sie, daß die eine Seite des Hauses fast leer war; sie hätte es </w:t>
      </w:r>
      <w:r w:rsidRPr="00A06A59">
        <w:rPr>
          <w:rFonts w:ascii="Garamond" w:hAnsi="Garamond" w:cs="Arial"/>
          <w:i/>
          <w:iCs/>
          <w:color w:val="000000"/>
          <w:lang w:val="en-GB"/>
        </w:rPr>
        <w:t>nicht nötig gehabt, sich so sehr zu beeilen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werde jetzt den Traum durch die Traumgedanken ersetzen: »Ein </w:t>
      </w:r>
      <w:r w:rsidRPr="00A06A59">
        <w:rPr>
          <w:rFonts w:ascii="Garamond" w:hAnsi="Garamond" w:cs="Arial"/>
          <w:i/>
          <w:iCs/>
          <w:color w:val="000000"/>
          <w:lang w:val="en-GB"/>
        </w:rPr>
        <w:t>Unsinn</w:t>
      </w:r>
      <w:r w:rsidRPr="00A06A59">
        <w:rPr>
          <w:rFonts w:ascii="Garamond" w:hAnsi="Garamond" w:cs="Arial"/>
          <w:color w:val="000000"/>
          <w:lang w:val="en-GB"/>
        </w:rPr>
        <w:t xml:space="preserve"> war es doch, so früh zu heiraten, ich hätte </w:t>
      </w:r>
      <w:r w:rsidRPr="00A06A59">
        <w:rPr>
          <w:rFonts w:ascii="Garamond" w:hAnsi="Garamond" w:cs="Arial"/>
          <w:i/>
          <w:iCs/>
          <w:color w:val="000000"/>
          <w:lang w:val="en-GB"/>
        </w:rPr>
        <w:t>es nicht nötig gehabt, mich so zu beeilen</w:t>
      </w:r>
      <w:r w:rsidRPr="00A06A59">
        <w:rPr>
          <w:rFonts w:ascii="Garamond" w:hAnsi="Garamond" w:cs="Arial"/>
          <w:color w:val="000000"/>
          <w:lang w:val="en-GB"/>
        </w:rPr>
        <w:t xml:space="preserve">. An dem Beispiele der EliseL. sehe ich, daß ich noch immer einen Mann bekommen hätte. Und zwar einen </w:t>
      </w:r>
      <w:r w:rsidRPr="00A06A59">
        <w:rPr>
          <w:rFonts w:ascii="Garamond" w:hAnsi="Garamond" w:cs="Arial"/>
          <w:i/>
          <w:iCs/>
          <w:color w:val="000000"/>
          <w:lang w:val="en-GB"/>
        </w:rPr>
        <w:t>hundertmal</w:t>
      </w:r>
      <w:r w:rsidRPr="00A06A59">
        <w:rPr>
          <w:rFonts w:ascii="Garamond" w:hAnsi="Garamond" w:cs="Arial"/>
          <w:color w:val="000000"/>
          <w:lang w:val="en-GB"/>
        </w:rPr>
        <w:t xml:space="preserve"> besseren (Mann, Schatz), wenn ich nur </w:t>
      </w:r>
      <w:r w:rsidRPr="00A06A59">
        <w:rPr>
          <w:rFonts w:ascii="Garamond" w:hAnsi="Garamond" w:cs="Arial"/>
          <w:i/>
          <w:iCs/>
          <w:color w:val="000000"/>
          <w:lang w:val="en-GB"/>
        </w:rPr>
        <w:t>gewartet</w:t>
      </w:r>
      <w:r w:rsidRPr="00A06A59">
        <w:rPr>
          <w:rFonts w:ascii="Garamond" w:hAnsi="Garamond" w:cs="Arial"/>
          <w:color w:val="000000"/>
          <w:lang w:val="en-GB"/>
        </w:rPr>
        <w:t xml:space="preserve"> hätte (Gegensatz zu dem </w:t>
      </w:r>
      <w:r w:rsidRPr="00A06A59">
        <w:rPr>
          <w:rFonts w:ascii="Garamond" w:hAnsi="Garamond" w:cs="Arial"/>
          <w:i/>
          <w:iCs/>
          <w:color w:val="000000"/>
          <w:lang w:val="en-GB"/>
        </w:rPr>
        <w:t>Beeilen</w:t>
      </w:r>
      <w:r w:rsidRPr="00A06A59">
        <w:rPr>
          <w:rFonts w:ascii="Garamond" w:hAnsi="Garamond" w:cs="Arial"/>
          <w:color w:val="000000"/>
          <w:lang w:val="en-GB"/>
        </w:rPr>
        <w:t xml:space="preserve"> der Schwägerin). </w:t>
      </w:r>
      <w:r w:rsidRPr="00A06A59">
        <w:rPr>
          <w:rFonts w:ascii="Garamond" w:hAnsi="Garamond" w:cs="Arial"/>
          <w:i/>
          <w:iCs/>
          <w:color w:val="000000"/>
          <w:lang w:val="en-GB"/>
        </w:rPr>
        <w:t>Drei</w:t>
      </w:r>
      <w:r w:rsidRPr="00A06A59">
        <w:rPr>
          <w:rFonts w:ascii="Garamond" w:hAnsi="Garamond" w:cs="Arial"/>
          <w:color w:val="000000"/>
          <w:lang w:val="en-GB"/>
        </w:rPr>
        <w:t xml:space="preserve"> solche Männer hätte ich für das Geld (die Mitgift) kaufen können!« Wir werden darauf aufmerksam, daß in diesem Traum die Zahlen in weit höherem Grade Bedeutung und Zusammenhang verändert haben als im vorher behandelten. Die Umwandlungs- und Entstellungsarbeit des Traumes ist hier ausgiebiger gewesen, was wir so deuten, daß diese Traumgedanken bis zu ihrer Darstellung ein besonders hohes Maß von innerpsychischem Widerstand zu überwinden hatten. Wir wollen auch nicht übersehen, daß in diesem Traum ein </w:t>
      </w:r>
      <w:r w:rsidRPr="00A06A59">
        <w:rPr>
          <w:rFonts w:ascii="Garamond" w:hAnsi="Garamond" w:cs="Arial"/>
          <w:color w:val="000000"/>
          <w:lang w:val="en-GB"/>
        </w:rPr>
        <w:lastRenderedPageBreak/>
        <w:t xml:space="preserve">absurdes Element enthalten ist, nämlich daß </w:t>
      </w:r>
      <w:r w:rsidRPr="00A06A59">
        <w:rPr>
          <w:rFonts w:ascii="Garamond" w:hAnsi="Garamond" w:cs="Arial"/>
          <w:i/>
          <w:iCs/>
          <w:color w:val="000000"/>
          <w:lang w:val="en-GB"/>
        </w:rPr>
        <w:t>zwei</w:t>
      </w:r>
      <w:r w:rsidRPr="00A06A59">
        <w:rPr>
          <w:rFonts w:ascii="Garamond" w:hAnsi="Garamond" w:cs="Arial"/>
          <w:color w:val="000000"/>
          <w:lang w:val="en-GB"/>
        </w:rPr>
        <w:t xml:space="preserve"> Personen </w:t>
      </w:r>
      <w:r w:rsidRPr="00A06A59">
        <w:rPr>
          <w:rFonts w:ascii="Garamond" w:hAnsi="Garamond" w:cs="Arial"/>
          <w:i/>
          <w:iCs/>
          <w:color w:val="000000"/>
          <w:lang w:val="en-GB"/>
        </w:rPr>
        <w:t>drei</w:t>
      </w:r>
      <w:r w:rsidRPr="00A06A59">
        <w:rPr>
          <w:rFonts w:ascii="Garamond" w:hAnsi="Garamond" w:cs="Arial"/>
          <w:color w:val="000000"/>
          <w:lang w:val="en-GB"/>
        </w:rPr>
        <w:t xml:space="preserve"> Sitze nehmen sollen. Wir greifen in die Deutung der Absurdität im Traume über, wenn wir anführen, daß dieses absurde Detail des Trauminhaltes den meistbetonten der Traumgedanken darstellen soll: Ein </w:t>
      </w:r>
      <w:r w:rsidRPr="00A06A59">
        <w:rPr>
          <w:rFonts w:ascii="Garamond" w:hAnsi="Garamond" w:cs="Arial"/>
          <w:i/>
          <w:iCs/>
          <w:color w:val="000000"/>
          <w:lang w:val="en-GB"/>
        </w:rPr>
        <w:t>Unsinn</w:t>
      </w:r>
      <w:r w:rsidRPr="00A06A59">
        <w:rPr>
          <w:rFonts w:ascii="Garamond" w:hAnsi="Garamond" w:cs="Arial"/>
          <w:color w:val="000000"/>
          <w:lang w:val="en-GB"/>
        </w:rPr>
        <w:t xml:space="preserve"> war es, so früh zu heiraten. Die in einer ganz nebensächlichen Beziehung der beiden verglichenen Personen enthaltene 3 (3 Monate Unterschied im Alter) ist dann geschickt zur Produktion des für den Traum erforderlichen Unsinns verwendet worden. Die Verkleinerung der realen 150 fl. auf 1 fl. 50 entspricht </w:t>
      </w:r>
      <w:r w:rsidRPr="00A06A59">
        <w:rPr>
          <w:rFonts w:ascii="Garamond" w:hAnsi="Garamond" w:cs="Arial"/>
          <w:i/>
          <w:iCs/>
          <w:color w:val="000000"/>
          <w:lang w:val="en-GB"/>
        </w:rPr>
        <w:t>der Geringschätzung</w:t>
      </w:r>
      <w:r w:rsidRPr="00A06A59">
        <w:rPr>
          <w:rFonts w:ascii="Garamond" w:hAnsi="Garamond" w:cs="Arial"/>
          <w:color w:val="000000"/>
          <w:lang w:val="en-GB"/>
        </w:rPr>
        <w:t xml:space="preserve"> des Mannes (oder Schatzes) in den unterdrückten Gedanken der Träumerin.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3. Ein anderes Beispiel führt uns die Rechenkunst des Traumes vor, die ihm soviel Mißachtung eingetragen hat. Ein Mann träumt: </w:t>
      </w:r>
      <w:r w:rsidRPr="00A06A59">
        <w:rPr>
          <w:rFonts w:ascii="Garamond" w:hAnsi="Garamond" w:cs="Arial"/>
          <w:i/>
          <w:iCs/>
          <w:color w:val="000000"/>
          <w:lang w:val="en-GB"/>
        </w:rPr>
        <w:t>Er sitzt bei B...</w:t>
      </w:r>
      <w:r w:rsidRPr="00A06A59">
        <w:rPr>
          <w:rFonts w:ascii="Garamond" w:hAnsi="Garamond" w:cs="Arial"/>
          <w:color w:val="000000"/>
          <w:lang w:val="en-GB"/>
        </w:rPr>
        <w:t xml:space="preserve"> (einer Familie seiner früheren Bekanntschaft) </w:t>
      </w:r>
      <w:r w:rsidRPr="00A06A59">
        <w:rPr>
          <w:rFonts w:ascii="Garamond" w:hAnsi="Garamond" w:cs="Arial"/>
          <w:i/>
          <w:iCs/>
          <w:color w:val="000000"/>
          <w:lang w:val="en-GB"/>
        </w:rPr>
        <w:t xml:space="preserve">und sagt: Es war ein Unsinn, daß Sie mir die Mali nicht gegeben haben. Darauf fragt er das Mädchen: Wie alt sind Sie denn? Antwort: Ich bin </w:t>
      </w:r>
      <w:r w:rsidRPr="00A06A59">
        <w:rPr>
          <w:rFonts w:ascii="Garamond" w:hAnsi="Garamond" w:cs="Arial"/>
          <w:b/>
          <w:bCs/>
          <w:i/>
          <w:iCs/>
          <w:color w:val="000000"/>
          <w:lang w:val="en-GB"/>
        </w:rPr>
        <w:t>1882</w:t>
      </w:r>
      <w:r w:rsidRPr="00A06A59">
        <w:rPr>
          <w:rFonts w:ascii="Garamond" w:hAnsi="Garamond" w:cs="Arial"/>
          <w:i/>
          <w:iCs/>
          <w:color w:val="000000"/>
          <w:lang w:val="en-GB"/>
        </w:rPr>
        <w:t xml:space="preserve"> geboren. – Ah, dann sind Sie </w:t>
      </w:r>
      <w:r w:rsidRPr="00A06A59">
        <w:rPr>
          <w:rFonts w:ascii="Garamond" w:hAnsi="Garamond" w:cs="Arial"/>
          <w:b/>
          <w:bCs/>
          <w:i/>
          <w:iCs/>
          <w:color w:val="000000"/>
          <w:lang w:val="en-GB"/>
        </w:rPr>
        <w:t>28</w:t>
      </w:r>
      <w:r w:rsidRPr="00A06A59">
        <w:rPr>
          <w:rFonts w:ascii="Garamond" w:hAnsi="Garamond" w:cs="Arial"/>
          <w:i/>
          <w:iCs/>
          <w:color w:val="000000"/>
          <w:lang w:val="en-GB"/>
        </w:rPr>
        <w:t xml:space="preserve"> Jahre alt.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 der Traum im Jahre 1898 vorfällt, so ist das offenbar schlecht gerechnet, und die Rechenschwäche des Träumers darf der des Paralytikers an die Seite gestellt werden, wenn sie sich etwa nicht anders aufklären läßt. Mein Patient gehörte zu jenen Personen, deren Gedanken kein Frauenzimmer, das sie sehen, in Ruhe lassen können. Seine Nachfolgerin in meinem Ordinationszimmer war einige Monate hindurch regelmäßig eine junge Dame, der er begegnete, nach der er sich häufig erkundigte und mit der er durchaus höflich sein wollte. Diese war es, deren Alter er auf </w:t>
      </w:r>
      <w:r w:rsidRPr="00A06A59">
        <w:rPr>
          <w:rFonts w:ascii="Garamond" w:hAnsi="Garamond" w:cs="Arial"/>
          <w:b/>
          <w:bCs/>
          <w:color w:val="000000"/>
          <w:lang w:val="en-GB"/>
        </w:rPr>
        <w:t>28</w:t>
      </w:r>
      <w:r w:rsidRPr="00A06A59">
        <w:rPr>
          <w:rFonts w:ascii="Garamond" w:hAnsi="Garamond" w:cs="Arial"/>
          <w:color w:val="000000"/>
          <w:lang w:val="en-GB"/>
        </w:rPr>
        <w:t xml:space="preserve"> Jahre schätzte. Soviel zur Aufklärung des Resultats der scheinbaren Rechnung. </w:t>
      </w:r>
      <w:r w:rsidRPr="00A06A59">
        <w:rPr>
          <w:rFonts w:ascii="Garamond" w:hAnsi="Garamond" w:cs="Arial"/>
          <w:b/>
          <w:bCs/>
          <w:color w:val="000000"/>
          <w:lang w:val="en-GB"/>
        </w:rPr>
        <w:t>1882</w:t>
      </w:r>
      <w:r w:rsidRPr="00A06A59">
        <w:rPr>
          <w:rFonts w:ascii="Garamond" w:hAnsi="Garamond" w:cs="Arial"/>
          <w:color w:val="000000"/>
          <w:lang w:val="en-GB"/>
        </w:rPr>
        <w:t xml:space="preserve"> war aber das Jahr, in dem er geheiratet hatte. Er hatte es nicht unterlassen können, auch mit den beiden anderen weiblichen Personen, die er bei mir traf, Gespräche anzuknüpfen, den beiden keineswegs jugendlichen Mädchen, die ihm abwechselnd die Tür zu öffnen pflegten, und als er die Mädchen wenig zutraulich fand, sich die Erklärung gegeben, sie hielten ihn wohl für einen älteren » </w:t>
      </w:r>
      <w:r w:rsidRPr="00A06A59">
        <w:rPr>
          <w:rFonts w:ascii="Garamond" w:hAnsi="Garamond" w:cs="Arial"/>
          <w:i/>
          <w:iCs/>
          <w:color w:val="000000"/>
          <w:lang w:val="en-GB"/>
        </w:rPr>
        <w:t>gesetzten</w:t>
      </w:r>
      <w:r w:rsidRPr="00A06A59">
        <w:rPr>
          <w:rFonts w:ascii="Garamond" w:hAnsi="Garamond" w:cs="Arial"/>
          <w:color w:val="000000"/>
          <w:lang w:val="en-GB"/>
        </w:rPr>
        <w:t>« Herrn.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Einen anderen Zahlentraum, der durch durchsichtige Determinierung oder vielmehr Überdeterminierung ausgezeichnet ist, verdanke ich mitsamt seiner Deutung Herrn B. </w:t>
      </w:r>
      <w:r w:rsidRPr="00A06A59">
        <w:rPr>
          <w:rFonts w:ascii="Garamond" w:hAnsi="Garamond" w:cs="Arial"/>
          <w:i/>
          <w:iCs/>
          <w:color w:val="000000"/>
          <w:lang w:val="en-GB"/>
        </w:rPr>
        <w:t>Dattner</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»Mein Hausherr, Sicherheitswachmann in Magistratsdiensten, träumt, er stünde auf der Straße Posten</w:t>
      </w:r>
      <w:r w:rsidRPr="00A06A59">
        <w:rPr>
          <w:rFonts w:ascii="Garamond" w:hAnsi="Garamond" w:cs="Arial"/>
          <w:color w:val="000000"/>
          <w:lang w:val="en-GB"/>
        </w:rPr>
        <w:t xml:space="preserve">, was eine Wunscherfüllung ist. </w:t>
      </w:r>
      <w:r w:rsidRPr="00A06A59">
        <w:rPr>
          <w:rFonts w:ascii="Garamond" w:hAnsi="Garamond" w:cs="Arial"/>
          <w:i/>
          <w:iCs/>
          <w:color w:val="000000"/>
          <w:lang w:val="en-GB"/>
        </w:rPr>
        <w:t xml:space="preserve">Dakommt ein Inspektor auf ihn zu, der auf dem Ringkragen die Nummer </w:t>
      </w:r>
      <w:r w:rsidRPr="00A06A59">
        <w:rPr>
          <w:rFonts w:ascii="Garamond" w:hAnsi="Garamond" w:cs="Arial"/>
          <w:b/>
          <w:bCs/>
          <w:i/>
          <w:iCs/>
          <w:color w:val="000000"/>
          <w:lang w:val="en-GB"/>
        </w:rPr>
        <w:t>22</w:t>
      </w:r>
      <w:r w:rsidRPr="00A06A59">
        <w:rPr>
          <w:rFonts w:ascii="Garamond" w:hAnsi="Garamond" w:cs="Arial"/>
          <w:i/>
          <w:iCs/>
          <w:color w:val="000000"/>
          <w:lang w:val="en-GB"/>
        </w:rPr>
        <w:t xml:space="preserve"> und </w:t>
      </w:r>
      <w:r w:rsidRPr="00A06A59">
        <w:rPr>
          <w:rFonts w:ascii="Garamond" w:hAnsi="Garamond" w:cs="Arial"/>
          <w:b/>
          <w:bCs/>
          <w:i/>
          <w:iCs/>
          <w:color w:val="000000"/>
          <w:lang w:val="en-GB"/>
        </w:rPr>
        <w:t>62</w:t>
      </w:r>
      <w:r w:rsidRPr="00A06A59">
        <w:rPr>
          <w:rFonts w:ascii="Garamond" w:hAnsi="Garamond" w:cs="Arial"/>
          <w:i/>
          <w:iCs/>
          <w:color w:val="000000"/>
          <w:lang w:val="en-GB"/>
        </w:rPr>
        <w:t xml:space="preserve"> oder </w:t>
      </w:r>
      <w:r w:rsidRPr="00A06A59">
        <w:rPr>
          <w:rFonts w:ascii="Garamond" w:hAnsi="Garamond" w:cs="Arial"/>
          <w:b/>
          <w:bCs/>
          <w:i/>
          <w:iCs/>
          <w:color w:val="000000"/>
          <w:lang w:val="en-GB"/>
        </w:rPr>
        <w:t>26</w:t>
      </w:r>
      <w:r w:rsidRPr="00A06A59">
        <w:rPr>
          <w:rFonts w:ascii="Garamond" w:hAnsi="Garamond" w:cs="Arial"/>
          <w:i/>
          <w:iCs/>
          <w:color w:val="000000"/>
          <w:lang w:val="en-GB"/>
        </w:rPr>
        <w:t xml:space="preserve"> trägt. Jedenfalls aber seien mehrere Zweier daraufgewesen.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Schon die Zerteilung der Zahl </w:t>
      </w:r>
      <w:r w:rsidRPr="00A06A59">
        <w:rPr>
          <w:rFonts w:ascii="Garamond" w:hAnsi="Garamond" w:cs="Arial"/>
          <w:b/>
          <w:bCs/>
          <w:color w:val="000000"/>
        </w:rPr>
        <w:t>2262</w:t>
      </w:r>
      <w:r w:rsidRPr="00A06A59">
        <w:rPr>
          <w:rFonts w:ascii="Garamond" w:hAnsi="Garamond" w:cs="Arial"/>
          <w:color w:val="000000"/>
        </w:rPr>
        <w:t xml:space="preserve"> bei der Wiedergabe des Traumes läßt darauf schließen, daß die Bestandteile eine gesonderte Bedeutung haben. Sie hätten gestern im Amt über die Dauer ihrer Dienstzeit gesprochen, fällt ihm ein. Ursache gab ein Inspektor, der mit </w:t>
      </w:r>
      <w:r w:rsidRPr="00A06A59">
        <w:rPr>
          <w:rFonts w:ascii="Garamond" w:hAnsi="Garamond" w:cs="Arial"/>
          <w:b/>
          <w:bCs/>
          <w:color w:val="000000"/>
        </w:rPr>
        <w:t>62</w:t>
      </w:r>
      <w:r w:rsidRPr="00A06A59">
        <w:rPr>
          <w:rFonts w:ascii="Garamond" w:hAnsi="Garamond" w:cs="Arial"/>
          <w:color w:val="000000"/>
        </w:rPr>
        <w:t xml:space="preserve"> Jahren in Pension gegangen sei. Der Träumer hat erst </w:t>
      </w:r>
      <w:r w:rsidRPr="00A06A59">
        <w:rPr>
          <w:rFonts w:ascii="Garamond" w:hAnsi="Garamond" w:cs="Arial"/>
          <w:b/>
          <w:bCs/>
          <w:color w:val="000000"/>
        </w:rPr>
        <w:t>22</w:t>
      </w:r>
      <w:r w:rsidRPr="00A06A59">
        <w:rPr>
          <w:rFonts w:ascii="Garamond" w:hAnsi="Garamond" w:cs="Arial"/>
          <w:color w:val="000000"/>
        </w:rPr>
        <w:t xml:space="preserve"> Dienstjahre und braucht noch </w:t>
      </w:r>
      <w:r w:rsidRPr="00A06A59">
        <w:rPr>
          <w:rFonts w:ascii="Garamond" w:hAnsi="Garamond" w:cs="Arial"/>
          <w:b/>
          <w:bCs/>
          <w:color w:val="000000"/>
        </w:rPr>
        <w:t>2</w:t>
      </w:r>
      <w:r w:rsidRPr="00A06A59">
        <w:rPr>
          <w:rFonts w:ascii="Garamond" w:hAnsi="Garamond" w:cs="Arial"/>
          <w:color w:val="000000"/>
        </w:rPr>
        <w:t xml:space="preserve"> Jahre </w:t>
      </w:r>
      <w:r w:rsidRPr="00A06A59">
        <w:rPr>
          <w:rFonts w:ascii="Garamond" w:hAnsi="Garamond" w:cs="Arial"/>
          <w:b/>
          <w:bCs/>
          <w:color w:val="000000"/>
        </w:rPr>
        <w:t>2</w:t>
      </w:r>
      <w:r w:rsidRPr="00A06A59">
        <w:rPr>
          <w:rFonts w:ascii="Garamond" w:hAnsi="Garamond" w:cs="Arial"/>
          <w:color w:val="000000"/>
        </w:rPr>
        <w:t xml:space="preserve"> Monate, um eine 90%ige Pension zu erreichen. Der Traum spiegelt ihm nun zuerst die Erfüllung eines langgehegten Wunsches, den Inspektorsrang, vor. Der Vorgesetzte mit der </w:t>
      </w:r>
      <w:r w:rsidRPr="00A06A59">
        <w:rPr>
          <w:rFonts w:ascii="Garamond" w:hAnsi="Garamond" w:cs="Arial"/>
          <w:b/>
          <w:bCs/>
          <w:color w:val="000000"/>
        </w:rPr>
        <w:t>2262</w:t>
      </w:r>
      <w:r w:rsidRPr="00A06A59">
        <w:rPr>
          <w:rFonts w:ascii="Garamond" w:hAnsi="Garamond" w:cs="Arial"/>
          <w:color w:val="000000"/>
        </w:rPr>
        <w:t xml:space="preserve"> auf dem Kragen ist er selbst, er versieht seinen Dienst auf der Straße, auch ein Lieblingswunsch, hat seine </w:t>
      </w:r>
      <w:r w:rsidRPr="00A06A59">
        <w:rPr>
          <w:rFonts w:ascii="Garamond" w:hAnsi="Garamond" w:cs="Arial"/>
          <w:b/>
          <w:bCs/>
          <w:color w:val="000000"/>
        </w:rPr>
        <w:t>2</w:t>
      </w:r>
      <w:r w:rsidRPr="00A06A59">
        <w:rPr>
          <w:rFonts w:ascii="Garamond" w:hAnsi="Garamond" w:cs="Arial"/>
          <w:color w:val="000000"/>
        </w:rPr>
        <w:t xml:space="preserve"> Jahre und </w:t>
      </w:r>
      <w:r w:rsidRPr="00A06A59">
        <w:rPr>
          <w:rFonts w:ascii="Garamond" w:hAnsi="Garamond" w:cs="Arial"/>
          <w:b/>
          <w:bCs/>
          <w:color w:val="000000"/>
        </w:rPr>
        <w:t>2</w:t>
      </w:r>
      <w:r w:rsidRPr="00A06A59">
        <w:rPr>
          <w:rFonts w:ascii="Garamond" w:hAnsi="Garamond" w:cs="Arial"/>
          <w:color w:val="000000"/>
        </w:rPr>
        <w:t xml:space="preserve"> Monate abgedient und kann nun wie der </w:t>
      </w:r>
      <w:r w:rsidRPr="00A06A59">
        <w:rPr>
          <w:rFonts w:ascii="Garamond" w:hAnsi="Garamond" w:cs="Arial"/>
          <w:b/>
          <w:bCs/>
          <w:color w:val="000000"/>
        </w:rPr>
        <w:t>62</w:t>
      </w:r>
      <w:r w:rsidRPr="00A06A59">
        <w:rPr>
          <w:rFonts w:ascii="Garamond" w:hAnsi="Garamond" w:cs="Arial"/>
          <w:color w:val="000000"/>
        </w:rPr>
        <w:t xml:space="preserve">jährige Inspektor mit voller Pension aus dem Amte scheiden.« </w:t>
      </w:r>
      <w:hyperlink r:id="rId197"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Analysen von anderen Zahlenträumen siehe bei </w:t>
        </w:r>
        <w:r w:rsidRPr="00A06A59">
          <w:rPr>
            <w:rStyle w:val="innerfusslink3"/>
            <w:rFonts w:ascii="Garamond" w:hAnsi="Garamond" w:cs="Arial"/>
            <w:b/>
            <w:bCs/>
            <w:i/>
            <w:iCs/>
            <w:lang w:val="en-GB"/>
          </w:rPr>
          <w:t>Jung</w:t>
        </w:r>
        <w:r w:rsidRPr="00A06A59">
          <w:rPr>
            <w:rStyle w:val="innerfusslink3"/>
            <w:rFonts w:ascii="Garamond" w:hAnsi="Garamond" w:cs="Arial"/>
            <w:b/>
            <w:bCs/>
            <w:lang w:val="en-GB"/>
          </w:rPr>
          <w:t xml:space="preserve">, </w:t>
        </w:r>
        <w:r w:rsidRPr="00A06A59">
          <w:rPr>
            <w:rStyle w:val="innerfusslink3"/>
            <w:rFonts w:ascii="Garamond" w:hAnsi="Garamond" w:cs="Arial"/>
            <w:b/>
            <w:bCs/>
            <w:i/>
            <w:iCs/>
            <w:lang w:val="en-GB"/>
          </w:rPr>
          <w:t>Marcinowski</w:t>
        </w:r>
        <w:r w:rsidRPr="00A06A59">
          <w:rPr>
            <w:rStyle w:val="innerfusslink3"/>
            <w:rFonts w:ascii="Garamond" w:hAnsi="Garamond" w:cs="Arial"/>
            <w:b/>
            <w:bCs/>
            <w:lang w:val="en-GB"/>
          </w:rPr>
          <w:t xml:space="preserve"> und anderen. Dieselben setzen oft sehr komplizierte Zahlenoperationen voraus, die aber vom Träumer mit verblüffender Sicherheit vollzogen werden. Vgl. auch Jones »Über die unbewußte Zahlenbehandlung« (Zentralbl. f. PsA., II 1912, p. 241f.).</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wir diese und ähnliche (später folgende) Beispiele zusammenhalten, dürfen wir sagen: Die Traumarbeit rechnet überhaupt nicht, weder richtig noch falsch; sie fügt nur Zahlen, die in den Traumgedanken vorkommen und als Anspielungen auf ein nicht darstellbares Material dienen können, in der Form einer Rechnung zusammen. Sie behandelt dabei die Zahlen in genau der nämlichen Weise als Material zum Ausdruck ihrer Absichten wie alle anderen Vorstellungen, wie auch die Namen und die als Wortvorstellungen kenntlichen Reden.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Denn die Traumarbeit kann auch keine Rede neu schaffen. Soviel von Rede und Gegenrede in den Träumen vorkommen mag, die an sich sinnig oder unvernünftig sein können, die Analyse zeigt uns jedesmal, daß der Traum dabei nur Bruchstücke von wirklich geführten oder gehörten Reden den Traumgedanken entnommen hat und höchst willkürlich mit ihnen verfahren ist. Er hat sie nicht nur aus ihrem Zusammenhange gerissen und zerstückt, das eine Stück aufgenommen, das andere verworfen, sondern auch oft neu zusammengefügt, so daß die zusammenhängend scheinende Traumrede bei der Analyse in drei oder vier Brocken zerfällt. Bei dieser Neuverwendung hat er oft den Sinn, den die Worte in den Traumgedanken hatten, beiseite gelassen und dem Wortlaut einen völlig neuen Sinn abgewonnen. </w:t>
      </w:r>
      <w:hyperlink r:id="rId198"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In der gleichen Weise wie der Traum verfährt auch die Neurose. Ich kenne eine Patientin, die daran leidet, daß sie Lieder oder Stücke von solchen unwillkürlich und widerwillig hört (halluziniert), ohne deren Bedeutung für ihr Seelenleben verstehen zu können. Sie ist übrigens gewiß nicht paranoisch. Die Analyse zeigt dann, daß sie den Text dieser Lieder mittels gewisser Lizenzen mißbräuchlich verwendet hat. »Leise, leise, fromme Weise.« Das bedeutet für ihr Unbewußtes: Fromme </w:t>
        </w:r>
        <w:r w:rsidRPr="00A06A59">
          <w:rPr>
            <w:rStyle w:val="innerfusslink3"/>
            <w:rFonts w:ascii="Garamond" w:hAnsi="Garamond" w:cs="Arial"/>
            <w:b/>
            <w:bCs/>
            <w:i/>
            <w:iCs/>
          </w:rPr>
          <w:lastRenderedPageBreak/>
          <w:t>Waise</w:t>
        </w:r>
        <w:r w:rsidRPr="00A06A59">
          <w:rPr>
            <w:rStyle w:val="innerfusslink3"/>
            <w:rFonts w:ascii="Garamond" w:hAnsi="Garamond" w:cs="Arial"/>
            <w:b/>
            <w:bCs/>
          </w:rPr>
          <w:t xml:space="preserve">, und diese ist sie selbst. »Odu selige, odu fröhliche« ist der Anfang eines Weihnachtsliedes; indem sie es nicht bis zu »Weihnachtszeit« fortsetzt, macht sie daraus ein Brautlied u. dgl. Derselbe Entstellungsmechanismus kann sich übrigens auch ohne Halluzination im bloßen Einfall durchsetzen. Warum wird einer meiner Patienten von der Erinnerung an ein Gedicht heimgesucht, das er in jungen Jahren lernen mußte: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       »Nächtlich am Busento lispeln...«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Weil sich seine Phantasie mit einem Stück dieses Zitats: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»Nächtlich am Busen«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begnügt. Es ist bekannt, daß der parodistische Witz auf dieses Stückchen Technik nicht verzichtet hat. Die </w:t>
        </w:r>
        <w:r w:rsidRPr="00A06A59">
          <w:rPr>
            <w:rStyle w:val="innerfusslink3"/>
            <w:rFonts w:ascii="Garamond" w:hAnsi="Garamond" w:cs="Arial"/>
            <w:b/>
            <w:bCs/>
            <w:i/>
            <w:iCs/>
          </w:rPr>
          <w:t>Fliegenden Blätter</w:t>
        </w:r>
        <w:r w:rsidRPr="00A06A59">
          <w:rPr>
            <w:rStyle w:val="innerfusslink3"/>
            <w:rFonts w:ascii="Garamond" w:hAnsi="Garamond" w:cs="Arial"/>
            <w:b/>
            <w:bCs/>
          </w:rPr>
          <w:t xml:space="preserve"> brachten einst unter ihren Illustrationen zu deutschen »Klassikern« auch ein Bild zum Schillerschen Siegesfest, zu dem das Zitat vorzeitig abgeschlossen war.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       »Und des frisch erkämpften Weibes </w:t>
        </w:r>
        <w:r w:rsidRPr="00A06A59">
          <w:rPr>
            <w:rFonts w:ascii="Garamond" w:hAnsi="Garamond" w:cs="Arial"/>
            <w:b/>
            <w:bCs/>
            <w:color w:val="000000"/>
          </w:rPr>
          <w:br/>
        </w:r>
        <w:r w:rsidRPr="00A06A59">
          <w:rPr>
            <w:rStyle w:val="innerfusslink3"/>
            <w:rFonts w:ascii="Garamond" w:hAnsi="Garamond" w:cs="Arial"/>
            <w:b/>
            <w:bCs/>
          </w:rPr>
          <w:t xml:space="preserve">       Freut sich der Atrid und strickt.« </w:t>
        </w:r>
        <w:r w:rsidRPr="00A06A59">
          <w:rPr>
            <w:rFonts w:ascii="Garamond" w:hAnsi="Garamond" w:cs="Arial"/>
            <w:b/>
            <w:bCs/>
            <w:color w:val="000000"/>
          </w:rPr>
          <w:br/>
        </w:r>
        <w:r w:rsidRPr="00A06A59">
          <w:rPr>
            <w:rFonts w:ascii="Garamond" w:hAnsi="Garamond" w:cs="Arial"/>
            <w:b/>
            <w:bCs/>
            <w:color w:val="000000"/>
          </w:rPr>
          <w:br/>
        </w:r>
        <w:r w:rsidRPr="00A06A59">
          <w:rPr>
            <w:rStyle w:val="innerfusslink3"/>
            <w:rFonts w:ascii="Garamond" w:hAnsi="Garamond" w:cs="Arial"/>
            <w:b/>
            <w:bCs/>
          </w:rPr>
          <w:t xml:space="preserve">Fortsetzung: </w:t>
        </w:r>
        <w:r w:rsidRPr="00A06A59">
          <w:rPr>
            <w:rFonts w:ascii="Garamond" w:hAnsi="Garamond" w:cs="Arial"/>
            <w:b/>
            <w:bCs/>
            <w:color w:val="000000"/>
          </w:rPr>
          <w:br/>
        </w:r>
        <w:r w:rsidRPr="00A06A59">
          <w:rPr>
            <w:rStyle w:val="innerfusslink3"/>
            <w:rFonts w:ascii="Garamond" w:hAnsi="Garamond" w:cs="Arial"/>
            <w:b/>
            <w:bCs/>
          </w:rPr>
          <w:t xml:space="preserve">       Um den Reiz des schönen Leibes </w:t>
        </w:r>
        <w:r w:rsidRPr="00A06A59">
          <w:rPr>
            <w:rFonts w:ascii="Garamond" w:hAnsi="Garamond" w:cs="Arial"/>
            <w:b/>
            <w:bCs/>
            <w:color w:val="000000"/>
          </w:rPr>
          <w:br/>
        </w:r>
        <w:r w:rsidRPr="00A06A59">
          <w:rPr>
            <w:rStyle w:val="innerfusslink3"/>
            <w:rFonts w:ascii="Garamond" w:hAnsi="Garamond" w:cs="Arial"/>
            <w:b/>
            <w:bCs/>
          </w:rPr>
          <w:t>       Seine Arme hochbeglückt.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Bei näherem Zusehen unterscheidet man an der Traumrede deutlichere, kompakte Bestandteile von anderen, die als Bindemittel dienen und wahrscheinlich ergänzt worden sind, wie wir ausgelassene Buchstaben und Silben beim Lesen ergänzen. </w:t>
      </w:r>
      <w:r w:rsidRPr="00A06A59">
        <w:rPr>
          <w:rFonts w:ascii="Garamond" w:hAnsi="Garamond" w:cs="Arial"/>
          <w:color w:val="000000"/>
          <w:lang w:val="en-GB"/>
        </w:rPr>
        <w:t>Die Traumrede hat so den Aufbau eines Brecciengesteines, in dem größere Brocken verschiedenen Materials durch eine erhärtete Zwischenmasse zusammengehalten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voller Strenge richtig ist diese Beschreibung allerdings nur für jene Reden im Traum, die etwas vom sinnlichen Charakter der Rede haben und als »Reden« beschrieben werden. Die anderen, die nicht gleichsam als gehört oder als gesagt empfunden werden (keine akustische oder motorische Mitbetonung im Traum haben), sind einfach Gedanken, wie sie in unserer wachen Denktätigkeit vorkommen und unverändert in viele Träume übergehen. Für das indifferent gehaltene Redematerial des Traumes scheint auch die Lektüre eine reich fließende und schwer zu verfolgende Quelle abzugeben. Alles aber, was im Traum als Rede irgendwie auffällig hervortritt, unterwirft sich der Zurückführung auf reale, selbst gehaltene oder gehörte Rede.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Beispiele für die Ableitung solcher Traumreden haben wir bereits bei der Analyse von Träumen gefunden, die zu anderen Zwecken mitgeteilt worden sind. So in dem »harmlosen Markttraum« auf S. </w:t>
      </w:r>
      <w:smartTag w:uri="urn:schemas-microsoft-com:office:smarttags" w:element="metricconverter">
        <w:smartTagPr>
          <w:attr w:name="ProductID" w:val="127, in"/>
        </w:smartTagPr>
        <w:r w:rsidRPr="00A06A59">
          <w:rPr>
            <w:rFonts w:ascii="Garamond" w:hAnsi="Garamond" w:cs="Arial"/>
            <w:color w:val="000000"/>
            <w:lang w:val="en-GB"/>
          </w:rPr>
          <w:t>127, in</w:t>
        </w:r>
      </w:smartTag>
      <w:r w:rsidRPr="00A06A59">
        <w:rPr>
          <w:rFonts w:ascii="Garamond" w:hAnsi="Garamond" w:cs="Arial"/>
          <w:color w:val="000000"/>
          <w:lang w:val="en-GB"/>
        </w:rPr>
        <w:t xml:space="preserve"> dem die Rede: </w:t>
      </w:r>
      <w:r w:rsidRPr="00A06A59">
        <w:rPr>
          <w:rFonts w:ascii="Garamond" w:hAnsi="Garamond" w:cs="Arial"/>
          <w:i/>
          <w:iCs/>
          <w:color w:val="000000"/>
          <w:lang w:val="en-GB"/>
        </w:rPr>
        <w:t>Das ist nicht mehr zu haben</w:t>
      </w:r>
      <w:r w:rsidRPr="00A06A59">
        <w:rPr>
          <w:rFonts w:ascii="Garamond" w:hAnsi="Garamond" w:cs="Arial"/>
          <w:color w:val="000000"/>
          <w:lang w:val="en-GB"/>
        </w:rPr>
        <w:t xml:space="preserve">, dazu dient, mich mit dem Fleischhauer zu identifizieren, während ein Stück der anderen Rede: </w:t>
      </w:r>
      <w:r w:rsidRPr="00A06A59">
        <w:rPr>
          <w:rFonts w:ascii="Garamond" w:hAnsi="Garamond" w:cs="Arial"/>
          <w:i/>
          <w:iCs/>
          <w:color w:val="000000"/>
          <w:lang w:val="en-GB"/>
        </w:rPr>
        <w:t>Das kenne ich nicht, das nehme ich nicht</w:t>
      </w:r>
      <w:r w:rsidRPr="00A06A59">
        <w:rPr>
          <w:rFonts w:ascii="Garamond" w:hAnsi="Garamond" w:cs="Arial"/>
          <w:color w:val="000000"/>
          <w:lang w:val="en-GB"/>
        </w:rPr>
        <w:t xml:space="preserve">, geradezu die Aufgabe erfüllt, den Traum harmlos zu machen. Die Träumerin hatte nämlich am Vortage irgendwelche Zumutung ihrer Köchin mit den Worten zurückgewiesen: Das kenne ich nicht, </w:t>
      </w:r>
      <w:r w:rsidRPr="00A06A59">
        <w:rPr>
          <w:rFonts w:ascii="Garamond" w:hAnsi="Garamond" w:cs="Arial"/>
          <w:i/>
          <w:iCs/>
          <w:color w:val="000000"/>
          <w:lang w:val="en-GB"/>
        </w:rPr>
        <w:t>benehmen Sie sich anständig</w:t>
      </w:r>
      <w:r w:rsidRPr="00A06A59">
        <w:rPr>
          <w:rFonts w:ascii="Garamond" w:hAnsi="Garamond" w:cs="Arial"/>
          <w:color w:val="000000"/>
          <w:lang w:val="en-GB"/>
        </w:rPr>
        <w:t>, und nun von dieser Rede das indifferent klingende erste Stück in den Traum genommen, um mit ihm auf das spätere Stück anzuspielen, das in die Phantasie, welche dem Traum zugrunde lag, sehr wohl gepaßt, aber dieselbe auch verraten hätte.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ähnliches Beispiel an Stelle vieler, die ja alle das nämliche ergeben: </w:t>
      </w:r>
      <w:r w:rsidRPr="00A06A59">
        <w:rPr>
          <w:rFonts w:ascii="Garamond" w:hAnsi="Garamond" w:cs="Arial"/>
          <w:i/>
          <w:iCs/>
          <w:color w:val="000000"/>
          <w:lang w:val="en-GB"/>
        </w:rPr>
        <w:t>Ein großer Hof, in dem Leichen verbrannt werden. Er sagt: Da geh' ich weg, das kann ich nicht sehen.</w:t>
      </w:r>
      <w:r w:rsidRPr="00A06A59">
        <w:rPr>
          <w:rFonts w:ascii="Garamond" w:hAnsi="Garamond" w:cs="Arial"/>
          <w:color w:val="000000"/>
          <w:lang w:val="en-GB"/>
        </w:rPr>
        <w:t xml:space="preserve"> (Keine deutliche Rede.) </w:t>
      </w:r>
      <w:r w:rsidRPr="00A06A59">
        <w:rPr>
          <w:rFonts w:ascii="Garamond" w:hAnsi="Garamond" w:cs="Arial"/>
          <w:i/>
          <w:iCs/>
          <w:color w:val="000000"/>
          <w:lang w:val="en-GB"/>
        </w:rPr>
        <w:t>Dann trifft er zwei Fleischhauerbuben und fragt: Na hat's geschmeckt? Der eine antwortet: Na, not gut war's. Als ob es Menschenfleisch gewesen wäre.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harmlose Anlaß dieses Traumes ist folgender: Er macht nach dem Nachtmahl mit seiner Frau einen Besuch bei den braven, aber keineswegs </w:t>
      </w:r>
      <w:r w:rsidRPr="00A06A59">
        <w:rPr>
          <w:rFonts w:ascii="Garamond" w:hAnsi="Garamond" w:cs="Arial"/>
          <w:i/>
          <w:iCs/>
          <w:color w:val="000000"/>
          <w:lang w:val="en-GB"/>
        </w:rPr>
        <w:t>appetitlichen</w:t>
      </w:r>
      <w:r w:rsidRPr="00A06A59">
        <w:rPr>
          <w:rFonts w:ascii="Garamond" w:hAnsi="Garamond" w:cs="Arial"/>
          <w:color w:val="000000"/>
          <w:lang w:val="en-GB"/>
        </w:rPr>
        <w:t xml:space="preserve"> Nachbarsleuten. Die gastfreundliche alte Dame befindet sich eben bei ihrem Abendessen und </w:t>
      </w:r>
      <w:r w:rsidRPr="00A06A59">
        <w:rPr>
          <w:rFonts w:ascii="Garamond" w:hAnsi="Garamond" w:cs="Arial"/>
          <w:i/>
          <w:iCs/>
          <w:color w:val="000000"/>
          <w:lang w:val="en-GB"/>
        </w:rPr>
        <w:t>nötigt</w:t>
      </w:r>
      <w:r w:rsidRPr="00A06A59">
        <w:rPr>
          <w:rFonts w:ascii="Garamond" w:hAnsi="Garamond" w:cs="Arial"/>
          <w:color w:val="000000"/>
          <w:lang w:val="en-GB"/>
        </w:rPr>
        <w:t xml:space="preserve"> ihn (man gebraucht dafür scherzhaft unter Männern ein zusammengesetztes, sexuell bedeutsames Wort), davon zu kosten. Er lehnt ab, er habe keinen Appetit mehr. » </w:t>
      </w:r>
      <w:r w:rsidRPr="00A06A59">
        <w:rPr>
          <w:rFonts w:ascii="Garamond" w:hAnsi="Garamond" w:cs="Arial"/>
          <w:i/>
          <w:iCs/>
          <w:color w:val="000000"/>
          <w:lang w:val="en-GB"/>
        </w:rPr>
        <w:t>Aber gehn S' weg</w:t>
      </w:r>
      <w:r w:rsidRPr="00A06A59">
        <w:rPr>
          <w:rFonts w:ascii="Garamond" w:hAnsi="Garamond" w:cs="Arial"/>
          <w:color w:val="000000"/>
          <w:lang w:val="en-GB"/>
        </w:rPr>
        <w:t xml:space="preserve">, das werden Sie noch vertragen« oder so ähnlich. Er muß also kosten und rühmt dann das Gebotene vor ihr. » </w:t>
      </w:r>
      <w:r w:rsidRPr="00A06A59">
        <w:rPr>
          <w:rFonts w:ascii="Garamond" w:hAnsi="Garamond" w:cs="Arial"/>
          <w:i/>
          <w:iCs/>
          <w:color w:val="000000"/>
          <w:lang w:val="en-GB"/>
        </w:rPr>
        <w:t>Das ist aber gut.</w:t>
      </w:r>
      <w:r w:rsidRPr="00A06A59">
        <w:rPr>
          <w:rFonts w:ascii="Garamond" w:hAnsi="Garamond" w:cs="Arial"/>
          <w:color w:val="000000"/>
          <w:lang w:val="en-GB"/>
        </w:rPr>
        <w:t>« Mit seiner Frau wieder allein, schimpft er dann sowohl über die Aufdringlichkeit der Nachbarin als auch über die Qualität der gekosteten Speise. »Das kann ich nicht sehen«, das auch im Traum nicht als eigentliche Rede auftritt, ist ein Gedanke, der sich auf die körperlichen Reize der einladenden Dame bezieht, und zu übersetzen wäre, daß er diese zu schauen nicht begehrt.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Lehrreicher wird sich die Analyse eines anderen Traumes gestalten, den ich wegen der sehr deutlichen Rede, die seinen Mittelpunkt bildet, schon an dieser Stelle mitteile, aber erst bei der Würdigung der Affekte im Traume aufklären werde. Ich träumte sehr klar: </w:t>
      </w:r>
      <w:r w:rsidRPr="00A06A59">
        <w:rPr>
          <w:rFonts w:ascii="Garamond" w:hAnsi="Garamond" w:cs="Arial"/>
          <w:i/>
          <w:iCs/>
          <w:color w:val="000000"/>
          <w:lang w:val="en-GB"/>
        </w:rPr>
        <w:t>Ich bin nachts ins Brückesche Laboratorium gegangen und öffne auf ein leises Klopfen an der Tür dem</w:t>
      </w:r>
      <w:r w:rsidRPr="00A06A59">
        <w:rPr>
          <w:rFonts w:ascii="Garamond" w:hAnsi="Garamond" w:cs="Arial"/>
          <w:color w:val="000000"/>
          <w:lang w:val="en-GB"/>
        </w:rPr>
        <w:t xml:space="preserve"> (verstorbenen) </w:t>
      </w:r>
      <w:r w:rsidRPr="00A06A59">
        <w:rPr>
          <w:rFonts w:ascii="Garamond" w:hAnsi="Garamond" w:cs="Arial"/>
          <w:i/>
          <w:iCs/>
          <w:color w:val="000000"/>
          <w:lang w:val="en-GB"/>
        </w:rPr>
        <w:t>Professor Fleischl, der mit mehreren Fremden eintritt und sich nach einigen Worten an seinen Tisch setzt.</w:t>
      </w:r>
      <w:r w:rsidRPr="00A06A59">
        <w:rPr>
          <w:rFonts w:ascii="Garamond" w:hAnsi="Garamond" w:cs="Arial"/>
          <w:color w:val="000000"/>
          <w:lang w:val="en-GB"/>
        </w:rPr>
        <w:t xml:space="preserve"> Dann folgt ein zweiter Traum: </w:t>
      </w:r>
      <w:r w:rsidRPr="00A06A59">
        <w:rPr>
          <w:rFonts w:ascii="Garamond" w:hAnsi="Garamond" w:cs="Arial"/>
          <w:i/>
          <w:iCs/>
          <w:color w:val="000000"/>
          <w:lang w:val="en-GB"/>
        </w:rPr>
        <w:t>Mein Freund Fl. ist im Juli unauffällig nach Wien gekommen; ich begegne ihm auf der Straße im Gespräch mit meinem</w:t>
      </w:r>
      <w:r w:rsidRPr="00A06A59">
        <w:rPr>
          <w:rFonts w:ascii="Garamond" w:hAnsi="Garamond" w:cs="Arial"/>
          <w:color w:val="000000"/>
          <w:lang w:val="en-GB"/>
        </w:rPr>
        <w:t xml:space="preserve"> (verstorbenen) </w:t>
      </w:r>
      <w:r w:rsidRPr="00A06A59">
        <w:rPr>
          <w:rFonts w:ascii="Garamond" w:hAnsi="Garamond" w:cs="Arial"/>
          <w:i/>
          <w:iCs/>
          <w:color w:val="000000"/>
          <w:lang w:val="en-GB"/>
        </w:rPr>
        <w:t xml:space="preserve">Freunde P. und gehe mit ihnen irgendwohin, wo sie einander wie an einem kleinen Tisch gegenübersitzen, ich an der schmalen Seite des Tischchens vorne. Fl. erzählt von seiner Schwester und sagt: In drei viertel Stunden war sie tot, und dann etwas wie: Das ist die Schwelle. Da P. ihn nicht versteht, wendet sich Fl. an mich und fragt mich, wieviel von seinen Dingen ich P. denn mitgeteilt habe. Darauf ich, von merkwürdigen Affekten ergriffen, Fl. mitteilen will, daß P. (ja gar nichts wissen kann, weil er) gar nicht am Leben ist. Ich sage aber, den Irrtum selbst bemerkend: </w:t>
      </w:r>
      <w:r w:rsidRPr="00A06A59">
        <w:rPr>
          <w:rFonts w:ascii="Garamond" w:hAnsi="Garamond" w:cs="Arial"/>
          <w:b/>
          <w:bCs/>
          <w:i/>
          <w:iCs/>
          <w:color w:val="000000"/>
          <w:lang w:val="en-GB"/>
        </w:rPr>
        <w:t>Non vixit</w:t>
      </w:r>
      <w:r w:rsidRPr="00A06A59">
        <w:rPr>
          <w:rFonts w:ascii="Garamond" w:hAnsi="Garamond" w:cs="Arial"/>
          <w:i/>
          <w:iCs/>
          <w:color w:val="000000"/>
          <w:lang w:val="en-GB"/>
        </w:rPr>
        <w:t>. Ich sehe dann P. durchdringend an, unter meinem Blicke wird er bleich, verschwommen, seine Augen werden krankhaft blauund endlich löst er sich auf. Ich bin ungemein erfreut darüber, verstehe jetzt, daß auch Ernst Fleischl nur eine Erscheinung, ein Revenant war, und finde es ganz wohl möglich, daß eine solche Person nur so lange besteht, als man es mag, und daß sie durch den Wunsch des anderen beseitigt werden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Dieser schöne Traum vereinigt so viele der am Trauminhalt rätselhaften Charaktere – die Kritik während des Traumes selbst, daß ich meinen Irrtum, </w:t>
      </w:r>
      <w:r w:rsidRPr="00A06A59">
        <w:rPr>
          <w:rFonts w:ascii="Garamond" w:hAnsi="Garamond" w:cs="Arial"/>
          <w:i/>
          <w:iCs/>
          <w:color w:val="000000"/>
          <w:lang w:val="en-GB"/>
        </w:rPr>
        <w:t>Non vixit</w:t>
      </w:r>
      <w:r w:rsidRPr="00A06A59">
        <w:rPr>
          <w:rFonts w:ascii="Garamond" w:hAnsi="Garamond" w:cs="Arial"/>
          <w:color w:val="000000"/>
          <w:lang w:val="en-GB"/>
        </w:rPr>
        <w:t xml:space="preserve"> zu sagen anstatt </w:t>
      </w:r>
      <w:r w:rsidRPr="00A06A59">
        <w:rPr>
          <w:rFonts w:ascii="Garamond" w:hAnsi="Garamond" w:cs="Arial"/>
          <w:i/>
          <w:iCs/>
          <w:color w:val="000000"/>
          <w:lang w:val="en-GB"/>
        </w:rPr>
        <w:t>Non vivit</w:t>
      </w:r>
      <w:r w:rsidRPr="00A06A59">
        <w:rPr>
          <w:rFonts w:ascii="Garamond" w:hAnsi="Garamond" w:cs="Arial"/>
          <w:color w:val="000000"/>
          <w:lang w:val="en-GB"/>
        </w:rPr>
        <w:t>, selbst bemerke, den unbefangenen Verkehr mit Verstorbenen, die der Traum selbst für verstorben erklärt, die Absurdität der Schlußfolgerung und die hohe Befriedigung, die dieselbe mir bereitet, – daß ich »für mein Leben gern« die volle Lösung dieser Rätsel mitteilen möchte. Ich bin aber in Wirklichkeit unfähig, das zu tun was ich nämlich im Traum tue, die Rücksicht auf so teure Personen meinem Ehrgeiz aufzuopfern. Bei jeder Verhüllung wäre aber der mir wohlbekannte Sinn des Traumes zuschanden geworden. So begnüge ich mich denn, zuerst hier und dann an späterer Stelle einige Elemente des Traums zur Deutung herauszugreifen.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Das Zentrum des Traumes bildet eine Szene, in der ich P. durch einen Blick vernichte. Seine Augen werden dabei so merkwürdig und unheimlich blau, und dann löst er sich auf. Diese Szene ist die unverkennbare Nachbildung einer wirklich erlebten. Ich war Demonstrator am physiologischen Institut, hatte den Dienst in den Frühstunden, und Brücke hatte erfahren, daß ich einige Male zu spät ins Schülerlaboratorium gekommen war. Da kam er einmal pünktlich zur Eröffnung und wartete mich ab. Was er mir sagte, war karg und bestimmt; es kam aber gar nicht auf die Worte an. Das Überwältigende waren die fürchterlichen blauen Augen, mit denen er mich ansah und vor denen ich verging – wie P. im Traum, der zu meiner Erleichterung die Rollen verwechselt hat. Wer sich an die bis ins hohe Greisenalter wunderschönen Augen des großen Meisters erinnern kann und ihn je im Zorn gesehen hat, wird sich in die Affekte des jugendlichen Sünders von damals leicht versetzen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wollte mir aber lange nicht gelingen, das » </w:t>
      </w:r>
      <w:r w:rsidRPr="00A06A59">
        <w:rPr>
          <w:rFonts w:ascii="Garamond" w:hAnsi="Garamond" w:cs="Arial"/>
          <w:i/>
          <w:iCs/>
          <w:color w:val="000000"/>
          <w:lang w:val="en-GB"/>
        </w:rPr>
        <w:t>Non vixit</w:t>
      </w:r>
      <w:r w:rsidRPr="00A06A59">
        <w:rPr>
          <w:rFonts w:ascii="Garamond" w:hAnsi="Garamond" w:cs="Arial"/>
          <w:color w:val="000000"/>
          <w:lang w:val="en-GB"/>
        </w:rPr>
        <w:t xml:space="preserve">« abzuleiten, mit dem ich im Traum jene Justiz übe, bis ich mich besann, daß diese zwei Worte nicht als gehörte oder gerufene, sondern als </w:t>
      </w:r>
      <w:r w:rsidRPr="00A06A59">
        <w:rPr>
          <w:rFonts w:ascii="Garamond" w:hAnsi="Garamond" w:cs="Arial"/>
          <w:i/>
          <w:iCs/>
          <w:color w:val="000000"/>
          <w:lang w:val="en-GB"/>
        </w:rPr>
        <w:t>gesehene</w:t>
      </w:r>
      <w:r w:rsidRPr="00A06A59">
        <w:rPr>
          <w:rFonts w:ascii="Garamond" w:hAnsi="Garamond" w:cs="Arial"/>
          <w:color w:val="000000"/>
          <w:lang w:val="en-GB"/>
        </w:rPr>
        <w:t xml:space="preserve"> so hohe Deutlichkeit im Traum besessen hatten. Dann wußte ich sofort, woher sie stammten. Auf dem Postament des Kaiser-Josef-Denkmals in der Wiener Hofburg sind die schönen Worte zu lesen:</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rPr>
      </w:pPr>
      <w:r w:rsidRPr="00A06A59">
        <w:rPr>
          <w:rFonts w:ascii="Garamond" w:hAnsi="Garamond" w:cs="Arial"/>
          <w:color w:val="000000"/>
          <w:sz w:val="22"/>
          <w:szCs w:val="22"/>
        </w:rPr>
        <w:t xml:space="preserve">»Saluti patriae vixit </w:t>
      </w:r>
      <w:r w:rsidRPr="00A06A59">
        <w:rPr>
          <w:rFonts w:ascii="Garamond" w:hAnsi="Garamond" w:cs="Arial"/>
          <w:color w:val="000000"/>
          <w:sz w:val="22"/>
          <w:szCs w:val="22"/>
        </w:rPr>
        <w:br/>
        <w:t>non diu sed totus.«</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hyperlink r:id="rId199" w:anchor="#" w:history="1">
        <w:r w:rsidR="00A06A59" w:rsidRPr="00A06A59">
          <w:rPr>
            <w:rStyle w:val="fusslink"/>
            <w:rFonts w:ascii="Garamond" w:hAnsi="Garamond" w:cs="Arial"/>
            <w:b/>
            <w:bCs/>
            <w:color w:val="003399"/>
          </w:rPr>
          <w:t>[Fußnote]</w:t>
        </w:r>
        <w:r w:rsidR="00A06A59" w:rsidRPr="00A06A59">
          <w:rPr>
            <w:rStyle w:val="innerfusslink3"/>
            <w:rFonts w:ascii="Garamond" w:hAnsi="Garamond" w:cs="Arial"/>
            <w:b/>
            <w:bCs/>
          </w:rPr>
          <w:t xml:space="preserve">Die Inschrift lautet richtig: </w:t>
        </w:r>
        <w:r w:rsidR="00A06A59" w:rsidRPr="00A06A59">
          <w:rPr>
            <w:rFonts w:ascii="Garamond" w:hAnsi="Garamond" w:cs="Arial"/>
            <w:b/>
            <w:bCs/>
            <w:color w:val="000000"/>
          </w:rPr>
          <w:br/>
        </w:r>
        <w:r w:rsidR="00A06A59" w:rsidRPr="00A06A59">
          <w:rPr>
            <w:rFonts w:ascii="Garamond" w:hAnsi="Garamond" w:cs="Arial"/>
            <w:b/>
            <w:bCs/>
            <w:color w:val="000000"/>
          </w:rPr>
          <w:br/>
        </w:r>
        <w:r w:rsidR="00A06A59" w:rsidRPr="00A06A59">
          <w:rPr>
            <w:rStyle w:val="innerfusslink3"/>
            <w:rFonts w:ascii="Garamond" w:hAnsi="Garamond" w:cs="Arial"/>
            <w:b/>
            <w:bCs/>
          </w:rPr>
          <w:t xml:space="preserve">Saluti </w:t>
        </w:r>
        <w:r w:rsidR="00A06A59" w:rsidRPr="00A06A59">
          <w:rPr>
            <w:rStyle w:val="innerfusslink3"/>
            <w:rFonts w:ascii="Garamond" w:hAnsi="Garamond" w:cs="Arial"/>
            <w:b/>
            <w:bCs/>
            <w:i/>
            <w:iCs/>
          </w:rPr>
          <w:t>publicae</w:t>
        </w:r>
        <w:r w:rsidR="00A06A59" w:rsidRPr="00A06A59">
          <w:rPr>
            <w:rStyle w:val="innerfusslink3"/>
            <w:rFonts w:ascii="Garamond" w:hAnsi="Garamond" w:cs="Arial"/>
            <w:b/>
            <w:bCs/>
          </w:rPr>
          <w:t xml:space="preserve"> vixit </w:t>
        </w:r>
        <w:r w:rsidR="00A06A59" w:rsidRPr="00A06A59">
          <w:rPr>
            <w:rFonts w:ascii="Garamond" w:hAnsi="Garamond" w:cs="Arial"/>
            <w:b/>
            <w:bCs/>
            <w:color w:val="000000"/>
          </w:rPr>
          <w:br/>
        </w:r>
        <w:r w:rsidR="00A06A59" w:rsidRPr="00A06A59">
          <w:rPr>
            <w:rStyle w:val="innerfusslink3"/>
            <w:rFonts w:ascii="Garamond" w:hAnsi="Garamond" w:cs="Arial"/>
            <w:b/>
            <w:bCs/>
          </w:rPr>
          <w:t xml:space="preserve">non diu sed totus. </w:t>
        </w:r>
        <w:r w:rsidR="00A06A59" w:rsidRPr="00A06A59">
          <w:rPr>
            <w:rFonts w:ascii="Garamond" w:hAnsi="Garamond" w:cs="Arial"/>
            <w:b/>
            <w:bCs/>
            <w:color w:val="000000"/>
          </w:rPr>
          <w:br/>
        </w:r>
        <w:r w:rsidR="00A06A59" w:rsidRPr="00A06A59">
          <w:rPr>
            <w:rFonts w:ascii="Garamond" w:hAnsi="Garamond" w:cs="Arial"/>
            <w:b/>
            <w:bCs/>
            <w:color w:val="000000"/>
          </w:rPr>
          <w:br/>
        </w:r>
        <w:r w:rsidR="00A06A59" w:rsidRPr="00A06A59">
          <w:rPr>
            <w:rStyle w:val="innerfusslink3"/>
            <w:rFonts w:ascii="Garamond" w:hAnsi="Garamond" w:cs="Arial"/>
            <w:b/>
            <w:bCs/>
            <w:lang w:val="en-GB"/>
          </w:rPr>
          <w:t xml:space="preserve">Das Motiv der Fehlleistung: </w:t>
        </w:r>
        <w:r w:rsidR="00A06A59" w:rsidRPr="00A06A59">
          <w:rPr>
            <w:rStyle w:val="innerfusslink3"/>
            <w:rFonts w:ascii="Garamond" w:hAnsi="Garamond" w:cs="Arial"/>
            <w:b/>
            <w:bCs/>
            <w:i/>
            <w:iCs/>
            <w:lang w:val="en-GB"/>
          </w:rPr>
          <w:t>patriae</w:t>
        </w:r>
        <w:r w:rsidR="00A06A59" w:rsidRPr="00A06A59">
          <w:rPr>
            <w:rStyle w:val="innerfusslink3"/>
            <w:rFonts w:ascii="Garamond" w:hAnsi="Garamond" w:cs="Arial"/>
            <w:b/>
            <w:bCs/>
            <w:lang w:val="en-GB"/>
          </w:rPr>
          <w:t xml:space="preserve"> für </w:t>
        </w:r>
        <w:r w:rsidR="00A06A59" w:rsidRPr="00A06A59">
          <w:rPr>
            <w:rStyle w:val="innerfusslink3"/>
            <w:rFonts w:ascii="Garamond" w:hAnsi="Garamond" w:cs="Arial"/>
            <w:b/>
            <w:bCs/>
            <w:i/>
            <w:iCs/>
            <w:lang w:val="en-GB"/>
          </w:rPr>
          <w:t>publicae</w:t>
        </w:r>
        <w:r w:rsidR="00A06A59" w:rsidRPr="00A06A59">
          <w:rPr>
            <w:rStyle w:val="innerfusslink3"/>
            <w:rFonts w:ascii="Garamond" w:hAnsi="Garamond" w:cs="Arial"/>
            <w:b/>
            <w:bCs/>
            <w:lang w:val="en-GB"/>
          </w:rPr>
          <w:t xml:space="preserve"> hat </w:t>
        </w:r>
        <w:r w:rsidR="00A06A59" w:rsidRPr="00A06A59">
          <w:rPr>
            <w:rStyle w:val="innerfusslink3"/>
            <w:rFonts w:ascii="Garamond" w:hAnsi="Garamond" w:cs="Arial"/>
            <w:b/>
            <w:bCs/>
            <w:i/>
            <w:iCs/>
            <w:lang w:val="en-GB"/>
          </w:rPr>
          <w:t>Wittels</w:t>
        </w:r>
        <w:r w:rsidR="00A06A59" w:rsidRPr="00A06A59">
          <w:rPr>
            <w:rStyle w:val="innerfusslink3"/>
            <w:rFonts w:ascii="Garamond" w:hAnsi="Garamond" w:cs="Arial"/>
            <w:b/>
            <w:bCs/>
            <w:lang w:val="en-GB"/>
          </w:rPr>
          <w:t xml:space="preserve"> wahrscheinlich zutreffend erraten.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Aus dieser Inschrift habe ich herausgeklaubt, was zu der einen, feindseligen Gedankenreihe in meinen Traumgedanken paßte und was heißen sollte: Der Kerl hat ja gar nichts dreinzureden, er lebt ja gar nicht. Und nun mußte ich mich erinnern, daß der Traum wenige Tage nach der Enthüllung des </w:t>
      </w:r>
      <w:r w:rsidRPr="00A06A59">
        <w:rPr>
          <w:rFonts w:ascii="Garamond" w:hAnsi="Garamond" w:cs="Arial"/>
          <w:i/>
          <w:iCs/>
          <w:color w:val="000000"/>
          <w:lang w:val="en-GB"/>
        </w:rPr>
        <w:t>Fleischl</w:t>
      </w:r>
      <w:r w:rsidRPr="00A06A59">
        <w:rPr>
          <w:rFonts w:ascii="Garamond" w:hAnsi="Garamond" w:cs="Arial"/>
          <w:color w:val="000000"/>
          <w:lang w:val="en-GB"/>
        </w:rPr>
        <w:t xml:space="preserve">denkmals in den Arkaden der Universität geträumt worden war, wobei ich das Denkmal </w:t>
      </w:r>
      <w:r w:rsidRPr="00A06A59">
        <w:rPr>
          <w:rFonts w:ascii="Garamond" w:hAnsi="Garamond" w:cs="Arial"/>
          <w:i/>
          <w:iCs/>
          <w:color w:val="000000"/>
          <w:lang w:val="en-GB"/>
        </w:rPr>
        <w:t>Brückes</w:t>
      </w:r>
      <w:r w:rsidRPr="00A06A59">
        <w:rPr>
          <w:rFonts w:ascii="Garamond" w:hAnsi="Garamond" w:cs="Arial"/>
          <w:color w:val="000000"/>
          <w:lang w:val="en-GB"/>
        </w:rPr>
        <w:t xml:space="preserve"> wiedergesehen hatte und (im Unbewußten) mit Bedauern erwogen haben muß, wie mein hochbegabter und ganz der Wissenschaft ergebener Freund P. durch einen allzufrühen Tod seinen begründeten Anspruch auf ein Denkmal in diesen Räumen verloren. So setzte ich ihm dies Denkmal im Traum; mein Freund P. hieß mit dem Vornamen Josef </w:t>
      </w:r>
      <w:hyperlink r:id="rId200"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Als Beitrag zur Überdeterminierung: Meine Entschuldigung für mein Zuspätkommen lag darin, daß ich nach langer Nachtarbeit am Morgen den weiten Weg von der </w:t>
        </w:r>
        <w:r w:rsidRPr="00A06A59">
          <w:rPr>
            <w:rStyle w:val="innerfusslink3"/>
            <w:rFonts w:ascii="Garamond" w:hAnsi="Garamond" w:cs="Arial"/>
            <w:b/>
            <w:bCs/>
            <w:i/>
            <w:iCs/>
            <w:lang w:val="en-GB"/>
          </w:rPr>
          <w:t>Kaiser-Josef-</w:t>
        </w:r>
        <w:r w:rsidRPr="00A06A59">
          <w:rPr>
            <w:rStyle w:val="innerfusslink3"/>
            <w:rFonts w:ascii="Garamond" w:hAnsi="Garamond" w:cs="Arial"/>
            <w:b/>
            <w:bCs/>
            <w:lang w:val="en-GB"/>
          </w:rPr>
          <w:t>Straße in die Währinger Straße zu machen hatte.</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Nach den Regeln der Traumdeutung wäre ich nun noch immer nicht berechtigt, das </w:t>
      </w:r>
      <w:r w:rsidRPr="00A06A59">
        <w:rPr>
          <w:rFonts w:ascii="Garamond" w:hAnsi="Garamond" w:cs="Arial"/>
          <w:i/>
          <w:iCs/>
          <w:color w:val="000000"/>
          <w:lang w:val="en-GB"/>
        </w:rPr>
        <w:t>non vivit</w:t>
      </w:r>
      <w:r w:rsidRPr="00A06A59">
        <w:rPr>
          <w:rFonts w:ascii="Garamond" w:hAnsi="Garamond" w:cs="Arial"/>
          <w:color w:val="000000"/>
          <w:lang w:val="en-GB"/>
        </w:rPr>
        <w:t xml:space="preserve">, das ich brauche, durch </w:t>
      </w:r>
      <w:r w:rsidRPr="00A06A59">
        <w:rPr>
          <w:rFonts w:ascii="Garamond" w:hAnsi="Garamond" w:cs="Arial"/>
          <w:i/>
          <w:iCs/>
          <w:color w:val="000000"/>
          <w:lang w:val="en-GB"/>
        </w:rPr>
        <w:t>non vixit</w:t>
      </w:r>
      <w:r w:rsidRPr="00A06A59">
        <w:rPr>
          <w:rFonts w:ascii="Garamond" w:hAnsi="Garamond" w:cs="Arial"/>
          <w:color w:val="000000"/>
          <w:lang w:val="en-GB"/>
        </w:rPr>
        <w:t xml:space="preserve">, das mir die Erinnerung an das Josefsmonument zur Verfügung stellt, zu ersetzen. Ein anderes Element der Traumgedanken muß dies durch seinen Beitrag ermöglicht haben. Es heißt mich nun etwas darauf achten, daß in der Traumszene eine feindselige und eine zärtliche Gedankenströmung gegen meinen Freund P. zusammentreffen, die erstere oberflächlich, die letztere verdeckt, und in den nämlichen Worten: </w:t>
      </w:r>
      <w:r w:rsidRPr="00A06A59">
        <w:rPr>
          <w:rFonts w:ascii="Garamond" w:hAnsi="Garamond" w:cs="Arial"/>
          <w:i/>
          <w:iCs/>
          <w:color w:val="000000"/>
          <w:lang w:val="en-GB"/>
        </w:rPr>
        <w:t>Non vixit</w:t>
      </w:r>
      <w:r w:rsidRPr="00A06A59">
        <w:rPr>
          <w:rFonts w:ascii="Garamond" w:hAnsi="Garamond" w:cs="Arial"/>
          <w:color w:val="000000"/>
          <w:lang w:val="en-GB"/>
        </w:rPr>
        <w:t xml:space="preserve"> ihre Darstellung erreichen. Weil er sich um die Wissenschaft verdient gemacht hat, errichte ich ihm ein Denkmal; aber weil er sich eines bösen Wunsches schuldig gemacht hat (der am Ende des Traumes ausgedrückt ist), darum vernichte ich ihn. Ich habe da einen Satz von ganz besonderem Klang gebildet, bei dem mich ein Vorbild beeinflußt haben muß. Wo findet sich nur eine ähnliche Antithese, ein solches Nebeneinanderstellen zweier entgegengesetzter Reaktionen gegen dieselbe Person, die beide den Anspruch erheben, voll berechtigt zu sein, und doch einander nicht stören wollen? An einer einzigen Stelle, die sich aber dem Leser tief einprägt; in der Rechtfertigungsrede des Brutus in Shakespeares </w:t>
      </w:r>
      <w:r w:rsidRPr="00A06A59">
        <w:rPr>
          <w:rFonts w:ascii="Garamond" w:hAnsi="Garamond" w:cs="Arial"/>
          <w:i/>
          <w:iCs/>
          <w:color w:val="000000"/>
          <w:lang w:val="en-GB"/>
        </w:rPr>
        <w:t>Julius Cäsar</w:t>
      </w:r>
      <w:r w:rsidRPr="00A06A59">
        <w:rPr>
          <w:rFonts w:ascii="Garamond" w:hAnsi="Garamond" w:cs="Arial"/>
          <w:color w:val="000000"/>
          <w:lang w:val="en-GB"/>
        </w:rPr>
        <w:t xml:space="preserve">: »Weil Cäsar mich liebte, wein' ich um ihn; weil er glücklich war, freue ich mich; weil er tapfer war, ehr' ich ihn, aber weil er herrschsüchtig war, erschlug ich ihn.« Ist das nicht der nämliche Satzbau und Gedankengegensatz wie in dem Traumgedanken, den ich aufgedeckt habe? Ich spiele also den Brutus im Traum. Wenn ich nur von dieser überraschenden Kollateralverbindung noch eine andere bestätigende Spur im Trauminhalt auffinden könnte! Ich denke, dies könnte folgende sein: Mein Freund Fl. kommt im </w:t>
      </w:r>
      <w:r w:rsidRPr="00A06A59">
        <w:rPr>
          <w:rFonts w:ascii="Garamond" w:hAnsi="Garamond" w:cs="Arial"/>
          <w:i/>
          <w:iCs/>
          <w:color w:val="000000"/>
          <w:lang w:val="en-GB"/>
        </w:rPr>
        <w:t>Juli</w:t>
      </w:r>
      <w:r w:rsidRPr="00A06A59">
        <w:rPr>
          <w:rFonts w:ascii="Garamond" w:hAnsi="Garamond" w:cs="Arial"/>
          <w:color w:val="000000"/>
          <w:lang w:val="en-GB"/>
        </w:rPr>
        <w:t xml:space="preserve"> nach Wien. Diese Einzelheit findet gar keine Stütze in Wirklichkeit. Mein Freund ist im Monat </w:t>
      </w:r>
      <w:r w:rsidRPr="00A06A59">
        <w:rPr>
          <w:rFonts w:ascii="Garamond" w:hAnsi="Garamond" w:cs="Arial"/>
          <w:i/>
          <w:iCs/>
          <w:color w:val="000000"/>
          <w:lang w:val="en-GB"/>
        </w:rPr>
        <w:t>Juli</w:t>
      </w:r>
      <w:r w:rsidRPr="00A06A59">
        <w:rPr>
          <w:rFonts w:ascii="Garamond" w:hAnsi="Garamond" w:cs="Arial"/>
          <w:color w:val="000000"/>
          <w:lang w:val="en-GB"/>
        </w:rPr>
        <w:t xml:space="preserve"> meines Wissens niemals in Wien gewesen. Aber der Monat </w:t>
      </w:r>
      <w:r w:rsidRPr="00A06A59">
        <w:rPr>
          <w:rFonts w:ascii="Garamond" w:hAnsi="Garamond" w:cs="Arial"/>
          <w:i/>
          <w:iCs/>
          <w:color w:val="000000"/>
          <w:lang w:val="en-GB"/>
        </w:rPr>
        <w:t>Juli</w:t>
      </w:r>
      <w:r w:rsidRPr="00A06A59">
        <w:rPr>
          <w:rFonts w:ascii="Garamond" w:hAnsi="Garamond" w:cs="Arial"/>
          <w:color w:val="000000"/>
          <w:lang w:val="en-GB"/>
        </w:rPr>
        <w:t xml:space="preserve"> ist nach </w:t>
      </w:r>
      <w:r w:rsidRPr="00A06A59">
        <w:rPr>
          <w:rFonts w:ascii="Garamond" w:hAnsi="Garamond" w:cs="Arial"/>
          <w:i/>
          <w:iCs/>
          <w:color w:val="000000"/>
          <w:lang w:val="en-GB"/>
        </w:rPr>
        <w:t>Julius Cäsar</w:t>
      </w:r>
      <w:r w:rsidRPr="00A06A59">
        <w:rPr>
          <w:rFonts w:ascii="Garamond" w:hAnsi="Garamond" w:cs="Arial"/>
          <w:color w:val="000000"/>
          <w:lang w:val="en-GB"/>
        </w:rPr>
        <w:t xml:space="preserve"> benannt und könnte darum sehr wohl die von mir gesuchte Anspielung auf den Zwischengedanken, daß ich den Brutus spiele, vertreten </w:t>
      </w:r>
      <w:hyperlink r:id="rId201"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Dazu noch </w:t>
        </w:r>
        <w:r w:rsidRPr="00A06A59">
          <w:rPr>
            <w:rStyle w:val="innerfusslink3"/>
            <w:rFonts w:ascii="Garamond" w:hAnsi="Garamond" w:cs="Arial"/>
            <w:b/>
            <w:bCs/>
            <w:i/>
            <w:iCs/>
            <w:lang w:val="en-GB"/>
          </w:rPr>
          <w:t>Cäsar Kaiser.</w:t>
        </w:r>
      </w:hyperlink>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Merkwürdigerweise habe ich nun wirklich einmal den Brutus gespielt. Ich habe die Szene Brutus und Cäsar aus Schillers Gedichten vor einem Auditorium von Kindern aufgeführt, und zwar als vierzehnjähriger Knabe im Verein mit meinem um ein Jahr älteren Neffen, der damals aus England zu uns gekommen war – auch so ein </w:t>
      </w:r>
      <w:r w:rsidRPr="00A06A59">
        <w:rPr>
          <w:rFonts w:ascii="Garamond" w:hAnsi="Garamond" w:cs="Arial"/>
          <w:i/>
          <w:iCs/>
          <w:color w:val="000000"/>
          <w:lang w:val="en-GB"/>
        </w:rPr>
        <w:t>Revenant</w:t>
      </w:r>
      <w:r w:rsidRPr="00A06A59">
        <w:rPr>
          <w:rFonts w:ascii="Garamond" w:hAnsi="Garamond" w:cs="Arial"/>
          <w:color w:val="000000"/>
          <w:lang w:val="en-GB"/>
        </w:rPr>
        <w:t xml:space="preserve">, – denn es war der Gespiele meiner ersten Kinderjahre, der mit ihm wieder auftauchte. Bis zu meinem vollendeten dritten Jahre waren wir unzertrennlich gewesen, hatten einander geliebt und miteinander gerauft, und diese Kinderbeziehung hat, wie ich schon einmal angedeutet, über all meine späteren Gefühle im Verkehr mit Altersgenossen entschieden. Mein Neffe John hat seither sehr viele Inkarnationen gefunden, die bald diese, bald jene Seite seines in meiner unbewußten Erinnerung unauslöschlich fixierten Wesens wiederbelebten. Er muß mich zeitweilig sehr schlecht behandelt haben, und ich muß Mut bewiesen haben gegen meinen Tyrannen, denn es ist mir in späteren Jahren oft eine kurze Rechtfertigungsrede wiedererzählt worden, mit der ich mich verteidigte, als mich der Vater sein Großvater zur Rede stellte: Warum schlägst du John? Sie lautete in der Sprache des noch nicht Zweijährigen: </w:t>
      </w:r>
      <w:r w:rsidRPr="00A06A59">
        <w:rPr>
          <w:rFonts w:ascii="Garamond" w:hAnsi="Garamond" w:cs="Arial"/>
          <w:i/>
          <w:iCs/>
          <w:color w:val="000000"/>
          <w:lang w:val="en-GB"/>
        </w:rPr>
        <w:t>Ich habe ihn ge(sch)lagt, weil er mich ge(sch)lagt</w:t>
      </w:r>
      <w:r w:rsidRPr="00A06A59">
        <w:rPr>
          <w:rFonts w:ascii="Garamond" w:hAnsi="Garamond" w:cs="Arial"/>
          <w:color w:val="000000"/>
          <w:lang w:val="en-GB"/>
        </w:rPr>
        <w:t xml:space="preserve"> hat. Diese Kinderszene muß es sein, die </w:t>
      </w:r>
      <w:r w:rsidRPr="00A06A59">
        <w:rPr>
          <w:rFonts w:ascii="Garamond" w:hAnsi="Garamond" w:cs="Arial"/>
          <w:i/>
          <w:iCs/>
          <w:color w:val="000000"/>
          <w:lang w:val="en-GB"/>
        </w:rPr>
        <w:t>non vivit</w:t>
      </w:r>
      <w:r w:rsidRPr="00A06A59">
        <w:rPr>
          <w:rFonts w:ascii="Garamond" w:hAnsi="Garamond" w:cs="Arial"/>
          <w:color w:val="000000"/>
          <w:lang w:val="en-GB"/>
        </w:rPr>
        <w:t xml:space="preserve"> zum </w:t>
      </w:r>
      <w:r w:rsidRPr="00A06A59">
        <w:rPr>
          <w:rFonts w:ascii="Garamond" w:hAnsi="Garamond" w:cs="Arial"/>
          <w:i/>
          <w:iCs/>
          <w:color w:val="000000"/>
          <w:lang w:val="en-GB"/>
        </w:rPr>
        <w:t>non vixit</w:t>
      </w:r>
      <w:r w:rsidRPr="00A06A59">
        <w:rPr>
          <w:rFonts w:ascii="Garamond" w:hAnsi="Garamond" w:cs="Arial"/>
          <w:color w:val="000000"/>
          <w:lang w:val="en-GB"/>
        </w:rPr>
        <w:t xml:space="preserve"> ablenkt, denn in der Sprache späterer Kinderjahre heißt ja das </w:t>
      </w:r>
      <w:r w:rsidRPr="00A06A59">
        <w:rPr>
          <w:rFonts w:ascii="Garamond" w:hAnsi="Garamond" w:cs="Arial"/>
          <w:i/>
          <w:iCs/>
          <w:color w:val="000000"/>
          <w:lang w:val="en-GB"/>
        </w:rPr>
        <w:t>Schlagen – Wichsen</w:t>
      </w:r>
      <w:r w:rsidRPr="00A06A59">
        <w:rPr>
          <w:rFonts w:ascii="Garamond" w:hAnsi="Garamond" w:cs="Arial"/>
          <w:color w:val="000000"/>
          <w:lang w:val="en-GB"/>
        </w:rPr>
        <w:t>; die Traumarbeit verschmäht es nicht, sich solcher Zusammenhänge zu bedienen. Die in der Realität so wenig begründete Feindseligkeit gegen meinen Freund P., der mir vielfach überlegen war und darum auch eine Neuausgabe des Kindergespielen abgeben konnte, geht sicherlich auf die komplizierte infantile Beziehung zu John zurück.</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werde also auf diesen Traum noch zurückkommen.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br w:type="page"/>
      </w:r>
    </w:p>
    <w:p w:rsidR="00A06A59" w:rsidRPr="00A06A59" w:rsidRDefault="00B437A1"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rPr>
      </w:pPr>
      <w:hyperlink w:anchor="inhalt" w:history="1">
        <w:r w:rsidR="00A06A59" w:rsidRPr="00A06A59">
          <w:rPr>
            <w:rStyle w:val="Lienhypertexte"/>
            <w:rFonts w:ascii="Garamond" w:hAnsi="Garamond" w:cs="Arial"/>
            <w:b/>
            <w:bCs/>
          </w:rPr>
          <w:t>G. Ab</w:t>
        </w:r>
        <w:bookmarkStart w:id="77" w:name="VIG"/>
        <w:bookmarkEnd w:id="77"/>
        <w:r w:rsidR="00A06A59" w:rsidRPr="00A06A59">
          <w:rPr>
            <w:rStyle w:val="Lienhypertexte"/>
            <w:rFonts w:ascii="Garamond" w:hAnsi="Garamond" w:cs="Arial"/>
            <w:b/>
            <w:bCs/>
          </w:rPr>
          <w:t>surde Träume Die intellektuellen Leistungen im Traum</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Bei unseren bisherigen Traumdeutungen sind wir so oft auf das Element der </w:t>
      </w:r>
      <w:r w:rsidRPr="00A06A59">
        <w:rPr>
          <w:rFonts w:ascii="Garamond" w:hAnsi="Garamond" w:cs="Arial"/>
          <w:i/>
          <w:iCs/>
          <w:color w:val="000000"/>
        </w:rPr>
        <w:t>Absurdität</w:t>
      </w:r>
      <w:r w:rsidRPr="00A06A59">
        <w:rPr>
          <w:rFonts w:ascii="Garamond" w:hAnsi="Garamond" w:cs="Arial"/>
          <w:color w:val="000000"/>
        </w:rPr>
        <w:t xml:space="preserve"> im Trauminhalt gestoßen, daß wir die Untersuchung nicht länger aufschieben wollen, woher dasselbe rührt und was es etwa bedeutet. Wir erinnern uns ja, daß die Absurdität der Träume den Gegnern der Traumschätzung ein Hauptargument bot, um im Traum nichts anderes als ein sinnloses Produkt einer reduzierten und zerbröckelten Geistestätigkeit zu sehen.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beginne mit einigen Beispielen, in denen die Absurdität des Trauminhalts nur ein Anschein ist, der bei besserer Vertiefung in den Sinn des Traumes sofort verschwindet. Es sind einige Träume, die – wie man zuerst meint, zufällig – vom toten Vater handeln.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eines Patienten, der seinen Vater vor sechs Jahren verloren: </w:t>
      </w:r>
      <w:r w:rsidRPr="00A06A59">
        <w:rPr>
          <w:rFonts w:ascii="Garamond" w:hAnsi="Garamond" w:cs="Arial"/>
          <w:i/>
          <w:iCs/>
          <w:color w:val="000000"/>
          <w:lang w:val="en-GB"/>
        </w:rPr>
        <w:t>Dem Vater ist ein großes Unglück widerfahren. Er ist mit dem Nachtzug gefahren, da ist eine Entgleisung erfolgt, die Sitze sind zusammengekommen, und ihm ist der Kopf quer zusammengedrückt worden. Er sieht ihn dann auf dem Bette liegen, mit einer Wunde über dem Augenbrauenrand links, die vertikal verläuft. Er wundert sich darüber, daß der Vater verunglückt ist(da er doch schon tot ist,</w:t>
      </w:r>
      <w:r w:rsidRPr="00A06A59">
        <w:rPr>
          <w:rFonts w:ascii="Garamond" w:hAnsi="Garamond" w:cs="Arial"/>
          <w:color w:val="000000"/>
          <w:lang w:val="en-GB"/>
        </w:rPr>
        <w:t xml:space="preserve"> wie er bei der Erzählung ergänzt). </w:t>
      </w:r>
      <w:r w:rsidRPr="00A06A59">
        <w:rPr>
          <w:rFonts w:ascii="Garamond" w:hAnsi="Garamond" w:cs="Arial"/>
          <w:i/>
          <w:iCs/>
          <w:color w:val="000000"/>
          <w:lang w:val="en-GB"/>
        </w:rPr>
        <w:t>Die Augen sind so klar.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Nach der herrschenden Beurteilung der Träume hätte man sich diesen Trauminhalt so aufzuklären: Der Träumer hat zuerst, während er sich den Unfall seines Vaters vorstellt, vergessen, daß dieser schon seit Jahren im Grabe ruht; im weiteren Verlaufe des Träumens wacht diese Erinnerung auf und bewirkt, daß er sich über den eigenen Traum noch selbst träumend verwundert. Die Analyse lehrt aber, daß es vor allem überflüssig ist, nach solchen Erklärungen zu greifen. Der Träumer hatte bei einem Künstler eine </w:t>
      </w:r>
      <w:r w:rsidRPr="00A06A59">
        <w:rPr>
          <w:rFonts w:ascii="Garamond" w:hAnsi="Garamond" w:cs="Arial"/>
          <w:i/>
          <w:iCs/>
          <w:color w:val="000000"/>
          <w:lang w:val="en-GB"/>
        </w:rPr>
        <w:t>Büste</w:t>
      </w:r>
      <w:r w:rsidRPr="00A06A59">
        <w:rPr>
          <w:rFonts w:ascii="Garamond" w:hAnsi="Garamond" w:cs="Arial"/>
          <w:color w:val="000000"/>
          <w:lang w:val="en-GB"/>
        </w:rPr>
        <w:t xml:space="preserve"> des Vaters bestellt, die er zwei Tage vor dem Traume in Augenschein genommen hat. Diese ist es, die ihm </w:t>
      </w:r>
      <w:r w:rsidRPr="00A06A59">
        <w:rPr>
          <w:rFonts w:ascii="Garamond" w:hAnsi="Garamond" w:cs="Arial"/>
          <w:i/>
          <w:iCs/>
          <w:color w:val="000000"/>
          <w:lang w:val="en-GB"/>
        </w:rPr>
        <w:t>verunglückt</w:t>
      </w:r>
      <w:r w:rsidRPr="00A06A59">
        <w:rPr>
          <w:rFonts w:ascii="Garamond" w:hAnsi="Garamond" w:cs="Arial"/>
          <w:color w:val="000000"/>
          <w:lang w:val="en-GB"/>
        </w:rPr>
        <w:t xml:space="preserve"> vorkommt. Der Bildhauer hat den Vater nie gesehen, er arbeitet nach ihm vorgelegten Photographien. Am Tage vor dem Traume selbst hat der pietätvolle Sohn einen alten Diener der Familie ins Atelier geschickt, ob auch der dasselbe Urteil über den marmornen Kopf fällen wird, nämlich, daß </w:t>
      </w:r>
      <w:r w:rsidRPr="00A06A59">
        <w:rPr>
          <w:rFonts w:ascii="Garamond" w:hAnsi="Garamond" w:cs="Arial"/>
          <w:i/>
          <w:iCs/>
          <w:color w:val="000000"/>
          <w:lang w:val="en-GB"/>
        </w:rPr>
        <w:t>er zu schmal in der Querrichtung</w:t>
      </w:r>
      <w:r w:rsidRPr="00A06A59">
        <w:rPr>
          <w:rFonts w:ascii="Garamond" w:hAnsi="Garamond" w:cs="Arial"/>
          <w:color w:val="000000"/>
          <w:lang w:val="en-GB"/>
        </w:rPr>
        <w:t xml:space="preserve"> von Schläfe zu Schläfe ausgefallen ist. Nun folgt das Erinnerungsmaterial, das zum Aufbau dieses Traums beigetragen hat. Der Vater hatte die Gewohnheit, wenn geschäftliche Sorgen oder Schwierigkeiten in der Familie ihn quälten, sich beide Hände gegen die Schläfen zu drücken, als ob er seinen Kopf, der ihm zu weit würde, zusammenpressen wollte. – Als Kind von vier Jahren war unser Träumer zugegen, wie das Losgehen einer zufällig geladenen Pistole dem Vater die Augen schwärzte ( </w:t>
      </w:r>
      <w:r w:rsidRPr="00A06A59">
        <w:rPr>
          <w:rFonts w:ascii="Garamond" w:hAnsi="Garamond" w:cs="Arial"/>
          <w:i/>
          <w:iCs/>
          <w:color w:val="000000"/>
          <w:lang w:val="en-GB"/>
        </w:rPr>
        <w:t>die Augen sind so klar</w:t>
      </w:r>
      <w:r w:rsidRPr="00A06A59">
        <w:rPr>
          <w:rFonts w:ascii="Garamond" w:hAnsi="Garamond" w:cs="Arial"/>
          <w:color w:val="000000"/>
          <w:lang w:val="en-GB"/>
        </w:rPr>
        <w:t>). – An der Stelle, wo der Traum die Verletzung des Vaters zeigt, trug der Lebende, wenn er nachdenklich oder traurig war, eine tiefe Längsfurche zur Schau. Daß diese Furche im Traum durch eine Wunde ersetzt ist, deutet auf die zweite Veranlassung des Traumes hin. Der Träumer hatte sein kleines Töchterchen photographiert; die Platte war ihm aus der Hand gefallen und zeigte, als er sie aufhob, einen Sprung, der wie eine senkrechte Furche über die Stirne der Kleinen lief und bis zum Augenbrauenbogen reichte. Da konnte er sich abergläubischer Ahnungen nicht erwehren, denn einen Tag vor dem Tode der Mutter war ihm die photographische Platte mit deren Abbild gesprungen.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Absurdität dieses Traumes ist also bloß der Erfolg einer Nachlässigkeit des sprachlichen Ausdrucks, der die Büste und die Photographie von der Person nicht unterscheiden will. Wir sind alle gewöhnt, so zu reden: Findest du den Vater nicht getroffen? Freilich wäre der Anschein der Absurdität in diesem Traume leicht zu vermeiden gewesen. Wenn man schon nach einer einzigen Erfahrung urteilen dürfte, so möchte man sagen, dieser Anschein von Absurdität ist ein zugelassener oder gewollter.</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rPr>
      </w:pPr>
      <w:r w:rsidRPr="00A06A59">
        <w:rPr>
          <w:rFonts w:ascii="Garamond" w:hAnsi="Garamond" w:cs="Arial"/>
          <w:color w:val="000000"/>
          <w:sz w:val="22"/>
          <w:szCs w:val="22"/>
        </w:rPr>
        <w:t>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Ein zweites, ganz ähnliches Beispiel aus meinen eigenen Träumen: (Ich habe meinen Vater im Jahre 1896 verloren.)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rPr>
        <w:t>Der Vater hat nach seinem Tode eine politische Rolle bei den Magyaren gespielt, sie politisch geeinigt</w:t>
      </w:r>
      <w:r w:rsidRPr="00A06A59">
        <w:rPr>
          <w:rFonts w:ascii="Garamond" w:hAnsi="Garamond" w:cs="Arial"/>
          <w:color w:val="000000"/>
        </w:rPr>
        <w:t xml:space="preserve">, wozu ich ein kleines undeutliches Bild sehe: </w:t>
      </w:r>
      <w:r w:rsidRPr="00A06A59">
        <w:rPr>
          <w:rFonts w:ascii="Garamond" w:hAnsi="Garamond" w:cs="Arial"/>
          <w:i/>
          <w:iCs/>
          <w:color w:val="000000"/>
        </w:rPr>
        <w:t xml:space="preserve">eine Menschenmenge wie im Reichstag; eine Person, die auf einem oder zwei Stühlen steht, andere um ihn herum. </w:t>
      </w:r>
      <w:r w:rsidRPr="00A06A59">
        <w:rPr>
          <w:rFonts w:ascii="Garamond" w:hAnsi="Garamond" w:cs="Arial"/>
          <w:i/>
          <w:iCs/>
          <w:color w:val="000000"/>
          <w:lang w:val="en-GB"/>
        </w:rPr>
        <w:t>Ich erinnere mich daran, daß er auf dem Totenbette Garibaldi so ähnlich gesehen hat, und freue mich, daß diese Verheißung doch wahr geworden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ist doch absurd genug. Es ist zur Zeit geträumt, da die Ungarn durch parlamentarische </w:t>
      </w:r>
      <w:r w:rsidRPr="00A06A59">
        <w:rPr>
          <w:rFonts w:ascii="Garamond" w:hAnsi="Garamond" w:cs="Arial"/>
          <w:i/>
          <w:iCs/>
          <w:color w:val="000000"/>
          <w:lang w:val="en-GB"/>
        </w:rPr>
        <w:t>Obstruktion</w:t>
      </w:r>
      <w:r w:rsidRPr="00A06A59">
        <w:rPr>
          <w:rFonts w:ascii="Garamond" w:hAnsi="Garamond" w:cs="Arial"/>
          <w:color w:val="000000"/>
          <w:lang w:val="en-GB"/>
        </w:rPr>
        <w:t xml:space="preserve"> in den gesetzlosen Zustand gerieten und jene Krise durchmachten, aus der Koloman </w:t>
      </w:r>
      <w:r w:rsidRPr="00A06A59">
        <w:rPr>
          <w:rFonts w:ascii="Garamond" w:hAnsi="Garamond" w:cs="Arial"/>
          <w:i/>
          <w:iCs/>
          <w:color w:val="000000"/>
          <w:lang w:val="en-GB"/>
        </w:rPr>
        <w:t>Széll</w:t>
      </w:r>
      <w:r w:rsidRPr="00A06A59">
        <w:rPr>
          <w:rFonts w:ascii="Garamond" w:hAnsi="Garamond" w:cs="Arial"/>
          <w:color w:val="000000"/>
          <w:lang w:val="en-GB"/>
        </w:rPr>
        <w:t xml:space="preserve"> sie befreite. Der geringfügige Umstand, daß die im Traum gesehene Szene aus so kleinen Bildern besteht, ist nicht ohne Bedeutung für die Aufklärung dieses Elements. Die gewöhnliche visuelle Traumdarstellung unserer Gedanken ergibt Bilder, die uns etwa den Eindruck der Lebensgröße machen; mein Traumbild ist aber die Reproduktion eines in den Text einer illustrierten Geschichte Österreichs eingeschobenen Holzschnittes, der Maria Theresia auf dem Reichstage von Preßburg darstellt, die berühmte Szene des » </w:t>
      </w:r>
      <w:r w:rsidRPr="00A06A59">
        <w:rPr>
          <w:rFonts w:ascii="Garamond" w:hAnsi="Garamond" w:cs="Arial"/>
          <w:i/>
          <w:iCs/>
          <w:color w:val="000000"/>
          <w:lang w:val="en-GB"/>
        </w:rPr>
        <w:t>Moriamur pro rege nostro</w:t>
      </w:r>
      <w:r w:rsidRPr="00A06A59">
        <w:rPr>
          <w:rFonts w:ascii="Garamond" w:hAnsi="Garamond" w:cs="Arial"/>
          <w:color w:val="000000"/>
          <w:lang w:val="en-GB"/>
        </w:rPr>
        <w:t xml:space="preserve">« </w:t>
      </w:r>
      <w:hyperlink r:id="rId202"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Ich weiß nicht mehr, bei welchem </w:t>
        </w:r>
        <w:r w:rsidRPr="00A06A59">
          <w:rPr>
            <w:rStyle w:val="innerfusslink3"/>
            <w:rFonts w:ascii="Garamond" w:hAnsi="Garamond" w:cs="Arial"/>
            <w:b/>
            <w:bCs/>
            <w:lang w:val="en-GB"/>
          </w:rPr>
          <w:lastRenderedPageBreak/>
          <w:t xml:space="preserve">Autor ich einen Traum erwähnt gefunden habe, in dem es von ungewöhnlich kleinen Gestalten wimmelte und als dessen Quelle sich einer der Stiche </w:t>
        </w:r>
        <w:r w:rsidRPr="00A06A59">
          <w:rPr>
            <w:rStyle w:val="innerfusslink3"/>
            <w:rFonts w:ascii="Garamond" w:hAnsi="Garamond" w:cs="Arial"/>
            <w:b/>
            <w:bCs/>
            <w:i/>
            <w:iCs/>
            <w:lang w:val="en-GB"/>
          </w:rPr>
          <w:t>Jacques Callots</w:t>
        </w:r>
        <w:r w:rsidRPr="00A06A59">
          <w:rPr>
            <w:rStyle w:val="innerfusslink3"/>
            <w:rFonts w:ascii="Garamond" w:hAnsi="Garamond" w:cs="Arial"/>
            <w:b/>
            <w:bCs/>
            <w:lang w:val="en-GB"/>
          </w:rPr>
          <w:t xml:space="preserve"> herausstellte, die der Träumer bei Tag betrachtet hatte. Diese Stiche enthalten allerdings eine Unzahl sehr kleiner Figuren; eine Reihe derselben behandelt die Greuel des Dreißigjährigen Krieges.</w:t>
        </w:r>
      </w:hyperlink>
      <w:r w:rsidRPr="00A06A59">
        <w:rPr>
          <w:rFonts w:ascii="Garamond" w:hAnsi="Garamond" w:cs="Arial"/>
          <w:color w:val="000000"/>
          <w:lang w:val="en-GB"/>
        </w:rPr>
        <w:t xml:space="preserve">. Wie dort Maria Theresia, so steht im Traume der Vater von der Menge umringt; er steht aber auf einem oder zwei Stühlen, also als </w:t>
      </w:r>
      <w:r w:rsidRPr="00A06A59">
        <w:rPr>
          <w:rFonts w:ascii="Garamond" w:hAnsi="Garamond" w:cs="Arial"/>
          <w:i/>
          <w:iCs/>
          <w:color w:val="000000"/>
          <w:lang w:val="en-GB"/>
        </w:rPr>
        <w:t>Stuhlrichter</w:t>
      </w:r>
      <w:r w:rsidRPr="00A06A59">
        <w:rPr>
          <w:rFonts w:ascii="Garamond" w:hAnsi="Garamond" w:cs="Arial"/>
          <w:color w:val="000000"/>
          <w:lang w:val="en-GB"/>
        </w:rPr>
        <w:t xml:space="preserve">. (Er hat sie </w:t>
      </w:r>
      <w:r w:rsidRPr="00A06A59">
        <w:rPr>
          <w:rFonts w:ascii="Garamond" w:hAnsi="Garamond" w:cs="Arial"/>
          <w:i/>
          <w:iCs/>
          <w:color w:val="000000"/>
          <w:lang w:val="en-GB"/>
        </w:rPr>
        <w:t>geeinigt:</w:t>
      </w:r>
      <w:r w:rsidRPr="00A06A59">
        <w:rPr>
          <w:rFonts w:ascii="Garamond" w:hAnsi="Garamond" w:cs="Arial"/>
          <w:color w:val="000000"/>
          <w:lang w:val="en-GB"/>
        </w:rPr>
        <w:t xml:space="preserve"> – hier vermittelt die Redensart: Wir werden keinen </w:t>
      </w:r>
      <w:r w:rsidRPr="00A06A59">
        <w:rPr>
          <w:rFonts w:ascii="Garamond" w:hAnsi="Garamond" w:cs="Arial"/>
          <w:i/>
          <w:iCs/>
          <w:color w:val="000000"/>
          <w:lang w:val="en-GB"/>
        </w:rPr>
        <w:t>Richter</w:t>
      </w:r>
      <w:r w:rsidRPr="00A06A59">
        <w:rPr>
          <w:rFonts w:ascii="Garamond" w:hAnsi="Garamond" w:cs="Arial"/>
          <w:color w:val="000000"/>
          <w:lang w:val="en-GB"/>
        </w:rPr>
        <w:t xml:space="preserve"> brauchen.) Daß er auf dem Totenbette Garibaldi so ähnlich sah, haben wir Umstehenden wirklich alle bemerkt. Er hatte </w:t>
      </w:r>
      <w:r w:rsidRPr="00A06A59">
        <w:rPr>
          <w:rFonts w:ascii="Garamond" w:hAnsi="Garamond" w:cs="Arial"/>
          <w:i/>
          <w:iCs/>
          <w:color w:val="000000"/>
          <w:lang w:val="en-GB"/>
        </w:rPr>
        <w:t>postmortale</w:t>
      </w:r>
      <w:r w:rsidRPr="00A06A59">
        <w:rPr>
          <w:rFonts w:ascii="Garamond" w:hAnsi="Garamond" w:cs="Arial"/>
          <w:color w:val="000000"/>
          <w:lang w:val="en-GB"/>
        </w:rPr>
        <w:t xml:space="preserve"> Temperatursteigerung, seine Wangen glühten rot und röter ... unwillkürlich setzen wir fort:</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»Und hinter ihm, in wesenlosem Scheine </w:t>
      </w:r>
      <w:r w:rsidRPr="00A06A59">
        <w:rPr>
          <w:rFonts w:ascii="Garamond" w:hAnsi="Garamond" w:cs="Arial"/>
          <w:color w:val="000000"/>
          <w:sz w:val="22"/>
          <w:szCs w:val="22"/>
          <w:lang w:val="en-GB"/>
        </w:rPr>
        <w:br/>
        <w:t>lag, was uns alle bändigt, das Gemeine.«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Erhebung unserer Gedanken bereitet uns darauf vor, daß wir gerade mit dem »Gemeinen« zu tun bekommen sollen. Das » </w:t>
      </w:r>
      <w:r w:rsidRPr="00A06A59">
        <w:rPr>
          <w:rFonts w:ascii="Garamond" w:hAnsi="Garamond" w:cs="Arial"/>
          <w:i/>
          <w:iCs/>
          <w:color w:val="000000"/>
          <w:lang w:val="en-GB"/>
        </w:rPr>
        <w:t>postmortale</w:t>
      </w:r>
      <w:r w:rsidRPr="00A06A59">
        <w:rPr>
          <w:rFonts w:ascii="Garamond" w:hAnsi="Garamond" w:cs="Arial"/>
          <w:color w:val="000000"/>
          <w:lang w:val="en-GB"/>
        </w:rPr>
        <w:t xml:space="preserve">« der Temperaturerhöhung entspricht den Worten » </w:t>
      </w:r>
      <w:r w:rsidRPr="00A06A59">
        <w:rPr>
          <w:rFonts w:ascii="Garamond" w:hAnsi="Garamond" w:cs="Arial"/>
          <w:i/>
          <w:iCs/>
          <w:color w:val="000000"/>
          <w:lang w:val="en-GB"/>
        </w:rPr>
        <w:t>nach seinem Tode</w:t>
      </w:r>
      <w:r w:rsidRPr="00A06A59">
        <w:rPr>
          <w:rFonts w:ascii="Garamond" w:hAnsi="Garamond" w:cs="Arial"/>
          <w:color w:val="000000"/>
          <w:lang w:val="en-GB"/>
        </w:rPr>
        <w:t xml:space="preserve">« im Trauminhalt. Das Quälendste seiner Leiden war die völlige Darmlähmung ( </w:t>
      </w:r>
      <w:r w:rsidRPr="00A06A59">
        <w:rPr>
          <w:rFonts w:ascii="Garamond" w:hAnsi="Garamond" w:cs="Arial"/>
          <w:i/>
          <w:iCs/>
          <w:color w:val="000000"/>
          <w:lang w:val="en-GB"/>
        </w:rPr>
        <w:t>Obstruktion</w:t>
      </w:r>
      <w:r w:rsidRPr="00A06A59">
        <w:rPr>
          <w:rFonts w:ascii="Garamond" w:hAnsi="Garamond" w:cs="Arial"/>
          <w:color w:val="000000"/>
          <w:lang w:val="en-GB"/>
        </w:rPr>
        <w:t xml:space="preserve">) der letzten Wochen gewesen. An diese knüpfen allerlei unehrerbietige Gedanken an. Einer meiner Altersgenossen, der seinen Vater noch als Gymnasiast verlor, bei welchem Anlaß ich ihm dann tief erschüttert meine Freundschaft antrug, erzählte mir einmal höhnend von dem Schmerz einer Verwandten, deren Vater auf der Straße gestorben und nach Hause gebracht worden war, wo sich dann bei der Entkleidung der Leiche fand, daß im Moment des Todes oder </w:t>
      </w:r>
      <w:r w:rsidRPr="00A06A59">
        <w:rPr>
          <w:rFonts w:ascii="Garamond" w:hAnsi="Garamond" w:cs="Arial"/>
          <w:i/>
          <w:iCs/>
          <w:color w:val="000000"/>
          <w:lang w:val="en-GB"/>
        </w:rPr>
        <w:t>postmortal</w:t>
      </w:r>
      <w:r w:rsidRPr="00A06A59">
        <w:rPr>
          <w:rFonts w:ascii="Garamond" w:hAnsi="Garamond" w:cs="Arial"/>
          <w:color w:val="000000"/>
          <w:lang w:val="en-GB"/>
        </w:rPr>
        <w:t xml:space="preserve"> eine </w:t>
      </w:r>
      <w:r w:rsidRPr="00A06A59">
        <w:rPr>
          <w:rFonts w:ascii="Garamond" w:hAnsi="Garamond" w:cs="Arial"/>
          <w:i/>
          <w:iCs/>
          <w:color w:val="000000"/>
          <w:lang w:val="en-GB"/>
        </w:rPr>
        <w:t>Stuhlentleerung</w:t>
      </w:r>
      <w:r w:rsidRPr="00A06A59">
        <w:rPr>
          <w:rFonts w:ascii="Garamond" w:hAnsi="Garamond" w:cs="Arial"/>
          <w:color w:val="000000"/>
          <w:lang w:val="en-GB"/>
        </w:rPr>
        <w:t xml:space="preserve"> stattgefunden hatte. Die Tochter war so tief unglücklich darüber, daß ihr dieses häßliche Detail die Erinnerung an den Vater stören mußte. Hier sind wir nun zu dem Wunsch vorgedrungen, der sich in diesem Traume verkörpert. </w:t>
      </w:r>
      <w:r w:rsidRPr="00A06A59">
        <w:rPr>
          <w:rFonts w:ascii="Garamond" w:hAnsi="Garamond" w:cs="Arial"/>
          <w:i/>
          <w:iCs/>
          <w:color w:val="000000"/>
          <w:lang w:val="en-GB"/>
        </w:rPr>
        <w:t>Nach seinem Tode rein und groß vor seinen Kindern dastehen</w:t>
      </w:r>
      <w:r w:rsidRPr="00A06A59">
        <w:rPr>
          <w:rFonts w:ascii="Garamond" w:hAnsi="Garamond" w:cs="Arial"/>
          <w:color w:val="000000"/>
          <w:lang w:val="en-GB"/>
        </w:rPr>
        <w:t>, wer möchte das nicht wünschen? Wohin ist die Absurdität dieses Traumes geraten? Ihr Anschein ist nur dadurch zustande gekommen, daß eine völlig zulässige Redensart, bei welcher wir gewöhnt sind, über die Absurdität hinwegzusehen, die zwischen ihren Bestandteilen vorhanden sein mag, im Traume getreulich dargestellt wird. Auch hier können wir den Eindruck nicht abweisen, daß der Anschein der Absurdität ein gewollter, absichtlich hervorgerufener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Häufigkeit, mit welcher im Traume tote Personen wie lebend auftreten, handeln und mit uns verkehren, hat eine ungebührliche Verwunderung hervorgerufen und sonderbare Erklärungen erzeugt, aus denen unser Unverständnis für den Traum sehr auffällig erhellt. Und doch ist die Aufklärung dieser Träume eine sehr naheliegende. Wie oft kommen wir in die Lage, uns zu denken: </w:t>
      </w:r>
      <w:r w:rsidRPr="00A06A59">
        <w:rPr>
          <w:rFonts w:ascii="Garamond" w:hAnsi="Garamond" w:cs="Arial"/>
          <w:i/>
          <w:iCs/>
          <w:color w:val="000000"/>
          <w:lang w:val="en-GB"/>
        </w:rPr>
        <w:t>Wenn</w:t>
      </w:r>
      <w:r w:rsidRPr="00A06A59">
        <w:rPr>
          <w:rFonts w:ascii="Garamond" w:hAnsi="Garamond" w:cs="Arial"/>
          <w:color w:val="000000"/>
          <w:lang w:val="en-GB"/>
        </w:rPr>
        <w:t xml:space="preserve"> der Vater noch leben würde, was würde er dazu sagen? Dieses </w:t>
      </w:r>
      <w:r w:rsidRPr="00A06A59">
        <w:rPr>
          <w:rFonts w:ascii="Garamond" w:hAnsi="Garamond" w:cs="Arial"/>
          <w:i/>
          <w:iCs/>
          <w:color w:val="000000"/>
          <w:lang w:val="en-GB"/>
        </w:rPr>
        <w:t>Wenn</w:t>
      </w:r>
      <w:r w:rsidRPr="00A06A59">
        <w:rPr>
          <w:rFonts w:ascii="Garamond" w:hAnsi="Garamond" w:cs="Arial"/>
          <w:color w:val="000000"/>
          <w:lang w:val="en-GB"/>
        </w:rPr>
        <w:t xml:space="preserve"> kann der Traum nicht anders darstellen als durch die Gegenwart in einer bestimmten Situation. So träumt z. B. ein junger Mann, dem sein Großvater ein großes Erbe hinterlassen hat, bei einer Gelegenheit von Vorwurf wegen einer bedeutenden Geldausgabe, der Großvater sei wieder am Leben und fordere Rechenschaft von ihm. Was wir für die Auflehnung gegen den Traum halten, der Einspruch aus unserem besseren Wissen, daß der Mann doch schon gestorben sei, ist in Wirklichkeit der Trostgedanke, daß der Verstorbene das nicht zu erleben brauchte, oder die Befriedigung darüber, daß er nichts mehr dreinzureden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Eine andere Art von Absurdität, die sich in Träumen von toten Angehörigen findet, drückt nicht Spott und Hohn aus, sondern dient der äußersten Ablehnung, der Darstellung eines verdrängten Gedankens, den man gerne als das Allerundenkbarste hinstellen möchte. Träume dieser Art erscheinen nur auflösbar, wenn man sich erinnert, daß der Traum zwischen Gewünschtem und Realem keinen Unterschied macht. So träumt z. B. ein Mann, der seinen Vater in dessen Krankheit gepflegt und unter dessen Tod schwer gelitten hatte, eine Zeit nachher folgenden unsinnigen Traum: </w:t>
      </w:r>
      <w:r w:rsidRPr="00A06A59">
        <w:rPr>
          <w:rFonts w:ascii="Garamond" w:hAnsi="Garamond" w:cs="Arial"/>
          <w:i/>
          <w:iCs/>
          <w:color w:val="000000"/>
          <w:lang w:val="en-GB"/>
        </w:rPr>
        <w:t>Der Vater war wieder am Leben und sprach mit ihm wie sonst, aber</w:t>
      </w:r>
      <w:r w:rsidRPr="00A06A59">
        <w:rPr>
          <w:rFonts w:ascii="Garamond" w:hAnsi="Garamond" w:cs="Arial"/>
          <w:color w:val="000000"/>
          <w:lang w:val="en-GB"/>
        </w:rPr>
        <w:t xml:space="preserve"> (das Merkwürdige war), </w:t>
      </w:r>
      <w:r w:rsidRPr="00A06A59">
        <w:rPr>
          <w:rFonts w:ascii="Garamond" w:hAnsi="Garamond" w:cs="Arial"/>
          <w:i/>
          <w:iCs/>
          <w:color w:val="000000"/>
          <w:lang w:val="en-GB"/>
        </w:rPr>
        <w:t>er war doch gestorben und wußte es nur nicht.</w:t>
      </w:r>
      <w:r w:rsidRPr="00A06A59">
        <w:rPr>
          <w:rFonts w:ascii="Garamond" w:hAnsi="Garamond" w:cs="Arial"/>
          <w:color w:val="000000"/>
          <w:lang w:val="en-GB"/>
        </w:rPr>
        <w:t xml:space="preserve"> Man versteht diesen Traum, wenn man nach »er war doch gestorben« einsetzt: </w:t>
      </w:r>
      <w:r w:rsidRPr="00A06A59">
        <w:rPr>
          <w:rFonts w:ascii="Garamond" w:hAnsi="Garamond" w:cs="Arial"/>
          <w:i/>
          <w:iCs/>
          <w:color w:val="000000"/>
          <w:lang w:val="en-GB"/>
        </w:rPr>
        <w:t>infolge des Wunsches des Träumers</w:t>
      </w:r>
      <w:r w:rsidRPr="00A06A59">
        <w:rPr>
          <w:rFonts w:ascii="Garamond" w:hAnsi="Garamond" w:cs="Arial"/>
          <w:color w:val="000000"/>
          <w:lang w:val="en-GB"/>
        </w:rPr>
        <w:t xml:space="preserve"> und zu »er wußte es nicht« ergänzt: daß der Träumer diesen Wunsch hatte. Der Sohn hatte während der Krankenpflege wiederholt den Vater tot gewünscht, d. h. den eigentlich erbarmungsvollen Gedanken gehabt, der Tod möge doch endlich dieser Qual ein Ende machen. In der Trauer nach dem Tode wurde selbst dieser Wunsch des Mitleidens zum unbewußten Vorwurf, als ob er durch ihn wirklich beigetragen hätte, das Leben des Kranken zu verkürzen. Durch Erweckung der frühesten infantilen Regungen gegen den Vater wurde es möglich, diesen Vorwurf als Traum auszudrücken, aber gerade wegen der weltenweiten Gegensätzlichkeit zwischen dem Traumerreger und dem Tagesgedanken mußte dieser Traum so absurd ausfallen. </w:t>
      </w:r>
      <w:r w:rsidRPr="00A06A59">
        <w:rPr>
          <w:rFonts w:ascii="Garamond" w:hAnsi="Garamond" w:cs="Arial"/>
          <w:color w:val="000000"/>
        </w:rPr>
        <w:t>(Vgl. hierzu ›Formulierungen über die zwei Prinzipien des psychischen Geschehens. Jahrbuch f. PsA., III, 1911. Ges. Schriften, Bd. 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 Träume von geliebten Toten stellen der Traumdeutung überhaupt schwierige Aufgaben, deren Lösung nicht immer befriedigend gelingt. </w:t>
      </w:r>
      <w:r w:rsidRPr="00A06A59">
        <w:rPr>
          <w:rFonts w:ascii="Garamond" w:hAnsi="Garamond" w:cs="Arial"/>
          <w:color w:val="000000"/>
          <w:lang w:val="en-GB"/>
        </w:rPr>
        <w:t xml:space="preserve">Den Grund hiefür mag man in der besonders stark ausgeprägten Gefühlsambivalenz suchen, welche das Verhältnis des Träumers zum Toten beherrscht. Es ist sehr gewöhnlich, daß in solchen Träumen der Verstorbene zunächst als lebend behandelt wird, daß es dann plötzlich heißt, er sei tot, und daß er in der </w:t>
      </w:r>
      <w:r w:rsidRPr="00A06A59">
        <w:rPr>
          <w:rFonts w:ascii="Garamond" w:hAnsi="Garamond" w:cs="Arial"/>
          <w:color w:val="000000"/>
          <w:lang w:val="en-GB"/>
        </w:rPr>
        <w:lastRenderedPageBreak/>
        <w:t xml:space="preserve">Fortsetzung des Traumes doch wieder lebt. Das wirkt verwirrend. Ich habe endlich erraten, daß dieser Wechsel von Tod und Leben die </w:t>
      </w:r>
      <w:r w:rsidRPr="00A06A59">
        <w:rPr>
          <w:rFonts w:ascii="Garamond" w:hAnsi="Garamond" w:cs="Arial"/>
          <w:i/>
          <w:iCs/>
          <w:color w:val="000000"/>
          <w:lang w:val="en-GB"/>
        </w:rPr>
        <w:t>Gleichgültigkeit</w:t>
      </w:r>
      <w:r w:rsidRPr="00A06A59">
        <w:rPr>
          <w:rFonts w:ascii="Garamond" w:hAnsi="Garamond" w:cs="Arial"/>
          <w:color w:val="000000"/>
          <w:lang w:val="en-GB"/>
        </w:rPr>
        <w:t xml:space="preserve"> des Träumers darstellen soll (»Es ist mir dasselbe, ob er lebt oder gestorben ist«). Natürlich ist diese Gleichgültigkeit keine reale, sondern eine gewünschte, sie soll die sehr intensiven, oft gegensätzlichen Gefühlseinstellungen des Träumers verleugnen helfen und wird so zur Traumdarstellung seiner </w:t>
      </w:r>
      <w:r w:rsidRPr="00A06A59">
        <w:rPr>
          <w:rFonts w:ascii="Garamond" w:hAnsi="Garamond" w:cs="Arial"/>
          <w:i/>
          <w:iCs/>
          <w:color w:val="000000"/>
          <w:lang w:val="en-GB"/>
        </w:rPr>
        <w:t>Ambivalenz</w:t>
      </w:r>
      <w:r w:rsidRPr="00A06A59">
        <w:rPr>
          <w:rFonts w:ascii="Garamond" w:hAnsi="Garamond" w:cs="Arial"/>
          <w:color w:val="000000"/>
          <w:lang w:val="en-GB"/>
        </w:rPr>
        <w:t>. Für andere Träume, in denen man mit Toten verkehrt, hat oft folgende Regel orientierend gewirkt: Wenn im Traume nicht daran gemahnt wird, daß der Tote – tot ist, so stellt sich der Träumer dem Toten gleich, er träumt von seinem eigenen Tod. Die plötzlich im Traume auftretende Besinnung oder Verwunderung: Aber, der ist ja längst gestorben, ist eine Verwahrung gegen diese Gemeinschaft und lehnt die Todesbedeutung für den Träumer ab. Aber ich gestehe den Eindruck zu, daß die Traumdeutung Träumen dieses Inhalts noch lange nicht alle ihre Geheimnisse entlockt hat.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dem Beispiel, das ich jetzt ausführe, kann ich die Traumarbeit dabei ertappen, wie sie eine Absurdität, zu der im Material gar kein Anlaß ist, absichtlich fabriziert. Es stammt aus dem Traume, den mir die Begegnung mit dem Grafen Thun vor meiner Ferialreise eingegeben hat. » </w:t>
      </w:r>
      <w:r w:rsidRPr="00A06A59">
        <w:rPr>
          <w:rFonts w:ascii="Garamond" w:hAnsi="Garamond" w:cs="Arial"/>
          <w:i/>
          <w:iCs/>
          <w:color w:val="000000"/>
          <w:lang w:val="en-GB"/>
        </w:rPr>
        <w:t>Ich fahre in einem Einspänner und gebe Auftrag, zu einem Bahnhof zu fahren. Auf der Bahnstrecke selbst kann ich natürlich nicht mit Ihnen fahren, sage ich, nachdem er einen Einwand gemacht, als ob ich ihn übermüdet hätte; dabei ist es so, als wäre ich schon eine Strecke mit ihm gefahren, die man sonst mit der Bahn fährt.</w:t>
      </w:r>
      <w:r w:rsidRPr="00A06A59">
        <w:rPr>
          <w:rFonts w:ascii="Garamond" w:hAnsi="Garamond" w:cs="Arial"/>
          <w:color w:val="000000"/>
          <w:lang w:val="en-GB"/>
        </w:rPr>
        <w:t xml:space="preserve">« Zu dieser verworrenen und unsinnigen Geschichte gibt die Analyse folgende Aufklärungen: Ich hatte am Tage einen Einspänner genommen, der mich nach Dornbach in eine entlegene Straße führen sollte. Er kannte aber den Weg nicht und fuhr nach Art dieser guten Leute immer weiter, bis ich es merkte und ihm den Weg zeigte, wobei ich ihm einige spöttische Bemerkungen nicht ersparte. Von diesem Kutscher spinnt sich eine Gedankenverbindung zu den Aristokraten an, mit der ich später noch zusammentreffen werde. Vorläufig nur die Andeutung, daß uns bürgerlichem Plebs die Aristokratie dadurch auffällig wird, daß sie sich mit Vorliebe an die Stelle des Kutschers setzt. Graf Thun lenkt ja auch den Staatswagen von Österreich. Der nächste Satz im Traum bezieht sich aber auf meinen Bruder, den ich also mit dem Einspännerkutscher identifiziere. Ich hatte ihm heuer die gemeinsame Italienfahrt abgesagt (» </w:t>
      </w:r>
      <w:r w:rsidRPr="00A06A59">
        <w:rPr>
          <w:rFonts w:ascii="Garamond" w:hAnsi="Garamond" w:cs="Arial"/>
          <w:i/>
          <w:iCs/>
          <w:color w:val="000000"/>
          <w:lang w:val="en-GB"/>
        </w:rPr>
        <w:t>Auf der Bahnstrecke selbst kann ich mit Ihnen nicht fahren</w:t>
      </w:r>
      <w:r w:rsidRPr="00A06A59">
        <w:rPr>
          <w:rFonts w:ascii="Garamond" w:hAnsi="Garamond" w:cs="Arial"/>
          <w:color w:val="000000"/>
          <w:lang w:val="en-GB"/>
        </w:rPr>
        <w:t xml:space="preserve">«), und diese Absage war eine Art Bestrafung für seine sonstige Klage, daß ich ihn auf diesen Reisen zu </w:t>
      </w:r>
      <w:r w:rsidRPr="00A06A59">
        <w:rPr>
          <w:rFonts w:ascii="Garamond" w:hAnsi="Garamond" w:cs="Arial"/>
          <w:i/>
          <w:iCs/>
          <w:color w:val="000000"/>
          <w:lang w:val="en-GB"/>
        </w:rPr>
        <w:t>übermüden</w:t>
      </w:r>
      <w:r w:rsidRPr="00A06A59">
        <w:rPr>
          <w:rFonts w:ascii="Garamond" w:hAnsi="Garamond" w:cs="Arial"/>
          <w:color w:val="000000"/>
          <w:lang w:val="en-GB"/>
        </w:rPr>
        <w:t xml:space="preserve"> pflege (was unverändert in den Traum gelangt), indem ich ihm zu rasche Ortsveränderung, zuviel des Schönen an einem Tage, zumute. Mein Bruder hatte mich an diesem Abend zum Bahnhof begleitet, war aber kurz vorher bei der Stadtbahnstation Westbahnhof ausgesprungen, um mit der Stadtbahn nach Purkersdorf zu fahren. Ich hatte ihm bemerkt, er könne noch eine Weile länger bei mir bleiben, indem er nicht mit der Stadtbahn, sondern mit der Westbahn nach Purkersdorf fahre. Davon ist in den Traum gekommen, daß ich mit dem </w:t>
      </w:r>
      <w:r w:rsidRPr="00A06A59">
        <w:rPr>
          <w:rFonts w:ascii="Garamond" w:hAnsi="Garamond" w:cs="Arial"/>
          <w:i/>
          <w:iCs/>
          <w:color w:val="000000"/>
          <w:lang w:val="en-GB"/>
        </w:rPr>
        <w:t>Wagen</w:t>
      </w:r>
      <w:r w:rsidRPr="00A06A59">
        <w:rPr>
          <w:rFonts w:ascii="Garamond" w:hAnsi="Garamond" w:cs="Arial"/>
          <w:color w:val="000000"/>
          <w:lang w:val="en-GB"/>
        </w:rPr>
        <w:t xml:space="preserve"> eine Strecke gefahren bin, </w:t>
      </w:r>
      <w:r w:rsidRPr="00A06A59">
        <w:rPr>
          <w:rFonts w:ascii="Garamond" w:hAnsi="Garamond" w:cs="Arial"/>
          <w:i/>
          <w:iCs/>
          <w:color w:val="000000"/>
          <w:lang w:val="en-GB"/>
        </w:rPr>
        <w:t>die man sonst mit der Bahn fährt</w:t>
      </w:r>
      <w:r w:rsidRPr="00A06A59">
        <w:rPr>
          <w:rFonts w:ascii="Garamond" w:hAnsi="Garamond" w:cs="Arial"/>
          <w:color w:val="000000"/>
          <w:lang w:val="en-GB"/>
        </w:rPr>
        <w:t xml:space="preserve">. In Wirklichkeit war es umgekehrt (und » </w:t>
      </w:r>
      <w:r w:rsidRPr="00A06A59">
        <w:rPr>
          <w:rFonts w:ascii="Garamond" w:hAnsi="Garamond" w:cs="Arial"/>
          <w:i/>
          <w:iCs/>
          <w:color w:val="000000"/>
          <w:lang w:val="en-GB"/>
        </w:rPr>
        <w:t>Umgekehrt ist auch gefahren</w:t>
      </w:r>
      <w:r w:rsidRPr="00A06A59">
        <w:rPr>
          <w:rFonts w:ascii="Garamond" w:hAnsi="Garamond" w:cs="Arial"/>
          <w:color w:val="000000"/>
          <w:lang w:val="en-GB"/>
        </w:rPr>
        <w:t xml:space="preserve">«); ich hatte meinem Bruder gesagt: Die Strecke, die du mit der Stadtbahn fährst, kannst du auch in meiner Gesellschaft in der Westbahn fahren. Die ganze Traumverwirrung richte ich dadurch an, daß ich anstatt »Stadtbahn« – »Wagen« in den Traum einsetze, was allerdings zur Zusammenziehung des Kutschers mit dem Bruder gute Dienste leistet. Dann bekomme ich im Traume etwas Unsinniges heraus, was bei der Erklärung kaum entwirrbar scheint, und beinahe einen Widerspruch mit einer früheren Rede von mir (» </w:t>
      </w:r>
      <w:r w:rsidRPr="00A06A59">
        <w:rPr>
          <w:rFonts w:ascii="Garamond" w:hAnsi="Garamond" w:cs="Arial"/>
          <w:i/>
          <w:iCs/>
          <w:color w:val="000000"/>
          <w:lang w:val="en-GB"/>
        </w:rPr>
        <w:t>Auf der Bahnstrecke selbst kann ich mit Ihnen nicht fahren</w:t>
      </w:r>
      <w:r w:rsidRPr="00A06A59">
        <w:rPr>
          <w:rFonts w:ascii="Garamond" w:hAnsi="Garamond" w:cs="Arial"/>
          <w:color w:val="000000"/>
          <w:lang w:val="en-GB"/>
        </w:rPr>
        <w:t>«) herstellt. Da ich aber Stadtbahn und Einspännerwagen überhaupt nicht zu verwechseln brauche, muß ich diese ganze rätselhafte Geschichte im Traum absichtlich so gestaltet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welcher Absicht aber? Wir sollen nun erfahren, was die Absurdität im Traume bedeutet und aus welchen Motiven sie zugelassen oder geschaffen wird. Die Lösung des Geheimnisses im vorliegenden Falle ist folgende: Ich brauche im Traume eine Absurdität und etwas Unverständliches in Verbindung mit dem » </w:t>
      </w:r>
      <w:r w:rsidRPr="00A06A59">
        <w:rPr>
          <w:rFonts w:ascii="Garamond" w:hAnsi="Garamond" w:cs="Arial"/>
          <w:i/>
          <w:iCs/>
          <w:color w:val="000000"/>
          <w:lang w:val="en-GB"/>
        </w:rPr>
        <w:t>Fahren</w:t>
      </w:r>
      <w:r w:rsidRPr="00A06A59">
        <w:rPr>
          <w:rFonts w:ascii="Garamond" w:hAnsi="Garamond" w:cs="Arial"/>
          <w:color w:val="000000"/>
          <w:lang w:val="en-GB"/>
        </w:rPr>
        <w:t>«, weil ich in den Traumgedanken ein gewisses Urteil habe, das nach Darstellung verlangt. An einem Abende bei jener gastfreundlichen und geistreichen Dame, die in einer anderen Szene des nämlichen Traumes als »Haushälterin« auftritt, hatte ich zwei Rätsel gehört, die ich nicht auflösen konnte. Da sie der übrigen Gesellschaft bekannt waren, machte ich mit meinen erfolglosen Bemühungen, die Lösung zu finden, eine etwas lächerliche Figur. Es waren zwei Äquivoke mit »Nachkommen« und »Vorfahren«. Sie lauteten, glaube ich, so:</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»Der Herr befiehlt's, </w:t>
      </w:r>
      <w:r w:rsidRPr="00A06A59">
        <w:rPr>
          <w:rFonts w:ascii="Garamond" w:hAnsi="Garamond" w:cs="Arial"/>
          <w:color w:val="000000"/>
          <w:sz w:val="22"/>
          <w:szCs w:val="22"/>
          <w:lang w:val="en-GB"/>
        </w:rPr>
        <w:br/>
        <w:t xml:space="preserve">Der </w:t>
      </w:r>
      <w:r w:rsidRPr="00A06A59">
        <w:rPr>
          <w:rFonts w:ascii="Garamond" w:hAnsi="Garamond" w:cs="Arial"/>
          <w:i/>
          <w:iCs/>
          <w:color w:val="000000"/>
          <w:sz w:val="22"/>
          <w:szCs w:val="22"/>
          <w:lang w:val="en-GB"/>
        </w:rPr>
        <w:t>Kutscher</w:t>
      </w:r>
      <w:r w:rsidRPr="00A06A59">
        <w:rPr>
          <w:rFonts w:ascii="Garamond" w:hAnsi="Garamond" w:cs="Arial"/>
          <w:color w:val="000000"/>
          <w:sz w:val="22"/>
          <w:szCs w:val="22"/>
          <w:lang w:val="en-GB"/>
        </w:rPr>
        <w:t xml:space="preserve"> tut's. </w:t>
      </w:r>
      <w:r w:rsidRPr="00A06A59">
        <w:rPr>
          <w:rFonts w:ascii="Garamond" w:hAnsi="Garamond" w:cs="Arial"/>
          <w:color w:val="000000"/>
          <w:sz w:val="22"/>
          <w:szCs w:val="22"/>
          <w:lang w:val="en-GB"/>
        </w:rPr>
        <w:br/>
        <w:t xml:space="preserve">Ein jeder hat's, </w:t>
      </w:r>
      <w:r w:rsidRPr="00A06A59">
        <w:rPr>
          <w:rFonts w:ascii="Garamond" w:hAnsi="Garamond" w:cs="Arial"/>
          <w:color w:val="000000"/>
          <w:sz w:val="22"/>
          <w:szCs w:val="22"/>
          <w:lang w:val="en-GB"/>
        </w:rPr>
        <w:br/>
        <w:t xml:space="preserve">Im Grabe ruht's.« ( </w:t>
      </w:r>
      <w:r w:rsidRPr="00A06A59">
        <w:rPr>
          <w:rFonts w:ascii="Garamond" w:hAnsi="Garamond" w:cs="Arial"/>
          <w:i/>
          <w:iCs/>
          <w:color w:val="000000"/>
          <w:sz w:val="22"/>
          <w:szCs w:val="22"/>
          <w:lang w:val="en-GB"/>
        </w:rPr>
        <w:t>Vorfahren.</w:t>
      </w:r>
      <w:r w:rsidRPr="00A06A59">
        <w:rPr>
          <w:rFonts w:ascii="Garamond" w:hAnsi="Garamond" w:cs="Arial"/>
          <w:color w:val="000000"/>
          <w:sz w:val="22"/>
          <w:szCs w:val="22"/>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Verwirrend wirkte es, daß das zweite Rätsel zur einen Hälfte identisch mit dem ersten war:</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lastRenderedPageBreak/>
        <w:t xml:space="preserve">»Der Herr befiehlt's, </w:t>
      </w:r>
      <w:r w:rsidRPr="00A06A59">
        <w:rPr>
          <w:rFonts w:ascii="Garamond" w:hAnsi="Garamond" w:cs="Arial"/>
          <w:color w:val="000000"/>
          <w:sz w:val="22"/>
          <w:szCs w:val="22"/>
          <w:lang w:val="en-GB"/>
        </w:rPr>
        <w:br/>
        <w:t xml:space="preserve">Der </w:t>
      </w:r>
      <w:r w:rsidRPr="00A06A59">
        <w:rPr>
          <w:rFonts w:ascii="Garamond" w:hAnsi="Garamond" w:cs="Arial"/>
          <w:i/>
          <w:iCs/>
          <w:color w:val="000000"/>
          <w:sz w:val="22"/>
          <w:szCs w:val="22"/>
          <w:lang w:val="en-GB"/>
        </w:rPr>
        <w:t>Kutscher</w:t>
      </w:r>
      <w:r w:rsidRPr="00A06A59">
        <w:rPr>
          <w:rFonts w:ascii="Garamond" w:hAnsi="Garamond" w:cs="Arial"/>
          <w:color w:val="000000"/>
          <w:sz w:val="22"/>
          <w:szCs w:val="22"/>
          <w:lang w:val="en-GB"/>
        </w:rPr>
        <w:t xml:space="preserve"> tut's. </w:t>
      </w:r>
      <w:r w:rsidRPr="00A06A59">
        <w:rPr>
          <w:rFonts w:ascii="Garamond" w:hAnsi="Garamond" w:cs="Arial"/>
          <w:color w:val="000000"/>
          <w:sz w:val="22"/>
          <w:szCs w:val="22"/>
          <w:lang w:val="en-GB"/>
        </w:rPr>
        <w:br/>
        <w:t xml:space="preserve">Nicht jeder hat's, </w:t>
      </w:r>
      <w:r w:rsidRPr="00A06A59">
        <w:rPr>
          <w:rFonts w:ascii="Garamond" w:hAnsi="Garamond" w:cs="Arial"/>
          <w:color w:val="000000"/>
          <w:sz w:val="22"/>
          <w:szCs w:val="22"/>
          <w:lang w:val="en-GB"/>
        </w:rPr>
        <w:br/>
        <w:t xml:space="preserve">In der Wiege ruht's.« ( </w:t>
      </w:r>
      <w:r w:rsidRPr="00A06A59">
        <w:rPr>
          <w:rFonts w:ascii="Garamond" w:hAnsi="Garamond" w:cs="Arial"/>
          <w:i/>
          <w:iCs/>
          <w:color w:val="000000"/>
          <w:sz w:val="22"/>
          <w:szCs w:val="22"/>
          <w:lang w:val="en-GB"/>
        </w:rPr>
        <w:t>Nachkommen.</w:t>
      </w:r>
      <w:r w:rsidRPr="00A06A59">
        <w:rPr>
          <w:rFonts w:ascii="Garamond" w:hAnsi="Garamond" w:cs="Arial"/>
          <w:color w:val="000000"/>
          <w:sz w:val="22"/>
          <w:szCs w:val="22"/>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Als ich nun den Grafen Thun so großmächtig </w:t>
      </w:r>
      <w:r w:rsidRPr="00A06A59">
        <w:rPr>
          <w:rFonts w:ascii="Garamond" w:hAnsi="Garamond" w:cs="Arial"/>
          <w:i/>
          <w:iCs/>
          <w:color w:val="000000"/>
          <w:lang w:val="en-GB"/>
        </w:rPr>
        <w:t>vorfahren</w:t>
      </w:r>
      <w:r w:rsidRPr="00A06A59">
        <w:rPr>
          <w:rFonts w:ascii="Garamond" w:hAnsi="Garamond" w:cs="Arial"/>
          <w:color w:val="000000"/>
          <w:lang w:val="en-GB"/>
        </w:rPr>
        <w:t xml:space="preserve"> sah, in die Figaro-Stimmung geriet, die das Verdienst der hohen Herren darin findet, daß sie sich die Mühe gegeben haben, geboren zu werden ( </w:t>
      </w:r>
      <w:r w:rsidRPr="00A06A59">
        <w:rPr>
          <w:rFonts w:ascii="Garamond" w:hAnsi="Garamond" w:cs="Arial"/>
          <w:i/>
          <w:iCs/>
          <w:color w:val="000000"/>
          <w:lang w:val="en-GB"/>
        </w:rPr>
        <w:t>Nachkommen</w:t>
      </w:r>
      <w:r w:rsidRPr="00A06A59">
        <w:rPr>
          <w:rFonts w:ascii="Garamond" w:hAnsi="Garamond" w:cs="Arial"/>
          <w:color w:val="000000"/>
          <w:lang w:val="en-GB"/>
        </w:rPr>
        <w:t xml:space="preserve"> zu sein), wurden diese beiden Rätsel zu Zwischengedanken für die Traumarbeit. Da man Aristokraten leicht mit Kutschern verwechseln kann und man dem Kutscher früher einmal in unseren Landen »Herr Schwager« zu sagen pflegte, konnte die Verdichtungsarbeit meinen Bruder in dieselbe Darstellung einbeziehen. Der Traumgedanke aber, der dahinter gewirkt hat, lautet: </w:t>
      </w:r>
      <w:r w:rsidRPr="00A06A59">
        <w:rPr>
          <w:rFonts w:ascii="Garamond" w:hAnsi="Garamond" w:cs="Arial"/>
          <w:i/>
          <w:iCs/>
          <w:color w:val="000000"/>
          <w:lang w:val="en-GB"/>
        </w:rPr>
        <w:t>Es ist ein Unsinn, auf seine Vorfahren stolz zu sein. Lieber hin ich selber ein Vorfahr, ein Ahnherr.</w:t>
      </w:r>
      <w:r w:rsidRPr="00A06A59">
        <w:rPr>
          <w:rFonts w:ascii="Garamond" w:hAnsi="Garamond" w:cs="Arial"/>
          <w:color w:val="000000"/>
          <w:lang w:val="en-GB"/>
        </w:rPr>
        <w:t xml:space="preserve"> Wegen dieses Urteils: Es ist ein Unsinn, also der Unsinn im Traum. Jetzt löst sich wohl auch das letzte Rätsel dieser dunklen Traumstelle, daß ich mit dem Kutscher schon </w:t>
      </w:r>
      <w:r w:rsidRPr="00A06A59">
        <w:rPr>
          <w:rFonts w:ascii="Garamond" w:hAnsi="Garamond" w:cs="Arial"/>
          <w:i/>
          <w:iCs/>
          <w:color w:val="000000"/>
          <w:lang w:val="en-GB"/>
        </w:rPr>
        <w:t>vorher gefahren</w:t>
      </w:r>
      <w:r w:rsidRPr="00A06A59">
        <w:rPr>
          <w:rFonts w:ascii="Garamond" w:hAnsi="Garamond" w:cs="Arial"/>
          <w:color w:val="000000"/>
          <w:lang w:val="en-GB"/>
        </w:rPr>
        <w:t xml:space="preserve">, mit ihm schon </w:t>
      </w:r>
      <w:r w:rsidRPr="00A06A59">
        <w:rPr>
          <w:rFonts w:ascii="Garamond" w:hAnsi="Garamond" w:cs="Arial"/>
          <w:i/>
          <w:iCs/>
          <w:color w:val="000000"/>
          <w:lang w:val="en-GB"/>
        </w:rPr>
        <w:t>vorgefahren</w:t>
      </w:r>
      <w:r w:rsidRPr="00A06A59">
        <w:rPr>
          <w:rFonts w:ascii="Garamond" w:hAnsi="Garamond" w:cs="Arial"/>
          <w:color w:val="000000"/>
          <w:lang w:val="en-GB"/>
        </w:rPr>
        <w:t>.</w:t>
      </w:r>
    </w:p>
    <w:p w:rsid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i/>
          <w:iCs/>
          <w:color w:val="000000"/>
          <w:lang w:val="en-GB"/>
        </w:rPr>
      </w:pPr>
      <w:r w:rsidRPr="00A06A59">
        <w:rPr>
          <w:rFonts w:ascii="Garamond" w:hAnsi="Garamond" w:cs="Arial"/>
          <w:color w:val="000000"/>
          <w:lang w:val="en-GB"/>
        </w:rPr>
        <w:t xml:space="preserve">Der Traum wird also dann absurd gemacht, wenn in den Traumgedanken als eines der Elemente des Inhalts das Urteil vorkommt: Das </w:t>
      </w:r>
      <w:r w:rsidRPr="00A06A59">
        <w:rPr>
          <w:rFonts w:ascii="Garamond" w:hAnsi="Garamond" w:cs="Arial"/>
          <w:i/>
          <w:iCs/>
          <w:color w:val="000000"/>
          <w:lang w:val="en-GB"/>
        </w:rPr>
        <w:t>ist ein Unsinn</w:t>
      </w:r>
      <w:r w:rsidRPr="00A06A59">
        <w:rPr>
          <w:rFonts w:ascii="Garamond" w:hAnsi="Garamond" w:cs="Arial"/>
          <w:color w:val="000000"/>
          <w:lang w:val="en-GB"/>
        </w:rPr>
        <w:t xml:space="preserve">, wenn überhaupt Kritik und Spott einen der unbewußten Gedankenzüge des Träumers motivieren. Das Absurde wird somit eines der Mittel, durch welches die Traumarbeit den Widerspruch darstellt, wie die Umkehrung einer Materialbeziehung zwischen Traumgedanken und Trauminhalt, wie die Verwertung der motorischen Hemmungsempfindung. Das Absurde des Traumes ist aber nicht mit einem einfachen »Nein« zu übersetzen, sondern soll die Disposition der Traumgedanken wiedergeben, gleichzeitig mit dem Widerspruch zu höhnen oder zu lachen. Nur in dieser Absicht liefert die Traumarbeit etwas Lächerliches. Sie verwandelt hier wiederum </w:t>
      </w:r>
      <w:r w:rsidRPr="00A06A59">
        <w:rPr>
          <w:rFonts w:ascii="Garamond" w:hAnsi="Garamond" w:cs="Arial"/>
          <w:i/>
          <w:iCs/>
          <w:color w:val="000000"/>
          <w:lang w:val="en-GB"/>
        </w:rPr>
        <w:t>ein Stück des latenten Inhalts in eine manifeste Form.</w:t>
      </w:r>
    </w:p>
    <w:p w:rsidR="00A06A59" w:rsidRPr="00A06A59" w:rsidRDefault="00B437A1" w:rsidP="00A06A59">
      <w:pPr>
        <w:shd w:val="clear" w:color="auto" w:fill="FFFFFF"/>
        <w:tabs>
          <w:tab w:val="left" w:pos="7513"/>
          <w:tab w:val="left" w:pos="9639"/>
        </w:tabs>
        <w:spacing w:before="120" w:after="120" w:line="124" w:lineRule="atLeast"/>
        <w:ind w:right="-567"/>
        <w:rPr>
          <w:rFonts w:ascii="Garamond" w:hAnsi="Garamond" w:cs="Arial"/>
          <w:color w:val="0000FF"/>
          <w:lang w:val="en-GB"/>
        </w:rPr>
      </w:pPr>
      <w:hyperlink r:id="rId203" w:anchor="#" w:history="1">
        <w:r w:rsidR="00A06A59" w:rsidRPr="00A06A59">
          <w:rPr>
            <w:rStyle w:val="fusslink"/>
            <w:rFonts w:ascii="Garamond" w:hAnsi="Garamond" w:cs="Arial"/>
            <w:bCs/>
            <w:color w:val="0000FF"/>
            <w:lang w:val="en-GB"/>
          </w:rPr>
          <w:t>[Fußnote]</w:t>
        </w:r>
        <w:r w:rsidR="00A06A59" w:rsidRPr="00A06A59">
          <w:rPr>
            <w:rStyle w:val="innerfusslink3"/>
            <w:rFonts w:ascii="Garamond" w:hAnsi="Garamond" w:cs="Arial"/>
            <w:bCs/>
            <w:color w:val="0000FF"/>
            <w:lang w:val="en-GB"/>
          </w:rPr>
          <w:t xml:space="preserve">Die Traumarbeit parodiert also den ihr als lächerlich bezeichneten Gedanken, indem sie etwas Lächerliches in Beziehung mit ihm erschafft. So ähnlich verfährt </w:t>
        </w:r>
        <w:r w:rsidR="00A06A59" w:rsidRPr="00A06A59">
          <w:rPr>
            <w:rStyle w:val="innerfusslink3"/>
            <w:rFonts w:ascii="Garamond" w:hAnsi="Garamond" w:cs="Arial"/>
            <w:bCs/>
            <w:i/>
            <w:iCs/>
            <w:color w:val="0000FF"/>
            <w:lang w:val="en-GB"/>
          </w:rPr>
          <w:t>Heine</w:t>
        </w:r>
        <w:r w:rsidR="00A06A59" w:rsidRPr="00A06A59">
          <w:rPr>
            <w:rStyle w:val="innerfusslink3"/>
            <w:rFonts w:ascii="Garamond" w:hAnsi="Garamond" w:cs="Arial"/>
            <w:bCs/>
            <w:color w:val="0000FF"/>
            <w:lang w:val="en-GB"/>
          </w:rPr>
          <w:t xml:space="preserve">, wenn er die schlechten Verse des Bayerkönigs verspotten will. Er tut es in noch schlechteren: </w:t>
        </w:r>
        <w:r w:rsidR="00A06A59" w:rsidRPr="00A06A59">
          <w:rPr>
            <w:rFonts w:ascii="Garamond" w:hAnsi="Garamond" w:cs="Arial"/>
            <w:bCs/>
            <w:color w:val="0000FF"/>
            <w:lang w:val="en-GB"/>
          </w:rPr>
          <w:br/>
        </w:r>
        <w:r w:rsidR="00A06A59" w:rsidRPr="00A06A59">
          <w:rPr>
            <w:rStyle w:val="innerfusslink3"/>
            <w:rFonts w:ascii="Garamond" w:hAnsi="Garamond" w:cs="Arial"/>
            <w:bCs/>
            <w:color w:val="0000FF"/>
            <w:lang w:val="en-GB"/>
          </w:rPr>
          <w:t xml:space="preserve">Herr Ludwig ist ein großer Poet, </w:t>
        </w:r>
        <w:r w:rsidR="00A06A59" w:rsidRPr="00A06A59">
          <w:rPr>
            <w:rFonts w:ascii="Garamond" w:hAnsi="Garamond" w:cs="Arial"/>
            <w:bCs/>
            <w:color w:val="0000FF"/>
            <w:lang w:val="en-GB"/>
          </w:rPr>
          <w:br/>
        </w:r>
        <w:r w:rsidR="00A06A59" w:rsidRPr="00A06A59">
          <w:rPr>
            <w:rStyle w:val="innerfusslink3"/>
            <w:rFonts w:ascii="Garamond" w:hAnsi="Garamond" w:cs="Arial"/>
            <w:bCs/>
            <w:color w:val="0000FF"/>
            <w:lang w:val="en-GB"/>
          </w:rPr>
          <w:t xml:space="preserve">Und singt er, so stürzt Apollo </w:t>
        </w:r>
        <w:r w:rsidR="00A06A59" w:rsidRPr="00A06A59">
          <w:rPr>
            <w:rFonts w:ascii="Garamond" w:hAnsi="Garamond" w:cs="Arial"/>
            <w:bCs/>
            <w:color w:val="0000FF"/>
            <w:lang w:val="en-GB"/>
          </w:rPr>
          <w:br/>
        </w:r>
        <w:r w:rsidR="00A06A59" w:rsidRPr="00A06A59">
          <w:rPr>
            <w:rStyle w:val="innerfusslink3"/>
            <w:rFonts w:ascii="Garamond" w:hAnsi="Garamond" w:cs="Arial"/>
            <w:bCs/>
            <w:color w:val="0000FF"/>
            <w:lang w:val="en-GB"/>
          </w:rPr>
          <w:t xml:space="preserve">Vor ihm auf die Kniee und bittet und fleht, </w:t>
        </w:r>
        <w:r w:rsidR="00A06A59" w:rsidRPr="00A06A59">
          <w:rPr>
            <w:rFonts w:ascii="Garamond" w:hAnsi="Garamond" w:cs="Arial"/>
            <w:bCs/>
            <w:color w:val="0000FF"/>
            <w:lang w:val="en-GB"/>
          </w:rPr>
          <w:br/>
        </w:r>
        <w:r w:rsidR="00A06A59" w:rsidRPr="00A06A59">
          <w:rPr>
            <w:rStyle w:val="innerfusslink3"/>
            <w:rFonts w:ascii="Garamond" w:hAnsi="Garamond" w:cs="Arial"/>
            <w:bCs/>
            <w:color w:val="0000FF"/>
            <w:lang w:val="en-GB"/>
          </w:rPr>
          <w:t>»Halt ein, ich werde sonst toll, oh.«</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Eigentlich sind wir einem überzeugenden Beispiel von solcher Bedeutung eines absurden Traumes schon begegnet. Jener ohne Analyse gedeutete Traum von der Wagner-Vorstellung, die bis morgens ¾8 Uhr dauert, bei der das Orchester von einem Turme aus dirigiert wird usw. (siehe S.), will offenbar besagen: Das ist eine </w:t>
      </w:r>
      <w:r w:rsidRPr="00A06A59">
        <w:rPr>
          <w:rFonts w:ascii="Garamond" w:hAnsi="Garamond" w:cs="Arial"/>
          <w:i/>
          <w:iCs/>
          <w:color w:val="000000"/>
          <w:lang w:val="en-GB"/>
        </w:rPr>
        <w:t>verdrehte</w:t>
      </w:r>
      <w:r w:rsidRPr="00A06A59">
        <w:rPr>
          <w:rFonts w:ascii="Garamond" w:hAnsi="Garamond" w:cs="Arial"/>
          <w:color w:val="000000"/>
          <w:lang w:val="en-GB"/>
        </w:rPr>
        <w:t xml:space="preserve"> Welt und eine </w:t>
      </w:r>
      <w:r w:rsidRPr="00A06A59">
        <w:rPr>
          <w:rFonts w:ascii="Garamond" w:hAnsi="Garamond" w:cs="Arial"/>
          <w:i/>
          <w:iCs/>
          <w:color w:val="000000"/>
          <w:lang w:val="en-GB"/>
        </w:rPr>
        <w:t>verrückte</w:t>
      </w:r>
      <w:r w:rsidRPr="00A06A59">
        <w:rPr>
          <w:rFonts w:ascii="Garamond" w:hAnsi="Garamond" w:cs="Arial"/>
          <w:color w:val="000000"/>
          <w:lang w:val="en-GB"/>
        </w:rPr>
        <w:t xml:space="preserve"> Gesellschaft. Wer's verdient, den trifft es nicht, und wer sich nichts daraus macht, der hat's, womit sie ihr Schicksal im Vergleich zu dem ihrer Cousine meint. Daß sich uns als Beispiele für die Absurdität der Träume zunächst solche vom toten Vater dargeboten haben, ist auch keineswegs ein Zufall. Hier finden sich die Bedingungen für die Schöpfung absurder Träume in typischer Weise zusammen. Die Autorität, die dem Vater eigen ist, hat frühzeitig die Kritik des Kindes hervorgerufen; die strengen Anforderungen, die er gestellt, haben das Kind veranlaßt, zu seiner Erleichterung auf jede Schwäche des Vaters scharf zu achten; aber die Pietät, mit der die Person des Vaters besonders nach seinem Tode für unser Denken umgeben ist, verschärft die Zensur, welche die Äußerungen dieser Kritik vom Bewußtwerden abdrängt.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 xml:space="preserve">IV </w:t>
      </w:r>
      <w:r w:rsidRPr="00A06A59">
        <w:rPr>
          <w:rFonts w:ascii="Garamond" w:hAnsi="Garamond" w:cs="Arial"/>
          <w:color w:val="000000"/>
          <w:sz w:val="22"/>
          <w:szCs w:val="22"/>
          <w:lang w:val="en-GB"/>
        </w:rPr>
        <w:br/>
        <w:t>Ein neuer absurder Traum vom toten Vater: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 xml:space="preserve">Ich erhalte eine Zuschrift vom Gemeinderat meiner Geburtsstadt, betreffend die Zahlungskosten für eine Unterbringung im Spital im Jahre </w:t>
      </w:r>
      <w:r w:rsidRPr="00A06A59">
        <w:rPr>
          <w:rFonts w:ascii="Garamond" w:hAnsi="Garamond" w:cs="Arial"/>
          <w:b/>
          <w:bCs/>
          <w:i/>
          <w:iCs/>
          <w:color w:val="000000"/>
          <w:lang w:val="en-GB"/>
        </w:rPr>
        <w:t>1851</w:t>
      </w:r>
      <w:r w:rsidRPr="00A06A59">
        <w:rPr>
          <w:rFonts w:ascii="Garamond" w:hAnsi="Garamond" w:cs="Arial"/>
          <w:i/>
          <w:iCs/>
          <w:color w:val="000000"/>
          <w:lang w:val="en-GB"/>
        </w:rPr>
        <w:t xml:space="preserve">, die wegen eines Anfalls bei mir notwendig war. Ich mache mich darüber lustig, denn erstens war ich </w:t>
      </w:r>
      <w:r w:rsidRPr="00A06A59">
        <w:rPr>
          <w:rFonts w:ascii="Garamond" w:hAnsi="Garamond" w:cs="Arial"/>
          <w:b/>
          <w:bCs/>
          <w:i/>
          <w:iCs/>
          <w:color w:val="000000"/>
          <w:lang w:val="en-GB"/>
        </w:rPr>
        <w:t>1851</w:t>
      </w:r>
      <w:r w:rsidRPr="00A06A59">
        <w:rPr>
          <w:rFonts w:ascii="Garamond" w:hAnsi="Garamond" w:cs="Arial"/>
          <w:i/>
          <w:iCs/>
          <w:color w:val="000000"/>
          <w:lang w:val="en-GB"/>
        </w:rPr>
        <w:t xml:space="preserve"> noch nicht am Leben, zweitens ist mein Vater, auf den es sich beziehen kann, schon tot. Ich gehe zu ihm ins Nebenzimmer, wo er auf dem Bette liegt, und erzähle es ihm. Zu meiner Überraschung erinnert er sich, daß er damals </w:t>
      </w:r>
      <w:r w:rsidRPr="00A06A59">
        <w:rPr>
          <w:rFonts w:ascii="Garamond" w:hAnsi="Garamond" w:cs="Arial"/>
          <w:b/>
          <w:bCs/>
          <w:i/>
          <w:iCs/>
          <w:color w:val="000000"/>
          <w:lang w:val="en-GB"/>
        </w:rPr>
        <w:t>1851</w:t>
      </w:r>
      <w:r w:rsidRPr="00A06A59">
        <w:rPr>
          <w:rFonts w:ascii="Garamond" w:hAnsi="Garamond" w:cs="Arial"/>
          <w:i/>
          <w:iCs/>
          <w:color w:val="000000"/>
          <w:lang w:val="en-GB"/>
        </w:rPr>
        <w:t xml:space="preserve"> einmal betrunken war und eingesperrt oder verwahrt werden mußte. Es war, als er für das Haus T... gearbeitet. Du hast also auch getrunken, frage ich. Bald darauf hast du geheiratet? Ich rechne, daß ich ja </w:t>
      </w:r>
      <w:r w:rsidRPr="00A06A59">
        <w:rPr>
          <w:rFonts w:ascii="Garamond" w:hAnsi="Garamond" w:cs="Arial"/>
          <w:b/>
          <w:bCs/>
          <w:i/>
          <w:iCs/>
          <w:color w:val="000000"/>
          <w:lang w:val="en-GB"/>
        </w:rPr>
        <w:t>1856</w:t>
      </w:r>
      <w:r w:rsidRPr="00A06A59">
        <w:rPr>
          <w:rFonts w:ascii="Garamond" w:hAnsi="Garamond" w:cs="Arial"/>
          <w:i/>
          <w:iCs/>
          <w:color w:val="000000"/>
          <w:lang w:val="en-GB"/>
        </w:rPr>
        <w:t xml:space="preserve"> geboren bin, was mir als unmittelbar folgend vorkommt.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Aufdringlichkeit, mit welcher dieser Traum seine Absurditäten zur Schau trägt, werden wir nach den letzten Erörterungen nur als Zeichen einer besonders erbitterten und leidenschaftlichen Polemik in den Traumgedanken übersetzen. Mit um so größerer Verwunderung konstatieren wir aber, daß in diesem Traum die Polemik offen betrieben und der Vater als diejenige Person bezeichnet ist, die zum Ziele des Gespötts gemacht wird. Solche Offenheit scheint unseren Voraussetzungen über die Zensur bei der Traumarbeit zu widersprechen. Zur Aufklärung dient aber, daß hier der Vater nur eine vorgeschobene Person ist, während der Streit mit einer anderen geführt wird, </w:t>
      </w:r>
      <w:r w:rsidRPr="00A06A59">
        <w:rPr>
          <w:rFonts w:ascii="Garamond" w:hAnsi="Garamond" w:cs="Arial"/>
          <w:color w:val="000000"/>
          <w:lang w:val="en-GB"/>
        </w:rPr>
        <w:lastRenderedPageBreak/>
        <w:t xml:space="preserve">die im Traume durch eine einzige Anspielung zum Vorschein kommt. Während sonst der Traum von Auflehnung gegen andere Personen handelt, hinter denen sich der Vater verbirgt, ist es hier umgekehrt; der Vater wird ein Strohmann zur Deckung anderer, und der Traum darf darum so unverhüllt sich mit seiner sonst geheiligten Person beschäftigen, weil dabei ein sicheres Wissen mitspielt, daß er nicht in Wirklichkeit gemeint ist. Man erfährt diesen Sachverhalt aus der Veranlassung des Traums. Er erfolgte nämlich, nachdem ich gehört hatte, ein älterer Kollege, dessen Urteil für unantastbar gilt, äußere sich abfällig und verwundert darüber, daß einer meiner Patienten die psychoanalytische Arbeit bei mir jetzt schon </w:t>
      </w:r>
      <w:r w:rsidRPr="00A06A59">
        <w:rPr>
          <w:rFonts w:ascii="Garamond" w:hAnsi="Garamond" w:cs="Arial"/>
          <w:i/>
          <w:iCs/>
          <w:color w:val="000000"/>
          <w:lang w:val="en-GB"/>
        </w:rPr>
        <w:t>ins fünfte Jahr</w:t>
      </w:r>
      <w:r w:rsidRPr="00A06A59">
        <w:rPr>
          <w:rFonts w:ascii="Garamond" w:hAnsi="Garamond" w:cs="Arial"/>
          <w:color w:val="000000"/>
          <w:lang w:val="en-GB"/>
        </w:rPr>
        <w:t xml:space="preserve"> fortsetze. Die einleitenden Sätze des Traumes deuten in durchsichtiger Verhüllung darauf hin, daß dieser Kollege eine Zeitlang die Pflichten übernommen, die der Vater nicht mehr erfüllen konnte ( </w:t>
      </w:r>
      <w:r w:rsidRPr="00A06A59">
        <w:rPr>
          <w:rFonts w:ascii="Garamond" w:hAnsi="Garamond" w:cs="Arial"/>
          <w:i/>
          <w:iCs/>
          <w:color w:val="000000"/>
          <w:lang w:val="en-GB"/>
        </w:rPr>
        <w:t>Zahlungskosten, Unterbringung im Spitale</w:t>
      </w:r>
      <w:r w:rsidRPr="00A06A59">
        <w:rPr>
          <w:rFonts w:ascii="Garamond" w:hAnsi="Garamond" w:cs="Arial"/>
          <w:color w:val="000000"/>
          <w:lang w:val="en-GB"/>
        </w:rPr>
        <w:t xml:space="preserve">); und als unsere freundschaftlichen Beziehungen sich zu lösen begannen, geriet ich in denselben Empfindungskonflikt, der im Falle einer Mißhelligkeit zwischen Vater und Sohn durch die Rolle und die früheren Leistungen des Vaters erzwungen wird. Die Traumgedanken wehren sich nun erbittert gegen den Vorwurf, daß ich </w:t>
      </w:r>
      <w:r w:rsidRPr="00A06A59">
        <w:rPr>
          <w:rFonts w:ascii="Garamond" w:hAnsi="Garamond" w:cs="Arial"/>
          <w:i/>
          <w:iCs/>
          <w:color w:val="000000"/>
          <w:lang w:val="en-GB"/>
        </w:rPr>
        <w:t>nicht schneller vorwärtskomme</w:t>
      </w:r>
      <w:r w:rsidRPr="00A06A59">
        <w:rPr>
          <w:rFonts w:ascii="Garamond" w:hAnsi="Garamond" w:cs="Arial"/>
          <w:color w:val="000000"/>
          <w:lang w:val="en-GB"/>
        </w:rPr>
        <w:t xml:space="preserve">, der von der Behandlung dieses Patienten her sich dann auch auf anderes erstreckt. Kennt er denn jemanden, der das schneller machen kann? Weiß er nicht, daß Zustände dieser Art sonst überhaupt unheilbar sind und lebenslange dauern? Was sind </w:t>
      </w:r>
      <w:r w:rsidRPr="00A06A59">
        <w:rPr>
          <w:rFonts w:ascii="Garamond" w:hAnsi="Garamond" w:cs="Arial"/>
          <w:i/>
          <w:iCs/>
          <w:color w:val="000000"/>
          <w:lang w:val="en-GB"/>
        </w:rPr>
        <w:t>vier bis fünf Jahre</w:t>
      </w:r>
      <w:r w:rsidRPr="00A06A59">
        <w:rPr>
          <w:rFonts w:ascii="Garamond" w:hAnsi="Garamond" w:cs="Arial"/>
          <w:color w:val="000000"/>
          <w:lang w:val="en-GB"/>
        </w:rPr>
        <w:t xml:space="preserve"> gegen die Dauer eines ganzen Lebens, zumal wenn dem Kranken die Existenz während der Behandlung so sehr erleichtert worden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Gepräge der Absurdität wird in diesem Traume zum guten Teile dadurch erzeugt, daß Sätze aus verschiedenen Gebieten der Traumgedanken ohne vermittelnden Übergang aneinandergereiht werden. So verläßt der Satz: </w:t>
      </w:r>
      <w:r w:rsidRPr="00A06A59">
        <w:rPr>
          <w:rFonts w:ascii="Garamond" w:hAnsi="Garamond" w:cs="Arial"/>
          <w:i/>
          <w:iCs/>
          <w:color w:val="000000"/>
          <w:lang w:val="en-GB"/>
        </w:rPr>
        <w:t>Ich gehe zu ihm ins Nebenzimmer</w:t>
      </w:r>
      <w:r w:rsidRPr="00A06A59">
        <w:rPr>
          <w:rFonts w:ascii="Garamond" w:hAnsi="Garamond" w:cs="Arial"/>
          <w:color w:val="000000"/>
          <w:lang w:val="en-GB"/>
        </w:rPr>
        <w:t xml:space="preserve"> usw., das Thema, aus dem die vorigen Sätze geholt sind, und reproduziert getreulich die Umstände, unter denen ich dem Vater meine eigenmächtige Verlobung mitgeteilt habe. Er will mich also an die vornehme Uneigennützigkeit mahnen, die der alte Mann damals bewies, und diese in Gegensatz zu dem Benehmen eines anderen, einer neuen Person, bringen. Ich merke hier, daß der Traum darum den Vater verspotten darf, weil dieser in den Traumgedanken in voller Anerkennung anderen als Muster vorgehalten wird. Es liegt im Wesen jeder Zensur, daß man von den unerlaubten Dingen das, was unwahr ist, eher sagen darf als die Wahrheit. Der nächste Satz, daß er sich erinnert, </w:t>
      </w:r>
      <w:r w:rsidRPr="00A06A59">
        <w:rPr>
          <w:rFonts w:ascii="Garamond" w:hAnsi="Garamond" w:cs="Arial"/>
          <w:i/>
          <w:iCs/>
          <w:color w:val="000000"/>
          <w:lang w:val="en-GB"/>
        </w:rPr>
        <w:t>einmal betrunken und darum eingesperrt</w:t>
      </w:r>
      <w:r w:rsidRPr="00A06A59">
        <w:rPr>
          <w:rFonts w:ascii="Garamond" w:hAnsi="Garamond" w:cs="Arial"/>
          <w:color w:val="000000"/>
          <w:lang w:val="en-GB"/>
        </w:rPr>
        <w:t xml:space="preserve"> gewesen zu sein, enthält nichts mehr, was sich in der Realität auf den Vater bezieht. Die von ihm gedeckte Person ist hier niemand geringerer als der große – Meynert, dessen Spuren ich mit so hoher Verehrung gefolgt bin und dessen Benehmen gegen mich nach einer kurzen Periode der Bevorzugung in unverhüllte Feindseligkeit umschlug. Der Traum erinnert mich an seine eigene Mitteilung, er habe in jungen Jahren einmal der Gewohnheit gefrönt, sich mit </w:t>
      </w:r>
      <w:r w:rsidRPr="00A06A59">
        <w:rPr>
          <w:rFonts w:ascii="Garamond" w:hAnsi="Garamond" w:cs="Arial"/>
          <w:i/>
          <w:iCs/>
          <w:color w:val="000000"/>
          <w:lang w:val="en-GB"/>
        </w:rPr>
        <w:t>Chloroform zu berauschen</w:t>
      </w:r>
      <w:r w:rsidRPr="00A06A59">
        <w:rPr>
          <w:rFonts w:ascii="Garamond" w:hAnsi="Garamond" w:cs="Arial"/>
          <w:color w:val="000000"/>
          <w:lang w:val="en-GB"/>
        </w:rPr>
        <w:t xml:space="preserve">, und habe darum die </w:t>
      </w:r>
      <w:r w:rsidRPr="00A06A59">
        <w:rPr>
          <w:rFonts w:ascii="Garamond" w:hAnsi="Garamond" w:cs="Arial"/>
          <w:i/>
          <w:iCs/>
          <w:color w:val="000000"/>
          <w:lang w:val="en-GB"/>
        </w:rPr>
        <w:t>Anstalt aufsuchen</w:t>
      </w:r>
      <w:r w:rsidRPr="00A06A59">
        <w:rPr>
          <w:rFonts w:ascii="Garamond" w:hAnsi="Garamond" w:cs="Arial"/>
          <w:color w:val="000000"/>
          <w:lang w:val="en-GB"/>
        </w:rPr>
        <w:t xml:space="preserve"> müssen, und an ein zweites Erlebnis mit ihm kurz vor seinem Ende. Ich hatte einen erbitterten literarischen Streit mit ihm geführt in Sachen der männlichen Hysterie, die er leugnete, und als ich ihn als Todkranken besuchte und nach seinem Befinden fragte, verweilte er bei der Beschreibung seiner Zustände und schloß mit den Worten: »Sie wissen, ich war immer einer der schönsten Fälle von männlicher Hysterie.« So hatte er zu meiner Genugtuung und zu meinem Erstaunen zugegeben, wogegen er sich so lange hartnäckig gesträubt. Daß ich aber in dieser Szene des Traumes Meynert durch meinen Vater verdecken kann, hat seinen Grund nicht in einer zwischen beiden Personen aufgefundenen Analogie, sondern ist die knappe, aber völlig zureichende Darstellung eines Konditionalsatzes in den Traumgedanken, der ausführlich lautet: Ja, wenn ich zweite Generation, der Sohn eines Professors oder Hofrats, wäre, dann wäre ich freilich rascher vorwärtsgekommen. Im Traume mache ich nun meinen Vater zum Hofrat und Professor. Die gröbste und störendste Absurdität des Traumes liegt in der Behandlung der Jahreszahl </w:t>
      </w:r>
      <w:r w:rsidRPr="00A06A59">
        <w:rPr>
          <w:rFonts w:ascii="Garamond" w:hAnsi="Garamond" w:cs="Arial"/>
          <w:b/>
          <w:bCs/>
          <w:color w:val="000000"/>
          <w:lang w:val="en-GB"/>
        </w:rPr>
        <w:t>1851</w:t>
      </w:r>
      <w:r w:rsidRPr="00A06A59">
        <w:rPr>
          <w:rFonts w:ascii="Garamond" w:hAnsi="Garamond" w:cs="Arial"/>
          <w:color w:val="000000"/>
          <w:lang w:val="en-GB"/>
        </w:rPr>
        <w:t xml:space="preserve">, die mir von </w:t>
      </w:r>
      <w:r w:rsidRPr="00A06A59">
        <w:rPr>
          <w:rFonts w:ascii="Garamond" w:hAnsi="Garamond" w:cs="Arial"/>
          <w:b/>
          <w:bCs/>
          <w:color w:val="000000"/>
          <w:lang w:val="en-GB"/>
        </w:rPr>
        <w:t>1856</w:t>
      </w:r>
      <w:r w:rsidRPr="00A06A59">
        <w:rPr>
          <w:rFonts w:ascii="Garamond" w:hAnsi="Garamond" w:cs="Arial"/>
          <w:color w:val="000000"/>
          <w:lang w:val="en-GB"/>
        </w:rPr>
        <w:t xml:space="preserve"> gar nicht verschieden vorkommt, </w:t>
      </w:r>
      <w:r w:rsidRPr="00A06A59">
        <w:rPr>
          <w:rFonts w:ascii="Garamond" w:hAnsi="Garamond" w:cs="Arial"/>
          <w:i/>
          <w:iCs/>
          <w:color w:val="000000"/>
          <w:lang w:val="en-GB"/>
        </w:rPr>
        <w:t>als würde die Differenz von fünf Jahren gar nichts bedeuten</w:t>
      </w:r>
      <w:r w:rsidRPr="00A06A59">
        <w:rPr>
          <w:rFonts w:ascii="Garamond" w:hAnsi="Garamond" w:cs="Arial"/>
          <w:color w:val="000000"/>
          <w:lang w:val="en-GB"/>
        </w:rPr>
        <w:t xml:space="preserve">. Gerade das soll aber aus den Traumgedanken zum Ausdruck gebracht werden. </w:t>
      </w:r>
      <w:r w:rsidRPr="00A06A59">
        <w:rPr>
          <w:rFonts w:ascii="Garamond" w:hAnsi="Garamond" w:cs="Arial"/>
          <w:i/>
          <w:iCs/>
          <w:color w:val="000000"/>
          <w:lang w:val="en-GB"/>
        </w:rPr>
        <w:t>Vier bis fünf Jahre</w:t>
      </w:r>
      <w:r w:rsidRPr="00A06A59">
        <w:rPr>
          <w:rFonts w:ascii="Garamond" w:hAnsi="Garamond" w:cs="Arial"/>
          <w:color w:val="000000"/>
          <w:lang w:val="en-GB"/>
        </w:rPr>
        <w:t xml:space="preserve">, das ist der Zeitraum, während dessen ich die Unterstützung des eingangs erwähnten Kollegen genoß, aber auch die Zeit, während welcher ich meine Braut auf die Heirat warten ließ, und durch ein zufälliges, von den Traumgedanken gern ausgenütztes Zusammentreffen auch die Zeit, während welcher ich jetzt meinen vertrautesten Patienten auf die völlige Heilung warten lasse. » </w:t>
      </w:r>
      <w:r w:rsidRPr="00A06A59">
        <w:rPr>
          <w:rFonts w:ascii="Garamond" w:hAnsi="Garamond" w:cs="Arial"/>
          <w:i/>
          <w:iCs/>
          <w:color w:val="000000"/>
          <w:lang w:val="en-GB"/>
        </w:rPr>
        <w:t>Was sind fünf Jahre?</w:t>
      </w:r>
      <w:r w:rsidRPr="00A06A59">
        <w:rPr>
          <w:rFonts w:ascii="Garamond" w:hAnsi="Garamond" w:cs="Arial"/>
          <w:color w:val="000000"/>
          <w:lang w:val="en-GB"/>
        </w:rPr>
        <w:t xml:space="preserve">« fragen die Traumgedanken. » </w:t>
      </w:r>
      <w:r w:rsidRPr="00A06A59">
        <w:rPr>
          <w:rFonts w:ascii="Garamond" w:hAnsi="Garamond" w:cs="Arial"/>
          <w:i/>
          <w:iCs/>
          <w:color w:val="000000"/>
          <w:lang w:val="en-GB"/>
        </w:rPr>
        <w:t>Das ist für mich keine Zeit, das kommt nicht in Betracht</w:t>
      </w:r>
      <w:r w:rsidRPr="00A06A59">
        <w:rPr>
          <w:rFonts w:ascii="Garamond" w:hAnsi="Garamond" w:cs="Arial"/>
          <w:color w:val="000000"/>
          <w:lang w:val="en-GB"/>
        </w:rPr>
        <w:t xml:space="preserve">. Ich habe Zeit genug vor mir, und wie jenes endlich geworden ist, was Ihr auch nicht glauben wolltet, so werde ich auch dies zustande bringen.« Außerdem aber ist die Zahl </w:t>
      </w:r>
      <w:r w:rsidRPr="00A06A59">
        <w:rPr>
          <w:rFonts w:ascii="Garamond" w:hAnsi="Garamond" w:cs="Arial"/>
          <w:b/>
          <w:bCs/>
          <w:color w:val="000000"/>
          <w:lang w:val="en-GB"/>
        </w:rPr>
        <w:t>51</w:t>
      </w:r>
      <w:r w:rsidRPr="00A06A59">
        <w:rPr>
          <w:rFonts w:ascii="Garamond" w:hAnsi="Garamond" w:cs="Arial"/>
          <w:color w:val="000000"/>
          <w:lang w:val="en-GB"/>
        </w:rPr>
        <w:t>, vom Jahrhundert abgelöst, noch anders, und zwar im gegensätzlichen Sinne determiniert; sie kommt darum auch mehrmals im Traume vor. 51 ist das Alter, in dem der Mann besonders gefährdet erscheint, in dem ich Kollegen plötzlich habe sterben sehen, darunter einen, der nach langem Harren einige Tage vorher zum Professor ernannt worden war.</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anderer absurder Traum, der mit Zahlen spielt.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 xml:space="preserve">Einer meiner Bekannten, Herr M., ist von keinem Geringeren als von Goethe in einem Aufsatze angegriffen worden, wie wir alle meinen, mit ungerechtfertigt großer Heftigkeit. Herr M. ist durch diesen Angriff natürlich vernichtet. Er beklagt sich darüber bitter bei einer </w:t>
      </w:r>
      <w:r w:rsidRPr="00A06A59">
        <w:rPr>
          <w:rFonts w:ascii="Garamond" w:hAnsi="Garamond" w:cs="Arial"/>
          <w:i/>
          <w:iCs/>
          <w:color w:val="000000"/>
          <w:lang w:val="en-GB"/>
        </w:rPr>
        <w:lastRenderedPageBreak/>
        <w:t>Tischgesellschaft; seine Verehrung für Goethe hat aber unter dieser persönlichen Erfahrung nicht gelitten. Ich suche mir die zeitlichen Verhältnisse, die mir unwahrscheinlich vorkommen, ein wenig aufzuklären. Goethe ist 1832 gestorben; da sein Angriff auf M. natürlich früher erfolgt sein muß, so war Herr M. damals ein ganz junger Mann. Es kommt mir plausibel vor, daß er achtzehn Jahre alt war. Ich weiß aber nicht sicher, welches Jahr wir gegenwärtig schreiben, und so versinkt die ganze Berechnung im Dunkel. Der Angriff ist übrigens in dem bekannten Aufsatz von Goethe »Natur« enthalten.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werden bald die Mittel in der Hand haben, den Blödsinn dieses Traumes zu rechtfertigen. Herr M., den ich aus einer </w:t>
      </w:r>
      <w:r w:rsidRPr="00A06A59">
        <w:rPr>
          <w:rFonts w:ascii="Garamond" w:hAnsi="Garamond" w:cs="Arial"/>
          <w:i/>
          <w:iCs/>
          <w:color w:val="000000"/>
          <w:lang w:val="en-GB"/>
        </w:rPr>
        <w:t>Tischgesellschaft</w:t>
      </w:r>
      <w:r w:rsidRPr="00A06A59">
        <w:rPr>
          <w:rFonts w:ascii="Garamond" w:hAnsi="Garamond" w:cs="Arial"/>
          <w:color w:val="000000"/>
          <w:lang w:val="en-GB"/>
        </w:rPr>
        <w:t xml:space="preserve"> kenne, hatte mich unlängst aufgefordert, seinen Bruder zu untersuchen, bei dem sich Zeichen von </w:t>
      </w:r>
      <w:r w:rsidRPr="00A06A59">
        <w:rPr>
          <w:rFonts w:ascii="Garamond" w:hAnsi="Garamond" w:cs="Arial"/>
          <w:i/>
          <w:iCs/>
          <w:color w:val="000000"/>
          <w:lang w:val="en-GB"/>
        </w:rPr>
        <w:t>paralytischer Geistesstörung</w:t>
      </w:r>
      <w:r w:rsidRPr="00A06A59">
        <w:rPr>
          <w:rFonts w:ascii="Garamond" w:hAnsi="Garamond" w:cs="Arial"/>
          <w:color w:val="000000"/>
          <w:lang w:val="en-GB"/>
        </w:rPr>
        <w:t xml:space="preserve"> bemerkbar machen. Die Vermutung war richtig; es ereignete sich bei diesem Besuch das Peinliche, daß der Kranke ohne jeden Anlaß im Gespräch den Bruder durch Anspielung auf dessen </w:t>
      </w:r>
      <w:r w:rsidRPr="00A06A59">
        <w:rPr>
          <w:rFonts w:ascii="Garamond" w:hAnsi="Garamond" w:cs="Arial"/>
          <w:i/>
          <w:iCs/>
          <w:color w:val="000000"/>
          <w:lang w:val="en-GB"/>
        </w:rPr>
        <w:t>Jugendstreiche</w:t>
      </w:r>
      <w:r w:rsidRPr="00A06A59">
        <w:rPr>
          <w:rFonts w:ascii="Garamond" w:hAnsi="Garamond" w:cs="Arial"/>
          <w:color w:val="000000"/>
          <w:lang w:val="en-GB"/>
        </w:rPr>
        <w:t xml:space="preserve"> bloßstellte. Den Kranken hatte ich nach seinem Geburtsjahre gefragt und ihn wiederholt zu kleinen Berechnungen veranlaßt, um seine Gedächtnisschwächung klarzulegen; Proben, die er übrigens noch recht gut bestand. Ich merke schon, daß ich mich im Traume benehme wie ein Paralytiker. ( </w:t>
      </w:r>
      <w:r w:rsidRPr="00A06A59">
        <w:rPr>
          <w:rFonts w:ascii="Garamond" w:hAnsi="Garamond" w:cs="Arial"/>
          <w:i/>
          <w:iCs/>
          <w:color w:val="000000"/>
          <w:lang w:val="en-GB"/>
        </w:rPr>
        <w:t>Ich weiß nicht sicher, welches Jahr wir schreiben.</w:t>
      </w:r>
      <w:r w:rsidRPr="00A06A59">
        <w:rPr>
          <w:rFonts w:ascii="Garamond" w:hAnsi="Garamond" w:cs="Arial"/>
          <w:color w:val="000000"/>
          <w:lang w:val="en-GB"/>
        </w:rPr>
        <w:t xml:space="preserve">) Anderes Material des Traumes stammt aus einer anderen rezenten Quelle. Ein mir befreundeter Redakteur einer medizinischen Zeitschrift hatte eine höchst ungnädige, eine » </w:t>
      </w:r>
      <w:r w:rsidRPr="00A06A59">
        <w:rPr>
          <w:rFonts w:ascii="Garamond" w:hAnsi="Garamond" w:cs="Arial"/>
          <w:i/>
          <w:iCs/>
          <w:color w:val="000000"/>
          <w:lang w:val="en-GB"/>
        </w:rPr>
        <w:t>vernichtende</w:t>
      </w:r>
      <w:r w:rsidRPr="00A06A59">
        <w:rPr>
          <w:rFonts w:ascii="Garamond" w:hAnsi="Garamond" w:cs="Arial"/>
          <w:color w:val="000000"/>
          <w:lang w:val="en-GB"/>
        </w:rPr>
        <w:t xml:space="preserve">« Kritik über das letzte Buch meines Freundes Fl. in Berlin in sein Blatt aufgenommen, die ein recht </w:t>
      </w:r>
      <w:r w:rsidRPr="00A06A59">
        <w:rPr>
          <w:rFonts w:ascii="Garamond" w:hAnsi="Garamond" w:cs="Arial"/>
          <w:i/>
          <w:iCs/>
          <w:color w:val="000000"/>
          <w:lang w:val="en-GB"/>
        </w:rPr>
        <w:t>jugendlicher</w:t>
      </w:r>
      <w:r w:rsidRPr="00A06A59">
        <w:rPr>
          <w:rFonts w:ascii="Garamond" w:hAnsi="Garamond" w:cs="Arial"/>
          <w:color w:val="000000"/>
          <w:lang w:val="en-GB"/>
        </w:rPr>
        <w:t xml:space="preserve"> und wenig urteilsfähiger Referent verfaßt hatte. Ich glaubte, ein Recht zur Einmengung zu haben, und stellte den Redakteur zur Rede, der die Aufnahme der Kritik lebhaft bedauerte, aber eine Remedur nicht versprechen wollte. Daraufhin brach ich meine Beziehungen zur Zeitschrift ab und hob in meinem Absagebriefe die Erwartung hervor, </w:t>
      </w:r>
      <w:r w:rsidRPr="00A06A59">
        <w:rPr>
          <w:rFonts w:ascii="Garamond" w:hAnsi="Garamond" w:cs="Arial"/>
          <w:i/>
          <w:iCs/>
          <w:color w:val="000000"/>
          <w:lang w:val="en-GB"/>
        </w:rPr>
        <w:t>daß unsere persönlichen Beziehungen unter diesem Vorfall nicht leiden würden</w:t>
      </w:r>
      <w:r w:rsidRPr="00A06A59">
        <w:rPr>
          <w:rFonts w:ascii="Garamond" w:hAnsi="Garamond" w:cs="Arial"/>
          <w:color w:val="000000"/>
          <w:lang w:val="en-GB"/>
        </w:rPr>
        <w:t xml:space="preserve">. Die dritte Quelle dieses Traumes ist die damals frische Erzählung einer Patientin von der psychischen Erkrankung ihres Bruders, der mit dem Ausrufe » </w:t>
      </w:r>
      <w:r w:rsidRPr="00A06A59">
        <w:rPr>
          <w:rFonts w:ascii="Garamond" w:hAnsi="Garamond" w:cs="Arial"/>
          <w:i/>
          <w:iCs/>
          <w:color w:val="000000"/>
          <w:lang w:val="en-GB"/>
        </w:rPr>
        <w:t>Natur, Natur</w:t>
      </w:r>
      <w:r w:rsidRPr="00A06A59">
        <w:rPr>
          <w:rFonts w:ascii="Garamond" w:hAnsi="Garamond" w:cs="Arial"/>
          <w:color w:val="000000"/>
          <w:lang w:val="en-GB"/>
        </w:rPr>
        <w:t xml:space="preserve">« in Tobsucht verfallen war. Die Ärzte hatten gemeint, der Ausruf stamme aus der Lektüre jenes schönen </w:t>
      </w:r>
      <w:r w:rsidRPr="00A06A59">
        <w:rPr>
          <w:rFonts w:ascii="Garamond" w:hAnsi="Garamond" w:cs="Arial"/>
          <w:i/>
          <w:iCs/>
          <w:color w:val="000000"/>
          <w:lang w:val="en-GB"/>
        </w:rPr>
        <w:t>Aufsatzes von Goethe</w:t>
      </w:r>
      <w:r w:rsidRPr="00A06A59">
        <w:rPr>
          <w:rFonts w:ascii="Garamond" w:hAnsi="Garamond" w:cs="Arial"/>
          <w:color w:val="000000"/>
          <w:lang w:val="en-GB"/>
        </w:rPr>
        <w:t xml:space="preserve"> und deute auf die Überarbeitung des Erkrankten bei seinen naturphilosophischen Studien. Ich zog es vor, an den sexuellen Sinn zu denken, in dem auch die Mindergebildeten bei uns von der »Natur« reden, und daß der Unglückliche sich später an den Genitalien verstümmelte, schien mir wenigstens nicht unrecht zu geben. </w:t>
      </w:r>
      <w:r w:rsidRPr="00A06A59">
        <w:rPr>
          <w:rFonts w:ascii="Garamond" w:hAnsi="Garamond" w:cs="Arial"/>
          <w:i/>
          <w:iCs/>
          <w:color w:val="000000"/>
          <w:lang w:val="en-GB"/>
        </w:rPr>
        <w:t>18 Jahre</w:t>
      </w:r>
      <w:r w:rsidRPr="00A06A59">
        <w:rPr>
          <w:rFonts w:ascii="Garamond" w:hAnsi="Garamond" w:cs="Arial"/>
          <w:color w:val="000000"/>
          <w:lang w:val="en-GB"/>
        </w:rPr>
        <w:t xml:space="preserve"> war das Alter dieses Kranken, als sich jener Tobsuchtsanfall einstellte.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ich noch hinzufüge, daß das so hart kritisierte Buch meines Freundes (»Man fragt sich, ist der Autor verrückt oder ist man es selbst«, hatte ein anderer Kritiker geäußert) sich mit den </w:t>
      </w:r>
      <w:r w:rsidRPr="00A06A59">
        <w:rPr>
          <w:rFonts w:ascii="Garamond" w:hAnsi="Garamond" w:cs="Arial"/>
          <w:i/>
          <w:iCs/>
          <w:color w:val="000000"/>
          <w:lang w:val="en-GB"/>
        </w:rPr>
        <w:t>zeitlichen Verhältnissen</w:t>
      </w:r>
      <w:r w:rsidRPr="00A06A59">
        <w:rPr>
          <w:rFonts w:ascii="Garamond" w:hAnsi="Garamond" w:cs="Arial"/>
          <w:color w:val="000000"/>
          <w:lang w:val="en-GB"/>
        </w:rPr>
        <w:t xml:space="preserve"> des Lebens beschäftigt und auch </w:t>
      </w:r>
      <w:r w:rsidRPr="00A06A59">
        <w:rPr>
          <w:rFonts w:ascii="Garamond" w:hAnsi="Garamond" w:cs="Arial"/>
          <w:i/>
          <w:iCs/>
          <w:color w:val="000000"/>
          <w:lang w:val="en-GB"/>
        </w:rPr>
        <w:t>Goethes</w:t>
      </w:r>
      <w:r w:rsidRPr="00A06A59">
        <w:rPr>
          <w:rFonts w:ascii="Garamond" w:hAnsi="Garamond" w:cs="Arial"/>
          <w:color w:val="000000"/>
          <w:lang w:val="en-GB"/>
        </w:rPr>
        <w:t xml:space="preserve"> Lebensdauer auf ein Vielfaches einer für die Biologie bedeutsamen Zahl zurückführt, so ist es leicht einzusehen, daß ich mich im Traume an die Stelle meines Freundes setze. ( </w:t>
      </w:r>
      <w:r w:rsidRPr="00A06A59">
        <w:rPr>
          <w:rFonts w:ascii="Garamond" w:hAnsi="Garamond" w:cs="Arial"/>
          <w:i/>
          <w:iCs/>
          <w:color w:val="000000"/>
          <w:lang w:val="en-GB"/>
        </w:rPr>
        <w:t>Ich suche mir die zeitlichen Verhältnisse ... ein wenig aufzuklären.</w:t>
      </w:r>
      <w:r w:rsidRPr="00A06A59">
        <w:rPr>
          <w:rFonts w:ascii="Garamond" w:hAnsi="Garamond" w:cs="Arial"/>
          <w:color w:val="000000"/>
          <w:lang w:val="en-GB"/>
        </w:rPr>
        <w:t xml:space="preserve">) Ich benehme mich aber wie ein Paralytiker, und der Traum schwelgt in Absurdität. Das heißt also, die Traumgedanken sagen ironisch: » </w:t>
      </w:r>
      <w:r w:rsidRPr="00A06A59">
        <w:rPr>
          <w:rFonts w:ascii="Garamond" w:hAnsi="Garamond" w:cs="Arial"/>
          <w:i/>
          <w:iCs/>
          <w:color w:val="000000"/>
          <w:lang w:val="en-GB"/>
        </w:rPr>
        <w:t>Natürlich</w:t>
      </w:r>
      <w:r w:rsidRPr="00A06A59">
        <w:rPr>
          <w:rFonts w:ascii="Garamond" w:hAnsi="Garamond" w:cs="Arial"/>
          <w:color w:val="000000"/>
          <w:lang w:val="en-GB"/>
        </w:rPr>
        <w:t xml:space="preserve">, er ist der Narr, der Verrückte, und Ihr seid die genialen Leute, die es besser verstehen. Vielleicht aber doch umgekehrt?« Und diese </w:t>
      </w:r>
      <w:r w:rsidRPr="00A06A59">
        <w:rPr>
          <w:rFonts w:ascii="Garamond" w:hAnsi="Garamond" w:cs="Arial"/>
          <w:i/>
          <w:iCs/>
          <w:color w:val="000000"/>
          <w:lang w:val="en-GB"/>
        </w:rPr>
        <w:t>Umkehrung</w:t>
      </w:r>
      <w:r w:rsidRPr="00A06A59">
        <w:rPr>
          <w:rFonts w:ascii="Garamond" w:hAnsi="Garamond" w:cs="Arial"/>
          <w:color w:val="000000"/>
          <w:lang w:val="en-GB"/>
        </w:rPr>
        <w:t xml:space="preserve"> ist nun ausgiebig im Trauminhalt vertreten, indem Goethe den jungen Mann angegriffen hat, was absurd ist, während leicht ein ganz junger Mensch noch heute den unsterblichen Goethe angreifen könnte, und indem ich vom </w:t>
      </w:r>
      <w:r w:rsidRPr="00A06A59">
        <w:rPr>
          <w:rFonts w:ascii="Garamond" w:hAnsi="Garamond" w:cs="Arial"/>
          <w:i/>
          <w:iCs/>
          <w:color w:val="000000"/>
          <w:lang w:val="en-GB"/>
        </w:rPr>
        <w:t>Sterbejahre</w:t>
      </w:r>
      <w:r w:rsidRPr="00A06A59">
        <w:rPr>
          <w:rFonts w:ascii="Garamond" w:hAnsi="Garamond" w:cs="Arial"/>
          <w:color w:val="000000"/>
          <w:lang w:val="en-GB"/>
        </w:rPr>
        <w:t xml:space="preserve"> Goethes an rechne, während ich den Paralytiker von seinem </w:t>
      </w:r>
      <w:r w:rsidRPr="00A06A59">
        <w:rPr>
          <w:rFonts w:ascii="Garamond" w:hAnsi="Garamond" w:cs="Arial"/>
          <w:i/>
          <w:iCs/>
          <w:color w:val="000000"/>
          <w:lang w:val="en-GB"/>
        </w:rPr>
        <w:t>Geburtsjahr</w:t>
      </w:r>
      <w:r w:rsidRPr="00A06A59">
        <w:rPr>
          <w:rFonts w:ascii="Garamond" w:hAnsi="Garamond" w:cs="Arial"/>
          <w:color w:val="000000"/>
          <w:lang w:val="en-GB"/>
        </w:rPr>
        <w:t xml:space="preserve"> an rechnen ließ </w:t>
      </w:r>
      <w:r w:rsidRPr="00A06A59">
        <w:rPr>
          <w:rFonts w:ascii="Garamond" w:hAnsi="Garamond" w:cs="Arial"/>
          <w:i/>
          <w:iCs/>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habe aber auch versprochen zu zeigen, daß kein Traum von anderen als egoistischen Regungen eingegeben wird. Somit muß ich rechtfertigen, daß ich in diesem Traume die Sache meines Freundes zu der meinigen mache und mich an seine Stelle setze. Meine kritische Überzeugung im Wachen reicht hiefür nicht aus. Nun spielt aber die Geschichte des 18jährigen Kranken und die verschiedenartige Deutung seines Ausrufs » </w:t>
      </w:r>
      <w:r w:rsidRPr="00A06A59">
        <w:rPr>
          <w:rFonts w:ascii="Garamond" w:hAnsi="Garamond" w:cs="Arial"/>
          <w:i/>
          <w:iCs/>
          <w:color w:val="000000"/>
          <w:lang w:val="en-GB"/>
        </w:rPr>
        <w:t>Natur</w:t>
      </w:r>
      <w:r w:rsidRPr="00A06A59">
        <w:rPr>
          <w:rFonts w:ascii="Garamond" w:hAnsi="Garamond" w:cs="Arial"/>
          <w:color w:val="000000"/>
          <w:lang w:val="en-GB"/>
        </w:rPr>
        <w:t xml:space="preserve">« auf den Gegensatz an, in den ich mich mit meiner Behauptung einer sexuellen Ätiologie für die Psychoneurosen zu den meisten Ärzten gebracht habe. Ich kann mir sagen: So wie deinem Freunde, so wird es auch dir mit der Kritik ergehen, ist dir zum Teil auch bereits so ergangen, und nun darf ich das »Er« in den Traumgedanken durch ein »Wir« ersetzen. »Ja, ihr habt recht, wir zwei sind die Narren.« Daß » </w:t>
      </w:r>
      <w:r w:rsidRPr="00A06A59">
        <w:rPr>
          <w:rFonts w:ascii="Garamond" w:hAnsi="Garamond" w:cs="Arial"/>
          <w:i/>
          <w:iCs/>
          <w:color w:val="000000"/>
          <w:lang w:val="en-GB"/>
        </w:rPr>
        <w:t>mea res agitur</w:t>
      </w:r>
      <w:r w:rsidRPr="00A06A59">
        <w:rPr>
          <w:rFonts w:ascii="Garamond" w:hAnsi="Garamond" w:cs="Arial"/>
          <w:color w:val="000000"/>
          <w:lang w:val="en-GB"/>
        </w:rPr>
        <w:t>«, daran mahnt mich energisch die Erwähnung des kleinen, unvergleichlich schönen Aufsatzes von Goethe, denn der Vortrag dieses Aufsatzes in einer populären Vorlesung war es, der mich schwankenden Abiturienten zum Studium der Naturwissenschaft drängte.</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VI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bin es schuldig geblieben, noch von einem anderen Traume, in dem mein Ich nicht vorkommt, zu zeigen, daß er egoistisch ist. Ich erwähnte auf S. einen kurzen Traum, daß Professor M. sagt: » </w:t>
      </w:r>
      <w:r w:rsidRPr="00A06A59">
        <w:rPr>
          <w:rFonts w:ascii="Garamond" w:hAnsi="Garamond" w:cs="Arial"/>
          <w:i/>
          <w:iCs/>
          <w:color w:val="000000"/>
          <w:lang w:val="en-GB"/>
        </w:rPr>
        <w:t>Mein Sohn, der Myop ...</w:t>
      </w:r>
      <w:r w:rsidRPr="00A06A59">
        <w:rPr>
          <w:rFonts w:ascii="Garamond" w:hAnsi="Garamond" w:cs="Arial"/>
          <w:color w:val="000000"/>
          <w:lang w:val="en-GB"/>
        </w:rPr>
        <w:t xml:space="preserve">«, und gab an, das sei nur ein Vortraum zu einem anderen, in dem ich eine Rolle spiele. Hier ist der fehlende Haupttraum, der uns eine absurde und unverständliche Wortbildung zur Aufklärung bietet: </w:t>
      </w:r>
      <w:r w:rsidRPr="00A06A59">
        <w:rPr>
          <w:rFonts w:ascii="Garamond" w:hAnsi="Garamond" w:cs="Arial"/>
          <w:i/>
          <w:iCs/>
          <w:color w:val="000000"/>
          <w:lang w:val="en-GB"/>
        </w:rPr>
        <w:t xml:space="preserve">Wegen irgendwelcher Vorgänge in der Stadt Rom ist es notwendig, die Kinder zu flüchten, was auch geschieht. Die Szene ist dann vor einem Tore, Doppeltor nach antiker Art (die Porta Romana in Siena, wie ich noch im Traume weiß). Ich sitze auf dem Rand eines Brunnens und bin sehr betrübt, weine fast. Eine weibliche Person Wärterin, Nonne bringt die zwei Knaben heraus und übergibt sie dem Vater, der nicht ich bin. Der ältere der beiden ist deutlich mein Ältester, das Gesicht des anderen sehe ich nicht; die Frau, die den Knaben bringt, verlangt zum Abschied einen Kuß von ihm. Sie </w:t>
      </w:r>
      <w:r w:rsidRPr="00A06A59">
        <w:rPr>
          <w:rFonts w:ascii="Garamond" w:hAnsi="Garamond" w:cs="Arial"/>
          <w:i/>
          <w:iCs/>
          <w:color w:val="000000"/>
          <w:lang w:val="en-GB"/>
        </w:rPr>
        <w:lastRenderedPageBreak/>
        <w:t>zeichnet sich durch eine rote Nase aus. Der Knabe verweigert ihr den Kuß, sagt aber, ihr zum Abschied die Hand reichend</w:t>
      </w:r>
      <w:r w:rsidRPr="00A06A59">
        <w:rPr>
          <w:rFonts w:ascii="Garamond" w:hAnsi="Garamond" w:cs="Arial"/>
          <w:color w:val="000000"/>
          <w:lang w:val="en-GB"/>
        </w:rPr>
        <w:t xml:space="preserve">: </w:t>
      </w:r>
      <w:r w:rsidRPr="00A06A59">
        <w:rPr>
          <w:rFonts w:ascii="Garamond" w:hAnsi="Garamond" w:cs="Arial"/>
          <w:b/>
          <w:bCs/>
          <w:i/>
          <w:iCs/>
          <w:color w:val="000000"/>
          <w:lang w:val="en-GB"/>
        </w:rPr>
        <w:t>Auf Geseres</w:t>
      </w:r>
      <w:r w:rsidRPr="00A06A59">
        <w:rPr>
          <w:rFonts w:ascii="Garamond" w:hAnsi="Garamond" w:cs="Arial"/>
          <w:i/>
          <w:iCs/>
          <w:color w:val="000000"/>
          <w:lang w:val="en-GB"/>
        </w:rPr>
        <w:t>, und zu uns beiden (oder zu einem von uns)</w:t>
      </w:r>
      <w:r w:rsidRPr="00A06A59">
        <w:rPr>
          <w:rFonts w:ascii="Garamond" w:hAnsi="Garamond" w:cs="Arial"/>
          <w:color w:val="000000"/>
          <w:lang w:val="en-GB"/>
        </w:rPr>
        <w:t xml:space="preserve">: </w:t>
      </w:r>
      <w:r w:rsidRPr="00A06A59">
        <w:rPr>
          <w:rFonts w:ascii="Garamond" w:hAnsi="Garamond" w:cs="Arial"/>
          <w:b/>
          <w:bCs/>
          <w:i/>
          <w:iCs/>
          <w:color w:val="000000"/>
          <w:lang w:val="en-GB"/>
        </w:rPr>
        <w:t>Auf Ungeseres.</w:t>
      </w:r>
      <w:r w:rsidRPr="00A06A59">
        <w:rPr>
          <w:rFonts w:ascii="Garamond" w:hAnsi="Garamond" w:cs="Arial"/>
          <w:i/>
          <w:iCs/>
          <w:color w:val="000000"/>
          <w:lang w:val="en-GB"/>
        </w:rPr>
        <w:t>Ich habe die Idee, daß letzteres einen Vorzug bedeutet.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Dieser Traum baut sich auf einem Knäuel von Gedanken auf, die durch ein im Theater gesehenes Schauspiel </w:t>
      </w:r>
      <w:r w:rsidRPr="00A06A59">
        <w:rPr>
          <w:rFonts w:ascii="Garamond" w:hAnsi="Garamond" w:cs="Arial"/>
          <w:i/>
          <w:iCs/>
          <w:color w:val="000000"/>
          <w:lang w:val="en-GB"/>
        </w:rPr>
        <w:t>Das neue Ghetto</w:t>
      </w:r>
      <w:r w:rsidRPr="00A06A59">
        <w:rPr>
          <w:rFonts w:ascii="Garamond" w:hAnsi="Garamond" w:cs="Arial"/>
          <w:color w:val="000000"/>
          <w:lang w:val="en-GB"/>
        </w:rPr>
        <w:t xml:space="preserve"> angeregt wurden. Die Judenfrage, die Sorge um die Zukunft der Kinder, denen man ein Vaterland nicht geben kann, die Sorge, sie so zu erziehen, daß sie freizügig werden können, sind in den zugehörigen Traumgedanken leicht zu erkennen.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An den Wassern Babels saßen wir und weinten.</w:t>
      </w:r>
      <w:r w:rsidRPr="00A06A59">
        <w:rPr>
          <w:rFonts w:ascii="Garamond" w:hAnsi="Garamond" w:cs="Arial"/>
          <w:color w:val="000000"/>
          <w:lang w:val="en-GB"/>
        </w:rPr>
        <w:t xml:space="preserve"> – Siena ist wie Rom durch seine schönen Brunnen berühmt: für Rom muß ich im Traume (vgl. S. 134.) mir irgendeinen Ersatz aus bekannten Örtlichkeiten suchen. Nahe der Porta Romana von Siena sahen wir ein großes, hell erleuchtetes Haus. Wir erfuhren, daß es das </w:t>
      </w:r>
      <w:r w:rsidRPr="00A06A59">
        <w:rPr>
          <w:rFonts w:ascii="Garamond" w:hAnsi="Garamond" w:cs="Arial"/>
          <w:i/>
          <w:iCs/>
          <w:color w:val="000000"/>
          <w:lang w:val="en-GB"/>
        </w:rPr>
        <w:t>Manicomio</w:t>
      </w:r>
      <w:r w:rsidRPr="00A06A59">
        <w:rPr>
          <w:rFonts w:ascii="Garamond" w:hAnsi="Garamond" w:cs="Arial"/>
          <w:color w:val="000000"/>
          <w:lang w:val="en-GB"/>
        </w:rPr>
        <w:t>, die Irrenanstalt sei. Kurz vor dem Traume hatte ich gehört, daß ein Glaubensgenosse seine mühselig erworbene Anstellung an einer staatlichen Irrenanstalt hatte aufgeben müssen.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Unser Interesse erweckt die Rede: </w:t>
      </w:r>
      <w:r w:rsidRPr="00A06A59">
        <w:rPr>
          <w:rFonts w:ascii="Garamond" w:hAnsi="Garamond" w:cs="Arial"/>
          <w:i/>
          <w:iCs/>
          <w:color w:val="000000"/>
          <w:lang w:val="en-GB"/>
        </w:rPr>
        <w:t>Auf Geseres</w:t>
      </w:r>
      <w:r w:rsidRPr="00A06A59">
        <w:rPr>
          <w:rFonts w:ascii="Garamond" w:hAnsi="Garamond" w:cs="Arial"/>
          <w:color w:val="000000"/>
          <w:lang w:val="en-GB"/>
        </w:rPr>
        <w:t xml:space="preserve">, wo man nach der im Traume festgehaltenen Situation erwarten mußte: Auf Wiedersehen, und ihr ganz sinnloser Gegensatz: </w:t>
      </w:r>
      <w:r w:rsidRPr="00A06A59">
        <w:rPr>
          <w:rFonts w:ascii="Garamond" w:hAnsi="Garamond" w:cs="Arial"/>
          <w:i/>
          <w:iCs/>
          <w:color w:val="000000"/>
          <w:lang w:val="en-GB"/>
        </w:rPr>
        <w:t>Auf Ungeseres</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Geseres</w:t>
      </w:r>
      <w:r w:rsidRPr="00A06A59">
        <w:rPr>
          <w:rFonts w:ascii="Garamond" w:hAnsi="Garamond" w:cs="Arial"/>
          <w:color w:val="000000"/>
          <w:lang w:val="en-GB"/>
        </w:rPr>
        <w:t xml:space="preserve"> ist nach den Auskünften, die ich mir bei Schriftgelehrten geholt habe, ein echt hebräisches Wort, abgeleitet von einem Verbum </w:t>
      </w:r>
      <w:r w:rsidRPr="00A06A59">
        <w:rPr>
          <w:rFonts w:ascii="Garamond" w:hAnsi="Garamond" w:cs="Arial"/>
          <w:i/>
          <w:iCs/>
          <w:color w:val="000000"/>
          <w:lang w:val="en-GB"/>
        </w:rPr>
        <w:t>goiser</w:t>
      </w:r>
      <w:r w:rsidRPr="00A06A59">
        <w:rPr>
          <w:rFonts w:ascii="Garamond" w:hAnsi="Garamond" w:cs="Arial"/>
          <w:color w:val="000000"/>
          <w:lang w:val="en-GB"/>
        </w:rPr>
        <w:t xml:space="preserve">, und läßt sich am besten durch »anbefohlene Leiden, Verhängnis« wiedergeben. Nach der Verwendung des Wortes im Jargon sollte man meinen, es bedeute »Klagen und Jammern«. </w:t>
      </w:r>
      <w:r w:rsidRPr="00A06A59">
        <w:rPr>
          <w:rFonts w:ascii="Garamond" w:hAnsi="Garamond" w:cs="Arial"/>
          <w:i/>
          <w:iCs/>
          <w:color w:val="000000"/>
          <w:lang w:val="en-GB"/>
        </w:rPr>
        <w:t>Ungeseres</w:t>
      </w:r>
      <w:r w:rsidRPr="00A06A59">
        <w:rPr>
          <w:rFonts w:ascii="Garamond" w:hAnsi="Garamond" w:cs="Arial"/>
          <w:color w:val="000000"/>
          <w:lang w:val="en-GB"/>
        </w:rPr>
        <w:t xml:space="preserve"> ist meine eigenste Wortbildung und zieht meine Aufmerksamkeit zuerst auf sich, macht mich aber zunächst ratlos. Die kleine Bemerkung zu Ende des Traumes, daß Ungeseres einen Vorzug gegen Geseres bedeute, öffnet den Einfällen und damit dem Verständnis die Pforten. Ein solches Verhältnis findet ja beim Kaviar statt; der </w:t>
      </w:r>
      <w:r w:rsidRPr="00A06A59">
        <w:rPr>
          <w:rFonts w:ascii="Garamond" w:hAnsi="Garamond" w:cs="Arial"/>
          <w:i/>
          <w:iCs/>
          <w:color w:val="000000"/>
          <w:lang w:val="en-GB"/>
        </w:rPr>
        <w:t>ungesalzene</w:t>
      </w:r>
      <w:r w:rsidRPr="00A06A59">
        <w:rPr>
          <w:rFonts w:ascii="Garamond" w:hAnsi="Garamond" w:cs="Arial"/>
          <w:color w:val="000000"/>
          <w:lang w:val="en-GB"/>
        </w:rPr>
        <w:t xml:space="preserve"> wird höher geschätzt als der </w:t>
      </w:r>
      <w:r w:rsidRPr="00A06A59">
        <w:rPr>
          <w:rFonts w:ascii="Garamond" w:hAnsi="Garamond" w:cs="Arial"/>
          <w:i/>
          <w:iCs/>
          <w:color w:val="000000"/>
          <w:lang w:val="en-GB"/>
        </w:rPr>
        <w:t>gesalzene</w:t>
      </w:r>
      <w:r w:rsidRPr="00A06A59">
        <w:rPr>
          <w:rFonts w:ascii="Garamond" w:hAnsi="Garamond" w:cs="Arial"/>
          <w:color w:val="000000"/>
          <w:lang w:val="en-GB"/>
        </w:rPr>
        <w:t xml:space="preserve">. Kaviar fürs Volk, »noble Passionen«: darin liegt eine scherzhafte Anspielung an eine der Personen meines Haushaltes verborgen, von der ich hoffe, daß sie, jünger als ich, die Zukunft meiner Kinder in acht nehmen wird. Dazu stimmt es dann, daß eine andere Person meines Haushaltes, unsere brave Kinderfrau, in der Wärterin (oder Nonne) vom Traum wohl kenntlich gezeigt wird. Zwischen dem Paar </w:t>
      </w:r>
      <w:r w:rsidRPr="00A06A59">
        <w:rPr>
          <w:rFonts w:ascii="Garamond" w:hAnsi="Garamond" w:cs="Arial"/>
          <w:i/>
          <w:iCs/>
          <w:color w:val="000000"/>
          <w:lang w:val="en-GB"/>
        </w:rPr>
        <w:t>gesalzen – ungesalzen</w:t>
      </w:r>
      <w:r w:rsidRPr="00A06A59">
        <w:rPr>
          <w:rFonts w:ascii="Garamond" w:hAnsi="Garamond" w:cs="Arial"/>
          <w:color w:val="000000"/>
          <w:lang w:val="en-GB"/>
        </w:rPr>
        <w:t xml:space="preserve"> und </w:t>
      </w:r>
      <w:r w:rsidRPr="00A06A59">
        <w:rPr>
          <w:rFonts w:ascii="Garamond" w:hAnsi="Garamond" w:cs="Arial"/>
          <w:i/>
          <w:iCs/>
          <w:color w:val="000000"/>
          <w:lang w:val="en-GB"/>
        </w:rPr>
        <w:t>Geseres – Ungeseres</w:t>
      </w:r>
      <w:r w:rsidRPr="00A06A59">
        <w:rPr>
          <w:rFonts w:ascii="Garamond" w:hAnsi="Garamond" w:cs="Arial"/>
          <w:color w:val="000000"/>
          <w:lang w:val="en-GB"/>
        </w:rPr>
        <w:t xml:space="preserve"> fehlt es aber noch an einem vermittelnden Übergang. Dieser findet sich in » </w:t>
      </w:r>
      <w:r w:rsidRPr="00A06A59">
        <w:rPr>
          <w:rFonts w:ascii="Garamond" w:hAnsi="Garamond" w:cs="Arial"/>
          <w:i/>
          <w:iCs/>
          <w:color w:val="000000"/>
          <w:lang w:val="en-GB"/>
        </w:rPr>
        <w:t>gesäuert</w:t>
      </w:r>
      <w:r w:rsidRPr="00A06A59">
        <w:rPr>
          <w:rFonts w:ascii="Garamond" w:hAnsi="Garamond" w:cs="Arial"/>
          <w:color w:val="000000"/>
          <w:lang w:val="en-GB"/>
        </w:rPr>
        <w:t xml:space="preserve"> und </w:t>
      </w:r>
      <w:r w:rsidRPr="00A06A59">
        <w:rPr>
          <w:rFonts w:ascii="Garamond" w:hAnsi="Garamond" w:cs="Arial"/>
          <w:i/>
          <w:iCs/>
          <w:color w:val="000000"/>
          <w:lang w:val="en-GB"/>
        </w:rPr>
        <w:t>ungesäuert</w:t>
      </w:r>
      <w:r w:rsidRPr="00A06A59">
        <w:rPr>
          <w:rFonts w:ascii="Garamond" w:hAnsi="Garamond" w:cs="Arial"/>
          <w:color w:val="000000"/>
          <w:lang w:val="en-GB"/>
        </w:rPr>
        <w:t xml:space="preserve">«; bei ihrem fluchtartigen Auszug aus </w:t>
      </w:r>
      <w:r w:rsidRPr="00A06A59">
        <w:rPr>
          <w:rFonts w:ascii="Garamond" w:hAnsi="Garamond" w:cs="Arial"/>
          <w:i/>
          <w:iCs/>
          <w:color w:val="000000"/>
          <w:lang w:val="en-GB"/>
        </w:rPr>
        <w:t>Ägypten</w:t>
      </w:r>
      <w:r w:rsidRPr="00A06A59">
        <w:rPr>
          <w:rFonts w:ascii="Garamond" w:hAnsi="Garamond" w:cs="Arial"/>
          <w:color w:val="000000"/>
          <w:lang w:val="en-GB"/>
        </w:rPr>
        <w:t xml:space="preserve"> hatten die Kinder Israels nicht die Zeit, ihren Brotteig gären zu lassen, und essen zur Erinnerung daran noch heute ungesäuertes Brot zur Osterzeit. Hier kann ich auch den plötzlichen Einfall unterbringen, der mir während dieses Stückes der Analyse gekommen ist. Ich erinnerte mich, wie wir in den letzten </w:t>
      </w:r>
      <w:r w:rsidRPr="00A06A59">
        <w:rPr>
          <w:rFonts w:ascii="Garamond" w:hAnsi="Garamond" w:cs="Arial"/>
          <w:i/>
          <w:iCs/>
          <w:color w:val="000000"/>
          <w:lang w:val="en-GB"/>
        </w:rPr>
        <w:t>Oster</w:t>
      </w:r>
      <w:r w:rsidRPr="00A06A59">
        <w:rPr>
          <w:rFonts w:ascii="Garamond" w:hAnsi="Garamond" w:cs="Arial"/>
          <w:color w:val="000000"/>
          <w:lang w:val="en-GB"/>
        </w:rPr>
        <w:t xml:space="preserve">tagen in den Straßen der uns fremden Stadt Breslau herumspazierten, mein Freund aus Berlin und ich. Ein kleines Mädchen fragte mich um den Weg in eine gewisse Straße; ich mußte mich entschuldigen, daß ich ihn nicht wisse, und äußerte dann zu meinem Freunde: »Hoffentlich beweist die Kleine später im Leben mehr Scharfblick bei der Auswahl der Personen, von denen sie sich leiten läßt.« Kurz darauf fiel mir ein Schild in die Augen: Dr. </w:t>
      </w:r>
      <w:r w:rsidRPr="00A06A59">
        <w:rPr>
          <w:rFonts w:ascii="Garamond" w:hAnsi="Garamond" w:cs="Arial"/>
          <w:i/>
          <w:iCs/>
          <w:color w:val="000000"/>
          <w:lang w:val="en-GB"/>
        </w:rPr>
        <w:t>Herodes,</w:t>
      </w:r>
      <w:r w:rsidRPr="00A06A59">
        <w:rPr>
          <w:rFonts w:ascii="Garamond" w:hAnsi="Garamond" w:cs="Arial"/>
          <w:color w:val="000000"/>
          <w:lang w:val="en-GB"/>
        </w:rPr>
        <w:t xml:space="preserve"> Sprechstunde... Ich meinte: »Hoffentlich ist der Kollege nicht gerade Kinderarzt.« Mein Freund hatte mir unterdessen seine Ansichten über die biologische Bedeutung der </w:t>
      </w:r>
      <w:r w:rsidRPr="00A06A59">
        <w:rPr>
          <w:rFonts w:ascii="Garamond" w:hAnsi="Garamond" w:cs="Arial"/>
          <w:i/>
          <w:iCs/>
          <w:color w:val="000000"/>
          <w:lang w:val="en-GB"/>
        </w:rPr>
        <w:t>bilateralen Symmetrie</w:t>
      </w:r>
      <w:r w:rsidRPr="00A06A59">
        <w:rPr>
          <w:rFonts w:ascii="Garamond" w:hAnsi="Garamond" w:cs="Arial"/>
          <w:color w:val="000000"/>
          <w:lang w:val="en-GB"/>
        </w:rPr>
        <w:t xml:space="preserve"> entwickelt und einen Satz mit der Einleitung begonnen: »Wenn wir das eine Auge mitten auf der Stirne trügen wie der </w:t>
      </w:r>
      <w:r w:rsidRPr="00A06A59">
        <w:rPr>
          <w:rFonts w:ascii="Garamond" w:hAnsi="Garamond" w:cs="Arial"/>
          <w:i/>
          <w:iCs/>
          <w:color w:val="000000"/>
          <w:lang w:val="en-GB"/>
        </w:rPr>
        <w:t>Zyklop</w:t>
      </w:r>
      <w:r w:rsidRPr="00A06A59">
        <w:rPr>
          <w:rFonts w:ascii="Garamond" w:hAnsi="Garamond" w:cs="Arial"/>
          <w:color w:val="000000"/>
          <w:lang w:val="en-GB"/>
        </w:rPr>
        <w:t xml:space="preserve">...« </w:t>
      </w:r>
      <w:r w:rsidRPr="00A06A59">
        <w:rPr>
          <w:rFonts w:ascii="Garamond" w:hAnsi="Garamond" w:cs="Arial"/>
          <w:color w:val="000000"/>
        </w:rPr>
        <w:t xml:space="preserve">Das führt nun zur Rede des Professors im Vortraum: </w:t>
      </w:r>
      <w:r w:rsidRPr="00A06A59">
        <w:rPr>
          <w:rFonts w:ascii="Garamond" w:hAnsi="Garamond" w:cs="Arial"/>
          <w:i/>
          <w:iCs/>
          <w:color w:val="000000"/>
        </w:rPr>
        <w:t>Mein Sohn, der Myop</w:t>
      </w:r>
      <w:r w:rsidRPr="00A06A59">
        <w:rPr>
          <w:rFonts w:ascii="Garamond" w:hAnsi="Garamond" w:cs="Arial"/>
          <w:color w:val="000000"/>
        </w:rPr>
        <w:t xml:space="preserve">. Und nun bin ich zur Hauptquelle für das </w:t>
      </w:r>
      <w:r w:rsidRPr="00A06A59">
        <w:rPr>
          <w:rFonts w:ascii="Garamond" w:hAnsi="Garamond" w:cs="Arial"/>
          <w:i/>
          <w:iCs/>
          <w:color w:val="000000"/>
        </w:rPr>
        <w:t>Geseres</w:t>
      </w:r>
      <w:r w:rsidRPr="00A06A59">
        <w:rPr>
          <w:rFonts w:ascii="Garamond" w:hAnsi="Garamond" w:cs="Arial"/>
          <w:color w:val="000000"/>
        </w:rPr>
        <w:t xml:space="preserve"> geführt worden. Vor vielen Jahren, als dieser Sohn des Professors M., der heute ein selbständiger Denker ist, noch auf der </w:t>
      </w:r>
      <w:r w:rsidRPr="00A06A59">
        <w:rPr>
          <w:rFonts w:ascii="Garamond" w:hAnsi="Garamond" w:cs="Arial"/>
          <w:i/>
          <w:iCs/>
          <w:color w:val="000000"/>
        </w:rPr>
        <w:t>Schulbank</w:t>
      </w:r>
      <w:r w:rsidRPr="00A06A59">
        <w:rPr>
          <w:rFonts w:ascii="Garamond" w:hAnsi="Garamond" w:cs="Arial"/>
          <w:color w:val="000000"/>
        </w:rPr>
        <w:t xml:space="preserve"> saß, erkrankte er an einer Augenaffektion, die der Arzt für besorgniserweckend erklärte. Er meinte, solange sie </w:t>
      </w:r>
      <w:r w:rsidRPr="00A06A59">
        <w:rPr>
          <w:rFonts w:ascii="Garamond" w:hAnsi="Garamond" w:cs="Arial"/>
          <w:i/>
          <w:iCs/>
          <w:color w:val="000000"/>
        </w:rPr>
        <w:t>einseitig</w:t>
      </w:r>
      <w:r w:rsidRPr="00A06A59">
        <w:rPr>
          <w:rFonts w:ascii="Garamond" w:hAnsi="Garamond" w:cs="Arial"/>
          <w:color w:val="000000"/>
        </w:rPr>
        <w:t xml:space="preserve"> bleibe, habe sie nichts zu bedeuten, sollte sie aber auch auf das </w:t>
      </w:r>
      <w:r w:rsidRPr="00A06A59">
        <w:rPr>
          <w:rFonts w:ascii="Garamond" w:hAnsi="Garamond" w:cs="Arial"/>
          <w:i/>
          <w:iCs/>
          <w:color w:val="000000"/>
        </w:rPr>
        <w:t>andere Auge</w:t>
      </w:r>
      <w:r w:rsidRPr="00A06A59">
        <w:rPr>
          <w:rFonts w:ascii="Garamond" w:hAnsi="Garamond" w:cs="Arial"/>
          <w:color w:val="000000"/>
        </w:rPr>
        <w:t xml:space="preserve"> übergreifen, so wäre es ernsthaft. Das Leiden heilte auf dem einen Auge schadlos ab; kurz darauf stellten sich aber die Zeichen für die Erkrankung des zweiten wirklich ein. Die entsetzte Mutter ließ sofort den Arzt in die Einsamkeit ihres Landaufenthalts kommen. Der schlug sich aber jetzt </w:t>
      </w:r>
      <w:r w:rsidRPr="00A06A59">
        <w:rPr>
          <w:rFonts w:ascii="Garamond" w:hAnsi="Garamond" w:cs="Arial"/>
          <w:i/>
          <w:iCs/>
          <w:color w:val="000000"/>
        </w:rPr>
        <w:t>auf die andere Seite.</w:t>
      </w:r>
      <w:r w:rsidRPr="00A06A59">
        <w:rPr>
          <w:rFonts w:ascii="Garamond" w:hAnsi="Garamond" w:cs="Arial"/>
          <w:color w:val="000000"/>
        </w:rPr>
        <w:t xml:space="preserve"> » </w:t>
      </w:r>
      <w:r w:rsidRPr="00A06A59">
        <w:rPr>
          <w:rFonts w:ascii="Garamond" w:hAnsi="Garamond" w:cs="Arial"/>
          <w:i/>
          <w:iCs/>
          <w:color w:val="000000"/>
          <w:lang w:val="en-GB"/>
        </w:rPr>
        <w:t>Was machen Sie für Geseres?</w:t>
      </w:r>
      <w:r w:rsidRPr="00A06A59">
        <w:rPr>
          <w:rFonts w:ascii="Garamond" w:hAnsi="Garamond" w:cs="Arial"/>
          <w:color w:val="000000"/>
          <w:lang w:val="en-GB"/>
        </w:rPr>
        <w:t xml:space="preserve">« herrschte er die Mutter an. »Ist es auf der </w:t>
      </w:r>
      <w:r w:rsidRPr="00A06A59">
        <w:rPr>
          <w:rFonts w:ascii="Garamond" w:hAnsi="Garamond" w:cs="Arial"/>
          <w:i/>
          <w:iCs/>
          <w:color w:val="000000"/>
          <w:lang w:val="en-GB"/>
        </w:rPr>
        <w:t>einen</w:t>
      </w:r>
      <w:r w:rsidRPr="00A06A59">
        <w:rPr>
          <w:rFonts w:ascii="Garamond" w:hAnsi="Garamond" w:cs="Arial"/>
          <w:color w:val="000000"/>
          <w:lang w:val="en-GB"/>
        </w:rPr>
        <w:t xml:space="preserve"> Seite gut geworden, so wird es auch auf der </w:t>
      </w:r>
      <w:r w:rsidRPr="00A06A59">
        <w:rPr>
          <w:rFonts w:ascii="Garamond" w:hAnsi="Garamond" w:cs="Arial"/>
          <w:i/>
          <w:iCs/>
          <w:color w:val="000000"/>
          <w:lang w:val="en-GB"/>
        </w:rPr>
        <w:t>anderen</w:t>
      </w:r>
      <w:r w:rsidRPr="00A06A59">
        <w:rPr>
          <w:rFonts w:ascii="Garamond" w:hAnsi="Garamond" w:cs="Arial"/>
          <w:color w:val="000000"/>
          <w:lang w:val="en-GB"/>
        </w:rPr>
        <w:t xml:space="preserve"> gut werden.« Und so ward es auch.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Und nun die Beziehung zu mir und den Meinigen. Die </w:t>
      </w:r>
      <w:r w:rsidRPr="00A06A59">
        <w:rPr>
          <w:rFonts w:ascii="Garamond" w:hAnsi="Garamond" w:cs="Arial"/>
          <w:i/>
          <w:iCs/>
          <w:color w:val="000000"/>
          <w:lang w:val="en-GB"/>
        </w:rPr>
        <w:t>Schulbank</w:t>
      </w:r>
      <w:r w:rsidRPr="00A06A59">
        <w:rPr>
          <w:rFonts w:ascii="Garamond" w:hAnsi="Garamond" w:cs="Arial"/>
          <w:color w:val="000000"/>
          <w:lang w:val="en-GB"/>
        </w:rPr>
        <w:t xml:space="preserve">, auf der der Sohn des Professors M. seine erste Weisheit erlernt, ist durch Schenkung der Mutter in das Eigentum meines Ältesten übergegangen, dem ich im Traume die Abschiedsworte in den Mund lege. Der eine der Wünsche, die sich an diese Übertragung knüpfen lassen, ist nun leicht zu erraten. Diese Schulbank soll aber auch durch ihre Konstruktion das Kind davor schützen, </w:t>
      </w:r>
      <w:r w:rsidRPr="00A06A59">
        <w:rPr>
          <w:rFonts w:ascii="Garamond" w:hAnsi="Garamond" w:cs="Arial"/>
          <w:i/>
          <w:iCs/>
          <w:color w:val="000000"/>
          <w:lang w:val="en-GB"/>
        </w:rPr>
        <w:t>kurzsichtig</w:t>
      </w:r>
      <w:r w:rsidRPr="00A06A59">
        <w:rPr>
          <w:rFonts w:ascii="Garamond" w:hAnsi="Garamond" w:cs="Arial"/>
          <w:color w:val="000000"/>
          <w:lang w:val="en-GB"/>
        </w:rPr>
        <w:t xml:space="preserve"> und </w:t>
      </w:r>
      <w:r w:rsidRPr="00A06A59">
        <w:rPr>
          <w:rFonts w:ascii="Garamond" w:hAnsi="Garamond" w:cs="Arial"/>
          <w:i/>
          <w:iCs/>
          <w:color w:val="000000"/>
          <w:lang w:val="en-GB"/>
        </w:rPr>
        <w:t>einseitig</w:t>
      </w:r>
      <w:r w:rsidRPr="00A06A59">
        <w:rPr>
          <w:rFonts w:ascii="Garamond" w:hAnsi="Garamond" w:cs="Arial"/>
          <w:color w:val="000000"/>
          <w:lang w:val="en-GB"/>
        </w:rPr>
        <w:t xml:space="preserve"> zu werden. Daher im Traum </w:t>
      </w:r>
      <w:r w:rsidRPr="00A06A59">
        <w:rPr>
          <w:rFonts w:ascii="Garamond" w:hAnsi="Garamond" w:cs="Arial"/>
          <w:i/>
          <w:iCs/>
          <w:color w:val="000000"/>
          <w:lang w:val="en-GB"/>
        </w:rPr>
        <w:t>Myop</w:t>
      </w:r>
      <w:r w:rsidRPr="00A06A59">
        <w:rPr>
          <w:rFonts w:ascii="Garamond" w:hAnsi="Garamond" w:cs="Arial"/>
          <w:color w:val="000000"/>
          <w:lang w:val="en-GB"/>
        </w:rPr>
        <w:t xml:space="preserve"> (dahinter </w:t>
      </w:r>
      <w:r w:rsidRPr="00A06A59">
        <w:rPr>
          <w:rFonts w:ascii="Garamond" w:hAnsi="Garamond" w:cs="Arial"/>
          <w:i/>
          <w:iCs/>
          <w:color w:val="000000"/>
          <w:lang w:val="en-GB"/>
        </w:rPr>
        <w:t>Zyklop</w:t>
      </w:r>
      <w:r w:rsidRPr="00A06A59">
        <w:rPr>
          <w:rFonts w:ascii="Garamond" w:hAnsi="Garamond" w:cs="Arial"/>
          <w:color w:val="000000"/>
          <w:lang w:val="en-GB"/>
        </w:rPr>
        <w:t xml:space="preserve">) und die Erörterungen über </w:t>
      </w:r>
      <w:r w:rsidRPr="00A06A59">
        <w:rPr>
          <w:rFonts w:ascii="Garamond" w:hAnsi="Garamond" w:cs="Arial"/>
          <w:i/>
          <w:iCs/>
          <w:color w:val="000000"/>
          <w:lang w:val="en-GB"/>
        </w:rPr>
        <w:t>Bilateralität</w:t>
      </w:r>
      <w:r w:rsidRPr="00A06A59">
        <w:rPr>
          <w:rFonts w:ascii="Garamond" w:hAnsi="Garamond" w:cs="Arial"/>
          <w:color w:val="000000"/>
          <w:lang w:val="en-GB"/>
        </w:rPr>
        <w:t xml:space="preserve">. Die Sorge um die Einseitigkeit ist eine mehrdeutige; es kann neben der körperlichen Einseitigkeit die der intellektuellen Entwicklung gemeint sein. Ja, scheint es nicht, daß die Traumszene in ihrer Tollheit gerade dieser Sorge widerspricht? Nachdem das Kind nach </w:t>
      </w:r>
      <w:r w:rsidRPr="00A06A59">
        <w:rPr>
          <w:rFonts w:ascii="Garamond" w:hAnsi="Garamond" w:cs="Arial"/>
          <w:i/>
          <w:iCs/>
          <w:color w:val="000000"/>
          <w:lang w:val="en-GB"/>
        </w:rPr>
        <w:t>der einen Seite hin</w:t>
      </w:r>
      <w:r w:rsidRPr="00A06A59">
        <w:rPr>
          <w:rFonts w:ascii="Garamond" w:hAnsi="Garamond" w:cs="Arial"/>
          <w:color w:val="000000"/>
          <w:lang w:val="en-GB"/>
        </w:rPr>
        <w:t xml:space="preserve"> sein Abschiedswort gesprochen, ruft es nach </w:t>
      </w:r>
      <w:r w:rsidRPr="00A06A59">
        <w:rPr>
          <w:rFonts w:ascii="Garamond" w:hAnsi="Garamond" w:cs="Arial"/>
          <w:i/>
          <w:iCs/>
          <w:color w:val="000000"/>
          <w:lang w:val="en-GB"/>
        </w:rPr>
        <w:t>der anderen hin</w:t>
      </w:r>
      <w:r w:rsidRPr="00A06A59">
        <w:rPr>
          <w:rFonts w:ascii="Garamond" w:hAnsi="Garamond" w:cs="Arial"/>
          <w:color w:val="000000"/>
          <w:lang w:val="en-GB"/>
        </w:rPr>
        <w:t xml:space="preserve"> das Gegenteil davon, wie um das Gleichgewicht herzustellen. </w:t>
      </w:r>
      <w:r w:rsidRPr="00A06A59">
        <w:rPr>
          <w:rFonts w:ascii="Garamond" w:hAnsi="Garamond" w:cs="Arial"/>
          <w:i/>
          <w:iCs/>
          <w:color w:val="000000"/>
          <w:lang w:val="en-GB"/>
        </w:rPr>
        <w:t>Es handelt gleichsam in Beachtung der bilateralen Symmetrie!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 ist der Traum oft am tiefsinnigsten, wo er am tollsten erscheint. Zu allen Zeiten pflegten die, welche etwas zu sagen hatten und es nicht gefahrlos sagen konnten, gerne die Narrenkappe aufzusetzen. Der Hörer, für den die </w:t>
      </w:r>
      <w:r w:rsidRPr="00A06A59">
        <w:rPr>
          <w:rFonts w:ascii="Garamond" w:hAnsi="Garamond" w:cs="Arial"/>
          <w:color w:val="000000"/>
          <w:lang w:val="en-GB"/>
        </w:rPr>
        <w:lastRenderedPageBreak/>
        <w:t xml:space="preserve">untersagte Rede bestimmt war, duldete sie eher, wenn er dabei lachen und sich mit dem Urteil schmeicheln konnte, daß das Unliebsame offenbar etwas Närrisches sei. Ganz so wie in Wirklichkeit der Traum, verfährt im Schauspiel der Prinz, der sich zum Narren verstellen muß, und darum kann man auch vom Traume aussagen, was Hamlet, wobei er die eigentlichen Bedingungen durch witzig-unverständliche ersetzt, von sich behauptet: »Ich bin nur toll bei Nord-Nord-West; weht der Wind aus Süden, so kann ich einen Reiher von einem Falken unterscheiden.« </w:t>
      </w:r>
      <w:hyperlink r:id="rId204"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Dieser Traum gibt auch ein gutes Beispiel für den allgemein gültigen Satz, daß die Träume derselben Nacht, wenngleich in der Erinnerung getrennt, auf dem Boden des nämlichen Gedankenmaterials erwachsen sind. Die Traumsituation, daß ich meine Kinder aus der Stadt Rom flüchte, ist übrigens durch die Rückbeziehung auf einen analogen, in meine Kindheit fallenden Vorgang entstellt. </w:t>
        </w:r>
        <w:r w:rsidRPr="00A06A59">
          <w:rPr>
            <w:rStyle w:val="innerfusslink3"/>
            <w:rFonts w:ascii="Garamond" w:hAnsi="Garamond" w:cs="Arial"/>
            <w:b/>
            <w:bCs/>
            <w:lang w:val="en-GB"/>
          </w:rPr>
          <w:t>Der Sinn ist, daß ich Verwandte beneide, denen sich bereits vor vielen Jahren ein Anlaß geboten hat, ihre Kinder auf einen anderen Boden zu versetzen.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habe also das Problem der Absurdität des Traumes dahin aufgelöst, daß die Traumgedanken niemals absurd sind – wenigstens nicht von den Träumen geistesgesunder Menschen – und daß die Traumarbeit absurde Träume und Träume mit einzelnen absurden Elementen produziert, wenn ihr in den Traumgedanken Kritik, Spott und Hohn zur Darstellung in ihrer Ausdrucksform vorliegt. Es liegt mir nur daran zu zeigen, daß die Traumarbeit überhaupt durch das Zusammenwirken der drei erwähnten Momente und eines vierten noch zu erwähnenden erschöpft ist, daß sie sonst nichts leistet als eine Übersetzung der Traumgedanken unter Beachtung der vier ihr vorgeschriebenen Bedingungen und daß die Frage, ob die Seele im Traume mit all ihren geistigen Fähigkeiten arbeitet oder nur mit einem Teile derselben, schief gestellt ist und an den tatsächlichen Verhältnissen abgleitet. Da es aber reichlich Träume gibt, in deren Inhalt geurteilt, kritisiert und anerkannt wird, in denen Verwunderung über ein einzelnes Element des Traumes auftritt, Erklärungsversuche gemacht und Argumentationen angestellt werden, muß ich die Einwendungen, die aus solchen Vorkommnissen sich ableiten, an ausgewählten Beispielen erledigen.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Meine Erwiderung lautet: </w:t>
      </w:r>
      <w:r w:rsidRPr="00A06A59">
        <w:rPr>
          <w:rFonts w:ascii="Garamond" w:hAnsi="Garamond" w:cs="Arial"/>
          <w:i/>
          <w:iCs/>
          <w:color w:val="000000"/>
          <w:lang w:val="en-GB"/>
        </w:rPr>
        <w:t>Alles, was sich als scheinbare Betätigung der Urteilsfunktion in den Träumen vorfindet, ist nicht etwa als Denkleistung der Traumarbeit aufzufassen, sondern gehört dem Material der Traumgedanken an und ist von dorther als fertiges Gebilde in den manifesten Trauminhalt gelangt.</w:t>
      </w:r>
      <w:r w:rsidRPr="00A06A59">
        <w:rPr>
          <w:rFonts w:ascii="Garamond" w:hAnsi="Garamond" w:cs="Arial"/>
          <w:color w:val="000000"/>
          <w:lang w:val="en-GB"/>
        </w:rPr>
        <w:t xml:space="preserve"> Ich kann meinen Satz zunächst noch überbieten. Auch von den Urteilen, die man </w:t>
      </w:r>
      <w:r w:rsidRPr="00A06A59">
        <w:rPr>
          <w:rFonts w:ascii="Garamond" w:hAnsi="Garamond" w:cs="Arial"/>
          <w:i/>
          <w:iCs/>
          <w:color w:val="000000"/>
          <w:lang w:val="en-GB"/>
        </w:rPr>
        <w:t>nach dem Erwachen</w:t>
      </w:r>
      <w:r w:rsidRPr="00A06A59">
        <w:rPr>
          <w:rFonts w:ascii="Garamond" w:hAnsi="Garamond" w:cs="Arial"/>
          <w:color w:val="000000"/>
          <w:lang w:val="en-GB"/>
        </w:rPr>
        <w:t xml:space="preserve"> über den erinnerten Traum fällt, den Empfindungen, die die Reproduktion dieses Traumes in uns hervorruft, gehört ein guter Teil dem latenten Trauminhalt an und ist in die Deutung des Traumes einzufügen.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auffälliges Beispiel hiefür habe ich bereits angeführt. Eine Patientin will ihren Traum nicht erzählen, weil er </w:t>
      </w:r>
      <w:r w:rsidRPr="00A06A59">
        <w:rPr>
          <w:rFonts w:ascii="Garamond" w:hAnsi="Garamond" w:cs="Arial"/>
          <w:i/>
          <w:iCs/>
          <w:color w:val="000000"/>
          <w:lang w:val="en-GB"/>
        </w:rPr>
        <w:t>zu unklar ist</w:t>
      </w:r>
      <w:r w:rsidRPr="00A06A59">
        <w:rPr>
          <w:rFonts w:ascii="Garamond" w:hAnsi="Garamond" w:cs="Arial"/>
          <w:color w:val="000000"/>
          <w:lang w:val="en-GB"/>
        </w:rPr>
        <w:t xml:space="preserve">. Sie hat eine Person im Traume gesehen und weiß nicht, </w:t>
      </w:r>
      <w:r w:rsidRPr="00A06A59">
        <w:rPr>
          <w:rFonts w:ascii="Garamond" w:hAnsi="Garamond" w:cs="Arial"/>
          <w:i/>
          <w:iCs/>
          <w:color w:val="000000"/>
          <w:lang w:val="en-GB"/>
        </w:rPr>
        <w:t>ob es der Mann oder der Vater war</w:t>
      </w:r>
      <w:r w:rsidRPr="00A06A59">
        <w:rPr>
          <w:rFonts w:ascii="Garamond" w:hAnsi="Garamond" w:cs="Arial"/>
          <w:color w:val="000000"/>
          <w:lang w:val="en-GB"/>
        </w:rPr>
        <w:t xml:space="preserve">. Dann folgt ein zweites Traumstück, in dem ein »Misttrügerl« vorkommt, an das folgende Erinnerung sich anschließt. Als junge Hausfrau äußerte sie einmal scherzhaft vor einem jungen Verwandten, der im Hause verkehrte, daß ihre nächste Sorge die Anschaffung eines neuen Misttrügerls sein müsse. Sie bekam am nächsten Morgen ein solches zugeschickt, das aber mit Maiglöckchen gefüllt war. Dieses Stück Traum dient der Darstellung der Redensart »Nicht auf meinem eigenen Mist gewachsen«. Wenn man die Analyse vervollständigt, erfährt man, daß es sich in den Traumgedanken um die Nachwirkung einer in der Jugend gehörten Geschichte handelt, daß ein Mädchen ein Kind bekommen, von dem es </w:t>
      </w:r>
      <w:r w:rsidRPr="00A06A59">
        <w:rPr>
          <w:rFonts w:ascii="Garamond" w:hAnsi="Garamond" w:cs="Arial"/>
          <w:i/>
          <w:iCs/>
          <w:color w:val="000000"/>
          <w:lang w:val="en-GB"/>
        </w:rPr>
        <w:t>unklar war, wer eigentlich der Vater sei</w:t>
      </w:r>
      <w:r w:rsidRPr="00A06A59">
        <w:rPr>
          <w:rFonts w:ascii="Garamond" w:hAnsi="Garamond" w:cs="Arial"/>
          <w:color w:val="000000"/>
          <w:lang w:val="en-GB"/>
        </w:rPr>
        <w:t>. Die Traumdarstellung greift also hier ins Wachdenken über und läßt eines der Elemente der Traumgedanken durch ein im Wachen gefälltes Urteil über den ganzen Traum vertreten sein.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ähnlicher Fall: Einer meiner Patienten hat einen Traum, der ihm interessant vorkommt, denn er sagt sich unmittelbar nach dem Erwachen: </w:t>
      </w:r>
      <w:r w:rsidRPr="00A06A59">
        <w:rPr>
          <w:rFonts w:ascii="Garamond" w:hAnsi="Garamond" w:cs="Arial"/>
          <w:i/>
          <w:iCs/>
          <w:color w:val="000000"/>
          <w:lang w:val="en-GB"/>
        </w:rPr>
        <w:t>Das muß ich dem Doktor erzählen</w:t>
      </w:r>
      <w:r w:rsidRPr="00A06A59">
        <w:rPr>
          <w:rFonts w:ascii="Garamond" w:hAnsi="Garamond" w:cs="Arial"/>
          <w:color w:val="000000"/>
          <w:lang w:val="en-GB"/>
        </w:rPr>
        <w:t xml:space="preserve">. Der Traum wird analysiert und ergibt die deutlichsten Anspielungen auf ein Verhältnis, das er während der Behandlung begonnen und von dem er sich vorgenommen hatte, </w:t>
      </w:r>
      <w:r w:rsidRPr="00A06A59">
        <w:rPr>
          <w:rFonts w:ascii="Garamond" w:hAnsi="Garamond" w:cs="Arial"/>
          <w:i/>
          <w:iCs/>
          <w:color w:val="000000"/>
          <w:lang w:val="en-GB"/>
        </w:rPr>
        <w:t>mir nichts zu erzählen</w:t>
      </w:r>
      <w:hyperlink r:id="rId205" w:anchor="#" w:history="1">
        <w:r w:rsidRPr="00A06A59">
          <w:rPr>
            <w:rStyle w:val="fusslink"/>
            <w:rFonts w:ascii="Garamond" w:hAnsi="Garamond" w:cs="Arial"/>
            <w:b/>
            <w:bCs/>
            <w:color w:val="003399"/>
            <w:lang w:val="en-GB"/>
          </w:rPr>
          <w:t>[Fußnote]</w:t>
        </w:r>
        <w:r w:rsidRPr="00A06A59">
          <w:rPr>
            <w:rStyle w:val="innerfusslink3"/>
            <w:rFonts w:ascii="Garamond" w:hAnsi="Garamond" w:cs="Arial"/>
            <w:b/>
            <w:bCs/>
            <w:lang w:val="en-GB"/>
          </w:rPr>
          <w:t xml:space="preserve">Die noch im Traume enthaltene Mahnung oder der Vorsatz: </w:t>
        </w:r>
        <w:r w:rsidRPr="00A06A59">
          <w:rPr>
            <w:rStyle w:val="innerfusslink3"/>
            <w:rFonts w:ascii="Garamond" w:hAnsi="Garamond" w:cs="Arial"/>
            <w:b/>
            <w:bCs/>
            <w:i/>
            <w:iCs/>
            <w:lang w:val="en-GB"/>
          </w:rPr>
          <w:t>Das muß ich dem Doktor erzählen</w:t>
        </w:r>
        <w:r w:rsidRPr="00A06A59">
          <w:rPr>
            <w:rStyle w:val="innerfusslink3"/>
            <w:rFonts w:ascii="Garamond" w:hAnsi="Garamond" w:cs="Arial"/>
            <w:b/>
            <w:bCs/>
            <w:lang w:val="en-GB"/>
          </w:rPr>
          <w:t>, bei Träumen während der psychoanalytischen Behandlung entspricht regelmäßig einem großen Widerstand gegen die Beichte des Traums und wird nicht selten von Vergessen des Traumes gefolgt.</w:t>
        </w:r>
      </w:hyperlink>
      <w:r w:rsidRPr="00A06A59">
        <w:rPr>
          <w:rFonts w:ascii="Garamond" w:hAnsi="Garamond" w:cs="Arial"/>
          <w:color w:val="000000"/>
          <w:lang w:val="en-GB"/>
        </w:rPr>
        <w: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 drittes Beispiel aus meiner eigenen Erfahrung: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lang w:val="en-GB"/>
        </w:rPr>
        <w:t xml:space="preserve">Ich gehe mit P. durch eine Gegend, in der Häuser und Gärten vorkommen, ins Spital. Dabei die Idee, daß ich diese Gegend schon mehrmals im Traume gesehen habe. Ich kenne mich nicht sehr gut aus; er zeigt mir einen Weg, der durch eine Ecke in eine Restauration führt (Saal, nicht Garten); dort frage ich nach Frau Doni und höre, sie wohnt im Hintergrunde in einer kleinen Kammer mit drei </w:t>
      </w:r>
      <w:r w:rsidRPr="00A06A59">
        <w:rPr>
          <w:rFonts w:ascii="Garamond" w:hAnsi="Garamond" w:cs="Arial"/>
          <w:i/>
          <w:iCs/>
          <w:color w:val="000000"/>
          <w:lang w:val="en-GB"/>
        </w:rPr>
        <w:lastRenderedPageBreak/>
        <w:t xml:space="preserve">Kindern. Ich gehe hin und treffe schon vorher eine undeutliche Person mit meinen zwei kleinen Mädchen, die ich dann mit mir nehme, nachdem ich eine Weile mit ihnen gestanden bin. </w:t>
      </w:r>
      <w:r w:rsidRPr="00A06A59">
        <w:rPr>
          <w:rFonts w:ascii="Garamond" w:hAnsi="Garamond" w:cs="Arial"/>
          <w:i/>
          <w:iCs/>
          <w:color w:val="000000"/>
        </w:rPr>
        <w:t>Eine Art Vorwurf gegen meine Frau, daß sie sie dort gelassen.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Beim Erwachen fühle ich dann große </w:t>
      </w:r>
      <w:r w:rsidRPr="00A06A59">
        <w:rPr>
          <w:rFonts w:ascii="Garamond" w:hAnsi="Garamond" w:cs="Arial"/>
          <w:i/>
          <w:iCs/>
          <w:color w:val="000000"/>
        </w:rPr>
        <w:t>Befriedigung,</w:t>
      </w:r>
      <w:r w:rsidRPr="00A06A59">
        <w:rPr>
          <w:rFonts w:ascii="Garamond" w:hAnsi="Garamond" w:cs="Arial"/>
          <w:color w:val="000000"/>
        </w:rPr>
        <w:t xml:space="preserve"> die ich damit motiviere, daß ich jetzt aus der Analyse erfahren werde, was es bedeutet: </w:t>
      </w:r>
      <w:r w:rsidRPr="00A06A59">
        <w:rPr>
          <w:rFonts w:ascii="Garamond" w:hAnsi="Garamond" w:cs="Arial"/>
          <w:i/>
          <w:iCs/>
          <w:color w:val="000000"/>
        </w:rPr>
        <w:t>Ich habe schon davon geträumt</w:t>
      </w:r>
      <w:hyperlink r:id="rId206" w:anchor="#" w:history="1">
        <w:r w:rsidRPr="00A06A59">
          <w:rPr>
            <w:rStyle w:val="fusslink"/>
            <w:rFonts w:ascii="Garamond" w:hAnsi="Garamond" w:cs="Arial"/>
            <w:b/>
            <w:bCs/>
            <w:color w:val="003399"/>
          </w:rPr>
          <w:t>[Fußnote]</w:t>
        </w:r>
        <w:r w:rsidRPr="00A06A59">
          <w:rPr>
            <w:rStyle w:val="innerfusslink3"/>
            <w:rFonts w:ascii="Garamond" w:hAnsi="Garamond" w:cs="Arial"/>
            <w:b/>
            <w:bCs/>
          </w:rPr>
          <w:t xml:space="preserve">Ein Thema, über welches sich eine weitläufige Diskussion in den letzten Jahrgängen der </w:t>
        </w:r>
        <w:r w:rsidRPr="00A06A59">
          <w:rPr>
            <w:rStyle w:val="innerfusslink3"/>
            <w:rFonts w:ascii="Garamond" w:hAnsi="Garamond" w:cs="Arial"/>
            <w:b/>
            <w:bCs/>
            <w:i/>
            <w:iCs/>
          </w:rPr>
          <w:t>Revue philosophique</w:t>
        </w:r>
        <w:r w:rsidRPr="00A06A59">
          <w:rPr>
            <w:rStyle w:val="innerfusslink3"/>
            <w:rFonts w:ascii="Garamond" w:hAnsi="Garamond" w:cs="Arial"/>
            <w:b/>
            <w:bCs/>
          </w:rPr>
          <w:t xml:space="preserve"> angesponnen hat (Paramnesie im Traume).</w:t>
        </w:r>
      </w:hyperlink>
      <w:r w:rsidRPr="00A06A59">
        <w:rPr>
          <w:rFonts w:ascii="Garamond" w:hAnsi="Garamond" w:cs="Arial"/>
          <w:color w:val="000000"/>
        </w:rPr>
        <w:t xml:space="preserve">. Die Analyse lehrt mich aber nichts darüber; sie zeigt mir nur, daß die Befriedigung zum latenten Trauminhalt und nicht zu einem Urteile über den Traum gehört. </w:t>
      </w:r>
      <w:r w:rsidRPr="00A06A59">
        <w:rPr>
          <w:rFonts w:ascii="Garamond" w:hAnsi="Garamond" w:cs="Arial"/>
          <w:color w:val="000000"/>
          <w:lang w:val="en-GB"/>
        </w:rPr>
        <w:t xml:space="preserve">Es ist die </w:t>
      </w:r>
      <w:r w:rsidRPr="00A06A59">
        <w:rPr>
          <w:rFonts w:ascii="Garamond" w:hAnsi="Garamond" w:cs="Arial"/>
          <w:i/>
          <w:iCs/>
          <w:color w:val="000000"/>
          <w:lang w:val="en-GB"/>
        </w:rPr>
        <w:t>Befriedigung darüber, daß ich in meiner Ehe Kinder bekommen habe</w:t>
      </w:r>
      <w:r w:rsidRPr="00A06A59">
        <w:rPr>
          <w:rFonts w:ascii="Garamond" w:hAnsi="Garamond" w:cs="Arial"/>
          <w:color w:val="000000"/>
          <w:lang w:val="en-GB"/>
        </w:rPr>
        <w:t xml:space="preserve">. P. ist eine Person, mit der ich ein Stück weit im Leben den gleichen Weg gegangen bin, die mich dann sozial und materiell weit überholt hat, die aber in ihrer Ehe kinderlos geblieben ist. </w:t>
      </w:r>
      <w:r w:rsidRPr="00A06A59">
        <w:rPr>
          <w:rFonts w:ascii="Garamond" w:hAnsi="Garamond" w:cs="Arial"/>
          <w:color w:val="000000"/>
        </w:rPr>
        <w:t xml:space="preserve">Die beiden Anlässe des Traumes können den Beweis durch eine vollständige Analyse ersetzen. Tags zuvor las ich in der Zeitung die Todesanzeige einer Frau </w:t>
      </w:r>
      <w:r w:rsidRPr="00A06A59">
        <w:rPr>
          <w:rFonts w:ascii="Garamond" w:hAnsi="Garamond" w:cs="Arial"/>
          <w:i/>
          <w:iCs/>
          <w:color w:val="000000"/>
        </w:rPr>
        <w:t>Dona A..y</w:t>
      </w:r>
      <w:r w:rsidRPr="00A06A59">
        <w:rPr>
          <w:rFonts w:ascii="Garamond" w:hAnsi="Garamond" w:cs="Arial"/>
          <w:color w:val="000000"/>
        </w:rPr>
        <w:t xml:space="preserve"> (woraus ich </w:t>
      </w:r>
      <w:r w:rsidRPr="00A06A59">
        <w:rPr>
          <w:rFonts w:ascii="Garamond" w:hAnsi="Garamond" w:cs="Arial"/>
          <w:i/>
          <w:iCs/>
          <w:color w:val="000000"/>
        </w:rPr>
        <w:t>Doni</w:t>
      </w:r>
      <w:r w:rsidRPr="00A06A59">
        <w:rPr>
          <w:rFonts w:ascii="Garamond" w:hAnsi="Garamond" w:cs="Arial"/>
          <w:color w:val="000000"/>
        </w:rPr>
        <w:t xml:space="preserve"> mache), die im </w:t>
      </w:r>
      <w:r w:rsidRPr="00A06A59">
        <w:rPr>
          <w:rFonts w:ascii="Garamond" w:hAnsi="Garamond" w:cs="Arial"/>
          <w:i/>
          <w:iCs/>
          <w:color w:val="000000"/>
        </w:rPr>
        <w:t>Kindbett</w:t>
      </w:r>
      <w:r w:rsidRPr="00A06A59">
        <w:rPr>
          <w:rFonts w:ascii="Garamond" w:hAnsi="Garamond" w:cs="Arial"/>
          <w:color w:val="000000"/>
        </w:rPr>
        <w:t xml:space="preserve"> gestorben; ich hörte von meiner Frau, daß die Verstorbene von derselben Hebamme gepflegt worden sei wie sie selbst bei unseren beiden Jüngsten. </w:t>
      </w:r>
      <w:r w:rsidRPr="00A06A59">
        <w:rPr>
          <w:rFonts w:ascii="Garamond" w:hAnsi="Garamond" w:cs="Arial"/>
          <w:color w:val="000000"/>
          <w:lang w:val="en-GB"/>
        </w:rPr>
        <w:t>Der Name Dona war mir aufgefallen, denn ich hatte ihn kurz vorher in einem englischen Romane zum erstenmal gefunden. Der andere Anlaß des Traums ergibt sich aus dem Datum desselben; es war die Nacht vor dem Geburtstage meines ältesten, wie es scheint, dichterisch begabten Knaben.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Dieselbe Befriedigung verbleibt mir nach dem Erwachen aus dem absurden Traum, daß der Vater nach seinem Tode eine politische Rolle bei den Magyaren gespielt, und motiviert sich durch die Fortdauer der Empfindung, die den letzten Satz des Traumes begleitete: » </w:t>
      </w:r>
      <w:r w:rsidRPr="00A06A59">
        <w:rPr>
          <w:rFonts w:ascii="Garamond" w:hAnsi="Garamond" w:cs="Arial"/>
          <w:i/>
          <w:iCs/>
          <w:color w:val="000000"/>
          <w:lang w:val="en-GB"/>
        </w:rPr>
        <w:t>Ich erinnere mich daran, daß er auf dem Totenbett Garibaldi so ähnlich gesehen, und freue mich darüber, daß es doch wahr geworden ist...</w:t>
      </w:r>
      <w:r w:rsidRPr="00A06A59">
        <w:rPr>
          <w:rFonts w:ascii="Garamond" w:hAnsi="Garamond" w:cs="Arial"/>
          <w:color w:val="000000"/>
          <w:lang w:val="en-GB"/>
        </w:rPr>
        <w:t xml:space="preserve">« ( </w:t>
      </w:r>
      <w:r w:rsidRPr="00A06A59">
        <w:rPr>
          <w:rFonts w:ascii="Garamond" w:hAnsi="Garamond" w:cs="Arial"/>
          <w:i/>
          <w:iCs/>
          <w:color w:val="000000"/>
          <w:lang w:val="en-GB"/>
        </w:rPr>
        <w:t>Dazu eine vergessene Fortsetzung.</w:t>
      </w:r>
      <w:r w:rsidRPr="00A06A59">
        <w:rPr>
          <w:rFonts w:ascii="Garamond" w:hAnsi="Garamond" w:cs="Arial"/>
          <w:color w:val="000000"/>
          <w:lang w:val="en-GB"/>
        </w:rPr>
        <w:t xml:space="preserve">) Aus der Analyse kann ich nun einsetzen, was in diese Traumlücke gehört. Es ist die Erwähnung meines zweiten Knaben, dem ich den Vornamen einer großen historischen Persönlichkeit gegeben habe, die mich in den Knabenjahren, besonders seit meinem Aufenthalte in England, mächtig angezogen. Ich hatte das Jahr der Erwartung über den Vorsatz, gerade diesen Namen zu verwenden, wenn es ein Sohn würde, und begrüßte mit ihm hoch </w:t>
      </w:r>
      <w:r w:rsidRPr="00A06A59">
        <w:rPr>
          <w:rFonts w:ascii="Garamond" w:hAnsi="Garamond" w:cs="Arial"/>
          <w:i/>
          <w:iCs/>
          <w:color w:val="000000"/>
          <w:lang w:val="en-GB"/>
        </w:rPr>
        <w:t>befriedigt</w:t>
      </w:r>
      <w:r w:rsidRPr="00A06A59">
        <w:rPr>
          <w:rFonts w:ascii="Garamond" w:hAnsi="Garamond" w:cs="Arial"/>
          <w:color w:val="000000"/>
          <w:lang w:val="en-GB"/>
        </w:rPr>
        <w:t xml:space="preserve"> schon den eben Geborenen. Es ist leicht zu merken, wie die unterdrückte Größensucht des Vaters sich in seinen Gedanken auf die Kinder überträgt; ja man wird gerne glauben, daß dies einer der Wege ist, auf denen die im Leben notwendig gewordene Unterdrückung derselben vor sich geht. Sein Anrecht, in den Zusammenhang dieses Traumes aufgenommen zu werden, erwarb der Kleine dadurch, daß ihm damals der nämliche – beim Kind und beim Sterbenden leicht verzeihliche – Unfall widerfahren war, die Wäsche zu beschmutzen. Vergleiche hiezu die Anspielung » </w:t>
      </w:r>
      <w:r w:rsidRPr="00A06A59">
        <w:rPr>
          <w:rFonts w:ascii="Garamond" w:hAnsi="Garamond" w:cs="Arial"/>
          <w:i/>
          <w:iCs/>
          <w:color w:val="000000"/>
          <w:lang w:val="en-GB"/>
        </w:rPr>
        <w:t>Stuhlrichter</w:t>
      </w:r>
      <w:r w:rsidRPr="00A06A59">
        <w:rPr>
          <w:rFonts w:ascii="Garamond" w:hAnsi="Garamond" w:cs="Arial"/>
          <w:color w:val="000000"/>
          <w:lang w:val="en-GB"/>
        </w:rPr>
        <w:t xml:space="preserve">« und den Wunsch des Traumes: Vor seinen Kindern </w:t>
      </w:r>
      <w:r w:rsidRPr="00A06A59">
        <w:rPr>
          <w:rFonts w:ascii="Garamond" w:hAnsi="Garamond" w:cs="Arial"/>
          <w:i/>
          <w:iCs/>
          <w:color w:val="000000"/>
          <w:lang w:val="en-GB"/>
        </w:rPr>
        <w:t>groß</w:t>
      </w:r>
      <w:r w:rsidRPr="00A06A59">
        <w:rPr>
          <w:rFonts w:ascii="Garamond" w:hAnsi="Garamond" w:cs="Arial"/>
          <w:color w:val="000000"/>
          <w:lang w:val="en-GB"/>
        </w:rPr>
        <w:t xml:space="preserve"> und </w:t>
      </w:r>
      <w:r w:rsidRPr="00A06A59">
        <w:rPr>
          <w:rFonts w:ascii="Garamond" w:hAnsi="Garamond" w:cs="Arial"/>
          <w:i/>
          <w:iCs/>
          <w:color w:val="000000"/>
          <w:lang w:val="en-GB"/>
        </w:rPr>
        <w:t>rein</w:t>
      </w:r>
      <w:r w:rsidRPr="00A06A59">
        <w:rPr>
          <w:rFonts w:ascii="Garamond" w:hAnsi="Garamond" w:cs="Arial"/>
          <w:color w:val="000000"/>
          <w:lang w:val="en-GB"/>
        </w:rPr>
        <w:t xml:space="preserve"> dazustehen.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ich nun Urteilsäußerungen, die im Traum selbst verbleiben, sich nicht ins Wachen fortsetzen oder sich dahin verlegen, heraussuchen soll, so werde ich's als große Erleichterung empfinden, daß ich mich hiefür solcher Träume bedienen darf, die bereits in anderer Absicht mitgeteilt worden sind. Der Traum von Goethe, der Herrn M. angegriffen hat, scheint eine ganze Anzahl von Urteilsakten zu enthalten. </w:t>
      </w:r>
      <w:r w:rsidRPr="00A06A59">
        <w:rPr>
          <w:rFonts w:ascii="Garamond" w:hAnsi="Garamond" w:cs="Arial"/>
          <w:i/>
          <w:iCs/>
          <w:color w:val="000000"/>
          <w:lang w:val="en-GB"/>
        </w:rPr>
        <w:t>Ich suche mir die zeitlichen Verhältnisse, die mir unwahrscheinlich vorkommen, ein wenig aufzuklären</w:t>
      </w:r>
      <w:r w:rsidRPr="00A06A59">
        <w:rPr>
          <w:rFonts w:ascii="Garamond" w:hAnsi="Garamond" w:cs="Arial"/>
          <w:color w:val="000000"/>
          <w:lang w:val="en-GB"/>
        </w:rPr>
        <w:t xml:space="preserve">. Sieht das nicht einer kritischen Regung gegen den Unsinn gleich, daß Goethe einen jungen Mann meiner Bekanntschaft literarisch angegriffen haben soll? » </w:t>
      </w:r>
      <w:r w:rsidRPr="00A06A59">
        <w:rPr>
          <w:rFonts w:ascii="Garamond" w:hAnsi="Garamond" w:cs="Arial"/>
          <w:i/>
          <w:iCs/>
          <w:color w:val="000000"/>
          <w:lang w:val="en-GB"/>
        </w:rPr>
        <w:t>Es kommt mir plausibel vor</w:t>
      </w:r>
      <w:r w:rsidRPr="00A06A59">
        <w:rPr>
          <w:rFonts w:ascii="Garamond" w:hAnsi="Garamond" w:cs="Arial"/>
          <w:color w:val="000000"/>
          <w:lang w:val="en-GB"/>
        </w:rPr>
        <w:t xml:space="preserve">, daß er 18 Jahre alt war.« Das klingt doch ganz wie das Ergebnis einer allerdings schwachsinnigen Berechnung; und » </w:t>
      </w:r>
      <w:r w:rsidRPr="00A06A59">
        <w:rPr>
          <w:rFonts w:ascii="Garamond" w:hAnsi="Garamond" w:cs="Arial"/>
          <w:i/>
          <w:iCs/>
          <w:color w:val="000000"/>
          <w:lang w:val="en-GB"/>
        </w:rPr>
        <w:t>Ich weiß nicht sicher, welches Jahr wir schreiben</w:t>
      </w:r>
      <w:r w:rsidRPr="00A06A59">
        <w:rPr>
          <w:rFonts w:ascii="Garamond" w:hAnsi="Garamond" w:cs="Arial"/>
          <w:color w:val="000000"/>
          <w:lang w:val="en-GB"/>
        </w:rPr>
        <w:t>«, wäre ein Beispiel von Unsicherheit oder Zweifel im Traum.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Nun weiß ich aber aus der Analyse dieses Traums, daß diese scheinbar erst im Traume vollzogenen Urteilsakte in ihrem Wortlaute eine andere Auffassung zulassen, durch welche sie für die Traumdeutung unentbehrlich werden und gleichzeitig jede Absurdität vermieden wird. Mit dem Satze: » </w:t>
      </w:r>
      <w:r w:rsidRPr="00A06A59">
        <w:rPr>
          <w:rFonts w:ascii="Garamond" w:hAnsi="Garamond" w:cs="Arial"/>
          <w:i/>
          <w:iCs/>
          <w:color w:val="000000"/>
          <w:lang w:val="en-GB"/>
        </w:rPr>
        <w:t>Ich suche mir die zeitlichen Verhältnisse ein wenig aufzuklären</w:t>
      </w:r>
      <w:r w:rsidRPr="00A06A59">
        <w:rPr>
          <w:rFonts w:ascii="Garamond" w:hAnsi="Garamond" w:cs="Arial"/>
          <w:color w:val="000000"/>
          <w:lang w:val="en-GB"/>
        </w:rPr>
        <w:t xml:space="preserve">«, setze ich mich an die Stelle meines Freundes, der wirklich die zeitlichen Verhältnisse des Lebens aufzuklären sucht. Der Satz verliert hiemit die Bedeutung eines Urteils, welches sich gegen den Unsinn der vorhergehenden Sätze sträubt. Die Einschaltung, » </w:t>
      </w:r>
      <w:r w:rsidRPr="00A06A59">
        <w:rPr>
          <w:rFonts w:ascii="Garamond" w:hAnsi="Garamond" w:cs="Arial"/>
          <w:i/>
          <w:iCs/>
          <w:color w:val="000000"/>
          <w:lang w:val="en-GB"/>
        </w:rPr>
        <w:t>die mir unwahrscheinlich vorkommen</w:t>
      </w:r>
      <w:r w:rsidRPr="00A06A59">
        <w:rPr>
          <w:rFonts w:ascii="Garamond" w:hAnsi="Garamond" w:cs="Arial"/>
          <w:color w:val="000000"/>
          <w:lang w:val="en-GB"/>
        </w:rPr>
        <w:t xml:space="preserve">«, gehört zusammen mit dem späteren » </w:t>
      </w:r>
      <w:r w:rsidRPr="00A06A59">
        <w:rPr>
          <w:rFonts w:ascii="Garamond" w:hAnsi="Garamond" w:cs="Arial"/>
          <w:i/>
          <w:iCs/>
          <w:color w:val="000000"/>
          <w:lang w:val="en-GB"/>
        </w:rPr>
        <w:t>Es kommt mir plausibel vor</w:t>
      </w:r>
      <w:r w:rsidRPr="00A06A59">
        <w:rPr>
          <w:rFonts w:ascii="Garamond" w:hAnsi="Garamond" w:cs="Arial"/>
          <w:color w:val="000000"/>
          <w:lang w:val="en-GB"/>
        </w:rPr>
        <w:t xml:space="preserve">«. Ungefähr mit den gleichen Worten habe ich der Dame, die mir die Krankengeschichte ihres Bruders erzählte, erwidert: » </w:t>
      </w:r>
      <w:r w:rsidRPr="00A06A59">
        <w:rPr>
          <w:rFonts w:ascii="Garamond" w:hAnsi="Garamond" w:cs="Arial"/>
          <w:i/>
          <w:iCs/>
          <w:color w:val="000000"/>
          <w:lang w:val="en-GB"/>
        </w:rPr>
        <w:t>Es kommt mir unwahrscheinlich vor</w:t>
      </w:r>
      <w:r w:rsidRPr="00A06A59">
        <w:rPr>
          <w:rFonts w:ascii="Garamond" w:hAnsi="Garamond" w:cs="Arial"/>
          <w:color w:val="000000"/>
          <w:lang w:val="en-GB"/>
        </w:rPr>
        <w:t xml:space="preserve">, daß der Ausruf Natur, Natur etwas mit Goethe zu tun hatte: </w:t>
      </w:r>
      <w:r w:rsidRPr="00A06A59">
        <w:rPr>
          <w:rFonts w:ascii="Garamond" w:hAnsi="Garamond" w:cs="Arial"/>
          <w:i/>
          <w:iCs/>
          <w:color w:val="000000"/>
          <w:lang w:val="en-GB"/>
        </w:rPr>
        <w:t>es ist mir viel plausibler</w:t>
      </w:r>
      <w:r w:rsidRPr="00A06A59">
        <w:rPr>
          <w:rFonts w:ascii="Garamond" w:hAnsi="Garamond" w:cs="Arial"/>
          <w:color w:val="000000"/>
          <w:lang w:val="en-GB"/>
        </w:rPr>
        <w:t>, daß er die Ihnen bekannte sexuelle Bedeutung gehabt hat.« Es ist hier allerdings ein Urteil gefällt worden, aber nicht im Traum, sondern in der Realität, bei einer Veranlassung, die von den Traumgedanken erinnert und verwertet wird. Der Trauminhalt eignet sich dieses Urteil an wie irgendein anderes Bruchstück der Traumgedanken.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Zahl </w:t>
      </w:r>
      <w:r w:rsidRPr="00A06A59">
        <w:rPr>
          <w:rFonts w:ascii="Garamond" w:hAnsi="Garamond" w:cs="Arial"/>
          <w:b/>
          <w:bCs/>
          <w:color w:val="000000"/>
          <w:lang w:val="en-GB"/>
        </w:rPr>
        <w:t>18</w:t>
      </w:r>
      <w:r w:rsidRPr="00A06A59">
        <w:rPr>
          <w:rFonts w:ascii="Garamond" w:hAnsi="Garamond" w:cs="Arial"/>
          <w:color w:val="000000"/>
          <w:lang w:val="en-GB"/>
        </w:rPr>
        <w:t xml:space="preserve">, mit der das Urteil im Traume unsinnigerweise in Verbindung gesetzt ist, bewahrt noch die Spur des Zusammenhangs, aus dem das reale Urteil gerissen wurde. Endlich, daß » </w:t>
      </w:r>
      <w:r w:rsidRPr="00A06A59">
        <w:rPr>
          <w:rFonts w:ascii="Garamond" w:hAnsi="Garamond" w:cs="Arial"/>
          <w:i/>
          <w:iCs/>
          <w:color w:val="000000"/>
          <w:lang w:val="en-GB"/>
        </w:rPr>
        <w:t>ich nicht sicher bin, welches Jahr wir schreiben</w:t>
      </w:r>
      <w:r w:rsidRPr="00A06A59">
        <w:rPr>
          <w:rFonts w:ascii="Garamond" w:hAnsi="Garamond" w:cs="Arial"/>
          <w:color w:val="000000"/>
          <w:lang w:val="en-GB"/>
        </w:rPr>
        <w:t xml:space="preserve">«, </w:t>
      </w:r>
      <w:r w:rsidRPr="00A06A59">
        <w:rPr>
          <w:rFonts w:ascii="Garamond" w:hAnsi="Garamond" w:cs="Arial"/>
          <w:color w:val="000000"/>
          <w:lang w:val="en-GB"/>
        </w:rPr>
        <w:lastRenderedPageBreak/>
        <w:t>soll nichts anderes als meine Identifizierung mit dem Paralytiker durchsetzen, in dessen Examen sich dieser eine Anhaltspunkt wirklich ergeben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 der Auflösung der scheinbaren Urteilsakte des Traumes kann man sich an die eingangs gegebene Regel für die Ausführung der Deutungsarbeit mahnen lassen, daß man den im Traume hergestellten Zusammenhang der Traumbestandteile als einen unwesentlichen Schein beiseite lassen und jedes Traumelement für sich der Zurückführung unterziehen möge. Der Traum ist ein Konglomerat, das für die Zwecke der Untersuchung wieder zerbröckelt werden soll. Man wird aber anderseits aufmerksam gemacht, daß sich in den Träumen eine psychische Kraft äußert, welche diesen scheinbaren Zusammenhang herstellt, also das durch die Traumarbeit gewonnene Material einer </w:t>
      </w:r>
      <w:r w:rsidRPr="00A06A59">
        <w:rPr>
          <w:rFonts w:ascii="Garamond" w:hAnsi="Garamond" w:cs="Arial"/>
          <w:i/>
          <w:iCs/>
          <w:color w:val="000000"/>
          <w:lang w:val="en-GB"/>
        </w:rPr>
        <w:t>sekundären Bearbeitung</w:t>
      </w:r>
      <w:r w:rsidRPr="00A06A59">
        <w:rPr>
          <w:rFonts w:ascii="Garamond" w:hAnsi="Garamond" w:cs="Arial"/>
          <w:color w:val="000000"/>
          <w:lang w:val="en-GB"/>
        </w:rPr>
        <w:t xml:space="preserve"> unterzieht. Wir haben hier Äußerungen jener Macht vor uns, die wir als das vierte der bei der Traumbildung beteiligten Momente später würdigen werden.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VI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suche nach anderen Beispielen von Urteilsarbeit in den bereits mitgeteilten Träumen. In dem absurden Traum von der Zuschrift des Gemeinderats frage ich: </w:t>
      </w:r>
      <w:r w:rsidRPr="00A06A59">
        <w:rPr>
          <w:rFonts w:ascii="Garamond" w:hAnsi="Garamond" w:cs="Arial"/>
          <w:i/>
          <w:iCs/>
          <w:color w:val="000000"/>
          <w:lang w:val="en-GB"/>
        </w:rPr>
        <w:t>Bald darauf hast du geheiratet? Ich rechne, daß ich ja</w:t>
      </w:r>
      <w:r w:rsidRPr="00A06A59">
        <w:rPr>
          <w:rFonts w:ascii="Garamond" w:hAnsi="Garamond" w:cs="Arial"/>
          <w:color w:val="000000"/>
          <w:lang w:val="en-GB"/>
        </w:rPr>
        <w:t xml:space="preserve"> 1856 </w:t>
      </w:r>
      <w:r w:rsidRPr="00A06A59">
        <w:rPr>
          <w:rFonts w:ascii="Garamond" w:hAnsi="Garamond" w:cs="Arial"/>
          <w:i/>
          <w:iCs/>
          <w:color w:val="000000"/>
          <w:lang w:val="en-GB"/>
        </w:rPr>
        <w:t>geboren bin, was mir unmittelbar folgend vorkommt.</w:t>
      </w:r>
      <w:r w:rsidRPr="00A06A59">
        <w:rPr>
          <w:rFonts w:ascii="Garamond" w:hAnsi="Garamond" w:cs="Arial"/>
          <w:color w:val="000000"/>
          <w:lang w:val="en-GB"/>
        </w:rPr>
        <w:t xml:space="preserve"> Das kleidet sich ganz in die Form einer </w:t>
      </w:r>
      <w:r w:rsidRPr="00A06A59">
        <w:rPr>
          <w:rFonts w:ascii="Garamond" w:hAnsi="Garamond" w:cs="Arial"/>
          <w:i/>
          <w:iCs/>
          <w:color w:val="000000"/>
          <w:lang w:val="en-GB"/>
        </w:rPr>
        <w:t>Schlußfolge</w:t>
      </w:r>
      <w:r w:rsidRPr="00A06A59">
        <w:rPr>
          <w:rFonts w:ascii="Garamond" w:hAnsi="Garamond" w:cs="Arial"/>
          <w:color w:val="000000"/>
          <w:lang w:val="en-GB"/>
        </w:rPr>
        <w:t xml:space="preserve">. Der Vater hat bald nach dem Anfall im Jahre 1851 geheiratet; ich bin ja der Älteste, 1856 geboren; also das stimmt. Wir wissen, daß dieser Schluß durch die Wunscherfüllung verfälscht ist, daß der in den Traumgedanken herrschende Satz lautet: </w:t>
      </w:r>
      <w:r w:rsidRPr="00A06A59">
        <w:rPr>
          <w:rFonts w:ascii="Garamond" w:hAnsi="Garamond" w:cs="Arial"/>
          <w:i/>
          <w:iCs/>
          <w:color w:val="000000"/>
          <w:lang w:val="en-GB"/>
        </w:rPr>
        <w:t>vier oder fünf Jahre, das ist kein Zeitraum, das ist nicht zu rechnen</w:t>
      </w:r>
      <w:r w:rsidRPr="00A06A59">
        <w:rPr>
          <w:rFonts w:ascii="Garamond" w:hAnsi="Garamond" w:cs="Arial"/>
          <w:color w:val="000000"/>
          <w:lang w:val="en-GB"/>
        </w:rPr>
        <w:t xml:space="preserve">. Aber jedes Stück dieser Schlußfolge ist nach Inhalt wie nach Form aus den Traumgedanken anders zu determinieren: Es ist der Patient, über dessen Geduld der Kollege sich beschwert, der unmittelbar nach Beendigung der Kur zu heiraten gedenkt. Die Art, wie ich mit dem Vater im Traume verkehre, erinnert an ein </w:t>
      </w:r>
      <w:r w:rsidRPr="00A06A59">
        <w:rPr>
          <w:rFonts w:ascii="Garamond" w:hAnsi="Garamond" w:cs="Arial"/>
          <w:i/>
          <w:iCs/>
          <w:color w:val="000000"/>
          <w:lang w:val="en-GB"/>
        </w:rPr>
        <w:t>Verhör</w:t>
      </w:r>
      <w:r w:rsidRPr="00A06A59">
        <w:rPr>
          <w:rFonts w:ascii="Garamond" w:hAnsi="Garamond" w:cs="Arial"/>
          <w:color w:val="000000"/>
          <w:lang w:val="en-GB"/>
        </w:rPr>
        <w:t xml:space="preserve"> oder ein </w:t>
      </w:r>
      <w:r w:rsidRPr="00A06A59">
        <w:rPr>
          <w:rFonts w:ascii="Garamond" w:hAnsi="Garamond" w:cs="Arial"/>
          <w:i/>
          <w:iCs/>
          <w:color w:val="000000"/>
          <w:lang w:val="en-GB"/>
        </w:rPr>
        <w:t>Examen</w:t>
      </w:r>
      <w:r w:rsidRPr="00A06A59">
        <w:rPr>
          <w:rFonts w:ascii="Garamond" w:hAnsi="Garamond" w:cs="Arial"/>
          <w:color w:val="000000"/>
          <w:lang w:val="en-GB"/>
        </w:rPr>
        <w:t xml:space="preserve">, und damit an einen Universitätslehrer, der in der Inskriptionsstunde ein vollständiges Nationale aufzunehmen pflegte: Geboren, wann? 1856. </w:t>
      </w:r>
      <w:r w:rsidRPr="00A06A59">
        <w:rPr>
          <w:rFonts w:ascii="Garamond" w:hAnsi="Garamond" w:cs="Arial"/>
          <w:i/>
          <w:iCs/>
          <w:color w:val="000000"/>
          <w:lang w:val="en-GB"/>
        </w:rPr>
        <w:t>Patre?</w:t>
      </w:r>
      <w:r w:rsidRPr="00A06A59">
        <w:rPr>
          <w:rFonts w:ascii="Garamond" w:hAnsi="Garamond" w:cs="Arial"/>
          <w:color w:val="000000"/>
          <w:lang w:val="en-GB"/>
        </w:rPr>
        <w:t xml:space="preserve"> Darauf sagte man den Vornamen des Vaters mit lateinischer Endung, und wir Studenten nahmen an, der Hofrat ziehe aus dem Vornamen des Vaters </w:t>
      </w:r>
      <w:r w:rsidRPr="00A06A59">
        <w:rPr>
          <w:rFonts w:ascii="Garamond" w:hAnsi="Garamond" w:cs="Arial"/>
          <w:i/>
          <w:iCs/>
          <w:color w:val="000000"/>
          <w:lang w:val="en-GB"/>
        </w:rPr>
        <w:t>Schlüsse</w:t>
      </w:r>
      <w:r w:rsidRPr="00A06A59">
        <w:rPr>
          <w:rFonts w:ascii="Garamond" w:hAnsi="Garamond" w:cs="Arial"/>
          <w:color w:val="000000"/>
          <w:lang w:val="en-GB"/>
        </w:rPr>
        <w:t xml:space="preserve">, die ihm der Vorname des Inskribierten nicht jedesmal gestattet hätte. Somit wäre das </w:t>
      </w:r>
      <w:r w:rsidRPr="00A06A59">
        <w:rPr>
          <w:rFonts w:ascii="Garamond" w:hAnsi="Garamond" w:cs="Arial"/>
          <w:i/>
          <w:iCs/>
          <w:color w:val="000000"/>
          <w:lang w:val="en-GB"/>
        </w:rPr>
        <w:t>Schlußziehen</w:t>
      </w:r>
      <w:r w:rsidRPr="00A06A59">
        <w:rPr>
          <w:rFonts w:ascii="Garamond" w:hAnsi="Garamond" w:cs="Arial"/>
          <w:color w:val="000000"/>
          <w:lang w:val="en-GB"/>
        </w:rPr>
        <w:t xml:space="preserve"> des Traumes nur die Wiederholung des </w:t>
      </w:r>
      <w:r w:rsidRPr="00A06A59">
        <w:rPr>
          <w:rFonts w:ascii="Garamond" w:hAnsi="Garamond" w:cs="Arial"/>
          <w:i/>
          <w:iCs/>
          <w:color w:val="000000"/>
          <w:lang w:val="en-GB"/>
        </w:rPr>
        <w:t>Schlußziehens</w:t>
      </w:r>
      <w:r w:rsidRPr="00A06A59">
        <w:rPr>
          <w:rFonts w:ascii="Garamond" w:hAnsi="Garamond" w:cs="Arial"/>
          <w:color w:val="000000"/>
          <w:lang w:val="en-GB"/>
        </w:rPr>
        <w:t xml:space="preserve">, das als ein Stück Material in den Traumgedanken auftritt. Wir erfahren hieraus etwas Neues. Wenn im Trauminhalte ein Schluß vorkommt, so kommt er ja sicherlich aus den Traumgedanken; in diesen mag er aber enthalten sein als ein Stück des erinnerten Materials, oder er kann als logisches Band eine Reihe von Traumgedanken miteinander verknüpfen. In jedem Falle stellt der Schluß im Traume einen Schluß aus den Traumgedanken dar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07"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Diese Ergebnisse korrigieren in einigen Punkten meine früheren Angaben über die Darstellung der logischen Relationen (S. 214). Letztere beschreiben das allgemeine Verhalten der Traumarbeit, berücksichtigen aber nicht die feinsten und sorgfältigsten Leistungen derselben.</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 Analyse dieses Traumes wäre hier fortzusetzen. An das Verhör des Professors reiht sich die Erinnerung an den (zu meiner Zeit lateinisch abgefaßten) Index des Universitätsstudenten. Ferner an meinen Studiengang. </w:t>
      </w:r>
      <w:r w:rsidRPr="00A06A59">
        <w:rPr>
          <w:rFonts w:ascii="Garamond" w:hAnsi="Garamond" w:cs="Arial"/>
          <w:color w:val="000000"/>
          <w:lang w:val="en-GB"/>
        </w:rPr>
        <w:t xml:space="preserve">Die </w:t>
      </w:r>
      <w:r w:rsidRPr="00A06A59">
        <w:rPr>
          <w:rFonts w:ascii="Garamond" w:hAnsi="Garamond" w:cs="Arial"/>
          <w:i/>
          <w:iCs/>
          <w:color w:val="000000"/>
          <w:lang w:val="en-GB"/>
        </w:rPr>
        <w:t>fünf Jahre</w:t>
      </w:r>
      <w:r w:rsidRPr="00A06A59">
        <w:rPr>
          <w:rFonts w:ascii="Garamond" w:hAnsi="Garamond" w:cs="Arial"/>
          <w:color w:val="000000"/>
          <w:lang w:val="en-GB"/>
        </w:rPr>
        <w:t xml:space="preserve">, die für das medizinische Studium vorgesehen sind, waren wiederum zu wenig für mich. Ich arbeitete unbekümmert in weitere Jahre hinein, und im Kreise meiner Bekannten hielt man mich für verbummelt, zweifelte man, daß ich » </w:t>
      </w:r>
      <w:r w:rsidRPr="00A06A59">
        <w:rPr>
          <w:rFonts w:ascii="Garamond" w:hAnsi="Garamond" w:cs="Arial"/>
          <w:i/>
          <w:iCs/>
          <w:color w:val="000000"/>
          <w:lang w:val="en-GB"/>
        </w:rPr>
        <w:t>fertig</w:t>
      </w:r>
      <w:r w:rsidRPr="00A06A59">
        <w:rPr>
          <w:rFonts w:ascii="Garamond" w:hAnsi="Garamond" w:cs="Arial"/>
          <w:color w:val="000000"/>
          <w:lang w:val="en-GB"/>
        </w:rPr>
        <w:t xml:space="preserve">« werden würde. Da entschloß ich mich </w:t>
      </w:r>
      <w:r w:rsidRPr="00A06A59">
        <w:rPr>
          <w:rFonts w:ascii="Garamond" w:hAnsi="Garamond" w:cs="Arial"/>
          <w:i/>
          <w:iCs/>
          <w:color w:val="000000"/>
          <w:lang w:val="en-GB"/>
        </w:rPr>
        <w:t>schnell</w:t>
      </w:r>
      <w:r w:rsidRPr="00A06A59">
        <w:rPr>
          <w:rFonts w:ascii="Garamond" w:hAnsi="Garamond" w:cs="Arial"/>
          <w:color w:val="000000"/>
          <w:lang w:val="en-GB"/>
        </w:rPr>
        <w:t xml:space="preserve">, meine Prüfungen zu machen, und wurde doch fertig: </w:t>
      </w:r>
      <w:r w:rsidRPr="00A06A59">
        <w:rPr>
          <w:rFonts w:ascii="Garamond" w:hAnsi="Garamond" w:cs="Arial"/>
          <w:i/>
          <w:iCs/>
          <w:color w:val="000000"/>
          <w:lang w:val="en-GB"/>
        </w:rPr>
        <w:t>trotz des Aufschubs</w:t>
      </w:r>
      <w:r w:rsidRPr="00A06A59">
        <w:rPr>
          <w:rFonts w:ascii="Garamond" w:hAnsi="Garamond" w:cs="Arial"/>
          <w:color w:val="000000"/>
          <w:lang w:val="en-GB"/>
        </w:rPr>
        <w:t xml:space="preserve">. Eine neue Verstärkung der Traumgedanken, die ich meinen Kritikern trotzig entgegenhalte. »Und wenn ihr es auch nicht glauben wollt, weil ich mir Zeit lasse; ich werde doch fertig, ich komme doch zum </w:t>
      </w:r>
      <w:r w:rsidRPr="00A06A59">
        <w:rPr>
          <w:rFonts w:ascii="Garamond" w:hAnsi="Garamond" w:cs="Arial"/>
          <w:i/>
          <w:iCs/>
          <w:color w:val="000000"/>
          <w:lang w:val="en-GB"/>
        </w:rPr>
        <w:t>Schluß</w:t>
      </w:r>
      <w:r w:rsidRPr="00A06A59">
        <w:rPr>
          <w:rFonts w:ascii="Garamond" w:hAnsi="Garamond" w:cs="Arial"/>
          <w:color w:val="000000"/>
          <w:lang w:val="en-GB"/>
        </w:rPr>
        <w:t>. Es ist schon oft so gegangen.«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Derselbe Traum enthält in seinem Anfangsstück einige Sätze, denen man den Charakter einer Argumentation nicht gut absprechen kann. Und diese Argumentation ist nicht einmal absurd, sie könnte ebensowohl dem wachen Denken angehören. </w:t>
      </w:r>
      <w:r w:rsidRPr="00A06A59">
        <w:rPr>
          <w:rFonts w:ascii="Garamond" w:hAnsi="Garamond" w:cs="Arial"/>
          <w:i/>
          <w:iCs/>
          <w:color w:val="000000"/>
          <w:lang w:val="en-GB"/>
        </w:rPr>
        <w:t>Ich mache mich im Traume über die Zuschrift des Gemeinderates lustig, denn erstens war ich 1851 noch nicht auf der Welt, zweitens ist mein Vater, auf den es sich beziehen kann, schon tot.</w:t>
      </w:r>
      <w:r w:rsidRPr="00A06A59">
        <w:rPr>
          <w:rFonts w:ascii="Garamond" w:hAnsi="Garamond" w:cs="Arial"/>
          <w:color w:val="000000"/>
          <w:lang w:val="en-GB"/>
        </w:rPr>
        <w:t xml:space="preserve"> Beides ist nicht nur an sich richtig, sondern deckt sich auch völlig mit den wirklichen Argumenten, die ich im Falle einer derartigen Zuschrift in Anwendung bringen würde. Wir wissen aus der früheren Analyse (S. 296), daß dieser Traum auf dem Boden von tief erbitterten und hohngetränkten Traumgedanken erwachsen ist; wenn wir außerdem noch die Motive zur Zensur als recht starke annehmen dürfen, so werden wir verstehen, daß die Traumarbeit eine </w:t>
      </w:r>
      <w:r w:rsidRPr="00A06A59">
        <w:rPr>
          <w:rFonts w:ascii="Garamond" w:hAnsi="Garamond" w:cs="Arial"/>
          <w:i/>
          <w:iCs/>
          <w:color w:val="000000"/>
          <w:lang w:val="en-GB"/>
        </w:rPr>
        <w:t>tadellose Widerlegung einer unsinnigen Zumutung</w:t>
      </w:r>
      <w:r w:rsidRPr="00A06A59">
        <w:rPr>
          <w:rFonts w:ascii="Garamond" w:hAnsi="Garamond" w:cs="Arial"/>
          <w:color w:val="000000"/>
          <w:lang w:val="en-GB"/>
        </w:rPr>
        <w:t xml:space="preserve"> nach dem in den Traumgedanken enthaltenen Vorbild zu schaffen allen Anlaß hat. Die Analyse zeigt uns aber, daß der Traumarbeit hier doch keine freie Nachschöpfung auferlegt worden ist, sondern daß Material aus den Traumgedanken dazu verwendet werden mußte. Es ist, als kämen in einer algebraischen Gleichung, außer den Zahlen   und –, ein Potenz- und ein Wurzelzeichen vor und jemand, der diese Gleichung abschreibt, ohne sie zu verstehen, nähme die Operationszeichen wie die Zahlen in seine Abschrift hinüber, würfe aber dann beiderlei durcheinander. Die beiden Argumente lassen sich auf folgendes Material zurückführen. Es ist mir peinlich zu denken, daß manche der </w:t>
      </w:r>
      <w:r w:rsidRPr="00A06A59">
        <w:rPr>
          <w:rFonts w:ascii="Garamond" w:hAnsi="Garamond" w:cs="Arial"/>
          <w:color w:val="000000"/>
          <w:lang w:val="en-GB"/>
        </w:rPr>
        <w:lastRenderedPageBreak/>
        <w:t xml:space="preserve">Voraussetzungen, die ich meiner psychologischen Auflösung der Psychoneurosen zugrunde lege, wenn sie erst bekannt geworden sind, Unglauben und Gelächter hervorrufen werden. So muß ich behaupten, daß bereits Eindrücke aus dem zweiten Lebensjahr, mitunter auch schon aus dem ersten, eine bleibende Spur im Gemütsleben der später Kranken zurücklassen und – obwohl von der Erinnerung vielfach verzerrt und übertrieben – die erste und unterste Begründung für ein hysterisches Symptom abgeben können. Patienten, denen ich dies an passender Stelle auseinandersetze, pflegen die neugewonnene Aufklärung zu parodieren, indem sie sich bereit erklären, nach Erinnerungen aus der Zeit zu suchen, </w:t>
      </w:r>
      <w:r w:rsidRPr="00A06A59">
        <w:rPr>
          <w:rFonts w:ascii="Garamond" w:hAnsi="Garamond" w:cs="Arial"/>
          <w:i/>
          <w:iCs/>
          <w:color w:val="000000"/>
          <w:lang w:val="en-GB"/>
        </w:rPr>
        <w:t>da sie noch nicht am Leben waren</w:t>
      </w:r>
      <w:r w:rsidRPr="00A06A59">
        <w:rPr>
          <w:rFonts w:ascii="Garamond" w:hAnsi="Garamond" w:cs="Arial"/>
          <w:color w:val="000000"/>
          <w:lang w:val="en-GB"/>
        </w:rPr>
        <w:t xml:space="preserve">. Eine ähnliche Auf nähme dürfte nach meiner Erwartung die Aufdeckung der ungeahnten Rolle finden, welche bei weiblichen Kranken </w:t>
      </w:r>
      <w:r w:rsidRPr="00A06A59">
        <w:rPr>
          <w:rFonts w:ascii="Garamond" w:hAnsi="Garamond" w:cs="Arial"/>
          <w:i/>
          <w:iCs/>
          <w:color w:val="000000"/>
          <w:lang w:val="en-GB"/>
        </w:rPr>
        <w:t>der Vater</w:t>
      </w:r>
      <w:r w:rsidRPr="00A06A59">
        <w:rPr>
          <w:rFonts w:ascii="Garamond" w:hAnsi="Garamond" w:cs="Arial"/>
          <w:color w:val="000000"/>
          <w:lang w:val="en-GB"/>
        </w:rPr>
        <w:t xml:space="preserve"> in den frühesten sexuellen Regungen spielt. (Vgl. die Auseinandersetzung S. 177.) Und doch ist nach meiner gut begründeten Überzeugung beides wahr. Ich denke zur Bekräftigung an einzelne Beispiele, bei denen der Tod des Vaters in ein sehr frühes Alter des Kindes fiel, und spätere sonst unerklärbare Vorfälle bewiesen, daß das Kind doch Erinnerungen an die ihm so früh entschwundene Person unbewußt bewahrt hatte. Ich weiß, daß meine beiden Behauptungen auf </w:t>
      </w:r>
      <w:r w:rsidRPr="00A06A59">
        <w:rPr>
          <w:rFonts w:ascii="Garamond" w:hAnsi="Garamond" w:cs="Arial"/>
          <w:i/>
          <w:iCs/>
          <w:color w:val="000000"/>
          <w:lang w:val="en-GB"/>
        </w:rPr>
        <w:t>Schlüssen</w:t>
      </w:r>
      <w:r w:rsidRPr="00A06A59">
        <w:rPr>
          <w:rFonts w:ascii="Garamond" w:hAnsi="Garamond" w:cs="Arial"/>
          <w:color w:val="000000"/>
          <w:lang w:val="en-GB"/>
        </w:rPr>
        <w:t xml:space="preserve"> beruhen, deren Gültigkeit man anfechten wird. Es ist also eine Leistung der Wunscherfüllung, wenn gerade das Material </w:t>
      </w:r>
      <w:r w:rsidRPr="00A06A59">
        <w:rPr>
          <w:rFonts w:ascii="Garamond" w:hAnsi="Garamond" w:cs="Arial"/>
          <w:i/>
          <w:iCs/>
          <w:color w:val="000000"/>
          <w:lang w:val="en-GB"/>
        </w:rPr>
        <w:t>dieser Schlüsse, deren Beanständung ich fürchte</w:t>
      </w:r>
      <w:r w:rsidRPr="00A06A59">
        <w:rPr>
          <w:rFonts w:ascii="Garamond" w:hAnsi="Garamond" w:cs="Arial"/>
          <w:color w:val="000000"/>
          <w:lang w:val="en-GB"/>
        </w:rPr>
        <w:t xml:space="preserve">, von der Traumarbeit zur Herstellung </w:t>
      </w:r>
      <w:r w:rsidRPr="00A06A59">
        <w:rPr>
          <w:rFonts w:ascii="Garamond" w:hAnsi="Garamond" w:cs="Arial"/>
          <w:i/>
          <w:iCs/>
          <w:color w:val="000000"/>
          <w:lang w:val="en-GB"/>
        </w:rPr>
        <w:t>einwandfreier Schlüsse</w:t>
      </w:r>
      <w:r w:rsidRPr="00A06A59">
        <w:rPr>
          <w:rFonts w:ascii="Garamond" w:hAnsi="Garamond" w:cs="Arial"/>
          <w:color w:val="000000"/>
          <w:lang w:val="en-GB"/>
        </w:rPr>
        <w:t xml:space="preserve"> verwendet wird.</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VII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einem Traume, den ich bisher nur gestreift habe, wird eingangs die Verwunderung über das auftauchende Thema deutlich ausgesprochen.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 xml:space="preserve">Der alte Brücke muß mir irgendeine Aufgabe gestellt haben; sonderbar genug bezieht sie sich auf Präparation meines eigenen Untergestells, Becken und Beine, das ich vor mir sehe wie im Seziersaal, doch ohne den Mangel am Körper zu spüren, auch ohne Spur von Grauen. LouiseN. steht dabei und macht die Arbeit mit mir. Das Becken ist ausgeweidet, man sieht bald die obere, bald die untere Ansicht desselben, was sich vermengt. Dicke, fleischrote Knollen (bei denen ich noch imTraume an Hämorrhoiden denke) sind zu sehen. Auch mußte etwas sorgfältig ausgeklaubt werden, was darüber lag und zerknülltem Silberpapier glich </w:t>
      </w:r>
      <w:hyperlink r:id="rId208" w:anchor="#" w:history="1">
        <w:r w:rsidRPr="00A06A59">
          <w:rPr>
            <w:rStyle w:val="fusslink"/>
            <w:rFonts w:ascii="Garamond" w:hAnsi="Garamond" w:cs="Arial"/>
            <w:bCs/>
            <w:color w:val="0000CC"/>
            <w:lang w:val="en-GB"/>
          </w:rPr>
          <w:t>[Fußnote]</w:t>
        </w:r>
        <w:r w:rsidRPr="00A06A59">
          <w:rPr>
            <w:rStyle w:val="innerfusslink3"/>
            <w:rFonts w:ascii="Garamond" w:hAnsi="Garamond" w:cs="Arial"/>
            <w:bCs/>
            <w:color w:val="0000CC"/>
            <w:lang w:val="en-GB"/>
          </w:rPr>
          <w:t xml:space="preserve">Stanniol, Anspielung auf </w:t>
        </w:r>
        <w:r w:rsidRPr="00A06A59">
          <w:rPr>
            <w:rStyle w:val="innerfusslink3"/>
            <w:rFonts w:ascii="Garamond" w:hAnsi="Garamond" w:cs="Arial"/>
            <w:bCs/>
            <w:i/>
            <w:iCs/>
            <w:color w:val="0000CC"/>
            <w:lang w:val="en-GB"/>
          </w:rPr>
          <w:t>Stannius</w:t>
        </w:r>
        <w:r w:rsidRPr="00A06A59">
          <w:rPr>
            <w:rStyle w:val="innerfusslink3"/>
            <w:rFonts w:ascii="Garamond" w:hAnsi="Garamond" w:cs="Arial"/>
            <w:bCs/>
            <w:color w:val="0000CC"/>
            <w:lang w:val="en-GB"/>
          </w:rPr>
          <w:t xml:space="preserve">, </w:t>
        </w:r>
        <w:r w:rsidRPr="00A06A59">
          <w:rPr>
            <w:rStyle w:val="innerfusslink3"/>
            <w:rFonts w:ascii="Garamond" w:hAnsi="Garamond" w:cs="Arial"/>
            <w:bCs/>
            <w:i/>
            <w:iCs/>
            <w:color w:val="0000CC"/>
            <w:lang w:val="en-GB"/>
          </w:rPr>
          <w:t>Nervensystem der Fische,</w:t>
        </w:r>
        <w:r w:rsidRPr="00A06A59">
          <w:rPr>
            <w:rStyle w:val="innerfusslink3"/>
            <w:rFonts w:ascii="Garamond" w:hAnsi="Garamond" w:cs="Arial"/>
            <w:bCs/>
            <w:color w:val="0000CC"/>
            <w:lang w:val="en-GB"/>
          </w:rPr>
          <w:t xml:space="preserve"> vgl. S. 282</w:t>
        </w:r>
      </w:hyperlink>
      <w:r w:rsidRPr="00A06A59">
        <w:rPr>
          <w:rFonts w:ascii="Garamond" w:hAnsi="Garamond" w:cs="Arial"/>
          <w:color w:val="0000CC"/>
          <w:lang w:val="en-GB"/>
        </w:rPr>
        <w:t>.</w:t>
      </w:r>
      <w:r w:rsidRPr="00A06A59">
        <w:rPr>
          <w:rFonts w:ascii="Garamond" w:hAnsi="Garamond" w:cs="Arial"/>
          <w:color w:val="000000"/>
          <w:lang w:val="en-GB"/>
        </w:rPr>
        <w:t xml:space="preserve"> </w:t>
      </w:r>
      <w:r w:rsidRPr="00A06A59">
        <w:rPr>
          <w:rFonts w:ascii="Garamond" w:hAnsi="Garamond" w:cs="Arial"/>
          <w:i/>
          <w:iCs/>
          <w:color w:val="000000"/>
          <w:lang w:val="en-GB"/>
        </w:rPr>
        <w:t xml:space="preserve">Dann war ich wieder im Besitz meiner Beine und machte einen Weg durch die Stadt, nahm aber (aus Müdigkeit) einen Wagen. Der Wagen fuhr zu meinem Erstaunen in ein Haustor hinein, das sich öffnete und ihn durch einen Gang passieren ließ, der, am Ende abgeknickt, schließlich weiter ins Freie führte </w:t>
      </w:r>
      <w:hyperlink r:id="rId209" w:anchor="#" w:history="1">
        <w:r w:rsidRPr="00A06A59">
          <w:rPr>
            <w:rStyle w:val="fusslink"/>
            <w:rFonts w:ascii="Garamond" w:hAnsi="Garamond" w:cs="Arial"/>
            <w:bCs/>
            <w:color w:val="0000CC"/>
            <w:lang w:val="en-GB"/>
          </w:rPr>
          <w:t>[Fußnote]</w:t>
        </w:r>
        <w:r w:rsidRPr="00A06A59">
          <w:rPr>
            <w:rStyle w:val="innerfusslink3"/>
            <w:rFonts w:ascii="Garamond" w:hAnsi="Garamond" w:cs="Arial"/>
            <w:bCs/>
            <w:color w:val="0000CC"/>
            <w:lang w:val="en-GB"/>
          </w:rPr>
          <w:t>Die Örtlichkeit im Flur meines Wohnhauses, wo die Kinderwagen der Parteien stehen; sonst aber mehrfach überbestimmt.</w:t>
        </w:r>
      </w:hyperlink>
      <w:r w:rsidRPr="00A06A59">
        <w:rPr>
          <w:rFonts w:ascii="Garamond" w:hAnsi="Garamond" w:cs="Arial"/>
          <w:i/>
          <w:iCs/>
          <w:color w:val="0000CC"/>
          <w:lang w:val="en-GB"/>
        </w:rPr>
        <w:t>.</w:t>
      </w:r>
      <w:r w:rsidRPr="00A06A59">
        <w:rPr>
          <w:rFonts w:ascii="Garamond" w:hAnsi="Garamond" w:cs="Arial"/>
          <w:i/>
          <w:iCs/>
          <w:color w:val="000000"/>
          <w:lang w:val="en-GB"/>
        </w:rPr>
        <w:t xml:space="preserve"> Schließlich wanderte ich mit einem alpinen Führer, der meine Sachen trug, durch wechselnde Landschaften. Auf einer Strecke trug er mich mit Rücksicht auf meine müden Beine. Der Boden war sumpfig; wir gingen am Rand hin; Leute saßen am Boden, ein Mädchen unter ihnen, wie Indianer oder Zigeuner. Vorher hatte ich auf dem schlüpfrigen Boden mich selbst weiter bewegt unter steter Verwunderung, daß ich es nach der Präparation so gut kann. Endlich kamen wir zu einem kleinen Holzhaus, das in ein offenes Fenster ausging. Dort setzte mich der Führer ab und legte zwei bereitstehende Holzbretter auf das Fensterbrett, um so den Abgrund zu überbrücken, der vom Fenster aus zu überschreiten war. Ich bekam jetzt wirklich Angst für meine Beine. Anstatt des erwarteten Überganges sah ich aber zwei erwachsene Männer auf Holzbänken liegen, die an den Wänden der Hütte waren, und wie zwei Kinder schlafend neben ihnen. Als ob nicht die Bretter, sondern die Kinder den Übergang ermöglichen sollten. Ich erwache mit Gedankenschreck.</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Wer sich nur einmal einen ordentlichen Eindruck von der Ausgiebigkeit der Traumverdichtung geholt hat, der wird sich leicht vorstellen können, welche Anzahl von Blättern die ausführliche Analyse dieses Traumes einnehmen muß. Zum Glück für den Zusammenhang entlehne ich dem Traume aber bloß das eine Beispiel für die Verwunderung im Traum, die sich in der Einschaltung » </w:t>
      </w:r>
      <w:r w:rsidRPr="00A06A59">
        <w:rPr>
          <w:rFonts w:ascii="Garamond" w:hAnsi="Garamond" w:cs="Arial"/>
          <w:i/>
          <w:iCs/>
          <w:color w:val="000000"/>
          <w:lang w:val="en-GB"/>
        </w:rPr>
        <w:t>sonderbar genug</w:t>
      </w:r>
      <w:r w:rsidRPr="00A06A59">
        <w:rPr>
          <w:rFonts w:ascii="Garamond" w:hAnsi="Garamond" w:cs="Arial"/>
          <w:color w:val="000000"/>
          <w:lang w:val="en-GB"/>
        </w:rPr>
        <w:t xml:space="preserve">« kundgibt. </w:t>
      </w:r>
      <w:r w:rsidRPr="00A06A59">
        <w:rPr>
          <w:rFonts w:ascii="Garamond" w:hAnsi="Garamond" w:cs="Arial"/>
          <w:color w:val="000000"/>
        </w:rPr>
        <w:t xml:space="preserve">Ich gehe auf den Anlaß des Traumes ein. Es ist ein Besuch jener Dame LouiseN., die auch im Traum der Arbeit assistiert. »Leih mir etwas zum Lesen.« Ich biete ihr </w:t>
      </w:r>
      <w:r w:rsidRPr="00A06A59">
        <w:rPr>
          <w:rFonts w:ascii="Garamond" w:hAnsi="Garamond" w:cs="Arial"/>
          <w:i/>
          <w:iCs/>
          <w:color w:val="000000"/>
        </w:rPr>
        <w:t>She</w:t>
      </w:r>
      <w:r w:rsidRPr="00A06A59">
        <w:rPr>
          <w:rFonts w:ascii="Garamond" w:hAnsi="Garamond" w:cs="Arial"/>
          <w:color w:val="000000"/>
        </w:rPr>
        <w:t xml:space="preserve"> von Rider Haggard an. »Ein </w:t>
      </w:r>
      <w:r w:rsidRPr="00A06A59">
        <w:rPr>
          <w:rFonts w:ascii="Garamond" w:hAnsi="Garamond" w:cs="Arial"/>
          <w:i/>
          <w:iCs/>
          <w:color w:val="000000"/>
        </w:rPr>
        <w:t>sonderbares</w:t>
      </w:r>
      <w:r w:rsidRPr="00A06A59">
        <w:rPr>
          <w:rFonts w:ascii="Garamond" w:hAnsi="Garamond" w:cs="Arial"/>
          <w:color w:val="000000"/>
        </w:rPr>
        <w:t xml:space="preserve"> Buch, aber voll von verstecktem Sinn«, will ich ihr auseinandersetzen; »das ewig Weibliche, die Unsterblichkeit unserer Affekte. – –« Da unterbricht sie mich: »Das kenne ich schon. </w:t>
      </w:r>
      <w:r w:rsidRPr="00A06A59">
        <w:rPr>
          <w:rFonts w:ascii="Garamond" w:hAnsi="Garamond" w:cs="Arial"/>
          <w:color w:val="000000"/>
          <w:lang w:val="en-GB"/>
        </w:rPr>
        <w:t>Hast du nichts Eigenes?« – »Nein, meine eigenen unsterblichen Werke sind noch nicht geschrieben.«– »Also wann erscheinen denn deine sogenannten letzten Aufklärungen, die, wie du versprichst, auch für uns lesbar sein werden?« fragt sie etwas anzüglich. Ich merkte jetzt, daß mich ein anderer durch ihren Mund mahnen läßt, und verstumme. Ich denke an die Überwindung, die es mich kostet, auch nur die Arbeit über den Traum, in der ich soviel vom eigenen intimen Wesen preisgeben muß, in die Öffentlichkeit zu schicken.</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»Das Beste, was du wissen kannst, </w:t>
      </w:r>
      <w:r w:rsidRPr="00A06A59">
        <w:rPr>
          <w:rFonts w:ascii="Garamond" w:hAnsi="Garamond" w:cs="Arial"/>
          <w:color w:val="000000"/>
          <w:sz w:val="22"/>
          <w:szCs w:val="22"/>
          <w:lang w:val="en-GB"/>
        </w:rPr>
        <w:br/>
        <w:t>darfst du den Buben doch nicht sagen.«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Präparation </w:t>
      </w:r>
      <w:r w:rsidRPr="00A06A59">
        <w:rPr>
          <w:rFonts w:ascii="Garamond" w:hAnsi="Garamond" w:cs="Arial"/>
          <w:i/>
          <w:iCs/>
          <w:color w:val="000000"/>
          <w:lang w:val="en-GB"/>
        </w:rPr>
        <w:t>am eigenen Leib</w:t>
      </w:r>
      <w:r w:rsidRPr="00A06A59">
        <w:rPr>
          <w:rFonts w:ascii="Garamond" w:hAnsi="Garamond" w:cs="Arial"/>
          <w:color w:val="000000"/>
          <w:lang w:val="en-GB"/>
        </w:rPr>
        <w:t xml:space="preserve">, die mir im Traume aufgetragen wird, ist also die mit der Mitteilung der Träume verbundene </w:t>
      </w:r>
      <w:r w:rsidRPr="00A06A59">
        <w:rPr>
          <w:rFonts w:ascii="Garamond" w:hAnsi="Garamond" w:cs="Arial"/>
          <w:i/>
          <w:iCs/>
          <w:color w:val="000000"/>
          <w:lang w:val="en-GB"/>
        </w:rPr>
        <w:t>Selbstanalyse</w:t>
      </w:r>
      <w:r w:rsidRPr="00A06A59">
        <w:rPr>
          <w:rFonts w:ascii="Garamond" w:hAnsi="Garamond" w:cs="Arial"/>
          <w:color w:val="000000"/>
          <w:lang w:val="en-GB"/>
        </w:rPr>
        <w:t xml:space="preserve">. Der alte Brücke kommt mit Recht hiezu; schon in diesen ersten Jahren wissenschaftlicher Arbeit traf es sich, daß ich einen Fund liegenließ, bis sein energischer Auftrag mich zur Veröffentlichung zwang. Die </w:t>
      </w:r>
      <w:r w:rsidRPr="00A06A59">
        <w:rPr>
          <w:rFonts w:ascii="Garamond" w:hAnsi="Garamond" w:cs="Arial"/>
          <w:color w:val="000000"/>
          <w:lang w:val="en-GB"/>
        </w:rPr>
        <w:lastRenderedPageBreak/>
        <w:t xml:space="preserve">weiteren Gedanken aber, die sich an die Unterredung mit LouiseN. anspinnen, greifen zu tief, um bewußtzuwerden; sie erfahren eine Ablenkung über das Material, das in mir nebstbei durch die Erwähnung der </w:t>
      </w:r>
      <w:r w:rsidRPr="00A06A59">
        <w:rPr>
          <w:rFonts w:ascii="Garamond" w:hAnsi="Garamond" w:cs="Arial"/>
          <w:i/>
          <w:iCs/>
          <w:color w:val="000000"/>
          <w:lang w:val="en-GB"/>
        </w:rPr>
        <w:t>She</w:t>
      </w:r>
      <w:r w:rsidRPr="00A06A59">
        <w:rPr>
          <w:rFonts w:ascii="Garamond" w:hAnsi="Garamond" w:cs="Arial"/>
          <w:color w:val="000000"/>
          <w:lang w:val="en-GB"/>
        </w:rPr>
        <w:t xml:space="preserve"> von Rider Haggard geweckt worden ist. Auf dieses Buch und auf ein zweites desselben Autors, </w:t>
      </w:r>
      <w:r w:rsidRPr="00A06A59">
        <w:rPr>
          <w:rFonts w:ascii="Garamond" w:hAnsi="Garamond" w:cs="Arial"/>
          <w:i/>
          <w:iCs/>
          <w:color w:val="000000"/>
          <w:lang w:val="en-GB"/>
        </w:rPr>
        <w:t>Heart of the world</w:t>
      </w:r>
      <w:r w:rsidRPr="00A06A59">
        <w:rPr>
          <w:rFonts w:ascii="Garamond" w:hAnsi="Garamond" w:cs="Arial"/>
          <w:color w:val="000000"/>
          <w:lang w:val="en-GB"/>
        </w:rPr>
        <w:t xml:space="preserve">, geht das Urteil » </w:t>
      </w:r>
      <w:r w:rsidRPr="00A06A59">
        <w:rPr>
          <w:rFonts w:ascii="Garamond" w:hAnsi="Garamond" w:cs="Arial"/>
          <w:i/>
          <w:iCs/>
          <w:color w:val="000000"/>
          <w:lang w:val="en-GB"/>
        </w:rPr>
        <w:t>sonderbar genug</w:t>
      </w:r>
      <w:r w:rsidRPr="00A06A59">
        <w:rPr>
          <w:rFonts w:ascii="Garamond" w:hAnsi="Garamond" w:cs="Arial"/>
          <w:color w:val="000000"/>
          <w:lang w:val="en-GB"/>
        </w:rPr>
        <w:t xml:space="preserve">«, und zahlreiche Elemente des Traumes sind den beiden phantastischen Romanen entnommen. Der sumpfige Boden, über den man getragen wird, der Abgrund, der mittels der mitgebrachten Bretter zu überschreiten ist, stammen aus der </w:t>
      </w:r>
      <w:r w:rsidRPr="00A06A59">
        <w:rPr>
          <w:rFonts w:ascii="Garamond" w:hAnsi="Garamond" w:cs="Arial"/>
          <w:i/>
          <w:iCs/>
          <w:color w:val="000000"/>
          <w:lang w:val="en-GB"/>
        </w:rPr>
        <w:t>She</w:t>
      </w:r>
      <w:r w:rsidRPr="00A06A59">
        <w:rPr>
          <w:rFonts w:ascii="Garamond" w:hAnsi="Garamond" w:cs="Arial"/>
          <w:color w:val="000000"/>
          <w:lang w:val="en-GB"/>
        </w:rPr>
        <w:t xml:space="preserve">; die Indianer, das Mädchen, das Holzhaus aus </w:t>
      </w:r>
      <w:r w:rsidRPr="00A06A59">
        <w:rPr>
          <w:rFonts w:ascii="Garamond" w:hAnsi="Garamond" w:cs="Arial"/>
          <w:i/>
          <w:iCs/>
          <w:color w:val="000000"/>
          <w:lang w:val="en-GB"/>
        </w:rPr>
        <w:t>Heart of the world</w:t>
      </w:r>
      <w:r w:rsidRPr="00A06A59">
        <w:rPr>
          <w:rFonts w:ascii="Garamond" w:hAnsi="Garamond" w:cs="Arial"/>
          <w:color w:val="000000"/>
          <w:lang w:val="en-GB"/>
        </w:rPr>
        <w:t xml:space="preserve">. In beiden Romanen ist eine Frau die Führerin, in beiden handelt es sich um gefährliche Wanderungen, in </w:t>
      </w:r>
      <w:r w:rsidRPr="00A06A59">
        <w:rPr>
          <w:rFonts w:ascii="Garamond" w:hAnsi="Garamond" w:cs="Arial"/>
          <w:i/>
          <w:iCs/>
          <w:color w:val="000000"/>
          <w:lang w:val="en-GB"/>
        </w:rPr>
        <w:t>She</w:t>
      </w:r>
      <w:r w:rsidRPr="00A06A59">
        <w:rPr>
          <w:rFonts w:ascii="Garamond" w:hAnsi="Garamond" w:cs="Arial"/>
          <w:color w:val="000000"/>
          <w:lang w:val="en-GB"/>
        </w:rPr>
        <w:t xml:space="preserve"> um einen abenteuerlichen Weg ins Unentdeckte, kaum je Betretene. Die müden Beine sind nach einer Notiz, die ich bei dem Traume finde, reale Sensation jener Tage gewesen. Wahrscheinlich entsprach ihnen eine müde Stimmung und die zweifelnde Frage: Wie weit werden mich meine Beine noch tragen? In der </w:t>
      </w:r>
      <w:r w:rsidRPr="00A06A59">
        <w:rPr>
          <w:rFonts w:ascii="Garamond" w:hAnsi="Garamond" w:cs="Arial"/>
          <w:i/>
          <w:iCs/>
          <w:color w:val="000000"/>
          <w:lang w:val="en-GB"/>
        </w:rPr>
        <w:t>She</w:t>
      </w:r>
      <w:r w:rsidRPr="00A06A59">
        <w:rPr>
          <w:rFonts w:ascii="Garamond" w:hAnsi="Garamond" w:cs="Arial"/>
          <w:color w:val="000000"/>
          <w:lang w:val="en-GB"/>
        </w:rPr>
        <w:t xml:space="preserve"> endet das Abenteuer damit, daß die Führerin, anstatt sich und den anderen die Unsterblichkeit zu holen, im geheimnisvollen Zentralfeuer den Tod findet. Eine solche Angst hat sich unverkennbar in den Traumgedanken geregt. Das » </w:t>
      </w:r>
      <w:r w:rsidRPr="00A06A59">
        <w:rPr>
          <w:rFonts w:ascii="Garamond" w:hAnsi="Garamond" w:cs="Arial"/>
          <w:i/>
          <w:iCs/>
          <w:color w:val="000000"/>
          <w:lang w:val="en-GB"/>
        </w:rPr>
        <w:t>Holzhaus</w:t>
      </w:r>
      <w:r w:rsidRPr="00A06A59">
        <w:rPr>
          <w:rFonts w:ascii="Garamond" w:hAnsi="Garamond" w:cs="Arial"/>
          <w:color w:val="000000"/>
          <w:lang w:val="en-GB"/>
        </w:rPr>
        <w:t xml:space="preserve">« ist sicherlich auch der </w:t>
      </w:r>
      <w:r w:rsidRPr="00A06A59">
        <w:rPr>
          <w:rFonts w:ascii="Garamond" w:hAnsi="Garamond" w:cs="Arial"/>
          <w:i/>
          <w:iCs/>
          <w:color w:val="000000"/>
          <w:lang w:val="en-GB"/>
        </w:rPr>
        <w:t>Sarg</w:t>
      </w:r>
      <w:r w:rsidRPr="00A06A59">
        <w:rPr>
          <w:rFonts w:ascii="Garamond" w:hAnsi="Garamond" w:cs="Arial"/>
          <w:color w:val="000000"/>
          <w:lang w:val="en-GB"/>
        </w:rPr>
        <w:t xml:space="preserve">, also das Grab. Aber in der Darstellung dieses unerwünschtesten aller Gedanken durch eine Wunscherfüllung hat die Traumarbeit ihr Meisterstück geleistet. Ich war nämlich schon einmal in einem Grab, aber es war ein ausgeräumtes Etruskergrab bei Orvieto, eine schmale Kammer mit zwei Steinbänken an den Wänden, auf denen die Skelette von zwei Erwachsenen gelagert waren. Genauso sieht das Innere des Holzhauses im Traum aus, nur ist Stein durch Holz ersetzt. Der Traum scheint zu sagen: »Wenn du schon im Grabe weilen sollst, so sei es das Etruskergrab«, und mit dieser Unterschiebung verwandelt er die traurigste Erwartung in eine recht erwünschte. Leider kann er, wie wir hören werden, nur die den Affekt begleitende Vorstellung in ihr Gegenteil verkehren, nicht immer auch den Affekt selbst. So wache ich denn mit » </w:t>
      </w:r>
      <w:r w:rsidRPr="00A06A59">
        <w:rPr>
          <w:rFonts w:ascii="Garamond" w:hAnsi="Garamond" w:cs="Arial"/>
          <w:i/>
          <w:iCs/>
          <w:color w:val="000000"/>
          <w:lang w:val="en-GB"/>
        </w:rPr>
        <w:t>Gedankenschreck</w:t>
      </w:r>
      <w:r w:rsidRPr="00A06A59">
        <w:rPr>
          <w:rFonts w:ascii="Garamond" w:hAnsi="Garamond" w:cs="Arial"/>
          <w:color w:val="000000"/>
          <w:lang w:val="en-GB"/>
        </w:rPr>
        <w:t>« auf, nachdem sich noch die Idee Darstellung erzwungen, daß vielleicht die Kinder erreichen werden, was dem Vater versagt geblieben, eine neuerliche Anspielung an den sonderbaren Roman, in dem die Identität einer Person durch eine Generationsreihe von zweitausend Jahren festgehalten wird.</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VIII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i/>
          <w:iCs/>
          <w:color w:val="000000"/>
          <w:lang w:val="en-GB"/>
        </w:rPr>
      </w:pPr>
      <w:r w:rsidRPr="00A06A59">
        <w:rPr>
          <w:rFonts w:ascii="Garamond" w:hAnsi="Garamond" w:cs="Arial"/>
          <w:color w:val="000000"/>
          <w:lang w:val="en-GB"/>
        </w:rPr>
        <w:t xml:space="preserve">In dem Zusammenhang eines anderen Traumes findet sich gleichfalls ein Ausdruck der Verwunderung über das im Traume Erlebte, aber verknüpft mit einem so auffälligen, weit hergeholten und beinahe geistreichen Erklärungsversuche, daß ich bloß seinetwegen den ganzen Traum der Analyse unterwerfen müßte, auch wenn der Traum nicht noch zwei andere Anziehungspunkte für unser Interesse besäße. Ich reise in der Nacht vom 18. auf den 19. Juli auf der Südbahnstrecke und höre im Schlaf: </w:t>
      </w:r>
      <w:r w:rsidRPr="00A06A59">
        <w:rPr>
          <w:rFonts w:ascii="Garamond" w:hAnsi="Garamond" w:cs="Arial"/>
          <w:i/>
          <w:iCs/>
          <w:color w:val="000000"/>
          <w:lang w:val="en-GB"/>
        </w:rPr>
        <w:t>»Hollthurn, zehn Minuten« ausrufen. Ich denke sofort an Holothurien – ein naturhistorisches Museum daß hier ein Ort ist, wo sich tapfere Männer erfolglos gegen die Übermacht ihres Landesherrn gewehrt haben. – Ja, die Gegenreformation in Österreich! – Als ob es ein Ort in Steiermark oder Tirol wäre. Nun sehe ich undeutlich ein kleines Museum, in dem die Reste oder Erwerbungen dieser Männer aufbewahrt werden. Ich möchte aussteigen, verzögere es aber. Es stehen Weiber mit Obst auf dem Perron, sie kauern auf dem Boden und halten die Körbe so einladend hin. – Ich habe gezögert aus Zweifel, ob wir noch Zeit haben, und jetzt stehen wir noch immer. – Ich bin plötzlich in einem anderen Coupé, in dem Leder und Sitze so schmal sind, daß man mitdem Rücken direkt an die Lehne stößt</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10"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Diese Beschreibung ist für mich selbst nicht verständlich, aber ich folge dem Grundsatze, den Traum in jenen Worten wiederzugeben, die mir beim Niederschreiben einfallen. Die Wortfassung ist selbst ein Stück der Traumdarstellung.</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Ich wundere mich darüber, aber ich kann ja im schlafenden Zustande umgestiegen sein. Mehrere Leute, darunter ein englisches Geschwisterpaar; eine Reihe Bücher deutlich auf einem Gestell an der Wand. Ich sehe »Wealth of nations«, »Matter and Motion« (von Maxwell), dick und in braune Leinwand gebunden. Der Mann fragt die Schwester nach einem Buch von Schiller, ob sie das vergessen hat. Es sind die Bücher bald wie die meinen, bald die der beiden. Ich möchte mich da bestätigend oder unterstützend ins Gespräch mengen</w:t>
      </w:r>
      <w:r w:rsidRPr="00A06A59">
        <w:rPr>
          <w:rFonts w:ascii="Garamond" w:hAnsi="Garamond" w:cs="Arial"/>
          <w:color w:val="000000"/>
          <w:lang w:val="en-GB"/>
        </w:rPr>
        <w:t xml:space="preserve"> – – – Ich wache, am ganzen Körper schwitzend, auf, weil alle Fenster geschlossen sind. Der Zug hält in Marburg.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Während der Niederschrift fällt mir ein Traumstück ein, das die Erinnerung übergehen wollte. </w:t>
      </w:r>
      <w:r w:rsidRPr="00A06A59">
        <w:rPr>
          <w:rFonts w:ascii="Garamond" w:hAnsi="Garamond" w:cs="Arial"/>
          <w:i/>
          <w:iCs/>
          <w:color w:val="000000"/>
          <w:lang w:val="en-GB"/>
        </w:rPr>
        <w:t>Ich sage dem Geschwisterpaare auf ein gewisses Werk: It is from..., korrigiere mich aber: It is by... Der Mann bemerkt zur Schwester: Er hat es ja richtig gesagt.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beginnt mit dem Namen der Station, der mich wohl unvollkommen geweckt haben muß. Ich ersetze diesen Namen, der Marburg lautete, durch </w:t>
      </w:r>
      <w:r w:rsidRPr="00A06A59">
        <w:rPr>
          <w:rFonts w:ascii="Garamond" w:hAnsi="Garamond" w:cs="Arial"/>
          <w:i/>
          <w:iCs/>
          <w:color w:val="000000"/>
          <w:lang w:val="en-GB"/>
        </w:rPr>
        <w:t>Hollthurn</w:t>
      </w:r>
      <w:r w:rsidRPr="00A06A59">
        <w:rPr>
          <w:rFonts w:ascii="Garamond" w:hAnsi="Garamond" w:cs="Arial"/>
          <w:color w:val="000000"/>
          <w:lang w:val="en-GB"/>
        </w:rPr>
        <w:t xml:space="preserve">. Daß ich Marburg beim ersten oder vielleicht bei einem späteren Ausrufen gehört habe, beweist die Erwähnung Schillers im Traum, der ja in </w:t>
      </w:r>
      <w:r w:rsidRPr="00A06A59">
        <w:rPr>
          <w:rFonts w:ascii="Garamond" w:hAnsi="Garamond" w:cs="Arial"/>
          <w:i/>
          <w:iCs/>
          <w:color w:val="000000"/>
          <w:lang w:val="en-GB"/>
        </w:rPr>
        <w:t>Marburg</w:t>
      </w:r>
      <w:r w:rsidRPr="00A06A59">
        <w:rPr>
          <w:rFonts w:ascii="Garamond" w:hAnsi="Garamond" w:cs="Arial"/>
          <w:color w:val="000000"/>
          <w:lang w:val="en-GB"/>
        </w:rPr>
        <w:t>, wenngleich nicht im steirischen, geboren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r w:rsidRPr="00A06A59">
        <w:rPr>
          <w:rFonts w:ascii="Garamond" w:hAnsi="Garamond" w:cs="Arial"/>
          <w:color w:val="000000"/>
          <w:lang w:val="en-GB"/>
        </w:rPr>
        <w:t xml:space="preserve"> </w:t>
      </w:r>
      <w:hyperlink r:id="rId211" w:anchor="#" w:history="1">
        <w:r w:rsidRPr="00A06A59">
          <w:rPr>
            <w:rStyle w:val="fusslink"/>
            <w:rFonts w:ascii="Garamond" w:hAnsi="Garamond" w:cs="Arial"/>
            <w:bCs/>
            <w:color w:val="0000CC"/>
            <w:lang w:val="en-GB"/>
          </w:rPr>
          <w:t>[Fußnote]</w:t>
        </w:r>
        <w:r w:rsidRPr="00A06A59">
          <w:rPr>
            <w:rStyle w:val="innerfusslink3"/>
            <w:rFonts w:ascii="Garamond" w:hAnsi="Garamond" w:cs="Arial"/>
            <w:bCs/>
            <w:i/>
            <w:iCs/>
            <w:color w:val="0000CC"/>
            <w:lang w:val="en-GB"/>
          </w:rPr>
          <w:t>Schiller</w:t>
        </w:r>
        <w:r w:rsidRPr="00A06A59">
          <w:rPr>
            <w:rStyle w:val="innerfusslink3"/>
            <w:rFonts w:ascii="Garamond" w:hAnsi="Garamond" w:cs="Arial"/>
            <w:bCs/>
            <w:color w:val="0000CC"/>
            <w:lang w:val="en-GB"/>
          </w:rPr>
          <w:t xml:space="preserve"> ist nicht in einem </w:t>
        </w:r>
        <w:r w:rsidRPr="00A06A59">
          <w:rPr>
            <w:rStyle w:val="innerfusslink3"/>
            <w:rFonts w:ascii="Garamond" w:hAnsi="Garamond" w:cs="Arial"/>
            <w:bCs/>
            <w:i/>
            <w:iCs/>
            <w:color w:val="0000CC"/>
            <w:lang w:val="en-GB"/>
          </w:rPr>
          <w:t>Marburg</w:t>
        </w:r>
        <w:r w:rsidRPr="00A06A59">
          <w:rPr>
            <w:rStyle w:val="innerfusslink3"/>
            <w:rFonts w:ascii="Garamond" w:hAnsi="Garamond" w:cs="Arial"/>
            <w:bCs/>
            <w:color w:val="0000CC"/>
            <w:lang w:val="en-GB"/>
          </w:rPr>
          <w:t xml:space="preserve">, sondern in </w:t>
        </w:r>
        <w:r w:rsidRPr="00A06A59">
          <w:rPr>
            <w:rStyle w:val="innerfusslink3"/>
            <w:rFonts w:ascii="Garamond" w:hAnsi="Garamond" w:cs="Arial"/>
            <w:bCs/>
            <w:i/>
            <w:iCs/>
            <w:color w:val="0000CC"/>
            <w:lang w:val="en-GB"/>
          </w:rPr>
          <w:t>Marbach</w:t>
        </w:r>
        <w:r w:rsidRPr="00A06A59">
          <w:rPr>
            <w:rStyle w:val="innerfusslink3"/>
            <w:rFonts w:ascii="Garamond" w:hAnsi="Garamond" w:cs="Arial"/>
            <w:bCs/>
            <w:color w:val="0000CC"/>
            <w:lang w:val="en-GB"/>
          </w:rPr>
          <w:t xml:space="preserve"> geboren, wie jeder deutsche Gymnasiast weiß und wie auch ich wußte. Es ist dies wieder einer jener Irrtümer (vgl. oben S. 136), die sich als Ersatz für eine absichtliche Verfälschung an anderer Stelle einschleichen und deren Aufklärung ich in der </w:t>
        </w:r>
        <w:r w:rsidRPr="00A06A59">
          <w:rPr>
            <w:rStyle w:val="innerfusslink3"/>
            <w:rFonts w:ascii="Garamond" w:hAnsi="Garamond" w:cs="Arial"/>
            <w:bCs/>
            <w:i/>
            <w:iCs/>
            <w:color w:val="0000CC"/>
            <w:lang w:val="en-GB"/>
          </w:rPr>
          <w:t>Psychopathologie des Alltagslebens</w:t>
        </w:r>
        <w:r w:rsidRPr="00A06A59">
          <w:rPr>
            <w:rStyle w:val="innerfusslink3"/>
            <w:rFonts w:ascii="Garamond" w:hAnsi="Garamond" w:cs="Arial"/>
            <w:bCs/>
            <w:color w:val="0000CC"/>
            <w:lang w:val="en-GB"/>
          </w:rPr>
          <w:t xml:space="preserve"> versucht habe.</w:t>
        </w:r>
      </w:hyperlink>
      <w:r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Nun reiste ich diesmal, obwohl erster Klasse, unter sehr unangenehmen Verhältnissen. Der Zug war überfüllt, in dem Coupé hatte ich einen Herrn und eine Dame angetroffen, die sehr vornehm schienen und nicht die Lebensart besaßen oder es nicht der Mühe wert hielten, ihr Mißvergnügen über den Eindringling irgendwie zu verbergen. Mein höflicher Gruß wurde nicht erwidert; obwohl Mann und Frau nebeneinander saßen (gegen die Fahrtrichtung), beeilte sich die Frau doch, den Platz ihr gegenüber am Fenster vor meinen Augen mit einem Schirm zu belegen; die Türe wurde sofort geschlossen, demonstrative Reden über das Öffnen der Fenster gewechselt. Wahrscheinlich sah man mir den Lufthunger bald an. Es war eine heiße Nacht und die Luft im allseitig geschlossenen Coupé bald zum Ersticken. Nach meinen Reiseerfahrungen kennzeichnet ein so rücksichtslos übergreifendes Benehmen Leute, die ihre Karte nicht oder nur halb bezahlt haben. Als der Kondukteur kam und ich mein teuer erkauftes Billet vorzeigte, tönte es aus dem Munde der Dame unnahbar und wie drohend: Mein Mann hat Legitimation. Sie war eine stattliche Erscheinung mit mißvergnügten Zügen, im Alter nicht weit von der Zeit des Verfalls weiblicher Schönheit; der Mann kam überhaupt nicht zu Worte, er saß regungslos da. Ich versuchte zu schlafen. Im Traum nehme ich fürchterliche Rache an meinen unliebenswürdigen Reisegefährten; man würde nicht ahnen, welche Beschimpfungen und Demütigungen sich hinter den abgerissenen Brocken der ersten Traumhälfte verbergen. Nachdem dies Bedürfnis befriedigt war, machte sich der zweite Wunsch geltend, das Coupé zu wechseln. Der Traum wechselt so oft die Szene, und ohne daß der mindeste Anstoß an der Veränderung genommen wird, daß es nicht im geringsten auffällig gewesen wäre, wenn ich mir alsbald meine Reisegesellschaft durch eine angenehmere aus meiner Erinnerung ersetzt hätte. Hier aber tritt ein Fall ein, daß irgend etwas den Wechsel der Szene beanständete und es für notwendig hielt, ihn zu erklären. Wie kam ich plötzlich in ein anderes Coupé? Ich konnte mich doch nicht erinnern, umgestiegen zu sein. Da gab es nur eine Erklärung: </w:t>
      </w:r>
      <w:r w:rsidRPr="00A06A59">
        <w:rPr>
          <w:rFonts w:ascii="Garamond" w:hAnsi="Garamond" w:cs="Arial"/>
          <w:i/>
          <w:iCs/>
          <w:color w:val="000000"/>
          <w:lang w:val="en-GB"/>
        </w:rPr>
        <w:t>ich mußte im schlafenden Zustande den Wagen verlassen haben</w:t>
      </w:r>
      <w:r w:rsidRPr="00A06A59">
        <w:rPr>
          <w:rFonts w:ascii="Garamond" w:hAnsi="Garamond" w:cs="Arial"/>
          <w:color w:val="000000"/>
          <w:lang w:val="en-GB"/>
        </w:rPr>
        <w:t xml:space="preserve">, ein seltenes Vorkommnis, wofür aber doch die Erfahrung des Neuropathologen Beispiele liefert. Wir wissen von Personen, die Eisenbahnfahrten in einem Dämmerzustand unternehmen, ohne durch irgendein Anzeichen ihren abnormen Zustand zu verraten, bis sie an irgendeiner Station der Reise voll zu sich kommen und dann die Lücke in ihrer Erinnerung bestaunen. Für einen solchen Fall von » </w:t>
      </w:r>
      <w:r w:rsidRPr="00A06A59">
        <w:rPr>
          <w:rFonts w:ascii="Garamond" w:hAnsi="Garamond" w:cs="Arial"/>
          <w:i/>
          <w:iCs/>
          <w:color w:val="000000"/>
          <w:lang w:val="en-GB"/>
        </w:rPr>
        <w:t>automatisme ambulatoire</w:t>
      </w:r>
      <w:r w:rsidRPr="00A06A59">
        <w:rPr>
          <w:rFonts w:ascii="Garamond" w:hAnsi="Garamond" w:cs="Arial"/>
          <w:color w:val="000000"/>
          <w:lang w:val="en-GB"/>
        </w:rPr>
        <w:t>« erkläre ich also noch im Traume den meinigen.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Analyse gestattet, eine andere Auflösung zu geben. Der Erklärungsversuch, der mich so frappiert, wenn ich ihn der Traumarbeit zuschreiben müßte, ist nicht originell, sondern aus der Neurose eines meiner Patienten kopiert. Ich erzählte bereits an anderer Stelle von einem hochgebildeten und im Leben weichherzigen Manne, der kurz nach dem Tode seiner Eltern begann, sich mörderischer Neigungen anzuklagen, und nun unter den Vorsichtsmaßregeln litt, die er zur Sicherung gegen dieselben treffen mußte. Es war ein Fall von schweren Zwangsvorstellungen bei voll erhaltener Einsicht. Zuerst wurde ihm das Passieren der Straße durch den Zwang verleidet, sich von allen Begegnenden Rechenschaft abzulegen, wohin sie verschwunden seien; entzog sich einer plötzlich seinem verfolgenden Blick, so blieb ihm die peinliche Empfindung und die Möglichkeit in Gedanken, er könnte ihn beseitigt haben. Es war unter anderem eine Kainsphantasie dahinter, denn »alle Menschen sind Brüder«. Wegen der Unmöglichkeit, diese Aufgabe zu erledigen, gab er das Spazierengehen auf und verbrachte sein Leben eingekerkert zwischen seinen vier Wänden. In sein Zimmer gelangten aber durch die Zeitung beständig Nachrichten von Mordtaten, die draußen geschehen waren, und sein Gewissen wollte ihm in der Form des Zweifels nahelegen, daß er der gesuchte Mörder sei. Die Gewißheit, daß er ja seit Wochen seine Wohnung nicht verlassen habe, schützte ihn eine Weile gegen diese Anklagen, bis ihm eines Tages die Möglichkeit durch den Sinn fuhr, daß er </w:t>
      </w:r>
      <w:r w:rsidRPr="00A06A59">
        <w:rPr>
          <w:rFonts w:ascii="Garamond" w:hAnsi="Garamond" w:cs="Arial"/>
          <w:i/>
          <w:iCs/>
          <w:color w:val="000000"/>
          <w:lang w:val="en-GB"/>
        </w:rPr>
        <w:t>sein Haus im bewußtlosen Zustand verlassen</w:t>
      </w:r>
      <w:r w:rsidRPr="00A06A59">
        <w:rPr>
          <w:rFonts w:ascii="Garamond" w:hAnsi="Garamond" w:cs="Arial"/>
          <w:color w:val="000000"/>
          <w:lang w:val="en-GB"/>
        </w:rPr>
        <w:t xml:space="preserve"> und so den Mord begangen haben könne, ohne etwas davon zu wissen. Von da an schloß er die Haustür ab, übergab den Schlüssel der alten Haushälterin und verbot ihr eindringlich, denselben auch nicht auf sein Verlangen in seine Hände gelangen zu lassen.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Daher stammt also der Erklärungsversuch, daß ich im bewußtlosen Zustande umgestiegen bin, – er ist aus dem Material der Traumgedanken fertig in den Traum eingetragen worden und soll im Traume offenbar dazu dienen, mich mit der Person jenes Patienten zu identifizieren. Die Erinnerung an ihn wurde in mir durch naheliegende Assoziation geweckt. Mit diesem Manne hatte ich einige Wochen vorher die letzte Nachtreise gemacht. Er war geheilt, begleitete mich in die Provinz zu seinen Verwandten, die mich beriefen; wir hatten ein Coupé für uns, ließen alle Fenster die Nacht hindurch offen und hatten uns, solange ich wach blieb, vortrefflich unterhalten. Ich wußte, daß feindselige Impulse gegen seinen Vater aus seiner Kindheit in sexuellem Zusammenhange die Wurzel seiner Erkrankung gewesen waren. Indem ich mich also mit ihm identifizierte, wollte ich mir etwas Analoges eingestehen. Die zweite Szene des Traums löst sich auch wirklich in eine übermütige Phantasie auf, daß meine beiden ältlichen Reisegefährten sich darum so abweisend gegen mich benehmen, weil ich sie durch mein Kommen an dem beabsichtigten nächtlichen Austausch von Zärtlichkeiten gehindert habe. Diese Phantasie aber geht auf eine frühe Kinderszene zurück, in der das Kind, wahrscheinlich von sexueller Neugierde getrieben, in das Schlafzimmer der Eltern eindringt und durch das Machtwort des Vaters daraus vertrieben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Ich halte es für überflüssig, weitere Beispiele zu häufen. Sie würden alle nur bestätigen, was wir aus den bereits angeführten entnommen haben, daß ein Urteilsakt im Traume nur die Wiederholung eines Vorbilds aus den Traumgedanken ist. Zumeist eine übel angebrachte, in unpassendem Zusammenhange eingefügte Wiederholung, gelegentlich aber, wie in unseren letzten Beispielen, eine so geschickt verwendete, daß man zunächst den Eindruck einer selbständigen Denktätigkeit im Traume empfangen kann. Von hier aus könnten wir unser Interesse jener psychischen Tätigkeit zuwenden, die zwar nicht regelmäßig bei der Traumbildung mitzuwirken scheint, die aber, wo sie es tut, bemüht ist, die nach ihrer Herkunft disparaten Traumelemente widerspruchsfrei und sinnvoll zu verschmelzen. Wir empfinden es aber vorher noch als dringlich, uns mit den Affektäußerungen zu beschäftigen, die im Traum auftreten, und dieselben mit den Affekten zu vergleichen, welche die Analyse in den Traumgedanken aufdeckt.</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H. Di</w:t>
        </w:r>
        <w:bookmarkStart w:id="78" w:name="VIH"/>
        <w:bookmarkEnd w:id="78"/>
        <w:r w:rsidRPr="00A06A59">
          <w:rPr>
            <w:rStyle w:val="Lienhypertexte"/>
            <w:rFonts w:ascii="Garamond" w:hAnsi="Garamond" w:cs="Arial"/>
            <w:b/>
            <w:bCs/>
            <w:lang w:val="en-GB"/>
          </w:rPr>
          <w:t>e Affekte im Traume</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scharfsinnige Bemerkung von Stricker hat uns aufmerksam gemacht, daß die Affektäußerungen des Traums nicht die geringschätzige Art der Erledigung gestatten, mit der wir erwacht den Trauminhalt abzuschütteln pflegen: »Wenn ich mich im Traume vor Räubern fürchte, so sind die Räuber zwar imaginär, aber die Furcht ist real«, und ebenso geht es, wenn ich mich im Traume freue. Nach dem Zeugnis unserer Empfindung ist der im Traum erlebte Affekt keineswegs minderwertig gegen den im Wachen erlebten von gleicher Intensität, und energischer als mit seinem Vorstellungsinhalte erhebt der Traum mit seinem Affektinhalt den Anspruch, unter die wirklichen Erlebnisse unserer Seele aufgenommen zu werden. Wir bringen diese Einreihung nun im Wachen nicht zustande, weil wir einen Affekt nicht anders psychisch zu würdigen verstehen als in der Verknüpfung mit einem Vorstellungsinhalt. Passen Affekt und Vorstellung der Art und der Intensität nach nicht zueinander, so wird unser waches Urteil irre.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 den Träumen hat immer Verwunderung erregt, daß Vorstellungsinhalte nicht die Affektwirkung mit sich bringen, die wir als notwendig im wachen Denken erwarten würden. </w:t>
      </w:r>
      <w:r w:rsidRPr="00A06A59">
        <w:rPr>
          <w:rFonts w:ascii="Garamond" w:hAnsi="Garamond" w:cs="Arial"/>
          <w:i/>
          <w:iCs/>
          <w:color w:val="000000"/>
          <w:lang w:val="en-GB"/>
        </w:rPr>
        <w:t>Strümpell</w:t>
      </w:r>
      <w:r w:rsidRPr="00A06A59">
        <w:rPr>
          <w:rFonts w:ascii="Garamond" w:hAnsi="Garamond" w:cs="Arial"/>
          <w:color w:val="000000"/>
          <w:lang w:val="en-GB"/>
        </w:rPr>
        <w:t xml:space="preserve"> äußerte, im Traume seien die Vorstellungen von ihren psychischen Werten entblößt. Es fehlt im Traume aber auch nicht am gegenteiligen Vorkommen, daß intensive Affektäußerung bei einem Inhalte auftritt, der zur Entbindung von Affekt keinen Anlaß zu bieten scheint. Ich bin im Traume in einer gräßlichen, gefahrvollen, ekelhaften Situation, verspüre aber dabei nichts von Furcht oder Abscheu; hingegen entsetze ich mich andere Male über harmlose und freue mich über kindische Dinge.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Dieses Rätsel des Traumes verschwindet uns so plötzlich und so vollständig wie vielleicht kein anderes der Traumrätsel, wenn wir vom manifesten Trauminhalt zum latenten übergehen. Wir werden mit seiner Erklärung nichts zu schaffen haben, denn es besteht nicht mehr. Die Analyse lehrt uns, </w:t>
      </w:r>
      <w:r w:rsidRPr="00A06A59">
        <w:rPr>
          <w:rFonts w:ascii="Garamond" w:hAnsi="Garamond" w:cs="Arial"/>
          <w:i/>
          <w:iCs/>
          <w:color w:val="000000"/>
          <w:lang w:val="en-GB"/>
        </w:rPr>
        <w:t>daß die Vorstellungsinhalte Verschiebungen und Ersetzungen erfahren haben, während die Affekte unverrückt geblieben sind</w:t>
      </w:r>
      <w:r w:rsidRPr="00A06A59">
        <w:rPr>
          <w:rFonts w:ascii="Garamond" w:hAnsi="Garamond" w:cs="Arial"/>
          <w:color w:val="000000"/>
          <w:lang w:val="en-GB"/>
        </w:rPr>
        <w:t xml:space="preserve">. Kein Wunder, daß der durch die Traumentstellung veränderte Vorstellungsinhalt zum erhalten gebliebenen Affekt dann nicht mehr paßt; aber auch keine Verwunderung mehr, wenn die Analyse den richtigen Inhalt an seine frühere Stelle eingesetzt hat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12"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Wenn ich nicht sehr irre, so zeigt der erste Traum, den ich von meinem 20 Monate alten Enkel erfahren konnte, den Tatbestand, daß es der Traumarbeit gelungen ist, ihren Stoff in eine Wunscherfüllung zu verwandeln, während der dazugehörige Affekt sich auch im Schlafzustand unverändert durchsetzt. Das Kind ruft in der Nacht vor dem Tage, an dem sein Vater ins Feld abrücken soll, heftig schluchzend: Papa, Papa Bebi. Das kann nur heißen: Papa und Bebi bleiben beisammen, während das Weinen den bevorstehenden Abschied anerkennt. Das Kind war damals sehr wohl imstande, den Begriff der Trennung auszudrücken. »Fort« (durch ein eigentümlich betontes, lange gezogenes oooh ersetzt) war eines seiner ersten Worte gewesen, und es hatte mehrere Monate vor diesem ersten Traum mit all seinen Spielsachen »fort« aufgeführt, was auf die früh gelungene Selbstüberwindung, die Mutter fortgehen zu lassen, zurückging.</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 einem psychischen Komplex, welcher die Beeinflussung der Widerstandszensur erfahren hat, sind die Affekte der resistente Anteil, der uns allein den Fingerzeig zur richtigen Ergänzung geben kann. Deutlicher noch als beim Traum enthüllt sich dies Verhältnis bei den Psychoneurosen. Der Affekt hat hier immer recht, wenigstens seiner Qualität nach; seine Intensität ist ja durch Verschiebungen der neurotischen Aufmerksamkeit zu steigern. Wenn der Hysteriker sich wundert, daß er sich vor einer Kleinigkeit so sehr fürchten muß, oder der Mann mit Zwangsvorstellungen, daß ihm aus einer Nichtigkeit ein so peinlicher Vorwurf erwächst, so gehen beide irre, indem sie den Vorstellungsinhalt – die Kleinigkeit oder die Nichtigkeit – für das Wesentliche nehmen, und sie wehren sich erfolglos, indem sie diesen Vorstellungsinhalt zum Ausgangspunkt ihrer Denkarbeit machen. Die Psychoanalyse zeigt ihnen dann den richtigen Weg, indem sie im Gegenteile den Affekt als berechtigt anerkennt und die zu ihm gehörige, durch eine Ersetzung verdrängte Vorstellung aufsucht. Voraussetzung ist dabei, daß Affektentbindung und Vorstellungsinhalt nicht diejenige unauflösbare organische Einheit bilden, als welche wir sie zu behandeln gewöhnt sind, sondern daß beide Stücke aneinandergelötet sein können, so daß sie durch Analyse voneinander lösbar sind. Die Traumdeutung zeigt, daß dies in der Tat der Fall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bringe zuerst ein Beispiel, in dem die Analyse das scheinbare Ausbleiben des Affekts bei einem Vorstellungsinhalte aufklärt, der Affektentbindung erzwingen sollte.</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Sie sieht in einer Wüste drei Löwen, von denen einer lacht, fürchtet sich aber nicht vor ihnen. Dann muß sie doch vor ihnen geflüchtet sein, dennsie will auf einen Baum klettern, findet aber ihre Cousine, die französische Lehrerin ist, schon oben</w:t>
      </w:r>
      <w:r w:rsidRPr="00A06A59">
        <w:rPr>
          <w:rFonts w:ascii="Garamond" w:hAnsi="Garamond" w:cs="Arial"/>
          <w:color w:val="000000"/>
          <w:lang w:val="en-GB"/>
        </w:rPr>
        <w:t xml:space="preserve"> usw.</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Dazu bringt die Analyse folgendes Material: Der indifferente Anlaß zum Traum ist ein Satz ihrer englischen Aufgabe geworden: Die Mähne ist der Schmuck des </w:t>
      </w:r>
      <w:r w:rsidRPr="00A06A59">
        <w:rPr>
          <w:rFonts w:ascii="Garamond" w:hAnsi="Garamond" w:cs="Arial"/>
          <w:i/>
          <w:iCs/>
          <w:color w:val="000000"/>
          <w:lang w:val="en-GB"/>
        </w:rPr>
        <w:t>Löwen</w:t>
      </w:r>
      <w:r w:rsidRPr="00A06A59">
        <w:rPr>
          <w:rFonts w:ascii="Garamond" w:hAnsi="Garamond" w:cs="Arial"/>
          <w:color w:val="000000"/>
          <w:lang w:val="en-GB"/>
        </w:rPr>
        <w:t xml:space="preserve">. Ihr Vater trug einen solchen Bart, der wie eine </w:t>
      </w:r>
      <w:r w:rsidRPr="00A06A59">
        <w:rPr>
          <w:rFonts w:ascii="Garamond" w:hAnsi="Garamond" w:cs="Arial"/>
          <w:i/>
          <w:iCs/>
          <w:color w:val="000000"/>
          <w:lang w:val="en-GB"/>
        </w:rPr>
        <w:t>Mähne</w:t>
      </w:r>
      <w:r w:rsidRPr="00A06A59">
        <w:rPr>
          <w:rFonts w:ascii="Garamond" w:hAnsi="Garamond" w:cs="Arial"/>
          <w:color w:val="000000"/>
          <w:lang w:val="en-GB"/>
        </w:rPr>
        <w:t xml:space="preserve"> das Gesicht umrahmte. Ihre englische Sprachlehrerin heißt Miß </w:t>
      </w:r>
      <w:r w:rsidRPr="00A06A59">
        <w:rPr>
          <w:rFonts w:ascii="Garamond" w:hAnsi="Garamond" w:cs="Arial"/>
          <w:i/>
          <w:iCs/>
          <w:color w:val="000000"/>
          <w:lang w:val="en-GB"/>
        </w:rPr>
        <w:t>Lyons</w:t>
      </w:r>
      <w:r w:rsidRPr="00A06A59">
        <w:rPr>
          <w:rFonts w:ascii="Garamond" w:hAnsi="Garamond" w:cs="Arial"/>
          <w:color w:val="000000"/>
          <w:lang w:val="en-GB"/>
        </w:rPr>
        <w:t xml:space="preserve"> ( </w:t>
      </w:r>
      <w:r w:rsidRPr="00A06A59">
        <w:rPr>
          <w:rFonts w:ascii="Garamond" w:hAnsi="Garamond" w:cs="Arial"/>
          <w:i/>
          <w:iCs/>
          <w:color w:val="000000"/>
          <w:lang w:val="en-GB"/>
        </w:rPr>
        <w:t>lions</w:t>
      </w:r>
      <w:r w:rsidRPr="00A06A59">
        <w:rPr>
          <w:rFonts w:ascii="Garamond" w:hAnsi="Garamond" w:cs="Arial"/>
          <w:color w:val="000000"/>
          <w:lang w:val="en-GB"/>
        </w:rPr>
        <w:t xml:space="preserve"> = Löwen). Ein Bekannter hat ihr die Balladen von </w:t>
      </w:r>
      <w:r w:rsidRPr="00A06A59">
        <w:rPr>
          <w:rFonts w:ascii="Garamond" w:hAnsi="Garamond" w:cs="Arial"/>
          <w:i/>
          <w:iCs/>
          <w:color w:val="000000"/>
          <w:lang w:val="en-GB"/>
        </w:rPr>
        <w:lastRenderedPageBreak/>
        <w:t>Loewe</w:t>
      </w:r>
      <w:r w:rsidRPr="00A06A59">
        <w:rPr>
          <w:rFonts w:ascii="Garamond" w:hAnsi="Garamond" w:cs="Arial"/>
          <w:color w:val="000000"/>
          <w:lang w:val="en-GB"/>
        </w:rPr>
        <w:t xml:space="preserve"> zugeschickt. Das sind also die drei Löwen; warum sollte sie sich vor ihnen fürchten? – Sie hat eine Erzählung gelesen, in welcher ein Neger, der die anderen zum Aufstand aufgehetzt, mit Bluthunden gejagt wird und zu seiner Rettung auf einen Baum klettert. Dann folgen in übermütigster Stimmung Erinnerungsbrocken wie die: Die Anweisung, wie man Löwen fängt, aus den </w:t>
      </w:r>
      <w:r w:rsidRPr="00A06A59">
        <w:rPr>
          <w:rFonts w:ascii="Garamond" w:hAnsi="Garamond" w:cs="Arial"/>
          <w:i/>
          <w:iCs/>
          <w:color w:val="000000"/>
          <w:lang w:val="en-GB"/>
        </w:rPr>
        <w:t>Fliegenden Blättern:</w:t>
      </w:r>
      <w:r w:rsidRPr="00A06A59">
        <w:rPr>
          <w:rFonts w:ascii="Garamond" w:hAnsi="Garamond" w:cs="Arial"/>
          <w:color w:val="000000"/>
          <w:lang w:val="en-GB"/>
        </w:rPr>
        <w:t xml:space="preserve"> Man nehme eine Wüste und siebe sie durch, dann bleiben die Löwen übrig. Ferner die höchst lustige, aber nicht sehr anständige Anekdote von einem Beamten, der gefragt wird, warum er sich denn nicht um die Gunst seines Chefs ausgiebiger bemühe, und der zur Antwort gibt, er habe sich wohl bemüht, da hineinzukriechen, aber sein Vordermann </w:t>
      </w:r>
      <w:r w:rsidRPr="00A06A59">
        <w:rPr>
          <w:rFonts w:ascii="Garamond" w:hAnsi="Garamond" w:cs="Arial"/>
          <w:i/>
          <w:iCs/>
          <w:color w:val="000000"/>
          <w:lang w:val="en-GB"/>
        </w:rPr>
        <w:t>war schon oben</w:t>
      </w:r>
      <w:r w:rsidRPr="00A06A59">
        <w:rPr>
          <w:rFonts w:ascii="Garamond" w:hAnsi="Garamond" w:cs="Arial"/>
          <w:color w:val="000000"/>
          <w:lang w:val="en-GB"/>
        </w:rPr>
        <w:t xml:space="preserve">. Das ganze Material wird verständlich, wenn man erfährt, daß die Dame am Traumtage den Besuch des Vorgesetzten ihres Mannes empfangen hatte. Er war sehr höflich mit ihr, küßte ihr die Hand, und </w:t>
      </w:r>
      <w:r w:rsidRPr="00A06A59">
        <w:rPr>
          <w:rFonts w:ascii="Garamond" w:hAnsi="Garamond" w:cs="Arial"/>
          <w:i/>
          <w:iCs/>
          <w:color w:val="000000"/>
          <w:lang w:val="en-GB"/>
        </w:rPr>
        <w:t>sie fürchtete sich gar nicht vor ihm</w:t>
      </w:r>
      <w:r w:rsidRPr="00A06A59">
        <w:rPr>
          <w:rFonts w:ascii="Garamond" w:hAnsi="Garamond" w:cs="Arial"/>
          <w:color w:val="000000"/>
          <w:lang w:val="en-GB"/>
        </w:rPr>
        <w:t xml:space="preserve">, obwohl er ein sehr » </w:t>
      </w:r>
      <w:r w:rsidRPr="00A06A59">
        <w:rPr>
          <w:rFonts w:ascii="Garamond" w:hAnsi="Garamond" w:cs="Arial"/>
          <w:i/>
          <w:iCs/>
          <w:color w:val="000000"/>
          <w:lang w:val="en-GB"/>
        </w:rPr>
        <w:t>großes Tier</w:t>
      </w:r>
      <w:r w:rsidRPr="00A06A59">
        <w:rPr>
          <w:rFonts w:ascii="Garamond" w:hAnsi="Garamond" w:cs="Arial"/>
          <w:color w:val="000000"/>
          <w:lang w:val="en-GB"/>
        </w:rPr>
        <w:t xml:space="preserve">« ist und in der Hauptstadt ihres Landes die Rolle eines » </w:t>
      </w:r>
      <w:r w:rsidRPr="00A06A59">
        <w:rPr>
          <w:rFonts w:ascii="Garamond" w:hAnsi="Garamond" w:cs="Arial"/>
          <w:i/>
          <w:iCs/>
          <w:color w:val="000000"/>
          <w:lang w:val="en-GB"/>
        </w:rPr>
        <w:t>Löwen der Gesellschaft</w:t>
      </w:r>
      <w:r w:rsidRPr="00A06A59">
        <w:rPr>
          <w:rFonts w:ascii="Garamond" w:hAnsi="Garamond" w:cs="Arial"/>
          <w:color w:val="000000"/>
          <w:lang w:val="en-GB"/>
        </w:rPr>
        <w:t xml:space="preserve">« spielt. Dieser Löwe ist also vergleichbar dem Löwen im </w:t>
      </w:r>
      <w:r w:rsidRPr="00A06A59">
        <w:rPr>
          <w:rFonts w:ascii="Garamond" w:hAnsi="Garamond" w:cs="Arial"/>
          <w:i/>
          <w:iCs/>
          <w:color w:val="000000"/>
          <w:lang w:val="en-GB"/>
        </w:rPr>
        <w:t>Sommernachtstraum</w:t>
      </w:r>
      <w:r w:rsidRPr="00A06A59">
        <w:rPr>
          <w:rFonts w:ascii="Garamond" w:hAnsi="Garamond" w:cs="Arial"/>
          <w:color w:val="000000"/>
          <w:lang w:val="en-GB"/>
        </w:rPr>
        <w:t>, der sich als Schnock, der Schreiner, demaskiert, und so sind alle Traumlöwen, vor denen man sich nicht fürchtet.</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Als zweites Beispiel ziehe ich den Traum jenes Mädchens heran, das den kleinen Sohn der Schwester als Leiche im Sarg liegen sah, dabei aber, wie ich jetzt hinzufüge, keinen Schmerz und keine Trauer verspürte. Wir wissen aus der Analyse, warum nicht. Der Traum verhüllte nur ihren Wunsch, den geliebten Mann wiederzusehen; der Affekt mußte auf den Wunsch abgestimmt sein und nicht auf dessen Verhüllung. Es war also zur Trauer gar kein Anlaß.</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einer Anzahl von Träumen bleibt der Affekt wenigstens noch in Verbindung mit jenem Vorstellungsinhalte, welcher den zu ihm passenden ersetzt hat. In anderen geht die Auflockerung des Komplexes weiter. Der Affekt erscheint völlig gelöst von seiner zugehörigen Vorstellung und findet sich irgendwo anders im Traume untergebracht, wo er in die neue Anordnung der Traumelemente hineinpaßt. Es ist dann ähnlich, wie wir's bei den Urteilsakten des Traumes erfahren haben. Findet sich in den Traumgedanken ein bedeutsamer Schluß, so enthält auch der Traum einen solchen; aber der Schluß im Traume kann auf ein ganz anderes Material verschoben sein. Nicht selten erfolgt diese Verschiebung nach dem Prinzip der Gegensätzlichkeit.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letztere Möglichkeit erläutere ich an folgendem Traumbeispiele, das ich der erschöpfendsten Analyse unterzogen habe.</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III</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Ein Schloß am Meere, später liegt es nicht direkt am Meer, sondern an einem schmalen Kanal, der ins Meer führt. Ein HerrP. ist der Gouverneur. Ich stehe mit ihm in einem großen dreifenstrigen Salon, vor dem sich Mauervorsprünge wie Festungszinnen erheben. Ich bin etwa als freiwilliger Marineoffizier der Besatzung zugeteilt. Wir befürchten das Eintreffen von feindlichen Kriegsschiffen, da wir uns im Kriegszustand befinden. HerrP. hat die Absicht wegzugehen; er erteilt mir Instruktionen, was in dem befürchteten Falle zu geschehen hat. Seine kranke Frau befindet sich mit den Kindern im gefährdeten Schloß. Wenn das Bombardement beginnt, soll der große Saal geräumt werden. Er atmet schwer und will sich entfernen; ich halte ihn zurück und frage, auf welche Weise ich ihm nötigenfalls Nachricht zukommen lassen soll. Darauf sagt er noch etwas, sinkt aber gleich darauf tot um. Ich habe ihn wohl mit den Fragen überflüssigerweise angestrengt. Nach seinem Tode, der mir weiter keinen Eindruck macht, Gedanken, ob die Witwe im Schlosse bleiben wird, ob ich dem Oberkommando den Tod anzeigen und als der nächste im Befehl die Leitung des Schlosses übernehmen soll. Ich stehe nun am Fenster und mustere die vorbeifahrenden Schiffe; es sind Kauffahrer, die auf dem dunklen Wasser rapid vorbeisausen, einige mit mehreren Kaminen, andere mit bauschiger Decke</w:t>
      </w:r>
      <w:r w:rsidRPr="00A06A59">
        <w:rPr>
          <w:rFonts w:ascii="Garamond" w:hAnsi="Garamond" w:cs="Arial"/>
          <w:color w:val="000000"/>
          <w:lang w:val="en-GB"/>
        </w:rPr>
        <w:t xml:space="preserve"> (die ganz ähnlich ist wie die Bahnhofsbauten im nicht erzählten Vortraum). </w:t>
      </w:r>
      <w:r w:rsidRPr="00A06A59">
        <w:rPr>
          <w:rFonts w:ascii="Garamond" w:hAnsi="Garamond" w:cs="Arial"/>
          <w:i/>
          <w:iCs/>
          <w:color w:val="000000"/>
          <w:lang w:val="en-GB"/>
        </w:rPr>
        <w:t>Dann steht mein Bruder neben mir, und wir schauen beide aus dem Fenster auf den Kanal. Bei einem Schiff erschrecken wir und rufen: Da kommt das Kriegsschiff. Es zeigt sich aber, daß nur dieselben Schiffe zurückkehren, die ich schon kenne. Nun kommt ein kleines Schiff, komisch abgeschnitten, so daß esmitten in seiner Breite endigt; auf Deck sieht man eigentümliche becher- oder dosenartige Dinge. Wir rufen wie aus einem Munde: Das ist das Frühstücksschiff.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rasche Bewegung der Schiffe, das tiefdunkle Blau des Wassers, der braune Rauch der Kamine, das alles ergibt zusammen einen hochgespannten, düsteren Eindruck.</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Örtlichkeiten in diesem Traume sind aus mehreren Reisen an die </w:t>
      </w:r>
      <w:r w:rsidRPr="00A06A59">
        <w:rPr>
          <w:rFonts w:ascii="Garamond" w:hAnsi="Garamond" w:cs="Arial"/>
          <w:i/>
          <w:iCs/>
          <w:color w:val="000000"/>
          <w:lang w:val="en-GB"/>
        </w:rPr>
        <w:t>Adria</w:t>
      </w:r>
      <w:r w:rsidRPr="00A06A59">
        <w:rPr>
          <w:rFonts w:ascii="Garamond" w:hAnsi="Garamond" w:cs="Arial"/>
          <w:color w:val="000000"/>
          <w:lang w:val="en-GB"/>
        </w:rPr>
        <w:t xml:space="preserve"> zusammengetragen (Miramare, Duino, Venedig, Aquileja). Eine kurze, aber genußreiche Osterfahrt nach </w:t>
      </w:r>
      <w:r w:rsidRPr="00A06A59">
        <w:rPr>
          <w:rFonts w:ascii="Garamond" w:hAnsi="Garamond" w:cs="Arial"/>
          <w:i/>
          <w:iCs/>
          <w:color w:val="000000"/>
          <w:lang w:val="en-GB"/>
        </w:rPr>
        <w:t>Aquileja</w:t>
      </w:r>
      <w:r w:rsidRPr="00A06A59">
        <w:rPr>
          <w:rFonts w:ascii="Garamond" w:hAnsi="Garamond" w:cs="Arial"/>
          <w:color w:val="000000"/>
          <w:lang w:val="en-GB"/>
        </w:rPr>
        <w:t xml:space="preserve"> mit meinem Bruder, wenige Wochen vor dem Traume, war mir noch in frischer Erinnerung. Auch der </w:t>
      </w:r>
      <w:r w:rsidRPr="00A06A59">
        <w:rPr>
          <w:rFonts w:ascii="Garamond" w:hAnsi="Garamond" w:cs="Arial"/>
          <w:i/>
          <w:iCs/>
          <w:color w:val="000000"/>
          <w:lang w:val="en-GB"/>
        </w:rPr>
        <w:t>Seekrieg</w:t>
      </w:r>
      <w:r w:rsidRPr="00A06A59">
        <w:rPr>
          <w:rFonts w:ascii="Garamond" w:hAnsi="Garamond" w:cs="Arial"/>
          <w:color w:val="000000"/>
          <w:lang w:val="en-GB"/>
        </w:rPr>
        <w:t xml:space="preserve"> zwischen Amerika und Spanien und an ihn geknüpfte Besorgnisse um das Schicksal meiner in Amerika lebenden Verwandten spielen mit hinein. An zwei Stellen dieses Traums treten Affektwirkungen hervor. An der einen Stelle bleibt ein zu erwartender Affekt aus, es wird ausdrücklich hervorgehoben, daß mir der Tod des Gouverneurs keinen Eindruck macht; an einer anderen Stelle, wie ich das Kriegsschiff zu sehen glaube, </w:t>
      </w:r>
      <w:r w:rsidRPr="00A06A59">
        <w:rPr>
          <w:rFonts w:ascii="Garamond" w:hAnsi="Garamond" w:cs="Arial"/>
          <w:i/>
          <w:iCs/>
          <w:color w:val="000000"/>
          <w:lang w:val="en-GB"/>
        </w:rPr>
        <w:t>erschrecke</w:t>
      </w:r>
      <w:r w:rsidRPr="00A06A59">
        <w:rPr>
          <w:rFonts w:ascii="Garamond" w:hAnsi="Garamond" w:cs="Arial"/>
          <w:color w:val="000000"/>
          <w:lang w:val="en-GB"/>
        </w:rPr>
        <w:t xml:space="preserve"> ich und verspüre im Schlaf alle Sensationen des Schreckens. Die Unterbringung der Affekte ist in diesem gut gebauten Traum so erfolgt, daß jeder auffällige Widerspruch vermieden </w:t>
      </w:r>
      <w:r w:rsidRPr="00A06A59">
        <w:rPr>
          <w:rFonts w:ascii="Garamond" w:hAnsi="Garamond" w:cs="Arial"/>
          <w:color w:val="000000"/>
          <w:lang w:val="en-GB"/>
        </w:rPr>
        <w:lastRenderedPageBreak/>
        <w:t xml:space="preserve">ist. Es ist ja kein Grund, daß ich beim Tode des Gouverneurs erschrecken sollte, und es ist wohl angebracht, daß ich als Kommandant des Schlosses bei dem Anblicke des Kriegsschiffes erschrecke. Nun weist aber die Analyse nach, daß HerrP. nur ein Ersatzmann für mein eigenes Ich ist (im Traum bin ich sein Ersatzmann). Ich bin der Gouverneur, der plötzlich stirbt. Die Traumgedanken handeln von der Zukunft der Meinigen nach meinem vorzeitigen Tode. Kein anderer peinlicher Gedanke findet sich in den Traumgedanken. Der Schreck, der im Traume an den Anblick des Kriegsschiffes gelötet ist, muß von dort losgemacht und hieher gesetzt werden. Umgekehrt zeigt die Analyse, daß die Region der Traumgedanken, aus der das Kriegsschiff genommen ist, mit den heitersten Reminiszenzen erfüllt ist. Es war ein Jahr vorher in Venedig, wir standen an einem zauberhaft schönen Tag an den Fenstern unseres Zimmers auf der Riva Schiavoni und schauten auf die blaue Lagune, in der heute mehr Bewegung zu finden war als sonst. Es wurden englische Schiffe erwartet, die feierlich empfangen werden sollten, und plötzlich rief meine Frau heiter wie ein Kind: » </w:t>
      </w:r>
      <w:r w:rsidRPr="00A06A59">
        <w:rPr>
          <w:rFonts w:ascii="Garamond" w:hAnsi="Garamond" w:cs="Arial"/>
          <w:i/>
          <w:iCs/>
          <w:color w:val="000000"/>
          <w:lang w:val="en-GB"/>
        </w:rPr>
        <w:t>Da kommt das englischeKriegsschiff!</w:t>
      </w:r>
      <w:r w:rsidRPr="00A06A59">
        <w:rPr>
          <w:rFonts w:ascii="Garamond" w:hAnsi="Garamond" w:cs="Arial"/>
          <w:color w:val="000000"/>
          <w:lang w:val="en-GB"/>
        </w:rPr>
        <w:t xml:space="preserve">« Im Traume erschrecke ich bei den nämlichen Worten; wir sehen wieder, daß Rede im Traum von Rede im Leben abstammt. Daß auch das Element » </w:t>
      </w:r>
      <w:r w:rsidRPr="00A06A59">
        <w:rPr>
          <w:rFonts w:ascii="Garamond" w:hAnsi="Garamond" w:cs="Arial"/>
          <w:i/>
          <w:iCs/>
          <w:color w:val="000000"/>
          <w:lang w:val="en-GB"/>
        </w:rPr>
        <w:t>englisch</w:t>
      </w:r>
      <w:r w:rsidRPr="00A06A59">
        <w:rPr>
          <w:rFonts w:ascii="Garamond" w:hAnsi="Garamond" w:cs="Arial"/>
          <w:color w:val="000000"/>
          <w:lang w:val="en-GB"/>
        </w:rPr>
        <w:t>« in dieser Rede für die Traumarbeit nicht verlorengegangen ist, werde ich alsbald zeigen. Ich verkehre also hier zwischen Traumgedanken und Trauminhalt Fröhlichkeit in Schreck und brauche nur anzudeuten, daß ich mit dieser Verwandlung selbst ein Stück des latenten Trauminhalts zum Ausdruck bringe. Das Beispiel beweist aber, daß es der Traumarbeit freisteht, den Affektanlaß aus seinen Verbindungen in den Traumgedanken zu lösen und beliebig anderswo im Trauminhalte einzufügen.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ergreife die nebstbei sich bietende Gelegenheit, das » </w:t>
      </w:r>
      <w:r w:rsidRPr="00A06A59">
        <w:rPr>
          <w:rFonts w:ascii="Garamond" w:hAnsi="Garamond" w:cs="Arial"/>
          <w:i/>
          <w:iCs/>
          <w:color w:val="000000"/>
          <w:lang w:val="en-GB"/>
        </w:rPr>
        <w:t>Frühstücksschiff</w:t>
      </w:r>
      <w:r w:rsidRPr="00A06A59">
        <w:rPr>
          <w:rFonts w:ascii="Garamond" w:hAnsi="Garamond" w:cs="Arial"/>
          <w:color w:val="000000"/>
          <w:lang w:val="en-GB"/>
        </w:rPr>
        <w:t xml:space="preserve">«, dessen Erscheinen im Traume eine rationell festgehaltene Situation so unsinnig abschließt, einer näheren Analyse zu unterziehen. Wenn ich das Traumobjekt besser ins Auge fasse, so fällt mir nachträglich auf, daß es schwarz war und durch sein Abschneiden in seiner größten Breite an diesem Ende eine weitgehende Ähnlichkeit mit einem Gegenstand erzielte, der uns in den Museen etruskischer Städte interessant geworden war. Es war dies eine rechteckige Tasse [Platte?] aus schwarzem Ton, mit zwei Henkeln, auf der Dinge wie Kaffee- oder Teetassen standen, nicht ganz unähnlich einem unserer modernen Service für den </w:t>
      </w:r>
      <w:r w:rsidRPr="00A06A59">
        <w:rPr>
          <w:rFonts w:ascii="Garamond" w:hAnsi="Garamond" w:cs="Arial"/>
          <w:i/>
          <w:iCs/>
          <w:color w:val="000000"/>
          <w:lang w:val="en-GB"/>
        </w:rPr>
        <w:t>Frühstückstisch</w:t>
      </w:r>
      <w:r w:rsidRPr="00A06A59">
        <w:rPr>
          <w:rFonts w:ascii="Garamond" w:hAnsi="Garamond" w:cs="Arial"/>
          <w:color w:val="000000"/>
          <w:lang w:val="en-GB"/>
        </w:rPr>
        <w:t xml:space="preserve">. Auf Befragen erfuhren wir, das sei die Toilette einer etruskischen Dame mit den Schminke- und Puderbüchsen darauf; und wir sagten uns im Scherz, es wäre nicht übel, so ein Ding der Hausfrau mitzubringen. Das Traumobjekt bedeutet also – </w:t>
      </w:r>
      <w:r w:rsidRPr="00A06A59">
        <w:rPr>
          <w:rFonts w:ascii="Garamond" w:hAnsi="Garamond" w:cs="Arial"/>
          <w:i/>
          <w:iCs/>
          <w:color w:val="000000"/>
          <w:lang w:val="en-GB"/>
        </w:rPr>
        <w:t>schwarze Toilette</w:t>
      </w:r>
      <w:r w:rsidRPr="00A06A59">
        <w:rPr>
          <w:rFonts w:ascii="Garamond" w:hAnsi="Garamond" w:cs="Arial"/>
          <w:color w:val="000000"/>
          <w:lang w:val="en-GB"/>
        </w:rPr>
        <w:t>, Trauer, und spielt direkt auf einen Todesfall an. Mit dem anderen Ende mahnt das Traumobjekt an den »Nachen« vom Stamme , wie mein sprachgelehrter Freund mir mitgeteilt, auf den in Vorzeiten die Leiche gelegt und dem Meer zur Bestattung überlassen wurde. Hieran reiht sich, warum im Traume die Schiffe zurückkehren.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»Still, auf gerettetem Boot, treibt in den Hafen der Greis.«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die Rückfahrt nach dem Schiffbruch, das Frühstücksschiff ist ja wie in seiner Breite abgebrochen. Woher aber der Name » Frühstücks«-schiff? Hier kommt nun das »Englische« zur Verwendung, das wir bei den Kriegsschiffen erübrigt haben. Frühstück = </w:t>
      </w:r>
      <w:r w:rsidRPr="00A06A59">
        <w:rPr>
          <w:rFonts w:ascii="Garamond" w:hAnsi="Garamond" w:cs="Arial"/>
          <w:i/>
          <w:iCs/>
          <w:color w:val="000000"/>
          <w:lang w:val="en-GB"/>
        </w:rPr>
        <w:t>breakfast, Fastenbrecher</w:t>
      </w:r>
      <w:r w:rsidRPr="00A06A59">
        <w:rPr>
          <w:rFonts w:ascii="Garamond" w:hAnsi="Garamond" w:cs="Arial"/>
          <w:color w:val="000000"/>
          <w:lang w:val="en-GB"/>
        </w:rPr>
        <w:t xml:space="preserve">. Das </w:t>
      </w:r>
      <w:r w:rsidRPr="00A06A59">
        <w:rPr>
          <w:rFonts w:ascii="Garamond" w:hAnsi="Garamond" w:cs="Arial"/>
          <w:i/>
          <w:iCs/>
          <w:color w:val="000000"/>
          <w:lang w:val="en-GB"/>
        </w:rPr>
        <w:t>Brechen</w:t>
      </w:r>
      <w:r w:rsidRPr="00A06A59">
        <w:rPr>
          <w:rFonts w:ascii="Garamond" w:hAnsi="Garamond" w:cs="Arial"/>
          <w:color w:val="000000"/>
          <w:lang w:val="en-GB"/>
        </w:rPr>
        <w:t xml:space="preserve"> gehört wieder zum Schiff </w:t>
      </w:r>
      <w:r w:rsidRPr="00A06A59">
        <w:rPr>
          <w:rFonts w:ascii="Garamond" w:hAnsi="Garamond" w:cs="Arial"/>
          <w:i/>
          <w:iCs/>
          <w:color w:val="000000"/>
          <w:lang w:val="en-GB"/>
        </w:rPr>
        <w:t>bruch</w:t>
      </w:r>
      <w:r w:rsidRPr="00A06A59">
        <w:rPr>
          <w:rFonts w:ascii="Garamond" w:hAnsi="Garamond" w:cs="Arial"/>
          <w:color w:val="000000"/>
          <w:lang w:val="en-GB"/>
        </w:rPr>
        <w:t xml:space="preserve">, das </w:t>
      </w:r>
      <w:r w:rsidRPr="00A06A59">
        <w:rPr>
          <w:rFonts w:ascii="Garamond" w:hAnsi="Garamond" w:cs="Arial"/>
          <w:i/>
          <w:iCs/>
          <w:color w:val="000000"/>
          <w:lang w:val="en-GB"/>
        </w:rPr>
        <w:t>Fasten</w:t>
      </w:r>
      <w:r w:rsidRPr="00A06A59">
        <w:rPr>
          <w:rFonts w:ascii="Garamond" w:hAnsi="Garamond" w:cs="Arial"/>
          <w:color w:val="000000"/>
          <w:lang w:val="en-GB"/>
        </w:rPr>
        <w:t xml:space="preserve"> schließt sich der schwarzen Toilette an.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 diesem Frühstücksschiffe ist aber nur der Name vom Traume neugebildet. Das Ding hat existiert und mahnt mich an eine der heitersten Stunden der letzten Reise. Der Verpflegung in Aquileja mißtrauend, hatten wir uns von Görz Eßwaren mitgenommen, eine Flasche des vorzüglichsten Istrianer Weins in Aquileja eingekauft, und während der kleine Postdampfer durch den Kanal delle Mee langsam in die öde Lagunenstrecke nach </w:t>
      </w:r>
      <w:r w:rsidRPr="00A06A59">
        <w:rPr>
          <w:rFonts w:ascii="Garamond" w:hAnsi="Garamond" w:cs="Arial"/>
          <w:i/>
          <w:iCs/>
          <w:color w:val="000000"/>
          <w:lang w:val="en-GB"/>
        </w:rPr>
        <w:t>Grado</w:t>
      </w:r>
      <w:r w:rsidRPr="00A06A59">
        <w:rPr>
          <w:rFonts w:ascii="Garamond" w:hAnsi="Garamond" w:cs="Arial"/>
          <w:color w:val="000000"/>
          <w:lang w:val="en-GB"/>
        </w:rPr>
        <w:t xml:space="preserve"> fuhr, nahmen wir, die einzigen Passagiere, in heiterster Laune auf Deck das Frühstück ein, das uns schmeckte wie selten eines zuvor. Das war also das » </w:t>
      </w:r>
      <w:r w:rsidRPr="00A06A59">
        <w:rPr>
          <w:rFonts w:ascii="Garamond" w:hAnsi="Garamond" w:cs="Arial"/>
          <w:i/>
          <w:iCs/>
          <w:color w:val="000000"/>
          <w:lang w:val="en-GB"/>
        </w:rPr>
        <w:t>Frühstücksschiff</w:t>
      </w:r>
      <w:r w:rsidRPr="00A06A59">
        <w:rPr>
          <w:rFonts w:ascii="Garamond" w:hAnsi="Garamond" w:cs="Arial"/>
          <w:color w:val="000000"/>
          <w:lang w:val="en-GB"/>
        </w:rPr>
        <w:t>«, und gerade hinter dieser Reminiszenz frühesten Lebensgenusses verbirgt der Traum die betäubendsten Gedanken an eine unbekannte und unheimliche Zukunft.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Ablösung der Affekte von den Vorstellungsmassen, die ihre Entbindung hervorgerufen haben, ist das Auffälligste, was ihnen bei der Traumbildung widerfährt, aber weder die einzige noch die wesentlichste Veränderung, die sie auf dem Wege von den Traumgedanken zum manifesten Traum erleiden. Vergleicht man die Affekte in den Traumgedanken mit denen im Traume, so wird eines sofort klar: Wo sich im Traume ein Affekt findet, da findet er sich auch in den Traumgedanken, aber nicht umgekehrt. Der Traum ist im allgemeinen affektärmer als das psychische Material, aus dessen Bearbeitung er hervorgegangen ist. Wenn ich die Traumgedanken rekonstruiert habe, so übersehe ich, wie in ihnen regelmäßig die intensivsten Seelenregungen nach Geltung ringen, zumeist im Kampfe mit anderen, die ihnen scharf zuwiderlaufen. Blicke ich dann auf den Traum zurück, so finde ich ihn nicht selten farblos, ohne jeden intensiveren Gefühlston. Es ist durch die Traumarbeit nicht bloß der Inhalt, sondern auch oft der Gefühlston meines Denkens auf das Niveau des Indifferenten gebracht. Ich könnte sagen, durch die Traumarbeit wird eine </w:t>
      </w:r>
      <w:r w:rsidRPr="00A06A59">
        <w:rPr>
          <w:rFonts w:ascii="Garamond" w:hAnsi="Garamond" w:cs="Arial"/>
          <w:i/>
          <w:iCs/>
          <w:color w:val="000000"/>
          <w:lang w:val="en-GB"/>
        </w:rPr>
        <w:t>Unterdrückung der Affekte</w:t>
      </w:r>
      <w:r w:rsidRPr="00A06A59">
        <w:rPr>
          <w:rFonts w:ascii="Garamond" w:hAnsi="Garamond" w:cs="Arial"/>
          <w:color w:val="000000"/>
          <w:lang w:val="en-GB"/>
        </w:rPr>
        <w:t xml:space="preserve"> zustande gebracht. Man nehme z. B. den Traum von der botanischen Monographie. Ihm entspricht im Denken ein leidenschaftlich bewegtes Plaidoyer für meine Freiheit, so zu handeln, wie ich handle, mein Leben so einzurichten, wie es mir einzig und allein richtig scheint. Der daraus hervorgegangene Traum klingt </w:t>
      </w:r>
      <w:r w:rsidRPr="00A06A59">
        <w:rPr>
          <w:rFonts w:ascii="Garamond" w:hAnsi="Garamond" w:cs="Arial"/>
          <w:color w:val="000000"/>
          <w:lang w:val="en-GB"/>
        </w:rPr>
        <w:lastRenderedPageBreak/>
        <w:t>gleichgültig: Ich habe eine Monographie geschrieben, sie liegt vor mir, ist mit farbigen Tafeln versehen, getrocknete Pflanzen sind jedem Exemplare beigelegt. Es ist wie die Ruhe eines Leichenfeldes; man verspürt nichts mehr vom Toben der Schlacht.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Es kann auch anders ausfallen, in den Traum selbst können lebhafte Affektäußerungen eingehen; aber wir wollen zunächst bei der unbestreitbaren Tatsache verweilen, daß so viele Träume indifferent erscheinen, während man sich in die Traumgedanken nie ohne tiefe Ergriffenheit versetzen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volle theoretische Aufklärung dieser Affektunterdrückung während der Traumarbeit ist hier nicht zu geben; sie würde das sorgfältigste Eindringen in die Theorie der Affekte und in den Mechanismus der Verdrängung voraussetzen. Ich will nur zwei Gedanken hier eine Erwähnung gönnen. Die Affektentbindung bin ich – aus anderen Gründen – genötigt, mir als einen zentrifugalen, gegen das Körperinnere gerichteten Vorgang vorzustellen, analog den motorischen und sekretorischen Innervationsvorgängen. Wie nun im Schlafzustande die Aussendung motorischer Impulse gegen die Außenwelt aufgehoben erscheint, so könnte auch die zentrifugale Erweckung von Affekten durch das unbewußte Denken während des Schlafes erschwert sein. Die Affektregungen, die während des Ablaufs der Traumgedanken zustande kommen, wären also an und für sich schwache Regungen und darum die in den Traum gelangenden auch nicht stärker. Nach diesem Gedankengange wäre die »Unterdrückung der Affekte« überhaupt kein Erfolg der Traumarbeit, sondern eine Folge des Schlafzustandes. Es mag so sein, aber es kann unmöglich alles sein. Wir müssen auch daran denken, daß jeder zusammengesetztere Traum sich auch als das Kompromißergebnis eines Widerstreits psychischer Mächte enthüllt hat. Einerseits haben die wunschbildenden Gedanken gegen den Widerspruch einer zensurierenden Instanz anzukämpfen, anderseits haben wir oft gesehen, daß im unbewußten Denken selbst ein jeder Gedankenzug mit seinem kontradiktorischen Gegenteil zusammengespannt war. Da alle diese Gedankenzüge affektfähig sind, so werden wir im ganzen und großen kaum irregehen, wenn wir die Affektunterdrückung auffassen als Folge der Hemmung, welche die Gegensätze gegeneinander und die Zensur gegen die von ihr unterdrückten Strebungen übt. </w:t>
      </w:r>
      <w:r w:rsidRPr="00A06A59">
        <w:rPr>
          <w:rFonts w:ascii="Garamond" w:hAnsi="Garamond" w:cs="Arial"/>
          <w:i/>
          <w:iCs/>
          <w:color w:val="000000"/>
          <w:lang w:val="en-GB"/>
        </w:rPr>
        <w:t>Die Affekthemmung wäre dann der zweite Erfolg der Traumzensur, wie die Traumentstellung deren erster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will ein Traumbeispiel einfügen, in dem der indifferente Empfindungston des Trauminhaltes durch die Gegensätzlichkeit in den Traumgedanken aufgeklärt werden kann. Ich habe folgenden kurzen Traum zu erzählen, den jeder Leser mit Ekel zur Kenntnis nehmen wird:</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IV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Eine Anhöhe, auf dieser etwas wie ein Abort im Freien, eine sehr lange Bank, an deren Ende ein großes Abortloch. Die ganz hintere Kante dicht besetzt mit Häufchen Kot von allen Größen und Stufen der Frische. Hinter der Bank ein Gebüsch. Ich uriniere auf die Bank; ein langer Harnstrahl spült alles rein, die Kotpatzen lösen sich leicht ab und fallen in die Öffnung. Als ob am Ende noch etwas übrigbliebe.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Warum empfand ich bei diesem Traume keinen Ekel?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Weil, wie die Analyse zeigt, an dem Zustandekommen dieses Traumes die angenehmsten und befriedigendsten Gedanken mitgewirkt hatten. Mir fällt in der Analyse sofort der </w:t>
      </w:r>
      <w:r w:rsidRPr="00A06A59">
        <w:rPr>
          <w:rFonts w:ascii="Garamond" w:hAnsi="Garamond" w:cs="Arial"/>
          <w:i/>
          <w:iCs/>
          <w:color w:val="000000"/>
          <w:lang w:val="en-GB"/>
        </w:rPr>
        <w:t>Augiasstall</w:t>
      </w:r>
      <w:r w:rsidRPr="00A06A59">
        <w:rPr>
          <w:rFonts w:ascii="Garamond" w:hAnsi="Garamond" w:cs="Arial"/>
          <w:color w:val="000000"/>
          <w:lang w:val="en-GB"/>
        </w:rPr>
        <w:t xml:space="preserve"> ein, den Herkules reinigt. Dieser Herkules bin ich. Die Anhöhe und das Gebüsch gehören nach Aussee, wo jetzt meine Kinder weilen. Ich habe die Kindheitsätiologie der Neurosen aufgedeckt und dadurch meine eigenen Kinder vor Erkrankung bewahrt. Die Bank ist (bis auf das Abortloch natürlich) die getreue Nachahmung eines Möbels, das mir eine anhängliche Patientin zum Geschenk gemacht hat. Sie mahnt mich daran, wie meine Patienten mich ehren. Ja selbst das Museum menschlicher Exkremente ist einer herzerfreuenden Deutung fähig. Sosehr ich mich dort davor ekle, im Traume ist es eine Reminiszenz an das schöne Land Italien, in dessen kleinen Städten bekanntlich die W.C. nicht anders ausgestattet sind. Der Harnstrahl, der alles rein abspült, ist eine unverkennbare Größenanspielung. So löscht </w:t>
      </w:r>
      <w:r w:rsidRPr="00A06A59">
        <w:rPr>
          <w:rFonts w:ascii="Garamond" w:hAnsi="Garamond" w:cs="Arial"/>
          <w:i/>
          <w:iCs/>
          <w:color w:val="000000"/>
          <w:lang w:val="en-GB"/>
        </w:rPr>
        <w:t>Gulliver</w:t>
      </w:r>
      <w:r w:rsidRPr="00A06A59">
        <w:rPr>
          <w:rFonts w:ascii="Garamond" w:hAnsi="Garamond" w:cs="Arial"/>
          <w:color w:val="000000"/>
          <w:lang w:val="en-GB"/>
        </w:rPr>
        <w:t xml:space="preserve"> bei den Liliputanern den großen Brand; er zieht sich dadurch allerdings das Mißfallen der allerkleinsten Königin zu. Aber auch </w:t>
      </w:r>
      <w:r w:rsidRPr="00A06A59">
        <w:rPr>
          <w:rFonts w:ascii="Garamond" w:hAnsi="Garamond" w:cs="Arial"/>
          <w:i/>
          <w:iCs/>
          <w:color w:val="000000"/>
          <w:lang w:val="en-GB"/>
        </w:rPr>
        <w:t>Gargantua</w:t>
      </w:r>
      <w:r w:rsidRPr="00A06A59">
        <w:rPr>
          <w:rFonts w:ascii="Garamond" w:hAnsi="Garamond" w:cs="Arial"/>
          <w:color w:val="000000"/>
          <w:lang w:val="en-GB"/>
        </w:rPr>
        <w:t xml:space="preserve">, der Übermensch bei Meister </w:t>
      </w:r>
      <w:r w:rsidRPr="00A06A59">
        <w:rPr>
          <w:rFonts w:ascii="Garamond" w:hAnsi="Garamond" w:cs="Arial"/>
          <w:i/>
          <w:iCs/>
          <w:color w:val="000000"/>
          <w:lang w:val="en-GB"/>
        </w:rPr>
        <w:t>Rabelais</w:t>
      </w:r>
      <w:r w:rsidRPr="00A06A59">
        <w:rPr>
          <w:rFonts w:ascii="Garamond" w:hAnsi="Garamond" w:cs="Arial"/>
          <w:color w:val="000000"/>
          <w:lang w:val="en-GB"/>
        </w:rPr>
        <w:t xml:space="preserve">, nimmt so seine Rache an den Parisern, indem er auf Notre-Dame reitend seinen Harnstrahl auf die Stadt richtet. In den </w:t>
      </w:r>
      <w:r w:rsidRPr="00A06A59">
        <w:rPr>
          <w:rFonts w:ascii="Garamond" w:hAnsi="Garamond" w:cs="Arial"/>
          <w:i/>
          <w:iCs/>
          <w:color w:val="000000"/>
          <w:lang w:val="en-GB"/>
        </w:rPr>
        <w:t>Garnier</w:t>
      </w:r>
      <w:r w:rsidRPr="00A06A59">
        <w:rPr>
          <w:rFonts w:ascii="Garamond" w:hAnsi="Garamond" w:cs="Arial"/>
          <w:color w:val="000000"/>
          <w:lang w:val="en-GB"/>
        </w:rPr>
        <w:t xml:space="preserve">schen Illustrationen zum Rabelais habe ich gerade gestern vor dem Schlafengehen geblättert. Und merkwürdig wieder ein Beweis, daß ich der Übermensch bin! Die Plattform von Notre-Dame war mein Lieblingsaufenthalt in Paris; jeden freien Nachmittag pflegte ich auf den Türmen der Kirche zwischen den Ungetümen und Teufelsfratzen dort herumzuklettern. Daß aller Kot vor dem Strahle so rasch verschwindet, das ist das Motto: </w:t>
      </w:r>
      <w:r w:rsidRPr="00A06A59">
        <w:rPr>
          <w:rFonts w:ascii="Garamond" w:hAnsi="Garamond" w:cs="Arial"/>
          <w:i/>
          <w:iCs/>
          <w:color w:val="000000"/>
          <w:lang w:val="en-GB"/>
        </w:rPr>
        <w:t>Afflavit et dissipati sunt</w:t>
      </w:r>
      <w:r w:rsidRPr="00A06A59">
        <w:rPr>
          <w:rFonts w:ascii="Garamond" w:hAnsi="Garamond" w:cs="Arial"/>
          <w:color w:val="000000"/>
          <w:lang w:val="en-GB"/>
        </w:rPr>
        <w:t>, mit dem ich einmal den Abschnitt über Therapie der Hysterie überschreiben werde.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Und nun die wirksame Veranlassung des Traums. Es war ein heißer Nachmittag im Sommer gewesen, ich hatte in den Abendstunden meine Vorlesung über den Zusammenhang der Hysterie mit den Perversionen gehalten, und alles, was </w:t>
      </w:r>
      <w:r w:rsidRPr="00A06A59">
        <w:rPr>
          <w:rFonts w:ascii="Garamond" w:hAnsi="Garamond" w:cs="Arial"/>
          <w:color w:val="000000"/>
          <w:lang w:val="en-GB"/>
        </w:rPr>
        <w:lastRenderedPageBreak/>
        <w:t xml:space="preserve">ich zu sagen wußte, mißfiel mir so gründlich, kam mir alles Werts entkleidet vor. Ich war müde, ohne Spur von Vergnügen an meiner schweren Arbeit, sehnte mich weg von diesem Wühlen im menschlichen Schmutz, nach meinen Kindern und dann nach den Schönheiten Italiens. In dieser Stimmung ging ich vom Hörsaal in ein Café, um dort in freier Luft einen bescheidenen Imbiß zu nehmen, denn die Eßlust hatte mich verlassen. Aber einer meiner Hörer ging mit mir; er bat um die Erlaubnis dabeizusitzen, während ich meinen Kaffee trank und an meinem Kipfel würgte, und begann mir Schmeicheleien zu sagen. Wieviel er bei mir gelernt und daß er jetzt alles mit anderen Augen ansehe, daß ich den </w:t>
      </w:r>
      <w:r w:rsidRPr="00A06A59">
        <w:rPr>
          <w:rFonts w:ascii="Garamond" w:hAnsi="Garamond" w:cs="Arial"/>
          <w:i/>
          <w:iCs/>
          <w:color w:val="000000"/>
          <w:lang w:val="en-GB"/>
        </w:rPr>
        <w:t>Augiasstall</w:t>
      </w:r>
      <w:r w:rsidRPr="00A06A59">
        <w:rPr>
          <w:rFonts w:ascii="Garamond" w:hAnsi="Garamond" w:cs="Arial"/>
          <w:color w:val="000000"/>
          <w:lang w:val="en-GB"/>
        </w:rPr>
        <w:t xml:space="preserve"> der Irrtümer und Vorurteile in der Neurosenlehre gereinigt, kurz, daß ich ein sehr großer Mann sei. Meine Stimmung paßte schlecht zu seinem Lobgesang; ich kämpfte mit dem Ekel, ging früher heim, um mich loszumachen, blätterte noch vor dem Schlafengehen im Rabelais und las eine Novelle von C. F. </w:t>
      </w:r>
      <w:r w:rsidRPr="00A06A59">
        <w:rPr>
          <w:rFonts w:ascii="Garamond" w:hAnsi="Garamond" w:cs="Arial"/>
          <w:i/>
          <w:iCs/>
          <w:color w:val="000000"/>
          <w:lang w:val="en-GB"/>
        </w:rPr>
        <w:t>Meyer</w:t>
      </w:r>
      <w:r w:rsidRPr="00A06A59">
        <w:rPr>
          <w:rFonts w:ascii="Garamond" w:hAnsi="Garamond" w:cs="Arial"/>
          <w:color w:val="000000"/>
          <w:lang w:val="en-GB"/>
        </w:rPr>
        <w:t xml:space="preserve"> Die Leiden eines Knaben.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Aus diesem Material war der Traum hervorgegangen, die Novelle von </w:t>
      </w:r>
      <w:r w:rsidRPr="00A06A59">
        <w:rPr>
          <w:rFonts w:ascii="Garamond" w:hAnsi="Garamond" w:cs="Arial"/>
          <w:i/>
          <w:iCs/>
          <w:color w:val="000000"/>
          <w:lang w:val="en-GB"/>
        </w:rPr>
        <w:t>Meyer</w:t>
      </w:r>
      <w:r w:rsidRPr="00A06A59">
        <w:rPr>
          <w:rFonts w:ascii="Garamond" w:hAnsi="Garamond" w:cs="Arial"/>
          <w:color w:val="000000"/>
          <w:lang w:val="en-GB"/>
        </w:rPr>
        <w:t xml:space="preserve"> brachte die Erinnerung an Kindheitsszenen hinzu (vgl. den Traum vom Grafen Thun, letztes Bild). Die Tagesstimmung von Ekel und Überdruß setzte sich im Traume insofern durch, als sie fast sämtliches Material für den Trauminhalt beistellen durfte. Aber in der Nacht wurde die ihr gegensätzliche Stimmung von kräftiger und selbst übermäßiger Selbstbetonung rege und hob die erstere auf. Der Trauminhalt mußte sich so gestalten, daß er in demselben Material dem Kleinheitswahn wie der Selbstüberschätzung den Ausdruck ermöglichte. Bei dieser Kompromißbildung resultierte ein zweideutiger Trauminhalt, aber auch durch gegenseitige Hemmung der Gegensätze ein indifferenter Empfindungston.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Nach der Theorie der Wunscherfüllung wäre dieser Traum nicht ermöglicht worden, wenn nicht der gegensätzliche, zwar unterdrückte, aber mit Lust betonte Gedankenzug des Größenwahns zu dem des Ekels hinzugetreten wäre. Denn Peinliches soll im Traume nicht dargestellt werden; das Peinliche aus unseren Tagesgedanken kann nur dann den Eintritt in den Traum erringen, wenn es seine Einkleidung gleichzeitig einer Wunscherfüllung leiht.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Traumarbeit kann mit den Affekten der Traumgedanken noch etwas anderes vornehmen, als sie zuzulassen oder zum Nullpunkt herabzudrücken. Sie kann dieselben </w:t>
      </w:r>
      <w:r w:rsidRPr="00A06A59">
        <w:rPr>
          <w:rFonts w:ascii="Garamond" w:hAnsi="Garamond" w:cs="Arial"/>
          <w:i/>
          <w:iCs/>
          <w:color w:val="000000"/>
          <w:lang w:val="en-GB"/>
        </w:rPr>
        <w:t>in ihr Gegenteil verkehren</w:t>
      </w:r>
      <w:r w:rsidRPr="00A06A59">
        <w:rPr>
          <w:rFonts w:ascii="Garamond" w:hAnsi="Garamond" w:cs="Arial"/>
          <w:color w:val="000000"/>
          <w:lang w:val="en-GB"/>
        </w:rPr>
        <w:t xml:space="preserve">. Wir haben bereits die Deutungsregel kennengelernt, daß jedes Element des Traums für die Deutung auch sein Gegenteil darstellen kann, ebensowohl wie sich selbst. Man weiß nie im vorhinein, ob das eine oder das andere zu setzen ist; erst der Zusammenhang entscheidet hierüber. Eine Ahnung dieses Sachverhaltes hat sich offenbar dem Volksbewußtsein aufgedrängt; die Traumbücher verfahren bei der Deutung der Träume sehr häufig nach dem Prinzip des Kontrasts. Solche Verwandlung ins Gegenteil wird durch die innige assoziative Verkettung ermöglicht, die in unserem Denken die Vorstellung eines Dings an die seines Gegensatzes fesselt. Wie jede andere Verschiebung dient sie den Zwecken der Zensur, ist aber auch häufig das Werk der Wunscherfüllung, denn die Wunscherfüllung besteht ja in nichts anderem als in der Ersetzung eines unliebsamen Dings durch sein Gegenteil. Ebenso wie die Dingvorstellungen können also auch die Affekte der Traumgedanken im Traume ins Gegenteil verkehrt erscheinen, und es ist wahrscheinlich, daß diese Affektverkehrung zumeist von der Traumzensur bewerkstelligt wird. </w:t>
      </w:r>
      <w:r w:rsidRPr="00A06A59">
        <w:rPr>
          <w:rFonts w:ascii="Garamond" w:hAnsi="Garamond" w:cs="Arial"/>
          <w:i/>
          <w:iCs/>
          <w:color w:val="000000"/>
          <w:lang w:val="en-GB"/>
        </w:rPr>
        <w:t>Affektunterdrückung</w:t>
      </w:r>
      <w:r w:rsidRPr="00A06A59">
        <w:rPr>
          <w:rFonts w:ascii="Garamond" w:hAnsi="Garamond" w:cs="Arial"/>
          <w:color w:val="000000"/>
          <w:lang w:val="en-GB"/>
        </w:rPr>
        <w:t xml:space="preserve"> wie </w:t>
      </w:r>
      <w:r w:rsidRPr="00A06A59">
        <w:rPr>
          <w:rFonts w:ascii="Garamond" w:hAnsi="Garamond" w:cs="Arial"/>
          <w:i/>
          <w:iCs/>
          <w:color w:val="000000"/>
          <w:lang w:val="en-GB"/>
        </w:rPr>
        <w:t>Affektverkehrung</w:t>
      </w:r>
      <w:r w:rsidRPr="00A06A59">
        <w:rPr>
          <w:rFonts w:ascii="Garamond" w:hAnsi="Garamond" w:cs="Arial"/>
          <w:color w:val="000000"/>
          <w:lang w:val="en-GB"/>
        </w:rPr>
        <w:t xml:space="preserve"> dienen ja auch im sozialen Leben, das uns die geläufige Analogie zur Traumzensur gezeigt hat, vor allem der </w:t>
      </w:r>
      <w:r w:rsidRPr="00A06A59">
        <w:rPr>
          <w:rFonts w:ascii="Garamond" w:hAnsi="Garamond" w:cs="Arial"/>
          <w:i/>
          <w:iCs/>
          <w:color w:val="000000"/>
          <w:lang w:val="en-GB"/>
        </w:rPr>
        <w:t>Verstellung</w:t>
      </w:r>
      <w:r w:rsidRPr="00A06A59">
        <w:rPr>
          <w:rFonts w:ascii="Garamond" w:hAnsi="Garamond" w:cs="Arial"/>
          <w:color w:val="000000"/>
          <w:lang w:val="en-GB"/>
        </w:rPr>
        <w:t>. Wenn ich mündlich mit der Person verkehre, vor der ich mir Rücksicht auferlegen muß, während ich ihr Feindseliges sagen möchte, so ist es beinahe wichtiger, daß ich die Äußerungen meines Affekts vor ihr verberge, als daß ich die Wortfassung meiner Gedanken mildere. Spreche ich zu ihr in nicht unhöflichen Worten, begleite diese aber mit einem Blick oder einer Gebärde des Hasses und der Verachtung, so ist die Wirkung, die ich bei dieser Person erziele, nicht viel anders, als wenn ich ihr meine Verachtung ohne Schonung ins Gesicht geworfen hätte. Die Zensur heißt mich also vor allem meine Affekte unterdrücken, und wenn ich ein Meister in der Verstellung bin, werde ich den entgegengesetzten Affekt heucheln, lächeln, wo ich zürnen, und mich zärtlich stellen, wo ich vernichten möchte.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kennen bereits ein ausgezeichnetes Beispiel solcher Affektverkehrung im Traum im Dienste der Traumzensur. Im Traum »von des Onkels Bart« empfinde ich große Zärtlichkeit für meinen FreundR., während und weil die Traumgedanken ihn einen Schwachkopf schelten. Aus diesem Beispiele von Verkehrung der Affekte haben wir uns den ersten Hinweis auf die Existenz einer Traumzensur geholt. Es ist auch hier nicht nötig anzunehmen, daß die Traumarbeit einen derartigen Gegenaffekt ganz von neuem schafft; sie findet ihn gewöhnlich im Materiale der Traumgedanken bereitliegend und erhöht ihn bloß mit der psychischen Kraft der Abwehrmotive, bis er für die Traumbildung überwiegen kann. Im letzterwähnten Onkeltraum stammt der zärtliche Gegenaffekt wahrscheinlich aus infantiler Quelle (wie die Fortsetzung des Traumes nahelegt), denn das Verhältnis Onkel und Neffe ist durch die besondere Natur meiner frühesten Kindererlebnisse (vgl. die Analyse S. 289) bei mir die Quelle aller Freundschaften und alles Hasses geworden.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ausgezeichnetes Beispiel einer solchen Affektverkehrung gibt ein von </w:t>
      </w:r>
      <w:r w:rsidRPr="00A06A59">
        <w:rPr>
          <w:rFonts w:ascii="Garamond" w:hAnsi="Garamond" w:cs="Arial"/>
          <w:i/>
          <w:iCs/>
          <w:color w:val="000000"/>
          <w:lang w:val="en-GB"/>
        </w:rPr>
        <w:t>Ferenczi</w:t>
      </w:r>
      <w:r w:rsidRPr="00A06A59">
        <w:rPr>
          <w:rFonts w:ascii="Garamond" w:hAnsi="Garamond" w:cs="Arial"/>
          <w:color w:val="000000"/>
          <w:lang w:val="en-GB"/>
        </w:rPr>
        <w:t xml:space="preserve"> berichteter Traum (Internat. Zeitschrift f. Psychoanalyse, IV, 1916): »Ein älterer Herr wird bei Nacht von seiner Frau geweckt, die ängstlich darüber wurde, daß er im Schlafe so laut und unbändig lachte. Der Mann erzählte später, folgenden Traum gehabt zu </w:t>
      </w:r>
      <w:r w:rsidRPr="00A06A59">
        <w:rPr>
          <w:rFonts w:ascii="Garamond" w:hAnsi="Garamond" w:cs="Arial"/>
          <w:color w:val="000000"/>
          <w:lang w:val="en-GB"/>
        </w:rPr>
        <w:lastRenderedPageBreak/>
        <w:t xml:space="preserve">haben: » </w:t>
      </w:r>
      <w:r w:rsidRPr="00A06A59">
        <w:rPr>
          <w:rFonts w:ascii="Garamond" w:hAnsi="Garamond" w:cs="Arial"/>
          <w:i/>
          <w:iCs/>
          <w:color w:val="000000"/>
          <w:lang w:val="en-GB"/>
        </w:rPr>
        <w:t>Ich lag in meinem Bette, ein bekannter Herr trat ein, ich wollte das Licht aufdrehen, konnte es aber nicht, versuchte es immer wieder – vergebens. Daraufhin stieg meine Frau aus dem Bette, um mir zu helfen, aber auch sie vermochte nichts auszurichten; weil sie sich aber vor dem Herrn wegen ihres Negligés genierte, gab sie es schließlich auf und legte sich wieder ins Bett; all dies war so komisch, daß ich darüber fürchterlich lachen mußte. Die Frau sagte: Was lachst du, was lachst du?, ich aber lachte nur weiter, bis ich erwachte.</w:t>
      </w:r>
      <w:r w:rsidRPr="00A06A59">
        <w:rPr>
          <w:rFonts w:ascii="Garamond" w:hAnsi="Garamond" w:cs="Arial"/>
          <w:color w:val="000000"/>
          <w:lang w:val="en-GB"/>
        </w:rPr>
        <w:t xml:space="preserve"> Tags darauf war der Herr äußerst niedergeschlagen, hatte Kopfschmerzen vom vielen Lachen, das mich erschüttert hat, meinte 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»Analytisch betrachtet, schaut der Traum minder lustig aus. Der ›bekannte Herr‹, der eintritt, ist in den latenten Traumgedanken das am Vortage geweckte Bild des Todes als des ›großen Unbekannten. Der alte Herr, der an Arteriosklerose leidet, hatte am Vortage Grund, ans Sterben zu denken. Das unbändige Lachen vertritt die Stelle des Weinens und Schluchzens bei der Idee, daß er sterben muß. Es ist das Lebenslicht, das er nicht mehr aufdrehen kann. Dieser traurige Gedanke mag sich an vor kurzem beabsichtigte, aber mißlungene Beischlafversuche angeknüpft haben, bei denen ihm auch die Hilfe seiner Frau im Negligé nichts half; er merkte, daß es mit ihm schon abwärts geht. Die Traumarbeit verstand es, die traurige Idee der Impotenz und des Sterbens in eine komische Szene und das Schluchzen in Lachen umzuwandeln.«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gibt eine Klasse von Träumen, die auf die Bezeichnung als »heuchlerische« einen besonderen Anspruch haben und die Theorie der Wunscherfüllung auf eine harte Probe stellen. Ich wurde auf sie aufmerksam, als Frau Dr. M. </w:t>
      </w:r>
      <w:r w:rsidRPr="00A06A59">
        <w:rPr>
          <w:rFonts w:ascii="Garamond" w:hAnsi="Garamond" w:cs="Arial"/>
          <w:i/>
          <w:iCs/>
          <w:color w:val="000000"/>
          <w:lang w:val="en-GB"/>
        </w:rPr>
        <w:t>Hilferding</w:t>
      </w:r>
      <w:r w:rsidRPr="00A06A59">
        <w:rPr>
          <w:rFonts w:ascii="Garamond" w:hAnsi="Garamond" w:cs="Arial"/>
          <w:color w:val="000000"/>
          <w:lang w:val="en-GB"/>
        </w:rPr>
        <w:t xml:space="preserve"> in der »Wiener Psychoanalytischen Vereinigung« den im Nachstehenden abgedruckten Traumbericht </w:t>
      </w:r>
      <w:r w:rsidRPr="00A06A59">
        <w:rPr>
          <w:rFonts w:ascii="Garamond" w:hAnsi="Garamond" w:cs="Arial"/>
          <w:i/>
          <w:iCs/>
          <w:color w:val="000000"/>
          <w:lang w:val="en-GB"/>
        </w:rPr>
        <w:t>Roseggers</w:t>
      </w:r>
      <w:r w:rsidRPr="00A06A59">
        <w:rPr>
          <w:rFonts w:ascii="Garamond" w:hAnsi="Garamond" w:cs="Arial"/>
          <w:color w:val="000000"/>
          <w:lang w:val="en-GB"/>
        </w:rPr>
        <w:t xml:space="preserve"> zur Diskussion brachte.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Rosegger</w:t>
      </w:r>
      <w:r w:rsidRPr="00A06A59">
        <w:rPr>
          <w:rFonts w:ascii="Garamond" w:hAnsi="Garamond" w:cs="Arial"/>
          <w:color w:val="000000"/>
          <w:lang w:val="en-GB"/>
        </w:rPr>
        <w:t xml:space="preserve"> (in </w:t>
      </w:r>
      <w:r w:rsidRPr="00A06A59">
        <w:rPr>
          <w:rFonts w:ascii="Garamond" w:hAnsi="Garamond" w:cs="Arial"/>
          <w:i/>
          <w:iCs/>
          <w:color w:val="000000"/>
          <w:lang w:val="en-GB"/>
        </w:rPr>
        <w:t>Waldheimat</w:t>
      </w:r>
      <w:r w:rsidRPr="00A06A59">
        <w:rPr>
          <w:rFonts w:ascii="Garamond" w:hAnsi="Garamond" w:cs="Arial"/>
          <w:color w:val="000000"/>
          <w:lang w:val="en-GB"/>
        </w:rPr>
        <w:t>, II. Band) erzählt in der Geschichte »Fremd gemacht« (p. 303): »Ich erfreue mich sonst eines gesunden Schlummers, aber ich habe die Ruhe von so mancher Nacht eingebüßt, ich habe neben meinem bescheidenen Studenten- und Literatendasein den Schatten eines veritabeln Schneiderlebens durch die langen Jahre geschleppt, wie ein Gespenst, ohne seiner loswerden zu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»Es ist nicht wahr, daß ich mich tagsüber in Gedanken so häufig und lebhaft mit meiner Vergangenheit beschäftigt hätte. Ein der Haut eines Philisters entsprungener Welt- und Himmelsstürmer hat anderes zu tun. Aber auch an seine nächtlichen Träume wird der flotte Bursche kaum gedacht haben; erst später, als ich gewohnt worden war, über alles nachzudenken, oder auch, als sich der Philister in mir wieder ein wenig zu regen begann, fiel es mir auf, wieso ich denn – wenn ich überhaupt träumte – allemal der Schneidergesell war und daß ich solchergestalt schon so lange Zeit bei meinem Lehrmeister unentgeltlich in der Werkstatt arbeitete. Ich war mir, wenn ich so neben ihm saß und nähte und bügelte, sehr wohl bewußt, daß ich eigentlich nicht mehr dorthin gehöre, daß ich mich als Städter mit anderen Dingen zu befassen habe; doch hatte ich stets Ferien, war stets auf der Sommerfrische, und so saß ich zur Aushilfe beim Lehrmeister. Es war mir oft gar unbehaglich, ich bedauerte den Verlust der Zeit, in welcher ich mich besser und nützlicher zu beschäftigen gewußt hätte. Vom Lehrmeister mußte ich mir mitunter, wenn etwas nicht ganz nach Maß und Schnitt ausfallen wollte, eine Rüge gefallen lassen; von einem Wochenlohn jedoch war gar niemals die Rede. Oft, wenn ich mit gekrümmtem Rücken in der dunklen Werkstatt so dasaß, nahm ich mir vor, die Arbeit zu kündigen und mich fremd zu machen. Einmal tat ich's sogar, jedoch der Meister nahm keine Notiz davon, und nächstens saß ich doch wieder bei ihm und nähte.«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»Wie mich nach solch langweiligen Stunden das Erwachen beglückte! Und da nahm ich mir vor, wenn dieser zudringliche Traum sich wieder einmal einstellen sollte, ihn mit Energie von mir zu werfen und laut auszurufen: es ist nur Gaukelspiel, ich liege im Bette und will schlafen... Und in der nächsten Nacht saß ich doch wieder in der Schneiderwerkstatt.«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 ging es Jahre in unheimlicher Regelmäßigkeit fort. Da war es einmal, als wir, der Meister und ich, beim Alpelhofer arbeiteten, bei jenem Bauern, wo ich in die Lehre eingetreten war, daß sich mein Meister ganz besonders unzufrieden mit meinen Arbeiten zeigte. Möcht' nur wissen, wo du deine Gedanken hast! sagte er und sah mich etwas finster an. Ich dachte, das Vernünftigste wäre, wenn ich jetzt aufstünde, dem Meister bedeutete, daß ich nur aus Gefälligkeit bei ihm sei, und wenn ich dann davonging. Aber ich tat es nicht. Ich ließ es mir gefallen, als der Meister einen Lehrling aufnahm und mir befahl, demselben auf der Bank Platz zu machen. Ich rückte in den Winkel und nähte. An demselben Tage wurde auch noch ein Geselle aufgenommen, bigott, es war der Böhm, der vor neunzehn Jahren bei uns gearbeitet hatte und damals auf dem Wege vom Wirtshause in den Bach gefallen war. Als er sich setzen wollte, war kein Platz da. Ich blickte den Meister fragend an, und dieser sagte zu mir: Du hast ja doch keinen Schick zur Schneiderei, </w:t>
      </w:r>
      <w:r w:rsidRPr="00A06A59">
        <w:rPr>
          <w:rFonts w:ascii="Garamond" w:hAnsi="Garamond" w:cs="Arial"/>
          <w:i/>
          <w:iCs/>
          <w:color w:val="000000"/>
          <w:lang w:val="en-GB"/>
        </w:rPr>
        <w:t>du kannst gehen, du bist fremd gemacht</w:t>
      </w:r>
      <w:r w:rsidRPr="00A06A59">
        <w:rPr>
          <w:rFonts w:ascii="Garamond" w:hAnsi="Garamond" w:cs="Arial"/>
          <w:color w:val="000000"/>
          <w:lang w:val="en-GB"/>
        </w:rPr>
        <w:t>. – So übermächtig war hierüber mein Schreck, daß ich erwachte.«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Morgengrauen schimmerte zu den klaren Fenstern herein in mein trautes Heim. Gegenstände der Kunst umgaben mich; im stilvollen Bücherschrank harrte meiner der ewige Homer, der gigantische Dante, der unvergleichliche Shakespeare, der glorreiche Goethe – die Herrlichen, die Unsterblichen alle. Vom Nebenzimmer her </w:t>
      </w:r>
      <w:r w:rsidRPr="00A06A59">
        <w:rPr>
          <w:rFonts w:ascii="Garamond" w:hAnsi="Garamond" w:cs="Arial"/>
          <w:color w:val="000000"/>
          <w:lang w:val="en-GB"/>
        </w:rPr>
        <w:lastRenderedPageBreak/>
        <w:t>klangen die hellen Stimmchen der erwachenden und mit ihrer Mutter schäkernden Kinder. Mir war zumute, als hätte ich dieses idyllisch süße, dieses friedensmilde und poesiereiche, helldurchgeistigte Leben, in welchem ich das beschauliche menschliche Glück so oft und tief empfand, von neuem wiedergefunden. Und doch wurmte es mich, daß ich mit der Kündigung meinem Meister nicht zuvorgekommen, sondern von ihm abgedankt worden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»Und wie merkwürdig ist mir das: Mit jener Nacht, da mich der Meister ›fremd gemacht‹ hatte, genieße ich Ruhe, träume nicht mehr von meiner in ferner Vergangenheit liegenden Schneiderzeit, die in ihrer Anspruchslosigkeit ja so heiter war und die doch einen so langen Schatten in meine späteren Lebensjahre hereingeworfen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dieser Traumreihe des Dichters, der in seinen jungen Jahren Schneidergeselle gewesen war, fällt es schwer, das Walten der Wunscherfüllung zu erkennen. Alles Erfreuliche liegt im Tagesleben, während der Traum den gespenstigen Schatten einer endlich überwundenen unerfreulichen Existenz fortzuschleppen scheint. Eigene Träume von ähnlicher Art haben mich in den Stand gesetzt, einige Aufklärung über solche Träume zu geben. Ich habe als junger Doktor lange Zeit im chemischen Institut gearbeitet, ohne es in den dort erforderten Künsten zu etwas bringen zu können, und denke darum im Wachen niemals gern an diese unfruchtbare und eigentlich beschämende Episode meines Lernens. Dagegen ist es bei mir ein wiederkehrender Traum geworden, daß ich im Laboratorium arbeite, Analysen mache, Verschiedenes erlebe usw.; diese Träume sind ähnlich unbehaglich wie die Prüfungsträume und niemals sehr deutlich. Bei der Deutung eines dieser Träume wurde ich endlich auf das Wort » </w:t>
      </w:r>
      <w:r w:rsidRPr="00A06A59">
        <w:rPr>
          <w:rFonts w:ascii="Garamond" w:hAnsi="Garamond" w:cs="Arial"/>
          <w:i/>
          <w:iCs/>
          <w:color w:val="000000"/>
          <w:lang w:val="en-GB"/>
        </w:rPr>
        <w:t>Analyse</w:t>
      </w:r>
      <w:r w:rsidRPr="00A06A59">
        <w:rPr>
          <w:rFonts w:ascii="Garamond" w:hAnsi="Garamond" w:cs="Arial"/>
          <w:color w:val="000000"/>
          <w:lang w:val="en-GB"/>
        </w:rPr>
        <w:t xml:space="preserve">« aufmerksam, das mir den Schlüssel zum Verständnis bot. Ich bin ja seither »Analytiker« geworden, mache Analysen, die sehr gelobt werden, allerdings </w:t>
      </w:r>
      <w:r w:rsidRPr="00A06A59">
        <w:rPr>
          <w:rFonts w:ascii="Garamond" w:hAnsi="Garamond" w:cs="Arial"/>
          <w:i/>
          <w:iCs/>
          <w:color w:val="000000"/>
          <w:lang w:val="en-GB"/>
        </w:rPr>
        <w:t>Psychoanalysen</w:t>
      </w:r>
      <w:r w:rsidRPr="00A06A59">
        <w:rPr>
          <w:rFonts w:ascii="Garamond" w:hAnsi="Garamond" w:cs="Arial"/>
          <w:color w:val="000000"/>
          <w:lang w:val="en-GB"/>
        </w:rPr>
        <w:t xml:space="preserve">. Ich verstand nun: wenn ich auf diese Art von Analysen im Tagesleben stolz geworden bin, mich vor mir selbst rühmen möchte, wie weit ich es gebracht habe, hält mir nächtlicherweile der Traum jene anderen mißglückten Analysen vor, auf die stolz zu sein ich keinen Grund hatte; es sind Strafträume des Emporkömmlings, wie die des Schneidergesellen, der ein gefeierter Dichter geworden war. Wie wird es aber dem Traume möglich, sich in dem Konflikt zwischen Parvenüstolz und Selbstkritik in den Dienst der letzteren zu stellen und eine vernünftige Warnung anstatt einer unerlaubten Wunscherfüllung zum Inhalt zu nehmen? Ich erwähnte schon, daß die Beantwortung dieser Frage Schwierigkeiten macht. Wir können erschließen, daß zunächst eine übermütige Ehrgeizphantasie die Grundlage des Traumes bildete; an ihrer Statt ist aber ihre Dämpfung und Beschämung in den Trauminhalt gelangt. Man darf daran erinnern, daß es masochistische Tendenzen im Seelenleben gibt, denen man eine solche Umkehrung zuschreiben darf. Ich könnte nichts dagegen haben, wenn man diese Art von Träumen als </w:t>
      </w:r>
      <w:r w:rsidRPr="00A06A59">
        <w:rPr>
          <w:rFonts w:ascii="Garamond" w:hAnsi="Garamond" w:cs="Arial"/>
          <w:i/>
          <w:iCs/>
          <w:color w:val="000000"/>
          <w:lang w:val="en-GB"/>
        </w:rPr>
        <w:t>Strafträume</w:t>
      </w:r>
      <w:r w:rsidRPr="00A06A59">
        <w:rPr>
          <w:rFonts w:ascii="Garamond" w:hAnsi="Garamond" w:cs="Arial"/>
          <w:color w:val="000000"/>
          <w:lang w:val="en-GB"/>
        </w:rPr>
        <w:t xml:space="preserve"> von den </w:t>
      </w:r>
      <w:r w:rsidRPr="00A06A59">
        <w:rPr>
          <w:rFonts w:ascii="Garamond" w:hAnsi="Garamond" w:cs="Arial"/>
          <w:i/>
          <w:iCs/>
          <w:color w:val="000000"/>
          <w:lang w:val="en-GB"/>
        </w:rPr>
        <w:t>Wunscherfüllungsträumen</w:t>
      </w:r>
      <w:r w:rsidRPr="00A06A59">
        <w:rPr>
          <w:rFonts w:ascii="Garamond" w:hAnsi="Garamond" w:cs="Arial"/>
          <w:color w:val="000000"/>
          <w:lang w:val="en-GB"/>
        </w:rPr>
        <w:t xml:space="preserve"> abtrennte. Ich würde darin keine Einschränkung der bisher vertretenen Theorie des Traumes erblicken, sondern bloß ein sprachliches Entgegenkommen für die Auffassung, welcher das Zusammenfallen von Gegensätzen fremdartig erscheint. Genaueres Eingehen auf einzelne dieser Träume läßt aber noch anderes erkennen. In dem undeutlichen Beiwerk eines meiner Laboratoriumsträume hatte ich gerade jenes Alter, welches mich in das düsterste und erfolgloseste Jahr meiner ärztlichen Laufbahn versetzte; ich hatte noch keine Stellung und wußte nicht, wie ich mein Leben erhalten sollte, aber dabei fand sich plötzlich, daß ich die Wahl zwischen mehreren Frauen hatte, die ich heiraten sollte! Ich war also wieder jung und vor allem, sie war wieder jung, die Frau, die alle diese schweren Jahre mit mir geteilt hatte. Somit war einer der unablässig nagenden Wünsche des alternden Mannes als der unbewußte Traumerreger verraten. Der in anderen psychischen Schichten tobende Kampf zwischen der Eitelkeit und der Selbstkritik hatte zwar den Trauminhalt bestimmt, aber der tiefer wurzelnde Jugendwunsch hatte ihn allein als Traum möglich gemacht. Man sagt sich auch manchmal im Wachen: Es ist ja sehr gut heute, und es war einmal eine harte Zeit; aber es war doch schön damals; du warst ja noch so jung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13"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Seitdem die Psychoanalyse die Person in ein Ich und ein Über-Ich zerlegt hat ( </w:t>
        </w:r>
        <w:r w:rsidR="00A06A59" w:rsidRPr="00A06A59">
          <w:rPr>
            <w:rStyle w:val="innerfusslink3"/>
            <w:rFonts w:ascii="Garamond" w:hAnsi="Garamond" w:cs="Arial"/>
            <w:bCs/>
            <w:i/>
            <w:iCs/>
            <w:color w:val="0000CC"/>
            <w:lang w:val="en-GB"/>
          </w:rPr>
          <w:t>Massenpsychologie und Ich-Analyse,</w:t>
        </w:r>
        <w:r w:rsidR="00A06A59" w:rsidRPr="00A06A59">
          <w:rPr>
            <w:rStyle w:val="innerfusslink3"/>
            <w:rFonts w:ascii="Garamond" w:hAnsi="Garamond" w:cs="Arial"/>
            <w:bCs/>
            <w:color w:val="0000CC"/>
            <w:lang w:val="en-GB"/>
          </w:rPr>
          <w:t xml:space="preserve"> 1921 </w:t>
        </w:r>
        <w:r w:rsidR="00A06A59" w:rsidRPr="00A06A59">
          <w:rPr>
            <w:rStyle w:val="innerfusslink3"/>
            <w:rFonts w:ascii="Garamond" w:hAnsi="Garamond" w:cs="Arial"/>
            <w:bCs/>
            <w:i/>
            <w:iCs/>
            <w:color w:val="0000CC"/>
            <w:lang w:val="en-GB"/>
          </w:rPr>
          <w:t>, ges. Schriften Bd. VI</w:t>
        </w:r>
        <w:r w:rsidR="00A06A59" w:rsidRPr="00A06A59">
          <w:rPr>
            <w:rStyle w:val="innerfusslink3"/>
            <w:rFonts w:ascii="Garamond" w:hAnsi="Garamond" w:cs="Arial"/>
            <w:bCs/>
            <w:color w:val="0000CC"/>
            <w:lang w:val="en-GB"/>
          </w:rPr>
          <w:t>), ist es leicht, in diesen Strafträumen Wunscherfüllungen des Über-Ichs zu erkennen.</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 andere Gruppe von Träumen, die ich bei mir selbst häufig gefunden und als heuchlerisch erkannt habe, hat zum Inhalt die Versöhnung mit Personen, zu denen die freundschaftlichen Beziehungen längst erloschen sind. Die Analyse deckt dann regelmäßig einen Anlaß auf, der mich auffordern könnte, den letzten Rest von Rücksicht auf diese ehemaligen Freunde beiseite zu setzen und sie wie Fremde oder wie Feinde zu behandeln. Der Traum aber gefällt sich darin, die gegensätzliche Relation auszumalen.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Bei der Beurteilung von Träumen, die ein Dichter mitteilt, darf man oft genug annehmen, daß er solche als störend empfundene und für unwesentlich erachtete Einzelheiten des Trauminhalts von der Mitteilung ausgeschlossen hat. Seine Träume geben uns dann Rätsel auf, die bei exakter Wiedergabe des Trauminhalts bald zu lösen wären.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O. </w:t>
      </w:r>
      <w:r w:rsidRPr="00A06A59">
        <w:rPr>
          <w:rFonts w:ascii="Garamond" w:hAnsi="Garamond" w:cs="Arial"/>
          <w:i/>
          <w:iCs/>
          <w:color w:val="000000"/>
          <w:lang w:val="en-GB"/>
        </w:rPr>
        <w:t>Rank</w:t>
      </w:r>
      <w:r w:rsidRPr="00A06A59">
        <w:rPr>
          <w:rFonts w:ascii="Garamond" w:hAnsi="Garamond" w:cs="Arial"/>
          <w:color w:val="000000"/>
          <w:lang w:val="en-GB"/>
        </w:rPr>
        <w:t xml:space="preserve"> machte mich auch aufmerksam, daß im Grimmschen Märchen vom tapferen Schneiderlein oder Sieben auf einen Streich ein ganz ähnlicher Traum eines Emporkömmlings erzählt wird. Der Schneider, der Heros und Schwiegersohn des Königs geworden ist, träumt eines Nachts bei der Prinzessin, seiner Gemahlin, von seinem </w:t>
      </w:r>
      <w:r w:rsidRPr="00A06A59">
        <w:rPr>
          <w:rFonts w:ascii="Garamond" w:hAnsi="Garamond" w:cs="Arial"/>
          <w:color w:val="000000"/>
          <w:lang w:val="en-GB"/>
        </w:rPr>
        <w:lastRenderedPageBreak/>
        <w:t>Handwerk; diese, mißtrauisch geworden, bestellt nun Bewaffnete für die nächste Nacht, die das aus dem Traum Gesprochene anhören und sich der Person des Träumers versichern sollen. Aber das Schneiderlein ist gewarnt und weiß jetzt den Traum zu korrigieren.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Komplikation der Aufhebungs-, Subtraktions- und Verkehrungsvorgänge, durch welche endlich aus den Affekten der Traumgedanken die des Traumes werden, läßt sich an geeigneten Synthesen vollständig analysierter Träume gut überblicken. Ich will hier noch einige Beispiele der Affektregung im Traume behandeln, die etwa einige der besprochenen Fälle als realisiert erweisen.</w:t>
      </w:r>
    </w:p>
    <w:p w:rsidR="00A06A59" w:rsidRPr="00A06A59" w:rsidRDefault="00A06A59" w:rsidP="00A06A59">
      <w:pPr>
        <w:pStyle w:val="center1"/>
        <w:shd w:val="clear" w:color="auto" w:fill="FFFFFF"/>
        <w:tabs>
          <w:tab w:val="left" w:pos="7513"/>
          <w:tab w:val="left" w:pos="9639"/>
        </w:tabs>
        <w:spacing w:line="124" w:lineRule="atLeast"/>
        <w:ind w:left="-426" w:right="-567"/>
        <w:jc w:val="left"/>
        <w:rPr>
          <w:rFonts w:ascii="Garamond" w:hAnsi="Garamond" w:cs="Arial"/>
          <w:color w:val="000000"/>
          <w:sz w:val="22"/>
          <w:szCs w:val="22"/>
          <w:lang w:val="en-GB"/>
        </w:rPr>
      </w:pPr>
      <w:r w:rsidRPr="00A06A59">
        <w:rPr>
          <w:rFonts w:ascii="Garamond" w:hAnsi="Garamond" w:cs="Arial"/>
          <w:color w:val="000000"/>
          <w:sz w:val="22"/>
          <w:szCs w:val="22"/>
          <w:lang w:val="en-GB"/>
        </w:rPr>
        <w:t>V</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dem Traume von der sonderbaren Aufgabe, die mir der alte Brücke stellt, mein eigenes Becken zu präparieren, </w:t>
      </w:r>
      <w:r w:rsidRPr="00A06A59">
        <w:rPr>
          <w:rFonts w:ascii="Garamond" w:hAnsi="Garamond" w:cs="Arial"/>
          <w:i/>
          <w:iCs/>
          <w:color w:val="000000"/>
          <w:lang w:val="en-GB"/>
        </w:rPr>
        <w:t>vermisse ich im Traume selbst das dazugehörige Grauen</w:t>
      </w:r>
      <w:r w:rsidRPr="00A06A59">
        <w:rPr>
          <w:rFonts w:ascii="Garamond" w:hAnsi="Garamond" w:cs="Arial"/>
          <w:color w:val="000000"/>
          <w:lang w:val="en-GB"/>
        </w:rPr>
        <w:t xml:space="preserve">. Dies ist nun Wunscherfüllung in mehr als einem Sinne. Die Präparation bedeutet die Selbstanalyse, die ich gleichsam durch die Veröffentlichung des Traumbuches vollziehe, die mir in Wirklichkeit so peinlich war, daß ich den Druck des bereitliegenden Manuskripts um mehr als ein Jahr aufgeschoben habe. Es regt sich nun der Wunsch, daß ich mich über diese abhaltende Empfindung hinaussetzen möge, darum verspüre ich im Traume kein </w:t>
      </w:r>
      <w:r w:rsidRPr="00A06A59">
        <w:rPr>
          <w:rFonts w:ascii="Garamond" w:hAnsi="Garamond" w:cs="Arial"/>
          <w:i/>
          <w:iCs/>
          <w:color w:val="000000"/>
          <w:lang w:val="en-GB"/>
        </w:rPr>
        <w:t>Grauen</w:t>
      </w:r>
      <w:r w:rsidRPr="00A06A59">
        <w:rPr>
          <w:rFonts w:ascii="Garamond" w:hAnsi="Garamond" w:cs="Arial"/>
          <w:color w:val="000000"/>
          <w:lang w:val="en-GB"/>
        </w:rPr>
        <w:t xml:space="preserve">. Das » </w:t>
      </w:r>
      <w:r w:rsidRPr="00A06A59">
        <w:rPr>
          <w:rFonts w:ascii="Garamond" w:hAnsi="Garamond" w:cs="Arial"/>
          <w:i/>
          <w:iCs/>
          <w:color w:val="000000"/>
          <w:lang w:val="en-GB"/>
        </w:rPr>
        <w:t>Grauen</w:t>
      </w:r>
      <w:r w:rsidRPr="00A06A59">
        <w:rPr>
          <w:rFonts w:ascii="Garamond" w:hAnsi="Garamond" w:cs="Arial"/>
          <w:color w:val="000000"/>
          <w:lang w:val="en-GB"/>
        </w:rPr>
        <w:t xml:space="preserve">« im anderen Sinne möchte ich auch gerne vermissen; es graut bei mir schon ordentlich, und dies </w:t>
      </w:r>
      <w:r w:rsidRPr="00A06A59">
        <w:rPr>
          <w:rFonts w:ascii="Garamond" w:hAnsi="Garamond" w:cs="Arial"/>
          <w:i/>
          <w:iCs/>
          <w:color w:val="000000"/>
          <w:lang w:val="en-GB"/>
        </w:rPr>
        <w:t>Grau</w:t>
      </w:r>
      <w:r w:rsidRPr="00A06A59">
        <w:rPr>
          <w:rFonts w:ascii="Garamond" w:hAnsi="Garamond" w:cs="Arial"/>
          <w:color w:val="000000"/>
          <w:lang w:val="en-GB"/>
        </w:rPr>
        <w:t xml:space="preserve"> der Haare mahnt mich gleichfalls, nicht länger zurückzuhalten. Wir wissen ja, daß am Schlusse des Traums der Gedanke zur Darstellung durchdringt, ich würde es den Kindern überlassen müssen, in der schwierigen Wanderung ans Ziel zu kommen.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den zwei Träumen, die den Ausdruck der Befriedigung in die nächsten Augenblicke nach dem Erwachen verlegen, ist diese Befriedigung das eine Mal motiviert durch die Erwartung, ich werde jetzt erfahren, was es heißt, »ich habe schon davon geträumt«, und bezieht sich eigentlich auf die Geburt der ersten Kinder, das andere Mal durch die Überzeugung, es werde jetzt eintreffen, »was sich durch ein Vorzeichen angekündigt hat«, und diese Befriedigung ist die nämliche, die seinerzeit den zweiten Sohn begrüßt hat. Es sind hier im Traume die Affekte verblieben, die in den Traumgedanken herrschen, aber es geht wohl in keinem Traume so ganz einfach zu. Vertieft man sich ein wenig in beide Analysen, so erfährt man, daß diese der Zensur nicht unterliegende Befriedigung einen Zuzug aus einer Quelle erhält, welche die Zensur zu fürchten hat und deren Affekt sicherlich Widerspruch erregen würde, wenn er sich nicht durch den gleichartigen, gerne zugelassenen Befriedigungsaffekt aus der erlaubten Quelle decken, sich gleichsam hinter ihm einschleichen würde. Ich kann dies leider nicht an dem Traumbeispiel selbst erweisen, aber ein Beispiel aus anderer Sphäre wird meine Meinung verständlich machen. Ich setze folgenden Fall: Es gäbe in meiner Nähe eine Person, die ich hasse, so daß in mir eine lebhafte Regung zustande kommt, mich zu freuen, wenn ihr etwas widerfährt. Dieser Regung gibt aber das Moralische in meinem Wesen nicht nach; ich wage es nicht, den Unglückswunsch zu äußern, und nachdem ihr unverschuldet etwas zugestoßen ist, unterdrücke ich meine Befriedigung darüber und nötige mich zu Äußerungen und Gedanken des Bedauerns. Jedermann wird sich schon in solcher Lage befunden haben. Nun ereigne es sich aber, daß die gehaßte Person sich durch eine Überschreitung eine wohlverdiente Unannehmlichkeit zuziehe; dann darf ich meiner Befriedigung darüber freien Lauf lassen, daß sie von der gerechten Strafe getroffen worden ist, und äußere mich darin übereinstimmend mit vielen anderen, die unparteiisch sind. Ich kann aber die Beobachtung machen, daß meine Befriedigung intensiver ausfällt als die der anderen; sie hat einen Zuzug aus der Quelle meines Hasses erhalten, der bis dahin von der inneren Zensur verhindert war, Affekt zu liefern, unter den geänderten Verhältnissen aber nicht mehr gehindert wird. Dieser Fall trifft in der Gesellschaft allgemein zu, wo antipathische Personen oder Angehörige einer ungern gesehenen Minorität eine Schuld auf sich laden. Ihre Bestrafung entspricht dann gewöhnlich nicht ihrem Verschulden, sondern dem Verschulden vermehrt um das bisher effektlose Übelwollen, das sich gegen sie richtet. Die Strafenden begehen dabei zweifellos eine Ungerechtigkeit; sie werden aber an der Wahrnehmung derselben gehindert durch die Befriedigung, welche ihnen die Aufhebung einer lange festgehaltenen Unterdrückung in ihrem Inneren bereitet. In solchen Fällen ist der Affekt seiner Qualität nach zwar berechtigt, aber nicht sein Ausmaß; und die in dem einen Punkt beruhigte Selbstkritik vernachlässigt nur zu leicht die Prüfung des zweiten Punktes. Wenn einmal die Türe geöffnet ist, so drängen sich leicht mehr Leute durch, als man ursprünglich einzulassen beabsichtigte.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i/>
          <w:iCs/>
          <w:color w:val="000000"/>
          <w:lang w:val="en-GB"/>
        </w:rPr>
      </w:pPr>
      <w:r w:rsidRPr="00A06A59">
        <w:rPr>
          <w:rFonts w:ascii="Garamond" w:hAnsi="Garamond" w:cs="Arial"/>
          <w:color w:val="000000"/>
          <w:lang w:val="en-GB"/>
        </w:rPr>
        <w:t xml:space="preserve">Der auffällige Zug des neurotischen Charakters, daß affektfähige Anlässe bei ihm eine Wirkung erzielen, die, qualitativ berechtigt, quantitativ über das Maß hinausgeht, erklärt sich auf diese Weise, soweit er überhaupt eine psychologische Erklärung zuläßt. Der Überschuß rührt aber aus unbewußt gebliebenen, bis dahin unterdrückten Affektquellen her, die mit dem realen Anlaß eine assoziative Verbindung herstellen können und für deren Affektentbindung die einspruchsfreie und zugelassene Affektquelle die erwünschte Bahnung eröffnet. Wir werden so aufmerksam gemacht, daß wir zwischen der unterdrückten und der unterdrückenden seelischen Instanz nicht ausschließlich die Beziehungen gegenseitiger Hemmung ins Auge fassen dürfen. Ebensoviel Beachtung verdienen die Fälle, in denen die beiden Instanzen durch Zusammenwirken, durch gegenseitige Verstärkung, einen pathologischen Effekt zustande bringen. </w:t>
      </w:r>
      <w:r w:rsidRPr="00A06A59">
        <w:rPr>
          <w:rFonts w:ascii="Garamond" w:hAnsi="Garamond" w:cs="Arial"/>
          <w:color w:val="000000"/>
          <w:lang w:val="en-GB"/>
        </w:rPr>
        <w:lastRenderedPageBreak/>
        <w:t xml:space="preserve">Diese andeutenden Bemerkungen über psychische Mechanik wolle man nun zum Verständnis der Affektäußerungen des Traumes verwenden. Eine Befriedigung, die sich im Traume kundgibt und die natürlich alsbald an ihrer Stelle in den Traumgedanken aufzufinden ist, ist durch diesen Nachweis allein nicht immer vollständig aufgeklärt. In der Regel wird man für sie eine zweite Quelle in den Traumgedanken aufzusuchen haben, auf welcher der Druck der Zensur lastet und die unter diesem Drucke nicht Befriedigung, sondern den gegenteiligen Affekt ergeben hätte, die aber durch die Anwesenheit der ersten Traumquelle in den Stand gesetzt wird, ihren Befriedigungsaffekt der Verdrängung zu entziehen und als Verstärkung zu der Befriedigung aus anderer Quelle stoßen zu lassen. So erscheinen die Affekte im Traume als zusammengefaßt aus mehreren Zuflüssen und als überdeterminiert in bezug auf das Material der Traumgedanken; </w:t>
      </w:r>
      <w:r w:rsidRPr="00A06A59">
        <w:rPr>
          <w:rFonts w:ascii="Garamond" w:hAnsi="Garamond" w:cs="Arial"/>
          <w:i/>
          <w:iCs/>
          <w:color w:val="000000"/>
          <w:lang w:val="en-GB"/>
        </w:rPr>
        <w:t>Affektquellen, die den nämlichen Affekt liefern können, treten bei der Traumarbeit zur Bildung desselben zusammen</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14"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Analog habe ich die außerordentlich starke Lustwirkung der tendenziösen Witze erklärt.</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wenig Einblick in diese verwickelten Verhältnisse erhält man durch die Analyse des schönen Traumes, in dem » </w:t>
      </w:r>
      <w:r w:rsidRPr="00A06A59">
        <w:rPr>
          <w:rFonts w:ascii="Garamond" w:hAnsi="Garamond" w:cs="Arial"/>
          <w:i/>
          <w:iCs/>
          <w:color w:val="000000"/>
          <w:lang w:val="en-GB"/>
        </w:rPr>
        <w:t>Non vixit</w:t>
      </w:r>
      <w:r w:rsidRPr="00A06A59">
        <w:rPr>
          <w:rFonts w:ascii="Garamond" w:hAnsi="Garamond" w:cs="Arial"/>
          <w:color w:val="000000"/>
          <w:lang w:val="en-GB"/>
        </w:rPr>
        <w:t>« den Mittelpunkt bildet (vgl. S. 287). In diesem Traum sind die Affektäußerungen von verschiedener Qualität an zwei Stellen des manifesten Inhalts zusammengedrängt. Feindselige und peinliche Regungen (im Traume selbst heißt es »von merkwürdigen Affekten ergriffen«) überlagern einander dort, wo ich den gegnerischen Freund mit den beiden Worten vernichte. Am Ende des Traumes bin ich ungemein erfreut und urteile dann anerkennend über eine im Wachen als absurd erkannte Möglichkeit, daß es nämlich Revenants gibt, die man durch den bloßen Wunsch beseitigen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habe die Veranlassung dieses Traumes noch nicht mitgeteilt. Sie ist eine wesentliche und führt tief in das Verständnis des Traumes hinein. Ich hatte von meinem Freunde in Berlin (den ich mit Fl. bezeichnet habe) die Nachricht bekommen, daß er sich einer Operation unterziehen werde und daß in Wien lebende Verwandte mir die weiteren Auskünfte über sein Befinden geben würden. Diese ersten Nachrichten nach der Operation lauteten nicht erfreulich und machten mir Sorge. Ich wäre am liebsten selbst zu ihm gereist, aber ich war gerade zu jener Zeit mit einem schmerzhaften Leiden behaftet, das mir jede Bewegung zur Qual machte. Aus den Traumgedanken erfahre ich nun, daß ich für das Leben des teuren Freundes fürchtete. Seine einzige Schwester, die ich nie gekannt, war, wie ich wußte, in jungen Jahren nach kürzester Krankheit gestorben. (Im Traum: </w:t>
      </w:r>
      <w:r w:rsidRPr="00A06A59">
        <w:rPr>
          <w:rFonts w:ascii="Garamond" w:hAnsi="Garamond" w:cs="Arial"/>
          <w:i/>
          <w:iCs/>
          <w:color w:val="000000"/>
          <w:lang w:val="en-GB"/>
        </w:rPr>
        <w:t>Fl. erzählt von seiner Schwester und sagt: in drei viertel Stunden war sie tot.</w:t>
      </w:r>
      <w:r w:rsidRPr="00A06A59">
        <w:rPr>
          <w:rFonts w:ascii="Garamond" w:hAnsi="Garamond" w:cs="Arial"/>
          <w:color w:val="000000"/>
          <w:lang w:val="en-GB"/>
        </w:rPr>
        <w:t xml:space="preserve">) Ich muß mir eingebildet haben, daß seine eigene Natur nicht viel resistenter sei, und mir vorgestellt, daß ich auf weit schlimmere Nachrichten nun endlich doch reise und </w:t>
      </w:r>
      <w:r w:rsidRPr="00A06A59">
        <w:rPr>
          <w:rFonts w:ascii="Garamond" w:hAnsi="Garamond" w:cs="Arial"/>
          <w:i/>
          <w:iCs/>
          <w:color w:val="000000"/>
          <w:lang w:val="en-GB"/>
        </w:rPr>
        <w:t>zu spät</w:t>
      </w:r>
      <w:r w:rsidRPr="00A06A59">
        <w:rPr>
          <w:rFonts w:ascii="Garamond" w:hAnsi="Garamond" w:cs="Arial"/>
          <w:color w:val="000000"/>
          <w:lang w:val="en-GB"/>
        </w:rPr>
        <w:t xml:space="preserve"> komme, worüber ich mir ewige Vorwürfe machen könnte.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rPr>
      </w:pPr>
      <w:hyperlink r:id="rId215"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Diese Phantasie aus den unbewußten Traumgedanken ist es, die gebieterisch </w:t>
        </w:r>
        <w:r w:rsidR="00A06A59" w:rsidRPr="00A06A59">
          <w:rPr>
            <w:rStyle w:val="innerfusslink3"/>
            <w:rFonts w:ascii="Garamond" w:hAnsi="Garamond" w:cs="Arial"/>
            <w:bCs/>
            <w:i/>
            <w:iCs/>
            <w:color w:val="0000CC"/>
            <w:lang w:val="en-GB"/>
          </w:rPr>
          <w:t>non vivit</w:t>
        </w:r>
        <w:r w:rsidR="00A06A59" w:rsidRPr="00A06A59">
          <w:rPr>
            <w:rStyle w:val="innerfusslink3"/>
            <w:rFonts w:ascii="Garamond" w:hAnsi="Garamond" w:cs="Arial"/>
            <w:bCs/>
            <w:color w:val="0000CC"/>
            <w:lang w:val="en-GB"/>
          </w:rPr>
          <w:t xml:space="preserve"> anstatt </w:t>
        </w:r>
        <w:r w:rsidR="00A06A59" w:rsidRPr="00A06A59">
          <w:rPr>
            <w:rStyle w:val="innerfusslink3"/>
            <w:rFonts w:ascii="Garamond" w:hAnsi="Garamond" w:cs="Arial"/>
            <w:bCs/>
            <w:i/>
            <w:iCs/>
            <w:color w:val="0000CC"/>
            <w:lang w:val="en-GB"/>
          </w:rPr>
          <w:t>non vixit</w:t>
        </w:r>
        <w:r w:rsidR="00A06A59" w:rsidRPr="00A06A59">
          <w:rPr>
            <w:rStyle w:val="innerfusslink3"/>
            <w:rFonts w:ascii="Garamond" w:hAnsi="Garamond" w:cs="Arial"/>
            <w:bCs/>
            <w:color w:val="0000CC"/>
            <w:lang w:val="en-GB"/>
          </w:rPr>
          <w:t xml:space="preserve"> verlangt. »Du bist zu spät gekommen, er lebt nicht mehr.« </w:t>
        </w:r>
        <w:r w:rsidR="00A06A59" w:rsidRPr="00A06A59">
          <w:rPr>
            <w:rStyle w:val="innerfusslink3"/>
            <w:rFonts w:ascii="Garamond" w:hAnsi="Garamond" w:cs="Arial"/>
            <w:bCs/>
            <w:color w:val="0000CC"/>
          </w:rPr>
          <w:t xml:space="preserve">Daß auch die manifeste Situation des Traumes auf </w:t>
        </w:r>
        <w:r w:rsidR="00A06A59" w:rsidRPr="00A06A59">
          <w:rPr>
            <w:rStyle w:val="innerfusslink3"/>
            <w:rFonts w:ascii="Garamond" w:hAnsi="Garamond" w:cs="Arial"/>
            <w:bCs/>
            <w:i/>
            <w:iCs/>
            <w:color w:val="0000CC"/>
          </w:rPr>
          <w:t>non vivit</w:t>
        </w:r>
        <w:r w:rsidR="00A06A59" w:rsidRPr="00A06A59">
          <w:rPr>
            <w:rStyle w:val="innerfusslink3"/>
            <w:rFonts w:ascii="Garamond" w:hAnsi="Garamond" w:cs="Arial"/>
            <w:bCs/>
            <w:color w:val="0000CC"/>
          </w:rPr>
          <w:t xml:space="preserve"> zielt, ist S. 288 angegeben worden.</w:t>
        </w:r>
      </w:hyperlink>
      <w:r w:rsidR="00A06A59" w:rsidRPr="00A06A59">
        <w:rPr>
          <w:rFonts w:ascii="Garamond" w:hAnsi="Garamond" w:cs="Arial"/>
          <w:color w:val="0000CC"/>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Dieser Vorwurf wegen des Zuspätkommens ist zum Mittelpunkt des Traumes geworden, hat sich aber in einer Szene dargestellt, in der der verehrte Meister meiner Studentenjahre Brücke mir mit einem fürchterlichen Blicke seiner blauen Augen den Vorwurf macht. </w:t>
      </w:r>
      <w:r w:rsidRPr="00A06A59">
        <w:rPr>
          <w:rFonts w:ascii="Garamond" w:hAnsi="Garamond" w:cs="Arial"/>
          <w:color w:val="000000"/>
          <w:lang w:val="en-GB"/>
        </w:rPr>
        <w:t xml:space="preserve">Was diese Ablenkung der Szene zustande gebracht, wird sich bald ergeben; die Szene selbst kann der Traum nicht so reproduzieren, wie ich sie erlebt habe. Er läßt zwar dem anderen die blauen Augen, aber er gibt mir die vernichtende Rolle, eine Umkehrung, die offenbar das Werk der Wunscherfüllung ist. Die Sorge um das Leben des Freundes, der Vorwurf, daß ich nicht zu ihm hinreise, meine Beschämung ( </w:t>
      </w:r>
      <w:r w:rsidRPr="00A06A59">
        <w:rPr>
          <w:rFonts w:ascii="Garamond" w:hAnsi="Garamond" w:cs="Arial"/>
          <w:i/>
          <w:iCs/>
          <w:color w:val="000000"/>
          <w:lang w:val="en-GB"/>
        </w:rPr>
        <w:t>er ist</w:t>
      </w:r>
      <w:r w:rsidRPr="00A06A59">
        <w:rPr>
          <w:rFonts w:ascii="Garamond" w:hAnsi="Garamond" w:cs="Arial"/>
          <w:color w:val="000000"/>
          <w:lang w:val="en-GB"/>
        </w:rPr>
        <w:t xml:space="preserve"> » </w:t>
      </w:r>
      <w:r w:rsidRPr="00A06A59">
        <w:rPr>
          <w:rFonts w:ascii="Garamond" w:hAnsi="Garamond" w:cs="Arial"/>
          <w:i/>
          <w:iCs/>
          <w:color w:val="000000"/>
          <w:lang w:val="en-GB"/>
        </w:rPr>
        <w:t>unauffällig</w:t>
      </w:r>
      <w:r w:rsidRPr="00A06A59">
        <w:rPr>
          <w:rFonts w:ascii="Garamond" w:hAnsi="Garamond" w:cs="Arial"/>
          <w:color w:val="000000"/>
          <w:lang w:val="en-GB"/>
        </w:rPr>
        <w:t xml:space="preserve">« zu mir </w:t>
      </w:r>
      <w:r w:rsidRPr="00A06A59">
        <w:rPr>
          <w:rFonts w:ascii="Garamond" w:hAnsi="Garamond" w:cs="Arial"/>
          <w:i/>
          <w:iCs/>
          <w:color w:val="000000"/>
          <w:lang w:val="en-GB"/>
        </w:rPr>
        <w:t>nach Wien gekommen</w:t>
      </w:r>
      <w:r w:rsidRPr="00A06A59">
        <w:rPr>
          <w:rFonts w:ascii="Garamond" w:hAnsi="Garamond" w:cs="Arial"/>
          <w:color w:val="000000"/>
          <w:lang w:val="en-GB"/>
        </w:rPr>
        <w:t>), mein Bedürfnis, mich durch meine Krankheit für entschuldigt zu halten, das alles setzt den Gefühlssturm zusammen, der, im Schlaf deutlich verspürt, in jener Region der Traumgedanken tobt.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 der Traumveranlassung war aber noch etwas anderes, was auf mich eine ganz entgegengesetzte Wirkung hatte. Bei den ungünstigen Nachrichten aus den ersten Tagen der Operation erhielt ich auch die Mahnung, von der ganzen Angelegenheit mit niemandem zu sprechen, die mich beleidigte, weil sie ein überflüssiges Mißtrauen in meine Verschwiegenheit zur Voraussetzung hatte. Ich wußte zwar, daß dieser Auftrag nicht von meinem Freunde ausging, sondern einer Ungeschicklichkeit oder Überängstlichkeit des vermittelnden Boten entsprach, aber ich wurde von dem versteckten Vorwurf sehr peinlich berührt, weil er nicht ganz unberechtigt war. Andere Vorwürfe als solche, an denen »etwas daran ist«, haften bekanntlich nicht, haben keine aufregende Kraft. Zwar nicht in der Sache meines Freundes, aber früher einmal in viel jüngeren Jahren hatte ich zwischen zwei Freunden, die beide auch mich zu meiner Ehrung so nennen wollten, überflüssigerweise etwas ausgeplaudert, was der eine über den anderen gesagt hatte. Auch die Vorwürfe, die ich damals zu hören bekam, habe ich nicht vergessen. Der eine der beiden Freunde, zwischen denen ich damals den Unfriedenstifter machte, war Professor </w:t>
      </w:r>
      <w:r w:rsidRPr="00A06A59">
        <w:rPr>
          <w:rFonts w:ascii="Garamond" w:hAnsi="Garamond" w:cs="Arial"/>
          <w:i/>
          <w:iCs/>
          <w:color w:val="000000"/>
          <w:lang w:val="en-GB"/>
        </w:rPr>
        <w:t>Fleischl</w:t>
      </w:r>
      <w:r w:rsidRPr="00A06A59">
        <w:rPr>
          <w:rFonts w:ascii="Garamond" w:hAnsi="Garamond" w:cs="Arial"/>
          <w:color w:val="000000"/>
          <w:lang w:val="en-GB"/>
        </w:rPr>
        <w:t xml:space="preserve">, der andere kann durch den Vornamen </w:t>
      </w:r>
      <w:r w:rsidRPr="00A06A59">
        <w:rPr>
          <w:rFonts w:ascii="Garamond" w:hAnsi="Garamond" w:cs="Arial"/>
          <w:i/>
          <w:iCs/>
          <w:color w:val="000000"/>
          <w:lang w:val="en-GB"/>
        </w:rPr>
        <w:t>Josef,</w:t>
      </w:r>
      <w:r w:rsidRPr="00A06A59">
        <w:rPr>
          <w:rFonts w:ascii="Garamond" w:hAnsi="Garamond" w:cs="Arial"/>
          <w:color w:val="000000"/>
          <w:lang w:val="en-GB"/>
        </w:rPr>
        <w:t xml:space="preserve"> den auch mein im Traume auftretender Freund und Gegner P. führte, ersetzt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Von dem Vorwurf, daß ich nichts für mich zu behalten vermöge, zeugen im Traume die Elemente </w:t>
      </w:r>
      <w:r w:rsidRPr="00A06A59">
        <w:rPr>
          <w:rFonts w:ascii="Garamond" w:hAnsi="Garamond" w:cs="Arial"/>
          <w:i/>
          <w:iCs/>
          <w:color w:val="000000"/>
          <w:lang w:val="en-GB"/>
        </w:rPr>
        <w:t>unauffällig</w:t>
      </w:r>
      <w:r w:rsidRPr="00A06A59">
        <w:rPr>
          <w:rFonts w:ascii="Garamond" w:hAnsi="Garamond" w:cs="Arial"/>
          <w:color w:val="000000"/>
          <w:lang w:val="en-GB"/>
        </w:rPr>
        <w:t xml:space="preserve"> und die Frage Fl.s, </w:t>
      </w:r>
      <w:r w:rsidRPr="00A06A59">
        <w:rPr>
          <w:rFonts w:ascii="Garamond" w:hAnsi="Garamond" w:cs="Arial"/>
          <w:i/>
          <w:iCs/>
          <w:color w:val="000000"/>
          <w:lang w:val="en-GB"/>
        </w:rPr>
        <w:t>wieviel von seinen Dingen ich P. denn mitgeteilt habe</w:t>
      </w:r>
      <w:r w:rsidRPr="00A06A59">
        <w:rPr>
          <w:rFonts w:ascii="Garamond" w:hAnsi="Garamond" w:cs="Arial"/>
          <w:color w:val="000000"/>
          <w:lang w:val="en-GB"/>
        </w:rPr>
        <w:t xml:space="preserve">. Die Einmengung dieser Erinnerung ist es aber, welche den </w:t>
      </w:r>
      <w:r w:rsidRPr="00A06A59">
        <w:rPr>
          <w:rFonts w:ascii="Garamond" w:hAnsi="Garamond" w:cs="Arial"/>
          <w:color w:val="000000"/>
          <w:lang w:val="en-GB"/>
        </w:rPr>
        <w:lastRenderedPageBreak/>
        <w:t>Vorwurf des Zuspätkommens aus der Gegenwart in die Zeit, da ich im Brückeschen Laboratorium lebte, verlegt, und indem ich die zweite Person in der Vernichtungsszene des Traums durch einen Josef ersetze, lasse ich diese Szene nicht nur den einen Vorwurf darstellen, daß ich zu spät komme, sondern auch den von der Verdrängung stärker betroffenen, daß ich kein Geheimnis bewahre. Die Verdichtungs- und Verschiebungsarbeit des Traumes, sowie deren Motive, werden hier augenfällig.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in der Gegenwart geringfügige Ärger über die Mahnung, nichts zu verraten, holt sich aber Verstärkungen aus in der Tiefe fließenden Quellen und schwillt so zu einem Strom feindseliger Regungen gegen in Wirklichkeit geliebte Personen an. Die Quelle, welche die Verstärkung liefert, fließt im Infantilen. Ich habe schon erzählt, daß meine warmen Freundschaften wie meine Feindschaften mit Gleichalterigen auf meinen Kinderverkehr mit einem um ein Jahr älteren Neffen zurückgehen, in dem er der Überlegene war, ich mich frühzeitig zur Wehre setzen lernte, wir unzertrennlich miteinander lebten und einander liebten, dazwischen, wie Mitteilungen älterer Personen bezeugen, uns rauften und – </w:t>
      </w:r>
      <w:r w:rsidRPr="00A06A59">
        <w:rPr>
          <w:rFonts w:ascii="Garamond" w:hAnsi="Garamond" w:cs="Arial"/>
          <w:i/>
          <w:iCs/>
          <w:color w:val="000000"/>
          <w:lang w:val="en-GB"/>
        </w:rPr>
        <w:t>verklagten</w:t>
      </w:r>
      <w:r w:rsidRPr="00A06A59">
        <w:rPr>
          <w:rFonts w:ascii="Garamond" w:hAnsi="Garamond" w:cs="Arial"/>
          <w:color w:val="000000"/>
          <w:lang w:val="en-GB"/>
        </w:rPr>
        <w:t xml:space="preserve">. Alle meine Freunde sind in gewissem Sinne Inkarnationen dieser ersten Gestalt, die »früh sich einst dem trüben Blick gezeigt«, </w:t>
      </w:r>
      <w:r w:rsidRPr="00A06A59">
        <w:rPr>
          <w:rFonts w:ascii="Garamond" w:hAnsi="Garamond" w:cs="Arial"/>
          <w:i/>
          <w:iCs/>
          <w:color w:val="000000"/>
          <w:lang w:val="en-GB"/>
        </w:rPr>
        <w:t>Revenants</w:t>
      </w:r>
      <w:r w:rsidRPr="00A06A59">
        <w:rPr>
          <w:rFonts w:ascii="Garamond" w:hAnsi="Garamond" w:cs="Arial"/>
          <w:color w:val="000000"/>
          <w:lang w:val="en-GB"/>
        </w:rPr>
        <w:t>. Mein Neffe selbst kam in den Jünglingsjahren wieder, und damals führten wir Cäsar und Brutus miteinander auf. Ein intimer Freund und ein gehaßter Feind waren mir immer notwendige Erfordernisse meines Gefühlslebens; ich wußte beide mir immer von neuem zu verschaffen, und nicht selten stellte sich das Kindheitsideal so weit her, daß Freund und Feind in dieselbe Person zusammenfielen, natürlich nicht mehr gleichzeitig oder in mehrfach wiederholter Abwechslung, wie es in den ersten Kinderjahren der Fall gewesen sein mag.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Auf welche Weise bei so bestehenden Zusammenhängen ein rezenter Anlaß zum Affekt bis auf den infantilen zurückgreifen kann, um sich durch ihn für die Affektwirkung zu ersetzen, das möchte ich hier nicht verfolgen. </w:t>
      </w:r>
      <w:r w:rsidRPr="00A06A59">
        <w:rPr>
          <w:rFonts w:ascii="Garamond" w:hAnsi="Garamond" w:cs="Arial"/>
          <w:color w:val="000000"/>
        </w:rPr>
        <w:t xml:space="preserve">Es gehört der Psychologie des unbewußten Denkens an und fände seine Stelle in einer psychologischen Aufklärung der Neurosen. Nehmen wir für unsere Zwecke der Traumdeutung an, daß sich eine Kindererinnerung einstellt oder eine solche phantastisch gebildet wird etwa folgenden Inhalts: Die beiden Kinder geraten in Streit miteinander um ein Objekt, – welches, lassen wir dahingestellt, obwohl die Erinnerung oder Erinnerungstäuschung ein ganz bestimmtes im Auge hat; – ein jeder behauptet, </w:t>
      </w:r>
      <w:r w:rsidRPr="00A06A59">
        <w:rPr>
          <w:rFonts w:ascii="Garamond" w:hAnsi="Garamond" w:cs="Arial"/>
          <w:i/>
          <w:iCs/>
          <w:color w:val="000000"/>
        </w:rPr>
        <w:t>er sei früher gekommen</w:t>
      </w:r>
      <w:r w:rsidRPr="00A06A59">
        <w:rPr>
          <w:rFonts w:ascii="Garamond" w:hAnsi="Garamond" w:cs="Arial"/>
          <w:color w:val="000000"/>
        </w:rPr>
        <w:t xml:space="preserve">, habe also das Vorrecht darauf; es kommt zur Schlägerei, Macht geht vor Recht; nach den Andeutungen des Traums könnte ich gewußt haben, daß ich im Unrecht bin ( </w:t>
      </w:r>
      <w:r w:rsidRPr="00A06A59">
        <w:rPr>
          <w:rFonts w:ascii="Garamond" w:hAnsi="Garamond" w:cs="Arial"/>
          <w:i/>
          <w:iCs/>
          <w:color w:val="000000"/>
        </w:rPr>
        <w:t>den Irrtum selbst bemerkend</w:t>
      </w:r>
      <w:r w:rsidRPr="00A06A59">
        <w:rPr>
          <w:rFonts w:ascii="Garamond" w:hAnsi="Garamond" w:cs="Arial"/>
          <w:color w:val="000000"/>
        </w:rPr>
        <w:t xml:space="preserve">); ich bleibe aber diesmal der Stärkere, behaupte das Schlachtfeld, der Unterlegene eilt zum Vater, respektive Großvater, verklagt mich, und ich verteidige mich mit den mir durch die Erzählung des Vaters bekannten Worten: </w:t>
      </w:r>
      <w:r w:rsidRPr="00A06A59">
        <w:rPr>
          <w:rFonts w:ascii="Garamond" w:hAnsi="Garamond" w:cs="Arial"/>
          <w:i/>
          <w:iCs/>
          <w:color w:val="000000"/>
        </w:rPr>
        <w:t>Ich habe ihn gelagt, weil er mich gelagt hat</w:t>
      </w:r>
      <w:r w:rsidRPr="00A06A59">
        <w:rPr>
          <w:rFonts w:ascii="Garamond" w:hAnsi="Garamond" w:cs="Arial"/>
          <w:color w:val="000000"/>
        </w:rPr>
        <w:t xml:space="preserve">, so ist diese Erinnerung oder wahrscheinlicher Phantasie, die sich mir während der Analyse des Traums – ohne weitere Gewähr, ich weiß selbst nicht wie – aufdrängt, ein Mittelstück der Traumgedanken, das die in den Traumgedanken waltenden Affektregungen, wie eine Brunnenschale die zugeleiteten Gewässer, sammelt. Von hier aus fließen die Traumgedanken in folgenden Wegen: Es geschieht dir ganz recht, daß du mir den Platz hast räumen müssen; warum hast du mich vom Platze verdrängen wollen? </w:t>
      </w:r>
      <w:r w:rsidRPr="00A06A59">
        <w:rPr>
          <w:rFonts w:ascii="Garamond" w:hAnsi="Garamond" w:cs="Arial"/>
          <w:color w:val="000000"/>
          <w:lang w:val="en-GB"/>
        </w:rPr>
        <w:t xml:space="preserve">Ich brauche dich nicht, ich werde mir schon einen anderen verschaffen, mit dem ich spiele usw. Dann eröffnen sich die Wege, auf denen diese Gedanken wieder in die Traumdarstellung einmünden. </w:t>
      </w:r>
      <w:r w:rsidRPr="00A06A59">
        <w:rPr>
          <w:rFonts w:ascii="Garamond" w:hAnsi="Garamond" w:cs="Arial"/>
          <w:color w:val="000000"/>
        </w:rPr>
        <w:t xml:space="preserve">Ein solches » </w:t>
      </w:r>
      <w:r w:rsidRPr="00A06A59">
        <w:rPr>
          <w:rFonts w:ascii="Garamond" w:hAnsi="Garamond" w:cs="Arial"/>
          <w:i/>
          <w:iCs/>
          <w:color w:val="000000"/>
        </w:rPr>
        <w:t>Ôte-toi que je m'y mette</w:t>
      </w:r>
      <w:r w:rsidRPr="00A06A59">
        <w:rPr>
          <w:rFonts w:ascii="Garamond" w:hAnsi="Garamond" w:cs="Arial"/>
          <w:color w:val="000000"/>
        </w:rPr>
        <w:t xml:space="preserve">« mußte ich seinerzeit meinem verstorbenen Freunde Josef zum Vorwurf machen. </w:t>
      </w:r>
      <w:r w:rsidRPr="00A06A59">
        <w:rPr>
          <w:rFonts w:ascii="Garamond" w:hAnsi="Garamond" w:cs="Arial"/>
          <w:color w:val="000000"/>
          <w:lang w:val="en-GB"/>
        </w:rPr>
        <w:t xml:space="preserve">Er war in meine Fußstapfen als Aspirant im Brückeschen Laboratorium getreten, aber dort war das Avancement langwierig. Keiner der beiden Assistenten rückte von der Stelle, die Jugend wurde ungeduldig. Mein Freund, der seine Lebenszeit begrenzt wußte und den kein intimes Verhältnis an seinen Vordermann band, gab seiner Ungeduld gelegentlich lauten Ausdruck. Da dieser Vordermann ein Schwerkranker war, konnte der Wunsch, ihn beseitigt zu wissen, außer dem Sinn: durch eine Beförderung, auch eine anstößige Nebendeutung zulassen. Natürlich war bei mir einige Jahre vorher der nämliche Wunsch, eine freigewordene Stelle einzunehmen, noch viel lebhafter gewesen; wo immer es in der Welt Rangordnung und Beförderung gibt, ist ja der Weg für der Unterdrückung bedürftige Wünsche eröffnet. Shakespeares Prinz Hai kann sich nicht einmal am Bett des kranken Vaters der Versuchung entziehen, einmal zu probieren, wie ihm die Krone steht. Aber der Traum straft, wie begreiflich, diesen rücksichtslosen Wunsch nicht an mir, sondern an ihm.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16"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Es wird aufgefallen sein, daß der Name </w:t>
        </w:r>
        <w:r w:rsidR="00A06A59" w:rsidRPr="00A06A59">
          <w:rPr>
            <w:rStyle w:val="innerfusslink3"/>
            <w:rFonts w:ascii="Garamond" w:hAnsi="Garamond" w:cs="Arial"/>
            <w:bCs/>
            <w:i/>
            <w:iCs/>
            <w:color w:val="0000CC"/>
            <w:lang w:val="en-GB"/>
          </w:rPr>
          <w:t>Josef</w:t>
        </w:r>
        <w:r w:rsidR="00A06A59" w:rsidRPr="00A06A59">
          <w:rPr>
            <w:rStyle w:val="innerfusslink3"/>
            <w:rFonts w:ascii="Garamond" w:hAnsi="Garamond" w:cs="Arial"/>
            <w:bCs/>
            <w:color w:val="0000CC"/>
            <w:lang w:val="en-GB"/>
          </w:rPr>
          <w:t xml:space="preserve"> eine so große Rolle in meinen Träumen spielt (siehe den Onkeltraum). Hinter den Personen, die so heißen, kann sich mein Ich im Traume besonders leicht verbergen, denn </w:t>
        </w:r>
        <w:r w:rsidR="00A06A59" w:rsidRPr="00A06A59">
          <w:rPr>
            <w:rStyle w:val="innerfusslink3"/>
            <w:rFonts w:ascii="Garamond" w:hAnsi="Garamond" w:cs="Arial"/>
            <w:bCs/>
            <w:i/>
            <w:iCs/>
            <w:color w:val="0000CC"/>
            <w:lang w:val="en-GB"/>
          </w:rPr>
          <w:t>Josef</w:t>
        </w:r>
        <w:r w:rsidR="00A06A59" w:rsidRPr="00A06A59">
          <w:rPr>
            <w:rStyle w:val="innerfusslink3"/>
            <w:rFonts w:ascii="Garamond" w:hAnsi="Garamond" w:cs="Arial"/>
            <w:bCs/>
            <w:color w:val="0000CC"/>
            <w:lang w:val="en-GB"/>
          </w:rPr>
          <w:t xml:space="preserve"> hieß auch der aus der Bibel bekannte </w:t>
        </w:r>
        <w:r w:rsidR="00A06A59" w:rsidRPr="00A06A59">
          <w:rPr>
            <w:rStyle w:val="innerfusslink3"/>
            <w:rFonts w:ascii="Garamond" w:hAnsi="Garamond" w:cs="Arial"/>
            <w:bCs/>
            <w:i/>
            <w:iCs/>
            <w:color w:val="0000CC"/>
            <w:lang w:val="en-GB"/>
          </w:rPr>
          <w:t>Traumdeuter.</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»Weil er herrschsüchtig war, darum erschlug ich ihn.« Weil er nicht erwarten konnte, daß ihm der andere den Platz räume, darum ist er selbst hinweggeräumt worden. Diese Gedanken hege ich unmittelbar, nachdem ich in der Universität der Enthüllung des dem anderen gesetzten Denkmals beigewohnt habe. Ein Teil meiner im Traume verspürten Befriedigung deutet sich also: Gerechte Strafe; es ist dir recht geschehen.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 dem Leichenbegängnis dieses Freundes machte ein junger Mann die unpassend scheinende Bemerkung: Der Redner habe so gesprochen, als ob jetzt die Welt ohne den einen Menschen nicht mehr bestehen könne. Es regte sich </w:t>
      </w:r>
      <w:r w:rsidRPr="00A06A59">
        <w:rPr>
          <w:rFonts w:ascii="Garamond" w:hAnsi="Garamond" w:cs="Arial"/>
          <w:color w:val="000000"/>
          <w:lang w:val="en-GB"/>
        </w:rPr>
        <w:lastRenderedPageBreak/>
        <w:t xml:space="preserve">in ihm die Auflehnung des wahrhaften Menschen, dem man den Schmerz durch Übertreibung stört. Aber an diese Rede knüpfen sich die Traumgedanken an: Es ist wirklich niemand unersetzlich; wie viele habe ich schon zum Grabe geleitet; ich aber lebe noch, ich habe sie alle überlebt, ich behaupte den Platz. Ein solcher Gedanke im Moment, da ich fürchte, meinen Freund nicht mehr unter den Lebenden anzutreffen, wenn ich zu ihm reise, läßt nur die weitere Entwicklung zu, daß ich mich freue, wieder jemanden zu überleben, daß nicht </w:t>
      </w:r>
      <w:r w:rsidRPr="00A06A59">
        <w:rPr>
          <w:rFonts w:ascii="Garamond" w:hAnsi="Garamond" w:cs="Arial"/>
          <w:i/>
          <w:iCs/>
          <w:color w:val="000000"/>
          <w:lang w:val="en-GB"/>
        </w:rPr>
        <w:t>ich</w:t>
      </w:r>
      <w:r w:rsidRPr="00A06A59">
        <w:rPr>
          <w:rFonts w:ascii="Garamond" w:hAnsi="Garamond" w:cs="Arial"/>
          <w:color w:val="000000"/>
          <w:lang w:val="en-GB"/>
        </w:rPr>
        <w:t xml:space="preserve"> gestorben bin, sondern </w:t>
      </w:r>
      <w:r w:rsidRPr="00A06A59">
        <w:rPr>
          <w:rFonts w:ascii="Garamond" w:hAnsi="Garamond" w:cs="Arial"/>
          <w:i/>
          <w:iCs/>
          <w:color w:val="000000"/>
          <w:lang w:val="en-GB"/>
        </w:rPr>
        <w:t>er</w:t>
      </w:r>
      <w:r w:rsidRPr="00A06A59">
        <w:rPr>
          <w:rFonts w:ascii="Garamond" w:hAnsi="Garamond" w:cs="Arial"/>
          <w:color w:val="000000"/>
          <w:lang w:val="en-GB"/>
        </w:rPr>
        <w:t>, daß ich den Platz behaupte wie damals in der phantasierten Kinderszene. Diese aus dem Infantilen kommende Befriedigung darüber, daß ich den Platz behaupte, deckt den Hauptanteil des in den Traum aufgenommenen Affekts. Ich freue mich darüber, daß ich überlebe, ich äußere das mit dem naiven Egoismus der Anekdote zwischen Ehegatten: »Wenn eines von uns stirbt, übersiedle ich nach Paris.« Es ist für meine Erwartung so selbstverständlich, daß nicht ich der eine bin.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Man kann sich's nicht verbergen, daß schwere Selbstüberwindung dazugehört, seine Träume zu deuten und mitzuteilen. Man muß sich als den einzigen Bösewicht enthüllen unter all den Edlen, mit denen man das Leben teilt. Ich finde es also ganz begreiflich, daß die </w:t>
      </w:r>
      <w:r w:rsidRPr="00A06A59">
        <w:rPr>
          <w:rFonts w:ascii="Garamond" w:hAnsi="Garamond" w:cs="Arial"/>
          <w:i/>
          <w:iCs/>
          <w:color w:val="000000"/>
          <w:lang w:val="en-GB"/>
        </w:rPr>
        <w:t>Revenants</w:t>
      </w:r>
      <w:r w:rsidRPr="00A06A59">
        <w:rPr>
          <w:rFonts w:ascii="Garamond" w:hAnsi="Garamond" w:cs="Arial"/>
          <w:color w:val="000000"/>
          <w:lang w:val="en-GB"/>
        </w:rPr>
        <w:t xml:space="preserve"> nur so lange bestehen, als man sie mag, und daß sie durch den Wunsch beseitigt werden können. Das ist also das, wofür mein Freund Josef gestraft worden ist. Die Revenants sind aber die aufeinanderfolgenden Inkarnationen meines Kindheitsfreundes; ich bin also auch befriedigt darüber, daß ich mir diese Person immer wieder ersetzt habe, und auch für den, den ich jetzt zu verlieren im Begriffe bin, wird sich der Ersatz schon finden. Es ist niemand unersetzlich.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Wo bleibt hier aber die Traumzensur? Warum erhebt sie nicht den energischsten Widerspruch gegen diesen Gedankengang der rohesten Selbstsucht und verwandelt die an ihm haftende Befriedigung nicht in schwere Unlust? Ich meine, weil andere einwurfsfreie Gedankenzüge über die nämlichen Personen gleichfalls in Befriedigung ausgehen und mit ihrem Affekt jenen aus der verbotenen infantilen Quelle decken. In einer anderen Schicht von Gedanken habe ich mir bei jener feierlichen Denkmalenthüllung gesagt: Ich habe so viele teure Freunde verloren, die einen durch Tod, die anderen durch Auflösung der Freundschaft; es ist doch schön, daß sie sich mir ersetzt haben, daß ich den einen gewonnen habe, der mir mehr bedeutet, als die anderen konnten, und den ich jetzt in dem Alter, wo man nicht mehr leicht neue Freundschaften schließt, für immer festhalten werde. Die Befriedigung, daß ich diesen Ersatz für die verlorenen Freunde gefunden habe, darf ich ungestört in den Traum hinübernehmen, aber hinter ihr schleicht sich die feindselige Befriedigung aus infantiler Quelle mit ein. Die infantile Zärtlichkeit hilft sicherlich die heute berechtigte verstärken; aber auch der infantile Haß hat sich seinen Weg in die Darstellung gebahnt.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Im Traume ist aber außerdem ein deutlicher Hinweis auf einen anderen Gedankengang enthalten, der in Befriedigung auslaufen darf. Mein Freund hat kurz vorher nach langem Warten ein Töchterchen bekommen. Ich weiß, wie sehr er seine früh verlorene Schwester betrauert hat, und schreibe ihm, auf dieses Kind würde er die Liebe übertragen, die er zur Schwester empfunden; dieses kleine Mädchen würde ihn den unersetzlichen Verlust endlich vergessen machen.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 knüpft auch diese Reihe wieder an den Zwischengedanken des latenten Trauminhalts an, von dem die Wege nach entgegengesetzten Richtungen auseinandergehen: Es ist niemand unersetzlich. Sieh', nur </w:t>
      </w:r>
      <w:r w:rsidRPr="00A06A59">
        <w:rPr>
          <w:rFonts w:ascii="Garamond" w:hAnsi="Garamond" w:cs="Arial"/>
          <w:i/>
          <w:iCs/>
          <w:color w:val="000000"/>
          <w:lang w:val="en-GB"/>
        </w:rPr>
        <w:t>Revenants</w:t>
      </w:r>
      <w:r w:rsidRPr="00A06A59">
        <w:rPr>
          <w:rFonts w:ascii="Garamond" w:hAnsi="Garamond" w:cs="Arial"/>
          <w:color w:val="000000"/>
          <w:lang w:val="en-GB"/>
        </w:rPr>
        <w:t xml:space="preserve">; alles was man verloren hat, kommt wieder. Und nun werden die assoziativen Bande zwischen den widerspruchsvollen Bestandteilen der Traumgedanken enger angezogen durch den zufälligen Umstand, daß die kleine Tochter meines Freundes denselben Namen trägt wie meine eigene kleine Jugendgespielin, die mit mir gleichalterige Schwester meines ältesten Freundes und Gegners. Ich habe den Namen »Pauline« mit </w:t>
      </w:r>
      <w:r w:rsidRPr="00A06A59">
        <w:rPr>
          <w:rFonts w:ascii="Garamond" w:hAnsi="Garamond" w:cs="Arial"/>
          <w:i/>
          <w:iCs/>
          <w:color w:val="000000"/>
          <w:lang w:val="en-GB"/>
        </w:rPr>
        <w:t>Befriedigung</w:t>
      </w:r>
      <w:r w:rsidRPr="00A06A59">
        <w:rPr>
          <w:rFonts w:ascii="Garamond" w:hAnsi="Garamond" w:cs="Arial"/>
          <w:color w:val="000000"/>
          <w:lang w:val="en-GB"/>
        </w:rPr>
        <w:t xml:space="preserve"> gehört, und um auf dieses Zusammentreffen anzuspielen, habe ich im Traum einen Josef durch einen anderen Josef ersetzt und fand es unmöglich, den gleichen Anlaut in den Namen Fleischl und Fl. zu unterdrücken. Von hier aus läuft dann ein Gedankenfaden zur Namengebung bei meinen eigenen Kindern. Ich hielt darauf, daß ihre Namen nicht nach der Mode des Tages gewählt, sondern durch das Andenken an teure Personen bestimmt sein sollten. Ihre Namen machen die Kinder zu » </w:t>
      </w:r>
      <w:r w:rsidRPr="00A06A59">
        <w:rPr>
          <w:rFonts w:ascii="Garamond" w:hAnsi="Garamond" w:cs="Arial"/>
          <w:i/>
          <w:iCs/>
          <w:color w:val="000000"/>
          <w:lang w:val="en-GB"/>
        </w:rPr>
        <w:t>Revenants</w:t>
      </w:r>
      <w:r w:rsidRPr="00A06A59">
        <w:rPr>
          <w:rFonts w:ascii="Garamond" w:hAnsi="Garamond" w:cs="Arial"/>
          <w:color w:val="000000"/>
          <w:lang w:val="en-GB"/>
        </w:rPr>
        <w:t xml:space="preserve">«. Und schließlich, ist Kinder haben nicht für uns alle der einzige Zugang zur </w:t>
      </w:r>
      <w:r w:rsidRPr="00A06A59">
        <w:rPr>
          <w:rFonts w:ascii="Garamond" w:hAnsi="Garamond" w:cs="Arial"/>
          <w:i/>
          <w:iCs/>
          <w:color w:val="000000"/>
          <w:lang w:val="en-GB"/>
        </w:rPr>
        <w:t>Unsterblichkeit?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Über die Affekte des Traums werde ich nur noch wenige Bemerkungen von einem anderen Gesichtspunkte aus anfügen. In der Seele des Schlafenden kann eine Affektneigung – was wir Stimmung heißen – als dominierendes Element enthalten sein und dann den Traum mitbestimmen. Diese Stimmung kann aus den Erlebnissen und Gedankengängen des Tages hervorgehen, sie kann somatische Quellen haben; in beiden Fällen wird sie von ihr entsprechenden Gedankengängen begleitet sein. Daß dieser Vorstellungsinhalt der Traumgedanken das eine Mal primär die Affektneigung bedingt, das andere Mal sekundär durch die somatisch zu erklärende Gefühlsdisposition geweckt wird, bleibt für die Traumbildung gleichgültig. Dieselbe steht alle Male unter der Einschränkung, daß sie nur darstellen kann, was Wunscherfüllung ist, und daß sie nur dem Wunsche ihre psychische Triebkraft entlehnen kann. Die aktuell vorhandene Stimmung wird dieselbe Behandlung erfahren wie die aktuell während des Schlafes auftauchende Sensation (vgl. S. 154), die entweder vernachlässigt wird oder im Sinne einer Wunscherfüllung umgedeutet. Peinliche Stimmungen während des Schlafes werden zu Triebkräften des Traumes, indem sie energische </w:t>
      </w:r>
      <w:r w:rsidRPr="00A06A59">
        <w:rPr>
          <w:rFonts w:ascii="Garamond" w:hAnsi="Garamond" w:cs="Arial"/>
          <w:color w:val="000000"/>
          <w:lang w:val="en-GB"/>
        </w:rPr>
        <w:lastRenderedPageBreak/>
        <w:t>Wünsche wecken, die der Traum erfüllen soll. Das Material, an dem sie haften, wird so lange umgearbeitet, bis es zum Ausdruck der Wunscherfüllung verwendbar ist. Je intensiver und je dominierender das Element der peinlichen Stimmung in den Traumgedanken ist, desto sicherer werden die stärkst unterdrückten Wunschregungen die Gelegenheit, zur Darstellung zu kommen, benützen, da sie durch die aktuelle Existenz der Unlust, die sie sonst aus eigenem erzeugen müßten, den schwereren Teil der Arbeit für ihr Durchdringen zur Darstellung bereits erledigt finden, und mit diesen Erörterungen streifen wir wieder das Problem der Angstträume, die sich als der Grenzfall für die Traumleistung herausstellen werden.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i. Di</w:t>
        </w:r>
        <w:bookmarkStart w:id="79" w:name="VIi"/>
        <w:bookmarkEnd w:id="79"/>
        <w:r w:rsidRPr="00A06A59">
          <w:rPr>
            <w:rStyle w:val="Lienhypertexte"/>
            <w:rFonts w:ascii="Garamond" w:hAnsi="Garamond" w:cs="Arial"/>
            <w:b/>
            <w:bCs/>
            <w:lang w:val="en-GB"/>
          </w:rPr>
          <w:t>e sekundäre Bearbeitung</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wollen endlich an die Hervorhebung des vierten der bei der Traumbildung beteiligten Momente gehen.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Setzt man die Untersuchung des Trauminhalts in der vorhin eingeleiteten Weise fort, indem man auffällige Vorkommnisse im Trauminhalt auf ihre Herkunft aus den Traumgedanken prüft, so stößt man auch auf Elemente, für deren Aufklärung es einer völlig neuen Annahme bedarf. Ich erinnere an die Fälle, wo man sich im Traume wundert, ärgert, sträubt, und zwar gegen ein Stück des Trauminhalts selbst. Die meisten dieser Regungen von Kritik im Traum sind nicht gegen den Trauminhalt gerichtet, sondern erweisen sich als übernommene und passend verwendete Teile des Traummaterials, wie ich an geeigneten Beispielen dargelegt habe. Einiges der Art fügt sich aber einer solchen Ableitung nicht; man kann das Korrelat dazu im Traummaterial nicht auffinden. Was bedeutet z. B. die im Traum nicht gar seltene Kritik: Das ist ja nur ein Traum? Dies ist eine wirkliche Kritik des Traums, wie ich sie im Wachen üben könnte. Gar nicht selten ist sie auch nur die Vorläuferin des Erwachens; noch häufiger geht ihr selbst ein peinliches Gefühl vorher, das sich nach der Konstatierung des Traumzustandes beruhigt. Der Gedanke: »Das ist ja nur ein Traum« während des Traumes beabsichtigt aber dasselbe, was er auf offener Bühne im Munde der schönen Helena von Offenbach besagen soll; er will die Bedeutung des eben Erlebten herabdrücken und die Duldung des Weiteren ermöglichen. Er dient zur Einschläferung einer gewissen Instanz, die in dem gegebenen Moment alle Veranlassung hätte, sich zu regen und die Fortsetzung des Traums – oder der Szene – zu verbieten. Es ist aber bequemer, weiterzuschlafen und den Traum zu dulden, »weil's doch nur ein Traum ist«. Ich stelle mir vor, daß die verächtliche Kritik: Es ist ja nur ein Traum, dann im Traum auftritt, wenn die niemals ganz schlafende Zensur sich durch den bereits zugelassenen Traum überrumpelt fühlt. Es ist zu spät, ihn zu unterdrücken, somit begegnet sie mit jener Bemerkung der Angst, oder der peinlichen Empfindung, welche sich auf den Traum hin erhebt. </w:t>
      </w:r>
      <w:r w:rsidRPr="00A06A59">
        <w:rPr>
          <w:rFonts w:ascii="Garamond" w:hAnsi="Garamond" w:cs="Arial"/>
          <w:color w:val="000000"/>
        </w:rPr>
        <w:t xml:space="preserve">Es ist eine Äußerung des </w:t>
      </w:r>
      <w:r w:rsidRPr="00A06A59">
        <w:rPr>
          <w:rFonts w:ascii="Garamond" w:hAnsi="Garamond" w:cs="Arial"/>
          <w:i/>
          <w:iCs/>
          <w:color w:val="000000"/>
        </w:rPr>
        <w:t>esprit d'escalier</w:t>
      </w:r>
      <w:r w:rsidRPr="00A06A59">
        <w:rPr>
          <w:rFonts w:ascii="Garamond" w:hAnsi="Garamond" w:cs="Arial"/>
          <w:color w:val="000000"/>
        </w:rPr>
        <w:t xml:space="preserve"> von Seiten der psychischen Zensur.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An diesem Beispiel haben wir aber einen einwandfreien Beweis dafür, daß nicht alles, was der Traum enthält, aus den Traumgedanken stammt, sondern daß eine psychische Funktion, die von unserem wachen Denken nicht zu unterscheiden ist, Beiträge zum Trauminhalt liefern kann. Es fragt sich nun, kommt dies nur ganz ausnahmsweise vor, oder kommt der sonst nur als Zensur tätigen psychischen Instanz ein regelmäßiger Anteil an der Traumbildung zu?</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Man muß sich ohne Schwanken für das letztere entscheiden. Es ist unzweifelhaft, daß die zensurierende Instanz, deren Einfluß wir bisher nur in Einschränkungen und Auslassungen im Trauminhalte erkannten, auch Einschaltungen und Vermehrungen desselben verschuldet. Diese Einschaltungen sind oft leicht kenntlich; sie werden zaghaft berichtet, mit einem »als ob« eingeleitet, haben an und für sich keine besonders hohe Lebhaftigkeit und sind stets an Stellen angebracht, wo sie zur Verknüpfung zweier Stücke des Trauminhalts, zur Anbahnung eines Zusammenhangs zwischen zwei Traumpartien dienen können. Sie zeigen eine geringere Haltbarkeit im Gedächtnis als die echten Abkömmlinge des Traummaterials; unterliegt der Traum dem Vergessen, so fallen sie zuerst aus, und ich hege die starke Vermutung, daß unsere häufige Klage, wir hätten soviel geträumt, das meiste davon vergessen und nur Bruchstücke behalten, auf dem alsbaldigen Ausfall gerade dieser Kittgedanken beruht. Bei vollständiger Analyse verraten sich diese Einschaltungen manchmal dadurch, daß sich zu ihnen kein Material in den Traumgedanken findet. Doch muß ich bei sorgfältiger Prüfung diesen Fall als den selteneren bezeichnen; zumeist lassen sich die Schaltgedanken immerhin auf Material in den Traumgedanken zurückführen, welches aber weder durch seine eigene Wertigkeit noch durch Überdeterminierung Anspruch auf Aufnahme in den Traum erheben könnte. Die psychische Funktion bei der Traumbildung, die wir jetzt betrachten, erhebt sich, wie es scheint, nur im äußersten Falle zu Neuschöpfungen; solange es noch möglich ist, verwertet sie, was sie Taugliches im Traummaterial auswählen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Was dieses Stück der Traumarbeit auszeichnet und verrät, ist seine Tendenz. Diese Funktion verfährt ähnlich, wie es der Dichter boshaft vom Philosophen behauptet: mit ihren Fetzen und Flicken stopft sie die Lücken im Aufbau des Traums. Die Folge ihrer Bemühung ist, daß der Traum den Anschein der Absurdität und Zusammenhangslosigkeit verliert und sich dem Vorbilde eines verständlichen Erlebnisses annähert. Aber die Bemühung ist nicht jedesmal vom vollen Erfolge gekrönt. Es kommen so Träume zustande, die für die oberflächliche Betrachtung tadellos logisch und korrekt erscheinen mögen; sie gehen von einer möglichen Situation aus, führen dieselbe durch widerspruchsfreie Veränderungen fort und bringen es, wiewohl dies am seltensten, zu einem nicht befremdenden Abschluß. Diese Träume haben die tiefgehendste Bearbeitung durch die dem wachen Denken ähnliche psychische Funktion erfahren; sie scheinen einen Sinn zu haben, aber dieser Sinn ist von der wirklichen Bedeutung des Traums auch am weitesten entfernt. Analysiert man sie, so überzeugt man sich, daß hier die sekundäre Bearbeitung des Traums am freiesten mit dem Material umgesprungen ist, am wenigsten von dessen Relationen beibehalten hat. Es sind das Träume, die sozusagen schon einmal gedeutet worden sind, ehe wir sie im Wachen der Deutung unterziehen. In anderen Träumen ist diese tendenziöse Bearbeitung nur ein Stück weit gelungen; so weit scheint Zusammenhang zu herrschen, dann wird der Traum unsinnig oder verworren, vielleicht um sich noch ein zweites Mal in seinem Verlaufe zum Anschein </w:t>
      </w:r>
      <w:r w:rsidRPr="00A06A59">
        <w:rPr>
          <w:rFonts w:ascii="Garamond" w:hAnsi="Garamond" w:cs="Arial"/>
          <w:color w:val="000000"/>
          <w:lang w:val="en-GB"/>
        </w:rPr>
        <w:lastRenderedPageBreak/>
        <w:t>des Verständigen zu erheben. In anderen Träumen hat die Bearbeitung überhaupt versagt; wir stehen wie hilflos einem sinnlosen Haufen von Inhaltsbrocken gegenüber.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möchte dieser vierten den Traum gestaltenden Macht, die uns ja bald als eine bekannte erscheinen wird – sie ist in Wirklichkeit die einzige uns auch sonst vertraute unter den vier Traumbildnern, – ich möchte diesem vierten Momente also die Fähigkeit, schöpferisch neue Beiträge zum Traume zu liefern, nicht peremptorisch absprechen. Sicherlich aber äußert sich auch ihr Einfluß, wie der der anderen, vorwiegend in der Bevorzugung und Auswahl von bereits gebildetem psychischen Material in den Traumgedanken. Es gibt nun einen Fall, in dem ihr die Arbeit, an den Traum gleichsam eine Fassade anzubauen, zum größeren Teil dadurch erspart bleibt, daß im Material der Traumgedanken ein solches Gebilde, seiner Verwendung harrend, bereits fertig vorgefunden wird. Das Element der Traumgedanken, das ich im Auge habe, pflege ich als » </w:t>
      </w:r>
      <w:r w:rsidRPr="00A06A59">
        <w:rPr>
          <w:rFonts w:ascii="Garamond" w:hAnsi="Garamond" w:cs="Arial"/>
          <w:i/>
          <w:iCs/>
          <w:color w:val="000000"/>
          <w:lang w:val="en-GB"/>
        </w:rPr>
        <w:t>Phantasie</w:t>
      </w:r>
      <w:r w:rsidRPr="00A06A59">
        <w:rPr>
          <w:rFonts w:ascii="Garamond" w:hAnsi="Garamond" w:cs="Arial"/>
          <w:color w:val="000000"/>
          <w:lang w:val="en-GB"/>
        </w:rPr>
        <w:t xml:space="preserve">« zu bezeichnen; ich gehe vielleicht Mißverständnissen aus dem Wege, wenn ich sofort als das Analoge aus dem Wachleben den </w:t>
      </w:r>
      <w:r w:rsidRPr="00A06A59">
        <w:rPr>
          <w:rFonts w:ascii="Garamond" w:hAnsi="Garamond" w:cs="Arial"/>
          <w:i/>
          <w:iCs/>
          <w:color w:val="000000"/>
          <w:lang w:val="en-GB"/>
        </w:rPr>
        <w:t>Tagtraum</w:t>
      </w:r>
      <w:r w:rsidRPr="00A06A59">
        <w:rPr>
          <w:rFonts w:ascii="Garamond" w:hAnsi="Garamond" w:cs="Arial"/>
          <w:color w:val="000000"/>
          <w:lang w:val="en-GB"/>
        </w:rPr>
        <w:t xml:space="preserve"> namhaft mache </w:t>
      </w:r>
      <w:hyperlink r:id="rId217" w:anchor="#" w:history="1">
        <w:r w:rsidRPr="00A06A59">
          <w:rPr>
            <w:rStyle w:val="fusslink"/>
            <w:rFonts w:ascii="Garamond" w:hAnsi="Garamond" w:cs="Arial"/>
            <w:bCs/>
            <w:color w:val="0000CC"/>
            <w:lang w:val="en-GB"/>
          </w:rPr>
          <w:t>[Fußnote]</w:t>
        </w:r>
        <w:r w:rsidRPr="00A06A59">
          <w:rPr>
            <w:rStyle w:val="innerfusslink3"/>
            <w:rFonts w:ascii="Garamond" w:hAnsi="Garamond" w:cs="Arial"/>
            <w:bCs/>
            <w:i/>
            <w:iCs/>
            <w:color w:val="0000CC"/>
            <w:lang w:val="en-GB"/>
          </w:rPr>
          <w:t>Rêve, petit roman day-dream, story</w:t>
        </w:r>
        <w:r w:rsidRPr="00A06A59">
          <w:rPr>
            <w:rStyle w:val="innerfusslink3"/>
            <w:rFonts w:ascii="Garamond" w:hAnsi="Garamond" w:cs="Arial"/>
            <w:b/>
            <w:bCs/>
            <w:i/>
            <w:iCs/>
            <w:lang w:val="en-GB"/>
          </w:rPr>
          <w:t>.</w:t>
        </w:r>
      </w:hyperlink>
      <w:r w:rsidRPr="00A06A59">
        <w:rPr>
          <w:rFonts w:ascii="Garamond" w:hAnsi="Garamond" w:cs="Arial"/>
          <w:color w:val="000000"/>
          <w:lang w:val="en-GB"/>
        </w:rPr>
        <w:t xml:space="preserve">. Die Rolle dieses Elements in unserem Seelenleben ist von den Psychiatern noch nicht erschöpfend erkannt und aufgedeckt worden; M. </w:t>
      </w:r>
      <w:r w:rsidRPr="00A06A59">
        <w:rPr>
          <w:rFonts w:ascii="Garamond" w:hAnsi="Garamond" w:cs="Arial"/>
          <w:i/>
          <w:iCs/>
          <w:color w:val="000000"/>
          <w:lang w:val="en-GB"/>
        </w:rPr>
        <w:t>Benedikt</w:t>
      </w:r>
      <w:r w:rsidRPr="00A06A59">
        <w:rPr>
          <w:rFonts w:ascii="Garamond" w:hAnsi="Garamond" w:cs="Arial"/>
          <w:color w:val="000000"/>
          <w:lang w:val="en-GB"/>
        </w:rPr>
        <w:t xml:space="preserve"> hat mit dessen Würdigung einen, wie mir scheint, vielversprechenden Anfang gemacht. Dem unbeirrten Scharfblick der Dichter ist die Bedeutung des Tagtraums nicht entgangen; allgemein bekannt ist die Schilderung, die A. </w:t>
      </w:r>
      <w:r w:rsidRPr="00A06A59">
        <w:rPr>
          <w:rFonts w:ascii="Garamond" w:hAnsi="Garamond" w:cs="Arial"/>
          <w:i/>
          <w:iCs/>
          <w:color w:val="000000"/>
          <w:lang w:val="en-GB"/>
        </w:rPr>
        <w:t>Daudet</w:t>
      </w:r>
      <w:r w:rsidRPr="00A06A59">
        <w:rPr>
          <w:rFonts w:ascii="Garamond" w:hAnsi="Garamond" w:cs="Arial"/>
          <w:color w:val="000000"/>
          <w:lang w:val="en-GB"/>
        </w:rPr>
        <w:t xml:space="preserve"> im </w:t>
      </w:r>
      <w:r w:rsidRPr="00A06A59">
        <w:rPr>
          <w:rFonts w:ascii="Garamond" w:hAnsi="Garamond" w:cs="Arial"/>
          <w:i/>
          <w:iCs/>
          <w:color w:val="000000"/>
          <w:lang w:val="en-GB"/>
        </w:rPr>
        <w:t>Nabab</w:t>
      </w:r>
      <w:r w:rsidRPr="00A06A59">
        <w:rPr>
          <w:rFonts w:ascii="Garamond" w:hAnsi="Garamond" w:cs="Arial"/>
          <w:color w:val="000000"/>
          <w:lang w:val="en-GB"/>
        </w:rPr>
        <w:t xml:space="preserve"> von den Tagträumen einer der Nebenfiguren des Romans entwirft. Das Studium der Psychoneurosen führt zur überraschenden Erkenntnis, daß diese Phantasien oder Tagträume die nächsten Vorstufen der hysterischen Symptome – wenigstens einer ganzen Reihe von ihnen – sind; nicht an den Erinnerungen selbst, sondern an den auf Grund der Erinnerungen aufgebauten Phantasien hängen erst die hysterischen Symptome. Das häufige Vorkommen bewußter Tagesphantasien bringt diese Bildungen unserer Kenntnis nahe; wie es aber bewußt solche Phantasien gibt, so kommen überreichlich unbewußte vor, die wegen ihres Inhalts und ihrer Abkunft vom verdrängten Material unbewußt bleiben müssen. Eine eingehendere Vertiefung in die Charaktere dieser Tagesphantasien lehrt uns, mit wie gutem Rechte diesen Bildungen derselbe Name zugefallen ist, den unsere nächtlichen Denkproduktionen tragen, der Name: </w:t>
      </w:r>
      <w:r w:rsidRPr="00A06A59">
        <w:rPr>
          <w:rFonts w:ascii="Garamond" w:hAnsi="Garamond" w:cs="Arial"/>
          <w:i/>
          <w:iCs/>
          <w:color w:val="000000"/>
          <w:lang w:val="en-GB"/>
        </w:rPr>
        <w:t>Träume</w:t>
      </w:r>
      <w:r w:rsidRPr="00A06A59">
        <w:rPr>
          <w:rFonts w:ascii="Garamond" w:hAnsi="Garamond" w:cs="Arial"/>
          <w:color w:val="000000"/>
          <w:lang w:val="en-GB"/>
        </w:rPr>
        <w:t>. Sie haben einen wesentlichen Teil ihrer Eigenschaften mit den Nachtträumen gemein; ihre Untersuchung hätte uns eigentlich den nächsten und besten Zugang zum Verständnis der Nachtträume eröffnen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Wie die Träume sind sie Wunscherfüllungen; wie die Träume basieren sie zum guten Teil auf den Eindrücken infantiler Erlebnisse; wie die Träume erfreuen sie sich eines gewissen Nachlasses der Zensur für ihre Schöpfungen. Wenn man ihrem Aufbau nachspürt, so wird man inne, wie das Wunschmotiv, das sich in ihrer Produktion betätigt, das Material, aus dem sie gebaut sind, durcheinandergeworfen, umgeordnet und zu einem neuen Ganzen zusammengefügt hat. Sie stehen zu den Kindheitserinnerungen, auf die sie zurückgehen, etwa in demselben Verhältnis wie manche Barockpaläste Roms zu den antiken Ruinen, deren Quadern und Säulen das Material für den Bau in modernen Formen hergegeben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der »sekundären Bearbeitung«, die wir unserem vierten traumbildenden Moment gegen den Trauminhalt zugeschrieben haben, finden wir dieselbe Tätigkeit wieder, die sich bei der Schöpfung der Tagträume ungehemmt von anderen Einflüssen äußern darf. Wir könnten ohne weiteres sagen, dies unser viertes Moment sucht aus dem ihm dargebotenen Material </w:t>
      </w:r>
      <w:r w:rsidRPr="00A06A59">
        <w:rPr>
          <w:rFonts w:ascii="Garamond" w:hAnsi="Garamond" w:cs="Arial"/>
          <w:i/>
          <w:iCs/>
          <w:color w:val="000000"/>
          <w:lang w:val="en-GB"/>
        </w:rPr>
        <w:t>etwas wie einen Tagtraum</w:t>
      </w:r>
      <w:r w:rsidRPr="00A06A59">
        <w:rPr>
          <w:rFonts w:ascii="Garamond" w:hAnsi="Garamond" w:cs="Arial"/>
          <w:color w:val="000000"/>
          <w:lang w:val="en-GB"/>
        </w:rPr>
        <w:t xml:space="preserve"> zu gestalten. Wo aber ein solcher Tagtraum bereits im Zusammenhange der Traumgedanken gebildet ist, da wird dieser Faktor der Traumarbeit sich seiner mit Vorliebe bemächtigen und dahin wirken, daß er in den Trauminhalt gelange. Es gibt solche Träume, die nur in der Wiederholung einer Tagesphantasie, einer vielleicht unbewußt gebliebenen, bestehen, so z. B. der Traum des Knaben, daß er mit den Helden des Trojanischen Krieges im Streitwagen fährt. In meinem Traume » </w:t>
      </w:r>
      <w:r w:rsidRPr="00A06A59">
        <w:rPr>
          <w:rFonts w:ascii="Garamond" w:hAnsi="Garamond" w:cs="Arial"/>
          <w:i/>
          <w:iCs/>
          <w:color w:val="000000"/>
          <w:lang w:val="en-GB"/>
        </w:rPr>
        <w:t>Autodidasker</w:t>
      </w:r>
      <w:r w:rsidRPr="00A06A59">
        <w:rPr>
          <w:rFonts w:ascii="Garamond" w:hAnsi="Garamond" w:cs="Arial"/>
          <w:color w:val="000000"/>
          <w:lang w:val="en-GB"/>
        </w:rPr>
        <w:t>« ist wenigstens das zweite Traumstück die getreue Wiederholung einer an sich harmlosen Tagesphantasie über meinen Verkehr mit dem Professor N. Es rührt aus der Komplikation der Bedingungen her, denen der Traum bei seinem Entstehen zu genügen hat, daß häufiger die vorgefundene Phantasie nur ein Stück des Traumes bildet oder daß nur ein Stück von ihr zum Trauminhalt hin durchdringt. Im ganzen wird dann die Phantasie behandelt wie jeder andere Bestandteil des latenten Materials; sie ist aber oft im Traume noch als Ganzes kenntlich. In meinen Träumen kommen oft Partien vor, die sich durch einen von den übrigen verschiedenen Eindruck hervorheben. Sie erscheinen mir wie fließend, besser zusammenhängend und dabei flüchtiger als andere Stücke desselben Traums; ich weiß, dies sind unbewußte Phantasien, die im Zusammenhange in den Traum gelangen, aber ich habe es nie erreicht, eine solche Phantasie zu fixieren. Im übrigen werden diese Phantasien wie alle anderen Bestandteile der Traumgedanken zusammengeschoben, verdichtet, die eine durch die andere überlagert u. dgl.; es gibt aber Übergänge von dem Falle, wo sie fast unverändert den Trauminhalt oder wenigstens die Traumfassade bilden dürfen, bis zu dem entgegengesetzten Fall, wo sie nur durch eines ihrer Elemente oder eine entfernte Anspielung an ein solches im Trauminhalt vertreten sind. Es bleibt offenbar auch für das Schicksal der Phantasien in den Traumgedanken maßgebend, welche Vorteile sie gegen die Ansprüche der Zensur und des Verdichtungszwanges zu bieten vermögen.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Bei meiner Auswahl von Beispielen für die Traumdeutung bin ich Träumen, in denen unbewußte Phantasien eine erhebliche Rolle spielen, möglichst ausgewichen, weil die Einführung dieses psychischen Elements weitläufige Erörterungen aus der Psychologie des unbewußten Denkens erfordert hätte. Gänzlich umgehen kann ich jedoch die »Phantasie« auch in diesem Zusammenhange nicht, da sie häufig voll in den Traum gelangt und noch häufiger deutlich durch ihn durchschimmert. Ich will etwa noch einen Traum anführen, der aus zwei verschiedenen, gegensätzlichen und einander an einzelnen Stellen deckenden Phantasien zusammengesetzt erscheint, von denen die eine die oberflächliche ist, die andere gleichsam zur Deutung der ersteren wird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18"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Ein gutes Beispiel eines solchen, durch Übereinanderlagerung mehrerer Phantasien entstandenen Traums habe ich im Bruchstück einer Hysterie-Analyse 1905 analysiert. Übrigens habe ich die Bedeutung solcher Phantasien für die Traumbildung unterschätzt, solange ich vorwiegend meine eigenen Träume bearbeitete, denen seltener Tagträume, meist Diskussionen und Gedankenkonflikte, zugrunde liegen. Bei anderen Personen ist die </w:t>
        </w:r>
        <w:r w:rsidR="00A06A59" w:rsidRPr="00A06A59">
          <w:rPr>
            <w:rStyle w:val="innerfusslink3"/>
            <w:rFonts w:ascii="Garamond" w:hAnsi="Garamond" w:cs="Arial"/>
            <w:bCs/>
            <w:i/>
            <w:iCs/>
            <w:color w:val="0000CC"/>
            <w:lang w:val="en-GB"/>
          </w:rPr>
          <w:t>volle Analogie des nächtlichen Traumes mit dem Tagtraume</w:t>
        </w:r>
        <w:r w:rsidR="00A06A59" w:rsidRPr="00A06A59">
          <w:rPr>
            <w:rStyle w:val="innerfusslink3"/>
            <w:rFonts w:ascii="Garamond" w:hAnsi="Garamond" w:cs="Arial"/>
            <w:bCs/>
            <w:color w:val="0000CC"/>
            <w:lang w:val="en-GB"/>
          </w:rPr>
          <w:t xml:space="preserve"> oft viel leichter zu erweisen. Es gelingt häufig bei Hysterischen eine Attacke durch einen Traum zu ersetzen; man kann sich dann leicht überzeugen, daß für beide psychische Bildungen die Tagtraumphantasie die nächste Vorstufe ist.</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Der Traum lautet – es ist der einzige, über den ich keine sorgfältigen Aufzeichnungen besitze – ungefähr so: Der Träumer – ein unverheirateter junger Mann – sitzt in seinem, richtig gesehenen, Stammwirtshause; da erscheinen mehrere Personen, ihn abzuholen, darunter eine, die ihn verhaften will. Er sagt zu seinen Tischgenossen: Ich zahle später, ich komme wieder zurück. Aber die rufen hohnlächelnd: Das kennen wir schon, das sagt ein jeder. Ein Gast ruft ihm noch nach: Da geht wieder einer dahin. Er wird dann in ein enges Lokal geführt, wo er eine Frauensperson mit einem Kinde auf dem Arm findet. Einer seiner Begleiter sagt: Das ist der Herr Müller. Ein Kommissär, oder sonst eine Amtsperson, blättert in einem Packe von Zetteln oder Schriften und wiederholt dabei: Müller, Müller, Müller. Endlich stellt er an ihn eine Frage, die er mit ja beantwortet. Er sieht sich dann nach der Frauensperson um und merkt, daß sie einen großen Bart bekommen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 beiden Bestandteile sind hier leicht zu sondern. Das Oberflächliche ist eine </w:t>
      </w:r>
      <w:r w:rsidRPr="00A06A59">
        <w:rPr>
          <w:rFonts w:ascii="Garamond" w:hAnsi="Garamond" w:cs="Arial"/>
          <w:i/>
          <w:iCs/>
          <w:color w:val="000000"/>
        </w:rPr>
        <w:t>Verhaftungsphantasie</w:t>
      </w:r>
      <w:r w:rsidRPr="00A06A59">
        <w:rPr>
          <w:rFonts w:ascii="Garamond" w:hAnsi="Garamond" w:cs="Arial"/>
          <w:color w:val="000000"/>
        </w:rPr>
        <w:t xml:space="preserve">, sie scheint uns von der Traumarbeit neu gebildet. Dahinter aber wird als das Material, das von der Traumarbeit eine leichte Umformung erfahren hat, die </w:t>
      </w:r>
      <w:r w:rsidRPr="00A06A59">
        <w:rPr>
          <w:rFonts w:ascii="Garamond" w:hAnsi="Garamond" w:cs="Arial"/>
          <w:i/>
          <w:iCs/>
          <w:color w:val="000000"/>
        </w:rPr>
        <w:t>Phantasie der Verheiratung</w:t>
      </w:r>
      <w:r w:rsidRPr="00A06A59">
        <w:rPr>
          <w:rFonts w:ascii="Garamond" w:hAnsi="Garamond" w:cs="Arial"/>
          <w:color w:val="000000"/>
        </w:rPr>
        <w:t xml:space="preserve"> sichtbar, und die Züge, die beiden gemeinsam sein können, treten wieder wie bei einer Galtonschen Mischphotographie besonders deutlich hervor. Das Versprechen des bisherigen Junggesellen, seinen Platz am Stammtische wieder aufzusuchen, der Unglaube der durch viele Erfahrungen gewitzigten Kneipgenossen, der Nachruf: Da geht (heiratet) wieder einer dahin, das sind auch für die andere Deutung leicht verständliche Züge. Ebenso das Jawort, das man der Amtsperson gibt. Das Blättern in einem Stoß von Papieren, wobei man denselben Namen wiederholt, entspricht einem untergeordneten, aber gut kenntlichen Zug aus den Hochzeitsfeierlichkeiten, dem Vorlesen der stoßweise angelangten Glückwunschtelegramme, die ja alle auf denselben Namen lauten. In dem persönlichen Auftreten der Braut in diesem Traum hat sogar die Heiratsphantasie den Sieg über die sie deckende Verhaftungsphantasie davongetragen. Daß diese Braut am Ende einen Bart zur Schau trägt, konnte ich durch eine Erkundigung zu einer Analyse kam es nicht aufklären. Der Träumer war tags zuvor mit einem Freunde, der ebenso ehefeindlich ist wie er, über die Straße gegangen und hatte diesen Freund auf eine brünette Schönheit aufmerksam gemacht, die ihnen entgegenkam. </w:t>
      </w:r>
      <w:r w:rsidRPr="00A06A59">
        <w:rPr>
          <w:rFonts w:ascii="Garamond" w:hAnsi="Garamond" w:cs="Arial"/>
          <w:color w:val="000000"/>
          <w:lang w:val="en-GB"/>
        </w:rPr>
        <w:t>Der Freund aber hatte bemerkt: Ja, wenn diese Frauen nur nicht mit den Jahren Bärte bekämen wie ihre Väter.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Natürlich fehlt es auch in diesem Traume nicht an Elementen, bei denen die Traumentstellung tiefer gehende Arbeit verrichtet hat. So mag die Rede: »Ich werde später zahlen« auf das zu befürchtende Benehmen des Schwiegervaters in betreff der Mitgift zielen. Offenbar halten den Träumer allerlei Bedenken ab, sich mit Wohlgefallen der Heiratsphantasie hinzugeben. Eines dieser Bedenken, daß man mit der Heirat seine Freiheit verliert, hat sich in der Umwandlung zu einer Verhaftungsszene verkörpert.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wir nochmals darauf zurückkommen wollen, daß die Traumarbeit sich gerne einer fertig vorgefundenen Phantasie bedient, anstatt eine solche erst aus dem Material der Traumgedanken zusammenzusetzen, so lösen wir mit dieser Einsicht vielleicht eines der interessantesten Rätsel des Traumes. Ich habe auf S. 19 den Traum von </w:t>
      </w:r>
      <w:r w:rsidRPr="00A06A59">
        <w:rPr>
          <w:rFonts w:ascii="Garamond" w:hAnsi="Garamond" w:cs="Arial"/>
          <w:i/>
          <w:iCs/>
          <w:color w:val="000000"/>
          <w:lang w:val="en-GB"/>
        </w:rPr>
        <w:t>Maury</w:t>
      </w:r>
      <w:r w:rsidRPr="00A06A59">
        <w:rPr>
          <w:rFonts w:ascii="Garamond" w:hAnsi="Garamond" w:cs="Arial"/>
          <w:color w:val="000000"/>
          <w:lang w:val="en-GB"/>
        </w:rPr>
        <w:t xml:space="preserve"> erzählt, der, von einem Brettchen im Genick getroffen, mit einem langen Traum, einem kompletten Roman aus den Zeiten der großen Revolution, erwacht. Da der Traum für zusammenhängend ausgegeben wird und ganz auf die Erklärung des Weckreizes angelegt ist, von dessen Eintreffen der Schläfer nichts ahnen konnte, so scheint nur die eine Annahme übrigzubleiben, daß der ganze reiche Traum in dem kurzen Zeitraume zwischen dem Auffallen des Brettes auf </w:t>
      </w:r>
      <w:r w:rsidRPr="00A06A59">
        <w:rPr>
          <w:rFonts w:ascii="Garamond" w:hAnsi="Garamond" w:cs="Arial"/>
          <w:i/>
          <w:iCs/>
          <w:color w:val="000000"/>
          <w:lang w:val="en-GB"/>
        </w:rPr>
        <w:t>Maury</w:t>
      </w:r>
      <w:r w:rsidRPr="00A06A59">
        <w:rPr>
          <w:rFonts w:ascii="Garamond" w:hAnsi="Garamond" w:cs="Arial"/>
          <w:color w:val="000000"/>
          <w:lang w:val="en-GB"/>
        </w:rPr>
        <w:t>s Halswirbel und seinem durch diesen Schlag erzwungenen Erwachen komponiert worden und stattgefunden haben muß. Wir würden uns nicht getrauen, der Denkarbeit im Wachen eine solche Raschheit zuzuschreiben, und gelangten so dazu, der Traumarbeit eine bemerkenswerte Beschleunigung des Ablaufs als Vorrecht zuzugestehen.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Gegen diese rasch populär gewordene Folgerung haben neuere Autoren ( </w:t>
      </w:r>
      <w:r w:rsidRPr="00A06A59">
        <w:rPr>
          <w:rFonts w:ascii="Garamond" w:hAnsi="Garamond" w:cs="Arial"/>
          <w:i/>
          <w:iCs/>
          <w:color w:val="000000"/>
          <w:lang w:val="en-GB"/>
        </w:rPr>
        <w:t>Le Lorrain</w:t>
      </w:r>
      <w:r w:rsidRPr="00A06A59">
        <w:rPr>
          <w:rFonts w:ascii="Garamond" w:hAnsi="Garamond" w:cs="Arial"/>
          <w:color w:val="000000"/>
          <w:lang w:val="en-GB"/>
        </w:rPr>
        <w:t xml:space="preserve">, </w:t>
      </w:r>
      <w:r w:rsidRPr="00A06A59">
        <w:rPr>
          <w:rFonts w:ascii="Garamond" w:hAnsi="Garamond" w:cs="Arial"/>
          <w:i/>
          <w:iCs/>
          <w:color w:val="000000"/>
          <w:lang w:val="en-GB"/>
        </w:rPr>
        <w:t>Egger</w:t>
      </w:r>
      <w:r w:rsidRPr="00A06A59">
        <w:rPr>
          <w:rFonts w:ascii="Garamond" w:hAnsi="Garamond" w:cs="Arial"/>
          <w:color w:val="000000"/>
          <w:lang w:val="en-GB"/>
        </w:rPr>
        <w:t xml:space="preserve">, u.a.) lebhaften Einspruch erhoben. Sie zweifeln teils die Exaktheit des Traumberichts von Seiten </w:t>
      </w:r>
      <w:r w:rsidRPr="00A06A59">
        <w:rPr>
          <w:rFonts w:ascii="Garamond" w:hAnsi="Garamond" w:cs="Arial"/>
          <w:i/>
          <w:iCs/>
          <w:color w:val="000000"/>
          <w:lang w:val="en-GB"/>
        </w:rPr>
        <w:t>Maury</w:t>
      </w:r>
      <w:r w:rsidRPr="00A06A59">
        <w:rPr>
          <w:rFonts w:ascii="Garamond" w:hAnsi="Garamond" w:cs="Arial"/>
          <w:color w:val="000000"/>
          <w:lang w:val="en-GB"/>
        </w:rPr>
        <w:t xml:space="preserve">s an, teils versuchen sie darzutun, daß die Raschheit unserer wachen Denkleistungen nicht hinter dem zurückbleibt, was man der Traumleistung ungeschmälert lassen kann. Die Diskussion rollt prinzipielle Fragen auf, deren Erledigung mir nicht nahe bevorzustehen scheint. Ich muß aber bekennen, daß die Argumentation, z. B. </w:t>
      </w:r>
      <w:r w:rsidRPr="00A06A59">
        <w:rPr>
          <w:rFonts w:ascii="Garamond" w:hAnsi="Garamond" w:cs="Arial"/>
          <w:i/>
          <w:iCs/>
          <w:color w:val="000000"/>
          <w:lang w:val="en-GB"/>
        </w:rPr>
        <w:t>Eggers</w:t>
      </w:r>
      <w:r w:rsidRPr="00A06A59">
        <w:rPr>
          <w:rFonts w:ascii="Garamond" w:hAnsi="Garamond" w:cs="Arial"/>
          <w:color w:val="000000"/>
          <w:lang w:val="en-GB"/>
        </w:rPr>
        <w:t xml:space="preserve">, gerade gegen den Guillotinentraum </w:t>
      </w:r>
      <w:r w:rsidRPr="00A06A59">
        <w:rPr>
          <w:rFonts w:ascii="Garamond" w:hAnsi="Garamond" w:cs="Arial"/>
          <w:i/>
          <w:iCs/>
          <w:color w:val="000000"/>
          <w:lang w:val="en-GB"/>
        </w:rPr>
        <w:t>Maury</w:t>
      </w:r>
      <w:r w:rsidRPr="00A06A59">
        <w:rPr>
          <w:rFonts w:ascii="Garamond" w:hAnsi="Garamond" w:cs="Arial"/>
          <w:color w:val="000000"/>
          <w:lang w:val="en-GB"/>
        </w:rPr>
        <w:t xml:space="preserve">s mir keinen überzeugenden Eindruck gemacht hat. Ich würde folgende Erklärung dieses Traumes vorschlagen: Wäre es denn so sehr unwahrscheinlich, daß der Traum </w:t>
      </w:r>
      <w:r w:rsidRPr="00A06A59">
        <w:rPr>
          <w:rFonts w:ascii="Garamond" w:hAnsi="Garamond" w:cs="Arial"/>
          <w:i/>
          <w:iCs/>
          <w:color w:val="000000"/>
          <w:lang w:val="en-GB"/>
        </w:rPr>
        <w:t>Maury</w:t>
      </w:r>
      <w:r w:rsidRPr="00A06A59">
        <w:rPr>
          <w:rFonts w:ascii="Garamond" w:hAnsi="Garamond" w:cs="Arial"/>
          <w:color w:val="000000"/>
          <w:lang w:val="en-GB"/>
        </w:rPr>
        <w:t xml:space="preserve">s eine Phantasie darstellt, die in seinem Gedächtnis seit Jahren fertig aufbewahrt war und in dem Momente geweckt – ich möchte sagen: </w:t>
      </w:r>
      <w:r w:rsidRPr="00A06A59">
        <w:rPr>
          <w:rFonts w:ascii="Garamond" w:hAnsi="Garamond" w:cs="Arial"/>
          <w:i/>
          <w:iCs/>
          <w:color w:val="000000"/>
          <w:lang w:val="en-GB"/>
        </w:rPr>
        <w:t>angespielt</w:t>
      </w:r>
      <w:r w:rsidRPr="00A06A59">
        <w:rPr>
          <w:rFonts w:ascii="Garamond" w:hAnsi="Garamond" w:cs="Arial"/>
          <w:color w:val="000000"/>
          <w:lang w:val="en-GB"/>
        </w:rPr>
        <w:t xml:space="preserve"> – wurde, da er den Weckreiz erkannte? Es entfällt dann zunächst die ganze Schwierigkeit, eine so lange Geschichte mit all ihren Einzelheiten in dem überaus kurzen Zeitraum, der hier dem Träumer zur Verfügung steht, zu komponieren; sie war bereits komponiert. Hätte das Holz </w:t>
      </w:r>
      <w:r w:rsidRPr="00A06A59">
        <w:rPr>
          <w:rFonts w:ascii="Garamond" w:hAnsi="Garamond" w:cs="Arial"/>
          <w:i/>
          <w:iCs/>
          <w:color w:val="000000"/>
          <w:lang w:val="en-GB"/>
        </w:rPr>
        <w:t>Maury</w:t>
      </w:r>
      <w:r w:rsidRPr="00A06A59">
        <w:rPr>
          <w:rFonts w:ascii="Garamond" w:hAnsi="Garamond" w:cs="Arial"/>
          <w:color w:val="000000"/>
          <w:lang w:val="en-GB"/>
        </w:rPr>
        <w:t xml:space="preserve">s Nacken im Wachen getroffen, so wäre etwa Raum für den Gedanken gewesen: Das ist ja geradeso, als ob man guillotiniert würde. Da er aber im Schlaf von dem Brette getroffen wird, so benützt die Traumarbeit den anlangenden Reiz rasch zur Herstellung einer Wunscherfüllung, </w:t>
      </w:r>
      <w:r w:rsidRPr="00A06A59">
        <w:rPr>
          <w:rFonts w:ascii="Garamond" w:hAnsi="Garamond" w:cs="Arial"/>
          <w:i/>
          <w:iCs/>
          <w:color w:val="000000"/>
          <w:lang w:val="en-GB"/>
        </w:rPr>
        <w:t>als ob</w:t>
      </w:r>
      <w:r w:rsidRPr="00A06A59">
        <w:rPr>
          <w:rFonts w:ascii="Garamond" w:hAnsi="Garamond" w:cs="Arial"/>
          <w:color w:val="000000"/>
          <w:lang w:val="en-GB"/>
        </w:rPr>
        <w:t xml:space="preserve"> sie denken würde (dies ist durchaus figürlich zu nehmen): »Jetzt ist eine gute Gelegenheit, die Wunschphantasie wahr zu machen, die ich mir zu der und der Zeit bei der Lektüre gebildet habe.« Daß der geträumte Roman gerade ein solcher ist, wie ihn der Jüngling unter mächtig erregenden Eindrücken zu bilden pflegt, scheint mir nicht bestreitbar. Wer hätte sich nicht gefesselt gefühlt – und zumal als Franzose und Kulturhistoriker – durch die Schilderungen aus der Zeit des Schreckens, in der der Adel, Männer und Frauen, die Blüte der Nation, zeigte, wie man mit heiterer Seele sterben kann, die Frische ihres Witzes und die Feinheit ihrer Lebensformen bis zur verhängnisvollen Abberufung festhielt? Wie verlockend, sich da mitten hinein zu phantasieren als einer der jungen Männer, die sich mit einem Handkuß von der Dame verabschieden, um unerschrocken das Gerüst zu besteigen! Oder wenn der Ehrgeiz das Hauptmotiv des Phantasierens gewesen ist, sich in eine jener gewaltigen Individualitäten zu versetzen, die nur durch die Macht ihrer Gedanken und ihrer flammenden Beredsamkeit die Stadt beherrschen, in der damals das Herz der Menschheit krampfhaft schlägt, die Tausende von Menschen aus Überzeugung in den Tod schicken und die Umwandlung Europas anbahnen, dabei selbst ihrer Häupter nicht sicher sind und sie eines Tages unter das Messer der Guillotine legen, etwa in die Rolle der Girondisten oder des Heros Danton? Daß die Phantasie </w:t>
      </w:r>
      <w:r w:rsidRPr="00A06A59">
        <w:rPr>
          <w:rFonts w:ascii="Garamond" w:hAnsi="Garamond" w:cs="Arial"/>
          <w:i/>
          <w:iCs/>
          <w:color w:val="000000"/>
          <w:lang w:val="en-GB"/>
        </w:rPr>
        <w:t>Maury</w:t>
      </w:r>
      <w:r w:rsidRPr="00A06A59">
        <w:rPr>
          <w:rFonts w:ascii="Garamond" w:hAnsi="Garamond" w:cs="Arial"/>
          <w:color w:val="000000"/>
          <w:lang w:val="en-GB"/>
        </w:rPr>
        <w:t>s eine solche ehrgeizige gewesen ist, darauf scheint der in der Erinnerung erhaltene Zug hinzuweisen »von einer unübersehbaren Menschenmenge begleitet«.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ganze, seit langem fertige Phantasie braucht aber während des Schlafes auch nicht durchgemacht zu werden; es genügt, wenn sie sozusagen »angetupft« wird. Ich meine das folgendermaßen: Wenn ein paar Takte angeschlagen werden und jemand wie im </w:t>
      </w:r>
      <w:r w:rsidRPr="00A06A59">
        <w:rPr>
          <w:rFonts w:ascii="Garamond" w:hAnsi="Garamond" w:cs="Arial"/>
          <w:i/>
          <w:iCs/>
          <w:color w:val="000000"/>
          <w:lang w:val="en-GB"/>
        </w:rPr>
        <w:t>Don Juan</w:t>
      </w:r>
      <w:r w:rsidRPr="00A06A59">
        <w:rPr>
          <w:rFonts w:ascii="Garamond" w:hAnsi="Garamond" w:cs="Arial"/>
          <w:color w:val="000000"/>
          <w:lang w:val="en-GB"/>
        </w:rPr>
        <w:t xml:space="preserve"> dazu sagt: Das ist aus </w:t>
      </w:r>
      <w:r w:rsidRPr="00A06A59">
        <w:rPr>
          <w:rFonts w:ascii="Garamond" w:hAnsi="Garamond" w:cs="Arial"/>
          <w:i/>
          <w:iCs/>
          <w:color w:val="000000"/>
          <w:lang w:val="en-GB"/>
        </w:rPr>
        <w:t>Figaros Hochzeit</w:t>
      </w:r>
      <w:r w:rsidRPr="00A06A59">
        <w:rPr>
          <w:rFonts w:ascii="Garamond" w:hAnsi="Garamond" w:cs="Arial"/>
          <w:color w:val="000000"/>
          <w:lang w:val="en-GB"/>
        </w:rPr>
        <w:t xml:space="preserve"> von Mozart, so wogt es in mir mit einem Male von Erinnerungen, aus denen sich im nächsten Moment nichts einzelnes zum Bewußtsein erheben kann. Das Schlagwort dient als Einbruchsstation, von der aus ein Ganzes gleichzeitig in Erregung versetzt wird. Nicht anders brauchte es im unbewußten Denken zu sein. Durch den Weckreiz wird die psychische Station erregt, die den Zugang zur ganzen Guillotinenphantasie eröffnet. Diese wird aber nicht noch im Schlaf durchlaufen, sondern erst in der Erinnerung des Erwachten. Erwacht, erinnert man jetzt in ihren Einzelheiten die Phantasie, an die als Ganzes im Traum gerührt wurde. Man hat dabei kein Mittel zur Versicherung, daß man wirklich etwas Geträumtes erinnert. Man kann dieselbe Erklärung, daß es sich um fertige Phantasien handelt, die durch den Weckreiz als Ganzes in Erregung gebracht werden, noch für andere auf den Weckreiz eingestellte Träume verwenden, z. B. für den Schlachtentraum Napoleons vor der Explosion der Höllenmaschine. Unter den Träumen, welche Justine Tobowolska in ihrer Dissertation über die scheinbare Zeitdauer im Traume gesammelt hat, erscheint mir jener der beweisendste, den </w:t>
      </w:r>
      <w:r w:rsidRPr="00A06A59">
        <w:rPr>
          <w:rFonts w:ascii="Garamond" w:hAnsi="Garamond" w:cs="Arial"/>
          <w:i/>
          <w:iCs/>
          <w:color w:val="000000"/>
          <w:lang w:val="en-GB"/>
        </w:rPr>
        <w:t>Macario</w:t>
      </w:r>
      <w:r w:rsidRPr="00A06A59">
        <w:rPr>
          <w:rFonts w:ascii="Garamond" w:hAnsi="Garamond" w:cs="Arial"/>
          <w:color w:val="000000"/>
          <w:lang w:val="en-GB"/>
        </w:rPr>
        <w:t xml:space="preserve"> (1857) von einem Bühnendichter, Casimir </w:t>
      </w:r>
      <w:r w:rsidRPr="00A06A59">
        <w:rPr>
          <w:rFonts w:ascii="Garamond" w:hAnsi="Garamond" w:cs="Arial"/>
          <w:i/>
          <w:iCs/>
          <w:color w:val="000000"/>
          <w:lang w:val="en-GB"/>
        </w:rPr>
        <w:t>Bonjour</w:t>
      </w:r>
      <w:r w:rsidRPr="00A06A59">
        <w:rPr>
          <w:rFonts w:ascii="Garamond" w:hAnsi="Garamond" w:cs="Arial"/>
          <w:color w:val="000000"/>
          <w:lang w:val="en-GB"/>
        </w:rPr>
        <w:t xml:space="preserve">, berichtet </w:t>
      </w:r>
      <w:hyperlink r:id="rId219" w:anchor="#" w:history="1">
        <w:r w:rsidRPr="00A06A59">
          <w:rPr>
            <w:rStyle w:val="fusslink"/>
            <w:rFonts w:ascii="Garamond" w:hAnsi="Garamond" w:cs="Arial"/>
            <w:bCs/>
            <w:color w:val="0000CC"/>
            <w:lang w:val="en-GB"/>
          </w:rPr>
          <w:t>[Fußnote]</w:t>
        </w:r>
        <w:r w:rsidRPr="00A06A59">
          <w:rPr>
            <w:rStyle w:val="innerfusslink3"/>
            <w:rFonts w:ascii="Garamond" w:hAnsi="Garamond" w:cs="Arial"/>
            <w:bCs/>
            <w:color w:val="0000CC"/>
            <w:lang w:val="en-GB"/>
          </w:rPr>
          <w:t>Tobowolska, p. 53.</w:t>
        </w:r>
      </w:hyperlink>
      <w:r w:rsidRPr="00A06A59">
        <w:rPr>
          <w:rFonts w:ascii="Garamond" w:hAnsi="Garamond" w:cs="Arial"/>
          <w:color w:val="000000"/>
          <w:lang w:val="en-GB"/>
        </w:rPr>
        <w:t xml:space="preserve">. Dieser Mann wollte eines Abends der ersten Aufführung eines seiner Stücke beiwohnen, war aber so ermüdet, daß er auf seinem Sitz hinter den Kulissen gerade in dem Momente einnickte, als sich der Vorhang hob. In seinem Schlaf machte er nun alle fünf Akte seines Stückes durch und beobachtete alle die verschiedenartigen Zeichen von Ergriffenheit, welche die Zuhörer bei den einzelnen Szenen äußerten. Nach der Beendigung der Vorstellung hörte er dann ganz selig, wie sein Name unter den lebhaftesten Beifallsbezeigungen verkündet wurde. Plötzlich wachte er auf. Er wollte weder seinen Augen noch seinen Ohren trauen, die Vorstellung war nicht über die ersten Verse der ersten Szene hinausgekommen; er konnte nicht länger als zwei Minuten geschlafen haben. Es ist wohl nicht zu gewagt, für diesen Traum zu behaupten, daß das Durcharbeiten der fünf Akte des Bühnenstücks und das Achten auf das Verhalten des Publikums bei den einzelnen Stellen keiner Neuproduktion während des Schlafes zu entstammen braucht, sondern eine bereits vollzogene Phantasiearbeit in dem angegebenen Sinne wiederholen kann. Die </w:t>
      </w:r>
      <w:r w:rsidRPr="00A06A59">
        <w:rPr>
          <w:rFonts w:ascii="Garamond" w:hAnsi="Garamond" w:cs="Arial"/>
          <w:i/>
          <w:iCs/>
          <w:color w:val="000000"/>
          <w:lang w:val="en-GB"/>
        </w:rPr>
        <w:t>Tobowolska</w:t>
      </w:r>
      <w:r w:rsidRPr="00A06A59">
        <w:rPr>
          <w:rFonts w:ascii="Garamond" w:hAnsi="Garamond" w:cs="Arial"/>
          <w:color w:val="000000"/>
          <w:lang w:val="en-GB"/>
        </w:rPr>
        <w:t xml:space="preserve"> hebt mit anderen Autoren als gemeinsame Charaktere der Träume mit beschleunigtem Vorstellungsablauf hervor, daß sie besonders kohärent erscheinen, gar nicht wie andere Träume, und daß die Erinnerung an sie weit eher eine summarische als eine detaillierte ist. Dies wären aber gerade die Kennzeichen, welche solchen fertigen, durch die Traumarbeit angerührten Phantasien zukommen müßten, ein Schluß, welchen die Autoren allerdings nicht ziehen. Ich will nicht behaupten, daß </w:t>
      </w:r>
      <w:r w:rsidRPr="00A06A59">
        <w:rPr>
          <w:rFonts w:ascii="Garamond" w:hAnsi="Garamond" w:cs="Arial"/>
          <w:color w:val="000000"/>
          <w:lang w:val="en-GB"/>
        </w:rPr>
        <w:lastRenderedPageBreak/>
        <w:t>alle Weckträume diese Erklärung zulassen oder daß das Problem des beschleunigten Vorstellungsablaufs im Traume auf diese Weise überhaupt wegzuräumen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unvermeidlich, daß man sich hier um das Verhältnis dieser sekundären Bearbeitung des Trauminhalts zu den Faktoren der Traumarbeit bekümmere. Geht es etwa so vor sich, daß die traumbildenden Faktoren, das Verdichtungsbestreben, der Zwang, der Zensur auszuweichen, und die Rücksicht auf Darstellbarkeit in den psychischen Mitteln des Traumes, vorerst aus dem Material einen vorläufigen Trauminhalt bilden und daß dieser dann nachträglich umgeformt wird, bis er den Ansprüchen einer zweiten Instanz möglichst genügt? Dies ist kaum wahrscheinlich. Man muß eher annehmen, daß die Anforderungen dieser Instanz von allem Anfang an eine der Bedingungen abgeben, denen der Traum genügen soll, und daß diese Bedingung ebenso wie die der Verdichtung, der Widerstandszensur und der Darstellbarkeit gleichzeitig auf das große Material der Traumgedanken induzierend und auswählend einwirken. Unter den vier Bedingungen der Traumbildung ist aber die letzterkannte jedenfalls die, deren Anforderungen für den Traum am wenigsten zwingend erscheinen. Die Identifizierung dieser psychischen Funktion, welche die sogenannte sekundäre Bearbeitung des Trauminhaltes vornimmt, mit der Arbeit unseres wachen Denkens ergibt sich mit hoher Wahrscheinlichkeit aus folgender Erwägung: Unser waches (vorbewußtes) Denken benimmt sich gegen ein beliebiges Wahrnehmungsmaterial ganz ebenso wie die in Frage stehende Funktion gegen den Trauminhalt. Es ist ihm natürlich, in einem solchen Material Ordnung zu schaffen, Relationen herzustellen, es unter die Erwartung eines intelligibeln Zusammenhangs zu bringen. Wir gehen darin eher zu weit; die Kunststücke der Taschenspieler äffen uns, indem sie sich auf diese unsere intellektuelle Gewohnheit stützen. In dem Bestreben, die gebotenen Sinneseindrücke verständlich zusammenzusetzen, begehen wir oft die seltsamsten Irrtümer oder fälschen selbst die Wahrheit des uns vorliegenden Materials. Die hieher gehörigen Beweise sind zu sehr allgemein bekannt, um breiter Anführung zu bedürfen. Wir lesen über sinnstörende Druckfehler hinweg, indem wir das Richtige illusionieren. Ein Redakteur eines vielgelesenen französischen Journals soll die Wette gewagt haben, er werde in jeden Satz eines langen Artikels durch den Druck einschalten lassen, »von vorne« oder »von hinten«, ohne daß einer der Leser es bemerken würde. Er gewann die Wette. Ein komisches Beispiel von falschem Zusammenhange ist mir vor Jahren bei der Zeitungslektüre aufgefallen. Nach jener Sitzung der französischen Kammer, in welcher </w:t>
      </w:r>
      <w:r w:rsidRPr="00A06A59">
        <w:rPr>
          <w:rFonts w:ascii="Garamond" w:hAnsi="Garamond" w:cs="Arial"/>
          <w:i/>
          <w:iCs/>
          <w:color w:val="000000"/>
          <w:lang w:val="en-GB"/>
        </w:rPr>
        <w:t>Dupuy</w:t>
      </w:r>
      <w:r w:rsidRPr="00A06A59">
        <w:rPr>
          <w:rFonts w:ascii="Garamond" w:hAnsi="Garamond" w:cs="Arial"/>
          <w:color w:val="000000"/>
          <w:lang w:val="en-GB"/>
        </w:rPr>
        <w:t xml:space="preserve"> durch das beherzte Wort: » </w:t>
      </w:r>
      <w:r w:rsidRPr="00A06A59">
        <w:rPr>
          <w:rFonts w:ascii="Garamond" w:hAnsi="Garamond" w:cs="Arial"/>
          <w:i/>
          <w:iCs/>
          <w:color w:val="000000"/>
          <w:lang w:val="en-GB"/>
        </w:rPr>
        <w:t>La séance continue</w:t>
      </w:r>
      <w:r w:rsidRPr="00A06A59">
        <w:rPr>
          <w:rFonts w:ascii="Garamond" w:hAnsi="Garamond" w:cs="Arial"/>
          <w:color w:val="000000"/>
          <w:lang w:val="en-GB"/>
        </w:rPr>
        <w:t>« den Schreck über das Platzen der von einem Anarchisten in den Saal geworfenen Bombe aufhob, wurden die Besucher der Galerie als Zeugen über ihre Eindrücke von dem Attentat vernommen. Unter ihnen befanden sich zwei Leute aus der Provinz, deren einer erzählte, unmittelbar nach Schluß einer Rede habe er wohl eine Detonation vernommen, aber gemeint, es sei im Parlament Sitte, jedesmal, wenn ein Redner geendigt, einen Schuß abzufeuern. Der andere, der wahrscheinlich schon mehrere Redner angehört hatte, war in dasselbe Urteil verfallen, jedoch mit der Abänderung, daß solches Schießen eine Anerkennung sei, die nur nach besonders gelungenen Reden erfolge.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Es ist also wohl keine andere psychische Instanz als unser normales Denken, welche an den Trauminhalt mit dem Anspruch herantritt, er müsse verständlich sein, ihn einer ersten Deutung unterzieht und dadurch das volle Mißverständnis desselben herbeiführt. Für unsere Deutung bleibt es Vorschrift, den scheinbaren Zusammenhang im Traum, als seiner Herkunft nach verdächtig, in allen Fällen unbeachtet zu lassen und vom Klaren wie vom Verworrenen den gleichen Weg des Rückgangs zum Traummaterial einzuschlagen.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merken aber dabei, wovon die oben, S. 226, erwähnte Qualitätenskala der Träume von der Verworrenheit bis zur Klarheit wesentlich abhängt. Klar erscheinen uns jene Traumpartien, an denen die sekundäre Bearbeitung etwas ausrichten konnte, verworren jene anderen, wo die Kraft dieser Leistung versagt hat. Da die verworrenen Traumpartien so häufig auch die minder lebhaft ausgeprägten sind, so dürfen wir den Schluß ziehen, daß die sekundäre Traumarbeit auch für einen Beitrag zur plastischen Intensität der einzelnen Traumgebilde verantwortlich zu machen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Soll ich für die definitive Gestaltung des Traums, wie sie sich unter der Mitwirkung des normalen Denkens ergibt, irgendwo ein Vergleichsobjekt suchen, so bietet sich mir kein anderes als jene rätselhaften Inschriften, mit denen die </w:t>
      </w:r>
      <w:r w:rsidRPr="00A06A59">
        <w:rPr>
          <w:rFonts w:ascii="Garamond" w:hAnsi="Garamond" w:cs="Arial"/>
          <w:i/>
          <w:iCs/>
          <w:color w:val="000000"/>
          <w:lang w:val="en-GB"/>
        </w:rPr>
        <w:t>Fliegenden Blätter</w:t>
      </w:r>
      <w:r w:rsidRPr="00A06A59">
        <w:rPr>
          <w:rFonts w:ascii="Garamond" w:hAnsi="Garamond" w:cs="Arial"/>
          <w:color w:val="000000"/>
          <w:lang w:val="en-GB"/>
        </w:rPr>
        <w:t xml:space="preserve"> so lange ihre Leser unterhalten haben. Für einen gewissen Satz, des Kontrastes halber dem Dialekt angehörig und von möglichst skurriler Bedeutung, soll die Erwartung erweckt werden, daß er eine lateinische Inschrift enthalte. Zu diesem Zwecke werden die Buchstabenelemente der Worte aus ihrer Zusammenfügung zu Silben gerissen und neu angeordnet. Hie und da kommt ein echt lateinisches Wort zustande, an anderen Stellen glauben wir Abkürzungen solcher Worte vor uns zu haben, und an noch anderen Stellen der Inschrift lassen wir uns mit dem Anscheine von verwitterten Partien oder von Lücken der Inschrift über die Sinnlosigkeit der vereinzelt stehenden Buchstaben hinwegtäuschen. Wenn wir dem Scherze nicht aufsitzen wollen, müssen wir uns über alle Requisite einer Inschrift hinwegsetzen, die Buchstaben ins Auge fassen und sie unbekümmert um die gebotene Anordnung zu Worten unserer Muttersprache zusammensetzen.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Die sekundäre Bearbeitung ist jenes Moment der Traumarbeit, welches von den meisten Autoren bemerkt und in seiner Bedeutung gewürdigt worden ist. In heiterer Verbildlichung schildert H. </w:t>
      </w:r>
      <w:r w:rsidRPr="00A06A59">
        <w:rPr>
          <w:rFonts w:ascii="Garamond" w:hAnsi="Garamond" w:cs="Arial"/>
          <w:i/>
          <w:iCs/>
          <w:color w:val="000000"/>
          <w:lang w:val="en-GB"/>
        </w:rPr>
        <w:t>Ellis</w:t>
      </w:r>
      <w:r w:rsidRPr="00A06A59">
        <w:rPr>
          <w:rFonts w:ascii="Garamond" w:hAnsi="Garamond" w:cs="Arial"/>
          <w:color w:val="000000"/>
          <w:lang w:val="en-GB"/>
        </w:rPr>
        <w:t xml:space="preserve"> dessen Leistung (Einleitung, p. 10):</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können uns die Sache tatsächlich so denken, daß das Schlafbewußtsein zu sich sagt: Hier kommt unser Meister, das Wachbewußtsein, der ungeheuer viel Wert auf Vernunft, Logik u. dgl. legt. Schnell! Faß die Dinge an, bringe sie in Ordnung, jede Anordnung genügt – ehe er eintritt, um vom Schauplatze Besitz zu ergreifen.«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Die Identität dieser Arbeitsweise mit der des wachen Denkens wird besonders klar von </w:t>
      </w:r>
      <w:hyperlink r:id="rId220" w:anchor="#" w:history="1">
        <w:r w:rsidRPr="00A06A59">
          <w:rPr>
            <w:rStyle w:val="fusslink"/>
            <w:rFonts w:ascii="Garamond" w:hAnsi="Garamond" w:cs="Arial"/>
            <w:bCs/>
            <w:color w:val="0000CC"/>
          </w:rPr>
          <w:t>[Fußnote]</w:t>
        </w:r>
        <w:r w:rsidRPr="00A06A59">
          <w:rPr>
            <w:rStyle w:val="innerfusslink3"/>
            <w:rFonts w:ascii="Garamond" w:hAnsi="Garamond" w:cs="Arial"/>
            <w:bCs/>
            <w:color w:val="0000CC"/>
          </w:rPr>
          <w:t>Delacroix</w:t>
        </w:r>
      </w:hyperlink>
      <w:r w:rsidRPr="00A06A59">
        <w:rPr>
          <w:rFonts w:ascii="Garamond" w:hAnsi="Garamond" w:cs="Arial"/>
          <w:color w:val="000000"/>
        </w:rPr>
        <w:t xml:space="preserve"> (p. 526) behauptet: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 </w:t>
      </w:r>
      <w:r w:rsidRPr="00A06A59">
        <w:rPr>
          <w:rFonts w:ascii="Garamond" w:hAnsi="Garamond" w:cs="Arial"/>
          <w:i/>
          <w:iCs/>
          <w:color w:val="000000"/>
        </w:rPr>
        <w:t>Cette fonction d'interprétation n'est pas particulière au rêve; c'est le même travail de coordination logique que nous faisons sur nos sensations pendant la veille.</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J. </w:t>
      </w:r>
      <w:r w:rsidRPr="00A06A59">
        <w:rPr>
          <w:rFonts w:ascii="Garamond" w:hAnsi="Garamond" w:cs="Arial"/>
          <w:i/>
          <w:iCs/>
          <w:color w:val="000000"/>
          <w:lang w:val="en-GB"/>
        </w:rPr>
        <w:t>Sully</w:t>
      </w:r>
      <w:r w:rsidRPr="00A06A59">
        <w:rPr>
          <w:rFonts w:ascii="Garamond" w:hAnsi="Garamond" w:cs="Arial"/>
          <w:color w:val="000000"/>
          <w:lang w:val="en-GB"/>
        </w:rPr>
        <w:t xml:space="preserve"> vertritt dieselbe Auffassung. </w:t>
      </w:r>
      <w:r w:rsidRPr="00A06A59">
        <w:rPr>
          <w:rFonts w:ascii="Garamond" w:hAnsi="Garamond" w:cs="Arial"/>
          <w:color w:val="000000"/>
        </w:rPr>
        <w:t xml:space="preserve">Ebenso </w:t>
      </w:r>
      <w:r w:rsidRPr="00A06A59">
        <w:rPr>
          <w:rFonts w:ascii="Garamond" w:hAnsi="Garamond" w:cs="Arial"/>
          <w:i/>
          <w:iCs/>
          <w:color w:val="000000"/>
        </w:rPr>
        <w:t>Tobowolska</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 </w:t>
      </w:r>
      <w:r w:rsidRPr="00A06A59">
        <w:rPr>
          <w:rFonts w:ascii="Garamond" w:hAnsi="Garamond" w:cs="Arial"/>
          <w:i/>
          <w:iCs/>
          <w:color w:val="000000"/>
        </w:rPr>
        <w:t>Sur ces successions incohérentes d'hallucinations, l'esprit s'efforce de faire le même travail de coordination logique qu'il fait pendant la veille sur les sensations. Il relie entre elles par un lien imaginaire toutes ces images décousues et bouche les écarts trop grands qui se trouvaient entre elles.</w:t>
      </w:r>
      <w:r w:rsidRPr="00A06A59">
        <w:rPr>
          <w:rFonts w:ascii="Garamond" w:hAnsi="Garamond" w:cs="Arial"/>
          <w:color w:val="000000"/>
        </w:rPr>
        <w:t xml:space="preserve">« </w:t>
      </w:r>
      <w:r w:rsidRPr="00A06A59">
        <w:rPr>
          <w:rFonts w:ascii="Garamond" w:hAnsi="Garamond" w:cs="Arial"/>
          <w:color w:val="000000"/>
          <w:lang w:val="en-GB"/>
        </w:rPr>
        <w:t>(p. 93.)</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Einige Autoren lassen diese ordnende und deutende Tätigkeit noch während des Träumens beginnen und im Wachen fortgesetzt werden. </w:t>
      </w:r>
      <w:r w:rsidRPr="00A06A59">
        <w:rPr>
          <w:rFonts w:ascii="Garamond" w:hAnsi="Garamond" w:cs="Arial"/>
          <w:color w:val="000000"/>
        </w:rPr>
        <w:t xml:space="preserve">So </w:t>
      </w:r>
      <w:r w:rsidRPr="00A06A59">
        <w:rPr>
          <w:rFonts w:ascii="Garamond" w:hAnsi="Garamond" w:cs="Arial"/>
          <w:i/>
          <w:iCs/>
          <w:color w:val="000000"/>
        </w:rPr>
        <w:t>Paulhan</w:t>
      </w:r>
      <w:r w:rsidRPr="00A06A59">
        <w:rPr>
          <w:rFonts w:ascii="Garamond" w:hAnsi="Garamond" w:cs="Arial"/>
          <w:color w:val="000000"/>
        </w:rPr>
        <w:t xml:space="preserve"> (p. 547):</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 </w:t>
      </w:r>
      <w:r w:rsidRPr="00A06A59">
        <w:rPr>
          <w:rFonts w:ascii="Garamond" w:hAnsi="Garamond" w:cs="Arial"/>
          <w:i/>
          <w:iCs/>
          <w:color w:val="000000"/>
        </w:rPr>
        <w:t>Cependant j'ai souvent pensé qu'il pouvait y avoir une certaine déformation, ou plutôt reformation, du rêve dans le souvenir... La tendence systématisante de l'imagination pourrait fort bien achever après le réveil ce qu'elle a ébauché pendant le sommeil. De la sorte, la rapidité réelle de la pensée serait augmentée en apparence par les perfectionnements dus à l'imagination éveillée.</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t>Leroy</w:t>
      </w:r>
      <w:r w:rsidRPr="00A06A59">
        <w:rPr>
          <w:rFonts w:ascii="Garamond" w:hAnsi="Garamond" w:cs="Arial"/>
          <w:color w:val="000000"/>
        </w:rPr>
        <w:t xml:space="preserve"> et </w:t>
      </w:r>
      <w:r w:rsidRPr="00A06A59">
        <w:rPr>
          <w:rFonts w:ascii="Garamond" w:hAnsi="Garamond" w:cs="Arial"/>
          <w:i/>
          <w:iCs/>
          <w:color w:val="000000"/>
        </w:rPr>
        <w:t>Tobowolska</w:t>
      </w:r>
      <w:r w:rsidRPr="00A06A59">
        <w:rPr>
          <w:rFonts w:ascii="Garamond" w:hAnsi="Garamond" w:cs="Arial"/>
          <w:color w:val="000000"/>
        </w:rPr>
        <w:t xml:space="preserve"> (p. 592):</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 </w:t>
      </w:r>
      <w:r w:rsidRPr="00A06A59">
        <w:rPr>
          <w:rFonts w:ascii="Garamond" w:hAnsi="Garamond" w:cs="Arial"/>
          <w:i/>
          <w:iCs/>
          <w:color w:val="000000"/>
        </w:rPr>
        <w:t>Dans le rêve, au contraire, l'interprétation et la coordination se font non seulement à l'aide des données du rêve, mais encore à l'aide de celles de la veille...</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Es konnte dann nicht ausbleiben, daß dieses einzig erkannte Moment der Traumbildung in seiner Bedeutung überschätzt wurde, so daß man ihm die ganze Leistung, den Traum geschaffen zu haben, zuschob. Diese Schöpfung sollte sich im Moment des Erwachens vollziehen, wie es </w:t>
      </w:r>
      <w:r w:rsidRPr="00A06A59">
        <w:rPr>
          <w:rFonts w:ascii="Garamond" w:hAnsi="Garamond" w:cs="Arial"/>
          <w:i/>
          <w:iCs/>
          <w:color w:val="000000"/>
        </w:rPr>
        <w:t>Goblot</w:t>
      </w:r>
      <w:r w:rsidRPr="00A06A59">
        <w:rPr>
          <w:rFonts w:ascii="Garamond" w:hAnsi="Garamond" w:cs="Arial"/>
          <w:color w:val="000000"/>
        </w:rPr>
        <w:t xml:space="preserve"> und noch weitergehend </w:t>
      </w:r>
      <w:r w:rsidRPr="00A06A59">
        <w:rPr>
          <w:rFonts w:ascii="Garamond" w:hAnsi="Garamond" w:cs="Arial"/>
          <w:i/>
          <w:iCs/>
          <w:color w:val="000000"/>
        </w:rPr>
        <w:t>Foucault</w:t>
      </w:r>
      <w:r w:rsidRPr="00A06A59">
        <w:rPr>
          <w:rFonts w:ascii="Garamond" w:hAnsi="Garamond" w:cs="Arial"/>
          <w:color w:val="000000"/>
        </w:rPr>
        <w:t xml:space="preserve"> annehmen, die dem Wachdenken die Fähigkeit zuschreiben, aus den im Schlaf auftauchenden Gedanken den Traum zu bilden.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i/>
          <w:iCs/>
          <w:color w:val="000000"/>
        </w:rPr>
        <w:t>Leroy</w:t>
      </w:r>
      <w:r w:rsidRPr="00A06A59">
        <w:rPr>
          <w:rFonts w:ascii="Garamond" w:hAnsi="Garamond" w:cs="Arial"/>
          <w:color w:val="000000"/>
        </w:rPr>
        <w:t xml:space="preserve"> et </w:t>
      </w:r>
      <w:r w:rsidRPr="00A06A59">
        <w:rPr>
          <w:rFonts w:ascii="Garamond" w:hAnsi="Garamond" w:cs="Arial"/>
          <w:i/>
          <w:iCs/>
          <w:color w:val="000000"/>
        </w:rPr>
        <w:t>Tobowolska</w:t>
      </w:r>
      <w:r w:rsidRPr="00A06A59">
        <w:rPr>
          <w:rFonts w:ascii="Garamond" w:hAnsi="Garamond" w:cs="Arial"/>
          <w:color w:val="000000"/>
        </w:rPr>
        <w:t xml:space="preserve"> sagen über diese Auffassung: » </w:t>
      </w:r>
      <w:r w:rsidRPr="00A06A59">
        <w:rPr>
          <w:rFonts w:ascii="Garamond" w:hAnsi="Garamond" w:cs="Arial"/>
          <w:i/>
          <w:iCs/>
          <w:color w:val="000000"/>
        </w:rPr>
        <w:t>On a cru pouvoir placer le rêve au moment du réveil, et ils ont attribué à la pensée de la veille la fonction de construire le rêve avec les images présentes dans la pensée du sommeil.</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An die Würdigung der sekundären Bearbeitung schließe ich die eines neuen Beitrags zur Traumarbeit, den feinsinnige Beobachtungen von H. </w:t>
      </w:r>
      <w:r w:rsidRPr="00A06A59">
        <w:rPr>
          <w:rFonts w:ascii="Garamond" w:hAnsi="Garamond" w:cs="Arial"/>
          <w:i/>
          <w:iCs/>
          <w:color w:val="000000"/>
        </w:rPr>
        <w:t>Silberer</w:t>
      </w:r>
      <w:r w:rsidRPr="00A06A59">
        <w:rPr>
          <w:rFonts w:ascii="Garamond" w:hAnsi="Garamond" w:cs="Arial"/>
          <w:color w:val="000000"/>
        </w:rPr>
        <w:t xml:space="preserve"> aufgezeigt haben. </w:t>
      </w:r>
      <w:r w:rsidRPr="00A06A59">
        <w:rPr>
          <w:rFonts w:ascii="Garamond" w:hAnsi="Garamond" w:cs="Arial"/>
          <w:i/>
          <w:iCs/>
          <w:color w:val="000000"/>
        </w:rPr>
        <w:t>Silberer</w:t>
      </w:r>
      <w:r w:rsidRPr="00A06A59">
        <w:rPr>
          <w:rFonts w:ascii="Garamond" w:hAnsi="Garamond" w:cs="Arial"/>
          <w:color w:val="000000"/>
        </w:rPr>
        <w:t xml:space="preserve"> hat, wie an anderer Stelle erwähnt (s. S. 236), die Umsetzung von Gedanken in Bilder gleichsam in flagranti erhascht, indem er sich in Zuständen von Müdigkeit und Schlaftrunkenheit zu geistiger Tätigkeit nötigte. </w:t>
      </w:r>
      <w:r w:rsidRPr="00A06A59">
        <w:rPr>
          <w:rFonts w:ascii="Garamond" w:hAnsi="Garamond" w:cs="Arial"/>
          <w:color w:val="000000"/>
          <w:lang w:val="en-GB"/>
        </w:rPr>
        <w:t xml:space="preserve">Dann entschwand ihm der bearbeitete Gedanke, und an seiner Statt stellte sich eine Vision ein, welche sich als der Ersatz des meist abstrakten Gedankens erwies. (Siehe die Beispiele S. 236) Bei diesen Versuchen ereignete es sich nun, daß das auftauchende, einem Traumelement gleichzusetzende Bild etwas anderes darstellte als den der Bearbeitung harrenden Gedanken, nämlich die Ermüdung selbst, die Schwierigkeit oder Unlust zu dieser Arbeit, also den subjektiven Zustand und die Funktionsweise der sich mühenden Person anstatt des Gegenstands ihrer Bemühung. Silberer nannte diesen bei ihm recht häufig eintretenden Fall das » </w:t>
      </w:r>
      <w:r w:rsidRPr="00A06A59">
        <w:rPr>
          <w:rFonts w:ascii="Garamond" w:hAnsi="Garamond" w:cs="Arial"/>
          <w:i/>
          <w:iCs/>
          <w:color w:val="000000"/>
          <w:lang w:val="en-GB"/>
        </w:rPr>
        <w:t>funktionale</w:t>
      </w:r>
      <w:r w:rsidRPr="00A06A59">
        <w:rPr>
          <w:rFonts w:ascii="Garamond" w:hAnsi="Garamond" w:cs="Arial"/>
          <w:color w:val="000000"/>
          <w:lang w:val="en-GB"/>
        </w:rPr>
        <w:t xml:space="preserve"> Phänomen« zum Unterschiede von dem zu erwartenden » </w:t>
      </w:r>
      <w:r w:rsidRPr="00A06A59">
        <w:rPr>
          <w:rFonts w:ascii="Garamond" w:hAnsi="Garamond" w:cs="Arial"/>
          <w:i/>
          <w:iCs/>
          <w:color w:val="000000"/>
          <w:lang w:val="en-GB"/>
        </w:rPr>
        <w:t>materialen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 B.: »Ich liege eines Nachmittags äußerst schläfrig auf meinem Sofa, zwinge mich aber, über ein philosophisches Problem nachzudenken. Ich suche nämlich die Ansichten Kants und Schopenhauers über die Zeit zu vergleichen. Es gelingt mir infolge meiner Schlaftrunkenheit nicht, die Gedankengänge beider nebeneinander festzuhalten, was zum Vergleich nötig wäre. Nach mehreren vergeblichen Versuchen präge ich mir noch einmal die Kantische Ableitung mit aller Willenskraft ein, um sie dann auf die Schopenhauersche Problemstellung anzuwenden. Hierauf lenke ich meine Aufmerksamkeit der letzteren zu; als ich jetzt auf Kant zurückgreifen will, zeigt es sich, daß er mir wieder entschwunden ist, vergebens bemühe ich mich, ihn von neuem hervorzuholen. Diese vergebliche Bemühung, die in meinem Kopf irgendwo verlegten Kant-Akten sogleich wiederzufinden, stellt sich mir nun bei geschlossenen Augen plötzlich wie im Traumbild als anschaulich-plastisches Symbol dar: </w:t>
      </w:r>
      <w:r w:rsidRPr="00A06A59">
        <w:rPr>
          <w:rFonts w:ascii="Garamond" w:hAnsi="Garamond" w:cs="Arial"/>
          <w:i/>
          <w:iCs/>
          <w:color w:val="000000"/>
          <w:lang w:val="en-GB"/>
        </w:rPr>
        <w:t>Ich verlange eine Auskunft von einem mürrischen Sekretär, der, über einen Schreibtisch gebeugt, sich durch mein Drängen nicht stören läßt. Sich halb aufrichtend, blickt er mich unwillig und abweisend an.</w:t>
      </w:r>
      <w:r w:rsidRPr="00A06A59">
        <w:rPr>
          <w:rFonts w:ascii="Garamond" w:hAnsi="Garamond" w:cs="Arial"/>
          <w:color w:val="000000"/>
          <w:lang w:val="en-GB"/>
        </w:rPr>
        <w:t>« (Jahrb. I, p. 514.)</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Andere Beispiele, die sich auf das Schwanken zwischen Schlaf und Wachen beziehen.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»Beispiel Nr. 2. – Bedingungen: Morgens beim Erwachen. In einer gewissen Schlaftiefe (Dämmerzustand) über einen vorherigen Traum nachdenkend, ihn gewissermaßen nach- und austräumend, fühle ich mich dem Wachbewußtsein näher kommend, ich will jedoch in dem Dämmerzustand noch verbleiben.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Szene: </w:t>
      </w:r>
      <w:r w:rsidRPr="00A06A59">
        <w:rPr>
          <w:rFonts w:ascii="Garamond" w:hAnsi="Garamond" w:cs="Arial"/>
          <w:i/>
          <w:iCs/>
          <w:color w:val="000000"/>
          <w:lang w:val="en-GB"/>
        </w:rPr>
        <w:t>Ich schreite mit einem Fuß über einen Bach, ziehe ihn aber alsbald wieder zurück, trachte, herüben zu bleiben.</w:t>
      </w:r>
      <w:r w:rsidRPr="00A06A59">
        <w:rPr>
          <w:rFonts w:ascii="Garamond" w:hAnsi="Garamond" w:cs="Arial"/>
          <w:color w:val="000000"/>
          <w:lang w:val="en-GB"/>
        </w:rPr>
        <w:t>« (Jahrb. III, p. 625)</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»Beispiel Nr. 6. – Bedingungen wie im Beispiele Nr. 4. (Er will noch ein wenig liegen bleiben, ohne zu verschlafen.) Ich will mich noch ein wenig dem Schlafe hingeben.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Szene: </w:t>
      </w:r>
      <w:r w:rsidRPr="00A06A59">
        <w:rPr>
          <w:rFonts w:ascii="Garamond" w:hAnsi="Garamond" w:cs="Arial"/>
          <w:i/>
          <w:iCs/>
          <w:color w:val="000000"/>
          <w:lang w:val="en-GB"/>
        </w:rPr>
        <w:t>Ich verabschiede mich von jemand und vereinbare mit ihm (oder ihr), ihn (sie) bald wieder zu treffen.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»funktionale« Phänomen, die »Darstellung des Zuständlichen anstatt des Gegenständlichen«, beobachtete </w:t>
      </w:r>
      <w:r w:rsidRPr="00A06A59">
        <w:rPr>
          <w:rFonts w:ascii="Garamond" w:hAnsi="Garamond" w:cs="Arial"/>
          <w:i/>
          <w:iCs/>
          <w:color w:val="000000"/>
          <w:lang w:val="en-GB"/>
        </w:rPr>
        <w:t>Silberer</w:t>
      </w:r>
      <w:r w:rsidRPr="00A06A59">
        <w:rPr>
          <w:rFonts w:ascii="Garamond" w:hAnsi="Garamond" w:cs="Arial"/>
          <w:color w:val="000000"/>
          <w:lang w:val="en-GB"/>
        </w:rPr>
        <w:t xml:space="preserve"> wesentlich unter den zwei Verhältnissen des Einschlafens und des Aufwachens. Es ist leicht zu verstehen, daß nur der letztere Fall für die Traumdeutung in Betracht kommt. Silberer hat an guten Beispielen gezeigt, daß die Endstücke des manifesten Inhalts vieler Träume, an die das Erwachen unmittelbar anschließt, nichts anderes darstellen als den Vorsatz oder den Vorgang des Erwachens selbst. Dieser Absicht dient: das Überschreiten einer Schwelle (»Schwellensymbolik«), das Verlassen eines Raums, um einen anderen zu betreten, das Abreisen, Heimkommen, die Trennung von einem Begleiter, das Eintauchen in Wasser und anderes. Ich kann allerdings die Bemerkung nicht unterdrücken, daß ich die auf Schwellensymbolik zu beziehenden Elemente des Traumes in eigenen Träumen wie in denen der von mir analysierten Personen ungleich seltener angetroffen habe, als man nach den Mitteilungen von </w:t>
      </w:r>
      <w:r w:rsidRPr="00A06A59">
        <w:rPr>
          <w:rFonts w:ascii="Garamond" w:hAnsi="Garamond" w:cs="Arial"/>
          <w:i/>
          <w:iCs/>
          <w:color w:val="000000"/>
          <w:lang w:val="en-GB"/>
        </w:rPr>
        <w:t>Silberer</w:t>
      </w:r>
      <w:r w:rsidRPr="00A06A59">
        <w:rPr>
          <w:rFonts w:ascii="Garamond" w:hAnsi="Garamond" w:cs="Arial"/>
          <w:color w:val="000000"/>
          <w:lang w:val="en-GB"/>
        </w:rPr>
        <w:t xml:space="preserve"> erwarten sollte.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keineswegs undenkbar oder unwahrscheinlich, daß diese »Schwellensymbolik« auch für manche Elemente mitten im Zusammenhange eines Traumes aufklärend würde, z. B. an Stellen, wo es sich um Schwankungen der Schlaftiefe und Neigung, den Traum abzubrechen, handelte. Doch sind gesicherte Beispiele für dieses Vorkommen noch nicht erbracht. Häufiger scheint der Fall der Überdeterminierung vorzuliegen, daß eine Traumstelle, welche ihren materialen Inhalt aus dem Gefüge der Traumgedanken bezieht, </w:t>
      </w:r>
      <w:r w:rsidRPr="00A06A59">
        <w:rPr>
          <w:rFonts w:ascii="Garamond" w:hAnsi="Garamond" w:cs="Arial"/>
          <w:i/>
          <w:iCs/>
          <w:color w:val="000000"/>
          <w:lang w:val="en-GB"/>
        </w:rPr>
        <w:t>überdies</w:t>
      </w:r>
      <w:r w:rsidRPr="00A06A59">
        <w:rPr>
          <w:rFonts w:ascii="Garamond" w:hAnsi="Garamond" w:cs="Arial"/>
          <w:color w:val="000000"/>
          <w:lang w:val="en-GB"/>
        </w:rPr>
        <w:t xml:space="preserve"> zur Darstellung von etwas Zuständlichem an der seelischen Tätigkeit verwendet wurde.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sehr interessante funktionale Phänomen </w:t>
      </w:r>
      <w:r w:rsidRPr="00A06A59">
        <w:rPr>
          <w:rFonts w:ascii="Garamond" w:hAnsi="Garamond" w:cs="Arial"/>
          <w:i/>
          <w:iCs/>
          <w:color w:val="000000"/>
          <w:lang w:val="en-GB"/>
        </w:rPr>
        <w:t>Silberers</w:t>
      </w:r>
      <w:r w:rsidRPr="00A06A59">
        <w:rPr>
          <w:rFonts w:ascii="Garamond" w:hAnsi="Garamond" w:cs="Arial"/>
          <w:color w:val="000000"/>
          <w:lang w:val="en-GB"/>
        </w:rPr>
        <w:t xml:space="preserve"> hat ohne Verschulden seines Entdeckers viel Mißbrauch herbeigeführt, indem die alte Neigung zur abstrakt-symbolischen Deutung der Träume eine Anlehnung an dasselbe gefunden hat. Die Bevorzugung der »funktionalen Kategorie« geht bei manchen so weit, daß sie vom funktionalen Phänomen sprechen, wo immer intellektuelle Tätigkeiten oder Gefühlsvorgänge im Inhalt der Traumgedanken vorkommen, obwohl dieses Material nicht mehr und nicht weniger Anrecht hat, als Tagesrest in den Traum einzugehen, als alles andere.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wollen anerkennen, daß die </w:t>
      </w:r>
      <w:r w:rsidRPr="00A06A59">
        <w:rPr>
          <w:rFonts w:ascii="Garamond" w:hAnsi="Garamond" w:cs="Arial"/>
          <w:i/>
          <w:iCs/>
          <w:color w:val="000000"/>
          <w:lang w:val="en-GB"/>
        </w:rPr>
        <w:t>Silberer</w:t>
      </w:r>
      <w:r w:rsidRPr="00A06A59">
        <w:rPr>
          <w:rFonts w:ascii="Garamond" w:hAnsi="Garamond" w:cs="Arial"/>
          <w:color w:val="000000"/>
          <w:lang w:val="en-GB"/>
        </w:rPr>
        <w:t xml:space="preserve">schen Phänomene einen zweiten Beitrag zur Traumbildung von Seite des Wachdenkens darstellen, welcher allerdings minder konstant und bedeutsam ist als der erste, unter dem Namen »sekundäre Bearbeitung« eingeführte. Es hatte sich gezeigt, daß ein Stück der bei Tage tätigen Aufmerksamkeit auch während des Schlafzustandes dem Traume zugewendet bleibt, ihn kontrolliert, kritisiert und sich die Macht vorbehält, ihn zu unterbrechen. Es hat uns nahegelegen, in dieser wachgebliebenen seelischen Instanz den Zensor zu erkennen, dem ein so starker eindämmernder Einfluß auf die Gestaltung des Traumes zufällt. Was die Beobachtungen von Silberer dazugeben, ist die Tatsache, daß unter Umständen eine Art von Selbstbeobachtung dabei mittätig ist und ihren Beitrag zum Trauminhalt liefert. Über die wahrscheinlichen Beziehungen dieser selbstbeobachtenden Instanz, die besonders bei philosophischen Köpfen vordringlich werden mag, zur endopsychischen Wahrnehmung, zum Beachtungswahn, zum Gewissen und zum Traumzensor geziemt es sich, an anderer Stelle zu handeln </w:t>
      </w:r>
      <w:hyperlink r:id="rId221" w:anchor="#" w:history="1">
        <w:r w:rsidRPr="00A06A59">
          <w:rPr>
            <w:rStyle w:val="fusslink"/>
            <w:rFonts w:ascii="Garamond" w:hAnsi="Garamond" w:cs="Arial"/>
            <w:bCs/>
            <w:color w:val="0000CC"/>
            <w:lang w:val="en-GB"/>
          </w:rPr>
          <w:t>[Fußnote]</w:t>
        </w:r>
        <w:r w:rsidRPr="00A06A59">
          <w:rPr>
            <w:rStyle w:val="innerfusslink3"/>
            <w:rFonts w:ascii="Garamond" w:hAnsi="Garamond" w:cs="Arial"/>
            <w:bCs/>
            <w:color w:val="0000CC"/>
            <w:lang w:val="en-GB"/>
          </w:rPr>
          <w:t>Zur Einführung des Narzißmus. Jahrbuch der Psychoanalyse VI, 1914. (Ges. Schriften, Bd. VI.)</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gehe nun daran, diese ausgedehnten Erörterungen über die Traumarbeit zu resümieren. Wir fanden die Fragestellung vor, ob die Seele alle ihre Fähigkeiten in ungehemmter Entfaltung an die Traumbildung verwende oder nur einen in seiner Leistung gehemmten Bruchteil derselben. Unsere Untersuchungen leiten uns dazu, solche Fragestellung überhaupt als den Verhältnissen inadäquat zu verwerfen. Sollen wir aber bei der Antwort auf demselben Boden bleiben, auf den uns die Frage drängt, so müssen wir beide einander scheinbar durch Gegensatz ausschließenden Auffassungen bejahen. Die seelische Arbeit bei der Traumbildung zerlegt sich in zwei Leistungen: die Herstellung der Traumgedanken und die Umwandlung derselben zum Trauminhalt. Die Traumgedanken sind völlig korrekt und mit allem psychischen Aufwand, dessen wir fähig sind, gebildet; sie gehören unserem nicht bewußtgewordenen Denken an, aus dem durch eine gewisse Umsetzung auch die bewußten Gedanken hervorgehen. </w:t>
      </w:r>
      <w:r w:rsidRPr="00A06A59">
        <w:rPr>
          <w:rFonts w:ascii="Garamond" w:hAnsi="Garamond" w:cs="Arial"/>
          <w:color w:val="000000"/>
          <w:lang w:val="en-GB"/>
        </w:rPr>
        <w:lastRenderedPageBreak/>
        <w:t xml:space="preserve">So viel an ihnen auch wissenswert und rätselhaft sein möge, diese Rätsel haben doch keine besondere Beziehung zum Traume und verdienen nicht, unter den Traumproblemen behandelt zu werden.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22"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Ich fand es früher einmal so außerordentlich schwierig, die Leser an die Unterscheidung von manifestem Trauminhalt und latenten Traumgedanken zu gewöhnen. Immer wieder wurden Argumente und Einwendungen aus dem ungedeuteten Traum, wie ihn die Erinnerung bewahrt hat, geschöpft und die Forderung der Traumdeutung überhört. Nun, da sich wenigstens die Analytiker damit befreundet haben, für den manifesten Traum seinen durch Deutung gefundenen Sinn einzusetzen, machen sich viele von ihnen einer anderen Verwechslung schuldig, an der sie ebenso hartnäckig festhalten. Sie suchen das Wesen des Traums in diesem latenten Inhalt und übersehen dabei den Unterschied zwischen latenten Traumgedanken und Traumarbeit. Der Traum ist im Grunde nichts anderes als eine besondere </w:t>
        </w:r>
        <w:r w:rsidR="00A06A59" w:rsidRPr="00A06A59">
          <w:rPr>
            <w:rStyle w:val="innerfusslink3"/>
            <w:rFonts w:ascii="Garamond" w:hAnsi="Garamond" w:cs="Arial"/>
            <w:bCs/>
            <w:i/>
            <w:iCs/>
            <w:color w:val="0000CC"/>
            <w:lang w:val="en-GB"/>
          </w:rPr>
          <w:t>Form</w:t>
        </w:r>
        <w:r w:rsidR="00A06A59" w:rsidRPr="00A06A59">
          <w:rPr>
            <w:rStyle w:val="innerfusslink3"/>
            <w:rFonts w:ascii="Garamond" w:hAnsi="Garamond" w:cs="Arial"/>
            <w:bCs/>
            <w:color w:val="0000CC"/>
            <w:lang w:val="en-GB"/>
          </w:rPr>
          <w:t xml:space="preserve"> unseres Denkens, die durch die Bedingungen des Schlafzustandes ermöglicht wird. Die </w:t>
        </w:r>
        <w:r w:rsidR="00A06A59" w:rsidRPr="00A06A59">
          <w:rPr>
            <w:rStyle w:val="innerfusslink3"/>
            <w:rFonts w:ascii="Garamond" w:hAnsi="Garamond" w:cs="Arial"/>
            <w:bCs/>
            <w:i/>
            <w:iCs/>
            <w:color w:val="0000CC"/>
            <w:lang w:val="en-GB"/>
          </w:rPr>
          <w:t>Traumarbeit</w:t>
        </w:r>
        <w:r w:rsidR="00A06A59" w:rsidRPr="00A06A59">
          <w:rPr>
            <w:rStyle w:val="innerfusslink3"/>
            <w:rFonts w:ascii="Garamond" w:hAnsi="Garamond" w:cs="Arial"/>
            <w:bCs/>
            <w:color w:val="0000CC"/>
            <w:lang w:val="en-GB"/>
          </w:rPr>
          <w:t xml:space="preserve"> ist es, die diese Form herstellt, und sie allein ist das Wesentliche am Traum, die Erklärung seiner Besonderheit. Ich sage dies zur Würdigung der berüchtigten »prospektiven Tendenz« des Traums. Daß der Traum sich mit den Lösungsversuchen der unserem Seelenleben vorliegenden Aufgaben beschäftigt, ist nicht merkwürdiger, als daß unser bewußtes Wachleben sich so beschäftigt, und fügt nur hiezu, daß diese Arbeit auch im Vorbewußten vor sich gehen kann, was uns ja bereits bekannt ist.</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Hingegen ist jenes andere Stück Arbeit, welches die unbewußten Gedanken in den Trauminhalt verwandelt, dem Traumleben eigentümlich und für dasselbe charakteristisch. Diese eigentliche Traumarbeit entfernt sich nun von dem Vorbild des wachen Denkens viel weiter, als selbst die entschiedensten Verkleinerer der psychischen Leistung bei der Traumbildung gemeint haben. Sie ist nicht etwa nachlässiger, inkorrekter, vergeßlicher, unvollständiger als das wache Denken; sie ist etwas davon qualitativ völlig Verschiedenes und darum zunächst nicht mit ihm vergleichbar. Sie denkt, rechnet, urteilt überhaupt nicht, sondern sie beschränkt sich darauf umzuformen. Sie läßt sich erschöpfend beschreiben, wenn man die Bedingungen ins Auge faßt, denen ihr Erzeugnis zu genügen hat. Dieses Produkt, der Traum, soll vor allem der </w:t>
      </w:r>
      <w:r w:rsidRPr="00A06A59">
        <w:rPr>
          <w:rFonts w:ascii="Garamond" w:hAnsi="Garamond" w:cs="Arial"/>
          <w:i/>
          <w:iCs/>
          <w:color w:val="000000"/>
          <w:lang w:val="en-GB"/>
        </w:rPr>
        <w:t>Zensur</w:t>
      </w:r>
      <w:r w:rsidRPr="00A06A59">
        <w:rPr>
          <w:rFonts w:ascii="Garamond" w:hAnsi="Garamond" w:cs="Arial"/>
          <w:color w:val="000000"/>
          <w:lang w:val="en-GB"/>
        </w:rPr>
        <w:t xml:space="preserve"> entzogen werden, und zu diesem Zwecke bedient sich die Traumarbeit der </w:t>
      </w:r>
      <w:r w:rsidRPr="00A06A59">
        <w:rPr>
          <w:rFonts w:ascii="Garamond" w:hAnsi="Garamond" w:cs="Arial"/>
          <w:i/>
          <w:iCs/>
          <w:color w:val="000000"/>
          <w:lang w:val="en-GB"/>
        </w:rPr>
        <w:t>Verschiebung der psychischen Intensitäten</w:t>
      </w:r>
      <w:r w:rsidRPr="00A06A59">
        <w:rPr>
          <w:rFonts w:ascii="Garamond" w:hAnsi="Garamond" w:cs="Arial"/>
          <w:color w:val="000000"/>
          <w:lang w:val="en-GB"/>
        </w:rPr>
        <w:t xml:space="preserve"> bis zur Umwertung aller psychischen Werte; es sollen Gedanken ausschließlich oder vorwiegend in dem Material visueller und akustischer Erinnerungsspuren wiedergegeben werden, und aus dieser Anforderung erwächst für die Traumarbeit die </w:t>
      </w:r>
      <w:r w:rsidRPr="00A06A59">
        <w:rPr>
          <w:rFonts w:ascii="Garamond" w:hAnsi="Garamond" w:cs="Arial"/>
          <w:i/>
          <w:iCs/>
          <w:color w:val="000000"/>
          <w:lang w:val="en-GB"/>
        </w:rPr>
        <w:t>Rücksicht auf Darstellbarkeit</w:t>
      </w:r>
      <w:r w:rsidRPr="00A06A59">
        <w:rPr>
          <w:rFonts w:ascii="Garamond" w:hAnsi="Garamond" w:cs="Arial"/>
          <w:color w:val="000000"/>
          <w:lang w:val="en-GB"/>
        </w:rPr>
        <w:t xml:space="preserve">, der sie durch neue Verschiebungen entspricht. Es sollen (wahrscheinlich) größere Intensitäten hergestellt werden, als in den Traumgedanken nächtlich zur Verfügung stehen, und diesem Zwecke dient die ausgiebige </w:t>
      </w:r>
      <w:r w:rsidRPr="00A06A59">
        <w:rPr>
          <w:rFonts w:ascii="Garamond" w:hAnsi="Garamond" w:cs="Arial"/>
          <w:i/>
          <w:iCs/>
          <w:color w:val="000000"/>
          <w:lang w:val="en-GB"/>
        </w:rPr>
        <w:t>Verdichtung</w:t>
      </w:r>
      <w:r w:rsidRPr="00A06A59">
        <w:rPr>
          <w:rFonts w:ascii="Garamond" w:hAnsi="Garamond" w:cs="Arial"/>
          <w:color w:val="000000"/>
          <w:lang w:val="en-GB"/>
        </w:rPr>
        <w:t xml:space="preserve">, die mit den Bestandteilen der Traumgedanken vorgenommen wird. Auf die logischen Relationen des Gedankenmaterials entfällt wenig Rücksicht; sie finden schließlich in </w:t>
      </w:r>
      <w:r w:rsidRPr="00A06A59">
        <w:rPr>
          <w:rFonts w:ascii="Garamond" w:hAnsi="Garamond" w:cs="Arial"/>
          <w:i/>
          <w:iCs/>
          <w:color w:val="000000"/>
          <w:lang w:val="en-GB"/>
        </w:rPr>
        <w:t>formalen</w:t>
      </w:r>
      <w:r w:rsidRPr="00A06A59">
        <w:rPr>
          <w:rFonts w:ascii="Garamond" w:hAnsi="Garamond" w:cs="Arial"/>
          <w:color w:val="000000"/>
          <w:lang w:val="en-GB"/>
        </w:rPr>
        <w:t xml:space="preserve"> Eigentümlichkeiten der Träume eine versteckte Darstellung. Die Affekte der Traumgedanken unterliegen geringeren Veränderungen als deren Vorstellungsinhalt. Sie werden in der Regel unterdrückt; wo sie erhalten bleiben, von den Vorstellungen abgelöst und nach ihrer Gleichartigkeit zusammengesetzt. Nur ein Stück der Traumarbeit, die in ihrem Ausmaß inkonstante Überarbeitung durch das zum Teil geweckte Wachdenken, fügt sich etwa der Auffassung, welche die Autoren für die gesamte Tätigkeit der Traumbildung geltend machen wollten.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br w:type="page"/>
      </w:r>
    </w:p>
    <w:p w:rsidR="00A06A59" w:rsidRPr="00A06A59" w:rsidRDefault="00B437A1" w:rsidP="00A06A59">
      <w:pPr>
        <w:shd w:val="clear" w:color="auto" w:fill="FFFFFF"/>
        <w:tabs>
          <w:tab w:val="left" w:pos="7513"/>
          <w:tab w:val="left" w:pos="9639"/>
        </w:tabs>
        <w:spacing w:before="221" w:after="44" w:line="306" w:lineRule="atLeast"/>
        <w:ind w:left="-426" w:right="-567"/>
        <w:outlineLvl w:val="3"/>
        <w:rPr>
          <w:rFonts w:ascii="Garamond" w:hAnsi="Garamond" w:cs="Arial"/>
          <w:b/>
          <w:bCs/>
          <w:color w:val="000000"/>
          <w:lang w:val="en-GB"/>
        </w:rPr>
      </w:pPr>
      <w:hyperlink w:anchor="inhalt" w:history="1">
        <w:r w:rsidR="00A06A59" w:rsidRPr="00A06A59">
          <w:rPr>
            <w:rStyle w:val="Lienhypertexte"/>
            <w:rFonts w:ascii="Garamond" w:hAnsi="Garamond" w:cs="Arial"/>
            <w:b/>
            <w:bCs/>
            <w:lang w:val="en-GB"/>
          </w:rPr>
          <w:t>VII. Zur Psychologie der Traumvorgänge</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Unter den Träumen, die ich durch Mitteilung von Seiten anderer erfahren habe, befindet sich einer, der jetzt einen ganz besonderen Anspruch auf unsere Beachtung erhebt. Er ist mir von einer Patientin erzählt worden, die ihn selbst in einer Vorlesung über den Traum kennengelernt hat; seine eigentliche Quelle ist mir unbekannt geblieben. Jener Dame aber hat er durch seinen Inhalt Eindruck gemacht, denn sie hat es nicht versäumt, ihn »nachzuträumen«, d. h. Elemente des Traums in einem eigenen Traum zu wiederholen, um durch diese Übertragung eine Übereinstimmung in einem bestimmten Punkte auszudrücken.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Vorbedingungen dieses vorbildlichen Traumes sind folgende: Ein Vater hat tage- und nächtelang am Krankenbett seines Kindes gewacht. Nachdem das Kind gestorben, begibt er sich in einem Nebenzimmer zur Ruhe, läßt aber die Tür geöffnet, um aus seinem Schlafraum in jenen zu blicken, worin die Leiche des Kindes aufgebahrt liegt, von großen Kerzen umstellt. Ein alter Mann ist zur Wache bestellt worden und sitzt neben der Leiche, Gebete murmelnd. Nach einigen Stunden Schlafs träumt der Vater, </w:t>
      </w:r>
      <w:r w:rsidRPr="00A06A59">
        <w:rPr>
          <w:rFonts w:ascii="Garamond" w:hAnsi="Garamond" w:cs="Arial"/>
          <w:i/>
          <w:iCs/>
          <w:color w:val="000000"/>
          <w:lang w:val="en-GB"/>
        </w:rPr>
        <w:t>daß das Kind an seinem Bette steht, ihn am Arme faßt und ihm vorwurfsvoll zuraunt: Vater, siehst du denn nicht, daß ich verbrenne?</w:t>
      </w:r>
      <w:r w:rsidRPr="00A06A59">
        <w:rPr>
          <w:rFonts w:ascii="Garamond" w:hAnsi="Garamond" w:cs="Arial"/>
          <w:color w:val="000000"/>
          <w:lang w:val="en-GB"/>
        </w:rPr>
        <w:t xml:space="preserve"> Er erwacht, merkt einen hellen Lichtschein, der aus dem Leichenzimmer kommt, eilt hin, findet den greisen Wächter eingeschlummert, die Hüllen und einen Arm der teuren Leiche verbrannt durch eine Kerze, die brennend auf sie gefallen war.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Erklärung dieses rührenden Traumes ist einfach genug und wurde auch von dem Vortragenden, wie meine Patientin erzählt, richtig gegeben. Der helle Lichtschein drang durch die offenstehende Tür ins Auge des Schlafenden und regte denselben Schluß bei ihm an, den er als Wachender gezogen hätte, es sei durch Umfallen einer Kerze ein Brand in der Nähe der Leiche entstanden. Vielleicht hatte selbst der Vater die Besorgnis mit in den Schlaf hinübergenommen, daß der greise Wächter seiner Aufgabe nicht gewachsen sein dürfte.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Auch wir finden an dieser Deutung nichts zu verändern, es sei denn, daß wir die Forderung hinzufügten, der Inhalt des Traumes müsse überdeterminiert und die Rede des Kindes aus Reden zusammengesetzt sein, die es im Leben wirklich geführt und die an dem Vater wichtige Ereignisse anknüpfen. Etwa die Klage: </w:t>
      </w:r>
      <w:r w:rsidRPr="00A06A59">
        <w:rPr>
          <w:rFonts w:ascii="Garamond" w:hAnsi="Garamond" w:cs="Arial"/>
          <w:i/>
          <w:iCs/>
          <w:color w:val="000000"/>
          <w:lang w:val="en-GB"/>
        </w:rPr>
        <w:t>Ich verbrenne</w:t>
      </w:r>
      <w:r w:rsidRPr="00A06A59">
        <w:rPr>
          <w:rFonts w:ascii="Garamond" w:hAnsi="Garamond" w:cs="Arial"/>
          <w:color w:val="000000"/>
          <w:lang w:val="en-GB"/>
        </w:rPr>
        <w:t xml:space="preserve">, an das Fieber, in dem das Kind gestorben, und die Worte: </w:t>
      </w:r>
      <w:r w:rsidRPr="00A06A59">
        <w:rPr>
          <w:rFonts w:ascii="Garamond" w:hAnsi="Garamond" w:cs="Arial"/>
          <w:i/>
          <w:iCs/>
          <w:color w:val="000000"/>
          <w:lang w:val="en-GB"/>
        </w:rPr>
        <w:t>Vater, siehst du denn nicht?</w:t>
      </w:r>
      <w:r w:rsidRPr="00A06A59">
        <w:rPr>
          <w:rFonts w:ascii="Garamond" w:hAnsi="Garamond" w:cs="Arial"/>
          <w:color w:val="000000"/>
          <w:lang w:val="en-GB"/>
        </w:rPr>
        <w:t xml:space="preserve"> an eine andere uns unbekannte, aber affektreiche Gelegenheit.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Nachdem wir aber den Traum als einen sinnvollen, in den Zusammenhang des psychischen Geschehens einfügbaren Vorgang erkannt haben, werden wir uns verwundern dürfen, daß unter solchen Verhältnissen überhaupt ein Traum zustande kam, wo das rascheste Erwachen geboten war. Wir werden dann aufmerksam, daß auch dieser Traum einer Wunscherfüllung nicht entbehrt. Im Traum benimmt sich das tote Kind wie ein lebendes, es mahnt selbst den Vater, kommt an sein Bett und zieht ihn am Arm, wie es wahrscheinlich in jener Erinnerung tat, aus welcher der Traum das erste Stück der Rede des Kindes geholt hat. Dieser Wunscherfüllung zuliebe hat der Vater nun seinen Schlaf um einen Moment verlängert. Der Traum erhielt das Vorrecht vor der Überlegung im Wachen, weil er das Kind noch einmal lebend zeigen konnte. Wäre der Vater zuerst erwacht und hätte dann den Schluß gezogen, der ihn ins Leichenzimmer führte, so hätte er gleichsam das Leben des Kindes um diesen einen Moment verkürzt.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Es kann kein Zweifel darüber sein, durch welche Eigentümlichkeit dieser kleine Traum unser Interesse fesselt. Wir haben uns bisher vorwiegend darum gekümmert, worin der geheime Sinn der Träume besteht, auf welchem Weg derselbe gefunden wird und welcher Mittel sich die Traumarbeit bedient hat, ihn zu verbergen. Die Aufgaben der Traumdeutung standen bis jetzt im Mittelpunkte unseres Blickfeldes. Und nun stoßen wir auf diesen Traum, welcher der Deutung keine Aufgabe stellt, dessen Sinn unverhüllt gegeben ist, und werden aufmerksam, daß dieser Traum noch immer die wesentlichen Charaktere bewahrt, durch die ein Traum auffällig von unserem wachen Denken abweicht und unser Bedürfnis nach Erklärung rege macht. Nach der Beseitigung alles dessen, was die Deutungsarbeit angeht, können wir erst merken, wie unvollständig unsere Psychologie des Traumes geblieben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Ehe wir aber mit unseren Gedanken diesen neuen Weg einschlagen, wollen wir haltmachen und zurückschauen, ob wir auf unserer Wanderung bis hieher nichts Wichtiges unbeachtet gelassen haben. Denn wir müssen uns klar darüber werden, daß die bequeme und behagliche Strecke unseres Weges hinter uns liegt. Bisher haben alle Wege, die wir gegangen sind, wenn ich nicht sehr irre, ins Lichte, zur Aufklärung und zum vollen Verständnis geführt; von dem Moment an, da wir in die seelischen Vorgänge beim Träumen tiefer eindringen wollen, werden alle Pfade ins Dunkel münden. Wir können es unmöglich dahin bringen, den Traum als psychischen Vorgang </w:t>
      </w:r>
      <w:r w:rsidRPr="00A06A59">
        <w:rPr>
          <w:rFonts w:ascii="Garamond" w:hAnsi="Garamond" w:cs="Arial"/>
          <w:i/>
          <w:iCs/>
          <w:color w:val="000000"/>
          <w:lang w:val="en-GB"/>
        </w:rPr>
        <w:t>aufzuklären</w:t>
      </w:r>
      <w:r w:rsidRPr="00A06A59">
        <w:rPr>
          <w:rFonts w:ascii="Garamond" w:hAnsi="Garamond" w:cs="Arial"/>
          <w:color w:val="000000"/>
          <w:lang w:val="en-GB"/>
        </w:rPr>
        <w:t xml:space="preserve">, denn erklären heißt auf Bekanntes zurückführen, und es gibt derzeit keine psychologische Kenntnis, der wir unterordnen könnten, was sich aus der psychologischen Prüfung der Träume als Erklärungsgrund erschließen läßt. Wir werden im Gegenteil genötigt sein, eine Reihe von neuen Annahmen aufzustellen, die den Bau des seelischen Apparats und das Spiel der in ihm tätigen Kräfte mit Vermutungen streifen und die wir bedacht sein müssen, nicht zu weit über die erste logische </w:t>
      </w:r>
      <w:r w:rsidRPr="00A06A59">
        <w:rPr>
          <w:rFonts w:ascii="Garamond" w:hAnsi="Garamond" w:cs="Arial"/>
          <w:color w:val="000000"/>
          <w:lang w:val="en-GB"/>
        </w:rPr>
        <w:lastRenderedPageBreak/>
        <w:t xml:space="preserve">Angliederung auszuspinnen, weil sonst ihr Wert sich ins Unbestimmbare verläuft. Selbst wenn wir keinen Fehler im Schließen begehen und alle logisch sich ergebenden Möglichkeiten in Rechnung ziehen, droht uns die wahrscheinliche Unvollständigkeit im Ansatz der Elemente mit dem völligen Fehlschlagen der Rechnung. Einen Aufschluß über die Konstruktion und Arbeitsweise des Seeleninstruments wird man durch die sorgfältigste Untersuchung des Traums oder einer anderen </w:t>
      </w:r>
      <w:r w:rsidRPr="00A06A59">
        <w:rPr>
          <w:rFonts w:ascii="Garamond" w:hAnsi="Garamond" w:cs="Arial"/>
          <w:i/>
          <w:iCs/>
          <w:color w:val="000000"/>
          <w:lang w:val="en-GB"/>
        </w:rPr>
        <w:t>vereinzelten</w:t>
      </w:r>
      <w:r w:rsidRPr="00A06A59">
        <w:rPr>
          <w:rFonts w:ascii="Garamond" w:hAnsi="Garamond" w:cs="Arial"/>
          <w:color w:val="000000"/>
          <w:lang w:val="en-GB"/>
        </w:rPr>
        <w:t xml:space="preserve"> Leistung nicht gewinnen oder wenigstens nicht begründen können, sondern wird zu diesem Zwecke zusammentragen müssen, was sich bei dem vergleichenden Studium einer ganzen Reihe von psychischen Leistungen als konstant erforderlich herausstellt. So werden die psychologischen Annahmen, die wir aus der Analyse der Traumvorgänge schöpfen, gleichsam an einer Haltestelle warten müssen, bis sie den Anschluß an die Ergebnisse anderer Untersuchungen gefunden haben, die von einem anderen Angriffspunkte her zum Kern des nämlichen Problems vordringen wollen.</w:t>
      </w:r>
    </w:p>
    <w:p w:rsidR="00A06A59" w:rsidRPr="00A06A59" w:rsidRDefault="00B437A1"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hyperlink w:anchor="inhalt" w:history="1">
        <w:r w:rsidR="00A06A59" w:rsidRPr="00A06A59">
          <w:rPr>
            <w:rStyle w:val="Lienhypertexte"/>
            <w:rFonts w:ascii="Garamond" w:hAnsi="Garamond" w:cs="Arial"/>
            <w:b/>
            <w:bCs/>
            <w:lang w:val="en-GB"/>
          </w:rPr>
          <w:t>A. Da</w:t>
        </w:r>
        <w:bookmarkStart w:id="80" w:name="VIIA"/>
        <w:bookmarkEnd w:id="80"/>
        <w:r w:rsidR="00A06A59" w:rsidRPr="00A06A59">
          <w:rPr>
            <w:rStyle w:val="Lienhypertexte"/>
            <w:rFonts w:ascii="Garamond" w:hAnsi="Garamond" w:cs="Arial"/>
            <w:b/>
            <w:bCs/>
            <w:lang w:val="en-GB"/>
          </w:rPr>
          <w:t>s Vergessen der Träume</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meine also, wir wenden uns vorher zu einem Thema, aus dem sich ein bisher unbeachteter Einwand ableitet, der doch geeignet ist, unseren Bemühungen um die Traumdeutung den Boden zu entziehen. Es ist uns von mehr als einer Seite vorgehalten worden, daß wir den Traum, den wir deuten wollen, eigentlich gar nicht kennen, richtiger, daß wir keine Gewähr dafür haben, ihn so zu kennen, wie er wirklich vorgefallen ist (vgl. S. 30).</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Was wir vom Traum erinnern und woran wir unsere Deutungskünste üben, das ist erstens verstümmelt durch die Untreue unseres Gedächtnisses, welches in ganz besonders hohem Grade zur Bewahrung des Traumes unfähig scheint, und hat vielleicht gerade die bedeutsamsten Stücke seines Inhalts eingebüßt. Wir finden uns ja so oft, wenn wir unseren Träumen Aufmerksamkeit schenken wollen, zur Klage veranlaßt, daß wir viel mehr geträumt haben und leider davon nichts mehr wissen als dies eine Bruchstück, dessen Erinnerung selbst uns eigentümlich unsicher vorkommt. Zweitens aber spricht alles dafür, daß unsere Erinnerung den Traum nicht nur lückenhaft, sondern auch ungetreu und verfälscht wiedergibt. So wie man einerseits daran zweifeln kann, ob das Geträumte wirklich so unzusammenhängend und verschwommen war, wie wir es im Gedächtnis haben, so läßt sich anderseits in Zweifel ziehen, ob ein Traum so zusammenhängend gewesen ist, wie wir ihn erzählen, ob wir bei dem Versuch der Reproduktion nicht vorhandene oder durch Vergessen geschaffene Lücken mit willkürlich gewähltem, neuem Material ausfüllen, den Traum ausschmücken, abrunden, zurichten, so daß jedes Urteil unmöglich wird, was der wirkliche Inhalt unseres Traumes war. Ja, bei einem Autor ( </w:t>
      </w:r>
      <w:r w:rsidRPr="00A06A59">
        <w:rPr>
          <w:rFonts w:ascii="Garamond" w:hAnsi="Garamond" w:cs="Arial"/>
          <w:i/>
          <w:iCs/>
          <w:color w:val="000000"/>
          <w:lang w:val="en-GB"/>
        </w:rPr>
        <w:t>Spitta</w:t>
      </w:r>
      <w:r w:rsidRPr="00A06A59">
        <w:rPr>
          <w:rFonts w:ascii="Garamond" w:hAnsi="Garamond" w:cs="Arial"/>
          <w:color w:val="000000"/>
          <w:lang w:val="en-GB"/>
        </w:rPr>
        <w:t xml:space="preserve">) </w:t>
      </w:r>
      <w:hyperlink r:id="rId223" w:anchor="#" w:history="1">
        <w:r w:rsidRPr="00A06A59">
          <w:rPr>
            <w:rStyle w:val="fusslink"/>
            <w:rFonts w:ascii="Garamond" w:hAnsi="Garamond" w:cs="Arial"/>
            <w:bCs/>
            <w:color w:val="0000CC"/>
            <w:lang w:val="en-GB"/>
          </w:rPr>
          <w:t>[Fußnote]</w:t>
        </w:r>
        <w:r w:rsidRPr="00A06A59">
          <w:rPr>
            <w:rStyle w:val="innerfusslink3"/>
            <w:rFonts w:ascii="Garamond" w:hAnsi="Garamond" w:cs="Arial"/>
            <w:bCs/>
            <w:color w:val="0000CC"/>
            <w:lang w:val="en-GB"/>
          </w:rPr>
          <w:t xml:space="preserve">Das gleiche bei </w:t>
        </w:r>
        <w:r w:rsidRPr="00A06A59">
          <w:rPr>
            <w:rStyle w:val="innerfusslink3"/>
            <w:rFonts w:ascii="Garamond" w:hAnsi="Garamond" w:cs="Arial"/>
            <w:bCs/>
            <w:i/>
            <w:iCs/>
            <w:color w:val="0000CC"/>
            <w:lang w:val="en-GB"/>
          </w:rPr>
          <w:t>Foucault</w:t>
        </w:r>
        <w:r w:rsidRPr="00A06A59">
          <w:rPr>
            <w:rStyle w:val="innerfusslink3"/>
            <w:rFonts w:ascii="Garamond" w:hAnsi="Garamond" w:cs="Arial"/>
            <w:bCs/>
            <w:color w:val="0000CC"/>
            <w:lang w:val="en-GB"/>
          </w:rPr>
          <w:t xml:space="preserve"> und </w:t>
        </w:r>
        <w:r w:rsidRPr="00A06A59">
          <w:rPr>
            <w:rStyle w:val="innerfusslink3"/>
            <w:rFonts w:ascii="Garamond" w:hAnsi="Garamond" w:cs="Arial"/>
            <w:bCs/>
            <w:i/>
            <w:iCs/>
            <w:color w:val="0000CC"/>
            <w:lang w:val="en-GB"/>
          </w:rPr>
          <w:t>Tannery</w:t>
        </w:r>
        <w:r w:rsidRPr="00A06A59">
          <w:rPr>
            <w:rStyle w:val="innerfusslink3"/>
            <w:rFonts w:ascii="Garamond" w:hAnsi="Garamond" w:cs="Arial"/>
            <w:bCs/>
            <w:color w:val="0000CC"/>
            <w:lang w:val="en-GB"/>
          </w:rPr>
          <w:t>.</w:t>
        </w:r>
      </w:hyperlink>
      <w:r w:rsidRPr="00A06A59">
        <w:rPr>
          <w:rFonts w:ascii="Garamond" w:hAnsi="Garamond" w:cs="Arial"/>
          <w:color w:val="000000"/>
          <w:lang w:val="en-GB"/>
        </w:rPr>
        <w:t xml:space="preserve"> haben wir die Mutmaßung gefunden, daß alles, was Ordnung und Zusammenhang ist, überhaupt erst bei dem Versuch, sich den Traum zurückzurufen, in ihn hineingetragen wird. So sind wir in Gefahr, daß man uns den Gegenstand selbst aus der Hand winde, dessen Wert zu bestimmen wir unternommen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haben bei unseren Traumdeutungen bisher diese Warnungen überhört. Ja wir haben im Gegenteil in den kleinsten, unscheinbarsten und unsichersten Inhaltsbestandteilen des Traumes die Aufforderung zur Deutung nicht minder vernehmlich gefunden als in dessen deutlich und sicher erhaltenen. Im Traum von Irmas Injektion hieß es: Ich rufe </w:t>
      </w:r>
      <w:r w:rsidRPr="00A06A59">
        <w:rPr>
          <w:rFonts w:ascii="Garamond" w:hAnsi="Garamond" w:cs="Arial"/>
          <w:i/>
          <w:iCs/>
          <w:color w:val="000000"/>
          <w:lang w:val="en-GB"/>
        </w:rPr>
        <w:t>schnell</w:t>
      </w:r>
      <w:r w:rsidRPr="00A06A59">
        <w:rPr>
          <w:rFonts w:ascii="Garamond" w:hAnsi="Garamond" w:cs="Arial"/>
          <w:color w:val="000000"/>
          <w:lang w:val="en-GB"/>
        </w:rPr>
        <w:t xml:space="preserve"> den DoktorM. herbei, und wir nahmen an, auch dieser Zusatz wäre nicht in den Traum gelangt, wenn er nicht eine besondere Ableitung zuließe. So kamen wir zur Geschichte jener unglücklichen Patientin, an deren Bett ich »schnell« den älteren Kollegen berief. In dem scheinbar absurden Traum, der den Unterschied von einundfünfzig und sechsundfünfzig als </w:t>
      </w:r>
      <w:r w:rsidRPr="00A06A59">
        <w:rPr>
          <w:rFonts w:ascii="Garamond" w:hAnsi="Garamond" w:cs="Arial"/>
          <w:i/>
          <w:iCs/>
          <w:color w:val="000000"/>
          <w:lang w:val="en-GB"/>
        </w:rPr>
        <w:t>quantité négligeable</w:t>
      </w:r>
      <w:r w:rsidRPr="00A06A59">
        <w:rPr>
          <w:rFonts w:ascii="Garamond" w:hAnsi="Garamond" w:cs="Arial"/>
          <w:color w:val="000000"/>
          <w:lang w:val="en-GB"/>
        </w:rPr>
        <w:t xml:space="preserve"> behandelt, war die Zahl einundfünfzig mehrmals erwähnt. Anstatt dies selbstverständlich oder gleichgültig zu finden, haben wir daraus auf einen zweiten Gedankengang in dem latenten Trauminhalt geschlossen, der zur Zahl einundfünfzig hinführt, und die Spur, die wir weiterverfolgten, führte uns zu Befürchtungen, welche einundfünfzig Jahre als Lebensgrenze hinstellen, im schärfsten Gegensatz zu einem dominierenden Gedankenzug, der prahlerisch mit den Lebensjahren um sich wirft. In dem Traume » </w:t>
      </w:r>
      <w:r w:rsidRPr="00A06A59">
        <w:rPr>
          <w:rFonts w:ascii="Garamond" w:hAnsi="Garamond" w:cs="Arial"/>
          <w:i/>
          <w:iCs/>
          <w:color w:val="000000"/>
          <w:lang w:val="en-GB"/>
        </w:rPr>
        <w:t>Non vixit</w:t>
      </w:r>
      <w:r w:rsidRPr="00A06A59">
        <w:rPr>
          <w:rFonts w:ascii="Garamond" w:hAnsi="Garamond" w:cs="Arial"/>
          <w:color w:val="000000"/>
          <w:lang w:val="en-GB"/>
        </w:rPr>
        <w:t xml:space="preserve">« fand sich als unscheinbares Einschiebsel, das ich anfangs übersah, die Stelle: » </w:t>
      </w:r>
      <w:r w:rsidRPr="00A06A59">
        <w:rPr>
          <w:rFonts w:ascii="Garamond" w:hAnsi="Garamond" w:cs="Arial"/>
          <w:i/>
          <w:iCs/>
          <w:color w:val="000000"/>
          <w:lang w:val="en-GB"/>
        </w:rPr>
        <w:t>Da P. ihn nicht versteht, fragt mich Fl.</w:t>
      </w:r>
      <w:r w:rsidRPr="00A06A59">
        <w:rPr>
          <w:rFonts w:ascii="Garamond" w:hAnsi="Garamond" w:cs="Arial"/>
          <w:color w:val="000000"/>
          <w:lang w:val="en-GB"/>
        </w:rPr>
        <w:t>« usw. Als dann die Deutung stockte, griff ich auf diese Worte zurück und fand von ihnen aus den Weg zu der Kinderphantasie, die in den Traumgedanken als intermediärer Knotenpunkt auftritt. Es geschah dies mittels der Zeilen des Dichters:</w:t>
      </w:r>
    </w:p>
    <w:p w:rsidR="00A06A59" w:rsidRPr="00A06A59" w:rsidRDefault="00A06A59" w:rsidP="00A06A59">
      <w:pPr>
        <w:pStyle w:val="vers1"/>
        <w:shd w:val="clear" w:color="auto" w:fill="FFFFFF"/>
        <w:tabs>
          <w:tab w:val="left" w:pos="7513"/>
          <w:tab w:val="left" w:pos="9639"/>
        </w:tabs>
        <w:spacing w:line="124" w:lineRule="atLeast"/>
        <w:ind w:left="-426" w:right="-567"/>
        <w:rPr>
          <w:rFonts w:ascii="Garamond" w:hAnsi="Garamond" w:cs="Arial"/>
          <w:color w:val="000000"/>
          <w:sz w:val="22"/>
          <w:szCs w:val="22"/>
          <w:lang w:val="en-GB"/>
        </w:rPr>
      </w:pPr>
      <w:r w:rsidRPr="00A06A59">
        <w:rPr>
          <w:rFonts w:ascii="Garamond" w:hAnsi="Garamond" w:cs="Arial"/>
          <w:color w:val="000000"/>
          <w:sz w:val="22"/>
          <w:szCs w:val="22"/>
          <w:lang w:val="en-GB"/>
        </w:rPr>
        <w:t xml:space="preserve">»Selten habt ihr mich </w:t>
      </w:r>
      <w:r w:rsidRPr="00A06A59">
        <w:rPr>
          <w:rFonts w:ascii="Garamond" w:hAnsi="Garamond" w:cs="Arial"/>
          <w:i/>
          <w:iCs/>
          <w:color w:val="000000"/>
          <w:sz w:val="22"/>
          <w:szCs w:val="22"/>
          <w:lang w:val="en-GB"/>
        </w:rPr>
        <w:t>verstanden</w:t>
      </w:r>
      <w:r w:rsidRPr="00A06A59">
        <w:rPr>
          <w:rFonts w:ascii="Garamond" w:hAnsi="Garamond" w:cs="Arial"/>
          <w:color w:val="000000"/>
          <w:sz w:val="22"/>
          <w:szCs w:val="22"/>
          <w:lang w:val="en-GB"/>
        </w:rPr>
        <w:t xml:space="preserve">, </w:t>
      </w:r>
      <w:r w:rsidRPr="00A06A59">
        <w:rPr>
          <w:rFonts w:ascii="Garamond" w:hAnsi="Garamond" w:cs="Arial"/>
          <w:color w:val="000000"/>
          <w:sz w:val="22"/>
          <w:szCs w:val="22"/>
          <w:lang w:val="en-GB"/>
        </w:rPr>
        <w:br/>
        <w:t xml:space="preserve">Selten auch verstand ich Euch, </w:t>
      </w:r>
      <w:r w:rsidRPr="00A06A59">
        <w:rPr>
          <w:rFonts w:ascii="Garamond" w:hAnsi="Garamond" w:cs="Arial"/>
          <w:color w:val="000000"/>
          <w:sz w:val="22"/>
          <w:szCs w:val="22"/>
          <w:lang w:val="en-GB"/>
        </w:rPr>
        <w:br/>
        <w:t xml:space="preserve">Nur wenn wir im </w:t>
      </w:r>
      <w:r w:rsidRPr="00A06A59">
        <w:rPr>
          <w:rFonts w:ascii="Garamond" w:hAnsi="Garamond" w:cs="Arial"/>
          <w:i/>
          <w:iCs/>
          <w:color w:val="000000"/>
          <w:sz w:val="22"/>
          <w:szCs w:val="22"/>
          <w:lang w:val="en-GB"/>
        </w:rPr>
        <w:t>Kot</w:t>
      </w:r>
      <w:r w:rsidRPr="00A06A59">
        <w:rPr>
          <w:rFonts w:ascii="Garamond" w:hAnsi="Garamond" w:cs="Arial"/>
          <w:color w:val="000000"/>
          <w:sz w:val="22"/>
          <w:szCs w:val="22"/>
          <w:lang w:val="en-GB"/>
        </w:rPr>
        <w:t xml:space="preserve"> uns fanden, </w:t>
      </w:r>
      <w:r w:rsidRPr="00A06A59">
        <w:rPr>
          <w:rFonts w:ascii="Garamond" w:hAnsi="Garamond" w:cs="Arial"/>
          <w:color w:val="000000"/>
          <w:sz w:val="22"/>
          <w:szCs w:val="22"/>
          <w:lang w:val="en-GB"/>
        </w:rPr>
        <w:br/>
        <w:t>So verstanden wir uns gleich!«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Jede Analyse könnte mit Beispielen belegen, wie gerade die geringfügigsten Züge des Traumes zur Deutung unentbehrlich sind und wie die Erledigung der Aufgabe verzögert wird, indem sich die Aufmerksamkeit solchen erst spät zuwendet. Die gleiche Würdigung haben wir bei der Traumdeutung jeder Nuance des sprachlichen Ausdrucks geschenkt, in welchem der Traum uns vorlag; ja, wenn uns ein unsinniger oder unzureichender Wortlaut vorgelegt </w:t>
      </w:r>
      <w:r w:rsidRPr="00A06A59">
        <w:rPr>
          <w:rFonts w:ascii="Garamond" w:hAnsi="Garamond" w:cs="Arial"/>
          <w:color w:val="000000"/>
          <w:lang w:val="en-GB"/>
        </w:rPr>
        <w:lastRenderedPageBreak/>
        <w:t>wurde, als ob es der Anstrengung nicht gelungen wäre, den Traum in die richtige Fassung zu übersetzen, haben wir auch diese Mängel des Ausdrucks respektiert. Kurz, was nach der Meinung der Autoren eine willkürliche, in der Verlegenheit eilig zusammengebraute Improvisation sein soll, das haben wir behandelt wie einen heiligen Text. Dieser Widerspruch bedarf der Aufklärung.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Sie lautet zu unseren Gunsten, ohne darum den Autoren unrecht zu geben. Vom Standpunkte unserer neugewonnenen Einsichten über die Entstehung des Traums vereinigen sich die Widersprüche ohne Rest. Es ist richtig, daß wir den Traum beim Versuch der Reproduktion entstellen; wir finden darin wieder, was wir als die sekundäre und oft mißverständliche Bearbeitung des Traumes durch die Instanz des normalen Denkens bezeichnet haben. Aber diese Entstellung ist selbst nichts anderes als ein Stück der Bearbeitung, welcher die Traumgedanken gesetzmäßig infolge der Traumzensur unterliegen. Die Autoren haben hier das manifest arbeitende Stück der Traumentstellung geahnt oder bemerkt; uns verschlägt es wenig, da wir wissen, daß eine weit ausgiebigere Entstellungsarbeit, minder leicht faßbar, den Traum bereits von den verborgenen Traumgedanken her zum Objekt erkoren hat. Die Autoren irren nur darin, daß sie die Modifikation des Traums bei seinem Erinnern und In-Worte-Fassen für willkürlich, also für nicht weiter auflösbar und demnach für geeignet halten, uns in der Erkenntnis des Traumes irrezuleiten. Sie unterschätzen die Determinierung im Psychischen. Es gibt da nichts Willkürliches. Es läßt sich ganz allgemein zeigen, daß ein zweiter Gedankenzug sofort die Bestimmung des Elements übernimmt, welches vom ersten unbestimmt gelassen wurde. Ich will mir z. B. ganz willkürlich eine Zahl einfallen lassen; es ist nicht möglich; die Zahl, die mir einfällt, ist durch Gedanken in mir, die meinem momentanen Vorsatz fernestehen mögen, eindeutig und notwendig bestimmt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24" w:anchor="#" w:history="1">
        <w:r w:rsidR="00A06A59" w:rsidRPr="00A06A59">
          <w:rPr>
            <w:rStyle w:val="fusslink"/>
            <w:rFonts w:ascii="Garamond" w:hAnsi="Garamond" w:cs="Arial"/>
            <w:bCs/>
            <w:color w:val="0000CC"/>
          </w:rPr>
          <w:t>[Fußnote]</w:t>
        </w:r>
        <w:r w:rsidR="00A06A59" w:rsidRPr="00A06A59">
          <w:rPr>
            <w:rStyle w:val="innerfusslink3"/>
            <w:rFonts w:ascii="Garamond" w:hAnsi="Garamond" w:cs="Arial"/>
            <w:bCs/>
            <w:color w:val="0000CC"/>
          </w:rPr>
          <w:t xml:space="preserve">Vgl. Psychopathologie des Alltagslebens. </w:t>
        </w:r>
        <w:r w:rsidR="00A06A59" w:rsidRPr="00A06A59">
          <w:rPr>
            <w:rStyle w:val="innerfusslink3"/>
            <w:rFonts w:ascii="Garamond" w:hAnsi="Garamond" w:cs="Arial"/>
            <w:bCs/>
            <w:color w:val="0000CC"/>
            <w:lang w:val="en-US"/>
          </w:rPr>
          <w:t xml:space="preserve">I. Aufl., 1901 u. 1904, 11. Aufl. 1929 (Ges. Schriften, Bd. </w:t>
        </w:r>
        <w:r w:rsidR="00A06A59" w:rsidRPr="00A06A59">
          <w:rPr>
            <w:rStyle w:val="innerfusslink3"/>
            <w:rFonts w:ascii="Garamond" w:hAnsi="Garamond" w:cs="Arial"/>
            <w:bCs/>
            <w:color w:val="0000CC"/>
            <w:lang w:val="en-GB"/>
          </w:rPr>
          <w:t>IV)</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Ebensowenig willkürlich sind die Veränderungen, die der Traum bei der Redaktion des Wachens erfährt. Sie bleiben in assoziativer Verknüpfung mit dem Inhalt, an dessen Stelle sie sich setzen, und dienen dazu, uns den Weg zu diesem Inhalt zu zeigen, der selbst wieder der Ersatz eines anderen sein mag.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pflege bei den Traumanalysen mit Patienten folgende Probe auf diese Behauptung nie ohne Erfolg anzustellen. Wenn mir der Bericht eines Traums zuerst schwer verständlich erscheint, so bitte ich den Erzähler, ihn zu wiederholen. Das geschieht dann selten mit den nämlichen Worten. Die Stellen aber, an denen er den Ausdruck verändert hat, die sind mir als die schwachen Stellen der Traumverkleidung kenntlich gemacht worden, die dienen mir wie </w:t>
      </w:r>
      <w:r w:rsidRPr="00A06A59">
        <w:rPr>
          <w:rFonts w:ascii="Garamond" w:hAnsi="Garamond" w:cs="Arial"/>
          <w:i/>
          <w:iCs/>
          <w:color w:val="000000"/>
          <w:lang w:val="en-GB"/>
        </w:rPr>
        <w:t>Hagen</w:t>
      </w:r>
      <w:r w:rsidRPr="00A06A59">
        <w:rPr>
          <w:rFonts w:ascii="Garamond" w:hAnsi="Garamond" w:cs="Arial"/>
          <w:color w:val="000000"/>
          <w:lang w:val="en-GB"/>
        </w:rPr>
        <w:t xml:space="preserve"> das gestickte Zeichen an Siegfrieds Gewand. Dort kann die Traumdeutung ansetzen. Der Erzähler ist durch meine Aufforderung gewarnt worden, daß ich besondere Mühe zur Lösung des Traumes anzuwenden gedenke; er schützt also rasch, unter dem Drange des Widerstands, die schwachen Stellen der Traumverkleidung, indem er einen verräterischen Ausdruck durch einen fernerabliegenden ersetzt. Er macht mich so auf den von ihm fallengelassenen Ausdruck aufmerksam. Aus der Mühe, mit der die Traumlösung verteidigt wird, darf ich auch auf die Sorgfalt schließen, die dem Traum sein Gewand gewebt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i/>
          <w:iCs/>
          <w:color w:val="000000"/>
          <w:lang w:val="en-GB"/>
        </w:rPr>
      </w:pPr>
      <w:r w:rsidRPr="00A06A59">
        <w:rPr>
          <w:rFonts w:ascii="Garamond" w:hAnsi="Garamond" w:cs="Arial"/>
          <w:color w:val="000000"/>
          <w:lang w:val="en-GB"/>
        </w:rPr>
        <w:t xml:space="preserve">Minder recht haben die Autoren, wenn sie dem Zweifel, mit dem unser Urteil der Traumerzählung begegnet, so sehr viel Raum machen. Dieser Zweifel entbehrt nämlich einer intellektuellen Gewähr; unser Gedächtnis kennt überhaupt keine Garantien, und doch unterliegen wir viel öfter, als objektiv gerechtfertigt ist, dem Zwange, seinen Angaben Glauben zu schenken. Der Zweifel an der richtigen Wiedergabe des Traums oder einzelner Traumdaten ist wieder nur ein Abkömmling der Traumzensur, des Widerstands gegen das Durchdringen der Traumgedanken zum Bewußtsein. Dieser Widerstand hat sich mit den von ihm durchgesetzten Verschiebungen und Ersetzungen nicht immer erschöpft, er heftet sich dann noch an das Durchgelassene als Zweifel. Wir verkennen diesen Zweifel um so leichter, als er die Vorsicht gebraucht, niemals intensive Elemente des Traums anzugreifen, sondern bloß schwache und undeutliche. Wir wissen aber jetzt bereits, daß zwischen Traumgedanken und Traum eine völlige Umwertung aller psychischen Werte stattgefunden hat; die Entstellung war nur möglich durch Wertentziehung, sie äußert sich regelmäßig darin und begnügt sich gelegentlich damit. Wenn zu einem undeutlichen Element des Trauminhalts noch der Zweifel hinzutritt, so können wir, dem Fingerzeige folgend, in diesem einen direkteren Abkömmling eines der verfemten Traumgedanken erkennen. Es ist damit wie nach einer großen Umwälzung in einer der Republiken des Altertums oder der Renaissance. Die früher herrschenden edlen und mächtigen Familien sind nun verbannt, alle hohen Stellungen mit Emporkömmlingen besetzt; in der Stadt geduldet sind nur noch ganz verarmte und machtlose Mitglieder oder entfernte Anhänger der Gestürzten. Aber auch diese genießen nicht die vollen Bürgerrechte, sie werden mißtrauisch überwacht. An der Stelle des Mißtrauens im Beispiel steht in unserem Falle der Zweifel. Ich verlange darum bei der Analyse eines Traums, daß man sich von der ganzen Skala der Sicherheitsschätzung frei mache, die leiseste Möglichkeit, daß etwas der oder jener Art im Traum vorgekommen sei, behandle wie die volle Gewißheit. Solange jemand bei der Verfolgung eines Traumelements sich nicht zum Verzicht auf diese Rücksicht entschlossen, so lange stockt hier die Analyse. Die Geringschätzung für das betreffende Element hat bei dem </w:t>
      </w:r>
      <w:r w:rsidRPr="00A06A59">
        <w:rPr>
          <w:rFonts w:ascii="Garamond" w:hAnsi="Garamond" w:cs="Arial"/>
          <w:color w:val="000000"/>
          <w:lang w:val="en-GB"/>
        </w:rPr>
        <w:lastRenderedPageBreak/>
        <w:t xml:space="preserve">Analysierten die psychische Wirkung, daß ihm von den ungewollten Vorstellungen hinter demselben nichts einfallen will. Solche Wirkung ist eigentlich nicht selbstverständlich; es wäre nicht widersinnig, wenn jemand sagte: Ob dies oder jenes im Traume enthalten war, weiß ich nicht sicher; es fällt mir aber dazu folgendes ein. Niemals sagt er so, und gerade diese die Analyse störende Wirkung des Zweifels läßt ihn als einen Abkömmling und als ein Werkzeug des psychischen Widerstands entlarven. Die Psychoanalyse ist mit Recht mißtrauisch. Eine ihrer Regeln lautet: </w:t>
      </w:r>
      <w:r w:rsidRPr="00A06A59">
        <w:rPr>
          <w:rFonts w:ascii="Garamond" w:hAnsi="Garamond" w:cs="Arial"/>
          <w:i/>
          <w:iCs/>
          <w:color w:val="000000"/>
          <w:lang w:val="en-GB"/>
        </w:rPr>
        <w:t>Was immer die Fortsetzung der Arbeit stört, ist ein Widerstand</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US"/>
        </w:rPr>
      </w:pPr>
      <w:hyperlink r:id="rId225"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Der hier so peremptorisch aufgestellte Satz: »Was immer die Fortsetzung der Arbeit stört, ist ein Widerstand«, könnte leicht mißverstanden werden. Er hat natürlich nur die Bedeutung einer technischen Regel, einer Mahnung für den Analytiker. Es soll nicht in Abrede gestellt werden, daß sich während einer Analyse verschiedene Vorfälle ereignen können, die man der Absicht des Analysierten nicht zur Last legen kann. </w:t>
        </w:r>
        <w:r w:rsidR="00A06A59" w:rsidRPr="00A06A59">
          <w:rPr>
            <w:rStyle w:val="innerfusslink3"/>
            <w:rFonts w:ascii="Garamond" w:hAnsi="Garamond" w:cs="Arial"/>
            <w:bCs/>
            <w:color w:val="0000CC"/>
          </w:rPr>
          <w:t xml:space="preserve">Es kann der Vater des Patienten sterben, ohne daß dieser ihn umgebracht hätte, es kann auch ein Krieg ausbrechen, der der Analyse ein Ende macht. </w:t>
        </w:r>
        <w:r w:rsidR="00A06A59" w:rsidRPr="00A06A59">
          <w:rPr>
            <w:rStyle w:val="innerfusslink3"/>
            <w:rFonts w:ascii="Garamond" w:hAnsi="Garamond" w:cs="Arial"/>
            <w:bCs/>
            <w:color w:val="0000CC"/>
            <w:lang w:val="en-US"/>
          </w:rPr>
          <w:t>Aber hinter der offenkundigen Übertreibung jenes Satzes steckt doch ein neuer und guter Sinn. Wenn auch das störende Ereignis real und vom Patienten unabhängig ist, so hängt es doch oftmals nur von diesem ab, wieviel störende Wirkung ihm eingeräumt wird, und der Widerstand zeigt sich unverkennbar in der bereitwilligen und übermäßigen Ausnützung einer solchen Gelegenheit.</w:t>
        </w:r>
      </w:hyperlink>
      <w:r w:rsidR="00A06A59" w:rsidRPr="00A06A59">
        <w:rPr>
          <w:rFonts w:ascii="Garamond" w:hAnsi="Garamond" w:cs="Arial"/>
          <w:color w:val="0000CC"/>
          <w:lang w:val="en-US"/>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US"/>
        </w:rPr>
        <w:t xml:space="preserve">Auch das Vergessen der Träume bleibt so lange unergründlich, als man nicht die Macht der psychischen Zensur zu seiner Erklärung mitheranzieht. </w:t>
      </w:r>
      <w:r w:rsidRPr="00A06A59">
        <w:rPr>
          <w:rFonts w:ascii="Garamond" w:hAnsi="Garamond" w:cs="Arial"/>
          <w:color w:val="000000"/>
          <w:lang w:val="en-GB"/>
        </w:rPr>
        <w:t xml:space="preserve">Die Empfindung, daß man in einer Nacht sehr viel geträumt und davon nur wenig behalten hat, mag in einer Reihe von Fällen einen anderen Sinn haben, etwa den, daß die Traumarbeit die Nacht hindurch spürbar vor sich gegangen ist und nur den einen kurzen Traum hinterlassen hat. Sonst ist an der Tatsache, daß man den Traum nach dem Erwachen immer mehr vergißt, ein Zweifel nicht möglich. Man vergißt ihn oft trotz peinlicher Bemühungen, ihn zu merken. Ich meine aber, so wie man in der Regel den Umfang dieses Vergessens überschätzt, so überschätzt man auch die mit der Lückenhaftigkeit des Traumes verbundene Einbuße an seiner Kenntnis. Alles, was das Vergessen am Trauminhalt gekostet hat, kann man oft durch die Analyse wieder hereinbringen; wenigstens in einer ganzen Anzahl von Fällen kann man von einem einzelnen stehengebliebenen Brocken aus zwar nicht den Traum – aber an dem liegt ja auch nichts – doch die Traumgedanken alle auffinden. Es verlangt einen größeren Aufwand an Aufmerksamkeit und Selbstüberwindung bei der Analyse; das ist alles, zeigt aber doch an, daß beim Vergessen des Traums eine feindselige Absicht nicht gefehlt hat.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hyperlink r:id="rId226"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Als Beispiel für die Bedeutung von Zweifel und Unsicherheit im Traum bei gleichzeitigem Einschrumpfen des Trauminhalts auf ein einzelnes Element entnehme ich meinen </w:t>
        </w:r>
        <w:r w:rsidR="00A06A59" w:rsidRPr="00A06A59">
          <w:rPr>
            <w:rStyle w:val="innerfusslink3"/>
            <w:rFonts w:ascii="Garamond" w:hAnsi="Garamond" w:cs="Arial"/>
            <w:bCs/>
            <w:i/>
            <w:iCs/>
            <w:color w:val="0000CC"/>
            <w:lang w:val="en-GB"/>
          </w:rPr>
          <w:t>Vorlesungen zur Einführung in die Psychoanalyse</w:t>
        </w:r>
        <w:r w:rsidR="00A06A59" w:rsidRPr="00A06A59">
          <w:rPr>
            <w:rStyle w:val="innerfusslink3"/>
            <w:rFonts w:ascii="Garamond" w:hAnsi="Garamond" w:cs="Arial"/>
            <w:bCs/>
            <w:color w:val="0000CC"/>
            <w:lang w:val="en-GB"/>
          </w:rPr>
          <w:t xml:space="preserve"> (1916) folgenden Traum, dessen Analyse nach kurzem zeitlichen Aufschub doch gelungen ist: </w:t>
        </w:r>
        <w:r w:rsidR="00A06A59" w:rsidRPr="00A06A59">
          <w:rPr>
            <w:rFonts w:ascii="Garamond" w:hAnsi="Garamond" w:cs="Arial"/>
            <w:bCs/>
            <w:color w:val="0000CC"/>
            <w:lang w:val="en-GB"/>
          </w:rPr>
          <w:br/>
        </w:r>
        <w:r w:rsidR="00A06A59" w:rsidRPr="00A06A59">
          <w:rPr>
            <w:rStyle w:val="innerfusslink3"/>
            <w:rFonts w:ascii="Garamond" w:hAnsi="Garamond" w:cs="Arial"/>
            <w:bCs/>
            <w:color w:val="0000CC"/>
            <w:lang w:val="en-GB"/>
          </w:rPr>
          <w:t xml:space="preserve">» </w:t>
        </w:r>
        <w:r w:rsidR="00A06A59" w:rsidRPr="00A06A59">
          <w:rPr>
            <w:rStyle w:val="innerfusslink3"/>
            <w:rFonts w:ascii="Garamond" w:hAnsi="Garamond" w:cs="Arial"/>
            <w:bCs/>
            <w:i/>
            <w:iCs/>
            <w:color w:val="0000CC"/>
            <w:lang w:val="en-GB"/>
          </w:rPr>
          <w:t xml:space="preserve">Eine skeptische Patientin hat einen längeren Traum, in dem es vorkommt, daß ihr gewisse Personen von meinem Buche über den Witz erzählen und es sehr loben. Dann wird etwas erwähnt von einem ›Kanal‹, vielleicht ein anderes Buch, in dem Kanal vorkommt, oder sonst etwas mit Kanal ... sie weiß es nicht ... es ist ja ganz unklar. </w:t>
        </w:r>
        <w:r w:rsidR="00A06A59" w:rsidRPr="00A06A59">
          <w:rPr>
            <w:rFonts w:ascii="Garamond" w:hAnsi="Garamond" w:cs="Arial"/>
            <w:bCs/>
            <w:i/>
            <w:iCs/>
            <w:color w:val="0000CC"/>
            <w:lang w:val="en-GB"/>
          </w:rPr>
          <w:br/>
        </w:r>
        <w:r w:rsidR="00A06A59" w:rsidRPr="00A06A59">
          <w:rPr>
            <w:rStyle w:val="innerfusslink3"/>
            <w:rFonts w:ascii="Garamond" w:hAnsi="Garamond" w:cs="Arial"/>
            <w:bCs/>
            <w:color w:val="0000CC"/>
            <w:lang w:val="en-GB"/>
          </w:rPr>
          <w:t xml:space="preserve">Nun werden Sie gewiß zu glauben geneigt sein, daß das Element Kanal sich der Deutung entziehen wird, weil es selbst so unbestimmt ist. Sie haben mit der vermuteten Schwierigkeit recht, aber es ist nicht darum schwer, weil es undeutlich ist, sondern es ist undeutlich aus einem anderen Grunde, demselben, der auch die Deutung schwermacht. Der Träumerin fällt zu Kanal nichts ein; ich weiß natürlich auch nichts zu sagen. Eine Weile später, in Wahrheit am nächsten Tage, erzählt sie, es sei ihr etwas eingefallen, was </w:t>
        </w:r>
        <w:r w:rsidR="00A06A59" w:rsidRPr="00A06A59">
          <w:rPr>
            <w:rStyle w:val="innerfusslink3"/>
            <w:rFonts w:ascii="Garamond" w:hAnsi="Garamond" w:cs="Arial"/>
            <w:bCs/>
            <w:i/>
            <w:iCs/>
            <w:color w:val="0000CC"/>
            <w:lang w:val="en-GB"/>
          </w:rPr>
          <w:t>vielleicht</w:t>
        </w:r>
        <w:r w:rsidR="00A06A59" w:rsidRPr="00A06A59">
          <w:rPr>
            <w:rStyle w:val="innerfusslink3"/>
            <w:rFonts w:ascii="Garamond" w:hAnsi="Garamond" w:cs="Arial"/>
            <w:bCs/>
            <w:color w:val="0000CC"/>
            <w:lang w:val="en-GB"/>
          </w:rPr>
          <w:t xml:space="preserve"> dazugehört. Auch ein Witz nämlich, den sie erzählen gehört hat. Auf einem Schiff zwischen Dover und Calais unterhält sich ein bekannter Schriftsteller mit einem Engländer, welcher in einem gewissen Zusammenhange den Satz zitiert: </w:t>
        </w:r>
        <w:r w:rsidR="00A06A59" w:rsidRPr="00A06A59">
          <w:rPr>
            <w:rStyle w:val="innerfusslink3"/>
            <w:rFonts w:ascii="Garamond" w:hAnsi="Garamond" w:cs="Arial"/>
            <w:bCs/>
            <w:i/>
            <w:iCs/>
            <w:color w:val="0000CC"/>
            <w:lang w:val="en-GB"/>
          </w:rPr>
          <w:t>Du sublime au ridicule il n'y a qu'un pas.</w:t>
        </w:r>
        <w:r w:rsidR="00A06A59" w:rsidRPr="00A06A59">
          <w:rPr>
            <w:rStyle w:val="innerfusslink3"/>
            <w:rFonts w:ascii="Garamond" w:hAnsi="Garamond" w:cs="Arial"/>
            <w:bCs/>
            <w:color w:val="0000CC"/>
            <w:lang w:val="en-GB"/>
          </w:rPr>
          <w:t xml:space="preserve"> Der Schriftsteller antwortet: </w:t>
        </w:r>
        <w:r w:rsidR="00A06A59" w:rsidRPr="00A06A59">
          <w:rPr>
            <w:rStyle w:val="innerfusslink3"/>
            <w:rFonts w:ascii="Garamond" w:hAnsi="Garamond" w:cs="Arial"/>
            <w:bCs/>
            <w:i/>
            <w:iCs/>
            <w:color w:val="0000CC"/>
            <w:lang w:val="en-GB"/>
          </w:rPr>
          <w:t>Oui, le pas de Calais</w:t>
        </w:r>
        <w:r w:rsidR="00A06A59" w:rsidRPr="00A06A59">
          <w:rPr>
            <w:rStyle w:val="innerfusslink3"/>
            <w:rFonts w:ascii="Garamond" w:hAnsi="Garamond" w:cs="Arial"/>
            <w:bCs/>
            <w:color w:val="0000CC"/>
            <w:lang w:val="en-GB"/>
          </w:rPr>
          <w:t xml:space="preserve">, womit er sagen will, daß er Frankreich großartig und England lächerlich findet. </w:t>
        </w:r>
        <w:r w:rsidR="00A06A59" w:rsidRPr="00A06A59">
          <w:rPr>
            <w:rStyle w:val="innerfusslink3"/>
            <w:rFonts w:ascii="Garamond" w:hAnsi="Garamond" w:cs="Arial"/>
            <w:bCs/>
            <w:color w:val="0000CC"/>
          </w:rPr>
          <w:t xml:space="preserve">Der </w:t>
        </w:r>
        <w:r w:rsidR="00A06A59" w:rsidRPr="00A06A59">
          <w:rPr>
            <w:rStyle w:val="innerfusslink3"/>
            <w:rFonts w:ascii="Garamond" w:hAnsi="Garamond" w:cs="Arial"/>
            <w:bCs/>
            <w:i/>
            <w:iCs/>
            <w:color w:val="0000CC"/>
          </w:rPr>
          <w:t>Pas de Calais</w:t>
        </w:r>
        <w:r w:rsidR="00A06A59" w:rsidRPr="00A06A59">
          <w:rPr>
            <w:rStyle w:val="innerfusslink3"/>
            <w:rFonts w:ascii="Garamond" w:hAnsi="Garamond" w:cs="Arial"/>
            <w:bCs/>
            <w:color w:val="0000CC"/>
          </w:rPr>
          <w:t xml:space="preserve"> ist aber doch ein </w:t>
        </w:r>
        <w:r w:rsidR="00A06A59" w:rsidRPr="00A06A59">
          <w:rPr>
            <w:rStyle w:val="innerfusslink3"/>
            <w:rFonts w:ascii="Garamond" w:hAnsi="Garamond" w:cs="Arial"/>
            <w:bCs/>
            <w:i/>
            <w:iCs/>
            <w:color w:val="0000CC"/>
          </w:rPr>
          <w:t>Kanal</w:t>
        </w:r>
        <w:r w:rsidR="00A06A59" w:rsidRPr="00A06A59">
          <w:rPr>
            <w:rStyle w:val="innerfusslink3"/>
            <w:rFonts w:ascii="Garamond" w:hAnsi="Garamond" w:cs="Arial"/>
            <w:bCs/>
            <w:color w:val="0000CC"/>
          </w:rPr>
          <w:t xml:space="preserve">, der Ärmelkanal nämlich, </w:t>
        </w:r>
        <w:r w:rsidR="00A06A59" w:rsidRPr="00A06A59">
          <w:rPr>
            <w:rStyle w:val="innerfusslink3"/>
            <w:rFonts w:ascii="Garamond" w:hAnsi="Garamond" w:cs="Arial"/>
            <w:bCs/>
            <w:i/>
            <w:iCs/>
            <w:color w:val="0000CC"/>
          </w:rPr>
          <w:t>Canal la Manche</w:t>
        </w:r>
        <w:r w:rsidR="00A06A59" w:rsidRPr="00A06A59">
          <w:rPr>
            <w:rStyle w:val="innerfusslink3"/>
            <w:rFonts w:ascii="Garamond" w:hAnsi="Garamond" w:cs="Arial"/>
            <w:bCs/>
            <w:color w:val="0000CC"/>
          </w:rPr>
          <w:t xml:space="preserve">. Ob ich meine, daß dieser Einfall etwas mit dem Traum zu tun hat? Gewiß, meine ich, er gibt wirklich die Lösung des rätselhaften Traumelements. Oder wollen Sie bezweifeln, daß dieser Witz bereits vor dem Traum als das Unbewußte des Elements Kanal vorhanden war, können Sie annehmen, daß er nachträglich hinzugefunden wurde? Der Einfall bezeugt nämlich die Skepsis, die sich bei ihr hinter aufdringlicher Bewunderung verbirgt, und der Widerstand ist wohl der gemeinsame Grund für beides, sowohl, daß ihr der Einfall so zögernd gekommen, als auch dafür, daß das entsprechende Traumelement so unbestimmt ausgefallen ist. Blicken Sie hier auf das Verhältnis des Traumelements zu seinem Unbewußten. </w:t>
        </w:r>
        <w:r w:rsidR="00A06A59" w:rsidRPr="00A06A59">
          <w:rPr>
            <w:rStyle w:val="innerfusslink3"/>
            <w:rFonts w:ascii="Garamond" w:hAnsi="Garamond" w:cs="Arial"/>
            <w:bCs/>
            <w:color w:val="0000CC"/>
            <w:lang w:val="en-GB"/>
          </w:rPr>
          <w:t>Es ist wie ein Stückchen dieses Unbewußten, wie eine Anspielung darauf; durch seine Isolierung ist es ganz unverständlich geworden.«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Einen überzeugenden Beweis für die tendenziöse, dem Widerstand dienende Natur des Traumvergessens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27"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Vgl. über die Absicht beim Vergessen überhaupt meine kleine Abhandlung über den »psychischen Mechanismus der Vergeßlichkeit« in der »Monatsschrift für Psychiatrie und Neurologie« 1898 (wurde dann das I. Kapitel der »Psychopathologie des Alltagslebens«, Ges. Schriften, Bd. IV).</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gewinnt man bei den Analysen aus der Würdigung einer Vorstufe des Vergessens. Es kommt gar nicht selten vor, daß mitten in der Deutungsarbeit plötzlich ein ausgelassenes Stück des Traumes auftaucht, das als bisher vergessen bezeichnet wird. Dieser der Vergessenheit entrissene Traumteil ist nun jedesmal der wichtigste; er liegt auf dem kürzesten Wege zur Traumlösung und war darum dem Widerstande am meisten ausgesetzt. Unter den Traumbeispielen, die ich in den Zusammenhang dieser Abhandlung eingestreut habe, trifft es sich einmal, daß ich so ein Stück Trauminhalt nachträglich einzuschalten habe. Es ist dies ein Reisetraum, der Rache nimmt an zwei unliebenswürdigen Reisegefährten, den ich wegen seines zum Teil grob unflätigen Inhalts fast ungedeutet gelassen habe. Das ausgelassene Stück lautet: </w:t>
      </w:r>
      <w:r w:rsidRPr="00A06A59">
        <w:rPr>
          <w:rFonts w:ascii="Garamond" w:hAnsi="Garamond" w:cs="Arial"/>
          <w:i/>
          <w:iCs/>
          <w:color w:val="000000"/>
          <w:lang w:val="en-GB"/>
        </w:rPr>
        <w:t>Ich sage auf ein Buch von Schiller: It is from... Korrigiere mich aber, den Irrtum selbst bemerkend: It is by... Der Mann bemerkt hierauf zu seiner Schwester: »Er hat es ja richtig gesagt.</w:t>
      </w:r>
      <w:r w:rsidRPr="00A06A59">
        <w:rPr>
          <w:rFonts w:ascii="Garamond" w:hAnsi="Garamond" w:cs="Arial"/>
          <w:color w:val="000000"/>
          <w:lang w:val="en-GB"/>
        </w:rPr>
        <w:t xml:space="preserve">«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28"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Solche Korrekturen im Gebrauche fremder Sprachen sind in Träumen nicht selten, werden aber häufiger fremden Personen zugeschoben. </w:t>
        </w:r>
        <w:r w:rsidR="00A06A59" w:rsidRPr="00A06A59">
          <w:rPr>
            <w:rStyle w:val="innerfusslink3"/>
            <w:rFonts w:ascii="Garamond" w:hAnsi="Garamond" w:cs="Arial"/>
            <w:bCs/>
            <w:i/>
            <w:iCs/>
            <w:color w:val="0000CC"/>
            <w:lang w:val="en-GB"/>
          </w:rPr>
          <w:t>Maury</w:t>
        </w:r>
        <w:r w:rsidR="00A06A59" w:rsidRPr="00A06A59">
          <w:rPr>
            <w:rStyle w:val="innerfusslink3"/>
            <w:rFonts w:ascii="Garamond" w:hAnsi="Garamond" w:cs="Arial"/>
            <w:bCs/>
            <w:color w:val="0000CC"/>
            <w:lang w:val="en-GB"/>
          </w:rPr>
          <w:t xml:space="preserve"> (p. 143) träumte einmal zur Zeit, da er Englisch lernte, daß er einer anderen Person die Mitteilung, er habe sie gestern besucht, mit den Worten machte: </w:t>
        </w:r>
        <w:r w:rsidR="00A06A59" w:rsidRPr="00A06A59">
          <w:rPr>
            <w:rStyle w:val="innerfusslink3"/>
            <w:rFonts w:ascii="Garamond" w:hAnsi="Garamond" w:cs="Arial"/>
            <w:bCs/>
            <w:i/>
            <w:iCs/>
            <w:color w:val="0000CC"/>
            <w:lang w:val="en-GB"/>
          </w:rPr>
          <w:t>I called for you yesterday</w:t>
        </w:r>
        <w:r w:rsidR="00A06A59" w:rsidRPr="00A06A59">
          <w:rPr>
            <w:rStyle w:val="innerfusslink3"/>
            <w:rFonts w:ascii="Garamond" w:hAnsi="Garamond" w:cs="Arial"/>
            <w:bCs/>
            <w:color w:val="0000CC"/>
            <w:lang w:val="en-GB"/>
          </w:rPr>
          <w:t xml:space="preserve">. Der andere erwiderte richtig: Es heißt: </w:t>
        </w:r>
        <w:r w:rsidR="00A06A59" w:rsidRPr="00A06A59">
          <w:rPr>
            <w:rStyle w:val="innerfusslink3"/>
            <w:rFonts w:ascii="Garamond" w:hAnsi="Garamond" w:cs="Arial"/>
            <w:bCs/>
            <w:i/>
            <w:iCs/>
            <w:color w:val="0000CC"/>
            <w:lang w:val="en-GB"/>
          </w:rPr>
          <w:t>I called on you yesterday</w:t>
        </w:r>
        <w:r w:rsidR="00A06A59" w:rsidRPr="00A06A59">
          <w:rPr>
            <w:rStyle w:val="innerfusslink3"/>
            <w:rFonts w:ascii="Garamond" w:hAnsi="Garamond" w:cs="Arial"/>
            <w:bCs/>
            <w:color w:val="0000CC"/>
            <w:lang w:val="en-GB"/>
          </w:rPr>
          <w: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Die Selbstkorrektur im Traum, die manchen Autoren so wunderbar erschienen ist, verdient wohl nicht, uns zu beschäftigen. Ich werde lieber für den Sprachirrtum im Traum das Vorbild aus meiner Erinnerung aufzeigen. Ich war neunzehnjährig zum erstenmal in England und einen Tag lang am Strande der Irish Sea. Ich schwelgte natürlich im Fang der von der Flut zurückgelassenen Seetiere und beschäftigte mich gerade mit einem Seestern (der Traum beginnt mit: </w:t>
      </w:r>
      <w:r w:rsidRPr="00A06A59">
        <w:rPr>
          <w:rFonts w:ascii="Garamond" w:hAnsi="Garamond" w:cs="Arial"/>
          <w:i/>
          <w:iCs/>
          <w:color w:val="000000"/>
          <w:lang w:val="en-GB"/>
        </w:rPr>
        <w:t>Hollthurn-Holothurien</w:t>
      </w:r>
      <w:r w:rsidRPr="00A06A59">
        <w:rPr>
          <w:rFonts w:ascii="Garamond" w:hAnsi="Garamond" w:cs="Arial"/>
          <w:color w:val="000000"/>
          <w:lang w:val="en-GB"/>
        </w:rPr>
        <w:t xml:space="preserve">), als ein reizendes kleines Mädchen zu mir trat und mich fragte: </w:t>
      </w:r>
      <w:r w:rsidRPr="00A06A59">
        <w:rPr>
          <w:rFonts w:ascii="Garamond" w:hAnsi="Garamond" w:cs="Arial"/>
          <w:i/>
          <w:iCs/>
          <w:color w:val="000000"/>
          <w:lang w:val="en-GB"/>
        </w:rPr>
        <w:t>Is it a star-fish? Is it alive?</w:t>
      </w:r>
      <w:r w:rsidRPr="00A06A59">
        <w:rPr>
          <w:rFonts w:ascii="Garamond" w:hAnsi="Garamond" w:cs="Arial"/>
          <w:color w:val="000000"/>
          <w:lang w:val="en-GB"/>
        </w:rPr>
        <w:t xml:space="preserve"> Ich antwortete: </w:t>
      </w:r>
      <w:r w:rsidRPr="00A06A59">
        <w:rPr>
          <w:rFonts w:ascii="Garamond" w:hAnsi="Garamond" w:cs="Arial"/>
          <w:i/>
          <w:iCs/>
          <w:color w:val="000000"/>
          <w:lang w:val="en-GB"/>
        </w:rPr>
        <w:t>Yes he is alive</w:t>
      </w:r>
      <w:r w:rsidRPr="00A06A59">
        <w:rPr>
          <w:rFonts w:ascii="Garamond" w:hAnsi="Garamond" w:cs="Arial"/>
          <w:color w:val="000000"/>
          <w:lang w:val="en-GB"/>
        </w:rPr>
        <w:t xml:space="preserve">, schämte mich aber dann der Inkorrektheit und wiederholte den Satz richtig. An Stelle des Sprachfehlers, den ich damals begangen habe, setzte nun der Traum einen anderen, in den der Deutsche ebenso leicht verfällt. »Das Buch ist von Schiller«, soll man nicht mit </w:t>
      </w:r>
      <w:r w:rsidRPr="00A06A59">
        <w:rPr>
          <w:rFonts w:ascii="Garamond" w:hAnsi="Garamond" w:cs="Arial"/>
          <w:i/>
          <w:iCs/>
          <w:color w:val="000000"/>
          <w:lang w:val="en-GB"/>
        </w:rPr>
        <w:t>from</w:t>
      </w:r>
      <w:r w:rsidRPr="00A06A59">
        <w:rPr>
          <w:rFonts w:ascii="Garamond" w:hAnsi="Garamond" w:cs="Arial"/>
          <w:color w:val="000000"/>
          <w:lang w:val="en-GB"/>
        </w:rPr>
        <w:t xml:space="preserve">..., sondern mit </w:t>
      </w:r>
      <w:r w:rsidRPr="00A06A59">
        <w:rPr>
          <w:rFonts w:ascii="Garamond" w:hAnsi="Garamond" w:cs="Arial"/>
          <w:i/>
          <w:iCs/>
          <w:color w:val="000000"/>
          <w:lang w:val="en-GB"/>
        </w:rPr>
        <w:t>by</w:t>
      </w:r>
      <w:r w:rsidRPr="00A06A59">
        <w:rPr>
          <w:rFonts w:ascii="Garamond" w:hAnsi="Garamond" w:cs="Arial"/>
          <w:color w:val="000000"/>
          <w:lang w:val="en-GB"/>
        </w:rPr>
        <w:t xml:space="preserve">... übersetzen. Daß die Traumarbeit diesen Ersatz vollzieht, weil </w:t>
      </w:r>
      <w:r w:rsidRPr="00A06A59">
        <w:rPr>
          <w:rFonts w:ascii="Garamond" w:hAnsi="Garamond" w:cs="Arial"/>
          <w:i/>
          <w:iCs/>
          <w:color w:val="000000"/>
          <w:lang w:val="en-GB"/>
        </w:rPr>
        <w:t>from</w:t>
      </w:r>
      <w:r w:rsidRPr="00A06A59">
        <w:rPr>
          <w:rFonts w:ascii="Garamond" w:hAnsi="Garamond" w:cs="Arial"/>
          <w:color w:val="000000"/>
          <w:lang w:val="en-GB"/>
        </w:rPr>
        <w:t xml:space="preserve"> durch den Gleichklang mit dem deutschen Eigenschaftswort </w:t>
      </w:r>
      <w:r w:rsidRPr="00A06A59">
        <w:rPr>
          <w:rFonts w:ascii="Garamond" w:hAnsi="Garamond" w:cs="Arial"/>
          <w:i/>
          <w:iCs/>
          <w:color w:val="000000"/>
          <w:lang w:val="en-GB"/>
        </w:rPr>
        <w:t>fromm</w:t>
      </w:r>
      <w:r w:rsidRPr="00A06A59">
        <w:rPr>
          <w:rFonts w:ascii="Garamond" w:hAnsi="Garamond" w:cs="Arial"/>
          <w:color w:val="000000"/>
          <w:lang w:val="en-GB"/>
        </w:rPr>
        <w:t xml:space="preserve"> eine großartige Verdichtung ermöglicht, das nimmt uns nach allem, was wir von den Absichten der Traumarbeit und von ihrer Rücksichtslosigkeit in der Wahl der Mittel gehört haben, nicht mehr wunder. Was will aber die harmlose Erinnerung vom Meeresstrand im Zusammenhang des Traums besagen? Sie erläutert an einem möglichst unschuldigen Beispiel, daß ich das </w:t>
      </w:r>
      <w:r w:rsidRPr="00A06A59">
        <w:rPr>
          <w:rFonts w:ascii="Garamond" w:hAnsi="Garamond" w:cs="Arial"/>
          <w:i/>
          <w:iCs/>
          <w:color w:val="000000"/>
          <w:lang w:val="en-GB"/>
        </w:rPr>
        <w:t>Geschlechtswort</w:t>
      </w:r>
      <w:r w:rsidRPr="00A06A59">
        <w:rPr>
          <w:rFonts w:ascii="Garamond" w:hAnsi="Garamond" w:cs="Arial"/>
          <w:color w:val="000000"/>
          <w:lang w:val="en-GB"/>
        </w:rPr>
        <w:t xml:space="preserve"> am unrechten Platz gebrauche, also das </w:t>
      </w:r>
      <w:r w:rsidRPr="00A06A59">
        <w:rPr>
          <w:rFonts w:ascii="Garamond" w:hAnsi="Garamond" w:cs="Arial"/>
          <w:i/>
          <w:iCs/>
          <w:color w:val="000000"/>
          <w:lang w:val="en-GB"/>
        </w:rPr>
        <w:t>Geschlechtliche (he)</w:t>
      </w:r>
      <w:r w:rsidRPr="00A06A59">
        <w:rPr>
          <w:rFonts w:ascii="Garamond" w:hAnsi="Garamond" w:cs="Arial"/>
          <w:color w:val="000000"/>
          <w:lang w:val="en-GB"/>
        </w:rPr>
        <w:t xml:space="preserve"> dort anbringe, wo es nicht hingehört. </w:t>
      </w:r>
      <w:r w:rsidRPr="00A06A59">
        <w:rPr>
          <w:rFonts w:ascii="Garamond" w:hAnsi="Garamond" w:cs="Arial"/>
          <w:color w:val="000000"/>
        </w:rPr>
        <w:t xml:space="preserve">Dies ist allerdings einer der Schlüssel zur Lösung des Traumes. Wer dann noch die Ableitung des Buchtitels </w:t>
      </w:r>
      <w:r w:rsidRPr="00A06A59">
        <w:rPr>
          <w:rFonts w:ascii="Garamond" w:hAnsi="Garamond" w:cs="Arial"/>
          <w:i/>
          <w:iCs/>
          <w:color w:val="000000"/>
        </w:rPr>
        <w:t xml:space="preserve">» </w:t>
      </w:r>
      <w:r w:rsidRPr="00A06A59">
        <w:rPr>
          <w:rFonts w:ascii="Garamond" w:hAnsi="Garamond" w:cs="Arial"/>
          <w:b/>
          <w:bCs/>
          <w:i/>
          <w:iCs/>
          <w:color w:val="000000"/>
        </w:rPr>
        <w:t>Ma</w:t>
      </w:r>
      <w:r w:rsidRPr="00A06A59">
        <w:rPr>
          <w:rFonts w:ascii="Garamond" w:hAnsi="Garamond" w:cs="Arial"/>
          <w:i/>
          <w:iCs/>
          <w:color w:val="000000"/>
        </w:rPr>
        <w:t xml:space="preserve">tter and </w:t>
      </w:r>
      <w:r w:rsidRPr="00A06A59">
        <w:rPr>
          <w:rFonts w:ascii="Garamond" w:hAnsi="Garamond" w:cs="Arial"/>
          <w:b/>
          <w:bCs/>
          <w:i/>
          <w:iCs/>
          <w:color w:val="000000"/>
        </w:rPr>
        <w:t>Mo</w:t>
      </w:r>
      <w:r w:rsidRPr="00A06A59">
        <w:rPr>
          <w:rFonts w:ascii="Garamond" w:hAnsi="Garamond" w:cs="Arial"/>
          <w:i/>
          <w:iCs/>
          <w:color w:val="000000"/>
        </w:rPr>
        <w:t xml:space="preserve">tion« angehört hat ( </w:t>
      </w:r>
      <w:r w:rsidRPr="00A06A59">
        <w:rPr>
          <w:rFonts w:ascii="Garamond" w:hAnsi="Garamond" w:cs="Arial"/>
          <w:b/>
          <w:bCs/>
          <w:i/>
          <w:iCs/>
          <w:color w:val="000000"/>
        </w:rPr>
        <w:t>Mo</w:t>
      </w:r>
      <w:r w:rsidRPr="00A06A59">
        <w:rPr>
          <w:rFonts w:ascii="Garamond" w:hAnsi="Garamond" w:cs="Arial"/>
          <w:i/>
          <w:iCs/>
          <w:color w:val="000000"/>
        </w:rPr>
        <w:t xml:space="preserve">lière im </w:t>
      </w:r>
      <w:r w:rsidRPr="00A06A59">
        <w:rPr>
          <w:rFonts w:ascii="Garamond" w:hAnsi="Garamond" w:cs="Arial"/>
          <w:b/>
          <w:bCs/>
          <w:i/>
          <w:iCs/>
          <w:color w:val="000000"/>
        </w:rPr>
        <w:t>Ma</w:t>
      </w:r>
      <w:r w:rsidRPr="00A06A59">
        <w:rPr>
          <w:rFonts w:ascii="Garamond" w:hAnsi="Garamond" w:cs="Arial"/>
          <w:i/>
          <w:iCs/>
          <w:color w:val="000000"/>
        </w:rPr>
        <w:t xml:space="preserve">lade Imaginaire: La </w:t>
      </w:r>
      <w:r w:rsidRPr="00A06A59">
        <w:rPr>
          <w:rFonts w:ascii="Garamond" w:hAnsi="Garamond" w:cs="Arial"/>
          <w:b/>
          <w:bCs/>
          <w:i/>
          <w:iCs/>
          <w:color w:val="000000"/>
        </w:rPr>
        <w:t>mu</w:t>
      </w:r>
      <w:r w:rsidRPr="00A06A59">
        <w:rPr>
          <w:rFonts w:ascii="Garamond" w:hAnsi="Garamond" w:cs="Arial"/>
          <w:i/>
          <w:iCs/>
          <w:color w:val="000000"/>
        </w:rPr>
        <w:t xml:space="preserve">tiere est-elle laudable?– a </w:t>
      </w:r>
      <w:r w:rsidRPr="00A06A59">
        <w:rPr>
          <w:rFonts w:ascii="Garamond" w:hAnsi="Garamond" w:cs="Arial"/>
          <w:b/>
          <w:bCs/>
          <w:i/>
          <w:iCs/>
          <w:color w:val="000000"/>
        </w:rPr>
        <w:t>mo</w:t>
      </w:r>
      <w:r w:rsidRPr="00A06A59">
        <w:rPr>
          <w:rFonts w:ascii="Garamond" w:hAnsi="Garamond" w:cs="Arial"/>
          <w:i/>
          <w:iCs/>
          <w:color w:val="000000"/>
        </w:rPr>
        <w:t>tion of the bowels</w:t>
      </w:r>
      <w:r w:rsidRPr="00A06A59">
        <w:rPr>
          <w:rFonts w:ascii="Garamond" w:hAnsi="Garamond" w:cs="Arial"/>
          <w:color w:val="000000"/>
        </w:rPr>
        <w:t>), der wird sich das Fehlende leicht ergänzen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Ich kann übrigens den Beweis, daß das Vergessen des Traums zum großen Teil Widerstandsleistung ist, durch eine </w:t>
      </w:r>
      <w:r w:rsidRPr="00A06A59">
        <w:rPr>
          <w:rFonts w:ascii="Garamond" w:hAnsi="Garamond" w:cs="Arial"/>
          <w:i/>
          <w:iCs/>
          <w:color w:val="000000"/>
        </w:rPr>
        <w:t>Demonstratio ad oculos</w:t>
      </w:r>
      <w:r w:rsidRPr="00A06A59">
        <w:rPr>
          <w:rFonts w:ascii="Garamond" w:hAnsi="Garamond" w:cs="Arial"/>
          <w:color w:val="000000"/>
        </w:rPr>
        <w:t xml:space="preserve"> erledigen. Ein Patient erzählt, er habe geträumt, aber den Traum spurlos vergessen; dann gilt er eben als nicht vorgefallen. Wir setzen die Arbeit fort, ich stoße auf einen Widerstand, mache dem Kranken etwas klar, helfe ihm durch Zureden und Drängen, sich mit irgendeinem unangenehmen Gedanken zu versöhnen, und kaum ist das gelungen, so ruft er aus: Jetzt weiß ich auch wieder, was ich geträumt habe. </w:t>
      </w:r>
      <w:r w:rsidRPr="00A06A59">
        <w:rPr>
          <w:rFonts w:ascii="Garamond" w:hAnsi="Garamond" w:cs="Arial"/>
          <w:color w:val="000000"/>
          <w:lang w:val="en-GB"/>
        </w:rPr>
        <w:t>Derselbe Widerstand, der ihn an diesem Tage in der Arbeit gestört hat, hat ihn auch den Traum vergessen lassen. Durch die Überwindung dieses Widerstandes habe ich den Traum zur Erinnerung gefördert.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Ebenso kann sich der Patient, bei einer gewissen Stelle der Arbeit angelangt, an einen Traum erinnern, der vor drei, vier oder mehr Tagen vorgefallen ist und bis dahin in der Vergessenheit geruht hat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29"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E. Jones beschreibt den analogen, häufig vorkommenden Fall, daß während der Analyse eines Traums ein zweiter derselben Nacht erinnert wird, der bis dahin vergessen war, ja nicht einmal vermutet wurde.</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psychoanalytische Erfahrung hat uns noch einen anderen Beweis dafür geschenkt, daß das Vergessen der Träume weit mehr vom Widerstand als von der Fremdheit zwischen dem Wach- und dem Schlafzustand, wie die Autoren meinen, abhängt. Es ereignet sich mir wie anderen Analytikern und den in solcher Behandlung stehenden Patienten nicht selten, daß wir, durch einen Traum aus dem Schlafe geweckt, wie wir sagen möchten, unmittelbar darauf im vollen Besitze unserer Denktätigkeit den Traum zu deuten beginnen. Ich habe in solchen Fällen oftmals nicht geruht, bis ich das volle Verständnis des Traumes gewonnen hatte, und doch konnte es geschehen, daß ich nach dem Erwachen die Deutungsarbeit ebenso vollständig vergessen hatte wie den Trauminhalt, obwohl ich wußte, daß ich geträumt und daß ich den Traum gedeutet hatte. Viel häufiger hatte der Traum das Ergebnis der Deutungsarbeit mit in die Vergessenheit gerissen, als es der geistigen Tätigkeit gelungen war, den Traum für die Erinnerung zu halten. Zwischen dieser Deutungsarbeit und dem Wachdenken besteht aber nicht jene psychische Kluft, durch welche die Autoren das Traumvergessen ausschließend erklären wollen. – Wenn </w:t>
      </w:r>
      <w:r w:rsidRPr="00A06A59">
        <w:rPr>
          <w:rFonts w:ascii="Garamond" w:hAnsi="Garamond" w:cs="Arial"/>
          <w:i/>
          <w:iCs/>
          <w:color w:val="000000"/>
          <w:lang w:val="en-GB"/>
        </w:rPr>
        <w:t>Morton Prince</w:t>
      </w:r>
      <w:r w:rsidRPr="00A06A59">
        <w:rPr>
          <w:rFonts w:ascii="Garamond" w:hAnsi="Garamond" w:cs="Arial"/>
          <w:color w:val="000000"/>
          <w:lang w:val="en-GB"/>
        </w:rPr>
        <w:t xml:space="preserve"> gegen meine Erklärung des Traumvergessens einwendet, es sei nur ein Spezialfall der Amnesie für abgespaltene seelische Zustände ( </w:t>
      </w:r>
      <w:r w:rsidRPr="00A06A59">
        <w:rPr>
          <w:rFonts w:ascii="Garamond" w:hAnsi="Garamond" w:cs="Arial"/>
          <w:i/>
          <w:iCs/>
          <w:color w:val="000000"/>
          <w:lang w:val="en-GB"/>
        </w:rPr>
        <w:t>disso-ciated states</w:t>
      </w:r>
      <w:r w:rsidRPr="00A06A59">
        <w:rPr>
          <w:rFonts w:ascii="Garamond" w:hAnsi="Garamond" w:cs="Arial"/>
          <w:color w:val="000000"/>
          <w:lang w:val="en-GB"/>
        </w:rPr>
        <w:t xml:space="preserve">) und die Unmöglichkeit, meine Erklärung für diese spezielle Amnesie auf andere Typen von Amnesie zu </w:t>
      </w:r>
      <w:r w:rsidRPr="00A06A59">
        <w:rPr>
          <w:rFonts w:ascii="Garamond" w:hAnsi="Garamond" w:cs="Arial"/>
          <w:color w:val="000000"/>
          <w:lang w:val="en-GB"/>
        </w:rPr>
        <w:lastRenderedPageBreak/>
        <w:t>übertragen, mache sie auch für ihre nächste Absicht wertlos, so erinnert er den Leser daran, daß er in all seinen Beschreibungen solcher dissoziierter Zustände niemals den Versuch gemacht hat, die dynamische Erklärung für diese Phänomene zu finden. Er hätte sonst entdecken müssen, daß die Verdrängung (resp. der durch sie geschaffene Widerstand) ebensowohl die Ursache dieser Abspaltungen wie der Amnesie für ihren psychischen Inhalt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Daß die Träume ebensowenig vergessen werden wie andere seelische Akte und daß sie auch in bezug auf ihr Haften im Gedächtnis den anderen seelischen Leistungen ungeschmälert gleichzustellen sind, zeigt mir eine Erfahrung, die ich bei der Abfassung dieses Manuskripts machen konnte. Ich hatte in meinen Notizen reichlich eigene Träume aufbewahrt, die ich damals aus irgendeinem Grunde nur sehr unvollständig oder auch überhaupt nicht der Deutung unterziehen konnte. Bei einigen derselben habe ich nun ein bis zwei Jahre später den Versuch, sie zu deuten, unternommen, in der Absicht, mir Material zur Illustration meiner Behauptungen zu schaffen. Dieser Versuch gelang mir ausnahmslos; ja ich möchte behaupten, die Deutung ging so lange Zeit später leichter vor sich als damals, solange die Träume frische Erlebnisse waren, wofür ich als mögliche Erklärung angeben möchte, daß ich seither über manche Widerstände in meinem Inneren weggekommen bin, die mich damals störten. Ich habe bei solchen nachträglichen Deutungen die damaligen Ergebnisse an Traumgedanken mit den heutigen, meist viel reichhaltigeren, verglichen und das Damalige unter dem Heutigen unverändert wiedergefunden. Ich trat meinem Erstaunen hierüber rechtzeitig in den Weg, indem ich mich besann, daß ich ja bei meinen Patienten längst in Übung habe, Träume aus früheren Jahren, die sie mir gelegentlich erzählen, deuten zu lassen, als ob es Träume aus der letzten Nacht wären, nach demselben Verfahren und mit demselben Erfolg. Bei der Besprechung der Angstträume werde ich zwei Beispiele von solch verspäteter Traumdeutung mitteilen. Als ich diesen Versuch zum ersten Male anstellte, leitete mich die berechtigte Erwartung, daß der Traum sich auch hierin nur verhalten werde wie ein neurotisches Symptom. Wenn ich nämlich einen Psychoneurotiker, eine Hysterie etwa, mittels Psychoanalyse behandle, so muß ich für die ersten, längst überwundenen Symptome seines Leidens ebenso Aufklärung schaffen wie für die noch heute bestehenden, die ihn zu mir geführt haben, und finde erstere Aufgabe nur leichter zu lösen als die heute dringende. Schon in den 1895 publizierten </w:t>
      </w:r>
      <w:r w:rsidRPr="00A06A59">
        <w:rPr>
          <w:rFonts w:ascii="Garamond" w:hAnsi="Garamond" w:cs="Arial"/>
          <w:i/>
          <w:iCs/>
          <w:color w:val="000000"/>
          <w:lang w:val="en-GB"/>
        </w:rPr>
        <w:t>Studien über Hysterie</w:t>
      </w:r>
      <w:r w:rsidRPr="00A06A59">
        <w:rPr>
          <w:rFonts w:ascii="Garamond" w:hAnsi="Garamond" w:cs="Arial"/>
          <w:color w:val="000000"/>
          <w:lang w:val="en-GB"/>
        </w:rPr>
        <w:t xml:space="preserve"> konnte ich die Aufklärung eines ersten hysterischen Anfalles mitteilen, den die mehr als vierzigjährige Frau in ihrem fünfzehnten Lebensjahre gehabt hatte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30"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Träume, die in den ersten Kindheitsjahren vorgefallen sind und sich nicht selten in voller sinnlicher Frische durch Dezennien im Gedächtnis erhalten haben, gelangen fast immer zu einer großen Bedeutung für das Verständnis der Entwicklung und der Neurose des Träumers. Ihre Analyse schützt den Arzt gegen Irrtümer und Unsicherheiten, die ihn auch theoretisch verwirren könnten.</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In loserer Anreihung will ich hier noch einiges vorbringen, was ich über die Deutung der Träume zu bemerken habe und was vielleicht den Leser orientieren wird, der mich durch Nacharbeit an seinen eigenen Träumen kontrollieren will.</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wird niemand erwarten dürfen, daß ihm die Deutung seiner Träume mühelos in den Schoß falle. Schon zur Wahrnehmung endoptischer Phänomene und anderer für gewöhnlich der Aufmerksamkeit entzogener Sensationen bedarf es der Übung, obwohl kein psychisches Motiv sich gegen diese Gruppe von Wahrnehmungen sträubt. Es ist erheblich schwieriger, der »ungewollten Vorstellungen« habhaft zu werden. Wer dies verlangt, wird sich mit den Erwartungen erfüllen müssen, die in dieser Abhandlung regegemacht werden, und wird in Befolgung der hier gegebenen Regeln jede Kritik, jede Voreingenommenheit, jede affektive oder intellektuelle Parteinahme während der Arbeit bei sich niederzuhalten bestrebt sein. Er wird der Vorschrift eingedenk bleiben, die </w:t>
      </w:r>
      <w:r w:rsidRPr="00A06A59">
        <w:rPr>
          <w:rFonts w:ascii="Garamond" w:hAnsi="Garamond" w:cs="Arial"/>
          <w:i/>
          <w:iCs/>
          <w:color w:val="000000"/>
          <w:lang w:val="en-GB"/>
        </w:rPr>
        <w:t>Claude Bernard</w:t>
      </w:r>
      <w:r w:rsidRPr="00A06A59">
        <w:rPr>
          <w:rFonts w:ascii="Garamond" w:hAnsi="Garamond" w:cs="Arial"/>
          <w:color w:val="000000"/>
          <w:lang w:val="en-GB"/>
        </w:rPr>
        <w:t xml:space="preserve"> für den Experimentator im physiologischen Laboratorium aufgestellt hat: </w:t>
      </w:r>
      <w:r w:rsidRPr="00A06A59">
        <w:rPr>
          <w:rFonts w:ascii="Garamond" w:hAnsi="Garamond" w:cs="Arial"/>
          <w:i/>
          <w:iCs/>
          <w:color w:val="000000"/>
          <w:lang w:val="en-GB"/>
        </w:rPr>
        <w:t>Travailler comme une bête</w:t>
      </w:r>
      <w:r w:rsidRPr="00A06A59">
        <w:rPr>
          <w:rFonts w:ascii="Garamond" w:hAnsi="Garamond" w:cs="Arial"/>
          <w:color w:val="000000"/>
          <w:lang w:val="en-GB"/>
        </w:rPr>
        <w:t>, d. h. so ausdauernd, aber auch so unbekümmert um das Ergebnis. Wer diese Ratschläge befolgt, der wird die Aufgabe allerdings nicht mehr schwierig finden. Die Deutung eines Traumes vollzieht sich auch nicht immer in einem Zuge; nicht selten fühlt man seine Leistungsfähigkeit erschöpft, wenn man einer Verkettung von Einfällen gefolgt ist, der Traum sagt einem nichts mehr an diesem Tage; man tut dann gut, abzubrechen und an einem nächsten zur Arbeit zurückzukehren. Dann lenkt ein anderes Stück des Trauminhalts die Aufmerksamkeit auf sich, und man findet den Zugang zu einer neuen Schicht von Traumgedanken. Man kann das die »fraktionierte« Traumdeutung heißen.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Am schwierigsten ist der Anfänger in der Traumdeutung zur Anerkennung der Tatsache zu bewegen, daß seine Aufgabe nicht voll erledigt ist, wenn er eine vollständige Deutung des Traums in Händen hat, die sinnreich, zusammenhängend ist und über alle Elemente des Trauminhalts Auskunft gibt. Es kann außerdem eine andere, eine Überdeutung, desselben Traumes möglich sein, die ihm entgangen ist. Es ist wirklich nicht leicht, sich von dem Reichtum an unbewußten, nach Ausdruck ringenden Gedankengängen in unserem Denken eine Vorstellung zu machen und an die Geschicklichkeit der Traumarbeit zu glauben, durch mehrdeutige Ausdrucksweise jedesmal gleichsam sieben Fliegen mit einem Schlage zu treffen, wie der Schneidergeselle im Märchen. Der Leser wird immer </w:t>
      </w:r>
      <w:r w:rsidRPr="00A06A59">
        <w:rPr>
          <w:rFonts w:ascii="Garamond" w:hAnsi="Garamond" w:cs="Arial"/>
          <w:color w:val="000000"/>
          <w:lang w:val="en-GB"/>
        </w:rPr>
        <w:lastRenderedPageBreak/>
        <w:t>geneigt sein, dem Autor vorzuwerfen, daß er seinen Witz überflüssig vergeude; wer sich selbst Erfahrung erworben hat, wird sich eines Besseren belehrt finden.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Anderseits kann ich aber der Behauptung nicht beipflichten, die zuerst von H. </w:t>
      </w:r>
      <w:r w:rsidRPr="00A06A59">
        <w:rPr>
          <w:rFonts w:ascii="Garamond" w:hAnsi="Garamond" w:cs="Arial"/>
          <w:i/>
          <w:iCs/>
          <w:color w:val="000000"/>
          <w:lang w:val="en-GB"/>
        </w:rPr>
        <w:t>Silberer</w:t>
      </w:r>
      <w:r w:rsidRPr="00A06A59">
        <w:rPr>
          <w:rFonts w:ascii="Garamond" w:hAnsi="Garamond" w:cs="Arial"/>
          <w:color w:val="000000"/>
          <w:lang w:val="en-GB"/>
        </w:rPr>
        <w:t xml:space="preserve"> aufgestellt worden ist, daß jeder Traum oder auch nur zahlreiche und gewisse Gruppen von Träumen zwei verschiedene Deutungen erfordern, die sogar in fester Beziehung zueinander stehen. Die eine dieser Deutungen, die Silberer die </w:t>
      </w:r>
      <w:r w:rsidRPr="00A06A59">
        <w:rPr>
          <w:rFonts w:ascii="Garamond" w:hAnsi="Garamond" w:cs="Arial"/>
          <w:i/>
          <w:iCs/>
          <w:color w:val="000000"/>
          <w:lang w:val="en-GB"/>
        </w:rPr>
        <w:t>psychoanalytische</w:t>
      </w:r>
      <w:r w:rsidRPr="00A06A59">
        <w:rPr>
          <w:rFonts w:ascii="Garamond" w:hAnsi="Garamond" w:cs="Arial"/>
          <w:color w:val="000000"/>
          <w:lang w:val="en-GB"/>
        </w:rPr>
        <w:t xml:space="preserve"> nennt, gibt dem Traume einen beliebigen, zumeist infantil-sexuellen Sinn; die andere, bedeutsamere, von ihm die </w:t>
      </w:r>
      <w:r w:rsidRPr="00A06A59">
        <w:rPr>
          <w:rFonts w:ascii="Garamond" w:hAnsi="Garamond" w:cs="Arial"/>
          <w:i/>
          <w:iCs/>
          <w:color w:val="000000"/>
          <w:lang w:val="en-GB"/>
        </w:rPr>
        <w:t>anagogische</w:t>
      </w:r>
      <w:r w:rsidRPr="00A06A59">
        <w:rPr>
          <w:rFonts w:ascii="Garamond" w:hAnsi="Garamond" w:cs="Arial"/>
          <w:color w:val="000000"/>
          <w:lang w:val="en-GB"/>
        </w:rPr>
        <w:t xml:space="preserve"> geheißen, zeigt die ernsthafteren, oft tiefsinnigen Gedanken auf, welche die Traumarbeit als Stoff übernommen hat. </w:t>
      </w:r>
      <w:r w:rsidRPr="00A06A59">
        <w:rPr>
          <w:rFonts w:ascii="Garamond" w:hAnsi="Garamond" w:cs="Arial"/>
          <w:i/>
          <w:iCs/>
          <w:color w:val="000000"/>
          <w:lang w:val="en-GB"/>
        </w:rPr>
        <w:t>Silberer</w:t>
      </w:r>
      <w:r w:rsidRPr="00A06A59">
        <w:rPr>
          <w:rFonts w:ascii="Garamond" w:hAnsi="Garamond" w:cs="Arial"/>
          <w:color w:val="000000"/>
          <w:lang w:val="en-GB"/>
        </w:rPr>
        <w:t xml:space="preserve"> hat diese Behauptung nicht durch Mitteilung einer Reihe von Träumen, die er nach beiden Richtungen analysiert hätte, erwiesen. Ich muß dagegen einwenden, daß eine solche Tatsache nicht besteht. Die meisten Träume verlangen doch keine Überdeutung und sind insbesondere einer anagogischen Deutung nicht fähig. Die Mitwirkung einer Tendenz, welche die grundlegenden Verhältnisse der Traumbildung verschleiern und das Interesse von ihren Triebwurzeln ablenken möchte, ist bei der Silbererschen Theorie ebensowenig zu verkennen wie bei anderen theoretischen Bemühungen der letzten Jahre. Für eine Anzahl von Fällen konnte ich die Angaben von </w:t>
      </w:r>
      <w:r w:rsidRPr="00A06A59">
        <w:rPr>
          <w:rFonts w:ascii="Garamond" w:hAnsi="Garamond" w:cs="Arial"/>
          <w:i/>
          <w:iCs/>
          <w:color w:val="000000"/>
          <w:lang w:val="en-GB"/>
        </w:rPr>
        <w:t>Silberer</w:t>
      </w:r>
      <w:r w:rsidRPr="00A06A59">
        <w:rPr>
          <w:rFonts w:ascii="Garamond" w:hAnsi="Garamond" w:cs="Arial"/>
          <w:color w:val="000000"/>
          <w:lang w:val="en-GB"/>
        </w:rPr>
        <w:t xml:space="preserve"> bestätigen; die Analyse zeigte mir dann, daß die Traumarbeit die Aufgabe vorgefunden hatte, eine Reihe von sehr abstrakten und einer direkten Darstellung unfähigen Gedanken aus dem Wachleben in einen Traum zu verwandeln. Sie suchte diese Aufgabe zu lösen, indem sie sich eines anderen Gedankenmaterials bemächtigte, welches in lockerer, oft </w:t>
      </w:r>
      <w:r w:rsidRPr="00A06A59">
        <w:rPr>
          <w:rFonts w:ascii="Garamond" w:hAnsi="Garamond" w:cs="Arial"/>
          <w:i/>
          <w:iCs/>
          <w:color w:val="000000"/>
          <w:lang w:val="en-GB"/>
        </w:rPr>
        <w:t>allegorisch</w:t>
      </w:r>
      <w:r w:rsidRPr="00A06A59">
        <w:rPr>
          <w:rFonts w:ascii="Garamond" w:hAnsi="Garamond" w:cs="Arial"/>
          <w:color w:val="000000"/>
          <w:lang w:val="en-GB"/>
        </w:rPr>
        <w:t xml:space="preserve"> zu nennender Beziehung zu den abstrakten Gedanken stand und dabei der Darstellung geringere Schwierigkeiten bereitete. Die abstrakte Deutung eines so entstandenen Traumes wird vom Träumer unmittelbar gegeben; die richtige Deutung des unterschobenen Materials muß mit den bekannten technischen Mitteln gesucht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Frage, ob jeder Traum zur Deutung gebracht werden kann, ist mit Nein zu beantworten. Man darf nicht vergessen, daß man bei der Deutungsarbeit die psychischen Mächte gegen sich hat, welche die Entstellung des Traumes verschulden. Es wird so eine Frage des Kräfteverhältnisses, ob man mit seinem intellektuellen Interesse, seiner Fähigkeit zur Selbstüberwindung, seinen psychologischen Kenntnissen und seiner Übung in der Traumdeutung den inneren Widerständen den Herrn zeigen kann. Ein Stück weit ist das immer möglich, so weit wenigstens, um die Überzeugung zu gewinnen, daß der Traum eine sinnreiche Bildung ist, und meist auch, um eine Ahnung dieses Sinns zu gewinnen. Recht häufig gestattet ein nächstfolgender Traum, die für den ersten angenommene Deutung zu versichern und weiterzuführen. Eine ganze Reihe von Träumen, die sich durch Wochen oder Monate zieht, ruht oft auf gemeinsamem Boden und ist dann im Zusammenhange der Deutung zu unterwerfen. Von aufeinanderfolgenden Träumen kann man oft merken, wie der eine zum Mittelpunkte nimmt, was in dem nächsten nur in der Peripherie angedeutet wird, und umgekehrt, so daß die beiden einander auch zur Deutung ergänzen. Daß die verschiedenen Träume derselben Nacht ganz allgemein von der Deutungsarbeit wie ein Ganzes zu behandeln sind, habe ich bereits durch Beispiele erwiesen.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In den bestgedeuteten Träumen muß man oft eine Stelle im Dunkel lassen, weil man bei der Deutung merkt, daß dort ein Knäuel von Traumgedanken anhebt, der sich nicht entwirren will, aber auch zum Trauminhalt keine weiteren Beiträge geliefert hat. </w:t>
      </w:r>
      <w:r w:rsidRPr="00A06A59">
        <w:rPr>
          <w:rFonts w:ascii="Garamond" w:hAnsi="Garamond" w:cs="Arial"/>
          <w:color w:val="000000"/>
        </w:rPr>
        <w:t>Dies ist dann der Nabel des Traums, die Stelle, an der er dem Unerkannten aufsitzt. Die Traumgedanken, auf die man bei der Deutung gerät, müssen ja ganz allgemein ohne Abschluß bleiben und nach allen Seiten hin in die netzartige Verstrickung unserer Gedankenwelt auslaufen. Aus einer dichteren Stelle dieses Geflechts erhebt sich dann der Traumwunsch wie der Pilz aus seinem Mycelium.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Wir kehren zu den Tatsachen des Traumvergessens zurück. Wir haben es nämlich versäumt, einen wichtigen Schluß aus ihnen zu ziehen. Wenn das Wachleben die unverkennbare Absicht zeigt, den Traum, der bei Nacht gebildet worden ist, zu vergessen, entweder als Ganzes unmittelbar nach dem Erwachen oder stückweise im Laufe des Tages, und wenn wir als den Hauptbeteiligten bei diesem Vergessen den seelischen Widerstand gegen den Traum erkennen, der doch schon in der Nacht das Seinige gegen den Traum getan hat, so liegt die Frage nahe, was eigentlich gegen diesen Widerstand die Traumbildung überhaupt ermöglicht hat. </w:t>
      </w:r>
      <w:r w:rsidRPr="00A06A59">
        <w:rPr>
          <w:rFonts w:ascii="Garamond" w:hAnsi="Garamond" w:cs="Arial"/>
          <w:color w:val="000000"/>
          <w:lang w:val="en-GB"/>
        </w:rPr>
        <w:t xml:space="preserve">Nehmen wir den grellsten Fall, in dem das Wachleben den Traum wieder beseitigt, als ob er gar nicht vorgefallen wäre. Wenn wir dabei das Spiel der psychischen Kräfte in Betracht ziehen, so müssen wir aussagen, der Traum wäre überhaupt nicht zustande gekommen, wenn der Widerstand bei Nacht gewaltet hätte wie bei Tag. Unser Schluß ist, daß dieser während der Nachtzeit einen Teil seiner Macht eingebüßt hatte; wir wissen, er war nicht aufgehoben, denn wir haben seinen Anteil an der Traumbildung in der Traumentstellung nachgewiesen. Aber die Möglichkeit drängt sich uns auf, daß er des Nachts verringert war, daß durch diese Abnahme des Widerstands die Traumbildung möglich wurde, und wir verstehen so leicht, daß er, mit dem Erwachen in seine volle Kraft eingesetzt, sofort wieder beseitigt, was er, solange er schwach war, zulassen mußte. Die beschreibende Psychologie lehrt uns ja, daß die Hauptbedingung der Traumbildung der Schlafzustand der Seele ist; </w:t>
      </w:r>
      <w:r w:rsidRPr="00A06A59">
        <w:rPr>
          <w:rFonts w:ascii="Garamond" w:hAnsi="Garamond" w:cs="Arial"/>
          <w:color w:val="000000"/>
          <w:lang w:val="en-GB"/>
        </w:rPr>
        <w:lastRenderedPageBreak/>
        <w:t xml:space="preserve">wir könnten nun die Erklärung hinzufügen: </w:t>
      </w:r>
      <w:r w:rsidRPr="00A06A59">
        <w:rPr>
          <w:rFonts w:ascii="Garamond" w:hAnsi="Garamond" w:cs="Arial"/>
          <w:i/>
          <w:iCs/>
          <w:color w:val="000000"/>
          <w:lang w:val="en-GB"/>
        </w:rPr>
        <w:t>der Schlaf zustand ermöglicht die Traumbildung, indem er die endopsychische Zensur herabsetzt.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sind gewiß in Versuchung, diesen Schluß als den einzig möglichen aus den Tatsachen des Traumvergessens anzusehen und weitere Folgerungen über die Energieverhältnisse des Schlafens und des Wachens aus ihm zu entwickeln. Wir wollen aber vorläufig hierin innehalten. Wenn wir uns in die Psychologie des Traums ein Stück weiter vertieft haben, werden wir erfahren, daß man sich die Ermöglichung der Traumbildung auch noch anders vorstellen kann. Der Widerstand gegen das Bewußtwerden der Traumgedanken kann vielleicht auch umgangen werden, ohne daß er an sich eine Herabsetzung erfahren hätte. Es ist auch plausibel, daß beide der Traumbildung günstigen Momente, die Herabsetzung sowie die Umgehung des Widerstandes, durch den Schlafzustand gleichzeitig ermöglicht werden. Wir brechen hier ab, um nach einer Weile hier fortzusetzen.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Es gibt eine andere Reihe von Einwendungen gegen unser Verfahren bei der Traumdeutung, um die wir uns jetzt bekümmern müssen. Wir gehen ja so vor, daß wir alle sonst das Nachdenken beherrschenden Zielvorstellungen fallenlassen, unsere Aufmerksamkeit auf ein einzelnes Traumelement richten und dann notieren, was uns an ungewollten Gedanken zu demselben einfällt. Dann greifen wir einen nächsten Bestandteil des Trauminhalts auf, wiederholen an ihm dieselbe Arbeit und lassen uns, unbekümmert um die Richtung, nach der die Gedanken treiben, von ihnen weiterführen, wobei wir – wie man zu sagen pflegt – vom Hundertsten ins Tausendste geraten. Dabei hegen wir die zuversichtliche Erwartung, am Ende ganz ohne unser Dazutun auf die Traumgedanken zu geraten, aus denen der Traum entstanden ist. Dagegen wird die Kritik nun etwa folgendes einzuwenden haben: Daß man von einem einzelnen Element des Traumes irgendwohin gelangt, ist nichts Wunderbares. An jede Vorstellung läßt sich assoziativ etwas knüpfen; es ist nur merkwürdig, daß man bei diesem ziellosen und willkürlichen Gedankenablauf gerade zu den Traumgedanken geraten soll. Wahrscheinlich ist das eine Selbsttäuschung; man folgt der Assoziationskette von dem einen Elemente aus, bis man sie aus irgendeinem Grunde abreißen merkt; wenn man dann ein zweites Element aufnimmt, so ist es nur natürlich, daß die ursprüngliche Unbeschränktheit der Assoziation jetzt eine Einengung erfährt. Man hat die frühere Gedankenkette noch in Erinnerung und wird darum bei der Analyse der zweiten Traumvorstellung leichter auf einzelne Einfälle stoßen, die auch mit den Einfällen aus der ersten Kette irgend etwas gemein haben. Dann bildet man sich ein, einen Gedanken gefunden zu haben, der einen Knotenpunkt zwischen zwei Traumelementen darstellt. Da man sich sonst jede Freiheit der Gedankenverbindung gestattet und eigentlich nur die Übergänge von einer Vorstellung zur anderen ausschließt, die beim normalen Denken in Kraft treten, so wird es schließlich nicht schwer, aus einer Reihe von »Zwischengedanken« etwas zusammenzubrauen, was man die Traumgedanken benennt und ohne jede Gewähr, da diese sonst nicht bekannt sind, für den psychischen Ersatz des Traumes ausgibt. Es ist aber alles Willkür und witzig erscheinende Ausnützung des Zufalls dabei, und jeder, der sich dieser unnützen Mühe unterzieht, kann zu einem beliebigen Traume auf diesem Wege eine ihm beliebige Deutung herausgrübeln.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uns solche Einwände wirklich vorgerückt werden, so können wir uns zur Abwehr auf den Eindruck unserer Traumdeutungen berufen, auf die überraschenden Verbindungen mit anderen Traumelementen, die sich während der Verfolgung der einzelnen Vorstellungen ergeben, und auf die Unwahrscheinlichkeit, daß etwas, was den Traum so erschöpfend deckt und aufklärt wie eine unserer Traumdeutungen, anders gewonnen werden könne, als indem man vorher hergestellten psychischen Verbindungen nachfährt. Wir könnten auch zu unserer Rechtfertigung heranziehen, daß das Verfahren bei der Traumdeutung identisch ist mit dem bei der Auflösung der hysterischen Symptome, wo die Richtigkeit des Verfahrens durch das Auftauchen und Schwinden der Symptome zu ihrer Stelle gewährleistet wird, wo also die Auslegung des Textes an den eingeschalteten Illustrationen einen Anhalt findet. Wir haben aber keinen Grund, dem Problem, wieso man durch Verfolgung einer sich willkürlich und ziellos weiterspinnenden Gedankenkette zu einem präexistenten Ziele gelangen könne, aus dem Wege zu gehen, da wir dieses Problem zwar nicht zu lösen, aber voll zu beseitigen vermögen.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nämlich nachweisbar unrichtig, daß wir uns einem ziellosen Vorstellungsablauf hingeben, wenn wir, wie bei der Traumdeutungsarbeit, unser Nachdenken fallen- und die ungewollten Vorstellungen auftauchen lassen. Es läßt sich zeigen, daß wir immer nur auf die uns bekannten Zielvorstellungen verzichten können und daß mit dem Aufhören dieser sofort unbekannte – wie wir ungenau sagen: unbewußte – Zielvorstellungen zur Macht kommen, die jetzt den Ablauf der ungewollten Vorstellungen determiniert halten. Ein Denken ohne Zielvorstellungen läßt sich durch unsere eigene Beeinflussung unseres Seelenlebens überhaupt nicht herstellen; es ist mir aber auch unbekannt, in welchen Zuständen psychischer Zerrüttung es sich sonst herstellt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31"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Ich bin erst später darauf aufmerksam gemacht worden, daß Ed. v. </w:t>
        </w:r>
        <w:r w:rsidR="00A06A59" w:rsidRPr="00A06A59">
          <w:rPr>
            <w:rStyle w:val="innerfusslink3"/>
            <w:rFonts w:ascii="Garamond" w:hAnsi="Garamond" w:cs="Arial"/>
            <w:bCs/>
            <w:i/>
            <w:iCs/>
            <w:color w:val="0000CC"/>
            <w:lang w:val="en-GB"/>
          </w:rPr>
          <w:t>Hartmann</w:t>
        </w:r>
        <w:r w:rsidR="00A06A59" w:rsidRPr="00A06A59">
          <w:rPr>
            <w:rStyle w:val="innerfusslink3"/>
            <w:rFonts w:ascii="Garamond" w:hAnsi="Garamond" w:cs="Arial"/>
            <w:bCs/>
            <w:color w:val="0000CC"/>
            <w:lang w:val="en-GB"/>
          </w:rPr>
          <w:t xml:space="preserve"> in diesem psychologisch bedeutsamen Punkte die nämliche Anschauung vertritt: »Gelegentlich der Erörterung der Rolle des Unbewußten im künstlerischen Schaffen (Philos. d. Unbew. Bd. 1, Abschn. B, Kap. V) hat Eduard v. </w:t>
        </w:r>
        <w:r w:rsidR="00A06A59" w:rsidRPr="00A06A59">
          <w:rPr>
            <w:rStyle w:val="innerfusslink3"/>
            <w:rFonts w:ascii="Garamond" w:hAnsi="Garamond" w:cs="Arial"/>
            <w:bCs/>
            <w:i/>
            <w:iCs/>
            <w:color w:val="0000CC"/>
            <w:lang w:val="en-GB"/>
          </w:rPr>
          <w:t>Hartmann</w:t>
        </w:r>
        <w:r w:rsidR="00A06A59" w:rsidRPr="00A06A59">
          <w:rPr>
            <w:rStyle w:val="innerfusslink3"/>
            <w:rFonts w:ascii="Garamond" w:hAnsi="Garamond" w:cs="Arial"/>
            <w:bCs/>
            <w:color w:val="0000CC"/>
            <w:lang w:val="en-GB"/>
          </w:rPr>
          <w:t xml:space="preserve"> das Gesetz der von </w:t>
        </w:r>
        <w:r w:rsidR="00A06A59" w:rsidRPr="00A06A59">
          <w:rPr>
            <w:rStyle w:val="innerfusslink3"/>
            <w:rFonts w:ascii="Garamond" w:hAnsi="Garamond" w:cs="Arial"/>
            <w:bCs/>
            <w:color w:val="0000CC"/>
            <w:lang w:val="en-GB"/>
          </w:rPr>
          <w:lastRenderedPageBreak/>
          <w:t xml:space="preserve">unbewußten Zielvorstellungen geleiteten Ideenassoziation mit klaren Worten ausgesprochen, ohne sich jedoch der Tragweite dieses Gesetzes bewußt zu sein. Ihm ist es darum zu tun, zu erweisen, daß jede Kombination sinnlicher Vorstellungen, wenn sie nicht rein dem Zufall anheimgestellt wird, sondern zu einem bestimmten Ziele führen soll, der Hilfe des Unbewußten bedarf und daß das bewußte Interesse an einer bestimmten Gedankenverbindung ein Antrieb für das Unbewußte ist, unter den unzähligen möglichen Vorstellungen die zweckentsprechende herauszufinden. Es ist das Unbewußte, welches den Zwecken des Interesses gemäß wählt: und das gilt für die </w:t>
        </w:r>
        <w:r w:rsidR="00A06A59" w:rsidRPr="00A06A59">
          <w:rPr>
            <w:rStyle w:val="innerfusslink3"/>
            <w:rFonts w:ascii="Garamond" w:hAnsi="Garamond" w:cs="Arial"/>
            <w:bCs/>
            <w:i/>
            <w:iCs/>
            <w:color w:val="0000CC"/>
            <w:lang w:val="en-GB"/>
          </w:rPr>
          <w:t>Ideenassoziation beim abstrakten Denken als sinnlichem Vorstellen oder künstlerischem Kombinieren und beim witzigen Einfall</w:t>
        </w:r>
        <w:r w:rsidR="00A06A59" w:rsidRPr="00A06A59">
          <w:rPr>
            <w:rStyle w:val="innerfusslink3"/>
            <w:rFonts w:ascii="Garamond" w:hAnsi="Garamond" w:cs="Arial"/>
            <w:bCs/>
            <w:color w:val="0000CC"/>
            <w:lang w:val="en-GB"/>
          </w:rPr>
          <w:t xml:space="preserve">. Daher ist eine Einschränkung der Ideenassoziation auf die hervorrufende und die hervorgerufene Vorstellung im Sinne der reinen Assoziationspsychologie nicht aufrechtzuerhalten. Eine solche Einschränkung wäre nur dann tatsächlich gerechtfertigt, wenn Zustände im menschlichen Leben vorkommen, in denen der Mensch nicht nur von jedem bewußten Zweck, sondern auch von der Herrschaft oder Mitwirkung jedes unbewußten Interesses, jeder Stimmung frei ist. Dies ist aber ein kaum jemals vorkommender Zustand, denn auch, </w:t>
        </w:r>
        <w:r w:rsidR="00A06A59" w:rsidRPr="00A06A59">
          <w:rPr>
            <w:rStyle w:val="innerfusslink3"/>
            <w:rFonts w:ascii="Garamond" w:hAnsi="Garamond" w:cs="Arial"/>
            <w:bCs/>
            <w:i/>
            <w:iCs/>
            <w:color w:val="0000CC"/>
            <w:lang w:val="en-GB"/>
          </w:rPr>
          <w:t>wenn man seine Gedankenfolge anscheinend völlig dem Zufall anheimgibt oder wenn man sich ganz den unwillkürlichen Träumen der Phantasie überläßt, so walten doch immer zu der einen Stunde andere Hauptinteressen, maßgebende Gefühle und Stimmungen im Gemüt als zu der anderen, und diese werden allemal einen Einfluß auf die Ideenassoziation üben</w:t>
        </w:r>
        <w:r w:rsidR="00A06A59" w:rsidRPr="00A06A59">
          <w:rPr>
            <w:rStyle w:val="innerfusslink3"/>
            <w:rFonts w:ascii="Garamond" w:hAnsi="Garamond" w:cs="Arial"/>
            <w:bCs/>
            <w:color w:val="0000CC"/>
            <w:lang w:val="en-GB"/>
          </w:rPr>
          <w:t xml:space="preserve">. (Ibid., Bd. 1, 246.) Bei halb-unbewußten Träumen kommen immer nur solche Vorstellungen, die dem augenblicklichen (unbewußten) Hauptinteresse entsprechen (a. a. O.). Die Hervorhebung des Einflusses der Gefühle und Stimmungen auf die freie Gedankenfolge läßt nun das methodische Verfahren der Psychoanalyse auch vom Standpunkte der Hartmannschen Psychologie als durchaus gerechtfertigt erscheinen.« (N. E. </w:t>
        </w:r>
        <w:r w:rsidR="00A06A59" w:rsidRPr="00A06A59">
          <w:rPr>
            <w:rStyle w:val="innerfusslink3"/>
            <w:rFonts w:ascii="Garamond" w:hAnsi="Garamond" w:cs="Arial"/>
            <w:bCs/>
            <w:i/>
            <w:iCs/>
            <w:color w:val="0000CC"/>
            <w:lang w:val="en-GB"/>
          </w:rPr>
          <w:t>Pohorilles</w:t>
        </w:r>
        <w:r w:rsidR="00A06A59" w:rsidRPr="00A06A59">
          <w:rPr>
            <w:rStyle w:val="innerfusslink3"/>
            <w:rFonts w:ascii="Garamond" w:hAnsi="Garamond" w:cs="Arial"/>
            <w:bCs/>
            <w:color w:val="0000CC"/>
            <w:lang w:val="en-GB"/>
          </w:rPr>
          <w:t xml:space="preserve"> in der Internat. Zeitschr. f. ärztl. PsA. J, 1913, p. 605) </w:t>
        </w:r>
        <w:r w:rsidR="00A06A59" w:rsidRPr="00A06A59">
          <w:rPr>
            <w:rStyle w:val="innerfusslink3"/>
            <w:rFonts w:ascii="Garamond" w:hAnsi="Garamond" w:cs="Arial"/>
            <w:bCs/>
            <w:i/>
            <w:iCs/>
            <w:color w:val="0000CC"/>
            <w:lang w:val="en-GB"/>
          </w:rPr>
          <w:t>Du Prel</w:t>
        </w:r>
        <w:r w:rsidR="00A06A59" w:rsidRPr="00A06A59">
          <w:rPr>
            <w:rStyle w:val="innerfusslink3"/>
            <w:rFonts w:ascii="Garamond" w:hAnsi="Garamond" w:cs="Arial"/>
            <w:bCs/>
            <w:color w:val="0000CC"/>
            <w:lang w:val="en-GB"/>
          </w:rPr>
          <w:t xml:space="preserve"> schließt aus der Tatsache, daß ein Name, auf den wir uns vergeblich besinnen, uns oft plötzlich wieder unvermittelt einfällt, es gebe ein unbewußtes und dennoch zielgerichtetes Denken, dessen Resultat alsdann ins Bewußtsein tritt (Philos. d. Mystik, p. 107).</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 Psychiater haben hier viel zu früh auf die Festigkeit des psychischen Gefüges verzichtet. Ich weiß, daß ein ungeregelter, der Zielvorstellungen entbehrender Gedankenablauf im Rahmen der Hysterie und der Paranoia ebensowenig vorkommt wie bei der Bildung oder bei der Auflösung der Träume. Er tritt vielleicht bei den endogenen psychischen Affektionen überhaupt nicht ein; selbst die Delirien der Verworrenen sind nach einer geistreichen Vermutung von </w:t>
      </w:r>
      <w:r w:rsidRPr="00A06A59">
        <w:rPr>
          <w:rFonts w:ascii="Garamond" w:hAnsi="Garamond" w:cs="Arial"/>
          <w:i/>
          <w:iCs/>
          <w:color w:val="000000"/>
        </w:rPr>
        <w:t>Leuret</w:t>
      </w:r>
      <w:r w:rsidRPr="00A06A59">
        <w:rPr>
          <w:rFonts w:ascii="Garamond" w:hAnsi="Garamond" w:cs="Arial"/>
          <w:color w:val="000000"/>
        </w:rPr>
        <w:t xml:space="preserve"> sinnvoll und werden nur durch Auslassungen für uns unverständlich. </w:t>
      </w:r>
      <w:r w:rsidRPr="00A06A59">
        <w:rPr>
          <w:rFonts w:ascii="Garamond" w:hAnsi="Garamond" w:cs="Arial"/>
          <w:color w:val="000000"/>
          <w:lang w:val="en-GB"/>
        </w:rPr>
        <w:t>Ich habe die nämliche Überzeugung gewonnen, wo mir Gelegenheit zur Beobachtung geboten war. Die Delirien sind das Werk einer Zensur, die sich keine Mühe mehr gibt, ihr Walten zu verbergen, die anstatt ihre Mitwirkung zu einer nicht mehr anstößigen Umarbeitung zu leihen, rücksichtslos ausstreicht, wogegen sie Einspruch erhebt, wodurch dann das Übriggelassene zusammenhanglos wird. Diese Zensur verfährt ganz analog der russischen Zeitungszensur an der Grenze, welche ausländische Journale nur von schwarzen Strichen durchsetzt in die Hände der zu behütenden Leser gelangen läßt.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freie Spiel der Vorstellungen nach beliebiger Assoziationsverkettung kommt vielleicht bei destruktiven organischen Gehirnprozessen zum Vorschein; was bei den Psychoneurosen für solches gehalten wird, läßt sich allemal durch Einwirkung der Zensur auf eine Gedankenreihe aufklären, welche von verborgen gebliebenen Zielvorstellungen in den Vordergrund geschoben wird.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32"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Vgl. hiezu die glänzende Bestätigung dieser Behauptung, die C. G. </w:t>
        </w:r>
        <w:r w:rsidR="00A06A59" w:rsidRPr="00A06A59">
          <w:rPr>
            <w:rStyle w:val="innerfusslink3"/>
            <w:rFonts w:ascii="Garamond" w:hAnsi="Garamond" w:cs="Arial"/>
            <w:bCs/>
            <w:i/>
            <w:iCs/>
            <w:color w:val="0000CC"/>
            <w:lang w:val="en-GB"/>
          </w:rPr>
          <w:t>Jung</w:t>
        </w:r>
        <w:r w:rsidR="00A06A59" w:rsidRPr="00A06A59">
          <w:rPr>
            <w:rStyle w:val="innerfusslink3"/>
            <w:rFonts w:ascii="Garamond" w:hAnsi="Garamond" w:cs="Arial"/>
            <w:bCs/>
            <w:color w:val="0000CC"/>
            <w:lang w:val="en-GB"/>
          </w:rPr>
          <w:t xml:space="preserve"> durch Analysen bei Dementia praecox erbracht hat (»Zur Psychologie der Dementia praecox«, 1907).</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Als ein untrügliches Zeichen der von Zielvorstellungen freien Assoziation hat man es betrachtet, wenn die auftauchenden Vorstellungen (oder Bilder) untereinander durch die Bande der sogenannten oberflächlichen Assoziation verknüpft erscheinen, also durch Assonanz, Wortzweideutigkeit, zeitliches Zusammentreffen ohne innere Sinnbeziehung, durch alle die Assoziationen, die wir im Witz und beim Wortspiel zu verwerten uns gestatten. Dieses Kennzeichen trifft für die Gedankenverbindungen, die uns von den Elementen des Trauminhalts zu den Zwischengedanken und von diesen zu den eigentlichen Traumgedanken führen, zu; wir haben bei vielen Traumanalysen Beispiele davon gefunden, die unser Befremden wecken mußten. Keine Anknüpfung war da zu locker, kein Witz zu verwerflich, als daß er nicht die Brücke von einem Gedanken zum andern hätte bilden dürfen. Aber das richtige Verständnis solcher Nachsichtigkeit liegt nicht ferne. </w:t>
      </w:r>
      <w:r w:rsidRPr="00A06A59">
        <w:rPr>
          <w:rFonts w:ascii="Garamond" w:hAnsi="Garamond" w:cs="Arial"/>
          <w:i/>
          <w:iCs/>
          <w:color w:val="000000"/>
          <w:lang w:val="en-GB"/>
        </w:rPr>
        <w:t>Jedesmal, wenn ein psychisches Element mit einem anderen durch eine anstößige und oberflächliche Assoziation verbunden ist, existiert auch eine korrekte und tiefergehende Verknüpfung zwischen den beiden, welche dem Widerstände der Zensur unterliegt.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Druck der Zensur, nicht Aufhebung der Zielvorstellungen ist die richtige Begründung für das Vorherrschen der oberflächlichen Assoziationen. Die oberflächlichen Assoziationen ersetzen in der Darstellung die tiefen, wenn die Zensur diese normalen Verbindungswege ungangbar macht. Es ist, wie wenn ein allgemeines Verkehrshindernis, z. B. eine Überschwemmung, im Gebirge die großen und breiten Straßen unwegsam werden läßt; der Verkehr wird dann auf unbequemen und steilen Fußpfaden aufrechterhalten, die sonst nur der Jäger begangen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Man kann hier zwei Fälle voneinander trennen, die im wesentlichen eins sind. Entweder die Zensur richtet sich nur gegen den Zusammenhang zweier Gedanken, die, voneinander losgelöst, dem Einspruch entgehen. Dann treten die beiden Gedanken nacheinander ins Bewußtsein; ihr Zusammenhang bleibt verborgen; aber dafür fällt uns eine oberflächliche Verknüpfung zwischen beiden ein, an die wir sonst nicht gedacht hätten und die in der Regel an einer anderen Ecke des Vorstellungskomplexes ansetzt, als von welcher die unterdrückte, aber wesentliche Verbindung ausgeht. Oder aber, beide Gedanken unterliegen an sich wegen ihres Inhalts der Zensur; dann erscheinen beide nicht in der richtigen, sondern in modifizierter, ersetzter Form, und die beiden Ersatzgedanken sind so gewählt, daß sie durch eine oberflächliche Assoziation die wesentliche Verbindung wiedergeben, in der die von ihnen ersetzten stehen. </w:t>
      </w:r>
      <w:r w:rsidRPr="00A06A59">
        <w:rPr>
          <w:rFonts w:ascii="Garamond" w:hAnsi="Garamond" w:cs="Arial"/>
          <w:i/>
          <w:iCs/>
          <w:color w:val="000000"/>
          <w:lang w:val="en-GB"/>
        </w:rPr>
        <w:t>Unter dem Druck der Zensur hat hier in beiden Fällen eine Verschiebung stattgefunden von einer normalen, ernsthaften Assoziation auf eine oberflächliche, absurd erscheinende.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Weil wir von diesen Verschiebungen wissen, vertrauen wir uns bei der Traumdeutung auch den oberflächlichen Assoziationen ganz ohne Bedenken an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33"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Dieselben Erwägungen gelten natürlich auch für den Fall, daß die oberflächlichen Assoziationen im Trauminhalt bloßgelegt werden, wie z. B. in den beiden von </w:t>
        </w:r>
        <w:r w:rsidR="00A06A59" w:rsidRPr="00A06A59">
          <w:rPr>
            <w:rStyle w:val="innerfusslink3"/>
            <w:rFonts w:ascii="Garamond" w:hAnsi="Garamond" w:cs="Arial"/>
            <w:bCs/>
            <w:i/>
            <w:iCs/>
            <w:color w:val="0000CC"/>
            <w:lang w:val="en-GB"/>
          </w:rPr>
          <w:t>Maury</w:t>
        </w:r>
        <w:r w:rsidR="00A06A59" w:rsidRPr="00A06A59">
          <w:rPr>
            <w:rStyle w:val="innerfusslink3"/>
            <w:rFonts w:ascii="Garamond" w:hAnsi="Garamond" w:cs="Arial"/>
            <w:bCs/>
            <w:color w:val="0000CC"/>
            <w:lang w:val="en-GB"/>
          </w:rPr>
          <w:t xml:space="preserve"> mitgeteilten Träumen (S. 64: </w:t>
        </w:r>
        <w:r w:rsidR="00A06A59" w:rsidRPr="00A06A59">
          <w:rPr>
            <w:rStyle w:val="innerfusslink3"/>
            <w:rFonts w:ascii="Garamond" w:hAnsi="Garamond" w:cs="Arial"/>
            <w:bCs/>
            <w:i/>
            <w:iCs/>
            <w:color w:val="0000CC"/>
            <w:lang w:val="en-GB"/>
          </w:rPr>
          <w:t>pélerinage Pelletier pelle; Kilometer Kilogramm Gilolo Lobelia Lopez Lotto</w:t>
        </w:r>
        <w:r w:rsidR="00A06A59" w:rsidRPr="00A06A59">
          <w:rPr>
            <w:rStyle w:val="innerfusslink3"/>
            <w:rFonts w:ascii="Garamond" w:hAnsi="Garamond" w:cs="Arial"/>
            <w:bCs/>
            <w:color w:val="0000CC"/>
            <w:lang w:val="en-GB"/>
          </w:rPr>
          <w:t>). Aus der Arbeit mit Neurotikern weiß ich, welche Reminiszenz sich so darzustellen liebt. Es ist das Nachschlagen im Konversationslexikon (Lexikon überhaupt), aus dem ja die meisten in der Zeit der Pubertätsneugierde ihr Bedürfnis nach Aufklärung der sexuellen Rätsel gestillt haben.</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Von den beiden Sätzen, daß mit dem Aufgeben der bewußten Zielvorstellungen die Herrschaft über den Vorstellungsablauf an verborgene Zielvorstellungen übergeht und daß oberflächliche Assoziationen nur ein Verschiebungsersatz sind für unterdrückte tiefer gehende, macht die Psychoanalyse bei Neurosen den ausgiebigsten Gebrauch; ja, sie erhebt die beiden Sätze zu Grundpfeilern ihrer Technik. Wenn ich einem Patienten auftrage, alles Nachdenken fahrenzulassen und mir zu berichten, was immer ihm dann in den Sinn kommt, so halte ich die Voraussetzung fest, daß er die Zielvorstellungen der Behandlung nicht fahrenlassen kann, und halte mich für berechtigt zu folgern, daß das scheinbar Harmloseste und Willkürlichste, das er mir berichtet, im Zusammenhang mit seinem Krankheitszustande steht. Eine andere Zielvorstellung, von der dem Patienten nichts ahnt, ist die meiner Person. Die volle Würdigung sowie der eingehende Nachweis der beiden Aufklärungen gehört demnach in die Darstellung der psychoanalytischen Technik als therapeutischer Methode. Wir haben hier einen der Anschlüsse erreicht, bei denen wir das Thema der Traumdeutung vorsätzlich fallenlassen.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34"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Die hier vorgetragenen, damals sehr unwahrscheinlich klingenden Sätze haben später durch die »diagnostischen Assoziationsstudien« Jungs und seiner Schüler eine experimentelle Rechtfertigung und Verwertung erfahren.</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Eines nur ist richtig und bleibt von den Einwendungen bestehen, nämlich, daß wir nicht alle Einfälle der Deutungsarbeit auch in die nächtliche Traumarbeit zu versetzen brauchen. Wir machen ja beim Deuten im Wachen einen Weg, der von den Traumelementen zu den Traumgedanken rückläuft. Die Traumarbeit hat den umgekehrten Weg genommen, und es ist gar nicht wahrscheinlich, daß diese Wege in umgekehrter Richtung gangbar sind. Es erweist sich vielmehr, daß wir bei Tag über neue Gedankenverbindungen Schachte führen, welche die Zwischengedanken und die Traumgedanken bald an dieser, bald an jener Stelle treffen. Wir können sehen, wie sich das frische Gedankenmaterial des Tages in die Deutungsreihen einschiebt, und wahrscheinlich nötigt auch die Widerstandssteigerung, die seit der Nachtzeit eingetreten ist, zu neuen und ferneren Umwegen. Die Zahl oder Art der Kollateralen aber, die wir so bei Tag anspinnen, ist psychologisch völlig bedeutungslos, wenn diese uns nur den Weg zu den gesuchten Traumgedanken führen.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B. Di</w:t>
        </w:r>
        <w:bookmarkStart w:id="81" w:name="VIIB"/>
        <w:bookmarkEnd w:id="81"/>
        <w:r w:rsidRPr="00A06A59">
          <w:rPr>
            <w:rStyle w:val="Lienhypertexte"/>
            <w:rFonts w:ascii="Garamond" w:hAnsi="Garamond" w:cs="Arial"/>
            <w:b/>
            <w:bCs/>
            <w:lang w:val="en-GB"/>
          </w:rPr>
          <w:t>e Regression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Nun aber, da wir uns gegen die Einwendungen verwahrt oder wenigstens angezeigt haben, wo unsere Waffen zur Abwehr ruhen, dürfen wir es nicht länger verschieben, in die psychologischen Untersuchungen einzutreten, für die wir uns längst gerüstet haben. Wir stellen die Hauptergebnisse unserer bisherigen Untersuchung zusammen. Der Traum ist ein vollwichtiger psychischer Akt; seine Triebkraft ist alle Male ein zu erfüllender Wunsch; seine Unkenntlichkeit als Wunsch und seine vielen Sonderbarkeiten und Absurditäten rühren von dem Einfluß der psychischen Zensur her, den er bei der Bildung erfahren hat; außer der Nötigung, sich dieser Zensur zu entziehen, haben bei seiner Bildung mitgewirkt eine Nötigung zur Verdichtung des psychischen Materials, eine Rücksicht auf Darstellbarkeit in Sinnesbildern und – wenn auch nicht regelmäßig – eine Rücksicht auf ein rationelles und intelligibles Äußere des Traumgebildes. Von jedem dieser Sätze führt der Weg weiter zu psychologischen Postulaten und Mutmaßungen; die gegenseitige Beziehung des Wunschmotivs und der vier Bedingungen, sowie dieser untereinander, ist zu untersuchen; der Traum ist in den Zusammenhang des Seelenlebens einzureihen.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Wir haben einen Traum an die Spitze dieses Abschnittes gestellt, um uns an die Rätsel zu mahnen, deren Lösung noch aussteht. Die Deutung dieses Traumes vom brennenden Kind bereitete uns keine Schwierigkeiten, wenngleich sie nicht in unserem Sinne vollständig gegeben war. Wir fragten uns, warum hier überhaupt geträumt wurde, anstatt zu erwachen, und erkannten als das eine Motiv des Träumers den Wunsch, das Kind als lebend vorzustellen. Daß noch ein anderer Wunsch dabei eine Rolle spielt, werden wir nach späteren Erörterungen einsehen können. Zunächst also ist es die Wunscherfüllung, der zuliebe der Denkvorgang des Schlafens in einen Traum verwandelt wurde.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Macht man diese rückgängig, so bleibt nur noch ein Charakter übrig, welcher die beiden Arten des psychischen Geschehens voneinander scheidet. Der Traumgedanke hätte gelautet: Ich sehe einen Schein aus dem Zimmer, in dem die Leiche liegt. Vielleicht ist eine Kerze umgefallen, und das Kind brennt! Der Traum gibt das Resultat dieser Überlegung unverändert wieder, aber dargestellt in einer Situation, die gegenwärtig und mit den Sinnen wie ein Erlebnis des Wachens zu erfassen ist. Das ist aber der allgemeinste und auffälligste psychologische Charakter des Träumens; ein Gedanke, in der Regel der gewünschte, wird im Traume objektiviert, als Szene dargestellt oder, wie wir meinen, erlebt.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Wie soll man nun diese charakteristische Eigentümlichkeit der Traumarbeit erklären oder – bescheidener ausgedrückt – in den Zusammenhang der psychischen Vorgänge einfügen?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Bei näherem Zusehen merkt man wohl, daß in der Erscheinungsform dieses Traumes zwei voneinander fast unabhängige Charaktere ausgeprägt sind. Der eine ist die Darstellung als gegenwärtige Situation mit Weglassung des »vielleicht«; der andere die Umsetzung des Gedankens in visuelle Bilder und in Rede.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Umwandlung, welche die Traumgedanken dadurch erfahren, daß die in ihnen ausgedrückte Erwartung ins Präsens gesetzt wird, scheint vielleicht gerade an diesem Traume nicht sehr auffällig. Es hängt dies mit der besonderen, eigentlich nebensächlichen Rolle der Wunscherfüllung in diesem Traume zusammen. Nehmen wir einen anderen Traum vor, in dem sich der Traumwunsch nicht von der Fortsetzung der Wachgedanken in den Schlaf absondert, z. B. den von Irmas Injektion. Hier ist der zur Darstellung gelangende Traumgedanke ein Optativ: Wenn doch der Otto an der Krankheit Irmas schuld sein möchte! Der Traum verdrängt den Optativ und ersetzt ihn durch ein simples Präsens: Ja, Otto ist schuld an der Krankheit Irmas. Das ist also die erste der Verwandlungen, die auch der entstellungsfreie Traum mit den Traumgedanken vornimmt. Bei dieser ersten Eigentümlichkeit des Traumes werden wir uns nicht lange aufhalten. Wir erledigen sie durch den Hinweis auf die bewußte Phantasie, auf den Tagtraum, der mit seinem Vorstellungsinhalt ebenso verfährt. Wenn </w:t>
      </w:r>
      <w:r w:rsidRPr="00A06A59">
        <w:rPr>
          <w:rFonts w:ascii="Garamond" w:hAnsi="Garamond" w:cs="Arial"/>
          <w:i/>
          <w:iCs/>
          <w:color w:val="000000"/>
          <w:lang w:val="en-GB"/>
        </w:rPr>
        <w:t>Daudets M. Joyeuse</w:t>
      </w:r>
      <w:r w:rsidRPr="00A06A59">
        <w:rPr>
          <w:rFonts w:ascii="Garamond" w:hAnsi="Garamond" w:cs="Arial"/>
          <w:color w:val="000000"/>
          <w:lang w:val="en-GB"/>
        </w:rPr>
        <w:t xml:space="preserve"> beschäftigungslos durch die Straßen von Paris irrt, während seine Töchter glauben müssen, er habe eine Anstellung und sitze in seinem Bureau, so träumt er von den Vorfällen, die ihm zur Protektion und zu einer Anstellung verhelfen sollen, gleichfalls im Präsens. Der Traum gebraucht also das Präsens in derselben Weise und mit demselben Rechte wie der Tagtraum. Das Präsens ist die Zeitform, in welcher der Wunsch als erfüllt dargestellt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Dem Traume allein zum Unterschiede vom Tagtraume eigentümlich ist aber der zweite Charakter, daß der Vorstellungsinhalt nicht gedacht, sondern in sinnliche Bilder verwandelt wird, denen man dann Glauben schenkt und die man zu erleben meint. Fügen wir gleich hinzu, daß nicht alle Träume die Umwandlung von Vorstellung in Sinnesbild zeigen; es gibt Träume, die nur aus Gedanken bestehen, denen man die Wesenheit der Träume darum doch nicht bestreiten wird. Mein Traum: » </w:t>
      </w:r>
      <w:r w:rsidRPr="00A06A59">
        <w:rPr>
          <w:rFonts w:ascii="Garamond" w:hAnsi="Garamond" w:cs="Arial"/>
          <w:i/>
          <w:iCs/>
          <w:color w:val="000000"/>
          <w:lang w:val="en-GB"/>
        </w:rPr>
        <w:t>Autodidasker</w:t>
      </w:r>
      <w:r w:rsidRPr="00A06A59">
        <w:rPr>
          <w:rFonts w:ascii="Garamond" w:hAnsi="Garamond" w:cs="Arial"/>
          <w:color w:val="000000"/>
          <w:lang w:val="en-GB"/>
        </w:rPr>
        <w:t xml:space="preserve"> die Tagesphantasie mit ProfessorN.« ist ein solcher, in den sich kaum mehr sinnliche Elemente einmengten, als wenn ich seinen Inhalt bei Tag gedacht hätte. Auch gibt es in jedem längeren Traum Elemente, welche die Umwandlung ins Sinnliche nicht mitgemacht haben, die einfach gedacht oder gewußt werden, wie wir es vom Wachen her gewöhnt sind. Ferner wollen wir gleich hier daran denken, daß solche Verwandlung von Vorstellungen in Sinnesbilder nicht dem Traume allein zukommt, sondern ebenso der </w:t>
      </w:r>
      <w:r w:rsidRPr="00A06A59">
        <w:rPr>
          <w:rFonts w:ascii="Garamond" w:hAnsi="Garamond" w:cs="Arial"/>
          <w:color w:val="000000"/>
          <w:lang w:val="en-GB"/>
        </w:rPr>
        <w:lastRenderedPageBreak/>
        <w:t>Halluzination, den Visionen, die etwa selbständig in der Gesundheit auftreten oder als Symptome der Psychoneurosen. Kurz, die Beziehung, die wir hier untersuchen, ist nach keiner Richtung eine ausschließliche; es bleibt aber bestehen, daß dieser Charakter des Traums, wo er vorkommt, uns als der bemerkenswerteste erscheint, so daß wir ihn nicht aus dem Traumleben weggenommen denken könnten. Sein Verständnis erfordert aber weit ausgreifende Erörterungen.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Unter allen Bemerkungen zur Theorie des Träumens, welche man bei den Autoren finden kann, möchte ich eine als anknüpfenswert hervorheben. Der große G. Th. </w:t>
      </w:r>
      <w:r w:rsidRPr="00A06A59">
        <w:rPr>
          <w:rFonts w:ascii="Garamond" w:hAnsi="Garamond" w:cs="Arial"/>
          <w:i/>
          <w:iCs/>
          <w:color w:val="000000"/>
          <w:lang w:val="en-GB"/>
        </w:rPr>
        <w:t>Fechner</w:t>
      </w:r>
      <w:r w:rsidRPr="00A06A59">
        <w:rPr>
          <w:rFonts w:ascii="Garamond" w:hAnsi="Garamond" w:cs="Arial"/>
          <w:color w:val="000000"/>
          <w:lang w:val="en-GB"/>
        </w:rPr>
        <w:t xml:space="preserve"> spricht in seiner </w:t>
      </w:r>
      <w:r w:rsidRPr="00A06A59">
        <w:rPr>
          <w:rFonts w:ascii="Garamond" w:hAnsi="Garamond" w:cs="Arial"/>
          <w:i/>
          <w:iCs/>
          <w:color w:val="000000"/>
          <w:lang w:val="en-GB"/>
        </w:rPr>
        <w:t>Psychophysik</w:t>
      </w:r>
      <w:r w:rsidRPr="00A06A59">
        <w:rPr>
          <w:rFonts w:ascii="Garamond" w:hAnsi="Garamond" w:cs="Arial"/>
          <w:color w:val="000000"/>
          <w:lang w:val="en-GB"/>
        </w:rPr>
        <w:t xml:space="preserve"> (II. Teil, S. 520) im Zusammenhange einiger Erörterungen, die er dem Traume widmet, die Vermutung aus, daß </w:t>
      </w:r>
      <w:r w:rsidRPr="00A06A59">
        <w:rPr>
          <w:rFonts w:ascii="Garamond" w:hAnsi="Garamond" w:cs="Arial"/>
          <w:i/>
          <w:iCs/>
          <w:color w:val="000000"/>
          <w:lang w:val="en-GB"/>
        </w:rPr>
        <w:t>der Schauplatz der Träume ein anderer sei als der des wachen Vorstellungslebens.</w:t>
      </w:r>
      <w:r w:rsidRPr="00A06A59">
        <w:rPr>
          <w:rFonts w:ascii="Garamond" w:hAnsi="Garamond" w:cs="Arial"/>
          <w:color w:val="000000"/>
          <w:lang w:val="en-GB"/>
        </w:rPr>
        <w:t xml:space="preserve"> Keine andere Annahme gestatte es, die besonderen Eigentümlichkeiten des Traumlebens zu begreifen.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Idee, die uns so zur Verfügung gestellt wird, ist die einer </w:t>
      </w:r>
      <w:r w:rsidRPr="00A06A59">
        <w:rPr>
          <w:rFonts w:ascii="Garamond" w:hAnsi="Garamond" w:cs="Arial"/>
          <w:i/>
          <w:iCs/>
          <w:color w:val="000000"/>
          <w:lang w:val="en-GB"/>
        </w:rPr>
        <w:t>psychischen Lokalität</w:t>
      </w:r>
      <w:r w:rsidRPr="00A06A59">
        <w:rPr>
          <w:rFonts w:ascii="Garamond" w:hAnsi="Garamond" w:cs="Arial"/>
          <w:color w:val="000000"/>
          <w:lang w:val="en-GB"/>
        </w:rPr>
        <w:t xml:space="preserve">. Wir wollen ganz beiseite lassen, daß der seelische Apparat, um den es sich hier handelt, uns auch als anatomisches Präparat bekannt ist, und wollen der Versuchung sorgfältig aus dem Wege gehen, die psychische Lokalität etwa anatomisch zu bestimmen. Wir bleiben auf psychologischem Boden und gedenken nur der Aufforderung zu folgen, daß wir uns das Instrument, welches den Seelenleistungen dient, vorstellen wie etwa ein zusammengesetztes Mikroskop, einen photographischen Apparat u. dgl. </w:t>
      </w:r>
      <w:r w:rsidRPr="00A06A59">
        <w:rPr>
          <w:rFonts w:ascii="Garamond" w:hAnsi="Garamond" w:cs="Arial"/>
          <w:color w:val="000000"/>
        </w:rPr>
        <w:t xml:space="preserve">Die psychische Lokalität entspricht dann einem Orte innerhalb eines Apparats, an dem eine der Vorstufen des Bildes zustande kommt. </w:t>
      </w:r>
      <w:r w:rsidRPr="00A06A59">
        <w:rPr>
          <w:rFonts w:ascii="Garamond" w:hAnsi="Garamond" w:cs="Arial"/>
          <w:color w:val="000000"/>
          <w:lang w:val="en-GB"/>
        </w:rPr>
        <w:t>Beim Mikroskop und Fernrohr sind dies bekanntlich zum Teil ideelle Örtlichkeiten, Gegenden, in denen kein greifbarer Bestandteil des Apparats gelegen ist. Für die Unvollkommenheiten dieser und aller ähnlichen Bilder Entschuldigung zu erbitten, halte ich für überflüssig. Diese Gleichnisse sollen uns nur bei einem Versuch unterstützen, der es unternimmt, uns die Komplikation der psychischen Leistung verständlich zu machen, indem wir diese Leistung zerlegen und die Einzelleistung den einzelnen Bestandteilen des Apparats zuweisen. Der Versuch, die Zusammensetzung des seelischen Instruments aus solcher Zerlegung zu erraten, ist meines Wissens noch nicht gewagt worden. Er scheint mir harmlos. Ich meine, wir dürfen unseren Vermutungen freien Lauf lassen, wenn wir dabei nur unser kühles Urteil bewahren, das Gerüste nicht für den Bau halten. Da wir nichts anderes benötigen als Hilfsvorstellungen zur ersten Annäherung an etwas Unbekanntes, so werden wir die rohesten und greifbarsten Annahmen zunächst allen anderen vorziehen.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stellen uns also den seelischen Apparat vor als ein zusammengesetztes Instrument, dessen Bestandteile wir </w:t>
      </w:r>
      <w:r w:rsidRPr="00A06A59">
        <w:rPr>
          <w:rFonts w:ascii="Garamond" w:hAnsi="Garamond" w:cs="Arial"/>
          <w:i/>
          <w:iCs/>
          <w:color w:val="000000"/>
          <w:lang w:val="en-GB"/>
        </w:rPr>
        <w:t>Instanzen</w:t>
      </w:r>
      <w:r w:rsidRPr="00A06A59">
        <w:rPr>
          <w:rFonts w:ascii="Garamond" w:hAnsi="Garamond" w:cs="Arial"/>
          <w:color w:val="000000"/>
          <w:lang w:val="en-GB"/>
        </w:rPr>
        <w:t xml:space="preserve"> oder der Anschaulichkeit zuliebe </w:t>
      </w:r>
      <w:r w:rsidRPr="00A06A59">
        <w:rPr>
          <w:rFonts w:ascii="Garamond" w:hAnsi="Garamond" w:cs="Arial"/>
          <w:i/>
          <w:iCs/>
          <w:color w:val="000000"/>
          <w:lang w:val="en-GB"/>
        </w:rPr>
        <w:t>Systeme</w:t>
      </w:r>
      <w:r w:rsidRPr="00A06A59">
        <w:rPr>
          <w:rFonts w:ascii="Garamond" w:hAnsi="Garamond" w:cs="Arial"/>
          <w:color w:val="000000"/>
          <w:lang w:val="en-GB"/>
        </w:rPr>
        <w:t xml:space="preserve"> heißen wollen. Dann bilden wir die Erwartung, daß diese Systeme vielleicht eine konstante räumliche Orientierung gegeneinander haben, etwa wie die verschiedenen Linsensysteme des Fernrohres hintereinanderstehen. Strenggenommen, brauchen wir die Annahme einer wirklich </w:t>
      </w:r>
      <w:r w:rsidRPr="00A06A59">
        <w:rPr>
          <w:rFonts w:ascii="Garamond" w:hAnsi="Garamond" w:cs="Arial"/>
          <w:i/>
          <w:iCs/>
          <w:color w:val="000000"/>
          <w:lang w:val="en-GB"/>
        </w:rPr>
        <w:t>räumlichen</w:t>
      </w:r>
      <w:r w:rsidRPr="00A06A59">
        <w:rPr>
          <w:rFonts w:ascii="Garamond" w:hAnsi="Garamond" w:cs="Arial"/>
          <w:color w:val="000000"/>
          <w:lang w:val="en-GB"/>
        </w:rPr>
        <w:t xml:space="preserve"> Anordnung der psychischen Systeme nicht zu machen. Es genügt uns, wenn eine feste Reihenfolge dadurch hergestellt wird, daß bei gewissen psychischen Vorgängen die Systeme in einer bestimmten </w:t>
      </w:r>
      <w:r w:rsidRPr="00A06A59">
        <w:rPr>
          <w:rFonts w:ascii="Garamond" w:hAnsi="Garamond" w:cs="Arial"/>
          <w:i/>
          <w:iCs/>
          <w:color w:val="000000"/>
          <w:lang w:val="en-GB"/>
        </w:rPr>
        <w:t>zeitlichen</w:t>
      </w:r>
      <w:r w:rsidRPr="00A06A59">
        <w:rPr>
          <w:rFonts w:ascii="Garamond" w:hAnsi="Garamond" w:cs="Arial"/>
          <w:color w:val="000000"/>
          <w:lang w:val="en-GB"/>
        </w:rPr>
        <w:t xml:space="preserve"> Folge von der Erregung durchlaufen werden. Die Folge mag bei anderen Vorgängen eine Abänderung erfahren; eine solche Möglichkeit wollen wir uns offen lassen. Von den Bestandteilen des Apparates wollen wir von nun an der Kürze halber als »</w:t>
      </w:r>
      <w:r w:rsidRPr="00A06A59">
        <w:rPr>
          <w:rFonts w:ascii="Garamond" w:hAnsi="Garamond" w:cs="Arial"/>
          <w:color w:val="000000"/>
        </w:rPr>
        <w:t>Ψ</w:t>
      </w:r>
      <w:r w:rsidRPr="00A06A59">
        <w:rPr>
          <w:rFonts w:ascii="Garamond" w:hAnsi="Garamond" w:cs="Arial"/>
          <w:color w:val="000000"/>
          <w:lang w:val="en-GB"/>
        </w:rPr>
        <w:t>-Systeme« sprechen.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Das erste, das uns auffällt, ist nun, daß dieser aus -</w:t>
      </w:r>
      <w:r w:rsidRPr="00A06A59">
        <w:rPr>
          <w:rFonts w:ascii="Garamond" w:hAnsi="Garamond" w:cs="Arial"/>
          <w:color w:val="000000"/>
        </w:rPr>
        <w:t>Ψ</w:t>
      </w:r>
      <w:r w:rsidRPr="00A06A59">
        <w:rPr>
          <w:rFonts w:ascii="Garamond" w:hAnsi="Garamond" w:cs="Arial"/>
          <w:color w:val="000000"/>
          <w:lang w:val="en-GB"/>
        </w:rPr>
        <w:t xml:space="preserve">Systemen zusammengesetzte Apparat eine Richtung hat. All unsere psychische Tätigkeit geht von (inneren oder äußeren) Reizen aus und endigt in Innervationen. Somit schreiben wir dem Apparat ein sensibles und ein motorisches Ende zu; an dem sensiblen Ende befindet sich ein System, welches die Wahrnehmungen empfängt, am motorischen Ende ein anderes, welches die Schleusen der Motilität eröffnet. Der psychische Vorgang verläuft im allgemeinen vom Wahrnehmungsende zum Motilitätsende. </w:t>
      </w:r>
      <w:r w:rsidRPr="00A06A59">
        <w:rPr>
          <w:rFonts w:ascii="Garamond" w:hAnsi="Garamond" w:cs="Arial"/>
          <w:color w:val="000000"/>
        </w:rPr>
        <w:t>Das allgemeinste Schema des psychischen Apparats hätte also folgendes Ansehen:</w:t>
      </w:r>
    </w:p>
    <w:p w:rsidR="00A06A59" w:rsidRPr="00A06A59" w:rsidRDefault="00A06A59" w:rsidP="00A06A59">
      <w:pPr>
        <w:shd w:val="clear" w:color="auto" w:fill="FFFFFF"/>
        <w:tabs>
          <w:tab w:val="left" w:pos="7513"/>
          <w:tab w:val="left" w:pos="9639"/>
        </w:tabs>
        <w:spacing w:line="124" w:lineRule="atLeast"/>
        <w:ind w:left="-426" w:right="-567"/>
        <w:rPr>
          <w:rFonts w:ascii="Garamond" w:hAnsi="Garamond" w:cs="Arial"/>
          <w:color w:val="000000"/>
        </w:rPr>
      </w:pPr>
      <w:r w:rsidRPr="00A06A59">
        <w:rPr>
          <w:rFonts w:ascii="Garamond" w:hAnsi="Garamond" w:cs="Arial"/>
          <w:noProof/>
          <w:color w:val="000000"/>
          <w:lang w:eastAsia="fr-FR"/>
        </w:rPr>
        <w:drawing>
          <wp:inline distT="0" distB="0" distL="0" distR="0">
            <wp:extent cx="3812540" cy="1504950"/>
            <wp:effectExtent l="19050" t="0" r="0" b="0"/>
            <wp:docPr id="3" name="Image 3"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
                    <pic:cNvPicPr>
                      <a:picLocks noChangeAspect="1" noChangeArrowheads="1"/>
                    </pic:cNvPicPr>
                  </pic:nvPicPr>
                  <pic:blipFill>
                    <a:blip r:embed="rId235" cstate="print"/>
                    <a:srcRect/>
                    <a:stretch>
                      <a:fillRect/>
                    </a:stretch>
                  </pic:blipFill>
                  <pic:spPr bwMode="auto">
                    <a:xfrm>
                      <a:off x="0" y="0"/>
                      <a:ext cx="3812540" cy="1504950"/>
                    </a:xfrm>
                    <a:prstGeom prst="rect">
                      <a:avLst/>
                    </a:prstGeom>
                    <a:noFill/>
                    <a:ln w="9525">
                      <a:noFill/>
                      <a:miter lim="800000"/>
                      <a:headEnd/>
                      <a:tailEnd/>
                    </a:ln>
                  </pic:spPr>
                </pic:pic>
              </a:graphicData>
            </a:graphic>
          </wp:inline>
        </w:drawing>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(Fig. 1)</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lastRenderedPageBreak/>
        <w:t xml:space="preserve">Das ist aber nur die Erfüllung der uns längst vertrauten Forderung, der psychische Apparat müsse gebaut sein wie ein Reflexapparat. Der Reflexvorgang bleibt das Vorbild auch aller psychischen Leistung. Wir haben nun Grund, am sensiblen Ende eine erste Differenzierung eintreten zu lassen. Von den Wahrnehmungen, die an uns herankommen, verbleibt in unserem psychischen Apparat eine Spur, die wir » </w:t>
      </w:r>
      <w:r w:rsidRPr="00A06A59">
        <w:rPr>
          <w:rFonts w:ascii="Garamond" w:hAnsi="Garamond" w:cs="Arial"/>
          <w:i/>
          <w:iCs/>
          <w:color w:val="000000"/>
        </w:rPr>
        <w:t>Erinnerungsspur</w:t>
      </w:r>
      <w:r w:rsidRPr="00A06A59">
        <w:rPr>
          <w:rFonts w:ascii="Garamond" w:hAnsi="Garamond" w:cs="Arial"/>
          <w:color w:val="000000"/>
        </w:rPr>
        <w:t xml:space="preserve">« heißen können. Die Funktion, die sich auf diese Erinnerungsspur bezieht, heißen wir ja »Gedächtnis«. </w:t>
      </w:r>
      <w:r w:rsidRPr="00A06A59">
        <w:rPr>
          <w:rFonts w:ascii="Garamond" w:hAnsi="Garamond" w:cs="Arial"/>
          <w:color w:val="000000"/>
          <w:lang w:val="en-GB"/>
        </w:rPr>
        <w:t xml:space="preserve">Wenn wir Ernst mit dem Vorsatz machen, die psychischen Vorgänge an Systeme zu knüpfen, so kann die Erinnerungsspur nur bestehen in bleibenden Veränderungen an den Elementen der Systeme. Nun bringt es, wie schon von anderer Seite ausgeführt, offenbar Schwierigkeiten mit sich, wenn ein und dasselbe System an seinen Elementen Veränderungen getreu bewahren und doch neuen Anlässen zur Veränderung immer frisch und aufnahmefähig entgegentreten soll. Nach dem Prinzip, das unseren Versuch leitet, werden wir also diese beiden Leistungen auf verschiedene Systeme verteilen. Wir nehmen an, daß ein vorderstes System des Apparats die Wahrnehmungsreize aufnimmt, aber nichts von ihnen bewahrt, also kein Gedächtnis hat, und daß hinter diesem ein zweites System liegt, welches die momentane Erregung des ersten in Dauerspuren umsetzt. </w:t>
      </w:r>
      <w:r w:rsidRPr="00A06A59">
        <w:rPr>
          <w:rFonts w:ascii="Garamond" w:hAnsi="Garamond" w:cs="Arial"/>
          <w:color w:val="000000"/>
        </w:rPr>
        <w:t>Dann wäre dies das Bild unseres psychischen Apparats</w:t>
      </w:r>
    </w:p>
    <w:p w:rsidR="00A06A59" w:rsidRPr="00A06A59" w:rsidRDefault="00A06A59" w:rsidP="00A06A59">
      <w:pPr>
        <w:shd w:val="clear" w:color="auto" w:fill="FFFFFF"/>
        <w:tabs>
          <w:tab w:val="left" w:pos="7513"/>
          <w:tab w:val="left" w:pos="9639"/>
        </w:tabs>
        <w:spacing w:line="124" w:lineRule="atLeast"/>
        <w:ind w:left="-426" w:right="-567"/>
        <w:rPr>
          <w:rFonts w:ascii="Garamond" w:hAnsi="Garamond" w:cs="Arial"/>
          <w:color w:val="000000"/>
        </w:rPr>
      </w:pPr>
      <w:r w:rsidRPr="00A06A59">
        <w:rPr>
          <w:rFonts w:ascii="Garamond" w:hAnsi="Garamond" w:cs="Arial"/>
          <w:noProof/>
          <w:color w:val="000000"/>
          <w:lang w:eastAsia="fr-FR"/>
        </w:rPr>
        <w:drawing>
          <wp:inline distT="0" distB="0" distL="0" distR="0">
            <wp:extent cx="3812540" cy="1470025"/>
            <wp:effectExtent l="19050" t="0" r="0" b="0"/>
            <wp:docPr id="4" name="Image 4"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
                    <pic:cNvPicPr>
                      <a:picLocks noChangeAspect="1" noChangeArrowheads="1"/>
                    </pic:cNvPicPr>
                  </pic:nvPicPr>
                  <pic:blipFill>
                    <a:blip r:embed="rId236" cstate="print"/>
                    <a:srcRect/>
                    <a:stretch>
                      <a:fillRect/>
                    </a:stretch>
                  </pic:blipFill>
                  <pic:spPr bwMode="auto">
                    <a:xfrm>
                      <a:off x="0" y="0"/>
                      <a:ext cx="3812540" cy="1470025"/>
                    </a:xfrm>
                    <a:prstGeom prst="rect">
                      <a:avLst/>
                    </a:prstGeom>
                    <a:noFill/>
                    <a:ln w="9525">
                      <a:noFill/>
                      <a:miter lim="800000"/>
                      <a:headEnd/>
                      <a:tailEnd/>
                    </a:ln>
                  </pic:spPr>
                </pic:pic>
              </a:graphicData>
            </a:graphic>
          </wp:inline>
        </w:drawing>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(Fig. 2)</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bekannt, daß wir von den Wahrnehmungen, die auf System </w:t>
      </w:r>
      <w:r w:rsidRPr="00A06A59">
        <w:rPr>
          <w:rFonts w:ascii="Garamond" w:hAnsi="Garamond" w:cs="Arial"/>
          <w:i/>
          <w:iCs/>
          <w:color w:val="000000"/>
          <w:lang w:val="en-GB"/>
        </w:rPr>
        <w:t>W</w:t>
      </w:r>
      <w:r w:rsidRPr="00A06A59">
        <w:rPr>
          <w:rFonts w:ascii="Garamond" w:hAnsi="Garamond" w:cs="Arial"/>
          <w:color w:val="000000"/>
          <w:lang w:val="en-GB"/>
        </w:rPr>
        <w:t xml:space="preserve"> einwirken, noch etwas anderes als bleibend bewahren als den Inhalt derselben. Unsere Wahrnehmungen erweisen sich auch als im Gedächtnis miteinander verknüpft, und zwar vor allem nach ihrem einstigen Zusammentreffen in der Gleichzeitigkeit. Wir heißen das die Tatsache der </w:t>
      </w:r>
      <w:r w:rsidRPr="00A06A59">
        <w:rPr>
          <w:rFonts w:ascii="Garamond" w:hAnsi="Garamond" w:cs="Arial"/>
          <w:i/>
          <w:iCs/>
          <w:color w:val="000000"/>
          <w:lang w:val="en-GB"/>
        </w:rPr>
        <w:t>Assoziation</w:t>
      </w:r>
      <w:r w:rsidRPr="00A06A59">
        <w:rPr>
          <w:rFonts w:ascii="Garamond" w:hAnsi="Garamond" w:cs="Arial"/>
          <w:color w:val="000000"/>
          <w:lang w:val="en-GB"/>
        </w:rPr>
        <w:t xml:space="preserve">. Es ist nun klar, wenn das </w:t>
      </w:r>
      <w:r w:rsidRPr="00A06A59">
        <w:rPr>
          <w:rFonts w:ascii="Garamond" w:hAnsi="Garamond" w:cs="Arial"/>
          <w:i/>
          <w:iCs/>
          <w:color w:val="000000"/>
          <w:lang w:val="en-GB"/>
        </w:rPr>
        <w:t>W</w:t>
      </w:r>
      <w:r w:rsidRPr="00A06A59">
        <w:rPr>
          <w:rFonts w:ascii="Garamond" w:hAnsi="Garamond" w:cs="Arial"/>
          <w:color w:val="000000"/>
          <w:lang w:val="en-GB"/>
        </w:rPr>
        <w:t xml:space="preserve">-System überhaupt kein Gedächtnis hat, daß es auch die Spuren für die Assoziation nicht aufbewahren kann; die einzelnen </w:t>
      </w:r>
      <w:r w:rsidRPr="00A06A59">
        <w:rPr>
          <w:rFonts w:ascii="Garamond" w:hAnsi="Garamond" w:cs="Arial"/>
          <w:i/>
          <w:iCs/>
          <w:color w:val="000000"/>
          <w:lang w:val="en-GB"/>
        </w:rPr>
        <w:t>W</w:t>
      </w:r>
      <w:r w:rsidRPr="00A06A59">
        <w:rPr>
          <w:rFonts w:ascii="Garamond" w:hAnsi="Garamond" w:cs="Arial"/>
          <w:color w:val="000000"/>
          <w:lang w:val="en-GB"/>
        </w:rPr>
        <w:t xml:space="preserve">-Elemente wären in ihrer Funktion unerträglich behindert, wenn sich gegen eine neue Wahrnehmung ein Rest früherer Verknüpfung geltend machen würde. Wir müssen also als die Grundlage der Assoziation vielmehr die Erinnerungssysteme annehmen. Die Tatsache der Assoziation besteht dann darin, daß infolge von Widerstandsverringerungen und Bahnungen von einem der </w:t>
      </w:r>
      <w:r w:rsidRPr="00A06A59">
        <w:rPr>
          <w:rFonts w:ascii="Garamond" w:hAnsi="Garamond" w:cs="Arial"/>
          <w:i/>
          <w:iCs/>
          <w:color w:val="000000"/>
          <w:lang w:val="en-GB"/>
        </w:rPr>
        <w:t>Er</w:t>
      </w:r>
      <w:r w:rsidRPr="00A06A59">
        <w:rPr>
          <w:rFonts w:ascii="Garamond" w:hAnsi="Garamond" w:cs="Arial"/>
          <w:color w:val="000000"/>
          <w:lang w:val="en-GB"/>
        </w:rPr>
        <w:t xml:space="preserve">-Elemente die Erregung sich eher nach einem zweiten als nach einem dritten </w:t>
      </w:r>
      <w:r w:rsidRPr="00A06A59">
        <w:rPr>
          <w:rFonts w:ascii="Garamond" w:hAnsi="Garamond" w:cs="Arial"/>
          <w:i/>
          <w:iCs/>
          <w:color w:val="000000"/>
          <w:lang w:val="en-GB"/>
        </w:rPr>
        <w:t>Er</w:t>
      </w:r>
      <w:r w:rsidRPr="00A06A59">
        <w:rPr>
          <w:rFonts w:ascii="Garamond" w:hAnsi="Garamond" w:cs="Arial"/>
          <w:color w:val="000000"/>
          <w:lang w:val="en-GB"/>
        </w:rPr>
        <w:t>-Element fortpflanzt.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 näherem Eingehen ergibt sich die Notwendigkeit, nicht eines, sondern mehrere solcher </w:t>
      </w:r>
      <w:r w:rsidRPr="00A06A59">
        <w:rPr>
          <w:rFonts w:ascii="Garamond" w:hAnsi="Garamond" w:cs="Arial"/>
          <w:i/>
          <w:iCs/>
          <w:color w:val="000000"/>
          <w:lang w:val="en-GB"/>
        </w:rPr>
        <w:t>Er</w:t>
      </w:r>
      <w:r w:rsidRPr="00A06A59">
        <w:rPr>
          <w:rFonts w:ascii="Garamond" w:hAnsi="Garamond" w:cs="Arial"/>
          <w:color w:val="000000"/>
          <w:lang w:val="en-GB"/>
        </w:rPr>
        <w:t xml:space="preserve">-Elemente anzunehmen, in denen dieselbe, durch die </w:t>
      </w:r>
      <w:r w:rsidRPr="00A06A59">
        <w:rPr>
          <w:rFonts w:ascii="Garamond" w:hAnsi="Garamond" w:cs="Arial"/>
          <w:i/>
          <w:iCs/>
          <w:color w:val="000000"/>
          <w:lang w:val="en-GB"/>
        </w:rPr>
        <w:t>W</w:t>
      </w:r>
      <w:r w:rsidRPr="00A06A59">
        <w:rPr>
          <w:rFonts w:ascii="Garamond" w:hAnsi="Garamond" w:cs="Arial"/>
          <w:color w:val="000000"/>
          <w:lang w:val="en-GB"/>
        </w:rPr>
        <w:t xml:space="preserve">-Elemente fortgepflanzte Erregung eine verschiedenartige Fixierung erfährt. Das erste dieser </w:t>
      </w:r>
      <w:r w:rsidRPr="00A06A59">
        <w:rPr>
          <w:rFonts w:ascii="Garamond" w:hAnsi="Garamond" w:cs="Arial"/>
          <w:i/>
          <w:iCs/>
          <w:color w:val="000000"/>
          <w:lang w:val="en-GB"/>
        </w:rPr>
        <w:t>Er</w:t>
      </w:r>
      <w:r w:rsidRPr="00A06A59">
        <w:rPr>
          <w:rFonts w:ascii="Garamond" w:hAnsi="Garamond" w:cs="Arial"/>
          <w:color w:val="000000"/>
          <w:lang w:val="en-GB"/>
        </w:rPr>
        <w:t xml:space="preserve">-Systeme wird jedenfalls die Fixierung der Assoziation durch </w:t>
      </w:r>
      <w:r w:rsidRPr="00A06A59">
        <w:rPr>
          <w:rFonts w:ascii="Garamond" w:hAnsi="Garamond" w:cs="Arial"/>
          <w:i/>
          <w:iCs/>
          <w:color w:val="000000"/>
          <w:lang w:val="en-GB"/>
        </w:rPr>
        <w:t>Gleichzeitigkeit</w:t>
      </w:r>
      <w:r w:rsidRPr="00A06A59">
        <w:rPr>
          <w:rFonts w:ascii="Garamond" w:hAnsi="Garamond" w:cs="Arial"/>
          <w:color w:val="000000"/>
          <w:lang w:val="en-GB"/>
        </w:rPr>
        <w:t xml:space="preserve"> enthalten, in den weiter entfernt liegenden wird dasselbe Erregungsmaterial nach anderen Arten des Zusammentreffens angeordnet sein, so daß etwa Beziehungen der Ähnlichkeit u.a. durch diese späteren Systeme dargestellt würden. Es wäre natürlich müßig, die psychische Bedeutung eines solchen Systems in Worten angeben zu wollen. Die Charakteristik desselben läge in der Innigkeit seiner Beziehungen zu Elementen des Erinnerungsrohmaterials, d. h., wenn wir auf eine tiefergreifende Theorie hinweisen wollen, in den Abstufungen des Leitungswiderstandes nach diesen Elementen hin.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Bemerkung allgemeiner Natur, die vielleicht auf Bedeutsames hinweist, wäre hier einzuschalten. Das </w:t>
      </w:r>
      <w:r w:rsidRPr="00A06A59">
        <w:rPr>
          <w:rFonts w:ascii="Garamond" w:hAnsi="Garamond" w:cs="Arial"/>
          <w:i/>
          <w:iCs/>
          <w:color w:val="000000"/>
          <w:lang w:val="en-GB"/>
        </w:rPr>
        <w:t>W</w:t>
      </w:r>
      <w:r w:rsidRPr="00A06A59">
        <w:rPr>
          <w:rFonts w:ascii="Garamond" w:hAnsi="Garamond" w:cs="Arial"/>
          <w:color w:val="000000"/>
          <w:lang w:val="en-GB"/>
        </w:rPr>
        <w:t xml:space="preserve">-System, welches keine Fähigkeiten hat, Veränderungen zu bewahren, also kein Gedächtnis, ergibt für unser Bewußtsein die ganze Mannigfaltigkeit der sinnlichen Qualitäten. Umgekehrt sind unsere Erinnerungen, die am tiefsten uns eingeprägten nicht ausgenommen, an sich unbewußt. Sie können bewußtgemacht werden; es ist aber kein Zweifel, daß sie im unbewußten Zustand alle ihre Wirkungen entfalten. Was wir unseren Charakter nennen, beruht ja auf den Erinnerungsspuren unserer Eindrücke, und zwar sind gerade die Eindrücke, die am stärksten auf uns gewirkt hatten, die unserer ersten Jugend, solche, die fast nie bewußt werden. Werden aber Erinnerungen wieder bewußt, so zeigen sie keine sinnliche Qualität oder eine sehr geringfügige im Vergleiche zu den Wahrnehmungen. Ließe sich nun bestätigen, </w:t>
      </w:r>
      <w:r w:rsidRPr="00A06A59">
        <w:rPr>
          <w:rFonts w:ascii="Garamond" w:hAnsi="Garamond" w:cs="Arial"/>
          <w:i/>
          <w:iCs/>
          <w:color w:val="000000"/>
          <w:lang w:val="en-GB"/>
        </w:rPr>
        <w:t xml:space="preserve">daß Gedächtnis und Qualität für das Bewußtsein an den </w:t>
      </w:r>
      <w:r w:rsidRPr="00A06A59">
        <w:rPr>
          <w:rFonts w:ascii="Garamond" w:hAnsi="Garamond" w:cs="Arial"/>
          <w:i/>
          <w:iCs/>
          <w:color w:val="000000"/>
        </w:rPr>
        <w:t>Ψ</w:t>
      </w:r>
      <w:r w:rsidRPr="00A06A59">
        <w:rPr>
          <w:rFonts w:ascii="Garamond" w:hAnsi="Garamond" w:cs="Arial"/>
          <w:i/>
          <w:iCs/>
          <w:color w:val="000000"/>
          <w:lang w:val="en-GB"/>
        </w:rPr>
        <w:t>-Systemen einander ausschließen,</w:t>
      </w:r>
      <w:r w:rsidRPr="00A06A59">
        <w:rPr>
          <w:rFonts w:ascii="Garamond" w:hAnsi="Garamond" w:cs="Arial"/>
          <w:color w:val="000000"/>
          <w:lang w:val="en-GB"/>
        </w:rPr>
        <w:t xml:space="preserve"> so eröffnete sich in die Bedingungen der Neuronerregung ein vielversprechender Einblick.</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37"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Ich habe später gemeint, das Bewußtsein entstehe geradezu an </w:t>
        </w:r>
        <w:r w:rsidR="00A06A59" w:rsidRPr="00A06A59">
          <w:rPr>
            <w:rStyle w:val="innerfusslink3"/>
            <w:rFonts w:ascii="Garamond" w:hAnsi="Garamond" w:cs="Arial"/>
            <w:bCs/>
            <w:i/>
            <w:iCs/>
            <w:color w:val="0000CC"/>
            <w:lang w:val="en-GB"/>
          </w:rPr>
          <w:t>Stelle</w:t>
        </w:r>
        <w:r w:rsidR="00A06A59" w:rsidRPr="00A06A59">
          <w:rPr>
            <w:rStyle w:val="innerfusslink3"/>
            <w:rFonts w:ascii="Garamond" w:hAnsi="Garamond" w:cs="Arial"/>
            <w:bCs/>
            <w:color w:val="0000CC"/>
            <w:lang w:val="en-GB"/>
          </w:rPr>
          <w:t xml:space="preserve"> der Erinnerungsspur. (Siehe zuletzt: Notiz über den »Wunderblock«, 1925, Ges. Schriften, Bd. VI.)</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Was wir bisher über die Zusammensetzung des psychischen Apparats am sensiblen Ende angenommen haben, erfolgte ohne Rücksicht auf den Traum und die aus ihm ableitbaren psychologischen Aufklärungen. </w:t>
      </w:r>
      <w:r w:rsidRPr="00A06A59">
        <w:rPr>
          <w:rFonts w:ascii="Garamond" w:hAnsi="Garamond" w:cs="Arial"/>
          <w:color w:val="000000"/>
        </w:rPr>
        <w:t>Für die Erkenntnis eines anderen Stückes des Apparats wird uns aber der Traum zur Beweisquelle. Wir haben gesehen, daß es uns unmöglich wurde, die Traumbildung zu erklären, wenn wir nicht die Annahme zweier psychischer Instanzen wagen wollten, von denen die eine die Tätigkeit der anderen einer Kritik unterzieht, als deren Folge sich die Ausschließung vom Bewußtwerden ergibt.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kritisierende Instanz, haben wir geschlossen, unterhält nähere Beziehungen zum Bewußtsein als die kritisierte. Sie steht zwischen dieser und dem Bewußtsein wie ein Schirm. Wir haben ferner Anhaltspunkte gefunden, die kritisierende Instanz mit dem zu identifizieren, was unser waches Leben lenkt und über unser willkürliches, bewußtes Handeln entscheidet. Ersetzen wir nun diese Instanzen im Sinne unserer Annahmen durch Systeme, so wird durch die letzterwähnte Erkenntnis das kritisierende System ans motorische Ende gerückt. Wir tragen nun die beiden Systeme in unser Schema ein und drücken in den ihnen verliehenen Namen ihre Beziehung zum Bewußtsein aus.</w:t>
      </w:r>
    </w:p>
    <w:p w:rsidR="00A06A59" w:rsidRPr="00A06A59" w:rsidRDefault="00A06A59" w:rsidP="00A06A59">
      <w:pPr>
        <w:shd w:val="clear" w:color="auto" w:fill="FFFFFF"/>
        <w:tabs>
          <w:tab w:val="left" w:pos="7513"/>
          <w:tab w:val="left" w:pos="9639"/>
        </w:tabs>
        <w:spacing w:line="124" w:lineRule="atLeast"/>
        <w:ind w:left="-426" w:right="-567"/>
        <w:rPr>
          <w:rFonts w:ascii="Garamond" w:hAnsi="Garamond" w:cs="Arial"/>
          <w:color w:val="000000"/>
        </w:rPr>
      </w:pPr>
      <w:r w:rsidRPr="00A06A59">
        <w:rPr>
          <w:rFonts w:ascii="Garamond" w:hAnsi="Garamond" w:cs="Arial"/>
          <w:noProof/>
          <w:color w:val="000000"/>
          <w:lang w:eastAsia="fr-FR"/>
        </w:rPr>
        <w:drawing>
          <wp:inline distT="0" distB="0" distL="0" distR="0">
            <wp:extent cx="3812540" cy="1533525"/>
            <wp:effectExtent l="19050" t="0" r="0" b="0"/>
            <wp:docPr id="5" name="Image 5"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3"/>
                    <pic:cNvPicPr>
                      <a:picLocks noChangeAspect="1" noChangeArrowheads="1"/>
                    </pic:cNvPicPr>
                  </pic:nvPicPr>
                  <pic:blipFill>
                    <a:blip r:embed="rId238" cstate="print"/>
                    <a:srcRect/>
                    <a:stretch>
                      <a:fillRect/>
                    </a:stretch>
                  </pic:blipFill>
                  <pic:spPr bwMode="auto">
                    <a:xfrm>
                      <a:off x="0" y="0"/>
                      <a:ext cx="3812540" cy="1533525"/>
                    </a:xfrm>
                    <a:prstGeom prst="rect">
                      <a:avLst/>
                    </a:prstGeom>
                    <a:noFill/>
                    <a:ln w="9525">
                      <a:noFill/>
                      <a:miter lim="800000"/>
                      <a:headEnd/>
                      <a:tailEnd/>
                    </a:ln>
                  </pic:spPr>
                </pic:pic>
              </a:graphicData>
            </a:graphic>
          </wp:inline>
        </w:drawing>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(Fig. 3)</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Das letzte der Systeme am motorischen Ende heißen wir das </w:t>
      </w:r>
      <w:r w:rsidRPr="00A06A59">
        <w:rPr>
          <w:rFonts w:ascii="Garamond" w:hAnsi="Garamond" w:cs="Arial"/>
          <w:i/>
          <w:iCs/>
          <w:color w:val="000000"/>
        </w:rPr>
        <w:t>Vorbewußte,</w:t>
      </w:r>
      <w:r w:rsidRPr="00A06A59">
        <w:rPr>
          <w:rFonts w:ascii="Garamond" w:hAnsi="Garamond" w:cs="Arial"/>
          <w:color w:val="000000"/>
        </w:rPr>
        <w:t xml:space="preserve"> um anzudeuten, daß die Erregungsvorgänge in demselben ohne weitere Aufhaltung zum Bewußtsein gelangen können, falls noch gewisse Bedingungen erfüllt sind, z. B. die Erreichung einer gewissen Intensität, eine gewisse Verteilung jener Funktion, die man Aufmerksamkeit zu nennen hat, u. dgl. </w:t>
      </w:r>
      <w:r w:rsidRPr="00A06A59">
        <w:rPr>
          <w:rFonts w:ascii="Garamond" w:hAnsi="Garamond" w:cs="Arial"/>
          <w:color w:val="000000"/>
          <w:lang w:val="en-GB"/>
        </w:rPr>
        <w:t xml:space="preserve">Es ist gleichzeitig das System, welches die Schlüssel zur willkürlichen Motilität innehat. Das System dahinter heißen wir das </w:t>
      </w:r>
      <w:r w:rsidRPr="00A06A59">
        <w:rPr>
          <w:rFonts w:ascii="Garamond" w:hAnsi="Garamond" w:cs="Arial"/>
          <w:i/>
          <w:iCs/>
          <w:color w:val="000000"/>
          <w:lang w:val="en-GB"/>
        </w:rPr>
        <w:t>Unbewußte</w:t>
      </w:r>
      <w:r w:rsidRPr="00A06A59">
        <w:rPr>
          <w:rFonts w:ascii="Garamond" w:hAnsi="Garamond" w:cs="Arial"/>
          <w:color w:val="000000"/>
          <w:lang w:val="en-GB"/>
        </w:rPr>
        <w:t xml:space="preserve">, weil es keinen Zugang zum Bewußtsein hat, </w:t>
      </w:r>
      <w:r w:rsidRPr="00A06A59">
        <w:rPr>
          <w:rFonts w:ascii="Garamond" w:hAnsi="Garamond" w:cs="Arial"/>
          <w:i/>
          <w:iCs/>
          <w:color w:val="000000"/>
          <w:lang w:val="en-GB"/>
        </w:rPr>
        <w:t>außer durch das Vorbewußte</w:t>
      </w:r>
      <w:r w:rsidRPr="00A06A59">
        <w:rPr>
          <w:rFonts w:ascii="Garamond" w:hAnsi="Garamond" w:cs="Arial"/>
          <w:color w:val="000000"/>
          <w:lang w:val="en-GB"/>
        </w:rPr>
        <w:t xml:space="preserve">, bei welchem Durchgang sein Erregungsvorgang sich Abänderungen gefallen lassen muß.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39"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Die weitere Ausführung dieses linear aufgerollten Schemas wird mit der Annahme zu rechnen haben, daß das auf </w:t>
        </w:r>
        <w:r w:rsidR="00A06A59" w:rsidRPr="00A06A59">
          <w:rPr>
            <w:rStyle w:val="innerfusslink3"/>
            <w:rFonts w:ascii="Garamond" w:hAnsi="Garamond" w:cs="Arial"/>
            <w:bCs/>
            <w:i/>
            <w:iCs/>
            <w:color w:val="0000CC"/>
            <w:lang w:val="en-GB"/>
          </w:rPr>
          <w:t>Vbw</w:t>
        </w:r>
        <w:r w:rsidR="00A06A59" w:rsidRPr="00A06A59">
          <w:rPr>
            <w:rStyle w:val="innerfusslink3"/>
            <w:rFonts w:ascii="Garamond" w:hAnsi="Garamond" w:cs="Arial"/>
            <w:bCs/>
            <w:color w:val="0000CC"/>
            <w:lang w:val="en-GB"/>
          </w:rPr>
          <w:t xml:space="preserve"> folgende System dasjenige ist, dem wir das Bewußtsein zuschreiben müssen, daß also </w:t>
        </w:r>
        <w:r w:rsidR="00A06A59" w:rsidRPr="00A06A59">
          <w:rPr>
            <w:rStyle w:val="innerfusslink3"/>
            <w:rFonts w:ascii="Garamond" w:hAnsi="Garamond" w:cs="Arial"/>
            <w:bCs/>
            <w:i/>
            <w:iCs/>
            <w:color w:val="0000CC"/>
            <w:lang w:val="en-GB"/>
          </w:rPr>
          <w:t>W = Bw.</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 welches dieser Systeme verlegen wir nun den Anstoß zur Traumbildung? Der Vereinfachung zuliebe in das System </w:t>
      </w:r>
      <w:r w:rsidRPr="00A06A59">
        <w:rPr>
          <w:rFonts w:ascii="Garamond" w:hAnsi="Garamond" w:cs="Arial"/>
          <w:i/>
          <w:iCs/>
          <w:color w:val="000000"/>
          <w:lang w:val="en-GB"/>
        </w:rPr>
        <w:t>Ubw</w:t>
      </w:r>
      <w:r w:rsidRPr="00A06A59">
        <w:rPr>
          <w:rFonts w:ascii="Garamond" w:hAnsi="Garamond" w:cs="Arial"/>
          <w:color w:val="000000"/>
          <w:lang w:val="en-GB"/>
        </w:rPr>
        <w:t xml:space="preserve">. Wir werden zwar in späteren Erörterungen hören, daß dies nicht ganz richtig ist, daß die Traumbildung genötigt ist, an Traumgedanken anzuknüpfen, die dem System des Vorbewußten angehören. Wir werden aber auch an anderer Stelle, wenn wir vom Traumwunsch handeln, erfahren, daß die Triebkraft für den Traum vom </w:t>
      </w:r>
      <w:r w:rsidRPr="00A06A59">
        <w:rPr>
          <w:rFonts w:ascii="Garamond" w:hAnsi="Garamond" w:cs="Arial"/>
          <w:i/>
          <w:iCs/>
          <w:color w:val="000000"/>
          <w:lang w:val="en-GB"/>
        </w:rPr>
        <w:t>Ubw</w:t>
      </w:r>
      <w:r w:rsidRPr="00A06A59">
        <w:rPr>
          <w:rFonts w:ascii="Garamond" w:hAnsi="Garamond" w:cs="Arial"/>
          <w:color w:val="000000"/>
          <w:lang w:val="en-GB"/>
        </w:rPr>
        <w:t xml:space="preserve"> beigestellt wird, und wegen dieses letzteren Moments wollen wir das unbewußte System als den Ausgangspunkt der Traumbildung annehmen. Diese Traumerregung wird nun wie alle anderen Gedankenbildungen das Bestreben äußern, sich ins </w:t>
      </w:r>
      <w:r w:rsidRPr="00A06A59">
        <w:rPr>
          <w:rFonts w:ascii="Garamond" w:hAnsi="Garamond" w:cs="Arial"/>
          <w:i/>
          <w:iCs/>
          <w:color w:val="000000"/>
          <w:lang w:val="en-GB"/>
        </w:rPr>
        <w:t>Vbw</w:t>
      </w:r>
      <w:r w:rsidRPr="00A06A59">
        <w:rPr>
          <w:rFonts w:ascii="Garamond" w:hAnsi="Garamond" w:cs="Arial"/>
          <w:color w:val="000000"/>
          <w:lang w:val="en-GB"/>
        </w:rPr>
        <w:t xml:space="preserve"> fortzusetzen und von diesem aus den Zugang zum Bewußtsein zu gewinnen.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Erfahrung lehrt uns, daß den Traumgedanken tagsüber dieser Weg, der durchs Vorbewußte zum Bewußtsein führt, durch die Widerstandszensur verlegt ist. In der Nacht schaffen sie sich den Zugang zum Bewußtsein, aber es erhebt sich die Frage, auf welchem Wege und dank welcher Veränderung. Würde dies den Traumgedanken dadurch ermöglicht, daß nachts der Widerstand absinkt, der an der Grenze zwischen Unbewußtem und Vorbewußtem wacht, so bekämen wir Träume in dem Material unserer Vorstellungen, die nicht den halluzinatorischen Charakter zeigen, der uns jetzt interessiert.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Absinken der Zensur zwischen den beiden Systemen </w:t>
      </w:r>
      <w:r w:rsidRPr="00A06A59">
        <w:rPr>
          <w:rFonts w:ascii="Garamond" w:hAnsi="Garamond" w:cs="Arial"/>
          <w:i/>
          <w:iCs/>
          <w:color w:val="000000"/>
          <w:lang w:val="en-GB"/>
        </w:rPr>
        <w:t>Ubw</w:t>
      </w:r>
      <w:r w:rsidRPr="00A06A59">
        <w:rPr>
          <w:rFonts w:ascii="Garamond" w:hAnsi="Garamond" w:cs="Arial"/>
          <w:color w:val="000000"/>
          <w:lang w:val="en-GB"/>
        </w:rPr>
        <w:t xml:space="preserve"> und </w:t>
      </w:r>
      <w:r w:rsidRPr="00A06A59">
        <w:rPr>
          <w:rFonts w:ascii="Garamond" w:hAnsi="Garamond" w:cs="Arial"/>
          <w:i/>
          <w:iCs/>
          <w:color w:val="000000"/>
          <w:lang w:val="en-GB"/>
        </w:rPr>
        <w:t>Vbw</w:t>
      </w:r>
      <w:r w:rsidRPr="00A06A59">
        <w:rPr>
          <w:rFonts w:ascii="Garamond" w:hAnsi="Garamond" w:cs="Arial"/>
          <w:color w:val="000000"/>
          <w:lang w:val="en-GB"/>
        </w:rPr>
        <w:t xml:space="preserve"> kann uns also nur solche Traumbildungen erklären wie </w:t>
      </w:r>
      <w:r w:rsidRPr="00A06A59">
        <w:rPr>
          <w:rFonts w:ascii="Garamond" w:hAnsi="Garamond" w:cs="Arial"/>
          <w:i/>
          <w:iCs/>
          <w:color w:val="000000"/>
          <w:lang w:val="en-GB"/>
        </w:rPr>
        <w:t>Autodidasker</w:t>
      </w:r>
      <w:r w:rsidRPr="00A06A59">
        <w:rPr>
          <w:rFonts w:ascii="Garamond" w:hAnsi="Garamond" w:cs="Arial"/>
          <w:color w:val="000000"/>
          <w:lang w:val="en-GB"/>
        </w:rPr>
        <w:t xml:space="preserve">, aber nicht Träume wie den vom </w:t>
      </w:r>
      <w:r w:rsidRPr="00A06A59">
        <w:rPr>
          <w:rFonts w:ascii="Garamond" w:hAnsi="Garamond" w:cs="Arial"/>
          <w:i/>
          <w:iCs/>
          <w:color w:val="000000"/>
          <w:lang w:val="en-GB"/>
        </w:rPr>
        <w:t>brennenden Kinde</w:t>
      </w:r>
      <w:r w:rsidRPr="00A06A59">
        <w:rPr>
          <w:rFonts w:ascii="Garamond" w:hAnsi="Garamond" w:cs="Arial"/>
          <w:color w:val="000000"/>
          <w:lang w:val="en-GB"/>
        </w:rPr>
        <w:t>, den wir uns als Problem an den Eingang dieser Untersuchungen gestellt haben.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Was im halluzinatorischen Traum vor sich geht, können wir nicht anders beschreiben, als indem wir sagen: Die Erregung nimmt einen </w:t>
      </w:r>
      <w:r w:rsidRPr="00A06A59">
        <w:rPr>
          <w:rFonts w:ascii="Garamond" w:hAnsi="Garamond" w:cs="Arial"/>
          <w:i/>
          <w:iCs/>
          <w:color w:val="000000"/>
          <w:lang w:val="en-GB"/>
        </w:rPr>
        <w:t>rückläufigen</w:t>
      </w:r>
      <w:r w:rsidRPr="00A06A59">
        <w:rPr>
          <w:rFonts w:ascii="Garamond" w:hAnsi="Garamond" w:cs="Arial"/>
          <w:color w:val="000000"/>
          <w:lang w:val="en-GB"/>
        </w:rPr>
        <w:t xml:space="preserve"> Weg. Anstatt gegen das motorische Ende des Apparats pflanzt sie sich gegen das </w:t>
      </w:r>
      <w:r w:rsidRPr="00A06A59">
        <w:rPr>
          <w:rFonts w:ascii="Garamond" w:hAnsi="Garamond" w:cs="Arial"/>
          <w:color w:val="000000"/>
          <w:lang w:val="en-GB"/>
        </w:rPr>
        <w:lastRenderedPageBreak/>
        <w:t xml:space="preserve">sensible fort und langt schließlich beim System der Wahrnehmungen an. Heißen wir die Richtung, nach welcher sich der psychische Vorgang aus dem Unbewußten im Wachen fortsetzt, die </w:t>
      </w:r>
      <w:r w:rsidRPr="00A06A59">
        <w:rPr>
          <w:rFonts w:ascii="Garamond" w:hAnsi="Garamond" w:cs="Arial"/>
          <w:i/>
          <w:iCs/>
          <w:color w:val="000000"/>
          <w:lang w:val="en-GB"/>
        </w:rPr>
        <w:t>progrediente</w:t>
      </w:r>
      <w:r w:rsidRPr="00A06A59">
        <w:rPr>
          <w:rFonts w:ascii="Garamond" w:hAnsi="Garamond" w:cs="Arial"/>
          <w:color w:val="000000"/>
          <w:lang w:val="en-GB"/>
        </w:rPr>
        <w:t xml:space="preserve">, so dürfen wir vom Traum aussagen, er habe </w:t>
      </w:r>
      <w:r w:rsidRPr="00A06A59">
        <w:rPr>
          <w:rFonts w:ascii="Garamond" w:hAnsi="Garamond" w:cs="Arial"/>
          <w:i/>
          <w:iCs/>
          <w:color w:val="000000"/>
          <w:lang w:val="en-GB"/>
        </w:rPr>
        <w:t>regredienten</w:t>
      </w:r>
      <w:r w:rsidRPr="00A06A59">
        <w:rPr>
          <w:rFonts w:ascii="Garamond" w:hAnsi="Garamond" w:cs="Arial"/>
          <w:color w:val="000000"/>
          <w:lang w:val="en-GB"/>
        </w:rPr>
        <w:t xml:space="preserve"> Charakter.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hyperlink r:id="rId240"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Die erste Andeutung des Moments der Regression findet sich bereits bei Albertus Magnus. Die </w:t>
        </w:r>
        <w:r w:rsidR="00A06A59" w:rsidRPr="00A06A59">
          <w:rPr>
            <w:rStyle w:val="innerfusslink3"/>
            <w:rFonts w:ascii="Garamond" w:hAnsi="Garamond" w:cs="Arial"/>
            <w:bCs/>
            <w:i/>
            <w:iCs/>
            <w:color w:val="0000CC"/>
            <w:lang w:val="en-GB"/>
          </w:rPr>
          <w:t>Imaginatio</w:t>
        </w:r>
        <w:r w:rsidR="00A06A59" w:rsidRPr="00A06A59">
          <w:rPr>
            <w:rStyle w:val="innerfusslink3"/>
            <w:rFonts w:ascii="Garamond" w:hAnsi="Garamond" w:cs="Arial"/>
            <w:bCs/>
            <w:color w:val="0000CC"/>
            <w:lang w:val="en-GB"/>
          </w:rPr>
          <w:t xml:space="preserve">, heißt es bei ihm, baut aus den aufbewahrten Bildern der sinnfälligen Objekte den Traum auf. Der Prozeß vollzieht sich umgekehrt wie im Wachen (nach Diepgen, p. 14). – </w:t>
        </w:r>
        <w:r w:rsidR="00A06A59" w:rsidRPr="00A06A59">
          <w:rPr>
            <w:rStyle w:val="innerfusslink3"/>
            <w:rFonts w:ascii="Garamond" w:hAnsi="Garamond" w:cs="Arial"/>
            <w:bCs/>
            <w:i/>
            <w:iCs/>
            <w:color w:val="0000CC"/>
            <w:lang w:val="en-GB"/>
          </w:rPr>
          <w:t>Hobbes</w:t>
        </w:r>
        <w:r w:rsidR="00A06A59" w:rsidRPr="00A06A59">
          <w:rPr>
            <w:rStyle w:val="innerfusslink3"/>
            <w:rFonts w:ascii="Garamond" w:hAnsi="Garamond" w:cs="Arial"/>
            <w:bCs/>
            <w:color w:val="0000CC"/>
            <w:lang w:val="en-GB"/>
          </w:rPr>
          <w:t xml:space="preserve"> sagt (im Leviathan, 1651): » </w:t>
        </w:r>
        <w:r w:rsidR="00A06A59" w:rsidRPr="00A06A59">
          <w:rPr>
            <w:rStyle w:val="innerfusslink3"/>
            <w:rFonts w:ascii="Garamond" w:hAnsi="Garamond" w:cs="Arial"/>
            <w:bCs/>
            <w:i/>
            <w:iCs/>
            <w:color w:val="0000CC"/>
            <w:lang w:val="en-GB"/>
          </w:rPr>
          <w:t>In sum, our dreams are the reverse of our waking imaginations, the motion, when we are awake, beginning at one end, and when we dream at another.</w:t>
        </w:r>
        <w:r w:rsidR="00A06A59" w:rsidRPr="00A06A59">
          <w:rPr>
            <w:rStyle w:val="innerfusslink3"/>
            <w:rFonts w:ascii="Garamond" w:hAnsi="Garamond" w:cs="Arial"/>
            <w:bCs/>
            <w:color w:val="0000CC"/>
            <w:lang w:val="en-GB"/>
          </w:rPr>
          <w:t xml:space="preserve">«. (Nach H. </w:t>
        </w:r>
        <w:r w:rsidR="00A06A59" w:rsidRPr="00A06A59">
          <w:rPr>
            <w:rStyle w:val="innerfusslink3"/>
            <w:rFonts w:ascii="Garamond" w:hAnsi="Garamond" w:cs="Arial"/>
            <w:bCs/>
            <w:i/>
            <w:iCs/>
            <w:color w:val="0000CC"/>
            <w:lang w:val="en-GB"/>
          </w:rPr>
          <w:t>Ellis</w:t>
        </w:r>
        <w:r w:rsidR="00A06A59" w:rsidRPr="00A06A59">
          <w:rPr>
            <w:rStyle w:val="innerfusslink3"/>
            <w:rFonts w:ascii="Garamond" w:hAnsi="Garamond" w:cs="Arial"/>
            <w:bCs/>
            <w:color w:val="0000CC"/>
            <w:lang w:val="en-GB"/>
          </w:rPr>
          <w:t>, p. 112.)</w:t>
        </w:r>
      </w:hyperlink>
      <w:r w:rsidR="00A06A59"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Regression ist dann sicherlich eine der psychologischen Eigentümlichkeiten des Traumvorganges; aber wir dürfen nicht vergessen, daß sie dem Träumen nicht allein zukommt. Auch das absichtliche Erinnern und andere Teilvorgänge unseres normalen Denkens entsprechen einem Rückschreiten im psychischen Apparat von irgendwelchem komplexen Vorstellungsakt auf das Rohmaterial der Erinnerungsspuren, die ihm zugrunde liegen. Während des Wachens aber reicht dieses Zurückgreifen niemals über die Erinnerungsbilder hinaus; es vermag die halluzinatorische Belebung der Wahrnehmungsbilder nicht zu erzeugen. Warum ist dies im Traume anders? Als wir von der Verdichtungsarbeit des Traumes sprachen, konnten wir der Annahme nicht ausweichen, daß durch die Traumarbeit die an den Vorstellungen haftenden Intensitäten von einer zur anderen voll übertragen werden. Wahrscheinlich ist es diese Abänderung des sonstigen psychischen Vorgangs, welche es ermöglicht, das System der </w:t>
      </w:r>
      <w:r w:rsidRPr="00A06A59">
        <w:rPr>
          <w:rFonts w:ascii="Garamond" w:hAnsi="Garamond" w:cs="Arial"/>
          <w:i/>
          <w:iCs/>
          <w:color w:val="000000"/>
          <w:lang w:val="en-GB"/>
        </w:rPr>
        <w:t>W</w:t>
      </w:r>
      <w:r w:rsidRPr="00A06A59">
        <w:rPr>
          <w:rFonts w:ascii="Garamond" w:hAnsi="Garamond" w:cs="Arial"/>
          <w:color w:val="000000"/>
          <w:lang w:val="en-GB"/>
        </w:rPr>
        <w:t xml:space="preserve"> bis zur vollen sinnlichen Lebhaftigkeit in umgekehrter Richtung, von den Gedanken her, zu besetzen.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hoffe, wir sind weit davon entfernt, uns über die Tragweite dieser Erörterungen zu täuschen. Wir haben nichts anderes getan als für ein nicht zu erklärendes Phänomen einen Namen gegeben. Wir heißen es Regression, wenn sich im Traum die Vorstellung in das sinnliche Bild rückverwandelt, aus dem sie irgendeinmal hervorgegangen ist. </w:t>
      </w:r>
      <w:r w:rsidRPr="00A06A59">
        <w:rPr>
          <w:rFonts w:ascii="Garamond" w:hAnsi="Garamond" w:cs="Arial"/>
          <w:color w:val="000000"/>
        </w:rPr>
        <w:t xml:space="preserve">Auch dieser Schritt verlangt aber Rechtfertigung. Wozu die Namengebung, wenn sie uns nichts Neues lehrt? Nun ich meine, der Name »Regression« dient uns insoferne, als er die uns bekannte Tatsache an das Schema des mit einer Richtung versehenen seelischen Apparats knüpft. An dieser Stelle verlohnt es sich aber zum ersten Male, ein solches Schema aufgestellt zu haben. Denn eine andere Eigentümlichkeit der Traumbildung wird uns ohne neue Überlegung allein mit Hilfe des Schemas einsichtig werden. Wenn wir den Traumvorgang als eine Regression innerhalb des von uns angenommenen seelischen Apparats ansehen, so erklärt sich uns ohne weiteres die empirisch festgestellte Tatsache, daß alle Denkrelationen der Traumgedanken bei der Traumarbeit verlorengehen oder nur mühseligen Ausdruck finden. </w:t>
      </w:r>
      <w:r w:rsidRPr="00A06A59">
        <w:rPr>
          <w:rFonts w:ascii="Garamond" w:hAnsi="Garamond" w:cs="Arial"/>
          <w:color w:val="000000"/>
          <w:lang w:val="en-GB"/>
        </w:rPr>
        <w:t xml:space="preserve">Diese Denkrelationen sind nach unserem Schema nicht in den ersten </w:t>
      </w:r>
      <w:r w:rsidRPr="00A06A59">
        <w:rPr>
          <w:rFonts w:ascii="Garamond" w:hAnsi="Garamond" w:cs="Arial"/>
          <w:i/>
          <w:iCs/>
          <w:color w:val="000000"/>
          <w:lang w:val="en-GB"/>
        </w:rPr>
        <w:t>Er</w:t>
      </w:r>
      <w:r w:rsidRPr="00A06A59">
        <w:rPr>
          <w:rFonts w:ascii="Garamond" w:hAnsi="Garamond" w:cs="Arial"/>
          <w:color w:val="000000"/>
          <w:lang w:val="en-GB"/>
        </w:rPr>
        <w:t xml:space="preserve">-Systemen, sondern in weiter nach vorn liegenden enthalten und müssen bei der Regression bis auf die Wahrnehmungsbilder ihren Ausdruck einbüßen. </w:t>
      </w:r>
      <w:r w:rsidRPr="00A06A59">
        <w:rPr>
          <w:rFonts w:ascii="Garamond" w:hAnsi="Garamond" w:cs="Arial"/>
          <w:i/>
          <w:iCs/>
          <w:color w:val="000000"/>
          <w:lang w:val="en-GB"/>
        </w:rPr>
        <w:t>Das Gefüge der Traumgedanken wird bei der Regression in sein Rohmaterial aufgelöst.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Durch welche Veränderung wird aber die bei Tag unmögliche Regression ermöglicht? Hier wollen wir es bei Vermutungen bewenden lassen. Es muß sich wohl um Veränderungen in den Energiebesetzungen der einzelnen Systeme handeln, durch welche sie wegsamer oder unwegsamer für den Ablauf der Erregung werden; aber in jedem derartigen Apparat könnte der nämliche Effekt für den Weg der Erregung durch mehr als eine Art von solchen Abänderungen zustande gebracht werden. Man denkt natürlich sofort an den Schlafzustand und an Besetzungsänderungen, die er am sensiblen Ende des Apparats hervorruft. Bei Tag gibt es eine kontinuierlich laufende Strömung von dem -System der </w:t>
      </w:r>
      <w:r w:rsidRPr="00A06A59">
        <w:rPr>
          <w:rFonts w:ascii="Garamond" w:hAnsi="Garamond" w:cs="Arial"/>
          <w:i/>
          <w:iCs/>
          <w:color w:val="000000"/>
          <w:lang w:val="en-GB"/>
        </w:rPr>
        <w:t>W</w:t>
      </w:r>
      <w:r w:rsidRPr="00A06A59">
        <w:rPr>
          <w:rFonts w:ascii="Garamond" w:hAnsi="Garamond" w:cs="Arial"/>
          <w:color w:val="000000"/>
          <w:lang w:val="en-GB"/>
        </w:rPr>
        <w:t xml:space="preserve"> her zur Motilität; diese hat bei Nacht ein Ende und könnte einer Rückströmung der Erregung kein Hindernis mehr bereiten. </w:t>
      </w:r>
      <w:r w:rsidRPr="00A06A59">
        <w:rPr>
          <w:rFonts w:ascii="Garamond" w:hAnsi="Garamond" w:cs="Arial"/>
          <w:color w:val="000000"/>
        </w:rPr>
        <w:t xml:space="preserve">Es wäre dies die »Abschließung von der Außenwelt«, welche in der Theorie einiger Autoren die psychologischen Charaktere des Traumes aufklären soll (vgl. S. 36). </w:t>
      </w:r>
      <w:r w:rsidRPr="00A06A59">
        <w:rPr>
          <w:rFonts w:ascii="Garamond" w:hAnsi="Garamond" w:cs="Arial"/>
          <w:color w:val="000000"/>
          <w:lang w:val="en-GB"/>
        </w:rPr>
        <w:t>Indes wird man bei der Erklärung der Regression des Traums Rücksicht auf jene anderen Regressionen nehmen müssen, die in krankhaften Wachzuständen zustande kommen. Bei diesen Formen läßt natürlich die eben gegebene Auskunft im Stiche. Es kommt zur Regression trotz der ununterbrochenen sensiblen Strömung in progredienter Richtung.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Für die Halluzinationen der Hysterie, der Paranoia, die Visionen geistesnormaler Personen kann ich die Aufklärung geben, daß sie tatsächlich Regressionen entsprechen, d. h. in Bilder verwandelte Gedanken sind, und daß nur solche Gedanken diese Verwandlung erfahren, welche mit unterdrückten oder unbewußt gebliebenen Erinnerungen in intimem Zusammenhange stehen. Zum Beispiel einer meiner jüngsten Hysteriker, ein zwölfjähriger Knabe, wird am Einschlafen gehindert durch » </w:t>
      </w:r>
      <w:r w:rsidRPr="00A06A59">
        <w:rPr>
          <w:rFonts w:ascii="Garamond" w:hAnsi="Garamond" w:cs="Arial"/>
          <w:i/>
          <w:iCs/>
          <w:color w:val="000000"/>
          <w:lang w:val="en-GB"/>
        </w:rPr>
        <w:t>grüne Gesichter mit roten Augen</w:t>
      </w:r>
      <w:r w:rsidRPr="00A06A59">
        <w:rPr>
          <w:rFonts w:ascii="Garamond" w:hAnsi="Garamond" w:cs="Arial"/>
          <w:color w:val="000000"/>
          <w:lang w:val="en-GB"/>
        </w:rPr>
        <w:t xml:space="preserve">«, vor denen er sich entsetzt. Quelle dieser Erscheinung ist die unterdrückte, aber einstens bewußte Erinnerung an einen Knaben, den er vor vier Jahren oftmals sah und der ihm ein abschreckendes Bild vieler Kinderunarten bot, darunter auch jener der Onanie, aus der er sich selbst jetzt einen nachträglichen Vorwurf macht. Die Mama hatte damals bemerkt, daß der ungezogene Junge eine </w:t>
      </w:r>
      <w:r w:rsidRPr="00A06A59">
        <w:rPr>
          <w:rFonts w:ascii="Garamond" w:hAnsi="Garamond" w:cs="Arial"/>
          <w:i/>
          <w:iCs/>
          <w:color w:val="000000"/>
          <w:lang w:val="en-GB"/>
        </w:rPr>
        <w:t>grünliche</w:t>
      </w:r>
      <w:r w:rsidRPr="00A06A59">
        <w:rPr>
          <w:rFonts w:ascii="Garamond" w:hAnsi="Garamond" w:cs="Arial"/>
          <w:color w:val="000000"/>
          <w:lang w:val="en-GB"/>
        </w:rPr>
        <w:t xml:space="preserve"> Gesichtsfarbe habe und </w:t>
      </w:r>
      <w:r w:rsidRPr="00A06A59">
        <w:rPr>
          <w:rFonts w:ascii="Garamond" w:hAnsi="Garamond" w:cs="Arial"/>
          <w:i/>
          <w:iCs/>
          <w:color w:val="000000"/>
          <w:lang w:val="en-GB"/>
        </w:rPr>
        <w:t>rote</w:t>
      </w:r>
      <w:r w:rsidRPr="00A06A59">
        <w:rPr>
          <w:rFonts w:ascii="Garamond" w:hAnsi="Garamond" w:cs="Arial"/>
          <w:color w:val="000000"/>
          <w:lang w:val="en-GB"/>
        </w:rPr>
        <w:t xml:space="preserve"> (d. h. </w:t>
      </w:r>
      <w:r w:rsidRPr="00A06A59">
        <w:rPr>
          <w:rFonts w:ascii="Garamond" w:hAnsi="Garamond" w:cs="Arial"/>
          <w:i/>
          <w:iCs/>
          <w:color w:val="000000"/>
          <w:lang w:val="en-GB"/>
        </w:rPr>
        <w:t>rotgeränderte</w:t>
      </w:r>
      <w:r w:rsidRPr="00A06A59">
        <w:rPr>
          <w:rFonts w:ascii="Garamond" w:hAnsi="Garamond" w:cs="Arial"/>
          <w:color w:val="000000"/>
          <w:lang w:val="en-GB"/>
        </w:rPr>
        <w:t xml:space="preserve">) Augen. Daher das Schreckgespenst, das übrigens nur dazu bestimmt ist, ihn an eine andere Vorhersage der Mama zu erinnern, daß solche Jungen blödsinnig werden, in der Schule nichts erlernen können und früh sterben. Unser kleiner Patient läßt den einen Teil der Prophezeiung eintreffen; er kommt </w:t>
      </w:r>
      <w:r w:rsidRPr="00A06A59">
        <w:rPr>
          <w:rFonts w:ascii="Garamond" w:hAnsi="Garamond" w:cs="Arial"/>
          <w:color w:val="000000"/>
          <w:lang w:val="en-GB"/>
        </w:rPr>
        <w:lastRenderedPageBreak/>
        <w:t>im Gymnasium nicht weiter und fürchtet sich, wie das Verhör seiner ungewollten Einfälle zeigt, entsetzlich vor dem zweiten Teil. Die Behandlung hat allerdings nach kurzer Zeit den Erfolg, daß er schläft, seine Ängstlichkeit verliert und sein Schuljahr mit einem Vorzugszeugnis abschließt.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Hier kann ich die Auflösung einer Vision anreihen, die mir eine vierzigjährige Hysterika aus ihren gesunden Tagen erzählt hat. Eines Morgens schlägt sie die Augen auf und sieht ihren Bruder im Zimmer, der sich doch, wie sie weiß, in der Irrenanstalt befindet. Ihr kleiner Sohn schläft im Bette neben ihr. Damit das Kind nicht </w:t>
      </w:r>
      <w:r w:rsidRPr="00A06A59">
        <w:rPr>
          <w:rFonts w:ascii="Garamond" w:hAnsi="Garamond" w:cs="Arial"/>
          <w:i/>
          <w:iCs/>
          <w:color w:val="000000"/>
          <w:lang w:val="en-GB"/>
        </w:rPr>
        <w:t>erschrickt</w:t>
      </w:r>
      <w:r w:rsidRPr="00A06A59">
        <w:rPr>
          <w:rFonts w:ascii="Garamond" w:hAnsi="Garamond" w:cs="Arial"/>
          <w:color w:val="000000"/>
          <w:lang w:val="en-GB"/>
        </w:rPr>
        <w:t xml:space="preserve"> und in </w:t>
      </w:r>
      <w:r w:rsidRPr="00A06A59">
        <w:rPr>
          <w:rFonts w:ascii="Garamond" w:hAnsi="Garamond" w:cs="Arial"/>
          <w:i/>
          <w:iCs/>
          <w:color w:val="000000"/>
          <w:lang w:val="en-GB"/>
        </w:rPr>
        <w:t>Krämpfeverfällt,</w:t>
      </w:r>
      <w:r w:rsidRPr="00A06A59">
        <w:rPr>
          <w:rFonts w:ascii="Garamond" w:hAnsi="Garamond" w:cs="Arial"/>
          <w:color w:val="000000"/>
          <w:lang w:val="en-GB"/>
        </w:rPr>
        <w:t xml:space="preserve"> wenn es den </w:t>
      </w:r>
      <w:r w:rsidRPr="00A06A59">
        <w:rPr>
          <w:rFonts w:ascii="Garamond" w:hAnsi="Garamond" w:cs="Arial"/>
          <w:i/>
          <w:iCs/>
          <w:color w:val="000000"/>
          <w:lang w:val="en-GB"/>
        </w:rPr>
        <w:t>Onkel</w:t>
      </w:r>
      <w:r w:rsidRPr="00A06A59">
        <w:rPr>
          <w:rFonts w:ascii="Garamond" w:hAnsi="Garamond" w:cs="Arial"/>
          <w:color w:val="000000"/>
          <w:lang w:val="en-GB"/>
        </w:rPr>
        <w:t xml:space="preserve"> sieht, zieht sie die </w:t>
      </w:r>
      <w:r w:rsidRPr="00A06A59">
        <w:rPr>
          <w:rFonts w:ascii="Garamond" w:hAnsi="Garamond" w:cs="Arial"/>
          <w:i/>
          <w:iCs/>
          <w:color w:val="000000"/>
          <w:lang w:val="en-GB"/>
        </w:rPr>
        <w:t>Bettdecke</w:t>
      </w:r>
      <w:r w:rsidRPr="00A06A59">
        <w:rPr>
          <w:rFonts w:ascii="Garamond" w:hAnsi="Garamond" w:cs="Arial"/>
          <w:color w:val="000000"/>
          <w:lang w:val="en-GB"/>
        </w:rPr>
        <w:t xml:space="preserve"> über dasselbe, und dann verschwindet die Erscheinung. Die Vision ist die Umarbeitung einer Kindererinnerung der Dame, die zwar bewußt war, aber mit allem unbewußten Material in ihrem Innern in intimster Beziehung stand. Ihre Kinderfrau hatte ihr erzählt, daß die sehr früh verstorbene Mutter (sie selbst war zur Zeit des Todesfalles erst eineinhalb Jahre alt) an epileptischen oder hysterischen </w:t>
      </w:r>
      <w:r w:rsidRPr="00A06A59">
        <w:rPr>
          <w:rFonts w:ascii="Garamond" w:hAnsi="Garamond" w:cs="Arial"/>
          <w:i/>
          <w:iCs/>
          <w:color w:val="000000"/>
          <w:lang w:val="en-GB"/>
        </w:rPr>
        <w:t>Krämpfen</w:t>
      </w:r>
      <w:r w:rsidRPr="00A06A59">
        <w:rPr>
          <w:rFonts w:ascii="Garamond" w:hAnsi="Garamond" w:cs="Arial"/>
          <w:color w:val="000000"/>
          <w:lang w:val="en-GB"/>
        </w:rPr>
        <w:t xml:space="preserve"> gelitten hatte, und zwar seit einem </w:t>
      </w:r>
      <w:r w:rsidRPr="00A06A59">
        <w:rPr>
          <w:rFonts w:ascii="Garamond" w:hAnsi="Garamond" w:cs="Arial"/>
          <w:i/>
          <w:iCs/>
          <w:color w:val="000000"/>
          <w:lang w:val="en-GB"/>
        </w:rPr>
        <w:t>Schreck</w:t>
      </w:r>
      <w:r w:rsidRPr="00A06A59">
        <w:rPr>
          <w:rFonts w:ascii="Garamond" w:hAnsi="Garamond" w:cs="Arial"/>
          <w:color w:val="000000"/>
          <w:lang w:val="en-GB"/>
        </w:rPr>
        <w:t xml:space="preserve">, den ihr der Bruder (der </w:t>
      </w:r>
      <w:r w:rsidRPr="00A06A59">
        <w:rPr>
          <w:rFonts w:ascii="Garamond" w:hAnsi="Garamond" w:cs="Arial"/>
          <w:i/>
          <w:iCs/>
          <w:color w:val="000000"/>
          <w:lang w:val="en-GB"/>
        </w:rPr>
        <w:t>Onkel</w:t>
      </w:r>
      <w:r w:rsidRPr="00A06A59">
        <w:rPr>
          <w:rFonts w:ascii="Garamond" w:hAnsi="Garamond" w:cs="Arial"/>
          <w:color w:val="000000"/>
          <w:lang w:val="en-GB"/>
        </w:rPr>
        <w:t xml:space="preserve"> meiner Patientin) dadurch verursachte, daß er ihr als Gespenst mit einer </w:t>
      </w:r>
      <w:r w:rsidRPr="00A06A59">
        <w:rPr>
          <w:rFonts w:ascii="Garamond" w:hAnsi="Garamond" w:cs="Arial"/>
          <w:i/>
          <w:iCs/>
          <w:color w:val="000000"/>
          <w:lang w:val="en-GB"/>
        </w:rPr>
        <w:t>Bettdecke</w:t>
      </w:r>
      <w:r w:rsidRPr="00A06A59">
        <w:rPr>
          <w:rFonts w:ascii="Garamond" w:hAnsi="Garamond" w:cs="Arial"/>
          <w:color w:val="000000"/>
          <w:lang w:val="en-GB"/>
        </w:rPr>
        <w:t xml:space="preserve"> über dem Kopf erschien. Die Vision enthält dieselben Elemente wie die Erinnerung: Die Erscheinung des Bruders, die Bettdecke, den Schreck und seine Wirkung. Diese Elemente sind aber zu neuem Zusammenhange angeordnet und auf andere Personen übertragen. Das offenkundige Motiv der Vision, der durch sie ersetzte Gedanke, ist die Besorgnis, daß ihr kleiner Sohn, der seinem Onkel physisch so ähnlich war, das Schicksal desselben teilen könnte.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Beide hier angeführten Beispiele sind nicht frei von aller Beziehung zum Schlafzustande und darum vielleicht zu dem Beweise ungeeignet, für den ich sie brauche. Ich verweise also auf meine Analyse einer halluzinierenden Paranoika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41"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Weitere Bemerkungen über die Abwehr-Neuropsychosen. Neurologisches Zentralblatt, 1896, Nr. 10. (Ges. Schriften, Bd. I.)</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und auf die Ergebnisse meiner noch nicht veröffentlichten Studien über die Psychologie der Psychoneurosen, um zu bekräftigen, daß man in diesen Fällen von regredienter Gedankenverwandlung den Einfluß einer unterdrückten oder unbewußt gebliebenen Erinnerung, meist einer infantilen, nicht übersehen darf. Diese Erinnerung zieht gleichsam den mit ihr in Verbindung stehenden, an seinem Ausdruck durch die Zensur verhinderten Gedanken in die Regression als in jene Form der Darstellung, in der sie selbst psychisch vorhanden ist. Ich darf hier als ein Ergebnis der Studien über Hysterie anführen, daß die infantilen Szenen (seien sie nun Erinnerungen oder Phantasien), wenn es gelingt, sie bewußtzumachen, halluzinatorisch gesehen werden und erst beim Mitteilen diesen Charakter abstreifen. Es ist auch bekannt, daß selbst bei Personen, die sonst im Erinnern nicht visuell sind, die frühesten Kindererinnerungen den Charakter der sinnlichen Lebhaftigkeit bis in späte Jahre bewahren.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man sich nun erinnert, welche Rolle in den Traumgedanken den infantilen Erlebnissen oder den auf sie gegründeten Phantasien zufällt, wie häufig Stücke derselben im Trauminhalt wiederauftauchen, wie die Traumwünsche selbst häufig aus ihnen abgeleitet sind, so wird man auch für den Traum die Wahrscheinlichkeit nicht abweisen, daß die Verwandlung von Gedanken in visuelle Bilder mit die Folge der </w:t>
      </w:r>
      <w:r w:rsidRPr="00A06A59">
        <w:rPr>
          <w:rFonts w:ascii="Garamond" w:hAnsi="Garamond" w:cs="Arial"/>
          <w:i/>
          <w:iCs/>
          <w:color w:val="000000"/>
          <w:lang w:val="en-GB"/>
        </w:rPr>
        <w:t>Anziehung</w:t>
      </w:r>
      <w:r w:rsidRPr="00A06A59">
        <w:rPr>
          <w:rFonts w:ascii="Garamond" w:hAnsi="Garamond" w:cs="Arial"/>
          <w:color w:val="000000"/>
          <w:lang w:val="en-GB"/>
        </w:rPr>
        <w:t xml:space="preserve"> sein möge, welche die nach Neubelebung strebende, visuell dargestellte Erinnerung auf den nach Ausdruck ringenden, vom Bewußtsein abgeschnittenen Gedanken ausübt. Nach dieser Auffassung ließe sich der Traum auch beschreiben </w:t>
      </w:r>
      <w:r w:rsidRPr="00A06A59">
        <w:rPr>
          <w:rFonts w:ascii="Garamond" w:hAnsi="Garamond" w:cs="Arial"/>
          <w:i/>
          <w:iCs/>
          <w:color w:val="000000"/>
          <w:lang w:val="en-GB"/>
        </w:rPr>
        <w:t>als der durch Übertragung auf Rezentes veränderte Ersatz der infantilen Szene</w:t>
      </w:r>
      <w:r w:rsidRPr="00A06A59">
        <w:rPr>
          <w:rFonts w:ascii="Garamond" w:hAnsi="Garamond" w:cs="Arial"/>
          <w:color w:val="000000"/>
          <w:lang w:val="en-GB"/>
        </w:rPr>
        <w:t>. Die Infantilszene kann ihre Erneuerung nicht durchsetzen; sie muß sich mit der Wiederkehr als Traum begnügen.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Hinweis auf die gewissermaßen vorbildliche Bedeutung der Infantilszenen (oder ihrer phantastischen Wiederholungen) für den Trauminhalt macht eine der Annahmen </w:t>
      </w:r>
      <w:r w:rsidRPr="00A06A59">
        <w:rPr>
          <w:rFonts w:ascii="Garamond" w:hAnsi="Garamond" w:cs="Arial"/>
          <w:i/>
          <w:iCs/>
          <w:color w:val="000000"/>
          <w:lang w:val="en-GB"/>
        </w:rPr>
        <w:t>Scherner</w:t>
      </w:r>
      <w:r w:rsidRPr="00A06A59">
        <w:rPr>
          <w:rFonts w:ascii="Garamond" w:hAnsi="Garamond" w:cs="Arial"/>
          <w:color w:val="000000"/>
          <w:lang w:val="en-GB"/>
        </w:rPr>
        <w:t xml:space="preserve">s und seiner Anhänger über die inneren Reizquellen überflüssig. </w:t>
      </w:r>
      <w:r w:rsidRPr="00A06A59">
        <w:rPr>
          <w:rFonts w:ascii="Garamond" w:hAnsi="Garamond" w:cs="Arial"/>
          <w:i/>
          <w:iCs/>
          <w:color w:val="000000"/>
          <w:lang w:val="en-GB"/>
        </w:rPr>
        <w:t>Scherner</w:t>
      </w:r>
      <w:r w:rsidRPr="00A06A59">
        <w:rPr>
          <w:rFonts w:ascii="Garamond" w:hAnsi="Garamond" w:cs="Arial"/>
          <w:color w:val="000000"/>
          <w:lang w:val="en-GB"/>
        </w:rPr>
        <w:t xml:space="preserve"> nimmt einen Zustand von »Gesichtsreiz«, von innerer Erregung im Sehorgan an, wenn die Träume eine besondere Lebhaftigkeit ihrer visuellen Elemente oder einen besonderen Reichtum an solchen erkennen lassen. Wir brauchen uns gegen diese Annahme nicht zu sträuben, dürfen uns etwa damit begnügen, einen solchen Erregungszustand bloß für das psychische Wahrnehmungssystem des Sehorgans zu statuieren, werden aber geltend machen, daß dieser Erregungszustand ein durch die Erinnerung hergestellter, die Auffrischung der seinerzeit aktuellen Seherregung ist. Ich habe aus eigener Erfahrung kein gutes Beispiel für solchen Einfluß einer infantilen Erinnerung zur Hand; meine Träume sind überhaupt weniger reich an sinnlichen Elementen, als ich die anderer schätzen muß; aber in dem schönsten und lebhaftesten Traume dieser letzten Jahre wird es mir leicht, die halluzinatorische Deutlichkeit des Trauminhalts auf sinnliche Qualitäten rezenter und kürzlich erfolgter Eindrücke zurückzuführen. Ich habe auf S. 316 einen Traum erwähnt, in dem die tiefblaue Farbe des Wassers, die braune Farbe des Rauchs aus den Kaminen der Schiffe und das düstere Braun und Rot der Bauwerke, die ich sah, mir einen tiefen Eindruck hinterließen. Wenn irgendeiner, so mußte dieser Traum auf Gesichtsreiz gedeutet werden. Und was hatte mein Sehorgan in diesen Reizzustand versetzt? Ein rezenter Eindruck, der sich mit einer Reihe früherer zusammentat. Die Farben, die ich sah, waren zunächst die des Ankersteinbaukastens, mit dem die Kinder am Tage vor meinem </w:t>
      </w:r>
      <w:r w:rsidRPr="00A06A59">
        <w:rPr>
          <w:rFonts w:ascii="Garamond" w:hAnsi="Garamond" w:cs="Arial"/>
          <w:color w:val="000000"/>
          <w:lang w:val="en-GB"/>
        </w:rPr>
        <w:lastRenderedPageBreak/>
        <w:t>Traume ein großartiges Bauwerk aufgeführt hatten, um es meiner Bewunderung zu zeigen. Da fanden sich das nämliche düstere Rot an den großen, das Blau und Braun an den kleinen Steinen. Dazu gesellten sich die Farbeneindrücke der letzten italienischen Reisen, das schöne Blau des Isonzo und der Lagune und das Braun des Karstes. Die Farbenschönheit des Traums war nur eine Wiederholung der in der Erinnerung gesehenen.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Fassen wir zusammen, was wir über die Eigentümlichkeit des Traums, seinen Vorstellungsinhalt in sinnliche Bilder umzugießen, erfahren haben. Wir haben diesen Charakter der Traumarbeit nicht etwa erklärt, auf bekannte Gesetze der Psychologie zurückgeführt, sondern haben ihn als auf unbekannte Verhältnisse hindeutend herausgegriffen und durch den Namen des » </w:t>
      </w:r>
      <w:r w:rsidRPr="00A06A59">
        <w:rPr>
          <w:rFonts w:ascii="Garamond" w:hAnsi="Garamond" w:cs="Arial"/>
          <w:i/>
          <w:iCs/>
          <w:color w:val="000000"/>
          <w:lang w:val="en-GB"/>
        </w:rPr>
        <w:t>regredierten</w:t>
      </w:r>
      <w:r w:rsidRPr="00A06A59">
        <w:rPr>
          <w:rFonts w:ascii="Garamond" w:hAnsi="Garamond" w:cs="Arial"/>
          <w:color w:val="000000"/>
          <w:lang w:val="en-GB"/>
        </w:rPr>
        <w:t xml:space="preserve">« Charakters ausgezeichnet. Wir haben gemeint, diese Regression sei wohl überall, wo sie vorkommt, eine Wirkung des Widerstands, der sich dem Vordringen des Gedankens zum Bewußtsein auf dem normalen Wege entgegensetzt, sowie der gleichzeitigen Anziehung, welche als sinnesstark vorhandene Erinnerungen auf ihn ausüben.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42"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In einer Darstellung der Lehre von der Verdrängung wäre auszuführen, daß ein Gedanke durch das Zusammenwirken zweier ihn beeinflussenden Momente in die Verdrängung gerät. Er wird von der einen Seite (der Zensur des </w:t>
        </w:r>
        <w:r w:rsidR="00A06A59" w:rsidRPr="00A06A59">
          <w:rPr>
            <w:rStyle w:val="innerfusslink3"/>
            <w:rFonts w:ascii="Garamond" w:hAnsi="Garamond" w:cs="Arial"/>
            <w:bCs/>
            <w:i/>
            <w:iCs/>
            <w:color w:val="0000CC"/>
            <w:lang w:val="en-GB"/>
          </w:rPr>
          <w:t>Bw</w:t>
        </w:r>
        <w:r w:rsidR="00A06A59" w:rsidRPr="00A06A59">
          <w:rPr>
            <w:rStyle w:val="innerfusslink3"/>
            <w:rFonts w:ascii="Garamond" w:hAnsi="Garamond" w:cs="Arial"/>
            <w:bCs/>
            <w:color w:val="0000CC"/>
            <w:lang w:val="en-GB"/>
          </w:rPr>
          <w:t xml:space="preserve">) weggestoßen, von der anderen (dem </w:t>
        </w:r>
        <w:r w:rsidR="00A06A59" w:rsidRPr="00A06A59">
          <w:rPr>
            <w:rStyle w:val="innerfusslink3"/>
            <w:rFonts w:ascii="Garamond" w:hAnsi="Garamond" w:cs="Arial"/>
            <w:bCs/>
            <w:i/>
            <w:iCs/>
            <w:color w:val="0000CC"/>
            <w:lang w:val="en-GB"/>
          </w:rPr>
          <w:t>Ubw</w:t>
        </w:r>
        <w:r w:rsidR="00A06A59" w:rsidRPr="00A06A59">
          <w:rPr>
            <w:rStyle w:val="innerfusslink3"/>
            <w:rFonts w:ascii="Garamond" w:hAnsi="Garamond" w:cs="Arial"/>
            <w:bCs/>
            <w:color w:val="0000CC"/>
            <w:lang w:val="en-GB"/>
          </w:rPr>
          <w:t>) angezogen, also ähnlich wie man auf die Spitze der großen Pyramide gelangt. (Vgl. den Aufsatz »Die Verdrängung«, Ges. Schriften, Bd. V.)</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Beim Traume käme vielleicht zur Erleichterung der Regression hiezu das Aufhören der progredienten Tagesströmung von den Sinnesorganen, welches Hilfsmoment bei den anderen Formen von Regression durch Verstärkung der anderen Regressionsmotive wettgemacht werden muß. Wir wollen auch nicht vergessen, uns zu merken, daß bei diesen pathologischen Fällen von Regression wie im Traume der Vorgang der Energieübertragung ein anderer sein dürfte als bei den Regressionen des normalen seelischen Lebens, da durch ihn eine volle halluzinatorische Besetzung der Wahrnehmungssysteme ermöglicht wird. Was wir bei der Analyse der Traumarbeit als die »Rücksicht auf Darstellbarkeit« beschrieben haben, dürfte auf die </w:t>
      </w:r>
      <w:r w:rsidRPr="00A06A59">
        <w:rPr>
          <w:rFonts w:ascii="Garamond" w:hAnsi="Garamond" w:cs="Arial"/>
          <w:i/>
          <w:iCs/>
          <w:color w:val="000000"/>
          <w:lang w:val="en-GB"/>
        </w:rPr>
        <w:t>auswählende Anziehung</w:t>
      </w:r>
      <w:r w:rsidRPr="00A06A59">
        <w:rPr>
          <w:rFonts w:ascii="Garamond" w:hAnsi="Garamond" w:cs="Arial"/>
          <w:color w:val="000000"/>
          <w:lang w:val="en-GB"/>
        </w:rPr>
        <w:t xml:space="preserve"> der von den Traumgedanken berührten, visuell erinnerten Szenen zu beziehen sein.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Über die Regression wollen wir noch bemerken, daß sie in der Theorie der neurotischen Symptombildung eine nicht minder wichtige Rolle wie in der des Traumes spielt. Wir unterscheiden dann eine dreifache Art der Regression: </w:t>
      </w:r>
      <w:r w:rsidRPr="00A06A59">
        <w:rPr>
          <w:rFonts w:ascii="Garamond" w:hAnsi="Garamond" w:cs="Arial"/>
          <w:i/>
          <w:iCs/>
          <w:color w:val="000000"/>
          <w:lang w:val="en-GB"/>
        </w:rPr>
        <w:t>a)</w:t>
      </w:r>
      <w:r w:rsidRPr="00A06A59">
        <w:rPr>
          <w:rFonts w:ascii="Garamond" w:hAnsi="Garamond" w:cs="Arial"/>
          <w:color w:val="000000"/>
          <w:lang w:val="en-GB"/>
        </w:rPr>
        <w:t xml:space="preserve"> eine </w:t>
      </w:r>
      <w:r w:rsidRPr="00A06A59">
        <w:rPr>
          <w:rFonts w:ascii="Garamond" w:hAnsi="Garamond" w:cs="Arial"/>
          <w:i/>
          <w:iCs/>
          <w:color w:val="000000"/>
          <w:lang w:val="en-GB"/>
        </w:rPr>
        <w:t>topische</w:t>
      </w:r>
      <w:r w:rsidRPr="00A06A59">
        <w:rPr>
          <w:rFonts w:ascii="Garamond" w:hAnsi="Garamond" w:cs="Arial"/>
          <w:color w:val="000000"/>
          <w:lang w:val="en-GB"/>
        </w:rPr>
        <w:t xml:space="preserve"> im Sinne des hier entwickelten Schemas der </w:t>
      </w:r>
      <w:r w:rsidRPr="00A06A59">
        <w:rPr>
          <w:rFonts w:ascii="Garamond" w:hAnsi="Garamond" w:cs="Arial"/>
          <w:color w:val="000000"/>
        </w:rPr>
        <w:t>Ψ</w:t>
      </w:r>
      <w:r w:rsidRPr="00A06A59">
        <w:rPr>
          <w:rFonts w:ascii="Garamond" w:hAnsi="Garamond" w:cs="Arial"/>
          <w:color w:val="000000"/>
          <w:lang w:val="en-GB"/>
        </w:rPr>
        <w:t xml:space="preserve">-Systeme, </w:t>
      </w:r>
      <w:r w:rsidRPr="00A06A59">
        <w:rPr>
          <w:rFonts w:ascii="Garamond" w:hAnsi="Garamond" w:cs="Arial"/>
          <w:i/>
          <w:iCs/>
          <w:color w:val="000000"/>
          <w:lang w:val="en-GB"/>
        </w:rPr>
        <w:t>b)</w:t>
      </w:r>
      <w:r w:rsidRPr="00A06A59">
        <w:rPr>
          <w:rFonts w:ascii="Garamond" w:hAnsi="Garamond" w:cs="Arial"/>
          <w:color w:val="000000"/>
          <w:lang w:val="en-GB"/>
        </w:rPr>
        <w:t xml:space="preserve"> eine </w:t>
      </w:r>
      <w:r w:rsidRPr="00A06A59">
        <w:rPr>
          <w:rFonts w:ascii="Garamond" w:hAnsi="Garamond" w:cs="Arial"/>
          <w:i/>
          <w:iCs/>
          <w:color w:val="000000"/>
          <w:lang w:val="en-GB"/>
        </w:rPr>
        <w:t>zeitliche</w:t>
      </w:r>
      <w:r w:rsidRPr="00A06A59">
        <w:rPr>
          <w:rFonts w:ascii="Garamond" w:hAnsi="Garamond" w:cs="Arial"/>
          <w:color w:val="000000"/>
          <w:lang w:val="en-GB"/>
        </w:rPr>
        <w:t xml:space="preserve">, insofern es sich um ein Rückgreifen auf ältere psychische Bildungen handelt, und </w:t>
      </w:r>
      <w:r w:rsidRPr="00A06A59">
        <w:rPr>
          <w:rFonts w:ascii="Garamond" w:hAnsi="Garamond" w:cs="Arial"/>
          <w:i/>
          <w:iCs/>
          <w:color w:val="000000"/>
          <w:lang w:val="en-GB"/>
        </w:rPr>
        <w:t>c)</w:t>
      </w:r>
      <w:r w:rsidRPr="00A06A59">
        <w:rPr>
          <w:rFonts w:ascii="Garamond" w:hAnsi="Garamond" w:cs="Arial"/>
          <w:color w:val="000000"/>
          <w:lang w:val="en-GB"/>
        </w:rPr>
        <w:t xml:space="preserve"> eine </w:t>
      </w:r>
      <w:r w:rsidRPr="00A06A59">
        <w:rPr>
          <w:rFonts w:ascii="Garamond" w:hAnsi="Garamond" w:cs="Arial"/>
          <w:i/>
          <w:iCs/>
          <w:color w:val="000000"/>
          <w:lang w:val="en-GB"/>
        </w:rPr>
        <w:t>formale</w:t>
      </w:r>
      <w:r w:rsidRPr="00A06A59">
        <w:rPr>
          <w:rFonts w:ascii="Garamond" w:hAnsi="Garamond" w:cs="Arial"/>
          <w:color w:val="000000"/>
          <w:lang w:val="en-GB"/>
        </w:rPr>
        <w:t>, wenn primitive Ausdrucks- und Darstellungsweisen die gewohnten ersetzen. Alle drei Arten von Regression sind aber im Grunde eines und treffen in den meisten Fällen zusammen, denn das zeitlich ältere ist zugleich das formal primitive und in der psychischen Topik dem Wahrnehmungsende nähere.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können auch das Thema der Regression im Traume nicht verlassen, ohne einem Eindruck Worte zu leihen, der sich uns bereits wiederholt aufgedrängt hat und der nach einer Vertiefung in das Studium der Psychoneurosen neuerdings verstärkt zurückkehren wird: Das Träumen sei im ganzen ein Stück Regression zu den frühesten Verhältnissen des Träumers, ein Wiederbeleben seiner Kindheit, der in ihr herrschend gewesenen Triebregungen und verfügbar gewesenen Ausdrucksweisen. Hinter dieser individuellen Kindheit wird uns dann ein Einblick in die phylogenetische Kindheit, in die Entwicklung des Menschengeschlechts, versprochen, von der die des einzelnen tatsächlich eine abgekürzte, durch die zufälligen Lebensumstände beeinflußte Wiederholung ist. Wir ahnen, wie treffend die Worte Fr. </w:t>
      </w:r>
      <w:r w:rsidRPr="00A06A59">
        <w:rPr>
          <w:rFonts w:ascii="Garamond" w:hAnsi="Garamond" w:cs="Arial"/>
          <w:i/>
          <w:iCs/>
          <w:color w:val="000000"/>
          <w:lang w:val="en-GB"/>
        </w:rPr>
        <w:t>Nietzsches</w:t>
      </w:r>
      <w:r w:rsidRPr="00A06A59">
        <w:rPr>
          <w:rFonts w:ascii="Garamond" w:hAnsi="Garamond" w:cs="Arial"/>
          <w:color w:val="000000"/>
          <w:lang w:val="en-GB"/>
        </w:rPr>
        <w:t xml:space="preserve"> sind, daß sich im Traume »ein uraltes Stück Menschtum fortübt, zu dem man auf direktem Wege kaum mehr gelangen kann«, und werden zur Erwartung veranlaßt, durch die Analyse der Träume zur Kenntnis der archaischen Erbschaft des Menschen zu kommen, das seelisch Angeborene in ihm zu erkennen. Es scheint, daß Traum und Neurose uns mehr von den seelischen Altertümern bewahrt haben, als wir vermuten konnten, so daß die Psychoanalyse einen hohen Rang unter den Wissenschaften beanspruchen darf, die sich bemühen, die ältesten und dunkelsten Phasen des Menschheitsbeginnes zu rekonstruieren.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Leicht möglich, daß dieses erste Stück unserer psychologischen Verwertung des Traumes uns selbst nicht sonderlich befriedigt. Wir wollen uns damit trösten, daß wir ja genötigt sind, ins Dunkle hinaus zu bauen. Sind wir nicht völlig in die Irre geraten, so müssen wir von einem anderen Angriffspunkte her in ungefähr die nämliche Region geraten, in welcher wir uns dann vielleicht besser zurechtfinden werden.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C. Zu</w:t>
        </w:r>
        <w:bookmarkStart w:id="82" w:name="VIIC"/>
        <w:bookmarkEnd w:id="82"/>
        <w:r w:rsidRPr="00A06A59">
          <w:rPr>
            <w:rStyle w:val="Lienhypertexte"/>
            <w:rFonts w:ascii="Garamond" w:hAnsi="Garamond" w:cs="Arial"/>
            <w:b/>
            <w:bCs/>
            <w:lang w:val="en-GB"/>
          </w:rPr>
          <w:t>r Wunscherfüllung</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vorangestellte Traum vom brennenden Kinde gibt uns einen willkommenen Anlaß, Schwierigkeiten, auf welche die Lehre von der Wunscherfüllung stößt, zu würdigen. Wir haben es gewiß alle mit Befremden aufgenommen, daß der Traum nichts anderes als eine Wunscherfüllung sein soll, und nicht etwa allein wegen des Widerspruchs, der vom Angsttraum ausgeht. Nachdem uns die ersten Aufklärungen durch die Analyse belehrt hatten, hinter dem Traum verberge sich Sinn und psychischer Wert, so wäre unsere Erwartung keineswegs auf eine so eindeutige Bestimmung dieses Sinnes gefaßt gewesen. Nach der korrekten, aber kärglichen Definition des </w:t>
      </w:r>
      <w:r w:rsidRPr="00A06A59">
        <w:rPr>
          <w:rFonts w:ascii="Garamond" w:hAnsi="Garamond" w:cs="Arial"/>
          <w:i/>
          <w:iCs/>
          <w:color w:val="000000"/>
          <w:lang w:val="en-GB"/>
        </w:rPr>
        <w:t>Aristoteles</w:t>
      </w:r>
      <w:r w:rsidRPr="00A06A59">
        <w:rPr>
          <w:rFonts w:ascii="Garamond" w:hAnsi="Garamond" w:cs="Arial"/>
          <w:color w:val="000000"/>
          <w:lang w:val="en-GB"/>
        </w:rPr>
        <w:t xml:space="preserve"> ist der Traum das in den Schlafzustand – insoferne man schläft – fortgesetzte Denken. Wenn nun unser Denken bei Tage so verschiedenartige psychische Akte schafft, Urteile, Schlußfolgerungen, Widerlegungen, Erwartungen, Vorsätze u. dgl., wodurch soll es bei Nacht genötigt sein, sich allein auf die Erzeugung von Wünschen einzuschränken? Gibt es nicht vielmehr reichlich Träume, die einen andersartigen psychischen Akt in Traumgestalt verwandelt bringen, z. B. eine Besorgnis, und ist nicht gerade der vorangestellte, ganz besonders durchsichtige Traum des Vaters ein solcher? Er zieht auf den Lichtschein hin, der ihm auch schlafend ins Auge fällt, den besorgten Schluß, daß eine Kerze umgefallen sei und die Leiche in Brand gesteckt haben könne; diesen Schluß verwandelt er in einen Traum, indem er ihn in eine sinnfällige Situation und in das Präsens einkleidet. Welche Rolle spielt dabei die Wunscherfüllung, und ist denn die Übermacht des vom Wachen her sich fortsetzenden oder durch den neuen Sinneseindruck angeregten Gedankens darin irgendwie zu verkennen?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Das ist alles richtig und nötigt uns, auf die Rolle der Wunscherfüllung im Traume und auf die Bedeutung der in den Schlaf sich fortsetzenden Wachgedanken näher einzugehen.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Gerade die Wunscherfüllung hat uns bereits zu einer Scheidung der Träume in zwei Gruppen veranlaßt. Wir haben Träume gefunden, die sich offen als Wunscherfüllung gaben; andere, deren Wunscherfüllung unkenntlich, oft mit allen Mitteln versteckt war. In den letzteren erkannten wir die Leistungen der Traumzensur. Die unentstellten Wunschträume fanden wir hauptsächlich bei Kindern; </w:t>
      </w:r>
      <w:r w:rsidRPr="00A06A59">
        <w:rPr>
          <w:rFonts w:ascii="Garamond" w:hAnsi="Garamond" w:cs="Arial"/>
          <w:i/>
          <w:iCs/>
          <w:color w:val="000000"/>
          <w:lang w:val="en-GB"/>
        </w:rPr>
        <w:t>kurze</w:t>
      </w:r>
      <w:r w:rsidRPr="00A06A59">
        <w:rPr>
          <w:rFonts w:ascii="Garamond" w:hAnsi="Garamond" w:cs="Arial"/>
          <w:color w:val="000000"/>
          <w:lang w:val="en-GB"/>
        </w:rPr>
        <w:t xml:space="preserve">, offenherzige Wunschträume </w:t>
      </w:r>
      <w:r w:rsidRPr="00A06A59">
        <w:rPr>
          <w:rFonts w:ascii="Garamond" w:hAnsi="Garamond" w:cs="Arial"/>
          <w:i/>
          <w:iCs/>
          <w:color w:val="000000"/>
          <w:lang w:val="en-GB"/>
        </w:rPr>
        <w:t>schienen</w:t>
      </w:r>
      <w:r w:rsidRPr="00A06A59">
        <w:rPr>
          <w:rFonts w:ascii="Garamond" w:hAnsi="Garamond" w:cs="Arial"/>
          <w:color w:val="000000"/>
          <w:lang w:val="en-GB"/>
        </w:rPr>
        <w:t xml:space="preserve"> – ich lege Nachdruck auf diesen Vorbehalt – auch bei Erwachsenen vorzukommen.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können nun fragen, woher jedesmal der Wunsch stammt, der sich im Traume verwirklicht. Aber auf welchen Gegensatz oder auf welche Mannigfaltigkeit beziehen wir dieses »Woher«? Ich meine, auf den Gegensatz zwischen dem bewußt gewordenen Tagesleben und einer unbewußt gebliebenen psychischen Tätigkeit, die sich erst zur Nachtzeit bemerkbar machen kann. Ich finde eine dreifache Möglichkeit für die Herkunft eines Wunsches. Er kann 1)bei Tage erregt worden sein und infolge äußerer Verhältnisse keine Befriedigung gefunden haben; es erübrigt dann für die Nacht ein anerkannter und unerledigter Wunsch; 2)er kann bei Tage aufgetaucht sein, aber Verwerfung gefunden haben; es erübrigt uns dann ein unerledigter, aber unterdrückter Wunsch; oder 3)er kann außer Beziehung mit dem Tagesleben sein und zu jenen Wünschen gehören, die erst nachts aus dem Unterdrückten in uns rege werden. Wenn wir unser Schema des psychischen Apparats vornehmen, so lokalisieren wir einen Wunsch der ersten Art in das System </w:t>
      </w:r>
      <w:r w:rsidRPr="00A06A59">
        <w:rPr>
          <w:rFonts w:ascii="Garamond" w:hAnsi="Garamond" w:cs="Arial"/>
          <w:i/>
          <w:iCs/>
          <w:color w:val="000000"/>
          <w:lang w:val="en-GB"/>
        </w:rPr>
        <w:t>Vbw</w:t>
      </w:r>
      <w:r w:rsidRPr="00A06A59">
        <w:rPr>
          <w:rFonts w:ascii="Garamond" w:hAnsi="Garamond" w:cs="Arial"/>
          <w:color w:val="000000"/>
          <w:lang w:val="en-GB"/>
        </w:rPr>
        <w:t xml:space="preserve">; vom Wunsch der zweiten Art nehmen wir an, daß er aus dem System </w:t>
      </w:r>
      <w:r w:rsidRPr="00A06A59">
        <w:rPr>
          <w:rFonts w:ascii="Garamond" w:hAnsi="Garamond" w:cs="Arial"/>
          <w:i/>
          <w:iCs/>
          <w:color w:val="000000"/>
          <w:lang w:val="en-GB"/>
        </w:rPr>
        <w:t>Vbw</w:t>
      </w:r>
      <w:r w:rsidRPr="00A06A59">
        <w:rPr>
          <w:rFonts w:ascii="Garamond" w:hAnsi="Garamond" w:cs="Arial"/>
          <w:color w:val="000000"/>
          <w:lang w:val="en-GB"/>
        </w:rPr>
        <w:t xml:space="preserve"> in das </w:t>
      </w:r>
      <w:r w:rsidRPr="00A06A59">
        <w:rPr>
          <w:rFonts w:ascii="Garamond" w:hAnsi="Garamond" w:cs="Arial"/>
          <w:i/>
          <w:iCs/>
          <w:color w:val="000000"/>
          <w:lang w:val="en-GB"/>
        </w:rPr>
        <w:t>Ubw</w:t>
      </w:r>
      <w:r w:rsidRPr="00A06A59">
        <w:rPr>
          <w:rFonts w:ascii="Garamond" w:hAnsi="Garamond" w:cs="Arial"/>
          <w:color w:val="000000"/>
          <w:lang w:val="en-GB"/>
        </w:rPr>
        <w:t xml:space="preserve"> zurückgedrängt worden ist, und wenn überhaupt, nur dort sich erhalten hat; und von der Wunschregung der dritten Art glauben wir, daß sie überhaupt unfähig ist, das System des </w:t>
      </w:r>
      <w:r w:rsidRPr="00A06A59">
        <w:rPr>
          <w:rFonts w:ascii="Garamond" w:hAnsi="Garamond" w:cs="Arial"/>
          <w:i/>
          <w:iCs/>
          <w:color w:val="000000"/>
          <w:lang w:val="en-GB"/>
        </w:rPr>
        <w:t>Ubw</w:t>
      </w:r>
      <w:r w:rsidRPr="00A06A59">
        <w:rPr>
          <w:rFonts w:ascii="Garamond" w:hAnsi="Garamond" w:cs="Arial"/>
          <w:color w:val="000000"/>
          <w:lang w:val="en-GB"/>
        </w:rPr>
        <w:t xml:space="preserve"> zu überschreiten. Haben nun Wünsche aus diesen verschiedenen Quellen den gleichen Wert für den Traum, die gleiche Macht, einen Traum anzuregen?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Überschau über die Träume, die uns für die Beantwortung dieser Frage zu Gebote stehen, mahnt uns zunächst, als vierte Quelle des Traumwunsches hinzuzufügen die aktuellen, bei Nacht sich erhebenden Wunschregungen (z. B. auf den Durstreiz, das sexuelle Bedürfnis). Sodann wird uns wahrscheinlich, daß die Herkunft des Traumwunsches an seiner Fähigkeit, einen Traum anzuregen, nichts ändert. Ich erinnere an den Traum der Kleinen, welcher die bei Tage unterbrochene Seefahrt fortsetzt, und an die nebenstehenden Kinderträume; sie werden durch einen unerfüllten, aber nicht unterdrückten Wunsch vom Tage erklärt. Beispiele dafür, daß ein bei Tage unterdrückter Wunsch sich im Traume Luft macht, sind überaus reichlich nachzuweisen; ein einfachstes solcher Art könnte ich hier nachtragen. Eine etwas spottlustige Dame, deren jüngere Freundin sich verlobt hat, beantwortet tagsüber die Anfragen der Bekannten, ob sie den Bräutigam kenne und was sie von ihm halte, mit uneingeschränkten Lobsprüchen, bei denen sie ihrem Urteil Schweigen auferlegt, denn sie hätte gern die Wahrheit gesagt: </w:t>
      </w:r>
      <w:r w:rsidRPr="00A06A59">
        <w:rPr>
          <w:rFonts w:ascii="Garamond" w:hAnsi="Garamond" w:cs="Arial"/>
          <w:i/>
          <w:iCs/>
          <w:color w:val="000000"/>
          <w:lang w:val="en-GB"/>
        </w:rPr>
        <w:t>Er ist ein Dutzendmensch</w:t>
      </w:r>
      <w:r w:rsidRPr="00A06A59">
        <w:rPr>
          <w:rFonts w:ascii="Garamond" w:hAnsi="Garamond" w:cs="Arial"/>
          <w:color w:val="000000"/>
          <w:lang w:val="en-GB"/>
        </w:rPr>
        <w:t xml:space="preserve">. Nachts träumt sie, daß dieselbe Frage an sie gerichtet wird, und antwortet mit der Formel: </w:t>
      </w:r>
      <w:r w:rsidRPr="00A06A59">
        <w:rPr>
          <w:rFonts w:ascii="Garamond" w:hAnsi="Garamond" w:cs="Arial"/>
          <w:i/>
          <w:iCs/>
          <w:color w:val="000000"/>
          <w:lang w:val="en-GB"/>
        </w:rPr>
        <w:t>Bei Nachbestellungen genügt die Angabe der Nummer</w:t>
      </w:r>
      <w:r w:rsidRPr="00A06A59">
        <w:rPr>
          <w:rFonts w:ascii="Garamond" w:hAnsi="Garamond" w:cs="Arial"/>
          <w:color w:val="000000"/>
          <w:lang w:val="en-GB"/>
        </w:rPr>
        <w:t>. Endlich, daß in allen Träumen, die der Entstellung unterlegen sind, der Wunsch aus dem Unbewußten stammt und bei Tag nicht vernehmbar werden konnte, haben wir als das Ergebnis zahlreicher Analysen erfahren. So scheinen zunächst alle Wünsche für die Traumbildung von gleichem Wert und gleicher Macht.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kann hier nicht beweisen, daß es sich doch eigentlich anders verhält, aber ich neige sehr zur Annahme einer strengeren Bedingtheit des Traumwunsches. Die Kinderträume lassen ja keinen Zweifel darüber, daß ein bei Tage </w:t>
      </w:r>
      <w:r w:rsidRPr="00A06A59">
        <w:rPr>
          <w:rFonts w:ascii="Garamond" w:hAnsi="Garamond" w:cs="Arial"/>
          <w:color w:val="000000"/>
          <w:lang w:val="en-GB"/>
        </w:rPr>
        <w:lastRenderedPageBreak/>
        <w:t>unerledigter Wunsch der Traumerreger sein kann. Aber es ist nicht zu vergessen, das ist dann der Wunsch eines Kindes, eine Wunschregung von der dem Infantilen eigenen Stärke. Es ist mir durchaus zweifelhaft, ob ein am Tage nicht erfüllter Wunsch bei einem Erwachsenen genügt, um einen Traum zu schaffen. Es scheint mir vielmehr, daß wir mit der fortschreitenden Beherrschung unseres Trieblebens durch die denkende Tätigkeit auf die Bildung oder Erhaltung so intensiver Wünsche, wie das Kind sie kennt, als unnütz immer mehr verzichten. Es mögen sich dabei ja individuelle Verschiedenheiten geltend machen, der eine den infantilen Typus der seelischen Vorgänge länger bewahren als ein anderer, wie ja solche Unterschiede auch für die Abschwächung des ursprünglich deutlich visuellen Vorstellens bestehen. Aber im allgemeinen, glaube ich, wird beim Erwachsenen der unerfüllt vom Tage übriggebliebene Wunsch nicht genügen, einen Traum zu schaffen. Ich gebe gerne zu, daß die aus dem Bewußten stammende Wunschregung einen Beitrag zur Anregung des Traumes liefern wird, aber wahrscheinlich auch nicht mehr. Der Traum entstünde nicht, wenn der vorbewußte Wunsch sich nicht eine Verstärkung von anderswoher zu holen wüßte.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Aus dem Unbewußten nämlich. </w:t>
      </w:r>
      <w:r w:rsidRPr="00A06A59">
        <w:rPr>
          <w:rFonts w:ascii="Garamond" w:hAnsi="Garamond" w:cs="Arial"/>
          <w:i/>
          <w:iCs/>
          <w:color w:val="000000"/>
          <w:lang w:val="en-GB"/>
        </w:rPr>
        <w:t>Ich stelle mir vor, daß der bewußte Wunsch nur dann zum Traumerreger wird, wenn es ihm gelingt, einen gleichlautenden unbewußten zu wecken, durch den er sich verstärkt.</w:t>
      </w:r>
      <w:r w:rsidRPr="00A06A59">
        <w:rPr>
          <w:rFonts w:ascii="Garamond" w:hAnsi="Garamond" w:cs="Arial"/>
          <w:color w:val="000000"/>
          <w:lang w:val="en-GB"/>
        </w:rPr>
        <w:t xml:space="preserve"> Diese unbewußten Wünsche betrachte ich, nach den Andeutungen aus der Psychoanalyse der Neurosen, als immer rege, jederzeit bereit, sich Ausdruck zu verschaffen, wenn sich ihnen Gelegenheit bietet, sich mit einer Regung aus dem Bewußten zu alliieren, ihre große Intensität auf deren geringere zu übertragen.</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hyperlink r:id="rId243"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Sie teilen diesen Charakter der Unzerstörbarkeit mit allen anderen wirklich unbewußten, d. h. dem System </w:t>
        </w:r>
        <w:r w:rsidR="00A06A59" w:rsidRPr="00A06A59">
          <w:rPr>
            <w:rStyle w:val="innerfusslink3"/>
            <w:rFonts w:ascii="Garamond" w:hAnsi="Garamond" w:cs="Arial"/>
            <w:bCs/>
            <w:i/>
            <w:iCs/>
            <w:color w:val="0000CC"/>
            <w:lang w:val="en-GB"/>
          </w:rPr>
          <w:t>Ubw</w:t>
        </w:r>
        <w:r w:rsidR="00A06A59" w:rsidRPr="00A06A59">
          <w:rPr>
            <w:rStyle w:val="innerfusslink3"/>
            <w:rFonts w:ascii="Garamond" w:hAnsi="Garamond" w:cs="Arial"/>
            <w:bCs/>
            <w:color w:val="0000CC"/>
            <w:lang w:val="en-GB"/>
          </w:rPr>
          <w:t xml:space="preserve"> allein angehörigen seelischen Akten. Diese sind ein für allemal gebahnte Wege, die nie veröden und den Erregungsvorgang immer wieder zur Abfuhr leiten, sooft die unbewußte Erregung sie wiederbesetzt. Um mich eines Gleichnisses zu bedienen: es gibt für sie keine andere Art der Vernichtung als für die Schatten der odysseischen Unterwelt, die zum neuen Leben erwachen, sobald sie Blut getrunken haben. Die vom vorbewußten System abhängigen Vorgänge sind in ganz anderem Sinne zerstörbar. Auf diesem Unterschiede ruht die Psychotherapie der Neurosen.</w:t>
        </w:r>
      </w:hyperlink>
      <w:r w:rsidR="00A06A59" w:rsidRPr="00A06A59">
        <w:rPr>
          <w:rFonts w:ascii="Garamond" w:hAnsi="Garamond" w:cs="Arial"/>
          <w:color w:val="0000CC"/>
          <w:lang w:val="en-GB"/>
        </w:rPr>
        <w:t>.</w:t>
      </w:r>
      <w:r w:rsidR="00A06A59" w:rsidRPr="00A06A59">
        <w:rPr>
          <w:rFonts w:ascii="Garamond" w:hAnsi="Garamond" w:cs="Arial"/>
          <w:color w:val="000000"/>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muß dann zum Anschein kommen, als hätte allein der bewußte Wunsch sich im Traume realisiert; allein eine kleine Auffälligkeit in der Gestaltung dieses Traums wird uns ein Fingerzeig werden, dem mächtigen Helfer aus dem Unbewußten auf die Spur zu kommen. Diese immer regen, sozusagen unsterblichen Wünsche unseres Unbewußten, welche an die Titanen der Sage erinnern, auf denen seit Urzeiten die schweren Gebirgsmassen lasten, die einst von den siegreichen Göttern auf sie gewälzt wurden und die unter den Zuckungen ihrer Glieder noch jetzt von Zeit zu Zeit erbeben; diese in der Verdrängung befindlichen Wünsche, sage ich, sind aber selbst infantiler Herkunft, wie wir durch die psychologische Erforschung der Neurosen erfahren. Ich möchte also den früher ausgesprochenen Satz, die Herkunft des Traumwunsches sei gleichgültig, beseitigen und durch einen anderen ersetzen, der lautet: </w:t>
      </w:r>
      <w:r w:rsidRPr="00A06A59">
        <w:rPr>
          <w:rFonts w:ascii="Garamond" w:hAnsi="Garamond" w:cs="Arial"/>
          <w:i/>
          <w:iCs/>
          <w:color w:val="000000"/>
          <w:lang w:val="en-GB"/>
        </w:rPr>
        <w:t>Der Wunsch, welcher sich im Traume darstellt, muß ein infantiler sein.</w:t>
      </w:r>
      <w:r w:rsidRPr="00A06A59">
        <w:rPr>
          <w:rFonts w:ascii="Garamond" w:hAnsi="Garamond" w:cs="Arial"/>
          <w:color w:val="000000"/>
          <w:lang w:val="en-GB"/>
        </w:rPr>
        <w:t xml:space="preserve"> Er stammt dann beim Erwachsenen aus dem </w:t>
      </w:r>
      <w:r w:rsidRPr="00A06A59">
        <w:rPr>
          <w:rFonts w:ascii="Garamond" w:hAnsi="Garamond" w:cs="Arial"/>
          <w:i/>
          <w:iCs/>
          <w:color w:val="000000"/>
          <w:lang w:val="en-GB"/>
        </w:rPr>
        <w:t>Ubw</w:t>
      </w:r>
      <w:r w:rsidRPr="00A06A59">
        <w:rPr>
          <w:rFonts w:ascii="Garamond" w:hAnsi="Garamond" w:cs="Arial"/>
          <w:color w:val="000000"/>
          <w:lang w:val="en-GB"/>
        </w:rPr>
        <w:t xml:space="preserve">; beim Kind, wo es die Sonderung und Zensur zwischen </w:t>
      </w:r>
      <w:r w:rsidRPr="00A06A59">
        <w:rPr>
          <w:rFonts w:ascii="Garamond" w:hAnsi="Garamond" w:cs="Arial"/>
          <w:i/>
          <w:iCs/>
          <w:color w:val="000000"/>
          <w:lang w:val="en-GB"/>
        </w:rPr>
        <w:t>Vbw</w:t>
      </w:r>
      <w:r w:rsidRPr="00A06A59">
        <w:rPr>
          <w:rFonts w:ascii="Garamond" w:hAnsi="Garamond" w:cs="Arial"/>
          <w:color w:val="000000"/>
          <w:lang w:val="en-GB"/>
        </w:rPr>
        <w:t xml:space="preserve"> und </w:t>
      </w:r>
      <w:r w:rsidRPr="00A06A59">
        <w:rPr>
          <w:rFonts w:ascii="Garamond" w:hAnsi="Garamond" w:cs="Arial"/>
          <w:i/>
          <w:iCs/>
          <w:color w:val="000000"/>
          <w:lang w:val="en-GB"/>
        </w:rPr>
        <w:t>Ubw</w:t>
      </w:r>
      <w:r w:rsidRPr="00A06A59">
        <w:rPr>
          <w:rFonts w:ascii="Garamond" w:hAnsi="Garamond" w:cs="Arial"/>
          <w:color w:val="000000"/>
          <w:lang w:val="en-GB"/>
        </w:rPr>
        <w:t xml:space="preserve"> noch nicht gibt oder wo sie sich erst allmählich herstellt, ist es ein unerfüllter, unverdrängter Wunsch des Wachlebens. Ich weiß, diese Anschauung ist nicht allgemein zu erweisen; aber ich behaupte, sie ist häufig zu erweisen, auch wo man es nicht vermutet hätte, und ist nicht allgemein zu widerlegen.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aus dem bewußten Wachleben erübrigten Wunschregungen lasse ich also für die Traumbildung in den Hintergrund treten. Ich will ihnen keine andere Rolle zugestehen als etwa dem Material an aktuellen Sensationen während des Schlafes für den Trauminhalt (vgl. S. 161 u. ff.). Ich bleibe auf der Linie, die mir dieser Gedankengang vorschreibt, wenn ich jetzt die anderen psychischen Anregungen in Betracht ziehe, die vom Tagesleben übrigbleiben und die nicht Wünsche sind. Es kann uns gelingen, den Energiebesetzungen unseres wachen Denkens ein vorläufiges Ende zu machen, wenn wir beschließen, den Schlaf aufzusuchen. Wer das gut kann, der ist ein guter Schläfer; der erste Napoleon soll ein Muster dieser Gattung gewesen sein. Aber es gelingt uns nicht immer und nicht immer vollständig. Unerledigte Probleme, quälende Sorgen, eine Übermacht von Eindrücken setzen die Denktätigkeit auch während des Schlafes fort und unterhalten seelische Vorgänge in dem System, das wir als das Vorbewußte bezeichnet haben. Wenn uns um eine Einteilung dieser in den Schlaf sich fortsetzenden Denkregungen zu tun ist, so können wir folgende Gruppen derselben aufstellen: 1. Das während des Tages durch zufällige Abhaltung nicht zu Ende Gebrachte, 2. das durch Erlahmen unserer Denkkraft Unerledigte, das Ungelöste, 3. das bei Tag Zurückgewiesene und Unterdrückte. Dazu gesellt sich als eine mächtige 4. Gruppe, was durch die Arbeit des Vorbewußten tagsüber in unserem </w:t>
      </w:r>
      <w:r w:rsidRPr="00A06A59">
        <w:rPr>
          <w:rFonts w:ascii="Garamond" w:hAnsi="Garamond" w:cs="Arial"/>
          <w:i/>
          <w:iCs/>
          <w:color w:val="000000"/>
          <w:lang w:val="en-GB"/>
        </w:rPr>
        <w:t>Ubw</w:t>
      </w:r>
      <w:r w:rsidRPr="00A06A59">
        <w:rPr>
          <w:rFonts w:ascii="Garamond" w:hAnsi="Garamond" w:cs="Arial"/>
          <w:color w:val="000000"/>
          <w:lang w:val="en-GB"/>
        </w:rPr>
        <w:t xml:space="preserve"> regegemacht worden ist, und endlich können wir als 5. Gruppe anfügen: die indifferenten und darum unerledigt gebliebenen Eindrücke des Tages.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psychischen Intensitäten, welche durch diese Reste des Tageslebens in den Schlafzustand eingeführt werden, zumal aus der Gruppe des Ungelösten, braucht man nicht zu unterschätzen. Sicherlich ringen diese Erregungen auch zur Nachtzeit nach Ausdruck, und ebenso sicher dürfen wir annehmen, daß der Schlafzustand die gewohnte </w:t>
      </w:r>
      <w:r w:rsidRPr="00A06A59">
        <w:rPr>
          <w:rFonts w:ascii="Garamond" w:hAnsi="Garamond" w:cs="Arial"/>
          <w:color w:val="000000"/>
          <w:lang w:val="en-GB"/>
        </w:rPr>
        <w:lastRenderedPageBreak/>
        <w:t xml:space="preserve">Fortführung des Erregungsvorganges im Vorbewußten und deren Abschluß durch das Bewußtwerden unmöglich macht. Insofern wir unserer Denkvorgänge auf dem normalen Wege bewußtwerden können, auch zur Nachtzeit, insoferne schlafen wir eben nicht. Was für Veränderung der Schlafzustand im System </w:t>
      </w:r>
      <w:r w:rsidRPr="00A06A59">
        <w:rPr>
          <w:rFonts w:ascii="Garamond" w:hAnsi="Garamond" w:cs="Arial"/>
          <w:i/>
          <w:iCs/>
          <w:color w:val="000000"/>
          <w:lang w:val="en-GB"/>
        </w:rPr>
        <w:t>Vbw</w:t>
      </w:r>
      <w:r w:rsidRPr="00A06A59">
        <w:rPr>
          <w:rFonts w:ascii="Garamond" w:hAnsi="Garamond" w:cs="Arial"/>
          <w:color w:val="000000"/>
          <w:lang w:val="en-GB"/>
        </w:rPr>
        <w:t xml:space="preserve"> hervorruft, weiß ich nicht anzugeben ; </w:t>
      </w:r>
    </w:p>
    <w:p w:rsidR="00A06A59" w:rsidRPr="00A06A59" w:rsidRDefault="00B437A1" w:rsidP="00A06A59">
      <w:pPr>
        <w:shd w:val="clear" w:color="auto" w:fill="FFFFFF"/>
        <w:tabs>
          <w:tab w:val="left" w:pos="7513"/>
          <w:tab w:val="left" w:pos="9639"/>
        </w:tabs>
        <w:spacing w:before="120" w:after="120" w:line="124" w:lineRule="atLeast"/>
        <w:ind w:left="-426" w:right="-567"/>
        <w:rPr>
          <w:rStyle w:val="fusslink"/>
          <w:rFonts w:ascii="Garamond" w:hAnsi="Garamond" w:cs="Arial"/>
          <w:color w:val="0000CC"/>
          <w:lang w:val="en-GB"/>
        </w:rPr>
      </w:pPr>
      <w:hyperlink r:id="rId244"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Ein weiteres Eindringen in die Kenntnis der Verhältnisse des Schlafzustandes und der Bedingungen der Halluzination habe ich in dem Aufsatz Metapsychologische Ergänzung zur Traumlehre (Int. Zeitschr. f. PsA., 1916/18, ges. Schriften, Bd. V) versucht.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aber es ist unzweifelhaft, daß die psychologische Charakteristik des Schlafes wesentlich in den Besetzungsveränderungen gerade dieses Systems zu suchen ist, das auch den Zugang zu der im Schlaf gelähmten Motilität beherrscht. Im Gegensatze dazu wüßte ich von keinem Anlaß aus der Psychologie des Traums, der uns annehmen hieße, daß der Schlaf anders als sekundär in den Verhältnissen des Systems </w:t>
      </w:r>
      <w:r w:rsidRPr="00A06A59">
        <w:rPr>
          <w:rFonts w:ascii="Garamond" w:hAnsi="Garamond" w:cs="Arial"/>
          <w:i/>
          <w:iCs/>
          <w:color w:val="000000"/>
          <w:lang w:val="en-GB"/>
        </w:rPr>
        <w:t>Ubw</w:t>
      </w:r>
      <w:r w:rsidRPr="00A06A59">
        <w:rPr>
          <w:rFonts w:ascii="Garamond" w:hAnsi="Garamond" w:cs="Arial"/>
          <w:color w:val="000000"/>
          <w:lang w:val="en-GB"/>
        </w:rPr>
        <w:t xml:space="preserve"> etwas verändere. Der nächtlichen Erregung im </w:t>
      </w:r>
      <w:r w:rsidRPr="00A06A59">
        <w:rPr>
          <w:rFonts w:ascii="Garamond" w:hAnsi="Garamond" w:cs="Arial"/>
          <w:i/>
          <w:iCs/>
          <w:color w:val="000000"/>
          <w:lang w:val="en-GB"/>
        </w:rPr>
        <w:t>Vbw</w:t>
      </w:r>
      <w:r w:rsidRPr="00A06A59">
        <w:rPr>
          <w:rFonts w:ascii="Garamond" w:hAnsi="Garamond" w:cs="Arial"/>
          <w:color w:val="000000"/>
          <w:lang w:val="en-GB"/>
        </w:rPr>
        <w:t xml:space="preserve"> bleibt also kein anderer Weg als der, den die Wunscherregungen aus dem </w:t>
      </w:r>
      <w:r w:rsidRPr="00A06A59">
        <w:rPr>
          <w:rFonts w:ascii="Garamond" w:hAnsi="Garamond" w:cs="Arial"/>
          <w:i/>
          <w:iCs/>
          <w:color w:val="000000"/>
          <w:lang w:val="en-GB"/>
        </w:rPr>
        <w:t>Ubw</w:t>
      </w:r>
      <w:r w:rsidRPr="00A06A59">
        <w:rPr>
          <w:rFonts w:ascii="Garamond" w:hAnsi="Garamond" w:cs="Arial"/>
          <w:color w:val="000000"/>
          <w:lang w:val="en-GB"/>
        </w:rPr>
        <w:t xml:space="preserve"> nehmen; sie muß die Verstärkung aus dem </w:t>
      </w:r>
      <w:r w:rsidRPr="00A06A59">
        <w:rPr>
          <w:rFonts w:ascii="Garamond" w:hAnsi="Garamond" w:cs="Arial"/>
          <w:i/>
          <w:iCs/>
          <w:color w:val="000000"/>
          <w:lang w:val="en-GB"/>
        </w:rPr>
        <w:t>Ubw</w:t>
      </w:r>
      <w:r w:rsidRPr="00A06A59">
        <w:rPr>
          <w:rFonts w:ascii="Garamond" w:hAnsi="Garamond" w:cs="Arial"/>
          <w:color w:val="000000"/>
          <w:lang w:val="en-GB"/>
        </w:rPr>
        <w:t xml:space="preserve"> suchen und die Umwege der unbewußten Erregungen mitmachen. Wie stellen sich aber die vorbewußten Tagesreste zum Traume? Es ist kein Zweifel, daß sie reichlich in den Traum eindringen, daß sie den Trauminhalt benützen, um sich auch zur Nachtzeit dem Bewußtsein aufzudrängen; ja sie dominieren gelegentlich den Trauminhalt, nötigen ihn, die Tagesarbeit fortzusetzen; es ist auch sicher, daß die Tagesreste jeden anderen Charakter ebensowohl haben können wie den der Wünsche; aber es ist dabei höchst lehrreich und für die Lehre von der Wunscherfüllung geradezu entscheidend zu sehen, welcher Bedingung sie sich fügen müssen, um in den Traum Aufnahme zu finden.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Greifen wir eines der früheren Traumbeispiele heraus, z. B. den Traum, der mir Freund Otto mit den Zeichen der </w:t>
      </w:r>
      <w:r w:rsidRPr="00A06A59">
        <w:rPr>
          <w:rFonts w:ascii="Garamond" w:hAnsi="Garamond" w:cs="Arial"/>
          <w:i/>
          <w:iCs/>
          <w:color w:val="000000"/>
          <w:lang w:val="en-GB"/>
        </w:rPr>
        <w:t>Basedow</w:t>
      </w:r>
      <w:r w:rsidRPr="00A06A59">
        <w:rPr>
          <w:rFonts w:ascii="Garamond" w:hAnsi="Garamond" w:cs="Arial"/>
          <w:color w:val="000000"/>
          <w:lang w:val="en-GB"/>
        </w:rPr>
        <w:t xml:space="preserve">schen Krankheit erscheinen läßt (S. 186.) Ich hatte am Tage eine Besorgnis gebildet, zu der mir das Aussehen Ottos Anlaß gab, und die Sorge ging mir nahe, wie alles, was diese Person betrifft. Sie folgte mir auch, darf ich annehmen, in den Schlaf. Wahrscheinlich wollte ich ergründen, was ihm fehlen könnte. Zur Nachtzeit fand diese Sorge Ausdruck in dem Traume, den ich mitgeteilt habe, dessen Inhalt erstens unsinnig war und zweitens keiner Wunscherfüllung entsprach. Ich begann aber nachzuforschen, woher der unangemessene Ausdruck der bei Tag verspürten Besorgnis rühre, und durch die Analyse fand ich einen Zusammenhang, indem ich ihn mit einem BaronL., mich selbst aber mit ProfessorR. identifizierte. Warum ich gerade diesen Ersatz des Tagesgedanken hatte wählen müssen, dafür gab es nur eine Erklärung. Zu der Identifizierung mit ProfessorR. mußte ich im </w:t>
      </w:r>
      <w:r w:rsidRPr="00A06A59">
        <w:rPr>
          <w:rFonts w:ascii="Garamond" w:hAnsi="Garamond" w:cs="Arial"/>
          <w:i/>
          <w:iCs/>
          <w:color w:val="000000"/>
          <w:lang w:val="en-GB"/>
        </w:rPr>
        <w:t>Ubw</w:t>
      </w:r>
      <w:r w:rsidRPr="00A06A59">
        <w:rPr>
          <w:rFonts w:ascii="Garamond" w:hAnsi="Garamond" w:cs="Arial"/>
          <w:color w:val="000000"/>
          <w:lang w:val="en-GB"/>
        </w:rPr>
        <w:t xml:space="preserve"> immer bereit sein, da durch sie einer der unsterblichen Kinderwünsche, der Wunsch der Größensucht, sich erfüllte. Häßliche, der Verwerfung bei Tag sichere Gedanken gegen meinen Freund hatten die Gelegenheit benützt, sich zur Darstellung mit einzuschleichen, aber auch die Sorge des Tages war zu einer Art von Ausdruck durch einen Ersatz im Trauminhalt gekommen. Der Tagesgedanke, der an sich kein Wunsch, sondern im Gegenteil eine Besorgnis war, mußte sich auf irgendeinem Wege die Anknüpfung an einen infantilen, nun unbewußten und unterdrückten Wunsch verschaffen, der ihn dann, wenn auch gehörig zugerichtet, für das Bewußtsein »entstehen« ließ. Je dominierender diese Sorge war, desto gewaltsamer durfte die herzustellende Verbindung sein; zwischen dem Inhalt des Wunsches und dem der Besorgnis brauchte ein Zusammenhang gar nicht zu bestehen und bestand auch keiner in unserem Beispiele.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Vielleicht ist es zweckmäßig, dieselbe Frage auch in der Form einer Untersuchung zu behandeln, wie sich der Traum benimmt, wenn ihm in den Traumgedanken ein Material geboten wird, das einer Wunscherfüllung durchwegs widerspricht, also begründete Sorgen, schmerzliche Erwägungen, peinliche Einsichten. Die Mannigfaltigkeit der möglichen Erfolge läßt sich dann folgenderart gliedern: </w:t>
      </w:r>
      <w:r w:rsidRPr="00A06A59">
        <w:rPr>
          <w:rFonts w:ascii="Garamond" w:hAnsi="Garamond" w:cs="Arial"/>
          <w:i/>
          <w:iCs/>
          <w:color w:val="000000"/>
          <w:lang w:val="en-GB"/>
        </w:rPr>
        <w:t>a)</w:t>
      </w:r>
      <w:r w:rsidRPr="00A06A59">
        <w:rPr>
          <w:rFonts w:ascii="Garamond" w:hAnsi="Garamond" w:cs="Arial"/>
          <w:color w:val="000000"/>
          <w:lang w:val="en-GB"/>
        </w:rPr>
        <w:t xml:space="preserve">Es gelingt der Traumarbeit, alle peinlichen Vorstellungen durch gegenteilige zu ersetzen und die dazugehörigen unlustigen Affekte zu unterdrücken. Das ergibt dann einen reinen Befriedigungstraum, eine greifbare »Wunscherfüllung«, an der weiter nichts zu erörtern scheint, </w:t>
      </w:r>
      <w:r w:rsidRPr="00A06A59">
        <w:rPr>
          <w:rFonts w:ascii="Garamond" w:hAnsi="Garamond" w:cs="Arial"/>
          <w:i/>
          <w:iCs/>
          <w:color w:val="000000"/>
          <w:lang w:val="en-GB"/>
        </w:rPr>
        <w:t>b)</w:t>
      </w:r>
      <w:r w:rsidRPr="00A06A59">
        <w:rPr>
          <w:rFonts w:ascii="Garamond" w:hAnsi="Garamond" w:cs="Arial"/>
          <w:color w:val="000000"/>
          <w:lang w:val="en-GB"/>
        </w:rPr>
        <w:t>Die peinlichen Vorstellungen gelangen, mehr oder weniger abgeändert, aber doch gut kenntlich, in den manifesten Trauminhalt. Dies ist der Fall, der die Zweifel an der Wunschtheorie des Traumes weckt und weiterer Untersuchung bedarf. Solche Träume peinlichen Inhalts können entweder indifferent empfunden werden oder auch den ganzen peinlichen Affekt mitbringen, der durch ihren Vorstellungsinhalt gerechtfertigt scheint, oder selbst unter Angstentwicklung zum Erwachen führen.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Analyse weist dann nach, daß auch diese Unlustträume Wunscherfüllungen sind. Ein unbewußter und verdrängter Wunsch, dessen Erfüllung vom Ich des Träumers nicht anders als peinlich empfunden werden könnte, hat sich der Gelegenheit bedient, die ihm durch das Besetztbleiben der peinlichen Tagesreste geboten wird, hat ihnen seine Unterstützung geliehen und sie durch diese traumfähig gemacht. Aber während im Falle </w:t>
      </w:r>
      <w:r w:rsidRPr="00A06A59">
        <w:rPr>
          <w:rFonts w:ascii="Garamond" w:hAnsi="Garamond" w:cs="Arial"/>
          <w:i/>
          <w:iCs/>
          <w:color w:val="000000"/>
          <w:lang w:val="en-GB"/>
        </w:rPr>
        <w:t>a</w:t>
      </w:r>
      <w:r w:rsidRPr="00A06A59">
        <w:rPr>
          <w:rFonts w:ascii="Garamond" w:hAnsi="Garamond" w:cs="Arial"/>
          <w:color w:val="000000"/>
          <w:lang w:val="en-GB"/>
        </w:rPr>
        <w:t xml:space="preserve"> der unbewußte Wunsch mit dem bewußten zusammenfiel, wird im Falle </w:t>
      </w:r>
      <w:r w:rsidRPr="00A06A59">
        <w:rPr>
          <w:rFonts w:ascii="Garamond" w:hAnsi="Garamond" w:cs="Arial"/>
          <w:i/>
          <w:iCs/>
          <w:color w:val="000000"/>
          <w:lang w:val="en-GB"/>
        </w:rPr>
        <w:t>b</w:t>
      </w:r>
      <w:r w:rsidRPr="00A06A59">
        <w:rPr>
          <w:rFonts w:ascii="Garamond" w:hAnsi="Garamond" w:cs="Arial"/>
          <w:color w:val="000000"/>
          <w:lang w:val="en-GB"/>
        </w:rPr>
        <w:t xml:space="preserve"> der Zwiespalt zwischen dem Unbewußten und dem Bewußten dem Verdrängten und dem Ich bloßgelegt, und die Situation des Märchens von den drei Wünschen, welche die Fee dem Ehepaar freigibt, verwirklicht (s. unten S. 397). Die Befriedigung über die Erfüllung des verdrängten Wunsches kann </w:t>
      </w:r>
      <w:r w:rsidRPr="00A06A59">
        <w:rPr>
          <w:rFonts w:ascii="Garamond" w:hAnsi="Garamond" w:cs="Arial"/>
          <w:color w:val="000000"/>
          <w:lang w:val="en-GB"/>
        </w:rPr>
        <w:lastRenderedPageBreak/>
        <w:t>so groß ausfallen, daß sie den an den Tagesresten hängenden peinlichen Affekten das Gleichgewicht hält; der Traum ist dann in seinem Gefühlston indifferent, obwohl er einerseits die Erfüllung eines Wunsches, anderseits die einer Befürchtung ist. Oder es kann geschehen, daß das schlafende Ich einen noch ausgiebigeren Anteil an der Traumbildung nimmt, daß es auf die zustande gekommene Befriedigung des verdrängten Wunsches mit einer heftigen Empörung reagiert und selbst dem Traume unter Angst ein Ende macht. Es ist also nicht schwer zu erkennen, daß die Unlust- und die Angstträume im Sinne der Theorie ebensosehr Wunscherfüllungen sind wie die glatten Befriedigungsträume.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Unlustträume können auch » </w:t>
      </w:r>
      <w:r w:rsidRPr="00A06A59">
        <w:rPr>
          <w:rFonts w:ascii="Garamond" w:hAnsi="Garamond" w:cs="Arial"/>
          <w:i/>
          <w:iCs/>
          <w:color w:val="000000"/>
          <w:lang w:val="en-GB"/>
        </w:rPr>
        <w:t>Strafträume</w:t>
      </w:r>
      <w:r w:rsidRPr="00A06A59">
        <w:rPr>
          <w:rFonts w:ascii="Garamond" w:hAnsi="Garamond" w:cs="Arial"/>
          <w:color w:val="000000"/>
          <w:lang w:val="en-GB"/>
        </w:rPr>
        <w:t xml:space="preserve">« sein. Es ist zuzugeben, daß man durch ihre Anerkennung zur Theorie des Traums in gewissem Sinne etwas Neues hinzufügt. Was durch sie erfüllt wird, ist gleichfalls ein unbewußter Wunsch, der nach einer Bestrafung des Träumers für eine verdrängte unerlaubte Wunschregung. Insofern fügen sich die Träume der hier vertretenen Forderung, daß die Triebkraft zur Traumbildung von einem dem Unbewußten angehörigen Wunsche beigestellt werden mußte. Eine feinere psychologische Zergliederung läßt aber den Unterschied von den anderen Wunschträumen erkennen. In den Fällen der Gruppe </w:t>
      </w:r>
      <w:r w:rsidRPr="00A06A59">
        <w:rPr>
          <w:rFonts w:ascii="Garamond" w:hAnsi="Garamond" w:cs="Arial"/>
          <w:i/>
          <w:iCs/>
          <w:color w:val="000000"/>
          <w:lang w:val="en-GB"/>
        </w:rPr>
        <w:t>b</w:t>
      </w:r>
      <w:r w:rsidRPr="00A06A59">
        <w:rPr>
          <w:rFonts w:ascii="Garamond" w:hAnsi="Garamond" w:cs="Arial"/>
          <w:color w:val="000000"/>
          <w:lang w:val="en-GB"/>
        </w:rPr>
        <w:t xml:space="preserve"> gehörte der unbewußte, traumbildende Wunsch dem Verdrängten an, bei den Strafträumen ist es gleichfalls ein unbewußter Wunsch, den wir aber nicht dem Verdrängten, sondern dem »Ich« zurechnen müssen. Die Strafträume weisen also auf die Möglichkeit einer noch weiter gehenden Beteiligung des Ichs an der Traumbildung hin. Der Mechanismus der Traumbildung wird überhaupt weit durchsichtiger, wenn man anstatt des Gegensatzes von »Bewußt« und »Unbewußt« den von »Ich« und »Verdrängt« einsetzt. Dies kann nicht ohne Rücksicht auf die Vorgänge bei der Psychoneurose geschehen und ist darum in diesem Buche nicht durchgeführt worden. Ich bemerke nur, daß die Strafträume nicht allgemein an die Bedingung peinlicher Tagesreste geknüpft sind. Sie entstehen vielmehr am leichtesten unter der gegensätzlichen Voraussetzung, daß die Tagesreste Gedanken befriedigender Natur sind, die aber unerlaubte Befriedigungen ausdrücken. Von diesen Gedanken gelangt dann nichts in den manifesten Traum als ihr direkter Gegensatz, ähnlich wie es in den Träumen der Gruppe </w:t>
      </w:r>
      <w:r w:rsidRPr="00A06A59">
        <w:rPr>
          <w:rFonts w:ascii="Garamond" w:hAnsi="Garamond" w:cs="Arial"/>
          <w:i/>
          <w:iCs/>
          <w:color w:val="000000"/>
          <w:lang w:val="en-GB"/>
        </w:rPr>
        <w:t>a</w:t>
      </w:r>
      <w:r w:rsidRPr="00A06A59">
        <w:rPr>
          <w:rFonts w:ascii="Garamond" w:hAnsi="Garamond" w:cs="Arial"/>
          <w:color w:val="000000"/>
          <w:lang w:val="en-GB"/>
        </w:rPr>
        <w:t xml:space="preserve"> der Fall war. Der wesentliche Charakter der Strafträume bliebe also, daß bei ihnen nicht der unbewußte Wunsch aus dem Verdrängten (dem System </w:t>
      </w:r>
      <w:r w:rsidRPr="00A06A59">
        <w:rPr>
          <w:rFonts w:ascii="Garamond" w:hAnsi="Garamond" w:cs="Arial"/>
          <w:i/>
          <w:iCs/>
          <w:color w:val="000000"/>
          <w:lang w:val="en-GB"/>
        </w:rPr>
        <w:t>Ubw</w:t>
      </w:r>
      <w:r w:rsidRPr="00A06A59">
        <w:rPr>
          <w:rFonts w:ascii="Garamond" w:hAnsi="Garamond" w:cs="Arial"/>
          <w:color w:val="000000"/>
          <w:lang w:val="en-GB"/>
        </w:rPr>
        <w:t xml:space="preserve">) zum Traumbildner wird, sondern der gegen ihn reagierende, dem Ich angehörige, wenn auch unbewußte (d. h. vorbewußte) Strafwünsch </w:t>
      </w:r>
      <w:hyperlink r:id="rId245" w:anchor="#" w:history="1">
        <w:r w:rsidRPr="00A06A59">
          <w:rPr>
            <w:rStyle w:val="fusslink"/>
            <w:rFonts w:ascii="Garamond" w:hAnsi="Garamond" w:cs="Arial"/>
            <w:bCs/>
            <w:color w:val="0000CC"/>
            <w:lang w:val="en-GB"/>
          </w:rPr>
          <w:t>[Fußnote]</w:t>
        </w:r>
        <w:r w:rsidRPr="00A06A59">
          <w:rPr>
            <w:rStyle w:val="innerfusslink3"/>
            <w:rFonts w:ascii="Garamond" w:hAnsi="Garamond" w:cs="Arial"/>
            <w:bCs/>
            <w:color w:val="0000CC"/>
            <w:lang w:val="en-GB"/>
          </w:rPr>
          <w:t xml:space="preserve">Hier ist die Stelle für die Einfügung des später von der Psychoanalyse erkannten </w:t>
        </w:r>
        <w:r w:rsidRPr="00A06A59">
          <w:rPr>
            <w:rStyle w:val="innerfusslink3"/>
            <w:rFonts w:ascii="Garamond" w:hAnsi="Garamond" w:cs="Arial"/>
            <w:bCs/>
            <w:i/>
            <w:iCs/>
            <w:color w:val="0000CC"/>
            <w:lang w:val="en-GB"/>
          </w:rPr>
          <w:t>Über-Ichs.</w:t>
        </w:r>
      </w:hyperlink>
      <w:r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Ich will einiges von dem hier Vorgebrachten an einem eigenen Traum erläutern, vor allem die Art, wie die Traumarbeit mit einem Tagesrest peinlicher Erwartungen verfährt: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»Undeutlicher Anfang. </w:t>
      </w:r>
      <w:r w:rsidRPr="00A06A59">
        <w:rPr>
          <w:rFonts w:ascii="Garamond" w:hAnsi="Garamond" w:cs="Arial"/>
          <w:i/>
          <w:iCs/>
          <w:color w:val="000000"/>
          <w:lang w:val="en-GB"/>
        </w:rPr>
        <w:t>Ich sage meiner Frau, ich habe eine Nachricht für sie, etwas ganz Besonderes. Sie erschrickt und will nichts hören. Ich versichere ihr, im Gegenteil, etwas, was sie sehr freuen wird, undbeginne zu erzählen, daß das Offizierskorps unseres Sohnes eine Summe Geldes geschickt hat (5000 K?), ... etwas von Anerkennung ... Verteilung ... Dabei bin ich mit ihr in ein kleines Zimmer gegangen, wie eine Vorratskammer, um etwas herauszusuchen. Plötzlich sehe ich meinen Sohn erscheinen, er ist nicht in Uniform, sondern eher im enganliegenden Sportkostüm (wie ein Seehund?), mit kleiner Kappe. Er steigt auf einen Korb, der sich seitlich neben einem Kasten befindet, wie um etwas auf diesen Kasten zu legen. Ich rufe ihn an; keine Antwort. Mir scheint, er hat das Gesicht oder die Stirn verbunden, er richtet sich etwas im Munde, schiebt sich etwas ein. Auch haben seine Haare einen grauen Schimmer. Ich denke: Sollte er so erschöpft sein? Und hat er falsche Zähne?Ehe ich ihn wieder anrufen kann, erwache ich ohne Angst, aber mit Herzklopfen. Meine Nachtuhr zeigt die Stunde 2½.«</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Mitteilung einer vollständigen Analyse ist auch diesmal unmöglich. Ich beschränke mich auf die Hervorhebung einiger entscheidender Punkte. Den Anlaß zum Traum hatten peinigende Erwartungen des Tages gegeben; von dem an der Front Kämpfenden waren wieder einmal Nachrichten durch länger als eine Woche ausgeblieben. Es ist leicht zu ersehen, daß im Trauminhalt die Überzeugung Ausdruck findet, daß er verwundet oder gefallen ist. Zu Anfang des Traumes merkt man das energische Bemühen, die peinlichen Gedanken durch ihr Gegenteil zu ersetzen. Ich habe etwas Hocherfreuliches mitzuteilen, etwas von Geldsendung, Anerkennung, Verteilung. (Die Geldsumme stammt aus einem erfreulichen Vorkommnis in der ärztlichen Praxis, will also überhaupt vom Thema ablenken.) Aber diese Bemühung mißlingt. Die Mutter ahnt etwas Schreckliches und will mich nicht anhören. Die Verkleidungen sind auch zu dünn, überall schimmert die Beziehung zu dem, was unterdrückt werden soll, durch. Wenn der Sohn gefallen ist, werden seine Kameraden seine Habseligkeiten zurückschicken; ich werde, was er hinterläßt, an die Geschwister und andere zu verteilen haben; Anerkennungen werden häufig dem Offizier nach seinem »Heldentod« verliehen. Der Traum geht also daran, direkt zum Ausdruck zu bringen, was er zunächst verleugnen wollte, wobei sich die wunscherfüllende Tendenz noch durch Entstellungen bemerkbar macht. (Der Wechsel der Örtlichkeit im Traume ist wohl als Schwellensymbolik nach </w:t>
      </w:r>
      <w:r w:rsidRPr="00A06A59">
        <w:rPr>
          <w:rFonts w:ascii="Garamond" w:hAnsi="Garamond" w:cs="Arial"/>
          <w:i/>
          <w:iCs/>
          <w:color w:val="000000"/>
          <w:lang w:val="en-GB"/>
        </w:rPr>
        <w:t>Silberer</w:t>
      </w:r>
      <w:r w:rsidRPr="00A06A59">
        <w:rPr>
          <w:rFonts w:ascii="Garamond" w:hAnsi="Garamond" w:cs="Arial"/>
          <w:color w:val="000000"/>
          <w:lang w:val="en-GB"/>
        </w:rPr>
        <w:t xml:space="preserve"> zu verstehen.) Wir ahnen freilich nicht, was ihm die dazu erforderliche Triebkraft leiht. Der Sohn erscheint aber nicht als einer, der »fällt«, sondern als einer, der »steigt«. Er ist ja auch ein kühner Bergsteiger gewesen. Er ist nicht in Uniform, sondern im Sportkostüm, d. h. an die Stelle des jetzt gefürchteten Unfalles ist ein früherer getreten, den er im Sport erlitten, als er auf einer Skitour fiel und sich den </w:t>
      </w:r>
      <w:r w:rsidRPr="00A06A59">
        <w:rPr>
          <w:rFonts w:ascii="Garamond" w:hAnsi="Garamond" w:cs="Arial"/>
          <w:color w:val="000000"/>
          <w:lang w:val="en-GB"/>
        </w:rPr>
        <w:lastRenderedPageBreak/>
        <w:t>Oberschenkel brach. Aber die Art, wie er kostümiert ist, so daß er einem Seehund gleicht, erinnert sofort an einen Jüngeren, an unseren kleinen drolligen Enkel; das graue Haar mahnt an dessen vom Kriege arg hergenommenen Vater, unseren Schwiegersohn. Was soll das? Aber genug damit; die Örtlichkeit eine Speisekammer, der Kasten, von dem er sich etwas holen will (etwas darauflegen im Traum), das sind unverkennbare Anspielungen an einen eigenen Unfall, den ich mir zugezogen, als ich über zwei und noch nicht drei Jahre alt war. Ich stieg in der Speisekammer auf einen Schemel, um mir etwas Gutes zu holen, was auf einem Kasten oder Tisch lag. Der Schemel kippte um und traf mich mit seiner Kante hinter dem Unterkiefer. Ich hätte mir auch alle Zähne ausschlagen können. Eine Mahnung meldet sich dabei: Das geschieht dir recht, wie eine feindselige Regung gegen den wackeren Krieger. Die Vertiefung der Analyse läßt mich dann die versteckte Regung finden, die sich an dem gefürchteten Unfall des Sohnes befriedigen könnte. Es ist der Neid gegen die Jugend, den der Gealterte im Leben gründlich erstickt zu haben glaubt, und es ist unverkennbar, daß gerade die Stärke der schmerzlichen Ergriffenheit, wenn ein solches Unglück sich wirklich ereignete, zu ihrer Linderung eine solche verdrängte Wunscherfüllung aufspürt.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kann es nun scharf bezeichnen, was der unbewußte Wunsch für den Traum bedeutet. Ich will zugeben, daß es eine ganze Klasse von Träumen gibt, zu denen die </w:t>
      </w:r>
      <w:r w:rsidRPr="00A06A59">
        <w:rPr>
          <w:rFonts w:ascii="Garamond" w:hAnsi="Garamond" w:cs="Arial"/>
          <w:i/>
          <w:iCs/>
          <w:color w:val="000000"/>
          <w:lang w:val="en-GB"/>
        </w:rPr>
        <w:t>Anregung</w:t>
      </w:r>
      <w:r w:rsidRPr="00A06A59">
        <w:rPr>
          <w:rFonts w:ascii="Garamond" w:hAnsi="Garamond" w:cs="Arial"/>
          <w:color w:val="000000"/>
          <w:lang w:val="en-GB"/>
        </w:rPr>
        <w:t xml:space="preserve"> vorwiegend oder selbst ausschließlich aus den Resten des Tageslebens stammt, und ich meine, selbst mein Wunsch, endlich einmal Professor extraordinarius zu werden, hätte mich jene Nacht in Ruhe schlafen lassen können, wäre nicht die Sorge um die Gesundheit meines Freundes vom Tage her noch rührig gewesen. Aber diese Sorge hätte noch keinen Traum gemacht; die </w:t>
      </w:r>
      <w:r w:rsidRPr="00A06A59">
        <w:rPr>
          <w:rFonts w:ascii="Garamond" w:hAnsi="Garamond" w:cs="Arial"/>
          <w:i/>
          <w:iCs/>
          <w:color w:val="000000"/>
          <w:lang w:val="en-GB"/>
        </w:rPr>
        <w:t>Triebkraft</w:t>
      </w:r>
      <w:r w:rsidRPr="00A06A59">
        <w:rPr>
          <w:rFonts w:ascii="Garamond" w:hAnsi="Garamond" w:cs="Arial"/>
          <w:color w:val="000000"/>
          <w:lang w:val="en-GB"/>
        </w:rPr>
        <w:t xml:space="preserve">, die der Traum bedurfte, mußte von einem Wunsche beigesteuert werden; es war Sache der Besorgnis, sich einen solchen Wunsch als Triebkraft des Traumes zu verschaffen. Um es in einem Gleichnis zu sagen: Es ist sehr wohl möglich, daß ein Tagesgedanke die Rolle </w:t>
      </w:r>
      <w:r w:rsidRPr="00A06A59">
        <w:rPr>
          <w:rFonts w:ascii="Garamond" w:hAnsi="Garamond" w:cs="Arial"/>
          <w:i/>
          <w:iCs/>
          <w:color w:val="000000"/>
          <w:lang w:val="en-GB"/>
        </w:rPr>
        <w:t>des Unternehmers</w:t>
      </w:r>
      <w:r w:rsidRPr="00A06A59">
        <w:rPr>
          <w:rFonts w:ascii="Garamond" w:hAnsi="Garamond" w:cs="Arial"/>
          <w:color w:val="000000"/>
          <w:lang w:val="en-GB"/>
        </w:rPr>
        <w:t xml:space="preserve"> für den Traum spielt; aber der Unternehmer, der, wie man sagt, die Idee hat und den Drang, sie in Tat umzusetzen, kann doch ohne Kapital nichts machen; er braucht einen </w:t>
      </w:r>
      <w:r w:rsidRPr="00A06A59">
        <w:rPr>
          <w:rFonts w:ascii="Garamond" w:hAnsi="Garamond" w:cs="Arial"/>
          <w:i/>
          <w:iCs/>
          <w:color w:val="000000"/>
          <w:lang w:val="en-GB"/>
        </w:rPr>
        <w:t>Kapitalisten</w:t>
      </w:r>
      <w:r w:rsidRPr="00A06A59">
        <w:rPr>
          <w:rFonts w:ascii="Garamond" w:hAnsi="Garamond" w:cs="Arial"/>
          <w:color w:val="000000"/>
          <w:lang w:val="en-GB"/>
        </w:rPr>
        <w:t xml:space="preserve">, der den Aufwand bestreitet, und dieser Kapitalist, der den psychischen Aufwand für den Traum beistellt, ist alle Male und unweigerlich, was immer auch der Tagesgedanke sein mag, </w:t>
      </w:r>
      <w:r w:rsidRPr="00A06A59">
        <w:rPr>
          <w:rFonts w:ascii="Garamond" w:hAnsi="Garamond" w:cs="Arial"/>
          <w:i/>
          <w:iCs/>
          <w:color w:val="000000"/>
          <w:lang w:val="en-GB"/>
        </w:rPr>
        <w:t>ein Wunsch aus dem Unbewußten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Andere Male ist der Kapitalist selbst der Unternehmer; das ist für den Traum sogar der gewöhnlichere Fall. Es ist durch die Tagesarbeit ein unbewußter Wunsch angeregt worden, und der schafft nun den Traum. Auch für alle anderen Möglichkeiten des hier als Beispiel verwendeten wirtschaftlichen Verhältnisses bleiben die Traumvorgänge parallel; der Unternehmer kann selbst eine Kleinigkeit an Kapital mitbringen; es können mehrere Unternehmer sich an denselben Kapitalisten wenden; es können mehrere Kapitalisten gemeinsam das für die Unternehmer Erforderliche zusammensteuern. So gibt es auch Träume, die von mehr als einem Traumwunsche getragen werden, und dergleichen Variationen mehr, die leicht zu übersehen sind und uns kein Interesse mehr bieten. Was an dieser Erörterung über den Traumwunsch noch unvollständig ist, werden wir erst später ergänzen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w:t>
      </w:r>
      <w:r w:rsidRPr="00A06A59">
        <w:rPr>
          <w:rFonts w:ascii="Garamond" w:hAnsi="Garamond" w:cs="Arial"/>
          <w:i/>
          <w:iCs/>
          <w:color w:val="000000"/>
          <w:lang w:val="en-GB"/>
        </w:rPr>
        <w:t>Tertium comparationis</w:t>
      </w:r>
      <w:r w:rsidRPr="00A06A59">
        <w:rPr>
          <w:rFonts w:ascii="Garamond" w:hAnsi="Garamond" w:cs="Arial"/>
          <w:color w:val="000000"/>
          <w:lang w:val="en-GB"/>
        </w:rPr>
        <w:t xml:space="preserve"> der hier gebrauchten Gleichnisse, die in zugemessener Menge zur freien Verfügung gestellte Quantität, läßt noch feinere Verwendung zur Beleuchtung der Traumstruktur zu. In den meisten Träumen läßt sich ein mit besonderer sinnlicher Intensität ausgestattetes Zentrum erkennen, wie auf S. 210 ausgeführt. Das ist in der Regel die direkte Darstellung der Wunscherfüllung, denn, wenn wir die Verschiebungen der Traumarbeit rückgängig machen, finden wir die psychische Intensität der Elemente in den Traumgedanken durch die sinnliche Intensität der Elemente im Trauminhalt ersetzt. Die Elemente in der Nähe der Wunscherfüllung haben mit deren Sinn oft nichts zu tun, sondern erweisen sich als Abkömmlinge peinlicher, dem Wunsch zuwiderlaufender Gedanken. Durch den oft künstlich hergestellten Zusammenhang mit dem zentralen Element haben sie aber so viel Intensität abbekommen, daß sie zur Darstellung fähig geworden sind. So diffundiert die darstellende Kraft der Wunscherfüllung über eine gewisse Sphäre von Zusammenhang, innerhalb deren alle Elemente, auch die an sich mittellosen, zur Darstellung gehoben werden. Bei Träumen mit mehreren treibenden Wünschen gelingt es leicht, die Sphären der einzelnen Wunscherfüllungen voneinander abzugrenzen, oft auch die Lücken im Traume als Grenzzonen zu verstehen.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wir auch die Bedeutung der Tagesreste für den Traum durch die vorstehenden Bemerkungen eingeschränkt haben, so verlohnt es doch der Mühe, ihnen noch einige Aufmerksamkeit zu schenken. Sie müssen doch ein notwendiges Ingrediens der Traumbildung sein, wenn uns die Erfahrung mit der Tatsache überraschen kann, daß jeder Traum eine Anknüpfung an einen rezenten Tageseindruck, oft der gleichgültigsten Art, mit in seinem Inhalt erkennen läßt. Die Notwendigkeit für diesen Zusatz zur Traummischung vermochten wir noch nicht einzusehen. (S. 125) Sie ergibt sich auch nur, wenn man an der Rolle des unbewußten Wunsches festhält und dann die Neurosenpsychologie um Auskunft befragt. Aus dieser erfährt man, daß die unbewußte Vorstellung als solche überhaupt unfähig ist, ins Vorbewußte einzutreten, und daß sie dort nur eine Wirkung zu äußern vermag, indem sie sich mit einer harmlosen, dem Vorbewußten bereits angehörigen Vorstellung in Verbindung setzt, auf sie ihre Intensität überträgt und sich durch sie decken läßt. Es ist dies die Tatsache der </w:t>
      </w:r>
      <w:r w:rsidRPr="00A06A59">
        <w:rPr>
          <w:rFonts w:ascii="Garamond" w:hAnsi="Garamond" w:cs="Arial"/>
          <w:i/>
          <w:iCs/>
          <w:color w:val="000000"/>
          <w:lang w:val="en-GB"/>
        </w:rPr>
        <w:t>Übertragung</w:t>
      </w:r>
      <w:r w:rsidRPr="00A06A59">
        <w:rPr>
          <w:rFonts w:ascii="Garamond" w:hAnsi="Garamond" w:cs="Arial"/>
          <w:color w:val="000000"/>
          <w:lang w:val="en-GB"/>
        </w:rPr>
        <w:t xml:space="preserve">, welche für so viele auffällige Vorfälle im Seelenleben der Neurotiker die Aufklärung enthält. Die Übertragung kann die Vorstellung aus </w:t>
      </w:r>
      <w:r w:rsidRPr="00A06A59">
        <w:rPr>
          <w:rFonts w:ascii="Garamond" w:hAnsi="Garamond" w:cs="Arial"/>
          <w:color w:val="000000"/>
          <w:lang w:val="en-GB"/>
        </w:rPr>
        <w:lastRenderedPageBreak/>
        <w:t xml:space="preserve">dem Vorbewußten, welche somit zu einer unverdient großen Intensität gelangt, unverändert lassen oder ihr selbst eine Modifikation durch den Inhalt der übertragenden Vorstellung aufdrängen. Man verzeihe mir die Neigung zu Gleichnissen aus dem täglichen Leben, aber ich bin versucht zu sagen, die Verhältnisse liegen für die verdrängte Vorstellung ähnlich wie in unserem Vaterlande für den amerikanischen Zahnarzt, der seine Praxis nicht ausüben darf, wenn er sich nicht eines </w:t>
      </w:r>
      <w:r w:rsidRPr="00A06A59">
        <w:rPr>
          <w:rFonts w:ascii="Garamond" w:hAnsi="Garamond" w:cs="Arial"/>
          <w:i/>
          <w:iCs/>
          <w:color w:val="000000"/>
          <w:lang w:val="en-GB"/>
        </w:rPr>
        <w:t>rite</w:t>
      </w:r>
      <w:r w:rsidRPr="00A06A59">
        <w:rPr>
          <w:rFonts w:ascii="Garamond" w:hAnsi="Garamond" w:cs="Arial"/>
          <w:color w:val="000000"/>
          <w:lang w:val="en-GB"/>
        </w:rPr>
        <w:t xml:space="preserve"> promovierten Doktors der Medizin als Aushängeschild und Deckung vor dem Gesetz bedient. Und ebenso wie es nicht gerade die beschäftigtesten Ärzte sind, die solche Alliancen mit dem Zahntechniker eingehen, so werden auch im Psychischen nicht jene vorbewußten oder bewußten Vorstellungen zur Deckung einer verdrängten erkoren, die selbst genügend von der im Vorbewußten tätigen Aufmerksamkeit auf sich gezogen haben. Das Unbewußte umspinnt mit seinen Verbindungen vorzugsweise jene Eindrücke und Vorstellungen des Vorbewußten, die entweder als indifferent außer Beachtung geblieben sind oder denen diese Beachtung durch Verwerfung alsbald wieder entzogen wurde. Es ist ein bekannter Satz aus der Assoziationslehre, durch alle Erfahrung bestätigt, daß Vorstellungen, die eine sehr innige Verbindung nach der einen Seite angeknüpft haben, sich wie ablehnend gegen ganze Gruppen von neuen Verbindungen verhalten; ich habe einmal den Versuch gemacht, eine Theorie der hysterischen Lähmungen auf diesen Satz zu begründen.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Wenn wir annehmen, daß das nämliche Bedürfnis zur Übertragung von den verdrängten Vorstellungen aus, das uns die Analyse der Neurosen kennen lehrt, sich auch im Traume geltend macht, so erklären sich auch mit einem Schlage zwei der Rätsel des Traumes, daß jede Traumanalyse eine Verwebung eines rezenten Eindrucks nachweist und daß dies rezente Element oft von der gleichgültigsten Art ist. Wir fügen hinzu, was wir bereits an anderer Stelle gelernt haben, daß diese rezenten und indifferenten Elemente als Ersatz der allerältesten aus den Traumgedanken darum so häufig in den Trauminhalt gelangen, weil sie gleichzeitig von der Widerstandszensur am wenigsten zu befürchten haben. Während aber die Zensurfreiheit uns nur die Bevorzugung der trivialen Elemente aufklärt, läßt die Konstanz der rezenten Elemente auf die Nötigung zur Übertragung durchblicken. Dem Anspruch des Verdrängten auf noch assoziationsfreies Material genügen beide Gruppen von Eindrücken, die indifferenten, weil sie zu ausgiebigen Verbindungen keinen Anlaß geboten haben, die rezenten, weil dazu noch die Zeit gefehlt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sehen so, daß die Tagesreste, denen wir die indifferenten Eindrücke jetzt zurechnen dürfen, nicht nur vom </w:t>
      </w:r>
      <w:r w:rsidRPr="00A06A59">
        <w:rPr>
          <w:rFonts w:ascii="Garamond" w:hAnsi="Garamond" w:cs="Arial"/>
          <w:i/>
          <w:iCs/>
          <w:color w:val="000000"/>
          <w:lang w:val="en-GB"/>
        </w:rPr>
        <w:t>Ubw</w:t>
      </w:r>
      <w:r w:rsidRPr="00A06A59">
        <w:rPr>
          <w:rFonts w:ascii="Garamond" w:hAnsi="Garamond" w:cs="Arial"/>
          <w:color w:val="000000"/>
          <w:lang w:val="en-GB"/>
        </w:rPr>
        <w:t xml:space="preserve"> etwas entlehnen, wenn sie an der Traumbildung Anteil gewinnen, nämlich die Triebkraft, über die der verdrängte Wunsch verfügt, sondern daß sie auch dem Unbewußten etwas Unentbehrliches bieten, die notwendige Anheftung zur Übertragung. Wollten wir hier in die seelischen Vorgänge tiefer eindringen, so müßten wir das Spiel der Erregungen zwischen Vorbewußtem und Unbewußtem schärfer beleuchten, wozu wohl das Studium der Psychoneurosen drängt, aber gerade der Traum keinen Anhalt bietet.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Nur noch eine Bemerkung über die Tagesreste. Es ist kein Zweifel, daß sie die eigentlichen Störer des Schlafes sind, und nicht der Traum, der sich vielmehr bemüht, den Schlaf zu hüten. Hierauf werden wir noch später zurückkommen.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haben bisher den Traumwunsch verfolgt, ihn aus dem Gebiet des </w:t>
      </w:r>
      <w:r w:rsidRPr="00A06A59">
        <w:rPr>
          <w:rFonts w:ascii="Garamond" w:hAnsi="Garamond" w:cs="Arial"/>
          <w:i/>
          <w:iCs/>
          <w:color w:val="000000"/>
          <w:lang w:val="en-GB"/>
        </w:rPr>
        <w:t>Ubw</w:t>
      </w:r>
      <w:r w:rsidRPr="00A06A59">
        <w:rPr>
          <w:rFonts w:ascii="Garamond" w:hAnsi="Garamond" w:cs="Arial"/>
          <w:color w:val="000000"/>
          <w:lang w:val="en-GB"/>
        </w:rPr>
        <w:t xml:space="preserve"> abgeleitet und sein Verhältnis zu den Tagesresten zergliedert, die ihrerseits Wünsche sein können oder psychische Regungen irgendwelcher anderen Art oder einfach rezente Eindrücke. Wir haben so Raum geschaffen für die Ansprüche, die man zugunsten der traumbildenden Bedeutung der wachen Denkarbeit in all ihrer Mannigfaltigkeit erheben kann. Es wäre nicht einmal unmöglich, daß wir auf Grund unserer Gedankenreihe selbst jene extremen Fälle aufklären, in denen der Traum als Fortsetzer der Tagesarbeit eine ungelöste Aufgabe des Wachens zum glücklichen Ende bringt. Es mangelt uns nur an einem Beispiel solcher Art, um durch dessen Analyse die infantile oder verdrängte Wunschquelle aufzudecken, deren Heranziehung die Bemühung der vorbewußten Tätigkeit so erfolgreich verstärkt hat. Wir sind aber um keinen Schritt der Lösung des Rätsels näher gekommen, warum das Unbewußte im Schlafe nichts anderes bieten kann als die Triebkraft zu einer Wunscherfüllung? Die Beantwortung dieser Frage muß ein Licht auf die psychische Natur des Wünschens werfen; sie soll an der Hand des Schemas vom psychischen Apparat gegeben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zweifeln nicht daran, daß auch dieser Apparat seine heutige Vollkommenheit erst über den Weg einer langen Entwicklung erreicht hat. Versuchen wir es, ihn in eine frühere Stufe seiner Leistungsfähigkeit zurückzuversetzen. Anderswie zu begründende Annahmen sagen uns, daß der Apparat zunächst dem Bestreben folgte, sich möglichst reizlos zu erhalten, und darum in seinem ersten Aufbau das Schema des Reflexapparats annahm, das ihm gestattete, eine von außen an ihn anlangende sensible Erregung alsbald auf motorischem Wege abzuführen. Aber die Not des Lebens stört diese einfache Funktion; ihr verdankt der Apparat auch den Anstoß zur weiteren Ausbildung. In der Form der großen Körperbedürfnisse tritt die Not des Lebens zuerst an ihn heran. Die durch das innere Bedürfnis gesetzte Erregung wird sich einen Abfluß in die Motilität suchen, die man als »Innere Veränderung« oder als »Ausdruck der Gemütsbewegung« bezeichnen kann. Das hungrige Kind wird hilflos schreien oder zappeln. Die Situation bleibt aber unverändert, denn die vom inneren Bedürfnis ausgehende Erregung entspricht nicht einer </w:t>
      </w:r>
      <w:r w:rsidRPr="00A06A59">
        <w:rPr>
          <w:rFonts w:ascii="Garamond" w:hAnsi="Garamond" w:cs="Arial"/>
          <w:color w:val="000000"/>
          <w:lang w:val="en-GB"/>
        </w:rPr>
        <w:lastRenderedPageBreak/>
        <w:t xml:space="preserve">momentan stoßenden, sondern einer kontinuierlich wirkenden Kraft. Eine Wendung kann erst eintreten, wenn auf irgendeinem Wege, beim Kinde durch fremde Hilfeleistung, die Erfahrung des </w:t>
      </w:r>
      <w:r w:rsidRPr="00A06A59">
        <w:rPr>
          <w:rFonts w:ascii="Garamond" w:hAnsi="Garamond" w:cs="Arial"/>
          <w:i/>
          <w:iCs/>
          <w:color w:val="000000"/>
          <w:lang w:val="en-GB"/>
        </w:rPr>
        <w:t>Befriedigungserlebnisses</w:t>
      </w:r>
      <w:r w:rsidRPr="00A06A59">
        <w:rPr>
          <w:rFonts w:ascii="Garamond" w:hAnsi="Garamond" w:cs="Arial"/>
          <w:color w:val="000000"/>
          <w:lang w:val="en-GB"/>
        </w:rPr>
        <w:t xml:space="preserve"> gemacht wird, das den inneren Reiz aufhebt. Ein wesentlicher Bestandteil dieses Erlebnisses ist das Erscheinen einer gewissen Wahrnehmung (der Nahrung im Beispiel), deren Erinnerungsbild von jetzt an mit der Gedächtnisspur der Bedürfniserregung assoziiert bleibt. Sobald dies Bedürfnis ein nächstesmal auftritt, wird sich, dank der hergestellten Verknüpfung, eine psychische Regung ergeben, welche das Erinnerungsbild jener Wahrnehmung wieder besetzen und die Wahrnehmung selbst wieder hervorrufen, also eigentlich die Situation der ersten Befriedigung wiederherstellen will. Eine solche Regung ist das, was wir einen Wunsch heißen; das Wiedererscheinen der Wahrnehmung ist die Wunscherfüllung, und die volle Besetzung der Wahrnehmung von der Bedürfniserregung her der kürzeste Weg zur Wunscherfüllung. Es hindert uns nichts, einen primitiven Zustand des psychischen Apparats anzunehmen, in dem dieser Weg wirklich so begangen wird, das Wünschen also in ein Halluzinieren ausläuft. Diese erste psychische Tätigkeit zielt also auf eine </w:t>
      </w:r>
      <w:r w:rsidRPr="00A06A59">
        <w:rPr>
          <w:rFonts w:ascii="Garamond" w:hAnsi="Garamond" w:cs="Arial"/>
          <w:i/>
          <w:iCs/>
          <w:color w:val="000000"/>
          <w:lang w:val="en-GB"/>
        </w:rPr>
        <w:t>Wahrnehmungsidentität</w:t>
      </w:r>
      <w:r w:rsidRPr="00A06A59">
        <w:rPr>
          <w:rFonts w:ascii="Garamond" w:hAnsi="Garamond" w:cs="Arial"/>
          <w:color w:val="000000"/>
          <w:lang w:val="en-GB"/>
        </w:rPr>
        <w:t>, nämlich auf die Wiederholung jener Wahrnehmung, welche mit der Befriedigung des Bedürfnisses verknüpft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Eine bittere Lebenserfahrung muß diese primitive Denktätigkeit zu einer zweckmäßigeren, sekundären modifiziert haben. Die Herstellung der Wahrnehmungsidentität auf dem kurzen regredienten Wege im Innern des Apparats hat an anderer Stelle nicht die Folge, welche mit der Besetzung derselben Wahrnehmung von außen her verbunden ist. Die Befriedigung tritt nicht ein, das Bedürfnis dauert fort. Um die innere Besetzung der äußeren gleichwertig zu machen, müßte dieselbe fortwährend aufrechterhalten werden, wie es in den halluzinatorischen Psychosen und in den Hungerphantasien auch wirklich geschieht, die ihre psychische Leistung in der </w:t>
      </w:r>
      <w:r w:rsidRPr="00A06A59">
        <w:rPr>
          <w:rFonts w:ascii="Garamond" w:hAnsi="Garamond" w:cs="Arial"/>
          <w:i/>
          <w:iCs/>
          <w:color w:val="000000"/>
          <w:lang w:val="en-GB"/>
        </w:rPr>
        <w:t>Festhaltung</w:t>
      </w:r>
      <w:r w:rsidRPr="00A06A59">
        <w:rPr>
          <w:rFonts w:ascii="Garamond" w:hAnsi="Garamond" w:cs="Arial"/>
          <w:color w:val="000000"/>
          <w:lang w:val="en-GB"/>
        </w:rPr>
        <w:t xml:space="preserve"> des gewünschten Objekts erschöpfen. Um eine zweckmäßigere Verwendung der psychischen Kraft zu erreichen, wird es notwendig, die volle Regression aufzuhalten, so daß sie nicht über das Erinnerungsbild hinausgeht und von diesem aus andere Wege suchen kann, die schließlich zur Herstellung der gewünschten Identität von der Außenwelt her führen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46"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Mit anderen Worten: es wird die Einsetzung einer »Realitätsprüfung« als notwendig erkannt.</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Diese Hemmung sowie die darauf folgende Ablenkung der Erregung wird zur Aufgabe eines zweiten Systems, welches die willkürliche Motilität beherrscht, d. h. an dessen Leistung sich erst die Verwendung der Motilität zu vorher erinnerten Zwecken anschließt. All die komplizierte Denktätigkeit aber, welche sich vom Erinnerungsbild bis zur Herstellung der Wahrnehmungsidentität durch die Außenwelt fortspinnt, stellt doch nur einen durch die Erfahrung notwendig gewordenen </w:t>
      </w:r>
      <w:r w:rsidRPr="00A06A59">
        <w:rPr>
          <w:rFonts w:ascii="Garamond" w:hAnsi="Garamond" w:cs="Arial"/>
          <w:i/>
          <w:iCs/>
          <w:color w:val="000000"/>
          <w:lang w:val="en-GB"/>
        </w:rPr>
        <w:t>Umweg zur Wunscherfüllung</w:t>
      </w:r>
      <w:r w:rsidRPr="00A06A59">
        <w:rPr>
          <w:rFonts w:ascii="Garamond" w:hAnsi="Garamond" w:cs="Arial"/>
          <w:color w:val="000000"/>
          <w:lang w:val="en-GB"/>
        </w:rPr>
        <w:t xml:space="preserve"> dar </w:t>
      </w:r>
    </w:p>
    <w:p w:rsidR="00A06A59" w:rsidRPr="00A06A59" w:rsidRDefault="00B437A1" w:rsidP="00A06A59">
      <w:pPr>
        <w:shd w:val="clear" w:color="auto" w:fill="FFFFFF"/>
        <w:tabs>
          <w:tab w:val="left" w:pos="7513"/>
          <w:tab w:val="left" w:pos="9639"/>
        </w:tabs>
        <w:spacing w:before="120" w:after="120" w:line="124" w:lineRule="atLeast"/>
        <w:ind w:left="-426" w:right="-567"/>
        <w:rPr>
          <w:rStyle w:val="fusslink"/>
          <w:rFonts w:ascii="Garamond" w:hAnsi="Garamond" w:cs="Arial"/>
          <w:color w:val="0000CC"/>
        </w:rPr>
      </w:pPr>
      <w:hyperlink r:id="rId247" w:anchor="#" w:history="1">
        <w:r w:rsidR="00A06A59" w:rsidRPr="00A06A59">
          <w:rPr>
            <w:rStyle w:val="fusslink"/>
            <w:rFonts w:ascii="Garamond" w:hAnsi="Garamond" w:cs="Arial"/>
            <w:bCs/>
            <w:color w:val="0000CC"/>
          </w:rPr>
          <w:t>[Fußnote]</w:t>
        </w:r>
        <w:r w:rsidR="00A06A59" w:rsidRPr="00A06A59">
          <w:rPr>
            <w:rStyle w:val="innerfusslink3"/>
            <w:rFonts w:ascii="Garamond" w:hAnsi="Garamond" w:cs="Arial"/>
            <w:bCs/>
            <w:color w:val="0000CC"/>
          </w:rPr>
          <w:t xml:space="preserve">Von der Wunscherfüllung des Traumes rühmt </w:t>
        </w:r>
        <w:r w:rsidR="00A06A59" w:rsidRPr="00A06A59">
          <w:rPr>
            <w:rStyle w:val="innerfusslink3"/>
            <w:rFonts w:ascii="Garamond" w:hAnsi="Garamond" w:cs="Arial"/>
            <w:bCs/>
            <w:i/>
            <w:iCs/>
            <w:color w:val="0000CC"/>
          </w:rPr>
          <w:t>Le Lorrain</w:t>
        </w:r>
        <w:r w:rsidR="00A06A59" w:rsidRPr="00A06A59">
          <w:rPr>
            <w:rStyle w:val="innerfusslink3"/>
            <w:rFonts w:ascii="Garamond" w:hAnsi="Garamond" w:cs="Arial"/>
            <w:bCs/>
            <w:color w:val="0000CC"/>
          </w:rPr>
          <w:t xml:space="preserve"> mit Recht: » </w:t>
        </w:r>
        <w:r w:rsidR="00A06A59" w:rsidRPr="00A06A59">
          <w:rPr>
            <w:rStyle w:val="innerfusslink3"/>
            <w:rFonts w:ascii="Garamond" w:hAnsi="Garamond" w:cs="Arial"/>
            <w:bCs/>
            <w:i/>
            <w:iCs/>
            <w:color w:val="0000CC"/>
          </w:rPr>
          <w:t>Sans fatigue sérieuse, sans être obligé de recourir à cette lutte opiniâtre et longue qui use et corrode les jouissances poursuivies.</w:t>
        </w:r>
        <w:r w:rsidR="00A06A59" w:rsidRPr="00A06A59">
          <w:rPr>
            <w:rStyle w:val="innerfusslink3"/>
            <w:rFonts w:ascii="Garamond" w:hAnsi="Garamond" w:cs="Arial"/>
            <w:bCs/>
            <w:color w:val="0000CC"/>
          </w:rPr>
          <w: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 Das Denken ist doch nichts anderes als der Ersatz des halluzinatorischen Wunsches, und wenn der Traum eine Wunscherfüllung ist, so wird das eben selbstverständlich, da nichts anderes als ein Wunsch unseren seelischen Apparat zur Arbeit anzutreiben vermag. Der Traum, der seine Wünsche auf kurzem regredienten Wege erfüllt, hat uns hiemit nur eine Probe der </w:t>
      </w:r>
      <w:r w:rsidRPr="00A06A59">
        <w:rPr>
          <w:rFonts w:ascii="Garamond" w:hAnsi="Garamond" w:cs="Arial"/>
          <w:i/>
          <w:iCs/>
          <w:color w:val="000000"/>
        </w:rPr>
        <w:t>primären</w:t>
      </w:r>
      <w:r w:rsidRPr="00A06A59">
        <w:rPr>
          <w:rFonts w:ascii="Garamond" w:hAnsi="Garamond" w:cs="Arial"/>
          <w:color w:val="000000"/>
        </w:rPr>
        <w:t xml:space="preserve">, als unzweckmäßig verlassenen Arbeitsweise des psychischen Apparats aufbewahrt. In das Nachtleben scheint verbannt, was einst im Wachen herrschte, als das psychische Leben noch jung und untüchtig war, etwa wie wir in der Kinderstube die abgelegten primitiven Waffen der erwachsenen Menschheit, Pfeil und Bogen, wiederfinden. </w:t>
      </w:r>
      <w:r w:rsidRPr="00A06A59">
        <w:rPr>
          <w:rFonts w:ascii="Garamond" w:hAnsi="Garamond" w:cs="Arial"/>
          <w:i/>
          <w:iCs/>
          <w:color w:val="000000"/>
        </w:rPr>
        <w:t>Das Träumen ist ein Stück des überwundenen Kinderseelenlebens.</w:t>
      </w:r>
      <w:r w:rsidRPr="00A06A59">
        <w:rPr>
          <w:rFonts w:ascii="Garamond" w:hAnsi="Garamond" w:cs="Arial"/>
          <w:color w:val="000000"/>
        </w:rPr>
        <w:t xml:space="preserve"> In den Psychosen werden diese sonst im Wachen unterdrückten Arbeitsweisen des psychischen Apparats sich wiederum Geltung erzwingen und dann ihre Unfähigkeit zur Befriedigung unserer Bedürfnisse gegen die Außenwelt an den Tag legen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rPr>
      </w:pPr>
      <w:hyperlink r:id="rId248" w:anchor="#" w:history="1">
        <w:r w:rsidR="00A06A59" w:rsidRPr="00A06A59">
          <w:rPr>
            <w:rStyle w:val="fusslink"/>
            <w:rFonts w:ascii="Garamond" w:hAnsi="Garamond" w:cs="Arial"/>
            <w:bCs/>
            <w:color w:val="0000CC"/>
          </w:rPr>
          <w:t>[Fußnote]</w:t>
        </w:r>
        <w:r w:rsidR="00A06A59" w:rsidRPr="00A06A59">
          <w:rPr>
            <w:rStyle w:val="innerfusslink3"/>
            <w:rFonts w:ascii="Garamond" w:hAnsi="Garamond" w:cs="Arial"/>
            <w:bCs/>
            <w:color w:val="0000CC"/>
          </w:rPr>
          <w:t>Ich habe diesen Gedankengang an anderer Stelle (›Formulierungen über die zwei Prinzipien des psychischen Geschehens, Ges. Schriften, Bd. V) weiter ausgeführt und als die beiden Prinzipien das Lust- und das Realitätsprinzip hingestellt.</w:t>
        </w:r>
      </w:hyperlink>
      <w:r w:rsidR="00A06A59" w:rsidRPr="00A06A59">
        <w:rPr>
          <w:rFonts w:ascii="Garamond" w:hAnsi="Garamond" w:cs="Arial"/>
          <w:color w:val="0000CC"/>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US"/>
        </w:rPr>
      </w:pPr>
      <w:r w:rsidRPr="00A06A59">
        <w:rPr>
          <w:rFonts w:ascii="Garamond" w:hAnsi="Garamond" w:cs="Arial"/>
          <w:color w:val="000000"/>
        </w:rPr>
        <w:t xml:space="preserve">Die unbewußten Wunschregungen streben offenbar auch bei Tag sich geltend zu machen, und die Tatsache der Übertragung sowie die Psychosen belehren uns, daß sie auf dem Wege durch das System des Vorbewußten zum Bewußtsein und zur Beherrschung der Motilität durchdringen möchten. In der Zensur zwischen </w:t>
      </w:r>
      <w:r w:rsidRPr="00A06A59">
        <w:rPr>
          <w:rFonts w:ascii="Garamond" w:hAnsi="Garamond" w:cs="Arial"/>
          <w:i/>
          <w:iCs/>
          <w:color w:val="000000"/>
        </w:rPr>
        <w:t>Ubw</w:t>
      </w:r>
      <w:r w:rsidRPr="00A06A59">
        <w:rPr>
          <w:rFonts w:ascii="Garamond" w:hAnsi="Garamond" w:cs="Arial"/>
          <w:color w:val="000000"/>
        </w:rPr>
        <w:t xml:space="preserve"> und </w:t>
      </w:r>
      <w:r w:rsidRPr="00A06A59">
        <w:rPr>
          <w:rFonts w:ascii="Garamond" w:hAnsi="Garamond" w:cs="Arial"/>
          <w:i/>
          <w:iCs/>
          <w:color w:val="000000"/>
        </w:rPr>
        <w:t>Vbw</w:t>
      </w:r>
      <w:r w:rsidRPr="00A06A59">
        <w:rPr>
          <w:rFonts w:ascii="Garamond" w:hAnsi="Garamond" w:cs="Arial"/>
          <w:color w:val="000000"/>
        </w:rPr>
        <w:t xml:space="preserve">, deren Annahme uns der Traum geradezu aufnötigt, haben wir also den Wächter unserer geistigen Gesundheit zu erkennen und zu ehren. Ist es nun nicht eine Unvorsichtigkeit des Wächters, daß er zur Nachtzeit seine Tätigkeit verringert, die unterdrückten Regungen des </w:t>
      </w:r>
      <w:r w:rsidRPr="00A06A59">
        <w:rPr>
          <w:rFonts w:ascii="Garamond" w:hAnsi="Garamond" w:cs="Arial"/>
          <w:i/>
          <w:iCs/>
          <w:color w:val="000000"/>
        </w:rPr>
        <w:t>Ubw</w:t>
      </w:r>
      <w:r w:rsidRPr="00A06A59">
        <w:rPr>
          <w:rFonts w:ascii="Garamond" w:hAnsi="Garamond" w:cs="Arial"/>
          <w:color w:val="000000"/>
        </w:rPr>
        <w:t xml:space="preserve"> zum Ausdrucke kommen läßt, die halluzinatorische Regression wieder ermöglicht? Ich denke nicht, denn wenn sich der kritische Wächter zur Ruhe begibt wir haben die Beweise dafür, daß er doch nicht tief schlummert, so schließt er auch das Tor zur Motilität. Welche Regungen aus dem sonst gehemmten </w:t>
      </w:r>
      <w:r w:rsidRPr="00A06A59">
        <w:rPr>
          <w:rFonts w:ascii="Garamond" w:hAnsi="Garamond" w:cs="Arial"/>
          <w:i/>
          <w:iCs/>
          <w:color w:val="000000"/>
        </w:rPr>
        <w:t>Ubw</w:t>
      </w:r>
      <w:r w:rsidRPr="00A06A59">
        <w:rPr>
          <w:rFonts w:ascii="Garamond" w:hAnsi="Garamond" w:cs="Arial"/>
          <w:color w:val="000000"/>
        </w:rPr>
        <w:t xml:space="preserve"> sich auch auf dem Schauplatz tummeln mögen, man kann sie gewähren lassen, sie bleiben harmlos, weil sie nicht imstande sind, den motorischen Apparat in Bewegung zu setzen, welcher allein die Außenwelt verändernd beeinflussen kann. Der Schlafzustand garantiert die Sicherheit der zu bewachenden Festung. Minder harmlos gestaltet </w:t>
      </w:r>
      <w:r w:rsidRPr="00A06A59">
        <w:rPr>
          <w:rFonts w:ascii="Garamond" w:hAnsi="Garamond" w:cs="Arial"/>
          <w:color w:val="000000"/>
        </w:rPr>
        <w:lastRenderedPageBreak/>
        <w:t xml:space="preserve">es sich, wenn die Kräfteverschiebung nicht durch den nächtlichen Nachlaß im Kräfteaufwand der kritischen Zensur, sondern durch pathologische Schwächung derselben oder durch pathologische Verstärkung der unbewußten Erregungen hergestellt wird, solange das Vorbewußte besetzt und die Tore zur Motilität offen sind. Dann wird der Wächter überwältigt, die unbewußten Erregungen unterwerfen sich das </w:t>
      </w:r>
      <w:r w:rsidRPr="00A06A59">
        <w:rPr>
          <w:rFonts w:ascii="Garamond" w:hAnsi="Garamond" w:cs="Arial"/>
          <w:i/>
          <w:iCs/>
          <w:color w:val="000000"/>
        </w:rPr>
        <w:t>Vbw</w:t>
      </w:r>
      <w:r w:rsidRPr="00A06A59">
        <w:rPr>
          <w:rFonts w:ascii="Garamond" w:hAnsi="Garamond" w:cs="Arial"/>
          <w:color w:val="000000"/>
        </w:rPr>
        <w:t xml:space="preserve">, beherrschen von ihm aus unser Reden und Handeln oder erzwingen sich die halluzinatorische Regression und lenken den nicht für sie bestimmten Apparat vermöge der Anziehung, welche die Wahrnehmungen auf die Verteilung unserer psychischen Energie ausüben. </w:t>
      </w:r>
      <w:r w:rsidRPr="00A06A59">
        <w:rPr>
          <w:rFonts w:ascii="Garamond" w:hAnsi="Garamond" w:cs="Arial"/>
          <w:color w:val="000000"/>
          <w:lang w:val="en-US"/>
        </w:rPr>
        <w:t>Diesen Zustand heißen wir Psychose.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i/>
          <w:iCs/>
          <w:color w:val="000000"/>
          <w:lang w:val="en-GB"/>
        </w:rPr>
      </w:pPr>
      <w:r w:rsidRPr="00A06A59">
        <w:rPr>
          <w:rFonts w:ascii="Garamond" w:hAnsi="Garamond" w:cs="Arial"/>
          <w:color w:val="000000"/>
          <w:lang w:val="en-GB"/>
        </w:rPr>
        <w:t xml:space="preserve">Wir befinden uns da auf dem besten Wege, an dem psychologischen Gerüste weiterzubauen, das wir mit der Einfügung der beiden Systeme </w:t>
      </w:r>
      <w:r w:rsidRPr="00A06A59">
        <w:rPr>
          <w:rFonts w:ascii="Garamond" w:hAnsi="Garamond" w:cs="Arial"/>
          <w:i/>
          <w:iCs/>
          <w:color w:val="000000"/>
          <w:lang w:val="en-GB"/>
        </w:rPr>
        <w:t>Ubw</w:t>
      </w:r>
      <w:r w:rsidRPr="00A06A59">
        <w:rPr>
          <w:rFonts w:ascii="Garamond" w:hAnsi="Garamond" w:cs="Arial"/>
          <w:color w:val="000000"/>
          <w:lang w:val="en-GB"/>
        </w:rPr>
        <w:t xml:space="preserve"> und </w:t>
      </w:r>
      <w:r w:rsidRPr="00A06A59">
        <w:rPr>
          <w:rFonts w:ascii="Garamond" w:hAnsi="Garamond" w:cs="Arial"/>
          <w:i/>
          <w:iCs/>
          <w:color w:val="000000"/>
          <w:lang w:val="en-GB"/>
        </w:rPr>
        <w:t>Vbw</w:t>
      </w:r>
      <w:r w:rsidRPr="00A06A59">
        <w:rPr>
          <w:rFonts w:ascii="Garamond" w:hAnsi="Garamond" w:cs="Arial"/>
          <w:color w:val="000000"/>
          <w:lang w:val="en-GB"/>
        </w:rPr>
        <w:t xml:space="preserve"> verlassen haben. Wir haben aber noch Motive genug, bei der Würdigung des Wunsches als einziger psychischer Triebkraft für den Traum zu verweilen. Wir haben die Aufklärung entgegengenommen, daß der Traum darum jedesmal eine Wunscherfüllung ist, weil er eine Leistung des Systems </w:t>
      </w:r>
      <w:r w:rsidRPr="00A06A59">
        <w:rPr>
          <w:rFonts w:ascii="Garamond" w:hAnsi="Garamond" w:cs="Arial"/>
          <w:i/>
          <w:iCs/>
          <w:color w:val="000000"/>
          <w:lang w:val="en-GB"/>
        </w:rPr>
        <w:t>Ubw</w:t>
      </w:r>
      <w:r w:rsidRPr="00A06A59">
        <w:rPr>
          <w:rFonts w:ascii="Garamond" w:hAnsi="Garamond" w:cs="Arial"/>
          <w:color w:val="000000"/>
          <w:lang w:val="en-GB"/>
        </w:rPr>
        <w:t xml:space="preserve"> ist, welches kein anderes Ziel seiner Arbeit als Wunscherfüllung kennt und über keine anderen Kräfte als die der Wunschregungen verfügt. Wenn wir nun auch nur einen Moment länger an dem Recht festhalten wollen, von der Traumdeutung aus so weitgreifende psychologische Spekulationen auszuführen, so obliegt uns die Verpflichtung zu zeigen, daß wir durch sie den Traum in einen Zusammenhang einreihen, welcher auch andere psychische Bildungen umfassen kann. Wenn ein System des </w:t>
      </w:r>
      <w:r w:rsidRPr="00A06A59">
        <w:rPr>
          <w:rFonts w:ascii="Garamond" w:hAnsi="Garamond" w:cs="Arial"/>
          <w:i/>
          <w:iCs/>
          <w:color w:val="000000"/>
          <w:lang w:val="en-GB"/>
        </w:rPr>
        <w:t>Ubw</w:t>
      </w:r>
      <w:r w:rsidRPr="00A06A59">
        <w:rPr>
          <w:rFonts w:ascii="Garamond" w:hAnsi="Garamond" w:cs="Arial"/>
          <w:color w:val="000000"/>
          <w:lang w:val="en-GB"/>
        </w:rPr>
        <w:t xml:space="preserve"> oder etwas ihm für unsere Erörterungen Analoges existiert, so kann der Traum nicht dessen einzige Äußerung sein; jeder Traum mag eine Wunscherfüllung sein, aber es muß noch andere Formen abnormer Wunscherfüllungen geben als die Träume. Und wirklich gipfelt die Theorie aller psychoneurotischen Symptome in dem einen Satz, </w:t>
      </w:r>
      <w:r w:rsidRPr="00A06A59">
        <w:rPr>
          <w:rFonts w:ascii="Garamond" w:hAnsi="Garamond" w:cs="Arial"/>
          <w:i/>
          <w:iCs/>
          <w:color w:val="000000"/>
          <w:lang w:val="en-GB"/>
        </w:rPr>
        <w:t>daß auch sie als Wunscherfüllungen des Unbewußten aufgefaßt werden müssen</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49"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Korrekter gesagt: Ein Anteil des Symptoms entspricht der unbewußten Wunscherfüllung, ein anderer der Reaktionsbildung gegen dieselbe.</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Traum wird durch unsere Aufklärung nur das erste Glied einer für den Psychiater höchst bedeutungsvollen Reihe, deren Verständnis die Lösung des rein psychologischen Anteils der psychiatrischen Aufgabe bedeutet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hyperlink r:id="rId250"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i/>
            <w:iCs/>
            <w:color w:val="0000CC"/>
            <w:lang w:val="en-GB"/>
          </w:rPr>
          <w:t>Hughlings Jackson</w:t>
        </w:r>
        <w:r w:rsidR="00A06A59" w:rsidRPr="00A06A59">
          <w:rPr>
            <w:rStyle w:val="innerfusslink3"/>
            <w:rFonts w:ascii="Garamond" w:hAnsi="Garamond" w:cs="Arial"/>
            <w:bCs/>
            <w:color w:val="0000CC"/>
            <w:lang w:val="en-GB"/>
          </w:rPr>
          <w:t xml:space="preserve"> hatte geäußert: »Findet das Wesen des Traumes, und ihr werdet alles, was man über das Irresein wissen kann, gefunden haben.« (» </w:t>
        </w:r>
        <w:r w:rsidR="00A06A59" w:rsidRPr="00A06A59">
          <w:rPr>
            <w:rStyle w:val="innerfusslink3"/>
            <w:rFonts w:ascii="Garamond" w:hAnsi="Garamond" w:cs="Arial"/>
            <w:bCs/>
            <w:i/>
            <w:iCs/>
            <w:color w:val="0000CC"/>
            <w:lang w:val="en-GB"/>
          </w:rPr>
          <w:t>Find out all about dreams and you will have found out all about insanity.</w:t>
        </w:r>
        <w:r w:rsidR="00A06A59" w:rsidRPr="00A06A59">
          <w:rPr>
            <w:rStyle w:val="innerfusslink3"/>
            <w:rFonts w:ascii="Garamond" w:hAnsi="Garamond" w:cs="Arial"/>
            <w:bCs/>
            <w:color w:val="0000CC"/>
            <w:lang w:val="en-GB"/>
          </w:rPr>
          <w:t>«)</w:t>
        </w:r>
      </w:hyperlink>
      <w:r w:rsidR="00A06A59" w:rsidRPr="00A06A59">
        <w:rPr>
          <w:rFonts w:ascii="Garamond" w:hAnsi="Garamond" w:cs="Arial"/>
          <w:color w:val="000000"/>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Von anderen Gliedern dieser Reihe von Wunscherfüllungen, z. B. von den hysterischen Symptomen, kenne ich aber einen wesentlichen Charakter, den ich am Traume noch vermisse. Ich weiß nämlich aus den im Laufe dieser Abhandlung oftmals angedeuteten Untersuchungen, daß zur Bildung eines hysterischen Symptoms beide Strömungen unseres Seelenlebens zusammentreffen müssen. Das Symptom ist nicht bloß der Ausdruck eines realisierten unbewußten Wunsches; es muß noch ein Wunsch aus dem Vorbewußten dazukommen, der sich durch das nämliche Symptom erfüllt, so daß das Symptom </w:t>
      </w:r>
      <w:r w:rsidRPr="00A06A59">
        <w:rPr>
          <w:rFonts w:ascii="Garamond" w:hAnsi="Garamond" w:cs="Arial"/>
          <w:i/>
          <w:iCs/>
          <w:color w:val="000000"/>
          <w:lang w:val="en-GB"/>
        </w:rPr>
        <w:t>mindestens</w:t>
      </w:r>
      <w:r w:rsidRPr="00A06A59">
        <w:rPr>
          <w:rFonts w:ascii="Garamond" w:hAnsi="Garamond" w:cs="Arial"/>
          <w:color w:val="000000"/>
          <w:lang w:val="en-GB"/>
        </w:rPr>
        <w:t xml:space="preserve"> zweifach determiniert wird, je einmal von einem der im Konflikt befindlichen Systeme her. Einer weiteren Überdeterminierung sind – ähnlich wie beim – Traum keine Schranken gesetzt. Die Determinierung, die nicht dem </w:t>
      </w:r>
      <w:r w:rsidRPr="00A06A59">
        <w:rPr>
          <w:rFonts w:ascii="Garamond" w:hAnsi="Garamond" w:cs="Arial"/>
          <w:i/>
          <w:iCs/>
          <w:color w:val="000000"/>
          <w:lang w:val="en-GB"/>
        </w:rPr>
        <w:t>Ubw</w:t>
      </w:r>
      <w:r w:rsidRPr="00A06A59">
        <w:rPr>
          <w:rFonts w:ascii="Garamond" w:hAnsi="Garamond" w:cs="Arial"/>
          <w:color w:val="000000"/>
          <w:lang w:val="en-GB"/>
        </w:rPr>
        <w:t xml:space="preserve"> entstammt, ist, soviel ich sehe, regelmäßig ein Gedankenzug der Reaktion gegen den unbewußten Wunsch, z. B. eine Selbstbestrafung. Ich kann also ganz allgemein sagen, </w:t>
      </w:r>
      <w:r w:rsidRPr="00A06A59">
        <w:rPr>
          <w:rFonts w:ascii="Garamond" w:hAnsi="Garamond" w:cs="Arial"/>
          <w:i/>
          <w:iCs/>
          <w:color w:val="000000"/>
          <w:lang w:val="en-GB"/>
        </w:rPr>
        <w:t>ein hysterisches Symptom entsteht nur dort, wo zwei gegensätzliche Wunscherfüllungen, jede aus der Quelle eines anderen psychischen Systems, in einem Ausdruck zusammentreffen können</w:t>
      </w:r>
      <w:r w:rsidRPr="00A06A59">
        <w:rPr>
          <w:rFonts w:ascii="Garamond" w:hAnsi="Garamond" w:cs="Arial"/>
          <w:color w:val="000000"/>
          <w:lang w:val="en-GB"/>
        </w:rPr>
        <w:t xml:space="preserve">. (Vgl. hiezu meine letzten Formulierungen der Entstehung hysterischer Symptome in dem Aufsatz »Hysterische Phantasien und ihre Beziehung zur Bisexualität«, 1908, Ges. Schriften, Bd. V) Beispiele würden hier wenig fruchten, da nur die vollständige Enthüllung der vorliegenden Komplikation Überzeugung erwecken kann. Ich lasse es darum bei der Behauptung und bringe ein Beispiel bloß seiner Anschaulichkeit, nicht seiner Beweiskraft wegen. Das hysterische Erbrechen also bei einer Patientin erwies sich einerseits als die Erfüllung einer unbewußten Phantasie aus den Pubertätsjahren, nämlich des Wunsches, fortwährend gravid zu sein, ungezählt viele Kinder zu haben, wozu später die Erweiterung trat: von möglichst vielen Männern. Gegen diesen unbändigen Wunsch hatte sich eine mächtige Abwehrregung erhoben. Da die Patientin aber durch das Erbrechen ihre Körperfülle und ihre Schönheit verlieren konnte, so daß kein Mann mehr an ihr Gefallen fand, so war das Symptom auch dem strafenden Gedankengang recht und durfte, von beiden Seiten zugelassen, zur Realität werden. Es ist dieselbe Manier, auf eine Wunscherfüllung einzugehen, welche der Partherkönigin gegen den Triumvir Crassus beliebte. Sie meinte, er habe den Feldzug aus Goldgier unternommen; so ließ sie der Leiche geschmolzenes Gold in den Rachen gießen. »Hier hast du, was du dir gewünscht hast.« Vom Traum wissen wir bis jetzt nur, daß er eine Wunscherfüllung des Unbewußten ausdrückt; es scheint, daß das herrschende, vorbewußte System diese gewähren läßt, nachdem es ihr gewisse Entstellungen aufgenötigt hat. Man ist auch wirklich nicht imstande, allgemein einen dem Traumwunsch gegensätzlichen Gedankenzug nachzuweisen, der sich wie sein Widerpart im Traume verwirklicht. Nur hie und da sind uns in den Traumanalysen Anzeichen von Reaktionsschöpfungen begegnet, z. B. die Zärtlichkeit für FreundR. im Onkeltraum (S. 198). </w:t>
      </w:r>
      <w:r w:rsidRPr="00A06A59">
        <w:rPr>
          <w:rFonts w:ascii="Garamond" w:hAnsi="Garamond" w:cs="Arial"/>
          <w:color w:val="000000"/>
        </w:rPr>
        <w:t xml:space="preserve">Wir können aber die hier vermißte Zutat aus dem Vorbewußten an anderer Stelle auffinden. Der Traum darf einen Wunsch aus dem </w:t>
      </w:r>
      <w:r w:rsidRPr="00A06A59">
        <w:rPr>
          <w:rFonts w:ascii="Garamond" w:hAnsi="Garamond" w:cs="Arial"/>
          <w:i/>
          <w:iCs/>
          <w:color w:val="000000"/>
        </w:rPr>
        <w:t>Ubw</w:t>
      </w:r>
      <w:r w:rsidRPr="00A06A59">
        <w:rPr>
          <w:rFonts w:ascii="Garamond" w:hAnsi="Garamond" w:cs="Arial"/>
          <w:color w:val="000000"/>
        </w:rPr>
        <w:t xml:space="preserve"> nach allerlei Entstellungen zum Ausdruck </w:t>
      </w:r>
      <w:r w:rsidRPr="00A06A59">
        <w:rPr>
          <w:rFonts w:ascii="Garamond" w:hAnsi="Garamond" w:cs="Arial"/>
          <w:color w:val="000000"/>
        </w:rPr>
        <w:lastRenderedPageBreak/>
        <w:t xml:space="preserve">bringen, während sich das herrschende System auf den </w:t>
      </w:r>
      <w:r w:rsidRPr="00A06A59">
        <w:rPr>
          <w:rFonts w:ascii="Garamond" w:hAnsi="Garamond" w:cs="Arial"/>
          <w:i/>
          <w:iCs/>
          <w:color w:val="000000"/>
        </w:rPr>
        <w:t>Wunsch zu schlafen</w:t>
      </w:r>
      <w:r w:rsidRPr="00A06A59">
        <w:rPr>
          <w:rFonts w:ascii="Garamond" w:hAnsi="Garamond" w:cs="Arial"/>
          <w:color w:val="000000"/>
        </w:rPr>
        <w:t xml:space="preserve"> zurückgezogen hat und diesen Wunsch durch Herstellung der ihm möglichen Besetzungsänderungen innerhalb des psychischen Apparats realisiert, endlich ihn die ganze Dauer des Schlafes über festhält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rPr>
      </w:pPr>
      <w:hyperlink r:id="rId251" w:anchor="#" w:history="1">
        <w:r w:rsidR="00A06A59" w:rsidRPr="00A06A59">
          <w:rPr>
            <w:rStyle w:val="fusslink"/>
            <w:rFonts w:ascii="Garamond" w:hAnsi="Garamond" w:cs="Arial"/>
            <w:bCs/>
            <w:color w:val="0000CC"/>
          </w:rPr>
          <w:t>[Fußnote]</w:t>
        </w:r>
        <w:r w:rsidR="00A06A59" w:rsidRPr="00A06A59">
          <w:rPr>
            <w:rStyle w:val="innerfusslink3"/>
            <w:rFonts w:ascii="Garamond" w:hAnsi="Garamond" w:cs="Arial"/>
            <w:bCs/>
            <w:color w:val="0000CC"/>
          </w:rPr>
          <w:t>Diesen Gedanken entlehne ich der Schlaftheorie von Liebeault, des Erweckers der hypnotischen Forschung in unseren Tagen (Du Sommeil provoqué etc., Paris 1889.)</w:t>
        </w:r>
      </w:hyperlink>
      <w:r w:rsidR="00A06A59" w:rsidRPr="00A06A59">
        <w:rPr>
          <w:rFonts w:ascii="Garamond" w:hAnsi="Garamond" w:cs="Arial"/>
          <w:color w:val="0000CC"/>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Dieser festgehaltene Wunsch des Vorbewußten zu schlafen, wirkt nun ganz allgemein erleichternd auf die Traumbildung. Denken wir an den Traum des Vaters, den der Lichtschein aus dem Totenzimmer zur Folgerung anregt, die Leiche könne in Brand geraten sein. Wir haben als die eine der psychischen Kräfte, die den Ausschlag dafür geben, daß der Vater im Traume diesen Schluß zieht, anstatt sich durch den Lichtschein wecken zu lassen, den Wunsch aufgewiesen, der das Leben des im Traume vorgestellten Kindes um den einen Moment verlängert. Andere aus dem Verdrängten stammende Wünsche entgehen uns wahrscheinlich, weil wir die Analyse dieses Traumes nicht machen können. Aber als zweite Triebkraft dieses Traumes dürfen wir das Schlafbedürfnis des Vaters hinzunehmen; so wie durch den Traum das Leben des Kindes, so wird auch der Schlaf des Vaters um einen Moment verlängert. </w:t>
      </w:r>
      <w:r w:rsidRPr="00A06A59">
        <w:rPr>
          <w:rFonts w:ascii="Garamond" w:hAnsi="Garamond" w:cs="Arial"/>
          <w:color w:val="000000"/>
          <w:lang w:val="en-GB"/>
        </w:rPr>
        <w:t xml:space="preserve">Den Traum gewähren lassen, heißt diese Motivierung, sonst muß ich erwachen. Wie bei diesem Traume, so leiht auch bei allen anderen der Schlafwunsch dem unbewußten Wunsch seine Unterstützung. Wir haben auf S. 87 von Träumen berichtet, die sich offenkundig als Bequemlichkeitsträume geben. Eigentlich haben alle Träume Anspruch auf diese Bezeichnung. Bei den Weckträumen, die den äußeren Sinnesreiz so verarbeiten, daß er mit der Fortsetzung des Schlafens verträglich wird, ihn in einen Traum verweben, um ihm die Ansprüche zu entreißen, die er als Mahnung an die Außenwelt erheben könnte, ist die Wirksamkeit des Wunsches weiterzuschlafen, am leichtesten zu erkennen. Derselbe muß aber ebenso seinen Anteil an der Gestattung aller anderen Träume haben, die nur von innen her als Wecker am Schlafzustand rütteln können. Was das </w:t>
      </w:r>
      <w:r w:rsidRPr="00A06A59">
        <w:rPr>
          <w:rFonts w:ascii="Garamond" w:hAnsi="Garamond" w:cs="Arial"/>
          <w:i/>
          <w:iCs/>
          <w:color w:val="000000"/>
          <w:lang w:val="en-GB"/>
        </w:rPr>
        <w:t>Vbw</w:t>
      </w:r>
      <w:r w:rsidRPr="00A06A59">
        <w:rPr>
          <w:rFonts w:ascii="Garamond" w:hAnsi="Garamond" w:cs="Arial"/>
          <w:color w:val="000000"/>
          <w:lang w:val="en-GB"/>
        </w:rPr>
        <w:t xml:space="preserve"> in manchen Fällen dem Bewußtsein mitteilt, wenn der Traum es zu arg treibt: Aber laß doch und schlaf weiter, es ist ja nur ein Traum, das beschreibt, auch ohne daß es laut wird, ganz allgemein das Verhalten unserer herrschenden Seelentätigkeit gegen das Träumen. Ich muß die Folgerung ziehen, </w:t>
      </w:r>
      <w:r w:rsidRPr="00A06A59">
        <w:rPr>
          <w:rFonts w:ascii="Garamond" w:hAnsi="Garamond" w:cs="Arial"/>
          <w:i/>
          <w:iCs/>
          <w:color w:val="000000"/>
          <w:lang w:val="en-GB"/>
        </w:rPr>
        <w:t>daß wir den ganzen Schlafzustand über ebenso sicher wissen, daß wir träumen, wie wir es wissen, daß wir schlafen</w:t>
      </w:r>
      <w:r w:rsidRPr="00A06A59">
        <w:rPr>
          <w:rFonts w:ascii="Garamond" w:hAnsi="Garamond" w:cs="Arial"/>
          <w:color w:val="000000"/>
          <w:lang w:val="en-GB"/>
        </w:rPr>
        <w:t>. Es ist durchaus notwendig, den Einwand dagegen geringzuschätzen, daß unser Bewußtsein auf das eine Wissen nie gelenkt wird, auf das andere nur bei bestimmtem Anlaß, wenn sich die Zensur wie überrumpelt fühlt. Dagegen gibt es Personen, bei denen die nächtliche Festhaltung des Wissens, daß sie schlafen und träumen, ganz offenkundig wird und denen also eine bewußte Fähigkeit, das Traumleben zu lenken, eigen scheint. Ein solcher Träumer ist z. B. mit der Wendung, die ein Traum nimmt, unzufrieden, er bricht ihn, ohne aufzuwachen, ab und beginnt ihn von neuem, um ihn anders fortzusetzen, ganz wie ein populärer Schriftsteller auf Verlangen seinem Schauspiel einen glücklicheren Ausgang gibt. Oder er denkt sich ein anderes Mal im Schlafe, wenn ihn der Traum in eine sexuell erregende Situation versetzt hat: »Das will ich nicht weiterträumen, um mich in einer Pollution zu erschöpfen, sondern hebe es mir lieber für eine reale Situation auf.«</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Marquis </w:t>
      </w:r>
      <w:r w:rsidRPr="00A06A59">
        <w:rPr>
          <w:rFonts w:ascii="Garamond" w:hAnsi="Garamond" w:cs="Arial"/>
          <w:i/>
          <w:iCs/>
          <w:color w:val="000000"/>
          <w:lang w:val="en-GB"/>
        </w:rPr>
        <w:t>d'Hervey</w:t>
      </w:r>
      <w:r w:rsidRPr="00A06A59">
        <w:rPr>
          <w:rFonts w:ascii="Garamond" w:hAnsi="Garamond" w:cs="Arial"/>
          <w:color w:val="000000"/>
          <w:lang w:val="en-GB"/>
        </w:rPr>
        <w:t xml:space="preserve"> (Vaschide, p. 139) behauptete, eine solche Macht über seine Träume gewonnen zu haben, daß er ihren Ablauf nach Belieben beschleunigen und ihnen eine ihm beliebige Richtung geben konnte. Es scheint, daß bei ihm der Wunsch zu schlafen einem anderen vorbewußten Wunsch Raum gegönnt hatte, dem, seine Träume zu beobachten und sich an ihnen zu ergötzen. Mit einem solchen Wunschvorsatz ist der Schlaf ebensowohl verträglich wie mit einem Vorbehalt als Bedingung des Erwachens (Ammenschlaf). Es ist auch bekannt, daß das Interesse am Traum bei allen Menschen die Anzahl der nach dem Erwachen erinnerten Träume erheblich steigert.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Über andere Beobachtungen von Lenkung der Träume sagt </w:t>
      </w:r>
      <w:r w:rsidRPr="00A06A59">
        <w:rPr>
          <w:rFonts w:ascii="Garamond" w:hAnsi="Garamond" w:cs="Arial"/>
          <w:i/>
          <w:iCs/>
          <w:color w:val="000000"/>
          <w:lang w:val="en-GB"/>
        </w:rPr>
        <w:t>Ferenczi</w:t>
      </w:r>
      <w:r w:rsidRPr="00A06A59">
        <w:rPr>
          <w:rFonts w:ascii="Garamond" w:hAnsi="Garamond" w:cs="Arial"/>
          <w:color w:val="000000"/>
          <w:lang w:val="en-GB"/>
        </w:rPr>
        <w:t>: »Der Traum bearbeitet den das Seelenleben gerade beschäftigenden Gedanken von allen Seiten her, läßt das eine Traumbild bei drohender Gefahr des Mißlingens der Wunscherfüllung fallen, versucht es mit einer neuen Art der Lösung, bis es ihm endlich gelingt, eine die beiden Instanzen des Seelenlebens kompromissuell befriedigende Wunscherfüllung zu schaffen.«</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lang w:val="en-GB"/>
        </w:rPr>
      </w:pPr>
      <w:r w:rsidRPr="00A06A59">
        <w:rPr>
          <w:rFonts w:ascii="Garamond" w:hAnsi="Garamond" w:cs="Arial"/>
          <w:b/>
          <w:bCs/>
          <w:color w:val="000000"/>
          <w:lang w:val="en-GB"/>
        </w:rPr>
        <w:br w:type="page"/>
      </w:r>
      <w:hyperlink w:anchor="inhalt" w:history="1">
        <w:r w:rsidRPr="00A06A59">
          <w:rPr>
            <w:rStyle w:val="Lienhypertexte"/>
            <w:rFonts w:ascii="Garamond" w:hAnsi="Garamond" w:cs="Arial"/>
            <w:b/>
            <w:bCs/>
            <w:lang w:val="en-GB"/>
          </w:rPr>
          <w:t>D. Da</w:t>
        </w:r>
        <w:bookmarkStart w:id="83" w:name="VIID"/>
        <w:bookmarkEnd w:id="83"/>
        <w:r w:rsidRPr="00A06A59">
          <w:rPr>
            <w:rStyle w:val="Lienhypertexte"/>
            <w:rFonts w:ascii="Garamond" w:hAnsi="Garamond" w:cs="Arial"/>
            <w:b/>
            <w:bCs/>
            <w:lang w:val="en-GB"/>
          </w:rPr>
          <w:t>s Wecken durch den Traum– Die Funktion des Traumes – Der Angsttraum</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Seitdem wir wissen, daß das Vorbewußte über die Nacht auf den Wunsch zu schlafen eingestellt ist, können wir den Traumvorgang mit Verständnis weiterverfolgen. Wir fassen aber zunächst unsere bisherige Kenntnis desselben zusammen. Es seien also von der Wacharbeit Tagesreste übriggeblieben, denen sich die Energiebesetzung nicht völlig entziehen ließ. Oder es sei durch die Wacharbeit tagsüber einer der unbewußten Wünsche rege geworden, oder es treffe beides zusammen; wir haben die hier mögliche Mannigfaltigkeit bereits erörtert. Schon im Laufe des Tages oder erst mit Herstellung des Schlafzustands hat der unbewußte Wunsch sich den Weg zu den Tagesresten gebahnt, seine Übertragung auf sie bewerkstelligt. Es entsteht nun ein auf das rezente Material übertragener Wunsch, oder der unterdrückte rezente Wunsch hat sich durch Verstärkung aus dem Unbewußten neu belebt. Er möchte nun auf dem normalen Wege der Gedankenvorgänge durch das </w:t>
      </w:r>
      <w:r w:rsidRPr="00A06A59">
        <w:rPr>
          <w:rFonts w:ascii="Garamond" w:hAnsi="Garamond" w:cs="Arial"/>
          <w:i/>
          <w:iCs/>
          <w:color w:val="000000"/>
          <w:lang w:val="en-GB"/>
        </w:rPr>
        <w:t>Vbw</w:t>
      </w:r>
      <w:r w:rsidRPr="00A06A59">
        <w:rPr>
          <w:rFonts w:ascii="Garamond" w:hAnsi="Garamond" w:cs="Arial"/>
          <w:color w:val="000000"/>
          <w:lang w:val="en-GB"/>
        </w:rPr>
        <w:t xml:space="preserve">, dem er mit einem Bestandteil ja angehört, zum Bewußtsein vordringen. Aber er stößt auf die Zensur, die noch besteht und deren Einfluß er jetzt unterliegt. Hier nimmt er die Entstellung an, die schon durch die Übertragung auf das Rezente angebahnt war. Bis jetzt ist er nun auf dem Wege, etwas Ähnliches zu werden wie eine Zwangsvorstellung, eine Wahnidee u. dgl., nämlich ein durch Übertragung verstärkter, durch Zensur im Ausdruck entstellter Gedanke. Nun aber gestattet der Schlafzustand des Vorbewußten nicht das weitere Vordringen; wahrscheinlich hat sich das System durch Herabsetzung seiner Erregungen gegen das Eindringen geschützt. Der Traumvorgang schlägt also den Weg der Regression ein, der gerade durch die Eigentümlichkeit des Schlafzustandes eröffnet ist, und folgt dabei der Anziehung, welche Erinnerungsgruppen auf ihn ausüben, die zum Teil selbst nur als visuelle Besetzungen, nicht als Übersetzung in die Zeichen der späteren Systeme vorhanden sind. Auf dem Wege zur Regression erwirbt er Darstellbarkeit. Von der Kompression werden wir später handeln. Er hat jetzt das zweite Stück seines mehrmals geknickten Verlaufes zurückgelegt. Das erste Stück spann sich progredient von den unbewußten Szenen oder Phantasien zum Vorbewußten; das zweite Stück strebt von der Zensurgrenze an wieder zu den Wahrnehmungen hin. Wenn der Traumvorgang aber Wahrnehmungsinhalt geworden ist, so hat er das ihm durch Zensur und Schlafzustand im </w:t>
      </w:r>
      <w:r w:rsidRPr="00A06A59">
        <w:rPr>
          <w:rFonts w:ascii="Garamond" w:hAnsi="Garamond" w:cs="Arial"/>
          <w:i/>
          <w:iCs/>
          <w:color w:val="000000"/>
          <w:lang w:val="en-GB"/>
        </w:rPr>
        <w:t>Vbw</w:t>
      </w:r>
      <w:r w:rsidRPr="00A06A59">
        <w:rPr>
          <w:rFonts w:ascii="Garamond" w:hAnsi="Garamond" w:cs="Arial"/>
          <w:color w:val="000000"/>
          <w:lang w:val="en-GB"/>
        </w:rPr>
        <w:t xml:space="preserve"> gesetzte Hindernis gleichsam umgangen. Es gelingt ihm, Aufmerksamkeit auf sich zu ziehen und vom Bewußtsein bemerkt zu werden. Das Bewußtsein nämlich, das uns ein Sinnesorgan für die Auffassung psychischer Qualitäten bedeutet, ist im Wachen von zwei Stellen her erregbar. Von der Peripherie des ganzen Apparats, dem Wahrnehmungssystem, in erster Linie; außerdem von den Lust- und Unlusterregungen, die sich als fast einzige psychische Qualität bei den Energieumsetzungen im Innern des Apparats ergeben. Alle Vorgänge in den </w:t>
      </w:r>
      <w:r w:rsidRPr="00A06A59">
        <w:rPr>
          <w:rFonts w:ascii="Garamond" w:hAnsi="Garamond" w:cs="Arial"/>
          <w:color w:val="000000"/>
        </w:rPr>
        <w:t>Ψ</w:t>
      </w:r>
      <w:r w:rsidRPr="00A06A59">
        <w:rPr>
          <w:rFonts w:ascii="Garamond" w:hAnsi="Garamond" w:cs="Arial"/>
          <w:color w:val="000000"/>
          <w:lang w:val="en-GB"/>
        </w:rPr>
        <w:t xml:space="preserve">-Systemen sonst, auch die im </w:t>
      </w:r>
      <w:r w:rsidRPr="00A06A59">
        <w:rPr>
          <w:rFonts w:ascii="Garamond" w:hAnsi="Garamond" w:cs="Arial"/>
          <w:i/>
          <w:iCs/>
          <w:color w:val="000000"/>
          <w:lang w:val="en-GB"/>
        </w:rPr>
        <w:t>Vbw</w:t>
      </w:r>
      <w:r w:rsidRPr="00A06A59">
        <w:rPr>
          <w:rFonts w:ascii="Garamond" w:hAnsi="Garamond" w:cs="Arial"/>
          <w:color w:val="000000"/>
          <w:lang w:val="en-GB"/>
        </w:rPr>
        <w:t xml:space="preserve">, entbehren jeder psychischen Qualität und sind darum kein Objekt des Bewußtseins, insofern sie ihm nicht Lust oder Unlust zur Wahrnehmung liefern. Wir werden uns zur Annahme entschließen müssen, daß </w:t>
      </w:r>
      <w:r w:rsidRPr="00A06A59">
        <w:rPr>
          <w:rFonts w:ascii="Garamond" w:hAnsi="Garamond" w:cs="Arial"/>
          <w:i/>
          <w:iCs/>
          <w:color w:val="000000"/>
          <w:lang w:val="en-GB"/>
        </w:rPr>
        <w:t>diese Lust- und Unlustentbindungen automatisch den Ablauf der Besetzungsvorgänge regulieren</w:t>
      </w:r>
      <w:r w:rsidRPr="00A06A59">
        <w:rPr>
          <w:rFonts w:ascii="Garamond" w:hAnsi="Garamond" w:cs="Arial"/>
          <w:color w:val="000000"/>
          <w:lang w:val="en-GB"/>
        </w:rPr>
        <w:t xml:space="preserve">. Es hat sich aber später die Notwendigkeit herausgestellt, zur Ermöglichung feinerer Leistungen den Vorstellungsablauf unabhängiger von den Unlustzeichen zu gestalten. Zu diesem Zwecke bedurfte das </w:t>
      </w:r>
      <w:r w:rsidRPr="00A06A59">
        <w:rPr>
          <w:rFonts w:ascii="Garamond" w:hAnsi="Garamond" w:cs="Arial"/>
          <w:i/>
          <w:iCs/>
          <w:color w:val="000000"/>
          <w:lang w:val="en-GB"/>
        </w:rPr>
        <w:t>Vbw</w:t>
      </w:r>
      <w:r w:rsidRPr="00A06A59">
        <w:rPr>
          <w:rFonts w:ascii="Garamond" w:hAnsi="Garamond" w:cs="Arial"/>
          <w:color w:val="000000"/>
          <w:lang w:val="en-GB"/>
        </w:rPr>
        <w:t>-System eigener Qualitäten, die das Bewußtsein anziehen könnten, und erhielt sie höchst wahrscheinlich durch die Verknüpfung der vorbewußten Vorgänge mit dem nicht qualitätslosen Erinnerungssystem der Sprachzeichen. Durch die Qualitäten dieses Systems wird jetzt das Bewußtsein, das vorher nur Sinnesorgan für die Wahrnehmungen war, auch zum Sinnesorgan für einen Teil unserer Denkvorgänge. Es gibt jetzt gleichsam zwei Sinnesoberflächen, die eine dem Wahrnehmen, die andere den vorbewußten Denkvorgängen zugewendet.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muß annehmen, daß die dem </w:t>
      </w:r>
      <w:r w:rsidRPr="00A06A59">
        <w:rPr>
          <w:rFonts w:ascii="Garamond" w:hAnsi="Garamond" w:cs="Arial"/>
          <w:i/>
          <w:iCs/>
          <w:color w:val="000000"/>
          <w:lang w:val="en-GB"/>
        </w:rPr>
        <w:t>Vbw</w:t>
      </w:r>
      <w:r w:rsidRPr="00A06A59">
        <w:rPr>
          <w:rFonts w:ascii="Garamond" w:hAnsi="Garamond" w:cs="Arial"/>
          <w:color w:val="000000"/>
          <w:lang w:val="en-GB"/>
        </w:rPr>
        <w:t xml:space="preserve"> zugewendete Sinnesfläche des Bewußtseins durch den Schlafzustand weit unerregbarer gemacht wird als die gegen die </w:t>
      </w:r>
      <w:r w:rsidRPr="00A06A59">
        <w:rPr>
          <w:rFonts w:ascii="Garamond" w:hAnsi="Garamond" w:cs="Arial"/>
          <w:i/>
          <w:iCs/>
          <w:color w:val="000000"/>
          <w:lang w:val="en-GB"/>
        </w:rPr>
        <w:t>W</w:t>
      </w:r>
      <w:r w:rsidRPr="00A06A59">
        <w:rPr>
          <w:rFonts w:ascii="Garamond" w:hAnsi="Garamond" w:cs="Arial"/>
          <w:color w:val="000000"/>
          <w:lang w:val="en-GB"/>
        </w:rPr>
        <w:t xml:space="preserve">-Systeme gerichtete. Das Aufgeben des Interesses für die nächtlichen Denkvorgänge ist ja auch zweckmäßig. Es soll im Denken nichts vorfallen; das </w:t>
      </w:r>
      <w:r w:rsidRPr="00A06A59">
        <w:rPr>
          <w:rFonts w:ascii="Garamond" w:hAnsi="Garamond" w:cs="Arial"/>
          <w:i/>
          <w:iCs/>
          <w:color w:val="000000"/>
          <w:lang w:val="en-GB"/>
        </w:rPr>
        <w:t>Vbw</w:t>
      </w:r>
      <w:r w:rsidRPr="00A06A59">
        <w:rPr>
          <w:rFonts w:ascii="Garamond" w:hAnsi="Garamond" w:cs="Arial"/>
          <w:color w:val="000000"/>
          <w:lang w:val="en-GB"/>
        </w:rPr>
        <w:t xml:space="preserve"> verlangt zu schlafen. Ist der Traum aber einmal Wahrnehmung geworden, so vermag er durch die jetzt gewonnenen Qualitäten das Bewußtsein zu erregen. Diese Sinneserregung leistet das, worin überhaupt ihre Funktion besteht; sie dirigiert einen Teil der im </w:t>
      </w:r>
      <w:r w:rsidRPr="00A06A59">
        <w:rPr>
          <w:rFonts w:ascii="Garamond" w:hAnsi="Garamond" w:cs="Arial"/>
          <w:i/>
          <w:iCs/>
          <w:color w:val="000000"/>
          <w:lang w:val="en-GB"/>
        </w:rPr>
        <w:t>Vbw</w:t>
      </w:r>
      <w:r w:rsidRPr="00A06A59">
        <w:rPr>
          <w:rFonts w:ascii="Garamond" w:hAnsi="Garamond" w:cs="Arial"/>
          <w:color w:val="000000"/>
          <w:lang w:val="en-GB"/>
        </w:rPr>
        <w:t xml:space="preserve"> verfügbaren Besetzungsenergie als Aufmerksamkeit auf das Erregende. So muß man also zugeben, daß der Traum jedesmal </w:t>
      </w:r>
      <w:r w:rsidRPr="00A06A59">
        <w:rPr>
          <w:rFonts w:ascii="Garamond" w:hAnsi="Garamond" w:cs="Arial"/>
          <w:i/>
          <w:iCs/>
          <w:color w:val="000000"/>
          <w:lang w:val="en-GB"/>
        </w:rPr>
        <w:t>weckt</w:t>
      </w:r>
      <w:r w:rsidRPr="00A06A59">
        <w:rPr>
          <w:rFonts w:ascii="Garamond" w:hAnsi="Garamond" w:cs="Arial"/>
          <w:color w:val="000000"/>
          <w:lang w:val="en-GB"/>
        </w:rPr>
        <w:t xml:space="preserve">, einen Teil der ruhenden Kraft des </w:t>
      </w:r>
      <w:r w:rsidRPr="00A06A59">
        <w:rPr>
          <w:rFonts w:ascii="Garamond" w:hAnsi="Garamond" w:cs="Arial"/>
          <w:i/>
          <w:iCs/>
          <w:color w:val="000000"/>
          <w:lang w:val="en-GB"/>
        </w:rPr>
        <w:t>Vbw</w:t>
      </w:r>
      <w:r w:rsidRPr="00A06A59">
        <w:rPr>
          <w:rFonts w:ascii="Garamond" w:hAnsi="Garamond" w:cs="Arial"/>
          <w:color w:val="000000"/>
          <w:lang w:val="en-GB"/>
        </w:rPr>
        <w:t xml:space="preserve"> in Tätigkeit versetzt. Er erfährt nun von dieser jene Beeinflussung, die wir als sekundäre Bearbeitung mit Rücksicht auf Zusammenhang und Verständlichkeit bezeichnet haben. Das will sagen, der Traum wird von ihr behandelt wie jeder andere Wahrnehmungsinhalt; er wird denselben Erwartungsvorstellungen unterzogen, soweit sein Material sie eben zuläßt. Soweit bei diesem dritten Stück des Traumvorganges eine Ablaufsrichtung in Betracht kommt, ist es wieder die progrediente.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Zur Verhütung von Mißverständnissen wird ein Wort über die zeitlichen Eigenschaften dieser Traumvorgänge wohl angebracht sein. Ein sehr anziehender Gedankengang </w:t>
      </w:r>
      <w:r w:rsidRPr="00A06A59">
        <w:rPr>
          <w:rFonts w:ascii="Garamond" w:hAnsi="Garamond" w:cs="Arial"/>
          <w:i/>
          <w:iCs/>
          <w:color w:val="000000"/>
          <w:lang w:val="en-GB"/>
        </w:rPr>
        <w:t>Goblots</w:t>
      </w:r>
      <w:r w:rsidRPr="00A06A59">
        <w:rPr>
          <w:rFonts w:ascii="Garamond" w:hAnsi="Garamond" w:cs="Arial"/>
          <w:color w:val="000000"/>
          <w:lang w:val="en-GB"/>
        </w:rPr>
        <w:t xml:space="preserve">, der offenbar durch das Rätsel des </w:t>
      </w:r>
      <w:r w:rsidRPr="00A06A59">
        <w:rPr>
          <w:rFonts w:ascii="Garamond" w:hAnsi="Garamond" w:cs="Arial"/>
          <w:i/>
          <w:iCs/>
          <w:color w:val="000000"/>
          <w:lang w:val="en-GB"/>
        </w:rPr>
        <w:t>Maury</w:t>
      </w:r>
      <w:r w:rsidRPr="00A06A59">
        <w:rPr>
          <w:rFonts w:ascii="Garamond" w:hAnsi="Garamond" w:cs="Arial"/>
          <w:color w:val="000000"/>
          <w:lang w:val="en-GB"/>
        </w:rPr>
        <w:t xml:space="preserve">schen Guillotinentraumes angeregt ist, sucht darzutun, daß der Traum keine andere Zeit in Anspruch nimmt als die der Übergangsperiode zwischen Schlafen und Erwachen. Das Erwachen braucht Zeit; in dieser Zeit fällt der Traum vor. Man meint, das letzte Bild des Traumes war so stark, daß es zum Erwachen nötigte. In Wirklichkeit war es nur darum so stark, weil wir bei ihm dem Erwachen schon so nahe waren. » </w:t>
      </w:r>
      <w:r w:rsidRPr="00A06A59">
        <w:rPr>
          <w:rFonts w:ascii="Garamond" w:hAnsi="Garamond" w:cs="Arial"/>
          <w:i/>
          <w:iCs/>
          <w:color w:val="000000"/>
        </w:rPr>
        <w:t>Un rêve c'est un réveil qui commence.</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lastRenderedPageBreak/>
        <w:t xml:space="preserve">Es ist schon von </w:t>
      </w:r>
      <w:r w:rsidRPr="00A06A59">
        <w:rPr>
          <w:rFonts w:ascii="Garamond" w:hAnsi="Garamond" w:cs="Arial"/>
          <w:i/>
          <w:iCs/>
          <w:color w:val="000000"/>
        </w:rPr>
        <w:t>Dugas</w:t>
      </w:r>
      <w:r w:rsidRPr="00A06A59">
        <w:rPr>
          <w:rFonts w:ascii="Garamond" w:hAnsi="Garamond" w:cs="Arial"/>
          <w:color w:val="000000"/>
        </w:rPr>
        <w:t xml:space="preserve"> hervorgehoben worden, daß </w:t>
      </w:r>
      <w:r w:rsidRPr="00A06A59">
        <w:rPr>
          <w:rFonts w:ascii="Garamond" w:hAnsi="Garamond" w:cs="Arial"/>
          <w:i/>
          <w:iCs/>
          <w:color w:val="000000"/>
        </w:rPr>
        <w:t>Goblot</w:t>
      </w:r>
      <w:r w:rsidRPr="00A06A59">
        <w:rPr>
          <w:rFonts w:ascii="Garamond" w:hAnsi="Garamond" w:cs="Arial"/>
          <w:color w:val="000000"/>
        </w:rPr>
        <w:t xml:space="preserve"> viel Tatsächliches beseitigen muß, um seine These allgemein zu halten. </w:t>
      </w:r>
      <w:r w:rsidRPr="00A06A59">
        <w:rPr>
          <w:rFonts w:ascii="Garamond" w:hAnsi="Garamond" w:cs="Arial"/>
          <w:color w:val="000000"/>
          <w:lang w:val="en-GB"/>
        </w:rPr>
        <w:t>Es gibt auch Träume, aus denen man nicht erwacht, z. B. manche, in denen man träumt, daß man träumt. Nach unserer Kenntnis der Traumarbeit können wir unmöglich zugeben, daß sie sich nur über die Periode des Erwachens erstrecke. Es muß uns im Gegenteil wahrscheinlich werden, daß das erste Stück der Traumarbeit bereits am Tage, noch unter der Herrschaft des Vorbewußten beginnt. Das zweite Stück derselben, die Veränderung durch die Zensur, die Anziehung durch die unbewußten Szenen, das Durchdringen zur Wahrnehmung, das geht wohl die ganze Nacht hindurch fort, und insofern dürften wir immer recht haben, wenn wir eine Empfindung angeben, wir hätten die ganze Nacht geträumt, auch wenn wir nicht zu sagen wissen, was. Ich glaube aber nicht, daß es notwendig ist, anzunehmen, die Traumvorgänge hielten bis zum Bewußtwerden wirklich die zeitliche Folge ein, die wir beschrieben haben; es sei zuerst der übertragene Traumwunsch vorhanden, dann gehe die Entstellung durch die Zensur vor sich, darauf folge die Richtungsänderung der Regression usw. Wir haben eine solche Sukzession bei der Beschreibung herstellen müssen; in Wirklichkeit handelt es sich wohl vielmehr um gleichzeitiges Erproben dieser und jener Wege, um ein Hin- und Herwogen der Erregung, bis endlich durch deren zweckmäßigste Anhäufung gerade die eine Gruppierung die bleibende wird. Ich möchte selbst nach gewissen persönlichen Erfahrungen glauben, daß die Traumarbeit oft mehr als einen Tag und eine Nacht braucht, um ihr Ergebnis zu liefern, wobei dann die außerordentliche Kunst im Aufbau des Traums alles Wunderbare verliert. Selbst die Rücksicht auf die Verständlichkeit als Wahrnehmungsereignis kann meiner Meinung nach zur Wirkung kommen, ehe der Traum das Bewußtsein an sich zieht. Von da an erfährt der Vorgang allerdings eine Beschleunigung, da der Traum ja jetzt dieselbe Behandlung erfährt wie etwas anderes Wahrgenommenes. Es ist wie mit einem Feuerwerk, das stundenlang hergerichtet und dann in einem Moment entzündet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Durch die Traumarbeit gewinnt der Traumvorgang nun entweder die genügende Intensität, um das Bewußtsein auf sich zu ziehen und das Vorbewußte zu wecken, ganz unabhängig von der Zeit und Tiefe des Schlafes; oder seine Intensität ist dazu nicht genügend, und er muß bereit bleiben, bis ihm unmittelbar vor dem Erwachen die beweglicher gewordene Aufmerksamkeit entgegenkommt. Die meisten Träume scheinen mit vergleichsweise geringen psychischen Intensitäten zu arbeiten, denn sie warten das Erwachen ab. Es erklärt sich so aber auch, daß wir in der Regel etwas Geträumtes wahrnehmen, wenn man uns plötzlich aus tiefem Schlafe reißt. Der erste Blick dabei wie beim spontanen Erwachen trifft den von der Traumarbeit geschaffenen Wahrnehmungsinhalt, der nächste dann den von außen gegebenen.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Das größere theoretische Interesse wendet sich aber den Träumen zu, die mitten im Schlafe zu wecken vermögen. Man darf der sonst überall nachweisbaren Zweckmäßigkeit gedenken und sich fragen, warum dem Traum, also dem unbewußten Wunsch, die Macht gelassen wird, den Schlaf, also die Erfüllung des vorbewußten Wunsches, zu stören. Es muß das wohl an Energierelationen liegen, in welche uns die Einsicht fehlt. Besäßen wir diese, so würden wir wahrscheinlich finden, daß das Gewährenlassen des Traums und der Aufwand einer gewissen detachierten Aufmerksamkeit für ihn eine Ersparnis an Energie darstellt gegen den Fall, daß das Unbewußte nachts ebenso in Schranken gehalten werden sollte wie tagsüber. Wie die Erfahrung zeigt, bleibt das Träumen, selbst wenn es mehrmals in einer Nacht den Schlaf unterbricht, mit dem Schlafen vereinbar. Man erwacht für einen Moment und schläft sofort wieder ein. Es ist, wie wenn man schlafend eine Fliege wegscheucht; man erwacht </w:t>
      </w:r>
      <w:r w:rsidRPr="00A06A59">
        <w:rPr>
          <w:rFonts w:ascii="Garamond" w:hAnsi="Garamond" w:cs="Arial"/>
          <w:i/>
          <w:iCs/>
          <w:color w:val="000000"/>
          <w:lang w:val="en-GB"/>
        </w:rPr>
        <w:t>ad hoc</w:t>
      </w:r>
      <w:r w:rsidRPr="00A06A59">
        <w:rPr>
          <w:rFonts w:ascii="Garamond" w:hAnsi="Garamond" w:cs="Arial"/>
          <w:color w:val="000000"/>
          <w:lang w:val="en-GB"/>
        </w:rPr>
        <w:t>. Wenn man wieder einschläft, hat man die Störung beseitigt. Die Erfüllung des Schlafwunsches ist, wie bekannte Beispiele vom Ammenschlaf u. dgl. zeigen, ganz gut mit der Unterhaltung eines gewissen Aufwands von Aufmerksamkeit nach einer bestimmten Richtung vereinbar.</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Hier verlangt aber ein Einwand gehört zu werden, der auf einer besseren Kenntnis der unbewußten Vorgänge fußt. Wir haben selbst die unbewußten Wünsche als immer rege bezeichnet. Trotzdem seien sie bei Tag nicht stark genug, sich vernehmbar zu machen. Wenn aber der Schlafzustand besteht und der unbewußte Wunsch die Kraft gezeigt hat, einen Traum zu bilden und mit ihm das Vorbewußte zu wecken, warum versiegt diese Kraft, nachdem der Traum zur Kenntnis genommen worden ist? Sollte der Traum sich nicht vielmehr fortwährend erneuern, gerade wie die störende Fliege es liebt, immer wieder nach ihrer Vertreibung wiederzukehren? Mit welchem Recht haben wir behauptet, daß der Traum die Schlafstörung beseitigt?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ist ganz richtig, daß die unbewußten Wünsche immer rege bleiben. Sie stellen Wege dar, die immer gangbar sind, sooft ein Erregungsquantum sich ihrer bedient. </w:t>
      </w:r>
      <w:r w:rsidRPr="00A06A59">
        <w:rPr>
          <w:rFonts w:ascii="Garamond" w:hAnsi="Garamond" w:cs="Arial"/>
          <w:color w:val="000000"/>
        </w:rPr>
        <w:t xml:space="preserve">Es ist sogar eine hervorragende Besonderheit unbewußter Vorgänge, daß sie unzerstörbar bleiben. </w:t>
      </w:r>
      <w:r w:rsidRPr="00A06A59">
        <w:rPr>
          <w:rFonts w:ascii="Garamond" w:hAnsi="Garamond" w:cs="Arial"/>
          <w:color w:val="000000"/>
          <w:lang w:val="en-GB"/>
        </w:rPr>
        <w:t xml:space="preserve">Im Unbewußten ist nichts zu Ende zu bringen, ist nichts vergangen oder vergessen. Man bekommt hievon den stärksten Eindruck beim Studium der Neurosen, speziell der Hysterie. Der unbewußte Gedankenweg, der zur Entladung im Anfall führt, ist sofort wieder gangbar, wenn sich genug Erregung angesammelt hat. Die Kränkung, die vor dreißig Jahren vorgefallen ist, wirkt, nachdem sie sich den Zugang zu den unbewußten Affektquellen verschafft hat, alle die dreißig Jahre wie eine frische. Sooft ihre Erinnerung angerührt wird, lebt sie </w:t>
      </w:r>
      <w:r w:rsidRPr="00A06A59">
        <w:rPr>
          <w:rFonts w:ascii="Garamond" w:hAnsi="Garamond" w:cs="Arial"/>
          <w:color w:val="000000"/>
          <w:lang w:val="en-GB"/>
        </w:rPr>
        <w:lastRenderedPageBreak/>
        <w:t xml:space="preserve">wieder auf und zeigt sich mit Erregung besetzt, die sich in einem Anfall motorische Abfuhr verschafft. Gerade hier hat die Psychotherapie einzugreifen. Ihre Aufgabe ist es, für die unbewußten Vorgänge eine Erledigung und ein Vergessen zu schaffen. Was wir nämlich geneigt sind, für selbstverständlich zu halten, und für einen primären Einfluß der Zeit auf die seelischen Erinnerungsreste erklären, das Abblassen der Erinnerungen und die Affektschwäche der nicht mehr rezenten Eindrücke, das sind in Wirklichkeit sekundäre Veränderungen, die durch mühevolle Arbeit zustande kommen. Es ist das Vorbewußte, welches diese Arbeit leistet, </w:t>
      </w:r>
      <w:r w:rsidRPr="00A06A59">
        <w:rPr>
          <w:rFonts w:ascii="Garamond" w:hAnsi="Garamond" w:cs="Arial"/>
          <w:i/>
          <w:iCs/>
          <w:color w:val="000000"/>
          <w:lang w:val="en-GB"/>
        </w:rPr>
        <w:t>und die Psychotherapie kann keinen anderen</w:t>
      </w:r>
      <w:r w:rsidRPr="00A06A59">
        <w:rPr>
          <w:rFonts w:ascii="Garamond" w:hAnsi="Garamond" w:cs="Arial"/>
          <w:color w:val="000000"/>
          <w:lang w:val="en-GB"/>
        </w:rPr>
        <w:t xml:space="preserve"> Weg </w:t>
      </w:r>
      <w:r w:rsidRPr="00A06A59">
        <w:rPr>
          <w:rFonts w:ascii="Garamond" w:hAnsi="Garamond" w:cs="Arial"/>
          <w:i/>
          <w:iCs/>
          <w:color w:val="000000"/>
          <w:lang w:val="en-GB"/>
        </w:rPr>
        <w:t>einschlagen, als das Ubw der Herrschaft des Vbw zu unterwerfen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Für den einzelnen unbewußten Erregungsvorgang gibt es also zwei Ausgänge. Entweder er bleibt sich selbst überlassen, dann bricht er endlich irgendwo durch und schafft seiner Erregung für dies eine Mal einen Abfluß in die Motilität, oder er unterliegt der Beeinflussung des Vorbewußten, und seine Erregung wird durch dasselbe </w:t>
      </w:r>
      <w:r w:rsidRPr="00A06A59">
        <w:rPr>
          <w:rFonts w:ascii="Garamond" w:hAnsi="Garamond" w:cs="Arial"/>
          <w:i/>
          <w:iCs/>
          <w:color w:val="000000"/>
          <w:lang w:val="en-GB"/>
        </w:rPr>
        <w:t>gebunden</w:t>
      </w:r>
      <w:r w:rsidRPr="00A06A59">
        <w:rPr>
          <w:rFonts w:ascii="Garamond" w:hAnsi="Garamond" w:cs="Arial"/>
          <w:color w:val="000000"/>
          <w:lang w:val="en-GB"/>
        </w:rPr>
        <w:t xml:space="preserve"> anstatt </w:t>
      </w:r>
      <w:r w:rsidRPr="00A06A59">
        <w:rPr>
          <w:rFonts w:ascii="Garamond" w:hAnsi="Garamond" w:cs="Arial"/>
          <w:i/>
          <w:iCs/>
          <w:color w:val="000000"/>
          <w:lang w:val="en-GB"/>
        </w:rPr>
        <w:t>abgeführt. Letzteres aber geschieht beim Traumvorgang.</w:t>
      </w:r>
      <w:r w:rsidRPr="00A06A59">
        <w:rPr>
          <w:rFonts w:ascii="Garamond" w:hAnsi="Garamond" w:cs="Arial"/>
          <w:color w:val="000000"/>
          <w:lang w:val="en-GB"/>
        </w:rPr>
        <w:t xml:space="preserve"> Die Besetzung, die dem zur Wahrnehmung gewordenen Traum von seiten des </w:t>
      </w:r>
      <w:r w:rsidRPr="00A06A59">
        <w:rPr>
          <w:rFonts w:ascii="Garamond" w:hAnsi="Garamond" w:cs="Arial"/>
          <w:i/>
          <w:iCs/>
          <w:color w:val="000000"/>
          <w:lang w:val="en-GB"/>
        </w:rPr>
        <w:t>Vbw</w:t>
      </w:r>
      <w:r w:rsidRPr="00A06A59">
        <w:rPr>
          <w:rFonts w:ascii="Garamond" w:hAnsi="Garamond" w:cs="Arial"/>
          <w:color w:val="000000"/>
          <w:lang w:val="en-GB"/>
        </w:rPr>
        <w:t xml:space="preserve"> entgegenkommt, weil sie durch die Bewußtseinserregung hingelenkt worden ist, bindet die unbewußte Erregung des Traumes und macht sie als Störung unschädlich. Wenn der Träumer für einen Augenblick erwacht, so hat er wirklich die Fliege weggescheucht, die den Schlaf zu stören drohte. Es kann uns jetzt ahnen, daß es wirklich zweckmäßiger und wohlfeiler war, den unbewußten Wunsch gewähren zu lassen, ihm den Weg zur Regression freizugeben, damit er einen Traum bilde, und dann diesen Traum durch einen kleinen Aufwand von vorbewußter Arbeit zu binden und zu erledigen, als das Unbewußte auch die ganze Zeit des Schlafens über im Zaume zu halten. Es stand ja zu erwarten, daß der Traum, auch wenn er ursprünglich kein zweckmäßiger Vorgang war, im Kräftespiel des seelischen Lebens sich einer Funktion bemächtigt haben würde. Wir sehen, welches diese Funktion ist. Er hat die Aufgabe übernommen, die freigelassene Erregung des </w:t>
      </w:r>
      <w:r w:rsidRPr="00A06A59">
        <w:rPr>
          <w:rFonts w:ascii="Garamond" w:hAnsi="Garamond" w:cs="Arial"/>
          <w:i/>
          <w:iCs/>
          <w:color w:val="000000"/>
          <w:lang w:val="en-GB"/>
        </w:rPr>
        <w:t>Ubw</w:t>
      </w:r>
      <w:r w:rsidRPr="00A06A59">
        <w:rPr>
          <w:rFonts w:ascii="Garamond" w:hAnsi="Garamond" w:cs="Arial"/>
          <w:color w:val="000000"/>
          <w:lang w:val="en-GB"/>
        </w:rPr>
        <w:t xml:space="preserve"> wieder unter die Herrschaft des Vorbewußten zu bringen; er führt dabei die Erregung des </w:t>
      </w:r>
      <w:r w:rsidRPr="00A06A59">
        <w:rPr>
          <w:rFonts w:ascii="Garamond" w:hAnsi="Garamond" w:cs="Arial"/>
          <w:i/>
          <w:iCs/>
          <w:color w:val="000000"/>
          <w:lang w:val="en-GB"/>
        </w:rPr>
        <w:t>Ubw</w:t>
      </w:r>
      <w:r w:rsidRPr="00A06A59">
        <w:rPr>
          <w:rFonts w:ascii="Garamond" w:hAnsi="Garamond" w:cs="Arial"/>
          <w:color w:val="000000"/>
          <w:lang w:val="en-GB"/>
        </w:rPr>
        <w:t xml:space="preserve"> ab, dient ihm als Ventil und sichert gleichzeitig gegen einen geringen Aufwand an Wachtätigkeit den Schlaf des Vorbewußten. So stellt er sich als ein Kompromiß, ganz wie die anderen psychischen Bildungen seiner Reihe, gleichzeitig in den Dienst der beiden Systeme, indem er beider Wünsche, insoweit sie miteinander verträglich sind, erfüllt. Ein Blick auf die S. 55 mitgeteilte </w:t>
      </w:r>
      <w:r w:rsidRPr="00A06A59">
        <w:rPr>
          <w:rFonts w:ascii="Garamond" w:hAnsi="Garamond" w:cs="Arial"/>
          <w:i/>
          <w:iCs/>
          <w:color w:val="000000"/>
          <w:lang w:val="en-GB"/>
        </w:rPr>
        <w:t>Robert</w:t>
      </w:r>
      <w:r w:rsidRPr="00A06A59">
        <w:rPr>
          <w:rFonts w:ascii="Garamond" w:hAnsi="Garamond" w:cs="Arial"/>
          <w:color w:val="000000"/>
          <w:lang w:val="en-GB"/>
        </w:rPr>
        <w:t xml:space="preserve">sche »Ausscheidungstheorie« wird zeigen, daß wir diesem Autor in der Hauptsache, in der Bestimmung der Funktion des Traumes, recht geben müssen, während wir in den Voraussetzungen und in der Würdigung des Traumvorgangs von ihm abweichen.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rPr>
      </w:pPr>
      <w:hyperlink r:id="rId252"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Ist dies die einzige Funktion, die wir dem Traume zugestehen können? Ich kenne keine andere. A. </w:t>
        </w:r>
        <w:r w:rsidR="00A06A59" w:rsidRPr="00A06A59">
          <w:rPr>
            <w:rStyle w:val="innerfusslink3"/>
            <w:rFonts w:ascii="Garamond" w:hAnsi="Garamond" w:cs="Arial"/>
            <w:bCs/>
            <w:i/>
            <w:iCs/>
            <w:color w:val="0000CC"/>
            <w:lang w:val="en-GB"/>
          </w:rPr>
          <w:t>Maeder</w:t>
        </w:r>
        <w:r w:rsidR="00A06A59" w:rsidRPr="00A06A59">
          <w:rPr>
            <w:rStyle w:val="innerfusslink3"/>
            <w:rFonts w:ascii="Garamond" w:hAnsi="Garamond" w:cs="Arial"/>
            <w:bCs/>
            <w:color w:val="0000CC"/>
            <w:lang w:val="en-GB"/>
          </w:rPr>
          <w:t xml:space="preserve"> hat zwar den Versuch gemacht, andere, »sekundäre« Funktionen für den Traum in Anspruch zu nehmen. Er ging von der richtigen Beobachtung aus, daß manche Träume Lösungsversuche von Konflikten enthalten, die späterhin wirklich durchgeführt werden, sich also wie Vorübungen zu »Wachtätigkeiten verhalten. Er brachte darum das Träumen in Parallele zu dem Spielen der Tiere und der Kinder, welches als vorübende Betätigung mitgebrachter Instinkte und als Vorbereitung für späteres ernsthaftes Tun aufzufassen ist, und stellte eine </w:t>
        </w:r>
        <w:r w:rsidR="00A06A59" w:rsidRPr="00A06A59">
          <w:rPr>
            <w:rStyle w:val="innerfusslink3"/>
            <w:rFonts w:ascii="Garamond" w:hAnsi="Garamond" w:cs="Arial"/>
            <w:bCs/>
            <w:i/>
            <w:iCs/>
            <w:color w:val="0000CC"/>
            <w:lang w:val="en-GB"/>
          </w:rPr>
          <w:t>fonction ludique</w:t>
        </w:r>
        <w:r w:rsidR="00A06A59" w:rsidRPr="00A06A59">
          <w:rPr>
            <w:rStyle w:val="innerfusslink3"/>
            <w:rFonts w:ascii="Garamond" w:hAnsi="Garamond" w:cs="Arial"/>
            <w:bCs/>
            <w:color w:val="0000CC"/>
            <w:lang w:val="en-GB"/>
          </w:rPr>
          <w:t xml:space="preserve"> des Träumens auf. Kurze Zeit vor Maeder war die »vorausdenkende« Funktion des Traumes auch von Alf. </w:t>
        </w:r>
        <w:r w:rsidR="00A06A59" w:rsidRPr="00A06A59">
          <w:rPr>
            <w:rStyle w:val="innerfusslink3"/>
            <w:rFonts w:ascii="Garamond" w:hAnsi="Garamond" w:cs="Arial"/>
            <w:bCs/>
            <w:i/>
            <w:iCs/>
            <w:color w:val="0000CC"/>
            <w:lang w:val="en-GB"/>
          </w:rPr>
          <w:t>Adler</w:t>
        </w:r>
        <w:r w:rsidR="00A06A59" w:rsidRPr="00A06A59">
          <w:rPr>
            <w:rStyle w:val="innerfusslink3"/>
            <w:rFonts w:ascii="Garamond" w:hAnsi="Garamond" w:cs="Arial"/>
            <w:bCs/>
            <w:color w:val="0000CC"/>
            <w:lang w:val="en-GB"/>
          </w:rPr>
          <w:t xml:space="preserve"> betont worden. (In einer von mir 1905 veröffentlichten Analyse wurde ein als Vorsatz aufzufassender Traum jede Nacht bis zu seiner Ausführung wiederholt.)</w:t>
        </w:r>
      </w:hyperlink>
      <w:r w:rsidR="00A06A59" w:rsidRPr="00A06A59">
        <w:rPr>
          <w:rFonts w:ascii="Garamond" w:hAnsi="Garamond" w:cs="Arial"/>
          <w:color w:val="0000CC"/>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Allein eine leichte Überlegung muß uns lehren, daß diese »sekundäre« Funktion des Traumes im Rahmen einer Traumdeutung keine Anerkennung verdient. Das Vorausdenken, Fassen von Vorsätzen, Entwerfen von Lösungsversuchen, die dann eventuell im Wachleben verwirklicht werden können, dies und viel anderes sind Leistungen der unbewußten und vorbewußten Tätigkeit des Geistes, welche sich als »Tagesrest« in den Schlafzustand fortsetzen und dann mit einem unbewußten Wunsch (siehe S. 55) zur Traumbildung zusammentreten kann. Die vorausdenkende Funktion des Traumes ist also vielmehr eine Funktion des vorbewußten Wachdenkens, deren Ergebnis uns durch die Analyse der Träume oder auch anderer Phänomene verraten werden kann. </w:t>
      </w:r>
      <w:r w:rsidRPr="00A06A59">
        <w:rPr>
          <w:rFonts w:ascii="Garamond" w:hAnsi="Garamond" w:cs="Arial"/>
          <w:color w:val="000000"/>
          <w:lang w:val="en-GB"/>
        </w:rPr>
        <w:t>Nachdem man so lange den Traum mit seinem manifesten Inhalt zusammenfallen ließ, muß man sich jetzt auch davor hüten, den Traum mit den latenten Traumgedanken zu verwechseln.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Einschränkung, </w:t>
      </w:r>
      <w:r w:rsidRPr="00A06A59">
        <w:rPr>
          <w:rFonts w:ascii="Garamond" w:hAnsi="Garamond" w:cs="Arial"/>
          <w:i/>
          <w:iCs/>
          <w:color w:val="000000"/>
          <w:lang w:val="en-GB"/>
        </w:rPr>
        <w:t>insofern beide Wünsche miteinander verträglich sind</w:t>
      </w:r>
      <w:r w:rsidRPr="00A06A59">
        <w:rPr>
          <w:rFonts w:ascii="Garamond" w:hAnsi="Garamond" w:cs="Arial"/>
          <w:color w:val="000000"/>
          <w:lang w:val="en-GB"/>
        </w:rPr>
        <w:t xml:space="preserve">, enthält einen Hinweis auf die möglichen Fälle, in denen die Funktion des Traums zum Scheitern gelangt. Der Traumvorgang wird zunächst als Wunscherfüllung des Unbewußten zugelassen; wenn diese versuchte Wunscherfüllung am Vorbewußten so intensiv rüttelt, daß dies seine Ruhe nicht mehr bewahren kann, so hat der Traum das Kompromiß gebrochen, das andere Stück seiner Aufgabe nicht mehr erfüllt. Er wird dann sofort abgebrochen und durch das volle Erwachen ersetzt. Es ist eigentlich auch hier nicht die Schuld des Traums, wenn er, sonst Hüter des Schlafes, als Störer desselben auftreten muß, und braucht uns gegen seine Zweckmäßigkeit nicht einzunehmen. Es ist dies nicht der einzige Fall im Organismus, daß eine sonst zweckmäßige Einrichtung unzweckmäßig und störend wird, sobald an den Bedingungen ihres Entstehens etwas geändert ist, und dann dient die Störung wenigstens dem neuen Zweck, die Veränderung anzuzeigen und die Regulierungsmittel des Organismus wider sie wachzurufen. Ich habe natürlich den Fall des Angsttraumes im Auge, </w:t>
      </w:r>
      <w:r w:rsidRPr="00A06A59">
        <w:rPr>
          <w:rFonts w:ascii="Garamond" w:hAnsi="Garamond" w:cs="Arial"/>
          <w:color w:val="000000"/>
          <w:lang w:val="en-GB"/>
        </w:rPr>
        <w:lastRenderedPageBreak/>
        <w:t>und um nicht dem Anscheine recht zu geben, daß ich diesem Zeugen gegen die Theorie der Wunscherfüllung ausweiche, wo immer ich auf ihn stoße, will ich der Erklärung des Angsttraumes wenigstens mit Andeutungen näher treten.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Daß ein psychischer Vorgang, der Angst entwickelt, darum doch eine Wunscherfüllung sein kann, enthält für uns längst keinen Widerspruch mehr. Wir wissen uns das Vorkommnis so zu erklären, daß der Wunsch dem einen System, dem </w:t>
      </w:r>
      <w:r w:rsidRPr="00A06A59">
        <w:rPr>
          <w:rFonts w:ascii="Garamond" w:hAnsi="Garamond" w:cs="Arial"/>
          <w:i/>
          <w:iCs/>
          <w:color w:val="000000"/>
          <w:lang w:val="en-GB"/>
        </w:rPr>
        <w:t>Ubw</w:t>
      </w:r>
      <w:r w:rsidRPr="00A06A59">
        <w:rPr>
          <w:rFonts w:ascii="Garamond" w:hAnsi="Garamond" w:cs="Arial"/>
          <w:color w:val="000000"/>
          <w:lang w:val="en-GB"/>
        </w:rPr>
        <w:t xml:space="preserve">, angehört, während das System des </w:t>
      </w:r>
      <w:r w:rsidRPr="00A06A59">
        <w:rPr>
          <w:rFonts w:ascii="Garamond" w:hAnsi="Garamond" w:cs="Arial"/>
          <w:i/>
          <w:iCs/>
          <w:color w:val="000000"/>
          <w:lang w:val="en-GB"/>
        </w:rPr>
        <w:t>Vbw</w:t>
      </w:r>
      <w:r w:rsidRPr="00A06A59">
        <w:rPr>
          <w:rFonts w:ascii="Garamond" w:hAnsi="Garamond" w:cs="Arial"/>
          <w:color w:val="000000"/>
          <w:lang w:val="en-GB"/>
        </w:rPr>
        <w:t xml:space="preserve"> diesen Wunsch verworfen und unterdrückt hat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rPr>
      </w:pPr>
      <w:hyperlink r:id="rId253"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»Ein zweites, weit wichtigeres und tiefer reichendes Moment, welches der Laie gleichfalls vernachlässigt, ist das folgende. Eine Wunscherfüllung müßte gewiß Lust bringen, aber es fragt sich auch, wem? Natürlich dem, der den Wunsch hat. Vom Träumer ist uns aber bekannt, daß er zu seinen Wünschen ein ganz besonderes Verhältnis unterhält. Er verwirft sie, zensuriert sie, kurz, er mag sie nicht. Eine Erfüllung derselben kann ihm also keine Lust bringen, sondern nur das Gegenteil davon. Die Erfahrung zeigt dann, daß dieses Gegenteil, was noch zu erklären ist, in der Form der Angst auftritt. Der Träumer kann also in seinem Verhältnis zu seinen Traumwünschen nur einer Summation von zwei Personen gleichgestellt werden, die doch durch eine starke Gemeinsamkeit verbunden sind. Anstatt aller weiteren Ausführungen biete ich Ihnen ein bekanntes Märchen, in welchem Sie die nämlichen Beziehungen wiederfinden werden: Eine gute Fee verspricht einem armen Menschenpaar, Mann und Frau, die Erfüllung ihrer drei ersten Wünsche. Sie sind selig und nehmen sich vor, diese drei Wünsche sorgfältig auszuwählen. Die Frau läßt sich aber durch den Duft von Bratwürstchen aus der nächsten Hütte verleiten, sich ein solches Paar Würstchen herzuwünschen. Flugs sind sie auch da; das ist die erste Wunscherfüllung. Nun wird der Mann böse und wünscht in seiner Erbitterung, daß die Würste der Frau an der Nase hängen mögen. Das vollzieht sich auch, und die Würste sind von ihrem neuen Standort nicht wegzubringen; das ist nun die zweite Wunscherfüllung, aber der Wunsch ist der des Mannes; der Frau ist diese Wunscherfüllung sehr unangenehm. Sie wissen, wie es im Märchen weitergeht. Da die beiden im Grunde doch eines sind, Mann und Frau, muß der dritte Wunsch lauten, daß die Würstchen von der Nase der Frau weggehen mögen. Wir könnten dieses Märchen noch mehrmals in anderem Zusammenhange verwerten; hier diene es uns nur als Illustration der Möglichkeit, daß die Wunscherfüllung des einen zur Unlust für den anderen führen kann, wenn die beiden miteinander nicht einig sind.« ( </w:t>
        </w:r>
        <w:r w:rsidR="00A06A59" w:rsidRPr="00A06A59">
          <w:rPr>
            <w:rStyle w:val="innerfusslink3"/>
            <w:rFonts w:ascii="Garamond" w:hAnsi="Garamond" w:cs="Arial"/>
            <w:bCs/>
            <w:i/>
            <w:iCs/>
            <w:color w:val="0000CC"/>
            <w:lang w:val="en-GB"/>
          </w:rPr>
          <w:t>Vorlesungen zur Einführung in die Psychoanalyse</w:t>
        </w:r>
        <w:r w:rsidR="00A06A59" w:rsidRPr="00A06A59">
          <w:rPr>
            <w:rStyle w:val="innerfusslink3"/>
            <w:rFonts w:ascii="Garamond" w:hAnsi="Garamond" w:cs="Arial"/>
            <w:bCs/>
            <w:color w:val="0000CC"/>
            <w:lang w:val="en-GB"/>
          </w:rPr>
          <w:t>, XIV, Ges. Schriften, Bd. VII.)</w:t>
        </w:r>
      </w:hyperlink>
      <w:r w:rsidR="00A06A59" w:rsidRPr="00A06A59">
        <w:rPr>
          <w:rFonts w:ascii="Garamond" w:hAnsi="Garamond" w:cs="Arial"/>
          <w:color w:val="0000CC"/>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 Unterwerfung des </w:t>
      </w:r>
      <w:r w:rsidRPr="00A06A59">
        <w:rPr>
          <w:rFonts w:ascii="Garamond" w:hAnsi="Garamond" w:cs="Arial"/>
          <w:i/>
          <w:iCs/>
          <w:color w:val="000000"/>
        </w:rPr>
        <w:t>Ubw</w:t>
      </w:r>
      <w:r w:rsidRPr="00A06A59">
        <w:rPr>
          <w:rFonts w:ascii="Garamond" w:hAnsi="Garamond" w:cs="Arial"/>
          <w:color w:val="000000"/>
        </w:rPr>
        <w:t xml:space="preserve"> durch das </w:t>
      </w:r>
      <w:r w:rsidRPr="00A06A59">
        <w:rPr>
          <w:rFonts w:ascii="Garamond" w:hAnsi="Garamond" w:cs="Arial"/>
          <w:i/>
          <w:iCs/>
          <w:color w:val="000000"/>
        </w:rPr>
        <w:t>Vbw</w:t>
      </w:r>
      <w:r w:rsidRPr="00A06A59">
        <w:rPr>
          <w:rFonts w:ascii="Garamond" w:hAnsi="Garamond" w:cs="Arial"/>
          <w:color w:val="000000"/>
        </w:rPr>
        <w:t xml:space="preserve"> ist auch bei völliger psychischer Gesundheit keine durchgreifende; das Maß dieser Unterdrückung ergibt den Grad unserer psychischen Normalität. Neurotische Symptome zeigen uns an, daß sich die beiden Systeme im Konflikt miteinander befinden, sie sind die Kompromißergebnisse dieses Konflikts, die ihm ein vorläufiges Ende setzen. Sie gestatten einerseits dem </w:t>
      </w:r>
      <w:r w:rsidRPr="00A06A59">
        <w:rPr>
          <w:rFonts w:ascii="Garamond" w:hAnsi="Garamond" w:cs="Arial"/>
          <w:i/>
          <w:iCs/>
          <w:color w:val="000000"/>
        </w:rPr>
        <w:t>Ubw</w:t>
      </w:r>
      <w:r w:rsidRPr="00A06A59">
        <w:rPr>
          <w:rFonts w:ascii="Garamond" w:hAnsi="Garamond" w:cs="Arial"/>
          <w:color w:val="000000"/>
        </w:rPr>
        <w:t xml:space="preserve"> einen Ausweg für den Abfluß seiner Erregung, dienen ihm als Ausfallstor, und geben doch anderseits dem </w:t>
      </w:r>
      <w:r w:rsidRPr="00A06A59">
        <w:rPr>
          <w:rFonts w:ascii="Garamond" w:hAnsi="Garamond" w:cs="Arial"/>
          <w:i/>
          <w:iCs/>
          <w:color w:val="000000"/>
        </w:rPr>
        <w:t>Vbw</w:t>
      </w:r>
      <w:r w:rsidRPr="00A06A59">
        <w:rPr>
          <w:rFonts w:ascii="Garamond" w:hAnsi="Garamond" w:cs="Arial"/>
          <w:color w:val="000000"/>
        </w:rPr>
        <w:t xml:space="preserve"> die Möglichkeit, das </w:t>
      </w:r>
      <w:r w:rsidRPr="00A06A59">
        <w:rPr>
          <w:rFonts w:ascii="Garamond" w:hAnsi="Garamond" w:cs="Arial"/>
          <w:i/>
          <w:iCs/>
          <w:color w:val="000000"/>
        </w:rPr>
        <w:t>Ubw</w:t>
      </w:r>
      <w:r w:rsidRPr="00A06A59">
        <w:rPr>
          <w:rFonts w:ascii="Garamond" w:hAnsi="Garamond" w:cs="Arial"/>
          <w:color w:val="000000"/>
        </w:rPr>
        <w:t xml:space="preserve"> einigermaßen zu beherrschen. </w:t>
      </w:r>
      <w:r w:rsidRPr="00A06A59">
        <w:rPr>
          <w:rFonts w:ascii="Garamond" w:hAnsi="Garamond" w:cs="Arial"/>
          <w:color w:val="000000"/>
          <w:lang w:val="en-GB"/>
        </w:rPr>
        <w:t>Lehrreich ist es z. B. , die Bedeutung einer hysterischen Phobie oder der Platzangst in Betracht zu ziehen. Ein Neurotiker sei unfähig, allein über die Straße zu gehen, was wir mit Recht als »Symptom« anführen. Man hebe nun dieses Symptom auf, indem man ihn zu dieser Handlung nötigt, für die er sich unfähig glaubt. Es erfolgt dann ein Angstanfall, wie auch oft ein Angstanfall auf der Straße die Veranlassung für die Herstellung der Platzangst geworden ist. Wir erfahren so, daß das Symptom konstituiert worden ist, um den Ausbruch der Angst zu verhüten; die Phobie ist der Angst wie eine Grenzfestung vorgelegt.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Unsere Erörterung läßt sich nicht weiterführen, wenn wir nicht auf die Rolle der Affekte bei diesen Vorgängen eingehen, was aber hier nur unvollkommen möglich ist. Stellen wir also den Satz auf, daß die Unterdrückung des </w:t>
      </w:r>
      <w:r w:rsidRPr="00A06A59">
        <w:rPr>
          <w:rFonts w:ascii="Garamond" w:hAnsi="Garamond" w:cs="Arial"/>
          <w:i/>
          <w:iCs/>
          <w:color w:val="000000"/>
          <w:lang w:val="en-GB"/>
        </w:rPr>
        <w:t>Ubw</w:t>
      </w:r>
      <w:r w:rsidRPr="00A06A59">
        <w:rPr>
          <w:rFonts w:ascii="Garamond" w:hAnsi="Garamond" w:cs="Arial"/>
          <w:color w:val="000000"/>
          <w:lang w:val="en-GB"/>
        </w:rPr>
        <w:t xml:space="preserve"> vor allem darum notwendig wird, weil der sich selbst überlassene Vorstellungsablauf im </w:t>
      </w:r>
      <w:r w:rsidRPr="00A06A59">
        <w:rPr>
          <w:rFonts w:ascii="Garamond" w:hAnsi="Garamond" w:cs="Arial"/>
          <w:i/>
          <w:iCs/>
          <w:color w:val="000000"/>
          <w:lang w:val="en-GB"/>
        </w:rPr>
        <w:t>Ubw</w:t>
      </w:r>
      <w:r w:rsidRPr="00A06A59">
        <w:rPr>
          <w:rFonts w:ascii="Garamond" w:hAnsi="Garamond" w:cs="Arial"/>
          <w:color w:val="000000"/>
          <w:lang w:val="en-GB"/>
        </w:rPr>
        <w:t xml:space="preserve"> einen Affekt entwickeln würde, der ursprünglich den Charakter der Lust hatte, aber seit dem Vorgang der </w:t>
      </w:r>
      <w:r w:rsidRPr="00A06A59">
        <w:rPr>
          <w:rFonts w:ascii="Garamond" w:hAnsi="Garamond" w:cs="Arial"/>
          <w:i/>
          <w:iCs/>
          <w:color w:val="000000"/>
          <w:lang w:val="en-GB"/>
        </w:rPr>
        <w:t>Verdrängung</w:t>
      </w:r>
      <w:r w:rsidRPr="00A06A59">
        <w:rPr>
          <w:rFonts w:ascii="Garamond" w:hAnsi="Garamond" w:cs="Arial"/>
          <w:color w:val="000000"/>
          <w:lang w:val="en-GB"/>
        </w:rPr>
        <w:t xml:space="preserve"> den Charakter der Unlust trägt. Die Unterdrückung hat den Zweck, aber auch den Erfolg, diese Unlustentwicklung zu verhüten. Die Unterdrückung erstreckt sich auf den Vorstellungsinhalt des </w:t>
      </w:r>
      <w:r w:rsidRPr="00A06A59">
        <w:rPr>
          <w:rFonts w:ascii="Garamond" w:hAnsi="Garamond" w:cs="Arial"/>
          <w:i/>
          <w:iCs/>
          <w:color w:val="000000"/>
          <w:lang w:val="en-GB"/>
        </w:rPr>
        <w:t>Ubw</w:t>
      </w:r>
      <w:r w:rsidRPr="00A06A59">
        <w:rPr>
          <w:rFonts w:ascii="Garamond" w:hAnsi="Garamond" w:cs="Arial"/>
          <w:color w:val="000000"/>
          <w:lang w:val="en-GB"/>
        </w:rPr>
        <w:t xml:space="preserve">, weil vom Vorstellungsinhalt her die Entbindung der Unlust erfolgen könnte. Eine ganz bestimmte Annahme über die Natur der Affektentwicklung ist hier zugrunde gelegt. Dieselbe wird als eine motorische oder sekretorische Leistung angesehen, zu welcher der Innervationsschlüssel in den Vorstellungen des </w:t>
      </w:r>
      <w:r w:rsidRPr="00A06A59">
        <w:rPr>
          <w:rFonts w:ascii="Garamond" w:hAnsi="Garamond" w:cs="Arial"/>
          <w:i/>
          <w:iCs/>
          <w:color w:val="000000"/>
          <w:lang w:val="en-GB"/>
        </w:rPr>
        <w:t>Ubw</w:t>
      </w:r>
      <w:r w:rsidRPr="00A06A59">
        <w:rPr>
          <w:rFonts w:ascii="Garamond" w:hAnsi="Garamond" w:cs="Arial"/>
          <w:color w:val="000000"/>
          <w:lang w:val="en-GB"/>
        </w:rPr>
        <w:t xml:space="preserve"> gelegen ist. Durch die Beherrschung von seiten des </w:t>
      </w:r>
      <w:r w:rsidRPr="00A06A59">
        <w:rPr>
          <w:rFonts w:ascii="Garamond" w:hAnsi="Garamond" w:cs="Arial"/>
          <w:i/>
          <w:iCs/>
          <w:color w:val="000000"/>
          <w:lang w:val="en-GB"/>
        </w:rPr>
        <w:t>Vbw</w:t>
      </w:r>
      <w:r w:rsidRPr="00A06A59">
        <w:rPr>
          <w:rFonts w:ascii="Garamond" w:hAnsi="Garamond" w:cs="Arial"/>
          <w:color w:val="000000"/>
          <w:lang w:val="en-GB"/>
        </w:rPr>
        <w:t xml:space="preserve"> werden diese Vorstellungen gleichsam gedrosselt, an der Aussendung der Affekt entwickelnden Impulse gehemmt. Die Gefahr, wenn die Besetzung von seiten des </w:t>
      </w:r>
      <w:r w:rsidRPr="00A06A59">
        <w:rPr>
          <w:rFonts w:ascii="Garamond" w:hAnsi="Garamond" w:cs="Arial"/>
          <w:i/>
          <w:iCs/>
          <w:color w:val="000000"/>
          <w:lang w:val="en-GB"/>
        </w:rPr>
        <w:t>Vbw</w:t>
      </w:r>
      <w:r w:rsidRPr="00A06A59">
        <w:rPr>
          <w:rFonts w:ascii="Garamond" w:hAnsi="Garamond" w:cs="Arial"/>
          <w:color w:val="000000"/>
          <w:lang w:val="en-GB"/>
        </w:rPr>
        <w:t xml:space="preserve"> aufhört, besteht also darin, daß die unbewußten Erregungen solchen Affekt entbinden, der – infolge der früher stattgehabten Verdrängung – nur als Unlust, als Angst, verspürt werden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Diese Gefahr wird durch das Gewährenlassen des Traumvorganges entfesselt. Die Bedingungen für deren Realisierung liegen darin, daß Verdrängungen stattgefunden haben und daß die unterdrückten Wunschregungen stark genug werden können. </w:t>
      </w:r>
      <w:r w:rsidRPr="00A06A59">
        <w:rPr>
          <w:rFonts w:ascii="Garamond" w:hAnsi="Garamond" w:cs="Arial"/>
          <w:color w:val="000000"/>
        </w:rPr>
        <w:t xml:space="preserve">Sie stehen also ganz außerhalb des psychologischen Rahmens der Traumbildung. Wäre es nicht, daß unser Thema durch dies eine Moment, die Befreiung des </w:t>
      </w:r>
      <w:r w:rsidRPr="00A06A59">
        <w:rPr>
          <w:rFonts w:ascii="Garamond" w:hAnsi="Garamond" w:cs="Arial"/>
          <w:i/>
          <w:iCs/>
          <w:color w:val="000000"/>
        </w:rPr>
        <w:t>Ubw</w:t>
      </w:r>
      <w:r w:rsidRPr="00A06A59">
        <w:rPr>
          <w:rFonts w:ascii="Garamond" w:hAnsi="Garamond" w:cs="Arial"/>
          <w:color w:val="000000"/>
        </w:rPr>
        <w:t xml:space="preserve"> während des Schlafs, mit dem Thema der </w:t>
      </w:r>
      <w:r w:rsidRPr="00A06A59">
        <w:rPr>
          <w:rFonts w:ascii="Garamond" w:hAnsi="Garamond" w:cs="Arial"/>
          <w:color w:val="000000"/>
        </w:rPr>
        <w:lastRenderedPageBreak/>
        <w:t>Angstentwicklung zusammenhinge, so könnte ich auf die Besprechung des Angsttraumes verzichten und mir alle ihm anhängenden Dunkelheiten hier ersparen.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Lehre vom Angsttraum gehört, wie ich schon wiederholt ausgesprochen habe, in die Neurosenpsychologie. Wir haben weiter nichts mit ihr zu schaffen, nachdem wir einmal ihre Berührungsstelle mit dem Thema des Traumvorgangs aufgezeigt haben. Ich kann nur noch eines tun. Da ich behauptet habe, daß die neurotische Angst aus sexuellen Quellen stammt, kann ich Angstträume der Analyse unterziehen, um das sexuelle Material in deren Traumgedanken nachzuweisen.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Aus guten Gründen verzichte ich hier auf alle die Beispiele, die mir neurotische Patienten in reicher Fülle bieten, und bevorzuge Angstträume von jugendlichen Personen.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selbst habe seit Jahrzehnten keinen eigentlichen Angsttraum mehr gehabt. Aus meinem siebenten oder achten Jahre erinnere ich mich an einen solchen, den ich etwa dreißig Jahre später der Deutung unterworfen habe. Er war sehr lebhaft und zeigte mir </w:t>
      </w:r>
      <w:r w:rsidRPr="00A06A59">
        <w:rPr>
          <w:rFonts w:ascii="Garamond" w:hAnsi="Garamond" w:cs="Arial"/>
          <w:i/>
          <w:iCs/>
          <w:color w:val="000000"/>
          <w:lang w:val="en-GB"/>
        </w:rPr>
        <w:t>die geliebte Mutter miteigentümlich ruhigem, schlafendem Gesichtsausdruck, die von zwei (oder drei) Personen mit Vogelschnäbeln ins Zimmer getragen und aufs Bett gelegt wird</w:t>
      </w:r>
      <w:r w:rsidRPr="00A06A59">
        <w:rPr>
          <w:rFonts w:ascii="Garamond" w:hAnsi="Garamond" w:cs="Arial"/>
          <w:color w:val="000000"/>
          <w:lang w:val="en-GB"/>
        </w:rPr>
        <w:t xml:space="preserve">. Ich erwachte weinend und schreiend und störte den Schlaf der Eltern. Die – eigentümlich drapierten – überlangen Gestalten mit Vogelschnäbeln hatte ich den Illustrationen der </w:t>
      </w:r>
      <w:r w:rsidRPr="00A06A59">
        <w:rPr>
          <w:rFonts w:ascii="Garamond" w:hAnsi="Garamond" w:cs="Arial"/>
          <w:i/>
          <w:iCs/>
          <w:color w:val="000000"/>
          <w:lang w:val="en-GB"/>
        </w:rPr>
        <w:t>Philippsonschen</w:t>
      </w:r>
      <w:r w:rsidRPr="00A06A59">
        <w:rPr>
          <w:rFonts w:ascii="Garamond" w:hAnsi="Garamond" w:cs="Arial"/>
          <w:color w:val="000000"/>
          <w:lang w:val="en-GB"/>
        </w:rPr>
        <w:t xml:space="preserve"> Bibel entnommen; ich glaube, es waren Götter mit Sperberköpfen von einem ägyptischen Grabrelief. Sonst aber liefert mir die Analyse die Erinnerung an einen ungezogenen Hausmeistersjungen, der mit uns Kindern auf der Wiese vor dem Hause zu spielen pflegte; und ich möchte sagen, er hieß </w:t>
      </w:r>
      <w:r w:rsidRPr="00A06A59">
        <w:rPr>
          <w:rFonts w:ascii="Garamond" w:hAnsi="Garamond" w:cs="Arial"/>
          <w:i/>
          <w:iCs/>
          <w:color w:val="000000"/>
          <w:lang w:val="en-GB"/>
        </w:rPr>
        <w:t>Philipp</w:t>
      </w:r>
      <w:r w:rsidRPr="00A06A59">
        <w:rPr>
          <w:rFonts w:ascii="Garamond" w:hAnsi="Garamond" w:cs="Arial"/>
          <w:color w:val="000000"/>
          <w:lang w:val="en-GB"/>
        </w:rPr>
        <w:t xml:space="preserve">. Es ist mir dann, als hätte ich von dem Knaben zuerst das vulgäre Wort gehört, welches den sexuellen Verkehr bezeichnet und von den Gebildeten nur durch ein lateinisches, durch » </w:t>
      </w:r>
      <w:r w:rsidRPr="00A06A59">
        <w:rPr>
          <w:rFonts w:ascii="Garamond" w:hAnsi="Garamond" w:cs="Arial"/>
          <w:i/>
          <w:iCs/>
          <w:color w:val="000000"/>
          <w:lang w:val="en-GB"/>
        </w:rPr>
        <w:t>coitieren</w:t>
      </w:r>
      <w:r w:rsidRPr="00A06A59">
        <w:rPr>
          <w:rFonts w:ascii="Garamond" w:hAnsi="Garamond" w:cs="Arial"/>
          <w:color w:val="000000"/>
          <w:lang w:val="en-GB"/>
        </w:rPr>
        <w:t xml:space="preserve">« ersetzt wird, das aber durch die Auswahl der Sperberköpfe deutlich genug gekennzeichnet ist. </w:t>
      </w:r>
      <w:r w:rsidRPr="00A06A59">
        <w:rPr>
          <w:rFonts w:ascii="Garamond" w:hAnsi="Garamond" w:cs="Arial"/>
          <w:color w:val="000000"/>
        </w:rPr>
        <w:t xml:space="preserve">Ich muß die sexuelle Bedeutung des Wortes aus der Miene des welterfahrenen Lehrmeisters erraten haben. </w:t>
      </w:r>
      <w:r w:rsidRPr="00A06A59">
        <w:rPr>
          <w:rFonts w:ascii="Garamond" w:hAnsi="Garamond" w:cs="Arial"/>
          <w:color w:val="000000"/>
          <w:lang w:val="en-GB"/>
        </w:rPr>
        <w:t xml:space="preserve">Der Gesichtsausdruck der Mutter im Traume war vom Angesicht des Großvaters kopiert, den ich einige Tage vor seinem Tode im Koma schnarchend gesehen hatte. Die Deutung der sekundären Bearbeitung im Traume muß also gelautet haben, daß die </w:t>
      </w:r>
      <w:r w:rsidRPr="00A06A59">
        <w:rPr>
          <w:rFonts w:ascii="Garamond" w:hAnsi="Garamond" w:cs="Arial"/>
          <w:i/>
          <w:iCs/>
          <w:color w:val="000000"/>
          <w:lang w:val="en-GB"/>
        </w:rPr>
        <w:t>Mutter</w:t>
      </w:r>
      <w:r w:rsidRPr="00A06A59">
        <w:rPr>
          <w:rFonts w:ascii="Garamond" w:hAnsi="Garamond" w:cs="Arial"/>
          <w:color w:val="000000"/>
          <w:lang w:val="en-GB"/>
        </w:rPr>
        <w:t xml:space="preserve"> stirbt, auch das </w:t>
      </w:r>
      <w:r w:rsidRPr="00A06A59">
        <w:rPr>
          <w:rFonts w:ascii="Garamond" w:hAnsi="Garamond" w:cs="Arial"/>
          <w:i/>
          <w:iCs/>
          <w:color w:val="000000"/>
          <w:lang w:val="en-GB"/>
        </w:rPr>
        <w:t>Grab</w:t>
      </w:r>
      <w:r w:rsidRPr="00A06A59">
        <w:rPr>
          <w:rFonts w:ascii="Garamond" w:hAnsi="Garamond" w:cs="Arial"/>
          <w:color w:val="000000"/>
          <w:lang w:val="en-GB"/>
        </w:rPr>
        <w:t>relief stimmt dazu. In dieser Angst erwachte ich und ließ nicht ab, bis ich die Eltern geweckt hatte. Ich erinnere mich, daß ich mich plötzlich beruhigte, als ich die Mutter zu Gesicht bekam, als ob ich der Beruhigung bedurft hätte: sie ist also nicht gestorben. Diese sekundäre Deutung des Traums ist aber schon unter dem Einfluß der entwickelten Angst geschehen. Nicht daß ich ängstlich war, weil ich geträumt hatte, daß die Mutter stirbt; sondern ich deutete den Traum in der vorbewußten Bearbeitung so, weil ich schon unter der Herrschaft der Angst stand. Die Angst aber läßt sich mittels der Verdrängung zurückführen auf ein dunkles offenkundig sexuelles Gelüste, das in dem visuellen Inhalt des Traums seinen guten Ausdruck gefunden hatte.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siebenundzwanzigjähriger Mann, der seit einem Jahr schwer leidend ist, hat zwischen elf und dreizehn Jahren wiederholt unter schwerer Angst geträumt, </w:t>
      </w:r>
      <w:r w:rsidRPr="00A06A59">
        <w:rPr>
          <w:rFonts w:ascii="Garamond" w:hAnsi="Garamond" w:cs="Arial"/>
          <w:i/>
          <w:iCs/>
          <w:color w:val="000000"/>
          <w:lang w:val="en-GB"/>
        </w:rPr>
        <w:t>daß ein Mann mit einer Hacke ihm nachsetzt; er möchte laufen, ist aber wie gelähmt und kommt nicht von der Stelle</w:t>
      </w:r>
      <w:r w:rsidRPr="00A06A59">
        <w:rPr>
          <w:rFonts w:ascii="Garamond" w:hAnsi="Garamond" w:cs="Arial"/>
          <w:color w:val="000000"/>
          <w:lang w:val="en-GB"/>
        </w:rPr>
        <w:t xml:space="preserve">. Das ist wohl ein gutes Muster eines sehr gemeinen und sexuell unverdächtigen Angsttraums. Bei der Analyse gerät der Träumer zuerst auf eine der Zeit nach spätere Erzählung seines Onkels, daß er auf der Straße von einem verdächtigen Individuum nächtlich angefallen wurde, und schließt selbst aus diesem Einfall, daß er zur Zeit des Traums von einem ähnlichen Erlebnis gehört haben kann. Zur </w:t>
      </w:r>
      <w:r w:rsidRPr="00A06A59">
        <w:rPr>
          <w:rFonts w:ascii="Garamond" w:hAnsi="Garamond" w:cs="Arial"/>
          <w:i/>
          <w:iCs/>
          <w:color w:val="000000"/>
          <w:lang w:val="en-GB"/>
        </w:rPr>
        <w:t>Hacke</w:t>
      </w:r>
      <w:r w:rsidRPr="00A06A59">
        <w:rPr>
          <w:rFonts w:ascii="Garamond" w:hAnsi="Garamond" w:cs="Arial"/>
          <w:color w:val="000000"/>
          <w:lang w:val="en-GB"/>
        </w:rPr>
        <w:t xml:space="preserve"> erinnert er, daß er sich in jener Lebenszeit einmal beim Holzverkleinern mit der </w:t>
      </w:r>
      <w:r w:rsidRPr="00A06A59">
        <w:rPr>
          <w:rFonts w:ascii="Garamond" w:hAnsi="Garamond" w:cs="Arial"/>
          <w:i/>
          <w:iCs/>
          <w:color w:val="000000"/>
          <w:lang w:val="en-GB"/>
        </w:rPr>
        <w:t>Hacke</w:t>
      </w:r>
      <w:r w:rsidRPr="00A06A59">
        <w:rPr>
          <w:rFonts w:ascii="Garamond" w:hAnsi="Garamond" w:cs="Arial"/>
          <w:color w:val="000000"/>
          <w:lang w:val="en-GB"/>
        </w:rPr>
        <w:t xml:space="preserve"> an der Hand verletzt hatte. Er gerät dann unvermittelt auf sein Verhältnis zu seinem jüngeren Bruder, den er zu mißhandeln und hinzuwerfen pflegte, erinnert sich speziell eines Males, wo er ihn mit dem Stiefel an dem Kopf traf, so daß er blutete und die Mutter dann äußerte: Ich habe Angst, er wird ihn noch einmal umbringen. Während er so beim Thema der </w:t>
      </w:r>
      <w:r w:rsidRPr="00A06A59">
        <w:rPr>
          <w:rFonts w:ascii="Garamond" w:hAnsi="Garamond" w:cs="Arial"/>
          <w:i/>
          <w:iCs/>
          <w:color w:val="000000"/>
          <w:lang w:val="en-GB"/>
        </w:rPr>
        <w:t>Gewalttat</w:t>
      </w:r>
      <w:r w:rsidRPr="00A06A59">
        <w:rPr>
          <w:rFonts w:ascii="Garamond" w:hAnsi="Garamond" w:cs="Arial"/>
          <w:color w:val="000000"/>
          <w:lang w:val="en-GB"/>
        </w:rPr>
        <w:t xml:space="preserve"> festgehalten scheint, taucht ihm plötzlich eine Erinnerung aus dem neunten Lebensjahr auf. Die Eltern waren spät nach Hause gekommen, gingen, während er sich schlafend stellte, zu Bette, und er hörte dann ein Keuchen und andere Geräusche, die ihm unheimlich vorkamen, konnte auch die Lage der beiden im Bette erraten. Seine weiteren Gedanken zeigen, daß er zwischen dieser Beziehung der Eltern und seinem Verhältnis zu seinem jüngeren Bruder eine Analogie hergestellt hatte. Er subsumierte, was bei den Eltern vorfiel, unter den Begriff: </w:t>
      </w:r>
      <w:r w:rsidRPr="00A06A59">
        <w:rPr>
          <w:rFonts w:ascii="Garamond" w:hAnsi="Garamond" w:cs="Arial"/>
          <w:i/>
          <w:iCs/>
          <w:color w:val="000000"/>
          <w:lang w:val="en-GB"/>
        </w:rPr>
        <w:t>Gewalttat</w:t>
      </w:r>
      <w:r w:rsidRPr="00A06A59">
        <w:rPr>
          <w:rFonts w:ascii="Garamond" w:hAnsi="Garamond" w:cs="Arial"/>
          <w:color w:val="000000"/>
          <w:lang w:val="en-GB"/>
        </w:rPr>
        <w:t xml:space="preserve"> und </w:t>
      </w:r>
      <w:r w:rsidRPr="00A06A59">
        <w:rPr>
          <w:rFonts w:ascii="Garamond" w:hAnsi="Garamond" w:cs="Arial"/>
          <w:i/>
          <w:iCs/>
          <w:color w:val="000000"/>
          <w:lang w:val="en-GB"/>
        </w:rPr>
        <w:t>Rauferei</w:t>
      </w:r>
      <w:r w:rsidRPr="00A06A59">
        <w:rPr>
          <w:rFonts w:ascii="Garamond" w:hAnsi="Garamond" w:cs="Arial"/>
          <w:color w:val="000000"/>
          <w:lang w:val="en-GB"/>
        </w:rPr>
        <w:t xml:space="preserve">. Ein Beweis für diese Auffassung war ihm, daß er oft </w:t>
      </w:r>
      <w:r w:rsidRPr="00A06A59">
        <w:rPr>
          <w:rFonts w:ascii="Garamond" w:hAnsi="Garamond" w:cs="Arial"/>
          <w:i/>
          <w:iCs/>
          <w:color w:val="000000"/>
          <w:lang w:val="en-GB"/>
        </w:rPr>
        <w:t>Blut im Bette der Mutter</w:t>
      </w:r>
      <w:r w:rsidRPr="00A06A59">
        <w:rPr>
          <w:rFonts w:ascii="Garamond" w:hAnsi="Garamond" w:cs="Arial"/>
          <w:color w:val="000000"/>
          <w:lang w:val="en-GB"/>
        </w:rPr>
        <w:t xml:space="preserve"> bemerkt habe.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Daß der sexuelle Verkehr Erwachsener den Kindern, die ihn bemerken, unheimlich vorkommt und Angst in ihnen erweckt, ist, möchte ich sagen, Ergebnis der täglichen Erfahrung. Ich habe für diese Angst die Erklärung gegeben, daß es sich um eine sexuelle Erregung handelt, die von ihrem Verständnis nicht bewältigt wird, auch wohl darum auf Ablehnung stößt, weil die Eltern in sie verflochten sind, und die darum sich in Angst verwandelt. In einer noch früheren Lebensperiode stößt die sexuelle Regung für den gegengeschlechtlichen Teil des Elternpaares noch nicht auf Verdrängung und äußert sich frei, wie wir gehört haben (S. 177).</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Auf die bei Kindern so häufigen nächtlichen Angstanfälle mit Halluzinationen (den </w:t>
      </w:r>
      <w:r w:rsidRPr="00A06A59">
        <w:rPr>
          <w:rFonts w:ascii="Garamond" w:hAnsi="Garamond" w:cs="Arial"/>
          <w:i/>
          <w:iCs/>
          <w:color w:val="000000"/>
          <w:lang w:val="en-GB"/>
        </w:rPr>
        <w:t>pavor nocturnus</w:t>
      </w:r>
      <w:r w:rsidRPr="00A06A59">
        <w:rPr>
          <w:rFonts w:ascii="Garamond" w:hAnsi="Garamond" w:cs="Arial"/>
          <w:color w:val="000000"/>
          <w:lang w:val="en-GB"/>
        </w:rPr>
        <w:t>) würde ich dieselbe Erklärung unbedenklich anwenden. Es kann sich auch da nur um unverstandene und abgelehnte sexuelle Regungen handeln, bei deren Aufzeichnung sich auch wahrscheinlich eine zeitliche Periodizität herausstellen würde, da eine Steigerung der sexuellen Libido ebensowohl durch zufällige erregende Eindrücke als auch durch die spontanen, schubweise eintreffenden Entwicklungsvorgänge erzeugt werden kann.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Mir fehlt es an dem erforderlichen Beobachtungsmaterial, um diese Erklärung durchzuführen.</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hyperlink r:id="rId254"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Dieses Material ist seither von der psychoanalytischen Literatur in reichlichem Ausmaß beigestellt worden.</w:t>
        </w:r>
      </w:hyperlink>
      <w:r w:rsidR="00A06A59" w:rsidRPr="00A06A59">
        <w:rPr>
          <w:rFonts w:ascii="Garamond" w:hAnsi="Garamond" w:cs="Arial"/>
          <w:color w:val="000000"/>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Kinderärzten scheint es dagegen an dem Gesichtspunkte zu fehlen, der allein das Verständnis der ganzen Reihe von Phänomenen sowohl nach der somatischen als auch nach der psychischen Seite gestattet. Als ein komisches Beispiel, wie nahe man, durch die Scheuklappen der medizinischen Mythologie geblendet, am Verständnis solcher Fälle vorbeigehen kann, möchte ich den Fall anführen, den ich in der These über den </w:t>
      </w:r>
      <w:r w:rsidRPr="00A06A59">
        <w:rPr>
          <w:rFonts w:ascii="Garamond" w:hAnsi="Garamond" w:cs="Arial"/>
          <w:i/>
          <w:iCs/>
          <w:color w:val="000000"/>
          <w:lang w:val="en-GB"/>
        </w:rPr>
        <w:t>pavor nocturnus</w:t>
      </w:r>
      <w:r w:rsidRPr="00A06A59">
        <w:rPr>
          <w:rFonts w:ascii="Garamond" w:hAnsi="Garamond" w:cs="Arial"/>
          <w:color w:val="000000"/>
          <w:lang w:val="en-GB"/>
        </w:rPr>
        <w:t xml:space="preserve"> von </w:t>
      </w:r>
      <w:r w:rsidRPr="00A06A59">
        <w:rPr>
          <w:rFonts w:ascii="Garamond" w:hAnsi="Garamond" w:cs="Arial"/>
          <w:i/>
          <w:iCs/>
          <w:color w:val="000000"/>
          <w:lang w:val="en-GB"/>
        </w:rPr>
        <w:t>Debacker</w:t>
      </w:r>
      <w:r w:rsidRPr="00A06A59">
        <w:rPr>
          <w:rFonts w:ascii="Garamond" w:hAnsi="Garamond" w:cs="Arial"/>
          <w:color w:val="000000"/>
          <w:lang w:val="en-GB"/>
        </w:rPr>
        <w:t xml:space="preserve"> 1881 (p. 66), gefunden habe.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Ein dreizehnjähriger Knabe von schwacher Gesundheit begann ängstlich und verträumt zu werden, sein Schlaf wurde unruhig und fast jede Woche einmal durch einen schweren Anfall von Angst mit Halluzinationen unterbrochen. Die Erinnerung an diese Träume war immer sehr deutlich. Er konnte also erzählen, daß der Teufel ihn angeschrien habe: Jetzt haben wir dich, jetzt haben wir dich, und dann roch es nach Pech und Schwefel, und das Feuer verbrannte seine Haut. Aus diesem Traum schreckte er dann auf, konnte zuerst nicht schreien, bis die Stimme frei wurde und man ihn deutlich sagen hörte: »Nein, nein, nicht mich, ich hab' ja nichts getan«, oder auch: »Bitte, nicht, ich werd' es nie mehr tun.« Einige Male sagte er auch: »Albert hat das nicht getan.« Er vermied es später, sich auszukleiden, »weil das Feuer ihn nur ergreife, wenn er ausgekleidet sei«. </w:t>
      </w:r>
      <w:r w:rsidRPr="00A06A59">
        <w:rPr>
          <w:rFonts w:ascii="Garamond" w:hAnsi="Garamond" w:cs="Arial"/>
          <w:color w:val="000000"/>
        </w:rPr>
        <w:t xml:space="preserve">Mitten aus diesen Teufelsträumen, die seine Gesundheit in Gefahr brachten, wurde er aufs Land geschickt, erholte sich dort im Verlaufe von eineinhalb Jahren und gestand dann einmal, fünfzehn Jahre alt: » </w:t>
      </w:r>
      <w:r w:rsidRPr="00A06A59">
        <w:rPr>
          <w:rFonts w:ascii="Garamond" w:hAnsi="Garamond" w:cs="Arial"/>
          <w:i/>
          <w:iCs/>
          <w:color w:val="000000"/>
        </w:rPr>
        <w:t>Je n'osais pas l'avouer, mais j'éprouvals continuellement des picotements et des surexcitations aux parties à la fin, cela m'énervait tant que plusieurs fois, j'ai pensé me jeter par la fenêtre du dortoir.</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i/>
          <w:iCs/>
          <w:color w:val="000000"/>
        </w:rPr>
      </w:pP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i/>
          <w:iCs/>
          <w:color w:val="000000"/>
        </w:rPr>
      </w:pPr>
      <w:hyperlink r:id="rId255" w:anchor="#" w:history="1">
        <w:r w:rsidR="00A06A59" w:rsidRPr="00A06A59">
          <w:rPr>
            <w:rStyle w:val="fusslink"/>
            <w:rFonts w:ascii="Garamond" w:hAnsi="Garamond" w:cs="Arial"/>
            <w:bCs/>
            <w:color w:val="0000CC"/>
          </w:rPr>
          <w:t>[Fußnote]</w:t>
        </w:r>
        <w:r w:rsidR="00A06A59" w:rsidRPr="00A06A59">
          <w:rPr>
            <w:rStyle w:val="innerfusslink3"/>
            <w:rFonts w:ascii="Garamond" w:hAnsi="Garamond" w:cs="Arial"/>
            <w:bCs/>
            <w:color w:val="0000CC"/>
          </w:rPr>
          <w:t>Von mir hervorgehoben; übrigens nicht mißverständlich.</w:t>
        </w:r>
      </w:hyperlink>
      <w:r w:rsidR="00A06A59" w:rsidRPr="00A06A59">
        <w:rPr>
          <w:rFonts w:ascii="Garamond" w:hAnsi="Garamond" w:cs="Arial"/>
          <w:i/>
          <w:iCs/>
          <w:color w:val="000000"/>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Es ist wahrlich nicht schwer zu erraten, 1) daß der Knabe in früheren Jahren masturbiert, es wahrscheinlich geleugnet hatte und mit schweren Strafen für seine Unart bedroht worden war. (Sein Geständnis: </w:t>
      </w:r>
      <w:r w:rsidRPr="00A06A59">
        <w:rPr>
          <w:rFonts w:ascii="Garamond" w:hAnsi="Garamond" w:cs="Arial"/>
          <w:i/>
          <w:iCs/>
          <w:color w:val="000000"/>
        </w:rPr>
        <w:t>Je ne le ferai plus</w:t>
      </w:r>
      <w:r w:rsidRPr="00A06A59">
        <w:rPr>
          <w:rFonts w:ascii="Garamond" w:hAnsi="Garamond" w:cs="Arial"/>
          <w:color w:val="000000"/>
        </w:rPr>
        <w:t xml:space="preserve">; sein Leugnen: </w:t>
      </w:r>
      <w:r w:rsidRPr="00A06A59">
        <w:rPr>
          <w:rFonts w:ascii="Garamond" w:hAnsi="Garamond" w:cs="Arial"/>
          <w:i/>
          <w:iCs/>
          <w:color w:val="000000"/>
        </w:rPr>
        <w:t>Albert n'a jamais fait ca</w:t>
      </w:r>
      <w:r w:rsidRPr="00A06A59">
        <w:rPr>
          <w:rFonts w:ascii="Garamond" w:hAnsi="Garamond" w:cs="Arial"/>
          <w:color w:val="000000"/>
        </w:rPr>
        <w:t>); 2) daß unter dem Andrang der Pubertät die Versuchung zu masturbieren in dem Kitzel an den Genitalien wieder erwachte; daß aber jetzt 3) ein Verdrängungskampf in ihm losbrach, der die Libido unterdrückte und sie in Angst verwandelte, welche Angst nachträglich die damals angedrohten Strafen aufnahm.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Hören wir dagegen die Folgerungen unseres Autors (p. 69): »Es geht aus dieser Beobachtung hervor, daß 1) der Einfluß der Pubertät bei einem Knaben von geschwächter Gesundheit einen Zustand von großer Schwäche herbeiführen und daß es dabei zu einer </w:t>
      </w:r>
      <w:r w:rsidRPr="00A06A59">
        <w:rPr>
          <w:rFonts w:ascii="Garamond" w:hAnsi="Garamond" w:cs="Arial"/>
          <w:i/>
          <w:iCs/>
          <w:color w:val="000000"/>
        </w:rPr>
        <w:t xml:space="preserve">sehr erheblichen Gehirnanämie </w:t>
      </w:r>
      <w:r w:rsidRPr="00A06A59">
        <w:rPr>
          <w:rFonts w:ascii="Garamond" w:hAnsi="Garamond" w:cs="Arial"/>
          <w:color w:val="000000"/>
        </w:rPr>
        <w:t>kommen kann.</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rPr>
      </w:pPr>
      <w:hyperlink r:id="rId256" w:anchor="#" w:history="1">
        <w:r w:rsidR="00A06A59" w:rsidRPr="00A06A59">
          <w:rPr>
            <w:rStyle w:val="fusslink"/>
            <w:rFonts w:ascii="Garamond" w:hAnsi="Garamond" w:cs="Arial"/>
            <w:bCs/>
            <w:color w:val="0000CC"/>
          </w:rPr>
          <w:t xml:space="preserve">[Fußnote] </w:t>
        </w:r>
        <w:r w:rsidR="00A06A59" w:rsidRPr="00A06A59">
          <w:rPr>
            <w:rStyle w:val="innerfusslink3"/>
            <w:rFonts w:ascii="Garamond" w:hAnsi="Garamond" w:cs="Arial"/>
            <w:bCs/>
            <w:color w:val="0000CC"/>
          </w:rPr>
          <w:t>Meine Hervorhebung.</w:t>
        </w:r>
      </w:hyperlink>
      <w:r w:rsidR="00A06A59" w:rsidRPr="00A06A59">
        <w:rPr>
          <w:rFonts w:ascii="Garamond" w:hAnsi="Garamond" w:cs="Arial"/>
          <w:color w:val="0000CC"/>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2) Diese Gehirnanämie erzeugt eine Charakterveränderung, dämonomanische Halluzinationen und sehr heftige nächtliche, vielleicht auch tägliche Angstzustände.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3) Die Dämonomanie und die Selbstvorwürfe des Knaben gehen auf die Einflüsse der religiösen Erziehung zurück, die als Kind auf ihn gewirkt hatten.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4) Alle Erscheinungen sind infolge eines längeren Landaufenthalts durch körperliche Übung und Wiederkehr der Kräfte nach abgelaufener Pubertät verschwunden.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5) Vielleicht darf man der Heredität und der alten Syphilis des Vaters einen prädisponierenden Einfluß auf die Entstehung des Gehirnzustandes beim Kinde zuschreiben.«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Das Schlußwort: » </w:t>
      </w:r>
      <w:r w:rsidRPr="00A06A59">
        <w:rPr>
          <w:rFonts w:ascii="Garamond" w:hAnsi="Garamond" w:cs="Arial"/>
          <w:i/>
          <w:iCs/>
          <w:color w:val="000000"/>
        </w:rPr>
        <w:t>Nous avons fait entrer cette observation dans le cadre des délires apyrétiques d'inanition, car c'est d l'ischémie cérébrale que nous rattachons cet état particulier.</w:t>
      </w:r>
      <w:r w:rsidRPr="00A06A59">
        <w:rPr>
          <w:rFonts w:ascii="Garamond" w:hAnsi="Garamond" w:cs="Arial"/>
          <w:color w:val="000000"/>
        </w:rPr>
        <w:t>«</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00"/>
        </w:rPr>
      </w:pPr>
      <w:r w:rsidRPr="00A06A59">
        <w:rPr>
          <w:rFonts w:ascii="Garamond" w:hAnsi="Garamond" w:cs="Arial"/>
          <w:b/>
          <w:bCs/>
          <w:color w:val="000000"/>
        </w:rPr>
        <w:br w:type="page"/>
      </w:r>
      <w:hyperlink w:anchor="inhalt" w:history="1">
        <w:r w:rsidRPr="00A06A59">
          <w:rPr>
            <w:rStyle w:val="Lienhypertexte"/>
            <w:rFonts w:ascii="Garamond" w:hAnsi="Garamond" w:cs="Arial"/>
            <w:b/>
            <w:bCs/>
          </w:rPr>
          <w:t>E. De</w:t>
        </w:r>
        <w:bookmarkStart w:id="84" w:name="VIIE"/>
        <w:bookmarkEnd w:id="84"/>
        <w:r w:rsidRPr="00A06A59">
          <w:rPr>
            <w:rStyle w:val="Lienhypertexte"/>
            <w:rFonts w:ascii="Garamond" w:hAnsi="Garamond" w:cs="Arial"/>
            <w:b/>
            <w:bCs/>
          </w:rPr>
          <w:t>r Primär- und der Sekundärvorgang – die Verdrängung</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Indem ich den Versuch wagte, tiefer in die Psychologie der Traumvorgänge einzudringen, habe ich eine schwierige Aufgabe unternommen, welcher auch meine Darstellungskunst kaum gewachsen ist. Die Gleichzeitigkeit eines so komplizierten Zusammenhangs durch ein Nacheinander in der Beschreibung wiederzugeben und dabei bei jeder Aufstellung voraussetzungslos zu erscheinen will meinen Kräften zu schwer werden. Es rächt sich nun an mir, daß ich bei der Darstellung der Traumpsychologie nicht der historischen Entwicklung meiner Einsichten folgen kann. Mir waren die Gesichtspunkte für die Auffassung des Traums durch vorhergegangene Arbeiten über die Psychologie der Neurosen gegeben, auf die ich mich hier nicht beziehen soll und doch immer wieder beziehen muß, während ich in umgekehrter Richtung vorgehen und vom Traume aus den Anschluß an die Psychologie der Neurosen erreichen möchte. Ich kenne alle Beschwerden, die sich hieraus für den Leser ergeben; aber ich weiß kein Mittel, sie zu vermeiden.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Unbefriedigt von dieser Sachlage, verweile ich gerne bei einem anderen Gesichtspunkte, der mir den Wert meiner Bemühung zu heben scheint. </w:t>
      </w:r>
      <w:r w:rsidRPr="00A06A59">
        <w:rPr>
          <w:rFonts w:ascii="Garamond" w:hAnsi="Garamond" w:cs="Arial"/>
          <w:color w:val="000000"/>
          <w:lang w:val="en-GB"/>
        </w:rPr>
        <w:t xml:space="preserve">Ich fand ein Thema vor, das von den schärfsten Widersprüchen in den Meinungen der Autoren beherrscht war, wie die Einführung des ersten Abschnittes gezeigt hat. Nach unserer Bearbeitung der Traumprobleme ist für die meisten dieser Widersprüche Raum geschaffen worden. Nur zweien der geäußerten Ansichten, daß der Traum ein sinnloser und ein somatischer Vorgang sei, mußten wir selbst entschieden widersprechen; sonst aber haben wir allen einander widersprechenden Meinungen an irgendeiner Stelle des verwickelten Zusammenhangs recht geben und nachweisen können, daß sie etwas Richtiges herausgefunden hatten. Daß der Traum die Anregungen und Interessen des Wachlebens fortsetzt, hat sich durch die Aufdeckung der verborgenen </w:t>
      </w:r>
      <w:r w:rsidRPr="00A06A59">
        <w:rPr>
          <w:rFonts w:ascii="Garamond" w:hAnsi="Garamond" w:cs="Arial"/>
          <w:i/>
          <w:iCs/>
          <w:color w:val="000000"/>
          <w:lang w:val="en-GB"/>
        </w:rPr>
        <w:t>Traumgedanken</w:t>
      </w:r>
      <w:r w:rsidRPr="00A06A59">
        <w:rPr>
          <w:rFonts w:ascii="Garamond" w:hAnsi="Garamond" w:cs="Arial"/>
          <w:color w:val="000000"/>
          <w:lang w:val="en-GB"/>
        </w:rPr>
        <w:t xml:space="preserve"> ganz allgemein bestätigt. Diese beschäftigen sich nur mit dem, was uns wichtig scheint und uns mächtig interessiert. Der Traum gibt sich nie mit Kleinigkeiten ab. Aber auch das Gegenteil haben wir gelten lassen, daß der Traum die gleichgültigen Abfälle des Tages aufklaubt und sich eines großen Tagesinteresses nicht eher bemächtigen kann, als bis es sich der Wacharbeit einigermaßen entzogen hat. Wir fanden dies gültig für den </w:t>
      </w:r>
      <w:r w:rsidRPr="00A06A59">
        <w:rPr>
          <w:rFonts w:ascii="Garamond" w:hAnsi="Garamond" w:cs="Arial"/>
          <w:i/>
          <w:iCs/>
          <w:color w:val="000000"/>
          <w:lang w:val="en-GB"/>
        </w:rPr>
        <w:t>Trauminhalt</w:t>
      </w:r>
      <w:r w:rsidRPr="00A06A59">
        <w:rPr>
          <w:rFonts w:ascii="Garamond" w:hAnsi="Garamond" w:cs="Arial"/>
          <w:color w:val="000000"/>
          <w:lang w:val="en-GB"/>
        </w:rPr>
        <w:t xml:space="preserve">, der den Traumgedanken einen durch Entstellung veränderten Ausdruck gibt. Der Traumvorgang, sagten wir, bemächtigt sich aus Gründen der Assoziationsmechanik leichter des frischen oder des gleichgültigen Vorstellungsmaterials, welches von der wachen Denktätigkeit noch nicht mit Beschlag belegt ist, und aus Gründen der Zensur überträgt er die psychische Intensität von dem Bedeutsamen, aber auch Anstößigen, auf das Indifferente. Die Hypermnesie des Traums und die Verfügung über das Kindheitsmaterial sind zu Grundpfeilern unserer Lehre geworden; in unserer Traumtheorie haben wir dem aus dem Infantilen stammenden Wunsch die Rolle des unentbehrlichen Motors für die Traumbildung zugeschrieben. An der experimentell nachgewiesenen Bedeutung der äußeren Sinnesreize während des Schlafes zu zweifeln, konnte uns natürlich nicht einfallen, aber wir haben dies Material in dasselbe Verhältnis zum Traumwunsch gesetzt wie die von der Tagesarbeit erübrigten Gedankenreste. Daß der Traum den objektiven Sinnesreiz nach Art einer Illusion deutet, brauchen wir nicht zu bestreiten; aber wir haben das von den Autoren unbestimmt gelassene Motiv für diese Deutung hinzugefügt. Die Deutung erfolgt so, daß das wahrgenommene Objekt für die Schlafstörung unschädlich und für die Wunscherfüllung verwendbar wird. Den subjektiven Erregungszustand der Sinnesorgane während des Schlafes, der durch </w:t>
      </w:r>
      <w:r w:rsidRPr="00A06A59">
        <w:rPr>
          <w:rFonts w:ascii="Garamond" w:hAnsi="Garamond" w:cs="Arial"/>
          <w:i/>
          <w:iCs/>
          <w:color w:val="000000"/>
          <w:lang w:val="en-GB"/>
        </w:rPr>
        <w:t>Trumbull Ladd</w:t>
      </w:r>
      <w:r w:rsidRPr="00A06A59">
        <w:rPr>
          <w:rFonts w:ascii="Garamond" w:hAnsi="Garamond" w:cs="Arial"/>
          <w:color w:val="000000"/>
          <w:lang w:val="en-GB"/>
        </w:rPr>
        <w:t xml:space="preserve"> nachgewiesen scheint, lassen wir zwar nicht als besondere Traumquelle gelten, aber wir wissen ihn durch regrediente Belebung der hinter dem Traum wirkenden Erinnerungen zu erklären. Auch den inneren organischen Sensationen, die gern zum Angelpunkt der Traumerklärung genommen werden, ist in unserer Auffassung eine, wenngleich bescheidenere Rolle verblieben. Sie stellen uns – die Sensationen des Fallens, Schwebens, Gehemmtseins – ein allezeit bereites Material dar, dessen sich die Traumarbeit zum Ausdruck der Traumgedanken, sooft es not tut, bedient.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Daß der Traumvorgang ein rapider, momentaner ist, erscheint uns richtig für die Wahrnehmung des vorgebildeten Trauminhalts durch das Bewußtsein; für die vorhergehenden Stücke des Traumvorgangs haben wir einen langsamen, wogenden Ablauf wahrscheinlich gefunden. Zum Rätsel des überreichen, in den kürzesten Moment zusammengedrängten Trauminhalts konnten wir den Beitrag liefern, daß es sich dabei um das Aufgreifen bereits fertiger Gebilde des psychischen Lebens handle. Daß der Traum von der Erinnerung entstellt und verstümmelt wird, fanden wir richtig, aber nicht hinderlich, da dies nur das letzte manifeste Stück einer von Anfang der Traumbildung an wirksamen Entstellungsarbeit ist. In dem erbitterten und einer Versöhnung scheinbar unfähigen Streite, ob das Seelenleben nachts schlafe oder über all seine Leistungsfähigkeit wie bei Tag verfüge, haben wir beiden Teilen recht und doch keinem ganz recht geben können. In den Traumgedanken fanden wir die Beweise einer höchst komplizierten, mit fast allen Mitteln des seelischen Apparats arbeitenden, intellektuellen Leistung; doch ist es nicht abzuweisen, daß diese Traumgedanken bei Tag entstanden sind, und es ist unentbehrlich anzunehmen, daß es einen Schlafzustand des Seelenlebens gibt. So kam selbst die Lehre vom partiellen Schlaf zur Geltung; aber nicht in dem Zerfall der seelischen Zusammenhänge haben wir die Charakteristik des Schlafzustandes gefunden, sondern in der Einstellung des den Tag beherrschenden psychischen Systems auf den Wunsch zu schlafen. Die Ablenkung von der </w:t>
      </w:r>
      <w:r w:rsidRPr="00A06A59">
        <w:rPr>
          <w:rFonts w:ascii="Garamond" w:hAnsi="Garamond" w:cs="Arial"/>
          <w:color w:val="000000"/>
          <w:lang w:val="en-GB"/>
        </w:rPr>
        <w:lastRenderedPageBreak/>
        <w:t xml:space="preserve">Außenwelt bewahrte auch für unsere Auffassung ihre Bedeutung; sie hilft, wenn auch nicht als einziges Moment, die Regression der Traumdarstellung ermöglichen. Der Verzicht auf die willkürliche Lenkung des Vorstellungsablaufes ist unbestreitbar; aber das psychische Leben wird darum nicht ziellos, denn wir haben gehört, daß nach dem Aufgeben der gewollten Zielvorstellungen ungewollte zur Herrschaft gelangen. Die lockere Assoziationsverknüpfung im Traume haben wir nicht nur anerkannt, sondern ihrer Herrschaft einen weit größeren Umfang zugewiesen, als geahnt werden konnte; wir haben aber gefunden, daß sie nur der erzwungene Ersatz für eine andere, korrekte und sinnvolle ist. Gewiß nannten auch wir den Traum absurd; aber Beispiele konnten uns lehren, wie klug der Traum ist, wenn er sich absurd stellt. Von den Funktionen, die dem Traume zuerkannt worden sind, trennt uns kein Widerspruch. Daß der Traum die Seele wie ein Ventil entlaste und daß nach Roberts Ausdruck allerlei Schädliches durch das Vorstellen im Traume unschädlich gemacht wird, trifft nicht nur genau mit unserer Lehre von der zweifachen Wunscherfüllung durch den Traum zusammen, sondern wird für uns sogar nach seinem Wortlaut verständlicher als bei Robert. Das freie Sichergehen der Seele im Spiele ihrer Fähigkeiten findet sich bei uns wieder in dem Gewährenlassen des Traums durch die vorbewußte Tätigkeit. Die »Rückkehr auf den embryonalen Standpunkt des Seelenlebens im Traume« und die Bemerkung von Havelock </w:t>
      </w:r>
      <w:r w:rsidRPr="00A06A59">
        <w:rPr>
          <w:rFonts w:ascii="Garamond" w:hAnsi="Garamond" w:cs="Arial"/>
          <w:i/>
          <w:iCs/>
          <w:color w:val="000000"/>
          <w:lang w:val="en-GB"/>
        </w:rPr>
        <w:t>Ellis</w:t>
      </w:r>
      <w:r w:rsidRPr="00A06A59">
        <w:rPr>
          <w:rFonts w:ascii="Garamond" w:hAnsi="Garamond" w:cs="Arial"/>
          <w:color w:val="000000"/>
          <w:lang w:val="en-GB"/>
        </w:rPr>
        <w:t xml:space="preserve">, » </w:t>
      </w:r>
      <w:r w:rsidRPr="00A06A59">
        <w:rPr>
          <w:rFonts w:ascii="Garamond" w:hAnsi="Garamond" w:cs="Arial"/>
          <w:i/>
          <w:iCs/>
          <w:color w:val="000000"/>
          <w:lang w:val="en-GB"/>
        </w:rPr>
        <w:t>an archaic world of vast emotions and imperfect thoughts</w:t>
      </w:r>
      <w:r w:rsidRPr="00A06A59">
        <w:rPr>
          <w:rFonts w:ascii="Garamond" w:hAnsi="Garamond" w:cs="Arial"/>
          <w:color w:val="000000"/>
          <w:lang w:val="en-GB"/>
        </w:rPr>
        <w:t xml:space="preserve">«, erscheinen uns als glückliche Vorwegnahmen unserer Ausführungen, die </w:t>
      </w:r>
      <w:r w:rsidRPr="00A06A59">
        <w:rPr>
          <w:rFonts w:ascii="Garamond" w:hAnsi="Garamond" w:cs="Arial"/>
          <w:i/>
          <w:iCs/>
          <w:color w:val="000000"/>
          <w:lang w:val="en-GB"/>
        </w:rPr>
        <w:t>primitive</w:t>
      </w:r>
      <w:r w:rsidRPr="00A06A59">
        <w:rPr>
          <w:rFonts w:ascii="Garamond" w:hAnsi="Garamond" w:cs="Arial"/>
          <w:color w:val="000000"/>
          <w:lang w:val="en-GB"/>
        </w:rPr>
        <w:t xml:space="preserve">, bei Tag unterdrückte Arbeitsweisen an der Traumbildung beteiligt sein lassen; die Behauptung von Sully, »der Traum bringe unsere früheren sukzessive entwickelten Persönlichkeiten wieder, unsere alte Art, die Dinge anzusehen, Impulse und Reaktionsweisen, die uns vor langen Zeiten beherrscht haben«, konnten wir im vollen Umfange zu der unsrigen machen; wie bei </w:t>
      </w:r>
      <w:r w:rsidRPr="00A06A59">
        <w:rPr>
          <w:rFonts w:ascii="Garamond" w:hAnsi="Garamond" w:cs="Arial"/>
          <w:i/>
          <w:iCs/>
          <w:color w:val="000000"/>
          <w:lang w:val="en-GB"/>
        </w:rPr>
        <w:t>Delage</w:t>
      </w:r>
      <w:r w:rsidRPr="00A06A59">
        <w:rPr>
          <w:rFonts w:ascii="Garamond" w:hAnsi="Garamond" w:cs="Arial"/>
          <w:color w:val="000000"/>
          <w:lang w:val="en-GB"/>
        </w:rPr>
        <w:t xml:space="preserve"> wird bei uns das » </w:t>
      </w:r>
      <w:r w:rsidRPr="00A06A59">
        <w:rPr>
          <w:rFonts w:ascii="Garamond" w:hAnsi="Garamond" w:cs="Arial"/>
          <w:i/>
          <w:iCs/>
          <w:color w:val="000000"/>
          <w:lang w:val="en-GB"/>
        </w:rPr>
        <w:t>Unterdrückte</w:t>
      </w:r>
      <w:r w:rsidRPr="00A06A59">
        <w:rPr>
          <w:rFonts w:ascii="Garamond" w:hAnsi="Garamond" w:cs="Arial"/>
          <w:color w:val="000000"/>
          <w:lang w:val="en-GB"/>
        </w:rPr>
        <w:t>« zur Triebfeder des Träumens.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Rolle, welche </w:t>
      </w:r>
      <w:r w:rsidRPr="00A06A59">
        <w:rPr>
          <w:rFonts w:ascii="Garamond" w:hAnsi="Garamond" w:cs="Arial"/>
          <w:i/>
          <w:iCs/>
          <w:color w:val="000000"/>
          <w:lang w:val="en-GB"/>
        </w:rPr>
        <w:t>Scherner</w:t>
      </w:r>
      <w:r w:rsidRPr="00A06A59">
        <w:rPr>
          <w:rFonts w:ascii="Garamond" w:hAnsi="Garamond" w:cs="Arial"/>
          <w:color w:val="000000"/>
          <w:lang w:val="en-GB"/>
        </w:rPr>
        <w:t xml:space="preserve"> der Traumphantasie zuschreibt und die Deutungen </w:t>
      </w:r>
      <w:r w:rsidRPr="00A06A59">
        <w:rPr>
          <w:rFonts w:ascii="Garamond" w:hAnsi="Garamond" w:cs="Arial"/>
          <w:i/>
          <w:iCs/>
          <w:color w:val="000000"/>
          <w:lang w:val="en-GB"/>
        </w:rPr>
        <w:t>Scherner</w:t>
      </w:r>
      <w:r w:rsidRPr="00A06A59">
        <w:rPr>
          <w:rFonts w:ascii="Garamond" w:hAnsi="Garamond" w:cs="Arial"/>
          <w:color w:val="000000"/>
          <w:lang w:val="en-GB"/>
        </w:rPr>
        <w:t xml:space="preserve">s selbst haben wir in vollem Umfange anerkannt, aber ihnen gleichsam eine andere Lokalität im Problem anweisen müssen. </w:t>
      </w:r>
      <w:r w:rsidRPr="00A06A59">
        <w:rPr>
          <w:rFonts w:ascii="Garamond" w:hAnsi="Garamond" w:cs="Arial"/>
          <w:color w:val="000000"/>
        </w:rPr>
        <w:t xml:space="preserve">Nicht der Traum bildet die Phantasie, sondern an der Bildung der Traumgedanken hat die unbewußte Phantasietätigkeit den größten Anteil. Wir bleiben </w:t>
      </w:r>
      <w:r w:rsidRPr="00A06A59">
        <w:rPr>
          <w:rFonts w:ascii="Garamond" w:hAnsi="Garamond" w:cs="Arial"/>
          <w:i/>
          <w:iCs/>
          <w:color w:val="000000"/>
        </w:rPr>
        <w:t>Scherner</w:t>
      </w:r>
      <w:r w:rsidRPr="00A06A59">
        <w:rPr>
          <w:rFonts w:ascii="Garamond" w:hAnsi="Garamond" w:cs="Arial"/>
          <w:color w:val="000000"/>
        </w:rPr>
        <w:t xml:space="preserve"> für den Hinweis auf die Quelle der Traumgedanken verpflichtet; aber fast alles, was er der Traumarbeit zuschreibt, ist der Tätigkeit des bei Tag regsamen Unbewußten zuzurechnen, welche die Anregungen für die Träume nicht minder ergibt als die für die neurotischen Symptome. </w:t>
      </w:r>
      <w:r w:rsidRPr="00A06A59">
        <w:rPr>
          <w:rFonts w:ascii="Garamond" w:hAnsi="Garamond" w:cs="Arial"/>
          <w:color w:val="000000"/>
          <w:lang w:val="en-GB"/>
        </w:rPr>
        <w:t>Die Traumarbeit mußten wir von dieser Tätigkeit als etwas gänzlich Verschiedenes und weit mehr Gebundenes absondern. Endlich haben wir die Beziehung des Traums zu den Seelenstörungen keineswegs aufgegeben, sondern sie auf neuem Boden fester begründet.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Durch das Neue in unserer Traumlehre wie durch eine höhere Einheit zusammengehalten, finden wir also die verschiedenartigsten und widersprechendsten Ergebnisse der Autoren unserem Gebäude eingefügt, manche derselben anders gewendet, nur wenige gänzlich verworfen. Aber auch unser Aufbau ist noch unfertig. Von den vielen Unklarheiten abgesehen, die wir durch unser Vordringen in das Dunkel der Psychologie auf uns gezogen haben, scheint auch noch ein neuer Widerspruch uns zu bedrücken. Wir haben einerseits die Traumgedanken durch völlig normale geistige Arbeit entstehen lassen, anderseits aber eine Reihe von ganz abnormen Denkvorgängen unter den Traumgedanken, und von ihnen aus zum Trauminhalt, aufgefunden, welche wir dann bei der Traumdeutung wiederholen. Alles, was wir die »Traumarbeit« geheißen haben, scheint sich von den uns als korrekt bekannten Vorgängen so weit zu entfernen, daß die härtesten Urteile der Autoren über die niedrige psychische Leistung des Träumens uns wohl angebracht dünken müssen.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Hier schaffen wir vielleicht nur durch noch weiteres Vordringen Aufklärung und Abhilfe. Ich will eine der Konstellationen herausgreifen, die zur Traumbildung führen: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haben erfahren, daß der Traum eine Anzahl von Gedanken ersetzt, die aus unserem Tagesleben stammen und vollkommen logisch gefügt sind. Wir können darum nicht bezweifeln, daß diese Gedanken unserem normalen Geistesleben entstammen. Alle Eigenschaften, welche wir an unseren Gedankengängen hochschätzen, durch welche sie sich als komplizierte Leistungen hoher Ordnung kennzeichnen, finden wir an den Traumgedanken wieder. Es besteht aber keine Nötigung anzunehmen, daß diese Gedankenarbeit während des Schlafes vollzogen wurde, was unsere bisher festgehaltene Vorstellung vom psychischen Schlafzustand arg beirren würde. Diese Gedanken können vielmehr sehr wohl vom Tage stammen, sich von ihrem Anstoß an, unserem Bewußtsein unbemerkt, fortgesetzt haben und fanden sich dann mit dem Einschlafen als fertig vor. Wenn wir aus dieser Sachlage etwas entnehmen sollen, so ist es höchstens der Beweis, </w:t>
      </w:r>
      <w:r w:rsidRPr="00A06A59">
        <w:rPr>
          <w:rFonts w:ascii="Garamond" w:hAnsi="Garamond" w:cs="Arial"/>
          <w:i/>
          <w:iCs/>
          <w:color w:val="000000"/>
          <w:lang w:val="en-GB"/>
        </w:rPr>
        <w:t>daß die kompliziertesten Denkleistungen ohne Mittun des Bewußtseins möglich sind</w:t>
      </w:r>
      <w:r w:rsidRPr="00A06A59">
        <w:rPr>
          <w:rFonts w:ascii="Garamond" w:hAnsi="Garamond" w:cs="Arial"/>
          <w:color w:val="000000"/>
          <w:lang w:val="en-GB"/>
        </w:rPr>
        <w:t xml:space="preserve">, was wir ohnedies aus jeder Psychoanalyse eines Hysterischen oder einer Person mit Zwangsvorstellungen erfahren mußten. Diese Traumgedanken sind an sich sicherlich nicht bewußtseinsunfähig; wenn sie uns tagsüber nicht bewußt worden sind, so mag dies verschiedene Gründe haben. Das Bewußtwerden hängt mit der Zuwendung einer bestimmten psychischen Funktion, der Aufmerksamkeit, zusammen, die, wie es scheint, nur in bestimmter Quantität aufgewendet wird, welche von dem betreffenden Gedankengang durch andere Ziele abgelenkt sein mochte. Eine andere Art, wie solche Gedankengänge dem Bewußtsein vorenthalten werden können, ist folgende: Von unserem </w:t>
      </w:r>
      <w:r w:rsidRPr="00A06A59">
        <w:rPr>
          <w:rFonts w:ascii="Garamond" w:hAnsi="Garamond" w:cs="Arial"/>
          <w:color w:val="000000"/>
          <w:lang w:val="en-GB"/>
        </w:rPr>
        <w:lastRenderedPageBreak/>
        <w:t>bewußten Nachdenken her wissen wir, daß wir bei Anwendung der Aufmerksamkeit einen bestimmten Weg verfolgen. Kommen wir auf diesem Wege an eine Vorstellung, welche der Kritik nicht standhält, so brechen wir ab; wir lassen die Aufmerksamkeitsbesetzung fallen. Es scheint nun, daß der begonnene und verlassene Gedankengang sich dann fortspinnen kann, ohne daß sich ihm die Aufmerksamkeit wieder zuwendet, wenn er nicht an einer Stelle eine besonders hohe Intensität erreicht, welche die Aufmerksamkeit erzwingt. Eine anfängliche, etwa mit Bewußtsein erfolgte Verwerfung durch das Urteil als unrichtig oder als unbrauchbar für den aktuellen Zweck des Denkakts kann also die Ursache sein, daß ein Denkvorgang vom Bewußtsein unbemerkt sich bis zum Einschlafen fortsetzt.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Resümieren wir, daß wir einen solchen Gedankengang einen </w:t>
      </w:r>
      <w:r w:rsidRPr="00A06A59">
        <w:rPr>
          <w:rFonts w:ascii="Garamond" w:hAnsi="Garamond" w:cs="Arial"/>
          <w:i/>
          <w:iCs/>
          <w:color w:val="000000"/>
          <w:lang w:val="en-GB"/>
        </w:rPr>
        <w:t>vorbewußten</w:t>
      </w:r>
      <w:r w:rsidRPr="00A06A59">
        <w:rPr>
          <w:rFonts w:ascii="Garamond" w:hAnsi="Garamond" w:cs="Arial"/>
          <w:color w:val="000000"/>
          <w:lang w:val="en-GB"/>
        </w:rPr>
        <w:t xml:space="preserve"> heißen, ihn für völlig korrekt halten und daß er ebensowohl ein bloß vernachlässigter, wie ein abgebrochener, unterdrückter sein kann. Sagen wir auch frei heraus, in welcher Weise wir uns den Vorstellungsablauf veranschaulichen. Wir glauben, daß von einer Zielvorstellung aus eine gewisse Erregungsgröße, die wir »Besetzungsenergie« heißen, längs der durch diese Zielvorstellung ausgewählten Assoziationswege verschoben wird. Ein »vernachlässigter« Gedankengang hat eine solche Besetzung nicht erhalten; von einem »unterdrückten« oder »verworfenen« ist sie wieder zurückgezogen worden; beide sind ihren eigenen Erregungen überlassen. Der zielbesetzte Gedankengang wird unter gewissen Bedingungen fähig, die Aufmerksamkeit des Bewußtseins auf sich zu ziehen, und erhält dann durch dessen Vermittlung eine »Überbesetzung«. Unsere Annahmen über die Natur und Leistung des Bewußtseins werden wir ein wenig später klarlegen müssen.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so im Vorbewußten angeregter Gedankengang kann spontan erlöschen oder sich erhalten. Den ersteren Ausgang stellen wir uns so vor, daß seine Energie nach allen von ihm ausgehenden Assoziationsrichtungen diffundiert, die ganze Gedankenkette in einen erregten Zustand versetzt, der für eine Weile anhält, dann aber abklingt, indem die abfuhrbedürftige Erregung sich in ruhende Besetzung umwandelt. Tritt dieser erste Ausgang ein, so hat der Vorgang weiter keine Bedeutung für die Traumbildung. Es lauern aber in unserem Vorbewußten andere Zielvorstellungen, die aus den Quellen unserer unbewußten und immer regen Wünsche stammen. Diese können sich der Erregung in dem sich selbst überlassenen Gedankenkreise bemächtigen, stellen die Verbindung zwischen ihm und dem unbewußten Wunsche her, </w:t>
      </w:r>
      <w:r w:rsidRPr="00A06A59">
        <w:rPr>
          <w:rFonts w:ascii="Garamond" w:hAnsi="Garamond" w:cs="Arial"/>
          <w:i/>
          <w:iCs/>
          <w:color w:val="000000"/>
          <w:lang w:val="en-GB"/>
        </w:rPr>
        <w:t>übertragen</w:t>
      </w:r>
      <w:r w:rsidRPr="00A06A59">
        <w:rPr>
          <w:rFonts w:ascii="Garamond" w:hAnsi="Garamond" w:cs="Arial"/>
          <w:color w:val="000000"/>
          <w:lang w:val="en-GB"/>
        </w:rPr>
        <w:t xml:space="preserve"> ihm die dem unbewußten Wunsch eigene Energie, und von jetzt an ist der vernachlässigte oder unterdrückte Gedankengang imstande, sich zu erhalten, obwohl er durch diese Verstärkung keinen Anspruch auf den Zugang zum Bewußtsein erhält. Wir können sagen, der bisher vorbewußte Gedankengang </w:t>
      </w:r>
      <w:r w:rsidRPr="00A06A59">
        <w:rPr>
          <w:rFonts w:ascii="Garamond" w:hAnsi="Garamond" w:cs="Arial"/>
          <w:i/>
          <w:iCs/>
          <w:color w:val="000000"/>
          <w:lang w:val="en-GB"/>
        </w:rPr>
        <w:t>ist ins Unbewußte gezogen</w:t>
      </w:r>
      <w:r w:rsidRPr="00A06A59">
        <w:rPr>
          <w:rFonts w:ascii="Garamond" w:hAnsi="Garamond" w:cs="Arial"/>
          <w:color w:val="000000"/>
          <w:lang w:val="en-GB"/>
        </w:rPr>
        <w:t xml:space="preserve"> worden.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Andere Konstellationen zur Traumbildung wären, daß der vorbewußte Gedankengang von vornherein in Verbindung mit dem unbewußten Wunsche stand und darum auf Abweisung von Seiten der herrschenden Zielbesetzung stieß oder daß ein unbewußter Wunsch aus anderen (etwa somatischen) Gründen rege geworden ist und ohne Entgegenkommen eine Übertragung auf die vom </w:t>
      </w:r>
      <w:r w:rsidRPr="00A06A59">
        <w:rPr>
          <w:rFonts w:ascii="Garamond" w:hAnsi="Garamond" w:cs="Arial"/>
          <w:i/>
          <w:iCs/>
          <w:color w:val="000000"/>
          <w:lang w:val="en-GB"/>
        </w:rPr>
        <w:t>Vbw</w:t>
      </w:r>
      <w:r w:rsidRPr="00A06A59">
        <w:rPr>
          <w:rFonts w:ascii="Garamond" w:hAnsi="Garamond" w:cs="Arial"/>
          <w:color w:val="000000"/>
          <w:lang w:val="en-GB"/>
        </w:rPr>
        <w:t xml:space="preserve"> nicht besetzten psychischen Reste sucht. Alle drei Fälle treffen endlich in einem Ergebnis zusammen, daß ein Gedankenzug im Vorbewußten zustande kommt, der, von der vorbewußten Besetzung verlassen, vom unbewußten Wunsch her Besetzung gefunden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Von da an erleidet der Gedankenzug eine Reihe von Umwandlungen, die wir nicht mehr als normale psychische Vorgänge anerkennen und die ein uns befremdendes Resultat, eine psychopathologische Bildung, ergeben. Wir wollen dieselben herausheben und zusammenstellen: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1) Die Intensitäten der einzelnen Vorstellungen werden nach ihrem ganzen Betrage abflußfähig und übergehen von einer Vorstellung auf die andere, so daß einzelne mit großer Intensität versehene Vorstellungen gebildet werden. Indem sich dieser Vorgang mehrmals wiederholt, kann die Intensität eines ganzen Gedankenzugs schließlich in einem einzigen Vorstellungselement gesammelt sein. Dies ist die Tatsache der </w:t>
      </w:r>
      <w:r w:rsidRPr="00A06A59">
        <w:rPr>
          <w:rFonts w:ascii="Garamond" w:hAnsi="Garamond" w:cs="Arial"/>
          <w:i/>
          <w:iCs/>
          <w:color w:val="000000"/>
          <w:lang w:val="en-GB"/>
        </w:rPr>
        <w:t>Kompression</w:t>
      </w:r>
      <w:r w:rsidRPr="00A06A59">
        <w:rPr>
          <w:rFonts w:ascii="Garamond" w:hAnsi="Garamond" w:cs="Arial"/>
          <w:color w:val="000000"/>
          <w:lang w:val="en-GB"/>
        </w:rPr>
        <w:t xml:space="preserve"> oder </w:t>
      </w:r>
      <w:r w:rsidRPr="00A06A59">
        <w:rPr>
          <w:rFonts w:ascii="Garamond" w:hAnsi="Garamond" w:cs="Arial"/>
          <w:i/>
          <w:iCs/>
          <w:color w:val="000000"/>
          <w:lang w:val="en-GB"/>
        </w:rPr>
        <w:t>Verdichtung</w:t>
      </w:r>
      <w:r w:rsidRPr="00A06A59">
        <w:rPr>
          <w:rFonts w:ascii="Garamond" w:hAnsi="Garamond" w:cs="Arial"/>
          <w:color w:val="000000"/>
          <w:lang w:val="en-GB"/>
        </w:rPr>
        <w:t xml:space="preserve">, die wir während der Traumarbeit kennengelernt haben. Sie trägt die Hauptschuld an dem befremdenden Eindruck des Traums, denn etwas ihr Analoges ist uns aus dem normalen und dem Bewußtsein zugänglichen Seelenleben ganz unbekannt. Wir haben auch hier Vorstellungen, die als Knotenpunkte oder als Endergebnisse ganzer Gedankenketten eine große psychische Bedeutung besitzen, aber diese Wertigkeit äußert sich in keinem für die innere Wahrnehmung </w:t>
      </w:r>
      <w:r w:rsidRPr="00A06A59">
        <w:rPr>
          <w:rFonts w:ascii="Garamond" w:hAnsi="Garamond" w:cs="Arial"/>
          <w:i/>
          <w:iCs/>
          <w:color w:val="000000"/>
          <w:lang w:val="en-GB"/>
        </w:rPr>
        <w:t>sinnfälligen</w:t>
      </w:r>
      <w:r w:rsidRPr="00A06A59">
        <w:rPr>
          <w:rFonts w:ascii="Garamond" w:hAnsi="Garamond" w:cs="Arial"/>
          <w:color w:val="000000"/>
          <w:lang w:val="en-GB"/>
        </w:rPr>
        <w:t xml:space="preserve"> Charakter; das in ihr Vorgestellte wird darum in keiner Weise intensiver. Im Verdichtungsvorgang setzt sich aller psychische Zusammenhang in die </w:t>
      </w:r>
      <w:r w:rsidRPr="00A06A59">
        <w:rPr>
          <w:rFonts w:ascii="Garamond" w:hAnsi="Garamond" w:cs="Arial"/>
          <w:i/>
          <w:iCs/>
          <w:color w:val="000000"/>
          <w:lang w:val="en-GB"/>
        </w:rPr>
        <w:t>Intensität</w:t>
      </w:r>
      <w:r w:rsidRPr="00A06A59">
        <w:rPr>
          <w:rFonts w:ascii="Garamond" w:hAnsi="Garamond" w:cs="Arial"/>
          <w:color w:val="000000"/>
          <w:lang w:val="en-GB"/>
        </w:rPr>
        <w:t xml:space="preserve"> des Vorstellungsinhalts um. Es ist der nämliche Fall, wie wenn ich in einem Buch ein Wort, dem ich einen überragenden Wert für die Auffassung des Textes beilege, gesperrt oder fett drucken lasse. In der Rede würde ich dasselbe Wort laut und langsam sprechen und nachdrücklich betonen. Das erstere Gleichnis führt unmittelbar zu einem der Traumarbeit entlehnten Beispiele ( </w:t>
      </w:r>
      <w:r w:rsidRPr="00A06A59">
        <w:rPr>
          <w:rFonts w:ascii="Garamond" w:hAnsi="Garamond" w:cs="Arial"/>
          <w:i/>
          <w:iCs/>
          <w:color w:val="000000"/>
          <w:lang w:val="en-GB"/>
        </w:rPr>
        <w:t>Trimethylamin</w:t>
      </w:r>
      <w:r w:rsidRPr="00A06A59">
        <w:rPr>
          <w:rFonts w:ascii="Garamond" w:hAnsi="Garamond" w:cs="Arial"/>
          <w:color w:val="000000"/>
          <w:lang w:val="en-GB"/>
        </w:rPr>
        <w:t xml:space="preserve"> im Traum von Irmas Injektion). Die Kunsthistoriker machen uns darauf aufmerksam, daß die ältesten historischen Skulpturen ein ähnliches Prinzip befolgen, indem sie die Ranggröße der dargestellten Personen durch die Bildgröße zum Ausdruck bringen. Der König wird zwei- oder dreimal so groß gebildet als sein Gefolge oder der überwundene Feind. Ein Bildwerk aus der Römerzeit wird sich zu demselben Zweck feinerer Mittel bedienen. Es wird die Figur des Imperators in die Mitte stellen, ihn hoch aufgerichtet zeigen, besondere Sorgfalt auf die Durchbildung seiner Gestalt verwenden, </w:t>
      </w:r>
      <w:r w:rsidRPr="00A06A59">
        <w:rPr>
          <w:rFonts w:ascii="Garamond" w:hAnsi="Garamond" w:cs="Arial"/>
          <w:color w:val="000000"/>
          <w:lang w:val="en-GB"/>
        </w:rPr>
        <w:lastRenderedPageBreak/>
        <w:t>die Feinde zu seinen Füßen legen, ihn aber nicht mehr als Riesen unter Zwergen erscheinen lassen. Indes ist die Verbeugung des Untergebenen vor seinem Vorgesetzten in unserer Mitte noch heute ein Nachklang jenes alten Darstellungsprinzips.</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Die Richtung, nach welcher die Verdichtungen des Traumes fortschreiten, ist einerseits durch die korrekten vorbewußten Relationen der Traumgedanken, anderseits durch die Anziehung der visuellen Erinnerungen im Unbewußten vorgeschrieben. Der Erfolg der Verdichtungsarbeit erzielt jene Intensitäten, die zum Durchbruch gegen die Wahrnehmungssysteme erfordert werden.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2) Es werden wiederum durch freie Übertragbarkeit der Intensitäten und im Dienste der Verdichtung </w:t>
      </w:r>
      <w:r w:rsidRPr="00A06A59">
        <w:rPr>
          <w:rFonts w:ascii="Garamond" w:hAnsi="Garamond" w:cs="Arial"/>
          <w:i/>
          <w:iCs/>
          <w:color w:val="000000"/>
          <w:lang w:val="en-GB"/>
        </w:rPr>
        <w:t>Mittelvorstellungen</w:t>
      </w:r>
      <w:r w:rsidRPr="00A06A59">
        <w:rPr>
          <w:rFonts w:ascii="Garamond" w:hAnsi="Garamond" w:cs="Arial"/>
          <w:color w:val="000000"/>
          <w:lang w:val="en-GB"/>
        </w:rPr>
        <w:t xml:space="preserve"> gebildet, Kompromisse gleichsam (vgl. die zahlreichen Beispiele). Gleichfalls etwas Unerhörtes im normalen Vorstellungsablauf, bei dem es vor allem auf die Auswahl und Festhaltung des »richtigen« Vorstellungselements ankommt. Dagegen ereignen sich Misch- wie Kompromißbildungen außerordentlich häufig, wenn wir für die vorbewußten Gedanken den sprachlichen Ausdruck suchen, und werden als Arten des »Versprechens« angeführt.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3) Die Vorstellungen, die einander ihre Intensitäten übertragen, stehen in den </w:t>
      </w:r>
      <w:r w:rsidRPr="00A06A59">
        <w:rPr>
          <w:rFonts w:ascii="Garamond" w:hAnsi="Garamond" w:cs="Arial"/>
          <w:i/>
          <w:iCs/>
          <w:color w:val="000000"/>
          <w:lang w:val="en-GB"/>
        </w:rPr>
        <w:t>lockersten Beziehungen</w:t>
      </w:r>
      <w:r w:rsidRPr="00A06A59">
        <w:rPr>
          <w:rFonts w:ascii="Garamond" w:hAnsi="Garamond" w:cs="Arial"/>
          <w:color w:val="000000"/>
          <w:lang w:val="en-GB"/>
        </w:rPr>
        <w:t xml:space="preserve"> zueinander und sind durch solche Arten von Assoziationen verknüpft, welche von unserem Denken verschmäht und nur dem witzigen Effekt zur Ausnützung überlassen werden. Insbesondere gelten Gleichklangs- und Wortlautassoziationen als den anderen gleichwertig.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4) Einander widersprechende Gedanken streben nicht danach, einander aufzuheben, sondern bestehen nebeneinander, setzen sich oft, </w:t>
      </w:r>
      <w:r w:rsidRPr="00A06A59">
        <w:rPr>
          <w:rFonts w:ascii="Garamond" w:hAnsi="Garamond" w:cs="Arial"/>
          <w:i/>
          <w:iCs/>
          <w:color w:val="000000"/>
          <w:lang w:val="en-GB"/>
        </w:rPr>
        <w:t>als ob kein Widerspruch</w:t>
      </w:r>
      <w:r w:rsidRPr="00A06A59">
        <w:rPr>
          <w:rFonts w:ascii="Garamond" w:hAnsi="Garamond" w:cs="Arial"/>
          <w:color w:val="000000"/>
          <w:lang w:val="en-GB"/>
        </w:rPr>
        <w:t xml:space="preserve"> bestünde, zu Verdichtungsprodukten zusammen oder bilden Kompromisse, die wir unserem Denken nie verzeihen würden, in unserem Handeln aber oft gutheißen.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Dies wären einige der auffälligsten abnormen Vorgänge, denen im Laufe der Traumarbeit die vorher rationell gebildeten Traumgedanken unterzogen werden. Man erkennt als den Hauptcharakter derselben, daß aller Wert darauf gelegt wird, die besetzende Energie beweglich und </w:t>
      </w:r>
      <w:r w:rsidRPr="00A06A59">
        <w:rPr>
          <w:rFonts w:ascii="Garamond" w:hAnsi="Garamond" w:cs="Arial"/>
          <w:i/>
          <w:iCs/>
          <w:color w:val="000000"/>
          <w:lang w:val="en-GB"/>
        </w:rPr>
        <w:t>abfuhrfähig</w:t>
      </w:r>
      <w:r w:rsidRPr="00A06A59">
        <w:rPr>
          <w:rFonts w:ascii="Garamond" w:hAnsi="Garamond" w:cs="Arial"/>
          <w:color w:val="000000"/>
          <w:lang w:val="en-GB"/>
        </w:rPr>
        <w:t xml:space="preserve"> zu machen; der Inhalt und die eigene Bedeutung der psychischen Elemente, an denen diese Besetzungen haften, wird zur Nebensache. Man könnte noch meinen, die Verdichtung und Kompromißbildung geschehe nur im Dienste der Regression, wenn es sich darum handelt, Gedanken in Bilder zu verwandeln. Allein die Analyse und noch deutlicher die Synthese – solcher Träume, die der Regression auf Bilder entbehren, z. B. des Traumes »Autodidasker – Gespräch mit Professor N.«, ergeben die nämlichen Verschiebungs- und Verdichtungsvorgänge wie die anderen.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So können wir uns also der Einsicht nicht verschließen, daß an der Traumbildung zweierlei wesensverschiedene psychische Vorgänge beteiligt sind; der eine schafft vollkommen korrekte, dem normalen Denken gleichwertige Traumgedanken; der andere verfährt mit denselben auf eine höchst befremdende, inkorrekte Weise. Den letzteren haben wir schon im AbschnittVI als die eigentliche Traumarbeit abgesondert. Was haben wir nun zur Ableitung dieses letzteren psychischen Vorgangs vorzubringen?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könnten hier eine Antwort nicht geben, wenn wir nicht ein Stück weit in die Psychologie der Neurosen, speziell der Hysterie, eingedrungen wären. Aus dieser aber erfahren wir, daß die nämlichen inkorrekten psychischen Vorgänge und noch andere nicht aufgezählte die Herstellung der hysterischen Symptome beherrschen. Auch bei der Hysterie finden wir zunächst eine Reihe von völlig korrekten, unseren bewußten ganz gleichwertigen Gedanken, von deren Existenz in dieser Form wir aber nichts erfahren können, die wir erst nachträglich rekonstruieren. Wenn sie irgendwo zu unserer Wahrnehmung durchgedrungen sind, so ersehen wir aus der Analyse des gebildeten Symptoms, daß diese normalen Gedanken eine abnorme Behandlung erlitten haben und </w:t>
      </w:r>
      <w:r w:rsidRPr="00A06A59">
        <w:rPr>
          <w:rFonts w:ascii="Garamond" w:hAnsi="Garamond" w:cs="Arial"/>
          <w:i/>
          <w:iCs/>
          <w:color w:val="000000"/>
          <w:lang w:val="en-GB"/>
        </w:rPr>
        <w:t>mittels Verdichtung, Kompromißbildung, über oberflächliche Assoziationen, unter Deckung der Widersprüche, eventuell auf dem Wege der Regression in das Symptom übergeführt wurden</w:t>
      </w:r>
      <w:r w:rsidRPr="00A06A59">
        <w:rPr>
          <w:rFonts w:ascii="Garamond" w:hAnsi="Garamond" w:cs="Arial"/>
          <w:color w:val="000000"/>
          <w:lang w:val="en-GB"/>
        </w:rPr>
        <w:t>. Bei der vollen Identität zwischen den Eigentümlichkeiten der Traumarbeit und der psychischen Tätigkeit, welche in die psychoneurotischen Symptome ausläuft, werden wir uns für berechtigt halten, die Schlüsse, zu denen uns die Hysterie nötigt, auf den Traum zu übertragen.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Aus der Lehre von der Hysterie entnehmen wir den Satz, </w:t>
      </w:r>
      <w:r w:rsidRPr="00A06A59">
        <w:rPr>
          <w:rFonts w:ascii="Garamond" w:hAnsi="Garamond" w:cs="Arial"/>
          <w:i/>
          <w:iCs/>
          <w:color w:val="000000"/>
          <w:lang w:val="en-GB"/>
        </w:rPr>
        <w:t>daß solcheabnorme psychische Bearbeitung eines normalen Gedankenzugs nur dann vorkommt, wenn dieser zur Übertragung eines unbewußten Wunsches geworden ist, der aus dem Infantilen stammt und sich in der Verdrängung befindet</w:t>
      </w:r>
      <w:r w:rsidRPr="00A06A59">
        <w:rPr>
          <w:rFonts w:ascii="Garamond" w:hAnsi="Garamond" w:cs="Arial"/>
          <w:color w:val="000000"/>
          <w:lang w:val="en-GB"/>
        </w:rPr>
        <w:t xml:space="preserve">. Diesem Satz zuliebe haben wir die Theorie des Traums auf die Annahme gebaut, daß der treibende Traumwunsch allemale aus dem Unbewußten stammt, was, wie wir selbst zugestanden, sich nicht allgemein nachweisen, wenn auch nicht zurückweisen läßt. Um aber sagen zu können, was die » </w:t>
      </w:r>
      <w:r w:rsidRPr="00A06A59">
        <w:rPr>
          <w:rFonts w:ascii="Garamond" w:hAnsi="Garamond" w:cs="Arial"/>
          <w:i/>
          <w:iCs/>
          <w:color w:val="000000"/>
          <w:lang w:val="en-GB"/>
        </w:rPr>
        <w:t>Verdrängung</w:t>
      </w:r>
      <w:r w:rsidRPr="00A06A59">
        <w:rPr>
          <w:rFonts w:ascii="Garamond" w:hAnsi="Garamond" w:cs="Arial"/>
          <w:color w:val="000000"/>
          <w:lang w:val="en-GB"/>
        </w:rPr>
        <w:t>« ist, mit deren Namen wir schon so oft gespielt haben, müssen wir ein Stück an unserm psychologischen Gerüste weiterbauen.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Wir hatten uns in die Fiktion eines primitiven psychischen Apparats vertieft, dessen Arbeit durch das Bestreben geregelt wird, Anhäufung von Erregung zu vermeiden und sich möglichst erregungslos zu erhalten. Er war darum </w:t>
      </w:r>
      <w:r w:rsidRPr="00A06A59">
        <w:rPr>
          <w:rFonts w:ascii="Garamond" w:hAnsi="Garamond" w:cs="Arial"/>
          <w:color w:val="000000"/>
          <w:lang w:val="en-GB"/>
        </w:rPr>
        <w:lastRenderedPageBreak/>
        <w:t>nach dem Schema eines Reflexapparats gebaut; die Motilität, zunächst der Weg zur inneren Veränderung des Körpers, war die ihm zu Gebote stehende Abfuhrbahn. Wir erörterten dann die psychischen Folgen eines Befriedigungserlebnisses und hätten dabei schon die zweite Annahme einfügen können, daß Anhäufung der Erregung – nach gewissen uns nicht bekümmernden Modalitäten – als Unlust empfunden wird und den Apparat in Tätigkeit versetzt, um das Befriedigungsergebnis, bei dem die Verringerung der Erregung als Lust verspürt wird, wieder herbeizuführen. Eine solche, von der Unlust ausgehende, auf die Lust zielende Strömung im Apparat heißen wir einen Wunsch; wir haben gesagt, nichts anderes als ein Wunsch sei imstande, den Apparat in Bewegung zu bringen, und der Ablauf der Erregung in ihm werde automatisch durch die Wahrnehmungen von Lust und Unlust geregelt. Das erste Wünschen dürfte ein halluzinatorisches Besetzen der Befriedigungserinnerung gewesen sein. Diese Halluzination erwies sich aber, wenn sie nicht bis zur Erschöpfung festgehalten werden sollte, als untüchtig, das Aufhören des Bedürfnisses, also die mit der Befriedigung verbundene Lust, herbeizuführen.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wurde so eine zweite Tätigkeit – in unserer Ausdrucksweise die Tätigkeit eines zweiten Systems – notwendig, welche nicht gestattete, daß die Erinnerungsbesetzung zur Wahrnehmung vordringe und von dort aus die psychischen Kräfte binde, sondern die vom Bedürfnisreiz ausgehende Erregung auf einen Umweg leite, der endlich über die willkürliche Motilität die Außenwelt so verändert, daß die reale Wahrnehmung des Befriedigungsobjekts eintreten kann. So weit haben wir das Schema des psychischen Apparats bereits verfolgt; die beiden Systeme sind der Keim zu dem, was wir als </w:t>
      </w:r>
      <w:r w:rsidRPr="00A06A59">
        <w:rPr>
          <w:rFonts w:ascii="Garamond" w:hAnsi="Garamond" w:cs="Arial"/>
          <w:i/>
          <w:iCs/>
          <w:color w:val="000000"/>
          <w:lang w:val="en-GB"/>
        </w:rPr>
        <w:t>Ubw</w:t>
      </w:r>
      <w:r w:rsidRPr="00A06A59">
        <w:rPr>
          <w:rFonts w:ascii="Garamond" w:hAnsi="Garamond" w:cs="Arial"/>
          <w:color w:val="000000"/>
          <w:lang w:val="en-GB"/>
        </w:rPr>
        <w:t xml:space="preserve"> und </w:t>
      </w:r>
      <w:r w:rsidRPr="00A06A59">
        <w:rPr>
          <w:rFonts w:ascii="Garamond" w:hAnsi="Garamond" w:cs="Arial"/>
          <w:i/>
          <w:iCs/>
          <w:color w:val="000000"/>
          <w:lang w:val="en-GB"/>
        </w:rPr>
        <w:t>Vbw</w:t>
      </w:r>
      <w:r w:rsidRPr="00A06A59">
        <w:rPr>
          <w:rFonts w:ascii="Garamond" w:hAnsi="Garamond" w:cs="Arial"/>
          <w:color w:val="000000"/>
          <w:lang w:val="en-GB"/>
        </w:rPr>
        <w:t xml:space="preserve"> in den voll ausgebildeten Apparat einsetzen.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Um die Außenwelt zweckmäßig durch die Motilität verändern zu können, bedarf es der Anhäufung einer großen Summe von Erfahrungen in den Erinnerungssystemen und einer mannigfachen Fixierung der Beziehungen, die durch verschiedene Zielvorstellungen in diesem Erinnerungsmaterial hervorgerufen werden. Wir gehen nun in unseren Annahmen weiter. Die vielfach tastende, Besetzungen aussendende und wieder einziehende Tätigkeit des zweiten Systems bedarf einerseits der freien Verfügung über alles Erinnerungsmaterial; anderseits wäre es überflüssiger Aufwand, wenn sie große Besetzungsquantitäten auf die einzelnen Denkwege schickte, die dann unzweckmäßig abströmen und die für die Veränderung der Außenwelt notwendige Quantität verringern würden. Der Zweckmäßigkeit zuliebe postuliere ich also, daß es dem zweiten System gelingt, die Energiebesetzungen zum größeren Anteil in Ruhe zu erhalten und nur einen kleineren Teil zur Verschiebung zu verwenden. Die Mechanik dieser Vorgänge ist mir ganz unbekannt; wer mit diesen Vorstellungen Ernst machen wollte, müßte die physikalischen Analogien heraussuchen und sich einen Weg zur Veranschaulichung des Bewegungsvorgangs bei der Neuronerregung bahnen. Ich halte nur an der Vorstellung fest, daß die Tätigkeit des ersten </w:t>
      </w:r>
      <w:r w:rsidRPr="00A06A59">
        <w:rPr>
          <w:rFonts w:ascii="Garamond" w:hAnsi="Garamond" w:cs="Arial"/>
          <w:color w:val="000000"/>
        </w:rPr>
        <w:t>Ψ</w:t>
      </w:r>
      <w:r w:rsidRPr="00A06A59">
        <w:rPr>
          <w:rFonts w:ascii="Garamond" w:hAnsi="Garamond" w:cs="Arial"/>
          <w:color w:val="000000"/>
          <w:lang w:val="en-GB"/>
        </w:rPr>
        <w:t xml:space="preserve">-Systems </w:t>
      </w:r>
      <w:r w:rsidRPr="00A06A59">
        <w:rPr>
          <w:rFonts w:ascii="Garamond" w:hAnsi="Garamond" w:cs="Arial"/>
          <w:i/>
          <w:iCs/>
          <w:color w:val="000000"/>
          <w:lang w:val="en-GB"/>
        </w:rPr>
        <w:t>auf freies Abströmen der Erregungsquantitäten</w:t>
      </w:r>
      <w:r w:rsidRPr="00A06A59">
        <w:rPr>
          <w:rFonts w:ascii="Garamond" w:hAnsi="Garamond" w:cs="Arial"/>
          <w:color w:val="000000"/>
          <w:lang w:val="en-GB"/>
        </w:rPr>
        <w:t xml:space="preserve"> gerichtet ist und daß das zweite System durch die von ihm ausgehenden Besetzungen eine </w:t>
      </w:r>
      <w:r w:rsidRPr="00A06A59">
        <w:rPr>
          <w:rFonts w:ascii="Garamond" w:hAnsi="Garamond" w:cs="Arial"/>
          <w:i/>
          <w:iCs/>
          <w:color w:val="000000"/>
          <w:lang w:val="en-GB"/>
        </w:rPr>
        <w:t>Hemmung</w:t>
      </w:r>
      <w:r w:rsidRPr="00A06A59">
        <w:rPr>
          <w:rFonts w:ascii="Garamond" w:hAnsi="Garamond" w:cs="Arial"/>
          <w:color w:val="000000"/>
          <w:lang w:val="en-GB"/>
        </w:rPr>
        <w:t xml:space="preserve"> dieses Abströmens, eine Verwandlung in ruhende Besetzung, wohl unter Niveauerhöhung, herbeiführt. Ich nehme also an, daß der Ablauf der Erregung unter der Herrschaft des zweiten Systems an ganz andere mechanische Verhältnisse geknüpft wird als unter der Herrschaft des ersten. Hat das zweite System seine probende Denkarbeit beendigt, so hebt es auch die Hemmung und Stauung der Erregungen auf und läßt dieselben zur Motilität abfließen.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ergibt sich nun eine interessante Gedankenfolge, wenn man die Beziehungen dieser Abflußhemmung durch das zweite System zur Regulierung durch das Unlustprinzip ins Auge faßt. Suchen wir uns das Gegenstück zum primären Befriedigungserlebnis auf, das </w:t>
      </w:r>
      <w:r w:rsidRPr="00A06A59">
        <w:rPr>
          <w:rFonts w:ascii="Garamond" w:hAnsi="Garamond" w:cs="Arial"/>
          <w:i/>
          <w:iCs/>
          <w:color w:val="000000"/>
          <w:lang w:val="en-GB"/>
        </w:rPr>
        <w:t>äußere Schreckerlebnis</w:t>
      </w:r>
      <w:r w:rsidRPr="00A06A59">
        <w:rPr>
          <w:rFonts w:ascii="Garamond" w:hAnsi="Garamond" w:cs="Arial"/>
          <w:color w:val="000000"/>
          <w:lang w:val="en-GB"/>
        </w:rPr>
        <w:t xml:space="preserve">. Es wirke ein Wahrnehmungsreiz auf den primitiven Apparat ein, der die Quelle einer Schmerzerregung ist. Es werden dann so lange ungeordnete motorische Äußerungen erfolgen, bis eine derselben den Apparat der Wahrnehmung und gleichzeitig dem Schmerz entzieht, und diese wird bei Wiederauftreten der Wahrnehmung sofort wiederholt werden (etwa als Fluchtbewegung), bis die Wahrnehmung wieder verschwunden ist. Es wird aber hier keine Neigung übrigbleiben, die Wahrnehmung der Schmerzquelle halluzinatorisch oder anderswie wiederzubesetzen. Vielmehr wird im primären Apparat die Neigung bestehen, dies peinliche Erinnerungsbild sofort, wenn es irgendwie geweckt wird, wieder zu verlassen, weil ja das Überfließen seiner Erregung auf die Wahrnehmung Unlust hervorrufen würde (genauer: hervorzurufen beginnt). Die Abwendung von der Erinnerung, die nur eine Wiederholung der einstigen Flucht vor der Wahrnehmung ist, wird auch dadurch erleichtert, daß die Erinnerung nicht wie die Wahrnehmung genug Qualität besitzt, um das Bewußtsein zu erregen und hiedurch neue Besetzung an sich zu ziehen. Diese mühelos und regelmäßig erfolgende Abwendung des psychischen Vorgangs von der Erinnerung des einst Peinlichen gibt uns das Vorbild und das erste Beispiel der </w:t>
      </w:r>
      <w:r w:rsidRPr="00A06A59">
        <w:rPr>
          <w:rFonts w:ascii="Garamond" w:hAnsi="Garamond" w:cs="Arial"/>
          <w:i/>
          <w:iCs/>
          <w:color w:val="000000"/>
          <w:lang w:val="en-GB"/>
        </w:rPr>
        <w:t>psychischen Verdrängung</w:t>
      </w:r>
      <w:r w:rsidRPr="00A06A59">
        <w:rPr>
          <w:rFonts w:ascii="Garamond" w:hAnsi="Garamond" w:cs="Arial"/>
          <w:color w:val="000000"/>
          <w:lang w:val="en-GB"/>
        </w:rPr>
        <w:t>. Es ist allgemein bekannt, wieviel von dieser Abwendung vom Peinlichen, von der Taktik des Vogels Strauß, noch im normalen Seelenleben des Erwachsenen nachweisbar geblieben ist.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Zufolge des Unlustprinzips ist das erste </w:t>
      </w:r>
      <w:r w:rsidRPr="00A06A59">
        <w:rPr>
          <w:rFonts w:ascii="Garamond" w:hAnsi="Garamond" w:cs="Arial"/>
          <w:color w:val="000000"/>
        </w:rPr>
        <w:t>Ψ</w:t>
      </w:r>
      <w:r w:rsidRPr="00A06A59">
        <w:rPr>
          <w:rFonts w:ascii="Garamond" w:hAnsi="Garamond" w:cs="Arial"/>
          <w:color w:val="000000"/>
          <w:lang w:val="en-GB"/>
        </w:rPr>
        <w:t xml:space="preserve">-System also überhaupt unfähig, etwas Unangenehmes in den Denkzusammenhang zu ziehen. Das System kann nichts anderes als wünschen. Bliebe es so, so wäre die Denkarbeit des zweiten Systems gehindert, welches die Verfügung über alle in der Erfahrung niedergelegten Erinnerungen braucht. Es eröffnen sich nun zwei Wege; entweder macht sich die Arbeit des zweiten Systems vom Unlustprinzip </w:t>
      </w:r>
      <w:r w:rsidRPr="00A06A59">
        <w:rPr>
          <w:rFonts w:ascii="Garamond" w:hAnsi="Garamond" w:cs="Arial"/>
          <w:color w:val="000000"/>
          <w:lang w:val="en-GB"/>
        </w:rPr>
        <w:lastRenderedPageBreak/>
        <w:t xml:space="preserve">völlig frei, setzt ihren Weg fort, ohne sich um die Erinnerungsunlust zu kümmern; oder sie versteht es, die Unlusterinnerung in solcher Weise zu besetzen, daß die Unlustentbindung dabei vermieden wird. Wir können die erste Möglichkeit zurückweisen, denn das Unlustprinzip zeigt sich auch als Regulator für den Erregungsablauf des zweiten Systems; somit werden wir auf die zweite gewiesen, daß dies System eine Erinnerung so besetzt, daß der Abfluß von ihr gehemmt wird, also auch der einer motorischen Innervation vergleichbare Abfluß zur Entwicklung der Unlust. Zur Hypothese, daß die Besetzung durch das zweite System gleichzeitig eine Hemmung für den Abfluß der Erregung darstellt, werden wir also von zwei Ausgangspunkten her geleitet, von der Rücksicht auf das Unlustprinzip und von dem Prinzip des kleinsten Innervationsaufwands. Halten wir aber daran fest – es ist der Schlüssel zur Verdrängungslehre, – </w:t>
      </w:r>
      <w:r w:rsidRPr="00A06A59">
        <w:rPr>
          <w:rFonts w:ascii="Garamond" w:hAnsi="Garamond" w:cs="Arial"/>
          <w:i/>
          <w:iCs/>
          <w:color w:val="000000"/>
          <w:lang w:val="en-GB"/>
        </w:rPr>
        <w:t>daß das zweite System nur dann eine Vorstellung besetzen kann, wenn es imstande ist, die von ihr ausgehende Unlustentwicklung zu hemmen</w:t>
      </w:r>
      <w:r w:rsidRPr="00A06A59">
        <w:rPr>
          <w:rFonts w:ascii="Garamond" w:hAnsi="Garamond" w:cs="Arial"/>
          <w:color w:val="000000"/>
          <w:lang w:val="en-GB"/>
        </w:rPr>
        <w:t>. Was sich etwa dieser Hemmung entzöge, bliebe auch für das zweite System unzugänglich, würde dem Unlustprinzip zufolge alsbald verlassen werden. Die Hemmung der Unlust braucht indes keine vollständige zu sein; ein Beginn derselben muß zugelassen werden, da es dem zweiten System die Natur der Erinnerung und etwa deren mangelnde Eignung für den vom Denken gesuchten Zweck anzeigt.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 psychischen Vorgang, welchen das erste System allein zuläßt, werde ich jetzt </w:t>
      </w:r>
      <w:r w:rsidRPr="00A06A59">
        <w:rPr>
          <w:rFonts w:ascii="Garamond" w:hAnsi="Garamond" w:cs="Arial"/>
          <w:i/>
          <w:iCs/>
          <w:color w:val="000000"/>
          <w:lang w:val="en-GB"/>
        </w:rPr>
        <w:t>Primärvorgang</w:t>
      </w:r>
      <w:r w:rsidRPr="00A06A59">
        <w:rPr>
          <w:rFonts w:ascii="Garamond" w:hAnsi="Garamond" w:cs="Arial"/>
          <w:color w:val="000000"/>
          <w:lang w:val="en-GB"/>
        </w:rPr>
        <w:t xml:space="preserve"> nennen; den, der sich unter der Hemmung des zweiten ergibt, </w:t>
      </w:r>
      <w:r w:rsidRPr="00A06A59">
        <w:rPr>
          <w:rFonts w:ascii="Garamond" w:hAnsi="Garamond" w:cs="Arial"/>
          <w:i/>
          <w:iCs/>
          <w:color w:val="000000"/>
          <w:lang w:val="en-GB"/>
        </w:rPr>
        <w:t>Sekundärvorgang</w:t>
      </w:r>
      <w:r w:rsidRPr="00A06A59">
        <w:rPr>
          <w:rFonts w:ascii="Garamond" w:hAnsi="Garamond" w:cs="Arial"/>
          <w:color w:val="000000"/>
          <w:lang w:val="en-GB"/>
        </w:rPr>
        <w:t xml:space="preserve">. Ich kann noch an einem anderen Punkte zeigen, zu welchem Zwecke das zweite System den Primärvorgang korrigieren muß. Der Primärvorgang strebt nach Abfuhr der Erregung, um mit der so gesammelten Erregungsgröße eine </w:t>
      </w:r>
      <w:r w:rsidRPr="00A06A59">
        <w:rPr>
          <w:rFonts w:ascii="Garamond" w:hAnsi="Garamond" w:cs="Arial"/>
          <w:i/>
          <w:iCs/>
          <w:color w:val="000000"/>
          <w:lang w:val="en-GB"/>
        </w:rPr>
        <w:t>Wahrnehmungsidentität</w:t>
      </w:r>
      <w:r w:rsidRPr="00A06A59">
        <w:rPr>
          <w:rFonts w:ascii="Garamond" w:hAnsi="Garamond" w:cs="Arial"/>
          <w:color w:val="000000"/>
          <w:lang w:val="en-GB"/>
        </w:rPr>
        <w:t xml:space="preserve"> herzustellen; der Sekundärvorgang hat diese Absicht verlassen und an ihrer Statt die andere aufgenommen, eine </w:t>
      </w:r>
      <w:r w:rsidRPr="00A06A59">
        <w:rPr>
          <w:rFonts w:ascii="Garamond" w:hAnsi="Garamond" w:cs="Arial"/>
          <w:i/>
          <w:iCs/>
          <w:color w:val="000000"/>
          <w:lang w:val="en-GB"/>
        </w:rPr>
        <w:t>Denkidentität</w:t>
      </w:r>
      <w:r w:rsidRPr="00A06A59">
        <w:rPr>
          <w:rFonts w:ascii="Garamond" w:hAnsi="Garamond" w:cs="Arial"/>
          <w:color w:val="000000"/>
          <w:lang w:val="en-GB"/>
        </w:rPr>
        <w:t xml:space="preserve"> zu erzielen. Das ganze Denken ist nur ein Umweg von der als Zielvorstellung genommenen Befriedigungserinnerung bis zur identischen Besetzung derselben Erinnerung, die auf dem Wege über die motorischen Erfahrungen wieder erreicht werden soll. Das Denken muß sich für die Verbindungswege zwischen den Vorstellungen interessieren, ohne sich durch die Intensitäten derselben beirren zu lassen. Es ist aber klar, daß die Verdichtungen von Vorstellungen, Mittel- und Kompromißbildungen in der Erreichung dieses Identitätsziels hinderlich sind; indem sie die eine Vorstellung für die andere setzen, lenken sie vom Wege ab, der von der ersteren weitergeführt hätte. Solche Vorgänge werden also im sekundären Denken sorgfältig vermieden. Es ist auch nicht schwer zu übersehen, daß das Unlustprinzip dem Denkvorgang, welchem es sonst die wichtigsten Anhaltspunkte bietet, auch Schwierigkeiten in der Verfolgung der Denkidentität in den Weg legt. Die Tendenz des Denkens muß also dahin gehen, sich von der ausschließlichen Regulierung durch das Unlustprinzip immer mehr zu befreien und die Affektentwicklung durch die Denkarbeit auf ein Mindestes, das noch als Signal verwertbar ist, einzuschränken. Durch eine neuerliche Überbesetzung, die das Bewußtsein vermittelt, soll diese Verfeinerung der Leistung erzielt werden. Wir wissen aber, daß diese selbst im normalen Seelenleben selten vollständig gelingt und daß unser Denken der Fälschung durch die Einmengung des Unlustprinzips immer zugänglich bleibt.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Aber nicht dies ist die Lücke in der Funktionstüchtigkeit unseres seelischen Apparats, durch welche es möglich wird, daß Gedanken, die sich als Ergebnisse der sekundären Denkarbeit darstellen, dem primären psychischen Vorgang verfallen, mit welcher Formel wir jetzt die zum Traume und zu den hysterischen Symptomen führende Arbeit beschreiben können. Der Fall von Unzulänglichkeit ergibt sich durch das Zusammentreffen zweier Momente aus unserer Entwicklungsgeschichte, von denen das eine ganz dem seelischen Apparat anheimfällt und einen maßgebenden Einfluß auf das Verhältnis der beiden Systeme ausgeübt hat, das andere im wechselnden Betrage zur Geltung kommt und Triebkräfte organischer Herkunft ins Seelenleben einführt. Beide stammen aus dem Kinderleben und sind ein Niederschlag der Veränderung, die unser seelischer und somatischer Organismus seit den infantilen Zeiten erfahren hat.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ich den einen psychischen Vorgang im Seelenapparat den </w:t>
      </w:r>
      <w:r w:rsidRPr="00A06A59">
        <w:rPr>
          <w:rFonts w:ascii="Garamond" w:hAnsi="Garamond" w:cs="Arial"/>
          <w:i/>
          <w:iCs/>
          <w:color w:val="000000"/>
          <w:lang w:val="en-GB"/>
        </w:rPr>
        <w:t>primären</w:t>
      </w:r>
      <w:r w:rsidRPr="00A06A59">
        <w:rPr>
          <w:rFonts w:ascii="Garamond" w:hAnsi="Garamond" w:cs="Arial"/>
          <w:color w:val="000000"/>
          <w:lang w:val="en-GB"/>
        </w:rPr>
        <w:t xml:space="preserve"> benannt habe, so tat ich dies nicht allein mit Rücksicht auf die Rangordnung und Leistungsfähigkeit, sondern durfte auch die zeitlichen Verhältnisse bei der Namengebung mitsprechen lassen. Ein psychischer Apparat, der nur den Primärvorgang besäße, existiert zwar unseres Wissens nicht und ist insoferne eine theoretische Fiktion; aber soviel ist tatsächlich, daß die Primärvorgänge in ihm von Anfang an gegeben sind, während die sekundären erst allmählich im Laufe des Lebens sich ausbilden, die primären hemmen und überlagern und ihre volle Herrschaft über sie vielleicht erst mit der Lebenshöhe erreichen. Infolge dieses verspäteten Eintreffens der sekundären Vorgänge bleibt der Kern unseres Wesens, aus unbewußten Wunschregungen bestehend, unfaßbar und unhemmbar für das Vorbewußte, dessen Rolle ein für allemal darauf beschränkt wird, den aus dem Unbewußten stammenden Wunschregungen die zweckmäßigsten Wege anzuweisen. Diese unbewußten Wünsche stellen für alle späteren seelischen Bestrebungen einen Zwang dar, dem sie sich zu fügen haben, den etwa abzuleiten und auf höher stehende Ziele zu lenken sie sich bemühen dürfen. Ein großes Gebiet des Erinnerungsmaterials bleibt auch infolge dieser Verspätung der vorbewußten Besetzung unzugänglich.</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lastRenderedPageBreak/>
        <w:t xml:space="preserve">Unter diesen aus dem Infantilen stammenden, unzerstörbaren und unhemmbaren Wunschregungen befinden sich nun auch solche, deren Erfüllungen in das Verhältnis des Widerspruchs zu den Zielvorstellungen des sekundären Denkens getreten sind. Die Erfüllung dieser Wünsche würde nicht mehr einen Lust-, sondern einen Unlustaffekt hervorrufen, </w:t>
      </w:r>
      <w:r w:rsidRPr="00A06A59">
        <w:rPr>
          <w:rFonts w:ascii="Garamond" w:hAnsi="Garamond" w:cs="Arial"/>
          <w:i/>
          <w:iCs/>
          <w:color w:val="000000"/>
          <w:lang w:val="en-GB"/>
        </w:rPr>
        <w:t>und eben diese Affektverwandlung macht das Wesen dessen aus, was wir als »Verdrängung« bezeichnen</w:t>
      </w:r>
      <w:r w:rsidRPr="00A06A59">
        <w:rPr>
          <w:rFonts w:ascii="Garamond" w:hAnsi="Garamond" w:cs="Arial"/>
          <w:color w:val="000000"/>
          <w:lang w:val="en-GB"/>
        </w:rPr>
        <w:t xml:space="preserve">. Auf welchem Wege, durch welche Triebkräfte eine solche Verwandlung vor sich gehen kann, darin besteht das Problem der Verdrängung, das wir hier nur zu streifen brauchen. Es genügt uns festzuhalten, daß eine solche Affektverwandlung im Laufe der Entwicklung vorkommt (man denke nur an das Auftreten des anfänglich fehlenden Ekels im Kinderleben) und daß sie an die Tätigkeit des sekundären Systems geknüpft ist. Die Erinnerungen, von denen aus der unbewußte Wunsch die Affektentbindung hervorruft, waren dem </w:t>
      </w:r>
      <w:r w:rsidRPr="00A06A59">
        <w:rPr>
          <w:rFonts w:ascii="Garamond" w:hAnsi="Garamond" w:cs="Arial"/>
          <w:i/>
          <w:iCs/>
          <w:color w:val="000000"/>
          <w:lang w:val="en-GB"/>
        </w:rPr>
        <w:t>Vbw</w:t>
      </w:r>
      <w:r w:rsidRPr="00A06A59">
        <w:rPr>
          <w:rFonts w:ascii="Garamond" w:hAnsi="Garamond" w:cs="Arial"/>
          <w:color w:val="000000"/>
          <w:lang w:val="en-GB"/>
        </w:rPr>
        <w:t xml:space="preserve"> niemals zugänglich; darum ist deren Affektentbindung auch nicht zu hemmen. Eben wegen dieser Affektentwicklung sind diese Vorstellungen jetzt auch nicht von den vorbewußten Gedanken her zugänglich, auf die sie ihre Wunschkraft übertragen haben. Vielmehr tritt das Unlustprinzip in Kraft und veranlaßt, daß das </w:t>
      </w:r>
      <w:r w:rsidRPr="00A06A59">
        <w:rPr>
          <w:rFonts w:ascii="Garamond" w:hAnsi="Garamond" w:cs="Arial"/>
          <w:i/>
          <w:iCs/>
          <w:color w:val="000000"/>
          <w:lang w:val="en-GB"/>
        </w:rPr>
        <w:t>Vbw</w:t>
      </w:r>
      <w:r w:rsidRPr="00A06A59">
        <w:rPr>
          <w:rFonts w:ascii="Garamond" w:hAnsi="Garamond" w:cs="Arial"/>
          <w:color w:val="000000"/>
          <w:lang w:val="en-GB"/>
        </w:rPr>
        <w:t xml:space="preserve"> sich von diesen Übertragungsgedanken abwendet. Dieselben werden sich selbst überlassen, »verdrängt«, und somit wird das Vorhandensein eines infantilen, dem </w:t>
      </w:r>
      <w:r w:rsidRPr="00A06A59">
        <w:rPr>
          <w:rFonts w:ascii="Garamond" w:hAnsi="Garamond" w:cs="Arial"/>
          <w:i/>
          <w:iCs/>
          <w:color w:val="000000"/>
          <w:lang w:val="en-GB"/>
        </w:rPr>
        <w:t>Vbw</w:t>
      </w:r>
      <w:r w:rsidRPr="00A06A59">
        <w:rPr>
          <w:rFonts w:ascii="Garamond" w:hAnsi="Garamond" w:cs="Arial"/>
          <w:color w:val="000000"/>
          <w:lang w:val="en-GB"/>
        </w:rPr>
        <w:t xml:space="preserve"> von Anfang an entzogenen Erinnerungsschatzes zur Vorbedingung der Verdrängung.</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Im günstigsten Falle nimmt die Unlustentwicklung ein Ende, sowie den Übertragungsgedanken im </w:t>
      </w:r>
      <w:r w:rsidRPr="00A06A59">
        <w:rPr>
          <w:rFonts w:ascii="Garamond" w:hAnsi="Garamond" w:cs="Arial"/>
          <w:i/>
          <w:iCs/>
          <w:color w:val="000000"/>
          <w:lang w:val="en-GB"/>
        </w:rPr>
        <w:t>Vbw</w:t>
      </w:r>
      <w:r w:rsidRPr="00A06A59">
        <w:rPr>
          <w:rFonts w:ascii="Garamond" w:hAnsi="Garamond" w:cs="Arial"/>
          <w:color w:val="000000"/>
          <w:lang w:val="en-GB"/>
        </w:rPr>
        <w:t xml:space="preserve"> die Besetzung entzogen ist, und dieser Erfolg kennzeichnet das Eingreifen des Unlustprinzips als zweckmäßig. Anders aber, wenn der verdrängte unbewußte Wunsch eine organische Verstärkung erfährt, die er seinen Übertragungsgedanken leihen, wodurch er sie in den Stand setzen kann, mit ihrer Erregung den Versuch zum Durchdringen zu machen, auch wenn sie von der Besetzung des </w:t>
      </w:r>
      <w:r w:rsidRPr="00A06A59">
        <w:rPr>
          <w:rFonts w:ascii="Garamond" w:hAnsi="Garamond" w:cs="Arial"/>
          <w:i/>
          <w:iCs/>
          <w:color w:val="000000"/>
          <w:lang w:val="en-GB"/>
        </w:rPr>
        <w:t>Vbw</w:t>
      </w:r>
      <w:r w:rsidRPr="00A06A59">
        <w:rPr>
          <w:rFonts w:ascii="Garamond" w:hAnsi="Garamond" w:cs="Arial"/>
          <w:color w:val="000000"/>
          <w:lang w:val="en-GB"/>
        </w:rPr>
        <w:t xml:space="preserve"> verlassen worden sind. Es kommt dann zum Abwehrkampf, indem das </w:t>
      </w:r>
      <w:r w:rsidRPr="00A06A59">
        <w:rPr>
          <w:rFonts w:ascii="Garamond" w:hAnsi="Garamond" w:cs="Arial"/>
          <w:i/>
          <w:iCs/>
          <w:color w:val="000000"/>
          <w:lang w:val="en-GB"/>
        </w:rPr>
        <w:t>Vbw</w:t>
      </w:r>
      <w:r w:rsidRPr="00A06A59">
        <w:rPr>
          <w:rFonts w:ascii="Garamond" w:hAnsi="Garamond" w:cs="Arial"/>
          <w:color w:val="000000"/>
          <w:lang w:val="en-GB"/>
        </w:rPr>
        <w:t xml:space="preserve"> den Gegensatz gegen die verdrängten Gedanken verstärkt (Gegenbesetzung), und in weiterer Folge zum Durchdringen der Übertragungsgedanken, welche Träger des unbewußten Wunsches sind, in irgendeiner Form von Kompromiß durch Symptombildung. Von dem Moment aber, da die verdrängten Gedanken von der unbewußten Wunscherregung kräftig besetzt, von der vorbewußten Besetzung dagegen verlassen sind, unterliegen sie dem primären psychischen Vorgang, zielen sie nur auf motorische Abfuhr oder, wenn der Weg frei ist, auf halluzinatorische Belebung der gewünschten Wahrnehmungsidentität. Wir haben früher empirisch gefunden, daß die beschriebenen inkorrekten Vorgänge sich nur mit Gedanken abspielen, die in der Verdrängung stehen. Wir erfassen jetzt ein weiteres Stück des Zusammenhangs. Diese inkorrekten Vorgänge sind die im psychischen Apparat </w:t>
      </w:r>
      <w:r w:rsidRPr="00A06A59">
        <w:rPr>
          <w:rFonts w:ascii="Garamond" w:hAnsi="Garamond" w:cs="Arial"/>
          <w:i/>
          <w:iCs/>
          <w:color w:val="000000"/>
          <w:lang w:val="en-GB"/>
        </w:rPr>
        <w:t>primären</w:t>
      </w:r>
      <w:r w:rsidRPr="00A06A59">
        <w:rPr>
          <w:rFonts w:ascii="Garamond" w:hAnsi="Garamond" w:cs="Arial"/>
          <w:color w:val="000000"/>
          <w:lang w:val="en-GB"/>
        </w:rPr>
        <w:t xml:space="preserve">; sie treten überall dort ein, wo Vorstellungen von der vorbewußten Besetzung verlassen, sich selbst überlassen werden und sich mit der ungehemmten, nach Abfluß strebenden Energie vom Unbewußten her erfüllen können. Einige andere Beobachtungen kommen hinzu, die Auffassung zu stützen, daß diese inkorrekt genannten Vorgänge nicht wirklich Fälschungen der normalen, Denkfehler, sind, sondern die von einer Hemmung befreiten Arbeitsweisen des psychischen Apparats. So sehen wir, daß die Überleitung der vorbewußten Erregung auf die Motilität nach denselben Vorgängen geschieht und daß die Verknüpfung der vorbewußten Vorstellungen mit Worten leicht die nämlichen, der Unaufmerksamkeit zugeschriebenen Verschiebungen und Vermengungen zeigt. Endlich möchte sich ein Beweis für den Arbeitszuwachs, der bei der Hemmung dieser primären Verlaufsweisen notwendig wird, aus der Tatsache ergeben, daß wir einen </w:t>
      </w:r>
      <w:r w:rsidRPr="00A06A59">
        <w:rPr>
          <w:rFonts w:ascii="Garamond" w:hAnsi="Garamond" w:cs="Arial"/>
          <w:i/>
          <w:iCs/>
          <w:color w:val="000000"/>
          <w:lang w:val="en-GB"/>
        </w:rPr>
        <w:t>komischen</w:t>
      </w:r>
      <w:r w:rsidRPr="00A06A59">
        <w:rPr>
          <w:rFonts w:ascii="Garamond" w:hAnsi="Garamond" w:cs="Arial"/>
          <w:color w:val="000000"/>
          <w:lang w:val="en-GB"/>
        </w:rPr>
        <w:t xml:space="preserve"> Effekt, einen durch </w:t>
      </w:r>
      <w:r w:rsidRPr="00A06A59">
        <w:rPr>
          <w:rFonts w:ascii="Garamond" w:hAnsi="Garamond" w:cs="Arial"/>
          <w:i/>
          <w:iCs/>
          <w:color w:val="000000"/>
          <w:lang w:val="en-GB"/>
        </w:rPr>
        <w:t>Lachen</w:t>
      </w:r>
      <w:r w:rsidRPr="00A06A59">
        <w:rPr>
          <w:rFonts w:ascii="Garamond" w:hAnsi="Garamond" w:cs="Arial"/>
          <w:color w:val="000000"/>
          <w:lang w:val="en-GB"/>
        </w:rPr>
        <w:t xml:space="preserve"> abzuführenden Überschuß erzielen, </w:t>
      </w:r>
      <w:r w:rsidRPr="00A06A59">
        <w:rPr>
          <w:rFonts w:ascii="Garamond" w:hAnsi="Garamond" w:cs="Arial"/>
          <w:i/>
          <w:iCs/>
          <w:color w:val="000000"/>
          <w:lang w:val="en-GB"/>
        </w:rPr>
        <w:t>wenn wir diese Verlaufsweisen des Denkens zum Bewußtsein vordringen lassen</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Theorie der Psychoneurosen behauptet mit ausschließender Sicherheit, daß es nur sexuelle Wunschregungen aus dem Infantilen sein können, welche in den Entwicklungsperioden der Kindheit die Verdrängung (Affektverwandlung) erfahren haben, in späteren Entwicklungsperioden dann einer Erneuerung fähig sind, sei es infolge der sexuellen Konstitution, die sich ja aus der ursprünglichen Bisexualität herausbildet, sei es infolge ungünstiger Einflüsse des sexuellen Lebens, und die somit die Triebkräfte für alle psychoneurotische Symptombildung abgeben. Nur durch die Einführung dieser sexuellen Kräfte sind die in der Theorie der Verdrängung noch aufweisbaren Lücken zu schließen. Ich will es dahingestellt sein lassen, ob die Forderung des Sexuellen und Infantilen auch für die Theorie des Traums erhoben werden darf; ich lasse diese hier unvollendet, weil ich schon durch die Annahme, der Traumwunsch stamme jedesmal aus dem Unbewußten, einen Schritt weit über das Beweisbare hinausgegangen bin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57" w:anchor="#" w:history="1">
        <w:r w:rsidR="00A06A59" w:rsidRPr="00A06A59">
          <w:rPr>
            <w:rStyle w:val="fusslink"/>
            <w:rFonts w:ascii="Garamond" w:hAnsi="Garamond" w:cs="Arial"/>
            <w:bCs/>
            <w:color w:val="0000CC"/>
            <w:lang w:val="en-GB"/>
          </w:rPr>
          <w:t>[Fußnote]</w:t>
        </w:r>
        <w:r w:rsidR="00A06A59" w:rsidRPr="00A06A59">
          <w:rPr>
            <w:rStyle w:val="innerfusslink3"/>
            <w:rFonts w:ascii="Garamond" w:hAnsi="Garamond" w:cs="Arial"/>
            <w:bCs/>
            <w:color w:val="0000CC"/>
            <w:lang w:val="en-GB"/>
          </w:rPr>
          <w:t xml:space="preserve">Es sind hier wie an anderen Stellen Lücken in der Bearbeitung des Themas, die ich absichtlich belassen habe, weil deren Ausfüllung einerseits einen zu großen Aufwand, anderseits die Anlehnung an ein dem Traume fremdes Material erfordern würde. So habe ich es z. B. vermieden anzugeben, ob ich mit dem Worte »unterdrückt« einen anderen Sinn verbinde als mit dem Worte »verdrängt«. Es dürfte nur klar geworden sein, daß letzteres die Zugehörigkeit zum Unbewußten stärker als das erstere betont. Ich bin auf das naheliegende Problem nicht eingegangen, warum die Traumgedanken die Entstellung durch die Zensur auch für den Fall erfahren, daß sie auf die progrediente Fortsetzung zum Bewußtsein verzichten und sich für den Weg der Regression entscheiden, u. dgl. Unterlassungen mehr. Es kam mir vor allem darauf an, einen Eindruck von den Problemen zu erwecken, zu denen die weitere Zergliederung der Traumarbeit führt, und die anderen Themata anzudeuten, mit denen dieses auf dem </w:t>
        </w:r>
        <w:r w:rsidR="00A06A59" w:rsidRPr="00A06A59">
          <w:rPr>
            <w:rStyle w:val="innerfusslink3"/>
            <w:rFonts w:ascii="Garamond" w:hAnsi="Garamond" w:cs="Arial"/>
            <w:bCs/>
            <w:color w:val="0000CC"/>
            <w:lang w:val="en-GB"/>
          </w:rPr>
          <w:lastRenderedPageBreak/>
          <w:t xml:space="preserve">Wege zusammentrifft. Die Entscheidung, an welcher Stelle die Verfolgung abgebrochen werden soll, ist mir dann nicht immer leicht geworden. – Daß ich die Rolle des sexuellen Vorstellungslebens für den Traum nicht erschöpfend behandelt und die Deutung von Träumen mit offenkundig sexuellem Inhalt vermieden habe, beruht auf einer besonderen Motivierung, die sich vielleicht mit der Erwartung der Leser nicht deckt. Es liegt gerade meinen Anschauungen und den Lehrmeinungen, die ich in der Neuropathologie vertrete, völlig ferne, das Sexualleben als ein Pudendum anzusehen, das weder den Arzt noch den wissenschaftlichen Forscher zu bekümmern hat. Auch finde ich die sittliche Entrüstung lächerlich, durch welche der Übersetzer des Artemidoros aus </w:t>
        </w:r>
        <w:r w:rsidR="00A06A59" w:rsidRPr="00A06A59">
          <w:rPr>
            <w:rStyle w:val="innerfusslink3"/>
            <w:rFonts w:ascii="Garamond" w:hAnsi="Garamond" w:cs="Arial"/>
            <w:bCs/>
            <w:i/>
            <w:iCs/>
            <w:color w:val="0000CC"/>
            <w:lang w:val="en-GB"/>
          </w:rPr>
          <w:t>Daldis</w:t>
        </w:r>
        <w:r w:rsidR="00A06A59" w:rsidRPr="00A06A59">
          <w:rPr>
            <w:rStyle w:val="innerfusslink3"/>
            <w:rFonts w:ascii="Garamond" w:hAnsi="Garamond" w:cs="Arial"/>
            <w:bCs/>
            <w:color w:val="0000CC"/>
            <w:lang w:val="en-GB"/>
          </w:rPr>
          <w:t xml:space="preserve"> über die </w:t>
        </w:r>
        <w:r w:rsidR="00A06A59" w:rsidRPr="00A06A59">
          <w:rPr>
            <w:rStyle w:val="innerfusslink3"/>
            <w:rFonts w:ascii="Garamond" w:hAnsi="Garamond" w:cs="Arial"/>
            <w:bCs/>
            <w:i/>
            <w:iCs/>
            <w:color w:val="0000CC"/>
            <w:lang w:val="en-GB"/>
          </w:rPr>
          <w:t>Symbolik der Träume</w:t>
        </w:r>
        <w:r w:rsidR="00A06A59" w:rsidRPr="00A06A59">
          <w:rPr>
            <w:rStyle w:val="innerfusslink3"/>
            <w:rFonts w:ascii="Garamond" w:hAnsi="Garamond" w:cs="Arial"/>
            <w:bCs/>
            <w:color w:val="0000CC"/>
            <w:lang w:val="en-GB"/>
          </w:rPr>
          <w:t xml:space="preserve"> sich bewegen ließ, das dort enthaltene Kapitel über sexuelle Träume der Kenntnis der Leser zu unterschlagen. Für mich war allein die Einsicht maßgebend, daß ich mich bei der Erklärung sexueller Träume tief in die noch ungeklärten Probleme der Perversion und der Bisexualität verstricken müßte, und so sparte ich mir dies Material für einen anderen Zusammenhang.</w:t>
        </w:r>
      </w:hyperlink>
      <w:r w:rsidR="00A06A59" w:rsidRPr="00A06A59">
        <w:rPr>
          <w:rFonts w:ascii="Garamond" w:hAnsi="Garamond" w:cs="Arial"/>
          <w:color w:val="0000CC"/>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will auch nicht weiter untersuchen, worin der Unterschied im Spiel der psychischen Kräfte bei der Traumbildung und bei der Bildung der hysterischen Symptome gelegen ist; es fehlt uns ja hiezu die genauere Kenntnis des einen der in Vergleich zu bringenden Glieder. Aber auf einen anderen Punkt lege ich Wert und schicke das Bekenntnis voraus, daß ich nur dieses Punktes wegen all die Erörterungen über die beiden psychischen Systeme, ihre Arbeitsweisen und die Verdrängung hier aufgenommen habe. Es kommt jetzt nämlich nicht darauf an, ob ich die in Rede stehenden psychologischen Verhältnisse annähernd richtig oder, wie bei so schwierigen Dingen leicht möglich, schief und lückenhaft aufgefaßt habe. Wie immer die Deutung der psychischen Zensur, der korrekten und der abnormen Bearbeitung des Trauminhalts sich verändern mag, es bleibt gültig, daß solche Vorgänge bei der Traumbildung wirksam sind und daß sie die größte Analogie im wesentlichen mit den bei der hysterischen Symptombildung erkannten Vorgängen zeigen. Nun ist der Traum kein pathologisches Phänomen; er hat keine Störung des psychischen Gleichgewichts zur Voraussetzung; er hinterläßt keine Schwächung der Leistungsfähigkeit. Der Einwand, daß meine Träume und die meiner neurotischen Patienten nicht auf die Träume gesunder Menschen schließen lassen, dürfte wohl ohne Würdigung abzuweisen sein. Wenn wir also aus den Phänomenen auf deren Triebkräfte schließen, so erkennen wir, daß der psychische Mechanismus, dessen sich die Neurose bedient, nicht erst durch eine das Seelenleben ergreifende krankhafte Störung geschaffen wird, sondern in dem normalen Aufbau des seelischen Apparats bereitliegt. Die beiden psychischen Systeme, die Übergangszensur zwischen ihnen, die Hemmung und Überlagerung der einen Tätigkeit durch die andere, die Beziehungen beider zum Bewußtsein oder was eine richtigere Deutung der tatsächlichen Verhältnisse an deren Statt ergeben mag; das alles gehört zum normalen Aufbau unseres Seeleninstruments, und der Traum zeigt uns einen der Wege, die zur Kenntnis der Struktur desselben führen. Wenn wir uns mit einem Minimum von völlig gesichertem Erkenntniszuwachs begnügen wollen, so werden wir sagen, der Traum beweist uns, </w:t>
      </w:r>
      <w:r w:rsidRPr="00A06A59">
        <w:rPr>
          <w:rFonts w:ascii="Garamond" w:hAnsi="Garamond" w:cs="Arial"/>
          <w:i/>
          <w:iCs/>
          <w:color w:val="000000"/>
          <w:lang w:val="en-GB"/>
        </w:rPr>
        <w:t>daß das Unterdrückte auch beim normalen Menschen fortbesteht und psychischer Leistungen fähig bleibt</w:t>
      </w:r>
      <w:r w:rsidRPr="00A06A59">
        <w:rPr>
          <w:rFonts w:ascii="Garamond" w:hAnsi="Garamond" w:cs="Arial"/>
          <w:color w:val="000000"/>
          <w:lang w:val="en-GB"/>
        </w:rPr>
        <w:t xml:space="preserve">. Der Traum ist selbst eine der Äußerungen dieses Unterdrückten; nach der Theorie ist er es in allen Fällen, nach der greifbaren Erfahrung wenigstens in einer großen Anzahl, welche die auffälligen Charaktere des Traumlebens gerade am deutlichsten zur Schau trägt. Das seelisch Unterdrückte, welches im Wachleben durch </w:t>
      </w:r>
      <w:r w:rsidRPr="00A06A59">
        <w:rPr>
          <w:rFonts w:ascii="Garamond" w:hAnsi="Garamond" w:cs="Arial"/>
          <w:i/>
          <w:iCs/>
          <w:color w:val="000000"/>
          <w:lang w:val="en-GB"/>
        </w:rPr>
        <w:t>die gegensätzliche Erledigung der Widersprüche</w:t>
      </w:r>
      <w:r w:rsidRPr="00A06A59">
        <w:rPr>
          <w:rFonts w:ascii="Garamond" w:hAnsi="Garamond" w:cs="Arial"/>
          <w:color w:val="000000"/>
          <w:lang w:val="en-GB"/>
        </w:rPr>
        <w:t xml:space="preserve"> am Ausdruck gehindert und von der inneren Wahrnehmung abgeschnitten wurde, findet im Nachtleben und unter der Herrschaft der Kompromißbildungen Mittel und Wege, sich dem Bewußtsein aufzudrängen.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 </w:t>
      </w:r>
      <w:r w:rsidRPr="00A06A59">
        <w:rPr>
          <w:rFonts w:ascii="Garamond" w:hAnsi="Garamond" w:cs="Arial"/>
          <w:i/>
          <w:iCs/>
          <w:color w:val="000000"/>
          <w:lang w:val="en-GB"/>
        </w:rPr>
        <w:t>Flectere si nequeo superos, Acheronta movebo.</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i/>
          <w:iCs/>
          <w:color w:val="000000"/>
          <w:lang w:val="en-GB"/>
        </w:rPr>
        <w:t>Die Traumdeutung aber ist die Via regia zur Kenntnis des Unbewußten im Seelenleben.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Indem wir der Analyse des Traums folgen, bekommen wir ein Stück weit Einsicht in die Zusammensetzung dieses allerwunderbarsten und allergeheimnisvollsten Instruments, freilich nur ein kleines Stück weit, aber es ist damit der Anfang gemacht, um von anderen pathologisch zu heißenden Bildungen her weiter in die Zerlegung desselben vorzudringen. Denn die Krankheit wenigstens die mit Recht funktionell genannte hat nicht die Zertrümmerung dieses Apparats, die Herstellung neuer Spaltungen in seinem Innern zur Voraussetzung; sie ist </w:t>
      </w:r>
      <w:r w:rsidRPr="00A06A59">
        <w:rPr>
          <w:rFonts w:ascii="Garamond" w:hAnsi="Garamond" w:cs="Arial"/>
          <w:i/>
          <w:iCs/>
          <w:color w:val="000000"/>
          <w:lang w:val="en-GB"/>
        </w:rPr>
        <w:t>dynamisch</w:t>
      </w:r>
      <w:r w:rsidRPr="00A06A59">
        <w:rPr>
          <w:rFonts w:ascii="Garamond" w:hAnsi="Garamond" w:cs="Arial"/>
          <w:color w:val="000000"/>
          <w:lang w:val="en-GB"/>
        </w:rPr>
        <w:t xml:space="preserve"> aufzuklären durch Stärkung und Schwächung der Komponenten des Kräftespiels, von dem so viele Wirkungen während der normalen Funktion verdeckt sind. An anderer Stelle könnte noch gezeigt werden, wie die Zusammensetzung des Apparats aus den beiden Instanzen eine Verfeinerung auch der normalen Leistung gestattet, die einer einzigen unmöglich wäre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rPr>
      </w:pPr>
      <w:hyperlink r:id="rId258" w:anchor="#" w:history="1">
        <w:r w:rsidR="00A06A59" w:rsidRPr="00A06A59">
          <w:rPr>
            <w:rStyle w:val="fusslink"/>
            <w:rFonts w:ascii="Garamond" w:hAnsi="Garamond" w:cs="Arial"/>
            <w:bCs/>
            <w:color w:val="0000CC"/>
          </w:rPr>
          <w:t>[Fußnote]</w:t>
        </w:r>
        <w:r w:rsidR="00A06A59" w:rsidRPr="00A06A59">
          <w:rPr>
            <w:rStyle w:val="innerfusslink3"/>
            <w:rFonts w:ascii="Garamond" w:hAnsi="Garamond" w:cs="Arial"/>
            <w:bCs/>
            <w:color w:val="0000CC"/>
          </w:rPr>
          <w:t xml:space="preserve">Der Traum ist nicht das einzige Phänomen, welches die Psychopathologie auf die Psychologie zu begründen gestattet. In einer kleinen, noch nicht abgeschlossenen Reihe von Aufsätzen in der </w:t>
        </w:r>
        <w:r w:rsidR="00A06A59" w:rsidRPr="00A06A59">
          <w:rPr>
            <w:rStyle w:val="innerfusslink3"/>
            <w:rFonts w:ascii="Garamond" w:hAnsi="Garamond" w:cs="Arial"/>
            <w:bCs/>
            <w:i/>
            <w:iCs/>
            <w:color w:val="0000CC"/>
          </w:rPr>
          <w:t>Monatsschrift für Psychiatrie und Neurologie</w:t>
        </w:r>
        <w:r w:rsidR="00A06A59" w:rsidRPr="00A06A59">
          <w:rPr>
            <w:rStyle w:val="innerfusslink3"/>
            <w:rFonts w:ascii="Garamond" w:hAnsi="Garamond" w:cs="Arial"/>
            <w:bCs/>
            <w:color w:val="0000CC"/>
          </w:rPr>
          <w:t xml:space="preserve"> (Über den psychischen Mechanismus der Vergeßlichkeit, 1898 – Über Deckerinnerungen, 1899) suche ich eine Anzahl von alltäglichen psychischen Erscheinungen als Stützen der nämlichen Erkenntnis zu deuten. Diese und weitere Aufsätze über Vergessen, Versprechen, Vergreifen usw. sind seither als </w:t>
        </w:r>
        <w:r w:rsidR="00A06A59" w:rsidRPr="00A06A59">
          <w:rPr>
            <w:rStyle w:val="innerfusslink3"/>
            <w:rFonts w:ascii="Garamond" w:hAnsi="Garamond" w:cs="Arial"/>
            <w:bCs/>
            <w:i/>
            <w:iCs/>
            <w:color w:val="0000CC"/>
          </w:rPr>
          <w:t>Psychopathologie des Alltagslebens</w:t>
        </w:r>
        <w:r w:rsidR="00A06A59" w:rsidRPr="00A06A59">
          <w:rPr>
            <w:rStyle w:val="innerfusslink3"/>
            <w:rFonts w:ascii="Garamond" w:hAnsi="Garamond" w:cs="Arial"/>
            <w:bCs/>
            <w:color w:val="0000CC"/>
          </w:rPr>
          <w:t xml:space="preserve"> gesammelt erschienen (1904, 11. Aufl. 1929. ges. Schriften, Bd. X.)</w:t>
        </w:r>
      </w:hyperlink>
      <w:r w:rsidR="00A06A59" w:rsidRPr="00A06A59">
        <w:rPr>
          <w:rFonts w:ascii="Garamond" w:hAnsi="Garamond" w:cs="Arial"/>
          <w:color w:val="0000CC"/>
        </w:rPr>
        <w:t>.</w:t>
      </w:r>
    </w:p>
    <w:p w:rsidR="00A06A59" w:rsidRPr="00A06A59" w:rsidRDefault="00A06A59" w:rsidP="00A06A59">
      <w:pPr>
        <w:shd w:val="clear" w:color="auto" w:fill="FFFFFF"/>
        <w:tabs>
          <w:tab w:val="left" w:pos="7513"/>
          <w:tab w:val="left" w:pos="9639"/>
        </w:tabs>
        <w:spacing w:before="44" w:after="44" w:line="124" w:lineRule="atLeast"/>
        <w:ind w:left="-426" w:right="-567"/>
        <w:outlineLvl w:val="4"/>
        <w:rPr>
          <w:rFonts w:ascii="Garamond" w:hAnsi="Garamond" w:cs="Arial"/>
          <w:b/>
          <w:bCs/>
          <w:color w:val="0000CC"/>
        </w:rPr>
      </w:pPr>
      <w:r w:rsidRPr="00A06A59">
        <w:rPr>
          <w:rFonts w:ascii="Garamond" w:hAnsi="Garamond" w:cs="Arial"/>
          <w:b/>
          <w:bCs/>
          <w:color w:val="000000"/>
        </w:rPr>
        <w:br w:type="page"/>
      </w:r>
      <w:hyperlink w:anchor="inhalt" w:history="1">
        <w:r w:rsidRPr="00A06A59">
          <w:rPr>
            <w:rStyle w:val="Lienhypertexte"/>
            <w:rFonts w:ascii="Garamond" w:hAnsi="Garamond" w:cs="Arial"/>
            <w:b/>
            <w:bCs/>
            <w:color w:val="0000CC"/>
          </w:rPr>
          <w:t>F. Da</w:t>
        </w:r>
        <w:bookmarkStart w:id="85" w:name="VIIF"/>
        <w:bookmarkEnd w:id="85"/>
        <w:r w:rsidRPr="00A06A59">
          <w:rPr>
            <w:rStyle w:val="Lienhypertexte"/>
            <w:rFonts w:ascii="Garamond" w:hAnsi="Garamond" w:cs="Arial"/>
            <w:b/>
            <w:bCs/>
            <w:color w:val="0000CC"/>
          </w:rPr>
          <w:t>s Unbewußte und das Bewußtsein – Die Realität</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Wenn wir genauer zusehen, ist es nicht der Bestand von </w:t>
      </w:r>
      <w:r w:rsidRPr="00A06A59">
        <w:rPr>
          <w:rFonts w:ascii="Garamond" w:hAnsi="Garamond" w:cs="Arial"/>
          <w:i/>
          <w:iCs/>
          <w:color w:val="000000"/>
        </w:rPr>
        <w:t>zwei Systemen</w:t>
      </w:r>
      <w:r w:rsidRPr="00A06A59">
        <w:rPr>
          <w:rFonts w:ascii="Garamond" w:hAnsi="Garamond" w:cs="Arial"/>
          <w:color w:val="000000"/>
        </w:rPr>
        <w:t xml:space="preserve"> nahe dem motorischen Ende des Apparats, sondern von </w:t>
      </w:r>
      <w:r w:rsidRPr="00A06A59">
        <w:rPr>
          <w:rFonts w:ascii="Garamond" w:hAnsi="Garamond" w:cs="Arial"/>
          <w:i/>
          <w:iCs/>
          <w:color w:val="000000"/>
        </w:rPr>
        <w:t>zweierlei Vorgängen</w:t>
      </w:r>
      <w:r w:rsidRPr="00A06A59">
        <w:rPr>
          <w:rFonts w:ascii="Garamond" w:hAnsi="Garamond" w:cs="Arial"/>
          <w:color w:val="000000"/>
        </w:rPr>
        <w:t xml:space="preserve"> oder </w:t>
      </w:r>
      <w:r w:rsidRPr="00A06A59">
        <w:rPr>
          <w:rFonts w:ascii="Garamond" w:hAnsi="Garamond" w:cs="Arial"/>
          <w:i/>
          <w:iCs/>
          <w:color w:val="000000"/>
        </w:rPr>
        <w:t>Ablaufsarten der Erregung</w:t>
      </w:r>
      <w:r w:rsidRPr="00A06A59">
        <w:rPr>
          <w:rFonts w:ascii="Garamond" w:hAnsi="Garamond" w:cs="Arial"/>
          <w:color w:val="000000"/>
        </w:rPr>
        <w:t xml:space="preserve">, deren Annahme uns durch die psychologischen Erörterungen der vorstehenden Abschnitte nahegelegt wurde. Es gälte uns gleich; denn unsere Hilfsvorstellungen fallenzulassen, müssen wir immer bereit sein, wenn wir uns in der Lage glauben, sie durch etwas anderes zu ersetzen, was der unbekannten Wirklichkeit besser angenähert ist. Versuchen wir es jetzt, einige Anschauungen richtigzustellen, die sich mißverständlich bilden konnten, solange wir die beiden Systeme im nächsten und rohesten Sinne als zwei Lokalitäten innerhalb des seelischen Apparats im Auge hatten, Anschauungen, die ihren Niederschlag in den Ausdrücken »verdrängen« und »durchdringen« zurückgelassen haben. Wenn wir also sagen, ein unbewußter Gedanke strebe nach Übersetzung ins Vorbewußte, um dann zum Bewußtsein durchzudringen, so meinen wir nicht, daß ein zweiter, an neuer Stelle gelegener Gedanke gebildet werden soll, eine Umschrift gleichsam, neben welcher das Original fortbesteht; und auch vom Durchdringen zum Bewußtsein wollen wir jede Idee einer Ortsveränderung sorgfältig ablösen. Wenn wir sagen, ein vorbewußter Gedanke wird verdrängt und dann vom Unbewußten aufgenommen, so könnten uns diese dem Vorstellungskreis des Kampfes um ein Terrain entlehnten Bilder zur Annahme verlocken, daß wirklich in der einen psychischen Lokalität eine Anordnung aufgelöst und durch eine neue in der anderen Lokalität ersetzt wird. Für diese Gleichnisse setzen wir ein, was dem realen Sachverhalt besser zu entsprechen scheint, daß eine Energiebesetzung auf eine bestimmte Anordnung verlegt oder von ihr zurückgezogen wird, so daß das psychische Gebilde unter die Herrschaft einer Instanz gerät oder ihr entzogen ist. Wir ersetzen hier wiederum eine topische Vorstellungsweise durch eine dynamische; nicht das psychische Gebilde erscheint uns als das Bewegliche, sondern dessen Innervation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lang w:val="en-GB"/>
        </w:rPr>
      </w:pPr>
      <w:hyperlink r:id="rId259" w:anchor="#" w:history="1">
        <w:r w:rsidR="00A06A59" w:rsidRPr="00A06A59">
          <w:rPr>
            <w:rStyle w:val="fusslink"/>
            <w:rFonts w:ascii="Garamond" w:hAnsi="Garamond" w:cs="Arial"/>
            <w:bCs/>
            <w:color w:val="0000CC"/>
          </w:rPr>
          <w:t>[Fußnote]</w:t>
        </w:r>
        <w:r w:rsidR="00A06A59" w:rsidRPr="00A06A59">
          <w:rPr>
            <w:rStyle w:val="innerfusslink3"/>
            <w:rFonts w:ascii="Garamond" w:hAnsi="Garamond" w:cs="Arial"/>
            <w:bCs/>
            <w:color w:val="0000CC"/>
          </w:rPr>
          <w:t xml:space="preserve">Diese Auffassung erfuhr eine Ausgestaltung und Abänderung, nachdem man als den wesentlichen Charakter einer vorbewußten Vorstellung die Verbindung mit Wortvorstellungsresten erkannt hatte (Das Unbewußte, 1915, Ges. </w:t>
        </w:r>
        <w:r w:rsidR="00A06A59" w:rsidRPr="00A06A59">
          <w:rPr>
            <w:rStyle w:val="innerfusslink3"/>
            <w:rFonts w:ascii="Garamond" w:hAnsi="Garamond" w:cs="Arial"/>
            <w:bCs/>
            <w:color w:val="0000CC"/>
            <w:lang w:val="en-GB"/>
          </w:rPr>
          <w:t>Schriften, Bd. V).</w:t>
        </w:r>
      </w:hyperlink>
      <w:r w:rsidR="00A06A59" w:rsidRPr="00A06A59">
        <w:rPr>
          <w:rFonts w:ascii="Garamond" w:hAnsi="Garamond" w:cs="Arial"/>
          <w:color w:val="0000CC"/>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Dennoch halte ich es für zweckmäßig und berechtigt, die anschauliche Vorstellung der beiden Systeme weiter zu pflegen. Wir weichen jedem Mißbrauch dieser Darstellungsweise aus, wenn wir uns erinnern, daß Vorstellungen, Gedanken, psychische Gebilde im allgemeinen überhaupt nicht in organischen Elementen des Nervensystems lokalisiert werden dürfen, sondern sozusagen </w:t>
      </w:r>
      <w:r w:rsidRPr="00A06A59">
        <w:rPr>
          <w:rFonts w:ascii="Garamond" w:hAnsi="Garamond" w:cs="Arial"/>
          <w:i/>
          <w:iCs/>
          <w:color w:val="000000"/>
          <w:lang w:val="en-GB"/>
        </w:rPr>
        <w:t>zwischen ihnen</w:t>
      </w:r>
      <w:r w:rsidRPr="00A06A59">
        <w:rPr>
          <w:rFonts w:ascii="Garamond" w:hAnsi="Garamond" w:cs="Arial"/>
          <w:color w:val="000000"/>
          <w:lang w:val="en-GB"/>
        </w:rPr>
        <w:t xml:space="preserve">, wo Widerstände und Bahnungen das ihnen entsprechende Korrelat bilden. Alles, was Gegenstand unserer inneren Wahrnehmung werden kann, ist </w:t>
      </w:r>
      <w:r w:rsidRPr="00A06A59">
        <w:rPr>
          <w:rFonts w:ascii="Garamond" w:hAnsi="Garamond" w:cs="Arial"/>
          <w:i/>
          <w:iCs/>
          <w:color w:val="000000"/>
          <w:lang w:val="en-GB"/>
        </w:rPr>
        <w:t>virtuell</w:t>
      </w:r>
      <w:r w:rsidRPr="00A06A59">
        <w:rPr>
          <w:rFonts w:ascii="Garamond" w:hAnsi="Garamond" w:cs="Arial"/>
          <w:color w:val="000000"/>
          <w:lang w:val="en-GB"/>
        </w:rPr>
        <w:t>, wie das durch den Gang der Lichtstrahlen gegebene Bild im Fernrohr. Die Systeme aber, die selbst nichts Psychisches sind und nie unserer psychischen Wahrnehmung zugänglich werden, sind wir berechtigt anzunehmen gleich den Linsen des Fernrohrs, die das Bild entwerfen. In der Fortsetzung dieses Gleichnisses entspräche die Zensur zwischen zwei Systemen der Strahlenbrechung beim Übergang in ein neues Medium.</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i/>
          <w:iCs/>
          <w:color w:val="000000"/>
        </w:rPr>
      </w:pPr>
      <w:r w:rsidRPr="00A06A59">
        <w:rPr>
          <w:rFonts w:ascii="Garamond" w:hAnsi="Garamond" w:cs="Arial"/>
          <w:color w:val="000000"/>
          <w:lang w:val="en-GB"/>
        </w:rPr>
        <w:t xml:space="preserve">Wir haben bisher Psychologie auf eigene Faust getrieben; es ist Zeit, sich nach den Lehrmeinungen umzusehen, welche die heutige Psychologie beherrschen, und deren Verhältnis zu unseren Aufstellungen zu prüfen. </w:t>
      </w:r>
      <w:r w:rsidRPr="00A06A59">
        <w:rPr>
          <w:rFonts w:ascii="Garamond" w:hAnsi="Garamond" w:cs="Arial"/>
          <w:color w:val="000000"/>
        </w:rPr>
        <w:t xml:space="preserve">Die Frage des Unbewußten in der Psychologie ist nach dem kräftigen Worte von </w:t>
      </w:r>
      <w:r w:rsidRPr="00A06A59">
        <w:rPr>
          <w:rFonts w:ascii="Garamond" w:hAnsi="Garamond" w:cs="Arial"/>
          <w:i/>
          <w:iCs/>
          <w:color w:val="000000"/>
        </w:rPr>
        <w:t>Lipps</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CC"/>
        </w:rPr>
      </w:pPr>
      <w:hyperlink r:id="rId260" w:anchor="#" w:history="1">
        <w:r w:rsidR="00A06A59" w:rsidRPr="00A06A59">
          <w:rPr>
            <w:rStyle w:val="fusslink"/>
            <w:rFonts w:ascii="Garamond" w:hAnsi="Garamond" w:cs="Arial"/>
            <w:bCs/>
            <w:color w:val="0000CC"/>
          </w:rPr>
          <w:t xml:space="preserve">[Fußnote] </w:t>
        </w:r>
        <w:r w:rsidR="00A06A59" w:rsidRPr="00A06A59">
          <w:rPr>
            <w:rStyle w:val="innerfusslink3"/>
            <w:rFonts w:ascii="Garamond" w:hAnsi="Garamond" w:cs="Arial"/>
            <w:bCs/>
            <w:color w:val="0000CC"/>
          </w:rPr>
          <w:t>Der Begriff des Unbewußten in der Psychologie – Vortrag auf dem Dritten Internationalen Kongress für Psychologie zu München 1897</w:t>
        </w:r>
      </w:hyperlink>
      <w:r w:rsidR="00A06A59" w:rsidRPr="00A06A59">
        <w:rPr>
          <w:rFonts w:ascii="Garamond" w:hAnsi="Garamond" w:cs="Arial"/>
          <w:color w:val="0000CC"/>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rPr>
        <w:t xml:space="preserve">weniger </w:t>
      </w:r>
      <w:r w:rsidRPr="00A06A59">
        <w:rPr>
          <w:rFonts w:ascii="Garamond" w:hAnsi="Garamond" w:cs="Arial"/>
          <w:i/>
          <w:iCs/>
          <w:color w:val="000000"/>
        </w:rPr>
        <w:t>eine</w:t>
      </w:r>
      <w:r w:rsidRPr="00A06A59">
        <w:rPr>
          <w:rFonts w:ascii="Garamond" w:hAnsi="Garamond" w:cs="Arial"/>
          <w:color w:val="000000"/>
        </w:rPr>
        <w:t xml:space="preserve"> psychologische Frage als </w:t>
      </w:r>
      <w:r w:rsidRPr="00A06A59">
        <w:rPr>
          <w:rFonts w:ascii="Garamond" w:hAnsi="Garamond" w:cs="Arial"/>
          <w:i/>
          <w:iCs/>
          <w:color w:val="000000"/>
        </w:rPr>
        <w:t>die</w:t>
      </w:r>
      <w:r w:rsidRPr="00A06A59">
        <w:rPr>
          <w:rFonts w:ascii="Garamond" w:hAnsi="Garamond" w:cs="Arial"/>
          <w:color w:val="000000"/>
        </w:rPr>
        <w:t xml:space="preserve"> Frage der Psychologie. Solange die Psychologie diese Frage durch die Worterklärung erledigte, das »Psychische« sei eben das »Bewußte«, und »unbewußte psychische Vorgänge« ein greifbarer Widersinn, blieb eine psychologische Verwertung der Beobachtungen, welche ein Arzt an abnormen Seelenzuständen gewinnen konnte, ausgeschlossen. Erst dann treffen der Arzt und der Philosoph zusammen, wenn beide anerkennen, unbewußte psychische Vorgänge seien »der zweckmäßige und wohlberechtigte Ausdruck für eine feststehende Tatsache«. Der Arzt kann nicht anders, als die Versicherung, »das Bewußtsein sei der unentbehrliche Charakter des Psychischen«, mit Achselzucken zurückweisen, und etwa, wenn sein Respekt vor den Äußerungen der Philosophen noch stark genug ist, annehmen, sie behandelten nicht dasselbe Objekt und trieben nicht die gleiche Wissenschaft. Denn auch nur eine einzige verständnisvolle Beobachtung des Seelenlebens eines Neurotikers, eine einzige Traumanalyse muß ihm die unerschütterliche Überzeugung aufdrängen, daß die kompliziertesten und korrektesten Denkvorgänge, denen man doch den Namen psychischer Vorgänge nicht versagen wird, vorfallen können, ohne das Bewußtsein der Person zu erregen. </w:t>
      </w:r>
    </w:p>
    <w:p w:rsidR="00A06A59" w:rsidRPr="00A06A59" w:rsidRDefault="00B437A1"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hyperlink r:id="rId261" w:anchor="#" w:history="1">
        <w:r w:rsidR="00A06A59" w:rsidRPr="00A06A59">
          <w:rPr>
            <w:rStyle w:val="fusslink"/>
            <w:rFonts w:ascii="Garamond" w:hAnsi="Garamond" w:cs="Arial"/>
            <w:bCs/>
            <w:color w:val="0000CC"/>
          </w:rPr>
          <w:t>[Fußnote]</w:t>
        </w:r>
        <w:r w:rsidR="00A06A59" w:rsidRPr="00A06A59">
          <w:rPr>
            <w:rStyle w:val="innerfusslink3"/>
            <w:rFonts w:ascii="Garamond" w:hAnsi="Garamond" w:cs="Arial"/>
            <w:bCs/>
            <w:color w:val="0000CC"/>
          </w:rPr>
          <w:t xml:space="preserve">Ich freue mich, auf einen Autor hinweisen zu können, der aus dem Studium des Traums den nämlichen Schluß über das Verhältnis der bewußten zur unbewußten Tätigkeit gezogen hat. </w:t>
        </w:r>
        <w:r w:rsidR="00A06A59" w:rsidRPr="00A06A59">
          <w:rPr>
            <w:rFonts w:ascii="Garamond" w:hAnsi="Garamond" w:cs="Arial"/>
            <w:bCs/>
            <w:color w:val="0000CC"/>
          </w:rPr>
          <w:br/>
        </w:r>
        <w:r w:rsidR="00A06A59" w:rsidRPr="00A06A59">
          <w:rPr>
            <w:rStyle w:val="innerfusslink3"/>
            <w:rFonts w:ascii="Garamond" w:hAnsi="Garamond" w:cs="Arial"/>
            <w:bCs/>
            <w:i/>
            <w:iCs/>
            <w:color w:val="0000CC"/>
            <w:lang w:val="en-GB"/>
          </w:rPr>
          <w:t>Du Prel</w:t>
        </w:r>
        <w:r w:rsidR="00A06A59" w:rsidRPr="00A06A59">
          <w:rPr>
            <w:rStyle w:val="innerfusslink3"/>
            <w:rFonts w:ascii="Garamond" w:hAnsi="Garamond" w:cs="Arial"/>
            <w:bCs/>
            <w:color w:val="0000CC"/>
            <w:lang w:val="en-GB"/>
          </w:rPr>
          <w:t xml:space="preserve"> sagt: »Die Frage, was die Seele ist, erheischt offenbar eine Voruntersuchung darüber, ob Bewußtsein und Seele identisch seien. Gerade diese Vorfrage nun wird vom Traume verneint, welcher zeigt, daß der Begriff der Seele über </w:t>
        </w:r>
        <w:r w:rsidR="00A06A59" w:rsidRPr="00A06A59">
          <w:rPr>
            <w:rStyle w:val="innerfusslink3"/>
            <w:rFonts w:ascii="Garamond" w:hAnsi="Garamond" w:cs="Arial"/>
            <w:bCs/>
            <w:color w:val="0000CC"/>
            <w:lang w:val="en-GB"/>
          </w:rPr>
          <w:lastRenderedPageBreak/>
          <w:t xml:space="preserve">den des Bewußtseins hinausragt, wie etwa die Anziehungskraft eines Gestirns über seine Leuchtsphäre« (Philos. d. Mystik, p. 47). </w:t>
        </w:r>
        <w:r w:rsidR="00A06A59" w:rsidRPr="00A06A59">
          <w:rPr>
            <w:rFonts w:ascii="Garamond" w:hAnsi="Garamond" w:cs="Arial"/>
            <w:bCs/>
            <w:color w:val="0000CC"/>
            <w:lang w:val="en-GB"/>
          </w:rPr>
          <w:br/>
        </w:r>
        <w:r w:rsidR="00A06A59" w:rsidRPr="00A06A59">
          <w:rPr>
            <w:rStyle w:val="innerfusslink3"/>
            <w:rFonts w:ascii="Garamond" w:hAnsi="Garamond" w:cs="Arial"/>
            <w:bCs/>
            <w:color w:val="0000CC"/>
            <w:lang w:val="en-GB"/>
          </w:rPr>
          <w:t>»Es ist eine Wahrheit, die man nicht ausdrücklich genug hervorheben kann, daß Bewußtsein und Seele nicht Begriffe von gleicher Ausdehnung sind« (p. 306).</w:t>
        </w:r>
      </w:hyperlink>
      <w:r w:rsidR="00A06A59" w:rsidRPr="00A06A59">
        <w:rPr>
          <w:rFonts w:ascii="Garamond" w:hAnsi="Garamond" w:cs="Arial"/>
          <w:color w:val="000000"/>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Gewiß erhält der Arzt von diesen unbewußten Vorgängen nicht eher Kunde, als bis sie eine Mitteilung oder Beobachtung zulassende Wirkung auf das Bewußtsein ausgeübt haben. Aber dieser Bewußtseinseffekt kann einen von dem unbewußten Vorgang ganz abweichenden psychischen Charakter zeigen, so daß die innere Wahrnehmung unmöglich den einen als den Ersatz des anderen erkennen kann. Der Arzt muß sich das Recht wahren, durch einen </w:t>
      </w:r>
      <w:r w:rsidRPr="00A06A59">
        <w:rPr>
          <w:rFonts w:ascii="Garamond" w:hAnsi="Garamond" w:cs="Arial"/>
          <w:i/>
          <w:iCs/>
          <w:color w:val="000000"/>
          <w:lang w:val="en-GB"/>
        </w:rPr>
        <w:t>Schlußprozeß</w:t>
      </w:r>
      <w:r w:rsidRPr="00A06A59">
        <w:rPr>
          <w:rFonts w:ascii="Garamond" w:hAnsi="Garamond" w:cs="Arial"/>
          <w:color w:val="000000"/>
          <w:lang w:val="en-GB"/>
        </w:rPr>
        <w:t xml:space="preserve"> vom Bewußtseinseffekt zum unbewußten psychischen Vorgang vorzudringen; er erfährt auf diesem Wege, daß der Bewußtseinseffekt nur eine entfernte psychische Wirkung des unbewußten Vorgangs ist und daß letzterer nicht als solcher bewußtgeworden ist, auch daß er bestanden und gewirkt hat, ohne sich noch dem Bewußtsein irgendwie zu verraten.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Rückkehr von der Überschätzung der Bewußtseinseigenschaft wird zur unerläßlichen Vorbedingung für jede richtige Einsicht in den Hergang des Psychischen. Das Unbewußte muß nach dem Ausdrucke von Lipps als allgemeine Basis des psychischen Lebens angenommen werden. Das Unbewußte ist der größere Kreis, der den kleineren des Bewußten in sich einschließt; alles Bewußte hat eine unbewußte Vorstufe, während das Unbewußte auf dieser Stufe stehenbleiben und doch den vollen Wert einer psychischen Leistung beanspruchen kann. Das Unbewußte ist das eigentlich reale Psychische, </w:t>
      </w:r>
      <w:r w:rsidRPr="00A06A59">
        <w:rPr>
          <w:rFonts w:ascii="Garamond" w:hAnsi="Garamond" w:cs="Arial"/>
          <w:i/>
          <w:iCs/>
          <w:color w:val="000000"/>
          <w:lang w:val="en-GB"/>
        </w:rPr>
        <w:t>uns nach seiner inneren Natur so unbekannt wie das Reale der Außenwelt und uns durch die Daten des Bewußtseins ebenso unvollständig gegeben wie die Außenwelt durch die Angaben unserer Sinnesorgane.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Wenn der alte Gegensatz von Bewußtleben und Traumleben durch die Einsetzung des unbewußten Psychischen in die ihm gebührende Stellung entwertet ist, so werden eine Reihe von Traumproblemen abgestreift, welche frühere Autoren noch eingehend beschäftigt haben. So manche Leistungen, über deren Vollziehung im Traume man sich wundern konnte, sind nun nicht mehr dem Traum anzurechnen, sondern dem auch bei Tage arbeitenden unbewußten Denken. Wenn der Traum mit einer symbolisierenden Darstellung des Körpers, nach </w:t>
      </w:r>
      <w:r w:rsidRPr="00A06A59">
        <w:rPr>
          <w:rFonts w:ascii="Garamond" w:hAnsi="Garamond" w:cs="Arial"/>
          <w:i/>
          <w:iCs/>
          <w:color w:val="000000"/>
          <w:lang w:val="en-GB"/>
        </w:rPr>
        <w:t>Scherner</w:t>
      </w:r>
      <w:r w:rsidRPr="00A06A59">
        <w:rPr>
          <w:rFonts w:ascii="Garamond" w:hAnsi="Garamond" w:cs="Arial"/>
          <w:color w:val="000000"/>
          <w:lang w:val="en-GB"/>
        </w:rPr>
        <w:t xml:space="preserve">, zu spielen scheint, so wissen wir, dies ist die Leistung gewisser unbewußter Phantasien, die wahrscheinlich sexuellen Regungen nachgeben und die nicht nur im Traum, sondern auch in den hysterischen Phobien und anderen Symptomen zum Ausdruck kommen. Wenn der Traum Arbeiten des Tages fortführt und erledigt und selbst wertvolle Einfälle ans Licht fördert, so haben wir hievon nur die Traumverkleidung abzuziehen als Leistung der Traumarbeit und als Marke der Hilfeleistung dunkler Mächte der Seelentiefen (vgl. den Teufel in </w:t>
      </w:r>
      <w:r w:rsidRPr="00A06A59">
        <w:rPr>
          <w:rFonts w:ascii="Garamond" w:hAnsi="Garamond" w:cs="Arial"/>
          <w:i/>
          <w:iCs/>
          <w:color w:val="000000"/>
          <w:lang w:val="en-GB"/>
        </w:rPr>
        <w:t>Tartinis</w:t>
      </w:r>
      <w:r w:rsidRPr="00A06A59">
        <w:rPr>
          <w:rFonts w:ascii="Garamond" w:hAnsi="Garamond" w:cs="Arial"/>
          <w:color w:val="000000"/>
          <w:lang w:val="en-GB"/>
        </w:rPr>
        <w:t xml:space="preserve"> Sonatentraum). Die intellektuelle Leistung selbst fällt denselben Seelenkräften zu, die tagsüber alle solche vollbringen. Wir neigen wahrscheinlich in viel zu hohem Maße zur Überschätzung des bewußten Charakters auch der intellektuellen und künstlerischen Produktion. Aus den Mitteilungen einiger höchstproduktiver Menschen, wie </w:t>
      </w:r>
      <w:r w:rsidRPr="00A06A59">
        <w:rPr>
          <w:rFonts w:ascii="Garamond" w:hAnsi="Garamond" w:cs="Arial"/>
          <w:i/>
          <w:iCs/>
          <w:color w:val="000000"/>
          <w:lang w:val="en-GB"/>
        </w:rPr>
        <w:t>Goethe</w:t>
      </w:r>
      <w:r w:rsidRPr="00A06A59">
        <w:rPr>
          <w:rFonts w:ascii="Garamond" w:hAnsi="Garamond" w:cs="Arial"/>
          <w:color w:val="000000"/>
          <w:lang w:val="en-GB"/>
        </w:rPr>
        <w:t xml:space="preserve"> und </w:t>
      </w:r>
      <w:r w:rsidRPr="00A06A59">
        <w:rPr>
          <w:rFonts w:ascii="Garamond" w:hAnsi="Garamond" w:cs="Arial"/>
          <w:i/>
          <w:iCs/>
          <w:color w:val="000000"/>
          <w:lang w:val="en-GB"/>
        </w:rPr>
        <w:t>Helmholtz</w:t>
      </w:r>
      <w:r w:rsidRPr="00A06A59">
        <w:rPr>
          <w:rFonts w:ascii="Garamond" w:hAnsi="Garamond" w:cs="Arial"/>
          <w:color w:val="000000"/>
          <w:lang w:val="en-GB"/>
        </w:rPr>
        <w:t>, erfahren wir doch eher, daß das Wesentliche und Neue ihrer Schöpfungen ihnen einfallsartig gegeben wurde und fast fertig zu ihrer Wahrnehmung kam. Die Mithilfe der bewußten Tätigkeit in anderen Fällen hat nichts Befremdendes, wo eine Anstrengung aller Geisteskräfte vorlag. Aber es ist das viel mißbrauchte Vorrecht der bewußten Tätigkeit, daß sie uns alle anderen verdecken darf, wo immer sie mittut.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Es verlohnt sich kaum der Mühe, die historische Bedeutung der Träume als ein besonderes Thema aufzustellen. Wo ein Häuptling etwa durch einen Traum zu einem kühnen Unternehmen bestimmt wurde, dessen Erfolg verändernd in die Geschichte eingegriffen hat, da ergibt sich ein neues Problem nur so lange, als man den Traum wie eine fremde Macht anderen vertrauteren Seelenkräften gegenüberstellt, nicht mehr, wenn man den Traum als eine </w:t>
      </w:r>
      <w:r w:rsidRPr="00A06A59">
        <w:rPr>
          <w:rFonts w:ascii="Garamond" w:hAnsi="Garamond" w:cs="Arial"/>
          <w:i/>
          <w:iCs/>
          <w:color w:val="000000"/>
          <w:lang w:val="en-GB"/>
        </w:rPr>
        <w:t>Form des Ausdrucks</w:t>
      </w:r>
      <w:r w:rsidRPr="00A06A59">
        <w:rPr>
          <w:rFonts w:ascii="Garamond" w:hAnsi="Garamond" w:cs="Arial"/>
          <w:color w:val="000000"/>
          <w:lang w:val="en-GB"/>
        </w:rPr>
        <w:t xml:space="preserve"> für Regungen betrachtet, auf denen bei Tage ein Widerstand lastete und die sich bei Nacht Verstärkung aus tiefliegenden Erregungsquellen holen konnten </w:t>
      </w:r>
      <w:hyperlink r:id="rId262" w:anchor="#" w:history="1">
        <w:r w:rsidRPr="00A06A59">
          <w:rPr>
            <w:rStyle w:val="fusslink"/>
            <w:rFonts w:ascii="Garamond" w:hAnsi="Garamond" w:cs="Arial"/>
            <w:bCs/>
            <w:color w:val="0000CC"/>
            <w:lang w:val="en-GB"/>
          </w:rPr>
          <w:t>[Fußnote]</w:t>
        </w:r>
        <w:r w:rsidRPr="00A06A59">
          <w:rPr>
            <w:rStyle w:val="innerfusslink3"/>
            <w:rFonts w:ascii="Garamond" w:hAnsi="Garamond" w:cs="Arial"/>
            <w:bCs/>
            <w:color w:val="0000CC"/>
            <w:lang w:val="en-GB"/>
          </w:rPr>
          <w:t>Vgl. hiezu den (oben S. 69) mitgeteilten Traum (</w:t>
        </w:r>
        <w:r w:rsidRPr="00A06A59">
          <w:rPr>
            <w:rStyle w:val="innerfusslink3"/>
            <w:rFonts w:ascii="Garamond" w:hAnsi="Garamond" w:cs="Arial"/>
            <w:bCs/>
            <w:color w:val="0000CC"/>
          </w:rPr>
          <w:t>Σδ</w:t>
        </w:r>
        <w:r w:rsidRPr="00A06A59">
          <w:rPr>
            <w:rStyle w:val="innerfusslink3"/>
            <w:rFonts w:ascii="Garamond" w:hAnsi="Garamond" w:cs="Arial"/>
            <w:bCs/>
            <w:color w:val="0000CC"/>
            <w:lang w:val="en-GB"/>
          </w:rPr>
          <w:t>-</w:t>
        </w:r>
        <w:r w:rsidRPr="00A06A59">
          <w:rPr>
            <w:rStyle w:val="innerfusslink3"/>
            <w:rFonts w:ascii="Garamond" w:hAnsi="Garamond" w:cs="Arial"/>
            <w:bCs/>
            <w:color w:val="0000CC"/>
          </w:rPr>
          <w:t>τύροξ</w:t>
        </w:r>
        <w:r w:rsidRPr="00A06A59">
          <w:rPr>
            <w:rStyle w:val="innerfusslink3"/>
            <w:rFonts w:ascii="Garamond" w:hAnsi="Garamond" w:cs="Arial"/>
            <w:bCs/>
            <w:color w:val="0000CC"/>
            <w:lang w:val="en-GB"/>
          </w:rPr>
          <w:t>) Alexanders des Großen bei der Belagerung von Tyrus.</w:t>
        </w:r>
      </w:hyperlink>
      <w:r w:rsidRPr="00A06A59">
        <w:rPr>
          <w:rFonts w:ascii="Garamond" w:hAnsi="Garamond" w:cs="Arial"/>
          <w:color w:val="000000"/>
          <w:lang w:val="en-GB"/>
        </w:rPr>
        <w:t xml:space="preserve">. </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Achtung aber, mit der dem Traum bei den alten Völkern begegnet wurde, ist eine auf richtige psychologische Ahnung gegründete Huldigung vor dem Ungebändigten und Unzerstörbaren in der Menschenseele, dem </w:t>
      </w:r>
      <w:r w:rsidRPr="00A06A59">
        <w:rPr>
          <w:rFonts w:ascii="Garamond" w:hAnsi="Garamond" w:cs="Arial"/>
          <w:i/>
          <w:iCs/>
          <w:color w:val="000000"/>
          <w:lang w:val="en-GB"/>
        </w:rPr>
        <w:t>Dämonischen</w:t>
      </w:r>
      <w:r w:rsidRPr="00A06A59">
        <w:rPr>
          <w:rFonts w:ascii="Garamond" w:hAnsi="Garamond" w:cs="Arial"/>
          <w:color w:val="000000"/>
          <w:lang w:val="en-GB"/>
        </w:rPr>
        <w:t>, welches den Traumwunsch hergibt und das wir in unserem Unbewußten wiederfinden.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sage nicht ohne Absicht, </w:t>
      </w:r>
      <w:r w:rsidRPr="00A06A59">
        <w:rPr>
          <w:rFonts w:ascii="Garamond" w:hAnsi="Garamond" w:cs="Arial"/>
          <w:i/>
          <w:iCs/>
          <w:color w:val="000000"/>
          <w:lang w:val="en-GB"/>
        </w:rPr>
        <w:t>in unserem Unbewußten</w:t>
      </w:r>
      <w:r w:rsidRPr="00A06A59">
        <w:rPr>
          <w:rFonts w:ascii="Garamond" w:hAnsi="Garamond" w:cs="Arial"/>
          <w:color w:val="000000"/>
          <w:lang w:val="en-GB"/>
        </w:rPr>
        <w:t xml:space="preserve">, denn was wir so heißen, deckt sich nicht mit dem Unbewußten der Philosophen, auch nicht mit dem Unbewußten bei Lipps. Dort soll es bloß den Gegensatz zu dem Bewußten bezeichnen; daß es außer den bewußten Vorgängen auch unbewußte psychische gibt, ist die heiß bestrittene und energisch verteidigte Erkenntnis. Bei Lipps hören wir von dem weiter reichenden Satz, daß alles Psychische als unbewußt vorhanden ist, einiges davon dann auch als bewußt. Aber nicht zum Erweis für </w:t>
      </w:r>
      <w:r w:rsidRPr="00A06A59">
        <w:rPr>
          <w:rFonts w:ascii="Garamond" w:hAnsi="Garamond" w:cs="Arial"/>
          <w:i/>
          <w:iCs/>
          <w:color w:val="000000"/>
          <w:lang w:val="en-GB"/>
        </w:rPr>
        <w:t>diesen</w:t>
      </w:r>
      <w:r w:rsidRPr="00A06A59">
        <w:rPr>
          <w:rFonts w:ascii="Garamond" w:hAnsi="Garamond" w:cs="Arial"/>
          <w:color w:val="000000"/>
          <w:lang w:val="en-GB"/>
        </w:rPr>
        <w:t xml:space="preserve"> Satz haben wir die Phänomene des Traums und der hysterischen Symptombildung herangezogen; die Beobachtung des normalen Tageslebens reicht allein hin, ihn über jeden Zweifel festzustellen. Das Neue, was uns die Analyse der </w:t>
      </w:r>
      <w:r w:rsidRPr="00A06A59">
        <w:rPr>
          <w:rFonts w:ascii="Garamond" w:hAnsi="Garamond" w:cs="Arial"/>
          <w:color w:val="000000"/>
          <w:lang w:val="en-GB"/>
        </w:rPr>
        <w:lastRenderedPageBreak/>
        <w:t xml:space="preserve">psychopathologischen Bildungen und schon ihres ersten Gliedes, der Träume, gelehrt, besteht darin, daß das Unbewußte – also das Psychische – als Funktion zweier gesonderter Systeme vorkommt und schon im normalen Seelenleben so vorkommt. Es gibt also </w:t>
      </w:r>
      <w:r w:rsidRPr="00A06A59">
        <w:rPr>
          <w:rFonts w:ascii="Garamond" w:hAnsi="Garamond" w:cs="Arial"/>
          <w:i/>
          <w:iCs/>
          <w:color w:val="000000"/>
          <w:lang w:val="en-GB"/>
        </w:rPr>
        <w:t>zweierlei Unbewußtes,</w:t>
      </w:r>
      <w:r w:rsidRPr="00A06A59">
        <w:rPr>
          <w:rFonts w:ascii="Garamond" w:hAnsi="Garamond" w:cs="Arial"/>
          <w:color w:val="000000"/>
          <w:lang w:val="en-GB"/>
        </w:rPr>
        <w:t xml:space="preserve"> was wir von den Psychologen noch nicht gesondert finden. Beides ist Unbewußtes im Sinne der Psychologie; aber in unserem ist das eine, das wir </w:t>
      </w:r>
      <w:r w:rsidRPr="00A06A59">
        <w:rPr>
          <w:rFonts w:ascii="Garamond" w:hAnsi="Garamond" w:cs="Arial"/>
          <w:i/>
          <w:iCs/>
          <w:color w:val="000000"/>
          <w:lang w:val="en-GB"/>
        </w:rPr>
        <w:t>Ubw</w:t>
      </w:r>
      <w:r w:rsidRPr="00A06A59">
        <w:rPr>
          <w:rFonts w:ascii="Garamond" w:hAnsi="Garamond" w:cs="Arial"/>
          <w:color w:val="000000"/>
          <w:lang w:val="en-GB"/>
        </w:rPr>
        <w:t xml:space="preserve"> heißen, auch </w:t>
      </w:r>
      <w:r w:rsidRPr="00A06A59">
        <w:rPr>
          <w:rFonts w:ascii="Garamond" w:hAnsi="Garamond" w:cs="Arial"/>
          <w:i/>
          <w:iCs/>
          <w:color w:val="000000"/>
          <w:lang w:val="en-GB"/>
        </w:rPr>
        <w:t>bewußtseinsunfähig</w:t>
      </w:r>
      <w:r w:rsidRPr="00A06A59">
        <w:rPr>
          <w:rFonts w:ascii="Garamond" w:hAnsi="Garamond" w:cs="Arial"/>
          <w:color w:val="000000"/>
          <w:lang w:val="en-GB"/>
        </w:rPr>
        <w:t xml:space="preserve">, während das andere, </w:t>
      </w:r>
      <w:r w:rsidRPr="00A06A59">
        <w:rPr>
          <w:rFonts w:ascii="Garamond" w:hAnsi="Garamond" w:cs="Arial"/>
          <w:i/>
          <w:iCs/>
          <w:color w:val="000000"/>
          <w:lang w:val="en-GB"/>
        </w:rPr>
        <w:t>Vbw</w:t>
      </w:r>
      <w:r w:rsidRPr="00A06A59">
        <w:rPr>
          <w:rFonts w:ascii="Garamond" w:hAnsi="Garamond" w:cs="Arial"/>
          <w:color w:val="000000"/>
          <w:lang w:val="en-GB"/>
        </w:rPr>
        <w:t xml:space="preserve">, von uns darum so genannt wird, weil dessen Erregungen, zwar auch nach Einhaltung gewisser Regeln, vielleicht erst unter Überstehung einer neuen Zensur, aber doch ohne Rücksicht auf das </w:t>
      </w:r>
      <w:r w:rsidRPr="00A06A59">
        <w:rPr>
          <w:rFonts w:ascii="Garamond" w:hAnsi="Garamond" w:cs="Arial"/>
          <w:i/>
          <w:iCs/>
          <w:color w:val="000000"/>
          <w:lang w:val="en-GB"/>
        </w:rPr>
        <w:t>Ubw</w:t>
      </w:r>
      <w:r w:rsidRPr="00A06A59">
        <w:rPr>
          <w:rFonts w:ascii="Garamond" w:hAnsi="Garamond" w:cs="Arial"/>
          <w:color w:val="000000"/>
          <w:lang w:val="en-GB"/>
        </w:rPr>
        <w:t xml:space="preserve">-System zum Bewußtsein gelangen können. Die Tatsache, daß die Erregungen, um zum Bewußtsein zu kommen, eine unabänderliche Reihenfolge, einen Instanzenzug durchzumachen haben, der uns durch ihre Zensurveränderung verraten wurde, diente uns zur Aufstellung eines Gleichnisses aus der Räumlichkeit. Wir beschrieben die Beziehungen der beiden Systeme zueinander und zum Bewußtsein, indem wir sagten, das System </w:t>
      </w:r>
      <w:r w:rsidRPr="00A06A59">
        <w:rPr>
          <w:rFonts w:ascii="Garamond" w:hAnsi="Garamond" w:cs="Arial"/>
          <w:i/>
          <w:iCs/>
          <w:color w:val="000000"/>
          <w:lang w:val="en-GB"/>
        </w:rPr>
        <w:t>Vbw</w:t>
      </w:r>
      <w:r w:rsidRPr="00A06A59">
        <w:rPr>
          <w:rFonts w:ascii="Garamond" w:hAnsi="Garamond" w:cs="Arial"/>
          <w:color w:val="000000"/>
          <w:lang w:val="en-GB"/>
        </w:rPr>
        <w:t xml:space="preserve"> stehe wie ein Schirm zwischen dem System </w:t>
      </w:r>
      <w:r w:rsidRPr="00A06A59">
        <w:rPr>
          <w:rFonts w:ascii="Garamond" w:hAnsi="Garamond" w:cs="Arial"/>
          <w:i/>
          <w:iCs/>
          <w:color w:val="000000"/>
          <w:lang w:val="en-GB"/>
        </w:rPr>
        <w:t>Ubw</w:t>
      </w:r>
      <w:r w:rsidRPr="00A06A59">
        <w:rPr>
          <w:rFonts w:ascii="Garamond" w:hAnsi="Garamond" w:cs="Arial"/>
          <w:color w:val="000000"/>
          <w:lang w:val="en-GB"/>
        </w:rPr>
        <w:t xml:space="preserve"> und dem Bewußtsein. Das System </w:t>
      </w:r>
      <w:r w:rsidRPr="00A06A59">
        <w:rPr>
          <w:rFonts w:ascii="Garamond" w:hAnsi="Garamond" w:cs="Arial"/>
          <w:i/>
          <w:iCs/>
          <w:color w:val="000000"/>
          <w:lang w:val="en-GB"/>
        </w:rPr>
        <w:t>Vbw</w:t>
      </w:r>
      <w:r w:rsidRPr="00A06A59">
        <w:rPr>
          <w:rFonts w:ascii="Garamond" w:hAnsi="Garamond" w:cs="Arial"/>
          <w:color w:val="000000"/>
          <w:lang w:val="en-GB"/>
        </w:rPr>
        <w:t xml:space="preserve"> sperre nicht nur den Zugang zum Bewußtsein, es beherrsche auch den Zugang zur willkürlichen Motilität und verfüge über die Aussendung einer mobilen Besetzungsenergie, von der uns ein Anteil als Aufmerksamkeit vertraut ist. </w:t>
      </w:r>
      <w:hyperlink r:id="rId263" w:anchor="#" w:history="1">
        <w:r w:rsidRPr="00A06A59">
          <w:rPr>
            <w:rStyle w:val="fusslink"/>
            <w:rFonts w:ascii="Garamond" w:hAnsi="Garamond" w:cs="Arial"/>
            <w:bCs/>
            <w:color w:val="0000CC"/>
            <w:lang w:val="en-GB"/>
          </w:rPr>
          <w:t>[Fußnote]</w:t>
        </w:r>
        <w:r w:rsidRPr="00A06A59">
          <w:rPr>
            <w:rStyle w:val="innerfusslink3"/>
            <w:rFonts w:ascii="Garamond" w:hAnsi="Garamond" w:cs="Arial"/>
            <w:bCs/>
            <w:color w:val="0000CC"/>
            <w:lang w:val="en-GB"/>
          </w:rPr>
          <w:t xml:space="preserve">Vgl. hiezu meine ›Bemerkungen über den Begriff des Unbewußten in der Psychoanalyse (englisch in </w:t>
        </w:r>
        <w:r w:rsidRPr="00A06A59">
          <w:rPr>
            <w:rStyle w:val="innerfusslink3"/>
            <w:rFonts w:ascii="Garamond" w:hAnsi="Garamond" w:cs="Arial"/>
            <w:bCs/>
            <w:i/>
            <w:iCs/>
            <w:color w:val="0000CC"/>
            <w:lang w:val="en-GB"/>
          </w:rPr>
          <w:t>Proceedings of the Society for Psycbical Research</w:t>
        </w:r>
        <w:r w:rsidRPr="00A06A59">
          <w:rPr>
            <w:rStyle w:val="innerfusslink3"/>
            <w:rFonts w:ascii="Garamond" w:hAnsi="Garamond" w:cs="Arial"/>
            <w:bCs/>
            <w:color w:val="0000CC"/>
            <w:lang w:val="en-GB"/>
          </w:rPr>
          <w:t>, vol. XXVI), in denen die deskriptive, dynamische und systematische Bedeutung des vieldeutigen Wortes »unbewußt« voneinander geschieden werden.</w:t>
        </w:r>
      </w:hyperlink>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Auch von der Unterscheidung </w:t>
      </w:r>
      <w:r w:rsidRPr="00A06A59">
        <w:rPr>
          <w:rFonts w:ascii="Garamond" w:hAnsi="Garamond" w:cs="Arial"/>
          <w:i/>
          <w:iCs/>
          <w:color w:val="000000"/>
          <w:lang w:val="en-GB"/>
        </w:rPr>
        <w:t>Ober-</w:t>
      </w:r>
      <w:r w:rsidRPr="00A06A59">
        <w:rPr>
          <w:rFonts w:ascii="Garamond" w:hAnsi="Garamond" w:cs="Arial"/>
          <w:color w:val="000000"/>
          <w:lang w:val="en-GB"/>
        </w:rPr>
        <w:t xml:space="preserve"> und </w:t>
      </w:r>
      <w:r w:rsidRPr="00A06A59">
        <w:rPr>
          <w:rFonts w:ascii="Garamond" w:hAnsi="Garamond" w:cs="Arial"/>
          <w:i/>
          <w:iCs/>
          <w:color w:val="000000"/>
          <w:lang w:val="en-GB"/>
        </w:rPr>
        <w:t>Unterbewußtsein</w:t>
      </w:r>
      <w:r w:rsidRPr="00A06A59">
        <w:rPr>
          <w:rFonts w:ascii="Garamond" w:hAnsi="Garamond" w:cs="Arial"/>
          <w:color w:val="000000"/>
          <w:lang w:val="en-GB"/>
        </w:rPr>
        <w:t>, die in der neueren Literatur der Psychoneurosen so beliebt geworden ist, müssen wir uns fernhalten, da gerade sie die Gleichstellung des Psychischen und des Bewußten zu betonen scheint.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rPr>
      </w:pPr>
      <w:r w:rsidRPr="00A06A59">
        <w:rPr>
          <w:rFonts w:ascii="Garamond" w:hAnsi="Garamond" w:cs="Arial"/>
          <w:color w:val="000000"/>
          <w:lang w:val="en-GB"/>
        </w:rPr>
        <w:t xml:space="preserve">Welche Rolle verbleibt in unserer Darstellung dem einst allmächtigen, alles andere verdeckenden Bewußtsein? Keine andere als </w:t>
      </w:r>
      <w:r w:rsidRPr="00A06A59">
        <w:rPr>
          <w:rFonts w:ascii="Garamond" w:hAnsi="Garamond" w:cs="Arial"/>
          <w:i/>
          <w:iCs/>
          <w:color w:val="000000"/>
          <w:lang w:val="en-GB"/>
        </w:rPr>
        <w:t>die eines Sinnesorgans zur Wahrnehmung psychischer Qualitäten</w:t>
      </w:r>
      <w:r w:rsidRPr="00A06A59">
        <w:rPr>
          <w:rFonts w:ascii="Garamond" w:hAnsi="Garamond" w:cs="Arial"/>
          <w:color w:val="000000"/>
          <w:lang w:val="en-GB"/>
        </w:rPr>
        <w:t xml:space="preserve">. Nach dem Grundgedanken unseres schematischen Versuchs können wir die Bewußtseinswahrnehmung nur als die eigene Leistung eines besonderen Systems auffassen, für welches sich die Abkürzungsbezeichnung </w:t>
      </w:r>
      <w:r w:rsidRPr="00A06A59">
        <w:rPr>
          <w:rFonts w:ascii="Garamond" w:hAnsi="Garamond" w:cs="Arial"/>
          <w:i/>
          <w:iCs/>
          <w:color w:val="000000"/>
          <w:lang w:val="en-GB"/>
        </w:rPr>
        <w:t>Bw</w:t>
      </w:r>
      <w:r w:rsidRPr="00A06A59">
        <w:rPr>
          <w:rFonts w:ascii="Garamond" w:hAnsi="Garamond" w:cs="Arial"/>
          <w:color w:val="000000"/>
          <w:lang w:val="en-GB"/>
        </w:rPr>
        <w:t xml:space="preserve"> empfiehlt. Dies System denken wir uns in seinen mechanischen Charakteren ähnlich wie die Wahrnehmungssysteme </w:t>
      </w:r>
      <w:r w:rsidRPr="00A06A59">
        <w:rPr>
          <w:rFonts w:ascii="Garamond" w:hAnsi="Garamond" w:cs="Arial"/>
          <w:i/>
          <w:iCs/>
          <w:color w:val="000000"/>
          <w:lang w:val="en-GB"/>
        </w:rPr>
        <w:t>W</w:t>
      </w:r>
      <w:r w:rsidRPr="00A06A59">
        <w:rPr>
          <w:rFonts w:ascii="Garamond" w:hAnsi="Garamond" w:cs="Arial"/>
          <w:color w:val="000000"/>
          <w:lang w:val="en-GB"/>
        </w:rPr>
        <w:t xml:space="preserve">, also erregbar durch Qualitäten und unfähig, die Spur von Veränderungen zu bewahren, also ohne Gedächtnis. Der psychische Apparat, der mit dem Sinnesorgan der </w:t>
      </w:r>
      <w:r w:rsidRPr="00A06A59">
        <w:rPr>
          <w:rFonts w:ascii="Garamond" w:hAnsi="Garamond" w:cs="Arial"/>
          <w:i/>
          <w:iCs/>
          <w:color w:val="000000"/>
          <w:lang w:val="en-GB"/>
        </w:rPr>
        <w:t>W</w:t>
      </w:r>
      <w:r w:rsidRPr="00A06A59">
        <w:rPr>
          <w:rFonts w:ascii="Garamond" w:hAnsi="Garamond" w:cs="Arial"/>
          <w:color w:val="000000"/>
          <w:lang w:val="en-GB"/>
        </w:rPr>
        <w:t xml:space="preserve">-Systeme der Außenwelt zugekehrt ist, ist selbst Außenwelt für das Sinnesorgan des </w:t>
      </w:r>
      <w:r w:rsidRPr="00A06A59">
        <w:rPr>
          <w:rFonts w:ascii="Garamond" w:hAnsi="Garamond" w:cs="Arial"/>
          <w:i/>
          <w:iCs/>
          <w:color w:val="000000"/>
          <w:lang w:val="en-GB"/>
        </w:rPr>
        <w:t>Bw</w:t>
      </w:r>
      <w:r w:rsidRPr="00A06A59">
        <w:rPr>
          <w:rFonts w:ascii="Garamond" w:hAnsi="Garamond" w:cs="Arial"/>
          <w:color w:val="000000"/>
          <w:lang w:val="en-GB"/>
        </w:rPr>
        <w:t xml:space="preserve">, dessen teleologische Rechtfertigung in diesem Verhältnisse ruht. </w:t>
      </w:r>
      <w:r w:rsidRPr="00A06A59">
        <w:rPr>
          <w:rFonts w:ascii="Garamond" w:hAnsi="Garamond" w:cs="Arial"/>
          <w:color w:val="000000"/>
        </w:rPr>
        <w:t xml:space="preserve">Das Prinzip des Instanzenzugs, welches den Bau des Apparats zu beherrschen scheint, tritt uns hier nochmals entgegen. Das Material an Erregungen fließt dem </w:t>
      </w:r>
      <w:r w:rsidRPr="00A06A59">
        <w:rPr>
          <w:rFonts w:ascii="Garamond" w:hAnsi="Garamond" w:cs="Arial"/>
          <w:i/>
          <w:iCs/>
          <w:color w:val="000000"/>
        </w:rPr>
        <w:t>Bw</w:t>
      </w:r>
      <w:r w:rsidRPr="00A06A59">
        <w:rPr>
          <w:rFonts w:ascii="Garamond" w:hAnsi="Garamond" w:cs="Arial"/>
          <w:color w:val="000000"/>
        </w:rPr>
        <w:t xml:space="preserve">-Sinnesorgan von zwei Seiten her zu, von dem </w:t>
      </w:r>
      <w:r w:rsidRPr="00A06A59">
        <w:rPr>
          <w:rFonts w:ascii="Garamond" w:hAnsi="Garamond" w:cs="Arial"/>
          <w:i/>
          <w:iCs/>
          <w:color w:val="000000"/>
        </w:rPr>
        <w:t>W</w:t>
      </w:r>
      <w:r w:rsidRPr="00A06A59">
        <w:rPr>
          <w:rFonts w:ascii="Garamond" w:hAnsi="Garamond" w:cs="Arial"/>
          <w:color w:val="000000"/>
        </w:rPr>
        <w:t>-System her, dessen durch Qualitäten bedingte Erregung wahrscheinlich eine neue Verarbeitung durchmacht, bis sie zur bewußten Empfindung wird, und aus dem Innern des Apparats selbst, dessen quantitative Vorgänge als Qualitätenreihe der Lust und Unlust empfunden werden, wenn sie bei gewissen Veränderungen angelangt sind.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rPr>
        <w:t xml:space="preserve">Die Philosophen, welche innewurden, daß korrekte und hoch zusammengesetzte Gedankenbildungen auch ohne Dazutun des Bewußtseins möglich sind, haben es dann als Schwierigkeit erfunden, dem Bewußtsein eine Verrichtung zuzuschreiben; es erschien ihnen als überflüssige Spiegelung des vollendeten psychischen Vorgangs. Die Analogie unseres </w:t>
      </w:r>
      <w:r w:rsidRPr="00A06A59">
        <w:rPr>
          <w:rFonts w:ascii="Garamond" w:hAnsi="Garamond" w:cs="Arial"/>
          <w:i/>
          <w:iCs/>
          <w:color w:val="000000"/>
        </w:rPr>
        <w:t>Bw</w:t>
      </w:r>
      <w:r w:rsidRPr="00A06A59">
        <w:rPr>
          <w:rFonts w:ascii="Garamond" w:hAnsi="Garamond" w:cs="Arial"/>
          <w:color w:val="000000"/>
        </w:rPr>
        <w:t xml:space="preserve">-Systems mit den Wahrnehmungssystemen entreißt uns dieser Verlegenheit. Wir sehen, daß die Wahrnehmung durch unsere Sinnesorgane die Folge hat, eine Aufmerksamkeitsbesetzung auf die Wege zu leiten, nach denen die ankommende Sinneserregung sich verbreitet; die qualitative Erregung des </w:t>
      </w:r>
      <w:r w:rsidRPr="00A06A59">
        <w:rPr>
          <w:rFonts w:ascii="Garamond" w:hAnsi="Garamond" w:cs="Arial"/>
          <w:i/>
          <w:iCs/>
          <w:color w:val="000000"/>
        </w:rPr>
        <w:t>W</w:t>
      </w:r>
      <w:r w:rsidRPr="00A06A59">
        <w:rPr>
          <w:rFonts w:ascii="Garamond" w:hAnsi="Garamond" w:cs="Arial"/>
          <w:color w:val="000000"/>
        </w:rPr>
        <w:t xml:space="preserve">-Systems dient der mobilen Quantität im psychischen Apparat als Regulator ihres Ablaufs. </w:t>
      </w:r>
      <w:r w:rsidRPr="00A06A59">
        <w:rPr>
          <w:rFonts w:ascii="Garamond" w:hAnsi="Garamond" w:cs="Arial"/>
          <w:color w:val="000000"/>
          <w:lang w:val="en-GB"/>
        </w:rPr>
        <w:t xml:space="preserve">Dieselbe Verrichtung können wir für das überlagernde Sinnesorgan des </w:t>
      </w:r>
      <w:r w:rsidRPr="00A06A59">
        <w:rPr>
          <w:rFonts w:ascii="Garamond" w:hAnsi="Garamond" w:cs="Arial"/>
          <w:i/>
          <w:iCs/>
          <w:color w:val="000000"/>
          <w:lang w:val="en-GB"/>
        </w:rPr>
        <w:t>Bw</w:t>
      </w:r>
      <w:r w:rsidRPr="00A06A59">
        <w:rPr>
          <w:rFonts w:ascii="Garamond" w:hAnsi="Garamond" w:cs="Arial"/>
          <w:color w:val="000000"/>
          <w:lang w:val="en-GB"/>
        </w:rPr>
        <w:t xml:space="preserve">-Systems in Anspruch nehmen. Indem es neue Qualitäten wahrnimmt, leistet es einen neuen Beitrag zur Lenkung und zweckmäßigen Verteilung der mobilen Besetzungsquantitäten. Mittels der Lust- und Unlustwahrnehmung beeinflußt es den Verlauf der Besetzungen innerhalb des sonst unbewußt und durch Quantitätsverschiebungen arbeitenden psychischen Apparats. Es ist wahrscheinlich, daß das Unlustprinzip die Verschiebungen der Besetzung zunächst automatisch regelt; aber es ist sehr wohl möglich, daß das Bewußtsein dieser Qualitäten eine zweite und feinere Regulierung hinzutut, die sich sogar der ersteren widersetzen kann und die Leistungsfähigkeit des Apparats vervollkommnet, indem sie ihn gegen seine ursprüngliche Anlage in den Stand setzt, auch was mit Unlustentbindung verknüpft ist, der Besetzung und Bearbeitung zu unterziehen. Aus der Neurosenpsychologie erfährt man, daß diesen Regulierungen durch die Qualitätserregung der Sinnesorgane eine große Rolle bei der Funktionstätigkeit des Apparats zugedacht ist. Die automatische Herrschaft des primären Unlustprinzips und die damit verbundene Einschränkung der Leistungsfähigkeit wird durch die sensiblen Regulierungen, die selbst wieder Automatismen sind, gebrochen. Man erfährt, daß die Verdrängung, die, ursprünglich zweckmäßig, doch in schädlichen Verzicht auf Hemmung und seelische Beherrschung ausläuft, sich so viel leichter an Erinnerungen als an Wahrnehmungen vollzieht, weil bei ersteren der Besetzungszuwachs durch die Erregung der psychischen Sinnesorgane ausbleiben muß. Wenn ein abzuwehrender Gedanke einerseits nicht bewußt wird, weil er der Verdrängung unterlegen ist, so kann er andere Male nur darum verdrängt werden, weil er aus anderen Gründen der </w:t>
      </w:r>
      <w:r w:rsidRPr="00A06A59">
        <w:rPr>
          <w:rFonts w:ascii="Garamond" w:hAnsi="Garamond" w:cs="Arial"/>
          <w:color w:val="000000"/>
          <w:lang w:val="en-GB"/>
        </w:rPr>
        <w:lastRenderedPageBreak/>
        <w:t>Bewußtseinswahrnehmung entzogen wurde. Es sind das Winke, deren sich die Therapie bedient, um vollzogene Verdrängungen rückgängig zu machen.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Der Wert der Überbesetzung, welche durch den regulierenden Einfluß des </w:t>
      </w:r>
      <w:r w:rsidRPr="00A06A59">
        <w:rPr>
          <w:rFonts w:ascii="Garamond" w:hAnsi="Garamond" w:cs="Arial"/>
          <w:i/>
          <w:iCs/>
          <w:color w:val="000000"/>
          <w:lang w:val="en-GB"/>
        </w:rPr>
        <w:t>Bw</w:t>
      </w:r>
      <w:r w:rsidRPr="00A06A59">
        <w:rPr>
          <w:rFonts w:ascii="Garamond" w:hAnsi="Garamond" w:cs="Arial"/>
          <w:color w:val="000000"/>
          <w:lang w:val="en-GB"/>
        </w:rPr>
        <w:t>-Sinnesorgans auf die mobile Quantität hergestellt wird, ist im teleologischen Zusammenhang durch nichts besser dargetan als durch die Schöpfung einer neuen Qualitätenreihe und somit einer neuen Regulierung, welche das Vorrecht des Menschen vor den Tieren ausmacht. Die Denkvorgänge sind nämlich an sich qualitätslos bis auf die sie begleitenden Lust- und Unlusterregungen, die ja als mögliche Störung des Denkens in Schranken gehalten werden sollen. Um ihnen eine Qualität zu verleihen, werden sie beim Menschen mit den Worterinnerungen assoziiert, deren Qualitätsreste genügen, um die Aufmerksamkeit des Bewußtseins auf sich zu ziehen und von ihm aus dem Denken eine neue mobile Besetzung zuzuwenden.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Die ganze Mannigfaltigkeit der Bewußtseinsprobleme läßt sich erst bei der Zergliederung der hysterischen Denkvorgänge übersehen. Man empfängt dann den Eindruck, daß auch der Übergang vom Vorbewußten zur Bewußtseinsbesetzung mit einer Zensur verknüpft ist, ähnlich der Zensur zwischen </w:t>
      </w:r>
      <w:r w:rsidRPr="00A06A59">
        <w:rPr>
          <w:rFonts w:ascii="Garamond" w:hAnsi="Garamond" w:cs="Arial"/>
          <w:i/>
          <w:iCs/>
          <w:color w:val="000000"/>
          <w:lang w:val="en-GB"/>
        </w:rPr>
        <w:t>Ubw</w:t>
      </w:r>
      <w:r w:rsidRPr="00A06A59">
        <w:rPr>
          <w:rFonts w:ascii="Garamond" w:hAnsi="Garamond" w:cs="Arial"/>
          <w:color w:val="000000"/>
          <w:lang w:val="en-GB"/>
        </w:rPr>
        <w:t xml:space="preserve"> und </w:t>
      </w:r>
      <w:r w:rsidRPr="00A06A59">
        <w:rPr>
          <w:rFonts w:ascii="Garamond" w:hAnsi="Garamond" w:cs="Arial"/>
          <w:i/>
          <w:iCs/>
          <w:color w:val="000000"/>
          <w:lang w:val="en-GB"/>
        </w:rPr>
        <w:t>Vbw</w:t>
      </w:r>
      <w:r w:rsidRPr="00A06A59">
        <w:rPr>
          <w:rFonts w:ascii="Garamond" w:hAnsi="Garamond" w:cs="Arial"/>
          <w:color w:val="000000"/>
          <w:lang w:val="en-GB"/>
        </w:rPr>
        <w:t>. Auch diese Zensur setzt erst bei einer gewissen quantitativen Grenze ein, so daß ihr wenig intensive Gedankenbildungen entgehen. Alle möglichen Fälle der Abhaltung von dem Bewußtsein sowie des Durchdringens zu demselben unter Einschränkungen finden sich im Rahmen der psychoneurotischen Phänomene vereinigt; sämtlich weisen sie auf den innigen und zweiseitigen Zusammenhang zwischen Zensur und Bewußtsein hin. Mit der Mitteilung zweier derartiger Vorkommnisse will ich diese psychologischen Erörterungen beschließen.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Konsilium im Vorjahre führte mich zu einem intelligent und unbefangen blickenden Mädchen. Ihr Aufzug ist befremdend; wo doch sonst die Kleidung des Weibes bis in die letzte Falte beseelt ist, trägt sie einen Strumpf herabhängend und zwei Knöpfe der Bluse offen. Sie klagt über Schmerzen in einem Bein und entblößt unaufgefordert eine Wade. Ihre Hauptklage aber lautet wörtlich: Sie hat ein Gefühl im Leib, als ob etwas </w:t>
      </w:r>
      <w:r w:rsidRPr="00A06A59">
        <w:rPr>
          <w:rFonts w:ascii="Garamond" w:hAnsi="Garamond" w:cs="Arial"/>
          <w:i/>
          <w:iCs/>
          <w:color w:val="000000"/>
          <w:lang w:val="en-GB"/>
        </w:rPr>
        <w:t>darin stecken würde</w:t>
      </w:r>
      <w:r w:rsidRPr="00A06A59">
        <w:rPr>
          <w:rFonts w:ascii="Garamond" w:hAnsi="Garamond" w:cs="Arial"/>
          <w:color w:val="000000"/>
          <w:lang w:val="en-GB"/>
        </w:rPr>
        <w:t xml:space="preserve">, was sich </w:t>
      </w:r>
      <w:r w:rsidRPr="00A06A59">
        <w:rPr>
          <w:rFonts w:ascii="Garamond" w:hAnsi="Garamond" w:cs="Arial"/>
          <w:i/>
          <w:iCs/>
          <w:color w:val="000000"/>
          <w:lang w:val="en-GB"/>
        </w:rPr>
        <w:t>hin und her bewegt</w:t>
      </w:r>
      <w:r w:rsidRPr="00A06A59">
        <w:rPr>
          <w:rFonts w:ascii="Garamond" w:hAnsi="Garamond" w:cs="Arial"/>
          <w:color w:val="000000"/>
          <w:lang w:val="en-GB"/>
        </w:rPr>
        <w:t xml:space="preserve"> und sie durch und durch </w:t>
      </w:r>
      <w:r w:rsidRPr="00A06A59">
        <w:rPr>
          <w:rFonts w:ascii="Garamond" w:hAnsi="Garamond" w:cs="Arial"/>
          <w:i/>
          <w:iCs/>
          <w:color w:val="000000"/>
          <w:lang w:val="en-GB"/>
        </w:rPr>
        <w:t>erschüttert</w:t>
      </w:r>
      <w:r w:rsidRPr="00A06A59">
        <w:rPr>
          <w:rFonts w:ascii="Garamond" w:hAnsi="Garamond" w:cs="Arial"/>
          <w:color w:val="000000"/>
          <w:lang w:val="en-GB"/>
        </w:rPr>
        <w:t xml:space="preserve">. Manchmal wird ihr dabei der ganze Leib wie </w:t>
      </w:r>
      <w:r w:rsidRPr="00A06A59">
        <w:rPr>
          <w:rFonts w:ascii="Garamond" w:hAnsi="Garamond" w:cs="Arial"/>
          <w:i/>
          <w:iCs/>
          <w:color w:val="000000"/>
          <w:lang w:val="en-GB"/>
        </w:rPr>
        <w:t>steif</w:t>
      </w:r>
      <w:r w:rsidRPr="00A06A59">
        <w:rPr>
          <w:rFonts w:ascii="Garamond" w:hAnsi="Garamond" w:cs="Arial"/>
          <w:color w:val="000000"/>
          <w:lang w:val="en-GB"/>
        </w:rPr>
        <w:t>. Mein mitanwesender Kollege sieht mich dabei an; er findet die Klage nicht mißverständlich. Merkwürdig erscheint uns beiden, daß die Mutter der Kranken sich dabei nichts denkt; sie muß sich ja wiederholt in der Situation befunden haben, welche ihr Kind beschreibt. Das Mädchen selbst hat keine Ahnung von dem Belang ihrer Rede, sonst würde sie dieselbe nicht im Munde führen. Hier ist es gelungen, die Zensur so abzublenden, daß eine sonst im Vorbewußten verbleibende Phantasie wie harmlos in der Maske einer Klage zum Bewußtsein zugelassen wird.</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Ein anderes Beispiel: Ich beginne eine psychoanalytische Behandlung mit einem vierzehnjährigen Knaben, der an </w:t>
      </w:r>
      <w:r w:rsidRPr="00A06A59">
        <w:rPr>
          <w:rFonts w:ascii="Garamond" w:hAnsi="Garamond" w:cs="Arial"/>
          <w:i/>
          <w:iCs/>
          <w:color w:val="000000"/>
          <w:lang w:val="en-GB"/>
        </w:rPr>
        <w:t>tic convulsif</w:t>
      </w:r>
      <w:r w:rsidRPr="00A06A59">
        <w:rPr>
          <w:rFonts w:ascii="Garamond" w:hAnsi="Garamond" w:cs="Arial"/>
          <w:color w:val="000000"/>
          <w:lang w:val="en-GB"/>
        </w:rPr>
        <w:t xml:space="preserve">, hysterischem Erbrechen, Kopfschmerz u. dgl. leidet, indem ich ihm versichere, er werde nach dem Augenschluß Bilder sehen oder Einfälle bekommen, die er mir mitteilen soll. Er antwortet in Bildern. Der letzte Eindruck, ehe er zu mir gekommen ist, lebt in seiner Erinnerung visuell auf. Er hatte mit seinem Onkel ein Brettspiel gespielt und sieht jetzt das Brett vor sich. Er erörtert verschiedene Stellungen, die günstig sind oder ungünstig, Züge, die man nicht machen darf. Dann sieht er auf dem Brett einen Dolch liegen, einen Gegenstand, den sein Vater besitzt, den aber seine Phantasie auf das Brett verlegt. Dann liegt eine Sichel auf dem Brett, dann kommt eine Sense hinzu, und jetzt tritt das Bild eines alten Bauern auf, der das Gras vor dem entfernten heimatlichen Hause mit der Sense mäht. Nach wenigen Tagen habe ich das Verständnis für diese Aneinanderreihung von Bildern gewonnen. Unerfreuliche Familienverhältnisse haben den Knaben in Aufregung gebracht. Ein harter, jähzorniger Vater, der mit der Mutter in Unfrieden lebte, dessen Erziehungsmittel Drohungen waren; die Scheidung des Vaters von der weichen und zärtlichen Mutter; die Wiederverheiratung des Vaters, der eines Tages eine junge Frau als die neue Mama nach Hause brachte. In den ersten Tagen nachher brach die Krankheit des vierzehnjährigen Knaben aus. Es ist die unterdrückte Wut gegen den Vater, die jene Bilder zu verständlichen Anspielungen zusammengesetzt hat. Eine Reminiszenz aus der Mythologie hat das Material gegeben. Die Sichel ist die, mit der Zeus den Vater entmannte, die Sense und das Bild des Bauern schildern den Kronos, den gewalttätigen Alten, der seine Kinder frißt und an dem Zeus so unkindlich Rache nimmt. Die Heirat des Vaters war eine Gelegenheit, ihm die Vorwürfe und Drohungen zurückzugeben, die das Kind früher einmal von ihm gehört hatte, weil es mit den Genitalien </w:t>
      </w:r>
      <w:r w:rsidRPr="00A06A59">
        <w:rPr>
          <w:rFonts w:ascii="Garamond" w:hAnsi="Garamond" w:cs="Arial"/>
          <w:i/>
          <w:iCs/>
          <w:color w:val="000000"/>
          <w:lang w:val="en-GB"/>
        </w:rPr>
        <w:t>spielte</w:t>
      </w:r>
      <w:r w:rsidRPr="00A06A59">
        <w:rPr>
          <w:rFonts w:ascii="Garamond" w:hAnsi="Garamond" w:cs="Arial"/>
          <w:color w:val="000000"/>
          <w:lang w:val="en-GB"/>
        </w:rPr>
        <w:t xml:space="preserve"> (das Brettspiel; die verbotenen Züge; der Dolch, mit dem man umbringen kann). Hier sind es lang verdrängte Erinnerungen und deren unbewußt gebliebene Abkömmlinge, die auf dem ihnen eröffneten Umwege sich als </w:t>
      </w:r>
      <w:r w:rsidRPr="00A06A59">
        <w:rPr>
          <w:rFonts w:ascii="Garamond" w:hAnsi="Garamond" w:cs="Arial"/>
          <w:i/>
          <w:iCs/>
          <w:color w:val="000000"/>
          <w:lang w:val="en-GB"/>
        </w:rPr>
        <w:t>scheinbar sinnlose</w:t>
      </w:r>
      <w:r w:rsidRPr="00A06A59">
        <w:rPr>
          <w:rFonts w:ascii="Garamond" w:hAnsi="Garamond" w:cs="Arial"/>
          <w:color w:val="000000"/>
          <w:lang w:val="en-GB"/>
        </w:rPr>
        <w:t xml:space="preserve"> Bilder ins Bewußtsein schleichen.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So würde ich also den theoretischen Wert der Beschäftigung mit dem Traum in den Beiträgen zur psychologischen Erkenntnis und in der Vorbereitung für das Verständnis der Psychoneurosen suchen. Wer vermag zu ahnen, zu welcher Bedeutung sich eine gründliche Bekanntschaft mit dem Bau und den Leistungen des Seelenapparats noch erheben kann, wenn schon der heutige Stand unseres Wissens eine glückliche therapeutische Beeinflussung der an sich heilbaren Formen von Psychoneurosen gestattet? Und der praktische Wert dieser Beschäftigung, höre ich fragen, </w:t>
      </w:r>
      <w:r w:rsidRPr="00A06A59">
        <w:rPr>
          <w:rFonts w:ascii="Garamond" w:hAnsi="Garamond" w:cs="Arial"/>
          <w:color w:val="000000"/>
          <w:lang w:val="en-GB"/>
        </w:rPr>
        <w:lastRenderedPageBreak/>
        <w:t>für die Seelenkenntnis, die Aufdeckung der verborgenen Charaktereigenschaften der einzelnen? Haben denn die unbewußten Regungen, die der Traum offenbart, nicht den Wert von realen Mächten im Seelenleben? Ist die ethische Bedeutung der unterdrückten Wünsche gering anzuschlagen, die, wie sie Träume schaffen, eines Tages anderes schaffen können?</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Ich fühle mich nicht berechtigt, auf diese Fragen zu antworten. Meine Gedanken haben diese Seite des Traumproblems nicht weiter verfolgt. Ich meine nur, jedenfalls hatte der römische Kaiser unrecht, welcher einen Untertanen hinrichten ließ, weil dieser geträumt hatte, daß er den Imperator ermordet. Er hätte sich zuerst darum bekümmern sollen, was dieser Traum bedeutete; sehr wahrscheinlich war es nicht dasselbe, was er zur Schau trug. Und selbst wenn ein Traum, der anders lautete, diese majestätsverbrecherische Bedeutung hätte, wäre es noch am Platze, des Wortes von Plato zu gedenken, daß der Tugendhafte sich begnügt, von dem zu träumen, was der Böse im Leben tut. Ich meine also, am besten gibt man die Träume frei. Ob den unbewußten Wünschen </w:t>
      </w:r>
      <w:r w:rsidRPr="00A06A59">
        <w:rPr>
          <w:rFonts w:ascii="Garamond" w:hAnsi="Garamond" w:cs="Arial"/>
          <w:i/>
          <w:iCs/>
          <w:color w:val="000000"/>
          <w:lang w:val="en-GB"/>
        </w:rPr>
        <w:t>Realität</w:t>
      </w:r>
      <w:r w:rsidRPr="00A06A59">
        <w:rPr>
          <w:rFonts w:ascii="Garamond" w:hAnsi="Garamond" w:cs="Arial"/>
          <w:color w:val="000000"/>
          <w:lang w:val="en-GB"/>
        </w:rPr>
        <w:t xml:space="preserve"> zuzuerkennen ist, kann ich nicht sagen. Allen Übergangs- und Zwischengedanken ist sie natürlich abzusprechen. Hat man die unbewußten Wünsche, auf ihren letzten und wahrsten Ausdruck gebracht, vor sich, so muß man wohl sagen, daß die </w:t>
      </w:r>
      <w:r w:rsidRPr="00A06A59">
        <w:rPr>
          <w:rFonts w:ascii="Garamond" w:hAnsi="Garamond" w:cs="Arial"/>
          <w:i/>
          <w:iCs/>
          <w:color w:val="000000"/>
          <w:lang w:val="en-GB"/>
        </w:rPr>
        <w:t>psychische</w:t>
      </w:r>
      <w:r w:rsidRPr="00A06A59">
        <w:rPr>
          <w:rFonts w:ascii="Garamond" w:hAnsi="Garamond" w:cs="Arial"/>
          <w:color w:val="000000"/>
          <w:lang w:val="en-GB"/>
        </w:rPr>
        <w:t xml:space="preserve"> Realität eine besondere Existenzform ist, welche mit der </w:t>
      </w:r>
      <w:r w:rsidRPr="00A06A59">
        <w:rPr>
          <w:rFonts w:ascii="Garamond" w:hAnsi="Garamond" w:cs="Arial"/>
          <w:i/>
          <w:iCs/>
          <w:color w:val="000000"/>
          <w:lang w:val="en-GB"/>
        </w:rPr>
        <w:t>materiellen</w:t>
      </w:r>
      <w:r w:rsidRPr="00A06A59">
        <w:rPr>
          <w:rFonts w:ascii="Garamond" w:hAnsi="Garamond" w:cs="Arial"/>
          <w:color w:val="000000"/>
          <w:lang w:val="en-GB"/>
        </w:rPr>
        <w:t xml:space="preserve"> Realität nicht verwechselt werden soll. Es erscheint dann ungerechtfertigt, wenn die Menschen sich sträuben, die Verantwortung für die Immoralität ihrer Träume zu übernehmen. Durch die Würdigung der Funktionsweise des seelischen Apparats und die Einsicht in die Beziehung zwischen Bewußtem und Unbewußtem wird das ethisch Anstößige unseres Traum- und Phantasielebens meist zum Verschwinden gebracht.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 xml:space="preserve">»Was der Traum uns an Beziehungen zur Gegenwart (Realität) kundgetan hat, wollen wir dann auch im Bewußtsein aufsuchen und dürfen uns nicht wundern, wenn wir das Ungeheuer, das wir unter dem Vergrößerungsglas der Analyse gesehen haben, dann als Infusionstierchen wiederfinden.« (H. </w:t>
      </w:r>
      <w:r w:rsidRPr="00A06A59">
        <w:rPr>
          <w:rFonts w:ascii="Garamond" w:hAnsi="Garamond" w:cs="Arial"/>
          <w:i/>
          <w:iCs/>
          <w:color w:val="000000"/>
          <w:lang w:val="en-GB"/>
        </w:rPr>
        <w:t>Sachs</w:t>
      </w:r>
      <w:r w:rsidRPr="00A06A59">
        <w:rPr>
          <w:rFonts w:ascii="Garamond" w:hAnsi="Garamond" w:cs="Arial"/>
          <w:color w:val="000000"/>
          <w:lang w:val="en-GB"/>
        </w:rPr>
        <w:t>.)</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Für das praktische Bedürfnis der Charakterbeurteilung des Menschen genügt zumeist die Tat und die bewußt sich äußernde Gesinnung. Die Tat vor allem verdient in die erste Reihe gestellt zu werden, denn viele zum Bewußtsein durchgedrungene Impulse werden noch durch reale Mächte des Seelenlebens vor ihrem Einmünden in die Tat aufgehoben; ja, sie begegnen oft darum keinem psychischen Hindernis auf ihrem Wege, weil das Unbewußte ihrer anderweitigen Verhinderung sicher ist. Es bleibt auf alle Fälle lehrreich, den viel durchwühlten Boden kennenzulernen, auf dem unsere Tugenden sich stolz erheben. Die nach allen Richtungen hin dynamisch bewegte Komplikation eines menschlichen Charakters fügt sich höchst selten der Erledigung durch eine einfache Alternative, wie unsere überjährte Morallehre es möchte.</w:t>
      </w:r>
    </w:p>
    <w:p w:rsidR="00A06A59" w:rsidRPr="00A06A5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lang w:val="en-GB"/>
        </w:rPr>
      </w:pPr>
      <w:r w:rsidRPr="00A06A59">
        <w:rPr>
          <w:rFonts w:ascii="Garamond" w:hAnsi="Garamond" w:cs="Arial"/>
          <w:color w:val="000000"/>
          <w:lang w:val="en-GB"/>
        </w:rPr>
        <w:t>Und der Wert des Traums für die Kenntnis der Zukunft? Daran ist natürlich nicht zu denken. Man möchte dafür einsetzen: für die Kenntnis der Vergangenheit. Denn aus der Vergangenheit stammt der Traum in jedem Sinne. Zwar entbehrt auch der alte Glaube, daß der Traum uns die Zukunft zeigt, nicht völlig des Gehalts an Wahrheit. Indem uns der Traum einen Wunsch als erfüllt vorstellt, führt er uns allerdings in die Zukunft; aber diese vom Träumer für gegenwärtig genommene Zukunft ist durch den unzerstörbaren Wunsch zum Ebenbild jener Vergangenheit gestaltet.</w:t>
      </w:r>
    </w:p>
    <w:p w:rsidR="00A06A59" w:rsidRPr="007E7228"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sz w:val="18"/>
          <w:szCs w:val="18"/>
          <w:lang w:val="en-GB"/>
        </w:rPr>
      </w:pPr>
    </w:p>
    <w:p w:rsidR="000D4CB9" w:rsidRPr="000D4CB9" w:rsidRDefault="000D4CB9">
      <w:pPr>
        <w:rPr>
          <w:rFonts w:ascii="Garamond" w:hAnsi="Garamond" w:cs="Arial"/>
          <w:color w:val="000000"/>
          <w:sz w:val="18"/>
          <w:szCs w:val="18"/>
          <w:lang w:val="en-GB"/>
        </w:rPr>
      </w:pPr>
      <w:r w:rsidRPr="000D4CB9">
        <w:rPr>
          <w:rFonts w:ascii="Garamond" w:hAnsi="Garamond" w:cs="Arial"/>
          <w:color w:val="000000"/>
          <w:sz w:val="18"/>
          <w:szCs w:val="18"/>
          <w:lang w:val="en-GB"/>
        </w:rPr>
        <w:br w:type="page"/>
      </w:r>
    </w:p>
    <w:p w:rsidR="000D4CB9" w:rsidRPr="000D4CB9" w:rsidRDefault="000D4CB9" w:rsidP="000D4CB9">
      <w:pPr>
        <w:shd w:val="clear" w:color="auto" w:fill="FFFFFF"/>
        <w:spacing w:line="124" w:lineRule="atLeast"/>
        <w:jc w:val="center"/>
        <w:rPr>
          <w:rFonts w:ascii="Arial" w:hAnsi="Arial" w:cs="Arial"/>
          <w:b/>
          <w:bCs/>
          <w:color w:val="000000"/>
          <w:sz w:val="11"/>
          <w:szCs w:val="11"/>
          <w:lang w:val="en-GB"/>
        </w:rPr>
      </w:pPr>
    </w:p>
    <w:p w:rsidR="000D4CB9" w:rsidRPr="00492F36" w:rsidRDefault="000D4CB9" w:rsidP="000D4CB9">
      <w:pPr>
        <w:shd w:val="clear" w:color="auto" w:fill="FFFFFF"/>
        <w:spacing w:line="124" w:lineRule="atLeast"/>
        <w:rPr>
          <w:rFonts w:ascii="Garamond" w:hAnsi="Garamond" w:cs="Arial"/>
          <w:color w:val="000000"/>
          <w:sz w:val="28"/>
          <w:szCs w:val="28"/>
        </w:rPr>
      </w:pPr>
      <w:r w:rsidRPr="00492F36">
        <w:rPr>
          <w:rFonts w:ascii="Garamond" w:hAnsi="Garamond" w:cs="Arial"/>
          <w:bCs/>
          <w:color w:val="000000"/>
          <w:sz w:val="28"/>
          <w:szCs w:val="28"/>
        </w:rPr>
        <w:t>Zu</w:t>
      </w:r>
      <w:bookmarkStart w:id="86" w:name="F62"/>
      <w:bookmarkEnd w:id="86"/>
      <w:r w:rsidRPr="00492F36">
        <w:rPr>
          <w:rFonts w:ascii="Garamond" w:hAnsi="Garamond" w:cs="Arial"/>
          <w:bCs/>
          <w:color w:val="000000"/>
          <w:sz w:val="28"/>
          <w:szCs w:val="28"/>
        </w:rPr>
        <w:t>r Psychopathologie des Alltagslebens</w:t>
      </w:r>
      <w:r>
        <w:rPr>
          <w:rFonts w:ascii="Garamond" w:hAnsi="Garamond" w:cs="Arial"/>
          <w:bCs/>
          <w:color w:val="000000"/>
          <w:sz w:val="28"/>
          <w:szCs w:val="28"/>
        </w:rPr>
        <w:t xml:space="preserve">                                                </w:t>
      </w:r>
      <w:hyperlink w:anchor="Werke" w:history="1">
        <w:r w:rsidRPr="000D4CB9">
          <w:rPr>
            <w:rStyle w:val="Lienhypertexte"/>
            <w:rFonts w:ascii="Garamond" w:hAnsi="Garamond"/>
          </w:rPr>
          <w:t>Werke</w:t>
        </w:r>
      </w:hyperlink>
      <w:r w:rsidRPr="00492F36">
        <w:rPr>
          <w:rFonts w:ascii="Garamond" w:hAnsi="Garamond" w:cs="Arial"/>
          <w:color w:val="000000"/>
          <w:sz w:val="28"/>
          <w:szCs w:val="28"/>
        </w:rPr>
        <w:br/>
      </w:r>
    </w:p>
    <w:p w:rsidR="000D4CB9" w:rsidRPr="000D4CB9" w:rsidRDefault="000D4CB9" w:rsidP="000D4CB9">
      <w:pPr>
        <w:shd w:val="clear" w:color="auto" w:fill="FFFFFF"/>
        <w:spacing w:after="177" w:line="124" w:lineRule="atLeast"/>
        <w:jc w:val="center"/>
        <w:outlineLvl w:val="4"/>
        <w:rPr>
          <w:rFonts w:ascii="Garamond" w:hAnsi="Garamond" w:cs="Arial"/>
          <w:bCs/>
          <w:color w:val="000000" w:themeColor="text1"/>
          <w:sz w:val="16"/>
          <w:szCs w:val="16"/>
        </w:rPr>
      </w:pPr>
      <w:r w:rsidRPr="000D4CB9">
        <w:rPr>
          <w:rFonts w:ascii="Garamond" w:hAnsi="Garamond" w:cs="Arial"/>
          <w:bCs/>
          <w:color w:val="000000" w:themeColor="text1"/>
          <w:sz w:val="16"/>
          <w:szCs w:val="16"/>
        </w:rPr>
        <w:t>(Über Vergessen, Versprechen, Vergreifen, Aberglaube und Irrtum)</w:t>
      </w:r>
    </w:p>
    <w:p w:rsidR="000D4CB9" w:rsidRPr="00492F36" w:rsidRDefault="000D4CB9" w:rsidP="000D4CB9">
      <w:pPr>
        <w:shd w:val="clear" w:color="auto" w:fill="FFFFFF"/>
        <w:spacing w:before="44" w:after="44" w:line="124" w:lineRule="atLeast"/>
        <w:jc w:val="center"/>
        <w:outlineLvl w:val="4"/>
        <w:rPr>
          <w:rFonts w:ascii="Garamond" w:hAnsi="Garamond" w:cs="Arial"/>
          <w:bCs/>
          <w:color w:val="000000" w:themeColor="text1"/>
          <w:sz w:val="20"/>
          <w:szCs w:val="20"/>
          <w:lang w:val="en-GB"/>
        </w:rPr>
      </w:pPr>
      <w:r w:rsidRPr="00492F36">
        <w:rPr>
          <w:rFonts w:ascii="Garamond" w:hAnsi="Garamond" w:cs="Arial"/>
          <w:bCs/>
          <w:color w:val="000000" w:themeColor="text1"/>
          <w:sz w:val="20"/>
          <w:szCs w:val="20"/>
          <w:lang w:val="en-GB"/>
        </w:rPr>
        <w:t>1904</w:t>
      </w:r>
    </w:p>
    <w:p w:rsidR="000D4CB9" w:rsidRPr="00492F36" w:rsidRDefault="000D4CB9" w:rsidP="000D4CB9">
      <w:pPr>
        <w:shd w:val="clear" w:color="auto" w:fill="FFFFFF"/>
        <w:spacing w:line="124" w:lineRule="atLeast"/>
        <w:rPr>
          <w:rFonts w:ascii="Garamond" w:hAnsi="Garamond" w:cs="Arial"/>
          <w:bCs/>
          <w:color w:val="0000CC"/>
          <w:sz w:val="20"/>
          <w:szCs w:val="20"/>
        </w:rPr>
      </w:pPr>
      <w:r>
        <w:rPr>
          <w:rFonts w:ascii="Arial" w:hAnsi="Arial" w:cs="Arial"/>
          <w:color w:val="000000"/>
          <w:sz w:val="11"/>
          <w:szCs w:val="11"/>
        </w:rPr>
        <w:br/>
      </w:r>
      <w:r w:rsidR="00B437A1">
        <w:rPr>
          <w:rFonts w:ascii="Arial" w:hAnsi="Arial" w:cs="Arial"/>
          <w:color w:val="000000"/>
          <w:sz w:val="11"/>
          <w:szCs w:val="11"/>
        </w:rPr>
        <w:fldChar w:fldCharType="begin"/>
      </w:r>
      <w:r>
        <w:rPr>
          <w:rFonts w:ascii="Arial" w:hAnsi="Arial" w:cs="Arial"/>
          <w:color w:val="000000"/>
          <w:sz w:val="11"/>
          <w:szCs w:val="11"/>
        </w:rPr>
        <w:instrText xml:space="preserve"> HYPERLINK "http://gutenberg.spiegel.de/?id=5&amp;xid=5470&amp;kapitel=1" \l "#" </w:instrText>
      </w:r>
      <w:r w:rsidR="00B437A1">
        <w:rPr>
          <w:rFonts w:ascii="Arial" w:hAnsi="Arial" w:cs="Arial"/>
          <w:color w:val="000000"/>
          <w:sz w:val="11"/>
          <w:szCs w:val="11"/>
        </w:rPr>
        <w:fldChar w:fldCharType="separate"/>
      </w:r>
    </w:p>
    <w:p w:rsidR="000D4CB9" w:rsidRPr="00492F36" w:rsidRDefault="000D4CB9" w:rsidP="000D4CB9">
      <w:pPr>
        <w:shd w:val="clear" w:color="auto" w:fill="FFFFFF"/>
        <w:spacing w:before="44" w:after="44" w:line="124" w:lineRule="atLeast"/>
        <w:ind w:firstLine="708"/>
        <w:outlineLvl w:val="4"/>
        <w:rPr>
          <w:rFonts w:ascii="Garamond" w:hAnsi="Garamond" w:cs="Arial"/>
          <w:bCs/>
          <w:color w:val="0000CC"/>
          <w:sz w:val="20"/>
          <w:szCs w:val="20"/>
        </w:rPr>
      </w:pPr>
      <w:r w:rsidRPr="00492F36">
        <w:rPr>
          <w:rFonts w:ascii="Garamond" w:hAnsi="Garamond" w:cs="Arial"/>
          <w:bCs/>
          <w:color w:val="0000CC"/>
          <w:sz w:val="20"/>
          <w:szCs w:val="20"/>
        </w:rPr>
        <w:t>In</w:t>
      </w:r>
      <w:bookmarkStart w:id="87" w:name="Alltagslebens_INHALT"/>
      <w:bookmarkEnd w:id="87"/>
      <w:r w:rsidRPr="00492F36">
        <w:rPr>
          <w:rFonts w:ascii="Garamond" w:hAnsi="Garamond" w:cs="Arial"/>
          <w:bCs/>
          <w:color w:val="0000CC"/>
          <w:sz w:val="20"/>
          <w:szCs w:val="20"/>
        </w:rPr>
        <w:t>halt</w:t>
      </w:r>
    </w:p>
    <w:p w:rsidR="000D4CB9" w:rsidRDefault="000D4CB9" w:rsidP="000D4CB9">
      <w:pPr>
        <w:shd w:val="clear" w:color="auto" w:fill="FFFFFF"/>
        <w:spacing w:before="44" w:after="44" w:line="124" w:lineRule="atLeast"/>
        <w:ind w:hanging="17669"/>
        <w:outlineLvl w:val="4"/>
        <w:rPr>
          <w:rFonts w:ascii="Arial" w:hAnsi="Arial" w:cs="Arial"/>
          <w:b/>
          <w:bCs/>
          <w:vanish/>
          <w:color w:val="FFFFFF"/>
          <w:sz w:val="12"/>
          <w:szCs w:val="12"/>
        </w:rPr>
      </w:pPr>
      <w:r>
        <w:rPr>
          <w:rFonts w:ascii="Arial" w:hAnsi="Arial" w:cs="Arial"/>
          <w:b/>
          <w:bCs/>
          <w:vanish/>
          <w:color w:val="FFFFFF"/>
          <w:sz w:val="12"/>
          <w:szCs w:val="12"/>
        </w:rPr>
        <w:t> </w:t>
      </w:r>
    </w:p>
    <w:p w:rsidR="000D4CB9" w:rsidRDefault="00B437A1" w:rsidP="000D4CB9">
      <w:pPr>
        <w:shd w:val="clear" w:color="auto" w:fill="FFFFFF"/>
        <w:spacing w:line="124" w:lineRule="atLeast"/>
        <w:rPr>
          <w:rFonts w:ascii="Arial" w:hAnsi="Arial" w:cs="Arial"/>
          <w:color w:val="000000"/>
          <w:sz w:val="11"/>
          <w:szCs w:val="11"/>
        </w:rPr>
      </w:pPr>
      <w:r>
        <w:rPr>
          <w:rFonts w:ascii="Arial" w:hAnsi="Arial" w:cs="Arial"/>
          <w:color w:val="000000"/>
          <w:sz w:val="11"/>
          <w:szCs w:val="11"/>
        </w:rPr>
        <w:fldChar w:fldCharType="end"/>
      </w:r>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rPr>
      </w:pPr>
      <w:hyperlink w:anchor="Alltagslebens_1" w:history="1">
        <w:r w:rsidR="000D4CB9" w:rsidRPr="007D5EBB">
          <w:rPr>
            <w:rStyle w:val="Lienhypertexte"/>
            <w:rFonts w:ascii="Garamond" w:hAnsi="Garamond" w:cs="Arial"/>
            <w:bCs/>
          </w:rPr>
          <w:t>Vergessen von Eigennamen.</w:t>
        </w:r>
      </w:hyperlink>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rPr>
      </w:pPr>
      <w:hyperlink w:anchor="Alltagslebens_2" w:history="1">
        <w:r w:rsidR="000D4CB9" w:rsidRPr="007D5EBB">
          <w:rPr>
            <w:rStyle w:val="Lienhypertexte"/>
            <w:rFonts w:ascii="Garamond" w:hAnsi="Garamond" w:cs="Arial"/>
            <w:bCs/>
          </w:rPr>
          <w:t>Vergessen von fremdsprachigen Worten.</w:t>
        </w:r>
      </w:hyperlink>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rPr>
      </w:pPr>
      <w:hyperlink w:anchor="Alltagslebens_3" w:history="1">
        <w:r w:rsidR="000D4CB9" w:rsidRPr="007D5EBB">
          <w:rPr>
            <w:rStyle w:val="Lienhypertexte"/>
            <w:rFonts w:ascii="Garamond" w:hAnsi="Garamond" w:cs="Arial"/>
            <w:bCs/>
          </w:rPr>
          <w:t>Über die Deckerinnerungen</w:t>
        </w:r>
      </w:hyperlink>
      <w:r w:rsidR="000D4CB9" w:rsidRPr="007D5EBB">
        <w:rPr>
          <w:rFonts w:ascii="Garamond" w:hAnsi="Garamond" w:cs="Arial"/>
          <w:bCs/>
        </w:rPr>
        <w:t>.</w:t>
      </w:r>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rPr>
      </w:pPr>
      <w:hyperlink w:anchor="Alltagslebens_4" w:history="1">
        <w:r w:rsidR="000D4CB9" w:rsidRPr="007D5EBB">
          <w:rPr>
            <w:rStyle w:val="Lienhypertexte"/>
            <w:rFonts w:ascii="Garamond" w:hAnsi="Garamond" w:cs="Arial"/>
            <w:bCs/>
          </w:rPr>
          <w:t>Das Versprechen.</w:t>
        </w:r>
      </w:hyperlink>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rPr>
      </w:pPr>
      <w:hyperlink w:anchor="Alltagslebens_5" w:history="1">
        <w:r w:rsidR="000D4CB9" w:rsidRPr="007D5EBB">
          <w:rPr>
            <w:rStyle w:val="Lienhypertexte"/>
            <w:rFonts w:ascii="Garamond" w:hAnsi="Garamond" w:cs="Arial"/>
            <w:bCs/>
          </w:rPr>
          <w:t>Verlesen und Verschreiben.</w:t>
        </w:r>
      </w:hyperlink>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rPr>
      </w:pPr>
      <w:hyperlink w:anchor="Alltagslebens_6" w:history="1">
        <w:r w:rsidR="000D4CB9" w:rsidRPr="007D5EBB">
          <w:rPr>
            <w:rStyle w:val="Lienhypertexte"/>
            <w:rFonts w:ascii="Garamond" w:hAnsi="Garamond" w:cs="Arial"/>
            <w:bCs/>
          </w:rPr>
          <w:t>Vergessen von Eindrücken und Vorsätzen.</w:t>
        </w:r>
      </w:hyperlink>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rPr>
      </w:pPr>
      <w:hyperlink w:anchor="Alltagslebens_7" w:history="1">
        <w:r w:rsidR="000D4CB9" w:rsidRPr="007D5EBB">
          <w:rPr>
            <w:rStyle w:val="Lienhypertexte"/>
            <w:rFonts w:ascii="Garamond" w:hAnsi="Garamond" w:cs="Arial"/>
            <w:bCs/>
          </w:rPr>
          <w:t>Das Vergreifen</w:t>
        </w:r>
      </w:hyperlink>
      <w:r w:rsidR="000D4CB9" w:rsidRPr="007D5EBB">
        <w:rPr>
          <w:rFonts w:ascii="Garamond" w:hAnsi="Garamond" w:cs="Arial"/>
          <w:bCs/>
        </w:rPr>
        <w:t>.</w:t>
      </w:r>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rPr>
      </w:pPr>
      <w:hyperlink w:anchor="Alltagslebens_8" w:history="1">
        <w:r w:rsidR="000D4CB9" w:rsidRPr="007D5EBB">
          <w:rPr>
            <w:rStyle w:val="Lienhypertexte"/>
            <w:rFonts w:ascii="Garamond" w:hAnsi="Garamond" w:cs="Arial"/>
            <w:bCs/>
          </w:rPr>
          <w:t>Symptom und Zufallshandlungen.</w:t>
        </w:r>
      </w:hyperlink>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rPr>
      </w:pPr>
      <w:hyperlink w:anchor="Alltagslebens_9" w:history="1">
        <w:r w:rsidR="000D4CB9" w:rsidRPr="007D5EBB">
          <w:rPr>
            <w:rStyle w:val="Lienhypertexte"/>
            <w:rFonts w:ascii="Garamond" w:hAnsi="Garamond" w:cs="Arial"/>
            <w:bCs/>
          </w:rPr>
          <w:t>Irrtümer.</w:t>
        </w:r>
      </w:hyperlink>
    </w:p>
    <w:p w:rsidR="000D4CB9" w:rsidRPr="00492F36" w:rsidRDefault="00B437A1" w:rsidP="00CE4D4E">
      <w:pPr>
        <w:numPr>
          <w:ilvl w:val="0"/>
          <w:numId w:val="1"/>
        </w:numPr>
        <w:shd w:val="clear" w:color="auto" w:fill="FFFFFF"/>
        <w:spacing w:before="100" w:beforeAutospacing="1" w:after="100" w:afterAutospacing="1" w:line="124" w:lineRule="atLeast"/>
        <w:rPr>
          <w:rFonts w:ascii="Garamond" w:hAnsi="Garamond" w:cs="Arial"/>
          <w:color w:val="000000"/>
          <w:lang w:val="en-GB"/>
        </w:rPr>
      </w:pPr>
      <w:hyperlink w:anchor="Alltagslebens_10" w:history="1">
        <w:r w:rsidR="000D4CB9" w:rsidRPr="007D5EBB">
          <w:rPr>
            <w:rStyle w:val="Lienhypertexte"/>
            <w:rFonts w:ascii="Garamond" w:hAnsi="Garamond" w:cs="Arial"/>
            <w:bCs/>
            <w:lang w:val="en-GB"/>
          </w:rPr>
          <w:t>Determinismus. – Zufalls- und Aberglauben. – Gesichtspunkte.</w:t>
        </w:r>
      </w:hyperlink>
    </w:p>
    <w:p w:rsidR="000D4CB9" w:rsidRPr="00492F36" w:rsidRDefault="000D4CB9" w:rsidP="000D4CB9">
      <w:pPr>
        <w:shd w:val="clear" w:color="auto" w:fill="FFFFFF"/>
        <w:spacing w:before="100" w:beforeAutospacing="1" w:after="100" w:afterAutospacing="1" w:line="124" w:lineRule="atLeast"/>
        <w:rPr>
          <w:rFonts w:ascii="Arial" w:hAnsi="Arial" w:cs="Arial"/>
          <w:color w:val="000000"/>
          <w:sz w:val="11"/>
          <w:szCs w:val="11"/>
          <w:lang w:val="en-US"/>
        </w:rPr>
      </w:pPr>
    </w:p>
    <w:p w:rsidR="000D4CB9" w:rsidRPr="00492F36" w:rsidRDefault="000D4CB9" w:rsidP="000D4CB9">
      <w:pPr>
        <w:shd w:val="clear" w:color="auto" w:fill="FFFFFF"/>
        <w:spacing w:before="18" w:after="177" w:line="306" w:lineRule="atLeast"/>
        <w:outlineLvl w:val="2"/>
        <w:rPr>
          <w:rFonts w:ascii="Arial" w:hAnsi="Arial" w:cs="Arial"/>
          <w:b/>
          <w:bCs/>
          <w:color w:val="F38030"/>
          <w:sz w:val="14"/>
          <w:szCs w:val="14"/>
          <w:lang w:val="en-US"/>
        </w:rPr>
      </w:pPr>
    </w:p>
    <w:p w:rsidR="000D4CB9" w:rsidRPr="00492F36" w:rsidRDefault="000D4CB9" w:rsidP="000D4CB9">
      <w:pPr>
        <w:shd w:val="clear" w:color="auto" w:fill="FFFFFF"/>
        <w:spacing w:before="120" w:after="120" w:line="124" w:lineRule="atLeast"/>
        <w:ind w:right="1200"/>
        <w:jc w:val="righ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Nun ist die Luft von solchem Spuk so voll, </w:t>
      </w:r>
      <w:r w:rsidRPr="00492F36">
        <w:rPr>
          <w:rFonts w:ascii="Garamond" w:hAnsi="Garamond" w:cs="Arial"/>
          <w:color w:val="000000" w:themeColor="text1"/>
          <w:sz w:val="20"/>
          <w:szCs w:val="20"/>
          <w:lang w:val="en-GB"/>
        </w:rPr>
        <w:br/>
        <w:t>Daß niemand weiß, wie er ihn meiden soll.</w:t>
      </w:r>
    </w:p>
    <w:p w:rsidR="000D4CB9" w:rsidRPr="00492F36" w:rsidRDefault="000D4CB9" w:rsidP="000D4CB9">
      <w:pPr>
        <w:shd w:val="clear" w:color="auto" w:fill="FFFFFF"/>
        <w:spacing w:before="120" w:after="120" w:line="124" w:lineRule="atLeast"/>
        <w:ind w:right="1200"/>
        <w:jc w:val="right"/>
        <w:rPr>
          <w:rFonts w:ascii="Garamond" w:hAnsi="Garamond" w:cs="Arial"/>
          <w:color w:val="000000" w:themeColor="text1"/>
          <w:sz w:val="20"/>
          <w:szCs w:val="20"/>
          <w:lang w:val="en-GB"/>
        </w:rPr>
      </w:pPr>
      <w:r w:rsidRPr="00492F36">
        <w:rPr>
          <w:rFonts w:ascii="Garamond" w:hAnsi="Garamond" w:cs="Arial"/>
          <w:i/>
          <w:iCs/>
          <w:color w:val="000000" w:themeColor="text1"/>
          <w:sz w:val="20"/>
          <w:szCs w:val="20"/>
          <w:lang w:val="en-GB"/>
        </w:rPr>
        <w:t>Faust, II. T., V. Akt.</w:t>
      </w:r>
    </w:p>
    <w:p w:rsidR="000D4CB9" w:rsidRPr="00492F36" w:rsidRDefault="000D4CB9" w:rsidP="000D4CB9">
      <w:pPr>
        <w:shd w:val="clear" w:color="auto" w:fill="FFFFFF"/>
        <w:spacing w:before="44" w:after="44" w:line="124" w:lineRule="atLeast"/>
        <w:outlineLvl w:val="4"/>
        <w:rPr>
          <w:rFonts w:ascii="Garamond" w:hAnsi="Garamond" w:cs="Arial"/>
          <w:b/>
          <w:bCs/>
          <w:color w:val="000000" w:themeColor="text1"/>
          <w:sz w:val="20"/>
          <w:szCs w:val="20"/>
          <w:lang w:val="en-GB"/>
        </w:rPr>
      </w:pPr>
      <w:r w:rsidRPr="00492F36">
        <w:rPr>
          <w:rFonts w:ascii="Garamond" w:hAnsi="Garamond" w:cs="Arial"/>
          <w:b/>
          <w:bCs/>
          <w:color w:val="000000" w:themeColor="text1"/>
          <w:sz w:val="20"/>
          <w:szCs w:val="20"/>
          <w:lang w:val="en-GB"/>
        </w:rPr>
        <w:t>I.</w:t>
      </w:r>
    </w:p>
    <w:p w:rsidR="000D4CB9" w:rsidRPr="00492F36" w:rsidRDefault="00B437A1" w:rsidP="000D4CB9">
      <w:pPr>
        <w:shd w:val="clear" w:color="auto" w:fill="FFFFFF"/>
        <w:spacing w:before="221" w:after="44" w:line="306" w:lineRule="atLeast"/>
        <w:outlineLvl w:val="3"/>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Ve</w:t>
        </w:r>
        <w:bookmarkStart w:id="88" w:name="Alltagslebens_1"/>
        <w:bookmarkEnd w:id="88"/>
        <w:r w:rsidR="000D4CB9" w:rsidRPr="007D5EBB">
          <w:rPr>
            <w:rStyle w:val="Lienhypertexte"/>
            <w:rFonts w:ascii="Garamond" w:hAnsi="Garamond" w:cs="Arial"/>
            <w:b/>
            <w:bCs/>
            <w:sz w:val="20"/>
            <w:szCs w:val="20"/>
            <w:lang w:val="en-GB"/>
          </w:rPr>
          <w:t>rgessen von Eigennamen.</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Im Jahrgange 1898 der Monatsschrift für Psychiatrie und Neurologie habe ich unter dem Titel </w:t>
      </w:r>
      <w:r w:rsidRPr="00492F36">
        <w:rPr>
          <w:rFonts w:ascii="Garamond" w:hAnsi="Garamond" w:cs="Arial"/>
          <w:i/>
          <w:iCs/>
          <w:color w:val="000000" w:themeColor="text1"/>
          <w:sz w:val="20"/>
          <w:szCs w:val="20"/>
          <w:lang w:val="en-GB"/>
        </w:rPr>
        <w:t>»Zum psychischen Mechanismus der Vergeßlichkeit«</w:t>
      </w:r>
      <w:r w:rsidRPr="00492F36">
        <w:rPr>
          <w:rFonts w:ascii="Garamond" w:hAnsi="Garamond" w:cs="Arial"/>
          <w:color w:val="000000" w:themeColor="text1"/>
          <w:sz w:val="20"/>
          <w:szCs w:val="20"/>
          <w:lang w:val="en-GB"/>
        </w:rPr>
        <w:t xml:space="preserve"> einen kleinen Aufsatz veröffentlicht, dessen Inhalt ich hier wiederholen und zum Ausgang für weitere Erörterungen nehmen werde. Ich habe dort den häufigen Fall des zeitweiligen Vergessens von Eigennamen an einem prägnanten Beispiel aus meiner Selbstbeobachtung der psychologischen Analyse unterzogen und bin zum Ergebnis gelangt, daß dieser gewöhnliche und praktisch nicht sehr bedeutsame Einzelvorfall von Versagen einer psychischen Funktion – des Erinnerns – eine Aufklärung zuläßt, welche weit über die gebräuchliche Verwertung des Phänomens hinausführt.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Wenn ich nicht sehr irre, würde ein Psycholog, von dem man die Erklärung forderte, wie es zugehe, daß einem so oft ein Name nicht einfällt, den man doch zu kennen glaubt, sich begnügen, zu antworten, daß Eigennamen dem Vergessen leichter unterliegen als andersartiger Gedächtnisinhalt. Er würde die plausibeln Gründe für solche Bevorzugung der Eigennamen anführen, eine anderweitige Bedingtheit des Vorganges aber nicht vermuten.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Für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wurde zum Anlaß einer eingehenderen Beschäftigung mit dem Phänomen des zeitweiligen Namenvergessens die Beobachtung gewisser Einzelheiten, die sich zwar nicht in allen Fällen, aber in einzelnen deutlich genug erkennen lassen. In solchen Fällen wird nämlich nicht nur </w:t>
      </w:r>
      <w:r w:rsidRPr="00492F36">
        <w:rPr>
          <w:rFonts w:ascii="Garamond" w:hAnsi="Garamond" w:cs="Arial"/>
          <w:i/>
          <w:iCs/>
          <w:color w:val="000000" w:themeColor="text1"/>
          <w:sz w:val="20"/>
          <w:szCs w:val="20"/>
          <w:lang w:val="en-GB"/>
        </w:rPr>
        <w:t>vergessen</w:t>
      </w:r>
      <w:r w:rsidRPr="00492F36">
        <w:rPr>
          <w:rFonts w:ascii="Garamond" w:hAnsi="Garamond" w:cs="Arial"/>
          <w:color w:val="000000" w:themeColor="text1"/>
          <w:sz w:val="20"/>
          <w:szCs w:val="20"/>
          <w:lang w:val="en-GB"/>
        </w:rPr>
        <w:t xml:space="preserve">, sondern auch </w:t>
      </w:r>
      <w:r w:rsidRPr="00492F36">
        <w:rPr>
          <w:rFonts w:ascii="Garamond" w:hAnsi="Garamond" w:cs="Arial"/>
          <w:i/>
          <w:iCs/>
          <w:color w:val="000000" w:themeColor="text1"/>
          <w:sz w:val="20"/>
          <w:szCs w:val="20"/>
          <w:lang w:val="en-GB"/>
        </w:rPr>
        <w:t>falsch erinnert</w:t>
      </w:r>
      <w:r w:rsidRPr="00492F36">
        <w:rPr>
          <w:rFonts w:ascii="Garamond" w:hAnsi="Garamond" w:cs="Arial"/>
          <w:color w:val="000000" w:themeColor="text1"/>
          <w:sz w:val="20"/>
          <w:szCs w:val="20"/>
          <w:lang w:val="en-GB"/>
        </w:rPr>
        <w:t xml:space="preserve">. Dem sich um den entfallenen Namen Bemühenden kommen andere – </w:t>
      </w:r>
      <w:r w:rsidRPr="00492F36">
        <w:rPr>
          <w:rFonts w:ascii="Garamond" w:hAnsi="Garamond" w:cs="Arial"/>
          <w:i/>
          <w:iCs/>
          <w:color w:val="000000" w:themeColor="text1"/>
          <w:sz w:val="20"/>
          <w:szCs w:val="20"/>
          <w:lang w:val="en-GB"/>
        </w:rPr>
        <w:t>Ersatznamen</w:t>
      </w:r>
      <w:r w:rsidRPr="00492F36">
        <w:rPr>
          <w:rFonts w:ascii="Garamond" w:hAnsi="Garamond" w:cs="Arial"/>
          <w:color w:val="000000" w:themeColor="text1"/>
          <w:sz w:val="20"/>
          <w:szCs w:val="20"/>
          <w:lang w:val="en-GB"/>
        </w:rPr>
        <w:t xml:space="preserve"> – zum Bewußtsein, die zwar sofort als unrichtig erkannt werden, sich aber doch mit grosser Zähigkeit immer wieder aufdrängen. Der Vorgang, der zur Reproduktion des gesuchten Namens führen soll, hat sich gleichsam </w:t>
      </w:r>
      <w:r w:rsidRPr="00492F36">
        <w:rPr>
          <w:rFonts w:ascii="Garamond" w:hAnsi="Garamond" w:cs="Arial"/>
          <w:i/>
          <w:iCs/>
          <w:color w:val="000000" w:themeColor="text1"/>
          <w:sz w:val="20"/>
          <w:szCs w:val="20"/>
          <w:lang w:val="en-GB"/>
        </w:rPr>
        <w:t>verschoben</w:t>
      </w:r>
      <w:r w:rsidRPr="00492F36">
        <w:rPr>
          <w:rFonts w:ascii="Garamond" w:hAnsi="Garamond" w:cs="Arial"/>
          <w:color w:val="000000" w:themeColor="text1"/>
          <w:sz w:val="20"/>
          <w:szCs w:val="20"/>
          <w:lang w:val="en-GB"/>
        </w:rPr>
        <w:t xml:space="preserve"> und so zu einem unrichtigen Ersatz geführt. Meine Voraussetzung ist nun, daß diese Verschiebung nicht psychischer Willkür überlassen ist, sondern gesetzmäßige und berechenbare Bahnen einhält. Mit anderen Worten, ich vermute, daß der oder die Ersatznamen in einem aufspürbaren Zusammenhang mit dem gesuchten Namen stehen, und hoffe, wenn es mir gelingt, diesen Zusammenhang nachzuweisen, dann auch Licht über den Hergang des Namenvergessens zu verbreiten.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In dem 1898 von mir zur Analyse gewählten Beispiele war es der Name des Meisters, welcher im Dom von </w:t>
      </w:r>
      <w:r w:rsidRPr="00492F36">
        <w:rPr>
          <w:rFonts w:ascii="Garamond" w:hAnsi="Garamond" w:cs="Arial"/>
          <w:i/>
          <w:iCs/>
          <w:color w:val="000000" w:themeColor="text1"/>
          <w:sz w:val="20"/>
          <w:szCs w:val="20"/>
          <w:lang w:val="en-GB"/>
        </w:rPr>
        <w:t>Orvieto</w:t>
      </w:r>
      <w:r w:rsidRPr="00492F36">
        <w:rPr>
          <w:rFonts w:ascii="Garamond" w:hAnsi="Garamond" w:cs="Arial"/>
          <w:color w:val="000000" w:themeColor="text1"/>
          <w:sz w:val="20"/>
          <w:szCs w:val="20"/>
          <w:lang w:val="en-GB"/>
        </w:rPr>
        <w:t xml:space="preserve"> die großartigen Fresken von den »letzten Dingen« geschaffen, den zu erinnern ich mich vergebens bemühte. Anstatt </w:t>
      </w:r>
      <w:r w:rsidRPr="00492F36">
        <w:rPr>
          <w:rFonts w:ascii="Garamond" w:hAnsi="Garamond" w:cs="Arial"/>
          <w:color w:val="000000" w:themeColor="text1"/>
          <w:sz w:val="20"/>
          <w:szCs w:val="20"/>
          <w:lang w:val="en-GB"/>
        </w:rPr>
        <w:lastRenderedPageBreak/>
        <w:t xml:space="preserve">des gesuchten Namens –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 drängten sich mir zwei andere Namen von Malern auf – </w:t>
      </w:r>
      <w:r w:rsidRPr="00492F36">
        <w:rPr>
          <w:rFonts w:ascii="Garamond" w:hAnsi="Garamond" w:cs="Arial"/>
          <w:i/>
          <w:iCs/>
          <w:color w:val="000000" w:themeColor="text1"/>
          <w:sz w:val="20"/>
          <w:szCs w:val="20"/>
          <w:lang w:val="en-GB"/>
        </w:rPr>
        <w:t>Botticelli</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Boltraffio</w:t>
      </w:r>
      <w:r w:rsidRPr="00492F36">
        <w:rPr>
          <w:rFonts w:ascii="Garamond" w:hAnsi="Garamond" w:cs="Arial"/>
          <w:color w:val="000000" w:themeColor="text1"/>
          <w:sz w:val="20"/>
          <w:szCs w:val="20"/>
          <w:lang w:val="en-GB"/>
        </w:rPr>
        <w:t xml:space="preserve">, die mein Urteil sofort und entschieden als unrichtig abwies. Als mir der richtige Name von fremder Seite mitgeteilt wurde, erkannte ich ihn sogleich und ohne Schwanken. Die Untersuchung, durch welche Einflüsse und auf welchen Assoziationswegen sich die Reproduktion in solcher Weise – von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auf </w:t>
      </w:r>
      <w:r w:rsidRPr="00492F36">
        <w:rPr>
          <w:rFonts w:ascii="Garamond" w:hAnsi="Garamond" w:cs="Arial"/>
          <w:i/>
          <w:iCs/>
          <w:color w:val="000000" w:themeColor="text1"/>
          <w:sz w:val="20"/>
          <w:szCs w:val="20"/>
          <w:lang w:val="en-GB"/>
        </w:rPr>
        <w:t>Botticelli</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Boltraffio</w:t>
      </w:r>
      <w:r w:rsidRPr="00492F36">
        <w:rPr>
          <w:rFonts w:ascii="Garamond" w:hAnsi="Garamond" w:cs="Arial"/>
          <w:color w:val="000000" w:themeColor="text1"/>
          <w:sz w:val="20"/>
          <w:szCs w:val="20"/>
          <w:lang w:val="en-GB"/>
        </w:rPr>
        <w:t xml:space="preserve"> – verschoben hatte, führte zu folgenden Ergebnissen: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 Der Grund für das Entfallen des Namens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ist weder in einer Besonderheit dieses Namens selbst noch in einem psychologischen Charakter des Zusammenhanges zu suchen, in welchen derselbe eingefügt war. Der vergessene Name war mir ebenso vertraut wie der eine der Ersatznamen – Botticelli – und ungleich vertrauter als der andere der Ersatznamen – Boltraffio –, von dessen Träger ich kaum etwas anderes anzugeben wüßte als seine Zugehörigkeit zur mailändischen Schule. Der Zusammenhang aber, in dem sich das Namenvergessen ereignete, erscheint mir harmlos und führt zu keiner weiteren Aufklärung: Ich machte mit einem Fremden eine Wagenfahrt von Ragusa in Dalmatien nach einer Station der Herzegowina; wir kamen auf das Reisen in Italien zu sprechen, und ich fragte meinen Reisegefährten, ob er schon in Orvieto gewesen und dort die berühmten Fresken des *** besichtigt habe.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b) Das Namenvergessen erklärt sich erst, wenn ich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an das in jener Unterhaltung unmittelbar vorhergehende Thema erinnere, und gibt sich als eine </w:t>
      </w:r>
      <w:r w:rsidRPr="00492F36">
        <w:rPr>
          <w:rFonts w:ascii="Garamond" w:hAnsi="Garamond" w:cs="Arial"/>
          <w:i/>
          <w:iCs/>
          <w:color w:val="000000" w:themeColor="text1"/>
          <w:sz w:val="20"/>
          <w:szCs w:val="20"/>
          <w:lang w:val="en-GB"/>
        </w:rPr>
        <w:t>Störung des neu auftauchenden Themas durch das vorhergehende</w:t>
      </w:r>
      <w:r w:rsidRPr="00492F36">
        <w:rPr>
          <w:rFonts w:ascii="Garamond" w:hAnsi="Garamond" w:cs="Arial"/>
          <w:color w:val="000000" w:themeColor="text1"/>
          <w:sz w:val="20"/>
          <w:szCs w:val="20"/>
          <w:lang w:val="en-GB"/>
        </w:rPr>
        <w:t xml:space="preserve"> zu erkennen. Kurz, ehe ich an meinen Reisegefährten die Frage stellte, ob er schon in Orvieto gewesen, hatten wir uns über die Sitten der in </w:t>
      </w:r>
      <w:r w:rsidRPr="00492F36">
        <w:rPr>
          <w:rFonts w:ascii="Garamond" w:hAnsi="Garamond" w:cs="Arial"/>
          <w:i/>
          <w:iCs/>
          <w:color w:val="000000" w:themeColor="text1"/>
          <w:sz w:val="20"/>
          <w:szCs w:val="20"/>
          <w:lang w:val="en-GB"/>
        </w:rPr>
        <w:t>Bosnien</w:t>
      </w:r>
      <w:r w:rsidRPr="00492F36">
        <w:rPr>
          <w:rFonts w:ascii="Garamond" w:hAnsi="Garamond" w:cs="Arial"/>
          <w:color w:val="000000" w:themeColor="text1"/>
          <w:sz w:val="20"/>
          <w:szCs w:val="20"/>
          <w:lang w:val="en-GB"/>
        </w:rPr>
        <w:t xml:space="preserve"> und in der </w:t>
      </w:r>
      <w:r w:rsidRPr="00492F36">
        <w:rPr>
          <w:rFonts w:ascii="Garamond" w:hAnsi="Garamond" w:cs="Arial"/>
          <w:i/>
          <w:iCs/>
          <w:color w:val="000000" w:themeColor="text1"/>
          <w:sz w:val="20"/>
          <w:szCs w:val="20"/>
          <w:lang w:val="en-GB"/>
        </w:rPr>
        <w:t>Herzegowina</w:t>
      </w:r>
      <w:r w:rsidRPr="00492F36">
        <w:rPr>
          <w:rFonts w:ascii="Garamond" w:hAnsi="Garamond" w:cs="Arial"/>
          <w:color w:val="000000" w:themeColor="text1"/>
          <w:sz w:val="20"/>
          <w:szCs w:val="20"/>
          <w:lang w:val="en-GB"/>
        </w:rPr>
        <w:t xml:space="preserve"> lebenden Türken unterhalten. Ich hatte erzählt, was ich von einem unter diesen Leuten praktizierenden Kollegen gehört hatte, daß sie sich voll Vertrauen in den Arzt und voll Ergebung in das Schicksal zu zeigen pflegen. Wenn man ihnen ankündigen muß, daß es für den Kranken keine Hilfe gibt, so antworten sie: » </w:t>
      </w:r>
      <w:r w:rsidRPr="00492F36">
        <w:rPr>
          <w:rFonts w:ascii="Garamond" w:hAnsi="Garamond" w:cs="Arial"/>
          <w:i/>
          <w:iCs/>
          <w:color w:val="000000" w:themeColor="text1"/>
          <w:sz w:val="20"/>
          <w:szCs w:val="20"/>
          <w:lang w:val="en-GB"/>
        </w:rPr>
        <w:t>Herr</w:t>
      </w:r>
      <w:r w:rsidRPr="00492F36">
        <w:rPr>
          <w:rFonts w:ascii="Garamond" w:hAnsi="Garamond" w:cs="Arial"/>
          <w:color w:val="000000" w:themeColor="text1"/>
          <w:sz w:val="20"/>
          <w:szCs w:val="20"/>
          <w:lang w:val="en-GB"/>
        </w:rPr>
        <w:t xml:space="preserve">, was ist da zu sagen? Ich weiß, wenn er zu retten wäre, hättest du ihn gerettet.« – Erst in diesen Sätzen finden sich die Worte und Namen: </w:t>
      </w:r>
      <w:r w:rsidRPr="00492F36">
        <w:rPr>
          <w:rFonts w:ascii="Garamond" w:hAnsi="Garamond" w:cs="Arial"/>
          <w:i/>
          <w:iCs/>
          <w:color w:val="000000" w:themeColor="text1"/>
          <w:sz w:val="20"/>
          <w:szCs w:val="20"/>
          <w:lang w:val="en-GB"/>
        </w:rPr>
        <w:t>Bosnien</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Herzegowina</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Herr</w:t>
      </w:r>
      <w:r w:rsidRPr="00492F36">
        <w:rPr>
          <w:rFonts w:ascii="Garamond" w:hAnsi="Garamond" w:cs="Arial"/>
          <w:color w:val="000000" w:themeColor="text1"/>
          <w:sz w:val="20"/>
          <w:szCs w:val="20"/>
          <w:lang w:val="en-GB"/>
        </w:rPr>
        <w:t xml:space="preserve"> vor, welche sich in eine Assoziationsreihe zwischen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Botticelli</w:t>
      </w:r>
      <w:r w:rsidRPr="00492F36">
        <w:rPr>
          <w:rFonts w:ascii="Garamond" w:hAnsi="Garamond" w:cs="Arial"/>
          <w:color w:val="000000" w:themeColor="text1"/>
          <w:sz w:val="20"/>
          <w:szCs w:val="20"/>
          <w:lang w:val="en-GB"/>
        </w:rPr>
        <w:t xml:space="preserve"> – </w:t>
      </w:r>
      <w:r w:rsidRPr="00492F36">
        <w:rPr>
          <w:rFonts w:ascii="Garamond" w:hAnsi="Garamond" w:cs="Arial"/>
          <w:i/>
          <w:iCs/>
          <w:color w:val="000000" w:themeColor="text1"/>
          <w:sz w:val="20"/>
          <w:szCs w:val="20"/>
          <w:lang w:val="en-GB"/>
        </w:rPr>
        <w:t>Boltraffio</w:t>
      </w:r>
      <w:r w:rsidRPr="00492F36">
        <w:rPr>
          <w:rFonts w:ascii="Garamond" w:hAnsi="Garamond" w:cs="Arial"/>
          <w:color w:val="000000" w:themeColor="text1"/>
          <w:sz w:val="20"/>
          <w:szCs w:val="20"/>
          <w:lang w:val="en-GB"/>
        </w:rPr>
        <w:t xml:space="preserve"> einschalten lassen.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c) Ich nehme an, daß der Gedankenreihe von den Sitten der Türken in Bosnien etc. die Fähigkeit, einen nächsten Gedanken zu stören, darum zukam, weil ich ihr meine Aufmerksamkeit entzogen hatte, ehe sie noch zu Ende gebracht war. Ich erinnere nämlich, daß ich eine zweite Anekdote erzählen wollte, die nahe bei der ersten in meinem Gedächtnis ruhte. Diese Türken schätzen den Sexualgenuß über alles und verfallen bei sexuellen Störungen in eine Verzweiflung, welche seltsam gegen ihre Resignation bei Todesgefahr absticht. Einer der Patienten meines Kollegen hatte ihm einmal gesagt: »Du weißt ja, </w:t>
      </w:r>
      <w:r w:rsidRPr="00492F36">
        <w:rPr>
          <w:rFonts w:ascii="Garamond" w:hAnsi="Garamond" w:cs="Arial"/>
          <w:i/>
          <w:iCs/>
          <w:color w:val="000000" w:themeColor="text1"/>
          <w:sz w:val="20"/>
          <w:szCs w:val="20"/>
          <w:lang w:val="en-GB"/>
        </w:rPr>
        <w:t>Herr</w:t>
      </w:r>
      <w:r w:rsidRPr="00492F36">
        <w:rPr>
          <w:rFonts w:ascii="Garamond" w:hAnsi="Garamond" w:cs="Arial"/>
          <w:color w:val="000000" w:themeColor="text1"/>
          <w:sz w:val="20"/>
          <w:szCs w:val="20"/>
          <w:lang w:val="en-GB"/>
        </w:rPr>
        <w:t xml:space="preserve">, wenn das nicht mehr geht, dann hat das Leben keinen Wert.« Ich unterdrückte die Mitteilung dieses charakteristischen Zuges, weil ich das heikle Thema nicht im Gespräch mit einem Fremden berühren wollte. Ich tat aber noch mehr; ich lenkte meine Aufmerksamkeit auch von der Fortsetzung der Gedanken ab, die sich bei mir an das Thema »Tod und Sexualität« hätten knüpfen können. Ich stand damals unter der Nachwirkung einer Nachricht, die ich wenige Wochen vorher während eines kurzen Aufenthaltes in </w:t>
      </w:r>
      <w:r w:rsidRPr="00492F36">
        <w:rPr>
          <w:rFonts w:ascii="Garamond" w:hAnsi="Garamond" w:cs="Arial"/>
          <w:i/>
          <w:iCs/>
          <w:color w:val="000000" w:themeColor="text1"/>
          <w:sz w:val="20"/>
          <w:szCs w:val="20"/>
          <w:lang w:val="en-GB"/>
        </w:rPr>
        <w:t>Trafoi</w:t>
      </w:r>
      <w:r w:rsidRPr="00492F36">
        <w:rPr>
          <w:rFonts w:ascii="Garamond" w:hAnsi="Garamond" w:cs="Arial"/>
          <w:color w:val="000000" w:themeColor="text1"/>
          <w:sz w:val="20"/>
          <w:szCs w:val="20"/>
          <w:lang w:val="en-GB"/>
        </w:rPr>
        <w:t xml:space="preserve"> erhalten hatte. Ein Patient, mit dem ich mir viele Mühe gegeben, hatte wegen einer unheilbaren sexuellen Störung seinem Leben ein Ende gemacht. Ich weiß bestimmt, daß mir auf jener Reise in die Herzegowina dieses traurige Ereignis und alles, was damit zusammenhängt, nicht zur bewußten Erinnerung kam. Aber die Übereinstimmung </w:t>
      </w:r>
      <w:r w:rsidRPr="00492F36">
        <w:rPr>
          <w:rFonts w:ascii="Garamond" w:hAnsi="Garamond" w:cs="Arial"/>
          <w:i/>
          <w:iCs/>
          <w:color w:val="000000" w:themeColor="text1"/>
          <w:sz w:val="20"/>
          <w:szCs w:val="20"/>
          <w:lang w:val="en-GB"/>
        </w:rPr>
        <w:t>Trafoi</w:t>
      </w:r>
      <w:r w:rsidRPr="00492F36">
        <w:rPr>
          <w:rFonts w:ascii="Garamond" w:hAnsi="Garamond" w:cs="Arial"/>
          <w:color w:val="000000" w:themeColor="text1"/>
          <w:sz w:val="20"/>
          <w:szCs w:val="20"/>
          <w:lang w:val="en-GB"/>
        </w:rPr>
        <w:t xml:space="preserve"> – </w:t>
      </w:r>
      <w:r w:rsidRPr="00492F36">
        <w:rPr>
          <w:rFonts w:ascii="Garamond" w:hAnsi="Garamond" w:cs="Arial"/>
          <w:i/>
          <w:iCs/>
          <w:color w:val="000000" w:themeColor="text1"/>
          <w:sz w:val="20"/>
          <w:szCs w:val="20"/>
          <w:lang w:val="en-GB"/>
        </w:rPr>
        <w:t>Boltraffio</w:t>
      </w:r>
      <w:r w:rsidRPr="00492F36">
        <w:rPr>
          <w:rFonts w:ascii="Garamond" w:hAnsi="Garamond" w:cs="Arial"/>
          <w:color w:val="000000" w:themeColor="text1"/>
          <w:sz w:val="20"/>
          <w:szCs w:val="20"/>
          <w:lang w:val="en-GB"/>
        </w:rPr>
        <w:t xml:space="preserve"> nötigt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anzunehmen, daß damals diese Reminiszenz trotz der absichtlichen Ablenkung meiner Aufmerksamkeit in mir zur Wirksamkeit gebracht worden ist.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t xml:space="preserve">d) Ich kann das Vergessen des Namens </w:t>
      </w:r>
      <w:r w:rsidRPr="00492F36">
        <w:rPr>
          <w:rFonts w:ascii="Garamond" w:hAnsi="Garamond" w:cs="Arial"/>
          <w:i/>
          <w:iCs/>
          <w:color w:val="000000" w:themeColor="text1"/>
          <w:sz w:val="20"/>
          <w:szCs w:val="20"/>
        </w:rPr>
        <w:t>Signorelli</w:t>
      </w:r>
      <w:r w:rsidRPr="00492F36">
        <w:rPr>
          <w:rFonts w:ascii="Garamond" w:hAnsi="Garamond" w:cs="Arial"/>
          <w:color w:val="000000" w:themeColor="text1"/>
          <w:sz w:val="20"/>
          <w:szCs w:val="20"/>
        </w:rPr>
        <w:t xml:space="preserve"> nicht mehr als ein zufälliges Ereignis auffassen. Ich muß den Einfluß eines </w:t>
      </w:r>
      <w:r w:rsidRPr="00492F36">
        <w:rPr>
          <w:rFonts w:ascii="Garamond" w:hAnsi="Garamond" w:cs="Arial"/>
          <w:i/>
          <w:iCs/>
          <w:color w:val="000000" w:themeColor="text1"/>
          <w:sz w:val="20"/>
          <w:szCs w:val="20"/>
        </w:rPr>
        <w:t>Motivs</w:t>
      </w:r>
      <w:r w:rsidRPr="00492F36">
        <w:rPr>
          <w:rFonts w:ascii="Garamond" w:hAnsi="Garamond" w:cs="Arial"/>
          <w:color w:val="000000" w:themeColor="text1"/>
          <w:sz w:val="20"/>
          <w:szCs w:val="20"/>
        </w:rPr>
        <w:t xml:space="preserve"> bei diesem Vorgang anerkennen. Es waren Motive, die mich veranlaßten, mich in der Mitteilung meiner Gedanken (über die Sitten der Bosnier etc.) zu unterbrechen, und die mich ferner beeinflußten, die daran sich knüpfenden Gedanken, die bis zur Nachricht in </w:t>
      </w:r>
      <w:r w:rsidRPr="00492F36">
        <w:rPr>
          <w:rFonts w:ascii="Garamond" w:hAnsi="Garamond" w:cs="Arial"/>
          <w:i/>
          <w:iCs/>
          <w:color w:val="000000" w:themeColor="text1"/>
          <w:sz w:val="20"/>
          <w:szCs w:val="20"/>
        </w:rPr>
        <w:t>Trafoi</w:t>
      </w:r>
      <w:r w:rsidRPr="00492F36">
        <w:rPr>
          <w:rFonts w:ascii="Garamond" w:hAnsi="Garamond" w:cs="Arial"/>
          <w:color w:val="000000" w:themeColor="text1"/>
          <w:sz w:val="20"/>
          <w:szCs w:val="20"/>
        </w:rPr>
        <w:t xml:space="preserve"> geführt hätten, in mir vom Bewußtwerden auszuschließen. </w:t>
      </w:r>
      <w:r w:rsidRPr="00492F36">
        <w:rPr>
          <w:rFonts w:ascii="Garamond" w:hAnsi="Garamond" w:cs="Arial"/>
          <w:color w:val="000000" w:themeColor="text1"/>
          <w:sz w:val="20"/>
          <w:szCs w:val="20"/>
          <w:lang w:val="en-GB"/>
        </w:rPr>
        <w:t xml:space="preserve">Ich </w:t>
      </w:r>
      <w:r w:rsidRPr="00492F36">
        <w:rPr>
          <w:rFonts w:ascii="Garamond" w:hAnsi="Garamond" w:cs="Arial"/>
          <w:i/>
          <w:iCs/>
          <w:color w:val="000000" w:themeColor="text1"/>
          <w:sz w:val="20"/>
          <w:szCs w:val="20"/>
          <w:lang w:val="en-GB"/>
        </w:rPr>
        <w:t>wollte</w:t>
      </w:r>
      <w:r w:rsidRPr="00492F36">
        <w:rPr>
          <w:rFonts w:ascii="Garamond" w:hAnsi="Garamond" w:cs="Arial"/>
          <w:color w:val="000000" w:themeColor="text1"/>
          <w:sz w:val="20"/>
          <w:szCs w:val="20"/>
          <w:lang w:val="en-GB"/>
        </w:rPr>
        <w:t xml:space="preserve"> also etwas vergessen, ich hatte </w:t>
      </w:r>
      <w:r w:rsidRPr="00492F36">
        <w:rPr>
          <w:rFonts w:ascii="Garamond" w:hAnsi="Garamond" w:cs="Arial"/>
          <w:i/>
          <w:iCs/>
          <w:color w:val="000000" w:themeColor="text1"/>
          <w:sz w:val="20"/>
          <w:szCs w:val="20"/>
          <w:lang w:val="en-GB"/>
        </w:rPr>
        <w:t>etwas verdrängt</w:t>
      </w:r>
      <w:r w:rsidRPr="00492F36">
        <w:rPr>
          <w:rFonts w:ascii="Garamond" w:hAnsi="Garamond" w:cs="Arial"/>
          <w:color w:val="000000" w:themeColor="text1"/>
          <w:sz w:val="20"/>
          <w:szCs w:val="20"/>
          <w:lang w:val="en-GB"/>
        </w:rPr>
        <w:t xml:space="preserve">. Ich wollte allerdings etwas anderes vergessen als den Namen des Meisters von Orvieto; aber dieses andere brachte es zustande, sich mit diesem Namen in assoziative Verbindung zu setzen, so daß mein Willensakt das Ziel verfehlte, und ich </w:t>
      </w:r>
      <w:r w:rsidRPr="00492F36">
        <w:rPr>
          <w:rFonts w:ascii="Garamond" w:hAnsi="Garamond" w:cs="Arial"/>
          <w:i/>
          <w:iCs/>
          <w:color w:val="000000" w:themeColor="text1"/>
          <w:sz w:val="20"/>
          <w:szCs w:val="20"/>
          <w:lang w:val="en-GB"/>
        </w:rPr>
        <w:t>das eine wider Willen</w:t>
      </w:r>
      <w:r w:rsidRPr="00492F36">
        <w:rPr>
          <w:rFonts w:ascii="Garamond" w:hAnsi="Garamond" w:cs="Arial"/>
          <w:color w:val="000000" w:themeColor="text1"/>
          <w:sz w:val="20"/>
          <w:szCs w:val="20"/>
          <w:lang w:val="en-GB"/>
        </w:rPr>
        <w:t xml:space="preserve"> vergaß, während ich </w:t>
      </w:r>
      <w:r w:rsidRPr="00492F36">
        <w:rPr>
          <w:rFonts w:ascii="Garamond" w:hAnsi="Garamond" w:cs="Arial"/>
          <w:i/>
          <w:iCs/>
          <w:color w:val="000000" w:themeColor="text1"/>
          <w:sz w:val="20"/>
          <w:szCs w:val="20"/>
          <w:lang w:val="en-GB"/>
        </w:rPr>
        <w:t>das andere mit Absicht</w:t>
      </w:r>
      <w:r w:rsidRPr="00492F36">
        <w:rPr>
          <w:rFonts w:ascii="Garamond" w:hAnsi="Garamond" w:cs="Arial"/>
          <w:color w:val="000000" w:themeColor="text1"/>
          <w:sz w:val="20"/>
          <w:szCs w:val="20"/>
          <w:lang w:val="en-GB"/>
        </w:rPr>
        <w:t xml:space="preserve"> vergessen wollte. Die Abneigung, zu erinnern, richtete sich gegen den einen Inhalt; die Unfähigkeit, zu erinnern, trat an einem anderen hervor. Es wäre offenbar ein einfacherer Fall, wenn Abneigung und Unfähigkeit, zu erinnern, denselben Inhalt beträfen. – Die Ersatznamen erscheinen mir auch nicht mehr so völlig unberechtigt wie vor der Aufklärung; sie mahnen mich (nach Art eines Kompromisses) eben so sehr an das, was ich vergessen, wie an das, was ich erinnern wollte, und zeigen mir, daß meine Absicht, etwas zu vergessen, weder ganz gelungen noch ganz mißglückt ist.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e) Sehr auffällig ist die Art der Verknüpfung, die sich zwischen dem gesuchten Namen und dem verdrängten Thema (von Tod und Sexualität etc., in dem die Namen Bosnien, Herzegowina, Trafoi vorkommen) hergestellt hat. Das hier eingeschaltete, aus der Abhandlung des Jahres 1898 wiederholte Schema sucht diese Verknüpfung anschaulich darzustellen.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Abb. 1</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Der Name Signorelli ist dabei in zwei Stücke zerlegt worden. Das eine Silbenpaar ist in einem der Ersatznamen unverändert wiedergekehrt ( </w:t>
      </w:r>
      <w:r w:rsidRPr="00492F36">
        <w:rPr>
          <w:rFonts w:ascii="Garamond" w:hAnsi="Garamond" w:cs="Arial"/>
          <w:i/>
          <w:iCs/>
          <w:color w:val="000000" w:themeColor="text1"/>
          <w:sz w:val="20"/>
          <w:szCs w:val="20"/>
          <w:lang w:val="en-GB"/>
        </w:rPr>
        <w:t>elli</w:t>
      </w:r>
      <w:r w:rsidRPr="00492F36">
        <w:rPr>
          <w:rFonts w:ascii="Garamond" w:hAnsi="Garamond" w:cs="Arial"/>
          <w:color w:val="000000" w:themeColor="text1"/>
          <w:sz w:val="20"/>
          <w:szCs w:val="20"/>
          <w:lang w:val="en-GB"/>
        </w:rPr>
        <w:t xml:space="preserve">), das andere hat durch die Übersetzung </w:t>
      </w:r>
      <w:r w:rsidRPr="00492F36">
        <w:rPr>
          <w:rFonts w:ascii="Garamond" w:hAnsi="Garamond" w:cs="Arial"/>
          <w:i/>
          <w:iCs/>
          <w:color w:val="000000" w:themeColor="text1"/>
          <w:sz w:val="20"/>
          <w:szCs w:val="20"/>
          <w:lang w:val="en-GB"/>
        </w:rPr>
        <w:t>Signor</w:t>
      </w:r>
      <w:r w:rsidRPr="00492F36">
        <w:rPr>
          <w:rFonts w:ascii="Garamond" w:hAnsi="Garamond" w:cs="Arial"/>
          <w:color w:val="000000" w:themeColor="text1"/>
          <w:sz w:val="20"/>
          <w:szCs w:val="20"/>
          <w:lang w:val="en-GB"/>
        </w:rPr>
        <w:t xml:space="preserve"> – </w:t>
      </w:r>
      <w:r w:rsidRPr="00492F36">
        <w:rPr>
          <w:rFonts w:ascii="Garamond" w:hAnsi="Garamond" w:cs="Arial"/>
          <w:i/>
          <w:iCs/>
          <w:color w:val="000000" w:themeColor="text1"/>
          <w:sz w:val="20"/>
          <w:szCs w:val="20"/>
          <w:lang w:val="en-GB"/>
        </w:rPr>
        <w:t>Herr</w:t>
      </w:r>
      <w:r w:rsidRPr="00492F36">
        <w:rPr>
          <w:rFonts w:ascii="Garamond" w:hAnsi="Garamond" w:cs="Arial"/>
          <w:color w:val="000000" w:themeColor="text1"/>
          <w:sz w:val="20"/>
          <w:szCs w:val="20"/>
          <w:lang w:val="en-GB"/>
        </w:rPr>
        <w:t xml:space="preserve"> mehrfache und </w:t>
      </w:r>
      <w:r w:rsidRPr="00492F36">
        <w:rPr>
          <w:rFonts w:ascii="Garamond" w:hAnsi="Garamond" w:cs="Arial"/>
          <w:color w:val="000000" w:themeColor="text1"/>
          <w:sz w:val="20"/>
          <w:szCs w:val="20"/>
          <w:lang w:val="en-GB"/>
        </w:rPr>
        <w:lastRenderedPageBreak/>
        <w:t xml:space="preserve">verschiedenartige Beziehungen zu den im verdrängten Thema enthaltenen Namen gewonnen, ist aber dadurch für die Reproduktion verloren gegangen. Sein Ersatz hat so stattgefunden, als ob eine Verschiebung längs der Namenverbindung » </w:t>
      </w:r>
      <w:r w:rsidRPr="00492F36">
        <w:rPr>
          <w:rFonts w:ascii="Garamond" w:hAnsi="Garamond" w:cs="Arial"/>
          <w:i/>
          <w:iCs/>
          <w:color w:val="000000" w:themeColor="text1"/>
          <w:sz w:val="20"/>
          <w:szCs w:val="20"/>
          <w:lang w:val="en-GB"/>
        </w:rPr>
        <w:t>Her</w:t>
      </w:r>
      <w:r w:rsidRPr="00492F36">
        <w:rPr>
          <w:rFonts w:ascii="Garamond" w:hAnsi="Garamond" w:cs="Arial"/>
          <w:color w:val="000000" w:themeColor="text1"/>
          <w:sz w:val="20"/>
          <w:szCs w:val="20"/>
          <w:lang w:val="en-GB"/>
        </w:rPr>
        <w:t xml:space="preserve">zegowina und </w:t>
      </w:r>
      <w:r w:rsidRPr="00492F36">
        <w:rPr>
          <w:rFonts w:ascii="Garamond" w:hAnsi="Garamond" w:cs="Arial"/>
          <w:i/>
          <w:iCs/>
          <w:color w:val="000000" w:themeColor="text1"/>
          <w:sz w:val="20"/>
          <w:szCs w:val="20"/>
          <w:lang w:val="en-GB"/>
        </w:rPr>
        <w:t>Bo</w:t>
      </w:r>
      <w:r w:rsidRPr="00492F36">
        <w:rPr>
          <w:rFonts w:ascii="Garamond" w:hAnsi="Garamond" w:cs="Arial"/>
          <w:color w:val="000000" w:themeColor="text1"/>
          <w:sz w:val="20"/>
          <w:szCs w:val="20"/>
          <w:lang w:val="en-GB"/>
        </w:rPr>
        <w:t xml:space="preserve">snien« vorgenommen worden wäre, ohne Rücksicht auf den Sinn und auf die akustische Abgrenzung der Silben zu nehmen. Die Namen sind also bei diesem Vorgang ähnlich behandelt worden wie die Schriftbilder eines Satzes, der in ein Bilderrätsel (Rebus) umgewandelt werden soll. Von dem ganzen Hergang, der anstatt des Namens Signorelli auf solchen Wegen die Ersatznamen geschaffen hat, ist dem Bewußtsein keine Kunde gegeben worden. Eine Beziehung zwischen dem Thema, in dem der Name Signorelli vorkam, und dem zeitlich ihm vorangehenden verdrängten Thema, welche über diese Wiederkehr gleicher Silben (oder vielmehr Buchstabenfolgen) hinausginge, scheint </w:t>
      </w:r>
      <w:r w:rsidRPr="00492F36">
        <w:rPr>
          <w:rFonts w:ascii="Garamond" w:hAnsi="Garamond" w:cs="Arial"/>
          <w:i/>
          <w:iCs/>
          <w:color w:val="000000" w:themeColor="text1"/>
          <w:sz w:val="20"/>
          <w:szCs w:val="20"/>
          <w:lang w:val="en-GB"/>
        </w:rPr>
        <w:t>zunächst</w:t>
      </w:r>
      <w:r w:rsidRPr="00492F36">
        <w:rPr>
          <w:rFonts w:ascii="Garamond" w:hAnsi="Garamond" w:cs="Arial"/>
          <w:color w:val="000000" w:themeColor="text1"/>
          <w:sz w:val="20"/>
          <w:szCs w:val="20"/>
          <w:lang w:val="en-GB"/>
        </w:rPr>
        <w:t xml:space="preserve"> nicht auffindbar zu sein.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Es ist vielleicht nicht überflüssig, zu bemerken, daß die von den Psychologen angenommenen Bedingungen der Reproduktion und des Vergessens, die in gewissen Relationen und Dispositionen gesucht werden, durch die vorstehende Aufklärung einen Widerspruch nicht erfahren. Wir haben nur für gewisse Fälle zu all den längst anerkannten Momenten, die das Vergessen eines Namens bewirken können, noch ein </w:t>
      </w:r>
      <w:r w:rsidRPr="00492F36">
        <w:rPr>
          <w:rFonts w:ascii="Garamond" w:hAnsi="Garamond" w:cs="Arial"/>
          <w:i/>
          <w:iCs/>
          <w:color w:val="000000" w:themeColor="text1"/>
          <w:sz w:val="20"/>
          <w:szCs w:val="20"/>
          <w:lang w:val="en-GB"/>
        </w:rPr>
        <w:t>Motiv</w:t>
      </w:r>
      <w:r w:rsidRPr="00492F36">
        <w:rPr>
          <w:rFonts w:ascii="Garamond" w:hAnsi="Garamond" w:cs="Arial"/>
          <w:color w:val="000000" w:themeColor="text1"/>
          <w:sz w:val="20"/>
          <w:szCs w:val="20"/>
          <w:lang w:val="en-GB"/>
        </w:rPr>
        <w:t xml:space="preserve"> hinzugefügt und überdies den Mechanismus des Fehlerinnerns klar gelegt. Jene Dispositionen sind auch für unseren Fall unentbehrlich, um die Möglichkeit zu schaffen, daß das verdrängte Element sich assoziativ des gesuchten Namens bemächtige und es mit sich in die Verdrängung nehme. Bei einem anderen Namen mit günstigeren Reproduktionsbedingungen wäre dies vielleicht nicht geschehen. Es ist ja wahrscheinlich, daß ein unterdrücktes Element allemal bestrebt ist, sich irgendwo anders zur Geltung zu bringen, diesen Erfolg aber nur dort erreicht, wo ihm geeignete Bedingungen entgegenkommen. Andere Male gelingt die Unterdrückung ohne Funktionsstörung, oder, wie wir mit Recht sagen können, ohne </w:t>
      </w:r>
      <w:r w:rsidRPr="00492F36">
        <w:rPr>
          <w:rFonts w:ascii="Garamond" w:hAnsi="Garamond" w:cs="Arial"/>
          <w:i/>
          <w:iCs/>
          <w:color w:val="000000" w:themeColor="text1"/>
          <w:sz w:val="20"/>
          <w:szCs w:val="20"/>
          <w:lang w:val="en-GB"/>
        </w:rPr>
        <w:t>Symptome</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Die Zusammenfassung der Bedingungen für das Vergessen eines Namens mit Fehlerinnern ergibt also: 1. eine gewisse Disposition zum Vergessen desselben, 2. einen kurz vorher abgelaufenen Unterdrückungsvorgang, 3. die Möglichkeit, eine </w:t>
      </w:r>
      <w:r w:rsidRPr="00492F36">
        <w:rPr>
          <w:rFonts w:ascii="Garamond" w:hAnsi="Garamond" w:cs="Arial"/>
          <w:i/>
          <w:iCs/>
          <w:color w:val="000000" w:themeColor="text1"/>
          <w:sz w:val="20"/>
          <w:szCs w:val="20"/>
          <w:lang w:val="en-GB"/>
        </w:rPr>
        <w:t>äußerliche</w:t>
      </w:r>
      <w:r w:rsidRPr="00492F36">
        <w:rPr>
          <w:rFonts w:ascii="Garamond" w:hAnsi="Garamond" w:cs="Arial"/>
          <w:color w:val="000000" w:themeColor="text1"/>
          <w:sz w:val="20"/>
          <w:szCs w:val="20"/>
          <w:lang w:val="en-GB"/>
        </w:rPr>
        <w:t xml:space="preserve"> Assoziation zwischen dem betreffenden Namen und dem vorher unterdrückten Element herzustellen. Letztere Bedingung wird man wahrscheinlich nicht sehr hoch veranschlagen müssen, da bei den geringen Ansprüchen an die Assoziation eine solche in den allermeisten Fällen durchzusetzen sein dürfte. Eine andere und tiefer reichende Frage ist es, ob eine solche äußerliche Assoziation wirklich die genügende Bedingung dafür sein kann, daß das verdrängte Element die Reproduktion des gesuchten Namens störe, ob nicht doch notwendig ein intimerer Zusammenhang der beiden Themata erforderlich wird. Bei oberflächlicher Betrachtung würde man letztere Forderung abweisen wollen und das zeitliche Aneinanderstoßen bei völlig disparatem Inhalt für genügend halten. Bei eingehender Untersuchung findet man aber immer häufiger, daß die beiden durch eine äußerliche Assoziation verknüpften Elemente (das verdrängte und das neue) ausserdem einen inhaltlichen Zusammenhang besitzen, und auch in dem Beispiel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läßt sich ein solcher erweisen.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Der Wert der Einsicht, die wir bei der Analyse des Beispiels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gewonnen haben, hängt natürlich davon ab, ob wir diesen Fall für ein typisches oder für ein vereinzeltes Vorkommnis erklären müssen. Ich muß nun behaupten, daß das Namenvergessen mit Fehlerinnern ungemein häufig so zugeht, wie wir es im Falle: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aufgelöst haben. Fast allemal, da ich dies Phänomen bei mir selbst beobachten konnte, war ich auch imstande, es mir in der vorerwähnten Weise als durch Verdrängung motiviert zu erklären. Ich muß auch noch einen anderen Gesichtspunkt zugunsten der typischen Natur unserer Analyse geltend machen. Ich glaube, daß man nicht berechtigt ist, die Fälle von Namenvergessen mit Fehlerinnern prinzipiell von solchen zu trennen, in denen sich unrichtige Ersatznamen nicht eingestellt haben. Diese Ersatznamen kommen in einer Anzahl von Fällen spontan; in anderen Fällen, wo sie nicht spontan aufgetaucht sind, kann man sie durch Anstrengung der Aufmerksamkeit zum Auftauchen zwingen, und sie zeigen dann die nämlichen Beziehungen zum verdrängten Element und zum gesuchten Namen, wie wenn sie spontan gekommen wären. Für das Bewußtwerden der Ersatznamen scheinen zwei Momente maßgebend zu sein, erstens die Bemühung der Aufmerksamkeit, zweitens eine innere Bedingung, die am psychischen Material haftet. Ich könnte letztere in der größeren oder geringeren Leichtigkeit suchen, mit welcher sich die benötigte äußerliche Assoziation zwischen den beiden Elementen herstellt. Ein guter Teil der Fälle von Namenvergessen </w:t>
      </w:r>
      <w:r w:rsidRPr="00492F36">
        <w:rPr>
          <w:rFonts w:ascii="Garamond" w:hAnsi="Garamond" w:cs="Arial"/>
          <w:i/>
          <w:iCs/>
          <w:color w:val="000000" w:themeColor="text1"/>
          <w:sz w:val="20"/>
          <w:szCs w:val="20"/>
          <w:lang w:val="en-GB"/>
        </w:rPr>
        <w:t>ohne</w:t>
      </w:r>
      <w:r w:rsidRPr="00492F36">
        <w:rPr>
          <w:rFonts w:ascii="Garamond" w:hAnsi="Garamond" w:cs="Arial"/>
          <w:color w:val="000000" w:themeColor="text1"/>
          <w:sz w:val="20"/>
          <w:szCs w:val="20"/>
          <w:lang w:val="en-GB"/>
        </w:rPr>
        <w:t xml:space="preserve"> Fehlerinnern schließt sich so den Fällen mit Ersatznamenbildung an, für welche der Mechanismus des Beispieles: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gilt. Ich werde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aber gewiß nicht der Behauptung erkühnen, daß alle Fälle von Namenvergessen in die nämliche Gruppe einzureihen seien. Es gibt ohne Zweifel Fälle von Namenvergessen, die weit einfacher zugehen. Wir werden den Sachverhalt wohl vorsichtig genug dargestellt haben, wenn wir aussprechen: </w:t>
      </w:r>
      <w:r w:rsidRPr="00492F36">
        <w:rPr>
          <w:rFonts w:ascii="Garamond" w:hAnsi="Garamond" w:cs="Arial"/>
          <w:i/>
          <w:iCs/>
          <w:color w:val="000000" w:themeColor="text1"/>
          <w:sz w:val="20"/>
          <w:szCs w:val="20"/>
          <w:lang w:val="en-GB"/>
        </w:rPr>
        <w:t>Neben dem einfachen Vergessen von Eigennamen kommt auch ein Vergessen vor, welches durch Verdrängung motiviert ist</w:t>
      </w:r>
      <w:r w:rsidRPr="00492F36">
        <w:rPr>
          <w:rFonts w:ascii="Garamond" w:hAnsi="Garamond" w:cs="Arial"/>
          <w:color w:val="000000" w:themeColor="text1"/>
          <w:sz w:val="20"/>
          <w:szCs w:val="20"/>
          <w:lang w:val="en-GB"/>
        </w:rPr>
        <w:t>.</w:t>
      </w:r>
    </w:p>
    <w:p w:rsidR="007D5EBB" w:rsidRDefault="007D5EBB">
      <w:pPr>
        <w:rPr>
          <w:rFonts w:ascii="Garamond" w:hAnsi="Garamond" w:cs="Arial"/>
          <w:b/>
          <w:bCs/>
          <w:color w:val="000000" w:themeColor="text1"/>
          <w:sz w:val="20"/>
          <w:szCs w:val="20"/>
          <w:lang w:val="en-GB"/>
        </w:rPr>
      </w:pPr>
      <w:r>
        <w:rPr>
          <w:rFonts w:ascii="Garamond" w:hAnsi="Garamond" w:cs="Arial"/>
          <w:b/>
          <w:bCs/>
          <w:color w:val="000000" w:themeColor="text1"/>
          <w:sz w:val="20"/>
          <w:szCs w:val="20"/>
          <w:lang w:val="en-GB"/>
        </w:rPr>
        <w:br w:type="page"/>
      </w:r>
    </w:p>
    <w:p w:rsidR="000D4CB9" w:rsidRPr="00492F36" w:rsidRDefault="00B437A1" w:rsidP="007D5EBB">
      <w:pPr>
        <w:shd w:val="clear" w:color="auto" w:fill="FFFFFF"/>
        <w:spacing w:before="44" w:after="44" w:line="124" w:lineRule="atLeast"/>
        <w:outlineLvl w:val="4"/>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II.</w:t>
        </w:r>
        <w:r w:rsidR="007D5EBB" w:rsidRPr="007D5EBB">
          <w:rPr>
            <w:rStyle w:val="Lienhypertexte"/>
            <w:rFonts w:ascii="Garamond" w:hAnsi="Garamond" w:cs="Arial"/>
            <w:b/>
            <w:bCs/>
            <w:sz w:val="20"/>
            <w:szCs w:val="20"/>
            <w:lang w:val="en-GB"/>
          </w:rPr>
          <w:t xml:space="preserve"> </w:t>
        </w:r>
        <w:r w:rsidR="000D4CB9" w:rsidRPr="007D5EBB">
          <w:rPr>
            <w:rStyle w:val="Lienhypertexte"/>
            <w:rFonts w:ascii="Garamond" w:hAnsi="Garamond" w:cs="Arial"/>
            <w:b/>
            <w:bCs/>
            <w:sz w:val="20"/>
            <w:szCs w:val="20"/>
            <w:lang w:val="en-GB"/>
          </w:rPr>
          <w:t>Ver</w:t>
        </w:r>
        <w:bookmarkStart w:id="89" w:name="Alltagslebens_2"/>
        <w:bookmarkEnd w:id="89"/>
        <w:r w:rsidR="000D4CB9" w:rsidRPr="007D5EBB">
          <w:rPr>
            <w:rStyle w:val="Lienhypertexte"/>
            <w:rFonts w:ascii="Garamond" w:hAnsi="Garamond" w:cs="Arial"/>
            <w:b/>
            <w:bCs/>
            <w:sz w:val="20"/>
            <w:szCs w:val="20"/>
            <w:lang w:val="en-GB"/>
          </w:rPr>
          <w:t>gessen von fremdsprachigen Worten.</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Der gebräuchliche Sprachschatz unserer eigenen Sprache scheint innerhalb der Breite normaler Funktion gegen das Vergessen geschützt. Anders steht es bekanntlich mit den Vokabeln einer fremden Sprache. Die Disposition zum Vergessen derselben ist für alle Redeteile vorhanden, und ein erster Grad von Funktionsstörung zeigt sich in der Ungleichmäßigkeit unserer Verfügung über den fremden Sprachschatz, je nach unserem Allgemeinbefinden und dem Grade unserer Ermüdung. Dieses Vergessen geht in einer Reihe von Fällen nach demselben Mechanismus vor sich, den uns das Beispiel: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enthüllt hat. Ich werde zum Beweise hierfür eine einzige, aber durch wertvolle Eigentümlichkeiten ausgezeichnete Analyse mitteilen, die den Fall des Vergessens eines nicht substantivischen Wortes aus einem lateinischen Zitat betrifft. Man gestatte mir, den kleinen Vorfall breit und anschaulich vorzutragen.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Im letzten Sommer erneuerte ich – wiederum auf der Ferienreise – die Bekanntschaft eines jungen Mannes von akademischer Bildung, der, wie ich bald merkte, mit einigen meiner psychologischen Publikationen vertraut war. Wir waren im Gespräch – ich weiß nicht mehr wie – auf die soziale Lage des Volksstammes gekommen, dem wir beide angehören, und er, der Ehrgeizige, erging sich in Bedauern darüber, daß seine Generation, wie er sich äußerte, zur Verkümmerung bestimmt sei, ihre Talente nicht entwickeln und ihre Bedürfnisse nicht befriedigen könne. Er schloß seine leidenschaftlich bewegte Rede mit dem bekannten </w:t>
      </w:r>
      <w:r w:rsidRPr="00492F36">
        <w:rPr>
          <w:rFonts w:ascii="Garamond" w:hAnsi="Garamond" w:cs="Arial"/>
          <w:i/>
          <w:iCs/>
          <w:color w:val="000000" w:themeColor="text1"/>
          <w:sz w:val="20"/>
          <w:szCs w:val="20"/>
          <w:lang w:val="en-GB"/>
        </w:rPr>
        <w:t>Vergil</w:t>
      </w:r>
      <w:r w:rsidRPr="00492F36">
        <w:rPr>
          <w:rFonts w:ascii="Garamond" w:hAnsi="Garamond" w:cs="Arial"/>
          <w:color w:val="000000" w:themeColor="text1"/>
          <w:sz w:val="20"/>
          <w:szCs w:val="20"/>
          <w:lang w:val="en-GB"/>
        </w:rPr>
        <w:t xml:space="preserve">schen Vers, in dem die unglückliche </w:t>
      </w:r>
      <w:r w:rsidRPr="00492F36">
        <w:rPr>
          <w:rFonts w:ascii="Garamond" w:hAnsi="Garamond" w:cs="Arial"/>
          <w:i/>
          <w:iCs/>
          <w:color w:val="000000" w:themeColor="text1"/>
          <w:sz w:val="20"/>
          <w:szCs w:val="20"/>
          <w:lang w:val="en-GB"/>
        </w:rPr>
        <w:t>Dido</w:t>
      </w:r>
      <w:r w:rsidRPr="00492F36">
        <w:rPr>
          <w:rFonts w:ascii="Garamond" w:hAnsi="Garamond" w:cs="Arial"/>
          <w:color w:val="000000" w:themeColor="text1"/>
          <w:sz w:val="20"/>
          <w:szCs w:val="20"/>
          <w:lang w:val="en-GB"/>
        </w:rPr>
        <w:t xml:space="preserve"> ihre Rache an </w:t>
      </w:r>
      <w:r w:rsidRPr="00492F36">
        <w:rPr>
          <w:rFonts w:ascii="Garamond" w:hAnsi="Garamond" w:cs="Arial"/>
          <w:i/>
          <w:iCs/>
          <w:color w:val="000000" w:themeColor="text1"/>
          <w:sz w:val="20"/>
          <w:szCs w:val="20"/>
          <w:lang w:val="en-GB"/>
        </w:rPr>
        <w:t>Äneas</w:t>
      </w:r>
      <w:r w:rsidRPr="00492F36">
        <w:rPr>
          <w:rFonts w:ascii="Garamond" w:hAnsi="Garamond" w:cs="Arial"/>
          <w:color w:val="000000" w:themeColor="text1"/>
          <w:sz w:val="20"/>
          <w:szCs w:val="20"/>
          <w:lang w:val="en-GB"/>
        </w:rPr>
        <w:t xml:space="preserve"> der Nachwelt überträgt: Exoriare ...., vielmehr er wollte so schliessen, denn er brachte das Zitat nicht zustande und suchte eine offenkundige Lücke der Erinnerung durch Umstellung von Worten zu verdecken: </w:t>
      </w:r>
      <w:r w:rsidRPr="00492F36">
        <w:rPr>
          <w:rFonts w:ascii="Garamond" w:hAnsi="Garamond" w:cs="Arial"/>
          <w:i/>
          <w:iCs/>
          <w:color w:val="000000" w:themeColor="text1"/>
          <w:sz w:val="20"/>
          <w:szCs w:val="20"/>
          <w:lang w:val="en-GB"/>
        </w:rPr>
        <w:t>Exoriar(e) ex nostris ossibus ultor!</w:t>
      </w:r>
      <w:r w:rsidRPr="00492F36">
        <w:rPr>
          <w:rFonts w:ascii="Garamond" w:hAnsi="Garamond" w:cs="Arial"/>
          <w:color w:val="000000" w:themeColor="text1"/>
          <w:sz w:val="20"/>
          <w:szCs w:val="20"/>
          <w:lang w:val="en-GB"/>
        </w:rPr>
        <w:t xml:space="preserve"> Endlich sagte er geärgert: ›Bitte machen Sie nicht ein so spöttisches Gesicht, als ob Sie sich an meiner Verlegenheit weiden würden, und helfen Sie mir lieber. An dem Vers fehlt etwas. Wie heißt er eigentlich vollständig?‹</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Gerne, erwiderte ich und zitierte, wie es richtig lautet: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rPr>
        <w:t xml:space="preserve">Exoriar(e) </w:t>
      </w:r>
      <w:r w:rsidRPr="00492F36">
        <w:rPr>
          <w:rFonts w:ascii="Garamond" w:hAnsi="Garamond" w:cs="Arial"/>
          <w:i/>
          <w:iCs/>
          <w:color w:val="000000" w:themeColor="text1"/>
          <w:sz w:val="20"/>
          <w:szCs w:val="20"/>
        </w:rPr>
        <w:t>aliquis</w:t>
      </w:r>
      <w:r w:rsidRPr="00492F36">
        <w:rPr>
          <w:rFonts w:ascii="Garamond" w:hAnsi="Garamond" w:cs="Arial"/>
          <w:color w:val="000000" w:themeColor="text1"/>
          <w:sz w:val="20"/>
          <w:szCs w:val="20"/>
        </w:rPr>
        <w:t xml:space="preserve"> nostris ex ossibus ultor!</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rPr>
        <w:t xml:space="preserve">›Zu dumm, ein solches Wort zu vergessen. Übrigens von Ihnen hört man ja, daß man nichts ohne Grund vergißt. Ich wäre doch zu neugierig, zu erfahren, wie ich zum Vergessen dieses unbestimmten Pronomen </w:t>
      </w:r>
      <w:r w:rsidRPr="00492F36">
        <w:rPr>
          <w:rFonts w:ascii="Garamond" w:hAnsi="Garamond" w:cs="Arial"/>
          <w:i/>
          <w:iCs/>
          <w:color w:val="000000" w:themeColor="text1"/>
          <w:sz w:val="20"/>
          <w:szCs w:val="20"/>
        </w:rPr>
        <w:t>aliquis</w:t>
      </w:r>
      <w:r w:rsidRPr="00492F36">
        <w:rPr>
          <w:rFonts w:ascii="Garamond" w:hAnsi="Garamond" w:cs="Arial"/>
          <w:color w:val="000000" w:themeColor="text1"/>
          <w:sz w:val="20"/>
          <w:szCs w:val="20"/>
        </w:rPr>
        <w:t xml:space="preserve"> komme.‹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lang w:val="en-GB"/>
        </w:rPr>
        <w:t xml:space="preserve">Ich nahm diese Herausforderung bereitwilligst an, da ich einen Beitrag zu meiner Sammlung erhoffte. Ich sagte also: Das können wir gleich haben. Ich muß Sie nur bitten, mir </w:t>
      </w:r>
      <w:r w:rsidRPr="00492F36">
        <w:rPr>
          <w:rFonts w:ascii="Garamond" w:hAnsi="Garamond" w:cs="Arial"/>
          <w:i/>
          <w:iCs/>
          <w:color w:val="000000" w:themeColor="text1"/>
          <w:sz w:val="20"/>
          <w:szCs w:val="20"/>
          <w:lang w:val="en-GB"/>
        </w:rPr>
        <w:t>aufrichtig</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kritiklos</w:t>
      </w:r>
      <w:r w:rsidRPr="00492F36">
        <w:rPr>
          <w:rFonts w:ascii="Garamond" w:hAnsi="Garamond" w:cs="Arial"/>
          <w:color w:val="000000" w:themeColor="text1"/>
          <w:sz w:val="20"/>
          <w:szCs w:val="20"/>
          <w:lang w:val="en-GB"/>
        </w:rPr>
        <w:t xml:space="preserve"> alles mitzuteilen, was Ihnen einfällt, wenn Sie ohne bestimmte Absicht Ihre Aufmerksamkeit auf das vergessene Wort richten. </w:t>
      </w:r>
      <w:hyperlink r:id="rId264"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 xml:space="preserve">Dies ist der allgemeine Weg, um Vorstellungselemente, die sich verbergen, dem Bewußtsein zuzuführen. Vgl. meine </w:t>
        </w:r>
        <w:r w:rsidRPr="00492F36">
          <w:rPr>
            <w:rStyle w:val="innerfusslink3"/>
            <w:rFonts w:ascii="Garamond" w:hAnsi="Garamond" w:cs="Arial"/>
            <w:b/>
            <w:bCs/>
            <w:i/>
            <w:iCs/>
            <w:color w:val="000000" w:themeColor="text1"/>
            <w:sz w:val="20"/>
            <w:szCs w:val="20"/>
          </w:rPr>
          <w:t>›Traumdeutung‹, p. 69</w:t>
        </w:r>
        <w:r w:rsidRPr="00492F36">
          <w:rPr>
            <w:rStyle w:val="innerfusslink3"/>
            <w:rFonts w:ascii="Garamond" w:hAnsi="Garamond" w:cs="Arial"/>
            <w:b/>
            <w:bCs/>
            <w:color w:val="000000" w:themeColor="text1"/>
            <w:sz w:val="20"/>
            <w:szCs w:val="20"/>
          </w:rPr>
          <w:t>.</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›Gut, also da komme ich auf den lächerlichen Einfall, mir das Wort in folgender Art zu zerteilen: </w:t>
      </w:r>
      <w:r w:rsidRPr="00492F36">
        <w:rPr>
          <w:rFonts w:ascii="Garamond" w:hAnsi="Garamond" w:cs="Arial"/>
          <w:i/>
          <w:iCs/>
          <w:color w:val="000000" w:themeColor="text1"/>
          <w:sz w:val="20"/>
          <w:szCs w:val="20"/>
          <w:lang w:val="en-GB"/>
        </w:rPr>
        <w:t>a</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liquis</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Was soll das? – ›Weiß ich nicht.‹ – Was fällt Ihnen weiter dazu ein? – ›Das setzt sich so fort: </w:t>
      </w:r>
      <w:r w:rsidRPr="00492F36">
        <w:rPr>
          <w:rFonts w:ascii="Garamond" w:hAnsi="Garamond" w:cs="Arial"/>
          <w:i/>
          <w:iCs/>
          <w:color w:val="000000" w:themeColor="text1"/>
          <w:sz w:val="20"/>
          <w:szCs w:val="20"/>
          <w:lang w:val="en-GB"/>
        </w:rPr>
        <w:t>Reliquien</w:t>
      </w:r>
      <w:r w:rsidRPr="00492F36">
        <w:rPr>
          <w:rFonts w:ascii="Garamond" w:hAnsi="Garamond" w:cs="Arial"/>
          <w:color w:val="000000" w:themeColor="text1"/>
          <w:sz w:val="20"/>
          <w:szCs w:val="20"/>
          <w:lang w:val="en-GB"/>
        </w:rPr>
        <w:t xml:space="preserve"> – </w:t>
      </w:r>
      <w:r w:rsidRPr="00492F36">
        <w:rPr>
          <w:rFonts w:ascii="Garamond" w:hAnsi="Garamond" w:cs="Arial"/>
          <w:i/>
          <w:iCs/>
          <w:color w:val="000000" w:themeColor="text1"/>
          <w:sz w:val="20"/>
          <w:szCs w:val="20"/>
          <w:lang w:val="en-GB"/>
        </w:rPr>
        <w:t>Liquidation</w:t>
      </w:r>
      <w:r w:rsidRPr="00492F36">
        <w:rPr>
          <w:rFonts w:ascii="Garamond" w:hAnsi="Garamond" w:cs="Arial"/>
          <w:color w:val="000000" w:themeColor="text1"/>
          <w:sz w:val="20"/>
          <w:szCs w:val="20"/>
          <w:lang w:val="en-GB"/>
        </w:rPr>
        <w:t xml:space="preserve"> – </w:t>
      </w:r>
      <w:r w:rsidRPr="00492F36">
        <w:rPr>
          <w:rFonts w:ascii="Garamond" w:hAnsi="Garamond" w:cs="Arial"/>
          <w:i/>
          <w:iCs/>
          <w:color w:val="000000" w:themeColor="text1"/>
          <w:sz w:val="20"/>
          <w:szCs w:val="20"/>
          <w:lang w:val="en-GB"/>
        </w:rPr>
        <w:t>Flüssigkeit</w:t>
      </w:r>
      <w:r w:rsidRPr="00492F36">
        <w:rPr>
          <w:rFonts w:ascii="Garamond" w:hAnsi="Garamond" w:cs="Arial"/>
          <w:color w:val="000000" w:themeColor="text1"/>
          <w:sz w:val="20"/>
          <w:szCs w:val="20"/>
          <w:lang w:val="en-GB"/>
        </w:rPr>
        <w:t xml:space="preserve"> – </w:t>
      </w:r>
      <w:r w:rsidRPr="00492F36">
        <w:rPr>
          <w:rFonts w:ascii="Garamond" w:hAnsi="Garamond" w:cs="Arial"/>
          <w:i/>
          <w:iCs/>
          <w:color w:val="000000" w:themeColor="text1"/>
          <w:sz w:val="20"/>
          <w:szCs w:val="20"/>
          <w:lang w:val="en-GB"/>
        </w:rPr>
        <w:t>Fluid</w:t>
      </w:r>
      <w:r w:rsidRPr="00492F36">
        <w:rPr>
          <w:rFonts w:ascii="Garamond" w:hAnsi="Garamond" w:cs="Arial"/>
          <w:color w:val="000000" w:themeColor="text1"/>
          <w:sz w:val="20"/>
          <w:szCs w:val="20"/>
          <w:lang w:val="en-GB"/>
        </w:rPr>
        <w:t>. Wissen Sie jetzt schon etwas?‹</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Nein, noch lange nicht. Aber fahren Sie fort.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denke,‹ fuhr er höhnisch lachend fort, ›an </w:t>
      </w:r>
      <w:r w:rsidRPr="00492F36">
        <w:rPr>
          <w:rFonts w:ascii="Garamond" w:hAnsi="Garamond" w:cs="Arial"/>
          <w:i/>
          <w:iCs/>
          <w:color w:val="000000" w:themeColor="text1"/>
          <w:sz w:val="20"/>
          <w:szCs w:val="20"/>
          <w:lang w:val="en-GB"/>
        </w:rPr>
        <w:t>Simon</w:t>
      </w:r>
      <w:r w:rsidRPr="00492F36">
        <w:rPr>
          <w:rFonts w:ascii="Garamond" w:hAnsi="Garamond" w:cs="Arial"/>
          <w:color w:val="000000" w:themeColor="text1"/>
          <w:sz w:val="20"/>
          <w:szCs w:val="20"/>
          <w:lang w:val="en-GB"/>
        </w:rPr>
        <w:t xml:space="preserve"> von </w:t>
      </w:r>
      <w:r w:rsidRPr="00492F36">
        <w:rPr>
          <w:rFonts w:ascii="Garamond" w:hAnsi="Garamond" w:cs="Arial"/>
          <w:i/>
          <w:iCs/>
          <w:color w:val="000000" w:themeColor="text1"/>
          <w:sz w:val="20"/>
          <w:szCs w:val="20"/>
          <w:lang w:val="en-GB"/>
        </w:rPr>
        <w:t>Trient</w:t>
      </w:r>
      <w:r w:rsidRPr="00492F36">
        <w:rPr>
          <w:rFonts w:ascii="Garamond" w:hAnsi="Garamond" w:cs="Arial"/>
          <w:color w:val="000000" w:themeColor="text1"/>
          <w:sz w:val="20"/>
          <w:szCs w:val="20"/>
          <w:lang w:val="en-GB"/>
        </w:rPr>
        <w:t xml:space="preserve">, dessen Reliquien ich vor zwei Jahren in einer Kirche in Trient gesehen habe. Ich denke an die Blutbeschuldigung, die gerade jetzt wieder gegen die Juden erhoben wird, und an die Schrift von </w:t>
      </w:r>
      <w:r w:rsidRPr="00492F36">
        <w:rPr>
          <w:rFonts w:ascii="Garamond" w:hAnsi="Garamond" w:cs="Arial"/>
          <w:i/>
          <w:iCs/>
          <w:color w:val="000000" w:themeColor="text1"/>
          <w:sz w:val="20"/>
          <w:szCs w:val="20"/>
          <w:lang w:val="en-GB"/>
        </w:rPr>
        <w:t>Kleinpaul</w:t>
      </w:r>
      <w:r w:rsidRPr="00492F36">
        <w:rPr>
          <w:rFonts w:ascii="Garamond" w:hAnsi="Garamond" w:cs="Arial"/>
          <w:color w:val="000000" w:themeColor="text1"/>
          <w:sz w:val="20"/>
          <w:szCs w:val="20"/>
          <w:lang w:val="en-GB"/>
        </w:rPr>
        <w:t>, der in all diesen angeblichen Opfern Inkarnationen, sozusagen Neuauflagen des Heilands sieht.‹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Der Einfall ist nicht ganz ohne Zusammenhang mit dem Thema, über das wir uns unterhielten, ehe Ihnen das lateinische Wort entfiel.</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›Richtig. Ich denke ferner an einen Zeitungsartikel in einem italienischen Journal, den ich kürzlich gelesen. Ich glaube, er war überschrieben: Was der h. Augustinus über die Frauen sagt. Was machen Sie damit?‹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Ich warte.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›Also jetzt kommt etwas, was ganz gewiß ausser Zusammenhang mit unserem Thema steht.‹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Enthalten Sie sich gefälligst jeder Kritik und –</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weiß schon. Ich erinnere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eines prächtigen alten Herrn, den ich vorige Woche auf der Reise getroffen. Ein wahres </w:t>
      </w:r>
      <w:r w:rsidRPr="00492F36">
        <w:rPr>
          <w:rFonts w:ascii="Garamond" w:hAnsi="Garamond" w:cs="Arial"/>
          <w:i/>
          <w:iCs/>
          <w:color w:val="000000" w:themeColor="text1"/>
          <w:sz w:val="20"/>
          <w:szCs w:val="20"/>
          <w:lang w:val="en-GB"/>
        </w:rPr>
        <w:t>Original</w:t>
      </w:r>
      <w:r w:rsidRPr="00492F36">
        <w:rPr>
          <w:rFonts w:ascii="Garamond" w:hAnsi="Garamond" w:cs="Arial"/>
          <w:color w:val="000000" w:themeColor="text1"/>
          <w:sz w:val="20"/>
          <w:szCs w:val="20"/>
          <w:lang w:val="en-GB"/>
        </w:rPr>
        <w:t xml:space="preserve">. Er sieht aus wie ein grosser Raubvogel. Er heißt, wenn Sie es wissen wollen, </w:t>
      </w:r>
      <w:r w:rsidRPr="00492F36">
        <w:rPr>
          <w:rFonts w:ascii="Garamond" w:hAnsi="Garamond" w:cs="Arial"/>
          <w:i/>
          <w:iCs/>
          <w:color w:val="000000" w:themeColor="text1"/>
          <w:sz w:val="20"/>
          <w:szCs w:val="20"/>
          <w:lang w:val="en-GB"/>
        </w:rPr>
        <w:t>Benedikt</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Doch wenigstens eine Aneinanderreihung von Heiligen und Kirchenvätern: Der heilige </w:t>
      </w:r>
      <w:r w:rsidRPr="00492F36">
        <w:rPr>
          <w:rFonts w:ascii="Garamond" w:hAnsi="Garamond" w:cs="Arial"/>
          <w:i/>
          <w:iCs/>
          <w:color w:val="000000" w:themeColor="text1"/>
          <w:sz w:val="20"/>
          <w:szCs w:val="20"/>
          <w:lang w:val="en-GB"/>
        </w:rPr>
        <w:t>Simon</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St. Augustinus</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St. Benediktus</w:t>
      </w:r>
      <w:r w:rsidRPr="00492F36">
        <w:rPr>
          <w:rFonts w:ascii="Garamond" w:hAnsi="Garamond" w:cs="Arial"/>
          <w:color w:val="000000" w:themeColor="text1"/>
          <w:sz w:val="20"/>
          <w:szCs w:val="20"/>
          <w:lang w:val="en-GB"/>
        </w:rPr>
        <w:t xml:space="preserve">. Ein Kirchenvater hieß, glaube ich, </w:t>
      </w:r>
      <w:r w:rsidRPr="00492F36">
        <w:rPr>
          <w:rFonts w:ascii="Garamond" w:hAnsi="Garamond" w:cs="Arial"/>
          <w:i/>
          <w:iCs/>
          <w:color w:val="000000" w:themeColor="text1"/>
          <w:sz w:val="20"/>
          <w:szCs w:val="20"/>
          <w:lang w:val="en-GB"/>
        </w:rPr>
        <w:t>Origines</w:t>
      </w:r>
      <w:r w:rsidRPr="00492F36">
        <w:rPr>
          <w:rFonts w:ascii="Garamond" w:hAnsi="Garamond" w:cs="Arial"/>
          <w:color w:val="000000" w:themeColor="text1"/>
          <w:sz w:val="20"/>
          <w:szCs w:val="20"/>
          <w:lang w:val="en-GB"/>
        </w:rPr>
        <w:t xml:space="preserve">. Drei dieser Namen sind übrigens auch Vornamen, wie </w:t>
      </w:r>
      <w:r w:rsidRPr="00492F36">
        <w:rPr>
          <w:rFonts w:ascii="Garamond" w:hAnsi="Garamond" w:cs="Arial"/>
          <w:i/>
          <w:iCs/>
          <w:color w:val="000000" w:themeColor="text1"/>
          <w:sz w:val="20"/>
          <w:szCs w:val="20"/>
          <w:lang w:val="en-GB"/>
        </w:rPr>
        <w:t>Paul</w:t>
      </w:r>
      <w:r w:rsidRPr="00492F36">
        <w:rPr>
          <w:rFonts w:ascii="Garamond" w:hAnsi="Garamond" w:cs="Arial"/>
          <w:color w:val="000000" w:themeColor="text1"/>
          <w:sz w:val="20"/>
          <w:szCs w:val="20"/>
          <w:lang w:val="en-GB"/>
        </w:rPr>
        <w:t xml:space="preserve"> im Namen </w:t>
      </w:r>
      <w:r w:rsidRPr="00492F36">
        <w:rPr>
          <w:rFonts w:ascii="Garamond" w:hAnsi="Garamond" w:cs="Arial"/>
          <w:i/>
          <w:iCs/>
          <w:color w:val="000000" w:themeColor="text1"/>
          <w:sz w:val="20"/>
          <w:szCs w:val="20"/>
          <w:lang w:val="en-GB"/>
        </w:rPr>
        <w:t>Kleinpaul</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›Jetzt fällt mir der heilige </w:t>
      </w:r>
      <w:r w:rsidRPr="00492F36">
        <w:rPr>
          <w:rFonts w:ascii="Garamond" w:hAnsi="Garamond" w:cs="Arial"/>
          <w:i/>
          <w:iCs/>
          <w:color w:val="000000" w:themeColor="text1"/>
          <w:sz w:val="20"/>
          <w:szCs w:val="20"/>
          <w:lang w:val="en-GB"/>
        </w:rPr>
        <w:t>Januarius</w:t>
      </w:r>
      <w:r w:rsidRPr="00492F36">
        <w:rPr>
          <w:rFonts w:ascii="Garamond" w:hAnsi="Garamond" w:cs="Arial"/>
          <w:color w:val="000000" w:themeColor="text1"/>
          <w:sz w:val="20"/>
          <w:szCs w:val="20"/>
          <w:lang w:val="en-GB"/>
        </w:rPr>
        <w:t xml:space="preserve"> ein und sein Blutwunder – ich finde, das geht mechanisch so weiter.‹</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Lassen Sie das; der heilige </w:t>
      </w:r>
      <w:r w:rsidRPr="00492F36">
        <w:rPr>
          <w:rFonts w:ascii="Garamond" w:hAnsi="Garamond" w:cs="Arial"/>
          <w:i/>
          <w:iCs/>
          <w:color w:val="000000" w:themeColor="text1"/>
          <w:sz w:val="20"/>
          <w:szCs w:val="20"/>
          <w:lang w:val="en-GB"/>
        </w:rPr>
        <w:t>Januarius</w:t>
      </w:r>
      <w:r w:rsidRPr="00492F36">
        <w:rPr>
          <w:rFonts w:ascii="Garamond" w:hAnsi="Garamond" w:cs="Arial"/>
          <w:color w:val="000000" w:themeColor="text1"/>
          <w:sz w:val="20"/>
          <w:szCs w:val="20"/>
          <w:lang w:val="en-GB"/>
        </w:rPr>
        <w:t xml:space="preserve"> und der heilige </w:t>
      </w:r>
      <w:r w:rsidRPr="00492F36">
        <w:rPr>
          <w:rFonts w:ascii="Garamond" w:hAnsi="Garamond" w:cs="Arial"/>
          <w:i/>
          <w:iCs/>
          <w:color w:val="000000" w:themeColor="text1"/>
          <w:sz w:val="20"/>
          <w:szCs w:val="20"/>
          <w:lang w:val="en-GB"/>
        </w:rPr>
        <w:t>Augustinus</w:t>
      </w:r>
      <w:r w:rsidRPr="00492F36">
        <w:rPr>
          <w:rFonts w:ascii="Garamond" w:hAnsi="Garamond" w:cs="Arial"/>
          <w:color w:val="000000" w:themeColor="text1"/>
          <w:sz w:val="20"/>
          <w:szCs w:val="20"/>
          <w:lang w:val="en-GB"/>
        </w:rPr>
        <w:t xml:space="preserve"> haben beide mit dem Kalender zu tun. Wollen Sie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nicht an das Blutwunder erinnern?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lastRenderedPageBreak/>
        <w:t xml:space="preserve">›Das werden Sie doch kennen? In einer Kirche zu Neapel wird in einer Phiole das Blut des heiligen Januarius aufbewahrt, welches durch ein Wunder an einem bestimmten Festtage wieder </w:t>
      </w:r>
      <w:r w:rsidRPr="00492F36">
        <w:rPr>
          <w:rFonts w:ascii="Garamond" w:hAnsi="Garamond" w:cs="Arial"/>
          <w:i/>
          <w:iCs/>
          <w:color w:val="000000" w:themeColor="text1"/>
          <w:sz w:val="20"/>
          <w:szCs w:val="20"/>
          <w:lang w:val="en-GB"/>
        </w:rPr>
        <w:t>flüssig</w:t>
      </w:r>
      <w:r w:rsidRPr="00492F36">
        <w:rPr>
          <w:rFonts w:ascii="Garamond" w:hAnsi="Garamond" w:cs="Arial"/>
          <w:color w:val="000000" w:themeColor="text1"/>
          <w:sz w:val="20"/>
          <w:szCs w:val="20"/>
          <w:lang w:val="en-GB"/>
        </w:rPr>
        <w:t xml:space="preserve"> wird. Das Volk hält viel auf dieses Wunder und wird sehr aufgeregt, wenn es sich verzögert, wie es einmal zur Zeit einer französischen Okkupation geschah. Da nahm der kommandierende General – oder irre ich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war es Garibaldi? – den geistlichen Herrn bei Seite und bedeutete ihm mit einer sehr verständlichen Geberde auf die draussen aufgestellten Soldaten, er </w:t>
      </w:r>
      <w:r w:rsidRPr="00492F36">
        <w:rPr>
          <w:rFonts w:ascii="Garamond" w:hAnsi="Garamond" w:cs="Arial"/>
          <w:i/>
          <w:iCs/>
          <w:color w:val="000000" w:themeColor="text1"/>
          <w:sz w:val="20"/>
          <w:szCs w:val="20"/>
          <w:lang w:val="en-GB"/>
        </w:rPr>
        <w:t>hoffe</w:t>
      </w:r>
      <w:r w:rsidRPr="00492F36">
        <w:rPr>
          <w:rFonts w:ascii="Garamond" w:hAnsi="Garamond" w:cs="Arial"/>
          <w:color w:val="000000" w:themeColor="text1"/>
          <w:sz w:val="20"/>
          <w:szCs w:val="20"/>
          <w:lang w:val="en-GB"/>
        </w:rPr>
        <w:t>, das Wunder werde sich sehr bald vollziehen. Und es vollzog sich wirklich ...‹</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Nun und weiter? Warum stocken Sie?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›Jetzt ist mir allerdings etwas eingefallen ... das ist aber zu intim für die Mitteilung .. Ich sehe übrigens keinen Zusammenhang und keine Nötigung, es zu erzählen.‹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Für den Zusammenhang würde ich sorgen. Ich kann Sie ja nicht zwingen, zu erzählen, was Ihnen unangenehm ist; dann verlangen Sie aber auch nicht von mir zu wissen, auf welchem Wege Sie jenes Wort </w:t>
      </w:r>
      <w:r w:rsidRPr="00492F36">
        <w:rPr>
          <w:rFonts w:ascii="Garamond" w:hAnsi="Garamond" w:cs="Arial"/>
          <w:i/>
          <w:iCs/>
          <w:color w:val="000000" w:themeColor="text1"/>
          <w:sz w:val="20"/>
          <w:szCs w:val="20"/>
          <w:lang w:val="en-GB"/>
        </w:rPr>
        <w:t>›aliquis‹</w:t>
      </w:r>
      <w:r w:rsidRPr="00492F36">
        <w:rPr>
          <w:rFonts w:ascii="Garamond" w:hAnsi="Garamond" w:cs="Arial"/>
          <w:color w:val="000000" w:themeColor="text1"/>
          <w:sz w:val="20"/>
          <w:szCs w:val="20"/>
          <w:lang w:val="en-GB"/>
        </w:rPr>
        <w:t xml:space="preserve"> vergessen haben.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›Wirklich? Glauben Sie? Also ich habe plötzlich an eine Dame gedacht, von der ich leicht eine Nachricht bekommen könnte, die uns beiden recht unangenehm wäre.‹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Daß ihr die Periode ausgeblieben ist?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›Wie können Sie das erraten?‹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Das ist nicht mehr schwierig. Sie haben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genügend darauf vorbereitet. Denken Sie an die </w:t>
      </w:r>
      <w:r w:rsidRPr="00492F36">
        <w:rPr>
          <w:rFonts w:ascii="Garamond" w:hAnsi="Garamond" w:cs="Arial"/>
          <w:i/>
          <w:iCs/>
          <w:color w:val="000000" w:themeColor="text1"/>
          <w:sz w:val="20"/>
          <w:szCs w:val="20"/>
          <w:lang w:val="en-GB"/>
        </w:rPr>
        <w:t>Kalenderheiligen</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an das Flüssigwerden des Blutes zu einem bestimmten Tage</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den Aufruhr, wenn das Ereignis nicht eintritt</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die deutliche Drohung, daß das Wunder vor sich gehen muß, sonst</w:t>
      </w:r>
      <w:r w:rsidRPr="00492F36">
        <w:rPr>
          <w:rFonts w:ascii="Garamond" w:hAnsi="Garamond" w:cs="Arial"/>
          <w:color w:val="000000" w:themeColor="text1"/>
          <w:sz w:val="20"/>
          <w:szCs w:val="20"/>
          <w:lang w:val="en-GB"/>
        </w:rPr>
        <w:t xml:space="preserve"> .. Sie haben ja das Wunder des heiligen Januarius zu einer prächtigen Anspielung auf die Periode der Frau verarbeitet.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›Ohne daß ich es gewußt hätte. Und Sie meinen wirklich, wegen dieser ängstlichen Erwartung hätte ich das Wörtchen » </w:t>
      </w:r>
      <w:r w:rsidRPr="00492F36">
        <w:rPr>
          <w:rFonts w:ascii="Garamond" w:hAnsi="Garamond" w:cs="Arial"/>
          <w:i/>
          <w:iCs/>
          <w:color w:val="000000" w:themeColor="text1"/>
          <w:sz w:val="20"/>
          <w:szCs w:val="20"/>
          <w:lang w:val="en-GB"/>
        </w:rPr>
        <w:t>aliquis</w:t>
      </w:r>
      <w:r w:rsidRPr="00492F36">
        <w:rPr>
          <w:rFonts w:ascii="Garamond" w:hAnsi="Garamond" w:cs="Arial"/>
          <w:color w:val="000000" w:themeColor="text1"/>
          <w:sz w:val="20"/>
          <w:szCs w:val="20"/>
          <w:lang w:val="en-GB"/>
        </w:rPr>
        <w:t>« nicht reproduzieren können?‹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Das scheint mir unzweifelhaft. Erinnern Sie sich doch an Ihre Zerlegung in </w:t>
      </w:r>
      <w:r w:rsidRPr="00492F36">
        <w:rPr>
          <w:rFonts w:ascii="Garamond" w:hAnsi="Garamond" w:cs="Arial"/>
          <w:i/>
          <w:iCs/>
          <w:color w:val="000000" w:themeColor="text1"/>
          <w:sz w:val="20"/>
          <w:szCs w:val="20"/>
          <w:lang w:val="en-GB"/>
        </w:rPr>
        <w:t>a–liquis</w:t>
      </w:r>
      <w:r w:rsidRPr="00492F36">
        <w:rPr>
          <w:rFonts w:ascii="Garamond" w:hAnsi="Garamond" w:cs="Arial"/>
          <w:color w:val="000000" w:themeColor="text1"/>
          <w:sz w:val="20"/>
          <w:szCs w:val="20"/>
          <w:lang w:val="en-GB"/>
        </w:rPr>
        <w:t xml:space="preserve"> und an die Assoziationen: </w:t>
      </w:r>
      <w:r w:rsidRPr="00492F36">
        <w:rPr>
          <w:rFonts w:ascii="Garamond" w:hAnsi="Garamond" w:cs="Arial"/>
          <w:i/>
          <w:iCs/>
          <w:color w:val="000000" w:themeColor="text1"/>
          <w:sz w:val="20"/>
          <w:szCs w:val="20"/>
          <w:lang w:val="en-GB"/>
        </w:rPr>
        <w:t>Reliquien</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Liquidation</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Flüssigkeit</w:t>
      </w:r>
      <w:r w:rsidRPr="00492F36">
        <w:rPr>
          <w:rFonts w:ascii="Garamond" w:hAnsi="Garamond" w:cs="Arial"/>
          <w:color w:val="000000" w:themeColor="text1"/>
          <w:sz w:val="20"/>
          <w:szCs w:val="20"/>
          <w:lang w:val="en-GB"/>
        </w:rPr>
        <w:t xml:space="preserve">. Soll ich noch den als </w:t>
      </w:r>
      <w:r w:rsidRPr="00492F36">
        <w:rPr>
          <w:rFonts w:ascii="Garamond" w:hAnsi="Garamond" w:cs="Arial"/>
          <w:i/>
          <w:iCs/>
          <w:color w:val="000000" w:themeColor="text1"/>
          <w:sz w:val="20"/>
          <w:szCs w:val="20"/>
          <w:lang w:val="en-GB"/>
        </w:rPr>
        <w:t>Kind hingeopferten</w:t>
      </w:r>
      <w:r w:rsidRPr="00492F36">
        <w:rPr>
          <w:rFonts w:ascii="Garamond" w:hAnsi="Garamond" w:cs="Arial"/>
          <w:color w:val="000000" w:themeColor="text1"/>
          <w:sz w:val="20"/>
          <w:szCs w:val="20"/>
          <w:lang w:val="en-GB"/>
        </w:rPr>
        <w:t xml:space="preserve"> heiligen Simon, auf den Sie von den Reliquien her kamen, in den Zusammenhang einflechten?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t xml:space="preserve">›Tun Sie das lieber nicht. </w:t>
      </w:r>
      <w:r w:rsidRPr="00492F36">
        <w:rPr>
          <w:rFonts w:ascii="Garamond" w:hAnsi="Garamond" w:cs="Arial"/>
          <w:color w:val="000000" w:themeColor="text1"/>
          <w:sz w:val="20"/>
          <w:szCs w:val="20"/>
          <w:lang w:val="en-GB"/>
        </w:rPr>
        <w:t>Ich hoffe, Sie nehmen diese Gedanken, wenn ich sie wirklich gehabt habe, nicht für Ernst. Ich will Ihnen dafür gestehen, daß die Dame eine Italienerin ist, in deren Gesellschaft ich auch Neapel besucht habe. Kann das aber nicht alles Zufall sein?‹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Ich muß es Ihrer eigenen Beurteilung überlassen, ob Sie sich alle diese Zusammenhänge durch die Annahme eines Zufalls aufklären können. Ich sage Ihnen aber, jeder ähnliche Fall, den Sie analysieren wollen, wird Sie auf ebenso merkwürdige ›Zufälle‹ führen.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habe mehrere Gründe, diese kleine Analyse, für deren Überlassung ich meinem damaligen Reisegenossen Dank schulde, zu schätzen. Erstens, weil mir in diesem Falle gestattet war, aus einer Quelle zu schöpfen, die mir sonst versagt ist. Ich bin zumeist genötigt, die Beispiele von psychischer Funktionsstörung im täglichen Leben, die ich hier zusammenstelle, meiner Selbstbeobachtung zu entnehmen. Das weit reichere Material, das mir meine neurotischen Patienten liefern, suche ich zu vermeiden, weil ich den Einwand fürchten muß, die betreffenden Phänomene seien eben Erfolge und Äußerungen der Neurose. Es hat also besonderen Wert für meine Zwecke, wenn sich eine nervengesunde fremde Person zum Objekt einer solchen Untersuchung erbietet. In anderer Hinsicht wird mir diese Analyse bedeutungsvoll, indem sie einen Fall von Wortvergessen </w:t>
      </w:r>
      <w:r w:rsidRPr="00492F36">
        <w:rPr>
          <w:rFonts w:ascii="Garamond" w:hAnsi="Garamond" w:cs="Arial"/>
          <w:i/>
          <w:iCs/>
          <w:color w:val="000000" w:themeColor="text1"/>
          <w:sz w:val="20"/>
          <w:szCs w:val="20"/>
          <w:lang w:val="en-GB"/>
        </w:rPr>
        <w:t>ohne</w:t>
      </w:r>
      <w:r w:rsidRPr="00492F36">
        <w:rPr>
          <w:rFonts w:ascii="Garamond" w:hAnsi="Garamond" w:cs="Arial"/>
          <w:color w:val="000000" w:themeColor="text1"/>
          <w:sz w:val="20"/>
          <w:szCs w:val="20"/>
          <w:lang w:val="en-GB"/>
        </w:rPr>
        <w:t xml:space="preserve"> Ersatzerinnern beleuchtet und meinen vorhin aufgestellten Satz bestätigt, daß das Auftauchen oder Ausbleiben von unrichtigen Ersatzerinnerungen eine wesentliche Unterscheidung nicht begründen kann. </w:t>
      </w:r>
      <w:hyperlink r:id="rId265"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 xml:space="preserve">Feinere Beobachtung schränkt den Gegensatz zwischen der Analyse: </w:t>
        </w:r>
        <w:r w:rsidRPr="00492F36">
          <w:rPr>
            <w:rStyle w:val="innerfusslink3"/>
            <w:rFonts w:ascii="Garamond" w:hAnsi="Garamond" w:cs="Arial"/>
            <w:b/>
            <w:bCs/>
            <w:i/>
            <w:iCs/>
            <w:color w:val="000000" w:themeColor="text1"/>
            <w:sz w:val="20"/>
            <w:szCs w:val="20"/>
          </w:rPr>
          <w:t>Signorelli</w:t>
        </w:r>
        <w:r w:rsidRPr="00492F36">
          <w:rPr>
            <w:rStyle w:val="innerfusslink3"/>
            <w:rFonts w:ascii="Garamond" w:hAnsi="Garamond" w:cs="Arial"/>
            <w:b/>
            <w:bCs/>
            <w:color w:val="000000" w:themeColor="text1"/>
            <w:sz w:val="20"/>
            <w:szCs w:val="20"/>
          </w:rPr>
          <w:t xml:space="preserve"> und der: betreffs der Ersatzerinnerungen um Einiges ein. Auch hier scheint nämlich das Vergessen von einer Ersatzbildung begleitet zu sein. Als ich an meinen Partner nachträglich die Frage stellte, ob ihm bei seinen Bemühungen, das fehlende Wort zu erinnern, nicht irgend etwas zum Ersatz eingefallen sei, berichtete er, daß er zunächst die Versuchung verspürt habe, ein </w:t>
        </w:r>
        <w:r w:rsidRPr="00492F36">
          <w:rPr>
            <w:rStyle w:val="innerfusslink3"/>
            <w:rFonts w:ascii="Garamond" w:hAnsi="Garamond" w:cs="Arial"/>
            <w:b/>
            <w:bCs/>
            <w:i/>
            <w:iCs/>
            <w:color w:val="000000" w:themeColor="text1"/>
            <w:sz w:val="20"/>
            <w:szCs w:val="20"/>
          </w:rPr>
          <w:t>ab</w:t>
        </w:r>
        <w:r w:rsidRPr="00492F36">
          <w:rPr>
            <w:rStyle w:val="innerfusslink3"/>
            <w:rFonts w:ascii="Garamond" w:hAnsi="Garamond" w:cs="Arial"/>
            <w:b/>
            <w:bCs/>
            <w:color w:val="000000" w:themeColor="text1"/>
            <w:sz w:val="20"/>
            <w:szCs w:val="20"/>
          </w:rPr>
          <w:t xml:space="preserve"> in den Vers zu bringen: </w:t>
        </w:r>
        <w:r w:rsidRPr="00492F36">
          <w:rPr>
            <w:rStyle w:val="innerfusslink3"/>
            <w:rFonts w:ascii="Garamond" w:hAnsi="Garamond" w:cs="Arial"/>
            <w:b/>
            <w:bCs/>
            <w:i/>
            <w:iCs/>
            <w:color w:val="000000" w:themeColor="text1"/>
            <w:sz w:val="20"/>
            <w:szCs w:val="20"/>
          </w:rPr>
          <w:t>nostris ab ossibus</w:t>
        </w:r>
        <w:r w:rsidRPr="00492F36">
          <w:rPr>
            <w:rStyle w:val="innerfusslink3"/>
            <w:rFonts w:ascii="Garamond" w:hAnsi="Garamond" w:cs="Arial"/>
            <w:b/>
            <w:bCs/>
            <w:color w:val="000000" w:themeColor="text1"/>
            <w:sz w:val="20"/>
            <w:szCs w:val="20"/>
          </w:rPr>
          <w:t xml:space="preserve"> (vielleicht das unverknüpfte Stück von </w:t>
        </w:r>
        <w:r w:rsidRPr="00492F36">
          <w:rPr>
            <w:rStyle w:val="innerfusslink3"/>
            <w:rFonts w:ascii="Garamond" w:hAnsi="Garamond" w:cs="Arial"/>
            <w:b/>
            <w:bCs/>
            <w:i/>
            <w:iCs/>
            <w:color w:val="000000" w:themeColor="text1"/>
            <w:sz w:val="20"/>
            <w:szCs w:val="20"/>
          </w:rPr>
          <w:t>a-liquis</w:t>
        </w:r>
        <w:r w:rsidRPr="00492F36">
          <w:rPr>
            <w:rStyle w:val="innerfusslink3"/>
            <w:rFonts w:ascii="Garamond" w:hAnsi="Garamond" w:cs="Arial"/>
            <w:b/>
            <w:bCs/>
            <w:color w:val="000000" w:themeColor="text1"/>
            <w:sz w:val="20"/>
            <w:szCs w:val="20"/>
          </w:rPr>
          <w:t xml:space="preserve">) und dann, daß sich ihm das </w:t>
        </w:r>
        <w:r w:rsidRPr="00492F36">
          <w:rPr>
            <w:rStyle w:val="innerfusslink3"/>
            <w:rFonts w:ascii="Garamond" w:hAnsi="Garamond" w:cs="Arial"/>
            <w:b/>
            <w:bCs/>
            <w:i/>
            <w:iCs/>
            <w:color w:val="000000" w:themeColor="text1"/>
            <w:sz w:val="20"/>
            <w:szCs w:val="20"/>
          </w:rPr>
          <w:t>Exoriare</w:t>
        </w:r>
        <w:r w:rsidRPr="00492F36">
          <w:rPr>
            <w:rStyle w:val="innerfusslink3"/>
            <w:rFonts w:ascii="Garamond" w:hAnsi="Garamond" w:cs="Arial"/>
            <w:b/>
            <w:bCs/>
            <w:color w:val="000000" w:themeColor="text1"/>
            <w:sz w:val="20"/>
            <w:szCs w:val="20"/>
          </w:rPr>
          <w:t xml:space="preserve"> besonders deutlich und hartnäckig aufgedrängt habe. </w:t>
        </w:r>
        <w:r w:rsidRPr="00492F36">
          <w:rPr>
            <w:rStyle w:val="innerfusslink3"/>
            <w:rFonts w:ascii="Garamond" w:hAnsi="Garamond" w:cs="Arial"/>
            <w:b/>
            <w:bCs/>
            <w:color w:val="000000" w:themeColor="text1"/>
            <w:sz w:val="20"/>
            <w:szCs w:val="20"/>
            <w:lang w:val="en-GB"/>
          </w:rPr>
          <w:t xml:space="preserve">Als Skeptiker setzte er hinzu, offenbar weil es das erste Wort des Verses war. Als ich ihn bat, doch auf die Assoziationen von Exoriare aus zu achten, gab er mir Exorzismus an. Ich kann mir also sehr wohl denken, daß die Verstärkung von Exoriare in der Reproduktion eigentlich den Wert einer solchen Ersatzbildung hatte. Dieselbe wäre über die Assoziation: </w:t>
        </w:r>
        <w:r w:rsidRPr="00492F36">
          <w:rPr>
            <w:rStyle w:val="innerfusslink3"/>
            <w:rFonts w:ascii="Garamond" w:hAnsi="Garamond" w:cs="Arial"/>
            <w:b/>
            <w:bCs/>
            <w:i/>
            <w:iCs/>
            <w:color w:val="000000" w:themeColor="text1"/>
            <w:sz w:val="20"/>
            <w:szCs w:val="20"/>
            <w:lang w:val="en-GB"/>
          </w:rPr>
          <w:t>Exorzismus</w:t>
        </w:r>
        <w:r w:rsidRPr="00492F36">
          <w:rPr>
            <w:rStyle w:val="innerfusslink3"/>
            <w:rFonts w:ascii="Garamond" w:hAnsi="Garamond" w:cs="Arial"/>
            <w:b/>
            <w:bCs/>
            <w:color w:val="000000" w:themeColor="text1"/>
            <w:sz w:val="20"/>
            <w:szCs w:val="20"/>
            <w:lang w:val="en-GB"/>
          </w:rPr>
          <w:t xml:space="preserve"> von den Namen der </w:t>
        </w:r>
        <w:r w:rsidRPr="00492F36">
          <w:rPr>
            <w:rStyle w:val="innerfusslink3"/>
            <w:rFonts w:ascii="Garamond" w:hAnsi="Garamond" w:cs="Arial"/>
            <w:b/>
            <w:bCs/>
            <w:i/>
            <w:iCs/>
            <w:color w:val="000000" w:themeColor="text1"/>
            <w:sz w:val="20"/>
            <w:szCs w:val="20"/>
            <w:lang w:val="en-GB"/>
          </w:rPr>
          <w:t>Heiligen</w:t>
        </w:r>
        <w:r w:rsidRPr="00492F36">
          <w:rPr>
            <w:rStyle w:val="innerfusslink3"/>
            <w:rFonts w:ascii="Garamond" w:hAnsi="Garamond" w:cs="Arial"/>
            <w:b/>
            <w:bCs/>
            <w:color w:val="000000" w:themeColor="text1"/>
            <w:sz w:val="20"/>
            <w:szCs w:val="20"/>
            <w:lang w:val="en-GB"/>
          </w:rPr>
          <w:t xml:space="preserve"> her erfolgt. Indes sind dies Feinheiten, auf die man keinen Wert zu legen braucht. – Es erscheint nun aber wohl möglich, daß das Auftreten irgend einer Art von Ersatzerinnerung ein konstantes, vielleicht auch nur ein charakteristisches und verräterisches Zeichen des tendenziösen, durch Verdrängung motivierten Vergessens ist. Diese Ersatzbildung bestände auch dort, wo das Auftauchen unrichtiger Ersatzbildungen ausbleibt, in der Verstärkung eines Elementes, welches dem vergessenen benachbart ist. Im Beispiele: Signorelli war z. B., solange mir der Name des </w:t>
        </w:r>
        <w:r w:rsidRPr="00492F36">
          <w:rPr>
            <w:rStyle w:val="innerfusslink3"/>
            <w:rFonts w:ascii="Garamond" w:hAnsi="Garamond" w:cs="Arial"/>
            <w:b/>
            <w:bCs/>
            <w:color w:val="000000" w:themeColor="text1"/>
            <w:sz w:val="20"/>
            <w:szCs w:val="20"/>
            <w:lang w:val="en-GB"/>
          </w:rPr>
          <w:lastRenderedPageBreak/>
          <w:t xml:space="preserve">Malers unzugänglich blieb, die visuelle Erinnerung an den Zyklus von Fresken und an sein in der Ecke eines Bildes angebrachtes Selbstportrait </w:t>
        </w:r>
        <w:r w:rsidRPr="00492F36">
          <w:rPr>
            <w:rStyle w:val="innerfusslink3"/>
            <w:rFonts w:ascii="Garamond" w:hAnsi="Garamond" w:cs="Arial"/>
            <w:b/>
            <w:bCs/>
            <w:i/>
            <w:iCs/>
            <w:color w:val="000000" w:themeColor="text1"/>
            <w:sz w:val="20"/>
            <w:szCs w:val="20"/>
            <w:lang w:val="en-GB"/>
          </w:rPr>
          <w:t>überdeutlich</w:t>
        </w:r>
        <w:r w:rsidRPr="00492F36">
          <w:rPr>
            <w:rStyle w:val="innerfusslink3"/>
            <w:rFonts w:ascii="Garamond" w:hAnsi="Garamond" w:cs="Arial"/>
            <w:b/>
            <w:bCs/>
            <w:color w:val="000000" w:themeColor="text1"/>
            <w:sz w:val="20"/>
            <w:szCs w:val="20"/>
            <w:lang w:val="en-GB"/>
          </w:rPr>
          <w:t>, jedenfalls weit intensiver als visuelle Erinnerungsspuren sonst bei mir auftreten. In einem anderen Falle, der gleichfalls in der Abhandlung von 1898 mitgeteilt ist, hatte ich von der Adresse eines mir unbequemen Besuches in einer fremden Stadt den Straßennamen hoffnungslos vergessen, die Hausnummer aber wie zum Spott – überdeutlich gemerkt, während sonst das Erinnern von Zahlen mir die größte Schwierigkeit bereitet.</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lang w:val="en-GB"/>
        </w:rPr>
        <w:t xml:space="preserve">Der Hauptwert des Beispieles: </w:t>
      </w:r>
      <w:r w:rsidRPr="00492F36">
        <w:rPr>
          <w:rFonts w:ascii="Garamond" w:hAnsi="Garamond" w:cs="Arial"/>
          <w:i/>
          <w:iCs/>
          <w:color w:val="000000" w:themeColor="text1"/>
          <w:sz w:val="20"/>
          <w:szCs w:val="20"/>
          <w:lang w:val="en-GB"/>
        </w:rPr>
        <w:t>aliquis</w:t>
      </w:r>
      <w:r w:rsidRPr="00492F36">
        <w:rPr>
          <w:rFonts w:ascii="Garamond" w:hAnsi="Garamond" w:cs="Arial"/>
          <w:color w:val="000000" w:themeColor="text1"/>
          <w:sz w:val="20"/>
          <w:szCs w:val="20"/>
          <w:lang w:val="en-GB"/>
        </w:rPr>
        <w:t xml:space="preserve"> ist aber in einem anderen seiner Unterschiede von dem Falle: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gelegen. Im letzteren Beispiel wird die Reproduktion des Namens gestört durch die Nachwirkung eines Gedankenganges, der kurz vorher begonnen und abgebrochen wurde, dessen Inhalt aber in keinem deutlichen Zusammenhang mit dem neuen Thema stand, in dem der Name Signorelli enthalten war. Zwischen dem verdrängten und dem Thema des vergessenen Namens bestand bloß die Beziehung der zeitlichen Kontiguität; dieselbe reichte hin, damit sich die beiden durch eine äußerliche Assoziation in Verbindung setzen konnten. </w:t>
      </w:r>
      <w:hyperlink r:id="rId266"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Ich möchte für das Fehlen eines inneren Zusammenhanges zwischen den beiden Gedankenkreisen im Falle Signorelli nicht mit voller Überzeugung einstehen. Bei sorgfältiger Verfolgung der verdrängten Gedanken über das Thema von Tod und Sexualleben stößt man doch auf eine Idee, die sich mit dem Thema des Cyclus von Orvieto nahe berührt.</w:t>
        </w:r>
      </w:hyperlink>
      <w:r w:rsidRPr="00492F36">
        <w:rPr>
          <w:rFonts w:ascii="Garamond" w:hAnsi="Garamond" w:cs="Arial"/>
          <w:color w:val="000000" w:themeColor="text1"/>
          <w:sz w:val="20"/>
          <w:szCs w:val="20"/>
        </w:rPr>
        <w:t xml:space="preserve"> Im Beispiele: </w:t>
      </w:r>
      <w:r w:rsidRPr="00492F36">
        <w:rPr>
          <w:rFonts w:ascii="Garamond" w:hAnsi="Garamond" w:cs="Arial"/>
          <w:i/>
          <w:iCs/>
          <w:color w:val="000000" w:themeColor="text1"/>
          <w:sz w:val="20"/>
          <w:szCs w:val="20"/>
        </w:rPr>
        <w:t>aliquis</w:t>
      </w:r>
      <w:r w:rsidRPr="00492F36">
        <w:rPr>
          <w:rFonts w:ascii="Garamond" w:hAnsi="Garamond" w:cs="Arial"/>
          <w:color w:val="000000" w:themeColor="text1"/>
          <w:sz w:val="20"/>
          <w:szCs w:val="20"/>
        </w:rPr>
        <w:t xml:space="preserve"> hingegen ist von einem solchen unabhängigen verdrängten Thema, welches unmittelbar vorher das bewußte Denken beschäftigt hätte und nun als Störung nachklänge, nichts zu merken. </w:t>
      </w:r>
      <w:r w:rsidRPr="00492F36">
        <w:rPr>
          <w:rFonts w:ascii="Garamond" w:hAnsi="Garamond" w:cs="Arial"/>
          <w:color w:val="000000" w:themeColor="text1"/>
          <w:sz w:val="20"/>
          <w:szCs w:val="20"/>
          <w:lang w:val="en-GB"/>
        </w:rPr>
        <w:t xml:space="preserve">Die Störung der Reproduktion erfolgt hier aus dem Inneren des angeschlagenen Themas heraus, indem sich unbewußt ein Widerspruch gegen die im Zitat dargestellte Wunschidee erhebt. Man muß sich den Hergang in folgender Art konstruieren: Der Redner hat bedauert, daß die gegenwärtige Generation seines Volkes in ihren Rechten verkürzt wird; eine neue Generation, weissagt er wie Dido, wird die Rache an den Bedrängern übernehmen. Er hat also den Wunsch nach Nachkommenschaft ausgesprochen. In diesem Momente fährt ihm ein widersprechender Gedanke dazwischen. »Wünschest du dir Nachkommenschaft wirklich so lebhaft? Das ist nicht wahr. In welche Verlegenheit kämest du, wenn du jetzt die Nachricht erhieltest, daß du von der einen Seite, die du kennst, Nachkommen zu erwarten hast? </w:t>
      </w:r>
      <w:r w:rsidRPr="00492F36">
        <w:rPr>
          <w:rFonts w:ascii="Garamond" w:hAnsi="Garamond" w:cs="Arial"/>
          <w:color w:val="000000" w:themeColor="text1"/>
          <w:sz w:val="20"/>
          <w:szCs w:val="20"/>
        </w:rPr>
        <w:t>Nein, keine Nachkommenschaft, – wiewohl wir sie für die Rache brauchen.« Dieser Widerspruch bringt sich nun zur Geltung, indem er genau wie im Beispiel Signorelli eine äußerliche Assoziation zwischen einem seiner Vorstellungselemente und einem Elemente des beanstandeten Wunsches herstellt, und zwar diesmal auf eine höchst gewaltsame Weise durch einen gekünstelt erscheinenden Assoziationsumweg. Eine zweite wesentliche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t xml:space="preserve">Übereinstimmung mit dem Beispiel Signorelli ergibt sich daraus, daß der Widerspruch aus verdrängten Quellen stammt und von Gedanken ausgeht, welche eine Abwendung der Aufmerksamkeit hervorrufen würden. – Soviel über die Verschiedenheit und über die innere Verwandtschaft der beiden Paradigmata des Namenvergessens. Wir haben einen zweiten Mechanismus des Vergessens kennen gelernt, die Störung eines Gedankens durch einen aus dem Verdrängten kommenden inneren Widerspruch. </w:t>
      </w:r>
      <w:r w:rsidRPr="00492F36">
        <w:rPr>
          <w:rFonts w:ascii="Garamond" w:hAnsi="Garamond" w:cs="Arial"/>
          <w:color w:val="000000" w:themeColor="text1"/>
          <w:sz w:val="20"/>
          <w:szCs w:val="20"/>
          <w:lang w:val="en-GB"/>
        </w:rPr>
        <w:t>Wir werden diesem Vorgang, der uns als der leichter verständliche erscheint, im Laufe dieser Erörterungen noch wiederholt begegnen.</w:t>
      </w:r>
    </w:p>
    <w:p w:rsidR="007D5EBB" w:rsidRDefault="007D5EBB">
      <w:pPr>
        <w:rPr>
          <w:rFonts w:ascii="Garamond" w:hAnsi="Garamond" w:cs="Arial"/>
          <w:b/>
          <w:bCs/>
          <w:color w:val="000000" w:themeColor="text1"/>
          <w:sz w:val="20"/>
          <w:szCs w:val="20"/>
          <w:lang w:val="en-GB"/>
        </w:rPr>
      </w:pPr>
      <w:r>
        <w:rPr>
          <w:rFonts w:ascii="Garamond" w:hAnsi="Garamond" w:cs="Arial"/>
          <w:b/>
          <w:bCs/>
          <w:color w:val="000000" w:themeColor="text1"/>
          <w:sz w:val="20"/>
          <w:szCs w:val="20"/>
          <w:lang w:val="en-GB"/>
        </w:rPr>
        <w:br w:type="page"/>
      </w:r>
    </w:p>
    <w:p w:rsidR="000D4CB9" w:rsidRPr="00492F36" w:rsidRDefault="00B437A1" w:rsidP="007D5EBB">
      <w:pPr>
        <w:shd w:val="clear" w:color="auto" w:fill="FFFFFF"/>
        <w:spacing w:before="75" w:after="75" w:line="210" w:lineRule="atLeast"/>
        <w:outlineLvl w:val="4"/>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III.</w:t>
        </w:r>
        <w:r w:rsidR="007D5EBB" w:rsidRPr="007D5EBB">
          <w:rPr>
            <w:rStyle w:val="Lienhypertexte"/>
            <w:rFonts w:ascii="Garamond" w:hAnsi="Garamond" w:cs="Arial"/>
            <w:b/>
            <w:bCs/>
            <w:sz w:val="20"/>
            <w:szCs w:val="20"/>
            <w:lang w:val="en-GB"/>
          </w:rPr>
          <w:t xml:space="preserve"> </w:t>
        </w:r>
        <w:r w:rsidR="000D4CB9" w:rsidRPr="007D5EBB">
          <w:rPr>
            <w:rStyle w:val="Lienhypertexte"/>
            <w:rFonts w:ascii="Garamond" w:hAnsi="Garamond" w:cs="Arial"/>
            <w:b/>
            <w:bCs/>
            <w:sz w:val="20"/>
            <w:szCs w:val="20"/>
            <w:lang w:val="en-GB"/>
          </w:rPr>
          <w:t>Üb</w:t>
        </w:r>
        <w:bookmarkStart w:id="90" w:name="Alltagslebens_3"/>
        <w:bookmarkEnd w:id="90"/>
        <w:r w:rsidR="000D4CB9" w:rsidRPr="007D5EBB">
          <w:rPr>
            <w:rStyle w:val="Lienhypertexte"/>
            <w:rFonts w:ascii="Garamond" w:hAnsi="Garamond" w:cs="Arial"/>
            <w:b/>
            <w:bCs/>
            <w:sz w:val="20"/>
            <w:szCs w:val="20"/>
            <w:lang w:val="en-GB"/>
          </w:rPr>
          <w:t>er die Deckerinnerungen.</w:t>
        </w:r>
      </w:hyperlink>
    </w:p>
    <w:p w:rsidR="000D4CB9" w:rsidRPr="00492F36" w:rsidRDefault="000D4CB9" w:rsidP="000D4CB9">
      <w:pPr>
        <w:shd w:val="clear" w:color="auto" w:fill="FFFFFF"/>
        <w:spacing w:before="120" w:after="120" w:line="210"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In einer zweiten Abhandlung (</w:t>
      </w:r>
      <w:smartTag w:uri="urn:schemas-microsoft-com:office:smarttags" w:element="metricconverter">
        <w:smartTagPr>
          <w:attr w:name="ProductID" w:val="1899 in"/>
        </w:smartTagPr>
        <w:r w:rsidRPr="00492F36">
          <w:rPr>
            <w:rFonts w:ascii="Garamond" w:hAnsi="Garamond" w:cs="Arial"/>
            <w:color w:val="000000" w:themeColor="text1"/>
            <w:sz w:val="20"/>
            <w:szCs w:val="20"/>
            <w:lang w:val="en-GB"/>
          </w:rPr>
          <w:t>1899 in</w:t>
        </w:r>
      </w:smartTag>
      <w:r w:rsidRPr="00492F36">
        <w:rPr>
          <w:rFonts w:ascii="Garamond" w:hAnsi="Garamond" w:cs="Arial"/>
          <w:color w:val="000000" w:themeColor="text1"/>
          <w:sz w:val="20"/>
          <w:szCs w:val="20"/>
          <w:lang w:val="en-GB"/>
        </w:rPr>
        <w:t xml:space="preserve"> der </w:t>
      </w:r>
      <w:r w:rsidRPr="00492F36">
        <w:rPr>
          <w:rFonts w:ascii="Garamond" w:hAnsi="Garamond" w:cs="Arial"/>
          <w:i/>
          <w:iCs/>
          <w:color w:val="000000" w:themeColor="text1"/>
          <w:sz w:val="20"/>
          <w:szCs w:val="20"/>
          <w:lang w:val="en-GB"/>
        </w:rPr>
        <w:t>Monatsschrift für Psychiatrie und Neurologie</w:t>
      </w:r>
      <w:r w:rsidRPr="00492F36">
        <w:rPr>
          <w:rFonts w:ascii="Garamond" w:hAnsi="Garamond" w:cs="Arial"/>
          <w:color w:val="000000" w:themeColor="text1"/>
          <w:sz w:val="20"/>
          <w:szCs w:val="20"/>
          <w:lang w:val="en-GB"/>
        </w:rPr>
        <w:t xml:space="preserve"> veröffentlicht) habe ich die tendenziöse Natur unseres Erinnerns an unvermuteter Stelle nachweisen können. Ich bin von der auffälligen Tatsache ausgegangen, daß die frühesten Kindheitserinnerungen einer Person häufig bewahrt zu haben scheinen, was gleichgiltig und nebensächlich ist, während von wichtigen, eindrucksvollen und affektreichen Eindrücken dieser Zeit (häufig, gewiß nicht allgemein!) sich im Gedächtnis des Erwachsenen keine Spur vorfindet. Da es bekannt ist, daß das Gedächtnis unter den ihm dargebotenen Eindrücken eine Auswahl trifft, stände man hier vor der Annahme, daß diese Auswahl im Kindesalter nach ganz anderen Prinzipien vor sich geht, als zur Zeit der intellektuellen Reife. Eingehende Untersuchung weist aber nach, daß diese Annahme überflüssig ist. Die indifferenten Kindheitserinnerungen verdanken ihre Existenz einem Verschiebungsvorgang; sie sind der Ersatz in der Reproduktion für andere wirklich bedeutsame Eindrücke, deren Erinnerung sich durch psychische Analyse aus ihnen entwickeln läßt, deren direkte Reproduktion aber durch einen Widerstand gehindert ist. Da sie ihre Erhaltung nicht dem eigenen Inhalt, sondern einer assoziativen Beziehung ihres Inhaltes zu einem anderen, verdrängten, verdanken, haben sie auf den Namen »Deckerinnerungen«, mit welchem ich sie ausgezeichnet habe, begründeten Anspruch.</w:t>
      </w:r>
    </w:p>
    <w:p w:rsidR="000D4CB9" w:rsidRPr="00492F36" w:rsidRDefault="000D4CB9" w:rsidP="000D4CB9">
      <w:pPr>
        <w:shd w:val="clear" w:color="auto" w:fill="FFFFFF"/>
        <w:spacing w:before="120" w:after="120" w:line="210"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Die Mannigfaltigkeiten in den Beziehungen und Bedeutungen der Deckerinnerungen habe ich in dem erwähnten Aufsatze nur gestreift, keineswegs erschöpft. An dem dort ausführlich analysierten Beispiel habe ich eine Besonderheit der </w:t>
      </w:r>
      <w:r w:rsidRPr="00492F36">
        <w:rPr>
          <w:rFonts w:ascii="Garamond" w:hAnsi="Garamond" w:cs="Arial"/>
          <w:i/>
          <w:iCs/>
          <w:color w:val="000000" w:themeColor="text1"/>
          <w:sz w:val="20"/>
          <w:szCs w:val="20"/>
          <w:lang w:val="en-GB"/>
        </w:rPr>
        <w:t>zeitlichen</w:t>
      </w:r>
      <w:r w:rsidRPr="00492F36">
        <w:rPr>
          <w:rFonts w:ascii="Garamond" w:hAnsi="Garamond" w:cs="Arial"/>
          <w:color w:val="000000" w:themeColor="text1"/>
          <w:sz w:val="20"/>
          <w:szCs w:val="20"/>
          <w:lang w:val="en-GB"/>
        </w:rPr>
        <w:t xml:space="preserve"> Relation zwischen der Deckerinnerung und dem durch sie gedeckten Inhalt besonders hervorgehoben. Der Inhalt der Deckerinnerung gehörte dort nämlich einem der ersten Kinderjahre an, während die durch sie im Gedächtnis vertretenen Gedankenerlebnisse, die fast unbewußt geblieben waren, in späte Jahre des Betreffenden fielen. Ich nannte diese Art der Verschiebung eine </w:t>
      </w:r>
      <w:r w:rsidRPr="00492F36">
        <w:rPr>
          <w:rFonts w:ascii="Garamond" w:hAnsi="Garamond" w:cs="Arial"/>
          <w:i/>
          <w:iCs/>
          <w:color w:val="000000" w:themeColor="text1"/>
          <w:sz w:val="20"/>
          <w:szCs w:val="20"/>
          <w:lang w:val="en-GB"/>
        </w:rPr>
        <w:t>rückgreifende</w:t>
      </w:r>
      <w:r w:rsidRPr="00492F36">
        <w:rPr>
          <w:rFonts w:ascii="Garamond" w:hAnsi="Garamond" w:cs="Arial"/>
          <w:color w:val="000000" w:themeColor="text1"/>
          <w:sz w:val="20"/>
          <w:szCs w:val="20"/>
          <w:lang w:val="en-GB"/>
        </w:rPr>
        <w:t xml:space="preserve"> oder </w:t>
      </w:r>
      <w:r w:rsidRPr="00492F36">
        <w:rPr>
          <w:rFonts w:ascii="Garamond" w:hAnsi="Garamond" w:cs="Arial"/>
          <w:i/>
          <w:iCs/>
          <w:color w:val="000000" w:themeColor="text1"/>
          <w:sz w:val="20"/>
          <w:szCs w:val="20"/>
          <w:lang w:val="en-GB"/>
        </w:rPr>
        <w:t>rückläufige</w:t>
      </w:r>
      <w:r w:rsidRPr="00492F36">
        <w:rPr>
          <w:rFonts w:ascii="Garamond" w:hAnsi="Garamond" w:cs="Arial"/>
          <w:color w:val="000000" w:themeColor="text1"/>
          <w:sz w:val="20"/>
          <w:szCs w:val="20"/>
          <w:lang w:val="en-GB"/>
        </w:rPr>
        <w:t xml:space="preserve">. Vielleicht noch häufiger begegnet man dem entgegengesetzten Verhältnis, daß ein indifferenter Eindruck der jüngsten Zeit sich als Deckerinnerung im Gedächtnis festsetzt, der diese Auszeichnung nur der Verknüpfung mit einem früheren Erlebnis verdankt, gegen dessen direkte Reproduktion sich Widerstände erheben. Dies wären </w:t>
      </w:r>
      <w:r w:rsidRPr="00492F36">
        <w:rPr>
          <w:rFonts w:ascii="Garamond" w:hAnsi="Garamond" w:cs="Arial"/>
          <w:i/>
          <w:iCs/>
          <w:color w:val="000000" w:themeColor="text1"/>
          <w:sz w:val="20"/>
          <w:szCs w:val="20"/>
          <w:lang w:val="en-GB"/>
        </w:rPr>
        <w:t>vorgreifende</w:t>
      </w:r>
      <w:r w:rsidRPr="00492F36">
        <w:rPr>
          <w:rFonts w:ascii="Garamond" w:hAnsi="Garamond" w:cs="Arial"/>
          <w:color w:val="000000" w:themeColor="text1"/>
          <w:sz w:val="20"/>
          <w:szCs w:val="20"/>
          <w:lang w:val="en-GB"/>
        </w:rPr>
        <w:t xml:space="preserve"> oder </w:t>
      </w:r>
      <w:r w:rsidRPr="00492F36">
        <w:rPr>
          <w:rFonts w:ascii="Garamond" w:hAnsi="Garamond" w:cs="Arial"/>
          <w:i/>
          <w:iCs/>
          <w:color w:val="000000" w:themeColor="text1"/>
          <w:sz w:val="20"/>
          <w:szCs w:val="20"/>
          <w:lang w:val="en-GB"/>
        </w:rPr>
        <w:t>vorgeschobene</w:t>
      </w:r>
      <w:r w:rsidRPr="00492F36">
        <w:rPr>
          <w:rFonts w:ascii="Garamond" w:hAnsi="Garamond" w:cs="Arial"/>
          <w:color w:val="000000" w:themeColor="text1"/>
          <w:sz w:val="20"/>
          <w:szCs w:val="20"/>
          <w:lang w:val="en-GB"/>
        </w:rPr>
        <w:t xml:space="preserve"> Deckerinnerungen. Das Wesentliche, was das Gedächtnis bekümmert, liegt hier der Zeit nach </w:t>
      </w:r>
      <w:r w:rsidRPr="00492F36">
        <w:rPr>
          <w:rFonts w:ascii="Garamond" w:hAnsi="Garamond" w:cs="Arial"/>
          <w:i/>
          <w:iCs/>
          <w:color w:val="000000" w:themeColor="text1"/>
          <w:sz w:val="20"/>
          <w:szCs w:val="20"/>
          <w:lang w:val="en-GB"/>
        </w:rPr>
        <w:t>hinter</w:t>
      </w:r>
      <w:r w:rsidRPr="00492F36">
        <w:rPr>
          <w:rFonts w:ascii="Garamond" w:hAnsi="Garamond" w:cs="Arial"/>
          <w:color w:val="000000" w:themeColor="text1"/>
          <w:sz w:val="20"/>
          <w:szCs w:val="20"/>
          <w:lang w:val="en-GB"/>
        </w:rPr>
        <w:t xml:space="preserve"> der Deckerinnerung. Endlich wird der dritte noch mögliche Fall nicht vermißt, daß die Deckerinnerung nicht nur durch ihren Inhalt, sondern auch durch Kontiguität in der Zeit mit dem von ihr gedeckten Eindruck verknüpft ist, also die </w:t>
      </w:r>
      <w:r w:rsidRPr="00492F36">
        <w:rPr>
          <w:rFonts w:ascii="Garamond" w:hAnsi="Garamond" w:cs="Arial"/>
          <w:i/>
          <w:iCs/>
          <w:color w:val="000000" w:themeColor="text1"/>
          <w:sz w:val="20"/>
          <w:szCs w:val="20"/>
          <w:lang w:val="en-GB"/>
        </w:rPr>
        <w:t>gleichzeitige</w:t>
      </w:r>
      <w:r w:rsidRPr="00492F36">
        <w:rPr>
          <w:rFonts w:ascii="Garamond" w:hAnsi="Garamond" w:cs="Arial"/>
          <w:color w:val="000000" w:themeColor="text1"/>
          <w:sz w:val="20"/>
          <w:szCs w:val="20"/>
          <w:lang w:val="en-GB"/>
        </w:rPr>
        <w:t xml:space="preserve"> oder </w:t>
      </w:r>
      <w:r w:rsidRPr="00492F36">
        <w:rPr>
          <w:rFonts w:ascii="Garamond" w:hAnsi="Garamond" w:cs="Arial"/>
          <w:i/>
          <w:iCs/>
          <w:color w:val="000000" w:themeColor="text1"/>
          <w:sz w:val="20"/>
          <w:szCs w:val="20"/>
          <w:lang w:val="en-GB"/>
        </w:rPr>
        <w:t>anstoßende</w:t>
      </w:r>
      <w:r w:rsidRPr="00492F36">
        <w:rPr>
          <w:rFonts w:ascii="Garamond" w:hAnsi="Garamond" w:cs="Arial"/>
          <w:color w:val="000000" w:themeColor="text1"/>
          <w:sz w:val="20"/>
          <w:szCs w:val="20"/>
          <w:lang w:val="en-GB"/>
        </w:rPr>
        <w:t xml:space="preserve"> Deckerinnerung.</w:t>
      </w:r>
    </w:p>
    <w:p w:rsidR="000D4CB9" w:rsidRPr="00492F36" w:rsidRDefault="000D4CB9" w:rsidP="000D4CB9">
      <w:pPr>
        <w:shd w:val="clear" w:color="auto" w:fill="FFFFFF"/>
        <w:spacing w:before="120" w:after="120" w:line="210" w:lineRule="atLeast"/>
        <w:rPr>
          <w:rFonts w:ascii="Garamond" w:hAnsi="Garamond" w:cs="Arial"/>
          <w:color w:val="000000" w:themeColor="text1"/>
          <w:sz w:val="20"/>
          <w:szCs w:val="20"/>
          <w:lang w:val="en-GB"/>
        </w:rPr>
      </w:pPr>
      <w:r w:rsidRPr="000D4CB9">
        <w:rPr>
          <w:rFonts w:ascii="Garamond" w:hAnsi="Garamond" w:cs="Arial"/>
          <w:color w:val="000000" w:themeColor="text1"/>
          <w:sz w:val="20"/>
          <w:szCs w:val="20"/>
          <w:lang w:val="en-GB"/>
        </w:rPr>
        <w:t xml:space="preserve">Ein wie grosser Teil unseres Gedächtnisschatzes in die Kategorie der Deckerinnerungen gehört, und welche Rolle bei verschiedenen neurotischen Denkvorgängen diesen zufällt, das sind Probleme, in deren Würdigung ich weder dort eingegangen bin, noch hier eintreten werde. </w:t>
      </w:r>
      <w:r w:rsidRPr="00492F36">
        <w:rPr>
          <w:rFonts w:ascii="Garamond" w:hAnsi="Garamond" w:cs="Arial"/>
          <w:color w:val="000000" w:themeColor="text1"/>
          <w:sz w:val="20"/>
          <w:szCs w:val="20"/>
          <w:lang w:val="en-GB"/>
        </w:rPr>
        <w:t>Es kommt mir nur darauf an, die Gleichartigkeit zwischen dem Vergessen von Eigennamen mit Fehlerinnern und der Bildung der Deckerinnerungen hervorzuheben.</w:t>
      </w:r>
    </w:p>
    <w:p w:rsidR="000D4CB9" w:rsidRPr="00492F36" w:rsidRDefault="000D4CB9" w:rsidP="000D4CB9">
      <w:pPr>
        <w:shd w:val="clear" w:color="auto" w:fill="FFFFFF"/>
        <w:spacing w:before="120" w:after="120" w:line="210"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Auf den ersten Anblick sind die Verschiedenheiten der beiden Phänomene weit auffälliger als ihre etwaigen Analogien. Dort handelt es sich um Eigennamen, hier um komplette Eindrücke, um entweder in der Realität oder in Gedanken Erlebtes; dort um ein manifestes Versagen der Erinnerungsfunktion, hier um eine Erinnerungsleistung, die uns befremdend erscheint; dort um eine momentane Störung – denn der eben vergessene Name kann vorher hundert Male richtig reproduziert worden sein und es von morgen an wieder werden –, hier um dauernden Besitz ohne Ausfall, denn die indifferenten Kindheitserinnerungen scheinen uns durch ein langes Stück unseres Lebens begleiten zu können. Das Rätsel scheint in diesen beiden Fällen ganz anders orientiert zu sein. </w:t>
      </w:r>
      <w:smartTag w:uri="urn:schemas-microsoft-com:office:smarttags" w:element="place">
        <w:r w:rsidRPr="00492F36">
          <w:rPr>
            <w:rFonts w:ascii="Garamond" w:hAnsi="Garamond" w:cs="Arial"/>
            <w:color w:val="000000" w:themeColor="text1"/>
            <w:sz w:val="20"/>
            <w:szCs w:val="20"/>
            <w:lang w:val="en-GB"/>
          </w:rPr>
          <w:t>Dort</w:t>
        </w:r>
      </w:smartTag>
      <w:r w:rsidRPr="00492F36">
        <w:rPr>
          <w:rFonts w:ascii="Garamond" w:hAnsi="Garamond" w:cs="Arial"/>
          <w:color w:val="000000" w:themeColor="text1"/>
          <w:sz w:val="20"/>
          <w:szCs w:val="20"/>
          <w:lang w:val="en-GB"/>
        </w:rPr>
        <w:t xml:space="preserve"> ist es das Vergessen, hier das Merken, was unsere wissenschaftliche Neugierde rege macht. Nach einiger Vertiefung merkt man, daß trotz der Verschiedenheit im psychischen Material und in der Zeitdauer der beiden Phänomene die Übereinstimmungen weit überwiegen. Es handelt sich hier wie dort um das Fehlgehen des Erinnerns; es wird nicht das vom Gedächtnis reproduziert, was korrekterweise reproduziert werden sollte, sondern etwas anderes zum Ersatz. Dem Falle des Namenvergessens fehlt nicht die Gedächtnisleistung in der Form der Ersatznamen. Der Fall der Deckerinnerungsbildung beruht auf dem Vergessen von anderen wesentlichen Eindrücken. In beiden Fällen gibt uns eine intellektuelle Empfindung Kunde von der Einmengung einer Störung, nur jedesmal in anderer Form. Beim Namenvergessen </w:t>
      </w:r>
      <w:r w:rsidRPr="00492F36">
        <w:rPr>
          <w:rFonts w:ascii="Garamond" w:hAnsi="Garamond" w:cs="Arial"/>
          <w:i/>
          <w:iCs/>
          <w:color w:val="000000" w:themeColor="text1"/>
          <w:sz w:val="20"/>
          <w:szCs w:val="20"/>
          <w:lang w:val="en-GB"/>
        </w:rPr>
        <w:t>wissen</w:t>
      </w:r>
      <w:r w:rsidRPr="00492F36">
        <w:rPr>
          <w:rFonts w:ascii="Garamond" w:hAnsi="Garamond" w:cs="Arial"/>
          <w:color w:val="000000" w:themeColor="text1"/>
          <w:sz w:val="20"/>
          <w:szCs w:val="20"/>
          <w:lang w:val="en-GB"/>
        </w:rPr>
        <w:t xml:space="preserve"> wir, daß die Ersatznamen </w:t>
      </w:r>
      <w:r w:rsidRPr="00492F36">
        <w:rPr>
          <w:rFonts w:ascii="Garamond" w:hAnsi="Garamond" w:cs="Arial"/>
          <w:i/>
          <w:iCs/>
          <w:color w:val="000000" w:themeColor="text1"/>
          <w:sz w:val="20"/>
          <w:szCs w:val="20"/>
          <w:lang w:val="en-GB"/>
        </w:rPr>
        <w:t>falsch</w:t>
      </w:r>
      <w:r w:rsidRPr="00492F36">
        <w:rPr>
          <w:rFonts w:ascii="Garamond" w:hAnsi="Garamond" w:cs="Arial"/>
          <w:color w:val="000000" w:themeColor="text1"/>
          <w:sz w:val="20"/>
          <w:szCs w:val="20"/>
          <w:lang w:val="en-GB"/>
        </w:rPr>
        <w:t xml:space="preserve"> sind; bei den Deckerinnerungen </w:t>
      </w:r>
      <w:r w:rsidRPr="00492F36">
        <w:rPr>
          <w:rFonts w:ascii="Garamond" w:hAnsi="Garamond" w:cs="Arial"/>
          <w:i/>
          <w:iCs/>
          <w:color w:val="000000" w:themeColor="text1"/>
          <w:sz w:val="20"/>
          <w:szCs w:val="20"/>
          <w:lang w:val="en-GB"/>
        </w:rPr>
        <w:t>verwundern</w:t>
      </w:r>
      <w:r w:rsidRPr="00492F36">
        <w:rPr>
          <w:rFonts w:ascii="Garamond" w:hAnsi="Garamond" w:cs="Arial"/>
          <w:color w:val="000000" w:themeColor="text1"/>
          <w:sz w:val="20"/>
          <w:szCs w:val="20"/>
          <w:lang w:val="en-GB"/>
        </w:rPr>
        <w:t xml:space="preserve"> wir uns, daß wir sie überhaupt besitzen. Wenn dann die psychologische Analyse nachweist, daß die Ersatzbildung in beiden Fällen auf die nämliche Weise durch Verschiebung längs einer oberflächlichen Assoziation zustande gekommen ist, so tragen gerade die Verschiedenheiten im Material, in der Zeitdauer und in der Zentrierung der beiden Phänomene dazu bei, unsere Erwartung zu steigern, daß wir etwas Wichtiges und Allgemeingiltiges aufgefunden haben. Dieses Allgemeine würde lauten, daß das Versagen und Irregehen der reproduzierenden Funktion weit häufiger, als wir vermuten, auf die Einmengung eines parteiischen Faktors, einer </w:t>
      </w:r>
      <w:r w:rsidRPr="00492F36">
        <w:rPr>
          <w:rFonts w:ascii="Garamond" w:hAnsi="Garamond" w:cs="Arial"/>
          <w:i/>
          <w:iCs/>
          <w:color w:val="000000" w:themeColor="text1"/>
          <w:sz w:val="20"/>
          <w:szCs w:val="20"/>
          <w:lang w:val="en-GB"/>
        </w:rPr>
        <w:t>Tendenz</w:t>
      </w:r>
      <w:r w:rsidRPr="00492F36">
        <w:rPr>
          <w:rFonts w:ascii="Garamond" w:hAnsi="Garamond" w:cs="Arial"/>
          <w:color w:val="000000" w:themeColor="text1"/>
          <w:sz w:val="20"/>
          <w:szCs w:val="20"/>
          <w:lang w:val="en-GB"/>
        </w:rPr>
        <w:t xml:space="preserve"> hinweist, welche die eine Erinnerung begünstigt, während sie einer anderen entgegenzuarbeiten bemüht ist.</w:t>
      </w:r>
    </w:p>
    <w:p w:rsidR="007D5EBB" w:rsidRDefault="007D5EBB">
      <w:pPr>
        <w:rPr>
          <w:rFonts w:ascii="Garamond" w:hAnsi="Garamond" w:cs="Arial"/>
          <w:b/>
          <w:bCs/>
          <w:color w:val="000000" w:themeColor="text1"/>
          <w:sz w:val="20"/>
          <w:szCs w:val="20"/>
          <w:lang w:val="en-GB"/>
        </w:rPr>
      </w:pPr>
      <w:r>
        <w:rPr>
          <w:rFonts w:ascii="Garamond" w:hAnsi="Garamond" w:cs="Arial"/>
          <w:b/>
          <w:bCs/>
          <w:color w:val="000000" w:themeColor="text1"/>
          <w:sz w:val="20"/>
          <w:szCs w:val="20"/>
          <w:lang w:val="en-GB"/>
        </w:rPr>
        <w:br w:type="page"/>
      </w:r>
    </w:p>
    <w:p w:rsidR="000D4CB9" w:rsidRPr="00492F36" w:rsidRDefault="00B437A1" w:rsidP="007D5EBB">
      <w:pPr>
        <w:shd w:val="clear" w:color="auto" w:fill="FFFFFF"/>
        <w:spacing w:before="44" w:after="44" w:line="124" w:lineRule="atLeast"/>
        <w:outlineLvl w:val="4"/>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IV.</w:t>
        </w:r>
        <w:r w:rsidR="007D5EBB" w:rsidRPr="007D5EBB">
          <w:rPr>
            <w:rStyle w:val="Lienhypertexte"/>
            <w:rFonts w:ascii="Garamond" w:hAnsi="Garamond" w:cs="Arial"/>
            <w:b/>
            <w:bCs/>
            <w:sz w:val="20"/>
            <w:szCs w:val="20"/>
            <w:lang w:val="en-GB"/>
          </w:rPr>
          <w:t xml:space="preserve"> </w:t>
        </w:r>
        <w:r w:rsidR="000D4CB9" w:rsidRPr="007D5EBB">
          <w:rPr>
            <w:rStyle w:val="Lienhypertexte"/>
            <w:rFonts w:ascii="Garamond" w:hAnsi="Garamond" w:cs="Arial"/>
            <w:b/>
            <w:bCs/>
            <w:sz w:val="20"/>
            <w:szCs w:val="20"/>
            <w:lang w:val="en-GB"/>
          </w:rPr>
          <w:t>Da</w:t>
        </w:r>
        <w:bookmarkStart w:id="91" w:name="Alltagslebens_4"/>
        <w:bookmarkEnd w:id="91"/>
        <w:r w:rsidR="000D4CB9" w:rsidRPr="007D5EBB">
          <w:rPr>
            <w:rStyle w:val="Lienhypertexte"/>
            <w:rFonts w:ascii="Garamond" w:hAnsi="Garamond" w:cs="Arial"/>
            <w:b/>
            <w:bCs/>
            <w:sz w:val="20"/>
            <w:szCs w:val="20"/>
            <w:lang w:val="en-GB"/>
          </w:rPr>
          <w:t>s Versprechen.</w:t>
        </w:r>
      </w:hyperlink>
      <w:r w:rsidR="007D5EBB">
        <w:rPr>
          <w:rFonts w:ascii="Garamond" w:hAnsi="Garamond" w:cs="Arial"/>
          <w:b/>
          <w:bCs/>
          <w:color w:val="000000" w:themeColor="text1"/>
          <w:sz w:val="20"/>
          <w:szCs w:val="20"/>
          <w:lang w:val="en-GB"/>
        </w:rPr>
        <w:t xml:space="preserve">  </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Wenn das gebräuchliche Material unserer Rede in der Muttersprache gegen das Vergessen geschützt erscheint, so unterliegt dessen Anwendung um so häufiger einer anderen Störung, die als »Versprechen« bekannt ist. Das beim normalen Menschen beobachtete Versprechen macht den Eindruck der Vorstufe für die unter pathologischen Bedingungen auftretenden sogen. »Paraphasien«.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befinde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hier in der ausnahmsweisen Lage, eine Vorarbeit würdigen zu können. Im Jahre 1895 haben Meringer und </w:t>
      </w:r>
      <w:r w:rsidRPr="00492F36">
        <w:rPr>
          <w:rFonts w:ascii="Garamond" w:hAnsi="Garamond" w:cs="Arial"/>
          <w:i/>
          <w:iCs/>
          <w:color w:val="000000" w:themeColor="text1"/>
          <w:sz w:val="20"/>
          <w:szCs w:val="20"/>
          <w:lang w:val="en-GB"/>
        </w:rPr>
        <w:t>C. Mayer</w:t>
      </w:r>
      <w:r w:rsidRPr="00492F36">
        <w:rPr>
          <w:rFonts w:ascii="Garamond" w:hAnsi="Garamond" w:cs="Arial"/>
          <w:color w:val="000000" w:themeColor="text1"/>
          <w:sz w:val="20"/>
          <w:szCs w:val="20"/>
          <w:lang w:val="en-GB"/>
        </w:rPr>
        <w:t xml:space="preserve"> eine Studie über </w:t>
      </w:r>
      <w:r w:rsidRPr="00492F36">
        <w:rPr>
          <w:rFonts w:ascii="Garamond" w:hAnsi="Garamond" w:cs="Arial"/>
          <w:i/>
          <w:iCs/>
          <w:color w:val="000000" w:themeColor="text1"/>
          <w:sz w:val="20"/>
          <w:szCs w:val="20"/>
          <w:lang w:val="en-GB"/>
        </w:rPr>
        <w:t>»Versprechen und Verlesen«</w:t>
      </w:r>
      <w:r w:rsidRPr="00492F36">
        <w:rPr>
          <w:rFonts w:ascii="Garamond" w:hAnsi="Garamond" w:cs="Arial"/>
          <w:color w:val="000000" w:themeColor="text1"/>
          <w:sz w:val="20"/>
          <w:szCs w:val="20"/>
          <w:lang w:val="en-GB"/>
        </w:rPr>
        <w:t xml:space="preserve"> publiziert, an deren Gesichtspunkte die meinigen nicht heranreichen. Der eine der Autoren, der im Texte das Wort führt, ist nämlich Sprachforscher und ist von linguistischen Interessen zur Untersuchung veranlaßt worden, den Regeln nachzugehen, nach denen man sich verspricht. Er hoffte aus diesen Regeln auf das Vorhandensein »eines gewissen geistigen Mechanismus« schliessen zu können, »in welchem die Laute eines Wortes, eines Satzes, und auch die Worte untereinander in ganz eigentümlicher Weise verbunden und verknüpft sind« ( </w:t>
      </w:r>
      <w:r w:rsidRPr="00492F36">
        <w:rPr>
          <w:rFonts w:ascii="Garamond" w:hAnsi="Garamond" w:cs="Arial"/>
          <w:i/>
          <w:iCs/>
          <w:color w:val="000000" w:themeColor="text1"/>
          <w:sz w:val="20"/>
          <w:szCs w:val="20"/>
          <w:lang w:val="en-GB"/>
        </w:rPr>
        <w:t>p. 10</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rPr>
        <w:t xml:space="preserve">Die Autoren gruppieren die von ihnen gesammelten Beispiele des »Versprechens« zunächst nach rein deskriptiven Gesichtspunkten als </w:t>
      </w:r>
      <w:r w:rsidRPr="00492F36">
        <w:rPr>
          <w:rFonts w:ascii="Garamond" w:hAnsi="Garamond" w:cs="Arial"/>
          <w:i/>
          <w:iCs/>
          <w:color w:val="000000" w:themeColor="text1"/>
          <w:sz w:val="20"/>
          <w:szCs w:val="20"/>
        </w:rPr>
        <w:t>Vertauschungen</w:t>
      </w:r>
      <w:r w:rsidRPr="00492F36">
        <w:rPr>
          <w:rFonts w:ascii="Garamond" w:hAnsi="Garamond" w:cs="Arial"/>
          <w:color w:val="000000" w:themeColor="text1"/>
          <w:sz w:val="20"/>
          <w:szCs w:val="20"/>
        </w:rPr>
        <w:t xml:space="preserve"> (z. B. die Milo von Venus anstatt Venus von Milo). </w:t>
      </w:r>
      <w:r w:rsidRPr="00492F36">
        <w:rPr>
          <w:rFonts w:ascii="Garamond" w:hAnsi="Garamond" w:cs="Arial"/>
          <w:i/>
          <w:iCs/>
          <w:color w:val="000000" w:themeColor="text1"/>
          <w:sz w:val="20"/>
          <w:szCs w:val="20"/>
        </w:rPr>
        <w:t>Vorklänge</w:t>
      </w:r>
      <w:r w:rsidRPr="00492F36">
        <w:rPr>
          <w:rFonts w:ascii="Garamond" w:hAnsi="Garamond" w:cs="Arial"/>
          <w:color w:val="000000" w:themeColor="text1"/>
          <w:sz w:val="20"/>
          <w:szCs w:val="20"/>
        </w:rPr>
        <w:t xml:space="preserve"> oder </w:t>
      </w:r>
      <w:r w:rsidRPr="00492F36">
        <w:rPr>
          <w:rFonts w:ascii="Garamond" w:hAnsi="Garamond" w:cs="Arial"/>
          <w:i/>
          <w:iCs/>
          <w:color w:val="000000" w:themeColor="text1"/>
          <w:sz w:val="20"/>
          <w:szCs w:val="20"/>
        </w:rPr>
        <w:t>Antizipationen</w:t>
      </w:r>
      <w:r w:rsidRPr="00492F36">
        <w:rPr>
          <w:rFonts w:ascii="Garamond" w:hAnsi="Garamond" w:cs="Arial"/>
          <w:color w:val="000000" w:themeColor="text1"/>
          <w:sz w:val="20"/>
          <w:szCs w:val="20"/>
        </w:rPr>
        <w:t xml:space="preserve"> (z. B. es war mir auf der Schwest... auf der Brust so schwer), </w:t>
      </w:r>
      <w:r w:rsidRPr="00492F36">
        <w:rPr>
          <w:rFonts w:ascii="Garamond" w:hAnsi="Garamond" w:cs="Arial"/>
          <w:i/>
          <w:iCs/>
          <w:color w:val="000000" w:themeColor="text1"/>
          <w:sz w:val="20"/>
          <w:szCs w:val="20"/>
        </w:rPr>
        <w:t>Nachklänge</w:t>
      </w:r>
      <w:r w:rsidRPr="00492F36">
        <w:rPr>
          <w:rFonts w:ascii="Garamond" w:hAnsi="Garamond" w:cs="Arial"/>
          <w:color w:val="000000" w:themeColor="text1"/>
          <w:sz w:val="20"/>
          <w:szCs w:val="20"/>
        </w:rPr>
        <w:t xml:space="preserve">, </w:t>
      </w:r>
      <w:r w:rsidRPr="00492F36">
        <w:rPr>
          <w:rFonts w:ascii="Garamond" w:hAnsi="Garamond" w:cs="Arial"/>
          <w:i/>
          <w:iCs/>
          <w:color w:val="000000" w:themeColor="text1"/>
          <w:sz w:val="20"/>
          <w:szCs w:val="20"/>
        </w:rPr>
        <w:t>Postpositionen</w:t>
      </w:r>
      <w:r w:rsidRPr="00492F36">
        <w:rPr>
          <w:rFonts w:ascii="Garamond" w:hAnsi="Garamond" w:cs="Arial"/>
          <w:color w:val="000000" w:themeColor="text1"/>
          <w:sz w:val="20"/>
          <w:szCs w:val="20"/>
        </w:rPr>
        <w:t xml:space="preserve"> (z. B. ›Ich fordere Sie </w:t>
      </w:r>
      <w:r w:rsidRPr="00492F36">
        <w:rPr>
          <w:rFonts w:ascii="Garamond" w:hAnsi="Garamond" w:cs="Arial"/>
          <w:i/>
          <w:iCs/>
          <w:color w:val="000000" w:themeColor="text1"/>
          <w:sz w:val="20"/>
          <w:szCs w:val="20"/>
        </w:rPr>
        <w:t>auf</w:t>
      </w:r>
      <w:r w:rsidRPr="00492F36">
        <w:rPr>
          <w:rFonts w:ascii="Garamond" w:hAnsi="Garamond" w:cs="Arial"/>
          <w:color w:val="000000" w:themeColor="text1"/>
          <w:sz w:val="20"/>
          <w:szCs w:val="20"/>
        </w:rPr>
        <w:t xml:space="preserve">, </w:t>
      </w:r>
      <w:r w:rsidRPr="00492F36">
        <w:rPr>
          <w:rFonts w:ascii="Garamond" w:hAnsi="Garamond" w:cs="Arial"/>
          <w:i/>
          <w:iCs/>
          <w:color w:val="000000" w:themeColor="text1"/>
          <w:sz w:val="20"/>
          <w:szCs w:val="20"/>
        </w:rPr>
        <w:t>auf</w:t>
      </w:r>
      <w:r w:rsidRPr="00492F36">
        <w:rPr>
          <w:rFonts w:ascii="Garamond" w:hAnsi="Garamond" w:cs="Arial"/>
          <w:color w:val="000000" w:themeColor="text1"/>
          <w:sz w:val="20"/>
          <w:szCs w:val="20"/>
        </w:rPr>
        <w:t xml:space="preserve"> das Wohl unseres Chefs </w:t>
      </w:r>
      <w:r w:rsidRPr="00492F36">
        <w:rPr>
          <w:rFonts w:ascii="Garamond" w:hAnsi="Garamond" w:cs="Arial"/>
          <w:i/>
          <w:iCs/>
          <w:color w:val="000000" w:themeColor="text1"/>
          <w:sz w:val="20"/>
          <w:szCs w:val="20"/>
        </w:rPr>
        <w:t>auf</w:t>
      </w:r>
      <w:r w:rsidRPr="00492F36">
        <w:rPr>
          <w:rFonts w:ascii="Garamond" w:hAnsi="Garamond" w:cs="Arial"/>
          <w:color w:val="000000" w:themeColor="text1"/>
          <w:sz w:val="20"/>
          <w:szCs w:val="20"/>
        </w:rPr>
        <w:t xml:space="preserve">zustoßen‹ für anzustoßen), </w:t>
      </w:r>
      <w:r w:rsidRPr="00492F36">
        <w:rPr>
          <w:rFonts w:ascii="Garamond" w:hAnsi="Garamond" w:cs="Arial"/>
          <w:i/>
          <w:iCs/>
          <w:color w:val="000000" w:themeColor="text1"/>
          <w:sz w:val="20"/>
          <w:szCs w:val="20"/>
        </w:rPr>
        <w:t>Kontaminationen</w:t>
      </w:r>
      <w:r w:rsidRPr="00492F36">
        <w:rPr>
          <w:rFonts w:ascii="Garamond" w:hAnsi="Garamond" w:cs="Arial"/>
          <w:color w:val="000000" w:themeColor="text1"/>
          <w:sz w:val="20"/>
          <w:szCs w:val="20"/>
        </w:rPr>
        <w:t xml:space="preserve"> (z. B. ›Er setzt sich auf den Hinterkopf‹ aus: ›Er setzt sich einen Kopf auf‹ und: ›Er stellt sich auf die Hinterbeine‹), </w:t>
      </w:r>
      <w:r w:rsidRPr="00492F36">
        <w:rPr>
          <w:rFonts w:ascii="Garamond" w:hAnsi="Garamond" w:cs="Arial"/>
          <w:i/>
          <w:iCs/>
          <w:color w:val="000000" w:themeColor="text1"/>
          <w:sz w:val="20"/>
          <w:szCs w:val="20"/>
        </w:rPr>
        <w:t>Substitutionen</w:t>
      </w:r>
      <w:r w:rsidRPr="00492F36">
        <w:rPr>
          <w:rFonts w:ascii="Garamond" w:hAnsi="Garamond" w:cs="Arial"/>
          <w:color w:val="000000" w:themeColor="text1"/>
          <w:sz w:val="20"/>
          <w:szCs w:val="20"/>
        </w:rPr>
        <w:t xml:space="preserve"> (z. B. ›Ich gebe die Präparate in den Briefkasten‹ statt Brütkasten), zu welchen Hauptkategorien noch einige minder wichtige (oder für unsere Zwecke minder bedeutsame) hinzugefügt werden. Es macht bei dieser Gruppierung keinen Unterschied, ob die Umstellung, Entstellung, Verschmelzung etc. einzelne Laute des Wortes, Silben oder ganze Worte des intendierten Satzes betrifft.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t xml:space="preserve">Zur Erklärung der beobachteten Arten des Versprechens stellt </w:t>
      </w:r>
      <w:r w:rsidRPr="00492F36">
        <w:rPr>
          <w:rFonts w:ascii="Garamond" w:hAnsi="Garamond" w:cs="Arial"/>
          <w:i/>
          <w:iCs/>
          <w:color w:val="000000" w:themeColor="text1"/>
          <w:sz w:val="20"/>
          <w:szCs w:val="20"/>
        </w:rPr>
        <w:t>Meringer</w:t>
      </w:r>
      <w:r w:rsidRPr="00492F36">
        <w:rPr>
          <w:rFonts w:ascii="Garamond" w:hAnsi="Garamond" w:cs="Arial"/>
          <w:color w:val="000000" w:themeColor="text1"/>
          <w:sz w:val="20"/>
          <w:szCs w:val="20"/>
        </w:rPr>
        <w:t xml:space="preserve"> eine verschiedene psychische Wertigkeit der Sprachlaute auf. Wenn wir den ersten Laut eines Wortes, das erste Wort eines Satzes innervieren, wendet sich bereits der Erregungsvorgang den späteren Lauten, den folgenden Worten zu, und soweit diese Innervationen mit einander gleichzeitig sind, können sie einander abändernd beeinflussen. </w:t>
      </w:r>
      <w:r w:rsidRPr="00492F36">
        <w:rPr>
          <w:rFonts w:ascii="Garamond" w:hAnsi="Garamond" w:cs="Arial"/>
          <w:color w:val="000000" w:themeColor="text1"/>
          <w:sz w:val="20"/>
          <w:szCs w:val="20"/>
          <w:lang w:val="en-GB"/>
        </w:rPr>
        <w:t xml:space="preserve">Die Erregung des psychisch intensiveren Lautes klingt vor oder hallt nach und stört so den minderwertigen Innervationsvorgang. Es handelt sich nun darum, zu bestimmen, welche die höchstwertigen Laute eines Wortes sind.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meint: ›Wenn man wissen will, welchem Laute eines Wortes die höchste Intensität zukommt, so beobachte man sich beim Suchen nach einem vergessenen Wort, z. B. einem Namen. Was zuerst wieder ins Bewußtsein kommt, hatte jedenfalls die größte Intensität vor dem Vergessen ( </w:t>
      </w:r>
      <w:r w:rsidRPr="00492F36">
        <w:rPr>
          <w:rFonts w:ascii="Garamond" w:hAnsi="Garamond" w:cs="Arial"/>
          <w:i/>
          <w:iCs/>
          <w:color w:val="000000" w:themeColor="text1"/>
          <w:sz w:val="20"/>
          <w:szCs w:val="20"/>
          <w:lang w:val="en-GB"/>
        </w:rPr>
        <w:t>p. 160</w:t>
      </w:r>
      <w:r w:rsidRPr="00492F36">
        <w:rPr>
          <w:rFonts w:ascii="Garamond" w:hAnsi="Garamond" w:cs="Arial"/>
          <w:color w:val="000000" w:themeColor="text1"/>
          <w:sz w:val="20"/>
          <w:szCs w:val="20"/>
          <w:lang w:val="en-GB"/>
        </w:rPr>
        <w:t xml:space="preserve">). Die hochwertigen Laute sind also der Anlaut der Wurzelsilbe und der Wortanlaut und der oder die betonten Vokale‹ ( </w:t>
      </w:r>
      <w:r w:rsidRPr="00492F36">
        <w:rPr>
          <w:rFonts w:ascii="Garamond" w:hAnsi="Garamond" w:cs="Arial"/>
          <w:i/>
          <w:iCs/>
          <w:color w:val="000000" w:themeColor="text1"/>
          <w:sz w:val="20"/>
          <w:szCs w:val="20"/>
          <w:lang w:val="en-GB"/>
        </w:rPr>
        <w:t>p. 162</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kann nicht umhin, hier einen Widerspruch zu erheben. Ob der Anlaut des Namens zu den höchstwertigen Elementen des Wortes gehöre oder nicht, es ist gewiß nicht richtig, daß er im Falle des Wortvergessens zuerst wieder ins Bewußtsein tritt; die obige Regel ist also unbrauchbar. Wenn man sich bei der Suche nach einem vergessenen Namen beobachtet, so wird man verhältnismäßig häufig die Überzeugung äußern müssen, er fange mit einem bestimmten Buchstaben an. Diese Überzeugung erweist sich nun ebenso oft als unbegründet wie als begründet. Ja, ich möchte behaupten, man proklamiert in der Mehrzahl der Fälle einen falschen Anlaut. Auch in unserem Beispiel: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ist bei dem Ersatznamen der Anlaut und sind die wesentlichen Silben verloren gegangen; gerade das minderwertige Silbenpaar </w:t>
      </w:r>
      <w:r w:rsidRPr="00492F36">
        <w:rPr>
          <w:rFonts w:ascii="Garamond" w:hAnsi="Garamond" w:cs="Arial"/>
          <w:i/>
          <w:iCs/>
          <w:color w:val="000000" w:themeColor="text1"/>
          <w:sz w:val="20"/>
          <w:szCs w:val="20"/>
          <w:lang w:val="en-GB"/>
        </w:rPr>
        <w:t>elli</w:t>
      </w:r>
      <w:r w:rsidRPr="00492F36">
        <w:rPr>
          <w:rFonts w:ascii="Garamond" w:hAnsi="Garamond" w:cs="Arial"/>
          <w:color w:val="000000" w:themeColor="text1"/>
          <w:sz w:val="20"/>
          <w:szCs w:val="20"/>
          <w:lang w:val="en-GB"/>
        </w:rPr>
        <w:t xml:space="preserve"> ist im Ersatznamen Botti </w:t>
      </w:r>
      <w:r w:rsidRPr="00492F36">
        <w:rPr>
          <w:rFonts w:ascii="Garamond" w:hAnsi="Garamond" w:cs="Arial"/>
          <w:i/>
          <w:iCs/>
          <w:color w:val="000000" w:themeColor="text1"/>
          <w:sz w:val="20"/>
          <w:szCs w:val="20"/>
          <w:lang w:val="en-GB"/>
        </w:rPr>
        <w:t>celli</w:t>
      </w:r>
      <w:r w:rsidRPr="00492F36">
        <w:rPr>
          <w:rFonts w:ascii="Garamond" w:hAnsi="Garamond" w:cs="Arial"/>
          <w:color w:val="000000" w:themeColor="text1"/>
          <w:sz w:val="20"/>
          <w:szCs w:val="20"/>
          <w:lang w:val="en-GB"/>
        </w:rPr>
        <w:t xml:space="preserve"> dem Bewußtsein wiedergekehrt.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Wenn man der Vermutung Raum gibt, daß ein ähnlicher Mechanismus wie der fürs Namenvergessen nachgewiesene auch an den Erscheinungen des Versprechens Anteil haben könne, so wird man zu einer tiefer begründeten Beurteilung der Fälle von Versprechen geführt. Die Störung in der Rede, welche sich als Versprechen kundgibt, kann erstens verursacht sein durch den Einfluß eines anderen Bestandteils derselben Rede, also durch das Vorklingen oder Nachhallen, oder durch eine zweite Fassung innerhalb des Satzes oder des Zusammenhanges, den auszusprechen man intendiert – hierher gehören alle oben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Mayer</w:t>
      </w:r>
      <w:r w:rsidRPr="00492F36">
        <w:rPr>
          <w:rFonts w:ascii="Garamond" w:hAnsi="Garamond" w:cs="Arial"/>
          <w:color w:val="000000" w:themeColor="text1"/>
          <w:sz w:val="20"/>
          <w:szCs w:val="20"/>
          <w:lang w:val="en-GB"/>
        </w:rPr>
        <w:t xml:space="preserve"> entlehnten Beispiele –; zweitens aber könnte die Störung analog dem Vorgang im Falle: </w:t>
      </w:r>
      <w:r w:rsidRPr="00492F36">
        <w:rPr>
          <w:rFonts w:ascii="Garamond" w:hAnsi="Garamond" w:cs="Arial"/>
          <w:i/>
          <w:iCs/>
          <w:color w:val="000000" w:themeColor="text1"/>
          <w:sz w:val="20"/>
          <w:szCs w:val="20"/>
          <w:lang w:val="en-GB"/>
        </w:rPr>
        <w:t>Signorelli</w:t>
      </w:r>
      <w:r w:rsidRPr="00492F36">
        <w:rPr>
          <w:rFonts w:ascii="Garamond" w:hAnsi="Garamond" w:cs="Arial"/>
          <w:color w:val="000000" w:themeColor="text1"/>
          <w:sz w:val="20"/>
          <w:szCs w:val="20"/>
          <w:lang w:val="en-GB"/>
        </w:rPr>
        <w:t xml:space="preserve"> zustande kommen durch Einflüsse </w:t>
      </w:r>
      <w:r w:rsidRPr="00492F36">
        <w:rPr>
          <w:rFonts w:ascii="Garamond" w:hAnsi="Garamond" w:cs="Arial"/>
          <w:i/>
          <w:iCs/>
          <w:color w:val="000000" w:themeColor="text1"/>
          <w:sz w:val="20"/>
          <w:szCs w:val="20"/>
          <w:lang w:val="en-GB"/>
        </w:rPr>
        <w:t>ausserhalb</w:t>
      </w:r>
      <w:r w:rsidRPr="00492F36">
        <w:rPr>
          <w:rFonts w:ascii="Garamond" w:hAnsi="Garamond" w:cs="Arial"/>
          <w:color w:val="000000" w:themeColor="text1"/>
          <w:sz w:val="20"/>
          <w:szCs w:val="20"/>
          <w:lang w:val="en-GB"/>
        </w:rPr>
        <w:t xml:space="preserve"> dieses Wortes, Satzes oder Zusammenhanges, von Elementen her, die auszusprechen man nicht intendiert, und von deren Erregung man erst durch eben die Störung Kenntnis erhält. In der Gleichzeitigkeit der Erregung läge das Gemeinsame, in der Stellung innerhalb oder ausserhalb desselben Satzes oder Zusammenhanges das Unterscheidende für die beiden Entstehungsarten des Versprechens. Der Unterschied erscheint zunächst nicht so groß, als er für gewisse Folgerungen aus der Symptomatologie des Versprechens in Betracht kommt. Es ist aber klar, daß man nur im ersteren Falle Aussicht hat, aus den Erscheinungen des Versprechens Schlüsse auf einen Mechanismus zu ziehen, der Laute und Worte zur gegenseitigen Beeinflussung ihrer Artikulation mit einander verknüpft, also Schlüsse, wie sie der Sprachforscher aus dem Studium des Versprechens zu gewinnen hoffte. Im Falle der Störung durch Einflüsse ausserhalb des nämlichen Satzes oder Redezusammenhanges würde es sich vor allem darum handeln, die störenden Elemente kennen zu lernen, und dann entstände die Frage, ob auch der Mechanismus dieser Störung die zu vermutenden Gesetze der Sprachbildung verraten kann.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Man darf nicht behaupten, daß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Mayer</w:t>
      </w:r>
      <w:r w:rsidRPr="00492F36">
        <w:rPr>
          <w:rFonts w:ascii="Garamond" w:hAnsi="Garamond" w:cs="Arial"/>
          <w:color w:val="000000" w:themeColor="text1"/>
          <w:sz w:val="20"/>
          <w:szCs w:val="20"/>
          <w:lang w:val="en-GB"/>
        </w:rPr>
        <w:t xml:space="preserve"> die Möglichkeit der Sprechstörung durch »kompliziertere psychische Einflüsse«, durch Elemente ausserhalb desselben Wortes, Satzes oder derselben Redefolge übersehen </w:t>
      </w:r>
      <w:r w:rsidRPr="00492F36">
        <w:rPr>
          <w:rFonts w:ascii="Garamond" w:hAnsi="Garamond" w:cs="Arial"/>
          <w:color w:val="000000" w:themeColor="text1"/>
          <w:sz w:val="20"/>
          <w:szCs w:val="20"/>
          <w:lang w:val="en-GB"/>
        </w:rPr>
        <w:lastRenderedPageBreak/>
        <w:t xml:space="preserve">haben. Sie mußten ja bemerken, daß die Theorie der psychischen Ungleichwertigkeit der Laute strenge genommen nur für die Aufklärung der Lautstörungen, sowie der Vor- und Nachklänge ausreicht. Wo sich die Wortstörungen nicht auf Lautstörungen reduzieren lassen, z. B. bei den Substitutionen und Kontaminationen von Worten, haben auch sie unbedenklich die Ursache des Versprechens </w:t>
      </w:r>
      <w:r w:rsidRPr="00492F36">
        <w:rPr>
          <w:rFonts w:ascii="Garamond" w:hAnsi="Garamond" w:cs="Arial"/>
          <w:i/>
          <w:iCs/>
          <w:color w:val="000000" w:themeColor="text1"/>
          <w:sz w:val="20"/>
          <w:szCs w:val="20"/>
          <w:lang w:val="en-GB"/>
        </w:rPr>
        <w:t>ausserhalb</w:t>
      </w:r>
      <w:r w:rsidRPr="00492F36">
        <w:rPr>
          <w:rFonts w:ascii="Garamond" w:hAnsi="Garamond" w:cs="Arial"/>
          <w:color w:val="000000" w:themeColor="text1"/>
          <w:sz w:val="20"/>
          <w:szCs w:val="20"/>
          <w:lang w:val="en-GB"/>
        </w:rPr>
        <w:t xml:space="preserve"> des intendierten Zusammenhanges gesucht und diesen Sachverhalt durch schöne Beispiele erwiesen. Ich zitiere folgende Stellen: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p. 62.</w:t>
      </w:r>
      <w:r w:rsidRPr="00492F36">
        <w:rPr>
          <w:rFonts w:ascii="Garamond" w:hAnsi="Garamond" w:cs="Arial"/>
          <w:color w:val="000000" w:themeColor="text1"/>
          <w:sz w:val="20"/>
          <w:szCs w:val="20"/>
          <w:lang w:val="en-GB"/>
        </w:rPr>
        <w:t xml:space="preserve">) »Ru. erzählt von Vorgängen, die er in seinem </w:t>
      </w:r>
      <w:r w:rsidRPr="00492F36">
        <w:rPr>
          <w:rFonts w:ascii="Garamond" w:hAnsi="Garamond" w:cs="Arial"/>
          <w:i/>
          <w:iCs/>
          <w:color w:val="000000" w:themeColor="text1"/>
          <w:sz w:val="20"/>
          <w:szCs w:val="20"/>
          <w:lang w:val="en-GB"/>
        </w:rPr>
        <w:t>Innern</w:t>
      </w:r>
      <w:r w:rsidRPr="00492F36">
        <w:rPr>
          <w:rFonts w:ascii="Garamond" w:hAnsi="Garamond" w:cs="Arial"/>
          <w:color w:val="000000" w:themeColor="text1"/>
          <w:sz w:val="20"/>
          <w:szCs w:val="20"/>
          <w:lang w:val="en-GB"/>
        </w:rPr>
        <w:t xml:space="preserve"> für »Schweinereien« erklärt. Er sucht aber nach einer milden Form und beginnt: »Dann aber sind Tatsachen zum </w:t>
      </w:r>
      <w:r w:rsidRPr="00492F36">
        <w:rPr>
          <w:rFonts w:ascii="Garamond" w:hAnsi="Garamond" w:cs="Arial"/>
          <w:i/>
          <w:iCs/>
          <w:color w:val="000000" w:themeColor="text1"/>
          <w:sz w:val="20"/>
          <w:szCs w:val="20"/>
          <w:lang w:val="en-GB"/>
        </w:rPr>
        <w:t>Vorschwein</w:t>
      </w:r>
      <w:r w:rsidRPr="00492F36">
        <w:rPr>
          <w:rFonts w:ascii="Garamond" w:hAnsi="Garamond" w:cs="Arial"/>
          <w:color w:val="000000" w:themeColor="text1"/>
          <w:sz w:val="20"/>
          <w:szCs w:val="20"/>
          <w:lang w:val="en-GB"/>
        </w:rPr>
        <w:t xml:space="preserve"> gekommen ...« </w:t>
      </w:r>
      <w:r w:rsidRPr="00492F36">
        <w:rPr>
          <w:rFonts w:ascii="Garamond" w:hAnsi="Garamond" w:cs="Arial"/>
          <w:i/>
          <w:iCs/>
          <w:color w:val="000000" w:themeColor="text1"/>
          <w:sz w:val="20"/>
          <w:szCs w:val="20"/>
          <w:lang w:val="en-GB"/>
        </w:rPr>
        <w:t>Mayer</w:t>
      </w:r>
      <w:r w:rsidRPr="00492F36">
        <w:rPr>
          <w:rFonts w:ascii="Garamond" w:hAnsi="Garamond" w:cs="Arial"/>
          <w:color w:val="000000" w:themeColor="text1"/>
          <w:sz w:val="20"/>
          <w:szCs w:val="20"/>
          <w:lang w:val="en-GB"/>
        </w:rPr>
        <w:t xml:space="preserve"> und ich waren anwesend und Ru. bestätigte, daß er »Schweinereien« gedacht hatte. Daß sich dieses gedachte Wort bei »Vorschein« verriet und plötzlich wirksam wurde, findet in der Ähnlichkeit der Wörter seine genügende Erklärung.« –</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p. 73.</w:t>
      </w:r>
      <w:r w:rsidRPr="00492F36">
        <w:rPr>
          <w:rFonts w:ascii="Garamond" w:hAnsi="Garamond" w:cs="Arial"/>
          <w:color w:val="000000" w:themeColor="text1"/>
          <w:sz w:val="20"/>
          <w:szCs w:val="20"/>
          <w:lang w:val="en-GB"/>
        </w:rPr>
        <w:t>) »Auch bei den Substitutionen spielen wie bei den Kontaminationen und in wahrscheinlich viel höherem Grade die »schwebenden« oder »vagierenden« Sprachbilder eine grosse Rolle. Sie sind, wenn auch unter der Schwelle des Bewußtseins, so doch noch in wirksamer Nähe, können leicht durch eine Ähnlichkeit des zu sprechenden Komplexes herangezogen werden und führen dann eine Entgleisung herbei oder kreuzen den Zug der Wörter. Die »schwebenden« oder »vagierenden« Sprachbilder sind, wie gesagt, oft die Nachzügler von kürzlich abgelaufenen Sprachprozessen (Nachklänge).«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p. 97.</w:t>
      </w:r>
      <w:r w:rsidRPr="00492F36">
        <w:rPr>
          <w:rFonts w:ascii="Garamond" w:hAnsi="Garamond" w:cs="Arial"/>
          <w:color w:val="000000" w:themeColor="text1"/>
          <w:sz w:val="20"/>
          <w:szCs w:val="20"/>
          <w:lang w:val="en-GB"/>
        </w:rPr>
        <w:t xml:space="preserve">) »Eine Entgleisung ist auch durch Ähnlichkeit möglich, wenn ein anderes ähnliches Wort nahe unter der Bewußtseinsschwelle liegt, </w:t>
      </w:r>
      <w:r w:rsidRPr="00492F36">
        <w:rPr>
          <w:rFonts w:ascii="Garamond" w:hAnsi="Garamond" w:cs="Arial"/>
          <w:i/>
          <w:iCs/>
          <w:color w:val="000000" w:themeColor="text1"/>
          <w:sz w:val="20"/>
          <w:szCs w:val="20"/>
          <w:lang w:val="en-GB"/>
        </w:rPr>
        <w:t>ohne daß es gesprochen zu werden bestimmt wäre</w:t>
      </w:r>
      <w:r w:rsidRPr="00492F36">
        <w:rPr>
          <w:rFonts w:ascii="Garamond" w:hAnsi="Garamond" w:cs="Arial"/>
          <w:color w:val="000000" w:themeColor="text1"/>
          <w:sz w:val="20"/>
          <w:szCs w:val="20"/>
          <w:lang w:val="en-GB"/>
        </w:rPr>
        <w:t xml:space="preserve">. Das ist der Fall bei den Substitutionen. – So hoffe ich, daß man beim Nachprüfen meine Regeln wird bestätigen müssen. Aber dazu ist notwendig, </w:t>
      </w:r>
      <w:r w:rsidRPr="00492F36">
        <w:rPr>
          <w:rFonts w:ascii="Garamond" w:hAnsi="Garamond" w:cs="Arial"/>
          <w:i/>
          <w:iCs/>
          <w:color w:val="000000" w:themeColor="text1"/>
          <w:sz w:val="20"/>
          <w:szCs w:val="20"/>
          <w:lang w:val="en-GB"/>
        </w:rPr>
        <w:t>daß man</w:t>
      </w:r>
      <w:r w:rsidRPr="00492F36">
        <w:rPr>
          <w:rFonts w:ascii="Garamond" w:hAnsi="Garamond" w:cs="Arial"/>
          <w:color w:val="000000" w:themeColor="text1"/>
          <w:sz w:val="20"/>
          <w:szCs w:val="20"/>
          <w:lang w:val="en-GB"/>
        </w:rPr>
        <w:t xml:space="preserve"> (wenn ein anderer spricht) sich Klarheit darüber verschafft, an was Alles der Sprecher gedacht hat Hier ein lehrreicher Fall. Klassendirektor Li. sagte in unserer Gesellschaft: »Die Frau würde mir Furcht ein </w:t>
      </w:r>
      <w:r w:rsidRPr="00492F36">
        <w:rPr>
          <w:rFonts w:ascii="Garamond" w:hAnsi="Garamond" w:cs="Arial"/>
          <w:b/>
          <w:bCs/>
          <w:color w:val="000000" w:themeColor="text1"/>
          <w:sz w:val="20"/>
          <w:szCs w:val="20"/>
          <w:lang w:val="en-GB"/>
        </w:rPr>
        <w:t>l</w:t>
      </w:r>
      <w:r w:rsidRPr="00492F36">
        <w:rPr>
          <w:rFonts w:ascii="Garamond" w:hAnsi="Garamond" w:cs="Arial"/>
          <w:color w:val="000000" w:themeColor="text1"/>
          <w:sz w:val="20"/>
          <w:szCs w:val="20"/>
          <w:lang w:val="en-GB"/>
        </w:rPr>
        <w:t xml:space="preserve">agen.« Ich wurde stutzig, denn das </w:t>
      </w:r>
      <w:r w:rsidRPr="00492F36">
        <w:rPr>
          <w:rFonts w:ascii="Garamond" w:hAnsi="Garamond" w:cs="Arial"/>
          <w:b/>
          <w:bCs/>
          <w:color w:val="000000" w:themeColor="text1"/>
          <w:sz w:val="20"/>
          <w:szCs w:val="20"/>
          <w:lang w:val="en-GB"/>
        </w:rPr>
        <w:t>l</w:t>
      </w:r>
      <w:r w:rsidRPr="00492F36">
        <w:rPr>
          <w:rFonts w:ascii="Garamond" w:hAnsi="Garamond" w:cs="Arial"/>
          <w:color w:val="000000" w:themeColor="text1"/>
          <w:sz w:val="20"/>
          <w:szCs w:val="20"/>
          <w:lang w:val="en-GB"/>
        </w:rPr>
        <w:t xml:space="preserve"> schien mir unerklärlich. Ich erlaubte mir, den Sprecher auf seinen Fehler »ein </w:t>
      </w:r>
      <w:r w:rsidRPr="00492F36">
        <w:rPr>
          <w:rFonts w:ascii="Garamond" w:hAnsi="Garamond" w:cs="Arial"/>
          <w:b/>
          <w:bCs/>
          <w:color w:val="000000" w:themeColor="text1"/>
          <w:sz w:val="20"/>
          <w:szCs w:val="20"/>
          <w:lang w:val="en-GB"/>
        </w:rPr>
        <w:t>l</w:t>
      </w:r>
      <w:r w:rsidRPr="00492F36">
        <w:rPr>
          <w:rFonts w:ascii="Garamond" w:hAnsi="Garamond" w:cs="Arial"/>
          <w:color w:val="000000" w:themeColor="text1"/>
          <w:sz w:val="20"/>
          <w:szCs w:val="20"/>
          <w:lang w:val="en-GB"/>
        </w:rPr>
        <w:t xml:space="preserve">agen« für »ein </w:t>
      </w:r>
      <w:r w:rsidRPr="00492F36">
        <w:rPr>
          <w:rFonts w:ascii="Garamond" w:hAnsi="Garamond" w:cs="Arial"/>
          <w:b/>
          <w:bCs/>
          <w:color w:val="000000" w:themeColor="text1"/>
          <w:sz w:val="20"/>
          <w:szCs w:val="20"/>
          <w:lang w:val="en-GB"/>
        </w:rPr>
        <w:t>j</w:t>
      </w:r>
      <w:r w:rsidRPr="00492F36">
        <w:rPr>
          <w:rFonts w:ascii="Garamond" w:hAnsi="Garamond" w:cs="Arial"/>
          <w:color w:val="000000" w:themeColor="text1"/>
          <w:sz w:val="20"/>
          <w:szCs w:val="20"/>
          <w:lang w:val="en-GB"/>
        </w:rPr>
        <w:t xml:space="preserve">agen« aufmerksam zu machen, worauf er sofort antwortete: » </w:t>
      </w:r>
      <w:r w:rsidRPr="00492F36">
        <w:rPr>
          <w:rFonts w:ascii="Garamond" w:hAnsi="Garamond" w:cs="Arial"/>
          <w:b/>
          <w:bCs/>
          <w:color w:val="000000" w:themeColor="text1"/>
          <w:sz w:val="20"/>
          <w:szCs w:val="20"/>
          <w:lang w:val="en-GB"/>
        </w:rPr>
        <w:t>J</w:t>
      </w:r>
      <w:r w:rsidRPr="00492F36">
        <w:rPr>
          <w:rFonts w:ascii="Garamond" w:hAnsi="Garamond" w:cs="Arial"/>
          <w:color w:val="000000" w:themeColor="text1"/>
          <w:sz w:val="20"/>
          <w:szCs w:val="20"/>
          <w:lang w:val="en-GB"/>
        </w:rPr>
        <w:t xml:space="preserve">a, das kommt daher, weil ich dachte: ich wäre nicht in der </w:t>
      </w:r>
      <w:r w:rsidRPr="00492F36">
        <w:rPr>
          <w:rFonts w:ascii="Garamond" w:hAnsi="Garamond" w:cs="Arial"/>
          <w:b/>
          <w:bCs/>
          <w:color w:val="000000" w:themeColor="text1"/>
          <w:sz w:val="20"/>
          <w:szCs w:val="20"/>
          <w:lang w:val="en-GB"/>
        </w:rPr>
        <w:t>L</w:t>
      </w:r>
      <w:r w:rsidRPr="00492F36">
        <w:rPr>
          <w:rFonts w:ascii="Garamond" w:hAnsi="Garamond" w:cs="Arial"/>
          <w:color w:val="000000" w:themeColor="text1"/>
          <w:sz w:val="20"/>
          <w:szCs w:val="20"/>
          <w:lang w:val="en-GB"/>
        </w:rPr>
        <w:t>age u. s. f.«</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›Ein anderer Fall. Ich frage R. v. Schid., wie es seinem kranken Pferde gehe. </w:t>
      </w:r>
      <w:r w:rsidRPr="00492F36">
        <w:rPr>
          <w:rFonts w:ascii="Garamond" w:hAnsi="Garamond" w:cs="Arial"/>
          <w:color w:val="000000" w:themeColor="text1"/>
          <w:sz w:val="20"/>
          <w:szCs w:val="20"/>
        </w:rPr>
        <w:t xml:space="preserve">Er antwortet: ›Ja, das </w:t>
      </w:r>
      <w:r w:rsidRPr="00492F36">
        <w:rPr>
          <w:rFonts w:ascii="Garamond" w:hAnsi="Garamond" w:cs="Arial"/>
          <w:i/>
          <w:iCs/>
          <w:color w:val="000000" w:themeColor="text1"/>
          <w:sz w:val="20"/>
          <w:szCs w:val="20"/>
        </w:rPr>
        <w:t>draut</w:t>
      </w:r>
      <w:r w:rsidRPr="00492F36">
        <w:rPr>
          <w:rFonts w:ascii="Garamond" w:hAnsi="Garamond" w:cs="Arial"/>
          <w:color w:val="000000" w:themeColor="text1"/>
          <w:sz w:val="20"/>
          <w:szCs w:val="20"/>
        </w:rPr>
        <w:t xml:space="preserve"> .. dauert vielleicht noch einen Monat.‹ </w:t>
      </w:r>
      <w:r w:rsidRPr="00492F36">
        <w:rPr>
          <w:rFonts w:ascii="Garamond" w:hAnsi="Garamond" w:cs="Arial"/>
          <w:color w:val="000000" w:themeColor="text1"/>
          <w:sz w:val="20"/>
          <w:szCs w:val="20"/>
          <w:lang w:val="en-GB"/>
        </w:rPr>
        <w:t xml:space="preserve">Das ›draut‹ mit seinem r war mir unverständlich, denn das r von dauert konnte unmöglich so gewirkt haben. Ich machte also R. v. S. aufmerksam, worauf er erklärte, er habe gedacht, ›das ist eine </w:t>
      </w:r>
      <w:r w:rsidRPr="00492F36">
        <w:rPr>
          <w:rFonts w:ascii="Garamond" w:hAnsi="Garamond" w:cs="Arial"/>
          <w:i/>
          <w:iCs/>
          <w:color w:val="000000" w:themeColor="text1"/>
          <w:sz w:val="20"/>
          <w:szCs w:val="20"/>
          <w:lang w:val="en-GB"/>
        </w:rPr>
        <w:t>traurige</w:t>
      </w:r>
      <w:r w:rsidRPr="00492F36">
        <w:rPr>
          <w:rFonts w:ascii="Garamond" w:hAnsi="Garamond" w:cs="Arial"/>
          <w:color w:val="000000" w:themeColor="text1"/>
          <w:sz w:val="20"/>
          <w:szCs w:val="20"/>
          <w:lang w:val="en-GB"/>
        </w:rPr>
        <w:t xml:space="preserve"> Geschichte.‹ Der Sprecher hatte also zwei Antworten im Sinne und diese vermengten sich.‹</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Es ist wohl unverkennbar, wie nahe die Rücksichtnahme auf die ›vagierenden‹ Sprachbilder, die unter der Schwelle des Bewußtseins stehen und nicht zum Gesprochenwerden bestimmt sind, und die Forderung, sich zu erkundigen, an was der Sprecher alles gedacht habe, an die Verhältnisse bei unseren ›Analysen‹ herankommen. Auch wir suchen unbewußtes Material, und zwar auf dem nämlichen Wege, nur daß wir von den Einfällen des Befragten bis zur Auffindung des störenden Elementes einen längeren Weg durch eine komplexe Assoziationsreihe zurückzulegen haben.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verweile noch bei einem anderen interessanten Verhalten, für das die Beispiele </w:t>
      </w:r>
      <w:r w:rsidRPr="00492F36">
        <w:rPr>
          <w:rFonts w:ascii="Garamond" w:hAnsi="Garamond" w:cs="Arial"/>
          <w:i/>
          <w:iCs/>
          <w:color w:val="000000" w:themeColor="text1"/>
          <w:sz w:val="20"/>
          <w:szCs w:val="20"/>
          <w:lang w:val="en-GB"/>
        </w:rPr>
        <w:t>Meringers</w:t>
      </w:r>
      <w:r w:rsidRPr="00492F36">
        <w:rPr>
          <w:rFonts w:ascii="Garamond" w:hAnsi="Garamond" w:cs="Arial"/>
          <w:color w:val="000000" w:themeColor="text1"/>
          <w:sz w:val="20"/>
          <w:szCs w:val="20"/>
          <w:lang w:val="en-GB"/>
        </w:rPr>
        <w:t xml:space="preserve"> Zeugnis ablegen. Nach der Einsicht des Autors selbst ist es irgend eine Ähnlichkeit eines Wortes im intendierten Satz mit einem anderen nicht intendierten, welche dem letzteren gestattet, sich durch die Verursachung einer Entstellung, Mischbildung, Kompromißbildung (Kontamination) im Bewußtsein zur Geltung zu bringen.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i/>
          <w:iCs/>
          <w:color w:val="000000" w:themeColor="text1"/>
          <w:sz w:val="20"/>
          <w:szCs w:val="20"/>
          <w:lang w:val="en-GB"/>
        </w:rPr>
        <w:t>lagen</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dauert</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Vorschein</w:t>
      </w:r>
      <w:r w:rsidRPr="00492F36">
        <w:rPr>
          <w:rFonts w:ascii="Garamond" w:hAnsi="Garamond" w:cs="Arial"/>
          <w:color w:val="000000" w:themeColor="text1"/>
          <w:sz w:val="20"/>
          <w:szCs w:val="20"/>
          <w:lang w:val="en-GB"/>
        </w:rPr>
        <w:t xml:space="preserve">. </w:t>
      </w:r>
      <w:r w:rsidRPr="00492F36">
        <w:rPr>
          <w:rFonts w:ascii="Garamond" w:hAnsi="Garamond" w:cs="Arial"/>
          <w:color w:val="000000" w:themeColor="text1"/>
          <w:sz w:val="20"/>
          <w:szCs w:val="20"/>
          <w:lang w:val="en-GB"/>
        </w:rPr>
        <w:br/>
      </w:r>
      <w:r w:rsidRPr="00492F36">
        <w:rPr>
          <w:rFonts w:ascii="Garamond" w:hAnsi="Garamond" w:cs="Arial"/>
          <w:i/>
          <w:iCs/>
          <w:color w:val="000000" w:themeColor="text1"/>
          <w:sz w:val="20"/>
          <w:szCs w:val="20"/>
          <w:lang w:val="en-GB"/>
        </w:rPr>
        <w:t>jagen</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traurig</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...schwein</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Nun habe ich in meiner Schrift über die ›Traumdeutung‹ </w:t>
      </w:r>
      <w:hyperlink r:id="rId267"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i/>
            <w:iCs/>
            <w:color w:val="000000" w:themeColor="text1"/>
            <w:sz w:val="20"/>
            <w:szCs w:val="20"/>
            <w:lang w:val="en-GB"/>
          </w:rPr>
          <w:t>Die Traumdeutung. Leipzig und Wien, 1900.</w:t>
        </w:r>
      </w:hyperlink>
      <w:r w:rsidRPr="00492F36">
        <w:rPr>
          <w:rFonts w:ascii="Garamond" w:hAnsi="Garamond" w:cs="Arial"/>
          <w:color w:val="000000" w:themeColor="text1"/>
          <w:sz w:val="20"/>
          <w:szCs w:val="20"/>
          <w:lang w:val="en-GB"/>
        </w:rPr>
        <w:t xml:space="preserve"> dargetan, welchen Anteil die </w:t>
      </w:r>
      <w:r w:rsidRPr="00492F36">
        <w:rPr>
          <w:rFonts w:ascii="Garamond" w:hAnsi="Garamond" w:cs="Arial"/>
          <w:i/>
          <w:iCs/>
          <w:color w:val="000000" w:themeColor="text1"/>
          <w:sz w:val="20"/>
          <w:szCs w:val="20"/>
          <w:lang w:val="en-GB"/>
        </w:rPr>
        <w:t>Verdichtungs</w:t>
      </w:r>
      <w:r w:rsidRPr="00492F36">
        <w:rPr>
          <w:rFonts w:ascii="Garamond" w:hAnsi="Garamond" w:cs="Arial"/>
          <w:color w:val="000000" w:themeColor="text1"/>
          <w:sz w:val="20"/>
          <w:szCs w:val="20"/>
          <w:lang w:val="en-GB"/>
        </w:rPr>
        <w:t>arbeit an der Entstehung des sog. manifesten Trauminhaltes aus den latenten Traumgedanken hat. Irgend eine Ähnlichkeit der Dinge oder der Wortvorstellungen zwischen zwei Elementen des unbewußten Materials wird da zum Anlaß genommen, um ein Drittes, eine Misch- oder Kompromißvorstellung zu schaffen, welche im Trauminhalt ihre beiden Komponenten vertritt, und die infolge dieses Ursprungs so häufig mit widersprechenden Einzelbestimmungen ausgestattet ist. Die Bildung von Substitutionen und Kontaminationen beim Versprechen ist somit ein Beginn jener Verdichtungsarbeit, die wir in eifrigster Tätigkeit am Aufbau des Traumes beteiligt finden.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In einem kleinen für weitere Kreise bestimmten Aufsatz ( </w:t>
      </w:r>
      <w:r w:rsidRPr="00492F36">
        <w:rPr>
          <w:rFonts w:ascii="Garamond" w:hAnsi="Garamond" w:cs="Arial"/>
          <w:i/>
          <w:iCs/>
          <w:color w:val="000000" w:themeColor="text1"/>
          <w:sz w:val="20"/>
          <w:szCs w:val="20"/>
          <w:lang w:val="en-GB"/>
        </w:rPr>
        <w:t>Neue freie Presse vom 23. Aug. 1900: ›Wie man sich versprechen kann‹</w:t>
      </w:r>
      <w:r w:rsidRPr="00492F36">
        <w:rPr>
          <w:rFonts w:ascii="Garamond" w:hAnsi="Garamond" w:cs="Arial"/>
          <w:color w:val="000000" w:themeColor="text1"/>
          <w:sz w:val="20"/>
          <w:szCs w:val="20"/>
          <w:lang w:val="en-GB"/>
        </w:rPr>
        <w:t xml:space="preserve">) hat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eine besondere praktische Bedeutung für gewisse Fälle von Wortvertauschungen in Anspruch genommen, für solche nämlich, in denen man ein Wort durch sein Gegenteil dem Sinne nach ersetzt. ›Man erinnert sich wohl noch der Art, wie vor einiger Zeit der Präsident des österreichischen Abgeordnetenhauses die Sitzung </w:t>
      </w:r>
      <w:r w:rsidRPr="00492F36">
        <w:rPr>
          <w:rFonts w:ascii="Garamond" w:hAnsi="Garamond" w:cs="Arial"/>
          <w:i/>
          <w:iCs/>
          <w:color w:val="000000" w:themeColor="text1"/>
          <w:sz w:val="20"/>
          <w:szCs w:val="20"/>
          <w:lang w:val="en-GB"/>
        </w:rPr>
        <w:t>eröffnete</w:t>
      </w:r>
      <w:r w:rsidRPr="00492F36">
        <w:rPr>
          <w:rFonts w:ascii="Garamond" w:hAnsi="Garamond" w:cs="Arial"/>
          <w:color w:val="000000" w:themeColor="text1"/>
          <w:sz w:val="20"/>
          <w:szCs w:val="20"/>
          <w:lang w:val="en-GB"/>
        </w:rPr>
        <w:t xml:space="preserve">: »Hohes Haus! Ich konstatiere die Anwesenheit von so und soviel Herren und erkläre somit die Sitzung für </w:t>
      </w:r>
      <w:r w:rsidRPr="00492F36">
        <w:rPr>
          <w:rFonts w:ascii="Garamond" w:hAnsi="Garamond" w:cs="Arial"/>
          <w:i/>
          <w:iCs/>
          <w:color w:val="000000" w:themeColor="text1"/>
          <w:sz w:val="20"/>
          <w:szCs w:val="20"/>
          <w:lang w:val="en-GB"/>
        </w:rPr>
        <w:t>geschlossen</w:t>
      </w:r>
      <w:r w:rsidRPr="00492F36">
        <w:rPr>
          <w:rFonts w:ascii="Garamond" w:hAnsi="Garamond" w:cs="Arial"/>
          <w:color w:val="000000" w:themeColor="text1"/>
          <w:sz w:val="20"/>
          <w:szCs w:val="20"/>
          <w:lang w:val="en-GB"/>
        </w:rPr>
        <w:t xml:space="preserve">!« Die allgemeine Heiterkeit machte ihn erst aufmerksam, und er verbesserte den Fehler. Im vorliegenden Falle wird die Erklärung wohl diese sein, daß der Präsident sich </w:t>
      </w:r>
      <w:r w:rsidRPr="00492F36">
        <w:rPr>
          <w:rFonts w:ascii="Garamond" w:hAnsi="Garamond" w:cs="Arial"/>
          <w:i/>
          <w:iCs/>
          <w:color w:val="000000" w:themeColor="text1"/>
          <w:sz w:val="20"/>
          <w:szCs w:val="20"/>
          <w:lang w:val="en-GB"/>
        </w:rPr>
        <w:t>wünschte</w:t>
      </w:r>
      <w:r w:rsidRPr="00492F36">
        <w:rPr>
          <w:rFonts w:ascii="Garamond" w:hAnsi="Garamond" w:cs="Arial"/>
          <w:color w:val="000000" w:themeColor="text1"/>
          <w:sz w:val="20"/>
          <w:szCs w:val="20"/>
          <w:lang w:val="en-GB"/>
        </w:rPr>
        <w:t xml:space="preserve">, er wäre schon in der Lage, die Sitzung, von der wenig Gutes zu erwarten stand, zu schliessen, aber – eine häufige Erscheinung – der Nebengedanke setzte sich wenigstens teilweise durch, und das Resultat war »geschlossen« für »eröffnet«, also das Gegenteil dessen, was zu sprechen beabsichtigt war. Aber vielfältige Beobachtung hat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belehrt, daß man gegensätzliche Worte überhaupt </w:t>
      </w:r>
      <w:r w:rsidRPr="00492F36">
        <w:rPr>
          <w:rFonts w:ascii="Garamond" w:hAnsi="Garamond" w:cs="Arial"/>
          <w:color w:val="000000" w:themeColor="text1"/>
          <w:sz w:val="20"/>
          <w:szCs w:val="20"/>
          <w:lang w:val="en-GB"/>
        </w:rPr>
        <w:lastRenderedPageBreak/>
        <w:t>sehr häufig mit einander vertauscht; sie sind eben schon in unserem Sprachbewußtsein assoziiert, liegen hart nebeneinander und werden leicht irrtümlich aufgerufen.‹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Nicht in allen Fällen von Gegensatzvertauschung wird es so leicht, wie hier im Beispiel des Präsidenten, wahrscheinlich zu machen, daß das Versprechen in Folge eines Widerspruchs geschieht, der sich im Innern des Redners gegen den geäußerten Satz erhebt. Wir haben den analogen Mechanismus in der Analyse des Beispiels: </w:t>
      </w:r>
      <w:r w:rsidRPr="00492F36">
        <w:rPr>
          <w:rFonts w:ascii="Garamond" w:hAnsi="Garamond" w:cs="Arial"/>
          <w:i/>
          <w:iCs/>
          <w:color w:val="000000" w:themeColor="text1"/>
          <w:sz w:val="20"/>
          <w:szCs w:val="20"/>
          <w:lang w:val="en-GB"/>
        </w:rPr>
        <w:t>aliquis</w:t>
      </w:r>
      <w:r w:rsidRPr="00492F36">
        <w:rPr>
          <w:rFonts w:ascii="Garamond" w:hAnsi="Garamond" w:cs="Arial"/>
          <w:color w:val="000000" w:themeColor="text1"/>
          <w:sz w:val="20"/>
          <w:szCs w:val="20"/>
          <w:lang w:val="en-GB"/>
        </w:rPr>
        <w:t xml:space="preserve"> gefunden; dort äußerte sich der innere Widerspruch im Vergessen eines Wortes anstatt seiner Ersetzung durch das Gegenteil. Wir wollen aber zur Ausgleichung des Unterschiedes bemerken, daß das Wörtchen </w:t>
      </w:r>
      <w:r w:rsidRPr="00492F36">
        <w:rPr>
          <w:rFonts w:ascii="Garamond" w:hAnsi="Garamond" w:cs="Arial"/>
          <w:i/>
          <w:iCs/>
          <w:color w:val="000000" w:themeColor="text1"/>
          <w:sz w:val="20"/>
          <w:szCs w:val="20"/>
          <w:lang w:val="en-GB"/>
        </w:rPr>
        <w:t>aliquis</w:t>
      </w:r>
      <w:r w:rsidRPr="00492F36">
        <w:rPr>
          <w:rFonts w:ascii="Garamond" w:hAnsi="Garamond" w:cs="Arial"/>
          <w:color w:val="000000" w:themeColor="text1"/>
          <w:sz w:val="20"/>
          <w:szCs w:val="20"/>
          <w:lang w:val="en-GB"/>
        </w:rPr>
        <w:t xml:space="preserve"> eines ähnlichen Gegensatzes, wie ihn »schliessen« zu »eröffnen« ergibt, eigentlich nicht fähig ist, und das »eröffnen« als gebräuchlicher Bestandteil des Redeschatzes dem Vergessen nicht unterworfen sein kann.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Zeigen uns die letzten Beispiele von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Mayer</w:t>
      </w:r>
      <w:r w:rsidRPr="00492F36">
        <w:rPr>
          <w:rFonts w:ascii="Garamond" w:hAnsi="Garamond" w:cs="Arial"/>
          <w:color w:val="000000" w:themeColor="text1"/>
          <w:sz w:val="20"/>
          <w:szCs w:val="20"/>
          <w:lang w:val="en-GB"/>
        </w:rPr>
        <w:t xml:space="preserve">, daß die Sprechstörung ebensowohl durch den Einfluß vor- und nachklingender Laute und Worte desselben Satzes entstehen kann, die zum Ausgesprochenwerden bestimmt sind, wie durch die Einwirkung von Worten ausserhalb des intendierten Satzes, </w:t>
      </w:r>
      <w:r w:rsidRPr="00492F36">
        <w:rPr>
          <w:rFonts w:ascii="Garamond" w:hAnsi="Garamond" w:cs="Arial"/>
          <w:i/>
          <w:iCs/>
          <w:color w:val="000000" w:themeColor="text1"/>
          <w:sz w:val="20"/>
          <w:szCs w:val="20"/>
          <w:lang w:val="en-GB"/>
        </w:rPr>
        <w:t>deren Erregung sich sonst nicht verraten hätte</w:t>
      </w:r>
      <w:r w:rsidRPr="00492F36">
        <w:rPr>
          <w:rFonts w:ascii="Garamond" w:hAnsi="Garamond" w:cs="Arial"/>
          <w:color w:val="000000" w:themeColor="text1"/>
          <w:sz w:val="20"/>
          <w:szCs w:val="20"/>
          <w:lang w:val="en-GB"/>
        </w:rPr>
        <w:t xml:space="preserve">, so werden wir zunächst erfahren wollen, ob man die beiden Klassen von Versprechen scharf sondern, und wie man ein Beispiel der einen von einem Fall der anderen Klasse unterscheiden kann. An dieser Stelle der Erörterung muß man aber der Äußerungen </w:t>
      </w:r>
      <w:r w:rsidRPr="00492F36">
        <w:rPr>
          <w:rFonts w:ascii="Garamond" w:hAnsi="Garamond" w:cs="Arial"/>
          <w:i/>
          <w:iCs/>
          <w:color w:val="000000" w:themeColor="text1"/>
          <w:sz w:val="20"/>
          <w:szCs w:val="20"/>
          <w:lang w:val="en-GB"/>
        </w:rPr>
        <w:t>Wundts</w:t>
      </w:r>
      <w:r w:rsidRPr="00492F36">
        <w:rPr>
          <w:rFonts w:ascii="Garamond" w:hAnsi="Garamond" w:cs="Arial"/>
          <w:color w:val="000000" w:themeColor="text1"/>
          <w:sz w:val="20"/>
          <w:szCs w:val="20"/>
          <w:lang w:val="en-GB"/>
        </w:rPr>
        <w:t xml:space="preserve"> gedenken, der in seiner eben erscheinenden umfassenden Bearbeitung der Entwicklungsgesetze der Sprache ( </w:t>
      </w:r>
      <w:r w:rsidRPr="00492F36">
        <w:rPr>
          <w:rFonts w:ascii="Garamond" w:hAnsi="Garamond" w:cs="Arial"/>
          <w:i/>
          <w:iCs/>
          <w:color w:val="000000" w:themeColor="text1"/>
          <w:sz w:val="20"/>
          <w:szCs w:val="20"/>
          <w:lang w:val="en-GB"/>
        </w:rPr>
        <w:t>Völkerpsychologie, I. Band, I. Teil p. 371 u. ff., 1900</w:t>
      </w:r>
      <w:r w:rsidRPr="00492F36">
        <w:rPr>
          <w:rFonts w:ascii="Garamond" w:hAnsi="Garamond" w:cs="Arial"/>
          <w:color w:val="000000" w:themeColor="text1"/>
          <w:sz w:val="20"/>
          <w:szCs w:val="20"/>
          <w:lang w:val="en-GB"/>
        </w:rPr>
        <w:t xml:space="preserve">) auch die Erscheinungen des Versprechens behandelt. Was bei diesen Erscheinungen und anderen, ihnen verwandten, niemals fehlt, das sind nach </w:t>
      </w:r>
      <w:r w:rsidRPr="00492F36">
        <w:rPr>
          <w:rFonts w:ascii="Garamond" w:hAnsi="Garamond" w:cs="Arial"/>
          <w:i/>
          <w:iCs/>
          <w:color w:val="000000" w:themeColor="text1"/>
          <w:sz w:val="20"/>
          <w:szCs w:val="20"/>
          <w:lang w:val="en-GB"/>
        </w:rPr>
        <w:t>Wundt</w:t>
      </w:r>
      <w:r w:rsidRPr="00492F36">
        <w:rPr>
          <w:rFonts w:ascii="Garamond" w:hAnsi="Garamond" w:cs="Arial"/>
          <w:color w:val="000000" w:themeColor="text1"/>
          <w:sz w:val="20"/>
          <w:szCs w:val="20"/>
          <w:lang w:val="en-GB"/>
        </w:rPr>
        <w:t xml:space="preserve"> gewisse psychische Einflüsse. ›Dahin gehört zunächst als positive Bedingung der ungehemmte Fluß der von den gesprochenen Lauten angeregten </w:t>
      </w:r>
      <w:r w:rsidRPr="00492F36">
        <w:rPr>
          <w:rFonts w:ascii="Garamond" w:hAnsi="Garamond" w:cs="Arial"/>
          <w:i/>
          <w:iCs/>
          <w:color w:val="000000" w:themeColor="text1"/>
          <w:sz w:val="20"/>
          <w:szCs w:val="20"/>
          <w:lang w:val="en-GB"/>
        </w:rPr>
        <w:t>Laut</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Wortassoziationen</w:t>
      </w:r>
      <w:r w:rsidRPr="00492F36">
        <w:rPr>
          <w:rFonts w:ascii="Garamond" w:hAnsi="Garamond" w:cs="Arial"/>
          <w:color w:val="000000" w:themeColor="text1"/>
          <w:sz w:val="20"/>
          <w:szCs w:val="20"/>
          <w:lang w:val="en-GB"/>
        </w:rPr>
        <w:t xml:space="preserve">. Ihm tritt der Wegfall oder der Nachlaß der diesen Lauf hemmenden Wirkungen des Willens und der auch hier als Willensfunktion sich betätigenden Aufmerksamkeit als negatives Moment zur Seite. Ob jenes Spiel der Assoziation darin sich äußert, das ein kommender Laut antizipiert oder die vorausgegangenen reproduziert, oder ein gewohnheitsmäßig eingeübter zwischen andere eingeschaltet wird, oder endlich darin, daß ganz andere Worte, die mit den gesprochenen Lauten in assoziativer Beziehung stehen, auf diese herüberwirken – alles dies bezeichnet nur Unterschiede in der Richtung und allenfalls in dem Spielraum der stattfindenden Assoziationen, nicht in der allgemeinen Natur derselben. Auch kann es in manchen Fällen zweifelhaft sein, welcher Form man eine bestimmte Störung zuzurechnen, oder ob man sie nicht mit größerem Rechte nach dem Prinzip der Komplikation der Ursachen auf ein Zusammentreffen mehrerer Motive zurückzuführen habe.‹ ( </w:t>
      </w:r>
      <w:r w:rsidRPr="00492F36">
        <w:rPr>
          <w:rFonts w:ascii="Garamond" w:hAnsi="Garamond" w:cs="Arial"/>
          <w:i/>
          <w:iCs/>
          <w:color w:val="000000" w:themeColor="text1"/>
          <w:sz w:val="20"/>
          <w:szCs w:val="20"/>
          <w:lang w:val="en-GB"/>
        </w:rPr>
        <w:t>p. 380 und 381.</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halte diese Bemerkungen </w:t>
      </w:r>
      <w:r w:rsidRPr="00492F36">
        <w:rPr>
          <w:rFonts w:ascii="Garamond" w:hAnsi="Garamond" w:cs="Arial"/>
          <w:i/>
          <w:iCs/>
          <w:color w:val="000000" w:themeColor="text1"/>
          <w:sz w:val="20"/>
          <w:szCs w:val="20"/>
          <w:lang w:val="en-GB"/>
        </w:rPr>
        <w:t>Wundts</w:t>
      </w:r>
      <w:r w:rsidRPr="00492F36">
        <w:rPr>
          <w:rFonts w:ascii="Garamond" w:hAnsi="Garamond" w:cs="Arial"/>
          <w:color w:val="000000" w:themeColor="text1"/>
          <w:sz w:val="20"/>
          <w:szCs w:val="20"/>
          <w:lang w:val="en-GB"/>
        </w:rPr>
        <w:t xml:space="preserve"> für vollberechtigt und sehr instruktiv. Vielleicht könnte man mit größerer Entschiedenheit als </w:t>
      </w:r>
      <w:r w:rsidRPr="00492F36">
        <w:rPr>
          <w:rFonts w:ascii="Garamond" w:hAnsi="Garamond" w:cs="Arial"/>
          <w:i/>
          <w:iCs/>
          <w:color w:val="000000" w:themeColor="text1"/>
          <w:sz w:val="20"/>
          <w:szCs w:val="20"/>
          <w:lang w:val="en-GB"/>
        </w:rPr>
        <w:t>Wundt</w:t>
      </w:r>
      <w:r w:rsidRPr="00492F36">
        <w:rPr>
          <w:rFonts w:ascii="Garamond" w:hAnsi="Garamond" w:cs="Arial"/>
          <w:color w:val="000000" w:themeColor="text1"/>
          <w:sz w:val="20"/>
          <w:szCs w:val="20"/>
          <w:lang w:val="en-GB"/>
        </w:rPr>
        <w:t xml:space="preserve"> betonen, daß das positiv begünstigende Moment der Sprechfehler – der ungehemmte Fluß der Assoziationen – und das negative – der Nachlaß der hemmenden Aufmerksamkeit – regelmäßig miteinander zur Wirkung gelangen, so daß beide Momente nur zu verschiedenen Bestimmungen des nämlichen Vorganges werden. Mit dem Nachlaß der hemmenden Aufmerksamkeit tritt eben der ungehemmte Fluß der Assoziationen in Tätigkeit; noch unzweifelhafter ausgedrückt: </w:t>
      </w:r>
      <w:r w:rsidRPr="00492F36">
        <w:rPr>
          <w:rFonts w:ascii="Garamond" w:hAnsi="Garamond" w:cs="Arial"/>
          <w:i/>
          <w:iCs/>
          <w:color w:val="000000" w:themeColor="text1"/>
          <w:sz w:val="20"/>
          <w:szCs w:val="20"/>
          <w:lang w:val="en-GB"/>
        </w:rPr>
        <w:t>durch</w:t>
      </w:r>
      <w:r w:rsidRPr="00492F36">
        <w:rPr>
          <w:rFonts w:ascii="Garamond" w:hAnsi="Garamond" w:cs="Arial"/>
          <w:color w:val="000000" w:themeColor="text1"/>
          <w:sz w:val="20"/>
          <w:szCs w:val="20"/>
          <w:lang w:val="en-GB"/>
        </w:rPr>
        <w:t xml:space="preserve"> diesen Nachlaß.</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Unter den Beispielen von Versprechen, die ich selbst gesammelt, finde ich kaum eines, bei dem ich die Sprechstörung einzig und allein auf das, was </w:t>
      </w:r>
      <w:r w:rsidRPr="00492F36">
        <w:rPr>
          <w:rFonts w:ascii="Garamond" w:hAnsi="Garamond" w:cs="Arial"/>
          <w:i/>
          <w:iCs/>
          <w:color w:val="000000" w:themeColor="text1"/>
          <w:sz w:val="20"/>
          <w:szCs w:val="20"/>
          <w:lang w:val="en-GB"/>
        </w:rPr>
        <w:t>Wundt</w:t>
      </w:r>
      <w:r w:rsidRPr="00492F36">
        <w:rPr>
          <w:rFonts w:ascii="Garamond" w:hAnsi="Garamond" w:cs="Arial"/>
          <w:color w:val="000000" w:themeColor="text1"/>
          <w:sz w:val="20"/>
          <w:szCs w:val="20"/>
          <w:lang w:val="en-GB"/>
        </w:rPr>
        <w:t xml:space="preserve"> »Kontaktwirkung der Laute« nennt, zurückführen müßte. Fast regelmäßig entdecke ich überdies einen störenden Einfluß von etwas </w:t>
      </w:r>
      <w:r w:rsidRPr="00492F36">
        <w:rPr>
          <w:rFonts w:ascii="Garamond" w:hAnsi="Garamond" w:cs="Arial"/>
          <w:i/>
          <w:iCs/>
          <w:color w:val="000000" w:themeColor="text1"/>
          <w:sz w:val="20"/>
          <w:szCs w:val="20"/>
          <w:lang w:val="en-GB"/>
        </w:rPr>
        <w:t>ausserhalb</w:t>
      </w:r>
      <w:r w:rsidRPr="00492F36">
        <w:rPr>
          <w:rFonts w:ascii="Garamond" w:hAnsi="Garamond" w:cs="Arial"/>
          <w:color w:val="000000" w:themeColor="text1"/>
          <w:sz w:val="20"/>
          <w:szCs w:val="20"/>
          <w:lang w:val="en-GB"/>
        </w:rPr>
        <w:t xml:space="preserve"> der intendierten Rede, und das Störende ist entweder ein einzelner, unbewußt gebliebener Gedanke, der sich durch das Versprechen kundgibt und oft erst durch eingehende Analyse zum Bewußtsein gefördert werden kann, oder es ist ein allgemeineres psychisches Motiv, welches sich gegen die ganze Rede richtet.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1) Beispiel: Ich will gegen meine Tochter, die beim Einbeißen in einen Apfel ein garstiges Gesicht geschnitten hat, zitieren:</w:t>
      </w:r>
    </w:p>
    <w:p w:rsidR="000D4CB9" w:rsidRPr="00492F36" w:rsidRDefault="000D4CB9" w:rsidP="000D4CB9">
      <w:pPr>
        <w:pStyle w:val="vers1"/>
        <w:shd w:val="clear" w:color="auto" w:fill="FFFFFF"/>
        <w:spacing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Der Affe gar possierlich ist, </w:t>
      </w:r>
      <w:r w:rsidRPr="00492F36">
        <w:rPr>
          <w:rFonts w:ascii="Garamond" w:hAnsi="Garamond" w:cs="Arial"/>
          <w:color w:val="000000" w:themeColor="text1"/>
          <w:sz w:val="20"/>
          <w:szCs w:val="20"/>
          <w:lang w:val="en-GB"/>
        </w:rPr>
        <w:br/>
        <w:t>Zumal wenn er vom Apfel frißt.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beginne aber: Der </w:t>
      </w:r>
      <w:r w:rsidRPr="00492F36">
        <w:rPr>
          <w:rFonts w:ascii="Garamond" w:hAnsi="Garamond" w:cs="Arial"/>
          <w:i/>
          <w:iCs/>
          <w:color w:val="000000" w:themeColor="text1"/>
          <w:sz w:val="20"/>
          <w:szCs w:val="20"/>
          <w:lang w:val="en-GB"/>
        </w:rPr>
        <w:t>Apfe...</w:t>
      </w:r>
      <w:r w:rsidRPr="00492F36">
        <w:rPr>
          <w:rFonts w:ascii="Garamond" w:hAnsi="Garamond" w:cs="Arial"/>
          <w:color w:val="000000" w:themeColor="text1"/>
          <w:sz w:val="20"/>
          <w:szCs w:val="20"/>
          <w:lang w:val="en-GB"/>
        </w:rPr>
        <w:t xml:space="preserve"> Dies scheint eine Kontamination von » </w:t>
      </w:r>
      <w:r w:rsidRPr="00492F36">
        <w:rPr>
          <w:rFonts w:ascii="Garamond" w:hAnsi="Garamond" w:cs="Arial"/>
          <w:i/>
          <w:iCs/>
          <w:color w:val="000000" w:themeColor="text1"/>
          <w:sz w:val="20"/>
          <w:szCs w:val="20"/>
          <w:lang w:val="en-GB"/>
        </w:rPr>
        <w:t>Affe</w:t>
      </w:r>
      <w:r w:rsidRPr="00492F36">
        <w:rPr>
          <w:rFonts w:ascii="Garamond" w:hAnsi="Garamond" w:cs="Arial"/>
          <w:color w:val="000000" w:themeColor="text1"/>
          <w:sz w:val="20"/>
          <w:szCs w:val="20"/>
          <w:lang w:val="en-GB"/>
        </w:rPr>
        <w:t xml:space="preserve">« und » </w:t>
      </w:r>
      <w:r w:rsidRPr="00492F36">
        <w:rPr>
          <w:rFonts w:ascii="Garamond" w:hAnsi="Garamond" w:cs="Arial"/>
          <w:i/>
          <w:iCs/>
          <w:color w:val="000000" w:themeColor="text1"/>
          <w:sz w:val="20"/>
          <w:szCs w:val="20"/>
          <w:lang w:val="en-GB"/>
        </w:rPr>
        <w:t>Apfel</w:t>
      </w:r>
      <w:r w:rsidRPr="00492F36">
        <w:rPr>
          <w:rFonts w:ascii="Garamond" w:hAnsi="Garamond" w:cs="Arial"/>
          <w:color w:val="000000" w:themeColor="text1"/>
          <w:sz w:val="20"/>
          <w:szCs w:val="20"/>
          <w:lang w:val="en-GB"/>
        </w:rPr>
        <w:t xml:space="preserve">« (Kompromißbildung) oder kann auch als Antizipation des vorbereiteten »Apfel« aufgefaßt werden. Der genauere Sachverhalt ist aber der: Ich hatte das Zitat schon einmal begonnen und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das erstemal dabei nicht versprochen. Ich versprach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erst bei der Wiederholung, die sich als notwendig ergab, weil die Angesprochene, von anderer Seite mit Beschlag belegt, nicht zuhörte. Diese Wiederholung, die mit ihr verbundene Ungeduld, des Satzes ledig zu werden, muß ich in die Motivierung des Sprechfehlers, der sich als eine Verdichtungsleistung darstellt, mit einrechnen.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2) Meine Tochter sagt: Ich schreibe der Frau </w:t>
      </w:r>
      <w:r w:rsidRPr="00492F36">
        <w:rPr>
          <w:rFonts w:ascii="Garamond" w:hAnsi="Garamond" w:cs="Arial"/>
          <w:i/>
          <w:iCs/>
          <w:color w:val="000000" w:themeColor="text1"/>
          <w:sz w:val="20"/>
          <w:szCs w:val="20"/>
          <w:lang w:val="en-GB"/>
        </w:rPr>
        <w:t>Schre</w:t>
      </w:r>
      <w:r w:rsidRPr="00492F36">
        <w:rPr>
          <w:rFonts w:ascii="Garamond" w:hAnsi="Garamond" w:cs="Arial"/>
          <w:color w:val="000000" w:themeColor="text1"/>
          <w:sz w:val="20"/>
          <w:szCs w:val="20"/>
          <w:lang w:val="en-GB"/>
        </w:rPr>
        <w:t xml:space="preserve">singer ... Die Frau heißt </w:t>
      </w:r>
      <w:r w:rsidRPr="00492F36">
        <w:rPr>
          <w:rFonts w:ascii="Garamond" w:hAnsi="Garamond" w:cs="Arial"/>
          <w:i/>
          <w:iCs/>
          <w:color w:val="000000" w:themeColor="text1"/>
          <w:sz w:val="20"/>
          <w:szCs w:val="20"/>
          <w:lang w:val="en-GB"/>
        </w:rPr>
        <w:t>Schle</w:t>
      </w:r>
      <w:r w:rsidRPr="00492F36">
        <w:rPr>
          <w:rFonts w:ascii="Garamond" w:hAnsi="Garamond" w:cs="Arial"/>
          <w:color w:val="000000" w:themeColor="text1"/>
          <w:sz w:val="20"/>
          <w:szCs w:val="20"/>
          <w:lang w:val="en-GB"/>
        </w:rPr>
        <w:t xml:space="preserve">singer. Dieser Sprechfehler hängt wohl mit einer Tendenz zur Erleichterung der Artikulation zusammen, denn das l ist nach wiederholtem r schwer auszusprechen. Ich muß aber hinzufügen, daß sich dieses Versprechen bei meiner Tochter ereignete, nachdem ich ihr wenige Minuten zuvor »Apfe« anstatt »Affe« vorgesagt hatte. Nun ist das Versprechen in hohem Grade ansteckend, ähnlich wie das Namenvergessen, bei dem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Mayer</w:t>
      </w:r>
      <w:r w:rsidRPr="00492F36">
        <w:rPr>
          <w:rFonts w:ascii="Garamond" w:hAnsi="Garamond" w:cs="Arial"/>
          <w:color w:val="000000" w:themeColor="text1"/>
          <w:sz w:val="20"/>
          <w:szCs w:val="20"/>
          <w:lang w:val="en-GB"/>
        </w:rPr>
        <w:t xml:space="preserve"> diese Eigentümlichkeit bemerkt haben. Einen Grund für diese psychische Kontagiosität weiß ich nicht anzugeben.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lang w:val="en-GB"/>
        </w:rPr>
        <w:lastRenderedPageBreak/>
        <w:t xml:space="preserve">3) ›Ich klappe zusammen wie ein </w:t>
      </w:r>
      <w:r w:rsidRPr="00492F36">
        <w:rPr>
          <w:rFonts w:ascii="Garamond" w:hAnsi="Garamond" w:cs="Arial"/>
          <w:i/>
          <w:iCs/>
          <w:color w:val="000000" w:themeColor="text1"/>
          <w:sz w:val="20"/>
          <w:szCs w:val="20"/>
          <w:lang w:val="en-GB"/>
        </w:rPr>
        <w:t>Tassenmescher</w:t>
      </w:r>
      <w:r w:rsidRPr="00492F36">
        <w:rPr>
          <w:rFonts w:ascii="Garamond" w:hAnsi="Garamond" w:cs="Arial"/>
          <w:color w:val="000000" w:themeColor="text1"/>
          <w:sz w:val="20"/>
          <w:szCs w:val="20"/>
          <w:lang w:val="en-GB"/>
        </w:rPr>
        <w:t xml:space="preserve"> – </w:t>
      </w:r>
      <w:r w:rsidRPr="00492F36">
        <w:rPr>
          <w:rFonts w:ascii="Garamond" w:hAnsi="Garamond" w:cs="Arial"/>
          <w:i/>
          <w:iCs/>
          <w:color w:val="000000" w:themeColor="text1"/>
          <w:sz w:val="20"/>
          <w:szCs w:val="20"/>
          <w:lang w:val="en-GB"/>
        </w:rPr>
        <w:t>Taschenmesser</w:t>
      </w:r>
      <w:r w:rsidRPr="00492F36">
        <w:rPr>
          <w:rFonts w:ascii="Garamond" w:hAnsi="Garamond" w:cs="Arial"/>
          <w:color w:val="000000" w:themeColor="text1"/>
          <w:sz w:val="20"/>
          <w:szCs w:val="20"/>
          <w:lang w:val="en-GB"/>
        </w:rPr>
        <w:t xml:space="preserve">‹, sagt eine Patientin zu Beginn der Stunde, die Laute vertauschend, wobei ihr wieder die Artikulationsschwierigkeit (›Wiener Weiber Wäscherinnen waschen weiße Wäsche – </w:t>
      </w:r>
      <w:r w:rsidRPr="00492F36">
        <w:rPr>
          <w:rFonts w:ascii="Garamond" w:hAnsi="Garamond" w:cs="Arial"/>
          <w:i/>
          <w:iCs/>
          <w:color w:val="000000" w:themeColor="text1"/>
          <w:sz w:val="20"/>
          <w:szCs w:val="20"/>
          <w:lang w:val="en-GB"/>
        </w:rPr>
        <w:t>Fischflosse</w:t>
      </w:r>
      <w:r w:rsidRPr="00492F36">
        <w:rPr>
          <w:rFonts w:ascii="Garamond" w:hAnsi="Garamond" w:cs="Arial"/>
          <w:color w:val="000000" w:themeColor="text1"/>
          <w:sz w:val="20"/>
          <w:szCs w:val="20"/>
          <w:lang w:val="en-GB"/>
        </w:rPr>
        <w:t xml:space="preserve">‹ und ähnliche Prüfworte) zur Entschuldigung dienen kann. Auf den Sprechfehler aufmerksam gemacht, erwidert sie prompt: ›Ja, das ist nur, weil Sie heute »Ernscht« gesagt haben.‹ Ich hatte sie wirklich mit der Rede empfangen: ›Heute wird es also Ernst‹ (weil es die letzte Stunde vor dem Urlaub werden sollte) und hatte das »Ernst« scherzhaft zu »Ernscht« verbreitert. Im Laufe der Stunde verspricht sie sich immer wieder von neuem, und ich merke endlich, daß sie mich nicht bloß imitiert, sondern daß sie einen besonderen Grund hat, im Unbewußten bei dem Worte Ernst als Namen zu verweilen. </w:t>
      </w:r>
      <w:hyperlink r:id="rId268"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Sie stand nämlich, wie sich zeigte, unter dem Einfluß von unbewußten Gedanken über Schwangerschaft und Kinderverhütung. Mit den Worten: ›zusammengeklappt wie ein Taschenmesser‹, welche sie bewußt als Klage vorbrachte, wollte sie die Haltung des Kindes im Mutterleibe beschreiben. Das Wort ›Ernst‹ in meiner Anrede hatte sie an den Namen (S. Ernst) der bekannten Wiener Firma in der Kärnthnerstrasse gemahnt, welche sich als Verkaufsstätte von Schutzmitteln gegen die Konzeption zu annoncieren pflegt.</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t xml:space="preserve">4) ›Ich bin so verschnupft, ich kann nicht durch die </w:t>
      </w:r>
      <w:r w:rsidRPr="00492F36">
        <w:rPr>
          <w:rFonts w:ascii="Garamond" w:hAnsi="Garamond" w:cs="Arial"/>
          <w:i/>
          <w:iCs/>
          <w:color w:val="000000" w:themeColor="text1"/>
          <w:sz w:val="20"/>
          <w:szCs w:val="20"/>
        </w:rPr>
        <w:t>Ase natmen</w:t>
      </w:r>
      <w:r w:rsidRPr="00492F36">
        <w:rPr>
          <w:rFonts w:ascii="Garamond" w:hAnsi="Garamond" w:cs="Arial"/>
          <w:color w:val="000000" w:themeColor="text1"/>
          <w:sz w:val="20"/>
          <w:szCs w:val="20"/>
        </w:rPr>
        <w:t xml:space="preserve"> – Nase atmen‹ passiert derselben Patientin ein anderes Mal. Sie weiß sofort, wie sie zu diesem Sprechfehler kommt. ›Ich steige jeden Tag in der </w:t>
      </w:r>
      <w:r w:rsidRPr="00492F36">
        <w:rPr>
          <w:rFonts w:ascii="Garamond" w:hAnsi="Garamond" w:cs="Arial"/>
          <w:i/>
          <w:iCs/>
          <w:color w:val="000000" w:themeColor="text1"/>
          <w:sz w:val="20"/>
          <w:szCs w:val="20"/>
        </w:rPr>
        <w:t>Hasenauergasse</w:t>
      </w:r>
      <w:r w:rsidRPr="00492F36">
        <w:rPr>
          <w:rFonts w:ascii="Garamond" w:hAnsi="Garamond" w:cs="Arial"/>
          <w:color w:val="000000" w:themeColor="text1"/>
          <w:sz w:val="20"/>
          <w:szCs w:val="20"/>
        </w:rPr>
        <w:t xml:space="preserve"> in die Tramway, und heute früh ist mir während des Wartens auf den Wagen eingefallen, wenn ich eine Französin wäre, würde ich </w:t>
      </w:r>
      <w:r w:rsidRPr="00492F36">
        <w:rPr>
          <w:rFonts w:ascii="Garamond" w:hAnsi="Garamond" w:cs="Arial"/>
          <w:i/>
          <w:iCs/>
          <w:color w:val="000000" w:themeColor="text1"/>
          <w:sz w:val="20"/>
          <w:szCs w:val="20"/>
        </w:rPr>
        <w:t>Asenauer</w:t>
      </w:r>
      <w:r w:rsidRPr="00492F36">
        <w:rPr>
          <w:rFonts w:ascii="Garamond" w:hAnsi="Garamond" w:cs="Arial"/>
          <w:color w:val="000000" w:themeColor="text1"/>
          <w:sz w:val="20"/>
          <w:szCs w:val="20"/>
        </w:rPr>
        <w:t xml:space="preserve"> aussprechen, denn die Franzosen lassen das H im Anlaut immer weg.‹ Sie bringt dann eine Reihe von Reminiszenzen an Franzosen, die sie kennen gelernt hat, und langt nach weitläufigen Umwegen bei der Erinnerung an, daß sie als 14jähriges Mädchen in dem kleinen Stück ›Kurmärker und Picarde‹ die Picarde gespielt und damals gebrochen Deutsch gesprochen hat. </w:t>
      </w:r>
      <w:r w:rsidRPr="00492F36">
        <w:rPr>
          <w:rFonts w:ascii="Garamond" w:hAnsi="Garamond" w:cs="Arial"/>
          <w:color w:val="000000" w:themeColor="text1"/>
          <w:sz w:val="20"/>
          <w:szCs w:val="20"/>
          <w:lang w:val="en-GB"/>
        </w:rPr>
        <w:t xml:space="preserve">Die Zufälligkeit, daß in ihrem Logierhaus ein Gast aus </w:t>
      </w:r>
      <w:smartTag w:uri="urn:schemas-microsoft-com:office:smarttags" w:element="City">
        <w:smartTag w:uri="urn:schemas-microsoft-com:office:smarttags" w:element="place">
          <w:r w:rsidRPr="00492F36">
            <w:rPr>
              <w:rFonts w:ascii="Garamond" w:hAnsi="Garamond" w:cs="Arial"/>
              <w:color w:val="000000" w:themeColor="text1"/>
              <w:sz w:val="20"/>
              <w:szCs w:val="20"/>
              <w:lang w:val="en-GB"/>
            </w:rPr>
            <w:t>Paris</w:t>
          </w:r>
        </w:smartTag>
      </w:smartTag>
      <w:r w:rsidRPr="00492F36">
        <w:rPr>
          <w:rFonts w:ascii="Garamond" w:hAnsi="Garamond" w:cs="Arial"/>
          <w:color w:val="000000" w:themeColor="text1"/>
          <w:sz w:val="20"/>
          <w:szCs w:val="20"/>
          <w:lang w:val="en-GB"/>
        </w:rPr>
        <w:t xml:space="preserve"> angekommen ist, hat die ganze Reihe von Erinnerungen wachgerufen. Die Lautvertauschung ist also Folge der Störung durch einen unbewußten Gedanken aus einem ganz fremden Zusammenhang.</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5) Ähnlich ist der Mechanismus des Versprechens bei einer anderen Patientin, die mitten in der Reproduktion einer längst verschollenen Kindererinnerung von ihrem Gedächtnis verlassen wird. An welche Körperstelle die vorwitzige und lüsterne Hand des Anderen gegriffen hat, will ihr das Gedächtnis nicht mitteilen. Sie macht unmittelbar darauf einen Besuch bei einer Freundin und unterhält sich mit ihr über Sommerwohnungen. Gefragt, wo denn ihr Häuschen in M. gelegen sei, antwortet sie: an der </w:t>
      </w:r>
      <w:r w:rsidRPr="00492F36">
        <w:rPr>
          <w:rFonts w:ascii="Garamond" w:hAnsi="Garamond" w:cs="Arial"/>
          <w:i/>
          <w:iCs/>
          <w:color w:val="000000" w:themeColor="text1"/>
          <w:sz w:val="20"/>
          <w:szCs w:val="20"/>
          <w:lang w:val="en-GB"/>
        </w:rPr>
        <w:t>Berglende</w:t>
      </w:r>
      <w:r w:rsidRPr="00492F36">
        <w:rPr>
          <w:rFonts w:ascii="Garamond" w:hAnsi="Garamond" w:cs="Arial"/>
          <w:color w:val="000000" w:themeColor="text1"/>
          <w:sz w:val="20"/>
          <w:szCs w:val="20"/>
          <w:lang w:val="en-GB"/>
        </w:rPr>
        <w:t xml:space="preserve"> anstatt </w:t>
      </w:r>
      <w:r w:rsidRPr="00492F36">
        <w:rPr>
          <w:rFonts w:ascii="Garamond" w:hAnsi="Garamond" w:cs="Arial"/>
          <w:i/>
          <w:iCs/>
          <w:color w:val="000000" w:themeColor="text1"/>
          <w:sz w:val="20"/>
          <w:szCs w:val="20"/>
          <w:lang w:val="en-GB"/>
        </w:rPr>
        <w:t>Berglehne</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6) Eine andere Patientin, die ich nach Abbruch der Stunde frage, wie es ihrem Onkel geht, antwortet: ›Ich weiß nicht, ich sehe ihn jetzt nur </w:t>
      </w:r>
      <w:r w:rsidRPr="00492F36">
        <w:rPr>
          <w:rFonts w:ascii="Garamond" w:hAnsi="Garamond" w:cs="Arial"/>
          <w:i/>
          <w:iCs/>
          <w:color w:val="000000" w:themeColor="text1"/>
          <w:sz w:val="20"/>
          <w:szCs w:val="20"/>
          <w:lang w:val="en-GB"/>
        </w:rPr>
        <w:t>in flagranti</w:t>
      </w:r>
      <w:r w:rsidRPr="00492F36">
        <w:rPr>
          <w:rFonts w:ascii="Garamond" w:hAnsi="Garamond" w:cs="Arial"/>
          <w:color w:val="000000" w:themeColor="text1"/>
          <w:sz w:val="20"/>
          <w:szCs w:val="20"/>
          <w:lang w:val="en-GB"/>
        </w:rPr>
        <w:t xml:space="preserve">‹. Am nächsten Tage beginnt sie: ›Ich habe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recht geschämt, Ihnen eine so dumme Antwort gegeben zu haben. Sie müssen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natürlich für eine ganz ungebildete Person halten, die beständig Fremdwörter verwechselt. Ich wollte sagen: </w:t>
      </w:r>
      <w:r w:rsidRPr="00492F36">
        <w:rPr>
          <w:rFonts w:ascii="Garamond" w:hAnsi="Garamond" w:cs="Arial"/>
          <w:i/>
          <w:iCs/>
          <w:color w:val="000000" w:themeColor="text1"/>
          <w:sz w:val="20"/>
          <w:szCs w:val="20"/>
          <w:lang w:val="en-GB"/>
        </w:rPr>
        <w:t>en passant</w:t>
      </w:r>
      <w:r w:rsidRPr="00492F36">
        <w:rPr>
          <w:rFonts w:ascii="Garamond" w:hAnsi="Garamond" w:cs="Arial"/>
          <w:color w:val="000000" w:themeColor="text1"/>
          <w:sz w:val="20"/>
          <w:szCs w:val="20"/>
          <w:lang w:val="en-GB"/>
        </w:rPr>
        <w:t xml:space="preserve">.‹ Wir wußten damals noch nicht, woher sie die unrichtig angewendeten Fremdworte genommen hatte. In derselben Sitzung aber brachte sie als Fortsetzung des vortägigen Themas eine Reminiszenz, in welcher das Ertapptwerden </w:t>
      </w:r>
      <w:r w:rsidRPr="00492F36">
        <w:rPr>
          <w:rFonts w:ascii="Garamond" w:hAnsi="Garamond" w:cs="Arial"/>
          <w:i/>
          <w:iCs/>
          <w:color w:val="000000" w:themeColor="text1"/>
          <w:sz w:val="20"/>
          <w:szCs w:val="20"/>
          <w:lang w:val="en-GB"/>
        </w:rPr>
        <w:t>in flagranti</w:t>
      </w:r>
      <w:r w:rsidRPr="00492F36">
        <w:rPr>
          <w:rFonts w:ascii="Garamond" w:hAnsi="Garamond" w:cs="Arial"/>
          <w:color w:val="000000" w:themeColor="text1"/>
          <w:sz w:val="20"/>
          <w:szCs w:val="20"/>
          <w:lang w:val="en-GB"/>
        </w:rPr>
        <w:t xml:space="preserve"> die Hauptrolle spielte. Der Sprechfehler am Tage vorher hatte also die damals noch nicht bewußt gewordene Erinnerung antizipiert.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7) Gegen eine Andere muß ich an einer gewissen Stelle der Analyse die Vermutung aussprechen, daß sie sich zu der Zeit, von welcher wir eben handeln, ihrer Familie geschämt und ihrem Vater einen uns noch unbekannten Vorwurf gemacht habe. Sie erinnert sich nicht daran, erklärt es übrigens für unwahrscheinlich. Sie setzt aber das Gespräch mit Bemerkungen über ihre Familie fort: ›Man muß ihnen das eine lassen: Es sind doch besondere Menschen, sie haben alle </w:t>
      </w:r>
      <w:r w:rsidRPr="00492F36">
        <w:rPr>
          <w:rFonts w:ascii="Garamond" w:hAnsi="Garamond" w:cs="Arial"/>
          <w:i/>
          <w:iCs/>
          <w:color w:val="000000" w:themeColor="text1"/>
          <w:sz w:val="20"/>
          <w:szCs w:val="20"/>
          <w:lang w:val="en-GB"/>
        </w:rPr>
        <w:t>Geiz</w:t>
      </w:r>
      <w:r w:rsidRPr="00492F36">
        <w:rPr>
          <w:rFonts w:ascii="Garamond" w:hAnsi="Garamond" w:cs="Arial"/>
          <w:color w:val="000000" w:themeColor="text1"/>
          <w:sz w:val="20"/>
          <w:szCs w:val="20"/>
          <w:lang w:val="en-GB"/>
        </w:rPr>
        <w:t xml:space="preserve"> – ich wollte sagen </w:t>
      </w:r>
      <w:r w:rsidRPr="00492F36">
        <w:rPr>
          <w:rFonts w:ascii="Garamond" w:hAnsi="Garamond" w:cs="Arial"/>
          <w:i/>
          <w:iCs/>
          <w:color w:val="000000" w:themeColor="text1"/>
          <w:sz w:val="20"/>
          <w:szCs w:val="20"/>
          <w:lang w:val="en-GB"/>
        </w:rPr>
        <w:t>Geist</w:t>
      </w:r>
      <w:r w:rsidRPr="00492F36">
        <w:rPr>
          <w:rFonts w:ascii="Garamond" w:hAnsi="Garamond" w:cs="Arial"/>
          <w:color w:val="000000" w:themeColor="text1"/>
          <w:sz w:val="20"/>
          <w:szCs w:val="20"/>
          <w:lang w:val="en-GB"/>
        </w:rPr>
        <w:t xml:space="preserve">.‹ Das war denn auch wirklich der Vorwurf, den sie aus ihrem Gedächtnis verdrängt hatte. Daß sich in dem Versprechen gerade jene Idee durchdrängt, die man zurückhalten will, ist ein häufiges Vorkommnis (Vgl. den Fall von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zum Vorschwein gekommen). Der Unterschied liegt nur darin, daß die Person bei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etwas zurückhalten will, was ihr bewußt ist, während meine Patientin das Zurückgehaltene nicht weiß, oder wie man auch sagen kann, nicht weiß, daß sie etwas und was sie zurückhält.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8) ›Wenn Sie Teppiche kaufen wollen, so gehen Sie nur zu Kaufmann in der Mathäusgasse. Ich glaube, ich kann Sie dort auch empfehlen‹, sagt mir eine Dame. Ich wiederhole: ›Also bei </w:t>
      </w:r>
      <w:r w:rsidRPr="00492F36">
        <w:rPr>
          <w:rFonts w:ascii="Garamond" w:hAnsi="Garamond" w:cs="Arial"/>
          <w:i/>
          <w:iCs/>
          <w:color w:val="000000" w:themeColor="text1"/>
          <w:sz w:val="20"/>
          <w:szCs w:val="20"/>
          <w:lang w:val="en-GB"/>
        </w:rPr>
        <w:t>Mathäus</w:t>
      </w:r>
      <w:r w:rsidRPr="00492F36">
        <w:rPr>
          <w:rFonts w:ascii="Garamond" w:hAnsi="Garamond" w:cs="Arial"/>
          <w:color w:val="000000" w:themeColor="text1"/>
          <w:sz w:val="20"/>
          <w:szCs w:val="20"/>
          <w:lang w:val="en-GB"/>
        </w:rPr>
        <w:t xml:space="preserve"> .... bei </w:t>
      </w:r>
      <w:r w:rsidRPr="00492F36">
        <w:rPr>
          <w:rFonts w:ascii="Garamond" w:hAnsi="Garamond" w:cs="Arial"/>
          <w:i/>
          <w:iCs/>
          <w:color w:val="000000" w:themeColor="text1"/>
          <w:sz w:val="20"/>
          <w:szCs w:val="20"/>
          <w:lang w:val="en-GB"/>
        </w:rPr>
        <w:t>Kaufmann</w:t>
      </w:r>
      <w:r w:rsidRPr="00492F36">
        <w:rPr>
          <w:rFonts w:ascii="Garamond" w:hAnsi="Garamond" w:cs="Arial"/>
          <w:color w:val="000000" w:themeColor="text1"/>
          <w:sz w:val="20"/>
          <w:szCs w:val="20"/>
          <w:lang w:val="en-GB"/>
        </w:rPr>
        <w:t xml:space="preserve"> will ich sagen.‹ Es sieht aus wie Folge von Zerstreutheit, wenn ich den einen Namen an Stelle des anderen wiederhole. Die Rede der Dame hat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auch wirklich zerstreut gemacht, denn sie hat meine Aufmerksamkeit auf anderes gelenkt, was mir weit wichtiger ist als Teppiche. In der Mathäusgasse steht nämlich das Haus, in dem meine Frau als Braut gewohnt hatte. Der Eingang des Hauses war in einer anderen Gasse, und nun merke ich, daß ich deren Namen vergessen habe und ihn mir erst auf einem Umweg bewußt machen muß. Der Name Mathäus, bei dem ich verweile, ist mir also ein Ersatzname für den vergessenen Namen der Strasse. Er eignet sich besser dazu als der Name Kaufmann, denn Mathäus ist ausschließlich ein Personenname, was Kaufmann nicht ist, und die vergessene Strasse heißt auch nach einem Personennamen: Radetzky.</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9) Folgenden Fall könnte ich ebenso gut bei den später zu besprechenden »Irrtümern« unterbringen, führe ihn aber hier an, weil die Lautbeziehungen, auf Grund deren die Wortersetzung erfolgt, ganz besonders deutlich sind. Eine Patientin erzählt mir ihren Traum: Ein Kind hat beschlossen, sich durch einen Schlangenbiß zu töten. Es führt den Entschluß aus. Sie sieht zu, wie es sich in Krämpfen windet usw. Sie soll nun die Tagesanknüpfung für diesen Traum finden. Sie erinnert sofort, daß sie gestern abends eine populäre Vorlesung über erste Hilfe bei Schlangenbissen mit angehört. Wenn ein Erwachsener und ein Kind gleichzeitig gebissen worden sind, so soll man zuerst die Wunde des </w:t>
      </w:r>
      <w:r w:rsidRPr="00492F36">
        <w:rPr>
          <w:rFonts w:ascii="Garamond" w:hAnsi="Garamond" w:cs="Arial"/>
          <w:color w:val="000000" w:themeColor="text1"/>
          <w:sz w:val="20"/>
          <w:szCs w:val="20"/>
          <w:lang w:val="en-GB"/>
        </w:rPr>
        <w:lastRenderedPageBreak/>
        <w:t xml:space="preserve">Kindes behandeln. Sie erinnert auch, welche Vorschriften für die Behandlung der Vortragende gegeben hat. Es käme sehr viel darauf an, hat er auch geäußert, von welcher Art man gebissen worden ist. Hier unterbreche ich sie und frage: Hat er denn nicht gesagt, daß wir nur sehr wenig giftige Arten in unserer Gegend haben, und welche die gefürchteten sind? ›Ja, er hat die </w:t>
      </w:r>
      <w:r w:rsidRPr="00492F36">
        <w:rPr>
          <w:rFonts w:ascii="Garamond" w:hAnsi="Garamond" w:cs="Arial"/>
          <w:i/>
          <w:iCs/>
          <w:color w:val="000000" w:themeColor="text1"/>
          <w:sz w:val="20"/>
          <w:szCs w:val="20"/>
          <w:lang w:val="en-GB"/>
        </w:rPr>
        <w:t>Klapper</w:t>
      </w:r>
      <w:r w:rsidRPr="00492F36">
        <w:rPr>
          <w:rFonts w:ascii="Garamond" w:hAnsi="Garamond" w:cs="Arial"/>
          <w:color w:val="000000" w:themeColor="text1"/>
          <w:sz w:val="20"/>
          <w:szCs w:val="20"/>
          <w:lang w:val="en-GB"/>
        </w:rPr>
        <w:t xml:space="preserve">schlange hervorgehoben‹. Mein Lachen macht sie dann aufmerksam, daß sie etwas Unrichtiges gesagt hat. </w:t>
      </w:r>
      <w:r w:rsidRPr="00492F36">
        <w:rPr>
          <w:rFonts w:ascii="Garamond" w:hAnsi="Garamond" w:cs="Arial"/>
          <w:color w:val="000000" w:themeColor="text1"/>
          <w:sz w:val="20"/>
          <w:szCs w:val="20"/>
        </w:rPr>
        <w:t xml:space="preserve">Sie korrigiert jetzt aber nicht etwa den Namen, sondern sie nimmt ihre Aussage zurück. </w:t>
      </w:r>
      <w:r w:rsidRPr="00492F36">
        <w:rPr>
          <w:rFonts w:ascii="Garamond" w:hAnsi="Garamond" w:cs="Arial"/>
          <w:color w:val="000000" w:themeColor="text1"/>
          <w:sz w:val="20"/>
          <w:szCs w:val="20"/>
          <w:lang w:val="en-GB"/>
        </w:rPr>
        <w:t xml:space="preserve">›Ja so, die kommt ja bei uns nicht vor; er hat von der Viper gesprochen. Wie gerate ich nur auf die Klapperschlange?‹ Ich vermutete, durch die Einmengung der Gedanken, die sich hinter ihrem Traum verborgen hatten. Der Selbstmord durch Schlangenbiß kann kaum etwas anderes sein als eine Anspielung auf die schöne </w:t>
      </w:r>
      <w:r w:rsidRPr="00492F36">
        <w:rPr>
          <w:rFonts w:ascii="Garamond" w:hAnsi="Garamond" w:cs="Arial"/>
          <w:b/>
          <w:bCs/>
          <w:color w:val="000000" w:themeColor="text1"/>
          <w:sz w:val="20"/>
          <w:szCs w:val="20"/>
          <w:lang w:val="en-GB"/>
        </w:rPr>
        <w:t>Kl</w:t>
      </w:r>
      <w:r w:rsidRPr="00492F36">
        <w:rPr>
          <w:rFonts w:ascii="Garamond" w:hAnsi="Garamond" w:cs="Arial"/>
          <w:color w:val="000000" w:themeColor="text1"/>
          <w:sz w:val="20"/>
          <w:szCs w:val="20"/>
          <w:lang w:val="en-GB"/>
        </w:rPr>
        <w:t xml:space="preserve">eo </w:t>
      </w:r>
      <w:r w:rsidRPr="00492F36">
        <w:rPr>
          <w:rFonts w:ascii="Garamond" w:hAnsi="Garamond" w:cs="Arial"/>
          <w:b/>
          <w:bCs/>
          <w:color w:val="000000" w:themeColor="text1"/>
          <w:sz w:val="20"/>
          <w:szCs w:val="20"/>
          <w:lang w:val="en-GB"/>
        </w:rPr>
        <w:t>p</w:t>
      </w:r>
      <w:r w:rsidRPr="00492F36">
        <w:rPr>
          <w:rFonts w:ascii="Garamond" w:hAnsi="Garamond" w:cs="Arial"/>
          <w:color w:val="000000" w:themeColor="text1"/>
          <w:sz w:val="20"/>
          <w:szCs w:val="20"/>
          <w:lang w:val="en-GB"/>
        </w:rPr>
        <w:t xml:space="preserve">at </w:t>
      </w:r>
      <w:r w:rsidRPr="00492F36">
        <w:rPr>
          <w:rFonts w:ascii="Garamond" w:hAnsi="Garamond" w:cs="Arial"/>
          <w:b/>
          <w:bCs/>
          <w:color w:val="000000" w:themeColor="text1"/>
          <w:sz w:val="20"/>
          <w:szCs w:val="20"/>
          <w:lang w:val="en-GB"/>
        </w:rPr>
        <w:t>r</w:t>
      </w:r>
      <w:r w:rsidRPr="00492F36">
        <w:rPr>
          <w:rFonts w:ascii="Garamond" w:hAnsi="Garamond" w:cs="Arial"/>
          <w:color w:val="000000" w:themeColor="text1"/>
          <w:sz w:val="20"/>
          <w:szCs w:val="20"/>
          <w:lang w:val="en-GB"/>
        </w:rPr>
        <w:t xml:space="preserve">a. Die weitgehende Lautähnlichkeit der beiden Worte, die Übereinstimmung in den Buchstaben </w:t>
      </w:r>
      <w:r w:rsidRPr="00492F36">
        <w:rPr>
          <w:rFonts w:ascii="Garamond" w:hAnsi="Garamond" w:cs="Arial"/>
          <w:b/>
          <w:bCs/>
          <w:color w:val="000000" w:themeColor="text1"/>
          <w:sz w:val="20"/>
          <w:szCs w:val="20"/>
          <w:lang w:val="en-GB"/>
        </w:rPr>
        <w:t>Kl..p..r</w:t>
      </w:r>
      <w:r w:rsidRPr="00492F36">
        <w:rPr>
          <w:rFonts w:ascii="Garamond" w:hAnsi="Garamond" w:cs="Arial"/>
          <w:color w:val="000000" w:themeColor="text1"/>
          <w:sz w:val="20"/>
          <w:szCs w:val="20"/>
          <w:lang w:val="en-GB"/>
        </w:rPr>
        <w:t xml:space="preserve"> in der nämlichen Reihenfolge und in dem betonten </w:t>
      </w:r>
      <w:r w:rsidRPr="00492F36">
        <w:rPr>
          <w:rFonts w:ascii="Garamond" w:hAnsi="Garamond" w:cs="Arial"/>
          <w:b/>
          <w:bCs/>
          <w:color w:val="000000" w:themeColor="text1"/>
          <w:sz w:val="20"/>
          <w:szCs w:val="20"/>
          <w:lang w:val="en-GB"/>
        </w:rPr>
        <w:t>a</w:t>
      </w:r>
      <w:r w:rsidRPr="00492F36">
        <w:rPr>
          <w:rFonts w:ascii="Garamond" w:hAnsi="Garamond" w:cs="Arial"/>
          <w:color w:val="000000" w:themeColor="text1"/>
          <w:sz w:val="20"/>
          <w:szCs w:val="20"/>
          <w:lang w:val="en-GB"/>
        </w:rPr>
        <w:t xml:space="preserve"> sind nicht zu verkennen. Die gute Beziehung zwischen den Namen </w:t>
      </w:r>
      <w:r w:rsidRPr="00492F36">
        <w:rPr>
          <w:rFonts w:ascii="Garamond" w:hAnsi="Garamond" w:cs="Arial"/>
          <w:i/>
          <w:iCs/>
          <w:color w:val="000000" w:themeColor="text1"/>
          <w:sz w:val="20"/>
          <w:szCs w:val="20"/>
          <w:lang w:val="en-GB"/>
        </w:rPr>
        <w:t>Klapper</w:t>
      </w:r>
      <w:r w:rsidRPr="00492F36">
        <w:rPr>
          <w:rFonts w:ascii="Garamond" w:hAnsi="Garamond" w:cs="Arial"/>
          <w:color w:val="000000" w:themeColor="text1"/>
          <w:sz w:val="20"/>
          <w:szCs w:val="20"/>
          <w:lang w:val="en-GB"/>
        </w:rPr>
        <w:t xml:space="preserve">schlange und </w:t>
      </w:r>
      <w:r w:rsidRPr="00492F36">
        <w:rPr>
          <w:rFonts w:ascii="Garamond" w:hAnsi="Garamond" w:cs="Arial"/>
          <w:i/>
          <w:iCs/>
          <w:color w:val="000000" w:themeColor="text1"/>
          <w:sz w:val="20"/>
          <w:szCs w:val="20"/>
          <w:lang w:val="en-GB"/>
        </w:rPr>
        <w:t>Kleopatra</w:t>
      </w:r>
      <w:r w:rsidRPr="00492F36">
        <w:rPr>
          <w:rFonts w:ascii="Garamond" w:hAnsi="Garamond" w:cs="Arial"/>
          <w:color w:val="000000" w:themeColor="text1"/>
          <w:sz w:val="20"/>
          <w:szCs w:val="20"/>
          <w:lang w:val="en-GB"/>
        </w:rPr>
        <w:t xml:space="preserve"> erzeugt bei ihr eine momentane Einschränkung des Urteils, derzufolge sie an der Behauptung, der Vortragende habe sein Publikum in Wien in der Behandlung von Klapperschlangenbissen unterwiesen, keinen Anstoß nimmt. Sie weiß sonst so gut wie ich, daß diese Schlange nicht zur Fauna unserer Heimat gehört. Wir wollen es ihr nicht verübeln, daß sie an die Versetzung der Klapperschlange nach Egypten ebensowenig Bedenken knüpfte, denn wir sind gewöhnt, alles Außereuropäische, Exotische zusammenzuwerfen, und ich selbst mußte mich einen Moment besinnen, ehe ich die Behauptung aufstellte, daß die Klapperschlange nur der neuen Welt angehört.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10) Weitere Bestätigungen ergeben sich bei Fortsetzung der Analyse. Die Träumerin hat gestern zum erstenmal die in der Nähe ihrer Wohnung aufgestellte </w:t>
      </w:r>
      <w:r w:rsidRPr="00492F36">
        <w:rPr>
          <w:rFonts w:ascii="Garamond" w:hAnsi="Garamond" w:cs="Arial"/>
          <w:i/>
          <w:iCs/>
          <w:color w:val="000000" w:themeColor="text1"/>
          <w:sz w:val="20"/>
          <w:szCs w:val="20"/>
          <w:lang w:val="en-GB"/>
        </w:rPr>
        <w:t>Antonius</w:t>
      </w:r>
      <w:r w:rsidRPr="00492F36">
        <w:rPr>
          <w:rFonts w:ascii="Garamond" w:hAnsi="Garamond" w:cs="Arial"/>
          <w:color w:val="000000" w:themeColor="text1"/>
          <w:sz w:val="20"/>
          <w:szCs w:val="20"/>
          <w:lang w:val="en-GB"/>
        </w:rPr>
        <w:t xml:space="preserve">gruppe von </w:t>
      </w:r>
      <w:r w:rsidRPr="00492F36">
        <w:rPr>
          <w:rFonts w:ascii="Garamond" w:hAnsi="Garamond" w:cs="Arial"/>
          <w:i/>
          <w:iCs/>
          <w:color w:val="000000" w:themeColor="text1"/>
          <w:sz w:val="20"/>
          <w:szCs w:val="20"/>
          <w:lang w:val="en-GB"/>
        </w:rPr>
        <w:t>Strasser</w:t>
      </w:r>
      <w:r w:rsidRPr="00492F36">
        <w:rPr>
          <w:rFonts w:ascii="Garamond" w:hAnsi="Garamond" w:cs="Arial"/>
          <w:color w:val="000000" w:themeColor="text1"/>
          <w:sz w:val="20"/>
          <w:szCs w:val="20"/>
          <w:lang w:val="en-GB"/>
        </w:rPr>
        <w:t xml:space="preserve"> besichtigt. Dies war also der zweite Traumanlaß (der erste der Vortrag über Schlangenbisse). In der Fortsetzung ihres Traumes wiegte sie ein Kind in ihren Armen, zu welcher Szene ihr das Gretchen einfällt. Weitere Einfälle bringen Reminiszenzen an » </w:t>
      </w:r>
      <w:r w:rsidRPr="00492F36">
        <w:rPr>
          <w:rFonts w:ascii="Garamond" w:hAnsi="Garamond" w:cs="Arial"/>
          <w:i/>
          <w:iCs/>
          <w:color w:val="000000" w:themeColor="text1"/>
          <w:sz w:val="20"/>
          <w:szCs w:val="20"/>
          <w:lang w:val="en-GB"/>
        </w:rPr>
        <w:t>Arria</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Messalina</w:t>
      </w:r>
      <w:r w:rsidRPr="00492F36">
        <w:rPr>
          <w:rFonts w:ascii="Garamond" w:hAnsi="Garamond" w:cs="Arial"/>
          <w:color w:val="000000" w:themeColor="text1"/>
          <w:sz w:val="20"/>
          <w:szCs w:val="20"/>
          <w:lang w:val="en-GB"/>
        </w:rPr>
        <w:t xml:space="preserve">«. Das Auftauchen so vieler Namen von Theaterstücken in den Traumgedanken läßt bereits vermuten, daß bei der Träumerin in früheren Jahren eine geheim gehaltene Schwärmerei für den Beruf der Schauspielerin bestand. Der Anfang des Traumes: ›Ein Kind hat beschlossen, sein Leben durch einen Schlangenbiß zu enden‹, bedeutet wirklich nichts anderes als: Sie hat sich als Kind vorgenommen, einst eine berühmte Schauspielerin zu werden. Von dem Namen </w:t>
      </w:r>
      <w:r w:rsidRPr="00492F36">
        <w:rPr>
          <w:rFonts w:ascii="Garamond" w:hAnsi="Garamond" w:cs="Arial"/>
          <w:i/>
          <w:iCs/>
          <w:color w:val="000000" w:themeColor="text1"/>
          <w:sz w:val="20"/>
          <w:szCs w:val="20"/>
          <w:lang w:val="en-GB"/>
        </w:rPr>
        <w:t>Messalina</w:t>
      </w:r>
      <w:r w:rsidRPr="00492F36">
        <w:rPr>
          <w:rFonts w:ascii="Garamond" w:hAnsi="Garamond" w:cs="Arial"/>
          <w:color w:val="000000" w:themeColor="text1"/>
          <w:sz w:val="20"/>
          <w:szCs w:val="20"/>
          <w:lang w:val="en-GB"/>
        </w:rPr>
        <w:t xml:space="preserve"> zweigt endlich der Gedankenweg ab, der zu dem wesentlichen Inhalt dieses Traumes führt. Gewisse Vorfälle der letzten Zeit haben in ihr die Besorgnis erweckt, daß ihr einziger Bruder eine nicht standesgemäße Ehe mit einer Nicht- </w:t>
      </w:r>
      <w:r w:rsidRPr="00492F36">
        <w:rPr>
          <w:rFonts w:ascii="Garamond" w:hAnsi="Garamond" w:cs="Arial"/>
          <w:i/>
          <w:iCs/>
          <w:color w:val="000000" w:themeColor="text1"/>
          <w:sz w:val="20"/>
          <w:szCs w:val="20"/>
          <w:lang w:val="en-GB"/>
        </w:rPr>
        <w:t>Arierin</w:t>
      </w:r>
      <w:r w:rsidRPr="00492F36">
        <w:rPr>
          <w:rFonts w:ascii="Garamond" w:hAnsi="Garamond" w:cs="Arial"/>
          <w:color w:val="000000" w:themeColor="text1"/>
          <w:sz w:val="20"/>
          <w:szCs w:val="20"/>
          <w:lang w:val="en-GB"/>
        </w:rPr>
        <w:t xml:space="preserve">, eine </w:t>
      </w:r>
      <w:r w:rsidRPr="00492F36">
        <w:rPr>
          <w:rFonts w:ascii="Garamond" w:hAnsi="Garamond" w:cs="Arial"/>
          <w:i/>
          <w:iCs/>
          <w:color w:val="000000" w:themeColor="text1"/>
          <w:sz w:val="20"/>
          <w:szCs w:val="20"/>
          <w:lang w:val="en-GB"/>
        </w:rPr>
        <w:t>Mésalliance</w:t>
      </w:r>
      <w:r w:rsidRPr="00492F36">
        <w:rPr>
          <w:rFonts w:ascii="Garamond" w:hAnsi="Garamond" w:cs="Arial"/>
          <w:color w:val="000000" w:themeColor="text1"/>
          <w:sz w:val="20"/>
          <w:szCs w:val="20"/>
          <w:lang w:val="en-GB"/>
        </w:rPr>
        <w:t xml:space="preserve"> eingehen könnte.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Bei dem psychotherapeutischen Verfahren, dessen ich mich zur Auflösung und Beseitigung neurotischer Symptome bediene, ist sehr häufig die Aufgabe gestellt, aus den wie zufällig vorgebrachten Reden und Einfällen des Patienten einen Gedankeninhalt aufzuspüren, der zwar sich zu verbergen bemüht ist, aber doch nicht umhin kann, sich in mannigfaltigster Weise unabsichtlich zu verraten. Dabei leistet oft das Versprechen die wertvollsten Dienste, wie ich an den überzeugendsten und andererseits sonderbarsten Beispielen dartun könnte. Die Patienten sprechen z. B. von ihrer Tante und nennen sie konsequent, ohne das Versprechen zu merken, »meine Mutter«, oder bezeichnen ihren Mann als ihren »Bruder«. Sie machen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auf diese Weise aufmerksam, daß sie diese Personen miteinander »identifiziert«, in eine Reihe gebracht haben, welche für ihr Gefühlsleben die Wiederkehr desselben Typus bedeutet. Andere Male reicht eine ungewöhnlich klingende Wortfügung, eine gezwungen erscheinende Ausdrucksweise hin, um den Anteil eines verdrängten Gedankens an der anders motivierten Rede des Patienten aufzudecken.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In groben wie in solchen feineren Redestörungen, die sich eben noch dem »Versprechen« subsumieren lassen, finde ich also nicht den Einfluß von Kontaktwirkungen der Laute, sondern den von Gedanken ausserhalb der Redeintention maßgebend für die Entstehung des Versprechens und hinreichend zur Aufhellung des zustande gekommenen Sprechfehlers. Die Gesetze, nach denen die Laute verändernd auf einander einwirken, möchte ich nicht anzweifeln; sie scheinen mir aber nicht wirksam genug, um für sich allein die korrekte Ausführung der Rede zu stören. In den Fällen, die ich genauer studiert und durchschaut habe, stellen sie bloß den vorgebildeten Mechanismus dar, dessen sich ein ferner gelegenes psychisches Motiv bequemerweise bedient, ohne sich aber an den Machtbereich dieser Beziehungen zu binden. In einer grossen Reihe von Substitutionen wird beim Versprechen von solchen Lautgesetzen völlig abgesehen. Ich befinde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hierbei in voller Übereinstimmung mit </w:t>
      </w:r>
      <w:r w:rsidRPr="00492F36">
        <w:rPr>
          <w:rFonts w:ascii="Garamond" w:hAnsi="Garamond" w:cs="Arial"/>
          <w:i/>
          <w:iCs/>
          <w:color w:val="000000" w:themeColor="text1"/>
          <w:sz w:val="20"/>
          <w:szCs w:val="20"/>
          <w:lang w:val="en-GB"/>
        </w:rPr>
        <w:t>Wundt</w:t>
      </w:r>
      <w:r w:rsidRPr="00492F36">
        <w:rPr>
          <w:rFonts w:ascii="Garamond" w:hAnsi="Garamond" w:cs="Arial"/>
          <w:color w:val="000000" w:themeColor="text1"/>
          <w:sz w:val="20"/>
          <w:szCs w:val="20"/>
          <w:lang w:val="en-GB"/>
        </w:rPr>
        <w:t>, der gleichfalls die Bedingungen des Versprechens als zusammengesetzte und weit über die Kontaktwirkungen der Laute hinausgehende vermutet.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Wenn ich diese »entfernteren psychischen Einflüsse« nach </w:t>
      </w:r>
      <w:r w:rsidRPr="00492F36">
        <w:rPr>
          <w:rFonts w:ascii="Garamond" w:hAnsi="Garamond" w:cs="Arial"/>
          <w:i/>
          <w:iCs/>
          <w:color w:val="000000" w:themeColor="text1"/>
          <w:sz w:val="20"/>
          <w:szCs w:val="20"/>
          <w:lang w:val="en-GB"/>
        </w:rPr>
        <w:t>Wundts</w:t>
      </w:r>
      <w:r w:rsidRPr="00492F36">
        <w:rPr>
          <w:rFonts w:ascii="Garamond" w:hAnsi="Garamond" w:cs="Arial"/>
          <w:color w:val="000000" w:themeColor="text1"/>
          <w:sz w:val="20"/>
          <w:szCs w:val="20"/>
          <w:lang w:val="en-GB"/>
        </w:rPr>
        <w:t xml:space="preserve"> Ausdruck für gesichert halte, so weiß ich andererseits von keiner Abhaltung, um auch zuzugeben, daß bei beschleunigter Rede und einigermaßen abgelenkter Aufmerksamkeit die Bedingungen fürs Versprechen sich leicht auf das von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Mayer</w:t>
      </w:r>
      <w:r w:rsidRPr="00492F36">
        <w:rPr>
          <w:rFonts w:ascii="Garamond" w:hAnsi="Garamond" w:cs="Arial"/>
          <w:color w:val="000000" w:themeColor="text1"/>
          <w:sz w:val="20"/>
          <w:szCs w:val="20"/>
          <w:lang w:val="en-GB"/>
        </w:rPr>
        <w:t xml:space="preserve"> bestimmte Maß einschränken können. Bei einem Teil der von diesen Autoren gesammelten Beispiele ist wohl eine kompliziertere Auflösung wahrscheinlicher. Ich greife etwa den vorhin angeführten Fall heraus:</w:t>
      </w:r>
    </w:p>
    <w:p w:rsidR="000D4CB9" w:rsidRPr="00492F36" w:rsidRDefault="000D4CB9" w:rsidP="000D4CB9">
      <w:pPr>
        <w:pStyle w:val="vers1"/>
        <w:shd w:val="clear" w:color="auto" w:fill="FFFFFF"/>
        <w:spacing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Es war mir auf der </w:t>
      </w:r>
      <w:r w:rsidRPr="00492F36">
        <w:rPr>
          <w:rFonts w:ascii="Garamond" w:hAnsi="Garamond" w:cs="Arial"/>
          <w:i/>
          <w:iCs/>
          <w:color w:val="000000" w:themeColor="text1"/>
          <w:sz w:val="20"/>
          <w:szCs w:val="20"/>
          <w:lang w:val="en-GB"/>
        </w:rPr>
        <w:t>Schwest...</w:t>
      </w:r>
      <w:r w:rsidRPr="00492F36">
        <w:rPr>
          <w:rFonts w:ascii="Garamond" w:hAnsi="Garamond" w:cs="Arial"/>
          <w:color w:val="000000" w:themeColor="text1"/>
          <w:sz w:val="20"/>
          <w:szCs w:val="20"/>
          <w:lang w:val="en-GB"/>
        </w:rPr>
        <w:br/>
      </w:r>
      <w:r w:rsidRPr="00492F36">
        <w:rPr>
          <w:rFonts w:ascii="Garamond" w:hAnsi="Garamond" w:cs="Arial"/>
          <w:i/>
          <w:iCs/>
          <w:color w:val="000000" w:themeColor="text1"/>
          <w:sz w:val="20"/>
          <w:szCs w:val="20"/>
          <w:lang w:val="en-GB"/>
        </w:rPr>
        <w:t>Brust</w:t>
      </w:r>
      <w:r w:rsidRPr="00492F36">
        <w:rPr>
          <w:rFonts w:ascii="Garamond" w:hAnsi="Garamond" w:cs="Arial"/>
          <w:color w:val="000000" w:themeColor="text1"/>
          <w:sz w:val="20"/>
          <w:szCs w:val="20"/>
          <w:lang w:val="en-GB"/>
        </w:rPr>
        <w:t xml:space="preserve"> so </w:t>
      </w:r>
      <w:r w:rsidRPr="00492F36">
        <w:rPr>
          <w:rFonts w:ascii="Garamond" w:hAnsi="Garamond" w:cs="Arial"/>
          <w:i/>
          <w:iCs/>
          <w:color w:val="000000" w:themeColor="text1"/>
          <w:sz w:val="20"/>
          <w:szCs w:val="20"/>
          <w:lang w:val="en-GB"/>
        </w:rPr>
        <w:t>schwer</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Geht es hier wohl so einfach zu, daß das </w:t>
      </w:r>
      <w:r w:rsidRPr="00492F36">
        <w:rPr>
          <w:rFonts w:ascii="Garamond" w:hAnsi="Garamond" w:cs="Arial"/>
          <w:i/>
          <w:iCs/>
          <w:color w:val="000000" w:themeColor="text1"/>
          <w:sz w:val="20"/>
          <w:szCs w:val="20"/>
          <w:lang w:val="en-GB"/>
        </w:rPr>
        <w:t>schwe</w:t>
      </w:r>
      <w:r w:rsidRPr="00492F36">
        <w:rPr>
          <w:rFonts w:ascii="Garamond" w:hAnsi="Garamond" w:cs="Arial"/>
          <w:color w:val="000000" w:themeColor="text1"/>
          <w:sz w:val="20"/>
          <w:szCs w:val="20"/>
          <w:lang w:val="en-GB"/>
        </w:rPr>
        <w:t xml:space="preserve"> das gleichwertige </w:t>
      </w:r>
      <w:r w:rsidRPr="00492F36">
        <w:rPr>
          <w:rFonts w:ascii="Garamond" w:hAnsi="Garamond" w:cs="Arial"/>
          <w:i/>
          <w:iCs/>
          <w:color w:val="000000" w:themeColor="text1"/>
          <w:sz w:val="20"/>
          <w:szCs w:val="20"/>
          <w:lang w:val="en-GB"/>
        </w:rPr>
        <w:t>Bru</w:t>
      </w:r>
      <w:r w:rsidRPr="00492F36">
        <w:rPr>
          <w:rFonts w:ascii="Garamond" w:hAnsi="Garamond" w:cs="Arial"/>
          <w:color w:val="000000" w:themeColor="text1"/>
          <w:sz w:val="20"/>
          <w:szCs w:val="20"/>
          <w:lang w:val="en-GB"/>
        </w:rPr>
        <w:t xml:space="preserve"> als Vorklang verdrängt? Es ist kaum abzuweisen, daß die Laute </w:t>
      </w:r>
      <w:r w:rsidRPr="00492F36">
        <w:rPr>
          <w:rFonts w:ascii="Garamond" w:hAnsi="Garamond" w:cs="Arial"/>
          <w:i/>
          <w:iCs/>
          <w:color w:val="000000" w:themeColor="text1"/>
          <w:sz w:val="20"/>
          <w:szCs w:val="20"/>
          <w:lang w:val="en-GB"/>
        </w:rPr>
        <w:t>schwe</w:t>
      </w:r>
      <w:r w:rsidRPr="00492F36">
        <w:rPr>
          <w:rFonts w:ascii="Garamond" w:hAnsi="Garamond" w:cs="Arial"/>
          <w:color w:val="000000" w:themeColor="text1"/>
          <w:sz w:val="20"/>
          <w:szCs w:val="20"/>
          <w:lang w:val="en-GB"/>
        </w:rPr>
        <w:t xml:space="preserve"> ausserdem durch eine besondere Relation zu dieser Vordringlichkeit befähigt werden. Diese </w:t>
      </w:r>
      <w:r w:rsidRPr="00492F36">
        <w:rPr>
          <w:rFonts w:ascii="Garamond" w:hAnsi="Garamond" w:cs="Arial"/>
          <w:color w:val="000000" w:themeColor="text1"/>
          <w:sz w:val="20"/>
          <w:szCs w:val="20"/>
          <w:lang w:val="en-GB"/>
        </w:rPr>
        <w:lastRenderedPageBreak/>
        <w:t xml:space="preserve">könnte dann keine andere sein als die Assoziation: </w:t>
      </w:r>
      <w:r w:rsidRPr="00492F36">
        <w:rPr>
          <w:rFonts w:ascii="Garamond" w:hAnsi="Garamond" w:cs="Arial"/>
          <w:i/>
          <w:iCs/>
          <w:color w:val="000000" w:themeColor="text1"/>
          <w:sz w:val="20"/>
          <w:szCs w:val="20"/>
          <w:lang w:val="en-GB"/>
        </w:rPr>
        <w:t>Schwester</w:t>
      </w:r>
      <w:r w:rsidRPr="00492F36">
        <w:rPr>
          <w:rFonts w:ascii="Garamond" w:hAnsi="Garamond" w:cs="Arial"/>
          <w:color w:val="000000" w:themeColor="text1"/>
          <w:sz w:val="20"/>
          <w:szCs w:val="20"/>
          <w:lang w:val="en-GB"/>
        </w:rPr>
        <w:t xml:space="preserve"> – </w:t>
      </w:r>
      <w:r w:rsidRPr="00492F36">
        <w:rPr>
          <w:rFonts w:ascii="Garamond" w:hAnsi="Garamond" w:cs="Arial"/>
          <w:i/>
          <w:iCs/>
          <w:color w:val="000000" w:themeColor="text1"/>
          <w:sz w:val="20"/>
          <w:szCs w:val="20"/>
          <w:lang w:val="en-GB"/>
        </w:rPr>
        <w:t>Bruder</w:t>
      </w:r>
      <w:r w:rsidRPr="00492F36">
        <w:rPr>
          <w:rFonts w:ascii="Garamond" w:hAnsi="Garamond" w:cs="Arial"/>
          <w:color w:val="000000" w:themeColor="text1"/>
          <w:sz w:val="20"/>
          <w:szCs w:val="20"/>
          <w:lang w:val="en-GB"/>
        </w:rPr>
        <w:t xml:space="preserve">, etwa noch: </w:t>
      </w:r>
      <w:r w:rsidRPr="00492F36">
        <w:rPr>
          <w:rFonts w:ascii="Garamond" w:hAnsi="Garamond" w:cs="Arial"/>
          <w:i/>
          <w:iCs/>
          <w:color w:val="000000" w:themeColor="text1"/>
          <w:sz w:val="20"/>
          <w:szCs w:val="20"/>
          <w:lang w:val="en-GB"/>
        </w:rPr>
        <w:t>Brust</w:t>
      </w:r>
      <w:r w:rsidRPr="00492F36">
        <w:rPr>
          <w:rFonts w:ascii="Garamond" w:hAnsi="Garamond" w:cs="Arial"/>
          <w:color w:val="000000" w:themeColor="text1"/>
          <w:sz w:val="20"/>
          <w:szCs w:val="20"/>
          <w:lang w:val="en-GB"/>
        </w:rPr>
        <w:t xml:space="preserve"> der </w:t>
      </w:r>
      <w:r w:rsidRPr="00492F36">
        <w:rPr>
          <w:rFonts w:ascii="Garamond" w:hAnsi="Garamond" w:cs="Arial"/>
          <w:i/>
          <w:iCs/>
          <w:color w:val="000000" w:themeColor="text1"/>
          <w:sz w:val="20"/>
          <w:szCs w:val="20"/>
          <w:lang w:val="en-GB"/>
        </w:rPr>
        <w:t>Schwester</w:t>
      </w:r>
      <w:r w:rsidRPr="00492F36">
        <w:rPr>
          <w:rFonts w:ascii="Garamond" w:hAnsi="Garamond" w:cs="Arial"/>
          <w:color w:val="000000" w:themeColor="text1"/>
          <w:sz w:val="20"/>
          <w:szCs w:val="20"/>
          <w:lang w:val="en-GB"/>
        </w:rPr>
        <w:t xml:space="preserve">, die zu anderen Gedankenkreisen hinüberleitet. Dieser hinter der Szene unsichtbare Helfer verleiht dem sonst harmlosen </w:t>
      </w:r>
      <w:r w:rsidRPr="00492F36">
        <w:rPr>
          <w:rFonts w:ascii="Garamond" w:hAnsi="Garamond" w:cs="Arial"/>
          <w:i/>
          <w:iCs/>
          <w:color w:val="000000" w:themeColor="text1"/>
          <w:sz w:val="20"/>
          <w:szCs w:val="20"/>
          <w:lang w:val="en-GB"/>
        </w:rPr>
        <w:t>schwe</w:t>
      </w:r>
      <w:r w:rsidRPr="00492F36">
        <w:rPr>
          <w:rFonts w:ascii="Garamond" w:hAnsi="Garamond" w:cs="Arial"/>
          <w:color w:val="000000" w:themeColor="text1"/>
          <w:sz w:val="20"/>
          <w:szCs w:val="20"/>
          <w:lang w:val="en-GB"/>
        </w:rPr>
        <w:t xml:space="preserve"> die Macht, deren Erfolg sich als Sprechfehler äußert.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Für anderes Versprechen läßt sich annehmen, daß der Anklang an obszöne Worte und Bedeutungen das eigentlich Störende ist. Die absichtliche Entstellung und Verzerrung der Worte und Redensarten, die bei unartigen Menschen so beliebt ist, bezweckt nichts anderes, als beim harmlosen Anlaß an das Verpönte zu mahnen, und diese Spielerei ist so häufig, daß es nicht wunderbar wäre, wenn sie sich auch unabsichtlich und wider Willen durchsetzen sollte. Beispiele wie: </w:t>
      </w:r>
      <w:r w:rsidRPr="00492F36">
        <w:rPr>
          <w:rFonts w:ascii="Garamond" w:hAnsi="Garamond" w:cs="Arial"/>
          <w:i/>
          <w:iCs/>
          <w:color w:val="000000" w:themeColor="text1"/>
          <w:sz w:val="20"/>
          <w:szCs w:val="20"/>
          <w:lang w:val="en-GB"/>
        </w:rPr>
        <w:t>Eischeißweibchen</w:t>
      </w:r>
      <w:r w:rsidRPr="00492F36">
        <w:rPr>
          <w:rFonts w:ascii="Garamond" w:hAnsi="Garamond" w:cs="Arial"/>
          <w:color w:val="000000" w:themeColor="text1"/>
          <w:sz w:val="20"/>
          <w:szCs w:val="20"/>
          <w:lang w:val="en-GB"/>
        </w:rPr>
        <w:t xml:space="preserve"> für </w:t>
      </w:r>
      <w:r w:rsidRPr="00492F36">
        <w:rPr>
          <w:rFonts w:ascii="Garamond" w:hAnsi="Garamond" w:cs="Arial"/>
          <w:i/>
          <w:iCs/>
          <w:color w:val="000000" w:themeColor="text1"/>
          <w:sz w:val="20"/>
          <w:szCs w:val="20"/>
          <w:lang w:val="en-GB"/>
        </w:rPr>
        <w:t>Eiweissscheibchen</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Apopos</w:t>
      </w:r>
      <w:r w:rsidRPr="00492F36">
        <w:rPr>
          <w:rFonts w:ascii="Garamond" w:hAnsi="Garamond" w:cs="Arial"/>
          <w:color w:val="000000" w:themeColor="text1"/>
          <w:sz w:val="20"/>
          <w:szCs w:val="20"/>
          <w:lang w:val="en-GB"/>
        </w:rPr>
        <w:t xml:space="preserve"> Fritz für </w:t>
      </w:r>
      <w:r w:rsidRPr="00492F36">
        <w:rPr>
          <w:rFonts w:ascii="Garamond" w:hAnsi="Garamond" w:cs="Arial"/>
          <w:i/>
          <w:iCs/>
          <w:color w:val="000000" w:themeColor="text1"/>
          <w:sz w:val="20"/>
          <w:szCs w:val="20"/>
          <w:lang w:val="en-GB"/>
        </w:rPr>
        <w:t>Apropos</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 xml:space="preserve">Lo </w:t>
      </w:r>
      <w:r w:rsidRPr="00492F36">
        <w:rPr>
          <w:rFonts w:ascii="Garamond" w:hAnsi="Garamond" w:cs="Arial"/>
          <w:b/>
          <w:bCs/>
          <w:i/>
          <w:iCs/>
          <w:color w:val="000000" w:themeColor="text1"/>
          <w:sz w:val="20"/>
          <w:szCs w:val="20"/>
          <w:lang w:val="en-GB"/>
        </w:rPr>
        <w:t>k</w:t>
      </w:r>
      <w:r w:rsidRPr="00492F36">
        <w:rPr>
          <w:rFonts w:ascii="Garamond" w:hAnsi="Garamond" w:cs="Arial"/>
          <w:i/>
          <w:iCs/>
          <w:color w:val="000000" w:themeColor="text1"/>
          <w:sz w:val="20"/>
          <w:szCs w:val="20"/>
          <w:lang w:val="en-GB"/>
        </w:rPr>
        <w:t>uskapitäl</w:t>
      </w:r>
      <w:r w:rsidRPr="00492F36">
        <w:rPr>
          <w:rFonts w:ascii="Garamond" w:hAnsi="Garamond" w:cs="Arial"/>
          <w:color w:val="000000" w:themeColor="text1"/>
          <w:sz w:val="20"/>
          <w:szCs w:val="20"/>
          <w:lang w:val="en-GB"/>
        </w:rPr>
        <w:t xml:space="preserve"> für </w:t>
      </w:r>
      <w:r w:rsidRPr="00492F36">
        <w:rPr>
          <w:rFonts w:ascii="Garamond" w:hAnsi="Garamond" w:cs="Arial"/>
          <w:i/>
          <w:iCs/>
          <w:color w:val="000000" w:themeColor="text1"/>
          <w:sz w:val="20"/>
          <w:szCs w:val="20"/>
          <w:lang w:val="en-GB"/>
        </w:rPr>
        <w:t>Lotuskapitäl</w:t>
      </w:r>
      <w:r w:rsidRPr="00492F36">
        <w:rPr>
          <w:rFonts w:ascii="Garamond" w:hAnsi="Garamond" w:cs="Arial"/>
          <w:color w:val="000000" w:themeColor="text1"/>
          <w:sz w:val="20"/>
          <w:szCs w:val="20"/>
          <w:lang w:val="en-GB"/>
        </w:rPr>
        <w:t xml:space="preserve"> etc. vielleicht noch die Alab </w:t>
      </w:r>
      <w:r w:rsidRPr="00492F36">
        <w:rPr>
          <w:rFonts w:ascii="Garamond" w:hAnsi="Garamond" w:cs="Arial"/>
          <w:b/>
          <w:bCs/>
          <w:color w:val="000000" w:themeColor="text1"/>
          <w:sz w:val="20"/>
          <w:szCs w:val="20"/>
          <w:lang w:val="en-GB"/>
        </w:rPr>
        <w:t>ü</w:t>
      </w:r>
      <w:r w:rsidRPr="00492F36">
        <w:rPr>
          <w:rFonts w:ascii="Garamond" w:hAnsi="Garamond" w:cs="Arial"/>
          <w:color w:val="000000" w:themeColor="text1"/>
          <w:sz w:val="20"/>
          <w:szCs w:val="20"/>
          <w:lang w:val="en-GB"/>
        </w:rPr>
        <w:t xml:space="preserve">sterb </w:t>
      </w:r>
      <w:r w:rsidRPr="00492F36">
        <w:rPr>
          <w:rFonts w:ascii="Garamond" w:hAnsi="Garamond" w:cs="Arial"/>
          <w:b/>
          <w:bCs/>
          <w:color w:val="000000" w:themeColor="text1"/>
          <w:sz w:val="20"/>
          <w:szCs w:val="20"/>
          <w:lang w:val="en-GB"/>
        </w:rPr>
        <w:t>a</w:t>
      </w:r>
      <w:r w:rsidRPr="00492F36">
        <w:rPr>
          <w:rFonts w:ascii="Garamond" w:hAnsi="Garamond" w:cs="Arial"/>
          <w:color w:val="000000" w:themeColor="text1"/>
          <w:sz w:val="20"/>
          <w:szCs w:val="20"/>
          <w:lang w:val="en-GB"/>
        </w:rPr>
        <w:t xml:space="preserve">chse (Alabasterbüchse) der hl. </w:t>
      </w:r>
      <w:smartTag w:uri="urn:schemas-microsoft-com:office:smarttags" w:element="place">
        <w:r w:rsidRPr="00492F36">
          <w:rPr>
            <w:rFonts w:ascii="Garamond" w:hAnsi="Garamond" w:cs="Arial"/>
            <w:color w:val="000000" w:themeColor="text1"/>
            <w:sz w:val="20"/>
            <w:szCs w:val="20"/>
            <w:lang w:val="en-GB"/>
          </w:rPr>
          <w:t>Magdalena</w:t>
        </w:r>
      </w:smartTag>
      <w:r w:rsidRPr="00492F36">
        <w:rPr>
          <w:rFonts w:ascii="Garamond" w:hAnsi="Garamond" w:cs="Arial"/>
          <w:color w:val="000000" w:themeColor="text1"/>
          <w:sz w:val="20"/>
          <w:szCs w:val="20"/>
          <w:lang w:val="en-GB"/>
        </w:rPr>
        <w:t xml:space="preserve"> gehören wohl in diese Kategorie. </w:t>
      </w:r>
      <w:hyperlink r:id="rId269"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 xml:space="preserve">Bei einer meiner Patientinnen setzte sich das Versprechen als Symptom so lange fort, bis es auf den Kinderstreich, das Wort </w:t>
        </w:r>
        <w:r w:rsidRPr="00492F36">
          <w:rPr>
            <w:rStyle w:val="innerfusslink3"/>
            <w:rFonts w:ascii="Garamond" w:hAnsi="Garamond" w:cs="Arial"/>
            <w:b/>
            <w:bCs/>
            <w:i/>
            <w:iCs/>
            <w:color w:val="000000" w:themeColor="text1"/>
            <w:sz w:val="20"/>
            <w:szCs w:val="20"/>
            <w:lang w:val="en-GB"/>
          </w:rPr>
          <w:t>ruinieren</w:t>
        </w:r>
        <w:r w:rsidRPr="00492F36">
          <w:rPr>
            <w:rStyle w:val="innerfusslink3"/>
            <w:rFonts w:ascii="Garamond" w:hAnsi="Garamond" w:cs="Arial"/>
            <w:b/>
            <w:bCs/>
            <w:color w:val="000000" w:themeColor="text1"/>
            <w:sz w:val="20"/>
            <w:szCs w:val="20"/>
            <w:lang w:val="en-GB"/>
          </w:rPr>
          <w:t xml:space="preserve"> durch </w:t>
        </w:r>
        <w:r w:rsidRPr="00492F36">
          <w:rPr>
            <w:rStyle w:val="innerfusslink3"/>
            <w:rFonts w:ascii="Garamond" w:hAnsi="Garamond" w:cs="Arial"/>
            <w:b/>
            <w:bCs/>
            <w:i/>
            <w:iCs/>
            <w:color w:val="000000" w:themeColor="text1"/>
            <w:sz w:val="20"/>
            <w:szCs w:val="20"/>
            <w:lang w:val="en-GB"/>
          </w:rPr>
          <w:t>urinieren</w:t>
        </w:r>
        <w:r w:rsidRPr="00492F36">
          <w:rPr>
            <w:rStyle w:val="innerfusslink3"/>
            <w:rFonts w:ascii="Garamond" w:hAnsi="Garamond" w:cs="Arial"/>
            <w:b/>
            <w:bCs/>
            <w:color w:val="000000" w:themeColor="text1"/>
            <w:sz w:val="20"/>
            <w:szCs w:val="20"/>
            <w:lang w:val="en-GB"/>
          </w:rPr>
          <w:t xml:space="preserve"> zu ersetzen, zurückgeführt war.</w:t>
        </w:r>
      </w:hyperlink>
      <w:r w:rsidRPr="00492F36">
        <w:rPr>
          <w:rFonts w:ascii="Garamond" w:hAnsi="Garamond" w:cs="Arial"/>
          <w:color w:val="000000" w:themeColor="text1"/>
          <w:sz w:val="20"/>
          <w:szCs w:val="20"/>
          <w:lang w:val="en-GB"/>
        </w:rPr>
        <w:t xml:space="preserve"> – ›Ich fordere Sie auf, auf das Wohl unseres Chefs </w:t>
      </w:r>
      <w:r w:rsidRPr="00492F36">
        <w:rPr>
          <w:rFonts w:ascii="Garamond" w:hAnsi="Garamond" w:cs="Arial"/>
          <w:i/>
          <w:iCs/>
          <w:color w:val="000000" w:themeColor="text1"/>
          <w:sz w:val="20"/>
          <w:szCs w:val="20"/>
          <w:lang w:val="en-GB"/>
        </w:rPr>
        <w:t>auf</w:t>
      </w:r>
      <w:r w:rsidRPr="00492F36">
        <w:rPr>
          <w:rFonts w:ascii="Garamond" w:hAnsi="Garamond" w:cs="Arial"/>
          <w:color w:val="000000" w:themeColor="text1"/>
          <w:sz w:val="20"/>
          <w:szCs w:val="20"/>
          <w:lang w:val="en-GB"/>
        </w:rPr>
        <w:t xml:space="preserve">zustoßen‹, ist kaum etwas anderes als eine unbeabsichtigte Parodie als Nachklang einer beabsichtigten. Wenn ich der Chef wäre, zu dessen Feierlichkeit der Festredner diesen Lapsus beigetragen hätte, würde ich wohl daran denken, wie klug die Römer gehandelt haben, als sie den Soldaten des triumphierenden Imperators gestatteten, den inneren Einspruch gegen den Gefeierten in Spottliedern laut zu äußern. –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erzählt von sich selbst, daß er zu einer Person, die als die älteste der Gesellschaft mit dem vertraulichen Ehrennamen »Senexl« oder »altes Senexl« angesprochen wurde, einmal gesagt habe: ›Prost Senex altesl!‹ Er erschrak selbst über diesen Fehler ( </w:t>
      </w:r>
      <w:r w:rsidRPr="00492F36">
        <w:rPr>
          <w:rFonts w:ascii="Garamond" w:hAnsi="Garamond" w:cs="Arial"/>
          <w:i/>
          <w:iCs/>
          <w:color w:val="000000" w:themeColor="text1"/>
          <w:sz w:val="20"/>
          <w:szCs w:val="20"/>
          <w:lang w:val="en-GB"/>
        </w:rPr>
        <w:t>p. 50</w:t>
      </w:r>
      <w:r w:rsidRPr="00492F36">
        <w:rPr>
          <w:rFonts w:ascii="Garamond" w:hAnsi="Garamond" w:cs="Arial"/>
          <w:color w:val="000000" w:themeColor="text1"/>
          <w:sz w:val="20"/>
          <w:szCs w:val="20"/>
          <w:lang w:val="en-GB"/>
        </w:rPr>
        <w:t>). Wir können uns vielleicht seinen Affekt deuten, wenn wir daran mahnen, wie nahe »Altesl« an den Schimpf »alter Esel« kommt. Auf die Verletzung der Ehrfurcht vor dem Alter (d. i., auf die Kindheit reduziert, vor dem Vater) sind grosse innere Strafen gesetzt.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hoffe, die Leser werden den Wertunterschied dieser Deutungen, die sich durch nichts beweisen lassen, und der Beispiele, die ich selbst gesammelt und durch Analysen erläutert habe, nicht vernachlässigen. Wenn ich aber im stillen immer noch an der Erwartung festhalte, auch die scheinbar einfachen Fälle von Versprechen würden sich auf Störung durch eine halb unterdrückte Idee </w:t>
      </w:r>
      <w:r w:rsidRPr="00492F36">
        <w:rPr>
          <w:rFonts w:ascii="Garamond" w:hAnsi="Garamond" w:cs="Arial"/>
          <w:i/>
          <w:iCs/>
          <w:color w:val="000000" w:themeColor="text1"/>
          <w:sz w:val="20"/>
          <w:szCs w:val="20"/>
          <w:lang w:val="en-GB"/>
        </w:rPr>
        <w:t>ausserhalb</w:t>
      </w:r>
      <w:r w:rsidRPr="00492F36">
        <w:rPr>
          <w:rFonts w:ascii="Garamond" w:hAnsi="Garamond" w:cs="Arial"/>
          <w:color w:val="000000" w:themeColor="text1"/>
          <w:sz w:val="20"/>
          <w:szCs w:val="20"/>
          <w:lang w:val="en-GB"/>
        </w:rPr>
        <w:t xml:space="preserve"> des intendierten Zusammenhanges zurückführen lassen, so verlockt mich dazu eine sehr beachtenswerte Bemerkung von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Dieser Autor sagt, es ist merkwürdig, daß niemand sich versprochen haben will. Es gibt sehr gescheute und ehrliche Menschen, welche beleidigt sind, wenn man ihnen sagt, sie hätten sich versprochen. Ich getraue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nicht, diese Behauptung so allgemein zu nehmen, wie sie durch das »niemand« von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hingestellt wird. Die Spur Affekt aber, die am Nachweis des Versprechens hängt und offenbar von der Natur des Schämens ist, hat ihre Bedeutung. Sie ist gleichzusetzen dem Ärger, wenn wir einen vergessenen Namen nicht erinnern, und der Verwunderung über die Haltbarkeit einer scheinbar belanglosen Erinnerung, und weist allemale auf die Beteiligung eines Motivs am Zustandekommen der Störung hin.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Das Verdrehen von Namen entspricht einer Schmähung, wenn es absichtlich geschieht, und dürfte in einer ganzen Reihe von Fällen, wo es als unabsichtliches Versprechen auftritt, dieselbe Bedeutung haben. Jene Person, die nach </w:t>
      </w:r>
      <w:r w:rsidRPr="00492F36">
        <w:rPr>
          <w:rFonts w:ascii="Garamond" w:hAnsi="Garamond" w:cs="Arial"/>
          <w:i/>
          <w:iCs/>
          <w:color w:val="000000" w:themeColor="text1"/>
          <w:sz w:val="20"/>
          <w:szCs w:val="20"/>
          <w:lang w:val="en-GB"/>
        </w:rPr>
        <w:t>Mayers</w:t>
      </w:r>
      <w:r w:rsidRPr="00492F36">
        <w:rPr>
          <w:rFonts w:ascii="Garamond" w:hAnsi="Garamond" w:cs="Arial"/>
          <w:color w:val="000000" w:themeColor="text1"/>
          <w:sz w:val="20"/>
          <w:szCs w:val="20"/>
          <w:lang w:val="en-GB"/>
        </w:rPr>
        <w:t xml:space="preserve"> Bericht einmal » </w:t>
      </w:r>
      <w:r w:rsidRPr="00492F36">
        <w:rPr>
          <w:rFonts w:ascii="Garamond" w:hAnsi="Garamond" w:cs="Arial"/>
          <w:i/>
          <w:iCs/>
          <w:color w:val="000000" w:themeColor="text1"/>
          <w:sz w:val="20"/>
          <w:szCs w:val="20"/>
          <w:lang w:val="en-GB"/>
        </w:rPr>
        <w:t>Freuder</w:t>
      </w:r>
      <w:r w:rsidRPr="00492F36">
        <w:rPr>
          <w:rFonts w:ascii="Garamond" w:hAnsi="Garamond" w:cs="Arial"/>
          <w:color w:val="000000" w:themeColor="text1"/>
          <w:sz w:val="20"/>
          <w:szCs w:val="20"/>
          <w:lang w:val="en-GB"/>
        </w:rPr>
        <w:t xml:space="preserve">« sagte anstatt </w:t>
      </w:r>
      <w:r w:rsidRPr="00492F36">
        <w:rPr>
          <w:rFonts w:ascii="Garamond" w:hAnsi="Garamond" w:cs="Arial"/>
          <w:i/>
          <w:iCs/>
          <w:color w:val="000000" w:themeColor="text1"/>
          <w:sz w:val="20"/>
          <w:szCs w:val="20"/>
          <w:lang w:val="en-GB"/>
        </w:rPr>
        <w:t>Freud</w:t>
      </w:r>
      <w:r w:rsidRPr="00492F36">
        <w:rPr>
          <w:rFonts w:ascii="Garamond" w:hAnsi="Garamond" w:cs="Arial"/>
          <w:color w:val="000000" w:themeColor="text1"/>
          <w:sz w:val="20"/>
          <w:szCs w:val="20"/>
          <w:lang w:val="en-GB"/>
        </w:rPr>
        <w:t xml:space="preserve">, weil sie kurz darauf den Namen » </w:t>
      </w:r>
      <w:r w:rsidRPr="00492F36">
        <w:rPr>
          <w:rFonts w:ascii="Garamond" w:hAnsi="Garamond" w:cs="Arial"/>
          <w:i/>
          <w:iCs/>
          <w:color w:val="000000" w:themeColor="text1"/>
          <w:sz w:val="20"/>
          <w:szCs w:val="20"/>
          <w:lang w:val="en-GB"/>
        </w:rPr>
        <w:t>Breuer</w:t>
      </w:r>
      <w:r w:rsidRPr="00492F36">
        <w:rPr>
          <w:rFonts w:ascii="Garamond" w:hAnsi="Garamond" w:cs="Arial"/>
          <w:color w:val="000000" w:themeColor="text1"/>
          <w:sz w:val="20"/>
          <w:szCs w:val="20"/>
          <w:lang w:val="en-GB"/>
        </w:rPr>
        <w:t xml:space="preserve">« vorbrachte ( </w:t>
      </w:r>
      <w:r w:rsidRPr="00492F36">
        <w:rPr>
          <w:rFonts w:ascii="Garamond" w:hAnsi="Garamond" w:cs="Arial"/>
          <w:i/>
          <w:iCs/>
          <w:color w:val="000000" w:themeColor="text1"/>
          <w:sz w:val="20"/>
          <w:szCs w:val="20"/>
          <w:lang w:val="en-GB"/>
        </w:rPr>
        <w:t>p. 38</w:t>
      </w:r>
      <w:r w:rsidRPr="00492F36">
        <w:rPr>
          <w:rFonts w:ascii="Garamond" w:hAnsi="Garamond" w:cs="Arial"/>
          <w:color w:val="000000" w:themeColor="text1"/>
          <w:sz w:val="20"/>
          <w:szCs w:val="20"/>
          <w:lang w:val="en-GB"/>
        </w:rPr>
        <w:t xml:space="preserve">), ein andermal von einer </w:t>
      </w:r>
      <w:r w:rsidRPr="00492F36">
        <w:rPr>
          <w:rFonts w:ascii="Garamond" w:hAnsi="Garamond" w:cs="Arial"/>
          <w:i/>
          <w:iCs/>
          <w:color w:val="000000" w:themeColor="text1"/>
          <w:sz w:val="20"/>
          <w:szCs w:val="20"/>
          <w:lang w:val="en-GB"/>
        </w:rPr>
        <w:t>Freuer-Breud</w:t>
      </w:r>
      <w:r w:rsidRPr="00492F36">
        <w:rPr>
          <w:rFonts w:ascii="Garamond" w:hAnsi="Garamond" w:cs="Arial"/>
          <w:color w:val="000000" w:themeColor="text1"/>
          <w:sz w:val="20"/>
          <w:szCs w:val="20"/>
          <w:lang w:val="en-GB"/>
        </w:rPr>
        <w:t xml:space="preserve">schen Methode ( </w:t>
      </w:r>
      <w:r w:rsidRPr="00492F36">
        <w:rPr>
          <w:rFonts w:ascii="Garamond" w:hAnsi="Garamond" w:cs="Arial"/>
          <w:i/>
          <w:iCs/>
          <w:color w:val="000000" w:themeColor="text1"/>
          <w:sz w:val="20"/>
          <w:szCs w:val="20"/>
          <w:lang w:val="en-GB"/>
        </w:rPr>
        <w:t>p. 28</w:t>
      </w:r>
      <w:r w:rsidRPr="00492F36">
        <w:rPr>
          <w:rFonts w:ascii="Garamond" w:hAnsi="Garamond" w:cs="Arial"/>
          <w:color w:val="000000" w:themeColor="text1"/>
          <w:sz w:val="20"/>
          <w:szCs w:val="20"/>
          <w:lang w:val="en-GB"/>
        </w:rPr>
        <w:t xml:space="preserve">) sprach, war wohl ein Fachgenosse und von dieser Methode nicht sonderlich entzückt. Einen gewiß nicht anders aufzuklärenden Fall von Namensentstellung werde ich weiter unten beim Verschreiben mitteilen. In diesen Fällen mengt sich als störendes Moment eine Kritik ein, welche bei Seite gelassen werden soll, weil sie gerade in dem Zeitpunkte der Intention des Redners nicht entspricht. In anderen und weit bedeutsameren Fällen ist es Selbstkritik, innerer Widerspruch gegen die eigene Äußerung, was zum Versprechen, ja zum Ersatz des Intendierten durch seinen Gegensatz nötigt. Man merkt dann mit Erstaunen, wie der Wortlaut einer Beteuerung die Absicht derselben aufhebt, und wie der Sprechfehler die innere Unaufrichtigkeit bloßgelegt hat. </w:t>
      </w:r>
      <w:hyperlink r:id="rId270"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 xml:space="preserve">Durch solches Versprechen brandmarkt z. B. </w:t>
        </w:r>
        <w:r w:rsidRPr="00492F36">
          <w:rPr>
            <w:rStyle w:val="innerfusslink3"/>
            <w:rFonts w:ascii="Garamond" w:hAnsi="Garamond" w:cs="Arial"/>
            <w:b/>
            <w:bCs/>
            <w:i/>
            <w:iCs/>
            <w:color w:val="000000" w:themeColor="text1"/>
            <w:sz w:val="20"/>
            <w:szCs w:val="20"/>
            <w:lang w:val="en-GB"/>
          </w:rPr>
          <w:t>Anzengruber</w:t>
        </w:r>
        <w:r w:rsidRPr="00492F36">
          <w:rPr>
            <w:rStyle w:val="innerfusslink3"/>
            <w:rFonts w:ascii="Garamond" w:hAnsi="Garamond" w:cs="Arial"/>
            <w:b/>
            <w:bCs/>
            <w:color w:val="000000" w:themeColor="text1"/>
            <w:sz w:val="20"/>
            <w:szCs w:val="20"/>
            <w:lang w:val="en-GB"/>
          </w:rPr>
          <w:t xml:space="preserve"> im </w:t>
        </w:r>
        <w:r w:rsidRPr="00492F36">
          <w:rPr>
            <w:rStyle w:val="innerfusslink3"/>
            <w:rFonts w:ascii="Garamond" w:hAnsi="Garamond" w:cs="Arial"/>
            <w:b/>
            <w:bCs/>
            <w:i/>
            <w:iCs/>
            <w:color w:val="000000" w:themeColor="text1"/>
            <w:sz w:val="20"/>
            <w:szCs w:val="20"/>
            <w:lang w:val="en-GB"/>
          </w:rPr>
          <w:t>›G'wissenswurm‹</w:t>
        </w:r>
        <w:r w:rsidRPr="00492F36">
          <w:rPr>
            <w:rStyle w:val="innerfusslink3"/>
            <w:rFonts w:ascii="Garamond" w:hAnsi="Garamond" w:cs="Arial"/>
            <w:b/>
            <w:bCs/>
            <w:color w:val="000000" w:themeColor="text1"/>
            <w:sz w:val="20"/>
            <w:szCs w:val="20"/>
            <w:lang w:val="en-GB"/>
          </w:rPr>
          <w:t xml:space="preserve"> den heuchlerischen Erbschleicher.</w:t>
        </w:r>
      </w:hyperlink>
      <w:r w:rsidRPr="00492F36">
        <w:rPr>
          <w:rFonts w:ascii="Garamond" w:hAnsi="Garamond" w:cs="Arial"/>
          <w:color w:val="000000" w:themeColor="text1"/>
          <w:sz w:val="20"/>
          <w:szCs w:val="20"/>
          <w:lang w:val="en-GB"/>
        </w:rPr>
        <w:t xml:space="preserve"> Das Versprechen wird hier zu einem mimischen Ausdrucksmittel.</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Man gelangt von hier aus zu jenen Redestörungen, die nicht mehr als Versprechen beschrieben werden, weil sie nicht das einzelne Wort, sondern Rhythmus und Ausführung der ganzen Rede beeinträchtigen, wie z. B. das Stammeln und Stottern der Verlegenheit. Aber hier wie dort ist es der innere Konflikt, der uns durch die Störung der Rede verraten wird. Ich glaube wirklich nicht, daß jemand sich versprechen würde in der Audienz bei Seiner Majestät, in einer ernstgemeinten Liebeswerbung, in einer Verteidigungsrede um Ehre und Namen vor den Geschworenen, kurz in all den Fällen, in denen </w:t>
      </w:r>
      <w:r w:rsidRPr="00492F36">
        <w:rPr>
          <w:rFonts w:ascii="Garamond" w:hAnsi="Garamond" w:cs="Arial"/>
          <w:i/>
          <w:iCs/>
          <w:color w:val="000000" w:themeColor="text1"/>
          <w:sz w:val="20"/>
          <w:szCs w:val="20"/>
          <w:lang w:val="en-GB"/>
        </w:rPr>
        <w:t>man ganz dabei ist</w:t>
      </w:r>
      <w:r w:rsidRPr="00492F36">
        <w:rPr>
          <w:rFonts w:ascii="Garamond" w:hAnsi="Garamond" w:cs="Arial"/>
          <w:color w:val="000000" w:themeColor="text1"/>
          <w:sz w:val="20"/>
          <w:szCs w:val="20"/>
          <w:lang w:val="en-GB"/>
        </w:rPr>
        <w:t>, wie wir so bezeichnend sagen. Selbst bis in die Schätzung des Stils, den ein Autor schreibt, dürfen wir und sind wir gewöhnt, das Erklärungsprinzip zu tragen, welches wir bei der Ableitung des einzelnen Sprechfehlers nicht entbehren können. Eine klare und unzweideutige Schreibweise belehrt uns, daß der Autor hier mit sich einig ist, und wo wir gezwungenen und gewundenen Ausdruck finden, der, wie so richtig gesagt wird, nach mehr als einem Scheine schielt, da können wir den Anteil eines nicht genugsam erledigten, komplizierenden Gedankens erkennen, oder die erstickte Stimme der Selbstkritik des Autors heraushören.</w:t>
      </w:r>
    </w:p>
    <w:p w:rsidR="007D5EBB" w:rsidRDefault="007D5EBB">
      <w:pPr>
        <w:rPr>
          <w:rFonts w:ascii="Garamond" w:hAnsi="Garamond" w:cs="Arial"/>
          <w:b/>
          <w:bCs/>
          <w:color w:val="000000" w:themeColor="text1"/>
          <w:sz w:val="20"/>
          <w:szCs w:val="20"/>
          <w:lang w:val="en-GB"/>
        </w:rPr>
      </w:pPr>
      <w:r>
        <w:rPr>
          <w:rFonts w:ascii="Garamond" w:hAnsi="Garamond" w:cs="Arial"/>
          <w:b/>
          <w:bCs/>
          <w:color w:val="000000" w:themeColor="text1"/>
          <w:sz w:val="20"/>
          <w:szCs w:val="20"/>
          <w:lang w:val="en-GB"/>
        </w:rPr>
        <w:br w:type="page"/>
      </w:r>
    </w:p>
    <w:p w:rsidR="000D4CB9" w:rsidRDefault="00B437A1" w:rsidP="007D5EBB">
      <w:pPr>
        <w:shd w:val="clear" w:color="auto" w:fill="FFFFFF"/>
        <w:spacing w:before="44" w:after="44" w:line="124" w:lineRule="atLeast"/>
        <w:outlineLvl w:val="4"/>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V.</w:t>
        </w:r>
        <w:r w:rsidR="007D5EBB" w:rsidRPr="007D5EBB">
          <w:rPr>
            <w:rStyle w:val="Lienhypertexte"/>
            <w:rFonts w:ascii="Garamond" w:hAnsi="Garamond" w:cs="Arial"/>
            <w:b/>
            <w:bCs/>
            <w:sz w:val="20"/>
            <w:szCs w:val="20"/>
            <w:lang w:val="en-GB"/>
          </w:rPr>
          <w:t xml:space="preserve">  </w:t>
        </w:r>
        <w:r w:rsidR="000D4CB9" w:rsidRPr="007D5EBB">
          <w:rPr>
            <w:rStyle w:val="Lienhypertexte"/>
            <w:rFonts w:ascii="Garamond" w:hAnsi="Garamond" w:cs="Arial"/>
            <w:b/>
            <w:bCs/>
            <w:sz w:val="20"/>
            <w:szCs w:val="20"/>
            <w:lang w:val="en-GB"/>
          </w:rPr>
          <w:t>Ve</w:t>
        </w:r>
        <w:bookmarkStart w:id="92" w:name="Alltagslebens_5"/>
        <w:bookmarkEnd w:id="92"/>
        <w:r w:rsidR="000D4CB9" w:rsidRPr="007D5EBB">
          <w:rPr>
            <w:rStyle w:val="Lienhypertexte"/>
            <w:rFonts w:ascii="Garamond" w:hAnsi="Garamond" w:cs="Arial"/>
            <w:b/>
            <w:bCs/>
            <w:sz w:val="20"/>
            <w:szCs w:val="20"/>
            <w:lang w:val="en-GB"/>
          </w:rPr>
          <w:t>rlesen und Verschreiben.</w:t>
        </w:r>
      </w:hyperlink>
      <w:r w:rsidR="007D5EBB">
        <w:rPr>
          <w:rFonts w:ascii="Garamond" w:hAnsi="Garamond" w:cs="Arial"/>
          <w:b/>
          <w:bCs/>
          <w:color w:val="000000" w:themeColor="text1"/>
          <w:sz w:val="20"/>
          <w:szCs w:val="20"/>
          <w:lang w:val="en-GB"/>
        </w:rPr>
        <w:t xml:space="preserve">  </w:t>
      </w:r>
    </w:p>
    <w:p w:rsidR="007D5EBB" w:rsidRPr="00492F36" w:rsidRDefault="007D5EBB" w:rsidP="007D5EBB">
      <w:pPr>
        <w:shd w:val="clear" w:color="auto" w:fill="FFFFFF"/>
        <w:spacing w:before="44" w:after="44" w:line="124" w:lineRule="atLeast"/>
        <w:outlineLvl w:val="4"/>
        <w:rPr>
          <w:rFonts w:ascii="Garamond" w:hAnsi="Garamond" w:cs="Arial"/>
          <w:b/>
          <w:bCs/>
          <w:color w:val="000000" w:themeColor="text1"/>
          <w:sz w:val="20"/>
          <w:szCs w:val="20"/>
          <w:lang w:val="en-GB"/>
        </w:rPr>
      </w:pP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Daß für die Fehler im Lesen und Schreiben die nämlichen Gesichtspunkte und Bemerkungen Geltung haben, wie für die Sprechfehler, ist bei der inneren Verwandtschaft dieser Funktionen nicht zu verwundern. Ich werde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hier darauf beschränken, einige sorgfältig analysierte Beispiele mitzuteilen, und keinen Versuch unternehmen, das Ganze der Erscheinungen zu umfassen.</w:t>
      </w:r>
    </w:p>
    <w:p w:rsidR="000D4CB9" w:rsidRPr="00492F36" w:rsidRDefault="000D4CB9" w:rsidP="000D4CB9">
      <w:pPr>
        <w:shd w:val="clear" w:color="auto" w:fill="FFFFFF"/>
        <w:spacing w:before="120" w:after="120" w:line="124" w:lineRule="atLeast"/>
        <w:outlineLvl w:val="5"/>
        <w:rPr>
          <w:rFonts w:ascii="Garamond" w:hAnsi="Garamond" w:cs="Arial"/>
          <w:b/>
          <w:bCs/>
          <w:caps/>
          <w:color w:val="000000" w:themeColor="text1"/>
          <w:sz w:val="20"/>
          <w:szCs w:val="20"/>
          <w:lang w:val="en-GB"/>
        </w:rPr>
      </w:pPr>
      <w:r w:rsidRPr="00492F36">
        <w:rPr>
          <w:rFonts w:ascii="Garamond" w:hAnsi="Garamond" w:cs="Arial"/>
          <w:b/>
          <w:bCs/>
          <w:caps/>
          <w:color w:val="000000" w:themeColor="text1"/>
          <w:sz w:val="20"/>
          <w:szCs w:val="20"/>
          <w:lang w:val="en-GB"/>
        </w:rPr>
        <w:t>A. Verlesen.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1) Ich durchblättere im Caféhaus eine Nummer der »Leipziger Illustrierten«, die ich schräg vor mir halte, und lese als Unterschrift eines sich über eine Seite erstreckenden Bildes: Eine Hochzeitsfeier </w:t>
      </w:r>
      <w:r w:rsidRPr="00492F36">
        <w:rPr>
          <w:rFonts w:ascii="Garamond" w:hAnsi="Garamond" w:cs="Arial"/>
          <w:i/>
          <w:iCs/>
          <w:color w:val="000000" w:themeColor="text1"/>
          <w:sz w:val="20"/>
          <w:szCs w:val="20"/>
          <w:lang w:val="en-GB"/>
        </w:rPr>
        <w:t>in der Odyssee</w:t>
      </w:r>
      <w:r w:rsidRPr="00492F36">
        <w:rPr>
          <w:rFonts w:ascii="Garamond" w:hAnsi="Garamond" w:cs="Arial"/>
          <w:color w:val="000000" w:themeColor="text1"/>
          <w:sz w:val="20"/>
          <w:szCs w:val="20"/>
          <w:lang w:val="en-GB"/>
        </w:rPr>
        <w:t xml:space="preserve">. Aufmerksam geworden und verwundert rücke ich mir das Blatt zurecht und korrigiere jetzt: Eine Hochzeitsfeier </w:t>
      </w:r>
      <w:r w:rsidRPr="00492F36">
        <w:rPr>
          <w:rFonts w:ascii="Garamond" w:hAnsi="Garamond" w:cs="Arial"/>
          <w:i/>
          <w:iCs/>
          <w:color w:val="000000" w:themeColor="text1"/>
          <w:sz w:val="20"/>
          <w:szCs w:val="20"/>
          <w:lang w:val="en-GB"/>
        </w:rPr>
        <w:t>an der Ostsee</w:t>
      </w:r>
      <w:r w:rsidRPr="00492F36">
        <w:rPr>
          <w:rFonts w:ascii="Garamond" w:hAnsi="Garamond" w:cs="Arial"/>
          <w:color w:val="000000" w:themeColor="text1"/>
          <w:sz w:val="20"/>
          <w:szCs w:val="20"/>
          <w:lang w:val="en-GB"/>
        </w:rPr>
        <w:t xml:space="preserve">. Wie komme ich zu diesem unsinnigen Lesefehler? Meine Gedanken lenken sich sofort auf ein Buch von </w:t>
      </w:r>
      <w:r w:rsidRPr="00492F36">
        <w:rPr>
          <w:rFonts w:ascii="Garamond" w:hAnsi="Garamond" w:cs="Arial"/>
          <w:i/>
          <w:iCs/>
          <w:color w:val="000000" w:themeColor="text1"/>
          <w:sz w:val="20"/>
          <w:szCs w:val="20"/>
          <w:lang w:val="en-GB"/>
        </w:rPr>
        <w:t>Ruths»Experimentaluntersuchungen über Musikphantome etc.«</w:t>
      </w:r>
      <w:r w:rsidRPr="00492F36">
        <w:rPr>
          <w:rFonts w:ascii="Garamond" w:hAnsi="Garamond" w:cs="Arial"/>
          <w:color w:val="000000" w:themeColor="text1"/>
          <w:sz w:val="20"/>
          <w:szCs w:val="20"/>
          <w:lang w:val="en-GB"/>
        </w:rPr>
        <w:t xml:space="preserve">, das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in der letzten Zeit viel beschäftigt hat, weil es nahe an die von mir behandelten psychologischen Probleme streift. Der Autor verspricht für nächste Zeit ein Werk, welches </w:t>
      </w:r>
      <w:r w:rsidRPr="00492F36">
        <w:rPr>
          <w:rFonts w:ascii="Garamond" w:hAnsi="Garamond" w:cs="Arial"/>
          <w:i/>
          <w:iCs/>
          <w:color w:val="000000" w:themeColor="text1"/>
          <w:sz w:val="20"/>
          <w:szCs w:val="20"/>
          <w:lang w:val="en-GB"/>
        </w:rPr>
        <w:t>»Analyse und Grundgesetze der Traumphänomene«</w:t>
      </w:r>
      <w:r w:rsidRPr="00492F36">
        <w:rPr>
          <w:rFonts w:ascii="Garamond" w:hAnsi="Garamond" w:cs="Arial"/>
          <w:color w:val="000000" w:themeColor="text1"/>
          <w:sz w:val="20"/>
          <w:szCs w:val="20"/>
          <w:lang w:val="en-GB"/>
        </w:rPr>
        <w:t xml:space="preserve"> heissen wird. Kein Wunder, daß ich, der ich eben eine </w:t>
      </w:r>
      <w:r w:rsidRPr="00492F36">
        <w:rPr>
          <w:rFonts w:ascii="Garamond" w:hAnsi="Garamond" w:cs="Arial"/>
          <w:i/>
          <w:iCs/>
          <w:color w:val="000000" w:themeColor="text1"/>
          <w:sz w:val="20"/>
          <w:szCs w:val="20"/>
          <w:lang w:val="en-GB"/>
        </w:rPr>
        <w:t>»Traumdeutung«</w:t>
      </w:r>
      <w:r w:rsidRPr="00492F36">
        <w:rPr>
          <w:rFonts w:ascii="Garamond" w:hAnsi="Garamond" w:cs="Arial"/>
          <w:color w:val="000000" w:themeColor="text1"/>
          <w:sz w:val="20"/>
          <w:szCs w:val="20"/>
          <w:lang w:val="en-GB"/>
        </w:rPr>
        <w:t xml:space="preserve"> veröffentlicht habe, mit größter Spannung diesem Buch entgegensehe. In der Schrift </w:t>
      </w:r>
      <w:r w:rsidRPr="00492F36">
        <w:rPr>
          <w:rFonts w:ascii="Garamond" w:hAnsi="Garamond" w:cs="Arial"/>
          <w:i/>
          <w:iCs/>
          <w:color w:val="000000" w:themeColor="text1"/>
          <w:sz w:val="20"/>
          <w:szCs w:val="20"/>
          <w:lang w:val="en-GB"/>
        </w:rPr>
        <w:t>Ruths</w:t>
      </w:r>
      <w:r w:rsidRPr="00492F36">
        <w:rPr>
          <w:rFonts w:ascii="Garamond" w:hAnsi="Garamond" w:cs="Arial"/>
          <w:color w:val="000000" w:themeColor="text1"/>
          <w:sz w:val="20"/>
          <w:szCs w:val="20"/>
          <w:lang w:val="en-GB"/>
        </w:rPr>
        <w:t xml:space="preserve"> über Musikphantome fand ich vorne im Inhaltsverzeichnis die Ankündigung des ausführlichen induktiven Nachweises, daß die althellenischen Mythen und Sagen ihre Hauptwurzeln in Schlummer- und Musikphantomen, in Traumphänomenen und auch in Delirien haben. Ich schlug damals sofort im Texte nach, um herauszufinden, ob er auch um die Zurückführung der Szene, wie </w:t>
      </w:r>
      <w:r w:rsidRPr="00492F36">
        <w:rPr>
          <w:rFonts w:ascii="Garamond" w:hAnsi="Garamond" w:cs="Arial"/>
          <w:i/>
          <w:iCs/>
          <w:color w:val="000000" w:themeColor="text1"/>
          <w:sz w:val="20"/>
          <w:szCs w:val="20"/>
          <w:lang w:val="en-GB"/>
        </w:rPr>
        <w:t>Odysseus</w:t>
      </w:r>
      <w:r w:rsidRPr="00492F36">
        <w:rPr>
          <w:rFonts w:ascii="Garamond" w:hAnsi="Garamond" w:cs="Arial"/>
          <w:color w:val="000000" w:themeColor="text1"/>
          <w:sz w:val="20"/>
          <w:szCs w:val="20"/>
          <w:lang w:val="en-GB"/>
        </w:rPr>
        <w:t xml:space="preserve"> vor </w:t>
      </w:r>
      <w:r w:rsidRPr="00492F36">
        <w:rPr>
          <w:rFonts w:ascii="Garamond" w:hAnsi="Garamond" w:cs="Arial"/>
          <w:i/>
          <w:iCs/>
          <w:color w:val="000000" w:themeColor="text1"/>
          <w:sz w:val="20"/>
          <w:szCs w:val="20"/>
          <w:lang w:val="en-GB"/>
        </w:rPr>
        <w:t>Nausikaa</w:t>
      </w:r>
      <w:r w:rsidRPr="00492F36">
        <w:rPr>
          <w:rFonts w:ascii="Garamond" w:hAnsi="Garamond" w:cs="Arial"/>
          <w:color w:val="000000" w:themeColor="text1"/>
          <w:sz w:val="20"/>
          <w:szCs w:val="20"/>
          <w:lang w:val="en-GB"/>
        </w:rPr>
        <w:t xml:space="preserve"> erscheint, auf den gemeinen Nacktheitstraum wisse. Mich hatte ein Freund auf die schöne Stelle in </w:t>
      </w:r>
      <w:r w:rsidRPr="00492F36">
        <w:rPr>
          <w:rFonts w:ascii="Garamond" w:hAnsi="Garamond" w:cs="Arial"/>
          <w:i/>
          <w:iCs/>
          <w:color w:val="000000" w:themeColor="text1"/>
          <w:sz w:val="20"/>
          <w:szCs w:val="20"/>
          <w:lang w:val="en-GB"/>
        </w:rPr>
        <w:t>G. Kellers»Grünem Heinrich«</w:t>
      </w:r>
      <w:r w:rsidRPr="00492F36">
        <w:rPr>
          <w:rFonts w:ascii="Garamond" w:hAnsi="Garamond" w:cs="Arial"/>
          <w:color w:val="000000" w:themeColor="text1"/>
          <w:sz w:val="20"/>
          <w:szCs w:val="20"/>
          <w:lang w:val="en-GB"/>
        </w:rPr>
        <w:t xml:space="preserve"> aufmerksam gemacht, welche diese Episode der Odyssee als Objektivierung der Träume des fern von der Heimat irrenden Schiffers aufklärt, und ich hatte die Beziehung zum Exhibitionstraum der Nacktheit hinzugefügt ( </w:t>
      </w:r>
      <w:r w:rsidRPr="00492F36">
        <w:rPr>
          <w:rFonts w:ascii="Garamond" w:hAnsi="Garamond" w:cs="Arial"/>
          <w:i/>
          <w:iCs/>
          <w:color w:val="000000" w:themeColor="text1"/>
          <w:sz w:val="20"/>
          <w:szCs w:val="20"/>
          <w:lang w:val="en-GB"/>
        </w:rPr>
        <w:t>p. 170</w:t>
      </w:r>
      <w:r w:rsidRPr="00492F36">
        <w:rPr>
          <w:rFonts w:ascii="Garamond" w:hAnsi="Garamond" w:cs="Arial"/>
          <w:color w:val="000000" w:themeColor="text1"/>
          <w:sz w:val="20"/>
          <w:szCs w:val="20"/>
          <w:lang w:val="en-GB"/>
        </w:rPr>
        <w:t xml:space="preserve">). Bei Ruths entdeckte ich nichts davon.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beschäftigen in diesem Falle offenbar Prioritätsgedanken.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2) Wie kam ich dazu, eines Tages aus der Zeitung zu lesen: › </w:t>
      </w:r>
      <w:r w:rsidRPr="00492F36">
        <w:rPr>
          <w:rFonts w:ascii="Garamond" w:hAnsi="Garamond" w:cs="Arial"/>
          <w:i/>
          <w:iCs/>
          <w:color w:val="000000" w:themeColor="text1"/>
          <w:sz w:val="20"/>
          <w:szCs w:val="20"/>
          <w:lang w:val="en-GB"/>
        </w:rPr>
        <w:t>Im Faß</w:t>
      </w:r>
      <w:r w:rsidRPr="00492F36">
        <w:rPr>
          <w:rFonts w:ascii="Garamond" w:hAnsi="Garamond" w:cs="Arial"/>
          <w:color w:val="000000" w:themeColor="text1"/>
          <w:sz w:val="20"/>
          <w:szCs w:val="20"/>
          <w:lang w:val="en-GB"/>
        </w:rPr>
        <w:t xml:space="preserve"> durch Europa, anstatt: </w:t>
      </w:r>
      <w:r w:rsidRPr="00492F36">
        <w:rPr>
          <w:rFonts w:ascii="Garamond" w:hAnsi="Garamond" w:cs="Arial"/>
          <w:i/>
          <w:iCs/>
          <w:color w:val="000000" w:themeColor="text1"/>
          <w:sz w:val="20"/>
          <w:szCs w:val="20"/>
          <w:lang w:val="en-GB"/>
        </w:rPr>
        <w:t>zu Fuss</w:t>
      </w:r>
      <w:r w:rsidRPr="00492F36">
        <w:rPr>
          <w:rFonts w:ascii="Garamond" w:hAnsi="Garamond" w:cs="Arial"/>
          <w:color w:val="000000" w:themeColor="text1"/>
          <w:sz w:val="20"/>
          <w:szCs w:val="20"/>
          <w:lang w:val="en-GB"/>
        </w:rPr>
        <w:t xml:space="preserve">?‹ Diese Auflösung bereitete mir lange Zeit Schwierigkeiten. Die nächsten Einfälle deuteten allerdings: Es müsse das Faß des Diogenes gemeint sein, und in einer Kunstgeschichte hatte ich unlängst etwas über die Kunst zur Zeit Alexanders gelesen. Es lag dann nahe, an die bekannte Rede Alexanders zu denken: Wenn ich nicht Alexander wäre, möchte ich Diogenes sein. Auch schwebte mir etwas von einem gewissen </w:t>
      </w:r>
      <w:r w:rsidRPr="00492F36">
        <w:rPr>
          <w:rFonts w:ascii="Garamond" w:hAnsi="Garamond" w:cs="Arial"/>
          <w:i/>
          <w:iCs/>
          <w:color w:val="000000" w:themeColor="text1"/>
          <w:sz w:val="20"/>
          <w:szCs w:val="20"/>
          <w:lang w:val="en-GB"/>
        </w:rPr>
        <w:t>Hermann Zeitung</w:t>
      </w:r>
      <w:r w:rsidRPr="00492F36">
        <w:rPr>
          <w:rFonts w:ascii="Garamond" w:hAnsi="Garamond" w:cs="Arial"/>
          <w:color w:val="000000" w:themeColor="text1"/>
          <w:sz w:val="20"/>
          <w:szCs w:val="20"/>
          <w:lang w:val="en-GB"/>
        </w:rPr>
        <w:t xml:space="preserve"> vor, der in eine Kiste verpackt sich auf Reisen begeben hatte. Aber weiter wollte sich der Zusammenhang nicht herstellen, und es gelang mir nicht, die Seite in der Kunstgeschichte wieder aufzuschlagen, auf welcher mir jene Bemerkung ins Auge gefallen war. Erst Monate später fiel mir das bei Seite geworfene Rätsel plötzlich wieder ein, und diesmal zugleich mit seiner Lösung. Ich erinnerte mich an die Bemerkung in einem Zeitungsartikel, was für sonderbare Arten der </w:t>
      </w:r>
      <w:r w:rsidRPr="00492F36">
        <w:rPr>
          <w:rFonts w:ascii="Garamond" w:hAnsi="Garamond" w:cs="Arial"/>
          <w:i/>
          <w:iCs/>
          <w:color w:val="000000" w:themeColor="text1"/>
          <w:sz w:val="20"/>
          <w:szCs w:val="20"/>
          <w:lang w:val="en-GB"/>
        </w:rPr>
        <w:t>Beförderung</w:t>
      </w:r>
      <w:r w:rsidRPr="00492F36">
        <w:rPr>
          <w:rFonts w:ascii="Garamond" w:hAnsi="Garamond" w:cs="Arial"/>
          <w:color w:val="000000" w:themeColor="text1"/>
          <w:sz w:val="20"/>
          <w:szCs w:val="20"/>
          <w:lang w:val="en-GB"/>
        </w:rPr>
        <w:t xml:space="preserve"> die Leute jetzt wählten, um nach Paris zur Weltausstellung zu kommen, und dort war auch, wie ich glaube, scherzhaft mitgeteilt worden, daß irgend ein Herr die Absicht habe, sich von einem anderen Herrn in einem </w:t>
      </w:r>
      <w:r w:rsidRPr="00492F36">
        <w:rPr>
          <w:rFonts w:ascii="Garamond" w:hAnsi="Garamond" w:cs="Arial"/>
          <w:i/>
          <w:iCs/>
          <w:color w:val="000000" w:themeColor="text1"/>
          <w:sz w:val="20"/>
          <w:szCs w:val="20"/>
          <w:lang w:val="en-GB"/>
        </w:rPr>
        <w:t>Faß</w:t>
      </w:r>
      <w:r w:rsidRPr="00492F36">
        <w:rPr>
          <w:rFonts w:ascii="Garamond" w:hAnsi="Garamond" w:cs="Arial"/>
          <w:color w:val="000000" w:themeColor="text1"/>
          <w:sz w:val="20"/>
          <w:szCs w:val="20"/>
          <w:lang w:val="en-GB"/>
        </w:rPr>
        <w:t xml:space="preserve"> nach Paris rollen zu lassen. Natürlich hätten diese Leute kein anderes Motiv, als durch solche Torheiten Aufsehen zu machen. </w:t>
      </w:r>
      <w:r w:rsidRPr="00492F36">
        <w:rPr>
          <w:rFonts w:ascii="Garamond" w:hAnsi="Garamond" w:cs="Arial"/>
          <w:i/>
          <w:iCs/>
          <w:color w:val="000000" w:themeColor="text1"/>
          <w:sz w:val="20"/>
          <w:szCs w:val="20"/>
          <w:lang w:val="en-GB"/>
        </w:rPr>
        <w:t>Hermann Zeitung</w:t>
      </w:r>
      <w:r w:rsidRPr="00492F36">
        <w:rPr>
          <w:rFonts w:ascii="Garamond" w:hAnsi="Garamond" w:cs="Arial"/>
          <w:color w:val="000000" w:themeColor="text1"/>
          <w:sz w:val="20"/>
          <w:szCs w:val="20"/>
          <w:lang w:val="en-GB"/>
        </w:rPr>
        <w:t xml:space="preserve"> war in der Tat der Name desjenigen Mannes, der für solche außergewöhnliche Beförderungen das erste Beispiel gegeben hatte. Dann fiel mir ein, daß ich einmal einen Patienten behandelt, dessen krankhafte Angst vor der Zeitung sich als Reaktion gegen den krankhaften </w:t>
      </w:r>
      <w:r w:rsidRPr="00492F36">
        <w:rPr>
          <w:rFonts w:ascii="Garamond" w:hAnsi="Garamond" w:cs="Arial"/>
          <w:i/>
          <w:iCs/>
          <w:color w:val="000000" w:themeColor="text1"/>
          <w:sz w:val="20"/>
          <w:szCs w:val="20"/>
          <w:lang w:val="en-GB"/>
        </w:rPr>
        <w:t>Ehrgeiz</w:t>
      </w:r>
      <w:r w:rsidRPr="00492F36">
        <w:rPr>
          <w:rFonts w:ascii="Garamond" w:hAnsi="Garamond" w:cs="Arial"/>
          <w:color w:val="000000" w:themeColor="text1"/>
          <w:sz w:val="20"/>
          <w:szCs w:val="20"/>
          <w:lang w:val="en-GB"/>
        </w:rPr>
        <w:t xml:space="preserve"> auflöste, sich gedruckt und als berühmt in der Zeitung erwähnt zu sehen. Der mazedonische Alexander war gewiß einer der ehrgeizigsten Männer, die je gelebt. Er klagte ja, daß er keinen Homer finden werde, der seine Taten besinge. Aber wie konnte ich nur </w:t>
      </w:r>
      <w:r w:rsidRPr="00492F36">
        <w:rPr>
          <w:rFonts w:ascii="Garamond" w:hAnsi="Garamond" w:cs="Arial"/>
          <w:i/>
          <w:iCs/>
          <w:color w:val="000000" w:themeColor="text1"/>
          <w:sz w:val="20"/>
          <w:szCs w:val="20"/>
          <w:lang w:val="en-GB"/>
        </w:rPr>
        <w:t>nicht daran denken</w:t>
      </w:r>
      <w:r w:rsidRPr="00492F36">
        <w:rPr>
          <w:rFonts w:ascii="Garamond" w:hAnsi="Garamond" w:cs="Arial"/>
          <w:color w:val="000000" w:themeColor="text1"/>
          <w:sz w:val="20"/>
          <w:szCs w:val="20"/>
          <w:lang w:val="en-GB"/>
        </w:rPr>
        <w:t xml:space="preserve">, daß ein anderer </w:t>
      </w:r>
      <w:r w:rsidRPr="00492F36">
        <w:rPr>
          <w:rFonts w:ascii="Garamond" w:hAnsi="Garamond" w:cs="Arial"/>
          <w:i/>
          <w:iCs/>
          <w:color w:val="000000" w:themeColor="text1"/>
          <w:sz w:val="20"/>
          <w:szCs w:val="20"/>
          <w:lang w:val="en-GB"/>
        </w:rPr>
        <w:t>Alexander</w:t>
      </w:r>
      <w:r w:rsidRPr="00492F36">
        <w:rPr>
          <w:rFonts w:ascii="Garamond" w:hAnsi="Garamond" w:cs="Arial"/>
          <w:color w:val="000000" w:themeColor="text1"/>
          <w:sz w:val="20"/>
          <w:szCs w:val="20"/>
          <w:lang w:val="en-GB"/>
        </w:rPr>
        <w:t xml:space="preserve"> mir näher stehe, daß Alexander der Name meines jüngeren Bruders ist! Ich fand nun sofort den anstößigen und der Verdrängung bedürftigen Gedanken in betreff dieses Alexanders und die aktuelle Veranlassung für ihn. Mein Bruder ist Sachverständiger in Dingen, die Tarife und </w:t>
      </w:r>
      <w:r w:rsidRPr="00492F36">
        <w:rPr>
          <w:rFonts w:ascii="Garamond" w:hAnsi="Garamond" w:cs="Arial"/>
          <w:i/>
          <w:iCs/>
          <w:color w:val="000000" w:themeColor="text1"/>
          <w:sz w:val="20"/>
          <w:szCs w:val="20"/>
          <w:lang w:val="en-GB"/>
        </w:rPr>
        <w:t>Transporte</w:t>
      </w:r>
      <w:r w:rsidRPr="00492F36">
        <w:rPr>
          <w:rFonts w:ascii="Garamond" w:hAnsi="Garamond" w:cs="Arial"/>
          <w:color w:val="000000" w:themeColor="text1"/>
          <w:sz w:val="20"/>
          <w:szCs w:val="20"/>
          <w:lang w:val="en-GB"/>
        </w:rPr>
        <w:t xml:space="preserve"> angehen, und sollte zu einer gewissen Zeit für seine Lehrtätigkeit an einer kommerziellen Hochschule den Titel Professor erhalten. Für die gleiche </w:t>
      </w:r>
      <w:r w:rsidRPr="00492F36">
        <w:rPr>
          <w:rFonts w:ascii="Garamond" w:hAnsi="Garamond" w:cs="Arial"/>
          <w:i/>
          <w:iCs/>
          <w:color w:val="000000" w:themeColor="text1"/>
          <w:sz w:val="20"/>
          <w:szCs w:val="20"/>
          <w:lang w:val="en-GB"/>
        </w:rPr>
        <w:t>Beförderung</w:t>
      </w:r>
      <w:r w:rsidRPr="00492F36">
        <w:rPr>
          <w:rFonts w:ascii="Garamond" w:hAnsi="Garamond" w:cs="Arial"/>
          <w:color w:val="000000" w:themeColor="text1"/>
          <w:sz w:val="20"/>
          <w:szCs w:val="20"/>
          <w:lang w:val="en-GB"/>
        </w:rPr>
        <w:t xml:space="preserve"> bin ich an der Universität seit mehreren Jahren vorgeschlagen, ohne sie erreicht zu haben. Unsere Mutter äußerte damals ihr Befremden darüber, daß ihr kleiner Sohn eher Professor werden sollte als ihr grosser. So stand es zur Zeit, als ich die Lösung für jenen Leseirrtum nicht finden konnte. Dann erhoben sich Schwierigkeiten auch bei meinem Bruder; seine Chancen, Professor zu werden, fielen noch unter die meinigen. Da aber wurde mir plötzlich der Sinn jenes Verlesens offenbar; es war, als hätte die Minderung in den Chancen des Bruders ein Hindernis beseitigt. Ich hatte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so benommen, als läse ich die Ernennung des Bruders in der Zeitung, und sagte mir dabei: Merkwürdig, daß man wegen solcher Dummheiten (wie er sie als Beruf betreibt) in der Zeitung stehen (d. h. zum Professor ernannt werden) kann! Die Stelle über die hellenistische Kunst im Zeitalter Alexanders schlug ich dann ohne Mühe auf und überzeugte mich zu meinem Erstaunen, daß ich während des vorherigen Suchens wiederholt auf derselben Seite gelesen und jedesmal wie unter der Herrschaft einer negativen Halluzination den betreffenden Satz übergangen hatte. Dieser enthielt übrigens gar nichts, was mir Aufklärung brachte, was des Vergessens wert gewesen wäre. Ich meine, das Symptom des Nichtauffindens im Buche ist nur zu meiner Irreführung geschaffen worden. Ich sollte die Fortsetzung der Gedankenverknüpfung dort suchen, wo meiner Nachforschung ein Hindernis in den Weg gelegt war, also in irgend einer Idee über den mazedonischen Alexander, und sollte so vom gleichnamigen Bruder sicherer </w:t>
      </w:r>
      <w:r w:rsidRPr="00492F36">
        <w:rPr>
          <w:rFonts w:ascii="Garamond" w:hAnsi="Garamond" w:cs="Arial"/>
          <w:color w:val="000000" w:themeColor="text1"/>
          <w:sz w:val="20"/>
          <w:szCs w:val="20"/>
          <w:lang w:val="en-GB"/>
        </w:rPr>
        <w:lastRenderedPageBreak/>
        <w:t>abgelenkt werden. Dies gelang auch vollkommen; ich richtete alle meine Bemühungen darauf, die verlorene Stelle in jener Kunstgeschichte wieder aufzufinden.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Der Doppelsinn des Wortes » </w:t>
      </w:r>
      <w:r w:rsidRPr="00492F36">
        <w:rPr>
          <w:rFonts w:ascii="Garamond" w:hAnsi="Garamond" w:cs="Arial"/>
          <w:i/>
          <w:iCs/>
          <w:color w:val="000000" w:themeColor="text1"/>
          <w:sz w:val="20"/>
          <w:szCs w:val="20"/>
          <w:lang w:val="en-GB"/>
        </w:rPr>
        <w:t>Beförderung</w:t>
      </w:r>
      <w:r w:rsidRPr="00492F36">
        <w:rPr>
          <w:rFonts w:ascii="Garamond" w:hAnsi="Garamond" w:cs="Arial"/>
          <w:color w:val="000000" w:themeColor="text1"/>
          <w:sz w:val="20"/>
          <w:szCs w:val="20"/>
          <w:lang w:val="en-GB"/>
        </w:rPr>
        <w:t>« ist in diesem Falle die Assoziationsbrücke zwischen den zwei Gedankenkreisen, dem unwichtigen, der durch die Zeitungsnotiz angeregt wird, und dem interessanteren, aber anstößigen, der sich hier als Störung des zu Lesenden geltend machen darf. Man ersieht aus diesem Beispiel, daß es nicht immer leicht wird, Vorkommnisse wie diesen Lesefehler aufzuklären. Gelegentlich ist man auch genötigt, die Lösung des Rätsels auf eine günstigere Zeit zu verschieben. Je schwieriger sich aber die Lösungsarbeit erweist, desto sicherer darf man erwarten, daß der endlich aufgedeckte störende Gedanke von unserem bewußten Denken als fremdartig und gegensätzlich beurteilt werden wird.</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3) Ich erhalte eines Tages einen Brief aus der Nähe Wiens, der mir eine erschütternde Nachricht mitteilt. Ich rufe auch sofort meine Frau an und fordere sie zur Teilnahme daran auf, daß </w:t>
      </w:r>
      <w:r w:rsidRPr="00492F36">
        <w:rPr>
          <w:rFonts w:ascii="Garamond" w:hAnsi="Garamond" w:cs="Arial"/>
          <w:i/>
          <w:iCs/>
          <w:color w:val="000000" w:themeColor="text1"/>
          <w:sz w:val="20"/>
          <w:szCs w:val="20"/>
          <w:lang w:val="en-GB"/>
        </w:rPr>
        <w:t>die</w:t>
      </w:r>
      <w:r w:rsidRPr="00492F36">
        <w:rPr>
          <w:rFonts w:ascii="Garamond" w:hAnsi="Garamond" w:cs="Arial"/>
          <w:color w:val="000000" w:themeColor="text1"/>
          <w:sz w:val="20"/>
          <w:szCs w:val="20"/>
          <w:lang w:val="en-GB"/>
        </w:rPr>
        <w:t xml:space="preserve"> arme Wilhelm M. so schwer erkrankt und von den Ärzten aufgegeben ist. An den Worten, in welche ich mein Bedauern kleide, muß aber etwas falsch geklungen haben, denn meine Frau wird mißtrauisch, verlangt den Brief zu sehen und äußert als ihre Überzeugung, so könne es nicht darin stehen, denn niemand nenne eine Frau nach dem Namen des Mannes, und überdies sei der Korrespondentin der Vorname der Frau sehr wohl bekannt. Ich verteidige meine Behauptung hartnäckig und verweise auf die so gebräuchlichen Visitkarten, auf denen eine Frau sich selbst mit dem Vornamen des Mannes bezeichnet. Ich muß endlich den Brief zur Hand nehmen, und wir lesen darin tatsächlich »der arme W. M.«, ja sogar, was ich ganz übersehen hatte: »der arme </w:t>
      </w:r>
      <w:r w:rsidRPr="00492F36">
        <w:rPr>
          <w:rFonts w:ascii="Garamond" w:hAnsi="Garamond" w:cs="Arial"/>
          <w:i/>
          <w:iCs/>
          <w:color w:val="000000" w:themeColor="text1"/>
          <w:sz w:val="20"/>
          <w:szCs w:val="20"/>
          <w:lang w:val="en-GB"/>
        </w:rPr>
        <w:t>Dr.</w:t>
      </w:r>
      <w:r w:rsidRPr="00492F36">
        <w:rPr>
          <w:rFonts w:ascii="Garamond" w:hAnsi="Garamond" w:cs="Arial"/>
          <w:color w:val="000000" w:themeColor="text1"/>
          <w:sz w:val="20"/>
          <w:szCs w:val="20"/>
          <w:lang w:val="en-GB"/>
        </w:rPr>
        <w:t xml:space="preserve"> W. M.«. Mein Versehen bedeutete also einen, sozusagen krampfhaften, Versuch, die traurige Neuigkeit von dem Manne auf die Frau zu überwälzen. Der zwischen Artikel, Beiwort und Name eingeschobene Titel paßte schlecht zu der Forderung, es müßte die Frau gemeint sein. Darum wurde er auch beim Lesen beseitigt. Das Motiv dieser Verfälschung war aber nicht, daß mir die Frau weniger sympathisch wäre als der Mann, sondern das Schicksal des armen Mannes hatte meine Besorgnisse um eine andere, mir nahe stehende Person rege gemacht, welche eine der mir bekannten Krankheitsbedingungen mit diesem Falle gemeinsam hatte.</w:t>
      </w:r>
    </w:p>
    <w:p w:rsidR="000D4CB9" w:rsidRPr="00492F36" w:rsidRDefault="000D4CB9" w:rsidP="000D4CB9">
      <w:pPr>
        <w:shd w:val="clear" w:color="auto" w:fill="FFFFFF"/>
        <w:spacing w:before="120" w:after="120" w:line="124" w:lineRule="atLeast"/>
        <w:outlineLvl w:val="5"/>
        <w:rPr>
          <w:rFonts w:ascii="Garamond" w:hAnsi="Garamond" w:cs="Arial"/>
          <w:b/>
          <w:bCs/>
          <w:caps/>
          <w:color w:val="000000" w:themeColor="text1"/>
          <w:sz w:val="20"/>
          <w:szCs w:val="20"/>
          <w:lang w:val="en-GB"/>
        </w:rPr>
      </w:pPr>
      <w:r w:rsidRPr="00492F36">
        <w:rPr>
          <w:rFonts w:ascii="Garamond" w:hAnsi="Garamond" w:cs="Arial"/>
          <w:b/>
          <w:bCs/>
          <w:caps/>
          <w:color w:val="000000" w:themeColor="text1"/>
          <w:sz w:val="20"/>
          <w:szCs w:val="20"/>
          <w:lang w:val="en-GB"/>
        </w:rPr>
        <w:t>B. Verschreiben.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1) Auf einem Blatte, welches kurze tägliche Aufzeichnungen meist von geschäftlichem Interesse enthält, finde ich zu meiner Überraschung mitten unter den richtigen Daten des Monats September eingeschlossen das verschriebene Datum »Donnerstag den 20. Okt.«. Es ist nicht schwierig, diese Antizipation aufzuklären, und zwar als Ausdruck eines Wunsches. Ich bin wenige Tage vorher frisch von der Ferienreise zurückgekehrt und fühle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bereit für ausgiebige ärztliche Beschäftigung, aber die Anzahl der Patienten ist noch gering. Bei meiner Ankunft fand ich einen Brief von einer Kranken vor, die sich für den 20. </w:t>
      </w:r>
      <w:r w:rsidRPr="00492F36">
        <w:rPr>
          <w:rFonts w:ascii="Garamond" w:hAnsi="Garamond" w:cs="Arial"/>
          <w:i/>
          <w:iCs/>
          <w:color w:val="000000" w:themeColor="text1"/>
          <w:sz w:val="20"/>
          <w:szCs w:val="20"/>
          <w:lang w:val="en-GB"/>
        </w:rPr>
        <w:t>Oktober</w:t>
      </w:r>
      <w:r w:rsidRPr="00492F36">
        <w:rPr>
          <w:rFonts w:ascii="Garamond" w:hAnsi="Garamond" w:cs="Arial"/>
          <w:color w:val="000000" w:themeColor="text1"/>
          <w:sz w:val="20"/>
          <w:szCs w:val="20"/>
          <w:lang w:val="en-GB"/>
        </w:rPr>
        <w:t xml:space="preserve"> ankündigte. Als ich die gleiche Tageszahl im September niederschrieb, kann ich wohl gedacht haben: Die X. sollte doch schon da sein; wie schade um den vollen Monat! und in diesem Gedanken rückte ich das Datum vor. Der störende Gedanke ist in diesem Falle kaum ein anstößiger zu nennen; dafür weiß ich auch sofort die Auflösung des Schreibfehlers, nachdem ich ihn erst bemerkt habe.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2) Ich erhalte die Korrektur meines Beitrags zum Jahresbericht für Neurologie und Psychiatrie und muß natürlich mit besonderer Sorgfalt die Autornamen revidieren, die, weil verschiedenen Nationen angehörig, dem Setzer die größten Schwierigkeiten zu bereiten pflegen. Manchen fremd klingenden Namen finde ich wirklich noch zu korrigieren, aber einen einzigen Namen hat merkwürdiger Weise der Setzer </w:t>
      </w:r>
      <w:r w:rsidRPr="00492F36">
        <w:rPr>
          <w:rFonts w:ascii="Garamond" w:hAnsi="Garamond" w:cs="Arial"/>
          <w:i/>
          <w:iCs/>
          <w:color w:val="000000" w:themeColor="text1"/>
          <w:sz w:val="20"/>
          <w:szCs w:val="20"/>
          <w:lang w:val="en-GB"/>
        </w:rPr>
        <w:t>gegen</w:t>
      </w:r>
      <w:r w:rsidRPr="00492F36">
        <w:rPr>
          <w:rFonts w:ascii="Garamond" w:hAnsi="Garamond" w:cs="Arial"/>
          <w:color w:val="000000" w:themeColor="text1"/>
          <w:sz w:val="20"/>
          <w:szCs w:val="20"/>
          <w:lang w:val="en-GB"/>
        </w:rPr>
        <w:t xml:space="preserve"> mein Manuskript verbessert und zwar mit vollem Rechte. Ich hatte nämlich </w:t>
      </w:r>
      <w:r w:rsidRPr="00492F36">
        <w:rPr>
          <w:rFonts w:ascii="Garamond" w:hAnsi="Garamond" w:cs="Arial"/>
          <w:i/>
          <w:iCs/>
          <w:color w:val="000000" w:themeColor="text1"/>
          <w:sz w:val="20"/>
          <w:szCs w:val="20"/>
          <w:lang w:val="en-GB"/>
        </w:rPr>
        <w:t>Buckrhard</w:t>
      </w:r>
      <w:r w:rsidRPr="00492F36">
        <w:rPr>
          <w:rFonts w:ascii="Garamond" w:hAnsi="Garamond" w:cs="Arial"/>
          <w:color w:val="000000" w:themeColor="text1"/>
          <w:sz w:val="20"/>
          <w:szCs w:val="20"/>
          <w:lang w:val="en-GB"/>
        </w:rPr>
        <w:t xml:space="preserve"> geschrieben, woraus der Setzer </w:t>
      </w:r>
      <w:r w:rsidRPr="00492F36">
        <w:rPr>
          <w:rFonts w:ascii="Garamond" w:hAnsi="Garamond" w:cs="Arial"/>
          <w:i/>
          <w:iCs/>
          <w:color w:val="000000" w:themeColor="text1"/>
          <w:sz w:val="20"/>
          <w:szCs w:val="20"/>
          <w:lang w:val="en-GB"/>
        </w:rPr>
        <w:t>Burckhard</w:t>
      </w:r>
      <w:r w:rsidRPr="00492F36">
        <w:rPr>
          <w:rFonts w:ascii="Garamond" w:hAnsi="Garamond" w:cs="Arial"/>
          <w:color w:val="000000" w:themeColor="text1"/>
          <w:sz w:val="20"/>
          <w:szCs w:val="20"/>
          <w:lang w:val="en-GB"/>
        </w:rPr>
        <w:t xml:space="preserve"> erriet. Ich hatte die Abhandlung eines Geburtshelfers über den Einfluß der Geburt auf die Entstehung der Kinderlähmungen selbst als verdienstlich gelobt, wüßte auch nichts gegen deren Autor zu sagen, aber den gleichen Namen wie er trägt auch ein Schriftsteller in Wien, der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durch eine unverständige Kritik über meine </w:t>
      </w:r>
      <w:r w:rsidRPr="00492F36">
        <w:rPr>
          <w:rFonts w:ascii="Garamond" w:hAnsi="Garamond" w:cs="Arial"/>
          <w:i/>
          <w:iCs/>
          <w:color w:val="000000" w:themeColor="text1"/>
          <w:sz w:val="20"/>
          <w:szCs w:val="20"/>
          <w:lang w:val="en-GB"/>
        </w:rPr>
        <w:t>»Traumdeutung«</w:t>
      </w:r>
      <w:r w:rsidRPr="00492F36">
        <w:rPr>
          <w:rFonts w:ascii="Garamond" w:hAnsi="Garamond" w:cs="Arial"/>
          <w:color w:val="000000" w:themeColor="text1"/>
          <w:sz w:val="20"/>
          <w:szCs w:val="20"/>
          <w:lang w:val="en-GB"/>
        </w:rPr>
        <w:t xml:space="preserve"> geärgert hat. Es ist gerade so, als hätte ich mir bei der Niederschrift des Namen </w:t>
      </w:r>
      <w:r w:rsidRPr="00492F36">
        <w:rPr>
          <w:rFonts w:ascii="Garamond" w:hAnsi="Garamond" w:cs="Arial"/>
          <w:i/>
          <w:iCs/>
          <w:color w:val="000000" w:themeColor="text1"/>
          <w:sz w:val="20"/>
          <w:szCs w:val="20"/>
          <w:lang w:val="en-GB"/>
        </w:rPr>
        <w:t>Burckhard</w:t>
      </w:r>
      <w:r w:rsidRPr="00492F36">
        <w:rPr>
          <w:rFonts w:ascii="Garamond" w:hAnsi="Garamond" w:cs="Arial"/>
          <w:color w:val="000000" w:themeColor="text1"/>
          <w:sz w:val="20"/>
          <w:szCs w:val="20"/>
          <w:lang w:val="en-GB"/>
        </w:rPr>
        <w:t xml:space="preserve">, der den Geburtshelfer bezeichnete, etwas Arges über den anderen B., den Schriftsteller, gedacht, denn Namenverdrehen bedeutet häufig genug, wie ich schon beim Versprechen erwähnt habe, Schmähung. </w:t>
      </w:r>
      <w:hyperlink r:id="rId271"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 xml:space="preserve">Vgl. etwa die Stelle im </w:t>
        </w:r>
        <w:r w:rsidRPr="00492F36">
          <w:rPr>
            <w:rStyle w:val="innerfusslink3"/>
            <w:rFonts w:ascii="Garamond" w:hAnsi="Garamond" w:cs="Arial"/>
            <w:b/>
            <w:bCs/>
            <w:i/>
            <w:iCs/>
            <w:color w:val="000000" w:themeColor="text1"/>
            <w:sz w:val="20"/>
            <w:szCs w:val="20"/>
          </w:rPr>
          <w:t>Julius Caesar</w:t>
        </w:r>
        <w:r w:rsidRPr="00492F36">
          <w:rPr>
            <w:rStyle w:val="innerfusslink3"/>
            <w:rFonts w:ascii="Garamond" w:hAnsi="Garamond" w:cs="Arial"/>
            <w:b/>
            <w:bCs/>
            <w:color w:val="000000" w:themeColor="text1"/>
            <w:sz w:val="20"/>
            <w:szCs w:val="20"/>
          </w:rPr>
          <w:t xml:space="preserve"> III. 3: </w:t>
        </w:r>
        <w:r w:rsidRPr="00492F36">
          <w:rPr>
            <w:rFonts w:ascii="Garamond" w:hAnsi="Garamond" w:cs="Arial"/>
            <w:b/>
            <w:bCs/>
            <w:color w:val="000000" w:themeColor="text1"/>
            <w:sz w:val="20"/>
            <w:szCs w:val="20"/>
          </w:rPr>
          <w:br/>
        </w:r>
        <w:r w:rsidRPr="00492F36">
          <w:rPr>
            <w:rFonts w:ascii="Garamond" w:hAnsi="Garamond" w:cs="Arial"/>
            <w:b/>
            <w:bCs/>
            <w:color w:val="000000" w:themeColor="text1"/>
            <w:sz w:val="20"/>
            <w:szCs w:val="20"/>
          </w:rPr>
          <w:br/>
        </w:r>
        <w:r w:rsidRPr="00492F36">
          <w:rPr>
            <w:rStyle w:val="innerfusslink3"/>
            <w:rFonts w:ascii="Garamond" w:hAnsi="Garamond" w:cs="Arial"/>
            <w:b/>
            <w:bCs/>
            <w:i/>
            <w:iCs/>
            <w:color w:val="000000" w:themeColor="text1"/>
            <w:sz w:val="20"/>
            <w:szCs w:val="20"/>
          </w:rPr>
          <w:t>Cinna.</w:t>
        </w:r>
        <w:r w:rsidRPr="00492F36">
          <w:rPr>
            <w:rStyle w:val="innerfusslink3"/>
            <w:rFonts w:ascii="Garamond" w:hAnsi="Garamond" w:cs="Arial"/>
            <w:b/>
            <w:bCs/>
            <w:color w:val="000000" w:themeColor="text1"/>
            <w:sz w:val="20"/>
            <w:szCs w:val="20"/>
          </w:rPr>
          <w:t xml:space="preserve"> </w:t>
        </w:r>
        <w:r w:rsidRPr="00492F36">
          <w:rPr>
            <w:rStyle w:val="innerfusslink3"/>
            <w:rFonts w:ascii="Garamond" w:hAnsi="Garamond" w:cs="Arial"/>
            <w:b/>
            <w:bCs/>
            <w:color w:val="000000" w:themeColor="text1"/>
            <w:sz w:val="20"/>
            <w:szCs w:val="20"/>
            <w:lang w:val="en-GB"/>
          </w:rPr>
          <w:t xml:space="preserve">Ehrlich, mein Name ist Cinna. </w:t>
        </w:r>
        <w:r w:rsidRPr="00492F36">
          <w:rPr>
            <w:rFonts w:ascii="Garamond" w:hAnsi="Garamond" w:cs="Arial"/>
            <w:b/>
            <w:bCs/>
            <w:color w:val="000000" w:themeColor="text1"/>
            <w:sz w:val="20"/>
            <w:szCs w:val="20"/>
            <w:lang w:val="en-GB"/>
          </w:rPr>
          <w:br/>
        </w:r>
        <w:r w:rsidRPr="00492F36">
          <w:rPr>
            <w:rStyle w:val="innerfusslink3"/>
            <w:rFonts w:ascii="Garamond" w:hAnsi="Garamond" w:cs="Arial"/>
            <w:b/>
            <w:bCs/>
            <w:i/>
            <w:iCs/>
            <w:color w:val="000000" w:themeColor="text1"/>
            <w:sz w:val="20"/>
            <w:szCs w:val="20"/>
            <w:lang w:val="en-GB"/>
          </w:rPr>
          <w:t>Bürger.</w:t>
        </w:r>
        <w:r w:rsidRPr="00492F36">
          <w:rPr>
            <w:rStyle w:val="innerfusslink3"/>
            <w:rFonts w:ascii="Garamond" w:hAnsi="Garamond" w:cs="Arial"/>
            <w:b/>
            <w:bCs/>
            <w:color w:val="000000" w:themeColor="text1"/>
            <w:sz w:val="20"/>
            <w:szCs w:val="20"/>
            <w:lang w:val="en-GB"/>
          </w:rPr>
          <w:t xml:space="preserve"> Reißt ihn in Stücke! er ist ein Verschworener. </w:t>
        </w:r>
        <w:r w:rsidRPr="00492F36">
          <w:rPr>
            <w:rFonts w:ascii="Garamond" w:hAnsi="Garamond" w:cs="Arial"/>
            <w:b/>
            <w:bCs/>
            <w:color w:val="000000" w:themeColor="text1"/>
            <w:sz w:val="20"/>
            <w:szCs w:val="20"/>
            <w:lang w:val="en-GB"/>
          </w:rPr>
          <w:br/>
        </w:r>
        <w:r w:rsidRPr="00492F36">
          <w:rPr>
            <w:rStyle w:val="innerfusslink3"/>
            <w:rFonts w:ascii="Garamond" w:hAnsi="Garamond" w:cs="Arial"/>
            <w:b/>
            <w:bCs/>
            <w:i/>
            <w:iCs/>
            <w:color w:val="000000" w:themeColor="text1"/>
            <w:sz w:val="20"/>
            <w:szCs w:val="20"/>
            <w:lang w:val="en-GB"/>
          </w:rPr>
          <w:t>Cinna.</w:t>
        </w:r>
        <w:r w:rsidRPr="00492F36">
          <w:rPr>
            <w:rStyle w:val="innerfusslink3"/>
            <w:rFonts w:ascii="Garamond" w:hAnsi="Garamond" w:cs="Arial"/>
            <w:b/>
            <w:bCs/>
            <w:color w:val="000000" w:themeColor="text1"/>
            <w:sz w:val="20"/>
            <w:szCs w:val="20"/>
            <w:lang w:val="en-GB"/>
          </w:rPr>
          <w:t xml:space="preserve"> Ich bin Cinna der Poet! Ich bin nicht Cinna der Verschworene. </w:t>
        </w:r>
        <w:r w:rsidRPr="00492F36">
          <w:rPr>
            <w:rFonts w:ascii="Garamond" w:hAnsi="Garamond" w:cs="Arial"/>
            <w:b/>
            <w:bCs/>
            <w:color w:val="000000" w:themeColor="text1"/>
            <w:sz w:val="20"/>
            <w:szCs w:val="20"/>
            <w:lang w:val="en-GB"/>
          </w:rPr>
          <w:br/>
        </w:r>
        <w:r w:rsidRPr="00492F36">
          <w:rPr>
            <w:rStyle w:val="innerfusslink3"/>
            <w:rFonts w:ascii="Garamond" w:hAnsi="Garamond" w:cs="Arial"/>
            <w:b/>
            <w:bCs/>
            <w:i/>
            <w:iCs/>
            <w:color w:val="000000" w:themeColor="text1"/>
            <w:sz w:val="20"/>
            <w:szCs w:val="20"/>
            <w:lang w:val="en-GB"/>
          </w:rPr>
          <w:t>Bürger.</w:t>
        </w:r>
        <w:r w:rsidRPr="00492F36">
          <w:rPr>
            <w:rStyle w:val="innerfusslink3"/>
            <w:rFonts w:ascii="Garamond" w:hAnsi="Garamond" w:cs="Arial"/>
            <w:b/>
            <w:bCs/>
            <w:color w:val="000000" w:themeColor="text1"/>
            <w:sz w:val="20"/>
            <w:szCs w:val="20"/>
            <w:lang w:val="en-GB"/>
          </w:rPr>
          <w:t xml:space="preserve"> Es tut nichts; sein Name ist Cinna, reißt ihm den Namen aus dem Herzen und laßt ihn laufen.</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0D4CB9">
        <w:rPr>
          <w:rFonts w:ascii="Garamond" w:hAnsi="Garamond" w:cs="Arial"/>
          <w:color w:val="000000" w:themeColor="text1"/>
          <w:sz w:val="20"/>
          <w:szCs w:val="20"/>
          <w:lang w:val="en-GB"/>
        </w:rPr>
        <w:t xml:space="preserve">3) Ein anscheinend ernsterer Fall von Verschreiben, den ich vielleicht mit ebensoviel Recht dem »Vergreifen« einordnen könnte: Ich habe die Absicht, mir aus der Postsparkassa die Summe von 300 Kronen kommen zu lassen, die ich einem zum Kurgebrauch abwesenden Verwandten schicken will. Ich bemerke dabei, daß mein Konto auf 4380 Kr. lautet und nehme mir vor, es jetzt auf die runde Summe von 4000 Kr. herunterzusetzen, die in der nächsten Zeit nicht angegriffen werden soll. Nachdem ich den Check ordnungsmäßig ausgeschrieben und die der Zahl entsprechenden Ziffern ausgeschnitten habe, merke ich plötzlich, daß ich nicht </w:t>
      </w:r>
      <w:r w:rsidRPr="000D4CB9">
        <w:rPr>
          <w:rFonts w:ascii="Garamond" w:hAnsi="Garamond" w:cs="Arial"/>
          <w:b/>
          <w:bCs/>
          <w:color w:val="000000" w:themeColor="text1"/>
          <w:sz w:val="20"/>
          <w:szCs w:val="20"/>
          <w:lang w:val="en-GB"/>
        </w:rPr>
        <w:t>380</w:t>
      </w:r>
      <w:r w:rsidRPr="000D4CB9">
        <w:rPr>
          <w:rFonts w:ascii="Garamond" w:hAnsi="Garamond" w:cs="Arial"/>
          <w:color w:val="000000" w:themeColor="text1"/>
          <w:sz w:val="20"/>
          <w:szCs w:val="20"/>
          <w:lang w:val="en-GB"/>
        </w:rPr>
        <w:t xml:space="preserve"> Kr., wie ich wollte, sondern gerade </w:t>
      </w:r>
      <w:r w:rsidRPr="000D4CB9">
        <w:rPr>
          <w:rFonts w:ascii="Garamond" w:hAnsi="Garamond" w:cs="Arial"/>
          <w:b/>
          <w:bCs/>
          <w:color w:val="000000" w:themeColor="text1"/>
          <w:sz w:val="20"/>
          <w:szCs w:val="20"/>
          <w:lang w:val="en-GB"/>
        </w:rPr>
        <w:t>438</w:t>
      </w:r>
      <w:r w:rsidRPr="000D4CB9">
        <w:rPr>
          <w:rFonts w:ascii="Garamond" w:hAnsi="Garamond" w:cs="Arial"/>
          <w:color w:val="000000" w:themeColor="text1"/>
          <w:sz w:val="20"/>
          <w:szCs w:val="20"/>
          <w:lang w:val="en-GB"/>
        </w:rPr>
        <w:t xml:space="preserve"> bestellt habe, und erschrecke über die Unzuverlässigkeit meines Tuns. </w:t>
      </w:r>
      <w:r w:rsidRPr="00492F36">
        <w:rPr>
          <w:rFonts w:ascii="Garamond" w:hAnsi="Garamond" w:cs="Arial"/>
          <w:color w:val="000000" w:themeColor="text1"/>
          <w:sz w:val="20"/>
          <w:szCs w:val="20"/>
          <w:lang w:val="en-GB"/>
        </w:rPr>
        <w:t xml:space="preserve">Den Schreck erkenne ich bald als unberechtigt; ich bin ja jetzt nicht ärmer worden, als ich vorher war. Aber ich muß eine ganze Weile darüber nachsinnen, welcher Einfluß hier meine erste Intention gestört hat, ohne sich meinem Bewußtsein anzukündigen. Ich gerate zuerst auf falsche Wege, will die beiden Zahlen, 380 und 438, von einander abziehen, weiß aber dann </w:t>
      </w:r>
      <w:r w:rsidRPr="00492F36">
        <w:rPr>
          <w:rFonts w:ascii="Garamond" w:hAnsi="Garamond" w:cs="Arial"/>
          <w:color w:val="000000" w:themeColor="text1"/>
          <w:sz w:val="20"/>
          <w:szCs w:val="20"/>
          <w:lang w:val="en-GB"/>
        </w:rPr>
        <w:lastRenderedPageBreak/>
        <w:t xml:space="preserve">nicht, was ich mit der Differenz anfangen soll. Endlich zeigt mir ein plötzlicher Einfall den wahren Zusammenhang. 438 entspricht ja </w:t>
      </w:r>
      <w:r w:rsidRPr="00492F36">
        <w:rPr>
          <w:rFonts w:ascii="Garamond" w:hAnsi="Garamond" w:cs="Arial"/>
          <w:i/>
          <w:iCs/>
          <w:color w:val="000000" w:themeColor="text1"/>
          <w:sz w:val="20"/>
          <w:szCs w:val="20"/>
          <w:lang w:val="en-GB"/>
        </w:rPr>
        <w:t>zehn Prozent</w:t>
      </w:r>
      <w:r w:rsidRPr="00492F36">
        <w:rPr>
          <w:rFonts w:ascii="Garamond" w:hAnsi="Garamond" w:cs="Arial"/>
          <w:color w:val="000000" w:themeColor="text1"/>
          <w:sz w:val="20"/>
          <w:szCs w:val="20"/>
          <w:lang w:val="en-GB"/>
        </w:rPr>
        <w:t xml:space="preserve"> des ganzen Konto von 4380 Kr.! 10 pCt. Rabatt hat man aber beim </w:t>
      </w:r>
      <w:r w:rsidRPr="00492F36">
        <w:rPr>
          <w:rFonts w:ascii="Garamond" w:hAnsi="Garamond" w:cs="Arial"/>
          <w:i/>
          <w:iCs/>
          <w:color w:val="000000" w:themeColor="text1"/>
          <w:sz w:val="20"/>
          <w:szCs w:val="20"/>
          <w:lang w:val="en-GB"/>
        </w:rPr>
        <w:t>Buchhändler</w:t>
      </w:r>
      <w:r w:rsidRPr="00492F36">
        <w:rPr>
          <w:rFonts w:ascii="Garamond" w:hAnsi="Garamond" w:cs="Arial"/>
          <w:color w:val="000000" w:themeColor="text1"/>
          <w:sz w:val="20"/>
          <w:szCs w:val="20"/>
          <w:lang w:val="en-GB"/>
        </w:rPr>
        <w:t xml:space="preserve">! Ich besinne </w:t>
      </w:r>
      <w:smartTag w:uri="urn:schemas-microsoft-com:office:smarttags" w:element="State">
        <w:r w:rsidRPr="00492F36">
          <w:rPr>
            <w:rFonts w:ascii="Garamond" w:hAnsi="Garamond" w:cs="Arial"/>
            <w:color w:val="000000" w:themeColor="text1"/>
            <w:sz w:val="20"/>
            <w:szCs w:val="20"/>
            <w:lang w:val="en-GB"/>
          </w:rPr>
          <w:t>mich</w:t>
        </w:r>
      </w:smartTag>
      <w:r w:rsidRPr="00492F36">
        <w:rPr>
          <w:rFonts w:ascii="Garamond" w:hAnsi="Garamond" w:cs="Arial"/>
          <w:color w:val="000000" w:themeColor="text1"/>
          <w:sz w:val="20"/>
          <w:szCs w:val="20"/>
          <w:lang w:val="en-GB"/>
        </w:rPr>
        <w:t xml:space="preserve">, daß ich vor wenigen Tagen eine Anzahl medizinischer Werke, die ihr Interesse für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verloren haben, ausgesucht, um sie dem Buchhändler gerade für 300 Kronen anzubieten. Er fand die Forderung zu hoch und versprach, in den nächsten Tagen endgiltige Antwort zu sagen. Wenn er mein Angebot annimmt, so hat er mir gerade die Summe ersetzt, welche ich für den Kranken verausgaben soll. </w:t>
      </w:r>
      <w:r w:rsidRPr="00492F36">
        <w:rPr>
          <w:rFonts w:ascii="Garamond" w:hAnsi="Garamond" w:cs="Arial"/>
          <w:color w:val="000000" w:themeColor="text1"/>
          <w:sz w:val="20"/>
          <w:szCs w:val="20"/>
        </w:rPr>
        <w:t xml:space="preserve">Es ist nicht zu verkennen, daß es mir um diese Ausgabe leid tut. </w:t>
      </w:r>
      <w:r w:rsidRPr="00492F36">
        <w:rPr>
          <w:rFonts w:ascii="Garamond" w:hAnsi="Garamond" w:cs="Arial"/>
          <w:color w:val="000000" w:themeColor="text1"/>
          <w:sz w:val="20"/>
          <w:szCs w:val="20"/>
          <w:lang w:val="en-GB"/>
        </w:rPr>
        <w:t xml:space="preserve">Der Affekt bei der Wahrnehmung meines Irrtums läßt sich besser verstehen als Furcht, durch solche Ausgaben arm zu werden. Aber beides, das Bedauern wegen dieser Ausgabe und die an sie geknüpfte Verarmungsangst, sind meinem Bewußtsein völlig fremd; ich habe das Bedauern nicht verspürt, als ich jene Summe zusagte, und fände die Motivierung desselben lächerlich. Ich würde mir eine solche Regung wahrscheinlich gar nicht zutrauen, wenn ich nicht durch die Übung in Psychoanalysen bei Patienten mit dem Verdrängten im Seelenleben ziemlich vertraut wäre, und wenn ich nicht vor einigen Tagen einen Traum gehabt hätte, welcher die nämliche Lösung erforderte. </w:t>
      </w:r>
      <w:hyperlink r:id="rId272"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 xml:space="preserve">Es ist dies jener Traum, den ich in einer kurzen Abhandlung, </w:t>
        </w:r>
        <w:r w:rsidRPr="00492F36">
          <w:rPr>
            <w:rStyle w:val="innerfusslink3"/>
            <w:rFonts w:ascii="Garamond" w:hAnsi="Garamond" w:cs="Arial"/>
            <w:b/>
            <w:bCs/>
            <w:i/>
            <w:iCs/>
            <w:color w:val="000000" w:themeColor="text1"/>
            <w:sz w:val="20"/>
            <w:szCs w:val="20"/>
            <w:lang w:val="en-GB"/>
          </w:rPr>
          <w:t>›Über den Traum‹</w:t>
        </w:r>
        <w:r w:rsidRPr="00492F36">
          <w:rPr>
            <w:rStyle w:val="innerfusslink3"/>
            <w:rFonts w:ascii="Garamond" w:hAnsi="Garamond" w:cs="Arial"/>
            <w:b/>
            <w:bCs/>
            <w:color w:val="000000" w:themeColor="text1"/>
            <w:sz w:val="20"/>
            <w:szCs w:val="20"/>
            <w:lang w:val="en-GB"/>
          </w:rPr>
          <w:t xml:space="preserve">, No. VIII der </w:t>
        </w:r>
        <w:r w:rsidRPr="00492F36">
          <w:rPr>
            <w:rStyle w:val="innerfusslink3"/>
            <w:rFonts w:ascii="Garamond" w:hAnsi="Garamond" w:cs="Arial"/>
            <w:b/>
            <w:bCs/>
            <w:i/>
            <w:iCs/>
            <w:color w:val="000000" w:themeColor="text1"/>
            <w:sz w:val="20"/>
            <w:szCs w:val="20"/>
            <w:lang w:val="en-GB"/>
          </w:rPr>
          <w:t>›Grenzfragen des Nerven- und Seelenlebens‹</w:t>
        </w:r>
        <w:r w:rsidRPr="00492F36">
          <w:rPr>
            <w:rStyle w:val="innerfusslink3"/>
            <w:rFonts w:ascii="Garamond" w:hAnsi="Garamond" w:cs="Arial"/>
            <w:b/>
            <w:bCs/>
            <w:color w:val="000000" w:themeColor="text1"/>
            <w:sz w:val="20"/>
            <w:szCs w:val="20"/>
            <w:lang w:val="en-GB"/>
          </w:rPr>
          <w:t>, herausgegeben von Löwenfeld und Kurella 1901, zum Paradigma genommen habe.</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i/>
          <w:iCs/>
          <w:color w:val="000000" w:themeColor="text1"/>
          <w:sz w:val="20"/>
          <w:szCs w:val="20"/>
          <w:lang w:val="en-GB"/>
        </w:rPr>
        <w:t>Wundt</w:t>
      </w:r>
      <w:r w:rsidRPr="00492F36">
        <w:rPr>
          <w:rFonts w:ascii="Garamond" w:hAnsi="Garamond" w:cs="Arial"/>
          <w:color w:val="000000" w:themeColor="text1"/>
          <w:sz w:val="20"/>
          <w:szCs w:val="20"/>
          <w:lang w:val="en-GB"/>
        </w:rPr>
        <w:t xml:space="preserve"> gibt eine bemerkenswerte Begründung für die leicht zu bestätigende Tatsache, daß wir uns leichter verschreiben als versprechen ( </w:t>
      </w:r>
      <w:r w:rsidRPr="00492F36">
        <w:rPr>
          <w:rFonts w:ascii="Garamond" w:hAnsi="Garamond" w:cs="Arial"/>
          <w:i/>
          <w:iCs/>
          <w:color w:val="000000" w:themeColor="text1"/>
          <w:sz w:val="20"/>
          <w:szCs w:val="20"/>
          <w:lang w:val="en-GB"/>
        </w:rPr>
        <w:t>l. c. p. 374</w:t>
      </w:r>
      <w:r w:rsidRPr="00492F36">
        <w:rPr>
          <w:rFonts w:ascii="Garamond" w:hAnsi="Garamond" w:cs="Arial"/>
          <w:color w:val="000000" w:themeColor="text1"/>
          <w:sz w:val="20"/>
          <w:szCs w:val="20"/>
          <w:lang w:val="en-GB"/>
        </w:rPr>
        <w:t>). ›Im Verlaufe der normalen Rede ist fortwährend die Hemmungsfunktion des Willens dahin gerichtet, Vorstellungsverlauf und Artikulationsbewegung mit einander in Einklang zu bringen. Wird die den Vorstellungen folgende Ausdrucksbewegung durch mechanische Ursachen verlangsamt wie beim Schreiben ..., so treten daher solche Antizipationen besonders leicht ein.‹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Die Beobachtung der Bedingungen, unter denen das Verlesen auftritt, giebt Anlaß zu einem Zweifel, den ich nicht unerwähnt lassen möchte, weil er nach meiner Schätzung der Ausgangspunkt einer fruchtbaren Untersuchung werden kann. Es ist jedermann bekannt, wie häufig beim </w:t>
      </w:r>
      <w:r w:rsidRPr="00492F36">
        <w:rPr>
          <w:rFonts w:ascii="Garamond" w:hAnsi="Garamond" w:cs="Arial"/>
          <w:i/>
          <w:iCs/>
          <w:color w:val="000000" w:themeColor="text1"/>
          <w:sz w:val="20"/>
          <w:szCs w:val="20"/>
          <w:lang w:val="en-GB"/>
        </w:rPr>
        <w:t>Vorlesen</w:t>
      </w:r>
      <w:r w:rsidRPr="00492F36">
        <w:rPr>
          <w:rFonts w:ascii="Garamond" w:hAnsi="Garamond" w:cs="Arial"/>
          <w:color w:val="000000" w:themeColor="text1"/>
          <w:sz w:val="20"/>
          <w:szCs w:val="20"/>
          <w:lang w:val="en-GB"/>
        </w:rPr>
        <w:t xml:space="preserve"> die Aufmerksamkeit des Lesenden den Text verläßt und sich eigenen Gedanken zuwendet. Die Folge dieses Abschweifens der Aufmerksamkeit ist nicht selten, daß er überhaupt nicht anzugeben weiß, was er gelesen hat, wenn man ihn im Vorlesen unterbricht und befragt. Er hat dann wie automatisch gelesen, aber er hat fast immer richtig vorgelesen. Ich glaube nicht, daß die Lesefehler sich unter solchen Bedingungen merklich vermehren. Von einer ganzen Reihe von Funktionen sind wir auch gewöhnt, anzunehmen, daß sie automatisch, also von kaum bewußter Aufmerksamkeit begleitet, am exaktesten vollzogen werden. Daraus scheint zu folgen, daß die Aufmerksamkeitsbedingung der Sprech-, Lese- und Schreibfehler anders zu bestimmen ist, als sie bei </w:t>
      </w:r>
      <w:r w:rsidRPr="00492F36">
        <w:rPr>
          <w:rFonts w:ascii="Garamond" w:hAnsi="Garamond" w:cs="Arial"/>
          <w:i/>
          <w:iCs/>
          <w:color w:val="000000" w:themeColor="text1"/>
          <w:sz w:val="20"/>
          <w:szCs w:val="20"/>
          <w:lang w:val="en-GB"/>
        </w:rPr>
        <w:t>Wundt</w:t>
      </w:r>
      <w:r w:rsidRPr="00492F36">
        <w:rPr>
          <w:rFonts w:ascii="Garamond" w:hAnsi="Garamond" w:cs="Arial"/>
          <w:color w:val="000000" w:themeColor="text1"/>
          <w:sz w:val="20"/>
          <w:szCs w:val="20"/>
          <w:lang w:val="en-GB"/>
        </w:rPr>
        <w:t xml:space="preserve"> lautet (Wegfall oder Nachlaß der Aufmerksamkeit). Die Beispiele, die wir der Analyse unterzogen haben, gaben uns eigentlich nicht das Recht, eine quantitative Verminderung der Aufmerksamkeit anzunehmen; wir fanden, was vielleicht nicht ganz dasselbe ist, eine </w:t>
      </w:r>
      <w:r w:rsidRPr="00492F36">
        <w:rPr>
          <w:rFonts w:ascii="Garamond" w:hAnsi="Garamond" w:cs="Arial"/>
          <w:i/>
          <w:iCs/>
          <w:color w:val="000000" w:themeColor="text1"/>
          <w:sz w:val="20"/>
          <w:szCs w:val="20"/>
          <w:lang w:val="en-GB"/>
        </w:rPr>
        <w:t>Störung</w:t>
      </w:r>
      <w:r w:rsidRPr="00492F36">
        <w:rPr>
          <w:rFonts w:ascii="Garamond" w:hAnsi="Garamond" w:cs="Arial"/>
          <w:color w:val="000000" w:themeColor="text1"/>
          <w:sz w:val="20"/>
          <w:szCs w:val="20"/>
          <w:lang w:val="en-GB"/>
        </w:rPr>
        <w:t xml:space="preserve"> der Aufmerksamkeit durch einen fremden, Anspruch erhebenden Gedanken.</w:t>
      </w:r>
    </w:p>
    <w:p w:rsidR="007D5EBB" w:rsidRDefault="007D5EBB">
      <w:pPr>
        <w:rPr>
          <w:rFonts w:ascii="Garamond" w:hAnsi="Garamond" w:cs="Arial"/>
          <w:b/>
          <w:bCs/>
          <w:color w:val="000000" w:themeColor="text1"/>
          <w:sz w:val="20"/>
          <w:szCs w:val="20"/>
          <w:lang w:val="en-GB"/>
        </w:rPr>
      </w:pPr>
      <w:r>
        <w:rPr>
          <w:rFonts w:ascii="Garamond" w:hAnsi="Garamond" w:cs="Arial"/>
          <w:b/>
          <w:bCs/>
          <w:color w:val="000000" w:themeColor="text1"/>
          <w:sz w:val="20"/>
          <w:szCs w:val="20"/>
          <w:lang w:val="en-GB"/>
        </w:rPr>
        <w:br w:type="page"/>
      </w:r>
    </w:p>
    <w:p w:rsidR="000D4CB9" w:rsidRPr="00492F36" w:rsidRDefault="00B437A1" w:rsidP="007D5EBB">
      <w:pPr>
        <w:shd w:val="clear" w:color="auto" w:fill="FFFFFF"/>
        <w:spacing w:before="44" w:after="44" w:line="124" w:lineRule="atLeast"/>
        <w:outlineLvl w:val="4"/>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VI.</w:t>
        </w:r>
        <w:r w:rsidR="007D5EBB" w:rsidRPr="007D5EBB">
          <w:rPr>
            <w:rStyle w:val="Lienhypertexte"/>
            <w:rFonts w:ascii="Garamond" w:hAnsi="Garamond" w:cs="Arial"/>
            <w:b/>
            <w:bCs/>
            <w:sz w:val="20"/>
            <w:szCs w:val="20"/>
            <w:lang w:val="en-GB"/>
          </w:rPr>
          <w:t xml:space="preserve">  </w:t>
        </w:r>
        <w:r w:rsidR="000D4CB9" w:rsidRPr="007D5EBB">
          <w:rPr>
            <w:rStyle w:val="Lienhypertexte"/>
            <w:rFonts w:ascii="Garamond" w:hAnsi="Garamond" w:cs="Arial"/>
            <w:b/>
            <w:bCs/>
            <w:sz w:val="20"/>
            <w:szCs w:val="20"/>
            <w:lang w:val="en-GB"/>
          </w:rPr>
          <w:t>Ve</w:t>
        </w:r>
        <w:bookmarkStart w:id="93" w:name="Alltagslebens_6"/>
        <w:bookmarkEnd w:id="93"/>
        <w:r w:rsidR="000D4CB9" w:rsidRPr="007D5EBB">
          <w:rPr>
            <w:rStyle w:val="Lienhypertexte"/>
            <w:rFonts w:ascii="Garamond" w:hAnsi="Garamond" w:cs="Arial"/>
            <w:b/>
            <w:bCs/>
            <w:sz w:val="20"/>
            <w:szCs w:val="20"/>
            <w:lang w:val="en-GB"/>
          </w:rPr>
          <w:t>rgessen von Eindrücken und Vorsätzen.</w:t>
        </w:r>
      </w:hyperlink>
      <w:r w:rsidR="007D5EBB">
        <w:rPr>
          <w:rFonts w:ascii="Garamond" w:hAnsi="Garamond" w:cs="Arial"/>
          <w:b/>
          <w:bCs/>
          <w:color w:val="000000" w:themeColor="text1"/>
          <w:sz w:val="20"/>
          <w:szCs w:val="20"/>
          <w:lang w:val="en-GB"/>
        </w:rPr>
        <w:t xml:space="preserve">  </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Wenn jemand geneigt sein sollte, den Stand unserer gegenwärtigen Kenntnis vom Seelenleben zu überschätzen, so brauchte man ihn nur an die Gedächtnisfunktion zu mahnen, um ihn zur Bescheidenheit zu zwingen. Keine psychologische Theorie hat es noch vermocht, von dem fundamentalen Phänomen des Erinnerns und Vergessens im Zusammenhange Rechenschaft zu geben; ja, die vollständige Zergliederung dessen, was man als tatsächlich beobachten kann, ist noch kaum in Angriff genommen. Vielleicht ist uns heute das Vergessen rätselhafter geworden als das Erinnern, seitdem uns das Studium des Traumes und pathologischer Ereignisse gelehrt hat, daß auch das plötzlich wieder im Bewußtsein auftauchen kann, was wir für längst vergessen geschätzt haben.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Wir sind allerdings im Besitze einiger weniger Gesichtspunkte, für welche wir allgemeine Anerkennung erwarten. Wir nehmen an, daß das Vergessen ein spontaner Vorgang ist, dem man einen gewissen zeitlichen Ablauf zuschreiben kann. Wir heben hervor, daß beim Vergessen eine gewisse Auswahl unter den dargebotenen Eindrücken stattfindet und ebenso unter den Einzelheiten eines jeden Eindrucks oder Erlebnisses. Wir kennen einige der Bedingungen für die Haltbarkeit im Gedächtnis und für die Erweckbarkeit dessen, was sonst vergessen würde. Bei unzähligen Anlässen im täglichen Leben können wir aber bemerken, wie unvollständig und unbefriedigend unsere Erkenntnis ist. Man höre zu, wie zwei Personen, die gemeinsam äußere Eindrücke empfangen, z. B. eine Reise mit einander gemacht haben, eine Zeitlang später ihre Erinnerungen austauschen. Was dem einen fest im Gedächtnis geblieben ist, das hat der andere oft vergessen, als ob es nicht geschehen wäre, und zwar ohne daß man ein Recht zur Behauptung hätte, der Eindruck sei für den einen psychisch bedeutsamer gewesen als für den anderen. Eine ganze Anzahl der die Auswahl fürs Gedächtnis bestimmenden Momente entzieht sich offenbar noch unserer Kenntnis.</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In der Absicht, zur Kenntnis der Bedingungen des Vergessens einen kleinen Beitrag zu liefern, pflege ich die Fälle, in denen mir das Vergessen selbst widerfährt, einer psychologischen Analyse zu unterziehen. Ich beschäftige </w:t>
      </w:r>
      <w:smartTag w:uri="urn:schemas-microsoft-com:office:smarttags" w:element="State">
        <w:r w:rsidRPr="00492F36">
          <w:rPr>
            <w:rFonts w:ascii="Garamond" w:hAnsi="Garamond" w:cs="Arial"/>
            <w:color w:val="000000" w:themeColor="text1"/>
            <w:sz w:val="20"/>
            <w:szCs w:val="20"/>
            <w:lang w:val="en-GB"/>
          </w:rPr>
          <w:t>mich</w:t>
        </w:r>
      </w:smartTag>
      <w:r w:rsidRPr="00492F36">
        <w:rPr>
          <w:rFonts w:ascii="Garamond" w:hAnsi="Garamond" w:cs="Arial"/>
          <w:color w:val="000000" w:themeColor="text1"/>
          <w:sz w:val="20"/>
          <w:szCs w:val="20"/>
          <w:lang w:val="en-GB"/>
        </w:rPr>
        <w:t xml:space="preserve"> in der Regel nur mit einer gewissen Gruppe dieser Fälle, mit jenen nämlich, in denen das Vergessen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in Erstaunen setzt, weil ich nach meiner Erwartung das Betreffende wissen sollte. Ich will noch bemerken, daß ich zur Vergeßlichkeit im allgemeinen (für Erlebtes, nicht für Gelerntes!) nicht neige, und daß ich durch eine kurze Periode meiner Jugend auch außergewöhnlicher Gedächtnisleistungen nicht unfähig war. In meiner Schulknabenzeit war es mir selbstverständlich, die Seite des Buches, die ich gelesen hatte, auswendig hersagen zu können, und kurz vor der Universität war ich imstande, populäre Vorträge wissenschaftlichen Inhalts unmittelbar nachher fast wortgetreu niederzuschreiben. In der Spannung vor dem letzten medizinischen Rigorosum muß ich noch Gebrauch von dem Rest dieser Fähigkeit gemacht haben, denn ich gab in einigen Gegenständen den Prüfern wie automatisch Antworten, die sich getreu mit dem Text des Lehrbuches deckten, welchen ich doch nur einmal in der größten Hast durchflogen hatte.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Die Verfügung über den Gedächtnisschatz ist seither bei mir immer schlechter geworden, doch habe ich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bis in die letzte Zeit hinein überzeugt, daß ich mit Hilfe eines Kunstgriffes weit mehr erinnern kann, als ich mir sonst zutraue. Wenn z. B. ein Patient in der Sprechstunde sich darauf beruft, daß ich ihn schon einmal gesehen habe, und ich mich weder an die Tatsache noch an den Zeitpunkt erinnern kann, so helfe ich mir, indem ich rate, d. h. mir rasch eine Zahl von Jahren, von der Gegenwart an gerechnet, einfallen lasse. Wo Aufschreibungen oder die sichere Angabe des Patienten eine Kontrolle meines Einfalles ermöglichen, da zeigt es sich, daß ich selten um mehr als ein Halbjahr bei über 10 Jahren geirrt habe. </w:t>
      </w:r>
      <w:hyperlink r:id="rId273"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Gewöhnlich pflegen dann im Laufe der Besprechung die Einzelheiten des damaligen ersten Besuches bewußt aufzutauchen.</w:t>
        </w:r>
      </w:hyperlink>
      <w:r w:rsidRPr="00492F36">
        <w:rPr>
          <w:rFonts w:ascii="Garamond" w:hAnsi="Garamond" w:cs="Arial"/>
          <w:color w:val="000000" w:themeColor="text1"/>
          <w:sz w:val="20"/>
          <w:szCs w:val="20"/>
        </w:rPr>
        <w:t xml:space="preserve"> </w:t>
      </w:r>
      <w:r w:rsidRPr="00492F36">
        <w:rPr>
          <w:rFonts w:ascii="Garamond" w:hAnsi="Garamond" w:cs="Arial"/>
          <w:color w:val="000000" w:themeColor="text1"/>
          <w:sz w:val="20"/>
          <w:szCs w:val="20"/>
          <w:lang w:val="en-GB"/>
        </w:rPr>
        <w:t>Ähnlich, wenn ich einen entfernteren Bekannten treffe, den ich aus Höflichkeit nach seinen kleinen Kindern frage. Erzählt er von den Fortschritten derselben, so suche ich mir einfallen zu lassen, wie alt das Kind jetzt ist, kontrolliere durch die Auskunft des Vaters und gehe höchstens um einen Monat, bei älteren Kindern um ein Vierteljahr fehl, obwohl ich nicht angeben kann, welche Anhaltspunkte ich für diese Schätzung hatte. Ich bin zuletzt so kühn geworden, daß ich meine Schätzung immer spontan vorbringe, und laufe dabei nicht Gefahr, den Vater durch die Bloßstellung meiner Unwissenheit über seinen Sprößling zu kränken. Ich erweitere so mein bewußtes Erinnern durch Anrufen meines jedenfalls weit reichhaltigeren unbewußten Gedächtnisses.</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werde also über </w:t>
      </w:r>
      <w:r w:rsidRPr="00492F36">
        <w:rPr>
          <w:rFonts w:ascii="Garamond" w:hAnsi="Garamond" w:cs="Arial"/>
          <w:i/>
          <w:iCs/>
          <w:color w:val="000000" w:themeColor="text1"/>
          <w:sz w:val="20"/>
          <w:szCs w:val="20"/>
          <w:lang w:val="en-GB"/>
        </w:rPr>
        <w:t>auffällige</w:t>
      </w:r>
      <w:r w:rsidRPr="00492F36">
        <w:rPr>
          <w:rFonts w:ascii="Garamond" w:hAnsi="Garamond" w:cs="Arial"/>
          <w:color w:val="000000" w:themeColor="text1"/>
          <w:sz w:val="20"/>
          <w:szCs w:val="20"/>
          <w:lang w:val="en-GB"/>
        </w:rPr>
        <w:t xml:space="preserve"> Beispiele von Vergessen, die ich an mir selbst beobachtet, berichten. Ich unterscheide Vergessen von Eindrücken und Erlebnissen, also von Wissen, und Vergessen von Vorsätzen, also Unterlassungen. Das einförmige Ergebnis der ganzen Reihe von Beobachtungen kann ich voranstellen: </w:t>
      </w:r>
      <w:r w:rsidRPr="00492F36">
        <w:rPr>
          <w:rFonts w:ascii="Garamond" w:hAnsi="Garamond" w:cs="Arial"/>
          <w:i/>
          <w:iCs/>
          <w:color w:val="000000" w:themeColor="text1"/>
          <w:sz w:val="20"/>
          <w:szCs w:val="20"/>
          <w:lang w:val="en-GB"/>
        </w:rPr>
        <w:t>In allen Fällen erwies sich das Vergessen als begründet durch ein Unlustmotiv</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outlineLvl w:val="5"/>
        <w:rPr>
          <w:rFonts w:ascii="Garamond" w:hAnsi="Garamond" w:cs="Arial"/>
          <w:b/>
          <w:bCs/>
          <w:caps/>
          <w:color w:val="000000" w:themeColor="text1"/>
          <w:sz w:val="20"/>
          <w:szCs w:val="20"/>
          <w:lang w:val="en-GB"/>
        </w:rPr>
      </w:pPr>
      <w:r w:rsidRPr="00492F36">
        <w:rPr>
          <w:rFonts w:ascii="Garamond" w:hAnsi="Garamond" w:cs="Arial"/>
          <w:b/>
          <w:bCs/>
          <w:caps/>
          <w:color w:val="000000" w:themeColor="text1"/>
          <w:sz w:val="20"/>
          <w:szCs w:val="20"/>
          <w:lang w:val="en-GB"/>
        </w:rPr>
        <w:t>A. Vergessen von Eindrücken und Kenntnissen.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1) Im Sommer gab mir meine Frau einen an sich harmlosen Anlaß zu heftigem Ärger. Wir saßen an der Table d'hôte einem Herrn aus Wien gegenüber, den ich kannte, und der sich wohl auch an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zu erinnern wußte. Ich hatte aber meine Gründe, die Bekanntschaft nicht zu erneuern. Meine Frau, die nur den ansehnlichen Namen ihres Gegenüber gehört hatte, verriet zu sehr, daß sie seinem Gespräch mit den Nachbarn zuhörte, denn sie wandte sich von Zeit zu Zeit an mich mit Fragen, die den dort gesponnenen Faden aufnahmen. Ich wurde ungeduldig und endlich gereizt. Wenige Wochen später führte ich bei einer Verwandten Klage über dieses Verhalten meiner Frau. Ich war aber nicht imstande, auch nur ein Wort der Unterhaltung jenes Herrn zu erinnern. Da ich sonst eher nachtragend bin und keine </w:t>
      </w:r>
      <w:r w:rsidRPr="00492F36">
        <w:rPr>
          <w:rFonts w:ascii="Garamond" w:hAnsi="Garamond" w:cs="Arial"/>
          <w:color w:val="000000" w:themeColor="text1"/>
          <w:sz w:val="20"/>
          <w:szCs w:val="20"/>
          <w:lang w:val="en-GB"/>
        </w:rPr>
        <w:lastRenderedPageBreak/>
        <w:t xml:space="preserve">Einzelheit eines Vorfalls, der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geärgert hat, vergessen kann, ist meine Amnesie in diesem Falle wohl durch Rücksichten auf die Person der Ehefrau motiviert. Ähnlich erging es mir erst vor kurzem wieder. Ich wollte mich gegen einen intim Bekannten über eine Äußerung meiner Frau lustig machen, die erst vor wenigen Stunden gefallen war, fand mich aber in diesem Vorsatz durch den bemerkenswerten Umstand gehindert, daß ich die betreffende Äußerung spurlos vergessen hatte. Ich mußte erst meine Frau bitten,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an dieselbe zu erinnern. Es ist leicht zu verstehen, daß dies mein Vergessen analog zu fassen ist der typischen Urteilsstörung, welcher wir unterliegen, wenn es sich um unsere nächsten Angehörigen handelt.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2) Ich hatte es übernommen, einer fremd in Wien angekommenen Dame eine kleine eiserne Handkassette zur Aufbewahrung ihrer Dokumente und Gelder zu besorgen. Als ich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dazu erbot, schwebte mir mit ungewöhnlicher visueller Lebhaftigkeit das Bild einer Auslage in der Inneren Stadt vor, in welcher ich solche Kassen gesehen haben mußte. Ich konnte mich zwar an den Namen der Strasse nicht erinnern, fühlte mich aber sicher, daß ich den Laden auf einem Spaziergang durch die Stadt auffinden werde, denn meine Erinnerung sagte mir, daß ich unzählige Male an ihm vorübergegangen sei. Zu meinem Ärger gelang es mir aber nicht, diese Auslage mit den Kassetten aufzufinden, obwohl ich die Innere Stadt nach allen Richtungen durchstreifte. Es blieb mir nichts anderes übrig, meinte ich, als mir aus einem Adressenkalender die Kassenfabrikanten herauszusuchen, um dann auf einem zweiten Rundgang die gesuchte Auslage zu identifizieren. Es bedurfte aber nicht soviel; unter den im Kalender angezeigten Adressen befand sich eine, die sich mir sofort als die vergessene enthüllte. Es war richtig, daß ich ungezählte Male an dem Auslagefenster vorübergegangen war; jedesmal nämlich, wenn ich die Familie M. besucht hatte, die seit langen Jahren in dem nämlichen Hause wohnt. Seitdem dieser intime Verkehr einer völligen Entfremdung gewichen war, pflegte ich, ohne mir von den Gründen Rechenschaft zu geben, auch die Gegend und das Haus zu meiden. Auf jenem Spaziergang durch die Stadt hatte ich, als ich die Kassetten in der Auslage suchte, jede Strasse in der Umgebung begangen, dieser einen aber war ich, als ob ein Verbot darauf läge, ausgewichen. Das Unlustmotiv, welches in diesem Fall meine Unorientiertheit verschuldete, ist greifbar. Der Mechanismus des Vergessens ist aber nicht mehr so einfach wie im vorigen Beispiel. Meine Abneigung gilt natürlich nicht dem Kassenfabrikanten, sondern einem anderen, von dem ich nichts wissen will, und überträgt sich von diesem anderen auf die Gelegenheit, wo sie das Vergessen zustande bringt. Ganz ähnlich hatte im Falle </w:t>
      </w:r>
      <w:r w:rsidRPr="00492F36">
        <w:rPr>
          <w:rFonts w:ascii="Garamond" w:hAnsi="Garamond" w:cs="Arial"/>
          <w:i/>
          <w:iCs/>
          <w:color w:val="000000" w:themeColor="text1"/>
          <w:sz w:val="20"/>
          <w:szCs w:val="20"/>
          <w:lang w:val="en-GB"/>
        </w:rPr>
        <w:t>Burckhard</w:t>
      </w:r>
      <w:r w:rsidRPr="00492F36">
        <w:rPr>
          <w:rFonts w:ascii="Garamond" w:hAnsi="Garamond" w:cs="Arial"/>
          <w:color w:val="000000" w:themeColor="text1"/>
          <w:sz w:val="20"/>
          <w:szCs w:val="20"/>
          <w:lang w:val="en-GB"/>
        </w:rPr>
        <w:t xml:space="preserve"> der Groll gegen den einen den Schreibfehler im Namen hervorgebracht, wo es sich um den anderen handelte. Was hier die Namensgleichheit leistete, die Verknüpfung zwischen zwei im Wesen verschiedenen Gedankenkreisen herzustellen, das konnte im Beispiel von dem Auslagefenster die Kontiguität im Raum, die untrennbare Nachbarschaft ersetzen. Übrigens war dieser letzte Fall fester gefügt; es fand sich noch eine zweite inhaltliche Verknüpfung vor, denn unter den Gründen der Entfremdung mit der im Hause wohnenden Familie hatte das Geld eine grosse Rolle gespielt.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3) Ich werde von dem Bureau B. &amp; R. bestellt, einen ihrer Beamten ärztlich zu besuchen. Auf dem Wege zu dessen Wohnung beschäftigt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die Idee, ich müßte schon wiederholt in dem Hause gewesen sein, in welchem sich die Firma befindet. Es ist mir, als ob mir die Tafel derselben in einem niedrigen Stockwerk aufgefallen wäre, während ich in einem höheren einen ärztlichen Besuch zu machen hatte. Ich kann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aber weder daran erinnern, welches dieses Haus ist, noch wen ich dort besucht habe. Obwohl die ganze Angelegenheit gleichgiltig und bedeutungslos ist, beschäftige ich mich doch mit ihr und erfahre endlich auf dem gewöhnlichen Umwege, indem ich meine Einfälle dazu sammle, daß sich einen Stock über den Lokalitäten der Firma B. &amp; R. die Pension </w:t>
      </w:r>
      <w:r w:rsidRPr="00492F36">
        <w:rPr>
          <w:rFonts w:ascii="Garamond" w:hAnsi="Garamond" w:cs="Arial"/>
          <w:i/>
          <w:iCs/>
          <w:color w:val="000000" w:themeColor="text1"/>
          <w:sz w:val="20"/>
          <w:szCs w:val="20"/>
          <w:lang w:val="en-GB"/>
        </w:rPr>
        <w:t>Fischer</w:t>
      </w:r>
      <w:r w:rsidRPr="00492F36">
        <w:rPr>
          <w:rFonts w:ascii="Garamond" w:hAnsi="Garamond" w:cs="Arial"/>
          <w:color w:val="000000" w:themeColor="text1"/>
          <w:sz w:val="20"/>
          <w:szCs w:val="20"/>
          <w:lang w:val="en-GB"/>
        </w:rPr>
        <w:t xml:space="preserve"> befindet, in welcher ich häufig Patienten besucht habe. Ich kenne jetzt auch das Haus, welches die Bureaux und die Pension beherbergt. Rätselhaft ist mir noch, welches Motiv bei diesem Vergessen im Spiele war. Ich finde nichts für die Erinnerung Anstößiges an der Firma selbst oder an Pension Fischer oder an den Patienten, die dort wohnten. Ich vermute auch, daß es sich um nicht sehr Peinliches handeln kann; sonst wäre es mir kaum gelungen,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des Vergessenen auf einem Umwege wieder zu bemächtigen, ohne äußere Hilfsmittel wie im vorigen Beispiel heranzuziehen. Es fällt mir endlich ein, daß mich eben vorhin, als ich den Weg zu dem neuen Patienten antrat, ein Herr auf der Strasse gegrüßt hat, den ich Mühe hatte zu erkennen. Ich hatte diesen Mann vor Monaten in einem anscheinend schweren Zustand gesehen und die Diagnose der progressiven Paralyse über ihn verhängt, dann aber gehört, daß er hergestellt sei, so daß mein Urteil unrichtig gewesen wäre. Wenn nicht etwa hier eine der Remissionen vorliegt, die sich auch bei Dementia paralytica finden, so daß meine Diagnose doch noch gerechtfertigt wäre! Von dieser Begegnung ging der Einfluß aus, der mich an die Nachbarschaft der Bureaux von B. &amp; R. vergessen liess, und mein Interesse, die Lösung des Vergessenen zu finden, war von diesem Fall strittiger Diagnostik her übertragen. Die assoziative Verknüpfung aber wurde bei geringem inneren Zusammenhang – der wider Erwarten Genesene war auch Beamter eines grossen Bureaus, welches mir Kranke zuzuweisen pflegte – durch eine Namensgleichheit besorgt. Der Arzt, mit welchem gemeinsam ich den fraglichen Paralytiker gesehen hatte, hieß auch </w:t>
      </w:r>
      <w:r w:rsidRPr="00492F36">
        <w:rPr>
          <w:rFonts w:ascii="Garamond" w:hAnsi="Garamond" w:cs="Arial"/>
          <w:i/>
          <w:iCs/>
          <w:color w:val="000000" w:themeColor="text1"/>
          <w:sz w:val="20"/>
          <w:szCs w:val="20"/>
          <w:lang w:val="en-GB"/>
        </w:rPr>
        <w:t>Fischer</w:t>
      </w:r>
      <w:r w:rsidRPr="00492F36">
        <w:rPr>
          <w:rFonts w:ascii="Garamond" w:hAnsi="Garamond" w:cs="Arial"/>
          <w:color w:val="000000" w:themeColor="text1"/>
          <w:sz w:val="20"/>
          <w:szCs w:val="20"/>
          <w:lang w:val="en-GB"/>
        </w:rPr>
        <w:t>, wie die in dem Haus befindliche, vom Vergessen betroffene Pension.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4) Ein Ding </w:t>
      </w:r>
      <w:r w:rsidRPr="00492F36">
        <w:rPr>
          <w:rFonts w:ascii="Garamond" w:hAnsi="Garamond" w:cs="Arial"/>
          <w:i/>
          <w:iCs/>
          <w:color w:val="000000" w:themeColor="text1"/>
          <w:sz w:val="20"/>
          <w:szCs w:val="20"/>
          <w:lang w:val="en-GB"/>
        </w:rPr>
        <w:t>verlegen</w:t>
      </w:r>
      <w:r w:rsidRPr="00492F36">
        <w:rPr>
          <w:rFonts w:ascii="Garamond" w:hAnsi="Garamond" w:cs="Arial"/>
          <w:color w:val="000000" w:themeColor="text1"/>
          <w:sz w:val="20"/>
          <w:szCs w:val="20"/>
          <w:lang w:val="en-GB"/>
        </w:rPr>
        <w:t xml:space="preserve"> heißt ja nichts anderes als vergessen, wohin man es gelegt hat, und wie die meisten mit Schriften und Büchern hantierenden Personen bin ich auf meinem Schreibtisch wohl orientiert und weiß das Gesuchte mit einem Griff hervorzuholen. Was anderen als Unordnung erscheint, ist für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historisch gewordene Ordnung. Warum habe ich aber unlängst einen Bücherkatalog, der mir zugeschickt wurde, so verlegt, daß er unauffindbar geblieben ist? Ich hatte doch die Absicht, ein Buch, das ich darin angezeigt fand, </w:t>
      </w:r>
      <w:r w:rsidRPr="00492F36">
        <w:rPr>
          <w:rFonts w:ascii="Garamond" w:hAnsi="Garamond" w:cs="Arial"/>
          <w:i/>
          <w:iCs/>
          <w:color w:val="000000" w:themeColor="text1"/>
          <w:sz w:val="20"/>
          <w:szCs w:val="20"/>
          <w:lang w:val="en-GB"/>
        </w:rPr>
        <w:t>»Über die Sprache«</w:t>
      </w:r>
      <w:r w:rsidRPr="00492F36">
        <w:rPr>
          <w:rFonts w:ascii="Garamond" w:hAnsi="Garamond" w:cs="Arial"/>
          <w:color w:val="000000" w:themeColor="text1"/>
          <w:sz w:val="20"/>
          <w:szCs w:val="20"/>
          <w:lang w:val="en-GB"/>
        </w:rPr>
        <w:t xml:space="preserve">, zu bestellen, weil es von einem Autor herrührt, dessen geistreich belebten Stil ich liebe, dessen Einsicht in der Psychologie und dessen </w:t>
      </w:r>
      <w:r w:rsidRPr="00492F36">
        <w:rPr>
          <w:rFonts w:ascii="Garamond" w:hAnsi="Garamond" w:cs="Arial"/>
          <w:color w:val="000000" w:themeColor="text1"/>
          <w:sz w:val="20"/>
          <w:szCs w:val="20"/>
          <w:lang w:val="en-GB"/>
        </w:rPr>
        <w:lastRenderedPageBreak/>
        <w:t xml:space="preserve">Kenntnisse in der Kulturhistorie ich zu schätzen weiß. Ich meine, gerade darum habe ich den Katalog verlegt. Ich pflege nämlich Bücher dieses Autors zur Aufklärung unter meinen Bekannten zu verleihen, und vor wenigen Tagen hat mir jemand bei der Rückstellung gesagt: ›Der Stil erinnert mich ganz an den Ihrigen, und auch die Art zu denken ist dieselbe.‹ Der Redner wußte nicht, an was er mit dieser Bemerkung rührte. Vor Jahren, als ich noch jünger und anschlußbedürftiger war, hat mir ungefähr das Nämliche ein älterer Kollege gesagt, dem ich die Schriften eines bekannten medizinischen Autors angepriesen hatte. ›Ganz Ihr Stil und Ihre Art.‹ So beeinflußt hatte ich diesem Autor einen um näheren Verkehr werbenden Brief geschrieben, wurde aber durch eine kühle Antwort in meine Schranken zurückgewiesen. Vielleicht verbergen sich ausserdem noch frühere abschreckende Erfahrungen hinter dieser letzten, denn ich habe den verlegten Katalog nicht wiedergefunden und bin durch dieses Vorzeichen wirklich abgehalten worden, das angezeigte Buch zu bestellen, obwohl ein wirkliches Hindernis durch das Verschwinden des Kataloges nicht geschaffen worden ist. Ich habe ja die Namen des Buches und des Autors im Gedächtnis behalten. </w:t>
      </w:r>
      <w:hyperlink r:id="rId274"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 xml:space="preserve">Für vielerlei Zufälligkeiten, die man seit </w:t>
        </w:r>
        <w:r w:rsidRPr="00492F36">
          <w:rPr>
            <w:rStyle w:val="innerfusslink3"/>
            <w:rFonts w:ascii="Garamond" w:hAnsi="Garamond" w:cs="Arial"/>
            <w:b/>
            <w:bCs/>
            <w:i/>
            <w:iCs/>
            <w:color w:val="000000" w:themeColor="text1"/>
            <w:sz w:val="20"/>
            <w:szCs w:val="20"/>
            <w:lang w:val="en-GB"/>
          </w:rPr>
          <w:t>Th. Vischer</w:t>
        </w:r>
        <w:r w:rsidRPr="00492F36">
          <w:rPr>
            <w:rStyle w:val="innerfusslink3"/>
            <w:rFonts w:ascii="Garamond" w:hAnsi="Garamond" w:cs="Arial"/>
            <w:b/>
            <w:bCs/>
            <w:color w:val="000000" w:themeColor="text1"/>
            <w:sz w:val="20"/>
            <w:szCs w:val="20"/>
            <w:lang w:val="en-GB"/>
          </w:rPr>
          <w:t xml:space="preserve"> der ›Tücke des Objekts‹ zuschreibt, möchte ich ähnliche Erklärungen vorschlagen.</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5) Im Sommer dieses Jahres erklärte ich einmal meinem Freunde Fl., mit dem ich in regem Gedankenaustausch über wissenschaftliche Fragen stehe: Diese neurotischen Probleme sind nur dann zu lösen, wenn wir uns ganz und voll auf den Boden der Annahme einer ursprünglichen Bisexualität des Individuums stellen. Ich erhielt zur Antwort: ›Das habe ich Dir schon vor 2½ Jahren in Br. gesagt, als wir jenen Abendspaziergang machten. Du wolltest damals nichts davon hören.‹ Es ist nun schmerzlich, so zum Aufgeben seiner Originalität aufgefordert zu werden. Ich konnte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an ein solches Gespräch und an diese Eröffnung meines Freundes nicht erinnern. </w:t>
      </w:r>
      <w:r w:rsidRPr="00492F36">
        <w:rPr>
          <w:rFonts w:ascii="Garamond" w:hAnsi="Garamond" w:cs="Arial"/>
          <w:color w:val="000000" w:themeColor="text1"/>
          <w:sz w:val="20"/>
          <w:szCs w:val="20"/>
        </w:rPr>
        <w:t xml:space="preserve">Einer von uns beiden mußte sich da täuschen; nach dem Prinzip der Frage </w:t>
      </w:r>
      <w:r w:rsidRPr="00492F36">
        <w:rPr>
          <w:rFonts w:ascii="Garamond" w:hAnsi="Garamond" w:cs="Arial"/>
          <w:i/>
          <w:iCs/>
          <w:color w:val="000000" w:themeColor="text1"/>
          <w:sz w:val="20"/>
          <w:szCs w:val="20"/>
        </w:rPr>
        <w:t>cui prodest</w:t>
      </w:r>
      <w:r w:rsidRPr="00492F36">
        <w:rPr>
          <w:rFonts w:ascii="Garamond" w:hAnsi="Garamond" w:cs="Arial"/>
          <w:color w:val="000000" w:themeColor="text1"/>
          <w:sz w:val="20"/>
          <w:szCs w:val="20"/>
        </w:rPr>
        <w:t xml:space="preserve">? mußte ich das sein. </w:t>
      </w:r>
      <w:r w:rsidRPr="00492F36">
        <w:rPr>
          <w:rFonts w:ascii="Garamond" w:hAnsi="Garamond" w:cs="Arial"/>
          <w:color w:val="000000" w:themeColor="text1"/>
          <w:sz w:val="20"/>
          <w:szCs w:val="20"/>
          <w:lang w:val="en-GB"/>
        </w:rPr>
        <w:t xml:space="preserve">Ich habe im Laufe der nächsten Wochen in der Tat alles so erinnert, wie mein Freund es in mir erwecken wollte; ich weiß selbst, was ich damals zur Antwort gab: Dabei halte ich noch nicht, ich will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darauf nicht einlassen. Aber ich bin seither um ein Stück toleranter geworden, wenn ich irgendwo in der medizinischen Literatur auf eine der wenigen Ideen stoße, mit denen man meinen Namen verknüpfen kann, und wenn ich dabei die Erwähnung meines Namens vermisse.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Ausstellungen an seiner Ehefrau – Freundschaft, die ins Gegenteil umgeschlagen hat – Irrtum in ärztlicher Diagnostik – Zurückweisung durch Gleichstrebende – Entlehnung von Ideen; es ist wohl kaum zufällig, daß eine Anzahl von Beispielen des Vergessens, die ohne Absicht gesammelt worden sind, zu ihrer Auflösung des Eingehens auf so peinliche Themata bedürfen. Ich vermute vielmehr, daß jeder Andere, der sein eigenes Vergessen einer Prüfung nach den Motiven unterziehen will, eine ähnliche Musterkarte von Widerwärtigkeiten aufzeichnen können wird. Die Neigung zum Vergessen des Unangenehmen scheint mir ganz allgemein zu sein; die Fähigkeit dazu ist wohl bei verschiedenen Personen verschieden gut ausgebildet. Manches </w:t>
      </w:r>
      <w:r w:rsidRPr="00492F36">
        <w:rPr>
          <w:rFonts w:ascii="Garamond" w:hAnsi="Garamond" w:cs="Arial"/>
          <w:i/>
          <w:iCs/>
          <w:color w:val="000000" w:themeColor="text1"/>
          <w:sz w:val="20"/>
          <w:szCs w:val="20"/>
          <w:lang w:val="en-GB"/>
        </w:rPr>
        <w:t>Ableugnen</w:t>
      </w:r>
      <w:r w:rsidRPr="00492F36">
        <w:rPr>
          <w:rFonts w:ascii="Garamond" w:hAnsi="Garamond" w:cs="Arial"/>
          <w:color w:val="000000" w:themeColor="text1"/>
          <w:sz w:val="20"/>
          <w:szCs w:val="20"/>
          <w:lang w:val="en-GB"/>
        </w:rPr>
        <w:t xml:space="preserve">, das uns in der ärztlichen Tätigkeit begegnet, ist wahrscheinlich auf </w:t>
      </w:r>
      <w:r w:rsidRPr="00492F36">
        <w:rPr>
          <w:rFonts w:ascii="Garamond" w:hAnsi="Garamond" w:cs="Arial"/>
          <w:i/>
          <w:iCs/>
          <w:color w:val="000000" w:themeColor="text1"/>
          <w:sz w:val="20"/>
          <w:szCs w:val="20"/>
          <w:lang w:val="en-GB"/>
        </w:rPr>
        <w:t>Vergessen</w:t>
      </w:r>
      <w:r w:rsidRPr="00492F36">
        <w:rPr>
          <w:rFonts w:ascii="Garamond" w:hAnsi="Garamond" w:cs="Arial"/>
          <w:color w:val="000000" w:themeColor="text1"/>
          <w:sz w:val="20"/>
          <w:szCs w:val="20"/>
          <w:lang w:val="en-GB"/>
        </w:rPr>
        <w:t xml:space="preserve"> zurückzuführen. Unsere Auffassung eines solchen Vergessens beschränkt den Unterschied zwischen dem und jenem Benehmen allerdings auf rein psychologische Verhältnisse und gestattet uns, in beiden Reaktionsweisen den Ausdruck desselben Motivs zu sehen. Von all den zahlreichen Beispielen der Verleugnung unangenehmer Erinnerungen, die ich bei Angehörigen von Kranken gesehen habe, ist mir eines als besonders seltsam im Gedächtnis geblieben. Eine Mutter informierte mich über die Kinderjahre ihres nervenkranken, in der Pubertät befindlichen Sohnes und erzählte dabei, daß er wie seine Geschwister bis in späte Jahre an Bettnässen gelitten habe, was ja für eine neurotische Krankengeschichte nicht bedeutungslos ist. Einige Wochen später, als sie sich Auskunft über den Stand der Behandlung holen wollte, hatte ich Anlass, sie auf die Zeichen konstitutioneller Krankheitsveranlagung bei dem jungen Mann aufmerksam zu machen, und berief mich hierbei auf das anamnestisch erhobene Bettnässen. Zu meinem Erstaunen bestritt sie die Tatsache sowohl für dies als auch für die anderen Kinder, fragte mich, woher ich das wissen könne, und hörte endlich von mir, daß sie selbst es mir vor kurzer Zeit erzählt habe, was also von ihr vergessen worden war. </w:t>
      </w:r>
      <w:hyperlink r:id="rId275"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In den Tagen, während ich mit der Niederschrift dieser Seiten beschäftigt war, ist mir folgender, fast unglaublicher Fall von Vergessen widerfahren. Ich revidiere am 1. Januar mein ärztliches Buch, um meine Honorarrechnungen aussenden zu können, stoße dabei im Juni auf den Namen M....l und kann mich an eine zu ihm gehörige Person nicht erinnern. Mein Befremden wächst, indem ich beim Weiterblättern bemerke, daß ich den Fall in einem Sanatorium behandelt, und daß ich ihn durch Wochen täglich besucht habe. Einen Kranken, mit dem man sich unter solchen Bedingungen beschäftigt, vergißt man als Arzt nicht nach kaum sechs Monaten. Sollte es ein Mann, ein Paralytiker, ein Fall ohne Interesse gewesen sein, frage ich mich? Endlich bei dem Vermerk über das empfangene Honorar kommt mir all die Kenntnis wieder, die sich der Erinnerung entziehen wollte. M....l war ein 14jähriges Mädchen gewesen, der merkwürdigste Fall meiner letzten Jahre, welcher mir eine Lehre hinterlassen, an die ich kaum je vergessen werde, und dessen Ausgang mir die peinlichsten Stunden bereitet hat. Das Kind erkrankte an unzweideutiger Hysterie, die sich auch unter meinen Händen rasch und gründlich besserte. Nach dieser Besserung wurde mir das Kind von den Eltern entzogen; es klagte noch über abdominale Schmerzen, denen die Hauptrolle im Symptombild der Hysterie zugefallen war. Zwei Monate später war es an Sarkom der Unterleibsdrüsen gestorben. Die Hysterie, zu der das Kind nebstbei prädisponiert war, hatte die Tumorbildung zur provozierenden Ursache genommen, und ich hatte, von den lärmenden aber harmlosen Erscheinungen der Hysterie gefesselt, vielleicht die ersten Anzeichen der schleichenden unheilvollen Erkrankung übersehen.</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lastRenderedPageBreak/>
        <w:t xml:space="preserve">Man findet also auch bei gesunden, nicht neurotischen Menschen reichlich Anzeichen dafür, daß sich der Erinnerung an peinliche Eindrücke, der Vorstellung peinlicher Gedanken, ein Widerstand entgegensetzt. Die volle Bedeutung dieser Tatsache läßt sich aber erst ermessen, wenn man in die Psychologie neurotischer Personen eingeht. Man ist genötigt, ein solches </w:t>
      </w:r>
      <w:r w:rsidRPr="00492F36">
        <w:rPr>
          <w:rFonts w:ascii="Garamond" w:hAnsi="Garamond" w:cs="Arial"/>
          <w:i/>
          <w:iCs/>
          <w:color w:val="000000" w:themeColor="text1"/>
          <w:sz w:val="20"/>
          <w:szCs w:val="20"/>
          <w:lang w:val="en-GB"/>
        </w:rPr>
        <w:t>elementares Abwehrbestreben</w:t>
      </w:r>
      <w:r w:rsidRPr="00492F36">
        <w:rPr>
          <w:rFonts w:ascii="Garamond" w:hAnsi="Garamond" w:cs="Arial"/>
          <w:color w:val="000000" w:themeColor="text1"/>
          <w:sz w:val="20"/>
          <w:szCs w:val="20"/>
          <w:lang w:val="en-GB"/>
        </w:rPr>
        <w:t xml:space="preserve"> gegen Vorstellungen, welche Unlustempfindungen erwecken können, ein Bestreben, das sich nur dem Fluchtreflex bei Schmerzreizen an die Seite stellen läßt, zu einem der Hauptpfeiler des Mechanismus zu machen, welcher die hysterischen Symptome trägt. Man möge gegen die Annahme einer solchen Abwehrtendenz nicht einwenden, daß wir es im Gegenteil häufig genug unmöglich finden, peinliche Erinnerungen, die uns verfolgen, los zu werden und peinliche Affektregungen wie Reue, Gewissensvorwürfe zu verscheuchen. Es wird ja nicht behauptet, daß diese Abwehrtendenz sich überall durchzusetzen vermag, daß sie nicht im Spiel der psychischen Kräfte auf Faktoren stoßen kann, welche zu anderen Zwecken das Entgegengesetzte anstreben und ihr zum Trotz zustande bringen. </w:t>
      </w:r>
      <w:r w:rsidRPr="00492F36">
        <w:rPr>
          <w:rFonts w:ascii="Garamond" w:hAnsi="Garamond" w:cs="Arial"/>
          <w:i/>
          <w:iCs/>
          <w:color w:val="000000" w:themeColor="text1"/>
          <w:sz w:val="20"/>
          <w:szCs w:val="20"/>
          <w:lang w:val="en-GB"/>
        </w:rPr>
        <w:t>Als das architektonische Prinzip des seelischen Apparates läßt sich die Schichtung, der Aufbau aus einander überlagernden Instanzen erraten</w:t>
      </w:r>
      <w:r w:rsidRPr="00492F36">
        <w:rPr>
          <w:rFonts w:ascii="Garamond" w:hAnsi="Garamond" w:cs="Arial"/>
          <w:color w:val="000000" w:themeColor="text1"/>
          <w:sz w:val="20"/>
          <w:szCs w:val="20"/>
          <w:lang w:val="en-GB"/>
        </w:rPr>
        <w:t>, und es ist sehr wohl möglich, daß dies Abwehrbestreben einer niedrigeren psychischen Instanz angehört, von höheren Instanzen aber gehemmt wird. Es spricht jedenfalls für die Existenz und Mächtigkeit dieser Tendenz zur Abwehr, wenn wir Vorgänge wie die in unseren Beispielen von Vergessen auf sie zurückführen können. Wir sehen, daß manches um seiner selbst willen vergessen wird; wo dies nicht möglich ist, verschiebt die Abwehrtendenz ihr Ziel und bringt wenigstens etwas anderes, minder Bedeutsames, zum Vergessen, welches in assoziative Verknüpfung mit dem eigentlich Anstößigen geraten ist.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Der hier entwickelte Gesichtspunkt, daß peinliche Erinnerungen mit besonderer Leichtigkeit dem motivierten Vergessen verfallen, verdiente auf mehrere Gebiete bezogen zu werden, in denen er heute noch keine oder eine zu geringe Beachtung gefunden hat. So erscheint er mir noch immer nicht genügend scharf betont bei der Würdigung von Zeugenaussagen vor Gericht, </w:t>
      </w:r>
      <w:hyperlink r:id="rId276"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 xml:space="preserve">Vgl. </w:t>
        </w:r>
        <w:r w:rsidRPr="00492F36">
          <w:rPr>
            <w:rStyle w:val="innerfusslink3"/>
            <w:rFonts w:ascii="Garamond" w:hAnsi="Garamond" w:cs="Arial"/>
            <w:b/>
            <w:bCs/>
            <w:i/>
            <w:iCs/>
            <w:color w:val="000000" w:themeColor="text1"/>
            <w:sz w:val="20"/>
            <w:szCs w:val="20"/>
            <w:lang w:val="en-GB"/>
          </w:rPr>
          <w:t>Hans Gross, Kriminalpsychologie 1898</w:t>
        </w:r>
        <w:r w:rsidRPr="00492F36">
          <w:rPr>
            <w:rStyle w:val="innerfusslink3"/>
            <w:rFonts w:ascii="Garamond" w:hAnsi="Garamond" w:cs="Arial"/>
            <w:b/>
            <w:bCs/>
            <w:color w:val="000000" w:themeColor="text1"/>
            <w:sz w:val="20"/>
            <w:szCs w:val="20"/>
            <w:lang w:val="en-GB"/>
          </w:rPr>
          <w:t>.</w:t>
        </w:r>
      </w:hyperlink>
      <w:r w:rsidRPr="00492F36">
        <w:rPr>
          <w:rFonts w:ascii="Garamond" w:hAnsi="Garamond" w:cs="Arial"/>
          <w:color w:val="000000" w:themeColor="text1"/>
          <w:sz w:val="20"/>
          <w:szCs w:val="20"/>
          <w:lang w:val="en-GB"/>
        </w:rPr>
        <w:t xml:space="preserve"> wobei man offenbar der unter Eidstellung des Zeugen einen allzu grossen purifizierenden Einfluß auf dessen psychisches Kräftespiel zutraut. Daß man bei der Entstehung der Traditionen und der Sagengeschichte eines Volkes einem solchen Motiv, das dem Nationalgefühl Peinliche aus der Erinnerung auszumerzen, Rechnung tragen muß, wird allgemein zugestanden. Vielleicht würde sich bei genauerer Verfolgung eine vollständige Analogie herausstellen zwischen der Art, wie Völkertraditionen und wie die Kindheitserinnerungen des einzelnen Individuums gebildet werden.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Ganz ähnlich wie beim Namenvergessen kann auch beim Vergessen von Eindrücken Fehlerinnern eintreten, das dort, wo es Glauben findet, als Erinnerungstäuschung bezeichnet wird. Die Erinnerungstäuschung in pathologischen Fällen – in der Paranoia spielt sie geradezu die Rolle eines konstituierenden Momentes bei der Wahnbildung – hat eine ausgedehnte Literatur wachgerufen, in welcher ich durchgängig den Hinweis auf eine Motivierung derselben vermisse. Da auch dieses Thema der Neurosenpsychologie angehört, entzieht es sich in unserm Zusammenhange der Behandlung. Ich werde dafür ein sonderbares Beispiel einer eigenen Erinnerungstäuschung mitteilen, bei dem die Motivierung durch unbewußtes verdrängtes Material und die Art und Weise der Verknüpfung mit demselben deutlich genug kenntlich werden.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Als ich die späteren Abschnitte meines Buches über Traumdeutung schrieb, befand ich mich in einer Sommerfrische ohne Zugang zu Bibliotheken und Nachschlagebüchern und war genötigt, mit Vorbehalt späterer Korrektur, allerlei Beziehungen und Zitate aus dem Gedächtnis in das Manuskript einzutragen. Beim Abschnitt über das Tagträumen fiel mir die ausgezeichnete Figur des armen Buchhalters im </w:t>
      </w:r>
      <w:r w:rsidRPr="00492F36">
        <w:rPr>
          <w:rFonts w:ascii="Garamond" w:hAnsi="Garamond" w:cs="Arial"/>
          <w:i/>
          <w:iCs/>
          <w:color w:val="000000" w:themeColor="text1"/>
          <w:sz w:val="20"/>
          <w:szCs w:val="20"/>
          <w:lang w:val="en-GB"/>
        </w:rPr>
        <w:t>»Nabab«</w:t>
      </w:r>
      <w:r w:rsidRPr="00492F36">
        <w:rPr>
          <w:rFonts w:ascii="Garamond" w:hAnsi="Garamond" w:cs="Arial"/>
          <w:color w:val="000000" w:themeColor="text1"/>
          <w:sz w:val="20"/>
          <w:szCs w:val="20"/>
          <w:lang w:val="en-GB"/>
        </w:rPr>
        <w:t xml:space="preserve"> von </w:t>
      </w:r>
      <w:r w:rsidRPr="00492F36">
        <w:rPr>
          <w:rFonts w:ascii="Garamond" w:hAnsi="Garamond" w:cs="Arial"/>
          <w:i/>
          <w:iCs/>
          <w:color w:val="000000" w:themeColor="text1"/>
          <w:sz w:val="20"/>
          <w:szCs w:val="20"/>
          <w:lang w:val="en-GB"/>
        </w:rPr>
        <w:t>Alph. Daudet</w:t>
      </w:r>
      <w:r w:rsidRPr="00492F36">
        <w:rPr>
          <w:rFonts w:ascii="Garamond" w:hAnsi="Garamond" w:cs="Arial"/>
          <w:color w:val="000000" w:themeColor="text1"/>
          <w:sz w:val="20"/>
          <w:szCs w:val="20"/>
          <w:lang w:val="en-GB"/>
        </w:rPr>
        <w:t xml:space="preserve"> ein, mit welcher der Dichter wahrscheinlich seine eigene Träumerei geschildert. Ich glaubte mich an eine der Phantasien, die dieser Mann – Mr. Jocelyn nannte ich ihn – auf seinen Spaziergängen durch die Strassen von Paris ausbrütet, deutlich zu erinnern und begann sie aus dem Gedächtnis zu reproduzieren. Wie also Herr Jocelyn auf der Strasse sich kühn einem durchgehenden Pferd entgegenwirft, es zum Stehen bringt, der Wagenschlag sich öffnet, eine hohe Persönlichkeit dem Coupé entsteigt, Herrn Jocelyn die Hand drückt und ihm sagt: ›Sie sind mein Retter, Ihnen verdanke ich mein Leben. Was kann ich für Sie tun?‹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Etwaige Ungenauigkeiten in der Wiedergabe dieser Phantasie, tröstete ich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würden sich leicht zuhause verbessern lassen, wenn ich das Buch zur Hand nähme. Als ich dann aber den </w:t>
      </w:r>
      <w:r w:rsidRPr="00492F36">
        <w:rPr>
          <w:rFonts w:ascii="Garamond" w:hAnsi="Garamond" w:cs="Arial"/>
          <w:i/>
          <w:iCs/>
          <w:color w:val="000000" w:themeColor="text1"/>
          <w:sz w:val="20"/>
          <w:szCs w:val="20"/>
          <w:lang w:val="en-GB"/>
        </w:rPr>
        <w:t>»Nabab«</w:t>
      </w:r>
      <w:r w:rsidRPr="00492F36">
        <w:rPr>
          <w:rFonts w:ascii="Garamond" w:hAnsi="Garamond" w:cs="Arial"/>
          <w:color w:val="000000" w:themeColor="text1"/>
          <w:sz w:val="20"/>
          <w:szCs w:val="20"/>
          <w:lang w:val="en-GB"/>
        </w:rPr>
        <w:t xml:space="preserve"> durchblätterte, um die druckbereite Stelle meines Manuskriptes zu vergleichen, fand ich zu meiner größten Beschämung und Bestürzung nichts von einer solchen Träumerei des Herrn Jocelyn darin, ja der arme Buchhalter trug gar nicht diesen Namen, sondern hieß </w:t>
      </w:r>
      <w:r w:rsidRPr="00492F36">
        <w:rPr>
          <w:rFonts w:ascii="Garamond" w:hAnsi="Garamond" w:cs="Arial"/>
          <w:i/>
          <w:iCs/>
          <w:color w:val="000000" w:themeColor="text1"/>
          <w:sz w:val="20"/>
          <w:szCs w:val="20"/>
          <w:lang w:val="en-GB"/>
        </w:rPr>
        <w:t>Mr. Joyeuse</w:t>
      </w:r>
      <w:r w:rsidRPr="00492F36">
        <w:rPr>
          <w:rFonts w:ascii="Garamond" w:hAnsi="Garamond" w:cs="Arial"/>
          <w:color w:val="000000" w:themeColor="text1"/>
          <w:sz w:val="20"/>
          <w:szCs w:val="20"/>
          <w:lang w:val="en-GB"/>
        </w:rPr>
        <w:t xml:space="preserve">. Dieser zweite Irrtum gab dann bald den Schlüssel zur Klärung des ersten, der Erinnerungstäuschung. </w:t>
      </w:r>
      <w:r w:rsidRPr="00492F36">
        <w:rPr>
          <w:rFonts w:ascii="Garamond" w:hAnsi="Garamond" w:cs="Arial"/>
          <w:i/>
          <w:iCs/>
          <w:color w:val="000000" w:themeColor="text1"/>
          <w:sz w:val="20"/>
          <w:szCs w:val="20"/>
          <w:lang w:val="en-GB"/>
        </w:rPr>
        <w:t>Joyeux</w:t>
      </w:r>
      <w:r w:rsidRPr="00492F36">
        <w:rPr>
          <w:rFonts w:ascii="Garamond" w:hAnsi="Garamond" w:cs="Arial"/>
          <w:color w:val="000000" w:themeColor="text1"/>
          <w:sz w:val="20"/>
          <w:szCs w:val="20"/>
          <w:lang w:val="en-GB"/>
        </w:rPr>
        <w:t xml:space="preserve"> (wovon der Name die feminine Form darstellt): so und nicht anders müßte ich ja meinen eigenen Namen: </w:t>
      </w:r>
      <w:r w:rsidRPr="00492F36">
        <w:rPr>
          <w:rFonts w:ascii="Garamond" w:hAnsi="Garamond" w:cs="Arial"/>
          <w:i/>
          <w:iCs/>
          <w:color w:val="000000" w:themeColor="text1"/>
          <w:sz w:val="20"/>
          <w:szCs w:val="20"/>
          <w:lang w:val="en-GB"/>
        </w:rPr>
        <w:t>Freud</w:t>
      </w:r>
      <w:r w:rsidRPr="00492F36">
        <w:rPr>
          <w:rFonts w:ascii="Garamond" w:hAnsi="Garamond" w:cs="Arial"/>
          <w:color w:val="000000" w:themeColor="text1"/>
          <w:sz w:val="20"/>
          <w:szCs w:val="20"/>
          <w:lang w:val="en-GB"/>
        </w:rPr>
        <w:t xml:space="preserve"> ins Französische übersetzen. Woher konnte also die fälschlich erinnerte Phantasie sein, die ich </w:t>
      </w:r>
      <w:r w:rsidRPr="00492F36">
        <w:rPr>
          <w:rFonts w:ascii="Garamond" w:hAnsi="Garamond" w:cs="Arial"/>
          <w:i/>
          <w:iCs/>
          <w:color w:val="000000" w:themeColor="text1"/>
          <w:sz w:val="20"/>
          <w:szCs w:val="20"/>
          <w:lang w:val="en-GB"/>
        </w:rPr>
        <w:t>Daudet</w:t>
      </w:r>
      <w:r w:rsidRPr="00492F36">
        <w:rPr>
          <w:rFonts w:ascii="Garamond" w:hAnsi="Garamond" w:cs="Arial"/>
          <w:color w:val="000000" w:themeColor="text1"/>
          <w:sz w:val="20"/>
          <w:szCs w:val="20"/>
          <w:lang w:val="en-GB"/>
        </w:rPr>
        <w:t xml:space="preserve"> zugeschrieben hatte? Sie konnte nur ein eigenes Produkt sein, ein Tagtraum, den ich selbst gemacht, und der mir nicht bewußt geworden, oder der mir einst bewußt gewesen und den ich seither gründlich vergessen. Vielleicht daß ich ihn selbst in Paris gemacht, wo ich oft genug einsam und voll Sehnsucht durch die Strassen spaziert bin, eines Helfers und Protektors sehr bedürftig, bis Meister </w:t>
      </w:r>
      <w:r w:rsidRPr="00492F36">
        <w:rPr>
          <w:rFonts w:ascii="Garamond" w:hAnsi="Garamond" w:cs="Arial"/>
          <w:i/>
          <w:iCs/>
          <w:color w:val="000000" w:themeColor="text1"/>
          <w:sz w:val="20"/>
          <w:szCs w:val="20"/>
          <w:lang w:val="en-GB"/>
        </w:rPr>
        <w:t>Charcot</w:t>
      </w:r>
      <w:r w:rsidRPr="00492F36">
        <w:rPr>
          <w:rFonts w:ascii="Garamond" w:hAnsi="Garamond" w:cs="Arial"/>
          <w:color w:val="000000" w:themeColor="text1"/>
          <w:sz w:val="20"/>
          <w:szCs w:val="20"/>
          <w:lang w:val="en-GB"/>
        </w:rPr>
        <w:t xml:space="preserve"> mich dann in seinen Verkehr zog. Den Dichter des </w:t>
      </w:r>
      <w:r w:rsidRPr="00492F36">
        <w:rPr>
          <w:rFonts w:ascii="Garamond" w:hAnsi="Garamond" w:cs="Arial"/>
          <w:i/>
          <w:iCs/>
          <w:color w:val="000000" w:themeColor="text1"/>
          <w:sz w:val="20"/>
          <w:szCs w:val="20"/>
          <w:lang w:val="en-GB"/>
        </w:rPr>
        <w:t>»Nabab«</w:t>
      </w:r>
      <w:r w:rsidRPr="00492F36">
        <w:rPr>
          <w:rFonts w:ascii="Garamond" w:hAnsi="Garamond" w:cs="Arial"/>
          <w:color w:val="000000" w:themeColor="text1"/>
          <w:sz w:val="20"/>
          <w:szCs w:val="20"/>
          <w:lang w:val="en-GB"/>
        </w:rPr>
        <w:t xml:space="preserve"> habe ich dann wiederholt im Hause </w:t>
      </w:r>
      <w:r w:rsidRPr="00492F36">
        <w:rPr>
          <w:rFonts w:ascii="Garamond" w:hAnsi="Garamond" w:cs="Arial"/>
          <w:i/>
          <w:iCs/>
          <w:color w:val="000000" w:themeColor="text1"/>
          <w:sz w:val="20"/>
          <w:szCs w:val="20"/>
          <w:lang w:val="en-GB"/>
        </w:rPr>
        <w:t>Charcots</w:t>
      </w:r>
      <w:r w:rsidRPr="00492F36">
        <w:rPr>
          <w:rFonts w:ascii="Garamond" w:hAnsi="Garamond" w:cs="Arial"/>
          <w:color w:val="000000" w:themeColor="text1"/>
          <w:sz w:val="20"/>
          <w:szCs w:val="20"/>
          <w:lang w:val="en-GB"/>
        </w:rPr>
        <w:t xml:space="preserve"> gesehen. Das Ärgerliche an der Sache ist nur, daß ich kaum irgend einem anderen Vorstellungskreis so feindselig gegenüberstehe, wie dem des Protegiertwerdens. Was man in unserem Vaterlande davon sieht, verdirbt einem alle Lust daran, und meinem Charakter sagt die Situation des Protektionskindes überhaupt wenig zu. Ich habe immer ungewöhnlich viel Neigung </w:t>
      </w:r>
      <w:r w:rsidRPr="00492F36">
        <w:rPr>
          <w:rFonts w:ascii="Garamond" w:hAnsi="Garamond" w:cs="Arial"/>
          <w:color w:val="000000" w:themeColor="text1"/>
          <w:sz w:val="20"/>
          <w:szCs w:val="20"/>
          <w:lang w:val="en-GB"/>
        </w:rPr>
        <w:lastRenderedPageBreak/>
        <w:t>dazu verspürt, »selbst der brave Mann zu sein«. Und gerade ich mußte dann an solche, übrigens nie erfüllte, Tagträume gemahnt werden! Ausserdem ist der Vorfall auch ein gutes Beispiel dafür, wie die zurückgehaltene – in der Paranoia siegreich hervorbrechende – Beziehung zum eigenen Ich uns in der objektiven Erfassung der Dinge stört und verwirrt.</w:t>
      </w:r>
    </w:p>
    <w:p w:rsidR="000D4CB9" w:rsidRPr="00492F36" w:rsidRDefault="000D4CB9" w:rsidP="000D4CB9">
      <w:pPr>
        <w:shd w:val="clear" w:color="auto" w:fill="FFFFFF"/>
        <w:spacing w:before="120" w:after="120" w:line="124" w:lineRule="atLeast"/>
        <w:outlineLvl w:val="5"/>
        <w:rPr>
          <w:rFonts w:ascii="Garamond" w:hAnsi="Garamond" w:cs="Arial"/>
          <w:b/>
          <w:bCs/>
          <w:caps/>
          <w:color w:val="000000" w:themeColor="text1"/>
          <w:sz w:val="20"/>
          <w:szCs w:val="20"/>
        </w:rPr>
      </w:pPr>
      <w:r w:rsidRPr="00492F36">
        <w:rPr>
          <w:rFonts w:ascii="Garamond" w:hAnsi="Garamond" w:cs="Arial"/>
          <w:b/>
          <w:bCs/>
          <w:caps/>
          <w:color w:val="000000" w:themeColor="text1"/>
          <w:sz w:val="20"/>
          <w:szCs w:val="20"/>
        </w:rPr>
        <w:t>B. Das Vergessen von Vorsätzen.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rPr>
        <w:t xml:space="preserve">Keine andere Gruppe von Phänomenen eignet sich besser zum Beweis der These, daß die Geringfügigkeit der Aufmerksamkeit für sich allein nicht hinreiche, die Fehlleistung zu erklären, als die des Vergessens von Vorsätzen. </w:t>
      </w:r>
      <w:r w:rsidRPr="00492F36">
        <w:rPr>
          <w:rFonts w:ascii="Garamond" w:hAnsi="Garamond" w:cs="Arial"/>
          <w:color w:val="000000" w:themeColor="text1"/>
          <w:sz w:val="20"/>
          <w:szCs w:val="20"/>
          <w:lang w:val="en-GB"/>
        </w:rPr>
        <w:t xml:space="preserve">Ein Vorsatz ist ein Impuls zur Handlung, der bereits Billigung gefunden hat, dessen Ausführung aber auf einen geeigneten Zeitpunkt verschoben wurde. Nun kann in dem so geschaffenen Intervall allerdings eine derartige Veränderung in den Motiven eintreten, daß der Vorsatz nicht zur Ausführung gelangt, aber dann wird er nicht vergessen, sondern revidiert und aufgehoben. Das Vergessen von Vorsätzen, dem wir alltäglich und in allen möglichen Situationen unterliegen, pflegen wir uns nicht durch eine Neuerung in der Motivengleichung zu erklären, sondern lassen es gemeinhin unerklärt, oder wir suchen eine psychologische Erklärung in der Annahme, gegen die Zeit der Ausführung hin habe sich die erforderliche Aufmerksamkeit für die Handlung nicht mehr bereit gefunden, die doch für das Zustandekommen des Vorsatzes unerläßliche Bedingung war, damals also für die nämliche Handlung zur Verfügung stand. Die Beobachtung unseres normalen Verhaltens gegen Vorsätze läßt uns diesen Erklärungsversuch als willkürlich abweisen. Wenn ich des Morgens einen Vorsatz fasse, der abends ausgeführt werden soll, so kann ich im Laufe des Tages einigemal an ihn gemahnt werden. Er braucht aber tagsüber überhaupt nicht mehr bewußt zu werden. Wenn sich die Zeit der Ausführung nähert, fällt er mir plötzlich ein und veranlaßt </w:t>
      </w:r>
      <w:smartTag w:uri="urn:schemas-microsoft-com:office:smarttags" w:element="State">
        <w:smartTag w:uri="urn:schemas-microsoft-com:office:smarttags" w:element="place">
          <w:r w:rsidRPr="00492F36">
            <w:rPr>
              <w:rFonts w:ascii="Garamond" w:hAnsi="Garamond" w:cs="Arial"/>
              <w:color w:val="000000" w:themeColor="text1"/>
              <w:sz w:val="20"/>
              <w:szCs w:val="20"/>
              <w:lang w:val="en-GB"/>
            </w:rPr>
            <w:t>mich</w:t>
          </w:r>
        </w:smartTag>
      </w:smartTag>
      <w:r w:rsidRPr="00492F36">
        <w:rPr>
          <w:rFonts w:ascii="Garamond" w:hAnsi="Garamond" w:cs="Arial"/>
          <w:color w:val="000000" w:themeColor="text1"/>
          <w:sz w:val="20"/>
          <w:szCs w:val="20"/>
          <w:lang w:val="en-GB"/>
        </w:rPr>
        <w:t xml:space="preserve">, die zur vorgesetzten Handlung nötigen Vorbereitungen zu treffen. Wenn ich auf einen Spaziergang einen Brief mitnehme, welcher noch befördert werden soll, so brauche ich ihn als normales und nicht nervöses Individuum keineswegs die ganze Strecke über in der Hand zu tragen und unterdessen nach einem Briefkasten auszuspähen, in den ich ihn werfe, sondern ich pflege ihn in die Tasche zu stecken, meiner Wege zu gehen, meine Gedanken frei schweifen zu lassen, und ich rechne darauf, daß einer der nächsten Briefkästen meine Aufmerksamkeit erregen und mich veranlassen wird, in die Tasche zu greifen und den Brief hervorzuziehen. Das normale Verhalten bei gefaßtem Vorsatz deckt sich vollkommen mit dem experimentell zu erzeugenden Benehmen von Personen, denen man eine sog. »posthypnotische Suggestion auf lange Sicht« in der Hypnose eingegeben hat. </w:t>
      </w:r>
      <w:hyperlink r:id="rId277"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 xml:space="preserve">Vgl. </w:t>
        </w:r>
        <w:r w:rsidRPr="00492F36">
          <w:rPr>
            <w:rStyle w:val="innerfusslink3"/>
            <w:rFonts w:ascii="Garamond" w:hAnsi="Garamond" w:cs="Arial"/>
            <w:b/>
            <w:bCs/>
            <w:i/>
            <w:iCs/>
            <w:color w:val="000000" w:themeColor="text1"/>
            <w:sz w:val="20"/>
            <w:szCs w:val="20"/>
          </w:rPr>
          <w:t>Bernheim, Neue Studien über Hypnotismus, Suggestion und Psychotherapie, 1892</w:t>
        </w:r>
        <w:r w:rsidRPr="00492F36">
          <w:rPr>
            <w:rStyle w:val="innerfusslink3"/>
            <w:rFonts w:ascii="Garamond" w:hAnsi="Garamond" w:cs="Arial"/>
            <w:b/>
            <w:bCs/>
            <w:color w:val="000000" w:themeColor="text1"/>
            <w:sz w:val="20"/>
            <w:szCs w:val="20"/>
          </w:rPr>
          <w:t>.</w:t>
        </w:r>
      </w:hyperlink>
      <w:r w:rsidRPr="00492F36">
        <w:rPr>
          <w:rFonts w:ascii="Garamond" w:hAnsi="Garamond" w:cs="Arial"/>
          <w:color w:val="000000" w:themeColor="text1"/>
          <w:sz w:val="20"/>
          <w:szCs w:val="20"/>
        </w:rPr>
        <w:t xml:space="preserve"> Man ist gewöhnt, das Phänomen in folgender Art zu beschreiben: Der suggerierte Vorsatz schlummert in den betreffenden Personen, bis die Zeit seiner Ausführung herannaht. Dann wacht er auf und treibt zur Handlung.</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rPr>
        <w:t>In zweierlei Lebenslagen gibt sich auch der Laie Rechenschaft davon, daß das Vergessen in bezug auf Vorsätze keineswegs den Anspruch erheben darf, als ein nicht weiter zurückführbares Elementarphänomen zu gelten, sondern zum Schluß auf uneingestandene Motive berechtigt. Ich meine: im Liebesverhältnis und in der Militärabhängigkeit. Ein Liebhaber, der das Rendezvous versäumt hat, wird sich vergeblich bei seiner Dame entschuldigen, er habe leider ganz daran vergessen. Sie wird nicht versäumen, ihm zu antworten: ›Vor einem Jahr hättest Du es nicht vergessen. Es liegt Dir eben nichts mehr an mir.‹ Selbst wenn er nach der oben erwähnten psychologischen Erklärung griffe und sein Vergessen durch gehäufte Geschäfte entschuldigen wollte, würde er nur erreichen, daß die Dame – so scharfsichtig geworden wie der Arzt in der Psychoanalyse – zur Antwort gäbe: ›Wie merkwürdig, daß sich solche geschäftlichen Störungen früher nicht ereignet haben.‹ Gewiß will auch die Dame die Möglichkeit des Vergessens nicht in Abrede stellen; sie meint nur, und nicht mit Unrecht, aus dem unabsichtlichen Vergessen sei ungefähr der nämliche Schluß auf ein gewisses Nichtwollen zu ziehen wie aus der bewußten Ausflucht.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Ähnlich wird im militärischen Dienstverhältnis der Unterschied zwischen der Unterlassung durch Vergessen und der in Folge von Absicht prinzipiell, und zwar mit Recht, vernachlässigt. Der Soldat </w:t>
      </w:r>
      <w:r w:rsidRPr="00492F36">
        <w:rPr>
          <w:rFonts w:ascii="Garamond" w:hAnsi="Garamond" w:cs="Arial"/>
          <w:i/>
          <w:iCs/>
          <w:color w:val="000000" w:themeColor="text1"/>
          <w:sz w:val="20"/>
          <w:szCs w:val="20"/>
          <w:lang w:val="en-GB"/>
        </w:rPr>
        <w:t>darf</w:t>
      </w:r>
      <w:r w:rsidRPr="00492F36">
        <w:rPr>
          <w:rFonts w:ascii="Garamond" w:hAnsi="Garamond" w:cs="Arial"/>
          <w:color w:val="000000" w:themeColor="text1"/>
          <w:sz w:val="20"/>
          <w:szCs w:val="20"/>
          <w:lang w:val="en-GB"/>
        </w:rPr>
        <w:t xml:space="preserve"> an nichts vergessen, was der militärische Dienst von ihm fordert. Wenn er doch daran vergißt, obwohl ihm die Forderung bekannt ist, so geht dies so zu, daß sich den Motiven, die auf Erfüllung der militärischen Forderung dringen, andere Gegenmotive entgegenstellen. Der Einjährige etwa, der sich beim Rapport entschuldigen wollte, er habe </w:t>
      </w:r>
      <w:r w:rsidRPr="00492F36">
        <w:rPr>
          <w:rFonts w:ascii="Garamond" w:hAnsi="Garamond" w:cs="Arial"/>
          <w:i/>
          <w:iCs/>
          <w:color w:val="000000" w:themeColor="text1"/>
          <w:sz w:val="20"/>
          <w:szCs w:val="20"/>
          <w:lang w:val="en-GB"/>
        </w:rPr>
        <w:t>vergessen</w:t>
      </w:r>
      <w:r w:rsidRPr="00492F36">
        <w:rPr>
          <w:rFonts w:ascii="Garamond" w:hAnsi="Garamond" w:cs="Arial"/>
          <w:color w:val="000000" w:themeColor="text1"/>
          <w:sz w:val="20"/>
          <w:szCs w:val="20"/>
          <w:lang w:val="en-GB"/>
        </w:rPr>
        <w:t>, seine Knöpfe blank zu putzen, ist der Strafe sicher. Aber diese Strafe ist geringfügig zu nennen im Vergleich zu jener, der er sich aussetzte, wenn er das Motiv seiner Unterlassung sich und seinem Vorgesetzten eingestehen würde: ›Der elende Gamaschendienst ist mir ganz zuwider.‹ Wegen dieser Strafersparnis, aus ökonomischen Gründen gleichsam, bedient er sich des Vergessens als Ausrede, oder kommt es als Kompromiß zustande.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Frauendienst wie Militärdienst erheben den Anspruch, daß alles zu ihnen Gehörige dem Vergessen entrückt sein müsse, und erwecken so die Meinung, Vergessen sei zulässig bei unwichtigen Dingen, während es bei wichtigen Dingen ein Anzeichen davon sei, daß man sie wie unwichtige behandeln wolle, ihnen also die Wichtigkeit abspreche. Der Gesichtspunkt der psychischen Wertschätzung ist hier in der Tat nicht abzuweisen. Kein Mensch vergißt Handlungen auszuführen, die ihm selbst wichtig erscheinen, ohne sich dem Verdachte geistiger Störung auszusetzen. Unsere Untersuchung kann sich also nur auf das Vergessen von mehr oder minder nebensächlichen Vorsätzen erstrecken; für ganz und gar gleichgültig werden wir keinen Vorsatz erachten; denn in diesem Falle wäre er wohl gewiß nicht gefaßt worden.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lastRenderedPageBreak/>
        <w:t xml:space="preserve">Ich habe nun wie bei den früheren Funktionsstörungen die bei mir selbst beobachteten Fälle von Unterlassung durch Vergessen gesammelt und aufzuklären gesucht und hierbei ganz allgemein gefunden, daß sie auf Einmengung unbekannter und uneingestandener Motive – oder, wie man sagen kann, auf einen </w:t>
      </w:r>
      <w:r w:rsidRPr="00492F36">
        <w:rPr>
          <w:rFonts w:ascii="Garamond" w:hAnsi="Garamond" w:cs="Arial"/>
          <w:i/>
          <w:iCs/>
          <w:color w:val="000000" w:themeColor="text1"/>
          <w:sz w:val="20"/>
          <w:szCs w:val="20"/>
          <w:lang w:val="en-GB"/>
        </w:rPr>
        <w:t>Gegenwillen</w:t>
      </w:r>
      <w:r w:rsidRPr="00492F36">
        <w:rPr>
          <w:rFonts w:ascii="Garamond" w:hAnsi="Garamond" w:cs="Arial"/>
          <w:color w:val="000000" w:themeColor="text1"/>
          <w:sz w:val="20"/>
          <w:szCs w:val="20"/>
          <w:lang w:val="en-GB"/>
        </w:rPr>
        <w:t xml:space="preserve"> – zurückzuführen waren. In einer Reihe dieser Fälle befand ich mich in einer dem Dienstverhältnisse ähnlichen Lage, unter einem Zwange, gegen welchen ich es nicht ganz aufgegeben hatte, mich zu sträuben, so daß ich durch Vergessen gegen ihn demonstrierte. Dazu gehört, daß ich besonders leicht vergesse, zu Geburtstagen, Jubiläen, Hochzeitsfeiern und Standeserhöhungen zu gratulieren. Ich nehme es mir immer wieder vor und überzeuge mich immer mehr, daß es mir nicht gelingen will. Ich bin jetzt im Begriffe, darauf zu verzichten, und den Motiven, die sich sträuben, mit Bewußtsein Recht zu geben. In einem Übergangsstadium habe ich einem Freund, der mich bat, auch für ihn ein Glückwunschtelegramm zum bestimmten Termin zu besorgen, vorher gesagt, ich würde an beide vergessen, und es war nicht zu verwundern, daß die Prophezeiung wahr wurde. Es hängt nämlich mit schmerzlichen Lebenserfahrungen zusammen, daß ich nicht imstande bin, Anteilnahme zu äußern, wo diese Äußerung notwendigerweise übertrieben ausfallen muß, da für den geringen Betrag meiner Ergriffenheit der entsprechende Ausdruck nicht zulässig ist. Seitdem ich erkannt, daß ich oft vorgebliche Sympathie bei anderen für echte genommen habe, befinde ich mich in einer Auflehnung gegen diese Konventionen der Mitgefühlsbezeugung, deren soziale Nützlichkeit ich andererseits einsehe. Kondolenzen bei Todesfällen sind von dieser zwiespältigen Behandlung ausgenommen; wenn ich mich zu ihnen entschlossen habe, versäume ich sie auch nicht. Wo meine Gefühlsbetätigung mit gesellschaftlicher Pflicht nichts mehr zu tun hat, da findet sie ihren Ausdruck auch niemals durch Vergessen gehemmt.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Ähnlich erklären sich durch den Widerstreit einer konventionellen Pflicht und einer nicht eingestandenen inneren Schätzung die Fälle, in denen man Handlungen auszuführen vergißt, die man einem anderen zu seinen Gunsten auszuführen versprochen hat. Hier trifft es dann regelmäßig zu, daß nur der Versprecher an die entschuldigende Kraft des Vergessens glaubt, während der Bittsteller sich ohne Zweifel die richtige Antwort gibt: Er hat kein Interesse daran, sonst hätte er es nicht vergessen. Es gibt Menschen, die man als allgemein vergeßlich bezeichnet und darum in ähnlicher Weise als entschuldigt gelten läßt wie etwa den Kurzsichtigen, wenn er auf der Strasse nicht grüßt. </w:t>
      </w:r>
      <w:hyperlink r:id="rId278"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 xml:space="preserve">Frauen sind mit ihrem feinen Verständnis für unbewußte seelische Vorgänge in der Regel eher geneigt, es als Beleidigung anzusehen, wenn man sie auf der Strasse nicht erkennt, also nicht grüßt, als an die nächstliegenden Erklärungen zu denken, daß der Säumige kurzsichtig sei oder in Gedanken versunken sie nicht bemerkt habe. </w:t>
        </w:r>
        <w:r w:rsidRPr="00492F36">
          <w:rPr>
            <w:rStyle w:val="innerfusslink3"/>
            <w:rFonts w:ascii="Garamond" w:hAnsi="Garamond" w:cs="Arial"/>
            <w:b/>
            <w:bCs/>
            <w:color w:val="000000" w:themeColor="text1"/>
            <w:sz w:val="20"/>
            <w:szCs w:val="20"/>
            <w:lang w:val="en-GB"/>
          </w:rPr>
          <w:t>Sie schliessen, man hätte sie schon bemerkt, wenn man sich ›etwas aus ihnen machen würde‹.</w:t>
        </w:r>
      </w:hyperlink>
      <w:r w:rsidRPr="00492F36">
        <w:rPr>
          <w:rFonts w:ascii="Garamond" w:hAnsi="Garamond" w:cs="Arial"/>
          <w:color w:val="000000" w:themeColor="text1"/>
          <w:sz w:val="20"/>
          <w:szCs w:val="20"/>
          <w:lang w:val="en-GB"/>
        </w:rPr>
        <w:t xml:space="preserve"> Diese Personen vergessen alle kleinen Versprechungen, die sie gegeben, lassen alle Aufträge unausgeführt, die sie empfangen haben, erweisen sich also in kleinen Dingen als unverläßlich und erheben dabei die Forderung, daß man ihnen diese kleineren Verstöße nicht übel nehmen, d. h. nicht durch ihren Charakter erklären, sondern auf organische Eigentümlichkeit zurückführen solle. Ich gehöre selbst nicht zu diesen Leuten und habe keine Gelegenheit gehabt, die Handlungen einer solchen Person zu analysieren, um durch die Auswahl des Vergessens die Motivierung desselben aufzudecken. Ich kann mich aber der Vermutung </w:t>
      </w:r>
      <w:r w:rsidRPr="00492F36">
        <w:rPr>
          <w:rFonts w:ascii="Garamond" w:hAnsi="Garamond" w:cs="Arial"/>
          <w:i/>
          <w:iCs/>
          <w:color w:val="000000" w:themeColor="text1"/>
          <w:sz w:val="20"/>
          <w:szCs w:val="20"/>
          <w:lang w:val="en-GB"/>
        </w:rPr>
        <w:t>per analogiam</w:t>
      </w:r>
      <w:r w:rsidRPr="00492F36">
        <w:rPr>
          <w:rFonts w:ascii="Garamond" w:hAnsi="Garamond" w:cs="Arial"/>
          <w:color w:val="000000" w:themeColor="text1"/>
          <w:sz w:val="20"/>
          <w:szCs w:val="20"/>
          <w:lang w:val="en-GB"/>
        </w:rPr>
        <w:t xml:space="preserve"> nicht erwehren, daß hier ein ungewöhnlich grosses Maß von nicht eingestandener Geringschätzung des anderen das Motiv ist, welches das konstitutionelle Moment für seine Zwecke ausbeutet.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Bei anderen Fällen sind die Motive des Vergessens weniger leicht aufzufinden und erregen, wenn gefunden, ein größeres Befremden. So merkte ich in früheren Jahren, daß ich bei einer größeren Anzahl von Krankenbesuchen nie an einen anderen Besuch vergesse als bei einem Gratispatienten oder bei einem Kollegen. Aus Beschämung hierüber habe ich mir angewöhnt, die Besuche des Tages schon am Morgen als Vorsatz zu notieren. Ich weiß nicht, ob andere Ärzte auf dem nämlichen Wege zu der gleichen Übung gekommen sind. Aber man gewinnt so eine Ahnung davon, was den sog. Neurastheniker veranlaßt, die Mitteilungen, die er dem Arzt machen will, auf dem berüchtigten »Zettel« zu notieren. Angeblich fehlt es ihm an Zutrauen zur Reproduktionsleistung seines Gedächtnisses. Das ist gewiß richtig, aber die Szene geht zumeist so vor sich: Der Kranke hat seine verschiedenen Beschwerden und Anfragen höchst langatmig vorgebracht. Nachdem er fertig geworden ist, macht er einen Moment Pause, darauf zieht er den Zettel hervor und sagt entschuldigend: Ich habe mir etwas aufgeschrieben, weil ich mir so gar nichts merke. In der Regel findet er auf dem Zettel nichts Neues. Er wiederholt jeden Punkt und beantwortet ihn selbst: Ja, darnach habe ich schon gefragt. Er demonstriert mit dem Zettel, wahrscheinlich nur eines seiner Symptome, die Häufigkeit, mit der seine Vorsätze durch Einmengung dunkler Motive gestört werden.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rühre ferner an Leiden, an welchen auch der grössere Teil der mir bekannten Gesunden krankt, wenn ich zugestehe, daß ich besonders in früheren Jahren sehr leicht und für lange Zeit vergessen habe, entlehnte Bücher zurückzugeben, oder daß es mir besonders leicht begegnet, Zahlungen durch Vergessen aufzuschieben. Unlängst verließ ich eines Morgens die Tabaktrafik, in welcher ich meinen täglichen Zigarreneinkauf gemacht hatte, ohne ihn zu bezahlen. Es war eine höchst harmlose Unterlassung, denn ich bin dort bekannt und konnte daher erwarten, am nächsten Tag an die Schuld gemahnt zu werden. Aber die kleine Versäumnis, der Versuch, Schulden zu machen, steht gewiß nicht ausser Zusammenhang mit den Budgeterwägungen, die mich den Vortag über beschäftigt hatten. In bezug auf das Thema von Geld und Besitz lassen sich die Spuren eines zwiespältigen Verhaltens auch bei den meisten sog. anständigen Menschen leicht nachweisen. Die primitive Gier des Säuglings, der sich aller Objekte zu bemächtigen sucht (um sie zum Munde zu führen), zeigt sich vielleicht allgemein als nur unvollständig durch Kultur </w:t>
      </w:r>
      <w:r w:rsidRPr="00492F36">
        <w:rPr>
          <w:rFonts w:ascii="Garamond" w:hAnsi="Garamond" w:cs="Arial"/>
          <w:color w:val="000000" w:themeColor="text1"/>
          <w:sz w:val="20"/>
          <w:szCs w:val="20"/>
          <w:lang w:val="en-GB"/>
        </w:rPr>
        <w:lastRenderedPageBreak/>
        <w:t xml:space="preserve">und Erziehung überwunden. </w:t>
      </w:r>
      <w:hyperlink r:id="rId279"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 xml:space="preserve">Der Einheit des Themas zuliebe darf ich hier die gewählte Einteilung durchbrechen und dem oben Gesagten anschließen, daß in bezug auf Geldsachen das Gedächtnis der Menschen eine besondere Parteilichkeit zeigt. </w:t>
        </w:r>
        <w:r w:rsidRPr="00492F36">
          <w:rPr>
            <w:rStyle w:val="innerfusslink3"/>
            <w:rFonts w:ascii="Garamond" w:hAnsi="Garamond" w:cs="Arial"/>
            <w:b/>
            <w:bCs/>
            <w:color w:val="000000" w:themeColor="text1"/>
            <w:sz w:val="20"/>
            <w:szCs w:val="20"/>
            <w:lang w:val="en-GB"/>
          </w:rPr>
          <w:t>Erinnerungstäuschungen, etwas bereits bezahlt zu haben, sind, wie ich von mir selbst weiß, oft sehr hartnäckig. Wo der gewinnsüchtigen Absicht abseits von den grossen Interessen der Lebensführung, und daher eigentlich zum Scherz, freier Lauf gelassen wird wie beim Kartenspiel, neigen die ehrlichsten Männer zu Irrtümern, Erinnerungs- und Rechenfehlern und finden sich selbst, ohne recht zu wissen wie, in kleine Betrügereien verwickelt. Auf solchen Freiheiten beruht nicht zum mindesten der psychisch erfrischende Charakter des Spiels. Das Sprichwort, daß man beim Spiel den Charakter des Menschen erkennt, ist zuzugeben, wenn man hinzufügen will: den unterdrückten Charakter. – Wenn es unabsichtliche Rechenfehler bei Zahlkellnern noch gibt, so unterliegen sie offenbar derselben Beurteilung. – Im Kaufmannsstande kann man häufig eine gewisse Zögerung in der Verausgabung von Geldsummen, bei der Bezahlung von Rechnungen und dgl. beobachten, die dem Eigner keinen Gewinn bringt, sondern nur psychologisch zu verstehen ist als eine Äußerung des Gegenwillens, Geld von sich zu tun. – Mit den intimsten und am wenigsten klar gewordenen Regungen hängt es zusammen, wenn gerade Frauen eine besondere Unlust zeigen, den Arzt zu honorieren. Sie haben gewöhnlich ihr Portemonnaie vergessen, können darum in der Ordination nicht zahlen, vergessen dann regelmäßig, das Honorar vom Hause aus zu schicken, und setzen es so durch, daß man sie umsonst – ›um ihrer schönen Augen willen‹ – behandelt hat. Sie zahlen gleichsam mit ihrem Anblick.</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fürchte, ich bin mit allen bisherigen Beispielen einfach </w:t>
      </w:r>
      <w:r w:rsidRPr="00492F36">
        <w:rPr>
          <w:rFonts w:ascii="Garamond" w:hAnsi="Garamond" w:cs="Arial"/>
          <w:i/>
          <w:iCs/>
          <w:color w:val="000000" w:themeColor="text1"/>
          <w:sz w:val="20"/>
          <w:szCs w:val="20"/>
          <w:lang w:val="en-GB"/>
        </w:rPr>
        <w:t>banal</w:t>
      </w:r>
      <w:r w:rsidRPr="00492F36">
        <w:rPr>
          <w:rFonts w:ascii="Garamond" w:hAnsi="Garamond" w:cs="Arial"/>
          <w:color w:val="000000" w:themeColor="text1"/>
          <w:sz w:val="20"/>
          <w:szCs w:val="20"/>
          <w:lang w:val="en-GB"/>
        </w:rPr>
        <w:t xml:space="preserve"> geworden. Es kann mir aber doch nur recht sein, wenn ich auf Dinge stoße, die jedermann bekannt sind, und die jeder in der nämlichen Weise versteht, da ich bloß vorhabe, das Alltägliche zu sammeln und wissenschaftlich zu verwerten. Ich sehe nicht ein, weshalb der Weisheit, die Niederschlag der gemeinen Lebenserfahrung ist, die Aufnahme unter die Erwerbungen der Wissenschaft versagt sein sollte. Nicht die Verschiedenheit der Objekte, sondern die strengere Methode bei der Feststellung und das Streben nach weitreichendem Zusammenhang machen den wesentlichen Charakter der wissenschaftlichen Arbeit aus.</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Für die Vorsätze von einigem Belang haben wir allgemein gefunden, daß sie dann vergessen werden, wenn sich dunkle Motive gegen sie erheben. Bei noch weniger wichtigen Vorsätzen erkennt man als zweiten Mechanismus des Vergessens, daß ein Gegenwille sich von wo anders her auf den Vorsatz überträgt, nachdem zwischen jenem andern und dem Inhalt des Vorsatzes eine </w:t>
      </w:r>
      <w:r w:rsidRPr="00492F36">
        <w:rPr>
          <w:rFonts w:ascii="Garamond" w:hAnsi="Garamond" w:cs="Arial"/>
          <w:i/>
          <w:iCs/>
          <w:color w:val="000000" w:themeColor="text1"/>
          <w:sz w:val="20"/>
          <w:szCs w:val="20"/>
          <w:lang w:val="en-GB"/>
        </w:rPr>
        <w:t>äußerliche</w:t>
      </w:r>
      <w:r w:rsidRPr="00492F36">
        <w:rPr>
          <w:rFonts w:ascii="Garamond" w:hAnsi="Garamond" w:cs="Arial"/>
          <w:color w:val="000000" w:themeColor="text1"/>
          <w:sz w:val="20"/>
          <w:szCs w:val="20"/>
          <w:lang w:val="en-GB"/>
        </w:rPr>
        <w:t xml:space="preserve"> Assoziation hergestellt worden ist. Hierzu gehört folgendes Beispiel: Ich lege Wert auf schönes Löschpapier und nehme mir vor, auf meinem heutigen Nachmittagsweg in die Stadt neues einzukaufen. Aber an vier aufeinanderfolgenden Tagen vergesse ich daran, bis ich mich befrage, welchen Grund diese Unterlassung hat. Ich finde ihn dann leicht, nachdem ich mich besonnen habe, daß ich zwar »Löschpapier« zu schreiben, aber »Fliesspapier« zu sagen gewöhnt bin. » </w:t>
      </w:r>
      <w:r w:rsidRPr="00492F36">
        <w:rPr>
          <w:rFonts w:ascii="Garamond" w:hAnsi="Garamond" w:cs="Arial"/>
          <w:i/>
          <w:iCs/>
          <w:color w:val="000000" w:themeColor="text1"/>
          <w:sz w:val="20"/>
          <w:szCs w:val="20"/>
          <w:lang w:val="en-GB"/>
        </w:rPr>
        <w:t>Fliess</w:t>
      </w:r>
      <w:r w:rsidRPr="00492F36">
        <w:rPr>
          <w:rFonts w:ascii="Garamond" w:hAnsi="Garamond" w:cs="Arial"/>
          <w:color w:val="000000" w:themeColor="text1"/>
          <w:sz w:val="20"/>
          <w:szCs w:val="20"/>
          <w:lang w:val="en-GB"/>
        </w:rPr>
        <w:t>« ist der Name meines Freundes in Berlin, der mir in den nämlichen Tagen Anlaß zu einem quälenden, besorgten Gedanken gegeben hat. Diesen Gedanken kann ich nicht los werden, aber die Abwehrneigung (vgl. Seite 39) äußert sich, indem sie sich mittelst der Wortgleichheit auf den indifferenten und darum wenig resistenten Vorsatz überträgt.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Direkter Gegenwille und entferntere Motivierung treffen in folgendem Falle von Aufschub zusammen: In der Sammlung </w:t>
      </w:r>
      <w:r w:rsidRPr="00492F36">
        <w:rPr>
          <w:rFonts w:ascii="Garamond" w:hAnsi="Garamond" w:cs="Arial"/>
          <w:i/>
          <w:iCs/>
          <w:color w:val="000000" w:themeColor="text1"/>
          <w:sz w:val="20"/>
          <w:szCs w:val="20"/>
          <w:lang w:val="en-GB"/>
        </w:rPr>
        <w:t>»Grenzfragen des Nerven- und Seelenlebens«</w:t>
      </w:r>
      <w:r w:rsidRPr="00492F36">
        <w:rPr>
          <w:rFonts w:ascii="Garamond" w:hAnsi="Garamond" w:cs="Arial"/>
          <w:color w:val="000000" w:themeColor="text1"/>
          <w:sz w:val="20"/>
          <w:szCs w:val="20"/>
          <w:lang w:val="en-GB"/>
        </w:rPr>
        <w:t xml:space="preserve"> hatte ich eine kurze Abhandlung über den Traum geschrieben, welche den Inhalt meiner </w:t>
      </w:r>
      <w:r w:rsidRPr="00492F36">
        <w:rPr>
          <w:rFonts w:ascii="Garamond" w:hAnsi="Garamond" w:cs="Arial"/>
          <w:i/>
          <w:iCs/>
          <w:color w:val="000000" w:themeColor="text1"/>
          <w:sz w:val="20"/>
          <w:szCs w:val="20"/>
          <w:lang w:val="en-GB"/>
        </w:rPr>
        <w:t>»Traumdeutung«</w:t>
      </w:r>
      <w:r w:rsidRPr="00492F36">
        <w:rPr>
          <w:rFonts w:ascii="Garamond" w:hAnsi="Garamond" w:cs="Arial"/>
          <w:color w:val="000000" w:themeColor="text1"/>
          <w:sz w:val="20"/>
          <w:szCs w:val="20"/>
          <w:lang w:val="en-GB"/>
        </w:rPr>
        <w:t xml:space="preserve"> resümiert. </w:t>
      </w:r>
      <w:r w:rsidRPr="00492F36">
        <w:rPr>
          <w:rFonts w:ascii="Garamond" w:hAnsi="Garamond" w:cs="Arial"/>
          <w:i/>
          <w:iCs/>
          <w:color w:val="000000" w:themeColor="text1"/>
          <w:sz w:val="20"/>
          <w:szCs w:val="20"/>
          <w:lang w:val="en-GB"/>
        </w:rPr>
        <w:t>Bergmann</w:t>
      </w:r>
      <w:r w:rsidRPr="00492F36">
        <w:rPr>
          <w:rFonts w:ascii="Garamond" w:hAnsi="Garamond" w:cs="Arial"/>
          <w:color w:val="000000" w:themeColor="text1"/>
          <w:sz w:val="20"/>
          <w:szCs w:val="20"/>
          <w:lang w:val="en-GB"/>
        </w:rPr>
        <w:t xml:space="preserve"> in Wiesbaden sendet eine Korrektur und bittet um umgehende Erledigung, weil er das Heft noch vor Weihnachten ausgeben will. Ich mache die Korrektur noch in der Nacht und lege sie auf meinen Schreibtisch, um sie am nächsten Morgen mitzunehmen. Am Morgen vergesse ich daran, erinnere mich erst nachmittags beim Anblick des Kreuzbandes auf meinem Schreibtisch. Ebenso vergesse ich die Korrektur am Nachmittag, am Abend und am nächsten Morgen, bis ich mich aufraffe und am Nachmittag des zweiten Tages die Korrektur zu einem Briefkasten trage, verwundert, was der Grund dieser Verzögerung sein mag. Ich will sie offenbar nicht absenden, aber ich finde nicht, warum. Auf demselben Spaziergang trete ich aber bei meinem Wiener Verleger, der auch das Traumbuch publiziert hat, ein, mache eine Bestellung und sage dann, wie von einem plötzlichen Einfall getrieben: ›Sie wissen doch, daß ich den </w:t>
      </w:r>
      <w:r w:rsidRPr="00492F36">
        <w:rPr>
          <w:rFonts w:ascii="Garamond" w:hAnsi="Garamond" w:cs="Arial"/>
          <w:i/>
          <w:iCs/>
          <w:color w:val="000000" w:themeColor="text1"/>
          <w:sz w:val="20"/>
          <w:szCs w:val="20"/>
          <w:lang w:val="en-GB"/>
        </w:rPr>
        <w:t>»Traum«</w:t>
      </w:r>
      <w:r w:rsidRPr="00492F36">
        <w:rPr>
          <w:rFonts w:ascii="Garamond" w:hAnsi="Garamond" w:cs="Arial"/>
          <w:color w:val="000000" w:themeColor="text1"/>
          <w:sz w:val="20"/>
          <w:szCs w:val="20"/>
          <w:lang w:val="en-GB"/>
        </w:rPr>
        <w:t xml:space="preserve"> ein zweites Mal geschrieben habe?‹ – ›Ah, da würde ich doch bitten.‹ – ›Beruhigen Sie sich, nur ein kurzer Aufsatz für die </w:t>
      </w:r>
      <w:r w:rsidRPr="00492F36">
        <w:rPr>
          <w:rFonts w:ascii="Garamond" w:hAnsi="Garamond" w:cs="Arial"/>
          <w:i/>
          <w:iCs/>
          <w:color w:val="000000" w:themeColor="text1"/>
          <w:sz w:val="20"/>
          <w:szCs w:val="20"/>
          <w:lang w:val="en-GB"/>
        </w:rPr>
        <w:t>Löwenfeld-Kurella</w:t>
      </w:r>
      <w:r w:rsidRPr="00492F36">
        <w:rPr>
          <w:rFonts w:ascii="Garamond" w:hAnsi="Garamond" w:cs="Arial"/>
          <w:color w:val="000000" w:themeColor="text1"/>
          <w:sz w:val="20"/>
          <w:szCs w:val="20"/>
          <w:lang w:val="en-GB"/>
        </w:rPr>
        <w:t xml:space="preserve">sche Sammlung.‹ Es war ihm aber doch nicht recht; er besorgte, der Vortrag würde dem Absatz des Buches schaden. Ich widersprach und fragte endlich: ›Wenn ich mich früher an Sie gewendet hätte, würden Sie mir die Publikation untersagt haben?‹ – ›Nein, das keineswegs.‹ Ich glaube selbst, daß ich in meinem vollen Recht gehandelt und nichts Anderes getan habe, als was allgemein üblich ist; doch scheint es mir gewiß, daß ein ähnliches Bedenken, wie es der Verleger äußerte, das Motiv meiner Zögerung war, die Korrektur abzusenden. Dies Bedenken geht auf eine frühere Gelegenheit zurück, bei welcher ein anderer Verleger Schwierigkeiten erhob, als ich, wie unvermeidlich, einige Blätter Text aus einer früheren, in anderem Verlag erschienenen Arbeit über zerebrale Kinderlähmung unverändert in die Bearbeitung desselben Themas im Handbuch von </w:t>
      </w:r>
      <w:r w:rsidRPr="00492F36">
        <w:rPr>
          <w:rFonts w:ascii="Garamond" w:hAnsi="Garamond" w:cs="Arial"/>
          <w:i/>
          <w:iCs/>
          <w:color w:val="000000" w:themeColor="text1"/>
          <w:sz w:val="20"/>
          <w:szCs w:val="20"/>
          <w:lang w:val="en-GB"/>
        </w:rPr>
        <w:t>Nothnagel</w:t>
      </w:r>
      <w:r w:rsidRPr="00492F36">
        <w:rPr>
          <w:rFonts w:ascii="Garamond" w:hAnsi="Garamond" w:cs="Arial"/>
          <w:color w:val="000000" w:themeColor="text1"/>
          <w:sz w:val="20"/>
          <w:szCs w:val="20"/>
          <w:lang w:val="en-GB"/>
        </w:rPr>
        <w:t xml:space="preserve"> hinübernahm. Dort findet aber der Vorwurf abermals keine Anerkennung; ich hatte auch damals meinen ersten Verleger (identisch mit dem der </w:t>
      </w:r>
      <w:r w:rsidRPr="00492F36">
        <w:rPr>
          <w:rFonts w:ascii="Garamond" w:hAnsi="Garamond" w:cs="Arial"/>
          <w:i/>
          <w:iCs/>
          <w:color w:val="000000" w:themeColor="text1"/>
          <w:sz w:val="20"/>
          <w:szCs w:val="20"/>
          <w:lang w:val="en-GB"/>
        </w:rPr>
        <w:t>»Traumdeutung«</w:t>
      </w:r>
      <w:r w:rsidRPr="00492F36">
        <w:rPr>
          <w:rFonts w:ascii="Garamond" w:hAnsi="Garamond" w:cs="Arial"/>
          <w:color w:val="000000" w:themeColor="text1"/>
          <w:sz w:val="20"/>
          <w:szCs w:val="20"/>
          <w:lang w:val="en-GB"/>
        </w:rPr>
        <w:t xml:space="preserve">) loyal von meiner Absicht verständigt. Wenn aber diese Erinnerungsreihe noch weiter zurückgeht, so rückt sie mir einen noch früheren Anlaß vor, den einer Übersetzung aus dem Französischen, bei welchem ich wirklich die bei einer Publikation in Betracht kommenden Eigentumsrechte verletzt habe. Ich hatte dem übersetzten Text Anmerkungen beigefügt, ohne </w:t>
      </w:r>
      <w:r w:rsidRPr="00492F36">
        <w:rPr>
          <w:rFonts w:ascii="Garamond" w:hAnsi="Garamond" w:cs="Arial"/>
          <w:color w:val="000000" w:themeColor="text1"/>
          <w:sz w:val="20"/>
          <w:szCs w:val="20"/>
          <w:lang w:val="en-GB"/>
        </w:rPr>
        <w:lastRenderedPageBreak/>
        <w:t>für diese Anmerkungen die Erlaubnis des Autors nachgesucht zu haben, und habe einige Jahre später Grund zur Annahme bekommen, daß der Autor mit dieser Eigenmächtigkeit unzufrieden war.</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Es gibt ein Sprichwort, welches die populäre Kenntnis verrät, daß das Vergessen von Vorsätzen nichts Zufälliges ist. »Was man einmal zu tun vergessen hat, das vergißt man dann noch öfter.«</w:t>
      </w:r>
    </w:p>
    <w:p w:rsidR="007D5EBB" w:rsidRDefault="007D5EBB">
      <w:pPr>
        <w:rPr>
          <w:rFonts w:ascii="Garamond" w:hAnsi="Garamond" w:cs="Arial"/>
          <w:b/>
          <w:bCs/>
          <w:color w:val="000000" w:themeColor="text1"/>
          <w:sz w:val="20"/>
          <w:szCs w:val="20"/>
          <w:lang w:val="en-GB"/>
        </w:rPr>
      </w:pPr>
      <w:r>
        <w:rPr>
          <w:rFonts w:ascii="Garamond" w:hAnsi="Garamond" w:cs="Arial"/>
          <w:b/>
          <w:bCs/>
          <w:color w:val="000000" w:themeColor="text1"/>
          <w:sz w:val="20"/>
          <w:szCs w:val="20"/>
          <w:lang w:val="en-GB"/>
        </w:rPr>
        <w:br w:type="page"/>
      </w:r>
    </w:p>
    <w:p w:rsidR="000D4CB9" w:rsidRPr="00492F36" w:rsidRDefault="00B437A1" w:rsidP="007D5EBB">
      <w:pPr>
        <w:shd w:val="clear" w:color="auto" w:fill="FFFFFF"/>
        <w:spacing w:before="44" w:after="44" w:line="124" w:lineRule="atLeast"/>
        <w:outlineLvl w:val="4"/>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VII.</w:t>
        </w:r>
        <w:r w:rsidR="007D5EBB" w:rsidRPr="007D5EBB">
          <w:rPr>
            <w:rStyle w:val="Lienhypertexte"/>
            <w:rFonts w:ascii="Garamond" w:hAnsi="Garamond" w:cs="Arial"/>
            <w:b/>
            <w:bCs/>
            <w:sz w:val="20"/>
            <w:szCs w:val="20"/>
            <w:lang w:val="en-GB"/>
          </w:rPr>
          <w:t xml:space="preserve">  </w:t>
        </w:r>
        <w:r w:rsidR="000D4CB9" w:rsidRPr="007D5EBB">
          <w:rPr>
            <w:rStyle w:val="Lienhypertexte"/>
            <w:rFonts w:ascii="Garamond" w:hAnsi="Garamond" w:cs="Arial"/>
            <w:b/>
            <w:bCs/>
            <w:sz w:val="20"/>
            <w:szCs w:val="20"/>
            <w:lang w:val="en-GB"/>
          </w:rPr>
          <w:t>Da</w:t>
        </w:r>
        <w:bookmarkStart w:id="94" w:name="Alltagslebens_7"/>
        <w:bookmarkEnd w:id="94"/>
        <w:r w:rsidR="000D4CB9" w:rsidRPr="007D5EBB">
          <w:rPr>
            <w:rStyle w:val="Lienhypertexte"/>
            <w:rFonts w:ascii="Garamond" w:hAnsi="Garamond" w:cs="Arial"/>
            <w:b/>
            <w:bCs/>
            <w:sz w:val="20"/>
            <w:szCs w:val="20"/>
            <w:lang w:val="en-GB"/>
          </w:rPr>
          <w:t>s Vergreifen.</w:t>
        </w:r>
      </w:hyperlink>
      <w:r w:rsidR="007D5EBB">
        <w:rPr>
          <w:rFonts w:ascii="Garamond" w:hAnsi="Garamond" w:cs="Arial"/>
          <w:b/>
          <w:bCs/>
          <w:color w:val="000000" w:themeColor="text1"/>
          <w:sz w:val="20"/>
          <w:szCs w:val="20"/>
          <w:lang w:val="en-GB"/>
        </w:rPr>
        <w:t xml:space="preserve">  </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Der dankenswerten Arbeit von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Mayer</w:t>
      </w:r>
      <w:r w:rsidRPr="00492F36">
        <w:rPr>
          <w:rFonts w:ascii="Garamond" w:hAnsi="Garamond" w:cs="Arial"/>
          <w:color w:val="000000" w:themeColor="text1"/>
          <w:sz w:val="20"/>
          <w:szCs w:val="20"/>
          <w:lang w:val="en-GB"/>
        </w:rPr>
        <w:t xml:space="preserve"> entnehme ich noch die Stelle ( </w:t>
      </w:r>
      <w:r w:rsidRPr="00492F36">
        <w:rPr>
          <w:rFonts w:ascii="Garamond" w:hAnsi="Garamond" w:cs="Arial"/>
          <w:i/>
          <w:iCs/>
          <w:color w:val="000000" w:themeColor="text1"/>
          <w:sz w:val="20"/>
          <w:szCs w:val="20"/>
          <w:lang w:val="en-GB"/>
        </w:rPr>
        <w:t>p. 98</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»Die Sprechfehler stehen nicht ganz allein da. Sie entsprechen den Fehlern, die bei anderen Tätigkeiten des Menschen sich oft einstellen und ziemlich töricht »Vergeßlichkeiten« genannt werden.«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Ich bin also keinesfalls der erste, der Sinn und Absicht hinter den kleinen Funktionsstörungen des täglichen Lebens Gesunder vermutet.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Wenn die Fehler beim Sprechen, das ja eine motorische Leistung ist, eine solche Auffassung zugelassen haben, so liegt es nahe, auf die Fehler unserer sonstigen motorischen Verrichtungen die nämliche Erwartung zu übertragen. Ich habe hier zwei Gruppen von Fällen gebildet; alle die Fälle, in denen der Fehleffekt das Wesentliche scheint, also die Abirrung von der Intention, bezeichne ich als » </w:t>
      </w:r>
      <w:r w:rsidRPr="00492F36">
        <w:rPr>
          <w:rFonts w:ascii="Garamond" w:hAnsi="Garamond" w:cs="Arial"/>
          <w:i/>
          <w:iCs/>
          <w:color w:val="000000" w:themeColor="text1"/>
          <w:sz w:val="20"/>
          <w:szCs w:val="20"/>
          <w:lang w:val="en-GB"/>
        </w:rPr>
        <w:t>Vergreifen</w:t>
      </w:r>
      <w:r w:rsidRPr="00492F36">
        <w:rPr>
          <w:rFonts w:ascii="Garamond" w:hAnsi="Garamond" w:cs="Arial"/>
          <w:color w:val="000000" w:themeColor="text1"/>
          <w:sz w:val="20"/>
          <w:szCs w:val="20"/>
          <w:lang w:val="en-GB"/>
        </w:rPr>
        <w:t xml:space="preserve">«, die anderen, in denen eher die ganze Handlung unzweckmäßig erscheint, benenne ich » </w:t>
      </w:r>
      <w:r w:rsidRPr="00492F36">
        <w:rPr>
          <w:rFonts w:ascii="Garamond" w:hAnsi="Garamond" w:cs="Arial"/>
          <w:i/>
          <w:iCs/>
          <w:color w:val="000000" w:themeColor="text1"/>
          <w:sz w:val="20"/>
          <w:szCs w:val="20"/>
          <w:lang w:val="en-GB"/>
        </w:rPr>
        <w:t>Symptom- und Zufallshandlungen</w:t>
      </w:r>
      <w:r w:rsidRPr="00492F36">
        <w:rPr>
          <w:rFonts w:ascii="Garamond" w:hAnsi="Garamond" w:cs="Arial"/>
          <w:color w:val="000000" w:themeColor="text1"/>
          <w:sz w:val="20"/>
          <w:szCs w:val="20"/>
          <w:lang w:val="en-GB"/>
        </w:rPr>
        <w:t>«. Die Scheidung ist aber wiederum nicht reinlich durchzuführen; wir kommen ja wohl zur Einsicht, daß alle in dieser Abhandlung gebrauchten Einteilungen nur deskriptiv bedeutsame sind und der inneren Einheit des Erscheinungsgebietes widersprechen.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Das psychologische Verständnis des »Vergreifens« erfährt offenbar keine besondere Förderung, wenn wir es der Ataxie und speziell der »kortikalen Ataxie« subsumieren. Versuchen wir lieber, die einzelnen Beispiele auf ihre jeweiligen Bedingungen zurückzuführen. Ich werde wiederum Selbstbeobachtungen hierzu verwenden, zu denen sich die Anlässe bei mir nicht besonders häufig finden.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1) In früheren Jahren, als ich Hausbesuche bei Patienten noch häufiger machte als gegenwärtig, geschah es mir oft, daß ich, vor der Türe, an die ich klopfen oder läuten sollte, angekommen, die Schlüssel meiner eigenen Wohnung aus der Tasche zog, um – sie dann fast beschämt wieder einzustecken. Wenn ich mir zusammenstelle, bei welchen Patienten dies der Fall war, so muß ich annehmen, die Fehlhandlung – Schlüssel herausziehen anstatt zu läuten – bedeutete eine Huldigung für das Haus, wo ich in diesen Mißgriff verfiel. Sie war äquivalent dem Gedanken: »Hier bin ich wie zu Hause«, denn sie trug sich nur zu, wo ich den Kranken lieb gewonnen hatte. (An meiner eigenen Wohnungstür läute ich natürlich niemals.) Die Fehlhandlung war also eine symbolische Darstellung eines doch eigentlich nicht für ernsthafte, bewußte Annahme bestimmten Gedankens, denn in der Realität weiß der Nervenarzt genau, daß der Kranke ihm nur so lange anhänglich bleibt, als er noch Vorteil von ihm erwartet, und daß er selbst nur zum Zweck der psychischen Hilfeleistung ein übermäßig warmes Interesse für seine Patienten bei sich gewähren läßt.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2) In einem bestimmten Hause, wo ich seit sechs Jahren zweimal täglich zu festgesetzten Zeiten vor einer Türe im zweiten Stock auf Einlaß warte, ist es mir während dieses langen Zeitraums zweimal (mit einem kurzen Intervall) geschehen, daß ich um einen Stock höher gegangen bin, also mich » </w:t>
      </w:r>
      <w:r w:rsidRPr="00492F36">
        <w:rPr>
          <w:rFonts w:ascii="Garamond" w:hAnsi="Garamond" w:cs="Arial"/>
          <w:i/>
          <w:iCs/>
          <w:color w:val="000000" w:themeColor="text1"/>
          <w:sz w:val="20"/>
          <w:szCs w:val="20"/>
          <w:lang w:val="en-GB"/>
        </w:rPr>
        <w:t>verstiegen</w:t>
      </w:r>
      <w:r w:rsidRPr="00492F36">
        <w:rPr>
          <w:rFonts w:ascii="Garamond" w:hAnsi="Garamond" w:cs="Arial"/>
          <w:color w:val="000000" w:themeColor="text1"/>
          <w:sz w:val="20"/>
          <w:szCs w:val="20"/>
          <w:lang w:val="en-GB"/>
        </w:rPr>
        <w:t xml:space="preserve">« habe. Das eine mal befand ich mich in einem ehrgeizigen Tagtraum, der mich »höher und immer höher steigen« liess. Ich überhörte damals sogar, daß sich die fragliche Tür geöffnet hatte, als ich den Fuß auf die ersten Stufen des dritten Stockwerks setzte. Das anderemal ging ich wiederum »in Gedanken versunken« zu weit; als ich es bemerkte, umkehrte und die mich beherrschende Phantasie zu erhaschen suchte, fand ich, daß ich mich über eine (phantasierte) Kritik meiner Schriften ärgerte, in welcher mir der Vorwurf gemacht wurde, daß ich immer »zu weit ginge«, und in die ich nun den wenig respektvollen Ausdruck » </w:t>
      </w:r>
      <w:r w:rsidRPr="00492F36">
        <w:rPr>
          <w:rFonts w:ascii="Garamond" w:hAnsi="Garamond" w:cs="Arial"/>
          <w:i/>
          <w:iCs/>
          <w:color w:val="000000" w:themeColor="text1"/>
          <w:sz w:val="20"/>
          <w:szCs w:val="20"/>
          <w:lang w:val="en-GB"/>
        </w:rPr>
        <w:t>verstiegen</w:t>
      </w:r>
      <w:r w:rsidRPr="00492F36">
        <w:rPr>
          <w:rFonts w:ascii="Garamond" w:hAnsi="Garamond" w:cs="Arial"/>
          <w:color w:val="000000" w:themeColor="text1"/>
          <w:sz w:val="20"/>
          <w:szCs w:val="20"/>
          <w:lang w:val="en-GB"/>
        </w:rPr>
        <w:t>« einzusetzen hatte.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3) Auf meinem Schreibtische liegen seit vielen Jahren neben einander ein Reflexhammer und eine Stimmgabel. Eines Tages eile ich nach Schluß der Sprechstunde fort, weil ich einen bestimmten Stadtbahnzug erreichen will, stecke bei vollem Tageslicht anstatt des Hammers die Stimmgabel in die Rocktasche und werde durch die Schwere des die Tasche herabziehenden Gegenstandes auf meinen Mißgriff aufmerksam gemacht. Wer sich über so kleine Vorkommnisse Gedanken zu machen nicht gewöhnt ist, wird ohne Zweifel den Fehlgriff durch die Eile des Momentes erklären und entschuldigen. Ich habe es trotzdem vorgezogen, mir die Frage zu stellen, warum ich eigentlich die Stimmgabel anstatt des Hammers genommen. Die Eilfertigkeit hätte ebensowohl ein Motiv sein können, den Griff richtig auszuführen, um nicht Zeit mit der Korrektur zu versäumen.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Wer hat zuletzt nach der Stimmgabel gegriffen? lautet die Frage, die sich mir da aufdrängt. Das war vor wenigen Tagen ein </w:t>
      </w:r>
      <w:r w:rsidRPr="00492F36">
        <w:rPr>
          <w:rFonts w:ascii="Garamond" w:hAnsi="Garamond" w:cs="Arial"/>
          <w:i/>
          <w:iCs/>
          <w:color w:val="000000" w:themeColor="text1"/>
          <w:sz w:val="20"/>
          <w:szCs w:val="20"/>
          <w:lang w:val="en-GB"/>
        </w:rPr>
        <w:t>idiotisches</w:t>
      </w:r>
      <w:r w:rsidRPr="00492F36">
        <w:rPr>
          <w:rFonts w:ascii="Garamond" w:hAnsi="Garamond" w:cs="Arial"/>
          <w:color w:val="000000" w:themeColor="text1"/>
          <w:sz w:val="20"/>
          <w:szCs w:val="20"/>
          <w:lang w:val="en-GB"/>
        </w:rPr>
        <w:t xml:space="preserve"> Kind, bei dem ich die Aufmerksamkeit auf Sinneseindrücke prüfte, und das durch die Stimmgabel so gefesselt wurde, daß ich sie ihm nur schwer entreißen konnte. Soll das also heissen, ich sei ein Idiot? Allerdings scheint es so, denn der nächste Einfall, der sich an Hammer assoziiert, lautet » </w:t>
      </w:r>
      <w:r w:rsidRPr="00492F36">
        <w:rPr>
          <w:rFonts w:ascii="Garamond" w:hAnsi="Garamond" w:cs="Arial"/>
          <w:i/>
          <w:iCs/>
          <w:color w:val="000000" w:themeColor="text1"/>
          <w:sz w:val="20"/>
          <w:szCs w:val="20"/>
          <w:lang w:val="en-GB"/>
        </w:rPr>
        <w:t>Chamer</w:t>
      </w:r>
      <w:r w:rsidRPr="00492F36">
        <w:rPr>
          <w:rFonts w:ascii="Garamond" w:hAnsi="Garamond" w:cs="Arial"/>
          <w:color w:val="000000" w:themeColor="text1"/>
          <w:sz w:val="20"/>
          <w:szCs w:val="20"/>
          <w:lang w:val="en-GB"/>
        </w:rPr>
        <w:t>« (hebräisch: Esel).</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Was soll aber dieses Geschimpfe? Man muß hier die Situation befragen. Ich eile zu einer Konsultation in einem Ort an der Westbahnstrecke, zu einer Kranken, die nach der brieflich mitgeteilten Anamnese vor Monaten vom Balkon herabgestürzt ist und seither nicht gehen kann. Der Arzt, der mich einlädt, schreibt, er wisse trotzdem nicht, ob es sich um Rückenmarksverletzung oder um traumatische Neurose – Hysterie – handle. Das soll ich nun entscheiden. Da wäre also eine Mahnung am Platze, in der heiklen Differentialdiagnose besonders vorsichtig zu sein. Die Kollegen meinen ohnedies, man diagnostiziere viel zu leichtsinnig Hysterie, wo es sich um ernstere Dinge handle. Aber die Beschimpfung ist noch nicht gerechtfertigt! Ja, es kommt hinzu, daß die kleine Bahnstation der nämliche </w:t>
      </w:r>
      <w:r w:rsidRPr="00492F36">
        <w:rPr>
          <w:rFonts w:ascii="Garamond" w:hAnsi="Garamond" w:cs="Arial"/>
          <w:color w:val="000000" w:themeColor="text1"/>
          <w:sz w:val="20"/>
          <w:szCs w:val="20"/>
          <w:lang w:val="en-GB"/>
        </w:rPr>
        <w:lastRenderedPageBreak/>
        <w:t>Ort ist, an dem ich vor Jahren einen jungen Mann gesehen, der seit einer Gemütsbewegung nicht ordentlich gehen konnte. Ich diagnostizierte damals Hysterie und nahm den Kranken später in psychische Behandlung, und dann stellte es sich heraus, daß ich freilich nicht unrichtig diagnostiziert hatte, aber auch nicht richtig. Eine ganze Anzahl der Symptome des Kranken war hysterisch gewesen, und diese schwanden auch prompt im Laufe der Behandlung. Aber hinter diesen wurde nun ein für die Therapie unantastbarer Rest sichtbar, der sich nur auf eine multiple Sklerose beziehen liess. Die den Kranken nach mir sahen, hatten es leicht, die organische Affektion zu erkennen; ich hätte kaum anders vorgehen und anders urteilen können, aber der Eindruck war doch der eines schweren Irrtums; das Versprechen der Heilung, das ich ihm gegeben hatte, war natürlich nicht zu halten. Der Mißgriff nach der Stimmgabel anstatt nach dem Hammer ließ sich also so in Worte übersetzen: Du Trottel, Du Esel, nimm Dich diesmal zusammen, daß du nicht wieder eine Hysterie diagnostizierst, wo eine unheilbare Krankheit vorliegt, wie bei dem armen Mann an demselben Ort vor Jahren! Und zum Glück für diese kleine Analyse, wenn auch zum Unglück für meine Stimmung, war dieser selbe Mann mit schwerer spastischer Lähmung wenige Tage vorher und einen Tag nach dem idiotischen Kind in meiner Sprechstunde gewesen.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Man merkt, es ist diesmal die Stimme der Selbstkritik, die sich durch das Fehlgreifen vernehmlich macht. Zu solcher Verwendung als Selbstvorwurf ist der Fehlgriff ganz besonders geeignet. Der Mißgriff hier will den Mißgriff, den man anderswo begangen hat, darstellen.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4) Selbstverständlich kann das Fehlgreifen auch einer ganzen Reihe anderer dunkler Absichten dienen. Hier ein erstes Beispiel: Es kommt sehr selten vor, daß ich etwas zerschlage. Ich bin nicht besonders geschickt, aber infolge der anatomischen Integrität meiner Nervmuskelapparate sind Gründe für so ungeschickte Bewegungen mit unerwünschtem Erfolg bei mir offenbar nicht gegeben. Ich weiß also kein Objekt in meinem Hause zu erinnern, dessengleichen ich je zerschlagen hätte. Ich bin durch die Enge in meinem Studierzimmer oft genötigt, in den unbequemsten Stellungen mit einer Anzahl von antiken Ton- und Steinsachen, von denen ich eine kleine Sammlung habe, zu hantieren, so daß Zuschauer die Besorgnis ausdrücken, ich würde etwas herunterschleudern und zerschlagen. Es ist aber niemals geschehen. Warum habe ich also unlängst den marmornen Deckel meines einfachen Tintengefäßes zu Boden geworfen, so daß er zerbrach?</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Mein Tintenzeug besteht aus einer Platte von Untersberger Marmor, die für die Aufnahme des gläsernen Tintenfäßchens ausgehöhlt ist; das Tintenfaß trägt einen Deckel mit Knopf aus demselben Stein. Ein Kranz von Bronzestatuetten und Terrakotta-Figürchen ist hinter diesem Tintenzeug aufgestellt. Ich setze mich an den Tisch, um zu schreiben, mache mit der Hand, welche den Federstiel hält, eine merkwürdig ungeschickte, ausfahrende Bewegung und werfe so den Deckel des Tintenfasses, der bereits auf dem Tische lag, zu Boden. Die Erklärung ist nicht schwer zu finden. Einige Stunden vorher war meine Schwester im Zimmer gewesen, um sich einige neue Erwerbungen anzusehen. Sie fand sie sehr schön und äußerte dann: ›Jetzt sieht Dein Schreibtisch wirklich hübsch aus, nur das Tintenzeug paßt nicht dazu. Du mußt ein schöneres haben.‹ Ich begleitete die Schwester hinaus und kam erst nach Stunden zurück. Dann aber habe ich, wie es scheint, an dem verurteilten Tintenzeug die Exekution vollzogen. Schloß ich etwa aus den Worten der Schwester, daß sie sich vorgenommen habe, mich zur nächsten festlichen Gelegenheit mit einem schöneren Tintenzeug zu beschenken, und zerschlug das unschöne alte, um sie zur Verwirklichung ihrer angedeuteten Absicht zu nötigen? Wenn dem so ist, so war meine schleudernde Bewegung nur scheinbar ungeschickt; in Wirklichkeit war sie höchst geschickt und zielbewußt und verstand es, allen wertvolleren in der Nähe befindlichen Objekten schonend auszuweichen.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Ich glaube wirklich, daß man diese Beurteilung für eine ganze Reihe von anscheinend zufällig ungeschickten Bewegungen annehmen muß. Es ist richtig, daß diese etwas Gewaltsames, Schleuderndes, wie Spastisch-ataktisches zur Schau tragen, aber sie erweisen sich als von einer Intention beherrscht und treffen ihr Ziel mit einer Sicherheit, die man den bewußt willkürlichen Bewegungen nicht allgemein nachrühmen kann. Beide Charaktere, die Gewaltsamkeit wie die Treffsicherheit, haben sie übrigens mit den motorischen Äußerungen der hysterischen Neurose und zum Teil auch mit den motorischen Leistungen des Somnambulismus gemeinsam, was wohl hier wie dort auf die nämliche unbekannte Modifikation des Innervationsvorganges hinweist.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Das Fallenlassen von Objekten, Umwerfen, Zerschlagen derselben scheint sehr häufig zum Ausdruck unbewußter Gedankengänge verwendet zu werden, wie man gelegentlich durch Analyse beweisen kann, häufiger aber aus den abergläubisch oder scherzhaft daran geknüpften Deutungen im Volksmunde erraten möchte. Es ist bekannt, welche Deutungen sich an das Ausschütten von Salz, Umwerfen eines Weinglases, Steckenbleiben eines zu Boden gefallenen Messers u. dgl. knüpfen. Welches Anrecht auf Beachtung solche abergläubische Deutungen haben, werde ich erst an späterer Stelle erörtern; hierher gehört nur die Bemerkung, daß die einzelne ungeschickte Verrichtung keineswegs einen konstanten Sinn hat, sondern je nach Umständen sich dieser oder jener Absicht als Darstellungsmittel bietet.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Wenn dienende Personen gebrechliche Gegenstände durch Fallenlassen vernichten, so wird man an eine psychologische Erklärung hiefür gewiß nicht in erster Linie denken, doch ist auch dabei ein Beitrag dunkler Motive nicht unwahrscheinlich. Nichts liegt dem Ungebildeten ferner als die Schätzung der Kunst und der Kunstwerke. Eine dumpfe Feindseligkeit gegen deren Erzeugnisse beherrscht unser dienendes Volk, zumal wenn die Gegenstände, deren Wert sie nicht einsehen, eine Quelle von Arbeitsanforderung für sie werden. Leute von derselben Bildungsstufe und Herkunft zeichnen sich dagegen in wissenschaftlichen Instituten oft durch grosse Geschicklichkeit </w:t>
      </w:r>
      <w:r w:rsidRPr="00492F36">
        <w:rPr>
          <w:rFonts w:ascii="Garamond" w:hAnsi="Garamond" w:cs="Arial"/>
          <w:color w:val="000000" w:themeColor="text1"/>
          <w:sz w:val="20"/>
          <w:szCs w:val="20"/>
          <w:lang w:val="en-GB"/>
        </w:rPr>
        <w:lastRenderedPageBreak/>
        <w:t>und Verläßlichkeit in der Handhabung heikler Objekte aus, wenn sie erst begonnen haben, sich mit ihrem Herrn zu identifizieren und sich zum wesentlichen Personal des Instituts zu rechnen.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Sich selbst fallen lassen, einen Fehltritt machen, ausgleiten, braucht gleichfalls nicht immer als rein zufälliges Fehlschlagen motorischer Aktion gedeutet zu werden. Der sprachliche Doppelsinn dieser Ausdrücke weist bereits auf die Art von verhaltenen Phantasien hin, die sich durch solches Aufgeben des Körpergleichgewichts darstellen können. Ich erinnere mich an eine Anzahl von leichteren nervösen Erkrankungen bei Frauen und Mädchen, die nach einem Fall ohne Verletzung aufgetreten waren und als traumatische Hysterie zufolge des Schrecks beim Falle aufgefaßt wurden. Ich bekam schon damals den Eindruck, als ob die Dinge anders zusammenhingen, als wäre das Fallen bereits eine Veranstaltung der Neurose und ein Ausdruck derselben unbewußten Phantasien sexuellen Inhalts gewesen, die man als die bewegenden Kräfte hinter den Symptomen vermuten darf. Sollte dasselbe nicht auch ein Sprichwort sagen wollen, welches lautet: ›Wenn eine Jungfrau fällt, fällt sie auf den Rücken‹?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5) Daß zufällige Aktionen eigentlich absichtliche sind, wird auf keinem anderen Gebiete eher Glauben finden als auf dem der sexuellen Betätigung, wo die Grenze zwischen beiderlei Arten sich wirklich zu verwischen scheint. Daß eine scheinbar ungeschickte Bewegung höchst raffiniert zu sexuellen Zwecken ausgenutzt werden kann, davon habe ich vor einigen Jahren an mir selbst ein schönes Beispiel erlebt. Ich traf in einem befreundeten Hause ein als Gast angelangtes junges Mädchen, welches ein längst für erloschen gehaltenes Wohlgefallen bei mir erregte und mich darum heiter, gesprächig und zuvorkommend stimmte. Ich habe damals auch nachgeforscht, auf welchen Bahnen dies zuging; ein Jahr vorher hatte dasselbe Mädchen mich kühl gelassen. Als nun der Onkel des Mädchens, ein sehr alter Herr, ins Zimmer trat, sprangen wir beide auf, um ihm einen in der Ecke stehenden Stuhl zu bringen. Sie war behender als ich, wohl auch dem Objekt näher; so hatte sie sich zuerst des Sessels bemächtigt und trug ihn mit der Lehne nach rückwärts, beide Hände auf die Sesselränder gelegt, vor sich hin. Indem ich später hinzutrat und den Anspruch, den Sessel zu tragen, doch nicht aufgab, stand ich plötzlich dicht hinter ihr, hatte beide Arme von rückwärts um sie geschlungen, und die Hände trafen sich einen Moment lang vor ihrem Schoß. Ich löste natürlich die Situation ebenso rasch, als sie entstanden war. Es schien auch keinem aufzufallen, wie geschickt ich diese ungeschickte Bewegung ausgebeutet hatte.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Gelegentlich habe ich mir auch sagen müssen, daß das ärgerliche, ungeschickte Ausweichen auf der Strasse, wobei man durch einige Sekunden hin und her, aber doch stets nach der nämlichen Seite wie der oder die Andere, Schritte macht, bis endlich beide vor einander stehen bleiben, daß auch dieses »den Weg Vertreten« ein unartig provozierendes Benehmen früherer Jahre wiederholt und sexuelle Absichten unter der Maske der Ungeschicklichkeit verfolgt. Aus meinen Psychoanalysen Neurotischer weiß ich, daß die sogenannte Naivität junger Leute und Kinder häufig nur solch eine Maske ist, um das Unanständige unbeirrt durch Genieren aussprechen oder tun zu können.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6) Die Effekte, die durch das Fehlgreifen normaler Menschen zustande kommen, sind in der Regel von harmlosester Art. Gerade darum wird sich ein besonderes Interesse an die Frage knüpfen, ob Fehlgriffe von erheblicher Tragweite, die von bedeutsamen Folgen begleitet sein können, wie z. B. die des Arztes oder Apothekers, nach irgend einer Richtung unter unsere Gesichtspunkte fallen.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Da ich sehr selten in die Lage komme, ärztliche Eingriffe vorzunehmen, habe ich nur über ein Beispiel von ärztlichem Vergreifen aus eigener Erfahrung zu berichten. Bei einer sehr alten Dame, die ich seit Jahren zweimal täglich besuche, beschränkt sich meine ärztliche Tätigkeit beim Morgenbesuch auf zwei Akte: ich träufle ihr ein paar Tropfen Augenwasser ins Auge und gebe ihr eine Morphiuminjektion. Zwei Fläschchen, ein blaues für das Kollyrium und ein weißes mit der Morphinlösung, sind regelmäßig vorbereitet. Während der beiden Verrichtungen beschäftigen sich meine Gedanken wohl meist mit etwas anderem; das hat sich eben schon so oft wiederholt, daß die Aufmerksamkeit sich wie frei benimmt. Eines Morgens bemerkte ich, daß der Automat falsch gearbeitet hatte, das Tropfröhrchen hatte ins weiße anstatt ins blaue Fläschchen eingetaucht und nicht Kollyrium, sondern Morphin ins Auge geträufelt. Ich erschrak heftig und beruhigte mich dann durch die Überlegung, daß einige Tropfen einer zweiprozentigen Morphinlösung auch im Bindehautsack kein Unheil anzurichten vermögen. Die Schreckempfindung war offenbar anderswoher abzuleiten.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Bei dem Versuch, den kleinen Fehlgriff zu analysieren, fiel mir zunächst die Phrase ein: ›sich an der Alten vergreifen‹, die den kurzen Weg zur Lösung weisen konnte. Ich stand unter dem Eindrucke eines Traumes, den mir am Abend vorher ein junger Mann erzählt hatte, dessen Inhalt sich nur auf sexuellen Verkehr mit der eigenen Mutter deuten ließ. </w:t>
      </w:r>
      <w:hyperlink r:id="rId280"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 xml:space="preserve">Des </w:t>
        </w:r>
        <w:r w:rsidRPr="00492F36">
          <w:rPr>
            <w:rStyle w:val="innerfusslink3"/>
            <w:rFonts w:ascii="Garamond" w:hAnsi="Garamond" w:cs="Arial"/>
            <w:b/>
            <w:bCs/>
            <w:i/>
            <w:iCs/>
            <w:color w:val="000000" w:themeColor="text1"/>
            <w:sz w:val="20"/>
            <w:szCs w:val="20"/>
          </w:rPr>
          <w:t>Oedipus-Traumes</w:t>
        </w:r>
        <w:r w:rsidRPr="00492F36">
          <w:rPr>
            <w:rStyle w:val="innerfusslink3"/>
            <w:rFonts w:ascii="Garamond" w:hAnsi="Garamond" w:cs="Arial"/>
            <w:b/>
            <w:bCs/>
            <w:color w:val="000000" w:themeColor="text1"/>
            <w:sz w:val="20"/>
            <w:szCs w:val="20"/>
          </w:rPr>
          <w:t xml:space="preserve">, wie ich ihn zu nennen pflege, weil er den Schlüssel zum Verständnis der Sage von König Oedipus enthält. Im Text des Sophokles ist die Beziehung auf einen solchen Traum der Jokaste in den Mund gelegt. (Vgl. </w:t>
        </w:r>
        <w:r w:rsidRPr="00492F36">
          <w:rPr>
            <w:rStyle w:val="innerfusslink3"/>
            <w:rFonts w:ascii="Garamond" w:hAnsi="Garamond" w:cs="Arial"/>
            <w:b/>
            <w:bCs/>
            <w:i/>
            <w:iCs/>
            <w:color w:val="000000" w:themeColor="text1"/>
            <w:sz w:val="20"/>
            <w:szCs w:val="20"/>
          </w:rPr>
          <w:t>›Traumdeutung‹, p. 182</w:t>
        </w:r>
        <w:r w:rsidRPr="00492F36">
          <w:rPr>
            <w:rStyle w:val="innerfusslink3"/>
            <w:rFonts w:ascii="Garamond" w:hAnsi="Garamond" w:cs="Arial"/>
            <w:b/>
            <w:bCs/>
            <w:color w:val="000000" w:themeColor="text1"/>
            <w:sz w:val="20"/>
            <w:szCs w:val="20"/>
          </w:rPr>
          <w:t>.)</w:t>
        </w:r>
      </w:hyperlink>
      <w:r w:rsidRPr="00492F36">
        <w:rPr>
          <w:rFonts w:ascii="Garamond" w:hAnsi="Garamond" w:cs="Arial"/>
          <w:color w:val="000000" w:themeColor="text1"/>
          <w:sz w:val="20"/>
          <w:szCs w:val="20"/>
        </w:rPr>
        <w:t xml:space="preserve"> Die Sonderbarkeit, daß die Sage keinen Anstoß an dem Alter der Königin Jokaste nimmt, schien mir gut zu dem Ergebnis zu stimmen, daß es sich bei der Verliebtheit in die eigene Mutter niemals um deren gegenwärtige Person handelt, sondern um ihr jugendliches Erinnerungsbild aus den Kinderjahren. </w:t>
      </w:r>
      <w:r w:rsidRPr="00492F36">
        <w:rPr>
          <w:rFonts w:ascii="Garamond" w:hAnsi="Garamond" w:cs="Arial"/>
          <w:color w:val="000000" w:themeColor="text1"/>
          <w:sz w:val="20"/>
          <w:szCs w:val="20"/>
          <w:lang w:val="en-GB"/>
        </w:rPr>
        <w:t xml:space="preserve">Solche Inkongruenzen stellen sich immer heraus, wo eine zwischen zwei Zeiten schwankende Phantasie bewußt gemacht und dadurch an eine bestimmte Zeit gebunden wird. In Gedanken solcher Art versunken kam ich zu meiner über neunzigjährigen Patientin, und ich muß wohl auf dem Wege gewesen sein, den allgemein menschlichen Charakter der Oedipusfabel als das Korrelat des Verhängnisses, das sich in den Orakeln äußert, zu erfassen, denn ich vergriff mich dann ›bei oder an der Alten‹. Indes dies Vergreifen war wiederum </w:t>
      </w:r>
      <w:r w:rsidRPr="00492F36">
        <w:rPr>
          <w:rFonts w:ascii="Garamond" w:hAnsi="Garamond" w:cs="Arial"/>
          <w:color w:val="000000" w:themeColor="text1"/>
          <w:sz w:val="20"/>
          <w:szCs w:val="20"/>
          <w:lang w:val="en-GB"/>
        </w:rPr>
        <w:lastRenderedPageBreak/>
        <w:t>harmlos; ich hatte von den beiden möglichen Irrtümern, die Morphinlösung fürs Auge zu verwenden, oder das Augenwasser zur Injektion zu nehmen, den bei weitem harmloseren gewählt. Es bleibt immer noch die Frage, ob man bei Fehlgriffen, die schweren Schaden stiften können, in ähnlicher Weise wie bei den hier behandelten eine unbewußte Absicht in Erwägung ziehen darf.</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Hier läßt mich denn, wie zu erwarten steht, das Material im Stiche, und ich bleibe auf Vermutungen und Annäherungen angewiesen. Es ist bekannt, daß bei den schwereren Fällen von Psychoneurose Selbstbeschädigungen gelegentlich als Krankheitssymptome auftreten, und daß der Ausgang des psychischen Konfliktes in Selbstmord bei ihnen niemals auszuschließen ist. Ich habe nun erfahren, und werde es eines Tages durch gut aufgeklärte Beispiele belegen, daß viele scheinbar zufällige Schädigungen, die solche Kranke treffen, eigentlich Selbstbeschädigungen sind, indem eine beständig lauernde Tendenz zur Selbstbestrafung, die sich sonst als Selbstvorwurf äußert, oder ihren Beitrag zur Symptombildung stellt, eine zufällig gebotene äußere Situation geschickt ausnützt, oder ihr etwa noch bis zur Erreichung des gewünschten schädigenden Effektes nachhilft. Solche Vorkommnisse sind auch bei mittelschweren Fällen keineswegs selten, und sie verraten den Anteil der unbewußten Absicht durch eine Reihe von besonderen Zügen, z. B. durch die auffällige Fassung, welche die Kranken bei dem angeblichen Unglücksfalle bewahren.</w:t>
      </w:r>
    </w:p>
    <w:p w:rsidR="000D4CB9" w:rsidRPr="000D4CB9"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0D4CB9">
        <w:rPr>
          <w:rFonts w:ascii="Garamond" w:hAnsi="Garamond" w:cs="Arial"/>
          <w:color w:val="000000" w:themeColor="text1"/>
          <w:sz w:val="20"/>
          <w:szCs w:val="20"/>
          <w:lang w:val="en-GB"/>
        </w:rPr>
        <w:t>Wer an das Vorkommen von halb absichtlicher Selbstbeschädigung – wenn der ungeschickte Ausdruck gestattet ist – glaubt, der wird dadurch vorbereitet anzunehmen, daß es ausser dem bewußt absichtlichen Selbstmord auch halb absichtliche Selbstvernichtung – mit unbewußter Absicht – gibt, die eine Lebensbedrohung geschickt auszunützen und sie als zufällige Verunglückung zu maskieren weiß. Eine solche braucht keineswegs selten zu sein. Denn die Tendenz zur Selbstvernichtung ist bei sehr viel mehr Menschen in einer gewissen Stärke vorhanden, als bei denen sie sich durchsetzt; die Selbstbeschädigungen sind in der Regel ein Kompromiß zwischen diesem Trieb und den ihm noch entgegenwirkenden Kräften, und auch wo es wirklich zum Selbstmord kommt, da ist die Neigung dazu eine lange Zeit vorher in geringerer Stärke oder als unbewußte und unterdrückte Tendenz vorhanden gewesen.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0D4CB9">
        <w:rPr>
          <w:rFonts w:ascii="Garamond" w:hAnsi="Garamond" w:cs="Arial"/>
          <w:color w:val="000000" w:themeColor="text1"/>
          <w:sz w:val="20"/>
          <w:szCs w:val="20"/>
          <w:lang w:val="en-GB"/>
        </w:rPr>
        <w:t xml:space="preserve">Auch die bewußte Selbstmordabsicht wählt ihre Zeit, Mittel und Gelegenheit: es ist ganz im Einklang damit, wenn die unbewußte einen Anlaß abwartet, der einen Teil der Verursachung auf sich nehmen und sie durch Inanspruchnahme der Abwehrkräfte des Individuums von ihrer Bedrückung frei machen kann. </w:t>
      </w:r>
      <w:hyperlink r:id="rId281"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 xml:space="preserve">Der Fall ist dann schliesslich kein anderer als der des sexuellen Attentats auf eine Frau, bei dem der Angriff des Mannes nicht durch die volle Muskelkraft des Weibes abgewehrt werden kann, weil ihm ein Teil der unbewußten Regungen der Angegriffenen fördernd entgegen kommt. Man sagt ja wohl, eine solche Situation </w:t>
        </w:r>
        <w:r w:rsidRPr="00492F36">
          <w:rPr>
            <w:rStyle w:val="innerfusslink3"/>
            <w:rFonts w:ascii="Garamond" w:hAnsi="Garamond" w:cs="Arial"/>
            <w:b/>
            <w:bCs/>
            <w:i/>
            <w:iCs/>
            <w:color w:val="000000" w:themeColor="text1"/>
            <w:sz w:val="20"/>
            <w:szCs w:val="20"/>
          </w:rPr>
          <w:t>lähme</w:t>
        </w:r>
        <w:r w:rsidRPr="00492F36">
          <w:rPr>
            <w:rStyle w:val="innerfusslink3"/>
            <w:rFonts w:ascii="Garamond" w:hAnsi="Garamond" w:cs="Arial"/>
            <w:b/>
            <w:bCs/>
            <w:color w:val="000000" w:themeColor="text1"/>
            <w:sz w:val="20"/>
            <w:szCs w:val="20"/>
          </w:rPr>
          <w:t xml:space="preserve"> die Kräfte der Frau; man braucht dann nur noch die Gründe für diese Schwächung hinzufügen. Insofern ist der geistreiche Richterspruch des </w:t>
        </w:r>
        <w:r w:rsidRPr="00492F36">
          <w:rPr>
            <w:rStyle w:val="innerfusslink3"/>
            <w:rFonts w:ascii="Garamond" w:hAnsi="Garamond" w:cs="Arial"/>
            <w:b/>
            <w:bCs/>
            <w:i/>
            <w:iCs/>
            <w:color w:val="000000" w:themeColor="text1"/>
            <w:sz w:val="20"/>
            <w:szCs w:val="20"/>
          </w:rPr>
          <w:t>Sancho Pansa</w:t>
        </w:r>
        <w:r w:rsidRPr="00492F36">
          <w:rPr>
            <w:rStyle w:val="innerfusslink3"/>
            <w:rFonts w:ascii="Garamond" w:hAnsi="Garamond" w:cs="Arial"/>
            <w:b/>
            <w:bCs/>
            <w:color w:val="000000" w:themeColor="text1"/>
            <w:sz w:val="20"/>
            <w:szCs w:val="20"/>
          </w:rPr>
          <w:t xml:space="preserve">, den er als Gouverneur auf seiner Insel fällt, psychologisch ungerecht. ( </w:t>
        </w:r>
        <w:r w:rsidRPr="00492F36">
          <w:rPr>
            <w:rStyle w:val="innerfusslink3"/>
            <w:rFonts w:ascii="Garamond" w:hAnsi="Garamond" w:cs="Arial"/>
            <w:b/>
            <w:bCs/>
            <w:i/>
            <w:iCs/>
            <w:color w:val="000000" w:themeColor="text1"/>
            <w:sz w:val="20"/>
            <w:szCs w:val="20"/>
          </w:rPr>
          <w:t>Don Quijote II. T. Kap. XLV.</w:t>
        </w:r>
        <w:r w:rsidRPr="00492F36">
          <w:rPr>
            <w:rStyle w:val="innerfusslink3"/>
            <w:rFonts w:ascii="Garamond" w:hAnsi="Garamond" w:cs="Arial"/>
            <w:b/>
            <w:bCs/>
            <w:color w:val="000000" w:themeColor="text1"/>
            <w:sz w:val="20"/>
            <w:szCs w:val="20"/>
          </w:rPr>
          <w:t xml:space="preserve">) </w:t>
        </w:r>
        <w:r w:rsidRPr="00492F36">
          <w:rPr>
            <w:rStyle w:val="innerfusslink3"/>
            <w:rFonts w:ascii="Garamond" w:hAnsi="Garamond" w:cs="Arial"/>
            <w:b/>
            <w:bCs/>
            <w:color w:val="000000" w:themeColor="text1"/>
            <w:sz w:val="20"/>
            <w:szCs w:val="20"/>
            <w:lang w:val="en-GB"/>
          </w:rPr>
          <w:t xml:space="preserve">Eine Frau zerrt einen Mann vor den Richter, der sie angeblich gewaltsam ihrer Ehre beraubt hat. </w:t>
        </w:r>
        <w:r w:rsidRPr="00492F36">
          <w:rPr>
            <w:rStyle w:val="innerfusslink3"/>
            <w:rFonts w:ascii="Garamond" w:hAnsi="Garamond" w:cs="Arial"/>
            <w:b/>
            <w:bCs/>
            <w:i/>
            <w:iCs/>
            <w:color w:val="000000" w:themeColor="text1"/>
            <w:sz w:val="20"/>
            <w:szCs w:val="20"/>
            <w:lang w:val="en-GB"/>
          </w:rPr>
          <w:t>Sancho</w:t>
        </w:r>
        <w:r w:rsidRPr="00492F36">
          <w:rPr>
            <w:rStyle w:val="innerfusslink3"/>
            <w:rFonts w:ascii="Garamond" w:hAnsi="Garamond" w:cs="Arial"/>
            <w:b/>
            <w:bCs/>
            <w:color w:val="000000" w:themeColor="text1"/>
            <w:sz w:val="20"/>
            <w:szCs w:val="20"/>
            <w:lang w:val="en-GB"/>
          </w:rPr>
          <w:t xml:space="preserve"> entschädigt sie durch die volle Geldbörse, die er dem Angeklagten abnimmt, und gibt diesem nach dem Abgange der Frau die Erlaubnis, ihr nachzueilen und ihr die Börse wieder zu entreißen. Sie kommen beide ringend wieder, und die Frau berühmt sich, daß der Bösewicht nicht imstande gewesen sei, sich der Börse zu bemächtigen. Darauf </w:t>
        </w:r>
        <w:r w:rsidRPr="00492F36">
          <w:rPr>
            <w:rStyle w:val="innerfusslink3"/>
            <w:rFonts w:ascii="Garamond" w:hAnsi="Garamond" w:cs="Arial"/>
            <w:b/>
            <w:bCs/>
            <w:i/>
            <w:iCs/>
            <w:color w:val="000000" w:themeColor="text1"/>
            <w:sz w:val="20"/>
            <w:szCs w:val="20"/>
            <w:lang w:val="en-GB"/>
          </w:rPr>
          <w:t>Sancho</w:t>
        </w:r>
        <w:r w:rsidRPr="00492F36">
          <w:rPr>
            <w:rStyle w:val="innerfusslink3"/>
            <w:rFonts w:ascii="Garamond" w:hAnsi="Garamond" w:cs="Arial"/>
            <w:b/>
            <w:bCs/>
            <w:color w:val="000000" w:themeColor="text1"/>
            <w:sz w:val="20"/>
            <w:szCs w:val="20"/>
            <w:lang w:val="en-GB"/>
          </w:rPr>
          <w:t>: Hättest Du Deine Ehre halb so ernsthaft verteidigt wie diese Börse, so hätte sie Dir der Mann nicht rauben können.</w:t>
        </w:r>
      </w:hyperlink>
      <w:r w:rsidRPr="00492F36">
        <w:rPr>
          <w:rFonts w:ascii="Garamond" w:hAnsi="Garamond" w:cs="Arial"/>
          <w:color w:val="000000" w:themeColor="text1"/>
          <w:sz w:val="20"/>
          <w:szCs w:val="20"/>
          <w:lang w:val="en-GB"/>
        </w:rPr>
        <w:t xml:space="preserve"> Es sind keineswegs müßige Erwägungen, die ich da vorbringe; mir ist mehr als ein Fall von anscheinend zufälligem Verunglücken (zu Pferde oder aus dem Wagen) bekannt geworden, dessen nähere Umstände den Verdacht auf unbewußt zugelassenen Selbstmord rechtfertigen. Da stürzt z. B. während eines Offizierswettrennens ein Offizier vom Pferde und verletzt sich so schwer, daß er mehrere Tage nachher erliegt. Sein Benehmen, nachdem er zu sich gekommen, ist in manchen Stücken auffällig. Noch bemerkenswerter ist sein Benehmen vorher gewesen. Er ist tief verstimmt durch den Tod seiner geliebten Mutter, wird von Weinkrämpfen in der Gesellschaft seiner Kameraden befallen, er äußert Lebensüberdruß gegen seine vertrauten Freunde, will den Dienst quittieren, um an einem Kriege in Afrika Anteil zu nehmen, der ihn sonst nicht berühr; </w:t>
      </w:r>
      <w:hyperlink r:id="rId282"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 xml:space="preserve">Daß die Situation des Schlachtfeldes eine solche ist, wie sie der bewußten Selbstmordabsicht entgegenkommt, die doch den direkten Weg scheut, ist einleuchtend. Vgl. im </w:t>
        </w:r>
        <w:r w:rsidRPr="00492F36">
          <w:rPr>
            <w:rStyle w:val="innerfusslink3"/>
            <w:rFonts w:ascii="Garamond" w:hAnsi="Garamond" w:cs="Arial"/>
            <w:b/>
            <w:bCs/>
            <w:i/>
            <w:iCs/>
            <w:color w:val="000000" w:themeColor="text1"/>
            <w:sz w:val="20"/>
            <w:szCs w:val="20"/>
            <w:lang w:val="en-GB"/>
          </w:rPr>
          <w:t>›Wallenstein‹</w:t>
        </w:r>
        <w:r w:rsidRPr="00492F36">
          <w:rPr>
            <w:rStyle w:val="innerfusslink3"/>
            <w:rFonts w:ascii="Garamond" w:hAnsi="Garamond" w:cs="Arial"/>
            <w:b/>
            <w:bCs/>
            <w:color w:val="000000" w:themeColor="text1"/>
            <w:sz w:val="20"/>
            <w:szCs w:val="20"/>
            <w:lang w:val="en-GB"/>
          </w:rPr>
          <w:t xml:space="preserve"> die Worte des schwedischen Hauptmanns über den Tod des Max Piccolomini: ›Man sagt, er wollte sterben‹.</w:t>
        </w:r>
      </w:hyperlink>
      <w:r w:rsidRPr="00492F36">
        <w:rPr>
          <w:rFonts w:ascii="Garamond" w:hAnsi="Garamond" w:cs="Arial"/>
          <w:color w:val="000000" w:themeColor="text1"/>
          <w:sz w:val="20"/>
          <w:szCs w:val="20"/>
          <w:lang w:val="en-GB"/>
        </w:rPr>
        <w:t xml:space="preserve"> früher ein schneidiger Reiter, weicht er jetzt dem Reiten aus, wo es nur möglich ist. Vor dem Wettrennen endlich, dem er sich nicht entziehen kann, äußert er eine trübe Ahnung; wir werden uns bei unserer Auffassung nicht mehr verwundern, daß diese Ahnung Recht behielt. Man wird mir entgegenhalten, es sei ja ohne weiteres verständlich, daß ein Mensch in solcher nervöser Depression das Tier nicht zu meistern versteht wie in gesunden Tagen. Ich bin ganz einverstanden; nur möchte ich den Mechanismus dieser motorischen Hemmung durch die Nervosität in der hier betonten Selbstvernichtungsabsicht suchen.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Wenn so ein Wüten gegen die eigene Integrität und das eigene Leben hinter anscheinend zufälliger Ungeschicklichkeit und motorischer Unzulänglichkeit verborgen sein kann, so braucht man keinen grossen Schritt mehr zu tun, um die Übertragung der nämlichen Auffassung auf Fehlgriffe möglich zu finden, welche Leben und Gesundheit anderer ernstlich in Gefahr bringen. Was ich an Belegen für die Triftigkeit dieser Auffassung vorbringen kann, ist der Erfahrung an Neurotikern entnommen, deckt sich also nicht völlig mit dem Erfordernis. Ich werde über einen Fall berichten, in dem mich nicht eigentlich ein Fehlgriff, sondern, was man eher eine Symptom- oder </w:t>
      </w:r>
      <w:r w:rsidRPr="00492F36">
        <w:rPr>
          <w:rFonts w:ascii="Garamond" w:hAnsi="Garamond" w:cs="Arial"/>
          <w:color w:val="000000" w:themeColor="text1"/>
          <w:sz w:val="20"/>
          <w:szCs w:val="20"/>
          <w:lang w:val="en-GB"/>
        </w:rPr>
        <w:lastRenderedPageBreak/>
        <w:t xml:space="preserve">Zufallshandlung nennen kann, auf die Spur brachte, welche dann die Lösung des Konflikts bei dem Patienten ermöglichte. Ich übernahm es einmal, die Ehe eines sehr intelligenten Mannes zu bessern, dessen Mißhelligkeiten mit seiner ihn zärtlich liebenden jungen Frau sich gewiß auf reale Begründungen berufen konnten, aber wie er selbst zugab, durch diese nicht voll erklärt wurden. Er beschäftigte sich unablässig mit dem Gedanken der Scheidung, den er dann wieder verwarf, weil er seine beiden kleinen Kinder zärtlich liebte. Trotzdem kam er immer wieder auf den Vorsatz zurück und versuchte dabei kein Mittel, um sich die Situation erträglich zu gestalten. Solches Nichtfertigwerden mit einem Konflikt gilt mir als Beweis dafür, daß sich unbewußte und verdrängte Motive zur Verstärkung der mit einander streitenden bewußten bereit gefunden haben, und ich unternehme es in solchen Fällen, den Konflikt durch psychische Analyse zu beenden. Der Mann erzählte mir eines Tages von einem kleinen Vorfall, der ihn aufs äusserste erschreckt hatte. Er »hetzte« mit seinem älteren Kind, dem weitaus geliebteren, hob es hoch und ließ es nieder und einmal an solcher Stelle und so hoch, daß das Kind mit dem Scheitel fast an den schwer herabhängenden Gasluster angestoßen hätte. </w:t>
      </w:r>
      <w:r w:rsidRPr="00492F36">
        <w:rPr>
          <w:rFonts w:ascii="Garamond" w:hAnsi="Garamond" w:cs="Arial"/>
          <w:i/>
          <w:iCs/>
          <w:color w:val="000000" w:themeColor="text1"/>
          <w:sz w:val="20"/>
          <w:szCs w:val="20"/>
          <w:lang w:val="en-GB"/>
        </w:rPr>
        <w:t>Fast</w:t>
      </w:r>
      <w:r w:rsidRPr="00492F36">
        <w:rPr>
          <w:rFonts w:ascii="Garamond" w:hAnsi="Garamond" w:cs="Arial"/>
          <w:color w:val="000000" w:themeColor="text1"/>
          <w:sz w:val="20"/>
          <w:szCs w:val="20"/>
          <w:lang w:val="en-GB"/>
        </w:rPr>
        <w:t>, aber doch eigentlich nicht oder gerade eben noch! Dem Kind war nichts geschehen, aber es wurde vor Schreck schwindlig. Der Vater blieb entsetzt mit dem Kinde im Arme stehen, die Mutter bekam einen hysterischen Anfall. Die besondere Geschicklichkeit dieser unvorsichtigen Bewegung, die Heftigkeit der Reaktion bei den Eltern legten es mir nahe, in dieser Zufälligkeit eine Symptomhandlung zu suchen, welche eine böse Absicht gegen das geliebte Kind zum Ausdruck bringen sollte. Den Widerspruch gegen die aktuelle Zärtlichkeit dieses Vaters zu seinem Kinde konnte ich mildern, wenn ich den Impuls zur Schädigung in die Zeit zurückverlegte, da dieses Kind das einzige und so klein gewesen war, daß sich der Vater noch nicht zärtlich für dasselbe zu interessieren brauchte. Dann hatte ich es leicht, anzunehmen, daß der von seiner Frau wenig befriedigte Mann damals den Gedanken gehabt oder den Vorsatz gefaßt: Wenn dieses kleine Wesen, an dem mir gar nichts liegt, stirbt, dann bin ich frei und kann mich von der Frau scheiden lassen. Ein Wunsch nach dem Tode dieses jetzt so geliebten Wesens mußte also unbewußt weiterbestehen. Von hier ab war der Weg zur unbewußten Fixierung dieses Wunsches leicht zu finden. Eine mächtige Determinierung ergab sich wirklich aus der Kindheitserinnerung des Patienten, daß der Tod eines kleinen Bruders, den die Mutter der Nachlässigkeit des Vaters zur Last legte, zu heftigen Auseinandersetzungen zwischen den Eltern mit Scheidungsandrohung geführt hatte. Der weitere Verlauf der Ehe meines Patienten bestätigte meine Kombination auch durch den therapeutischen Erfolg.</w:t>
      </w:r>
    </w:p>
    <w:p w:rsidR="007D5EBB" w:rsidRDefault="007D5EBB">
      <w:pPr>
        <w:rPr>
          <w:rFonts w:ascii="Garamond" w:hAnsi="Garamond" w:cs="Arial"/>
          <w:b/>
          <w:bCs/>
          <w:color w:val="000000" w:themeColor="text1"/>
          <w:sz w:val="20"/>
          <w:szCs w:val="20"/>
          <w:lang w:val="en-GB"/>
        </w:rPr>
      </w:pPr>
      <w:r>
        <w:rPr>
          <w:rFonts w:ascii="Garamond" w:hAnsi="Garamond" w:cs="Arial"/>
          <w:b/>
          <w:bCs/>
          <w:color w:val="000000" w:themeColor="text1"/>
          <w:sz w:val="20"/>
          <w:szCs w:val="20"/>
          <w:lang w:val="en-GB"/>
        </w:rPr>
        <w:br w:type="page"/>
      </w:r>
    </w:p>
    <w:p w:rsidR="000D4CB9" w:rsidRPr="00492F36" w:rsidRDefault="00B437A1" w:rsidP="007D5EBB">
      <w:pPr>
        <w:shd w:val="clear" w:color="auto" w:fill="FFFFFF"/>
        <w:spacing w:before="44" w:after="44" w:line="124" w:lineRule="atLeast"/>
        <w:outlineLvl w:val="4"/>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VIII.</w:t>
        </w:r>
        <w:r w:rsidR="007D5EBB" w:rsidRPr="007D5EBB">
          <w:rPr>
            <w:rStyle w:val="Lienhypertexte"/>
            <w:rFonts w:ascii="Garamond" w:hAnsi="Garamond" w:cs="Arial"/>
            <w:b/>
            <w:bCs/>
            <w:sz w:val="20"/>
            <w:szCs w:val="20"/>
            <w:lang w:val="en-GB"/>
          </w:rPr>
          <w:t xml:space="preserve">  </w:t>
        </w:r>
        <w:r w:rsidR="000D4CB9" w:rsidRPr="007D5EBB">
          <w:rPr>
            <w:rStyle w:val="Lienhypertexte"/>
            <w:rFonts w:ascii="Garamond" w:hAnsi="Garamond" w:cs="Arial"/>
            <w:b/>
            <w:bCs/>
            <w:sz w:val="20"/>
            <w:szCs w:val="20"/>
            <w:lang w:val="en-GB"/>
          </w:rPr>
          <w:t>Sy</w:t>
        </w:r>
        <w:bookmarkStart w:id="95" w:name="VIII"/>
        <w:bookmarkStart w:id="96" w:name="Alltagslebens_8"/>
        <w:bookmarkEnd w:id="95"/>
        <w:bookmarkEnd w:id="96"/>
        <w:r w:rsidR="000D4CB9" w:rsidRPr="007D5EBB">
          <w:rPr>
            <w:rStyle w:val="Lienhypertexte"/>
            <w:rFonts w:ascii="Garamond" w:hAnsi="Garamond" w:cs="Arial"/>
            <w:b/>
            <w:bCs/>
            <w:sz w:val="20"/>
            <w:szCs w:val="20"/>
            <w:lang w:val="en-GB"/>
          </w:rPr>
          <w:t>mptom und Zufallshandlungen.</w:t>
        </w:r>
      </w:hyperlink>
      <w:r w:rsidR="007D5EBB">
        <w:rPr>
          <w:rFonts w:ascii="Garamond" w:hAnsi="Garamond" w:cs="Arial"/>
          <w:b/>
          <w:bCs/>
          <w:color w:val="000000" w:themeColor="text1"/>
          <w:sz w:val="20"/>
          <w:szCs w:val="20"/>
          <w:lang w:val="en-GB"/>
        </w:rPr>
        <w:t xml:space="preserve">  </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Die bisher beschriebenen Handlungen, in denen wir die Ausführung einer unbewußten Absicht erkannten, traten als Störungen anderer beabsichtigter Handlungen auf und deckten sich mit dem Vorwand der Ungeschicklichkeit. Die Zufallshandlungen, von denen jetzt die Rede sein soll, unterscheiden sich von denen des Vergreifens nur dadurch, daß sie die Anlehnung an eine bewußte Intention verschmähen und also des Vorwandes nicht bedürfen. Sie treten für sich auf und werden zugelassen, weil man Zweck und Absicht bei ihnen nicht vermutet. Man führt sie aus, ›ohne sich etwas bei ihnen zu denken‹, nur ›rein zufällig‹, ›wie um die Hände zu beschäftigen‹, und man rechnet darauf, daß solche Auskunft der Nachforschung nach der Bedeutung der Handlung ein Ende bereiten wird. Um sich dieser Ausnahmsstellung erfreuen zu können, müssen diese Handlungen, die nicht mehr die Entschuldigung der Ungeschicklichkeit in Anspruch nehmen, bestimmte Bedingungen erfüllen; sie müssen </w:t>
      </w:r>
      <w:r w:rsidRPr="00492F36">
        <w:rPr>
          <w:rFonts w:ascii="Garamond" w:hAnsi="Garamond" w:cs="Arial"/>
          <w:i/>
          <w:iCs/>
          <w:color w:val="000000" w:themeColor="text1"/>
          <w:sz w:val="20"/>
          <w:szCs w:val="20"/>
          <w:lang w:val="en-GB"/>
        </w:rPr>
        <w:t>unauffällig</w:t>
      </w:r>
      <w:r w:rsidRPr="00492F36">
        <w:rPr>
          <w:rFonts w:ascii="Garamond" w:hAnsi="Garamond" w:cs="Arial"/>
          <w:color w:val="000000" w:themeColor="text1"/>
          <w:sz w:val="20"/>
          <w:szCs w:val="20"/>
          <w:lang w:val="en-GB"/>
        </w:rPr>
        <w:t xml:space="preserve"> und ihre Effekte müssen geringfügig sein.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habe eine grosse Anzahl solcher Zufallshandlungen bei mir und anderen gesammelt, und meine nach gründlicher Untersuchung der einzelnen Beispiele, daß sie eher den Namen von </w:t>
      </w:r>
      <w:r w:rsidRPr="00492F36">
        <w:rPr>
          <w:rFonts w:ascii="Garamond" w:hAnsi="Garamond" w:cs="Arial"/>
          <w:i/>
          <w:iCs/>
          <w:color w:val="000000" w:themeColor="text1"/>
          <w:sz w:val="20"/>
          <w:szCs w:val="20"/>
          <w:lang w:val="en-GB"/>
        </w:rPr>
        <w:t>Symptomhandlungen</w:t>
      </w:r>
      <w:r w:rsidRPr="00492F36">
        <w:rPr>
          <w:rFonts w:ascii="Garamond" w:hAnsi="Garamond" w:cs="Arial"/>
          <w:color w:val="000000" w:themeColor="text1"/>
          <w:sz w:val="20"/>
          <w:szCs w:val="20"/>
          <w:lang w:val="en-GB"/>
        </w:rPr>
        <w:t xml:space="preserve"> verdienen. Sie bringen etwas zum Ausdruck, was der Täter selbst nicht in ihnen vermutet, und was er in der Regel nicht mitzuteilen, sondern für sich zu behalten beabsichtigt. Sie spielen also ganz so wie alle anderen bisher betrachteten Phänomene die Rolle von Symptomen.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Die reichste Ausbeute an solchen Zufalls- oder Symptomhandlungen erhält man allerdings bei der psychoanalytischen Behandlung der Neurotiker. Ich kann es mir nicht versagen, an zwei Beispielen dieser Herkunft zu zeigen, wie weit und wie fein die Determinierung dieser unscheinbaren Vorkommnisse durch unbewußte Gedanken getrieben ist. Die Grenze der Symptomhandlungen gegen das Vergreifen ist so wenig scharf, daß ich diese Beispiele auch im vorigen Abschnitt hätte unterbringen können.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1) Eine junge Frau erzählte als Einfall während der Sitzung, daß sie sich gestern beim Nägelschneiden ›ins Fleisch geschnitten, während sie das feine Häutchen im Nagelbett abzutragen bemüht war‹. Das ist so wenig interessant, daß man sich verwundert fragt, wozu es überhaupt erinnert und erwähnt wird, und auf die Vermutung gerät, man habe es mit einer Symptomhandlung zu tun. Es war auch wirklich der Ringfinger, an dem das kleine Ungeschick vorfiel, der Finger, an dem man den Ehering trägt. Es war überdies ihr Hochzeitstag, was der Verletzung des feinen Häutchens einen ganz bestimmten, leicht zu erratenden Sinn verleiht. Sie erzählt auch gleichzeitig einen Traum, der auf die Ungeschicklichkeit ihres Mannes und auf ihre Anästhesie als Frau anspielt. Warum war es aber der Ringfinger der linken Hand, an dem sie sich verletzte, da man doch den Ehering an der rechten Hand trägt? Ihr Mann ist Jurist, »Doktor der Rechte«, und ihre geheime Neigung hatte als Mädchen einem Arzt (scherzhaft: »Doktor der Linke«) gehört. Eine Ehe zur linken Hand hat auch ihre bestimmte Bedeutung.</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2) Eine unverheiratete junge Dame erzählt: ›Ich habe gestern ganz unabsichtlich eine 100 Guldennote in zwei Stücke gerissen und die Hälfte davon einer mich besuchenden Dame gegeben. Soll das auch eine Symptomhandlung sein?‹ Die genauere Erforschung deckt folgende Einzelheiten auf: Die Hundertguldennote: Sie widmet einen Teil ihrer Zeit und ihres Vermögens wohltätigen Werken. Gemeinsam mit einer anderen Dame sorgt sie für die Erziehung eines verwaisten Kindes. Die 100 Gulden sind der ihr zugeschickte Beitrag jener Dame, den sie in ein Couvert einschloß und vorläufig auf ihren Schreibtisch niederlegte.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Die Besucherin war eine angesehene Dame, der sie bei einer anderen Wohltätigkeitsaktion beisteht. Diese Dame wollte eine Reihe von Namen von Personen notieren, an die man sich um Unterstützung wenden könnte. Es fehlte an Papier, da griff meine Patientin nach dem Couvert auf ihrem Schreibtisch und riß es, ohne sich an seinen Inhalt zu besinnen, in zwei Stücke, von denen sie eines selbst behielt, um ein Duplikat der Namensliste zu haben, das andere ihrer Besucherin übergab. Man bemerke die Harmlosigkeit dieses unzweckmäßigen Vorgehens. Eine Hundertguldennote erleidet bekanntlich keine Einbusse an ihrem Werte, wenn sie zerrissen wird, falls sie sich aus den Rißstücken vollständig zusammensetzen läßt. Daß die Dame das Stück Papier nicht wegwerfen würde, war durch die Wichtigkeit der darauf stehenden Namen verbürgt, und ebensowenig litt es einen Zweifel, daß sie den wertvollen Inhalt zurückstellen würde, sobald sie ihn bemerkt.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Welchem unbewußten Gedanken sollte aber diese Zufallshandlung, die sich durch ein Vergessen ermöglichte, Ausdruck geben? Die besuchende Dame hatte eine ganz bestimmte Beziehung zu unserer Kur. Es war dieselbe, die mich seinerzeit dem leidenden Mädchen als Arzt empfohlen, und wenn ich nicht irre, hält sich meine Patientin zum Dank für diesen Rat verpflichtet. Soll die halbierte Hundertguldennote etwa ein Honorar für diese Vermittlung darstellen? Das bliebe noch recht befremdlich.</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Es kommt aber anderes Material hinzu. Einige Tage vorher hatte eine Vermittlerin ganz anderer Art bei einer Verwandten angefragt, ob das gnädige Fräulein wohl die Bekanntschaft eines gewissen Herrn machen wolle, und am Morgen, einige Stunden vor dem Besuche der Dame, war der Werbebrief des Freiers eingetroffen, der viel Anlaß zur Heiterkeit gegeben hatte. Als nun die Dame das Gespräch mit einer Erkundigung nach dem Befinden meiner Patientin eröffnete, konnte sie wohl gedacht haben: ›Den richtigen Arzt hast Du mir zwar empfohlen, wenn Du mir aber zum richtigen Mann (und dahinter: zu einem Kind) verhelfen könntest, wäre ich Dir doch dankbarer.‹ Von </w:t>
      </w:r>
      <w:r w:rsidRPr="00492F36">
        <w:rPr>
          <w:rFonts w:ascii="Garamond" w:hAnsi="Garamond" w:cs="Arial"/>
          <w:color w:val="000000" w:themeColor="text1"/>
          <w:sz w:val="20"/>
          <w:szCs w:val="20"/>
          <w:lang w:val="en-GB"/>
        </w:rPr>
        <w:lastRenderedPageBreak/>
        <w:t>diesem verdrängt gehaltenen Gedanken aus flossen ihr die beiden Vermittlerinnen in eins zusammen, und sie überreichte der Besucherin das Honorar, das ihre Phantasie der anderen zu geben bereit war. Völlig verbindlich wird diese Lösung, wenn ich hinzufüge, daß ich ihr erst am Abend vorher von solchen Zufalls- oder Symptomhandlungen erzählt hatte. Sie bediente sich dann der nächsten Gelegenheit, um etwas Analoges zu produzieren.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Eine Gruppierung der so überaus häufigen Zufalls- und Symptomhandlungen könnte man vornehmen, je nachdem sie gewohnheitsmäßig, regelmäßig unter gewissen Umständen, oder vereinzelt erfolgen. Die ersteren (wie das Spielen mit der Uhrkette, das Zwirbeln am Bart etc.), die fast zur Charakteristik der betreffenden Personen dienen können, streifen an die mannigfaltigen Tikbewegungen und verdienen wohl im Zusammenhange mit letzteren behandelt zu werden. Zur zweiten Gruppe rechne ich das Spielen, wenn man einen Stock, das Kritzeln, wenn man einen Bleistift in der Hand hält, das Klimpern mit Münzen in der Tasche, das Kneten von Teig und anderen plastischen Stoffen, allerlei Hantierungen an seiner Gewandung u. dgl. mehr. Unter diesen spielenden Beschäftigungen verbergen sich während der psychischen Behandlung regelmäßig Sinn und Bedeutung, denen ein anderer Ausdruck versagt ist. Gewöhnlich weiß die betreffende Person nichts davon, daß sie dergleichen tut, oder daß sie gewisse Modifikationen an ihrem gewöhnlichen Tändeln vorgenommen hat, und sie übersieht und überhört auch die Effekte dieser Handlungen. Sie hört z. B. das Geräusch nicht, das sie beim Klimpern mit Geldstücken hervorbringt, und benimmt sich wie erstaunt und ungläubig, wenn man sie darauf aufmerksam macht. Ebenso ist alles, was man, oft ohne es zu merken, mit seinen Kleidern vornimmt, bedeutungsvoll und der Beachtung des Arztes wert. Jede Veränderung des gewohnten Aufzuges, jede kleine Nachlässigkeit, wie etwa ein nicht schließender Knopf, jede Spur von Entblößung will etwas besagen, was der Eigentümer der Kleidung nicht direkt sagen will, meist gar nicht zu sagen weiß. Die Deutungen dieser kleinen Zufallshandlungen, sowie die Beweise für diese Deutungen ergeben sich jedesmal mit zureichender Sicherheit aus den Begleitumständen während der Sitzung, aus dem eben behandelten Thema und aus den Einfällen, die sich einstellen, wenn man die Aufmerksamkeit auf die anscheinende Zufälligkeit lenkt. Wegen dieses Zusammenhanges unterlasse ich es, meine Behauptungen durch Mitteilung von Beispielen mit Analyse zu unterstützen; ich erwähne diese Dinge aber, weil ich glaube, daß sie bei normalen Menschen dieselbe Bedeutung haben wie bei meinen Patienten.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Ich kann etwa aus meiner psychotherapeutischen Erfahrung einen Fall erzählen, in dem die mit einem Klumpen Brotkrume spielende Hand eine beredte Aussage ablegte. Mein Patient war ein noch nicht 13j., seit fast zwei Jahren schwer hysterischer Knabe, den ich endlich in psychoanalytische Behandlung nahm, nachdem ein längerer Aufenthalt in einer Wasserheilanstalt sich erfolglos erwiesen hatte. Er mußte nach meiner Voraussetzung sexuelle Erfahrungen gemacht haben und seiner Altersstufe entsprechend von sexuellen Fragen gequält sein; ich hütete mich aber, ihm mit Aufklärungen zur Hilfe zu kommen, weil ich wieder einmal eine Probe auf meine Voraussetzungen anstellen wollte. Ich durfte also neugierig sein, auf welchem Wege sich das Gesuchte bei ihm andeuten würde. Da fiel es mir auf, daß er eines Tages irgend etwas zwischen den Fingern der rechten Hand rollte, damit in die Tasche fuhr, dort weiter spielte, es wieder hervorzog etc. Ich fragte nicht, was er in der Hand habe; er zeigte es mir aber, indem er plötzlich die Hand öffnete. Es war Brotkrume, die zu einem Klumpen zusammengeknetet war. In der nächsten Sitzung brachte er wieder einen solchen Klumpen mit, formte aber aus ihm, während wir das Gespräch führten, mit unglaublicher Raschheit und bei geschlossenen Augen Figuren, die mein Interesse erregten. Es waren unzweifelhaft Männchen mit Kopf, zwei Armen, zwei Beinen, wie die rohesten prähistorischen Idole, und einem Fortsatz zwischen beiden Beinen, den er in eine lange Spitze auszog. Kaum daß dieser gefertigt war, knetete er das Männchen wieder zusammen; später ließ er es bestehen, zog aber einen ebensolchen Fortsatz an der Rückenfläche und an anderen Stellen aus, um die Bedeutung des ersten zu verhüllen. Ich wollte ihm zeigen, daß ich ihn verstanden habe, ihm aber dabei die Ausflucht benehmen, daß er sich bei dieser Menschen formenden Tätigkeit nichts gedacht habe. In dieser Absicht fragte ich ihn plötzlich, ob er sich an die Geschichte jenes römischen Königs erinnere, der dem Abgesandten seines Sohnes eine pantomimische Antwort im Garten gegeben. Der Knabe wollte sich nicht an das erinnern, was er doch vor so viel kürzerer Zeit als ich gelernt haben mußte. Er fragte, ob das die Geschichte von dem Sklaven sei, auf dessen glattrasierten Schädel man die Antwort geschrieben habe. Nein, das gehört in die griechische Geschichte, sagte ich und erzählte: Der König Tarquinius Priscus hatte seinen Sohn Sextus veranlaßt, sich in eine feindliche latinische Stadt einzuschleichen. Der Sohn, der sich unterdes Anhang in dieser Stadt verschafft hatte, schickte einen Boten an den König mit der Frage, was nun weiter geschehen solle. Der König gab keine Antwort, sondern ging in seinen Garten, ließ sich dort die Frage wiederholen und schlug schweigend die größten und schönsten Mohnköpfe ab. Dem Boten blieb nichts übrig als dieses dem Sextus zu berichten, der den Vater verstand und es sich angelegen sein liess, die angesehensten Bürger der Stadt durch Mord zu beseitigen.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Während ich redete, hielt der Knabe in seinem Kneten inne, und als ich mich anschickte zu erzählen, was der König in seinem Garten tat, schon bei den Worten »schlug schweigend«, hatte er mit einer blitzschnellen Bewegung seinem Männchen den Kopf abgerissen. Er hatte mich also verstanden und gemerkt, daß er von mir verstanden worden war. Ich konnte ihn nun direkt befragen, gab ihm die Auskünfte, um die es ihm zu tun war, und wir hatten binnen kurzem der Neurose ein Ende gemacht.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lang w:val="en-GB"/>
        </w:rPr>
        <w:t xml:space="preserve">Von den vereinzelten Zufallshandlungen will ich ein Beispiel mitteilen, welches auch ohne Analyse eine tiefere Deutung zuließ, das die Bedingungen trefflich erläutert, unter denen solche Symptome vollkommen unauffällig produziert werden können, und an das sich eine praktisch bedeutsame Bemerkung anknüpfen läßt. Auf einer </w:t>
      </w:r>
      <w:r w:rsidRPr="00492F36">
        <w:rPr>
          <w:rFonts w:ascii="Garamond" w:hAnsi="Garamond" w:cs="Arial"/>
          <w:color w:val="000000" w:themeColor="text1"/>
          <w:sz w:val="20"/>
          <w:szCs w:val="20"/>
          <w:lang w:val="en-GB"/>
        </w:rPr>
        <w:lastRenderedPageBreak/>
        <w:t xml:space="preserve">Sommerreise traf es sich, daß ich einige Tage an einem gewissen Orte auf die Ankunft meines Reisegefährten zu warten hatte. Ich machte unterdes die Bekanntschaft eines jungen Mannes, der sich gleichfalls einsam zu fühlen schien und sich bereitwillig mir anschloß. Da wir in demselben Hôtel wohnten, fügte es sich leicht, daß wir alle Mahlzeiten gemeinsam einnahmen und Spaziergänge miteinander machten. Am Nachmittag des dritten Tages teilte er mir plötzlich mit, daß er heute abends seine mit dem Eilzuge anlangende Frau erwarte. Mein psychologisches Interesse wurde nun rege, denn es war mir an meinem Gesellschafter bereits am Vormittag aufgefallen, daß er meinen Vorschlag zu einer größeren Partie zurückgewiesen und auf unserem kleinen Spaziergang einen gewissen Weg als zu steil und gefährlich nicht hatte begehen wollen. Auf dem Nachmittagsspaziergang behauptete er plötzlich, ich müßte doch hungrig sein, ich sollte doch ja nicht seinetwegen die Abendmahlzeit aufschieben, er werde erst nach der Ankunft seiner Frau mit ihr zu Abend essen. Ich verstand den Wink und setzte mich an den Tisch, während er auf den Bahnhof ging. Am nächsten Morgen trafen wir uns in der Vorhalle des Hôtels. Er stellte mir seine Frau vor und fügte hinzu: Sie werden doch mit uns das Frühstück nehmen? Ich hatte noch eine kleine Besorgung in der nächsten Strasse vor und versicherte, ich würde bald nachkommen. Als ich dann in den Frühstückssaal trat, sah ich, daß das Paar an einem kleinen Fenstertisch Platz genommen hatte, auf dessen einer Seite sie beide saßen. Auf der Gegenseite befand sich nur ein Sessel, aber über dessen Lehne hing der grosse und schwere Lodenmantel des Mannes herab, den Platz verdeckend. Ich verstand sehr wohl den Sinn dieser gewiß nicht absichtlichen, aber darum um so ausdrucksvolleren Lagerung. </w:t>
      </w:r>
      <w:r w:rsidRPr="00492F36">
        <w:rPr>
          <w:rFonts w:ascii="Garamond" w:hAnsi="Garamond" w:cs="Arial"/>
          <w:color w:val="000000" w:themeColor="text1"/>
          <w:sz w:val="20"/>
          <w:szCs w:val="20"/>
        </w:rPr>
        <w:t>Es hieß: für Dich ist hier kein Platz, Du bist jetzt überflüssig. Der Mann bemerkte es nicht, daß ich vor dem Tische stehen blieb, ohne mich zu setzen, wohl aber die Dame, die ihren Mann sofort anstieß und ihm zuflüsterte: Du hast ja dem Herrn den Platz verlegt.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t xml:space="preserve">Bei diesem wie bei anderen ähnlichen Erlebnissen habe ich mir gesagt, daß die unabsichtlich ausgeführten Handlungen unvermeidlich zur Quelle von Mißverständnissen im menschlichen Verkehr werden müssen. </w:t>
      </w:r>
      <w:r w:rsidRPr="00492F36">
        <w:rPr>
          <w:rFonts w:ascii="Garamond" w:hAnsi="Garamond" w:cs="Arial"/>
          <w:color w:val="000000" w:themeColor="text1"/>
          <w:sz w:val="20"/>
          <w:szCs w:val="20"/>
          <w:lang w:val="en-GB"/>
        </w:rPr>
        <w:t>Der Täter, der von einer mit ihnen verknüpften Absicht nichts weiß, rechnet sich dieselben nicht an und hält sich nicht verantwortlich für sie. Der andere hingegen erkennt, indem er regelmäßig auch solche Handlungen seines Partners zu Schlüssen über dessen Absichten und Gesinnungen verwertet, mehr von den psychischen Vorgängen des Fremden, als dieser selbst zuzugeben bereit ist und mitgeteilt zu haben glaubt. Letzterer aber entrüstet sich, wenn ihm diese aus seinen Symptomhandlungen gezogenen Schlüsse vorgehalten werden, erklärt sie für grundlos, da ihm das Bewußtsein für die Absicht bei der Ausführung fehlt, und klagt über Mißverständnis von Seiten des anderen. Genau besehen beruht ein solches Mißverständnis auf einem Zufein- und Zuvielverstehen. Je »nervöser« zwei Menschen sind, desto eher werden sie einander Anlaß zu Entzweiungen bieten, deren Begründung jeder für seine eigene Person ebenso bestimmt leugnet, wie er sie für die Person des anderen als gesichert annimmt. Und dies ist wohl die Strafe für die innere Unaufrichtigkeit, daß die Menschen unter den Vorwänden des Vergessens, Vergreifens und der Unabsichtlichkeit Regungen den Ausdruck gestatten, die sie besser sich und anderen eingestehen würden, wenn sie sie schon nicht beherrschen können. Man kann in der Tat ganz allgemein behaupten, daß jedermann fortwährend psychische Analyse an seinen Nebenmenschen betreibt und diese infolgedessen besser kennen lernt als jeder einzelne sich selbst. Der Weg zur Befolgung der Mahnung ãíïôé óåáíôùí führt durch das Studium seiner eigenen scheinbar zufälligen Handlungen und Unterlassungen.</w:t>
      </w:r>
    </w:p>
    <w:p w:rsidR="007D5EBB" w:rsidRDefault="007D5EBB">
      <w:pPr>
        <w:rPr>
          <w:rFonts w:ascii="Garamond" w:hAnsi="Garamond" w:cs="Arial"/>
          <w:b/>
          <w:bCs/>
          <w:color w:val="000000" w:themeColor="text1"/>
          <w:sz w:val="20"/>
          <w:szCs w:val="20"/>
          <w:lang w:val="en-GB"/>
        </w:rPr>
      </w:pPr>
      <w:r>
        <w:rPr>
          <w:rFonts w:ascii="Garamond" w:hAnsi="Garamond" w:cs="Arial"/>
          <w:b/>
          <w:bCs/>
          <w:color w:val="000000" w:themeColor="text1"/>
          <w:sz w:val="20"/>
          <w:szCs w:val="20"/>
          <w:lang w:val="en-GB"/>
        </w:rPr>
        <w:br w:type="page"/>
      </w:r>
    </w:p>
    <w:p w:rsidR="000D4CB9" w:rsidRPr="00492F36" w:rsidRDefault="00B437A1" w:rsidP="007D5EBB">
      <w:pPr>
        <w:shd w:val="clear" w:color="auto" w:fill="FFFFFF"/>
        <w:spacing w:before="44" w:after="44" w:line="124" w:lineRule="atLeast"/>
        <w:outlineLvl w:val="4"/>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IX.</w:t>
        </w:r>
        <w:r w:rsidR="007D5EBB" w:rsidRPr="007D5EBB">
          <w:rPr>
            <w:rStyle w:val="Lienhypertexte"/>
            <w:rFonts w:ascii="Garamond" w:hAnsi="Garamond" w:cs="Arial"/>
            <w:b/>
            <w:bCs/>
            <w:sz w:val="20"/>
            <w:szCs w:val="20"/>
            <w:lang w:val="en-GB"/>
          </w:rPr>
          <w:t xml:space="preserve">  </w:t>
        </w:r>
        <w:r w:rsidR="000D4CB9" w:rsidRPr="007D5EBB">
          <w:rPr>
            <w:rStyle w:val="Lienhypertexte"/>
            <w:rFonts w:ascii="Garamond" w:hAnsi="Garamond" w:cs="Arial"/>
            <w:b/>
            <w:bCs/>
            <w:sz w:val="20"/>
            <w:szCs w:val="20"/>
            <w:lang w:val="en-GB"/>
          </w:rPr>
          <w:t>Ir</w:t>
        </w:r>
        <w:bookmarkStart w:id="97" w:name="IX"/>
        <w:bookmarkStart w:id="98" w:name="Alltagslebens_9"/>
        <w:bookmarkEnd w:id="97"/>
        <w:bookmarkEnd w:id="98"/>
        <w:r w:rsidR="000D4CB9" w:rsidRPr="007D5EBB">
          <w:rPr>
            <w:rStyle w:val="Lienhypertexte"/>
            <w:rFonts w:ascii="Garamond" w:hAnsi="Garamond" w:cs="Arial"/>
            <w:b/>
            <w:bCs/>
            <w:sz w:val="20"/>
            <w:szCs w:val="20"/>
            <w:lang w:val="en-GB"/>
          </w:rPr>
          <w:t>rtümer.</w:t>
        </w:r>
      </w:hyperlink>
      <w:r w:rsidR="007D5EBB">
        <w:rPr>
          <w:rFonts w:ascii="Garamond" w:hAnsi="Garamond" w:cs="Arial"/>
          <w:b/>
          <w:bCs/>
          <w:color w:val="000000" w:themeColor="text1"/>
          <w:sz w:val="20"/>
          <w:szCs w:val="20"/>
          <w:lang w:val="en-GB"/>
        </w:rPr>
        <w:t xml:space="preserve">  </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Die Irrtümer des Gedächtnisses sind vom Vergessen mit Fehlerinnern nur durch den einen Zug unterschieden, daß der Irrtum (das Fehlerinnern) nicht als solcher erkannt wird, sondern Glauben findet. Der Gebrauch des Ausdruckes »Irrtum« scheint aber noch an einer anderen Bedingung zu hängen. Wir sprechen von »Irren« anstatt von »falsch Erinnern«, wo in dem zu reproduzierenden psychischen Material der Charakter der objektiven Realität hervorgehoben werden soll, wo also etwas anderes erinnert werden soll als eine Tatsache meines eigenen psychischen Lebens, vielmehr etwas, was der Bestätigung oder Widerlegung durch die Erinnerung anderer zugänglich ist. Den Gegensatz zum Gedächtnisirrtum in diesem Sinn bildet die Unwissenheit.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In meinem Buche </w:t>
      </w:r>
      <w:r w:rsidRPr="00492F36">
        <w:rPr>
          <w:rFonts w:ascii="Garamond" w:hAnsi="Garamond" w:cs="Arial"/>
          <w:i/>
          <w:iCs/>
          <w:color w:val="000000" w:themeColor="text1"/>
          <w:sz w:val="20"/>
          <w:szCs w:val="20"/>
          <w:lang w:val="en-GB"/>
        </w:rPr>
        <w:t>»Die Traumdeutung (1900)«</w:t>
      </w:r>
      <w:r w:rsidRPr="00492F36">
        <w:rPr>
          <w:rFonts w:ascii="Garamond" w:hAnsi="Garamond" w:cs="Arial"/>
          <w:color w:val="000000" w:themeColor="text1"/>
          <w:sz w:val="20"/>
          <w:szCs w:val="20"/>
          <w:lang w:val="en-GB"/>
        </w:rPr>
        <w:t xml:space="preserve"> habe ich mich einer Reihe von Verfälschungen an geschichtlichem und überhaupt tatsächlichem Material schuldig gemacht, auf die ich nach dem Erscheinen des Buches mit Verwunderung aufmerksam geworden bin. Ich habe bei näherer Prüfung derselben gefunden, daß sie nicht meiner Unwissenheit entsprungen sind, sondern sich auf Irrtümer des Gedächtnisses zurückleiten, welche sich durch Analyse aufklären lassen.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1) Auf </w:t>
      </w:r>
      <w:r w:rsidRPr="00492F36">
        <w:rPr>
          <w:rFonts w:ascii="Garamond" w:hAnsi="Garamond" w:cs="Arial"/>
          <w:i/>
          <w:iCs/>
          <w:color w:val="000000" w:themeColor="text1"/>
          <w:sz w:val="20"/>
          <w:szCs w:val="20"/>
          <w:lang w:val="en-GB"/>
        </w:rPr>
        <w:t>p. 266</w:t>
      </w:r>
      <w:r w:rsidRPr="00492F36">
        <w:rPr>
          <w:rFonts w:ascii="Garamond" w:hAnsi="Garamond" w:cs="Arial"/>
          <w:color w:val="000000" w:themeColor="text1"/>
          <w:sz w:val="20"/>
          <w:szCs w:val="20"/>
          <w:lang w:val="en-GB"/>
        </w:rPr>
        <w:t xml:space="preserve"> bezeichne ich als den Geburtsort </w:t>
      </w:r>
      <w:r w:rsidRPr="00492F36">
        <w:rPr>
          <w:rFonts w:ascii="Garamond" w:hAnsi="Garamond" w:cs="Arial"/>
          <w:i/>
          <w:iCs/>
          <w:color w:val="000000" w:themeColor="text1"/>
          <w:sz w:val="20"/>
          <w:szCs w:val="20"/>
          <w:lang w:val="en-GB"/>
        </w:rPr>
        <w:t>Schillers</w:t>
      </w:r>
      <w:r w:rsidRPr="00492F36">
        <w:rPr>
          <w:rFonts w:ascii="Garamond" w:hAnsi="Garamond" w:cs="Arial"/>
          <w:color w:val="000000" w:themeColor="text1"/>
          <w:sz w:val="20"/>
          <w:szCs w:val="20"/>
          <w:lang w:val="en-GB"/>
        </w:rPr>
        <w:t xml:space="preserve"> die Stadt </w:t>
      </w:r>
      <w:r w:rsidRPr="00492F36">
        <w:rPr>
          <w:rFonts w:ascii="Garamond" w:hAnsi="Garamond" w:cs="Arial"/>
          <w:i/>
          <w:iCs/>
          <w:color w:val="000000" w:themeColor="text1"/>
          <w:sz w:val="20"/>
          <w:szCs w:val="20"/>
          <w:lang w:val="en-GB"/>
        </w:rPr>
        <w:t>Marburg</w:t>
      </w:r>
      <w:r w:rsidRPr="00492F36">
        <w:rPr>
          <w:rFonts w:ascii="Garamond" w:hAnsi="Garamond" w:cs="Arial"/>
          <w:color w:val="000000" w:themeColor="text1"/>
          <w:sz w:val="20"/>
          <w:szCs w:val="20"/>
          <w:lang w:val="en-GB"/>
        </w:rPr>
        <w:t xml:space="preserve">, deren Name in der Steiermark wiederkehrt. Der Irrtum findet sich in der Analyse eines Traumes während einer Nachtreise, aus dem ich durch den vom Kondukteur ausgerufenen Stationsnamen </w:t>
      </w:r>
      <w:r w:rsidRPr="00492F36">
        <w:rPr>
          <w:rFonts w:ascii="Garamond" w:hAnsi="Garamond" w:cs="Arial"/>
          <w:i/>
          <w:iCs/>
          <w:color w:val="000000" w:themeColor="text1"/>
          <w:sz w:val="20"/>
          <w:szCs w:val="20"/>
          <w:lang w:val="en-GB"/>
        </w:rPr>
        <w:t>Marburg</w:t>
      </w:r>
      <w:r w:rsidRPr="00492F36">
        <w:rPr>
          <w:rFonts w:ascii="Garamond" w:hAnsi="Garamond" w:cs="Arial"/>
          <w:color w:val="000000" w:themeColor="text1"/>
          <w:sz w:val="20"/>
          <w:szCs w:val="20"/>
          <w:lang w:val="en-GB"/>
        </w:rPr>
        <w:t xml:space="preserve"> geweckt wurde. Im Trauminhalt wird nach einem Buch von </w:t>
      </w:r>
      <w:r w:rsidRPr="00492F36">
        <w:rPr>
          <w:rFonts w:ascii="Garamond" w:hAnsi="Garamond" w:cs="Arial"/>
          <w:i/>
          <w:iCs/>
          <w:color w:val="000000" w:themeColor="text1"/>
          <w:sz w:val="20"/>
          <w:szCs w:val="20"/>
          <w:lang w:val="en-GB"/>
        </w:rPr>
        <w:t>Schiller</w:t>
      </w:r>
      <w:r w:rsidRPr="00492F36">
        <w:rPr>
          <w:rFonts w:ascii="Garamond" w:hAnsi="Garamond" w:cs="Arial"/>
          <w:color w:val="000000" w:themeColor="text1"/>
          <w:sz w:val="20"/>
          <w:szCs w:val="20"/>
          <w:lang w:val="en-GB"/>
        </w:rPr>
        <w:t xml:space="preserve"> gefragt. Nun ist </w:t>
      </w:r>
      <w:r w:rsidRPr="00492F36">
        <w:rPr>
          <w:rFonts w:ascii="Garamond" w:hAnsi="Garamond" w:cs="Arial"/>
          <w:i/>
          <w:iCs/>
          <w:color w:val="000000" w:themeColor="text1"/>
          <w:sz w:val="20"/>
          <w:szCs w:val="20"/>
          <w:lang w:val="en-GB"/>
        </w:rPr>
        <w:t>Schiller</w:t>
      </w:r>
      <w:r w:rsidRPr="00492F36">
        <w:rPr>
          <w:rFonts w:ascii="Garamond" w:hAnsi="Garamond" w:cs="Arial"/>
          <w:color w:val="000000" w:themeColor="text1"/>
          <w:sz w:val="20"/>
          <w:szCs w:val="20"/>
          <w:lang w:val="en-GB"/>
        </w:rPr>
        <w:t xml:space="preserve"> nicht in der Universitätsstadt </w:t>
      </w:r>
      <w:r w:rsidRPr="00492F36">
        <w:rPr>
          <w:rFonts w:ascii="Garamond" w:hAnsi="Garamond" w:cs="Arial"/>
          <w:i/>
          <w:iCs/>
          <w:color w:val="000000" w:themeColor="text1"/>
          <w:sz w:val="20"/>
          <w:szCs w:val="20"/>
          <w:lang w:val="en-GB"/>
        </w:rPr>
        <w:t>Marburg</w:t>
      </w:r>
      <w:r w:rsidRPr="00492F36">
        <w:rPr>
          <w:rFonts w:ascii="Garamond" w:hAnsi="Garamond" w:cs="Arial"/>
          <w:color w:val="000000" w:themeColor="text1"/>
          <w:sz w:val="20"/>
          <w:szCs w:val="20"/>
          <w:lang w:val="en-GB"/>
        </w:rPr>
        <w:t xml:space="preserve">, sondern in dem schwäbischen </w:t>
      </w:r>
      <w:r w:rsidRPr="00492F36">
        <w:rPr>
          <w:rFonts w:ascii="Garamond" w:hAnsi="Garamond" w:cs="Arial"/>
          <w:i/>
          <w:iCs/>
          <w:color w:val="000000" w:themeColor="text1"/>
          <w:sz w:val="20"/>
          <w:szCs w:val="20"/>
          <w:lang w:val="en-GB"/>
        </w:rPr>
        <w:t>Marbach</w:t>
      </w:r>
      <w:r w:rsidRPr="00492F36">
        <w:rPr>
          <w:rFonts w:ascii="Garamond" w:hAnsi="Garamond" w:cs="Arial"/>
          <w:color w:val="000000" w:themeColor="text1"/>
          <w:sz w:val="20"/>
          <w:szCs w:val="20"/>
          <w:lang w:val="en-GB"/>
        </w:rPr>
        <w:t xml:space="preserve"> geboren. Ich behaupte auch, daß ich dies immer gewußt habe.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2) Auf </w:t>
      </w:r>
      <w:r w:rsidRPr="00492F36">
        <w:rPr>
          <w:rFonts w:ascii="Garamond" w:hAnsi="Garamond" w:cs="Arial"/>
          <w:i/>
          <w:iCs/>
          <w:color w:val="000000" w:themeColor="text1"/>
          <w:sz w:val="20"/>
          <w:szCs w:val="20"/>
          <w:lang w:val="en-GB"/>
        </w:rPr>
        <w:t>p. 135</w:t>
      </w:r>
      <w:r w:rsidRPr="00492F36">
        <w:rPr>
          <w:rFonts w:ascii="Garamond" w:hAnsi="Garamond" w:cs="Arial"/>
          <w:color w:val="000000" w:themeColor="text1"/>
          <w:sz w:val="20"/>
          <w:szCs w:val="20"/>
          <w:lang w:val="en-GB"/>
        </w:rPr>
        <w:t xml:space="preserve"> wird </w:t>
      </w:r>
      <w:r w:rsidRPr="00492F36">
        <w:rPr>
          <w:rFonts w:ascii="Garamond" w:hAnsi="Garamond" w:cs="Arial"/>
          <w:i/>
          <w:iCs/>
          <w:color w:val="000000" w:themeColor="text1"/>
          <w:sz w:val="20"/>
          <w:szCs w:val="20"/>
          <w:lang w:val="en-GB"/>
        </w:rPr>
        <w:t>Hannibals</w:t>
      </w:r>
      <w:r w:rsidRPr="00492F36">
        <w:rPr>
          <w:rFonts w:ascii="Garamond" w:hAnsi="Garamond" w:cs="Arial"/>
          <w:color w:val="000000" w:themeColor="text1"/>
          <w:sz w:val="20"/>
          <w:szCs w:val="20"/>
          <w:lang w:val="en-GB"/>
        </w:rPr>
        <w:t xml:space="preserve"> Vater </w:t>
      </w:r>
      <w:r w:rsidRPr="00492F36">
        <w:rPr>
          <w:rFonts w:ascii="Garamond" w:hAnsi="Garamond" w:cs="Arial"/>
          <w:i/>
          <w:iCs/>
          <w:color w:val="000000" w:themeColor="text1"/>
          <w:sz w:val="20"/>
          <w:szCs w:val="20"/>
          <w:lang w:val="en-GB"/>
        </w:rPr>
        <w:t>Hasdrubal</w:t>
      </w:r>
      <w:r w:rsidRPr="00492F36">
        <w:rPr>
          <w:rFonts w:ascii="Garamond" w:hAnsi="Garamond" w:cs="Arial"/>
          <w:color w:val="000000" w:themeColor="text1"/>
          <w:sz w:val="20"/>
          <w:szCs w:val="20"/>
          <w:lang w:val="en-GB"/>
        </w:rPr>
        <w:t xml:space="preserve"> genannt. Dieser Irrtum war mir besonders ärgerlich, hat mich aber in der Auffassung solcher Irrtümer am meisten bestärkt. In der Geschichte der </w:t>
      </w:r>
      <w:r w:rsidRPr="00492F36">
        <w:rPr>
          <w:rFonts w:ascii="Garamond" w:hAnsi="Garamond" w:cs="Arial"/>
          <w:i/>
          <w:iCs/>
          <w:color w:val="000000" w:themeColor="text1"/>
          <w:sz w:val="20"/>
          <w:szCs w:val="20"/>
          <w:lang w:val="en-GB"/>
        </w:rPr>
        <w:t>Barkiden</w:t>
      </w:r>
      <w:r w:rsidRPr="00492F36">
        <w:rPr>
          <w:rFonts w:ascii="Garamond" w:hAnsi="Garamond" w:cs="Arial"/>
          <w:color w:val="000000" w:themeColor="text1"/>
          <w:sz w:val="20"/>
          <w:szCs w:val="20"/>
          <w:lang w:val="en-GB"/>
        </w:rPr>
        <w:t xml:space="preserve"> dürften wenige der Leser des Buches besser Bescheid wissen als der Verfasser, der diesen Fehler niederschrieb und ihn bei drei Korrekturen übersah. Der Vater </w:t>
      </w:r>
      <w:r w:rsidRPr="00492F36">
        <w:rPr>
          <w:rFonts w:ascii="Garamond" w:hAnsi="Garamond" w:cs="Arial"/>
          <w:i/>
          <w:iCs/>
          <w:color w:val="000000" w:themeColor="text1"/>
          <w:sz w:val="20"/>
          <w:szCs w:val="20"/>
          <w:lang w:val="en-GB"/>
        </w:rPr>
        <w:t>Hannibals</w:t>
      </w:r>
      <w:r w:rsidRPr="00492F36">
        <w:rPr>
          <w:rFonts w:ascii="Garamond" w:hAnsi="Garamond" w:cs="Arial"/>
          <w:color w:val="000000" w:themeColor="text1"/>
          <w:sz w:val="20"/>
          <w:szCs w:val="20"/>
          <w:lang w:val="en-GB"/>
        </w:rPr>
        <w:t xml:space="preserve"> hieß </w:t>
      </w:r>
      <w:r w:rsidRPr="00492F36">
        <w:rPr>
          <w:rFonts w:ascii="Garamond" w:hAnsi="Garamond" w:cs="Arial"/>
          <w:i/>
          <w:iCs/>
          <w:color w:val="000000" w:themeColor="text1"/>
          <w:sz w:val="20"/>
          <w:szCs w:val="20"/>
          <w:lang w:val="en-GB"/>
        </w:rPr>
        <w:t>Hamilkar Barkas</w:t>
      </w:r>
      <w:r w:rsidRPr="00492F36">
        <w:rPr>
          <w:rFonts w:ascii="Garamond" w:hAnsi="Garamond" w:cs="Arial"/>
          <w:color w:val="000000" w:themeColor="text1"/>
          <w:sz w:val="20"/>
          <w:szCs w:val="20"/>
          <w:lang w:val="en-GB"/>
        </w:rPr>
        <w:t xml:space="preserve">, </w:t>
      </w:r>
      <w:r w:rsidRPr="00492F36">
        <w:rPr>
          <w:rFonts w:ascii="Garamond" w:hAnsi="Garamond" w:cs="Arial"/>
          <w:i/>
          <w:iCs/>
          <w:color w:val="000000" w:themeColor="text1"/>
          <w:sz w:val="20"/>
          <w:szCs w:val="20"/>
          <w:lang w:val="en-GB"/>
        </w:rPr>
        <w:t>Hasdrubal</w:t>
      </w:r>
      <w:r w:rsidRPr="00492F36">
        <w:rPr>
          <w:rFonts w:ascii="Garamond" w:hAnsi="Garamond" w:cs="Arial"/>
          <w:color w:val="000000" w:themeColor="text1"/>
          <w:sz w:val="20"/>
          <w:szCs w:val="20"/>
          <w:lang w:val="en-GB"/>
        </w:rPr>
        <w:t xml:space="preserve"> war der Name von </w:t>
      </w:r>
      <w:r w:rsidRPr="00492F36">
        <w:rPr>
          <w:rFonts w:ascii="Garamond" w:hAnsi="Garamond" w:cs="Arial"/>
          <w:i/>
          <w:iCs/>
          <w:color w:val="000000" w:themeColor="text1"/>
          <w:sz w:val="20"/>
          <w:szCs w:val="20"/>
          <w:lang w:val="en-GB"/>
        </w:rPr>
        <w:t>Hannibals</w:t>
      </w:r>
      <w:r w:rsidRPr="00492F36">
        <w:rPr>
          <w:rFonts w:ascii="Garamond" w:hAnsi="Garamond" w:cs="Arial"/>
          <w:color w:val="000000" w:themeColor="text1"/>
          <w:sz w:val="20"/>
          <w:szCs w:val="20"/>
          <w:lang w:val="en-GB"/>
        </w:rPr>
        <w:t xml:space="preserve"> Bruder, übrigens auch der seines Schwagers und Vorgängers im Kommando.</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3) Auf </w:t>
      </w:r>
      <w:r w:rsidRPr="00492F36">
        <w:rPr>
          <w:rFonts w:ascii="Garamond" w:hAnsi="Garamond" w:cs="Arial"/>
          <w:i/>
          <w:iCs/>
          <w:color w:val="000000" w:themeColor="text1"/>
          <w:sz w:val="20"/>
          <w:szCs w:val="20"/>
          <w:lang w:val="en-GB"/>
        </w:rPr>
        <w:t>p. 177</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p. 370</w:t>
      </w:r>
      <w:r w:rsidRPr="00492F36">
        <w:rPr>
          <w:rFonts w:ascii="Garamond" w:hAnsi="Garamond" w:cs="Arial"/>
          <w:color w:val="000000" w:themeColor="text1"/>
          <w:sz w:val="20"/>
          <w:szCs w:val="20"/>
          <w:lang w:val="en-GB"/>
        </w:rPr>
        <w:t xml:space="preserve"> behaupte ich, daß </w:t>
      </w:r>
      <w:r w:rsidRPr="00492F36">
        <w:rPr>
          <w:rFonts w:ascii="Garamond" w:hAnsi="Garamond" w:cs="Arial"/>
          <w:i/>
          <w:iCs/>
          <w:color w:val="000000" w:themeColor="text1"/>
          <w:sz w:val="20"/>
          <w:szCs w:val="20"/>
          <w:lang w:val="en-GB"/>
        </w:rPr>
        <w:t>Zeus</w:t>
      </w:r>
      <w:r w:rsidRPr="00492F36">
        <w:rPr>
          <w:rFonts w:ascii="Garamond" w:hAnsi="Garamond" w:cs="Arial"/>
          <w:color w:val="000000" w:themeColor="text1"/>
          <w:sz w:val="20"/>
          <w:szCs w:val="20"/>
          <w:lang w:val="en-GB"/>
        </w:rPr>
        <w:t xml:space="preserve"> seinen Vater Kronos entmannt und ihn vom Throne stürzt. Diesen Greuel habe ich aber irrtümlich um eine Generation vorgeschoben; die griechische Mythologie läßt ihn von </w:t>
      </w:r>
      <w:r w:rsidRPr="00492F36">
        <w:rPr>
          <w:rFonts w:ascii="Garamond" w:hAnsi="Garamond" w:cs="Arial"/>
          <w:i/>
          <w:iCs/>
          <w:color w:val="000000" w:themeColor="text1"/>
          <w:sz w:val="20"/>
          <w:szCs w:val="20"/>
          <w:lang w:val="en-GB"/>
        </w:rPr>
        <w:t>Kronos</w:t>
      </w:r>
      <w:r w:rsidRPr="00492F36">
        <w:rPr>
          <w:rFonts w:ascii="Garamond" w:hAnsi="Garamond" w:cs="Arial"/>
          <w:color w:val="000000" w:themeColor="text1"/>
          <w:sz w:val="20"/>
          <w:szCs w:val="20"/>
          <w:lang w:val="en-GB"/>
        </w:rPr>
        <w:t xml:space="preserve"> an seinem Vater </w:t>
      </w:r>
      <w:r w:rsidRPr="00492F36">
        <w:rPr>
          <w:rFonts w:ascii="Garamond" w:hAnsi="Garamond" w:cs="Arial"/>
          <w:i/>
          <w:iCs/>
          <w:color w:val="000000" w:themeColor="text1"/>
          <w:sz w:val="20"/>
          <w:szCs w:val="20"/>
          <w:lang w:val="en-GB"/>
        </w:rPr>
        <w:t>Uranos</w:t>
      </w:r>
      <w:r w:rsidRPr="00492F36">
        <w:rPr>
          <w:rFonts w:ascii="Garamond" w:hAnsi="Garamond" w:cs="Arial"/>
          <w:color w:val="000000" w:themeColor="text1"/>
          <w:sz w:val="20"/>
          <w:szCs w:val="20"/>
          <w:lang w:val="en-GB"/>
        </w:rPr>
        <w:t xml:space="preserve"> verüben.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Wie ist es nun zu erklären, daß mein Gedächtnis in diesen Punkten Ungetreues lieferte, während es mir sonst, wie sich Leser des Buches überzeugen können, das entlegenste und ungebräuchlichste Material zur Verfügung stellte? Und ferner, daß ich bei drei sorgfältig durchgeführten Korrekturen wie mit Blindheit geschlagen an diesen Irrtümern vorbeiging?</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Man hat von </w:t>
      </w:r>
      <w:r w:rsidRPr="00492F36">
        <w:rPr>
          <w:rFonts w:ascii="Garamond" w:hAnsi="Garamond" w:cs="Arial"/>
          <w:i/>
          <w:iCs/>
          <w:color w:val="000000" w:themeColor="text1"/>
          <w:sz w:val="20"/>
          <w:szCs w:val="20"/>
          <w:lang w:val="en-GB"/>
        </w:rPr>
        <w:t>Lichtenberg</w:t>
      </w:r>
      <w:r w:rsidRPr="00492F36">
        <w:rPr>
          <w:rFonts w:ascii="Garamond" w:hAnsi="Garamond" w:cs="Arial"/>
          <w:color w:val="000000" w:themeColor="text1"/>
          <w:sz w:val="20"/>
          <w:szCs w:val="20"/>
          <w:lang w:val="en-GB"/>
        </w:rPr>
        <w:t xml:space="preserve"> gesagt, wo er einen Witz gemacht habe, dort liege ein Problem verborgen. Ähnlich kann man über die hier angeführten Stellen meines Buches behaupten: wo ein Irrtum vorliegt, da steckt eine Verdrängung dahinter. Richtiger gesagt: eine Unaufrichtigkeit, eine Entstellung, die schliesslich auf Verdrängtem fußt. Ich bin bei der Analyse der dort mitgeteilten Träume durch die bloße Natur der Themata, auf welche sich die Traumgedanken beziehen, genötigt gewesen, einerseits die Analyse irgendwo vor ihrer Abrundung abzubrechen, andererseits einer indiskreten Einzelheit durch eine leise Entstellung die Schärfe zu benehmen. Ich konnte nicht anders und hatte auch keine andere Wahl, wenn ich überhaupt Beispiele und Belege vorbringen wollte; meine Zwangslage leitete sich mit Notwendigkeit aus der Eigenschaft der Träume ab, Verdrängtem, d. h. Bewußtseinsunfähigem, Ausdruck zu geben. Es dürfte trotzdem genug übrig geblieben sein, woran empfindlichere Seelen Anstoß genommen haben. Die Entstellung oder Verschweigung der mir selbst noch bekannten fortsetzenden Gedanken hat sich nun nicht spurlos durchführen lassen. Was ich unterdrücken wollte, hat sich oftmals wider meinen Willen den Zugang in das von mir Aufgenommene erkämpft und ist darin als von mir unbemerkter Irrtum zum Vorschein gekommen. In allen drei hervorgehobenen Beispielen liegt übrigens das nämliche Thema zu Grunde; die Irrtümer sind Abkömmlinge verdrängter Gedanken, die sich mit meinem verstorbenen Vater beschäftigen.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ad. a) Wer den auf </w:t>
      </w:r>
      <w:r w:rsidRPr="00492F36">
        <w:rPr>
          <w:rFonts w:ascii="Garamond" w:hAnsi="Garamond" w:cs="Arial"/>
          <w:i/>
          <w:iCs/>
          <w:color w:val="000000" w:themeColor="text1"/>
          <w:sz w:val="20"/>
          <w:szCs w:val="20"/>
          <w:lang w:val="en-GB"/>
        </w:rPr>
        <w:t>p. 266</w:t>
      </w:r>
      <w:r w:rsidRPr="00492F36">
        <w:rPr>
          <w:rFonts w:ascii="Garamond" w:hAnsi="Garamond" w:cs="Arial"/>
          <w:color w:val="000000" w:themeColor="text1"/>
          <w:sz w:val="20"/>
          <w:szCs w:val="20"/>
          <w:lang w:val="en-GB"/>
        </w:rPr>
        <w:t xml:space="preserve"> analysierten Traum durchliest, wird teils unverhüllt erfahren, teils aus Andeutungen erraten können, daß ich bei Gedanken abgebrochen habe, die eine unfreundliche Kritik am Vater enthalten hätten. In der Fortsetzung dieses Zuges von Gedanken und Erinnerungen liegt nun eine ärgerliche Geschichte, in welcher Bücher eine Rolle spielen und ein Geschäftsfreund des Vaters, der den Namen </w:t>
      </w:r>
      <w:r w:rsidRPr="00492F36">
        <w:rPr>
          <w:rFonts w:ascii="Garamond" w:hAnsi="Garamond" w:cs="Arial"/>
          <w:i/>
          <w:iCs/>
          <w:color w:val="000000" w:themeColor="text1"/>
          <w:sz w:val="20"/>
          <w:szCs w:val="20"/>
          <w:lang w:val="en-GB"/>
        </w:rPr>
        <w:t>Marburg</w:t>
      </w:r>
      <w:r w:rsidRPr="00492F36">
        <w:rPr>
          <w:rFonts w:ascii="Garamond" w:hAnsi="Garamond" w:cs="Arial"/>
          <w:color w:val="000000" w:themeColor="text1"/>
          <w:sz w:val="20"/>
          <w:szCs w:val="20"/>
          <w:lang w:val="en-GB"/>
        </w:rPr>
        <w:t xml:space="preserve"> führt, denselben Namen, durch dessen Anruf in der gleichnamigen Südbahnstation ich aus dem Schlaf geweckt wurde. Diesen Herrn </w:t>
      </w:r>
      <w:r w:rsidRPr="00492F36">
        <w:rPr>
          <w:rFonts w:ascii="Garamond" w:hAnsi="Garamond" w:cs="Arial"/>
          <w:i/>
          <w:iCs/>
          <w:color w:val="000000" w:themeColor="text1"/>
          <w:sz w:val="20"/>
          <w:szCs w:val="20"/>
          <w:lang w:val="en-GB"/>
        </w:rPr>
        <w:t>Marburg</w:t>
      </w:r>
      <w:r w:rsidRPr="00492F36">
        <w:rPr>
          <w:rFonts w:ascii="Garamond" w:hAnsi="Garamond" w:cs="Arial"/>
          <w:color w:val="000000" w:themeColor="text1"/>
          <w:sz w:val="20"/>
          <w:szCs w:val="20"/>
          <w:lang w:val="en-GB"/>
        </w:rPr>
        <w:t xml:space="preserve"> wollte ich bei der Analyse mir und den Lesern unterschlagen; er rächte sich dadurch, daß er sich dort einmengte, wo er nicht hingehört, und den Namen des Geburtsortes </w:t>
      </w:r>
      <w:r w:rsidRPr="00492F36">
        <w:rPr>
          <w:rFonts w:ascii="Garamond" w:hAnsi="Garamond" w:cs="Arial"/>
          <w:i/>
          <w:iCs/>
          <w:color w:val="000000" w:themeColor="text1"/>
          <w:sz w:val="20"/>
          <w:szCs w:val="20"/>
          <w:lang w:val="en-GB"/>
        </w:rPr>
        <w:t>Schillers</w:t>
      </w:r>
      <w:r w:rsidRPr="00492F36">
        <w:rPr>
          <w:rFonts w:ascii="Garamond" w:hAnsi="Garamond" w:cs="Arial"/>
          <w:color w:val="000000" w:themeColor="text1"/>
          <w:sz w:val="20"/>
          <w:szCs w:val="20"/>
          <w:lang w:val="en-GB"/>
        </w:rPr>
        <w:t xml:space="preserve"> aus </w:t>
      </w:r>
      <w:r w:rsidRPr="00492F36">
        <w:rPr>
          <w:rFonts w:ascii="Garamond" w:hAnsi="Garamond" w:cs="Arial"/>
          <w:i/>
          <w:iCs/>
          <w:color w:val="000000" w:themeColor="text1"/>
          <w:sz w:val="20"/>
          <w:szCs w:val="20"/>
          <w:lang w:val="en-GB"/>
        </w:rPr>
        <w:t>Marbach</w:t>
      </w:r>
      <w:r w:rsidRPr="00492F36">
        <w:rPr>
          <w:rFonts w:ascii="Garamond" w:hAnsi="Garamond" w:cs="Arial"/>
          <w:color w:val="000000" w:themeColor="text1"/>
          <w:sz w:val="20"/>
          <w:szCs w:val="20"/>
          <w:lang w:val="en-GB"/>
        </w:rPr>
        <w:t xml:space="preserve"> in </w:t>
      </w:r>
      <w:r w:rsidRPr="00492F36">
        <w:rPr>
          <w:rFonts w:ascii="Garamond" w:hAnsi="Garamond" w:cs="Arial"/>
          <w:i/>
          <w:iCs/>
          <w:color w:val="000000" w:themeColor="text1"/>
          <w:sz w:val="20"/>
          <w:szCs w:val="20"/>
          <w:lang w:val="en-GB"/>
        </w:rPr>
        <w:t>Marburg</w:t>
      </w:r>
      <w:r w:rsidRPr="00492F36">
        <w:rPr>
          <w:rFonts w:ascii="Garamond" w:hAnsi="Garamond" w:cs="Arial"/>
          <w:color w:val="000000" w:themeColor="text1"/>
          <w:sz w:val="20"/>
          <w:szCs w:val="20"/>
          <w:lang w:val="en-GB"/>
        </w:rPr>
        <w:t xml:space="preserve"> veränderte.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ad. b) Der Irrtum </w:t>
      </w:r>
      <w:r w:rsidRPr="00492F36">
        <w:rPr>
          <w:rFonts w:ascii="Garamond" w:hAnsi="Garamond" w:cs="Arial"/>
          <w:i/>
          <w:iCs/>
          <w:color w:val="000000" w:themeColor="text1"/>
          <w:sz w:val="20"/>
          <w:szCs w:val="20"/>
          <w:lang w:val="en-GB"/>
        </w:rPr>
        <w:t>Hasdrubal</w:t>
      </w:r>
      <w:r w:rsidRPr="00492F36">
        <w:rPr>
          <w:rFonts w:ascii="Garamond" w:hAnsi="Garamond" w:cs="Arial"/>
          <w:color w:val="000000" w:themeColor="text1"/>
          <w:sz w:val="20"/>
          <w:szCs w:val="20"/>
          <w:lang w:val="en-GB"/>
        </w:rPr>
        <w:t xml:space="preserve"> anstatt </w:t>
      </w:r>
      <w:r w:rsidRPr="00492F36">
        <w:rPr>
          <w:rFonts w:ascii="Garamond" w:hAnsi="Garamond" w:cs="Arial"/>
          <w:i/>
          <w:iCs/>
          <w:color w:val="000000" w:themeColor="text1"/>
          <w:sz w:val="20"/>
          <w:szCs w:val="20"/>
          <w:lang w:val="en-GB"/>
        </w:rPr>
        <w:t>Hamilkar</w:t>
      </w:r>
      <w:r w:rsidRPr="00492F36">
        <w:rPr>
          <w:rFonts w:ascii="Garamond" w:hAnsi="Garamond" w:cs="Arial"/>
          <w:color w:val="000000" w:themeColor="text1"/>
          <w:sz w:val="20"/>
          <w:szCs w:val="20"/>
          <w:lang w:val="en-GB"/>
        </w:rPr>
        <w:t xml:space="preserve">, der Name des Bruders an Stelle des Namens des Vaters, ereignet sich gerade in einem Zusammenhange, der von den Hannibalphantasien meiner Gymnasiastenjahre und von meiner Unzufriedenheit mit dem Benehmen des Vaters gegen die »Feinde unseres Volkes« handelt. Ich hätte fortsetzen und erzählen können, wie mein Verhältnis zum Vater durch einen Besuch in England verändert wurde, der mich die Bekanntschaft meines dort lebenden Halbbruders aus früherer Ehe des Vaters machen liess. Mein Bruder hat einen ältesten Sohn, der mir gleichalterig ist; die Phantasien, wie anders es geworden wäre, wenn ich nicht als Sohn des </w:t>
      </w:r>
      <w:r w:rsidRPr="00492F36">
        <w:rPr>
          <w:rFonts w:ascii="Garamond" w:hAnsi="Garamond" w:cs="Arial"/>
          <w:color w:val="000000" w:themeColor="text1"/>
          <w:sz w:val="20"/>
          <w:szCs w:val="20"/>
          <w:lang w:val="en-GB"/>
        </w:rPr>
        <w:lastRenderedPageBreak/>
        <w:t>Vaters, sondern des Bruders zur Welt gekommen wäre, fanden also kein Hindernis an den Altersrelationen. Diese unterdrückten Phantasien fälschten nun an der Stelle, wo ich in der Analyse abbrach, den Text meines Buches, indem sie mich nötigten, den Namen des Bruders für den des Vaters zu setzen.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ad. c) Dem Einfluß der Erinnerung an diesen selben Bruder schreibe ich es zu, daß ich die mythologischen Greuel der griechischen Götterwelt um eine Generation vorgeschoben habe. Von den Mahnungen des Bruders ist mir lange Zeit eine im Gedächtnis geblieben: ›Vergiß nicht, in Bezug auf Lebensführung, eines‹, hatte er mir gesagt, ›daß Du nicht der zweiten, sondern eigentlich der dritten Generation vom Vater aus angehörst.‹ Unser Vater hatte sich in späteren Jahren wieder verheiratet und war um so vieles älter als seine Kinder zweiter Ehe. Ich begehe den besprochenen Irrtum im Buche gerade, wo ich von der Pietät zwischen Eltern und Kindern handle.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Es ist auch einige Male vorgekommen, daß Freunde und Patienten, deren Träume ich berichtete, oder auf die ich in den Traumanalysen anspielte, mich aufmerksam machten, die Umstände der gemeinsam erlebten Begebenheit seien von mir ungenau erzählt worden. Das wären nun wiederum historische Irrtümer. Ich habe die einzelnen Fälle nach der Richtigstellung nachgeprüft und mich gleichfalls überzeugt, daß meine Erinnerung des Sachlichen nur dort ungetreu war, wo ich in der Analyse etwas mit Absicht entstellt oder verhehlt hatte. Auch hier wieder </w:t>
      </w:r>
      <w:r w:rsidRPr="00492F36">
        <w:rPr>
          <w:rFonts w:ascii="Garamond" w:hAnsi="Garamond" w:cs="Arial"/>
          <w:i/>
          <w:iCs/>
          <w:color w:val="000000" w:themeColor="text1"/>
          <w:sz w:val="20"/>
          <w:szCs w:val="20"/>
          <w:lang w:val="en-GB"/>
        </w:rPr>
        <w:t>ein unbemerkter Irrtum als Ersatz für eine absichtliche Verschweigung oder Verdrängung</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Von diesen Irrtümern, die der Verdrängung entspringen, heben sich scharf andere ab, die auf wirklicher Unwissenheit beruhen. So war es z. B. Unwissenheit, wenn ich auf einem Ausflug in die </w:t>
      </w:r>
      <w:r w:rsidRPr="00492F36">
        <w:rPr>
          <w:rFonts w:ascii="Garamond" w:hAnsi="Garamond" w:cs="Arial"/>
          <w:i/>
          <w:iCs/>
          <w:color w:val="000000" w:themeColor="text1"/>
          <w:sz w:val="20"/>
          <w:szCs w:val="20"/>
          <w:lang w:val="en-GB"/>
        </w:rPr>
        <w:t>Wachau</w:t>
      </w:r>
      <w:r w:rsidRPr="00492F36">
        <w:rPr>
          <w:rFonts w:ascii="Garamond" w:hAnsi="Garamond" w:cs="Arial"/>
          <w:color w:val="000000" w:themeColor="text1"/>
          <w:sz w:val="20"/>
          <w:szCs w:val="20"/>
          <w:lang w:val="en-GB"/>
        </w:rPr>
        <w:t xml:space="preserve"> den Aufenthalt des Revolutionärs </w:t>
      </w:r>
      <w:r w:rsidRPr="00492F36">
        <w:rPr>
          <w:rFonts w:ascii="Garamond" w:hAnsi="Garamond" w:cs="Arial"/>
          <w:i/>
          <w:iCs/>
          <w:color w:val="000000" w:themeColor="text1"/>
          <w:sz w:val="20"/>
          <w:szCs w:val="20"/>
          <w:lang w:val="en-GB"/>
        </w:rPr>
        <w:t>Fischhof</w:t>
      </w:r>
      <w:r w:rsidRPr="00492F36">
        <w:rPr>
          <w:rFonts w:ascii="Garamond" w:hAnsi="Garamond" w:cs="Arial"/>
          <w:color w:val="000000" w:themeColor="text1"/>
          <w:sz w:val="20"/>
          <w:szCs w:val="20"/>
          <w:lang w:val="en-GB"/>
        </w:rPr>
        <w:t xml:space="preserve"> berührt zu haben glaubte. Die beiden Orte haben nur den Namen gemein; das </w:t>
      </w:r>
      <w:r w:rsidRPr="00492F36">
        <w:rPr>
          <w:rFonts w:ascii="Garamond" w:hAnsi="Garamond" w:cs="Arial"/>
          <w:i/>
          <w:iCs/>
          <w:color w:val="000000" w:themeColor="text1"/>
          <w:sz w:val="20"/>
          <w:szCs w:val="20"/>
          <w:lang w:val="en-GB"/>
        </w:rPr>
        <w:t>EmmersdorfFischhofs</w:t>
      </w:r>
      <w:r w:rsidRPr="00492F36">
        <w:rPr>
          <w:rFonts w:ascii="Garamond" w:hAnsi="Garamond" w:cs="Arial"/>
          <w:color w:val="000000" w:themeColor="text1"/>
          <w:sz w:val="20"/>
          <w:szCs w:val="20"/>
          <w:lang w:val="en-GB"/>
        </w:rPr>
        <w:t xml:space="preserve"> liegt in Kärnthen. Ich wußte es aber nicht anders.</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Man wird vielleicht nicht geneigt sein, die Klasse von Irrtümern, für die ich hier die Aufklärung gebe, für sehr zahlreich oder besonders bedeutungsvoll zu halten. Ich gebe aber zu bedenken, ob man nicht Grund hat, die gleichen Gesichtspunkte auch auf die Beurteilung der ungleich wichtigeren </w:t>
      </w:r>
      <w:r w:rsidRPr="00492F36">
        <w:rPr>
          <w:rFonts w:ascii="Garamond" w:hAnsi="Garamond" w:cs="Arial"/>
          <w:i/>
          <w:iCs/>
          <w:color w:val="000000" w:themeColor="text1"/>
          <w:sz w:val="20"/>
          <w:szCs w:val="20"/>
          <w:lang w:val="en-GB"/>
        </w:rPr>
        <w:t>Urteilsirrtümer</w:t>
      </w:r>
      <w:r w:rsidRPr="00492F36">
        <w:rPr>
          <w:rFonts w:ascii="Garamond" w:hAnsi="Garamond" w:cs="Arial"/>
          <w:color w:val="000000" w:themeColor="text1"/>
          <w:sz w:val="20"/>
          <w:szCs w:val="20"/>
          <w:lang w:val="en-GB"/>
        </w:rPr>
        <w:t xml:space="preserve"> der Menschen im Leben und in der Wissenschaft auszudehnen. Nur den auserlesensten und ausgeglichensten Geistern scheint es möglich zu sein, das Bild der wahrgenommenen äußeren Realität vor der Verzerrung zu bewahren, die es sonst beim Durchgang durch die psychische Individualität des Wahrnehmenden erfährt.</w:t>
      </w:r>
    </w:p>
    <w:p w:rsidR="007D5EBB" w:rsidRDefault="007D5EBB">
      <w:pPr>
        <w:rPr>
          <w:rFonts w:ascii="Garamond" w:hAnsi="Garamond" w:cs="Arial"/>
          <w:b/>
          <w:bCs/>
          <w:color w:val="000000" w:themeColor="text1"/>
          <w:sz w:val="20"/>
          <w:szCs w:val="20"/>
          <w:lang w:val="en-GB"/>
        </w:rPr>
      </w:pPr>
      <w:r>
        <w:rPr>
          <w:rFonts w:ascii="Garamond" w:hAnsi="Garamond" w:cs="Arial"/>
          <w:b/>
          <w:bCs/>
          <w:color w:val="000000" w:themeColor="text1"/>
          <w:sz w:val="20"/>
          <w:szCs w:val="20"/>
          <w:lang w:val="en-GB"/>
        </w:rPr>
        <w:br w:type="page"/>
      </w:r>
    </w:p>
    <w:p w:rsidR="000D4CB9" w:rsidRPr="00492F36" w:rsidRDefault="00B437A1" w:rsidP="007D5EBB">
      <w:pPr>
        <w:shd w:val="clear" w:color="auto" w:fill="FFFFFF"/>
        <w:spacing w:before="44" w:after="44" w:line="124" w:lineRule="atLeast"/>
        <w:outlineLvl w:val="4"/>
        <w:rPr>
          <w:rFonts w:ascii="Garamond" w:hAnsi="Garamond" w:cs="Arial"/>
          <w:b/>
          <w:bCs/>
          <w:color w:val="000000" w:themeColor="text1"/>
          <w:sz w:val="20"/>
          <w:szCs w:val="20"/>
          <w:lang w:val="en-GB"/>
        </w:rPr>
      </w:pPr>
      <w:hyperlink w:anchor="Alltagslebens_INHALT" w:history="1">
        <w:r w:rsidR="000D4CB9" w:rsidRPr="007D5EBB">
          <w:rPr>
            <w:rStyle w:val="Lienhypertexte"/>
            <w:rFonts w:ascii="Garamond" w:hAnsi="Garamond" w:cs="Arial"/>
            <w:b/>
            <w:bCs/>
            <w:sz w:val="20"/>
            <w:szCs w:val="20"/>
            <w:lang w:val="en-GB"/>
          </w:rPr>
          <w:t>X.</w:t>
        </w:r>
        <w:r w:rsidR="007D5EBB" w:rsidRPr="007D5EBB">
          <w:rPr>
            <w:rStyle w:val="Lienhypertexte"/>
            <w:rFonts w:ascii="Garamond" w:hAnsi="Garamond" w:cs="Arial"/>
            <w:b/>
            <w:bCs/>
            <w:sz w:val="20"/>
            <w:szCs w:val="20"/>
            <w:lang w:val="en-GB"/>
          </w:rPr>
          <w:t xml:space="preserve">  </w:t>
        </w:r>
        <w:r w:rsidR="000D4CB9" w:rsidRPr="007D5EBB">
          <w:rPr>
            <w:rStyle w:val="Lienhypertexte"/>
            <w:rFonts w:ascii="Garamond" w:hAnsi="Garamond" w:cs="Arial"/>
            <w:b/>
            <w:bCs/>
            <w:sz w:val="20"/>
            <w:szCs w:val="20"/>
            <w:lang w:val="en-GB"/>
          </w:rPr>
          <w:t>De</w:t>
        </w:r>
        <w:bookmarkStart w:id="99" w:name="X"/>
        <w:bookmarkStart w:id="100" w:name="Alltagslebens_10"/>
        <w:bookmarkEnd w:id="99"/>
        <w:bookmarkEnd w:id="100"/>
        <w:r w:rsidR="000D4CB9" w:rsidRPr="007D5EBB">
          <w:rPr>
            <w:rStyle w:val="Lienhypertexte"/>
            <w:rFonts w:ascii="Garamond" w:hAnsi="Garamond" w:cs="Arial"/>
            <w:b/>
            <w:bCs/>
            <w:sz w:val="20"/>
            <w:szCs w:val="20"/>
            <w:lang w:val="en-GB"/>
          </w:rPr>
          <w:t>terminismus. Zufalls und Aberglauben. Gesichtspunkte.</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Als das allgemeine Ergebnis der vorstehenden Einzelerörterungen kann man folgende Einsicht hinstellen: </w:t>
      </w:r>
      <w:r w:rsidRPr="00492F36">
        <w:rPr>
          <w:rFonts w:ascii="Garamond" w:hAnsi="Garamond" w:cs="Arial"/>
          <w:i/>
          <w:iCs/>
          <w:color w:val="000000" w:themeColor="text1"/>
          <w:sz w:val="20"/>
          <w:szCs w:val="20"/>
          <w:lang w:val="en-GB"/>
        </w:rPr>
        <w:t>Gewisse Unzulänglichkeiten unserer psychischen Leistungen</w:t>
      </w:r>
      <w:r w:rsidRPr="00492F36">
        <w:rPr>
          <w:rFonts w:ascii="Garamond" w:hAnsi="Garamond" w:cs="Arial"/>
          <w:color w:val="000000" w:themeColor="text1"/>
          <w:sz w:val="20"/>
          <w:szCs w:val="20"/>
          <w:lang w:val="en-GB"/>
        </w:rPr>
        <w:t xml:space="preserve"> – deren gemeinsamer Charakter sogleich näher bestimmt werden soll – </w:t>
      </w:r>
      <w:r w:rsidRPr="00492F36">
        <w:rPr>
          <w:rFonts w:ascii="Garamond" w:hAnsi="Garamond" w:cs="Arial"/>
          <w:i/>
          <w:iCs/>
          <w:color w:val="000000" w:themeColor="text1"/>
          <w:sz w:val="20"/>
          <w:szCs w:val="20"/>
          <w:lang w:val="en-GB"/>
        </w:rPr>
        <w:t>und gewisse absichtslos erscheinende Verrichtungen erweisen sich, wenn man das Verfahren der psychoanalytischen Untersuchung auf sie anwendet, als wohlmotiviert und durch dem Bewußtsein unbekannte Motive determiniert</w:t>
      </w:r>
      <w:r w:rsidRPr="00492F36">
        <w:rPr>
          <w:rFonts w:ascii="Garamond" w:hAnsi="Garamond" w:cs="Arial"/>
          <w:color w:val="000000" w:themeColor="text1"/>
          <w:sz w:val="20"/>
          <w:szCs w:val="20"/>
          <w:lang w:val="en-GB"/>
        </w:rPr>
        <w: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Um in die Klasse der so zu erklärenden Phänomene eingereiht zu werden, muß eine psychische Fehlleistung folgenden Bedingungen genügen: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a) Sie darf nicht über ein gewisses Maß hinausgehen, welches von unserer Schätzung festgesetzt ist und durch den Ausdruck »innerhalb der Breite des Normalen« bezeichnet wird.</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b) Sie muß den Charakter der momentanen und zeitweiligen Störung an sich tragen. Wir müssen die nämliche Leistung vorher korrekter ausgeführt haben oder uns jederzeit zutrauen, sie korrekter auszuführen. Wenn wir von anderer Seite korrigiert werden, müssen wir die Richtigkeit der Korrektur und die Unrichtigkeit unseres eigenen psychischen Vorganges sofort erkennen.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c) Wenn wir die Fehlleistung überhaupt wahrnehmen, dürfen wir von einer Motivierung derselben nichts in uns verspüren, sondern müssen versucht sein, sie durch »Unaufmerksamkeit« zu erklären oder als »Zufälligkeit« hinzustellen.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Es verbleiben somit in dieser Gruppe die Fälle von Vergessen und die Irrtümer bei besserem Wissen, das Versprechen, Verlesen, Verschreiben, Vergreifen und die sog. Zufallshandlungen. Die gleiche Zusammensetzung mit der Vorsilbe </w:t>
      </w:r>
      <w:r w:rsidRPr="00492F36">
        <w:rPr>
          <w:rFonts w:ascii="Garamond" w:hAnsi="Garamond" w:cs="Arial"/>
          <w:i/>
          <w:iCs/>
          <w:color w:val="000000" w:themeColor="text1"/>
          <w:sz w:val="20"/>
          <w:szCs w:val="20"/>
          <w:lang w:val="en-GB"/>
        </w:rPr>
        <w:t>ver</w:t>
      </w:r>
      <w:r w:rsidRPr="00492F36">
        <w:rPr>
          <w:rFonts w:ascii="Garamond" w:hAnsi="Garamond" w:cs="Arial"/>
          <w:color w:val="000000" w:themeColor="text1"/>
          <w:sz w:val="20"/>
          <w:szCs w:val="20"/>
          <w:lang w:val="en-GB"/>
        </w:rPr>
        <w:t xml:space="preserve"> deutet für die meisten dieser Phänomene die innere Gleichartigkeit sprachlich an. An die Aufklärung dieser so bestimmten psychischen Vorgänge knüpft aber eine Reihe von Bemerkungen an, die zum Teil ein weitergehendes Interesse erwecken dürfen.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 Indem wir einen Teil unserer psychischen Leistungen als unaufklärbar durch Zielvorstellungen preisgeben, verkennen wir den Umfang der Determinierung im Seelenleben. Dieselbe reicht hier und noch auf anderen Gebieten weiter, als wir es vermuten. Ich habe im Jahre </w:t>
      </w:r>
      <w:smartTag w:uri="urn:schemas-microsoft-com:office:smarttags" w:element="metricconverter">
        <w:smartTagPr>
          <w:attr w:name="ProductID" w:val="1900 in"/>
        </w:smartTagPr>
        <w:r w:rsidRPr="00492F36">
          <w:rPr>
            <w:rFonts w:ascii="Garamond" w:hAnsi="Garamond" w:cs="Arial"/>
            <w:color w:val="000000" w:themeColor="text1"/>
            <w:sz w:val="20"/>
            <w:szCs w:val="20"/>
            <w:lang w:val="en-GB"/>
          </w:rPr>
          <w:t>1900 in</w:t>
        </w:r>
      </w:smartTag>
      <w:r w:rsidRPr="00492F36">
        <w:rPr>
          <w:rFonts w:ascii="Garamond" w:hAnsi="Garamond" w:cs="Arial"/>
          <w:color w:val="000000" w:themeColor="text1"/>
          <w:sz w:val="20"/>
          <w:szCs w:val="20"/>
          <w:lang w:val="en-GB"/>
        </w:rPr>
        <w:t xml:space="preserve"> einem Aufsatz des Literarhistorikers </w:t>
      </w:r>
      <w:r w:rsidRPr="00492F36">
        <w:rPr>
          <w:rFonts w:ascii="Garamond" w:hAnsi="Garamond" w:cs="Arial"/>
          <w:i/>
          <w:iCs/>
          <w:color w:val="000000" w:themeColor="text1"/>
          <w:sz w:val="20"/>
          <w:szCs w:val="20"/>
          <w:lang w:val="en-GB"/>
        </w:rPr>
        <w:t>R. M. Meyer</w:t>
      </w:r>
      <w:r w:rsidRPr="00492F36">
        <w:rPr>
          <w:rFonts w:ascii="Garamond" w:hAnsi="Garamond" w:cs="Arial"/>
          <w:color w:val="000000" w:themeColor="text1"/>
          <w:sz w:val="20"/>
          <w:szCs w:val="20"/>
          <w:lang w:val="en-GB"/>
        </w:rPr>
        <w:t xml:space="preserve"> in der </w:t>
      </w:r>
      <w:r w:rsidRPr="00492F36">
        <w:rPr>
          <w:rFonts w:ascii="Garamond" w:hAnsi="Garamond" w:cs="Arial"/>
          <w:i/>
          <w:iCs/>
          <w:color w:val="000000" w:themeColor="text1"/>
          <w:sz w:val="20"/>
          <w:szCs w:val="20"/>
          <w:lang w:val="en-GB"/>
        </w:rPr>
        <w:t>»Zeit«</w:t>
      </w:r>
      <w:r w:rsidRPr="00492F36">
        <w:rPr>
          <w:rFonts w:ascii="Garamond" w:hAnsi="Garamond" w:cs="Arial"/>
          <w:color w:val="000000" w:themeColor="text1"/>
          <w:sz w:val="20"/>
          <w:szCs w:val="20"/>
          <w:lang w:val="en-GB"/>
        </w:rPr>
        <w:t xml:space="preserve"> ausgeführt und an Beispielen erläutert gefunden, daß es unmöglich ist, absichtlich und willkürlich einen Unsinn zu komponieren. Seit längerer Zeit weiß ich, daß man es nicht zustande bringt, sich eine Zahl nach freiem Belieben einfallen zu lassen, ebensowenig wie etwa einen Namen. Untersucht man die scheinbar willkürlich gebildete, etwa mehrstellige, wie im Scherz oder Übermut ausgesprochene Zahl, so erweist sich deren strenge Determinierung, die man wirklich nicht für möglich gehalten hätte. Ich will nun zunächst ein Beispiel eines willkürlich gewählten Vornamens kurz erörtern und dann ein analoges Beispiel einer »gedankenlos hingeworfenen« Zahl ausführlicher analysieren.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á) Im Begriffe, die Krankengeschichte einer meiner Patientinnen für die Publikation herzurichten, erwäge ich, welchen Vornamen ich ihr in der Arbeit geben soll. Die Auswahl scheint sehr groß; gewiß schliessen sich einige Namen von vorne herein aus, in erster Linie der echte Name, sodann die Namen meiner eigenen Familienangehörigen, an denen ich Anstoß nehmen würde, etwa noch andere Frauennamen von besonders seltsamem Klang; im übrigen aber brauchte ich um einen solchen Namen nicht verlegen zu sein. Man sollte erwarten und ich erwarte selbst, daß sich mir eine ganze Schar weiblicher Namen zur Verfügung stellen wird. Anstatt dessen taucht ein einzelner auf, kein zweiter neben ihm, der Name </w:t>
      </w:r>
      <w:r w:rsidRPr="00492F36">
        <w:rPr>
          <w:rFonts w:ascii="Garamond" w:hAnsi="Garamond" w:cs="Arial"/>
          <w:i/>
          <w:iCs/>
          <w:color w:val="000000" w:themeColor="text1"/>
          <w:sz w:val="20"/>
          <w:szCs w:val="20"/>
          <w:lang w:val="en-GB"/>
        </w:rPr>
        <w:t>Dora</w:t>
      </w:r>
      <w:r w:rsidRPr="00492F36">
        <w:rPr>
          <w:rFonts w:ascii="Garamond" w:hAnsi="Garamond" w:cs="Arial"/>
          <w:color w:val="000000" w:themeColor="text1"/>
          <w:sz w:val="20"/>
          <w:szCs w:val="20"/>
          <w:lang w:val="en-GB"/>
        </w:rPr>
        <w:t xml:space="preserve">. Ich frage nach seiner Determinierung. Wer heißt denn nur sonst Dora? Ungläubig möchte ich den nächsten Einfall zurückweisen, der lautet, daß das Kindermädchen meiner Schwester so heißt. Aber ich besitze soviel Selbstzucht oder Übung im Analysieren, daß ich den Einfall festhalte und weiterspinne. Da fällt mir auch sofort eine kleine Begebenheit des vorigen Abends ein, welche die gesuchte Determinierung bringt. Ich sah auf dem Tisch im Speisezimmer meiner Schwester einen Brief liegen mit der Aufschrift: An Fräulein Rosa W. Erstaunt fragte ich, wer so heißt, und wurde belehrt, daß die vermeintliche Dora eigentlich Rosa heißt, und diesen ihren Namen beim Eintritt ins Haus ablegen mußte, weil meine Schwester den Ruf »Rosa« auch auf ihre eigene Person beziehen kann. Ich sage bedauernd: Die armen Leute, nicht einmal ihren Namen können sie beibehalten! Wie ich mich jetzt besinne, wurde ich dann für einen Moment still und begann an allerlei ernsthafte Dinge zu denken, die ins Unklare verliefen, die ich mir jetzt aber leicht bewußt machen könnte. Als ich dann am nächsten Tag nach einem Namen für eine Person suchte, </w:t>
      </w:r>
      <w:r w:rsidRPr="00492F36">
        <w:rPr>
          <w:rFonts w:ascii="Garamond" w:hAnsi="Garamond" w:cs="Arial"/>
          <w:i/>
          <w:iCs/>
          <w:color w:val="000000" w:themeColor="text1"/>
          <w:sz w:val="20"/>
          <w:szCs w:val="20"/>
          <w:lang w:val="en-GB"/>
        </w:rPr>
        <w:t>die ihren eigenen nicht beibehalten durfte</w:t>
      </w:r>
      <w:r w:rsidRPr="00492F36">
        <w:rPr>
          <w:rFonts w:ascii="Garamond" w:hAnsi="Garamond" w:cs="Arial"/>
          <w:color w:val="000000" w:themeColor="text1"/>
          <w:sz w:val="20"/>
          <w:szCs w:val="20"/>
          <w:lang w:val="en-GB"/>
        </w:rPr>
        <w:t>, fiel mir kein anderer als »Dora« ein. Die Ausschließlichkeit beruht hier auf fester inhaltlicher Verknüpfung, denn in der Geschichte meiner Patientin rührte ein auch für den Verlauf der Kur entscheidender Einfluß von der im fremden Haus dienenden Person, von einer Gouvernante, her.</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â) In einem Briefe an meinen Freund in B. kündige ich ihm an, daß ich jetzt die Korrekturen der </w:t>
      </w:r>
      <w:r w:rsidRPr="00492F36">
        <w:rPr>
          <w:rFonts w:ascii="Garamond" w:hAnsi="Garamond" w:cs="Arial"/>
          <w:i/>
          <w:iCs/>
          <w:color w:val="000000" w:themeColor="text1"/>
          <w:sz w:val="20"/>
          <w:szCs w:val="20"/>
          <w:lang w:val="en-GB"/>
        </w:rPr>
        <w:t>Traumdeutung</w:t>
      </w:r>
      <w:r w:rsidRPr="00492F36">
        <w:rPr>
          <w:rFonts w:ascii="Garamond" w:hAnsi="Garamond" w:cs="Arial"/>
          <w:color w:val="000000" w:themeColor="text1"/>
          <w:sz w:val="20"/>
          <w:szCs w:val="20"/>
          <w:lang w:val="en-GB"/>
        </w:rPr>
        <w:t xml:space="preserve"> abgeschlossen habe und nichts mehr an dem Werk ändern will, »möge es auch </w:t>
      </w:r>
      <w:r w:rsidRPr="00492F36">
        <w:rPr>
          <w:rFonts w:ascii="Garamond" w:hAnsi="Garamond" w:cs="Arial"/>
          <w:b/>
          <w:bCs/>
          <w:color w:val="000000" w:themeColor="text1"/>
          <w:sz w:val="20"/>
          <w:szCs w:val="20"/>
          <w:lang w:val="en-GB"/>
        </w:rPr>
        <w:t>2467</w:t>
      </w:r>
      <w:r w:rsidRPr="00492F36">
        <w:rPr>
          <w:rFonts w:ascii="Garamond" w:hAnsi="Garamond" w:cs="Arial"/>
          <w:color w:val="000000" w:themeColor="text1"/>
          <w:sz w:val="20"/>
          <w:szCs w:val="20"/>
          <w:lang w:val="en-GB"/>
        </w:rPr>
        <w:t xml:space="preserve"> Fehler enthalten«. Ich versuche sofort, mir diese Zahl aufzuklären und füge die kleine Analyse noch als Nachschrift dem Briefe an. Am besten zitiere ich jetzt, wie ich damals geschrieben, als ich mich auf frischer Tat ertappte: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lastRenderedPageBreak/>
        <w:t xml:space="preserve">›Noch rasch einen Beitrag zur Psychopathologie des Alltagslebens. </w:t>
      </w:r>
      <w:r w:rsidRPr="00492F36">
        <w:rPr>
          <w:rFonts w:ascii="Garamond" w:hAnsi="Garamond" w:cs="Arial"/>
          <w:color w:val="000000" w:themeColor="text1"/>
          <w:sz w:val="20"/>
          <w:szCs w:val="20"/>
          <w:lang w:val="en-GB"/>
        </w:rPr>
        <w:t xml:space="preserve">Du findest im Brief die Zahl 2467 als übermütige Willkürschätzung der Fehler, die sich im Traumbuch finden werden. Es soll heissen: irgend eine grosse Zahl, und da stellt sich diese ein. Nun gibt es aber nichts Willkürliches, Undeterminiertes im Psychischen. Du wirst also auch mit Recht erwarten, daß das Unbewußte sich beeilt hat, die Zahl zu determinieren, die von dem Bewußten freigelassen wurde. Nun hatte ich gerade vorher in der Zeitung gelesen, daß ein General E.M. als Feldzeugmeister in den Ruhestand getreten. Du mußt wissen, der Mann interessiert mich. Während ich als militärärztlicher Eleve diente, kam er einmal, damals Oberst, in den Krankenstand und sagte zum Arzt: Sie müssen mich aber in 8 Tagen gesund machen, denn ich habe etwas zu arbeiten, worauf der Kaiser wartet. Damals nahm ich mir vor, die Laufbahn des Mannes zu verfolgen, und siehe da, heute (1899) ist er am Ende derselben, Feldzeugmeister und schon im Ruhestande. Ich wollte ausrechnen, in welcher Zeit er diesen Weg zurückgelegt, und nahm an, daß ich ihn 1882 im Spital gesehen. Das wären also 17 Jahre. Ich erzähle meiner Frau davon und sie bemerkt: Da müßtest Du also auch schon im Ruhestande sein? Und ich protestiere: Davor bewahre mich Gott. Nach diesem Gespräch setze ich mich an den Tisch, um Dir zu schreiben. Der frühere Gedankengang setzt sich aber fort und mit gutem Recht. Es war falsch gerechnet; ich habe einen festen Punkt dafür in meiner Erinnerung. Meine Großjährigkeit, meinen </w:t>
      </w:r>
      <w:r w:rsidRPr="00492F36">
        <w:rPr>
          <w:rFonts w:ascii="Garamond" w:hAnsi="Garamond" w:cs="Arial"/>
          <w:b/>
          <w:bCs/>
          <w:color w:val="000000" w:themeColor="text1"/>
          <w:sz w:val="20"/>
          <w:szCs w:val="20"/>
          <w:lang w:val="en-GB"/>
        </w:rPr>
        <w:t>24.</w:t>
      </w:r>
      <w:r w:rsidRPr="00492F36">
        <w:rPr>
          <w:rFonts w:ascii="Garamond" w:hAnsi="Garamond" w:cs="Arial"/>
          <w:color w:val="000000" w:themeColor="text1"/>
          <w:sz w:val="20"/>
          <w:szCs w:val="20"/>
          <w:lang w:val="en-GB"/>
        </w:rPr>
        <w:t xml:space="preserve"> Geburtstag also, habe ich im Militärarrest gefeiert (weil ich mich eigenmächtig absentiert hatte). Das war also 1880; es sind 19 Jahre her. Da hast Du nun die Zahl </w:t>
      </w:r>
      <w:smartTag w:uri="urn:schemas-microsoft-com:office:smarttags" w:element="metricconverter">
        <w:smartTagPr>
          <w:attr w:name="ProductID" w:val="24 in"/>
        </w:smartTagPr>
        <w:r w:rsidRPr="00492F36">
          <w:rPr>
            <w:rFonts w:ascii="Garamond" w:hAnsi="Garamond" w:cs="Arial"/>
            <w:b/>
            <w:bCs/>
            <w:color w:val="000000" w:themeColor="text1"/>
            <w:sz w:val="20"/>
            <w:szCs w:val="20"/>
            <w:lang w:val="en-GB"/>
          </w:rPr>
          <w:t>24</w:t>
        </w:r>
        <w:r w:rsidRPr="00492F36">
          <w:rPr>
            <w:rFonts w:ascii="Garamond" w:hAnsi="Garamond" w:cs="Arial"/>
            <w:color w:val="000000" w:themeColor="text1"/>
            <w:sz w:val="20"/>
            <w:szCs w:val="20"/>
            <w:lang w:val="en-GB"/>
          </w:rPr>
          <w:t xml:space="preserve"> in</w:t>
        </w:r>
      </w:smartTag>
      <w:r w:rsidRPr="00492F36">
        <w:rPr>
          <w:rFonts w:ascii="Garamond" w:hAnsi="Garamond" w:cs="Arial"/>
          <w:color w:val="000000" w:themeColor="text1"/>
          <w:sz w:val="20"/>
          <w:szCs w:val="20"/>
          <w:lang w:val="en-GB"/>
        </w:rPr>
        <w:t xml:space="preserve"> 2467! Nimm nun meine Alterszahl 43 und gib 24 Jahre hinzu, so bekommst Du die </w:t>
      </w:r>
      <w:r w:rsidRPr="00492F36">
        <w:rPr>
          <w:rFonts w:ascii="Garamond" w:hAnsi="Garamond" w:cs="Arial"/>
          <w:b/>
          <w:bCs/>
          <w:color w:val="000000" w:themeColor="text1"/>
          <w:sz w:val="20"/>
          <w:szCs w:val="20"/>
          <w:lang w:val="en-GB"/>
        </w:rPr>
        <w:t>67</w:t>
      </w:r>
      <w:r w:rsidRPr="00492F36">
        <w:rPr>
          <w:rFonts w:ascii="Garamond" w:hAnsi="Garamond" w:cs="Arial"/>
          <w:color w:val="000000" w:themeColor="text1"/>
          <w:sz w:val="20"/>
          <w:szCs w:val="20"/>
          <w:lang w:val="en-GB"/>
        </w:rPr>
        <w:t>! D.h. auf die Frage, ob ich auch in den Ruhestand treten will, habe ich mir im Wunsch noch 24 Jahre Arbeit zugelegt. Offenbar bin ich gekränkt darüber, daß ich es in dem Intervall, durch das ich den Oberst M. verfolgt, selbst nicht weit gebracht habe, und doch wie in einer Art von Triumph darüber, daß er jetzt schon fertig ist, während ich noch Alles vor mir habe. Da darf man doch mit Recht sagen, daß nicht einmal die absichtslos hingeworfene Zahl 2467 ihrer Determinierung aus dem Unbewußten entbehrt.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Seit diesem ersten Beispiel von Aufklärung einer scheinbar willkürlich gewählten Zahl habe ich den gleichen Versuch vielmals mit dem nämlichen Erfolg wiederholt; aber die meisten Fälle sind so sehr intimen Inhalts, daß sie sich der Mitteilung entziehen. Gerade an diesen Analysen ist mir zweierlei besonders auffällig: Erstens die geradezu somnambule Sicherheit, mit der ich auf das mir unbekannte Ziel losgehe, mich in einen rechnenden Gedankengang versenke, der dann plötzlich bei der gesuchten Zahl angelangt ist, und die Raschheit, mit der sich die ganze Nacharbeit vollzieht; zweitens aber der Umstand, daß die Zahlen meinem unbewußten Denken so bereitwillig zur Verfügung stehen, während ich ein schlechter Rechner bin und die größten Schwierigkeiten habe, mir Jahreszahlen, Hausnummern und dergleichen bewußt zu merken. Ich finde übrigens in diesen unbewußten Gedankenoperationen mit Zahlen eine Neigung zum Aberglauben, deren Herkunft mir selbst noch fremd ist. Meist stoße ich auf Spekulationen über die Lebensdauer meiner selbst und der mir teuren Personen, und bestimmend auf die unbewußten Spielereien muß eingewirkt haben, daß mein Freund in B. die Lebenszeiten der Menschen zum Gegenstand seiner auf biologische Einheiten gegründeten Rechnungen genommen hat. Ich bin nun mit einer der Voraussetzungen, von denen er hierbei ausgeht, nicht einverstanden, möchte aus höchst egoistischen Motiven gerne gegen ihn Recht behalten und scheine nun diese Rechnungen auf meine Art nachzuahmen.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II. Diese Einsicht in die Determinierung scheinbar willkürlich gewählter Namen und Zahlen kann vielleicht zur Klärung eines anderen Problems beitragen. Gegen die Annahme eines durchgehenden psychischen Determinismus berufen sich bekanntlich viele Personen auf ein besonderes Überzeugungsgefühl für die Existenz eines freien Willens. Dieses Überzeugungsgefühl besteht und weicht auch dem Glauben an den Determinismus nicht. Es muß wie alle normalen Gefühle durch irgend etwas berechtigt sein. Es äußert sich aber, soviel ich beobachten kann, nicht bei den grossen und wichtigen Willensentscheidungen; bei diesen Gelegenheiten hat man vielmehr die Empfindung des psychischen Zwanges und beruft sich auf sie (Hier stehe ich, ich kann nicht anders). Hingegen möchte man gerade bei den belanglosen, indifferenten Entschließungen versichern, daß man ebensowohl anders hätte handeln können, daß man aus freiem, nicht motiviertem Willen gehandelt hat. Nach unseren Analysen braucht man nun das Recht des Überzeugungsgefühles vom freien Willen nicht zu bestreiten. Führt man die Unterscheidung der Motivierung aus dem Bewußten von der Motivierung aus dem Unbewußten ein, so berichtet uns das Überzeugungsgefühl, daß die bewußte Motivierung sich nicht auf alle unsere motorischen Entscheidungen erstreckt. </w:t>
      </w:r>
      <w:r w:rsidRPr="00492F36">
        <w:rPr>
          <w:rFonts w:ascii="Garamond" w:hAnsi="Garamond" w:cs="Arial"/>
          <w:i/>
          <w:iCs/>
          <w:color w:val="000000" w:themeColor="text1"/>
          <w:sz w:val="20"/>
          <w:szCs w:val="20"/>
          <w:lang w:val="en-GB"/>
        </w:rPr>
        <w:t>Minima non curat praetor.</w:t>
      </w:r>
      <w:r w:rsidRPr="00492F36">
        <w:rPr>
          <w:rFonts w:ascii="Garamond" w:hAnsi="Garamond" w:cs="Arial"/>
          <w:color w:val="000000" w:themeColor="text1"/>
          <w:sz w:val="20"/>
          <w:szCs w:val="20"/>
          <w:lang w:val="en-GB"/>
        </w:rPr>
        <w:t xml:space="preserve"> Was aber so von der einen Seite frei gelassen wird, das empfängt seine Motivierung von anderer Seite, aus dem Unbewußten, und so ist die Determinierung im Psychischen doch lückenlos durchgeführt.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III. Wenngleich dem bewußten Denken die Kenntnis von der Motivierung der besprochenen Fehlleistungen nach der ganzen Sachlage abgehen muß, so wäre es doch erwünscht, einen psychologischen Beweis für deren Existenz aufzufinden; ja es ist aus Gründen, die sich bei näherer Kenntnis des Unbewußten ergeben, wahrscheinlich, daß solche Beweise irgendwo auffindbar sind. Es lassen sich wirklich auf zwei Gebieten Phänomene nachweisen, welche einer unbewußten und darum verschobenen Kenntnis von dieser Motivierung zu entsprechen scheinen.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 Es ist ein auffälliger und allgemein bemerkter Zug im Verhalten der Paranoiker, daß sie den kleinen, sonst von uns vernachlässigten Details im Benehmen der anderen die größte Bedeutung beilegen, dieselben ausdeuten und zur Grundlage weitgehender Schlüsse machen. Der letzte Paranoiker z.B., den ich gesehen habe, schloß auf ein allgemeines Einverständnis in seiner Umgebung, weil die Leute bei seiner Abreise auf dem Bahnhof eine gewisse Bewegung mit der einen Hand gemacht hatten. Ein anderer hat die Art notiert, wie die Leute auf der Strasse gehen, </w:t>
      </w:r>
      <w:r w:rsidRPr="00492F36">
        <w:rPr>
          <w:rFonts w:ascii="Garamond" w:hAnsi="Garamond" w:cs="Arial"/>
          <w:color w:val="000000" w:themeColor="text1"/>
          <w:sz w:val="20"/>
          <w:szCs w:val="20"/>
          <w:lang w:val="en-GB"/>
        </w:rPr>
        <w:lastRenderedPageBreak/>
        <w:t xml:space="preserve">mit den Spazierstöcken fuchteln u.dgl. </w:t>
      </w:r>
      <w:hyperlink r:id="rId283"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Von anderen Gesichtspunkten ausgehend, hat man diese Beurteilung unwesentlicher und zufälliger Äußerungen bei anderen zum Beziehungswahn gerechnet.</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Die Kategorie des Zufälligen, der Motivierung nicht Bedürftigen, welche der Normale für einen Teil seiner eigenen psychischen Leistungen und Fehlleistungen gelten läßt, verwirft der Paranoiker also in der Anwendung auf die psychischen Äußerungen der anderen. Alles, was er an den anderen bemerkt, ist bedeutungsvoll, alles ist deutbar. Wie kommt er nur dazu? Er projiziert wahrscheinlich in das Seelenleben der anderen, was im eigenen unbewußt vorhanden ist, hier wie in so vielen ähnlichen Fällen. In der Paranoia drängt sich eben so vielerlei zum Bewußtsein durch, was wir bei Normalen und Neurotikern erst durch die Psychoanalyse als im Unbewußten vorhanden nachweisen. </w:t>
      </w:r>
      <w:hyperlink r:id="rId284"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Die durch Analyse bewußt zu machenden Phantasieen der Hysteriker von sexuellen und grausamen Mißhandlungen decken sich z. B. gelegentlich bis ins Einzelne mit den Klagen verfolgter Paranoiker. Es ist bemerkenswert, aber nicht unverständlich, wenn der identische Inhalt uns auch als Realität in den Veranstaltungen Perverser zur Befriedigung ihrer Gelüste entgegentritt.</w:t>
        </w:r>
      </w:hyperlink>
      <w:r w:rsidRPr="00492F36">
        <w:rPr>
          <w:rFonts w:ascii="Garamond" w:hAnsi="Garamond" w:cs="Arial"/>
          <w:color w:val="000000" w:themeColor="text1"/>
          <w:sz w:val="20"/>
          <w:szCs w:val="20"/>
          <w:lang w:val="en-GB"/>
        </w:rPr>
        <w:t xml:space="preserve"> Der Paranoiker hat also hierin in gewissem Sinne Recht, er erkennt etwas, was dem Normalen entgeht, er sieht schärfer als das normale Denkvermögen, aber die Verschiebung des so erkannten Sachverhaltes auf andere macht seine Erkenntnis wertlos. Die Rechtfertigung der einzelnen paranoischen Deutungen wird man dann hoffentlich von mir nicht erwarten. Das Stück Berechtigung aber, welches wir der Paranoia bei dieser Auffassung der Zufallshandlungen zugestehen, wird uns das psychologische Verständnis der Überzeugung erleichtern, welche sich beim Paranoiker an alle diese Deutungen geknüpft hat. </w:t>
      </w:r>
      <w:r w:rsidRPr="00492F36">
        <w:rPr>
          <w:rFonts w:ascii="Garamond" w:hAnsi="Garamond" w:cs="Arial"/>
          <w:i/>
          <w:iCs/>
          <w:color w:val="000000" w:themeColor="text1"/>
          <w:sz w:val="20"/>
          <w:szCs w:val="20"/>
          <w:lang w:val="en-GB"/>
        </w:rPr>
        <w:t>Es ist eben etwas Wahres daran</w:t>
      </w:r>
      <w:r w:rsidRPr="00492F36">
        <w:rPr>
          <w:rFonts w:ascii="Garamond" w:hAnsi="Garamond" w:cs="Arial"/>
          <w:color w:val="000000" w:themeColor="text1"/>
          <w:sz w:val="20"/>
          <w:szCs w:val="20"/>
          <w:lang w:val="en-GB"/>
        </w:rPr>
        <w:t xml:space="preserve">; auch unsere nicht als krankhaft zu bezeichnenden Urteilsirrtümer erwerben das ihnen zugehörige Überzeugungsgefühl auf keine andere Art. Dies </w:t>
      </w:r>
      <w:r w:rsidRPr="00492F36">
        <w:rPr>
          <w:rFonts w:ascii="Garamond" w:hAnsi="Garamond" w:cs="Arial"/>
          <w:i/>
          <w:iCs/>
          <w:color w:val="000000" w:themeColor="text1"/>
          <w:sz w:val="20"/>
          <w:szCs w:val="20"/>
          <w:lang w:val="en-GB"/>
        </w:rPr>
        <w:t>Gefühl</w:t>
      </w:r>
      <w:r w:rsidRPr="00492F36">
        <w:rPr>
          <w:rFonts w:ascii="Garamond" w:hAnsi="Garamond" w:cs="Arial"/>
          <w:color w:val="000000" w:themeColor="text1"/>
          <w:sz w:val="20"/>
          <w:szCs w:val="20"/>
          <w:lang w:val="en-GB"/>
        </w:rPr>
        <w:t xml:space="preserve"> ist für ein gewisses Stück des irrtümlichen Gedankenganges oder für die Quelle, aus der er stammt, berechtigt und wird dann von uns auf den übrigen Zusammenhang ausgedehnt.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b) Ein anderer Hinweis auf die unbewußte und verschobene Kenntnis der Motivierung bei Zufalls- und Fehlleistungen findet sich in den Phänomenen des Aberglaubens. Ich will meine Meinung durch die Diskussion des kleinen Erlebnisses klar legen, welches für mich der Ausgangspunkt dieser Überlegungen war.</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Von den Ferien zurückgekehrt, richten sich meine Gedanken alsbald auf die Kranken, die mich in dem neu beginnenden Arbeitsjahr beschäftigen sollen. Mein erster Weg gilt einer sehr alten Dame, bei der ich (siehe oben) seit Jahren die nämlichen ärztlichen Manipulationen zweimal täglich vornehme. Wegen dieser Gleichförmigkeit haben sich unbewußte Gedanken sehr häufig auf dem Wege zu der Kranken und während der Beschäftigung mit ihr Ausdruck verschafft. Sie ist über 90 Jahre alt; es liegt also nahe, sich bei Beginn eines jeden Jahres zu fragen, wie lange sie wohl noch zu leben hat. An dem Tage, von dem ich erzähle, habe ich Eile, nehme also einen Wagen, der mich vor ihr Haus führen soll. Jeder der Kutscher auf dem Wagenstandplatz vor meinem Hause kennt die Adresse der alten Frau, denn jeder hat mich schon oftmals dahin geführt. Heute ereignet es sich nun, daß der Kutscher nicht vor ihrem Hause, sondern vor dem gleichbezifferten in einer nahegelegenen und wirklich ähnlich aussehenden Parallelstrasse Halt macht. Ich merke den Irrtum und werfe ihn dem Kutscher vor, der sich entschuldigt. Hat das nun etwas zu bedeuten, daß ich vor ein Haus geführt werde, in dem ich die alte Dame nicht vorfinde? Für mich gewiß nicht, aber wenn ich </w:t>
      </w:r>
      <w:r w:rsidRPr="00492F36">
        <w:rPr>
          <w:rFonts w:ascii="Garamond" w:hAnsi="Garamond" w:cs="Arial"/>
          <w:i/>
          <w:iCs/>
          <w:color w:val="000000" w:themeColor="text1"/>
          <w:sz w:val="20"/>
          <w:szCs w:val="20"/>
          <w:lang w:val="en-GB"/>
        </w:rPr>
        <w:t>abergläubisch</w:t>
      </w:r>
      <w:r w:rsidRPr="00492F36">
        <w:rPr>
          <w:rFonts w:ascii="Garamond" w:hAnsi="Garamond" w:cs="Arial"/>
          <w:color w:val="000000" w:themeColor="text1"/>
          <w:sz w:val="20"/>
          <w:szCs w:val="20"/>
          <w:lang w:val="en-GB"/>
        </w:rPr>
        <w:t xml:space="preserve"> wäre, würde ich in dieser Begebenheit ein Vorzeichen erblicken, einen Fingerzeig des Schicksals, daß dies Jahr das letzte für die alte Frau sein wird. Recht viele Vorzeichen, welche die Geschichte aufbewahrt hat, sind in keiner besseren Symbolik begründet gewesen. </w:t>
      </w:r>
      <w:r w:rsidRPr="00492F36">
        <w:rPr>
          <w:rFonts w:ascii="Garamond" w:hAnsi="Garamond" w:cs="Arial"/>
          <w:i/>
          <w:iCs/>
          <w:color w:val="000000" w:themeColor="text1"/>
          <w:sz w:val="20"/>
          <w:szCs w:val="20"/>
          <w:lang w:val="en-GB"/>
        </w:rPr>
        <w:t>Ich</w:t>
      </w:r>
      <w:r w:rsidRPr="00492F36">
        <w:rPr>
          <w:rFonts w:ascii="Garamond" w:hAnsi="Garamond" w:cs="Arial"/>
          <w:color w:val="000000" w:themeColor="text1"/>
          <w:sz w:val="20"/>
          <w:szCs w:val="20"/>
          <w:lang w:val="en-GB"/>
        </w:rPr>
        <w:t xml:space="preserve"> erkläre allerdings den Vorfall für eine Zufälligkeit ohne weiteren Sinn.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Ganz anders läge der Fall, wenn ich den Weg zu Fuß gemacht und dann in »Gedanken«, in der »Zerstreutheit« vor das Haus der Parallelstrasse anstatt vors richtige gekommen wäre. Das würde ich für keinen Zufall erklären, sondern für eine der Deutung bedürftige Handlung mit unbewußter Absicht. Diesem » </w:t>
      </w:r>
      <w:r w:rsidRPr="00492F36">
        <w:rPr>
          <w:rFonts w:ascii="Garamond" w:hAnsi="Garamond" w:cs="Arial"/>
          <w:i/>
          <w:iCs/>
          <w:color w:val="000000" w:themeColor="text1"/>
          <w:sz w:val="20"/>
          <w:szCs w:val="20"/>
          <w:lang w:val="en-GB"/>
        </w:rPr>
        <w:t>Vergehen</w:t>
      </w:r>
      <w:r w:rsidRPr="00492F36">
        <w:rPr>
          <w:rFonts w:ascii="Garamond" w:hAnsi="Garamond" w:cs="Arial"/>
          <w:color w:val="000000" w:themeColor="text1"/>
          <w:sz w:val="20"/>
          <w:szCs w:val="20"/>
          <w:lang w:val="en-GB"/>
        </w:rPr>
        <w:t>« müßte ich wahrscheinlich die Deutung geben, daß ich die alte Dame bald nicht mehr anzutreffen erwarte.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Ich unterscheide mich also von einem Abergläubischen in folgendem:</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Ich glaube nicht, daß ein Ereignis, an dessen Zustandekommen mein Seelenleben unbeteiligt ist, mir etwas Verborgenes über die zukünftige Gestaltung der Realität lehren kann; ich glaube aber, daß eine unbeabsichtigte Äußerung meiner eigenen Seelentätigkeit mir allerdings etwas Verborgenes enthüllt, was wiederum nur meinem Seelenleben angehört; ich glaube zwar an äußeren (realen) Zufall, aber nicht an innere (psychische) Zufälligkeit. Der Abergläubische umgekehrt: er weiß nichts von der Motivierung seiner zufälligen Handlungen und Fehlleistungen, er glaubt, daß es psychische Zufälligkeiten gibt; dafür ist er geneigt, dem äußeren Zufall eine Bedeutung zuzuschreiben, die sich im realen Geschehen äußern wird, im Zufall ein Ausdrucksmittel für etwas draussen ihm Verborgenes zu sehen. Die Unterschiede zwischen mir und dem Abergläubischen sind zwei: erstens projiziert er eine Motivierung nach aussen, die ich innen suche; zweitens deutet er den Zufall durch ein Geschehen, den ich auf einen Gedanken zurückführe. Aber das Verborgene bei ihm entspricht dem Unbewußten bei mir, und der Zwang, den Zufall nicht als Zufall gelten zu lassen, sondern ihn zu deuten, ist uns beiden gemeinsam.</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Ich nehme nun an, daß diese bewußte Unkenntnis und unbewußte Kenntnis von der Motivierung der psychischen Zufälligkeiten eine der psychischen Wurzeln des Aberglaubens ist. </w:t>
      </w:r>
      <w:r w:rsidRPr="00492F36">
        <w:rPr>
          <w:rFonts w:ascii="Garamond" w:hAnsi="Garamond" w:cs="Arial"/>
          <w:i/>
          <w:iCs/>
          <w:color w:val="000000" w:themeColor="text1"/>
          <w:sz w:val="20"/>
          <w:szCs w:val="20"/>
          <w:lang w:val="en-GB"/>
        </w:rPr>
        <w:t>Weil</w:t>
      </w:r>
      <w:r w:rsidRPr="00492F36">
        <w:rPr>
          <w:rFonts w:ascii="Garamond" w:hAnsi="Garamond" w:cs="Arial"/>
          <w:color w:val="000000" w:themeColor="text1"/>
          <w:sz w:val="20"/>
          <w:szCs w:val="20"/>
          <w:lang w:val="en-GB"/>
        </w:rPr>
        <w:t xml:space="preserve"> der Abergläubische von der Motivierung der eigenen zufälligen Handlungen nichts weiß, und weil die Tatsache dieser Motivierung nach einem Platz in seiner </w:t>
      </w:r>
      <w:r w:rsidRPr="00492F36">
        <w:rPr>
          <w:rFonts w:ascii="Garamond" w:hAnsi="Garamond" w:cs="Arial"/>
          <w:color w:val="000000" w:themeColor="text1"/>
          <w:sz w:val="20"/>
          <w:szCs w:val="20"/>
          <w:lang w:val="en-GB"/>
        </w:rPr>
        <w:lastRenderedPageBreak/>
        <w:t xml:space="preserve">Anerkennung drängt, ist er genötigt, sie durch Verschiebung in der Außenwelt unterzubringen. Besteht ein solcher Zusammenhang, so wird er kaum auf diesen einzelnen Fall beschränkt sein. Ich glaube in der Tat, daß ein grosses Stück der mythologischen Weltauffassung, die weit bis in die modernsten Religionen hinein reicht, </w:t>
      </w:r>
      <w:r w:rsidRPr="00492F36">
        <w:rPr>
          <w:rFonts w:ascii="Garamond" w:hAnsi="Garamond" w:cs="Arial"/>
          <w:i/>
          <w:iCs/>
          <w:color w:val="000000" w:themeColor="text1"/>
          <w:sz w:val="20"/>
          <w:szCs w:val="20"/>
          <w:lang w:val="en-GB"/>
        </w:rPr>
        <w:t>nichts anderes ist als in die Außenwelt projizierte Psychologie</w:t>
      </w:r>
      <w:r w:rsidRPr="00492F36">
        <w:rPr>
          <w:rFonts w:ascii="Garamond" w:hAnsi="Garamond" w:cs="Arial"/>
          <w:color w:val="000000" w:themeColor="text1"/>
          <w:sz w:val="20"/>
          <w:szCs w:val="20"/>
          <w:lang w:val="en-GB"/>
        </w:rPr>
        <w:t xml:space="preserve">. Die dunkle Erkenntnis psychischer Faktoren und Verhältnisse </w:t>
      </w:r>
      <w:hyperlink r:id="rId285" w:anchor="#" w:history="1">
        <w:r w:rsidRPr="00492F36">
          <w:rPr>
            <w:rStyle w:val="fusslink"/>
            <w:rFonts w:ascii="Garamond" w:hAnsi="Garamond" w:cs="Arial"/>
            <w:b/>
            <w:bCs/>
            <w:color w:val="000000" w:themeColor="text1"/>
            <w:sz w:val="20"/>
            <w:szCs w:val="20"/>
            <w:lang w:val="en-GB"/>
          </w:rPr>
          <w:t>[Fußnote]</w:t>
        </w:r>
        <w:r w:rsidRPr="00492F36">
          <w:rPr>
            <w:rStyle w:val="innerfusslink3"/>
            <w:rFonts w:ascii="Garamond" w:hAnsi="Garamond" w:cs="Arial"/>
            <w:b/>
            <w:bCs/>
            <w:color w:val="000000" w:themeColor="text1"/>
            <w:sz w:val="20"/>
            <w:szCs w:val="20"/>
            <w:lang w:val="en-GB"/>
          </w:rPr>
          <w:t>Die natürlich nichts vom Charakter einer Erkenntnis hat.</w:t>
        </w:r>
      </w:hyperlink>
      <w:r w:rsidRPr="00492F36">
        <w:rPr>
          <w:rFonts w:ascii="Garamond" w:hAnsi="Garamond" w:cs="Arial"/>
          <w:color w:val="000000" w:themeColor="text1"/>
          <w:sz w:val="20"/>
          <w:szCs w:val="20"/>
          <w:lang w:val="en-GB"/>
        </w:rPr>
        <w:t xml:space="preserve"> des Unbewußten spiegelt sich es ist schwer, es anders zu sagen, die Analogie mit der Paranoia muß hier zur Hilfe genommen werden in der Konstruktion einer </w:t>
      </w:r>
      <w:r w:rsidRPr="00492F36">
        <w:rPr>
          <w:rFonts w:ascii="Garamond" w:hAnsi="Garamond" w:cs="Arial"/>
          <w:i/>
          <w:iCs/>
          <w:color w:val="000000" w:themeColor="text1"/>
          <w:sz w:val="20"/>
          <w:szCs w:val="20"/>
          <w:lang w:val="en-GB"/>
        </w:rPr>
        <w:t>übersinnlichen Realität</w:t>
      </w:r>
      <w:r w:rsidRPr="00492F36">
        <w:rPr>
          <w:rFonts w:ascii="Garamond" w:hAnsi="Garamond" w:cs="Arial"/>
          <w:color w:val="000000" w:themeColor="text1"/>
          <w:sz w:val="20"/>
          <w:szCs w:val="20"/>
          <w:lang w:val="en-GB"/>
        </w:rPr>
        <w:t xml:space="preserve">, welche von der Wissenschaft in </w:t>
      </w:r>
      <w:r w:rsidRPr="00492F36">
        <w:rPr>
          <w:rFonts w:ascii="Garamond" w:hAnsi="Garamond" w:cs="Arial"/>
          <w:i/>
          <w:iCs/>
          <w:color w:val="000000" w:themeColor="text1"/>
          <w:sz w:val="20"/>
          <w:szCs w:val="20"/>
          <w:lang w:val="en-GB"/>
        </w:rPr>
        <w:t>Psychologie des Unbewußten</w:t>
      </w:r>
      <w:r w:rsidRPr="00492F36">
        <w:rPr>
          <w:rFonts w:ascii="Garamond" w:hAnsi="Garamond" w:cs="Arial"/>
          <w:color w:val="000000" w:themeColor="text1"/>
          <w:sz w:val="20"/>
          <w:szCs w:val="20"/>
          <w:lang w:val="en-GB"/>
        </w:rPr>
        <w:t xml:space="preserve"> zurückverwandelt werden soll. Man könnte sich getrauen, die Mythen vom Paradies und Sündenfall, von Gott, vom Guten und Bösen, von der Unsterblichkeit und dgl. in solcher Weise aufzulösen, die </w:t>
      </w:r>
      <w:r w:rsidRPr="00492F36">
        <w:rPr>
          <w:rFonts w:ascii="Garamond" w:hAnsi="Garamond" w:cs="Arial"/>
          <w:i/>
          <w:iCs/>
          <w:color w:val="000000" w:themeColor="text1"/>
          <w:sz w:val="20"/>
          <w:szCs w:val="20"/>
          <w:lang w:val="en-GB"/>
        </w:rPr>
        <w:t>Metaphysik</w:t>
      </w:r>
      <w:r w:rsidRPr="00492F36">
        <w:rPr>
          <w:rFonts w:ascii="Garamond" w:hAnsi="Garamond" w:cs="Arial"/>
          <w:color w:val="000000" w:themeColor="text1"/>
          <w:sz w:val="20"/>
          <w:szCs w:val="20"/>
          <w:lang w:val="en-GB"/>
        </w:rPr>
        <w:t xml:space="preserve"> in </w:t>
      </w:r>
      <w:r w:rsidRPr="00492F36">
        <w:rPr>
          <w:rFonts w:ascii="Garamond" w:hAnsi="Garamond" w:cs="Arial"/>
          <w:i/>
          <w:iCs/>
          <w:color w:val="000000" w:themeColor="text1"/>
          <w:sz w:val="20"/>
          <w:szCs w:val="20"/>
          <w:lang w:val="en-GB"/>
        </w:rPr>
        <w:t>Metapsychologie</w:t>
      </w:r>
      <w:r w:rsidRPr="00492F36">
        <w:rPr>
          <w:rFonts w:ascii="Garamond" w:hAnsi="Garamond" w:cs="Arial"/>
          <w:color w:val="000000" w:themeColor="text1"/>
          <w:sz w:val="20"/>
          <w:szCs w:val="20"/>
          <w:lang w:val="en-GB"/>
        </w:rPr>
        <w:t xml:space="preserve"> umzusetzen. Die Kluft zwischen der Verschiebung des Paranoikers und der des Abergläubischen ist minder groß, als sie auf den ersten Blick erscheint. Als die Menschen zu denken begannen, waren sie bekanntlich genötigt, die Außenwelt anthropomorphisch in eine Vielheit von Persönlichkeiten nach ihrem Gleichnis aufzulösen; die Zufälligkeiten, die sie abergläubisch deuteten, waren also Handlungen, Äußerungen von Personen, und sie haben sich demnach genau so benommen wie die Paranoiker, welche aus den unscheinbaren Anzeichen, die ihnen die Anderen geben, Schlüsse ziehen, und wie die Gesunden alle, welche mit Recht die zufälligen und unbeabsichtigten Handlungen ihrer Nebenmenschen zur Grundlage der Schätzung ihres Charakters machen. Der Aberglaube erscheint nur so sehr deplaziert in unserer modernen, naturwissenschaftlichen, aber noch keineswegs abgerundeten Weltanschauung; in der Weltanschauung vorwissenschaftlicher Zeiten und Völker war er berechtigt und konsequent.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Der Römer, der eine wichtige Unternehmung aufgab, wenn ihm ein widriger Vogelflug begegnete, war also relativ im Recht; er handelte konsequent nach seinen Voraussetzungen. Wenn er aber von der Unternehmung abstand, weil er an der Schwelle seiner Tür gestolpert war (»Un Romain retournerait«), so war er uns Ungläubigen auch absolut überlegen, ein besserer Seelenkundiger, als wir uns zu sein bemühen. Denn dies Stolpern konnte ihm die Existenz eines Zweifels, einer Gegenströmung in seinem Innern beweisen, deren Kraft sich im Momente der Ausführung von der Kraft seiner Intention abziehen konnte. Des vollen Erfolges ist man nämlich nur dann sicher, wenn alle Seelenkräfte einig dem gewünschten Ziel entgegenstreben. Wie antwortet </w:t>
      </w:r>
      <w:r w:rsidRPr="00492F36">
        <w:rPr>
          <w:rFonts w:ascii="Garamond" w:hAnsi="Garamond" w:cs="Arial"/>
          <w:i/>
          <w:iCs/>
          <w:color w:val="000000" w:themeColor="text1"/>
          <w:sz w:val="20"/>
          <w:szCs w:val="20"/>
          <w:lang w:val="en-GB"/>
        </w:rPr>
        <w:t>Schillers Tell</w:t>
      </w:r>
      <w:r w:rsidRPr="00492F36">
        <w:rPr>
          <w:rFonts w:ascii="Garamond" w:hAnsi="Garamond" w:cs="Arial"/>
          <w:color w:val="000000" w:themeColor="text1"/>
          <w:sz w:val="20"/>
          <w:szCs w:val="20"/>
          <w:lang w:val="en-GB"/>
        </w:rPr>
        <w:t>, der so lange gezaudert, den Apfel vom Haupt seines Knaben zu schießen, auf die Frage des Vogts, wozu er den zweiten Pfeil eingesteckt?</w:t>
      </w:r>
    </w:p>
    <w:p w:rsidR="000D4CB9" w:rsidRPr="00492F36" w:rsidRDefault="000D4CB9" w:rsidP="000D4CB9">
      <w:pPr>
        <w:pStyle w:val="vers1"/>
        <w:shd w:val="clear" w:color="auto" w:fill="FFFFFF"/>
        <w:spacing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›Mit diesem zweiten Pfeil durchbohrt' ich – Euch, </w:t>
      </w:r>
      <w:r w:rsidRPr="00492F36">
        <w:rPr>
          <w:rFonts w:ascii="Garamond" w:hAnsi="Garamond" w:cs="Arial"/>
          <w:color w:val="000000" w:themeColor="text1"/>
          <w:sz w:val="20"/>
          <w:szCs w:val="20"/>
          <w:lang w:val="en-GB"/>
        </w:rPr>
        <w:br/>
        <w:t xml:space="preserve">Wenn ich mein liebes Kind getroffen hätte, </w:t>
      </w:r>
      <w:r w:rsidRPr="00492F36">
        <w:rPr>
          <w:rFonts w:ascii="Garamond" w:hAnsi="Garamond" w:cs="Arial"/>
          <w:color w:val="000000" w:themeColor="text1"/>
          <w:sz w:val="20"/>
          <w:szCs w:val="20"/>
          <w:lang w:val="en-GB"/>
        </w:rPr>
        <w:br/>
        <w:t xml:space="preserve">Und </w:t>
      </w:r>
      <w:r w:rsidRPr="00492F36">
        <w:rPr>
          <w:rFonts w:ascii="Garamond" w:hAnsi="Garamond" w:cs="Arial"/>
          <w:i/>
          <w:iCs/>
          <w:color w:val="000000" w:themeColor="text1"/>
          <w:sz w:val="20"/>
          <w:szCs w:val="20"/>
          <w:lang w:val="en-GB"/>
        </w:rPr>
        <w:t>Euer</w:t>
      </w:r>
      <w:r w:rsidRPr="00492F36">
        <w:rPr>
          <w:rFonts w:ascii="Garamond" w:hAnsi="Garamond" w:cs="Arial"/>
          <w:color w:val="000000" w:themeColor="text1"/>
          <w:sz w:val="20"/>
          <w:szCs w:val="20"/>
          <w:lang w:val="en-GB"/>
        </w:rPr>
        <w:t xml:space="preserve"> wahrlich hätt' ich </w:t>
      </w:r>
      <w:r w:rsidRPr="00492F36">
        <w:rPr>
          <w:rFonts w:ascii="Garamond" w:hAnsi="Garamond" w:cs="Arial"/>
          <w:i/>
          <w:iCs/>
          <w:color w:val="000000" w:themeColor="text1"/>
          <w:sz w:val="20"/>
          <w:szCs w:val="20"/>
          <w:lang w:val="en-GB"/>
        </w:rPr>
        <w:t>nicht</w:t>
      </w:r>
      <w:r w:rsidRPr="00492F36">
        <w:rPr>
          <w:rFonts w:ascii="Garamond" w:hAnsi="Garamond" w:cs="Arial"/>
          <w:color w:val="000000" w:themeColor="text1"/>
          <w:sz w:val="20"/>
          <w:szCs w:val="20"/>
          <w:lang w:val="en-GB"/>
        </w:rPr>
        <w:t xml:space="preserve"> gefehlt.</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IV. Als ich unlängst Gelegenheit hatte, einem philosophisch gebildeten Kollegen einige Beispiele von Namenvergessen mit Analyse vorzutragen, beeilte er sich zu erwidern: Das ist sehr schön, aber bei mir geht das Namenvergessen anders zu. So leicht darf man es sich offenbar nicht machen; ich glaube nicht, daß mein Kollege je vorher an eine Analyse bei Namenvergessen gedacht hatte; er konnte auch nicht sagen, wie es bei ihm anders zugehe. Aber seine Bemerkung trifft doch ein Problem, welches viele in den Vordergrund zu stellen geneigt sein werden. Trifft die hier gegebene Auflösung der Fehl- und Zufallshandlungen allgemein zu oder nur vereinzelt, und wenn letzteres, welches sind die Bedingungen, unter denen sie zur Erklärung der auch anderswie ermöglichten Phänomene herangezogen werden darf? Bei der Beantwortung dieser Frage lassen mich meine Erfahrungen im Stiche. Ich kann nur davon abmahnen, den aufgezeigten Zusammenhang für selten zu halten, denn so oft ich bei mir selbst und bei meinen Patienten die Probe angestellt, hat er sich wie in den mitgeteilten Beispielen sicher nachweisen lassen oder haben sich wenigstens gute Gründe, ihn zu vermuten, ergeben. Es ist nicht zu verwundern, wenn es nicht alle Male gelingt, den verborgenen Sinn der Symptomhandlung zu finden, da die Größe der inneren Widerstände, die sich der Lösung widersetzen, als entscheidender Faktor in Betracht kommt. Man ist auch nicht imstande, bei sich selbst oder bei den Patienten jeden einzelnen Traum zu deuten; es genügt, um die Allgemeingiltigkeit der Theorie zu bestätigen, wenn man nur ein Stück weit in den verdeckten Zusammenhang einzudringen vermag. Der Traum, der sich beim Versuche, ihn am Tage nachher zu lösen, refraktär zeigt, läßt sich oft eine Woche oder einen Monat später sein Geheimnis entreißen, wenn eine unterdes erfolgte reale Veränderung die mit einander streitenden psychischen Wertigkeiten herabgesetzt hat. Das nämliche gilt für die Lösung der Fehl- und Symptomhandlungen; das Beispiel von Verlesen Im Faß durch Europa auf Seite 32 hat mir die Gelegenheit gegeben zu zeigen, wie ein anfänglich unlösbares Symptom der Analyse zugänglich wird, wenn das </w:t>
      </w:r>
      <w:r w:rsidRPr="00492F36">
        <w:rPr>
          <w:rFonts w:ascii="Garamond" w:hAnsi="Garamond" w:cs="Arial"/>
          <w:i/>
          <w:iCs/>
          <w:color w:val="000000" w:themeColor="text1"/>
          <w:sz w:val="20"/>
          <w:szCs w:val="20"/>
          <w:lang w:val="en-GB"/>
        </w:rPr>
        <w:t>reale Interesse</w:t>
      </w:r>
      <w:r w:rsidRPr="00492F36">
        <w:rPr>
          <w:rFonts w:ascii="Garamond" w:hAnsi="Garamond" w:cs="Arial"/>
          <w:color w:val="000000" w:themeColor="text1"/>
          <w:sz w:val="20"/>
          <w:szCs w:val="20"/>
          <w:lang w:val="en-GB"/>
        </w:rPr>
        <w:t xml:space="preserve"> an den verdrängten Gedanken nachgelassen hat. So lange die Möglichkeit bestand, daß mein Bruder den beneideten Titel vor mir erhielte, widerstand das genannte Verlesen allen wiederholten Bemühungen der Analyse; nachdem es sich herausgestellt hatte, daß diese Bevorzugung unwahrscheinlich sei, klärte sich mir plötzlich der Weg, der zur Auflösung desselben führte. Es wäre also unrichtig, von all den Fällen, welche der Analyse widerstehen, zu behaupten, sie seien durch einen anderen als den hier aufgedeckten psychischen Mechanismus entstanden; es brauchte für diese Annahme noch andere als negative Beweise. Auch die bei Gesunden wahrscheinlich allgemein vorhandene Bereitwilligkeit, an eine andere Erklärung der Fehl- und Symptomhandlungen zu glauben, ist jeder Beweiskraft bar; sie ist, wie selbstverständlich, eine Äußerung derselben seelischen Kräfte, die das Geheimnis hergestellt haben, und die sich darum auch für dessen Bewahrung einsetzen, gegen dessen Aufhellung aber sträuben.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lang w:val="en-GB"/>
        </w:rPr>
        <w:lastRenderedPageBreak/>
        <w:t xml:space="preserve">Auf der anderen Seite dürfen wir nicht übersehen, daß die verdrängten Gedanken und Regungen sich den Ausdruck in Symptom- und Fehlhandlungen ja nicht selbständig schaffen. Die technische Möglichkeit für solches Ausgleiten der Innervationen muß unabhängig von ihnen gegeben sein; diese wird dann von der Absicht des Verdrängten, zur bewußten Geltung zu kommen, gerne ausgenützt. Welche Struktur- und Funktionsrelationen es sind, die sich solcher Absicht zur Verfügung stellen, das haben für den Fall der sprachlichen Fehlleistung (vgl. Seite 17) eingehende Untersuchungen der Philosophen und Philologen festzustellen sich bemüht. Unterscheiden wir so an den Bedingungen der Fehl- und Symptomhandlung das unbewußte Motiv von den ihm entgegenkommenden physiologischen und psychophysischen Relationen, so bleibt die Frage offen, ob es innerhalb der Breite der Gesundheit noch andere Momente gibt, welche, wie das unbewußte Motiv und an Stelle desselben, auf dem Wege dieser Relationen die Fehl- und Symptomhandlungen zu erzeugen vermögen. </w:t>
      </w:r>
      <w:r w:rsidRPr="00492F36">
        <w:rPr>
          <w:rFonts w:ascii="Garamond" w:hAnsi="Garamond" w:cs="Arial"/>
          <w:color w:val="000000" w:themeColor="text1"/>
          <w:sz w:val="20"/>
          <w:szCs w:val="20"/>
        </w:rPr>
        <w:t>Es liegt nicht auf meinem Wege, diese Frage zu beantworten.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t xml:space="preserve">V. Seit den Erörterungen über das Versprechen haben wir uns begnügt, zu beweisen, daß die Fehlleistungen eine verborgene Motivierung haben, und uns mit dem Hilfsmittel der Psychoanalyse den Weg zur Kenntnis dieser Motivierung gebahnt. Die allgemeine Natur und die Besonderheiten der in den Fehlleistungen zum Ausdruck gebrachten psychischen Faktoren haben wir bisher fast ohne Berücksichtigung gelassen, jedenfalls noch nicht versucht, dieselben näher zu bestimmen und auf ihre Gesetzmäßigkeit zu prüfen. </w:t>
      </w:r>
      <w:r w:rsidRPr="00492F36">
        <w:rPr>
          <w:rFonts w:ascii="Garamond" w:hAnsi="Garamond" w:cs="Arial"/>
          <w:color w:val="000000" w:themeColor="text1"/>
          <w:sz w:val="20"/>
          <w:szCs w:val="20"/>
          <w:lang w:val="en-GB"/>
        </w:rPr>
        <w:t>Wir werden auch jetzt keine gründliche Erledigung des Gegenstandes versuchen, denn die ersten Schritte werden uns bald belehrt haben, daß man in dies Gebiet besser von anderer Seite einzudringen vermag. Man kann sich hier mehrere Fragen vorlegen, die ich wenigstens anführen und in ihrem Umfang umschreiben will. 1. Welches Inhalts und welcher Herkunft sind die Gedanken und Regungen, die sich durch die Fehl- und Zufallshandlungen andeuten? 2. Welches sind die Bedingungen dafür, daß ein Gedanke oder eine Regung genötigt und in den Stand gesetzt werde, sich dieser Vorfälle als Ausdrucksmittel zu bedienen? 3. Lassen sich konstante und eindeutige Beziehungen zwischen der Art der Fehlhandlung und den Qualitäten des durch sie zum Ausdruck Gebrachten nachweisen?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lang w:val="en-GB"/>
        </w:rPr>
        <w:t xml:space="preserve">Ich beginne damit, einiges Material zur Beantwortung der letzten Frage zusammenzutragen. Bei der Erörterung der Beispiele von Versprechen haben wir es für nötig gefunden, über den Inhalt der intendierten Rede hinauszugehen, und haben die Ursache der Redestörung ausserhalb der Intention suchen müssen. Dieselbe lag dann in einer Reihe von Fällen nahe und war dem Bewußtsein des Sprechenden bekannt. In den scheinbar einfachsten und durchsichtigsten Beispielen war es eine gleichberechtigt klingende andere Fassung desselben Gedankens, die dessen Ausdruck störte, ohne daß man hätte angeben können, warum die eine unterlegen, die andere durchgedrungen war (Kontaminationen von </w:t>
      </w:r>
      <w:r w:rsidRPr="00492F36">
        <w:rPr>
          <w:rFonts w:ascii="Garamond" w:hAnsi="Garamond" w:cs="Arial"/>
          <w:i/>
          <w:iCs/>
          <w:color w:val="000000" w:themeColor="text1"/>
          <w:sz w:val="20"/>
          <w:szCs w:val="20"/>
          <w:lang w:val="en-GB"/>
        </w:rPr>
        <w:t>Meringer</w:t>
      </w:r>
      <w:r w:rsidRPr="00492F36">
        <w:rPr>
          <w:rFonts w:ascii="Garamond" w:hAnsi="Garamond" w:cs="Arial"/>
          <w:color w:val="000000" w:themeColor="text1"/>
          <w:sz w:val="20"/>
          <w:szCs w:val="20"/>
          <w:lang w:val="en-GB"/>
        </w:rPr>
        <w:t xml:space="preserve"> und </w:t>
      </w:r>
      <w:r w:rsidRPr="00492F36">
        <w:rPr>
          <w:rFonts w:ascii="Garamond" w:hAnsi="Garamond" w:cs="Arial"/>
          <w:i/>
          <w:iCs/>
          <w:color w:val="000000" w:themeColor="text1"/>
          <w:sz w:val="20"/>
          <w:szCs w:val="20"/>
          <w:lang w:val="en-GB"/>
        </w:rPr>
        <w:t>Mayer</w:t>
      </w:r>
      <w:r w:rsidRPr="00492F36">
        <w:rPr>
          <w:rFonts w:ascii="Garamond" w:hAnsi="Garamond" w:cs="Arial"/>
          <w:color w:val="000000" w:themeColor="text1"/>
          <w:sz w:val="20"/>
          <w:szCs w:val="20"/>
          <w:lang w:val="en-GB"/>
        </w:rPr>
        <w:t xml:space="preserve">). In einer zweiten Gruppe von Fällen war das Unterliegen der einen Fassung motiviert durch eine Rücksicht, die sich aber nicht stark genug zur völligen Zurückhaltung erwies (»zum Vorschwein gekommen«). Auch die zurückgehaltene Fassung war klar bewußt. Von der dritten Gruppe erst kann man ohne Einschränkung behaupten, daß hier der störende Gedanke von dem intendierten verschieden war, und kann hier eine, wie es scheint, wesentliche Unterscheidung aufstellen. Der störende Gedanke ist entweder mit dem gestörten durch Gedankenassoziation verbunden (Störung durch inneren Widerspruch), oder er ist ihm wesensfremd, und durch eine befremdende </w:t>
      </w:r>
      <w:r w:rsidRPr="00492F36">
        <w:rPr>
          <w:rFonts w:ascii="Garamond" w:hAnsi="Garamond" w:cs="Arial"/>
          <w:i/>
          <w:iCs/>
          <w:color w:val="000000" w:themeColor="text1"/>
          <w:sz w:val="20"/>
          <w:szCs w:val="20"/>
          <w:lang w:val="en-GB"/>
        </w:rPr>
        <w:t>äußerliche</w:t>
      </w:r>
      <w:r w:rsidRPr="00492F36">
        <w:rPr>
          <w:rFonts w:ascii="Garamond" w:hAnsi="Garamond" w:cs="Arial"/>
          <w:color w:val="000000" w:themeColor="text1"/>
          <w:sz w:val="20"/>
          <w:szCs w:val="20"/>
          <w:lang w:val="en-GB"/>
        </w:rPr>
        <w:t xml:space="preserve"> Assoziation ist gerade das gestörte Wort mit dem störenden Gedanken, der oft unbewußt ist, verknüpft. In den Beispielen, die ich aus meinen Psychoanalysen bei Patienten gebracht habe, steht die ganze Rede unter dem Einfluß gleichzeitig aktiv gewordener, aber völlig unbewußter Gedanken, die sich entweder durch die Störung selbst verraten ( </w:t>
      </w:r>
      <w:r w:rsidRPr="00492F36">
        <w:rPr>
          <w:rFonts w:ascii="Garamond" w:hAnsi="Garamond" w:cs="Arial"/>
          <w:i/>
          <w:iCs/>
          <w:color w:val="000000" w:themeColor="text1"/>
          <w:sz w:val="20"/>
          <w:szCs w:val="20"/>
          <w:lang w:val="en-GB"/>
        </w:rPr>
        <w:t>Klapper</w:t>
      </w:r>
      <w:r w:rsidRPr="00492F36">
        <w:rPr>
          <w:rFonts w:ascii="Garamond" w:hAnsi="Garamond" w:cs="Arial"/>
          <w:color w:val="000000" w:themeColor="text1"/>
          <w:sz w:val="20"/>
          <w:szCs w:val="20"/>
          <w:lang w:val="en-GB"/>
        </w:rPr>
        <w:t xml:space="preserve">schlange </w:t>
      </w:r>
      <w:r w:rsidRPr="00492F36">
        <w:rPr>
          <w:rFonts w:ascii="Garamond" w:hAnsi="Garamond" w:cs="Arial"/>
          <w:i/>
          <w:iCs/>
          <w:color w:val="000000" w:themeColor="text1"/>
          <w:sz w:val="20"/>
          <w:szCs w:val="20"/>
          <w:lang w:val="en-GB"/>
        </w:rPr>
        <w:t>Kleopatra</w:t>
      </w:r>
      <w:r w:rsidRPr="00492F36">
        <w:rPr>
          <w:rFonts w:ascii="Garamond" w:hAnsi="Garamond" w:cs="Arial"/>
          <w:color w:val="000000" w:themeColor="text1"/>
          <w:sz w:val="20"/>
          <w:szCs w:val="20"/>
          <w:lang w:val="en-GB"/>
        </w:rPr>
        <w:t xml:space="preserve">) oder einen indirekten Einfluß äußern, indem sie ermöglichen, daß die einzelnen Teile der bewußt intendierten Rede einander stören ( </w:t>
      </w:r>
      <w:r w:rsidRPr="00492F36">
        <w:rPr>
          <w:rFonts w:ascii="Garamond" w:hAnsi="Garamond" w:cs="Arial"/>
          <w:i/>
          <w:iCs/>
          <w:color w:val="000000" w:themeColor="text1"/>
          <w:sz w:val="20"/>
          <w:szCs w:val="20"/>
          <w:lang w:val="en-GB"/>
        </w:rPr>
        <w:t>Ase natmen</w:t>
      </w:r>
      <w:r w:rsidRPr="00492F36">
        <w:rPr>
          <w:rFonts w:ascii="Garamond" w:hAnsi="Garamond" w:cs="Arial"/>
          <w:color w:val="000000" w:themeColor="text1"/>
          <w:sz w:val="20"/>
          <w:szCs w:val="20"/>
          <w:lang w:val="en-GB"/>
        </w:rPr>
        <w:t xml:space="preserve">: wo </w:t>
      </w:r>
      <w:r w:rsidRPr="00492F36">
        <w:rPr>
          <w:rFonts w:ascii="Garamond" w:hAnsi="Garamond" w:cs="Arial"/>
          <w:i/>
          <w:iCs/>
          <w:color w:val="000000" w:themeColor="text1"/>
          <w:sz w:val="20"/>
          <w:szCs w:val="20"/>
          <w:lang w:val="en-GB"/>
        </w:rPr>
        <w:t>Hasenauer</w:t>
      </w:r>
      <w:r w:rsidRPr="00492F36">
        <w:rPr>
          <w:rFonts w:ascii="Garamond" w:hAnsi="Garamond" w:cs="Arial"/>
          <w:color w:val="000000" w:themeColor="text1"/>
          <w:sz w:val="20"/>
          <w:szCs w:val="20"/>
          <w:lang w:val="en-GB"/>
        </w:rPr>
        <w:t xml:space="preserve">strasse, Reminiszenzen an eine Französin dahinter stehen). Die zurückgehaltenen oder unbewußten Gedanken, von denen die Sprechstörung ausgeht, sind von der mannigfaltigsten Herkunft. </w:t>
      </w:r>
      <w:r w:rsidRPr="00492F36">
        <w:rPr>
          <w:rFonts w:ascii="Garamond" w:hAnsi="Garamond" w:cs="Arial"/>
          <w:color w:val="000000" w:themeColor="text1"/>
          <w:sz w:val="20"/>
          <w:szCs w:val="20"/>
        </w:rPr>
        <w:t>Eine Allgemeinheit enthüllt uns diese Überschau also nach keiner Richtung.</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t xml:space="preserve">Die vergleichende Prüfung der Beispiele von Verlesen und Verschreiben führt zu den nämlichen Ergebnissen. Einzelne Fälle scheinen wie beim Versprechen einer weiter nicht motivierten Verdichtungsarbeit ihr Entstehen zu danken (z.B.: der </w:t>
      </w:r>
      <w:r w:rsidRPr="00492F36">
        <w:rPr>
          <w:rFonts w:ascii="Garamond" w:hAnsi="Garamond" w:cs="Arial"/>
          <w:i/>
          <w:iCs/>
          <w:color w:val="000000" w:themeColor="text1"/>
          <w:sz w:val="20"/>
          <w:szCs w:val="20"/>
        </w:rPr>
        <w:t>Apfe</w:t>
      </w:r>
      <w:r w:rsidRPr="00492F36">
        <w:rPr>
          <w:rFonts w:ascii="Garamond" w:hAnsi="Garamond" w:cs="Arial"/>
          <w:color w:val="000000" w:themeColor="text1"/>
          <w:sz w:val="20"/>
          <w:szCs w:val="20"/>
        </w:rPr>
        <w:t xml:space="preserve">). Man möchte aber gern erfahren, ob nicht doch besondere Bedingungen erfüllt sein müssen, damit eine solche Verdichtung, die in der Traumarbeit regelrecht, in unserem wachen Denken fehlerhaft ist, Platz greife, und bekommt hierüber aus den Beispielen selbst keinen Aufschluß. Ich würde es aber ablehnen, hieraus den Schluß zu ziehen, es gebe keine solchen Bedingungen als etwa den Nachlaß der bewußten Aufmerksamkeit, da ich von anderswoher weiß, daß sich gerade automatische Verrichtungen durch Korrektheit und Verläßlichkeit auszeichnen. </w:t>
      </w:r>
      <w:r w:rsidRPr="00492F36">
        <w:rPr>
          <w:rFonts w:ascii="Garamond" w:hAnsi="Garamond" w:cs="Arial"/>
          <w:color w:val="000000" w:themeColor="text1"/>
          <w:sz w:val="20"/>
          <w:szCs w:val="20"/>
          <w:lang w:val="en-GB"/>
        </w:rPr>
        <w:t>Ich möchte eher betonen, daß hier, wie so häufig in der Biologie, die normalen oder dem Normalen angenäherten Verhältnisse ungünstigere Objekte der Forschung sind als die pathologischen. Was bei der Erklärung dieser leichtesten Störungen dunkel bleibt, wird nach meiner Erwartung durch die Aufklärung schwererer Störungen Licht empfangen.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Auch beim Verlesen und Verschreiben fehlt es nicht an Beispielen, welche eine entferntere und kompliziertere Motivierung erkennen lassen. »Im Faß durch Europa« ist eine Lesestörung, die sich durch den Einfluß eines entlegenen, wesensfremden Gedankens aufklärt, welcher einer verdrängten Regung von Eifersucht und Ehrgeiz entspringt, und den »Wechsel« des Wortes » </w:t>
      </w:r>
      <w:r w:rsidRPr="00492F36">
        <w:rPr>
          <w:rFonts w:ascii="Garamond" w:hAnsi="Garamond" w:cs="Arial"/>
          <w:i/>
          <w:iCs/>
          <w:color w:val="000000" w:themeColor="text1"/>
          <w:sz w:val="20"/>
          <w:szCs w:val="20"/>
          <w:lang w:val="en-GB"/>
        </w:rPr>
        <w:t>Beförderung</w:t>
      </w:r>
      <w:r w:rsidRPr="00492F36">
        <w:rPr>
          <w:rFonts w:ascii="Garamond" w:hAnsi="Garamond" w:cs="Arial"/>
          <w:color w:val="000000" w:themeColor="text1"/>
          <w:sz w:val="20"/>
          <w:szCs w:val="20"/>
          <w:lang w:val="en-GB"/>
        </w:rPr>
        <w:t xml:space="preserve">« zur Verknüpfung mit dem gleichgiltigen und harmlosen Thema, das gelesen wurde, benützt. Im Falle </w:t>
      </w:r>
      <w:r w:rsidRPr="00492F36">
        <w:rPr>
          <w:rFonts w:ascii="Garamond" w:hAnsi="Garamond" w:cs="Arial"/>
          <w:i/>
          <w:iCs/>
          <w:color w:val="000000" w:themeColor="text1"/>
          <w:sz w:val="20"/>
          <w:szCs w:val="20"/>
          <w:lang w:val="en-GB"/>
        </w:rPr>
        <w:t>Burckhard</w:t>
      </w:r>
      <w:r w:rsidRPr="00492F36">
        <w:rPr>
          <w:rFonts w:ascii="Garamond" w:hAnsi="Garamond" w:cs="Arial"/>
          <w:color w:val="000000" w:themeColor="text1"/>
          <w:sz w:val="20"/>
          <w:szCs w:val="20"/>
          <w:lang w:val="en-GB"/>
        </w:rPr>
        <w:t xml:space="preserve"> ist der Name selbst ein solcher »Wechsel«.</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lastRenderedPageBreak/>
        <w:t>Es ist unverkennbar, daß die Störungen der Sprechfunktionen leichter zustande kommen und weniger Anforderungen an die störenden Kräfte stellen als die anderer psychischer Leistungen.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Auf anderem Boden steht man bei der Prüfung des Vergessens im eigentlichen Sinne, d.h. des Vergessens von vergangenen Erlebnissen (das Vergessen von Eigennamen und Fremdworten, wie in den Abschnitten I und II könnte man als »Entfallen«, das von Vorsätzen als »Unterlassen« von diesem Vergessen </w:t>
      </w:r>
      <w:r w:rsidRPr="00492F36">
        <w:rPr>
          <w:rFonts w:ascii="Garamond" w:hAnsi="Garamond" w:cs="Arial"/>
          <w:i/>
          <w:iCs/>
          <w:color w:val="000000" w:themeColor="text1"/>
          <w:sz w:val="20"/>
          <w:szCs w:val="20"/>
          <w:lang w:val="en-GB"/>
        </w:rPr>
        <w:t>sensu strictiori</w:t>
      </w:r>
      <w:r w:rsidRPr="00492F36">
        <w:rPr>
          <w:rFonts w:ascii="Garamond" w:hAnsi="Garamond" w:cs="Arial"/>
          <w:color w:val="000000" w:themeColor="text1"/>
          <w:sz w:val="20"/>
          <w:szCs w:val="20"/>
          <w:lang w:val="en-GB"/>
        </w:rPr>
        <w:t xml:space="preserve"> absondern). Die Grundbedingungen des normalen Vorgangs beim Vergessen sind unbekannt. Man wird auch daran gemahnt, daß nicht alles vergessen ist, was man dafür hält. Unsere Erklärung hat es hier nur mit jenen Fällen zu tun, in denen das Vergessen bei uns ein Befremden erweckt, insofern es die Regel verletzt, daß Unwichtiges vergessen, Wichtiges aber vom Gedächtnis bewahrt wird. Die Analyse der Beispiele von Vergessen, die uns nach einer besonderen Aufklärung zu verlangen scheinen, ergibt als Motiv des Vergessens jedesmal eine Unlust, etwas zu erinnern, was peinliche Empfindungen erwecken kann. Wir gelangen zur Vermutung, daß dieses Motiv im psychischen Leben sich ganz allgemein zu äußern strebt, aber durch andere gegenwirkende Kräfte verhindert wird, sich irgendwie regelmäßig durchzusetzen. Umfang und Bedeutung dieser Erinnerungsunlust gegen peinliche Eindrücke scheinen der sorgfältigsten psychologischen Prüfung wert zu sein; auch die Frage, welche besonderen Bedingungen das allgemein angestrebte Vergessen in einzelnen Fällen ermöglichen, ist aus diesem weiteren Zusammenhange nicht zu lösen.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Beim Vergessen von Vorsätzen tritt ein anderes Moment in den Vordergrund; der beim Verdrängen des peinlich zu Erinnernden nur vermutete Konflikt wird hier greifbar, und man erkennt bei der Analyse der Beispiele regelmäßig einen Gegenwillen, der sich dem Vorsatze widersetzt, ohne ihn aufzuheben. Wie bei früher besprochenen Fehlleistungen erkennt man auch hier zwei Typen des psychischen Vorgangs; der Gegenwille kehrt sich entweder direkt gegen den Vorsatz (bei Absichten von einigem Belang), oder er ist dem Vorsatz selbst wesensfremd und stellt seine Verbindung mit ihm durch eine </w:t>
      </w:r>
      <w:r w:rsidRPr="00492F36">
        <w:rPr>
          <w:rFonts w:ascii="Garamond" w:hAnsi="Garamond" w:cs="Arial"/>
          <w:i/>
          <w:iCs/>
          <w:color w:val="000000" w:themeColor="text1"/>
          <w:sz w:val="20"/>
          <w:szCs w:val="20"/>
          <w:lang w:val="en-GB"/>
        </w:rPr>
        <w:t>äußerliche</w:t>
      </w:r>
      <w:r w:rsidRPr="00492F36">
        <w:rPr>
          <w:rFonts w:ascii="Garamond" w:hAnsi="Garamond" w:cs="Arial"/>
          <w:color w:val="000000" w:themeColor="text1"/>
          <w:sz w:val="20"/>
          <w:szCs w:val="20"/>
          <w:lang w:val="en-GB"/>
        </w:rPr>
        <w:t xml:space="preserve"> Assoziation her (bei fast indifferenten Vorsätzen).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0D4CB9">
        <w:rPr>
          <w:rFonts w:ascii="Garamond" w:hAnsi="Garamond" w:cs="Arial"/>
          <w:color w:val="000000" w:themeColor="text1"/>
          <w:sz w:val="20"/>
          <w:szCs w:val="20"/>
          <w:lang w:val="en-GB"/>
        </w:rPr>
        <w:t xml:space="preserve">Derselbe Konflikt beherrscht die Phänomene des Vergreifens. Der Impuls, der sich in der Störung der Handlung äußert, ist häufig ein Gegenimpuls, doch noch öfter ein überhaupt fremder, der nur die Gelegenheit benützt, sich bei der Ausführung der Handlung durch eine Störung derselben zum Ausdruck zu bringen. </w:t>
      </w:r>
      <w:r w:rsidRPr="00492F36">
        <w:rPr>
          <w:rFonts w:ascii="Garamond" w:hAnsi="Garamond" w:cs="Arial"/>
          <w:color w:val="000000" w:themeColor="text1"/>
          <w:sz w:val="20"/>
          <w:szCs w:val="20"/>
          <w:lang w:val="en-GB"/>
        </w:rPr>
        <w:t>Die Fälle, in denen die Störung durch einen inneren Widerspruch erfolgt, sind die bedeutsameren und betreffen auch die wichtigeren Verrichtungen.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Der innere Konflikt tritt dann bei den Zufalls- oder Symptomhandlungen immer mehr zurück. Diese vom Bewußtsein gering geschätzten oder ganz übersehenen motorischen Äußerungen dienen so mannigfachen unbewußten oder zurückgehaltenen Regungen zum Ausdruck; sie stellen meist Phantasien oder Wünsche symbolisch dar.</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Zur ersten Frage, welcher Herkunft die Gedanken und Regungen seien, die sich in den Fehlleistungen zum Ausdruck bringen, läßt sich sagen, daß in einer Reihe von Fällen die Herkunft der störenden Gedanken von unterdrückten Regungen des Seelenlebens leicht nachzuweisen ist. Egoistische, eifersüchtige, feindselige Gefühle und Impulse, auf denen der Druck der moralischen Erziehung lastet, bedienen sich bei Gesunden nicht selten des Weges der Fehlleistungen, um ihre unleugbar vorhandene, aber von höheren seelischen Instanzen nicht anerkannte Macht irgendwie zu äußern. Das Gewähreinlassen dieser Fehl- und Zufallshandlungen entspricht zum guten Teil einer bequemen Duldung des Unmoralischen. Unter diesen unterdrückten Regungen spielen die mannigfachen sexuellen Strömungen keine geringfügige Rolle. Es ist ein Zufall des Materials, wenn gerade sie so selten unter den durch die Analyse aufgedeckten Gedanken in meinen Beispielen erscheinen. Da ich vorwiegend Beispiele aus meinem eigenen Seelenleben der Analyse unterzogen habe, so war die Auswahl von vornherein parteiisch und auf den Ausschluß des Sexuellen gerichtet. Andere Male scheinen es höchst harmlose Einwendungen und Rücksichten zu sein, aus denen die störenden Gedanken entspringen.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Wir stehen nun vor der Beantwortung der zweiten Frage, welche psychologischen Bedingungen dafür gelten, daß ein Gedanke seinen Ausdruck nicht in voller Form, sondern in gleichsam parasitärer als Modifikation und Störung eines anderen suchen müsse. Es liegt nach den auffälligsten Beispielen von Fehlhandlung nahe, diese Bedingung in einer Beziehung zur Bewußtseinsfähigkeit zu suchen, in dem mehr oder minder entschieden ausgeprägten Charakter des »Verdrängten«. Aber die Verfolgung durch die Reihe der Beispiele löst diesen Charakter in immer mehr verschwommene Andeutungen auf. Die Neigung, über etwas als zeitraubend hinwegzukommen, die Erwägung, daß der betreffende Gedanke nicht eigentlich zur intendierten Sache gehört, scheinen als Motive für die Zurückdrängung eines Gedankens, der dann auf den Ausdruck durch Störung eines anderen angewiesen ist, dieselbe Rolle zu spielen wie die moralische Verurteilung einer unbotmäßigen Gefühlsregung oder die Abkunft von völlig unbewußten Gedankenzügen. Eine Einsicht in die allgemeine Natur der Bedingtheit von Fehl- und Zufallsleistungen läßt sich auf diese Weise nicht gewinnen. Einer einzigen bedeutsamen Tatsache wird man bei diesen Untersuchungen habhaft; je harmloser die Motivierung der Fehlleistung ist, je weniger anstößig und darum weniger bewußtseinsunfähig der Gedanke ist, der sich in ihr zum Ausdruck bringt, desto leichter wird auch die Auflösung des Phänomens, wenn man ihm seine Aufmerksamkeit zugewendet hat; die leichtesten Fälle des Versprechens werden sofort bemerkt und spontan korrigiert. Wo es sich um Motivierung durch wirklich verdrängte Regungen handelt, da bedarf es zur Lösung einer sorgfältigen Analyse, die selbst zeitweise auf Schwierigkeiten stoßen oder mißlingen kann.</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lastRenderedPageBreak/>
        <w:t>Es ist also wohl berechtigt, das Ergebnis dieser letzten Untersuchung als einen Hinweis darauf zu nehmen, daß die befriedigende Aufklärung für die psychologischen Bedingungen der Fehl- und Zufallshandlungen auf einem anderen Wege und von anderer Seite her zu gewinnen ist. Der nachsichtige Leser möge daher in diesen Auseinandersetzungen den Nachweis der Bruchflächen sehen, an denen dieses Thema ziemlich künstlich aus einem größeren Zusammenhange herausgelöst wurde.</w:t>
      </w: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rPr>
      </w:pPr>
      <w:r w:rsidRPr="00492F36">
        <w:rPr>
          <w:rFonts w:ascii="Garamond" w:hAnsi="Garamond" w:cs="Arial"/>
          <w:color w:val="000000" w:themeColor="text1"/>
          <w:sz w:val="20"/>
          <w:szCs w:val="20"/>
          <w:lang w:val="en-GB"/>
        </w:rPr>
        <w:t xml:space="preserve">VI. Einige Worte sollen zum mindesten die Richtung nach diesem weiteren Zusammenhange andeuten. Der Mechanismus der Fehl- und Zufallshandlungen, wie wir ihn durch die Anwendung der Analyse kennen gelernt haben, zeigt in den wesentlichsten Punkten eine Übereinstimmung mit dem Mechanismus der Traumbildung, den ich in dem Abschnitt </w:t>
      </w:r>
      <w:r w:rsidRPr="00492F36">
        <w:rPr>
          <w:rFonts w:ascii="Garamond" w:hAnsi="Garamond" w:cs="Arial"/>
          <w:i/>
          <w:iCs/>
          <w:color w:val="000000" w:themeColor="text1"/>
          <w:sz w:val="20"/>
          <w:szCs w:val="20"/>
          <w:lang w:val="en-GB"/>
        </w:rPr>
        <w:t>»Traumarbeit«</w:t>
      </w:r>
      <w:r w:rsidRPr="00492F36">
        <w:rPr>
          <w:rFonts w:ascii="Garamond" w:hAnsi="Garamond" w:cs="Arial"/>
          <w:color w:val="000000" w:themeColor="text1"/>
          <w:sz w:val="20"/>
          <w:szCs w:val="20"/>
          <w:lang w:val="en-GB"/>
        </w:rPr>
        <w:t xml:space="preserve"> meines Buches über die </w:t>
      </w:r>
      <w:r w:rsidRPr="00492F36">
        <w:rPr>
          <w:rFonts w:ascii="Garamond" w:hAnsi="Garamond" w:cs="Arial"/>
          <w:i/>
          <w:iCs/>
          <w:color w:val="000000" w:themeColor="text1"/>
          <w:sz w:val="20"/>
          <w:szCs w:val="20"/>
          <w:lang w:val="en-GB"/>
        </w:rPr>
        <w:t>Traumdeutung</w:t>
      </w:r>
      <w:r w:rsidRPr="00492F36">
        <w:rPr>
          <w:rFonts w:ascii="Garamond" w:hAnsi="Garamond" w:cs="Arial"/>
          <w:color w:val="000000" w:themeColor="text1"/>
          <w:sz w:val="20"/>
          <w:szCs w:val="20"/>
          <w:lang w:val="en-GB"/>
        </w:rPr>
        <w:t xml:space="preserve"> auseinandergesetzt habe. Die Verdichtungen und Kompromißbildungen (Kontaminationen) findet man hier wie dort; die Situation ist die nämliche, daß unbewußte Gedanken sich auf ungewöhnlichen Wegen, über äußerliche Assoziationen, als Modifikation von anderen Gedanken zum Ausdruck bringen. Die Ungereimtheiten, Absurditäten und Irrtümer des Trauminhaltes, denen zufolge der Traum kaum als Produkt psychischer Leistung anerkannt wird, entstehen auf dieselbe Weise, freilich mit freierer Benützung der vorhandenen Mittel, wie die gemeinen Fehler unseres Alltagslebens; </w:t>
      </w:r>
      <w:r w:rsidRPr="00492F36">
        <w:rPr>
          <w:rFonts w:ascii="Garamond" w:hAnsi="Garamond" w:cs="Arial"/>
          <w:i/>
          <w:iCs/>
          <w:color w:val="000000" w:themeColor="text1"/>
          <w:sz w:val="20"/>
          <w:szCs w:val="20"/>
          <w:lang w:val="en-GB"/>
        </w:rPr>
        <w:t>hier wie dort löst sich der Anschein inkorrekter Funktion durch die eigentümliche Interferenz zweier oder mehrerer korrekter Leistungen</w:t>
      </w:r>
      <w:r w:rsidRPr="00492F36">
        <w:rPr>
          <w:rFonts w:ascii="Garamond" w:hAnsi="Garamond" w:cs="Arial"/>
          <w:color w:val="000000" w:themeColor="text1"/>
          <w:sz w:val="20"/>
          <w:szCs w:val="20"/>
          <w:lang w:val="en-GB"/>
        </w:rPr>
        <w:t xml:space="preserve">. Aus diesem Zusammentreffen ist ein wichtiger Schluß zu ziehen: Die eigentümliche Arbeitsweise, deren auffälligste Leistung wir im Trauminhalt erkennen, darf nicht auf den Schlafzustand des Seelenlebens zurückgeführt werden, wenn wir in den Fehlhandlungen so reichliche Zeugnisse für ihre Wirksamkeit während des wachen Lebens besitzen. Derselbe Zusammenhang verbietet uns auch, tiefgreifenden Zerfall der Seelentätigkeit, krankhafte Zustände der Funktion als die Bedingung dieser uns abnorm und fremdartig erscheinenden psychischen Vorgänge anzusehen. </w:t>
      </w:r>
      <w:hyperlink r:id="rId286" w:anchor="#" w:history="1">
        <w:r w:rsidRPr="00492F36">
          <w:rPr>
            <w:rStyle w:val="fusslink"/>
            <w:rFonts w:ascii="Garamond" w:hAnsi="Garamond" w:cs="Arial"/>
            <w:b/>
            <w:bCs/>
            <w:color w:val="000000" w:themeColor="text1"/>
            <w:sz w:val="20"/>
            <w:szCs w:val="20"/>
          </w:rPr>
          <w:t>[Fußnote]</w:t>
        </w:r>
        <w:r w:rsidRPr="00492F36">
          <w:rPr>
            <w:rStyle w:val="innerfusslink3"/>
            <w:rFonts w:ascii="Garamond" w:hAnsi="Garamond" w:cs="Arial"/>
            <w:b/>
            <w:bCs/>
            <w:color w:val="000000" w:themeColor="text1"/>
            <w:sz w:val="20"/>
            <w:szCs w:val="20"/>
          </w:rPr>
          <w:t xml:space="preserve">Vgl. hierzu </w:t>
        </w:r>
        <w:r w:rsidRPr="00492F36">
          <w:rPr>
            <w:rStyle w:val="innerfusslink3"/>
            <w:rFonts w:ascii="Garamond" w:hAnsi="Garamond" w:cs="Arial"/>
            <w:b/>
            <w:bCs/>
            <w:i/>
            <w:iCs/>
            <w:color w:val="000000" w:themeColor="text1"/>
            <w:sz w:val="20"/>
            <w:szCs w:val="20"/>
          </w:rPr>
          <w:t>›Traumdeutung‹ p. 362</w:t>
        </w:r>
        <w:r w:rsidRPr="00492F36">
          <w:rPr>
            <w:rStyle w:val="innerfusslink3"/>
            <w:rFonts w:ascii="Garamond" w:hAnsi="Garamond" w:cs="Arial"/>
            <w:b/>
            <w:bCs/>
            <w:color w:val="000000" w:themeColor="text1"/>
            <w:sz w:val="20"/>
            <w:szCs w:val="20"/>
          </w:rPr>
          <w:t>.</w:t>
        </w:r>
      </w:hyperlink>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rPr>
        <w:t xml:space="preserve">Die richtige Beurteilung der sonderbaren psychischen Arbeit, welche die Fehlhandlungen wie die Traumbilder entstehen läßt, wird uns erst ermöglicht, wenn wir erfahren haben, daß die psychoneurotischen Symptome, speziell die psychischen Bildungen der Hysterie und der Zwangsneurose, in ihrem Mechanismus alle wesentlichen Züge dieser Arbeitsweise wiederholen. </w:t>
      </w:r>
      <w:r w:rsidRPr="00492F36">
        <w:rPr>
          <w:rFonts w:ascii="Garamond" w:hAnsi="Garamond" w:cs="Arial"/>
          <w:color w:val="000000" w:themeColor="text1"/>
          <w:sz w:val="20"/>
          <w:szCs w:val="20"/>
          <w:lang w:val="en-GB"/>
        </w:rPr>
        <w:t>An dieser Stelle schlösse sich also die Fortsetzung unserer Untersuchungen an. Für uns hat es aber noch ein besonderes Interesse, die Fehl-, Zufalls- und Symptomhandlungen in dem Lichte dieser letzten Analogie zu betrachten. Wenn wir sie den Leistungen der Psychoneurosen, den neurotischen Symptomen, gleichstellen, gewinnen zwei oft wiederkehrende Behauptungen, daß die Grenze zwischen nervöser Norm und Abnormität eine fließende, und daß wir alle ein wenig nervös seien, Sinn und Unterlage. Man kann sich vor aller ärztlicher Erfahrung verschiedene Typen von solcher bloß angedeuteten Nervosität von formes frustes der Neurosen konstruieren: Fälle, in denen nur wenige Symptome, oder diese selten oder nicht heftig auftreten, die Abschwächung also in die Zahl, in die Intensität, in die zeitliche Ausbreitung der krankhaften Erscheinungen verlegen; vielleicht würde man aber gerade den Typus nicht erraten, welcher als der häufigste den Übergang zwischen Gesundheit und Krankheit zu vermitteln scheint. Der uns vorliegende Typus, dessen Krankheitsäußerungen die Fehl- und Symptomhandlungen sind, zeichnet sich nämlich dadurch aus, daß die Symptome in die mindest wichtigen psychischen Leistungen verlegt sind, während alles, was höheren psychischen Wert beanspruchen kann, frei von Störung vor sich geht. Die gegenteilige Unterbringung der Symptome, ihr Hervortreten an den wichtigsten individuellen und sozialen Leistungen, so daß sie Nahrungsaufnahme und Sexualverkehr, Berufsarbeit und Geselligkeit zu stören vermögen, kommt den schweren Fällen von Neurose zu und charakterisiert diese besser als etwa die Mannigfaltigkeit oder die Lebhaftigkeit der Krankheitsäußerungen.</w:t>
      </w:r>
    </w:p>
    <w:p w:rsidR="00BA623D" w:rsidRDefault="000D4CB9" w:rsidP="000D4CB9">
      <w:pPr>
        <w:shd w:val="clear" w:color="auto" w:fill="FFFFFF"/>
        <w:spacing w:before="120" w:after="120" w:line="124" w:lineRule="atLeast"/>
        <w:rPr>
          <w:rFonts w:ascii="Garamond" w:hAnsi="Garamond" w:cs="Arial"/>
          <w:color w:val="000000" w:themeColor="text1"/>
          <w:sz w:val="20"/>
          <w:szCs w:val="20"/>
          <w:lang w:val="en-GB"/>
        </w:rPr>
      </w:pPr>
      <w:r w:rsidRPr="00492F36">
        <w:rPr>
          <w:rFonts w:ascii="Garamond" w:hAnsi="Garamond" w:cs="Arial"/>
          <w:color w:val="000000" w:themeColor="text1"/>
          <w:sz w:val="20"/>
          <w:szCs w:val="20"/>
          <w:lang w:val="en-GB"/>
        </w:rPr>
        <w:t xml:space="preserve">Der gemeinsame Charakter aber der leichtesten wie der schwersten Fälle, an dem auch die Fehl- und Zufallshandlungen Anteil haben, liegt in der </w:t>
      </w:r>
      <w:r w:rsidRPr="00492F36">
        <w:rPr>
          <w:rFonts w:ascii="Garamond" w:hAnsi="Garamond" w:cs="Arial"/>
          <w:i/>
          <w:iCs/>
          <w:color w:val="000000" w:themeColor="text1"/>
          <w:sz w:val="20"/>
          <w:szCs w:val="20"/>
          <w:lang w:val="en-GB"/>
        </w:rPr>
        <w:t>Rückführbarkeit der Phänomene auf unvollkommen unterdrücktes psychisches Material, das vom Bewußtsein abgedrängt, doch nicht jeder Fähigkeit, sich zu äußern, beraubt worden ist</w:t>
      </w:r>
      <w:r w:rsidRPr="00492F36">
        <w:rPr>
          <w:rFonts w:ascii="Garamond" w:hAnsi="Garamond" w:cs="Arial"/>
          <w:color w:val="000000" w:themeColor="text1"/>
          <w:sz w:val="20"/>
          <w:szCs w:val="20"/>
          <w:lang w:val="en-GB"/>
        </w:rPr>
        <w:t>.</w:t>
      </w:r>
    </w:p>
    <w:p w:rsidR="00BA623D" w:rsidRDefault="00BA623D">
      <w:pPr>
        <w:rPr>
          <w:rFonts w:ascii="Garamond" w:hAnsi="Garamond" w:cs="Arial"/>
          <w:color w:val="000000" w:themeColor="text1"/>
          <w:sz w:val="20"/>
          <w:szCs w:val="20"/>
          <w:lang w:val="en-GB"/>
        </w:rPr>
      </w:pPr>
      <w:r>
        <w:rPr>
          <w:rFonts w:ascii="Garamond" w:hAnsi="Garamond" w:cs="Arial"/>
          <w:color w:val="000000" w:themeColor="text1"/>
          <w:sz w:val="20"/>
          <w:szCs w:val="20"/>
          <w:lang w:val="en-GB"/>
        </w:rPr>
        <w:br w:type="page"/>
      </w:r>
    </w:p>
    <w:p w:rsidR="00BA623D" w:rsidRPr="006D5A96" w:rsidRDefault="00BA623D" w:rsidP="00BA623D">
      <w:pPr>
        <w:rPr>
          <w:rFonts w:ascii="Garamond" w:hAnsi="Garamond" w:cs="Arial"/>
          <w:b/>
          <w:bCs/>
          <w:color w:val="000000"/>
          <w:lang w:val="en-GB"/>
        </w:rPr>
      </w:pPr>
    </w:p>
    <w:p w:rsidR="00BA623D" w:rsidRPr="00BA623D" w:rsidRDefault="00BA623D" w:rsidP="00BA623D">
      <w:pPr>
        <w:pStyle w:val="Sansinterligne"/>
        <w:rPr>
          <w:rFonts w:ascii="Garamond" w:hAnsi="Garamond"/>
          <w:sz w:val="28"/>
          <w:szCs w:val="28"/>
          <w:lang w:val="en-GB"/>
        </w:rPr>
      </w:pPr>
      <w:r w:rsidRPr="00BA623D">
        <w:rPr>
          <w:rFonts w:ascii="Garamond" w:hAnsi="Garamond"/>
          <w:sz w:val="28"/>
          <w:szCs w:val="28"/>
          <w:lang w:val="en-GB"/>
        </w:rPr>
        <w:t>De</w:t>
      </w:r>
      <w:bookmarkStart w:id="101" w:name="F63"/>
      <w:bookmarkEnd w:id="101"/>
      <w:r w:rsidRPr="00BA623D">
        <w:rPr>
          <w:rFonts w:ascii="Garamond" w:hAnsi="Garamond"/>
          <w:sz w:val="28"/>
          <w:szCs w:val="28"/>
          <w:lang w:val="en-GB"/>
        </w:rPr>
        <w:t>r Witz und seine Beziehung zum Unbewußten (1905)</w:t>
      </w:r>
      <w:r>
        <w:rPr>
          <w:rFonts w:ascii="Garamond" w:hAnsi="Garamond"/>
          <w:sz w:val="28"/>
          <w:szCs w:val="28"/>
          <w:lang w:val="en-GB"/>
        </w:rPr>
        <w:t xml:space="preserve">                             </w:t>
      </w:r>
      <w:hyperlink w:anchor="Werke" w:history="1">
        <w:r w:rsidRPr="0018684C">
          <w:rPr>
            <w:rStyle w:val="Lienhypertexte"/>
            <w:rFonts w:ascii="Garamond" w:hAnsi="Garamond"/>
            <w:lang w:val="en-US"/>
          </w:rPr>
          <w:t>Werke</w:t>
        </w:r>
      </w:hyperlink>
    </w:p>
    <w:p w:rsidR="00BA623D" w:rsidRPr="00BA623D" w:rsidRDefault="00BA623D" w:rsidP="00BA623D">
      <w:pPr>
        <w:pStyle w:val="Sansinterligne"/>
        <w:rPr>
          <w:rFonts w:ascii="Garamond" w:hAnsi="Garamond"/>
          <w:lang w:val="en-US"/>
        </w:rPr>
      </w:pPr>
    </w:p>
    <w:p w:rsidR="00BA623D" w:rsidRDefault="00BA623D" w:rsidP="00BA623D">
      <w:pPr>
        <w:pStyle w:val="Sansinterligne"/>
        <w:rPr>
          <w:rFonts w:ascii="Garamond" w:hAnsi="Garamond"/>
          <w:color w:val="0000CC"/>
          <w:lang w:val="en-US"/>
        </w:rPr>
      </w:pPr>
      <w:r w:rsidRPr="00BA623D">
        <w:rPr>
          <w:rFonts w:ascii="Garamond" w:hAnsi="Garamond"/>
          <w:color w:val="0000CC"/>
          <w:lang w:val="en-US"/>
        </w:rPr>
        <w:t>In</w:t>
      </w:r>
      <w:bookmarkStart w:id="102" w:name="Witz_INHALT"/>
      <w:bookmarkEnd w:id="102"/>
      <w:r w:rsidRPr="00BA623D">
        <w:rPr>
          <w:rFonts w:ascii="Garamond" w:hAnsi="Garamond"/>
          <w:color w:val="0000CC"/>
          <w:lang w:val="en-US"/>
        </w:rPr>
        <w:t>halt</w:t>
      </w:r>
    </w:p>
    <w:p w:rsidR="00BA623D" w:rsidRDefault="00BA623D" w:rsidP="00BA623D">
      <w:pPr>
        <w:pStyle w:val="Sansinterligne"/>
        <w:rPr>
          <w:rFonts w:ascii="Garamond" w:hAnsi="Garamond"/>
          <w:color w:val="0000CC"/>
          <w:lang w:val="en-US"/>
        </w:rPr>
      </w:pPr>
    </w:p>
    <w:p w:rsidR="00BA623D" w:rsidRPr="0053779A" w:rsidRDefault="00BA623D" w:rsidP="00BA623D">
      <w:pPr>
        <w:pStyle w:val="Sansinterligne"/>
        <w:rPr>
          <w:rFonts w:ascii="Garamond" w:hAnsi="Garamond"/>
          <w:b/>
          <w:color w:val="0000CC"/>
          <w:lang w:val="en-US"/>
        </w:rPr>
      </w:pPr>
      <w:r w:rsidRPr="0053779A">
        <w:rPr>
          <w:rFonts w:ascii="Garamond" w:hAnsi="Garamond"/>
          <w:b/>
          <w:color w:val="0000CC"/>
          <w:lang w:val="en-US"/>
        </w:rPr>
        <w:t>A. Analytischer Teil</w:t>
      </w:r>
    </w:p>
    <w:p w:rsidR="00BA623D" w:rsidRPr="00BA623D" w:rsidRDefault="00BA623D" w:rsidP="00BA623D">
      <w:pPr>
        <w:pStyle w:val="Sansinterligne"/>
        <w:rPr>
          <w:rFonts w:ascii="Garamond" w:hAnsi="Garamond"/>
          <w:color w:val="003399"/>
          <w:lang w:val="en-US"/>
        </w:rPr>
      </w:pPr>
    </w:p>
    <w:p w:rsidR="00BA623D" w:rsidRPr="00BA623D" w:rsidRDefault="00B437A1" w:rsidP="00BA623D">
      <w:pPr>
        <w:pStyle w:val="Sansinterligne"/>
        <w:rPr>
          <w:rFonts w:ascii="Garamond" w:hAnsi="Garamond"/>
          <w:lang w:val="en-US"/>
        </w:rPr>
      </w:pPr>
      <w:hyperlink w:anchor="Witz_1" w:history="1">
        <w:r w:rsidR="00BA623D" w:rsidRPr="007D5EBB">
          <w:rPr>
            <w:rStyle w:val="Lienhypertexte"/>
            <w:rFonts w:ascii="Garamond" w:hAnsi="Garamond" w:cs="Arial"/>
            <w:bCs/>
            <w:lang w:val="en-US"/>
          </w:rPr>
          <w:t>I. Einleitung</w:t>
        </w:r>
      </w:hyperlink>
    </w:p>
    <w:p w:rsidR="00BA623D" w:rsidRPr="00DF4073" w:rsidRDefault="00B437A1" w:rsidP="00BA623D">
      <w:pPr>
        <w:pStyle w:val="Sansinterligne"/>
        <w:rPr>
          <w:rFonts w:ascii="Garamond" w:hAnsi="Garamond"/>
        </w:rPr>
      </w:pPr>
      <w:hyperlink w:anchor="W2" w:history="1">
        <w:r w:rsidR="00BA623D" w:rsidRPr="007D5EBB">
          <w:rPr>
            <w:rStyle w:val="Lienhypertexte"/>
            <w:rFonts w:ascii="Garamond" w:hAnsi="Garamond" w:cs="Arial"/>
            <w:bCs/>
          </w:rPr>
          <w:t>II. Die Technik des Witzes</w:t>
        </w:r>
      </w:hyperlink>
    </w:p>
    <w:p w:rsidR="00BA623D" w:rsidRPr="00DF4073" w:rsidRDefault="00B437A1" w:rsidP="00BA623D">
      <w:pPr>
        <w:pStyle w:val="Sansinterligne"/>
        <w:rPr>
          <w:rFonts w:ascii="Garamond" w:hAnsi="Garamond"/>
        </w:rPr>
      </w:pPr>
      <w:hyperlink w:anchor="W3" w:history="1">
        <w:r w:rsidR="00BA623D" w:rsidRPr="007D5EBB">
          <w:rPr>
            <w:rStyle w:val="Lienhypertexte"/>
            <w:rFonts w:ascii="Garamond" w:hAnsi="Garamond" w:cs="Arial"/>
            <w:bCs/>
          </w:rPr>
          <w:t>III. Die Tendenzen des Witzes</w:t>
        </w:r>
      </w:hyperlink>
    </w:p>
    <w:p w:rsidR="00BA623D" w:rsidRPr="00DF4073" w:rsidRDefault="00BA623D" w:rsidP="00BA623D">
      <w:pPr>
        <w:pStyle w:val="Sansinterligne"/>
        <w:rPr>
          <w:rFonts w:ascii="Garamond" w:hAnsi="Garamond"/>
          <w:color w:val="003399"/>
        </w:rPr>
      </w:pPr>
    </w:p>
    <w:p w:rsidR="00BA623D" w:rsidRPr="0053779A" w:rsidRDefault="00BA623D" w:rsidP="00BA623D">
      <w:pPr>
        <w:pStyle w:val="Sansinterligne"/>
        <w:rPr>
          <w:rFonts w:ascii="Garamond" w:hAnsi="Garamond"/>
          <w:b/>
          <w:color w:val="0000CC"/>
        </w:rPr>
      </w:pPr>
      <w:r w:rsidRPr="0053779A">
        <w:rPr>
          <w:rFonts w:ascii="Garamond" w:hAnsi="Garamond"/>
          <w:b/>
          <w:color w:val="0000CC"/>
        </w:rPr>
        <w:t>B. Synthetischer Teil</w:t>
      </w:r>
    </w:p>
    <w:p w:rsidR="00BA623D" w:rsidRPr="00DF4073" w:rsidRDefault="00BA623D" w:rsidP="00BA623D">
      <w:pPr>
        <w:pStyle w:val="Sansinterligne"/>
        <w:rPr>
          <w:rFonts w:ascii="Garamond" w:hAnsi="Garamond"/>
          <w:color w:val="003399"/>
        </w:rPr>
      </w:pPr>
    </w:p>
    <w:p w:rsidR="00BA623D" w:rsidRPr="00DF4073" w:rsidRDefault="00B437A1" w:rsidP="00BA623D">
      <w:pPr>
        <w:pStyle w:val="Sansinterligne"/>
        <w:rPr>
          <w:rFonts w:ascii="Garamond" w:hAnsi="Garamond"/>
        </w:rPr>
      </w:pPr>
      <w:hyperlink w:anchor="Witz_INHALT" w:history="1">
        <w:r w:rsidR="00BA623D" w:rsidRPr="007D5EBB">
          <w:rPr>
            <w:rStyle w:val="Lienhypertexte"/>
            <w:rFonts w:ascii="Garamond" w:hAnsi="Garamond" w:cs="Arial"/>
            <w:bCs/>
          </w:rPr>
          <w:t>IV. Der Lustmechanismus und die Psychogenese des Witzes</w:t>
        </w:r>
      </w:hyperlink>
    </w:p>
    <w:p w:rsidR="00BA623D" w:rsidRPr="00DF4073" w:rsidRDefault="00B437A1" w:rsidP="00BA623D">
      <w:pPr>
        <w:pStyle w:val="Sansinterligne"/>
        <w:rPr>
          <w:rFonts w:ascii="Garamond" w:hAnsi="Garamond"/>
        </w:rPr>
      </w:pPr>
      <w:hyperlink w:anchor="W5" w:history="1">
        <w:r w:rsidR="00BA623D" w:rsidRPr="007D5EBB">
          <w:rPr>
            <w:rStyle w:val="Lienhypertexte"/>
            <w:rFonts w:ascii="Garamond" w:hAnsi="Garamond" w:cs="Arial"/>
            <w:bCs/>
          </w:rPr>
          <w:t>V. Die Motive des Witzes. Der Witz als sozialer Vorgang</w:t>
        </w:r>
      </w:hyperlink>
    </w:p>
    <w:p w:rsidR="00BA623D" w:rsidRPr="00DF4073" w:rsidRDefault="00BA623D" w:rsidP="00BA623D">
      <w:pPr>
        <w:pStyle w:val="Sansinterligne"/>
        <w:rPr>
          <w:rFonts w:ascii="Garamond" w:hAnsi="Garamond"/>
          <w:color w:val="003399"/>
        </w:rPr>
      </w:pPr>
    </w:p>
    <w:p w:rsidR="00BA623D" w:rsidRPr="0053779A" w:rsidRDefault="00BA623D" w:rsidP="00BA623D">
      <w:pPr>
        <w:pStyle w:val="Sansinterligne"/>
        <w:rPr>
          <w:rFonts w:ascii="Garamond" w:hAnsi="Garamond"/>
          <w:b/>
          <w:color w:val="0000CC"/>
          <w:lang w:val="en-GB"/>
        </w:rPr>
      </w:pPr>
      <w:r w:rsidRPr="0053779A">
        <w:rPr>
          <w:rFonts w:ascii="Garamond" w:hAnsi="Garamond"/>
          <w:b/>
          <w:color w:val="0000CC"/>
          <w:lang w:val="en-GB"/>
        </w:rPr>
        <w:t>C. Theoretischer Teil</w:t>
      </w:r>
    </w:p>
    <w:p w:rsidR="00BA623D" w:rsidRPr="00BA623D" w:rsidRDefault="00BA623D" w:rsidP="00BA623D">
      <w:pPr>
        <w:pStyle w:val="Sansinterligne"/>
        <w:rPr>
          <w:rFonts w:ascii="Garamond" w:hAnsi="Garamond"/>
          <w:color w:val="003399"/>
          <w:lang w:val="en-GB"/>
        </w:rPr>
      </w:pPr>
    </w:p>
    <w:p w:rsidR="00BA623D" w:rsidRPr="00BA623D" w:rsidRDefault="00B437A1" w:rsidP="00BA623D">
      <w:pPr>
        <w:pStyle w:val="Sansinterligne"/>
        <w:rPr>
          <w:rFonts w:ascii="Garamond" w:hAnsi="Garamond"/>
          <w:lang w:val="en-GB"/>
        </w:rPr>
      </w:pPr>
      <w:hyperlink w:anchor="W6" w:history="1">
        <w:r w:rsidR="00BA623D" w:rsidRPr="007D5EBB">
          <w:rPr>
            <w:rStyle w:val="Lienhypertexte"/>
            <w:rFonts w:ascii="Garamond" w:hAnsi="Garamond" w:cs="Arial"/>
            <w:bCs/>
            <w:lang w:val="en-GB"/>
          </w:rPr>
          <w:t>VI. Die Beziehung des Witzes zum Traum und zum Unbewußten</w:t>
        </w:r>
      </w:hyperlink>
    </w:p>
    <w:p w:rsidR="00BA623D" w:rsidRPr="00BA623D" w:rsidRDefault="00B437A1" w:rsidP="00BA623D">
      <w:pPr>
        <w:pStyle w:val="Sansinterligne"/>
        <w:rPr>
          <w:rFonts w:ascii="Garamond" w:hAnsi="Garamond"/>
          <w:lang w:val="en-US"/>
        </w:rPr>
      </w:pPr>
      <w:hyperlink w:anchor="W7" w:history="1">
        <w:r w:rsidR="00BA623D" w:rsidRPr="007D5EBB">
          <w:rPr>
            <w:rStyle w:val="Lienhypertexte"/>
            <w:rFonts w:ascii="Garamond" w:hAnsi="Garamond" w:cs="Arial"/>
            <w:bCs/>
            <w:lang w:val="en-US"/>
          </w:rPr>
          <w:t>VII. Der Witz und die Arten des Komischen</w:t>
        </w:r>
      </w:hyperlink>
    </w:p>
    <w:p w:rsidR="00BA623D" w:rsidRPr="00BA623D" w:rsidRDefault="00BA623D" w:rsidP="00BA623D">
      <w:pPr>
        <w:pStyle w:val="Sansinterligne"/>
        <w:rPr>
          <w:rFonts w:ascii="Garamond" w:hAnsi="Garamond"/>
          <w:lang w:val="en-US"/>
        </w:rPr>
      </w:pPr>
    </w:p>
    <w:p w:rsidR="00BA623D" w:rsidRPr="00BA623D" w:rsidRDefault="00BA623D" w:rsidP="00BA623D">
      <w:pPr>
        <w:pStyle w:val="Sansinterligne"/>
        <w:rPr>
          <w:rFonts w:ascii="Garamond" w:hAnsi="Garamond"/>
          <w:lang w:val="en-US"/>
        </w:rPr>
      </w:pPr>
    </w:p>
    <w:p w:rsidR="00BA623D" w:rsidRPr="00BA623D" w:rsidRDefault="00BA623D" w:rsidP="00BA623D">
      <w:pPr>
        <w:pStyle w:val="Sansinterligne"/>
        <w:rPr>
          <w:rFonts w:ascii="Garamond" w:hAnsi="Garamond"/>
          <w:lang w:val="en-US"/>
        </w:rPr>
      </w:pPr>
    </w:p>
    <w:p w:rsidR="00BA623D" w:rsidRPr="00BA623D" w:rsidRDefault="00BA623D" w:rsidP="00BA623D">
      <w:pPr>
        <w:pStyle w:val="Sansinterligne"/>
        <w:rPr>
          <w:rFonts w:ascii="Garamond" w:hAnsi="Garamond"/>
          <w:lang w:val="en-US"/>
        </w:rPr>
      </w:pPr>
    </w:p>
    <w:p w:rsidR="00BA623D" w:rsidRPr="007D5EBB" w:rsidRDefault="00BA623D" w:rsidP="00BA623D">
      <w:pPr>
        <w:pStyle w:val="Sansinterligne"/>
        <w:rPr>
          <w:rFonts w:ascii="Garamond" w:hAnsi="Garamond"/>
          <w:b/>
          <w:color w:val="0000CC"/>
          <w:lang w:val="en-US"/>
        </w:rPr>
      </w:pPr>
      <w:r w:rsidRPr="00BA623D">
        <w:rPr>
          <w:rFonts w:ascii="Garamond" w:hAnsi="Garamond"/>
          <w:b/>
          <w:color w:val="F38030"/>
          <w:lang w:val="en-US"/>
        </w:rPr>
        <w:br w:type="page"/>
      </w:r>
      <w:r w:rsidRPr="007D5EBB">
        <w:rPr>
          <w:rFonts w:ascii="Garamond" w:hAnsi="Garamond"/>
          <w:b/>
          <w:color w:val="0000CC"/>
          <w:lang w:val="en-US"/>
        </w:rPr>
        <w:lastRenderedPageBreak/>
        <w:t>A. Analytischer Teil</w:t>
      </w:r>
    </w:p>
    <w:p w:rsidR="00BA623D" w:rsidRPr="00BA623D" w:rsidRDefault="00BA623D" w:rsidP="00BA623D">
      <w:pPr>
        <w:pStyle w:val="Sansinterligne"/>
        <w:rPr>
          <w:rFonts w:ascii="Garamond" w:hAnsi="Garamond"/>
          <w:b/>
          <w:lang w:val="en-US"/>
        </w:rPr>
      </w:pPr>
    </w:p>
    <w:p w:rsidR="00BA623D" w:rsidRPr="00DF4073" w:rsidRDefault="00B437A1" w:rsidP="00BA623D">
      <w:pPr>
        <w:pStyle w:val="Sansinterligne"/>
        <w:rPr>
          <w:rFonts w:ascii="Garamond" w:hAnsi="Garamond"/>
          <w:b/>
          <w:lang w:val="en-GB"/>
        </w:rPr>
      </w:pPr>
      <w:hyperlink w:anchor="Witz_INHALT" w:history="1">
        <w:r w:rsidR="00BA623D" w:rsidRPr="007D5EBB">
          <w:rPr>
            <w:rStyle w:val="Lienhypertexte"/>
            <w:rFonts w:ascii="Garamond" w:hAnsi="Garamond" w:cs="Arial"/>
            <w:b/>
            <w:bCs/>
            <w:lang w:val="en-GB"/>
          </w:rPr>
          <w:t>I. Ei</w:t>
        </w:r>
        <w:bookmarkStart w:id="103" w:name="W1"/>
        <w:bookmarkStart w:id="104" w:name="Witz_1"/>
        <w:bookmarkEnd w:id="103"/>
        <w:bookmarkEnd w:id="104"/>
        <w:r w:rsidR="00BA623D" w:rsidRPr="007D5EBB">
          <w:rPr>
            <w:rStyle w:val="Lienhypertexte"/>
            <w:rFonts w:ascii="Garamond" w:hAnsi="Garamond" w:cs="Arial"/>
            <w:b/>
            <w:bCs/>
            <w:lang w:val="en-GB"/>
          </w:rPr>
          <w:t>nleitung</w:t>
        </w:r>
      </w:hyperlink>
    </w:p>
    <w:p w:rsidR="00BA623D" w:rsidRPr="00DF4073" w:rsidRDefault="00BA623D" w:rsidP="00BA623D">
      <w:pPr>
        <w:pStyle w:val="Sansinterligne"/>
        <w:rPr>
          <w:rFonts w:ascii="Garamond" w:hAnsi="Garamond"/>
          <w:lang w:val="en-GB"/>
        </w:rPr>
      </w:pPr>
    </w:p>
    <w:p w:rsidR="00BA623D" w:rsidRPr="00BA623D" w:rsidRDefault="00BA623D" w:rsidP="00BA623D">
      <w:pPr>
        <w:pStyle w:val="Sansinterligne"/>
        <w:rPr>
          <w:rFonts w:ascii="Garamond" w:hAnsi="Garamond"/>
          <w:lang w:val="en-GB"/>
        </w:rPr>
      </w:pPr>
      <w:r w:rsidRPr="00DF4073">
        <w:rPr>
          <w:rFonts w:ascii="Garamond" w:hAnsi="Garamond"/>
          <w:lang w:val="en-GB"/>
        </w:rPr>
        <w:t xml:space="preserve">Wer einmal Anlaß gehabt hat, sich in der Literatur bei Ästhetikern und Psychologen zu erkundigen, welche Aufklärung über Wesen und Beziehungen des Witzes gegeben werden kann, der wird wohl zugestehen müssen, daß die philosophische Bemühung dem Witz lange nicht in dem Maße zuteil geworden ist, welches er durch seine Rolle in unserem Geistesleben verdient. </w:t>
      </w:r>
      <w:r w:rsidRPr="00BA623D">
        <w:rPr>
          <w:rFonts w:ascii="Garamond" w:hAnsi="Garamond"/>
          <w:lang w:val="en-GB"/>
        </w:rPr>
        <w:t>Man kann nur eine geringe Anzahl von Denkern nennen, die sich eingehender mit den Problemen des Witzes beschäftigt haben. Allerdings finden sich unter den Bearbeitern des Witzes die glänzenden Namen des Dichters Jean Paul (Fr. Richter) und der Philosophen Th. Vischer, Kuno Fischer und Th. Lipps; aber auch bei diesen Autoren steht das Thema des Witzes im Hintergrunde, während das Hauptinteresse der Untersuchung dem umfassenderen und anziehenderen Probleme des Komischen zugewendet ist.</w:t>
      </w:r>
    </w:p>
    <w:p w:rsidR="00BA623D" w:rsidRPr="00BA623D" w:rsidRDefault="00BA623D" w:rsidP="00BA623D">
      <w:pPr>
        <w:pStyle w:val="Sansinterligne"/>
        <w:rPr>
          <w:rFonts w:ascii="Garamond" w:hAnsi="Garamond"/>
          <w:lang w:val="en-GB"/>
        </w:rPr>
      </w:pPr>
      <w:r w:rsidRPr="00BA623D">
        <w:rPr>
          <w:rFonts w:ascii="Garamond" w:hAnsi="Garamond"/>
          <w:lang w:val="en-GB"/>
        </w:rPr>
        <w:t>Man gewinnt aus der Literatur zunächst den Eindruck, als sei es völlig untunlich, den Witz anders als im Zusammenhange mit dem Komischen zu behandeln.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Nach Th. Lipps ( </w:t>
      </w:r>
      <w:r w:rsidRPr="00BA623D">
        <w:rPr>
          <w:rFonts w:ascii="Garamond" w:hAnsi="Garamond"/>
          <w:i/>
          <w:iCs/>
          <w:lang w:val="en-GB"/>
        </w:rPr>
        <w:t>Komik und Humor</w:t>
      </w:r>
      <w:r w:rsidRPr="00BA623D">
        <w:rPr>
          <w:rFonts w:ascii="Garamond" w:hAnsi="Garamond"/>
          <w:lang w:val="en-GB"/>
        </w:rPr>
        <w:t xml:space="preserve">, 1898) </w:t>
      </w:r>
      <w:hyperlink r:id="rId287"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i/>
            <w:iCs/>
            <w:lang w:val="en-GB"/>
          </w:rPr>
          <w:t>Beiträge zur Ästhetik,</w:t>
        </w:r>
        <w:r w:rsidRPr="00BA623D">
          <w:rPr>
            <w:rStyle w:val="innerfusslink3"/>
            <w:rFonts w:ascii="Garamond" w:hAnsi="Garamond" w:cs="Arial"/>
            <w:b/>
            <w:bCs/>
            <w:lang w:val="en-GB"/>
          </w:rPr>
          <w:t xml:space="preserve"> herausgegeben von Theodor Lipps und Richard Maria Werner, VI. – Ein Buch, dem ich den Mut und die Möglichkeit verdanke, diesen Versuch zu unternehmen.</w:t>
        </w:r>
      </w:hyperlink>
      <w:r w:rsidRPr="00BA623D">
        <w:rPr>
          <w:rFonts w:ascii="Garamond" w:hAnsi="Garamond"/>
          <w:lang w:val="en-GB"/>
        </w:rPr>
        <w:t xml:space="preserve"> ist der Witz »die durchaus subjektive Komik«, d. h. die Komik, »die wir hervorbringen, die an unserem Tun als solchem haftet, zu der wir uns durchwegs als darüberstehendes Subjekt, niemals als Objekt, auch nicht als freiwilliges Objekt verhalten« (S. 80). Erläuternd hiezu die Bemerkung: Witz heiße überhaupt »jedes bewußte und geschickte Hervorrufen der Komik, sei es der Komik der Anschauung oder der Situation« (S. 78).</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K. Fischer erläutert die Beziehung des Witzes zum Komischen mit Beihilfe der in seiner Darstellung zwischen beide eingeschobenen Karikatur. ( </w:t>
      </w:r>
      <w:r w:rsidRPr="00BA623D">
        <w:rPr>
          <w:rFonts w:ascii="Garamond" w:hAnsi="Garamond"/>
          <w:i/>
          <w:iCs/>
          <w:lang w:val="en-GB"/>
        </w:rPr>
        <w:t>Über den Witz,</w:t>
      </w:r>
      <w:r w:rsidRPr="00BA623D">
        <w:rPr>
          <w:rFonts w:ascii="Garamond" w:hAnsi="Garamond"/>
          <w:lang w:val="en-GB"/>
        </w:rPr>
        <w:t xml:space="preserve"> 1889.) Gegenstand der Komik ist das Häßliche in irgendeiner seiner Erscheinungsformen: »Wo es verdeckt ist, muß es im Licht der komischen Betrachtung entdeckt, wo es wenig oder kaum bemerkt wird, muß es hervorgeholt und so verdeutlicht werden, daß es klar und offen am Tage liegt ... So entsteht die Karikatur« (S. 45). – »Unsere ganze geistige Welt, das intellektuelle Reich unserer Gedanken und Vorstellungen, entfaltet sich nicht vor dem Blicke der äußeren Betrachtung, läßt sich nicht unmittelbar bildlich und anschaulich vorstellen und enthält doch auch seine Hemmungen, Gebrechen, Verunstaltungen, eine Fülle des Lächerlichen und der komischen Kontraste. Diese hervorzuheben und der ästhetischen Betrachtung zugänglich zu machen, wird eine Kraft nötig sein, welche imstande ist, nicht bloß Objekte unmittelbar vorzustellen, sondern auf diese Vorstellungen selbst zu reflektieren und sie zu verdeutlichen: eine gedankenerhellende Kraft. Diese Kraft ist allein das </w:t>
      </w:r>
      <w:r w:rsidRPr="00BA623D">
        <w:rPr>
          <w:rFonts w:ascii="Garamond" w:hAnsi="Garamond"/>
          <w:i/>
          <w:iCs/>
          <w:lang w:val="en-GB"/>
        </w:rPr>
        <w:t>Urteil</w:t>
      </w:r>
      <w:r w:rsidRPr="00BA623D">
        <w:rPr>
          <w:rFonts w:ascii="Garamond" w:hAnsi="Garamond"/>
          <w:lang w:val="en-GB"/>
        </w:rPr>
        <w:t xml:space="preserve">. Das Urteil, welches den komischen Kontrast erzeugt, ist der </w:t>
      </w:r>
      <w:r w:rsidRPr="00BA623D">
        <w:rPr>
          <w:rFonts w:ascii="Garamond" w:hAnsi="Garamond"/>
          <w:i/>
          <w:iCs/>
          <w:lang w:val="en-GB"/>
        </w:rPr>
        <w:t>Witz</w:t>
      </w:r>
      <w:r w:rsidRPr="00BA623D">
        <w:rPr>
          <w:rFonts w:ascii="Garamond" w:hAnsi="Garamond"/>
          <w:lang w:val="en-GB"/>
        </w:rPr>
        <w:t>, er hat im stillen schon in der Karikatur mitgespielt, aber erst im Urteil erreicht er seine eigentümliche Form und das freie Gebiet seiner Entfaltung« (S. 49–50).</w:t>
      </w:r>
    </w:p>
    <w:p w:rsidR="00BA623D" w:rsidRPr="00BA623D" w:rsidRDefault="00BA623D" w:rsidP="00BA623D">
      <w:pPr>
        <w:pStyle w:val="Sansinterligne"/>
        <w:rPr>
          <w:rFonts w:ascii="Garamond" w:hAnsi="Garamond"/>
          <w:lang w:val="en-GB"/>
        </w:rPr>
      </w:pPr>
      <w:r w:rsidRPr="00BA623D">
        <w:rPr>
          <w:rFonts w:ascii="Garamond" w:hAnsi="Garamond"/>
          <w:lang w:val="en-GB"/>
        </w:rPr>
        <w:t>Wie man sieht, verlegt Lipps den Charakter, welcher den Witz innerhalb des Komischen auszeichnet, in die Betätigung, in das aktive Verhalten des Subjekts, während K. Fischer den Witz durch die Beziehung zu seinem Gegenstand, als welcher das verborgene Häßliche der Gedankenwelt gelten soll, kennzeichnet. Man kann diese Definitionen des Witzes nicht auf ihre Triftigkeit prüfen, ja man kann sie kaum verstehen, wenn man sie nicht in den Zusammenhang einfügt, aus dem gerissen sie hier erscheinen, und man stände so vor der Nötigung, sich durch die Darstellungen des Komischen bei den Autoren hindurchzuarbeiten, um von ihnen etwas über den Witz zu erfahren. Indes wird man an anderen Stellen gewahr, daß dieselben Autoren auch wesentliche und allgemein gültige Charaktere des Witzes anzugeben wissen, bei welchen von dessen Beziehung zum Komischen abgesehen ist.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Kennzeichnung des Witzes bei K. Fischer, die den Autor selbst am besten zu befriedigen scheint, lautet: »Der Witz ist ein </w:t>
      </w:r>
      <w:r w:rsidRPr="00BA623D">
        <w:rPr>
          <w:rFonts w:ascii="Garamond" w:hAnsi="Garamond"/>
          <w:i/>
          <w:iCs/>
          <w:lang w:val="en-GB"/>
        </w:rPr>
        <w:t>spielendes</w:t>
      </w:r>
      <w:r w:rsidRPr="00BA623D">
        <w:rPr>
          <w:rFonts w:ascii="Garamond" w:hAnsi="Garamond"/>
          <w:lang w:val="en-GB"/>
        </w:rPr>
        <w:t xml:space="preserve"> Urteil« (S. 51). Zur Erläuterung dieses Ausdruckes werden wir auf die Analogie verwiesen: »wie die ästhetische Freiheit in der spielenden Betrachtung der Dinge bestand« (S. 50). An anderer Stelle (S. 20) wird das ästhetische Verhalten gegen ein Objekt durch die Bedingung charakterisiert, daß wir von diesem Objekt nichts verlangen, insbesondere keine Befriedigung unserer ernsten Bedürfnisse, sondern uns mit dem Genuß der Betrachtung desselben begnügen. Das ästhetische Verhalten ist </w:t>
      </w:r>
      <w:r w:rsidRPr="00BA623D">
        <w:rPr>
          <w:rFonts w:ascii="Garamond" w:hAnsi="Garamond"/>
          <w:i/>
          <w:iCs/>
          <w:lang w:val="en-GB"/>
        </w:rPr>
        <w:t>spielend</w:t>
      </w:r>
      <w:r w:rsidRPr="00BA623D">
        <w:rPr>
          <w:rFonts w:ascii="Garamond" w:hAnsi="Garamond"/>
          <w:lang w:val="en-GB"/>
        </w:rPr>
        <w:t xml:space="preserve"> im Gegensatz zur Arbeit. – »Es könnte sein, daß aus der ästhetischen Freiheit auch eine von der gewöhnlichen Fessel und Richtschnur losgelöste Art des Urteilens entspringt, die ich um ihres Ursprungs willen › </w:t>
      </w:r>
      <w:r w:rsidRPr="00BA623D">
        <w:rPr>
          <w:rFonts w:ascii="Garamond" w:hAnsi="Garamond"/>
          <w:i/>
          <w:iCs/>
          <w:lang w:val="en-GB"/>
        </w:rPr>
        <w:t>das spielende Urteil</w:t>
      </w:r>
      <w:r w:rsidRPr="00BA623D">
        <w:rPr>
          <w:rFonts w:ascii="Garamond" w:hAnsi="Garamond"/>
          <w:lang w:val="en-GB"/>
        </w:rPr>
        <w:t>‹ nennen will, und daß in diesem Begriff die erste Bedingung, wenn nicht die ganze Formel enthalten ist, die unsere Aufgabe löst. ›Freiheit gibt Witz und Witz gibt Freiheit‹, sagt Jean Paul. ›Der Witz ist ein bloßes Spiel mit Ideen‹« (S. 24).</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 xml:space="preserve">Von jeher liebte man es, den Witz als die Fertigkeit zu definieren, Ähnlichkeiten zwischen Unähnlichem, also versteckte Ähnlichkeiten zu finden. Jean Paul hat diesen Gedanken selbst witzig so ausgedrückt: »Der Witz ist der verkleidete Priester, der jedes Paar traut.« Th. Vischer fügt die Fortsetzung an: »Er traut die Paare am liebsten, deren Verbindung die Verwandten nicht dulden wollen.« Vischer wendet aber ein, daß es Witze gebe, bei denen von Vergleichung, also auch von Auffindung von Ähnlichkeit, keine Rede sei. Er definiert also den Witz mit leiser Abweichung von Jean Paul als die Fertigkeit, mit überraschender Schnelle mehrere Vorstellungen, die nach ihrem inneren Gehalt und dem Nexus, dem sie angehören, einander eigentlich fremd sind, zu einer Einheit zu verbinden. K. Fischer hebt dann hervor, daß in einer Menge von witzigen Urteilen nicht Ähnlichkeiten, sondern Unterschiede gefunden werden, und Lipps macht darauf aufmerksam, daß sich diese Definitionen auf den Witz beziehen, den der Witzige </w:t>
      </w:r>
      <w:r w:rsidRPr="00BA623D">
        <w:rPr>
          <w:rFonts w:ascii="Garamond" w:hAnsi="Garamond"/>
          <w:i/>
          <w:iCs/>
          <w:lang w:val="en-GB"/>
        </w:rPr>
        <w:t>hat</w:t>
      </w:r>
      <w:r w:rsidRPr="00BA623D">
        <w:rPr>
          <w:rFonts w:ascii="Garamond" w:hAnsi="Garamond"/>
          <w:lang w:val="en-GB"/>
        </w:rPr>
        <w:t xml:space="preserve">, und nicht, den er </w:t>
      </w:r>
      <w:r w:rsidRPr="00BA623D">
        <w:rPr>
          <w:rFonts w:ascii="Garamond" w:hAnsi="Garamond"/>
          <w:i/>
          <w:iCs/>
          <w:lang w:val="en-GB"/>
        </w:rPr>
        <w:t>macht</w:t>
      </w: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Andere in gewissem Sinne miteinander verknüpfte Gesichtspunkte, die bei der Begriffsbestimmung oder Beschreibung des Witzes herangezogen wurden, sind der » </w:t>
      </w:r>
      <w:r w:rsidRPr="00BA623D">
        <w:rPr>
          <w:rFonts w:ascii="Garamond" w:hAnsi="Garamond"/>
          <w:i/>
          <w:iCs/>
          <w:lang w:val="en-GB"/>
        </w:rPr>
        <w:t>Vorstellungskontrast</w:t>
      </w:r>
      <w:r w:rsidRPr="00BA623D">
        <w:rPr>
          <w:rFonts w:ascii="Garamond" w:hAnsi="Garamond"/>
          <w:lang w:val="en-GB"/>
        </w:rPr>
        <w:t xml:space="preserve">«, » </w:t>
      </w:r>
      <w:r w:rsidRPr="00BA623D">
        <w:rPr>
          <w:rFonts w:ascii="Garamond" w:hAnsi="Garamond"/>
          <w:i/>
          <w:iCs/>
          <w:lang w:val="en-GB"/>
        </w:rPr>
        <w:t>der Sinn im Unsinn</w:t>
      </w:r>
      <w:r w:rsidRPr="00BA623D">
        <w:rPr>
          <w:rFonts w:ascii="Garamond" w:hAnsi="Garamond"/>
          <w:lang w:val="en-GB"/>
        </w:rPr>
        <w:t xml:space="preserve">«, » </w:t>
      </w:r>
      <w:r w:rsidRPr="00BA623D">
        <w:rPr>
          <w:rFonts w:ascii="Garamond" w:hAnsi="Garamond"/>
          <w:i/>
          <w:iCs/>
          <w:lang w:val="en-GB"/>
        </w:rPr>
        <w:t>die Verblüffung und Erleuchtung</w:t>
      </w: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Auf den Vorstellungskontrast legen Definitionen wie die von Kraepelin den Nachdruck. Der Witz sei »die willkürliche Verbindung oder Verknüpfung zweier miteinander in irgendeiner Weise kontrastierender Vorstellungen, zumeist durch das Hilfsmittel der sprachlichen Assoziation«. Es wird einem Kritiker wie Lipps nicht schwer, die völlige Unzulänglichkeit dieser Formel aufzudecken, aber er selbst schließt das Moment des Kontrastes nicht aus, sondern verschiebt es nur an eine andere Stelle. »Der Kontrast bleibt bestehen, aber er ist nicht so oder so gefaßter Kontrast der mit den Worten verbundenen Vorstellungen, sondern Kontrast oder Widerspruch der Bedeutung und Bedeutungslosigkeit der Worte« (1898, S. 87). Beispiele erläutern, wie letzteres verstanden werden soll. »Ein Kontrast entsteht erst dadurch, daß ... wir seinen Worten eine Bedeutung zugestehen, die wir ihnen dann doch wieder nicht zugestehen können« (S. 90).</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In der Weiterentwicklung dieser letzten Bestimmung kommt der Gegensatz von »Sinn und Unsinn« zur Bedeutung. »Was wir einen Moment für sinnvoll nehmen, steht als völlig sinnlos vor uns. Darin besteht in diesem Falle der komische Prozeß« ... »Witzig erscheint eine Aussage, wenn wir ihr eine Bedeutung mit psychologischer Notwendigkeit zuschreiben, und indem wir sie ihr zuschreiben, sofort auch wiederum absprechen. Dabei kann unter der Bedeutung verschiedenes verstanden sein. Wir leihen einer Aussage einen </w:t>
      </w:r>
      <w:r w:rsidRPr="00BA623D">
        <w:rPr>
          <w:rFonts w:ascii="Garamond" w:hAnsi="Garamond"/>
          <w:i/>
          <w:iCs/>
          <w:lang w:val="en-GB"/>
        </w:rPr>
        <w:t>Sinn</w:t>
      </w:r>
      <w:r w:rsidRPr="00BA623D">
        <w:rPr>
          <w:rFonts w:ascii="Garamond" w:hAnsi="Garamond"/>
          <w:lang w:val="en-GB"/>
        </w:rPr>
        <w:t xml:space="preserve"> und wissen, daß er ihr logischerweise nicht zukommen kann. Wir finden in ihr eine </w:t>
      </w:r>
      <w:r w:rsidRPr="00BA623D">
        <w:rPr>
          <w:rFonts w:ascii="Garamond" w:hAnsi="Garamond"/>
          <w:i/>
          <w:iCs/>
          <w:lang w:val="en-GB"/>
        </w:rPr>
        <w:t>Wahrheit</w:t>
      </w:r>
      <w:r w:rsidRPr="00BA623D">
        <w:rPr>
          <w:rFonts w:ascii="Garamond" w:hAnsi="Garamond"/>
          <w:lang w:val="en-GB"/>
        </w:rPr>
        <w:t>, die wir dann doch wiederum den Gesetzen der Erfahrung oder allgemeinen Gewohnheiten unseres Denkens zufolge nicht darin finden können. Wir gestehen ihr eine über ihren wahren Inhalt hinausgehende logische oder praktische Folge zu, um eben diese Folge zu verneinen, sobald wir die Beschaffenheit der Aussage für sich ins Auge fassen. In jedem Falle besteht der psychologische Prozeß, den die witzige Aussage in uns hervorruft und auf dem das Gefühl der Komik beruht, in dem unvermittelten Übergang von jenem Leihen, Fürwahrhalten, Zugestehen, zum Bewußtsein oder Eindruck relativer Nichtigkeit« (S. 85).</w:t>
      </w:r>
    </w:p>
    <w:p w:rsidR="00BA623D" w:rsidRPr="00BA623D" w:rsidRDefault="00BA623D" w:rsidP="00BA623D">
      <w:pPr>
        <w:pStyle w:val="Sansinterligne"/>
        <w:rPr>
          <w:rFonts w:ascii="Garamond" w:hAnsi="Garamond"/>
          <w:lang w:val="en-GB"/>
        </w:rPr>
      </w:pPr>
      <w:r w:rsidRPr="00BA623D">
        <w:rPr>
          <w:rFonts w:ascii="Garamond" w:hAnsi="Garamond"/>
          <w:lang w:val="en-GB"/>
        </w:rPr>
        <w:t>So eindringlich diese Auseinandersetzung klingt, so möchte man hier doch die Frage aufwerfen, ob der Gegensatz des Sinnvollen und Sinnlosen, auf dem das Gefühl der Komik beruht, auch zur Begriffsbestimmung des Witzes, insofern er vom Komischen unterschieden ist, beiträgt.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Auch das Moment der »Verblüffung und Erleuchtung« führt tief in das Problem der Relation des Witzes zur Komik hinein. Kant sagt vom Komischen überhaupt, es sei eine merkwürdige Eigenschaft desselben, daß es uns nur für einen Moment täuschen könne. Heymans (1896) führt aus, wie die Wirkung eines Witzes durch die Aufeinanderfolge von Verblüffung und Erleuchtung zustande komme. Er erläutert seine Meinung an einem prächtigen Witz von Heine, der eine seiner Figuren, den armen Lotteriekollekteur Hirsch-Hyacinth, sich rühmen läßt, der große Baron Rothschild habe ihn ganz wie seinesgleichen, ganz </w:t>
      </w:r>
      <w:r w:rsidRPr="00BA623D">
        <w:rPr>
          <w:rFonts w:ascii="Garamond" w:hAnsi="Garamond"/>
          <w:i/>
          <w:iCs/>
          <w:lang w:val="en-GB"/>
        </w:rPr>
        <w:t>famillionär</w:t>
      </w:r>
      <w:r w:rsidRPr="00BA623D">
        <w:rPr>
          <w:rFonts w:ascii="Garamond" w:hAnsi="Garamond"/>
          <w:lang w:val="en-GB"/>
        </w:rPr>
        <w:t xml:space="preserve"> behandelt. Hier erscheine das Wort, welches der Träger des Witzes ist, zunächst einfach als eine fehlerhafte Wortbildung, als etwas Unverständliches, Unbegreifliches, Rätselhaftes. Dadurch verblüffe es. Die Komik ergebe sich aus der Lösung der Verblüffung, aus dem Verständnis des Wortes. Lipps (1898, S. 95) ergänzt hiezu, daß diesem ersten Stadium der Erleuchtung, das verblüffende Wort bedeute dies und jenes, ein zweites Stadium folgt, in dem man einsehe, dies sinnlose Wort habe uns verblüfft und dann den guten Sinn ergeben. Erst diese zweite Erleuchtung, die Einsicht, daß ein nach gemeinem Sprachgebrauch sinnloses Wort das ganze verschuldet habe, diese Auflösung in Nichts, erzeuge erst die Komik.</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Ob die eine oder die andere dieser beiden Auffassungen uns einleuchtender erscheinen möge, durch die Erörterungen über Verblüffung und Erleuchtung werden wir einer bestimmten Einsicht näher gebracht. Wenn nämlich die komische Wirkung des Heineschen </w:t>
      </w:r>
      <w:r w:rsidRPr="00BA623D">
        <w:rPr>
          <w:rFonts w:ascii="Garamond" w:hAnsi="Garamond"/>
          <w:i/>
          <w:iCs/>
          <w:lang w:val="en-GB"/>
        </w:rPr>
        <w:t>famillionär</w:t>
      </w:r>
      <w:r w:rsidRPr="00BA623D">
        <w:rPr>
          <w:rFonts w:ascii="Garamond" w:hAnsi="Garamond"/>
          <w:lang w:val="en-GB"/>
        </w:rPr>
        <w:t xml:space="preserve"> auf der Auflösung des scheinbar </w:t>
      </w:r>
      <w:r w:rsidRPr="00BA623D">
        <w:rPr>
          <w:rFonts w:ascii="Garamond" w:hAnsi="Garamond"/>
          <w:lang w:val="en-GB"/>
        </w:rPr>
        <w:lastRenderedPageBreak/>
        <w:t>sinnlosen Wortes beruht, so ist wohl der »Witz« in die Bildung dieses Wortes und in den Charakter des so gebildeten Wortes zu versetzen.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Außer allem Zusammenhang mit den zuletzt behandelten Gesichtspunkten wird eine andere Eigentümlichkeit des Witzes als wesentlich für ihn von allen Autoren anerkannt. » </w:t>
      </w:r>
      <w:r w:rsidRPr="00BA623D">
        <w:rPr>
          <w:rFonts w:ascii="Garamond" w:hAnsi="Garamond"/>
          <w:i/>
          <w:iCs/>
          <w:lang w:val="en-GB"/>
        </w:rPr>
        <w:t>Kürze</w:t>
      </w:r>
      <w:r w:rsidRPr="00BA623D">
        <w:rPr>
          <w:rFonts w:ascii="Garamond" w:hAnsi="Garamond"/>
          <w:lang w:val="en-GB"/>
        </w:rPr>
        <w:t xml:space="preserve"> ist der Körper und die Seele des Witzes, ja er selbst«, sagt Jean Paul (1804, II. Teil, § 42) und modifiziert damit nur eine Rede des alten Schwätzers Polonius in Shakespeares </w:t>
      </w:r>
      <w:r w:rsidRPr="00BA623D">
        <w:rPr>
          <w:rFonts w:ascii="Garamond" w:hAnsi="Garamond"/>
          <w:i/>
          <w:iCs/>
          <w:lang w:val="en-GB"/>
        </w:rPr>
        <w:t>Hamlet</w:t>
      </w:r>
      <w:r w:rsidRPr="00BA623D">
        <w:rPr>
          <w:rFonts w:ascii="Garamond" w:hAnsi="Garamond"/>
          <w:lang w:val="en-GB"/>
        </w:rPr>
        <w:t xml:space="preserve"> (II. Akt, 2. Szene):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»Weil Kürze dann des Witzes Seele ist, </w:t>
      </w:r>
      <w:r w:rsidRPr="00BA623D">
        <w:rPr>
          <w:rFonts w:ascii="Garamond" w:hAnsi="Garamond"/>
          <w:lang w:val="en-GB"/>
        </w:rPr>
        <w:br/>
        <w:t xml:space="preserve">Weitschweifigkeit der Leib und äußre Zierat, </w:t>
      </w:r>
      <w:r w:rsidRPr="00BA623D">
        <w:rPr>
          <w:rFonts w:ascii="Garamond" w:hAnsi="Garamond"/>
          <w:lang w:val="en-GB"/>
        </w:rPr>
        <w:br/>
        <w:t xml:space="preserve">Fass' ich mich kurz.« </w:t>
      </w:r>
      <w:r w:rsidRPr="00BA623D">
        <w:rPr>
          <w:rFonts w:ascii="Garamond" w:hAnsi="Garamond"/>
          <w:lang w:val="en-GB"/>
        </w:rPr>
        <w:br/>
        <w:t>            (Schlegelsche Übersetzung.)</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Bedeutsam ist dann die Schilderung der Kürze des Witzes bei Lipps (S. 90). »Der Witz sagt, was er sagt, nicht immer in wenig, aber immer in </w:t>
      </w:r>
      <w:r w:rsidRPr="00BA623D">
        <w:rPr>
          <w:rFonts w:ascii="Garamond" w:hAnsi="Garamond"/>
          <w:i/>
          <w:iCs/>
          <w:lang w:val="en-GB"/>
        </w:rPr>
        <w:t>zu</w:t>
      </w:r>
      <w:r w:rsidRPr="00BA623D">
        <w:rPr>
          <w:rFonts w:ascii="Garamond" w:hAnsi="Garamond"/>
          <w:lang w:val="en-GB"/>
        </w:rPr>
        <w:t xml:space="preserve"> wenig Worten, d. h. in Worten, die nach strenger Logik oder gemeiner Denk- und Redeweise dazu nicht genügen. Er kann es schließlich geradezu sagen, indem er es verschweigt.«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»Daß der Witz etwas </w:t>
      </w:r>
      <w:r w:rsidRPr="00BA623D">
        <w:rPr>
          <w:rFonts w:ascii="Garamond" w:hAnsi="Garamond"/>
          <w:i/>
          <w:iCs/>
          <w:lang w:val="en-GB"/>
        </w:rPr>
        <w:t>Verborgenes</w:t>
      </w:r>
      <w:r w:rsidRPr="00BA623D">
        <w:rPr>
          <w:rFonts w:ascii="Garamond" w:hAnsi="Garamond"/>
          <w:lang w:val="en-GB"/>
        </w:rPr>
        <w:t xml:space="preserve"> oder </w:t>
      </w:r>
      <w:r w:rsidRPr="00BA623D">
        <w:rPr>
          <w:rFonts w:ascii="Garamond" w:hAnsi="Garamond"/>
          <w:i/>
          <w:iCs/>
          <w:lang w:val="en-GB"/>
        </w:rPr>
        <w:t>Verstecktes</w:t>
      </w:r>
      <w:r w:rsidRPr="00BA623D">
        <w:rPr>
          <w:rFonts w:ascii="Garamond" w:hAnsi="Garamond"/>
          <w:lang w:val="en-GB"/>
        </w:rPr>
        <w:t xml:space="preserve"> hervorholen müsse« (K. Fischer, S. 51), wurde uns schon bei der Zusammenstellung des Witzes mit der Karikatur gelehrt. Ich hebe diese Bestimmung nochmals hervor, weil auch sie mehr mit dem Wesen des Witzes als mit seiner Zugehörigkeit zur Komik zu tun hat.</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Ich weiß wohl, daß die vorstehenden kümmerlichen Auszüge aus den Arbeiten der Autoren über den Witz dem Werte dieser Arbeiten nicht gerecht werden können. Infolge der Schwierigkeiten, welche einer von Mißverständnis freien Wiedergabe so komplizierter und fein nuancierter Gedankengänge entgegenstehen, kann ich den Wißbegierigen die Mühe nicht ersparen, sich die gewünschte Belehrung an den ursprünglichen Quellen zu holen. Aber ich weiß nicht, ob sie von ihr voll befriedigt zurückkehren würden. Die von den Autoren angegebenen und im vorigen zusammengestellten Kriterien und Eigenschaften des Witzes – die Aktivität, die Beziehung zum Inhalt unseres Denkens, der Charakter des spielenden Urteils, die Paarung des Unähnlichen, der Vorstellungskontrast, der »Sinn im Unsinn«, die Aufeinanderfolge von Verblüffung und Erleuchtung, das Hervorholen des Versteckten und die besondere Art von Kürze des Witzes – erscheinen uns zwar auf den ersten Blick als so sehr zutreffend und so leicht an Beispielen erweisbar, daß wir nicht in die Gefahr geraten können, den Wert solcher Einsichten zu unterschätzen, aber es sind </w:t>
      </w:r>
      <w:r w:rsidRPr="00BA623D">
        <w:rPr>
          <w:rFonts w:ascii="Garamond" w:hAnsi="Garamond"/>
          <w:i/>
          <w:iCs/>
          <w:lang w:val="en-GB"/>
        </w:rPr>
        <w:t>disiecta membra</w:t>
      </w:r>
      <w:r w:rsidRPr="00BA623D">
        <w:rPr>
          <w:rFonts w:ascii="Garamond" w:hAnsi="Garamond"/>
          <w:lang w:val="en-GB"/>
        </w:rPr>
        <w:t>, die wir zu einem organisch Ganzen zusammengefügt sehen möchten. Sie tragen schließlich zur Kenntnis des Witzes nicht mehr bei als etwa eine Reihe von Anekdoten zur Charakteristik einer Persönlichkeit, über welche wir eine Biographie beanspruchen dürfen. Es fehlt uns völlig die Einsicht in den vorauszusetzenden Zusammenhang der einzelnen Bestimmungen, etwa was die Kürze des Witzes mit seinem Charakter als spielendes Urteil zu schaffen haben kann, und ferner die Aufklärung, ob der Witz allen diesen Bedingungen genügen muß, um ein richtiger Witz zu sein, oder nur einzelnen darunter, und welche dann durch andere vertretbar, welche unerläßlich sind. Auch eine Gruppierung und Einteilung der Witze auf Grund ihrer als wesentlich hervorgehobenen Eigenschaften würden wir wünschen. Die Einteilung, welche wir bei den Autoren finden, stützt sich einerseits auf die technischen Mittel, anderseits auf die Verwendung des Witzes in der Rede (Klangwitz, Wortspiel – karikierender, charakterisierender Witz, witzige Abfertigung).</w:t>
      </w:r>
    </w:p>
    <w:p w:rsidR="00BA623D" w:rsidRPr="00BA623D" w:rsidRDefault="00BA623D" w:rsidP="00BA623D">
      <w:pPr>
        <w:pStyle w:val="Sansinterligne"/>
        <w:rPr>
          <w:rFonts w:ascii="Garamond" w:hAnsi="Garamond"/>
          <w:lang w:val="en-GB"/>
        </w:rPr>
      </w:pPr>
      <w:r w:rsidRPr="00BA623D">
        <w:rPr>
          <w:rFonts w:ascii="Garamond" w:hAnsi="Garamond"/>
          <w:lang w:val="en-GB"/>
        </w:rPr>
        <w:t>Wir wären also nicht in Verlegenheit, einer weiteren Bemühung zur Aufklärung des Witzes ihre Ziele zu weisen. Um auf Erfolg rechnen zu können, müßten wir entweder neue Gesichtspunkte in die Arbeit eintragen oder durch Verstärkung unserer Aufmerksamkeit und Vertiefung unseres Interesses weiter einzudringen versuchen. Wir können uns vorsetzen, es wenigstens an dem letzteren Mittel nicht fehlen zu lassen. Es ist immerhin auffällig, wie wenig Beispiele von als solchen anerkannten Witzen den Autoren für ihre Untersuchungen genügen und wie ein jeder die nämlichen von seinen Vorgängern übernimmt. Wir dürfen uns der Verpflichtung nicht entziehen, dieselben Beispiele zu analysieren, die bereits den klassischen Autoren über den Witz gedient haben, aber wir beabsichtigen, uns außerdem an neues Material zu wenden, um eine breitere Unterlage für unsere Schlußfolgerungen zu gewinnen. Es liegt dann nahe, daß wir solche Beispiele von Witz zu Objekten unserer Untersuchung nehmen, die uns selbst im Leben den größten Eindruck gemacht und uns am ausgiebigsten lachen gemacht haben.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Ob das Thema des Witzes solcher Bemühung wert ist? Ich meine, daran ist nicht zu zweifeln. Wenn ich von persönlichen, während der Entwicklung dieser Studien aufzudeckenden Motiven absehe, die mich drängen, Einsicht in die Probleme des Witzes zu gewinnen, kann ich mich auf die Tatsache des intimen Zusammenhanges alles seelischen Geschehens berufen, welche einer psychologischen Erkenntnis auch auf einem entlegenen Gebiet einen im vorhinein nicht abschätzbaren Wert für andere Gebiete zusichert. Man </w:t>
      </w:r>
      <w:r w:rsidRPr="00BA623D">
        <w:rPr>
          <w:rFonts w:ascii="Garamond" w:hAnsi="Garamond"/>
          <w:lang w:val="en-GB"/>
        </w:rPr>
        <w:lastRenderedPageBreak/>
        <w:t xml:space="preserve">darf auch daran mahnen, welch eigentümlichen, geradezu faszinierenden Reiz der Witz in unserer Gesellschaft äußert. Ein neuer Witz wirkt fast wie ein Ereignis von allgemeinstem Interesse; er wird wie die neueste Siegesnachricht von dem einen dem anderen zugetragen. Selbst bedeutende Männer, die es für mitteilenswert halten, wie sie geworden sind, welche Städte und Länder sie gesehen und mit welchen hervorragenden Menschen sie verkehrt haben, verschmähen es nicht, in ihre Lebensbeschreibung aufzunehmen, diese und jene vortrefflichen Witze hätten sie gehört </w:t>
      </w:r>
      <w:hyperlink r:id="rId288"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J. v. Falke, </w:t>
        </w:r>
        <w:r w:rsidRPr="00BA623D">
          <w:rPr>
            <w:rStyle w:val="innerfusslink3"/>
            <w:rFonts w:ascii="Garamond" w:hAnsi="Garamond" w:cs="Arial"/>
            <w:b/>
            <w:bCs/>
            <w:i/>
            <w:iCs/>
            <w:lang w:val="en-GB"/>
          </w:rPr>
          <w:t>Lebenserinnerungen</w:t>
        </w:r>
        <w:r w:rsidRPr="00BA623D">
          <w:rPr>
            <w:rStyle w:val="innerfusslink3"/>
            <w:rFonts w:ascii="Garamond" w:hAnsi="Garamond" w:cs="Arial"/>
            <w:b/>
            <w:bCs/>
            <w:lang w:val="en-GB"/>
          </w:rPr>
          <w:t>, 1897.</w:t>
        </w:r>
      </w:hyperlink>
    </w:p>
    <w:p w:rsidR="00BA623D" w:rsidRPr="00BA623D" w:rsidRDefault="00BA623D" w:rsidP="00BA623D">
      <w:pPr>
        <w:pStyle w:val="Sansinterligne"/>
        <w:rPr>
          <w:rFonts w:ascii="Garamond" w:hAnsi="Garamond"/>
          <w:lang w:val="en-GB"/>
        </w:rPr>
      </w:pPr>
    </w:p>
    <w:p w:rsidR="007D5EBB" w:rsidRDefault="007D5EBB">
      <w:pPr>
        <w:rPr>
          <w:rFonts w:ascii="Garamond" w:hAnsi="Garamond"/>
          <w:lang w:val="en-GB"/>
        </w:rPr>
      </w:pPr>
      <w:r>
        <w:rPr>
          <w:rFonts w:ascii="Garamond" w:hAnsi="Garamond"/>
          <w:lang w:val="en-GB"/>
        </w:rPr>
        <w:br w:type="page"/>
      </w:r>
    </w:p>
    <w:p w:rsidR="00BA623D" w:rsidRPr="00BA623D" w:rsidRDefault="00B437A1" w:rsidP="00BA623D">
      <w:pPr>
        <w:pStyle w:val="Sansinterligne"/>
        <w:rPr>
          <w:rFonts w:ascii="Garamond" w:hAnsi="Garamond"/>
          <w:lang w:val="en-GB"/>
        </w:rPr>
      </w:pPr>
      <w:hyperlink w:anchor="Witz_INHALT" w:history="1">
        <w:r w:rsidR="00BA623D" w:rsidRPr="007D5EBB">
          <w:rPr>
            <w:rStyle w:val="Lienhypertexte"/>
            <w:rFonts w:ascii="Garamond" w:hAnsi="Garamond"/>
            <w:lang w:val="en-GB"/>
          </w:rPr>
          <w:t>II. Di</w:t>
        </w:r>
        <w:bookmarkStart w:id="105" w:name="W2"/>
        <w:bookmarkEnd w:id="105"/>
        <w:r w:rsidR="00BA623D" w:rsidRPr="007D5EBB">
          <w:rPr>
            <w:rStyle w:val="Lienhypertexte"/>
            <w:rFonts w:ascii="Garamond" w:hAnsi="Garamond"/>
            <w:lang w:val="en-GB"/>
          </w:rPr>
          <w:t>e Technik des Witzes</w:t>
        </w:r>
      </w:hyperlink>
    </w:p>
    <w:p w:rsidR="00BA623D" w:rsidRPr="00BA623D" w:rsidRDefault="00BA623D" w:rsidP="00BA623D">
      <w:pPr>
        <w:pStyle w:val="Sansinterligne"/>
        <w:rPr>
          <w:rFonts w:ascii="Garamond" w:hAnsi="Garamond"/>
          <w:lang w:val="en-GB"/>
        </w:rPr>
      </w:pPr>
    </w:p>
    <w:p w:rsidR="00BA623D" w:rsidRPr="00BA623D" w:rsidRDefault="00BA623D" w:rsidP="00BA623D">
      <w:pPr>
        <w:pStyle w:val="Sansinterligne"/>
        <w:rPr>
          <w:rFonts w:ascii="Garamond" w:hAnsi="Garamond"/>
          <w:lang w:val="en-GB"/>
        </w:rPr>
      </w:pPr>
      <w:r w:rsidRPr="00BA623D">
        <w:rPr>
          <w:rFonts w:ascii="Garamond" w:hAnsi="Garamond"/>
          <w:lang w:val="en-GB"/>
        </w:rPr>
        <w:t>Wir folgen einem Winke des Zufalls und greifen das erste Witzbeispiel auf, das uns im vorigen Abschnitt entgegengetreten ist.</w:t>
      </w:r>
    </w:p>
    <w:p w:rsidR="00BA623D" w:rsidRPr="00BA623D" w:rsidRDefault="00BA623D" w:rsidP="00BA623D">
      <w:pPr>
        <w:pStyle w:val="Sansinterligne"/>
        <w:rPr>
          <w:rFonts w:ascii="Garamond" w:hAnsi="Garamond"/>
          <w:lang w:val="en-GB"/>
        </w:rPr>
      </w:pPr>
      <w:r w:rsidRPr="00BA623D">
        <w:rPr>
          <w:rFonts w:ascii="Garamond" w:hAnsi="Garamond"/>
          <w:lang w:val="en-GB"/>
        </w:rPr>
        <w:t>In dem Stück der Reisebilder, welches ›Die Bäder von Lucca‹ betitelt ist, führt H. Heine die köstliche Gestalt des Lotteriekollekteurs und Hühneraugenoperateurs Hirsch-Hyacinth aus Hamburg auf, der sich gegen den Dichter seiner Beziehungen zum reichen Baron Rothschild berühmt und zuletzt sagt: Und so wahr mir Gott alles Gute geben soll, Herr Doktor, ich saß neben Salomon Rothschild und er behandelte mich ganz wie seinesgleichen, ganz famillionär.</w:t>
      </w:r>
    </w:p>
    <w:p w:rsidR="00BA623D" w:rsidRPr="00BA623D" w:rsidRDefault="00BA623D" w:rsidP="00BA623D">
      <w:pPr>
        <w:pStyle w:val="Sansinterligne"/>
        <w:rPr>
          <w:rFonts w:ascii="Garamond" w:hAnsi="Garamond"/>
          <w:lang w:val="en-GB"/>
        </w:rPr>
      </w:pPr>
      <w:r w:rsidRPr="00BA623D">
        <w:rPr>
          <w:rFonts w:ascii="Garamond" w:hAnsi="Garamond"/>
          <w:lang w:val="en-GB"/>
        </w:rPr>
        <w:t>An diesem als ausgezeichnet anerkannten und sehr lachkräftigen Beispiel haben Heymans und Lipps die Ableitung der komischen Wirkung des Witzes aus der »Verblüffung und Erleuchtung« (s. oben) erläutert. Wir aber lassen diese Frage beiseite und stellen uns die andere: was es denn ist, was die Rede des Hirsch-Hyacinth zu einem Witze macht? Es könnte nur zweierlei sein; entweder ist es der in dem Satz ausgedrückte Gedanke, der den Charakter des Witzigen an sich trägt, oder der Witz haftet an dem Ausdruck, den der Gedanke in dem Satz gefunden hat. Auf welcher Seite sich uns der Witzcharakter zeigt, dort wollen wir ihn weiter verfolgen und versuchen, seiner habhaft zu werden.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 Gedanke kann ja im allgemeinen in verschiedenen sprachlichen Formen – in Worten also – zum Ausdruck gebracht werden, die ihn gleich zutreffend wiedergeben mögen. In der Rede des Hirsch-Hyacinth liegt uns nun eine bestimmte Ausdrucksform eines Gedankens vor und, wie uns ahnt, eine besonders eigentümliche, nicht diejenige, welche am leichtesten verständlich ist. Versuchen wir, denselben Gedanken möglichst getreulich in anderen Worten auszudrücken. Lipps hat dies bereits getan und damit die Fassung des Dichters gewissermaßen erläutert. Er sagt (S. 87): »Wir verstehen, daß Heine sagen will, die Aufnahme sei eine familiäre gewesen, nämlich von der bekannten Art, die durch den Beigeschmack des Millionärtums an Annehmlichkeiten nicht zu gewinnen pflegt.« Wir verändern nichts an diesem Sinn, wenn wir eine andere Fassung annehmen, die sich vielleicht besser in die Rede des Hirsch-Hyacinth einfügt: »Rothschild behandelte mich ganz wie seinesgleichen, ganz familiär, d. h. soweit ein Millionär das zustande bringt.« »Die Herablassung eines reichen Mannes hat immer etwas Mißliches für den, der sie an sich erfährt«, würden wir noch hinzusetzen </w:t>
      </w:r>
      <w:hyperlink r:id="rId289" w:anchor="#" w:history="1">
        <w:r w:rsidRPr="00BA623D">
          <w:rPr>
            <w:rFonts w:ascii="Garamond" w:hAnsi="Garamond"/>
            <w:lang w:val="en-GB"/>
          </w:rPr>
          <w:t>[Fußnote]Derselbe Witz wird uns noch an anderer Stelle beschäftigen, und dort werden wir Anlaß finden, an der von Lipps gegebenen Übertragung desselben, der sich die unsrige anschließt, eine Korrektur vorzunehmen, welche aber die hier nachfolgenden Erörterungen nicht zu stören vermag.</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Ob wir nun bei dieser oder einer anderen gleichwertigen Textierung des Gedankens verbleiben, wir sehen, daß die Frage, welche wir uns vorgelegt haben, bereits entschieden ist. Der Witzcharakter haftet in diesem Beispiel nicht am Gedanken. Es ist eine richtige und scharfsinnige Bemerkung, die Heine seinem Hirsch-Hyacinth in den Mund legt, eine Bemerkung von unverkennbarer Bitterkeit, wie sie bei dem armen Manne angesichts so großen Reichtums leicht begreiflich ist, aber wir würden uns nicht getrauen, sie witzig zu heißen. Meinte nun jemand, der bei der Übertragung die Erinnerung an die Fassung des Dichters nicht loszuwerden vermag, der Gedanke sei doch auch an sich witzig, so können wir ja auf ein sicheres Kriterium des bei der Übertragung verlorengegangenen Witzcharakters verweisen. Die Rede des Hirsch-Hyacinth machte uns laut lachen, die sinngetreue Übertragung derselben nach Lipps oder in unserer Fassung mag uns gefallen, zum Nachdenken anregen, aber zum Lachen bringen kann sie uns nicht.</w:t>
      </w:r>
    </w:p>
    <w:p w:rsidR="00BA623D" w:rsidRPr="00BA623D" w:rsidRDefault="00BA623D" w:rsidP="00BA623D">
      <w:pPr>
        <w:pStyle w:val="Sansinterligne"/>
        <w:rPr>
          <w:rFonts w:ascii="Garamond" w:hAnsi="Garamond"/>
          <w:lang w:val="en-GB"/>
        </w:rPr>
      </w:pPr>
      <w:r w:rsidRPr="00BA623D">
        <w:rPr>
          <w:rFonts w:ascii="Garamond" w:hAnsi="Garamond"/>
          <w:lang w:val="en-GB"/>
        </w:rPr>
        <w:t>Wenn aber der Witzcharakter unseres Beispiels nicht dem Gedanken anhaftet, so ist er in der Form, im Wortlaut seines Ausdruckes zu suchen. Wir brauchen nur die Besonderheit dieser Ausdrucksweise zu studieren, um zu erfassen, was man als die Wort- oder Ausdruckstechnik dieses Witzes bezeichnen kann und was in inniger Beziehung zu dem Wesen des Witzes stehen muß, da Charakter und Wirkung des Witzes mit dessen Ersetzung durch anderes verschwinden. Wir befinden uns übrigens in voller Übereinstimmung mit den Autoren, wenn wir soviel Wert auf die sprachliche Form des Witzes legen. So z. B. sagt K. Fischer (S. 72): »Es ist zunächst die bloße Form, die das Urteil zum Witz macht, und man wird hier an ein Wort Jean Pauls erinnert, welches eben diese Natur des Witzes in demselben Ausspruche erklärt und beweist: ›So sehr sieget die bloße Stellung, es sei der Krieger oder der Sätze.‹«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Worin besteht nun die »Technik« dieses Witzes? Was ist mit dem Gedanken etwa in unserer Fassung vorgegangen, bis aus ihm der Witz wurde, über den wir so herzlich lachen? Zweierlei, wie die Vergleichung unserer Fassung mit dem Text des Dichters lehrt. Erstens hat eine erhebliche Verkürzung stattgefunden. Wir mußten, um den im Witz enthaltenen Gedanken voll auszudrücken, an die Worte » R. behandelte mich ganz wie seinesgleichen, ganz familiär«, einen Nachsatz anfügen, der aufs kürzeste eingeengt lautete: d. h. soweit ein Millionär das zustande bringt, und dann fühlten wir erst noch das </w:t>
      </w:r>
      <w:r w:rsidRPr="00BA623D">
        <w:rPr>
          <w:rFonts w:ascii="Garamond" w:hAnsi="Garamond"/>
          <w:lang w:val="en-GB"/>
        </w:rPr>
        <w:lastRenderedPageBreak/>
        <w:t xml:space="preserve">Bedürfnis nach einem erläuternden Zusatz </w:t>
      </w:r>
      <w:hyperlink r:id="rId290" w:anchor="#" w:history="1">
        <w:r w:rsidRPr="00BA623D">
          <w:rPr>
            <w:rFonts w:ascii="Garamond" w:hAnsi="Garamond"/>
            <w:lang w:val="en-GB"/>
          </w:rPr>
          <w:t>[Fußnote]Ganz ähnliches gilt für die Übertragung von Lipps.</w:t>
        </w:r>
      </w:hyperlink>
      <w:r w:rsidRPr="00BA623D">
        <w:rPr>
          <w:rFonts w:ascii="Garamond" w:hAnsi="Garamond"/>
          <w:lang w:val="en-GB"/>
        </w:rPr>
        <w:t>. Beim Dichter heißt es weit kürzer:</w:t>
      </w:r>
    </w:p>
    <w:p w:rsidR="00BA623D" w:rsidRPr="00BA623D" w:rsidRDefault="00BA623D" w:rsidP="00BA623D">
      <w:pPr>
        <w:pStyle w:val="Sansinterligne"/>
        <w:rPr>
          <w:rFonts w:ascii="Garamond" w:hAnsi="Garamond"/>
          <w:lang w:val="en-GB"/>
        </w:rPr>
      </w:pPr>
      <w:r w:rsidRPr="00BA623D">
        <w:rPr>
          <w:rFonts w:ascii="Garamond" w:hAnsi="Garamond"/>
          <w:lang w:val="en-GB"/>
        </w:rPr>
        <w:t>»R. behandelte mich ganz wie seinesgleichen, ganzfamillionär.«</w:t>
      </w:r>
    </w:p>
    <w:p w:rsidR="00BA623D" w:rsidRPr="00BA623D" w:rsidRDefault="00BA623D" w:rsidP="00BA623D">
      <w:pPr>
        <w:pStyle w:val="Sansinterligne"/>
        <w:rPr>
          <w:rFonts w:ascii="Garamond" w:hAnsi="Garamond"/>
          <w:lang w:val="en-GB"/>
        </w:rPr>
      </w:pPr>
      <w:r w:rsidRPr="00BA623D">
        <w:rPr>
          <w:rFonts w:ascii="Garamond" w:hAnsi="Garamond"/>
          <w:lang w:val="en-GB"/>
        </w:rPr>
        <w:t>Die ganze Einschränkung, die der zweite Satz an den ersten anfügt, welcher die familiäre Behandlung konstatiert, ist im Witze verlorengegangen.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Aber doch nicht ganz ohne einen Ersatz, aus dem man sie rekonstruieren kann. Es hat auch noch eine zweite Abänderung stattgefunden. Das Wort » familiär« im witzlosen Ausdruck des Gedankens ist im Text des Witzes zu » famillionär« umgewandelt worden, und ohne Zweifel hängt gerade an diesem Wortgebilde der Witzcharakter und der Lacheffekt des Witzes. Das neugebildete Wort deckt sich in seinem Anfang mit dem »familiär« des ersten, in seinen auslautenden Silben mit dem »Millionär« des zweiten Satzes, es vertritt gleichsam den einen Bestandteil »Millionär« aus dem zweiten Satze, infolgedessen den ganzen zweiten Satz, und setzt uns auf diese Weise in den Stand, den im Text des Witzes ausgelassenen zweiten Satz zu erraten. Es ist als ein Mischgebilde aus den zwei Komponenten »familiär« und »Millionär« zu beschreiben, und man wäre versucht, sich seine Entstehung aus diesen beiden Worten graphisch zu veranschaulichen </w:t>
      </w:r>
      <w:hyperlink r:id="rId291" w:anchor="#" w:history="1">
        <w:r w:rsidRPr="00BA623D">
          <w:rPr>
            <w:rFonts w:ascii="Garamond" w:hAnsi="Garamond"/>
            <w:lang w:val="en-GB"/>
          </w:rPr>
          <w:t>[Fußnote]Die beiden Worten gemeinsamen Silben sind hier fett gedruckt im Gegensatz zu den verschiedenen Typen der besonderen Bestandteile beider Worte. Das zweite l, welches in der Aussprache kaum zur Geltung kommt, durfte natürlich übergangen werden. Es ist naheliegend, daß die Übereinstimmung der beiden Worte in mehreren Silben der Witztechnik den Anlaß zur Herstellung des Mischwortes bietet.</w:t>
        </w:r>
      </w:hyperlink>
      <w:r w:rsidRPr="00BA623D">
        <w:rPr>
          <w:rFonts w:ascii="Garamond" w:hAnsi="Garamond"/>
          <w:lang w:val="en-GB"/>
        </w:rPr>
        <w:t>.</w:t>
      </w:r>
    </w:p>
    <w:tbl>
      <w:tblPr>
        <w:tblW w:w="0" w:type="auto"/>
        <w:tblCellSpacing w:w="7" w:type="dxa"/>
        <w:tblCellMar>
          <w:top w:w="45" w:type="dxa"/>
          <w:left w:w="45" w:type="dxa"/>
          <w:bottom w:w="45" w:type="dxa"/>
          <w:right w:w="45" w:type="dxa"/>
        </w:tblCellMar>
        <w:tblLook w:val="0000"/>
      </w:tblPr>
      <w:tblGrid>
        <w:gridCol w:w="215"/>
        <w:gridCol w:w="233"/>
        <w:gridCol w:w="268"/>
        <w:gridCol w:w="162"/>
        <w:gridCol w:w="211"/>
        <w:gridCol w:w="162"/>
        <w:gridCol w:w="256"/>
        <w:gridCol w:w="254"/>
        <w:gridCol w:w="233"/>
        <w:gridCol w:w="229"/>
      </w:tblGrid>
      <w:tr w:rsidR="00BA623D" w:rsidRPr="00BA623D" w:rsidTr="005E1D01">
        <w:trPr>
          <w:tblCellSpacing w:w="7"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F</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A</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M</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I</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L</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I</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Ä</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R</w:t>
            </w:r>
          </w:p>
        </w:tc>
      </w:tr>
      <w:tr w:rsidR="00BA623D" w:rsidRPr="00BA623D" w:rsidTr="005E1D01">
        <w:trPr>
          <w:tblCellSpacing w:w="7"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M</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I</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L</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I</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O</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N</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Ä</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R</w:t>
            </w:r>
          </w:p>
        </w:tc>
      </w:tr>
      <w:tr w:rsidR="00BA623D" w:rsidRPr="00BA623D" w:rsidTr="005E1D01">
        <w:trPr>
          <w:tblCellSpacing w:w="7"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F</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A</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M</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I</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L</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I</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O</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N</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Ä</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R</w:t>
            </w:r>
          </w:p>
        </w:tc>
      </w:tr>
    </w:tbl>
    <w:p w:rsidR="00BA623D" w:rsidRPr="00BA623D" w:rsidRDefault="00BA623D" w:rsidP="00BA623D">
      <w:pPr>
        <w:pStyle w:val="Sansinterligne"/>
        <w:rPr>
          <w:rFonts w:ascii="Garamond" w:hAnsi="Garamond"/>
        </w:rPr>
      </w:pPr>
      <w:r w:rsidRPr="00BA623D">
        <w:rPr>
          <w:rFonts w:ascii="Garamond" w:hAnsi="Garamond"/>
        </w:rPr>
        <w:t>Den Vorgang aber, welcher den Gedanken in den Witz übergeführt hat, kann man sich in folgender Weise darstellen, die zunächst recht phantastisch erscheinen mag, aber nichtsdestoweniger genau das wirklich vorhandene Ergebnis liefert:</w:t>
      </w:r>
    </w:p>
    <w:p w:rsidR="00BA623D" w:rsidRPr="00BA623D" w:rsidRDefault="00BA623D" w:rsidP="00BA623D">
      <w:pPr>
        <w:pStyle w:val="Sansinterligne"/>
        <w:rPr>
          <w:rFonts w:ascii="Garamond" w:hAnsi="Garamond"/>
        </w:rPr>
      </w:pPr>
      <w:r w:rsidRPr="00BA623D">
        <w:rPr>
          <w:rFonts w:ascii="Garamond" w:hAnsi="Garamond"/>
        </w:rPr>
        <w:t xml:space="preserve">»R. behandelte mich ganz familiär, </w:t>
      </w:r>
      <w:r w:rsidRPr="00BA623D">
        <w:rPr>
          <w:rFonts w:ascii="Garamond" w:hAnsi="Garamond"/>
        </w:rPr>
        <w:br/>
        <w:t>d. h. soweit ein Millionär es zustande bringt.«</w:t>
      </w:r>
    </w:p>
    <w:p w:rsidR="00BA623D" w:rsidRPr="00BA623D" w:rsidRDefault="00BA623D" w:rsidP="00BA623D">
      <w:pPr>
        <w:pStyle w:val="Sansinterligne"/>
        <w:rPr>
          <w:rFonts w:ascii="Garamond" w:hAnsi="Garamond"/>
        </w:rPr>
      </w:pPr>
      <w:r w:rsidRPr="00BA623D">
        <w:rPr>
          <w:rFonts w:ascii="Garamond" w:hAnsi="Garamond"/>
        </w:rPr>
        <w:t>Nun denke man sich eine zusammendrängende Kraft auf diese Sätze einwirken und nehme an, daß der Nachsatz aus irgendeinem Grunde der weniger resistente sei. Dieser wird dann zum Schwinden gebracht werden, der bedeutsame Bestandteil desselben, das Wort »Millionär«, welches sich gegen die Unterdrückung zu sträuben vermag, wird gleichsam an den ersten Satz angepreßt, mit dem ihm so sehr ähnlichen Element dieses Satzes »familiär« verschmolzen, und gerade diese zufällig gegebene Möglichkeit, das Wesentliche des zweiten Satzes zu retten, wird den Untergang der anderen unwichtigeren Bestandteile begünstigen. So entsteht dann der Witz:</w:t>
      </w:r>
    </w:p>
    <w:tbl>
      <w:tblPr>
        <w:tblW w:w="0" w:type="auto"/>
        <w:tblCellSpacing w:w="15" w:type="dxa"/>
        <w:tblCellMar>
          <w:top w:w="30" w:type="dxa"/>
          <w:left w:w="30" w:type="dxa"/>
          <w:bottom w:w="30" w:type="dxa"/>
          <w:right w:w="30" w:type="dxa"/>
        </w:tblCellMar>
        <w:tblLook w:val="0000"/>
      </w:tblPr>
      <w:tblGrid>
        <w:gridCol w:w="2826"/>
        <w:gridCol w:w="550"/>
        <w:gridCol w:w="325"/>
        <w:gridCol w:w="392"/>
        <w:gridCol w:w="407"/>
      </w:tblGrid>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»R. behandelte mich ganz famili</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on</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är.«</w:t>
            </w:r>
          </w:p>
        </w:tc>
      </w:tr>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r>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(mili)</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(är)</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r>
    </w:tbl>
    <w:p w:rsidR="00BA623D" w:rsidRPr="00BA623D" w:rsidRDefault="00BA623D" w:rsidP="00BA623D">
      <w:pPr>
        <w:pStyle w:val="Sansinterligne"/>
        <w:rPr>
          <w:rFonts w:ascii="Garamond" w:hAnsi="Garamond"/>
          <w:lang w:val="en-GB"/>
        </w:rPr>
      </w:pPr>
      <w:r w:rsidRPr="00BA623D">
        <w:rPr>
          <w:rFonts w:ascii="Garamond" w:hAnsi="Garamond"/>
        </w:rPr>
        <w:t xml:space="preserve">Abgesehen von solcher zusammendrängenden Kraft, die uns ja unbekannt ist, dürfen wir den Hergang der Witzbildung, also die Witztechnik dieses Falles, beschreiben als eine Verdichtung mit Ersatzbildung, und zwar besteht in unserem Beispiel die Ersatzbildung in der Herstellung eines Mischwortes. </w:t>
      </w:r>
      <w:r w:rsidRPr="00BA623D">
        <w:rPr>
          <w:rFonts w:ascii="Garamond" w:hAnsi="Garamond"/>
          <w:lang w:val="en-GB"/>
        </w:rPr>
        <w:t>Dieses Mischwort » famillionär«, an sich unverständlich, in dem Zusammenhange, in dem es steht, sofort verstanden und als sinnreich erkannt, ist nun der Träger der zum Lachen zwingenden Wirkung des Witzes, deren Mechanismus uns allerdings durch die Aufdeckung der Witztechnik in keiner Weise nähergebracht wird. Inwiefern kann ein sprachlicher Verdichtungsvorgang mit Ersatzbildung durch ein Mischwort uns Lust schaffen und zum Lachen nötigen? Wir merken, dies ist ein anderes Problem, dessen Behandlung wir aufschieben dürfen, bis wir einen Zugang zu ihm gefunden haben. Vorläufig werden wir bei der Technik des Witzes bleiben.</w:t>
      </w:r>
    </w:p>
    <w:p w:rsidR="00BA623D" w:rsidRPr="00BA623D" w:rsidRDefault="00BA623D" w:rsidP="00BA623D">
      <w:pPr>
        <w:pStyle w:val="Sansinterligne"/>
        <w:rPr>
          <w:rFonts w:ascii="Garamond" w:hAnsi="Garamond"/>
          <w:lang w:val="en-GB"/>
        </w:rPr>
      </w:pPr>
      <w:r w:rsidRPr="00BA623D">
        <w:rPr>
          <w:rFonts w:ascii="Garamond" w:hAnsi="Garamond"/>
          <w:lang w:val="en-GB"/>
        </w:rPr>
        <w:t>Unsere Erwartung, daß die Technik des Witzes für die Einsicht in das Wesen desselben nicht gleichgültig sein könne, veranlaßt uns zunächst zu forschen, ob es noch andere Witzbeispiele gibt, die wie Heines »famillionär« gebaut sind. Es gibt deren nun nicht sehr viele, aber immerhin genug, um eine kleine Gruppe, die durch die Mischwortbildung charakterisiert ist, aufzustellen. Heine selbst hat aus dem Worte Millionär einen zweiten Witz gezogen, sich gleichsam selbst kopiert, indem er von einem » Millionarr« spricht (›Ideen‹, Kapitel XIV), was eine durchsichtige Zusammenziehung von Millionär und Narr ist und ganz ähnlich wie das erste Beispiel einen unterdrückten Nebengedanken zum Ausdruck bringt.</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Andere Beispiele, die mir bekannt geworden sind: Die Berliner heißen einen gewissen Brunnen in ihrer Stadt, dessen Errichtung dem Oberbürgermeister Forckenbeck viel Ungnade zugezogen hat, das » Forckenbecken«, und dieser Bezeichnung ist der Witz nicht abzusprechen, wenngleich das Wort »Brunnen« erst eine Wandlung in das ungebräuchliche »Becken« erfahren mußte, um mit dem Namen in einem Gemeinsamen zusammenzutreffen. – Der böse Witz Europas hatte einst einen Potentaten aus Leopold in Cleopold umgetauft wegen seiner damaligen Beziehungen zu einer Dame mit dem Vornamen Cleo, eine unzweifelhafte Verdichtungsleistung, die nun mit dem Aufwand eines einzigen Buchstabens eine ärgerliche Anspielung immer frisch erhält. – Eigennamen verfallen überhaupt leicht dieser Bearbeitung der Witztechnik: In Wien gab es zwei Brüder, namens Salinger, von denen einer Börsensensal war. Das gab die Handhabe, den einen Bruder Sensalinger zu nennen, während für den anderen zur Unterscheidung die unliebenswürdige Bezeichnung Scheusalinger in Aufnahme kam. Es war bequem und gewiß witzig; ich weiß nicht, ob es berechtigt war. Der Witz pflegt danach nicht viel zu fragen.</w:t>
      </w:r>
    </w:p>
    <w:p w:rsidR="00BA623D" w:rsidRPr="00BA623D" w:rsidRDefault="00BA623D" w:rsidP="00BA623D">
      <w:pPr>
        <w:pStyle w:val="Sansinterligne"/>
        <w:rPr>
          <w:rFonts w:ascii="Garamond" w:hAnsi="Garamond"/>
          <w:lang w:val="en-GB"/>
        </w:rPr>
      </w:pPr>
      <w:r w:rsidRPr="00BA623D">
        <w:rPr>
          <w:rFonts w:ascii="Garamond" w:hAnsi="Garamond"/>
          <w:lang w:val="en-GB"/>
        </w:rPr>
        <w:t>Folgender Verdichtungswitz wurde mir erzählt: Ein junger Mann, der bisher in der Fremde ein heiteres Leben geführt, besucht nach längerer Abwesenheit einen hier wohnenden Freund, der nun mit Überraschung den Ehering an der Hand des Besuchers bemerkt. Was? ruft er aus, Sie sind verheiratet? Ja, lautet die Antwort: Trauring, aber wahr. Der Witz ist vortrefflich; in dem Worte » Trauring« kommen die beiden Komponenten, das Wort: Ehering in Trauring gewandelt und der Satz: Traurig, aber wahr, zusammen.</w:t>
      </w:r>
    </w:p>
    <w:p w:rsidR="00BA623D" w:rsidRPr="00BA623D" w:rsidRDefault="00BA623D" w:rsidP="00BA623D">
      <w:pPr>
        <w:pStyle w:val="Sansinterligne"/>
        <w:rPr>
          <w:rFonts w:ascii="Garamond" w:hAnsi="Garamond"/>
          <w:lang w:val="en-GB"/>
        </w:rPr>
      </w:pPr>
      <w:r w:rsidRPr="00BA623D">
        <w:rPr>
          <w:rFonts w:ascii="Garamond" w:hAnsi="Garamond"/>
          <w:lang w:val="en-GB"/>
        </w:rPr>
        <w:t>Es tut der Wirkung des Witzes hier keinen Eintrag, daß das Mischwort eigentlich nicht ein unverständliches, sonst nicht existenzfähiges Gebilde ist wie »famillionär«, sondern sich vollkommen mit dem einen der beiden verdichteten Elemente deckt.</w:t>
      </w:r>
    </w:p>
    <w:p w:rsidR="00BA623D" w:rsidRPr="00BA623D" w:rsidRDefault="00BA623D" w:rsidP="00BA623D">
      <w:pPr>
        <w:pStyle w:val="Sansinterligne"/>
        <w:rPr>
          <w:rFonts w:ascii="Garamond" w:hAnsi="Garamond"/>
          <w:lang w:val="en-GB"/>
        </w:rPr>
      </w:pPr>
      <w:r w:rsidRPr="00BA623D">
        <w:rPr>
          <w:rFonts w:ascii="Garamond" w:hAnsi="Garamond"/>
          <w:lang w:val="en-GB"/>
        </w:rPr>
        <w:t>Zu einem Witz, der wiederum dem »famillionär« ganz analog ist, habe ich selbst im Gespräche unabsichtlich das Material geliefert. Ich erzählte einer Dame von den großen Verdiensten eines Forschers, den ich für einen mit Unrecht Verkannten halte. »Aber der Mann verdient doch ein Monument«, meinte sie. »Möglich, daß er es einmal bekommen wird«, antwortete ich, »aber momentan ist sein Erfolg sehr gering.« » Monument« und » momentan« sind Gegensätze. Die Dame vereinigt nun die Gegensätze: Also wünschen wir ihm einen monumentanen Erfolg.</w:t>
      </w:r>
    </w:p>
    <w:p w:rsidR="00BA623D" w:rsidRPr="00BA623D" w:rsidRDefault="00BA623D" w:rsidP="00BA623D">
      <w:pPr>
        <w:pStyle w:val="Sansinterligne"/>
        <w:rPr>
          <w:rFonts w:ascii="Garamond" w:hAnsi="Garamond"/>
          <w:lang w:val="en-GB"/>
        </w:rPr>
      </w:pPr>
      <w:r w:rsidRPr="00BA623D">
        <w:rPr>
          <w:rFonts w:ascii="Garamond" w:hAnsi="Garamond"/>
          <w:lang w:val="en-GB"/>
        </w:rPr>
        <w:t>Einer vortrefflichen Bearbeitung des gleichen Themas in englischer Sprache (A. A. Brill, ›Freud's Theory of Wit‹, 1911) verdanke ich einige fremdsprachige Beispiele, die den gleichen Mechanismus der Verdichtung zeigen wie unser »famillionär«.</w:t>
      </w:r>
    </w:p>
    <w:p w:rsidR="00BA623D" w:rsidRPr="00BA623D" w:rsidRDefault="00BA623D" w:rsidP="00BA623D">
      <w:pPr>
        <w:pStyle w:val="Sansinterligne"/>
        <w:rPr>
          <w:rFonts w:ascii="Garamond" w:hAnsi="Garamond"/>
        </w:rPr>
      </w:pPr>
      <w:r w:rsidRPr="00BA623D">
        <w:rPr>
          <w:rFonts w:ascii="Garamond" w:hAnsi="Garamond"/>
          <w:lang w:val="en-GB"/>
        </w:rPr>
        <w:t xml:space="preserve">Der englische Autor de Quincey, erzählt Brill, hat irgendwo die Bemerkung gemacht, daß alte Leute dazu neigen, in » anecdotage« zu verfallen. </w:t>
      </w:r>
      <w:r w:rsidRPr="00BA623D">
        <w:rPr>
          <w:rFonts w:ascii="Garamond" w:hAnsi="Garamond"/>
        </w:rPr>
        <w:t>Das Wort ist zusammengeschmolzen aus den sich teilweise überdeckenden</w:t>
      </w:r>
    </w:p>
    <w:tbl>
      <w:tblPr>
        <w:tblW w:w="0" w:type="auto"/>
        <w:tblCellSpacing w:w="15" w:type="dxa"/>
        <w:tblCellMar>
          <w:top w:w="30" w:type="dxa"/>
          <w:left w:w="30" w:type="dxa"/>
          <w:bottom w:w="30" w:type="dxa"/>
          <w:right w:w="30" w:type="dxa"/>
        </w:tblCellMar>
        <w:tblLook w:val="0000"/>
      </w:tblPr>
      <w:tblGrid>
        <w:gridCol w:w="610"/>
        <w:gridCol w:w="485"/>
        <w:gridCol w:w="681"/>
      </w:tblGrid>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anec</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dote</w:t>
            </w:r>
          </w:p>
        </w:tc>
      </w:tr>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und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dotage</w:t>
            </w:r>
          </w:p>
        </w:tc>
      </w:tr>
    </w:tbl>
    <w:p w:rsidR="00BA623D" w:rsidRPr="00BA623D" w:rsidRDefault="00BA623D" w:rsidP="00BA623D">
      <w:pPr>
        <w:pStyle w:val="Sansinterligne"/>
        <w:rPr>
          <w:rFonts w:ascii="Garamond" w:hAnsi="Garamond"/>
        </w:rPr>
      </w:pPr>
      <w:r w:rsidRPr="00BA623D">
        <w:rPr>
          <w:rFonts w:ascii="Garamond" w:hAnsi="Garamond"/>
          <w:lang w:val="en-GB"/>
        </w:rPr>
        <w:t xml:space="preserve">In einer anonymen kurzen Geschichte fand Brill einmal die Weihnachtszeit bezeichnet als » the alcoholidays«. </w:t>
      </w:r>
      <w:r w:rsidRPr="00BA623D">
        <w:rPr>
          <w:rFonts w:ascii="Garamond" w:hAnsi="Garamond"/>
        </w:rPr>
        <w:t>Die gleiche Verschmelzung aus</w:t>
      </w:r>
    </w:p>
    <w:tbl>
      <w:tblPr>
        <w:tblW w:w="0" w:type="auto"/>
        <w:tblCellSpacing w:w="15" w:type="dxa"/>
        <w:tblCellMar>
          <w:top w:w="30" w:type="dxa"/>
          <w:left w:w="30" w:type="dxa"/>
          <w:bottom w:w="30" w:type="dxa"/>
          <w:right w:w="30" w:type="dxa"/>
        </w:tblCellMar>
        <w:tblLook w:val="0000"/>
      </w:tblPr>
      <w:tblGrid>
        <w:gridCol w:w="610"/>
        <w:gridCol w:w="444"/>
        <w:gridCol w:w="797"/>
        <w:gridCol w:w="995"/>
      </w:tblGrid>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alco</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hol</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r>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und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holidays</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(Festtage).</w:t>
            </w:r>
          </w:p>
        </w:tc>
      </w:tr>
    </w:tbl>
    <w:p w:rsidR="00BA623D" w:rsidRPr="00BA623D" w:rsidRDefault="00BA623D" w:rsidP="00BA623D">
      <w:pPr>
        <w:pStyle w:val="Sansinterligne"/>
        <w:rPr>
          <w:rFonts w:ascii="Garamond" w:hAnsi="Garamond"/>
        </w:rPr>
      </w:pPr>
      <w:r w:rsidRPr="00BA623D">
        <w:rPr>
          <w:rFonts w:ascii="Garamond" w:hAnsi="Garamond"/>
        </w:rPr>
        <w:t>Als Flaubert seinen berühmten Roman Salammbo, der im alten Karthago spielt, veröffentlicht hatte, verspottete ihn Sainte-Beuve als Carthaginoiserie wegen seiner peinlichen Detailmalerei:</w:t>
      </w:r>
    </w:p>
    <w:tbl>
      <w:tblPr>
        <w:tblW w:w="0" w:type="auto"/>
        <w:tblCellSpacing w:w="15" w:type="dxa"/>
        <w:tblCellMar>
          <w:top w:w="30" w:type="dxa"/>
          <w:left w:w="30" w:type="dxa"/>
          <w:bottom w:w="30" w:type="dxa"/>
          <w:right w:w="30" w:type="dxa"/>
        </w:tblCellMar>
        <w:tblLook w:val="0000"/>
      </w:tblPr>
      <w:tblGrid>
        <w:gridCol w:w="390"/>
        <w:gridCol w:w="669"/>
        <w:gridCol w:w="1032"/>
      </w:tblGrid>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Cartha</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ginois</w:t>
            </w:r>
          </w:p>
        </w:tc>
      </w:tr>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chinoiserie</w:t>
            </w:r>
          </w:p>
        </w:tc>
      </w:tr>
    </w:tbl>
    <w:p w:rsidR="00BA623D" w:rsidRPr="00BA623D" w:rsidRDefault="00BA623D" w:rsidP="00BA623D">
      <w:pPr>
        <w:pStyle w:val="Sansinterligne"/>
        <w:rPr>
          <w:rFonts w:ascii="Garamond" w:hAnsi="Garamond"/>
          <w:lang w:val="en-GB"/>
        </w:rPr>
      </w:pPr>
      <w:r w:rsidRPr="00BA623D">
        <w:rPr>
          <w:rFonts w:ascii="Garamond" w:hAnsi="Garamond"/>
        </w:rPr>
        <w:t xml:space="preserve">Das vorzüglichste Witzbeispiel dieser Gruppe hat einen der ersten Männer Österreichs zum Urheber, der nach bedeutsamer wissenschaftlicher und öffentlicher Tätigkeit nun ein oberstes Amt im Staate bekleidet. </w:t>
      </w:r>
      <w:r w:rsidRPr="00BA623D">
        <w:rPr>
          <w:rFonts w:ascii="Garamond" w:hAnsi="Garamond"/>
          <w:lang w:val="en-GB"/>
        </w:rPr>
        <w:t xml:space="preserve">Ich habe mir die Freiheit genommen, die Witze, die dieser Person zugeschrieben werden und in der Tat alle das gleiche Gepräge tragen, als Material für diese Untersuchungen zu verwenden </w:t>
      </w:r>
      <w:hyperlink r:id="rId292" w:anchor="#" w:history="1">
        <w:r w:rsidRPr="00BA623D">
          <w:rPr>
            <w:rFonts w:ascii="Garamond" w:hAnsi="Garamond"/>
            <w:lang w:val="en-GB"/>
          </w:rPr>
          <w:t>[Fußnote]Ob ich ein Recht dazu habe? Ich bin wenigstens nicht durch eine Indiskretion zur Kenntnis dieser Witze gekommen, die in dieser Stadt (Wien) allgemein bekannt sind und in jedermanns Munde gefunden werden. Eine Anzahl derselben hat Ed. Hanslick in der Neuen Freien Presse und in seiner Autobiographie der Öffentlichkeit übergeben. Für die bei mündlicher Tradition kaum vermeidlichen Entstellungen, die etwa die anderen betroffen hätten, bitte ich um Entschuldigung.</w:t>
        </w:r>
      </w:hyperlink>
      <w:r w:rsidRPr="00BA623D">
        <w:rPr>
          <w:rFonts w:ascii="Garamond" w:hAnsi="Garamond"/>
          <w:lang w:val="en-GB"/>
        </w:rPr>
        <w:t>, vor allem darum, weil es schwergehalten hätte, sich ein besseres zu verschaffen.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Herr N. wird eines Tages auf die Person eines Schriftstellers aufmerksam gemacht, der durch eine Reihe von wirklich langweiligen Aufsätzen bekannt geworden ist, welche er in einer Wiener Tageszeitung veröffentlicht hat. Die Aufsätze behandeln durchweg kleine Episoden aus den Beziehungen des ersten Napoleon zu Österreich. Der Verfasser ist rothaarig. Herr N. fragt, sobald er den Namen gehört hat: »Ist das nicht der rote Fadian, der sich durch die Geschichte der Napoleoniden zieht?«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Um die Technik dieses Witzes zu finden, müssen wir auf ihn jenes Reduktionsverfahren anwenden, welches den Witz durch Änderung des Ausdruckes aufhebt und dafür den ursprünglichen vollen Sinn wieder einsetzt, wie er sich aus einem guten Witz mit Sicherheit erraten läßt. Der Witz des Herrn N. vom roten Fadian ist aus zwei Komponenten hervorgegangen, aus einem absprechenden Urteil über den Schriftsteller und aus der Reminiszenz an das berühmte Gleichnis, mit welchem Goethe die Auszüge: ›Aus Ottiliens Tagebuche‹ in den Wahlverwandtschaften einleitet </w:t>
      </w:r>
      <w:hyperlink r:id="rId293" w:anchor="#" w:history="1">
        <w:r w:rsidRPr="00BA623D">
          <w:rPr>
            <w:rFonts w:ascii="Garamond" w:hAnsi="Garamond"/>
            <w:lang w:val="en-GB"/>
          </w:rPr>
          <w:t>[Fußnote]»Wir hören von einer besonderen Einrichtung in der englischen Marine. Sämtliche Tauwerke der königlichen Flotte, vom stärksten bis zum schwächsten, sind dergestalt gesponnen, daß ein roter Faden durch das Ganze durchgeht, den man nicht herauswinden kann, ohne alles aufzulösen, und woran auch die kleinsten Stücke kenntlich sind, daß sie der Krone gehören. Ebenso zieht sich durch Ottiliens Tagebuch ein Faden der Neigung und Anhänglichkeit, der alles verbindet und das Ganze bezeichnet.« (20. Band der Sophien-Ausgabe, S. 212.)</w:t>
        </w:r>
      </w:hyperlink>
      <w:r w:rsidRPr="00BA623D">
        <w:rPr>
          <w:rFonts w:ascii="Garamond" w:hAnsi="Garamond"/>
          <w:lang w:val="en-GB"/>
        </w:rPr>
        <w:t xml:space="preserve">. Die unmutige Kritik mag gelautet haben: Das also ist der Mensch, der ewig und immer wieder nur langweilige Feuilletons über Napoleon in Österreich zu schreiben weiß! Diese Äußerung ist nun gar nicht witzig. Auch der schöne Vergleich Goethes ist kein witziger und ganz gewiß nicht geeignet, uns zum Lachen zu bringen. Erst wenn diese beiden in Beziehung zueinander gesetzt werden und dem eigentümlichen Verdichtungs- und Verschmelzungsprozeß unterliegen, entsteht ein Witz, und zwar von erstem Range </w:t>
      </w:r>
      <w:hyperlink r:id="rId294" w:anchor="#" w:history="1">
        <w:r w:rsidRPr="00BA623D">
          <w:rPr>
            <w:rFonts w:ascii="Garamond" w:hAnsi="Garamond"/>
            <w:lang w:val="en-GB"/>
          </w:rPr>
          <w:t>[Fußnote]Wie wenig diese regelmäßig zu wiederholende Beobachtung mit der Behauptung stimmt, der Witz sei ein spielendes Urteil, brauche ich nur anzudeuten.</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Die Verknüpfung zwischen dem schimpflichen Urteil über den langweiligen Geschichtschreiber und dem schönen Gleichnis in den Wahlverwandtschaften muß sich aus Gründen, die ich hier noch nicht verständlich machen kann, auf weniger einfache Weise hergestellt haben als in vielen ähnlichen Fällen. Ich werde es versuchen, den vermutlichen wirklichen Hergang durch folgende Konstruktion zu ersetzen. Zunächst mag das Element der beständigen Wiederkehr desselben Themas bei Herrn N. eine leise Reminiszenz an die bekannte Stelle der Wahlverwandtschaften geweckt haben, die ja zumeist fälschlich mit dem Wortlaut » es zieht sich wie ein roter Faden« zitiert wird. Der »rote Faden« des Gleichnisses übt nun eine verändernde Wirkung auf den Ausdruck des ersten Satzes aus, infolge des zufälligen Umstandes, daß auch der Geschmähte rot, nämlich rothaarig ist. Es mag nun gelautet haben: Also dieser rote Mensch ist es, der die langweiligen Feuilletons über Napoleon schreibt. Nun griff der Prozeß ein, der die Verdichtung beider Stücke zu einem bezweckte. Unter dem Drucke desselben, der in der Gleichheit des Elements » rot« den ersten Stützpunkt gefunden hatte, assimilierte sich das » langweilig« dem » Faden« und verwandelte sich in » fad«, und nun konnten die beiden Komponenten verschmelzen zu dem Wortlaut des Witzes, an welchem diesmal das Zitat fast mehr Anteil hat als das gewiß ursprünglich allein vorhandene schmähende Urteil.</w:t>
      </w:r>
    </w:p>
    <w:tbl>
      <w:tblPr>
        <w:tblW w:w="0" w:type="auto"/>
        <w:tblCellSpacing w:w="15" w:type="dxa"/>
        <w:tblCellMar>
          <w:top w:w="30" w:type="dxa"/>
          <w:left w:w="30" w:type="dxa"/>
          <w:bottom w:w="30" w:type="dxa"/>
          <w:right w:w="30" w:type="dxa"/>
        </w:tblCellMar>
        <w:tblLook w:val="0000"/>
      </w:tblPr>
      <w:tblGrid>
        <w:gridCol w:w="1167"/>
        <w:gridCol w:w="1177"/>
        <w:gridCol w:w="4052"/>
      </w:tblGrid>
      <w:tr w:rsidR="00BA623D" w:rsidRPr="005C1841" w:rsidTr="005E1D01">
        <w:trPr>
          <w:tblCellSpacing w:w="15" w:type="dxa"/>
        </w:trPr>
        <w:tc>
          <w:tcPr>
            <w:tcW w:w="0" w:type="auto"/>
            <w:gridSpan w:val="3"/>
            <w:tcMar>
              <w:top w:w="35" w:type="dxa"/>
              <w:left w:w="35" w:type="dxa"/>
              <w:bottom w:w="35" w:type="dxa"/>
              <w:right w:w="35" w:type="dxa"/>
            </w:tcMar>
          </w:tcPr>
          <w:p w:rsidR="00BA623D" w:rsidRPr="00BA623D" w:rsidRDefault="00BA623D" w:rsidP="00BA623D">
            <w:pPr>
              <w:pStyle w:val="Sansinterligne"/>
              <w:rPr>
                <w:rFonts w:ascii="Garamond" w:hAnsi="Garamond"/>
                <w:lang w:val="en-GB"/>
              </w:rPr>
            </w:pPr>
            <w:r w:rsidRPr="00BA623D">
              <w:rPr>
                <w:rFonts w:ascii="Garamond" w:hAnsi="Garamond"/>
                <w:lang w:val="en-GB"/>
              </w:rPr>
              <w:t>»Also dieser rote Mensch ist es, der das fade Zeug über N. schreibt.</w:t>
            </w:r>
          </w:p>
        </w:tc>
      </w:tr>
      <w:tr w:rsidR="00BA623D" w:rsidRPr="005C1841"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Der rote</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Faden,</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lang w:val="en-GB"/>
              </w:rPr>
            </w:pPr>
            <w:r w:rsidRPr="00BA623D">
              <w:rPr>
                <w:rFonts w:ascii="Garamond" w:hAnsi="Garamond"/>
                <w:lang w:val="en-GB"/>
              </w:rPr>
              <w:t>der sich durch alles hindurchzieht.</w:t>
            </w:r>
          </w:p>
        </w:tc>
      </w:tr>
      <w:tr w:rsidR="00BA623D" w:rsidRPr="00BA623D" w:rsidTr="005E1D01">
        <w:trPr>
          <w:tblCellSpacing w:w="15" w:type="dxa"/>
        </w:trPr>
        <w:tc>
          <w:tcPr>
            <w:tcW w:w="0" w:type="auto"/>
            <w:gridSpan w:val="3"/>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_______________________________________________________</w:t>
            </w:r>
          </w:p>
        </w:tc>
      </w:tr>
      <w:tr w:rsidR="00BA623D" w:rsidRPr="005C1841" w:rsidTr="005E1D01">
        <w:trPr>
          <w:tblCellSpacing w:w="15" w:type="dxa"/>
        </w:trPr>
        <w:tc>
          <w:tcPr>
            <w:tcW w:w="0" w:type="auto"/>
            <w:gridSpan w:val="3"/>
            <w:tcMar>
              <w:top w:w="35" w:type="dxa"/>
              <w:left w:w="35" w:type="dxa"/>
              <w:bottom w:w="35" w:type="dxa"/>
              <w:right w:w="35" w:type="dxa"/>
            </w:tcMar>
          </w:tcPr>
          <w:p w:rsidR="00BA623D" w:rsidRPr="00BA623D" w:rsidRDefault="00BA623D" w:rsidP="00BA623D">
            <w:pPr>
              <w:pStyle w:val="Sansinterligne"/>
              <w:rPr>
                <w:rFonts w:ascii="Garamond" w:hAnsi="Garamond"/>
                <w:lang w:val="en-GB"/>
              </w:rPr>
            </w:pPr>
            <w:r w:rsidRPr="00BA623D">
              <w:rPr>
                <w:rFonts w:ascii="Garamond" w:hAnsi="Garamond"/>
                <w:lang w:val="en-GB"/>
              </w:rPr>
              <w:t>Ist das nicht der rote Fadian, der sich durch die Geschichte der N. zieht?«</w:t>
            </w:r>
          </w:p>
        </w:tc>
      </w:tr>
    </w:tbl>
    <w:p w:rsidR="00BA623D" w:rsidRPr="00BA623D" w:rsidRDefault="00BA623D" w:rsidP="00BA623D">
      <w:pPr>
        <w:pStyle w:val="Sansinterligne"/>
        <w:rPr>
          <w:rFonts w:ascii="Garamond" w:hAnsi="Garamond"/>
          <w:lang w:val="en-GB"/>
        </w:rPr>
      </w:pPr>
      <w:r w:rsidRPr="00BA623D">
        <w:rPr>
          <w:rFonts w:ascii="Garamond" w:hAnsi="Garamond"/>
          <w:lang w:val="en-GB"/>
        </w:rPr>
        <w:t>Eine Rechtfertigung, aber auch eine Korrektur dieser Darstellung werde ich in einem späteren Abschnitt geben, wenn ich diesen Witz von anderen als bloß formalen Gesichtspunkten her analysieren darf. Was immer aber an ihr zweifelhaft sein möge, die Tatsache, daß hier eine Verdichtung vorgefallen ist, kann nicht in Zweifel gezogen werden. Das Ergebnis der Verdichtung ist einerseits wiederum eine erhebliche Verkürzung, anderseits anstatt einer auffälligen Mischwortbildung vielmehr eine Durchdringung der Bestandteile beider Komponenten. » Roter Fadian« wäre immerhin als bloßes Schimpfwort existenzfähig; es ist in unserem Falle sicherlich ein Verdichtungsprodukt.</w:t>
      </w:r>
    </w:p>
    <w:p w:rsidR="00BA623D" w:rsidRPr="00BA623D" w:rsidRDefault="00BA623D" w:rsidP="00BA623D">
      <w:pPr>
        <w:pStyle w:val="Sansinterligne"/>
        <w:rPr>
          <w:rFonts w:ascii="Garamond" w:hAnsi="Garamond"/>
          <w:lang w:val="en-GB"/>
        </w:rPr>
      </w:pPr>
      <w:r w:rsidRPr="00BA623D">
        <w:rPr>
          <w:rFonts w:ascii="Garamond" w:hAnsi="Garamond"/>
          <w:lang w:val="en-GB"/>
        </w:rPr>
        <w:t>Wenn nun an dieser Stelle zuerst ein Leser unwillig würde über eine Betrachtungsweise, die ihm das Vergnügen am Witz zu zerstören droht, ohne ihm aber die Quelle dieses Vergnügens aufklären zu können, so würde ich ihn zunächst um Geduld bitten. Wir stehen erst bei der Technik des Witzes, deren Untersuchung ja auch Aufschlüsse verspricht, wenn wir sie erst weit genug ausgedehnt haben.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Wir sind durch die Analyse des letzten Beispiels vorbereitet darauf, daß, wenn wir dem Verdichtungsvorgang noch in anderen Beispielen begegnen, der Ersatz des Unterdrückten nicht in einer Mischwortbildung, sondern auch in einer anderen Abänderung des Ausdrucks gegeben sein könne. Worin dieser andersartige Ersatz bestehen mag, wollen wir aus anderen Witzen des Herrn N. lernen.</w:t>
      </w:r>
    </w:p>
    <w:p w:rsidR="00BA623D" w:rsidRPr="00BA623D" w:rsidRDefault="00BA623D" w:rsidP="00BA623D">
      <w:pPr>
        <w:pStyle w:val="Sansinterligne"/>
        <w:rPr>
          <w:rFonts w:ascii="Garamond" w:hAnsi="Garamond"/>
        </w:rPr>
      </w:pPr>
      <w:r w:rsidRPr="00BA623D">
        <w:rPr>
          <w:rFonts w:ascii="Garamond" w:hAnsi="Garamond"/>
        </w:rPr>
        <w:t xml:space="preserve">»Ich bin tête-à-bête mit ihm gefahren.« </w:t>
      </w:r>
      <w:r w:rsidRPr="00BA623D">
        <w:rPr>
          <w:rFonts w:ascii="Garamond" w:hAnsi="Garamond"/>
          <w:lang w:val="en-GB"/>
        </w:rPr>
        <w:t xml:space="preserve">Nichts leichter als diesen Witz zu reduzieren. </w:t>
      </w:r>
      <w:r w:rsidRPr="00BA623D">
        <w:rPr>
          <w:rFonts w:ascii="Garamond" w:hAnsi="Garamond"/>
        </w:rPr>
        <w:t>Offenbar kann es dann nur heißen: Ich bin tête-à-tête mit dem X. gefahren, und der X. ist ein dummes Vieh.</w:t>
      </w:r>
    </w:p>
    <w:p w:rsidR="00BA623D" w:rsidRPr="00BA623D" w:rsidRDefault="00BA623D" w:rsidP="00BA623D">
      <w:pPr>
        <w:pStyle w:val="Sansinterligne"/>
        <w:rPr>
          <w:rFonts w:ascii="Garamond" w:hAnsi="Garamond"/>
          <w:lang w:val="en-GB"/>
        </w:rPr>
      </w:pPr>
      <w:r w:rsidRPr="00BA623D">
        <w:rPr>
          <w:rFonts w:ascii="Garamond" w:hAnsi="Garamond"/>
          <w:lang w:val="en-GB"/>
        </w:rPr>
        <w:t>Keiner der beiden Sätze ist witzig. Oder in einen Satz zusammengezogen: Ich bin tête-à-tête mit dem dummen Vieh von X. gefahren, was ebensowenig witzig ist. Der Witz stellt sich erst her, wenn das » dumme Vieh« weggelassen wird und zum Ersatz dafür das eine tête sein t in b verwandelt, mit welcher geringen Modifikation das erst unterdrückte »Vieh« doch wieder zum Ausdruck gelangt. Man kann die Technik dieser Gruppe von Witzen beschreiben als Verdichtung mit leichter Modifikation und ahnt, daß der Witz um so besser sein wird, je geringfügiger die Modifikation ausfällt.</w:t>
      </w:r>
    </w:p>
    <w:p w:rsidR="00BA623D" w:rsidRPr="00BA623D" w:rsidRDefault="00BA623D" w:rsidP="00BA623D">
      <w:pPr>
        <w:pStyle w:val="Sansinterligne"/>
        <w:rPr>
          <w:rFonts w:ascii="Garamond" w:hAnsi="Garamond"/>
          <w:lang w:val="en-GB"/>
        </w:rPr>
      </w:pPr>
      <w:r w:rsidRPr="00BA623D">
        <w:rPr>
          <w:rFonts w:ascii="Garamond" w:hAnsi="Garamond"/>
          <w:lang w:val="en-GB"/>
        </w:rPr>
        <w:t>Ganz ähnlich, obwohl nicht unkompliziert, ist die Technik eines anderen Witzes. Herr N. sagt im Wechselgespräch über eine Person, an der manches zu rühmen und vieles auszusetzen ist: »Ja, die Eitelkeit ist eine seiner vier Achillesfersen.«</w:t>
      </w:r>
      <w:hyperlink r:id="rId295" w:anchor="#" w:history="1">
        <w:r w:rsidRPr="00BA623D">
          <w:rPr>
            <w:rFonts w:ascii="Garamond" w:hAnsi="Garamond"/>
          </w:rPr>
          <w:t>[Fußnote]Dasselbe Witzwort soll schon vorher von H. Heine auf Alfred de Musset geprägt worden sein.</w:t>
        </w:r>
      </w:hyperlink>
      <w:r w:rsidRPr="00BA623D">
        <w:rPr>
          <w:rFonts w:ascii="Garamond" w:hAnsi="Garamond"/>
        </w:rPr>
        <w:t xml:space="preserve"> Die leichte Modifikation besteht hier darin, daß anstatt der einen Achillesferse, die man ja auch beim Helden zugestehen muß, deren vier behauptet werden. </w:t>
      </w:r>
      <w:r w:rsidRPr="00BA623D">
        <w:rPr>
          <w:rFonts w:ascii="Garamond" w:hAnsi="Garamond"/>
          <w:lang w:val="en-GB"/>
        </w:rPr>
        <w:t xml:space="preserve">Vier Fersen, also vier Füße hat aber nur das Vieh. Somit haben die beiden im Witz verdichteten Gedanken gelautet: » Y. ist bis auf seine Eitelkeit ein hervorragender Mensch; aber ich mag ihn doch nicht, er ist doch eher ein Vieh als ein Mensch.« </w:t>
      </w:r>
      <w:hyperlink r:id="rId296" w:anchor="#" w:history="1">
        <w:r w:rsidRPr="00BA623D">
          <w:rPr>
            <w:rFonts w:ascii="Garamond" w:hAnsi="Garamond"/>
          </w:rPr>
          <w:t xml:space="preserve">[Fußnote]Eine der Komplikationen der Technik dieses Beispiels liegt darin, daß die Modifikation, durch welche sich die ausgelassene Schmähung ersetzt, als Anspielung auf diese letztere zu bezeichnen ist, da sie erst über einen Schlußprozeß zu ihr hinführt. </w:t>
        </w:r>
        <w:r w:rsidRPr="00BA623D">
          <w:rPr>
            <w:rFonts w:ascii="Garamond" w:hAnsi="Garamond"/>
            <w:lang w:val="en-GB"/>
          </w:rPr>
          <w:t>Ober ein anderes Moment, welches hier die Technik kompliziert, s. unten.</w:t>
        </w:r>
      </w:hyperlink>
    </w:p>
    <w:p w:rsidR="00BA623D" w:rsidRPr="00BA623D" w:rsidRDefault="00BA623D" w:rsidP="00BA623D">
      <w:pPr>
        <w:pStyle w:val="Sansinterligne"/>
        <w:rPr>
          <w:rFonts w:ascii="Garamond" w:hAnsi="Garamond"/>
          <w:lang w:val="en-GB"/>
        </w:rPr>
      </w:pPr>
      <w:r w:rsidRPr="00BA623D">
        <w:rPr>
          <w:rFonts w:ascii="Garamond" w:hAnsi="Garamond"/>
          <w:lang w:val="en-GB"/>
        </w:rPr>
        <w:t>Ähnlich, nur viel einfacher, ist ein anderer Witz, den ich in einem Familienkreise in statu nascendi zu hören bekam. Von zwei Brüdern, Gymnasiasten, ist der eine ein vortrefflicher, der andere ein recht mittelmäßiger Schüler. Nun passiert auch dem Musterknaben einmal ein Unfall in der Schule, den die Mutter zur Sprache bringt, um der Besorgnis Ausdruck zu geben, das Ereignis könne den Anfang einer dauernden Verschlechterung bedeuten. Der bisher durch seinen Bruder verdunkelte Knabe greift diesen Anlaß bereitwillig auf. Ja, sagt er, Karl geht auf allen Vieren zurück.</w:t>
      </w:r>
    </w:p>
    <w:p w:rsidR="00BA623D" w:rsidRPr="00BA623D" w:rsidRDefault="00BA623D" w:rsidP="00BA623D">
      <w:pPr>
        <w:pStyle w:val="Sansinterligne"/>
        <w:rPr>
          <w:rFonts w:ascii="Garamond" w:hAnsi="Garamond"/>
          <w:lang w:val="en-GB"/>
        </w:rPr>
      </w:pPr>
      <w:r w:rsidRPr="00BA623D">
        <w:rPr>
          <w:rFonts w:ascii="Garamond" w:hAnsi="Garamond"/>
          <w:lang w:val="en-GB"/>
        </w:rPr>
        <w:t>Die Modifikation besteht hier in einem kleinen Zusatz zur Versicherung, daß der andere auch nach seinem Urteil zurückgeht. Diese Modifikation vertritt und ersetzt aber ein leidenschaftliches Plaidoyer für die eigene Sache: Überhaupt müßt ihr nicht glauben, daß er darum soviel gescheiter ist als ich, weil er in der Schule besseren Erfolg hat. Er ist doch nur ein dummes Vieh, d. h. viel dümmer, als ich bin.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 schönes Beispiel von Verdichtung mit leichter Modifikation zeigt ein anderer sehr bekannter Witz des Herrn N., der von einer im öffentlichen Leben stehenden Persönlichkeit behauptete, sie habe eine große Zukunft hinter sich. Es war ein jüngerer Mann, auf den dieser Witz zielte, der durch seine Abstammung, Erziehung und seine persönlichen Eigenschaften berufen erschien, dereinst die Führung einer großen Partei zu übernehmen und an ihrer Spitze zur Regierung zu gelangen. Aber die Zeiten änderten sich, die Partei wurde regierungsunfähig, und nun ließ sich vorhersehen, daß auch der zu ihrem Führer prädestinierte Mann es zu nichts bringen werde. Die kürzeste reduzierte Fassung, durch die man diesen Witz ersetzen könnte, würde lauten: Der Mann hat eine große Zukunft vor sich gehabt, mit der ist es aber jetzt aus. Anstatt des » gehabt« und des Nachsatzes die kleine Veränderung im Hauptsatze, daß das » vor« durch ein » hinter«, sein Gegenteil, abgelöst wird </w:t>
      </w:r>
      <w:hyperlink r:id="rId297" w:anchor="#" w:history="1">
        <w:r w:rsidRPr="00BA623D">
          <w:rPr>
            <w:rFonts w:ascii="Garamond" w:hAnsi="Garamond"/>
            <w:lang w:val="en-GB"/>
          </w:rPr>
          <w:t>[Fußnote]An der Technik dieses Witzes wirkt noch ein anderes Moment mit, welches ich mir später anzuführen aufspare. Es betrifft den inhaltlichen Charakter der Modifikation (Darstellung durch das Gegenteil, Widersinn). Die Witztechnik ist durch nichts behindert, sich mehrerer Mittel gleichzeitig zu bedienen, die wir aber nur der Reihe nach kennenlernen können.</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Fast der nämlichen Modifikation bediente sich Herr N. im Falle eines Kavaliers, der Ackerbauminister geworden war ohne anderes Anrecht, als daß er selbst Landwirtschaft betrieb. Die öffentliche Meinung hatte Gelegenheit, ihn als den mindest begabten, der je mit diesem Amt betraut gewesen, zu erkennen. Als er aber das Amt niedergelegt und sich auf seine landwirtschaftlichen Interessen zurückgezogen hatte, sagte Herr N. von ihm:</w:t>
      </w:r>
    </w:p>
    <w:p w:rsidR="00BA623D" w:rsidRPr="00BA623D" w:rsidRDefault="00BA623D" w:rsidP="00BA623D">
      <w:pPr>
        <w:pStyle w:val="Sansinterligne"/>
        <w:rPr>
          <w:rFonts w:ascii="Garamond" w:hAnsi="Garamond"/>
          <w:lang w:val="en-GB"/>
        </w:rPr>
      </w:pPr>
      <w:r w:rsidRPr="00BA623D">
        <w:rPr>
          <w:rFonts w:ascii="Garamond" w:hAnsi="Garamond"/>
          <w:lang w:val="en-GB"/>
        </w:rPr>
        <w:t>»Er ist, wie Cincinnatus, auf seinen Platz vor dem Pflug zurückgekehrt.«</w:t>
      </w:r>
    </w:p>
    <w:p w:rsidR="00BA623D" w:rsidRPr="00BA623D" w:rsidRDefault="00BA623D" w:rsidP="00BA623D">
      <w:pPr>
        <w:pStyle w:val="Sansinterligne"/>
        <w:rPr>
          <w:rFonts w:ascii="Garamond" w:hAnsi="Garamond"/>
          <w:lang w:val="en-GB"/>
        </w:rPr>
      </w:pPr>
      <w:r w:rsidRPr="00BA623D">
        <w:rPr>
          <w:rFonts w:ascii="Garamond" w:hAnsi="Garamond"/>
          <w:lang w:val="en-GB"/>
        </w:rPr>
        <w:t>Der Römer, den man auch von der Landwirtschaft weg zum Amt berufen hatte, nahm seinen Platz hinter dem Pflug wieder ein. Vor dem Pflug ging damals wie heute nur – der Ochs.</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Eine gelungene Verdichtung mit leiser Modifikation ist es auch, wenn Karl Kraus von einem sogenannten Revolverjournalisten mitteilt, er sei mit dem Orienterpreßzug in eines der Balkanländer gefahren. Gewiß treffen in diesem Wort die beiden anderen » Orientexpreßzug« und » Erpressung« zusammen. Infolge des Zusammenhanges macht sich das Element »Erpressung« nur als Modifikation des vom Verbum geforderten »Orientexpreßzuges« geltend. Dieser Witz hat für uns, indem er einen Druckfehler vorspiegelt, noch ein anderes Interesse.</w:t>
      </w:r>
    </w:p>
    <w:p w:rsidR="00BA623D" w:rsidRPr="00BA623D" w:rsidRDefault="00BA623D" w:rsidP="00BA623D">
      <w:pPr>
        <w:pStyle w:val="Sansinterligne"/>
        <w:rPr>
          <w:rFonts w:ascii="Garamond" w:hAnsi="Garamond"/>
          <w:lang w:val="en-GB"/>
        </w:rPr>
      </w:pPr>
      <w:r w:rsidRPr="00BA623D">
        <w:rPr>
          <w:rFonts w:ascii="Garamond" w:hAnsi="Garamond"/>
          <w:lang w:val="en-GB"/>
        </w:rPr>
        <w:t>Wir könnten die Reihe dieser Beispiele leicht um weitere vermehren, aber ich meine, wir bedürfen keiner neuen Fälle, um die Charaktere der Technik in dieser zweiten Gruppe, Verdichtung mit Modifikation, sicher zu erfassen. Vergleichen wir nun die zweite Gruppe mit der ersten, deren Technik in Verdichtung mit Mischwortbildung bestand, so sehen wir leicht ein, daß die Unterschiede nicht wesentliche und die Übergänge fließend sind. Die Mischwortbildung wie die Modifikation unterordnen sich dem Begriff der Ersatzbildung, und, wenn wir wollen, können wir die Mischwortbildung auch als Modifikation des Grundwortes durch das zweite Element beschreiben.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Wir dürfen aber hier einen ersten Halt machen und uns fragen, mit welchem aus der Literatur bekannten Moment sich unser erstes Ergebnis ganz oder teilweise deckt. </w:t>
      </w:r>
      <w:r w:rsidRPr="00BA623D">
        <w:rPr>
          <w:rFonts w:ascii="Garamond" w:hAnsi="Garamond"/>
        </w:rPr>
        <w:t xml:space="preserve">Offenbar mit dem der Kürze, die Jean Paul die Seele des Witzes nennt (s. oben S. 9). </w:t>
      </w:r>
      <w:r w:rsidRPr="00BA623D">
        <w:rPr>
          <w:rFonts w:ascii="Garamond" w:hAnsi="Garamond"/>
          <w:lang w:val="en-GB"/>
        </w:rPr>
        <w:t>Die Kürze ist nun nicht an sich witzig, sonst wäre jeder Lakonismus ein Witz. Die Kürze des Witzes muß von besonderer Art sein. Wir erinnern uns, daß Lipps versucht hat, die Besonderheit der Witzkürzung näher zu beschreiben (s. S. 5). Hier hat nun unsere Untersuchung eingesetzt und nachgewiesen, daß die Kürze des Witzes oftmals das Ergebnis eines besonderen Vorganges ist, der im Wortlaut des Witzes eine zweite Spur, die Ersatzbildung, hinterlassen hat. Bei der Anwendung des Reduktionsverfahrens, welches den eigentümlichen Verdichtungsvorgang rückgängig zu machen beabsichtigt, finden wir aber auch, daß der Witz nur an dem wörtlichen Ausdruck hängt, welcher durch den Verdichtungsvorgang hergestellt wird. Natürlich wendet sich jetzt unser volles Interesse diesem sonderbaren und bisher fast nicht gewürdigten Vorgang zu. Wir können auch noch gar nicht verstehen, wie aus ihm all das Wertvolle des Witzes, der Lustgewinn, den der Witz uns bringt, entstehen kann.</w:t>
      </w:r>
    </w:p>
    <w:p w:rsidR="00BA623D" w:rsidRPr="00BA623D" w:rsidRDefault="00BA623D" w:rsidP="00BA623D">
      <w:pPr>
        <w:pStyle w:val="Sansinterligne"/>
        <w:rPr>
          <w:rFonts w:ascii="Garamond" w:hAnsi="Garamond"/>
          <w:lang w:val="en-GB"/>
        </w:rPr>
      </w:pPr>
      <w:r w:rsidRPr="00BA623D">
        <w:rPr>
          <w:rFonts w:ascii="Garamond" w:hAnsi="Garamond"/>
          <w:lang w:val="en-GB"/>
        </w:rPr>
        <w:t>Sind ähnliche Vorgänge, wie wir sie hier als Technik des Witzes beschrieben haben, auf irgendeinem anderen Gebiete des seelischen Geschehens schon bekannt geworden? Allerdings, auf einem einzigen und scheinbar recht weit abliegenden. Im Jahre 1900 habe ich ein Buch veröffentlicht, welches, wie sein Titel ( Die Traumdeutung) besagt, den Versuch macht, das Rätselhafte des Traumes aufzuklären und ihn als Abkömmling normaler seelischer Leistung hinzustellen. Ich finde dort Anlaß, den manifesten, oft sonderbaren, Trauminhalt in Gegensatz zu bringen zu den latenten, aber völlig korrekten Traumgedanken, von denen er abstammt, und gehe auf die Untersuchung der Vorgänge ein, welche aus den latenten Traumgedanken den Traum machen, sowie der psychischen Kräfte, die bei dieser Umwandlung beteiligt sind. Die Gesamtheit der umwandelnden Vorgänge nenne ich die Traumarbeit, und als ein Stück dieser Traumarbeit habe ich einen Verdichtungsvorgang beschrieben, der mit dem der Witztechnik die größte Ähnlichkeit zeigt, wie dieser zur Verkürzung führt und Ersatzbildungen von gleichem Charakter schafft. Jedem werden aus eigener Erinnerung an seine Träume die Mischgebilde von Personen und auch von Objekten bekannt sein, die in den Träumen auftreten; ja, der Traum bildet auch solche von Worten, die sich dann in der Analyse zerlegen lassen (z. B. Autodidasker = Autodidakt + Lasker). Andere Male, und zwar noch viel häufiger, werden von der Verdichtungsarbeit des Traumes nicht Mischgebilde erzeugt, sondern Bilder, die völlig einem Objekt oder einer Person gleichen bis auf eine Zutat oder Abänderung, die aus anderer Quelle stammt, also Modifikationen ganz wie die in den Witzen des Herrn N. Wir können nicht bezweifeln, daß wir hier wie dort den nämlichen psychischen Prozeß vor uns haben, den wir an den identischen Leistungen erkennen dürfen. Eine so weitgehende Analogie der Witztechnik mit der Traumarbeit wird gewiß unser Interesse für die erstere steigern und die Erwartung in uns rege machen, aus einem Vergleich von Witz und Traum manches zur Aufklärung des Witzes zu ziehen. Aber wir enthalten uns, auf diese Arbeit einzugehen, indem wir uns sagen, daß wir die Technik erst bei einer sehr geringen Zahl von Witzen erforscht haben, so daß wir nicht wissen können, ob die Analogie, deren Leitung wir uns überlassen wollen, auch vorhalten wird. Wir wenden uns also von dem Vergleich mit dem Traume ab und kehren zur Witztechnik zurück, lassen an dieser Stelle unserer Untersuchung gleichsam einen Faden heraushängen, den wir vielleicht später wieder aufnehmen werden.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rPr>
      </w:pPr>
      <w:r w:rsidRPr="00BA623D">
        <w:rPr>
          <w:rFonts w:ascii="Garamond" w:hAnsi="Garamond"/>
          <w:lang w:val="en-GB"/>
        </w:rPr>
        <w:t xml:space="preserve">Das nächste, was wir erfahren wollen, ist, ob der Vorgang der Verdichtung mit Ersatzbildung bei allen Witzen nachweisbar ist, so daß er als der allgemeine Charakter der Witztechnik bezeichnet werden kann. </w:t>
      </w:r>
      <w:r w:rsidRPr="00BA623D">
        <w:rPr>
          <w:rFonts w:ascii="Garamond" w:hAnsi="Garamond"/>
          <w:lang w:val="en-GB"/>
        </w:rPr>
        <w:lastRenderedPageBreak/>
        <w:t xml:space="preserve">Ich erinnere mich da an einen Witz, der mir infolge besonderer Umstände im Gedächtnis geblieben ist. Einer der großen Lehrer meiner jungen Jahre, den wir für unbefähigt hielten, einen Witz zu schätzen, wie wir auch nie einen eigenen Witz von ihm gehört hatten, kam eines Tages lachend in das Institut und gab bereitwilliger als sonst Bescheid über den Anlaß seiner heiteren Stimmung. »Ich habe da einen vorzüglichen Witz gelesen. In einem Pariser Salon wurde ein junger Mann eingeführt, der ein Verwandter des großen J. J. Rousseau sein sollte und auch diesen Namen trug. </w:t>
      </w:r>
      <w:r w:rsidRPr="00BA623D">
        <w:rPr>
          <w:rFonts w:ascii="Garamond" w:hAnsi="Garamond"/>
        </w:rPr>
        <w:t>Er war überdies rothaarig. Er benahm sich aber so ungeschickt, daß die Dame des Hauses zu dem Herrn, der ihn eingeführt, als Kritik äußerte: »Vous m'avez fait connaître un jeune homme roux et sot, mais non pas un Rousseau.« Und er lachte von neuem.</w:t>
      </w:r>
    </w:p>
    <w:p w:rsidR="00BA623D" w:rsidRPr="00BA623D" w:rsidRDefault="00BA623D" w:rsidP="00BA623D">
      <w:pPr>
        <w:pStyle w:val="Sansinterligne"/>
        <w:rPr>
          <w:rFonts w:ascii="Garamond" w:hAnsi="Garamond"/>
        </w:rPr>
      </w:pPr>
      <w:r w:rsidRPr="00BA623D">
        <w:rPr>
          <w:rFonts w:ascii="Garamond" w:hAnsi="Garamond"/>
        </w:rPr>
        <w:t>Dies ist nach der Nomenklatur der Autoren ein Klangwitz, und zwar niedriger Sorte, einer, der mit dem Eigennamen spielt, etwa wie der Witz in der Kapuzinade aus Wallensteins Lager, die bekanntlich der Manier des Abraham a Santa Clara nachgebildet ist:</w:t>
      </w:r>
    </w:p>
    <w:p w:rsidR="00BA623D" w:rsidRPr="00BA623D" w:rsidRDefault="00BA623D" w:rsidP="00BA623D">
      <w:pPr>
        <w:pStyle w:val="Sansinterligne"/>
        <w:rPr>
          <w:rFonts w:ascii="Garamond" w:hAnsi="Garamond"/>
        </w:rPr>
      </w:pPr>
      <w:r w:rsidRPr="00BA623D">
        <w:rPr>
          <w:rFonts w:ascii="Garamond" w:hAnsi="Garamond"/>
        </w:rPr>
        <w:t xml:space="preserve">»Läßt sich nennen den Wallenstein, </w:t>
      </w:r>
      <w:r w:rsidRPr="00BA623D">
        <w:rPr>
          <w:rFonts w:ascii="Garamond" w:hAnsi="Garamond"/>
        </w:rPr>
        <w:br/>
        <w:t xml:space="preserve">ja freilich ist er uns allen ein Stein </w:t>
      </w:r>
      <w:r w:rsidRPr="00BA623D">
        <w:rPr>
          <w:rFonts w:ascii="Garamond" w:hAnsi="Garamond"/>
        </w:rPr>
        <w:br/>
        <w:t>des Anstoßes und Ärgernisses.«</w:t>
      </w:r>
    </w:p>
    <w:p w:rsidR="00BA623D" w:rsidRPr="00BA623D" w:rsidRDefault="00BA623D" w:rsidP="00BA623D">
      <w:pPr>
        <w:pStyle w:val="Sansinterligne"/>
        <w:rPr>
          <w:rFonts w:ascii="Garamond" w:hAnsi="Garamond"/>
        </w:rPr>
      </w:pPr>
      <w:r w:rsidRPr="00BA623D">
        <w:rPr>
          <w:rFonts w:ascii="Garamond" w:hAnsi="Garamond"/>
        </w:rPr>
        <w:t>Daß dieser Witz infolge eines anderen Moments doch einer höheren Einschätzung würdig ist, kann erst an späterer Stelle gezeigt werden.</w:t>
      </w:r>
    </w:p>
    <w:p w:rsidR="00BA623D" w:rsidRPr="00BA623D" w:rsidRDefault="00BA623D" w:rsidP="00BA623D">
      <w:pPr>
        <w:pStyle w:val="Sansinterligne"/>
        <w:rPr>
          <w:rFonts w:ascii="Garamond" w:hAnsi="Garamond"/>
          <w:lang w:val="en-GB"/>
        </w:rPr>
      </w:pPr>
      <w:r w:rsidRPr="00BA623D">
        <w:rPr>
          <w:rFonts w:ascii="Garamond" w:hAnsi="Garamond"/>
          <w:lang w:val="en-GB"/>
        </w:rPr>
        <w:t>Welches ist aber die Technik dieses Witzes?</w:t>
      </w:r>
    </w:p>
    <w:p w:rsidR="00BA623D" w:rsidRPr="00BA623D" w:rsidRDefault="00BA623D" w:rsidP="00BA623D">
      <w:pPr>
        <w:pStyle w:val="Sansinterligne"/>
        <w:rPr>
          <w:rFonts w:ascii="Garamond" w:hAnsi="Garamond"/>
          <w:lang w:val="en-GB"/>
        </w:rPr>
      </w:pPr>
      <w:r w:rsidRPr="00BA623D">
        <w:rPr>
          <w:rFonts w:ascii="Garamond" w:hAnsi="Garamond"/>
          <w:lang w:val="en-GB"/>
        </w:rPr>
        <w:t>Da zeigt es sich, daß der Charakter, welchen wir vielleicht hofften allgemein nachzuweisen, schon bei dem ersten neuen Fall versagt. Es liegt hier keine Auslassung, kaum eine Verkürzung vor. Die Dame sagt im Witze selbst fast alles aus, was wir ihren Gedanken unterlegen können. »Sie haben mich auf einen Verwandten von J. J. Rousseau gespannt gemacht, vielleicht einen Geistesverwandten, und siehe da, es ist ein rothaariger dummer Junge, ein roux et sot.« Ich habe da allerdings einen Zusatz, eine Einschaltung machen können, aber dieser Reduktionsversuch hebt den Witz nicht auf. Er bleibt und haftet an dem Gleichklang von ROUSSEAU / ROUX SOT. Damit ist nun erwiesen, daß die Verdichtung mit Ersatzbildung an dem Zustandekommen dieses Witzes keinen Anteil hat.</w:t>
      </w:r>
    </w:p>
    <w:p w:rsidR="00BA623D" w:rsidRPr="00BA623D" w:rsidRDefault="00BA623D" w:rsidP="00BA623D">
      <w:pPr>
        <w:pStyle w:val="Sansinterligne"/>
        <w:rPr>
          <w:rFonts w:ascii="Garamond" w:hAnsi="Garamond"/>
          <w:lang w:val="en-GB"/>
        </w:rPr>
      </w:pPr>
      <w:r w:rsidRPr="00BA623D">
        <w:rPr>
          <w:rFonts w:ascii="Garamond" w:hAnsi="Garamond"/>
          <w:lang w:val="en-GB"/>
        </w:rPr>
        <w:t>Was aber sonst? Neue Versuche zur Reduktion können mich belehren, daß der Witz so lange resistent bleibt, bis der Name Rousseau durch einen anderen ersetzt wird. Ich setze z. B. anstatt desselben Racine ein und sofort hat die Kritik der Dame, die ebenso möglich bleibt wie vorhin, jede Spur von Witz eingebüßt. Nun weiß ich, wo ich die Technik dieses Witzes zu suchen habe, kann aber noch über deren Formulierung schwanken; ich will folgende versuchen: Die Technik des Witzes liegt darin, daß ein und dasselbe Wort – der Name – in zweifacher Verwendung vorkommt, einmal als Ganzes und dann in seine Silben zerteilt wie in einer Scharade.</w:t>
      </w:r>
    </w:p>
    <w:p w:rsidR="00BA623D" w:rsidRPr="00BA623D" w:rsidRDefault="00BA623D" w:rsidP="00BA623D">
      <w:pPr>
        <w:pStyle w:val="Sansinterligne"/>
        <w:rPr>
          <w:rFonts w:ascii="Garamond" w:hAnsi="Garamond"/>
          <w:lang w:val="en-GB"/>
        </w:rPr>
      </w:pPr>
      <w:r w:rsidRPr="00BA623D">
        <w:rPr>
          <w:rFonts w:ascii="Garamond" w:hAnsi="Garamond"/>
          <w:lang w:val="en-GB"/>
        </w:rPr>
        <w:t>Ich kann einige wenige Beispiele anführen, die in ihrer Technik mit diesem identisch sind.</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Mit einem auf der gleichen Technik der zweifachen Verwendung beruhenden Witz soll sich eine italienische Dame für eine taktlose Bemerkung des ersten Napoleon gerächt haben. </w:t>
      </w:r>
      <w:r w:rsidRPr="00BA623D">
        <w:rPr>
          <w:rFonts w:ascii="Garamond" w:hAnsi="Garamond"/>
        </w:rPr>
        <w:t xml:space="preserve">Er sagte ihr auf einem Hofballe, auf ihre Landsleute deutend: » Tutti gli Italiani danzano si male«, und sie erwiderte schlagfertig: »Non tutti, ma buona parte.« </w:t>
      </w:r>
      <w:r w:rsidRPr="00BA623D">
        <w:rPr>
          <w:rFonts w:ascii="Garamond" w:hAnsi="Garamond"/>
          <w:lang w:val="en-GB"/>
        </w:rPr>
        <w:t>(Brill, l. c.)</w:t>
      </w:r>
    </w:p>
    <w:p w:rsidR="00BA623D" w:rsidRPr="00BA623D" w:rsidRDefault="00BA623D" w:rsidP="00BA623D">
      <w:pPr>
        <w:pStyle w:val="Sansinterligne"/>
        <w:rPr>
          <w:rFonts w:ascii="Garamond" w:hAnsi="Garamond"/>
          <w:lang w:val="en-GB"/>
        </w:rPr>
      </w:pPr>
      <w:r w:rsidRPr="00BA623D">
        <w:rPr>
          <w:rFonts w:ascii="Garamond" w:hAnsi="Garamond"/>
          <w:lang w:val="en-GB"/>
        </w:rPr>
        <w:t>(Nach Th. Vischer und K. Fischer.) Als in Berlin einmal die Antigone aufgeführt wurde, fand die Kritik, daß die Aufführung des antiken Charakters entbehrt habe. Der Berliner Witz machte sich diese Kritik in folgender Weise zu eigen: Antik? Oh, nee.</w:t>
      </w:r>
    </w:p>
    <w:p w:rsidR="00BA623D" w:rsidRPr="00BA623D" w:rsidRDefault="00BA623D" w:rsidP="00BA623D">
      <w:pPr>
        <w:pStyle w:val="Sansinterligne"/>
        <w:rPr>
          <w:rFonts w:ascii="Garamond" w:hAnsi="Garamond"/>
          <w:lang w:val="en-GB"/>
        </w:rPr>
      </w:pPr>
      <w:r w:rsidRPr="00BA623D">
        <w:rPr>
          <w:rFonts w:ascii="Garamond" w:hAnsi="Garamond"/>
          <w:lang w:val="en-GB"/>
        </w:rPr>
        <w:t>In ärztlichen Kreisen ist ein analoger Zerteilungswitz heimisch. Wenn man einen seiner jugendlichen Patienten befragte, ob er sich je mit der Masturbation befaßt habe, würde man gewiß keine andere Antwort hören als: O na, nie.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In allen drei Beispielen, die für die Gattung genügen mögen, dieselbe Technik des Witzes. Ein Name wird in ihnen zweimal verwendet, das eine Mal ganz, das andere Mal in seine Silben zerteilt, in welcher Zerteilung seine Silben einen gewissen anderen Sinn ergeben </w:t>
      </w:r>
      <w:hyperlink r:id="rId298" w:anchor="#" w:history="1">
        <w:r w:rsidRPr="00BA623D">
          <w:rPr>
            <w:rFonts w:ascii="Garamond" w:hAnsi="Garamond"/>
            <w:lang w:val="en-GB"/>
          </w:rPr>
          <w:t xml:space="preserve">[Fußnote]Die Güte dieser Witze beruht darauf, daß gleichzeitig ein anderes Mittel der Technik von weit höherer Ordnung zur Anwendung gekommen ist (s. unten). – An dieser Stelle kann ich übrigens auch auf eine Beziehung des Witzes zum Rätsel aufmerksam machen. Der Philosoph Fr. Brentano hat eine Gattung von Rätseln gedichtet, in denen eine kleine Anzahl von Silben zu erraten ist, die, zu einem Worte vereinigt, oder so oder anders zusammengefaßt, einen anderen Sinn ergeben, z. B.: </w:t>
        </w:r>
        <w:r w:rsidRPr="00BA623D">
          <w:rPr>
            <w:rFonts w:ascii="Garamond" w:hAnsi="Garamond"/>
            <w:lang w:val="en-GB"/>
          </w:rPr>
          <w:br/>
        </w:r>
        <w:r w:rsidRPr="00BA623D">
          <w:rPr>
            <w:rFonts w:ascii="Garamond" w:hAnsi="Garamond"/>
            <w:lang w:val="en-GB"/>
          </w:rPr>
          <w:br/>
          <w:t xml:space="preserve">... ließ mich das Platanenblatt ahnen </w:t>
        </w:r>
        <w:r w:rsidRPr="00BA623D">
          <w:rPr>
            <w:rFonts w:ascii="Garamond" w:hAnsi="Garamond"/>
            <w:lang w:val="en-GB"/>
          </w:rPr>
          <w:br/>
        </w:r>
        <w:r w:rsidRPr="00BA623D">
          <w:rPr>
            <w:rFonts w:ascii="Garamond" w:hAnsi="Garamond"/>
            <w:lang w:val="en-GB"/>
          </w:rPr>
          <w:br/>
          <w:t xml:space="preserve">oder: </w:t>
        </w:r>
        <w:r w:rsidRPr="00BA623D">
          <w:rPr>
            <w:rFonts w:ascii="Garamond" w:hAnsi="Garamond"/>
            <w:lang w:val="en-GB"/>
          </w:rPr>
          <w:br/>
        </w:r>
        <w:r w:rsidRPr="00BA623D">
          <w:rPr>
            <w:rFonts w:ascii="Garamond" w:hAnsi="Garamond"/>
            <w:lang w:val="en-GB"/>
          </w:rPr>
          <w:lastRenderedPageBreak/>
          <w:br/>
          <w:t xml:space="preserve">wie du dem Inder hast verschrieben, in der Hast verschrieben? </w:t>
        </w:r>
        <w:r w:rsidRPr="00BA623D">
          <w:rPr>
            <w:rFonts w:ascii="Garamond" w:hAnsi="Garamond"/>
            <w:lang w:val="en-GB"/>
          </w:rPr>
          <w:br/>
        </w:r>
        <w:r w:rsidRPr="00BA623D">
          <w:rPr>
            <w:rFonts w:ascii="Garamond" w:hAnsi="Garamond"/>
            <w:lang w:val="en-GB"/>
          </w:rPr>
          <w:br/>
          <w:t xml:space="preserve">Die zu erratenden Silben werden im Zusammenhang des Satzes durch das entsprechend oft zu wiederholende Füllwort dal ersetzt. Ein Kollege des Philosophen übte eine geistreiche Rache, als er von der Verlobung des in reiferen Jahren stehenden Mannes hörte, indem er fragte: Daldaldal daldaldali (Brentano brennt-a-no?) </w:t>
        </w:r>
        <w:r w:rsidRPr="00BA623D">
          <w:rPr>
            <w:rFonts w:ascii="Garamond" w:hAnsi="Garamond"/>
            <w:lang w:val="en-GB"/>
          </w:rPr>
          <w:br/>
        </w:r>
        <w:r w:rsidRPr="00BA623D">
          <w:rPr>
            <w:rFonts w:ascii="Garamond" w:hAnsi="Garamond"/>
            <w:lang w:val="en-GB"/>
          </w:rPr>
          <w:br/>
          <w:t>Was macht den Unterschied zwischen diesen Daldal-Rätseln und den obenstehenden Witzen? Daß in ersteren die Technik als Bedingung angegeben ist und der Wortlaut erraten werden soll, während in den Witzen der Wortlaut mitgeteilt und die Technik versteckt ist.</w:t>
        </w:r>
      </w:hyperlink>
    </w:p>
    <w:p w:rsidR="00BA623D" w:rsidRPr="00BA623D" w:rsidRDefault="00BA623D" w:rsidP="00BA623D">
      <w:pPr>
        <w:pStyle w:val="Sansinterligne"/>
        <w:rPr>
          <w:rFonts w:ascii="Garamond" w:hAnsi="Garamond"/>
          <w:lang w:val="en-GB"/>
        </w:rPr>
      </w:pPr>
      <w:r w:rsidRPr="00BA623D">
        <w:rPr>
          <w:rFonts w:ascii="Garamond" w:hAnsi="Garamond"/>
          <w:lang w:val="en-GB"/>
        </w:rPr>
        <w:t>Die mehrfache Verwendung desselben Wortes einmal als eines Ganzen und dann der Silben, in die es sich zerfällen läßt, war der erste Fall einer von der Verdichtung abweichenden Technik, der uns begegnet ist. Nach kurzer Besinnung müssen wir aber aus der Fülle der uns zuströmenden Beispiele erraten, daß die neu aufgefundene Technik kaum auf dieses Mittel beschränkt sein dürfte. Es gibt offenbar eine zunächst noch gar nicht übersehbare Anzahl von Möglichkeiten, wie man dasselbe Wort oder dasselbe Material von Worten zur mehrfachen Verwendung in einem Satze ausnützen kann. Sollten uns alle diese Möglichkeiten als technische Mittel des Witzes entgegentreten? Es scheint so zu sein; die nachfolgenden Beispiele von Witzen werden es erweisen.</w:t>
      </w:r>
    </w:p>
    <w:p w:rsidR="00BA623D" w:rsidRPr="00BA623D" w:rsidRDefault="00BA623D" w:rsidP="00BA623D">
      <w:pPr>
        <w:pStyle w:val="Sansinterligne"/>
        <w:rPr>
          <w:rFonts w:ascii="Garamond" w:hAnsi="Garamond"/>
          <w:lang w:val="en-GB"/>
        </w:rPr>
      </w:pPr>
      <w:r w:rsidRPr="00BA623D">
        <w:rPr>
          <w:rFonts w:ascii="Garamond" w:hAnsi="Garamond"/>
          <w:lang w:val="en-GB"/>
        </w:rPr>
        <w:t>Man kann zunächst dasselbe Material von Worten nehmen und nur etwas an der Anordnung derselben ändern. Je geringer die Abänderung ist, je eher man den Eindruck empfängt, verschiedener Sinn sei doch mit denselben Worten gesagt worden, desto besser ist in technischer Hinsicht der Witz.</w:t>
      </w:r>
    </w:p>
    <w:p w:rsidR="00BA623D" w:rsidRPr="00BA623D" w:rsidRDefault="00BA623D" w:rsidP="00BA623D">
      <w:pPr>
        <w:pStyle w:val="Sansinterligne"/>
        <w:rPr>
          <w:rFonts w:ascii="Garamond" w:hAnsi="Garamond"/>
          <w:lang w:val="en-GB"/>
        </w:rPr>
      </w:pPr>
      <w:r w:rsidRPr="00BA623D">
        <w:rPr>
          <w:rFonts w:ascii="Garamond" w:hAnsi="Garamond"/>
          <w:lang w:val="en-GB"/>
        </w:rPr>
        <w:t>D. Spitzer ( Wiener Spaziergänge):</w:t>
      </w:r>
    </w:p>
    <w:p w:rsidR="00BA623D" w:rsidRPr="00BA623D" w:rsidRDefault="00BA623D" w:rsidP="00BA623D">
      <w:pPr>
        <w:pStyle w:val="Sansinterligne"/>
        <w:rPr>
          <w:rFonts w:ascii="Garamond" w:hAnsi="Garamond"/>
          <w:lang w:val="en-GB"/>
        </w:rPr>
      </w:pPr>
      <w:r w:rsidRPr="00BA623D">
        <w:rPr>
          <w:rFonts w:ascii="Garamond" w:hAnsi="Garamond"/>
          <w:lang w:val="en-GB"/>
        </w:rPr>
        <w:t>»Das Ehepaar X lebt auf ziemlich großem Fuße. Nach der Ansicht der einen soll der Mann viel verdient und sich dabei etwas zurückgelegt haben, nach anderen wieder soll sich die Frau etwas zurückgelegt und dabei viel verdient haben.«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 geradezu diabolisch guter Witz! Und mit wie geringen Mitteln er hergestellt ist! Viel verdient – sich etwas zurückgelegt, sich etwas zurückgelegt – viel verdient; es ist eigentlich nichts als eine Umstellung dieser beiden Phrasen, wodurch sich das vom Manne Ausgesagte von dem über die Frau Angedeuteten unterscheidet. Allerdings ist dies auch hier wiederum nicht die ganze Technik dieses Witzes </w:t>
      </w:r>
      <w:hyperlink r:id="rId299" w:anchor="#" w:history="1">
        <w:r w:rsidRPr="00BA623D">
          <w:rPr>
            <w:rFonts w:ascii="Garamond" w:hAnsi="Garamond"/>
            <w:lang w:val="en-GB"/>
          </w:rPr>
          <w:t>[Fußnote]Ebensowenig wie in dem vortrefflichen, bei Brill angeführten Witz von Oliver Wendell Holmes: » Put not your trust in money, but put your money in trust.« Es wird hier ein Widerspruch angekündigt, der nicht erfolgt. Der zweite Teil des Satzes nimmt diesen Widerspruch zurück. Übrigens ein gutes Beispiel für die Unübersetzbarkeit der Witze von solcher Technik.</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Ein reicher Spielraum eröffnet sich der Witztechnik, wenn man die » mehrfache Verwendung des gleichen Materials« dahin ausdehnt, daß das Wort – oder die Worte –, an denen der Witz haftet, das eine Mal unverändert, das andere Mal mit einer kleinen Modifikation gebraucht werden dürfe.</w:t>
      </w:r>
    </w:p>
    <w:p w:rsidR="00BA623D" w:rsidRPr="00BA623D" w:rsidRDefault="00BA623D" w:rsidP="00BA623D">
      <w:pPr>
        <w:pStyle w:val="Sansinterligne"/>
        <w:rPr>
          <w:rFonts w:ascii="Garamond" w:hAnsi="Garamond"/>
          <w:lang w:val="en-GB"/>
        </w:rPr>
      </w:pPr>
      <w:r w:rsidRPr="00BA623D">
        <w:rPr>
          <w:rFonts w:ascii="Garamond" w:hAnsi="Garamond"/>
          <w:lang w:val="en-GB"/>
        </w:rPr>
        <w:t>Z. B. ein anderer Witz des Herrn N.:</w:t>
      </w:r>
    </w:p>
    <w:p w:rsidR="00BA623D" w:rsidRPr="00BA623D" w:rsidRDefault="00BA623D" w:rsidP="00BA623D">
      <w:pPr>
        <w:pStyle w:val="Sansinterligne"/>
        <w:rPr>
          <w:rFonts w:ascii="Garamond" w:hAnsi="Garamond"/>
          <w:lang w:val="en-GB"/>
        </w:rPr>
      </w:pPr>
      <w:r w:rsidRPr="00BA623D">
        <w:rPr>
          <w:rFonts w:ascii="Garamond" w:hAnsi="Garamond"/>
          <w:lang w:val="en-GB"/>
        </w:rPr>
        <w:t>Er hört von einem Herrn, der selbst als Jude geboren ist, eine gehässige Äußerung über jüdisches Wesen. »Herr Hofrat«, meint er, »Ihr Antesemitismus war mir bekannt, Ihr Antisemitismus ist mir neu.«</w:t>
      </w:r>
    </w:p>
    <w:p w:rsidR="00BA623D" w:rsidRPr="00BA623D" w:rsidRDefault="00BA623D" w:rsidP="00BA623D">
      <w:pPr>
        <w:pStyle w:val="Sansinterligne"/>
        <w:rPr>
          <w:rFonts w:ascii="Garamond" w:hAnsi="Garamond"/>
          <w:lang w:val="en-GB"/>
        </w:rPr>
      </w:pPr>
      <w:r w:rsidRPr="00BA623D">
        <w:rPr>
          <w:rFonts w:ascii="Garamond" w:hAnsi="Garamond"/>
          <w:lang w:val="en-GB"/>
        </w:rPr>
        <w:t>Hier ist nur ein einziger Buchstabe verändert, dessen Modifikation bei sorgloser Aussprache kaum bemerkt wird. Das Beispiel erinnert an die anderen Modifikationswitze des Herrn N. (s. S. 21 ), aber zum Unterschiede von ihnen fehlt ihm die Verdichtung; es ist im Witze selbst alles gesagt, was gesagt werden soll. »Ich weiß, daß Sie früher selbst Jude waren; es wundert mich also, daß gerade Sie über Juden schimpfen.«</w:t>
      </w:r>
    </w:p>
    <w:p w:rsidR="00BA623D" w:rsidRPr="00BA623D" w:rsidRDefault="00BA623D" w:rsidP="00BA623D">
      <w:pPr>
        <w:pStyle w:val="Sansinterligne"/>
        <w:rPr>
          <w:rFonts w:ascii="Garamond" w:hAnsi="Garamond"/>
          <w:lang w:val="en-GB"/>
        </w:rPr>
      </w:pPr>
      <w:r w:rsidRPr="00BA623D">
        <w:rPr>
          <w:rFonts w:ascii="Garamond" w:hAnsi="Garamond"/>
          <w:lang w:val="en-GB"/>
        </w:rPr>
        <w:t>Ein vortreffliches Beispiel eines solchen Modifikationswitzes ist auch der bekannte Ausruf: Traduttore</w:t>
      </w:r>
      <w:hyperlink r:id="rId300" w:anchor="#" w:history="1">
        <w:r w:rsidRPr="00BA623D">
          <w:rPr>
            <w:rFonts w:ascii="Garamond" w:hAnsi="Garamond"/>
            <w:lang w:val="en-GB"/>
          </w:rPr>
          <w:t>[Fußnote]Übersetzer</w:t>
        </w:r>
      </w:hyperlink>
      <w:r w:rsidRPr="00BA623D">
        <w:rPr>
          <w:rFonts w:ascii="Garamond" w:hAnsi="Garamond"/>
          <w:lang w:val="en-GB"/>
        </w:rPr>
        <w:t xml:space="preserve"> – Traditore</w:t>
      </w:r>
      <w:hyperlink r:id="rId301" w:anchor="#" w:history="1">
        <w:r w:rsidRPr="00BA623D">
          <w:rPr>
            <w:rFonts w:ascii="Garamond" w:hAnsi="Garamond"/>
            <w:lang w:val="en-GB"/>
          </w:rPr>
          <w:t>[Fußnote]Verräter</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fast bis zur Identität gehende Ähnlichkeit der beiden Worte ergibt eine sehr eindrucksvolle Darstellung der Notwendigkeit, die den Übersetzer zum Frevler an seinem Autor werden läßt </w:t>
      </w:r>
      <w:hyperlink r:id="rId302" w:anchor="#" w:history="1">
        <w:r w:rsidRPr="00BA623D">
          <w:rPr>
            <w:rFonts w:ascii="Garamond" w:hAnsi="Garamond"/>
            <w:lang w:val="en-GB"/>
          </w:rPr>
          <w:t>[Fußnote]Brill zitiert einen ganz analogen Modifikationswitz: Amantes amentes (Verliebte = Narren).</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Die Mannigfaltigkeit der möglichen leisen Modifikationen ist bei diesen Witzen so groß, daß keiner mehr ganz dem anderen gleicht.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Hier ein Witz, der sich bei einem rechtswissenschaftlichen Examen zugetragen haben soll! </w:t>
      </w:r>
      <w:r w:rsidRPr="00BA623D">
        <w:rPr>
          <w:rFonts w:ascii="Garamond" w:hAnsi="Garamond"/>
        </w:rPr>
        <w:t xml:space="preserve">Der Kandidat soll eine Stelle des Corpus juris übersetzen. »Labeo ait« ... </w:t>
      </w:r>
      <w:r w:rsidRPr="00BA623D">
        <w:rPr>
          <w:rFonts w:ascii="Garamond" w:hAnsi="Garamond"/>
          <w:lang w:val="en-GB"/>
        </w:rPr>
        <w:t xml:space="preserve">Ich falle, sagt er ... Sie fallen, sag' ich, erwidert der Prüfer, und die Prüfung ist zu Ende. Wer den Namen des großen Rechtsgelehrten für eine, zudem falsch erinnerte, Vokabel verkennt, verdient freilich nichts Besseres. Aber die Technik des Witzes liegt in </w:t>
      </w:r>
      <w:r w:rsidRPr="00BA623D">
        <w:rPr>
          <w:rFonts w:ascii="Garamond" w:hAnsi="Garamond"/>
          <w:lang w:val="en-GB"/>
        </w:rPr>
        <w:lastRenderedPageBreak/>
        <w:t>der Verwendung fast der nämlichen Worte, welche die Unwissenheit des Geprüften bezeugen, zu seiner Bestrafung durch den Prüfer. Der Witz ist außerdem ein Beispiel von »Schlagfertigkeit«, deren Technik, wie sich zeigen lassen wird, von der hier erläuterten nicht viel absteht.</w:t>
      </w:r>
    </w:p>
    <w:p w:rsidR="00BA623D" w:rsidRPr="00BA623D" w:rsidRDefault="00BA623D" w:rsidP="00BA623D">
      <w:pPr>
        <w:pStyle w:val="Sansinterligne"/>
        <w:rPr>
          <w:rFonts w:ascii="Garamond" w:hAnsi="Garamond"/>
          <w:lang w:val="en-GB"/>
        </w:rPr>
      </w:pPr>
      <w:r w:rsidRPr="00BA623D">
        <w:rPr>
          <w:rFonts w:ascii="Garamond" w:hAnsi="Garamond"/>
          <w:lang w:val="en-GB"/>
        </w:rPr>
        <w:t>Worte sind ein plastisches Material, mit dem sich allerlei anfangen läßt. Es gibt Worte, welche in gewissen Verwendungen die ursprüngliche volle Bedeutung eingebüßt haben, deren sie sich in anderem Zusammenhange noch erfreuen. In einem Witz von Lichtenberg sind gerade jene Verhältnisse herausgesucht, unter denen die abgeblaßten Worte ihre volle Bedeutung wieder bekommen müssen.</w:t>
      </w:r>
    </w:p>
    <w:p w:rsidR="00BA623D" w:rsidRPr="00BA623D" w:rsidRDefault="00BA623D" w:rsidP="00BA623D">
      <w:pPr>
        <w:pStyle w:val="Sansinterligne"/>
        <w:rPr>
          <w:rFonts w:ascii="Garamond" w:hAnsi="Garamond"/>
          <w:lang w:val="en-GB"/>
        </w:rPr>
      </w:pPr>
      <w:r w:rsidRPr="00BA623D">
        <w:rPr>
          <w:rFonts w:ascii="Garamond" w:hAnsi="Garamond"/>
          <w:lang w:val="en-GB"/>
        </w:rPr>
        <w:t>» Wie geht's?« fragte der Blinde den Lahmen. »Wie Sie sehen«, antwortete der Lahme dem Blinden.</w:t>
      </w:r>
    </w:p>
    <w:p w:rsidR="00BA623D" w:rsidRPr="00BA623D" w:rsidRDefault="00BA623D" w:rsidP="00BA623D">
      <w:pPr>
        <w:pStyle w:val="Sansinterligne"/>
        <w:rPr>
          <w:rFonts w:ascii="Garamond" w:hAnsi="Garamond"/>
          <w:lang w:val="en-GB"/>
        </w:rPr>
      </w:pPr>
      <w:r w:rsidRPr="00BA623D">
        <w:rPr>
          <w:rFonts w:ascii="Garamond" w:hAnsi="Garamond"/>
          <w:lang w:val="en-GB"/>
        </w:rPr>
        <w:t>Es gibt im Deutschen auch Worte, die in anderem Sinne voll und leer genommen werden können, und zwar in mehr als nur einem. Es können nämlich zwei verschiedene Abkömmlinge desselben Stammes, das eine sich zu einem Worte mit voller Bedeutung, das andere sich zu einer abgeblaßten End- oder Anhängesilbe entwickelt haben, und beide doch vollkommen gleich lauten. Der Gleichlaut zwischen einem vollen Wort und einer abgeblaßten Silbe mag auch ein zufälliger sein. In beiden Fällen kann die Witztechnik aus solchen Verhältnissen des Sprachmaterials Nutzen ziehen.</w:t>
      </w:r>
    </w:p>
    <w:p w:rsidR="00BA623D" w:rsidRPr="00BA623D" w:rsidRDefault="00BA623D" w:rsidP="00BA623D">
      <w:pPr>
        <w:pStyle w:val="Sansinterligne"/>
        <w:rPr>
          <w:rFonts w:ascii="Garamond" w:hAnsi="Garamond"/>
          <w:lang w:val="en-GB"/>
        </w:rPr>
      </w:pPr>
      <w:r w:rsidRPr="00BA623D">
        <w:rPr>
          <w:rFonts w:ascii="Garamond" w:hAnsi="Garamond"/>
          <w:lang w:val="en-GB"/>
        </w:rPr>
        <w:t>Schleiermacher wird z. B. ein Witz zugeschrieben, der uns als fast reines Beispiel solcher technischen Mittel wichtig ist: Eifersucht ist eine Leidenschaft, die mit Eifer sucht, was Leiden schafft.</w:t>
      </w:r>
    </w:p>
    <w:p w:rsidR="00BA623D" w:rsidRPr="00BA623D" w:rsidRDefault="00BA623D" w:rsidP="00BA623D">
      <w:pPr>
        <w:pStyle w:val="Sansinterligne"/>
        <w:rPr>
          <w:rFonts w:ascii="Garamond" w:hAnsi="Garamond"/>
          <w:lang w:val="en-GB"/>
        </w:rPr>
      </w:pPr>
      <w:r w:rsidRPr="00BA623D">
        <w:rPr>
          <w:rFonts w:ascii="Garamond" w:hAnsi="Garamond"/>
          <w:lang w:val="en-GB"/>
        </w:rPr>
        <w:t>Dies ist unstreitig witzig, wiewohl nicht gerade kräftig als Witz. Es fallen hier eine Menge von Momenten weg, die uns bei der Analyse anderer Witze irremachen können, solange wir jeden von ihnen vereinzelt in Untersuchung ziehen. Der im Wortlaut ausgedrückte Gedanke ist wertlos; er gibt jedenfalls eine recht ungenügende Definition der Eifersucht. Von »Sinn im Unsinn«, »verborgenem Sinn«, »Verblüffung und Erleuchtung« ist keine Rede. Einen Vorstellungskontrast wird man mit der größten Anstrengung nicht herausfinden, einen Kontrast zwischen den Worten und dem, was sie bedeuten, nur mit großem Zwang. Von einer Verkürzung ist nichts zu finden; der Wortlaut macht im Gegenteil den Eindruck der Weitschweifigkeit. Und doch ist es ein Witz, selbst ein sehr vollkommener. Sein einzig auffälliger Charakter ist gleichzeitig derjenige, mit dessen Aufhebung der Witz verschwindet, nämlich daß hier dieselben Worte eine mehrfache Verwendung erfahren. Man hat dann die Wahl, ob man diesen Witz jener Unterabteilung zurechnen will, in welcher Worte einmal ganz und das andere Mal zerteilt gebraucht werden (wie Rousseau, Antigone), oder jener anderen, in der die volle und die abgeblaßte Bedeutung von Wortbestandteilen die Mannigfaltigkeit herstellen. Außer diesem ist nur noch ein anderes Moment für die Technik des Witzes beachtenswert. Es ist hier ein ungewohnter Zusammenhang hergestellt, eine Art Unifizierung vorgenommen worden, indem die Eifersucht durch ihren eigenen Namen, gleichsam durch sich selbst definiert ist. Auch dies ist, wie wir hier hören werden, eine Technik des Witzes. Diese beiden Momente müssen also für sich hinreichend sein, einer Rede den gesuchten Charakter des Witzes zu geben. Wenn wir uns nun in die Mannigfaltigkeit der »mehrfachen Verwendung« desselben Wortes noch weiter einlassen, so merken wir mit einem Male, daß wir Formen von »Doppelsinn« oder »Wortspiel« vor uns haben, die als Technik des Witzes längst allgemein bekannt und gewürdigt sind. Wozu haben wir uns die Mühe gegeben, etwas neu zu entdecken, was wir aus der seichtesten Abhandlung über den Witz hätten entnehmen können? Wir können zu unserer Rechtfertigung zunächst nur anführen, daß wir an dem nämlichen Phänomen des sprachlichen Ausdrucks doch eine andere Seite hervorheben. Was bei den Autoren den »spielerischen« Charakter des Witzes erweisen soll, fällt bei uns unter den Gesichtspunkt der »mehrfachen Verwendung«.</w:t>
      </w:r>
    </w:p>
    <w:p w:rsidR="00BA623D" w:rsidRPr="00BA623D" w:rsidRDefault="00BA623D" w:rsidP="00BA623D">
      <w:pPr>
        <w:pStyle w:val="Sansinterligne"/>
        <w:rPr>
          <w:rFonts w:ascii="Garamond" w:hAnsi="Garamond"/>
          <w:lang w:val="en-GB"/>
        </w:rPr>
      </w:pPr>
      <w:r w:rsidRPr="00BA623D">
        <w:rPr>
          <w:rFonts w:ascii="Garamond" w:hAnsi="Garamond"/>
          <w:lang w:val="en-GB"/>
        </w:rPr>
        <w:t>Die weiteren Fälle von mehrfacher Verwendung, die man auch als Doppelsinn zu einer neuen, dritten Gruppe vereinigen kann, lassen sich leicht in Unterabteilungen bringen, die freilich nicht durch wesentliche Unterscheidungen voneinander gesondert sind, ebensowenig wie die ganze dritte Gruppe von der zweiten. Da gibt es zunächst</w:t>
      </w:r>
    </w:p>
    <w:p w:rsidR="00BA623D" w:rsidRPr="00BA623D" w:rsidRDefault="00BA623D" w:rsidP="00BA623D">
      <w:pPr>
        <w:pStyle w:val="Sansinterligne"/>
        <w:rPr>
          <w:rFonts w:ascii="Garamond" w:hAnsi="Garamond"/>
          <w:lang w:val="en-GB"/>
        </w:rPr>
      </w:pPr>
      <w:r w:rsidRPr="00BA623D">
        <w:rPr>
          <w:rFonts w:ascii="Garamond" w:hAnsi="Garamond"/>
          <w:lang w:val="en-GB"/>
        </w:rPr>
        <w:t>a) die Fälle von Doppelsinn eines Namens und seiner dinglichen Bedeutung, z. B. » Drück dich aus unserer Gesellschaft ab, Pistol« (bei Shakespeare).</w:t>
      </w:r>
    </w:p>
    <w:p w:rsidR="00BA623D" w:rsidRPr="00BA623D" w:rsidRDefault="00BA623D" w:rsidP="00BA623D">
      <w:pPr>
        <w:pStyle w:val="Sansinterligne"/>
        <w:rPr>
          <w:rFonts w:ascii="Garamond" w:hAnsi="Garamond"/>
          <w:lang w:val="en-GB"/>
        </w:rPr>
      </w:pPr>
      <w:r w:rsidRPr="00BA623D">
        <w:rPr>
          <w:rFonts w:ascii="Garamond" w:hAnsi="Garamond"/>
          <w:lang w:val="en-GB"/>
        </w:rPr>
        <w:t>»Mehr Hof als Freiung«, sagte ein witziger Wiener mit Beziehung auf mehrere schöne Mädchen, die seit Jahren viel gefeiert wurden und noch immer keinen Mann gefunden hatten. »Hof« und »Freiung« sind zwei aneinanderstoßende Plätze im Innern der Stadt Wien.</w:t>
      </w:r>
    </w:p>
    <w:p w:rsidR="00BA623D" w:rsidRPr="00BA623D" w:rsidRDefault="00BA623D" w:rsidP="00BA623D">
      <w:pPr>
        <w:pStyle w:val="Sansinterligne"/>
        <w:rPr>
          <w:rFonts w:ascii="Garamond" w:hAnsi="Garamond"/>
          <w:lang w:val="en-GB"/>
        </w:rPr>
      </w:pPr>
      <w:r w:rsidRPr="00BA623D">
        <w:rPr>
          <w:rFonts w:ascii="Garamond" w:hAnsi="Garamond"/>
          <w:lang w:val="en-GB"/>
        </w:rPr>
        <w:t>Heine: »Hier in Hamburg herrscht nicht der schändliche Macbeth, sondern hier herrscht Banko« (Banquo).</w:t>
      </w:r>
    </w:p>
    <w:p w:rsidR="00BA623D" w:rsidRPr="00BA623D" w:rsidRDefault="00BA623D" w:rsidP="00BA623D">
      <w:pPr>
        <w:pStyle w:val="Sansinterligne"/>
        <w:rPr>
          <w:rFonts w:ascii="Garamond" w:hAnsi="Garamond"/>
          <w:lang w:val="en-GB"/>
        </w:rPr>
      </w:pPr>
      <w:r w:rsidRPr="00BA623D">
        <w:rPr>
          <w:rFonts w:ascii="Garamond" w:hAnsi="Garamond"/>
          <w:lang w:val="en-GB"/>
        </w:rPr>
        <w:t>Wo der unveränderte Name nicht brauchbar – man könnte sagen: nicht mißbrauchbar – ist, kann man mittels einer der uns bekannten kleinen Modifikationen den Doppelsinn aus ihm gewinnen:</w:t>
      </w:r>
    </w:p>
    <w:p w:rsidR="00BA623D" w:rsidRPr="00BA623D" w:rsidRDefault="00BA623D" w:rsidP="00BA623D">
      <w:pPr>
        <w:pStyle w:val="Sansinterligne"/>
        <w:rPr>
          <w:rFonts w:ascii="Garamond" w:hAnsi="Garamond"/>
          <w:lang w:val="en-GB"/>
        </w:rPr>
      </w:pPr>
      <w:r w:rsidRPr="00BA623D">
        <w:rPr>
          <w:rFonts w:ascii="Garamond" w:hAnsi="Garamond"/>
          <w:lang w:val="en-GB"/>
        </w:rPr>
        <w:t>»Weshalb haben die Franzosen den Lohengrin zurückgewiesen?« fragte man in nun überwundenen Zeiten. Die Antwort lautete: »Elsa's (Elsaß) wegen.«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b) den Doppelsinn der sachlichen und metaphorischen Bedeutung eines Wortes, der eine ergiebige Quelle für die Witztechnik ist. Ich zitiere nur ein Beispiel: Ein als Witzbold bekannter ärztlicher Kollege sagte einmal zum Dichter Arthur Schnitzler: »Ich wundere mich nicht, daß du ein großer Dichter geworden bist. Hat doch schon dein Vater seinen Zeitgenossen den Spiegel vorgehalten.« Der Spiegel, den der Vater des Dichters, der berühmte Arzt Dr. Schnitzler, gehandhabt, war der Kehlkopfspiegel; nach einem bekannten Ausspruch Hamlets ist es der Zweck des Schauspieles, also auch des Dichters, der es schafft, »der Natur gleichsam den Spiegel vorzuhalten: der Tugend ihre eigenen Züge, der Schmach ihr eigenes Bild und dem Jahrhundert und Körper der Zeit den Abdruck seiner Gestalt zu zeigen« (III. Akt, 2. Szene).</w:t>
      </w:r>
    </w:p>
    <w:p w:rsidR="00BA623D" w:rsidRPr="00BA623D" w:rsidRDefault="00BA623D" w:rsidP="00BA623D">
      <w:pPr>
        <w:pStyle w:val="Sansinterligne"/>
        <w:rPr>
          <w:rFonts w:ascii="Garamond" w:hAnsi="Garamond"/>
          <w:lang w:val="en-GB"/>
        </w:rPr>
      </w:pPr>
      <w:r w:rsidRPr="00BA623D">
        <w:rPr>
          <w:rFonts w:ascii="Garamond" w:hAnsi="Garamond"/>
          <w:lang w:val="en-GB"/>
        </w:rPr>
        <w:t>c) den eigentlichen Doppelsinn oder das Wortspiel, den sozusagen idealen Fall der mehrfachen Verwendung; dem Wort wird hier nicht Gewalt angetan, es wird nicht in seine Silbenbestandteile zerrissen, es braucht sich keiner Modifikation zu unterziehen, nicht die Sphäre, der es angehört, etwa als Eigenname, mit einer anderen zu vertauschen; ganz so wie es ist und im Gefüge des Satzes steht, darf es dank der Gunst gewisser Umstände zweierlei Sinn aussagen.</w:t>
      </w:r>
    </w:p>
    <w:p w:rsidR="00BA623D" w:rsidRPr="00BA623D" w:rsidRDefault="00BA623D" w:rsidP="00BA623D">
      <w:pPr>
        <w:pStyle w:val="Sansinterligne"/>
        <w:rPr>
          <w:rFonts w:ascii="Garamond" w:hAnsi="Garamond"/>
          <w:lang w:val="en-GB"/>
        </w:rPr>
      </w:pPr>
      <w:r w:rsidRPr="00BA623D">
        <w:rPr>
          <w:rFonts w:ascii="Garamond" w:hAnsi="Garamond"/>
          <w:lang w:val="en-GB"/>
        </w:rPr>
        <w:t>Beispiele stehen hier reichlich zur Verfügung:</w:t>
      </w:r>
    </w:p>
    <w:p w:rsidR="00BA623D" w:rsidRPr="00BA623D" w:rsidRDefault="00BA623D" w:rsidP="00BA623D">
      <w:pPr>
        <w:pStyle w:val="Sansinterligne"/>
        <w:rPr>
          <w:rFonts w:ascii="Garamond" w:hAnsi="Garamond"/>
        </w:rPr>
      </w:pPr>
      <w:r w:rsidRPr="00BA623D">
        <w:rPr>
          <w:rFonts w:ascii="Garamond" w:hAnsi="Garamond"/>
          <w:lang w:val="en-GB"/>
        </w:rPr>
        <w:t xml:space="preserve">(Nach K. Fischer.) Eine der ersten Regentenhandlungen des letzten Napoleon war bekanntlich die Wegnahme der Güter der Orleans. </w:t>
      </w:r>
      <w:r w:rsidRPr="00BA623D">
        <w:rPr>
          <w:rFonts w:ascii="Garamond" w:hAnsi="Garamond"/>
        </w:rPr>
        <w:t>Ein vortreffliches Wortspiel sagte damals: » C'est le premier vol de l'aigle.« » Vol« heißt Flug, aber auch Raub.</w:t>
      </w:r>
    </w:p>
    <w:p w:rsidR="00BA623D" w:rsidRPr="00BA623D" w:rsidRDefault="00BA623D" w:rsidP="00BA623D">
      <w:pPr>
        <w:pStyle w:val="Sansinterligne"/>
        <w:rPr>
          <w:rFonts w:ascii="Garamond" w:hAnsi="Garamond"/>
        </w:rPr>
      </w:pPr>
      <w:r w:rsidRPr="00BA623D">
        <w:rPr>
          <w:rFonts w:ascii="Garamond" w:hAnsi="Garamond"/>
        </w:rPr>
        <w:t>Ludwig XV. wünschte den Witz eines seiner Hofherren, von dessen Talent man ihm erzählt hatte, auf die Probe zu stellen; bei der ersten Gelegenheit befiehlt er dem Kavalier, einen Witz zu machen über ihn selbst; er selbst, der König, wolle » Sujet« dieses Witzes sein. Der Hofmann antwortete mit dem geschickten Bonmot: » Le roi n'est pas sujet.« » Sujet« heißt ja auch Untertan.</w:t>
      </w:r>
    </w:p>
    <w:p w:rsidR="00BA623D" w:rsidRPr="00BA623D" w:rsidRDefault="00BA623D" w:rsidP="00BA623D">
      <w:pPr>
        <w:pStyle w:val="Sansinterligne"/>
        <w:rPr>
          <w:rFonts w:ascii="Garamond" w:hAnsi="Garamond"/>
          <w:lang w:val="en-GB"/>
        </w:rPr>
      </w:pPr>
      <w:r w:rsidRPr="00BA623D">
        <w:rPr>
          <w:rFonts w:ascii="Garamond" w:hAnsi="Garamond"/>
        </w:rPr>
        <w:t xml:space="preserve">Der Arzt, der vom Krankenbett der Frau weggeht, sagt zu dem ihn begleitenden Ehemanne kopfschüttelnd: Die Frau gefällt mir nicht. </w:t>
      </w:r>
      <w:r w:rsidRPr="00BA623D">
        <w:rPr>
          <w:rFonts w:ascii="Garamond" w:hAnsi="Garamond"/>
          <w:lang w:val="en-GB"/>
        </w:rPr>
        <w:t>Mir gefällt sie schon lange nicht, beeilt sich dieser zuzustimmen.</w:t>
      </w:r>
    </w:p>
    <w:p w:rsidR="00BA623D" w:rsidRPr="00BA623D" w:rsidRDefault="00BA623D" w:rsidP="00BA623D">
      <w:pPr>
        <w:pStyle w:val="Sansinterligne"/>
        <w:rPr>
          <w:rFonts w:ascii="Garamond" w:hAnsi="Garamond"/>
          <w:lang w:val="en-GB"/>
        </w:rPr>
      </w:pPr>
      <w:r w:rsidRPr="00BA623D">
        <w:rPr>
          <w:rFonts w:ascii="Garamond" w:hAnsi="Garamond"/>
          <w:lang w:val="en-GB"/>
        </w:rPr>
        <w:t>Der Arzt bezieht sich natürlich auf den Zustand der Frau, er hat aber seine Besorgnis um die Kranke in solchen Worten ausgedrückt, daß der Mann in ihnen die Bestätigung seiner ehelichen Abneigung finden kann.</w:t>
      </w:r>
    </w:p>
    <w:p w:rsidR="00BA623D" w:rsidRPr="00BA623D" w:rsidRDefault="00BA623D" w:rsidP="00BA623D">
      <w:pPr>
        <w:pStyle w:val="Sansinterligne"/>
        <w:rPr>
          <w:rFonts w:ascii="Garamond" w:hAnsi="Garamond"/>
          <w:lang w:val="en-GB"/>
        </w:rPr>
      </w:pPr>
      <w:r w:rsidRPr="00BA623D">
        <w:rPr>
          <w:rFonts w:ascii="Garamond" w:hAnsi="Garamond"/>
          <w:lang w:val="en-GB"/>
        </w:rPr>
        <w:t>Von einer satirischen Komödie sagte Heine: »Diese Satire wäre nicht so bissig geworden, wenn der Dichter mehr zu beißen gehabt hätte.« Dieser Witz ist eher ein Beispiel von metaphorischem und gemeinem Doppelsinn als ein richtiges Wortspiel, aber wem läge daran, hier an scharfen Grenzen festzuhalten?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 anderes gutes Wortspiel wird bei den Autoren (Heymans, Lipps) in einer Form erzählt, durch die ein Verständnis desselben verhindert wird </w:t>
      </w:r>
      <w:hyperlink r:id="rId303" w:anchor="#" w:history="1">
        <w:r w:rsidRPr="00BA623D">
          <w:rPr>
            <w:rFonts w:ascii="Garamond" w:hAnsi="Garamond"/>
            <w:lang w:val="en-GB"/>
          </w:rPr>
          <w:t xml:space="preserve">[Fußnote]»›Wenn Saphir‹, so sagt Heymans, ›einem reichen Gläubiger, dem er einen Besuch abstattet, auf die Frage: Sie kommen wohl um die 300 Gulden, antwortet: Nein, Sie kommen um die 300 Gulden, so ist eben dasjenige, was er meint, in einer sprachlich vollkommen korrekten und auch keineswegs ungewöhnlichen Form ausgedrückt. In der Tat ist es so: Die Antwort Saphirs ist an sich betrachtet in schönster Ordnung. Wir verstehen auch, was er sagen will, nämlich daß er seine Schuld nicht zu bezahlen beabsichtige. Aber Saphir gebraucht dieselben Worte, die vorher von seinem Gläubiger gebraucht wurden. Wir können also nicht umhin, sie auch in dem Sinne zu nehmen, in welchem sie von jenem gebraucht wurden. Und dann hat Saphirs Antwort gar keinen Sinn mehr. Der Gläubiger »kommt« ja überhaupt nicht. Er kann ja auch nicht um die 300 Gulden kommen, d. h.: er kann nicht kommen, um 300 Gulden zu bringen. Zudem hat er als Gläubiger nicht zu bringen, sondern zu fordern. Indem die Worte Saphirs in solcher Weise zugleich als Sinn und als Unsinn erkannt werden, entsteht die Komik« (Lipps, S. 97). </w:t>
        </w:r>
        <w:r w:rsidRPr="00BA623D">
          <w:rPr>
            <w:rFonts w:ascii="Garamond" w:hAnsi="Garamond"/>
            <w:lang w:val="en-GB"/>
          </w:rPr>
          <w:br/>
        </w:r>
        <w:r w:rsidRPr="00BA623D">
          <w:rPr>
            <w:rFonts w:ascii="Garamond" w:hAnsi="Garamond"/>
            <w:lang w:val="en-GB"/>
          </w:rPr>
          <w:br/>
          <w:t>Nach der obenstehenden, zur Aufklärung vollständig wiedergegebenen Fassung ist die Technik dieses Witzes weit einfacher, als Lipps meint. Saphir kommt nicht, um die 300 Gulden zu bringen, sondern um sie erst von dem Reichen zu holen. Somit entfallen die Erörterungen über »Sinn und Unsinn« in diesem Witz.</w:t>
        </w:r>
      </w:hyperlink>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richtige Fassung und Einkleidung fand ich unlängst in einer sonst wenig brauchbaren Sammlung von Witzen </w:t>
      </w:r>
      <w:hyperlink r:id="rId304" w:anchor="#" w:history="1">
        <w:r w:rsidRPr="00BA623D">
          <w:rPr>
            <w:rFonts w:ascii="Garamond" w:hAnsi="Garamond"/>
            <w:lang w:val="en-GB"/>
          </w:rPr>
          <w:t>[Fußnote]Das große Buch der Witze, gesammelt und herausgegeben von Willy Hermann. Berlin 1904.</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»Saphir kam einst mit Rothschild zusammen. Sie hatten kaum ein Weilchen miteinander geplaudert, als Saphir sagte: ›Hören Sie, Rothschild, meine Kasse ist dünn geworden, Sie könnten mir 100 Dukaten pumpen.‹ ›Je nun‹, erwiderte Rothschild, ›darauf soll es mir nicht ankommen, aber nur unter der Bedingung, daß Sie einen Witz machen.‹ ›Darauf soll's mir ebenfalls nicht ankommen‹, versetzte Saphir. </w:t>
      </w:r>
      <w:r w:rsidRPr="00BA623D">
        <w:rPr>
          <w:rFonts w:ascii="Garamond" w:hAnsi="Garamond"/>
          <w:lang w:val="en-GB"/>
        </w:rPr>
        <w:lastRenderedPageBreak/>
        <w:t>›Gut, so kommen Sie morgen auf mein Bureau.‹ Saphir stellte sich pünktlich ein. ›Ach‹, sagte Rothschild, als er den Eintretenden gewahrte. › Sie kommen um Ihre 100 Dukaten.‹ ›Nein‹, erwiderte dieser, › Sie kommen um Ihre 100 Dukaten, da es mir bis zum Jüngsten Tage nicht einfallen wird, sie wieder zu bezahlen.‹«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»Was stellen diese Statuen vor?« fragt ein Fremder einen einheimischen Berliner angesichts einer Front von Denkmälern auf einem öffentlichen Platz. »Je nu«, antwortet dieser, » entweder das rechte oder das linke Bein.« </w:t>
      </w:r>
      <w:hyperlink r:id="rId305" w:anchor="#" w:history="1">
        <w:r w:rsidRPr="00BA623D">
          <w:rPr>
            <w:rFonts w:ascii="Garamond" w:hAnsi="Garamond"/>
            <w:lang w:val="en-GB"/>
          </w:rPr>
          <w:t>[Fußnote]Weiteres zur Analyse dieses Wortspiels siehe unten.</w:t>
        </w:r>
      </w:hyperlink>
    </w:p>
    <w:p w:rsidR="00BA623D" w:rsidRPr="00BA623D" w:rsidRDefault="00BA623D" w:rsidP="00BA623D">
      <w:pPr>
        <w:pStyle w:val="Sansinterligne"/>
        <w:rPr>
          <w:rFonts w:ascii="Garamond" w:hAnsi="Garamond"/>
          <w:lang w:val="en-GB"/>
        </w:rPr>
      </w:pPr>
      <w:r w:rsidRPr="00BA623D">
        <w:rPr>
          <w:rFonts w:ascii="Garamond" w:hAnsi="Garamond"/>
          <w:lang w:val="en-GB"/>
        </w:rPr>
        <w:t>Heine in der Harzreise: »Auch sind mir in diesem Augenblicke nicht alle Studenten namen im Gedächtnisse, und unter den Professoren sind manche, die noch gar keinen Namen haben.«</w:t>
      </w:r>
    </w:p>
    <w:p w:rsidR="00BA623D" w:rsidRPr="00BA623D" w:rsidRDefault="00BA623D" w:rsidP="00BA623D">
      <w:pPr>
        <w:pStyle w:val="Sansinterligne"/>
        <w:rPr>
          <w:rFonts w:ascii="Garamond" w:hAnsi="Garamond"/>
          <w:lang w:val="en-GB"/>
        </w:rPr>
      </w:pPr>
      <w:r w:rsidRPr="00BA623D">
        <w:rPr>
          <w:rFonts w:ascii="Garamond" w:hAnsi="Garamond"/>
          <w:lang w:val="en-GB"/>
        </w:rPr>
        <w:t>Wir üben uns vielleicht in der diagnostischen Differenzierung, wenn wir hier einen anderen allbekannten Professorenwitz anschließen. »Der Unterschied zwischen ordentlichen und außerordentlichen Professoren besteht darin, daß die ordentlichen nichts außerordentliches und die außerordentlichen nichts ordentliches leisten.« Das ist gewiß ein Spiel mit den zwei Bedeutungen der Worte »ordentlich« und »außerordentlich«, in und außer der ordo (dem Stande) einerseits und tüchtig, beziehungsweise hervorragend, anderseits. Die Übereinstimmung dieses Witzes aber mit anderen uns bekanntgewordenen Beispielen mahnt uns daran, daß hier die mehrfache Verwendung weit auffälliger ist als der Doppelsinn. Man hört ja in dem Satz nichts anderes als das immer wiederkehrende » ordentlich«, bald als solches, bald negativ modifiziert (vgl. S. 32). Außerdem ist hier wiederum das Kunststück vollbracht, einen Begriff durch seinen Wortlaut zu definieren (vgl. Eifersucht ist eine Leidenschaft usw.), genauer beschrieben, zwei korrelative Begriffe durcheinander, wenn auch negativ, zu definieren, was eine kunstvolle Verschränkung ergibt. Endlich kann man den Gesichtspunkt der Unifizierung auch hier hervorheben, die Herstellung eines innigeren Zusammenhanges zwischen den Elementen der Aussage, als man nach deren Natur zu erwarten ein Recht hätte.</w:t>
      </w:r>
    </w:p>
    <w:p w:rsidR="00BA623D" w:rsidRPr="00BA623D" w:rsidRDefault="00BA623D" w:rsidP="00BA623D">
      <w:pPr>
        <w:pStyle w:val="Sansinterligne"/>
        <w:rPr>
          <w:rFonts w:ascii="Garamond" w:hAnsi="Garamond"/>
          <w:lang w:val="en-GB"/>
        </w:rPr>
      </w:pPr>
      <w:r w:rsidRPr="00BA623D">
        <w:rPr>
          <w:rFonts w:ascii="Garamond" w:hAnsi="Garamond"/>
          <w:lang w:val="en-GB"/>
        </w:rPr>
        <w:t>Heine in der Harzreise: »Der Pedell Sch. grüßte mich sehr kollegialisch, denn er ist ebenfalls Schriftsteller und hat meiner in seinen halbjährigen Schriften oft erwähnt; wie er mich denn auch außerdem oft zitiert hat, und wenn er mich nicht zu Hause fand, immer so gütig war, die Zitation mit Kreide auf meine Stubentür zu schreiben.«</w:t>
      </w:r>
    </w:p>
    <w:p w:rsidR="00BA623D" w:rsidRPr="00BA623D" w:rsidRDefault="00BA623D" w:rsidP="00BA623D">
      <w:pPr>
        <w:pStyle w:val="Sansinterligne"/>
        <w:rPr>
          <w:rFonts w:ascii="Garamond" w:hAnsi="Garamond"/>
          <w:lang w:val="en-GB"/>
        </w:rPr>
      </w:pPr>
      <w:r w:rsidRPr="00BA623D">
        <w:rPr>
          <w:rFonts w:ascii="Garamond" w:hAnsi="Garamond"/>
          <w:lang w:val="en-GB"/>
        </w:rPr>
        <w:t>Der »Wiener Spaziergänger« Daniel Spitzer fand für einen sozialen Typus, der zur Zeit des Gründertums blühte, die lakonische, aber gewiß auch sehr witzige, biographische Charakteristik:</w:t>
      </w:r>
    </w:p>
    <w:p w:rsidR="00BA623D" w:rsidRPr="00BA623D" w:rsidRDefault="00BA623D" w:rsidP="00BA623D">
      <w:pPr>
        <w:pStyle w:val="Sansinterligne"/>
        <w:rPr>
          <w:rFonts w:ascii="Garamond" w:hAnsi="Garamond"/>
          <w:lang w:val="en-GB"/>
        </w:rPr>
      </w:pPr>
      <w:r w:rsidRPr="00BA623D">
        <w:rPr>
          <w:rFonts w:ascii="Garamond" w:hAnsi="Garamond"/>
        </w:rPr>
        <w:t xml:space="preserve">» Eiserne Stirne – eiserne Kasse – eiserne Krone.« </w:t>
      </w:r>
      <w:r w:rsidRPr="00BA623D">
        <w:rPr>
          <w:rFonts w:ascii="Garamond" w:hAnsi="Garamond"/>
          <w:lang w:val="en-GB"/>
        </w:rPr>
        <w:t>(Letzteres ein Orden, mit dessen Verleihung der Adelsstand verknüpft war.) Eine ganz ausgezeichnete Unifizierung, alles gleichsam aus Eisen! Die verschiedenen, aber nicht sehr auffällig miteinander kontrastierenden Bedeutungen des Beiwortes »eisern« ermöglichen diese »mehrfachen Verwendungen«.</w:t>
      </w:r>
    </w:p>
    <w:p w:rsidR="00BA623D" w:rsidRPr="00BA623D" w:rsidRDefault="00BA623D" w:rsidP="00BA623D">
      <w:pPr>
        <w:pStyle w:val="Sansinterligne"/>
        <w:rPr>
          <w:rFonts w:ascii="Garamond" w:hAnsi="Garamond"/>
          <w:lang w:val="en-GB"/>
        </w:rPr>
      </w:pPr>
      <w:r w:rsidRPr="00BA623D">
        <w:rPr>
          <w:rFonts w:ascii="Garamond" w:hAnsi="Garamond"/>
          <w:lang w:val="en-GB"/>
        </w:rPr>
        <w:t>Ein anderes Wortspiel mag uns den Übergang zu einer neuen Unterart der Doppelsinntechnik erleichtern. Der auf Seite 37 erwähnte witzige Kollege ließ sich zur Zeit des Dreyfushandels den Witz zuschulden kommen:</w:t>
      </w:r>
    </w:p>
    <w:p w:rsidR="00BA623D" w:rsidRPr="00BA623D" w:rsidRDefault="00BA623D" w:rsidP="00BA623D">
      <w:pPr>
        <w:pStyle w:val="Sansinterligne"/>
        <w:rPr>
          <w:rFonts w:ascii="Garamond" w:hAnsi="Garamond"/>
          <w:lang w:val="en-GB"/>
        </w:rPr>
      </w:pPr>
      <w:r w:rsidRPr="00BA623D">
        <w:rPr>
          <w:rFonts w:ascii="Garamond" w:hAnsi="Garamond"/>
          <w:lang w:val="en-GB"/>
        </w:rPr>
        <w:t>»Dieses Mädchen erinnert mich an Dreyfus. Die Armee glaubt nicht an ihre Unschuld.«</w:t>
      </w:r>
    </w:p>
    <w:p w:rsidR="00BA623D" w:rsidRPr="00BA623D" w:rsidRDefault="00BA623D" w:rsidP="00BA623D">
      <w:pPr>
        <w:pStyle w:val="Sansinterligne"/>
        <w:rPr>
          <w:rFonts w:ascii="Garamond" w:hAnsi="Garamond"/>
          <w:lang w:val="en-GB"/>
        </w:rPr>
      </w:pPr>
      <w:r w:rsidRPr="00BA623D">
        <w:rPr>
          <w:rFonts w:ascii="Garamond" w:hAnsi="Garamond"/>
          <w:lang w:val="en-GB"/>
        </w:rPr>
        <w:t>Das Wort »Unschuld«, auf dessen Doppelsinn der Witz aufgebaut ist, hat in dem einen Zusammenhang den gebräuchlichen Sinn mit dem Gegensatz: Verschulden, Verbrechen, in dem anderen aber einen sexuellen Sinn, dessen Gegensatz sexuelle Erfahrung ist. Nun gibt es sehr viele derartige Beispiele von Doppelsinn, und in ihnen allen kommt es für die Wirkung des Witzes ganz besonders auf den sexuellen Sinn an. Man könnte für diese Gruppe etwa die Bezeichnung » Zweideutigkeit« reservieren.</w:t>
      </w:r>
    </w:p>
    <w:p w:rsidR="00BA623D" w:rsidRPr="00BA623D" w:rsidRDefault="00BA623D" w:rsidP="00BA623D">
      <w:pPr>
        <w:pStyle w:val="Sansinterligne"/>
        <w:rPr>
          <w:rFonts w:ascii="Garamond" w:hAnsi="Garamond"/>
          <w:lang w:val="en-GB"/>
        </w:rPr>
      </w:pPr>
      <w:r w:rsidRPr="00BA623D">
        <w:rPr>
          <w:rFonts w:ascii="Garamond" w:hAnsi="Garamond"/>
          <w:lang w:val="en-GB"/>
        </w:rPr>
        <w:t>Ein ausgezeichnetes Beispiel solch eines zweideutigen Witzes ist der auf Seite 32 mitgeteilte von D. Spitzer:</w:t>
      </w:r>
    </w:p>
    <w:p w:rsidR="00BA623D" w:rsidRPr="00BA623D" w:rsidRDefault="00BA623D" w:rsidP="00BA623D">
      <w:pPr>
        <w:pStyle w:val="Sansinterligne"/>
        <w:rPr>
          <w:rFonts w:ascii="Garamond" w:hAnsi="Garamond"/>
          <w:lang w:val="en-GB"/>
        </w:rPr>
      </w:pPr>
      <w:r w:rsidRPr="00BA623D">
        <w:rPr>
          <w:rFonts w:ascii="Garamond" w:hAnsi="Garamond"/>
          <w:lang w:val="en-GB"/>
        </w:rPr>
        <w:t>»Nach der Ansicht der einen soll der Mann viel verdient und sich dabei etwas zurückgelegt haben, nach anderen wieder soll sich die Frau etwas zurückgelegt und dabei viel verdient haben.«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Vergleicht man aber dieses Beispiel von Doppelsinn mit Zweideutigkeit mit anderen, so fällt ein Unterschied ins Auge, der für die Technik nicht ganz belanglos ist. In dem Witz von der »Unschuld« liegt der eine Sinn des Wortes unserem Erfassen ebenso nahe wie der andere; man wüßte wirklich nicht zu unterscheiden, ob die sexuelle oder die nichtsexuelle Bedeutung des Wortes die gebräuchlichere und uns vertrautere ist. Anders in dem Beispiel von D. Spitzer; in diesem ist der eine, banale, Sinn der Worte »sich etwas zurückgelegt« der bei weitem aufdringlichere, verdeckt und versteckt gleichsam den sexuellen Sinn, der einem Arglosen etwa gar entgehen könnte. Setzen wir zum scharfen Gegensatz ein anderes Beispiel von Doppelsinn hin, in dem auf solches Verstecken der sexuellen Bedeutung verzichtet ist, z. B. Heines Charakterschilderung einer gefälligen Dame: »Sie konnte nichts abschlagen außer ihr Wasser.« Es klingt wie eine Zote, der Eindruck des Witzes kommt kaum zur Geltung </w:t>
      </w:r>
      <w:hyperlink r:id="rId306" w:anchor="#" w:history="1">
        <w:r w:rsidRPr="00BA623D">
          <w:rPr>
            <w:rFonts w:ascii="Garamond" w:hAnsi="Garamond"/>
            <w:lang w:val="en-GB"/>
          </w:rPr>
          <w:t xml:space="preserve">[Fußnote]Vgl. hiezu K. Fischer (S. 85), der für solche doppelsinnige Witze, in denen die beiden Bedeutungen nicht gleichmäßig im Vordergründe </w:t>
        </w:r>
        <w:r w:rsidRPr="00BA623D">
          <w:rPr>
            <w:rFonts w:ascii="Garamond" w:hAnsi="Garamond"/>
            <w:lang w:val="en-GB"/>
          </w:rPr>
          <w:lastRenderedPageBreak/>
          <w:t>stehen, sondern die eine hinter der anderen, den Namen »Zweideutigkeit« beansprucht, den ich oben anders verwendet habe. Solche Namengebung ist Sache des Übereinkommens, der Sprachgebrauch hat keine sichere Entscheidung getroffen.</w:t>
        </w:r>
      </w:hyperlink>
      <w:r w:rsidRPr="00BA623D">
        <w:rPr>
          <w:rFonts w:ascii="Garamond" w:hAnsi="Garamond"/>
          <w:lang w:val="en-GB"/>
        </w:rPr>
        <w:t>. Nun kann die Eigentümlichkeit, daß die beiden Bedeutungen des Doppelsinnes uns nicht gleich nahe liegen, auch bei Witzen ohne sexuelle Beziehung vorkommen, sei es, daß der eine Sinn der an sich gebräuchlichere ist, sei es, daß er durch den Zusammenhang mit den anderen Teilen des Satzes vorangestellt wird (z. B. c'est le premier vol de l'aigle); alle diese Fälle schlage ich vor als Doppelsinn mit Anspielung zu bezeichnen.</w:t>
      </w:r>
    </w:p>
    <w:p w:rsidR="00BA623D" w:rsidRPr="00BA623D" w:rsidRDefault="00BA623D" w:rsidP="00BA623D">
      <w:pPr>
        <w:pStyle w:val="Sansinterligne"/>
        <w:rPr>
          <w:rFonts w:ascii="Garamond" w:hAnsi="Garamond"/>
          <w:lang w:val="en-GB"/>
        </w:rPr>
      </w:pPr>
      <w:r w:rsidRPr="00BA623D">
        <w:rPr>
          <w:rFonts w:ascii="Garamond" w:hAnsi="Garamond"/>
          <w:lang w:val="en-GB"/>
        </w:rPr>
        <w:t>Wir haben bis jetzt bereits eine so große Anzahl verschiedener Techniken des Witzes kennengelernt, daß ich fürchten muß, wir könnten die Übersicht über dieselben verlieren. Versuchen wir darum eine Zusammenstellung derselben: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I. Die Verdichtung: </w:t>
      </w:r>
      <w:r w:rsidRPr="00BA623D">
        <w:rPr>
          <w:rFonts w:ascii="Garamond" w:hAnsi="Garamond"/>
          <w:lang w:val="en-GB"/>
        </w:rPr>
        <w:br/>
        <w:t xml:space="preserve">     a. mit Mischwortbildung, </w:t>
      </w:r>
      <w:r w:rsidRPr="00BA623D">
        <w:rPr>
          <w:rFonts w:ascii="Garamond" w:hAnsi="Garamond"/>
          <w:lang w:val="en-GB"/>
        </w:rPr>
        <w:br/>
        <w:t>     b. mit Modifikation.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II. Die Verwendung des nämlichen Materials: </w:t>
      </w:r>
      <w:r w:rsidRPr="00BA623D">
        <w:rPr>
          <w:rFonts w:ascii="Garamond" w:hAnsi="Garamond"/>
          <w:lang w:val="en-GB"/>
        </w:rPr>
        <w:br/>
        <w:t xml:space="preserve">      a. Ganzes und Teile, </w:t>
      </w:r>
      <w:r w:rsidRPr="00BA623D">
        <w:rPr>
          <w:rFonts w:ascii="Garamond" w:hAnsi="Garamond"/>
          <w:lang w:val="en-GB"/>
        </w:rPr>
        <w:br/>
        <w:t xml:space="preserve">      b. Umordnung, </w:t>
      </w:r>
      <w:r w:rsidRPr="00BA623D">
        <w:rPr>
          <w:rFonts w:ascii="Garamond" w:hAnsi="Garamond"/>
          <w:lang w:val="en-GB"/>
        </w:rPr>
        <w:br/>
        <w:t xml:space="preserve">      c. leichte Modifikation, </w:t>
      </w:r>
      <w:r w:rsidRPr="00BA623D">
        <w:rPr>
          <w:rFonts w:ascii="Garamond" w:hAnsi="Garamond"/>
          <w:lang w:val="en-GB"/>
        </w:rPr>
        <w:br/>
        <w:t>      d. dieselben Worte voll und leer.</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III. Doppelsinn: </w:t>
      </w:r>
      <w:r w:rsidRPr="00BA623D">
        <w:rPr>
          <w:rFonts w:ascii="Garamond" w:hAnsi="Garamond"/>
          <w:lang w:val="en-GB"/>
        </w:rPr>
        <w:br/>
        <w:t xml:space="preserve">      a. Name und Sachbedeutung, </w:t>
      </w:r>
      <w:r w:rsidRPr="00BA623D">
        <w:rPr>
          <w:rFonts w:ascii="Garamond" w:hAnsi="Garamond"/>
          <w:lang w:val="en-GB"/>
        </w:rPr>
        <w:br/>
        <w:t xml:space="preserve">      b. metaphorische und sachliche Bedeutung, </w:t>
      </w:r>
      <w:r w:rsidRPr="00BA623D">
        <w:rPr>
          <w:rFonts w:ascii="Garamond" w:hAnsi="Garamond"/>
          <w:lang w:val="en-GB"/>
        </w:rPr>
        <w:br/>
        <w:t xml:space="preserve">      c.eigentlicher Doppelsinn (Wortspiel), </w:t>
      </w:r>
      <w:r w:rsidRPr="00BA623D">
        <w:rPr>
          <w:rFonts w:ascii="Garamond" w:hAnsi="Garamond"/>
          <w:lang w:val="en-GB"/>
        </w:rPr>
        <w:br/>
        <w:t xml:space="preserve">      d. Zweideutigkeit, </w:t>
      </w:r>
      <w:r w:rsidRPr="00BA623D">
        <w:rPr>
          <w:rFonts w:ascii="Garamond" w:hAnsi="Garamond"/>
          <w:lang w:val="en-GB"/>
        </w:rPr>
        <w:br/>
        <w:t>      e. Doppelsinn mit Anspielung.</w:t>
      </w:r>
    </w:p>
    <w:p w:rsidR="00BA623D" w:rsidRPr="00BA623D" w:rsidRDefault="00BA623D" w:rsidP="00BA623D">
      <w:pPr>
        <w:pStyle w:val="Sansinterligne"/>
        <w:rPr>
          <w:rFonts w:ascii="Garamond" w:hAnsi="Garamond"/>
          <w:lang w:val="en-GB"/>
        </w:rPr>
      </w:pPr>
      <w:r w:rsidRPr="00BA623D">
        <w:rPr>
          <w:rFonts w:ascii="Garamond" w:hAnsi="Garamond"/>
          <w:lang w:val="en-GB"/>
        </w:rPr>
        <w:t>Diese Mannigfaltigkeit wirkt verwirrend. Sie könnte uns mißmutig werden lassen, daß wir uns gerade der Beschäftigung mit den technischen Mitteln des Witzes zugewendet haben, und könnte uns argwöhnen lassen, daß wir deren Bedeutung für eine Erkenntnis des Wesentlichen am Witze doch überschätzen. Stände dieser erleichternden Vermutung nicht die eine unabweisbare Tatsache im Wege, daß der Witz jedesmal aufgehoben ist, sobald wir die Leistung dieser Techniken im Ausdruck wegräumen! Wir werden also doch darauf hingewiesen, die Einheit in dieser Mannigfaltigkeit zu suchen. Es müßte möglich sein, alle diese Techniken unter einen Hut zu bringen. Die zweite und dritte Gruppe zu vereinigen ist nicht schwierig, wie wir uns schon gesagt haben. Der Doppelsinn, das Wortspiel ist ja nur der ideale Fall von Verwendung des nämlichen Materials. Letzterer ist dabei offenbar der umfassendere Begriff. Die Beispiele von Zerteilung, Umordnung des gleichen Materials, mehrfacher Verwendung mit leichter Modifikation ( c, d, e) würden sich dem Begriff des Doppelsinnes nicht ohne Zwang unterordnen. Aber welche Gemeinsamkeit gibt es zwischen der Technik der ersten Gruppe – Verdichtung mit Ersatzbildung – und jener der beiden anderen, mehrfache Verwendung des nämlichen Materials?</w:t>
      </w:r>
    </w:p>
    <w:p w:rsidR="00BA623D" w:rsidRPr="00BA623D" w:rsidRDefault="00BA623D" w:rsidP="00BA623D">
      <w:pPr>
        <w:pStyle w:val="Sansinterligne"/>
        <w:rPr>
          <w:rFonts w:ascii="Garamond" w:hAnsi="Garamond"/>
        </w:rPr>
      </w:pPr>
      <w:r w:rsidRPr="00BA623D">
        <w:rPr>
          <w:rFonts w:ascii="Garamond" w:hAnsi="Garamond"/>
          <w:lang w:val="en-GB"/>
        </w:rPr>
        <w:t xml:space="preserve">Nun, eine sehr einfache und deutliche, sollt' ich meinen. Die Verwendung des nämlichen Materials ist ja nur ein Spezialfall der Verdichtung; das Wortspiel ist nichts anderes als eine Verdichtung ohne Ersatzbildung; die Verdichtung bleibt die übergeordnete Kategorie. </w:t>
      </w:r>
      <w:r w:rsidRPr="00BA623D">
        <w:rPr>
          <w:rFonts w:ascii="Garamond" w:hAnsi="Garamond"/>
        </w:rPr>
        <w:t>Eine zusammendrängende oder richtiger ersparende Tendenz beherrscht alle diese Techniken. Es scheint alles Sache der Ökonomie zu sein, wie Prinz Hamlet sagt ( Thrift, thrift, Horatio!).</w:t>
      </w:r>
    </w:p>
    <w:p w:rsidR="00BA623D" w:rsidRPr="00BA623D" w:rsidRDefault="00BA623D" w:rsidP="00BA623D">
      <w:pPr>
        <w:pStyle w:val="Sansinterligne"/>
        <w:rPr>
          <w:rFonts w:ascii="Garamond" w:hAnsi="Garamond"/>
        </w:rPr>
      </w:pPr>
      <w:r w:rsidRPr="00BA623D">
        <w:rPr>
          <w:rFonts w:ascii="Garamond" w:hAnsi="Garamond"/>
          <w:lang w:val="en-GB"/>
        </w:rPr>
        <w:t xml:space="preserve">Machen wir die Probe auf diese Ersparnis an den einzelnen Beispielen. » </w:t>
      </w:r>
      <w:r w:rsidRPr="00BA623D">
        <w:rPr>
          <w:rFonts w:ascii="Garamond" w:hAnsi="Garamond"/>
        </w:rPr>
        <w:t xml:space="preserve">C'est le premier vol de l'aigle«. Das ist der erste Flug des Adlers. Ja, aber es ist ein Raubausflug. Vol bedeutet zum Glück für die Existenz dieses Witzes sowohl »Flug« als auch »Raub«. </w:t>
      </w:r>
      <w:r w:rsidRPr="00BA623D">
        <w:rPr>
          <w:rFonts w:ascii="Garamond" w:hAnsi="Garamond"/>
          <w:lang w:val="en-GB"/>
        </w:rPr>
        <w:t xml:space="preserve">Ist dabei nichts verdichtet und erspart worden? Gewiß der ganze zweite Gedanke, und zwar ist er ohne Ersatz fallengelassen worden. Der Doppelsinn des Wortes vol macht solchen Ersatz überflüssig, oder ebenso richtig: Das Wort vol enthält den Ersatz für den unterdrückten Gedanken, ohne daß der erste Satz darum einen Zusatz oder eine Abänderung brauchte. </w:t>
      </w:r>
      <w:r w:rsidRPr="00BA623D">
        <w:rPr>
          <w:rFonts w:ascii="Garamond" w:hAnsi="Garamond"/>
        </w:rPr>
        <w:t>Das eben ist die Wohltat des Doppelsinnes.</w:t>
      </w:r>
    </w:p>
    <w:p w:rsidR="00BA623D" w:rsidRPr="00BA623D" w:rsidRDefault="00BA623D" w:rsidP="00BA623D">
      <w:pPr>
        <w:pStyle w:val="Sansinterligne"/>
        <w:rPr>
          <w:rFonts w:ascii="Garamond" w:hAnsi="Garamond"/>
        </w:rPr>
      </w:pPr>
      <w:r w:rsidRPr="00BA623D">
        <w:rPr>
          <w:rFonts w:ascii="Garamond" w:hAnsi="Garamond"/>
        </w:rPr>
        <w:t>Ein anderes Beispiel: Eiserne Stirne – eiserne Kasse – eiserne Krone. Welch außerordentliche Ersparnis gegen eine Ausführung des Gedankens, in welcher der Ausdruck das » eisern« nicht gefunden hätte! »Mit der nötigen Frechheit und Gewissenlosigkeit ist es nicht schwer, ein großes Vermögen zu erwerben, und zur Belohnung für solche Verdienste bleibt natürlich der Adel nicht aus.«</w:t>
      </w:r>
    </w:p>
    <w:p w:rsidR="00BA623D" w:rsidRPr="00BA623D" w:rsidRDefault="00BA623D" w:rsidP="00BA623D">
      <w:pPr>
        <w:pStyle w:val="Sansinterligne"/>
        <w:rPr>
          <w:rFonts w:ascii="Garamond" w:hAnsi="Garamond"/>
        </w:rPr>
      </w:pPr>
      <w:r w:rsidRPr="00BA623D">
        <w:rPr>
          <w:rFonts w:ascii="Garamond" w:hAnsi="Garamond"/>
          <w:lang w:val="en-GB"/>
        </w:rPr>
        <w:t xml:space="preserve">Ja, in diesen Beispielen ist die Verdichtung, also die Ersparnis, unverkennbar. Sie soll aber in allen nachweisbar sein. Wo steckt nun die Ersparnis in solchen Witzen wie Rousseau – roux et sot, Anti-gone – antik? o – nee, in denen wir zuerst die Verdichtung vermißt haben, die uns vor allem bewogen haben, die </w:t>
      </w:r>
      <w:r w:rsidRPr="00BA623D">
        <w:rPr>
          <w:rFonts w:ascii="Garamond" w:hAnsi="Garamond"/>
          <w:lang w:val="en-GB"/>
        </w:rPr>
        <w:lastRenderedPageBreak/>
        <w:t xml:space="preserve">Technik der mehrfachen Verwendung des nämlichen Materials aufzustellen? Hier würden wir allerdings mit der Verdichtung nicht durchkommen, aber wenn wir diese mit dem ihr übergeordneten Begriff der »Ersparnis« vertauschen, geht es ohne Schwierigkeit. Was wir in den Beispielen Rousseau, Antigone usw. ersparen, ist leicht zu sagen. Wir ersparen es, eine Kritik zu äußern, ein Urteil zu bilden, beides ist im Namen selbst schon gegeben. Im Beispiel der Leidenschaft – Eifersucht ersparen wir es uns, eine Definition mühsam zusammenzustellen: Eifersucht, Leidenschaft und – Eifer sucht, Leiden schafft; die Füllworte dazu, und die Definition ist fertig. Ähnliches gilt für alle anderen bisher analysierten Beispiele. Wo am wenigsten erspart wird, wie in dem Wortspiel von Saphir: »Sie kommen um Ihre 100 Dukaten«, da wird wenigstens erspart, den Wortlaut der Antwort neu zu bilden; der Wortlaut der Anrede genügt auch zur Antwort. Es ist wenig, aber nur in diesem Wenigen liegt der Witz. Die mehrfache Verwendung der nämlichen Worte zur Anrede wie zur Antwort gehört gewiß zum »Sparen«. </w:t>
      </w:r>
      <w:r w:rsidRPr="00BA623D">
        <w:rPr>
          <w:rFonts w:ascii="Garamond" w:hAnsi="Garamond"/>
        </w:rPr>
        <w:t>Ganz, wie Hamlet die rasche Aufeinanderfolge des Todes seines Vaters und der Hochzeit seiner Mutter aufgefaßt sehen will:</w:t>
      </w:r>
    </w:p>
    <w:p w:rsidR="00BA623D" w:rsidRPr="00BA623D" w:rsidRDefault="00BA623D" w:rsidP="00BA623D">
      <w:pPr>
        <w:pStyle w:val="Sansinterligne"/>
        <w:rPr>
          <w:rFonts w:ascii="Garamond" w:hAnsi="Garamond"/>
        </w:rPr>
      </w:pPr>
      <w:r w:rsidRPr="00BA623D">
        <w:rPr>
          <w:rFonts w:ascii="Garamond" w:hAnsi="Garamond"/>
        </w:rPr>
        <w:t xml:space="preserve">»Das Gebackene </w:t>
      </w:r>
      <w:r w:rsidRPr="00BA623D">
        <w:rPr>
          <w:rFonts w:ascii="Garamond" w:hAnsi="Garamond"/>
        </w:rPr>
        <w:br/>
        <w:t>Vom Leichenschmaus gab kalte Hochzeitsschüsseln.«</w:t>
      </w:r>
    </w:p>
    <w:p w:rsidR="00BA623D" w:rsidRPr="00BA623D" w:rsidRDefault="00BA623D" w:rsidP="00BA623D">
      <w:pPr>
        <w:pStyle w:val="Sansinterligne"/>
        <w:rPr>
          <w:rFonts w:ascii="Garamond" w:hAnsi="Garamond"/>
          <w:lang w:val="en-GB"/>
        </w:rPr>
      </w:pPr>
      <w:r w:rsidRPr="00BA623D">
        <w:rPr>
          <w:rFonts w:ascii="Garamond" w:hAnsi="Garamond"/>
        </w:rPr>
        <w:t xml:space="preserve">Ehe wir aber die »Tendenz zur Ersparnis« als den allgemeinsten Charakter der Witztechnik annehmen und die Fragen stellen, woher sie stammt, was sie bedeutet und wieso der Lustgewinn des Witzes aus ihr entspringt, wollen wir einem Zweifel Raum gönnen, der ein Recht hat, angehört zu werden. Mag es sein, daß jede Witztechnik die Tendenz zeigt, mit dem Ausdruck zu sparen, aber die Beziehung ist nicht umkehrbar. </w:t>
      </w:r>
      <w:r w:rsidRPr="00BA623D">
        <w:rPr>
          <w:rFonts w:ascii="Garamond" w:hAnsi="Garamond"/>
          <w:lang w:val="en-GB"/>
        </w:rPr>
        <w:t>Nicht jede Ersparung am Ausdruck, jede Kürzung, ist darum auch witzig. Wir standen schon einmal an dieser Stelle, damals als wir noch bei jedem Witz den Verdichtungsvorgang nachzuweisen hofften, und damals machten wir uns den berechtigten Einwand, ein Lakonismus sei noch kein Witz. Es müßte also eine besondere Art von Verkürzung und von Ersparnis sein, an welcher der Charakter des Witzes hinge, und solange wir diese Besonderheit nicht kennen, bringt uns die Auffindung des Gemeinsamen in der Witztechnik der Lösung unserer Aufgabe nicht näher. Außerdem finden wir den Mut zu bekennen, daß die Ersparungen, welche die Witztechnik macht, uns nicht zu imponieren vermögen. Sie erinnern vielleicht an die Art, wie manche Hausfrauen sparen, wenn sie, um einen entlegenen Markt aufzusuchen, Zeit und Geld für die Fahrt aufwenden, weil dort das Gemüse um einige Heller wohlfeiler zu haben ist. Was erspart sich der Witz durch seine Technik? Einige neue Worte zusammenzufügen, die sich meist mühelos ergeben hätten; anstatt dessen muß er sich die Mühe geben, das eine Wort aufzusuchen, welches ihm beide Gedanken deckt; ja, er muß oft erst den Ausdruck des einen Gedankens in eine nicht gebräuchliche Form umwandeln, bis diese ihm den Anhalt zur Zusammenfassung mit dem zweiten Gedanken ergeben kann. Wäre es nicht einfacher, leichter und eigentlich sparsamer gewesen, die beiden Gedanken so auszudrücken, wie es sich eben trifft, auch wenn dabei keine Gemeinsamkeit des Ausdruckes zustande kommt? Wird die Ersparnis an geäußerten Worten nicht durch den Aufwand an intellektueller Leistung mehr als aufgehoben? Und wer macht dabei die Ersparung, wem kommt sie zugute?</w:t>
      </w:r>
    </w:p>
    <w:p w:rsidR="00BA623D" w:rsidRPr="00BA623D" w:rsidRDefault="00BA623D" w:rsidP="00BA623D">
      <w:pPr>
        <w:pStyle w:val="Sansinterligne"/>
        <w:rPr>
          <w:rFonts w:ascii="Garamond" w:hAnsi="Garamond"/>
          <w:lang w:val="en-GB"/>
        </w:rPr>
      </w:pPr>
      <w:r w:rsidRPr="00BA623D">
        <w:rPr>
          <w:rFonts w:ascii="Garamond" w:hAnsi="Garamond"/>
          <w:lang w:val="en-GB"/>
        </w:rPr>
        <w:t>Wir können diesen Zweifeln vorläufig entgehen, wenn wir den Zweifel selbst an eine andere Stelle versetzen. Kennen wir wirklich bereits alle Arten der Witztechnik? Es ist sicherlich vorsichtiger, neue Beispiele zu sammeln und der Analyse zu unterziehen.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Wir haben in der Tat einer großen, vielleicht der zahlreichsten Gruppe von Witzen noch nicht gedacht und uns dabei vielleicht durch die Geringschätzung beeinflussen lassen, welche diesen Witzen zuteil geworden ist. Es sind die, welche gemeinhin Kalauer ( calembourgs) genannt werden und für die niedrigste Abart des Wortwitzes gelten, wahrscheinlich, weil sie am »billigsten« sind, mit leichtester Mühe gemacht werden können. Und wirklich stellen sie den mindesten Anspruch an die Technik des Ausdrucks wie das eigentliche Wortspiel den höchsten. Wenn bei letzterem die beiden Bedeutungen in dem identischen und darum meist nur einmal gesetzten Wort ihren Ausdruck finden sollen, so genügt beim Kalauer, daß die zwei Worte für die beiden Bedeutungen durch irgendeine, aber unübersehbare Ähnlichkeit aneinander erinnern, sei es durch eine allgemeine Ähnlichkeit ihrer Struktur, einen reimartigen Gleichklang, die Gemeinsamkeit einiger anlautender Buchstaben u. dgl. Eine Häufung solcher, nicht ganz treffend »Klangwitze« benannter Beispiele findet sich in der Predigt des Kapuziners in Wallensteins Lager:</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»Kümmert sich mehr um den Krug als den Krieg, </w:t>
      </w:r>
      <w:r w:rsidRPr="00BA623D">
        <w:rPr>
          <w:rFonts w:ascii="Garamond" w:hAnsi="Garamond"/>
          <w:lang w:val="en-GB"/>
        </w:rPr>
        <w:br/>
        <w:t>Wetzt lieber den Schnabel als den Sabel,</w:t>
      </w:r>
    </w:p>
    <w:p w:rsidR="00BA623D" w:rsidRPr="00BA623D" w:rsidRDefault="00BA623D" w:rsidP="00BA623D">
      <w:pPr>
        <w:pStyle w:val="Sansinterligne"/>
        <w:rPr>
          <w:rFonts w:ascii="Garamond" w:hAnsi="Garamond"/>
          <w:lang w:val="en-GB"/>
        </w:rPr>
      </w:pPr>
      <w:r w:rsidRPr="00BA623D">
        <w:rPr>
          <w:rFonts w:ascii="Garamond" w:hAnsi="Garamond"/>
          <w:lang w:val="en-GB"/>
        </w:rPr>
        <w:t>Frißt den Ochsen lieber als den Oxenstirn',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 xml:space="preserve">Der Rheinstrom ist geworden zu einem Peinstrom, </w:t>
      </w:r>
      <w:r w:rsidRPr="00BA623D">
        <w:rPr>
          <w:rFonts w:ascii="Garamond" w:hAnsi="Garamond"/>
          <w:lang w:val="en-GB"/>
        </w:rPr>
        <w:br/>
        <w:t xml:space="preserve">Die Klöster sind ausgenommene Nester, </w:t>
      </w:r>
      <w:r w:rsidRPr="00BA623D">
        <w:rPr>
          <w:rFonts w:ascii="Garamond" w:hAnsi="Garamond"/>
          <w:lang w:val="en-GB"/>
        </w:rPr>
        <w:br/>
        <w:t>Die Bistümer sind verwandelt in Wüsttümer</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Und alle die gesegneten deutschen Länder </w:t>
      </w:r>
      <w:r w:rsidRPr="00BA623D">
        <w:rPr>
          <w:rFonts w:ascii="Garamond" w:hAnsi="Garamond"/>
          <w:lang w:val="en-GB"/>
        </w:rPr>
        <w:br/>
        <w:t>Sind verkehrt worden in Elender.«</w:t>
      </w:r>
    </w:p>
    <w:p w:rsidR="00BA623D" w:rsidRPr="00BA623D" w:rsidRDefault="00BA623D" w:rsidP="00BA623D">
      <w:pPr>
        <w:pStyle w:val="Sansinterligne"/>
        <w:rPr>
          <w:rFonts w:ascii="Garamond" w:hAnsi="Garamond"/>
          <w:lang w:val="en-GB"/>
        </w:rPr>
      </w:pPr>
      <w:r w:rsidRPr="00BA623D">
        <w:rPr>
          <w:rFonts w:ascii="Garamond" w:hAnsi="Garamond"/>
          <w:lang w:val="en-GB"/>
        </w:rPr>
        <w:t>Besonders gern modifiziert der Witz einen der Vokale des Wortes, z. B.: Von einem kaiserfeindlichen italienischen Dichter, der dann doch genötigt war, einen deutschen Kaiser in Hexametern zu besingen, sagt Hevesi ( Almanaccando, , S. 87): Da er die Cäsaren nicht auszurotten vermag, merzt er wenigstens die Cäsuren aus.</w:t>
      </w:r>
    </w:p>
    <w:p w:rsidR="00BA623D" w:rsidRPr="00BA623D" w:rsidRDefault="00BA623D" w:rsidP="00BA623D">
      <w:pPr>
        <w:pStyle w:val="Sansinterligne"/>
        <w:rPr>
          <w:rFonts w:ascii="Garamond" w:hAnsi="Garamond"/>
          <w:lang w:val="en-GB"/>
        </w:rPr>
      </w:pPr>
      <w:r w:rsidRPr="00BA623D">
        <w:rPr>
          <w:rFonts w:ascii="Garamond" w:hAnsi="Garamond"/>
          <w:lang w:val="en-GB"/>
        </w:rPr>
        <w:t>Bei der Fülle von Kalauern, die uns zur Verfügung stünden, hat es vielleicht noch ein besonderes Interesse, ein wirklich schlechtes Beispiel hervorzuheben, das Heine zur Last fällt. Nachdem er sich (Buch Le Grand, Kapitel V) durch lange Zeit vor seiner Dame als »indischer Prinz« gebärdet, wirft er dann die Maske ab und gesteht: »Madame! Ich habe Sie belogen ... Ich war ebensowenig jemals in Kalkutta, wie der Kalkutenbraten, den ich gestern mittag gegessen.« Offenbar liegt der Fehler dieses Witzes darin, daß die beiden ähnlichen Worte nicht mehr bloß ähnlich, sondern eigentlich identisch sind. Der Vogel, dessen Braten er gegessen, heißt so, weil er aus dem nämlichen Kalkutta stammt oder stammen soll.</w:t>
      </w:r>
    </w:p>
    <w:p w:rsidR="00BA623D" w:rsidRPr="00BA623D" w:rsidRDefault="00BA623D" w:rsidP="00BA623D">
      <w:pPr>
        <w:pStyle w:val="Sansinterligne"/>
        <w:rPr>
          <w:rFonts w:ascii="Garamond" w:hAnsi="Garamond"/>
          <w:lang w:val="en-GB"/>
        </w:rPr>
      </w:pPr>
      <w:r w:rsidRPr="00BA623D">
        <w:rPr>
          <w:rFonts w:ascii="Garamond" w:hAnsi="Garamond"/>
          <w:lang w:val="en-GB"/>
        </w:rPr>
        <w:t>K. Fischer hat diesen Formen des Witzes große Aufmerksamkeit geschenkt und will sie von den »Wortspielen« scharf getrennt wissen (S. 78). »Das calembourg ist das schlechte Wortspiel, denn es spielt mit dem Wort nicht als Wort, sondern als Klang.« Das Wortspiel aber »geht von dem Klange des Wortes in das Wort selbst ein«. Anderseits zählt er auch Witze wie »famillionär«, Antigone (antik? o nee) usw. zu den Klangwitzen. Ich sehe keine Nötigung, ihm hierin zu folgen. Auch im Wortspiel ist das Wort für uns nur ein Klangbild, mit dem sich dieser oder jener Sinn verbindet. Der Sprachgebrauch macht aber auch hier wieder keine scharfen Unterschiede, und wenn er den »Kalauer« mit Mißachtung, das »Wortspiel« mit einem gewissen Respekt behandelt, so scheinen diese Wertungen durch andere als technische Gesichtspunkte bedingt zu sein. Man achte einmal darauf, welcher Art die Witze sind, die man als »Kalauer« zu hören bekommt. Es gibt Personen, welche die Gabe besitzen, wenn sie in aufgeräumter Stimmung sind, durch längere Zeit jede an sie gerichtete Rede mit einem Kalauer zu beantworten. Einer meiner Freunde, sonst das Muster der Bescheidenheit, wenn seine ernsthaften Leistungen in der Wissenschaft in Rede stehen, pflegt dergleichen auch von sich zu rühmen. Als die Gesellschaft, die er einst so in Atem erhielt, der Verwunderung über seine Ausdauer Ausdruck gab, sagte er: »Ja, ich liege hier auf der Ka-Lauer«, und als man ihn bat endlich aufzuhören, stellte er die Bedingung, daß man ihn zum Poeta Ka-laureatus ernenne. Beides sind aber vortreffliche Verdichtungswitze mit Mischwortbildung. (Ich liege hier auf der Lauer, um Kalauer zu machen.)</w:t>
      </w:r>
    </w:p>
    <w:p w:rsidR="00BA623D" w:rsidRPr="00BA623D" w:rsidRDefault="00BA623D" w:rsidP="00BA623D">
      <w:pPr>
        <w:pStyle w:val="Sansinterligne"/>
        <w:rPr>
          <w:rFonts w:ascii="Garamond" w:hAnsi="Garamond"/>
          <w:lang w:val="en-GB"/>
        </w:rPr>
      </w:pPr>
      <w:r w:rsidRPr="00BA623D">
        <w:rPr>
          <w:rFonts w:ascii="Garamond" w:hAnsi="Garamond"/>
          <w:lang w:val="en-GB"/>
        </w:rPr>
        <w:t>Jedenfalls aber entnehmen wir schon aus den Streitigkeiten über die Abgrenzung von Kalauer und Wortspiel, daß ersterer uns nicht zur Kenntnis einer völlig neuen Witztechnik verhelfen kann. Wenn beim Kalauer auch der Anspruch auf die mehrsinnige Verwendung des nämlichen Materials aufgegeben ist, so fällt doch der Akzent auf das Wiederfinden des Bekannten, auf die Übereinstimmung der beiden dem Kalauer dienenden Worte, und somit ist dieser nur eine Unterart der Gruppe, die im eigentlichen Wortspiel ihren Gipfel erreicht.</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Es gibt aber wirklich Witze, deren Technik fast jegliche Anknüpfung an die der bisher betrachteten Gruppen vermissen läßt.</w:t>
      </w:r>
    </w:p>
    <w:p w:rsidR="00BA623D" w:rsidRPr="00BA623D" w:rsidRDefault="00BA623D" w:rsidP="00BA623D">
      <w:pPr>
        <w:pStyle w:val="Sansinterligne"/>
        <w:rPr>
          <w:rFonts w:ascii="Garamond" w:hAnsi="Garamond"/>
          <w:lang w:val="en-GB"/>
        </w:rPr>
      </w:pPr>
      <w:r w:rsidRPr="00BA623D">
        <w:rPr>
          <w:rFonts w:ascii="Garamond" w:hAnsi="Garamond"/>
          <w:lang w:val="en-GB"/>
        </w:rPr>
        <w:t>Man erzählt von Heine, daß er sich eines Abends in einem Pariser Salon mit dem Dichter Soulié befunden und unterhalten habe, unterdessen tritt einer jener Pariser Geldkönige in den Saal, die man nicht bloß um des Geldes willen mit Midas vergleicht, und sieht sich bald von einer Menge umringt, die ihn mit größter Ehrerbietung behandelt. »Sehen Sie doch«, sagt Soulié zu Heine, »wie dort das neunzehnte Jahrhundert das goldene Kalb anbetet.« Mit einem Blick auf den Gegenstand der Verehrung antwortet Heine, gleichsam berichtigend: » Oh, der muß schon älter sein« (K. Fischer, S. 82–3).</w:t>
      </w:r>
    </w:p>
    <w:p w:rsidR="00BA623D" w:rsidRPr="00BA623D" w:rsidRDefault="00BA623D" w:rsidP="00BA623D">
      <w:pPr>
        <w:pStyle w:val="Sansinterligne"/>
        <w:rPr>
          <w:rFonts w:ascii="Garamond" w:hAnsi="Garamond"/>
          <w:lang w:val="en-GB"/>
        </w:rPr>
      </w:pPr>
      <w:r w:rsidRPr="00BA623D">
        <w:rPr>
          <w:rFonts w:ascii="Garamond" w:hAnsi="Garamond"/>
          <w:lang w:val="en-GB"/>
        </w:rPr>
        <w:t>Worin ist nun die Technik dieses ausgezeichneten Witzes gelegen? In einem Wortspiel, meint K. Fischer: »So kann z. B. das Wort ›goldenes Kalb‹ den Mammon und auch den Götzendienst bedeuten, im ersten Falle ist das Gold, im zweiten das Tierbild die Hauptsache; es kann auch dazu dienen, um nicht eben schmeichelhaft jemand zu bezeichnen, der sehr viel Geld und sehr wenig Verstand hat« (loc. cit.). Wenn wir die Probe machen und den Ausdruck »goldenes Kalb« wegschaffen, heben wir allerdings auch den Witz auf. Wir lassen dann Soulié sagen: »Sehen Sie doch, wie die Leute den dummen Kerl umschwärmen, bloß weil er reich ist«, und das ist freilich gar nicht mehr witzig. Heines Antwort wird dann auch unmöglich.</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Aber wir wollen uns besinnen, daß es ja sich gar nicht um den etwa witzigen Vergleich Souliés, sondern um die Antwort Heines handelt, die gewiß weit witziger ist. Dann haben wir kein Recht, an die Phrase vom goldenen Kalb zu rühren, dieselbe bleibt als Voraussetzung für die Worte Heines bestehen und die Reduktion darf nur diese letzteren betreffen. Wenn wir diese Worte: »Oh, der muß schon älter sein«, ausführen, können wir sie nur etwa so ersetzen: »Oh, das ist kein Kalb mehr, das ist schon ein ausgewachsener Ochs.« Für den Witz Heines erübrigte also, daß er das »goldene Kalb« nicht mehr metaphorisch, sondern persönlich genommen, auf den Geldmenschen selbst bezogen hätte. Wenn dieser Doppelsinn nicht etwa schon in der Meinung Souliés enthalten war!</w:t>
      </w:r>
    </w:p>
    <w:p w:rsidR="00BA623D" w:rsidRPr="00BA623D" w:rsidRDefault="00BA623D" w:rsidP="00BA623D">
      <w:pPr>
        <w:pStyle w:val="Sansinterligne"/>
        <w:rPr>
          <w:rFonts w:ascii="Garamond" w:hAnsi="Garamond"/>
          <w:lang w:val="en-GB"/>
        </w:rPr>
      </w:pPr>
      <w:r w:rsidRPr="00BA623D">
        <w:rPr>
          <w:rFonts w:ascii="Garamond" w:hAnsi="Garamond"/>
          <w:lang w:val="en-GB"/>
        </w:rPr>
        <w:t>Wie aber? Nun glauben wir zu bemerken, daß diese Reduktion den Witz Heines nicht völlig vernichtet, vielmehr dessen Wesentliches unangetastet gelassen habe. Es lautet jetzt so, daß Soulié sagt: »Sehen Sie doch, wie dort das neunzehnte Jahrhundert das goldene Kalb anbetet!« und Heine zur Antwort gibt: »Oh, das ist kein Kalb mehr, das ist schon ein Ochs.« Und in dieser reduzierten Fassung ist es noch immer ein Witz. Eine andere Reduktion der Worte Heines ist aber nicht möglich.</w:t>
      </w:r>
    </w:p>
    <w:p w:rsidR="00BA623D" w:rsidRPr="00BA623D" w:rsidRDefault="00BA623D" w:rsidP="00BA623D">
      <w:pPr>
        <w:pStyle w:val="Sansinterligne"/>
        <w:rPr>
          <w:rFonts w:ascii="Garamond" w:hAnsi="Garamond"/>
          <w:lang w:val="en-GB"/>
        </w:rPr>
      </w:pPr>
      <w:r w:rsidRPr="00BA623D">
        <w:rPr>
          <w:rFonts w:ascii="Garamond" w:hAnsi="Garamond"/>
          <w:lang w:val="en-GB"/>
        </w:rPr>
        <w:t>Schade, daß dieses schöne Beispiel so komplizierte technische Bedingungen enthält. Wir können an ihm zu keiner Klärung kommen, verlassen es darum und suchen uns ein anderes, in dem wir eine innere Verwandtschaft mit dem vorigen zu verspüren glauben.</w:t>
      </w:r>
    </w:p>
    <w:p w:rsidR="00BA623D" w:rsidRPr="00BA623D" w:rsidRDefault="00BA623D" w:rsidP="00BA623D">
      <w:pPr>
        <w:pStyle w:val="Sansinterligne"/>
        <w:rPr>
          <w:rFonts w:ascii="Garamond" w:hAnsi="Garamond"/>
          <w:lang w:val="en-GB"/>
        </w:rPr>
      </w:pPr>
      <w:r w:rsidRPr="00BA623D">
        <w:rPr>
          <w:rFonts w:ascii="Garamond" w:hAnsi="Garamond"/>
          <w:lang w:val="en-GB"/>
        </w:rPr>
        <w:t>Es sei einer der »Badewitze«, welche die Badescheu der Juden in Galizien behandeln. Wir verlangen nämlich keinen Adelsbrief von unseren Beispielen, wir fragen nicht nach ihrer Herkunft, sondern nur nach ihrer Tüchtigkeit, ob sie uns zum Lachen zu bringen vermögen und ob sie unseres theoretischen Interesses würdig sind. Beiden diesen Anforderungen entsprechen aber gerade die Judenwitze am besten.</w:t>
      </w:r>
    </w:p>
    <w:p w:rsidR="00BA623D" w:rsidRPr="00BA623D" w:rsidRDefault="00BA623D" w:rsidP="00BA623D">
      <w:pPr>
        <w:pStyle w:val="Sansinterligne"/>
        <w:rPr>
          <w:rFonts w:ascii="Garamond" w:hAnsi="Garamond"/>
          <w:lang w:val="en-GB"/>
        </w:rPr>
      </w:pPr>
      <w:r w:rsidRPr="00BA623D">
        <w:rPr>
          <w:rFonts w:ascii="Garamond" w:hAnsi="Garamond"/>
          <w:lang w:val="en-GB"/>
        </w:rPr>
        <w:t>Zwei Juden treffen in der Nähe des Badehauses zusammen. » Hast du genommen ein Bad?« fragt der eine. » Wieso?« fragt der andere dagegen, » fehlt eins?«</w:t>
      </w:r>
    </w:p>
    <w:p w:rsidR="00BA623D" w:rsidRPr="00BA623D" w:rsidRDefault="00BA623D" w:rsidP="00BA623D">
      <w:pPr>
        <w:pStyle w:val="Sansinterligne"/>
        <w:rPr>
          <w:rFonts w:ascii="Garamond" w:hAnsi="Garamond"/>
          <w:lang w:val="en-GB"/>
        </w:rPr>
      </w:pPr>
      <w:r w:rsidRPr="00BA623D">
        <w:rPr>
          <w:rFonts w:ascii="Garamond" w:hAnsi="Garamond"/>
          <w:lang w:val="en-GB"/>
        </w:rPr>
        <w:t>Wenn man über einen Witz recht herzlich lacht, ist man nicht gerade in der geeignetsten Disposition, um seiner Technik nachzuforschen. Darum bereitet es einige Schwierigkeiten, sich in diese Analysen hineinzufinden. »Das ist ein komisches Mißverständnis«, drängt sich uns auf. – Gut, aber die Technik dieses Witzes? – Offenbar der doppelsinnige Gebrauch des Wortes nehmen. Für den einen ist »nehmen« das farblos gewordene Hilfswort; für den anderen das Verbum mit unabgeschwächter Bedeutung. Also ein Fall von »voll« und »leer« nehmen desselben Wortes (Gruppe II, f). Ersetzen wir den Ausdruck »ein Bad genommen« durch den gleichwertigen einfacheren »gebadet«, so fällt der Witz weg. Die Antwort paßt nicht mehr. Der Witz haftet also wiederum am Ausdruck »genommen ein Bad«.</w:t>
      </w:r>
    </w:p>
    <w:p w:rsidR="00BA623D" w:rsidRPr="00BA623D" w:rsidRDefault="00BA623D" w:rsidP="00BA623D">
      <w:pPr>
        <w:pStyle w:val="Sansinterligne"/>
        <w:rPr>
          <w:rFonts w:ascii="Garamond" w:hAnsi="Garamond"/>
          <w:lang w:val="en-GB"/>
        </w:rPr>
      </w:pPr>
      <w:r w:rsidRPr="00BA623D">
        <w:rPr>
          <w:rFonts w:ascii="Garamond" w:hAnsi="Garamond"/>
          <w:lang w:val="en-GB"/>
        </w:rPr>
        <w:t>Ganz richtig, doch scheint es, daß auch in diesem Falle die Reduktion an unrichtiger Stelle angesetzt hat. Der Witz liegt nicht in der Frage, sondern in der Antwort, in der Gegenfrage: »Wieso? Fehlt eins?« Und diese Antwort ist ihres Witzes durch keine Erweiterung oder Veränderung, die nur ihren Sinn ungestört läßt, zu berauben. Auch haben wir den Eindruck, daß in der Antwort des zweiten Juden das Übersehen des Bades bedeutsamer ist als das Mißverständnis des Wortes »nehmen«. Aber wir sehen auch hier noch nicht klar und wollen ein drittes Beispiel suchen.</w:t>
      </w:r>
    </w:p>
    <w:p w:rsidR="00BA623D" w:rsidRPr="00BA623D" w:rsidRDefault="00BA623D" w:rsidP="00BA623D">
      <w:pPr>
        <w:pStyle w:val="Sansinterligne"/>
        <w:rPr>
          <w:rFonts w:ascii="Garamond" w:hAnsi="Garamond"/>
          <w:lang w:val="en-GB"/>
        </w:rPr>
      </w:pPr>
      <w:r w:rsidRPr="00BA623D">
        <w:rPr>
          <w:rFonts w:ascii="Garamond" w:hAnsi="Garamond"/>
          <w:lang w:val="en-GB"/>
        </w:rPr>
        <w:t>Wiederum ein Judenwitz, an dem aber nur das Beiwerk jüdisch ist, der Kern ist allgemein menschlich. Gewiß hat auch dieses Beispiel seine unerwünschten Komplikationen, aber zum Glück nicht diejenigen, welche uns bisher klarzusehen verhindert haben.</w:t>
      </w:r>
    </w:p>
    <w:p w:rsidR="00BA623D" w:rsidRPr="00BA623D" w:rsidRDefault="00BA623D" w:rsidP="00BA623D">
      <w:pPr>
        <w:pStyle w:val="Sansinterligne"/>
        <w:rPr>
          <w:rFonts w:ascii="Garamond" w:hAnsi="Garamond"/>
          <w:lang w:val="en-GB"/>
        </w:rPr>
      </w:pPr>
      <w:r w:rsidRPr="00BA623D">
        <w:rPr>
          <w:rFonts w:ascii="Garamond" w:hAnsi="Garamond"/>
          <w:lang w:val="en-GB"/>
        </w:rPr>
        <w:t>»Ein Verarmter hat sich von einem wohlhabenden Bekannten unter vielen Beteuerungen seiner Notlage 25 fl. geborgt. Am selben Tage noch trifft ihn der Gönner im Restaurant vor einer Schüssel Lachs mit Mayonnaise. Er macht ihm Vorwürfe: ›Wie, Sie borgen sich Geld von mir aus und dann bestellen Sie sich Lachs mit Mayonnaise. Dazu haben Sie mein Geld gebraucht?‹ ›Ich verstehe Sie nicht‹, antwortet der Beschuldigte, ›wenn ich kein Geld habe, kann ich nicht essen Lachs mit Mayonnaise, wenn ich Geld habe, darf ich nicht essen Lachs mit Mayonnaise. Also wann soll ich eigentlich essen Lachs mit Mayonnaise?‹«</w:t>
      </w:r>
    </w:p>
    <w:p w:rsidR="00BA623D" w:rsidRPr="00BA623D" w:rsidRDefault="00BA623D" w:rsidP="00BA623D">
      <w:pPr>
        <w:pStyle w:val="Sansinterligne"/>
        <w:rPr>
          <w:rFonts w:ascii="Garamond" w:hAnsi="Garamond"/>
          <w:lang w:val="en-GB"/>
        </w:rPr>
      </w:pPr>
      <w:r w:rsidRPr="00BA623D">
        <w:rPr>
          <w:rFonts w:ascii="Garamond" w:hAnsi="Garamond"/>
          <w:lang w:val="en-GB"/>
        </w:rPr>
        <w:t>Hier ist endlich nichts mehr von Doppelsinn zu entdecken. Auch die Wiederholung von »Lachs mit Mayonnaise« kann nicht die Technik des Witzes enthalten, denn sie ist nicht »mehrfache Verwendung« desselben Materials, sondern durch den Inhalt geforderte wirkliche Wiederholung des Identischen. Wir dürfen vor dieser Analyse eine Weile ratlos bleiben, werden vielleicht zur Ausflucht greifen wollen, der Anekdote, die uns lachen machte, den Charakter des Witzes zu bestreiten.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Was läßt sich sonst Bemerkenswertes über die Antwort des Verarmten sagen? Daß ihr in eigentlich auffälliger Weise der Charakter des Logischen verliehen ist. Mit Unrecht aber, die Antwort ist ja unlogisch. Der Mann verteidigt sich dagegen, daß er das ihm geliehene Geld für den Leckerbissen verwendet hat, und fragt mit einem Schein von Recht – wann er denn eigentlich Lachs essen darf. Aber das ist gar nicht die richtige Antwort; der Geldgeber wirft ihm nicht vor, daß er sich den Lachs gerade an dem Tage gegönnt, an dem er sich das Geld geborgt, sondern mahnt ihn daran, daß er in seinen Verhältnissen </w:t>
      </w:r>
      <w:r w:rsidRPr="00BA623D">
        <w:rPr>
          <w:rFonts w:ascii="Garamond" w:hAnsi="Garamond"/>
          <w:lang w:val="en-GB"/>
        </w:rPr>
        <w:lastRenderedPageBreak/>
        <w:t>überhaupt nicht das Recht habe, an solche Leckerbissen zu denken. Diesen einzig möglichen Sinn des Vorwurfes läßt der verarmte Bonvivant unberücksichtigt, antwortet, als ob er den Vorwurf mißverstanden hätte, auf etwas anderes.</w:t>
      </w:r>
    </w:p>
    <w:p w:rsidR="00BA623D" w:rsidRPr="00BA623D" w:rsidRDefault="00BA623D" w:rsidP="00BA623D">
      <w:pPr>
        <w:pStyle w:val="Sansinterligne"/>
        <w:rPr>
          <w:rFonts w:ascii="Garamond" w:hAnsi="Garamond"/>
          <w:lang w:val="en-GB"/>
        </w:rPr>
      </w:pPr>
      <w:r w:rsidRPr="00BA623D">
        <w:rPr>
          <w:rFonts w:ascii="Garamond" w:hAnsi="Garamond"/>
          <w:lang w:val="en-GB"/>
        </w:rPr>
        <w:t>Wenn nun gerade in dieser Ablenkung der Antwort von dem Sinn des Vorwurfes die Technik dieses Witzes gelegen wäre? Eine ähnliche Veränderung des Standpunktes, Verschiebung des psychischen Akzents wäre dann vielleicht auch in den beiden früheren Beispielen, die wir als verwandt empfunden haben, nachzuweisen.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Siehe da, dieser Nachweis gelingt ganz leicht und deckt in der Tat die Technik dieser Beispiele auf. Soulié macht Heine darauf aufmerksam, daß die Gesellschaft im neunzehnten Jahrhundert das »goldene Kalb« anbetet, geradeso wie einst das Volk der Juden in der Wüste. Dazu paßte eine Antwort von Heine etwa wie: »Ja, so ist die menschliche Natur, die Jahrtausende haben an ihr nichts geändert«, oder irgendetwas anderes Beipflichtendes. Heine lenkt aber in seiner Antwort von dem angeregten Gedanken ab, er antwortet überhaupt nicht darauf, er bedient sich des Doppelsinnes, dessen die Phrase »goldenes Kalb« fähig ist, um einen Seitenweg einzuschlagen, greift den einen Bestandteil der Phrase, das »Kalb«, auf und antwortet, als ob auf dieses der Akzent in der Rede Souliés gefallen wäre: »Oh, das ist kein Kalb mehr« usw. </w:t>
      </w:r>
      <w:hyperlink r:id="rId307" w:anchor="#" w:history="1">
        <w:r w:rsidRPr="00BA623D">
          <w:rPr>
            <w:rFonts w:ascii="Garamond" w:hAnsi="Garamond"/>
            <w:lang w:val="en-GB"/>
          </w:rPr>
          <w:t>[Fußnote]Die Antwort Heines ist eine Kombination von zwei Witztechniken, einer Ablenkung mit einer Anspielung. Er sagt ja nicht direkt: Das ist ein Ochs.</w:t>
        </w:r>
      </w:hyperlink>
    </w:p>
    <w:p w:rsidR="00BA623D" w:rsidRPr="00BA623D" w:rsidRDefault="00BA623D" w:rsidP="00BA623D">
      <w:pPr>
        <w:pStyle w:val="Sansinterligne"/>
        <w:rPr>
          <w:rFonts w:ascii="Garamond" w:hAnsi="Garamond"/>
          <w:lang w:val="en-GB"/>
        </w:rPr>
      </w:pPr>
      <w:r w:rsidRPr="00BA623D">
        <w:rPr>
          <w:rFonts w:ascii="Garamond" w:hAnsi="Garamond"/>
          <w:lang w:val="en-GB"/>
        </w:rPr>
        <w:t>Noch deutlicher ist die Ablenkung im Badewitz. Dieses Beispiel fordert eine graphische Darstellung heraus.</w:t>
      </w:r>
    </w:p>
    <w:p w:rsidR="00BA623D" w:rsidRPr="00BA623D" w:rsidRDefault="00BA623D" w:rsidP="00BA623D">
      <w:pPr>
        <w:pStyle w:val="Sansinterligne"/>
        <w:rPr>
          <w:rFonts w:ascii="Garamond" w:hAnsi="Garamond"/>
          <w:lang w:val="en-GB"/>
        </w:rPr>
      </w:pPr>
      <w:r w:rsidRPr="00BA623D">
        <w:rPr>
          <w:rFonts w:ascii="Garamond" w:hAnsi="Garamond"/>
          <w:lang w:val="en-GB"/>
        </w:rPr>
        <w:t>Der erste fragt: »Hast du genommen ein Bad?« Der Akzent ruht auf dem Element Bad.</w:t>
      </w:r>
    </w:p>
    <w:p w:rsidR="00BA623D" w:rsidRPr="00BA623D" w:rsidRDefault="00BA623D" w:rsidP="00BA623D">
      <w:pPr>
        <w:pStyle w:val="Sansinterligne"/>
        <w:rPr>
          <w:rFonts w:ascii="Garamond" w:hAnsi="Garamond"/>
          <w:lang w:val="en-GB"/>
        </w:rPr>
      </w:pPr>
      <w:r w:rsidRPr="00BA623D">
        <w:rPr>
          <w:rFonts w:ascii="Garamond" w:hAnsi="Garamond"/>
          <w:lang w:val="en-GB"/>
        </w:rPr>
        <w:t>Der zweite antwortet, als hätte die Frage gelautet: »Hast du genommen ein Bad?«</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Der Wortlaut »genommen ein Bad?« soll nur diese Verschiebung des Akzents ermöglichen. Lautete es: »Hast du gebadet?« so wäre ja jede Verschiebung unmöglich. Die unwitzige Antwort wäre dann: »Gebadet? Was meinst du? Ich weiß nicht, was das ist.« Die Technik des Witzes aber liegt in der Verschiebung des Akzents von »Baden« auf »nehmen« </w:t>
      </w:r>
      <w:hyperlink r:id="rId308" w:anchor="#" w:history="1">
        <w:r w:rsidRPr="00BA623D">
          <w:rPr>
            <w:rFonts w:ascii="Garamond" w:hAnsi="Garamond"/>
            <w:lang w:val="en-GB"/>
          </w:rPr>
          <w:t>[Fußnote]Das Wort »nehmen« eignet sich infolge seiner vielseitigen Gebrauchsfähigkeiten sehr gut für die Herstellung von Wortspielen, von denen ich ein reines Beispiel zum Gegensatz gegen den obenstehenden Verschiebungswitz mitteilen will: »Ein bekannter Börsenspekulant und Bankdirektor geht mit einem Freunde über die Ringstraße spazieren. Vor einem Kaffeehaus macht er diesem den Vorschlag: ›Gehen wir hinein und nehmen wir etwas.‹ Der Freund hält ihn zurück: ›Aber Herr Hofrat, es sind doch Leute darin.‹«</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Kehren wir zum Beispiel »Lachs mit Mayonnaise« als dem reinsten zurück. Das Neue an demselben darf uns nach verschiedenen Richtungen beschäftigen. Zunächst müssen wir die hier aufgedeckte Technik mit einem Namen belegen. Ich schlage vor, sie als Verschiebung zu bezeichnen, weil das Wesentliche an ihr die Ablenkung des Gedankenganges, die Verschiebung des psychischen Akzents auf ein anderes als das angefangene Thema ist. Sodann obliegt uns die Untersuchung, in welchem Verhältnis die Verschiebungstechnik zum Ausdruck des Witzes steht. Unser Beispiel (Lachs mit Mayonnaise) läßt uns erkennen, daß der Verschiebungswitz in hohem Grade unabhängig vom wörtlichen Ausdruck ist. Er hängt nicht am Worte, sondern am Gedankengange. Um ihn wegzuschaffen, fruchtet uns keine Ersetzung der Worte bei Festhaltung des Sinnes der Antwort. Die Reduktion ist nur möglich, wenn wir den Gedankengang abändern und den Feinschmecker auf den Vorwurf direkt antworten lassen, welchem er in der Fassung des Witzes ausgewichen ist. Die reduzierte Fassung würde dann lauten: »Was mir schmeckt, kann ich mir nicht versagen, und woher ich das Geld dafür nehme, ist mir gleichgültig. Da haben Sie die Erklärung, warum ich gerade heute Lachs mit Mayonnaise esse, nachdem Sie mir Geld geliehen haben.« – Das wäre aber kein Witz, sondern ein Zynismus.</w:t>
      </w:r>
    </w:p>
    <w:p w:rsidR="00BA623D" w:rsidRPr="00BA623D" w:rsidRDefault="00BA623D" w:rsidP="00BA623D">
      <w:pPr>
        <w:pStyle w:val="Sansinterligne"/>
        <w:rPr>
          <w:rFonts w:ascii="Garamond" w:hAnsi="Garamond"/>
          <w:lang w:val="en-GB"/>
        </w:rPr>
      </w:pPr>
      <w:r w:rsidRPr="00BA623D">
        <w:rPr>
          <w:rFonts w:ascii="Garamond" w:hAnsi="Garamond"/>
          <w:lang w:val="en-GB"/>
        </w:rPr>
        <w:t>Es ist lehrreich, diesen Witz mit einem ihm dem Sinne nach sehr nahestehenden zu vergleichen:</w:t>
      </w:r>
    </w:p>
    <w:p w:rsidR="00BA623D" w:rsidRPr="00BA623D" w:rsidRDefault="00BA623D" w:rsidP="00BA623D">
      <w:pPr>
        <w:pStyle w:val="Sansinterligne"/>
        <w:rPr>
          <w:rFonts w:ascii="Garamond" w:hAnsi="Garamond"/>
          <w:lang w:val="en-GB"/>
        </w:rPr>
      </w:pPr>
      <w:r w:rsidRPr="00BA623D">
        <w:rPr>
          <w:rFonts w:ascii="Garamond" w:hAnsi="Garamond"/>
          <w:lang w:val="en-GB"/>
        </w:rPr>
        <w:t>Ein Mann, der dem Trunk ergeben ist, ernährt sich in einer kleinen Stadt durch Lektionengeben. Sein Laster wird aber allmählich bekannt, und er verliert infolgedessen die meisten seiner Schüler. Ein Freund wird beauftragt, ihn zur Besserung zu mahnen. »Sehen Sie, Sie könnten die schönsten Lektionen in der Stadt haben, wenn Sie das Trinken aufgeben wollten. Also tun Sie's doch.« – »Wie kommen Sie mir vor?« ist die entrüstete Antwort. » Ich geb' Lektionen, damit ich trinken kann; soll ich das Trinken aufgeben, damit ich Lektionen bekomme!«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Auch dieser Witz trägt den Anschein von Logik, der uns bei »Lachs mit Mayonnaise« aufgefallen ist, aber er ist kein Verschiebungswitz mehr. Die Antwort ist eine direkte. Der Zynismus, der dort verhüllt ist, wird hier offen eingestanden. – »Das Trinken ist mir ja die Hauptsache.« Die Technik dieses Witzes ist eigentlich recht armselig und kann uns dessen Wirkung nicht erklären, sie liegt nur in der Umordnung des gleichen Materials, strenger genommen in der Umkehrung der Mittel- und Zweck-Relation zwischen dem </w:t>
      </w:r>
      <w:r w:rsidRPr="00BA623D">
        <w:rPr>
          <w:rFonts w:ascii="Garamond" w:hAnsi="Garamond"/>
          <w:lang w:val="en-GB"/>
        </w:rPr>
        <w:lastRenderedPageBreak/>
        <w:t>Trinken und dem Lektionengeben oder -bekommen. Sowie ich in der Reduktion dieses Moment im Ausdruck nicht mehr betone, habe ich den Witz verwischt, also etwa so: »Was ist das für unsinnige Zumutung? Mir ist doch das Trinken die Hauptsache, nicht die Lektionen. Die Lektionen sind für mich doch nur ein Mittel, um weitertrinken zu können.« Der Witz haftete also wirklich am Ausdruck.</w:t>
      </w:r>
    </w:p>
    <w:p w:rsidR="00BA623D" w:rsidRPr="00BA623D" w:rsidRDefault="00BA623D" w:rsidP="00BA623D">
      <w:pPr>
        <w:pStyle w:val="Sansinterligne"/>
        <w:rPr>
          <w:rFonts w:ascii="Garamond" w:hAnsi="Garamond"/>
          <w:lang w:val="en-GB"/>
        </w:rPr>
      </w:pPr>
      <w:r w:rsidRPr="00BA623D">
        <w:rPr>
          <w:rFonts w:ascii="Garamond" w:hAnsi="Garamond"/>
          <w:lang w:val="en-GB"/>
        </w:rPr>
        <w:t>Im Badewitz ist die Abhängigkeit des Witzes vom Wortlaut (Hast du genommen ein Bad?) unverkennbar, und die Abänderung desselben bringt die Aufhebung des Witzes mit sich. Die Technik ist hier nämlich eine kompliziertere, eine Verbindung von Doppelsinn (von der Unterart f) und Verschiebung. Der Wortlaut der Frage läßt einen Doppelsinn zu, und der Witz kommt dadurch zustande, daß die Antwort nicht an den vom Fragesteller beabsichtigten, sondern an den Nebensinn anknüpft. Wir sind demgemäß imstande, eine Reduktion zu finden, welche den Doppelsinn im Ausdruck bestehen läßt und doch den Witz aufhebt, indem wir bloß die Verschiebung rückgängig machen:</w:t>
      </w:r>
    </w:p>
    <w:p w:rsidR="00BA623D" w:rsidRPr="00BA623D" w:rsidRDefault="00BA623D" w:rsidP="00BA623D">
      <w:pPr>
        <w:pStyle w:val="Sansinterligne"/>
        <w:rPr>
          <w:rFonts w:ascii="Garamond" w:hAnsi="Garamond"/>
          <w:lang w:val="en-GB"/>
        </w:rPr>
      </w:pPr>
      <w:r w:rsidRPr="00BA623D">
        <w:rPr>
          <w:rFonts w:ascii="Garamond" w:hAnsi="Garamond"/>
          <w:lang w:val="en-GB"/>
        </w:rPr>
        <w:t>»Hast du genommen ein Bad?« – »Was soll ich genommen haben? Ein Bad? Was ist das?« Das ist aber kein Witz mehr, sondern eine gehässige oder scherzhafte Übertreibung.</w:t>
      </w:r>
    </w:p>
    <w:p w:rsidR="00BA623D" w:rsidRPr="00BA623D" w:rsidRDefault="00BA623D" w:rsidP="00BA623D">
      <w:pPr>
        <w:pStyle w:val="Sansinterligne"/>
        <w:rPr>
          <w:rFonts w:ascii="Garamond" w:hAnsi="Garamond"/>
          <w:lang w:val="en-GB"/>
        </w:rPr>
      </w:pPr>
      <w:r w:rsidRPr="00BA623D">
        <w:rPr>
          <w:rFonts w:ascii="Garamond" w:hAnsi="Garamond"/>
          <w:lang w:val="en-GB"/>
        </w:rPr>
        <w:t>Eine ganz ähnliche Rolle spielt der Doppelsinn im Heineschen Witz über das »goldene Kalb«. Er ermöglicht der Antwort die Ablenkung von dem angeregten Gedankengang, welche im Witz von Lachs mit Mayonnaise ohne solche Anlehnung an den Wortlaut geschieht. In der Reduktion würden die Rede Souliés und die Antwort Heines etwa lauten: »Es erinnert doch lebhaft an die Anbetung des goldenen Kalbes, wie die Gesellschaft hier den Mann, bloß weil er so reich ist, umschwärmt.« Und Heine: »Daß er wegen seines Reichtums so gefeiert wird, finde ich nicht das ärgste. Aber Sie betonen mir zu wenig, daß man ihm wegen seines Reichtums seine Dummheit verzeiht.« Damit wäre bei Erhaltung des Doppelsinnes der Verschiebungswitz aufgehoben.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An dieser Stelle dürfen wir uns auf den Einwand gefaßt machen, daß uns vorgehalten werde, diese heikeln Unterscheidungen suchen auseinanderzureißen, was doch zusammengehöre. Gibt nicht jeder Doppelsinn Anlaß zu einer Verschiebung, zu einer Ablenkung des Gedankenganges von dem einen Sinn zum anderen? Und wir sollten damit einverstanden sein, daß »Doppelsinn« und »Verschiebung« als Repräsentanten zweier ganz verschiedener Typen der Witztechnik aufgestellt werden? Nun, diese Beziehung zwischen Doppelsinn und Verschiebung besteht allerdings, aber sie hat mit unserer Unterscheidung der Witztechniken nichts zu tun. Beim Doppelsinn enthält der Witz nichts als ein mehrfacher Deutung fähiges Wort, welches dem Hörer gestattet, den Übergang von einem Gedanken zu einem anderen zu finden, den man etwa – mit einigem Zwang – einer Verschiebung gleichstellen kann. Beim Verschiebungswitz aber enthält der Witz selbst einen Gedankengang, in dem eine solche Verschiebung vollzogen ist; die Verschiebung gehört hier der Arbeit an, die den Witz hergestellt hat, nicht jener, die zu seinem Verständnis notwendig ist. Sollte uns dieser Unterschied nicht einleuchten, so haben wir an den Reduktionsversuchen ein nie versagendes Mittel, uns denselben greifbar vor Augen zu führen. Einen Wert wollen wir aber jenem Einwand nicht bestreiten. Wir werden durch ihn aufmerksam gemacht, daß wir die psychischen Vorgänge bei der Bildung des Witzes (die Witzarbeit) nicht mit den psychischen Vorgängen bei der Aufnahme des Witzes (die Verständnisarbeit) zusammenwerfen dürfen. Nur die ersteren </w:t>
      </w:r>
      <w:hyperlink r:id="rId309" w:anchor="#" w:history="1">
        <w:r w:rsidRPr="00BA623D">
          <w:rPr>
            <w:rFonts w:ascii="Garamond" w:hAnsi="Garamond"/>
            <w:lang w:val="en-GB"/>
          </w:rPr>
          <w:t>[Fußnote]Über die letzteren siehe die späteren Abschnitte.</w:t>
        </w:r>
      </w:hyperlink>
      <w:r w:rsidRPr="00BA623D">
        <w:rPr>
          <w:rFonts w:ascii="Garamond" w:hAnsi="Garamond"/>
          <w:lang w:val="en-GB"/>
        </w:rPr>
        <w:t xml:space="preserve"> sind der Gegenstand unserer gegenwärtigen Untersuchung </w:t>
      </w:r>
      <w:hyperlink r:id="rId310" w:anchor="#" w:history="1">
        <w:r w:rsidRPr="00BA623D">
          <w:rPr>
            <w:rFonts w:ascii="Garamond" w:hAnsi="Garamond"/>
            <w:lang w:val="en-GB"/>
          </w:rPr>
          <w:t>[Fußnote]Vielleicht sind hier einige Worte zur weiteren Klärung nicht überflüssig: Die Verschiebung findet regelmäßig statt zwischen einer Rede und einer Antwort, welche den Gedankengang nach anderer Richtung fortsetzt, als er in der Rede begonnen wurde. Die Berechtigung, Verschiebung von Doppelsinn zu sondern, geht am schönsten aus den Beispielen hervor, in denen sich beide kombinieren, wo also der Wortlaut der Rede einen Doppelsinn zuläßt, der vom Redner nicht beabsichtigt ist, aber der Antwort den Weg zur Verschiebung weist. (S. die Beispiele.)</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Gibt es noch andere Beispiele der Verschiebungstechnik? Sie sind nicht leicht aufzufinden. Ein ganz reines Beispiel, dem auch die bei unserem Vorbild so sehr überbetonte Logik abgeht, ist folgender Witz:</w:t>
      </w:r>
    </w:p>
    <w:p w:rsidR="00BA623D" w:rsidRPr="00BA623D" w:rsidRDefault="00BA623D" w:rsidP="00BA623D">
      <w:pPr>
        <w:pStyle w:val="Sansinterligne"/>
        <w:rPr>
          <w:rFonts w:ascii="Garamond" w:hAnsi="Garamond"/>
          <w:lang w:val="en-GB"/>
        </w:rPr>
      </w:pPr>
      <w:r w:rsidRPr="00BA623D">
        <w:rPr>
          <w:rFonts w:ascii="Garamond" w:hAnsi="Garamond"/>
          <w:lang w:val="en-GB"/>
        </w:rPr>
        <w:t>Ein Pferdehändler empfiehlt dem Kunden ein Reitpferd: »Wenn Sie dieses Pferd nehmen und sich um 4 Uhr früh aufsetzen, sind Sie um ½7 Uhr in Preßburg.« – »Was mach' ich in Preßburg um ½7 Uhr früh?«</w:t>
      </w:r>
    </w:p>
    <w:p w:rsidR="00BA623D" w:rsidRPr="00BA623D" w:rsidRDefault="00BA623D" w:rsidP="00BA623D">
      <w:pPr>
        <w:pStyle w:val="Sansinterligne"/>
        <w:rPr>
          <w:rFonts w:ascii="Garamond" w:hAnsi="Garamond"/>
          <w:lang w:val="en-GB"/>
        </w:rPr>
      </w:pPr>
      <w:r w:rsidRPr="00BA623D">
        <w:rPr>
          <w:rFonts w:ascii="Garamond" w:hAnsi="Garamond"/>
          <w:lang w:val="en-GB"/>
        </w:rPr>
        <w:t>Die Verschiebung ist hier wohl eklatant. Der Händler erwähnt die frühe Ankunft in der kleinen Stadt offenbar nur in der Absicht, die Leistungsfähigkeit des Pferdes an einer Probe zu beweisen. Der Kunde sieht von dem Leistungsvermögen des Tieres, das er weiter nicht in Zweifel zieht, ab und geht bloß auf die Daten des zur Probe gewählten Beispieles ein. Die Reduktion dieses Witzes ist dann nicht schwer zu geben.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Mehr Schwierigkeiten bietet ein anderes, in seiner Technik recht undurchsichtiges Beispiel, welches sich aber doch als Doppelsinn mit Verschiebung auflösen läßt. Der Witz erzählt von der Ausflucht eines </w:t>
      </w:r>
      <w:r w:rsidRPr="00BA623D">
        <w:rPr>
          <w:rFonts w:ascii="Garamond" w:hAnsi="Garamond"/>
          <w:lang w:val="en-GB"/>
        </w:rPr>
        <w:lastRenderedPageBreak/>
        <w:t>Schadchens (jüdischen Heiratsvermittlers), gehört also zu einer Gruppe, die uns noch mehrfach beschäftigen wird.</w:t>
      </w:r>
    </w:p>
    <w:p w:rsidR="00BA623D" w:rsidRPr="00BA623D" w:rsidRDefault="00BA623D" w:rsidP="00BA623D">
      <w:pPr>
        <w:pStyle w:val="Sansinterligne"/>
        <w:rPr>
          <w:rFonts w:ascii="Garamond" w:hAnsi="Garamond"/>
          <w:lang w:val="en-GB"/>
        </w:rPr>
      </w:pPr>
      <w:r w:rsidRPr="00BA623D">
        <w:rPr>
          <w:rFonts w:ascii="Garamond" w:hAnsi="Garamond"/>
          <w:lang w:val="en-GB"/>
        </w:rPr>
        <w:t>Der Schadchen hat dem Bewerber versichert, daß der Vater des Mädchens nicht mehr am Leben ist. Nach der Verlobung stellt sich heraus, daß der Vater noch lebt und eine Kerkerstrafe abbüßt. Der Bewerber macht nun dem Schadchen Vorwürfe. »Nun«, meint dieser, »was habe ich Ihnen gesagt? Ist denn das ein Leben?«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Der Doppelsinn liegt in dem Worte »Leben«, und die Verschiebung besteht darin, daß der Schadchen sich von dem gemeinen Sinn des Wortes, in dem es den Gegensatz zu »Tod« bildet, auf den Sinn wirft, den das Wort in der Redensart: Das ist kein Leben, hat. Er erklärt dabei seine damalige Äußerung nachträglich für doppelsinnig, obwohl diese mehrfache Bedeutung gerade hier recht fernliegt. Soweit wäre die Technik ähnlich wie im Witz vom »goldenen Kalb« und im »Badewitz«. Aber es ist hier noch ein anderes Moment zu beachten, welches durch seine Vordringlichkeit das Verständnis der Technik stört. Man könnte sagen, dieser Witz sei ein »charakterisierender«, er bemüht sich, die für den Heiratsvermittler charakteristische Mischung von verlogener Dreistigkeit und schlagfertigem Witz durch ein Beispiel zu illustrieren. Wir werden hören, daß dies nur die Schauseite, die Fassade, des Witzes ist; sein Sinn, d. h. seine Absicht ist eine andere. Wir schieben es auch auf, eine Reduktion von ihm zu versuchen </w:t>
      </w:r>
      <w:hyperlink r:id="rId311" w:anchor="#" w:history="1">
        <w:r w:rsidRPr="00BA623D">
          <w:rPr>
            <w:rFonts w:ascii="Garamond" w:hAnsi="Garamond"/>
            <w:lang w:val="en-GB"/>
          </w:rPr>
          <w:t>[Fußnote]S. unten Abschnitt III.</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Nach diesen komplizierten und schwierig zu analysierenden Beispielen wird es uns wiederum Befriedigung bereiten, wenn wir in einem Falle ein völlig reines und durchsichtiges Vorbild eines »Verschiebungswitzes« zu erkennen vermögen. Ein Schnorrer trägt dem reichen Baron seine Bitte um Gewährung einer Unterstützung für die Reise nach Ostende vor; die Ärzte hätten ihm Seebäder zur Herstellung seiner Gesundheit empfohlen. »Gut, ich will Ihnen etwas dazu geben«, meint der Reiche, »aber müssen Sie gerade nach Ostende gehen, dem teuersten aller Seebäder?« – »Herr Baron«, lautet die zurechtweisende Antwort, »für meine Gesundheit ist mir nichts zu teuer.« – Gewiß, ein richtiger Standpunkt, nur eben nicht richtig für den Bittsteller. Die Antwort ist vom Standpunkt eines reichen Mannes gegeben. Der Schnorrer benimmt sich, als wäre es sein eigenes Geld, das er für seine Gesundheit opfern soll, als gingen Geld und Gesundheit die nämliche Person an.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Knüpfen wir nun von neuem an das so lehrreiche Beispiel »Lachs mit Mayonnaise« an. Es kehrte uns gleichfalls eine Schauseite zu, an welcher ein auffälliges Aufgebot von logischer Arbeit zu bemerken war, und wir haben durch die Analyse erfahren, daß diese Logik einen Denkfehler, nämlich eine Verschiebung des Gedankenganges zu verdecken hatte. Von hier aus mögen wir, wenn auch nur auf dem Wege der Kontrastverknüpfung, an andere Witze gemahnt werden, die ganz im Gegenteil etwas Widersinniges, einen Unsinn, eine Dummheit unverhüllt zur Schau stellen. Wir werden neugierig sein, worin die Technik dieser Witze bestehen mag.</w:t>
      </w:r>
    </w:p>
    <w:p w:rsidR="00BA623D" w:rsidRPr="00BA623D" w:rsidRDefault="00BA623D" w:rsidP="00BA623D">
      <w:pPr>
        <w:pStyle w:val="Sansinterligne"/>
        <w:rPr>
          <w:rFonts w:ascii="Garamond" w:hAnsi="Garamond"/>
          <w:lang w:val="en-GB"/>
        </w:rPr>
      </w:pPr>
      <w:r w:rsidRPr="00BA623D">
        <w:rPr>
          <w:rFonts w:ascii="Garamond" w:hAnsi="Garamond"/>
          <w:lang w:val="en-GB"/>
        </w:rPr>
        <w:t>Ich stelle das stärkste und zugleich reinste Beispiel der ganzen Gruppe voran. Es ist wiederum ein Judenwitz.</w:t>
      </w:r>
    </w:p>
    <w:p w:rsidR="00BA623D" w:rsidRPr="00BA623D" w:rsidRDefault="00BA623D" w:rsidP="00BA623D">
      <w:pPr>
        <w:pStyle w:val="Sansinterligne"/>
        <w:rPr>
          <w:rFonts w:ascii="Garamond" w:hAnsi="Garamond"/>
          <w:lang w:val="en-GB"/>
        </w:rPr>
      </w:pPr>
      <w:r w:rsidRPr="00BA623D">
        <w:rPr>
          <w:rFonts w:ascii="Garamond" w:hAnsi="Garamond"/>
          <w:lang w:val="en-GB"/>
        </w:rPr>
        <w:t>Itzig ist zur Artillerie assentiert worden. Er ist offenbar ein intelligenter Bursche, aber ungefügig und ohne Interesse für den Dienst. Einer seiner Vorgesetzten, der ihm wohlgesinnt ist, nimmt ihn beiseite und sagt ihm: »Itzig, du taugst nicht zu uns. Ich will dir einen Rat geben: Kauf dir eine Kanon' und mach' dich selbständig.«</w:t>
      </w:r>
    </w:p>
    <w:p w:rsidR="00BA623D" w:rsidRPr="00BA623D" w:rsidRDefault="00BA623D" w:rsidP="00BA623D">
      <w:pPr>
        <w:pStyle w:val="Sansinterligne"/>
        <w:rPr>
          <w:rFonts w:ascii="Garamond" w:hAnsi="Garamond"/>
          <w:lang w:val="en-GB"/>
        </w:rPr>
      </w:pPr>
      <w:r w:rsidRPr="00BA623D">
        <w:rPr>
          <w:rFonts w:ascii="Garamond" w:hAnsi="Garamond"/>
          <w:lang w:val="en-GB"/>
        </w:rPr>
        <w:t>Der Rat, über den man herzlich lachen kann, ist ein offenbarer Unsinn. Es gibt doch keine Kanonen zu kaufen, und ein einzelner kann sich als Wehrkraft unmöglich selbständig machen, gleichsam »etablieren«. Es kann uns aber keinen Moment zweifelhaft bleiben, daß dieser Rat kein bloßer Unsinn ist, sondern ein witziger Unsinn, ein vorzüglicher Witz. Wodurch wird also der Unsinn zum Witz?</w:t>
      </w:r>
    </w:p>
    <w:p w:rsidR="00BA623D" w:rsidRPr="00BA623D" w:rsidRDefault="00BA623D" w:rsidP="00BA623D">
      <w:pPr>
        <w:pStyle w:val="Sansinterligne"/>
        <w:rPr>
          <w:rFonts w:ascii="Garamond" w:hAnsi="Garamond"/>
          <w:lang w:val="en-GB"/>
        </w:rPr>
      </w:pPr>
      <w:r w:rsidRPr="00BA623D">
        <w:rPr>
          <w:rFonts w:ascii="Garamond" w:hAnsi="Garamond"/>
          <w:lang w:val="en-GB"/>
        </w:rPr>
        <w:t>Wir brauchen nicht lange zu überlegen. Aus den in der Einleitung angedeuteten Erörterungen der Autoren können wir erraten, daß in solchem witzigen Unsinn ein Sinn steckt und daß dieser Sinn im Unsinn den Unsinn zum Witz macht. Der Sinn in unserem Beispiel ist leicht zu finden. Der Offizier, welcher dem Artilleristen Itzig den unsinnigen Rat gibt, stellt sich nur dumm, um Itzig zu zeigen, wie dumm er selbst sich benimmt. Er kopiert den Itzig. »Ich will dir jetzt einen Rat geben, der genauso dumm ist wie du.« Er geht auf Itzigs Dummheit ein und bringt sie ihm zur Einsicht, indem er sie zur Grundlage eines Vorschlags macht, der Itzigs Wünschen entsprechen muß, denn besäße Itzig eine eigene Kanone und betriebe das Kriegshandwerk auf eigene Rechnung, wie kämen ihm da seine Intelligenz und sein Ehrgeiz zustatten! Wie würde er die Kanone instand halten und sich mit ihrem Mechanismus vertraut machen, um die Konkurrenz mit anderen Kanonenbesitzern zu bestehen!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Ich unterbreche die Analyse dieses Beispiels, um in einem kürzeren und einfacheren, aber minder grellen Fall von Unsinnswitz den gleichen Sinn des Unsinns nachzuweisen.</w:t>
      </w:r>
    </w:p>
    <w:p w:rsidR="00BA623D" w:rsidRPr="00BA623D" w:rsidRDefault="00BA623D" w:rsidP="00BA623D">
      <w:pPr>
        <w:pStyle w:val="Sansinterligne"/>
        <w:rPr>
          <w:rFonts w:ascii="Garamond" w:hAnsi="Garamond"/>
          <w:lang w:val="en-GB"/>
        </w:rPr>
      </w:pPr>
      <w:r w:rsidRPr="00BA623D">
        <w:rPr>
          <w:rFonts w:ascii="Garamond" w:hAnsi="Garamond"/>
          <w:lang w:val="en-GB"/>
        </w:rPr>
        <w:t>»Niemals geboren zu werden, wäre das beste für die sterblichen Menschenkinder.« »Aber«, setzen die Weisen der Fliegenden Blätter hinzu, »unter 100 000 Menschen passiert dies kaum einem.«</w:t>
      </w:r>
    </w:p>
    <w:p w:rsidR="00BA623D" w:rsidRPr="00BA623D" w:rsidRDefault="00BA623D" w:rsidP="00BA623D">
      <w:pPr>
        <w:pStyle w:val="Sansinterligne"/>
        <w:rPr>
          <w:rFonts w:ascii="Garamond" w:hAnsi="Garamond"/>
          <w:lang w:val="en-GB"/>
        </w:rPr>
      </w:pPr>
      <w:r w:rsidRPr="00BA623D">
        <w:rPr>
          <w:rFonts w:ascii="Garamond" w:hAnsi="Garamond"/>
          <w:lang w:val="en-GB"/>
        </w:rPr>
        <w:t>Der moderne Zusatz zum alten Weisheitsspruch ist ein klarer Unsinn, der durch das anscheinend vorsichtige »kaum« noch dümmer wird. Aber er knüpft als unbestreitbar richtige Einschränkung an den ersten Satz an, kann uns also die Augen darüber öffnen, daß jene mit Ehrfurcht vernommene Weisheit auch nicht viel besser als ein Unsinn ist. Wer nie geboren worden ist, ist überhaupt kein Menschenkind; für den gibt es kein Gutes und kein Bestes. Der Unsinn im Witze dient also hier zur Aufdeckung und Darstellung eines anderen Unsinns wie im Beispiel vom Artilleristen Itzig.</w:t>
      </w:r>
    </w:p>
    <w:p w:rsidR="00BA623D" w:rsidRPr="00BA623D" w:rsidRDefault="00BA623D" w:rsidP="00BA623D">
      <w:pPr>
        <w:pStyle w:val="Sansinterligne"/>
        <w:rPr>
          <w:rFonts w:ascii="Garamond" w:hAnsi="Garamond"/>
          <w:lang w:val="en-GB"/>
        </w:rPr>
      </w:pPr>
      <w:r w:rsidRPr="00BA623D">
        <w:rPr>
          <w:rFonts w:ascii="Garamond" w:hAnsi="Garamond"/>
          <w:lang w:val="en-GB"/>
        </w:rPr>
        <w:t>Ich kann hier ein drittes Beispiel anfügen, welches durch seinen Inhalt die ausführliche Mitteilung, die es erfordert, kaum verdienen würde, aber gerade wieder die Verwendung des Unsinns im Witze zur Darstellung eines anderen Unsinns besonders deutlich erläutert:</w:t>
      </w:r>
    </w:p>
    <w:p w:rsidR="00BA623D" w:rsidRPr="00BA623D" w:rsidRDefault="00BA623D" w:rsidP="00BA623D">
      <w:pPr>
        <w:pStyle w:val="Sansinterligne"/>
        <w:rPr>
          <w:rFonts w:ascii="Garamond" w:hAnsi="Garamond"/>
          <w:lang w:val="en-GB"/>
        </w:rPr>
      </w:pPr>
      <w:r w:rsidRPr="00BA623D">
        <w:rPr>
          <w:rFonts w:ascii="Garamond" w:hAnsi="Garamond"/>
          <w:lang w:val="en-GB"/>
        </w:rPr>
        <w:t>Ein Mann, der verreisen muß, vertraut seine Tochter einem Freunde an mit der Bitte, während seiner Abwesenheit über ihre Tugend zu wachen. Er kommt nach Monaten zurück und findet sie geschwängert. Natürlich macht er dem Freund Vorwürfe. Der kann sich den Unglücksfall angeblich nicht erklären. »Wo hat sie denn geschlafen?« fragt endlich der Vater. – »Im Zimmer mit meinem Sohn.« – »Aber wie kannst du sie im selben Zimmer mit deinem Sohn schlafen lassen, nachdem ich dich so gebeten habe, sie zu behüten?« – »Es war doch eine spanische Wand zwischen ihnen. Da war das Bett von deiner Tochter, da das Bett von meinem Sohn und dazwischen die spanische Wand.« – »Und wenn er um die spanische Wand herumgegangen ist?« – » Außer das«, meint der andere nachdenklich. » So wäre es möglich.«</w:t>
      </w:r>
    </w:p>
    <w:p w:rsidR="00BA623D" w:rsidRPr="00BA623D" w:rsidRDefault="00BA623D" w:rsidP="00BA623D">
      <w:pPr>
        <w:pStyle w:val="Sansinterligne"/>
        <w:rPr>
          <w:rFonts w:ascii="Garamond" w:hAnsi="Garamond"/>
          <w:lang w:val="en-GB"/>
        </w:rPr>
      </w:pPr>
      <w:r w:rsidRPr="00BA623D">
        <w:rPr>
          <w:rFonts w:ascii="Garamond" w:hAnsi="Garamond"/>
          <w:lang w:val="en-GB"/>
        </w:rPr>
        <w:t>Von diesem, seinen sonstigen Qualitäten nach recht geringen Witz gelangen wir am leichtesten zur Reduktion. Sie würde offenbar lauten: Du hast kein Recht, mir Vorwürfe zu machen. Wie kannst du denn so dumm sein, deine Tochter in ein Haus zu geben, in dem sie in der beständigen Gesellschaft eines jungen Mannes leben muß? Als ob es einem Fremden möglich wäre, unter solchen Umständen für die Tugend eines Mädchens einzustehen! Die scheinbare Dummheit des Freundes ist also auch hier nur die Spiegelung der Dummheit des Vaters. Durch die Reduktion haben wir die Dummheit im Witze und mit ihr den Witz selbst beseitigt. Das Element »Dummheit« selbst sind wir nicht losgeworden; es findet im Zusammenhange des auf seinen Sinn reduzierten Satzes eine andere Stelle.</w:t>
      </w:r>
    </w:p>
    <w:p w:rsidR="00BA623D" w:rsidRPr="00BA623D" w:rsidRDefault="00BA623D" w:rsidP="00BA623D">
      <w:pPr>
        <w:pStyle w:val="Sansinterligne"/>
        <w:rPr>
          <w:rFonts w:ascii="Garamond" w:hAnsi="Garamond"/>
          <w:lang w:val="en-GB"/>
        </w:rPr>
      </w:pPr>
      <w:r w:rsidRPr="00BA623D">
        <w:rPr>
          <w:rFonts w:ascii="Garamond" w:hAnsi="Garamond"/>
          <w:lang w:val="en-GB"/>
        </w:rPr>
        <w:t>Nun können wir auch die Reduktion des Witzes von der Kanone versuchen. Der Offizier hätte zu sagen: »Itzig, ich weiß, du bist ein intelligenter Geschäftsmann. Aber ich sage dir, es ist eine große Dummheit, wenn du nicht einsiehst, daß es beim Militär unmöglich so zugehen kann wie im Geschäftsleben, wo jeder auf eigene Faust und gegen den anderen arbeitet. Beim Militär heißt es sich unterordnen und zusammenwirken.«</w:t>
      </w:r>
    </w:p>
    <w:p w:rsidR="00BA623D" w:rsidRPr="00BA623D" w:rsidRDefault="00BA623D" w:rsidP="00BA623D">
      <w:pPr>
        <w:pStyle w:val="Sansinterligne"/>
        <w:rPr>
          <w:rFonts w:ascii="Garamond" w:hAnsi="Garamond"/>
          <w:lang w:val="en-GB"/>
        </w:rPr>
      </w:pPr>
      <w:r w:rsidRPr="00BA623D">
        <w:rPr>
          <w:rFonts w:ascii="Garamond" w:hAnsi="Garamond"/>
          <w:lang w:val="en-GB"/>
        </w:rPr>
        <w:t>Die Technik der bisherigen Unsinnswitze besteht also wirklich in der Anbringung von etwas Dummem, Unsinnigem, dessen Sinn die Veranschaulichung, Darstellung von etwas anderem Dummen und Unsinnigen ist.</w:t>
      </w:r>
    </w:p>
    <w:p w:rsidR="00BA623D" w:rsidRPr="00BA623D" w:rsidRDefault="00BA623D" w:rsidP="00BA623D">
      <w:pPr>
        <w:pStyle w:val="Sansinterligne"/>
        <w:rPr>
          <w:rFonts w:ascii="Garamond" w:hAnsi="Garamond"/>
          <w:lang w:val="en-GB"/>
        </w:rPr>
      </w:pPr>
      <w:r w:rsidRPr="00BA623D">
        <w:rPr>
          <w:rFonts w:ascii="Garamond" w:hAnsi="Garamond"/>
          <w:lang w:val="en-GB"/>
        </w:rPr>
        <w:t>Hat die Verwendung des Widersinnes in der Witztechnik jedesmal diese Bedeutung? Hier ist noch ein Beispiel, welches im bejahenden Sinne antwortet:</w:t>
      </w:r>
    </w:p>
    <w:p w:rsidR="00BA623D" w:rsidRPr="00BA623D" w:rsidRDefault="00BA623D" w:rsidP="00BA623D">
      <w:pPr>
        <w:pStyle w:val="Sansinterligne"/>
        <w:rPr>
          <w:rFonts w:ascii="Garamond" w:hAnsi="Garamond"/>
          <w:lang w:val="en-GB"/>
        </w:rPr>
      </w:pPr>
      <w:r w:rsidRPr="00BA623D">
        <w:rPr>
          <w:rFonts w:ascii="Garamond" w:hAnsi="Garamond"/>
          <w:lang w:val="en-GB"/>
        </w:rPr>
        <w:t>Als dem Phokion einmal nach einer Rede Beifall geklatscht wurde, fragte er zu seinen Freunden gewendet: » Was habe ich denn Dummes gesagt?«</w:t>
      </w:r>
    </w:p>
    <w:p w:rsidR="00BA623D" w:rsidRPr="00BA623D" w:rsidRDefault="00BA623D" w:rsidP="00BA623D">
      <w:pPr>
        <w:pStyle w:val="Sansinterligne"/>
        <w:rPr>
          <w:rFonts w:ascii="Garamond" w:hAnsi="Garamond"/>
          <w:lang w:val="en-GB"/>
        </w:rPr>
      </w:pPr>
      <w:r w:rsidRPr="00BA623D">
        <w:rPr>
          <w:rFonts w:ascii="Garamond" w:hAnsi="Garamond"/>
          <w:lang w:val="en-GB"/>
        </w:rPr>
        <w:t>Diese Frage klingt widersinnig. Aber wir verstehen alsbald ihren Sinn. »Was habe ich denn gesagt, was diesem dummen Volk so gefallen konnte? Ich müßte mich ja eigentlich des Beifalls schämen; wenn es den Dummen gefallen hat, kann es selbst nicht sehr gescheit gewesen sein.«</w:t>
      </w:r>
    </w:p>
    <w:p w:rsidR="00BA623D" w:rsidRPr="00BA623D" w:rsidRDefault="00BA623D" w:rsidP="00BA623D">
      <w:pPr>
        <w:pStyle w:val="Sansinterligne"/>
        <w:rPr>
          <w:rFonts w:ascii="Garamond" w:hAnsi="Garamond"/>
          <w:lang w:val="en-GB"/>
        </w:rPr>
      </w:pPr>
      <w:r w:rsidRPr="00BA623D">
        <w:rPr>
          <w:rFonts w:ascii="Garamond" w:hAnsi="Garamond"/>
          <w:lang w:val="en-GB"/>
        </w:rPr>
        <w:t>Andere Beispiele können uns aber darüber belehren, daß der Widersinn sehr häufig in der Witztechnik gebraucht wird, ohne dem Zwecke der Darstellung eines anderen Unsinns zu dienen.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Einem bekannten Universitätslehrer, der sein wenig anmutendes Spezialfach reichlich mit Witzen zu würzen pflegt, wird zur Geburt seines jüngsten Kindes gratuliert, das ihm in bereits vorgerücktem Alter beschieden wurde. »Ja«, erwiderte er den Glückwünschenden, »es ist merkwürdig, was Menschenhände zustande bringen können.« – Diese Antwort erscheint ganz besonders sinnlos und nicht am Platze. Kinder heißen doch ein Segen Gottes recht im Gegensatz zum Werk der Menschenhand. Aber bald fällt uns ein, daß diese Antwort doch einen Sinn hat, und zwar einen obszönen. Es ist keine Rede davon, daß der glückliche Vater sich dumm stellen will, um etwas anderes oder andere Personen als dumm zu bezeichnen. Die anscheinend sinnlose Antwort wirkt auf uns überraschend, verblüffend, wie wir mit den Autoren sagen wollen. Wir haben gehört, daß die Autoren die ganze Wirkung solcher Witze aus dem Wechsel von »Verblüffung; und Erleuchtung« ableiten. Darüber wollen wir uns später ein Urteil zu bilden versuchen; </w:t>
      </w:r>
      <w:r w:rsidRPr="00BA623D">
        <w:rPr>
          <w:rFonts w:ascii="Garamond" w:hAnsi="Garamond"/>
          <w:lang w:val="en-GB"/>
        </w:rPr>
        <w:lastRenderedPageBreak/>
        <w:t>wir begnügen uns hervorzuheben, daß die Technik dieses Witzes in der Anbringung von solchem Verblüffenden, Unsinnigen besteht.</w:t>
      </w:r>
    </w:p>
    <w:p w:rsidR="00BA623D" w:rsidRPr="00BA623D" w:rsidRDefault="00BA623D" w:rsidP="00BA623D">
      <w:pPr>
        <w:pStyle w:val="Sansinterligne"/>
        <w:rPr>
          <w:rFonts w:ascii="Garamond" w:hAnsi="Garamond"/>
          <w:lang w:val="en-GB"/>
        </w:rPr>
      </w:pPr>
      <w:r w:rsidRPr="00BA623D">
        <w:rPr>
          <w:rFonts w:ascii="Garamond" w:hAnsi="Garamond"/>
          <w:lang w:val="en-GB"/>
        </w:rPr>
        <w:t>Eine ganz besondere Stellung unter diesen Dummheitswitzen nimmt ein Witz von Lichtenberg ein.</w:t>
      </w:r>
    </w:p>
    <w:p w:rsidR="00BA623D" w:rsidRPr="00BA623D" w:rsidRDefault="00BA623D" w:rsidP="00BA623D">
      <w:pPr>
        <w:pStyle w:val="Sansinterligne"/>
        <w:rPr>
          <w:rFonts w:ascii="Garamond" w:hAnsi="Garamond"/>
          <w:lang w:val="en-GB"/>
        </w:rPr>
      </w:pPr>
      <w:r w:rsidRPr="00BA623D">
        <w:rPr>
          <w:rFonts w:ascii="Garamond" w:hAnsi="Garamond"/>
          <w:lang w:val="en-GB"/>
        </w:rPr>
        <w:t>Er wundere sich, daß den Katzen gerade an der Stelle zwei Löcher in den Pelz geschnitten wären, wo sie die Augen hätten. Sich über etwas Selbstverständliches zu wundern, etwas, was eigentlich nur die Auseinandersetzung einer Identität ist, ist doch gewiß eine Dummheit. Es mahnt an einen ernsthaft gemeinten Ausruf bei Michelet ( Das Weib), der nach meiner Erinnerung etwa so lautet: Wie schön ist es doch von der Natur eingerichtet, daß das Kind, sobald es zur Welt kommt, eine Mutter vorfindet, die bereit ist, sich seiner anzunehmen! Der Satz von Michelet ist eine wirkliche Dummheit, aber der Lichtenbergsche ist ein Witz, der sich der Dummheit zu irgendeinem Zwecke bedient, hinter dem etwas steckt. Was? Das können wir freilich in diesem Moment nicht angeben.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Wir haben nun bereits an zwei Gruppen von Beispielen erfahren, daß die Witzarbeit sich der Abweichungen vom normalen Denken, der Verschiebung und des Widersinnes, als technischer Mittel zur Herstellung des witzigen Ausdrucks bedient. Es ist gewiß eine berechtigte Erwartung, daß auch andere Denkfehler eine gleiche Verwendung finden können. Wirklich lassen sich einige Beispiele von dieser Art angeben:</w:t>
      </w:r>
    </w:p>
    <w:p w:rsidR="00BA623D" w:rsidRPr="00BA623D" w:rsidRDefault="00BA623D" w:rsidP="00BA623D">
      <w:pPr>
        <w:pStyle w:val="Sansinterligne"/>
        <w:rPr>
          <w:rFonts w:ascii="Garamond" w:hAnsi="Garamond"/>
          <w:lang w:val="en-GB"/>
        </w:rPr>
      </w:pPr>
      <w:r w:rsidRPr="00BA623D">
        <w:rPr>
          <w:rFonts w:ascii="Garamond" w:hAnsi="Garamond"/>
          <w:lang w:val="en-GB"/>
        </w:rPr>
        <w:t>Ein Herr kommt in eine Konditorei und läßt sich eine Torte geben; bringt dieselbe aber bald wieder und verlangt an ihrer Statt ein Gläschen Likör. Dieses trinkt er aus und will sich entfernen, ohne gezahlt zu haben. Der Ladenbesitzer hält ihn zurück. »Was wollen Sie von mir?« – »Sie sollen den Likör bezahlen.« – »Für den habe ich Ihnen ja die Torte gegeben.« – »Die haben Sie ja auch nicht bezahlt.« – » Die habe ich ja auch nicht gegessen.«</w:t>
      </w:r>
    </w:p>
    <w:p w:rsidR="00BA623D" w:rsidRPr="00BA623D" w:rsidRDefault="00BA623D" w:rsidP="00BA623D">
      <w:pPr>
        <w:pStyle w:val="Sansinterligne"/>
        <w:rPr>
          <w:rFonts w:ascii="Garamond" w:hAnsi="Garamond"/>
          <w:lang w:val="en-US"/>
        </w:rPr>
      </w:pPr>
      <w:r w:rsidRPr="00BA623D">
        <w:rPr>
          <w:rFonts w:ascii="Garamond" w:hAnsi="Garamond"/>
          <w:lang w:val="en-GB"/>
        </w:rPr>
        <w:t xml:space="preserve">Auch dieses Geschichtchen trägt den Schein von Logik zur Schau, den wir als geeignete Fassade für einen Denkfehler bereits kennen. Der Fehler liegt offenbar darin, daß der schlaue Kunde zwischen dem Zurückgeben der Torte und dem Dafürnehmen des Likörs eine Beziehung herstellt, die nicht besteht. Der Sachverhalt zerfällt vielmehr in zwei Vorgänge, die für den Verkäufer voneinander unabhängig sind, nur in seiner eigenen Absicht im Verhältnisse des Ersatzes stehen. Er hat zuerst die Torte genommen und zurückgegeben, für die er also nichts schuldig ist, dann nimmt er den Likör, und den ist er schuldig zu bezahlen. Man kann sagen, der Kunde wende die Relation »dafür« doppelsinnig an; richtiger, er stelle vermittels eines Doppelsinnes eine Verbindung her, die sachlich nicht stichhaltig ist </w:t>
      </w:r>
      <w:hyperlink r:id="rId312" w:anchor="#" w:history="1">
        <w:r w:rsidRPr="00BA623D">
          <w:rPr>
            <w:rFonts w:ascii="Garamond" w:hAnsi="Garamond"/>
            <w:lang w:val="en-GB"/>
          </w:rPr>
          <w:t>[Fußnote]Eine ähnliche Unsinnstechnik ergibt sich, wenn der Witz einen Zusammenhang aufrechterhalten will, der durch die besonderen Bedingungen seines Inhalts aufgehoben erscheint. Dazu gehört Lichtenbergs Messer ohne Klinge, wo der Stiel fehlt. Ähnlich der von J. Falke erzählte Witz: »Ist das die Stelle, wo der Duke of Wellington diese Worte gesprochen hat?« – » Ja, das ist die Stelle, aber die Worte hat er nie gesprochen.«</w:t>
        </w:r>
      </w:hyperlink>
      <w:r w:rsidRPr="00BA623D">
        <w:rPr>
          <w:rFonts w:ascii="Garamond" w:hAnsi="Garamond"/>
          <w:lang w:val="en-US"/>
        </w:rPr>
        <w:t>.</w:t>
      </w:r>
    </w:p>
    <w:p w:rsidR="00BA623D" w:rsidRPr="00BA623D" w:rsidRDefault="00BA623D" w:rsidP="00BA623D">
      <w:pPr>
        <w:pStyle w:val="Sansinterligne"/>
        <w:rPr>
          <w:rFonts w:ascii="Garamond" w:hAnsi="Garamond"/>
          <w:lang w:val="en-GB"/>
        </w:rPr>
      </w:pPr>
      <w:r w:rsidRPr="00BA623D">
        <w:rPr>
          <w:rFonts w:ascii="Garamond" w:hAnsi="Garamond"/>
          <w:lang w:val="en-US"/>
        </w:rPr>
        <w:t xml:space="preserve">Es ist nun die Gelegenheit da, ein nicht unwichtiges Bekenntnis abzulegen. Wir beschäftigen uns hier mit der Erforschung der Technik des Witzes an Beispielen und sollten also sicher sein, daß die von uns gewählten Beispiele wirklich richtige Witze sind. </w:t>
      </w:r>
      <w:r w:rsidRPr="00BA623D">
        <w:rPr>
          <w:rFonts w:ascii="Garamond" w:hAnsi="Garamond"/>
          <w:lang w:val="en-GB"/>
        </w:rPr>
        <w:t>Es steht aber so, daß wir in einer Reihe von Fällen ins Schwanken geraten, ob das betreffende Beispiel ein Witz genannt werden darf oder nicht. Ein Kriterium steht uns ja nicht zu Gebote, ehe die Untersuchung ein solches ergeben hat; der Sprachgebrauch ist unzuverlässig und bedarf selbst der Prüfung auf seine Berechtigung; wir können uns bei der Entscheidung auf nichts anderes stützen als auf eine gewisse »Empfindung«, welche wir dahin interpretieren dürfen, daß sich in unserem Urteilen die Entscheidung nach bestimmten Kriterien vollziehe, die unserer Erkenntnis noch nicht zugänglich sind. Für eine zureichende Begründung werden wir die Berufung auf diese »Empfindung« nicht ausgeben dürfen. Bei dem letzterwähnten Beispiel werden wir nun zweifeln müssen, ob wir es als Witz darstellen dürfen, als einen sophistischen Witz etwa, oder als ein Sophisma schlechtweg. Wir wissen eben noch nicht, worin der Charakter des Witzes liegt.</w:t>
      </w:r>
    </w:p>
    <w:p w:rsidR="00BA623D" w:rsidRPr="00BA623D" w:rsidRDefault="00BA623D" w:rsidP="00BA623D">
      <w:pPr>
        <w:pStyle w:val="Sansinterligne"/>
        <w:rPr>
          <w:rFonts w:ascii="Garamond" w:hAnsi="Garamond"/>
          <w:lang w:val="en-GB"/>
        </w:rPr>
      </w:pPr>
      <w:r w:rsidRPr="00BA623D">
        <w:rPr>
          <w:rFonts w:ascii="Garamond" w:hAnsi="Garamond"/>
          <w:lang w:val="en-GB"/>
        </w:rPr>
        <w:t>Hingegen ist das nächstfolgende Beispiel, welches den sozusagen komplementären Denkfehler aufweist, ein unzweifelhafter Witz. Es ist wiederum eine Heiratsvermittlergeschichte:</w:t>
      </w:r>
    </w:p>
    <w:p w:rsidR="00BA623D" w:rsidRPr="00BA623D" w:rsidRDefault="00BA623D" w:rsidP="00BA623D">
      <w:pPr>
        <w:pStyle w:val="Sansinterligne"/>
        <w:rPr>
          <w:rFonts w:ascii="Garamond" w:hAnsi="Garamond"/>
          <w:lang w:val="en-GB"/>
        </w:rPr>
      </w:pPr>
      <w:r w:rsidRPr="00BA623D">
        <w:rPr>
          <w:rFonts w:ascii="Garamond" w:hAnsi="Garamond"/>
          <w:lang w:val="en-GB"/>
        </w:rPr>
        <w:t>Der Schadchen verteidigt das von ihm vorgeschlagene Mädchen gegen die Ausstellungen des jungen Mannes. »Die Schwiegermutter gefällt mir nicht«, sagt dieser, »sie ist eine boshafte, dumme Person.« – »Sie heiraten doch nicht die Schwiegermutter, Sie wollen die Tochter.« – »Ja, aber jung ist sie nicht mehr und schön von Gesicht gerade auch nicht.« – »Das macht nichts; ist sie nicht jung und schön, wird sie Ihnen um so eher treu bleiben.« – »Geld ist auch nicht viel da.« – »Wer spricht vom Geld? Heiraten Sie denn das Geld? Sie wollen doch eine Frau!« – »Aber sie hat ja auch einen Buckel!« – »Nun, was wollen Sie? Gar keinen Fehler soll sie haben.«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Es handelt sich also in Wirklichkeit um ein nicht mehr junges, unschönes Mädchen mit geringer Mitgift, das eine abstoßende Mutter hat und außerdem mit einer argen Verunstaltung versehen ist. Gewiß keine zur Eheschließung einladenden Verhältnisse. Der Heiratsvermittler weiß bei jedem einzelnen dieser Fehler anzugeben, von welchem Gesichtspunkte man sich mit ihm versöhnen könnte; den nicht zu entschuldigenden Buckel nimmt er dann als den einen Fehler in Anspruch, den man jedem Menschen hingehen lassen müsse. Es liegt wiederum der Schein von Logik vor, welcher für das Sophisma charakteristisch ist und der den Denkfehler verdecken soll. Das Mädchen hat offenbar lauter Fehler, mehrere, über die man hinwegsehen könnte, und einen, über den man nicht hinwegkommt; es ist nicht zu heiraten. Der Vermittler tut, als ob jeder einzelne Fehler durch seine Ausflucht beseitigt wäre, während doch von jedem ein Stück Entwertung erübrigt, das sich zum nächsten summiert. Er besteht darauf, jeden Faktor vereinzelt zu behandeln, und weigert sich, sie zur Summe zusammenzusetzen.</w:t>
      </w:r>
    </w:p>
    <w:p w:rsidR="00BA623D" w:rsidRPr="00BA623D" w:rsidRDefault="00BA623D" w:rsidP="00BA623D">
      <w:pPr>
        <w:pStyle w:val="Sansinterligne"/>
        <w:rPr>
          <w:rFonts w:ascii="Garamond" w:hAnsi="Garamond"/>
          <w:lang w:val="en-GB"/>
        </w:rPr>
      </w:pPr>
      <w:r w:rsidRPr="00BA623D">
        <w:rPr>
          <w:rFonts w:ascii="Garamond" w:hAnsi="Garamond"/>
          <w:lang w:val="en-GB"/>
        </w:rPr>
        <w:t>Die nämliche Unterlassung ist der Kern eines anderen Sophismas, das viel belacht worden ist, dessen Berechtigung, ein Witz zu heißen, man aber anzweifeln könnte.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 hat von B einen kupfernen Kessel entlehnt und wird nach der Rückgabe von B verklagt, weil der Kessel nun ein großes Loch zeigt, das ihn unverwendbar macht. Seine Verteidigung lautet: » Erstens habe ich von B überhaupt keinen Kessel entlehnt; zweitens hatte der Kessel bereits ein Loch, als ich ihn von B übernahm; drittens habe ich den Kessel ganz zurückgegeben.« </w:t>
      </w:r>
      <w:r w:rsidRPr="00BA623D">
        <w:rPr>
          <w:rFonts w:ascii="Garamond" w:hAnsi="Garamond"/>
        </w:rPr>
        <w:t xml:space="preserve">Jede einzelne Einrede ist für sich gut, zusammengenommen aber schließen sie einander aus. </w:t>
      </w:r>
      <w:r w:rsidRPr="00BA623D">
        <w:rPr>
          <w:rFonts w:ascii="Garamond" w:hAnsi="Garamond"/>
          <w:lang w:val="en-GB"/>
        </w:rPr>
        <w:t>A behandelt isoliert, was im Zusammenhange betrachtet werden muß, ganz wie der Heiratsvermittler mit den Mängeln der Braut verfährt. Man kann auch sagen: A setzt das »und« an die Stelle, an der nur ein »entweder – oder« möglich ist.</w:t>
      </w:r>
    </w:p>
    <w:p w:rsidR="00BA623D" w:rsidRPr="00BA623D" w:rsidRDefault="00BA623D" w:rsidP="00BA623D">
      <w:pPr>
        <w:pStyle w:val="Sansinterligne"/>
        <w:rPr>
          <w:rFonts w:ascii="Garamond" w:hAnsi="Garamond"/>
          <w:lang w:val="en-GB"/>
        </w:rPr>
      </w:pPr>
      <w:r w:rsidRPr="00BA623D">
        <w:rPr>
          <w:rFonts w:ascii="Garamond" w:hAnsi="Garamond"/>
          <w:lang w:val="en-GB"/>
        </w:rPr>
        <w:t>Ein anderes Sophisma begegnet uns in der folgenden Heiratsvermittlergeschichte.</w:t>
      </w:r>
    </w:p>
    <w:p w:rsidR="00BA623D" w:rsidRPr="00BA623D" w:rsidRDefault="00BA623D" w:rsidP="00BA623D">
      <w:pPr>
        <w:pStyle w:val="Sansinterligne"/>
        <w:rPr>
          <w:rFonts w:ascii="Garamond" w:hAnsi="Garamond"/>
          <w:lang w:val="en-GB"/>
        </w:rPr>
      </w:pPr>
      <w:r w:rsidRPr="00BA623D">
        <w:rPr>
          <w:rFonts w:ascii="Garamond" w:hAnsi="Garamond"/>
          <w:lang w:val="en-GB"/>
        </w:rPr>
        <w:t>Der Bewerber hat auszusetzen, daß die Braut ein kürzeres Bein hat und hinkt. Der Schadchen widerspricht ihm. »Sie haben unrecht. Nehmen Sie an, Sie heiraten eine Frau mit gesunden, geraden Gliedern. Was haben Sie davon? Sie sind keinen Tag sicher, daß sie nicht hinfällt, ein Bein bricht und dann lahm ist fürs ganze Leben. Und dann die Schmerzen, die Aufregung, die Doktorrechnung! Wenn Sie aber die nehmen, so kann Ihnen das nicht passieren; da haben Sie eine fertige Sach'.«</w:t>
      </w:r>
    </w:p>
    <w:p w:rsidR="00BA623D" w:rsidRPr="00BA623D" w:rsidRDefault="00BA623D" w:rsidP="00BA623D">
      <w:pPr>
        <w:pStyle w:val="Sansinterligne"/>
        <w:rPr>
          <w:rFonts w:ascii="Garamond" w:hAnsi="Garamond"/>
          <w:lang w:val="en-GB"/>
        </w:rPr>
      </w:pPr>
      <w:r w:rsidRPr="00BA623D">
        <w:rPr>
          <w:rFonts w:ascii="Garamond" w:hAnsi="Garamond"/>
          <w:lang w:val="en-GB"/>
        </w:rPr>
        <w:t>Der Schein von Logik ist hier recht dünn, und niemand wird dem bereits »fertigen Unglück« gar noch einen Vorzug vor dem bloß möglichen zugestehen wollen. Der in dem Gedankengang enthaltene Fehler wird sich leichter an einem zweiten Beispiel aufzeigen lassen, einer Geschichte, die ich des Jargons nicht völlig entkleiden mag.</w:t>
      </w:r>
    </w:p>
    <w:p w:rsidR="00BA623D" w:rsidRPr="00BA623D" w:rsidRDefault="00BA623D" w:rsidP="00BA623D">
      <w:pPr>
        <w:pStyle w:val="Sansinterligne"/>
        <w:rPr>
          <w:rFonts w:ascii="Garamond" w:hAnsi="Garamond"/>
          <w:lang w:val="en-GB"/>
        </w:rPr>
      </w:pPr>
      <w:r w:rsidRPr="00BA623D">
        <w:rPr>
          <w:rFonts w:ascii="Garamond" w:hAnsi="Garamond"/>
          <w:lang w:val="en-GB"/>
        </w:rPr>
        <w:t>Im Tempel zu Krakau sitzt der große Rabbi N. und betet mit seinen Schülern. Er stößt plötzlich einen Schrei aus und äußert, von den besorgten Schülern befragt: »Eben jetzt ist der große Rabbi L. in Lemberg gestorben.« Die Gemeinde legt Trauer um den Verstorbenen an. Im Laufe der nächsten Tage werden nun die aus Lemberg Ankommenden befragt, wie der Rabbi gestorben, was ihm gefehlt, aber sie wissen nichts davon, sie haben ihn im besten Wohlbefinden verlassen. Es stellt sich endlich als ganz gesichert heraus, daß Rabbi L. in Lemberg nicht zu jener Stunde gestorben ist, in der Rabbi N. seinen Tod telepathisch verspürte, da er immer noch weiter lebt. Ein Fremder ergreift die Gelegenheit, einen Schüler des Krakauer Rabbi mit dieser Begebenheit aufzuziehen. »Es war doch eine große Blamage von eurem Rabbi, daß er damals den Rabbi L. in Lemberg sterben gesehen hat. Der Mann lebt noch heute.« »Macht nichts«, erwidert der Schüler, »der Kück</w:t>
      </w:r>
      <w:hyperlink r:id="rId313" w:anchor="#" w:history="1">
        <w:r w:rsidRPr="00BA623D">
          <w:rPr>
            <w:rFonts w:ascii="Garamond" w:hAnsi="Garamond"/>
            <w:lang w:val="en-GB"/>
          </w:rPr>
          <w:t>[Fußnote]»Kück« von »gucken«, also Blick, Fernblick.</w:t>
        </w:r>
      </w:hyperlink>
      <w:r w:rsidRPr="00BA623D">
        <w:rPr>
          <w:rFonts w:ascii="Garamond" w:hAnsi="Garamond"/>
          <w:lang w:val="en-GB"/>
        </w:rPr>
        <w:t>von Krakau bis nach Lemberg war doch großartig.«</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Hier wird der beiden letzten Beispielen gemeinsame Denkfehler unverhüllt eingestanden. Der Wert der Phantasievorstellung wird gegen die Realität ungebührlich erhoben, die Möglichkeit fast der Wirklichkeit gleichgestellt. Der Fernblick über die Krakau von Lemberg trennende Länderstrecke wäre eine imposante telepathische Leistung, wenn er etwas Wahres ergeben hätte, aber darauf kommt es dem Schüler nicht an. Es wäre doch möglich gewesen, daß der Rabbi in Lemberg in jenem Moment gestorben wäre, in dem der Krakauer Rabbi seinen Tod verkündete, und dem Schüler verschiebt sich der Akzent von der Bedingung, unter der die Leistung des Lehrers bewundernswert ist, zur unbedingten Bewunderung dieser Leistung. » In magnis rebus voluisse sat est« </w:t>
      </w:r>
      <w:hyperlink r:id="rId314" w:anchor="#" w:history="1">
        <w:r w:rsidRPr="00BA623D">
          <w:rPr>
            <w:rFonts w:ascii="Garamond" w:hAnsi="Garamond"/>
            <w:lang w:val="en-GB"/>
          </w:rPr>
          <w:t>[Fußnote]&lt;!–Bei großen Dingen genügt es, nur gewollt zu haben–&gt;</w:t>
        </w:r>
      </w:hyperlink>
      <w:r w:rsidRPr="00BA623D">
        <w:rPr>
          <w:rFonts w:ascii="Garamond" w:hAnsi="Garamond"/>
          <w:lang w:val="en-GB"/>
        </w:rPr>
        <w:t xml:space="preserve"> bezeugt einen ähnlichen Standpunkt. Ebenso wie in diesem Beispiel von der Realität abgesehen wird zugunsten der Möglichkeit, so mutet im vorigen der Heiratsvermittler dem Bewerber zu, die Möglichkeit, daß eine Frau durch einen Unfall lahm werden kann, als das bei weitem Bedeutsamere ins Auge zu fassen, wogegen die Frage, ob sie wirklich lahm ist oder nicht, ganz zurücktreten soll.</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Dieser Gruppe der sophistischen Denkfehler reiht sich eine interessante andere an, in welcher man den Denkfehler als einen automatischen bezeichnen kann. Es ist vielleicht nur eine Laune des Zufalls, daß alle </w:t>
      </w:r>
      <w:r w:rsidRPr="00BA623D">
        <w:rPr>
          <w:rFonts w:ascii="Garamond" w:hAnsi="Garamond"/>
          <w:lang w:val="en-GB"/>
        </w:rPr>
        <w:lastRenderedPageBreak/>
        <w:t>Beispiele, die ich aus dieser neuen Gruppe anführen werde, wiederum den Schadchengeschichten angehören:</w:t>
      </w:r>
    </w:p>
    <w:p w:rsidR="00BA623D" w:rsidRPr="00BA623D" w:rsidRDefault="00BA623D" w:rsidP="00BA623D">
      <w:pPr>
        <w:pStyle w:val="Sansinterligne"/>
        <w:rPr>
          <w:rFonts w:ascii="Garamond" w:hAnsi="Garamond"/>
          <w:lang w:val="en-GB"/>
        </w:rPr>
      </w:pPr>
      <w:r w:rsidRPr="00BA623D">
        <w:rPr>
          <w:rFonts w:ascii="Garamond" w:hAnsi="Garamond"/>
          <w:lang w:val="en-GB"/>
        </w:rPr>
        <w:t>»Ein Schadchen hat zur Besprechung über die Braut einen Gehilfen mitgebracht, der seine Mitteilungen bekräftigen soll. Sie ist gewachsen wie ein Tannenbaum, meint der Schadchen. – Wie ein Tannenbaum, wiederholt das Echo. – Und Augen hat sie, die muß man gesehen haben. – Heißt Augen, die sie hat! bekräftigt das Echo. – Und gebildet ist sie wie keine andere. – Und wie gebildet! – Aber das eine ist wahr, gesteht der Vermittler zu, sie hat einen kleinen Höcker. – Aber ein Höcker! bekräftigt wieder das Echo.« Die anderen Geschichten sind ganz analog, obwohl sinnreicher.</w:t>
      </w:r>
    </w:p>
    <w:p w:rsidR="00BA623D" w:rsidRPr="00BA623D" w:rsidRDefault="00BA623D" w:rsidP="00BA623D">
      <w:pPr>
        <w:pStyle w:val="Sansinterligne"/>
        <w:rPr>
          <w:rFonts w:ascii="Garamond" w:hAnsi="Garamond"/>
          <w:lang w:val="en-GB"/>
        </w:rPr>
      </w:pPr>
      <w:r w:rsidRPr="00BA623D">
        <w:rPr>
          <w:rFonts w:ascii="Garamond" w:hAnsi="Garamond"/>
          <w:lang w:val="en-GB"/>
        </w:rPr>
        <w:t>»Der Bräutigam ist bei der Vorstellung der Braut sehr unangenehm überrascht und zieht den Vermittler beiseite, um ihm flüsternd seine Ausstellungen mitzuteilen. ›Wozu haben Sie mich hiehergebracht?‹ fragt er ihn vorwurfsvoll. ›Sie ist häßlich und alt, schielt und hat schlechte Zähne und triefende Augen ...‹ – ›Sie können laut sprechen‹, wirft der Vermittler ein, › taub ist sie auch.‹«</w:t>
      </w:r>
    </w:p>
    <w:p w:rsidR="00BA623D" w:rsidRPr="00BA623D" w:rsidRDefault="00BA623D" w:rsidP="00BA623D">
      <w:pPr>
        <w:pStyle w:val="Sansinterligne"/>
        <w:rPr>
          <w:rFonts w:ascii="Garamond" w:hAnsi="Garamond"/>
          <w:lang w:val="en-GB"/>
        </w:rPr>
      </w:pPr>
      <w:r w:rsidRPr="00BA623D">
        <w:rPr>
          <w:rFonts w:ascii="Garamond" w:hAnsi="Garamond"/>
          <w:lang w:val="en-GB"/>
        </w:rPr>
        <w:t>»Der Bräutigam macht mit dem Vermittler den ersten Besuch im Hause der Braut, und während sie im Salon auf das Erscheinen der Familie warten, macht der Vermittler auf einen Glasschrank aufmerksam, in welchem die schönsten Silbergeräte zur Schau gestellt sind. ›Da schauen Sie hin, an diesen Sachen können Sie sehen, wie reich diese Leute sind.‹ – ›Aber‹, fragt der mißtrauische junge Mann, ›wäre es denn nicht möglich, daß diese schönen Sachen nur für die Gelegenheit zusammengeborgt sind, um den Eindruck des Reichtums zu machen?‹ – ›Was fällt Ihnen ein?‹ antwortet der Vermittler abweisend. Wer wird denn den Leuten was borgen!‹«</w:t>
      </w:r>
    </w:p>
    <w:p w:rsidR="00BA623D" w:rsidRPr="00BA623D" w:rsidRDefault="00BA623D" w:rsidP="00BA623D">
      <w:pPr>
        <w:pStyle w:val="Sansinterligne"/>
        <w:rPr>
          <w:rFonts w:ascii="Garamond" w:hAnsi="Garamond"/>
          <w:lang w:val="en-GB"/>
        </w:rPr>
      </w:pPr>
      <w:r w:rsidRPr="00BA623D">
        <w:rPr>
          <w:rFonts w:ascii="Garamond" w:hAnsi="Garamond"/>
          <w:lang w:val="en-GB"/>
        </w:rPr>
        <w:t>In allen drei Fällen ereignet sich das nämliche. Eine Person, die mehrmals nacheinander in gleicher Weise reagiert hat, setzt diese Weise der Äußerung auch bei dem nächsten Anlasse fort, wo sie unpassend wird und den Absichten der Person zuwiderläuft. Sie versäumt es, sich den Anforderungen der Situation anzupassen, indem sie dem Automatismus der Gewöhnung nachgibt. So vergißt der Helfer in der ersten Geschichte, daß er mitgenommen wurde, um den Bewerber zugunsten der vorgeschlagenen Braut zu stimmen, und da er bisher seiner Aufgabe gerecht wurde, indem er die vorgebrachten Vorzüge der Braut durch seine Wiederholung unterstrich, unterstreicht er jetzt auch ihren schüchtern zugestandenen Höcker, den er hätte verkleinern sollen. Der Vermittler der zweiten Geschichte wird von der Aufzählung der Mängel und Gebrechen der Braut so fasziniert, daß er die Liste derselben aus seiner eigenen Kenntnis vervollständigt, wiewohl das gewiß nicht sein Amt und seine Absicht ist. In der dritten Geschichte endlich läßt er sich von seinem Eifer, den jungen Mann von dem Reichtum der Familie zu überzeugen, so weit hinreißen, daß er, um nur in dem einen Beweispunkte recht zu behalten, etwas vorbringt, was seine ganze Bemühung umstoßen muß. Überall siegt der Automatismus über die zweckmäßige Abänderung des Denkens und Äußerns.</w:t>
      </w:r>
    </w:p>
    <w:p w:rsidR="00BA623D" w:rsidRPr="00BA623D" w:rsidRDefault="00BA623D" w:rsidP="00BA623D">
      <w:pPr>
        <w:pStyle w:val="Sansinterligne"/>
        <w:rPr>
          <w:rFonts w:ascii="Garamond" w:hAnsi="Garamond"/>
          <w:lang w:val="en-GB"/>
        </w:rPr>
      </w:pPr>
      <w:r w:rsidRPr="00BA623D">
        <w:rPr>
          <w:rFonts w:ascii="Garamond" w:hAnsi="Garamond"/>
          <w:lang w:val="en-GB"/>
        </w:rPr>
        <w:t>Das ist nun leicht einzusehen, aber verwirrend muß es wirken, wenn wir aufmerksam werden, daß diese drei Geschichten mit dem gleichen Recht als »komisch« bezeichnet werden können, wie wir sie als witzig angeführt haben. Die Aufdeckung des psychischen Automatismus gehört zur Technik des Komischen wie jede Entlarvung, jeder Selbstverrat. Wir sehen uns hier plötzlich vor das Problem der Beziehung des Witzes zur Komik gestellt, das wir zu umgehen trachteten. (Siehe Einleitung.) Sind diese Geschichten etwa nur »komisch« und nicht auch »witzig«? Arbeitet hier die Komik mit denselben Mitteln wie der Witz? Und wiederum, worin besteht der besondere Charakter des Witzigen?</w:t>
      </w:r>
    </w:p>
    <w:p w:rsidR="00BA623D" w:rsidRPr="00BA623D" w:rsidRDefault="00BA623D" w:rsidP="00BA623D">
      <w:pPr>
        <w:pStyle w:val="Sansinterligne"/>
        <w:rPr>
          <w:rFonts w:ascii="Garamond" w:hAnsi="Garamond"/>
          <w:lang w:val="en-GB"/>
        </w:rPr>
      </w:pPr>
      <w:r w:rsidRPr="00BA623D">
        <w:rPr>
          <w:rFonts w:ascii="Garamond" w:hAnsi="Garamond"/>
          <w:lang w:val="en-GB"/>
        </w:rPr>
        <w:t>Wir müssen daran festhalten, daß die Technik der letztuntersuchten Gruppe von Witzen in nichts anderem als in der Anbringung von » Denkfehlern« besteht, sind aber genötigt zuzugestehen, daß deren Untersuchung uns bisher mehr ins Dunkel als zur Erkenntnis geführt hat. Wir geben jedoch die Erwartung nicht auf, durch eine vollständigere Kenntnis der Techniken des Witzes zu einem Ergebnis zu gelangen, welches der Ausgangspunkt für weitere Einsichten werden kann.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Die nächsten Beispiele von Witz, an denen wir unsere Untersuchung fortsetzen wollen, geben leichtere Arbeit. Ihre Technik erinnert uns vor allem an Bekanntes.</w:t>
      </w:r>
    </w:p>
    <w:p w:rsidR="00BA623D" w:rsidRPr="00BA623D" w:rsidRDefault="00BA623D" w:rsidP="00BA623D">
      <w:pPr>
        <w:pStyle w:val="Sansinterligne"/>
        <w:rPr>
          <w:rFonts w:ascii="Garamond" w:hAnsi="Garamond"/>
          <w:lang w:val="en-GB"/>
        </w:rPr>
      </w:pPr>
      <w:r w:rsidRPr="00BA623D">
        <w:rPr>
          <w:rFonts w:ascii="Garamond" w:hAnsi="Garamond"/>
          <w:lang w:val="en-GB"/>
        </w:rPr>
        <w:t>Etwa ein Witz von Lichtenberg:</w:t>
      </w:r>
    </w:p>
    <w:p w:rsidR="00BA623D" w:rsidRPr="00BA623D" w:rsidRDefault="00BA623D" w:rsidP="00BA623D">
      <w:pPr>
        <w:pStyle w:val="Sansinterligne"/>
        <w:rPr>
          <w:rFonts w:ascii="Garamond" w:hAnsi="Garamond"/>
          <w:lang w:val="en-GB"/>
        </w:rPr>
      </w:pPr>
      <w:r w:rsidRPr="00BA623D">
        <w:rPr>
          <w:rFonts w:ascii="Garamond" w:hAnsi="Garamond"/>
          <w:lang w:val="en-GB"/>
        </w:rPr>
        <w:t>» Der Januarius ist der Monat, da man seinen guten Freunden Wünsche darbringt, und die übrigen die, worin sie nicht erfüllt werden.«</w:t>
      </w:r>
    </w:p>
    <w:p w:rsidR="00BA623D" w:rsidRPr="00BA623D" w:rsidRDefault="00BA623D" w:rsidP="00BA623D">
      <w:pPr>
        <w:pStyle w:val="Sansinterligne"/>
        <w:rPr>
          <w:rFonts w:ascii="Garamond" w:hAnsi="Garamond"/>
          <w:lang w:val="en-GB"/>
        </w:rPr>
      </w:pPr>
      <w:r w:rsidRPr="00BA623D">
        <w:rPr>
          <w:rFonts w:ascii="Garamond" w:hAnsi="Garamond"/>
          <w:lang w:val="en-GB"/>
        </w:rPr>
        <w:t>Da diese Witze eher fein als stark zu nennen sind und mit wenig aufdringlichen Mitteln arbeiten, wollen wir uns den Eindruck von ihnen erst durch Häufung verstärken.</w:t>
      </w:r>
    </w:p>
    <w:p w:rsidR="00BA623D" w:rsidRPr="00BA623D" w:rsidRDefault="00BA623D" w:rsidP="00BA623D">
      <w:pPr>
        <w:pStyle w:val="Sansinterligne"/>
        <w:rPr>
          <w:rFonts w:ascii="Garamond" w:hAnsi="Garamond"/>
          <w:lang w:val="en-GB"/>
        </w:rPr>
      </w:pPr>
      <w:r w:rsidRPr="00BA623D">
        <w:rPr>
          <w:rFonts w:ascii="Garamond" w:hAnsi="Garamond"/>
          <w:lang w:val="en-GB"/>
        </w:rPr>
        <w:t>» Das menschliche Leben zerfällt in zwei Hälften, in der ersten wünscht man die zweite herbei, und in der zweiten wünscht man die erste zurück.«</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 Die Erfahrung besteht darin, daß man erfährt, was man nicht zu erfahren wünscht« (beide bei K. Fischer).</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Es ist unvermeidlich, daß wir durch diese Beispiele an eine früher behandelte Gruppe gemahnt werden, welche sich durch die »mehrfache Verwendung desselben Materials« auszeichnet. Das letzte Beispiel besonders wird uns veranlassen, die Frage aufzuwerfen, warum wir es nicht dort angereiht haben, anstatt es hier in neuem Zusammenhange aufzuführen. Die Erfahrung wird wieder durch ihren eigenen Wortlaut beschrieben, wie an jener Stelle die Eifersucht (vgl. S. 365). Auch würde ich mich gegen diese Zuweisung nicht viel sträuben. An den beiden anderen Beispielen, meine ich aber, die ja ähnlichen Charakters sind, ist ein anderes Moment auffälliger und bedeutsamer als die mehrfache Verwendung derselben Worte, der hier alles an Doppelsinn Streifende abgeht. Und zwar möchte ich hervorheben, daß hier neue und unerwartete Einheiten hergestellt sind, Beziehungen von Vorstellungen zueinander, und Definitionen durcheinander oder durch die Beziehung auf ein gemeinsames Drittes. Ich möchte diesen Vorgang Unifizierung heißen; er ist offenbar der Verdichtung durch Zusammendrängung in die nämlichen Worte analog. So werden die zwei Hälften des menschlichen Lebens durch eine zwischen ihnen entdeckte gegenseitige Beziehung beschrieben; in der ersten wünscht man die zweite herbei, in der zweiten die erste zurück. Es sind, genauer gesagt, zwei sehr ähnliche Beziehungen zueinander, die zur Darstellung gewählt wurden. Der Ähnlichkeit der Beziehungen entspricht dann die Ähnlichkeit der Worte, welche uns eben an die mehrfache Verwendung des nämlichen Materials mahnen konnte (herbeiwünschen – zurückwünschen). In dem Witz von Lichtenberg sind der Januar und die ihm gegenübergestellten Monate durch eine wiederum modifizierte Beziehung zu etwas Drittem charakterisiert; dies sind die Glückwünsche, die man in dem einen Monat empfängt und die sich in den anderen nicht erfüllen. Der Unterschied von der mehrfachen Verwendung des gleichen Materials, die sich ja dem Doppelsinn annähert, ist hier recht deutlich </w:t>
      </w:r>
      <w:hyperlink r:id="rId315" w:anchor="#" w:history="1">
        <w:r w:rsidRPr="00BA623D">
          <w:rPr>
            <w:rFonts w:ascii="Garamond" w:hAnsi="Garamond"/>
            <w:lang w:val="en-GB"/>
          </w:rPr>
          <w:t xml:space="preserve">[Fußnote]Ich will mich der früher erwähnten eigentümlichen Negativrelation des Witzes zum Rätsel, daß der eine verbirgt, was das andere zur Schau stellt, bedienen, um die »Unifizierung« besser, als obige Beispiele es gestatten, zu beschreiben. Viele der Rätsel, mit deren Produktion sich der Philosoph G. Th. Fechner die Zeit seiner Erblindung vertrieb, zeichnen sich durch einen hohen Grad von Unifizierung aus, der ihnen einen besonderen Reiz verleiht. </w:t>
        </w:r>
        <w:r w:rsidRPr="00BA623D">
          <w:rPr>
            <w:rFonts w:ascii="Garamond" w:hAnsi="Garamond"/>
          </w:rPr>
          <w:t xml:space="preserve">Man nehme z. B. das schöne Rätsel Nr. 203 ( Rätselbüchlein von Dr. Mises. Vierte vermehrte Auflage, Jahreszahl nicht angegeben): </w:t>
        </w:r>
        <w:r w:rsidRPr="00BA623D">
          <w:rPr>
            <w:rFonts w:ascii="Garamond" w:hAnsi="Garamond"/>
          </w:rPr>
          <w:br/>
        </w:r>
        <w:r w:rsidRPr="00BA623D">
          <w:rPr>
            <w:rFonts w:ascii="Garamond" w:hAnsi="Garamond"/>
          </w:rPr>
          <w:br/>
          <w:t xml:space="preserve">       »Die beiden ersten finden ihre Ruhestätte </w:t>
        </w:r>
        <w:r w:rsidRPr="00BA623D">
          <w:rPr>
            <w:rFonts w:ascii="Garamond" w:hAnsi="Garamond"/>
          </w:rPr>
          <w:br/>
          <w:t xml:space="preserve">       Im Paar der andern, und das Ganze macht ihr Bette.« </w:t>
        </w:r>
        <w:r w:rsidRPr="00BA623D">
          <w:rPr>
            <w:rFonts w:ascii="Garamond" w:hAnsi="Garamond"/>
          </w:rPr>
          <w:br/>
        </w:r>
        <w:r w:rsidRPr="00BA623D">
          <w:rPr>
            <w:rFonts w:ascii="Garamond" w:hAnsi="Garamond"/>
          </w:rPr>
          <w:br/>
          <w:t xml:space="preserve">Von den beiden Silbenpaaren, die zu erraten sind, ist nichts angegeben als eine Beziehung zueinander, und vom Ganzen nur eine solche zum ersten Paar. (Die Auflösung lautet: Totengräber.) Oder folgende zwei Beispiele von Beschreibung durch Relation zu dem nämlichen oder wenig modifizierten dritten: </w:t>
        </w:r>
        <w:r w:rsidRPr="00BA623D">
          <w:rPr>
            <w:rFonts w:ascii="Garamond" w:hAnsi="Garamond"/>
          </w:rPr>
          <w:br/>
        </w:r>
        <w:r w:rsidRPr="00BA623D">
          <w:rPr>
            <w:rFonts w:ascii="Garamond" w:hAnsi="Garamond"/>
          </w:rPr>
          <w:br/>
          <w:t xml:space="preserve">Nr. 170. </w:t>
        </w:r>
        <w:r w:rsidRPr="00BA623D">
          <w:rPr>
            <w:rFonts w:ascii="Garamond" w:hAnsi="Garamond"/>
          </w:rPr>
          <w:br/>
          <w:t xml:space="preserve">       »Die erste Silb' hat Zahn' und Haare, </w:t>
        </w:r>
        <w:r w:rsidRPr="00BA623D">
          <w:rPr>
            <w:rFonts w:ascii="Garamond" w:hAnsi="Garamond"/>
          </w:rPr>
          <w:br/>
          <w:t xml:space="preserve">       Die zweite Zähne in den Haaren. </w:t>
        </w:r>
        <w:r w:rsidRPr="00BA623D">
          <w:rPr>
            <w:rFonts w:ascii="Garamond" w:hAnsi="Garamond"/>
          </w:rPr>
          <w:br/>
          <w:t>       </w:t>
        </w:r>
        <w:r w:rsidRPr="00BA623D">
          <w:rPr>
            <w:rFonts w:ascii="Garamond" w:hAnsi="Garamond"/>
            <w:lang w:val="en-GB"/>
          </w:rPr>
          <w:t xml:space="preserve">Wer auf den Zähnen nicht hat Haare, </w:t>
        </w:r>
        <w:r w:rsidRPr="00BA623D">
          <w:rPr>
            <w:rFonts w:ascii="Garamond" w:hAnsi="Garamond"/>
            <w:lang w:val="en-GB"/>
          </w:rPr>
          <w:br/>
          <w:t xml:space="preserve">       Vom Ganzen kaufe keine Ware.« (Roßkamm.) </w:t>
        </w:r>
        <w:r w:rsidRPr="00BA623D">
          <w:rPr>
            <w:rFonts w:ascii="Garamond" w:hAnsi="Garamond"/>
            <w:lang w:val="en-GB"/>
          </w:rPr>
          <w:br/>
        </w:r>
        <w:r w:rsidRPr="00BA623D">
          <w:rPr>
            <w:rFonts w:ascii="Garamond" w:hAnsi="Garamond"/>
            <w:lang w:val="en-GB"/>
          </w:rPr>
          <w:br/>
          <w:t xml:space="preserve">Nr. 168. </w:t>
        </w:r>
        <w:r w:rsidRPr="00BA623D">
          <w:rPr>
            <w:rFonts w:ascii="Garamond" w:hAnsi="Garamond"/>
            <w:lang w:val="en-GB"/>
          </w:rPr>
          <w:br/>
          <w:t xml:space="preserve">       »Die erste Silbe frißt, </w:t>
        </w:r>
        <w:r w:rsidRPr="00BA623D">
          <w:rPr>
            <w:rFonts w:ascii="Garamond" w:hAnsi="Garamond"/>
            <w:lang w:val="en-GB"/>
          </w:rPr>
          <w:br/>
          <w:t xml:space="preserve">       Die andere Silbe ißt, </w:t>
        </w:r>
        <w:r w:rsidRPr="00BA623D">
          <w:rPr>
            <w:rFonts w:ascii="Garamond" w:hAnsi="Garamond"/>
            <w:lang w:val="en-GB"/>
          </w:rPr>
          <w:br/>
          <w:t xml:space="preserve">       Die dritte wird gefressen, </w:t>
        </w:r>
        <w:r w:rsidRPr="00BA623D">
          <w:rPr>
            <w:rFonts w:ascii="Garamond" w:hAnsi="Garamond"/>
            <w:lang w:val="en-GB"/>
          </w:rPr>
          <w:br/>
          <w:t xml:space="preserve">       Das Ganze wird gegessen.« (Sauerkraut.) </w:t>
        </w:r>
        <w:r w:rsidRPr="00BA623D">
          <w:rPr>
            <w:rFonts w:ascii="Garamond" w:hAnsi="Garamond"/>
            <w:lang w:val="en-GB"/>
          </w:rPr>
          <w:br/>
        </w:r>
        <w:r w:rsidRPr="00BA623D">
          <w:rPr>
            <w:rFonts w:ascii="Garamond" w:hAnsi="Garamond"/>
            <w:lang w:val="en-GB"/>
          </w:rPr>
          <w:br/>
          <w:t xml:space="preserve">Die vollendetste Unifizierung findet sich in einem Rätsel von Schleiermacher, das man nicht anders als witzig heißen kann: </w:t>
        </w:r>
        <w:r w:rsidRPr="00BA623D">
          <w:rPr>
            <w:rFonts w:ascii="Garamond" w:hAnsi="Garamond"/>
            <w:lang w:val="en-GB"/>
          </w:rPr>
          <w:br/>
        </w:r>
        <w:r w:rsidRPr="00BA623D">
          <w:rPr>
            <w:rFonts w:ascii="Garamond" w:hAnsi="Garamond"/>
            <w:lang w:val="en-GB"/>
          </w:rPr>
          <w:br/>
          <w:t xml:space="preserve">       »Von der letzten umschlungen </w:t>
        </w:r>
        <w:r w:rsidRPr="00BA623D">
          <w:rPr>
            <w:rFonts w:ascii="Garamond" w:hAnsi="Garamond"/>
            <w:lang w:val="en-GB"/>
          </w:rPr>
          <w:br/>
          <w:t xml:space="preserve">       Schwebt das vollendete Ganze </w:t>
        </w:r>
        <w:r w:rsidRPr="00BA623D">
          <w:rPr>
            <w:rFonts w:ascii="Garamond" w:hAnsi="Garamond"/>
            <w:lang w:val="en-GB"/>
          </w:rPr>
          <w:br/>
          <w:t xml:space="preserve">       Zu den zwei ersten empor.« (Galgenstrick.) </w:t>
        </w:r>
        <w:r w:rsidRPr="00BA623D">
          <w:rPr>
            <w:rFonts w:ascii="Garamond" w:hAnsi="Garamond"/>
            <w:lang w:val="en-GB"/>
          </w:rPr>
          <w:br/>
        </w:r>
        <w:r w:rsidRPr="00BA623D">
          <w:rPr>
            <w:rFonts w:ascii="Garamond" w:hAnsi="Garamond"/>
            <w:lang w:val="en-GB"/>
          </w:rPr>
          <w:br/>
        </w:r>
        <w:r w:rsidRPr="00BA623D">
          <w:rPr>
            <w:rFonts w:ascii="Garamond" w:hAnsi="Garamond"/>
            <w:lang w:val="en-GB"/>
          </w:rPr>
          <w:lastRenderedPageBreak/>
          <w:t>Die größte Mehrzahl aller Silbenrätsel ist der Unifizierung bar, d. h. das Merkmal, aus dem die eine Silbe erraten werden soll, ist ganz unabhängig von dem für die zweite, dritte Silbe und wiederum von dem Anhaltspunkt fürs selbständige Erraten des Ganzen.</w:t>
        </w:r>
      </w:hyperlink>
    </w:p>
    <w:p w:rsidR="00BA623D" w:rsidRPr="00BA623D" w:rsidRDefault="00BA623D" w:rsidP="00BA623D">
      <w:pPr>
        <w:pStyle w:val="Sansinterligne"/>
        <w:rPr>
          <w:rFonts w:ascii="Garamond" w:hAnsi="Garamond"/>
          <w:lang w:val="en-GB"/>
        </w:rPr>
      </w:pPr>
      <w:r w:rsidRPr="00BA623D">
        <w:rPr>
          <w:rFonts w:ascii="Garamond" w:hAnsi="Garamond"/>
          <w:lang w:val="en-GB"/>
        </w:rPr>
        <w:t>Ein schönes Beispiel von Unifizierungswitz, das der Erläuterung nicht bedarf, ist folgendes:</w:t>
      </w:r>
    </w:p>
    <w:p w:rsidR="00BA623D" w:rsidRPr="00BA623D" w:rsidRDefault="00BA623D" w:rsidP="00BA623D">
      <w:pPr>
        <w:pStyle w:val="Sansinterligne"/>
        <w:rPr>
          <w:rFonts w:ascii="Garamond" w:hAnsi="Garamond"/>
          <w:lang w:val="en-GB"/>
        </w:rPr>
      </w:pPr>
      <w:r w:rsidRPr="00BA623D">
        <w:rPr>
          <w:rFonts w:ascii="Garamond" w:hAnsi="Garamond"/>
          <w:lang w:val="en-GB"/>
        </w:rPr>
        <w:t>Der französische Odendichter J. B. Rousseau schrieb eine Ode an die Nachwelt ( à la posterité); Voltaire fand, daß der Wert des Gedichtes dasselbe keineswegs berechtige, auf die Nachwelt zu kommen, und sagte witzig: » Dieses Gedicht wird nicht an seine Adresse gelangen.« (Nach K. Fischer).</w:t>
      </w:r>
    </w:p>
    <w:p w:rsidR="00BA623D" w:rsidRPr="00BA623D" w:rsidRDefault="00BA623D" w:rsidP="00BA623D">
      <w:pPr>
        <w:pStyle w:val="Sansinterligne"/>
        <w:rPr>
          <w:rFonts w:ascii="Garamond" w:hAnsi="Garamond"/>
          <w:lang w:val="en-GB"/>
        </w:rPr>
      </w:pPr>
      <w:r w:rsidRPr="00BA623D">
        <w:rPr>
          <w:rFonts w:ascii="Garamond" w:hAnsi="Garamond"/>
          <w:lang w:val="en-GB"/>
        </w:rPr>
        <w:t>Das letzte Beispiel kann uns darauf aufmerksam machen, daß es wesentlich die Unifizierung ist, welche den sogenannt schlagfertigen Witzen zugrunde liegt. Die Schlagfertigkeit besteht ja im Eingehen der Abwehr auf die Aggression, im »Umkehren des Spießes«, im »Bezahlen mit gleicher Münze«, also in Herstellung einer unerwarteten Einheit zwischen Angriff und Gegenangriff.</w:t>
      </w:r>
    </w:p>
    <w:p w:rsidR="00BA623D" w:rsidRPr="00BA623D" w:rsidRDefault="00BA623D" w:rsidP="00BA623D">
      <w:pPr>
        <w:pStyle w:val="Sansinterligne"/>
        <w:rPr>
          <w:rFonts w:ascii="Garamond" w:hAnsi="Garamond"/>
          <w:lang w:val="en-GB"/>
        </w:rPr>
      </w:pPr>
      <w:r w:rsidRPr="00BA623D">
        <w:rPr>
          <w:rFonts w:ascii="Garamond" w:hAnsi="Garamond"/>
          <w:lang w:val="en-GB"/>
        </w:rPr>
        <w:t>Z. B.: Bäcker zum Wirt, der einen schwärenden Finger hat: » Der ist dir wohl in dein Bier hineingekommen?« Wirt: » Das nicht, aber es ist mir eine von deinen Semmeln unter den Nagel geraten.« (Nach Überhorst, Das Komische, Bd. 2, 1900.)</w:t>
      </w:r>
    </w:p>
    <w:p w:rsidR="00BA623D" w:rsidRPr="00BA623D" w:rsidRDefault="00BA623D" w:rsidP="00BA623D">
      <w:pPr>
        <w:pStyle w:val="Sansinterligne"/>
        <w:rPr>
          <w:rFonts w:ascii="Garamond" w:hAnsi="Garamond"/>
          <w:lang w:val="en-GB"/>
        </w:rPr>
      </w:pPr>
      <w:r w:rsidRPr="00BA623D">
        <w:rPr>
          <w:rFonts w:ascii="Garamond" w:hAnsi="Garamond"/>
          <w:lang w:val="en-GB"/>
        </w:rPr>
        <w:t>Serenissimus macht eine Reise durch seine Staaten und bemerkt in der Menge einen Mann, der seiner eigenen hohen Person auffällig ähnlich sieht. Er winkt ihn heran, um ihn zu fragen: » Hat Seine Mutter wohl einmal in der Residenz gedient?« – »Nein, Durchlaucht«, lautet die Antwort, » aber mein Vater.«</w:t>
      </w:r>
    </w:p>
    <w:p w:rsidR="00BA623D" w:rsidRPr="00BA623D" w:rsidRDefault="00BA623D" w:rsidP="00BA623D">
      <w:pPr>
        <w:pStyle w:val="Sansinterligne"/>
        <w:rPr>
          <w:rFonts w:ascii="Garamond" w:hAnsi="Garamond"/>
          <w:lang w:val="en-GB"/>
        </w:rPr>
      </w:pPr>
      <w:r w:rsidRPr="00BA623D">
        <w:rPr>
          <w:rFonts w:ascii="Garamond" w:hAnsi="Garamond"/>
          <w:lang w:val="en-GB"/>
        </w:rPr>
        <w:t>Herzog Karl von Württemberg trifft auf einem seiner Spazierritte von ungefähr einen Färber, der mit seiner Hantierung beschäftigt ist. » Kann Er meinen Schimmel blau färben?« ruft ihm der Herzog zu und erhält die Antwort zurück: » Jawohl, Durchlaucht, wenn er das Sieden vertragen kann!«</w:t>
      </w:r>
    </w:p>
    <w:p w:rsidR="00BA623D" w:rsidRPr="00BA623D" w:rsidRDefault="00BA623D" w:rsidP="00BA623D">
      <w:pPr>
        <w:pStyle w:val="Sansinterligne"/>
        <w:rPr>
          <w:rFonts w:ascii="Garamond" w:hAnsi="Garamond"/>
          <w:lang w:val="en-GB"/>
        </w:rPr>
      </w:pPr>
      <w:r w:rsidRPr="00BA623D">
        <w:rPr>
          <w:rFonts w:ascii="Garamond" w:hAnsi="Garamond"/>
          <w:lang w:val="en-GB"/>
        </w:rPr>
        <w:t>Bei dieser ausgezeichneten »Retourkutsche« – die eine unsinnige Anfrage mit einer ebenso unmöglichen Bedingung beantwortet – wirkt noch ein anderes technisches Moment mit, das ausgeblieben wäre, wenn die Antwort des Färbers gelautet hätte: »Nein, Durchlaucht; ich fürchte, der Schimmel wird das Sieden nicht vertragen.«</w:t>
      </w:r>
    </w:p>
    <w:p w:rsidR="00BA623D" w:rsidRPr="00BA623D" w:rsidRDefault="00BA623D" w:rsidP="00BA623D">
      <w:pPr>
        <w:pStyle w:val="Sansinterligne"/>
        <w:rPr>
          <w:rFonts w:ascii="Garamond" w:hAnsi="Garamond"/>
          <w:lang w:val="en-GB"/>
        </w:rPr>
      </w:pPr>
      <w:r w:rsidRPr="00BA623D">
        <w:rPr>
          <w:rFonts w:ascii="Garamond" w:hAnsi="Garamond"/>
          <w:lang w:val="en-GB"/>
        </w:rPr>
        <w:t>Der Unifizierung steht noch ein anderes, ganz besonders interessantes technisches Mittel zu Gebote, die Anreihung durch das Bindewort und. Solche Anreihung bedeutet Zusammenhang; wir verstehen sie nicht anders. Wenn z. B. Heine in der Harzreise von der Stadt Göttingen erzählt: » Im allgemeinen werden die Bewohner Göttingens eingeteilt in Studenten, Professoren, Philister und Vieh«, so verstehen wir diese Zusammenstellung genau in dem Sinne, der durch den Zusatz Heines noch unterstrichen wird: »welche vier Stände doch nichts weniger als scharf geschieden sind.« Oder, wenn er von der Schule spricht, wo er » soviel Latein, Prügel und Geographie« ausstehen mußte, so will diese Anreihung, die durch die Mittelstellung der Prügel zwischen den beiden Lehrgegenständen überdeutlich wird, uns sagen, daß wir die durch die Prügel unverkennbar bezeichnete Auffassung des Schulknaben gewiß auch auf Latein und Geographie ausdehnen sollen.</w:t>
      </w:r>
    </w:p>
    <w:p w:rsidR="00BA623D" w:rsidRPr="00BA623D" w:rsidRDefault="00BA623D" w:rsidP="00BA623D">
      <w:pPr>
        <w:pStyle w:val="Sansinterligne"/>
        <w:rPr>
          <w:rFonts w:ascii="Garamond" w:hAnsi="Garamond"/>
          <w:lang w:val="en-GB"/>
        </w:rPr>
      </w:pPr>
      <w:r w:rsidRPr="00BA623D">
        <w:rPr>
          <w:rFonts w:ascii="Garamond" w:hAnsi="Garamond"/>
          <w:lang w:val="en-GB"/>
        </w:rPr>
        <w:t>Bei Lipps finden wir unter den Beispielen von »witziger Aufzählung« (»Koordination«) als nächst verwandt dem Heineschen »Studenten, Professoren, Philister und Vieh« den Vers:</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 Mit einer Gabel und mit Müh' </w:t>
      </w:r>
      <w:r w:rsidRPr="00BA623D">
        <w:rPr>
          <w:rFonts w:ascii="Garamond" w:hAnsi="Garamond"/>
          <w:lang w:val="en-GB"/>
        </w:rPr>
        <w:br/>
        <w:t>zog ihn die Mutter aus der Brüh'«;</w:t>
      </w:r>
    </w:p>
    <w:p w:rsidR="00BA623D" w:rsidRPr="00BA623D" w:rsidRDefault="00BA623D" w:rsidP="00BA623D">
      <w:pPr>
        <w:pStyle w:val="Sansinterligne"/>
        <w:rPr>
          <w:rFonts w:ascii="Garamond" w:hAnsi="Garamond"/>
          <w:lang w:val="en-GB"/>
        </w:rPr>
      </w:pPr>
      <w:r w:rsidRPr="00BA623D">
        <w:rPr>
          <w:rFonts w:ascii="Garamond" w:hAnsi="Garamond"/>
          <w:lang w:val="en-GB"/>
        </w:rPr>
        <w:t>als ob die Mühe ein Instrument wäre wie die Gabel, setzt Lipps erläuternd hinzu. Wir empfangen aber den Eindruck, als sei dieser Vers gar nicht witzig, allerdings sehr komisch, während die Heinesche Anreihung ein unzweifelhafter Witz ist. Vielleicht werden wir uns später an diese Beispiele erinnern, wenn wir dem Problem des Verhältnisses von Komik und Witz nicht mehr auszuweichen brauchen.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Am Beispiel vom Herzog und vom Färber haben wir bemerkt, daß es ein Witz durch Unifizierung bliebe, wenn der Färber antworten würde: Nein, ich fürchte, der Schimmel wird das Sieden nicht vertragen. Seine Antwort lautete aber: Ja, Durchlaucht, wenn er das Sieden vertragen kann. In der Ersetzung des eigentlich hingehörigen »Nein« durch ein »Ja« liegt ein neues technisches Mittel des Witzes, dessen Verwendung wir an anderen Beispielen verfolgen wollen.</w:t>
      </w:r>
    </w:p>
    <w:p w:rsidR="00BA623D" w:rsidRPr="00BA623D" w:rsidRDefault="00BA623D" w:rsidP="00BA623D">
      <w:pPr>
        <w:pStyle w:val="Sansinterligne"/>
        <w:rPr>
          <w:rFonts w:ascii="Garamond" w:hAnsi="Garamond"/>
          <w:lang w:val="en-GB"/>
        </w:rPr>
      </w:pPr>
      <w:r w:rsidRPr="00BA623D">
        <w:rPr>
          <w:rFonts w:ascii="Garamond" w:hAnsi="Garamond"/>
          <w:lang w:val="en-GB"/>
        </w:rPr>
        <w:t>Ein dem eben erwähnten bei K. Fischer benachbarter Witz ist einfacher: Friedrich der Große hört von einem Prediger in Schlesien, der im Rufe steht, mit Geistern zu verkehren; er läßt den Mann kommen und empfängt ihn mit der Frage: » Er kann Geister beschwören?« Die Antwort war: » Zu Befehl, Majestät, aber sie kommen nicht.« Hier ist es nun ganz augenfällig, daß das Mittel des Witzes in nichts anderem bestand als in der Ersetzung des einzig möglichen »Nein« durch sein Gegenteil. Um diese Ersetzung durchzuführen, mußte an das »Ja« ein »aber« geknüpft werden, so daß »ja« und »aber« dem Sinne von »nein« gleichkommen.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Diese Darstellung durchs Gegenteil, wie wir sie nennen wollen, dient der Witzarbeit in verschiedenen Ausführungen. In folgenden zwei Beispielen tritt sie fast rein hervor: Heine: » Diese Frau glich in vielen Punkten der Venus von Melos: sie ist auch außerordentlich alt, hat ebenfalls keine Zähne und auf der gelblichen Oberfläche ihres Körpers einige weiße Flecken.«</w:t>
      </w:r>
    </w:p>
    <w:p w:rsidR="00BA623D" w:rsidRPr="00BA623D" w:rsidRDefault="00BA623D" w:rsidP="00BA623D">
      <w:pPr>
        <w:pStyle w:val="Sansinterligne"/>
        <w:rPr>
          <w:rFonts w:ascii="Garamond" w:hAnsi="Garamond"/>
          <w:lang w:val="en-GB"/>
        </w:rPr>
      </w:pPr>
      <w:r w:rsidRPr="00BA623D">
        <w:rPr>
          <w:rFonts w:ascii="Garamond" w:hAnsi="Garamond"/>
          <w:lang w:val="en-GB"/>
        </w:rPr>
        <w:t>Eine Darstellung der Häßlichkeit vermittels ihrer Übereinstimmungen mit dem Schönsten; diese Übereinstimmungen können freilich nur in doppelsinnig ausgedrückten Eigenschaften oder in Nebensachen bestehen. Letzteres trifft für das zweite Beispiel zu:</w:t>
      </w:r>
    </w:p>
    <w:p w:rsidR="00BA623D" w:rsidRPr="00BA623D" w:rsidRDefault="00BA623D" w:rsidP="00BA623D">
      <w:pPr>
        <w:pStyle w:val="Sansinterligne"/>
        <w:rPr>
          <w:rFonts w:ascii="Garamond" w:hAnsi="Garamond"/>
          <w:lang w:val="en-GB"/>
        </w:rPr>
      </w:pPr>
      <w:r w:rsidRPr="00BA623D">
        <w:rPr>
          <w:rFonts w:ascii="Garamond" w:hAnsi="Garamond"/>
          <w:lang w:val="en-GB"/>
        </w:rPr>
        <w:t>Lichtenberg: ›Der große Geist‹.</w:t>
      </w:r>
    </w:p>
    <w:p w:rsidR="00BA623D" w:rsidRPr="00BA623D" w:rsidRDefault="00BA623D" w:rsidP="00BA623D">
      <w:pPr>
        <w:pStyle w:val="Sansinterligne"/>
        <w:rPr>
          <w:rFonts w:ascii="Garamond" w:hAnsi="Garamond"/>
          <w:lang w:val="en-GB"/>
        </w:rPr>
      </w:pPr>
      <w:r w:rsidRPr="00BA623D">
        <w:rPr>
          <w:rFonts w:ascii="Garamond" w:hAnsi="Garamond"/>
          <w:lang w:val="en-GB"/>
        </w:rPr>
        <w:t>» Er hatte die Eigenschaften der größten Männer in sich vereinigt, er trug den Kopf schief wie Alexander, hatte immer etwas in den Haarenzu nesteln wie Cäsar, konnte Kaffee trinken wie Leibniz, und wenn er einmal recht in seinem Lehnstuhl saß, so vergaß er Essen und Trinken darüber wie Newton, und man mußte ihn wie diesen wecken; seine Perücke trug er wie Dr. Johnson, und ein Hosenknopf stand ihm immer offen wie dem Cervantes.«</w:t>
      </w:r>
    </w:p>
    <w:p w:rsidR="00BA623D" w:rsidRPr="00BA623D" w:rsidRDefault="00BA623D" w:rsidP="00BA623D">
      <w:pPr>
        <w:pStyle w:val="Sansinterligne"/>
        <w:rPr>
          <w:rFonts w:ascii="Garamond" w:hAnsi="Garamond"/>
          <w:lang w:val="en-GB"/>
        </w:rPr>
      </w:pPr>
      <w:r w:rsidRPr="00BA623D">
        <w:rPr>
          <w:rFonts w:ascii="Garamond" w:hAnsi="Garamond"/>
          <w:lang w:val="en-GB"/>
        </w:rPr>
        <w:t>Ein besonders schönes Beispiel von Darstellung durch das Gegenteil, in welchem auf die Verwendung doppelsinniger Worte gänzlich verzichtet ist, hat J. v. Falke von einer Reise nach Irland heimgebracht. Schauplatz ein Wachsfigurenkabinett, sagen wir Madame Tussaud. Auch hier ein Führer, der eine Gesellschaft von alt und jung von Figur zu Figur mit seinen Erläuterungen begleitet. » This is the Duke of Wellington and his horse«, worauf ein junges Fräulein die Frage stellt: » Which is the Duke of Wellington and which is his horse?« » Just, as you like, my pretty child«, lautet die Antwort, » you pay the money and you have the choice.« (Welches ist der Herzog von W. und welches ist sein Pferd? – Wie es Ihnen beliebt, mein schönes Kind, Sie zahlen Ihr Geld und Sie haben die Wahl.) (Lebenserinnerungen, S. 271.)</w:t>
      </w:r>
    </w:p>
    <w:p w:rsidR="00BA623D" w:rsidRPr="00BA623D" w:rsidRDefault="00BA623D" w:rsidP="00BA623D">
      <w:pPr>
        <w:pStyle w:val="Sansinterligne"/>
        <w:rPr>
          <w:rFonts w:ascii="Garamond" w:hAnsi="Garamond"/>
          <w:lang w:val="en-GB"/>
        </w:rPr>
      </w:pPr>
      <w:r w:rsidRPr="00BA623D">
        <w:rPr>
          <w:rFonts w:ascii="Garamond" w:hAnsi="Garamond"/>
          <w:lang w:val="en-GB"/>
        </w:rPr>
        <w:t>Die Reduktion dieses irischen Witzes würde lauten: Unverschämt, was diese Wachsfigurenleute dem Publikum zu bieten wagen! Pferd und Reiter sind nicht auseinanderzukennen. (Scherzhafte Übertreibung.) Und dafür zahlt man sein gutes Geld! Diese entrüstete Äußerung wird nun dramatisiert, in einem kleinen Vorfall begründet, an Stelle des Publikums im allgemeinen tritt eine einzelne Dame, die Reiterfigur wird individuell, bestimmt, es muß der in Irland so überaus populäre Herzog von Wellington sein. Die Unverschämtheit des Besitzers oder Führers aber, der den Leuten das Geld aus der Tasche zieht und ihnen nichts dafür bietet, wird durch das Gegenteil dargestellt, durch eine Rede, in welcher er sich als gewissenhaften Geschäftsmann herausstreicht, dem nichts mehr am Herzen liegt als die Achtung der Rechte, die das Publikum durch die Zahlung erworben hat. Nun merkt man auch, daß die Technik dieses Witzes keine ganz einfache ist. Indem ein Weg gefunden wurde, den Schwindler seine Gewissenhaftigkeit beteuern zu lassen, ist der Witz ein Fall von Darstellung durchs Gegenteil; indem er dies aber bei einem Anlaß tut, wo man ganz anderes von ihm verlangt, so daß er mit geschäftlicher Solidität antwortet, wo man Ähnlichkeit der Figuren von ihm erwartet, ist es ein Beispiel von Verschiebung. Die Technik des Witzes liegt in der Kombination der beiden Mittel.</w:t>
      </w:r>
    </w:p>
    <w:p w:rsidR="00BA623D" w:rsidRPr="00BA623D" w:rsidRDefault="00BA623D" w:rsidP="00BA623D">
      <w:pPr>
        <w:pStyle w:val="Sansinterligne"/>
        <w:rPr>
          <w:rFonts w:ascii="Garamond" w:hAnsi="Garamond"/>
          <w:lang w:val="en-GB"/>
        </w:rPr>
      </w:pPr>
      <w:r w:rsidRPr="00BA623D">
        <w:rPr>
          <w:rFonts w:ascii="Garamond" w:hAnsi="Garamond"/>
          <w:lang w:val="en-GB"/>
        </w:rPr>
        <w:t>Von diesem Beispiel ist es nicht weit zu einer kleinen Gruppe, die man als Überbietungswitze benennen könnte. In ihnen wird das » Ja«, welches in der Reduktion am Platze wäre, durch ein » Nein« ersetzt, das aber mit einem noch verstärkten » Ja« infolge seines Inhalts gleichwertig ist, und ebenso im umgekehrten Falle. Der Widerspruch steht an Stelle einer Bestätigung mit Überbietung; so z. B. das Epigramm von Lessing:</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gute Galathee! Man sagt, sie schwärz' ihr Haar; </w:t>
      </w:r>
      <w:r w:rsidRPr="00BA623D">
        <w:rPr>
          <w:rFonts w:ascii="Garamond" w:hAnsi="Garamond"/>
          <w:lang w:val="en-GB"/>
        </w:rPr>
        <w:br/>
        <w:t>Da doch ihr Haar schon schwarz, als sie es kaufte, war.«</w:t>
      </w:r>
    </w:p>
    <w:p w:rsidR="00BA623D" w:rsidRPr="00BA623D" w:rsidRDefault="00BA623D" w:rsidP="00BA623D">
      <w:pPr>
        <w:pStyle w:val="Sansinterligne"/>
        <w:rPr>
          <w:rFonts w:ascii="Garamond" w:hAnsi="Garamond"/>
          <w:lang w:val="en-GB"/>
        </w:rPr>
      </w:pPr>
      <w:r w:rsidRPr="00BA623D">
        <w:rPr>
          <w:rFonts w:ascii="Garamond" w:hAnsi="Garamond"/>
          <w:lang w:val="en-GB"/>
        </w:rPr>
        <w:t>Oder die boshafte Scheinverteidigung der Schulweisheit durch Lichtenberg:</w:t>
      </w:r>
    </w:p>
    <w:p w:rsidR="00BA623D" w:rsidRPr="00BA623D" w:rsidRDefault="00BA623D" w:rsidP="00BA623D">
      <w:pPr>
        <w:pStyle w:val="Sansinterligne"/>
        <w:rPr>
          <w:rFonts w:ascii="Garamond" w:hAnsi="Garamond"/>
          <w:lang w:val="en-GB"/>
        </w:rPr>
      </w:pPr>
      <w:r w:rsidRPr="00BA623D">
        <w:rPr>
          <w:rFonts w:ascii="Garamond" w:hAnsi="Garamond"/>
          <w:lang w:val="en-GB"/>
        </w:rPr>
        <w:t>» Es gibt mehr Dinge im Himmel und auf Erden, als Eure Schulweisheit sich träumen läßt«, hatte Prinz Hamlet verächtlich gesagt. Lichtenberg weiß, daß diese Verurteilung lange nicht scharf genug ist, indem sie nicht alles verwertet, was man gegen die Schulweisheit einwenden kann. Er fügt also das noch Fehlende hinzu: » Aber es gibt auch vieles in der Schulweisheit, das sich weder im Himmel noch auf Erden findet.« Seine Darstellung hebt zwar hervor, wodurch uns die Schulweisheit für den von Hamlet gerügten Mangel entschädigt, aber in dieser Entschädigung liegt ein zweiter und noch größerer Vorwurf.</w:t>
      </w:r>
    </w:p>
    <w:p w:rsidR="00BA623D" w:rsidRPr="00BA623D" w:rsidRDefault="00BA623D" w:rsidP="00BA623D">
      <w:pPr>
        <w:pStyle w:val="Sansinterligne"/>
        <w:rPr>
          <w:rFonts w:ascii="Garamond" w:hAnsi="Garamond"/>
          <w:lang w:val="en-GB"/>
        </w:rPr>
      </w:pPr>
      <w:r w:rsidRPr="00BA623D">
        <w:rPr>
          <w:rFonts w:ascii="Garamond" w:hAnsi="Garamond"/>
          <w:lang w:val="en-GB"/>
        </w:rPr>
        <w:t>Durchsichtiger noch, weil frei von jeder Spur von Verschiebung, sind zwei Judenwitze, allerdings von grobem Kaliber.</w:t>
      </w:r>
    </w:p>
    <w:p w:rsidR="00BA623D" w:rsidRPr="00BA623D" w:rsidRDefault="00BA623D" w:rsidP="00BA623D">
      <w:pPr>
        <w:pStyle w:val="Sansinterligne"/>
        <w:rPr>
          <w:rFonts w:ascii="Garamond" w:hAnsi="Garamond"/>
          <w:lang w:val="en-GB"/>
        </w:rPr>
      </w:pPr>
      <w:r w:rsidRPr="00BA623D">
        <w:rPr>
          <w:rFonts w:ascii="Garamond" w:hAnsi="Garamond"/>
          <w:lang w:val="en-GB"/>
        </w:rPr>
        <w:t>Zwei Juden sprechen über das Baden. » Ich nehme jedes Jahr ein Bad«, sagt der eine, » ob ich es nötig habe oder nicht.«</w:t>
      </w:r>
    </w:p>
    <w:p w:rsidR="00BA623D" w:rsidRPr="00BA623D" w:rsidRDefault="00BA623D" w:rsidP="00BA623D">
      <w:pPr>
        <w:pStyle w:val="Sansinterligne"/>
        <w:rPr>
          <w:rFonts w:ascii="Garamond" w:hAnsi="Garamond"/>
          <w:lang w:val="en-GB"/>
        </w:rPr>
      </w:pPr>
      <w:r w:rsidRPr="00BA623D">
        <w:rPr>
          <w:rFonts w:ascii="Garamond" w:hAnsi="Garamond"/>
          <w:lang w:val="en-GB"/>
        </w:rPr>
        <w:t>Es ist klar, daß er sich durch solche prahlerische Versicherung seiner Reinlichkeit erst recht der Unreinlichkeit überführt.</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Ein Jude bemerkt Speisereste am Bart des anderen. » Ich kann dir sagen, was du gestern gegessen hast.« – » Nun, sag'.« – » Also Linsen.« – » Gefehlt, vorgestern!«</w:t>
      </w:r>
    </w:p>
    <w:p w:rsidR="00BA623D" w:rsidRPr="00BA623D" w:rsidRDefault="00BA623D" w:rsidP="00BA623D">
      <w:pPr>
        <w:pStyle w:val="Sansinterligne"/>
        <w:rPr>
          <w:rFonts w:ascii="Garamond" w:hAnsi="Garamond"/>
          <w:lang w:val="en-GB"/>
        </w:rPr>
      </w:pPr>
      <w:r w:rsidRPr="00BA623D">
        <w:rPr>
          <w:rFonts w:ascii="Garamond" w:hAnsi="Garamond"/>
          <w:lang w:val="en-GB"/>
        </w:rPr>
        <w:t>Ein prächtiger Überbietungswitz, der leicht auf Darstellung durchs Gegenteil zurückzuführen ist, ist auch folgender:</w:t>
      </w:r>
    </w:p>
    <w:p w:rsidR="00BA623D" w:rsidRPr="00BA623D" w:rsidRDefault="00BA623D" w:rsidP="00BA623D">
      <w:pPr>
        <w:pStyle w:val="Sansinterligne"/>
        <w:rPr>
          <w:rFonts w:ascii="Garamond" w:hAnsi="Garamond"/>
          <w:lang w:val="en-GB"/>
        </w:rPr>
      </w:pPr>
      <w:r w:rsidRPr="00BA623D">
        <w:rPr>
          <w:rFonts w:ascii="Garamond" w:hAnsi="Garamond"/>
          <w:lang w:val="en-GB"/>
        </w:rPr>
        <w:t>Der König besucht in seiner Herablassung die chirurgische Klinik und trifft den Professor bei der Vornahme der Amputation eines Beines, deren einzelne Stadien er nun mit lauten Äußerungen seines königlichen Wohlgefallens begleitet. » Bravo, bravo, mein lieber Geheimrat.« Nach vollendeter Operation tritt der Professor an ihn heran und fragt, sich tief verneigend: » Befehlen Majestät auch das andere Bein?«</w:t>
      </w:r>
    </w:p>
    <w:p w:rsidR="00BA623D" w:rsidRPr="00BA623D" w:rsidRDefault="00BA623D" w:rsidP="00BA623D">
      <w:pPr>
        <w:pStyle w:val="Sansinterligne"/>
        <w:rPr>
          <w:rFonts w:ascii="Garamond" w:hAnsi="Garamond"/>
          <w:lang w:val="en-GB"/>
        </w:rPr>
      </w:pPr>
      <w:r w:rsidRPr="00BA623D">
        <w:rPr>
          <w:rFonts w:ascii="Garamond" w:hAnsi="Garamond"/>
          <w:lang w:val="en-GB"/>
        </w:rPr>
        <w:t>Was der Professor sich während des königlichen Beifalls gedacht haben mag, das ließ sich gewiß nicht unverändert aussprechen: »Das muß ja den Eindruck machen, als nehme ich dem armen Teufel das kranke Bein ab im königlichen Auftrag und nur wegen des königlichen Wohlgefallens. Ich habe doch wirklich andere Gründe für diese Operation.« Aber dann geht er vor den König hin und sagt: »Ich habe keine anderen Gründe für eine Operation als Ew. Majestät Auftrag. Der mir gespendete Beifall hat mich so beseligt, daß ich nur Ew. Majestät Befehl erwarte, um auch das gesunde Bein zu amputieren.« Es gelingt ihm so, sich verständlich zu machen, indem er das Gegenteil von dem aussagt, was er sich denkt und bei sich behalten muß. Dieses Gegenteil ist eine unglaubwürdige Überbietung.</w:t>
      </w:r>
    </w:p>
    <w:p w:rsidR="00BA623D" w:rsidRPr="00BA623D" w:rsidRDefault="00BA623D" w:rsidP="00BA623D">
      <w:pPr>
        <w:pStyle w:val="Sansinterligne"/>
        <w:rPr>
          <w:rFonts w:ascii="Garamond" w:hAnsi="Garamond"/>
          <w:lang w:val="en-GB"/>
        </w:rPr>
      </w:pPr>
      <w:r w:rsidRPr="00BA623D">
        <w:rPr>
          <w:rFonts w:ascii="Garamond" w:hAnsi="Garamond"/>
          <w:lang w:val="en-GB"/>
        </w:rPr>
        <w:t>Die Darstellung durchs Gegenteil ist, wie wir an diesen Beispielen sehen, ein häufig gebrauchtes und kräftig wirkendes Mittel der Witztechnik. Aber wir dürfen auch etwas anderes nicht übersehen, daß diese Technik keineswegs dem Witz allein eigen ist. Wenn Marcus Antonius, nachdem er in langer Rede auf dem Forum die Stimmung der Zuhörer um Cäsars Leichnam umgemodelt, endlich wieder einmal die Worte hinwirft:</w:t>
      </w:r>
    </w:p>
    <w:p w:rsidR="00BA623D" w:rsidRPr="00BA623D" w:rsidRDefault="00BA623D" w:rsidP="00BA623D">
      <w:pPr>
        <w:pStyle w:val="Sansinterligne"/>
        <w:rPr>
          <w:rFonts w:ascii="Garamond" w:hAnsi="Garamond"/>
          <w:lang w:val="en-GB"/>
        </w:rPr>
      </w:pPr>
      <w:r w:rsidRPr="00BA623D">
        <w:rPr>
          <w:rFonts w:ascii="Garamond" w:hAnsi="Garamond"/>
          <w:lang w:val="en-GB"/>
        </w:rPr>
        <w:t>»Denn Brutus ist ein ehrenwerter Mann ...«,</w:t>
      </w:r>
    </w:p>
    <w:p w:rsidR="00BA623D" w:rsidRPr="00BA623D" w:rsidRDefault="00BA623D" w:rsidP="00BA623D">
      <w:pPr>
        <w:pStyle w:val="Sansinterligne"/>
        <w:rPr>
          <w:rFonts w:ascii="Garamond" w:hAnsi="Garamond"/>
          <w:lang w:val="en-GB"/>
        </w:rPr>
      </w:pPr>
      <w:r w:rsidRPr="00BA623D">
        <w:rPr>
          <w:rFonts w:ascii="Garamond" w:hAnsi="Garamond"/>
          <w:lang w:val="en-GB"/>
        </w:rPr>
        <w:t>so weiß er, daß das Volk ihm nun den wahren Sinn seiner Worte entgegenschreien wird:</w:t>
      </w:r>
    </w:p>
    <w:p w:rsidR="00BA623D" w:rsidRPr="00BA623D" w:rsidRDefault="00BA623D" w:rsidP="00BA623D">
      <w:pPr>
        <w:pStyle w:val="Sansinterligne"/>
        <w:rPr>
          <w:rFonts w:ascii="Garamond" w:hAnsi="Garamond"/>
        </w:rPr>
      </w:pPr>
      <w:r w:rsidRPr="00BA623D">
        <w:rPr>
          <w:rFonts w:ascii="Garamond" w:hAnsi="Garamond"/>
        </w:rPr>
        <w:t>»Sie sind Verräter: ehrenwerte Männer!«</w:t>
      </w:r>
    </w:p>
    <w:p w:rsidR="00BA623D" w:rsidRPr="00BA623D" w:rsidRDefault="00BA623D" w:rsidP="00BA623D">
      <w:pPr>
        <w:pStyle w:val="Sansinterligne"/>
        <w:rPr>
          <w:rFonts w:ascii="Garamond" w:hAnsi="Garamond"/>
          <w:lang w:val="en-GB"/>
        </w:rPr>
      </w:pPr>
      <w:r w:rsidRPr="00BA623D">
        <w:rPr>
          <w:rFonts w:ascii="Garamond" w:hAnsi="Garamond"/>
        </w:rPr>
        <w:t xml:space="preserve">Oder wenn der Simplizissimus eine Sammlung unerhörter Brutalitäten und Zynismen als Äußerungen von » Gemütsmenschen« überschreibt, so ist das auch eine Darstellung durchs Gegenteil. Diese heißt man aber »Ironie«, nicht mehr Witz. Der Ironie ist gar keine andere Technik als die der Darstellung durchs Gegenteil eigentümlich. Überdies liest und hört man vom ironischen Witz. Es ist also nicht mehr zu bezweifeln, daß die Technik allein nicht hinreicht, den Witz zu charakterisieren. </w:t>
      </w:r>
      <w:r w:rsidRPr="00BA623D">
        <w:rPr>
          <w:rFonts w:ascii="Garamond" w:hAnsi="Garamond"/>
          <w:lang w:val="en-GB"/>
        </w:rPr>
        <w:t>Es muß noch etwas anderes hinzukommen, das wir bis jetzt nicht aufgefunden haben. Anderseits steht aber noch immer unwidersprochen da, daß mit der Rückbildung der Technik der Witz beseitigt ist. Vorläufig mag es uns schwerfallen, die beiden festen Punkte, die wir für die Aufklärung des Witzes gewonnen haben, miteinander vereint zu denken.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Wenn die Darstellung durchs Gegenteil zu den technischen Mitteln des Witzes gehört, so wird in uns die Erwartung rege, daß der Witz auch von deren Gegenteil, der Darstellung durch Ähnliches und Verwandtes, Gebrauch machen könne. Die Fortsetzung unserer Untersuchung kann uns in der Tat belehren, daß dies die Technik einer neuen, ganz besonders umfangreichen Gruppe von Gedankenwitzen ist. Wir beschreiben die Eigenart dieser Technik weit treffender, wenn wir anstatt Darstellung durch »Verwandtes« setzen: durch Zusammengehöriges oder Zusammenhängendes. Wir wollen sogar mit letzterem Charakter den Anfang machen und ihn sofort durch ein Beispiel erläutern.</w:t>
      </w:r>
    </w:p>
    <w:p w:rsidR="00BA623D" w:rsidRPr="00BA623D" w:rsidRDefault="00BA623D" w:rsidP="00BA623D">
      <w:pPr>
        <w:pStyle w:val="Sansinterligne"/>
        <w:rPr>
          <w:rFonts w:ascii="Garamond" w:hAnsi="Garamond"/>
          <w:lang w:val="en-GB"/>
        </w:rPr>
      </w:pPr>
      <w:r w:rsidRPr="00BA623D">
        <w:rPr>
          <w:rFonts w:ascii="Garamond" w:hAnsi="Garamond"/>
          <w:lang w:val="en-GB"/>
        </w:rPr>
        <w:t>Eine amerikanische Anekdote erzählt: Zwei wenig skrupulösen Geschäftsleuten war es gelungen, sich durch eine Reihe recht gewagter Unternehmungen ein großes Vermögen zu erwerben, und nun ging ihr Bemühen dahin, sich der guten Gesellschaft aufzudrängen. Unter anderen erschien es ihnen als ein zweckmäßiges Mittel, sich von dem vornehmsten und teuersten Maler der Stadt, dessen Bilder als Ereignisse betrachtet wurden, malen zu lassen. Auf einer großen Soiree wurden die kostbaren Bilder zuerst gezeigt, und die beiden Hausherren führten selbst den einflußreichsten Kunstkenner und Kritiker zur Wand des Salons, auf welcher die beiden Porträts nebeneinander aufgehängt waren, um ihm sein bewunderndes Urteil zu entlocken. Der sah die Bilder lange Zeit an, schüttelte dann den Kopf, als ob er etwas vermissen würde, und fragte bloß, auf den freien Raum zwischen beiden Bildern deutend: » And where is the Saviour?« (Und wo bleibt der Heiland? Oder: Ich vermisse da das Bild des Heilands.)</w:t>
      </w:r>
    </w:p>
    <w:p w:rsidR="00BA623D" w:rsidRPr="00BA623D" w:rsidRDefault="00BA623D" w:rsidP="00BA623D">
      <w:pPr>
        <w:pStyle w:val="Sansinterligne"/>
        <w:rPr>
          <w:rFonts w:ascii="Garamond" w:hAnsi="Garamond"/>
          <w:lang w:val="en-GB"/>
        </w:rPr>
      </w:pPr>
      <w:r w:rsidRPr="00BA623D">
        <w:rPr>
          <w:rFonts w:ascii="Garamond" w:hAnsi="Garamond"/>
          <w:lang w:val="en-GB"/>
        </w:rPr>
        <w:t>Der Sinn dieser Rede ist klar. Es handelt sich wieder um die Darstellung von etwas, was direkt nicht ausgedrückt werden kann. Auf welchem Wege kommt diese » indirekte Darstellung« zustande? Durch eine Reihe leicht sich einstellender Assoziationen und Schlüsse verfolgen wir den Weg von der Darstellung des Witzes an nach rückwärts.</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Die Frage: Wo ist der Heiland, das Bild des Heilands? läßt uns erraten, daß der Redner durch den Anblick der beiden Bilder an einen ähnlichen, ihm wie uns vertrauten Anblick gemahnt worden ist, welcher aber als hier fehlendes Element das Bild des Erlösers in der Mitte zwischen zwei anderen Bildern zeigte. Es gibt nur einen solchen Fall: Christus hängend zwischen den beiden Schächern. Das Fehlende wird vom Witz hervorgehoben, die Ähnlichkeit haftet an den im Witz übergangenen Bildern rechts und links vom Heiland. Sie kann nur darin bestehen, daß auch die im Salon aufgehängten die Bilder von Schächern sind. Was der Kritiker sagen wollte und nicht sagen konnte, war also: Ihr seid ein paar Halunken; ausführlicher: Was kümmern mich eure Bilder? Ihr seid ein paar Halunken, das weiß ich. Und er hat es schließlich über einige Assoziationen und Schlußfolgerungen auf einem Wege gesagt, den wir als den der Anspielung bezeichnen.</w:t>
      </w:r>
    </w:p>
    <w:p w:rsidR="00BA623D" w:rsidRPr="00BA623D" w:rsidRDefault="00BA623D" w:rsidP="00BA623D">
      <w:pPr>
        <w:pStyle w:val="Sansinterligne"/>
        <w:rPr>
          <w:rFonts w:ascii="Garamond" w:hAnsi="Garamond"/>
          <w:lang w:val="en-GB"/>
        </w:rPr>
      </w:pPr>
      <w:r w:rsidRPr="00BA623D">
        <w:rPr>
          <w:rFonts w:ascii="Garamond" w:hAnsi="Garamond"/>
          <w:lang w:val="en-GB"/>
        </w:rPr>
        <w:t>Wir erinnern uns sofort, daß wir der Anspielung bereits begegnet sind. Beim Doppelsinn nämlich; wenn von den zwei Bedeutungen, die in demselben Wort ihren Ausdruck finden, die eine als die häufigere und gebräuchlichere so sehr im Vordergrunde steht, daß sie uns an erster Stelle einfallen muß, während die andere als die entlegenere zurücksteht, so wollten wir diesen Fall als Doppelsinn mit Anspielung bezeichnen. Bei einer ganzen Reihe der bisher untersuchten Beispiele hatten wir angemerkt, daß deren Technik keine einfache sei, und erkennen nun die Anspielung als deren komplizierendes Moment. (Z. B. vgl. etwa den Umordnungswitz von der Frau, die sich etwas zurückgelegt und dabei viel verdient hat, oder den Widersinnswitz bei der Gratulation zum jüngsten Kind, es sei merkwürdig, was Menschenhände alles vermögen, S. 58.)</w:t>
      </w:r>
    </w:p>
    <w:p w:rsidR="00BA623D" w:rsidRPr="00BA623D" w:rsidRDefault="00BA623D" w:rsidP="00BA623D">
      <w:pPr>
        <w:pStyle w:val="Sansinterligne"/>
        <w:rPr>
          <w:rFonts w:ascii="Garamond" w:hAnsi="Garamond"/>
          <w:lang w:val="en-GB"/>
        </w:rPr>
      </w:pPr>
      <w:r w:rsidRPr="00BA623D">
        <w:rPr>
          <w:rFonts w:ascii="Garamond" w:hAnsi="Garamond"/>
          <w:lang w:val="en-GB"/>
        </w:rPr>
        <w:t>In der amerikanischen Anekdote haben wir nun die Anspielung frei vom Doppelsinn vor uns und finden als ihren Charakter die Ersetzung durch etwas im Denkzusammenhange Verbundenes. Es ist leicht zu erraten, daß der verwertbare Zusammenhang von mehr als einer Art sein kann. Um uns nicht in der Fülle zu verlieren, werden wir nur die ausgeprägtesten Variationen und diese nur an wenigen Beispielen erörtern.</w:t>
      </w:r>
    </w:p>
    <w:p w:rsidR="00BA623D" w:rsidRPr="00BA623D" w:rsidRDefault="00BA623D" w:rsidP="00BA623D">
      <w:pPr>
        <w:pStyle w:val="Sansinterligne"/>
        <w:rPr>
          <w:rFonts w:ascii="Garamond" w:hAnsi="Garamond"/>
          <w:lang w:val="en-GB"/>
        </w:rPr>
      </w:pPr>
      <w:r w:rsidRPr="00BA623D">
        <w:rPr>
          <w:rFonts w:ascii="Garamond" w:hAnsi="Garamond"/>
          <w:lang w:val="en-GB"/>
        </w:rPr>
        <w:t>Der zur Ersetzung verwendete Zusammenhang kann ein bloßer Anklang sein, so daß diese Unterart dem Kalauer beim Wortwitz analog wird. Es ist aber nicht der Anklang zweier Worte aneinander, sondern ganzer Sätze, charakteristischer Wortverbindungen u. dgl.</w:t>
      </w:r>
    </w:p>
    <w:p w:rsidR="00BA623D" w:rsidRPr="00BA623D" w:rsidRDefault="00BA623D" w:rsidP="00BA623D">
      <w:pPr>
        <w:pStyle w:val="Sansinterligne"/>
        <w:rPr>
          <w:rFonts w:ascii="Garamond" w:hAnsi="Garamond"/>
          <w:lang w:val="en-GB"/>
        </w:rPr>
      </w:pPr>
      <w:r w:rsidRPr="00BA623D">
        <w:rPr>
          <w:rFonts w:ascii="Garamond" w:hAnsi="Garamond"/>
          <w:lang w:val="en-GB"/>
        </w:rPr>
        <w:t>Z. B. Lichtenberg hat den Spruch geprägt: » Neue Bäder heilen gut«, der uns sofort an das Sprichwort erinnert: Neue Besen kehren gut, mit dem er die ersten anderthalb Worte, das letzte und die ganze Struktur des Satzes gemeinsam hat. Er ist auch sicherlich im Kopfe des witzigen Denkers als Nachbildung des bekannten Sprichwortes entstanden. Der Spruch Lichtenbergs wird so zur Anspielung auf das Sprichwort. Mittels dieser Anspielung wird uns etwas angedeutet, was nicht geradeheraus gesagt wird, daß an der Wirkung von Bädern auch noch anderes beteiligt ist als das in seinen Eigenschaften sich gleichbleibende Thermalwasser.</w:t>
      </w:r>
    </w:p>
    <w:p w:rsidR="00BA623D" w:rsidRPr="00BA623D" w:rsidRDefault="00BA623D" w:rsidP="00BA623D">
      <w:pPr>
        <w:pStyle w:val="Sansinterligne"/>
        <w:rPr>
          <w:rFonts w:ascii="Garamond" w:hAnsi="Garamond"/>
          <w:lang w:val="en-GB"/>
        </w:rPr>
      </w:pPr>
      <w:r w:rsidRPr="00BA623D">
        <w:rPr>
          <w:rFonts w:ascii="Garamond" w:hAnsi="Garamond"/>
          <w:lang w:val="en-GB"/>
        </w:rPr>
        <w:t>Ähnlich ist ein anderer Scherz oder Witz von Lichtenberg technisch aufzulösen: Ein Mädchen, kaum zwölf Moden alt. Das klingt an die Zeitbestimmung » zwölf Monden« (i. e. Monate) an und war vielleicht ursprünglich ein Schreibfehler für letzteren, in der Poesie zulässigen Ausdruck. Aber es hat einen guten Sinn, die wechselnde Mode anstatt des wechselnden Mondes zur Altersbestimmung für ein weibliches Wesen zu verwenden.</w:t>
      </w:r>
    </w:p>
    <w:p w:rsidR="00BA623D" w:rsidRPr="00BA623D" w:rsidRDefault="00BA623D" w:rsidP="00BA623D">
      <w:pPr>
        <w:pStyle w:val="Sansinterligne"/>
        <w:rPr>
          <w:rFonts w:ascii="Garamond" w:hAnsi="Garamond"/>
          <w:lang w:val="en-GB"/>
        </w:rPr>
      </w:pPr>
      <w:r w:rsidRPr="00BA623D">
        <w:rPr>
          <w:rFonts w:ascii="Garamond" w:hAnsi="Garamond"/>
          <w:lang w:val="en-GB"/>
        </w:rPr>
        <w:t>Der Zusammenhang kann in der Gleichheit bis auf eine einzige leichte Modifikation bestehen. Diese Technik läuft also wiederum einer Worttechnik parallel. Beide Arten von Witzen rufen fast den gleichen Eindruck hervor, doch sind sie nach den Vorgängen bei der Witzarbeit besser voneinander zu trennen.</w:t>
      </w:r>
    </w:p>
    <w:p w:rsidR="00BA623D" w:rsidRPr="00BA623D" w:rsidRDefault="00BA623D" w:rsidP="00BA623D">
      <w:pPr>
        <w:pStyle w:val="Sansinterligne"/>
        <w:rPr>
          <w:rFonts w:ascii="Garamond" w:hAnsi="Garamond"/>
          <w:lang w:val="en-GB"/>
        </w:rPr>
      </w:pPr>
      <w:r w:rsidRPr="00BA623D">
        <w:rPr>
          <w:rFonts w:ascii="Garamond" w:hAnsi="Garamond"/>
          <w:lang w:val="en-GB"/>
        </w:rPr>
        <w:t>Als Beispiel eines solchen Wortwitzes oder Kalauers: Die große, aber nicht nur durch den Umfang ihrer Stimme berühmte Sängerin Marie Wilt erfuhr die Kränkung, daß man den Titel eines aus dem bekannten Roman von J. Verne gezogenen Theaterstückes zu einer Anspielung auf ihre Mißgestalt verwendete: » Die Reise um die Wilt in 80 Tagen.«</w:t>
      </w:r>
    </w:p>
    <w:p w:rsidR="00BA623D" w:rsidRPr="00BA623D" w:rsidRDefault="00BA623D" w:rsidP="00BA623D">
      <w:pPr>
        <w:pStyle w:val="Sansinterligne"/>
        <w:rPr>
          <w:rFonts w:ascii="Garamond" w:hAnsi="Garamond"/>
          <w:lang w:val="en-GB"/>
        </w:rPr>
      </w:pPr>
      <w:r w:rsidRPr="00BA623D">
        <w:rPr>
          <w:rFonts w:ascii="Garamond" w:hAnsi="Garamond"/>
          <w:lang w:val="en-GB"/>
        </w:rPr>
        <w:t>Oder: » Jede Klafter eine Königin«, eine Modifikation des bekannten Shakespeareschen » Jeder Zoll ein König« und eine Anspielung auf dieses Zitat, auf eine Vornehme und überlebensgroße Dame bezogen. Es wäre wirklich nicht viel Ernsthaftes dagegen zu sagen, wenn jemand diesen Witz vielmehr zu den Verdichtungen mit Modifikationen als Ersatzbildung (S. 24) stellen würde. (Vgl. tête-à-bête.)</w:t>
      </w:r>
    </w:p>
    <w:p w:rsidR="00BA623D" w:rsidRPr="00BA623D" w:rsidRDefault="00BA623D" w:rsidP="00BA623D">
      <w:pPr>
        <w:pStyle w:val="Sansinterligne"/>
        <w:rPr>
          <w:rFonts w:ascii="Garamond" w:hAnsi="Garamond"/>
          <w:lang w:val="en-GB"/>
        </w:rPr>
      </w:pPr>
      <w:r w:rsidRPr="00BA623D">
        <w:rPr>
          <w:rFonts w:ascii="Garamond" w:hAnsi="Garamond"/>
          <w:lang w:val="en-GB"/>
        </w:rPr>
        <w:t>Von einer hochstrebenden, aber in der Verfolgung ihrer Ziele eigensinnigen Person sagte ein Freund: » Er hat ein Ideal vor dem Kopf.« » Ein Brett vor dem Kopf haben« ist die geläufige Redensart, auf welche diese Modifikation anspielt und deren Sinn sie für sich selbst in Anspruch nimmt. Auch hier kann man die Technik als Verdichtung mit Modifikation beschreiben.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Fast ununterscheidbar werden Anspielung durch Modifikation und Verdichtung mit Ersatzbildung, wenn sich die Modifikation auf die Veränderung von Buchstaben einschränkt, z. B. Di chteritis. Die Anspielung auf die böse Seuche der Di phtheritis stellt auch das Dichten Unberufener als gemeingefährlich hin.</w:t>
      </w:r>
    </w:p>
    <w:p w:rsidR="00BA623D" w:rsidRPr="00BA623D" w:rsidRDefault="00BA623D" w:rsidP="00BA623D">
      <w:pPr>
        <w:pStyle w:val="Sansinterligne"/>
        <w:rPr>
          <w:rFonts w:ascii="Garamond" w:hAnsi="Garamond"/>
          <w:lang w:val="en-GB"/>
        </w:rPr>
      </w:pPr>
      <w:r w:rsidRPr="00BA623D">
        <w:rPr>
          <w:rFonts w:ascii="Garamond" w:hAnsi="Garamond"/>
          <w:lang w:val="en-GB"/>
        </w:rPr>
        <w:t>Die Negationspartikeln ermöglichen sehr schöne Anspielungen mit geringen Abänderungskosten:</w:t>
      </w:r>
    </w:p>
    <w:p w:rsidR="00BA623D" w:rsidRPr="00BA623D" w:rsidRDefault="00BA623D" w:rsidP="00BA623D">
      <w:pPr>
        <w:pStyle w:val="Sansinterligne"/>
        <w:rPr>
          <w:rFonts w:ascii="Garamond" w:hAnsi="Garamond"/>
          <w:lang w:val="en-GB"/>
        </w:rPr>
      </w:pPr>
      <w:r w:rsidRPr="00BA623D">
        <w:rPr>
          <w:rFonts w:ascii="Garamond" w:hAnsi="Garamond"/>
          <w:lang w:val="en-GB"/>
        </w:rPr>
        <w:t>»Mein Unglaubensgenosse Spinoza«, sagt Heine. »Wir von Gottes Ungnaden Taglöhner, Leibeigene, Neger, Fronknechte« usw. ... beginnt bei Lichtenberg ein nicht weiter ausgeführtes Manifest dieser Unglücklichen, die jedenfalls auf solche Titulatur mehr Anrecht haben als Könige und Fürstlichkeiten auf die unmodifizierte.</w:t>
      </w:r>
    </w:p>
    <w:p w:rsidR="00BA623D" w:rsidRPr="00BA623D" w:rsidRDefault="00BA623D" w:rsidP="00BA623D">
      <w:pPr>
        <w:pStyle w:val="Sansinterligne"/>
        <w:rPr>
          <w:rFonts w:ascii="Garamond" w:hAnsi="Garamond"/>
          <w:lang w:val="en-GB"/>
        </w:rPr>
      </w:pPr>
      <w:r w:rsidRPr="00BA623D">
        <w:rPr>
          <w:rFonts w:ascii="Garamond" w:hAnsi="Garamond"/>
          <w:lang w:val="en-GB"/>
        </w:rPr>
        <w:t>Eine Form der Anspielung ist schließlich auch die Auslassung, der Verdichtung ohne Ersatzbildung vergleichbar. Eigentlich wird bei jeder Anspielung etwas ausgelassen, nämlich die zur Anspielung hinführenden Gedankenwege. Es kommt nur darauf an, ob die Lücke das Augenfälligere ist oder der die Lücke teilweise ausfüllende Ersatz in dem Wortlaut der Anspielung. So kämen wir über eine Reihe von Beispielen von der krassen Auslassung zur eigentlichen Anspielung zurück.</w:t>
      </w:r>
    </w:p>
    <w:p w:rsidR="00BA623D" w:rsidRPr="00BA623D" w:rsidRDefault="00BA623D" w:rsidP="00BA623D">
      <w:pPr>
        <w:pStyle w:val="Sansinterligne"/>
        <w:rPr>
          <w:rFonts w:ascii="Garamond" w:hAnsi="Garamond"/>
          <w:lang w:val="en-GB"/>
        </w:rPr>
      </w:pPr>
      <w:r w:rsidRPr="00BA623D">
        <w:rPr>
          <w:rFonts w:ascii="Garamond" w:hAnsi="Garamond"/>
          <w:lang w:val="en-GB"/>
        </w:rPr>
        <w:t>Auslassung ohne Ersatz findet sich in folgendem Beispiel: In Wien lebt ein geistreicher und kampflustiger Schriftsteller, der sich durch die Schärfe seiner Invektive wiederholt körperliche Mißhandlungen von seiten der Angegriffenen zugezogen hat. Als einmal eine neue Missetat eines seiner habituellen Gegner beredet wurde, äußerte ein dritter: Wenn der X das hört, bekommt er wieder eine Ohrfeige. Zur Technik dieses Witzes gehört zunächst die Verblüffung über den scheinbaren Widersinn, denn eine Ohrfeige bekommen, leuchtet uns als unmittelbare Folge davon, daß man etwas gehört hat, keineswegs ein. Der Widersinn vergeht, wenn man in die Lücke einsetzt: dann schreibt er einen so bissigen Artikel gegen den Betreffenden, daß usw. Anspielung durch Auslassung und Widersinn sind also die technischen Mittel dieses Witzes.</w:t>
      </w:r>
    </w:p>
    <w:p w:rsidR="00BA623D" w:rsidRPr="00BA623D" w:rsidRDefault="00BA623D" w:rsidP="00BA623D">
      <w:pPr>
        <w:pStyle w:val="Sansinterligne"/>
        <w:rPr>
          <w:rFonts w:ascii="Garamond" w:hAnsi="Garamond"/>
          <w:lang w:val="en-GB"/>
        </w:rPr>
      </w:pPr>
      <w:r w:rsidRPr="00BA623D">
        <w:rPr>
          <w:rFonts w:ascii="Garamond" w:hAnsi="Garamond"/>
          <w:lang w:val="en-GB"/>
        </w:rPr>
        <w:t>Heine: » Er lobt sich so stark, daß die Räucherkerzchen im Preise steigen.« Diese Lücke ist leicht auszufüllen. Das Ausgelassene ist durch eine Folgerung ersetzt, die nun als Anspielung auf dasselbe zurückleitet. Eigenlob stinkt.</w:t>
      </w:r>
    </w:p>
    <w:p w:rsidR="00BA623D" w:rsidRPr="00BA623D" w:rsidRDefault="00BA623D" w:rsidP="00BA623D">
      <w:pPr>
        <w:pStyle w:val="Sansinterligne"/>
        <w:rPr>
          <w:rFonts w:ascii="Garamond" w:hAnsi="Garamond"/>
          <w:lang w:val="en-GB"/>
        </w:rPr>
      </w:pPr>
      <w:r w:rsidRPr="00BA623D">
        <w:rPr>
          <w:rFonts w:ascii="Garamond" w:hAnsi="Garamond"/>
          <w:lang w:val="en-GB"/>
        </w:rPr>
        <w:t>Nun wieder einmal die beiden Juden vor dem Badehause!</w:t>
      </w:r>
    </w:p>
    <w:p w:rsidR="00BA623D" w:rsidRPr="00BA623D" w:rsidRDefault="00BA623D" w:rsidP="00BA623D">
      <w:pPr>
        <w:pStyle w:val="Sansinterligne"/>
        <w:rPr>
          <w:rFonts w:ascii="Garamond" w:hAnsi="Garamond"/>
          <w:lang w:val="en-GB"/>
        </w:rPr>
      </w:pPr>
      <w:r w:rsidRPr="00BA623D">
        <w:rPr>
          <w:rFonts w:ascii="Garamond" w:hAnsi="Garamond"/>
          <w:lang w:val="en-GB"/>
        </w:rPr>
        <w:t>» Schon wieder ein Jahr vergangen!« seufzt der eine.</w:t>
      </w:r>
    </w:p>
    <w:p w:rsidR="00BA623D" w:rsidRPr="00BA623D" w:rsidRDefault="00BA623D" w:rsidP="00BA623D">
      <w:pPr>
        <w:pStyle w:val="Sansinterligne"/>
        <w:rPr>
          <w:rFonts w:ascii="Garamond" w:hAnsi="Garamond"/>
          <w:lang w:val="en-GB"/>
        </w:rPr>
      </w:pPr>
      <w:r w:rsidRPr="00BA623D">
        <w:rPr>
          <w:rFonts w:ascii="Garamond" w:hAnsi="Garamond"/>
          <w:lang w:val="en-GB"/>
        </w:rPr>
        <w:t>Diese Beispiele lassen wohl keinen Zweifel bestehen, daß die Auslassung zur Anspielung gehört.</w:t>
      </w:r>
    </w:p>
    <w:p w:rsidR="00BA623D" w:rsidRPr="00BA623D" w:rsidRDefault="00BA623D" w:rsidP="00BA623D">
      <w:pPr>
        <w:pStyle w:val="Sansinterligne"/>
        <w:rPr>
          <w:rFonts w:ascii="Garamond" w:hAnsi="Garamond"/>
          <w:lang w:val="en-GB"/>
        </w:rPr>
      </w:pPr>
      <w:r w:rsidRPr="00BA623D">
        <w:rPr>
          <w:rFonts w:ascii="Garamond" w:hAnsi="Garamond"/>
          <w:lang w:val="en-GB"/>
        </w:rPr>
        <w:t>Eine immer noch auffällige Lücke findet sich in nachstehendem Beispiel, das doch ein echter und richtiger Anspielungswitz ist. Nach einem Künstlerfest in Wien wurde ein Scherzbuch herausgegeben, in welchem unter anderen folgender, höchst merkwürdiger Sinnspruch verzeichnet stand:</w:t>
      </w:r>
    </w:p>
    <w:p w:rsidR="00BA623D" w:rsidRPr="00BA623D" w:rsidRDefault="00BA623D" w:rsidP="00BA623D">
      <w:pPr>
        <w:pStyle w:val="Sansinterligne"/>
        <w:rPr>
          <w:rFonts w:ascii="Garamond" w:hAnsi="Garamond"/>
          <w:lang w:val="en-GB"/>
        </w:rPr>
      </w:pPr>
      <w:r w:rsidRPr="00BA623D">
        <w:rPr>
          <w:rFonts w:ascii="Garamond" w:hAnsi="Garamond"/>
          <w:lang w:val="en-GB"/>
        </w:rPr>
        <w:t>» Eine Frau ist wie ein Regenschirm. Man nimmt sich dann doch einen Komfortabel.«</w:t>
      </w:r>
    </w:p>
    <w:p w:rsidR="00BA623D" w:rsidRPr="00BA623D" w:rsidRDefault="00BA623D" w:rsidP="00BA623D">
      <w:pPr>
        <w:pStyle w:val="Sansinterligne"/>
        <w:rPr>
          <w:rFonts w:ascii="Garamond" w:hAnsi="Garamond"/>
          <w:lang w:val="en-GB"/>
        </w:rPr>
      </w:pPr>
      <w:r w:rsidRPr="00BA623D">
        <w:rPr>
          <w:rFonts w:ascii="Garamond" w:hAnsi="Garamond"/>
          <w:lang w:val="en-GB"/>
        </w:rPr>
        <w:t>Ein Regenschirm schützt nicht genug vor dem Regen. Das »dann doch« kann nur heißen: wenn es tüchtig regnet, und ein Komfortabel ist ein öffentliches Fuhrwerk. Da wir es aber hier mit der Form des Gleichnisses zu tun haben, wollen wir die eingehendere Untersuchung dieses Witzes auf einen späteren Moment verschieben.</w:t>
      </w:r>
    </w:p>
    <w:p w:rsidR="00BA623D" w:rsidRPr="00BA623D" w:rsidRDefault="00BA623D" w:rsidP="00BA623D">
      <w:pPr>
        <w:pStyle w:val="Sansinterligne"/>
        <w:rPr>
          <w:rFonts w:ascii="Garamond" w:hAnsi="Garamond"/>
          <w:lang w:val="en-GB"/>
        </w:rPr>
      </w:pPr>
      <w:r w:rsidRPr="00BA623D">
        <w:rPr>
          <w:rFonts w:ascii="Garamond" w:hAnsi="Garamond"/>
          <w:lang w:val="en-GB"/>
        </w:rPr>
        <w:t>Ein wahres Wespennest der stachligsten Anspielungen enthalten Heines ›Bäder von Lucca‹, die von dieser Form des Witzes die kunstvollste Verwendung zu polemischen Zwecken (gegen den Grafen Platen) machen. Lange zuvor, ehe der Leser diese Verwendung ahnen kann, wird einem gewissen Thema, das sich zur direkten Darstellung besonders schlecht eignet, durch Anspielungen aus dem mannigfaltigsten Material präludiert, z. B. in den Wortverdrehungen des Hirsch-Hyacinth: »Sie sind zu korpulent und ich bin zu mager, Sie haben viel Einbildung und ich habe desto mehr Geschäftssinn, ich bin ein Praktikus und Sie sind ein Diarrhetikus, kurz und gut, Sie sind ganz mein Antipodex.« – »Venus Urinia« – die dicke Gudel vom Dreckwall in Hamburg – u. dgl., dann nehmen die Begebenheiten, von denen der Dichter erzählt, eine Wendung, die zunächst nur von dem unartigen Mutwillen des Dichters zu zeugen scheint, bald aber ihre symbolische Beziehung zur polemischen Absicht enthüllt und sich somit gleichfalls als Anspielung kundgibt. Endlich bricht der Angriff auf Platen los, und nun sprudeln und quellen die Anspielungen auf das bereits bekanntgewordene Thema der Männerliebe des Grafen aus jedem der Sätze, die Heine gegen das Talent und den Charakter seines Gegners richtet, z. B.:</w:t>
      </w:r>
    </w:p>
    <w:p w:rsidR="00BA623D" w:rsidRPr="00BA623D" w:rsidRDefault="00BA623D" w:rsidP="00BA623D">
      <w:pPr>
        <w:pStyle w:val="Sansinterligne"/>
        <w:rPr>
          <w:rFonts w:ascii="Garamond" w:hAnsi="Garamond"/>
          <w:lang w:val="en-GB"/>
        </w:rPr>
      </w:pPr>
      <w:r w:rsidRPr="00BA623D">
        <w:rPr>
          <w:rFonts w:ascii="Garamond" w:hAnsi="Garamond"/>
          <w:lang w:val="en-GB"/>
        </w:rPr>
        <w:t>»Wenn auch die Musen ihm nicht hold sind, so hat er doch den Genius der Sprache in seiner Gewalt, oder vielmehr er weiß ihm Gewalt anzutun; denn die freie Liebe dieses Genius fehlt ihm, er muß auch diesem Jungen beharrlich nachlaufen, und er weiß nur die äußeren Formen zu erfassen, die trotz ihrer schönen Rundung sich nie edel aussprechen.«</w:t>
      </w:r>
    </w:p>
    <w:p w:rsidR="00BA623D" w:rsidRPr="00BA623D" w:rsidRDefault="00BA623D" w:rsidP="00BA623D">
      <w:pPr>
        <w:pStyle w:val="Sansinterligne"/>
        <w:rPr>
          <w:rFonts w:ascii="Garamond" w:hAnsi="Garamond"/>
          <w:lang w:val="en-GB"/>
        </w:rPr>
      </w:pPr>
      <w:r w:rsidRPr="00BA623D">
        <w:rPr>
          <w:rFonts w:ascii="Garamond" w:hAnsi="Garamond"/>
          <w:lang w:val="en-GB"/>
        </w:rPr>
        <w:t>»Es geht ihm dann wie dem Vogel Strauß, der sich hinlänglich verborgen glaubt, wenn er den Kopf in den Sand gesteckt, so daß nur der Steiß sichtbar wird. Unser erlauchter Vogel hätte besser getan, wenn er den Steiß in den Sand versteckt und uns den Kopf gezeigt hätte.«</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Die Anspielung ist vielleicht das gebräuchlichste und am leichtesten zu handhabende Mittel des Witzes und liegt den meisten der kurzlebigen Witzproduktionen zugrunde, die wir in unsere Unterhaltung einzuflechten gewöhnt sind und welche eine Ablösung von diesem Mutterboden und selbständige Konservierung nicht vertragen. Gerade bei ihr werden wir aber von neuem an jenes Verhältnis gemahnt, das begonnen hat, uns an der Schätzung der Witztechnik irrezumachen. Auch die Anspielung ist nicht etwa an sich witzig, es gibt korrekt gebildete Anspielungen, die auf diesen Charakter keinen Anspruch haben. Witzig ist nur die »witzige« Anspielung, so daß das Kennzeichen des Witzes, das wir bis in die Technik verfolgt haben, uns dort wieder entschwindet.</w:t>
      </w:r>
    </w:p>
    <w:p w:rsidR="00BA623D" w:rsidRPr="00BA623D" w:rsidRDefault="00BA623D" w:rsidP="00BA623D">
      <w:pPr>
        <w:pStyle w:val="Sansinterligne"/>
        <w:rPr>
          <w:rFonts w:ascii="Garamond" w:hAnsi="Garamond"/>
          <w:lang w:val="en-GB"/>
        </w:rPr>
      </w:pPr>
      <w:r w:rsidRPr="00BA623D">
        <w:rPr>
          <w:rFonts w:ascii="Garamond" w:hAnsi="Garamond"/>
          <w:lang w:val="en-GB"/>
        </w:rPr>
        <w:t>Ich habe die Anspielung gelegentlich als » indirekte Darstellung« bezeichnet und werde nun darauf aufmerksam, daß man sehr wohl die verschiedenen Arten der Anspielung mit der Darstellung durch das Gegenteil und mit den noch zu erwähnenden Techniken zu einer einzigen großen Gruppe vereinigen kann, für welche » indirekte Darstellung« der umfassendste Name wäre. Denkfehler – Unifizierung – indirekte Darstellung heißen also die Gesichtspunkte, unter welche sich die uns bekanntgewordenen Techniken des Gedankenwitzes bringen ließen.</w:t>
      </w:r>
    </w:p>
    <w:p w:rsidR="00BA623D" w:rsidRPr="00BA623D" w:rsidRDefault="00BA623D" w:rsidP="00BA623D">
      <w:pPr>
        <w:pStyle w:val="Sansinterligne"/>
        <w:rPr>
          <w:rFonts w:ascii="Garamond" w:hAnsi="Garamond"/>
          <w:lang w:val="en-GB"/>
        </w:rPr>
      </w:pPr>
      <w:r w:rsidRPr="00BA623D">
        <w:rPr>
          <w:rFonts w:ascii="Garamond" w:hAnsi="Garamond"/>
          <w:lang w:val="en-GB"/>
        </w:rPr>
        <w:t>Bei fortgesetzter Untersuchung unseres Materials glauben wir nun eine neue Unterart der indirekten Darstellung zu erkennen, die sich scharf charakterisieren, aber nur durch wenige Beispiele belegen läßt. Es ist dies die Darstellung durch ein Kleines oder Kleinstes, welche die Aufgabe löst, einen ganzen Charakter durch ein winziges Detail zum vollen Ausdruck zu bringen. Die Anreihung dieser Gruppe an die Anspielung wird durch die Erwägung ermöglicht, daß ja diese Winzigkeit mit dem Darzustellenden in Zusammenhang steht, sich als Folgerung aus ihm ableiten läßt, z. B.:</w:t>
      </w:r>
    </w:p>
    <w:p w:rsidR="00BA623D" w:rsidRPr="00BA623D" w:rsidRDefault="00BA623D" w:rsidP="00BA623D">
      <w:pPr>
        <w:pStyle w:val="Sansinterligne"/>
        <w:rPr>
          <w:rFonts w:ascii="Garamond" w:hAnsi="Garamond"/>
          <w:lang w:val="en-GB"/>
        </w:rPr>
      </w:pPr>
      <w:r w:rsidRPr="00BA623D">
        <w:rPr>
          <w:rFonts w:ascii="Garamond" w:hAnsi="Garamond"/>
          <w:lang w:val="en-GB"/>
        </w:rPr>
        <w:t>Ein galizischer Jude fährt in der Eisenbahn und hat es sich recht bequem gemacht, den Rock aufgeknöpft, die Füße auf die Bank gelegt. Da steigt ein modern gekleideter Herr ein. Sofort nimmt sich der Jude zusammen, setzt sich in bescheidene Positur. Der Fremde blättert in einem Buch, rechnet, besinnt sich und richtet plötzlich an den Juden die Frage: »Ich bitte Sie, wann haben wir Jomkipur?« (Versöhnungstag.) » Aesoi«, sagt der Jude und legt die Füße wieder auf die Bank, ehe er die Antwort gibt.</w:t>
      </w:r>
    </w:p>
    <w:p w:rsidR="00BA623D" w:rsidRPr="00BA623D" w:rsidRDefault="00BA623D" w:rsidP="00BA623D">
      <w:pPr>
        <w:pStyle w:val="Sansinterligne"/>
        <w:rPr>
          <w:rFonts w:ascii="Garamond" w:hAnsi="Garamond"/>
          <w:lang w:val="en-GB"/>
        </w:rPr>
      </w:pPr>
      <w:r w:rsidRPr="00BA623D">
        <w:rPr>
          <w:rFonts w:ascii="Garamond" w:hAnsi="Garamond"/>
          <w:lang w:val="en-GB"/>
        </w:rPr>
        <w:t>Es wird nicht abzuweisen sein, daß diese Darstellung durch ein Kleines an die Tendenz zur Ersparnis anknüpft, welche wir nach der Erforschung der Wortwitztechnik als das letzte Gemeinsame übrigbehalten haben.</w:t>
      </w:r>
    </w:p>
    <w:p w:rsidR="00BA623D" w:rsidRPr="00BA623D" w:rsidRDefault="00BA623D" w:rsidP="00BA623D">
      <w:pPr>
        <w:pStyle w:val="Sansinterligne"/>
        <w:rPr>
          <w:rFonts w:ascii="Garamond" w:hAnsi="Garamond"/>
        </w:rPr>
      </w:pPr>
      <w:r w:rsidRPr="00BA623D">
        <w:rPr>
          <w:rFonts w:ascii="Garamond" w:hAnsi="Garamond"/>
        </w:rPr>
        <w:t>Ein ganz ähnliches Beispiel ist folgendes:</w:t>
      </w:r>
    </w:p>
    <w:p w:rsidR="00BA623D" w:rsidRPr="00BA623D" w:rsidRDefault="00BA623D" w:rsidP="00BA623D">
      <w:pPr>
        <w:pStyle w:val="Sansinterligne"/>
        <w:rPr>
          <w:rFonts w:ascii="Garamond" w:hAnsi="Garamond"/>
          <w:lang w:val="en-GB"/>
        </w:rPr>
      </w:pPr>
      <w:r w:rsidRPr="00BA623D">
        <w:rPr>
          <w:rFonts w:ascii="Garamond" w:hAnsi="Garamond"/>
        </w:rPr>
        <w:t xml:space="preserve">Der Arzt, der gebeten worden ist, der Frau Baronin bei ihrer Entbindung beizustehen, erklärt den Moment für noch nicht gekommen und schlägt dem Baron unterdes eine Kartenpartie im Nebenzimmer vor. Nach einer Weile dringt der Wehruf der Frau Baronin an das Ohr der beiden Männer. » Ah mon Dieu, que je souffre!« </w:t>
      </w:r>
      <w:r w:rsidRPr="00BA623D">
        <w:rPr>
          <w:rFonts w:ascii="Garamond" w:hAnsi="Garamond"/>
          <w:lang w:val="en-GB"/>
        </w:rPr>
        <w:t>Der Gemahl springt auf, aber der Arzt wehrt ab: »Es ist nichts, spielen wir weiter.« Eine Weile später hört man die Kreißende wieder: » Mein Gott, mein Gott, was für Schmerzen!« – »Wollen Sie nicht hineingehen, Herr Professor?« fragt der Baron. – »Nein, nein, es ist noch nicht Zeit.« – Endlich hört man aus dem Nebenzimmer ein unverkennbares: » Ai, waih, waih« geschrien; da wirft der Arzt die Karten weg und sagt: »Es ist Zeit.«</w:t>
      </w:r>
    </w:p>
    <w:p w:rsidR="00BA623D" w:rsidRPr="00BA623D" w:rsidRDefault="00BA623D" w:rsidP="00BA623D">
      <w:pPr>
        <w:pStyle w:val="Sansinterligne"/>
        <w:rPr>
          <w:rFonts w:ascii="Garamond" w:hAnsi="Garamond"/>
          <w:lang w:val="en-GB"/>
        </w:rPr>
      </w:pPr>
      <w:r w:rsidRPr="00BA623D">
        <w:rPr>
          <w:rFonts w:ascii="Garamond" w:hAnsi="Garamond"/>
          <w:lang w:val="en-GB"/>
        </w:rPr>
        <w:t>Wie der Schmerz durch alle Schichtungen der Erziehung die ursprüngliche Natur durchbrechen läßt, und wie eine wichtige Entscheidung mit Recht von einer scheinbar belanglosen Äußerung abhängig gemacht wird, das zeigt beides dieser gute Witz an dem Beispiel der schrittweisen Veränderung der Klagerufe bei der gebärenden vornehmen Frau.</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Eine andere Art der indirekten Darstellung, deren sich der Witz bedient, das Gleichnis, haben wir uns so lange aufgespart, weil dessen Beurteilung auf neue Schwierigkeiten stößt, oder Schwierigkeiten, die sich schon bei anderen Gelegenheiten ergeben haben, besonders deutlich erkennen läßt. Wir haben schon vorhin eingestanden, daß wir bei manchen zur Untersuchung vorliegenden Beispielen ein Schwanken, ob sie überhaupt den Witzen zuzurechnen seien, nicht zu bannen vermögen, und haben in dieser Unsicherheit eine bedenkliche Erschütterung der Grundlagen unserer Untersuchung erkannt. Bei keinem anderen Material empfinde ich aber diese Unsicherheit stärker und häufiger als bei den Gleichniswitzen. Die Empfindung, welche mir – und wahrscheinlich einer großen Anzahl anderer unter den nämlichen Bedingungen wie mir – zu sagen pflegt: Dies ist ein Witz, dies darf man für einen Witz ausgeben, noch ehe der verborgene wesentliche Charakter des Witzes entdeckt ist; diese Empfindung läßt mich bei den witzigen Vergleichen am ehesten im Stiche. Wenn ich den Vergleich zuerst ohne Bedenken für einen Witz erklärt habe, so glaube ich einen Augenblick später zu bemerken, daß das Vergnügen, das er mir bereitet, von anderer Qualität ist, als welches ich einem Witz zu verdanken pflege, und der Umstand, daß die witzigen Vergleiche nur sehr selten das explosionsartige Lachen hervorzurufen vermögen, durch welches </w:t>
      </w:r>
      <w:r w:rsidRPr="00BA623D">
        <w:rPr>
          <w:rFonts w:ascii="Garamond" w:hAnsi="Garamond"/>
          <w:lang w:val="en-GB"/>
        </w:rPr>
        <w:lastRenderedPageBreak/>
        <w:t>sich ein guter Witz bezeugt, macht es mir unmöglich, mich dem Zweifel wie sonst zu entziehen, indem ich mich auf die besten und effektvollsten Beispiele der Gattung einschränke.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Daß es ausgezeichnet schöne und wirksame Beispiele von Gleichnissen gibt, die uns den Eindruck des Witzes keineswegs machen, ist leicht zu zeigen. Der schöne Vergleich der durchgehenden Zärtlichkeit in Ottiliens Tagebuch mit dem roten Faden der englischen Marine s. S. 22 ist ein solcher; auch ein anderes, das zu bewundern ich noch nicht müde geworden bin und dessen Eindruck ich nicht überwunden habe, kann ich mir nicht versagen, im gleichen Sinne anzuführen. Es ist das Gleichnis, mit welchem Ferd. Lassalle eine seiner berühmten Verteidigungsreden (›Die Wissenschaft und die Arbeiter‹) geschlossen hat: »Ein Mann, welcher, wie ich Ihnen dies erklärt habe, sein Leben dem Wahlspruch gewidmet hat ›Die Wissenschaft und die Arbeiter‹, dem würde auch eine Verurteilung, die er auf seinem Wege findet, keinen anderen Eindruck machen können, </w:t>
      </w:r>
      <w:bookmarkStart w:id="106" w:name="_Hlt249733516"/>
      <w:r w:rsidRPr="00BA623D">
        <w:rPr>
          <w:rFonts w:ascii="Garamond" w:hAnsi="Garamond"/>
          <w:lang w:val="en-GB"/>
        </w:rPr>
        <w:t>als etwa das Springen einer Retorte dem in seine wissenschaftlichen Experimente vertieften Chemiker. Mit einem leisen Stirnrunzeln über den Widerstand der Materie setzt er, sowie die Störung beseitigt ist, ruhig seine Forschungen und Arbeiten fort.</w:t>
      </w:r>
      <w:bookmarkEnd w:id="106"/>
    </w:p>
    <w:p w:rsidR="00BA623D" w:rsidRPr="00BA623D" w:rsidRDefault="00BA623D" w:rsidP="00BA623D">
      <w:pPr>
        <w:pStyle w:val="Sansinterligne"/>
        <w:rPr>
          <w:rFonts w:ascii="Garamond" w:hAnsi="Garamond"/>
          <w:lang w:val="en-GB"/>
        </w:rPr>
      </w:pPr>
      <w:r w:rsidRPr="00BA623D">
        <w:rPr>
          <w:rFonts w:ascii="Garamond" w:hAnsi="Garamond"/>
          <w:lang w:val="en-GB"/>
        </w:rPr>
        <w:t>Eine reiche Auswahl von treffenden und witzigen Gleichnissen findet man in den Schriften Lichtenbergs (II. Bd. der Göttinger Ausgabe, 1853); von dort will ich auch das Material für unsere Untersuchung entnehmen.</w:t>
      </w:r>
    </w:p>
    <w:p w:rsidR="00BA623D" w:rsidRPr="00BA623D" w:rsidRDefault="00BA623D" w:rsidP="00BA623D">
      <w:pPr>
        <w:pStyle w:val="Sansinterligne"/>
        <w:rPr>
          <w:rFonts w:ascii="Garamond" w:hAnsi="Garamond"/>
          <w:lang w:val="en-GB"/>
        </w:rPr>
      </w:pPr>
      <w:r w:rsidRPr="00BA623D">
        <w:rPr>
          <w:rFonts w:ascii="Garamond" w:hAnsi="Garamond"/>
          <w:lang w:val="en-GB"/>
        </w:rPr>
        <w:t>» Es ist fast unmöglich, die Fackel der Wahrheit durch ein Gedränge zu tragen, ohne jemandem den Bart zu sengen.«</w:t>
      </w:r>
    </w:p>
    <w:p w:rsidR="00BA623D" w:rsidRPr="00BA623D" w:rsidRDefault="00BA623D" w:rsidP="00BA623D">
      <w:pPr>
        <w:pStyle w:val="Sansinterligne"/>
        <w:rPr>
          <w:rFonts w:ascii="Garamond" w:hAnsi="Garamond"/>
          <w:lang w:val="en-GB"/>
        </w:rPr>
      </w:pPr>
      <w:r w:rsidRPr="00BA623D">
        <w:rPr>
          <w:rFonts w:ascii="Garamond" w:hAnsi="Garamond"/>
          <w:lang w:val="en-GB"/>
        </w:rPr>
        <w:t>Das erscheint wohl witzig, aber bei näherem Zusehen merkt man, daß die witzige Wirkung nicht vom Vergleich selbst, sondern von einer Nebeneigenschaft desselben ausgeht. Die »Fackel der Wahrheit« ist eigentlich kein neuer Vergleich, sondern ein längst gebräuchlicher und zur fixierten Phrase herabgesunken, wie es immer zutrifft, wenn ein Vergleich Glück hat und vom Sprachgebrauch akzeptiert wird. Während wir in der Redensart »die Fackel der Wahrheit« den Vergleich kaum mehr bemerken, wird ihm bei Lichtenberg die ursprüngliche Vollkraft wiedergegeben, da nun auf dem Vergleich weitergebaut, eine Folgerung aus ihm gezogen wird. Solches Vollnehmen abgeblaßter Redensarten ist uns aber als Technik des Witzes bereits bekannt, es findet eine Stelle bei der mehrfachen Verwendung des nämlichen Materials (s. S. 34). Es könnte sehr wohl sein, daß der witzige Eindruck des Lichtenbergschen Satzes nur von der Anlehnung an diese Witztechnik herrührt.</w:t>
      </w:r>
    </w:p>
    <w:p w:rsidR="00BA623D" w:rsidRPr="00BA623D" w:rsidRDefault="00BA623D" w:rsidP="00BA623D">
      <w:pPr>
        <w:pStyle w:val="Sansinterligne"/>
        <w:rPr>
          <w:rFonts w:ascii="Garamond" w:hAnsi="Garamond"/>
          <w:lang w:val="en-GB"/>
        </w:rPr>
      </w:pPr>
      <w:r w:rsidRPr="00BA623D">
        <w:rPr>
          <w:rFonts w:ascii="Garamond" w:hAnsi="Garamond"/>
          <w:lang w:val="en-GB"/>
        </w:rPr>
        <w:t>Dieselbe Beurteilung wird gewiß auch für einen anderen witzigen Vergleich desselben Autors gelten können:</w:t>
      </w:r>
    </w:p>
    <w:p w:rsidR="00BA623D" w:rsidRPr="00BA623D" w:rsidRDefault="00BA623D" w:rsidP="00BA623D">
      <w:pPr>
        <w:pStyle w:val="Sansinterligne"/>
        <w:rPr>
          <w:rFonts w:ascii="Garamond" w:hAnsi="Garamond"/>
          <w:lang w:val="en-GB"/>
        </w:rPr>
      </w:pPr>
      <w:r w:rsidRPr="00BA623D">
        <w:rPr>
          <w:rFonts w:ascii="Garamond" w:hAnsi="Garamond"/>
          <w:lang w:val="en-GB"/>
        </w:rPr>
        <w:t>» Ein großes Licht war der Mann eben nicht, aber ein großer Leuchter ... Er war Professor der Philosophie.«</w:t>
      </w:r>
    </w:p>
    <w:p w:rsidR="00BA623D" w:rsidRPr="00BA623D" w:rsidRDefault="00BA623D" w:rsidP="00BA623D">
      <w:pPr>
        <w:pStyle w:val="Sansinterligne"/>
        <w:rPr>
          <w:rFonts w:ascii="Garamond" w:hAnsi="Garamond"/>
          <w:lang w:val="en-GB"/>
        </w:rPr>
      </w:pPr>
      <w:r w:rsidRPr="00BA623D">
        <w:rPr>
          <w:rFonts w:ascii="Garamond" w:hAnsi="Garamond"/>
          <w:lang w:val="en-GB"/>
        </w:rPr>
        <w:t>Einen Gelehrten ein großes Licht, ein lumen mundi zu heißen, ist längst kein wirksamer Vergleich mehr, mag er ursprünglich als Witz gewirkt haben oder nicht. Aber man frischt den Vergleich auf, man gibt ihm seine Vollkraft wieder, indem man eine Modifikation aus ihm ableitet und solcherart einen zweiten, neuen Vergleich aus ihm gewinnt. Die Art, wie der zweite Vergleich entstanden ist, scheint die Bedingung des Witzes zu enthalten, nicht die beiden Vergleiche selbst. Es wäre dies ein Fall der nämlichen Witztechnik wie im Beispiele von der Fackel.</w:t>
      </w:r>
    </w:p>
    <w:p w:rsidR="00BA623D" w:rsidRPr="00BA623D" w:rsidRDefault="00BA623D" w:rsidP="00BA623D">
      <w:pPr>
        <w:pStyle w:val="Sansinterligne"/>
        <w:rPr>
          <w:rFonts w:ascii="Garamond" w:hAnsi="Garamond"/>
          <w:lang w:val="en-GB"/>
        </w:rPr>
      </w:pPr>
      <w:r w:rsidRPr="00BA623D">
        <w:rPr>
          <w:rFonts w:ascii="Garamond" w:hAnsi="Garamond"/>
          <w:lang w:val="en-GB"/>
        </w:rPr>
        <w:t>Aus einem anderen, aber ähnlich zu beurteilenden Grunde erscheint folgender Vergleich als witzig:</w:t>
      </w:r>
    </w:p>
    <w:p w:rsidR="00BA623D" w:rsidRPr="00BA623D" w:rsidRDefault="00BA623D" w:rsidP="00BA623D">
      <w:pPr>
        <w:pStyle w:val="Sansinterligne"/>
        <w:rPr>
          <w:rFonts w:ascii="Garamond" w:hAnsi="Garamond"/>
          <w:lang w:val="en-GB"/>
        </w:rPr>
      </w:pPr>
      <w:r w:rsidRPr="00BA623D">
        <w:rPr>
          <w:rFonts w:ascii="Garamond" w:hAnsi="Garamond"/>
          <w:lang w:val="en-GB"/>
        </w:rPr>
        <w:t>»Ich sehe die Rezensionen als eine Art von Kinderkrankheit an, die die neugeborenen Bücher mehr oder weniger befällt. Man hat Exempel, daß die gesündesten daran sterben und die schwächlichen oft durchkommen. Manche bekommen sie gar nicht. Man hat oft versucht, ihnen durch Amulette von Vorrede und Dedikation vorzubeugen oder sie gar durch eigene Urteile zu makulieren; es hilft aber nicht immer.«</w:t>
      </w:r>
    </w:p>
    <w:p w:rsidR="00BA623D" w:rsidRPr="00BA623D" w:rsidRDefault="00BA623D" w:rsidP="00BA623D">
      <w:pPr>
        <w:pStyle w:val="Sansinterligne"/>
        <w:rPr>
          <w:rFonts w:ascii="Garamond" w:hAnsi="Garamond"/>
          <w:lang w:val="en-GB"/>
        </w:rPr>
      </w:pPr>
      <w:r w:rsidRPr="00BA623D">
        <w:rPr>
          <w:rFonts w:ascii="Garamond" w:hAnsi="Garamond"/>
          <w:lang w:val="en-GB"/>
        </w:rPr>
        <w:t>Der Vergleich der Rezensionen mit den Kinderkrankheiten ist zuerst nur auf das Befallenwerden, kurz nachdem sie das Licht der Welt erblickt haben, gegründet. Ob er soweit witzig ist, getraue ich mich nicht zu entscheiden. Aber dann wird er fortgeführt: es ergibt sich, daß die weiteren Schicksale der neuen Bücher innerhalb des Rahmens des nämlichen Gleichnisses oder durch angelehnte Gleichnisse dargestellt werden können. Solche Fortsetzung einer Vergleichung ist unzweifelhaft witzig, aber wir wissen bereits, dank welcher Technik sie so erscheint; es ist ein Fall von Unifizierung, Herstellung eines ungeahnten Zusammenhanges. Der Charakter der Unifizierung wird aber dadurch nicht geändert, daß dieselbe hier in der Anreihung an ein erstes Gleichnis besteht.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Bei einer Reihe anderer Vergleichungen ist man versucht, den unleugbar vorliegenden witzigen Eindruck auf ein anderes Moment zu schieben, welches wiederum mit der Natur des Gleichnisses an sich nichts zu tun hat. Es sind dies Vergleichungen, die eine auffällige Zusammenstellung, oft eine absurd klingende </w:t>
      </w:r>
      <w:r w:rsidRPr="00BA623D">
        <w:rPr>
          <w:rFonts w:ascii="Garamond" w:hAnsi="Garamond"/>
          <w:lang w:val="en-GB"/>
        </w:rPr>
        <w:lastRenderedPageBreak/>
        <w:t>Vereinigung enthalten oder sich durch eine solche als Ergebnis des Vergleiches ersetzen. Die Mehrzahl der Lichtenbergschen Beispiele gehören dieser Gruppe an.</w:t>
      </w:r>
    </w:p>
    <w:p w:rsidR="00BA623D" w:rsidRPr="00BA623D" w:rsidRDefault="00BA623D" w:rsidP="00BA623D">
      <w:pPr>
        <w:pStyle w:val="Sansinterligne"/>
        <w:rPr>
          <w:rFonts w:ascii="Garamond" w:hAnsi="Garamond"/>
          <w:lang w:val="en-GB"/>
        </w:rPr>
      </w:pPr>
      <w:r w:rsidRPr="00BA623D">
        <w:rPr>
          <w:rFonts w:ascii="Garamond" w:hAnsi="Garamond"/>
          <w:lang w:val="en-GB"/>
        </w:rPr>
        <w:t>»Es ist schade, daß man bei Schriftstellern die gelehrten Eingeweide nicht sehen kann, um zu erforschen, was sie gegessen haben.« »Die gelehrten Eingeweide«, das ist eine verblüffende, eigentlich absurde Attribuierung, die sich erst durch die Vergleichung aufklärt. Wie wäre es, wenn der witzige Eindruck dieses Vergleiches ganz und voll auf den verblüffenden Charakter dieser Zusammenstellung zurückginge? Dies entspräche einem der uns gut bekannten Mittel des Witzes, der Darstellung durch Widersinn.</w:t>
      </w:r>
    </w:p>
    <w:p w:rsidR="00BA623D" w:rsidRPr="00BA623D" w:rsidRDefault="00BA623D" w:rsidP="00BA623D">
      <w:pPr>
        <w:pStyle w:val="Sansinterligne"/>
        <w:rPr>
          <w:rFonts w:ascii="Garamond" w:hAnsi="Garamond"/>
          <w:lang w:val="en-GB"/>
        </w:rPr>
      </w:pPr>
      <w:r w:rsidRPr="00BA623D">
        <w:rPr>
          <w:rFonts w:ascii="Garamond" w:hAnsi="Garamond"/>
          <w:lang w:val="en-GB"/>
        </w:rPr>
        <w:t>Lichtenberg hat dieselbe Vergleichung der Aufnahme von Lese- und Lernstoff mit der Aufnahme von physischer Nahrung auch zu einem anderen Witz verwendet:</w:t>
      </w:r>
    </w:p>
    <w:p w:rsidR="00BA623D" w:rsidRPr="00BA623D" w:rsidRDefault="00BA623D" w:rsidP="00BA623D">
      <w:pPr>
        <w:pStyle w:val="Sansinterligne"/>
        <w:rPr>
          <w:rFonts w:ascii="Garamond" w:hAnsi="Garamond"/>
          <w:lang w:val="en-GB"/>
        </w:rPr>
      </w:pPr>
      <w:r w:rsidRPr="00BA623D">
        <w:rPr>
          <w:rFonts w:ascii="Garamond" w:hAnsi="Garamond"/>
          <w:lang w:val="en-GB"/>
        </w:rPr>
        <w:t>»Er hielt sehr viel vom Lernen auf der Stube und war also gänzlich für gelehrte Stallfütterung.«</w:t>
      </w:r>
    </w:p>
    <w:p w:rsidR="00BA623D" w:rsidRPr="00BA623D" w:rsidRDefault="00BA623D" w:rsidP="00BA623D">
      <w:pPr>
        <w:pStyle w:val="Sansinterligne"/>
        <w:rPr>
          <w:rFonts w:ascii="Garamond" w:hAnsi="Garamond"/>
          <w:lang w:val="en-GB"/>
        </w:rPr>
      </w:pPr>
      <w:r w:rsidRPr="00BA623D">
        <w:rPr>
          <w:rFonts w:ascii="Garamond" w:hAnsi="Garamond"/>
          <w:lang w:val="en-GB"/>
        </w:rPr>
        <w:t>Die nämliche absurde oder mindestens auffällige Attribuierung, welche, wie wir zu merken beginnen, der eigentliche Träger des Witzes ist, zeigen andere Gleichnisse desselben Autors:</w:t>
      </w:r>
    </w:p>
    <w:p w:rsidR="00BA623D" w:rsidRPr="00BA623D" w:rsidRDefault="00BA623D" w:rsidP="00BA623D">
      <w:pPr>
        <w:pStyle w:val="Sansinterligne"/>
        <w:rPr>
          <w:rFonts w:ascii="Garamond" w:hAnsi="Garamond"/>
          <w:lang w:val="en-GB"/>
        </w:rPr>
      </w:pPr>
      <w:r w:rsidRPr="00BA623D">
        <w:rPr>
          <w:rFonts w:ascii="Garamond" w:hAnsi="Garamond"/>
          <w:lang w:val="en-GB"/>
        </w:rPr>
        <w:t>»Das ist die Wetterseite meiner moralischen Konstitution, da kann ich etwas aushalten.«</w:t>
      </w:r>
    </w:p>
    <w:p w:rsidR="00BA623D" w:rsidRPr="00BA623D" w:rsidRDefault="00BA623D" w:rsidP="00BA623D">
      <w:pPr>
        <w:pStyle w:val="Sansinterligne"/>
        <w:rPr>
          <w:rFonts w:ascii="Garamond" w:hAnsi="Garamond"/>
          <w:lang w:val="en-GB"/>
        </w:rPr>
      </w:pPr>
      <w:r w:rsidRPr="00BA623D">
        <w:rPr>
          <w:rFonts w:ascii="Garamond" w:hAnsi="Garamond"/>
          <w:lang w:val="en-GB"/>
        </w:rPr>
        <w:t>»Jeder Mensch hat auch seine moralische Backside, die er nicht ohne Not zeigt und die er so lange als möglich mit den Hosen des guten Anstandes zudeckt.«</w:t>
      </w:r>
    </w:p>
    <w:p w:rsidR="00BA623D" w:rsidRPr="00BA623D" w:rsidRDefault="00BA623D" w:rsidP="00BA623D">
      <w:pPr>
        <w:pStyle w:val="Sansinterligne"/>
        <w:rPr>
          <w:rFonts w:ascii="Garamond" w:hAnsi="Garamond"/>
        </w:rPr>
      </w:pPr>
      <w:r w:rsidRPr="00BA623D">
        <w:rPr>
          <w:rFonts w:ascii="Garamond" w:hAnsi="Garamond"/>
          <w:lang w:val="en-GB"/>
        </w:rPr>
        <w:t xml:space="preserve">Die »moralische Backside«, das ist die auffällige Attribuierung, die als Resultat einer Vergleichung dasteht. Dazu kommt aber eine Fortführung des Vergleiches mit einem regelrechten Wortspiel (»Not«) und einer zweiten noch ungewöhnlicheren Zusammenstellung (»Die Hosen des guten Anstandes«), die vielleicht selbst an sich witzig ist, denn die Hosen werden dadurch, daß sie die Hosen des guten Anstandes sind, selbst gleichsam witzig. Es darf uns dann nicht wundernehmen, wenn wir vom Ganzen den Eindruck eines sehr witzigen Vergleiches empfangen; wir beginnen zu merken, daß wir ganz allgemein dazu neigen, einen Charakter, welcher nur an einem Teil des Ganzen haftet, in unserer Schätzung auf dieses Ganze auszudehnen. </w:t>
      </w:r>
      <w:r w:rsidRPr="00BA623D">
        <w:rPr>
          <w:rFonts w:ascii="Garamond" w:hAnsi="Garamond"/>
        </w:rPr>
        <w:t>Die »Hosen des guten Anstandes« erinnern übrigens an einen ähnlichen verblüffenden Vers von Heine: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 Bis mir endlich alle Knöpfe rissen, </w:t>
      </w:r>
      <w:r w:rsidRPr="00BA623D">
        <w:rPr>
          <w:rFonts w:ascii="Garamond" w:hAnsi="Garamond"/>
          <w:lang w:val="en-GB"/>
        </w:rPr>
        <w:br/>
        <w:t>an der Hose der Geduld.«</w:t>
      </w:r>
    </w:p>
    <w:p w:rsidR="00BA623D" w:rsidRPr="00BA623D" w:rsidRDefault="00BA623D" w:rsidP="00BA623D">
      <w:pPr>
        <w:pStyle w:val="Sansinterligne"/>
        <w:rPr>
          <w:rFonts w:ascii="Garamond" w:hAnsi="Garamond"/>
          <w:lang w:val="en-GB"/>
        </w:rPr>
      </w:pPr>
      <w:r w:rsidRPr="00BA623D">
        <w:rPr>
          <w:rFonts w:ascii="Garamond" w:hAnsi="Garamond"/>
          <w:lang w:val="en-GB"/>
        </w:rPr>
        <w:t>Es ist unverkennbar, daß diese beiden letzten Vergleichungen einen Charakter an sich tragen, den man nicht an allen guten, d. h. zutreffenden Gleichnissen wiederfinden kann. Sie sind in hohem Grade » herabziehend«, könnte man sagen, sie stellen ein Ding hoher Kategorie, ein Abstraktum (hier: den guten Anstand, die Geduld) mit einem Ding sehr konkreter Natur und selbst niedriger Art (der Hose) zusammen. Ob diese Eigentümlichkeit etwas mit dem Witz zu schaffen hat, werden wir noch in einem anderen Zusammenhange in Erwägung ziehen müssen. Versuchen wir hier ein anderes Beispiel, in dem dieser herabziehende Charakter ganz besonders deutlich ist, zu analysieren. Der Kommis Weinberl in Nestroys Posse Einen Jux will er sich machen, der sich ausmalt, wie er einmal als solider alter Handelsherr seiner Jugendtage gedenken wird, sagt: »Wenn so im traulichen Gespräch das Eis aufg'hackt wird vor dem Magazin der Erinnerung, wann die G'wölbtür der Vorzeit wieder aufg'sperrt und die Pudel der Phantasie voll ang'raumt wird mit Waren von ehemals ...« Das sind sicherlich Vergleichungen von abstrakten mit sehr gewöhnlichen konkreten Dingen, aber der Witz hängt – ausschließlich oder nur zum Teile – an dem Umstand, daß ein Kommis sich dieser Vergleichungen bedient, die aus dem Bereiche seiner alltäglichen Tätigkeit genommen sind. Das Abstrakte aber in Beziehung zu diesem Gewöhnlichen, des sein Leben sonst voll ist, zu bringen, ist ein Akt von Unifizierung.</w:t>
      </w:r>
    </w:p>
    <w:p w:rsidR="00BA623D" w:rsidRPr="00BA623D" w:rsidRDefault="00BA623D" w:rsidP="00BA623D">
      <w:pPr>
        <w:pStyle w:val="Sansinterligne"/>
        <w:rPr>
          <w:rFonts w:ascii="Garamond" w:hAnsi="Garamond"/>
          <w:lang w:val="en-GB"/>
        </w:rPr>
      </w:pPr>
      <w:r w:rsidRPr="00BA623D">
        <w:rPr>
          <w:rFonts w:ascii="Garamond" w:hAnsi="Garamond"/>
          <w:lang w:val="en-GB"/>
        </w:rPr>
        <w:t>Kehren wir zu den Lichtenbergschen Vergleichen zurück.</w:t>
      </w:r>
    </w:p>
    <w:p w:rsidR="00BA623D" w:rsidRPr="00BA623D" w:rsidRDefault="00BA623D" w:rsidP="00BA623D">
      <w:pPr>
        <w:pStyle w:val="Sansinterligne"/>
        <w:rPr>
          <w:rFonts w:ascii="Garamond" w:hAnsi="Garamond"/>
          <w:lang w:val="en-GB"/>
        </w:rPr>
      </w:pPr>
      <w:r w:rsidRPr="00BA623D">
        <w:rPr>
          <w:rFonts w:ascii="Garamond" w:hAnsi="Garamond"/>
          <w:lang w:val="en-GB"/>
        </w:rPr>
        <w:t>» Die Bewegungsgründe</w:t>
      </w:r>
      <w:hyperlink r:id="rId316" w:anchor="#" w:history="1">
        <w:r w:rsidRPr="00BA623D">
          <w:rPr>
            <w:rFonts w:ascii="Garamond" w:hAnsi="Garamond"/>
            <w:lang w:val="en-GB"/>
          </w:rPr>
          <w:t>[Fußnote]Wir würden heute: Beweggründe, Motive sagen.</w:t>
        </w:r>
      </w:hyperlink>
      <w:r w:rsidRPr="00BA623D">
        <w:rPr>
          <w:rFonts w:ascii="Garamond" w:hAnsi="Garamond"/>
          <w:lang w:val="en-GB"/>
        </w:rPr>
        <w:t>, w oraus man etwas tut, könnten so wie die 32 Winde geordnet und ihre Namen auf eine ähnliche Art formiert werden, z. B. Brot-Brot-Ruhm oder Ruhm-Ruhm-Brot.«</w:t>
      </w:r>
    </w:p>
    <w:p w:rsidR="00BA623D" w:rsidRPr="00BA623D" w:rsidRDefault="00BA623D" w:rsidP="00BA623D">
      <w:pPr>
        <w:pStyle w:val="Sansinterligne"/>
        <w:rPr>
          <w:rFonts w:ascii="Garamond" w:hAnsi="Garamond"/>
          <w:lang w:val="en-GB"/>
        </w:rPr>
      </w:pPr>
      <w:r w:rsidRPr="00BA623D">
        <w:rPr>
          <w:rFonts w:ascii="Garamond" w:hAnsi="Garamond"/>
          <w:lang w:val="en-GB"/>
        </w:rPr>
        <w:t>Wie so häufig bei den Lichtenbergschen Witzen, ist auch hier der Eindruck des Treffenden, Geistreichen, Scharfsinnigen so vorherrschend, daß unser Urteil über den Charakter des Witzigen hiedurch irregeführt wird. Wenn in einem solchen Ausspruch etwas Witz sich dem ausgezeichneten Sinn beimengt, werden wir wahrscheinlich verleitet, das Ganze für einen vortrefflichen Witz zu erklären. Ich möchte vielmehr die Behauptung wagen, daß alles, was hieran wirklich witzig ist, aus dem Befremden über die sonderbare Kombination »Brot-Brot-Ruhm« hervorgeht. Also als Witz eine Darstellung durch Widersinn.</w:t>
      </w:r>
    </w:p>
    <w:p w:rsidR="00BA623D" w:rsidRPr="00BA623D" w:rsidRDefault="00BA623D" w:rsidP="00BA623D">
      <w:pPr>
        <w:pStyle w:val="Sansinterligne"/>
        <w:rPr>
          <w:rFonts w:ascii="Garamond" w:hAnsi="Garamond"/>
          <w:lang w:val="en-GB"/>
        </w:rPr>
      </w:pPr>
      <w:r w:rsidRPr="00BA623D">
        <w:rPr>
          <w:rFonts w:ascii="Garamond" w:hAnsi="Garamond"/>
          <w:lang w:val="en-GB"/>
        </w:rPr>
        <w:t>Die sonderbare Zusammenstellung oder absurde Attribuierung kann als Ergebnis eines Vergleiches für sich allein hingestellt werden: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Lichtenberg: Eine zweischläfrige Frau – Ein einschläfriger Kirchenstuhl. Hinter beiden steckt der Vergleich mit einem Bett, bei beiden wirkt außer der Verblüffung noch das technische Moment der </w:t>
      </w:r>
      <w:r w:rsidRPr="00BA623D">
        <w:rPr>
          <w:rFonts w:ascii="Garamond" w:hAnsi="Garamond"/>
          <w:lang w:val="en-GB"/>
        </w:rPr>
        <w:lastRenderedPageBreak/>
        <w:t>Anspielung mit, das eine Mal an die einschläfernde Wirkung von Predigten, das andere Mal an das nie zu erschöpfende Thema der geschlechtlichen Beziehungen.</w:t>
      </w:r>
    </w:p>
    <w:p w:rsidR="00BA623D" w:rsidRPr="00BA623D" w:rsidRDefault="00BA623D" w:rsidP="00BA623D">
      <w:pPr>
        <w:pStyle w:val="Sansinterligne"/>
        <w:rPr>
          <w:rFonts w:ascii="Garamond" w:hAnsi="Garamond"/>
          <w:lang w:val="en-GB"/>
        </w:rPr>
      </w:pPr>
      <w:r w:rsidRPr="00BA623D">
        <w:rPr>
          <w:rFonts w:ascii="Garamond" w:hAnsi="Garamond"/>
          <w:lang w:val="en-GB"/>
        </w:rPr>
        <w:t>Haben wir bisher gefunden, daß eine Vergleichung, so oft sie uns witzig erschien, diesen Eindruck der Beimengung einer der uns bekannten Witztechniken verdankte, so scheinen einige andere Beispiele endlich dafür zu zeugen, daß ein Vergleich auch an und für sich witzig sein kann. Lichtenbergs Charakteristik gewisser Oden:</w:t>
      </w:r>
    </w:p>
    <w:p w:rsidR="00BA623D" w:rsidRPr="00BA623D" w:rsidRDefault="00BA623D" w:rsidP="00BA623D">
      <w:pPr>
        <w:pStyle w:val="Sansinterligne"/>
        <w:rPr>
          <w:rFonts w:ascii="Garamond" w:hAnsi="Garamond"/>
          <w:lang w:val="en-GB"/>
        </w:rPr>
      </w:pPr>
      <w:r w:rsidRPr="00BA623D">
        <w:rPr>
          <w:rFonts w:ascii="Garamond" w:hAnsi="Garamond"/>
          <w:lang w:val="en-GB"/>
        </w:rPr>
        <w:t>»Sie sind das in der Poesie, was Jakob Böhmes unsterbliche Werke in Prosa sind, eine Art von Pickenick, wobei der Verfasser die Worte und der Leser den Sinn stellen.«</w:t>
      </w:r>
    </w:p>
    <w:p w:rsidR="00BA623D" w:rsidRPr="00BA623D" w:rsidRDefault="00BA623D" w:rsidP="00BA623D">
      <w:pPr>
        <w:pStyle w:val="Sansinterligne"/>
        <w:rPr>
          <w:rFonts w:ascii="Garamond" w:hAnsi="Garamond"/>
          <w:lang w:val="en-GB"/>
        </w:rPr>
      </w:pPr>
      <w:r w:rsidRPr="00BA623D">
        <w:rPr>
          <w:rFonts w:ascii="Garamond" w:hAnsi="Garamond"/>
          <w:lang w:val="en-GB"/>
        </w:rPr>
        <w:t>»Wenn er philosophiert, so wirft er gewöhnlich ein angenehmes Mondlicht über die Gegenstände, das im ganzen gefällt, aber nicht einen einzigen Gegenstand deutlich zeigt.«</w:t>
      </w:r>
    </w:p>
    <w:p w:rsidR="00BA623D" w:rsidRPr="00BA623D" w:rsidRDefault="00BA623D" w:rsidP="00BA623D">
      <w:pPr>
        <w:pStyle w:val="Sansinterligne"/>
        <w:rPr>
          <w:rFonts w:ascii="Garamond" w:hAnsi="Garamond"/>
          <w:lang w:val="en-GB"/>
        </w:rPr>
      </w:pPr>
      <w:r w:rsidRPr="00BA623D">
        <w:rPr>
          <w:rFonts w:ascii="Garamond" w:hAnsi="Garamond"/>
          <w:lang w:val="en-GB"/>
        </w:rPr>
        <w:t>Oder Heine: » Ihr Gesicht glich einem Codex palimpsestus, wo unter der neuschwarzen Mönchsschrift eines Kirchenvatertextes die halb erloschenen Verse eines altgriechischen Liebesdichters hervorlauschen.«</w:t>
      </w:r>
    </w:p>
    <w:p w:rsidR="00BA623D" w:rsidRPr="00BA623D" w:rsidRDefault="00BA623D" w:rsidP="00BA623D">
      <w:pPr>
        <w:pStyle w:val="Sansinterligne"/>
        <w:rPr>
          <w:rFonts w:ascii="Garamond" w:hAnsi="Garamond"/>
          <w:lang w:val="en-GB"/>
        </w:rPr>
      </w:pPr>
      <w:r w:rsidRPr="00BA623D">
        <w:rPr>
          <w:rFonts w:ascii="Garamond" w:hAnsi="Garamond"/>
          <w:lang w:val="en-GB"/>
        </w:rPr>
        <w:t>Oder die fortgesetzte Vergleichung mit stark herabsetzender Tendenz in den ›Bädern von Lucca‹:</w:t>
      </w:r>
    </w:p>
    <w:p w:rsidR="00BA623D" w:rsidRPr="00BA623D" w:rsidRDefault="00BA623D" w:rsidP="00BA623D">
      <w:pPr>
        <w:pStyle w:val="Sansinterligne"/>
        <w:rPr>
          <w:rFonts w:ascii="Garamond" w:hAnsi="Garamond"/>
          <w:lang w:val="en-GB"/>
        </w:rPr>
      </w:pPr>
      <w:r w:rsidRPr="00BA623D">
        <w:rPr>
          <w:rFonts w:ascii="Garamond" w:hAnsi="Garamond"/>
          <w:lang w:val="en-GB"/>
        </w:rPr>
        <w:t>»Der katholische Pfaffe treibt es mehr wie ein Kommis, der in einer großen Handlung angestellt ist; die Kirche, das große Haus, dessen Chef der Papst ist, gibt ihm bestimmte Beschäftigung und dafür ein bestimmtes Salär; er arbeitet lässig, wie jeder, der nicht für eigene Rechnung arbeitet und viele Kollegen hat und im großen Geschäftstreiben leicht unbemerkt bleibt – nur der Kredit des Hauses liegt ihm am Herzen, und noch mehr dessen Erhaltung, da er bei einem etwaigen Bankerott seinen Lebensunterhalt verlöre. Der protestantische Pfaffe hingegen ist überall selbst Prinzipal und treibt die Religionsgeschäfte für eigene Rechnung. Er treibt keinen Großhandel wie sein katholischer Gewerbegenosse, sondern nur einen Kleinhandel; und da er demselben allein vorstehen muß, darf er nicht lässig sein, er muß seine Glaubensartikel den Leuten anrühmen, die Artikel seiner Konkurrenten herabsetzen, und als echter Kleinhändler steht er in seiner Ausschnittbude, voll von Gewerbsneid gegen alle großen Häuser, absonderlich gegen das große Haus in Rom, das viele tausend Buchhalter und Packknechte besoldet und seine Faktoreien hat in allen vier Weltteilen.«</w:t>
      </w:r>
    </w:p>
    <w:p w:rsidR="00BA623D" w:rsidRPr="00BA623D" w:rsidRDefault="00BA623D" w:rsidP="00BA623D">
      <w:pPr>
        <w:pStyle w:val="Sansinterligne"/>
        <w:rPr>
          <w:rFonts w:ascii="Garamond" w:hAnsi="Garamond"/>
          <w:lang w:val="en-GB"/>
        </w:rPr>
      </w:pPr>
      <w:r w:rsidRPr="00BA623D">
        <w:rPr>
          <w:rFonts w:ascii="Garamond" w:hAnsi="Garamond"/>
          <w:lang w:val="en-GB"/>
        </w:rPr>
        <w:t>Angesichts dieser wie vieler anderer Beispiele können wir doch nicht mehr in Abrede stellen, daß ein Vergleich auch an sich witzig sein mag, ohne daß dieser Eindruck auf eine Komplikation mit einer der bekannten Witztechniken zu beziehen wäre. Es entgeht uns aber dann völlig, wodurch der witzige Charakter des Gleichnisses bestimmt ist, da er gewiß nicht am Gleichnis als Ausdrucksform des Gedankens oder an der Operation des Vergleichens haftet. Wir können nicht anders als das Gleichnis unter die Arten der »indirekten Darstellung« aufnehmen, deren sich die Witztechnik bedient, und müssen das Problem unerledigt lassen, das uns beim Gleichnis weit deutlicher als bei den früher behandelten Mitteln des Witzes entgegengetreten ist. Es muß wohl auch seinen besonderen Grund haben, wenn uns die Entscheidung, ob etwas ein Witz ist oder nicht, beim Gleichnis mehr Schwierigkeiten bereitet als bei anderen Ausdrucksformen.</w:t>
      </w:r>
    </w:p>
    <w:p w:rsidR="00BA623D" w:rsidRPr="00BA623D" w:rsidRDefault="00BA623D" w:rsidP="00BA623D">
      <w:pPr>
        <w:pStyle w:val="Sansinterligne"/>
        <w:rPr>
          <w:rFonts w:ascii="Garamond" w:hAnsi="Garamond"/>
          <w:lang w:val="en-GB"/>
        </w:rPr>
      </w:pPr>
      <w:r w:rsidRPr="00BA623D">
        <w:rPr>
          <w:rFonts w:ascii="Garamond" w:hAnsi="Garamond"/>
          <w:lang w:val="en-GB"/>
        </w:rPr>
        <w:t>Einen Grund aber, uns zu beklagen, daß diese erste Untersuchung ergebnislos verlaufen sei, bietet uns auch diese Lücke in unserem Verständnis nicht. Bei dem intimen Zusammenhang, den wir den verschiedenen Eigenschaften des Witzes zuzuschreiben bereit sein mußten, wäre es unvorsichtig gewesen zu erwarten, wir könnten eine Seite des Problems voll aufklären, ehe wir noch einen Blick auf die anderen geworfen haben. Wir werden das Problem nun wohl an anderer Stelle angreifen müssen.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Sind wir sicher, daß keine der möglichen Techniken des Witzes unserer Untersuchung entgangen ist? Das wohl nicht, aber wir können uns bei fortgesetzter Prüfung an neuem Material überzeugen, daß wir die häufigsten und wichtigsten technischen Mittel der Witzarbeit kennengelernt haben, zum mindesten so viel, als zur Schöpfung eines Urteils über die Natur dieses psychischen Vorganges erfordert wird. Ein solches Urteil steht gegenwärtig noch aus; hingegen sind wir in den Besitz einer wichtigen Anzeige gelangt, von welcher Richtung wir eine weitere Aufklärung des Problems zu erwarten haben. Die interessanten Vorgänge der Verdichtung mit Ersatzbildung, die wir als den Kern der Technik des Wortwitzes erkannt haben, wiesen uns auf die Traumbildung hin, in deren Mechanismus die nämlichen psychischen Vorgänge aufgedeckt worden sind. Eben dahin weisen aber auch die Techniken des Gedankenwitzes, die Verschiebung, die Denkfehler, der Widersinn, die indirekte Darstellung, die Darstellung durchs Gegenteil, die samt und sonders in der Technik der Traumarbeit wiederkehren. Der Verschiebung verdankt der Traum das befremdende Ansehen, das uns abhält, in ihm die Fortsetzung unserer Wachgedanken zu erkennen; die Verwendung von Widersinn und Absurdität im Traum hat ihn die Würde eines psychischen Produkts gekostet und hat die Autoren verleitet, Zerfall der geistigen Tätigkeiten, Sistierung von Kritik, Moral und Logik als Bedingungen der Traumbildung anzunehmen. Die Darstellung durchs Gegenteil ist im Traum so gebräuchlich, daß selbst die populären, gänzlich irregehenden Traumdeutungsbücher mit ihr </w:t>
      </w:r>
      <w:r w:rsidRPr="00BA623D">
        <w:rPr>
          <w:rFonts w:ascii="Garamond" w:hAnsi="Garamond"/>
          <w:lang w:val="en-GB"/>
        </w:rPr>
        <w:lastRenderedPageBreak/>
        <w:t xml:space="preserve">zu rechnen pflegen; die indirekte Darstellung, der Ersatz des Traumgedankens durch eine Anspielung, ein Kleines, eine dem Gleichnis analoge Symbolik, ist gerade das, was die Ausdrucksweise des Traumes von der unseres wachen Denkens unterscheidet </w:t>
      </w:r>
      <w:hyperlink r:id="rId317" w:anchor="#" w:history="1">
        <w:r w:rsidRPr="00BA623D">
          <w:rPr>
            <w:rFonts w:ascii="Garamond" w:hAnsi="Garamond"/>
            <w:lang w:val="en-GB"/>
          </w:rPr>
          <w:t>[Fußnote]Vgl. meine Traumdeutung, Abschnitt VI, ›Die Traumarbeit‹.</w:t>
        </w:r>
      </w:hyperlink>
      <w:r w:rsidRPr="00BA623D">
        <w:rPr>
          <w:rFonts w:ascii="Garamond" w:hAnsi="Garamond"/>
          <w:lang w:val="en-GB"/>
        </w:rPr>
        <w:t>. Eine so weitgehende Übereinstimmung wie die zwischen den Mitteln der Witzarbeit und denen der Traumarbeit wird kaum eine zufällige sein können. Diese Übereinstimmung ausführlich nachzuweisen und ihrer Begründung nachzuspüren wird eine unserer späteren Aufgaben werden.</w:t>
      </w:r>
    </w:p>
    <w:p w:rsidR="00BA623D" w:rsidRPr="00BA623D" w:rsidRDefault="00BA623D" w:rsidP="00BA623D">
      <w:pPr>
        <w:pStyle w:val="Sansinterligne"/>
        <w:rPr>
          <w:rFonts w:ascii="Garamond" w:hAnsi="Garamond"/>
          <w:b/>
          <w:lang w:val="en-GB"/>
        </w:rPr>
      </w:pPr>
    </w:p>
    <w:p w:rsidR="00BA623D" w:rsidRPr="00BA623D" w:rsidRDefault="00B437A1" w:rsidP="00BA623D">
      <w:pPr>
        <w:pStyle w:val="Sansinterligne"/>
        <w:rPr>
          <w:rFonts w:ascii="Garamond" w:hAnsi="Garamond"/>
          <w:b/>
          <w:lang w:val="en-GB"/>
        </w:rPr>
      </w:pPr>
      <w:hyperlink w:anchor="Witz_INHALT" w:history="1">
        <w:r w:rsidR="00BA623D" w:rsidRPr="007D5EBB">
          <w:rPr>
            <w:rStyle w:val="Lienhypertexte"/>
            <w:rFonts w:ascii="Garamond" w:hAnsi="Garamond" w:cs="Arial"/>
            <w:b/>
            <w:bCs/>
            <w:lang w:val="en-GB"/>
          </w:rPr>
          <w:t>III. Di</w:t>
        </w:r>
        <w:bookmarkStart w:id="107" w:name="W3"/>
        <w:bookmarkEnd w:id="107"/>
        <w:r w:rsidR="00BA623D" w:rsidRPr="007D5EBB">
          <w:rPr>
            <w:rStyle w:val="Lienhypertexte"/>
            <w:rFonts w:ascii="Garamond" w:hAnsi="Garamond" w:cs="Arial"/>
            <w:b/>
            <w:bCs/>
            <w:lang w:val="en-GB"/>
          </w:rPr>
          <w:t>e Tendenzen des Witzes</w:t>
        </w:r>
      </w:hyperlink>
    </w:p>
    <w:p w:rsidR="00BA623D" w:rsidRPr="00BA623D" w:rsidRDefault="00BA623D" w:rsidP="00BA623D">
      <w:pPr>
        <w:pStyle w:val="Sansinterligne"/>
        <w:rPr>
          <w:rFonts w:ascii="Garamond" w:hAnsi="Garamond"/>
          <w:lang w:val="en-GB"/>
        </w:rPr>
      </w:pPr>
    </w:p>
    <w:p w:rsidR="00BA623D" w:rsidRPr="00BA623D" w:rsidRDefault="00BA623D" w:rsidP="00BA623D">
      <w:pPr>
        <w:pStyle w:val="Sansinterligne"/>
        <w:rPr>
          <w:rFonts w:ascii="Garamond" w:hAnsi="Garamond"/>
          <w:lang w:val="en-GB"/>
        </w:rPr>
      </w:pPr>
      <w:r w:rsidRPr="00BA623D">
        <w:rPr>
          <w:rFonts w:ascii="Garamond" w:hAnsi="Garamond"/>
          <w:lang w:val="en-GB"/>
        </w:rPr>
        <w:t>Als ich zu Ende des vorigen Abschnittes den Heineschen Vergleich des katholischen Priesters mit einem Angestellten einer Großhandlung und des protestantischen mit einem selbständigen Kleinhändler niederschrieb, verspürte ich eine Hemmung, die mich bestimmen wollte, dieses Gleichnis nicht zu verwenden. Ich sagte mir, daß sich unter meinen Lesern wahrscheinlich einige befinden würden, denen nicht nur die Religion, sondern auch deren Regie und Personal ehrwürdig sind; diese Leser würden sich nur über den Vergleich entrüsten und in einen Affektzustand geraten, der ihnen jedes Interesse für die Unterscheidung raubt, ob das Gleichnis an sich oder nur infolge irgendwelcher Zutaten witzig erscheint. Bei anderen Gleichnissen, z. B. dem benachbarten von dem angenehmen Mondlicht, welches eine gewisse Philosophie auf die Gegenstände wirft, wäre eine solche für unsere Untersuchung störende Beeinflussung eines Teiles der Leser nicht zu besorgen. Der frommgläubigste Mann bliebe in der Verfassung, sich ein Urteil über unser Problem zu bilden.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Es ist leicht, den Charakter des Witzes zu erraten, mit welchem die Verschiedenheit der Reaktion auf den Witz beim Hörer zusammenhängt. Der Witz ist das eine Mal Selbstzweck und dient keiner besonderen Absicht, das andere Mal stellt er sich in den Dienst einer solchen Absicht; er wird </w:t>
      </w:r>
      <w:r w:rsidRPr="00BA623D">
        <w:rPr>
          <w:rFonts w:ascii="Garamond" w:hAnsi="Garamond"/>
          <w:i/>
          <w:iCs/>
          <w:lang w:val="en-GB"/>
        </w:rPr>
        <w:t>tendenziös</w:t>
      </w:r>
      <w:r w:rsidRPr="00BA623D">
        <w:rPr>
          <w:rFonts w:ascii="Garamond" w:hAnsi="Garamond"/>
          <w:lang w:val="en-GB"/>
        </w:rPr>
        <w:t>. Nur derjenige Witz, welcher eine Tendenz hat, läuft Gefahr, auf Personen zu stoßen, die ihn nicht anhören wollen.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Der nichttendenziöse Witz ist von Th. Vischer als » </w:t>
      </w:r>
      <w:r w:rsidRPr="00BA623D">
        <w:rPr>
          <w:rFonts w:ascii="Garamond" w:hAnsi="Garamond"/>
          <w:i/>
          <w:iCs/>
          <w:lang w:val="en-GB"/>
        </w:rPr>
        <w:t>abstrakter</w:t>
      </w:r>
      <w:r w:rsidRPr="00BA623D">
        <w:rPr>
          <w:rFonts w:ascii="Garamond" w:hAnsi="Garamond"/>
          <w:lang w:val="en-GB"/>
        </w:rPr>
        <w:t xml:space="preserve">« Witz bezeichnet worden; ich ziehe es vor, ihn » </w:t>
      </w:r>
      <w:r w:rsidRPr="00BA623D">
        <w:rPr>
          <w:rFonts w:ascii="Garamond" w:hAnsi="Garamond"/>
          <w:i/>
          <w:iCs/>
          <w:lang w:val="en-GB"/>
        </w:rPr>
        <w:t>harmlosen</w:t>
      </w:r>
      <w:r w:rsidRPr="00BA623D">
        <w:rPr>
          <w:rFonts w:ascii="Garamond" w:hAnsi="Garamond"/>
          <w:lang w:val="en-GB"/>
        </w:rPr>
        <w:t>« Witz zu nennen.</w:t>
      </w:r>
    </w:p>
    <w:p w:rsidR="00BA623D" w:rsidRPr="00BA623D" w:rsidRDefault="00BA623D" w:rsidP="00BA623D">
      <w:pPr>
        <w:pStyle w:val="Sansinterligne"/>
        <w:rPr>
          <w:rFonts w:ascii="Garamond" w:hAnsi="Garamond"/>
          <w:lang w:val="en-GB"/>
        </w:rPr>
      </w:pPr>
      <w:r w:rsidRPr="00BA623D">
        <w:rPr>
          <w:rFonts w:ascii="Garamond" w:hAnsi="Garamond"/>
          <w:lang w:val="en-GB"/>
        </w:rPr>
        <w:t>Da wir vorhin den Witz nach dem Material, an dem seine Technik angreift, in Wort- und Gedankenwitz unterschieden haben, obliegt es uns, die Beziehung dieser Einteilung zur neu vorgebrachten zu untersuchen. Wort- und Gedankenwitz einerseits, abstrakter und tendenziöser Witz anderseits stehen nun in keiner Relation der Beeinflussung zueinander; es sind zwei voneinander völlig unabhängige Einteilungen der witzigen Produktionen. Vielleicht könnte jemand den Eindruck empfangen haben, als seien die harmlosen Witze vorwiegend Wortwitze, während die kompliziertere Technik des Gedankenwitzes meist von starken Tendenzen in Dienst genommen wird; allein es gibt harmlose Witze, die mit Wortspiel und Gleichklang arbeiten, und ebenso harmlose, die sich aller Mittel des Gedankenwitzes bedienen. Nicht minder leicht zu zeigen ist, daß der tendenziöse Witz der Technik nach nichts anderes als ein Wortwitz zu sein braucht. So z. B. sind Witze, die mit Eigennamen »spielen«, häufig von beleidigender, verletzender Tendenz, sie gehören selbstredend zu den Wortwitzen. Die harmlosesten aller Witze sind aber auch wieder Wortwitze, z. B. die neuerdings beliebt gewordenen Schüttelreime, in denen die mehrfache Verwendung desselben Materials mit einer ganz eigentümlichen Modifikation die Technik darstellt: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»Und weil er Geld in </w:t>
      </w:r>
      <w:r w:rsidRPr="00BA623D">
        <w:rPr>
          <w:rFonts w:ascii="Garamond" w:hAnsi="Garamond"/>
          <w:i/>
          <w:iCs/>
          <w:lang w:val="en-GB"/>
        </w:rPr>
        <w:t>M</w:t>
      </w:r>
      <w:r w:rsidRPr="00BA623D">
        <w:rPr>
          <w:rFonts w:ascii="Garamond" w:hAnsi="Garamond"/>
          <w:lang w:val="en-GB"/>
        </w:rPr>
        <w:t xml:space="preserve">enge </w:t>
      </w:r>
      <w:r w:rsidRPr="00BA623D">
        <w:rPr>
          <w:rFonts w:ascii="Garamond" w:hAnsi="Garamond"/>
          <w:i/>
          <w:iCs/>
          <w:lang w:val="en-GB"/>
        </w:rPr>
        <w:t>h</w:t>
      </w:r>
      <w:r w:rsidRPr="00BA623D">
        <w:rPr>
          <w:rFonts w:ascii="Garamond" w:hAnsi="Garamond"/>
          <w:lang w:val="en-GB"/>
        </w:rPr>
        <w:t xml:space="preserve">atte, </w:t>
      </w:r>
      <w:r w:rsidRPr="00BA623D">
        <w:rPr>
          <w:rFonts w:ascii="Garamond" w:hAnsi="Garamond"/>
          <w:lang w:val="en-GB"/>
        </w:rPr>
        <w:br/>
        <w:t xml:space="preserve">lag stets er in der </w:t>
      </w:r>
      <w:r w:rsidRPr="00BA623D">
        <w:rPr>
          <w:rFonts w:ascii="Garamond" w:hAnsi="Garamond"/>
          <w:i/>
          <w:iCs/>
          <w:lang w:val="en-GB"/>
        </w:rPr>
        <w:t>H</w:t>
      </w:r>
      <w:r w:rsidRPr="00BA623D">
        <w:rPr>
          <w:rFonts w:ascii="Garamond" w:hAnsi="Garamond"/>
          <w:lang w:val="en-GB"/>
        </w:rPr>
        <w:t xml:space="preserve">änge </w:t>
      </w:r>
      <w:r w:rsidRPr="00BA623D">
        <w:rPr>
          <w:rFonts w:ascii="Garamond" w:hAnsi="Garamond"/>
          <w:i/>
          <w:iCs/>
          <w:lang w:val="en-GB"/>
        </w:rPr>
        <w:t>m</w:t>
      </w:r>
      <w:r w:rsidRPr="00BA623D">
        <w:rPr>
          <w:rFonts w:ascii="Garamond" w:hAnsi="Garamond"/>
          <w:lang w:val="en-GB"/>
        </w:rPr>
        <w:t>atte.«</w:t>
      </w:r>
    </w:p>
    <w:p w:rsidR="00BA623D" w:rsidRPr="00BA623D" w:rsidRDefault="00BA623D" w:rsidP="00BA623D">
      <w:pPr>
        <w:pStyle w:val="Sansinterligne"/>
        <w:rPr>
          <w:rFonts w:ascii="Garamond" w:hAnsi="Garamond"/>
          <w:lang w:val="en-GB"/>
        </w:rPr>
      </w:pPr>
      <w:r w:rsidRPr="00BA623D">
        <w:rPr>
          <w:rFonts w:ascii="Garamond" w:hAnsi="Garamond"/>
          <w:lang w:val="en-GB"/>
        </w:rPr>
        <w:t>Es wird hoffentlich niemand in Abrede stellen, daß das Wohlgefallen an dieser Art von sonst anspruchslosen Reimen das nämliche ist, an dem wir den Witz erkennen.</w:t>
      </w:r>
    </w:p>
    <w:p w:rsidR="00BA623D" w:rsidRPr="00BA623D" w:rsidRDefault="00BA623D" w:rsidP="00BA623D">
      <w:pPr>
        <w:pStyle w:val="Sansinterligne"/>
        <w:rPr>
          <w:rFonts w:ascii="Garamond" w:hAnsi="Garamond"/>
          <w:lang w:val="en-GB"/>
        </w:rPr>
      </w:pPr>
      <w:r w:rsidRPr="00BA623D">
        <w:rPr>
          <w:rFonts w:ascii="Garamond" w:hAnsi="Garamond"/>
          <w:lang w:val="en-GB"/>
        </w:rPr>
        <w:t>Gute Beispiele von abstrakten oder harmlosen Gedankenwitzen findet man reichlich unter den Lichtenbergschen Vergleichungen, von denen wir einige bereits kennengelernt haben. Ich füge einige weitere hinzu:</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 </w:t>
      </w:r>
      <w:r w:rsidRPr="00BA623D">
        <w:rPr>
          <w:rFonts w:ascii="Garamond" w:hAnsi="Garamond"/>
          <w:i/>
          <w:iCs/>
          <w:lang w:val="en-GB"/>
        </w:rPr>
        <w:t>Sie hatten ein Oktavbändchen nach Göttingen geschickt und an Leib und Seele einen Quartanten wieder bekommen.</w:t>
      </w: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 </w:t>
      </w:r>
      <w:r w:rsidRPr="00BA623D">
        <w:rPr>
          <w:rFonts w:ascii="Garamond" w:hAnsi="Garamond"/>
          <w:i/>
          <w:iCs/>
          <w:lang w:val="en-GB"/>
        </w:rPr>
        <w:t>Um dieses Gebäude gehörig aufzuführen, muß vor allen Dingen ein guter Grund gelegt werden, und da weiß ich keinen festeren, als wenn man über jede Schicht pro gleich eine Schicht kontra aufträgt.</w:t>
      </w: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 </w:t>
      </w:r>
      <w:r w:rsidRPr="00BA623D">
        <w:rPr>
          <w:rFonts w:ascii="Garamond" w:hAnsi="Garamond"/>
          <w:i/>
          <w:iCs/>
          <w:lang w:val="en-GB"/>
        </w:rPr>
        <w:t>Einer zeugt den Gedanken, der andere hebt ihn aus der Taufe, der dritte zeugt Kinder mit ihm, der vierte besucht ihn auf dem Sterbebette und der fünfte begräbt ihn.</w:t>
      </w:r>
      <w:r w:rsidRPr="00BA623D">
        <w:rPr>
          <w:rFonts w:ascii="Garamond" w:hAnsi="Garamond"/>
          <w:lang w:val="en-GB"/>
        </w:rPr>
        <w:t>« (Gleichnis mit Unifizierung.)</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 </w:t>
      </w:r>
      <w:r w:rsidRPr="00BA623D">
        <w:rPr>
          <w:rFonts w:ascii="Garamond" w:hAnsi="Garamond"/>
          <w:i/>
          <w:iCs/>
          <w:lang w:val="en-GB"/>
        </w:rPr>
        <w:t>Er glaubte nicht allein keine Gespenster, sondern er fürchtete sich nicht einmal davor.</w:t>
      </w:r>
      <w:r w:rsidRPr="00BA623D">
        <w:rPr>
          <w:rFonts w:ascii="Garamond" w:hAnsi="Garamond"/>
          <w:lang w:val="en-GB"/>
        </w:rPr>
        <w:t xml:space="preserve">« Der Witz liegt hier ausschließlich an der widersinnigen Darstellung, die das gewöhnlich für geringer Geschätzte in den Komparativ setzt, das für bedeutsamer Gehaltene zum Positiv nimmt. Mit Verzicht auf diese witzige Einkleidung hieße es: es ist viel leichter, sich mit dem Verstand über die Gespensterfurcht </w:t>
      </w:r>
      <w:r w:rsidRPr="00BA623D">
        <w:rPr>
          <w:rFonts w:ascii="Garamond" w:hAnsi="Garamond"/>
          <w:lang w:val="en-GB"/>
        </w:rPr>
        <w:lastRenderedPageBreak/>
        <w:t>hinwegzusetzen, als sich ihrer bei vorkommender Gelegenheit zu erwehren. Dies ist gar nicht mehr witzig, wohl aber eine richtige und noch zu wenig gewürdigte psychologische Erkenntnis, die nämliche, der Lessing in den bekannten Worten Ausdruck gibt:</w:t>
      </w:r>
    </w:p>
    <w:p w:rsidR="00BA623D" w:rsidRPr="00BA623D" w:rsidRDefault="00BA623D" w:rsidP="00BA623D">
      <w:pPr>
        <w:pStyle w:val="Sansinterligne"/>
        <w:rPr>
          <w:rFonts w:ascii="Garamond" w:hAnsi="Garamond"/>
          <w:lang w:val="en-GB"/>
        </w:rPr>
      </w:pPr>
      <w:r w:rsidRPr="00BA623D">
        <w:rPr>
          <w:rFonts w:ascii="Garamond" w:hAnsi="Garamond"/>
          <w:lang w:val="en-GB"/>
        </w:rPr>
        <w:t>»Es sind nicht alle frei, die ihrer Ketten spotten.«</w:t>
      </w:r>
    </w:p>
    <w:p w:rsidR="00BA623D" w:rsidRPr="00BA623D" w:rsidRDefault="00BA623D" w:rsidP="00BA623D">
      <w:pPr>
        <w:pStyle w:val="Sansinterligne"/>
        <w:rPr>
          <w:rFonts w:ascii="Garamond" w:hAnsi="Garamond"/>
          <w:lang w:val="en-GB"/>
        </w:rPr>
      </w:pPr>
      <w:r w:rsidRPr="00BA623D">
        <w:rPr>
          <w:rFonts w:ascii="Garamond" w:hAnsi="Garamond"/>
          <w:lang w:val="en-GB"/>
        </w:rPr>
        <w:t>Ich kann die Gelegenheit, die sich hier bietet, ergreifen, um ein immerhin mögliches Mißverständnis wegzuräumen. »Harmloser« oder »abstrakter« Witz soll nämlich keineswegs gleichbedeutend sein mit »gehaltlosem« Witz, sondern eben nur den Gegensatz zu den später zu besprechenden »tendenziösen« Witzen bezeichnen. Wie obiges Beispiel zeigt, kann ein harmloser, d. i. tendenzloser Witz auch sehr gehaltvoll sein, etwas Wertvolles aussagen. Der Gehalt eines Witzes ist aber vom Witz unabhängig und ist der Gehalt des Gedankens, der hier durch eine besondere Veranstaltung witzig ausgedrückt wird. Freilich so wie die Uhrmacher ein besonders gutes Werk auch mit einem kostbaren Gehäuse auszustatten pflegen, mag es auch beim Witz vorkommen, daß die besten Witzleistungen gerade zur Einkleidung der gehaltvollsten Gedanken benützt werden.</w:t>
      </w:r>
    </w:p>
    <w:p w:rsidR="00BA623D" w:rsidRPr="00BA623D" w:rsidRDefault="00BA623D" w:rsidP="00BA623D">
      <w:pPr>
        <w:pStyle w:val="Sansinterligne"/>
        <w:rPr>
          <w:rFonts w:ascii="Garamond" w:hAnsi="Garamond"/>
        </w:rPr>
      </w:pPr>
      <w:r w:rsidRPr="00BA623D">
        <w:rPr>
          <w:rFonts w:ascii="Garamond" w:hAnsi="Garamond"/>
          <w:lang w:val="en-GB"/>
        </w:rPr>
        <w:t xml:space="preserve">Wenn wir nun scharf auf die Unterscheidung von Gedankengehalt und witziger Einkleidung beim Gedankenwitz achten, so gelangen wir zu einer Einsicht, welche uns viel Unsicherheit in unserem Urteil über Witze aufzuklären vermag. Es stellt sich nämlich, was doch überraschend ist, heraus, daß wir unser Wohlgefallen an einem Witz nach dem summierten Eindruck von Gehalt und Witzleistung abgeben und uns durch den einen Faktor über das Ausmaß des anderen geradezu täuschen lassen. </w:t>
      </w:r>
      <w:r w:rsidRPr="00BA623D">
        <w:rPr>
          <w:rFonts w:ascii="Garamond" w:hAnsi="Garamond"/>
        </w:rPr>
        <w:t>Erst die Reduktion des Witzes klärt uns die Urteilstäuschung auf.</w:t>
      </w:r>
    </w:p>
    <w:p w:rsidR="00BA623D" w:rsidRPr="00BA623D" w:rsidRDefault="00BA623D" w:rsidP="00BA623D">
      <w:pPr>
        <w:pStyle w:val="Sansinterligne"/>
        <w:rPr>
          <w:rFonts w:ascii="Garamond" w:hAnsi="Garamond"/>
        </w:rPr>
      </w:pPr>
      <w:r w:rsidRPr="00BA623D">
        <w:rPr>
          <w:rFonts w:ascii="Garamond" w:hAnsi="Garamond"/>
        </w:rPr>
        <w:t>Das nämliche trifft übrigens auch beim Wortwitz zu. Wenn wir hören: »Die Erfahrung besteht darin, daß man erfährt, was man nicht wünscht erfahren zu haben« – so sind wir verblüfft, glauben eine neue Wahrheit zu vernehmen, und es dauert eine Weile, bis wir in dieser Verkleidung die Plattheit: »Durch Schaden wird man klug« (K. Fischer) erkennen. Die treffliche Witzleistung, die »Erfahrung« nahezu allein durch die Anwendung des Wortes »erfahren« zu definieren, täuscht uns so, daß wir den Gehalt des Satzes überschätzen. Ebenso ergeht es uns bei dem Lichtenbergschen Unifizierungswitz vom »Januarius« (S. 70), der uns weiter nichts zu sagen hat, als was wir längst wissen, daß Neujahrswünsche so selten in Erfüllung gehen wie andere Wünsche, und in vielen ähnlichen Fällen.</w:t>
      </w:r>
    </w:p>
    <w:p w:rsidR="00BA623D" w:rsidRPr="00BA623D" w:rsidRDefault="00BA623D" w:rsidP="00BA623D">
      <w:pPr>
        <w:pStyle w:val="Sansinterligne"/>
        <w:rPr>
          <w:rFonts w:ascii="Garamond" w:hAnsi="Garamond"/>
          <w:lang w:val="en-GB"/>
        </w:rPr>
      </w:pPr>
      <w:r w:rsidRPr="00BA623D">
        <w:rPr>
          <w:rFonts w:ascii="Garamond" w:hAnsi="Garamond"/>
        </w:rPr>
        <w:t xml:space="preserve">Das Gegenteilige erfahren wir bei anderen Witzen, in denen offenbar das Treffende und Richtige des Gedankens uns gefangennimmt, so daß wir den Satz einen glänzenden Witz heißen, während nur der Gedanke glänzend, die Witzleistung oft schwächlich ist. Gerade bei den Lichtenbergschen Witzen ist der Gedankenkern häufig weit wertvoller als die Witzeinkleidung, auf welche wir dann die Schätzung vom ersteren her unberechtigterweise ausdehnen. </w:t>
      </w:r>
      <w:r w:rsidRPr="00BA623D">
        <w:rPr>
          <w:rFonts w:ascii="Garamond" w:hAnsi="Garamond"/>
          <w:lang w:val="en-GB"/>
        </w:rPr>
        <w:t>So ist z. B. die Bemerkung über die »Fackel der Wahrheit« (S. 89) ein kaum witziger Vergleich, aber sie ist so treffend, daß wir den Satz als einen besonders witzigen hervorheben möchten.</w:t>
      </w:r>
    </w:p>
    <w:p w:rsidR="00BA623D" w:rsidRPr="00BA623D" w:rsidRDefault="00BA623D" w:rsidP="00BA623D">
      <w:pPr>
        <w:pStyle w:val="Sansinterligne"/>
        <w:rPr>
          <w:rFonts w:ascii="Garamond" w:hAnsi="Garamond"/>
          <w:lang w:val="en-GB"/>
        </w:rPr>
      </w:pPr>
      <w:r w:rsidRPr="00BA623D">
        <w:rPr>
          <w:rFonts w:ascii="Garamond" w:hAnsi="Garamond"/>
          <w:lang w:val="en-GB"/>
        </w:rPr>
        <w:t>Die Lichtenbergschen Witze sind vor allem durch ihren Gedankeninhalt und ihre Treffsicherheit hervorragend. Goethe hat mit Recht von diesem Autor gesagt, daß seine witzigen und scherzhaften Einfälle geradezu Probleme verbergen, richtiger: an die Lösung von Problemen streifen. Wenn er z. B. als witzigen Einfall aufzeichnet: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»Er las immer </w:t>
      </w:r>
      <w:r w:rsidRPr="00BA623D">
        <w:rPr>
          <w:rFonts w:ascii="Garamond" w:hAnsi="Garamond"/>
          <w:i/>
          <w:iCs/>
          <w:lang w:val="en-GB"/>
        </w:rPr>
        <w:t>Agamemnon</w:t>
      </w:r>
      <w:r w:rsidRPr="00BA623D">
        <w:rPr>
          <w:rFonts w:ascii="Garamond" w:hAnsi="Garamond"/>
          <w:lang w:val="en-GB"/>
        </w:rPr>
        <w:t xml:space="preserve"> anstatt </w:t>
      </w:r>
      <w:r w:rsidRPr="00BA623D">
        <w:rPr>
          <w:rFonts w:ascii="Garamond" w:hAnsi="Garamond"/>
          <w:i/>
          <w:iCs/>
          <w:lang w:val="en-GB"/>
        </w:rPr>
        <w:t>angenommen</w:t>
      </w:r>
      <w:r w:rsidRPr="00BA623D">
        <w:rPr>
          <w:rFonts w:ascii="Garamond" w:hAnsi="Garamond"/>
          <w:lang w:val="en-GB"/>
        </w:rPr>
        <w:t xml:space="preserve">, so sehr hatte er den Homer gelesen« (technisch): Dummheit + Wortgleichklang, so hat er damit nichts weniger als das Geheimnis des Verlesens selbst aufgedeckt </w:t>
      </w:r>
      <w:hyperlink r:id="rId318"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Vgl. meine </w:t>
        </w:r>
        <w:r w:rsidRPr="00BA623D">
          <w:rPr>
            <w:rStyle w:val="innerfusslink3"/>
            <w:rFonts w:ascii="Garamond" w:hAnsi="Garamond" w:cs="Arial"/>
            <w:b/>
            <w:bCs/>
            <w:i/>
            <w:iCs/>
            <w:lang w:val="en-GB"/>
          </w:rPr>
          <w:t>Psychopathologie des Alltagslebens</w:t>
        </w:r>
        <w:r w:rsidRPr="00BA623D">
          <w:rPr>
            <w:rStyle w:val="innerfusslink3"/>
            <w:rFonts w:ascii="Garamond" w:hAnsi="Garamond" w:cs="Arial"/>
            <w:b/>
            <w:bCs/>
            <w:lang w:val="en-GB"/>
          </w:rPr>
          <w:t>, 1904, 10. Aufl., 1923.</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Ähnlich ist der Witz, dessen Technik (S. 62) uns wohl recht unbefriedigend erschienen ist: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 </w:t>
      </w:r>
      <w:r w:rsidRPr="00BA623D">
        <w:rPr>
          <w:rFonts w:ascii="Garamond" w:hAnsi="Garamond"/>
          <w:i/>
          <w:iCs/>
          <w:lang w:val="en-GB"/>
        </w:rPr>
        <w:t>Er wunderte sich, daß den Katzen gerade an der Stelle zwei Löcher in den Pelz geschnitten wären, wo sie die Augen hätten.</w:t>
      </w:r>
      <w:r w:rsidRPr="00BA623D">
        <w:rPr>
          <w:rFonts w:ascii="Garamond" w:hAnsi="Garamond"/>
          <w:lang w:val="en-GB"/>
        </w:rPr>
        <w:t>« Die Dummheit, die hier zur Schau getragen wird, ist nur eine scheinbare; in Wirklichkeit steckt hinter dieser einfältigen Bemerkung das große Problem der Teleologie im tierischen Aufbau; es ist gar nicht so selbstverständlich, daß die Lidspalte sich dort öffnet, wo die Hornhaut freiliegt, bis die Entwicklungsgeschichte uns dieses Zusammentreffen aufklärt.</w:t>
      </w:r>
    </w:p>
    <w:p w:rsidR="00BA623D" w:rsidRPr="00BA623D" w:rsidRDefault="00BA623D" w:rsidP="00BA623D">
      <w:pPr>
        <w:pStyle w:val="Sansinterligne"/>
        <w:rPr>
          <w:rFonts w:ascii="Garamond" w:hAnsi="Garamond"/>
          <w:lang w:val="en-GB"/>
        </w:rPr>
      </w:pPr>
      <w:r w:rsidRPr="00BA623D">
        <w:rPr>
          <w:rFonts w:ascii="Garamond" w:hAnsi="Garamond"/>
          <w:lang w:val="en-GB"/>
        </w:rPr>
        <w:t>Wir wollen es im Gedächtnis behalten, daß wir von einem witzigen Satz einen Gesamteindruck empfangen, in dem wir den Anteil des Gedankeninhalts von dem Anteil der Witzarbeit nicht zu sondern vermögen; vielleicht findet sich später hiezu eine noch bedeutsamere Parallele.</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Für unsere theoretische Aufklärung über das Wesen des Witzes müssen uns die harmlosen Witze wertvoller sein als die tendenziösen, die gehaltlosen wertvoller als die tiefsinnigen. Harmlose und gehaltlose Wortspiele etwa werden uns das Problem des Witzes in seiner reinsten Form entgegenbringen, weil wir bei ihnen der Gefahr der Verwirrung durch die Tendenz und der Urteilstäuschung durch den guten Sinn entgehen. An solchem Material kann unsere Erkenntnis einen neuen Fortschritt machen.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Ich wähle ein möglichst harmloses Beispiel von Wortwitz:</w:t>
      </w:r>
    </w:p>
    <w:p w:rsidR="00BA623D" w:rsidRPr="00BA623D" w:rsidRDefault="00BA623D" w:rsidP="00BA623D">
      <w:pPr>
        <w:pStyle w:val="Sansinterligne"/>
        <w:rPr>
          <w:rFonts w:ascii="Garamond" w:hAnsi="Garamond"/>
        </w:rPr>
      </w:pPr>
      <w:r w:rsidRPr="00BA623D">
        <w:rPr>
          <w:rFonts w:ascii="Garamond" w:hAnsi="Garamond"/>
          <w:lang w:val="en-GB"/>
        </w:rPr>
        <w:t xml:space="preserve">Ein Mädchen, welches während seiner Toilette die Ankündigung eines Besuches erhält, klagt: »Ach wie schade, gerade wenn man am </w:t>
      </w:r>
      <w:r w:rsidRPr="00BA623D">
        <w:rPr>
          <w:rFonts w:ascii="Garamond" w:hAnsi="Garamond"/>
          <w:i/>
          <w:iCs/>
          <w:lang w:val="en-GB"/>
        </w:rPr>
        <w:t>anziehendsten</w:t>
      </w:r>
      <w:r w:rsidRPr="00BA623D">
        <w:rPr>
          <w:rFonts w:ascii="Garamond" w:hAnsi="Garamond"/>
          <w:lang w:val="en-GB"/>
        </w:rPr>
        <w:t xml:space="preserve"> ist, darf man sich nicht sehen lassen.« </w:t>
      </w:r>
      <w:hyperlink r:id="rId319" w:anchor="#" w:history="1">
        <w:r w:rsidRPr="00BA623D">
          <w:rPr>
            <w:rStyle w:val="fusslink"/>
            <w:rFonts w:ascii="Garamond" w:hAnsi="Garamond" w:cs="Arial"/>
            <w:b/>
            <w:bCs/>
            <w:color w:val="003399"/>
          </w:rPr>
          <w:t>[Fußnote]</w:t>
        </w:r>
        <w:r w:rsidRPr="00BA623D">
          <w:rPr>
            <w:rStyle w:val="innerfusslink3"/>
            <w:rFonts w:ascii="Garamond" w:hAnsi="Garamond" w:cs="Arial"/>
            <w:b/>
            <w:bCs/>
          </w:rPr>
          <w:t xml:space="preserve">R. Kleinpaul, </w:t>
        </w:r>
        <w:r w:rsidRPr="00BA623D">
          <w:rPr>
            <w:rStyle w:val="innerfusslink3"/>
            <w:rFonts w:ascii="Garamond" w:hAnsi="Garamond" w:cs="Arial"/>
            <w:b/>
            <w:bCs/>
            <w:i/>
            <w:iCs/>
          </w:rPr>
          <w:t>Die Rätsel der Sprache</w:t>
        </w:r>
        <w:r w:rsidRPr="00BA623D">
          <w:rPr>
            <w:rStyle w:val="innerfusslink3"/>
            <w:rFonts w:ascii="Garamond" w:hAnsi="Garamond" w:cs="Arial"/>
            <w:b/>
            <w:bCs/>
          </w:rPr>
          <w:t>, 1890.</w:t>
        </w:r>
      </w:hyperlink>
    </w:p>
    <w:p w:rsidR="00BA623D" w:rsidRPr="00BA623D" w:rsidRDefault="00BA623D" w:rsidP="00BA623D">
      <w:pPr>
        <w:pStyle w:val="Sansinterligne"/>
        <w:rPr>
          <w:rFonts w:ascii="Garamond" w:hAnsi="Garamond"/>
        </w:rPr>
      </w:pPr>
      <w:r w:rsidRPr="00BA623D">
        <w:rPr>
          <w:rFonts w:ascii="Garamond" w:hAnsi="Garamond"/>
        </w:rPr>
        <w:t>Da mir aber Bedenken aufsteigen, ob ich diesen Witz für einen tendenzlosen auszugeben das Recht habe, ersetze ich ihn durch einen anderen, herzlich einfältigen, der von solcher Einwendung frei sein dürfte.</w:t>
      </w:r>
    </w:p>
    <w:p w:rsidR="00BA623D" w:rsidRPr="00BA623D" w:rsidRDefault="00BA623D" w:rsidP="00BA623D">
      <w:pPr>
        <w:pStyle w:val="Sansinterligne"/>
        <w:rPr>
          <w:rFonts w:ascii="Garamond" w:hAnsi="Garamond"/>
        </w:rPr>
      </w:pPr>
      <w:r w:rsidRPr="00BA623D">
        <w:rPr>
          <w:rFonts w:ascii="Garamond" w:hAnsi="Garamond"/>
        </w:rPr>
        <w:t xml:space="preserve">In einem Hause, wo ich zu Gast geladen bin, wird zum Schluß der Mahlzeit die </w:t>
      </w:r>
      <w:r w:rsidRPr="00BA623D">
        <w:rPr>
          <w:rFonts w:ascii="Garamond" w:hAnsi="Garamond"/>
          <w:i/>
          <w:iCs/>
        </w:rPr>
        <w:t>Roulard</w:t>
      </w:r>
      <w:r w:rsidRPr="00BA623D">
        <w:rPr>
          <w:rFonts w:ascii="Garamond" w:hAnsi="Garamond"/>
        </w:rPr>
        <w:t xml:space="preserve"> genannte Mehlspeise gereicht, deren Herstellung einiges Geschick bei der Köchin voraussetzt. »Zu Hause gemacht?« fragt darum einer der Gäste, und der Hausherr antwortet: »Ja, gewiß, ein </w:t>
      </w:r>
      <w:r w:rsidRPr="00BA623D">
        <w:rPr>
          <w:rFonts w:ascii="Garamond" w:hAnsi="Garamond"/>
          <w:i/>
          <w:iCs/>
        </w:rPr>
        <w:t>Home-Roulard</w:t>
      </w:r>
      <w:r w:rsidRPr="00BA623D">
        <w:rPr>
          <w:rFonts w:ascii="Garamond" w:hAnsi="Garamond"/>
        </w:rPr>
        <w:t>« (Home Rule).</w:t>
      </w:r>
    </w:p>
    <w:p w:rsidR="00BA623D" w:rsidRPr="00BA623D" w:rsidRDefault="00BA623D" w:rsidP="00BA623D">
      <w:pPr>
        <w:pStyle w:val="Sansinterligne"/>
        <w:rPr>
          <w:rFonts w:ascii="Garamond" w:hAnsi="Garamond"/>
          <w:lang w:val="en-GB"/>
        </w:rPr>
      </w:pPr>
      <w:r w:rsidRPr="00BA623D">
        <w:rPr>
          <w:rFonts w:ascii="Garamond" w:hAnsi="Garamond"/>
          <w:lang w:val="en-GB"/>
        </w:rPr>
        <w:t>Wir wollen diesmal nicht die Technik des Witzes untersuchen, sondern gedenken unsere Aufmerksamkeit einem anderen, dem wichtigsten Momente zwar, zuzuwenden. Das Anhören dieses improvisierten Witzes bereitete den Anwesenden ein – von mir klar erinnertes – Vergnügen und machte uns lachen. In diesem wie in ungezählten anderen Fällen kann die Lustempfindung des Hörers nicht von der Tendenz und nicht vom Gedankeninhalt des Witzes herrühren; es bleibt nichts übrig, als diese Lustempfindung mit der Technik des Witzes in Zusammenhang zu bringen. Die von uns vorhin beschriebenen technischen Mittel des Witzes – die Verdichtung, Verschiebung, indirekte Darstellung usw. – haben also das Vermögen, beim Hörer eine Lustempfindung hervorzurufen, wenngleich wir noch gar nicht einsehen können, wie ihnen dies Vermögen zukommen mag. Auf so leichte Art gewinnen wir den zweiten Satz zur Aufklärung des Witzes; der erste lautete (S. 15), daß der Charakter des Witzes an der Ausdrucksform hängt. Besinnen wir uns noch, daß der zweite Satz uns eigentlich nichts Neues gelehrt hat. Er isoliert nur, was bereits in einer früher von uns gemachten Erfahrung enthalten war. Wir erinnern ja, wenn es gelang, den Witz zu reduzieren, d. h. mit sorgfältiger Erhaltung des Sinnes dessen Ausdruck durch einen anderen zu ersetzen, so war damit nicht nur der Witzcharakter, sondern auch der Lacheffekt, also das Vergnügen am Witze, aufgehoben.</w:t>
      </w:r>
    </w:p>
    <w:p w:rsidR="00BA623D" w:rsidRPr="00BA623D" w:rsidRDefault="00BA623D" w:rsidP="00BA623D">
      <w:pPr>
        <w:pStyle w:val="Sansinterligne"/>
        <w:rPr>
          <w:rFonts w:ascii="Garamond" w:hAnsi="Garamond"/>
          <w:lang w:val="en-GB"/>
        </w:rPr>
      </w:pPr>
      <w:r w:rsidRPr="00BA623D">
        <w:rPr>
          <w:rFonts w:ascii="Garamond" w:hAnsi="Garamond"/>
          <w:lang w:val="en-GB"/>
        </w:rPr>
        <w:t>Wir können hier nicht weitergehen, ohne uns vorerst mit unseren philosophischen Autoritäten auseinanderzusetzen.</w:t>
      </w:r>
    </w:p>
    <w:p w:rsidR="00BA623D" w:rsidRPr="00BA623D" w:rsidRDefault="00BA623D" w:rsidP="00BA623D">
      <w:pPr>
        <w:pStyle w:val="Sansinterligne"/>
        <w:rPr>
          <w:rFonts w:ascii="Garamond" w:hAnsi="Garamond"/>
          <w:lang w:val="en-GB"/>
        </w:rPr>
      </w:pPr>
      <w:r w:rsidRPr="00BA623D">
        <w:rPr>
          <w:rFonts w:ascii="Garamond" w:hAnsi="Garamond"/>
          <w:lang w:val="en-GB"/>
        </w:rPr>
        <w:t>Die Philosophen, welche den Witz dem Komischen zurechnen und das Komische selbst in der Ästhetik abhandeln, charakterisieren das ästhetische Vorstellen durch die Bedingung, daß wir dabei nichts von und mit den Dingen wollen, die Dinge nicht brauchen, um eines unserer großen Lebensbedürfnisse zu befriedigen, sondern uns mit der Betrachtung derselben und dem Genuß der Vorstellung begnügen. »Dieser Genuß, diese Vorstellungsart ist die rein ästhetische, die nur in sich beruht, nur in sich ihren Zweck hat und keine anderen Lebenszwecke erfüllt« (K. Fischer).</w:t>
      </w:r>
    </w:p>
    <w:p w:rsidR="00BA623D" w:rsidRPr="00BA623D" w:rsidRDefault="00BA623D" w:rsidP="00BA623D">
      <w:pPr>
        <w:pStyle w:val="Sansinterligne"/>
        <w:rPr>
          <w:rFonts w:ascii="Garamond" w:hAnsi="Garamond"/>
          <w:lang w:val="en-GB"/>
        </w:rPr>
      </w:pPr>
      <w:r w:rsidRPr="00BA623D">
        <w:rPr>
          <w:rFonts w:ascii="Garamond" w:hAnsi="Garamond"/>
          <w:lang w:val="en-GB"/>
        </w:rPr>
        <w:t>Wir setzen uns nun kaum in Widerspruch mit diesen Worten K. Fischers, übersetzen vielleicht nur seinen Gedanken in unsere Ausdrucksweise, wenn wir hervorheben, daß die witzige Tätigkeit doch keine zweck- oder ziellose genannt werden darf, da sie sich unverkennbar das Ziel gesteckt hat, Lust beim Hörer hervorzurufen. Ich zweifle, ob wir irgend etwas zu unternehmen imstande sind, wobei eine Absicht nicht in Betracht kommt. Wenn wir unseren seelischen Apparat gerade nicht zur Erfüllung einer der unentbehrlichen Befriedigungen brauchen, lassen wir ihn selbst auf Lust arbeiten, suchen wir Lust aus seiner eigenen Tätigkeit zu ziehen. Ich vermute, daß dies überhaupt die Bedingung ist, der alles ästhetische Vorstellen unterliegt, aber ich verstehe zu wenig von der Ästhetik, um diesen Satz durchführen zu wollen; vom Witz jedoch kann ich auf Grund der beiden vorhin gewonnenen Einsichten behaupten, daß er eine Tätigkeit ist, welche darauf abzielt, Lust aus den seelischen Vorgängen – intellektuellen oder anderen – zu gewinnen. Es gibt gewiß noch andere Tätigkeiten, die dasselbe bezwecken. Vielleicht unterscheiden sie sich darin, aus welchem Gebiete seelischer Tätigkeit sie Lust schöpfen wollen, vielleicht durch die Methode, deren sie sich dabei bedienen. Wir können das gegenwärtig nicht entscheiden; wir halten aber daran fest, daß nun die Witztechnik und die sie teilweise beherrschende ersparende Tendenz (S. 45) in Beziehung gebracht sind zur Erzeugung von Lust.</w:t>
      </w:r>
    </w:p>
    <w:p w:rsidR="00BA623D" w:rsidRPr="00BA623D" w:rsidRDefault="00BA623D" w:rsidP="00BA623D">
      <w:pPr>
        <w:pStyle w:val="Sansinterligne"/>
        <w:rPr>
          <w:rFonts w:ascii="Garamond" w:hAnsi="Garamond"/>
          <w:lang w:val="en-GB"/>
        </w:rPr>
      </w:pPr>
      <w:r w:rsidRPr="00BA623D">
        <w:rPr>
          <w:rFonts w:ascii="Garamond" w:hAnsi="Garamond"/>
          <w:lang w:val="en-GB"/>
        </w:rPr>
        <w:t>Ehe wir aber darangehen, das Rätsel, wie die technischen Mittel der Witzarbeit Lust beim Hörer erregen können, zu lösen, wollen wir uns erinnern, daß wir zum Zwecke der Vereinfachung und besseren Durchsichtigkeit die tendenziösen Witze ganz zur Seite geschoben haben. Wir müssen doch aufzuklären suchen, welches die Tendenzen des Witzes sind und in welcher Weise er diesen Tendenzen dient.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Wir werden vor allem durch eine Beobachtung gemahnt, den tendenziösen Witz bei der Untersuchung nach der Herkunft der Lust am Witze nicht beiseite zu lassen. Die Lustwirkung des harmlosen Witzes ist zumeist eine mäßige; ein deutliches Wohlgefallen, ein leichtes Lächeln ist zumeist alles, was er beim Hörer zu erreichen vermag, und von diesem Effekt ist etwa noch ein Teil auf Rechnung seines Gedankeninhalts </w:t>
      </w:r>
      <w:r w:rsidRPr="00BA623D">
        <w:rPr>
          <w:rFonts w:ascii="Garamond" w:hAnsi="Garamond"/>
          <w:lang w:val="en-GB"/>
        </w:rPr>
        <w:lastRenderedPageBreak/>
        <w:t>zu setzen, wie wir an geeigneten Beispielen (S. 99) bemerkt haben. Fast niemals erzielt der tendenzlose Witz jene plötzlichen Ausbrüche von Gelächter, die den tendenziösen so unwiderstehlich machen. Da die Technik bei beiden die nämliche sein kann, darf in uns die Vermutung rege werden, daß der tendenziöse Witz kraft seiner Tendenz über Quellen der Lust verfügen müsse, zu denen der harmlose Witz keinen Zugang hat.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Tendenzen des Witzes sind nun leicht zu übersehen. Wo der Witz nicht Selbstzweck, d. h. harmlos ist, stellt er sich in den Dienst von nur zwei Tendenzen, die selbst eine Vereinigung unter einen Gesichtspunkt zulassen; er ist entweder </w:t>
      </w:r>
      <w:r w:rsidRPr="00BA623D">
        <w:rPr>
          <w:rFonts w:ascii="Garamond" w:hAnsi="Garamond"/>
          <w:i/>
          <w:iCs/>
          <w:lang w:val="en-GB"/>
        </w:rPr>
        <w:t>feindseliger</w:t>
      </w:r>
      <w:r w:rsidRPr="00BA623D">
        <w:rPr>
          <w:rFonts w:ascii="Garamond" w:hAnsi="Garamond"/>
          <w:lang w:val="en-GB"/>
        </w:rPr>
        <w:t xml:space="preserve"> Witz (der zur Aggression, Satire, Abwehr dient) oder </w:t>
      </w:r>
      <w:r w:rsidRPr="00BA623D">
        <w:rPr>
          <w:rFonts w:ascii="Garamond" w:hAnsi="Garamond"/>
          <w:i/>
          <w:iCs/>
          <w:lang w:val="en-GB"/>
        </w:rPr>
        <w:t>obszöner</w:t>
      </w:r>
      <w:r w:rsidRPr="00BA623D">
        <w:rPr>
          <w:rFonts w:ascii="Garamond" w:hAnsi="Garamond"/>
          <w:lang w:val="en-GB"/>
        </w:rPr>
        <w:t xml:space="preserve"> Witz (welcher der Entblößung dient). Von vornherein ist wieder zu bemerken, daß die technische Art des Witzes – ob Wort- oder Gedankenwitz – keine Relation zu diesen beiden Tendenzen hat.</w:t>
      </w:r>
    </w:p>
    <w:p w:rsidR="00BA623D" w:rsidRPr="00BA623D" w:rsidRDefault="00BA623D" w:rsidP="00BA623D">
      <w:pPr>
        <w:pStyle w:val="Sansinterligne"/>
        <w:rPr>
          <w:rFonts w:ascii="Garamond" w:hAnsi="Garamond"/>
          <w:lang w:val="en-GB"/>
        </w:rPr>
      </w:pPr>
      <w:r w:rsidRPr="00BA623D">
        <w:rPr>
          <w:rFonts w:ascii="Garamond" w:hAnsi="Garamond"/>
          <w:lang w:val="en-GB"/>
        </w:rPr>
        <w:t>Weitläufiger ist es nun, darzulegen, auf welche Weise der Witz diesen Tendenzen dient. Ich möchte bei dieser Untersuchung nicht den feindseligen, sondern den entblößenden Witz voranstellen. Dieser ist zwar weit seltener einer Untersuchung gewürdigt worden, als hätte sich hier eine Abneigung vom Stofflichen aufs Sachliche übertragen, allein wir wollen uns hiedurch nicht beirren lassen, da wir alsbald auf einen Grenzfall des Witzes stoßen werden, der uns Aufklärung über mehr als einen dunklen Punkt zu bringen verspricht.</w:t>
      </w:r>
    </w:p>
    <w:p w:rsidR="00BA623D" w:rsidRPr="00BA623D" w:rsidRDefault="00BA623D" w:rsidP="00BA623D">
      <w:pPr>
        <w:pStyle w:val="Sansinterligne"/>
        <w:rPr>
          <w:rFonts w:ascii="Garamond" w:hAnsi="Garamond"/>
        </w:rPr>
      </w:pPr>
      <w:r w:rsidRPr="00BA623D">
        <w:rPr>
          <w:rFonts w:ascii="Garamond" w:hAnsi="Garamond"/>
          <w:lang w:val="en-GB"/>
        </w:rPr>
        <w:t xml:space="preserve">Man weiß, was unter der »Zote« verstanden wird: Die beabsichtigte Hervorhebung sexueller Tatsachen und Verhältnisse durch die Rede. Indes diese Definition ist nicht stichhaltiger als andere Definitionen. Ein Vortrag über die Anatomie der Sexualorgane oder über die Physiologie der Zeugung braucht trotz dieser Definition nicht einen einzigen Berührungspunkt mit der Zote gemein zu haben. Es gehört noch dazu, daß die Zote an eine bestimmte Person gerichtet werde, von der man sexuell erregt wird und die durch das Anhören der Zote von der Erregung des Redenden Kenntnis bekommen und dadurch selbst sexuell erregt werden soll. Anstatt dieser Erregung mag sie auch in Scham oder Verlegenheit gebracht werden, was nur eine Reaktion gegen ihre Erregung und auf diesem Umwege ein Eingeständnis derselben bedeutet. Die Zote ist also ursprünglich an das Weib gerichtet und einem Verführungsversuch gleichzusetzen. Wenn sich dann ein Mann in Männergesellschaft mit dem Erzählen oder Anhören von Zoten vergnügt, so ist die ursprüngliche Situation, die infolge sozialer Hemmnisse nicht verwirklicht werden kann, dabei mit vorgestellt. </w:t>
      </w:r>
      <w:r w:rsidRPr="00BA623D">
        <w:rPr>
          <w:rFonts w:ascii="Garamond" w:hAnsi="Garamond"/>
        </w:rPr>
        <w:t>Wer über die gehörte Zote lacht, lacht wie ein Zuschauer bei einer sexuellen Aggression.</w:t>
      </w:r>
    </w:p>
    <w:p w:rsidR="00BA623D" w:rsidRPr="00BA623D" w:rsidRDefault="00BA623D" w:rsidP="00BA623D">
      <w:pPr>
        <w:pStyle w:val="Sansinterligne"/>
        <w:rPr>
          <w:rFonts w:ascii="Garamond" w:hAnsi="Garamond"/>
        </w:rPr>
      </w:pPr>
      <w:r w:rsidRPr="00BA623D">
        <w:rPr>
          <w:rFonts w:ascii="Garamond" w:hAnsi="Garamond"/>
        </w:rPr>
        <w:t xml:space="preserve">Das Sexuelle, welches den Inhalt der Zote bildet, umfaßt mehr als das bei beiden Geschlechtern Besondere, nämlich noch überdies das beiden Geschlechtern Gemeinsame, auf das die Scham sich erstreckt, also das Exkrementelle in seinem ganzen Umfang. Dies ist aber der Umfang, den das Sexuelle im Kindesalter hat, wo für die Vorstellung gleichsam eine Kloake existiert, innerhalb deren Sexuelles und Exkrementelles schlecht oder gar nicht gesondert werden </w:t>
      </w:r>
      <w:hyperlink r:id="rId320" w:anchor="#" w:history="1">
        <w:r w:rsidRPr="00BA623D">
          <w:rPr>
            <w:rStyle w:val="fusslink"/>
            <w:rFonts w:ascii="Garamond" w:hAnsi="Garamond" w:cs="Arial"/>
            <w:b/>
            <w:bCs/>
            <w:color w:val="003399"/>
          </w:rPr>
          <w:t>[Fußnote]</w:t>
        </w:r>
        <w:r w:rsidRPr="00BA623D">
          <w:rPr>
            <w:rStyle w:val="innerfusslink3"/>
            <w:rFonts w:ascii="Garamond" w:hAnsi="Garamond" w:cs="Arial"/>
            <w:b/>
            <w:bCs/>
          </w:rPr>
          <w:t>S. meine gleichzeitig erscheinenden »Drei Abhandlungen zur Sexualtheorie« (1905).</w:t>
        </w:r>
      </w:hyperlink>
      <w:r w:rsidRPr="00BA623D">
        <w:rPr>
          <w:rFonts w:ascii="Garamond" w:hAnsi="Garamond"/>
        </w:rPr>
        <w:t>. Überall im Gedankenbereich der Neurosenpsychologie schließt das Sexuelle noch das Exkrementelle ein, wird es im alten, infantilen Sinne verstanden.</w:t>
      </w:r>
    </w:p>
    <w:p w:rsidR="00BA623D" w:rsidRPr="00BA623D" w:rsidRDefault="00BA623D" w:rsidP="00BA623D">
      <w:pPr>
        <w:pStyle w:val="Sansinterligne"/>
        <w:rPr>
          <w:rFonts w:ascii="Garamond" w:hAnsi="Garamond"/>
        </w:rPr>
      </w:pPr>
      <w:r w:rsidRPr="00BA623D">
        <w:rPr>
          <w:rFonts w:ascii="Garamond" w:hAnsi="Garamond"/>
        </w:rPr>
        <w:t>Die Zote ist wie eine Entblößung der sexuell differenten Person, an die sie gerichtet ist. Durch das Aussprechen der obszönen Worte zwingt sie die angegriffene Person zur Vorstellung des betreffenden Körperteiles oder der Verrichtung und zeigt ihr, daß der Angreifer selbst sich solches vorstellt. Es ist nicht zu bezweifeln, daß die Lust, das Sexuelle entblößt zu sehen, das ursprüngliche Motiv der Zote ist.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Es kann der Klärung nur förderlich sein, wenn wir hier bis auf die Fundamente zurückgehen. Die Neigung, das Geschlechtsbesondere entblößt zu schauen, ist eine der ursprünglichen Komponenten unserer Libido. Sie ist selbst vielleicht bereits eine Ersetzung, geht auf eine als primär zu supponierende Lust, das Sexuelle zu berühren, zurück. Wie so häufig, hat das Schauen das Tasten auch hier abgelöst </w:t>
      </w:r>
      <w:hyperlink r:id="rId321"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Molls Kontrektationstrieb ( </w:t>
        </w:r>
        <w:r w:rsidRPr="00BA623D">
          <w:rPr>
            <w:rStyle w:val="innerfusslink3"/>
            <w:rFonts w:ascii="Garamond" w:hAnsi="Garamond" w:cs="Arial"/>
            <w:b/>
            <w:bCs/>
            <w:i/>
            <w:iCs/>
            <w:lang w:val="en-GB"/>
          </w:rPr>
          <w:t>Untersuchungen über die Libido sexualis</w:t>
        </w:r>
        <w:r w:rsidRPr="00BA623D">
          <w:rPr>
            <w:rStyle w:val="innerfusslink3"/>
            <w:rFonts w:ascii="Garamond" w:hAnsi="Garamond" w:cs="Arial"/>
            <w:b/>
            <w:bCs/>
            <w:lang w:val="en-GB"/>
          </w:rPr>
          <w:t>, 1898).</w:t>
        </w:r>
      </w:hyperlink>
      <w:r w:rsidRPr="00BA623D">
        <w:rPr>
          <w:rFonts w:ascii="Garamond" w:hAnsi="Garamond"/>
          <w:lang w:val="en-GB"/>
        </w:rPr>
        <w:t>. Die Schau- oder Tastlibido ist bei jedermann in zweifacher Art, aktiv und passiv, männlich und weiblich, vorhanden, und bildet sich je nach dem Überwiegen des Geschlechtscharakters nach der einen oder der anderen Richtung überwiegend aus. Bei jungen Kindern kann man die Neigung zur Selbstentblößung leicht beobachten. Wo der Keim dieser Neigung nicht das gewöhnliche Schicksal der Überlagerung und Unterdrückung erfährt, da entwickelt er sich zu der als Exhibitionsdrang bekannten Perversion erwachsener Männer. Beim Weibe wird die passive Exhibitionsneigung fast regelmäßig durch die großartige Reaktionsleistung der sexuellen Schamhaftigkeit überlagert, aber nicht ohne daß ihr in der Kleidung ein Ausfallspförtchen gespart bliebe. Wie dehnbar und nach Konvention und Umständen variabel dann das der Frau als erlaubt verbliebene Maß von Exhibition ist, brauche ich nur anzudeuten.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Beim Manne bleibt ein hoher Grad dieser Strebung als Teilstück der Libido bestehen und dient zur Einleitung des Geschlechtsaktes. Wenn diese Strebung sich bei der ersten Annäherung an das Weib geltend macht, muß sie sich aus zwei Motiven der Rede bedienen. Erstens um sich dem Weibe anzuzeigen, und zweitens weil die Erweckung der Vorstellung durch die Rede das Weib selbst in die korrespondierende Erregung versetzen und die Neigung zur passiven Exhibition bei ihr erwecken kann. Diese werbende Rede ist noch nicht die Zote, geht aber in sie über. Wo nämlich die Bereitschaft des Weibes sich rasch einstellt, da ist die obszöne Rede kurzlebig, sie weicht alsbald der sexuellen Handlung. Anders, wenn auf die rasche Bereitschaft des Weibes nicht zu rechnen ist, sondern an deren Statt die Abwehrreaktionen desselben auftreten. Dann wird die sexuell erregende Rede als Zote Selbstzweck; da die sexuelle Aggression in ihrem Fortschreiten bis zum Akt aufgehalten ist, verweilt sie bei der Hervorrufung der Erregung und zieht Lust aus den Anzeichen derselben beim Weibe. Die Aggression ändert dabei wohl auch ihren Charakter in dem nämlichen Sinne wie jede libidinöse Regung, der sich ein Hindernis entgegenstellt; sie wird direkt feindselig, grausam, ruft also die sadistische Komponente des Geschlechtstriebes gegen das Hindernis zur Hilfe.</w:t>
      </w:r>
    </w:p>
    <w:p w:rsidR="00BA623D" w:rsidRPr="00BA623D" w:rsidRDefault="00BA623D" w:rsidP="00BA623D">
      <w:pPr>
        <w:pStyle w:val="Sansinterligne"/>
        <w:rPr>
          <w:rFonts w:ascii="Garamond" w:hAnsi="Garamond"/>
          <w:lang w:val="en-GB"/>
        </w:rPr>
      </w:pPr>
      <w:r w:rsidRPr="00BA623D">
        <w:rPr>
          <w:rFonts w:ascii="Garamond" w:hAnsi="Garamond"/>
          <w:lang w:val="en-GB"/>
        </w:rPr>
        <w:t>Die Unnachgiebigkeit des Weibes ist also die nächste Bedingung für die Ausbildung der Zote, allerdings eine solche, die bloß einen Aufschub zu bedeuten scheint und weitere Bemühung nicht aussichtslos erscheinen läßt. Der ideale Fall eines derartigen Widerstandes beim Weibe ergibt sich bei der gleichzeitigen Anwesenheit eines anderen Mannes, eines Dritten, denn dann ist das sofortige Nachgeben des Weibes so gut wie ausgeschlossen. Dieser Dritte gelangt bald zur größten Bedeutung für die Entwicklung der Zote; zunächst ist aber von der Anwesenheit des Weibes nicht abzusehen. Beim Landvolk oder im Wirtshaus des kleinen Mannes kann man beobachten, daß erst das Hinzutreten der Kellnerin oder der Wirtin die Zote zum Vorschein bringt; auf höherer sozialer Stufe erst tritt das Gegenteil ein, macht die Anwesenheit eines weiblichen Wesens der Zote ein Ende; die Männer sparen sich diese Art der Unterhaltung, die ursprünglich ein sich schämendes Weib voraussetzt, auf, bis sie allein »unter sich« sind. So wird allmählich anstatt des Weibes der Zuschauer, jetzt Zuhörer, die Instanz, für welche die Zote bestimmt ist, und diese nähert sich durch solche Wandlung bereits dem Charakter des Witzes.</w:t>
      </w:r>
    </w:p>
    <w:p w:rsidR="00BA623D" w:rsidRPr="00BA623D" w:rsidRDefault="00BA623D" w:rsidP="00BA623D">
      <w:pPr>
        <w:pStyle w:val="Sansinterligne"/>
        <w:rPr>
          <w:rFonts w:ascii="Garamond" w:hAnsi="Garamond"/>
          <w:lang w:val="en-GB"/>
        </w:rPr>
      </w:pPr>
      <w:r w:rsidRPr="00BA623D">
        <w:rPr>
          <w:rFonts w:ascii="Garamond" w:hAnsi="Garamond"/>
          <w:lang w:val="en-GB"/>
        </w:rPr>
        <w:t>Unsere Aufmerksamkeit kann von dieser Stelle an von zwei Momenten in Anspruch genommen werden, von der Rolle des Dritten, des Zuhörers, und von den inhaltlichen Bedingungen der Zote selbst.</w:t>
      </w:r>
    </w:p>
    <w:p w:rsidR="00BA623D" w:rsidRPr="00BA623D" w:rsidRDefault="00BA623D" w:rsidP="00BA623D">
      <w:pPr>
        <w:pStyle w:val="Sansinterligne"/>
        <w:rPr>
          <w:rFonts w:ascii="Garamond" w:hAnsi="Garamond"/>
          <w:lang w:val="en-GB"/>
        </w:rPr>
      </w:pPr>
      <w:r w:rsidRPr="00BA623D">
        <w:rPr>
          <w:rFonts w:ascii="Garamond" w:hAnsi="Garamond"/>
          <w:lang w:val="en-GB"/>
        </w:rPr>
        <w:t>Der tendenziöse Witz braucht im allgemeinen drei Personen, außer der, die den Witz macht, eine zweite, die zum Objekt der feindseligen oder sexuellen Aggression genommen wird, und eine dritte, an der sich die Absicht des Witzes, Lust zu erzeugen, erfüllt. Die tiefere Begründung für diese Verhältnisse werden wir später aufzusuchen haben, vorläufig halten wir uns an die Tatsache, die sich ja darin bekundet, daß nicht, wer den Witz macht, ihn auch belacht, also dessen Lustwirkung genießt, sondern der untätige Zuhörer. In der nämlichen Relation befinden sich die drei Personen bei der Zote. Man kann den Hergang so beschreiben: Der libidinöse Impuls des Ersten entfaltet, sowie er die Befriedigung durch das Weib gehemmt findet, eine gegen diese zweite Person feindselige Tendenz und ruft die ursprünglich störende dritte Person zum Bundesgenossen auf. Durch die zotige Rede des Ersten wird das Weib vor diesem Dritten entblößt, der nun als Zuhörer – durch die mühelose Befriedigung seiner eigenen Libido – bestochen wird.</w:t>
      </w:r>
    </w:p>
    <w:p w:rsidR="00BA623D" w:rsidRPr="00BA623D" w:rsidRDefault="00BA623D" w:rsidP="00BA623D">
      <w:pPr>
        <w:pStyle w:val="Sansinterligne"/>
        <w:rPr>
          <w:rFonts w:ascii="Garamond" w:hAnsi="Garamond"/>
          <w:lang w:val="en-GB"/>
        </w:rPr>
      </w:pPr>
      <w:r w:rsidRPr="00BA623D">
        <w:rPr>
          <w:rFonts w:ascii="Garamond" w:hAnsi="Garamond"/>
          <w:lang w:val="en-GB"/>
        </w:rPr>
        <w:t>Es ist merkwürdig, daß solcher Zotenverkehr beim gemeinen Volke so überaus beliebt und eine nie fehlende Betätigung heiterer Stimmung ist. Beachtenswert ist aber auch, daß bei diesem komplizierten Vorgang, der so viele Charaktere des tendenziösen Witzes an sich trägt, an die Zote selbst keiner der formellen Ansprüche, welche den Witz kennzeichnen, gestellt wird. Die unverhüllte Nudität auszusprechen bereitet dem Ersten Vergnügen und macht den Dritten lachen.</w:t>
      </w:r>
    </w:p>
    <w:p w:rsidR="00BA623D" w:rsidRPr="00BA623D" w:rsidRDefault="00BA623D" w:rsidP="00BA623D">
      <w:pPr>
        <w:pStyle w:val="Sansinterligne"/>
        <w:rPr>
          <w:rFonts w:ascii="Garamond" w:hAnsi="Garamond"/>
          <w:lang w:val="en-GB"/>
        </w:rPr>
      </w:pPr>
      <w:r w:rsidRPr="00BA623D">
        <w:rPr>
          <w:rFonts w:ascii="Garamond" w:hAnsi="Garamond"/>
          <w:lang w:val="en-GB"/>
        </w:rPr>
        <w:t>Erst wenn wir zu feiner gebildeter Gesellschaft aufsteigen, tritt die formelle Witzbedingung hinzu. Die Zote wird witzig und wird nur geduldet, wenn sie witzig ist. Das technische Mittel, dessen sie sich zumeist bedient, ist die Anspielung, d. h. die Ersetzung durch ein Kleines, ein im entfernten Zusammenhang Befindliches, welches der Hörer in seinem Vorstellen zur vollen und direkten Obszönität rekonstruiert. Je größer das Mißverhältnis zwischen dem in der Zote direkt Gegebenen und dem von ihr im Hörer mit Notwendigkeit Angeregten ist, desto feiner wird der Witz, desto höher darf er sich dann auch in die gute Gesellschaft hinaufwagen. Außer der groben und der feinen Anspielung stehen der witzigen Zote, wie leicht an Beispielen gezeigt werden kann, alle anderen Mittel des Wort- und Gedankenwitzes zur Verfügung.</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Hier wird endlich greifbar, was der Witz im Dienste seiner Tendenz leistet. Er ermöglicht die Befriedigung eines Triebes (des lüsternen und feindseligen) gegen ein im Wege stehendes Hindernis, er umgeht dieses Hindernis und schöpft somit Lust aus einer durch das Hindernis unzugänglich gewordenen Lustquelle. </w:t>
      </w:r>
      <w:r w:rsidRPr="00BA623D">
        <w:rPr>
          <w:rFonts w:ascii="Garamond" w:hAnsi="Garamond"/>
          <w:lang w:val="en-GB"/>
        </w:rPr>
        <w:lastRenderedPageBreak/>
        <w:t>Das im Wege stehende Hindernis ist eigentlich nichts anderes als die der höheren Bildungs- und Gesellschaftsstufe entsprechend gesteigerte Unfähigkeit des Weibes, das unverhüllte Sexuelle zu ertragen. Das in der Ausgangssituation als anwesend gedachte Weib wird eben weiterhin als anwesend beibehalten, oder ihr Einfluß wirkt auch in ihrer Abwesenheit auf die Männer einschüchternd fort. Man kann beobachten, wie Männer höherer Stände durch die Gesellschaft niedrigstehender Mädchen sofort veranlaßt werden, die witzige Zote in die einfache zurücksinken zu lassen.</w:t>
      </w:r>
    </w:p>
    <w:p w:rsidR="00BA623D" w:rsidRPr="00BA623D" w:rsidRDefault="00BA623D" w:rsidP="00BA623D">
      <w:pPr>
        <w:pStyle w:val="Sansinterligne"/>
        <w:rPr>
          <w:rFonts w:ascii="Garamond" w:hAnsi="Garamond"/>
          <w:lang w:val="en-GB"/>
        </w:rPr>
      </w:pPr>
      <w:r w:rsidRPr="00BA623D">
        <w:rPr>
          <w:rFonts w:ascii="Garamond" w:hAnsi="Garamond"/>
          <w:lang w:val="en-GB"/>
        </w:rPr>
        <w:t>Die Macht, welche dem Weibe und in geringerem Maße auch dem Manne den Genuß der unverhüllten Obszönität erschwert oder unmöglich macht, heißen wir die »Verdrängung« und erkennen in ihr denselben psychischen Vorgang, der in ernsten Krankheitsfällen ganze Komplexe von Regungen mitsamt deren Abkömmlingen vom Bewußtsein fernehält und sich als ein Hauptfaktor der Verursachung bei den sogenannten Psychoneurosen herausgestellt hat. Wir gestehen der Kultur und höheren Erziehung einen großen Einfluß auf die Ausbildung der Verdrängung zu und nehmen an, daß unter diesen Bedingungen eine Veränderung der psychischen Organisation zustande kommt, die auch als ererbte Anlage mitgebracht werden kann, derzufolge sonst angenehm Empfundenes nun als unannehmbar erscheint und mit allen psychischen Kräften abgelehnt wird. Durch die Verdrängungsarbeit der Kultur gehen primäre, jetzt aber von der Zensur in uns verworfene Genußmöglichkeiten verloren. Der Psyche des Menschen wird aber alles Verzichten so sehr schwer, und so finden wir, daß der tendenziöse Witz ein Mittel abgibt, den Verzicht rückgängig zu machen, das Verlorene wiederzugewinnen. Wenn wir über einen feinen obszönen Witz lachen, so lachen wir über das nämliche, was den Bauer bei einer groben Zote lachen macht; die Lust stammt in beiden Fällen aus der nämlichen Quelle; über die grobe Zote zu lachen, brächten wir aber nicht zustande, wir würden uns schämen, oder sie erschiene uns ekelhaft; wir können erst lachen, wenn uns der Witz seine Hilfe geliehen hat.</w:t>
      </w:r>
    </w:p>
    <w:p w:rsidR="00BA623D" w:rsidRPr="00BA623D" w:rsidRDefault="00BA623D" w:rsidP="00BA623D">
      <w:pPr>
        <w:pStyle w:val="Sansinterligne"/>
        <w:rPr>
          <w:rFonts w:ascii="Garamond" w:hAnsi="Garamond"/>
          <w:lang w:val="en-GB"/>
        </w:rPr>
      </w:pPr>
      <w:r w:rsidRPr="00BA623D">
        <w:rPr>
          <w:rFonts w:ascii="Garamond" w:hAnsi="Garamond"/>
          <w:lang w:val="en-GB"/>
        </w:rPr>
        <w:t>Es scheint sich uns also zu bestätigen, was wir eingangs vermutet haben, daß der tendenziöse Witz über andere Quellen der Lust verfügt als der harmlose, bei dem alle Lust irgendwie an die Technik geknüpft ist. Wir können auch von neuem hervorheben, daß wir beim tendenziösen Witz außerstande sind, durch unsere Empfindung zu unterscheiden, welcher Anteil der Lust aus den Quellen der Technik, welcher aus denen der Tendenz herrührt. Wir wissen also strenggenommen nicht, worüber wir lachen. Bei allen obszönen Witzen unterliegen wir grellen Urteilstäuschungen über die »Güte« des Witzes, soweit dieselbe von formalen Bedingungen abhängt; die Technik dieser Witze ist oft recht ärmlich, ihr Lacherfolg ein ungeheurer.</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Wir wollen nun untersuchen, ob die Rolle des Witzes im Dienst der </w:t>
      </w:r>
      <w:r w:rsidRPr="00BA623D">
        <w:rPr>
          <w:rFonts w:ascii="Garamond" w:hAnsi="Garamond"/>
          <w:i/>
          <w:iCs/>
          <w:lang w:val="en-GB"/>
        </w:rPr>
        <w:t>feindseligen</w:t>
      </w:r>
      <w:r w:rsidRPr="00BA623D">
        <w:rPr>
          <w:rFonts w:ascii="Garamond" w:hAnsi="Garamond"/>
          <w:lang w:val="en-GB"/>
        </w:rPr>
        <w:t xml:space="preserve"> Tendenz die nämliche ist.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Von vornherein stoßen wir hier auf dieselben Bedingungen. Die feindseligen Impulse gegen unsere Nebenmenschen unterliegen seit unserer individuellen Kindheit wie seit den Kinderzeiten menschlicher Kultur den nämlichen Einschränkungen, der nämlichen fortschreitenden Verdrängung wie unsere sexuellen Strebungen. Wir haben es noch nicht so weit gebracht, daß wir unsere Feinde zu lieben vermöchten oder ihnen nach dem Backenstreich auf die rechte Backe die linke hinhielten; auch tragen alle Moralvorschriften der Beschränkung im tätigen Haß noch heute die deutlichsten Anzeichen an sich, daß sie ursprünglich für eine kleine Gemeinschaft von Stammesgenossen gelten sollten. So wie wir uns alle als Angehörige eines Volkes fühlen dürfen, gestatten wir uns, von den meisten dieser Beschränkungen gegen ein fremdes Volk abzusehen. Aber innerhalb unseres eigenen Kreises haben wir doch Fortschritte in der Beherrschung feindseliger Regungen gemacht; wie es Lichtenberg drastisch ausdrückt: Wo man jetzt sagt: Entschuldigen Sie, da schlug man einem früher ums Ohr. Die gewalttätige Feindseligkeit, vom Gesetz verboten, ist durch die Invektive in Worten abgelöst worden, und die bessere Kenntnis der Verkettung menschlicher Regungen raubt uns durch ihr konsequentes » </w:t>
      </w:r>
      <w:r w:rsidRPr="00BA623D">
        <w:rPr>
          <w:rFonts w:ascii="Garamond" w:hAnsi="Garamond"/>
          <w:i/>
          <w:iCs/>
          <w:lang w:val="en-GB"/>
        </w:rPr>
        <w:t>Tont comprendre c'est tout pardonner</w:t>
      </w:r>
      <w:r w:rsidRPr="00BA623D">
        <w:rPr>
          <w:rFonts w:ascii="Garamond" w:hAnsi="Garamond"/>
          <w:lang w:val="en-GB"/>
        </w:rPr>
        <w:t>« immer mehr von der Fähigkeit, uns gegen den Nebenmenschen, der uns in den Weg getreten ist, zu erzürnen. Mit kräftigen Anlagen zur Feindschaft noch als Kinder begabt, lehrt uns später die höhere persönliche Kultur, daß es unwürdig ist, Schimpfwörter zu gebrauchen, und selbst, wo der Kampf an sich erlaubt geblieben ist, hat die Anzahl der Dinge, die als Mittel im Kampfe nicht verwendet werden dürfen, außerordentlich zugenommen. Seitdem wir auf den Ausdruck der Feindseligkeit durch die Tat verzichten mußten – durch den leidenschaftslosen Dritten daran gehindert, in dessen Interesse die Bewahrung der persönlichen Sicherheit liegt –, haben wir ganz ähnlich wie bei der sexuellen Aggression eine neue Technik der Schmähung ausgebildet, die auf die Anwerbung dieses Dritten gegen unseren Feind abzielt. Indem wir den Feind klein, niedrig, verächtlich, komisch machen, schaffen wir uns auf einem Umwege den Genuß seiner Überwindung, den uns der Dritte, der keine Mühe aufgewendet hat, durch sein Lachen bezeugt.</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 xml:space="preserve">Wir sind nun auf die Rolle des Witzes bei der feindseligen Aggression vorbereitet. Der Witz wird uns gestatten, Lächerliches am Feind zu verwerten, das wir entgegenstehender Hindernisse wegen nicht laut oder nicht bewußt vorbringen durften, wird also wiederum </w:t>
      </w:r>
      <w:r w:rsidRPr="00BA623D">
        <w:rPr>
          <w:rFonts w:ascii="Garamond" w:hAnsi="Garamond"/>
          <w:i/>
          <w:iCs/>
          <w:lang w:val="en-GB"/>
        </w:rPr>
        <w:t>Einschränkungen umgehen und unzugänglich gewordene Lustquellen eröffnen</w:t>
      </w:r>
      <w:r w:rsidRPr="00BA623D">
        <w:rPr>
          <w:rFonts w:ascii="Garamond" w:hAnsi="Garamond"/>
          <w:lang w:val="en-GB"/>
        </w:rPr>
        <w:t>. Er wird ferner den Hörer durch seinen Lustgewinn bestechen, ohne strengste Prüfung unsere Partei zu nehmen, wie wir selbst andere Male, vom harmlosen Witz bestochen, den Gehalt des witzig ausgedrückten Satzes zu überschätzen pflegten. »Die Lacher auf seine Seite ziehen«, sagt mit vollkommen zutreffendem Ausdruck unsere Sprache.</w:t>
      </w:r>
    </w:p>
    <w:p w:rsidR="00BA623D" w:rsidRPr="00BA623D" w:rsidRDefault="00BA623D" w:rsidP="00BA623D">
      <w:pPr>
        <w:pStyle w:val="Sansinterligne"/>
        <w:rPr>
          <w:rFonts w:ascii="Garamond" w:hAnsi="Garamond"/>
          <w:lang w:val="en-GB"/>
        </w:rPr>
      </w:pPr>
      <w:r w:rsidRPr="00BA623D">
        <w:rPr>
          <w:rFonts w:ascii="Garamond" w:hAnsi="Garamond"/>
          <w:lang w:val="en-GB"/>
        </w:rPr>
        <w:t>Man fasse z. B. die über den vorigen Abschnitt zerstreuten Witze des Herrn N. ins Auge. Es sind sämtlich Schmähungen. Es ist, als wollte Herr N. laut schreien: Aber der Ackerbauminister ist ja selber ein Ochs! Laßt mich in Ruhe mit dem ***; der platzt ja vor Eitelkeit! Etwas Langweiligeres als die Aufsätze dieses Historikers über Napoleon in Österreich habe ich überhaupt noch nicht gelesen! Aber der Hochstand seiner Persönlichkeit macht es ihm unmöglich, diese seine Urteile in dieser Form von sich zu geben. Sie nehmen darum den Witz zur Hilfe, welcher ihnen eine Aufnahme beim Hörer sichert, die sie trotz ihres etwaigen Wahrheitsgehalts in unwitziger Form niemals gefunden hätten. Einer dieser Witze ist besonders lehrreich, der vom »roten Fadian«, vielleicht der überwältigendste von allen. Was nötigt uns daran zum Lachen und lenkt unser Interesse von der Frage, ob dem armen Schriftsteller Unrecht geschehen ist oder nicht, so vollständig ab? Gewiß die witzige Form, der Witz also; aber über was lachen wir dabei? Ohne Zweifel über die Person selbst, die uns als »roter Fadian« vorgeführt wird, und insbesondere über ihre Rothaarigkeit. Körperliche Gebrechen zu verlachen hat sich der Gebildete abgewöhnt, auch zählt für ihn die Rothaarigkeit nicht zu den lachenswürdigen Körperfehlern. Wohl aber gilt sie dafür beim Schulknaben und beim gemeinen Volk, ja auch noch auf der Bildungsstufe gewisser kommunaler und parlamentarischer Vertreter. Und nun hat dieser Witz des Herrn N. es auf die kunstvollste Weise ermöglicht, daß wir, erwachsene und feinfühlige Leute, über die roten Haare des Historikers X. lachen wie die Schulknaben. Es lag dies gewiß nicht in der Absicht des Herrn N.; aber es ist sehr zweifelhaft, ob jemand, der seinen Witz walten läßt, dessen genaue Absicht kennen muß.</w:t>
      </w:r>
    </w:p>
    <w:p w:rsidR="00BA623D" w:rsidRPr="00BA623D" w:rsidRDefault="00BA623D" w:rsidP="00BA623D">
      <w:pPr>
        <w:pStyle w:val="Sansinterligne"/>
        <w:rPr>
          <w:rFonts w:ascii="Garamond" w:hAnsi="Garamond"/>
          <w:lang w:val="en-GB"/>
        </w:rPr>
      </w:pPr>
      <w:r w:rsidRPr="00BA623D">
        <w:rPr>
          <w:rFonts w:ascii="Garamond" w:hAnsi="Garamond"/>
          <w:lang w:val="en-GB"/>
        </w:rPr>
        <w:t>War in diesen Fällen das Hindernis für die Aggression, welches der Witz umgehen half, ein innerliches – die ästhetische Auflehnung gegen die Schmähung –, so kann es andere Male rein äußerlicher Natur sein. So in dem Falle, wenn Serenissimus den Fremden, dessen Ähnlichkeit mit seiner eigenen Person ihm auffällt, fragt: War Seine Mutter einmal in der Residenz? und die schlagfertige Antwort darauf lautet: Nein, aber mein Vater. Der Gefragte möchte gewiß den Frechen niederschlagen, der es wagt, durch solche Anspielung dem Andenken der geliebten Mutter Schmach anzutun; aber dieser Freche ist Serenissimus, den man nicht niederschlagen, nicht einmal beleidigen darf, wenn man diese Rache nicht mit seiner ganzen Existenz erkaufen will. Es hieße also die Beleidigung schweigend herunterwürgen; aber zum Glück zeigt der Witz den Weg, sie ungefährdet zu vergelten, indem man mit dem technischen Mittel der Unifizierung die Anspielung aufnimmt und gegen den Angreifer wendet. Der Eindruck des Witzigen wird hier so sehr von der Tendenz bestimmt, daß wir angesichts der witzigen Entgegnung zu vergessen neigen, daß die Frage des Angreifers selbst durch Anspielung witzig ist.</w:t>
      </w:r>
    </w:p>
    <w:p w:rsidR="00BA623D" w:rsidRPr="00BA623D" w:rsidRDefault="00BA623D" w:rsidP="00BA623D">
      <w:pPr>
        <w:pStyle w:val="Sansinterligne"/>
        <w:rPr>
          <w:rFonts w:ascii="Garamond" w:hAnsi="Garamond"/>
          <w:lang w:val="en-GB"/>
        </w:rPr>
      </w:pPr>
      <w:r w:rsidRPr="00BA623D">
        <w:rPr>
          <w:rFonts w:ascii="Garamond" w:hAnsi="Garamond"/>
          <w:lang w:val="en-GB"/>
        </w:rPr>
        <w:t>Die Verhinderung der Schmähung oder beleidigenden Entgegnung durch äußere Umstände ist ein so häufiger Fall, daß der tendenziöse Witz mit ganz besonderer Vorliebe zur Ermöglichung der Aggression oder der Kritik gegen Höhergestellte, die Autorität in Anspruch nehmen, verwendet wird. Der Witz stellt dann eine Auflehnung gegen solche Autorität, eine Befreiung von dem Drucke derselben dar. In diesem Moment liegt ja auch der Reiz der Karikatur, über welche wir selbst dann lachen, wenn sie schlecht geraten ist, bloß weil wir ihr die Auflehnung gegen die Autorität als Verdienst anrechnen.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Wenn wir im Auge behalten, daß der tendenziöse Witz sich so sehr zum Angriff auf Großes, Würdiges und Mächtiges eignet, das durch innerliche Hemmungen oder äußerliche Umstände gegen direkte Herabsetzung geschützt ist, so werden wir zu einer besonderen Auffassung gewisser Gruppen von Witzen gedrängt, die sich mit minderwertigen und ohnmächtigen Personen abzugeben scheinen. Ich meine die Heiratsvermittlergeschichten, von denen wir einzelne bei der Untersuchung der mannigfaltigen Techniken des Gedankenwitzes kennengelernt haben. In einigen derselben, z. B. in den Beispielen »Taub ist sie auch« und »Wer borgt denn den Leuten was!« ist der Vermittler als ein unvorsichtiger und gedankenloser Mensch verlacht worden, der dadurch komisch wird, daß ihm die Wahrheit gleichsam automatisch entwischt. Aber reimt sich einerseits das, was wir von der Natur des tendenziösen Witzes erfahren haben, und anderseits die Größe unseres Wohlgefallens an diesen Geschichten mit der Armseligkeit der Personen zusammen, über die der Witz zu lachen scheint? Sind das des Witzes würdige Gegner? Geht es nicht vielmehr so zu, daß der Witz die Vermittler nur vorschiebt, um etwas Bedeutsameres zu treffen, daß er, </w:t>
      </w:r>
      <w:r w:rsidRPr="00BA623D">
        <w:rPr>
          <w:rFonts w:ascii="Garamond" w:hAnsi="Garamond"/>
          <w:lang w:val="en-GB"/>
        </w:rPr>
        <w:lastRenderedPageBreak/>
        <w:t>wie das Sprichwort sagt, auf den Sack schlägt, während er den Esel meint? Diese Auffassung ist wirklich nicht abzuweisen.</w:t>
      </w:r>
    </w:p>
    <w:p w:rsidR="00BA623D" w:rsidRPr="00BA623D" w:rsidRDefault="00BA623D" w:rsidP="00BA623D">
      <w:pPr>
        <w:pStyle w:val="Sansinterligne"/>
        <w:rPr>
          <w:rFonts w:ascii="Garamond" w:hAnsi="Garamond"/>
          <w:lang w:val="en-GB"/>
        </w:rPr>
      </w:pPr>
      <w:r w:rsidRPr="00BA623D">
        <w:rPr>
          <w:rFonts w:ascii="Garamond" w:hAnsi="Garamond"/>
          <w:lang w:val="en-GB"/>
        </w:rPr>
        <w:t>Die obige Deutung der Vermittlergeschichten läßt eine Fortsetzung zu. Es ist wahr, daß ich auf dieselbe nicht einzugehen brauche, daß ich mich begnügen kann, in diesen Geschichten »Schwanke« zu sehen und ihnen den Charakter des Witzes abzusprechen. Eine solche subjektive Bedingtheit des Witzes besteht also auch; wir sind jetzt auf sie aufmerksam geworden und werden sie späterhin untersuchen müssen. Sie besagt, daß nur das ein Witz ist, was ich als einen Witz gelten lasse. Was für mich ein Witz ist, kann für einen anderen bloß eine komische Geschichte sein. Gestattet aber ein Witz diesen Zweifel, so kann es nur daher rühren, daß er eine Schauseite, eine – in unseren Fällen komische – Fassade hat, an welcher sich der Blick des einen ersättigt, während ein anderer versuchen kann, hinter dieselbe zu spähen. Der Verdacht darf auch rege werden, daß diese Fassade dazu bestimmt ist, den prüfenden Blick zu blenden, daß solche Geschichten also etwas zu verbergen haben.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Jedenfalls, wenn unsere Vermittlergeschichten Witze sind, so sind sie um so bessere Witze, weil sie dank ihrer Fassade imstande sind zu verbergen, nicht nur, was sie zu sagen haben, sondern auch, daß sie etwas – Verbotenes – zu sagen haben. Die Fortsetzung der Deutung aber, welche dies Verborgene aufdeckt und diese Geschichten mit komischer Fassade als tendenziöse Witze entlarvt, wäre folgende: Jeder, der sich die Wahrheit so in einem unbewachten Moment entschlüpfen läßt, ist eigentlich froh darüber, daß er der Verstellung ledig wird. Das ist eine richtige und tiefreichende psychologische Einsicht. Ohne solche innerliche Zustimmung läßt sich niemand von dem Automatismus, der hier die Wahrheit an den Tag bringt, übermannen </w:t>
      </w:r>
      <w:hyperlink r:id="rId322"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Es ist derselbe Mechanismus, der das »Versprechen« und andere Phänomene des Selbstverrats beherrscht. Siehe »Zur Psychopathologie des Alltagslebens« (1901).</w:t>
        </w:r>
      </w:hyperlink>
      <w:r w:rsidRPr="00BA623D">
        <w:rPr>
          <w:rFonts w:ascii="Garamond" w:hAnsi="Garamond"/>
          <w:lang w:val="en-GB"/>
        </w:rPr>
        <w:t>. Hiemit wandelt sich aber die lächerliche Person des Schadchen in eine bedauernswert sympathische. Wie selig muß der Mann sein, die Last der Verstellung endlich abwerfen zu können, wenn er sofort die erste Gelegenheit benützt, um das letzte Stück der Wahrheit herauszuschreien! Sowie er merkt, daß die Sache verloren ist, daß die Braut dem jungen Manne nicht gefällt, verrät er gern, daß sie noch einen versteckten Fehler hat, der jenem nicht aufgefallen ist, oder er bedient sich des Anlasses, ein für ein Detail entscheidendes Argument anzuführen, um dabei den Leuten, in deren Dienst er arbeitet, seine Verachtung auszudrücken: Ich bitt' Sie, wer borgt denn den Leuten was! Die ganze Lächerlichkeit fällt nun auf die in der Geschichte nur gestreiften Eltern, die solchen Schwindel für gestattet halten, um nur ihre Töchter an den Mann zu bringen, auf die Erbärmlichkeit der Mädchen, die sich unter solchen Veranstaltungen verheiraten lassen, auf die Unwürdigkeit der Ehen, die nach solchen Einleitungen geschlossen werden. Der Vermittler ist der richtige Mann, der solche Kritik zum Ausdruck bringen darf, denn er weiß am meisten von diesen Mißbräuchen, er darf sie aber nicht laut verkünden, denn er ist ein armer Mann, der gerade nur von deren Ausnützung leben kann. In einem ähnlichen Konflikt befindet sich aber auch der Volksgeist, der diese und ähnliche Geschichten geschaffen hat; denn er weiß, die Heiligkeit der geschlossenen Ehen leidet arg durch den Hinweis auf die Vorgänge bei der Eheschließung.</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Erinnern wir uns auch der Bemerkung bei der Untersuchung der Witztechnik, daß Widersinn im Witz häufig Spott und Kritik in dem Gedanken hinter dem Witz ersetze, worin es die Witzarbeit übrigens der Traumarbeit gleichtut; wir finden diesen Sachverhalt hier von neuem bestätigt. Daß Spott und Kritik nicht der Person des Vermittlers gelten, der in den vorigen Beispielen nur als der Prügelknabe des Witzes auftritt, wird durch eine andere Reihe von Witzen erwiesen, in denen der Vermittler ganz im Gegenteile als überlegene Person gezeichnet ist, deren Dialektik sich jeder Schwierigkeit gewachsen erweist. Es sind Geschichten mit logischer anstatt der komischen Fassade, sophistische Gedankenwitze. In einer derselben (S. 66) weiß der Vermittler den Fehler der Braut, daß sie hinkt, hinwegzudisputieren. Es sei wenigstens eine »fertige Sache«, eine andere Frau mit geraden Gliedern sei hingegen in beständiger Gefahr, hinzufallen und sich ein Bein zu brechen, und dann kämen die Krankheit, die Schmerzen, die Behandlungskosten, die man sich bei der bereits Hinkenden erspare. Oder in einer anderen Geschichte weiß er eine ganze Reihe von Ausstellungen des Bewerbers an der Braut, jede einzeln mit guten Argumenten, zurückzuweisen, um ihm dann bei der letzten, unbeschönbaren, entgegenzuhalten: Was wollen Sie, gar kein' Fehler soll sie haben?, als ob von den früheren Einwendungen nicht doch ein notwendiger Rest übriggeblieben wäre. Es ist nicht schwer, bei beiden Beispielen die schwache Stelle in der Argumentation nachzuweisen; wir haben dies auch bei der Untersuchung der Technik getan. Aber nun interessiert uns etwas anderes. Wenn der Rede des Vermittlers so starker logischer Schein geliehen wird, der sich bei sorgfältiger Prüfung als Schein zu erkennen gibt, so ist die Wahrheit dahinter, daß der Witz dem Vermittler recht gibt; der Gedanke getraut sich nicht, ihm ernsthaft recht zu geben, ersetzt diesen Ernst durch den Schein, den der Witz vorbringt, aber der Scherz verrät hier wie so häufig den Ernst. Wir </w:t>
      </w:r>
      <w:r w:rsidRPr="00BA623D">
        <w:rPr>
          <w:rFonts w:ascii="Garamond" w:hAnsi="Garamond"/>
          <w:lang w:val="en-GB"/>
        </w:rPr>
        <w:lastRenderedPageBreak/>
        <w:t>werden nicht irregehen, wenn wir von all den Geschichten mit logischer Fassade annehmen, daß sie das wirklich meinen, was sie mit absichtlich fehlerhafter Begründung behaupten. Erst diese Verwendung des Sophismas zur versteckten Darstellung der Wahrheit verleiht ihm den Charakter des Witzes, der also hauptsächlich von der Tendenz abhängt. Was in beiden Geschichten angedeutet werden soll, ist nämlich, daß der Bewerber sich wirklich lächerlich macht, wenn er die einzelnen Vorzüge der Braut so sorgsam zusammensucht, die doch alle hinfällig sind, und wenn er dabei vergißt, daß er vorbereitet sein muß, ein Menschenkind mit unvermeidlichen Fehlern zu seinem Weibe zu machen, während doch die einzige Eigenschaft, welche die Ehe mit der mehr oder minder mangelhaften Persönlichkeit der Frau erträglich machen würde, die gegenseitige Zuneigung und Bereitwilligkeit zur liebevollen Anpassung wäre, von der bei dem ganzen Handel nicht die Rede ist.</w:t>
      </w:r>
    </w:p>
    <w:p w:rsidR="00BA623D" w:rsidRPr="00BA623D" w:rsidRDefault="00BA623D" w:rsidP="00BA623D">
      <w:pPr>
        <w:pStyle w:val="Sansinterligne"/>
        <w:rPr>
          <w:rFonts w:ascii="Garamond" w:hAnsi="Garamond"/>
          <w:lang w:val="en-GB"/>
        </w:rPr>
      </w:pPr>
      <w:r w:rsidRPr="00BA623D">
        <w:rPr>
          <w:rFonts w:ascii="Garamond" w:hAnsi="Garamond"/>
          <w:lang w:val="en-GB"/>
        </w:rPr>
        <w:t>Die in diesen Beispielen enthaltene Verspottung des Ehewerbers, bei welcher nun der Vermittler ganz passend die Rolle des Überlegenen spielt, wird in anderen Geschichten weit deutlicher zum Ausdruck gebracht. Je deutlicher diese Geschichten sind, desto weniger von Witztechnik enthalten sie; sie sind gleichsam nur Grenzfälle des Witzes, mit dessen Technik sie nur mehr die Fassadenbildung gemeinsam haben. Infolge der gleichen Tendenz und des Versteckens derselben hinter der Fassade kommt ihnen aber die volle Wirkung des Witzes zu. Die Armut an technischen Mitteln läßt außerdem verstehen, daß viele Witze dieser Art das komische Element des Jargons, das ähnlich der Witztechnik wirkt, nicht ohne starke Einbuße entbehren können.</w:t>
      </w:r>
    </w:p>
    <w:p w:rsidR="00BA623D" w:rsidRPr="00BA623D" w:rsidRDefault="00BA623D" w:rsidP="00BA623D">
      <w:pPr>
        <w:pStyle w:val="Sansinterligne"/>
        <w:rPr>
          <w:rFonts w:ascii="Garamond" w:hAnsi="Garamond"/>
          <w:lang w:val="en-GB"/>
        </w:rPr>
      </w:pPr>
      <w:r w:rsidRPr="00BA623D">
        <w:rPr>
          <w:rFonts w:ascii="Garamond" w:hAnsi="Garamond"/>
          <w:lang w:val="en-GB"/>
        </w:rPr>
        <w:t>Eine solche Geschichte, die bei aller Kraft des tendenziösen Witzes nichts mehr von dessen Technik erkennen läßt, ist die folgende: Der Vermittler fragt: »Was verlangen Sie von Ihrer Braut?« – Antwort: »Schön muß sie sein, reich muß sie sein und gebildet.« – »Gut«, sagt der Vermittler, »aber daraus mach' ich drei Partien.« Hier wird der Verweis dem Manne direkt erteilt, nicht mehr in der Einkleidung eines Witzes.</w:t>
      </w:r>
    </w:p>
    <w:p w:rsidR="00BA623D" w:rsidRPr="00BA623D" w:rsidRDefault="00BA623D" w:rsidP="00BA623D">
      <w:pPr>
        <w:pStyle w:val="Sansinterligne"/>
        <w:rPr>
          <w:rFonts w:ascii="Garamond" w:hAnsi="Garamond"/>
          <w:lang w:val="en-GB"/>
        </w:rPr>
      </w:pPr>
      <w:r w:rsidRPr="00BA623D">
        <w:rPr>
          <w:rFonts w:ascii="Garamond" w:hAnsi="Garamond"/>
          <w:lang w:val="en-GB"/>
        </w:rPr>
        <w:t>In den bisherigen Beispielen richtete sich die verhüllte Aggression noch gegen Personen, in den Vermittlerwitzen gegen alle Parteien, die an dem Handel der Eheschließung beteiligt sind: Braut, Bräutigam und deren Eltern. Die Angriffsobjekte des Witzes können aber ebensowohl Institutionen sein, Personen, insoferne sie Träger derselben sind, Satzungen der Moral oder der Religion, Lebensanschauungen, die ein solches Ansehen genießen, daß der Einspruch gegen sie nicht anders als in der Maske eines Witzes, und zwar eines durch seine Fassade gedeckten Witzes auftreten kann. Mögen der Themata wenige sein, auf die dieser tendenziöse Witz abzielt, seine Formen und Einkleidungen sind äußerst mannigfaltig. Ich glaube, wir tun recht, diese Gattung von tendenziösem Witz durch einen besonderen Namen auszuzeichnen. Welcher Name der geeignete ist, wird sich ergeben, nachdem wir einige Beispiele dieser Gattung gedeutet haben.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Ich erinnere an die beiden Geschichten vom verarmten Gourmand, der bei »Lachs mit Mayonnaise« betroffen wird, und vom trunksüchtigen Lehrer, die wir als sophistische Verschiebungswitze kennengelernt haben, und führe deren Deutung fort. Wir haben seitdem gehört, daß, wenn der Schein der Logik an die Fassade einer Geschichte geheftet ist, der Gedanke wohl im Ernst sagen möchte: Der Mann hat recht, des entgegenstehenden Widerspruches wegen aber sich nicht getraut, dem Manne anders recht zu geben als in einem Punkte, in dem sein Unrecht leicht nachzuweisen ist. Die gewählte »Pointe« ist das richtige Kompromiß zwischen seinem Recht und seinem Unrecht, was freilich keine Entscheidung ist, aber wohl dem Konflikt in uns selbst entspricht. Die beiden Geschichten sind einfach epikureisch, sie sagen: Ja, der Mann hat recht, es gibt nichts Höheres als den Genuß, und es ist ziemlich gleichgültig, auf welche Art man sich ihn verschafft. Das klingt furchtbar unmoralisch und ist wohl auch nicht viel besser, aber im Grunde ist es nichts anderes als das » </w:t>
      </w:r>
      <w:r w:rsidRPr="00BA623D">
        <w:rPr>
          <w:rFonts w:ascii="Garamond" w:hAnsi="Garamond"/>
          <w:i/>
          <w:iCs/>
          <w:lang w:val="en-GB"/>
        </w:rPr>
        <w:t>Carpe diem</w:t>
      </w:r>
      <w:r w:rsidRPr="00BA623D">
        <w:rPr>
          <w:rFonts w:ascii="Garamond" w:hAnsi="Garamond"/>
          <w:lang w:val="en-GB"/>
        </w:rPr>
        <w:t xml:space="preserve">« des Poeten, der sich auf die Unsicherheit des Lebens und auf die Unfruchtbarkeit der tugendhaften Entsagung beruft. Wenn die Idee, daß der Mann im Witz von »Lachs mit Mayonnaise« recht haben soll, auf uns so abstoßend wirkt, so rührt dies nur von der Illustration der Wahrheit an einem Genuß niedrigster Art, der uns sehr entbehrlich scheint, her. In Wirklichkeit hat jeder von uns Stunden und Zeiten gehabt, in denen er dieser Lebensphilosophie ihr Recht zugestanden und der Morallehre vorgehalten hat, daß sie nur zu fordern verstand, ohne zu entschädigen. Seitdem die Anweisung auf das Jenseits, in dem sich alle Entsagung durch Befriedigung lohnen soll, von uns nicht mehr geglaubt wird – es gibt übrigens sehr wenig Fromme, wenn man die Entsagung zum Kennzeichen des Glaubens macht –, seitdem wird das » </w:t>
      </w:r>
      <w:r w:rsidRPr="00BA623D">
        <w:rPr>
          <w:rFonts w:ascii="Garamond" w:hAnsi="Garamond"/>
          <w:i/>
          <w:iCs/>
          <w:lang w:val="en-GB"/>
        </w:rPr>
        <w:t>Carpe diem</w:t>
      </w:r>
      <w:r w:rsidRPr="00BA623D">
        <w:rPr>
          <w:rFonts w:ascii="Garamond" w:hAnsi="Garamond"/>
          <w:lang w:val="en-GB"/>
        </w:rPr>
        <w:t>« zur ernsten Mahnung. Ich will die Befriedigung gern aufschieben, aber weiß ich denn, ob ich morgen noch dasein werde?</w:t>
      </w:r>
    </w:p>
    <w:p w:rsidR="00BA623D" w:rsidRPr="00BA623D" w:rsidRDefault="00BA623D" w:rsidP="00BA623D">
      <w:pPr>
        <w:pStyle w:val="Sansinterligne"/>
        <w:rPr>
          <w:rFonts w:ascii="Garamond" w:hAnsi="Garamond"/>
        </w:rPr>
      </w:pPr>
      <w:r w:rsidRPr="00BA623D">
        <w:rPr>
          <w:rFonts w:ascii="Garamond" w:hAnsi="Garamond"/>
          <w:i/>
          <w:iCs/>
        </w:rPr>
        <w:t>»Di doman' non c'è certezza.«</w:t>
      </w:r>
      <w:hyperlink r:id="rId323" w:anchor="#" w:history="1">
        <w:r w:rsidRPr="00BA623D">
          <w:rPr>
            <w:rStyle w:val="fusslink"/>
            <w:rFonts w:ascii="Garamond" w:hAnsi="Garamond" w:cs="Arial"/>
            <w:b/>
            <w:bCs/>
            <w:color w:val="003399"/>
          </w:rPr>
          <w:t>[Fußnote]</w:t>
        </w:r>
        <w:r w:rsidRPr="00BA623D">
          <w:rPr>
            <w:rStyle w:val="innerfusslink3"/>
            <w:rFonts w:ascii="Garamond" w:hAnsi="Garamond" w:cs="Arial"/>
            <w:b/>
            <w:bCs/>
          </w:rPr>
          <w:t>Lorenzo de' Medici.</w:t>
        </w:r>
      </w:hyperlink>
    </w:p>
    <w:p w:rsidR="00BA623D" w:rsidRPr="00BA623D" w:rsidRDefault="00BA623D" w:rsidP="00BA623D">
      <w:pPr>
        <w:pStyle w:val="Sansinterligne"/>
        <w:rPr>
          <w:rFonts w:ascii="Garamond" w:hAnsi="Garamond"/>
          <w:lang w:val="en-GB"/>
        </w:rPr>
      </w:pPr>
      <w:r w:rsidRPr="00BA623D">
        <w:rPr>
          <w:rFonts w:ascii="Garamond" w:hAnsi="Garamond"/>
        </w:rPr>
        <w:t xml:space="preserve">Ich will gern auf alle von der Gesellschaft verpönten Wege der Befriedigung verzichten, aber bin ich sicher, daß mir die Gesellschaft diese Entsagung lohnen wird, indem sie mir – wenn auch mit einem gewissen Aufschub – einen der erlaubten Wege öffnet? Es läßt sich laut sagen, was diese Witze flüstern, </w:t>
      </w:r>
      <w:r w:rsidRPr="00BA623D">
        <w:rPr>
          <w:rFonts w:ascii="Garamond" w:hAnsi="Garamond"/>
        </w:rPr>
        <w:lastRenderedPageBreak/>
        <w:t xml:space="preserve">daß die Wünsche und Begierden des Menschen ein Recht haben, sich vernehmbar zu machen neben der anspruchsvollen und rücksichtslosen Moral, und es ist in unseren Tagen in nachdrücklichen und packenden Sätzen gesagt worden, daß diese Moral nur die eigennützige Vorschrift der wenigen Reichen und Mächtigen ist, welche jederzeit ohne Aufschub ihre Wünsche befriedigen können. Solange die Heilkunst es nicht weitergebracht hat, unser Leben zu sichern, und solange die sozialen Einrichtungen nicht mehr dazu tun, es erfreulicher zu gestalten, so lange kann die Stimme in uns, die sich gegen die Moralanforderungen auflehnt, nicht erstickt werden. </w:t>
      </w:r>
      <w:r w:rsidRPr="00BA623D">
        <w:rPr>
          <w:rFonts w:ascii="Garamond" w:hAnsi="Garamond"/>
          <w:lang w:val="en-GB"/>
        </w:rPr>
        <w:t>Jeder ehrliche Mensch wird wenigstens bei sich dieses Zugeständnis endlich machen. Die Entscheidung in diesem Konflikt ist erst auf dem Umwege über eine neue Einsicht möglich. Man muß sein Leben so an das anderer knüpfen, sich so innig mit anderen identifizieren können, daß die Verkürzung der eigenen Lebensdauer überwindbar wird, und man darf die Forderungen der eigenen Bedürfnisse nicht unrechtmäßig erfüllen, sondern muß sie unerfüllt lassen, weil nur der Fortbestand so vieler unerfüllter Forderungen die Macht entwickeln kann, die gesellschaftliche Ordnung abzuändern. Aber nicht alle persönlichen Bedürfnisse lassen sich in solcher Art verschieben und auf andere übertragen, und eine allgemein- und endgültige Lösung des Konflikts gibt es nicht.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Wir wissen nun, wie wir Witze wie die letztgedeuteten zu benennen haben; es sind </w:t>
      </w:r>
      <w:r w:rsidRPr="00BA623D">
        <w:rPr>
          <w:rFonts w:ascii="Garamond" w:hAnsi="Garamond"/>
          <w:i/>
          <w:iCs/>
          <w:lang w:val="en-GB"/>
        </w:rPr>
        <w:t>zynische</w:t>
      </w:r>
      <w:r w:rsidRPr="00BA623D">
        <w:rPr>
          <w:rFonts w:ascii="Garamond" w:hAnsi="Garamond"/>
          <w:lang w:val="en-GB"/>
        </w:rPr>
        <w:t xml:space="preserve"> Witze, was sie verhüllen, sind </w:t>
      </w:r>
      <w:r w:rsidRPr="00BA623D">
        <w:rPr>
          <w:rFonts w:ascii="Garamond" w:hAnsi="Garamond"/>
          <w:i/>
          <w:iCs/>
          <w:lang w:val="en-GB"/>
        </w:rPr>
        <w:t>Zynismen</w:t>
      </w: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Unter den Institutionen, die der zynische Witz anzugreifen pflegt, ist keine wichtiger, eindringlicher durch Moralvorschriften geschützt, aber dennoch zum Angriff einladender als das Institut der Ehe, dem also auch die meisten zynischen Witze gelten. Kein Anspruch ist ja persönlicher als der auf sexuelle Freiheit, und nirgends hat die Kultur eine stärkere Unterdrückung zu üben versucht als auf dem Gebiete der Sexualität. Für unsere Absichten mag ein einziges Beispiel genügen, die auf S. 84 erwähnte »Eintragung in das Stammbuch des Prinzen Karneval«:</w:t>
      </w:r>
    </w:p>
    <w:p w:rsidR="00BA623D" w:rsidRPr="00BA623D" w:rsidRDefault="00BA623D" w:rsidP="00BA623D">
      <w:pPr>
        <w:pStyle w:val="Sansinterligne"/>
        <w:rPr>
          <w:rFonts w:ascii="Garamond" w:hAnsi="Garamond"/>
          <w:lang w:val="en-GB"/>
        </w:rPr>
      </w:pPr>
      <w:r w:rsidRPr="00BA623D">
        <w:rPr>
          <w:rFonts w:ascii="Garamond" w:hAnsi="Garamond"/>
          <w:lang w:val="en-GB"/>
        </w:rPr>
        <w:t>»Eine Frau ist wie ein Regenschirm – man nimmt sich dann doch einen Komfortabel.«</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komplizierte Technik dieses Beispiels haben wir bereits erörtert: ein verblüffender, anscheinend unmöglicher Vergleich, der aber, wie wir jetzt sehen, an sich nicht witzig ist, ferner eine Anspielung (Komfortabel = öffentliches Fuhrwerk) und als stärkstes technisches Mittel eine die Unverständlichkeit erhöhende Auslassung. Die Vergleichung wäre in folgender Art auszuführen: Man heiratet, um sich gegen die Anfechtungen der Sinnlichkeit zu sichern, und dann stellt sich doch heraus, daß die Ehe keine Befriedigung eines etwas stärkeren Bedürfnisses gestattet, geradeso wie man einen Regenschirm mitnimmt, um sich gegen den Regen zu schützen, und dann im Regen doch naß wird. In beiden Fällen muß man sich um stärkeren Schutz umsehen, hier öffentliches Fuhrwerk, dort für Geld zugängliche Frauen nehmen. Jetzt ist der Witz fast völlig durch Zynismus ersetzt. Daß die Ehe nicht die Veranstaltung ist, die Sexualität des Mannes zu befriedigen, getraut man sich nicht laut und öffentlich zu sagen, wenn man nicht etwa von der Wahrheitsliebe und dem Reformeifer eines Christian v. Ehrenfels </w:t>
      </w:r>
      <w:hyperlink r:id="rId324"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S. dessen Aufsätze in der </w:t>
        </w:r>
        <w:r w:rsidRPr="00BA623D">
          <w:rPr>
            <w:rStyle w:val="innerfusslink3"/>
            <w:rFonts w:ascii="Garamond" w:hAnsi="Garamond" w:cs="Arial"/>
            <w:b/>
            <w:bCs/>
            <w:i/>
            <w:iCs/>
            <w:lang w:val="en-GB"/>
          </w:rPr>
          <w:t>Politisch-anthropologischen Revue</w:t>
        </w:r>
        <w:r w:rsidRPr="00BA623D">
          <w:rPr>
            <w:rStyle w:val="innerfusslink3"/>
            <w:rFonts w:ascii="Garamond" w:hAnsi="Garamond" w:cs="Arial"/>
            <w:b/>
            <w:bCs/>
            <w:lang w:val="en-GB"/>
          </w:rPr>
          <w:t>, II, 1903.</w:t>
        </w:r>
      </w:hyperlink>
      <w:r w:rsidRPr="00BA623D">
        <w:rPr>
          <w:rFonts w:ascii="Garamond" w:hAnsi="Garamond"/>
          <w:lang w:val="en-GB"/>
        </w:rPr>
        <w:t xml:space="preserve"> dazu gedrängt wird. Die Stärke dieses Witzes liegt nun darin, daß er es doch – auf allerlei Umwegen – gesagt hat.</w:t>
      </w:r>
    </w:p>
    <w:p w:rsidR="00BA623D" w:rsidRPr="00BA623D" w:rsidRDefault="00BA623D" w:rsidP="00BA623D">
      <w:pPr>
        <w:pStyle w:val="Sansinterligne"/>
        <w:rPr>
          <w:rFonts w:ascii="Garamond" w:hAnsi="Garamond"/>
          <w:lang w:val="en-GB"/>
        </w:rPr>
      </w:pPr>
      <w:r w:rsidRPr="00BA623D">
        <w:rPr>
          <w:rFonts w:ascii="Garamond" w:hAnsi="Garamond"/>
          <w:lang w:val="en-GB"/>
        </w:rPr>
        <w:t>Ein für den tendenziösen Witz besonders günstiger Fall wird hergestellt, wenn die beabsichtigte Kritik der Auflehnung sich gegen die eigene Person richtet, vorsichtiger ausgedrückt, eine Person, an der die eigene Anteil hat, eine Sammelperson also, das eigene Volk zum Beispiel. Diese Bedingung der Selbstkritik mag uns erklären, daß gerade auf dem Boden des jüdischen Volkslebens eine Anzahl der trefflichsten Witze erwachsen sind, von denen wir ja hier reichliche Proben gegeben haben. Es sind Geschichten, die von Juden geschaffen und gegen jüdische Eigentümlichkeiten gerichtet sind. Die Witze, die von Fremden über Juden gemacht werden, sind zu allermeist brutale Schwänke, in denen der Witz durch die Tatsache erspart wird, daß der Jude den Fremden als komische Figur gilt. Auch die Judenwitze, die von Juden herrühren, geben dies zu, aber sie kennen ihre wirklichen Fehler wie deren Zusammenhang mit ihren Vorzügen, und der Anteil der eigenen Person an dem zu Tadelnden schafft die sonst schwierig herzustellende subjektive Bedingung der Witzarbeit. Ich weiß übrigens nicht, ob es sonst noch häufig vorkommt, daß sich ein Volk in solchem Ausmaß über sein eigenes Wesen lustig macht.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Als Beispiel hiefür kann ich auf die S. 86 erwähnte Geschichte hinweisen, wie ein Jude in der Eisenbahn sofort alle Dezenz des Betragens aufgibt, nachdem er den Ankömmling im Coupé als Glaubensgenossen erkannt hat. Wir haben diesen Witz als Beleg für die Veranschaulichung durch ein Detail, Darstellung durch ein Kleinstes, kennengelernt; er soll die demokratische Denkungsart der Juden schildern, die keinen Unterschied von Herren und Knechten anerkennt, aber leider auch Disziplin und Zusammenwirken stört. Eine andere, besonders interessante Reihe von Witzen schildert die Beziehungen der armen und der reichen Juden zueinander; ihre Helden sind der »Schnorrer« und der mildtätige Hausherr oder der Baron. Der Schnorrer, der alle Sonntage in demselben Haus als Gast zugelassen wird, erscheint eines Tages in </w:t>
      </w:r>
      <w:r w:rsidRPr="00BA623D">
        <w:rPr>
          <w:rFonts w:ascii="Garamond" w:hAnsi="Garamond"/>
          <w:lang w:val="en-GB"/>
        </w:rPr>
        <w:lastRenderedPageBreak/>
        <w:t>Begleitung eines unbekannten jungen Mannes, der Miene macht, sich mit zu Tische zu setzen. Wer ist das? fragt der Hausherr und erhält die Antwort: Das ist mein Schwiegersohn seit voriger Woche; ich hab' ihm die Kost versprochen das erste Jahr. Die Tendenz dieser Geschichten ist stets die nämliche; sie wird in folgender am deutlichsten hervortreten: Der Schnorrer bettelt beim Baron um das Geld für eine Badereise nach Ostende; der Arzt hat ihm wegen seiner Beschwerden ein Seebad empfohlen. Der Baron findet, Ostende sei ein besonders kostspieliger Aufenthalt; ein wohlfeilerer würde es auch tun. Aber der Schnorrer lehnt den Vorschlag mit den Worten ab: Herr Baron, für meine Gesundheit ist mir nichts zu teuer. Das ist ein prächtiger Verschiebungswitz, den wir als Muster für seine Gattung hätten nehmen können. Der Baron will offenbar sein Geld ersparen, der Schnorrer antwortet aber, als sei das Geld des Barons sein eigenes, das er dann allerdings minder hochschätzen darf als seine Gesundheit. Man wird hier aufgefordert, über die Frechheit des Anspruchs zu lachen, aber diese Witze sind ausnahmsweise nicht mit einer das Verständnis irreführenden Fassade ausgestattet. Die Wahrheit dahinter ist, daß der Schnorrer, der das Geld des Reichen in Gedanken wie eigenes behandelt, nach den heiligen Vorschriften der Juden wirklich fast das Recht zu dieser Verwechslung hat. Natürlich richtet sich die Auflehnung, die diesen Witz geschaffen hat, gegen das selbst den Frommen schwer bedrückende Gesetz.</w:t>
      </w:r>
    </w:p>
    <w:p w:rsidR="00BA623D" w:rsidRPr="00BA623D" w:rsidRDefault="00BA623D" w:rsidP="00BA623D">
      <w:pPr>
        <w:pStyle w:val="Sansinterligne"/>
        <w:rPr>
          <w:rFonts w:ascii="Garamond" w:hAnsi="Garamond"/>
          <w:lang w:val="en-GB"/>
        </w:rPr>
      </w:pPr>
      <w:r w:rsidRPr="00BA623D">
        <w:rPr>
          <w:rFonts w:ascii="Garamond" w:hAnsi="Garamond"/>
          <w:lang w:val="en-GB"/>
        </w:rPr>
        <w:t>Eine andere Geschichte erzählt: Ein Schnorrer begegnet auf der Treppe des Reichen einem Genossen im Gewerbe, der ihm abrät, seinen Weg fortzusetzen. »Geh heute nicht hinauf, der Baron ist heute schlecht aufgelegt, er gibt niemand mehr als einen Gulden.« – »Ich werde doch hinaufgehen«, sagt der erste Schnorrer. »Warum soll ich ihm den einen Gulden schenken? Schenkt er mir 'was?«</w:t>
      </w:r>
    </w:p>
    <w:p w:rsidR="00BA623D" w:rsidRPr="00BA623D" w:rsidRDefault="00BA623D" w:rsidP="00BA623D">
      <w:pPr>
        <w:pStyle w:val="Sansinterligne"/>
        <w:rPr>
          <w:rFonts w:ascii="Garamond" w:hAnsi="Garamond"/>
          <w:lang w:val="en-GB"/>
        </w:rPr>
      </w:pPr>
      <w:r w:rsidRPr="00BA623D">
        <w:rPr>
          <w:rFonts w:ascii="Garamond" w:hAnsi="Garamond"/>
          <w:lang w:val="en-GB"/>
        </w:rPr>
        <w:t>Dieser Witz bedient sich der Technik des Widersinnes, indem er den Schnorrer in demselben Moment behaupten läßt, der Baron schenke ihm nichts, in dem er sich anschickt, um das Geschenk zu betteln. Aber der Widersinn ist nur ein scheinbarer; es ist beinahe richtig, daß ihm der Reiche nichts schenkt, da er durch das Gesetz verpflichtet ist, ihm Almosen zu geben, und ihm, strenge genommen, dankbar sein muß, daß er ihm die Gelegenheit zum Wohltun verschafft. Die gemeine, bürgerliche Auffassung des Almosens liegt hier mit der religiösen im Streit; sie revoltiert offen gegen die religiöse in der Geschichte vom Baron, der, durch die Leidenserzählung des Schnorrers tief ergriffen, seinen Dienern schellt: Werfts ihn hinaus; er bricht mir das Herz! Diese offene Darlegung der Tendenz stellt wieder einen Grenzfall des Witzes her. Von der nicht mehr witzigen Klage: »Es ist wirklich kein Vorzug, ein Reicher unter Juden zu sein. Das fremde Elend läßt einen nicht zum Genuß des eigenen Glückes kommen«, entfernen sich diese letzten Geschichten fast nur durch die Veranschaulichung in einer einzelnen Situation.</w:t>
      </w:r>
    </w:p>
    <w:p w:rsidR="00BA623D" w:rsidRPr="00BA623D" w:rsidRDefault="00BA623D" w:rsidP="00BA623D">
      <w:pPr>
        <w:pStyle w:val="Sansinterligne"/>
        <w:rPr>
          <w:rFonts w:ascii="Garamond" w:hAnsi="Garamond"/>
          <w:lang w:val="en-GB"/>
        </w:rPr>
      </w:pPr>
      <w:r w:rsidRPr="00BA623D">
        <w:rPr>
          <w:rFonts w:ascii="Garamond" w:hAnsi="Garamond"/>
          <w:lang w:val="en-GB"/>
        </w:rPr>
        <w:t>Von einem tief pessimistischen Zynismus zeugen andere Geschichten, die technisch wiederum Grenzfälle des Witzes darstellen, wie die nachstehende: Ein Schwerhöriger konsultiert den Arzt, der die richtige Diagnose macht, der Patient trinke wahrscheinlich zu viel Branntwein und sei darum taub. Er rät ihm davon ab, der Schwerhörige verspricht, den Rat zu beherzigen. Nach einer Weile trifft ihn der Arzt auf der Straße und fragt ihn laut, wie es ihm gehe. Ich danke, ist die Antwort. Sie brauchen nicht so zu schreien, Herr Doktor, ich habe das Trinken aufgegeben und hör' wieder gut. Nach einer weiteren Weile wiederholt sich die Begegnung. Der Doktor fragt mit gewöhnlicher Stimme nach seinem Befinden, merkt aber, daß er nicht verstanden wird. Wie? Was? – Mir scheint, Sie trinken wieder Branntwein, schreit ihm der Doktor ins Ohr, und darum hören Sie wieder nichts. Sie können recht haben, antwortet der Schwerhörige. Ich hab' wieder angefangen zu trinken Branntwein, aber ich will Ihnen sagen: warum. Solange ich nicht getrunken hab', hab' ich gehört; aber alles, was ich gehört, war nicht so gut wie der Branntwein. – Technisch ist dieser Witz nichts anderes als eine Veranschaulichung; der Jargon, die Künste der Erzählung müssen dazu dienen, das Lachen zu erwecken, aber dahinter lauert die traurige Frage: Hat der Mann mit seiner Wahl nicht recht?</w:t>
      </w:r>
    </w:p>
    <w:p w:rsidR="00BA623D" w:rsidRPr="00BA623D" w:rsidRDefault="00BA623D" w:rsidP="00BA623D">
      <w:pPr>
        <w:pStyle w:val="Sansinterligne"/>
        <w:rPr>
          <w:rFonts w:ascii="Garamond" w:hAnsi="Garamond"/>
          <w:lang w:val="en-GB"/>
        </w:rPr>
      </w:pPr>
      <w:r w:rsidRPr="00BA623D">
        <w:rPr>
          <w:rFonts w:ascii="Garamond" w:hAnsi="Garamond"/>
          <w:lang w:val="en-GB"/>
        </w:rPr>
        <w:t>Es ist das mannigfaltige hoffnungslose Elend des Juden, auf welches diese pessimistischen Geschichten anspielen, die ich dieses Zuammenhanges wegen dem tendenziösen Witz anreihen muß.</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Andere in ähnlichem Sinne zynische Witze, und zwar nicht nur Judengeschichten, greifen religiöse Dogmen und den Gottesglauben selber an. Die Geschichte vom »Kück des Rabbi«, deren Technik in dem Denkfehler der Gleichstellung von Phantasie und Wirklichkeit bestand (auch die Auffassung als Verschiebung wäre haltbar), ist ein solcher zynischer oder kritischer Witz, der sich gegen die Wundertäter und gewiß auch gegen den Wunderglauben richtet. Einen direkt blasphemischen Witz soll Heine in der Situation des Sterbenden gemacht haben. Als der freundliche Priester ihn auf Gottes Gnade verwies und ihm Hoffnung machte, daß er bei Gott Vergebung für seine Sünden finden werde, soll er geantwortet haben: </w:t>
      </w:r>
      <w:r w:rsidRPr="00BA623D">
        <w:rPr>
          <w:rFonts w:ascii="Garamond" w:hAnsi="Garamond"/>
          <w:i/>
          <w:iCs/>
          <w:lang w:val="en-GB"/>
        </w:rPr>
        <w:t>Bien sûr, qu'il me pardonnera; c'est son métier.</w:t>
      </w:r>
      <w:r w:rsidRPr="00BA623D">
        <w:rPr>
          <w:rFonts w:ascii="Garamond" w:hAnsi="Garamond"/>
          <w:lang w:val="en-GB"/>
        </w:rPr>
        <w:t xml:space="preserve"> Das ist ein herabsetzender Vergleich, technisch etwa nur vom Werte einer Anspielung, denn ein </w:t>
      </w:r>
      <w:r w:rsidRPr="00BA623D">
        <w:rPr>
          <w:rFonts w:ascii="Garamond" w:hAnsi="Garamond"/>
          <w:i/>
          <w:iCs/>
          <w:lang w:val="en-GB"/>
        </w:rPr>
        <w:t>métier</w:t>
      </w:r>
      <w:r w:rsidRPr="00BA623D">
        <w:rPr>
          <w:rFonts w:ascii="Garamond" w:hAnsi="Garamond"/>
          <w:lang w:val="en-GB"/>
        </w:rPr>
        <w:t xml:space="preserve">, Geschäft oder Beruf, hat etwa ein Handwerker oder ein Arzt, und zwar hat er nur ein einziges </w:t>
      </w:r>
      <w:r w:rsidRPr="00BA623D">
        <w:rPr>
          <w:rFonts w:ascii="Garamond" w:hAnsi="Garamond"/>
          <w:i/>
          <w:iCs/>
          <w:lang w:val="en-GB"/>
        </w:rPr>
        <w:t>métier.</w:t>
      </w:r>
      <w:r w:rsidRPr="00BA623D">
        <w:rPr>
          <w:rFonts w:ascii="Garamond" w:hAnsi="Garamond"/>
          <w:lang w:val="en-GB"/>
        </w:rPr>
        <w:t xml:space="preserve"> Die Stärke des Witzes liegt aber in seiner Tendenz. Er soll </w:t>
      </w:r>
      <w:r w:rsidRPr="00BA623D">
        <w:rPr>
          <w:rFonts w:ascii="Garamond" w:hAnsi="Garamond"/>
          <w:lang w:val="en-GB"/>
        </w:rPr>
        <w:lastRenderedPageBreak/>
        <w:t>nichts anderes sagen als: Gewiß wird er mir verzeihen, dazu ist er ja da, zu keinem anderen Zweck habe ich ihn mir angeschafft (wie man sich seinen Arzt, seinen Advokaten hält). Und so regt sich noch in dem machtlos daliegenden Sterbenden das Bewußtsein, daß er sich Gott erschaffen und ihn mit Macht ausgestattet hat, um sich seiner bei Gelegenheit zu bedienen. Das vermeintliche Geschöpf gibt sich noch kurz vor seiner Vernichtung als den Schöpfer zu erkennen.</w:t>
      </w:r>
    </w:p>
    <w:p w:rsidR="00BA623D" w:rsidRPr="00BA623D" w:rsidRDefault="00BA623D" w:rsidP="00BA623D">
      <w:pPr>
        <w:pStyle w:val="Sansinterligne"/>
        <w:rPr>
          <w:rFonts w:ascii="Garamond" w:hAnsi="Garamond"/>
          <w:lang w:val="en-GB"/>
        </w:rPr>
      </w:pPr>
      <w:r w:rsidRPr="00BA623D">
        <w:rPr>
          <w:rFonts w:ascii="Garamond" w:hAnsi="Garamond"/>
          <w:lang w:val="en-GB"/>
        </w:rPr>
        <w:t>Zu den bisher behandelten Gattungen des tendenziösen Witzes,</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dem entblößenden oder obszönen, </w:t>
      </w:r>
      <w:r w:rsidRPr="00BA623D">
        <w:rPr>
          <w:rFonts w:ascii="Garamond" w:hAnsi="Garamond"/>
          <w:lang w:val="en-GB"/>
        </w:rPr>
        <w:br/>
        <w:t xml:space="preserve">dem aggressiven (feindseligen), </w:t>
      </w:r>
      <w:r w:rsidRPr="00BA623D">
        <w:rPr>
          <w:rFonts w:ascii="Garamond" w:hAnsi="Garamond"/>
          <w:lang w:val="en-GB"/>
        </w:rPr>
        <w:br/>
        <w:t>dem zynischen (kritischen, blasphemischen),</w:t>
      </w:r>
    </w:p>
    <w:p w:rsidR="00BA623D" w:rsidRPr="00BA623D" w:rsidRDefault="00BA623D" w:rsidP="00BA623D">
      <w:pPr>
        <w:pStyle w:val="Sansinterligne"/>
        <w:rPr>
          <w:rFonts w:ascii="Garamond" w:hAnsi="Garamond"/>
          <w:lang w:val="en-GB"/>
        </w:rPr>
      </w:pPr>
      <w:r w:rsidRPr="00BA623D">
        <w:rPr>
          <w:rFonts w:ascii="Garamond" w:hAnsi="Garamond"/>
          <w:lang w:val="en-GB"/>
        </w:rPr>
        <w:t>möchte ich als vierte und seltenste eine neue anreihen, deren Charakter durch ein gutes Beispiel erläutert werden soll.</w:t>
      </w:r>
    </w:p>
    <w:p w:rsidR="00BA623D" w:rsidRPr="00BA623D" w:rsidRDefault="00BA623D" w:rsidP="00BA623D">
      <w:pPr>
        <w:pStyle w:val="Sansinterligne"/>
        <w:rPr>
          <w:rFonts w:ascii="Garamond" w:hAnsi="Garamond"/>
          <w:lang w:val="en-GB"/>
        </w:rPr>
      </w:pPr>
      <w:r w:rsidRPr="00BA623D">
        <w:rPr>
          <w:rFonts w:ascii="Garamond" w:hAnsi="Garamond"/>
          <w:lang w:val="en-GB"/>
        </w:rPr>
        <w:t>Zwei Juden treffen sich im Eisenbahnwagen einer galizischen Station. »Wohin fahrst du?« fragt der eine. »Nach Krakau«, ist die Antwort. »Sieh' her, was du für Lügner bist«, braust der andere auf. »Wenn du sagst, du fahrst nach Krakau, willst du doch, daß ich glauben soll, du fahrst nach Lemberg. Nun weiß ich aber, daß du wirklich fahrst nach Krakau. Also warum lügst du?«</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Diese kostbare Geschichte, die den Eindruck übergroßer Spitzfindigkeit macht, wirkt offenbar durch die Technik des Widersinnes. Der Zweite soll sich Lüge vorwerfen lassen, weil er mitgeteilt, er fahre nach Krakau, was in Wahrheit sein Reiseziel ist! Dieses starke technische Mittel – der Widersinn – ist aber hier mit einer anderen Technik gepaart, der Darstellung durch das Gegenteil, denn nach der unwidersprochenen Behauptung des Ersten lügt der andere, wenn er die Wahrheit sagt, und sagt die Wahrheit mit einer Lüge. Der ernstere Gehalt dieses Witzes ist aber die Frage nach den Bedingungen der Wahrheit; der Witz deutet wiederum auf ein Problem und nützt die Unsicherheit eines unserer gebräuchlichsten Begriffe aus. Ist es Wahrheit, wenn man die Dinge so beschreibt, wie sie sind, und sich nicht darum kümmert, wie der Hörer das Gesagte auffassen wird? Oder ist dies nur jesuitische Wahrheit, und besteht die echte Wahrhaftigkeit nicht viel mehr darin, auf den Zuhörer Rücksicht zu nehmen und ihm ein getreues Abbild seines eigenen Wissens zu vermitteln? Ich halte Witze dieser Art für genug verschieden von den anderen, um ihnen eine besondere Stellung anzuweisen. Was sie angreifen, ist nicht eine Person oder eine Institution, sondern die Sicherheit unserer Erkenntnis selbst, eines unserer spekulativen Güter. Der Name » </w:t>
      </w:r>
      <w:r w:rsidRPr="00BA623D">
        <w:rPr>
          <w:rFonts w:ascii="Garamond" w:hAnsi="Garamond"/>
          <w:i/>
          <w:iCs/>
          <w:lang w:val="en-GB"/>
        </w:rPr>
        <w:t>skeptische</w:t>
      </w:r>
      <w:r w:rsidRPr="00BA623D">
        <w:rPr>
          <w:rFonts w:ascii="Garamond" w:hAnsi="Garamond"/>
          <w:lang w:val="en-GB"/>
        </w:rPr>
        <w:t>« Witze würde also für sie der entsprechende sein.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Wir haben im Verlaufe unserer Erörterungen über die Tendenzen des Witzes vielleicht mancherlei Aufklärungen gewonnen und gewiß reichliche Anregungen zu weiteren Untersuchungen gefunden; aber die Ergebnisse dieses Abschnittes setzen sich mit denen des vorigen zu einem schwierigen Problem zusammen. Wenn es richtig ist, daß die Lust, die der Witz bringt, einerseits an der Technik, anderseits an der Tendenz haftet, unter welchem gemeinsamen Gesichtspunkt lassen sich etwa diese zwei so verschiedenen Lustquellen des Witzes vereinen?</w:t>
      </w:r>
    </w:p>
    <w:p w:rsidR="00BA623D" w:rsidRPr="00BA623D" w:rsidRDefault="00BA623D" w:rsidP="00BA623D">
      <w:pPr>
        <w:pStyle w:val="Sansinterligne"/>
        <w:rPr>
          <w:rFonts w:ascii="Garamond" w:hAnsi="Garamond"/>
          <w:b/>
          <w:color w:val="F38030"/>
          <w:lang w:val="en-GB"/>
        </w:rPr>
      </w:pPr>
      <w:r w:rsidRPr="00BA623D">
        <w:rPr>
          <w:rFonts w:ascii="Garamond" w:hAnsi="Garamond"/>
          <w:b/>
          <w:color w:val="F38030"/>
          <w:lang w:val="en-GB"/>
        </w:rPr>
        <w:t>B. Synthetischer Teil</w:t>
      </w:r>
    </w:p>
    <w:p w:rsidR="00BA623D" w:rsidRPr="00BA623D" w:rsidRDefault="00BA623D" w:rsidP="00BA623D">
      <w:pPr>
        <w:pStyle w:val="Sansinterligne"/>
        <w:rPr>
          <w:rFonts w:ascii="Garamond" w:hAnsi="Garamond"/>
          <w:b/>
          <w:color w:val="F38030"/>
          <w:lang w:val="en-GB"/>
        </w:rPr>
      </w:pPr>
    </w:p>
    <w:p w:rsidR="00BA623D" w:rsidRPr="00BA623D" w:rsidRDefault="00B437A1" w:rsidP="00BA623D">
      <w:pPr>
        <w:pStyle w:val="Sansinterligne"/>
        <w:rPr>
          <w:rFonts w:ascii="Garamond" w:hAnsi="Garamond"/>
          <w:b/>
          <w:lang w:val="en-GB"/>
        </w:rPr>
      </w:pPr>
      <w:hyperlink w:anchor="Witz_INHALT" w:history="1">
        <w:r w:rsidR="00BA623D" w:rsidRPr="007D5EBB">
          <w:rPr>
            <w:rStyle w:val="Lienhypertexte"/>
            <w:rFonts w:ascii="Garamond" w:hAnsi="Garamond" w:cs="Arial"/>
            <w:b/>
            <w:bCs/>
            <w:lang w:val="en-GB"/>
          </w:rPr>
          <w:t>IV. De</w:t>
        </w:r>
        <w:bookmarkStart w:id="108" w:name="W4"/>
        <w:bookmarkEnd w:id="108"/>
        <w:r w:rsidR="00BA623D" w:rsidRPr="007D5EBB">
          <w:rPr>
            <w:rStyle w:val="Lienhypertexte"/>
            <w:rFonts w:ascii="Garamond" w:hAnsi="Garamond" w:cs="Arial"/>
            <w:b/>
            <w:bCs/>
            <w:lang w:val="en-GB"/>
          </w:rPr>
          <w:t>r Lustmechanismus und die Psychogenese des Witzes</w:t>
        </w:r>
      </w:hyperlink>
    </w:p>
    <w:p w:rsidR="00BA623D" w:rsidRPr="00BA623D" w:rsidRDefault="00BA623D" w:rsidP="00BA623D">
      <w:pPr>
        <w:pStyle w:val="Sansinterligne"/>
        <w:rPr>
          <w:rFonts w:ascii="Garamond" w:hAnsi="Garamond"/>
          <w:lang w:val="en-GB"/>
        </w:rPr>
      </w:pPr>
    </w:p>
    <w:p w:rsidR="00BA623D" w:rsidRPr="00BA623D" w:rsidRDefault="00BA623D" w:rsidP="00BA623D">
      <w:pPr>
        <w:pStyle w:val="Sansinterligne"/>
        <w:rPr>
          <w:rFonts w:ascii="Garamond" w:hAnsi="Garamond"/>
          <w:lang w:val="en-GB"/>
        </w:rPr>
      </w:pPr>
      <w:r w:rsidRPr="00BA623D">
        <w:rPr>
          <w:rFonts w:ascii="Garamond" w:hAnsi="Garamond"/>
          <w:lang w:val="en-GB"/>
        </w:rPr>
        <w:t>Aus welchen Quellen die eigentümliche Lust fließt, welche uns der Witz bereitet, das stellen wir nun als gesicherte Erkenntnis voran. Wir wissen, daß wir der Täuschung unterliegen können, unser Wohlgefallen am Gedankeninhalt des Satzes mit der eigentlichen Witzeslust zu verwechseln, daß aber diese selbst wesentlich zwei Quellen hat, die Technik und die Tendenzen des Witzes. Was wir nun erfahren möchten, ist, auf welche Weise sich die Lust aus diesen Quellen ergibt, der Mechanismus dieser Lustwirkung.</w:t>
      </w:r>
    </w:p>
    <w:p w:rsidR="00BA623D" w:rsidRPr="00BA623D" w:rsidRDefault="00BA623D" w:rsidP="00BA623D">
      <w:pPr>
        <w:pStyle w:val="Sansinterligne"/>
        <w:rPr>
          <w:rFonts w:ascii="Garamond" w:hAnsi="Garamond"/>
          <w:lang w:val="en-GB"/>
        </w:rPr>
      </w:pPr>
      <w:r w:rsidRPr="00BA623D">
        <w:rPr>
          <w:rFonts w:ascii="Garamond" w:hAnsi="Garamond"/>
          <w:lang w:val="en-GB"/>
        </w:rPr>
        <w:t>Es scheint uns, daß sich die gesuchte Aufklärung beim tendenziösen Witz viel leichter ergibt als beim harmlosen. Mit ersterem werden wir also beginnen.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Lust beim tendenziösen Witz ergibt sich daraus, daß eine Tendenz befriedigt wird, deren Befriedigung sonst unterblieben wäre. Daß solche Befriedigung eine Lustquelle ist, bedarf keiner weiteren Ausführung. Aber die Art, wie der Witz die Befriedigung herbeiführt, ist an besondere Bedingungen geknüpft, aus denen vielleicht weiterer Aufschluß zu gewinnen ist. Es sind hier zwei Fälle zu unterscheiden. Der einfachere Fall ist, daß der Befriedigung der Tendenz ein äußeres Hindernis im Wege steht, welches durch den Witz umgangen wird. So fanden wir es z. B. in der Antwort, die Serenissimus auf die Frage erhält, ob die Mutter des Angesprochenen je in der Residenz gelebt habe, oder in der Äußerung des Kunstkennerns, dem die zwei reichen Gauner ihre Porträts zeigen: </w:t>
      </w:r>
      <w:r w:rsidRPr="00BA623D">
        <w:rPr>
          <w:rFonts w:ascii="Garamond" w:hAnsi="Garamond"/>
          <w:i/>
          <w:iCs/>
          <w:lang w:val="en-GB"/>
        </w:rPr>
        <w:t>And where is the Saviour?</w:t>
      </w:r>
      <w:r w:rsidRPr="00BA623D">
        <w:rPr>
          <w:rFonts w:ascii="Garamond" w:hAnsi="Garamond"/>
          <w:lang w:val="en-GB"/>
        </w:rPr>
        <w:t xml:space="preserve"> Die Tendenz geht in dem einen Fall dahin, einen Schimpf mit Gleichem zu erwidern, im anderen, eine Beschimpfung an Stelle des </w:t>
      </w:r>
      <w:r w:rsidRPr="00BA623D">
        <w:rPr>
          <w:rFonts w:ascii="Garamond" w:hAnsi="Garamond"/>
          <w:lang w:val="en-GB"/>
        </w:rPr>
        <w:lastRenderedPageBreak/>
        <w:t>geforderten Gutachtens von sich zu geben; was ihr entgegensteht, sind rein äußerliche Momente, die Machtverhältnisse der Personen, die von der Beschimpfung betroffen werden. Es mag uns immerhin auffallen, daß diese und analoge Witze tendenziöser Natur, so sehr sie uns auch befriedigen, doch nicht imstande sind, einen starken Lacheffekt hervorzubringen.</w:t>
      </w:r>
    </w:p>
    <w:p w:rsidR="00BA623D" w:rsidRPr="00BA623D" w:rsidRDefault="00BA623D" w:rsidP="00BA623D">
      <w:pPr>
        <w:pStyle w:val="Sansinterligne"/>
        <w:rPr>
          <w:rFonts w:ascii="Garamond" w:hAnsi="Garamond"/>
          <w:lang w:val="en-GB"/>
        </w:rPr>
      </w:pPr>
      <w:r w:rsidRPr="00BA623D">
        <w:rPr>
          <w:rFonts w:ascii="Garamond" w:hAnsi="Garamond"/>
          <w:lang w:val="en-GB"/>
        </w:rPr>
        <w:t>Anders, wenn nicht äußere Momente, sondern ein innerliches Hindernis der direkten Verwirklichung der Tendenz im Wege steht, wenn eine innere Regung sich der Tendenz entgegenstellt. Diese Bedingung wäre nach unserer Voraussetzung etwa in den aggressiven Witzen des Herrn N. verwirklicht, in dessen Person eine starke Neigung zur Invektive durch hochentwickelte ästhetische Kultur in Schach gehalten wird. Mit Hilfe des Witzes wird der innere Widerstand für diesen speziellen Fall überwunden, die Hemmung aufgehoben. Dadurch wird wie im Falle des äußeren Hindernisses die Befriedigung der Tendenz ermöglicht, eine Unterdrückung und die mit ihr verbundene »psychische Stauung« vermieden; der Mechanismus der Lustentwicklung wäre insoweit für beide Fälle der nämliche.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Wir verspüren an dieser Stelle allerdings die Neigung, in die Unterschiede der psychologischen Situation für den Fall des äußeren und des inneren Hindernisses tiefer einzugehen, da uns die Möglichkeit vorschwebt, aus der Aufhebung des inneren Hindernisses könne sich ein ungleich höherer Beitrag zur Lust ergeben. Aber ich schlage vor, hier genügsam zu bleiben und uns vorläufig mit der einen Feststellung zu bescheiden, welche bei dem für uns Wesentlichen verbleibt. Die Fälle des äußerlichen und des inneren Hindernisses unterscheiden sich nur darin, daß hier eine bereits bestehende Hemmung aufgehoben, dort die Herstellung einer neuen vermieden wird. Wir nehmen dann die Spekulation nicht zu sehr in Anspruch, wenn wir behaupten, daß zur Herstellung wie zur Erhaltung einer psychischen Hemmung ein »psychischer Aufwand« erfordert wird. Ergibt sich nun, daß in beiden Fällen der Verwendung des tendenziösen Witzes Lust erzielt wird, so liegt es nahe anzunehmen, </w:t>
      </w:r>
      <w:r w:rsidRPr="00BA623D">
        <w:rPr>
          <w:rFonts w:ascii="Garamond" w:hAnsi="Garamond"/>
          <w:i/>
          <w:iCs/>
          <w:lang w:val="en-GB"/>
        </w:rPr>
        <w:t>daß solcher Lustgewinn dem ersparten psychischen Aufwand entspreche</w:t>
      </w: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Somit wären wir wiederum auf das Prinzip der </w:t>
      </w:r>
      <w:r w:rsidRPr="00BA623D">
        <w:rPr>
          <w:rFonts w:ascii="Garamond" w:hAnsi="Garamond"/>
          <w:i/>
          <w:iCs/>
          <w:lang w:val="en-GB"/>
        </w:rPr>
        <w:t>Ersparung</w:t>
      </w:r>
      <w:r w:rsidRPr="00BA623D">
        <w:rPr>
          <w:rFonts w:ascii="Garamond" w:hAnsi="Garamond"/>
          <w:lang w:val="en-GB"/>
        </w:rPr>
        <w:t xml:space="preserve"> gestoßen, dem wir zuerst bei der Technik des Wortwitzes begegnet sind. Während wir aber zunächst die Ersparung in dem Gebrauch von möglichst wenig oder möglichst den gleichen Worten zu finden glaubten, ahnt uns hier der weit umfassendere Sinn einer Ersparung an psychischem Aufwand überhaupt, und wir müssen es für möglich halten, durch nähere Bestimmung des noch sehr unklaren Begriffes »psychischer Aufwand« dem Wesen des Witzes näherzukommen.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Eine gewisse Unklarheit, die wir bei der Behandlung des Lustmechanismus beim tendenziösen Witze nicht überwinden konnten, nehmen wir als billige Strafe dafür, daß wir versucht haben, das Kompliziertere vor dem Einfacheren, den tendenziösen Witz vor dem harmlosen aufzuklären. Wir merken uns, daß » </w:t>
      </w:r>
      <w:r w:rsidRPr="00BA623D">
        <w:rPr>
          <w:rFonts w:ascii="Garamond" w:hAnsi="Garamond"/>
          <w:i/>
          <w:iCs/>
          <w:lang w:val="en-GB"/>
        </w:rPr>
        <w:t>Ersparung an Hemmungs- oder Unterdrückungsaufwand</w:t>
      </w:r>
      <w:r w:rsidRPr="00BA623D">
        <w:rPr>
          <w:rFonts w:ascii="Garamond" w:hAnsi="Garamond"/>
          <w:lang w:val="en-GB"/>
        </w:rPr>
        <w:t>« das Geheimnis der Lustwirkung des tendenziösen Witzes zu sein schien, und wenden uns dem Mechanismus der Lust beim harmlosen Witze zu.</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Aus geeigneten Beispielen harmlosen Witzes, bei denen keine Störung unseres Urteils durch Inhalt oder Tendenz zu befürchten stand, mußten wir den Schluß ziehen, daß die Techniken des Witzes selbst Lustquellen sind, und wollen nun prüfen, ob sich diese Lust etwa auf Ersparung an psychischem Aufwand zurückführen lasse. In einer Gruppe dieser Witze (den Wortspielen) bestand die Technik darin, unsere psychische Einstellung auf den Wortklang anstatt auf den Sinn des Wortes zu richten, die (akustische) Wortvorstellung selbst an Stelle ihrer durch Relationen zu den Dingvorstellungen gegebenen Bedeutung treten zu lassen. Wir dürfen wirklich vermuten, daß damit eine große Erleichterung der psychischen Arbeit gegeben ist und daß wir uns bei der ernsthaften Verwendung der Worte durch eine gewisse Anstrengung von diesem bequemen Verfahren abhalten müssen. Wir können beobachten, daß krankhafte Zustände der Denktätigkeit, in denen die Möglichkeit, psychischen Aufwand auf eine Stelle zu konzentrieren, wahrscheinlich eingeschränkt ist, tatsächlich die Wortklangvorstellung solcher Art gegen die Wortbedeutung in den Vordergrund rücken lassen und daß solche Kranke in ihren Reden nach den »äußeren« anstatt nach den »inneren« Assoziationen der Wortvorstellung, wie die Formel lautet, fortschreiten. Auch beim Kinde, welches ja die Worte noch als Dinge zu behandeln gewohnt ist, bemerken wir die Neigung, hinter gleichem oder ähnlichem Wortlaut gleichen Sinn zu suchen, die zur Quelle vieler von den Erwachsenen belachter Irrtümer wird. Wenn es uns dann im Witz ein unverkennbares Vergnügen bereitet, durch den Gebrauch des nämlichen Wortes oder eines ihm ähnlichen aus dem einen Vorstellungskreis in einen anderen, entfernten zu gelangen (wie bei </w:t>
      </w:r>
      <w:r w:rsidRPr="00BA623D">
        <w:rPr>
          <w:rFonts w:ascii="Garamond" w:hAnsi="Garamond"/>
          <w:i/>
          <w:iCs/>
          <w:lang w:val="en-GB"/>
        </w:rPr>
        <w:t>Home-Roulard</w:t>
      </w:r>
      <w:r w:rsidRPr="00BA623D">
        <w:rPr>
          <w:rFonts w:ascii="Garamond" w:hAnsi="Garamond"/>
          <w:lang w:val="en-GB"/>
        </w:rPr>
        <w:t xml:space="preserve"> aus dem der Küche in den der Politik), so ist dies Vergnügen wohl mit Recht auf die Ersparung an psychischem Aufwand zurückzuführen. Die Witzeslust aus solchem »Kurzschluß« scheint auch um so größer zu sein, je fremder die beiden durch das gleiche Wort in Verbindung gebrachten Vorstellungskreise einander sind, je weiter ab sie voneinander liegen, je größer also die Ersparung an Gedankenweg durch das technische </w:t>
      </w:r>
      <w:r w:rsidRPr="00BA623D">
        <w:rPr>
          <w:rFonts w:ascii="Garamond" w:hAnsi="Garamond"/>
          <w:lang w:val="en-GB"/>
        </w:rPr>
        <w:lastRenderedPageBreak/>
        <w:t xml:space="preserve">Mittel des Witzes ausfällt. Merken wir übrigens an, daß sich der Witz hier eines Mittels der Verknüpfung bedient, welches vom ernsthaften Denken verworfen und sorgfältig vermieden wird </w:t>
      </w:r>
      <w:hyperlink r:id="rId325"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Wenn ich mir hier gestatten darf, der Darstellung im Texte vorzugreifen, so kann ich an dieser Stelle ein Licht auf die Bedingung werfen, welche für den Sprachgebrauch maßgebend scheint, um einen Witz einen »guten« oder einen »schlechten« zu heißen. Wenn ich mittels eines doppelsinnigen oder wenig modifizierten Wortes auf kurzem Wege aus einem Vorstellungskreis in einen anderen geraten bin, während sich zwischen den beiden Vorstellungskreisen nicht auch gleichzeitig eine sinnvolle Verknüpfung ergibt, dann habe ich einen »schlechten« Witz gemacht. In diesem schlechten Witz ist das eine Wort, die »Pointe«, die einzig vorhandene Verknüpfung zwischen den beiden disparaten Vorstellungen. Ein solcher Fall ist das oben verwendete Beispiel: </w:t>
        </w:r>
        <w:r w:rsidRPr="00BA623D">
          <w:rPr>
            <w:rStyle w:val="innerfusslink3"/>
            <w:rFonts w:ascii="Garamond" w:hAnsi="Garamond" w:cs="Arial"/>
            <w:b/>
            <w:bCs/>
            <w:i/>
            <w:iCs/>
            <w:lang w:val="en-GB"/>
          </w:rPr>
          <w:t>Home-Roulard.</w:t>
        </w:r>
        <w:r w:rsidRPr="00BA623D">
          <w:rPr>
            <w:rStyle w:val="innerfusslink3"/>
            <w:rFonts w:ascii="Garamond" w:hAnsi="Garamond" w:cs="Arial"/>
            <w:b/>
            <w:bCs/>
            <w:lang w:val="en-GB"/>
          </w:rPr>
          <w:t xml:space="preserve"> Ein »guter Witz« kommt aber zustande, wenn die Kindererwartung recht behält und mit der Ähnlichkeit der Worte wirklich gleichzeitig eine andere wesentliche Ähnlichkeit des Sinnes angezeigt ist, wie im Beispiel: </w:t>
        </w:r>
        <w:r w:rsidRPr="00BA623D">
          <w:rPr>
            <w:rStyle w:val="innerfusslink3"/>
            <w:rFonts w:ascii="Garamond" w:hAnsi="Garamond" w:cs="Arial"/>
            <w:b/>
            <w:bCs/>
            <w:i/>
            <w:iCs/>
            <w:lang w:val="en-GB"/>
          </w:rPr>
          <w:t>Traduttore-Traditore</w:t>
        </w:r>
        <w:r w:rsidRPr="00BA623D">
          <w:rPr>
            <w:rStyle w:val="innerfusslink3"/>
            <w:rFonts w:ascii="Garamond" w:hAnsi="Garamond" w:cs="Arial"/>
            <w:b/>
            <w:bCs/>
            <w:lang w:val="en-GB"/>
          </w:rPr>
          <w:t xml:space="preserve">. Die beiden disparaten Vorstellungen, die hier durch eine äußerliche Assoziation verknüpft sind, stehen außerdem in einem sinnreichen Zusammenhang, welcher eine Wesensverwandtschaft von ihnen aussagt. Die äußerliche Assoziation ersetzt nur den innerlichen Zusammenhang; sie dient dazu, ihn anzuzeigen oder klarzustellen. Der »Übersetzer« heißt nicht nur ähnlich wie der »Verräter«; er ist auch eine Art von Verräter, er führt gleichsam mit Recht seinen Namen. </w:t>
        </w:r>
        <w:r w:rsidRPr="00BA623D">
          <w:rPr>
            <w:rFonts w:ascii="Garamond" w:hAnsi="Garamond"/>
            <w:b/>
            <w:lang w:val="en-GB"/>
          </w:rPr>
          <w:br/>
        </w:r>
        <w:r w:rsidRPr="00BA623D">
          <w:rPr>
            <w:rFonts w:ascii="Garamond" w:hAnsi="Garamond"/>
            <w:b/>
            <w:lang w:val="en-GB"/>
          </w:rPr>
          <w:br/>
        </w:r>
        <w:r w:rsidRPr="00BA623D">
          <w:rPr>
            <w:rStyle w:val="innerfusslink3"/>
            <w:rFonts w:ascii="Garamond" w:hAnsi="Garamond" w:cs="Arial"/>
            <w:b/>
            <w:bCs/>
            <w:lang w:val="en-GB"/>
          </w:rPr>
          <w:t xml:space="preserve">Der hier entwickelte Unterschied fällt mit der später einzuführenden Scheidung von »Scherz« und »Witz« zusammen. Es wäre aber unrecht, Beispiele wie </w:t>
        </w:r>
        <w:r w:rsidRPr="00BA623D">
          <w:rPr>
            <w:rStyle w:val="innerfusslink3"/>
            <w:rFonts w:ascii="Garamond" w:hAnsi="Garamond" w:cs="Arial"/>
            <w:b/>
            <w:bCs/>
            <w:i/>
            <w:iCs/>
            <w:lang w:val="en-GB"/>
          </w:rPr>
          <w:t>Home-Roulard</w:t>
        </w:r>
        <w:r w:rsidRPr="00BA623D">
          <w:rPr>
            <w:rStyle w:val="innerfusslink3"/>
            <w:rFonts w:ascii="Garamond" w:hAnsi="Garamond" w:cs="Arial"/>
            <w:b/>
            <w:bCs/>
            <w:lang w:val="en-GB"/>
          </w:rPr>
          <w:t xml:space="preserve"> von der Erörterung über die Natur des Witzes auszuschließen. Sowie wir die eigentümliche Lust des Witzes in Betracht ziehen, finden wir, daß die »schlechten« Witze keineswegs als Witze schlecht, d. h. ungeeignet zur Erzeugung von Lust sind.</w:t>
        </w:r>
      </w:hyperlink>
    </w:p>
    <w:p w:rsidR="00BA623D" w:rsidRPr="00BA623D" w:rsidRDefault="00BA623D" w:rsidP="00BA623D">
      <w:pPr>
        <w:pStyle w:val="Sansinterligne"/>
        <w:rPr>
          <w:rFonts w:ascii="Garamond" w:hAnsi="Garamond"/>
          <w:lang w:val="en-GB"/>
        </w:rPr>
      </w:pPr>
      <w:r w:rsidRPr="00BA623D">
        <w:rPr>
          <w:rFonts w:ascii="Garamond" w:hAnsi="Garamond"/>
          <w:lang w:val="en-GB"/>
        </w:rPr>
        <w:t>Eine zweite Gruppe technischer Mittel des Witzes – Unifizierung, Gleichklang, mehrfache Verwendung, Modifikation bekannter Redensarten, Anspielung auf Zitate – läßt als gemeinsamen Charakter herausheben, daß jedesmal etwas Bekanntes wiedergefunden wird, wo man anstatt dessen etwas Neues hätte erwarten können. Dieses Wiederfinden des Bekannten ist lustvoll, und es kann uns wiederum nicht schwerfallen, solche Lust als Ersparungslust zu erkennen, auf die Ersparung an psychischem Aufwand zu beziehen.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Daß das Wiederfinden des Bekannten, das »Wiedererkennen« lustvoll ist, scheint allgemein zugestanden zu werden. Groos </w:t>
      </w:r>
      <w:hyperlink r:id="rId326"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i/>
            <w:iCs/>
            <w:lang w:val="en-GB"/>
          </w:rPr>
          <w:t>Die Spiele der Menschen,</w:t>
        </w:r>
        <w:r w:rsidRPr="00BA623D">
          <w:rPr>
            <w:rStyle w:val="innerfusslink3"/>
            <w:rFonts w:ascii="Garamond" w:hAnsi="Garamond" w:cs="Arial"/>
            <w:b/>
            <w:bCs/>
            <w:lang w:val="en-GB"/>
          </w:rPr>
          <w:t xml:space="preserve"> 1899.</w:t>
        </w:r>
      </w:hyperlink>
      <w:r w:rsidRPr="00BA623D">
        <w:rPr>
          <w:rFonts w:ascii="Garamond" w:hAnsi="Garamond"/>
          <w:lang w:val="en-GB"/>
        </w:rPr>
        <w:t xml:space="preserve"> sagt (S. 153): »Das Wiedererkennen ist nun überall, wo es nicht allzusehr mechanisiert ist (wie etwa beim Ankleiden, wo ...), mit Lustgefühlen verbunden. Schon die bloße Qualität der Bekanntheit ist leicht von jenem sanften Behagen begleitet, das Faust erfüllt, wie er nach einer unheimlichen Begegnung wieder in sein Studierzimmer tritt ...« »Wenn so der Akt des Wiedererkennens lusterregend ist, so werden wir erwarten dürfen, daß der Mensch darauf verfällt, diese Fähigkeit um ihrer selbst willen zu üben, also spielend mit ihr zu experimentieren. In der Tat hat Aristoteles in der Freude am Wiedererkennen die Grundlage des Kunstgenusses erblickt, und es läßt sich nicht leugnen, daß dieses Prinzip nicht übersehen werden darf, wenn es auch keine so weittragende Bedeutung hat, wie Aristoteles annimmt.«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Groos erörtert dann die Spiele, deren Charakter darin besteht, die Freude am Wiedererkennen dadurch zu steigern, daß man demselben Hindernisse in den Weg legt, also eine »psychische Stauung« herbeiführt, die mit dem Akt des Erkennens beseitigt ist. Sein Erklärungsversuch verläßt aber die Annahme, daß das Erkennen an sich lustvoll sei, indem er das Vergnügen am Erkennen mit Berufung auf diese Spiele auf die </w:t>
      </w:r>
      <w:r w:rsidRPr="00BA623D">
        <w:rPr>
          <w:rFonts w:ascii="Garamond" w:hAnsi="Garamond"/>
          <w:i/>
          <w:iCs/>
          <w:lang w:val="en-GB"/>
        </w:rPr>
        <w:t>Freude</w:t>
      </w:r>
      <w:r w:rsidRPr="00BA623D">
        <w:rPr>
          <w:rFonts w:ascii="Garamond" w:hAnsi="Garamond"/>
          <w:lang w:val="en-GB"/>
        </w:rPr>
        <w:t xml:space="preserve"> an der </w:t>
      </w:r>
      <w:r w:rsidRPr="00BA623D">
        <w:rPr>
          <w:rFonts w:ascii="Garamond" w:hAnsi="Garamond"/>
          <w:i/>
          <w:iCs/>
          <w:lang w:val="en-GB"/>
        </w:rPr>
        <w:t>Macht</w:t>
      </w:r>
      <w:r w:rsidRPr="00BA623D">
        <w:rPr>
          <w:rFonts w:ascii="Garamond" w:hAnsi="Garamond"/>
          <w:lang w:val="en-GB"/>
        </w:rPr>
        <w:t>, an der Überwindung einer Schwierigkeit zurückführt. Ich halte dieses letztere Moment für sekundär und sehe keinen Anlaß, von der einfacheren Auffassung abzuweichen, daß das Erkennen an sich, d. h. durch Erleichterung des psychischen Aufwands, lustvoll ist und daß die auf diese Lust gegründeten Spiele sich eben nur des Stauungsmechanismus bedienen, um deren Betrag in die Höhe zu treiben.</w:t>
      </w:r>
    </w:p>
    <w:p w:rsidR="00BA623D" w:rsidRPr="00BA623D" w:rsidRDefault="00BA623D" w:rsidP="00BA623D">
      <w:pPr>
        <w:pStyle w:val="Sansinterligne"/>
        <w:rPr>
          <w:rFonts w:ascii="Garamond" w:hAnsi="Garamond"/>
          <w:lang w:val="en-GB"/>
        </w:rPr>
      </w:pPr>
      <w:r w:rsidRPr="00BA623D">
        <w:rPr>
          <w:rFonts w:ascii="Garamond" w:hAnsi="Garamond"/>
          <w:lang w:val="en-GB"/>
        </w:rPr>
        <w:t>Daß Reim, Alliteration, Refrain und andere Formen der Wiederholung ähnlicher Wortklänge in der Dichtung die nämliche Lustquelle, das Wiederfinden des Bekannten, ausnützen, ist gleichfalls allgemein anerkannt. Ein »Machtgefühl« spielt bei diesen Techniken, die mit der »mehrfachen Verwendung« beim Witze so große Übereinstimmung zeigen, keine ersichtliche Rolle.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Bei den nahen Beziehungen zwischen Erkennen und Erinnern ist die Annahme nicht mehr gewagt, daß es auch eine Erinnerungslust gebe, d. h. daß der Akt des Erinnerns an sich von einem Lustgefühl ähnlicher Herkunft begleitet sei. Groos scheint einer solchen Annahme nicht abgeneigt zu sein, aber er leitet die </w:t>
      </w:r>
      <w:r w:rsidRPr="00BA623D">
        <w:rPr>
          <w:rFonts w:ascii="Garamond" w:hAnsi="Garamond"/>
          <w:lang w:val="en-GB"/>
        </w:rPr>
        <w:lastRenderedPageBreak/>
        <w:t>Erinnerungslust wiederum vom »Machtgefühl« ab, in dem er den Hauptgrund des Genusses bei fast allen Spielen – wie ich meine, mit Unrecht – sucht.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Auf dem »Wiederfinden des Bekannten« beruht auch die Verwendung eines anderen technischen Hilfsmittels des Witzes, von dem bisher noch nicht die Rede war. Ich meine das Moment der </w:t>
      </w:r>
      <w:r w:rsidRPr="00BA623D">
        <w:rPr>
          <w:rFonts w:ascii="Garamond" w:hAnsi="Garamond"/>
          <w:i/>
          <w:iCs/>
          <w:lang w:val="en-GB"/>
        </w:rPr>
        <w:t>Aktualität</w:t>
      </w:r>
      <w:r w:rsidRPr="00BA623D">
        <w:rPr>
          <w:rFonts w:ascii="Garamond" w:hAnsi="Garamond"/>
          <w:lang w:val="en-GB"/>
        </w:rPr>
        <w:t xml:space="preserve">, das bei sehr vielen Witzen eine ausgiebige Lustquelle darstellt und einige Eigentümlichkeiten in der Lebensgeschichte der Witze erklärt. Es gibt Witze, die von dieser Bedingung vollkommen frei sind, und in einer Abhandlung über den Witz sind wir genötigt, uns fast ausschließlich solcher Beispiele zu bedienen. Wir können aber nicht vergessen, daß wir vielleicht noch stärker als über solche perennierende Witze über andere gelacht haben, deren Verwendung uns jetzt schwerfällt, weil sie lange Kommentare erfordern und auch mit deren Nachhilfe die einstige Wirkung nicht erreichen würden. Diese letzteren Witze enthielten nun Anspielungen auf Personen und Begebenheiten, die zur Zeit »aktuell« waren, das allgemeine Interesse wachgerufen hatten und noch in Spannung erhielten. Nach dem Erlöschen dieses Interesses, nach der Erledigung der betreffenden Affaire hatten auch diese Witze einen Teil ihrer Lustwirkung, und zwar einen recht beträchtlichen Teil, eingebüßt. So z. B. erscheint mir der Witz, den mein freundlicher Gastgeber machte, als er die herumgereichte Mehlspeise einen » </w:t>
      </w:r>
      <w:r w:rsidRPr="00BA623D">
        <w:rPr>
          <w:rFonts w:ascii="Garamond" w:hAnsi="Garamond"/>
          <w:i/>
          <w:iCs/>
          <w:lang w:val="en-GB"/>
        </w:rPr>
        <w:t>Home-Roulard</w:t>
      </w:r>
      <w:r w:rsidRPr="00BA623D">
        <w:rPr>
          <w:rFonts w:ascii="Garamond" w:hAnsi="Garamond"/>
          <w:lang w:val="en-GB"/>
        </w:rPr>
        <w:t xml:space="preserve">« nannte, heute lange nicht so gut wie damals, als </w:t>
      </w:r>
      <w:r w:rsidRPr="00BA623D">
        <w:rPr>
          <w:rFonts w:ascii="Garamond" w:hAnsi="Garamond"/>
          <w:i/>
          <w:iCs/>
          <w:lang w:val="en-GB"/>
        </w:rPr>
        <w:t>Home Rule</w:t>
      </w:r>
      <w:r w:rsidRPr="00BA623D">
        <w:rPr>
          <w:rFonts w:ascii="Garamond" w:hAnsi="Garamond"/>
          <w:lang w:val="en-GB"/>
        </w:rPr>
        <w:t xml:space="preserve"> eine ständige Rubrik in den politischen Nachrichten unserer Zeitungen war. Versuche ich jetzt das Verdienst dieses Witzes durch die Beschreibung zu würdigen, daß uns das eine Wort mit Ersparung eines großen Denkumweges aus dem Vorstellungskreis der Küche in den so fernliegenden der Politik führe, so hätte ich diese Beschreibung damals abändern müssen, »daß uns dieses Wort aus dem Vorstellungskreis der Küche in den ihm selbst so fernliegenden Kreis der Politik führe, der aber unseres lebhaften Interesses sicher sei, weil er uns eigentlich unausgesetzt beschäftige«. Ein anderer Witz: »Dieses Mädchen erinnert mich an Dreyfus; die Armee glaubt nicht an ihre Unschuld« ist heute, trotzdem alle seine technischen Mittel unverändert geblieben sein müssen, gleichfalls verblaßt. Die Verblüffung durch den Vergleich und die Zweideutigkeit des Wortes »Unschuld« können es nicht wettmachen, daß die Anspielung, die damals an eine mit frischer Erregung besetzte Angelegenheit rührte, heute an ein erledigtes Interesse erinnert. Ein noch aktueller Witz wie z. B. folgender: Kronprinzessin Louise hatte sich an das Krematorium in Gotha mit der Anfrage gewendet, was eine Verbrennung koste. Die Verwaltung gab ihr die Antwort: »Sonst 5000 Mark, ihr werde man aber nur 3000 Mark berechnen, da sie schon einmal durchgebrannt sei«; ein solcher Witz erscheint heute unwiderstehlich; in einiger Zeit wird er in unserer Schätzung sehr erheblich gesunken sein, und noch eine Weile später, wenn man ihn nicht erzählen kann, ohne in einem Kommentar hinzuzusetzen, wer die Prinzessin Louise war und wie ihr »Durchgebranntsein« gemeint ist, wird er trotz des guten Wortspiels wirkungslos bleiben.</w:t>
      </w:r>
    </w:p>
    <w:p w:rsidR="00BA623D" w:rsidRPr="00BA623D" w:rsidRDefault="00BA623D" w:rsidP="00BA623D">
      <w:pPr>
        <w:pStyle w:val="Sansinterligne"/>
        <w:rPr>
          <w:rFonts w:ascii="Garamond" w:hAnsi="Garamond"/>
          <w:lang w:val="en-GB"/>
        </w:rPr>
      </w:pPr>
      <w:r w:rsidRPr="00BA623D">
        <w:rPr>
          <w:rFonts w:ascii="Garamond" w:hAnsi="Garamond"/>
          <w:lang w:val="en-GB"/>
        </w:rPr>
        <w:t>Eine große Zahl der im Umlauf befindlichen Witze gelangt so zu einer gewissen Lebensdauer, eigentlich zu einem Lebenslauf, der sich aus einer Blütezeit und einer Verfallszeit zusammensetzt und in völliger Vergessenheit endigt. Das Bedürfnis der Menschen, Lust aus ihren Denkvorgängen zu gewinnen, schafft dann immer neue Witze unter Anlehnung an die neuen Interessen des Tages. Die Lebenskraft der aktuellen Witze ist keine ihnen eigene, sie wird auf dem Wege der Anspielung jenen anderen Interessen entlehnt, deren Ablauf auch das Schicksal des Witzes bestimmt. Das Moment der Aktualität, welches als eine vergängliche Lustquelle zwar, aber als besonders ergiebige zu den eigenen des Witzes hinzutritt, kann nicht einfach dem Wiederfinden des Bekannten gleichgesetzt werden. Es handelt sich vielmehr um eine besondere Qualifikation des Bekannten, dem die Eigenschaft des Frischen, Rezenten, nicht vom Vergessen Berührten zukommen muß. Auch bei der Traumbildung begegnet man einer besonderen Bevorzugung des Rezenten und kann sich der Vermutung nicht erwehren, daß die Assoziation mit dem Rezenten durch eine eigenartige Lustprämie belohnt, also erleichtert wird.</w:t>
      </w:r>
    </w:p>
    <w:p w:rsidR="00BA623D" w:rsidRPr="00BA623D" w:rsidRDefault="00BA623D" w:rsidP="00BA623D">
      <w:pPr>
        <w:pStyle w:val="Sansinterligne"/>
        <w:rPr>
          <w:rFonts w:ascii="Garamond" w:hAnsi="Garamond"/>
        </w:rPr>
      </w:pPr>
      <w:r w:rsidRPr="00BA623D">
        <w:rPr>
          <w:rFonts w:ascii="Garamond" w:hAnsi="Garamond"/>
          <w:lang w:val="en-GB"/>
        </w:rPr>
        <w:t xml:space="preserve">Die Unifizierung, die ja nur die Wiederholung auf dem Gebiete des Gedankenzusammenhanges anstatt des Materials ist, hat bei G. Th. Fechner eine besondere Anerkennung als Lustquelle des Witzes gefunden. Fechner äußert ( </w:t>
      </w:r>
      <w:r w:rsidRPr="00BA623D">
        <w:rPr>
          <w:rFonts w:ascii="Garamond" w:hAnsi="Garamond"/>
          <w:i/>
          <w:iCs/>
          <w:lang w:val="en-GB"/>
        </w:rPr>
        <w:t>Vorschule der Ästhetik</w:t>
      </w:r>
      <w:r w:rsidRPr="00BA623D">
        <w:rPr>
          <w:rFonts w:ascii="Garamond" w:hAnsi="Garamond"/>
          <w:lang w:val="en-GB"/>
        </w:rPr>
        <w:t xml:space="preserve">, I, XVII): »Meines Erachtens spielt in dem Felde, was wir hier vor Augen haben, das Prinzip der einheitlichen Verknüpfung des Mannigfaltigen die Hauptrolle, bedarf aber noch unterstützender Nebenbedingungen, um das Vergnügen, was die hieher gehörigen Fälle gewähren können, mit seinem eigentümlichen Charakter über die Schwelle zu treiben.« </w:t>
      </w:r>
      <w:hyperlink r:id="rId327" w:anchor="#" w:history="1">
        <w:r w:rsidRPr="00BA623D">
          <w:rPr>
            <w:rStyle w:val="fusslink"/>
            <w:rFonts w:ascii="Garamond" w:hAnsi="Garamond" w:cs="Arial"/>
            <w:b/>
            <w:bCs/>
            <w:color w:val="003399"/>
          </w:rPr>
          <w:t>[Fußnote]</w:t>
        </w:r>
        <w:r w:rsidRPr="00BA623D">
          <w:rPr>
            <w:rStyle w:val="innerfusslink3"/>
            <w:rFonts w:ascii="Garamond" w:hAnsi="Garamond" w:cs="Arial"/>
            <w:b/>
            <w:bCs/>
          </w:rPr>
          <w:t>Abschnitt XVII ist überschrieben: Von sinnreichen und witzigen Vergleichen, Wortspielen u. a. Fällen, welche den Charakter der Ergötzlichkeit, Lustigkeit, Lächerlichkeit tragen.</w:t>
        </w:r>
      </w:hyperlink>
    </w:p>
    <w:p w:rsidR="00BA623D" w:rsidRPr="00BA623D" w:rsidRDefault="00BA623D" w:rsidP="00BA623D">
      <w:pPr>
        <w:pStyle w:val="Sansinterligne"/>
        <w:rPr>
          <w:rFonts w:ascii="Garamond" w:hAnsi="Garamond"/>
        </w:rPr>
      </w:pPr>
      <w:r w:rsidRPr="00BA623D">
        <w:rPr>
          <w:rFonts w:ascii="Garamond" w:hAnsi="Garamond"/>
        </w:rPr>
        <w:t xml:space="preserve">In allen diesen Fällen von Wiederholung des nämlichen Zusammenhanges oder des nämlichen Materials von Worten, von Wiederfinden des Bekannten und Rezenten, die dabei verspürte Lust von der Ersparung an psychischem Aufwand abzuleiten, kann uns wohl nicht verwehrt werden, wenn dieser Gesichtspunkt sich fruchtbar zur Aufklärung von Einzelheiten und zur Gewinnung neuer Allgemeinheiten erweist. Wir </w:t>
      </w:r>
      <w:r w:rsidRPr="00BA623D">
        <w:rPr>
          <w:rFonts w:ascii="Garamond" w:hAnsi="Garamond"/>
        </w:rPr>
        <w:lastRenderedPageBreak/>
        <w:t>wissen, daß wir noch die Art, wie die Ersparung zustande kommt, und den Sinn des Ausdrucks »psychischer Aufwand« deutlich zu machen haben.</w:t>
      </w:r>
    </w:p>
    <w:p w:rsidR="00BA623D" w:rsidRPr="00BA623D" w:rsidRDefault="00BA623D" w:rsidP="00BA623D">
      <w:pPr>
        <w:pStyle w:val="Sansinterligne"/>
        <w:rPr>
          <w:rFonts w:ascii="Garamond" w:hAnsi="Garamond"/>
        </w:rPr>
      </w:pPr>
      <w:r w:rsidRPr="00BA623D">
        <w:rPr>
          <w:rFonts w:ascii="Garamond" w:hAnsi="Garamond"/>
        </w:rPr>
        <w:t>Die dritte Gruppe der Techniken des Witzes – zumeist des Gedankenwitzes –, welche die Denkfehler, Verschiebungen, den Widersinn, die Darstellung durch das Gegenteil u. a. umfaßt, mag für den ersten Anschein ein besonderes Gepräge tragen und keine Verwandtschaft mit den Techniken des Wiederfindens des Bekannten oder des Ersatzes der Gegenstandsassoziationen durch die Wortassoziationen verraten; es ist nichtsdestoweniger gerade hier sehr leicht, den Gesichtspunkt der Ersparung oder Erleichterung des psychischen Aufwandes zur Geltung zu bringen.</w:t>
      </w:r>
    </w:p>
    <w:p w:rsidR="00BA623D" w:rsidRPr="00BA623D" w:rsidRDefault="00BA623D" w:rsidP="00BA623D">
      <w:pPr>
        <w:pStyle w:val="Sansinterligne"/>
        <w:rPr>
          <w:rFonts w:ascii="Garamond" w:hAnsi="Garamond"/>
        </w:rPr>
      </w:pPr>
      <w:r w:rsidRPr="00BA623D">
        <w:rPr>
          <w:rFonts w:ascii="Garamond" w:hAnsi="Garamond"/>
        </w:rPr>
        <w:t>Daß es leichter und bequemer ist, von einem eingeschlagenen Gedankenweg abzuweichen als ihn festzuhalten, Unterschiedenes zusammenzuwerfen als es in Gegensatz zu bringen, und gar besonders bequem, von der Logik verworfene Schlußweisen gelten zu lassen, endlich bei der Zusammenfügung von Worten oder Gedanken von der Bedingung abzusehen, daß sie auch einen Sinn ergeben sollen: dies ist allerdings nicht zweifelhaft, und gerade dies tun die in Rede stehenden Techniken des Witzes. Befremden wird aber die Aufstellung erregen, daß solches Tun der Witzarbeit eine Quelle der Lust eröffnet, da wir gegen alle derartigen Minderleistungen der Denktätigkeit außerhalb des Witzes nur unlustige Abwehrgefühle verspüren können.</w:t>
      </w:r>
    </w:p>
    <w:p w:rsidR="00BA623D" w:rsidRPr="00BA623D" w:rsidRDefault="00BA623D" w:rsidP="00BA623D">
      <w:pPr>
        <w:pStyle w:val="Sansinterligne"/>
        <w:rPr>
          <w:rFonts w:ascii="Garamond" w:hAnsi="Garamond"/>
          <w:lang w:val="en-GB"/>
        </w:rPr>
      </w:pPr>
      <w:r w:rsidRPr="00BA623D">
        <w:rPr>
          <w:rFonts w:ascii="Garamond" w:hAnsi="Garamond"/>
          <w:lang w:val="en-GB"/>
        </w:rPr>
        <w:t>Die »Lust am Unsinn«, wie wir abkürzend sagen können, ist im ernsthaften Leben allerdings bis zum Verschwinden verdeckt. Um sie nachzuweisen, müssen wir auf zwei Fälle eingehen, in denen sie noch sichtbar ist und wieder sichtbar wird, auf das Verhalten des lernenden Kindes und das des Erwachsenen in toxisch veränderter Stimmung. In der Zeit, da das Kind den Wortschatz seiner Muttersprache handhaben lernt, bereitet es ihm ein offenbares Vergnügen, mit diesem Material »spielend zu experimentieren« (Groos), und es fügt die Worte, ohne sich an die Sinnbedingung zu binden, zusammen, um den Lusteffekt des Rhythmus oder des Reimes mit ihnen zu erzielen. Dieses Vergnügen wird ihm allmählich verwehrt, bis ihm nur die sinnreichen Wortverbindungen als gestattete erübrigen. Noch in spätere Jahre ragen dann die Bestrebungen, sich über die erlernten Einschränkungen im Gebrauche der Worte hinauszusetzen, indem man dieselben durch bestimmte Anhängsel verunstaltet, ihre Formen durch gewisse Veranstaltungen verändert (Reduplikationen, Zittersprache) oder sich sogar für den Gebrauch unter den Gespielen eine eigene Sprache zurechtmacht, Bemühungen, welche dann bei den Geisteskranken gewisser Kategorien wieder auftauchen.</w:t>
      </w:r>
    </w:p>
    <w:p w:rsidR="00BA623D" w:rsidRPr="00BA623D" w:rsidRDefault="00BA623D" w:rsidP="00BA623D">
      <w:pPr>
        <w:pStyle w:val="Sansinterligne"/>
        <w:rPr>
          <w:rFonts w:ascii="Garamond" w:hAnsi="Garamond"/>
          <w:lang w:val="en-GB"/>
        </w:rPr>
      </w:pPr>
      <w:r w:rsidRPr="00BA623D">
        <w:rPr>
          <w:rFonts w:ascii="Garamond" w:hAnsi="Garamond"/>
          <w:lang w:val="en-GB"/>
        </w:rPr>
        <w:t>Ich meine, welches immer das Motiv war, dem das Kind folgte, als es mit solchen Spielen begann, in weiterer Entwicklung gibt es sich ihnen mit dem Bewußtsein, daß sie unsinnig sind, hin und findet das Vergnügen in diesem Reiz des von der Vernunft Verbotenen. Es benützt nun das Spiel dazu, sich dem Drucke der kritischen Vernunft zu entziehen. Weit gewaltiger sind aber die Einschränkungen, die bei der Erziehung zum richtigen Denken und zur Sonderung des in der Realität Wahren vom Falschen Platz greifen müssen, und darum ist die Auflehnung gegen den Denk- und Realitätszwang eine tiefgreifende und lang anhaltende; selbst die Phänomene der Phantasiebetätigung fallen unter diesen Gesichtspunkt. Die Macht der Kritik ist in dem späteren Abschnitt der Kindheit und in der über die Pubertät hinausreichenden Periode des Lernens meist so sehr gewachsen, daß die Lust am »befreiten Unsinn« sich nur selten direkt zu äußern wagt. Man getraut sich nicht, Widersinn auszusprechen; aber die für den Buben charakteristische Neigung zu widersinnigem, zweckwidrigem Tun scheint mir ein direkter Abkömmling der Lust am Unsinn zu sein. In pathologischen Fällen sieht man leicht diese Neigung so weit gesteigert, daß sie wieder die Reden und Antworten des Schülers beherrscht; bei einigen in Neurose verfallenen Gymnasiasten konnte ich mich überzeugen, daß die unbewußt wirkende Lust an dem von ihnen produzierten Unsinn an ihren Fehlleistungen nicht minderen Anteil hatte als ihre wirkliche Unwissenheit.</w:t>
      </w:r>
    </w:p>
    <w:p w:rsidR="00BA623D" w:rsidRPr="00BA623D" w:rsidRDefault="00BA623D" w:rsidP="00BA623D">
      <w:pPr>
        <w:pStyle w:val="Sansinterligne"/>
        <w:rPr>
          <w:rFonts w:ascii="Garamond" w:hAnsi="Garamond"/>
          <w:lang w:val="en-GB"/>
        </w:rPr>
      </w:pPr>
      <w:r w:rsidRPr="00BA623D">
        <w:rPr>
          <w:rFonts w:ascii="Garamond" w:hAnsi="Garamond"/>
          <w:lang w:val="en-GB"/>
        </w:rPr>
        <w:t>Der Student gibt es dann nicht auf, gegen den Denk- und Realitätszwang zu demonstrieren, dessen Herrschaft er doch immer unduldsamer und uneingeschränkter werden verspürt. Ein guter Teil des studentischen Ulks gehört dieser Reaktion an. Der Mensch ist eben ein »unermüdlicher Lustsucher« – ich weiß nicht mehr, bei welchem Autor ich diesen glücklichen Ausdruck gefunden habe – und jeder Verzicht auf eine einmal genossene Lust wird ihm sehr schwer. Mit dem heiteren Unsinn des Bierschwefels versucht der Student, sich die Lust aus der Freiheit des Denkens zu retten, die ihm durch die Schulung des Kollegs immer mehr verlorengeht. Ja noch viel später, wenn er als gereifter Mann mit anderen auf dem wissenschaftlichen Kongresse zusammengetroffen ist und sich wieder als Lernender gefühlt hat, muß nach Schluß der Sitzung die Kneipzeitung, welche die neugewonnenen Einsichten ins Unsinnige verzerrt, ihm für die neuzugewachsene Denkhemmung Entschädigung bieten.</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»Bierschwefel« und »Kneipzeitung« legen in ihrem Namen Zeugnis dafür ab, daß die Kritik, welche die Lust am Unsinn verdrängt hat, bereits so stark geworden ist, daß sie ohne toxische Hilfsmittel auch nicht zeitweilig beiseite geschoben werden kann. Die Veränderung der Stimmungslage ist das Wertvollste, was der Alkohol dem Menschen leistet, und weshalb dieses »Gift« nicht für jeden gleich entbehrlich ist. Die heitere Stimmung, ob nun endogen entstanden oder toxisch erzeugt, setzt die hemmenden Kräfte, die Kritik unter ihnen, herab und macht damit Lustquellen wieder zugänglich, auf denen die Unterdrückung lastete. Es ist überaus lehrreich zu sehen, wie die Anforderungen an den Witz mit einer Hebung der Stimmungslage sinken. Die Stimmung ersetzt eben den Witz, wie der Witz sich bemühen muß, die Stimmung zu ersetzen, in welcher sich sonst gehemmte Genußmöglichkeiten, unter ihnen die Lust am Unsinn, geltend machen.</w:t>
      </w:r>
    </w:p>
    <w:p w:rsidR="00BA623D" w:rsidRPr="00BA623D" w:rsidRDefault="00BA623D" w:rsidP="00BA623D">
      <w:pPr>
        <w:pStyle w:val="Sansinterligne"/>
        <w:rPr>
          <w:rFonts w:ascii="Garamond" w:hAnsi="Garamond"/>
          <w:lang w:val="en-GB"/>
        </w:rPr>
      </w:pPr>
      <w:r w:rsidRPr="00BA623D">
        <w:rPr>
          <w:rFonts w:ascii="Garamond" w:hAnsi="Garamond"/>
          <w:lang w:val="en-GB"/>
        </w:rPr>
        <w:t>»Mit wenig Witz und viel Behagen.«</w:t>
      </w:r>
    </w:p>
    <w:p w:rsidR="00BA623D" w:rsidRPr="00BA623D" w:rsidRDefault="00BA623D" w:rsidP="00BA623D">
      <w:pPr>
        <w:pStyle w:val="Sansinterligne"/>
        <w:rPr>
          <w:rFonts w:ascii="Garamond" w:hAnsi="Garamond"/>
          <w:lang w:val="en-GB"/>
        </w:rPr>
      </w:pPr>
      <w:r w:rsidRPr="00BA623D">
        <w:rPr>
          <w:rFonts w:ascii="Garamond" w:hAnsi="Garamond"/>
          <w:lang w:val="en-GB"/>
        </w:rPr>
        <w:t>Unter dem Einfluß des Alkohols wird der Erwachsene wieder zum Kinde, dem die freie Verfügung über seinen Gedankenablauf ohne Einhaltung des logischen Zwanges Lust bereitet.</w:t>
      </w:r>
    </w:p>
    <w:p w:rsidR="00BA623D" w:rsidRPr="00BA623D" w:rsidRDefault="00BA623D" w:rsidP="00BA623D">
      <w:pPr>
        <w:pStyle w:val="Sansinterligne"/>
        <w:rPr>
          <w:rFonts w:ascii="Garamond" w:hAnsi="Garamond"/>
          <w:lang w:val="en-GB"/>
        </w:rPr>
      </w:pPr>
      <w:r w:rsidRPr="00BA623D">
        <w:rPr>
          <w:rFonts w:ascii="Garamond" w:hAnsi="Garamond"/>
          <w:lang w:val="en-GB"/>
        </w:rPr>
        <w:t>Wir hoffen nun auch dargetan zu haben, daß die Widersinnstechniken des Witzes einer Lustquelle entsprechen. Daß diese Lust aus Ersparung an psychischem Aufwand, Erleichterung vom Zwange der Kritik, hervorgeht, brauchen wir nur zu wiederholen.</w:t>
      </w:r>
    </w:p>
    <w:p w:rsidR="00BA623D" w:rsidRPr="00BA623D" w:rsidRDefault="00BA623D" w:rsidP="00BA623D">
      <w:pPr>
        <w:pStyle w:val="Sansinterligne"/>
        <w:rPr>
          <w:rFonts w:ascii="Garamond" w:hAnsi="Garamond"/>
          <w:lang w:val="en-GB"/>
        </w:rPr>
      </w:pPr>
      <w:r w:rsidRPr="00BA623D">
        <w:rPr>
          <w:rFonts w:ascii="Garamond" w:hAnsi="Garamond"/>
          <w:lang w:val="en-GB"/>
        </w:rPr>
        <w:t>Bei einem nochmaligen Rückblick auf die in drei Gruppen gesonderten Techniken des Witzes bemerken wir, daß die erste und dritte dieser Gruppen, die Ersetzung der Dingassoziationen durch die Wortassoziationen und die Verwendung des Widersinns als Wiederherstellungen alter Freiheiten und als Entlastungen von dem Zwang der intellektuellen Erziehung zusammengefaßt werden können; es sind psychische Erleichterungen, die man in einen gewissen Gegensatz zur Ersparung bringen kann, welche die Technik in der zweiten Gruppe ausmacht. Erleichterung des schon bestehenden und Ersparung an erst aufzubietendem psychischen Aufwand, auf diese beiden Prinzipien führt sich also alle Technik des Witzes und somit alle Lust aus diesen Techniken zurück. Die beiden Arten der Technik und der Lustgewinnung fallen übrigens – im großen und ganzen wenigstens – mit der Scheidung des Witzes in Wort- und Gedankenwitz zusammen.</w:t>
      </w:r>
    </w:p>
    <w:p w:rsidR="00BA623D" w:rsidRPr="00BA623D" w:rsidRDefault="00BA623D" w:rsidP="00BA623D">
      <w:pPr>
        <w:pStyle w:val="Sansinterligne"/>
        <w:rPr>
          <w:rFonts w:ascii="Garamond" w:hAnsi="Garamond"/>
          <w:lang w:val="en-GB"/>
        </w:rPr>
      </w:pPr>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vorstehenden Erörterungen haben uns unversehens zur Einsicht in eine Entwicklungsgeschichte oder Psychogenese des Witzes geführt, welcher wir nun nähertreten wollen. Wir haben Vorstufen des Witzes kennengelernt, deren Entwicklung bis zum tendenziösen Witz wahrscheinlich neue Beziehungen zwischen den verschiedenen Charakteren des Witzes aufdecken kann. Vor allem Witz gibt es etwas, was wir als </w:t>
      </w:r>
      <w:r w:rsidRPr="00BA623D">
        <w:rPr>
          <w:rFonts w:ascii="Garamond" w:hAnsi="Garamond"/>
          <w:i/>
          <w:iCs/>
          <w:lang w:val="en-GB"/>
        </w:rPr>
        <w:t>Spiel</w:t>
      </w:r>
      <w:r w:rsidRPr="00BA623D">
        <w:rPr>
          <w:rFonts w:ascii="Garamond" w:hAnsi="Garamond"/>
          <w:lang w:val="en-GB"/>
        </w:rPr>
        <w:t xml:space="preserve"> oder » </w:t>
      </w:r>
      <w:r w:rsidRPr="00BA623D">
        <w:rPr>
          <w:rFonts w:ascii="Garamond" w:hAnsi="Garamond"/>
          <w:i/>
          <w:iCs/>
          <w:lang w:val="en-GB"/>
        </w:rPr>
        <w:t>Scherz</w:t>
      </w:r>
      <w:r w:rsidRPr="00BA623D">
        <w:rPr>
          <w:rFonts w:ascii="Garamond" w:hAnsi="Garamond"/>
          <w:lang w:val="en-GB"/>
        </w:rPr>
        <w:t xml:space="preserve">« bezeichnen können. Das Spiel – verbleiben wir bei diesem Namen – tritt beim Kinde auf, während es Worte verwenden und Gedanken aneinanderfügen lernt. Dieses Spiel folgt wahrscheinlich einem der Triebe, welche das Kind zur Übung seiner Fähigkeiten nötigen (Groos); es stößt dabei auf Lustwirkungen, die sich aus der Wiederholung des Ähnlichen, aus dem Wiederfinden des Bekannten, dem Gleichklang usw. ergeben und als unvermutete Ersparungen an psychischem Aufwand erklären. Es ist nicht zu verwundern, daß diese Lusteffekte das Kind zur Pflege des Spieles antreiben und es veranlassen, dasselbe ohne Rücksicht auf die Bedeutung der Worte und den Zusammenhang der Sätze fortzusetzen. </w:t>
      </w:r>
      <w:r w:rsidRPr="00BA623D">
        <w:rPr>
          <w:rFonts w:ascii="Garamond" w:hAnsi="Garamond"/>
          <w:i/>
          <w:iCs/>
          <w:lang w:val="en-GB"/>
        </w:rPr>
        <w:t>Spiel</w:t>
      </w:r>
      <w:r w:rsidRPr="00BA623D">
        <w:rPr>
          <w:rFonts w:ascii="Garamond" w:hAnsi="Garamond"/>
          <w:lang w:val="en-GB"/>
        </w:rPr>
        <w:t xml:space="preserve"> mit Worten und Gedanken, motiviert durch gewisse Lusteffekte der Ersparung, wäre also die erste Vorstufe des Witzes.</w:t>
      </w:r>
    </w:p>
    <w:p w:rsidR="00BA623D" w:rsidRPr="00BA623D" w:rsidRDefault="00BA623D" w:rsidP="00BA623D">
      <w:pPr>
        <w:pStyle w:val="Sansinterligne"/>
        <w:rPr>
          <w:rFonts w:ascii="Garamond" w:hAnsi="Garamond"/>
          <w:lang w:val="en-GB"/>
        </w:rPr>
      </w:pPr>
      <w:r w:rsidRPr="00BA623D">
        <w:rPr>
          <w:rFonts w:ascii="Garamond" w:hAnsi="Garamond"/>
          <w:lang w:val="en-GB"/>
        </w:rPr>
        <w:t>Diesem Spiel macht die Erstarkung eines Moments ein Ende, das als Kritik oder Vernünftigkeit bezeichnet zu werden verdient. Das Spiel wird nun als sinnlos oder direkt widersinnig verworfen; es wird infolge der Kritik unmöglich. Es ist nun auch ausgeschlossen, anders als zufallsweise aus jenen Quellen des Wiederfindens des Bekannten usw. Lust zu beziehen, es sei denn, daß den Heranwachsenden eine lustvolle Stimmung befalle, welche der Heiterkeit des Kindes ähnlich die kritische Hemmung aufhebt. In diesem Falle allein wird das alte Spiel der Lustgewinnung wieder ermöglicht, aber auf diesen Fall mag der Mensch nicht warten und auf die ihm vertraute Lust nicht verzichten. Er sucht also nach Mitteln, welche ihn von der lustvollen Stimmung unabhängig machen; die weitere Entwicklung zum Witze wird von den beiden Bestrebungen, die Kritik zu vermeiden und die Stimmung zu ersetzen, regiert.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Damit setzt die zweite Vorstufe des Witzes ein, der </w:t>
      </w:r>
      <w:r w:rsidRPr="00BA623D">
        <w:rPr>
          <w:rFonts w:ascii="Garamond" w:hAnsi="Garamond"/>
          <w:i/>
          <w:iCs/>
          <w:lang w:val="en-GB"/>
        </w:rPr>
        <w:t>Scherz</w:t>
      </w:r>
      <w:r w:rsidRPr="00BA623D">
        <w:rPr>
          <w:rFonts w:ascii="Garamond" w:hAnsi="Garamond"/>
          <w:lang w:val="en-GB"/>
        </w:rPr>
        <w:t xml:space="preserve">. Es gilt nun den Lustgewinn des Spieles durchzusetzen und dabei doch den Einspruch der Kritik, der das Lustgefühl nicht aufkommen ließe, zum Schweigen zu bringen. Zu diesem Ziele führt nur ein einziger Weg. Die sinnlose Zusammenstellung von Worten oder die widersinnige Anreihung von Gedanken muß doch einen Sinn haben. Die ganze Kunst der Witzarbeit wird aufgeboten, um solche Worte und solche Gedankenkonstellationen aufzufinden, bei denen diese Bedingung erfüllt ist. Alle technischen Mittel des Witzes finden hier bereits, beim Scherz, Verwendung, auch trifft der Sprachgebrauch zwischen Scherz und Witz keine konsequente </w:t>
      </w:r>
      <w:r w:rsidRPr="00BA623D">
        <w:rPr>
          <w:rFonts w:ascii="Garamond" w:hAnsi="Garamond"/>
          <w:lang w:val="en-GB"/>
        </w:rPr>
        <w:lastRenderedPageBreak/>
        <w:t>Unterscheidung. Was den Scherz vom Witz unterscheidet, ist, daß der Sinn des der Kritik entzogenen Satzes kein wertvoller, kein neuer oder auch nur guter zu sein braucht; es muß sich eben nur so sagen lassen, wenngleich es ungebräuchlich, überflüssig, nutzlos ist, es so zu sagen. Beim Scherz steht die Befriedigung, das von der Kritik Verbotene ermöglicht zu haben, im Vordergrunde.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 bloßer Scherz ist es z. B., wenn Schleiermacher die Eifersucht definiert als die Leidenschaft, die mit Eifer sucht, was Leiden schafft. Ein Scherz ist es, wenn der Professor Kästner, der im 18. Jahrhundert in Göttingen Physik lehrte – und Witze machte –, einen Studenten namens </w:t>
      </w:r>
      <w:r w:rsidRPr="00BA623D">
        <w:rPr>
          <w:rFonts w:ascii="Garamond" w:hAnsi="Garamond"/>
          <w:i/>
          <w:iCs/>
          <w:lang w:val="en-GB"/>
        </w:rPr>
        <w:t>Kriegk</w:t>
      </w:r>
      <w:r w:rsidRPr="00BA623D">
        <w:rPr>
          <w:rFonts w:ascii="Garamond" w:hAnsi="Garamond"/>
          <w:lang w:val="en-GB"/>
        </w:rPr>
        <w:t xml:space="preserve"> bei der Inskription nach seinem Alter fragte und auf die Antwort, er sei dreißig Jahre alt, meinte: Ei, so habe ich ja die Ehre, den 30jährigen Krieg zu sehen </w:t>
      </w:r>
      <w:hyperlink r:id="rId328"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Kleinpaul, 1890.</w:t>
        </w:r>
      </w:hyperlink>
      <w:r w:rsidRPr="00BA623D">
        <w:rPr>
          <w:rFonts w:ascii="Garamond" w:hAnsi="Garamond"/>
          <w:lang w:val="en-GB"/>
        </w:rPr>
        <w:t>. Mit einem Scherz antwortete Meister Rokitansky auf die Frage, welchen Berufen sich seine vier Söhne zugewendet hätten: »Zwei heilen und zwei heulen« (zwei Ärzte und zwei Sänger). Die Auskunft war richtig und darum nicht weiter angreifbar; aber sie fügte nichts hinzu, was nicht in dem in Klammern stehenden Ausdruck enthalten gewesen wäre. Es ist unverkennbar, daß die Antwort die andere Form nur wegen der Lust angenommen hat, welche sich aus der Unifizierung und aus dem Gleichklang der beiden Worte ableitet.</w:t>
      </w:r>
    </w:p>
    <w:p w:rsidR="00BA623D" w:rsidRPr="00BA623D" w:rsidRDefault="00BA623D" w:rsidP="00BA623D">
      <w:pPr>
        <w:pStyle w:val="Sansinterligne"/>
        <w:rPr>
          <w:rFonts w:ascii="Garamond" w:hAnsi="Garamond"/>
          <w:lang w:val="en-GB"/>
        </w:rPr>
      </w:pPr>
      <w:r w:rsidRPr="00BA623D">
        <w:rPr>
          <w:rFonts w:ascii="Garamond" w:hAnsi="Garamond"/>
          <w:lang w:val="en-GB"/>
        </w:rPr>
        <w:t>Ich meine, wir sehen nun endlich klar. Es hat uns in der Bewertung der Techniken des Witzes immer gestört, daß diese nicht dem Witz allein zu eigen sind, und doch schien das Wesen des Witzes an ihnen zu hängen, da mit ihrer Beseitigung durch die Reduktion Witzcharakter und Witzeslust verloren waren. Nun merken wir, was wir als die Techniken des Witzes beschrieben haben – und in gewissem Sinne fortfahren müssen so zu nennen –, das sind vielmehr die Quellen, aus denen der Witz die Lust bezieht, und wir finden es nicht befremdend, daß andere Verfahren zum nämlichen Zweck aus den gleichen Quellen schöpfen. Die dem Witze eigentümliche und ihm allein zukommende Technik besteht aber in seinem Verfahren, die Anwendung dieser lustbereitenden Mittel gegen den Einspruch der Kritik sicherzustellen, welcher die Lust aufheben würde. Wir können von diesem Verfahren wenig Allgemeines aussagen; die Witzarbeit äußert sich, wie schon erwähnt, in der Auswahl eines solchen Wortmaterials und solcher Denksituationen, welche es gestatten, daß das alte Spiel mit Worten und Gedanken die Prüfung der Kritik bestehe, und zu diesem Zwecke müssen alle Eigentümlichkeiten des Wortschatzes und alle Konstellationen des Gedankenzusammenhanges auf das geschickteste ausgenützt werden. Vielleicht werden wir späterhin noch in die Lage kommen, die Witzarbeit durch eine bestimmte Eigenschaft zu charakterisieren; vorläufig bleibt es unerklärt, wie die dem Witze ersprießliche Auswahl getroffen werden kann. Die Tendenz und Leistung des Witzes, die lustbereitenden Wort- und Gedankenverbindungen vor der Kritik zu schützen, stellt sich aber schon beim Scherz als sein wesentliches Merkmal heraus. Von Anfang an besteht seine Leistung darin, innere Hemmungen aufzuheben und durch sie unzugänglich gewordene Lustquellen ergiebig zu machen, und wir werden finden, daß er diesem Charakter durch seine ganze Entwicklung treu bleibt.</w:t>
      </w:r>
    </w:p>
    <w:p w:rsidR="00BA623D" w:rsidRPr="00BA623D" w:rsidRDefault="00BA623D" w:rsidP="00BA623D">
      <w:pPr>
        <w:pStyle w:val="Sansinterligne"/>
        <w:rPr>
          <w:rFonts w:ascii="Garamond" w:hAnsi="Garamond"/>
          <w:lang w:val="en-GB"/>
        </w:rPr>
      </w:pPr>
      <w:r w:rsidRPr="00BA623D">
        <w:rPr>
          <w:rFonts w:ascii="Garamond" w:hAnsi="Garamond"/>
          <w:lang w:val="en-GB"/>
        </w:rPr>
        <w:t>Wir sind nun auch in der Lage, dem Moment des »Sinnes im Unsinn« (vgl. Einleitung, S. 8), welchem von den Autoren eine so große Bedeutung zur Kennzeichnung des Witzes und zur Aufklärung der Lustwirkung beigemessen wird, seine richtige Stellung anzuweisen. Die zwei festen Punkte in der Bedingtheit des Witzes, seine Tendenz, das lustvolle Spiel durchzusetzen, und seine Bemühung, es vor der Kritik der Vernunft zu schützen, erklären ohne weiteres, warum der einzelne Witz, wenn er für die eine Ansicht unsinnig erscheint, für eine andere sinnvoll oder wenigstens zulässig erscheinen muß. Wie er dies macht, das bleibt die Sache der Witzarbeit; wo es ihm nicht gelungen ist, wird er eben als »Unsinn« verworfen. Wir haben es aber auch nicht nötig, die Lustwirkung des Witzes aus dem Widerstreit der Gefühle abzuleiten, die aus dem Sinn und gleichzeitigen Unsinn des Witzes, sei es direkt, sei es auf dem Wege der »Verblüffung und Erleuchtung«, hervorgehen. Ebensowenig besteht für uns eine Nötigung, der Frage näherzutreten, wieso Lust aus der Abwechslung des Für-sinnlos-Haltens und Für-sinnreich-Erkennens des Witzes hervorgehen könne. Die Psychogenese des Witzes hat uns belehrt, daß die Lust des Witzes aus dem Spiel mit Worten oder aus der Entfesselung des Unsinns stammt und daß der Sinn des Witzes nur dazu bestimmt ist, diese Lust gegen die Aufhebung durch die Kritik zu schützen.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Somit wäre das Problem des wesentlichen Charakters des Witzes bereits am Scherz erklärt. Wir dürfen uns der weiteren Entwicklung des Scherzes bis zu ihrer Höhe im tendenziösen Witz zuwenden. Der Scherz stellt noch die Tendenz voran, uns Vergnügen zu bereiten, und begnügt sich damit, daß seine Aussage nicht unsinnig oder völlig gehaltlos erscheine. Wenn diese Aussage selbst eine gehalt- und wertvolle ist, wandelt sich der Scherz zum </w:t>
      </w:r>
      <w:r w:rsidRPr="00BA623D">
        <w:rPr>
          <w:rFonts w:ascii="Garamond" w:hAnsi="Garamond"/>
          <w:i/>
          <w:iCs/>
          <w:lang w:val="en-GB"/>
        </w:rPr>
        <w:t>Witz</w:t>
      </w:r>
      <w:r w:rsidRPr="00BA623D">
        <w:rPr>
          <w:rFonts w:ascii="Garamond" w:hAnsi="Garamond"/>
          <w:lang w:val="en-GB"/>
        </w:rPr>
        <w:t xml:space="preserve">. Ein Gedanke, der unseres Interesses würdig gewesen wäre, auch in schlichtester Form ausgedrückt, ist nun in eine Form gekleidet, die an und für sich unser Wohlgefallen erregen muß </w:t>
      </w:r>
      <w:hyperlink r:id="rId329"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Als Beispiel, welches den Unterschied von Scherz und eigentlichem Witz erkennen läßt, diene das ausgezeichnete Witzwort, mit welchem ein Mitglied des </w:t>
        </w:r>
        <w:r w:rsidRPr="00BA623D">
          <w:rPr>
            <w:rStyle w:val="innerfusslink3"/>
            <w:rFonts w:ascii="Garamond" w:hAnsi="Garamond" w:cs="Arial"/>
            <w:b/>
            <w:bCs/>
            <w:lang w:val="en-GB"/>
          </w:rPr>
          <w:lastRenderedPageBreak/>
          <w:t xml:space="preserve">»Bürgerministeriums« in Österreich die Frage nach der Solidarität des Kabinetts beantwortete: »Wie sollen wir füreinander </w:t>
        </w:r>
        <w:r w:rsidRPr="00BA623D">
          <w:rPr>
            <w:rStyle w:val="innerfusslink3"/>
            <w:rFonts w:ascii="Garamond" w:hAnsi="Garamond" w:cs="Arial"/>
            <w:b/>
            <w:bCs/>
            <w:i/>
            <w:iCs/>
            <w:lang w:val="en-GB"/>
          </w:rPr>
          <w:t>einstehen</w:t>
        </w:r>
        <w:r w:rsidRPr="00BA623D">
          <w:rPr>
            <w:rStyle w:val="innerfusslink3"/>
            <w:rFonts w:ascii="Garamond" w:hAnsi="Garamond" w:cs="Arial"/>
            <w:b/>
            <w:bCs/>
            <w:lang w:val="en-GB"/>
          </w:rPr>
          <w:t xml:space="preserve"> können, wenn wir einander nicht </w:t>
        </w:r>
        <w:r w:rsidRPr="00BA623D">
          <w:rPr>
            <w:rStyle w:val="innerfusslink3"/>
            <w:rFonts w:ascii="Garamond" w:hAnsi="Garamond" w:cs="Arial"/>
            <w:b/>
            <w:bCs/>
            <w:i/>
            <w:iCs/>
            <w:lang w:val="en-GB"/>
          </w:rPr>
          <w:t>ausstehen</w:t>
        </w:r>
        <w:r w:rsidRPr="00BA623D">
          <w:rPr>
            <w:rStyle w:val="innerfusslink3"/>
            <w:rFonts w:ascii="Garamond" w:hAnsi="Garamond" w:cs="Arial"/>
            <w:b/>
            <w:bCs/>
            <w:lang w:val="en-GB"/>
          </w:rPr>
          <w:t xml:space="preserve"> können?« Technik: Verwendung des nämlichen Materials mit geringer (gegensätzlicher) Modifikation; der korrekte und treffende Gedanke: es gibt keine Solidarität ohne persönliches Einvernehmen. Die Gegensätzlichkeit der Modifikation ( </w:t>
        </w:r>
        <w:r w:rsidRPr="00BA623D">
          <w:rPr>
            <w:rStyle w:val="innerfusslink3"/>
            <w:rFonts w:ascii="Garamond" w:hAnsi="Garamond" w:cs="Arial"/>
            <w:b/>
            <w:bCs/>
            <w:i/>
            <w:iCs/>
            <w:lang w:val="en-GB"/>
          </w:rPr>
          <w:t>ein</w:t>
        </w:r>
        <w:r w:rsidRPr="00BA623D">
          <w:rPr>
            <w:rStyle w:val="innerfusslink3"/>
            <w:rFonts w:ascii="Garamond" w:hAnsi="Garamond" w:cs="Arial"/>
            <w:b/>
            <w:bCs/>
            <w:lang w:val="en-GB"/>
          </w:rPr>
          <w:t xml:space="preserve">stehen – </w:t>
        </w:r>
        <w:r w:rsidRPr="00BA623D">
          <w:rPr>
            <w:rStyle w:val="innerfusslink3"/>
            <w:rFonts w:ascii="Garamond" w:hAnsi="Garamond" w:cs="Arial"/>
            <w:b/>
            <w:bCs/>
            <w:i/>
            <w:iCs/>
            <w:lang w:val="en-GB"/>
          </w:rPr>
          <w:t>aus</w:t>
        </w:r>
        <w:r w:rsidRPr="00BA623D">
          <w:rPr>
            <w:rStyle w:val="innerfusslink3"/>
            <w:rFonts w:ascii="Garamond" w:hAnsi="Garamond" w:cs="Arial"/>
            <w:b/>
            <w:bCs/>
            <w:lang w:val="en-GB"/>
          </w:rPr>
          <w:t>stehen) entspricht der vom Gedanken behaupteten Unvereinbarkeit und dient ihr als Darstellung.</w:t>
        </w:r>
      </w:hyperlink>
      <w:r w:rsidRPr="00BA623D">
        <w:rPr>
          <w:rFonts w:ascii="Garamond" w:hAnsi="Garamond"/>
          <w:lang w:val="en-GB"/>
        </w:rPr>
        <w:t>. Gewiß ist eine solche Vergesellschaftung nicht ohne Absicht zustande gekommen, müssen wir denken und werden uns bemühen, die der Bildung des Witzes zugrundeliegende Absicht zu erraten. Eine bereits früher, wie beiläufig gemachte Beobachtung wird uns auf die Spur führen. Wir haben oben bemerkt, daß ein guter Witz uns sozusagen einen Gesamteindruck von Wohlgefallen macht, ohne daß wir imstande wären, unmittelbar zu unterscheiden, welcher Anteil der Lust von der witzigen Form, welcher von dem trefflichen Gedankeninhalt herrührt (S. 99). Wir täuschen uns beständig über diese Aufteilung, überschätzen das eine Mal die Güte des Witzes infolge unserer Bewunderung für den in ihm enthaltenen Gedanken, bald umgekehrt den Wert des Gedankens wegen des Vergnügens, das uns die witzige Einkleidung bereitet. Wir wissen nicht, was uns Vergnügen macht und worüber wir lachen. Diese als tatsächlich anzunehmende Unsicherheit unseres Urteils mag das Motiv für die Bildung des Witzes im eigentlichen Sinne abgegeben haben. Der Gedanke sucht die Witzverkleidung, weil er durch sie sich unserer Aufmerksamkeit empfiehlt, uns bedeutsamer, wertvoller erscheinen kann, vor allem aber, weil dieses Kleid unsere Kritik besticht und verwirrt. Wir haben die Neigung, dem Gedanken zugute zu schreiben, was uns an der witzigen Form gefallen hat, sind auch nicht mehr geneigt, etwas unrichtig zu finden, was uns Vergnügen bereitet hat, um uns so die Quelle einer Lust zu verschütten. Hat der Witz uns zum Lachen gebracht, so ist übrigens die für die Kritik ungünstigste Disposition in uns hergestellt, denn dann ist uns von einem Punkte aus jene Stimmung aufgezwungen worden, der bereits das Spiel genügt hat und die zu ersetzen der Witz mit allen Mitteln bemüht war. Wenngleich wir vorhin festgesetzt haben, daß solcher Witz als harmloser, noch nicht tendenziöser, zu bezeichnen sei, werden wir doch nicht verkennen dürfen, daß strenggenommen nur der Scherz tendenzlos ist, d. h. allein der Absicht, Lust zu erzeugen, dient. Der Witz – mag der in ihm enthaltene Gedanke auch tendenzlos sein, also bloß theoretischem Denkinteresse dienen – ist eigentlich nie tendenzlos; er verfolgt die zweite Absicht, den Gedanken durch Vergrößerung zu fördern und ihn gegen die Kritik zu sichern. Er äußert hier wiederum seine ursprüngliche Natur, indem er sich einer hemmenden und einschränkenden Macht, nun dem kritischen Urteil, entgegenstellt.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Diese erste, über die Lusterzeugung hinausgehende Verwendung des Witzes weist den weiteren den Weg. Der Witz ist nun als ein psychischer Machtfaktor erkannt, dessen Gewicht den Ausschlag geben kann, wenn es in diese oder jene Waagschale fällt. Die großen Tendenzen und Triebe des Seelenlebens nehmen ihn für ihre Zwecke in Dienst. Der ursprünglich tendenzlose Witz, der als ein Spiel begann, kommt </w:t>
      </w:r>
      <w:r w:rsidRPr="00BA623D">
        <w:rPr>
          <w:rFonts w:ascii="Garamond" w:hAnsi="Garamond"/>
          <w:i/>
          <w:iCs/>
          <w:lang w:val="en-GB"/>
        </w:rPr>
        <w:t>sekundär</w:t>
      </w:r>
      <w:r w:rsidRPr="00BA623D">
        <w:rPr>
          <w:rFonts w:ascii="Garamond" w:hAnsi="Garamond"/>
          <w:lang w:val="en-GB"/>
        </w:rPr>
        <w:t xml:space="preserve"> in Beziehung zu Tendenzen, denen sich nichts, was im Seelenleben gebildet wird, auf die Dauer entziehen kann. Wir wissen bereits, was er im Dienste der entblößenden, feindseligen, zynischen, skeptischen Tendenz zu leisten vermag. Beim obszönen Witz, welcher aus der Zote hervorgegangen ist, macht er aus dem ursprünglich die sexuelle Situation störenden Dritten einen Bundesgenossen, vor dem das Weib sich schämen muß, indem er ihn durch Mitteilung seines Lustgewinns besticht. Bei der aggressiven Tendenz verwandelt er den anfänglich indifferenten Zuhörer durch das nämliche Mittel in einen Mithasser oder Mitverächter und schafft dem Feind ein Heer von Gegnern, wo erst nur ein einziger war. Im ersten Falle überwindet er die Hemmungen der Scham und der Wohlanständigkeit durch die Lustprämie, die er bietet; im zweiten aber wirft er wiederum das kritische Urteil um, welches sonst den Streitfall geprüft hätte. Im dritten und vierten Falle, im Dienste der zynischen und skeptischen Tendenz erschüttert er den Respekt vor Institutionen und Wahrheiten, an die der Hörer geglaubt hat, einerseits indem er das Argument verstärkt, anderseits aber, indem er eine neue Art des Angriffs pflegt. Wo das Argument die Kritik des Hörers auf seine Seite zu ziehen sucht, ist der Witz bestrebt, diese Kritik zur Seite zu drängen. Es ist kein Zweifel, daß der Witz den psychologisch wirksameren Weg gewählt hat.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Bei dieser Übersicht über die Leistungen des tendenziösen Witzes hat sich uns in den Vordergrund gedrängt, was leichter zu sehen ist, die Wirkung des Witzes auf den, der ihn hört. Für das Verständnis bedeutsamer sind die Leistungen, die der Witz im Seelenleben desjenigen vollbringt, der ihn macht, oder, wie man einzig richtig sagen sollte, dem er einfällt. Wir haben schon einmal den Vorsatz gefaßt – und finden hier Anlaß, ihn zu erneuern –, daß wir die psychischen Vorgänge des Witzes mit Rücksicht auf ihre Verteilung auf zwei Personen studieren wollen. Vorläufig wollen wir der Vermutung Ausdruck geben, daß der durch den Witz angeregte psychische Vorgang beim Hörer den beim Schöpfer des Witzes in den </w:t>
      </w:r>
      <w:r w:rsidRPr="00BA623D">
        <w:rPr>
          <w:rFonts w:ascii="Garamond" w:hAnsi="Garamond"/>
          <w:lang w:val="en-GB"/>
        </w:rPr>
        <w:lastRenderedPageBreak/>
        <w:t>meisten Fällen nachbildet. Dem äußerlichen Hindernis, welches beim Hörer überwunden werden soll, entspricht eine innere Hemmung beim Witzigen. Zum mindesten ist beim letzteren die Erwartung des äußerlichen Hindernisses als hemmende Vorstellung vorhanden. In einzelnen Fällen ist das innerliche Hindernis, das durch den tendenziösen Witz überwunden wird, evident; von den Witzen des Herrn N. (S. 113) dürfen wir z. B. annehmen, daß sie nicht nur den Hörern den Genuß der Aggression durch Injurien, sondern vor allem ihm die Produktion derselben ermöglichen. Unter den Arten der innerlichen Hemmung oder Unterdrückung wird eine unseres besonderen Interesses würdig sein, weil sie die weitestgehende ist; sie wird mit dem Namen der »Verdrängung« bezeichnet und an ihrer Leistung erkannt, daß sie die ihr verfallenen Regungen sowie deren Abkömmlinge vom Bewußtwerden ausschließt. Wir werden hören, daß der tendenziöse Witz selbst aus solchen der Verdrängung unterliegenden Quellen Lust zu entbinden vermag. Läßt sich in solcher Art, wie oben angedeutet wurde, die Überwindung äußerer Hindernisse auf die innerer Hemmungen und Verdrängungen zurückführen, so darf man sagen, daß der tendenziöse Witz den Hauptcharakter der Witzarbeit, Lust frei zu machen durch Beseitigung von Hemmungen, am deutlichsten von allen Entwicklungsstufen des Witzes erweist. Er verstärkt die Tendenzen, in deren Dienst er sich stellt, indem er ihnen Hilfen aus unterdrückt gehaltenen Regungen zuführt, oder er stellt sich überhaupt in den Dienst unterdrückter Tendenzen.</w:t>
      </w:r>
    </w:p>
    <w:p w:rsidR="00BA623D" w:rsidRPr="00BA623D" w:rsidRDefault="00BA623D" w:rsidP="00BA623D">
      <w:pPr>
        <w:pStyle w:val="Sansinterligne"/>
        <w:rPr>
          <w:rFonts w:ascii="Garamond" w:hAnsi="Garamond"/>
          <w:lang w:val="en-GB"/>
        </w:rPr>
      </w:pPr>
      <w:r w:rsidRPr="00BA623D">
        <w:rPr>
          <w:rFonts w:ascii="Garamond" w:hAnsi="Garamond"/>
          <w:lang w:val="en-GB"/>
        </w:rPr>
        <w:t>Man kann gern zugeben, daß dies die Leistungen des tendenziösen Witzes sind, und wird sich doch besinnen müssen, daß man nicht versteht, auf welche Weise ihm diese Leistungen gelingen können. Seine Macht besteht in dem Lustgewinn, den er aus den Quellen des Spielens mit Worten und des befreiten Unsinnes zieht, und wenn man nach den Eindrücken urteilen soll, die man von den tendenzlosen Scherzen empfangen hat, kann man den Betrag dieser Lust unmöglich für so groß halten, daß man ihr die Kraft zur Aufhebung eingewurzelter Hemmungen und Verdrängungen zutrauen könnte. Es liegt hier in der Tat keine einfache Kraftwirkung, sondern ein verwickelteres Auslösungsverhältnis vor. Anstatt den weiten Umweg darzulegen, auf dem ich zur Einsicht in dieses Verhältnis gelangt bin, werde ich es auf kurzem, synthetischem Wege darzustellen versuchen.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G. Th. Fechner hat in seiner </w:t>
      </w:r>
      <w:r w:rsidRPr="00BA623D">
        <w:rPr>
          <w:rFonts w:ascii="Garamond" w:hAnsi="Garamond"/>
          <w:i/>
          <w:iCs/>
          <w:lang w:val="en-GB"/>
        </w:rPr>
        <w:t>Vorschule der Ästhetik</w:t>
      </w:r>
      <w:r w:rsidRPr="00BA623D">
        <w:rPr>
          <w:rFonts w:ascii="Garamond" w:hAnsi="Garamond"/>
          <w:lang w:val="en-GB"/>
        </w:rPr>
        <w:t xml:space="preserve"> (I. Bd., Kapitel V) das »Prinzip der ästhetischen Hilfe oder Steigerung« aufgestellt, das er in folgenden Worten ausführt: </w:t>
      </w:r>
      <w:r w:rsidRPr="00BA623D">
        <w:rPr>
          <w:rFonts w:ascii="Garamond" w:hAnsi="Garamond"/>
          <w:i/>
          <w:iCs/>
          <w:lang w:val="en-GB"/>
        </w:rPr>
        <w:t>»Aus dem widerspruchslosen Zusammentreffen von Lustbedingungen, die für sich wenig leisten, geht ein größeres, oft viel größeres Lustresultat hervor, als dem Lustwerte der einzelnen Bedingungen für sich entspricht, ein größeres, als daß es als Summe der Einzelwirkungen erklärt werden könnte; ja es kann selbst durch einZusammentreffen dieser Art ein positives Lustergebnis erzielt, die Schwelle der Lust überstiegen werden, wo die einzelnen Faktoren zu schwach dazu sind; nur daß sie vergleichungsweise mit anderen einen Vorteil der Wohlgefälligkeit spürbar werden lassen müssen.«</w:t>
      </w:r>
      <w:hyperlink r:id="rId330" w:anchor="#" w:history="1">
        <w:r w:rsidRPr="00BA623D">
          <w:rPr>
            <w:rStyle w:val="fusslink"/>
            <w:rFonts w:ascii="Garamond" w:hAnsi="Garamond" w:cs="Arial"/>
            <w:b/>
            <w:bCs/>
            <w:color w:val="003399"/>
          </w:rPr>
          <w:t>[Fußnote]</w:t>
        </w:r>
        <w:r w:rsidRPr="00BA623D">
          <w:rPr>
            <w:rStyle w:val="innerfusslink3"/>
            <w:rFonts w:ascii="Garamond" w:hAnsi="Garamond" w:cs="Arial"/>
            <w:b/>
            <w:bCs/>
          </w:rPr>
          <w:t>S. 51 der zweiten Auflage, Leipzig 1897. – Die Hervorhebung ist die Fechners.</w:t>
        </w:r>
      </w:hyperlink>
      <w:r w:rsidRPr="00BA623D">
        <w:rPr>
          <w:rFonts w:ascii="Garamond" w:hAnsi="Garamond"/>
        </w:rPr>
        <w:t xml:space="preserve"> Ich meine, das Thema des Witzes gibt uns nicht viel Gelegenheit, die Richtigkeit dieses Prinzips, der sich an vielen anderen künstlerischen Bildungen erweisen läßt, zu bestätigen. Am Witz haben wir etwas anderes gelernt, was wenigstens in die Nähe dieses Prinzips gehört, daß wir beim Zusammenwirken mehrerer lusterzeugender Faktoren nicht imstande sind, jedem derselben den ihm am Ergebnis wirklich zukommenden Anteil zuzuweisen (siehe S. 100). </w:t>
      </w:r>
      <w:r w:rsidRPr="00BA623D">
        <w:rPr>
          <w:rFonts w:ascii="Garamond" w:hAnsi="Garamond"/>
          <w:lang w:val="en-GB"/>
        </w:rPr>
        <w:t xml:space="preserve">Man kann aber die in dem Prinzip der Hilfe angenommene Situation variieren und für diese neuen Bedingungen eine Reihe von Fragestellungen erzielen, die der Beantwortung würdig wären. Was geschieht allgemein, wenn in einer Konstellation Lustbedingungen mit Unlustbedingungen zusammentreffen? </w:t>
      </w:r>
      <w:r w:rsidRPr="00BA623D">
        <w:rPr>
          <w:rFonts w:ascii="Garamond" w:hAnsi="Garamond"/>
        </w:rPr>
        <w:t xml:space="preserve">Wovon hängt dann das Ergebnis und das Vorzeichen desselben ab? </w:t>
      </w:r>
      <w:r w:rsidRPr="00BA623D">
        <w:rPr>
          <w:rFonts w:ascii="Garamond" w:hAnsi="Garamond"/>
          <w:lang w:val="en-GB"/>
        </w:rPr>
        <w:t>Der Fall des tendenziösen Witzes ist ein spezieller unter diesen Möglichkeiten. Es ist eine Regung oder Strebung vorhanden, welche Lust aus einer bestimmten Quelle entbinden wollte und bei ungehindertem Gewähren auch entbinden würde, außerdem besteht eine andere Strebung, welche dieser Lustentwicklung entgegenwirkt, sie also hemmt oder unterdrückt. Die unterdrückende Strömung muß, wie der Erfolg zeigt, um ein Gewisses stärker sein als die unterdrückte, die darum doch nicht aufgehoben ist.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Nun trete eine zweite Strebung hinzu, die aus dem nämlichen Vorgang Lust entbinden würde, wenn auch von anderen Quellen her, die also der unterdrückten gleichsinnig wirkt. Welches kann in solchem Falle der Erfolg sein? Ein Beispiel wird uns besser orientieren, als diese Schematisierung es könnte. Es bestehe die Strebung, eine gewisse Person zu beschimpfen; dieser stehe aber das Anstandsgefühl, die ästhetische Kultur, so sehr im Wege, daß das Schimpfen unterbleiben muß; könnte es z. B. infolge einer veränderten Affektlage oder Stimmung durchbrechen, so würde dieser Durchbruch der schimpfenden Tendenz nachträglich mit Unlust empfunden werden. Das Schimpfen unterbleibt also. Es biete sich aber die Möglichkeit, aus dem Material der zur Beschimpfung dienenden Worte und Gedanken einen guten Witz zu ziehen, also Lust aus anderen Quellen zu entbinden, denen die nämliche Unterdrückung nicht im Wege steht. Doch müßte diese zweite Lustentwicklung unterbleiben, wenn nicht das Schimpfen zugelassen </w:t>
      </w:r>
      <w:r w:rsidRPr="00BA623D">
        <w:rPr>
          <w:rFonts w:ascii="Garamond" w:hAnsi="Garamond"/>
          <w:lang w:val="en-GB"/>
        </w:rPr>
        <w:lastRenderedPageBreak/>
        <w:t>würde; sowie letzteres aber zugelassen wird, ist mit ihm noch die neue Lustentbindung verbunden. Die Erfahrung am tendenziösen Witze zeigt, daß unter solchen Umständen die unterdrückte Tendenz durch die Hilfe der Witzeslust die Stärke bekommen kann, die sonst stärkere Hemmung zu überwinden. Es wird geschimpft, weil damit der Witz ermöglicht ist. Aber das erzielte Wohlgefallen ist nicht nur das vom Witz erzeugte; es ist unvergleichlich größer, um so viel größer als die Witzeslust, daß wir annehmen müssen, es sei der vorhin unterdrückten Tendenz gelungen, sich etwa ganz ohne Abzug durchzusetzen. Unter diesen Verhältnissen wird beim tendenziösen Witz am ausgiebigsten gelacht.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Vielleicht werden wir durch die Untersuchung der Bedingungen des Lachens dazu kommen, uns eine anschaulichere Vorstellung von dem Vorgang der Hilfe des Witzes gegen die Unterdrückung zu bilden. Wir sehen aber auch jetzt, daß der Fall des tendenziösen Witzes ein Spezialfall des Prinzips der Hilfe ist. Eine Möglichkeit der Lustentwicklung tritt zu einer Situation hinzu, in welcher eine andere Lustmöglichkeit verhindert ist, so daß diese für sich allein keine Lust ergeben würde; das Ergebnis ist eine Lustentwicklung, die weit größer ist als die der hinzugetretenen Möglichkeit. Letztere hat gleichsam als </w:t>
      </w:r>
      <w:r w:rsidRPr="00BA623D">
        <w:rPr>
          <w:rFonts w:ascii="Garamond" w:hAnsi="Garamond"/>
          <w:i/>
          <w:iCs/>
          <w:lang w:val="en-GB"/>
        </w:rPr>
        <w:t>Verlockungsprämie</w:t>
      </w:r>
      <w:r w:rsidRPr="00BA623D">
        <w:rPr>
          <w:rFonts w:ascii="Garamond" w:hAnsi="Garamond"/>
          <w:lang w:val="en-GB"/>
        </w:rPr>
        <w:t xml:space="preserve"> gewirkt; mit Hilfe eines dargebotenen kleinen Betrages von Lust ist ein sehr großer, sonst schwer zu erreichender gewonnen worden. Ich habe guten Grund zu vermuten, daß dieses Prinzip einer Einrichtung entspricht, die sich auf vielen, fern voneinander gelegenen Gebieten des Seelenlebens bewährt, und halte es für zweckmäßig, die zur Auslösung der großen Lustentbindung dienende Lust als </w:t>
      </w:r>
      <w:r w:rsidRPr="00BA623D">
        <w:rPr>
          <w:rFonts w:ascii="Garamond" w:hAnsi="Garamond"/>
          <w:i/>
          <w:iCs/>
          <w:lang w:val="en-GB"/>
        </w:rPr>
        <w:t>Vorlust</w:t>
      </w:r>
      <w:r w:rsidRPr="00BA623D">
        <w:rPr>
          <w:rFonts w:ascii="Garamond" w:hAnsi="Garamond"/>
          <w:lang w:val="en-GB"/>
        </w:rPr>
        <w:t xml:space="preserve"> und das Prinzip als </w:t>
      </w:r>
      <w:r w:rsidRPr="00BA623D">
        <w:rPr>
          <w:rFonts w:ascii="Garamond" w:hAnsi="Garamond"/>
          <w:i/>
          <w:iCs/>
          <w:lang w:val="en-GB"/>
        </w:rPr>
        <w:t>Vorlustprinzip</w:t>
      </w:r>
      <w:r w:rsidRPr="00BA623D">
        <w:rPr>
          <w:rFonts w:ascii="Garamond" w:hAnsi="Garamond"/>
          <w:lang w:val="en-GB"/>
        </w:rPr>
        <w:t xml:space="preserve"> zu bezeichnen.</w:t>
      </w:r>
    </w:p>
    <w:p w:rsidR="00BA623D" w:rsidRPr="00BA623D" w:rsidRDefault="00BA623D" w:rsidP="00BA623D">
      <w:pPr>
        <w:pStyle w:val="Sansinterligne"/>
        <w:rPr>
          <w:rStyle w:val="fusslink"/>
          <w:rFonts w:ascii="Garamond" w:hAnsi="Garamond" w:cs="Arial"/>
          <w:color w:val="8B0000"/>
          <w:lang w:val="en-GB"/>
        </w:rPr>
      </w:pPr>
      <w:r w:rsidRPr="00BA623D">
        <w:rPr>
          <w:rFonts w:ascii="Garamond" w:hAnsi="Garamond"/>
          <w:lang w:val="en-GB"/>
        </w:rPr>
        <w:t xml:space="preserve">Wir können nun die Formel für die Wirkungsweise des tendenziösen Witzes aussprechen: Er stellt sich in den Dienst von Tendenzen, um vermittels der Witzeslust als Vorlust durch die Aufhebung von Unterdrückungen und Verdrängungen neue Lust zu erzeugen. Wenn wir nun seine Entwicklung überschauen, dürfen wir sagen, daß der Witz seinem Wesen von Anfang an bis zu seiner Vollendung treu geblieben ist. Er beginnt als ein Spiel, um Lust aus der freien Verwendung von Worten und Gedanken zu ziehen. Sowie das Erstarken der Vernunft ihm dieses Spiel mit Worten als sinnlos und mit Gedanken als unsinnig verwehrt, wandelt er sich zum Scherz, um diese Lustquellen festhalten und aus der Befreiung des Unsinns neue Lust gewinnen zu können. Als eigentlicher, noch tendenzloser, Witz leiht er dann Gedanken seine Hilfe und stärkt sie gegen die Anfechtung des kritischen Urteils, wobei ihm das Prinzip der Verwechslung der Lustquellen dienlich ist, und endlich tritt er großen, mit der Unterdrückung kämpfenden Tendenzen bei, um nach dem Prinzip der Vorlust innere Hemmungen aufzuheben. Die Vernunft – das kritische Urteil – die Unterdrückung, dies sind die Mächte, die er der Reihe nach bekämpft; die ursprünglichen Wortlustquellen hält er fest und eröffnet sich von der Stufe des Scherzes an neue Lustquellen durch die Aufhebung von Hemmungen. Die Lust, die er erzeugt, sei es nun Spiellust oder Aufhebungslust, können wir alle Male von Ersparung an psychischem Aufwand ableiten, falls solche Auffassung nicht dem Wesen der Lust widerspricht und sich noch anderweitig fruchtbar erweist </w:t>
      </w:r>
      <w:hyperlink r:id="rId331"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Eine kurze nachträgliche Berücksichtigung verdienen noch die Unsinnswitze, die in der Darstellung nicht zu ihrem vollen Recht gelangt sind. </w:t>
        </w:r>
        <w:r w:rsidRPr="00BA623D">
          <w:rPr>
            <w:rFonts w:ascii="Garamond" w:hAnsi="Garamond"/>
            <w:b/>
            <w:lang w:val="en-GB"/>
          </w:rPr>
          <w:br/>
        </w:r>
        <w:r w:rsidRPr="00BA623D">
          <w:rPr>
            <w:rFonts w:ascii="Garamond" w:hAnsi="Garamond"/>
            <w:b/>
            <w:lang w:val="en-GB"/>
          </w:rPr>
          <w:br/>
        </w:r>
        <w:r w:rsidRPr="00BA623D">
          <w:rPr>
            <w:rStyle w:val="innerfusslink3"/>
            <w:rFonts w:ascii="Garamond" w:hAnsi="Garamond" w:cs="Arial"/>
            <w:b/>
            <w:bCs/>
            <w:lang w:val="en-GB"/>
          </w:rPr>
          <w:t xml:space="preserve">Bei der Bedeutung, die unsere Auffassung dem Moment »Sinn im Unsinn« zugesteht, könnte man versucht sein zu fordern, daß jeder Witz ein Unsinnswitz sein müßte. Dies ist aber nicht notwendig, weil nur das Spiel mit Gedanken unvermeidlich zum Unsinn führt, die andere Quelle der Witzeslust, das Spiel mit Worten, diesen Eindruck nur gelegentlich macht und die mit ihm verbundene Kritik nicht regelmäßig aufruft. Die zweifache Wurzel der Witzeslust – aus dem Spiel mit Worten und aus dem Spiel mit Gedanken, die der wichtigsten Einteilung in Wort- und Gedankenwitze entspricht – tritt einer knappen Formulierung allgemeiner Sätze über den Witz als fühlbare Erschwerung entgegen. Das Spielen mit Worten ergibt offenkundige Lust infolge der oben aufgezählten Momente des Erkennens usw. und ist der Unterdrückung infolgedessen nur in geringem Maße unterlegen. Das Spiel mit Gedanken kann durch solche Lust nicht motiviert werden; es ist einer sehr energischen Unterdrückung verfallen, und die Lust, die es liefern kann, ist nur die Lust der aufgehobenen Hemmung; die Witzeslust, kann man demnach sagen, zeige einen Kern von ursprünglicher Spiellust und eine Hülle von Aufhebungslust. – Wir nehmen es natürlich nicht wahr, daß die Lust beim Unsinnswitz daher rührt, daß es uns gelungen ist, einen Unsinn der Unterdrückung zum Trotz frei zu machen, während wir ohne weiteres merken, daß ein Spielen mit Worten uns Lust bereitet hat. – Der Unsinn, der im Gedankenwitz stehengeblieben ist, erwirbt sekundär die Funktion, unsere Aufmerksamkeit durch Verblüffung zu spannen, er dient als Verstärkungsmittel für die Wirkung des Witzes, aber nur dann, wenn er aufdringlich ist, so daß die Verblüffung dem Verständnis um ein deutliches Zeitteilchen </w:t>
        </w:r>
        <w:r w:rsidRPr="00BA623D">
          <w:rPr>
            <w:rStyle w:val="innerfusslink3"/>
            <w:rFonts w:ascii="Garamond" w:hAnsi="Garamond" w:cs="Arial"/>
            <w:b/>
            <w:bCs/>
            <w:lang w:val="en-GB"/>
          </w:rPr>
          <w:lastRenderedPageBreak/>
          <w:t xml:space="preserve">voraneilen kann. Daß der Unsinn im Witze überdies zur Darstellung eines im Gedanken enthaltenen Urteils verwendet werden kann, ist an den Beispielen S. 59 gezeigt worden. Auch dies ist aber nicht die primäre Bedeutung des Unsinns im Witze. </w:t>
        </w:r>
        <w:r w:rsidRPr="00BA623D">
          <w:rPr>
            <w:rFonts w:ascii="Garamond" w:hAnsi="Garamond"/>
            <w:b/>
            <w:lang w:val="en-GB"/>
          </w:rPr>
          <w:br/>
        </w:r>
        <w:r w:rsidRPr="00BA623D">
          <w:rPr>
            <w:rFonts w:ascii="Garamond" w:hAnsi="Garamond"/>
            <w:b/>
            <w:lang w:val="en-GB"/>
          </w:rPr>
          <w:br/>
        </w:r>
        <w:r w:rsidRPr="00BA623D">
          <w:rPr>
            <w:rStyle w:val="innerfusslink3"/>
            <w:rFonts w:ascii="Garamond" w:hAnsi="Garamond" w:cs="Arial"/>
            <w:b/>
            <w:bCs/>
            <w:lang w:val="en-GB"/>
          </w:rPr>
          <w:t xml:space="preserve">An die Unsinnswitze kann man eine Reihe von witzähnlichen Produktionen anschließen, für die es an einem passenden Namen fehlt, die aber auf die Bezeichnung »witzig scheinender Blödsinn« Anspruch haben könnten. Es gibt deren ungezählt viele; ich will nur zwei als Proben herausheben: Ein Mann greift bei Tische, als ihm der Fisch serviert wird, zweimal mit beiden Händen in die Mayonnaise und streicht sie sich dann durch die Haare. Vom Nachbar erstaunt angesehen, scheint er seinen Irrtum zu bemerken und entschuldigt sich: Pardon, ich glaubte, es wäre Spinat. Oder: Das Leben ist eine Kettenbrück', sagt der eine. – Wieso? fragt der andere. – Weiß ich? lautet die Antwort. </w:t>
        </w:r>
        <w:r w:rsidRPr="00BA623D">
          <w:rPr>
            <w:rFonts w:ascii="Garamond" w:hAnsi="Garamond"/>
            <w:b/>
            <w:lang w:val="en-GB"/>
          </w:rPr>
          <w:br/>
        </w:r>
        <w:r w:rsidRPr="00BA623D">
          <w:rPr>
            <w:rFonts w:ascii="Garamond" w:hAnsi="Garamond"/>
            <w:b/>
            <w:lang w:val="en-GB"/>
          </w:rPr>
          <w:br/>
        </w:r>
        <w:r w:rsidRPr="00BA623D">
          <w:rPr>
            <w:rStyle w:val="innerfusslink3"/>
            <w:rFonts w:ascii="Garamond" w:hAnsi="Garamond" w:cs="Arial"/>
            <w:b/>
            <w:bCs/>
            <w:lang w:val="en-GB"/>
          </w:rPr>
          <w:t>Diese extremen Beispiele wirken dadurch, daß sie die Erwartung des Witzes erwecken, so daß man hinter dem Unsinn den verborgenen Sinn zu finden sich bemüht. Man findet aber keinen, sie sind wirklich Unsinn. Unter jener Vorspiegelung ist es für einen Augenblick ermöglicht geworden, die Lust am Unsinn frei zu machen. Diese Witze sind nicht ganz ohne Tendenz; es sind »Aufsitzer«, sie bereiten dem Erzähler eine gewisse Lust, indem sie den Hörer irreführen und ärgern. Letzterer dämpft dann diesen Ärger durch den Vorsatz, selbst zum Erzähler zu werden.</w:t>
        </w:r>
      </w:hyperlink>
    </w:p>
    <w:p w:rsidR="00BA623D" w:rsidRPr="00BA623D" w:rsidRDefault="00BA623D" w:rsidP="00BA623D">
      <w:pPr>
        <w:pStyle w:val="Sansinterligne"/>
        <w:rPr>
          <w:rFonts w:ascii="Garamond" w:hAnsi="Garamond"/>
          <w:lang w:val="en-GB"/>
        </w:rPr>
      </w:pPr>
    </w:p>
    <w:p w:rsidR="007D5EBB" w:rsidRPr="005C1841" w:rsidRDefault="007D5EBB">
      <w:pPr>
        <w:rPr>
          <w:lang w:val="en-GB"/>
        </w:rPr>
      </w:pPr>
      <w:r w:rsidRPr="005C1841">
        <w:rPr>
          <w:lang w:val="en-GB"/>
        </w:rPr>
        <w:br w:type="page"/>
      </w:r>
    </w:p>
    <w:p w:rsidR="00BA623D" w:rsidRPr="00BA623D" w:rsidRDefault="00B437A1" w:rsidP="00BA623D">
      <w:pPr>
        <w:pStyle w:val="Sansinterligne"/>
        <w:rPr>
          <w:rFonts w:ascii="Garamond" w:hAnsi="Garamond"/>
          <w:b/>
        </w:rPr>
      </w:pPr>
      <w:hyperlink w:anchor="Witz_INHALT" w:history="1">
        <w:r w:rsidR="00BA623D" w:rsidRPr="007D5EBB">
          <w:rPr>
            <w:rStyle w:val="Lienhypertexte"/>
            <w:rFonts w:ascii="Garamond" w:hAnsi="Garamond" w:cs="Arial"/>
            <w:b/>
            <w:bCs/>
          </w:rPr>
          <w:t>V. Di</w:t>
        </w:r>
        <w:bookmarkStart w:id="109" w:name="W5"/>
        <w:bookmarkEnd w:id="109"/>
        <w:r w:rsidR="00BA623D" w:rsidRPr="007D5EBB">
          <w:rPr>
            <w:rStyle w:val="Lienhypertexte"/>
            <w:rFonts w:ascii="Garamond" w:hAnsi="Garamond" w:cs="Arial"/>
            <w:b/>
            <w:bCs/>
          </w:rPr>
          <w:t>e Motive des Witzes. Der Witz als sozialer Vorgang</w:t>
        </w:r>
      </w:hyperlink>
    </w:p>
    <w:p w:rsidR="00BA623D" w:rsidRPr="00BA623D" w:rsidRDefault="00BA623D" w:rsidP="00BA623D">
      <w:pPr>
        <w:pStyle w:val="Sansinterligne"/>
        <w:rPr>
          <w:rFonts w:ascii="Garamond" w:hAnsi="Garamond"/>
        </w:rPr>
      </w:pPr>
    </w:p>
    <w:p w:rsidR="00BA623D" w:rsidRPr="00BA623D" w:rsidRDefault="00BA623D" w:rsidP="00BA623D">
      <w:pPr>
        <w:pStyle w:val="Sansinterligne"/>
        <w:rPr>
          <w:rFonts w:ascii="Garamond" w:hAnsi="Garamond"/>
        </w:rPr>
      </w:pPr>
      <w:r w:rsidRPr="00BA623D">
        <w:rPr>
          <w:rFonts w:ascii="Garamond" w:hAnsi="Garamond"/>
        </w:rPr>
        <w:t>Von Motiven des Witzes zu reden schiene überflüssig, da die Absicht, Lust zu gewinnen, als genügendes Motiv der Witzarbeit anerkannt werden muß. Es ist aber einerseits nicht ausgeschlossen, daß nicht noch andere Motive sich an der Produktion des Witzes beteiligen, und anderseits muß mit Hinblick auf gewisse bekannte Erfahrungen das Thema der subjektiven Bedingtheit des Witzes überhaupt aufgestellt werden. Zwei Tatsachen fordern vor allem dazu auf. Obwohl die Witzarbeit ein vortrefflicher Weg ist, um aus den psychischen Vorgängen Lust zu gewinnen, so sieht man doch, daß nicht alle Menschen in gleicher Weise fähig sind, sich dieses Mittels zu bedienen. Die Witzarbeit steht nicht allen zu Gebote, und in ausgiebigem Maße überhaupt nur wenigen Personen, von denen man in auszeichnender Weise aussagt, sie haben Witz. »Witz« erscheint hier als eine besondere Fähigkeit etwa im Range der alten »Seelenvermögen«, und diese erweist sich in ihrem Auftreten als ziemlich unabhängig von den anderen: Intelligenz, Phantasie, Gedächtnis usw. Bei den witzigen Köpfen sind also besondere Anlagen oder psychische Bedingungen vorauszusetzen, welche die Witzarbeit gestatten oder begünstigen.</w:t>
      </w:r>
    </w:p>
    <w:p w:rsidR="00BA623D" w:rsidRPr="00BA623D" w:rsidRDefault="00BA623D" w:rsidP="00BA623D">
      <w:pPr>
        <w:pStyle w:val="Sansinterligne"/>
        <w:rPr>
          <w:rFonts w:ascii="Garamond" w:hAnsi="Garamond"/>
          <w:lang w:val="en-GB"/>
        </w:rPr>
      </w:pPr>
      <w:r w:rsidRPr="00BA623D">
        <w:rPr>
          <w:rFonts w:ascii="Garamond" w:hAnsi="Garamond"/>
          <w:lang w:val="en-GB"/>
        </w:rPr>
        <w:t>Ich fürchte, daß wir es in der Ergründung dieses Themas nicht besonders weit bringen werden. Es gelingt uns nur hie und da, von dem Verständnis eines einzelnen Witzes aus zur Kenntnis der subjektiven Bedingungen in der Seele dessen, der den Witz gemacht hat, vorzudringen. Ganz zufällig trifft es sich, daß gerade das Beispiel von Witz, an welchem wir unsere Untersuchungen über die Witztechnik begonnen haben, uns auch einen Einblick in die subjektive Bedingtheit des Witzes gestattet. Ich meine den Witz von Heine, der auch bei Heymans und Lipps Aufmerksamkeit gefunden hat:</w:t>
      </w:r>
    </w:p>
    <w:p w:rsidR="00BA623D" w:rsidRPr="00BA623D" w:rsidRDefault="00BA623D" w:rsidP="00BA623D">
      <w:pPr>
        <w:pStyle w:val="Sansinterligne"/>
        <w:rPr>
          <w:rFonts w:ascii="Garamond" w:hAnsi="Garamond"/>
          <w:lang w:val="en-GB"/>
        </w:rPr>
      </w:pPr>
      <w:r w:rsidRPr="00BA623D">
        <w:rPr>
          <w:rFonts w:ascii="Garamond" w:hAnsi="Garamond"/>
          <w:lang w:val="en-GB"/>
        </w:rPr>
        <w:t>»... Ich saß neben Salomon Rothschild, und er behandelte mich ganz wie seinesgleichen, ganz famillionär.« (›Bäder von Lucca‹.)</w:t>
      </w:r>
    </w:p>
    <w:p w:rsidR="00BA623D" w:rsidRPr="00BA623D" w:rsidRDefault="00BA623D" w:rsidP="00BA623D">
      <w:pPr>
        <w:pStyle w:val="Sansinterligne"/>
        <w:rPr>
          <w:rFonts w:ascii="Garamond" w:hAnsi="Garamond"/>
          <w:lang w:val="en-GB"/>
        </w:rPr>
      </w:pPr>
      <w:r w:rsidRPr="00BA623D">
        <w:rPr>
          <w:rFonts w:ascii="Garamond" w:hAnsi="Garamond"/>
          <w:lang w:val="en-GB"/>
        </w:rPr>
        <w:t>Dieses Wort hat Heine einer komischen Person in den Mund gelegt, dem Hirsch-Hyacinth, Kollekteur, Operateur und Taxator aus Hamburg, Kammerdiener bei dem vornehmen Baron Cristoforo Gumpelino (vormals Gumpel). Der Dichter empfindet offenbar großes Wohlgefallen an diesem seinem Geschöpf, denn er läßt Hirsch-Hyacinth das große Wort führen und ihn die amüsantesten und freimütigsten Äußerungen vorbringen; er leiht ihm geradezu die praktische Weisheit eines Sancho Pansa. Man muß bedauern, daß Heine, der dramatischer Gestaltung, wie es scheint, nicht zuneigte, die köstliche Figur so bald wieder fallenließ. An nicht wenigen Stellen will es uns scheinen, als spräche aus Hirsch-Hyacinth der Dichter selbst hinter einer dünnen Maske, und bald erlangen wir die Gewißheit, daß diese Person nur eine Selbstparodie des Dichters ist. Hirsch berichtet über die Gründe, weshalb er seinen früheren Namen abgelegt und sich jetzt Hyacinth heiße. »Dazu habe ich noch den Vorteil«, setzt er fort, »daß schon ein H. auf meinem Petschaft steht und ich mir kein neues stechen zu lassen brauche.« Dieselbe Ersparnis hatte aber Heine selbst, als er bei seiner Taufe seinen Vornamen »Harry« gegen »Heinrich« eintauschte. Nun muß jeder, dem des Dichters Lebensgeschichte bekannt ist, sich erinnern, daß Heine in Hamburg, wohin auch die Person des Hirsch-Hyacinth weist, einen Onkel des gleichen Namens besaß, der als der reiche Mann in der Familie die größte Rolle in seinem Leben spielte. Der Onkel hieß auch – Salomon, ganz wie der alte Rothschild, der den armen Hirsch so famillionär aufgenommen. Was im Munde des Hirsch-Hyacinth ein bloßer Scherz schien, zeigt bald einen Hintergrund ernsthafter Bitterkeit, wenn wir es dem Neffen Harry-Heinrich zuschieben. Er gehörte doch zur Familie, ja wir wissen, es war sein heißer Wunsch, eine Tochter dieses Onkels zu heiraten, aber die Cousine wies ihn ab, und der Onkel behandelte ihn immer etwas »famillionär«, als armen Verwandten. Die reichen Vettern in Hamburg nahmen ihn nie als voll; ich erinnere mich der Erzählung einer eigenen alten Tante, die durch Heirat in die Familie Heine gekommen war, daß sie eines Tages als schöne junge Frau einen Sitznachbar an der Familientafel fand, der ihr unappetitlich schien und gegen den die anderen sich geringschätzig benahmen. Sie fühlte sich nicht veranlaßt, herablassender gegen ihn zu sein; erst viele Jahre später erkannte sie, daß der nachlässige und vernachlässigte Vetter der Dichter Heinrich Heine gewesen war. Wie sehr Heine unter dieser Ablehnung seiner reichen Verwandten in seiner Jugendzeit und später gelitten, dürfte aus manchen Zeugnissen bekannt sein. Auf dem Boden solcher subjektiven Ergriffenheit ist dann der Witz »famillionär« erwachsen.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Auch bei manchen anderen Witzen des großen Spötters könnte man ähnliche subjektive Bedingungen vermuten, aber ich weiß kein Beispiel mehr, an dem man solche in ähnlich überzeugender Weise klarlegen könnte; und es ist darum mißlich, über die Natur dieser persönlichen Bedingungen etwas Genaueres aussagen zu wollen; auch wird man ja von vornherein nicht geneigt sein, für jeden Witz ähnlich komplizierte Entstehungsbedingungen in Anspruch zu nehmen. An den witzigen Produktionen anderer berühmter Männer wird uns die gesuchte Einsicht eben nicht leichter zugänglich; man bekommt etwa den Eindruck, daß die subjektiven Bedingungen der Witzarbeit denen der neurotischen Erkrankung oft nicht </w:t>
      </w:r>
      <w:r w:rsidRPr="00BA623D">
        <w:rPr>
          <w:rFonts w:ascii="Garamond" w:hAnsi="Garamond"/>
          <w:lang w:val="en-GB"/>
        </w:rPr>
        <w:lastRenderedPageBreak/>
        <w:t>fernliegen, wenn man z. B. über Lichtenberg erfährt, daß er ein schwer hypochondrischer, mit allerlei Sonderbarkeiten behafteter Mensch war. Die größte Mehrzahl der Witze, besonders der immer neu bei den Anlässen des Tages produzierten, ist anonym in Umlauf; man könnte neugierig fragen, was für Leute es sind, auf die solche Produktion sich zurückführt. Hat man als Arzt die Gelegenheit, eine der Personen kennenzulernen, die, obwohl sonst nicht hervorragend, doch in ihrem Kreise als Witzbolde und Urheber vieler gangbarer Witze bekannt sind, so kann man von der Entdeckung überrascht werden, daß dieser witzige Kopf eine zwiespältige und zu nervösen Erkrankungen disponierte Persönlichkeit ist. Die Unzulänglichkeit der Dokumente wird uns aber sicherlich abhalten, eine solche psychoneurotische Konstitution als regelmäßige oder notwendige subjektive Bedingung der Witzbildung aufzustellen.</w:t>
      </w:r>
    </w:p>
    <w:p w:rsidR="00BA623D" w:rsidRPr="00BA623D" w:rsidRDefault="00BA623D" w:rsidP="00BA623D">
      <w:pPr>
        <w:pStyle w:val="Sansinterligne"/>
        <w:rPr>
          <w:rFonts w:ascii="Garamond" w:hAnsi="Garamond"/>
          <w:lang w:val="en-GB"/>
        </w:rPr>
      </w:pPr>
      <w:r w:rsidRPr="00BA623D">
        <w:rPr>
          <w:rFonts w:ascii="Garamond" w:hAnsi="Garamond"/>
          <w:lang w:val="en-GB"/>
        </w:rPr>
        <w:t>Einen durchsichtigeren Fall ergeben wiederum die Judenwitze, die, wie schon erwähnt, durchweg von Juden selbst gemacht worden sind, während die Judengeschichten anderer Herkunft sich fast nie über das Niveau des komischen Schwankes oder der brutalen Verhöhnung erheben (S. 123). Die Bedingung der Selbstbeteiligung scheint sich hier wie bei Heines Witz »famillionär« herauszustellen und deren Bedeutung darin zu liegen, daß der Person die Kritik oder Aggression direkt erschwert und nur auf Umwegen ermöglicht wird.</w:t>
      </w:r>
    </w:p>
    <w:p w:rsidR="00BA623D" w:rsidRPr="00BA623D" w:rsidRDefault="00BA623D" w:rsidP="00BA623D">
      <w:pPr>
        <w:pStyle w:val="Sansinterligne"/>
        <w:rPr>
          <w:rFonts w:ascii="Garamond" w:hAnsi="Garamond"/>
          <w:lang w:val="en-GB"/>
        </w:rPr>
      </w:pPr>
      <w:r w:rsidRPr="00BA623D">
        <w:rPr>
          <w:rFonts w:ascii="Garamond" w:hAnsi="Garamond"/>
          <w:lang w:val="en-GB"/>
        </w:rPr>
        <w:t>Andere subjektive Bedingungen oder Begünstigungen der Witzarbeit sind weniger in Dunkel gehüllt. Die Triebfeder der Produktion harmloser Witze ist nicht selten der ehrgeizige Drang, seinen Geist zu zeigen, sich darzustellen, ein der Exhibition auf sexuellem Gebiete gleichzusetzender Trieb. Das Vorhandensein zahlreicher gehemmter Triebe, deren Unterdrückung einen gewissen Grad von Labilität bewahrt hat, wird für die Produktion des tendenziösen Witzes die günstigste Disposition ergeben. So können insbesondere einzelne Komponenten der sexuellen Konstitution eines Menschen als Motive der Witzbildung auftreten. Eine ganze Reihe von obszönen Witzen läßt den Schluß auf eine versteckte Exhibitionsneigung ihrer Urheber zu; die tendenziösen Witze der Aggression gelingen denen am besten, in deren Sexualität eine mächtige sadistische Komponente, im Leben mehr oder weniger gehemmt, nachweisbar ist.</w:t>
      </w:r>
    </w:p>
    <w:p w:rsidR="00BA623D" w:rsidRPr="00BA623D" w:rsidRDefault="00BA623D" w:rsidP="00BA623D">
      <w:pPr>
        <w:pStyle w:val="Sansinterligne"/>
        <w:rPr>
          <w:rFonts w:ascii="Garamond" w:hAnsi="Garamond"/>
          <w:lang w:val="en-GB"/>
        </w:rPr>
      </w:pPr>
      <w:r w:rsidRPr="00BA623D">
        <w:rPr>
          <w:rFonts w:ascii="Garamond" w:hAnsi="Garamond"/>
          <w:lang w:val="en-GB"/>
        </w:rPr>
        <w:t>Die zweite Tatsache, die zur Untersuchung der subjektiven Bedingtheit des Witzes auffordert, ist die allgemein bekannte Erfahrung, daß niemand sich begnügen kann, einen Witz für sich allein gemacht zu haben. Mit der Witzarbeit ist der Drang zur Mitteilung des Witzes unabtrennbar verbunden; ja dieser Drang ist so stark, daß er sich oft genug mit Hinwegsetzung über wichtige Bedenken verwirklicht. Auch beim Komischen gewährt die Mitteilung an eine andere Person Genuß; aber sie ist nicht gebieterisch, man kann das Komische, wo man darauf stößt, allein genießen. Den Witz hingegen ist man mitzuteilen genötigt; der psychische Vorgang der Witzbildung scheint mit dem Einfallen des Witzes nicht abgeschlossen, es bleibt etwas übrig, das durch die Mitteilung des Einfalls den unbekannten Vorgang der Witzbildung zum Abschlusse bringen will.</w:t>
      </w:r>
    </w:p>
    <w:p w:rsidR="00BA623D" w:rsidRPr="00BA623D" w:rsidRDefault="00BA623D" w:rsidP="00BA623D">
      <w:pPr>
        <w:pStyle w:val="Sansinterligne"/>
        <w:rPr>
          <w:rFonts w:ascii="Garamond" w:hAnsi="Garamond"/>
          <w:lang w:val="en-GB"/>
        </w:rPr>
      </w:pPr>
      <w:r w:rsidRPr="00BA623D">
        <w:rPr>
          <w:rFonts w:ascii="Garamond" w:hAnsi="Garamond"/>
          <w:lang w:val="en-GB"/>
        </w:rPr>
        <w:t>Wir können zunächst nicht erraten, wodurch der Trieb zur Mitteilung des Witzes begründet sein mag. Aber wir bemerken am Witz eine andere Eigentümlichkeit, die ihn wiederum vom Komischen unterscheidet. Wenn mir das Komische begegnet, so kann ich selbst herzlich darüber lachen; es freut mich allerdings auch, wenn ich durch die Mitteilung desselben einen anderen zum Lachen bringe. Über den Witz, der mir eingefallen ist, den ich gemacht habe, kann ich nicht selbst lachen, trotz des unverkennbaren Wohlgefallens, das ich am Witz empfinde. Es ist möglich, daß mein Bedürfnis nach Mitteilung des Witzes an einen anderen mit diesem mir selbst versagten, beim anderen aber manifesten Lacheffekt des Witzes irgendwie zusammenhängt.</w:t>
      </w:r>
    </w:p>
    <w:p w:rsidR="00BA623D" w:rsidRPr="00BA623D" w:rsidRDefault="00BA623D" w:rsidP="00BA623D">
      <w:pPr>
        <w:pStyle w:val="Sansinterligne"/>
        <w:rPr>
          <w:rFonts w:ascii="Garamond" w:hAnsi="Garamond"/>
          <w:lang w:val="en-GB"/>
        </w:rPr>
      </w:pPr>
      <w:r w:rsidRPr="00BA623D">
        <w:rPr>
          <w:rFonts w:ascii="Garamond" w:hAnsi="Garamond"/>
          <w:lang w:val="en-GB"/>
        </w:rPr>
        <w:t>Warum lache ich nun nicht über meinen eigenen Witz? Und welches ist dabei die Rolle des anderen?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Wenden wir uns zuerst der letzteren Frage zu. Beim Komischen kommen im allgemeinen zwei Personen in Betracht, außer meinem Ich die Person, an der ich das Komische finde; wenn mir Gegenstände komisch erscheinen, geschieht dies durch eine in unserem Vorstellungsleben nicht seltene Art von Personifizierung. Mit diesen beiden Personen, dem Ich und der Objektperson, begnügt sich der komische Vorgang; eine dritte Person kann hinzukommen, wird aber nicht erfordert. Der Witz als ein Spiel mit den eigenen Worten und Gedanken entbehrt zunächst einer Objektperson, aber schon auf der Vorstufe des Scherzes verlangt er, wenn es ihm gelungen ist, Spiel und Unsinn gegen die Einrede der Vernunft sicherzustellen, nach einer anderen Person, welcher er sein Ergebnis mitteilen kann. Diese zweite Person beim Witze entspricht aber nicht der Objektperson, sondern der dritten Person, dem anderen bei der Komik. Es scheint, daß beim Scherz der anderen Person die Entscheidung übertragen wird, ob die Witzarbeit ihre Aufgabe erfüllt hat, als ob das Ich sich seines Urteils darüber nicht sicher wüßte. Auch der harmlose, den Gedanken verstärkende Witz bedarf des anderen, um zu erproben, ob er seine Absicht erreicht hat. Begibt sich der Witz in den Dienst entblößender oder feindseliger Tendenzen, so kann er als psychischer Vorgang zwischen drei Personen beschrieben werden, welche die nämlichen sind wie bei der </w:t>
      </w:r>
      <w:r w:rsidRPr="00BA623D">
        <w:rPr>
          <w:rFonts w:ascii="Garamond" w:hAnsi="Garamond"/>
          <w:lang w:val="en-GB"/>
        </w:rPr>
        <w:lastRenderedPageBreak/>
        <w:t>Komik, aber die Rolle der dritten Person ist eine andere dabei; der psychische Vorgang des Witzes vollendet sich zwischen der ersten, dem Ich, und der dritten, der fremden Person, nicht wie beim Komischen zwischen dem Ich und der Objektperson.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Auch bei der dritten Person des Witzes stößt der Witz auf subjektive Bedingungen, die das Ziel der Lusterregung unerreichbar machen können. Wie Shakespeare mahnt ( </w:t>
      </w:r>
      <w:r w:rsidRPr="00BA623D">
        <w:rPr>
          <w:rFonts w:ascii="Garamond" w:hAnsi="Garamond"/>
          <w:i/>
          <w:iCs/>
          <w:lang w:val="en-GB"/>
        </w:rPr>
        <w:t>Love's Labour's Lost</w:t>
      </w:r>
      <w:r w:rsidRPr="00BA623D">
        <w:rPr>
          <w:rFonts w:ascii="Garamond" w:hAnsi="Garamond"/>
          <w:lang w:val="en-GB"/>
        </w:rPr>
        <w:t>, V. Akt, 2. Szene):</w:t>
      </w:r>
    </w:p>
    <w:p w:rsidR="00BA623D" w:rsidRPr="00BA623D" w:rsidRDefault="00BA623D" w:rsidP="00BA623D">
      <w:pPr>
        <w:pStyle w:val="Sansinterligne"/>
        <w:rPr>
          <w:rFonts w:ascii="Garamond" w:hAnsi="Garamond"/>
          <w:lang w:val="en-GB"/>
        </w:rPr>
      </w:pPr>
      <w:r w:rsidRPr="00BA623D">
        <w:rPr>
          <w:rFonts w:ascii="Garamond" w:hAnsi="Garamond"/>
          <w:i/>
          <w:iCs/>
          <w:lang w:val="en-GB"/>
        </w:rPr>
        <w:t xml:space="preserve">›A jest's prosperity lies in the ear </w:t>
      </w:r>
      <w:r w:rsidRPr="00BA623D">
        <w:rPr>
          <w:rFonts w:ascii="Garamond" w:hAnsi="Garamond"/>
          <w:i/>
          <w:iCs/>
          <w:lang w:val="en-GB"/>
        </w:rPr>
        <w:br/>
        <w:t xml:space="preserve">of him that hears it, never in the tongue </w:t>
      </w:r>
      <w:r w:rsidRPr="00BA623D">
        <w:rPr>
          <w:rFonts w:ascii="Garamond" w:hAnsi="Garamond"/>
          <w:i/>
          <w:iCs/>
          <w:lang w:val="en-GB"/>
        </w:rPr>
        <w:br/>
        <w:t>of him that makes it ...‹</w:t>
      </w:r>
    </w:p>
    <w:p w:rsidR="00BA623D" w:rsidRPr="00BA623D" w:rsidRDefault="00BA623D" w:rsidP="00BA623D">
      <w:pPr>
        <w:pStyle w:val="Sansinterligne"/>
        <w:rPr>
          <w:rFonts w:ascii="Garamond" w:hAnsi="Garamond"/>
          <w:lang w:val="en-GB"/>
        </w:rPr>
      </w:pPr>
      <w:r w:rsidRPr="00BA623D">
        <w:rPr>
          <w:rFonts w:ascii="Garamond" w:hAnsi="Garamond"/>
          <w:lang w:val="en-GB"/>
        </w:rPr>
        <w:t>Wen eine an ernste Gedanken geknüpfte Stimmung beherrscht, der ist ungeeignet, dem Scherz zu bestätigen, daß es ihm geglückt ist, die Wortlust zu retten. Er muß selbst in heiterer oder wenigstens in indifferenter Stimmungslage sein, um für den Scherz die dritte Person abzugeben. Dasselbe Hindernis setzt sich für den harmlosen und für den tendenziösen Witz fort; bei letzterem tritt aber als neues Hindernis der Gegensatz zur Tendenz auf, welcher der Witz dienen will. Die Bereitschaft, über einen ausgezeichneten obszönen Witz zu lachen, kann sich nicht einstellen, wenn die Entblößung eine hochgehaltene Angehörige der dritten Person betrifft; in einer Versammlung von Pfarrern und Pastoren dürfte niemand wagen, die Heineschen Vergleiche katholischer und protestantischer Pfaffen mit Kleinhändlern und Angestellten einer Großhandlung vorzubringen, und vor einem Parterre von ergebenen Freunden meines Gegners würden die witzigsten Invektiven, die ich gegen ihn vorbringen kann, nicht als Witze, sondern als Invektiven zur Geltung kommen, Entrüstung und nicht Lust bei den Hörern erzeugen. Ein Grad von Geneigtheit oder eine gewisse Indifferenz, die Abwesenheit aller Momente, welche starke, der Tendenz gegnerische Gefühle hervorrufen können, ist unerläßliche Bedingung, wenn die dritte Person zur Vollendung des Witzvorganges mitwirken soll.</w:t>
      </w:r>
    </w:p>
    <w:p w:rsidR="00BA623D" w:rsidRPr="00BA623D" w:rsidRDefault="00BA623D" w:rsidP="00BA623D">
      <w:pPr>
        <w:pStyle w:val="Sansinterligne"/>
        <w:rPr>
          <w:rFonts w:ascii="Garamond" w:hAnsi="Garamond"/>
          <w:lang w:val="en-GB"/>
        </w:rPr>
      </w:pPr>
      <w:r w:rsidRPr="00BA623D">
        <w:rPr>
          <w:rFonts w:ascii="Garamond" w:hAnsi="Garamond"/>
          <w:lang w:val="en-GB"/>
        </w:rPr>
        <w:t>Wo solche Hindernisse für die Wirkung des Witzes entfallen, da tritt das Phänomen auf, dem nun unsere Untersuchung gilt, daß die Lust, welche der Witz bereitet hat, sich an der dritten Person deutlicher erweist als an dem Urheber des Witzes. Wir müssen uns begnügen zu sagen: deutlicher, wo wir geneigt wären zu fragen, ob die Lust des Hörers nicht intensiver ist als die des Witzbildners, weil uns, wie begreiflich, die Mittel zur Abmessung und Vergleichung fehlen. Wir sehen aber, daß der Hörer seine Lust durch explosives Lachen bezeugt, nachdem die erste Person den Witz meist mit ernsthaft gespannter Miene vorgebracht hat. Wenn ich einen Witz weitererzähle, den ich selbst gehört habe, muß ich, um seine Wirkung nicht zu verderben, mich bei der Erzählung genauso benehmen wie jener, der ihn gemacht hat. Es ist nun die Frage, ob wir aus dieser Bedingtheit des Lachens über den Witz Rückschlüsse auf den psychischen Vorgang bei der Witzbildung ziehen können.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Es kann nun nicht unsere Absicht sein, hier alles in Betracht zu ziehen, was über die Natur des Lachens behauptet und veröffentlicht worden ist. </w:t>
      </w:r>
      <w:r w:rsidRPr="00BA623D">
        <w:rPr>
          <w:rFonts w:ascii="Garamond" w:hAnsi="Garamond"/>
        </w:rPr>
        <w:t xml:space="preserve">Von solchem Vorhaben mag uns der Satz abschrecken, den Dugas, ein Schüler Ribots, an die Spitze seines Buches </w:t>
      </w:r>
      <w:r w:rsidRPr="00BA623D">
        <w:rPr>
          <w:rFonts w:ascii="Garamond" w:hAnsi="Garamond"/>
          <w:i/>
          <w:iCs/>
        </w:rPr>
        <w:t>La Psychologie du rire</w:t>
      </w:r>
      <w:r w:rsidRPr="00BA623D">
        <w:rPr>
          <w:rFonts w:ascii="Garamond" w:hAnsi="Garamond"/>
        </w:rPr>
        <w:t xml:space="preserve"> (1902) gestellt hat. » </w:t>
      </w:r>
      <w:r w:rsidRPr="00BA623D">
        <w:rPr>
          <w:rFonts w:ascii="Garamond" w:hAnsi="Garamond"/>
          <w:i/>
          <w:iCs/>
        </w:rPr>
        <w:t>Il n'est pas de fait plus banal et plus étudié que le rire; il n'en est pas qui ait eu le don d'exciter davantage la curiosité du vulgaire et celle des philosophes; il n'en est pas sur lequel on ait recueilli plus d'observations et bâti plus de théories, et avec cela il n'en est pas qui demeure plus inexpliqué. On serait tenté de dire avec les sceptiques qu'il faut être content de rire et de ne pas chercher à savoir pourquoi on rit, d'autant que peut-être la réflexion tue le rire, et qu'il serait alors contradictoire qu'elle en découvrit les causes.</w:t>
      </w:r>
      <w:r w:rsidRPr="00BA623D">
        <w:rPr>
          <w:rFonts w:ascii="Garamond" w:hAnsi="Garamond"/>
        </w:rPr>
        <w:t xml:space="preserve">« Hingegen werden wir es uns nicht entgehen lassen, eine Ansicht über den Mechanismus des Lachens für unsere Zwecke zu verwerten, die sich in unseren eigenen Gedankenkreis vortrefflich einfügt. </w:t>
      </w:r>
      <w:r w:rsidRPr="00BA623D">
        <w:rPr>
          <w:rFonts w:ascii="Garamond" w:hAnsi="Garamond"/>
          <w:lang w:val="en-GB"/>
        </w:rPr>
        <w:t xml:space="preserve">Ich meine den Erklärungsversuch von H. Spencer in seinem Aufsatze ›The Physiology of Laughter‹ </w:t>
      </w:r>
      <w:hyperlink r:id="rId332"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H. Spencer, ›The Physiology of Laughter‹ (first published in </w:t>
        </w:r>
        <w:r w:rsidRPr="00BA623D">
          <w:rPr>
            <w:rStyle w:val="innerfusslink3"/>
            <w:rFonts w:ascii="Garamond" w:hAnsi="Garamond" w:cs="Arial"/>
            <w:b/>
            <w:bCs/>
            <w:i/>
            <w:iCs/>
            <w:lang w:val="en-GB"/>
          </w:rPr>
          <w:t>Macmillans Magazine</w:t>
        </w:r>
        <w:r w:rsidRPr="00BA623D">
          <w:rPr>
            <w:rStyle w:val="innerfusslink3"/>
            <w:rFonts w:ascii="Garamond" w:hAnsi="Garamond" w:cs="Arial"/>
            <w:b/>
            <w:bCs/>
            <w:lang w:val="en-GB"/>
          </w:rPr>
          <w:t xml:space="preserve"> for March 1860), </w:t>
        </w:r>
        <w:r w:rsidRPr="00BA623D">
          <w:rPr>
            <w:rStyle w:val="innerfusslink3"/>
            <w:rFonts w:ascii="Garamond" w:hAnsi="Garamond" w:cs="Arial"/>
            <w:b/>
            <w:bCs/>
            <w:i/>
            <w:iCs/>
            <w:lang w:val="en-GB"/>
          </w:rPr>
          <w:t>Essays,</w:t>
        </w:r>
        <w:r w:rsidRPr="00BA623D">
          <w:rPr>
            <w:rStyle w:val="innerfusslink3"/>
            <w:rFonts w:ascii="Garamond" w:hAnsi="Garamond" w:cs="Arial"/>
            <w:b/>
            <w:bCs/>
            <w:lang w:val="en-GB"/>
          </w:rPr>
          <w:t xml:space="preserve"> II. Bd., 1901.</w:t>
        </w:r>
      </w:hyperlink>
      <w:r w:rsidRPr="00BA623D">
        <w:rPr>
          <w:rFonts w:ascii="Garamond" w:hAnsi="Garamond"/>
          <w:lang w:val="en-GB"/>
        </w:rPr>
        <w:t>.</w:t>
      </w:r>
    </w:p>
    <w:p w:rsidR="00BA623D" w:rsidRPr="00BA623D" w:rsidRDefault="00BA623D" w:rsidP="00BA623D">
      <w:pPr>
        <w:pStyle w:val="Sansinterligne"/>
        <w:rPr>
          <w:rFonts w:ascii="Garamond" w:hAnsi="Garamond"/>
        </w:rPr>
      </w:pPr>
      <w:r w:rsidRPr="00BA623D">
        <w:rPr>
          <w:rFonts w:ascii="Garamond" w:hAnsi="Garamond"/>
          <w:lang w:val="en-GB"/>
        </w:rPr>
        <w:t xml:space="preserve">Nach Spencer ist das Lachen ein Phänomen der Abfuhr seelischer Erregung und ein Beweis dafür, daß die psychische Verwendung dieser Erregung plötzlich auf ein Hindernis gestoßen ist. Die psychologische Situation, die in Lachen ausläuft, schildert er in den folgenden Worten: » </w:t>
      </w:r>
      <w:r w:rsidRPr="00BA623D">
        <w:rPr>
          <w:rFonts w:ascii="Garamond" w:hAnsi="Garamond"/>
          <w:i/>
          <w:iCs/>
          <w:lang w:val="en-GB"/>
        </w:rPr>
        <w:t>Laughter naturally results only when consciousness is unawares transferred front great things to small</w:t>
      </w:r>
      <w:r w:rsidRPr="00BA623D">
        <w:rPr>
          <w:rFonts w:ascii="Garamond" w:hAnsi="Garamond"/>
          <w:lang w:val="en-GB"/>
        </w:rPr>
        <w:t xml:space="preserve"> – </w:t>
      </w:r>
      <w:r w:rsidRPr="00BA623D">
        <w:rPr>
          <w:rFonts w:ascii="Garamond" w:hAnsi="Garamond"/>
          <w:i/>
          <w:iCs/>
          <w:lang w:val="en-GB"/>
        </w:rPr>
        <w:t>only when there is what we may call a descending incongruity</w:t>
      </w:r>
      <w:r w:rsidRPr="00BA623D">
        <w:rPr>
          <w:rFonts w:ascii="Garamond" w:hAnsi="Garamond"/>
          <w:lang w:val="en-GB"/>
        </w:rPr>
        <w:t xml:space="preserve">.« </w:t>
      </w:r>
      <w:hyperlink r:id="rId333" w:anchor="#" w:history="1">
        <w:r w:rsidRPr="00BA623D">
          <w:rPr>
            <w:rStyle w:val="fusslink"/>
            <w:rFonts w:ascii="Garamond" w:hAnsi="Garamond" w:cs="Arial"/>
            <w:b/>
            <w:bCs/>
            <w:color w:val="003399"/>
          </w:rPr>
          <w:t>[Fußnote]</w:t>
        </w:r>
        <w:r w:rsidRPr="00BA623D">
          <w:rPr>
            <w:rStyle w:val="innerfusslink3"/>
            <w:rFonts w:ascii="Garamond" w:hAnsi="Garamond" w:cs="Arial"/>
            <w:b/>
            <w:bCs/>
          </w:rPr>
          <w:t xml:space="preserve">Verschiedene Punkte dieser Bestimmung würden bei einer Untersuchung über die komische Lust eine eingehende Prüfung verlangen, die bereits von anderen Autoren vorgenommen worden ist und jedenfalls nicht auf unserem Wege liegt. – In der Erklärung, warum die Abfuhr gerade jene Wege findet, deren Erregung das somatische Bild des Lachens ergibt, scheint mir Spencer nicht glücklich gewesen zu sein. Zu dem vor und seit Darwin ausführlich behandelten, aber immer noch nicht endgültig erledigten Thema der physiologischen Aufklärung des Lachens, also der Ableitung oder Deutung der für das Lachen charakteristischen </w:t>
        </w:r>
        <w:r w:rsidRPr="00BA623D">
          <w:rPr>
            <w:rStyle w:val="innerfusslink3"/>
            <w:rFonts w:ascii="Garamond" w:hAnsi="Garamond" w:cs="Arial"/>
            <w:b/>
            <w:bCs/>
          </w:rPr>
          <w:lastRenderedPageBreak/>
          <w:t>Muskelaktionen, möchte ich einen einzigen Beitrag liefern. Meines Wissens tritt die für das Lächeln bezeichnende Grimasse der Mundwinkelverziehung zuerst beim befriedigten und übersättigten Säugling auf, wenn er eingeschläfert die Brust fahren läßt. Sie ist dort eine richtige Ausdrucksbewegung, da sie dem Entschluß, keine Nahrung mehr aufzunehmen, entspricht, gleichsam ein »Genug« oder vielmehr »Übergenug« darstellt. Dieser ursprüngliche Sinn der lustvollen Übersättigung mag dem Lächeln, welches ja das Grundphänomen des Lachens bleibt, die spätere Beziehung zu den lustvollen Abfuhrvorgängen verschafft haben.</w:t>
        </w:r>
      </w:hyperlink>
    </w:p>
    <w:p w:rsidR="00BA623D" w:rsidRPr="00BA623D" w:rsidRDefault="00BA623D" w:rsidP="00BA623D">
      <w:pPr>
        <w:pStyle w:val="Sansinterligne"/>
        <w:rPr>
          <w:rFonts w:ascii="Garamond" w:hAnsi="Garamond"/>
          <w:lang w:val="en-GB"/>
        </w:rPr>
      </w:pPr>
      <w:r w:rsidRPr="00BA623D">
        <w:rPr>
          <w:rFonts w:ascii="Garamond" w:hAnsi="Garamond"/>
          <w:lang w:val="en-GB"/>
        </w:rPr>
        <w:t xml:space="preserve">In ganz ähnlichem Sinne bezeichnen französische Autoren (Dugas) das Lachen als eine » </w:t>
      </w:r>
      <w:r w:rsidRPr="00BA623D">
        <w:rPr>
          <w:rFonts w:ascii="Garamond" w:hAnsi="Garamond"/>
          <w:i/>
          <w:iCs/>
          <w:lang w:val="en-GB"/>
        </w:rPr>
        <w:t>détente</w:t>
      </w:r>
      <w:r w:rsidRPr="00BA623D">
        <w:rPr>
          <w:rFonts w:ascii="Garamond" w:hAnsi="Garamond"/>
          <w:lang w:val="en-GB"/>
        </w:rPr>
        <w:t xml:space="preserve">«, eine Erscheinung der Entspannung, und auch die Formel A. Bains: » </w:t>
      </w:r>
      <w:r w:rsidRPr="00BA623D">
        <w:rPr>
          <w:rFonts w:ascii="Garamond" w:hAnsi="Garamond"/>
          <w:i/>
          <w:iCs/>
          <w:lang w:val="en-GB"/>
        </w:rPr>
        <w:t>Laughter a release from constraint</w:t>
      </w:r>
      <w:r w:rsidRPr="00BA623D">
        <w:rPr>
          <w:rFonts w:ascii="Garamond" w:hAnsi="Garamond"/>
          <w:lang w:val="en-GB"/>
        </w:rPr>
        <w:t>« scheint mir von der Auffassung Spencers weit weniger abzustehen, als manche Autoren uns glauben machen wollen.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Wir empfinden allerdings das Bedürfnis, den Gedanken Spencers zu modifizieren und die in ihm enthaltenen Vorstellungen zum Teil bestimmter zu fassen, zum Teil abzuändern. Wir würden sagen, das Lachen entstehe, wenn ein früher zur Besetzung gewisser psychischer Wege verwendeter Betrag von psychischer Energie unverwendbar geworden ist, so daß er freie Abfuhr erfahren kann. Wir sind uns klar darüber, welchen »übeln Schein« wir bei solcher Aufstellung auf uns laden, aber wir wagen es, aus der Schrift von Lipps über </w:t>
      </w:r>
      <w:r w:rsidRPr="00BA623D">
        <w:rPr>
          <w:rFonts w:ascii="Garamond" w:hAnsi="Garamond"/>
          <w:i/>
          <w:iCs/>
          <w:lang w:val="en-GB"/>
        </w:rPr>
        <w:t>Komik und Humor</w:t>
      </w:r>
      <w:r w:rsidRPr="00BA623D">
        <w:rPr>
          <w:rFonts w:ascii="Garamond" w:hAnsi="Garamond"/>
          <w:lang w:val="en-GB"/>
        </w:rPr>
        <w:t xml:space="preserve">, aus welcher Aufklärung über mehr als nur über Komik und Humor zu holen ist, zu unserer Deckung den trefflichen Satz zu zitieren: »Schließlich führen psychologische Einzelprobleme immer ziemlich tief in die Psychologie hinein, so daß im Grunde kein psychologisches Problem isoliert sich behandeln läßt« (Lipps, 1898, S. 71). Die Begriffe »psychische Energie«, »Abfuhr« und die Behandlung der psychischen Energie als einer Quantität sind mir zur Denkgewohnheit geworden, seitdem ich begonnen habe, mir die Tatsachen der Psychopathologie philosophisch zurechtzulegen, und bereits in meiner </w:t>
      </w:r>
      <w:r w:rsidRPr="00BA623D">
        <w:rPr>
          <w:rFonts w:ascii="Garamond" w:hAnsi="Garamond"/>
          <w:i/>
          <w:iCs/>
          <w:lang w:val="en-GB"/>
        </w:rPr>
        <w:t>Traumdeutung</w:t>
      </w:r>
      <w:r w:rsidRPr="00BA623D">
        <w:rPr>
          <w:rFonts w:ascii="Garamond" w:hAnsi="Garamond"/>
          <w:lang w:val="en-GB"/>
        </w:rPr>
        <w:t xml:space="preserve"> (</w:t>
      </w:r>
      <w:smartTag w:uri="urn:schemas-microsoft-com:office:smarttags" w:element="metricconverter">
        <w:smartTagPr>
          <w:attr w:name="ProductID" w:val="1900 a"/>
        </w:smartTagPr>
        <w:r w:rsidRPr="00BA623D">
          <w:rPr>
            <w:rFonts w:ascii="Garamond" w:hAnsi="Garamond"/>
            <w:lang w:val="en-GB"/>
          </w:rPr>
          <w:t xml:space="preserve">1900 </w:t>
        </w:r>
        <w:r w:rsidRPr="00BA623D">
          <w:rPr>
            <w:rFonts w:ascii="Garamond" w:hAnsi="Garamond"/>
            <w:i/>
            <w:iCs/>
            <w:lang w:val="en-GB"/>
          </w:rPr>
          <w:t>a</w:t>
        </w:r>
      </w:smartTag>
      <w:r w:rsidRPr="00BA623D">
        <w:rPr>
          <w:rFonts w:ascii="Garamond" w:hAnsi="Garamond"/>
          <w:lang w:val="en-GB"/>
        </w:rPr>
        <w:t xml:space="preserve">) habe ich gleichsinnig mit Lipps die an sich unbewußten psychischen Vorgänge, und nicht die Bewußtseinsinhalte als das »eigentlich psychisch Wirkungsfähige« hinzustellen versucht </w:t>
      </w:r>
      <w:hyperlink r:id="rId334"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Vgl. die Abschnitte in dem zitierten Buch von Lipps, Kapitel VIII. ›Über die psychische Kraft‹ usf. (Dazu </w:t>
        </w:r>
        <w:r w:rsidRPr="00BA623D">
          <w:rPr>
            <w:rStyle w:val="innerfusslink3"/>
            <w:rFonts w:ascii="Garamond" w:hAnsi="Garamond" w:cs="Arial"/>
            <w:b/>
            <w:bCs/>
            <w:i/>
            <w:iCs/>
            <w:lang w:val="en-GB"/>
          </w:rPr>
          <w:t>Traumdeutung</w:t>
        </w:r>
        <w:r w:rsidRPr="00BA623D">
          <w:rPr>
            <w:rStyle w:val="innerfusslink3"/>
            <w:rFonts w:ascii="Garamond" w:hAnsi="Garamond" w:cs="Arial"/>
            <w:b/>
            <w:bCs/>
            <w:lang w:val="en-GB"/>
          </w:rPr>
          <w:t>, VIII.) – »Es gilt also der allgemeine Satz: Die Faktoren des psychischen Lebens sind nicht die Bewußtseinsinhalte, sondern die an sich unbewußten psychischen Vorgänge. Die Aufgabe der Psychologie, falls sie nicht bloß Bewußtseinsinhalte beschreiben will, muß dann darin bestehen, aus der Beschaffenheit der Bewußtseinsinhalte und ihres zeitlichen Zusammenhanges die Natur dieser unbewußten Vorgänge zu erschließen. Die Psychologie muß sein eine Theorie dieser Vorgänge. Eine solche Psychologie wird aber sehr bald finden, daß es gar mancherlei Eigenschaften dieser Vorgänge gibt, die in den entsprechenden Bewußtseinsinhalten nicht repräsentiert sind.« (Lipps, loc. cit. S. 123.)</w:t>
        </w:r>
      </w:hyperlink>
      <w:r w:rsidRPr="00BA623D">
        <w:rPr>
          <w:rFonts w:ascii="Garamond" w:hAnsi="Garamond"/>
          <w:lang w:val="en-GB"/>
        </w:rPr>
        <w:t>. Nur wenn ich von der »Besetzung psychischer Wege« rede, scheine ich mich von den bei Lipps gebräuchlichen Gleichnissen zu entfernen. Die Erfahrungen über die Verschiebbarkeit der psychischen Energie längs gewisser Assoziationsbahnen und über die fast unverwüstliche Erhaltung der Spuren psychischer Vorgänge haben es mir in der Tat nahegelegt, eine solche Verbildlichung für das Unbekannte zu versuchen. Um dem Mißverständnis auszuweichen, muß ich hinzufügen, daß ich keinen Versuch mache, Zellen und Fasern oder die heute ihre Stelle einnehmenden Neuronsysteme als diese psychischen Wege zu proklamieren, wenngleich solche Wege in noch nicht angebbarer Weise durch organische Elemente des Nervensystems darstellbar sein müßten.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Beim Lachen sind also nach unserer Annahme die Bedingungen dafür gegeben, daß eine bisher zur Besetzung verwendete Summe psychischer Energie der freien Abfuhr unterliege, und da zwar nicht jedes Lachen, aber doch gewiß das Lachen über den Witz ein Anzeichen von Lust ist, werden wir geneigt sein, diese Lust auf die Aufhebung der bisherigen Besetzung zu beziehen. Wenn wir sehen, daß der Hörer des Witzes lacht, der Schöpfer desselben nicht lachen kann, darf uns dies soviel besagen als, daß beim Hörer ein Besetzungsaufwand aufgehoben und abgeführt wird, während sich bei der Witzbildung entweder in der Aufhebung oder in der Abfuhrmöglichkeit Hemmnisse ergeben. Den psychischen Vorgang beim Hörer, bei der dritten Person des Witzes, kann man kaum treffender charakterisieren, als wenn man hervorhebt, daß er die Lust des Witzes mit sehr geringem eigenem Aufwand erkauft. Sie wird ihm sozusagen geschenkt. Die Worte des Witzes, die er hört, lassen in ihm notwendig jene Vorstellung oder Gedankenverbindung entstehen, deren Bildung auch bei ihm so große innere Hindernisse entgegenstanden. Er hätte eigene Bemühung anwenden müssen, um sie spontan als erste Person zustande zu bringen, mindestens so viel psychischen Aufwand daransetzen müssen, als der Stärke der Hemmung, Unterdrückung oder Verdrängung derselben entspricht. Diesen psychischen Aufwand hat er sich erspart; nach unseren früheren Erörterungen (vgl. S. 133) würden wir sagen, seine Lust entspreche dieser Ersparung. Nach unserer Einsicht in den Mechanismus des Lachens werden wir vielmehr sagen, die zur </w:t>
      </w:r>
      <w:r w:rsidRPr="00BA623D">
        <w:rPr>
          <w:rFonts w:ascii="Garamond" w:hAnsi="Garamond"/>
          <w:lang w:val="en-GB"/>
        </w:rPr>
        <w:lastRenderedPageBreak/>
        <w:t>Hemmung verwendete Besetzungsenergie sei nun durch die Herstellung der verpönten Vorstellung auf dem Wege der Gehörswahrnehmung plötzlich überflüssig geworden, aufgehoben und darum zur Abfuhr durch das Lachen bereit. Im wesentlichen laufen beide Darstellungen auf das gleiche hinaus, denn der ersparte Aufwand entspricht genau der überflüssig gewordenen Hemmung. Anschaulicher ist aber die letztere Darstellung, denn sie gestattet uns zu sagen, der Hörer des Witzes lache mit dem Betrag von psychischer Energie, der durch die Aufhebung der Hemmungsbesetzung frei geworden ist; er lache diesen Betrag gleichsam ab.</w:t>
      </w:r>
    </w:p>
    <w:p w:rsidR="00BA623D" w:rsidRPr="00BA623D" w:rsidRDefault="00BA623D" w:rsidP="00BA623D">
      <w:pPr>
        <w:pStyle w:val="Sansinterligne"/>
        <w:rPr>
          <w:rFonts w:ascii="Garamond" w:hAnsi="Garamond"/>
          <w:lang w:val="en-GB"/>
        </w:rPr>
      </w:pPr>
      <w:r w:rsidRPr="00BA623D">
        <w:rPr>
          <w:rFonts w:ascii="Garamond" w:hAnsi="Garamond"/>
          <w:lang w:val="en-GB"/>
        </w:rPr>
        <w:t>Wenn die Person, bei der der Witz sich bildet, nicht lachen kann, so deute dies, sagten wir eben, auf eine Abweichung vom Vorgang bei der dritten Person, der entweder die Aufhebung der Hemmungsbesetzung oder die Abfuhrmöglichkeit derselben betrifft. Aber der erstere der beiden Fälle ist unzutreffend, wie wir sofort einsehen müssen. Die Hemmungsbesetzung muß auch bei der ersten Person aufgehoben worden sein, sonst wäre kein Witz geworden, dessen Bildung ja einen solchen Widerstand zu überwinden hatte. Auch wäre es unmöglich, daß die erste Person die Witzeslust empfände, die wir ja von der Aufhebung der Hemmung ableiten mußten. Es erübrigt also nur der andere Fall, daß die erste Person nicht lachen kann, obwohl sie Lust empfindet, weil die Abfuhrmöglichkeit gestört ist. Eine solche Störung in der Ermöglichung der Abfuhr, welche fürs Lachen Bedingung ist, kann sich daraus ergeben, daß die frei gewordene Besetzungsenergie sofort einer anderen endopsychischen Verwendung zugeführt wird. Es ist gut, daß wir auf diese Möglichkeit aufmerksam geworden sind; wir werden ihr alsbald weiteres Interesse zuwenden. Bei der ersten Person des Witzes kann aber eine andere Bedingung, die zum gleichen Ergebnis führt, verwirklicht sein. Es ist vielleicht überhaupt kein äußerungsfähiger Betrag von Energie frei geworden, trotz der erfolgten Aufhebung der Hemmungsbesetzung. Bei der ersten Person des Witzes geht ja die Witzarbeit vor sich, die einem gewissen Betrag von neuem psychischen Aufwand entsprechen muß. Die erste Person bringt also die Kraft selbst auf, welche die Hemmung aufhebt; daraus resultiert für sie sicherlich ein Lustgewinn, im Falle des tendenziösen Witzes sogar ein sehr erheblicher, da die durch die Witzarbeit gewonnene Vorlust selbst die weitere Hemmungsaufhebung übernimmt, aber der Aufwand der Witzarbeit zieht sich in jedem Falle von dem Gewinn bei der Aufhebung der Hemmung ab, der nämliche Aufwand, welcher beim Hörer des Witzes entfällt. Zur Unterstützung des Obenstehenden kann man noch anführen, daß der Witz auch bei der dritten Person seinen Lacheffekt einbüßt, sobald derselben ein Aufwand von Denkarbeit zugemutet wird. Die Anspielungen des Witzes müssen augenfällige sein, die Auslassungen sich leicht ergänzen; mit der Erweckung des bewußten Denkinteresses ist in der Regel die Wirkung des Witzes unmöglich gemacht. Hierin liegt ein wichtiger Unterschied von Witz und Rätsel. Vielleicht, daß die psychische Konstellation während der Witzarbeit der freien Abfuhr des Gewonnenen überhaupt nicht günstig ist. Wir sind hier wohl nicht in der Lage, tiefere Einsicht zu gewinnen; wir haben den einen Teil unseres Problems, warum die dritte Person lacht, besser aufklären können als dessen anderen Teil, warum die erste Person nicht lacht.</w:t>
      </w:r>
    </w:p>
    <w:p w:rsidR="00BA623D" w:rsidRPr="00BA623D" w:rsidRDefault="00BA623D" w:rsidP="00BA623D">
      <w:pPr>
        <w:pStyle w:val="Sansinterligne"/>
        <w:rPr>
          <w:rFonts w:ascii="Garamond" w:hAnsi="Garamond"/>
          <w:lang w:val="en-GB"/>
        </w:rPr>
      </w:pPr>
      <w:r w:rsidRPr="00BA623D">
        <w:rPr>
          <w:rFonts w:ascii="Garamond" w:hAnsi="Garamond"/>
          <w:lang w:val="en-GB"/>
        </w:rPr>
        <w:t>Immerhin sind wir nun, wenn wir diese Anschauungen über die Bedingungen des Lachens und über den psychischen Vorgang bei der dritten Person festhalten, in die Lage versetzt, uns eine ganze Reihe von Eigentümlichkeiten, die vom Witze bekannt, aber nicht verstanden worden sind, befriedigend aufzuklären. Wenn bei der dritten Person ein der Abfuhr fähiger Betrag von Besetzungsenergie frei gemacht werden soll, so sind mehrere Bedingungen zu erfüllen oder als Begünstigungen erwünscht. 1) Es muß gesichert sein, daß die dritte Person diesen Besetzungsaufwand wirklich macht. 2) Es muß verhütet werden, daß derselbe, wenn frei geworden, eine andere psychische Verwendung finde, anstatt sich zur motorischen Abfuhr zu bieten. 3) Es kann nur von Vorteil sein, wenn die frei zu machende Besetzung bei der dritten Person zuvor noch verstärkt, in die Höhe getrieben wird. Allen diesen Absichten dienen gewisse Mittel der Witzarbeit, die wir etwa als sekundäre oder Hilfstechniken zusammenfassen können.</w:t>
      </w:r>
    </w:p>
    <w:p w:rsidR="00BA623D" w:rsidRPr="00BA623D" w:rsidRDefault="00BA623D" w:rsidP="00BA623D">
      <w:pPr>
        <w:pStyle w:val="Sansinterligne"/>
        <w:rPr>
          <w:rFonts w:ascii="Garamond" w:hAnsi="Garamond"/>
        </w:rPr>
      </w:pPr>
      <w:r w:rsidRPr="00BA623D">
        <w:rPr>
          <w:rFonts w:ascii="Garamond" w:hAnsi="Garamond"/>
          <w:lang w:val="en-GB"/>
        </w:rPr>
        <w:t xml:space="preserve">Die erste dieser Bedingungen legt eine der Eignungen der dritten Person als Hörer des Witzes fest. Sie muß durchaus so viel psychische Übereinstimmung mit der ersten Person besitzen, daß sie über die nämlichen inneren Hemmungen verfügt, welche die Witzarbeit bei der ersten überwunden hat. Wer auf Zoten eingestellt ist, der wird von geistreichen entblößenden Witzen keine Lust ableiten können; die Aggressionen des Herrn N. werden bei Ungebildeten, die gewohnt sind, ihrer Schimpflust freien Lauf zu lassen, kein Verständnis finden. Jeder Witz verlangt so sein eigenes Publikum, und über die gleichen Witze zu lachen ist ein Beweis weitgehender psychischer Übereinstimmung. </w:t>
      </w:r>
      <w:r w:rsidRPr="00BA623D">
        <w:rPr>
          <w:rFonts w:ascii="Garamond" w:hAnsi="Garamond"/>
        </w:rPr>
        <w:t xml:space="preserve">Wir sind hier übrigens an einem Punkte angelangt, der uns gestattet, den Vorgang bei der dritten Person noch genauer zu erraten. Dieselbe muß die nämliche Hemmung, welche der Witz bei der ersten Person überwunden hat, gewohnheitsmäßig in sich herstellen können, so daß in ihr, sobald sie den Witz hört, die Bereitschaft zu dieser Hemmung zwangsartig oder automatisch erwacht. Diese Hemmungsbereitschaft, die ich als einen wirklichen </w:t>
      </w:r>
      <w:r w:rsidRPr="00BA623D">
        <w:rPr>
          <w:rFonts w:ascii="Garamond" w:hAnsi="Garamond"/>
        </w:rPr>
        <w:lastRenderedPageBreak/>
        <w:t xml:space="preserve">Aufwand analog einer Mobilmachung im Armeewesen fassen muß, wird gleichzeitig als überflüssig oder als verspätet erkannt und somit </w:t>
      </w:r>
      <w:r w:rsidRPr="00BA623D">
        <w:rPr>
          <w:rFonts w:ascii="Garamond" w:hAnsi="Garamond"/>
          <w:i/>
          <w:iCs/>
        </w:rPr>
        <w:t>in statu nascendi</w:t>
      </w:r>
      <w:r w:rsidRPr="00BA623D">
        <w:rPr>
          <w:rFonts w:ascii="Garamond" w:hAnsi="Garamond"/>
        </w:rPr>
        <w:t xml:space="preserve"> durch Lachen abgeführt </w:t>
      </w:r>
      <w:hyperlink r:id="rId335" w:anchor="#" w:history="1">
        <w:r w:rsidRPr="00BA623D">
          <w:rPr>
            <w:rStyle w:val="fusslink"/>
            <w:rFonts w:ascii="Garamond" w:hAnsi="Garamond" w:cs="Arial"/>
            <w:b/>
            <w:bCs/>
            <w:color w:val="003399"/>
          </w:rPr>
          <w:t>[Fußnote]</w:t>
        </w:r>
        <w:r w:rsidRPr="00BA623D">
          <w:rPr>
            <w:rStyle w:val="innerfusslink3"/>
            <w:rFonts w:ascii="Garamond" w:hAnsi="Garamond" w:cs="Arial"/>
            <w:b/>
            <w:bCs/>
          </w:rPr>
          <w:t xml:space="preserve">Der Gesichtspunkt des </w:t>
        </w:r>
        <w:r w:rsidRPr="00BA623D">
          <w:rPr>
            <w:rStyle w:val="innerfusslink3"/>
            <w:rFonts w:ascii="Garamond" w:hAnsi="Garamond" w:cs="Arial"/>
            <w:b/>
            <w:bCs/>
            <w:i/>
            <w:iCs/>
          </w:rPr>
          <w:t>Status nascendi</w:t>
        </w:r>
        <w:r w:rsidRPr="00BA623D">
          <w:rPr>
            <w:rStyle w:val="innerfusslink3"/>
            <w:rFonts w:ascii="Garamond" w:hAnsi="Garamond" w:cs="Arial"/>
            <w:b/>
            <w:bCs/>
          </w:rPr>
          <w:t xml:space="preserve"> ist von Heymans (Zeitschrift für Psycholog., XI) in etwas anderem Zusammenhange geltend gemacht worden.</w:t>
        </w:r>
      </w:hyperlink>
      <w:r w:rsidRPr="00BA623D">
        <w:rPr>
          <w:rFonts w:ascii="Garamond" w:hAnsi="Garamond"/>
        </w:rPr>
        <w:t>.</w:t>
      </w:r>
    </w:p>
    <w:p w:rsidR="00BA623D" w:rsidRPr="00BA623D" w:rsidRDefault="00BA623D" w:rsidP="00BA623D">
      <w:pPr>
        <w:pStyle w:val="Sansinterligne"/>
        <w:rPr>
          <w:rFonts w:ascii="Garamond" w:hAnsi="Garamond"/>
          <w:lang w:val="en-GB"/>
        </w:rPr>
      </w:pPr>
      <w:r w:rsidRPr="00BA623D">
        <w:rPr>
          <w:rFonts w:ascii="Garamond" w:hAnsi="Garamond"/>
          <w:lang w:val="en-GB"/>
        </w:rPr>
        <w:t>Die zweite Bedingung für die Herstellung der freien Abfuhr, daß eine andersartige Verwendung der frei gewordenen Energie hintangehalten werde, erscheint als die weitaus wichtigere. Sie gibt die theoretische Aufklärung für die Unsicherheit der Witzwirkung, wenn bei dem Hörer durch den im Witze ausgedrückten Gedanken stark erregende Vorstellungen wachgerufen werden, wobei es dann von der Übereinstimmung oder dem Widerspruch zwischen den Tendenzen des Witzes und der den Hörer beherrschenden Gedankenreihe abhängt, ob dem Witzvorgang die Aufmerksamkeit belassen oder entzogen wird. Von noch größerem theoretischen Interesse sind aber eine Reihe von Hilfstechniken des Witzes, welche offenbar der Absicht dienen, die Aufmerksamkeit des Hörers überhaupt vom Witzvorgang abzuziehen, den letzteren automatisch verlaufen zu lassen. Ich sage absichtlich: automatisch und nicht: unbewußt, weil letztere Bezeichnung irreführend wäre. Es handelt sich hier nur darum, die Mehrbesetzung der Aufmerksamkeit von dem psychischen Vorgang beim Anhören des Witzes fernzuhalten, und die Brauchbarkeit dieser Hilfstechniken läßt uns mit Recht vermuten, daß gerade die Aufmerksamkeitsbesetzung an der Überwachung und Neuverwendung von frei gewordener Besetzungsenergie einen großen Anteil hat.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Es scheint überhaupt nicht leicht zu sein, die endopsychische Verwendung entbehrlich gewordener Besetzungen zu vermeiden, denn wir sind ja bei unseren Denkvorgängen beständig in der Übung, solche Besetzungen von einem Weg auf den anderen zu verschieben, ohne von deren Energie etwas durch Abfuhr zu verlieren. Der Witz bedient sich hiezu folgender Mittel. Erstens strebt er einen möglichst kurzen Ausdruck an, um der Aufmerksamkeit weniger Angriffspunkte zu bieten. Zweitens hält er die Bedingung der leichten Verständlichkeit ein (vgl. oben); sowie er Denkarbeit in Anspruch nehmen, eine Auswahl unter verschiedenen Gedankenwegen erfordern würde, müßte er die Wirkung nicht nur durch den unvermeidlichen Denkaufwand, sondern auch durch die Erweckung der Aufmerksamkeit gefährden. Außerdem aber bedient er sich des Kunstgriffs, die Aufmerksamkeit abzulenken, indem er ihr im Ausdruck des Witzes etwas darbietet, was sie fesselt, so daß sich unterdes die Befreiung der Hemmungsbesetzung und deren Abfuhr ungestört durch sie vollziehen kann. Bereits die Auslassungen im Wortlaut des Witzes erfüllen diese Absicht; sie regen zur Ausfüllung der Lücken an und bringen es auf diese Weise zustande, den Witzvorgang von der Aufmerksamkeit zu befreien. Hier wird gleichsam die Technik des Rätsels, welches die Aufmerksamkeit anzieht, in den Dienst der Witzarbeit gestellt. Noch viel wirksamer sind die Fassadenbildungen, die wir zumal bei manchen Gruppen von tendenziösen Witzen gefunden haben (vgl. S. 116). Die syllogistischen Fassaden erfüllen den Zweck, die Aufmerksamkeit durch eine ihr gestellte Aufgabe festzuhalten, in ausgezeichneter Weise. Während wir nachzudenken beginnen, worin wohl diese Antwort gefehlt haben mag, lachen wir bereits; unsere Aufmerksamkeit ist überrumpelt worden, die Abfuhr der frei gewordenen Hemmungsbesetzung ist vollzogen. Das nämliche gilt für die Witze mit komischer Fassade, bei denen die Komik der Witztechnik Hilfsdienste leistet. Eine komische Fassade fördert die Wirkung des Witzes auf mehr als eine Weise, sie ermöglicht nicht nur den Automatismus des Witzvorganges durch die Fesselung der Aufmerksamkeit, sondern erleichtert auch die Abfuhr vom Witz her, indem sie eine Abfuhr vom Komischen her vorausschickt. Die Komik wirkt hier ganz wie eine bestechende Vorlust, und so mögen wir es verstehen, daß manche Witze auf die durch die sonstigen Mittel des Witzes hergestellte Vorlust ganz zu verzichten vermögen und sich nur des Komischen als Vorlust bedienen. Unter den eigentlichen Techniken des Witzes sind es insbesondere die Verschiebung und die Darstellung durch Absurdes, welche außer ihrer sonstigen Eignung auch die für den automatischen Ablauf des Witzvorganges wünschenswerte Ablenkung der Aufmerksamkeit entfalten </w:t>
      </w:r>
      <w:hyperlink r:id="rId336"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An einem Beispiel von Verschiebungswitz möchte ich noch einen anderen interessanten Charakter der Witztechnik erörtern. Die geniale Schauspielerin Gallmeyer soll einmal auf die unerwünschte Frage »Wie alt?« »im Gretchenton und mit verschämtem Augenniederschlag« geantwortet haben: »In Brunn.« Das ist nun das Muster einer Verschiebung; nach dem Alter gefragt, antwortet sie mit der Angabe ihres Geburtsortes, antizipiert also die nächste Frage und gibt zu verstehen: Diese eine Frage möchte ich übergangen wissen. Und doch fühlen wir, daß der Charakter des Witzes hier nicht ungetrübt zum Ausdruck kommt. Das Abspringen von der Frage ist zu klar, die Verschiebung allzu augenfällig. Unsere Aufmerksamkeit versteht sofort, daß es sich um eine beabsichtigte Verschiebung handelt. Bei den anderen Verschiebungswitzen ist die Verschiebung verhüllt, unsere Aufmerksamkeit wird </w:t>
        </w:r>
        <w:r w:rsidRPr="00BA623D">
          <w:rPr>
            <w:rStyle w:val="innerfusslink3"/>
            <w:rFonts w:ascii="Garamond" w:hAnsi="Garamond" w:cs="Arial"/>
            <w:b/>
            <w:bCs/>
            <w:lang w:val="en-GB"/>
          </w:rPr>
          <w:lastRenderedPageBreak/>
          <w:t xml:space="preserve">durch das Bemühen, sie festzustellen, gefesselt. In einem der Verschiebungswitze (S. 57) »Was mache ich um ½7 Uhr in Preßburg?« als Antwort auf die Empfehlung des Reitpferdes ist die Verschiebung gleichfalls eine vordringliche, aber zum Ersatz dafür wirkt sie als unsinnig verwirrend auf die Aufmerksamkeit, während wir beim Verhör der Schauspielerin ihre Verschiebungsantwort sofort unterzubringen wissen. – In anderer Richtung weichen vom Witz die sogenannten » </w:t>
        </w:r>
        <w:r w:rsidRPr="00BA623D">
          <w:rPr>
            <w:rStyle w:val="innerfusslink3"/>
            <w:rFonts w:ascii="Garamond" w:hAnsi="Garamond" w:cs="Arial"/>
            <w:b/>
            <w:bCs/>
            <w:i/>
            <w:iCs/>
            <w:lang w:val="en-GB"/>
          </w:rPr>
          <w:t>Scherzfragen</w:t>
        </w:r>
        <w:r w:rsidRPr="00BA623D">
          <w:rPr>
            <w:rStyle w:val="innerfusslink3"/>
            <w:rFonts w:ascii="Garamond" w:hAnsi="Garamond" w:cs="Arial"/>
            <w:b/>
            <w:bCs/>
            <w:lang w:val="en-GB"/>
          </w:rPr>
          <w:t xml:space="preserve">« ab, die sich sonst der besten Techniken bedienen mögen. Ein Beispiel einer Scherzfrage mit Verschiebungstechnik ist folgendes: Was ist ein Kannibale, der seinen Vater und seine Mutter aufgefressen hat? – Antwort: </w:t>
        </w:r>
        <w:r w:rsidRPr="00BA623D">
          <w:rPr>
            <w:rStyle w:val="innerfusslink3"/>
            <w:rFonts w:ascii="Garamond" w:hAnsi="Garamond" w:cs="Arial"/>
            <w:b/>
            <w:bCs/>
            <w:i/>
            <w:iCs/>
            <w:lang w:val="en-GB"/>
          </w:rPr>
          <w:t>Waise</w:t>
        </w:r>
        <w:r w:rsidRPr="00BA623D">
          <w:rPr>
            <w:rStyle w:val="innerfusslink3"/>
            <w:rFonts w:ascii="Garamond" w:hAnsi="Garamond" w:cs="Arial"/>
            <w:b/>
            <w:bCs/>
            <w:lang w:val="en-GB"/>
          </w:rPr>
          <w:t xml:space="preserve">. – Und wenn er alle seine anderen Verwandten mit dazu gefressen hat? – </w:t>
        </w:r>
        <w:r w:rsidRPr="00BA623D">
          <w:rPr>
            <w:rStyle w:val="innerfusslink3"/>
            <w:rFonts w:ascii="Garamond" w:hAnsi="Garamond" w:cs="Arial"/>
            <w:b/>
            <w:bCs/>
            <w:i/>
            <w:iCs/>
            <w:lang w:val="en-GB"/>
          </w:rPr>
          <w:t>Universalerbe</w:t>
        </w:r>
        <w:r w:rsidRPr="00BA623D">
          <w:rPr>
            <w:rStyle w:val="innerfusslink3"/>
            <w:rFonts w:ascii="Garamond" w:hAnsi="Garamond" w:cs="Arial"/>
            <w:b/>
            <w:bCs/>
            <w:lang w:val="en-GB"/>
          </w:rPr>
          <w:t xml:space="preserve">. – Und wo findet solch ein Scheusal noch Sympathie? – Im </w:t>
        </w:r>
        <w:r w:rsidRPr="00BA623D">
          <w:rPr>
            <w:rStyle w:val="innerfusslink3"/>
            <w:rFonts w:ascii="Garamond" w:hAnsi="Garamond" w:cs="Arial"/>
            <w:b/>
            <w:bCs/>
            <w:i/>
            <w:iCs/>
            <w:lang w:val="en-GB"/>
          </w:rPr>
          <w:t>Konversationslexikon unter S</w:t>
        </w:r>
        <w:r w:rsidRPr="00BA623D">
          <w:rPr>
            <w:rStyle w:val="innerfusslink3"/>
            <w:rFonts w:ascii="Garamond" w:hAnsi="Garamond" w:cs="Arial"/>
            <w:b/>
            <w:bCs/>
            <w:lang w:val="en-GB"/>
          </w:rPr>
          <w:t>. Die Scherzfragen sind darum keine vollen Witze, weil die geforderten witzigen Antworten nicht wie die Anspielungen, Auslassungen usw. des Witzes erraten werden können.</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Wir ahnen bereits und werden es späterhin noch besser einsehen können, daß wir mit der Bedingung der Ablenkung der Aufmerksamkeit keinen unwesentlichen Zug des psychischen Vorganges beim Hörer des Witzes aufgedeckt haben. Im Zusammenhange mit diesem können wir noch anderes verstehen. Erstens, wie es kommt, daß wir beim Witz fast niemals wissen, worüber wir lachen, obwohl wir es durch eine analytische Untersuchung feststellen können. Dieses Lachen ist eben das Ergebnis eines automatischen Vorganges, der erst durch die Fernhaltung unserer bewußten Aufmerksamkeit ermöglicht wurde. Zweitens gewinnen wir das Verständnis für die Eigentümlichkeit des Witzes, seine volle Wirkung auf den Hörer nur zu äußern, wenn er ihm neu ist, ihm als Überraschung entgegentritt. Diese Eigenschaft des Witzes, die seine Kurzlebigkeit bedingt und zur Produktion immer neuer Witze auffordert, leitet sich offenbar davon ab, daß es im Wesen einer Überraschung oder Überrumpelung liegt, kein zweites Mal zu gelingen. Bei einer Wiederholung des Witzes wird die Aufmerksamkeit durch die aufsteigende Erinnerung an das erste Mal geleitet. Von hier aus eröffnet sich dann das Verständnis für den Drang, den gehörten Witz anderen, die ihn noch nicht kennen, zu erzählen. Wahrscheinlich holt man sich ein Stück der infolge mangelnder Neuheit entfallenden Genußmöglichkeit aus dem Eindruck wieder, den der Witz auf den Neuling macht. Und ein analoges Motiv mag den Schöpfer des Witzes getrieben haben, ihn überhaupt dem anderen mitzuteilen.</w:t>
      </w:r>
    </w:p>
    <w:p w:rsidR="00BA623D" w:rsidRPr="00BA623D" w:rsidRDefault="00BA623D" w:rsidP="00BA623D">
      <w:pPr>
        <w:pStyle w:val="Sansinterligne"/>
        <w:rPr>
          <w:rFonts w:ascii="Garamond" w:hAnsi="Garamond"/>
          <w:lang w:val="en-GB"/>
        </w:rPr>
      </w:pPr>
      <w:r w:rsidRPr="00BA623D">
        <w:rPr>
          <w:rFonts w:ascii="Garamond" w:hAnsi="Garamond"/>
          <w:lang w:val="en-GB"/>
        </w:rPr>
        <w:t>Als Begünstigungen, wenn auch nicht mehr als Bedingungen, des Witzvorganges führe ich zu dritt jene technischen Hilfsmittel der Witzarbeit an, welche dazu bestimmt sind, den zur Abfuhr gelangenden Betrag zu erhöhen, und die auf solche Art die Wirkung des Witzes steigern. Dieselben steigern zwar zumeist auch die dem Witz zugewandte Aufmerksamkeit, machen aber deren Einfluß wieder unschädlich, indem sie die Aufmerksamkeit gleichzeitig fesseln und in ihrer Beweglichkeit hemmen. Alles, was Interesse und Verblüffung hervorruft, wirkt nach diesen beiden Richtungen, also vor allem das Unsinnige, ebenso der Gegensatz, der »Vorstellungskontrast«, den manche Autoren zum wesentlichen Charakter des Witzes machen wollten, in dem ich aber nichts anderes als ein Verstärkungsmittel zur Wirkung desselben erblicken kann. Alles Verblüffende ruft beim Hörer jenen Zustand der Energieverteilung hervor, den Lipps als »psychische Stauung« bezeichnet hat, und er hat wohl auch recht anzunehmen, daß die »Entladung« um so stärker ausfällt, je höher die vorherige Stauung war. Die Darstellung von Lipps bezieht sich zwar nicht ausdrücklich auf den Witz, sondern auf das Komische überhaupt; aber es kann uns sehr wahrscheinlich vorkommen, daß die Abfuhr beim Witze, welche eine Hemmungsbesetzung entladet, in gleicher Weise durch die Stauung in die Höhe gebracht wird.</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Es leuchtet uns nun ein, daß die Technik des Witzes überhaupt von zweierlei Tendenzen bestimmt wird, solchen, welche die Bildung des Witzes bei der ersten Person ermöglichen, und anderen, welche dem Witz eine möglichst große Lustwirkung bei der dritten Person gewährleisten sollen. Die janusartige Doppelgesichtigkeit des Witzes, welche dessen ursprünglichen Lustgewinn gegen die Anfechtung der kritischen Vernünftigkeit sicherstellt, und der Vorlustmechanismus gehören der ersteren Tendenz an; die weitere Komplikation der Technik durch die in diesem Abschnitt ausgeführten Bedingungen ergibt sich aus der Rücksicht auf die dritte Person des Witzes. Der Witz ist so ein an sich doppelzüngiger Schelm, der gleichzeitig zweien Herren dient. Alles, was auf Lustgewinnung abzielt, ist beim Witz auf die dritte Person berechnet, als ob innere, nicht zu überwindende Hindernisse bei der ersten Person einer solchen im Wege stünden. Man bekommt so den vollen Eindruck von der Unentbehrlichkeit dieser dritten Person für die Vollendung des Witzvorganges. Während wir aber ziemlich guten Einblick in die Natur dieses Vorganges bei der dritten Person gewinnen konnten, verspüren wir, daß der entsprechende Vorgang bei der ersten Person uns noch durch ein Dunkel verhüllt wird. Von den beiden Fragen: Warum können wir über den selbstgemachten Witz nicht lachen? und: Warum sind wir getrieben, den eigenen Witz dem anderen zu </w:t>
      </w:r>
      <w:r w:rsidRPr="00BA623D">
        <w:rPr>
          <w:rFonts w:ascii="Garamond" w:hAnsi="Garamond"/>
          <w:lang w:val="en-GB"/>
        </w:rPr>
        <w:lastRenderedPageBreak/>
        <w:t xml:space="preserve">erzählen? hat sich die erste bisher unserer Beantwortung entzogen. Wir können nur vermuten, daß zwischen den beiden aufzuklärenden Tatsachen ein inniger Zusammenhang besteht, daß wir </w:t>
      </w:r>
      <w:r w:rsidRPr="00BA623D">
        <w:rPr>
          <w:rFonts w:ascii="Garamond" w:hAnsi="Garamond"/>
          <w:i/>
          <w:iCs/>
          <w:lang w:val="en-GB"/>
        </w:rPr>
        <w:t>darum</w:t>
      </w:r>
      <w:r w:rsidRPr="00BA623D">
        <w:rPr>
          <w:rFonts w:ascii="Garamond" w:hAnsi="Garamond"/>
          <w:lang w:val="en-GB"/>
        </w:rPr>
        <w:t xml:space="preserve"> genötigt sind, unseren Witz dem anderen mitzuteilen, </w:t>
      </w:r>
      <w:r w:rsidRPr="00BA623D">
        <w:rPr>
          <w:rFonts w:ascii="Garamond" w:hAnsi="Garamond"/>
          <w:i/>
          <w:iCs/>
          <w:lang w:val="en-GB"/>
        </w:rPr>
        <w:t>weil</w:t>
      </w:r>
      <w:r w:rsidRPr="00BA623D">
        <w:rPr>
          <w:rFonts w:ascii="Garamond" w:hAnsi="Garamond"/>
          <w:lang w:val="en-GB"/>
        </w:rPr>
        <w:t xml:space="preserve"> wir selbst über ihn nicht zu lachen vermögen. Aus unseren Einsichten in die Bedingungen der Lustgewinnung und -abfuhr bei der dritten Person können wir für die erste den Rückschluß ziehen, daß bei ihr die Bedingungen für die Abfuhr fehlen, die für die Lustgewinnung etwa erst unvollständig erfüllt sind. Es ist dann nicht abzuweisen, daß wir unsere Lust ergänzen, indem wir das uns unmögliche Lachen auf dem Umweg über den Eindruck der zum Lachen gebrachten Person erreichen. Wir lachen so gleichsam » </w:t>
      </w:r>
      <w:r w:rsidRPr="00BA623D">
        <w:rPr>
          <w:rFonts w:ascii="Garamond" w:hAnsi="Garamond"/>
          <w:i/>
          <w:iCs/>
          <w:lang w:val="en-GB"/>
        </w:rPr>
        <w:t>par ricochet</w:t>
      </w:r>
      <w:r w:rsidRPr="00BA623D">
        <w:rPr>
          <w:rFonts w:ascii="Garamond" w:hAnsi="Garamond"/>
          <w:lang w:val="en-GB"/>
        </w:rPr>
        <w:t>«, wie Dugas es ausdrückt. Das Lachen gehört zu den im hohen Grade ansteckenden Äußerungen psychischer Zustände; wenn ich den anderen durch die Mitteilung meines Witzes zum Lachen bringe, bediene ich mich seiner eigentlich, um mein eigenes Lachen zu erwecken, und man kann wirklich beobachten, daß, wer zuerst mit ernster Miene den Witz erzählt hat, dann in das Gelächter des anderen mit einer gemäßigten Lache einstimmt. Die Mitteilung meines Witzes an den anderen dürfte also mehreren Absichten dienen, erstens mir die objektive Gewißheit von dem Gelingen der Witzarbeit zu geben, zweitens meine eigene Lust durch die Rückwirkung von diesem anderen auf mich zu ergänzen, drittens – bei der Wiederholung eines nicht selbstproduzierten Witzes – der Lusteinbuße durch Wegfall der Neuheit abzuhelfen.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Am Ende dieser Erörterungen über die psychischen Vorgänge des Witzes, insofern sie sich zwischen zwei Personen abspielen, können wir einen Rückblick auf das Moment der Ersparung werfen, welches uns für bedeutsam für die psychologische Auffassung des Witzes seit der ersten Aufklärung über die Technik desselben vorschwebt. Von der nächstliegenden, aber auch einfältigsten Auffassung dieser Ersparung, es handle sich bei ihr um die Vermeidung von psychischem Aufwand überhaupt, wie ihn die möglichste Einschränkung im Gebrauche von Worten und in der Herstellung von Gedankenzusammenhängen mit sich brächte, sind wir längst abgekommen. Wir sagten uns schon damals: Knapp, lakonisch, ist noch nicht witzig. Die Kürze des Witzes ist eine besondere, eben die »witzige« Kürze. Der ursprüngliche Lustgewinn, den das Spiel mit Worten und Gedanken brachte, rührte allerdings von bloßer Ersparnis an Aufwand her, aber mit der Entwicklung des Spieles zum Witze mußte auch die Spartendenz ihre Ziele verlegen, denn gegen den riesigen Aufwand unserer Denktätigkeit käme, was durch Gebrauch der nämlichen Worte oder Vermeidung einer neuen Gedankenfügung erspart würde, sicherlich nicht in Betracht. Wir dürfen uns wohl den Vergleich der psychischen Ökonomie mit einem Geschäftsbetrieb gestatten. Solange in diesem der Umsatz sehr klein ist, kommt es allerdings darauf an, daß im ganzen wenig verbraucht, die Kosten der Regie aufs äußerste eingeschränkt werden. </w:t>
      </w:r>
      <w:r w:rsidRPr="00BA623D">
        <w:rPr>
          <w:rFonts w:ascii="Garamond" w:hAnsi="Garamond"/>
        </w:rPr>
        <w:t xml:space="preserve">Die Sparsamkeit geht noch auf die absolute Höhe des Aufwandes. Späterhin, wenn sich der Betrieb vergrößert hat, tritt die Bedeutung der Regiekosten zurück; es liegt nichts mehr daran, zu welcher Höhe sich der Betrag des Aufwandes erhebt, wenn nur Umsatz und Ertrag groß genug gesteigert werden können. Zurückhaltung im Aufwande für den Geschäftsbetrieb wäre kleinlich, ja direkt verlustbringend. Dennoch wäre es unrichtig anzunehmen, bei dem absolut großen Aufwande gäbe es keinen Raum mehr für die Spartendenz. Der zur Ersparung neigende Sinn des Chefs wird sich nun der Sparsamkeit im einzelnen zuwenden und sich befriedigt fühlen, wenn dieselbe Veranstaltung nun mit geringeren Kosten besorgt werden kann, die vorher größere Kosten zu verursachen pflegte, so gering auch die Ersparnis im Verhältnis zur Höhe des Gesamtaufwandes erscheinen mag. In ganz analoger Weise bleibt auch in unserem komplizierten psychischen Betrieb die detaillierte Ersparung eine Quelle der Lust, wie alltägliche Vorkommnisse uns zeigen können. Wer früher in seinem Zimmer eine Gaslampe brennen hatte und sich nun auf elektrisches Licht eingerichtet hat, der wird eine ganze Zeitlang ein deutliches Lustgefühl verspüren, wenn er den elektrischen Hahn umlegt, so lange nämlich, als in jenem Moment die Erinnerung in ihm lebendig wird an die komplizierten Verrichtungen, die zur Entzündung der Gaslampe erforderlich waren. Ebenso werden die im Vergleich zum psychischen Gesamtaufwand geringfügigen Ersparungen an psychischem Hemmungsaufwand, die der Witz zustande bringt, eine Quelle der Lust für uns bleiben, weil durch sie ein einzelner Aufwand erspart wird, den wir zu machen gewohnt sind und den wir auch diesmal zu machen schon in Bereitschaft waren. </w:t>
      </w:r>
      <w:r w:rsidRPr="00BA623D">
        <w:rPr>
          <w:rFonts w:ascii="Garamond" w:hAnsi="Garamond"/>
          <w:lang w:val="en-GB"/>
        </w:rPr>
        <w:t>Das Moment, daß der Aufwand ein erwarteter, vorbereiteter ist, tritt unverkennbar in den Vordergrund.</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Eine lokalisierte Ersparung, wie die eben betrachtete, wird nicht verfehlen, uns momentane Lust zu bereiten, aber eine dauernde Erleichterung wird durch sie nicht herbeigeführt, solange das hier Ersparte an anderer Stelle zur Verwendung kommen kann. Erst wenn diese anderweitige Verfügung vermieden werden kann, wandelt sich die spezielle Ersparung wieder in eine allgemeine Erleichterung des psychischen Aufwandes um. So tritt für uns mit besserer Einsicht in die psychischen Vorgänge des Witzes das Moment der Erleichterung an die Stelle der Ersparung. Erstere ergibt offenbar das größere Lustgefühl. </w:t>
      </w:r>
      <w:r w:rsidRPr="00BA623D">
        <w:rPr>
          <w:rFonts w:ascii="Garamond" w:hAnsi="Garamond"/>
          <w:lang w:val="en-GB"/>
        </w:rPr>
        <w:lastRenderedPageBreak/>
        <w:t>Der Vorgang bei der ersten Person des Witzes erzeugt Lust durch Aufhebung von Hemmung, Verringerung des lokalen Aufwandes; er scheint nun nicht eher zur Ruhe zu kommen, als bis er durch die Vermittlung der eingeschobenen dritten Person die allgemeine Erleichterung durch die Abfuhr erzielt hat.</w:t>
      </w:r>
    </w:p>
    <w:p w:rsidR="00BA623D" w:rsidRPr="00BA623D" w:rsidRDefault="00BA623D" w:rsidP="00BA623D">
      <w:pPr>
        <w:pStyle w:val="Sansinterligne"/>
        <w:rPr>
          <w:rFonts w:ascii="Garamond" w:hAnsi="Garamond"/>
          <w:b/>
          <w:color w:val="F38030"/>
          <w:lang w:val="en-GB"/>
        </w:rPr>
      </w:pPr>
    </w:p>
    <w:p w:rsidR="00BA623D" w:rsidRPr="00BA623D" w:rsidRDefault="00BA623D" w:rsidP="00BA623D">
      <w:pPr>
        <w:pStyle w:val="Sansinterligne"/>
        <w:rPr>
          <w:rFonts w:ascii="Garamond" w:hAnsi="Garamond"/>
          <w:b/>
          <w:color w:val="F38030"/>
          <w:lang w:val="en-GB"/>
        </w:rPr>
      </w:pPr>
      <w:r w:rsidRPr="00BA623D">
        <w:rPr>
          <w:rFonts w:ascii="Garamond" w:hAnsi="Garamond"/>
          <w:b/>
          <w:color w:val="F38030"/>
          <w:lang w:val="en-GB"/>
        </w:rPr>
        <w:t>C. Theoretischer Teil</w:t>
      </w:r>
    </w:p>
    <w:p w:rsidR="00BA623D" w:rsidRPr="00BA623D" w:rsidRDefault="00BA623D" w:rsidP="00BA623D">
      <w:pPr>
        <w:pStyle w:val="Sansinterligne"/>
        <w:rPr>
          <w:rFonts w:ascii="Garamond" w:hAnsi="Garamond"/>
          <w:b/>
          <w:lang w:val="en-GB"/>
        </w:rPr>
      </w:pPr>
    </w:p>
    <w:p w:rsidR="007D5EBB" w:rsidRPr="005C1841" w:rsidRDefault="007D5EBB">
      <w:pPr>
        <w:rPr>
          <w:lang w:val="en-US"/>
        </w:rPr>
      </w:pPr>
      <w:r w:rsidRPr="005C1841">
        <w:rPr>
          <w:lang w:val="en-US"/>
        </w:rPr>
        <w:br w:type="page"/>
      </w:r>
    </w:p>
    <w:p w:rsidR="00BA623D" w:rsidRPr="00BA623D" w:rsidRDefault="00B437A1" w:rsidP="00BA623D">
      <w:pPr>
        <w:pStyle w:val="Sansinterligne"/>
        <w:rPr>
          <w:rFonts w:ascii="Garamond" w:hAnsi="Garamond"/>
          <w:b/>
          <w:lang w:val="en-GB"/>
        </w:rPr>
      </w:pPr>
      <w:hyperlink w:anchor="Witz_INHALT" w:history="1">
        <w:r w:rsidR="00BA623D" w:rsidRPr="007D5EBB">
          <w:rPr>
            <w:rStyle w:val="Lienhypertexte"/>
            <w:rFonts w:ascii="Garamond" w:hAnsi="Garamond" w:cs="Arial"/>
            <w:b/>
            <w:bCs/>
            <w:lang w:val="en-GB"/>
          </w:rPr>
          <w:t>VI. Di</w:t>
        </w:r>
        <w:bookmarkStart w:id="110" w:name="W6"/>
        <w:bookmarkEnd w:id="110"/>
        <w:r w:rsidR="00BA623D" w:rsidRPr="007D5EBB">
          <w:rPr>
            <w:rStyle w:val="Lienhypertexte"/>
            <w:rFonts w:ascii="Garamond" w:hAnsi="Garamond" w:cs="Arial"/>
            <w:b/>
            <w:bCs/>
            <w:lang w:val="en-GB"/>
          </w:rPr>
          <w:t>e Beziehung des Witzes zum Traum und zum Unbewußten</w:t>
        </w:r>
      </w:hyperlink>
    </w:p>
    <w:p w:rsidR="00BA623D" w:rsidRPr="00BA623D" w:rsidRDefault="00BA623D" w:rsidP="00BA623D">
      <w:pPr>
        <w:pStyle w:val="Sansinterligne"/>
        <w:rPr>
          <w:rFonts w:ascii="Garamond" w:hAnsi="Garamond"/>
          <w:lang w:val="en-GB"/>
        </w:rPr>
      </w:pPr>
    </w:p>
    <w:p w:rsidR="00BA623D" w:rsidRPr="00BA623D" w:rsidRDefault="00BA623D" w:rsidP="00BA623D">
      <w:pPr>
        <w:pStyle w:val="Sansinterligne"/>
        <w:rPr>
          <w:rFonts w:ascii="Garamond" w:hAnsi="Garamond"/>
          <w:lang w:val="en-GB"/>
        </w:rPr>
      </w:pPr>
      <w:r w:rsidRPr="00BA623D">
        <w:rPr>
          <w:rFonts w:ascii="Garamond" w:hAnsi="Garamond"/>
          <w:lang w:val="en-GB"/>
        </w:rPr>
        <w:t xml:space="preserve">Zu Ende des Abschnittes, der sich mit der Aufdeckung der Witztechnik beschäftigte, haben wir (S. 95) ausgesprochen, daß die Vorgänge der Verdichtung mit und ohne Ersatzbildung, der Verschiebung, der Darstellung durch Widersinn, durch das Gegenteil, der indirekten Darstellung u. a., welche wir an der Herstellung des Witzes beteiligt fanden, eine sehr weitgehende Übereinstimmung mit den Vorgängen der »Traumarbeit« zeigen, und haben uns vorbehalten, einerseits diese Ähnlichkeiten sorgfältiger zu studieren, anderseits das Gemeinsame von Witz und Traum, welches sich solcherart anzudeuten scheint, zu erforschen. Die Ausführung dieser Vergleichung wäre uns sehr erleichtert, wenn wir das eine der Verglichenen – die »Traumarbeit« – als bekannt annehmen dürften. Wir tun aber wahrscheinlich besser daran, diese Annahme nicht zu machen; ich habe den Eindruck empfangen, als ob meine im Jahre 1900 veröffentlichte </w:t>
      </w:r>
      <w:r w:rsidRPr="00BA623D">
        <w:rPr>
          <w:rFonts w:ascii="Garamond" w:hAnsi="Garamond"/>
          <w:i/>
          <w:iCs/>
          <w:lang w:val="en-GB"/>
        </w:rPr>
        <w:t>Traumdeutung</w:t>
      </w:r>
      <w:r w:rsidRPr="00BA623D">
        <w:rPr>
          <w:rFonts w:ascii="Garamond" w:hAnsi="Garamond"/>
          <w:lang w:val="en-GB"/>
        </w:rPr>
        <w:t xml:space="preserve"> mehr »Verblüffung« als »Erleuchtung« bei den Fachgenossen hervorgerufen hätte, und weiß, daß weitere Leserkreise sich damit begnügt haben, den Inhalt des Buches auf ein Schlagwort (»Wunscherfüllung«) zu reduzieren, das sich leicht behalten und bequem mißbrauchen läßt.</w:t>
      </w:r>
    </w:p>
    <w:p w:rsidR="00BA623D" w:rsidRPr="00BA623D" w:rsidRDefault="00BA623D" w:rsidP="00BA623D">
      <w:pPr>
        <w:pStyle w:val="Sansinterligne"/>
        <w:rPr>
          <w:rFonts w:ascii="Garamond" w:hAnsi="Garamond"/>
          <w:lang w:val="en-GB"/>
        </w:rPr>
      </w:pPr>
      <w:r w:rsidRPr="00BA623D">
        <w:rPr>
          <w:rFonts w:ascii="Garamond" w:hAnsi="Garamond"/>
          <w:lang w:val="en-GB"/>
        </w:rPr>
        <w:t>In der fortgesetzten Beschäftigung mit den dort behandelten Problemen, zu der mir meine ärztliche Tätigkeit als Psychotherapeut reichlich Anlaß gibt, bin ich aber auf nichts gestoßen, was eine Veränderung oder Verbesserung meiner Gedankengänge von mir gefordert hätte, und kann darum in Ruhe abwarten, bis das Verständnis der Leser mir nachgekommen ist oder bis eine einsichtige Kritik mir die Grundirrtümer meiner Auffassung nachgewiesen hat. Zum Zwecke der Vergleichung mit dem Witze werde ich hier das Notwendigste über den Traum und die Traumarbeit in gedrängter Kürze wiederholen.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Wir kennen den Traum aus der uns meist fragmentarisch scheinenden Erinnerung, die sich nach dem Erwachen an ihn einstellt. Er ist dann ein Gefüge von meist visuellen (aber auch andersartigen) Sinneseindrücken, die uns ein Erleben vorgetäuscht haben und unter welche Denkvorgänge (das »Wissen« im Traum) und Affektäußerungen gemengt sein mögen. Was wir so als Traum erinnern, das heiße ich den » </w:t>
      </w:r>
      <w:r w:rsidRPr="00BA623D">
        <w:rPr>
          <w:rFonts w:ascii="Garamond" w:hAnsi="Garamond"/>
          <w:i/>
          <w:iCs/>
          <w:lang w:val="en-GB"/>
        </w:rPr>
        <w:t>manifesten Trauminhalt</w:t>
      </w:r>
      <w:r w:rsidRPr="00BA623D">
        <w:rPr>
          <w:rFonts w:ascii="Garamond" w:hAnsi="Garamond"/>
          <w:lang w:val="en-GB"/>
        </w:rPr>
        <w:t>«. Derselbe ist häufig völlig absurd und verworren, andere Male nur das eine oder das andere; aber auch wenn er ganz kohärent ist wie in manchen Angstträumen, steht er unserem Seelenleben als etwas Fremdes gegenüber, von dessen Herkunft man sich keine Rechenschaft zu geben vermag. Die Aufklärung für diese Charaktere des Traumes wurde bisher in ihm selbst gesucht, indem man dieselben als Anzeichen einer unordentlichen, dissoziierten und sozusagen »verschlafenen« Tätigkeit der nervösen Elemente ansah.</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Dagegen habe ich gezeigt, daß der so sonderbare »manifeste« Trauminhalt regelmäßig verständlich gemacht werden kann als die verstümmelte und abgeänderte Umschrift gewisser korrekter psychischer Bildungen, die den Namen » </w:t>
      </w:r>
      <w:r w:rsidRPr="00BA623D">
        <w:rPr>
          <w:rFonts w:ascii="Garamond" w:hAnsi="Garamond"/>
          <w:i/>
          <w:iCs/>
          <w:lang w:val="en-GB"/>
        </w:rPr>
        <w:t>latente Traumgedanken</w:t>
      </w:r>
      <w:r w:rsidRPr="00BA623D">
        <w:rPr>
          <w:rFonts w:ascii="Garamond" w:hAnsi="Garamond"/>
          <w:lang w:val="en-GB"/>
        </w:rPr>
        <w:t>« verdienen. Man verschafft sich die Kenntnis derselben, indem man den manifesten Trauminhalt ohne Rücksicht auf seinen etwaigen scheinbaren Sinn in seine Bestandteile zerlegt und dann die Assoziationsfäden verfolgt, die von jedem der nun isolierten Elemente ausgehen. Diese verflechten sich miteinander und leiten endlich zu einem Gefüge von Gedanken, welche nicht nur völlig korrekt sind, sondern auch leicht in den uns bekannten Zusammenhang unserer seelischen Vorgänge eingereiht werden. Auf dem Wege dieser »Analyse« hat der Trauminhalt all seine uns befremdenden Sonderbarkeiten abgestreift; wenn uns aber die Analyse gelingen soll, müssen wir während derselben die kritischen Einwendungen, die sich unausgesetzt gegen die Reproduktion der einzelnen vermittelnden Assoziationen erheben, standhaft zurückweisen.</w:t>
      </w:r>
    </w:p>
    <w:p w:rsidR="00BA623D" w:rsidRPr="00BA623D" w:rsidRDefault="00BA623D" w:rsidP="00BA623D">
      <w:pPr>
        <w:pStyle w:val="Sansinterligne"/>
        <w:rPr>
          <w:rFonts w:ascii="Garamond" w:hAnsi="Garamond"/>
          <w:lang w:val="en-GB"/>
        </w:rPr>
      </w:pPr>
      <w:r w:rsidRPr="00BA623D">
        <w:rPr>
          <w:rFonts w:ascii="Garamond" w:hAnsi="Garamond"/>
          <w:lang w:val="en-GB"/>
        </w:rPr>
        <w:t>Aus der Vergleichung des erinnerten manifesten Trauminhalts mit den so gefundenen latenten Traumgedanken ergibt sich der Begriff der »Traumarbeit«. Als Traumarbeit wird die ganze Summe der umwandelnden Vorgänge zu bezeichnen sein, welche die latenten Traumgedanken in den manifesten Traum überführt haben. An der Traumarbeit haftet nun das Befremden, welches vorhin der Traum in uns erregt hatte.</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Leistung der Traumarbeit kann aber folgender Art beschrieben werden: Ein meist sehr kompliziertes Gefüge von Gedanken, welches während des Tages aufgebaut worden ist und nicht zur Erledigung geführt wurde – ein Tagesrest –, hält auch während der Nacht den von ihm in Anspruch genommenen Energiebetrag – das Interesse – fest und droht eine Störung des Schlafes. Dieser Tagesrest wird durch die Traumarbeit in einen Traum verwandelt und für den Schlaf unschädlich gemacht. Um der Traumarbeit einen Angriffspunkt zu bieten, muß der Tagesrest wunschbildungsfähig sein, eine nicht eben schwer zu erfüllende Bedingung. Der aus den Traumgedanken hervorgehende Wunsch bildet die Vorstufe und später den Kern des Traumes. Die aus den Analysen stammende Erfahrung – nicht die Theorie des Traumes – sagt uns, daß beim Kinde ein beliebiger vom Wachleben erübrigter Wunsch hinreicht, einen Traum hervorzurufen, der dann zusammenhängend und sinnreich, meist aber kurz ausfällt und leicht als </w:t>
      </w:r>
      <w:r w:rsidRPr="00BA623D">
        <w:rPr>
          <w:rFonts w:ascii="Garamond" w:hAnsi="Garamond"/>
          <w:lang w:val="en-GB"/>
        </w:rPr>
        <w:lastRenderedPageBreak/>
        <w:t>»Wunscherfüllung« erkannt wird. Beim Erwachsenen scheint es allgemeingültige Bedingung für den traumschaffenden Wunsch, daß er dem bewußten Denken fremd, also ein verdrängter Wunsch sei, oder doch, daß er dem Bewußtsein unbekannte Verstärkungen haben könne. Ohne Annahme des Unbewußten in dem oben dargelegten Sinne wüßte ich die Theorie des Traumes nicht weiter zu entwickeln und das Erfahrungsmaterial der Traumanalysen nicht zu deuten. Die Einwirkung dieses unbewußten Wunsches auf das bewußtseinskorrekte Material der Traumgedanken ergibt nun den Traum. Letzteres wird dabei gleichsam ins Unbewußte herabgezogen, genauer gesagt, einer Behandlung ausgesetzt, wie sie auf der Stufe der unbewußten Denkvorgänge vorkömmlich und für diese Stufe charakteristisch ist. Wir kennen die Charaktere des unbewußten Denkens und dessen Unterschiede vom bewußtseinsfähigen »vorbewußten« bisher nur aus den Ergebnissen eben der »Traumarbeit«.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Eine neuartige, nicht einfache und den Denkgewohnheiten widersprechende Lehre kann bei gedrängter Darstellung an Klarheit kaum gewinnen. Ich kann mit diesen Auseinandersetzungen also nichts anderes bezwecken, als auf die ausführlichere Behandlung des Unbewußten in meiner </w:t>
      </w:r>
      <w:r w:rsidRPr="00BA623D">
        <w:rPr>
          <w:rFonts w:ascii="Garamond" w:hAnsi="Garamond"/>
          <w:i/>
          <w:iCs/>
          <w:lang w:val="en-GB"/>
        </w:rPr>
        <w:t>Traumdeutung</w:t>
      </w:r>
      <w:r w:rsidRPr="00BA623D">
        <w:rPr>
          <w:rFonts w:ascii="Garamond" w:hAnsi="Garamond"/>
          <w:lang w:val="en-GB"/>
        </w:rPr>
        <w:t xml:space="preserve"> und auf die mir höchst bedeutungsvoll erscheinenden Arbeiten von Lipps zu verweisen. Ich weiß, daß wer im Banne einer guten philosophischen Schulbildung steht oder entfernt von einem sogenannten philosophischen System abhängt, der Annahme des »Unbewußt Psychischen« in Lipps' und meinem Sinne widerstrebt und dessen Unmöglichkeit am liebsten aus der Definition des Psychischen beweisen möchte. Aber Definitionen sind konventionell und lassen sich abändern. Ich habe häufig die Erfahrung gemacht, daß Personen, welche das Unbewußte als absurd oder unmöglich bestreiten, ihre Eindrücke nicht an den Quellen geholt hatten, aus denen wenigstens für mich die Nötigung zur Anerkennung desselben geflossen ist. Diese Gegner des Unbewußten hatten nie den Effekt einer posthypnotischen Suggestion mit angesehen, und was ich ihnen als Probe aus meinen Analysen bei nicht hypnotisierten Neurotikern mitteilte, versetzte sie in das größte Erstaunen. Sie hatten nie den Gedanken realisiert, daß das Unbewußte etwas ist, was man wirklich nicht weiß, während man durch zwingende Schlüsse genötigt wird, es zu ergänzen, sondern etwas Bewußtseinsfähiges darunter verstanden, an was man gerade nicht gedacht hatte, was nicht im »Blickpunkt der Aufmerksamkeit« stand. Sie hatten auch nie versucht, sich von der Existenz solcher unbewußter Gedanken in ihrem eigenen Seelenleben durch eine Analyse eines eigenen Traumes zu überzeugen, und wenn ich eine solche mit ihnen versuchte, konnten sie ihre eigenen Einfälle nur mit Verwunderung und Verwirrtheit aufnehmen. Ich habe auch den Eindruck bekommen, daß der Annahme des »Unbewußten« wesentlich Affektwiderstände im Wege stehen, darin begründet, daß niemand sein Unbewußtes kennenlernen will, wo es dann am bequemsten ist, dessen Möglichkeit überhaupt zu leugnen.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Die Traumarbeit also, zu der ich nach dieser Abschweifung zurückkehre, setzt das in den Optativ gebrachte Gedankenmaterial einer ganz eigentümlichen Bearbeitung aus. Zunächst macht sie den Schritt vom Optativ zum Präsens, ersetzt das: »O möchte doch« – durch ein: Es ist. Dies »Es ist« ist zur halluzinatorischen Darstellung bestimmt, was ich als die »Regression« der Traumarbeit bezeichnet habe; der Weg von den Gedanken zu den Wahrnehmungsbildern, oder wenn man mit Bezug auf die noch unbekannte – nicht anatomisch zu verstehende – Topik des seelischen Apparats sprechen will, von der Gegend der Denkbildungen zu der der sinnlichen Wahrnehmungen. Auf diesem Wege, welcher der Entwicklungsrichtung der seelischen Komplikationen entgegengesetzt ist, gewinnen die Traumgedanken Anschaulichkeit; es stellt sich schließlich eine plastische Situation heraus als Kern des manifesten »Traumbildes«. Um solche sinnliche Darstellbarkeit zu erreichen, haben die Traumgedanken eingreifende Umgestaltungen ihres Ausdrucks erfahren müssen. Aber während der Rückverwandlung der Gedanken in Sinnesbilder treten noch weitere Veränderungen an ihnen auf, die zum Teil als notwendige begreiflich, zum anderen Teil überraschend sind. Als notwendigen Nebenerfolg der Regression begreift man, daß fast alle Relationen innerhalb der Gedanken, welche dieselben gegliedert haben, für den manifesten Traum verlorengehen. Die Traumarbeit übernimmt sozusagen nur das Rohmaterial der Vorstellungen zur Darstellung, nicht auch die Denkbeziehungen, die sie gegeneinander einhielten, oder sie wahrt sich wenigstens die Freiheit, von diesen letzteren abzusehen. Hingegen können wir ein anderes Stück der Traumarbeit nicht von der Regression, der Rückverwandlung in Sinnesbilder, ableiten, gerade jenes, welches uns für die Analogie mit der Witzbildung bedeutsam ist. Das Material der Traumgedanken erfährt während der Traumarbeit eine ganz außerordentliche Zusammendrängung oder </w:t>
      </w:r>
      <w:r w:rsidRPr="00BA623D">
        <w:rPr>
          <w:rFonts w:ascii="Garamond" w:hAnsi="Garamond"/>
          <w:i/>
          <w:iCs/>
          <w:lang w:val="en-GB"/>
        </w:rPr>
        <w:t>Verdichtung</w:t>
      </w:r>
      <w:r w:rsidRPr="00BA623D">
        <w:rPr>
          <w:rFonts w:ascii="Garamond" w:hAnsi="Garamond"/>
          <w:lang w:val="en-GB"/>
        </w:rPr>
        <w:t xml:space="preserve">. Ausgangspunkte derselben sind die Gemeinsamkeiten, die sich zufällig oder dem Inhalt gemäß innerhalb der Traumgedanken vorfinden; da dieselben für eine ausgiebige Verdichtung in der Regel nicht hinreichen, werden in der Traumarbeit neue, künstliche und flüchtige, Gemeinsamkeiten geschaffen, und zu diesem Zwecke werden mit Vorliebe selbst Worte benützt, in deren Laut verschiedene Bedeutungen zusammentreffen. Die neugeschaffenen Verdichtungsgemeinsamen gehen wie Repräsentanten der </w:t>
      </w:r>
      <w:r w:rsidRPr="00BA623D">
        <w:rPr>
          <w:rFonts w:ascii="Garamond" w:hAnsi="Garamond"/>
          <w:lang w:val="en-GB"/>
        </w:rPr>
        <w:lastRenderedPageBreak/>
        <w:t>Traumgedanken in den manifesten Trauminhalt ein, so daß ein Element des Traumes einem Knoten- und Kreuzungspunkt für die Traumgedanken entspricht und mit Rücksicht auf die letzteren ganz allgemein »überdeterminiert« genannt werden muß. Die Tatsache der Verdichtung ist dasjenige Stück der Traumarbeit, welches sich am leichtesten erkennen läßt; es genügt, den aufgeschriebenen Wortlaut eines Traumes mit der Niederschrift der durch Analyse gewonnenen Traumgedanken zu vergleichen, um sich von der Ausgiebigkeit der Traumverdichtung einen guten Eindruck zu holen.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Minder bequem ist es, sich von der zweiten großen Veränderung, welche durch die Traumarbeit an den Traumgedanken bewirkt wird, zu überzeugen, von jenem Vorgang, den ich die Traum </w:t>
      </w:r>
      <w:r w:rsidRPr="00BA623D">
        <w:rPr>
          <w:rFonts w:ascii="Garamond" w:hAnsi="Garamond"/>
          <w:i/>
          <w:iCs/>
          <w:lang w:val="en-GB"/>
        </w:rPr>
        <w:t>verschiebung</w:t>
      </w:r>
      <w:r w:rsidRPr="00BA623D">
        <w:rPr>
          <w:rFonts w:ascii="Garamond" w:hAnsi="Garamond"/>
          <w:lang w:val="en-GB"/>
        </w:rPr>
        <w:t xml:space="preserve"> genannt habe. Dieselbe äußert sich darin, daß im manifesten Traum zentral steht und mit großer sinnlicher Intensität auftritt, was in den Traumgedanken peripherisch lag und nebensächlich war; und ebenso umgekehrt. Der Traum erscheint dadurch gegen die Traumgedanken verschoben, und gerade durch diese Verschiebung wird erreicht, daß er dem wachen Seelenleben fremd und unverständlich entgegentritt. Damit solche Verschiebung zustande kam, mußte es möglich sein, daß die Besetzungsenergie von den wichtigen Vorstellungen ungehemmt auf die unwichtigen übergehe, was im normalen bewußtseinsfähigen Denken nur den Eindruck eines »Denkfehlers« hervorrufen kann.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Umwandlung zur Darstellungsfähigkeit, Verdichtung und Verschiebung sind die drei großen Leistungen, die wir der Traumarbeit zuschreiben dürfen. Eine vierte, in der </w:t>
      </w:r>
      <w:r w:rsidRPr="00BA623D">
        <w:rPr>
          <w:rFonts w:ascii="Garamond" w:hAnsi="Garamond"/>
          <w:i/>
          <w:iCs/>
          <w:lang w:val="en-GB"/>
        </w:rPr>
        <w:t>Traumdeutung</w:t>
      </w:r>
      <w:r w:rsidRPr="00BA623D">
        <w:rPr>
          <w:rFonts w:ascii="Garamond" w:hAnsi="Garamond"/>
          <w:lang w:val="en-GB"/>
        </w:rPr>
        <w:t xml:space="preserve"> vielleicht zu kurz gewürdigte, kommt für unsere Zwecke hier nicht in Betracht. Bei einer konsequenten Ausführung der Ideen von der »Topik des seelischen Apparats« und der »Regression« – und nur eine solche würde diese Arbeitshypothesen wertvoll machen – müßte man zu bestimmen versuchen, an welchen Stationen der Regression die verschiedenen Umwandlungen der Traumgedanken vor sich gehen. Dieser Versuch ist noch nicht ernsthaft unternommen worden; es läßt sich aber wenigstens von der Verschiebung mit Sicherheit angeben, daß sie an dem Gedankenmaterial erfolgen muß, während es sich auf der Stufe der unbewußten Vorgänge befindet. Die Verdichtung wird man sich wahrscheinlich als einen über den ganzen Verlauf sich erstreckenden Vorgang bis zum Anlangen in der Wahrnehmungsregion vorzustellen haben, im allgemeinen aber sich mit der Annahme einer gleichzeitig erfolgenden Wirkung aller bei der Traumbildung beteiligten Kräfte begnügen. Bei der Zurückhaltung, die man verständigerweise in der Behandlung solcher Probleme bewahren muß, und mit Rücksicht auf die hier nicht zu erörternden prinzipiellen Bedenken solcher Fragestellung, möchte ich mich etwa der Aufstellung getrauen, daß der den Traum vorbereitende Vorgang der Traumarbeit in die Region des Unbewußten zu verlegen ist. Im ganzen wären also bei der Traumbildung, grob genommen, drei Stadien zu unterscheiden: erstens die Versetzung der vorbewußten Tagesreste ins Unbewußte, woran die Bedingungen des Schlafzustandes mitbeteiligt sein müßten, sodann die eigentliche Traumarbeit im Unbewußten, und drittens die Regression des so bearbeiteten Traummaterials auf die Wahrnehmung, als welche der Traum bewußt wird.</w:t>
      </w:r>
    </w:p>
    <w:p w:rsidR="00BA623D" w:rsidRPr="00BA623D" w:rsidRDefault="00BA623D" w:rsidP="00BA623D">
      <w:pPr>
        <w:pStyle w:val="Sansinterligne"/>
        <w:rPr>
          <w:rFonts w:ascii="Garamond" w:hAnsi="Garamond"/>
          <w:lang w:val="en-GB"/>
        </w:rPr>
      </w:pPr>
      <w:r w:rsidRPr="00BA623D">
        <w:rPr>
          <w:rFonts w:ascii="Garamond" w:hAnsi="Garamond"/>
          <w:lang w:val="en-GB"/>
        </w:rPr>
        <w:t>Als Kräfte, welche bei der Traumbildung beteiligt sind, lassen sich erkennen: Der Wunsch zu schlafen, die den Tagesresten nach der Erniedrigung durch den Schlafzustand noch verbliebene Energiebesetzung, die psychische Energie des traumbildenden unbewußten Wunsches und die widerstrebende Kraft der im Wachleben herrschenden, während des Schlafes nicht völlig aufgehobenen »Zensur«. Aufgabe der Traumbildung ist es vor allem, die Hemmung der Zensur zu überwinden, und gerade diese Aufgabe wird durch die Verschiebungen der psychischen Energie innerhalb des Materials der Traumgedanken gelöst.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Nun erinnern wir uns, welchen Anlaß wir hatten, bei der Untersuchung des Witzes an den Traum zu denken. Wir fanden, daß Charakter und Wirkung des Witzes an gewisse Ausdrucksformen, technische Mittel, gebunden sind, unter denen die verschiedenen Arten der Verdichtung, Verschiebung und indirekten Darstellung am auffälligsten sind. Vorgänge, die zu den nämlichen Ergebnissen, Verdichtung, Verschiebung und indirekter Darstellung, führen, sind uns aber als Eigentümlichkeiten der Traumarbeit bekannt geworden. Wird uns durch diese Übereinstimmung nicht der Schluß nahegelegt, daß Witzarbeit und Traumarbeit in wenigstens einem wesentlichen Punkte identisch sein müssen? Die Traumarbeit liegt, wie ich meine, in ihren wichtigsten Charakteren entschleiert vor uns; von den psychischen Vorgängen beim Witze ist uns gerade jenes Stück verhüllt, welches wir der Traumarbeit vergleichen dürfen, der Vorgang der Witzbildung bei der ersten Person. Sollen wir nicht der Versuchung nachgeben, diesen Vorgang nach der Analogie der Traumbildung zu konstruieren? Einige der Züge des Traumes sind dem Witze so fremd, daß wir auch das ihnen entsprechende Stück der Traumarbeit nicht auf die Witzbildung übertragen dürfen. Die Regression des Gedankenganges zur Wahrnehmung fällt für den Witz sicherlich weg; die beiden anderen Stadien der Traumbildung aber, das Herabsinken eines vorbewußten Gedankens zum Unbewußten und die unbewußte Bearbeitung würden uns, wenn wir sie für die Witzbildung supponieren, gerade das Ergebnis liefern, das wir am Witze beobachten können. Entschließen wir uns also </w:t>
      </w:r>
      <w:r w:rsidRPr="00BA623D">
        <w:rPr>
          <w:rFonts w:ascii="Garamond" w:hAnsi="Garamond"/>
          <w:lang w:val="en-GB"/>
        </w:rPr>
        <w:lastRenderedPageBreak/>
        <w:t xml:space="preserve">zur Annahme, daß dies der Hergang der Witzbildung bei der ersten Person ist. </w:t>
      </w:r>
      <w:r w:rsidRPr="00BA623D">
        <w:rPr>
          <w:rFonts w:ascii="Garamond" w:hAnsi="Garamond"/>
          <w:i/>
          <w:iCs/>
          <w:lang w:val="en-GB"/>
        </w:rPr>
        <w:t>Ein vorbewußter Gedanke wird für einen Moment der unbewußten Bearbeitung überlassen und deren Ergebnis alsbald von der bewußten Wahrnehmung erfaßt.</w:t>
      </w:r>
    </w:p>
    <w:p w:rsidR="00BA623D" w:rsidRPr="00BA623D" w:rsidRDefault="00BA623D" w:rsidP="00BA623D">
      <w:pPr>
        <w:pStyle w:val="Sansinterligne"/>
        <w:rPr>
          <w:rFonts w:ascii="Garamond" w:hAnsi="Garamond"/>
          <w:lang w:val="en-GB"/>
        </w:rPr>
      </w:pPr>
      <w:r w:rsidRPr="00BA623D">
        <w:rPr>
          <w:rFonts w:ascii="Garamond" w:hAnsi="Garamond"/>
          <w:lang w:val="en-GB"/>
        </w:rPr>
        <w:t>Ehe wir aber diese Aufstellung im einzelnen prüfen, wollen wir eines Einwandes gedenken, welcher unserer Voraussetzung bedrohlich werden kann. Wir gehen von der Tatsache aus, daß die Techniken des Witzes auf dieselben Vorgänge hindeuten, welche uns als Eigentümlichkeiten der Traumarbeit bekannt sind. Nun ist es leicht dawider zu sagen, daß wir die Techniken des Witzes nicht als Verdichtung, Verschiebung usw. beschrieben hätten und nicht zu so weitgehenden Übereinstimmungen in den Darstellungsmitteln von Witz und Traum gelangt wären, wenn nicht die vorherige Kenntnis der Traumarbeit unsere Auffassung für die Witztechnik bestochen hätte, so daß wir im Grunde am Witz nur die Erwartungen bestätigt finden, mit denen wir vom Traum her an ihn herangetreten sind. Eine solche Genese der Übereinstimmung wäre keine sichere Gewähr für ihren Bestand außerhalb unseres Vorurteils. Die Gesichtspunkte der Verdichtung, Verschiebung, indirekten Darstellung sind auch wirklich von keinem anderen Autor für die Ausdrucksformen des Witzes geltend gemacht worden. Das wäre ein möglicher Einwand, aber darum noch kein berechtigter. Es kann ebensowohl sein, daß die Schärfung unserer Auffassung durch die Kenntnis der Traumarbeit unentbehrlich wäre, um die reale Übereinstimmung zu erkennen. Die Entscheidung wird doch nur davon abhängen, ob die prüfende Kritik solche Auffassung der Witztechnik an den einzelnen Beispielen als eine aufgezwungene nachweisen kann, zu deren Gunsten andere näherliegende und tiefer reichende Auffassungen unterdrückt worden sind, oder ob sie zugeben muß, daß die Erwartungen vom Traum her sich am Witz wirklich bestätigen lassen. Ich bin der Meinung, daß wir solche Kritik nicht zu fürchten haben und daß unser Reduktionsverfahren (siehe S. 22) uns verläßlich angezeigt hat, in welchen Ausdrucksformen die Techniken des Witzes zu suchen waren. Daß wir diesen Techniken Namen gegeben hatten, welche das Ergebnis der Übereinstimmung von Witztechnik und Traumarbeit bereits antizipierten, dies war unser gutes Recht, eigentlich nichts anderes als eine leicht zu rechtfertigende Vereinfachung.</w:t>
      </w:r>
    </w:p>
    <w:p w:rsidR="00BA623D" w:rsidRPr="00BA623D" w:rsidRDefault="00BA623D" w:rsidP="00BA623D">
      <w:pPr>
        <w:pStyle w:val="Sansinterligne"/>
        <w:rPr>
          <w:rFonts w:ascii="Garamond" w:hAnsi="Garamond"/>
          <w:lang w:val="en-GB"/>
        </w:rPr>
      </w:pPr>
      <w:r w:rsidRPr="00BA623D">
        <w:rPr>
          <w:rFonts w:ascii="Garamond" w:hAnsi="Garamond"/>
          <w:lang w:val="en-GB"/>
        </w:rPr>
        <w:t>Ein anderer Einwand träfe unsere Sache nicht so schwer, wäre aber auch nicht so gründlich zu widerlegen. Man könnte meinen, daß die zu unseren Absichten so gut stimmenden Techniken des Witzes zwar Anerkennung verdienen, aber doch nicht alle möglichen oder in der Praxis verwendeten Techniken des Witzes wären. Wir hätten eben, von dem Vorbild der Traumarbeit beeinflußt, nur die zu ihr passenden Witztechniken herausgesucht, während andere, von uns übersehene, eine solche Übereinstimmung als nicht allgemein vorhanden erwiesen hätten. Ich getraue mich nun wirklich nicht der Behauptung, daß es mir gelungen ist, alle in Umlauf befindlichen Witze in bezug auf ihre Technik aufzuklären, und lasse darum die Möglichkeit offen, daß meine Aufzählung der Witztechniken manche Unvollständigkeit erkennen lassen wird, aber ich habe keine Art der Technik, die mir durchsichtig wurde, absichtlich von der Erörterung ausgeschlossen und kann die Behauptung vertreten, daß die häufigsten, wichtigsten, am meisten charakteristischen technischen Mittel des Witzes sich meiner Aufmerksamkeit nicht entzogen haben.</w:t>
      </w:r>
    </w:p>
    <w:p w:rsidR="00BA623D" w:rsidRPr="00BA623D" w:rsidRDefault="00BA623D" w:rsidP="00BA623D">
      <w:pPr>
        <w:pStyle w:val="Sansinterligne"/>
        <w:rPr>
          <w:rFonts w:ascii="Garamond" w:hAnsi="Garamond"/>
          <w:lang w:val="en-GB"/>
        </w:rPr>
      </w:pPr>
      <w:r w:rsidRPr="00BA623D">
        <w:rPr>
          <w:rFonts w:ascii="Garamond" w:hAnsi="Garamond"/>
          <w:lang w:val="en-GB"/>
        </w:rPr>
        <w:t>Der Witz besitzt noch einen anderen Charakter, welcher sich unserer vom Traum herstammenden Auffassung der Witzarbeit befriedigend fügt. Man sagt zwar, daß man den Witz »macht«, aber man verspürt, daß man sich dabei anders benimmt, als wenn man ein Urteil fällt, einen Einwand macht. Der Witz hat in ganz hervorragender Weise den Charakter eines ungewollten »Einfalls«. Man weiß nicht etwa einen Moment vorher, welchen Witz man machen wird, den man dann nur in Worte zu kleiden braucht. Man verspürt vielmehr etwas Undefinierbares, das ich am ehesten einer Absenz, einem plötzlichen Auslassen der intellektuellen Spannung vergleichen möchte, und dann ist der Witz mit einem Schlage da, meist gleichzeitig mit seiner Einkleidung. Manche der Mittel des Witzes finden auch außerhalb desselben im Gedankenausdruck Verwendung, z. B. das Gleichnis und die Anspielung. Ich kann eine Anspielung absichtlich machen wollen. Dabei habe ich zuerst den direkten Ausdruck meines Gedankens im Sinne (im inneren Hören), ich hemme mich in der Äußerung desselben durch ein der Situation entsprechendes Bedenken, nehme mir beinahe vor, den direkten Ausdruck durch eine Form des indirekten Ausdrucks zu ersetzen und bringe dann eine Anspielung hervor; aber die so entstandene, unter meiner fortlaufenden Kontrolle gebildete Anspielung ist niemals witzig, so brauchbar sie auch sonst sein mag; die witzige Anspielung hingegen erscheint, ohne daß ich diese vorbereitenden Stadien in meinem Denken verfolgen konnte. Ich will nicht zu viel Wert auf dies Verhalten legen; es ist kaum entscheidend, aber es stimmt doch gut zu unserer Annahme, daß man bei der Witzbildung einen Gedankengang für einen Moment fallenläßt, der dann plötzlich als Witz aus dem Unbewußten auftaucht.</w:t>
      </w:r>
    </w:p>
    <w:p w:rsidR="00BA623D" w:rsidRPr="00BA623D" w:rsidRDefault="00BA623D" w:rsidP="00BA623D">
      <w:pPr>
        <w:pStyle w:val="Sansinterligne"/>
        <w:rPr>
          <w:rFonts w:ascii="Garamond" w:hAnsi="Garamond"/>
          <w:lang w:val="en-GB"/>
        </w:rPr>
      </w:pPr>
      <w:r w:rsidRPr="00BA623D">
        <w:rPr>
          <w:rFonts w:ascii="Garamond" w:hAnsi="Garamond"/>
          <w:lang w:val="en-GB"/>
        </w:rPr>
        <w:lastRenderedPageBreak/>
        <w:t>Witze zeigen auch assoziativ ein besonderes Benehmen. Sie stehen unserem Gedächtnis häufig nicht zur Verfügung, wenn wir sie wollen, stellen sich dafür andere Male wie ungewollt ein, und zwar an Stellen unseres Gedankenganges, wo wir ihre Einflechtung nicht verstehen. Es sind dies wiederum nur kleine Züge, aber immerhin Hinweise auf ihre Abkunft aus dem Unbewußten.</w:t>
      </w:r>
    </w:p>
    <w:p w:rsidR="00BA623D" w:rsidRPr="00BA623D" w:rsidRDefault="00BA623D" w:rsidP="00BA623D">
      <w:pPr>
        <w:pStyle w:val="Sansinterligne"/>
        <w:rPr>
          <w:rFonts w:ascii="Garamond" w:hAnsi="Garamond"/>
        </w:rPr>
      </w:pPr>
      <w:r w:rsidRPr="00BA623D">
        <w:rPr>
          <w:rFonts w:ascii="Garamond" w:hAnsi="Garamond"/>
          <w:lang w:val="en-GB"/>
        </w:rPr>
        <w:t xml:space="preserve">Suchen wir nun die Charaktere des Witzes zusammen, die sich auf seine Bildung im Unbewußten beziehen lassen. Da ist vor allem die eigentümliche Kürze des Witzes, ein zwar nicht unerläßliches, aber ungemein bezeichnendes Merkmal desselben. Als wir ihr zuerst begegneten, waren wir geneigt, einen Ausdruck sparender Tendenzen in ihr zu sehen, entwerteten aber diese Auffassung selbst durch naheliegende Einwendungen. Sie erscheint uns jetzt vielmehr als ein Zeichen der unbewußten Bearbeitung, welche der Witzgedanke erfahren hat. Das ihr beim Traum Entsprechende, die Verdichtung, können wir nämlich mit keinem anderen Moment als mit der Lokalisation im Unbewußten zusammenbringen und müssen annehmen, daß im unbewußten Denkvorgang die im Vorbewußten fehlenden Bedingungen für solche Verdichtungen gegeben sind </w:t>
      </w:r>
      <w:hyperlink r:id="rId337"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Die Verdichtung als regelmäßigen und bedeutungsvollen Vorgang habe ich außer bei der Traumarbeit und Witztechnik noch in einem anderen seelischen Geschehen nachweisen können, beim Mechanismus des normalen (nicht tendenziösen) </w:t>
        </w:r>
        <w:r w:rsidRPr="00BA623D">
          <w:rPr>
            <w:rStyle w:val="innerfusslink3"/>
            <w:rFonts w:ascii="Garamond" w:hAnsi="Garamond" w:cs="Arial"/>
            <w:b/>
            <w:bCs/>
            <w:i/>
            <w:iCs/>
            <w:lang w:val="en-GB"/>
          </w:rPr>
          <w:t>Vergessens</w:t>
        </w:r>
        <w:r w:rsidRPr="00BA623D">
          <w:rPr>
            <w:rStyle w:val="innerfusslink3"/>
            <w:rFonts w:ascii="Garamond" w:hAnsi="Garamond" w:cs="Arial"/>
            <w:b/>
            <w:bCs/>
            <w:lang w:val="en-GB"/>
          </w:rPr>
          <w:t xml:space="preserve">. Singuläre Eindrücke setzen dem Vergessen Schwierigkeiten entgegen; irgendwie analoge werden vergessen, indem sie von ihren Berührungspunkten aus verdichtet werden. </w:t>
        </w:r>
        <w:r w:rsidRPr="00BA623D">
          <w:rPr>
            <w:rStyle w:val="innerfusslink3"/>
            <w:rFonts w:ascii="Garamond" w:hAnsi="Garamond" w:cs="Arial"/>
            <w:b/>
            <w:bCs/>
          </w:rPr>
          <w:t>Die Verwechslung analoger Eindrücke ist eine der Vorstufen des Vergessens.</w:t>
        </w:r>
      </w:hyperlink>
      <w:r w:rsidRPr="00BA623D">
        <w:rPr>
          <w:rFonts w:ascii="Garamond" w:hAnsi="Garamond"/>
        </w:rPr>
        <w:t>. Es steht zu erwarten, daß beim Verdichtungsvorgang einige der ihm unterworfenen Elemente verlorengehen, während andere, welche deren Besetzungsenergie übernehmen, durch die Verdichtung erstarken oder überstark aufgebaut werden. Die Kürze des Witzes wäre also wie die des Traumes eine notwendige Begleiterscheinung der in beiden vorkommenden Verdichtungen, beide Male ein Ergebnis des Verdichtungsvorganges. Dieser Herkunft verdankte auch die Kürze des Witzes ihren besonderen, nicht weiter angebbaren, aber der Empfindung auffälligen Charakter.</w:t>
      </w:r>
    </w:p>
    <w:p w:rsidR="00BA623D" w:rsidRPr="00BA623D" w:rsidRDefault="00BA623D" w:rsidP="00BA623D">
      <w:pPr>
        <w:pStyle w:val="Sansinterligne"/>
        <w:rPr>
          <w:rFonts w:ascii="Garamond" w:hAnsi="Garamond"/>
          <w:lang w:val="en-GB"/>
        </w:rPr>
      </w:pPr>
      <w:r w:rsidRPr="00BA623D">
        <w:rPr>
          <w:rFonts w:ascii="Garamond" w:hAnsi="Garamond"/>
        </w:rPr>
        <w:t xml:space="preserve">Wir haben vorhin (S. 139) das eine Ergebnis der Verdichtung, die mehrfache Verwendung desselben Materials, das Wortspiel, den Gleichklang, als lokalisierte Ersparung aufgefaßt und die Lust, die der (harmlose) Witz schafft, aus solcher Ersparung abgeleitet; späterhin haben wir die ursprüngliche Absicht des Witzes darin gefunden, derartigen Lustgewinn an Worten zu machen, was ihm auf der Stufe des Spieles unverwehrt war, im Verlaufe der intellektuellen Entwicklung aber durch die vernünftige Kritik eingedämmt wurde. Nun haben wir uns zu der Annahme entschlossen, daß derartige Verdichtungen, wie sie der Technik des Witzes dienen, automatisch, ohne besondere Absicht, während des Denkvorganges im Unbewußten entstehen. Liegen da nicht zwei verschiedene Auffassungen derselben Tatsache vor, die miteinander unverträglich scheinen? Ich glaube nicht; es sind allerdings zwei verschiedene Auffassungen, und sie verlangen miteinander in Einklang gebracht zu werden, aber sie widersprechen einander nicht. Die eine ist bloß der anderen fremd, und wenn wir eine Beziehung zwischen ihnen hergestellt haben, werden wir wahrscheinlich um ein Stück Erkenntnis weitergekommen sein. Daß solche Verdichtungen Quellen von Lustgewinn sind, verträgt sich sehr wohl mit der Voraussetzung, daß sie im Unbewußten leicht die Bedingungen zu ihrer Entstehung finden; wir sehen im Gegenteile die Motivierung für das Eintauchen ins Unbewußte in dem Umstande, daß dort die lustbringende Verdichtung, welcher der Witz bedarf, sich leicht ergibt. Auch zwei andere Momente, welche für die erste Betrachtung einander völlig fremd scheinen und wie durch einen unerwünschten Zufall zusammentreffen, werden sich bei tieferem Eingehen als innig verknüpft, ja wesenseinig erkennen lassen. Ich meine die beiden Aufstellungen, daß der Witz einerseits während seiner Entwicklung auf der Stufe des Spieles, also im Kindesalter der Vernunft, solche lustbringende Verdichtungen hervorbringen konnte und daß er anderseits auf höheren Stufen dieselbe Leistung durch das Eintauchen des Gedankens ins Unbewußte vollbringt. </w:t>
      </w:r>
      <w:r w:rsidRPr="00BA623D">
        <w:rPr>
          <w:rFonts w:ascii="Garamond" w:hAnsi="Garamond"/>
          <w:lang w:val="en-GB"/>
        </w:rPr>
        <w:t xml:space="preserve">Das Infantile ist nämlich die Quelle des Unbewußten, die unbewußten Denkvorgänge sind keine anderen, als welche im frühen Kindesalter einzig und allein hergestellt werden. Der Gedanke, der zum Zwecke der Witzbildung ins Unbewußte eintaucht, sucht dort nur die alte Heimstätte des einstigen Spieles mit Worten auf. Das Denken wird für einen Moment auf die kindliche Stufe zurückversetzt, um so der kindlichen Lustquelle wieder habhaft zu werden. Wüßte man es nicht bereits aus der Erforschung der Neurosenpsychologie, so müßte man beim Witz auf die Ahnung geraten, daß die sonderbare unbewußte Bearbeitung nichts anderes als der infantile Typus der Denkarbeit ist. Es ist bloß nicht sehr leicht, dieses infantile Denken mit seinen im Unbewußten des Erwachsenen erhaltenen Eigentümlichkeiten beim Kinde zu erhaschen, weil es meist sozusagen </w:t>
      </w:r>
      <w:r w:rsidRPr="00BA623D">
        <w:rPr>
          <w:rFonts w:ascii="Garamond" w:hAnsi="Garamond"/>
          <w:i/>
          <w:iCs/>
          <w:lang w:val="en-GB"/>
        </w:rPr>
        <w:t>in statu nascendi</w:t>
      </w:r>
      <w:r w:rsidRPr="00BA623D">
        <w:rPr>
          <w:rFonts w:ascii="Garamond" w:hAnsi="Garamond"/>
          <w:lang w:val="en-GB"/>
        </w:rPr>
        <w:t xml:space="preserve"> korrigiert wird. In einer Reihe von Fällen gelingt es aber doch, und dann lachen wir jedesmal über die »Kinderdummheit«. Jede Aufdeckung eines solchen Unbewußten wirkt auf uns überhaupt als »komisch« </w:t>
      </w:r>
      <w:hyperlink r:id="rId338"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Viele meiner neurotischen, in psychoanalytischer Behandlung </w:t>
        </w:r>
        <w:r w:rsidRPr="00BA623D">
          <w:rPr>
            <w:rStyle w:val="innerfusslink3"/>
            <w:rFonts w:ascii="Garamond" w:hAnsi="Garamond" w:cs="Arial"/>
            <w:b/>
            <w:bCs/>
            <w:lang w:val="en-GB"/>
          </w:rPr>
          <w:lastRenderedPageBreak/>
          <w:t>stehenden Patienten pflegen regelmäßig durch ein Lachen zu bezeugen, daß es gelungen ist, ihrer bewußten Wahrnehmung das verhüllte Unbewußte getreulich zu zeigen, und sie lachen auch dann, wenn der Inhalt des Enthüllten es keineswegs rechtfertigen würde. Bedingung dafür ist allerdings, daß sie diesem Unbewußten nahe genug gekommen sind, um es zu erfassen, wenn der Arzt es erraten und ihnen vorgeführt hat.</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Leichter zu fassen sind die Charaktere dieser unbewußten Denkvorgänge in den Äußerungen der Kranken bei manchen psychischen Störungen. Es ist sehr wahrscheinlich, daß wir nach des alten Griesinger Vermutung imstande wären, die Delirien der Geisteskranken zu verstehen und als Mitteilungen zu verwerten, wenn wir nicht die Anforderungen des bewußten Denkens an sie stellen, sondern sie mit unserer Deutungskunst behandeln würden wie etwa die Träume </w:t>
      </w:r>
      <w:hyperlink r:id="rId339"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Dabei dürften wir nicht vergessen, der Entstellung infolge der auch in der Psychose noch wirksamen Zensur Rechnung zu tragen.</w:t>
        </w:r>
      </w:hyperlink>
      <w:r w:rsidRPr="00BA623D">
        <w:rPr>
          <w:rFonts w:ascii="Garamond" w:hAnsi="Garamond"/>
          <w:lang w:val="en-GB"/>
        </w:rPr>
        <w:t xml:space="preserve">. Auch für den Traum haben wir ja seinerzeit die »Rückkehr des Seelenlebens auf den embryonalen Standpunkt« zur Geltung gebracht </w:t>
      </w:r>
      <w:hyperlink r:id="rId340"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i/>
            <w:iCs/>
            <w:lang w:val="en-GB"/>
          </w:rPr>
          <w:t>Traumdeutung</w:t>
        </w:r>
        <w:r w:rsidRPr="00BA623D">
          <w:rPr>
            <w:rStyle w:val="innerfusslink3"/>
            <w:rFonts w:ascii="Garamond" w:hAnsi="Garamond" w:cs="Arial"/>
            <w:b/>
            <w:bCs/>
            <w:lang w:val="en-GB"/>
          </w:rPr>
          <w:t>.</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Wir haben an den Verdichtungsvorgängen die Bedeutung der Analogie von Witz und Traum so eingehend erörtert, daß wir uns im folgenden kürzer fassen dürfen. Wir wissen, daß die Verschiebungen bei der Traumarbeit auf die Einwirkung der Zensur des bewußten Denkens hindeuten, und werden demgemäß, wenn wir der Verschiebung unter den Techniken des Witzes begegnen, geneigt sein anzunehmen, daß auch bei der Witzbildung eine hemmende Macht eine Rolle spielt. Wir wissen auch bereits, daß dies ganz allgemein der Fall ist; das Bestreben des Witzes, die alte Lust am Unsinn oder die alte Wortlust zu gewinnen, findet bei normaler Stimmung an dem Einspruch der kritischen Vernunft eine Hemmung, die für jeden Einzelfall überwunden werden muß. Aber in der Art und Weise, wie die Witzarbeit diese Aufgabe löst, zeigt sich ein durchgreifender Unterschied zwischen dem Witz und dem Traum. In der Traumarbeit geschieht die Lösung dieser Aufgabe regelmäßig durch Verschiebungen, durch die Auswahl von Vorstellungen, welche weit genug entfernt von den beanstandeten sind, um Durchlaß bei der Zensur zu finden, und doch Abkömmlinge dieser sind, deren psychische Besetzung sie durch volle Übertragung auf sich übernommen haben. Die Verschiebungen fehlen darum bei keinem Traum und sind weit umfassender; nicht nur die Ablenkungen vom Gedankengang, sondern auch alle Arten der indirekten Darstellung sind zu den Verschiebungen zu rechnen, insbesondere der Ersatz eines bedeutsamen, aber anstößigen Elements durch ein indifferentes, aber der Zensur harmlos erscheinendes, welches wie eine entfernteste Anspielung an das erstere steht, der Ersatz durch eine Symbolik, ein Gleichnis, ein Kleines. Es ist nicht abzuweisen, daß Stücke dieser indirekten Darstellung bereits in den vorbewußten Gedanken des Traumes zustande kommen, so z. B. die symbolische und die Gleichnisdarstellung, weil sonst der Gedanke es überhaupt nicht zur Stufe des vorbewußten Ausdrucks gebracht hätte. Indirekte Darstellungen dieser Art und Anspielungen, deren Beziehung zum Eigentlichen leicht auffindbar ist, sind ja zulässige und vielgebrauchte Ausdrucksmittel auch in unserem bewußten Denken. Die Traumarbeit übertreibt aber die Anwendung dieser Mittel der indirekten Darstellung ins Schrankenlose. Jede Art von Zusammenhang wird unter dem Drucke der Zensur zum Ersatz durch Anspielung gut genug, die Verschiebung von einem Element her ist auf jedes andere gestattet. Ganz besonders auffällig und für die Traumarbeit charakteristisch ist die Ersetzung der inneren Assoziationen (Ähnlichkeit, Kausalzusammenhang usw.) durch die sogenannten äußeren (Gleichzeitigkeit, Kontiguität im Raum, Gleichklang).</w:t>
      </w:r>
    </w:p>
    <w:p w:rsidR="00BA623D" w:rsidRPr="00BA623D" w:rsidRDefault="00BA623D" w:rsidP="00BA623D">
      <w:pPr>
        <w:pStyle w:val="Sansinterligne"/>
        <w:rPr>
          <w:rFonts w:ascii="Garamond" w:hAnsi="Garamond"/>
          <w:lang w:val="en-GB"/>
        </w:rPr>
      </w:pPr>
      <w:r w:rsidRPr="00BA623D">
        <w:rPr>
          <w:rFonts w:ascii="Garamond" w:hAnsi="Garamond"/>
          <w:lang w:val="en-GB"/>
        </w:rPr>
        <w:t>Alle diese Verschiebungsmittel kommen auch als Techniken des Witzes vor, aber wenn sie vorkommen, halten sie zumeist die Grenzen ein, die ihrer Anwendung im bewußten Denken gezogen sind, und sie können überhaupt fehlen, obwohl ja auch der Witz regelmäßig eine Hemmungsaufgabe zu erledigen hat. Man versteht dies Zurücktreten der Verschiebungen bei der Witzarbeit, wenn man sich erinnert, daß dem Witz ganz allgemein eine andere Technik zu Gebote steht, mit welcher er sich der Hemmung erwehrt, ja daß wir nichts gefunden haben, was charakteristischer für ihn wäre als gerade diese Technik. Der Witz schafft nämlich nicht Kompromisse wie der Traum, er weicht der Hemmung nicht aus, sondern er besteht darauf, das Spiel mit dem Wort oder dem Unsinn unverändert zu erhalten, beschränkt sich aber auf die Auswahl von Fällen, in denen dieses Spiel oder dieser Unsinn doch gleichzeitig zulässig (Scherz) oder sinnreich (Witz) erscheinen kann, dank der Vieldeutigkeit der Worte und der Mannigfaltigkeit der Denkrelationen. Nichts scheidet den Witz besser von allen anderen psychischen Bildungen als diese seine Doppelseitigkeit und Doppelzüngigkeit, und wenigstens von dieser Seite haben sich die Autoren durch die Betonung des »Sinnes im Unsinn« der Erkenntnis des Witzes am meisten genähert.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Bei der ausnahmslosen Vorherrschaft dieser dem Witz besonderen Technik zur Überwindung seiner Hemmungen könnte man es überflüssig finden, daß er sich überhaupt noch in einzelnen Fällen der </w:t>
      </w:r>
      <w:r w:rsidRPr="00BA623D">
        <w:rPr>
          <w:rFonts w:ascii="Garamond" w:hAnsi="Garamond"/>
          <w:lang w:val="en-GB"/>
        </w:rPr>
        <w:lastRenderedPageBreak/>
        <w:t>Verschiebungstechnik bedient, allein einerseits bleiben gewisse Arten dieser Technik als Ziele und Lustquellen für den Witz wertvoll, wie z. B. die eigentliche Verschiebung (Gedankenablenkung), die ja die Natur des Unsinns teilt, anderseits darf man nicht vergessen, daß die höchste Stufe des Witzes, der tendenziöse Witz, häufig zweierlei Hemmungen zu überwinden hat, die ihm selbst und die seiner Tendenz entgegenstehenden (S. 110), und daß die Anspielungen und Verschiebungen ihm die letztere Aufgabe zu ermöglichen geeignet sind.</w:t>
      </w:r>
    </w:p>
    <w:p w:rsidR="00BA623D" w:rsidRPr="00BA623D" w:rsidRDefault="00BA623D" w:rsidP="00BA623D">
      <w:pPr>
        <w:pStyle w:val="Sansinterligne"/>
        <w:rPr>
          <w:rFonts w:ascii="Garamond" w:hAnsi="Garamond"/>
          <w:lang w:val="en-GB"/>
        </w:rPr>
      </w:pPr>
      <w:r w:rsidRPr="00BA623D">
        <w:rPr>
          <w:rFonts w:ascii="Garamond" w:hAnsi="Garamond"/>
          <w:lang w:val="en-GB"/>
        </w:rPr>
        <w:t>Die reichliche und zügellose Anwendung der indirekten Darstellung, der Verschiebungen und insbesondere Anspielungen in der Traumarbeit hat eine Folge, die ich nicht ihrer eigenen Bedeutung wegen erwähne, sondern weil sie der subjektive Anlaß für mich wurde, mich mit dem Problem des Witzes zu beschäftigen. Wenn man einem Unkundigen oder Ungewöhnten eine Traumanalyse mitteilt, in welcher also die sonderbaren, dem Wachdenken anstößigen Wege der Anspielungen und Verschiebungen dargelegt werden, deren sich die Traumarbeit bedient hat, so unterliegt der Leser einem ihm unbehaglichen Eindruck, erklärt diese Deutungen für »witzig«, erblickt aber in ihnen offenbar nicht gelungene Witze, sondern gezwungene und irgendwie gegen die Regeln des Witzes verstoßende. Dieser Eindruck ist nun leicht aufzuklären: er rührt daher, daß die Traumarbeit mit denselben Mitteln arbeitet wie der Witz, aber in der Anwendung derselben die Grenzen überschreitet, welche der Witz einhält. Wir werden auch alsbald hören, daß der Witz infolge der Rolle der dritten Person an eine gewisse Bedingung gebunden ist, welche den Traum nicht berührt.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Ein gewisses Interesse nehmen unter den Techniken, die Witz und Traum gemeinsam sind, die Darstellung durch das Gegenteil und die Verwendung des Widersinnes in Anspruch. Die erstere gehört zu den kräftig wirkenden Mitteln des Witzes, wie wir unter anderen an den Beispielen von »Überbietungswitz« ersehen konnten (S. 77). Die Darstellung durchs Gegenteil vermochte sich übrigens der bewußten Aufmerksamkeit nicht wie die meisten anderen Witztechniken zu entziehen; wer den Mechanismus der Witzarbeit bei sich möglichst absichtlich in Tätigkeit zu bringen sucht, der habituelle Witzling, pflegt bald herauszufinden, daß man auf eine Behauptung am leichtesten mit einem Witz erwidert, wenn man deren Gegenteil festhält und es dem Einfall überläßt, den gegen dies Gegenteil zu befürchtenden Einspruch durch eine Umdeutung zu beseitigen. Vielleicht verdankt die Darstellung durchs Gegenteil solche Bevorzugung dem Umstände, daß sie den Kern einer anderen lustbringenden Ausdrucksweise des Gedankens bildet, für deren Verständnis wir das Unbewußte nicht zu bemühen brauchen. Ich meine die </w:t>
      </w:r>
      <w:r w:rsidRPr="00BA623D">
        <w:rPr>
          <w:rFonts w:ascii="Garamond" w:hAnsi="Garamond"/>
          <w:i/>
          <w:iCs/>
          <w:lang w:val="en-GB"/>
        </w:rPr>
        <w:t>Ironie</w:t>
      </w:r>
      <w:r w:rsidRPr="00BA623D">
        <w:rPr>
          <w:rFonts w:ascii="Garamond" w:hAnsi="Garamond"/>
          <w:lang w:val="en-GB"/>
        </w:rPr>
        <w:t xml:space="preserve">, die sich dem Witze sehr annähert und zu den Unterarten der Komik gerechnet wird. Ihr Wesen besteht darin, das Gegenteil von dem, was man dem anderen mitzuteilen beabsichtigt, auszusagen, diesem aber den Widerspruch dadurch zu ersparen, daß man im Tonfall, in den begleitenden Gesten, in kleinen stilistischen Anzeichen – wenn es sich um schriftliche Darstellung handelt – zu verstehen gibt, man meine selbst das Gegenteil seiner Aussage. Die Ironie ist nur dort anwendbar, wo der andere das Gegenteil zu hören vorbereitet ist, so daß seine Neigung zum Widerspruch nicht ausbleiben kann. Infolge dieser Bedingtheit ist die Ironie der Gefahr, nicht verstanden zu werden, besonders leicht ausgesetzt. Sie bringt der sie anwendenden Person den Vorteil, daß sie die Schwierigkeiten direkter Äußerungen, z. B. bei Invektiven, leicht umgehen läßt; bei dem Hörer erzeugt sie komische Lust, wahrscheinlich, indem sie ihn zu einem Widerspruchsaufwand bewegt, der sofort als überflüssig erkannt wird. Ein solcher Vergleich des Witzes mit einer ihm nahestehenden Gattung des Komischen mag uns in der Annahme bestärken, daß die Beziehung zum Unbewußten das dem Witz Besondere ist, das ihn vielleicht auch von der Komik scheidet </w:t>
      </w:r>
      <w:hyperlink r:id="rId341"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Auf der Scheidung von Aussage und begleitenden Gebärden (im weitesten Sinne) beruht auch der Charakter der Komik, der als ihre »Trockenheit« bezeichnet wird.</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In der Traumarbeit fällt der Darstellung durchs Gegenteil eine noch weit größere Rolle zu als beim Witz. Der Traum liebt es nicht nur, zwei Gegensätze durch ein und dasselbe Mischgebilde darzustellen; er verwandelt auch so häufig ein Ding aus den Traumgedanken in sein Gegenteil, daß hieraus der Deutungsarbeit eine große Schwierigkeit erwächst. »Man weiß zunächst von keinem eines Gegenteils fähigen Elemente, ob es in den Traumgedanken positiv oder negativ enthalten ist.« </w:t>
      </w:r>
      <w:hyperlink r:id="rId342"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i/>
            <w:iCs/>
            <w:lang w:val="en-GB"/>
          </w:rPr>
          <w:t>Traumdeutung</w:t>
        </w:r>
        <w:r w:rsidRPr="00BA623D">
          <w:rPr>
            <w:rStyle w:val="innerfusslink3"/>
            <w:rFonts w:ascii="Garamond" w:hAnsi="Garamond" w:cs="Arial"/>
            <w:b/>
            <w:bCs/>
            <w:lang w:val="en-GB"/>
          </w:rPr>
          <w:t>.</w:t>
        </w:r>
      </w:hyperlink>
    </w:p>
    <w:p w:rsidR="00BA623D" w:rsidRPr="00BA623D" w:rsidRDefault="00BA623D" w:rsidP="00BA623D">
      <w:pPr>
        <w:pStyle w:val="Sansinterligne"/>
        <w:rPr>
          <w:rFonts w:ascii="Garamond" w:hAnsi="Garamond"/>
          <w:lang w:val="en-GB"/>
        </w:rPr>
      </w:pPr>
      <w:r w:rsidRPr="00BA623D">
        <w:rPr>
          <w:rFonts w:ascii="Garamond" w:hAnsi="Garamond"/>
          <w:lang w:val="en-GB"/>
        </w:rPr>
        <w:t xml:space="preserve">Ich muß hervorheben, daß diese Tatsache noch keineswegs Verständnis gefunden hat. Sie scheint aber einen wichtigen Charakter des unbewußten Denkens anzudeuten, dem aller Wahrscheinlichkeit nach ein dem »Urteilen« vergleichbarer Vorgang abgeht. An Stelle der Urteilsverwerfung findet man im Unbewußten die »Verdrängung«. Die Verdrängung kann wohl richtig als die Zwischenstufe zwischen dem Abwehrreflex und der Verurteilung beschrieben werden </w:t>
      </w:r>
      <w:hyperlink r:id="rId343"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 xml:space="preserve">Dies höchst merkwürdige und immer noch ungenügend erkannte Verhalten der Gegensatzrelation im Unbewußten ist wohl </w:t>
        </w:r>
        <w:r w:rsidRPr="00BA623D">
          <w:rPr>
            <w:rStyle w:val="innerfusslink3"/>
            <w:rFonts w:ascii="Garamond" w:hAnsi="Garamond" w:cs="Arial"/>
            <w:b/>
            <w:bCs/>
            <w:lang w:val="en-GB"/>
          </w:rPr>
          <w:lastRenderedPageBreak/>
          <w:t>nicht ohne Wert für das Verständnis des »Negativismus« bei Neurotikern und Geisteskranken. (Vgl. die beiden letzten Arbeiten darüber: Bleuler, 1904, und Otto Groß, 1904, ferner mein Referat ›Über den Gegensinn der Urworte‹.</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Der Unsinn, die Absurdität, die so häufig im Traum vorkommt und ihm soviel unverdiente Verachtung zugezogen hat, ist doch niemals zufällig durch die Zusammenwürfelung von Vorstellungselementen entstanden, sondern jedesmal als von der Traumarbeit absichtlich zugelassen nachzuweisen und zur Darstellung von erbitterter Kritik und verächtlichem Widerspruch innerhalb der Traumgedanken bestimmt. Die Absurdität des Trauminhalts ersetzt also das Urteil: Es ist ein Unsinn, in den Traumgedanken. Ich habe in meiner </w:t>
      </w:r>
      <w:r w:rsidRPr="00BA623D">
        <w:rPr>
          <w:rFonts w:ascii="Garamond" w:hAnsi="Garamond"/>
          <w:i/>
          <w:iCs/>
          <w:lang w:val="en-GB"/>
        </w:rPr>
        <w:t>Traumdeutung</w:t>
      </w:r>
      <w:r w:rsidRPr="00BA623D">
        <w:rPr>
          <w:rFonts w:ascii="Garamond" w:hAnsi="Garamond"/>
          <w:lang w:val="en-GB"/>
        </w:rPr>
        <w:t xml:space="preserve"> großen Nachdruck auf diesen Nachweis gelegt, weil ich den Irrtum, der Traum sei überhaupt kein psychisches Phänomen, der den Weg zur Erkenntnis des Unbewußten versperrt, auf diese Weise am eindringlichsten zu bekämpfen gedachte. Wir haben nun erfahren (bei der Auflösung gewisser tendenziöser Witze, S. 59), daß der Unsinn im Witze den gleichen Zwecken der Darstellung dienstbar gemacht wird. Wir wissen auch, daß eine unsinnige Fassade des Witzes ganz besonders geeignet ist, den psychischen Aufwand bei dem Hörer zu steigern und somit auch den zur Abfuhr durch Lachen frei werdenden Betrag zu erhöhen. Außerdem aber wollen wir nicht daran vergessen, daß der Unsinn im Witz Selbstzweck ist, da die Absicht, die alte Lust am Unsinn wiederzugewinnen, zu den Motiven der Witzarbeit gehört. Es gibt andere Wege, um den Unsinn wiederzugewinnen und Lust aus ihm zu ziehen; Karikatur, Übertreibung, Parodie und Travestie bedienen sich derselben und schaffen so den »komischen Unsinn«. Unterwerfen wir diese Ausdrucksformen einer ähnlichen Analyse, wie wir sie am Witz geübt haben, so werden wir finden, daß sich bei ihnen allen kein Anlaß ergibt, unbewußte Vorgänge in unserem Sinne zur Erklärung heranzuziehen. Wir verstehen nun auch, warum der Charakter des »Witzigen« zur Karikatur, Übertreibung, Parodie als Zutat hinzukommen kann; es ist die Verschiedenheit des »psychischen Schauplatzes«, die dies ermöglicht </w:t>
      </w:r>
      <w:hyperlink r:id="rId344" w:anchor="#" w:history="1">
        <w:r w:rsidRPr="00BA623D">
          <w:rPr>
            <w:rStyle w:val="fusslink"/>
            <w:rFonts w:ascii="Garamond" w:hAnsi="Garamond" w:cs="Arial"/>
            <w:b/>
            <w:bCs/>
            <w:color w:val="003399"/>
            <w:lang w:val="en-GB"/>
          </w:rPr>
          <w:t>[Fußnote]</w:t>
        </w:r>
        <w:r w:rsidRPr="00BA623D">
          <w:rPr>
            <w:rStyle w:val="innerfusslink3"/>
            <w:rFonts w:ascii="Garamond" w:hAnsi="Garamond" w:cs="Arial"/>
            <w:b/>
            <w:bCs/>
            <w:lang w:val="en-GB"/>
          </w:rPr>
          <w:t>Ein für meine Auffassung bedeutsam gewordener Ausdruck von G. Th. Fechner.</w:t>
        </w:r>
      </w:hyperlink>
      <w:r w:rsidRPr="00BA623D">
        <w:rPr>
          <w:rFonts w:ascii="Garamond" w:hAnsi="Garamond"/>
          <w:lang w:val="en-GB"/>
        </w:rPr>
        <w:t>.</w:t>
      </w:r>
    </w:p>
    <w:p w:rsidR="00BA623D" w:rsidRPr="00BA623D" w:rsidRDefault="00BA623D" w:rsidP="00BA623D">
      <w:pPr>
        <w:pStyle w:val="Sansinterligne"/>
        <w:rPr>
          <w:rFonts w:ascii="Garamond" w:hAnsi="Garamond"/>
          <w:lang w:val="en-GB"/>
        </w:rPr>
      </w:pPr>
      <w:r w:rsidRPr="00BA623D">
        <w:rPr>
          <w:rFonts w:ascii="Garamond" w:hAnsi="Garamond"/>
          <w:lang w:val="en-GB"/>
        </w:rPr>
        <w:t>Ich meine, die Verlegung der Witzarbeit in das System des Unbewußten ist uns um ein ganzes Stück wertvoller geworden, seitdem sie uns das Verständnis für die Tatsache eröffnet hat, daß die Techniken, an denen der Witz doch haftet, anderseits nicht sein ausschließliches Gut sind. Manche Zweifel, die wir während unserer anfänglichen Untersuchung dieser Techniken fürs nächste zurückstellen mußten, finden nun ihre bequeme Lösung. Um so mehr verdient unsere Würdigung ein Bedenken, welches uns sagen möchte, daß die unleugbar vorhandene Beziehung des Witzes zum Unbewußten nur für gewisse Kategorien des tendenziösen Witzes richtig ist, während wir bereit sind, dieselbe auf alle Arten und Entwicklungsstufen des Witzes auszudehnen. Wir dürfen uns der Prüfung dieses Einwandes nicht entziehen.</w:t>
      </w:r>
    </w:p>
    <w:p w:rsidR="00BA623D" w:rsidRPr="00BA623D" w:rsidRDefault="00BA623D" w:rsidP="00BA623D">
      <w:pPr>
        <w:pStyle w:val="Sansinterligne"/>
        <w:rPr>
          <w:rFonts w:ascii="Garamond" w:hAnsi="Garamond"/>
          <w:lang w:val="en-GB"/>
        </w:rPr>
      </w:pPr>
      <w:r w:rsidRPr="00BA623D">
        <w:rPr>
          <w:rFonts w:ascii="Garamond" w:hAnsi="Garamond"/>
          <w:lang w:val="en-GB"/>
        </w:rPr>
        <w:t>Der sichere Fall der Witzbildung im Unbewußten ist anzunehmen, wenn es sich um Witze im Dienste unbewußter oder durchs Unbewußte verstärkter Tendenzen handelt, also bei den meisten »zynischen« Witzen. Dann zieht nämlich die unbewußte Tendenz den vorbewußten Gedanken zu sich herab ins Unbewußte, um ihn dort umzuformen, ein Vorgang, zu welchem das Studium der Neurosenpsychologie zahlreiche Analogien kennen gelehrt hat. Bei den tendenziösen Witzen anderer Art, beim harmlosen Witz und beim Scherz scheint aber diese herabziehende Kraft wegzufallen, steht also die Beziehung des Witzes zum Unbewußten in Frage.</w:t>
      </w:r>
    </w:p>
    <w:p w:rsidR="00BA623D" w:rsidRPr="00BA623D" w:rsidRDefault="00BA623D" w:rsidP="00BA623D">
      <w:pPr>
        <w:pStyle w:val="Sansinterligne"/>
        <w:rPr>
          <w:rFonts w:ascii="Garamond" w:hAnsi="Garamond"/>
          <w:lang w:val="en-GB"/>
        </w:rPr>
      </w:pPr>
      <w:r w:rsidRPr="00BA623D">
        <w:rPr>
          <w:rFonts w:ascii="Garamond" w:hAnsi="Garamond"/>
          <w:lang w:val="en-GB"/>
        </w:rPr>
        <w:t>Fassen wir aber nun den Fall des witzigen Ausdrucks eines an sich nicht wertlosen, im Zusammenhange der Denkvorgänge auftauchenden Gedankens ins Auge. Um diesen Gedanken zum Witz werden zu lassen, bedarf es offenbar einer Auswahl unter den möglichen Ausdrucksformen, damit gerade jene gefunden werde, welche den Wortlustgewinn mit sich bringt. Wir wissen aus unserer Selbstbeobachtung, daß nicht die bewußte Aufmerksamkeit diese Auswahl trifft; es wird derselben aber gewiß zugute kommen, wenn die Besetzung des vorbewußten Gedankens zur unbewußten erniedrigt wird, denn im Unbewußten werden die vom Wort ausgehenden Verbindungswege, wie wir aus der Traumarbeit erfahren haben, den Sachverbindungen gleichartig behandelt. Die unbewußte Besetzung bietet der Auswahl des Ausdrucks die weitaus günstigeren Bedingungen. Wir können übrigens ohne weiteres annehmen, daß die Ausdrucksmöglichkeit, welche den Wortlustgewinn enthält, in ähnlicher Weise herabziehend auf die noch schwankende Fassung des vorbewußten Gedankens wirkt wie im ersteren Falle die unbewußte Tendenz. Für den simpleren Fall des Scherzes dürfen wir uns vorstellen, daß eine allzeit lauernde Absicht, den Wortlustgewinn zu erreichen, sich des Anlasses, der gerade im Vorbewußten gegeben ist, bemächtigt, um wiederum nach dem bekannten Schema den Besetzungsvorgang ins Unbewußte zu ziehen.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Ich wünschte gern, daß es mir möglich wäre, diesen einen entscheidenden Punkt in meiner Auffassung des Witzes einerseits klarer darzulegen, anderseits mit zwingenden Argumenten zu verstärken. Aber es </w:t>
      </w:r>
      <w:r w:rsidRPr="00BA623D">
        <w:rPr>
          <w:rFonts w:ascii="Garamond" w:hAnsi="Garamond"/>
          <w:lang w:val="en-GB"/>
        </w:rPr>
        <w:lastRenderedPageBreak/>
        <w:t>handelt sich hier in Wahrheit nicht um ein zweifaches, sondern um ein und das nämliche Mißlingen. Ich kann eine klarere Darstellung nicht geben, weil ich keine weiteren Beweise für meine Auffassung habe. Dieselbe ist mir aus dem Studium der Technik und aus dem Vergleich mit der Traumarbeit erwachsen, und zwar nur von dieser einen Seite her; ich kann dann finden, daß sie den Eigentümlichkeiten des Witzes im ganzen vortrefflich angepaßt ist. Diese Auffassung ist nun eine erschlossene; gelangt man mit solchem Schluß nicht auf ein bekanntes, sondern vielmehr auf ein fremdes, dem Denken neuartiges Gebiet, so nennt man den Schluß eine »Hypothese« und läßt mit Recht die Beziehung der Hypothese zu dem Material, aus dem sie erschlossen ist, nicht als »Beweis« gelten. Als »bewiesen« gilt diese erst dann, wenn man auch auf anderem Wege zu ihr gelangen, sie als den Knotenpunkt auch anderer Zusammenhänge aufzeigen kann. Solcher Beweis ist aber bei unserer kaum erst beginnenden Kenntnis der unbewußten Vorgänge nicht zu haben. In der Erkenntnis, daß wir auf einem überhaupt noch nicht betretenen Boden stehen, begnügen wir uns also damit, von unserem Standpunkt der Beobachtung ein einziges, schmales und schwankes Brett ins Unergründete hinauszuschieben.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Wir werden nicht viel auf dieser Grundlage aufbauen. Bringen wir die verschiedenen Stufen des Witzes in Beziehung zu den für sie günstigen seelischen Dispositionen, so können wir etwa sagen: Der </w:t>
      </w:r>
      <w:r w:rsidRPr="00BA623D">
        <w:rPr>
          <w:rFonts w:ascii="Garamond" w:hAnsi="Garamond"/>
          <w:i/>
          <w:iCs/>
          <w:lang w:val="en-GB"/>
        </w:rPr>
        <w:t>Scherz</w:t>
      </w:r>
      <w:r w:rsidRPr="00BA623D">
        <w:rPr>
          <w:rFonts w:ascii="Garamond" w:hAnsi="Garamond"/>
          <w:lang w:val="en-GB"/>
        </w:rPr>
        <w:t xml:space="preserve"> entspringt aus der heiteren Stimmung, der eine Neigung zur Herabminderung der seelischen Besetzungen eigentümlich scheint. Er bedient sich bereits aller charakteristischen Techniken des Witzes und erfüllt bereits die Grundbedingung desselben durch die Auswahl eines solchen Wortmaterials oder einer solchen Gedankenverknüpfung, wie sie sowohl den Anforderungen der Lustgewinnung als auch denen der verständigen Kritik genügen. Wir werden schließen, daß das Herabsinken der Gedankenbesetzung zur unbewußten Stufe, durch die heitere Stimmung erleichtert, schon beim Scherz zutreffe. Für den </w:t>
      </w:r>
      <w:r w:rsidRPr="00BA623D">
        <w:rPr>
          <w:rFonts w:ascii="Garamond" w:hAnsi="Garamond"/>
          <w:i/>
          <w:iCs/>
          <w:lang w:val="en-GB"/>
        </w:rPr>
        <w:t>harmlosen</w:t>
      </w:r>
      <w:r w:rsidRPr="00BA623D">
        <w:rPr>
          <w:rFonts w:ascii="Garamond" w:hAnsi="Garamond"/>
          <w:lang w:val="en-GB"/>
        </w:rPr>
        <w:t xml:space="preserve">, aber mit dem Ausdruck eines wertvollen Gedankens verknüpften </w:t>
      </w:r>
      <w:r w:rsidRPr="00BA623D">
        <w:rPr>
          <w:rFonts w:ascii="Garamond" w:hAnsi="Garamond"/>
          <w:i/>
          <w:iCs/>
          <w:lang w:val="en-GB"/>
        </w:rPr>
        <w:t>Witz</w:t>
      </w:r>
      <w:r w:rsidRPr="00BA623D">
        <w:rPr>
          <w:rFonts w:ascii="Garamond" w:hAnsi="Garamond"/>
          <w:lang w:val="en-GB"/>
        </w:rPr>
        <w:t xml:space="preserve"> fällt diese Förderung durch die Stimmung weg; wir bedürfen hier der Annahme einer besonderen </w:t>
      </w:r>
      <w:r w:rsidRPr="00BA623D">
        <w:rPr>
          <w:rFonts w:ascii="Garamond" w:hAnsi="Garamond"/>
          <w:i/>
          <w:iCs/>
          <w:lang w:val="en-GB"/>
        </w:rPr>
        <w:t>persönlichen Eignung</w:t>
      </w:r>
      <w:r w:rsidRPr="00BA623D">
        <w:rPr>
          <w:rFonts w:ascii="Garamond" w:hAnsi="Garamond"/>
          <w:lang w:val="en-GB"/>
        </w:rPr>
        <w:t>, die in der Leichtigkeit zum Ausdruck kommt, mit welcher die vorbewußte Besetzung fallengelassen und für einen Moment mit der unbewußten vertauscht wird. Eine stets lauernde Tendenz, den ursprünglichen Lustgewinn des Witzes zu erneuern, wirkt hiebei herabziehend auf den noch schwankenden vorbewußten Ausdruck des Gedankens. In heiterer Stimmung sind wohl die meisten Menschen fähig, Scherze zu produzieren; die Eignung zum Witz ist nur bei wenigen Personen unabhängig von der Stimmung vorhanden. Endlich wirkt als kräftigste Anregung zur Witzarbeit das Vorhandensein starker, bis ins Unbewußte reichender Tendenzen, die eine besondere Eignung zur witzigen Produktion darstellen und uns erklären mögen, daß die subjektiven Bedingungen des Witzes so häufig bei neurotischen Personen erfüllt sind. Unter dem Einfluß starker Tendenzen kann auch der sonst Ungeeignete witzig werden.</w:t>
      </w:r>
    </w:p>
    <w:p w:rsidR="00BA623D" w:rsidRPr="00BA623D" w:rsidRDefault="00BA623D" w:rsidP="00BA623D">
      <w:pPr>
        <w:pStyle w:val="Sansinterligne"/>
        <w:rPr>
          <w:rFonts w:ascii="Garamond" w:hAnsi="Garamond"/>
          <w:lang w:val="en-GB"/>
        </w:rPr>
      </w:pPr>
      <w:r w:rsidRPr="00BA623D">
        <w:rPr>
          <w:rFonts w:ascii="Garamond" w:hAnsi="Garamond"/>
          <w:lang w:val="en-GB"/>
        </w:rPr>
        <w:t xml:space="preserve">Mit diesem letzten Beitrag, der wenn auch hypothetisch gebliebenen Aufklärung der Witzarbeit bei der ersten Person, ist aber unser Interesse am Witz strenggenommen erledigt. Es erübrigt uns etwa noch eine kurze Vergleichung des Witzes mit dem besser bekannten Traum, der wir die Erwartung vorausschicken werden, daß zwei so verschiedenartige seelische Leistungen neben der einen bereits gewürdigten Übereinstimmung nur noch Unterschiede erkennen lassen dürften. Der wichtigste Unterschied liegt in ihrem sozialen Verhalten. Der Traum ist ein vollkommen asoziales seelisches Produkt; er hat einem anderen nichts mitzuteilen; innerhalb einer Person als Kompromiß der in ihr ringenden seelischen Kräfte entstanden, bleibt er dieser Person selbst unverständlich und ist darum für eine andere völlig uninteressant. Nicht nur daß er keinen Wert auf Verständlichkeit zu legen braucht, er muß sich sogar hüten verstanden zu werden, da er sonst zerstört würde; er kann nur in der Vermummung bestehen. Er darf sich darum ungehindert des Mechanismus, der die unbewußten Denkvorgänge beherrscht, bis zu einer nicht mehr redressierbaren Entstellung bedienen. Der Witz dagegen ist die sozialste aller auf Lustgewinn zielenden seelischen Leistungen. Er benötigt oftmals dreier Personen und verlangt seine Vollendung durch die Teilnahme eines anderen an dem von ihm angeregten seelischen Vorgange. Er muß sich also an die Bedingung der Verständlichkeit binden, darf die im Unbewußten mögliche Entstellung durch Verdichtung und Verschiebung in keinem weiteren Ausmaße in Anspruch nehmen, als soweit dieselbe durch das Verständnis der dritten Person redressierbar ist. Im übrigen sind die beiden, Witz und Traum, auf ganz verschiedenen Gebieten des Seelenlebens erwachsen und an weit voneinander entlegenen Stellen des psychologischen Systems unterzubringen. Der Traum ist immer noch ein, wiewohl unkenntlich gemachter, Wunsch; der Witz ist ein entwickeltes Spiel. Der Traum behält trotz all seiner praktischen Nichtigkeit die Beziehung zu den großen Interessen des Lebens bei; er sucht die Bedürfnisse auf dem regressiven Umwege der Halluzination zu erfüllen, und er verdankt seine Zulassung dem einzig während des Nachtzustandes regen Bedürfnis zu schlafen. Der Witz hingegen sucht einen kleinen Lustgewinn aus der bloßen, bedürfnisfreien Tätigkeit unseres seelischen Apparats zu ziehen, später einen solchen als </w:t>
      </w:r>
      <w:r w:rsidRPr="00BA623D">
        <w:rPr>
          <w:rFonts w:ascii="Garamond" w:hAnsi="Garamond"/>
          <w:lang w:val="en-GB"/>
        </w:rPr>
        <w:lastRenderedPageBreak/>
        <w:t xml:space="preserve">Nebengewinn während der Tätigkeit desselben zu erhaschen, und gelangt so </w:t>
      </w:r>
      <w:r w:rsidRPr="00BA623D">
        <w:rPr>
          <w:rFonts w:ascii="Garamond" w:hAnsi="Garamond"/>
          <w:i/>
          <w:iCs/>
          <w:lang w:val="en-GB"/>
        </w:rPr>
        <w:t>sekundär</w:t>
      </w:r>
      <w:r w:rsidRPr="00BA623D">
        <w:rPr>
          <w:rFonts w:ascii="Garamond" w:hAnsi="Garamond"/>
          <w:lang w:val="en-GB"/>
        </w:rPr>
        <w:t xml:space="preserve"> zu nicht unwichtigen, der Außenwelt zugewendeten Funktionen. Der Traum dient vorwiegend der Unlustersparnis, der Witz dem Lusterwerb; in diesen beiden Zielen treffen aber alle unsere seelischen Tätigkeiten zusammen</w:t>
      </w:r>
    </w:p>
    <w:p w:rsidR="00BA623D" w:rsidRPr="00BA623D" w:rsidRDefault="00BA623D" w:rsidP="00BA623D">
      <w:pPr>
        <w:pStyle w:val="Sansinterligne"/>
        <w:rPr>
          <w:rFonts w:ascii="Garamond" w:hAnsi="Garamond"/>
          <w:b/>
          <w:lang w:val="en-GB"/>
        </w:rPr>
      </w:pPr>
    </w:p>
    <w:p w:rsidR="007D5EBB" w:rsidRDefault="007D5EBB">
      <w:pPr>
        <w:rPr>
          <w:rFonts w:ascii="Garamond" w:hAnsi="Garamond" w:cs="Arial"/>
          <w:b/>
          <w:bCs/>
          <w:lang w:val="en-GB"/>
        </w:rPr>
      </w:pPr>
      <w:r>
        <w:rPr>
          <w:rFonts w:ascii="Garamond" w:hAnsi="Garamond" w:cs="Arial"/>
          <w:b/>
          <w:bCs/>
          <w:lang w:val="en-GB"/>
        </w:rPr>
        <w:br w:type="page"/>
      </w:r>
    </w:p>
    <w:p w:rsidR="00BA623D" w:rsidRPr="00BA623D" w:rsidRDefault="00B437A1" w:rsidP="00BA623D">
      <w:pPr>
        <w:pStyle w:val="Sansinterligne"/>
        <w:rPr>
          <w:rFonts w:ascii="Garamond" w:hAnsi="Garamond"/>
          <w:b/>
          <w:lang w:val="en-GB"/>
        </w:rPr>
      </w:pPr>
      <w:hyperlink w:anchor="Witz_INHALT" w:history="1">
        <w:r w:rsidR="00BA623D" w:rsidRPr="007D5EBB">
          <w:rPr>
            <w:rStyle w:val="Lienhypertexte"/>
            <w:rFonts w:ascii="Garamond" w:hAnsi="Garamond" w:cs="Arial"/>
            <w:b/>
            <w:bCs/>
            <w:lang w:val="en-GB"/>
          </w:rPr>
          <w:t>VII. De</w:t>
        </w:r>
        <w:bookmarkStart w:id="111" w:name="W7"/>
        <w:bookmarkEnd w:id="111"/>
        <w:r w:rsidR="00BA623D" w:rsidRPr="007D5EBB">
          <w:rPr>
            <w:rStyle w:val="Lienhypertexte"/>
            <w:rFonts w:ascii="Garamond" w:hAnsi="Garamond" w:cs="Arial"/>
            <w:b/>
            <w:bCs/>
            <w:lang w:val="en-GB"/>
          </w:rPr>
          <w:t>r Witz und die Arten des Komischen</w:t>
        </w:r>
      </w:hyperlink>
    </w:p>
    <w:p w:rsidR="00BA623D" w:rsidRPr="00BA623D" w:rsidRDefault="00BA623D" w:rsidP="00BA623D">
      <w:pPr>
        <w:pStyle w:val="Sansinterligne"/>
        <w:rPr>
          <w:rFonts w:ascii="Garamond" w:hAnsi="Garamond"/>
          <w:lang w:val="en-GB"/>
        </w:rPr>
      </w:pPr>
    </w:p>
    <w:p w:rsidR="00BA623D" w:rsidRPr="00BA623D" w:rsidRDefault="00BA623D" w:rsidP="00BA623D">
      <w:pPr>
        <w:pStyle w:val="Sansinterligne"/>
        <w:rPr>
          <w:rFonts w:ascii="Garamond" w:hAnsi="Garamond"/>
          <w:lang w:val="en-US"/>
        </w:rPr>
      </w:pPr>
      <w:r w:rsidRPr="00BA623D">
        <w:rPr>
          <w:rFonts w:ascii="Garamond" w:hAnsi="Garamond"/>
          <w:lang w:val="en-GB"/>
        </w:rPr>
        <w:t xml:space="preserve">Wir haben uns den Problemen des Komischen auf eine ungewöhnliche Weise genähert. Es schien uns, daß der Witz, der sonst als eine Unterart der Komik betrachtet wird, genug der Eigentümlichkeiten biete, um direkt in Angriff genommen zu werden, und so sind wir seiner Beziehung zu der umfassenderen Kategorie des Komischen, solange es uns möglich war, ausgewichen, nicht ohne unterwegs einige fürs Komische verwertbare Hinweise aufzugreifen. </w:t>
      </w:r>
      <w:r w:rsidRPr="00BA623D">
        <w:rPr>
          <w:rFonts w:ascii="Garamond" w:hAnsi="Garamond"/>
          <w:lang w:val="en-US"/>
        </w:rPr>
        <w:t>Wir haben ohne Schwierigkeiten gefunden, daß das Komische sich sozial anders verhält als der Witz. Es kann sich mit nur zwei Personen begnügen, der einen, die das Komische findet, und der zweiten, an der es gefunden wird. Die dritte Person, der das Komische mitgeteilt wird, verstärkt den komischen Vorgang, fügt aber nichts Neues zu ihm hinzu. Beim Witz ist diese dritte Person zur Vollendung des lustbringenden Vorganges unentbehrlich; dagegen kann die zweite wegfallen, wo es sich nicht um tendenziösen, aggressiven Witz handelt. Der Witz wird gemacht, die Komik wird gefunden, und zwar zu allererst an Personen, erst in weiterer Übertragung auch an Objekten, Situationen u. dgl. Vom Witz wissen wir, daß nicht fremde Personen, sondern die eigenen Denkvorgänge die Quellen der zu fördernden Lust in sich bergen. Wir haben ferner gehört, daß der Witz gelegentlich unzugänglich gewordene Quellen der Komik wieder zu eröffnen weiß und daß das Komische häufig dem Witz als Fassade dient und ihm die sonst durch die bekannte Technik herzustellende Vorlust ersetzt (S. 170). Es deutet dies alles gerade nicht auf sehr einfache Beziehungen zwischen Witz und Komik hin. Anderseits haben sich die Probleme des Komischen als so komplizierte erwiesen, allen Lösungsbestrebungen der Philosophen bisher so erfolgreich getrotzt, daß wir die Erwartung nicht aufrechterhalten können, wir würden ihrer gleichsam durch einen Handstreich Meister werden, wenn wir von der Seite des Witzes her an sie herankommen. Auch brachten wir für die Erforschung des Witzes ein Instrument mit, welches anderen noch nicht gedient hatte, die Kenntnis der Traumarbeit; zur Erkenntnis des Komischen steht uns kein ähnlicher Vorteil zu Gebote, und wir dürfen daher gewärtig sein, daß wir vom Wesen der Komik nichts anderes erkennen werden, als was sich uns bereits im Witz gezeigt hat, insofern derselbe dem Komischen zugehört und gewisse Züge desselben unverändert oder modifiziert in seinem eigenen Wesen führt.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Diejenige Gattung des Komischen, welche dem Witze am nächsten steht, ist das </w:t>
      </w:r>
      <w:r w:rsidRPr="00BA623D">
        <w:rPr>
          <w:rFonts w:ascii="Garamond" w:hAnsi="Garamond"/>
          <w:i/>
          <w:iCs/>
          <w:lang w:val="en-US"/>
        </w:rPr>
        <w:t>Naive</w:t>
      </w:r>
      <w:r w:rsidRPr="00BA623D">
        <w:rPr>
          <w:rFonts w:ascii="Garamond" w:hAnsi="Garamond"/>
          <w:lang w:val="en-US"/>
        </w:rPr>
        <w:t xml:space="preserve">. Das Naive wird wie das Komische im allgemeinen gefunden, nicht wie der Witz gemacht, und zwar kann das Naive überhaupt nicht gemacht werden, während beim rein Komischen auch ein Komischmachen, ein Hervorrufen der Komik in Betracht kommt. Das Naive muß sich ohne unser Dazutun ergeben an den Reden und Handlungen anderer Personen, die an der Stelle der </w:t>
      </w:r>
      <w:r w:rsidRPr="00BA623D">
        <w:rPr>
          <w:rFonts w:ascii="Garamond" w:hAnsi="Garamond"/>
          <w:i/>
          <w:iCs/>
          <w:lang w:val="en-US"/>
        </w:rPr>
        <w:t>zweiten</w:t>
      </w:r>
      <w:r w:rsidRPr="00BA623D">
        <w:rPr>
          <w:rFonts w:ascii="Garamond" w:hAnsi="Garamond"/>
          <w:lang w:val="en-US"/>
        </w:rPr>
        <w:t xml:space="preserve"> Person beim Komischen oder beim Witze stehen. Das Naive entsteht, wenn sich jemand über eine Hemmung voll hinaussetzt, weil eine solche bei ihm nicht vorhanden ist, wenn er sie also mühelos zu überwinden scheint. Bedingung für die Wirkung des Naiven ist, daß uns bekannt sei, er besitze diese Hemmung nicht, sonst heißen wir ihn nicht naiv, sondern frech, lachen nicht über ihn, sondern sind über ihn entrüstet. Die Wirkung des Naiven ist unwiderstehlich und scheint dem Verständnis einfach. Ein von uns gewohnheitsmäßig gemachter Hemmungsaufwand wird durch das Anhören der naiven Rede plötzlich unverwendbar und durch Lachen abgeführt; eine Ablenkung der Aufmerksamkeit braucht es dabei nicht, wahrscheinlich weil die Aufhebung der Hemmung direkt und nicht durch Vermittlung einer angeregten Operation erfolgt. Wir verhalten uns dabei analog der dritten Person des Witzes, welcher die Hemmungsersparung ohne eigene Bemühung geschenkt wird.</w:t>
      </w:r>
    </w:p>
    <w:p w:rsidR="00BA623D" w:rsidRPr="00BA623D" w:rsidRDefault="00BA623D" w:rsidP="00BA623D">
      <w:pPr>
        <w:pStyle w:val="Sansinterligne"/>
        <w:rPr>
          <w:rFonts w:ascii="Garamond" w:hAnsi="Garamond"/>
          <w:lang w:val="en-US"/>
        </w:rPr>
      </w:pPr>
      <w:r w:rsidRPr="00BA623D">
        <w:rPr>
          <w:rFonts w:ascii="Garamond" w:hAnsi="Garamond"/>
          <w:lang w:val="en-US"/>
        </w:rPr>
        <w:t>Nach den Einblicken in die Genese der Hemmungen, welche wir bei der Verfolgung der Entwicklung vom Spiel zum Witz gewonnen haben, wird es uns nicht wundern, daß das Naive zu allermeist am Kind gefunden wird, in weiterer Übertragung dann beim ungebildeten Erwachsenen, den wir als kindlich betreffs seiner intellektuellen Ausbildung auffassen können. Zum Vergleiche mit dem Witze bieten sich naive Reden natürlich besser als naive Handlungen, da Reden und nicht Handlungen die gewöhnlichen Äußerungsformen des Witzes sind. Es ist nun bezeichnend, daß man naive Reden wie die der Kinder ohne Zwang auch als »naive Witze« benennen kann. Die Übereinstimmung und die Begründung der Verschiedenheit zwischen Witz und Naivität wird uns an einigen Beispielen leicht ersichtlich werden.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Ein 3½jähriges Mädchen warnt seinen Bruder: »Du, iß nicht soviel von dieser Speise, sonst wirst du krank werden und mußt Bubizin nehmen.« »Bubizin?« fragt die Mutter, »was ist denn das?« »Wie ich krank war«, rechtfertigt sich das Kind, »habe ich ja auch Medizin nehmen müssen.« Das Kind ist der Meinung, daß das vom Arzt verschriebene Mittel Mädi-zin heißt, wenn es für das Mädi bestimmt ist, und schließt, daß es Bubi-zin heißen wird, wenn das Bubi es nehmen soll. Dies ist nun gemacht wie ein Wortwitz, der mit der Technik des Gleichklangs arbeitet, und könnte sich ja auch als wirklicher Witz zugetragen haben, in </w:t>
      </w:r>
      <w:r w:rsidRPr="00BA623D">
        <w:rPr>
          <w:rFonts w:ascii="Garamond" w:hAnsi="Garamond"/>
          <w:lang w:val="en-US"/>
        </w:rPr>
        <w:lastRenderedPageBreak/>
        <w:t xml:space="preserve">welchem Falle wir ihm halb widerwillig ein Lächeln geschenkt hätten. </w:t>
      </w:r>
      <w:r w:rsidRPr="00BA623D">
        <w:rPr>
          <w:rFonts w:ascii="Garamond" w:hAnsi="Garamond"/>
        </w:rPr>
        <w:t xml:space="preserve">Als Beispiel einer Naivität scheint es uns ganz ausgezeichnet und macht uns laut lachen. </w:t>
      </w:r>
      <w:r w:rsidRPr="00BA623D">
        <w:rPr>
          <w:rFonts w:ascii="Garamond" w:hAnsi="Garamond"/>
          <w:lang w:val="en-US"/>
        </w:rPr>
        <w:t>Was stellt aber hier den Unterschied zwischen dem Witz und dem Naiven her? Offenbar nicht der Wortlaut oder die Technik, die für beide Möglichkeiten die gleichen sind, sondern ein für den ersten Anblick von beiden recht fernab liegendes Moment. Es handelt sich nur darum, ob wir annehmen, daß der Sprecher einen Witz beabsichtigt habe oder daß er – das Kind – im guten Glauben auf Grund seiner unkorrigierten Unwissenheit einen ernsthaften Schluß habe ziehen wollen. Nur der letztere Fall ist einer der Naivität. Auf ein solches Sichhineinversetzen der anderen Person in den psychischen Vorgang bei der produzierenden Person werden wir hier zuerst aufmerksam gemacht.</w:t>
      </w:r>
    </w:p>
    <w:p w:rsidR="00BA623D" w:rsidRPr="00BA623D" w:rsidRDefault="00BA623D" w:rsidP="00BA623D">
      <w:pPr>
        <w:pStyle w:val="Sansinterligne"/>
        <w:rPr>
          <w:rFonts w:ascii="Garamond" w:hAnsi="Garamond"/>
          <w:lang w:val="en-US"/>
        </w:rPr>
      </w:pPr>
      <w:r w:rsidRPr="00BA623D">
        <w:rPr>
          <w:rFonts w:ascii="Garamond" w:hAnsi="Garamond"/>
          <w:lang w:val="en-US"/>
        </w:rPr>
        <w:t>Die Untersuchung eines zweiten Beispieles wird diese Auffassung bestätigen. Ein Geschwisterpaar, ein 12jähriges Mädchen und ein 10jähriger Knabe, führen ein von ihnen selbst komponiertes Theaterstück vor einem Parterre von Onkeln und Tanten auf. Die Szene stellt eine Hütte am Meeresstrande dar. Im ersten Akt klagen die beiden Dichter-Schauspieler, ein armer Fischer und sein braves Weib, über die harten Zeiten und den schlechten Erwerb. Der Mann beschließt, auf seinem Boot über das weite Meer zu fahren, um anderswo den Reichtum zu suchen, und nach einem zärtlichen Abschied der beiden wird der Vorhang zugezogen. Der zweite Akt spielt einige Jahre später. Der Fischer ist als reicher Mann mit einem großen Geldbeutel zurückgekehrt und erzählt der Frau, die er vor der Hütte wartend antrifft, wie schön es ihm draußen geglückt ist. Die Frau unterbricht ihn stolz: Ich war aber auch nicht faul unterdessen, und öffnet seinen Blicken die Hütte, auf deren Boden man zwölf große Puppen als Kinder schlafen sieht ... An dieser Stelle des Schauspieles wurden die Darsteller durch ein sturmartiges Lachen der Zuschauer unterbrochen, welches sie sich nicht erklären konnten. Sie starrten verdutzt auf die lieben Verwandten hin, die sich soweit anständig benommen und gespannt zugehört hatten. Die Voraussetzung, unter der dieses Lachen sich erklärt, ist die Annahme der Zuschauer, daß die jungen Dichter noch nichts von den Bedingungen der Entstehung der Kinder wissen und darum glauben können, eine Frau würde sich der in längerer Abwesenheit des Mannes geborenen Nachkommenschaft rühmen und ein Mann sich mit ihr freuen dürfen. Was die Dichter auf Grund solcher Unwissenheit produzierten, kann man aber als Unsinn, als Absurdität bezeichnen.</w:t>
      </w:r>
    </w:p>
    <w:p w:rsidR="00BA623D" w:rsidRPr="00BA623D" w:rsidRDefault="00BA623D" w:rsidP="00BA623D">
      <w:pPr>
        <w:pStyle w:val="Sansinterligne"/>
        <w:rPr>
          <w:rFonts w:ascii="Garamond" w:hAnsi="Garamond"/>
          <w:lang w:val="en-US"/>
        </w:rPr>
      </w:pPr>
      <w:r w:rsidRPr="00BA623D">
        <w:rPr>
          <w:rFonts w:ascii="Garamond" w:hAnsi="Garamond"/>
          <w:lang w:val="en-US"/>
        </w:rPr>
        <w:t>Ein drittes Beispiel wird uns eine noch andere Technik, die wir beim Witze kennengelernt haben, im Dienste des Naiven zeigen. Für ein kleines Mädchen wird eine »Französin« als Gouvernante aufgenommen, deren Person aber nicht ihren Beifall findet. Kaum daß die neu Engagierte sich entfernt hat, läßt die Kleine ihre Kritik verlauten: »Das soll eine Französin sein! Vielleicht heißt sie sich so, weil sie einmal bei einem Franzosen gelegen ist!« Dies könnte ein sogar erträglicher Witz sein – Doppelsinn mit Zweideutigkeit oder zweideutiger Anspielung, wenn das Kind von der Möglichkeit des Doppelsinnes eine Ahnung gehabt hätte. In Wirklichkeit hatte sie nur eine oft gehörte scherzhafte Behauptung der Unechtheit auf die ihr unsympathische Fremde übertragen. (»Das soll echtes Gold sein? Das ist vielleicht einmal bei Gold gelegen!«) Wegen dieser Unkenntnis des Kindes, die den psychischen Vorgang bei den verstehenden Zuhörern so gründlich abändert, wird seine Rede eine naive. Infolge dieser Bedingung gibt es aber auch ein mißverständlich Naives; man kann beim Kind eine Unwissenheit annehmen, die nicht mehr besteht, und Kinder pflegen sich häufig naiv zu stellen, um sich einer Freiheit zu bedienen, die ihnen sonst nicht zugestanden würde.</w:t>
      </w:r>
    </w:p>
    <w:p w:rsidR="00BA623D" w:rsidRPr="00BA623D" w:rsidRDefault="00BA623D" w:rsidP="00BA623D">
      <w:pPr>
        <w:pStyle w:val="Sansinterligne"/>
        <w:rPr>
          <w:rFonts w:ascii="Garamond" w:hAnsi="Garamond"/>
          <w:lang w:val="en-US"/>
        </w:rPr>
      </w:pPr>
      <w:r w:rsidRPr="00BA623D">
        <w:rPr>
          <w:rFonts w:ascii="Garamond" w:hAnsi="Garamond"/>
          <w:lang w:val="en-US"/>
        </w:rPr>
        <w:t>An diesen Beispielen kann man die Stellung des Naiven zwischen dem Witz und dem Komischen erläutern. Mit dem Witz stimmt das Naive (der Rede) im Wortlaut und im Inhalt überein, es bringt einen Wortmißbrauch, einen Unsinn oder eine Zote zustande. Aber der psychische Vorgang in der ersten produzierenden Person, der uns beim Witze so viel des Interessanten und Rätselhaften bot, entfällt hier völlig. Die naive Person vermeint sich ihrer Ausdrucksmittel und Denkwege in normaler und einfacher Weise bedient zu haben und weiß nichts von einer Nebenabsicht; sie zieht aus der Produktion des Naiven auch keinen Lustgewinn. Alle Charaktere des Naiven bestehen nur in der Auffassung der anhörenden Person, die mit der dritten Person des Witzes zusammenfällt. Die produzierende Person erzeugt ferner das Naive mühelos; die komplizierte Technik, die beim Witz dazu bestimmt ist, die Hemmung durch die verständige Kritik zu lähmen, entfällt bei ihr, weil sie diese Hemmung noch nicht besitzt, so daß sie Unsinn und Zote unmittelbar und ohne Kompromiß von sich geben kann. Insofern ist das Naive der Grenzfall des Witzes, der sich herausstellt, wenn man in der Formel der Witzbildung die Größe dieser Zensur auf Null heruntersetzt.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War es für die Wirksamkeit des Witzes Bedingung, daß beide Personen unter ungefähr gleichen Hemmungen oder inneren Widerständen stehen, so läßt sich also als Bedingung des Naiven erkennen, daß die eine Person Hemmungen besitze, deren die andere entbehrt. Bei der mit Hemmungen versehenen Person liegt die Auffassung des Naiven, ausschließlich bei ihr kommt der Lustgewinn, den das Naive </w:t>
      </w:r>
      <w:r w:rsidRPr="00BA623D">
        <w:rPr>
          <w:rFonts w:ascii="Garamond" w:hAnsi="Garamond"/>
          <w:lang w:val="en-US"/>
        </w:rPr>
        <w:lastRenderedPageBreak/>
        <w:t>bringt, zustande, und wir sind nahe daran zu erraten, daß diese Lust durch Hemmungsaufhebung entsteht. Da die Lust des Witzes der nämlichen Herkunft ist – ein Kern von Wort- und Unsinnslust und eine Hülle von Aufhebungs- und Erleichterungslust –, so begründet diese ähnliche Beziehung zur Hemmung die innere Verwandtschaft des Naiven mit dem Witze. Bei beiden entsteht die Lust durch Aufhebung von innerer Hemmung. Der psychische Vorgang bei der rezeptiven Person (mit der beim Naiven unser Ich regelmäßig zusammenfällt, während wir uns beim Witz auch an die Stelle der produktiven setzen können) ist aber im Falle des Naiven um soviel komplizierter, als der bei der produktiven Person im Vergleich mit dem Witze vereinfacht ist. Auf die rezeptive Person muß das gehörte Naive einerseits wirken wie ein Witz, wofür gerade unsere Beispiele Zeugnis ablegen können, denn ihr ist wie beim Witz die Aufhebung der Zensur durch die bloße Mühe des Anhörens ermöglicht worden. Aber nur ein Teil der Lust, die das Naive schafft, läßt diese Erklärung zu, ja selbst dieser wäre in anderen Fällen des Naiven, z. B. beim Anhören von naiven Zoten gefährdet. Man könnte auf eine naive Zote ohne weiteres mit der nämlichen Entrüstung reagieren, die sich etwa gegen die wirkliche Zote erhebt, wenn nicht ein anderes Moment uns diese Entrüstung ersparen und gleichzeitig den bedeutsameren Anteil der Lust am Naiven liefern würde.</w:t>
      </w:r>
    </w:p>
    <w:p w:rsidR="00BA623D" w:rsidRPr="00BA623D" w:rsidRDefault="00BA623D" w:rsidP="00BA623D">
      <w:pPr>
        <w:pStyle w:val="Sansinterligne"/>
        <w:rPr>
          <w:rFonts w:ascii="Garamond" w:hAnsi="Garamond"/>
          <w:lang w:val="en-US"/>
        </w:rPr>
      </w:pPr>
      <w:r w:rsidRPr="00BA623D">
        <w:rPr>
          <w:rFonts w:ascii="Garamond" w:hAnsi="Garamond"/>
          <w:lang w:val="en-US"/>
        </w:rPr>
        <w:t>Dieses andere Moment ist uns durch die vorhin erwähnte Bedingung gegeben, daß uns, um das Naive anzuerkennen, das Fehlen der inneren Hemmung bei der produzierenden Person bekannt sein müsse. Nur wenn dies gesichert ist, lachen wir, anstatt uns zu entrüsten. Wir ziehen also den psychischen Zustand der produzierenden Person in Betracht, versetzen uns in denselben, suchen ihn zu verstehen, indem wir ihn mit dem unserigen vergleichen. Aus solchem Sichhineinversetzen und Vergleichen resultiert eine Ersparung von Aufwand, die wir durch Lachen abführen.</w:t>
      </w:r>
    </w:p>
    <w:p w:rsidR="00BA623D" w:rsidRPr="00BA623D" w:rsidRDefault="00BA623D" w:rsidP="00BA623D">
      <w:pPr>
        <w:pStyle w:val="Sansinterligne"/>
        <w:rPr>
          <w:rFonts w:ascii="Garamond" w:hAnsi="Garamond"/>
          <w:lang w:val="en-US"/>
        </w:rPr>
      </w:pPr>
      <w:r w:rsidRPr="00BA623D">
        <w:rPr>
          <w:rFonts w:ascii="Garamond" w:hAnsi="Garamond"/>
          <w:lang w:val="en-US"/>
        </w:rPr>
        <w:t>Man könnte die einfachere Darstellung bevorzugen, durch die Überlegung, daß die Person keine Hemmung zu überwinden brauchte, werde unsere Entrüstung überflüssig; das Lachen geschehe also auf Kosten der ersparten Entrüstung. Um diese im allgemeinen irreführende Auffassung fernzuhalten, will ich zwei Fälle schärfer sondern, die ich in obiger Darstellung vereinigt hatte. Das Naive, das vor uns hintritt, kann entweder von der Natur des Witzes sein wie in unseren Beispielen, oder von der Natur der Zote, des Anstößigen überhaupt, was dann besonders zutreffen wird, wenn es sich nicht als Rede, sondern als Handlung äußert. Dieser letztere Fall ist wirklich irreführend; man könnte für ihn annehmen, die Lust entstehe aus der ersparten und umgewandelten Entrüstung. Aber der erstere Fall ist der aufklärende. Die naive Rede, z. B. vom Bubizin, kann an sich wirken wie ein geringer Witz und zur Entrüstung keinen Anlaß geben; es ist dies gewiß der seltenere, aber der reinere und bei weitem lehrreichere Fall. Soweit wir nun daran denken, daß das Kind die Silben »Medi« in »Medizin« ernsthaft und ohne Nebenabsicht für identisch mit seinem eigenen Namen »Mädi« gehalten hat, erfährt die Lust am Gehörten eine Steigerung, die nichts mehr mit der Witzeslust zu tun hat. Wir betrachten jetzt das Gesagte von zweierlei Standpunkten, einmal so, wie es sich beim Kind ergeben hat, und dann so, wie sich es für uns ergeben würde, finden bei diesem Vergleich, daß das Kind eine Identität gefunden, eine Schranke überwunden hat, die für uns besteht, und dann geht es etwa so weiter, als ob wir uns sagen würden: Wenn du das Gehörte verstehen willst, kannst du dir den Aufwand für die Einhaltung dieser Schranke ersparen. Der bei solchem Vergleich frei gewordene Aufwand ist die Quelle der Lust am Naiven und wird durch Lachen abgeführt; es ist allerdings der nämliche, den wir sonst in Entrüstung verwandelt hätten, wenn das Verständnis der produzierenden Person und hier auch die Natur des Gesagten eine solche nicht ausschlössen. Nehmen wir aber den Fall des naiven Witzes als vorbildlich für den anderen Fall des naiv Anstößigen, so sehen wir, daß auch hier die Ersparung an Hemmung direkt aus der Vergleichung hervorgehen kann, daß wir nicht notwendig haben, eine beginnende und dann erstickte Entrüstung anzunehmen, und daß die letztere nur einer anderweitigen Verwendung des frei gewordenen Aufwandes entspricht, gegen welche beim Witze komplizierte Schutzeinrichtungen erforderlich waren.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Dieser Vergleich, diese Ersparung an Aufwand beim Sichhineinversetzen in den seelischen Vorgang der produzierenden Person, können für das Naive nur dann eine Bedeutung beanspruchen, wenn sie nicht ihm allein zukommen. In der Tat entsteht bei uns die Vermutung, daß dieser dem Witz völlig fremde Mechanismus ein Stück, vielleicht das wesentliche Stück des psychischen Vorganges beim Komischen ist. Von dieser Seite – es ist gewiß die wichtigste Ansicht des Naiven – stellt sich das Naive also als eine Art des Komischen dar. Was bei unseren Beispielen von naiven Reden zur Witzeslust dazukommt, ist »komische« Lust. Von dieser wären wir geneigt ganz allgemein anzunehmen, daß sie durch ersparten Aufwand bei Vergleichung der Äußerungen eines anderen mit den unserigen entstehe. Da wir aber hier vor weit ausgreifenden Anschauungen stehen, wollen wir vorerst die Würdigung des Naiven abschließen. Das Naive wäre also eine Art des Komischen, insofern seine Lust aus der Aufwanddifferenz entspringt, die sich beim Verstehenwollen des anderen ergibt, und es näherte sich dem Witz durch die Bedingung, </w:t>
      </w:r>
      <w:r w:rsidRPr="00BA623D">
        <w:rPr>
          <w:rFonts w:ascii="Garamond" w:hAnsi="Garamond"/>
          <w:lang w:val="en-US"/>
        </w:rPr>
        <w:lastRenderedPageBreak/>
        <w:t xml:space="preserve">daß der bei der Vergleichung ersparte Aufwand ein Hemmungsaufwand sein muß </w:t>
      </w:r>
      <w:hyperlink r:id="rId345"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Ich habe hier überall das Naive mit dem Naivkomischen identifiziert, was gewiß nicht allgemein zulässig ist. Aber es genügt unseren Absichten, die Charaktere des Naiven am »naiven Witz« und an der »naiven Zote« zu studieren. Ein weiteres Eingehen, würde die Absicht voraussetzen, von hier aus das Wesen des Komischen zu ergründen.</w:t>
        </w:r>
      </w:hyperlink>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Stellen wir noch rasch einige Übereinstimmungen und Unterscheidungen fest zwischen den Begriffen, zu denen wir zuletzt gelangt sind, und jenen, die seit langem in der Psychologie der Komik genannt werden. Das Sichhineinversetzen, Verstehenwollen ist offenbar nichts anderes als das »komische Leihen«, das seit Jean Paul in der Analyse des Komischen eine Rolle spielt; das »Vergleichen« des seelischen Vorganges beim anderen mit dem eigenen entspricht dem »psychologischen Kontrast«, für den wir hier endlich eine Stelle finden, nachdem wir beim Witze mit ihm nichts anzufangen wußten. In der Erklärung der komischen Lust weichen wir aber von vielen Autoren ab, bei denen die Lust durch das Hin- und Herschwanken der Aufmerksamkeit zwischen den kontrastierenden Vorstellungen entstehen soll. Wir wüßten einen solchen Mechanismus der Lust nicht zu begreifen, wir weisen darauf hin, daß bei der Vergleichung der Kontraste sich eine Aufwanddifferenz herausstellt, welche, wenn sie keine andere Verwendung erfährt, abfuhrfähig und dadurch Lustquelle wird </w:t>
      </w:r>
      <w:hyperlink r:id="rId346"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 xml:space="preserve">Auch Bergson ( </w:t>
        </w:r>
        <w:r w:rsidRPr="00BA623D">
          <w:rPr>
            <w:rStyle w:val="innerfusslink3"/>
            <w:rFonts w:ascii="Garamond" w:hAnsi="Garamond" w:cs="Arial"/>
            <w:b/>
            <w:bCs/>
            <w:i/>
            <w:iCs/>
            <w:lang w:val="en-US"/>
          </w:rPr>
          <w:t>Le rire</w:t>
        </w:r>
        <w:r w:rsidRPr="00BA623D">
          <w:rPr>
            <w:rStyle w:val="innerfusslink3"/>
            <w:rFonts w:ascii="Garamond" w:hAnsi="Garamond" w:cs="Arial"/>
            <w:b/>
            <w:bCs/>
            <w:lang w:val="en-US"/>
          </w:rPr>
          <w:t>, 1900) weist (S. 99) eine solche Ableitung der komischen Lust, die unverkennbar durch das Bestreben beeinflußt worden ist, eine Analogie mit dem Lachen des Gekitzelten zu schaffen, mit guten Argumenten ab. – Auf einem ganz anderen Niveau steht die Erklärung der komischen Lust bei Lipps, die im Zusammenhange mit seiner Auffassung des Komischen als eines »unerwarteten Kleinen« darzustellen wäre.</w:t>
        </w:r>
      </w:hyperlink>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An das Problem des Komischen selbst wagen wir uns nur mit Bangen heran. Es wäre vermessen zu erwarten, daß unsere Bemühungen etwas Entscheidendes zu dessen Lösung beitragen könnten, nachdem die Arbeiten einer großen Reihe von ausgezeichneten Denkern eine allseitig befriedigende Aufklärung nicht ergeben haben. Wir beabsichtigen wirklich nichts anderes als jene Gesichtspunkte, die sich uns als wertvoll für den Witz erwiesen haben, eine Strecke weit ins Gebiet des Komischen zu verfolgen.</w:t>
      </w:r>
    </w:p>
    <w:p w:rsidR="00BA623D" w:rsidRPr="00BA623D" w:rsidRDefault="00BA623D" w:rsidP="00BA623D">
      <w:pPr>
        <w:pStyle w:val="Sansinterligne"/>
        <w:rPr>
          <w:rFonts w:ascii="Garamond" w:hAnsi="Garamond"/>
          <w:lang w:val="en-US"/>
        </w:rPr>
      </w:pPr>
      <w:r w:rsidRPr="00BA623D">
        <w:rPr>
          <w:rFonts w:ascii="Garamond" w:hAnsi="Garamond"/>
          <w:lang w:val="en-US"/>
        </w:rPr>
        <w:t>Das Komische ergibt sich zunächst als ein unbeabsichtigter Fund aus den sozialen Beziehungen der Menschen. Es wird an Personen gefunden, und zwar an deren Bewegungen, Formen, Handlungen und Charakterzügen, wahrscheinlich ursprünglich nur an den körperlichen, später auch an den seelischen Eigenschaften derselben, beziehungsweise an deren Äußerungen. Durch eine sehr gebräuchliche Art von Personifizierung werden dann auch Tiere und unbelebte Objekte komisch. Das Komische ist indes der Ablösung von den Personen fähig, indem die Bedingung erkannt wird, unter welcher eine Person komisch erscheint. So entsteht das Komische der Situation, und mit solcher Erkenntnis ist die Möglichkeit vorhanden, eine Person nach Belieben komisch zu machen, indem man sie in Situationen versetzt, in denen ihrem Tun diese Bedingungen des Komischen anhängen. Die Entdeckung, daß man es in seiner Macht hat, einen anderen komisch zu machen, eröffnet den Zugang zu ungeahntem Gewinn an komischer Lust und gibt einer hochausgebildeten Technik den Ursprung. Man kann auch sich selbst ebensowohl komisch machen wie andere. Die Mittel, die zum Komischmachen dienen, sind: die Versetzung in komische Situationen, die Nachahmung, Verkleidung, Entlarvung, Karikatur, Parodie und Travestie u. a. Wie selbstverständlich, können diese Techniken in den Dienst feindseliger und aggressiver Tendenzen treten. Man kann eine Person komisch machen, um sie verächtlich werden zu lassen, um ihr den Anspruch auf Würde und Autorität zu benehmen. Aber selbst wenn solche Absicht dem Komischmachen regelmäßig zugrunde läge, brauchte dies nicht der Sinn des spontan Komischen zu sein.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Aus dieser ungeordneten Übersicht über das Vorkommen des Komischen ersehen wir bereits, daß ihm ein sehr ausgedehntes Ursprungsgebiet zugesprochen werden muß und daß so spezialisierte Bedingungen, wie z. B. beim Naiven, beim Komischen nicht zu erwarten sind. Um der für das Komische gültigen Bedingung auf die Spur zu kommen, ist die Wahl eines Ausgangsfalles das Bedeutsamste; wir wählen die Komik der Bewegungen, weil wir uns erinnern, daß die primitivste Bühnendarstellung, die der Pantomime, sich dieses Mittels bedient, um uns lachen zu machen. Die Antwort, warum wir über die Bewegungen der Clowns lachen, würde lauten, weil sie uns übermäßig und unzweckmäßig erscheinen. Wir lachen über einen allzu großen Aufwand. Suchen wir die Bedingung außerhalb der künstlich gemachten Komik, also dort, wo sie sich unabsichtlich finden läßt. Die Bewegungen des Kindes erscheinen uns nicht komisch, obwohl das Kind zappelt und springt. Komisch ist es dagegen, wenn das Kind beim Schreibenlernen die herausgestreckte Zunge die Bewegungen des Federstiels mitmachen läßt; wir sehen in diesen Mitbewegungen einen überflüssigen Bewegungsaufwand, den wir uns bei der gleichen Tätigkeit ersparen würden. In gleicher Weise sind uns andere Mitbewegungen oder auch bloß übermäßig gesteigerte </w:t>
      </w:r>
      <w:r w:rsidRPr="00BA623D">
        <w:rPr>
          <w:rFonts w:ascii="Garamond" w:hAnsi="Garamond"/>
          <w:lang w:val="en-US"/>
        </w:rPr>
        <w:lastRenderedPageBreak/>
        <w:t>Ausdrucksbewegungen komisch auch bei Erwachsenen. So sind ganz reine Fälle dieser Art von Komik die Bewegungen, die der Kegelschieber ausführt, nachdem er die Kugel entlassen hat, solange er ihren Lauf verfolgt, als könnte er diesen noch nachträglich regulieren; so sind alle Grimassen komisch, welche den normalen Ausdruck der Gemütsbewegungen übertreiben, auch dann, wenn sie unwillkürlich erfolgen wie bei an Veitstanz (Chorea St. Viti) leidenden Personen; so werden die leidenschaftlichen Bewegungen eines modernen Dirigenten jedem Unmusikalischen komisch erscheinen, der ihre Notwendigkeit nicht zu verstehen weiß. Ja, von dieser Komik der Bewegungen zweigt das Komische der Körperformen und Gesichtszüge ab, indem diese aufgefaßt werden, als seien sie das Ergebnis einer zu weit getriebenen und zwecklosen Bewegung. Aufgerissene Augen, eine hakenförmig zum Mund abgebogene Nase, abstehende Ohren, ein Buckel, all dergleichen wirkt wahrscheinlich nur komisch, insofern die Bewegungen vorgestellt werden, die zum Zustandekommen dieser Züge notwendig wären, wobei Nase, Ohren und andere Körperteile der Vorstellung beweglicher gelten, als sie es in Wirklichkeit sind. Es ist ohne Zweifel komisch, wenn jemand »mit den Ohren wackeln« kann, und es wäre ganz gewiß noch komischer, wenn er die Nase heben oder senken könnte. Ein gutes Stück der komischen Wirkung, welche die Tiere auf uns äußern, kommt von der Wahrnehmung solcher Bewegungen an ihnen, die wir nicht nachahmen können.</w:t>
      </w:r>
    </w:p>
    <w:p w:rsidR="00BA623D" w:rsidRPr="00BA623D" w:rsidRDefault="00BA623D" w:rsidP="00BA623D">
      <w:pPr>
        <w:pStyle w:val="Sansinterligne"/>
        <w:rPr>
          <w:rFonts w:ascii="Garamond" w:hAnsi="Garamond"/>
          <w:lang w:val="en-US"/>
        </w:rPr>
      </w:pPr>
      <w:r w:rsidRPr="00BA623D">
        <w:rPr>
          <w:rFonts w:ascii="Garamond" w:hAnsi="Garamond"/>
          <w:lang w:val="en-US"/>
        </w:rPr>
        <w:t>Auf welche Weise gelangen wir aber zum Lachen, wenn wir die Bewegungen eines anderen als übermäßig und unzweckmäßig erkannt haben? Auf dem Wege der Vergleichung, meine ich, zwischen der am anderen beobachteten Bewegung und jener, die ich selbst an ihrer Statt ausgeführt hätte. Die beiden Verglichenen müssen natürlich auf gleiches Maß gesetzt werden, und dieses Maß ist mein mit der Vorstellung der Bewegung in dem einen wie im anderen Falle verbundener Innervationsaufwand. Diese Behauptung bedarf der Erläuterung und weiterer Ausführung.</w:t>
      </w:r>
    </w:p>
    <w:p w:rsidR="00BA623D" w:rsidRPr="00BA623D" w:rsidRDefault="00BA623D" w:rsidP="00BA623D">
      <w:pPr>
        <w:pStyle w:val="Sansinterligne"/>
        <w:rPr>
          <w:rFonts w:ascii="Garamond" w:hAnsi="Garamond"/>
          <w:lang w:val="en-US"/>
        </w:rPr>
      </w:pPr>
      <w:r w:rsidRPr="00BA623D">
        <w:rPr>
          <w:rFonts w:ascii="Garamond" w:hAnsi="Garamond"/>
          <w:lang w:val="en-US"/>
        </w:rPr>
        <w:t>Was wir hier in Beziehung zueinander setzen, ist einerseits der psychische Aufwand bei einem gewissen Vorstellen und anderseits der Inhalt dieses Vorgestellten. Unsere Behauptung geht dahin, daß der erstere nicht allgemein und prinzipiell unabhängig sei vom letzteren, vom Vorstellungsinhalt, insbesondere daß die Vorstellung eines Großen einen Mehraufwand gegen die eines Kleinen erfordere. Solange es sich nur um die Vorstellung verschieden großer Bewegungen handelt, dürfte uns die theoretische Begründung unseres Satzes und sein Erweis durch die Beobachtung keine Schwierigkeiten bereiten. Es wird sich zeigen, daß in diesem Falle eine Eigenschaft der Vorstellung tatsächlich mit einer Eigenschaft des Vorgestellten zusammenfällt, obwohl die Psychologie uns sonst vor solcher Verwechslung warnt.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Die Vorstellung von einer bestimmt großen Bewegung habe ich erworben, indem ich diese Bewegung ausführte oder nachahmte, und bei dieser Aktion habe ich in meinen Innervationsempfindungen ein Maß für diese Bewegung kennengelernt </w:t>
      </w:r>
      <w:hyperlink r:id="rId347"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Die Erinnerung an diesen Innervationsaufwand wird das wesentliche Stück der Vorstellung von dieser Bewegung bleiben, und es wird immer Denkweisen in meinem Seelenleben geben, bei welchen die Vorstellung durch nichts anderes als diesen Aufwand repräsentiert wird. In anderen Zusammenhängen mag ja ein Ersatz dieses Elements durch andere, z. B. durch die visuellen Vorstellungen des Bewegungszieles, durch die Wortvorstellung, eintreten, und bei gewissen Arten des abstrakten Denkens wird ein Zeichen anstatt des vollen Inhalts der Vorstellung genügen.</w:t>
        </w:r>
      </w:hyperlink>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Wenn ich nun eine ähnliche, mehr oder minder große Bewegung bei einem anderen wahrnehme, wird der sicherste Weg zum Verständnis – zur Apperzeption – derselben sein, daß ich sie nachahmend ausführe, und dann kann ich durch den Vergleich entscheiden, bei welcher Bewegung mein Aufwand größer war. Ein solcher Drang zur Nachahmung tritt gewiß beim Wahrnehmen von Bewegungen auf. In Wirklichkeit aber führe ich die Nachahmung nicht durch, so wenig wie ich noch buchstabiere, wenn ich durch das Buchstabieren das Lesen erlernt habe. An Stelle der Nachahmung der Bewegung durch meine Muskeln setze ich das Vorstellen derselben vermittels meiner Erinnerungsspuren an die Aufwände bei ähnlichen Bewegungen. Das Vorstellen oder »Denken« unterscheidet sich vom Handeln oder Ausführen vor allem dadurch, daß es sehr viel geringere Besetzungsenergien in Verschiebung bringt und den Hauptaufwand vom Abfluß zurückhält. Auf welche Weise wird aber das quantitative Moment – das mehr oder minder Große – der wahrgenommenen Bewegung in der Vorstellung zum Ausdruck gebracht? Und wenn eine Darstellung der Quantität in der aus Qualitäten zusammengesetzten Vorstellung wegfällt, wie kann ich dann die Vorstellungen verschieden großer Bewegungen unterscheiden, den Vergleich anstellen, auf den es hier ankommt?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Hier weist uns die Physiologie den Weg, indem sie uns lehrt, daß auch während des Vorstellens Innervationen zu den Muskeln ablaufen, die freilich nur einem bescheidenen Aufwand entsprechen. Es liegt aber jetzt sehr nahe anzunehmen, daß dieser das Vorstellen begleitende Innervationsaufwand zur Darstellung des quantitativen Faktors der Vorstellung verwendet wird, daß er größer ist, wenn eine große </w:t>
      </w:r>
      <w:r w:rsidRPr="00BA623D">
        <w:rPr>
          <w:rFonts w:ascii="Garamond" w:hAnsi="Garamond"/>
          <w:lang w:val="en-US"/>
        </w:rPr>
        <w:lastRenderedPageBreak/>
        <w:t>Bewegung vorgestellt wird, als wenn es sich um eine kleine handelt. Die Vorstellung der größeren Bewegung wäre also hier wirklich die größere, d. h. von größerem Aufwand begleitete Vorstellung.</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Die Beobachtung zeigt nun unmittelbar, daß die Menschen gewöhnt sind, das Groß und Klein in ihren Vorstellungsinhalten durch mannigfachen Aufwand in einer Art von </w:t>
      </w:r>
      <w:r w:rsidRPr="00BA623D">
        <w:rPr>
          <w:rFonts w:ascii="Garamond" w:hAnsi="Garamond"/>
          <w:i/>
          <w:iCs/>
          <w:lang w:val="en-US"/>
        </w:rPr>
        <w:t>Vorstellungsmimik</w:t>
      </w:r>
      <w:r w:rsidRPr="00BA623D">
        <w:rPr>
          <w:rFonts w:ascii="Garamond" w:hAnsi="Garamond"/>
          <w:lang w:val="en-US"/>
        </w:rPr>
        <w:t xml:space="preserve"> zum Ausdruck zu bringen.</w:t>
      </w:r>
    </w:p>
    <w:p w:rsidR="00BA623D" w:rsidRPr="00BA623D" w:rsidRDefault="00BA623D" w:rsidP="00BA623D">
      <w:pPr>
        <w:pStyle w:val="Sansinterligne"/>
        <w:rPr>
          <w:rFonts w:ascii="Garamond" w:hAnsi="Garamond"/>
          <w:lang w:val="en-US"/>
        </w:rPr>
      </w:pPr>
      <w:r w:rsidRPr="00BA623D">
        <w:rPr>
          <w:rFonts w:ascii="Garamond" w:hAnsi="Garamond"/>
          <w:lang w:val="en-US"/>
        </w:rPr>
        <w:t>Wenn ein Kind oder ein Mann aus dem Volke oder ein Angehöriger gewisser Rassen etwas mitteilt oder schildert, so kann man leicht sehen, daß er sich nicht damit begnügt, seine Vorstellung durch die Wahl klarer Worte dem Hörer deutlich zu machen, sondern daß er auch den Inhalt derselben in seinen Ausdrucksbewegungen darstellt; er verbindet die mimische mit der wörtlichen Darstellung. Er bezeichnet zumal die Quantitäten und Intensitäten. »Ein hoher Berg«, dabei hebt er die Hand über seinen Kopf; »ein kleiner Zwerg«, dabei hält er sie nahe an den Boden. Er mag es sich abgewöhnt haben, mit den Händen zu malen, so wird er es darum doch mit der Stimme tun, und wenn er sich auch darin beherrscht, so mag man wetten, daß er bei der Schilderung von etwas Großem die Augen aufreißt und bei der Darstellung von etwas Kleinem die Augen zusammendrückt. Es sind nicht seine Affekte, die er so äußert, sondern wirklich der Inhalt des von ihm Vorgestellten.</w:t>
      </w:r>
    </w:p>
    <w:p w:rsidR="00BA623D" w:rsidRPr="00BA623D" w:rsidRDefault="00BA623D" w:rsidP="00BA623D">
      <w:pPr>
        <w:pStyle w:val="Sansinterligne"/>
        <w:rPr>
          <w:rFonts w:ascii="Garamond" w:hAnsi="Garamond"/>
          <w:lang w:val="en-US"/>
        </w:rPr>
      </w:pPr>
      <w:r w:rsidRPr="00BA623D">
        <w:rPr>
          <w:rFonts w:ascii="Garamond" w:hAnsi="Garamond"/>
          <w:lang w:val="en-US"/>
        </w:rPr>
        <w:t>Soll man nun annehmen, daß dies Bedürfnis nach Mimik erst durch die Anforderung der Mitteilung geweckt wird, während doch ein gutes Stück dieser Darstellungsweise der Aufmerksamkeit des Hörers überhaupt entgeht? Ich glaube vielmehr, daß diese Mimik, wenn auch minder lebhaft, abgesehen von jeder Mitteilung besteht, daß sie auch zustande kommt, wenn die Person für sich allein vorstellt, etwas anschaulich denkt; daß diese Person dann das Groß und Klein an ihrem Körper ebenso wie während der Rede zum Ausdruck bringt, durch veränderte Innervation an ihren Gesichtszügen und Sinnesorganen wenigstens. Ja, ich kann mir denken, daß die dem Inhalt des Vorgestellten konsensuelle Körperinnervation der Beginn und Ursprung der Mimik zu Mitteilungszwecken war; sie brauchte ja nur gesteigert, dem anderen auffällig gemacht zu werden, um dieser Absicht dienen zu können. Wenn ich so die Ansicht vertrete, daß zu dem »Ausdruck der Gemütsbewegungen«, der als körperliche Nebenwirkung seelischer Vorgänge bekannt ist, dieser »Ausdruck des Vorstellungsinhalts« hinzugefügt werden sollte, so ist mir gewiß klar, daß meine auf die Kategorie des Großen und Kleinen bezüglichen Bemerkungen das Thema nicht erschöpfen. Ich wüßte selbst noch mancherlei dazuzutun, noch ehe man zu den Spannungsphänomenen gelangt, durch welche eine Person die Sammlung ihrer Aufmerksamkeit und das Niveau der Abstraktion, auf dem ihr Denken eben verweilt, körperlich anzeigt. Ich halte den Gegenstand für recht bedeutsam und glaube, daß die Verfolgung der Vorstellungsmimik auf anderen Gebieten der Ästhetik ähnlich nützlich sein dürfte wie hier für das Verständnis des Komischen.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Um nun zur Komik der Bewegung zurückzukehren, wiederhole ich, daß mit der Wahrnehmung einer bestimmten Bewegung der Impuls zu ihrer Vorstellung durch einen gewissen Aufwand gegeben sein wird. Ich mache also beim »Verstehenwollen«, bei der Apperzeption dieser Bewegung einen gewissen Aufwand, verhalte mich bei diesem Stück des seelischen Vorganges ganz so, als ob ich mich an die Stelle der beobachteten Person versetzte. Wahrscheinlich gleichzeitig fasse ich aber das Ziel dieser Bewegung ins Auge und kann durch frühere Erfahrung das Maß von Aufwand abschätzen, welches zur Erreichung dieses Zieles erforderlich ist. Ich sehe dabei von der beobachteten Person ab und benehme mich so, als ob ich selbst das Ziel der Bewegung erreichen wollte. Diese beiden Vorstellungsmöglichkeiten kommen auf einen Vergleich der beobachteten mit meiner eigenen Bewegung hinaus. Bei einer übermäßigen und unzweckmäßigen Bewegung des anderen wird mein Mehraufwand fürs Verständnis </w:t>
      </w:r>
      <w:r w:rsidRPr="00BA623D">
        <w:rPr>
          <w:rFonts w:ascii="Garamond" w:hAnsi="Garamond"/>
          <w:i/>
          <w:iCs/>
          <w:lang w:val="en-US"/>
        </w:rPr>
        <w:t>in statu nascendi</w:t>
      </w:r>
      <w:r w:rsidRPr="00BA623D">
        <w:rPr>
          <w:rFonts w:ascii="Garamond" w:hAnsi="Garamond"/>
          <w:lang w:val="en-US"/>
        </w:rPr>
        <w:t>, gleichsam in der Mobilmachung gehemmt, als überflüssig erklärt und ist für weitere Verwendung, eventuell für die Abfuhr durch Lachen frei. Dieser Art wäre, wenn andere günstige Bedingungen hinzutreten, die Entstehung der Lust an der komischen Bewegung, ein bei der Vergleichung mit der eigenen Bewegung als Überschuß unverwendbar gewordener Innervationsaufwand.</w:t>
      </w:r>
    </w:p>
    <w:p w:rsidR="00BA623D" w:rsidRPr="00BA623D" w:rsidRDefault="00BA623D" w:rsidP="00BA623D">
      <w:pPr>
        <w:pStyle w:val="Sansinterligne"/>
        <w:rPr>
          <w:rFonts w:ascii="Garamond" w:hAnsi="Garamond"/>
          <w:lang w:val="en-US"/>
        </w:rPr>
      </w:pPr>
      <w:r w:rsidRPr="00BA623D">
        <w:rPr>
          <w:rFonts w:ascii="Garamond" w:hAnsi="Garamond"/>
          <w:lang w:val="en-US"/>
        </w:rPr>
        <w:t>Wir merken nun, daß wir unsere Erörterungen nach zwei verschiedenen Richtungen fortzusetzen haben, erstens um die Bedingungen für die Abfuhr des Überschusses festzustellen, zweitens um zu prüfen, ob die anderen Fälle des Komischen sich ähnlich fassen lassen wie das Komische der Bewegung.</w:t>
      </w:r>
    </w:p>
    <w:p w:rsidR="00BA623D" w:rsidRPr="00BA623D" w:rsidRDefault="00BA623D" w:rsidP="00BA623D">
      <w:pPr>
        <w:pStyle w:val="Sansinterligne"/>
        <w:rPr>
          <w:rFonts w:ascii="Garamond" w:hAnsi="Garamond"/>
          <w:lang w:val="en-US"/>
        </w:rPr>
      </w:pPr>
      <w:r w:rsidRPr="00BA623D">
        <w:rPr>
          <w:rFonts w:ascii="Garamond" w:hAnsi="Garamond"/>
          <w:lang w:val="en-US"/>
        </w:rPr>
        <w:t>Wir wenden uns der letzteren Aufgabe zuerst zu und ziehen nach dem Komischen der Bewegung und Handlung das Komische in Betracht, das an den geistigen Leistungen und Charakterzügen des anderen gefunden wird.</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Wir können den komischen Unsinn, wie er von unwissenden Kandidaten im Examen produziert wird, zum Muster der Gattung nehmen; schwieriger ist es wohl, von den Charakterzügen ein einfaches Beispiel zu geben. Es darf uns nicht irremachen, daß Unsinn und Dummheit, die so häufig komisch wirken, doch nicht in allen Fällen als komisch empfunden werden, ebenso wie die nämlichen Charaktere, über die wir </w:t>
      </w:r>
      <w:r w:rsidRPr="00BA623D">
        <w:rPr>
          <w:rFonts w:ascii="Garamond" w:hAnsi="Garamond"/>
          <w:lang w:val="en-US"/>
        </w:rPr>
        <w:lastRenderedPageBreak/>
        <w:t>das eine Mal als komisch lachen, andere Male uns als verächtlich oder hassenswert erscheinen können. Diese Tatsache, der Rechnung zu tragen wir nicht vergessen dürfen, deutet doch nur darauf hin, daß für die komische Wirkung noch andere Verhältnisse als die der uns bekannten Vergleichung in Betracht kommen, Bedingungen, denen wir in anderem Zusammenhange nachspüren können.</w:t>
      </w:r>
    </w:p>
    <w:p w:rsidR="00BA623D" w:rsidRPr="00BA623D" w:rsidRDefault="00BA623D" w:rsidP="00BA623D">
      <w:pPr>
        <w:pStyle w:val="Sansinterligne"/>
        <w:rPr>
          <w:rFonts w:ascii="Garamond" w:hAnsi="Garamond"/>
        </w:rPr>
      </w:pPr>
      <w:r w:rsidRPr="00BA623D">
        <w:rPr>
          <w:rFonts w:ascii="Garamond" w:hAnsi="Garamond"/>
          <w:lang w:val="en-US"/>
        </w:rPr>
        <w:t xml:space="preserve">Das Komische, das an geistigen und seelischen Eigenschaften eines anderen gefunden wird, ist offenbar wiederum Ergebnis einer Vergleichung zwischen ihm und meinem Ich, aber merkwürdigerweise einer Vergleichung, die zumeist das entgegengesetzte Resultat geliefert hat wie im Falle der komischen Bewegung oder Handlung. In diesem letzteren Falle war es komisch, wenn der andere sich mehr Aufwand auferlegt hatte, als ich zu gebrauchen glaubte; im Falle der seelischen Leistung wird es hingegen komisch, wenn der andere sich Aufwand erspart hat, den ich für unerläßlich halte, denn Unsinn und Dummheit sind ja Minderleistungen. Im ersteren Falle lache ich, weil er es sich zu schwer, im letzteren, weil er es sich zu leicht gemacht hat. Es kommt also scheinbar für die komische Wirkung nur auf die Differenz zwischen den beiden Besetzungsaufwänden – dem der »Einfühlung« und dem des Ichs – an und nicht darauf, zu wessen Gunsten diese Differenz aussagt. Diese unser Urteil zunächst verwirrende Sonderbarkeit schwindet aber, wenn man in Erwägung zieht, daß es in der Richtung unserer persönlichen Entwicklung zu einer höheren Kulturstufe liegt, unsere Muskelarbeit einzuschränken und unsere Gedankenarbeit zu steigern. Durch Erhöhung unseres Denkaufwandes erzielen wir eine Verringerung unseres Bewegungsaufwandes für die nämliche Leistung, von welchem Kulturerfolg ja unsere Maschinen Zeugnis ablegen </w:t>
      </w:r>
      <w:hyperlink r:id="rId348"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»Was man nicht im Kopfe hat«, sagt das Sprichwort, »muß man in den Beinen haben.«</w:t>
        </w:r>
      </w:hyperlink>
      <w:r w:rsidRPr="00BA623D">
        <w:rPr>
          <w:rFonts w:ascii="Garamond" w:hAnsi="Garamond"/>
        </w:rPr>
        <w:t>.</w:t>
      </w:r>
    </w:p>
    <w:p w:rsidR="00BA623D" w:rsidRPr="00BA623D" w:rsidRDefault="00BA623D" w:rsidP="00BA623D">
      <w:pPr>
        <w:pStyle w:val="Sansinterligne"/>
        <w:rPr>
          <w:rFonts w:ascii="Garamond" w:hAnsi="Garamond"/>
        </w:rPr>
      </w:pPr>
      <w:r w:rsidRPr="00BA623D">
        <w:rPr>
          <w:rFonts w:ascii="Garamond" w:hAnsi="Garamond"/>
        </w:rPr>
        <w:t xml:space="preserve">Es fügt sich also einem einheitlichen Verständnis, wenn derjenige uns komisch erscheint, der für seine körperlichen Leistungen zu viel und für seine seelischen Leistungen zu wenig Aufwand im Vergleich mit uns treibt, und es ist nicht abzuweisen, daß unser Lachen in diesen beiden Fällen der Ausdruck der lustvoll empfundenen Überlegenheit ist, die wir uns ihm gegenüber zusprechen. Wenn das Verhältnis sich in beiden Fällen umkehrt, der somatische Aufwand des anderen geringer und sein seelischer größer gefunden wird als der unserige, dann lachen wir nicht mehr, dann staunen und bewundern wir </w:t>
      </w:r>
      <w:hyperlink r:id="rId349" w:anchor="#" w:history="1">
        <w:r w:rsidRPr="00BA623D">
          <w:rPr>
            <w:rStyle w:val="fusslink"/>
            <w:rFonts w:ascii="Garamond" w:hAnsi="Garamond" w:cs="Arial"/>
            <w:b/>
            <w:bCs/>
            <w:color w:val="003399"/>
          </w:rPr>
          <w:t>[Fußnote]</w:t>
        </w:r>
        <w:r w:rsidRPr="00BA623D">
          <w:rPr>
            <w:rStyle w:val="innerfusslink3"/>
            <w:rFonts w:ascii="Garamond" w:hAnsi="Garamond" w:cs="Arial"/>
            <w:b/>
            <w:bCs/>
          </w:rPr>
          <w:t>Diese durchgehende Gegensätzlichkeit in den Bedingungen des Komischen, daß bald ein Zuviel, bald ein Zuwenig als die Quelle der komischen Lust erscheint, hat zur Verwirrung des Problems nicht wenig beigetragen. Vgl. Lipps (l. c. S. 47).</w:t>
        </w:r>
      </w:hyperlink>
      <w:r w:rsidRPr="00BA623D">
        <w:rPr>
          <w:rFonts w:ascii="Garamond" w:hAnsi="Garamond"/>
        </w:rPr>
        <w:t>.</w:t>
      </w:r>
    </w:p>
    <w:p w:rsidR="00BA623D" w:rsidRPr="00BA623D" w:rsidRDefault="00BA623D" w:rsidP="00BA623D">
      <w:pPr>
        <w:pStyle w:val="Sansinterligne"/>
        <w:rPr>
          <w:rFonts w:ascii="Garamond" w:hAnsi="Garamond"/>
        </w:rPr>
      </w:pPr>
      <w:r w:rsidRPr="00BA623D">
        <w:rPr>
          <w:rFonts w:ascii="Garamond" w:hAnsi="Garamond"/>
        </w:rPr>
        <w:t xml:space="preserve">Der hier erörterte Ursprung der komischen Lust aus der Vergleichung der anderen Person mit dem eigenen Ich – aus der Differenz zwischen dem Einfühlungsaufwand und dem eigenen – ist wahrscheinlich der genetisch bedeutsamste. Sicher steht aber, daß er nicht der einzige geblieben ist. Wir haben irgend einmal gelernt, von solcher Vergleichung zwischen dem anderen und dem Ich abzusehen und die lustbringende Differenz uns von nur einer Seite her zu holen, sei es von der Einfühlung her, sei es aus den Vorgängen im eigenen Ich, womit der Beweis erbracht ist, daß das Gefühl der Überlegenheit keine wesentliche Beziehung zur komischen Lust hat. Eine Vergleichung ist für die Entstehung dieser Lust unentbehrlich; wir finden, daß diese Vergleichung statthat zwischen zwei rasch aufeinanderfolgenden und auf dieselbe Leistung bezüglichen Besetzungsaufwänden, die wir entweder auf dem Wege der Einfühlung in den anderen bei uns herstellen oder ohne solche Beziehung in unseren eigenen seelischen Vorgängen finden. Der erste Fall, bei dem die andere Person also noch eine Rolle spielt, nur nicht ihr Vergleich mit unserem Ich, ergibt sich, wenn die lustbringende Differenz der Besetzungsaufwände hergestellt wird durch äußere Einflüsse, die wir als »Situation« zusammenfassen können, weshalb diese Art Komik auch </w:t>
      </w:r>
      <w:r w:rsidRPr="00BA623D">
        <w:rPr>
          <w:rFonts w:ascii="Garamond" w:hAnsi="Garamond"/>
          <w:i/>
          <w:iCs/>
        </w:rPr>
        <w:t>Situationskomik</w:t>
      </w:r>
      <w:r w:rsidRPr="00BA623D">
        <w:rPr>
          <w:rFonts w:ascii="Garamond" w:hAnsi="Garamond"/>
        </w:rPr>
        <w:t xml:space="preserve"> genannt wird. Die Eigenschaften der Person, welche das Komische liefert, kommen dabei nicht hauptsächlich in Betracht; wir lachen, auch wenn wir uns sagen müssen, daß wir in derselben Situation das nämliche hätten tun müssen. Wir ziehen hier die Komik aus dem Verhältnis des Menschen zur oft übermächtigen Außenwelt, als welche sich für die seelischen Vorgänge im Menschen auch die Konventionen und Notwendigkeiten der Gesellschaft, ja selbst seine eigenen leiblichen Bedürfnisse darstellen. Ein typischer Fall der letzten Art ist es, wenn jemand in einer Tätigkeit, die seine seelischen Kräfte in Anspruch nimmt, plötzlich gestört wird durch einen Schmerz oder ein exkrementelles Bedürfnis. Der Gegensatz, welcher uns bei der Einfühlung die komische Differenz liefert, ist der zwischen dem hohen Interesse vor der Störung und dem minimalen, welches er nach Eintritt der Störung noch für seine seelische Tätigkeit übrig hat. Die Person, die uns diese Differenz liefert, wird uns wiederum als eine unterlegene komisch; sie ist aber nur unterlegen im Vergleiche mit ihrem früheren Ich und nicht im Vergleiche zu uns, da wir wissen, daß wir uns im gleichen Falle nicht anders benehmen könnten. Es ist aber bemerkenswert, daß wir dieses Unterliegen des Menschen nur im Falle der Einfühlung, also beim anderen komisch finden können, während wir selbst im Falle solcher und ähnlicher Verlegenheiten uns </w:t>
      </w:r>
      <w:r w:rsidRPr="00BA623D">
        <w:rPr>
          <w:rFonts w:ascii="Garamond" w:hAnsi="Garamond"/>
        </w:rPr>
        <w:lastRenderedPageBreak/>
        <w:t>nur peinlicher Gefühle bewußt würden. Wahrscheinlich ermöglicht uns erst dieses Fernhalten des Peinlichen von unserer Person, die aus der Vergleichung der wechselnden Besetzungen sich ergebende Differenz als eine lustvolle zu genießen.</w:t>
      </w:r>
    </w:p>
    <w:p w:rsidR="00BA623D" w:rsidRPr="00BA623D" w:rsidRDefault="00BA623D" w:rsidP="00BA623D">
      <w:pPr>
        <w:pStyle w:val="Sansinterligne"/>
        <w:rPr>
          <w:rFonts w:ascii="Garamond" w:hAnsi="Garamond"/>
          <w:lang w:val="en-US"/>
        </w:rPr>
      </w:pPr>
      <w:r w:rsidRPr="00BA623D">
        <w:rPr>
          <w:rFonts w:ascii="Garamond" w:hAnsi="Garamond"/>
          <w:lang w:val="en-US"/>
        </w:rPr>
        <w:t>Die andere Quelle des Komischen, die wir in unseren eigenen Besetzungswandlungen finden, liegt in unseren Beziehungen zum Zukünftigen, welches wir gewohnt sind, durch unsere Erwartungsvorstellungen zu antizipieren. Ich nehme an, daß ein quantitativ bestimmter Aufwand unserer jedesmaligen Erwartungsvorstellung zugrunde liegt, der sich also im Falle der Enttäuschung um eine bestimmte Differenz vermindert, und berufe mich hier wiederum auf die vorhin gemachten Bemerkungen über »Vorstellungsmimik«. Es scheint mir aber leichter, den wirklich mobil gemachten Besetzungsaufwand für die Fälle der Erwartung zu erweisen. Es ist für eine Reihe von Fällen ganz offenkundig, daß motorische Vorbereitungen den Ausdruck der Erwartung bilden, zunächst für alle Fälle, in denen das erwartete Ereignis Ansprüche an meine Motilität stellt, und diese Vorbereitungen sind ohne weiteres quantitativ bestimmbar. Wenn ich einen Ball aufzufangen erwarte, der mir zugeworfen wird, so versetze ich meinen Körper in Spannungen, die ihn befähigen sollen, dem Anprall des Balls standzuhalten, und die überschüssigen Bewegungen, die ich mache, wenn sich der aufgefangene Ball als zu leicht erweist, machen mich den Zuschauern komisch. Ich habe mich durch die Erwartung zu einem übermäßigen Bewegungsaufwand verführen lassen. Desgleichen, wenn ich z. B. eine für schwer gehaltene Frucht aus einem Korb hebe, die aber zu meiner Täuschung hohl, aus Wachs nachgeahmt ist. Meine Hand verrät durch ihr Emporschnellen, daß ich eine für den Zweck übergroße Innervation vorbereitet hatte, und ich werde dafür verlacht. Ja es gibt wenigstens einen Fall, in welchem der Erwartungsaufwand durch das physiologische Experiment am Tier unmittelbar meßbar aufgezeigt werden kann. In den Pawlowschen Versuchen über Speichelsekretionen werden Hunden, denen eine Speichelfistel angelegt worden ist, verschiedene Nahrungsmittel vorgezeigt, und die abgesonderten Mengen Speichel schwanken dann, je nachdem die Versuchsbedingungen die Erwartungen des Hundes, mit dem Vorgezeigten gefüttert zu werden, bestärkt oder getäuscht haben.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Auch wo das Erwartete bloß Ansprüche an meine Sinnesorgane und nicht an meine Motilität stellt, darf ich annehmen, daß die Erwartung sich in einer gewissen motorischen Verausgabung zur Spannung der Sinne, zur Abhaltung anderer nicht erwarteter Eindrücke äußert, und darf überhaupt die Einstellung der Aufmerksamkeit als eine motorische Leistung, die einem gewissen Aufwand gleichkommt, auffassen. Ich darf ferner voraussetzen, daß die vorbereitende Tätigkeit der Erwartung nicht unabhängig sein wird von der Größe des erwarteten Eindrucks, sondern daß ich das Groß oder Klein derselben mimisch durch einen größeren oder kleineren Vorbereitungsaufwand darstellen werde wie im Falle der Mitteilung und im Falle des Denkens ohne zu erwarten. Der Erwartungsaufwand wird sich allerdings aus mehreren Komponenten zusammensetzen, und auch für meine Enttäuschung wird verschiedenes in Betracht kommen, nicht nur ob das Eingetroffene sinnlich größer oder kleiner ist als das Erwartete, sondern auch, ob es des großen Interesses würdig ist, welches ich für die Erwartung aufgeboten hatte. Ich werde auf diese Weise etwa dazu angeleitet, außer dem Aufwand für die Darstellung von Groß und Klein (der Vorstellungsmimik), den Aufwand für die Spannung der Aufmerksamkeit (Erwartungsaufwand) und bei anderen Fällen überdies den Abstraktionsaufwand in Betracht zu ziehen. Aber diese anderen Arten von Aufwand lassen sich leicht auf den für Groß und Klein zurückführen, da ja das Interessantere, das Erhabenere und selbst das Abstraktere nur besonders qualifizierte Spezialfälle des Größeren sind. Nehmen wir hinzu, daß nach Lipps u. a. der </w:t>
      </w:r>
      <w:r w:rsidRPr="00BA623D">
        <w:rPr>
          <w:rFonts w:ascii="Garamond" w:hAnsi="Garamond"/>
          <w:i/>
          <w:iCs/>
          <w:lang w:val="en-US"/>
        </w:rPr>
        <w:t>quantitative</w:t>
      </w:r>
      <w:r w:rsidRPr="00BA623D">
        <w:rPr>
          <w:rFonts w:ascii="Garamond" w:hAnsi="Garamond"/>
          <w:lang w:val="en-US"/>
        </w:rPr>
        <w:t xml:space="preserve"> – und nicht der qualitative – Kontrast in erster Linie als Quelle der komischen Lust angesehen wird, so werden wir im ganzen damit zufrieden sein, daß wir das Komische der Bewegung zum Ausgangspunkt unserer Untersuchung gewählt haben.</w:t>
      </w:r>
    </w:p>
    <w:p w:rsidR="00BA623D" w:rsidRPr="00BA623D" w:rsidRDefault="00BA623D" w:rsidP="00BA623D">
      <w:pPr>
        <w:pStyle w:val="Sansinterligne"/>
        <w:rPr>
          <w:rFonts w:ascii="Garamond" w:hAnsi="Garamond"/>
          <w:lang w:val="en-US"/>
        </w:rPr>
      </w:pPr>
      <w:r w:rsidRPr="00BA623D">
        <w:rPr>
          <w:rFonts w:ascii="Garamond" w:hAnsi="Garamond"/>
          <w:lang w:val="en-US"/>
        </w:rPr>
        <w:t>In Ausführung des Kantschen Satzes, »das Komische sei eine in nichts zergangene Erwartung«, hat Lipps in seinem hier wiederholt zitierten Buche den Versuch gemacht, die komische Lust ganz allgemein aus der Erwartung abzuleiten. Trotz der vielen lehrreichen und wertvollen Ergebnisse, welche dieser Versuch zutage gefördert hat, möchte ich aber der von anderen Autoren geäußerten Kritik beipflichten, daß Lipps das Ursprungsgebiet des Komischen um vieles zu eng gefaßt hat und dessen Phänomene seiner Formel nicht ohne großen Zwang unterwerfen konnte.</w:t>
      </w:r>
    </w:p>
    <w:p w:rsidR="00BA623D" w:rsidRPr="00BA623D" w:rsidRDefault="00BA623D" w:rsidP="00BA623D">
      <w:pPr>
        <w:pStyle w:val="Sansinterligne"/>
        <w:rPr>
          <w:rFonts w:ascii="Garamond" w:hAnsi="Garamond"/>
          <w:lang w:val="en-US"/>
        </w:rPr>
      </w:pPr>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Die Menschen haben sich nicht damit begnügt, das Komische zu genießen, wo sie im Erleben darauf stoßen, sondern danach gestrebt, es absichtlich herzustellen, und man erfährt mehr vom Wesen des Komischen, wenn man die Mittel studiert, welche zum Komischmachen dienen. Man kann vor allem das Komische an seiner eigenen Person zur Erheiterung anderer hervorrufen, z. B. indem man sich ungeschickt oder dumm stellt. Man erzeugt dann die Komik genauso, als ob man es wirklich wäre, indem </w:t>
      </w:r>
      <w:r w:rsidRPr="00BA623D">
        <w:rPr>
          <w:rFonts w:ascii="Garamond" w:hAnsi="Garamond"/>
          <w:lang w:val="en-US"/>
        </w:rPr>
        <w:lastRenderedPageBreak/>
        <w:t>man die Bedingung der Vergleichung, die zur Aufwanddifferenz führt, erfüllt; man macht sich selbst aber nicht lächerlich oder verächtlich dadurch, sondern kann unter Umständen sogar Bewunderung erzielen. Das Gefühl der Überlegenheit kommt beim anderen nicht zustande, wenn er weiß, daß man sich bloß verstellt hat, und dies gibt einen guten neuerlichen Beweis für die prinzipielle Unabhängigkeit der Komik vom Überlegenheitsgefühl.</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Als Mittel, einen anderen komisch zu machen, dient vor allem die Versetzung in Situationen, in denen man infolge der menschlichen Abhängigkeit von äußeren Verhältnissen, insbesondere sozialen Momenten, komisch wird, ohne Rücksicht auf die persönlichen Eigenschaften des Betroffenen, also die Ausnützung der Situationskomik. Diese Versetzung in eine komische Situation mag eine reale sein ( </w:t>
      </w:r>
      <w:r w:rsidRPr="00BA623D">
        <w:rPr>
          <w:rFonts w:ascii="Garamond" w:hAnsi="Garamond"/>
          <w:i/>
          <w:iCs/>
          <w:lang w:val="en-US"/>
        </w:rPr>
        <w:t>a practical joke</w:t>
      </w:r>
      <w:r w:rsidRPr="00BA623D">
        <w:rPr>
          <w:rFonts w:ascii="Garamond" w:hAnsi="Garamond"/>
          <w:lang w:val="en-US"/>
        </w:rPr>
        <w:t>), indem man jemandem ein Bein stellt, so daß er wie ein Ungeschickter hinfällt, ihn dumm erscheinen läßt, dadurch daß man seine Gläubigkeit ausnützt, ihm etwas Unsinniges einzureden sucht u. dgl., oder sie kann durch Rede oder Spiel fingiert werden. Es ist ein gutes Hilfsmittel der Aggression, in deren Dienst sich das Komischmachen zu stellen pflegt, daß die komische Lust unabhängig ist von der Realität der komischen Situation; so daß jeder eigentlich wehrlos dem Komischgemachtwerden ausgesetzt ist.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Es gibt aber noch andere Mittel zum Komischmachen, die eine besondere Würdigung verdienen und zum Teil auch neue Ursprünge der komischen Lust aufzeigen. Hieher gehört z. B. die </w:t>
      </w:r>
      <w:r w:rsidRPr="00BA623D">
        <w:rPr>
          <w:rFonts w:ascii="Garamond" w:hAnsi="Garamond"/>
          <w:i/>
          <w:iCs/>
          <w:lang w:val="en-US"/>
        </w:rPr>
        <w:t>Nachahmung</w:t>
      </w:r>
      <w:r w:rsidRPr="00BA623D">
        <w:rPr>
          <w:rFonts w:ascii="Garamond" w:hAnsi="Garamond"/>
          <w:lang w:val="en-US"/>
        </w:rPr>
        <w:t xml:space="preserve">, die dem Hörer eine ganz außerordentliche Lust gewährt und ihren Gegenstand komisch macht, auch wenn sie sich von der karikierenden Übertreibung noch fernhält. Es ist viel leichter, die komische Wirkung der </w:t>
      </w:r>
      <w:r w:rsidRPr="00BA623D">
        <w:rPr>
          <w:rFonts w:ascii="Garamond" w:hAnsi="Garamond"/>
          <w:i/>
          <w:iCs/>
          <w:lang w:val="en-US"/>
        </w:rPr>
        <w:t>Karikatur</w:t>
      </w:r>
      <w:r w:rsidRPr="00BA623D">
        <w:rPr>
          <w:rFonts w:ascii="Garamond" w:hAnsi="Garamond"/>
          <w:lang w:val="en-US"/>
        </w:rPr>
        <w:t xml:space="preserve"> als die der bloßen Nachahmung zu ergründen. Karikatur, Parodie und Travestie, sowie deren praktisches Gegenstück: die Entlarvung, richten sich gegen Personen und Objekte, die Autorität und Respekt beanspruchen, in irgendeinem Sinne </w:t>
      </w:r>
      <w:r w:rsidRPr="00BA623D">
        <w:rPr>
          <w:rFonts w:ascii="Garamond" w:hAnsi="Garamond"/>
          <w:i/>
          <w:iCs/>
          <w:lang w:val="en-US"/>
        </w:rPr>
        <w:t>erhaben</w:t>
      </w:r>
      <w:r w:rsidRPr="00BA623D">
        <w:rPr>
          <w:rFonts w:ascii="Garamond" w:hAnsi="Garamond"/>
          <w:lang w:val="en-US"/>
        </w:rPr>
        <w:t xml:space="preserve"> sind. Es sind Verfahren zur Herabsetzung, wie der glückliche Ausdruck der deutschen Sprache besagt </w:t>
      </w:r>
      <w:hyperlink r:id="rId350"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i/>
            <w:iCs/>
            <w:lang w:val="en-US"/>
          </w:rPr>
          <w:t>Degradation</w:t>
        </w:r>
        <w:r w:rsidRPr="00BA623D">
          <w:rPr>
            <w:rStyle w:val="innerfusslink3"/>
            <w:rFonts w:ascii="Garamond" w:hAnsi="Garamond" w:cs="Arial"/>
            <w:b/>
            <w:bCs/>
            <w:lang w:val="en-US"/>
          </w:rPr>
          <w:t xml:space="preserve">. A. Bain (1865) sagt: </w:t>
        </w:r>
        <w:r w:rsidRPr="00BA623D">
          <w:rPr>
            <w:rStyle w:val="innerfusslink3"/>
            <w:rFonts w:ascii="Garamond" w:hAnsi="Garamond" w:cs="Arial"/>
            <w:b/>
            <w:bCs/>
            <w:i/>
            <w:iCs/>
            <w:lang w:val="en-US"/>
          </w:rPr>
          <w:t>The occasion of the ludicrous is the degradation of some person or interest, possessing dignity, in circumstances that excite no other strong emotion</w:t>
        </w:r>
        <w:r w:rsidRPr="00BA623D">
          <w:rPr>
            <w:rStyle w:val="innerfusslink3"/>
            <w:rFonts w:ascii="Garamond" w:hAnsi="Garamond" w:cs="Arial"/>
            <w:b/>
            <w:bCs/>
            <w:lang w:val="en-US"/>
          </w:rPr>
          <w:t xml:space="preserve"> (S. 248).</w:t>
        </w:r>
      </w:hyperlink>
      <w:r w:rsidRPr="00BA623D">
        <w:rPr>
          <w:rFonts w:ascii="Garamond" w:hAnsi="Garamond"/>
          <w:lang w:val="en-US"/>
        </w:rPr>
        <w:t>. Das Erhabene ist ein Großes im übertragenen, im psychischen Sinne, und ich möchte die Annahme machen oder vielmehr erneuern, daß dasselbe wie das somatisch Große durch einen Mehraufwand dargestellt wird. Es gehört wenig Beobachtung dazu, um festzustellen, daß ich, wenn ich vom Erhabenen rede, meine Stimme anders innerviere, andere Mienen mache und meine ganze Körperhaltung gleichsam in Einklang mit der Würde dessen zu bringen suche, was ich vorstelle. Ich lege mir einen feierlichen Zwang auf, nicht viel anders, als wenn ich mich in die Gegenwart einer erhabenen Persönlichkeit, eines Monarchen, eines Fürsten der Wissenschaft begeben soll. Ich werde kaum irregehen, wenn ich annehme, daß diese andere Innervation der Vorstellungsmimik einem Mehraufwand entspricht. Den dritten Fall eines solchen Mehraufwandes finde ich wohl, wenn ich mich in abstrakten Gedankengängen anstatt in den gewohnten konkreten und plastischen Vorstellungen ergehe. Wenn nun die besprochenen Verfahren zur Herabsetzung des Erhabenen mich dieses wie ein Gewöhnliches vorstellen lassen, bei dem ich mich nicht zusammennehmen muß, in dessen idealer Gegenwart ich es mir »kommod« machen kann, wie die militärische Formel lautet, ersparen sie mir den Mehraufwand des feierlichen Zwanges, und der Vergleich dieser durch die Einfühlung angeregten Vorstellungsweise mit der bisher gewohnten, die sich gleichzeitig herzustellen sucht, schafft wiederum die Aufwanddifferenz, die durch Lachen abgeführt werden kann.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Die </w:t>
      </w:r>
      <w:r w:rsidRPr="00BA623D">
        <w:rPr>
          <w:rFonts w:ascii="Garamond" w:hAnsi="Garamond"/>
          <w:i/>
          <w:iCs/>
          <w:lang w:val="en-US"/>
        </w:rPr>
        <w:t>Karikatur</w:t>
      </w:r>
      <w:r w:rsidRPr="00BA623D">
        <w:rPr>
          <w:rFonts w:ascii="Garamond" w:hAnsi="Garamond"/>
          <w:lang w:val="en-US"/>
        </w:rPr>
        <w:t xml:space="preserve"> stellt die Herabsetzung bekanntlich her, indem sie aus dem Gesamtausdrucke des erhabenen Objekts einen einzelnen an sich komischen Zug heraushebt, welcher übersehen werden mußte, solange er nur im Gesamtbilde wahrnehmbar war. Durch dessen Isolierung kann nun ein komischer Effekt erzielt werden, der sich auf das Ganze in unserer Erinnerung erstreckt. Bedingung ist dabei, daß nicht die Anwesenheit des Erhabenen selbst uns in der Disposition der Ehrerbietung festhalte. Wo ein solcher übersehener komischer Zug in Wirklichkeit fehlt, da schafft ihn die Karikatur unbedenklich durch die Übertreibung eines an sich nicht komischen. Es ist wiederum kennzeichnend für den Ursprung der komischen Lust, daß der Effekt der Karikatur durch solche Verfälschung der Wirklichkeit nicht wesentlich beeinträchtigt wird.</w:t>
      </w:r>
    </w:p>
    <w:p w:rsidR="00BA623D" w:rsidRPr="00BA623D" w:rsidRDefault="00BA623D" w:rsidP="00BA623D">
      <w:pPr>
        <w:pStyle w:val="Sansinterligne"/>
        <w:rPr>
          <w:rFonts w:ascii="Garamond" w:hAnsi="Garamond"/>
          <w:lang w:val="en-US"/>
        </w:rPr>
      </w:pPr>
      <w:r w:rsidRPr="00BA623D">
        <w:rPr>
          <w:rFonts w:ascii="Garamond" w:hAnsi="Garamond"/>
          <w:i/>
          <w:iCs/>
          <w:lang w:val="en-US"/>
        </w:rPr>
        <w:t>Parodie</w:t>
      </w:r>
      <w:r w:rsidRPr="00BA623D">
        <w:rPr>
          <w:rFonts w:ascii="Garamond" w:hAnsi="Garamond"/>
          <w:lang w:val="en-US"/>
        </w:rPr>
        <w:t xml:space="preserve"> und </w:t>
      </w:r>
      <w:r w:rsidRPr="00BA623D">
        <w:rPr>
          <w:rFonts w:ascii="Garamond" w:hAnsi="Garamond"/>
          <w:i/>
          <w:iCs/>
          <w:lang w:val="en-US"/>
        </w:rPr>
        <w:t>Travestie</w:t>
      </w:r>
      <w:r w:rsidRPr="00BA623D">
        <w:rPr>
          <w:rFonts w:ascii="Garamond" w:hAnsi="Garamond"/>
          <w:lang w:val="en-US"/>
        </w:rPr>
        <w:t xml:space="preserve"> erreichen die Herabsetzung des Erhabenen auf andere Weise, indem sie die Einheitlichkeit zwischen den uns bekannten Charakteren von Personen und deren Reden und Handlungen zerstören, entweder die erhabenen Personen oder deren Äußerungen durch niedrige ersetzen. Darin unterscheiden sie sich von der Karikatur, nicht aber durch den Mechanismus der Produktion von komischer Lust. Der nämliche Mechanismus gilt auch noch für die </w:t>
      </w:r>
      <w:r w:rsidRPr="00BA623D">
        <w:rPr>
          <w:rFonts w:ascii="Garamond" w:hAnsi="Garamond"/>
          <w:i/>
          <w:iCs/>
          <w:lang w:val="en-US"/>
        </w:rPr>
        <w:t>Entlarvung</w:t>
      </w:r>
      <w:r w:rsidRPr="00BA623D">
        <w:rPr>
          <w:rFonts w:ascii="Garamond" w:hAnsi="Garamond"/>
          <w:lang w:val="en-US"/>
        </w:rPr>
        <w:t xml:space="preserve">, die nur dort in Betracht kommt, wo jemand Würde und Autorität durch einen Trug an sich gerissen hat, die ihm in der Wirklichkeit abgenommen werden müssen. Den komischen Effekt der Entlarvung haben wir durch einige </w:t>
      </w:r>
      <w:r w:rsidRPr="00BA623D">
        <w:rPr>
          <w:rFonts w:ascii="Garamond" w:hAnsi="Garamond"/>
          <w:lang w:val="en-US"/>
        </w:rPr>
        <w:lastRenderedPageBreak/>
        <w:t xml:space="preserve">Beispiele beim Witze kennengelernt, z. B. in jener Geschichte von der vornehmen Dame, die in den ersten Geburtswehen: </w:t>
      </w:r>
      <w:r w:rsidRPr="00BA623D">
        <w:rPr>
          <w:rFonts w:ascii="Garamond" w:hAnsi="Garamond"/>
          <w:i/>
          <w:iCs/>
          <w:lang w:val="en-US"/>
        </w:rPr>
        <w:t>Ah, mon dieu</w:t>
      </w:r>
      <w:r w:rsidRPr="00BA623D">
        <w:rPr>
          <w:rFonts w:ascii="Garamond" w:hAnsi="Garamond"/>
          <w:lang w:val="en-US"/>
        </w:rPr>
        <w:t xml:space="preserve"> ruft, welcher der Arzt aber nicht eher Beistand leisten will, als bis sie: Ai, waih geschrien hat. Nachdem wir nun die Charaktere des Komischen kennengelernt haben, können wir nicht mehr bestreiten, daß diese Geschichte eigentlich ein Beispiel von komischer Entlarvung ist und keinen berechtigten Anspruch hat, ein Witz geheißen zu werden. An den Witz erinnert sie bloß durch die Inszenierung, durch das technische Mittel der »Darstellung durch ein Kleinstes«, hier also den Schrei, der zur Indikationsstellung ausreichend gefunden wird. Es bleibt indes bestehen, daß unser Sprachgefühl, wenn wir es zur Entscheidung anrufen, sich nicht dagegen sträubt, eine solche Geschichte einen Witz zu heißen. Wir mögen die Erklärung hiefür in der Überlegung finden, daß der Sprachgebrauch nicht von der wissenschaftlichen Einsicht in das Wesen des Witzes ausgeht, welche wir uns in dieser mühseligen Untersuchung erworben haben. Da es zu den Leistungen des Witzes gehört, verdeckte Quellen der komischen Lust wieder zugänglich zu machen (S. 113), kann in lockerer Analogie jeder Kunstgriff, der nicht offenkundige Komik an den Tag bringt, ein Witz genannt werden. Dies letztere trifft aber vorzugsweise für die Entlarvung zu, wie auch sonst für andere Methoden des Komischmachens </w:t>
      </w:r>
      <w:hyperlink r:id="rId351"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»So heißt überhaupt Witz jedes bewußte und geschickte Hervorrufen der Komik, sei es der Komik der Anschauung oder der Situation. Natürlich können wir auch diesen Begriff des Witzes hier nicht brauchen.« Lipps (l. c. S. 78).</w:t>
        </w:r>
      </w:hyperlink>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Zur » </w:t>
      </w:r>
      <w:r w:rsidRPr="00BA623D">
        <w:rPr>
          <w:rFonts w:ascii="Garamond" w:hAnsi="Garamond"/>
          <w:i/>
          <w:iCs/>
          <w:lang w:val="en-US"/>
        </w:rPr>
        <w:t>Entlarvung</w:t>
      </w:r>
      <w:r w:rsidRPr="00BA623D">
        <w:rPr>
          <w:rFonts w:ascii="Garamond" w:hAnsi="Garamond"/>
          <w:lang w:val="en-US"/>
        </w:rPr>
        <w:t>« kann man auch jene uns schon bekannten Verfahren zum Komischmachen rechnen, welche die Würde des einzelnen Menschen herabsetzen, indem sie auf seine allgemeinmenschliche Gebrechlichkeit, besonders aber auf die Abhängigkeit seiner seelischen Leistungen von körperlichen Bedürfnissen aufmerksam machen. Die Entlarvung wird dann gleichbedeutend mit der Mahnung: Dieser und jener gleich einem Halbgott Bewunderte ist doch auch nur ein Mensch wie ich und du. Ferner gehören alle Bemühungen hieher, hinter dem Reichtum und der scheinbaren Freiheit der psychischen Leistungen den monotonen psychischen Automatismus bloßzulegen. Wir haben Beispiele von solchen »Entlarvungen« bei den Heiratsvermittlerwitzen kennengelernt und wohl damals den Zweifel gefühlt, ob wir diese Geschichten mit Recht zu den Witzen rechnen. Wir können nun mit größerer Sicherheit entscheiden, daß die Anekdote von dem Echo, welches alle Behauptungen des Heiratsvermittlers bekräftigt und zuletzt auch dessen Zugeständnis, die Braut habe einen Höcker, mit dem Ausrufe verstärkt: Aber, was für einen Höcker! im wesentlichen eine komische Geschichte ist, ein Beispiel von Entlarvung des psychischen Automatismus. Die komische Geschichte dient aber hier doch nur als Fassade; für jedermann, der auf den verborgenen Sinn der Heiratsvermittleranekdoten achten will, bleibt das Ganze ein vortrefflich inszenierter Witz. Wer nicht soweit eindringt, bleibt bei der komischen Geschichte stehen. Ähnliches gilt für den anderen Witz vom Heiratsvermittler, der, um einen Einwand zu widerlegen, schließlich durch den Ausruf: »Aber ich bitte Sie, wer wird denn solchen Leuten etwas leihen!« die Wahrheit zugesteht; eine komische Entlarvung als Fassade für einen Witz. Doch ist der Charakter des Witzes hier weit unverkennbarer, denn die Rede des Vermittlers ist gleichzeitig eine Darstellung durchs Gegenteil. Indem er beweisen will, daß die Leute reich sind, beweist er zugleich, daß sie nicht reich, sondern sehr arm sind. Witz und Komik kombinieren sich hier und lehren uns, daß die nämliche Aussage zugleich witzig und komisch sein kann.</w:t>
      </w:r>
    </w:p>
    <w:p w:rsidR="00BA623D" w:rsidRPr="00BA623D" w:rsidRDefault="00BA623D" w:rsidP="00BA623D">
      <w:pPr>
        <w:pStyle w:val="Sansinterligne"/>
        <w:rPr>
          <w:rFonts w:ascii="Garamond" w:hAnsi="Garamond"/>
          <w:lang w:val="en-US"/>
        </w:rPr>
      </w:pPr>
      <w:r w:rsidRPr="00BA623D">
        <w:rPr>
          <w:rFonts w:ascii="Garamond" w:hAnsi="Garamond"/>
          <w:lang w:val="en-US"/>
        </w:rPr>
        <w:t>Wir ergreifen gern die Gelegenheit, von der Komik der Entlarvung auf den Witz zurückzugehen, da ja die Klärung des Verhältnisses zwischen Witz und Komik, nicht die Wesensbestimmung des Komischen unsere eigentliche Aufgabe ist. Wir reihen darum dem Falle der Aufdeckung des psychischen Automatismus, für den uns das Gefühl, ob etwas komisch oder witzig sei, im Stiche gelassen hat, einen anderen an, in dem gleichfalls Witz und Komik sich miteinander verwirren, den Fall der Unsinnswitze. Unsere Untersuchung wird uns aber schließlich zeigen, daß für diesen zweiten Fall das Zusammentreffen von Witz und Komik theoretisch ableitbar ist.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Wir haben bei der Erörterung der Witztechniken gefunden, daß das Gewährenlassen solcher Denkweisen, wie sie im Unbewußten üblich sind und die im Bewußten nur als »Denkfehler« beurteilt werden können, das technische Mittel sehr vieler Witze ist, an deren Witzcharakter wir dann doch wieder zweifeln konnten, so daß wir geneigt waren, sie einfach als komische Geschichten zu klassifizieren. Wir konnten zu keiner Entscheidung über unseren Zweifel gelangen, weil uns zunächst der wesentliche Charakter des Witzes nicht bekannt war. Später fanden wir diesen, durch die Analogie mit der Traumarbeit geleitet, in der Kompromißleistung der Witzarbeit zwischen den Anforderungen der vernünftigen Kritik und dem Trieb, auf die alte Wort- und Unsinnslust nicht zu verzichten. Was so als Kompromiß zustande kam, wenn der vorbewußte Ansatz des Gedankens für einen Moment der unbewußten Bearbeitung überlassen wurde, genügte in allen Fällen beiderlei Ansprüchen, präsentierte sich aber der Kritik in verschiedenen </w:t>
      </w:r>
      <w:r w:rsidRPr="00BA623D">
        <w:rPr>
          <w:rFonts w:ascii="Garamond" w:hAnsi="Garamond"/>
          <w:lang w:val="en-US"/>
        </w:rPr>
        <w:lastRenderedPageBreak/>
        <w:t>Formen und mußte sich verschiedene Beurteilungen von ihr gefallen lassen. Es war dem Witz das eine Mal gelungen, sich die Form eines bedeutungslosen, aber immerhin zulässigen Satzes zu erschleichen, das andere Mal sich im Ausdruck eines wertvollen Gedankens einzuschmuggeln; im Grenzfalle der Kompromißleistung aber hatte er auf die Befriedigung der Kritik verzichtet und war, trotzend auf die Lustquellen, über die er verfügte, als barer Unsinn vor ihr erschienen, hatte sich nicht gescheut, ihren Widerspruch wachzurufen, weil er darauf rechnen konnte, daß der Hörer die Verunstaltung seines Ausdrucks durch die unbewußte Bearbeitung redressieren und ihm so seinen Sinn wiedergeben würde.</w:t>
      </w:r>
    </w:p>
    <w:p w:rsidR="00BA623D" w:rsidRPr="00BA623D" w:rsidRDefault="00BA623D" w:rsidP="00BA623D">
      <w:pPr>
        <w:pStyle w:val="Sansinterligne"/>
        <w:rPr>
          <w:rFonts w:ascii="Garamond" w:hAnsi="Garamond"/>
          <w:lang w:val="en-US"/>
        </w:rPr>
      </w:pPr>
      <w:r w:rsidRPr="00BA623D">
        <w:rPr>
          <w:rFonts w:ascii="Garamond" w:hAnsi="Garamond"/>
          <w:lang w:val="en-US"/>
        </w:rPr>
        <w:t>In welchem Falle wird nun der Witz vor der Kritik als Unsinn erscheinen? Besonders dann, wenn er sich jener Denkweisen bedient, die im Unbewußten üblich, im bewußten Denken verpönt sind, also der Denkfehler. Gewisse der Denkweisen des Unbewußten sind nämlich auch für das Bewußte erhalten geblieben, z. B. manche Arten der indirekten Darstellung, die Anspielung usw., wenngleich deren bewußter Gebrauch größeren Beschränkungen unterliegt. Mit diesen Techniken wird der Witz bei der Kritik keinen oder geringen Anstoß erregen; dieser Erfolg tritt erst ein, wenn er sich auch jener Mittel als Technik bedient, von denen das bewußte Denken nichts mehr wissen will. Der Witz kann den Anstoß immer noch vermeiden, wenn er den angewandten Denkfehler verhüllt, ihn mit einem Schein von Logik verkleidet wie in der Geschichte von Torte und Likör, Lachs mit Mayonnaise und ähnlichen. Bringt er den Denkfehler aber unverhüllt, so ist der Einspruch der Kritik gewiß.</w:t>
      </w:r>
    </w:p>
    <w:p w:rsidR="00BA623D" w:rsidRPr="00BA623D" w:rsidRDefault="00BA623D" w:rsidP="00BA623D">
      <w:pPr>
        <w:pStyle w:val="Sansinterligne"/>
        <w:rPr>
          <w:rFonts w:ascii="Garamond" w:hAnsi="Garamond"/>
          <w:lang w:val="en-US"/>
        </w:rPr>
      </w:pPr>
      <w:r w:rsidRPr="00BA623D">
        <w:rPr>
          <w:rFonts w:ascii="Garamond" w:hAnsi="Garamond"/>
          <w:lang w:val="en-US"/>
        </w:rPr>
        <w:t>In diesem Falle kommt dem Witz nun etwas anderes zugute. Die Denkfehler, die er als Denkweisen des Unbewußten für seine Technik benützt, erscheinen der Kritik – wenn auch nicht regelmäßig so – als komisch. Das bewußte Gewährenlassen der unbewußten und als fehlerhaft verworfenen Denkweisen ist ein Mittel zur Erzeugung der komischen Lust, und dies ist leicht zu verstehen, denn zur Herstellung der vorbewußten Besetzung bedarf es gewiß eines größeren Aufwandes als zum Gewährenlassen der unbewußten. Indem wir beim Anhören des wie im Unbewußten gebildeten Gedankens diesen mit seiner Korrektur vergleichen, ergibt sich für uns die Aufwanddifferenz, aus welcher die komische Lust hervorgeht. Ein Witz, der sich solcher Denkfehler als Technik bedient und darum unsinnig erscheint, kann also gleichzeitig komisch wirken. Kommen wir dem Witze nicht auf die Spur, so erübrigt uns wiederum nur die komische Geschichte, der Schwank.</w:t>
      </w:r>
    </w:p>
    <w:p w:rsidR="00BA623D" w:rsidRPr="00BA623D" w:rsidRDefault="00BA623D" w:rsidP="00BA623D">
      <w:pPr>
        <w:pStyle w:val="Sansinterligne"/>
        <w:rPr>
          <w:rFonts w:ascii="Garamond" w:hAnsi="Garamond"/>
        </w:rPr>
      </w:pPr>
      <w:r w:rsidRPr="00BA623D">
        <w:rPr>
          <w:rFonts w:ascii="Garamond" w:hAnsi="Garamond"/>
          <w:lang w:val="en-US"/>
        </w:rPr>
        <w:t xml:space="preserve">Die Geschichte vom geborgten Kessel, der bei der Zurückstellung ein Loch hatte, wobei sich der Entlehner verantwortete, erstens habe er überhaupt keinen Kessel geborgt, zweitens sei dieser schon bei der Entlehnung durchlöchert gewesen, und drittens habe er ihn unversehrt, ohne Loch, zurückgestellt (S. 65), ist ein vortreffliches Beispiel einer rein komischen Wirkung durch Gewährenlassen unbewußter Denkweise. Gerade dieses Einanderaufheben von mehreren Gedanken, von denen jeder für sich gut motiviert ist, fällt im Unbewußten weg. Der Traum, an dem ja die Denkweisen des Unbewußten manifest werden, kennt dementsprechend auch kein Entweder-Oder </w:t>
      </w:r>
      <w:hyperlink r:id="rId352"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Dies wird höchstens vom Erzähler als Deutung eingesetzt.</w:t>
        </w:r>
      </w:hyperlink>
      <w:r w:rsidRPr="00BA623D">
        <w:rPr>
          <w:rFonts w:ascii="Garamond" w:hAnsi="Garamond"/>
          <w:lang w:val="en-US"/>
        </w:rPr>
        <w:t xml:space="preserve">, nur ein gleichzeitiges Nebeneinander. In jenem Traumbeispiel meiner </w:t>
      </w:r>
      <w:r w:rsidRPr="00BA623D">
        <w:rPr>
          <w:rFonts w:ascii="Garamond" w:hAnsi="Garamond"/>
          <w:i/>
          <w:iCs/>
          <w:lang w:val="en-US"/>
        </w:rPr>
        <w:t>Traumdeutung</w:t>
      </w:r>
      <w:r w:rsidRPr="00BA623D">
        <w:rPr>
          <w:rFonts w:ascii="Garamond" w:hAnsi="Garamond"/>
          <w:lang w:val="en-US"/>
        </w:rPr>
        <w:t xml:space="preserve">, das ich trotz seiner Komplikation zum Muster für die Deutungsarbeit gewählt habe </w:t>
      </w:r>
      <w:hyperlink r:id="rId353"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 xml:space="preserve">Vgl. </w:t>
        </w:r>
        <w:r w:rsidRPr="00BA623D">
          <w:rPr>
            <w:rStyle w:val="innerfusslink3"/>
            <w:rFonts w:ascii="Garamond" w:hAnsi="Garamond" w:cs="Arial"/>
            <w:b/>
            <w:bCs/>
            <w:i/>
            <w:iCs/>
            <w:lang w:val="en-US"/>
          </w:rPr>
          <w:t>Die Traumdeutung</w:t>
        </w:r>
        <w:r w:rsidRPr="00BA623D">
          <w:rPr>
            <w:rStyle w:val="innerfusslink3"/>
            <w:rFonts w:ascii="Garamond" w:hAnsi="Garamond" w:cs="Arial"/>
            <w:b/>
            <w:bCs/>
            <w:lang w:val="en-US"/>
          </w:rPr>
          <w:t>.</w:t>
        </w:r>
      </w:hyperlink>
      <w:r w:rsidRPr="00BA623D">
        <w:rPr>
          <w:rFonts w:ascii="Garamond" w:hAnsi="Garamond"/>
          <w:lang w:val="en-US"/>
        </w:rPr>
        <w:t xml:space="preserve">, suche ich mich von dem Vorwurf zu entlasten, daß ich die Schmerzen einer Patientin nicht durch psychische Kur zum Verschwinden gebracht habe. Meine Begründungen lauten: 1. sie sei selbst an ihrem Kranksein schuld, weil sie meine Lösung nicht annehmen wolle, 2. ihre Schmerzen seien organischer Herkunft, gehen mich also gar nichts an, 3. ihre Schmerzen hängen mit ihrer Witwenschaft zusammen, an der ich ja nicht schuld bin, 4. ihre Schmerzen rühren von einer Injektion mit verunreinigter Spritze her, die ihr ein anderer gegeben hat. Alle diese Gründe stehen nun so nebeneinander, als schlösse nicht der eine den anderen aus. </w:t>
      </w:r>
      <w:r w:rsidRPr="00BA623D">
        <w:rPr>
          <w:rFonts w:ascii="Garamond" w:hAnsi="Garamond"/>
        </w:rPr>
        <w:t>Ich müßte für das »Und« des Traumes ein »Entweder-Oder« einsetzen, um dem Vorwurf des Unsinns zu entgehen.</w:t>
      </w:r>
    </w:p>
    <w:p w:rsidR="00BA623D" w:rsidRPr="00BA623D" w:rsidRDefault="00BA623D" w:rsidP="00BA623D">
      <w:pPr>
        <w:pStyle w:val="Sansinterligne"/>
        <w:rPr>
          <w:rFonts w:ascii="Garamond" w:hAnsi="Garamond"/>
          <w:lang w:val="en-US"/>
        </w:rPr>
      </w:pPr>
      <w:r w:rsidRPr="00BA623D">
        <w:rPr>
          <w:rFonts w:ascii="Garamond" w:hAnsi="Garamond"/>
        </w:rPr>
        <w:t xml:space="preserve">Eine ähnliche komische Geschichte wäre die, daß sich in einem ungarischen Dorf der Schmied ein todwürdiges Verbrechen habe zuschulden kommen lassen, der Bürgermeister aber habe beschlossen, zur Sühne nicht den Schmied, sondern einen Schneider aufhängen zu lassen, denn es wären zwei Schneider im Dorfe ansässig, aber kein anderer Schmied, und Sühne müßte sein. Eine solche Verschiebung von der Person des Schuldigen auf einen anderen widerspricht natürlich allen Gesetzen bewußter Logik, keineswegs aber der Denkweise des Unbewußten. </w:t>
      </w:r>
      <w:r w:rsidRPr="00BA623D">
        <w:rPr>
          <w:rFonts w:ascii="Garamond" w:hAnsi="Garamond"/>
          <w:lang w:val="en-US"/>
        </w:rPr>
        <w:t xml:space="preserve">Ich stehe nicht an, diese Geschichte komisch zu heißen, und doch habe ich die vom Kessel unter den Witzen angeführt. Ich gebe nun zu, daß auch letztere viel richtiger als »komisch« denn als witzig zu bezeichnen ist. Ich verstehe aber nun, wie es zugeht, daß mein sonst so sicheres Gefühl mich im Zweifel lassen kann, ob diese Geschichte komisch oder witzig ist. Es ist dies der Fall, in dem ich nach dem Gefühl die Entscheidung nicht treffen kann, wenn nämlich die Komik durch Aufdeckung der dem Unbewußten ausschließlich eigenen Denkweisen entsteht. Eine derartige Geschichte kann komisch und witzig zugleich sein; sie wird mir aber den Eindruck des Witzigen machen, </w:t>
      </w:r>
      <w:r w:rsidRPr="00BA623D">
        <w:rPr>
          <w:rFonts w:ascii="Garamond" w:hAnsi="Garamond"/>
          <w:lang w:val="en-US"/>
        </w:rPr>
        <w:lastRenderedPageBreak/>
        <w:t>auch wenn sie bloß komisch ist, weil die Verwendung der Denkfehler des Unbewußten mich an den Witz mahnt, ebenso wie vorhin (S. 230) die Veranstaltungen zur Aufdeckung verborgener Komik.</w:t>
      </w:r>
    </w:p>
    <w:p w:rsidR="00BA623D" w:rsidRPr="00BA623D" w:rsidRDefault="00BA623D" w:rsidP="00BA623D">
      <w:pPr>
        <w:pStyle w:val="Sansinterligne"/>
        <w:rPr>
          <w:rFonts w:ascii="Garamond" w:hAnsi="Garamond"/>
        </w:rPr>
      </w:pPr>
      <w:r w:rsidRPr="00BA623D">
        <w:rPr>
          <w:rFonts w:ascii="Garamond" w:hAnsi="Garamond"/>
          <w:lang w:val="en-US"/>
        </w:rPr>
        <w:t xml:space="preserve">Ich muß Wert darauf legen, diesen heikelsten Punkt meiner Auseinandersetzungen, das Verhältnis des Witzes zur Komik, klarzustellen, und will darum das Gesagte durch einige negative Sätze ergänzen. Zunächst kann ich darauf aufmerksam machen, daß der hier behandelte Fall des Zusammentreffens von Witz und Komik mit dem vorigen (S. 232) nicht identisch ist. Es ist dies zwar eine feinere Unterscheidung, aber sie ist mit Sicherheit zu machen. </w:t>
      </w:r>
      <w:r w:rsidRPr="00BA623D">
        <w:rPr>
          <w:rFonts w:ascii="Garamond" w:hAnsi="Garamond"/>
        </w:rPr>
        <w:t>Im vorigen Falle rührte die Komik von der Aufdeckung des psychischen Automatismus her. Dieser ist nun keineswegs dem Unbewußten allein eigentümlich und spielt auch keine auffällige Rolle unter den Techniken des Witzes. Die Entlarvung tritt nur zufällig zum Witze in Beziehung, indem sie einer anderen Technik des Witzes, z. B. der Darstellung durch das Gegenteil dient. Im Falle des Gewährenlassens unbewußter Denkweisen ist aber das Zusammentreffen von Witz und Komik ein notwendiges, weil dasselbe Mittel, das bei der ersten Person des Witzes zur Technik der Lustentbindung verwendet wird, seiner Natur nach bei der dritten Person komische Lust erzeugt.</w:t>
      </w:r>
    </w:p>
    <w:p w:rsidR="00BA623D" w:rsidRPr="00BA623D" w:rsidRDefault="00BA623D" w:rsidP="00BA623D">
      <w:pPr>
        <w:pStyle w:val="Sansinterligne"/>
        <w:rPr>
          <w:rFonts w:ascii="Garamond" w:hAnsi="Garamond"/>
          <w:lang w:val="en-US"/>
        </w:rPr>
      </w:pPr>
      <w:r w:rsidRPr="00BA623D">
        <w:rPr>
          <w:rFonts w:ascii="Garamond" w:hAnsi="Garamond"/>
          <w:lang w:val="en-US"/>
        </w:rPr>
        <w:t>Man könnte in die Versuchung geraten, diesen letzten Fall zu verallgemeinern, und die Beziehung des Witzes zur Komik darin suchen, daß die Wirkung des Witzes auf die dritte Person nach dem Mechanismus der komischen Lust erfolgt. Aber davon ist keine Rede, die Berührung mit dem Komischen trifft keineswegs für alle oder auch nur die meisten Witze zu; in den meisten Fällen sind Witz und Komik vielmehr reinlich zu scheiden. So oft es dem Witz gelingt, dem Anschein des Unsinnigen zu entgehen, also bei den meisten Doppelsinn- und Anspielungswitzen, ist von einer dem Komischen ähnlichen Wirkung beim Hörer nichts zu entdecken. Man mache die Probe an den früher mitgeteilten Beispielen oder an einigen neuen, die ich anführen kann.</w:t>
      </w:r>
    </w:p>
    <w:p w:rsidR="00BA623D" w:rsidRPr="00BA623D" w:rsidRDefault="00BA623D" w:rsidP="00BA623D">
      <w:pPr>
        <w:pStyle w:val="Sansinterligne"/>
        <w:rPr>
          <w:rFonts w:ascii="Garamond" w:hAnsi="Garamond"/>
          <w:lang w:val="en-US"/>
        </w:rPr>
      </w:pPr>
      <w:r w:rsidRPr="00BA623D">
        <w:rPr>
          <w:rFonts w:ascii="Garamond" w:hAnsi="Garamond"/>
        </w:rPr>
        <w:t xml:space="preserve">Glückwunschtelegramm zum 70. Geburtstag eines Spielers: » </w:t>
      </w:r>
      <w:r w:rsidRPr="00BA623D">
        <w:rPr>
          <w:rFonts w:ascii="Garamond" w:hAnsi="Garamond"/>
          <w:i/>
          <w:iCs/>
        </w:rPr>
        <w:t>Trente et quarante.</w:t>
      </w:r>
      <w:r w:rsidRPr="00BA623D">
        <w:rPr>
          <w:rFonts w:ascii="Garamond" w:hAnsi="Garamond"/>
        </w:rPr>
        <w:t xml:space="preserve">« </w:t>
      </w:r>
      <w:r w:rsidRPr="00BA623D">
        <w:rPr>
          <w:rFonts w:ascii="Garamond" w:hAnsi="Garamond"/>
          <w:lang w:val="en-US"/>
        </w:rPr>
        <w:t>(Zerteilung mit Anspielung.)</w:t>
      </w:r>
    </w:p>
    <w:p w:rsidR="00BA623D" w:rsidRPr="00BA623D" w:rsidRDefault="00BA623D" w:rsidP="00BA623D">
      <w:pPr>
        <w:pStyle w:val="Sansinterligne"/>
        <w:rPr>
          <w:rFonts w:ascii="Garamond" w:hAnsi="Garamond"/>
        </w:rPr>
      </w:pPr>
      <w:r w:rsidRPr="00BA623D">
        <w:rPr>
          <w:rFonts w:ascii="Garamond" w:hAnsi="Garamond"/>
          <w:lang w:val="en-US"/>
        </w:rPr>
        <w:t xml:space="preserve">Hevesi beschreibt einmal den Prozeß der Tabakfabrikation: »Die hellgelben Blätter ... wurden da in eine </w:t>
      </w:r>
      <w:r w:rsidRPr="00BA623D">
        <w:rPr>
          <w:rFonts w:ascii="Garamond" w:hAnsi="Garamond"/>
          <w:i/>
          <w:iCs/>
          <w:lang w:val="en-US"/>
        </w:rPr>
        <w:t>Beize getunkt</w:t>
      </w:r>
      <w:r w:rsidRPr="00BA623D">
        <w:rPr>
          <w:rFonts w:ascii="Garamond" w:hAnsi="Garamond"/>
          <w:lang w:val="en-US"/>
        </w:rPr>
        <w:t xml:space="preserve"> und in dieser </w:t>
      </w:r>
      <w:r w:rsidRPr="00BA623D">
        <w:rPr>
          <w:rFonts w:ascii="Garamond" w:hAnsi="Garamond"/>
          <w:i/>
          <w:iCs/>
          <w:lang w:val="en-US"/>
        </w:rPr>
        <w:t>Tunke gebeizt.</w:t>
      </w:r>
      <w:r w:rsidRPr="00BA623D">
        <w:rPr>
          <w:rFonts w:ascii="Garamond" w:hAnsi="Garamond"/>
          <w:lang w:val="en-US"/>
        </w:rPr>
        <w:t xml:space="preserve">« </w:t>
      </w:r>
      <w:r w:rsidRPr="00BA623D">
        <w:rPr>
          <w:rFonts w:ascii="Garamond" w:hAnsi="Garamond"/>
        </w:rPr>
        <w:t>(Mehrfache Verwendung des nämlichen Materials.)</w:t>
      </w:r>
    </w:p>
    <w:p w:rsidR="00BA623D" w:rsidRPr="00BA623D" w:rsidRDefault="00BA623D" w:rsidP="00BA623D">
      <w:pPr>
        <w:pStyle w:val="Sansinterligne"/>
        <w:rPr>
          <w:rFonts w:ascii="Garamond" w:hAnsi="Garamond"/>
        </w:rPr>
      </w:pPr>
      <w:r w:rsidRPr="00BA623D">
        <w:rPr>
          <w:rFonts w:ascii="Garamond" w:hAnsi="Garamond"/>
        </w:rPr>
        <w:t xml:space="preserve">Madame de Maintenon wurde Mme. de </w:t>
      </w:r>
      <w:r w:rsidRPr="00BA623D">
        <w:rPr>
          <w:rFonts w:ascii="Garamond" w:hAnsi="Garamond"/>
          <w:i/>
          <w:iCs/>
        </w:rPr>
        <w:t>Maintenant</w:t>
      </w:r>
      <w:r w:rsidRPr="00BA623D">
        <w:rPr>
          <w:rFonts w:ascii="Garamond" w:hAnsi="Garamond"/>
        </w:rPr>
        <w:t xml:space="preserve"> genannt. (Namensmodifikation.)</w:t>
      </w:r>
    </w:p>
    <w:p w:rsidR="00BA623D" w:rsidRPr="00BA623D" w:rsidRDefault="00BA623D" w:rsidP="00BA623D">
      <w:pPr>
        <w:pStyle w:val="Sansinterligne"/>
        <w:rPr>
          <w:rFonts w:ascii="Garamond" w:hAnsi="Garamond"/>
        </w:rPr>
      </w:pPr>
      <w:r w:rsidRPr="00BA623D">
        <w:rPr>
          <w:rFonts w:ascii="Garamond" w:hAnsi="Garamond"/>
        </w:rPr>
        <w:t xml:space="preserve">Prof. Kästner sagt zu einem Prinzen, der sich während einer Demonstration vor das Fernrohr gestellt: »Mein Prinz, ich weiß wohl, daß Sie </w:t>
      </w:r>
      <w:r w:rsidRPr="00BA623D">
        <w:rPr>
          <w:rFonts w:ascii="Garamond" w:hAnsi="Garamond"/>
          <w:i/>
          <w:iCs/>
        </w:rPr>
        <w:t>durchlauchtig</w:t>
      </w:r>
      <w:r w:rsidRPr="00BA623D">
        <w:rPr>
          <w:rFonts w:ascii="Garamond" w:hAnsi="Garamond"/>
        </w:rPr>
        <w:t xml:space="preserve"> sind, aber Sie sind nicht durchsichtig.«</w:t>
      </w:r>
    </w:p>
    <w:p w:rsidR="00BA623D" w:rsidRPr="00BA623D" w:rsidRDefault="00BA623D" w:rsidP="00BA623D">
      <w:pPr>
        <w:pStyle w:val="Sansinterligne"/>
        <w:rPr>
          <w:rFonts w:ascii="Garamond" w:hAnsi="Garamond"/>
        </w:rPr>
      </w:pPr>
      <w:r w:rsidRPr="00BA623D">
        <w:rPr>
          <w:rFonts w:ascii="Garamond" w:hAnsi="Garamond"/>
        </w:rPr>
        <w:t xml:space="preserve">Graf Andrássy wurde der </w:t>
      </w:r>
      <w:r w:rsidRPr="00BA623D">
        <w:rPr>
          <w:rFonts w:ascii="Garamond" w:hAnsi="Garamond"/>
          <w:i/>
          <w:iCs/>
        </w:rPr>
        <w:t>Minister des schönen Äußeren</w:t>
      </w:r>
      <w:r w:rsidRPr="00BA623D">
        <w:rPr>
          <w:rFonts w:ascii="Garamond" w:hAnsi="Garamond"/>
        </w:rPr>
        <w:t xml:space="preserve"> genannt.</w:t>
      </w:r>
    </w:p>
    <w:p w:rsidR="00BA623D" w:rsidRPr="00BA623D" w:rsidRDefault="00BA623D" w:rsidP="00BA623D">
      <w:pPr>
        <w:pStyle w:val="Sansinterligne"/>
        <w:rPr>
          <w:rFonts w:ascii="Garamond" w:hAnsi="Garamond"/>
          <w:lang w:val="en-US"/>
        </w:rPr>
      </w:pPr>
      <w:r w:rsidRPr="00BA623D">
        <w:rPr>
          <w:rFonts w:ascii="Garamond" w:hAnsi="Garamond"/>
          <w:lang w:val="en-US"/>
        </w:rPr>
        <w:t>Man könnte ferner glauben, daß wenigstens alle Witze mit Unsinnsfassade komisch erscheinen und so wirken müssen. Allein ich erinnere hier daran, daß solche Witze sehr oft eine andere Wirkung auf den Hörer haben, Verblüffung und Neigung zur Ablehnung hervorrufen (s. S. 155). Es kommt also offenbar darauf an, ob der Unsinn des Witzes als komischer oder als gemeiner, barer Unsinn erscheint, wofür wir die Bedingung noch nicht erforscht haben. Wir verbleiben demnach bei dem Schlusse, daß der Witz seiner Natur nach vom Komischen zu sondern ist und nur einerseits in gewissen speziellen Fällen, anderseits in der Tendenz, Lust aus intellektuellen Quellen zu gewinnen, mit ihm zusammentrifft.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Während dieser Untersuchungen über die Beziehungen von Witz und Komik enthüllt sich uns nun jener Unterschied, den wir als den bedeutsamsten betonen müssen und der gleichzeitig auf einen psychologischen Hauptcharakter der Komik hinweist. Die Quelle der Lust des Witzes mußten wir in das Unbewußte verlegen; keine Veranlassung zur gleichen Lokalisation ist für das Komische erfindlich. Vielmehr deuten alle Analysen, die wir bisher angestellt haben, darauf hin, daß die Quelle der komischen Lust die Vergleichung zweier Aufwände ist, die wir beide dem Vorbewußten zuordnen müssen. Witz und Komik unterscheiden sich vor allem in der psychischen Lokalisation; </w:t>
      </w:r>
      <w:r w:rsidRPr="00BA623D">
        <w:rPr>
          <w:rFonts w:ascii="Garamond" w:hAnsi="Garamond"/>
          <w:i/>
          <w:iCs/>
          <w:lang w:val="en-US"/>
        </w:rPr>
        <w:t>der Witz ist sozusagen der Beitrag zur Komik aus dem Bereich des Unbewußten</w:t>
      </w:r>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Wir brauchen uns nicht zu beschuldigen, daß wir uns in eine Abschweifung eingelassen haben, da ja das Verhältnis des Witzes zur Komik der Anlaß ist, welcher uns zur Untersuchung des Komischen gedrängt hat. Es ist aber wohl an der Zeit, daß wir zu unserem dermaligen Thema zurückkehren, zur Behandlung der Mittel, welche dem Komischmachen dienen. Wir haben die Erörterung der Karikatur und der Entlarvung vorausgeschickt, weil wir aus ihnen beiden einige Anknüpfungen für die Analyse der Komik der </w:t>
      </w:r>
      <w:r w:rsidRPr="00BA623D">
        <w:rPr>
          <w:rFonts w:ascii="Garamond" w:hAnsi="Garamond"/>
          <w:i/>
          <w:iCs/>
          <w:lang w:val="en-US"/>
        </w:rPr>
        <w:t>Nachahmung</w:t>
      </w:r>
      <w:r w:rsidRPr="00BA623D">
        <w:rPr>
          <w:rFonts w:ascii="Garamond" w:hAnsi="Garamond"/>
          <w:lang w:val="en-US"/>
        </w:rPr>
        <w:t xml:space="preserve"> entnehmen können. Die Nachahmung ist wohl zumeist mit Karikatur, Übertreibung einiger sonst nicht auffälliger Züge versetzt und trägt auch den Charakter der Herabsetzung an sich. Doch scheint ihr Wesen hiemit nicht erschöpft; es ist unleugbar, daß sie an sich eine außerordentlich ergiebige Quelle der komischen Lust darstellt, indem wir gerade über die Treue der Nachahmung besonders lachen. Es ist nicht leicht, hiefür eine befriedigende Aufklärung zu geben, wenn man sich nicht der Ansicht von </w:t>
      </w:r>
      <w:r w:rsidRPr="00BA623D">
        <w:rPr>
          <w:rFonts w:ascii="Garamond" w:hAnsi="Garamond"/>
          <w:lang w:val="en-US"/>
        </w:rPr>
        <w:lastRenderedPageBreak/>
        <w:t xml:space="preserve">Bergson (1900) anschließen will, durch welche die Komik der Nachahmung nahe an die durch Aufdeckung des psychischen Automatismus herangerückt wird. Bergson meint, daß alles dasjenige komisch wirkt, was bei einer lebenden Person an einen unbelebten Mechanismus denken läßt. Seine Formel hiefür lautet: </w:t>
      </w:r>
      <w:r w:rsidRPr="00BA623D">
        <w:rPr>
          <w:rFonts w:ascii="Garamond" w:hAnsi="Garamond"/>
          <w:i/>
          <w:iCs/>
          <w:lang w:val="en-US"/>
        </w:rPr>
        <w:t>Mécanisation de la vie</w:t>
      </w:r>
      <w:r w:rsidRPr="00BA623D">
        <w:rPr>
          <w:rFonts w:ascii="Garamond" w:hAnsi="Garamond"/>
          <w:lang w:val="en-US"/>
        </w:rPr>
        <w:t xml:space="preserve">. Er erklärt die Komik der Nachahmung, indem er an ein Problem anknüpft, welches Pascal in seinen </w:t>
      </w:r>
      <w:r w:rsidRPr="00BA623D">
        <w:rPr>
          <w:rFonts w:ascii="Garamond" w:hAnsi="Garamond"/>
          <w:i/>
          <w:iCs/>
          <w:lang w:val="en-US"/>
        </w:rPr>
        <w:t>Pensées</w:t>
      </w:r>
      <w:r w:rsidRPr="00BA623D">
        <w:rPr>
          <w:rFonts w:ascii="Garamond" w:hAnsi="Garamond"/>
          <w:lang w:val="en-US"/>
        </w:rPr>
        <w:t xml:space="preserve"> aufgestellt, warum man bei der Vergleichung zweier ähnlicher Gesichter lache, von denen keines an sich komisch wirke. »Das Lebende soll sich nach unserer Erwartung niemals völlig ähnlich wiederholen. Wo wir solche Wiederholung finden, vermuten wir jedesmal einen Mechanismus, der hinter diesem Lebenden steckt.« Wenn man zwei Gesichter von zu weitgehender Ähnlichkeit sieht, denkt man an zwei Abdrücke aus derselben Form oder an ein ähnliches Verfahren der mechanischen Herstellung. Kurz, die Ursache des Lachens wäre in diesen Fällen die Abweichung des Lebenden gegen das Leblose hin; wir können sagen, die Degradierung des Lebenden zum Leblosen (loc. cit. S. 35). Wenn wir diese einschmeichelnden Ausführungen Bergsons gelten lassen, fällt es uns übrigens nicht schwer, seine Ansicht unserer eigenen Formel zu unterwerfen. Durch die Erfahrung belehrt, daß jedes Lebende ein anderes ist und eine Art von Aufwand von unserem Verständnis fordert, finden wir uns enttäuscht, wenn wir infolge vollkommener Übereinstimmung oder täuschender Nachahmung keines neuen Aufwandes bedürfen. Wir sind aber enttäuscht im Sinne der Erleichterung, und der überflüssig gewordene Erwartungsaufwand wird durch Lachen abgeführt. Die nämliche Formel würde auch alle bei Bergson gewürdigten Fälle der komischen Erstarrung ( </w:t>
      </w:r>
      <w:r w:rsidRPr="00BA623D">
        <w:rPr>
          <w:rFonts w:ascii="Garamond" w:hAnsi="Garamond"/>
          <w:i/>
          <w:iCs/>
          <w:lang w:val="en-US"/>
        </w:rPr>
        <w:t>raideur</w:t>
      </w:r>
      <w:r w:rsidRPr="00BA623D">
        <w:rPr>
          <w:rFonts w:ascii="Garamond" w:hAnsi="Garamond"/>
          <w:lang w:val="en-US"/>
        </w:rPr>
        <w:t>), der professionellen Gewohnheiten, fixen Ideen und bei jedem Anlaß wiederholten Redensarten decken. Alle diese Fälle würden auf den Vergleich des Erwartungsaufwandes mit dem zum Verständnis des sich gleich Gebliebenen erforderlichen ausgehen, wobei die größere Erwartung sich auf die Beobachtung der individuellen Mannigfaltigkeit und Plastizität des Lebenden stützt. Bei der Nachahmung wäre also nicht die Situations-, sondern die Erwartungskomik die Quelle der komischen Lust.</w:t>
      </w:r>
    </w:p>
    <w:p w:rsidR="00BA623D" w:rsidRPr="00BA623D" w:rsidRDefault="00BA623D" w:rsidP="00BA623D">
      <w:pPr>
        <w:pStyle w:val="Sansinterligne"/>
        <w:rPr>
          <w:rFonts w:ascii="Garamond" w:hAnsi="Garamond"/>
          <w:lang w:val="en-US"/>
        </w:rPr>
      </w:pPr>
      <w:r w:rsidRPr="00BA623D">
        <w:rPr>
          <w:rFonts w:ascii="Garamond" w:hAnsi="Garamond"/>
          <w:lang w:val="en-US"/>
        </w:rPr>
        <w:t>Da wir die komische Lust allgemein von einer Vergleichung ableiten, obliegt es uns, auch das Komische des Vergleichs selbst zu untersuchen, welcher ja gleichfalls als Mittel zum Komischmachen dient. Unser Interesse für diese Frage wird eine Steigerung erfahren, wenn wir uns erinnern, daß uns oft auch im Falle des Gleichnisses das »Gefühl«, ob etwas ein Witz oder bloß komisch zu nennen sei, im Stiche zu lassen pflegt (s. S. 87).</w:t>
      </w:r>
    </w:p>
    <w:p w:rsidR="00BA623D" w:rsidRPr="00BA623D" w:rsidRDefault="00BA623D" w:rsidP="00BA623D">
      <w:pPr>
        <w:pStyle w:val="Sansinterligne"/>
        <w:rPr>
          <w:rFonts w:ascii="Garamond" w:hAnsi="Garamond"/>
          <w:lang w:val="en-US"/>
        </w:rPr>
      </w:pPr>
      <w:r w:rsidRPr="00BA623D">
        <w:rPr>
          <w:rFonts w:ascii="Garamond" w:hAnsi="Garamond"/>
          <w:lang w:val="en-US"/>
        </w:rPr>
        <w:t>Das Thema verdiente freilich mehr Sorgfalt, als wir ihm von unserem Interesse her zuteil werden lassen können. Die Haupteigenschaft, nach welcher wir beim Gleichnis fragen, ist, ob dasselbe treffend ist, d. h. ob es auf eine wirklich vorhandene Übereinstimmung zweier verschiedener Objekte aufmerksam macht. Die ursprüngliche Lust am Wiederfinden des Gleichen (Groos, S. 103) ist nicht das einzige Motiv, welches den Gebrauch der Vergleichung begünstigt; es kommt hinzu, daß das Gleichnis einer Verwendung fähig ist, welche eine Erleichterung der intellektuellen Arbeit mit sich bringt, wenn man nämlich, wie zumeist üblich, das Unbekanntere mit dem Bekannteren, das Abstrakte mit dem Konkreten vergleicht und durch diesen Vergleich das Fremdere und Schwierigere erläutert. Mit jeder solchen Vergleichung, speziell des Abstrakten mit dem Sachlichen, ist eine gewisse Herabsetzung und eine gewisse Ersparung an Abstraktionsaufwand (im Sinne einer Vorstellungsmimik) verbunden, doch reicht dieselbe natürlich nicht hin, um den Charakter des Komischen deutlich hervortreten zu lassen. Dieser taucht nicht plötzlich, sondern allmählich aus der Erleichterungslust der Vergleichung auf; es gibt reichlich Fälle, die bloß ans Komische streifen, bei denen man zweifeln könnte, ob sie den komischen Charakter zeigen. Unzweifelhaft komisch wird die Vergleichung, wenn der Niveauunterschied des Abstraktionsaufwandes zwischen beiden Verglichenen sich steigert, wenn etwas Ernstes und Fremdes, insbesondere intellektueller oder moralischer Natur, in den Vergleich mit etwas Banalem und Niedrigem gezogen wird. Die vorherige Erleichterungslust und der Beitrag aus den Bedingungen der Vorstellungsmimik mögen etwa den allmählichen, durch quantitative Verhältnisse bestimmten Übergang des allgemein Lustvollen in das Komische bei der Vergleichung erklären. Ich gehe wohl Mißverständnissen aus dem Wege, indem ich hervorhebe, daß ich die komische Lust beim Gleichnis nicht aus dem Kontrast der beiden Verglichenen, sondern aus der Differenz der beiden Abstraktionsaufwände ableite. Das schwer zu fassende Fremde, Abstrakte, eigentlich intellektuell Erhabene wird nun durch die behauptete Übereinstimmung mit einem vertrauten Niedrigen, bei dessen Vorstellung jeder Abstraktionsaufwand wegfällt, selbst als etwas ebenso Niedriges entlarvt. Die Komik der Vergleichung reduziert sich also auf einen Fall von Degradierung.</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Der Vergleich kann nun, wie wir früher gesehen haben, witzig sein ohne die Spur von komischer Beimengung, dann nämlich, wenn er gerade der Herabsetzung ausweicht. So ist der Vergleich der Wahrheit mit einer Fackel, die man nicht durch ein Gedränge tragen kann, ohne jemandem den Bart zu versengen, rein witzig, weil er eine erloschene Redensart (»Die Fackel der Wahrheit«) vollwertig nimmt, </w:t>
      </w:r>
      <w:r w:rsidRPr="00BA623D">
        <w:rPr>
          <w:rFonts w:ascii="Garamond" w:hAnsi="Garamond"/>
          <w:lang w:val="en-US"/>
        </w:rPr>
        <w:lastRenderedPageBreak/>
        <w:t>und gar nicht komisch, weil die Fackel als Objekt einer gewissen Vornehmheit, obwohl sie ein konkreter Gegenstand ist, nicht entbehrt. Ein Vergleich kann aber leicht ebensowohl witzig sein als auch komisch, und zwar das eine unabhängig vom anderen, indem die Vergleichung ein Behelf für gewisse Techniken des Witzes, z. B. die Unifizierung oder die Anspielung wird. So ist der Nestroysche Vergleich der Erinnerung mit einem »Magazin« (S. 92) gleichzeitig komisch und witzig, ersteres wegen der außerordentlichen Herabsetzung, die sich der psychologische Begriff im Vergleich mit einem »Magazin« gefallen lassen muß, das andere aber, weil der, welcher den Vergleich gebraucht, ein Kommis ist, in dieser Vergleichung also eine ganz unerwartete Unifizierung zwischen der Psychologie und seiner Berufstätigkeit herstellt. Die Heinesche Zeile »Bis mir endlich alle Knöpfe rissen an der Hose der Geduld« erscheint zunächst bloß als ein ausgezeichnetes Beispiel eines komisch erniedrigenden Vergleichs; bei näherer Überlegung muß man ihr aber auch den Charakter des Witzigen zugestehen, da der Vergleich als Mittel der Anspielung ins Bereich des Obszönen einschlägt und es so zustande bringt, die Lust am Obszönen frei zu machen. Aus dem nämlichen Material entsteht für uns durch ein freilich nicht ganz zufälliges Zusammentreffen gleichzeitig komischer und witziger Lustgewinn; mögen die Bedingungen des einen auch die Entstehung des anderen fördern, für das »Gefühl«, welches uns angeben soll, ob hier Witz oder Komik vorliegt, ist solche Vereinigung ein verwirrender Einfluß, und erst eine von der Lustdisposition unabhängig gewordene aufmerksame Untersuchung kann die Entscheidung bringen.</w:t>
      </w:r>
    </w:p>
    <w:p w:rsidR="00BA623D" w:rsidRPr="00BA623D" w:rsidRDefault="00BA623D" w:rsidP="00BA623D">
      <w:pPr>
        <w:pStyle w:val="Sansinterligne"/>
        <w:rPr>
          <w:rFonts w:ascii="Garamond" w:hAnsi="Garamond"/>
          <w:lang w:val="en-US"/>
        </w:rPr>
      </w:pPr>
      <w:r w:rsidRPr="00BA623D">
        <w:rPr>
          <w:rFonts w:ascii="Garamond" w:hAnsi="Garamond"/>
          <w:lang w:val="en-US"/>
        </w:rPr>
        <w:t>So verlockend es wäre, diesen intimeren Bedingtheiten des komischen Lustgewinnes nachzuspüren, so muß doch der Autor sich vorhalten, daß weder seine Vorbildung noch sein täglicher Beruf ihn berechtigen, seine Untersuchungen weit hinaus über die Sphäre des Witzes zu erstrecken, und darf eingestehen, daß gerade das Thema der komischen Vergleichung ihm seine Inkompetenz fühlbar macht.</w:t>
      </w:r>
    </w:p>
    <w:p w:rsidR="00BA623D" w:rsidRPr="00BA623D" w:rsidRDefault="00BA623D" w:rsidP="00BA623D">
      <w:pPr>
        <w:pStyle w:val="Sansinterligne"/>
        <w:rPr>
          <w:rFonts w:ascii="Garamond" w:hAnsi="Garamond"/>
          <w:lang w:val="en-US"/>
        </w:rPr>
      </w:pPr>
      <w:r w:rsidRPr="00BA623D">
        <w:rPr>
          <w:rFonts w:ascii="Garamond" w:hAnsi="Garamond"/>
          <w:lang w:val="en-US"/>
        </w:rPr>
        <w:t>Wir lassen uns also gern daran mahnen, daß viele Autoren die scharfe begriffliche und sachliche Scheidung zwischen Witz und Komik nicht anerkennen, zu der wir uns veranlaßt sahen, und daß diese den Witz einfach als das »Komische der Rede« oder »der Worte« hinstellen. Zur Prüfung dieser Ansicht wollen wir uns je ein Beispiel von absichtlicher und von unfreiwilliger Komik der Rede für den Vergleich mit dem Witze auswählen. Wir haben bereits an einer früheren Stelle bemerkt, daß wir uns sehr wohl imstande glauben, komische Rede von witziger Rede zu unterscheiden.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»Mit einer Gabel und mit Müh' </w:t>
      </w:r>
      <w:r w:rsidRPr="00BA623D">
        <w:rPr>
          <w:rFonts w:ascii="Garamond" w:hAnsi="Garamond"/>
          <w:lang w:val="en-US"/>
        </w:rPr>
        <w:br/>
        <w:t>zog ihn die Mutter aus der Brüh'«</w:t>
      </w:r>
    </w:p>
    <w:p w:rsidR="00BA623D" w:rsidRPr="00BA623D" w:rsidRDefault="00BA623D" w:rsidP="00BA623D">
      <w:pPr>
        <w:pStyle w:val="Sansinterligne"/>
        <w:rPr>
          <w:rFonts w:ascii="Garamond" w:hAnsi="Garamond"/>
          <w:lang w:val="en-US"/>
        </w:rPr>
      </w:pPr>
      <w:r w:rsidRPr="00BA623D">
        <w:rPr>
          <w:rFonts w:ascii="Garamond" w:hAnsi="Garamond"/>
          <w:lang w:val="en-US"/>
        </w:rPr>
        <w:t>ist bloß komisch; Heines Satz von den vier Kasten der Bevölkerung Göttingens</w:t>
      </w:r>
    </w:p>
    <w:p w:rsidR="00BA623D" w:rsidRPr="00BA623D" w:rsidRDefault="00BA623D" w:rsidP="00BA623D">
      <w:pPr>
        <w:pStyle w:val="Sansinterligne"/>
        <w:rPr>
          <w:rFonts w:ascii="Garamond" w:hAnsi="Garamond"/>
          <w:lang w:val="en-US"/>
        </w:rPr>
      </w:pPr>
      <w:r w:rsidRPr="00BA623D">
        <w:rPr>
          <w:rFonts w:ascii="Garamond" w:hAnsi="Garamond"/>
          <w:lang w:val="en-US"/>
        </w:rPr>
        <w:t>Professoren, Studenten, Philister und Vieh</w:t>
      </w:r>
    </w:p>
    <w:p w:rsidR="00BA623D" w:rsidRPr="00BA623D" w:rsidRDefault="00BA623D" w:rsidP="00BA623D">
      <w:pPr>
        <w:pStyle w:val="Sansinterligne"/>
        <w:rPr>
          <w:rFonts w:ascii="Garamond" w:hAnsi="Garamond"/>
          <w:lang w:val="en-US"/>
        </w:rPr>
      </w:pPr>
      <w:r w:rsidRPr="00BA623D">
        <w:rPr>
          <w:rFonts w:ascii="Garamond" w:hAnsi="Garamond"/>
          <w:lang w:val="en-US"/>
        </w:rPr>
        <w:t>ist aber exquisit witzig.</w:t>
      </w:r>
    </w:p>
    <w:p w:rsidR="00BA623D" w:rsidRPr="00BA623D" w:rsidRDefault="00BA623D" w:rsidP="00BA623D">
      <w:pPr>
        <w:pStyle w:val="Sansinterligne"/>
        <w:rPr>
          <w:rFonts w:ascii="Garamond" w:hAnsi="Garamond"/>
          <w:lang w:val="en-US"/>
        </w:rPr>
      </w:pPr>
      <w:r w:rsidRPr="00BA623D">
        <w:rPr>
          <w:rFonts w:ascii="Garamond" w:hAnsi="Garamond"/>
          <w:lang w:val="en-US"/>
        </w:rPr>
        <w:t>Für die absichtliche Komik der Rede nehme ich Stettenheims »Wippchen« als Muster. Man nennt Stettenheim witzig, weil er in besonderem Grade die Geschicklichkeit besitzt, das Komische hervorzurufen. Der Witz, den man »hat«, im Gegensatz zu dem, den man »macht«, ist in der Tat durch diese Fähigkeit zutreffend bestimmt. Es ist unleugbar, daß die Briefe des Bernauer Korrespondenten Wippchen auch witzig sind, insoferne sie reichlich Witze jeder Art, darunter ernsthaft gelungene (»festlich entkleidet« von einer Parade bei Wilden) eingestreut enthalten; was diesen Produktionen aber ihren eigentümlichen Charakter verleiht, sind nicht diese vereinzelten Witze, sondern das in ihnen fast überreichlich quellende Komische der Rede. »Wippchen« ist gewiß eine ursprünglich satirisch gemeinte Figur, eine Modifikation des G. Freytagschen Schmock, einer jener Ungebildeten, die mit dem Bildungsschatz der Nation Handel und Mißbrauch treiben, aber das Behagen an den bei ihrer Darstellung erzielten komischen Effekten hat beim Autor offenbar die satirische Tendenz allmählich in den Hintergrund gedrängt. Die Produktionen Wippchens sind zum großen Teil »komischer Unsinn«; der durch Häufung solcher Leistungen erzielten Luststimmung hat sich der Autor – übrigens mit Recht – bedient, um neben durchaus Zulässigem allerlei Abgeschmacktes vorzubringen, was für sich allein nicht zu vertragen wäre. Der Unsinn Wippchens erscheint nun als ein spezifischer infolge einer besonderen Technik. Faßt man diese »Witze« näher ins Auge, so fallen einige Gattungen besonders auf, die der ganzen Produktion ihr Gepräge geben. Wippchen bedient sich vorwiegend der Zusammensetzungen (Verschmelzungen), der Modifikationen bekannter Redensarten und Zitate und der Ersetzungen einzelner banaler Elemente in diesen durch meist anspruchsvollere, höherwertige Ausdrucksmittel. Das geht allerdings nahe an die Techniken des Witzes heran.</w:t>
      </w:r>
    </w:p>
    <w:p w:rsidR="00BA623D" w:rsidRPr="00BA623D" w:rsidRDefault="00BA623D" w:rsidP="00BA623D">
      <w:pPr>
        <w:pStyle w:val="Sansinterligne"/>
        <w:rPr>
          <w:rFonts w:ascii="Garamond" w:hAnsi="Garamond"/>
          <w:lang w:val="en-US"/>
        </w:rPr>
      </w:pPr>
      <w:r w:rsidRPr="00BA623D">
        <w:rPr>
          <w:rFonts w:ascii="Garamond" w:hAnsi="Garamond"/>
          <w:lang w:val="en-US"/>
        </w:rPr>
        <w:t>Verschmelzungen sind z. B. (aus der Vorrede und den ersten Seiten der ganzen Reihe ausgesucht):</w:t>
      </w:r>
    </w:p>
    <w:p w:rsidR="00BA623D" w:rsidRPr="00BA623D" w:rsidRDefault="00BA623D" w:rsidP="00BA623D">
      <w:pPr>
        <w:pStyle w:val="Sansinterligne"/>
        <w:rPr>
          <w:rFonts w:ascii="Garamond" w:hAnsi="Garamond"/>
          <w:lang w:val="en-US"/>
        </w:rPr>
      </w:pPr>
      <w:r w:rsidRPr="00BA623D">
        <w:rPr>
          <w:rFonts w:ascii="Garamond" w:hAnsi="Garamond"/>
          <w:lang w:val="en-US"/>
        </w:rPr>
        <w:t>»Die Türkei hat Geld wie Heu am Meere«; was aus den beiden Redensarten: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»Geld wie Heu« </w:t>
      </w:r>
      <w:r w:rsidRPr="00BA623D">
        <w:rPr>
          <w:rFonts w:ascii="Garamond" w:hAnsi="Garamond"/>
          <w:lang w:val="en-US"/>
        </w:rPr>
        <w:br/>
        <w:t>»Geld wie Sand am Meere«</w:t>
      </w:r>
    </w:p>
    <w:p w:rsidR="00BA623D" w:rsidRPr="00BA623D" w:rsidRDefault="00BA623D" w:rsidP="00BA623D">
      <w:pPr>
        <w:pStyle w:val="Sansinterligne"/>
        <w:rPr>
          <w:rFonts w:ascii="Garamond" w:hAnsi="Garamond"/>
          <w:lang w:val="en-US"/>
        </w:rPr>
      </w:pPr>
      <w:r w:rsidRPr="00BA623D">
        <w:rPr>
          <w:rFonts w:ascii="Garamond" w:hAnsi="Garamond"/>
          <w:lang w:val="en-US"/>
        </w:rPr>
        <w:lastRenderedPageBreak/>
        <w:t>zusammengeflickt ist. Oder: »Ich bin nichts mehr als eine entlaubte Säule, die von entschwundener Pracht zeugt«, verdichtet aus »entlaubter Stamm« und »eine Säule, die usw.« Oder: »Wo ist der Ariadnefaden, der aus der Skylla dieses Augiasstalles herausleitet?«, wozu drei griechische Sagen je ein Element beigesteuert haben.</w:t>
      </w:r>
    </w:p>
    <w:p w:rsidR="00BA623D" w:rsidRPr="00BA623D" w:rsidRDefault="00BA623D" w:rsidP="00BA623D">
      <w:pPr>
        <w:pStyle w:val="Sansinterligne"/>
        <w:rPr>
          <w:rFonts w:ascii="Garamond" w:hAnsi="Garamond"/>
          <w:lang w:val="en-US"/>
        </w:rPr>
      </w:pPr>
      <w:r w:rsidRPr="00BA623D">
        <w:rPr>
          <w:rFonts w:ascii="Garamond" w:hAnsi="Garamond"/>
          <w:lang w:val="en-US"/>
        </w:rPr>
        <w:t>Die Modifikationen und Ersetzungen kann man ohne viel Zwang zusammenfassen; ihr Charakter ergibt sich aus nachstehenden, Wippchen eigentümlichen Beispielen, in denen regelmäßig ein anderer, geläufiger, meist banaler, zum Gemeinplatz herabgesunkener Wortlaut durchschimmert:</w:t>
      </w:r>
    </w:p>
    <w:p w:rsidR="00BA623D" w:rsidRPr="00BA623D" w:rsidRDefault="00BA623D" w:rsidP="00BA623D">
      <w:pPr>
        <w:pStyle w:val="Sansinterligne"/>
        <w:rPr>
          <w:rFonts w:ascii="Garamond" w:hAnsi="Garamond"/>
          <w:lang w:val="en-US"/>
        </w:rPr>
      </w:pPr>
      <w:r w:rsidRPr="00BA623D">
        <w:rPr>
          <w:rFonts w:ascii="Garamond" w:hAnsi="Garamond"/>
          <w:lang w:val="en-US"/>
        </w:rPr>
        <w:t>»Mir Papier und Tinte höher zu hängen.« Man sagt: einem den Brotkorb höher hängen bildlich für: einen unter erschwerende Bedingungen versetzen. Warum sollte man dieses Bild also nicht auf anderes Material erstrecken dürfen?</w:t>
      </w:r>
    </w:p>
    <w:p w:rsidR="00BA623D" w:rsidRPr="00BA623D" w:rsidRDefault="00BA623D" w:rsidP="00BA623D">
      <w:pPr>
        <w:pStyle w:val="Sansinterligne"/>
        <w:rPr>
          <w:rFonts w:ascii="Garamond" w:hAnsi="Garamond"/>
          <w:lang w:val="en-US"/>
        </w:rPr>
      </w:pPr>
      <w:r w:rsidRPr="00BA623D">
        <w:rPr>
          <w:rFonts w:ascii="Garamond" w:hAnsi="Garamond"/>
          <w:lang w:val="en-US"/>
        </w:rPr>
        <w:t>»Schlachten, in denen die Russen einmal den Kürzeren, einmal den Längeren ziehen.« Nur die erstere Redensart ist bekanntlich im Gebrauche; nach der Ableitung derselben wäre es sogar nicht unsinnig, auch die andere in Aufnahme zu bringen.</w:t>
      </w:r>
    </w:p>
    <w:p w:rsidR="00BA623D" w:rsidRPr="00BA623D" w:rsidRDefault="00BA623D" w:rsidP="00BA623D">
      <w:pPr>
        <w:pStyle w:val="Sansinterligne"/>
        <w:rPr>
          <w:rFonts w:ascii="Garamond" w:hAnsi="Garamond"/>
          <w:lang w:val="en-US"/>
        </w:rPr>
      </w:pPr>
      <w:r w:rsidRPr="00BA623D">
        <w:rPr>
          <w:rFonts w:ascii="Garamond" w:hAnsi="Garamond"/>
          <w:lang w:val="en-US"/>
        </w:rPr>
        <w:t>»Schon früh regte sich in mir der Pegasus.« Mit dem Rückersatz »der Dichter« ist dies eine durch häufigen Gebrauch bereits entwertete selbstbiographische Wendung. »Pegasus« eignet sich zwar nicht zum Ersatz für »Dichter«, steht aber in Gedankenrelation zu ihm und ist ein hochklingendes Wort.</w:t>
      </w:r>
    </w:p>
    <w:p w:rsidR="00BA623D" w:rsidRPr="00BA623D" w:rsidRDefault="00BA623D" w:rsidP="00BA623D">
      <w:pPr>
        <w:pStyle w:val="Sansinterligne"/>
        <w:rPr>
          <w:rFonts w:ascii="Garamond" w:hAnsi="Garamond"/>
          <w:lang w:val="en-US"/>
        </w:rPr>
      </w:pPr>
      <w:r w:rsidRPr="00BA623D">
        <w:rPr>
          <w:rFonts w:ascii="Garamond" w:hAnsi="Garamond"/>
          <w:lang w:val="en-US"/>
        </w:rPr>
        <w:t>»So durchlebte ich dornenvolle Kinderschuhe.« Durchaus ein Bildnis anstatt eines einfachen Wortes. »Die Kinderschuhe austreten« ist eines der Bilder, die mit dem Begriff Kindheit zusammenhängen.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Aus der Fülle anderer Produktionen Wippchens kann man manche als Beispiele reiner Komik hervorheben, z. B. als komische Enttäuschung: Stundenlang wogte das Gefecht, endlich blieb es unentschieden, oder als komische Entlarvung (der Unwissenheit): Klio, die Meduse der Geschichte; Zitate wie: </w:t>
      </w:r>
      <w:r w:rsidRPr="00BA623D">
        <w:rPr>
          <w:rFonts w:ascii="Garamond" w:hAnsi="Garamond"/>
          <w:i/>
          <w:iCs/>
          <w:lang w:val="en-US"/>
        </w:rPr>
        <w:t>Habent sua fata morgana</w:t>
      </w:r>
      <w:r w:rsidRPr="00BA623D">
        <w:rPr>
          <w:rFonts w:ascii="Garamond" w:hAnsi="Garamond"/>
          <w:lang w:val="en-US"/>
        </w:rPr>
        <w:t>. Unser Interesse wecken aber eher die Verschmelzungen und Modifikationen, weil sie bekannte Techniken des Witzes wiederbringen. Man vergleiche z. B. zu den Modifikationen Witze wie: Er hat eine große Zukunft hinter sich – Er hat ein Ideal vor dem Kopf – die Lichtenbergschen Modifikationswitze: Neue Bäder heilen gut u. dgl. Sind die Produktionen Wippchens mit der gleichen Technik nun Witze zu heißen, oder wodurch unterscheiden sie sich von solchen?</w:t>
      </w:r>
    </w:p>
    <w:p w:rsidR="00BA623D" w:rsidRPr="00BA623D" w:rsidRDefault="00BA623D" w:rsidP="00BA623D">
      <w:pPr>
        <w:pStyle w:val="Sansinterligne"/>
        <w:rPr>
          <w:rFonts w:ascii="Garamond" w:hAnsi="Garamond"/>
          <w:lang w:val="en-US"/>
        </w:rPr>
      </w:pPr>
      <w:r w:rsidRPr="00BA623D">
        <w:rPr>
          <w:rFonts w:ascii="Garamond" w:hAnsi="Garamond"/>
          <w:lang w:val="en-US"/>
        </w:rPr>
        <w:t>Es ist gewiß nicht schwierig, darauf zu antworten. Erinnern wir uns daran, daß der Witz dem Hörer ein Doppelgesicht zeigt, ihn zu zwei verschiedenen Auffassungen zwingt. Bei den Unsinnswitzen, wie die letzterwähnten, lautet die eine Auffassung, die nur den Wortlaut berücksichtigt, er sei ein Unsinn; die andere, die den Andeutungen folgend beim Hörer den Weg durch das Unbewußte zurücklegt, findet den ausgezeichneten Sinn. Bei den witzähnlichen Produktionen Wippchens ist das eine der Angesichte des Witzes leer, wie verkümmert; ein Januskopf, aber nur ein Angesicht ausgebildet. Man gerät auf nichts, wenn man sich von der Technik ins Unbewußte verlocken läßt. Aus den Verschmelzungen wird man zu keinem Fall geführt, in dem die beiden Verschmolzenen wirklich einen neuen Sinn ergeben; diese fallen bei einem Versuch der Analyse gänzlich auseinander. Die Modifikationen und Ersetzungen führen wie beim Witz auf einen gebräuchlichen und bekannten Wortlaut, aber die Modifikation oder Ersetzung sagt selbst nichts anderes und in der Regel auch nichts Mögliches oder Brauchbares. Es bleibt also für diese »Witze« nur die eine Auffassung als Unsinn übrig. Man kann nun nach Belieben darüber entscheiden, ob man solche Produktionen, die sich von einem der wesentlichsten Charaktere des Witzes frei gemacht haben, »schlechte« Witze oder überhaupt nicht Witze heißen will.</w:t>
      </w:r>
    </w:p>
    <w:p w:rsidR="00BA623D" w:rsidRPr="00BA623D" w:rsidRDefault="00BA623D" w:rsidP="00BA623D">
      <w:pPr>
        <w:pStyle w:val="Sansinterligne"/>
        <w:rPr>
          <w:rFonts w:ascii="Garamond" w:hAnsi="Garamond"/>
          <w:lang w:val="en-US"/>
        </w:rPr>
      </w:pPr>
      <w:r w:rsidRPr="00BA623D">
        <w:rPr>
          <w:rFonts w:ascii="Garamond" w:hAnsi="Garamond"/>
          <w:lang w:val="en-US"/>
        </w:rPr>
        <w:t>Unzweifelhaft machen solche verkümmerte Witze einen komischen Effekt, den wir uns auf mehr als eine Weise zurechtlegen können. Entweder entsteht die Komik aus der Aufdeckung der Denkweisen des Unbewußten wie in früher betrachteten Fällen, oder es ist der Vergleich mit dem vollkommenen Witz, aus dem die Lust hervorgeht. Es hindert uns nichts anzunehmen, daß beiderlei Entstehungsweisen der komischen Lust hier zusammentreffen. Es ist nicht abzuweisen, daß gerade die unzulängliche Anlehnung an den Witz den Unsinn hier zu einem komischen Unsinn macht.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Es gibt nämlich andere leicht zu durchschauende Fälle, in denen solche Unzulänglichkeit durch den Vergleich mit dem zu Leistenden den Unsinn unwiderstehlich komisch werden läßt. Das Gegenstück des Witzes, das Rätsel, kann uns hiefür vielleicht bessere Beispiele als der Witz selbst geben. Eine Scherzfrage lautet z. B.: Was ist das: Es hängt an der Wand und man kann sich an ihm die Hände abtrocknen? Es wäre ein dummes Rätsel, wenn die Antwort lauten würde: Ein Handtuch. Diese Antwort wird vielmehr zurückgewiesen. – Nein, ein Hering. – Aber um Gottes willen, heißt dann der entsetzte Einwand, ein Hering hängt doch nicht an der Wand. – Du kannst ihn ja hinhängen. – Aber wer wird sich denn an einem Hering die Hände abtrocknen? – Nun, sagt die beschwichtigende Antwort, du mußt ja nicht. – Diese durch zwei typische Verschiebungen gegebene Aufklärung zeigt, wieviel dieser Frage zu einem wirklichen Rätsel fehlt, und wegen dieser absoluten Unzulänglichkeit erscheint sie anstatt bloß unsinnig dumm – </w:t>
      </w:r>
      <w:r w:rsidRPr="00BA623D">
        <w:rPr>
          <w:rFonts w:ascii="Garamond" w:hAnsi="Garamond"/>
          <w:lang w:val="en-US"/>
        </w:rPr>
        <w:lastRenderedPageBreak/>
        <w:t>unwiderstehlich komisch. Auf solche Weise, durch Nichteinhaltung wesentlicher Bedingungen können also Witz, Rätsel und anderes, die an sich komische Lust nicht ergeben, zu Quellen komischer Lust gemacht werden.</w:t>
      </w:r>
    </w:p>
    <w:p w:rsidR="00BA623D" w:rsidRPr="00BA623D" w:rsidRDefault="00BA623D" w:rsidP="00BA623D">
      <w:pPr>
        <w:pStyle w:val="Sansinterligne"/>
        <w:rPr>
          <w:rFonts w:ascii="Garamond" w:hAnsi="Garamond"/>
          <w:lang w:val="en-US"/>
        </w:rPr>
      </w:pPr>
      <w:r w:rsidRPr="00BA623D">
        <w:rPr>
          <w:rFonts w:ascii="Garamond" w:hAnsi="Garamond"/>
          <w:lang w:val="en-US"/>
        </w:rPr>
        <w:t>Noch geringere Schwierigkeiten bereitet dem Verständnis der Fall der unfreiwilligen Komik der Rede, den wir etwa in den Gedichten der Friederike Kempner (1891) in uns beliebender Häufigkeit verwirklicht finden können.</w:t>
      </w:r>
    </w:p>
    <w:p w:rsidR="00BA623D" w:rsidRPr="00BA623D" w:rsidRDefault="00BA623D" w:rsidP="00BA623D">
      <w:pPr>
        <w:pStyle w:val="Sansinterligne"/>
        <w:rPr>
          <w:rFonts w:ascii="Garamond" w:hAnsi="Garamond"/>
          <w:lang w:val="en-US"/>
        </w:rPr>
      </w:pPr>
      <w:r w:rsidRPr="00BA623D">
        <w:rPr>
          <w:rFonts w:ascii="Garamond" w:hAnsi="Garamond"/>
          <w:i/>
          <w:iCs/>
          <w:lang w:val="en-US"/>
        </w:rPr>
        <w:t>Gegen die Vivisektion.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Ein unbekanntes Band der Seelen kettet </w:t>
      </w:r>
      <w:r w:rsidRPr="00BA623D">
        <w:rPr>
          <w:rFonts w:ascii="Garamond" w:hAnsi="Garamond"/>
          <w:lang w:val="en-US"/>
        </w:rPr>
        <w:br/>
        <w:t xml:space="preserve">Den Menschen an das arme Tier. </w:t>
      </w:r>
      <w:r w:rsidRPr="00BA623D">
        <w:rPr>
          <w:rFonts w:ascii="Garamond" w:hAnsi="Garamond"/>
          <w:lang w:val="en-US"/>
        </w:rPr>
        <w:br/>
        <w:t xml:space="preserve">Das Tier hat einen Willen – ergo Seele – </w:t>
      </w:r>
      <w:r w:rsidRPr="00BA623D">
        <w:rPr>
          <w:rFonts w:ascii="Garamond" w:hAnsi="Garamond"/>
          <w:lang w:val="en-US"/>
        </w:rPr>
        <w:br/>
        <w:t>Wenn auch 'ne kleinere als wir.</w:t>
      </w:r>
    </w:p>
    <w:p w:rsidR="00BA623D" w:rsidRPr="00BA623D" w:rsidRDefault="00BA623D" w:rsidP="00BA623D">
      <w:pPr>
        <w:pStyle w:val="Sansinterligne"/>
        <w:rPr>
          <w:rFonts w:ascii="Garamond" w:hAnsi="Garamond"/>
          <w:lang w:val="en-US"/>
        </w:rPr>
      </w:pPr>
      <w:r w:rsidRPr="00BA623D">
        <w:rPr>
          <w:rFonts w:ascii="Garamond" w:hAnsi="Garamond"/>
          <w:lang w:val="en-US"/>
        </w:rPr>
        <w:t>Oder ein Gespräch zwischen zärtlichen Ehegatten:</w:t>
      </w:r>
    </w:p>
    <w:p w:rsidR="00BA623D" w:rsidRPr="00BA623D" w:rsidRDefault="00BA623D" w:rsidP="00BA623D">
      <w:pPr>
        <w:pStyle w:val="Sansinterligne"/>
        <w:rPr>
          <w:rFonts w:ascii="Garamond" w:hAnsi="Garamond"/>
          <w:lang w:val="en-US"/>
        </w:rPr>
      </w:pPr>
      <w:r w:rsidRPr="00BA623D">
        <w:rPr>
          <w:rFonts w:ascii="Garamond" w:hAnsi="Garamond"/>
          <w:i/>
          <w:iCs/>
          <w:lang w:val="en-US"/>
        </w:rPr>
        <w:t>Der Kontrast.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»Wie glücklich bin ich«, ruft sie leise, </w:t>
      </w:r>
      <w:r w:rsidRPr="00BA623D">
        <w:rPr>
          <w:rFonts w:ascii="Garamond" w:hAnsi="Garamond"/>
          <w:lang w:val="en-US"/>
        </w:rPr>
        <w:br/>
        <w:t xml:space="preserve">»Auch ich«, sagt lauter ihr Gemahl, </w:t>
      </w:r>
      <w:r w:rsidRPr="00BA623D">
        <w:rPr>
          <w:rFonts w:ascii="Garamond" w:hAnsi="Garamond"/>
          <w:lang w:val="en-US"/>
        </w:rPr>
        <w:br/>
        <w:t xml:space="preserve">»Es macht mich deine Art und Weise </w:t>
      </w:r>
      <w:r w:rsidRPr="00BA623D">
        <w:rPr>
          <w:rFonts w:ascii="Garamond" w:hAnsi="Garamond"/>
          <w:lang w:val="en-US"/>
        </w:rPr>
        <w:br/>
        <w:t>Sehr stolz auf meine gute Wahl!«</w:t>
      </w:r>
    </w:p>
    <w:p w:rsidR="00BA623D" w:rsidRPr="00BA623D" w:rsidRDefault="00BA623D" w:rsidP="00BA623D">
      <w:pPr>
        <w:pStyle w:val="Sansinterligne"/>
        <w:rPr>
          <w:rFonts w:ascii="Garamond" w:hAnsi="Garamond"/>
          <w:lang w:val="en-US"/>
        </w:rPr>
      </w:pPr>
      <w:r w:rsidRPr="00BA623D">
        <w:rPr>
          <w:rFonts w:ascii="Garamond" w:hAnsi="Garamond"/>
          <w:lang w:val="en-US"/>
        </w:rPr>
        <w:t>Hier ist nun nichts, was an den Witz erinnert. Ohne Zweifel ist es aber die Unzulänglichkeit dieser »Dichtungen«, die sie komisch macht, die ganz außerordentliche Plumpheit ihrer Ausdrucksweise, die an die alltäglichsten oder dem Zeitungsstil entnommenen Redensarten gebunden ist, die einfältige Beschränktheit ihrer Gedanken, das Fehlen jeder Spur von poetischer Denk- oder Redensweise. Bei alledem ist es nicht selbstverständlich, daß wir die Gedichte der Kempner komisch finden; viele ähnliche Produktionen finden wir bloß herzlich schlecht, belachen sie nicht, sondern ärgern uns über sie. Gerade die Größe des Abstandes von unseren Anforderungen an ein Gedicht drängt aber zur komischen Auffassung; wo diese Differenz geringer ausfiele, wären wir eher zur Kritik als zum Lachen geneigt. Ferner wird die komische Wirkung bei den Gedichten der Kempner durch andere Nebenumstände gesichert, durch die unverkennbare gute Absicht der Verfasserin und durch eine gewisse, unseren Spott oder unseren Ärger entwaffnende Gefühlsinnigkeit, die wir hinter ihren hilflosen Phrasen verspüren. Wir werden hier an ein Problem gemahnt, dessen Würdigung wir uns aufgeschoben haben. Die Aufwanddifferenz ist gewiß die Grundbedingung der komischen Lust, aber die Beobachtung zeigt, daß aus solcher Differenz nicht jedesmal Lust hervorgeht. Welche Bedingungen müssen hinzukommen oder welche Störungen hintangehalten werden, damit die komische Lust sich aus der Aufwanddifferenz wirklich ergeben könne? Ehe wir uns aber der Beantwortung dieser Frage zuwenden, wollen wir als Abschluß der vorigen Erörterungen feststellen, daß das Komische der Rede nicht zusammenfällt mit dem Witz, der Witz also etwas anderes sein muß als das Komische der Rede.</w:t>
      </w:r>
    </w:p>
    <w:p w:rsidR="00BA623D" w:rsidRPr="00BA623D" w:rsidRDefault="00BA623D" w:rsidP="00BA623D">
      <w:pPr>
        <w:pStyle w:val="Sansinterligne"/>
        <w:rPr>
          <w:rFonts w:ascii="Garamond" w:hAnsi="Garamond"/>
          <w:lang w:val="en-US"/>
        </w:rPr>
      </w:pPr>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Im Begriffe, nun an die Beantwortung der letztgestellten Frage, nach den Bedingungen der Entstehung komischer Lust aus der Aufwanddifferenz heranzutreten, dürfen wir uns eine Erleichterung gestatten, die uns selbst nicht anders als zur Lust gereichen kann. Die genaue Beantwortung dieser Frage wäre identisch mit einer erschöpfenden Darstellung der Natur des Komischen, zu der wir uns weder die Fähigkeit noch die Befugnis zusprechen können. Wir werden uns wiederum damit begnügen, das Problem des Komischen nur so weit zu beleuchten, bis es sich deutlich von dem des Witzes abhebt.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Allen Theorien des Komischen ist von ihren Kritikern der Einwurf gemacht worden, daß ihre Definition das für die Komik Wesentliche übersieht. Das Komische beruht auf einem Vorstellungskontrast; ja, insofern dieser Kontrast komisch und nicht anders wirkt. Das Gefühl der Komik rührt vom Zergehen einer Erwartung her; ja, wenn diese Enttäuschung nicht gerade peinlich ist. Die Einwürfe sind ohne Zweifel berechtigt, aber man überschätzt sie, wenn man aus ihnen schließt, daß das wesentliche Kennzeichen des Komischen bisher der Auffassung entschlüpft ist. Was die Allgemeingültigkeit jener Definitionen beeinträchtigt, sind Bedingungen, die für die Entstehung der komischen Lust unerläßlich sind, ohne daß man das Wesen der Komik in ihnen suchen müßte. Die Abweisung der Einwendungen und die Aufklärung der Widersprüche gegen die Definitionen des Komischen wird uns allerdings erst leicht, wenn wir die komische Lust aus der Vergleichsdifferenz zweier Aufwände hervorgehen lassen. Die komische Lust und der Effekt, an dem sie erkannt wird, das Lachen, können erst dann entstehen, wenn diese Differenz unverwendbar und abfuhrfähig wird. Wir gewinnen keinen Lusteffekt, sondern höchstens ein flüchtiges Lustgefühl, an dem der komische Charakter nicht hervortritt, wenn die Differenz, sobald sie erkannt wird, eine andere Verwendung erfährt. Wie beim Witz besondere Veranstaltungen getroffen sein </w:t>
      </w:r>
      <w:r w:rsidRPr="00BA623D">
        <w:rPr>
          <w:rFonts w:ascii="Garamond" w:hAnsi="Garamond"/>
          <w:lang w:val="en-US"/>
        </w:rPr>
        <w:lastRenderedPageBreak/>
        <w:t>müssen, um die anderweitige Verwendung des als überflüssig erkannten Aufwandes zu verhüten, so kann auch die komische Lust nur unter Verhältnissen entstehen, welche diese letztere Bedingung erfüllen. Die Fälle, in denen in unserem Vorstellungsleben solche Aufwanddifferenzen entstehen, sind daher ungemein zahlreich; die Fälle, in denen das Komische aus ihnen hervorgeht, vergleichsweise recht selten.</w:t>
      </w:r>
    </w:p>
    <w:p w:rsidR="00BA623D" w:rsidRPr="00BA623D" w:rsidRDefault="00BA623D" w:rsidP="00BA623D">
      <w:pPr>
        <w:pStyle w:val="Sansinterligne"/>
        <w:rPr>
          <w:rFonts w:ascii="Garamond" w:hAnsi="Garamond"/>
          <w:lang w:val="en-US"/>
        </w:rPr>
      </w:pPr>
      <w:r w:rsidRPr="00BA623D">
        <w:rPr>
          <w:rFonts w:ascii="Garamond" w:hAnsi="Garamond"/>
          <w:lang w:val="en-US"/>
        </w:rPr>
        <w:t>Zwei Bemerkungen drängen sich dem Beobachter auf, der die Bedingungen für die Entstehung des Komischen aus der Aufwanddifferenz auch nur flüchtig überblickt, erstens daß es Fälle gibt, in denen sich die Komik regelmäßig und wie notwendig einstellt, und im Gegensatze zu ihnen andere, in denen dies durchaus von den Bedingungen des Falles und dem Standpunkt des Beobachters abhängig erscheint; zweitens aber, daß ungewöhnlich große Differenzen sehr häufig ungünstige Bedingungen durchbrechen, so daß das komische Gefühl diesen zum Trotz entsteht. Man könnte mit Bezug auf den ersten Punkt zwei Klassen aufstellen, die des unabweisbar Komischen und die des gelegentlich Komischen, obwohl man von vornherein darauf verzichten müßte, in der ersten Klasse die Unabweisbarkeit des Komischen frei von Ausnahmen zu finden. Es wäre verlockend, den für beide Klassen maßgebenden Bedingungen nachzugehen.</w:t>
      </w:r>
    </w:p>
    <w:p w:rsidR="00BA623D" w:rsidRPr="00BA623D" w:rsidRDefault="00BA623D" w:rsidP="00BA623D">
      <w:pPr>
        <w:pStyle w:val="Sansinterligne"/>
        <w:rPr>
          <w:rFonts w:ascii="Garamond" w:hAnsi="Garamond"/>
          <w:lang w:val="en-US"/>
        </w:rPr>
      </w:pPr>
      <w:r w:rsidRPr="00BA623D">
        <w:rPr>
          <w:rFonts w:ascii="Garamond" w:hAnsi="Garamond"/>
          <w:lang w:val="en-US"/>
        </w:rPr>
        <w:t>Wesentlich für die zweite Klasse gelten die Bedingungen, von denen man einen Teil als die »Isolierung« des komischen Falles zusammengefaßt hat. Eine nähere Zerlegung macht etwa folgende Verhältnisse kenntlich:</w:t>
      </w:r>
    </w:p>
    <w:p w:rsidR="00BA623D" w:rsidRPr="00BA623D" w:rsidRDefault="00BA623D" w:rsidP="00BA623D">
      <w:pPr>
        <w:pStyle w:val="Sansinterligne"/>
        <w:rPr>
          <w:rFonts w:ascii="Garamond" w:hAnsi="Garamond"/>
          <w:lang w:val="en-US"/>
        </w:rPr>
      </w:pPr>
      <w:r w:rsidRPr="00BA623D">
        <w:rPr>
          <w:rFonts w:ascii="Garamond" w:hAnsi="Garamond"/>
          <w:i/>
          <w:iCs/>
          <w:lang w:val="en-US"/>
        </w:rPr>
        <w:t>a)</w:t>
      </w:r>
      <w:r w:rsidRPr="00BA623D">
        <w:rPr>
          <w:rFonts w:ascii="Garamond" w:hAnsi="Garamond"/>
          <w:lang w:val="en-US"/>
        </w:rPr>
        <w:t xml:space="preserve"> Die günstigste Bedingung für die Entstehung der komischen Lust ergibt die allgemein heitere Stimmung, in welcher man »zum Lachen aufgelegt« ist. Bei toxischer Heiterstimmung erscheint fast alles komisch, wahrscheinlich durch Vergleich mit dem Aufwande in normaler Verfassung. Witz, Komik und alle ähnlichen Methoden des Lustgewinnes aus seelischer Tätigkeit sind ja weiter nichts als Wege, um diese heitere Stimmung – Euphorie –, wenn sie nicht als allgemeine Disposition der Psyche vorhanden ist, von einem einzelnen Punkte aus wiederzugewinnen.</w:t>
      </w:r>
    </w:p>
    <w:p w:rsidR="00BA623D" w:rsidRPr="00BA623D" w:rsidRDefault="00BA623D" w:rsidP="00BA623D">
      <w:pPr>
        <w:pStyle w:val="Sansinterligne"/>
        <w:rPr>
          <w:rFonts w:ascii="Garamond" w:hAnsi="Garamond"/>
          <w:lang w:val="en-US"/>
        </w:rPr>
      </w:pPr>
      <w:r w:rsidRPr="00BA623D">
        <w:rPr>
          <w:rFonts w:ascii="Garamond" w:hAnsi="Garamond"/>
          <w:i/>
          <w:iCs/>
          <w:lang w:val="en-US"/>
        </w:rPr>
        <w:t>b)</w:t>
      </w:r>
      <w:r w:rsidRPr="00BA623D">
        <w:rPr>
          <w:rFonts w:ascii="Garamond" w:hAnsi="Garamond"/>
          <w:lang w:val="en-US"/>
        </w:rPr>
        <w:t xml:space="preserve"> Ähnlich begünstigend wirkt die Erwartung des Komischen, die Einstellung auf die komische Lust. Daher reichen bei der Absicht, komisch zu machen, wenn sie vom anderen geteilt wird, Differenzen von so geringer Höhe aus, daß sie wahrscheinlich übersehen worden wären, wenn sie sich im absichtslosen Erleben ereignet hätten. Wer eine komische Lektüre vornimmt oder zu einer Posse ins Theater geht, dankt es dieser Absicht, daß er dann über Dinge lacht, die in seinem gewöhnlichen Leben kaum einen Fall des Komischen für ihn ergeben hätten. Er lacht zuletzt bei der Erinnerung gelacht zu haben, bei der Erwartung zu lachen, wenn er den komischen Darsteller erst auftreten sieht, ehe dieser den Versuch unternehmen konnte, ihn zum Lachen zu bringen. Man gesteht darum auch zu, daß man sich nachträglich schämt, worüber man im Theater lachen konnte.</w:t>
      </w:r>
    </w:p>
    <w:p w:rsidR="00BA623D" w:rsidRPr="00BA623D" w:rsidRDefault="00BA623D" w:rsidP="00BA623D">
      <w:pPr>
        <w:pStyle w:val="Sansinterligne"/>
        <w:rPr>
          <w:rFonts w:ascii="Garamond" w:hAnsi="Garamond"/>
          <w:lang w:val="en-US"/>
        </w:rPr>
      </w:pPr>
      <w:r w:rsidRPr="00BA623D">
        <w:rPr>
          <w:rFonts w:ascii="Garamond" w:hAnsi="Garamond"/>
          <w:i/>
          <w:iCs/>
          <w:lang w:val="en-US"/>
        </w:rPr>
        <w:t>c)</w:t>
      </w:r>
      <w:r w:rsidRPr="00BA623D">
        <w:rPr>
          <w:rFonts w:ascii="Garamond" w:hAnsi="Garamond"/>
          <w:lang w:val="en-US"/>
        </w:rPr>
        <w:t xml:space="preserve"> Ungünstige Bedingungen für die Komik ergeben sich aus der Art der seelischen Tätigkeit, welche das Individuum im Moment beschäftigt. Vorstellungs- oder Denkarbeit, welche ernste Ziele verfolgt, stört die Abfuhrfähigkeit der Besetzungen, deren sie ja für ihre Verschiebungen bedarf, so daß nur unerwartet große Aufwanddifferenzen zur komischen Lust durchbrechen können. Der Komik ungünstig sind ganz besonders alle Weisen des Denkvorganges, die sich vom Anschaulichen weit genug entfernen, um die Vorstellungsmimik aufhören zu lassen; bei abstraktem Nachdenken ist für die Komik überhaupt kein Raum mehr, außer wenn diese Denkweise plötzlich unterbrochen wird.</w:t>
      </w:r>
    </w:p>
    <w:p w:rsidR="00BA623D" w:rsidRPr="00BA623D" w:rsidRDefault="00BA623D" w:rsidP="00BA623D">
      <w:pPr>
        <w:pStyle w:val="Sansinterligne"/>
        <w:rPr>
          <w:rFonts w:ascii="Garamond" w:hAnsi="Garamond"/>
          <w:lang w:val="en-US"/>
        </w:rPr>
      </w:pPr>
      <w:r w:rsidRPr="00BA623D">
        <w:rPr>
          <w:rFonts w:ascii="Garamond" w:hAnsi="Garamond"/>
          <w:i/>
          <w:iCs/>
          <w:lang w:val="en-US"/>
        </w:rPr>
        <w:t>d)</w:t>
      </w:r>
      <w:r w:rsidRPr="00BA623D">
        <w:rPr>
          <w:rFonts w:ascii="Garamond" w:hAnsi="Garamond"/>
          <w:lang w:val="en-US"/>
        </w:rPr>
        <w:t xml:space="preserve"> Die Gelegenheit zur Entbindung komischer Lust schwindet auch, wenn die Aufmerksamkeit gerade auf die Vergleichung eingestellt ist, aus welcher die Komik hervorgehen kann. Unter solchen Umständen verliert seine komische Kraft, was sonst am sichersten komisch wirkt. Eine Bewegung oder eine geistige Leistung kann nicht komisch für den werden, dessen Interesse eben darauf gerichtet ist, sie mit einem ihm klar vorschwebenden Maße zu vergleichen. So findet der Prüfer den Unsinn nicht komisch, den der Examinierte in seiner Unwissenheit produziert; er ärgert sich über ihn, während die Kollegen des Geprüften, die sich weit mehr dafür interessieren, welches Geschick dieser haben wird, als wieviel er weiß, denselben Unsinn herzlich belachen. Der Turn- oder Tanzlehrer hat nur selten ein Auge für das Komische der Bewegungen bei seinen Schülern, und dem Prediger entgeht durchaus das Komische an den Charakterfehlern der Menschen, das der Lustspieldichter so wirksam herauszufinden weiß. Der komische Prozeß verträgt nicht die Überbesetzung durch die Aufmerksamkeit, er muß durchaus unbeachtet vor sich gehen können, übrigens darin dem Witze ganz ähnlich. Es widerspräche aber der Nomenklatur der »Bewußtseinsvorgänge«, deren ich mich in der </w:t>
      </w:r>
      <w:r w:rsidRPr="00BA623D">
        <w:rPr>
          <w:rFonts w:ascii="Garamond" w:hAnsi="Garamond"/>
          <w:i/>
          <w:iCs/>
          <w:lang w:val="en-US"/>
        </w:rPr>
        <w:t>Traumdeutung</w:t>
      </w:r>
      <w:r w:rsidRPr="00BA623D">
        <w:rPr>
          <w:rFonts w:ascii="Garamond" w:hAnsi="Garamond"/>
          <w:lang w:val="en-US"/>
        </w:rPr>
        <w:t xml:space="preserve"> mit gutem Grunde bedient habe, wollte man ihn einen notwendigerweise unbewußten nennen. Er gehört vielmehr dem Vorbewußten an, und man kann für solche Vorgänge, die sich im Vorbewußten abspielen und der Aufmerksamkeitsbesetzung, mit welcher Bewußtsein verbunden ist, entbehren, passend den Namen »automatische« verwenden. Der Prozeß der Vergleichung der Aufwände muß automatisch bleiben, wenn er komische Lust erzeugen soll.</w:t>
      </w:r>
    </w:p>
    <w:p w:rsidR="00BA623D" w:rsidRPr="00BA623D" w:rsidRDefault="00BA623D" w:rsidP="00BA623D">
      <w:pPr>
        <w:pStyle w:val="Sansinterligne"/>
        <w:rPr>
          <w:rFonts w:ascii="Garamond" w:hAnsi="Garamond"/>
          <w:lang w:val="en-US"/>
        </w:rPr>
      </w:pPr>
      <w:r w:rsidRPr="00BA623D">
        <w:rPr>
          <w:rFonts w:ascii="Garamond" w:hAnsi="Garamond"/>
          <w:i/>
          <w:iCs/>
          <w:lang w:val="en-US"/>
        </w:rPr>
        <w:lastRenderedPageBreak/>
        <w:t>e)</w:t>
      </w:r>
      <w:r w:rsidRPr="00BA623D">
        <w:rPr>
          <w:rFonts w:ascii="Garamond" w:hAnsi="Garamond"/>
          <w:lang w:val="en-US"/>
        </w:rPr>
        <w:t xml:space="preserve"> Es ist überaus störend für die Komik, wenn der Fall, aus dem sie entstehen soll, gleichzeitig zu starker Affektentbindung Anlaß gibt. Die Abfuhr der wirksamen Differenz ist dann in der Regel ausgeschlossen. Affekte, Disposition und Einstellung des Individuums im jeweiligen Falle lassen es verständlich werden, daß das Komische mit dem Standpunkt der einzelnen Person auftaucht oder schwindet, daß es ein absolut Komisches nur in Ausnahmsfällen gibt. Die Abhängigkeit oder Relativität des Komischen ist darum weit größer als die des Witzes, der sich niemals ergibt, der regelmäßig gemacht wird und bei dessen Herstellung bereits auf die Bedingungen, unter denen er Annahme findet, geachtet werden kann. Die Affektentwicklung ist aber die intensivste unter den die Komik störenden Bedingungen und wird in dieser Bedeutung von keiner Seite verkannt </w:t>
      </w:r>
      <w:hyperlink r:id="rId354"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»Du hast leicht lachen, dich geht es nicht weiter an.«</w:t>
        </w:r>
      </w:hyperlink>
      <w:r w:rsidRPr="00BA623D">
        <w:rPr>
          <w:rFonts w:ascii="Garamond" w:hAnsi="Garamond"/>
          <w:lang w:val="en-US"/>
        </w:rPr>
        <w:t xml:space="preserve">. Man sagt darum, das komische Gefühl käme am ehesten in halbwegs indifferenten Fällen ohne stärkere Gefühls- oder Interessenbeteiligung zustande. Doch kann man gerade in Fällen mit Affektentbindung eine besonders starke Aufwanddifferenz den Automatismus der Abfuhr herstellen sehen. Wenn der Oberst Butler die Mahnungen Octavios » </w:t>
      </w:r>
      <w:r w:rsidRPr="00BA623D">
        <w:rPr>
          <w:rFonts w:ascii="Garamond" w:hAnsi="Garamond"/>
          <w:i/>
          <w:iCs/>
          <w:lang w:val="en-US"/>
        </w:rPr>
        <w:t>bitter lachend</w:t>
      </w:r>
      <w:r w:rsidRPr="00BA623D">
        <w:rPr>
          <w:rFonts w:ascii="Garamond" w:hAnsi="Garamond"/>
          <w:lang w:val="en-US"/>
        </w:rPr>
        <w:t>« mit dem Ausruf beantwortet:</w:t>
      </w:r>
    </w:p>
    <w:p w:rsidR="00BA623D" w:rsidRPr="00BA623D" w:rsidRDefault="00BA623D" w:rsidP="00BA623D">
      <w:pPr>
        <w:pStyle w:val="Sansinterligne"/>
        <w:rPr>
          <w:rFonts w:ascii="Garamond" w:hAnsi="Garamond"/>
          <w:lang w:val="en-US"/>
        </w:rPr>
      </w:pPr>
      <w:r w:rsidRPr="00BA623D">
        <w:rPr>
          <w:rFonts w:ascii="Garamond" w:hAnsi="Garamond"/>
          <w:lang w:val="en-US"/>
        </w:rPr>
        <w:t>»Dank vom Haus Österreich!«,</w:t>
      </w:r>
    </w:p>
    <w:p w:rsidR="00BA623D" w:rsidRPr="00BA623D" w:rsidRDefault="00BA623D" w:rsidP="00BA623D">
      <w:pPr>
        <w:pStyle w:val="Sansinterligne"/>
        <w:rPr>
          <w:rFonts w:ascii="Garamond" w:hAnsi="Garamond"/>
          <w:lang w:val="en-US"/>
        </w:rPr>
      </w:pPr>
      <w:r w:rsidRPr="00BA623D">
        <w:rPr>
          <w:rFonts w:ascii="Garamond" w:hAnsi="Garamond"/>
          <w:lang w:val="en-US"/>
        </w:rPr>
        <w:t>so hat seine Erbitterung das Lachen nicht verhindert, welches der Erinnerung an die Enttäuschung gilt, die er erfahren zu haben glaubt, und anderseits kann die Größe dieser Enttäuschung vom Dichter nicht eindrucksvoller geschildert werden, als indem er sie fähig zeigt, mitten im Sturm der entfesselten Affekte ein Lachen zu erzwingen. Ich würde meinen, daß diese Erklärung für alle Fälle anwendbar ist, in denen das Lachen bei anderen als lustvollen Gelegenheiten und mit intensiven peinlichen oder gespannten Affekten gemeinsam vorkommt.</w:t>
      </w:r>
    </w:p>
    <w:p w:rsidR="00BA623D" w:rsidRPr="00BA623D" w:rsidRDefault="00BA623D" w:rsidP="00BA623D">
      <w:pPr>
        <w:pStyle w:val="Sansinterligne"/>
        <w:rPr>
          <w:rFonts w:ascii="Garamond" w:hAnsi="Garamond"/>
          <w:lang w:val="en-US"/>
        </w:rPr>
      </w:pPr>
      <w:r w:rsidRPr="00BA623D">
        <w:rPr>
          <w:rFonts w:ascii="Garamond" w:hAnsi="Garamond"/>
          <w:i/>
          <w:iCs/>
          <w:lang w:val="en-US"/>
        </w:rPr>
        <w:t>f)</w:t>
      </w:r>
      <w:r w:rsidRPr="00BA623D">
        <w:rPr>
          <w:rFonts w:ascii="Garamond" w:hAnsi="Garamond"/>
          <w:lang w:val="en-US"/>
        </w:rPr>
        <w:t xml:space="preserve"> Wenn wir noch hinzufügen, daß die Entwicklung der komischen Lust durch jede andere lustvolle Zutat zum Falle wie durch eine Art von Kontaktwirkung gefördert werden kann (nach Art des Vorlustprinzips beim tendenziösen Witze), so haben wir die Bedingungen der komischen Lust gewiß nicht vollständig, aber doch für unsere Absicht hinreichend erörtert. Wir sehen dann, daß diesen Bedingungen sowie der Inkonstanz und Abhängigkeit des komischen Effekts keine andere Annahme so leicht genügt wie die Ableitung der komischen Lust von der Abfuhr einer Differenz, welche unter den wechselndsten Verhältnissen einer anderen Verwendung als der Abfuhr unterliegen kann.</w:t>
      </w:r>
    </w:p>
    <w:p w:rsidR="00BA623D" w:rsidRPr="00BA623D" w:rsidRDefault="00BA623D" w:rsidP="00BA623D">
      <w:pPr>
        <w:pStyle w:val="Sansinterligne"/>
        <w:rPr>
          <w:rFonts w:ascii="Garamond" w:hAnsi="Garamond"/>
          <w:lang w:val="en-US"/>
        </w:rPr>
      </w:pPr>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Eine eingehendere Würdigung verdiente noch das Komische des Sexuellen und Obszönen, das wir hier aber nur mit wenigen Bemerkungen streifen wollen. Den Ausgangspunkt würde auch hier die Entblößung bilden. Eine zufällige Entblößung wirkt auf uns komisch, weil wir die Leichtigkeit, mit welcher wir den Anblick genießen, mit dem großen Aufwand vergleichen, der sonst zur Erreichung dieses Zieles erforderlich wäre. Der Fall nähert sich so dem des Naiv-Komischen, ist aber einfacher als dieser. Jede Entblößung, zu deren Zuschauer – oder Zuhörer im Falle der Zote – wir von Seite eines Dritten gemacht werden, gilt gleich einem Komischmachen der entblößten Person. Wir haben gehört, daß es Aufgabe des Witzes wird, die Zote zu ersetzen und so eine verlorengegangene Quelle komischer Lust wieder zu eröffnen. Hingegen ist das Belauschen einer Entblößung für den Lauschenden kein Fall von Komik, weil die eigene Anstrengung dabei die Bedingung der komischen Lust aufhebt; es bleibt hier nur die sexuelle Lust am Erschauten übrig. In der Erzählung des Lauschers an einen anderen wird die belauschte Person wiederum komisch, weil der Gesichtspunkt vorwiegt, daß sie den Aufwand unterlassen hat, der zur Verhüllung ihres Geheimen am Platze gewesen wäre. Sonst ergeben sich aus dem Bereiche des Sexuellen und Obszönen die reichlichsten Gelegenheiten zum Gewinne komischer Lust neben der lustvollen sexuellen Erregtheit, insofern der Mensch in seiner Abhängigkeit von körperlichen Bedürfnissen gezeigt (Herabsetzung) oder hinter dem Anspruch der seelischen Liebe die leibliche Anforderung aufgedeckt werden kann (Entlarvung).</w:t>
      </w:r>
    </w:p>
    <w:p w:rsidR="00BA623D" w:rsidRPr="00BA623D" w:rsidRDefault="00BA623D" w:rsidP="00BA623D">
      <w:pPr>
        <w:pStyle w:val="Sansinterligne"/>
        <w:rPr>
          <w:rFonts w:ascii="Garamond" w:hAnsi="Garamond"/>
          <w:lang w:val="en-US"/>
        </w:rPr>
      </w:pPr>
      <w:r w:rsidRPr="00BA623D">
        <w:rPr>
          <w:rFonts w:ascii="Garamond" w:hAnsi="Garamond"/>
          <w:lang w:val="en-US"/>
        </w:rPr>
        <w:t>*</w:t>
      </w:r>
    </w:p>
    <w:p w:rsidR="00BA623D" w:rsidRPr="00BA623D" w:rsidRDefault="00BA623D" w:rsidP="00BA623D">
      <w:pPr>
        <w:pStyle w:val="Sansinterligne"/>
        <w:rPr>
          <w:rFonts w:ascii="Garamond" w:hAnsi="Garamond"/>
        </w:rPr>
      </w:pPr>
      <w:r w:rsidRPr="00BA623D">
        <w:rPr>
          <w:rFonts w:ascii="Garamond" w:hAnsi="Garamond"/>
          <w:lang w:val="en-US"/>
        </w:rPr>
        <w:t xml:space="preserve">Eine Aufforderung, auch das Verständnis des Komischen in seiner Psychogenese zu suchen, hat sich überraschenderweise aus dem schönen und lebensfrischen Buche von Bergson ( </w:t>
      </w:r>
      <w:r w:rsidRPr="00BA623D">
        <w:rPr>
          <w:rFonts w:ascii="Garamond" w:hAnsi="Garamond"/>
          <w:i/>
          <w:iCs/>
          <w:lang w:val="en-US"/>
        </w:rPr>
        <w:t>Le rire</w:t>
      </w:r>
      <w:r w:rsidRPr="00BA623D">
        <w:rPr>
          <w:rFonts w:ascii="Garamond" w:hAnsi="Garamond"/>
          <w:lang w:val="en-US"/>
        </w:rPr>
        <w:t xml:space="preserve">) ergeben. Bergson, dessen Formeln zur Erfassung des komischen Charakters uns bereits bekanntgeworden sind – » </w:t>
      </w:r>
      <w:r w:rsidRPr="00BA623D">
        <w:rPr>
          <w:rFonts w:ascii="Garamond" w:hAnsi="Garamond"/>
          <w:i/>
          <w:iCs/>
          <w:lang w:val="en-US"/>
        </w:rPr>
        <w:t>mécanisation de la vie</w:t>
      </w:r>
      <w:r w:rsidRPr="00BA623D">
        <w:rPr>
          <w:rFonts w:ascii="Garamond" w:hAnsi="Garamond"/>
          <w:lang w:val="en-US"/>
        </w:rPr>
        <w:t xml:space="preserve">«, » </w:t>
      </w:r>
      <w:r w:rsidRPr="00BA623D">
        <w:rPr>
          <w:rFonts w:ascii="Garamond" w:hAnsi="Garamond"/>
          <w:i/>
          <w:iCs/>
          <w:lang w:val="en-US"/>
        </w:rPr>
        <w:t>substitution quelconque de l'artificiel au naturel</w:t>
      </w:r>
      <w:r w:rsidRPr="00BA623D">
        <w:rPr>
          <w:rFonts w:ascii="Garamond" w:hAnsi="Garamond"/>
          <w:lang w:val="en-US"/>
        </w:rPr>
        <w:t xml:space="preserve">« – gerät durch naheliegende Gedankenverbindung vom Automatismus auf den Automaten und sucht eine Reihe von komischen Effekten auf die verblaßte Erinnerung an ein Kinderspielzeug zurückzuführen. In diesem Zusammenhange erhebt er sich einmal zu einem Standpunkt, den er allerdings bald wieder verläßt; er sucht das Komische von der Nachwirkung der Kinderfreuden abzuleiten. » </w:t>
      </w:r>
      <w:r w:rsidRPr="00BA623D">
        <w:rPr>
          <w:rFonts w:ascii="Garamond" w:hAnsi="Garamond"/>
          <w:i/>
          <w:iCs/>
        </w:rPr>
        <w:t xml:space="preserve">Peut-être même devrions-nous pousser la simplification plus loin encore, remonter à nos souvenirs les plus anciens, chercher dans les jeux qui amusèrent l'enfant la première ébauche des combinaisons qui font rire l'homme ... Trop souvent surtout nous méconnaissons ce qu'il y a </w:t>
      </w:r>
      <w:r w:rsidRPr="00BA623D">
        <w:rPr>
          <w:rFonts w:ascii="Garamond" w:hAnsi="Garamond"/>
          <w:i/>
          <w:iCs/>
        </w:rPr>
        <w:lastRenderedPageBreak/>
        <w:t>d'encore enfantin, pour ainsi dire, dans la plupart de nos émotions joyeuses</w:t>
      </w:r>
      <w:r w:rsidRPr="00BA623D">
        <w:rPr>
          <w:rFonts w:ascii="Garamond" w:hAnsi="Garamond"/>
        </w:rPr>
        <w:t>« (1900, S. 68 ff.). Da wir nun den Witz bis auf ein durch die verständige Kritik versagtes Kinderspiel mit Worten und Gedanken zurückverfolgt haben, muß es uns verlocken, auch diesen von Bergson vermuteten infantilen Wurzeln des Komischen nachzuspüren.</w:t>
      </w:r>
    </w:p>
    <w:p w:rsidR="00BA623D" w:rsidRPr="00BA623D" w:rsidRDefault="00BA623D" w:rsidP="00BA623D">
      <w:pPr>
        <w:pStyle w:val="Sansinterligne"/>
        <w:rPr>
          <w:rFonts w:ascii="Garamond" w:hAnsi="Garamond"/>
        </w:rPr>
      </w:pPr>
      <w:r w:rsidRPr="00BA623D">
        <w:rPr>
          <w:rFonts w:ascii="Garamond" w:hAnsi="Garamond"/>
        </w:rPr>
        <w:t>Wirklich stoßen wir auf eine ganze Reihe von Beziehungen, die uns vielversprechend erscheinen, wenn wir das Verhältnis der Komik zum Kinde untersuchen. Das Kind selbst erscheint uns keineswegs komisch, obwohl sein Wesen alle die Bedingungen erfüllt, die beim Vergleiche mit dem unserigen eine komische Differenz ergeben: den übermäßigen Bewegungs- wie den geringen geistigen Aufwand, die Beherrschung der seelischen Leistungen durch die körperlichen Funktionen und andere Züge. Das Kind wirkt auf uns nur dann komisch, wenn es sich nicht als Kind, sondern als ernsthafter Erwachsener gebärdet, und dann in der gleichen Weise wie andere sich verkleidende Personen; solange es aber das Wesen des Kindes beibehält, bereitet uns seine Wahrnehmung eine reine, vielleicht ans Komische anklingende Lust. Wir heißen es naiv, insofern es uns seine Hemmungslosigkeit zeigt, und naiv-komisch jene seiner Äußerungen, die wir bei einem anderen als obszön oder als witzig beurteilt hätten.</w:t>
      </w:r>
    </w:p>
    <w:p w:rsidR="00BA623D" w:rsidRPr="00BA623D" w:rsidRDefault="00BA623D" w:rsidP="00BA623D">
      <w:pPr>
        <w:pStyle w:val="Sansinterligne"/>
        <w:rPr>
          <w:rFonts w:ascii="Garamond" w:hAnsi="Garamond"/>
          <w:lang w:val="en-US"/>
        </w:rPr>
      </w:pPr>
      <w:r w:rsidRPr="00BA623D">
        <w:rPr>
          <w:rFonts w:ascii="Garamond" w:hAnsi="Garamond"/>
          <w:lang w:val="en-US"/>
        </w:rPr>
        <w:t>Anderseits geht dem Kinde das Gefühl für Komik ab. Dieser Satz scheint nicht mehr zu besagen, als daß das komische Gefühl sich erst im Laufe der seelischen Entwicklung irgend einmal einstellt wie so manches andere, und das wäre nun keineswegs merkwürdig, zumal da man zugestehen muß, daß es in Jahren, die man dem Kindesalter zurechnen muß, bereits deutlich hervortritt. Aber es läßt sich doch zeigen, daß die Behauptung, dem Kinde fehle das Gefühl des Komischen, mehr enthält als eine Selbstverständlichkeit. Zunächst wird es leicht einzusehen, daß es nicht anders sein kann, wenn unsere Auffassung richtig ist, welche das komische Gefühl von einer beim Verstehen des anderen sich ergebenden Aufwanddifferenz ableitet. Wählen wir wiederum das Komische der Bewegung als Beispiel. Der Vergleich, der die Differenz liefert, lautet in bewußte Formeln gebracht: So macht es der, und: So würde ich es machen, so habe ich es gemacht. Dem Kinde fehlt aber der im zweiten Satze enthaltene Maßstab, es versteht einfach durch Nachahmung, es macht es ebenso. Die Erziehung des Kindes beschenkt dasselbe mit dem Standard: So sollst du es machen; bedient es sich desselben nun bei der Vergleichung, so liegt ihm der Schluß nahe: Der hat es nicht recht gemacht, und: Ich kann es besser. In diesem Falle lacht es den anderen aus, es verlacht ihn im Gefühle seiner Überlegenheit. Es steht nichts im Wege, auch dieses Lachen von der Aufwanddifferenz abzuleiten, aber nach der Analogie mit den bei uns sich ereignenden Fällen von Verlachen dürfen wir schließen, daß beim Überlegenheitslachen des Kindes das komische Gefühl nicht verspürt wird. Es ist ein Lachen reiner Lust. Wo bei uns das Urteil der eigenen Überlegenheit sich deutlich einstellt, da lächeln wir bloß anstatt zu lachen, oder wenn wir lachen, können wir dies Bewußtwerden unserer Überlegenheit doch vom Komischen, das uns lachen macht, deutlich unterscheiden.</w:t>
      </w:r>
    </w:p>
    <w:p w:rsidR="00BA623D" w:rsidRPr="00BA623D" w:rsidRDefault="00BA623D" w:rsidP="00BA623D">
      <w:pPr>
        <w:pStyle w:val="Sansinterligne"/>
        <w:rPr>
          <w:rFonts w:ascii="Garamond" w:hAnsi="Garamond"/>
          <w:lang w:val="en-US"/>
        </w:rPr>
      </w:pPr>
      <w:r w:rsidRPr="00BA623D">
        <w:rPr>
          <w:rFonts w:ascii="Garamond" w:hAnsi="Garamond"/>
          <w:lang w:val="en-US"/>
        </w:rPr>
        <w:t>Es ist wahrscheinlich richtig zu sagen, das Kind lache aus reiner Lust unter verschiedenen Umständen, die wir als »komisch« empfinden und nicht zu motivieren verstehen, während die Motive des Kindes klare und angebbare sind. Wenn z. B. jemand auf der Straße ausgleitet und hinfällt, so lachen wir, weil dieser Eindruck – unbekannt warum – komisch ist. Das Kind lacht im gleichen Falle aus Überlegenheitsgefühl oder aus Schadenfreude: Du bist gefallen, und ich nicht. Gewisse Lustmotive des Kindes scheinen uns Erwachsenen verlorenzugehen, dafür verspüren wir unter den gleichen Bedingungen das »komische« Gefühl als Ersatz für das Verlorene.</w:t>
      </w:r>
    </w:p>
    <w:p w:rsidR="00BA623D" w:rsidRPr="00BA623D" w:rsidRDefault="00BA623D" w:rsidP="00BA623D">
      <w:pPr>
        <w:pStyle w:val="Sansinterligne"/>
        <w:rPr>
          <w:rFonts w:ascii="Garamond" w:hAnsi="Garamond"/>
          <w:lang w:val="en-US"/>
        </w:rPr>
      </w:pPr>
      <w:r w:rsidRPr="00BA623D">
        <w:rPr>
          <w:rFonts w:ascii="Garamond" w:hAnsi="Garamond"/>
          <w:lang w:val="en-US"/>
        </w:rPr>
        <w:t>Dürfte man verallgemeinern, so erschiene es recht verlockend, den gesuchten spezifischen Charakter des Komischen in die Erweckung des Infantilen zu verlegen, das Komische als das wiedergewonnene »verlorene Kinderlachen« zu erfassen. Man könnte dann sagen, ich lache jedesmal über eine Aufwanddifferenz zwischen dem anderen und mir, wenn ich in dem anderen das Kind wiederfinde. Oder genauer ausgedrückt, der vollständige Vergleich, der zum Komischen führt, würde lauten:</w:t>
      </w:r>
    </w:p>
    <w:p w:rsidR="00BA623D" w:rsidRPr="00BA623D" w:rsidRDefault="00BA623D" w:rsidP="00BA623D">
      <w:pPr>
        <w:pStyle w:val="Sansinterligne"/>
        <w:rPr>
          <w:rFonts w:ascii="Garamond" w:hAnsi="Garamond"/>
          <w:lang w:val="en-US"/>
        </w:rPr>
      </w:pPr>
      <w:r w:rsidRPr="00BA623D">
        <w:rPr>
          <w:rFonts w:ascii="Garamond" w:hAnsi="Garamond"/>
          <w:lang w:val="en-US"/>
        </w:rPr>
        <w:t>So macht es der – Ich mache es anders –</w:t>
      </w:r>
    </w:p>
    <w:p w:rsidR="00BA623D" w:rsidRPr="00BA623D" w:rsidRDefault="00BA623D" w:rsidP="00BA623D">
      <w:pPr>
        <w:pStyle w:val="Sansinterligne"/>
        <w:rPr>
          <w:rFonts w:ascii="Garamond" w:hAnsi="Garamond"/>
          <w:lang w:val="en-US"/>
        </w:rPr>
      </w:pPr>
      <w:r w:rsidRPr="00BA623D">
        <w:rPr>
          <w:rFonts w:ascii="Garamond" w:hAnsi="Garamond"/>
          <w:lang w:val="en-US"/>
        </w:rPr>
        <w:t>Der macht es so, wie ich es als Kind gemacht habe.</w:t>
      </w:r>
    </w:p>
    <w:p w:rsidR="00BA623D" w:rsidRPr="00BA623D" w:rsidRDefault="00BA623D" w:rsidP="00BA623D">
      <w:pPr>
        <w:pStyle w:val="Sansinterligne"/>
        <w:rPr>
          <w:rFonts w:ascii="Garamond" w:hAnsi="Garamond"/>
          <w:lang w:val="en-US"/>
        </w:rPr>
      </w:pPr>
      <w:r w:rsidRPr="00BA623D">
        <w:rPr>
          <w:rFonts w:ascii="Garamond" w:hAnsi="Garamond"/>
          <w:lang w:val="en-US"/>
        </w:rPr>
        <w:t>Dieses Lachen gälte also jedesmal dem Vergleich zwischen dem Ich des Erwachsenen und dem Ich als Kind. Selbst die Ungleichsinnigkeit der komischen Differenz, daß mir bald das Mehr, bald das Minder des Aufwandes komisch erscheint, würde mit der infantilen Bedingung stimmen; das Komische ist dabei tatsächlich stets auf der Seite des Infantilen.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Es widerspricht dem nicht, daß das Kind selbst als Objekt der Vergleichung mir keinen komischen, sondern einen rein lustvollen Eindruck macht; auch nicht, daß dieser Vergleich mit dem Infantilen nur dann komisch wirkt, wenn eine andere Verwendung der Differenz vermieden wird. Denn dabei kommen die Bedingungen der Abfuhr in Betracht. Alles was einen psychischen Vorgang in einen Zusammenhang einschließt, wirkt der Abfuhr der überschüssigen Besetzung entgegen und führt diese einer anderen </w:t>
      </w:r>
      <w:r w:rsidRPr="00BA623D">
        <w:rPr>
          <w:rFonts w:ascii="Garamond" w:hAnsi="Garamond"/>
          <w:lang w:val="en-US"/>
        </w:rPr>
        <w:lastRenderedPageBreak/>
        <w:t>Verwendung zu; was einen psychischen Akt isoliert, begünstigt die Abfuhr. Die bewußte Einstellung auf das Kind als Vergleichsperson macht daher die Abfuhr unmöglich, die zur komischen Lust erforderlich ist; nur bei vorbewußter Besetzung ergibt sich eine ähnliche Annäherung an die Isolierung, wie wir sie übrigens auch den seelischen Vorgängen im Kinde zuschreiben dürfen. Der Zusatz zum Vergleiche: So hab' ich es als Kind auch gemacht, von dem die komische Wirkung ausginge, käme also für mittlere Differenzen erst dann in Betracht, wenn kein anderer Zusammenhang sich des frei gewordenen Überschusses bemächtigen könnte.</w:t>
      </w:r>
    </w:p>
    <w:p w:rsidR="00BA623D" w:rsidRPr="00BA623D" w:rsidRDefault="00BA623D" w:rsidP="00BA623D">
      <w:pPr>
        <w:pStyle w:val="Sansinterligne"/>
        <w:rPr>
          <w:rFonts w:ascii="Garamond" w:hAnsi="Garamond"/>
        </w:rPr>
      </w:pPr>
      <w:r w:rsidRPr="00BA623D">
        <w:rPr>
          <w:rFonts w:ascii="Garamond" w:hAnsi="Garamond"/>
          <w:lang w:val="en-US"/>
        </w:rPr>
        <w:t xml:space="preserve">Verweilen wir noch bei dem Versuch, das Wesen des Komischen in der vorbewußten Anknüpfung an das Infantile zu finden, so müssen wir einen Schritt über Bergson hinaus tun und zugeben, daß der das Komische ergebende Vergleich nicht etwa alte Kinderlust und Kinderspiel erwecken müsse, sondern daß es hinreiche, wenn er an kindliches Wesen überhaupt, vielleicht selbst an Kinderleid rühre. Wir entfernen uns hierin von Bergson, bleiben aber im Einklang mit uns selbst, wenn wir die komische Lust nicht auf erinnerte Lust, sondern immer wieder auf einen Vergleich beziehen. Vielleicht daß die Fälle der ersteren Art das regelmäßig und unwiderstehlich Komische einigermaßen decken. Ziehen wir hier das vorhin angeführte Schema der komischen Möglichkeiten heran. </w:t>
      </w:r>
      <w:r w:rsidRPr="00BA623D">
        <w:rPr>
          <w:rFonts w:ascii="Garamond" w:hAnsi="Garamond"/>
        </w:rPr>
        <w:t>Wir sagten, die komische Differenz würde gefunden entweder</w:t>
      </w:r>
    </w:p>
    <w:tbl>
      <w:tblPr>
        <w:tblW w:w="0" w:type="auto"/>
        <w:tblCellSpacing w:w="15" w:type="dxa"/>
        <w:tblCellMar>
          <w:top w:w="30" w:type="dxa"/>
          <w:left w:w="30" w:type="dxa"/>
          <w:bottom w:w="30" w:type="dxa"/>
          <w:right w:w="30" w:type="dxa"/>
        </w:tblCellMar>
        <w:tblLook w:val="0000"/>
      </w:tblPr>
      <w:tblGrid>
        <w:gridCol w:w="503"/>
        <w:gridCol w:w="5383"/>
      </w:tblGrid>
      <w:tr w:rsidR="00BA623D" w:rsidRPr="005C1841"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 </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lang w:val="en-US"/>
              </w:rPr>
            </w:pPr>
            <w:r w:rsidRPr="00BA623D">
              <w:rPr>
                <w:rFonts w:ascii="Garamond" w:hAnsi="Garamond"/>
                <w:i/>
                <w:iCs/>
                <w:lang w:val="en-US"/>
              </w:rPr>
              <w:t>a)</w:t>
            </w:r>
            <w:r w:rsidRPr="00BA623D">
              <w:rPr>
                <w:rFonts w:ascii="Garamond" w:hAnsi="Garamond"/>
                <w:lang w:val="en-US"/>
              </w:rPr>
              <w:t xml:space="preserve"> durch einen Vergleich zwischen dem anderen und dem Ich,</w:t>
            </w:r>
          </w:p>
        </w:tc>
      </w:tr>
      <w:tr w:rsidR="00BA623D" w:rsidRPr="005C1841"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oder</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lang w:val="en-US"/>
              </w:rPr>
            </w:pPr>
            <w:r w:rsidRPr="00BA623D">
              <w:rPr>
                <w:rFonts w:ascii="Garamond" w:hAnsi="Garamond"/>
                <w:i/>
                <w:iCs/>
                <w:lang w:val="en-US"/>
              </w:rPr>
              <w:t>b)</w:t>
            </w:r>
            <w:r w:rsidRPr="00BA623D">
              <w:rPr>
                <w:rFonts w:ascii="Garamond" w:hAnsi="Garamond"/>
                <w:lang w:val="en-US"/>
              </w:rPr>
              <w:t xml:space="preserve"> durch einen Vergleich ganz innerhalb des anderen,</w:t>
            </w:r>
          </w:p>
        </w:tc>
      </w:tr>
      <w:tr w:rsidR="00BA623D" w:rsidRPr="00BA623D" w:rsidTr="005E1D01">
        <w:trPr>
          <w:tblCellSpacing w:w="15" w:type="dxa"/>
        </w:trPr>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rPr>
              <w:t>oder</w:t>
            </w:r>
          </w:p>
        </w:tc>
        <w:tc>
          <w:tcPr>
            <w:tcW w:w="0" w:type="auto"/>
            <w:tcMar>
              <w:top w:w="35" w:type="dxa"/>
              <w:left w:w="35" w:type="dxa"/>
              <w:bottom w:w="35" w:type="dxa"/>
              <w:right w:w="35" w:type="dxa"/>
            </w:tcMar>
          </w:tcPr>
          <w:p w:rsidR="00BA623D" w:rsidRPr="00BA623D" w:rsidRDefault="00BA623D" w:rsidP="00BA623D">
            <w:pPr>
              <w:pStyle w:val="Sansinterligne"/>
              <w:rPr>
                <w:rFonts w:ascii="Garamond" w:hAnsi="Garamond"/>
              </w:rPr>
            </w:pPr>
            <w:r w:rsidRPr="00BA623D">
              <w:rPr>
                <w:rFonts w:ascii="Garamond" w:hAnsi="Garamond"/>
                <w:i/>
                <w:iCs/>
              </w:rPr>
              <w:t>c)</w:t>
            </w:r>
            <w:r w:rsidRPr="00BA623D">
              <w:rPr>
                <w:rFonts w:ascii="Garamond" w:hAnsi="Garamond"/>
              </w:rPr>
              <w:t xml:space="preserve"> durch einen Vergleich ganz innerhalb des Ichs.</w:t>
            </w:r>
          </w:p>
        </w:tc>
      </w:tr>
    </w:tbl>
    <w:p w:rsidR="00BA623D" w:rsidRPr="00BA623D" w:rsidRDefault="00BA623D" w:rsidP="00BA623D">
      <w:pPr>
        <w:pStyle w:val="Sansinterligne"/>
        <w:rPr>
          <w:rFonts w:ascii="Garamond" w:hAnsi="Garamond"/>
          <w:lang w:val="en-US"/>
        </w:rPr>
      </w:pPr>
      <w:r w:rsidRPr="00BA623D">
        <w:rPr>
          <w:rFonts w:ascii="Garamond" w:hAnsi="Garamond"/>
          <w:lang w:val="en-US"/>
        </w:rPr>
        <w:t>Im ersteren Falle erschiene der andere mir als Kind, im zweiten ließe er sich selbst zum Kind herab, im dritten fände ich das Kind in mir selbst.</w:t>
      </w:r>
    </w:p>
    <w:p w:rsidR="00BA623D" w:rsidRPr="00BA623D" w:rsidRDefault="00BA623D" w:rsidP="00BA623D">
      <w:pPr>
        <w:pStyle w:val="Sansinterligne"/>
        <w:rPr>
          <w:rFonts w:ascii="Garamond" w:hAnsi="Garamond"/>
          <w:lang w:val="en-US"/>
        </w:rPr>
      </w:pPr>
      <w:r w:rsidRPr="00BA623D">
        <w:rPr>
          <w:rFonts w:ascii="Garamond" w:hAnsi="Garamond"/>
          <w:lang w:val="en-US"/>
        </w:rPr>
        <w:t>Zum ersten Falle gehören das Komische der Bewegung und der Formen, der geistigen Leistung und des Charakters; das entsprechende Infantile wären der Bewegungsdrang und die geistige und sittliche Minderentwicklung des Kindes, so daß etwa der Dumme mir komisch würde, insofern er mich an ein faules, der Böse, insofern er an ein schlimmes Kind mahnt. Von einer dem Erwachsenen verlorengegangenen Kinderlust könnte man nur das eine Mal reden, wo die dem Kind eigene Bewegungsfreudigkeit in Betracht kommt.</w:t>
      </w:r>
    </w:p>
    <w:p w:rsidR="00BA623D" w:rsidRPr="00BA623D" w:rsidRDefault="00BA623D" w:rsidP="00BA623D">
      <w:pPr>
        <w:pStyle w:val="Sansinterligne"/>
        <w:rPr>
          <w:rFonts w:ascii="Garamond" w:hAnsi="Garamond"/>
          <w:lang w:val="en-US"/>
        </w:rPr>
      </w:pPr>
      <w:r w:rsidRPr="00BA623D">
        <w:rPr>
          <w:rFonts w:ascii="Garamond" w:hAnsi="Garamond"/>
          <w:lang w:val="en-US"/>
        </w:rPr>
        <w:t>Der zweite Fall, bei welchem die Komik ganz auf »Einfühlung« beruht, umfaßt die zahlreichsten Möglichkeiten, die Komik der Situation, der Übertreibung (Karikatur), der Nachahmung, der Herabsetzung und der Entlarvung. Es ist derjenige Fall, dem die Einführung des infantilen Gesichtspunktes am meisten zustatten kommt. Denn die Situationskomik gründet sich zumeist auf Verlegenheiten, in denen wir die Hilflosigkeit des Kindes wiederfinden; die ärgste dieser Verlegenheiten, die Störung anderer Leistungen durch die gebieterischen Anforderungen der natürlichen Bedürfnisse, entspricht der dem Kinde noch mangelnden Beherrschung der leiblichen Funktionen. Wo die Situationskomik durch Wiederholungen wirkt, stützt sie sich auf die dem Kinde eigentümliche Lust an fortgesetzter Wiederholung (Fragen, Geschichten erzählen), durch die es dem Erwachsenen zur Plage wird. Die Übertreibung, welche auch dem Erwachsenen noch Lust bereitet, insofern sie eine Rechtfertigung vor dessen Kritik zu finden weiß, hängt mit der eigentümlichen Maßlosigkeit des Kindes, mit dessen Unkenntnis aller quantitativen Beziehungen zusammen, die es ja später kennenlernt als die qualitativen. Maßhalten, Ermäßigung auch der erlaubten Regungen ist eine späte Frucht der Erziehung und wird durch gegenseitige Hemmung der in einen Zusammenhang aufgenommenen seelischen Tätigkeiten gewonnen. Wo dieser Zusammenhang geschwächt wird, im Unbewußten des Traumes, beim Monoideismus der Psychoneurosen, tritt die Unmäßigkeit des Kindes wieder hervor.</w:t>
      </w:r>
    </w:p>
    <w:p w:rsidR="00BA623D" w:rsidRPr="00BA623D" w:rsidRDefault="00BA623D" w:rsidP="00BA623D">
      <w:pPr>
        <w:pStyle w:val="Sansinterligne"/>
        <w:rPr>
          <w:rFonts w:ascii="Garamond" w:hAnsi="Garamond"/>
          <w:lang w:val="en-US"/>
        </w:rPr>
      </w:pPr>
      <w:r w:rsidRPr="00BA623D">
        <w:rPr>
          <w:rFonts w:ascii="Garamond" w:hAnsi="Garamond"/>
          <w:lang w:val="en-US"/>
        </w:rPr>
        <w:t>Die Komik der Nachahmung hatte unserem Verständnis relativ große Schwierigkeiten bereitet, solange wir das infantile Moment dabei außer acht ließen. Die Nachahmung ist aber die beste Kunst des Kindes und das treibende Motiv der meisten seiner Spiele. Der Ehrgeiz des Kindes zielt weit weniger auf die Auszeichnung unter seinesgleichen als auf die Nachahmung der Großen. Von dem Verhältnis des Kindes zu den Erwachsenen hängt auch die Komik der Herabsetzung ab, der die Herablassung des Erwachsenen im Kinderleben entspricht. Wenig anderes kann dem Kinde größere Lust bereiten, als wenn der Große sich zu ihm herabläßt, auf seine drückende Überlegenheit verzichtet und wie seinesgleichen mit ihm spielt. Die Erleichterung, die dem Kinde reine Lust schafft, wird beim Erwachsenen als Herabsetzung zu einem Mittel des Komischmachens und zu einer Quelle komischer Lust. Von der Entlarvung wissen wir, daß sie auf die Herabsetzung zurückgeht.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Am meisten stößt auf Schwierigkeiten die infantile Begründung des dritten Falles, der Komik der Erwartung, was wohl erklärt, daß jene Autoren, welche diesen Fall in ihrer Auffassung des Komischen </w:t>
      </w:r>
      <w:r w:rsidRPr="00BA623D">
        <w:rPr>
          <w:rFonts w:ascii="Garamond" w:hAnsi="Garamond"/>
          <w:lang w:val="en-US"/>
        </w:rPr>
        <w:lastRenderedPageBreak/>
        <w:t>vorangestellt haben, keinen Anlaß fanden, das infantile Moment für die Komik in Betracht zu ziehen. Das Komische der Erwartung liegt dem Kinde wohl am fernsten, die Fähigkeit, dieses zu erfassen, tritt bei ihm am spätesten auf. Das Kind wird in den meisten derartigen Fällen, die dem Erwachsenen komisch dünken, wahrscheinlich nur Enttäuschung empfinden. Man könnte aber an die Erwartungsseligkeit und Leichtgläubigkeit des Kindes anknüpfen, um zu verstehen, daß man sich »als Kind« komisch vorkommt, wenn man der komischen Enttäuschung unterliegt.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Ergäbe sich nun auch aus dem Vorstehenden eine gewisse Wahrscheinlichkeit für eine Übersetzung des komischen Gefühls, die etwa lauten könnte: Komisch ist das, was sich für den Erwachsenen nicht schickt, so fühle ich mich doch, vermöge meiner ganzen Stellung zum komischen Problem, nicht kühn genug, diesen letzten Satz mit ähnlichem Ernst wie die vorhin aufgestellten zu verteidigen. Ich mag nicht entscheiden, ob die Herabsetzung zum Kinde nur ein Spezialfall der komischen Herabsetzung ist oder ob alle Komik im Grunde auf einer Herabsetzung zum Kinde beruht </w:t>
      </w:r>
      <w:hyperlink r:id="rId355"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Daß die komische Lust ihre Quelle im »quantitativen Kontrast« im Vergleich von Klein und Groß hat, welcher schließlich auch die wesentliche Relation des Kindes zum Erwachsenen ausdrückt, dies wäre in der Tat ein seltsames Zusammentreffen, wenn das Komische weiter nichts mit dem Infantilen zu tun hätte.</w:t>
        </w:r>
      </w:hyperlink>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Eine Untersuchung, die das Komische noch so flüchtig behandelt, wäre in arger Weise unvollständig, wenn sie nicht wenigstens einige Bemerkungen für den </w:t>
      </w:r>
      <w:r w:rsidRPr="00BA623D">
        <w:rPr>
          <w:rFonts w:ascii="Garamond" w:hAnsi="Garamond"/>
          <w:i/>
          <w:iCs/>
          <w:lang w:val="en-US"/>
        </w:rPr>
        <w:t>Humor</w:t>
      </w:r>
      <w:r w:rsidRPr="00BA623D">
        <w:rPr>
          <w:rFonts w:ascii="Garamond" w:hAnsi="Garamond"/>
          <w:lang w:val="en-US"/>
        </w:rPr>
        <w:t xml:space="preserve"> übrig hätte. Die Wesensverwandtschaft zwischen beiden ist so wenig zweifelhaft, daß ein Erklärungsversuch des Komischen mindestens eine Komponente zum Verständnis des Humors abgeben muß. Soviel des Treffenden und Erhebenden auch zur Wertschätzung des Humors vorgebracht worden ist, der, selbst eine der höchsten psychischen Leistungen, auch die besondere Gunst der Denker genießt, so können wir doch dem Versuche nicht ausweichen, sein Wesen durch eine Annäherung an die Formeln für den Witz und für das Komische auszudrücken.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Wir haben gehört, daß die Entbindung peinlicher Affekte das stärkste Hindernis der komischen Wirkung ist. Sowie die zwecklose Bewegung Schaden stiftet, die Dummheit zum Unheil führt, die Enttäuschung Schmerz bereitet, ist es mit der Möglichkeit eines komischen Effekts zu Ende, für den wenigstens, der sich solcher Unlust nicht erwehren kann, selbst von ihr betroffen wird oder an ihr Anteil nehmen muß, während der Unbeteiligte durch sein Verhalten bezeugt, daß in der Situation des betreffenden Falles alles enthalten ist, was für eine komische Wirkung erfordert wird. Der Humor ist nun ein Mittel, um die Lust trotz der sie störenden peinlichen Affekte zu gewinnen; er tritt für diese Affektentwicklung ein, setzt sich an die Stelle derselben. Seine Bedingung ist gegeben, wenn eine Situation vorliegt, in welcher wir unseren Gewohnheiten gemäß versucht sind, peinlichen Affekt zu entbinden, und wenn nun Motive auf uns einwirken, um diesen Affekt </w:t>
      </w:r>
      <w:r w:rsidRPr="00BA623D">
        <w:rPr>
          <w:rFonts w:ascii="Garamond" w:hAnsi="Garamond"/>
          <w:i/>
          <w:iCs/>
          <w:lang w:val="en-US"/>
        </w:rPr>
        <w:t>in statu nascendi</w:t>
      </w:r>
      <w:r w:rsidRPr="00BA623D">
        <w:rPr>
          <w:rFonts w:ascii="Garamond" w:hAnsi="Garamond"/>
          <w:lang w:val="en-US"/>
        </w:rPr>
        <w:t xml:space="preserve"> zu unterdrücken. In den eben angeführten Fällen könnte also die vom Schaden, Schmerz usw. betroffene Person humoristische Lust gewinnen, während die unbeteiligte aus komischer Lust lacht. Die Lust des Humors entsteht dann, wir können nicht anders sagen, auf Kosten dieser unterbliebenen Affektentbindung, sie geht aus </w:t>
      </w:r>
      <w:r w:rsidRPr="00BA623D">
        <w:rPr>
          <w:rFonts w:ascii="Garamond" w:hAnsi="Garamond"/>
          <w:i/>
          <w:iCs/>
          <w:lang w:val="en-US"/>
        </w:rPr>
        <w:t>erspartem Affektaufwand</w:t>
      </w:r>
      <w:r w:rsidRPr="00BA623D">
        <w:rPr>
          <w:rFonts w:ascii="Garamond" w:hAnsi="Garamond"/>
          <w:lang w:val="en-US"/>
        </w:rPr>
        <w:t xml:space="preserve"> hervor.</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Der Humor ist die genügsamste unter den Arten des Komischen; sein Vorgang vollendet sich bereits in einer einzigen Person, die Teilnahme einer anderen fügt nichts Neues zu ihm hinzu. Ich kann den Genuß der in mir entstandenen humoristischen Lust für mich behalten, ohne mich zur Mitteilung gedrängt zu fühlen. Es ist nicht leicht zu sagen, was bei der Erzeugung der humoristischen Lust in der einen Person vorgeht; man gewinnt aber eine gewisse Einsicht, wenn man die Fälle des mitgeteilten oder nachgefühlten Humors untersucht, in denen ich durch das Verständnis der humoristischen Person zur gleichen Lust wie sie gelange. Der gröbste Fall des Humors, der sogenannte Galgenhumor, mag uns darüber belehren. Der Spitzbube, der am Montag zur Exekution geführt wird, äußert: »Na, diese Woche fängt gut an.« Das ist eigentlich ein Witz, denn die Bemerkung ist an sich ganz zutreffend, anderseits in ganz unsinniger Weise deplaciert, da es weitere Ereignisse in dieser Woche für ihn nicht geben wird. Es gehört aber Humor dazu, einen solchen Witz zu machen, d. h. über alles hinwegzusehen, was diesen Wochenbeginn vor anderen auszeichnet, den Unterschied zu leugnen, aus dem sich Motive zu ganz besonderen Gefühlsregungen ergeben könnten. Derselbe Fall, wenn er sich auf dem Wege zur Hinrichtung ein Halstuch für seinen bloßen Hals ausbittet, um sich nicht zu verkühlen, eine Vorsicht, die sonst ganz lobenswert wäre, bei dem nahe bevorstehenden Schicksal dieses Halses aber ungeheuer überflüssig und gleichgültig ist. Man muß sagen, es steckt etwas wie Seelengröße in dieser </w:t>
      </w:r>
      <w:r w:rsidRPr="00BA623D">
        <w:rPr>
          <w:rFonts w:ascii="Garamond" w:hAnsi="Garamond"/>
          <w:i/>
          <w:iCs/>
          <w:lang w:val="en-US"/>
        </w:rPr>
        <w:t>blague</w:t>
      </w:r>
      <w:r w:rsidRPr="00BA623D">
        <w:rPr>
          <w:rFonts w:ascii="Garamond" w:hAnsi="Garamond"/>
          <w:lang w:val="en-US"/>
        </w:rPr>
        <w:t>, in solchem Festhalten seines gewohnten Wesens und Abwenden von dem, was dieses Wesen umwerfen und zur Verzweiflung treiben sollte. Diese Art von Großartigkeit des Humors tritt dann unverkennbar in Fällen hervor, in denen unsere Bewunderung keine Hemmung an den Umständen der humoristischen Person findet.</w:t>
      </w:r>
    </w:p>
    <w:p w:rsidR="00BA623D" w:rsidRPr="00BA623D" w:rsidRDefault="00BA623D" w:rsidP="00BA623D">
      <w:pPr>
        <w:pStyle w:val="Sansinterligne"/>
        <w:rPr>
          <w:rFonts w:ascii="Garamond" w:hAnsi="Garamond"/>
        </w:rPr>
      </w:pPr>
      <w:r w:rsidRPr="00BA623D">
        <w:rPr>
          <w:rFonts w:ascii="Garamond" w:hAnsi="Garamond"/>
          <w:lang w:val="en-US"/>
        </w:rPr>
        <w:lastRenderedPageBreak/>
        <w:t xml:space="preserve">In Victor Hugos </w:t>
      </w:r>
      <w:r w:rsidRPr="00BA623D">
        <w:rPr>
          <w:rFonts w:ascii="Garamond" w:hAnsi="Garamond"/>
          <w:i/>
          <w:iCs/>
          <w:lang w:val="en-US"/>
        </w:rPr>
        <w:t>Hernani</w:t>
      </w:r>
      <w:r w:rsidRPr="00BA623D">
        <w:rPr>
          <w:rFonts w:ascii="Garamond" w:hAnsi="Garamond"/>
          <w:lang w:val="en-US"/>
        </w:rPr>
        <w:t xml:space="preserve"> ist der Bandit, der sich in eine Verschwörung gegen seinen König, Karl I. von Spanien und Karl V. als deutscher Kaiser, eingelassen hat, in die Hände dieses seines großmächtigen Feindes gefallen; er sieht sein Schicksal als überführter Hochverräter voraus, sein Kopf wird fallen. Aber diese Voraussicht hält ihn nicht ab, sich als erbberechtigten Grande von Spanien zu erkennen zu geben und zu erklären, daß er auf kein Vorrecht eines solchen zu verzichten gedenke. Ein Grande von Spanien durfte in Gegenwart seines königlichen Herrn sein Haupt bedecken. </w:t>
      </w:r>
      <w:r w:rsidRPr="00BA623D">
        <w:rPr>
          <w:rFonts w:ascii="Garamond" w:hAnsi="Garamond"/>
        </w:rPr>
        <w:t>Nun gut:</w:t>
      </w:r>
    </w:p>
    <w:p w:rsidR="00BA623D" w:rsidRPr="00BA623D" w:rsidRDefault="00BA623D" w:rsidP="00BA623D">
      <w:pPr>
        <w:pStyle w:val="Sansinterligne"/>
        <w:rPr>
          <w:rFonts w:ascii="Garamond" w:hAnsi="Garamond"/>
        </w:rPr>
      </w:pPr>
      <w:r w:rsidRPr="00BA623D">
        <w:rPr>
          <w:rFonts w:ascii="Garamond" w:hAnsi="Garamond"/>
          <w:i/>
          <w:iCs/>
        </w:rPr>
        <w:t xml:space="preserve">»Nos têtes ont le droit </w:t>
      </w:r>
      <w:r w:rsidRPr="00BA623D">
        <w:rPr>
          <w:rFonts w:ascii="Garamond" w:hAnsi="Garamond"/>
          <w:i/>
          <w:iCs/>
        </w:rPr>
        <w:br/>
        <w:t>De tomber couvertes devant de toi.«</w:t>
      </w:r>
    </w:p>
    <w:p w:rsidR="00BA623D" w:rsidRPr="00BA623D" w:rsidRDefault="00BA623D" w:rsidP="00BA623D">
      <w:pPr>
        <w:pStyle w:val="Sansinterligne"/>
        <w:rPr>
          <w:rFonts w:ascii="Garamond" w:hAnsi="Garamond"/>
          <w:lang w:val="en-US"/>
        </w:rPr>
      </w:pPr>
      <w:r w:rsidRPr="00BA623D">
        <w:rPr>
          <w:rFonts w:ascii="Garamond" w:hAnsi="Garamond"/>
          <w:lang w:val="en-US"/>
        </w:rPr>
        <w:t>Dies ist großartiger Humor, und wenn wir als Hörer dabei nicht lachen, so geschieht es, weil unsere Bewunderung die humoristische Lust deckt. Im Falle des Spitzbuben, der sich auf dem Wege zum Galgen nicht verkühlen will, lachen wir aus vollem Halse. Die Situation, die den Delinquenten zur Verzweiflung treiben sollte, könnte bei uns intensives Mitleid erregen; aber dies Mitleid wird gehemmt, weil wir verstehen, daß er, der näher Betroffene, sich aus der Situation nichts macht. Infolge dieses Verständnisses wird der Aufwand zum Mitleid, der schon in uns bereit war, unverwendbar, und wir lachen ihn ab. Die Gleichgültigkeit des Spitzbuben, von der wir aber merken, daß sie ihn einen großen Aufwand von psychischer Arbeit gekostet hat, steckt uns gleichsam an.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Erspartes Mitleid ist eine der häufigsten Quellen der humoristischen Lust. Der Humor Mark Twains arbeitet gewöhnlich mit diesem Mechanismus. Wenn er uns aus dem Leben seines Bruders erzählt, wie dieser als Angestellter einer großen Wegbauunternehmung durch die vorzeitige Explosion einer Mine in die Luft zu fliegen kam, um weit entfernt von seinem Arbeitsorte wieder zur Erde zu kommen, so werden unvermeidlich Regungen des Mitgefühls für den Verunglückten in uns wach; wir möchten fragen, ob ihm bei seinem Unfall kein Schaden geschehen ist; aber die Fortsetzung der Geschichte, daß dem Bruder ein halber Tag Arbeitslohn abgezogen wurde »wegen Entfernung vom Arbeitsorte«, lenkt uns vollständig vom Mitleid ab und macht uns beinahe ebenso hartherzig wie jene Unternehmer, ebenso gleichgültig gegen die etwaige Gesundheitsschädigung des Bruders. </w:t>
      </w:r>
      <w:r w:rsidRPr="00BA623D">
        <w:rPr>
          <w:rFonts w:ascii="Garamond" w:hAnsi="Garamond"/>
        </w:rPr>
        <w:t xml:space="preserve">Ein andermal legt uns Mark Twain seinen Stammbaum vor, den er etwa bis auf einen Gefährten des Kolumbus zurückführt. Nachdem uns aber der Charakter dieses Ahnen geschildert wurde, dessen ganzes Gepäck aus mehreren Wäschestücken besteht, von denen jedes eine andere Marke trägt, können wir nicht anders als auf Kosten der ersparten Pietät lachen, in welche wir uns zu Beginn dieser Familiengeschichte zu versetzen gedachten. Der Mechanismus der humoristischen Lust wird dabei nicht durch unser Wissen gestört, daß diese Ahnengeschichte eine fingierte ist und daß diese Fiktion der satirischen Tendenz dient, die Schönfärberei, die sich in solchen Mitteilungen anderer kundgibt, bloßzustellen; er ist ebenso unabhängig von der Realitätsbedingung wie im Falle des Komischmachens. Eine andere Geschichte von Mark Twain, die berichtet, wie sein Bruder sich ein unterirdisches Quartier herstellte, in das er Bett, Tisch und Lampe brachte und das als Dach ein großes, in der Mitte durchlöchertes Stück Segeltuch bekam, wie aber in der Nacht, nachdem die Stube fertig geworden, eine heimgetriebene Kuh durch die Öffnung der Decke auf den Tisch herabfiel und die Lampe auslöschte, wie der Bruder geduldig mithalf, das Tier hinaufzubefördern und die Einrichtung wiederherzustellen, wie er das gleiche tat, als sich die gleiche Störung in der nächsten Nacht wiederholte und dann jede weitere Nacht; eine solche Geschichte wird durch ihre Wiederholung komisch. Mark Twain beschließt sie aber mit der Mitteilung, der Bruder habe endlich in der 46. Nacht, als wiederum die Kuh herabfiel, bemerkt: Die Sache fange an, monoton zu werden, und da können wir unsere humoristische Lust nicht zurückhalten, denn wir hätten längst zu hören erwartet, wie sich der Bruder über dies hartnäckige Malheur – geärgert. Den kleinen Humor, den wir etwa selbst in unserem Leben aufbringen, produzieren wir in der Regel auf Kosten des Ärgers, anstatt uns zu ärgern </w:t>
      </w:r>
      <w:hyperlink r:id="rId356" w:anchor="#" w:history="1">
        <w:r w:rsidRPr="00BA623D">
          <w:rPr>
            <w:rStyle w:val="fusslink"/>
            <w:rFonts w:ascii="Garamond" w:hAnsi="Garamond" w:cs="Arial"/>
            <w:b/>
            <w:bCs/>
            <w:color w:val="003399"/>
          </w:rPr>
          <w:t>[Fußnote]</w:t>
        </w:r>
        <w:r w:rsidRPr="00BA623D">
          <w:rPr>
            <w:rStyle w:val="innerfusslink3"/>
            <w:rFonts w:ascii="Garamond" w:hAnsi="Garamond" w:cs="Arial"/>
            <w:b/>
            <w:bCs/>
          </w:rPr>
          <w:t xml:space="preserve">Die großartige humoristische Wirkung einer Figur wie des dicken Ritters Sir John Falstaff beruht auf ersparter Verachtung und Entrüstung. </w:t>
        </w:r>
        <w:r w:rsidRPr="00BA623D">
          <w:rPr>
            <w:rStyle w:val="innerfusslink3"/>
            <w:rFonts w:ascii="Garamond" w:hAnsi="Garamond" w:cs="Arial"/>
            <w:b/>
            <w:bCs/>
            <w:lang w:val="en-US"/>
          </w:rPr>
          <w:t xml:space="preserve">Wir erkennen zwar in ihm den unwürdigen Schlemmer und Hochstapler, aber unsere Verurteilung wird durch eine ganze Reihe von Momenten entwaffnet. Wir verstehen, daß er sich genau so kennt, wie wir ihn beurteilen; er imponiert uns durch seinen Witz, und außerdem übt seine körperliche Mißgestalt eine Kontaktwirkung zugunsten einer komischen Auffassung seiner Person anstatt einer ernsthaften aus, als ob unsere Anforderungen von Moral und Ehre von einem so dicken Bauch abprallen müßten. Sein Treiben ist im ganzen harmlos und wird durch die komische Niedrigkeit der von ihm Betrogenen fast entschuldigt. Wir geben zu, daß der Arme bemüht sein darf zu leben und zu genießen wie ein anderer, und bemitleiden ihn fast, weil wir ihn in den Hauptsituationen als Spielzeug in den Händen eines ihm weit Überlegenen finden. Darum können wir ihm nicht gram werden und schlagen alles, was wir bei ihm an Entrüstung ersparen, zur komischen Lust, die er sonst bereitet, hinzu. Sir Johns </w:t>
        </w:r>
        <w:r w:rsidRPr="00BA623D">
          <w:rPr>
            <w:rStyle w:val="innerfusslink3"/>
            <w:rFonts w:ascii="Garamond" w:hAnsi="Garamond" w:cs="Arial"/>
            <w:b/>
            <w:bCs/>
            <w:lang w:val="en-US"/>
          </w:rPr>
          <w:lastRenderedPageBreak/>
          <w:t xml:space="preserve">eigener Humor geht eigentlich aus der Überlegenheit eines Ichs hervor, dem weder seine leiblichen noch seine moralischen Defekte die Heiterkeit und Sicherheit rauben können. </w:t>
        </w:r>
        <w:r w:rsidRPr="00BA623D">
          <w:rPr>
            <w:rFonts w:ascii="Garamond" w:hAnsi="Garamond"/>
            <w:b/>
            <w:lang w:val="en-US"/>
          </w:rPr>
          <w:br/>
        </w:r>
        <w:r w:rsidRPr="00BA623D">
          <w:rPr>
            <w:rFonts w:ascii="Garamond" w:hAnsi="Garamond"/>
            <w:b/>
            <w:lang w:val="en-US"/>
          </w:rPr>
          <w:br/>
        </w:r>
        <w:r w:rsidRPr="00BA623D">
          <w:rPr>
            <w:rStyle w:val="innerfusslink3"/>
            <w:rFonts w:ascii="Garamond" w:hAnsi="Garamond" w:cs="Arial"/>
            <w:b/>
            <w:bCs/>
            <w:lang w:val="en-US"/>
          </w:rPr>
          <w:t>Der geistreiche Ritter Don Quijote de la Mancha ist hingegen eine Gestalt, die selbst keinen Humor besitzt und uns in ihrem Ernst eine Lust bereitet, die man eine humoristische nennen könnte, obwohl deren Mechanismus eine wichtige Abweichung von dem des Humors erkennen läßt. Don Quijote ist ursprünglich eine rein komische Figur, ein großes Kind, dem die Phantasien seiner Ritterbücher zu Kopfe gestiegen sind. Es ist bekannt, daß der Dichter anfangs nichts anderes mit ihm wollte und daß das Geschöpf allmählich weit über die ersten Absichten des Schöpfers hinauswuchs. Nachdem aber der Dichter diese lächerliche Person mit der tiefsten Weisheit und den edelsten Absichten ausgestattet und sie zum symbolischen Vertreter eines Idealismus gemacht hat, der an die Verwirklichung seiner Ziele glaubt, Pflichten ernst und Versprechen wörtlich nimmt, hört diese Person auf, komisch zu wirken. Ähnlich wie sonst die humoristische Lust durch Verhinderung einer Gefühlserregung entsteht sie hier durch Störung der komischen Lust. Doch entfernen wir uns mit diesen Beispielen bereits merklich von den einfachen Fällen des Humors.</w:t>
        </w:r>
      </w:hyperlink>
    </w:p>
    <w:p w:rsidR="00BA623D" w:rsidRPr="00BA623D" w:rsidRDefault="00BA623D" w:rsidP="00BA623D">
      <w:pPr>
        <w:pStyle w:val="Sansinterligne"/>
        <w:rPr>
          <w:rFonts w:ascii="Garamond" w:hAnsi="Garamond"/>
          <w:lang w:val="en-US"/>
        </w:rPr>
      </w:pPr>
      <w:r w:rsidRPr="00BA623D">
        <w:rPr>
          <w:rFonts w:ascii="Garamond" w:hAnsi="Garamond"/>
          <w:lang w:val="en-US"/>
        </w:rPr>
        <w:t xml:space="preserve">Die Arten des Humors sind außerordentlich mannigfach je nach der Natur der Gefühlserregung, die zugunsten des Humors erspart wird: Mitleid, Ärger, Schmerz, Rührung usw. Die Reihe derselben erscheint auch unabgeschlossen, weil das Reich des Humors immer weitere Ausdehnung erfährt, wenn es dem Künstler oder Schriftsteller gelingt, bisher noch unbezwungene Gefühlsregungen humoristisch zu bändigen, sie durch ähnliche Kunstgriffe wie in den vorigen Beispielen zur Quelle humoristischer Lust zu machen. Die Künstler des </w:t>
      </w:r>
      <w:r w:rsidRPr="00BA623D">
        <w:rPr>
          <w:rFonts w:ascii="Garamond" w:hAnsi="Garamond"/>
          <w:i/>
          <w:iCs/>
          <w:lang w:val="en-US"/>
        </w:rPr>
        <w:t>Simplizissimus</w:t>
      </w:r>
      <w:r w:rsidRPr="00BA623D">
        <w:rPr>
          <w:rFonts w:ascii="Garamond" w:hAnsi="Garamond"/>
          <w:lang w:val="en-US"/>
        </w:rPr>
        <w:t xml:space="preserve"> z. B. haben Erstaunliches darin geleistet, den Humor auf Kosten von Grausen und Ekel zu gewinnen. Die Erscheinungsformen des Humors werden übrigens durch zwei Eigentümlichkeiten bestimmt, die mit den Bedingungen seiner Entstehung zusammenhängen. Der Humor kann erstens mit dem Witz oder einer anderen Art des Komischen verschmolzen auftreten, wobei ihm die Aufgabe zufällt, eine in der Situation enthaltene Möglichkeit von Affektentwicklung, die ein Hindernis für die Lustwirkung wäre, zu beseitigen. Er kann zweitens diese Affektentwicklung gänzlich aufheben oder bloß partiell, was sogar der häufigere Fall ist, weil die leichtere Leistung, und die verschiedenen Formen des »gebrochenen« </w:t>
      </w:r>
      <w:hyperlink r:id="rId357"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Ein Terminus, der in der Ästhetik von F. Th. Vischer in ganz anderem Sinne verwendet wird.</w:t>
        </w:r>
      </w:hyperlink>
      <w:r w:rsidRPr="00BA623D">
        <w:rPr>
          <w:rFonts w:ascii="Garamond" w:hAnsi="Garamond"/>
          <w:lang w:val="en-US"/>
        </w:rPr>
        <w:t xml:space="preserve"> Humors, den Humor, der unter Tränen lächelt, ergibt. Er entzieht dem Affekt einen Teil seiner Energie und gibt ihm dafür den humoristischen Beiklang.</w:t>
      </w:r>
    </w:p>
    <w:p w:rsidR="00BA623D" w:rsidRPr="00BA623D" w:rsidRDefault="00BA623D" w:rsidP="00BA623D">
      <w:pPr>
        <w:pStyle w:val="Sansinterligne"/>
        <w:rPr>
          <w:rFonts w:ascii="Garamond" w:hAnsi="Garamond"/>
          <w:lang w:val="en-US"/>
        </w:rPr>
      </w:pPr>
      <w:r w:rsidRPr="00BA623D">
        <w:rPr>
          <w:rFonts w:ascii="Garamond" w:hAnsi="Garamond"/>
          <w:lang w:val="en-US"/>
        </w:rPr>
        <w:t>Die durch Nachfühlen gewonnene humoristische Lust entspringt, wie man an obigen Beispielen merken konnte, einer besonderen, der Verschiebung vergleichbaren Technik, durch welche die bereitgehaltene Affektentbindung enttäuscht und die Besetzung auf anderes, nicht selten Nebensächliches gelenkt wird. Für das Verständnis des Vorganges, durch welchen in der humoristischen Person selbst die Verschiebung von der Affektentwicklung weg vor sich geht, ist aber hiemit nichts gewonnen. Wir sehen, daß der Empfänger den Schöpfer des Humors in seinen seelischen Vorgängen nachahmt, erfahren dabei aber nichts über die Kräfte, welche diesen Vorgang bei letzterem ermöglichen.</w:t>
      </w:r>
    </w:p>
    <w:p w:rsidR="00BA623D" w:rsidRPr="00BA623D" w:rsidRDefault="00BA623D" w:rsidP="00BA623D">
      <w:pPr>
        <w:pStyle w:val="Sansinterligne"/>
        <w:rPr>
          <w:rFonts w:ascii="Garamond" w:hAnsi="Garamond"/>
          <w:lang w:val="en-US"/>
        </w:rPr>
      </w:pPr>
      <w:r w:rsidRPr="00BA623D">
        <w:rPr>
          <w:rFonts w:ascii="Garamond" w:hAnsi="Garamond"/>
          <w:lang w:val="en-US"/>
        </w:rPr>
        <w:t>Man kann nur sagen, wenn es jemandem gelingt, sich z. B. über einen schmerzlichen Affekt hinwegzusetzen, indem er sich die Größe der Weltinteressen als Gegensatz zur eigenen Kleinheit vorhält, so sehen wir darin keine Leistung des Humors, sondern des philosophischen Denkens und haben auch keinen Lustgewinn, wenn wir uns in seinen Gedankengang hineinversetzen. Die humoristische Verschiebung ist also in der Beleuchtung der bewußten Aufmerksamkeit ebenso unmöglich wie die komische Vergleichung; sie ist wie diese an die Bedingung, vorbewußt oder automatisch zu bleiben, gebunden.</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Zu einigem Aufschluß über die humoristische Verschiebung gelangt man, wenn man sie im Lichte eines Abwehrvorganges betrachtet. Die Abwehrvorgänge sind die psychischen Korrelate des Fluchtreflexes und verfolgen die Aufgabe, die Entstehung von Unlust aus inneren Quellen zu verhüten; in der Erfüllung dieser Aufgabe dienen sie dem seelischen Geschehen als eine automatische Regulierung, die sich schließlich allerdings als schädlich herausstellt und darum der Beherrschung durch das bewußte Denken unterworfen werden muß. Eine bestimmte Art dieser Abwehr, die mißglückte Verdrängung, habe ich als den wirkenden Mechanismus für die Entstehung der Psychoneurosen nachgewiesen. Der Humor kann nun als die höchststehende dieser Abwehrleistungen aufgefaßt werden. Er verschmäht es, den mit dem peinlichen Affekt verknüpften Vorstellungsinhalt der bewußten Aufmerksamkeit zu entziehen, wie es die Verdrängung tut, und überwindet somit den Abwehrautomatismus; er bringt dies zustande, indem er die Mittel findet, der bereitgehaltenen Unlustentbindung ihre Energie zu entziehen und diese durch Abfuhr in </w:t>
      </w:r>
      <w:r w:rsidRPr="00BA623D">
        <w:rPr>
          <w:rFonts w:ascii="Garamond" w:hAnsi="Garamond"/>
          <w:lang w:val="en-US"/>
        </w:rPr>
        <w:lastRenderedPageBreak/>
        <w:t>Lust zu verwandeln. Es ist selbst denkbar, daß wiederum der Zusammenhang mit dem Infantilen ihm die Mittel zu dieser Leistung zur Verfügung stellt. Im Kinderleben allein hat es intensive peinliche Affekte gegeben, über welche der Erwachsene heute lächeln würde, wie er als Humorist über seine gegenwärtigen peinlichen Affekte lacht. Die Erhebung seines Ichs, von welcher die humoristische Verschiebung Zeugnis ablegt – deren Übersetzung doch lauten würde: Ich bin zu groß(artig), als daß diese Anlässe mich peinlich berühren sollten –, könnte er wohl aus der Vergleichung seines gegenwärtigen Ichs mit seinem kindlichen entnehmen. Einigermaßen unterstützt wird diese Auffassung durch die Rolle, die dem Infantilen bei den neurotischen Verdrängungsvorgängen zufällt.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Im ganzen steht der Humor dem Komischen näher als dem Witz. Er hat mit jenem auch die psychische Lokalisation im Vorbewußten gemeinsam, während der Witz, wie wir annehmen mußten, als Kompromiß zwischen Unbewußtem und Vorbewußtem gebildet wird. Dafür hat er keinen Anteil an einem eigentümlichen Charakter, in welchem Witz und Komik sich treffen, den wir vielleicht bisher nicht scharf genug hervorgehoben haben. Es ist Bedingung für die Entstehung des Komischen, daß wir veranlaßt werden, </w:t>
      </w:r>
      <w:r w:rsidRPr="00BA623D">
        <w:rPr>
          <w:rFonts w:ascii="Garamond" w:hAnsi="Garamond"/>
          <w:i/>
          <w:iCs/>
          <w:lang w:val="en-US"/>
        </w:rPr>
        <w:t>gleichzeitig oder in rascher Aufeinanderfolge</w:t>
      </w:r>
      <w:r w:rsidRPr="00BA623D">
        <w:rPr>
          <w:rFonts w:ascii="Garamond" w:hAnsi="Garamond"/>
          <w:lang w:val="en-US"/>
        </w:rPr>
        <w:t xml:space="preserve"> für die nämliche Vorstellungsleistung zweierlei verschiedene Vorstellungsweisen anzuwenden, zwischen denen dann die »Vergleichung« statthat und die komische Differenz sich ergibt. Solche Aufwanddifferenzen entstehen zwischen dem Fremden und dem Eigenen, dem Gewohnten und dem Veränderten, dem Erwarteten und dem Eingetroffenen </w:t>
      </w:r>
      <w:hyperlink r:id="rId358"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Wenn man sich nicht scheut, dem Begriff Erwartung einigen Zwang anzutun, kann man nach dem Vorgange von Lipps ein sehr großes Gebiet des Komischen der Erwartungskomik zurechnen, aber gerade die wahrscheinlich ursprünglichsten Fälle der Komik, die aus der Vergleichung eines fremden Aufwandes mit dem eigenen hervorgehen, würden sich dieser Zusammenfassung am wenigsten fügen.</w:t>
        </w:r>
      </w:hyperlink>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t xml:space="preserve">Beim Witz kommt die Differenz zwischen zwei sich gleichzeitig ergebenden Auffassungsweisen, die mit verschiedenem Aufwand arbeiten, für den Vorgang beim Witzhörer in Betracht. Die eine dieser beiden Auffassungen macht, den im Witze enthaltenen Andeutungen folgend, den Weg des Gedankens durch das Unbewußte nach, die andere verbleibt an der Oberfläche und stellt den Witz wie einen sonstigen aus dem Vorbewußten bewußt gewordenen Wortlaut vor. Es wäre vielleicht keine unberechtigte Darstellung, wenn man die Lust des angehörten Witzes aus der Differenz dieser beiden Vorstellungsweisen ableiten würde </w:t>
      </w:r>
      <w:hyperlink r:id="rId359"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Man kann an dieser Formel ohne weiteres festhalten, denn sie läuft auf nichts heraus, was im Widerspruch zu früheren Erörterungen stünde. Die Differenz zwischen den beiden Aufwänden muß sich im wesentlichen auf den ersparten Hemmungsaufwand reduzieren. Das Fehlen dieser Hemmungsersparung beim Komischen und der Wegfall des quantitativen Kontrastes beim Witze würden, bei aller Übereinstimmung im Charakter der zweierlei Vorstellungsarbeit für die nämliche Auffassung, den Unterschied des komischen Gefühls vom Eindruck des Witzes bedingen.</w:t>
        </w:r>
      </w:hyperlink>
      <w:r w:rsidRPr="00BA623D">
        <w:rPr>
          <w:rFonts w:ascii="Garamond" w:hAnsi="Garamond"/>
          <w:lang w:val="en-US"/>
        </w:rPr>
        <w:t>.</w:t>
      </w:r>
    </w:p>
    <w:p w:rsidR="00BA623D" w:rsidRPr="00BA623D" w:rsidRDefault="00BA623D" w:rsidP="00BA623D">
      <w:pPr>
        <w:pStyle w:val="Sansinterligne"/>
        <w:rPr>
          <w:rFonts w:ascii="Garamond" w:hAnsi="Garamond"/>
        </w:rPr>
      </w:pPr>
      <w:r w:rsidRPr="00BA623D">
        <w:rPr>
          <w:rFonts w:ascii="Garamond" w:hAnsi="Garamond"/>
          <w:lang w:val="en-US"/>
        </w:rPr>
        <w:t xml:space="preserve">Wir sagen hier vom Witze das nämliche aus, was wir als seine Janusköpfigkeit beschrieben haben, solange uns die Beziehung zwischen Witz und Komik noch unerledigt erschien </w:t>
      </w:r>
      <w:hyperlink r:id="rId360" w:anchor="#" w:history="1">
        <w:r w:rsidRPr="00BA623D">
          <w:rPr>
            <w:rStyle w:val="fusslink"/>
            <w:rFonts w:ascii="Garamond" w:hAnsi="Garamond" w:cs="Arial"/>
            <w:b/>
            <w:bCs/>
            <w:color w:val="003399"/>
            <w:lang w:val="en-US"/>
          </w:rPr>
          <w:t>[Fußnote]</w:t>
        </w:r>
        <w:r w:rsidRPr="00BA623D">
          <w:rPr>
            <w:rStyle w:val="innerfusslink3"/>
            <w:rFonts w:ascii="Garamond" w:hAnsi="Garamond" w:cs="Arial"/>
            <w:b/>
            <w:bCs/>
            <w:lang w:val="en-US"/>
          </w:rPr>
          <w:t xml:space="preserve">Die Eigentümlichkeit der » </w:t>
        </w:r>
        <w:r w:rsidRPr="00BA623D">
          <w:rPr>
            <w:rStyle w:val="innerfusslink3"/>
            <w:rFonts w:ascii="Garamond" w:hAnsi="Garamond" w:cs="Arial"/>
            <w:b/>
            <w:bCs/>
            <w:i/>
            <w:iCs/>
            <w:lang w:val="en-US"/>
          </w:rPr>
          <w:t>double face</w:t>
        </w:r>
        <w:r w:rsidRPr="00BA623D">
          <w:rPr>
            <w:rStyle w:val="innerfusslink3"/>
            <w:rFonts w:ascii="Garamond" w:hAnsi="Garamond" w:cs="Arial"/>
            <w:b/>
            <w:bCs/>
            <w:lang w:val="en-US"/>
          </w:rPr>
          <w:t xml:space="preserve">« ist den Autoren natürlich nicht entgangen. </w:t>
        </w:r>
        <w:r w:rsidRPr="00BA623D">
          <w:rPr>
            <w:rStyle w:val="innerfusslink3"/>
            <w:rFonts w:ascii="Garamond" w:hAnsi="Garamond" w:cs="Arial"/>
            <w:b/>
            <w:bCs/>
          </w:rPr>
          <w:t xml:space="preserve">Mélinand, dem ich obigen Ausdruck entnahm (›Pourquoi rit-on?‹), faßt die Bedingung für das Lachen in folgende Formel: </w:t>
        </w:r>
        <w:r w:rsidRPr="00BA623D">
          <w:rPr>
            <w:rStyle w:val="innerfusslink3"/>
            <w:rFonts w:ascii="Garamond" w:hAnsi="Garamond" w:cs="Arial"/>
            <w:b/>
            <w:bCs/>
            <w:i/>
            <w:iCs/>
          </w:rPr>
          <w:t>Ce qui fait rire, c'est ce qui est à la fois, d'un côté, absurde et de l'autre, familier</w:t>
        </w:r>
        <w:r w:rsidRPr="00BA623D">
          <w:rPr>
            <w:rStyle w:val="innerfusslink3"/>
            <w:rFonts w:ascii="Garamond" w:hAnsi="Garamond" w:cs="Arial"/>
            <w:b/>
            <w:bCs/>
          </w:rPr>
          <w:t xml:space="preserve">. Die Formel paßt auf den Witz besser als aufs Komische, deckt aber auch den ersteren nicht ganz. – Bergson (l. c., S. 98) definiert die komische Situation durch die » </w:t>
        </w:r>
        <w:r w:rsidRPr="00BA623D">
          <w:rPr>
            <w:rStyle w:val="innerfusslink3"/>
            <w:rFonts w:ascii="Garamond" w:hAnsi="Garamond" w:cs="Arial"/>
            <w:b/>
            <w:bCs/>
            <w:i/>
            <w:iCs/>
          </w:rPr>
          <w:t>interférence des séries</w:t>
        </w:r>
        <w:r w:rsidRPr="00BA623D">
          <w:rPr>
            <w:rStyle w:val="innerfusslink3"/>
            <w:rFonts w:ascii="Garamond" w:hAnsi="Garamond" w:cs="Arial"/>
            <w:b/>
            <w:bCs/>
          </w:rPr>
          <w:t xml:space="preserve">«: » </w:t>
        </w:r>
        <w:r w:rsidRPr="00BA623D">
          <w:rPr>
            <w:rStyle w:val="innerfusslink3"/>
            <w:rFonts w:ascii="Garamond" w:hAnsi="Garamond" w:cs="Arial"/>
            <w:b/>
            <w:bCs/>
            <w:i/>
            <w:iCs/>
          </w:rPr>
          <w:t>Une situation est toujours comique quand elle appartient en même temps à deux séries d'événements absolument indépendantes, et qu'elle peut s'interpréter à la fois dans deux sens tout différents.</w:t>
        </w:r>
        <w:r w:rsidRPr="00BA623D">
          <w:rPr>
            <w:rStyle w:val="innerfusslink3"/>
            <w:rFonts w:ascii="Garamond" w:hAnsi="Garamond" w:cs="Arial"/>
            <w:b/>
            <w:bCs/>
          </w:rPr>
          <w:t>« – Für Lipps ist die Komik »die Größe und Kleinheit desselben«.</w:t>
        </w:r>
      </w:hyperlink>
      <w:r w:rsidRPr="00BA623D">
        <w:rPr>
          <w:rFonts w:ascii="Garamond" w:hAnsi="Garamond"/>
        </w:rPr>
        <w:t>.</w:t>
      </w:r>
    </w:p>
    <w:p w:rsidR="00BA623D" w:rsidRPr="00BA623D" w:rsidRDefault="00BA623D" w:rsidP="00BA623D">
      <w:pPr>
        <w:pStyle w:val="Sansinterligne"/>
        <w:rPr>
          <w:rFonts w:ascii="Garamond" w:hAnsi="Garamond"/>
          <w:lang w:val="en-US"/>
        </w:rPr>
      </w:pPr>
      <w:r w:rsidRPr="00BA623D">
        <w:rPr>
          <w:rFonts w:ascii="Garamond" w:hAnsi="Garamond"/>
          <w:lang w:val="en-US"/>
        </w:rPr>
        <w:t>Beim Humor verwischt sich der hier in den Vordergrund gerückte Charakter. Wir verspüren zwar die humoristische Lust, wo eine Gefühlsregung vermieden wird, die wir als eine der Situation gewohnheitsmäßig zugeordnete erwartet hätten, und insofern fällt auch der Humor unter den erweiterten Begriff der Erwartungskomik. Aber es handelt sich beim Humor nicht mehr um zwei verschiedene Vorstellungsweisen desselben Inhalts; daß die Situation durch die zu vermeidende Gefühlserregung mit Unlustcharakter beherrscht wird, macht der Vergleichbarkeit mit dem Charakter beim Komischen und beim Witze ein Ende. Die humoristische Verschiebung ist eigentlich ein Fall jener andersartigen Verwendung eines frei gewordenen Aufwandes, der sich als so gefährlich für die komische Wirkung herausgestellt hat.</w:t>
      </w:r>
    </w:p>
    <w:p w:rsidR="00BA623D" w:rsidRPr="00BA623D" w:rsidRDefault="00BA623D" w:rsidP="00BA623D">
      <w:pPr>
        <w:pStyle w:val="Sansinterligne"/>
        <w:rPr>
          <w:rFonts w:ascii="Garamond" w:hAnsi="Garamond"/>
          <w:lang w:val="en-US"/>
        </w:rPr>
      </w:pPr>
      <w:r w:rsidRPr="00BA623D">
        <w:rPr>
          <w:rFonts w:ascii="Garamond" w:hAnsi="Garamond"/>
          <w:lang w:val="en-US"/>
        </w:rPr>
        <w:t>*</w:t>
      </w:r>
    </w:p>
    <w:p w:rsidR="00BA623D" w:rsidRPr="00BA623D" w:rsidRDefault="00BA623D" w:rsidP="00BA623D">
      <w:pPr>
        <w:pStyle w:val="Sansinterligne"/>
        <w:rPr>
          <w:rFonts w:ascii="Garamond" w:hAnsi="Garamond"/>
          <w:lang w:val="en-US"/>
        </w:rPr>
      </w:pPr>
      <w:r w:rsidRPr="00BA623D">
        <w:rPr>
          <w:rFonts w:ascii="Garamond" w:hAnsi="Garamond"/>
          <w:lang w:val="en-US"/>
        </w:rPr>
        <w:lastRenderedPageBreak/>
        <w:t xml:space="preserve">Wir stehen nun am Ende unserer Aufgabe, nachdem wir den Mechanismus der humoristischen Lust auf eine analoge Formel zurückgeführt haben wie für die komische Lust und den Witz. Die Lust des Witzes schien uns aus </w:t>
      </w:r>
      <w:r w:rsidRPr="00BA623D">
        <w:rPr>
          <w:rFonts w:ascii="Garamond" w:hAnsi="Garamond"/>
          <w:i/>
          <w:iCs/>
          <w:lang w:val="en-US"/>
        </w:rPr>
        <w:t>erspartem Hemmungsaufwand</w:t>
      </w:r>
      <w:r w:rsidRPr="00BA623D">
        <w:rPr>
          <w:rFonts w:ascii="Garamond" w:hAnsi="Garamond"/>
          <w:lang w:val="en-US"/>
        </w:rPr>
        <w:t xml:space="preserve"> hervorzugehen, die der Komik aus </w:t>
      </w:r>
      <w:r w:rsidRPr="00BA623D">
        <w:rPr>
          <w:rFonts w:ascii="Garamond" w:hAnsi="Garamond"/>
          <w:i/>
          <w:iCs/>
          <w:lang w:val="en-US"/>
        </w:rPr>
        <w:t>erspartem Vorstellungs</w:t>
      </w:r>
      <w:r w:rsidRPr="00BA623D">
        <w:rPr>
          <w:rFonts w:ascii="Garamond" w:hAnsi="Garamond"/>
          <w:lang w:val="en-US"/>
        </w:rPr>
        <w:t xml:space="preserve">(Besetzungs) </w:t>
      </w:r>
      <w:r w:rsidRPr="00BA623D">
        <w:rPr>
          <w:rFonts w:ascii="Garamond" w:hAnsi="Garamond"/>
          <w:i/>
          <w:iCs/>
          <w:lang w:val="en-US"/>
        </w:rPr>
        <w:t>aufwand</w:t>
      </w:r>
      <w:r w:rsidRPr="00BA623D">
        <w:rPr>
          <w:rFonts w:ascii="Garamond" w:hAnsi="Garamond"/>
          <w:lang w:val="en-US"/>
        </w:rPr>
        <w:t xml:space="preserve"> und die des Humors aus </w:t>
      </w:r>
      <w:r w:rsidRPr="00BA623D">
        <w:rPr>
          <w:rFonts w:ascii="Garamond" w:hAnsi="Garamond"/>
          <w:i/>
          <w:iCs/>
          <w:lang w:val="en-US"/>
        </w:rPr>
        <w:t>erspartem Gefühlsaufwand</w:t>
      </w:r>
      <w:r w:rsidRPr="00BA623D">
        <w:rPr>
          <w:rFonts w:ascii="Garamond" w:hAnsi="Garamond"/>
          <w:lang w:val="en-US"/>
        </w:rPr>
        <w:t>. In allen drei Arbeitsweisen unseres seelischen Apparats stammt die Lust von einer Ersparung; alle drei kommen darin überein, daß sie Methoden darstellen, um aus der seelischen Tätigkeit eine Lust wiederzugewinnen, welche eigentlich erst durch die Entwicklung dieser Tätigkeit verlorengegangen ist. Denn die Euphorie, welche wir auf diesen Wegen zu erreichen streben, ist nichts anderes als die Stimmung einer Lebenszeit, in welcher wir unsere psychische Arbeit überhaupt mit geringem Aufwand zu bestreiten pflegten, die Stimmung unserer Kindheit, in der wir das Komische nicht kannten, des Witzes nicht fähig waren und den Humor nicht brauchten, um uns im Leben glücklich zu fühlen.</w:t>
      </w:r>
    </w:p>
    <w:p w:rsidR="00BA623D" w:rsidRPr="006D5A96" w:rsidRDefault="00BA623D" w:rsidP="00BA623D">
      <w:pPr>
        <w:rPr>
          <w:rFonts w:ascii="Garamond" w:hAnsi="Garamond"/>
          <w:lang w:val="en-GB"/>
        </w:rPr>
      </w:pPr>
    </w:p>
    <w:p w:rsidR="000D4CB9" w:rsidRPr="00492F36" w:rsidRDefault="000D4CB9" w:rsidP="000D4CB9">
      <w:pPr>
        <w:shd w:val="clear" w:color="auto" w:fill="FFFFFF"/>
        <w:spacing w:before="120" w:after="120" w:line="124" w:lineRule="atLeast"/>
        <w:rPr>
          <w:rFonts w:ascii="Garamond" w:hAnsi="Garamond" w:cs="Arial"/>
          <w:color w:val="000000" w:themeColor="text1"/>
          <w:sz w:val="20"/>
          <w:szCs w:val="20"/>
          <w:lang w:val="en-GB"/>
        </w:rPr>
      </w:pPr>
    </w:p>
    <w:p w:rsidR="000D4CB9" w:rsidRPr="0089450B" w:rsidRDefault="000D4CB9" w:rsidP="000D4CB9">
      <w:pPr>
        <w:shd w:val="clear" w:color="auto" w:fill="FFFFFF"/>
        <w:spacing w:before="100" w:beforeAutospacing="1" w:after="100" w:afterAutospacing="1" w:line="124" w:lineRule="atLeast"/>
        <w:rPr>
          <w:rFonts w:ascii="Arial" w:hAnsi="Arial" w:cs="Arial"/>
          <w:color w:val="000000"/>
          <w:sz w:val="11"/>
          <w:szCs w:val="11"/>
          <w:lang w:val="en-GB"/>
        </w:rPr>
      </w:pPr>
    </w:p>
    <w:p w:rsidR="000D4CB9" w:rsidRPr="000D4CB9" w:rsidRDefault="000D4CB9" w:rsidP="000D4CB9">
      <w:pPr>
        <w:shd w:val="clear" w:color="auto" w:fill="FFFFFF"/>
        <w:spacing w:before="120" w:after="120" w:line="124" w:lineRule="atLeast"/>
        <w:rPr>
          <w:rFonts w:ascii="Arial" w:hAnsi="Arial" w:cs="Arial"/>
          <w:color w:val="000000"/>
          <w:sz w:val="11"/>
          <w:szCs w:val="11"/>
          <w:lang w:val="en-GB"/>
        </w:rPr>
      </w:pPr>
    </w:p>
    <w:p w:rsidR="000D4CB9" w:rsidRPr="000D4CB9" w:rsidRDefault="000D4CB9" w:rsidP="000D4CB9">
      <w:pPr>
        <w:rPr>
          <w:lang w:val="en-GB"/>
        </w:rPr>
      </w:pPr>
    </w:p>
    <w:p w:rsidR="00A06A59" w:rsidRPr="000D4CB9"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sz w:val="18"/>
          <w:szCs w:val="18"/>
          <w:lang w:val="en-GB"/>
        </w:rPr>
      </w:pPr>
    </w:p>
    <w:p w:rsidR="00DF4073" w:rsidRPr="00AD6ACB" w:rsidRDefault="00A06A59" w:rsidP="00DF4073">
      <w:pPr>
        <w:rPr>
          <w:bCs/>
          <w:lang w:val="en-US"/>
        </w:rPr>
      </w:pPr>
      <w:r w:rsidRPr="000D4CB9">
        <w:rPr>
          <w:rFonts w:ascii="Garamond" w:hAnsi="Garamond" w:cs="Arial"/>
          <w:color w:val="000000"/>
          <w:sz w:val="18"/>
          <w:szCs w:val="18"/>
          <w:lang w:val="en-GB"/>
        </w:rPr>
        <w:t> </w:t>
      </w:r>
    </w:p>
    <w:p w:rsidR="00CF585F" w:rsidRPr="005C1841" w:rsidRDefault="00CF585F">
      <w:pPr>
        <w:rPr>
          <w:rFonts w:ascii="Garamond" w:hAnsi="Garamond"/>
          <w:bCs/>
          <w:sz w:val="28"/>
          <w:szCs w:val="28"/>
          <w:lang w:val="en-US"/>
        </w:rPr>
      </w:pPr>
      <w:r w:rsidRPr="005C1841">
        <w:rPr>
          <w:rFonts w:ascii="Garamond" w:hAnsi="Garamond"/>
          <w:bCs/>
          <w:sz w:val="28"/>
          <w:szCs w:val="28"/>
          <w:lang w:val="en-US"/>
        </w:rPr>
        <w:br w:type="page"/>
      </w:r>
    </w:p>
    <w:p w:rsidR="00DF4073" w:rsidRPr="00822836" w:rsidRDefault="00DF4073" w:rsidP="00822836">
      <w:pPr>
        <w:rPr>
          <w:rFonts w:ascii="Garamond" w:hAnsi="Garamond"/>
          <w:bCs/>
          <w:sz w:val="28"/>
          <w:szCs w:val="28"/>
        </w:rPr>
      </w:pPr>
      <w:r w:rsidRPr="003E335C">
        <w:rPr>
          <w:rFonts w:ascii="Garamond" w:hAnsi="Garamond"/>
          <w:bCs/>
          <w:sz w:val="28"/>
          <w:szCs w:val="28"/>
        </w:rPr>
        <w:lastRenderedPageBreak/>
        <w:t>An</w:t>
      </w:r>
      <w:bookmarkStart w:id="112" w:name="F64"/>
      <w:bookmarkEnd w:id="112"/>
      <w:r w:rsidRPr="003E335C">
        <w:rPr>
          <w:rFonts w:ascii="Garamond" w:hAnsi="Garamond"/>
          <w:bCs/>
          <w:sz w:val="28"/>
          <w:szCs w:val="28"/>
        </w:rPr>
        <w:t>alyse der Phobie eines fünfjährigen Knaben</w:t>
      </w:r>
      <w:r>
        <w:rPr>
          <w:rFonts w:ascii="Garamond" w:hAnsi="Garamond"/>
          <w:bCs/>
          <w:sz w:val="28"/>
          <w:szCs w:val="28"/>
        </w:rPr>
        <w:t xml:space="preserve"> ( Hans )</w:t>
      </w:r>
      <w:r w:rsidRPr="003E335C">
        <w:rPr>
          <w:rFonts w:ascii="Garamond" w:hAnsi="Garamond"/>
          <w:bCs/>
          <w:sz w:val="28"/>
          <w:szCs w:val="28"/>
        </w:rPr>
        <w:t xml:space="preserve">  </w:t>
      </w:r>
      <w:r w:rsidRPr="00DF4073">
        <w:rPr>
          <w:rFonts w:ascii="Garamond" w:hAnsi="Garamond"/>
          <w:bCs/>
          <w:sz w:val="20"/>
          <w:szCs w:val="20"/>
        </w:rPr>
        <w:t>1909</w:t>
      </w:r>
      <w:r>
        <w:rPr>
          <w:rFonts w:ascii="Garamond" w:hAnsi="Garamond"/>
          <w:bCs/>
          <w:sz w:val="28"/>
          <w:szCs w:val="28"/>
        </w:rPr>
        <w:t xml:space="preserve">                   </w:t>
      </w:r>
      <w:hyperlink w:anchor="Werke" w:history="1">
        <w:r w:rsidRPr="00DF4073">
          <w:rPr>
            <w:rStyle w:val="Lienhypertexte"/>
            <w:rFonts w:ascii="Garamond" w:hAnsi="Garamond"/>
          </w:rPr>
          <w:t>Werke</w:t>
        </w:r>
      </w:hyperlink>
    </w:p>
    <w:p w:rsidR="00DF4073" w:rsidRDefault="00DF4073" w:rsidP="00DF4073">
      <w:pPr>
        <w:jc w:val="center"/>
        <w:rPr>
          <w:bCs/>
        </w:rPr>
      </w:pPr>
    </w:p>
    <w:p w:rsidR="00DF4073" w:rsidRDefault="00B437A1" w:rsidP="00DF4073">
      <w:pPr>
        <w:pStyle w:val="Sansinterligne"/>
        <w:rPr>
          <w:rFonts w:ascii="Garamond" w:hAnsi="Garamond"/>
          <w:lang w:val="en-US" w:eastAsia="fr-FR"/>
        </w:rPr>
      </w:pPr>
      <w:hyperlink w:anchor="Hansinhalt" w:history="1">
        <w:r w:rsidR="00DF4073" w:rsidRPr="00822836">
          <w:rPr>
            <w:rStyle w:val="Lienhypertexte"/>
            <w:rFonts w:ascii="Garamond" w:hAnsi="Garamond"/>
            <w:lang w:val="en-US"/>
          </w:rPr>
          <w:t>I. Ei</w:t>
        </w:r>
        <w:bookmarkStart w:id="113" w:name="H1"/>
        <w:bookmarkEnd w:id="113"/>
        <w:r w:rsidR="00DF4073" w:rsidRPr="00822836">
          <w:rPr>
            <w:rStyle w:val="Lienhypertexte"/>
            <w:rFonts w:ascii="Garamond" w:hAnsi="Garamond"/>
            <w:lang w:val="en-US"/>
          </w:rPr>
          <w:t>nleitung</w:t>
        </w:r>
      </w:hyperlink>
    </w:p>
    <w:p w:rsidR="00DF4073" w:rsidRPr="003E335C" w:rsidRDefault="00DF4073" w:rsidP="00DF4073">
      <w:pPr>
        <w:pStyle w:val="Sansinterligne"/>
        <w:rPr>
          <w:rFonts w:ascii="Garamond" w:hAnsi="Garamond"/>
          <w:lang w:val="en-US" w:eastAsia="fr-FR"/>
        </w:rPr>
      </w:pP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auf den folgenden Blättern darzustellende Kranken- und Heilungsgeschichte eines sehr jugendlichen Patienten entstammt, streng genommen, nicht meiner Beobachtung. Ich habe zwar den Plan der Behandlung im ganzen geleitet und auch ein einziges Mal in einem Gespräche mit dem Knaben persönlich eingegriffen; die Behandlung selbst hat aber der Vater des Kleinen durchgeführt, dem ich für die Überlassung seiner Notizen zum Zwecke der Veröffentlichung zu ernstem Danke verpflichtet bin. Das Verdienst des Vaters reicht aber weiter; ich meine, es wäre einer anderen Person überhaupt nicht gelungen, das Kind zu solchen Bekenntnissen zu bewegen; die Sachkenntnis, vermöge welcher der Vater die Äußerungen seines 5jährigen Sohnes zu deuten verstand, hätte sich nicht ersetzen lassen, die technischen Schwierigkeiten einer Psychoanalyse in so zartem Alter wären unüberwindbar geblieben. Nur die Vereinigung der väterlichen und der ärztlichen Autorität in einer Person, das Zusammentreffen des zärtlichen Interesses mit dem wissenschaftlichen bei derselben, haben es in diesem einen Falle ermöglicht, von der Methode eine Anwendung zu machen, zu welcher sie sonst ungeeignet gewesen wäre.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Der besondere Wert dieser Beobachtung ruht aber in Folgendem: Der Arzt, der einen erwachsenen Nervösen psychoanalytisch behandelt, gelangt durch seine Arbeit des schichtweisen Aufdeckens psychischer Bildungen schließlich zu gewissen Annahmen über die infantile Sexualität, in deren Komponenten er die Triebkräfte aller neurotischen Symptome des späteren Lebens gefunden zu haben glaubt. Ich habe diese Annahmen in meinen 1905 veröffentlichen </w:t>
      </w:r>
      <w:r w:rsidRPr="003E335C">
        <w:rPr>
          <w:rFonts w:ascii="Garamond" w:hAnsi="Garamond"/>
          <w:i/>
          <w:iCs/>
          <w:lang w:val="en-US" w:eastAsia="fr-FR"/>
        </w:rPr>
        <w:t>Drei Abhandlungen zur Sexualtheorie</w:t>
      </w:r>
      <w:r w:rsidRPr="003E335C">
        <w:rPr>
          <w:rFonts w:ascii="Garamond" w:hAnsi="Garamond"/>
          <w:lang w:val="en-US" w:eastAsia="fr-FR"/>
        </w:rPr>
        <w:t xml:space="preserve"> dargelegt; ich weiß, daß sie dem Fernerstehenden ebenso befremdend erscheinen wie dem Psychoanalytiker unabweisbar. Aber auch der Psychoanalytiker darf sich den Wunsch nach einem direkteren, auf kürzerem Wege gewonnenen Beweise jener fundamentalen Sätze eingestehen. Sollte es denn unmöglich sein, unmittelbar am Kinde in aller Lebensfrische jene sexuellen Regungen und Wunschbildungen zu erfahren, die wir beim Gealterten mit soviel Mühe aus ihren Verschüttungen ausgraben, von denen wir noch überdies behaupten, daß sie konstitutionelles Gemeingut aller Menschen sind und sich beim Neurotiker nur verstärkt oder verzerrt zeigen?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In solcher Absicht pflege ich meine Schüler und Freunde seit Jahren anzueifern, daß sie Beobachtungen über das zumeist geschickt übersehene oder absichtlich verleugnete Sexualleben der Kinder sammeln mögen. Unter dem Material, welches infolge dieser Aufforderung in meine Hände gelangte, nahmen die fortlaufenden Nachrichten über den kleinen Hans bald eine hervorragende Stelle ein. Seine Eltern, die beide zu meinen nächsten Anhängern gehörten, waren übereingekommen, ihr erstes Kind mit nicht mehr Zwang zu erziehen, als zur Erhaltung guter Sitte unbedingt erforderlich werden sollte, und da das Kind sich zu einem heiteren, gutartigen und aufgeweckten Buben entwickelte, nahm der Versuch, ihn ohne Einschüchterung aufwachsen und sich äußern zu lassen, seinen guten Fortgang. Ich gebe nun die Aufzeichnungen des Vaters über den kleinen Hans wieder, wie sie mir zugetragen wurden, und werde mich selbstverständlich jedes Versuches enthalten, Naivität und Aufrichtigkeit der Kinderstube durch konventionelle Entstellungen zu stören.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ersten Mitteilungen über Hans datieren aus der Zeit, da er noch nicht ganz drei Jahre alt war. Er äußerte damals durch verschiedene Reden und Fragen ein ganz besonders lebhaftes Interesse für den Teil seines Körpers, den er als »Wiwimacher« zu bezeichnen gewohnt war. So richtete er einmal an seine Mutter die Frage: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»Mama hast du auch einen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Mama: »Selbstverständlich. Weshalb?«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 nur gedacht.«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Im gleichen Alter kommt er einmal in einen Stall und sieht, wie eine Kuh gemolken wird. »Schau, aus dem Wiwimacher kommt Milch.«</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Schon diese ersten Beobachtungen machen die Erwartung rege, daß vieles, wenn nicht das meiste, was uns der kleine Hans zeigt, sich als typisch für die Sexualentwicklung des Kindes herausstellen wird. Ich habe einmal ausgeführt </w:t>
      </w:r>
      <w:hyperlink r:id="rId361" w:history="1">
        <w:r w:rsidRPr="003E335C">
          <w:rPr>
            <w:rFonts w:ascii="Garamond" w:hAnsi="Garamond"/>
            <w:color w:val="0000FF"/>
            <w:u w:val="single"/>
            <w:lang w:val="en-US" w:eastAsia="fr-FR"/>
          </w:rPr>
          <w:t xml:space="preserve">[Fußnote]›Bruchstück einer Hysterie-Analyse‹ (1905  </w:t>
        </w:r>
        <w:r w:rsidRPr="003E335C">
          <w:rPr>
            <w:rFonts w:ascii="Garamond" w:hAnsi="Garamond"/>
            <w:i/>
            <w:iCs/>
            <w:color w:val="0000FF"/>
            <w:u w:val="single"/>
            <w:lang w:val="en-US" w:eastAsia="fr-FR"/>
          </w:rPr>
          <w:t>e</w:t>
        </w:r>
        <w:r w:rsidRPr="003E335C">
          <w:rPr>
            <w:rFonts w:ascii="Garamond" w:hAnsi="Garamond"/>
            <w:color w:val="0000FF"/>
            <w:u w:val="single"/>
            <w:lang w:val="en-US" w:eastAsia="fr-FR"/>
          </w:rPr>
          <w:t>).</w:t>
        </w:r>
      </w:hyperlink>
      <w:r w:rsidRPr="003E335C">
        <w:rPr>
          <w:rFonts w:ascii="Garamond" w:hAnsi="Garamond"/>
          <w:lang w:val="en-US" w:eastAsia="fr-FR"/>
        </w:rPr>
        <w:t xml:space="preserve">, daß man nicht zu sehr entsetzt zu sein braucht, wenn man bei einem weiblichen Wesen die Vorstellung vom Saugen am männlichen Gliede findet. Diese anstößige Regung habe eine sehr harmlose Abkunft, da sie sich vom Saugen an der Mutterbrust ableitet, wobei das Euter der Kuh – seiner Natur nach eine Mamma, seiner Gestalt und Lage </w:t>
      </w:r>
      <w:r w:rsidRPr="003E335C">
        <w:rPr>
          <w:rFonts w:ascii="Garamond" w:hAnsi="Garamond"/>
          <w:lang w:val="en-US" w:eastAsia="fr-FR"/>
        </w:rPr>
        <w:lastRenderedPageBreak/>
        <w:t xml:space="preserve">nach ein Penis – eine passende Vermittlung übernimmt. </w:t>
      </w:r>
      <w:r w:rsidRPr="003E335C">
        <w:rPr>
          <w:rFonts w:ascii="Garamond" w:hAnsi="Garamond"/>
          <w:lang w:eastAsia="fr-FR"/>
        </w:rPr>
        <w:t>Die Entdeckung des kleinen Hans bestätigt den letzten Teil meiner Aufstellung.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Sein Interesse für den Wiwimacher ist indes kein bloß theoretisches; wie zu vermuten stand, reizt es ihn auch zu Berührungen des Gliedes. Im Alter von 3½ Jahren wird er von der Mutter, die Hand am Penis, betroffen. Diese droht :»Wenn du das machst, lass' ich den Dr. A. kommen, der schneidet dir den Wiwimacher ab. Womit wirst du dann Wiwi machen?«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»Mit dem Popo.«</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Er antwortet noch ohne Schuldbewußtsein, aber er erwirbt bei diesem Anlasse den »Kastrationskomplex«, den man in den Analysen der Neurotiker so oft erschließen muß, während sie sich sämtlich gegen die Anerkennung desselben heftig sträuben. Über die Bedeutung dieses Elements der Kindergeschichte wäre viel Wichtiges zu sagen. Der »Kastrationskomplex« hat im Mythus (und zwar nicht nur im griechischen) auffällige Spuren hinterlassen; ich habe seine Rolle in einer Stelle der </w:t>
      </w:r>
      <w:r w:rsidRPr="003E335C">
        <w:rPr>
          <w:rFonts w:ascii="Garamond" w:hAnsi="Garamond"/>
          <w:i/>
          <w:iCs/>
          <w:lang w:val="en-US" w:eastAsia="fr-FR"/>
        </w:rPr>
        <w:t>Traumdeutung</w:t>
      </w:r>
      <w:r w:rsidRPr="003E335C">
        <w:rPr>
          <w:rFonts w:ascii="Garamond" w:hAnsi="Garamond"/>
          <w:lang w:val="en-US" w:eastAsia="fr-FR"/>
        </w:rPr>
        <w:t xml:space="preserve"> (S. 385 der zweiten Auflage, 7. Aufl. S. 456) und noch anderwärts gestreift </w:t>
      </w:r>
      <w:hyperlink r:id="rId362" w:history="1">
        <w:r w:rsidRPr="003E335C">
          <w:rPr>
            <w:rFonts w:ascii="Garamond" w:hAnsi="Garamond"/>
            <w:color w:val="0000FF"/>
            <w:u w:val="single"/>
            <w:lang w:val="en-US" w:eastAsia="fr-FR"/>
          </w:rPr>
          <w:t>[Fußnote]Die Lehre vom Kastrationskomplex hat seither durch die Beiträge von Lou Andreas, A. Stärcke, F. Alexander u. a. einen weiteren Ausbau erfahren. Man hat geltend gemacht, daß der Säugling schon das jedesmalige Zurückziehen der Mutterbrust als Kastration, d. h. als Verlust eines bedeutsamen, zu seinem Besitz gerechneten Körperteils empfinden mußte, daß er die regelmäßige Abgabe des Stuhlgangs nicht anders werten kann, ja daß der Geburtsakt als Trennung von der Mutter, mit der man bis dahin eins war, das Urbild jeder Kastration ist. Unter Anerkennung all dieser Wurzeln des Komplexes habe ich doch die Forderung aufgestellt, daß der Name Kastrationskomplex auf die Erregungen und Wirkungen zu beschränken sei, die mit dem Verlust des Penis verknüpft sind. Wer sich in den Analysen Erwachsener von der Unausbleiblichkeit des Kastrationskomplexes überzeugt hat, wird es natürlich schwierig finden, ihn auf eine zufällige und doch nicht so allgemein vorkommende Androhung zurückzuführen, und wird annehmen müssen, daß das Kind sich diese Gefahr auf die leisesten Andeutungen hin, an denen es ja niemals fehlt, konstruiert. Dies ist ja auch das Motiv, das den Anstoß gegeben hat, nach den allgemein vorfindlichen tieferen Wurzeln des Komplexes zu suchen. Um so wertvoller wird es aber, daß im Falle des kleinen Hans die Kastrationsandrohung von den Eltern berichtet wird, und zwar aus einer Zeit, da seine Phobie noch nicht in Frage kam.</w:t>
        </w:r>
      </w:hyperlink>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Etwa im gleichen Alter (3½ Jahre) ruft er in Schönbrunn vor dem Löwenkäfige freudig erregt aus: »Ich hab' den Wiwimacher vom Löwen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Tiere verdanken ein gutes Stück der Bedeutung, die sie im Mythus und im Märchen haben, der Offenheit, mit der sie dem kleinen, wißbegierigen Menschenkinde ihre Genitalien und ihre sexuellen Funktionen zeigen. Die sexuelle Neugierde unseres Hans leidet wohl keinen Zweifel, aber sie macht ihn auch zum Forscher, gestattet ihm richtige begriffliche Erkenntnisse.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sieht auf dem Bahnhofe, 3¾ Jahre alt, wie aus einer Lokomotive Wasser ausgelassen wird. »Schau, die Lokomotive macht Wiwi. Wo hat sie denn den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Nach einer Weile setzt er nachdenklich hinzu: »Ein Hund und ein Pferd hat einen Wiwimacher; ein Tisch und ein Sessel nicht.« So hat er ein wesentliches Kennzeichen für die Unterscheidung des Lebenden vom Leblosen gewonnen.</w:t>
      </w:r>
    </w:p>
    <w:p w:rsidR="00DF4073" w:rsidRPr="003E335C" w:rsidRDefault="00DF4073" w:rsidP="00DF4073">
      <w:pPr>
        <w:pStyle w:val="Sansinterligne"/>
        <w:rPr>
          <w:rFonts w:ascii="Garamond" w:hAnsi="Garamond"/>
          <w:lang w:eastAsia="fr-FR"/>
        </w:rPr>
      </w:pPr>
      <w:r w:rsidRPr="003E335C">
        <w:rPr>
          <w:rFonts w:ascii="Garamond" w:hAnsi="Garamond"/>
          <w:lang w:eastAsia="fr-FR"/>
        </w:rPr>
        <w:t>Wißbegierde und sexuelle Neugierde scheinen untrennbar voneinander zu sein. Hans' Neugierde erstreckt sich ganz besonders auf die Eltern.</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3¾ Jahre: »Papa, hast du auch einen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Vater: »Ja, natürlich.«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»Aber ich hab' ihn nie gesehen, wenn du dich ausgezogen hast.«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Ein andermal sieht er gespannt zu, wie sich die Mama vor dem Schlafengehen entkleidet. Diese fragt: »Was schaust du denn so?«</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schau' nur, ob du auch einen Wiwimacher hast?«</w:t>
      </w:r>
    </w:p>
    <w:p w:rsidR="00DF4073" w:rsidRPr="003E335C" w:rsidRDefault="00DF4073" w:rsidP="00DF4073">
      <w:pPr>
        <w:pStyle w:val="Sansinterligne"/>
        <w:rPr>
          <w:rFonts w:ascii="Garamond" w:hAnsi="Garamond"/>
          <w:lang w:eastAsia="fr-FR"/>
        </w:rPr>
      </w:pPr>
      <w:r w:rsidRPr="003E335C">
        <w:rPr>
          <w:rFonts w:ascii="Garamond" w:hAnsi="Garamond"/>
          <w:lang w:eastAsia="fr-FR"/>
        </w:rPr>
        <w:t>Mama: »Natürlich. Hast du denn das nicht gewußt?«</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»Nein, ich hab' gedacht, weil du so groß bist, hast du einen Wiwimacher wie ein Pferd.«</w:t>
      </w:r>
    </w:p>
    <w:p w:rsidR="00DF4073" w:rsidRPr="003E335C" w:rsidRDefault="00DF4073" w:rsidP="00DF4073">
      <w:pPr>
        <w:pStyle w:val="Sansinterligne"/>
        <w:rPr>
          <w:rFonts w:ascii="Garamond" w:hAnsi="Garamond"/>
          <w:lang w:eastAsia="fr-FR"/>
        </w:rPr>
      </w:pPr>
      <w:r w:rsidRPr="003E335C">
        <w:rPr>
          <w:rFonts w:ascii="Garamond" w:hAnsi="Garamond"/>
          <w:lang w:eastAsia="fr-FR"/>
        </w:rPr>
        <w:t>Wir wollen uns diese Erwartung des kleinen Hans merken; sie wird später zu Bedeutung 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große Ereignis in Hansens Leben ist aber die Geburt seiner kleinen Schwester Hanna, als er genau 3½ Jahre alt war (April 1903 bis Oktober 1906). Sein Benehmen bei diesem Anlasse wurde vom Vater unmittelbar notiert: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Früh um 5 Uhr, mit dem Beginne der Wehen, wird Hans' Bett ins Nebenzimmer gebracht; hier erwacht er um 7 Uhr und hört das Stöhnen der Gebärenden, worauf er fragt: »Was hustet denn die Mama?« – Nach einer Pause: »Heut' kommt gewiß der Storch.«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Man hat ihm natürlich in den letzten Tagen oft gesagt, der Storch wird ein Mäderl oder Buberl bringen, und er verbindet das ungewohnte Stöhnen ganz richtig mit der Ankunft des Storches.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Später wird er in die Küche gebracht; im Vorzimmer sieht er die Tasche des Arztes und fragt: »Was ist das?«, worauf man ihm sagt: »Eine Tasche.« Er dann überzeugt: »Heut' kommt der Storch.« Nach der Entbindung kommt die Hebamme in die Küche und Hans hört, wie sie anordnet, man möge einen Tee kochen, worauf er sagt: »Aha, weil die Mammi hustet, bekommt sie einen Tee.« Er wird dann ins Zimmer gerufen, schaut aber nicht auf die Mama, sondern auf die Gefäße mit blutigem Wasser, die noch im Zimmer stehen, und bemerkt, auf die blutige Leibschüssel deutend, befremdet: »Aber aus meinem Wiwimacher kommt kein Blut.«</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Alle seine Aussprüche zeigen, daß er das Ungewöhnliche der Situation mit der Ankunft des Storches in Zusammenhang bringt. </w:t>
      </w:r>
      <w:r w:rsidRPr="003E335C">
        <w:rPr>
          <w:rFonts w:ascii="Garamond" w:hAnsi="Garamond"/>
          <w:lang w:val="en-US" w:eastAsia="fr-FR"/>
        </w:rPr>
        <w:t xml:space="preserve">Er macht zu allem, was er sieht, eine sehr mißtrauische, gespannte Miene, und </w:t>
      </w:r>
      <w:r w:rsidRPr="003E335C">
        <w:rPr>
          <w:rFonts w:ascii="Garamond" w:hAnsi="Garamond"/>
          <w:i/>
          <w:iCs/>
          <w:lang w:val="en-US" w:eastAsia="fr-FR"/>
        </w:rPr>
        <w:t>zweifellos hat sich das erste Mißtrauen gegen den Storch bei ihm festgesetzt</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ist auf den neuen Ankömmling sehr eifersüchtig und sagt, wenn irgendwer sie lobt, schön findet usw., sofort höhnisch: »Aber sie hat noch keine Zähne </w:t>
      </w:r>
      <w:hyperlink r:id="rId363" w:history="1">
        <w:r w:rsidRPr="003E335C">
          <w:rPr>
            <w:rFonts w:ascii="Garamond" w:hAnsi="Garamond"/>
            <w:color w:val="0000FF"/>
            <w:u w:val="single"/>
            <w:lang w:val="en-US" w:eastAsia="fr-FR"/>
          </w:rPr>
          <w:t>[Fußnote]Wiederum ein typisches Verhalten. Ein anderer, nur um zwei Jahre älterer Bruder pflegte unter den gleichen Verhältnissen ärgerlich mit dem Ausrufe »zu k(l)ein, zu k(l)ein« abzuwehren.</w:t>
        </w:r>
      </w:hyperlink>
      <w:r w:rsidRPr="003E335C">
        <w:rPr>
          <w:rFonts w:ascii="Garamond" w:hAnsi="Garamond"/>
          <w:lang w:val="en-US" w:eastAsia="fr-FR"/>
        </w:rPr>
        <w:t>.« Als er sie nämlich zum erstenmal sah, war er sehr überrascht, daß sie nicht sprechen kann, und meinte, sie könne nicht sprechen, weil sie keine Zähne habe. Er wird in den ersten Tagen selbstverständlich sehr zurückgesetzt und erkrankt plötzlich an Angina. Im Fieber hört man ihn sagen: »Aber ich will kein Schwesterl haben!«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Nach etwa einem halben Jahre ist die Eifersucht überwunden, und er wird ein ebenso zärtlicher wie seiner Überlegenheit bewußter Bruder </w:t>
      </w:r>
      <w:hyperlink r:id="rId364" w:history="1">
        <w:r w:rsidRPr="003E335C">
          <w:rPr>
            <w:rFonts w:ascii="Garamond" w:hAnsi="Garamond"/>
            <w:color w:val="0000FF"/>
            <w:u w:val="single"/>
            <w:lang w:val="en-US" w:eastAsia="fr-FR"/>
          </w:rPr>
          <w:t xml:space="preserve">[Fußnote]»Der Storch soll ihn wieder mitnehmen«, äußerte ein anderes, etwas älteres Kind zum Willkomm des Brüderchens. Vergleiche hiezu, was ich in der </w:t>
        </w:r>
        <w:r w:rsidRPr="003E335C">
          <w:rPr>
            <w:rFonts w:ascii="Garamond" w:hAnsi="Garamond"/>
            <w:i/>
            <w:iCs/>
            <w:color w:val="0000FF"/>
            <w:u w:val="single"/>
            <w:lang w:val="en-US" w:eastAsia="fr-FR"/>
          </w:rPr>
          <w:t>Traumdeutung</w:t>
        </w:r>
        <w:r w:rsidRPr="003E335C">
          <w:rPr>
            <w:rFonts w:ascii="Garamond" w:hAnsi="Garamond"/>
            <w:color w:val="0000FF"/>
            <w:u w:val="single"/>
            <w:lang w:val="en-US" w:eastAsia="fr-FR"/>
          </w:rPr>
          <w:t xml:space="preserve"> über die Träume vom Tode teuerer Verwandter bemerkt habe (S. 173 ff., 8. Aufl.).</w:t>
        </w:r>
      </w:hyperlink>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Ein wenig später sieht Hans zu, wie man seine einwöchentliche Schwester badet. Er bemerkt: »Aber ihr Wiwimacher ist noch klein«, und setzt wie tröstend hinzu: »Wenn sie wachst, wird er schon größer werden </w:t>
      </w:r>
      <w:hyperlink r:id="rId365" w:history="1">
        <w:r w:rsidRPr="003E335C">
          <w:rPr>
            <w:rFonts w:ascii="Garamond" w:hAnsi="Garamond"/>
            <w:color w:val="0000FF"/>
            <w:u w:val="single"/>
            <w:lang w:val="en-US" w:eastAsia="fr-FR"/>
          </w:rPr>
          <w:t>[Fußnote]Das nämliche Urteil, in den identischen Worten ausgedrückt und von der gleichen Erwartung gefolgt, wurde mir von zwei anderen Knaben berichtet, als sie den Leib eines kleinen Schwesterchens zuerst neugierig beschauen konnten. Man könnte über diese frühzeitige Verderbnis des kindlichen Intellekts erschrecken. Warum konstatieren diese jugendlichen Forscher nicht, was sie wirklich sehen, nämlich daß kein Wiwimacher vorhanden ist? Für unseren kleinen Hans können wir allerdings die volle Aufklärung seiner fehlerhaften Wahrnehmung geben. Wir wissen, er hat sich durch sorgfältige Induktion den allgemeinen Satz erworben, daß jedes belebte Wesen im Gegensatze zum Unbelebten einen Wiwimacher besitzt; die Mutter hat ihn in dieser Überzeugung bestärkt, indem sie ihm bejahende Auskünfte über solche Personen gab, die sich seiner eigenen Beobachtung entzogen. Er ist nun ganz und gar unfähig, seine Errungenschaft wegen der einen Beobachtung an der kleinen Schwester wieder aufzugeben. Er urteilt also, der Wiwimacher ist auch hier vorhanden, er ist nur noch sehr klein, aber er wird wachsen, bis er so groß geworden ist wie der eines Pferdes.</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Wir wollen zur Ehrenrettung unseres kleinen Hans ein Weiteres tun. Er benimmt sich eigentlich nicht schlechter als ein Philosoph der Wundtschen Schule. Für einen solchen ist das Bewußtsein der nie fehlende Charakter des Seelischen, wie für Hans der Wiwimacher das unentbehrliche Kennzeichen alles Lebenden. Stößt der Philosoph nun auf seelische Vorgänge, die man erschließen muß, an denen aber wirklich nichts von Bewußtsein wahrzunehmen ist – man weiß nämlich nichts von ihnen und kann doch nicht umhin, sie zu erschließen –, so sagt er nicht etwa, dies seien </w:t>
      </w:r>
      <w:r w:rsidRPr="003E335C">
        <w:rPr>
          <w:rFonts w:ascii="Garamond" w:hAnsi="Garamond"/>
          <w:i/>
          <w:iCs/>
          <w:lang w:val="en-US" w:eastAsia="fr-FR"/>
        </w:rPr>
        <w:t>un</w:t>
      </w:r>
      <w:r w:rsidRPr="003E335C">
        <w:rPr>
          <w:rFonts w:ascii="Garamond" w:hAnsi="Garamond"/>
          <w:lang w:val="en-US" w:eastAsia="fr-FR"/>
        </w:rPr>
        <w:t xml:space="preserve">bewußte seelische Vorgänge, sondern er heißt sie </w:t>
      </w:r>
      <w:r w:rsidRPr="003E335C">
        <w:rPr>
          <w:rFonts w:ascii="Garamond" w:hAnsi="Garamond"/>
          <w:i/>
          <w:iCs/>
          <w:lang w:val="en-US" w:eastAsia="fr-FR"/>
        </w:rPr>
        <w:t>dunkelbewußte</w:t>
      </w:r>
      <w:r w:rsidRPr="003E335C">
        <w:rPr>
          <w:rFonts w:ascii="Garamond" w:hAnsi="Garamond"/>
          <w:lang w:val="en-US" w:eastAsia="fr-FR"/>
        </w:rPr>
        <w:t xml:space="preserve">. Der Wiwimacher ist noch sehr klein! Und bei diesem Vergleiche ist der Vorteil noch auf seiten unseres kleinen Hans. Denn, wie so häufig bei den Sexualforschungen der Kinder, ist auch hier hinter dem Irrtume ein Stück richtiger Erkenntnis verborgen. Das kleine Mädchen besitzt allerdings auch einen kleinen Wiwimacher, den wir Klitoris heißen, wenn er auch nicht wächst, sondern verkümmert bleibt. (Vgl. meine kleine Arbeit ›Über infantile Sexualtheorien‹ (1908  </w:t>
      </w:r>
      <w:r w:rsidRPr="003E335C">
        <w:rPr>
          <w:rFonts w:ascii="Garamond" w:hAnsi="Garamond"/>
          <w:i/>
          <w:iCs/>
          <w:lang w:val="en-US" w:eastAsia="fr-FR"/>
        </w:rPr>
        <w:t>c</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Im gleichen Alter, zu 3¾ Jahren, liefert Hans die erste Erzählung eines Traumes. »Heute, wie ich geschlafen habe, habe ich geglaubt, ich bin in Gmunden mit der Mariedl.«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Mariedl ist die 13jährige Tochter des Hausherrn, die oft mit ihm gespielt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Wie nun der Vater den Traum der Mutter in seiner Gegenwart erzählt, bemerkt Hans richtigstellend: »Nicht mit der Mariedl, ganz allein mit der Mariedl.«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Hiezu ist zu bemerken: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Hans war im Sommer 1906 in Gmunden, wo er sich den Tag über mit den Hausherrnkindern herumtrieb. Als wir von Gmunden abreisten, glaubten wir, daß ihm der Abschied und die Übersiedlung in die Stadt schwerfallen würden. Dies war überraschenderweise nicht der Fall. Er freute sich offenbar über die Abwechslung und erzählte durch mehrere Wochen sehr wenig von Gmunden. Erst nach Ablauf von Wochen stiegen öfter lebhaft gefärbte Erinnerungen an die in Gmunden verbrachte Zeit in ihm auf. Seit etwa 4 Wochen verarbeitet er diese Erinnerungen zu Phantasien. Er phantasiert, daß er mit den Kindern Berta, Olga und Fritzl spielt, spricht mit ihnen, als ob sie gegenwärtig wären, und ist imstande, sich stundenlang so zu unterhalten. Jetzt, wo er eine Schwester bekommen hat und ihn offenbar das Problem des Kinderkriegens beschäftigt, nennt er Berta und Olga nur mehr »seine Kinder« und fügt einmal hinzu: »Auch meine Kinder, Berta und Olga, hat der Storch gebracht.« Der Traum, jetzt nach 6monatlicher Abwesenheit von Gmunden, ist offenbar als Ausdruck seiner Sehnsucht, nach Gmunden zu fahren, zu verstehen.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So weit der Vater; ich bemerke vorgreifend, daß Hans mit der letzten Äußerung über seine Kinder, die der Storch gebracht haben soll, einem in ihm steckenden Zweifel laut widerspricht. Der Vater hat zum Glück mancherlei notiert, was später zu ungeahntem Werte kommen sollte.</w:t>
      </w:r>
    </w:p>
    <w:p w:rsidR="00DF4073" w:rsidRPr="003E335C" w:rsidRDefault="00DF4073" w:rsidP="00DF4073">
      <w:pPr>
        <w:pStyle w:val="Sansinterligne"/>
        <w:rPr>
          <w:rFonts w:ascii="Garamond" w:hAnsi="Garamond"/>
          <w:lang w:val="en-US" w:eastAsia="fr-FR"/>
        </w:rPr>
      </w:pPr>
      <w:r w:rsidRPr="003E335C">
        <w:rPr>
          <w:rFonts w:ascii="Garamond" w:hAnsi="Garamond"/>
          <w:noProof/>
          <w:lang w:eastAsia="fr-FR"/>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095500" cy="2295525"/>
            <wp:effectExtent l="19050" t="0" r="0" b="0"/>
            <wp:wrapSquare wrapText="bothSides"/>
            <wp:docPr id="10" name="Image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pic:cNvPicPr>
                      <a:picLocks noChangeAspect="1" noChangeArrowheads="1"/>
                    </pic:cNvPicPr>
                  </pic:nvPicPr>
                  <pic:blipFill>
                    <a:blip r:embed="rId366" cstate="print"/>
                    <a:srcRect/>
                    <a:stretch>
                      <a:fillRect/>
                    </a:stretch>
                  </pic:blipFill>
                  <pic:spPr bwMode="auto">
                    <a:xfrm>
                      <a:off x="0" y="0"/>
                      <a:ext cx="2095500" cy="2295525"/>
                    </a:xfrm>
                    <a:prstGeom prst="rect">
                      <a:avLst/>
                    </a:prstGeom>
                    <a:noFill/>
                    <a:ln w="9525">
                      <a:noFill/>
                      <a:miter lim="800000"/>
                      <a:headEnd/>
                      <a:tailEnd/>
                    </a:ln>
                  </pic:spPr>
                </pic:pic>
              </a:graphicData>
            </a:graphic>
          </wp:anchor>
        </w:drawing>
      </w:r>
      <w:r w:rsidRPr="003E335C">
        <w:rPr>
          <w:rFonts w:ascii="Garamond" w:hAnsi="Garamond"/>
          <w:lang w:val="en-US" w:eastAsia="fr-FR"/>
        </w:rPr>
        <w:t>Ich zeichne Hans, der in letzter Zeit öfter in Schönbrunn war, eine Giraffe. Er sagt mir: »Zeichne doch auch den Wiwimacher.« Ich darauf: »Zeichne du ihn selbst dazu.« Hierauf fügt er an das Bild der Giraffe folgenden Strich (die Zeichnung liegt bei), den er zuerst kurz zieht und dem er dann ein Stück hinzufügt, indem er bemerkt: »Der Wiwimacher ist länger.«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gehe mit Hans an einem Pferde vorbei, das uriniert. Er sagt: »Das Pferd hat den Wiwimacher unten so wie 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sieht zu, wie man seine 3monatliche Schwester badet, und sagt bedauernd: »Sie hat einen ganz, ganz kleinen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erhält eine Puppe zum Spielen, die er auskleidet. Er schaut sie sorgfältig an und sagt: »Die hat aber einen ganz kleinen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Wir wissen bereits, daß es ihm mit dieser Formel möglich gemacht ist, seine Entdeckung (vgl. S. 16) aufrechtzuhalten.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Jeder Forscher ist in Gefahr, gelegentlich dem Irrtume zu verfallen. Ein Trost bleibt es, wenn er, wie unser Hans im nächsten Beispiele, nicht allein irrt, sondern sich zur Entschuldigung auf den Sprachgebrauch berufen kann. Er sieht nämlich in seinem Bilderbuche einen Affen und zeigt auf dessen aufwärts geringelten Schwanz: »Schau, Vatti, der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In seinem Interesse für den Wiwimacher hat er sich ein ganz besonderes Spiel ausgedacht.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Im Vorzimmer ist der Abort und eine dunkle Holzkammer. Seit einiger Zeit geht Hans in die Holzkammer und sagt: »Ich geh' in mein Klosett.« Einmal schaue ich hinein, um zu sehen, was er in der dunklen Kammer macht. Er exhibiert und sagt: »Ich mache Wiwi.« Das heißt also: er »spielt« Klosett. Der Spielcharakter erhellt nicht nur daraus, daß er das Wiwimachen bloß fingiert und nicht etwa wirklich ausführt, sondern auch daraus, daß er nicht ins Klosett geht, was eigentlich viel einfacher wäre, vielmehr die Holzkammer vorzieht, die er »sein Klosett« heißt.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Wir würden Hans unrecht tun, wenn wir nur die autoerotischen Züge seines Sexuallebens verfolgten. Sein Vater hat uns ausführliche Beobachtungen über seine Liebesbeziehungen zu anderen Kindern mitzuteilen, aus denen sich eine »Objektwahl« wie beim Erwachsenen ergibt. Freilich auch eine ganz bemerkenswerte Beweglichkeit und polygamische Veranlagung.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Im Winter (3¾ Jahre) nehme ich Hans auf den Eislaufplatz mit und mache ihn mit den beiden etwa 10 Jahre alten Töchterchen meines Kollegen N. bekannt. Hans setzt sich neben sie, die im Gefühle ihres reifen Alters ziemlich verächtlich auf den Knirps herabblicken, und schaut sie verehrungsvoll an, was ihnen keinen großen Eindruck macht. Hans spricht trotzdem von ihnen nur als »meine Mäderln«. »Wo sind denn meine Mäderln? Wann kommen denn meine Mäderln?« und quält mich zu Hause einige Wochen lang mit der Frage: »Wann geh' ich wieder auf den Eisplatz zu meinen Mäderln?«</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Ein 5jähriger Cousin von Hans ist bei dem nun 4jährigen zu Besuch. </w:t>
      </w:r>
      <w:r w:rsidRPr="003E335C">
        <w:rPr>
          <w:rFonts w:ascii="Garamond" w:hAnsi="Garamond"/>
          <w:lang w:val="en-US" w:eastAsia="fr-FR"/>
        </w:rPr>
        <w:t>Hans umarmt ihn fortwährend und sagt einmal bei einer solchen zärtlichen Umarmung: »Ich hab' dich aber lieb.«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Es ist dies der erste, aber nicht der letzte Zug von Homosexualität, dem wir bei Hans begegnen werden. Unser kleiner Hans scheint wirklich ein Ausbund aller Schlechtigkeiten zu sein!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 xml:space="preserve">Wir sind in eine neue Wohnung eingezogen. (Hans ist 4 Jahre alt.) Von der Küche führt die Tür auf einen Klopfbalkon, von wo aus man in eine vis-à-vis gelegene Hofwohnung sieht. Hier hat Hans ein etwa 7–8jähriges Mäderl entdeckt. Er setzt sich nun, um sie zu bewundern, auf die Stufe, die zum Klopfbalkon führt, und bleibt dort stundenlang sitzen. Speziell um 4 Uhr p. m., wenn das Mäderl aus der Schule kommt, ist er nicht im Zimmer zu halten und läßt sich nicht abbringen, seinen Beobachtungsposten zu beziehen. Einmal, als das Mäderl sich nicht zur gewohnten Stunde beim Fenster zeigt, wird Hans ganz unruhig und belästigt die Hausleute mit Fragen: »Wann kommt das Mäderl? Wo ist das Mäderl?« usw. Wenn sie dann erscheint, ist er ganz selig und wendet den Blick von der Wohnung gegenüber nicht mehr ab. Die Heftigkeit, mit der diese »Liebe per Distanz« </w:t>
      </w:r>
      <w:hyperlink r:id="rId367" w:history="1">
        <w:r w:rsidRPr="003E335C">
          <w:rPr>
            <w:rFonts w:ascii="Garamond" w:hAnsi="Garamond"/>
            <w:color w:val="0000FF"/>
            <w:u w:val="single"/>
            <w:lang w:val="en-US" w:eastAsia="fr-FR"/>
          </w:rPr>
          <w:t xml:space="preserve">[Fußnote]W. Busch: Und die Liebe per Distanz, </w:t>
        </w:r>
        <w:r w:rsidRPr="003E335C">
          <w:rPr>
            <w:rFonts w:ascii="Garamond" w:hAnsi="Garamond"/>
            <w:color w:val="0000FF"/>
            <w:u w:val="single"/>
            <w:lang w:val="en-US" w:eastAsia="fr-FR"/>
          </w:rPr>
          <w:br/>
          <w:t>                Kurzgesagt, mißfällt mir ganz.</w:t>
        </w:r>
      </w:hyperlink>
      <w:r w:rsidRPr="003E335C">
        <w:rPr>
          <w:rFonts w:ascii="Garamond" w:hAnsi="Garamond"/>
          <w:lang w:val="en-US" w:eastAsia="fr-FR"/>
        </w:rPr>
        <w:t xml:space="preserve"> auftrat, findet ihre Erklärung darin, daß Hans keinen Kameraden und keine Gespielin hat. Zur normalen Entwicklung des Kindes gehört offenbar reichlicher Verkehr mit anderen Kindern.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Dieser wird dann Hans zuteil, als wir kurz darauf (4½ </w:t>
      </w:r>
      <w:r w:rsidRPr="003E335C">
        <w:rPr>
          <w:rFonts w:ascii="Garamond" w:hAnsi="Garamond"/>
          <w:vertAlign w:val="superscript"/>
          <w:lang w:val="en-US" w:eastAsia="fr-FR"/>
        </w:rPr>
        <w:t> </w:t>
      </w:r>
      <w:r w:rsidRPr="003E335C">
        <w:rPr>
          <w:rFonts w:ascii="Garamond" w:hAnsi="Garamond"/>
          <w:lang w:val="en-US" w:eastAsia="fr-FR"/>
        </w:rPr>
        <w:t>Jahre) zum Sommeraufenthalte nach Gmunden übersiedeln. In unserem Hause sind seine Spielgefährten die Kinder des Hausherrn: Franzl (etwa 12 Jahre), Fritzl (8 Jahre), Olga (7 Jahre), Berta (5 Jahre) und überdies die Nachbarkinder: Anna (10 Jahre) und noch zwei Mäderl im Alter von 9 und 7 Jahren, deren Namen ich nicht mehr weiß. Sein Liebling ist Fritzl, den er oft umarmt und seiner Liebe versichert. Er wird einmal gefragt: »Welches von den Mäderln hast du denn am liebsten?« Er antwortet: »Den Fritzl.« Gleichzeitig ist er gegen die Mädchen sehr aggressiv, männlich, erobernd, umarmt sie und küßt sie ab, was sich namentlich Berta ganz gerne gefallen läßt. Als Berta eines Abends aus dem Zimmer kommt, umhalst er sie und sagt im zärtlichsten Tone: »Berta, du bist aber lieb«, was ihn übrigens nicht hindert, auch die anderen zu küssen und seiner Liebe zu versichern. Auch die etwa 14 Jahre alte Mariedl, ebenfalls eine Tochter des Hausherrn, die mit ihm spielt, hat er gerne und sagt eines Abends, als er zu Bette gebracht wird: »Die Mariedl soll bei mir schlafen.« Auf die Antwort: »Das geht nicht«, sagt er: »So soll sie bei der Mammi oder dem Vatti schlafen.« Man erwidert ihm: »Auch das geht nicht, die Mariedl muß bei ihren Eltern schlafen«, und nun entwickelt sich folgender Dialog: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»So geh' ich halt hinunter zur Mariedl schlafen.«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Mama: »Du willst wirklich von der Mammi weggehen, um unten zu schlafen?«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»No, früh komm' ich doch wieder herauf zum Kaffeetrinken und Aufdieseitegehen.«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Mama: »Wenn du wirklich von Vatti und Mammi gehen willst, so nimm dir deinen Rock und deine Hose und – adieu!«</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nimmt wirklich seine Kleider und geht zur Treppe, um zur Mariedl schlafen zu gehen, wird natürlich zurückgeholt.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(Hinter dem Wunsche: »Die Mariedl soll bei uns schlafen«, steckt natürlich der andere: Die Mariedl, mit der er so gerne beisammen ist, soll in unsere Hausgemeinschaft aufgenommen werden. Zweifellos sind aber dadurch, daß Vater und Mutter Hans, wenn auch nicht allzu häufig, in ihr Bett nahmen, bei diesem Beieinanderliegen erotische Gefühle in ihm erweckt worden, und der Wunsch, bei der Mariedl zu schlafen, hat auch seinen erotischen Sinn. Bei Vater oder Mutter im Bette liegen, ist für Hans wie für alle Kinder eine Quelle erotischer Regungen.)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Unser kleiner Hans hat sich bei der Herausforderung der Mutter benommen wie ein rechter Mann, trotz seiner homosexuellen Anwandlungen.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Auch in dem folgenden Falle sagte Hans zur Mammi: »Du, ich möcht einmal so gerne mit dem Mäderl schlafen.« Dieser Fall gibt uns reichlich Gelegenheit zur Unterhaltung, denn Hans benimmt sich hier wirklich wie ein Großer, der verliebt ist. In das Gasthaus, wo wir zu Mittag essen, kommt seit einigen Tagen ein etwa 8jähriges hübsches Mädchen, in das sich Hans natürlich sofort verliebt. Er dreht sich auf seinem Sessel fortwährend um, um nach ihr zu schielen, stellt sich, nachdem er gegessen hat, in ihrer Nähe auf, um mit ihr zu kokettieren, wird aber feuerrot, wenn man ihn dabei beobachtet. Wird sein Blick von dem Mäderl erwidert, so schaut er sofort verschämt auf die entgegengesetzte Seite. Sein Benehmen ist natürlich ein großes Gaudium für alle Gasthausgäste. Jeden Tag, wenn er ins Gasthaus geführt wird, fragt er: »Glaubst du, wird das Mäderl heute dort sein?« Wenn sie endlich kommt, wird er ganz rot wie ein Erwachsener im gleichen Falle. Einmal kommt er glückselig zu mir und flüstert mir ins Ohr: »Du, ich weiß schon, wo das Mäderl wohnt. Dort und dort habe ich gesehen, wie sie die Stiege hinaufgegangen ist.« Während er sich gegen die Mäderl im Hause aggressiv benimmt, ist er hier ein platonisch schmachtender Verehrer. Dies hängt vielleicht damit zusammen, daß die Mäderl im Hause Dorfkinder sind, diese aber eine kultivierte Dame. Daß er einmal sagt, er möchte mit ihr schlafen, ist schon erwähnt worden.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Da ich Hans nicht in der bisherigen seelischen Spannung lassen will, in die ihn seine Liebe zu dem Mäderl versetzt hat, habe ich seine Bekanntschaft mit ihr vermittelt und das Mäderl eingeladen, nachmittags zu ihm in den Garten zu kommen, wenn er seinen Nachmittagsschlaf absolviert hat. Hans ist durch die Erwartung, daß das Mäderl zu ihm kommen wird, so aufgeregt, daß er zum erstenmal am Nachmittage nicht schläft, sondern sich unruhig im Bette hin und her wälzt. Die Mama fragt ihn: »Warum schläfst du nicht? Denkst du vielleicht an das Mäderl?«, worauf er beglückt »ja« sagt. Er hat auch, als er aus dem Gasthofe nach Hause kam, allen Leuten im Hause erzählt: »Du, heute kommt mein Mäderl zu mir«, und die 14jährige Mariedl berichtet, daß er sie fortwährend gefragt hat: »Du, glaubst du, daß sie mit mir lieb sein wird? Glaubst du, daß sie mir einen Kuß geben wird, wenn ich sie küß?« u. dgl.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Nachmittags regnete es aber, und so unterblieb der Besuch, worauf sich Hans mit Berta und Olga tröstete.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Weitere Beobachtungen noch aus der Zeit des Sommeraufenthaltes lassen vermuten, daß sich bei dem Kleinen allerlei Neues vorbereitet.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4¼ Jahre. Heute früh wird Hans von seiner Mama wie täglich gebadet und nach dem Bade abgetrocknet und eingepudert. Wie die Mama bei seinem Penis, und zwar vorsichtig, um ihn nicht zu berühren, pudert, sagt Hans: »Warum gibst du denn nicht den Finger hin?«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Mama: »Weil das eine Schweinerei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»Was ist das? Eine Schweinerei? Warum denn?«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Mama: »Weil es unanständig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(lachend): »Aber lustig!« </w:t>
      </w:r>
      <w:hyperlink r:id="rId368" w:history="1">
        <w:r w:rsidRPr="003E335C">
          <w:rPr>
            <w:rFonts w:ascii="Garamond" w:hAnsi="Garamond"/>
            <w:color w:val="0000FF"/>
            <w:u w:val="single"/>
            <w:lang w:val="en-US" w:eastAsia="fr-FR"/>
          </w:rPr>
          <w:t>[Fußnote]Einen ähnlichen Verführungsversuch berichtete mir eine selbst neurotische Mutter, die an die infantile Masturbation nicht glauben wollte, von ihrem 3½ Jahre alten Töchterchen. Sie hatte der Kleinen Unterhöschen anfertigen lassen und probierte nun, ob sie nicht im Schritt zu eng seien, indem sie mit ihrer Hand an der Innenfläche des Oberschenkels nach aufwärts strich. Die Kleine schloß plötzlich die Beine über die Hand zusammen und bat: »Mama, laß die Hand doch da. Das tut so gut.«</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Ein etwa gleichzeitiger Traum unseres Hans kontrastiert recht auffällig mit der Dreistigkeit, die er gegen die Mutter gezeigt hat. Es ist der erste durch Entstellung unkenntliche Traum des Kindes. Dem Scharfsinne des Vaters ist es aber gelungen, ihm die Lösung abzugewinnen.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4¼ Jahre. </w:t>
      </w:r>
      <w:r w:rsidRPr="003E335C">
        <w:rPr>
          <w:rFonts w:ascii="Garamond" w:hAnsi="Garamond"/>
          <w:i/>
          <w:iCs/>
          <w:lang w:val="en-US" w:eastAsia="fr-FR"/>
        </w:rPr>
        <w:t>Traum</w:t>
      </w:r>
      <w:r w:rsidRPr="003E335C">
        <w:rPr>
          <w:rFonts w:ascii="Garamond" w:hAnsi="Garamond"/>
          <w:lang w:val="en-US" w:eastAsia="fr-FR"/>
        </w:rPr>
        <w:t xml:space="preserve">. Heute früh kommt Hans auf und erzählt: »Du, heute nachts habe ich gedacht: </w:t>
      </w:r>
      <w:r w:rsidRPr="003E335C">
        <w:rPr>
          <w:rFonts w:ascii="Garamond" w:hAnsi="Garamond"/>
          <w:i/>
          <w:iCs/>
          <w:lang w:val="en-US" w:eastAsia="fr-FR"/>
        </w:rPr>
        <w:t>Einer sagt: Wer will zu mir kommen? Dann sagt jemand: Ich. Dann muß er ihn Wiwi machen lassen.</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Weitere Fragen stellten klar, daß diesem Traume alles Visuelle fehlt, daß er dem reinen </w:t>
      </w:r>
      <w:r w:rsidRPr="003E335C">
        <w:rPr>
          <w:rFonts w:ascii="Garamond" w:hAnsi="Garamond"/>
          <w:i/>
          <w:iCs/>
          <w:lang w:val="en-US" w:eastAsia="fr-FR"/>
        </w:rPr>
        <w:t>type auditif</w:t>
      </w:r>
      <w:r w:rsidRPr="003E335C">
        <w:rPr>
          <w:rFonts w:ascii="Garamond" w:hAnsi="Garamond"/>
          <w:lang w:val="en-US" w:eastAsia="fr-FR"/>
        </w:rPr>
        <w:t xml:space="preserve"> angehört. Hans spielt seit einigen Tagen mit den Kindern des Hausherrn, darunter seine Freundinnen Olga (7 Jahre) und Berta (5 Jahre), Gesellschaftsspiele, auch Pfänderauslösen. (A.: Wem gehört das Pfand in meiner Hand? B.: Mir. Dann wird bestimmt, was B. zu tun hat.) Diesem Pfänderspiele ist der Traum nachgebildet, nur wünscht Hans, daß derjenige, der das Pfand gezogen hat, nicht zu den usuellen Küssen oder Ohrfeigen verurteilt werde, sondern zum Wiwimachen, oder genauer: jemand muß ihn Wiwi machen lassen.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lasse mir den Traum noch einmal erzählen; er erzählt ihn mit denselben Worten, nur setzt er anstatt: »dann sagt jemand« – »dann sagt sie«. Diese »sie« ist offenbar Berta oder Olga, mit denen er gespielt hat. Der Traum lautet also übersetzt: Ich spiele mit den Mäderln Pfänderauslösen. Ich frage: Wer will zu mir kommen? Sie (Berta oder Olga) antwortet: Ich. Dann muß sie mich Wiwi machen lassen. (Beim Urinieren behilflich sein, was Hans offenbar angenehm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Es ist klar, daß das Wiwimachenlassen, wobei dem Kinde die Hose geöffnet und der Penis herausgenommen wird, für Hans lustbetont ist. Auf Spaziergängen ist es ja zumeist der Vater, der dem Kinde diese Hilfe leistet, was Anlaß zur Fixierung homosexueller Neigung auf den Vater gibt.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Zwei Tage vorher hat er, wie berichtet, die Mama beim Waschen und Einpudern der Genitalgegend gefragt: »Warum gibst du nicht den Finger hin?« Gestern, als ich Hans auf die Seite gehen ließ, sagte er mir zum erstenmal, ich solle ihn hinters Haus führen, damit niemand zuschauen könne, und fügte hinzu: »Voriges Jahr, wie ich Wiwi gemacht habe, haben mir die Berta und die Olga zugesehen.« Ich meine, das heißt, voriges Jahr war ihm dieses Zuschauen der Mädchen angenehm, jetzt aber nicht mehr. Die Exhibitionslust unterliegt jetzt der Verdrängung. Daß der Wunsch, Berta und Olga mögen ihm beim Wiwimachen zuschauen (oder ihn Wiwi machen lassen), jetzt im Leben verdrängt wird, ist die Erklärung für dessen Auftreten im Traume, in dem er sich die hübsche Einkleidung durch das Pfänderspiel geschaffen hat. – Ich beobachtete seither wiederholt, daß er beim Wiwimachen nicht gesehen werden will.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bemerke hiezu nur, daß auch dieser Traum sich der Regel fügt, die ich in der </w:t>
      </w:r>
      <w:r w:rsidRPr="003E335C">
        <w:rPr>
          <w:rFonts w:ascii="Garamond" w:hAnsi="Garamond"/>
          <w:i/>
          <w:iCs/>
          <w:lang w:val="en-US" w:eastAsia="fr-FR"/>
        </w:rPr>
        <w:t>Traumdeutung</w:t>
      </w:r>
      <w:r w:rsidRPr="003E335C">
        <w:rPr>
          <w:rFonts w:ascii="Garamond" w:hAnsi="Garamond"/>
          <w:lang w:val="en-US" w:eastAsia="fr-FR"/>
        </w:rPr>
        <w:t xml:space="preserve"> (S. 283 f., 7. Aufl.) gegeben habe: Reden, die im Traume vorkommen, stammen von gehörten oder selbst gehaltenen Reden der nächstvorigen Tage ab.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Aus der Zeit bald nach der Rückkehr nach Wien hat der Vater noch eine Beobachtung fixiert: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(4½ Jahre) sieht wieder zu, wie seine kleine Schwester gebadet wird, und fängt an zu lachen. Man fragt ihn: »Warum lachst du?«</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lache über den Wiwimacher der Hanna.«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»Warum?«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»Weil der Wiwimacher so schön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Antwort ist natürlich eine falsche. Der Wiwimacher kam ihm eben komisch vor. Es ist übrigens das erstemal, daß er den Unterschied zwischen männlichem und weiblichem Genitale in solcher Weise anerkennt, anstatt ihn zu verleugnen.</w:t>
      </w:r>
    </w:p>
    <w:p w:rsidR="00822836" w:rsidRDefault="00822836">
      <w:pPr>
        <w:rPr>
          <w:rFonts w:ascii="Garamond" w:hAnsi="Garamond"/>
          <w:lang w:val="en-US" w:eastAsia="fr-FR"/>
        </w:rPr>
      </w:pPr>
      <w:r>
        <w:rPr>
          <w:rFonts w:ascii="Garamond" w:hAnsi="Garamond"/>
          <w:lang w:val="en-US" w:eastAsia="fr-FR"/>
        </w:rPr>
        <w:br w:type="page"/>
      </w:r>
    </w:p>
    <w:p w:rsidR="00DF4073" w:rsidRPr="00822836" w:rsidRDefault="00B437A1" w:rsidP="00DF4073">
      <w:pPr>
        <w:pStyle w:val="Sansinterligne"/>
        <w:rPr>
          <w:rFonts w:ascii="Garamond" w:hAnsi="Garamond"/>
          <w:b/>
          <w:lang w:val="en-US" w:eastAsia="fr-FR"/>
        </w:rPr>
      </w:pPr>
      <w:hyperlink w:anchor="Hansinhalt" w:history="1">
        <w:r w:rsidR="00DF4073" w:rsidRPr="00822836">
          <w:rPr>
            <w:rStyle w:val="Lienhypertexte"/>
            <w:rFonts w:ascii="Garamond" w:hAnsi="Garamond"/>
            <w:b/>
            <w:lang w:val="en-US" w:eastAsia="fr-FR"/>
          </w:rPr>
          <w:t>II. Kr</w:t>
        </w:r>
        <w:bookmarkStart w:id="114" w:name="H2"/>
        <w:bookmarkEnd w:id="114"/>
        <w:r w:rsidR="00DF4073" w:rsidRPr="00822836">
          <w:rPr>
            <w:rStyle w:val="Lienhypertexte"/>
            <w:rFonts w:ascii="Garamond" w:hAnsi="Garamond"/>
            <w:b/>
            <w:lang w:val="en-US" w:eastAsia="fr-FR"/>
          </w:rPr>
          <w:t>ankengeschichte und Analyse</w:t>
        </w:r>
      </w:hyperlink>
    </w:p>
    <w:p w:rsidR="00822836" w:rsidRDefault="00822836" w:rsidP="00DF4073">
      <w:pPr>
        <w:pStyle w:val="Sansinterligne"/>
        <w:rPr>
          <w:rFonts w:ascii="Garamond" w:hAnsi="Garamond"/>
          <w:lang w:val="en-US" w:eastAsia="fr-FR"/>
        </w:rPr>
      </w:pP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Geehrter Herr Professor! Ich sende Ihnen wieder ein Stückchen Hans, diesmal leider Beiträge zu einer Krankengeschichte. Wie Sie daraus lesen, hat sich bei ihm in den letzten Tagen eine nervöse Störung entwickelt, die mich und meine Frau sehr beunruhigt, weil wir kein Mittel zu ihrer Beseitigung finden konnten. Ich erbitte mir die Erlaubnis, Sie morgen . . . zu besuchen, habe Ihnen aber . . . das verfügbare Material schriftlich aufgezeichnet.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Sexuelle Übererregung durch Zärtlichkeit der Mutter hat wohl den Grund gelegt, aber den Erreger der Störung weiß ich nicht anzugeben. Die Furcht, </w:t>
      </w:r>
      <w:r w:rsidRPr="003E335C">
        <w:rPr>
          <w:rFonts w:ascii="Garamond" w:hAnsi="Garamond"/>
          <w:i/>
          <w:iCs/>
          <w:lang w:val="en-US" w:eastAsia="fr-FR"/>
        </w:rPr>
        <w:t>daß ihn auf der Gasse ein Pferd beißen werde</w:t>
      </w:r>
      <w:r w:rsidRPr="003E335C">
        <w:rPr>
          <w:rFonts w:ascii="Garamond" w:hAnsi="Garamond"/>
          <w:lang w:val="en-US" w:eastAsia="fr-FR"/>
        </w:rPr>
        <w:t>, scheint irgendwie damit zusammenzuhängen, daß er durch einen großen Penis geschreckt ist – den großen Penis des Pferdes hat er, wie Sie aus einer früheren Aufzeichnung wissen, schon zeitig bemerkt, und er hat damals den Schluß gezogen, daß die Mama, weil sie so groß ist, einen Wiwimacher haben müsse wie ein Pferd.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Brauchbares weiß ich damit nicht anzufangen. Hat er irgendwo einen Exhibitionisten gesehen? Oder knüpft das Ganze nur an die Mutter an? Es ist uns nicht angenehm, daß er schon jetzt anfängt, Rätsel aufzugeben. Abgesehen von der Furcht, auf die Gasse zu gehen, und der abendlichen Verstimmung ist er übrigens ganz der Alte, lustig, heiter.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Wir wollen uns weder die begreiflichen Sorgen noch die ersten Erklärungsversuche des Vaters zu eigen machen, sondern uns zunächst das mitgeteilte Material beschauen. Es ist gar nicht unsere Aufgabe, einen Krankheitsfall gleich zu »verstehen«, dies kann erst später gelingen, wenn wir uns genug Eindrücke von ihm geholt haben. Vorläufig lassen wir unser Urteil in Schwebe und nehmen alles zu Beobachtende mit gleicher Aufmerksamkeit hin.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ersten Mitteilungen aber, die aus den ersten Jännertagen dieses Jahres, 1908, stammen, lauten: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(4¾ Jahre) kommt morgens weinend auf und sagt der Mama auf die Frage, warum er weine: »Wie ich geschlafen hab', hab' ich gedacht, du bist fort und ich hab' keine Mammi zum Schmeicheln« (= liebkosen).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Also ein Angsttraum.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Etwas Ähnliches habe ich schon im Sommer in Gmunden bemerkt. Er wurde abends im Bette meist sehr weich gestimmt und machte einmal die Bemerkung (ungefähr): wenn ich aber keine Mammi hab', wenn du fortgehst, oder ähnlich; ich habe den Wortlaut nicht in Erinnerung. Wenn er in einer solchen elegischen Stimmung war, wurde er leider immer von der Mama ins Bett genommen.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Etwa am 5. Jänner kam er früh zur Mama ins Bett und sagte bei diesem Anlasse: »Weißt du, was Tante M. gesagt hat: ›Er hat aber ein liebes Pischl </w:t>
      </w:r>
      <w:hyperlink r:id="rId369" w:history="1">
        <w:r w:rsidRPr="003E335C">
          <w:rPr>
            <w:rFonts w:ascii="Garamond" w:hAnsi="Garamond"/>
            <w:color w:val="0000FF"/>
            <w:u w:val="single"/>
            <w:lang w:val="en-US" w:eastAsia="fr-FR"/>
          </w:rPr>
          <w:t>[Fußnote]Pischl = Genitale. Liebkosungen der Kindergenitalien in Worten oder auch Tätlichkeiten von Seiten zärtlicher Verwandter, mitunter auch der Eltern selbst, gehören zu den gewöhnlichsten Vorkommnissen, von denen die Psychoanalysen voll sind.</w:t>
        </w:r>
      </w:hyperlink>
      <w:r w:rsidRPr="003E335C">
        <w:rPr>
          <w:rFonts w:ascii="Garamond" w:hAnsi="Garamond"/>
          <w:lang w:val="en-US" w:eastAsia="fr-FR"/>
        </w:rPr>
        <w:t>.‹« (Tante M. hatte vor 4 Wochen bei uns gewohnt; sie sah einmal zu, wie meine Frau den Knaben badete, und sagte Obiges tatsächlich leise zu meiner Frau. Hans hat es gehört und suchte es zu verwerten.)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7. Jänner geht er mit dem Kindermädchen wie gewöhnlich in den Stadtpark, fängt auf der Straße an zu weinen und verlangt, daß man mit ihm nach Hause gehe, er wolle mit der Mammi »schmeicheln«. Zu Hause befragt, weshalb er nicht weiter gehen wollte und geweint hat, will er es nicht sagen. Bis zum Abend ist er heiter wie gewöhnlich; abends bekommt er sichtlich Angst, weint und ist von der Mama nicht fortzubringen; er will wieder schmeicheln. Dann wird er wieder heiter und schläft gut.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Am 8. Jänner will die Frau selbst mit ihm spazierengehen, um zu sehen, was mit ihm los ist, und zwar nach Schönbrunn, wohin er sehr gerne geht. Er fängt wieder an zu weinen, will nicht weggehen, fürchtet sich. Schließlich geht er doch, hat aber auf der Straße sichtlich Angst. Auf der Rückfahrt von Schönbrunn sagt er nach vielem Sträuben zur Mutter: </w:t>
      </w:r>
      <w:r w:rsidRPr="003E335C">
        <w:rPr>
          <w:rFonts w:ascii="Garamond" w:hAnsi="Garamond"/>
          <w:i/>
          <w:iCs/>
          <w:lang w:val="en-US" w:eastAsia="fr-FR"/>
        </w:rPr>
        <w:t>Ich hab' mich gefürchtet, daß mich ein Pferd beißen wird</w:t>
      </w:r>
      <w:r w:rsidRPr="003E335C">
        <w:rPr>
          <w:rFonts w:ascii="Garamond" w:hAnsi="Garamond"/>
          <w:lang w:val="en-US" w:eastAsia="fr-FR"/>
        </w:rPr>
        <w:t>. (Tatsächlich wurde er in Schönbrunn unruhig, als er ein Pferd sah.) Abends soll er wieder einen ähnlichen Anfall bekommen haben wie tags vorher, mit Verlangen zu schmeicheln. Man beruhigt ihn. Er sagt weinend: »Ich weiß, ich werde morgen wieder spazierengehen müssen«, und später: »Das Pferd wird ins Zimmer 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selben Tage fragt ihn die Mama: »Gibst du vielleicht die Hand zum Wiwimacher?« Darauf sagt er: »Ja jeden Abend, wenn ich im Bett bin.« Am nächsten Tage, 9. Jänner, wird er vor dem Nachmittagsschlaf gewarnt, die Hand zum Wiwimacher zu geben. Nach dem Aufwachen befragt, sagt er, er hat sie doch für kurze Zeit hingegeben.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Dies wäre also der Anfang der Angst wie der Phobie. Wir merken ja, daß wir guten Grund haben, die beiden voneinander zu sondern. Das Material erscheint uns übrigens zur Orientierung vollkommen ausreichend, und kein anderer Zeitpunkt ist dem Verständnisse so günstig wie ein solches, leider meist </w:t>
      </w:r>
      <w:r w:rsidRPr="003E335C">
        <w:rPr>
          <w:rFonts w:ascii="Garamond" w:hAnsi="Garamond"/>
          <w:lang w:val="en-US" w:eastAsia="fr-FR"/>
        </w:rPr>
        <w:lastRenderedPageBreak/>
        <w:t>vernachlässigtes oder verschwiegenes Anfangsstadium. Die Störung setzt mit ängstlich-zärtlichen Gedanken und dann mit einem Angsttraum ein. Inhalt des letzteren: Die Mutter zu verlieren, so daß er mit ihr nicht schmeicheln kann. Die Zärtlichkeit für die Mutter muß sich also enorm gesteigert haben. Dies das Grundphänomen des Zustandes. Erinnern wir uns noch zur Bestätigung der beiden Verführungsversuche, die er gegen die Mutter unternimmt, von denen der erste noch in den Sommer fällt, der zweite, knapp vor dem Ausbruche der Straßenangst, einfach eine Empfehlung seines Genitales enthält. Diese gesteigerte Zärtlichkeit für die Mutter ist es, die in Angst umschlägt, die, wie wir sagen, der Verdrängung unterliegt. Wir wissen noch nicht, woher der Anstoß zur Verdrängung stammt; vielleicht erfolgt sie bloß aus der für das Kind nicht zu bewältigenden Intensität der Regung, vielleicht wirken andere Mächte, die wir noch nicht erkennen, dabei mit. Wir werden es weiterhin erfahren. Diese, verdrängter erotischer Sehnsucht entsprechende, Angst ist zunächst wie jede Kinderangst objektlos, noch Angst und nicht Furcht. Das Kind kann nicht wissen, wovor es sich fürchtet, und wenn Hans auf dem ersten Spaziergange mit dem Mädchen nicht sagen will, wovor er sich fürchtet, so weiß er es eben noch nicht. Er sagt, was er weiß, daß ihm die Mama auf der Straße fehlt, mit der er schmeicheln kann, und daß er nicht von der Mama weg will. Er verrät da in aller Aufrichtigkeit den ersten Sinn seiner Abneigung gegen die Straße.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Auch seine, an zwei Abenden hintereinander vor dem Schlafengehen wiederholten, ängstlichen und noch deutlich zärtlich getönten Zustände beweisen, daß zu Beginn der Erkrankung eine Phobie vor der Straße oder dem Spaziergange oder gar vor den Pferden noch gar nicht vorhanden ist. Der abendliche Zustand würde dann unerklärlich; wer denkt vor dem Zubettgehen an Straße und Spaziergang? Hingegen ist es vollkommen durchsichtig, daß er abends so ängstlich wird, wenn ihn vor dem Zubettgehen die Libido, deren Objekt die Mutter ist, und deren Ziel etwa sein könnte, bei der Mutter zu schlafen, verstärkt überfällt. Er hat doch die Erfahrung gemacht, daß die Mutter sich durch solche Stimmungen </w:t>
      </w:r>
      <w:r w:rsidRPr="003E335C">
        <w:rPr>
          <w:rFonts w:ascii="Garamond" w:hAnsi="Garamond"/>
          <w:i/>
          <w:iCs/>
          <w:lang w:val="en-US" w:eastAsia="fr-FR"/>
        </w:rPr>
        <w:t>in Gmunden</w:t>
      </w:r>
      <w:r w:rsidRPr="003E335C">
        <w:rPr>
          <w:rFonts w:ascii="Garamond" w:hAnsi="Garamond"/>
          <w:lang w:val="en-US" w:eastAsia="fr-FR"/>
        </w:rPr>
        <w:t xml:space="preserve"> bewegen ließ, ihn in ihr Bett zu nehmen, und er möchte dasselbe hier in Wien erreichen. Nebenbei vergessen wir nicht daran, daß er in Gmunden zeitweise mit der Mutter allein war, da der Vater nicht die ganzen Ferien dort verbringen konnte; ferner daß sich dort seine Zärtlichkeit auf eine Reihe von Gespielen, Freunde, Freundinnen, verteilt hatte, die ihm hier abgingen, so daß die Libido wieder ungeteilt zur Mutter zurückkehren konnte.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Die Angst entspricht also verdrängter Sehnsucht, aber sie ist nicht dasselbe wie die Sehnsucht; die Verdrängung steht auch für etwas. Die Sehnsucht läßt sich voll in Befriedigung verwandeln, wenn man ihr das ersehnte Objekt zuführt; bei der Angst nützt diese Therapie nichts mehr, sie bleibt, auch wenn die Sehnsucht befriedigt sein könnte, sie ist nicht mehr voll in Libido zurückzuverwandeln; die Libido wird durch irgend etwas in der Verdrängung zurückgehalten </w:t>
      </w:r>
      <w:hyperlink r:id="rId370" w:history="1">
        <w:r w:rsidRPr="003E335C">
          <w:rPr>
            <w:rFonts w:ascii="Garamond" w:hAnsi="Garamond"/>
            <w:color w:val="0000FF"/>
            <w:u w:val="single"/>
            <w:lang w:val="en-US" w:eastAsia="fr-FR"/>
          </w:rPr>
          <w:t>[Fußnote]Ehrlich gesagt, wir heißen eben eine ängstlich-sehnsüchtige Empfindung von dem Momente an eine pathologische Angst, wenn sie nicht mehr durch die Zuführung des ersehnten Objektes aufzuheben ist.</w:t>
        </w:r>
      </w:hyperlink>
      <w:r w:rsidRPr="003E335C">
        <w:rPr>
          <w:rFonts w:ascii="Garamond" w:hAnsi="Garamond"/>
          <w:lang w:val="en-US" w:eastAsia="fr-FR"/>
        </w:rPr>
        <w:t>. Dies zeigt sich bei Hans auf dem nächsten Spaziergange, den die Mutter mit ihm macht. Er ist jetzt mit der Mutter und hat doch Angst, d. h. ungestillte Sehnsucht nach ihr. Freilich, die Angst ist geringer, er läßt sich ja doch zum Spaziergange bewegen, während er das Dienstmädchen zum Umkehren gezwungen hat; auch ist die Straße nicht der richtige Ort fürs »Schmeicheln«, oder was der kleine Verliebte sonst möchte. Aber die Angst hat die Probe bestanden und muß jetzt ein Objekt finden. Auf diesem Spaziergange äußert er zunächst die Furcht, daß ihn ein Pferd beißen werde. Woher das Material dieser Phobie stammt? Wahrscheinlich aus jenen noch unbekannten Komplexen, die zur Verdrängung beigetragen haben und die Libido zur Mutter im verdrängten Zustand erhalten. Das ist noch ein Rätsel des Falles, dessen weitere Entwicklung wir nun verfolgen müssen, um die Lösung zu finden. Gewisse Anhaltspunkte, die wahrscheinlich verläßlich sind, hat uns der Vater schon gegeben, daß er die Pferde wegen ihrer großen Wiwimacher immer mit Interesse beobachtet, daß er angenommen, die Mama müsse einen Wiwimacher haben wie ein Pferd u. dgl. So könnte man meinen, das Pferd sei nur ein Ersatz für die Mama. Aber was soll es heißen, daß Hans am Abend die Furcht äußert, das Pferd werde ins Zimmer kommen? Eine dumme Angstidee eines kleinen Kindes, wird man sagen. Aber die Neurose sagt nichts Dummes, so wenig wie der Traum. Wir schimpfen immer dann, wenn wir nichts verstehen. Das heißt, sich die Aufgabe leicht machen.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Vor dieser Versuchung müssen wir uns noch in einem andern Punkte hüten. Hans hat gestanden, daß er sich jede Nacht vor dem Einschlafen zu Lustzwecken mit seinem Penis beschäftigt. Nun, wird der Praktiker gerne sagen, nun ist alles klar. Das Kind masturbiert, daher also die Angst. Gemach! Daß das Kind sich masturbatorisch Lustgefühle erzeugt, erklärt uns seine Angst keineswegs, macht sie vielmehr erst recht rätselhaft. Angstzustände werden nicht durch Masturbation, überhaupt nicht durch Befriedigung hervorgerufen. Nebenbei dürfen wir annehmen, daß unser Hans, der jetzt 4¾ Jahre alt ist, sich dieses </w:t>
      </w:r>
      <w:r w:rsidRPr="003E335C">
        <w:rPr>
          <w:rFonts w:ascii="Garamond" w:hAnsi="Garamond"/>
          <w:lang w:val="en-US" w:eastAsia="fr-FR"/>
        </w:rPr>
        <w:lastRenderedPageBreak/>
        <w:t>Vergnügen gewiß schon seit einem Jahre (vgl. S. 15) allabendlich gönnt, und werden erfahren, daß er sich gerade jetzt im Abgewöhnungskampfe befindet, was zur Verdrängung und Angstbildung besser paßt.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Auch für die gute und gewiß sehr besorgte Mutter müssen wir Partei nehmen. Der Vater beschuldigt sie, nicht ohne einen Schein von Recht, daß sie durch übergroße Zärtlichkeit und allzu häufige Bereitwilligkeit, das Kind ins Bett zu nehmen, den Ausbruch der Neurose herbeigeführt; wir könnten ihr ebensowohl den Vorwurf machen, daß sie durch ihre energische Abweisung seiner Werbungen (»das ist eine Schweinerei«) den Eintritt der Verdrängung beschleunigt habe. Aber sie spielt eine Schicksalsrolle und hat einen schweren Stand.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verabrede mit dem Vater, daß er dem Knaben sagen solle, das mit den Pferden sei eine Dummheit, weiter nichts. Die Wahrheit sei, daß er die Mama so gern habe und von ihr ins Bett genommen werden wolle. Weil ihn der Wiwimacher der Pferde so sehr interessiert habe, darum fürchte er sich jetzt vor den Pferden. Er habe gemerkt, es sei unrecht, sich mit dem Wiwimacher, auch mit dem eigenen, so intensiv zu beschäftigen, und das sei eine ganz richtige Einsicht. Ferner schlug ich dem Vater vor, den Weg der sexuellen Aufklärung zu betreten. Da wir nach der Vorgeschichte des Kleinen annehmen durften, seine Libido hafte am Wunsche, den Wiwimacher der Mama zu sehen, so solle er ihm dieses Ziel durch die Mitteilung entziehen, daß die Mama und alle anderen weiblichen Wesen, wie er ja von der Hanna wissen könne – einen Wiwimacher überhaupt nicht besitzen. Letztere Aufklärung sei bei passender Gelegenheit im Anschlusse an irgendeine Frage oder Äußerung von Hans zu erteilen.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nächsten Nachrichten über unsern Hans umfassen die Zeit vom 1. bis zum 17. März. Die monatlange Pause wird bald ihre Erklärung finden.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Der Aufklärung </w:t>
      </w:r>
      <w:hyperlink r:id="rId371" w:history="1">
        <w:r w:rsidRPr="003E335C">
          <w:rPr>
            <w:rFonts w:ascii="Garamond" w:hAnsi="Garamond"/>
            <w:color w:val="0000FF"/>
            <w:u w:val="single"/>
            <w:lang w:val="en-US" w:eastAsia="fr-FR"/>
          </w:rPr>
          <w:t>[Fußnote]Was seine Angst bedeute; noch nichts über den Wiwimacher der Frauen.</w:t>
        </w:r>
      </w:hyperlink>
      <w:r w:rsidRPr="003E335C">
        <w:rPr>
          <w:rFonts w:ascii="Garamond" w:hAnsi="Garamond"/>
          <w:lang w:val="en-US" w:eastAsia="fr-FR"/>
        </w:rPr>
        <w:t xml:space="preserve"> folgt eine ruhigere Zeit, in der Hans ohne besondere Schwierigkeit zu bewegen ist, täglich in den Stadtpark spazierenzugehen. Seine Furcht vor Pferden verwandelt sich mehr und mehr in den Zwang, auf Pferde hinzusehen. Er sagt: »Ich muß auf die Pferde sehen und dann fürchte ich mich.«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Nach einer Influenza, die ihn für zwei Wochen ans Bett fesselt, verstärkt sich die Phobie wieder so sehr, daß er nicht zu bewegen ist, auszugehen; höchstens geht er auf den Balkon. Sonntags fährt er jede Woche mit mir nach Lainz </w:t>
      </w:r>
      <w:hyperlink r:id="rId372" w:history="1">
        <w:r w:rsidRPr="003E335C">
          <w:rPr>
            <w:rFonts w:ascii="Garamond" w:hAnsi="Garamond"/>
            <w:color w:val="0000FF"/>
            <w:u w:val="single"/>
            <w:lang w:val="en-US" w:eastAsia="fr-FR"/>
          </w:rPr>
          <w:t>[Fußnote]Vorort von Wien, wo die Großeltern wohnen.</w:t>
        </w:r>
      </w:hyperlink>
      <w:r w:rsidRPr="003E335C">
        <w:rPr>
          <w:rFonts w:ascii="Garamond" w:hAnsi="Garamond"/>
          <w:lang w:val="en-US" w:eastAsia="fr-FR"/>
        </w:rPr>
        <w:t>, weil an diesem Tage wenig Wagen auf der Straße zu sehen sind und er zur Bahnstation nur einen kurzen Weg hat. In Lainz weigert er sich einmal, aus dem Garten heraus spazierenzugehen, weil ein Wagen vor dem Garten steht. Nach einer weiteren Woche, die er zu Hause bleiben muß, weil ihm die Mandeln geschnitten wurden, verstärkt sich die Phobie wieder sehr. Er geht zwar auf den Balkon, aber nicht spazieren, d. h. er kehrt, wenn er zum Haustor kommt, rasch wieder 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Sonntag, den 1. März entwickelt sich auf dem Wege zum Bahnhofe folgendes Gespräch: Ich suche ihm wieder zu erklären, daß Pferde nicht beißen. Er: »Aber weiße Pferde beißen; in Gmunden ist ein weißes Pferd, das beißt. Wenn man die Finger hinhält, beißt es.« (Es fällt mir auf, daß er sagt: die Finger anstatt: die Hand.) Er erzählt dann folgende Geschichte, die ich hier zusammenhängend wiedergebe: »Wie die Lizzi hat wegfahren müssen, ist ein Wagen mit einem weißen Pferde vor ihrem Hause gestanden, das das Gepäck auf die Bahn bringen sollte. (Lizzi ist, wie er mir erzählt, ein Mäderl, das in einem Nachbarhause wohnte.) Ihr Vater ist nahe beim Pferde gestanden und das Pferd hat den Kopf hingewendet (um ihn zu berühren), und er hat zur Lizzi gesagt: </w:t>
      </w:r>
      <w:r w:rsidRPr="003E335C">
        <w:rPr>
          <w:rFonts w:ascii="Garamond" w:hAnsi="Garamond"/>
          <w:i/>
          <w:iCs/>
          <w:lang w:val="en-US" w:eastAsia="fr-FR"/>
        </w:rPr>
        <w:t>Gib nicht die Finger zum weißen Pferd, sonst beißt es dich.</w:t>
      </w:r>
      <w:r w:rsidRPr="003E335C">
        <w:rPr>
          <w:rFonts w:ascii="Garamond" w:hAnsi="Garamond"/>
          <w:lang w:val="en-US" w:eastAsia="fr-FR"/>
        </w:rPr>
        <w:t>« Ich sage darauf: »Du, mir scheint, das ist kein Pferd, was du meinst, sondern ein Wiwimacher, zu dem man nicht die Hand geben soll.«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»Aber ein Wiwimacher beißt doch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»Vielleicht doch«, worauf er mir lebhaft beweisen will, daß es wirklich ein weißes Pferd war </w:t>
      </w:r>
      <w:hyperlink r:id="rId373" w:history="1">
        <w:r w:rsidRPr="003E335C">
          <w:rPr>
            <w:rFonts w:ascii="Garamond" w:hAnsi="Garamond"/>
            <w:color w:val="0000FF"/>
            <w:u w:val="single"/>
            <w:lang w:val="en-US" w:eastAsia="fr-FR"/>
          </w:rPr>
          <w:t xml:space="preserve">[Fußnote]Der Vater hat keinen Grund zu bezweifeln, daß Hans hier eine wirkliche Begebenheit erzählt hat. – Die Juckempfindungen an der Eichel, welche die Kinder zur Berührung veranlassen, werden übrigens in der Regel so beschrieben: Es </w:t>
        </w:r>
        <w:r w:rsidRPr="003E335C">
          <w:rPr>
            <w:rFonts w:ascii="Garamond" w:hAnsi="Garamond"/>
            <w:i/>
            <w:iCs/>
            <w:color w:val="0000FF"/>
            <w:u w:val="single"/>
            <w:lang w:val="en-US" w:eastAsia="fr-FR"/>
          </w:rPr>
          <w:t>beißt</w:t>
        </w:r>
        <w:r w:rsidRPr="003E335C">
          <w:rPr>
            <w:rFonts w:ascii="Garamond" w:hAnsi="Garamond"/>
            <w:color w:val="0000FF"/>
            <w:u w:val="single"/>
            <w:lang w:val="en-US" w:eastAsia="fr-FR"/>
          </w:rPr>
          <w:t xml:space="preserve"> mich.</w:t>
        </w:r>
      </w:hyperlink>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2. März sage ich ihm, wie er sich wieder fürchtet: »Weißt du was? Die Dummheit« – so nennt er seine Phobie – »wird schwächer werden, wenn du öfter spazierengehst. Jetzt ist sie so stark, weil du nicht aus dem Hause herausgekommen bist, weil du krank warst.«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»O nein, sie ist so stark, weil ich immer wieder die Hand zum Wiwimacher gebe jede Nacht.«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Arzt und Patient, Vater und Sohn, treffen sich also darin, der Onanieangewöhnung die Hauptrolle in der Pathogenese des gegenwärtigen Zustandes zuzuschieben. Es fehlt aber auch nicht an Anzeichen für die Bedeutung anderer Momente.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Am 3. März ist bei uns ein neues Mädchen eingetreten, das sein besonderes Wohlgefallen erregt. Da sie ihn beim Zimmerreinigen aufsitzen läßt, nennt er sie nur »mein Pferd« und hält sie immer am Rock, »Hüoh« rufend. Am 10. März etwa sagt er zu diesem Kindermädchen: »Wenn Sie das oder das tun, müssen Sie sich ganz ausziehen, auch das Hemd.« (Er meint, zur Strafe, aber es ist leicht, dahinter den Wunsch zu erkennen.)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Sie: »No, was ist da dran? So werd' ich mir denken, ich hab' kein Geld auf Kleider.«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»Aber das ist doch eine Schande, da sieht man doch den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alte Neugierde, auf ein neues Objekt geworfen, und wie es den Zeiten der Verdrängung zukommt, mit einer moralisierenden Tendenz verdeckt!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13. März früh sage ich zu Hans: »Weißt du, wenn du nicht mehr die Hand zum Wiwimacher gibst, wird die Dummheit schon schwächer werden.«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»Aber ich geb' die Hand nicht mehr zum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»Aber du möchtest sie immer gern geben.«</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Hans: »Ja, das schon, aber ›möchten‹ ist nicht ›tun‹, und ›tun‹ ist nicht ›möchten‹.« </w:t>
      </w:r>
      <w:r w:rsidRPr="003E335C">
        <w:rPr>
          <w:rFonts w:ascii="Garamond" w:hAnsi="Garamond"/>
          <w:lang w:eastAsia="fr-FR"/>
        </w:rPr>
        <w:t>(!!)</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»Damit du aber nicht möchtest, bekommst du heute einen Sack zum Schlafen.«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Darauf gehen wir vors Haus. Er fürchtet sich zwar, sagt aber, durch die Aussicht auf die Erleichterung des Kampfes sichtlich gehoben: »No morgen, wenn ich den Sack haben werde, wird die Dummheit weg sein.« Er fürchtet sich tatsächlich vor Pferden </w:t>
      </w:r>
      <w:r w:rsidRPr="003E335C">
        <w:rPr>
          <w:rFonts w:ascii="Garamond" w:hAnsi="Garamond"/>
          <w:i/>
          <w:iCs/>
          <w:lang w:val="en-US" w:eastAsia="fr-FR"/>
        </w:rPr>
        <w:t>viel</w:t>
      </w:r>
      <w:r w:rsidRPr="003E335C">
        <w:rPr>
          <w:rFonts w:ascii="Garamond" w:hAnsi="Garamond"/>
          <w:lang w:val="en-US" w:eastAsia="fr-FR"/>
        </w:rPr>
        <w:t xml:space="preserve"> weniger und läßt Wagen ziemlich ruhig vorüberfahren.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nächsten Sonntag, 15. März, hatte Hans versprochen, mit mir nach Lainz zu fahren. Er sträubt sich erst, endlich geht er doch mit mir. Auf der Gasse fühlt er sich, da wenige Wagen fahren, sichtlich wohl und sagte: »Das ist gescheit, daß der liebe Gott das Pferd schon ausgelassen hat.« Auf dem Wege erkläre ich ihm, daß seine Schwester keinen Wiwimacher hat wie er. Mäderl und Frauen haben keinen Wiwimacher. Die Mammi hat keinen, die Anna nicht usw.</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»Hast du einen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»Natürlich, was hast du denn geglaubt?«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(Nach einer Pause) »Wie machen aber Mäderl Wiwi, wenn sie keinen Wiwimacher haben?«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»Sie haben keinen solchen Wiwimacher wie du. Hast du noch nicht gesehen, wenn die Hanna gebadet worden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Den ganzen Tag über ist er sehr lustig, fährt Schlitten usw. Erst gegen Abend wird er wieder verstimmt und scheint sich vor Pferden zu fürchten.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Abends ist der nervöse Anfall und das Bedürfnis nach Schmeicheln schwächer als an früheren Tagen. Am nächsten Tage wird er von der Mama in die Stadt mitgenommen, hat auf der Gasse große Furcht. Tags darauf bleibt er zu Hause und ist sehr lustig. Am nächsten Morgen kommt er gegen 6 Uhr ängstlich auf. Auf die Frage, was er habe, erzählt er: »Ich habe den Finger ganz wenig zum Wiwimacher gegeben. Da hab' ich die Mammi ganz nackt im Hemde gesehen und sie hat den Wiwimacher sehen lassen. Ich hab' der Grete </w:t>
      </w:r>
      <w:hyperlink r:id="rId374" w:history="1">
        <w:r w:rsidRPr="003E335C">
          <w:rPr>
            <w:rFonts w:ascii="Garamond" w:hAnsi="Garamond"/>
            <w:color w:val="0000FF"/>
            <w:u w:val="single"/>
            <w:lang w:val="en-US" w:eastAsia="fr-FR"/>
          </w:rPr>
          <w:t>[Fußnote]Grete ist eines der Gmundner Mäderl, von der Hans gerade jetzt phantasiert; er spricht und spielt mit ihr. [Anmerkung des Vaters.]</w:t>
        </w:r>
      </w:hyperlink>
      <w:r w:rsidRPr="003E335C">
        <w:rPr>
          <w:rFonts w:ascii="Garamond" w:hAnsi="Garamond"/>
          <w:lang w:val="en-US" w:eastAsia="fr-FR"/>
        </w:rPr>
        <w:t xml:space="preserve">, meiner Grete, gezeigt, was die Mama macht, und hab' ihr meinen Wiwimacher gezeigt. Dann hab' ich die Hand schnell vom Wiwimacher weggegeben.« Auf meinen Einwand, es kann nur heißen: im Hemd </w:t>
      </w:r>
      <w:r w:rsidRPr="003E335C">
        <w:rPr>
          <w:rFonts w:ascii="Garamond" w:hAnsi="Garamond"/>
          <w:i/>
          <w:iCs/>
          <w:lang w:val="en-US" w:eastAsia="fr-FR"/>
        </w:rPr>
        <w:t>oder</w:t>
      </w:r>
      <w:r w:rsidRPr="003E335C">
        <w:rPr>
          <w:rFonts w:ascii="Garamond" w:hAnsi="Garamond"/>
          <w:lang w:val="en-US" w:eastAsia="fr-FR"/>
        </w:rPr>
        <w:t xml:space="preserve"> ganz nackt, sagt Hans: »Sie war im Hemd, aber das Hemd war so kurz, daß ich den Wiwimacher gesehen hab'.«</w:t>
      </w:r>
    </w:p>
    <w:p w:rsidR="00DF4073" w:rsidRPr="003E335C" w:rsidRDefault="00DF4073" w:rsidP="00DF4073">
      <w:pPr>
        <w:pStyle w:val="Sansinterligne"/>
        <w:rPr>
          <w:rFonts w:ascii="Garamond" w:hAnsi="Garamond"/>
          <w:lang w:eastAsia="fr-FR"/>
        </w:rPr>
      </w:pPr>
      <w:r w:rsidRPr="003E335C">
        <w:rPr>
          <w:rFonts w:ascii="Garamond" w:hAnsi="Garamond"/>
          <w:lang w:eastAsia="fr-FR"/>
        </w:rPr>
        <w:t>Das ganze ist kein Traum, sondern eine, übrigens einem Traume äquivalente Onanierphantasie. Was er die Mama tun läßt, dient offenbar zu seiner Rechtfertigung: »Wenn die Mammi den Wiwimacher zeigt, darf ich es auch.«</w:t>
      </w:r>
    </w:p>
    <w:p w:rsidR="00DF4073" w:rsidRPr="003E335C" w:rsidRDefault="00DF4073" w:rsidP="00DF4073">
      <w:pPr>
        <w:pStyle w:val="Sansinterligne"/>
        <w:rPr>
          <w:rFonts w:ascii="Garamond" w:hAnsi="Garamond"/>
          <w:lang w:eastAsia="fr-FR"/>
        </w:rPr>
      </w:pPr>
      <w:r w:rsidRPr="003E335C">
        <w:rPr>
          <w:rFonts w:ascii="Garamond" w:hAnsi="Garamond"/>
          <w:lang w:eastAsia="fr-FR"/>
        </w:rPr>
        <w:t xml:space="preserve">Wir können aus dieser Phantasie zweierlei ersehen, erstens, daß der Verweis der Mutter seinerzeit eine starke Wirkung auf ihn geübt hat, zweitens, daß die Aufklärung, Frauen hätten keinen Wiwimacher, von ihm zunächst nicht akzeptiert wird. </w:t>
      </w:r>
      <w:r w:rsidRPr="003E335C">
        <w:rPr>
          <w:rFonts w:ascii="Garamond" w:hAnsi="Garamond"/>
          <w:lang w:val="en-US" w:eastAsia="fr-FR"/>
        </w:rPr>
        <w:t xml:space="preserve">Er bedauert es, daß es so sein soll, und hält in der Phantasie an ihm fest. </w:t>
      </w:r>
      <w:r w:rsidRPr="003E335C">
        <w:rPr>
          <w:rFonts w:ascii="Garamond" w:hAnsi="Garamond"/>
          <w:lang w:eastAsia="fr-FR"/>
        </w:rPr>
        <w:t>Vielleicht hat er auch seine Gründe, dem Vater fürs erste den Glauben zu versagen.</w:t>
      </w:r>
    </w:p>
    <w:p w:rsidR="00DF4073" w:rsidRPr="003E335C" w:rsidRDefault="00DF4073" w:rsidP="00DF4073">
      <w:pPr>
        <w:pStyle w:val="Sansinterligne"/>
        <w:rPr>
          <w:rFonts w:ascii="Garamond" w:hAnsi="Garamond"/>
          <w:lang w:eastAsia="fr-FR"/>
        </w:rPr>
      </w:pPr>
      <w:r w:rsidRPr="003E335C">
        <w:rPr>
          <w:rFonts w:ascii="Garamond" w:hAnsi="Garamond"/>
          <w:i/>
          <w:iCs/>
          <w:lang w:eastAsia="fr-FR"/>
        </w:rPr>
        <w:t>Wochenbericht des Vaters:</w:t>
      </w:r>
    </w:p>
    <w:p w:rsidR="00DF4073" w:rsidRPr="003E335C" w:rsidRDefault="00DF4073" w:rsidP="00DF4073">
      <w:pPr>
        <w:pStyle w:val="Sansinterligne"/>
        <w:rPr>
          <w:rFonts w:ascii="Garamond" w:hAnsi="Garamond"/>
          <w:lang w:eastAsia="fr-FR"/>
        </w:rPr>
      </w:pPr>
      <w:r w:rsidRPr="003E335C">
        <w:rPr>
          <w:rFonts w:ascii="Garamond" w:hAnsi="Garamond"/>
          <w:lang w:eastAsia="fr-FR"/>
        </w:rPr>
        <w:t>Geehrter Herr Professor! Anbei folgt die Fortsetzung der Geschichte unseres Hans, ein ganz interessantes Stück. Vielleicht werde ich mir erlauben, Sie Montag in der Ordination aufzusuchen und womöglich Hans mitbringen – vorausgesetzt, daß er geht. Ich hab' ihn heute gefragt: »Willst du Montag mit mir zu dem Professor gehen, der dir die Dummheit wegnehmen kann?«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»Aber er hat ein sehr schönes Mäderl.« – Darauf hat er bereitwillig und freudig zugestimmt.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Sonntag, 22. März. Um das Sonntagsprogramm zu erweitern, schlage ich Hans vor, zuerst nach Schönbrunn zu fahren und erst mittags von dort nach Lainz. Er hat also nicht bloß den Weg von der </w:t>
      </w:r>
      <w:r w:rsidRPr="003E335C">
        <w:rPr>
          <w:rFonts w:ascii="Garamond" w:hAnsi="Garamond"/>
          <w:lang w:val="en-US" w:eastAsia="fr-FR"/>
        </w:rPr>
        <w:lastRenderedPageBreak/>
        <w:t>Wohnung zur Stadtbahnstation Hauptzollamt zu Fuß zurückzulegen, sondern auch von der Station Hietzing nach Schönbrunn und von dort wieder zur Dampftramwaystation Hietzing, was er auch absolviert, indem er, wenn Pferde kommen, eiligst wegschaut, da ihm offenbar ängstlich zumute ist. Mit dem Wegschauen befolgt er einen Rat der Mama.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In Schönbrunn zeigt er Furcht vor Tieren, die er sonst furchtlos angesehen hat. So will er in das Haus, in dem sich die </w:t>
      </w:r>
      <w:r w:rsidRPr="003E335C">
        <w:rPr>
          <w:rFonts w:ascii="Garamond" w:hAnsi="Garamond"/>
          <w:i/>
          <w:iCs/>
          <w:lang w:val="en-US" w:eastAsia="fr-FR"/>
        </w:rPr>
        <w:t>Giraffe</w:t>
      </w:r>
      <w:r w:rsidRPr="003E335C">
        <w:rPr>
          <w:rFonts w:ascii="Garamond" w:hAnsi="Garamond"/>
          <w:lang w:val="en-US" w:eastAsia="fr-FR"/>
        </w:rPr>
        <w:t xml:space="preserve"> befindet, absolut nicht hinein, will auch zum Elefanten nicht, der ihm sonst viel Spaß gemacht hat. Er fürchtet sich vor allen großen Tieren, während er sich bei den kleinen sehr unterhält. Unter den Vögeln fürchtet er diesmal auch den Pelikan, was er früher nie getan hat, offenbar auch wegen seiner Größe.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sage ihm daraufhin: »Weißt du, warum du dich vor den großen Tieren fürchtest? Große Tiere haben einen großen Wiwimacher, und du fürchtest dich eigentlich vor dem großen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»Aber ich habe noch nie von den großen Tieren den Wiwimacher gesehen.« </w:t>
      </w:r>
      <w:hyperlink r:id="rId375" w:history="1">
        <w:r w:rsidRPr="003E335C">
          <w:rPr>
            <w:rFonts w:ascii="Garamond" w:hAnsi="Garamond"/>
            <w:color w:val="0000FF"/>
            <w:u w:val="single"/>
            <w:lang w:eastAsia="fr-FR"/>
          </w:rPr>
          <w:t xml:space="preserve">[Fußnote]Das ist falsch. Vergleiche seinen Ausruf beim Löwenkäfig, S. 16. </w:t>
        </w:r>
        <w:r w:rsidRPr="003E335C">
          <w:rPr>
            <w:rFonts w:ascii="Garamond" w:hAnsi="Garamond"/>
            <w:color w:val="0000FF"/>
            <w:u w:val="single"/>
            <w:lang w:val="en-US" w:eastAsia="fr-FR"/>
          </w:rPr>
          <w:t>Wahrscheinlich beginnendes Vergessen infolge der Verdrängung.</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»Aber vom Pferde doch, und das Pferd ist auch ein großes Tier.«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»Oh, vom Pferd oft. Einmal in Gmunden, wie der Wagen vor dem Hause gestanden ist, einmal vor dem Hauptzollamt.«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du klein warst, bist du wahrscheinlich in Gmunden in einen Stall gegangen . .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(unterbrechend): »Ja, jeden Tag, wenn in Gmunden die Pferde nach Haus gekommen sind, bin ich in den Stall gegangen.«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 und hast dich wahrscheinlich gefürchtet, wie du einmal den großen Wiwimacher vom Pferde gesehen hast, aber davor brauchst du dich nicht zu fürchten. Große Tiere haben große Wiwimacher, kleine Tiere kleine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»Und alle Menschen haben Wiwimacher, und der Wiwimacher wächst mit mir, wenn ich größer werde; er ist ja angewachsen.«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Damit schloß das Gespräch. In den folgenden Tagen scheint die Furcht wieder etwas größer; er traut sich kaum vors Haustor, wohin man ihn nach dem Essen führt.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Hansens letzte Trostrede wirft ein Licht auf die Situation und gestattet uns, die Behauptungen des Vaters ein wenig zu korrigieren. Es ist wahr, daß er bei den großen Tieren Angst hat, weil er an deren großen Wiwimacher denken muß, aber man kann eigentlich nicht sagen, daß er sich vor dem großen Wiwimacher selbst fürchtet. Die Vorstellung eines solchen war ihm früher entschieden lustbetont, und er versuchte mit allem Eifer, sich dessen Anblick zu verschaffen. Dies Vergnügen ist ihm seither verleidet worden durch die allgemeine Verkehrung von Lust in Unlust, die – auf noch nicht aufgeklärte Weise – seine ganze Sexualforschung betroffen hat, und was uns deutlicher ist, durch gewisse Erfahrungen und Erwägungen, die zu peinlichen Ergebnissen führten. Aus seiner Tröstung: Der Wiwimacher wächst mit mir, wenn ich größer werde, läßt sich schließen, daß er bei seinen Beobachtungen beständig verglichen hat und von der Größe seines eigenen Wiwimachers sehr unbefriedigt geblieben ist. An diesen Defekt erinnern ihn die großen Tiere, die ihm aus diesem Grunde unangenehm sind. Weil aber der ganze Gedankengang wahrscheinlich nicht klar bewußt werden kann, wandelt sich auch diese peinliche Empfindung in Angst, so daß seine gegenwärtige Angst sich auf der ehemaligen Lust wie auf der aktuellen Unlust aufbaut. Wenn einmal der Angstzustand hergestellt ist, so zehrt die Angst alle anderen Empfindungen auf; mit fortschreitender Verdrängung, je mehr die schon bewußt gewesenen affekttragenden Vorstellungen ins Unbewußte rücken, können sich alle Affekte in Angst verwandeln.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Die sonderbare Bemerkung Hansens: »er ist ja angewachsen«, läßt im Zusammenhange der Tröstung vieles erraten, was er nicht aussprechen kann, auch in dieser Analyse nicht ausgesprochen hat. Ich ergänze da ein Stück nach meinen Erfahrungen aus den Analysen Erwachsener, aber ich hoffe, die Einschaltung wird nicht als eine gewaltsame und willkürliche beurteilt werden. »Er ist ja angewachsen«: wenn das zum Trutze und Troste gedacht ist, so läßt es an die alte Drohung der Mutter denken, sie werde ihm den Wiwimacher abschneiden lassen, wenn er fortfahre, sich mit ihm zu beschäftigen. Diese Drohung blieb damals, als er 3½ Jahre alt war, wirkungslos. Er antwortete ungerührt, dann werde er aber mit dem Popo Wiwi machen. Es wäre durchaus das typische Verhalten, wenn die Drohung mit der Kastration jetzt </w:t>
      </w:r>
      <w:r w:rsidRPr="003E335C">
        <w:rPr>
          <w:rFonts w:ascii="Garamond" w:hAnsi="Garamond"/>
          <w:i/>
          <w:iCs/>
          <w:lang w:val="en-US" w:eastAsia="fr-FR"/>
        </w:rPr>
        <w:t>nachträglich</w:t>
      </w:r>
      <w:r w:rsidRPr="003E335C">
        <w:rPr>
          <w:rFonts w:ascii="Garamond" w:hAnsi="Garamond"/>
          <w:lang w:val="en-US" w:eastAsia="fr-FR"/>
        </w:rPr>
        <w:t xml:space="preserve"> zur Wirkung käme und er jetzt, 1¼ Jahre später, unter der Angst stünde, das teure Stück seines Ichs einzubüßen. Man kann solche nachträgliche Wirkungen von Geboten und Drohungen in der Kindheit bei anderen Erkrankungsfällen beobachten, wo das Intervall ebensoviel Dezennien und mehr umfaßt. Ja, ich kenne Fälle, in denen der » </w:t>
      </w:r>
      <w:r w:rsidRPr="003E335C">
        <w:rPr>
          <w:rFonts w:ascii="Garamond" w:hAnsi="Garamond"/>
          <w:i/>
          <w:iCs/>
          <w:lang w:val="en-US" w:eastAsia="fr-FR"/>
        </w:rPr>
        <w:t>nachträgliche Gehorsam</w:t>
      </w:r>
      <w:r w:rsidRPr="003E335C">
        <w:rPr>
          <w:rFonts w:ascii="Garamond" w:hAnsi="Garamond"/>
          <w:lang w:val="en-US" w:eastAsia="fr-FR"/>
        </w:rPr>
        <w:t>« der Verdrängung den wesentlichen Anteil an der Determinierung der Krankheitssymptome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 xml:space="preserve">Die Aufklärung, die Hans vor kurzem erhalten hat, daß Frauen wirklich keinen Wiwimacher haben, kann nur erschütternd auf sein Selbstvertrauen und erweckend auf den Kastrationskomplex gewirkt haben. Darum sträubte er sich auch gegen sie, und darum blieb ein therapeutischer Erfolg dieser Mitteilung aus: Soll es also wirklich lebende Wesen geben, die keinen Wiwimacher besitzen? Dann wäre es ja nicht mehr so unglaublich, daß man ihm den Wiwimacher wegnehmen, ihn gleichsam zum Weibe machen könnte! </w:t>
      </w:r>
      <w:hyperlink r:id="rId376" w:history="1">
        <w:r w:rsidRPr="003E335C">
          <w:rPr>
            <w:rFonts w:ascii="Garamond" w:hAnsi="Garamond"/>
            <w:color w:val="0000FF"/>
            <w:u w:val="single"/>
            <w:lang w:eastAsia="fr-FR"/>
          </w:rPr>
          <w:t xml:space="preserve">[Fußnote]Ich kann den Zusammenhang nicht so weit unterbrechen, um darzutun, wieviel Typisches an diesen unbewußten Gedankengängen ist, die ich hier dem kleinen Hans zumute. Der Kastrationskomplex ist die tiefste unbewußte Wurzel des Antisemitismus, denn schon in der Kinderstube hört der Knabe, daß dem Juden etwas am Penis – er meint, ein Stück des Penis – abgeschnitten werde, und dies gibt ihm das Recht, den Juden zu verachten. Auch die Überhebung über das Weib hat keine stärkere unbewußte Wurzel. Weininger, jener hochbegabte und sexuell gestörte junge Philosoph, der nach seinem merkwürdigen Buche </w:t>
        </w:r>
        <w:r w:rsidRPr="003E335C">
          <w:rPr>
            <w:rFonts w:ascii="Garamond" w:hAnsi="Garamond"/>
            <w:i/>
            <w:iCs/>
            <w:color w:val="0000FF"/>
            <w:u w:val="single"/>
            <w:lang w:eastAsia="fr-FR"/>
          </w:rPr>
          <w:t>Geschlecht und Charakter</w:t>
        </w:r>
        <w:r w:rsidRPr="003E335C">
          <w:rPr>
            <w:rFonts w:ascii="Garamond" w:hAnsi="Garamond"/>
            <w:color w:val="0000FF"/>
            <w:u w:val="single"/>
            <w:lang w:eastAsia="fr-FR"/>
          </w:rPr>
          <w:t xml:space="preserve"> sein Leben durch Selbstmord beendigte, hat in einem vielbemerkten Kapitel den Juden und das Weib mit der gleichen Feindschaft bedacht und mit den nämlichen Schmähungen überhäuft. </w:t>
        </w:r>
        <w:r w:rsidRPr="003E335C">
          <w:rPr>
            <w:rFonts w:ascii="Garamond" w:hAnsi="Garamond"/>
            <w:color w:val="0000FF"/>
            <w:u w:val="single"/>
            <w:lang w:val="en-US" w:eastAsia="fr-FR"/>
          </w:rPr>
          <w:t>Weininger stand als Neurotiker völlig unter der Herrschaft infantiler Komplexe; die Beziehung zum Kastrationskomplex ist das dem Juden und dem Weibe dort Gemeinsame.</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In der Nacht vom 27. zum 28. überrascht uns Hans dadurch, daß er mitten im Dunkel aus seinem Bette aufsteht und zu uns ins Bett kommt. Sein Zimmer ist durch ein Kabinett von unserem Schlafzimmer getrennt. Wir fragen ihn, weshalb; ob er sich vielleicht gefürchtet habe. Er sagt: »Nein, ich werde es morgen sagen«, schläft in unserem Bette ein und wird dann in seines zurückgetragen.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nächsten Tage nehme ich ihn ins Gebet, um zu erfahren, weshalb er in der Nacht zu uns gekommen ist, und es entwickelt sich nach einigem Sträuben folgender Dialog, den ich sofort stenographisch festlege: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Er: » </w:t>
      </w:r>
      <w:r w:rsidRPr="003E335C">
        <w:rPr>
          <w:rFonts w:ascii="Garamond" w:hAnsi="Garamond"/>
          <w:i/>
          <w:iCs/>
          <w:lang w:val="en-US" w:eastAsia="fr-FR"/>
        </w:rPr>
        <w:t>In der Nacht war eine große und eine zerwutzelte Giraffe im Zimmer, und die große hat geschrien, weil ich ihr die zerwutzelte weggenommen hab'. Dann hat sie aufgehört zu schreien, und dann hab' ich mich auf die zerwutzelte Giraffe draufgesetzt.</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befremdet: »Was? Eine zerwutzelte Giraffe? Wie war das?«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(Holt schnell ein Papier, wutzelt es zusammen und sagt mir:) »So war sie zerwutzelt.«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du hast dich auf die zerwutzelte Giraffe drauf gesetzt? Wie?«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zeigt mir's wieder, setzt sich auf die Erde.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bist du ins Zimmer gekommen?«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»Das weiß ich selber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dich gefürchtet?«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»Nein, bestimmt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von den Giraffen geträumt?«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»Nein, nicht geträumt; ich hab' mir's gedacht – das Ganze hab' ich mir gedacht – aufgekommen war ich schon früher.«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soll das heißen: eine zerwutzelte Giraffe? Du weißt ja, daß man eine Giraffe nicht zusammendrücken kann wie ein Stück Papier.«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Er: »Ich weiß' ja. Ich hab's halt geglaubt. Es gibt's ja eh net auf der Welt </w:t>
      </w:r>
      <w:hyperlink r:id="rId377" w:history="1">
        <w:r w:rsidRPr="003E335C">
          <w:rPr>
            <w:rFonts w:ascii="Garamond" w:hAnsi="Garamond"/>
            <w:color w:val="0000FF"/>
            <w:u w:val="single"/>
            <w:lang w:val="en-US" w:eastAsia="fr-FR"/>
          </w:rPr>
          <w:t>[Fußnote]Hans sagt es ganz bestimmt in seiner Sprache, es war eine Phantasie.</w:t>
        </w:r>
      </w:hyperlink>
      <w:r w:rsidRPr="003E335C">
        <w:rPr>
          <w:rFonts w:ascii="Garamond" w:hAnsi="Garamond"/>
          <w:lang w:val="en-US" w:eastAsia="fr-FR"/>
        </w:rPr>
        <w:t>. Die zerwutzelte ist ganz gelegen auf dem Fußboden, und ich hab' sie weggenommen, mit den Händen genommen.«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so eine große Giraffe kann man mit den Händen nehmen?«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»Die zerwutzelte hab' ich mit der Hand genommen.«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war die große unterdessen?«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»Die große ist halt weiter weg gestanden.«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hast du mit der zerwutzelten gemacht?«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»Ich hab' sie ein bißchen in der Hand gehalten, bis die große zu schreien aufgehört hat, und wie die große zum schreien aufgehört hat, hab' ich mich drauf gesetzt.«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hat die große geschrien?«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»Weil ich ihr die kleine weggenommen hab'.« (Bemerkt, daß ich alles notiere, und fragt: »Weshalb schreibst du das auf?«)</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»Weil ich es einem Professor schicke, der dir die ›Dummheit‹ wegnehmen kann.«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»Aha, da hast du's doch auch aufgeschrieben, daß sich die Mammi das Hemd ausgezogen hat, und gibst das auch dem Professor.«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»Ja, der wird aber nicht verstehen, wie du glaubst, daß man eine Giraffe zerwutzeln kann.«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Er: »Sag' ihm halt, ich weiß es selber nicht, und da wird er nicht fragen; wenn er aber fragt, was die verwutzelte Giraffe ist, kann er uns ja schreiben, und wir schreiben hin oder schreiben wir gleich, ich weiß es selber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bist du aber in der Nacht gekommen?«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»Das weiß ich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»Sag' mir halt schnell, woran du jetzt denkst.«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(humoristisch): »An einen Himbeersaft.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noch?«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Er: »Ein Gewehr zum Totschießen.« </w:t>
      </w:r>
      <w:hyperlink r:id="rId378" w:history="1">
        <w:r w:rsidRPr="003E335C">
          <w:rPr>
            <w:rFonts w:ascii="Garamond" w:hAnsi="Garamond"/>
            <w:color w:val="0000FF"/>
            <w:u w:val="single"/>
            <w:lang w:eastAsia="fr-FR"/>
          </w:rPr>
          <w:t xml:space="preserve">[Fußnote][Himbeersaft, Gewehr: seine Wünsche] Der Vater versucht hier in seiner Ratlosigkeit, die klassische Technik der Psychoanalyse zu üben. </w:t>
        </w:r>
        <w:r w:rsidRPr="003E335C">
          <w:rPr>
            <w:rFonts w:ascii="Garamond" w:hAnsi="Garamond"/>
            <w:color w:val="0000FF"/>
            <w:u w:val="single"/>
            <w:lang w:val="en-US" w:eastAsia="fr-FR"/>
          </w:rPr>
          <w:t>Diese führt nicht weit, aber was sie ergibt, kann doch im Lichte späterer Eröffnungen sinnvoll werden</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hast es gewiß nicht geträumt?«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»Sicher nicht; nein, ich weiß es ganz bestimmt.«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erzählt weiter: »Die Mammi hat mich so lange gebeten, ich soll ihr sagen, weshalb ich in der Nacht gekommen bin. Ich hab's aber nicht sagen wollen, weil ich mich zuerst vor der Mammi geschämt hab'.«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»Das weiß ich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Tatsächlich hat ihn meine Frau den ganzen Vormittag inquiriert, bis er die Giraffengeschichte erzählt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selben Tage noch findet der Vater die Auflösung der Giraffenphantasie.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große Giraffe bin ich, respektive der große Penis (der lange Hals), die zerwutzelte Giraffe meine Frau, respektive ihr Glied, was also der Erfolg der Aufklärung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Giraffe: vide Ausflug nach Schönbrunn. Übrigens hat er ein Bild einer Giraffe und eines Elefanten über seinem Bette hängen.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Ganze ist die Reproduktion einer Szene, die sich fast jeden Morgen in den letzten Tagen abgespielt hat. Hans kommt in der Früh immer zu uns, und meine Frau kann es dann nicht unterlassen, ihn für einige Minuten zu sich ins Bett zu nehmen. Daraufhin fange ich immer an, sie zu warnen, sie möge ihn nicht zu sich nehmen (»die große hat geschrien, weil ich ihr die zerwutzelte weggenommen hab'«), und sie erwidert hie und da, wohl gereizt, das sei doch ein Unsinn, die eine Minute sei doch irrelevant usw. Hans bleibt dann eine kurze Zeit bei ihr. (»Dann hat die große Giraffe aufgehört zu schreien und dann hab' ich mich auf die zerwutzelte Giraffe draufgesetzt.«)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Lösung dieser ins Giraffenleben transponierten Eheszene ist also: er hat in der Nacht Sehnsucht nach der Mama bekommen, nach ihren Liebkosungen, ihrem Gliede, und ist deshalb ins Schlafzimmer gekommen. Das Ganze ist die Fortsetzung der Pferdefurcht.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weiß der scharfsinnigen Deutung des Vaters nur hinzuzufügen: »Das </w:t>
      </w:r>
      <w:r w:rsidRPr="003E335C">
        <w:rPr>
          <w:rFonts w:ascii="Garamond" w:hAnsi="Garamond"/>
          <w:i/>
          <w:iCs/>
          <w:lang w:val="en-US" w:eastAsia="fr-FR"/>
        </w:rPr>
        <w:t>Draufsetzen</w:t>
      </w:r>
      <w:r w:rsidRPr="003E335C">
        <w:rPr>
          <w:rFonts w:ascii="Garamond" w:hAnsi="Garamond"/>
          <w:lang w:val="en-US" w:eastAsia="fr-FR"/>
        </w:rPr>
        <w:t xml:space="preserve">« ist wahrscheinlich Hansens Darstellung des </w:t>
      </w:r>
      <w:r w:rsidRPr="003E335C">
        <w:rPr>
          <w:rFonts w:ascii="Garamond" w:hAnsi="Garamond"/>
          <w:i/>
          <w:iCs/>
          <w:lang w:val="en-US" w:eastAsia="fr-FR"/>
        </w:rPr>
        <w:t>Besitz</w:t>
      </w:r>
      <w:r w:rsidRPr="003E335C">
        <w:rPr>
          <w:rFonts w:ascii="Garamond" w:hAnsi="Garamond"/>
          <w:lang w:val="en-US" w:eastAsia="fr-FR"/>
        </w:rPr>
        <w:t>ergreifens. Das Ganze aber ist eine Trutzphantasie, die mit Befriedigung an den Sieg über den väterlichen Widerstand anknüpft. »Schrei, soviel du willst, die Mammi nimmt mich doch ins Bett und die Mammi gehört mir.« Es läßt sich also mit Recht hinter ihr erraten, was der Vater vermutet: die Angst, daß ihn die Mama nicht mag, weil sich sein Wiwimacher mit dem des Vaters nicht messen kann.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nächsten Morgen holt sich der Vater die Bestätigung seiner Deutung.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Sonntag, 29. März, fahre ich mit Hans nach Lainz. In der Tür verabschiede ich mich von meiner Frau scherzhaft: »Adieu, große Giraffe.« Hans fragt: »Warum Giraffe?« Darauf ich: »Die Mammi ist die große Giraffe«, worauf Hans sagt: »Nicht wahr, und die Hanna ist die zerwutzelte Giraffe?«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Auf der Bahn erkläre ich ihm die Giraffenphantasie, worauf er sagt: Ja, das ist richtig, und wie ich ihm sage, ich sei die große Giraffe, der lange Hals habe ihn an einen Wiwimacher erinnert, sagt er: »Die Mammi hat auch einen Hals wie eine Giraffe, das hab' ich gesehen, wie sie sich den weißen Hals gewaschen hat.« </w:t>
      </w:r>
      <w:hyperlink r:id="rId379" w:history="1">
        <w:r w:rsidRPr="003E335C">
          <w:rPr>
            <w:rFonts w:ascii="Garamond" w:hAnsi="Garamond"/>
            <w:color w:val="0000FF"/>
            <w:u w:val="single"/>
            <w:lang w:eastAsia="fr-FR"/>
          </w:rPr>
          <w:t xml:space="preserve">[Fußnote]Hans bestätigt nur die Deutung der beiden Giraffen auf Vater und Mutter, nicht die sexuelle Symbolik, die in der Giraffe selbst eine Vertretung des Penis erblicken will. </w:t>
        </w:r>
        <w:r w:rsidRPr="003E335C">
          <w:rPr>
            <w:rFonts w:ascii="Garamond" w:hAnsi="Garamond"/>
            <w:color w:val="0000FF"/>
            <w:u w:val="single"/>
            <w:lang w:val="en-US" w:eastAsia="fr-FR"/>
          </w:rPr>
          <w:t>Wahrscheinlich hat diese Symbolik recht, aber von Hans kann man wahrlich nicht mehr verlangen.</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Montag, 30. März, früh, kommt Hans zu mir und sagt: »Du, heut hab' ich mir zwei Sachen gedacht. Die erste? Ich bin mit dir in Schönbrunn gewesen bei den Schafen, und dann sind wir unter den Stricken durchgekrochen, und das haben wir dann dem Wachmanne beim Eingang des Gartens gesagt, und der hat uns zusammengepackt.« Das zweite hat er vergessen.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bemerke dazu: Als wir am Sonntag zu den Schafen gehen wollten, war dieser Raum durch einen Strick abgesperrt, so daß wir nicht hingehen konnten. Hans war sehr verwundert, daß man einen Raum nur mit einem Stricke absperrt, unter dem man doch leicht durchschlüpfen kann. Ich sagte ihm, anständige </w:t>
      </w:r>
      <w:r w:rsidRPr="003E335C">
        <w:rPr>
          <w:rFonts w:ascii="Garamond" w:hAnsi="Garamond"/>
          <w:lang w:val="en-US" w:eastAsia="fr-FR"/>
        </w:rPr>
        <w:lastRenderedPageBreak/>
        <w:t>Menschen kriechen nicht unter den Strick. Er meinte, es ist ja ganz leicht, worauf ich erwiderte, es kann dann ein Wachmann kommen, der einen fortführt. Am Eingange von Schönbrunn steht ein Leibgardist, von dem ich Hans einmal gesagt habe, der arretiert schlimme Kinder.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Nach der Rückkehr von dem Besuche bei Ihnen, der am selben Tage vorfiel, beichtete Hans noch ein Stückchen Gelüste, Verbotenes zu tun. »Du, heut früh hab' ich mir wieder etwas gedacht.« »Was?« »Ich bin mit dir in der Eisenbahn gefahren und wir haben ein Fenster zerschlagen und der Wachmann hat uns mitgenommen.«</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Die richtige Fortsetzung der Giraffenphantasie. </w:t>
      </w:r>
      <w:r w:rsidRPr="003E335C">
        <w:rPr>
          <w:rFonts w:ascii="Garamond" w:hAnsi="Garamond"/>
          <w:lang w:val="en-US" w:eastAsia="fr-FR"/>
        </w:rPr>
        <w:t>Er ahnt, daß es verboten ist, sich in den Besitz der Mutter zu setzen; er ist auf die Inzestschranke gestoßen. Aber er hält es für verboten an sich. Bei den verbotenen Streichen, die er in der Phantasie ausführt, ist jedesmal der Vater dabei und wird mit ihm eingesperrt. Der Vater, meint er, tut doch auch jenes rätselhafte Verbotene mit der Mutter, das er sich durch etwas Gewalttätiges wie das Zerschlagen einer Fensterscheibe, durch das Eindringen in einen abgeschlossenen Raum, ersetzt.</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An diesem Nachmittage besuchten mich Vater und Sohn in meiner ärztlichen Ordination. Ich kannte den drolligen Knirps schon und hatte ihn, der in seiner Selbstsicherheit doch so liebenswürdig war, jedesmal gern gesehen. Ob er sich meiner erinnerte, weiß ich nicht, aber er benahm sich tadellos, wie ein ganz vernünftiges Mitglied der menschlichen Gesellschaft. Die Konsultation war kurz. Der Vater knüpfte daran an, daß trotz aller Aufklärung die Angst vor den Pferden sich noch nicht gemindert habe. Wir mußten uns auch eingestehen, daß die Beziehungen zwischen den Pferden, vor denen er sich ängstigte, und den aufgedeckten Regungen von Zärtlichkeit für die Mutter wenig ausgiebige waren. Details, wie ich sie jetzt erfuhr, daß ihn besonders geniere, was die Pferde vor den Augen haben, und das Schwarze um deren Mund, ließen sich von dem aus, was wir wußten, gewiß nicht erklären. Aber als ich die beiden so vor mir sitzen sah und dabei die Schilderung seiner Angstpferde hörte, schoß mir ein weiteres Stück der Auflösung durch den Sinn, von dem ich verstand, daß es gerade dem Vater entgehen konnte. Ich fragte Hans scherzend, ob seine Pferde Augengläser tragen, was er verneinte, dann ob sein Vater Augengläser trage, was er gegen alle Evidenz wiederum verneinte, ob er mit dem Schwarzen um den »Mund« den Schnurrbart meine, und eröffnete ihm dann, er fürchte sich vor seinem Vater, eben weil er die Mutter so lieb habe. Er müsse ja glauben, daß ihm der Vater darob böse sei, aber das sei nicht wahr, der Vater habe ihn doch gern, er könne ihm furchtlos alles bekennen. Lange, ehe er auf der Welt war, hätte ich schon gewußt, daß ein kleiner Hans kommen werde, der seine Mutter so lieb hätte, daß er sich darum vor dem Vater fürchten müßte, und hätte es seinem Vater erzählt. »Warum glaubst du denn, daß ich böse auf dich bin«, unterbrach mich hier der Vater, »habe ich dich denn je geschimpft oder geschlagen?« </w:t>
      </w:r>
      <w:r w:rsidRPr="003E335C">
        <w:rPr>
          <w:rFonts w:ascii="Garamond" w:hAnsi="Garamond"/>
          <w:lang w:eastAsia="fr-FR"/>
        </w:rPr>
        <w:t xml:space="preserve">»O ja, du hast mich geschlagen«, verbesserte Hans. »Das ist nicht wahr. Wann denn?« »Heute vormittag«, mahnte der Kleine, und der Vater erinnerte sich, daß Hans ihn ganz unerwartet mit dem Kopfe in den Bauch gestoßen, worauf er ihm wie reflektorisch einen Schlag mit der Hand gegeben. Es war bemerkenswert, daß er dieses Detail nicht in den Zusammenhang der Neurose aufgenommen hatte; er verstand es aber jetzt als Ausdruck der feindseligen Disposition des Kleinen gegen ihn, vielleicht auch als Äußerung des Bedürfnisses, sich dafür eine Bestrafung zu holen </w:t>
      </w:r>
      <w:hyperlink r:id="rId380" w:history="1">
        <w:r w:rsidRPr="003E335C">
          <w:rPr>
            <w:rFonts w:ascii="Garamond" w:hAnsi="Garamond"/>
            <w:color w:val="0000FF"/>
            <w:u w:val="single"/>
            <w:lang w:eastAsia="fr-FR"/>
          </w:rPr>
          <w:t>[Fußnote]Der Knabe wiederholte diese Reaktion gegen den Vater später in deutlicherer und vollständigerer Weise, indem er dem Vater zuerst einen Schlag auf die Hand gab und dann dieselbe Hand zärtlich küßte.</w:t>
        </w:r>
      </w:hyperlink>
      <w:r w:rsidRPr="003E335C">
        <w:rPr>
          <w:rFonts w:ascii="Garamond" w:hAnsi="Garamond"/>
          <w:lang w:eastAsia="fr-FR"/>
        </w:rPr>
        <w:t>.</w:t>
      </w:r>
    </w:p>
    <w:p w:rsidR="00DF4073" w:rsidRPr="003E335C" w:rsidRDefault="00DF4073" w:rsidP="00DF4073">
      <w:pPr>
        <w:pStyle w:val="Sansinterligne"/>
        <w:rPr>
          <w:rFonts w:ascii="Garamond" w:hAnsi="Garamond"/>
          <w:lang w:eastAsia="fr-FR"/>
        </w:rPr>
      </w:pPr>
      <w:r w:rsidRPr="003E335C">
        <w:rPr>
          <w:rFonts w:ascii="Garamond" w:hAnsi="Garamond"/>
          <w:lang w:eastAsia="fr-FR"/>
        </w:rPr>
        <w:t xml:space="preserve">Auf dem Heimgange fragte Hans den Vater: »Spricht denn der Professor mit dem lieben Gott, daß er das alles vorher wissen kann?« Ich wäre auf diese Anerkennung aus Kindermund außerordentlich stolz, wenn ich sie nicht durch meine scherzhaften Prahlereien selbst provoziert hätte. </w:t>
      </w:r>
      <w:r w:rsidRPr="003E335C">
        <w:rPr>
          <w:rFonts w:ascii="Garamond" w:hAnsi="Garamond"/>
          <w:lang w:val="en-US" w:eastAsia="fr-FR"/>
        </w:rPr>
        <w:t xml:space="preserve">Ich erhielt von dieser Konsultation an fast täglich Berichte über die Veränderungen im Befinden des kleinen Patienten. Es stand nicht zu erwarten, daß er durch meine Mitteilung mit einem Schlage angstfrei werden könnte, aber es zeigte sich, daß ihm nun die Möglichkeit gegeben war, seine unbewußten Produktionen vorzubringen und seine Phobie abzuwickeln. </w:t>
      </w:r>
      <w:r w:rsidRPr="003E335C">
        <w:rPr>
          <w:rFonts w:ascii="Garamond" w:hAnsi="Garamond"/>
          <w:lang w:eastAsia="fr-FR"/>
        </w:rPr>
        <w:t>Er führte von da an ein Programm aus, das ich seinem Vater im vorhinein mitteilen konnte.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Am 2. April ist die </w:t>
      </w:r>
      <w:r w:rsidRPr="003E335C">
        <w:rPr>
          <w:rFonts w:ascii="Garamond" w:hAnsi="Garamond"/>
          <w:i/>
          <w:iCs/>
          <w:lang w:val="en-US" w:eastAsia="fr-FR"/>
        </w:rPr>
        <w:t>erste wesentliche Besserung</w:t>
      </w:r>
      <w:r w:rsidRPr="003E335C">
        <w:rPr>
          <w:rFonts w:ascii="Garamond" w:hAnsi="Garamond"/>
          <w:lang w:val="en-US" w:eastAsia="fr-FR"/>
        </w:rPr>
        <w:t xml:space="preserve"> festzustellen. Während er bisher nie zu bewegen war, für längere Zeit vors Haustor zu gehen, und immer, wenn Pferde kamen, mit allen Zeichen des Schreckens zurück ins Haus rannte, bleibt er diesmal eine Stunde vor dem Haustore, auch wenn Wagen vorüberfahren, was bei uns ziemlich häufig vorkommt. Hie und da läuft er, wenn er von ferne einen Wagen kommen sieht, ins Haus, kehrt jedoch sofort um, als ob er sich anders besinnen würde. Es ist jedenfalls nur ein Rest von Angst vorhanden und der Fortschritt seit der Aufklärung nicht zu verkennen. Abends sagt er: »Wenn wir schon vors Haustor gehen, werden wir auch in den Stadtpark gehen.«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Am 3. April kommt er früh zu mir ins Bett, während er die letzten Tage nicht mehr gekommen war und sogar stolz auf diese Enthaltung schien. Ich frage: »Weshalb bist du denn heute gekommen?«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»Bis ich mich nicht fürchten werde, werde ich nicht mehr kommen.«</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»Du kommst also zu mir, weil du dich fürchtest?«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»Wenn ich nicht bei dir bin, fürchte ich mich; wenn ich nicht bei dir im Bette bin, da fürcht' ich mich. Bis ich mich nicht mehr fürchten werde, komme ich nicht mehr.«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hast mich also gern und dir ist bange, wenn du früh in deinem Bette bist, deshalb kommst du zu mir?«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»Ja. Warum hast du mir gesagt, ich hab' die </w:t>
      </w:r>
      <w:r w:rsidRPr="003E335C">
        <w:rPr>
          <w:rFonts w:ascii="Garamond" w:hAnsi="Garamond"/>
          <w:i/>
          <w:iCs/>
          <w:lang w:val="en-US" w:eastAsia="fr-FR"/>
        </w:rPr>
        <w:t>Mammi</w:t>
      </w:r>
      <w:r w:rsidRPr="003E335C">
        <w:rPr>
          <w:rFonts w:ascii="Garamond" w:hAnsi="Garamond"/>
          <w:lang w:val="en-US" w:eastAsia="fr-FR"/>
        </w:rPr>
        <w:t xml:space="preserve"> gern, und ich fürcht' mich deshalb, wenn ich </w:t>
      </w:r>
      <w:r w:rsidRPr="003E335C">
        <w:rPr>
          <w:rFonts w:ascii="Garamond" w:hAnsi="Garamond"/>
          <w:i/>
          <w:iCs/>
          <w:lang w:val="en-US" w:eastAsia="fr-FR"/>
        </w:rPr>
        <w:t>dich</w:t>
      </w:r>
      <w:r w:rsidRPr="003E335C">
        <w:rPr>
          <w:rFonts w:ascii="Garamond" w:hAnsi="Garamond"/>
          <w:lang w:val="en-US" w:eastAsia="fr-FR"/>
        </w:rPr>
        <w:t xml:space="preserve"> gern hab'?«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Der Kleine zeigt hier eine wirklich überlegene Klarheit. Er gibt zu erkennen, daß in ihm die Liebe zum Vater mit der Feindseligkeit gegen den Vater infolge seiner Nebenbuhlerrolle bei der Mutter ringt, und macht dem Vater den Vorwurf, daß er ihn bisher auf dieses Kräftespiel, das in Angst auslaufen mußte, nicht aufmerksam gemacht hat. Der Vater versteht ihn noch nicht ganz, denn er holt sich erst während dieser Unterhaltung die Überzeugung von der Feindseligkeit des Kleinen gegen ihn, die ich bei unserer Konsultation behauptet hatte. Das Folgende, das ich doch unverändert mitteile, ist eigentlich bedeutsamer für die Aufklärung des Vaters als für den kleinen Patienten.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Diesen Einwand habe ich leider nicht sofort nach seiner Bedeutung aufgefaßt. Weil Hans die Mutter gerne hat, will er mich offenbar weghaben, dann ist er an Vaters Stelle. Dieser unterdrückte feindliche Wunsch wird zur Angst um den Vater, und er kommt früh zu mir, um zu sehen, ob ich fort bin. Ich habe das leider in diesem Momente noch nicht verstanden und sage ihm: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»Wenn du allein bist, ist dir halt bange nach mir und du kommst zu mir.«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»Wenn du weg bist, fürcht' ich mich, daß du nicht nach Hause kommst.«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»Hab' ich dir denn einmal gedroht, daß ich nicht nach Hause komme?«</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Hans: »Du nicht, aber die Mammi. </w:t>
      </w:r>
      <w:r w:rsidRPr="003E335C">
        <w:rPr>
          <w:rFonts w:ascii="Garamond" w:hAnsi="Garamond"/>
          <w:lang w:val="en-US" w:eastAsia="fr-FR"/>
        </w:rPr>
        <w:t>Die Mammi hat mir gesagt, daß sie nicht mehr kommt.« (Wahrscheinlich war er schlimm, und sie hat ihm mit dem Weggehen gedroht.)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hat sie gesagt, weil du schlimm warst.«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fürchtest dich also, ich geh' weg, weil du schlimm warst, deshalb kommst du zu mir.«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Beim Frühstücke stehe ich vom Tische auf, worauf Hans sagt: Vatti, </w:t>
      </w:r>
      <w:r w:rsidRPr="003E335C">
        <w:rPr>
          <w:rFonts w:ascii="Garamond" w:hAnsi="Garamond"/>
          <w:i/>
          <w:iCs/>
          <w:lang w:val="en-US" w:eastAsia="fr-FR"/>
        </w:rPr>
        <w:t>renn</w:t>
      </w:r>
      <w:r w:rsidRPr="003E335C">
        <w:rPr>
          <w:rFonts w:ascii="Garamond" w:hAnsi="Garamond"/>
          <w:lang w:val="en-US" w:eastAsia="fr-FR"/>
        </w:rPr>
        <w:t xml:space="preserve"> mir nicht davon! Daß er »renn« anstatt »lauf« sagt, fällt mir auf, und ich repliziere: »Oha, du fürchtest dich, das Pferd rennt dir davon.« Wozu er lacht.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Wir wissen, daß dieses Stück der Angst Hansens doppelt gefügt ist: Angst </w:t>
      </w:r>
      <w:r w:rsidRPr="003E335C">
        <w:rPr>
          <w:rFonts w:ascii="Garamond" w:hAnsi="Garamond"/>
          <w:i/>
          <w:iCs/>
          <w:lang w:val="en-US" w:eastAsia="fr-FR"/>
        </w:rPr>
        <w:t>vor</w:t>
      </w:r>
      <w:r w:rsidRPr="003E335C">
        <w:rPr>
          <w:rFonts w:ascii="Garamond" w:hAnsi="Garamond"/>
          <w:lang w:val="en-US" w:eastAsia="fr-FR"/>
        </w:rPr>
        <w:t xml:space="preserve"> dem Vater und Angst </w:t>
      </w:r>
      <w:r w:rsidRPr="003E335C">
        <w:rPr>
          <w:rFonts w:ascii="Garamond" w:hAnsi="Garamond"/>
          <w:i/>
          <w:iCs/>
          <w:lang w:val="en-US" w:eastAsia="fr-FR"/>
        </w:rPr>
        <w:t>um</w:t>
      </w:r>
      <w:r w:rsidRPr="003E335C">
        <w:rPr>
          <w:rFonts w:ascii="Garamond" w:hAnsi="Garamond"/>
          <w:lang w:val="en-US" w:eastAsia="fr-FR"/>
        </w:rPr>
        <w:t xml:space="preserve"> den Vater. Die erstere stammt von der Feindseligkeit gegen den Vater, die andere von dem Konflikte der Zärtlichkeit, die hier reaktionsweise übertrieben wird, mit der Feindseligkeit.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Der Vater setzt fort: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ist zweifellos der Anfang eines wichtigen Stückes. Daß er sich höchstens vors Haus traut, vom Hause aber nicht weggeht, daß er beim ersten Anfalle der Angst auf der Hälfte des Weges umkehrt, ist motiviert durch die Furcht, die Eltern nicht zu Hause zu treffen, weil sie weggegangen sind. Er klebt am Hause aus Liebe zur Mutter, er fürchtet sich, daß ich weggehe, aus feindlichen Wünschen gegen mich, dann wäre er der Vater.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Im Sommer bin ich wiederholt von Gmunden nach Wien weggefahren, weil es der Beruf erforderte, dann war er der Vater. Ich erinnere daran, daß die Pferdeangst an das Erlebnis in Gmunden anknüpft, als ein Pferd das Gepäck der Lizzi auf den Bahnhof bringen sollte. Der verdrängte Wunsch, ich solle auf den Bahnhof fahren, dann ist er mit der Mutter allein (»das Pferd soll wegfahren«), wird dann zur Angst vor dem Wegfahren der Pferde, und tatsächlich versetzt ihn nichts in größere Angst, als wenn aus dem unserer Wohnung gegenüberliegenden Hofe des Hauptzollamtes ein Wagen wegfährt, Pferde sich in Bewegung setzen.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Dieses neue Stück (feindselige Gesinnung gegen den Vater) konnte erst herauskommen, nachdem er weiß, daß ich nicht böse bin, weil er die Mama so gerne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Nachmittags gehe ich wieder mit ihm vors Haustor; er geht wieder vors Haus und bleibt auch daselbst, wenn Wagen fahren, nur bei einzelnen Wagen hat er Angst und läuft in den Hausflur. Er erklärt mir auch: »Nicht alle weißen Pferde beißen«; d. h.: durch die Analyse sind bereits einige weiße Pferde als »Vatti« erkannt worden, die beißen nicht mehr, allein es bleiben noch andere zum Beißen.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Die Situation vor unserem Haustore ist folgende: Gegenüber ist das Lagerhaus des Verzehrungssteueramtes mit einer Verladungsrampe, wo den ganzen Tag über Wagen vorfahren, um </w:t>
      </w:r>
      <w:r w:rsidRPr="003E335C">
        <w:rPr>
          <w:rFonts w:ascii="Garamond" w:hAnsi="Garamond"/>
          <w:lang w:val="en-US" w:eastAsia="fr-FR"/>
        </w:rPr>
        <w:lastRenderedPageBreak/>
        <w:t>Kisten u. dgl. abzuholen. Gegen die Straße sperrt ein Gitter diesen Hofraum. Vis-à-vis von unserer Wohnung ist das Einfahrtstor des Hofraumes (Fig. 2).</w:t>
      </w:r>
    </w:p>
    <w:p w:rsidR="00DF4073" w:rsidRPr="003E335C" w:rsidRDefault="00DF4073" w:rsidP="00DF4073">
      <w:pPr>
        <w:pStyle w:val="Sansinterligne"/>
        <w:rPr>
          <w:rFonts w:ascii="Garamond" w:hAnsi="Garamond"/>
          <w:lang w:eastAsia="fr-FR"/>
        </w:rPr>
      </w:pPr>
      <w:r w:rsidRPr="003E335C">
        <w:rPr>
          <w:rFonts w:ascii="Garamond" w:hAnsi="Garamond"/>
          <w:noProof/>
          <w:lang w:eastAsia="fr-FR"/>
        </w:rPr>
        <w:drawing>
          <wp:inline distT="0" distB="0" distL="0" distR="0">
            <wp:extent cx="4969510" cy="1932305"/>
            <wp:effectExtent l="19050" t="0" r="2540" b="0"/>
            <wp:docPr id="11" name="Image 1" descr="http://projekt.gutenberg.de/gutenb_load/freud/5jaehrig/v8s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jekt.gutenberg.de/gutenb_load/freud/5jaehrig/v8s044.png"/>
                    <pic:cNvPicPr>
                      <a:picLocks noChangeAspect="1" noChangeArrowheads="1"/>
                    </pic:cNvPicPr>
                  </pic:nvPicPr>
                  <pic:blipFill>
                    <a:blip r:embed="rId381" cstate="print"/>
                    <a:srcRect/>
                    <a:stretch>
                      <a:fillRect/>
                    </a:stretch>
                  </pic:blipFill>
                  <pic:spPr bwMode="auto">
                    <a:xfrm>
                      <a:off x="0" y="0"/>
                      <a:ext cx="4969510" cy="1932305"/>
                    </a:xfrm>
                    <a:prstGeom prst="rect">
                      <a:avLst/>
                    </a:prstGeom>
                    <a:noFill/>
                    <a:ln w="9525">
                      <a:noFill/>
                      <a:miter lim="800000"/>
                      <a:headEnd/>
                      <a:tailEnd/>
                    </a:ln>
                  </pic:spPr>
                </pic:pic>
              </a:graphicData>
            </a:graphic>
          </wp:inline>
        </w:drawing>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Fig. 2</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bemerke schon seit einigen Tagen, daß Hans sich besonders fürchtet, wenn Wagen aus dem Hofe heraus- oder hineinfahren, wobei sie eine Schwenkung machen müssen. Ich habe seinerzeit gefragt, warum er sich so fürchtet, worauf er sagt: » </w:t>
      </w:r>
      <w:r w:rsidRPr="003E335C">
        <w:rPr>
          <w:rFonts w:ascii="Garamond" w:hAnsi="Garamond"/>
          <w:i/>
          <w:iCs/>
          <w:lang w:val="en-US" w:eastAsia="fr-FR"/>
        </w:rPr>
        <w:t>Ich fürcht' mich, daß die Pferdeumfallen, wenn der Wagen umwendet</w:t>
      </w:r>
      <w:r w:rsidRPr="003E335C">
        <w:rPr>
          <w:rFonts w:ascii="Garamond" w:hAnsi="Garamond"/>
          <w:lang w:val="en-US" w:eastAsia="fr-FR"/>
        </w:rPr>
        <w:t xml:space="preserve"> (A).« Ebensosehr fürchtet er sich, wenn Wagen, die bei der Verladungsrampe stehen, sich plötzlich in Bewegung setzen, um fortzufahren (B). Er fürchtet sich ferner (C) vor großen Lastpferden mehr als vor kleinen Pferden, vor bäuerischen Pferden mehr als vor eleganten (wie z. B. Fiaker-)Pferden. Auch fürchtet er sich mehr, wenn ein Wagen schnell vorüberfährt (D), als wenn die Pferde langsam dahertrotten. Diese Differenzierungen sind natürlich erst in den letzten Tagen deutlich hervorgetreten.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möchte sagen, infolge der Analyse hat nicht nur der Patient, sondern auch seine Phobie mehr Courage bekommen und wagt es, sich zu zeigen.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5. April kommt Hans wieder ins Schlafzimmer und wird in sein Bett zurückgeschickt. Ich sage ihm: »Solange du früh ins Zimmer kommst, wird die Pferdeangst nicht besser werden.« Er trotzt aber und antwortet: »Ich werde doch kommen, auch wenn ich mich fürchte.« Er will sich also den Besuch bei der Mama nicht verbieten lassen.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Nach dem Frühstück sollen wir hinuntergehen. Hans freut sich sehr darauf und plant, anstatt wie gewöhnlich vor dem Haustore zu bleiben, über die Gasse in den Hofraum zu gehen, wo er oft genug Gassenbuben spielen sah. Ich sage ihm, es werde mich freuen, wenn er hinübergehen werde, und benütze die Gelegenheit, um zu fragen, weshalb er sich so fürchte, wenn die beladenen Wagen sich an der Verladungsrampe in Bewegung setzen (B).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fürcht' mich, wenn ich am Wagen steh' und der Wagen geschwind wegfährt, und ich steh' drauf und ich will dort auf das Brett gehen (die Verladungsrampe) und ich fahre mit dem Wagen weg.«</w:t>
      </w:r>
    </w:p>
    <w:p w:rsidR="00DF4073" w:rsidRPr="003E335C" w:rsidRDefault="00DF4073" w:rsidP="00DF4073">
      <w:pPr>
        <w:pStyle w:val="Sansinterligne"/>
        <w:rPr>
          <w:rFonts w:ascii="Garamond" w:hAnsi="Garamond"/>
          <w:lang w:eastAsia="fr-FR"/>
        </w:rPr>
      </w:pPr>
      <w:r w:rsidRPr="003E335C">
        <w:rPr>
          <w:rFonts w:ascii="Garamond" w:hAnsi="Garamond"/>
          <w:noProof/>
          <w:lang w:eastAsia="fr-FR"/>
        </w:rPr>
        <w:drawing>
          <wp:inline distT="0" distB="0" distL="0" distR="0">
            <wp:extent cx="4007485" cy="1415415"/>
            <wp:effectExtent l="19050" t="0" r="0" b="0"/>
            <wp:docPr id="12" name="Image 2" descr="http://projekt.gutenberg.de/gutenb_load/freud/5jaehrig/v8s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jekt.gutenberg.de/gutenb_load/freud/5jaehrig/v8s045.png"/>
                    <pic:cNvPicPr>
                      <a:picLocks noChangeAspect="1" noChangeArrowheads="1"/>
                    </pic:cNvPicPr>
                  </pic:nvPicPr>
                  <pic:blipFill>
                    <a:blip r:embed="rId382" cstate="print"/>
                    <a:srcRect/>
                    <a:stretch>
                      <a:fillRect/>
                    </a:stretch>
                  </pic:blipFill>
                  <pic:spPr bwMode="auto">
                    <a:xfrm>
                      <a:off x="0" y="0"/>
                      <a:ext cx="4007485" cy="1415415"/>
                    </a:xfrm>
                    <a:prstGeom prst="rect">
                      <a:avLst/>
                    </a:prstGeom>
                    <a:noFill/>
                    <a:ln w="9525">
                      <a:noFill/>
                      <a:miter lim="800000"/>
                      <a:headEnd/>
                      <a:tailEnd/>
                    </a:ln>
                  </pic:spPr>
                </pic:pic>
              </a:graphicData>
            </a:graphic>
          </wp:inline>
        </w:drawing>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Fig. 3</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»Und wenn der Wagen steht? </w:t>
      </w:r>
      <w:r w:rsidRPr="003E335C">
        <w:rPr>
          <w:rFonts w:ascii="Garamond" w:hAnsi="Garamond"/>
          <w:lang w:eastAsia="fr-FR"/>
        </w:rPr>
        <w:t xml:space="preserve">Dann fürchtest du dich nicht? </w:t>
      </w:r>
      <w:r w:rsidRPr="003E335C">
        <w:rPr>
          <w:rFonts w:ascii="Garamond" w:hAnsi="Garamond"/>
          <w:lang w:val="en-US" w:eastAsia="fr-FR"/>
        </w:rPr>
        <w:t>Weshalb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»Wenn der Wagen steht, geh' ich geschwind auf den Wagen und geh' auf das Brett.«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plant also, über einen Wagen auf die Verladungsrampe zu klettern und fürchtet sich, daß der Wagen davonfährt, wenn er auf dem Wagen oben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»Fürchtest du dich vielleicht, daß du nicht mehr nach Hause kommst, wenn du mit dem Wagen davonfährst?«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nein; ich kann ja immer noch zur Mama kommen, mit dem Wagen oder mit einem Fiaker. Ich kann ihm ja auch die Hausnummer sagen.«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»Also weshalb fürchtest du dich eigentlich?«</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Hans: »Das weiß ich nicht, der Professor wird's aber wissen. </w:t>
      </w:r>
      <w:r w:rsidRPr="003E335C">
        <w:rPr>
          <w:rFonts w:ascii="Garamond" w:hAnsi="Garamond"/>
          <w:lang w:eastAsia="fr-FR"/>
        </w:rPr>
        <w:t>Glaubst du, daß er es wissen wird?«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Ich: »Warum willst du eigentlich hinüber aufs Brett?«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»Weil ich noch nie drüben war, und da hab' ich so gern wollen dort sein, und weißt du, warum ich hab' wollen hingehen? Weil ich hab' wollen Gepäck aufladen und einladen und auf dem Gepäcke dort hab' ich wollen herumklettern. Da mag ich so gerne herumklettern. Weißt du, von wem ich das Herumklettern gelernt habe? Buben haben auf dem Gepäcke geklettert und das hab' ich auch gesehen und das will ich auch machen.«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Sein Wunsch ging nicht in Erfüllung, denn wenn Hans sich auch wieder vors Haustor getraute, die wenigen Schritte über die Gasse in den Hofraum wecken in ihm zu große Widerstände, weil im Hofe fortwährend Wagen fahren.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Der Professor weiß auch nur, daß dieses beabsichtigte Spiel Hansens mit den beladenen Wagen in eine symbolische, ersetzende Beziehung zu einem andern Wunsche geraten sein muß, von dem er noch nichts geäußert hat. Aber dieser Wunsch ließe sich, wenn es nicht zu kühn schiene, schon jetzt konstruieren.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Nachmittags gehen wir wieder vors Haustor, und zurückgekehrt frage ich Hans: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»Vor welchen Pferden fürchtest du dich eigentlich am meisten?«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»Vor allen.«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ist nicht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»Am meisten fürcht' ich mich vor den Pferden, die am Munde so etwas haben.«</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»Was meinst du? Das Eisen, das sie im Munde haben?«</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»Nein, sie haben etwas Schwarzes am Munde (deckt seinen Mund mit der Hand zu).«</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»Was, vielleicht einen Schnurrbart?«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(lacht): »O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»Haben das alle?«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nur einige.«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ist das, was sie am Munde haben?«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»So etwas Schwarzes.« – Ich glaube, es ist in der Realität das dicke Riemenzeug der Lastpferde über der Schnauze.</w:t>
      </w:r>
    </w:p>
    <w:p w:rsidR="00DF4073" w:rsidRPr="003E335C" w:rsidRDefault="00B437A1" w:rsidP="00DF4073">
      <w:pPr>
        <w:pStyle w:val="Sansinterligne"/>
        <w:rPr>
          <w:rFonts w:ascii="Garamond" w:hAnsi="Garamond"/>
          <w:lang w:eastAsia="fr-FR"/>
        </w:rPr>
      </w:pPr>
      <w:r w:rsidRPr="00B437A1">
        <w:rPr>
          <w:rFonts w:ascii="Garamond" w:hAnsi="Garamond"/>
          <w:lang w:eastAsia="fr-FR"/>
        </w:rPr>
        <w:pict>
          <v:shape id="_x0000_i1026" type="#_x0000_t75" alt="" style="width:24.2pt;height:24.2pt"/>
        </w:pic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Fig. 4</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»Auch vor einem Möbelwagen fürcht' ich mich am meisten.«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glaub', wenn die Möbelpferde einen schweren Wagen ziehen, fallen sie 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»Bei einem kleinen Wagen fürchtest du dich also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bei einem kleinen Wagen und einem Postwagen fürcht' ich mich nicht. Auch wenn ein Stellwagen kommt, fürcht' ich mich am meisten.«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weil er so groß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weil einmal bei so einem Wagen ein Pferd umgefallen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»Einmal, wie ich mit der Mammi gegangen bin trotz der ›Dummheit‹, wie ich die Weste gekauft hab'.«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(Dies wird nachträglich von der Mutter bestätigt.)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hast du dir gedacht, wie das Pferd umgefallen ist?«</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Hans: »Das wird jetzt immer sein. </w:t>
      </w:r>
      <w:r w:rsidRPr="003E335C">
        <w:rPr>
          <w:rFonts w:ascii="Garamond" w:hAnsi="Garamond"/>
          <w:lang w:val="en-US" w:eastAsia="fr-FR"/>
        </w:rPr>
        <w:t>Alle Pferde werden beim Stellwagen umfallen.«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»Bei jedem Stellwagen?«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Und auch beim Möbelwagen. Beim Möbelwagen nicht so oft.«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hast damals die Dummheit schon gehabt?«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ich hab' sie erst gekriegt. Wie das Pferd vom Stellwagen umgefallen ist, hab' ich mich so sehr erschrocken, wirklich! Wie ich gegangen bin, hab' ich sie gekriegt.«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»Die Dummheit war doch, daß du dir gedacht hast, ein Pferd wird dich beißen, und jetzt sagst du, du hast dich gefürchtet, daß ein Pferd umfallen wird.«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»Umfallen und beißen wird.« </w:t>
      </w:r>
      <w:hyperlink r:id="rId383" w:history="1">
        <w:r w:rsidRPr="003E335C">
          <w:rPr>
            <w:rFonts w:ascii="Garamond" w:hAnsi="Garamond"/>
            <w:color w:val="0000FF"/>
            <w:u w:val="single"/>
            <w:lang w:val="en-US" w:eastAsia="fr-FR"/>
          </w:rPr>
          <w:t>[Fußnote]Hans hat recht, so unwahrscheinlich diese Vereinigung auch klingt. Der Zusammenhang ist nämlich, wie sich zeigen wird, daß das Pferd (der Vater) ihn beißen werde wegen seines Wunsches, daß es (der Vater) umfallen möge.</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bist du so erschrocken?«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»Weil das Pferd mit den Füßen so gemacht hat (legt sich auf die Erde hin und macht mir das Zappeln vor). Ich hab' mich erschrocken, </w:t>
      </w:r>
      <w:r w:rsidRPr="003E335C">
        <w:rPr>
          <w:rFonts w:ascii="Garamond" w:hAnsi="Garamond"/>
          <w:i/>
          <w:iCs/>
          <w:lang w:val="en-US" w:eastAsia="fr-FR"/>
        </w:rPr>
        <w:t>weil es einen ›Krawall‹ gemacht hat mit den Füßen</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Ich: »Wo warst du damals mit der Mammi?«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»Zuerst am Eislaufplatze, dann im Kaffeehause, dann eine Weste kaufen, dann beim Zuckerbäcker mit der Mammi und dann nach Hause am Abend; da sind wir durch den Stadtpark durchgegangen.«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alles wird von meiner Frau bestätigt, auch daß unmittelbar nachher die Angst ausgebrochen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 das Pferd tot, wie es umgefallen ist?«</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»Ja!«</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»Woher weißt du das?«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»Weil ich's gesehen hab' (lacht). Nein, es war gar nicht tot.«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»Vielleicht hast du dir gedacht, daß es tot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gewiß nicht. Ich hab's nur im Spaße gesagt.« (Seine Miene war aber damals ernst.)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 er müde ist, lasse ich ihn laufen. Er erzählt mir nur noch, daß er sich zuerst vor Stellwagenpferden, dann vor allen anderen und zuletzt erst vor Möbelwagenpferden gefürchtet habe.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Auf dem Rückwege nach Lainz noch einige Fragen: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das Stellwagenpferd gefallen ist, was für Farbe hat es gehabt? Weiß, rot, braun, grau?«</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»Schwarz, beide Pferde waren schwarz.«</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 es groß oder klein?«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»Groß.«</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»Dick oder dünn?«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»Dick, sehr groß und dick.«</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wie das Pferd gefallen ist, an den Vatti gedacht?«</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»Vielleicht. Ja. Es ist möglich.«</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Der Vater mag an manchen Stellen ohne Erfolg geforscht haben; aber es schadet nichts, eine solche Phobie, die man gerne nach ihrem neuen Objekte benennen möchte, aus der Nähe kennenzulernen. Wir erfahren so, wie diffus sie eigentlich ist. Sie geht auf Pferde und auf Wagen, darauf, daß Pferde fallen, und daß sie beißen, auf Pferde besonderer Beschaffenheit, auf Wagen, die schwer beladen sind. Verraten wir gleich, daß alle diese Eigentümlichkeiten daher rühren, daß die Angst ursprünglich gar nicht den Pferden galt, sondern sekundär auf sie transponiert wurde und sich nun an den Stellen des Pferdekomplexes fixierte, die sich zu gewissen Übertragungen geeignet zeigten. Ein wesentliches Ergebnis der Inquisition des Vaters müssen wir besonders anerkennen. Wir haben den aktuellen Anlaß erfahren, nach welchem die Phobie ausbrach. </w:t>
      </w:r>
      <w:r w:rsidRPr="003E335C">
        <w:rPr>
          <w:rFonts w:ascii="Garamond" w:hAnsi="Garamond"/>
          <w:lang w:val="en-US" w:eastAsia="fr-FR"/>
        </w:rPr>
        <w:t>Dies war, als der Knabe ein großes schweres Pferd fallen sah, und wenigstens eine der Deutungen dieses Eindruckes scheint die vom Vater betonte zu sein, daß Hans damals den Wunsch verspürte, der Vater möge so fallen – und tot sein. Die ernste Miene bei der Erzählung galt wohl diesem unbewußten Sinne. Ob nicht noch anderer Sinn sich dahinter verbirgt? Und was soll das Krawallmachen mit den Beinen bedeuten?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spielt seit einiger Zeit im Zimmer Pferd, rennt herum, fällt nieder, zappelt mit den Füßen, wiehert. Einmal bindet er sich ein Sackerl wie einen Futtersack um. Wiederholt läuft er auf mich zu und beißt mich.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akzeptiert so die letzten Deutungen entschiedener, als er es mit Worten kann, natürlich aber mit Rollenvertauschung, da das Spiel im Dienste einer Wunschphantasie steht. Also er ist das Pferd, er beißt den Vater, übrigens identifiziert er sich dabei mit dem Vater.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Seit zwei Tagen bemerke ich, daß Hans sich in entschiedenster Weise gegen mich auflehnt, nicht frech, sondern ganz lustig. Ist es, weil er sich vor mir, dem Pferde, nicht mehr fürchtet?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6. April. Am Nachmittage mit Hans vor dem Hause. Ich frage ihn bei allen Pferden, ob er bei ihnen das »Schwarze am Munde« sieht: er verneint es bei allen. Ich frage ihn, wie das Schwarze eigentlich ausschaut; er sagt, es ist schwarzes Eisen. Meine erste Vermutung, er meine die dicken Lederriemen des Geschirres bei den Lastpferden, bestätigt sich also nicht. Ich frage, ob das »Schwarze« an einen Schnurrbart erinnert; er sagt: nur durch die Farbe. Was es in Wirklichkeit ist, weiß ich bis jetzt also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Furcht ist geringer; er wagt sich diesmal schon bis zum Nachbarhause, kehrt aber schnell um, wenn er in der Ferne Pferdetraben hört. Als ein Wagen bei unserem Haustore vorfährt und hält, gerät er in Angst und läuft ins Haus, da das Pferd mit dem Fuße scharrt. Ich frage ihn, weshalb er sich fürchte, ob er sich vielleicht ängstige, weil es so gemacht habe (stampfe mit dem Fuße auf). Er sagt: »Mach' doch keinen solchen Krawall mit den Füßen!« Vergleiche dazu die Äußerung über das gefallene Stellwagenpferd.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Besonders schreckt ihn das Vorüberfahren eines Möbelwagens. Er läuft dann ins Hausinnere. Ich frage ihn gleichgültig: »Sieht so ein Möbelwagen eigentlich nicht wie ein Stellwagen aus?« Er sagt nichts. Ich wiederhole die Frage. Er sagt dann: »Na natürlich, sonst würde ich mich nicht so vor einem Möbelwagen fürchten.«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 xml:space="preserve">7. April. Heute frage ich wieder, wie das »Schwarze am Munde« der Pferde aussieht. Hans sagt: wie ein Maulkorb. Das Merkwürdigste ist, daß seit 3 Tagen kein Pferd vorüberkommt, an dem er diesen »Maulkorb« konstatieren kann; ich selbst habe bei keinem Spaziergange ein solches Pferd gesehen, obzwar Hans beteuert, daß es solche gebe. Ich vermute, daß ihn wirklich eine Art von Kopfzäumung der Pferde – das dicke Riemenzeug um den Mund etwa – an einen Schnurrbart erinnert hat und daß mit meiner Andeutung </w:t>
      </w:r>
      <w:r w:rsidRPr="003E335C">
        <w:rPr>
          <w:rFonts w:ascii="Garamond" w:hAnsi="Garamond"/>
          <w:i/>
          <w:iCs/>
          <w:lang w:val="en-US" w:eastAsia="fr-FR"/>
        </w:rPr>
        <w:t>auch</w:t>
      </w:r>
      <w:r w:rsidRPr="003E335C">
        <w:rPr>
          <w:rFonts w:ascii="Garamond" w:hAnsi="Garamond"/>
          <w:lang w:val="en-US" w:eastAsia="fr-FR"/>
        </w:rPr>
        <w:t xml:space="preserve"> diese Furcht verschwunden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 Besserung Hansens ist konstant, der Radius seines Aktionskreises mit dem Haustore als Zentrum größer; er unternimmt sogar das für ihn bisher unmögliche Kunststück, aufs Trottoir vis-à-vis hinüberzulaufen. Alle Furcht, die übrig ist, hängt mit der Stellwagenszene zusammen, deren Sinn mir allerdings noch nicht klar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9. April. Heute früh kommt Hans dazu, wie ich mich mit entblößtem Oberkörper wasche.</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»Vatti, du bist aber schön, so weiß!«</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»Nicht wahr, wie ein weißes Pferd.«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»Nur der Schnurrbart ist schwarz (fortfahrend). Oder ist es vielleicht der schwarze Maulkorb?«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erzähle ihm dann, daß ich am Abende vorher beim Professor war, und sage: »Der will einiges wissen«, worauf Hans: »Da bin ich aber neugierig.«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sage ihm, ich weiß, bei welcher Gelegenheit er mit den Füßen Krawall macht. Er unterbricht mich: »Nicht wahr, wenn ich einen ›Zurn‹ habe oder wenn ich </w:t>
      </w:r>
      <w:r w:rsidRPr="003E335C">
        <w:rPr>
          <w:rFonts w:ascii="Garamond" w:hAnsi="Garamond"/>
          <w:i/>
          <w:iCs/>
          <w:lang w:val="en-US" w:eastAsia="fr-FR"/>
        </w:rPr>
        <w:t>Lumpf</w:t>
      </w:r>
      <w:r w:rsidRPr="003E335C">
        <w:rPr>
          <w:rFonts w:ascii="Garamond" w:hAnsi="Garamond"/>
          <w:lang w:val="en-US" w:eastAsia="fr-FR"/>
        </w:rPr>
        <w:t xml:space="preserve"> machen soll und lieber spielen will.« (Im Zorne hat er allerdings die Gewohnheit, mit den Füßen Krawall zu machen, d. h.: aufzustampfen. – »Lumpf machen« bedeutet auf die große Seite gehen. Als Hans klein war, sagte er eines Tages, vom Topfe aufstehend: »Schau den Lumpf«. [Er meinte: Strumpf wegen der Form und der Farbe.] Diese Bezeichnung ist geblieben bis heute. – In ganz frühen Zeiten, wenn er auf den Topf gesetzt werden sollte und sich weigerte, das Spiel stehenzulassen, stampfte er wütend mit den Füßen auf, zappelte und warf sich eventuell auch auf den Boden.)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»Du zappelst auch mit den Füßen, wenn du Wiwi machen sollst und nicht gehen willst, weil du lieber spielen möchtest.«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»Du, ich muß Wiwi machen« – und geht hinaus, wohl als Bestätigung.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Der Vater hatte bei seinem Besuche die Frage an mich gerichtet, woran wohl das Zappeln mit den Füßen beim gefallenen Pferde Hans erinnert haben möchte, und ich hatte vorgebracht, daß dies wohl seine eigene Reaktion bei zurückgehaltenem Harndrange gewesen sein könnte. Das bestätigt nun Hans durch das Wiederauftreten des Harndranges im Gespräche und fügt noch andere Bedeutungen des Krawallmachens mit den Füßen hinzu.</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Dann gehen wir vors Haustor. Er sagt mir, als ein Kohlenwagen kommt: »Du, vor einem Kohlenwagen fürchte ich mich auch stark.« Ich: »Vielleicht, weil er auch so groß ist wie ein Stellwagen.« Hans: »Ja, und weil er so schwer beladen ist und die Pferde haben soviel zu ziehen und können leicht fallen. Wenn ein Wagen leer ist, fürcht' ich mich nicht.« Tatsächlich versetzt ihn, wie schon früher konstatiert, nur Schwerfuhrwerk in Angst.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Bei alledem ist die Situation recht undurchsichtig. Die Analyse macht wenig Fortschritte; ihre Darstellung, fürchte ich, wird dem Leser bald langweilig werden. Indes, es gibt in jeder Psychoanalyse solche dunklen Zeiten. Hans begibt sich jetzt bald auf ein von uns nicht in Erwartung gezogenes Gebiet.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komme nach Hause und spreche mit meiner Frau, die verschiedene Einkäufe gemacht hat und sie mir zeigt. Darunter ist eine gelbe Unterhose. Hans sagt einige Male: »Pfui!«, wirft sich auf die Erde und spuckt aus. Meine Frau sagt, er habe das schon einige Male getan, sowie er die Hose gesehen habe. Ich frage: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»Warum sagst du Pfui?«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»Wegen der Hose.«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wegen der Farbe, weil sie gelb ist und an Wiwi oder an Lumpf erinnert?«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»Lumpf ist ja nicht gelb, er ist weiß oder schwarz.« – Unmittelbar darauf: »Du, macht man leicht Lumpf, wenn man Käse ißt?« (Das hatte ich einmal gesagt, als er mich fragte, wozu ich Käse esse.)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»Deshalb gehst du immer früh gleich Lumpf machen? Ich möchte so gerne Käse auf Butterbrot essen.«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Gestern schon fragte er mich, als er auf der Gasse herumsprang: »Du, nicht wahr, wenn man soviel herumspringt, macht man leicht Lumpf?« – Seit jeher macht sein Stuhlgang Schwierigkeiten, Kindermeth und Klystiere werden häufig gebraucht. Einmal war seine habituelle Verstopfung so stark, daß meine Frau </w:t>
      </w:r>
      <w:r w:rsidRPr="003E335C">
        <w:rPr>
          <w:rFonts w:ascii="Garamond" w:hAnsi="Garamond"/>
          <w:lang w:val="en-US" w:eastAsia="fr-FR"/>
        </w:rPr>
        <w:lastRenderedPageBreak/>
        <w:t>Dr. L. um Rat fragte. Dieser meinte, Hans werde überfüttert, was ja auch stimmte, und empfahl mäßigere Kost, was den Zustand auch sofort behob. In der letzten Zeit trat Verstopfung wieder häufiger auf.</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Nach dem Essen sage ich: »Wir werden dem Professor wieder schreiben«, und er diktierte mir: »Wie ich die gelbe Hose gesehen habe, habe ich gesagt: Pfui, da spei' ich, hab' mich niedergeworfen, hab' die Augen zugemacht und hab' nicht geschaut.«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»Weil ich die gelbe Hose gesehen habe, und bei der schwarzen Hose </w:t>
      </w:r>
      <w:hyperlink r:id="rId384" w:history="1">
        <w:r w:rsidRPr="003E335C">
          <w:rPr>
            <w:rFonts w:ascii="Garamond" w:hAnsi="Garamond"/>
            <w:color w:val="0000FF"/>
            <w:u w:val="single"/>
            <w:lang w:val="en-US" w:eastAsia="fr-FR"/>
          </w:rPr>
          <w:t>[Fußnote]Meine Frau ist seit einigen Wochen im Besitze einer schwarzen Reformhose für Radfahrpartien. [Anmerkung des Vaters.]</w:t>
        </w:r>
      </w:hyperlink>
      <w:r w:rsidRPr="003E335C">
        <w:rPr>
          <w:rFonts w:ascii="Garamond" w:hAnsi="Garamond"/>
          <w:lang w:val="en-US" w:eastAsia="fr-FR"/>
        </w:rPr>
        <w:t xml:space="preserve"> habe ich auch so etwas gemacht. Die schwarze ist auch so eine Hose, nur schwarz war sie.« (Sich unterbrechend.) »Du, ich bin froh; wenn ich dem Professor schreiben kann, bin ich immer so froh.«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hast du Pfui gesagt? Hast du dich geekelt?«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weil ich das gesehen hab'. Ich hab' geglaubt, ich muß Lumpf machen.«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weiß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»Wann hast du die schwarze Hose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»Einmal, wie die Anna (unser Mädchen) längst da war – bei der Mama – sie hat sie erst vom Kaufen nach Hause gebracht.« (Diese Angabe wird von meiner Frau bestätigt.)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dich auch geekelt?«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»Hast du die </w:t>
      </w:r>
      <w:r w:rsidRPr="003E335C">
        <w:rPr>
          <w:rFonts w:ascii="Garamond" w:hAnsi="Garamond"/>
          <w:i/>
          <w:iCs/>
          <w:lang w:val="en-US" w:eastAsia="fr-FR"/>
        </w:rPr>
        <w:t>Mammi</w:t>
      </w:r>
      <w:r w:rsidRPr="003E335C">
        <w:rPr>
          <w:rFonts w:ascii="Garamond" w:hAnsi="Garamond"/>
          <w:lang w:val="en-US" w:eastAsia="fr-FR"/>
        </w:rPr>
        <w:t xml:space="preserve"> in einer solchen Hose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»Wenn sie sich angezogen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»Die gelbe hab' ich schon einmal gesehen, wie sie sie gekauft hat. (Widerspruch! Wie die Mama die gelbe gekauft hat, hat er sie zum erstenmal gesehen.) Die schwarze hat sie heute auch an (richtig!), weil ich gesehen hab', wie sie in der Früh' sie sich ausgezogen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In der Früh' hat sie sich die schwarze Hose ausgezogen?«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»In der Früh', wie sie weggegangen ist, hat sie sich die schwarze Hose ausgezogen, und wie sie gekommen ist, hat sie sich noch einmal die schwarze angezogen.«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frage meine Frau, weil mir dies unsinnig vorkommt. Sie sagt auch, das ist gar nicht wahr; sie hat beim Weggehen natürlich nicht die Hose gewechselt.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frage Hans sofort: »Du hast doch erzählt, die Mammi hat sich eine schwarze Hose angezogen, und wie sie weggegangen ist, hat sie sie ausgezogen, und wie sie gekommen ist, hat sie sie noch einmal angezogen. Die Mammi sagt aber, das ist nicht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»Mir scheint, ich hab' vielleicht vergessen, daß sie sie nicht ausgezogen hat. (Unwillig.) Laß' mich endlich in Ruh'.«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Zur Erläuterung dieser Hosengeschichte bemerke ich nun: Hans heuchelt offenbar, wenn er sich so froh stellt, daß er nun über diese Angelegenheit Rede stehen darf. Am Ende wirft er die Maske ab und wird grob gegen seinen Vater. Es handelt sich um Dinge, die ihm früher </w:t>
      </w:r>
      <w:r w:rsidRPr="003E335C">
        <w:rPr>
          <w:rFonts w:ascii="Garamond" w:hAnsi="Garamond"/>
          <w:i/>
          <w:iCs/>
          <w:lang w:val="en-US" w:eastAsia="fr-FR"/>
        </w:rPr>
        <w:t>viel Lust</w:t>
      </w:r>
      <w:r w:rsidRPr="003E335C">
        <w:rPr>
          <w:rFonts w:ascii="Garamond" w:hAnsi="Garamond"/>
          <w:lang w:val="en-US" w:eastAsia="fr-FR"/>
        </w:rPr>
        <w:t xml:space="preserve"> bereitet haben und deren er sich jetzt nach eingetretener Verdrängung sehr schämt, zu ekeln vorgibt. Er lügt geradezu, um dem beobachteten Hosenwechsel der Mama andere Veranlassungen unterzuschieben; in Wirklichkeit gehört das An- und Ausziehen der Hose in den »Lumpf«-Zusammenhang. Der Vater weiß genau, worauf es hier ankommt und was Hans verbergen will.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frage meine Frau, ob Hans öfter dabei war, wenn sie sich aufs Klosett begab. Sie sagt: Ja, oft, er »penzt« so lange, bis sie es ihm erlaubt; das täten alle Kinder.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Wir wollen uns aber die heute bereits verdrängte Lust, die Mama beim Lumpfmachen zu sehen, gut merken.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Wir gehen vors Haus. Er ist sehr lustig, und wie er fortwährend gleichsam als Pferd herumhopst, frage ich: »Du, wer ist eigentlich ein Stellwagenpferd? Ich, du oder die Mammi?«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(sofort): »Ich, ich bin ein junges Pferd.«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Als er in der stärksten Angstzeit Pferde springen sah, Angst hatte und mich fragte, warum sie das täten, sagte ich, um ihn zu beruhigen: »Weißt du, das sind junge Pferde, die springen halt wie die jungen Buben. Du springst ja auch und bist ein Bub.« Seither, wenn er Pferde springen sieht, sagt er: »Das ist wahr, das sind junge Pferde!«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Auf der Treppe frage ich beim Heraufgehen fast gedankenlos: »Hast du in Gmunden mit den Kindern Pferdl gespielt?«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(Nachdenklich.) Mir scheint, da hab' ich die Dummheit gekriegt.«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Ich: »Wer war das Pferdl?«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»Ich, und die Berta war der Kutscher.«</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»Bist du vielleicht gefallen, wie du Pferdl warst?«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»Nein! Wenn die Berta gesagt hat: Hüh, bin ich schnell gelaufen, sogar gerannt.« </w:t>
      </w:r>
      <w:hyperlink r:id="rId385" w:history="1">
        <w:r w:rsidRPr="003E335C">
          <w:rPr>
            <w:rFonts w:ascii="Garamond" w:hAnsi="Garamond"/>
            <w:color w:val="0000FF"/>
            <w:u w:val="single"/>
            <w:lang w:val="en-US" w:eastAsia="fr-FR"/>
          </w:rPr>
          <w:t>[Fußnote]Er hatte auch ein Pferdchenspiel mit Glöckchen. [Anmerkung des Vaters.]</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»Stellwagen habt ihr nie gespielt?«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gewöhnlichen Wagen und Pferd ohne Wagen. Wenn das Pferd einen Wagen hat, kann es ja auch ohne Wagen gehen und der Wagen kann ja zu Hause sein.«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»Habt ihr oft Pferdl gespielt?«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»Sehr oft. Der Fritzl (wie bekannt auch ein Hausherrnkind) ist auch einmal Pferdl gewesen und der Franzl Kutscher und der Fritzl ist so stark gelaufen und auf einmal ist er auf einen Stein getreten und hat geblutet.«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»Ist er vielleicht gefallen?«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»Nein, er hat den Fuß in ein Wasser hineingegeben und dann hat er sich ein Tuch daraufgegeben.« </w:t>
      </w:r>
      <w:hyperlink r:id="rId386" w:history="1">
        <w:r w:rsidRPr="003E335C">
          <w:rPr>
            <w:rFonts w:ascii="Garamond" w:hAnsi="Garamond"/>
            <w:color w:val="0000FF"/>
            <w:u w:val="single"/>
            <w:lang w:val="en-US" w:eastAsia="fr-FR"/>
          </w:rPr>
          <w:t>[Fußnote]Siehe darüber später. Der Vater vermutet ganz richtig, daß Fritzl damals gefallen ist.</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»Warst du oft Pferd?«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da hast du die Dummheit gekriegt.«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»Weil sie immer gesagt haben: ›wegen dem Pferd‹ und ›wegen dem Pferd‹ (er betont das »wegen«), und so hab' ich vielleicht, weil sie so geredet haben ›wegen dem Pferd‹, hab ich vielleicht die Dummheit gekriegt.« </w:t>
      </w:r>
      <w:hyperlink r:id="rId387" w:history="1">
        <w:r w:rsidRPr="003E335C">
          <w:rPr>
            <w:rFonts w:ascii="Garamond" w:hAnsi="Garamond"/>
            <w:color w:val="0000FF"/>
            <w:u w:val="single"/>
            <w:lang w:val="en-US" w:eastAsia="fr-FR"/>
          </w:rPr>
          <w:t xml:space="preserve">[Fußnote]Ich erläutere, Hans will nicht behaupten, daß er </w:t>
        </w:r>
        <w:r w:rsidRPr="003E335C">
          <w:rPr>
            <w:rFonts w:ascii="Garamond" w:hAnsi="Garamond"/>
            <w:i/>
            <w:iCs/>
            <w:color w:val="0000FF"/>
            <w:u w:val="single"/>
            <w:lang w:val="en-US" w:eastAsia="fr-FR"/>
          </w:rPr>
          <w:t>damals</w:t>
        </w:r>
        <w:r w:rsidRPr="003E335C">
          <w:rPr>
            <w:rFonts w:ascii="Garamond" w:hAnsi="Garamond"/>
            <w:color w:val="0000FF"/>
            <w:u w:val="single"/>
            <w:lang w:val="en-US" w:eastAsia="fr-FR"/>
          </w:rPr>
          <w:t xml:space="preserve"> die Dummheit gekriegt hat, sondern im </w:t>
        </w:r>
        <w:r w:rsidRPr="003E335C">
          <w:rPr>
            <w:rFonts w:ascii="Garamond" w:hAnsi="Garamond"/>
            <w:i/>
            <w:iCs/>
            <w:color w:val="0000FF"/>
            <w:u w:val="single"/>
            <w:lang w:val="en-US" w:eastAsia="fr-FR"/>
          </w:rPr>
          <w:t>Zusammenhange</w:t>
        </w:r>
        <w:r w:rsidRPr="003E335C">
          <w:rPr>
            <w:rFonts w:ascii="Garamond" w:hAnsi="Garamond"/>
            <w:color w:val="0000FF"/>
            <w:u w:val="single"/>
            <w:lang w:val="en-US" w:eastAsia="fr-FR"/>
          </w:rPr>
          <w:t xml:space="preserve"> damit. Es muß ja wohl so zugehen, die Theorie fordert es, daß dasselbe einmal Gegenstand einer hohen Lust war, was heute das Objekt der Phobie ist. Und dann ergänze ich für ihn, was das Kind ja nicht zu sagen weiß, daß das Wörtchen » </w:t>
        </w:r>
        <w:r w:rsidRPr="003E335C">
          <w:rPr>
            <w:rFonts w:ascii="Garamond" w:hAnsi="Garamond"/>
            <w:i/>
            <w:iCs/>
            <w:color w:val="0000FF"/>
            <w:u w:val="single"/>
            <w:lang w:val="en-US" w:eastAsia="fr-FR"/>
          </w:rPr>
          <w:t>wegen</w:t>
        </w:r>
        <w:r w:rsidRPr="003E335C">
          <w:rPr>
            <w:rFonts w:ascii="Garamond" w:hAnsi="Garamond"/>
            <w:color w:val="0000FF"/>
            <w:u w:val="single"/>
            <w:lang w:val="en-US" w:eastAsia="fr-FR"/>
          </w:rPr>
          <w:t xml:space="preserve">« der Ausbreitung der Phobie vom Pferde auf die </w:t>
        </w:r>
        <w:r w:rsidRPr="003E335C">
          <w:rPr>
            <w:rFonts w:ascii="Garamond" w:hAnsi="Garamond"/>
            <w:i/>
            <w:iCs/>
            <w:color w:val="0000FF"/>
            <w:u w:val="single"/>
            <w:lang w:val="en-US" w:eastAsia="fr-FR"/>
          </w:rPr>
          <w:t>Wagen</w:t>
        </w:r>
        <w:r w:rsidRPr="003E335C">
          <w:rPr>
            <w:rFonts w:ascii="Garamond" w:hAnsi="Garamond"/>
            <w:color w:val="0000FF"/>
            <w:u w:val="single"/>
            <w:lang w:val="en-US" w:eastAsia="fr-FR"/>
          </w:rPr>
          <w:t xml:space="preserve"> (oder wie Hans zu hören und zu sprechen gewohnt ist: </w:t>
        </w:r>
        <w:r w:rsidRPr="003E335C">
          <w:rPr>
            <w:rFonts w:ascii="Garamond" w:hAnsi="Garamond"/>
            <w:i/>
            <w:iCs/>
            <w:color w:val="0000FF"/>
            <w:u w:val="single"/>
            <w:lang w:val="en-US" w:eastAsia="fr-FR"/>
          </w:rPr>
          <w:t>Wägen</w:t>
        </w:r>
        <w:r w:rsidRPr="003E335C">
          <w:rPr>
            <w:rFonts w:ascii="Garamond" w:hAnsi="Garamond"/>
            <w:color w:val="0000FF"/>
            <w:u w:val="single"/>
            <w:lang w:val="en-US" w:eastAsia="fr-FR"/>
          </w:rPr>
          <w:t>) den Weg eröffnet hat. Man darf nie daran vergessen, um wieviel dinglicher das Kind die Worte behandelt als der Erwachsene, wie bedeutungsvoll ihm darum Wortgleichklänge sind.</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Der Vater forscht eine Weile fruchtlos auf anderen Pfaden.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»Haben sie was erzählt vom Pferde?«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hab's vergessen.«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»Haben sie vielleicht erzählt vom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dich dort schon vor dem Pferde gefürchtet?«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nein, ich hab' mich gar nicht gefürchtet.«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»Hat vielleicht die Berta davon gesprochen, daß ein Pferd . .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(unterbrechend) »Wiwi macht?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10. April knüpfe ich an das gestrige Gespräch an und will wissen, was das »wegen dem Pferde« bedeutet habe. Hans weiß sich nicht zu erinnern, er weiß nur, daß früh mehrere Kinder vor dem Haustore gestanden sind und »wegen dem Pferde, wegen dem Pferde« gesagt haben. Er selbst war dabei. Wie ich dringender werde, erklärt er, sie hätten gar nicht »wegen dem Pferde« gesagt, er habe sich falsch erinnert.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»Ihr waret doch auch oft im Stalle, da habt ihr gewiß vom Pferde gesprochen.« – »Wir haben nicht gesprochen.« – »Wovon habt ihr gesprochen?« – »Von nichts.« – »Soviel Kinder waret ihr und ihr habt von nichts gesprochen?« – »Etwas haben wir schon gesprochen, aber nicht vom Pferde.« – »Was denn?« – »Das weiß ich jetzt nicht mehr.«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lasse das fallen, weil die Widerstände offenbar zu groß sind </w:t>
      </w:r>
      <w:hyperlink r:id="rId388" w:history="1">
        <w:r w:rsidRPr="003E335C">
          <w:rPr>
            <w:rFonts w:ascii="Garamond" w:hAnsi="Garamond"/>
            <w:color w:val="0000FF"/>
            <w:u w:val="single"/>
            <w:lang w:val="en-US" w:eastAsia="fr-FR"/>
          </w:rPr>
          <w:t>[Fußnote]Es ist da nämlich nichts anderes zu holen als die Wortanknüpfung, die dem Vater entgeht. Ein gutes Beispiel von den Bedingungen, unter denen die analytische Bemühung fehlschlägt.</w:t>
        </w:r>
      </w:hyperlink>
      <w:r w:rsidRPr="003E335C">
        <w:rPr>
          <w:rFonts w:ascii="Garamond" w:hAnsi="Garamond"/>
          <w:lang w:val="en-US" w:eastAsia="fr-FR"/>
        </w:rPr>
        <w:t>, und frage: »Mit der Berta hast du gern gespielt?«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sehr gern, mit der Olga nicht; weißt, was die Olga getan hat? Die Grete droben hat mir einmal einen Papierball geschenkt und die Olga hat ihn ganz zerrissen. Die Berta hätt' mir den Ball nie zerrissen. Mit der Berta hab' ich sehr gern gespielt.«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gesehen, wie der Wiwimacher von der Berta aussieht?«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»Nein, vom Pferde aber, weil ich immer im Stalle war, und da hab' ich vom Pferde den Wiwimacher gesehen.«</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»Und da warst du neugierig, wie sieht der Wiwimacher von der Berta und von der Mammi aus?«</w:t>
      </w:r>
    </w:p>
    <w:p w:rsidR="00DF4073" w:rsidRPr="003E335C" w:rsidRDefault="00DF4073" w:rsidP="00DF4073">
      <w:pPr>
        <w:pStyle w:val="Sansinterligne"/>
        <w:rPr>
          <w:rFonts w:ascii="Garamond" w:hAnsi="Garamond"/>
          <w:lang w:eastAsia="fr-FR"/>
        </w:rPr>
      </w:pPr>
      <w:r w:rsidRPr="003E335C">
        <w:rPr>
          <w:rFonts w:ascii="Garamond" w:hAnsi="Garamond"/>
          <w:lang w:eastAsia="fr-FR"/>
        </w:rPr>
        <w:lastRenderedPageBreak/>
        <w:t>Er: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erinnere ihn daran, daß er mir einmal geklagt hat, die Mäderl wollen immer zuschauen, wenn er Wiwi 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»Die Berta hat mir auch immer zugeschaut (durchaus nicht gekränkt, sondern sehr befriedigt), öfters. Wo der kleine Garten ist, wo die Rettige sind, hab' ich Wiwi gemacht, und sie ist vor dem Haustore gestanden und hat hergeschaut.«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wenn sie Wiwi gemacht hat, hast du zugeschaut?«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»Sie ist ja aufs Klosett gegangen.«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du warst neugierig?«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»Ich war ja im Klosett drinnen, wenn sie drin war.«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stimmt; die Hausleute haben es uns einmal erzählt, und ich erinnere mich, wir haben es Hans verboten.)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ihr gesagt, du willst hineingehen?«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»Ich bin allein hineingegangen und weil die Berta erlaubt hat. Es ist ja keine Schande.«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du hättest gerne den Wiwimacher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ich hab' ihn aber nicht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erinnere ihn an den Gmundner Traum: Was soll das Pfand in meiner Hand usw., und frage: Hast du in Gmunden gewünscht, daß dich die Berta Wiwi machen lassen soll?«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»Gesagt hab' ich ihr nie.«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hast du's ihr nie gesagt?«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»Weil ich nicht daran gedenkt hab'. (Sich unterbrechend.) Wenn ich alles dem Professor schreib', wird die Dummheit sehr bald vorüber sein, nicht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hast du gewünscht, daß die Berta dich Wiwi machen lassen soll?«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»Ich weiß nicht. Weil sie zugeschaut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dir gedacht, sie soll die Hand zum Wiwimacher geben?«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(Ablenkend.) In Gmunden war's sehr lustig. In dem kleinen Garten, wo die Rettige drin sind, ist ein kleiner Sandhaufen, dort spiel' ich mit der Schaufel.«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ist der Garten, wo er immer Wiwi gemacht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in Gmunden, wenn du im Bette gelegen bist, die Hand zum Wiwimacher gegeben?«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Er: »Nein, noch nicht. In Gmunden hab' ich so gut geschlafen, daß ich gar nicht daran gedenkt hab'. Nur in der —gasse </w:t>
      </w:r>
      <w:hyperlink r:id="rId389" w:history="1">
        <w:r w:rsidRPr="003E335C">
          <w:rPr>
            <w:rFonts w:ascii="Garamond" w:hAnsi="Garamond"/>
            <w:color w:val="0000FF"/>
            <w:u w:val="single"/>
            <w:lang w:val="en-US" w:eastAsia="fr-FR"/>
          </w:rPr>
          <w:t>[Fußnote]In der früheren Wohnung vor dem Umzuge.</w:t>
        </w:r>
      </w:hyperlink>
      <w:r w:rsidRPr="003E335C">
        <w:rPr>
          <w:rFonts w:ascii="Garamond" w:hAnsi="Garamond"/>
          <w:lang w:val="en-US" w:eastAsia="fr-FR"/>
        </w:rPr>
        <w:t xml:space="preserve"> und jetzt hab ich's getan.«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»Die Berta hat aber nie die Hand zu deinem Wiwimacher gegeben?«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»Sie hat es nie getan, nein, weil ich ihr's nie gesagt hab'.«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»Wann hast du dir's denn gewünscht?«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»Einen Tag halt in Gmunden.«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»Nur einmal?«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öfters.«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»Immer wenn du Wiwi gemacht hast, hat sie hergeschaut; sie war vielleicht neugierig, wie du Wiwi machen tust.«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»Vielleicht war sie neugierig, wie mein Wiwimacher aussieht.«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warst aber auch neugierig; nur auf die Berta?«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»Auf die Berta, auf die Olga.«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»Auf wen noch?«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»Auf niemand andern.«</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Ich: »Das ist ja nicht wahr. </w:t>
      </w:r>
      <w:r w:rsidRPr="003E335C">
        <w:rPr>
          <w:rFonts w:ascii="Garamond" w:hAnsi="Garamond"/>
          <w:lang w:eastAsia="fr-FR"/>
        </w:rPr>
        <w:t>Auf die Mammi auch.«</w:t>
      </w:r>
    </w:p>
    <w:p w:rsidR="00DF4073" w:rsidRPr="003E335C" w:rsidRDefault="00DF4073" w:rsidP="00DF4073">
      <w:pPr>
        <w:pStyle w:val="Sansinterligne"/>
        <w:rPr>
          <w:rFonts w:ascii="Garamond" w:hAnsi="Garamond"/>
          <w:lang w:eastAsia="fr-FR"/>
        </w:rPr>
      </w:pPr>
      <w:r w:rsidRPr="003E335C">
        <w:rPr>
          <w:rFonts w:ascii="Garamond" w:hAnsi="Garamond"/>
          <w:lang w:eastAsia="fr-FR"/>
        </w:rPr>
        <w:t>Er: »Auf die Mammi schon.«</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»Jetzt bist du doch nicht mehr neugierig. Du weißt doch, wie der Wiwimacher der Hanna ausschaut?«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Er: »Er wird aber wachsen, nicht?« </w:t>
      </w:r>
      <w:hyperlink r:id="rId390" w:history="1">
        <w:r w:rsidRPr="003E335C">
          <w:rPr>
            <w:rFonts w:ascii="Garamond" w:hAnsi="Garamond"/>
            <w:color w:val="0000FF"/>
            <w:u w:val="single"/>
            <w:lang w:val="en-US" w:eastAsia="fr-FR"/>
          </w:rPr>
          <w:t>[Fußnote]Er will die Sicherheit haben, daß sein eigener Wiwimacher wachsen wird.</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»Ja gewiß, aber wann er wächst, wird er nicht ausschaun wie deiner.«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»Das weiß ich. Er wird so sein« (sc. wie er jetzt ist), »nur größer.«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»Warst du neugierig in Gmunden, wenn die Mama sich ausgezogen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auch bei der Hanna beim Baden hab ich den Wiwimacher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»Bei der Mammi auch?«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hast dich geekelt, wenn du die Hose von der Mammi gesehen hast.«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 xml:space="preserve">Er: »Nur wenn ich die schwarze gesehen hab', wenn sie sie gekauft hat, dann spei ich, aber wenn sie sich die Hose anzieht oder auszieht, dann spei ich nicht. </w:t>
      </w:r>
      <w:r w:rsidRPr="003E335C">
        <w:rPr>
          <w:rFonts w:ascii="Garamond" w:hAnsi="Garamond"/>
          <w:i/>
          <w:iCs/>
          <w:lang w:val="en-US" w:eastAsia="fr-FR"/>
        </w:rPr>
        <w:t>Dann spei ich, weil die schwarze Hose doch schwarz ist wie ein Lumpf und die gelbe wie ein Wiwi, und da glaub' ich, ich muß Wiwi machen.</w:t>
      </w:r>
      <w:r w:rsidRPr="003E335C">
        <w:rPr>
          <w:rFonts w:ascii="Garamond" w:hAnsi="Garamond"/>
          <w:lang w:val="en-US" w:eastAsia="fr-FR"/>
        </w:rPr>
        <w:t xml:space="preserve"> Wenn die Mammi die Hose trägt, dann seh' ich sie nicht, dann hat sie doch die Kleider vor.«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wenn sie sich die Kleider auszieht?«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»Dann spei ich nicht. Wenn sie aber neu ist, dann sieht sie aus wie ein Lumpf. Wenn sie alt ist, geht die Farbe herunter und sie wird schmutzig. Wenn man sie gekauft hat, ist sie ganz rein, zu Hause hat man sie schon schmutzig gemacht. Wenn sie gekauft ist, ist sie neu, und wenn sie nicht gekauft ist, ist sie alt.«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»Vor der alten ekelt dich also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Er: »Wenn sie alt ist, ist sie ja viel schwärzer als ein Lumpf, nicht wahr? Ein bissel schwärzer ist sie.« </w:t>
      </w:r>
      <w:hyperlink r:id="rId391" w:history="1">
        <w:r w:rsidRPr="003E335C">
          <w:rPr>
            <w:rFonts w:ascii="Garamond" w:hAnsi="Garamond"/>
            <w:color w:val="0000FF"/>
            <w:u w:val="single"/>
            <w:lang w:val="en-US" w:eastAsia="fr-FR"/>
          </w:rPr>
          <w:t>[Fußnote]Unser Hans ringt da mit einem Thema, das er nicht darzustellen weiß, und wir haben es schwer, ihn zu verstehen. Vielleicht meint er, daß die Hosen die Ekelerinnerung nur dann erwecken, wenn er sie für sich sieht; sobald sie am Leibe der Mutter sind, bringt er sie nicht mehr mit Lumpf oder Wiwi in Zusammenhang, dann interessieren sie ihn in anderer Weise.</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»Mit der Mammi warst du oft im Klosett?«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»Sehr oft.«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 hast du dich geekelt?«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 . .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bist gerne dabei, wenn die Mammi Wiwi oder Lumpf 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»Sehr gerne.«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so gerne?«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»Das weiß ich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»Weil du glaubst, daß du den Wiwimacher sehen wirst.«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das glaub' ich auch.«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willst du aber in Lainz nie ins Klosett gehen?«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bittet in Lainz immer, ich soll ihn nicht ins Klosett führen; er fürchtete sich einmal vor dem Lärme, den das herabstürzende Spülwasser 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»Vielleicht, weil es einen Krawall macht, wenn man herunterzieht.«</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»Da fürchtest du dich.«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in unserem Klosett hier?«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»Hier nicht. In Lainz erschreck ich, wenn du herunterläßt. Wenn ich drin bin und es geht herunter, dann erschrecke ich auch.«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Um mir zu zeigen, daß er sich in unserer Wohnung nicht fürchte, fordert er mich auf, ins Klosett zu gehen und die Wasserspülung in Bewegung zu setzen. Dann erklärt er mir: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»Zuerst ist ein starker, dann ein lockerer Krawall (wenn das Wasser herabstürzt). Wenn es einen starken Krawall macht, bleib' ich lieber drin, wenn es einen schwachen macht, geh' ich lieber hinaus.«</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»Weil du dich fürchtest?«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»Weil ich immer so gerne mag einen starken Krawall sehen (korrigiert sich), hören, und da bleib' ich lieber drin, daß ich ihn fest hör'.«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»Woran erinnert dich ein starker Krawall?«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»Daß ich im Klosett Lumpf machen muß.« (Also dasselbe wie die schwarze Hose.)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»Ich weiß nicht. Ich weiß es, ein starker Krawall hört sich so an, wie wenn man Lumpf macht. Ein großer Krawall erinnert an Lumpf, ein kleiner an Wiwi (vgl. die schwarze und die gelbe Hose).«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hat das Stellwagenpferd nicht dieselbe Farbe gehabt wie ein Lumpf?« (Es war nach seiner Angabe schwarz.)</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(sehr betroffen):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muß da einige Worte einschalten. Der Vater fragt zu viel und forscht nach eigenen Vorsätzen, anstatt den Kleinen sich äußern zu lassen. Dadurch wird die Analyse undurchsichtig und unsicher. Hans geht seinen eigenen Weg und leistet nichts, wenn man ihn von diesem ablocken will. Sein Interesse ist jetzt offenbar bei Lumpf und Wiwi, wir wissen nicht, weshalb. Die Krawallgeschichte ist so wenig befriedigend aufgeklärt wie die mit der gelben und schwarzen Hose. Ich vermute, sein scharfes Ohr hat die Verschiedenheit der Geräusche, wenn ein Mann oder ein Weib uriniert, sehr wohl bemerkt. Die Analyse hat das Material aber etwas künstlich in den Gegensatz der beiden Bedürfnisse gepreßt. Dem Leser, der noch selbst keine Analyse gemacht hat, kann ich nur den Rat geben, nicht alles sogleich verstehen zu </w:t>
      </w:r>
      <w:r w:rsidRPr="003E335C">
        <w:rPr>
          <w:rFonts w:ascii="Garamond" w:hAnsi="Garamond"/>
          <w:lang w:val="en-US" w:eastAsia="fr-FR"/>
        </w:rPr>
        <w:lastRenderedPageBreak/>
        <w:t>wollen, sondern allem, was kommt, eine gewisse unparteiische Aufmerksamkeit zu schenken und das Weitere abzuwarten.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11. April. Heute früh kommt Hans wieder ins Zimmer und wird, wie in allen den letzten Tagen, hinausgewiesen.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Später erzählt er: »Du, ich hab mir was gedacht: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 </w:t>
      </w:r>
      <w:r w:rsidRPr="003E335C">
        <w:rPr>
          <w:rFonts w:ascii="Garamond" w:hAnsi="Garamond"/>
          <w:i/>
          <w:iCs/>
          <w:lang w:val="en-US" w:eastAsia="fr-FR"/>
        </w:rPr>
        <w:t>Ich bin in der Badewanne</w:t>
      </w:r>
      <w:hyperlink r:id="rId392" w:history="1">
        <w:r w:rsidRPr="003E335C">
          <w:rPr>
            <w:rFonts w:ascii="Garamond" w:hAnsi="Garamond"/>
            <w:color w:val="0000FF"/>
            <w:u w:val="single"/>
            <w:lang w:val="en-US" w:eastAsia="fr-FR"/>
          </w:rPr>
          <w:t>[Fußnote]Hans wird von der Mama gebadet. [Anmerkung des Vaters.]</w:t>
        </w:r>
      </w:hyperlink>
      <w:r w:rsidRPr="003E335C">
        <w:rPr>
          <w:rFonts w:ascii="Garamond" w:hAnsi="Garamond"/>
          <w:i/>
          <w:iCs/>
          <w:lang w:val="en-US" w:eastAsia="fr-FR"/>
        </w:rPr>
        <w:t>, da kommt der Schlosser und schraubt sie los</w:t>
      </w:r>
      <w:hyperlink r:id="rId393" w:history="1">
        <w:r w:rsidRPr="003E335C">
          <w:rPr>
            <w:rFonts w:ascii="Garamond" w:hAnsi="Garamond"/>
            <w:color w:val="0000FF"/>
            <w:u w:val="single"/>
            <w:lang w:val="en-US" w:eastAsia="fr-FR"/>
          </w:rPr>
          <w:t>[Fußnote]Um sie in Reparatur zu nehmen. [Anmerkung des Vaters.]</w:t>
        </w:r>
      </w:hyperlink>
      <w:r w:rsidRPr="003E335C">
        <w:rPr>
          <w:rFonts w:ascii="Garamond" w:hAnsi="Garamond"/>
          <w:i/>
          <w:iCs/>
          <w:lang w:val="en-US" w:eastAsia="fr-FR"/>
        </w:rPr>
        <w:t>. Da nimmt er einen großen Bohrer und stoßt mich in den Bauch.</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Der Vater übersetzt sich diese Phantasie.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bin im Bette bei der Mama. Da kommt der Papa und treibt mich weg. Mit seinem großen Penis verdrängt er mich von der Mama.«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Wir wollen unser Urteil noch aufgeschoben halten.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Ferner erzählt er etwas zweites, was er sich ausgedacht: »Wir fahren im Zuge nach Gmunden. In der Station ziehen wir die Kleider an, werden damit aber nicht fertig und der Zug fährt mit uns davon.«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Später frage ich: »Hast du schon einmal ein Pferd Lumpf machen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sehr oft.«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»Macht es einen starken Krawall beim Lumpf machen?«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»An was erinnert dich der Krawall?«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»Wie wenn der Lumpf in den Topf fällt.«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Stellwagenpferd, das umfällt und Krawall mit den Füßen macht, ist wohl – ein Lumpf, der herabfällt und dabei Geräusch macht. Die Furcht vor der Defäkation, die Furcht vor schwer beladenen Wagen ist überhaupt gleich der Furcht vor schwerbeladenem Bauche.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Auf diesen Umwegen dämmert dem Vater der richtige Sachverhalt.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11. April. Hans sagt beim Mittagessen: »Wenn wir nur in Gmunden eine Badewanne hätten, damit ich nicht in die Badeanstalt gehen muß.« Er wurde in Gmunden nämlich, um ihn warm zu baden, immer in die nahe gelegene Badeanstalt geführt, wogegen er mit heftigem Weinen zu protestieren pflegte. Auch in Wien schreit er immer, wenn er zum Baden in die große Wanne gesetzt oder gelegt wird. Er muß knieend oder stehend gebadet werden.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Diese Rede Hansens, der nun anfängt, der Analyse durch selbständige Äußerungen Nahrung zu geben, stellt die Verbindung zwischen seinen beiden letzten Phantasien (vom Schlosser, der die Badewanne abschraubt, und von der mißglückten Reise nach Gmunden) her. Der Vater hatte mit Recht aus letzterer eine Abneigung gegen Gmunden erschlossen. Übrigens wieder eine gute Mahnung daran, daß man das aus dem Unbewußten Auftauchende nicht mit Hilfe des Vorhergegangenen, sondern des Nachkommenden zu verstehen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frage ihn, ob und wovor er sich fürchtet.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»Weil ich hineinfall'.«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hast du dich aber nie gefürchtet, wenn du in der kleinen Badewanne gebadet worden bist?«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 bin ich ja gesessen, da hab' ich mich nicht legen können, die war ja zu klein.«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»Wenn du in Gmunden Schinakel gefahren bist, hast du dich nicht gefürchtet, daß du ins Wasser fällst?«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weil ich mich angehalten hab', und da kann ich nicht hineinfallen. Ich furcht' mich nur in der großen Badewanne, daß ich hineinfall.«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 badet dich doch die Mama. Fürchtest du dich, daß dich die Mammi ins Wasser werfen wird?«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»Daß sie die Hände weggeben wird und ich falle ins Wasser mit dem Kopf.«</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weißt doch, die Mammi hat dich lieb, sie wird doch nicht die Hände weggeben.«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hab's halt geglaubt.«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»Das weiß ich bestimmt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»Vielleicht weil du schlimm warst und du geglaubt hast, daß sie dich nicht mehr gerne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»Wenn du dabei warst, wie die Mammi die Hanna gebadet hat, hast du vielleicht gewünscht, sie soll die Hand loslassen, damit die Hanna hineinfällt?«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Wir glauben, dies hat der Vater sehr richtig erraten.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12. April. Auf der Rückfahrt von Lainz in der zweiten Klasse sagt Hans, wie er die schwarzen Lederpölster sieht: »Pfui, da spei ich, bei den schwarzen Hosen und den schwarzen Pferden spei ich auch, weil ich muß Lumpf machen.«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vielleicht bei der Mammi etwas Schwarzes gesehen, was dich erschreckt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denn?«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weiß nicht. Eine schwarze Bluse oder schwarze Strümpfe.«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»Vielleicht beim Wiwimacher schwarze Haare, wenn du neugierig warst und hingeschaut hast.«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(entschuldigend): »Aber den Wiwimacher hab' ich nicht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Als er sich wieder einmal fürchtete, wie aus dem Hoftor vis-à-vis ein Wagen fuhr, fragte ich: »Sieht dieses Tor nicht aus wie ein Podl?«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»Und die Pferde sind die Lumpfe!« Seitdem sagt er immer, wenn er einen Wagen herausfahren sieht: »Schau, ein ›Lumpfi‹ kommt.« Die Form Lumpfi ist ihm sonst ganz fremd, sie klingt wie ein Kosewort. Meine Schwägerin heißt ihr Kind immer »Wumpfi«.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13. April sieht er in der Suppe ein Stück Leber und sagt: »Pfui, ein Lumpf.« Auch faschiertes Fleisch ißt er sichtlich ungern wegen der Form und Farbe, die ihn an einen Lumpf erinnern.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Abends erzählt meine Frau, Hans sei auf dem Balkon gewesen und habe dann gesagt: »Ich hab' gedacht, die Hanna ist am Balkon gewesen und ist hinuntergefallen.« Ich hatte ihm öfter gesagt, er soll, wenn die Hanna auf dem Balkon ist, achtgeben, daß sie nicht zu nah ans Geländer kommt, das von einem sezessionistischen Schlosser höchst ungeschickt – mit großen Öffnungen, die ich erst mit einem Drahtnetz verkleinern lassen mußte – konstruiert worden ist. Der verdrängte Wunsch Hansens ist sehr durchsichtig. Die Mama fragt ihn, ob es ihm lieber wäre, wenn die Hanna nicht da wäre, was er bejaht.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14. April. Das Thema Hanna steht im Vordergrund. Er hatte, wie aus früheren Aufzeichnungen erinnerlich, gegen das neugeborene Kind, das ihm einen Teil der Liebe der Eltern raubte, eine große Aversion, die auch jetzt noch nicht ganz geschwunden und durch übergroße Zärtlichkeit nur zum Teil überkompensiert ist </w:t>
      </w:r>
      <w:hyperlink r:id="rId394" w:history="1">
        <w:r w:rsidRPr="003E335C">
          <w:rPr>
            <w:rFonts w:ascii="Garamond" w:hAnsi="Garamond"/>
            <w:color w:val="0000FF"/>
            <w:u w:val="single"/>
            <w:lang w:val="en-US" w:eastAsia="fr-FR"/>
          </w:rPr>
          <w:t>[Fußnote]Wenn das Thema »Hanna« das Thema »Lumpf« direkt ablöst, so leuchtet uns der Grund dafür endlich ein. Die Hanna ist selbst ein »Lumpf«, Kinder sind Lumpfe!</w:t>
        </w:r>
      </w:hyperlink>
      <w:r w:rsidRPr="003E335C">
        <w:rPr>
          <w:rFonts w:ascii="Garamond" w:hAnsi="Garamond"/>
          <w:lang w:val="en-US" w:eastAsia="fr-FR"/>
        </w:rPr>
        <w:t xml:space="preserve">. Er äußerte sich öfter schon, der Storch solle kein Kind mehr bringen, wir sollen ihm Geld geben, daß er keines mehr </w:t>
      </w:r>
      <w:r w:rsidRPr="003E335C">
        <w:rPr>
          <w:rFonts w:ascii="Garamond" w:hAnsi="Garamond"/>
          <w:i/>
          <w:iCs/>
          <w:lang w:val="en-US" w:eastAsia="fr-FR"/>
        </w:rPr>
        <w:t>aus der großen Kiste</w:t>
      </w:r>
      <w:r w:rsidRPr="003E335C">
        <w:rPr>
          <w:rFonts w:ascii="Garamond" w:hAnsi="Garamond"/>
          <w:lang w:val="en-US" w:eastAsia="fr-FR"/>
        </w:rPr>
        <w:t>, worin die Kinder sind, bringe. (Vgl. die Furcht vor dem Möbelwagen. Sieht nicht ein Stellwagen wie eine große Kiste aus?) Die Hanna mache soviel Geschrei, das sei ihm lästig.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Einmal sagt er plötzlich: »Kannst du dich erinnern, wie die Hanna gekommen ist? Sie ist bei der Mammi im Bette gelegen, so lieb und brav.« (Dieses Lob hat verdächtig falsch geklungen!)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Dann unten vor dem Hause. Es ist abermals ein großer Fortschritt zu bemerken. Selbst Lastwagen flößen ihm geringere Furcht ein. Einmal ruft er fast freudig: »Da kommt ein Pferd mit was Schwarzem am Munde«, und ich kann endlich konstatieren, daß es ein Pferd mit einem Maulkorbe aus Leder ist. Hans hat aber gar keine Angst vor diesem Pferde.</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Einmal schlägt er mit seinem Stocke auf das Pflaster und fragt: »Du, ist da ein Mann unten . . . einer, der begraben ist . . ., oder gibt's das nur am Friedhofe?« </w:t>
      </w:r>
      <w:r w:rsidRPr="003E335C">
        <w:rPr>
          <w:rFonts w:ascii="Garamond" w:hAnsi="Garamond"/>
          <w:lang w:eastAsia="fr-FR"/>
        </w:rPr>
        <w:t>Ihn beschäftigt also nicht nur das Rätsel des Lebens, sondern auch das des Todes.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Zurückgekehrt sehe ich eine Kiste im Vorzimmer stehen und Hans sagt: »Hanna ist in so einer Kiste nach Gmunden mitgefahren. Immer wenn wir nach Gmunden gefahren sind, ist sie mitgefahren in der Kiste. Du glaubst mir schon wieder nicht? Wirklich, Vatti. Glaub' mir. Wir haben eine große Kiste gekriegt und da sind lauter Kinder drin, in der Badewanne sitzen sie drin. (In der Kiste ist eine kleine Badewanne eingepackt worden.) Ich hab' sie hineingesetzt, wirklich. Ich kann mich gut erinnern.« </w:t>
      </w:r>
      <w:hyperlink r:id="rId395" w:history="1">
        <w:r w:rsidRPr="003E335C">
          <w:rPr>
            <w:rFonts w:ascii="Garamond" w:hAnsi="Garamond"/>
            <w:color w:val="0000FF"/>
            <w:u w:val="single"/>
            <w:lang w:val="en-US" w:eastAsia="fr-FR"/>
          </w:rPr>
          <w:t>[Fußnote]Er beginnt nun zu phantasieren. Wir erfahren, daß Kiste und Badewanne ihm das gleiche bedeuten, Vertretungen des Raumes, in dem sich die Kinder befinden. Beachten wir seine wiederholten Beteuerungen!</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kannst du dich erinnern?«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»Daß die Hanna in der Kiste gefahren ist, weil ich's nicht vergessen hab'. Mein Ehrenwort!«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»Aber voriges Jahr ist doch die Hanna im Coupé mitgefahren.«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 </w:t>
      </w:r>
      <w:r w:rsidRPr="003E335C">
        <w:rPr>
          <w:rFonts w:ascii="Garamond" w:hAnsi="Garamond"/>
          <w:i/>
          <w:iCs/>
          <w:lang w:val="en-US" w:eastAsia="fr-FR"/>
        </w:rPr>
        <w:t>Aber immer früher ist sie in der Kiste mitgefahren.</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»Hat die Mammi nicht die Kiste gehabt?«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die Mammi hat sie gehabt!«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denn?«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»Zu Hause am Boden.«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 xml:space="preserve">Ich: »Hat sie sie vielleicht mit sich herumgetragen?« </w:t>
      </w:r>
      <w:hyperlink r:id="rId396" w:history="1">
        <w:r w:rsidRPr="003E335C">
          <w:rPr>
            <w:rFonts w:ascii="Garamond" w:hAnsi="Garamond"/>
            <w:color w:val="0000FF"/>
            <w:u w:val="single"/>
            <w:lang w:val="en-US" w:eastAsia="fr-FR"/>
          </w:rPr>
          <w:t xml:space="preserve">[Fußnote]Die Kiste ist natürlich der Mutterleib. Der Vater will Hans andeuten, daß er dies versteht. Auch das Kästchen, in dem die Helden des Mythus ausgesetzt werden, von König Sargon von Agade an, ist nichts anderes. – Vgl. Ranks Studie: </w:t>
        </w:r>
        <w:r w:rsidRPr="003E335C">
          <w:rPr>
            <w:rFonts w:ascii="Garamond" w:hAnsi="Garamond"/>
            <w:i/>
            <w:iCs/>
            <w:color w:val="0000FF"/>
            <w:u w:val="single"/>
            <w:lang w:val="en-US" w:eastAsia="fr-FR"/>
          </w:rPr>
          <w:t>Der Mythus von der Geburt des Helden</w:t>
        </w:r>
        <w:r w:rsidRPr="003E335C">
          <w:rPr>
            <w:rFonts w:ascii="Garamond" w:hAnsi="Garamond"/>
            <w:color w:val="0000FF"/>
            <w:u w:val="single"/>
            <w:lang w:val="en-US" w:eastAsia="fr-FR"/>
          </w:rPr>
          <w:t xml:space="preserve"> 1909 (zweite Auflage 1922).</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Wenn wir jetzt nach Gmunden fahren, wird die Hanna auch in der Kiste fahren.«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ist sie denn aus der Kiste herausgekommen?«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»Man hat sie herausgenommen.«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»Die Mammi?«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und die Mammi, dann sind wir in den Wagen eingestiegen und die Hanna ist am Pferde geritten und der Kutscher hat ›Hüöh‹ gesagt. Der Kutscher war am Bocke. Warst du mit? Die Mammi weiß es sogar. Die Mammi weiß es nicht, sie hat es schon wieder vergessen, aber nichts ihr sagen!«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lasse mir alles wiederholen.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»Dann ist die Hanna ausgestiegen.«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»Sie hat noch gar nicht gehen können.«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»Wir haben sie dann heruntergehoben.«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hat sie denn am Pferde sitzen können, sie hat ja voriges Jahr noch gar nicht sitzen können.«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 sie hat schon gesessen und hat gerufen ›Hüöh‹ und gepeitscht ›Hüöh, hüöh‹ mit der Peitsche, die ich früher gehabt hab'. Das Pferd hat gar keinen Steigbügel gehabt und die Hanna hat geritten; Vatti, aber nicht im Spaße vielleicht.«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Was soll dieser hartnäckig festgehaltene Unsinn? Oh, es ist kein Unsinn, es ist Parodie und Hansens Rache an seinem Vater. Es heißt soviel als: </w:t>
      </w:r>
      <w:r w:rsidRPr="003E335C">
        <w:rPr>
          <w:rFonts w:ascii="Garamond" w:hAnsi="Garamond"/>
          <w:i/>
          <w:iCs/>
          <w:lang w:val="en-US" w:eastAsia="fr-FR"/>
        </w:rPr>
        <w:t>Kannst du mir zumuten, daß ich glauben soll, der Storch habe die Hanna im Oktober gebracht, wo ich doch den großen Leib der Mutter schon im Sommer, wie wir nach Gmunden gefahren sind, bemerkt hab', so kann ich verlangen, daß du mir meine Lügen glaubst.</w:t>
      </w:r>
      <w:r w:rsidRPr="003E335C">
        <w:rPr>
          <w:rFonts w:ascii="Garamond" w:hAnsi="Garamond"/>
          <w:lang w:val="en-US" w:eastAsia="fr-FR"/>
        </w:rPr>
        <w:t xml:space="preserve"> Was kann die Behauptung, daß die Hanna schon im vorigen Sommer »in der Kiste« nach Gmunden mitgefahren ist, anderes bedeuten als sein Wissen um die Gravidität der Mutter? Daß er die Wiederholung dieser Fahrt in der Kiste für jedes folgende Jahr in Aussicht stellt, entspricht einer häufigen Form des Auftauchens eines unbewußten Gedankens aus der Vergangenheit, oder es hat spezielle Gründe und drückt seine Angst aus, eine solche Gravidität zur nächsten Sommerreise wiederholt zu sehen. Wir haben jetzt auch erfahren, durch welchen Zusammenhang ihm die Reise nach Gmunden verleidet war, was seine zweite Phantasie andeutete.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Später frage ich ihn, wie die Hanna nach ihrer Geburt eigentlich ins Bett der Mama gekommen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 kann er nun loslegen und den Vater »frotzeln«.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»Die Hanna ist halt gekommen. Die Frau Kraus (die Hebamme) hat sie ins Bett gelegt. Sie hat ja nicht gehen können. Aber der Storch hat sie im Schnabel getragen. Gehen hat sie ja nicht können. (In einem Zuge fortfahrend.) Der Storch ist bis im Gang gegangen auf der Stiegen und dann hat er geklopft und da haben alle geschlafen und er hat den richtigen Schlüssel gehabt und hat aufgesperrt und hat die Hanna in </w:t>
      </w:r>
      <w:r w:rsidRPr="003E335C">
        <w:rPr>
          <w:rFonts w:ascii="Garamond" w:hAnsi="Garamond"/>
          <w:i/>
          <w:iCs/>
          <w:lang w:val="en-US" w:eastAsia="fr-FR"/>
        </w:rPr>
        <w:t>dein</w:t>
      </w:r>
      <w:hyperlink r:id="rId397" w:history="1">
        <w:r w:rsidRPr="003E335C">
          <w:rPr>
            <w:rFonts w:ascii="Garamond" w:hAnsi="Garamond"/>
            <w:color w:val="0000FF"/>
            <w:u w:val="single"/>
            <w:lang w:val="en-US" w:eastAsia="fr-FR"/>
          </w:rPr>
          <w:t xml:space="preserve">[Fußnote]Hohn natürlich! </w:t>
        </w:r>
        <w:r w:rsidRPr="003E335C">
          <w:rPr>
            <w:rFonts w:ascii="Garamond" w:hAnsi="Garamond"/>
            <w:color w:val="0000FF"/>
            <w:u w:val="single"/>
            <w:lang w:eastAsia="fr-FR"/>
          </w:rPr>
          <w:t>Sowie die spätere Bitte, der Mama nichts von dem Geheimnis zu verraten.</w:t>
        </w:r>
      </w:hyperlink>
      <w:r w:rsidRPr="003E335C">
        <w:rPr>
          <w:rFonts w:ascii="Garamond" w:hAnsi="Garamond"/>
          <w:lang w:eastAsia="fr-FR"/>
        </w:rPr>
        <w:t xml:space="preserve"> </w:t>
      </w:r>
      <w:r w:rsidRPr="003E335C">
        <w:rPr>
          <w:rFonts w:ascii="Garamond" w:hAnsi="Garamond"/>
          <w:lang w:val="en-US" w:eastAsia="fr-FR"/>
        </w:rPr>
        <w:t xml:space="preserve">Bett gelegt und die Mammi hat geschlafen – nein, der Storch hat sie in </w:t>
      </w:r>
      <w:r w:rsidRPr="003E335C">
        <w:rPr>
          <w:rFonts w:ascii="Garamond" w:hAnsi="Garamond"/>
          <w:i/>
          <w:iCs/>
          <w:lang w:val="en-US" w:eastAsia="fr-FR"/>
        </w:rPr>
        <w:t>ihr Bett</w:t>
      </w:r>
      <w:r w:rsidRPr="003E335C">
        <w:rPr>
          <w:rFonts w:ascii="Garamond" w:hAnsi="Garamond"/>
          <w:lang w:val="en-US" w:eastAsia="fr-FR"/>
        </w:rPr>
        <w:t xml:space="preserve"> gelegt. Es war schon ganz Nacht, und dann hat sie der Storch ganz ruhig ins Bett gelegt, hat gar nicht gestrampelt, und dann hat er sich den Hut genommen, und dann ist er wieder weggegangen. Nein, Hut hat er nicht gehabt.«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»Wer hat sich den Hut genommen? Der Doktor vielleicht?«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»Dann ist der Storch weggegangen, nach Hause gegangen und dann hat er angeläutet und alle Leute im Hause haben nicht mehr geschlafen. Aber erzähl' das nicht der Mammi und der Tinni (der Köchin). Das ist Geheimnis!«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die Hanna gerne?«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 sehr gerne.«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»Wäre es dir lieber, wenn die Hanna nicht auf die Welt gekommen wäre, oder ist es dir lieber, daß sie auf der Welt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»Mir wär' lieber, daß sie nicht auf die Welt gekommen wär'.«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»Wenigstens schreit sie nicht so und ich kann das Schreien nicht aushalten.«</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»Du schreist ja selbst.«</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»Die Hanna schreit ja auch.«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kannst du es nicht aushalten?«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»Weil sie so stark schreit.«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»Aber sie schreit ja gar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»Wenn man sie am nackten Popo haut, dann schreit sie.«</w:t>
      </w:r>
    </w:p>
    <w:p w:rsidR="00DF4073" w:rsidRPr="003E335C" w:rsidRDefault="00DF4073" w:rsidP="00DF4073">
      <w:pPr>
        <w:pStyle w:val="Sansinterligne"/>
        <w:rPr>
          <w:rFonts w:ascii="Garamond" w:hAnsi="Garamond"/>
          <w:lang w:eastAsia="fr-FR"/>
        </w:rPr>
      </w:pPr>
      <w:r w:rsidRPr="003E335C">
        <w:rPr>
          <w:rFonts w:ascii="Garamond" w:hAnsi="Garamond"/>
          <w:lang w:eastAsia="fr-FR"/>
        </w:rPr>
        <w:lastRenderedPageBreak/>
        <w:t>Ich: »Hast du sie einmal gehaut?«</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»Wenn die Mammi sie auf den Popo haut, dann schreit sie.«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hast du nicht gerne?«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 . . Warum? Weil sie so einen Krawall macht mit dem Schreien.«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»Wenn du lieber hättest, daß sie nicht auf der Welt wär', hast du sie ja gar nicht gern.«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»Hm, hm« (zustimmend).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»Deshalb hast du gedacht, wenn die Mammi sie badet, wenn sie die Hände weggeben möcht', dann möchte sie ins Wasser fallen . .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(ergänzt): – »und sterben.«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du wärst dann allein mit der Mammi. Und ein braver Bub' wünscht das doch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 </w:t>
      </w:r>
      <w:r w:rsidRPr="003E335C">
        <w:rPr>
          <w:rFonts w:ascii="Garamond" w:hAnsi="Garamond"/>
          <w:i/>
          <w:iCs/>
          <w:lang w:val="en-US" w:eastAsia="fr-FR"/>
        </w:rPr>
        <w:t>Aber denken darf er's.</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ist aber nicht gut.«</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Hans: » </w:t>
      </w:r>
      <w:r w:rsidRPr="003E335C">
        <w:rPr>
          <w:rFonts w:ascii="Garamond" w:hAnsi="Garamond"/>
          <w:i/>
          <w:iCs/>
          <w:lang w:val="en-US" w:eastAsia="fr-FR"/>
        </w:rPr>
        <w:t>Wenn er's denken tut, ist es doch gut, damit man's dem Professor schreibt.</w:t>
      </w:r>
      <w:r w:rsidRPr="003E335C">
        <w:rPr>
          <w:rFonts w:ascii="Garamond" w:hAnsi="Garamond"/>
          <w:lang w:val="en-US" w:eastAsia="fr-FR"/>
        </w:rPr>
        <w:t xml:space="preserve">« </w:t>
      </w:r>
      <w:hyperlink r:id="rId398" w:history="1">
        <w:r w:rsidRPr="003E335C">
          <w:rPr>
            <w:rFonts w:ascii="Garamond" w:hAnsi="Garamond"/>
            <w:color w:val="0000FF"/>
            <w:u w:val="single"/>
            <w:lang w:eastAsia="fr-FR"/>
          </w:rPr>
          <w:t>[Fußnote]Wacker, kleiner Hans! Ich wünschte mir bei keinem Erwachsenen ein besseres Verständnis der Psychoanalyse.</w:t>
        </w:r>
      </w:hyperlink>
    </w:p>
    <w:p w:rsidR="00DF4073" w:rsidRPr="003E335C" w:rsidRDefault="00DF4073" w:rsidP="00DF4073">
      <w:pPr>
        <w:pStyle w:val="Sansinterligne"/>
        <w:rPr>
          <w:rFonts w:ascii="Garamond" w:hAnsi="Garamond"/>
          <w:lang w:eastAsia="fr-FR"/>
        </w:rPr>
      </w:pPr>
      <w:r w:rsidRPr="003E335C">
        <w:rPr>
          <w:rFonts w:ascii="Garamond" w:hAnsi="Garamond"/>
          <w:lang w:eastAsia="fr-FR"/>
        </w:rPr>
        <w:t>Später sag' ich ihm: »Weißt du, wenn die Hanna größer sein wird und wird sprechen können, wirst du sie schon lieber haben.«</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»O nein. Ich hab' sie ja lieb. Wenn sie im Herbst groß sein wird, werd' ich mit ihr ganz allein in den Stadtpark gehen und werd' ihr alles erklären.«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Wie ich mit einer weiteren Aufklärung anfangen will, unterbricht er mich, wahrscheinlich, um mir zu erklären, daß es nicht so schlimm ist, wenn er der Hanna den Tod wünscht.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»Du, sie war doch schon längst auf der Welt, auch wie sie noch nicht da war. Beim Storche war sie doch auch auf der Welt.«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»Nein, beim Storche war sie vielleicht doch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»Wer hat sie denn gebracht? Der Storch hat sie gehabt.«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»Woher hat er sie denn gebracht?«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»Na, von ihm.«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hat er sie denn gehabt?«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»In der Kiste, in der </w:t>
      </w:r>
      <w:r w:rsidRPr="003E335C">
        <w:rPr>
          <w:rFonts w:ascii="Garamond" w:hAnsi="Garamond"/>
          <w:i/>
          <w:iCs/>
          <w:lang w:val="en-US" w:eastAsia="fr-FR"/>
        </w:rPr>
        <w:t>Storchenkiste.</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sieht denn die Kiste aus?«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»Rot. Rot angestrichen.« (Blut?)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»Wer hat dir's denn gesagt?«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»Die Mammi – ich hab' mir's gedacht – im Buche steht's.«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»In welchem Buche?«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»Im Bilderbuche.« (Ich lasse mir sein erstes Bilderbuch bringen. Dort ist ein Storchennest mit Störchen abgebildet auf einem roten Kamin. Das ist die Kiste; sonderbarerweise ist auf demselben Blatt ein Pferd zu sehen, das beschlagen wird. In die Kiste verlegt Hans die Kinder, da er sie im Neste nicht findet.)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hat denn der Storch mit ihr gemacht?«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»Dann hat er die Hanna hergebracht. Im Schnabel. Weißt, der Storch, der in Schönbrunn ist, der in den Schirm beißt.« (Reminiszenz an einen kleinen Vorfall in Schönbrunn.)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gesehen, wie der Storch die Hanna gebracht hat?«</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Hans: »Du, da hab' ich doch noch geschlafen. </w:t>
      </w:r>
      <w:r w:rsidRPr="003E335C">
        <w:rPr>
          <w:rFonts w:ascii="Garamond" w:hAnsi="Garamond"/>
          <w:lang w:val="en-US" w:eastAsia="fr-FR"/>
        </w:rPr>
        <w:t>In der Früh kann kein Storch ein Mäderl oder einen Buben bringen.«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»Das kann er nicht. Das kann ein Storch nicht. Weißt warum? Daß die Leute nicht sehen, und auf einmal, wenn Früh ist, ist ein Mädel da.« </w:t>
      </w:r>
      <w:hyperlink r:id="rId399" w:history="1">
        <w:r w:rsidRPr="003E335C">
          <w:rPr>
            <w:rFonts w:ascii="Garamond" w:hAnsi="Garamond"/>
            <w:color w:val="0000FF"/>
            <w:u w:val="single"/>
            <w:lang w:eastAsia="fr-FR"/>
          </w:rPr>
          <w:t xml:space="preserve">[Fußnote]Man halte sich über Hansens Inkonsequenz nicht auf. Im vorigen Gespräch ist der Unglaube an den Storch aus seinem Unbewußten zum Vorschein gekommen, der mit seiner Erbitterung gegen den geheimtuerischen Vater verknüpft war. </w:t>
        </w:r>
        <w:r w:rsidRPr="003E335C">
          <w:rPr>
            <w:rFonts w:ascii="Garamond" w:hAnsi="Garamond"/>
            <w:color w:val="0000FF"/>
            <w:u w:val="single"/>
            <w:lang w:val="en-US" w:eastAsia="fr-FR"/>
          </w:rPr>
          <w:t>Jetzt ist er ruhiger geworden und antwortet mit offiziellen Gedanken, in denen er sich für die vielen mit der Storchhypothese verbundenen Schwierigkeiten Erklärungen zurecht gemacht hat.</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warst aber damals doch neugierig, wie das der Storch gemacht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hat die Hanna ausgesehen, wie sie gekommen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(falsch): »Ganz weiß und lieb. Wie goldig.«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du sie aber das erstemal gesehen hast, hat sie dir aber nicht gefallen.«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sehr!«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Ich: »Du warst doch überrascht, daß sie so klein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klein war sie?«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»Wie ein junger Storch.«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war's noch? Wie ein Lumpf vielleicht?«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nein, ein Lumpf ist viel größer . . . bissel kleiner, wie die Hanna wirklich.«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hatte dem Vater vorhergesagt, daß die Phobie des Kleinen sich auf die Gedanken und Wünsche aus Anlaß der Geburt des Schwesterchens werde zurückführen lassen, aber ich hatte versäumt, ihn aufmerksam zu machen, daß ein Kind ein »Lumpf« für die infantile Sexualtheorie sei, so daß Hans den Exkrementalkomplex passieren werde. Aus dieser meiner Nachlässigkeit entsprang die zeitweise Verdunkelung der Kur. Jetzt nach erfolgter Klärung versucht der Vater, Hans über diesen wichtigen Punkt ein zweites Mal zu vernehmen.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nächsten Tage lasse ich mir die gestern erzählte Geschichte nochmals wiederholen. Hans erzählt: »Die Hanna ist in der großen Kiste nach Gmunden gefahren, und die Mammi im Coupé und die Hanna ist im Lastzuge mit der Kiste gefahren, und dann, wie wir in Gmunden waren, haben ich und die Mammi die Hanna herausgehoben, haben sie aufs Pferd gesetzt. Der Kutscher war am Bocke und die Hanna hat die vorige (vorjährige) Peitsche gehabt und hat das Pferd gepeitscht und hat immer gesagt: ›Hüöh‹, und das war immer lustig, und der Kutscher hat auch gepeitscht. – Der Kutscher hat gar nicht gepeitscht, weil die Hanna die Peitsche gehabt hat. – Der Kutscher hat die Zügel gehabt – auch die Zügel hat die Hanna gehabt (wir sind jedesmal mit einem Wagen von der Bahn zum Hause gefahren; Hans sucht hier Wirklichkeit und Phantasie in Übereinstimmung zu bringen). In Gmunden haben wir die Hanna vom Pferde heruntergehoben, und sie ist allein über die Stiege gegangen.« (Als Hanna voriges Jahr in Gmunden war, war sie 8 Monate alt. Ein Jahr früher, worauf sich offenbar Hans' Phantasie bezieht, waren bei der Ankunft in Gmunden 5 Monate der Gravidität verstrichen.)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vorige Jahr war die Hanna schon da.«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»Voriges Jahr ist sie im Wagen gefahren, aber ein Jahr vorher, wie sie bei uns auf der Welt war . .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»Bei uns war sie schon?«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du bist doch schon immer gekommen, mit mir Schinakel zu fahren, und die Anna hat dich bedient.«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war aber nicht voriges Jahr, da war die Hanna noch gar nicht auf der Welt.«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 </w:t>
      </w:r>
      <w:r w:rsidRPr="003E335C">
        <w:rPr>
          <w:rFonts w:ascii="Garamond" w:hAnsi="Garamond"/>
          <w:i/>
          <w:iCs/>
          <w:lang w:val="en-US" w:eastAsia="fr-FR"/>
        </w:rPr>
        <w:t>Ja, da war sie auf der Welt.</w:t>
      </w:r>
      <w:r w:rsidRPr="003E335C">
        <w:rPr>
          <w:rFonts w:ascii="Garamond" w:hAnsi="Garamond"/>
          <w:lang w:val="en-US" w:eastAsia="fr-FR"/>
        </w:rPr>
        <w:t xml:space="preserve"> Wie sie erst in der Kiste gefahren ist, hat sie schon laufen können, schon ›Anna‹ sagen.« (Das kann sie erst seit 4 Monaten.)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»Aber da war sie doch noch gar nicht bei uns.«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 da war sie doch beim Storche.«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alt ist denn die Hanna?«</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Hans: »Sie wird im Herbste 2 Jahre. </w:t>
      </w:r>
      <w:r w:rsidRPr="003E335C">
        <w:rPr>
          <w:rFonts w:ascii="Garamond" w:hAnsi="Garamond"/>
          <w:lang w:eastAsia="fr-FR"/>
        </w:rPr>
        <w:t>Die Hanna war doch da, du weißt es doch.«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wann war sie beim Storche in der Storchenkiste?«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»Schon lange, bevor sie in der Kiste gefahren ist. Schon sehr lange.«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lange kann denn die Hanna gehen? Wie sie in Gmunden war, hat sie noch nicht gehen können.«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»Voriges Jahr nicht, sonst schon.«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»Die Hanna war doch nur einmal in Gmunden.«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Sie war zweimal; ja, das ist richtig. Ich kann mich sehr gut erinnern. Frag' nur die Mammi, die wird dir's schon sagen.«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ist doch nicht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»Ja, das ist wahr. </w:t>
      </w:r>
      <w:r w:rsidRPr="003E335C">
        <w:rPr>
          <w:rFonts w:ascii="Garamond" w:hAnsi="Garamond"/>
          <w:i/>
          <w:iCs/>
          <w:lang w:val="en-US" w:eastAsia="fr-FR"/>
        </w:rPr>
        <w:t>Wie sie in Gmunden das erstemal war, hat sie gehen und reiten können und später hat man sie tragen müssen.</w:t>
      </w:r>
      <w:r w:rsidRPr="003E335C">
        <w:rPr>
          <w:rFonts w:ascii="Garamond" w:hAnsi="Garamond"/>
          <w:lang w:val="en-US" w:eastAsia="fr-FR"/>
        </w:rPr>
        <w:t xml:space="preserve"> – Nein, später ist sie erst geritten und voriges Jahr hat man sie tragen müssen.«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»Sie geht aber doch erst ganz kurze Zeit. In Gmunden hat sie nicht gehen können.«</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Hans: »Ja, schreib's nur auf. </w:t>
      </w:r>
      <w:r w:rsidRPr="003E335C">
        <w:rPr>
          <w:rFonts w:ascii="Garamond" w:hAnsi="Garamond"/>
          <w:lang w:val="en-US" w:eastAsia="fr-FR"/>
        </w:rPr>
        <w:t>Ich kann mich ganz gut erinnern. – Warum lachst du?«</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»Weil du ein Schwindler bist, weil du ganz gut weißt, daß die Hanna nur einmal in Gmunden war.«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das ist nicht wahr. Das erstemal ist sie auf dem Pferde geritten . . . und das zweitemal (wird offenbar unsicher).«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 das Pferd vielleicht die Mammi?«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ein wirkliches Pferd, beim Einspänner.«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»Wir sind doch immer mit einem Zweispänner gefahren.«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»So war's halt ein Fiaker.«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hat die Hanna in der Kiste gegessen?«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Hans: »Man hat ihr ein Butterbrot und Hering und Rettig (ein Gmundner Nachtmahl) hineingegeben, und daweil die Hanna gefahren ist, hat sie sich das Butterbrot aufgeschmiert und hat 50mal gegessen.«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»Hat die Hanna nicht geschrien?«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hat sie denn gemacht?«</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»Ganz ruhig d'rin gesessen.«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»Hat sie nicht gestoßen?«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sie hat fortwährend gegessen und hat sich nicht einmal gerührt. Zwei große Häfen Kaffee hat sie ausgetrunken – bis in der Früh war alles weg und den Mist hat sie in der Kiste gelassen, die Blätter von den zwei Rettigen und ein Messer zum Rettigschneiden; sie hat alles zusammengeputzt wie ein Has', in einer Minute und sie war fertig. Das war eine Hetz'. Ich und die Hanna bin sogar mitgefahren in der Kiste, ich hab' in der Kiste geschlafen die ganze Nacht (wir sind vor 2 Jahren tatsächlich in der Nacht nach Gmunden gefahren) und die Mammi ist im Coupé gefahren. Immer haben wir gegessen auch im Wagen, das war eine Gaude. – Sie ist gar nicht am Pferde geritten (er ist jetzt unsicher geworden, weil er weiß, daß wir im Zweispänner gefahren sind) . . . sie ist im Wagen gesessen. Das ist das Richtige, aber ganz allein bin ich und die Hanna gefahren . . . die Mammi ist auf dem Pferde geritten, die Karolin' (unser Mädchen vom vorigen Jahre) auf dem andern . . . Du, was ich dir da erzähl', ist nicht einmal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ist nicht wahr?«</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Hans: »Alles nicht. Du, wir setzen sie und mich in die Kiste </w:t>
      </w:r>
      <w:hyperlink r:id="rId400" w:history="1">
        <w:r w:rsidRPr="003E335C">
          <w:rPr>
            <w:rFonts w:ascii="Garamond" w:hAnsi="Garamond"/>
            <w:color w:val="0000FF"/>
            <w:u w:val="single"/>
            <w:lang w:val="en-US" w:eastAsia="fr-FR"/>
          </w:rPr>
          <w:t>[Fußnote]Die Kiste für das Gmundner Gepäck, die im Vorzimmer steht. [Anmerkung des Vaters.]</w:t>
        </w:r>
      </w:hyperlink>
      <w:r w:rsidRPr="003E335C">
        <w:rPr>
          <w:rFonts w:ascii="Garamond" w:hAnsi="Garamond"/>
          <w:lang w:val="en-US" w:eastAsia="fr-FR"/>
        </w:rPr>
        <w:t xml:space="preserve"> und ich werde in die Kiste Wiwi machen. Ich werd' halt in die Hosen Wiwi machen, liegt mir gar nichts d'ran, ist gar keine Schand'. </w:t>
      </w:r>
      <w:r w:rsidRPr="003E335C">
        <w:rPr>
          <w:rFonts w:ascii="Garamond" w:hAnsi="Garamond"/>
          <w:lang w:eastAsia="fr-FR"/>
        </w:rPr>
        <w:t>Du, das ist aber kein Spaß, aber lustig ist es schon!«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erzählt dann die Geschichte, wie der Storch gekommen ist, wie gestern, nur nicht, daß er beim Weggehen den Hut genommen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hat der Storch den Türschlüssel gehabt?«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»In der Tasche.«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hat denn der Storch eine Tasche?«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»Im Schnabel.«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»Im Schnabel hat er ihn gehabt! Ich hab' noch keinen Storch gesehen, der einen Schlüssel im Schnabel gehabt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»Wie hat er denn hineinkommen können? Wie kommt denn der Storch von der Tür hinein? Das ist ja nicht wahr, ich hab' mich nur geirrt; der Storch läutet an und jemand macht auf.«</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läutet er denn?«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»Auf der Glocke.«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macht er das?«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»Er nimmt den Schnabel und drückt mit dem Schnabel an.«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er hat die Tür wieder zugemacht?«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ein Dienstmädchen hat sie zugemacht. Die war ja schon auf, die hat ihm aufgemacht und zugemacht.«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ist der Storch zu Hause?«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»Wo? In der Kiste, wo er die Mäderl hat. In Schönbrunn vielleicht.«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»Ich hab' in Schönbrunn keine Kiste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»Die wird halt weiter weg sein. – Weißt, wie der Storch die Kiste aufmacht? Er nimmt den Schnabel – die Kiste hat auch einen Schlüssel – er nimmt den Schnabel und eins (eine Schnabelhälfte) läßt er auf und sperrt so auf (demonstriert es mir am Schreibtischschlosse). Das ist ja auch ein Henkel.«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»Ist so ein Mäderl nicht zu schwer für ihn?«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sieht ein Stellwagen nicht wie eine Storchenkiste aus?«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ein Möbelwagen?«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»Ein Gsindelwerkwagen (Gsindelwerk: Schimpfwort für unartige Kinder) auch.«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17. April. Gestern hat Hans seinen lange geplanten Vorsatz ausgeführt und ist in den Hof vis-à-vis hinübergegangen. Heute wollte er es nicht tun, weil gerade gegenüber dem Einfahrtstore ein Wagen an der Ausladerampe stand. Er sagte mir: »Wenn dort ein Wagen steht, so fürcht' ich mich, daß </w:t>
      </w:r>
      <w:r w:rsidRPr="003E335C">
        <w:rPr>
          <w:rFonts w:ascii="Garamond" w:hAnsi="Garamond"/>
          <w:i/>
          <w:iCs/>
          <w:lang w:val="en-US" w:eastAsia="fr-FR"/>
        </w:rPr>
        <w:t>ich die Pferde necken werde</w:t>
      </w:r>
      <w:r w:rsidRPr="003E335C">
        <w:rPr>
          <w:rFonts w:ascii="Garamond" w:hAnsi="Garamond"/>
          <w:lang w:val="en-US" w:eastAsia="fr-FR"/>
        </w:rPr>
        <w:t xml:space="preserve"> und sie fallen um und machen mit den Füßen Krawall.«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Ich: »Wie neckt man denn Pferde?«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»Wenn man mit ihnen schimpft, dann neckt man sie, wenn man Hühü schreit.« </w:t>
      </w:r>
      <w:hyperlink r:id="rId401" w:history="1">
        <w:r w:rsidRPr="003E335C">
          <w:rPr>
            <w:rFonts w:ascii="Garamond" w:hAnsi="Garamond"/>
            <w:color w:val="0000FF"/>
            <w:u w:val="single"/>
            <w:lang w:val="en-US" w:eastAsia="fr-FR"/>
          </w:rPr>
          <w:t>[Fußnote]Es hat ihm oft große Furcht eingejagt, wenn Kutscher die Pferde schlugen und Hü schrien. [Anmerkung des Vaters.]</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Pferde schon geneckt?«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schon öfter. Fürchten tu ich mich, daß ich's tu, aber wahr ist es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schon in Gmunden Pferde geneckt?«</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»Nein!«</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»Du neckst aber gerne Pferde?«</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»O ja, sehr gerne!«</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»Möchtest du sie gerne peitschen?«</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»Ja!«</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»Möchtest du die Pferde so schlagen, wie die Mammi die Hanna? Das hast du ja auch gerne.«</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»Den Pferden schadet es ja nichts, wenn man sie schlägt. (So hab' ich ihm seinerzeit gesagt, um seine Furcht vor dem Peitschen der Pferde zu mäßigen.) Ich hab's einmal wirklich getan. Ich hab' einmal die Peitsche gehabt und hab' das Pferd gepeitscht und es ist umgefallen und hat mit den Füßen Krawall gemacht.«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»In Gmunden.«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»Ein wirkliches Pferd? Das am Wagen angespannt war?«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»Es war außer'm Wagen.«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war's denn?«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hab's halt gehalten, daß es nicht davonrennen soll.« (Das klang natürlich alles unwahrscheinlich.)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war das?«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»Beim Brunnen.«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»Wer hat's dir erlaubt? Hat's der Kutscher dort stehen lassen?«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»Halt ein Pferd vom Stalle.«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ist es zum Brunnen gekommen?«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hab's hingeführt.«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»Woher? Aus dem Stalle?«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hab's herausgeführt, weil ich es hab' wollen peitschen.«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 im Stalle niemand?«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 der Loisl (der Kutscher in Gmunden).«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»Hat er dir's erlaubt?«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 mit ihm lieb geredet, und er hat gesagt, ich darf es tun.«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hast du ihm gesagt?«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»Ob ich das Pferd nehmen darf und peitschen und schreien. Er hat gesagt,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du's viel gepeitscht?«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 </w:t>
      </w:r>
      <w:r w:rsidRPr="003E335C">
        <w:rPr>
          <w:rFonts w:ascii="Garamond" w:hAnsi="Garamond"/>
          <w:i/>
          <w:iCs/>
          <w:lang w:val="en-US" w:eastAsia="fr-FR"/>
        </w:rPr>
        <w:t>Was ich dir da erzähl', ist gar nicht wahr.</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ist davon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»Nix ist davon wahr, das hab' ich dir nur im Spaße erzählt.«</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»Du hast nie ein Pferd aus dem Stalle geführt?«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»Gewünscht hast du dir's.«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gewünscht schon, gedacht hab' ich mir's.«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»In Gmunden?«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 erst hier. In der Früh' hab' ich mir's schon gedacht, wie ich ganz angezogen war; nein, in der Früh' im Bette.«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hast du mir's nie erzählt?«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 nicht d'ran gedacht.«</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»Du hast dir's gedacht, weil du auf die Straßen gesehen hast.«</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»Ja!«</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»Wen möchtest du eigentlich gerne schlagen, die Mammi, die Hanna oder mich?«</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»Die Mammi.«</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Hans: »Ich möcht' sie halt schlagen.«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»Wann hast du gesehen, daß jemand eine Mammi schlägt?«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hab's noch nie gesehen, in meinem Leben nie.«</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Ich: »Und du möchtest es halt doch machen. </w:t>
      </w:r>
      <w:r w:rsidRPr="003E335C">
        <w:rPr>
          <w:rFonts w:ascii="Garamond" w:hAnsi="Garamond"/>
          <w:lang w:eastAsia="fr-FR"/>
        </w:rPr>
        <w:t>Wie möchtest du das tun?«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»Mit dem Pracker.« (Mit dem Pracker droht die Mama öfter ihn zu schlagen.)</w:t>
      </w:r>
    </w:p>
    <w:p w:rsidR="00DF4073" w:rsidRPr="003E335C" w:rsidRDefault="00DF4073" w:rsidP="00DF4073">
      <w:pPr>
        <w:pStyle w:val="Sansinterligne"/>
        <w:rPr>
          <w:rFonts w:ascii="Garamond" w:hAnsi="Garamond"/>
          <w:lang w:eastAsia="fr-FR"/>
        </w:rPr>
      </w:pPr>
      <w:r w:rsidRPr="003E335C">
        <w:rPr>
          <w:rFonts w:ascii="Garamond" w:hAnsi="Garamond"/>
          <w:lang w:eastAsia="fr-FR"/>
        </w:rPr>
        <w:t>Für heute mußte ich das Gespräch abbrechen.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Auf der Gasse erklärte mir Hans: Stellwagen, Möbelwagen, Kohlenwagen seien Storchkistenwagen.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heißt also: gravide Frauen. Die sadistische Anwandlung unmittelbar vorher kann nicht außer Zusammenhang mit unserem Thema sein.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21. April. Heute früh erzählt Hans, er habe sich gedacht: »Ein Zug war in Lainz und ich bin mit der Lainzer Großmama nach Hauptzollamt gefahren. Du warst noch nicht herunter von der Brücke und der zweite Zug war schon in St. Veit. Wie du heruntergekommen bist, war der Zug schon da und da sind wir eingestiegen.«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(Gestern war Hans in Lainz. Um auf den Einsteigeperron zu kommen, muß man über eine Brücke gehen. Von dem Perron sieht man die Schienen entlang bis zur Station St. Veit. Die Sache ist etwas undeutlich. Ursprünglich hat sich Hans wohl gedacht: er ist mit dem ersten Zuge, den ich versäumt habe, davongefahren, dann ist aus Unter-St. Veit ein zweiter Zug gekommen, mit dem ich nachgefahren bin. Ein Stück dieser Ausreißerphantasie hat er entstellt, so daß er schließlich sagt: »Wir sind beide erst mit dem zweiten Zuge weggefahren.«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Diese Phantasie steht in Beziehung zu der letzten ungedeuteten, die davon handelt, wir hätten in Gmunden zuviel Zeit verbraucht, um die Kleider in der Bahn anzuziehen, und der Zug wäre davongefahren.)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Nachmittag vor dem Haus. Hans läuft plötzlich ins Haus, als ein Wagen mit zwei Pferden kommt, an dem ich nichts Außergewöhnliches bemerken kann. Ich frage ihn, was er hat. Er sagt: »Ich fürchte mich, weil die Pferde so stolz sind, daß sie umfallen.« (Die Pferde wurden vom Kutscher scharf am Zügel gehalten, so daß sie in kurzem Schritte gingen, die Köpfe hochhaltend – sie hatten wirklich einen stolzen Gang.)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frage ihn, wer denn eigentlich so stolz sei.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»Du, wenn ich ins Bett zur Mammi komm'.«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wünschest also, ich soll umfallen?«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du sollst als Nackter (er meint: barfüßig wie seinerzeit Fritzl) auf einen Stein anstoßen und da soll Blut fließen und wenigstens kann ich mit der Mammi ein bißchen allein sein. Wenn du in die Wohnung heraufkommst, kann ich geschwind weglaufen von der Mammi, daß du's nicht siehst.«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»Kannst du dich erinnern, wer sich am Steine angestoßen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der Fritzl.«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»Wie der Fritzl hingefallen ist, was hast du dir gedacht?« </w:t>
      </w:r>
      <w:hyperlink r:id="rId402" w:history="1">
        <w:r w:rsidRPr="003E335C">
          <w:rPr>
            <w:rFonts w:ascii="Garamond" w:hAnsi="Garamond"/>
            <w:color w:val="0000FF"/>
            <w:u w:val="single"/>
            <w:lang w:val="en-US" w:eastAsia="fr-FR"/>
          </w:rPr>
          <w:t>[Fußnote]Fritzl ist also tatsächlich gefallen, was er seinerzeit geleugnet hat.</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»Daß du am Steine hinfliegen sollst.«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möchtest also gerne zur Mammi?«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schimpf ich denn eigentlich?«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»Das weiß ich nicht.«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»Weil du eifern tust.«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ist doch nicht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»Ja, das ist wahr, du tust eifern, das weiß ich. Das muß wahr sein.«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Meine Erklärung, daß nur kleine Buben zur Mammi ins Bett kommen, große in ihrem eigenen Bett schlafen, hat ihm also nicht sehr imponiert.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vermute, daß der Wunsch, das Pferd zu »necken« i. e. schlagen, anschreien, nicht, wie er angab, auf die Mama, sondern auf mich geht. Er hat die Mama wohl nur vorgeschoben, weil er mir das andere nicht eingestehen wollte. In den letzten Tagen ist er von besonderer Zärtlichkeit gegen mich.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Mit der Überlegenheit, die man »nachträglich« so leicht erwirbt, wollen wir den Vater korrigieren, daß der Wunsch Hansens, das Pferd zu »necken«, doppelt gefügt ist, zusammengesetzt aus einem dunkeln, sadistischen Gelüste auf die Mutter und einem klaren Rachedrange gegen den Vater. Der letztere konnte nicht eher reproduziert werden, als bis im Zusammenhange des Graviditätskomplexes das erstere an die Reihe gekommen war. Bei der Bildung der Phobie aus den unbewußten Gedanken findet ja eine </w:t>
      </w:r>
      <w:r w:rsidRPr="003E335C">
        <w:rPr>
          <w:rFonts w:ascii="Garamond" w:hAnsi="Garamond"/>
          <w:lang w:val="en-US" w:eastAsia="fr-FR"/>
        </w:rPr>
        <w:lastRenderedPageBreak/>
        <w:t>Verdichtung statt; darum kann der Weg der Analyse niemals den Entwicklungsgang der Neurose wiederholen.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22. April. Heute früh hat sich Hans wieder etwas gedacht: »Ein Gassenbube ist auf dem Wagerl gefahren und der Kondukteur ist gekommen und hat den Buben ganz nackt ausgezogen und bis in der Früh dort stehenlassen, und in der Früh hat der Bub dem Kondukteur 50 000 Gulden gegeben, damit er mit dem Wagerl fahren darf.«</w:t>
      </w:r>
    </w:p>
    <w:p w:rsidR="00DF4073" w:rsidRPr="003E335C" w:rsidRDefault="00DF4073" w:rsidP="00DF4073">
      <w:pPr>
        <w:pStyle w:val="Sansinterligne"/>
        <w:rPr>
          <w:rFonts w:ascii="Garamond" w:hAnsi="Garamond"/>
          <w:lang w:eastAsia="fr-FR"/>
        </w:rPr>
      </w:pPr>
      <w:r w:rsidRPr="003E335C">
        <w:rPr>
          <w:rFonts w:ascii="Garamond" w:hAnsi="Garamond"/>
          <w:lang w:eastAsia="fr-FR"/>
        </w:rPr>
        <w:t>(Vis-à-vis von uns fährt die Nordbahn. Auf einem Stockgeleise steht eine Draisine, auf der Hans einmal einen Gassenbuben fahren sah, was er auch tun wollte. Ich habe ihm gesagt, das dürfe man nicht, sonst käme der Kondukteur. Ein zweites Element der Phantasie ist der verdrängte Nacktheitswunsch.)</w:t>
      </w:r>
    </w:p>
    <w:p w:rsidR="00DF4073" w:rsidRPr="003E335C" w:rsidRDefault="00DF4073" w:rsidP="00DF4073">
      <w:pPr>
        <w:pStyle w:val="Sansinterligne"/>
        <w:rPr>
          <w:rFonts w:ascii="Garamond" w:hAnsi="Garamond"/>
          <w:lang w:eastAsia="fr-FR"/>
        </w:rPr>
      </w:pPr>
      <w:r w:rsidRPr="003E335C">
        <w:rPr>
          <w:rFonts w:ascii="Garamond" w:hAnsi="Garamond"/>
          <w:lang w:eastAsia="fr-FR"/>
        </w:rPr>
        <w:t>Wir merken schon seit einiger Zeit, daß Hansens Phantasie »im Zeichen des Verkehres« schafft und konsequenterweise vom Pferde, das den Wagen zieht, zur Eisenbahn fortschreitet. So gesellt sich ja auch zu jeder Straßenphobie mit der Zeit die Eisenbahnangst hinzu.</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Mittags höre ich, daß Hans </w:t>
      </w:r>
      <w:r w:rsidRPr="003E335C">
        <w:rPr>
          <w:rFonts w:ascii="Garamond" w:hAnsi="Garamond"/>
          <w:i/>
          <w:iCs/>
          <w:lang w:val="en-US" w:eastAsia="fr-FR"/>
        </w:rPr>
        <w:t>den ganzen Vormittag mit einer Gummipuppe gespielt habe, die er Grete nannte. Er hat durch die Öffnung, in der einmal das kleine Blechpfeifchen befestigt war, ein kleines Taschenmesser hineingesteckt und ihr dann die Füße voneinandergerissen, um das Messer herausfallen zu lassen. Dem Kindermädchen sagte er, zwischen die Füße der Puppe zeigend: »Schau, hier ist der Wiwimacher!«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hast du denn heute eigentlich mit der Puppe gespielt?«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»Ich hab' die Füße auseinandergerissen, weißt warum? Weil ein Messerl drin war, was die Mammi gehabt hat. Das hab' ich hineingegeben, wo der Knopf quietscht, und dann hab' ich die Fuß' auseinandergerissen und dort ist es hinausgegangen.«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hast du die Füße auseinandergerissen? Damit du den Wiwimacher sehen kannst?«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»Er war ja auch zuerst da, da hab' ich ihn auch sehen können.«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hast du das Messer hineingegeben?«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»Ich weiß es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sieht denn das Messerl aus?«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bringt es mir.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dir gedacht, es ist vielleicht ein kleines Kind?«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»Nein, ich hab' mir gar nichts gedacht, aber der Storch hat, mir scheint, einmal ein kleines Kind gekriegt – oder wer.«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»Einmal. Ich hab's gehört, oder hab' ichs gar nicht gehört, oder hab' ich mich verredet?«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heißt verredet?«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»Es ist nicht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»Alles, was man sagt, ist ein bissel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»No ja, ein bißchen.«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(nach einem Übergange): »Wie hast du dir gedacht, kommen die Hendl auf die Welt?«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»Der Storch laßt sie halt wachsen, der Storch laßt die Hendl wachsen – nein, der liebe Gott.«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erkläre ihm, daß die Hendl Eier legen und aus den Eiern wieder Hendl kommen.</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lacht.</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»Warum lachst du?«</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»Weil mir's gefällt, was du mir da erzählst.«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sagt, er habe das bereits gesehen.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denn?«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»Bei dir!«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hab' ich ein Ei gelegt?«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»In Gmunden, ins Gras hast du ein Ei gelegt und auf einmal ist ein Hendl außigsprungen. Du hast einmal ein Ei gelegt, das weiß ich, das weiß ich ganz bestimmt. Weil mir's die Mammi gesagt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»Ich werde die Mammi fragen, ob das wahr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»Das ist gar nicht wahr, aber </w:t>
      </w:r>
      <w:r w:rsidRPr="003E335C">
        <w:rPr>
          <w:rFonts w:ascii="Garamond" w:hAnsi="Garamond"/>
          <w:i/>
          <w:iCs/>
          <w:lang w:val="en-US" w:eastAsia="fr-FR"/>
        </w:rPr>
        <w:t>ich</w:t>
      </w:r>
      <w:r w:rsidRPr="003E335C">
        <w:rPr>
          <w:rFonts w:ascii="Garamond" w:hAnsi="Garamond"/>
          <w:lang w:val="en-US" w:eastAsia="fr-FR"/>
        </w:rPr>
        <w:t xml:space="preserve"> hab' schon einmal ein Ei gelegt, da ist ein Hendl außigsprungen.«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»In Gmunden habe ich mich ins Gras gelegt, nein gekniet und da haben die Kinder gar nicht hergeschaut und auf einmal in der Früh hab' ich gesagt: Suchts, Kinder, gestern hab' ich ein Ei gelegt! Und auf einmal haben sie geschaut und auf einmal haben sie ein Ei gesehen und aus dem ist ein kleiner Hans gekommen. Was lachst du denn? Die Mammi weiß es nicht und die Karolin' weiß es nicht, weil niemand zugeschaut hat und auf einmal hab' ich ein Ei gelegt und auf einmal war's da. Wirklich. Vatti, wann wächst ein Hendl aus dem Ei? Wenn man es stehenläßt? Muß man das essen?«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Ich erkläre ihm das.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»No ja, lassen's wir bei der Henne, dann wächst ein Hendl. Packen wir's in die Kiste und lassen wir's nach Gmunden fahren.«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hat die Leitung der Analyse mit einem kühnen Griffe an sich gerissen, da die Eltern mit den längst berechtigten Aufklärungen zögerten, und in einer glänzenden Symptomhandlung mitgeteilt: » </w:t>
      </w:r>
      <w:r w:rsidRPr="003E335C">
        <w:rPr>
          <w:rFonts w:ascii="Garamond" w:hAnsi="Garamond"/>
          <w:i/>
          <w:iCs/>
          <w:lang w:val="en-US" w:eastAsia="fr-FR"/>
        </w:rPr>
        <w:t>Seht ihr, so stelle ich mir eine Geburt vor.</w:t>
      </w:r>
      <w:r w:rsidRPr="003E335C">
        <w:rPr>
          <w:rFonts w:ascii="Garamond" w:hAnsi="Garamond"/>
          <w:lang w:val="en-US" w:eastAsia="fr-FR"/>
        </w:rPr>
        <w:t>« Was er dem Dienstmädchen über den Sinn seines Spieles mit der Puppe gesagt, war nicht aufrichtig; dem Vater gegenüber weist er es direkt ab, daß er nur den Wiwimacher sehen wollte. Nachdem ihm der Vater gleichsam als Abschlagszahlung die Entstehung der Hühnchen aus dem Ei erzählt hat, vereinigen sich seine Unbefriedigung, sein Mißtrauen und sein Besserwissen zu einer herrlichen Persiflage, die sich in seinen letzten Worten zu einer deutlichen Anspielung auf die Geburt der Schwester steigert.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hast du mit der Puppe gespielt?«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 ihr Grete gesagt.«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»Weil ich ihr Grete gesagt hab'.«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hast du dich gespielt?«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hab' sie halt so gepflegt wie ein wirkliches Kind.«</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»Möchtest du gerne ein kleines Mäderl haben?«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 Warum nicht? Ich mag eins kriegen, aber die Mammi darf keines kriegen, ich mag's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hat sich schon oft so ausgesprochen. Er fürchtet durch ein drittes Kind noch weiter verkürzt zu werden.)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»Es bekommt doch nur eine Frau ein Kind.«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krieg ein Mäderl.«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»Wo kriegst du es denn her?«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»No, vom Storch. </w:t>
      </w:r>
      <w:r w:rsidRPr="003E335C">
        <w:rPr>
          <w:rFonts w:ascii="Garamond" w:hAnsi="Garamond"/>
          <w:i/>
          <w:iCs/>
          <w:lang w:val="en-US" w:eastAsia="fr-FR"/>
        </w:rPr>
        <w:t>Er nimmt das Mäderl heraus</w:t>
      </w:r>
      <w:r w:rsidRPr="003E335C">
        <w:rPr>
          <w:rFonts w:ascii="Garamond" w:hAnsi="Garamond"/>
          <w:lang w:val="en-US" w:eastAsia="fr-FR"/>
        </w:rPr>
        <w:t xml:space="preserve">, und das Mäderl legt auf einmal ein Ei und aus dem Ei kommt dann noch eine Hanna heraus, noch eine Hanna. Aus der Hanna kommt noch eine Hanna. Nein, es kommt </w:t>
      </w:r>
      <w:r w:rsidRPr="003E335C">
        <w:rPr>
          <w:rFonts w:ascii="Garamond" w:hAnsi="Garamond"/>
          <w:i/>
          <w:iCs/>
          <w:lang w:val="en-US" w:eastAsia="fr-FR"/>
        </w:rPr>
        <w:t>eine</w:t>
      </w:r>
      <w:r w:rsidRPr="003E335C">
        <w:rPr>
          <w:rFonts w:ascii="Garamond" w:hAnsi="Garamond"/>
          <w:lang w:val="en-US" w:eastAsia="fr-FR"/>
        </w:rPr>
        <w:t xml:space="preserve"> Hanna heraus.«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möchtest gerne ein Mäderl haben.«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 </w:t>
      </w:r>
      <w:r w:rsidRPr="003E335C">
        <w:rPr>
          <w:rFonts w:ascii="Garamond" w:hAnsi="Garamond"/>
          <w:i/>
          <w:iCs/>
          <w:lang w:val="en-US" w:eastAsia="fr-FR"/>
        </w:rPr>
        <w:t>Ja, nächstes Jahr krieg' ich eins</w:t>
      </w:r>
      <w:r w:rsidRPr="003E335C">
        <w:rPr>
          <w:rFonts w:ascii="Garamond" w:hAnsi="Garamond"/>
          <w:lang w:val="en-US" w:eastAsia="fr-FR"/>
        </w:rPr>
        <w:t>, das wird auch Hanna heißen.«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soll denn die Mammi kein Mäderl bekommen?«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»Weil ich einmal ein Mäderl mag.«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kannst aber kein Mäderl bekommen.«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»O ja, ein Bub kriegt ein Mäderl und ein Mäderl kriegt einen Buben.« </w:t>
      </w:r>
      <w:hyperlink r:id="rId403" w:history="1">
        <w:r w:rsidRPr="003E335C">
          <w:rPr>
            <w:rFonts w:ascii="Garamond" w:hAnsi="Garamond"/>
            <w:color w:val="0000FF"/>
            <w:u w:val="single"/>
            <w:lang w:val="en-US" w:eastAsia="fr-FR"/>
          </w:rPr>
          <w:t>[Fußnote]Wiederum ein Stück infantiler Sexualtheorie mit ungeahntem Sinne.</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»Ein Bub bekommt keine Kinder. Kinder bekommen nur Frauen, Mammis.«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»Warum denn ich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»Weil der liebe Gott es so eingerichtet hat.«</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Hans: »Warum kriegst denn du keines? </w:t>
      </w:r>
      <w:r w:rsidRPr="003E335C">
        <w:rPr>
          <w:rFonts w:ascii="Garamond" w:hAnsi="Garamond"/>
          <w:lang w:val="en-US" w:eastAsia="fr-FR"/>
        </w:rPr>
        <w:t>O ja, du wirst schon eins kriegen, nur warten.«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 kann ich lang warten.«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gehör' doch dir.«</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Ich: »Aber die Mammi hat dich auf die Welt gebracht. </w:t>
      </w:r>
      <w:r w:rsidRPr="003E335C">
        <w:rPr>
          <w:rFonts w:ascii="Garamond" w:hAnsi="Garamond"/>
          <w:lang w:eastAsia="fr-FR"/>
        </w:rPr>
        <w:t>Du gehörst dann der Mammi und mir.«</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»Gehört die Hanna mir oder der Mammi?«</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»Der Mammi.«</w:t>
      </w:r>
    </w:p>
    <w:p w:rsidR="00DF4073" w:rsidRPr="003E335C" w:rsidRDefault="00DF4073" w:rsidP="00DF4073">
      <w:pPr>
        <w:pStyle w:val="Sansinterligne"/>
        <w:rPr>
          <w:rFonts w:ascii="Garamond" w:hAnsi="Garamond"/>
          <w:lang w:eastAsia="fr-FR"/>
        </w:rPr>
      </w:pPr>
      <w:r w:rsidRPr="003E335C">
        <w:rPr>
          <w:rFonts w:ascii="Garamond" w:hAnsi="Garamond"/>
          <w:lang w:eastAsia="fr-FR"/>
        </w:rPr>
        <w:t xml:space="preserve">Hans: »Nein, mir. </w:t>
      </w:r>
      <w:r w:rsidRPr="003E335C">
        <w:rPr>
          <w:rFonts w:ascii="Garamond" w:hAnsi="Garamond"/>
          <w:i/>
          <w:iCs/>
          <w:lang w:eastAsia="fr-FR"/>
        </w:rPr>
        <w:t>Warum denn nicht mir und der Mammi?</w:t>
      </w:r>
      <w:r w:rsidRPr="003E335C">
        <w:rPr>
          <w:rFonts w:ascii="Garamond" w:hAnsi="Garamond"/>
          <w:lang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»Die Hanna gehört mir, der Mammi und dir.«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»Na also!«</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Ein wesentliches Stück fehlt natürlich dem Kinde im Verständnisse der Sexualbeziehungen, solange das weibliche Genitale unentdeckt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24. April wird Hans von mir und meiner Frau soweit aufgeklärt, daß Kinder in der Mammi wachsen und dann, was große Schmerzen bereite, mittels Drückens wie ein »Lumpf« in die Welt gesetzt werden. Nachmittags sind wir vor dem Haus. Es ist bei ihm eine sichtliche Erleichterung eingetreten, er läuft Wagen nach, und nur der Umstand, daß er sich aus der Nähe des Haupttores nicht wegtraut, respektive zu keinem größeren Spaziergange zu bewegen ist, verrät den Rest von Angst.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25. April rennt mir Hans mit dem Kopfe in den Bauch, was er schon früher einmal getan hat. Ich frage ihn, ob er eine Ziege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Er sagt: »Ja ein Wieder« (Widder). – »Wo er einen Widder gesehen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Er: »In Gmunden, der Fritzl hat einen gehabt.« (Der Fritzl hat ein kleines, lebendes Schaf zum Spielen gehabt.)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»Von dem Lamperl mußt du mir erzählen, was hat es gemacht?«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»Du weißt, das Fräulein Mizzi (eine Lehrerin, die im Hause wohnte) hat immer die Hanna auf das Lamperl gesetzt, da hat es aber nicht aufstehen können, da hat es nicht stoßen können. Wenn man hingeht, stößt es schon, weil es Hörner hat. Der Fritzl tut's halt an der Schnur führen und an einen Baum anbinden. Er bindet's immer an einen Baum an.«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»Hat das Lamperl dich gestoßen?«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»Hinaufgesprungen ist es auf mich, der Fritzl hat mich einmal hingegeben . . . ich bin einmal hingegangen und hab's nicht gewußt, und auf einmal ist es auf mich hinaufgesprungen. Das war so lustig – erschrocken bin ich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ist gewiß unwahr.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den Vatti gern?«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»Vielleicht auch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(spielt mit einem kleinen Pferderl. In diesem Moment fällt das Pferdl um. Er schreit:) »Das Pferdl ist umgefallen! Siehst du, wie's Krawall 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»Etwas ärgert dich am Vatti, daß ihn die Mammi gern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weinst du also immer, wenn die Mammi mir einen Kuß gibt? Weil du eifersüchtig bist.«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»Das schon.«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möchtest du denn machen, wenn du der Vatti wärst?«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»Und du der Hans? – Da möcht ich dich jeden Sonntag nach Lainz fahren, nein, auch jeden Wochentag. Wenn ich der Vatti wär', wär' ich gar brav.«</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möchtest du mit der Mammi machen?«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»Auch nach Lainz mitnehmen.«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sonst noch?«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»Nix.«</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»Weshalb bist du denn eifersüchtig?«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»Das weiß ich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»In Gmunden warst du auch eifersüchtig?«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»In Gmunden nicht (das ist nicht wahr). In Gmunden hab' ich meine Sachen gehabt, einen Garten hab' ich in Gmunden gehabt und auch Kinder.«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»Kannst du dich erinnern, wie die Kuh das Kalberl bekommen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 Es ist mit einem Wagen dahergekommen (– das hat man ihm wohl damals in Gmunden gesagt; auch ein Stoß gegen die Storchtheorie –) und eine andere Kuh hat es aus dem Podl herausgedrückt.« (Das ist bereits die Frucht der Aufklärung, die er mit der »Wagerltheorie« in Einklang bringen will.)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ist ja nicht wahr, daß es mit einem Wagerl gekommen ist; es ist aus der Kuh gekommen, die im Stalle war.«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bestreitet es, sagt, er habe den Wagen in der Früh gesehen. Ich mache ihn aufmerksam, daß man ihm das wahrscheinlich erzählt hat, daß das Kalberl im Wagen gekommen sei. Er gibt es schließlich zu: »Es hat mir's wahrscheinlich die Berta gesagt oder nein – oder vielleicht der Hausherr. Er war dabei und es war doch Nacht, deshalb ist es doch wahr, wie ich's dir sage, oder mir scheint, es hat mir's niemand gesagt, ich hab' mir's in der Nacht gedacht.«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Das Kalberl wurde, wenn ich nicht irre, im Wagen weggeführt; daher die Verwechslung.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»Warum hast du dir nicht gedacht, der Storch hat's gebracht?«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»Das hab' ich mir nicht denken wollen.«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»Aber, daß die Hanna der Storch gebracht hat, hast du dir gedacht?«</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Hans: »In der Früh (der Entbindung) hab' ich mir's gedacht. – Du Vatti, war der Herr Reisenbichler (der Hausherr) dabei, wie das Kalberl von der Kuh gekommen ist?« </w:t>
      </w:r>
      <w:hyperlink r:id="rId404" w:history="1">
        <w:r w:rsidRPr="003E335C">
          <w:rPr>
            <w:rFonts w:ascii="Garamond" w:hAnsi="Garamond"/>
            <w:color w:val="0000FF"/>
            <w:u w:val="single"/>
            <w:lang w:eastAsia="fr-FR"/>
          </w:rPr>
          <w:t>[Fußnote]Hans, der Grund hat, gegen die Mitteilungen der Erwachsenen mißtrauisch zu sein, erwägt hier, ob der Hausherr glaubwürdiger sei als der Vater.</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»Ich weiß nicht. Glaubst du?«</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Hans: »Ich glaub schon . . . Vatti, hast du schon öfter gesehen, wie ein Pferd etwas Schwarzes am Mund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»Ich hab's schon öfter gesehen auf der Straße in Gmunden.« </w:t>
      </w:r>
      <w:hyperlink r:id="rId405" w:history="1">
        <w:r w:rsidRPr="003E335C">
          <w:rPr>
            <w:rFonts w:ascii="Garamond" w:hAnsi="Garamond"/>
            <w:color w:val="0000FF"/>
            <w:u w:val="single"/>
            <w:lang w:val="en-US" w:eastAsia="fr-FR"/>
          </w:rPr>
          <w:t>[Fußnote]Der Zusammenhang ist der: Das mit dem Schwarzen am Munde der Pferde hat ihm der Vater lange nicht glauben wollen, bis es sich endlich hat verifizieren lassen.</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»In Gmunden warst du oft im Bett bei der Mammi?«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dann hast dir gedacht, du bist der Vatti?«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dann hast du dich vor dem Vatti gefürchtet?«</w:t>
      </w:r>
    </w:p>
    <w:p w:rsidR="00DF4073" w:rsidRPr="003E335C" w:rsidRDefault="00DF4073" w:rsidP="00DF4073">
      <w:pPr>
        <w:pStyle w:val="Sansinterligne"/>
        <w:rPr>
          <w:rFonts w:ascii="Garamond" w:hAnsi="Garamond"/>
          <w:lang w:eastAsia="fr-FR"/>
        </w:rPr>
      </w:pPr>
      <w:r w:rsidRPr="003E335C">
        <w:rPr>
          <w:rFonts w:ascii="Garamond" w:hAnsi="Garamond"/>
          <w:lang w:eastAsia="fr-FR"/>
        </w:rPr>
        <w:t xml:space="preserve">Hans: » </w:t>
      </w:r>
      <w:r w:rsidRPr="003E335C">
        <w:rPr>
          <w:rFonts w:ascii="Garamond" w:hAnsi="Garamond"/>
          <w:i/>
          <w:iCs/>
          <w:lang w:eastAsia="fr-FR"/>
        </w:rPr>
        <w:t>Du weißt ja alles, ich hab' nichts gewußt.</w:t>
      </w:r>
      <w:r w:rsidRPr="003E335C">
        <w:rPr>
          <w:rFonts w:ascii="Garamond" w:hAnsi="Garamond"/>
          <w:lang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der Fritzl gefallen ist, hast du dir gedacht, wenn der Vatti so fallen möchte, und wie dich das Lamperl gestoßen hat, wenn es den Vatti stoßen möcht'. Kannst du dich an das Begräbnis in Gmunden erinnern?« (Das erste Begräbnis, das Hans sah. Er erinnert sich öfter daran, eine zweifellose Deckerinnerung.)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was war da?«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 hast du gedacht, wenn der Vatti sterben möcht', wärst du der Vatti.«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»Vor welchen Wagen fürchtest du dich eigentlich noch?«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»Vor allen.«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ist doch nicht wahr.«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»Vor Fiakern, Einspännern nicht. Vor Stellwagen, vor Gepäckwagen, aber nur, wenn sie aufgeladen haben, wenn sie aber leer sind, nicht. Wenn es ein Pferd ist und voll aufgeladen hat, da fürcht' ich mich, und wenn's zwei Pferde sind und voll aufgeladen haben, da fürcht' ich mich nicht.«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»Vor den Stellwagen fürchtest du dich, weil drin soviel Leute sind?«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»Weil am Dach soviel Gepäck ist.«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»Hat die Mammi, wie sie die Hanna bekommen hat, nicht auch voll aufgeladen?«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»Die Mammi wird wieder voll aufgeladen sein, wenn sie wieder einmal eins haben wird, bis wieder eins wachsen wird, bis wieder eins drin sein wird.«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»Das möchtest du halt gern.«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hast gesagt, du willst nicht, daß die Mammi noch ein Kind bekommen soll.«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»So wird sie halt nicht mehr aufgeladen sein. Die Mammi hat gesagt, wenn die Mammi keins will, will's der liebe Gott auch nicht. Wird die Mammi auch keins wollen, so wird sie keins bekommen.«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hat natürlich gestern auch gefragt, ob in der Mammi noch Kinder sind. Ich habe ihm gesagt, nein, wenn der liebe Gott nicht will, wird's in ihr auch nicht wachsen.)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»Aber die Mammi hat mir gesagt, wenn sie nicht will, wird keins mehr wachsen, und du sagst, wenn der liebe Gott nicht will.«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sagte ihm also, daß es so ist, wie ich gesagt habe, worauf er bemerkt: »Du warst doch dabei? Du weißt es gewiß besser.« – Er stellte also die Mama zur Rede, und die stellte die Konkordanz her, indem sie erklärte, wenn sie nicht wolle, wolle auch der liebe Gott nicht </w:t>
      </w:r>
      <w:hyperlink r:id="rId406" w:history="1">
        <w:r w:rsidRPr="003E335C">
          <w:rPr>
            <w:rFonts w:ascii="Garamond" w:hAnsi="Garamond"/>
            <w:color w:val="0000FF"/>
            <w:u w:val="single"/>
            <w:lang w:val="en-US" w:eastAsia="fr-FR"/>
          </w:rPr>
          <w:t>[Fußnote]</w:t>
        </w:r>
        <w:r w:rsidRPr="003E335C">
          <w:rPr>
            <w:rFonts w:ascii="Garamond" w:hAnsi="Garamond"/>
            <w:i/>
            <w:iCs/>
            <w:color w:val="0000FF"/>
            <w:u w:val="single"/>
            <w:lang w:val="en-US" w:eastAsia="fr-FR"/>
          </w:rPr>
          <w:t>Ce que femme veut Dieu veut.</w:t>
        </w:r>
        <w:r w:rsidRPr="003E335C">
          <w:rPr>
            <w:rFonts w:ascii="Garamond" w:hAnsi="Garamond"/>
            <w:color w:val="0000FF"/>
            <w:u w:val="single"/>
            <w:lang w:val="en-US" w:eastAsia="fr-FR"/>
          </w:rPr>
          <w:t xml:space="preserve"> Hans hat hier in seinem Scharfsinne wieder ein sehr ernsthaftes Problem entdeckt.</w:t>
        </w:r>
      </w:hyperlink>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vertAlign w:val="superscript"/>
          <w:lang w:val="en-US" w:eastAsia="fr-FR"/>
        </w:rPr>
        <w:t>1</w:t>
      </w:r>
      <w:r w:rsidRPr="003E335C">
        <w:rPr>
          <w:rFonts w:ascii="Garamond" w:hAnsi="Garamond"/>
          <w:lang w:val="en-US" w:eastAsia="fr-FR"/>
        </w:rPr>
        <w:t xml:space="preserve"> [Möglicherweise müßte das ganze Stück des Dialogs von den Worten »Hans hat natürlich gestern...« bis »wolle auch der liebe Gott nicht« in Klammern gesetzt werden, da alles sich am Tage vorher abgespielt hatte und nun erst berichtet wird. Als Freud von seinen englischen Obersetzern (im Jahre 1923) darauf aufmerksam gemacht wurde, gab er zu, daß es wahrscheinlich so gewesen sei, meinte aber, man sollte den Text doch unverändert lassen, da es sich um die Nachschrift der Aufzeichnungen von Hansens Vater handele.]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»Mir scheint, du wünschest doch, die Mammi soll ein Kind bekommen?«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»Aber haben will ich's nicht.«</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»Aber du wünschest es?«</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»Wünschen schon.«</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»Weißt du, warum du es wünschest? Weil du gern der Vatti sein möchst.«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 . . Wie ist die Geschicht'?«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»Welche Geschicht'?«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»Ein Vatti kriegt doch kein Kind, wie ist die Geschicht' dann, wenn ich gern der Vatti sein möcht'?«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Ich: »Du möchtest der Vatti sein und mit der Mammi verheiratet sein, möchtest so groß sein wie ich und einen Schnurrbart haben und möchtest, daß die Mammi ein Kind bekommen soll.«</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»Vatti, und bis ich verheiratet sein werde, werde ich nur eines kriegen, wenn ich will, wenn ich mit der Mammi verheiratet sein werde, und wenn ich kein Kind will, will der liebe Gott auch nicht, wenn ich geheiratet hab'«</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»Möchtest du gern mit der Mammi verheiratet sein?«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Man merkt es deutlich, wie das Glück in der Phantasie noch durch die Unsicherheit über die Rolle des Vaters und die Zweifel an der Beherrschung des Kinderkriegens gestört wird.</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Abend desselben Tages sagt Hans, wie er ins Bett gelegt wird, zu mir: »Du, weißt du, was ich jetzt mach'? Jetzt sprech' ich noch bis 10 Uhr mit der Grete, die ist bei mir im Bett. Immer sind meine Kinder bei mir im Bett. Kannst du mir sagen, wie das ist?« – Da er schon sehr schläfrig ist, verspreche ich ihm, wir würden das morgen aufschreiben, und er schläft 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Aus den früheren Aufzeichnungen ergibt sich, daß Hans seit seiner Rückkehr von Gmunden immer von seinen »Kindern« phantasiert, er führt mit ihnen Gespräche usw. </w:t>
      </w:r>
      <w:hyperlink r:id="rId407" w:history="1">
        <w:r w:rsidRPr="003E335C">
          <w:rPr>
            <w:rFonts w:ascii="Garamond" w:hAnsi="Garamond"/>
            <w:color w:val="0000FF"/>
            <w:u w:val="single"/>
            <w:lang w:val="en-US" w:eastAsia="fr-FR"/>
          </w:rPr>
          <w:t>[Fußnote]Es ist keine Nötigung, hier bei Hans einen femininen Zug von Sehnsucht nach Kinderhaben anzunehmen. Da er seine beseligenden Erlebnisse als Kind bei der Mutter gehabt hat, wiederholt er diese nun in aktiver Rolle, wobei er selbst die Mutter spielen muß.</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26. April frage ich ihn also, warum er denn immer von seinen Kindern spricht.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»Warum? </w:t>
      </w:r>
      <w:r w:rsidRPr="003E335C">
        <w:rPr>
          <w:rFonts w:ascii="Garamond" w:hAnsi="Garamond"/>
          <w:i/>
          <w:iCs/>
          <w:lang w:val="en-US" w:eastAsia="fr-FR"/>
        </w:rPr>
        <w:t>Weil ich so gerne Kinder haben mag, aber ich wünsch' mir's nie, haben mag ich sie nicht.</w:t>
      </w:r>
      <w:r w:rsidRPr="003E335C">
        <w:rPr>
          <w:rFonts w:ascii="Garamond" w:hAnsi="Garamond"/>
          <w:lang w:val="en-US" w:eastAsia="fr-FR"/>
        </w:rPr>
        <w:t xml:space="preserve">« </w:t>
      </w:r>
      <w:hyperlink r:id="rId408" w:history="1">
        <w:r w:rsidRPr="003E335C">
          <w:rPr>
            <w:rFonts w:ascii="Garamond" w:hAnsi="Garamond"/>
            <w:color w:val="0000FF"/>
            <w:u w:val="single"/>
            <w:lang w:val="en-US" w:eastAsia="fr-FR"/>
          </w:rPr>
          <w:t>[Fußnote]Der so auffällige Widerspruch ist der zwischen Phantasie und Wirklichkeit – wünschen und haben. Er weiß, daß er in Wirklichkeit Kind ist, da würden ihn andere Kinder nur stören, in der Phantasie ist er Mutter und braucht Kinder, mit denen er die selbst erlebten Zärtlichkeiten wiederholen kann.</w:t>
        </w:r>
      </w:hyperlink>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dir immer vorgestellt, die Berta, die Olga usw. sind deine Kinder?«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der Franzl, der Fritzl und der Paul (sein Gespiele in Lainz) auch und die Lodi.« Ein fingierter Name. Sein Lieblingskind, von dem er am öftesten spricht. – Ich betone hier, daß die Persönlichkeit der Lodi nicht erst seit einigen Tagen, seit dem Datum der letzten Aufklärung (24. April), besteht.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»Wer ist die Lodi? Ist sie in Gmunden?«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»Nein.«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»Gibts eine Lodi?«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ich kenn' sie schon.«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»Welche denn?«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»Die da, die ich hab'.«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sieht sie denn aus?«</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»Wie? Schwarze Augen, schwarze Haare . . . ich hab' sie einmal mit der Mariedl (in Gmunden) getroffen, wie ich in die Stadt gegangen bin.«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Wie ich Näheres wissen will, stellt sich heraus, daß dies erfunden ist </w:t>
      </w:r>
      <w:hyperlink r:id="rId409" w:history="1">
        <w:r w:rsidRPr="003E335C">
          <w:rPr>
            <w:rFonts w:ascii="Garamond" w:hAnsi="Garamond"/>
            <w:color w:val="0000FF"/>
            <w:u w:val="single"/>
            <w:lang w:val="en-US" w:eastAsia="fr-FR"/>
          </w:rPr>
          <w:t>[Fußnote]Es könnte doch sein, daß Hans eine zufällige Begegnung in Gmunden zum Ideal erhoben hat, das übrigens in der Farbe von Augen und Haaren der Mutter nachgebildet ist.</w:t>
        </w:r>
      </w:hyperlink>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hast also gedacht, du bist die Mammi?«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»Ich war auch wirklich die Mammi.«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hast du denn mit den Kindern gemacht?«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»Bei mir hab' ich sie schlafen lassen, Mädeln und Buben.«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»Jeden Tag?«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»Na freilich.«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»Hast du mit ihnen gesprochen?«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»Wenn alle Kinder nicht ins Bett hineingegangen sind, habe ich welche Kinder aufs Sofa gelegt und welche in den Kinderwagen gesetzt, wenn noch übrig geblieben sind, hab' ich sie am Boden getragen und in die Kiste gelegt, da waren noch Kinder und ich hab' sie in die andere Kiste gelegt.«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»Also die Storchenkinderkisten sind am Boden gestanden?«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»Wann hast du die Kinder bekommen? War die Hanna schon auf der Welt?«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schon lange.«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»Aber von wem hast du dir gedacht, daß du die Kinder bekommen hast?«</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lastRenderedPageBreak/>
        <w:t xml:space="preserve">Hans: » </w:t>
      </w:r>
      <w:r w:rsidRPr="003E335C">
        <w:rPr>
          <w:rFonts w:ascii="Garamond" w:hAnsi="Garamond"/>
          <w:i/>
          <w:iCs/>
          <w:lang w:val="en-US" w:eastAsia="fr-FR"/>
        </w:rPr>
        <w:t>No, von mir.</w:t>
      </w:r>
      <w:r w:rsidRPr="003E335C">
        <w:rPr>
          <w:rFonts w:ascii="Garamond" w:hAnsi="Garamond"/>
          <w:lang w:val="en-US" w:eastAsia="fr-FR"/>
        </w:rPr>
        <w:t xml:space="preserve">« </w:t>
      </w:r>
      <w:hyperlink r:id="rId410" w:history="1">
        <w:r w:rsidRPr="003E335C">
          <w:rPr>
            <w:rFonts w:ascii="Garamond" w:hAnsi="Garamond"/>
            <w:color w:val="0000FF"/>
            <w:u w:val="single"/>
            <w:lang w:eastAsia="fr-FR"/>
          </w:rPr>
          <w:t>[Fußnote]Hans kann nicht anders als vom Standpunkte des Autoerotismus antworten.</w:t>
        </w:r>
      </w:hyperlink>
    </w:p>
    <w:p w:rsidR="00DF4073" w:rsidRPr="003E335C" w:rsidRDefault="00DF4073" w:rsidP="00DF4073">
      <w:pPr>
        <w:pStyle w:val="Sansinterligne"/>
        <w:rPr>
          <w:rFonts w:ascii="Garamond" w:hAnsi="Garamond"/>
          <w:lang w:eastAsia="fr-FR"/>
        </w:rPr>
      </w:pPr>
      <w:r w:rsidRPr="003E335C">
        <w:rPr>
          <w:rFonts w:ascii="Garamond" w:hAnsi="Garamond"/>
          <w:lang w:eastAsia="fr-FR"/>
        </w:rPr>
        <w:t>Ich: »Damals hast du aber noch gar nicht gewußt, daß die Kinder von einem 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»Ich hab' mir gedacht, der Storch hat sie gebracht.« (Offenbar Lüge und Ausflucht) </w:t>
      </w:r>
      <w:hyperlink r:id="rId411" w:history="1">
        <w:r w:rsidRPr="003E335C">
          <w:rPr>
            <w:rFonts w:ascii="Garamond" w:hAnsi="Garamond"/>
            <w:color w:val="0000FF"/>
            <w:u w:val="single"/>
            <w:lang w:val="en-US" w:eastAsia="fr-FR"/>
          </w:rPr>
          <w:t>[Fußnote]Es sind Phantasie-, d. h. Onaniekinder.</w:t>
        </w:r>
      </w:hyperlink>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»Gestern war die Grete bei dir, aber du weißt doch schon, daß ein Bub keine Kinder haben kann.«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»No ja, ich glaub's aber doch.«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»Wie bist du auf den Namen Lodi gekommen? So heißt doch kein Mäderl. Vielleicht Lotti?«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»O nein, Lodi. Ich weiß nicht, aber ein schöner Name ist es doch.«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(scherzend): »Meinst du vielleicht eine Schokolodi?«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(sofort): »Nein, eine Saffalodi </w:t>
      </w:r>
      <w:hyperlink r:id="rId412" w:history="1">
        <w:r w:rsidRPr="003E335C">
          <w:rPr>
            <w:rFonts w:ascii="Garamond" w:hAnsi="Garamond"/>
            <w:color w:val="0000FF"/>
            <w:u w:val="single"/>
            <w:lang w:val="en-US" w:eastAsia="fr-FR"/>
          </w:rPr>
          <w:t>[Fußnote]Saffaladi = Zervelatwurst. Meine Frau erzählt gern, daß ihre Tante immer Soffilodi sagt, das mag er gehört haben. [Anmerkung des Vaters.]</w:t>
        </w:r>
      </w:hyperlink>
      <w:r w:rsidRPr="003E335C">
        <w:rPr>
          <w:rFonts w:ascii="Garamond" w:hAnsi="Garamond"/>
          <w:lang w:val="en-US" w:eastAsia="fr-FR"/>
        </w:rPr>
        <w:t> . . . weil ich so gern Wurst essen tu, Salami auch.«</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»Du, sieht eine Saffalodi nicht wie ein Lumpf aus?«</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»Ja!«</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»Wie sieht denn ein Lumpf aus?«</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»Schwarz. Weißt (zeigt auf meine Augenbrauen und Schnurrbart) wie das und das.«</w:t>
      </w:r>
    </w:p>
    <w:p w:rsidR="00DF4073" w:rsidRPr="003E335C" w:rsidRDefault="00DF4073" w:rsidP="00DF4073">
      <w:pPr>
        <w:pStyle w:val="Sansinterligne"/>
        <w:rPr>
          <w:rFonts w:ascii="Garamond" w:hAnsi="Garamond"/>
          <w:lang w:val="en-US" w:eastAsia="fr-FR"/>
        </w:rPr>
      </w:pPr>
      <w:r w:rsidRPr="003E335C">
        <w:rPr>
          <w:rFonts w:ascii="Garamond" w:hAnsi="Garamond"/>
          <w:lang w:eastAsia="fr-FR"/>
        </w:rPr>
        <w:t xml:space="preserve">Ich: »Wie noch? </w:t>
      </w:r>
      <w:r w:rsidRPr="003E335C">
        <w:rPr>
          <w:rFonts w:ascii="Garamond" w:hAnsi="Garamond"/>
          <w:lang w:val="en-US" w:eastAsia="fr-FR"/>
        </w:rPr>
        <w:t>Rund wie eine Saffaladi?«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»Wenn du am Topf gesessen bist und ein Lumpf gekommen ist, hast du dir gedacht, daß du ein Kind bekommst?«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(lachend): »Ja, in der —gasse schon und auch hier.«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»Weißt du, wie die Stellwagenpferde umgefallen sind? Der Wagen sieht doch wie eine Kinderkiste aus, und wenn das schwarze Pferd umgefallen ist, war es so . .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(ergänzend): »Wie wenn man ein Kind bekommt.«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was hast du dir gedacht, wie es mit den Füßen Krawall gemacht hat?«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»Na, wenn ich mich nicht will am Topf setzen und lieber spielen, dann mach' ich so mit den Füßen Krawall.« (Er stampft mit den Füßen auf.)</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Daher interessierte es ihn so sehr, ob man </w:t>
      </w:r>
      <w:r w:rsidRPr="003E335C">
        <w:rPr>
          <w:rFonts w:ascii="Garamond" w:hAnsi="Garamond"/>
          <w:i/>
          <w:iCs/>
          <w:lang w:val="en-US" w:eastAsia="fr-FR"/>
        </w:rPr>
        <w:t>gern</w:t>
      </w:r>
      <w:r w:rsidRPr="003E335C">
        <w:rPr>
          <w:rFonts w:ascii="Garamond" w:hAnsi="Garamond"/>
          <w:lang w:val="en-US" w:eastAsia="fr-FR"/>
        </w:rPr>
        <w:t xml:space="preserve"> oder </w:t>
      </w:r>
      <w:r w:rsidRPr="003E335C">
        <w:rPr>
          <w:rFonts w:ascii="Garamond" w:hAnsi="Garamond"/>
          <w:i/>
          <w:iCs/>
          <w:lang w:val="en-US" w:eastAsia="fr-FR"/>
        </w:rPr>
        <w:t>ungern</w:t>
      </w:r>
      <w:r w:rsidRPr="003E335C">
        <w:rPr>
          <w:rFonts w:ascii="Garamond" w:hAnsi="Garamond"/>
          <w:lang w:val="en-US" w:eastAsia="fr-FR"/>
        </w:rPr>
        <w:t xml:space="preserve"> Kinder bekommt.</w:t>
      </w:r>
    </w:p>
    <w:p w:rsidR="00DF4073" w:rsidRPr="003E335C" w:rsidRDefault="00DF4073" w:rsidP="00DF4073">
      <w:pPr>
        <w:pStyle w:val="Sansinterligne"/>
        <w:rPr>
          <w:rFonts w:ascii="Garamond" w:hAnsi="Garamond"/>
          <w:lang w:eastAsia="fr-FR"/>
        </w:rPr>
      </w:pPr>
      <w:r w:rsidRPr="003E335C">
        <w:rPr>
          <w:rFonts w:ascii="Garamond" w:hAnsi="Garamond"/>
          <w:lang w:val="en-US" w:eastAsia="fr-FR"/>
        </w:rPr>
        <w:t xml:space="preserve">Hans spielt heute fortwährend Gepäckkisten auf- und abladen, wünscht sich auch einen Leiterwagen mit solchen Kisten als Spielzeug. Im Hofe des Hauptzollamtes gegenüber interessierte ihn am meisten das Auf- und Abladen der Wagen. Er erschrak auch am heftigsten, wenn ein Wagen aufgeladen hatte und fortfahren sollte. »Die Pferde werden fallen.« </w:t>
      </w:r>
      <w:hyperlink r:id="rId413" w:history="1">
        <w:r w:rsidRPr="003E335C">
          <w:rPr>
            <w:rFonts w:ascii="Garamond" w:hAnsi="Garamond"/>
            <w:color w:val="0000FF"/>
            <w:u w:val="single"/>
            <w:lang w:eastAsia="fr-FR"/>
          </w:rPr>
          <w:t>[Fußnote]Heißt man es nicht »niederkommen«, wenn eine Frau gebärt?</w:t>
        </w:r>
      </w:hyperlink>
      <w:r w:rsidRPr="003E335C">
        <w:rPr>
          <w:rFonts w:ascii="Garamond" w:hAnsi="Garamond"/>
          <w:lang w:eastAsia="fr-FR"/>
        </w:rPr>
        <w:t xml:space="preserve"> Die Türen des Hauptzollamtsschuppens nannte er »Loch« (das erste, zweite, dritte . . . Loch). Jetzt sagt er »Podlloch«.</w:t>
      </w:r>
    </w:p>
    <w:p w:rsidR="00DF4073" w:rsidRPr="003E335C" w:rsidRDefault="00DF4073" w:rsidP="00DF4073">
      <w:pPr>
        <w:pStyle w:val="Sansinterligne"/>
        <w:rPr>
          <w:rFonts w:ascii="Garamond" w:hAnsi="Garamond"/>
          <w:lang w:eastAsia="fr-FR"/>
        </w:rPr>
      </w:pPr>
      <w:r w:rsidRPr="003E335C">
        <w:rPr>
          <w:rFonts w:ascii="Garamond" w:hAnsi="Garamond"/>
          <w:lang w:eastAsia="fr-FR"/>
        </w:rPr>
        <w:t>Die Angst ist fast gänzlich geschwunden, nur will er in der Nähe des Hauses bleiben, um einen Rückzug zu haben, wenn er sich fürchten sollte. Er flüchtet aber nie mehr ins Haus hinein, bleibt immer auf der Straße. Bekanntlich hat das Kranksein damit begonnen, daß er auf dem Spaziergange weinend umkehrte, und als man ihn ein zweites Mal zwang, spazierenzugehen, nur bis zur Stadtbahnstation »Hauptzollamt« ging, von der aus man unsere Wohnung noch sieht. Bei der Entbindung der Frau war er natürlich von ihr getrennt, und die jetzige Angst, die ihn hindert, die Nähe des Hauses aufzugeben, ist noch die damalige Sehnsucht.</w:t>
      </w:r>
    </w:p>
    <w:p w:rsidR="00DF4073" w:rsidRPr="003E335C" w:rsidRDefault="00DF4073" w:rsidP="00DF4073">
      <w:pPr>
        <w:pStyle w:val="Sansinterligne"/>
        <w:rPr>
          <w:rFonts w:ascii="Garamond" w:hAnsi="Garamond"/>
          <w:lang w:eastAsia="fr-FR"/>
        </w:rPr>
      </w:pPr>
      <w:r w:rsidRPr="003E335C">
        <w:rPr>
          <w:rFonts w:ascii="Garamond" w:hAnsi="Garamond"/>
          <w:lang w:eastAsia="fr-FR"/>
        </w:rPr>
        <w:t> </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30. April. Da Hans wieder mit seinen imaginären Kindern spielt, sage ich ihm: »Wieso leben denn deine Kinder noch? Du weißt ja, daß ein Bub keine Kinder bekommen kann.«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»Das weiß ich. Früher war ich die Mammi, </w:t>
      </w:r>
      <w:r w:rsidRPr="003E335C">
        <w:rPr>
          <w:rFonts w:ascii="Garamond" w:hAnsi="Garamond"/>
          <w:i/>
          <w:iCs/>
          <w:lang w:val="en-US" w:eastAsia="fr-FR"/>
        </w:rPr>
        <w:t>jetzt bin ich der Vatti</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»Und wer ist die Mammi zu den Kindern?«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Hans: »No, die Mammi, und du bist der </w:t>
      </w:r>
      <w:r w:rsidRPr="003E335C">
        <w:rPr>
          <w:rFonts w:ascii="Garamond" w:hAnsi="Garamond"/>
          <w:i/>
          <w:iCs/>
          <w:lang w:val="en-US" w:eastAsia="fr-FR"/>
        </w:rPr>
        <w:t>Großvatti</w:t>
      </w:r>
      <w:r w:rsidRPr="003E335C">
        <w:rPr>
          <w:rFonts w:ascii="Garamond" w:hAnsi="Garamond"/>
          <w:lang w:val="en-US" w:eastAsia="fr-FR"/>
        </w:rPr>
        <w: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»Also du möchtest so groß sein wie ich, mit der Mammi verheiratet sein, und sie soll dann Kinder bekommen.«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das möcht' ich und die Lainzerin (meine Mutter) ist dann die Großmammi.«</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Es geht alles gut aus. Der kleine Ödipus hat eine glücklichere Lösung gefunden, als vom Schicksal vorgeschrieben ist. Er gönnt seinem Vater, anstatt ihn zu beseitigen, dasselbe Glück, das er für sich verlangt; er ernennt ihn zum Großvater und verheiratet auch ihn mit der eigenen Mutter.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Am 1. Mai kommt Hans mittags zu mir und sagt: »Weißt was? Schreiben wir was für den Professor auf.«</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»Was denn?«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lastRenderedPageBreak/>
        <w:t>Hans: »Vormittag war ich mit allen meinen Kindern auf dem Klosett. Zuerst hab' ich Lumpf gemacht und Wiwi und sie haben zugeschaut. Dann hab' ich sie aufs Klosett gesetzt und sie haben Wiwi und Lumpf gemacht und ich hab' ihnen den Podl mit Papier ausgewischt. Weißt warum? Weil ich so gerne Kinder haben möcht', dann möcht' ich ihnen alles tun, sie aufs Klosett führen, ihnen den Podl abputzen, halt alles, was man mit Kindern tut.«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Es wird nach dem Geständnisse dieser Phantasie wohl kaum angehen, die an die exkrementellen Funktionen geknüpfte Lust bei Hans in Abrede zu stellen.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Nachmittags wagt er sich zum erstenmal in den Stadtpark. Da es 1. Mai ist, fahren wohl weniger Wagen als sonst, immerhin genug, die ihn bisher abgeschreckt haben. Er ist sehr stolz auf seine Leistung, und ich muß mit ihm nach der Jause noch einmal in den Stadtpark gehen. Auf dem Wege treffen wir einen Stellwagen, den er mir zeigt: »Schau, einen Storchenkistenwagen!« Wenn er, wie geplant ist, morgen mit mir wieder in den Stadtpark geht, kann man die Krankheit wohl als geheilt ansehen.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Am 2. Mai früh kommt Hans: »Du, ich hab' mir heute was gedacht.« Zuerst hat er's vergessen, später erzählt er unter beträchtlichen Widerständen: » </w:t>
      </w:r>
      <w:r w:rsidRPr="003E335C">
        <w:rPr>
          <w:rFonts w:ascii="Garamond" w:hAnsi="Garamond"/>
          <w:i/>
          <w:iCs/>
          <w:lang w:val="en-US" w:eastAsia="fr-FR"/>
        </w:rPr>
        <w:t>Es ist der Installateur gekommen und hat mir mit einer Zange zuerst den Podl weggenommen und hat mir dann einen andern gegeben und dann den Wiwimacher</w:t>
      </w:r>
      <w:r w:rsidRPr="003E335C">
        <w:rPr>
          <w:rFonts w:ascii="Garamond" w:hAnsi="Garamond"/>
          <w:lang w:val="en-US" w:eastAsia="fr-FR"/>
        </w:rPr>
        <w:t>. Er hat gesagt: Laß den Podl sehen und ich hab' mich umdrehen müssen, und er hat ihn weggenommen und dann hat er gesagt: Laß den Wiwimacher sehen.«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Der Vater erfaßt den Charakter der Wunschphantasie und zweifelt keinen Moment an der einzig gestatteten Deutung.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Ich: »Er hat dir einen </w:t>
      </w:r>
      <w:r w:rsidRPr="003E335C">
        <w:rPr>
          <w:rFonts w:ascii="Garamond" w:hAnsi="Garamond"/>
          <w:i/>
          <w:iCs/>
          <w:lang w:val="en-US" w:eastAsia="fr-FR"/>
        </w:rPr>
        <w:t>größeren</w:t>
      </w:r>
      <w:r w:rsidRPr="003E335C">
        <w:rPr>
          <w:rFonts w:ascii="Garamond" w:hAnsi="Garamond"/>
          <w:lang w:val="en-US" w:eastAsia="fr-FR"/>
        </w:rPr>
        <w:t xml:space="preserve"> Wiwimacher und einen </w:t>
      </w:r>
      <w:r w:rsidRPr="003E335C">
        <w:rPr>
          <w:rFonts w:ascii="Garamond" w:hAnsi="Garamond"/>
          <w:i/>
          <w:iCs/>
          <w:lang w:val="en-US" w:eastAsia="fr-FR"/>
        </w:rPr>
        <w:t>größeren</w:t>
      </w:r>
      <w:r w:rsidRPr="003E335C">
        <w:rPr>
          <w:rFonts w:ascii="Garamond" w:hAnsi="Garamond"/>
          <w:lang w:val="en-US" w:eastAsia="fr-FR"/>
        </w:rPr>
        <w:t xml:space="preserve"> Podl gegeben.«</w:t>
      </w:r>
    </w:p>
    <w:p w:rsidR="00DF4073" w:rsidRPr="003E335C" w:rsidRDefault="00DF4073" w:rsidP="00DF4073">
      <w:pPr>
        <w:pStyle w:val="Sansinterligne"/>
        <w:rPr>
          <w:rFonts w:ascii="Garamond" w:hAnsi="Garamond"/>
          <w:lang w:eastAsia="fr-FR"/>
        </w:rPr>
      </w:pPr>
      <w:r w:rsidRPr="003E335C">
        <w:rPr>
          <w:rFonts w:ascii="Garamond" w:hAnsi="Garamond"/>
          <w:lang w:eastAsia="fr-FR"/>
        </w:rPr>
        <w:t>Hans: »Ja.«</w:t>
      </w:r>
    </w:p>
    <w:p w:rsidR="00DF4073" w:rsidRPr="003E335C" w:rsidRDefault="00DF4073" w:rsidP="00DF4073">
      <w:pPr>
        <w:pStyle w:val="Sansinterligne"/>
        <w:rPr>
          <w:rFonts w:ascii="Garamond" w:hAnsi="Garamond"/>
          <w:lang w:eastAsia="fr-FR"/>
        </w:rPr>
      </w:pPr>
      <w:r w:rsidRPr="003E335C">
        <w:rPr>
          <w:rFonts w:ascii="Garamond" w:hAnsi="Garamond"/>
          <w:lang w:eastAsia="fr-FR"/>
        </w:rPr>
        <w:t>Ich: »Wie der Vatti sie hat, weil du gerne der Vatti sein möchtest?«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Hans: »Ja, und so einen Schnurrbart wie du möcht' ich auch haben und solche Haare.« (Deutet auf die Haare an meiner Brust.)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Die Deutung der vor einiger Zeit erzählten Phantasie: Der Installateur ist gekommen und hat die Badewanne abgeschraubt und hat mir dann einen Bohrer in den Bauch eingesetzt, rektifiziert sich demnach: Die große Badewanne bedeutet den »Podl«, der Bohrer oder Schraubenzieher, wie damals schon gedeutet, den Wiwimacher </w:t>
      </w:r>
      <w:hyperlink r:id="rId414" w:history="1">
        <w:r w:rsidRPr="003E335C">
          <w:rPr>
            <w:rFonts w:ascii="Garamond" w:hAnsi="Garamond"/>
            <w:color w:val="0000FF"/>
            <w:u w:val="single"/>
            <w:lang w:val="en-US" w:eastAsia="fr-FR"/>
          </w:rPr>
          <w:t xml:space="preserve">[Fußnote]Vielleicht darf man hinzusetzen, daß der »Bohrer« nicht ohne Beziehung auf das Wort »geboren«, »Geburt« gewählt worden ist. Das Kind würde so zwischen »gebohrt« und »geboren« keinen Unterschied machen. Ich akzeptiere diese mir von einem kundigen Kollegen mitgeteilte Vermutung, weiß aber nicht zu sagen, ob hier ein tieferer allgemeiner Zusammenhang oder die Ausnützung eines dem Deutschen eigentümlichen Sprachzufalles vorliegt. Auch Prometheus (Pramantha), der Menschenschöpfer, ist etymologisch der »Bohrer«. Vgl. Abraham, </w:t>
        </w:r>
        <w:r w:rsidRPr="003E335C">
          <w:rPr>
            <w:rFonts w:ascii="Garamond" w:hAnsi="Garamond"/>
            <w:i/>
            <w:iCs/>
            <w:color w:val="0000FF"/>
            <w:u w:val="single"/>
            <w:lang w:val="en-US" w:eastAsia="fr-FR"/>
          </w:rPr>
          <w:t>Traum und Mythus</w:t>
        </w:r>
        <w:r w:rsidRPr="003E335C">
          <w:rPr>
            <w:rFonts w:ascii="Garamond" w:hAnsi="Garamond"/>
            <w:color w:val="0000FF"/>
            <w:u w:val="single"/>
            <w:lang w:val="en-US" w:eastAsia="fr-FR"/>
          </w:rPr>
          <w:t xml:space="preserve">. 4. Heft der </w:t>
        </w:r>
        <w:r w:rsidRPr="003E335C">
          <w:rPr>
            <w:rFonts w:ascii="Garamond" w:hAnsi="Garamond"/>
            <w:i/>
            <w:iCs/>
            <w:color w:val="0000FF"/>
            <w:u w:val="single"/>
            <w:lang w:val="en-US" w:eastAsia="fr-FR"/>
          </w:rPr>
          <w:t>Schriften zur angewandten Seelenkunde</w:t>
        </w:r>
        <w:r w:rsidRPr="003E335C">
          <w:rPr>
            <w:rFonts w:ascii="Garamond" w:hAnsi="Garamond"/>
            <w:color w:val="0000FF"/>
            <w:u w:val="single"/>
            <w:lang w:val="en-US" w:eastAsia="fr-FR"/>
          </w:rPr>
          <w:t>, 1909.</w:t>
        </w:r>
      </w:hyperlink>
      <w:r w:rsidRPr="003E335C">
        <w:rPr>
          <w:rFonts w:ascii="Garamond" w:hAnsi="Garamond"/>
          <w:lang w:val="en-US" w:eastAsia="fr-FR"/>
        </w:rPr>
        <w:t>. Es sind identische Phantasien. Es eröffnet sich auch ein neuer Zugang zu Hansens Furcht vor der großen Badewanne, die übrigens auch bereits abgenommen hat. Es ist ihm unlieb, daß sein »Podl« zu klein ist für die große Wanne.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In den nächsten Tagen nimmt die Mutter wiederholt das Wort, um ihrer Freude über die Herstellung des Kleinen Ausdruck zu geben.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w:t>
      </w:r>
    </w:p>
    <w:p w:rsidR="00DF4073" w:rsidRPr="003E335C" w:rsidRDefault="00DF4073" w:rsidP="00DF4073">
      <w:pPr>
        <w:pStyle w:val="Sansinterligne"/>
        <w:rPr>
          <w:rFonts w:ascii="Garamond" w:hAnsi="Garamond"/>
          <w:lang w:eastAsia="fr-FR"/>
        </w:rPr>
      </w:pPr>
      <w:r w:rsidRPr="003E335C">
        <w:rPr>
          <w:rFonts w:ascii="Garamond" w:hAnsi="Garamond"/>
          <w:lang w:eastAsia="fr-FR"/>
        </w:rPr>
        <w:t>Nachtrag des Vaters eine Woche später:</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Geehrter Herr Professor! Ich möchte die Krankengeschichte Hansens noch durch folgendes ergänzen: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1. Die Remission nach der ersten Aufklärung war nicht so vollständig, wie ich sie vielleicht dargestellt habe. Hans ging allerdings spazieren, aber nur gezwungen und mit großer Angst. Einmal ging er mit mir bis zur Station »Hauptzollamt«, von wo man noch die Wohnung sieht, und war nicht weiter zu bringen.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2. Ad: Himbeersaft, Schießgewehr. Himbeersaft bekommt Hans bei der Verstopfung. Schießen und Scheißen ist eine auch ihm geläufige Wortvertauschung.</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3. Als Hans aus unserem Schlafzimmer in ein eigenes Zimmer separiert wurde, war er ungefähr 4 Jahre alt.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4. Ein Rest ist noch jetzt da, der sich nicht mehr in Furcht, sondern in normalem Fragetrieb äußert. Die Fragen beziehen sich meist darauf, woraus die Dinge verfertigt sind (Tramways, Maschinen usw.), wer die Dinge macht usw. Charakteristisch für die meisten Fragen ist, daß Hans fragt, obzwar er sich die Antwort bereits selbst gegeben hat. Er will sich nur vergewissern. Als er mich einmal mit Fragen sehr ermüdet hatte und ich ihm sagte: »Glaubst du denn, daß ich dir auf alles antworten kann, was du fragst?«, meinte er: »No, ich hab' geglaubt, weil du das vom Pferd gewußt hast, daß du das auch weißt.«</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5. Von der Krankheit spricht Hans nur mehr historisch: »Damals, wie ich die Dummheit gehabt hab'.«</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 xml:space="preserve">6. Der ungelöste Rest ist der, daß Hans sich den Kopf zerbricht, was der Vater mit dem Kinde zu tun hat, da doch die Mutter das Kind zur Welt bringt. Man kann das aus den Fragen schließen, wie: »Nicht wahr, </w:t>
      </w:r>
      <w:r w:rsidRPr="003E335C">
        <w:rPr>
          <w:rFonts w:ascii="Garamond" w:hAnsi="Garamond"/>
          <w:lang w:val="en-US" w:eastAsia="fr-FR"/>
        </w:rPr>
        <w:lastRenderedPageBreak/>
        <w:t xml:space="preserve">ich gehör' auch </w:t>
      </w:r>
      <w:r w:rsidRPr="003E335C">
        <w:rPr>
          <w:rFonts w:ascii="Garamond" w:hAnsi="Garamond"/>
          <w:i/>
          <w:iCs/>
          <w:lang w:val="en-US" w:eastAsia="fr-FR"/>
        </w:rPr>
        <w:t>dir</w:t>
      </w:r>
      <w:r w:rsidRPr="003E335C">
        <w:rPr>
          <w:rFonts w:ascii="Garamond" w:hAnsi="Garamond"/>
          <w:lang w:val="en-US" w:eastAsia="fr-FR"/>
        </w:rPr>
        <w:t>.« (Er meint, nicht nur der Mutter.) Das: wieso er mir gehört, ist ihm nicht klar. Dagegen habe ich keinen direkten Beweis, daß er, wie Sie meinen, einen Koitus der Eltern belauscht hätte.</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7. Bei einer Darstellung müßte vielleicht doch auf die Heftigkeit der Angst aufmerksam gemacht werden, da man sonst sagen würde: »Hätte man ihn nur ordentlich durchgeprügelt, so wäre er schon spazierengegangen.«</w:t>
      </w:r>
    </w:p>
    <w:p w:rsidR="00DF4073" w:rsidRPr="003E335C" w:rsidRDefault="00DF4073" w:rsidP="00DF4073">
      <w:pPr>
        <w:pStyle w:val="Sansinterligne"/>
        <w:rPr>
          <w:rFonts w:ascii="Garamond" w:hAnsi="Garamond"/>
          <w:lang w:val="en-US" w:eastAsia="fr-FR"/>
        </w:rPr>
      </w:pPr>
      <w:r w:rsidRPr="003E335C">
        <w:rPr>
          <w:rFonts w:ascii="Garamond" w:hAnsi="Garamond"/>
          <w:lang w:val="en-US" w:eastAsia="fr-FR"/>
        </w:rPr>
        <w:t>Ich setze abschließend hinzu: Mit der letzten Phantasie Hansens war auch die vom Kastrationskomplex stammende Angst überwunden, die peinliche Erwartung ins Beglückende gewendet. Ja, der Arzt, Installateur usw. kommt, er nimmt den Penis ab, aber nur um einen größeren dafür zu geben. Im übrigen mag unser kleiner Forscher nur frühzeitig die Erfahrung machen, daß alles Wissen Stückwerk ist und daß auf jeder Stufe ein ungelöster Rest bleibt.</w:t>
      </w:r>
    </w:p>
    <w:p w:rsidR="00822836" w:rsidRPr="005E1D01" w:rsidRDefault="00822836">
      <w:pPr>
        <w:rPr>
          <w:lang w:val="en-US"/>
        </w:rPr>
      </w:pPr>
      <w:r w:rsidRPr="005E1D01">
        <w:rPr>
          <w:lang w:val="en-US"/>
        </w:rPr>
        <w:br w:type="page"/>
      </w:r>
    </w:p>
    <w:p w:rsidR="00DF4073" w:rsidRPr="00822836" w:rsidRDefault="00B437A1" w:rsidP="00DF4073">
      <w:pPr>
        <w:pStyle w:val="Sansinterligne"/>
        <w:rPr>
          <w:rFonts w:ascii="Garamond" w:hAnsi="Garamond"/>
          <w:b/>
          <w:lang w:val="en-US"/>
        </w:rPr>
      </w:pPr>
      <w:hyperlink w:anchor="Hansinhalt" w:history="1">
        <w:r w:rsidR="00DF4073" w:rsidRPr="00822836">
          <w:rPr>
            <w:rStyle w:val="Lienhypertexte"/>
            <w:rFonts w:ascii="Garamond" w:hAnsi="Garamond"/>
            <w:b/>
            <w:lang w:val="en-US"/>
          </w:rPr>
          <w:t>III. Ep</w:t>
        </w:r>
        <w:bookmarkStart w:id="115" w:name="H3"/>
        <w:bookmarkEnd w:id="115"/>
        <w:r w:rsidR="00DF4073" w:rsidRPr="00822836">
          <w:rPr>
            <w:rStyle w:val="Lienhypertexte"/>
            <w:rFonts w:ascii="Garamond" w:hAnsi="Garamond"/>
            <w:b/>
            <w:lang w:val="en-US"/>
          </w:rPr>
          <w:t>ikrise</w:t>
        </w:r>
      </w:hyperlink>
    </w:p>
    <w:p w:rsidR="00822836" w:rsidRDefault="00822836" w:rsidP="00DF4073">
      <w:pPr>
        <w:pStyle w:val="Sansinterligne"/>
        <w:rPr>
          <w:rFonts w:ascii="Garamond" w:hAnsi="Garamond"/>
          <w:lang w:val="en-US"/>
        </w:rPr>
      </w:pPr>
    </w:p>
    <w:p w:rsidR="00DF4073" w:rsidRPr="003E335C" w:rsidRDefault="00DF4073" w:rsidP="00DF4073">
      <w:pPr>
        <w:pStyle w:val="Sansinterligne"/>
        <w:rPr>
          <w:rFonts w:ascii="Garamond" w:hAnsi="Garamond"/>
          <w:lang w:val="en-US"/>
        </w:rPr>
      </w:pPr>
      <w:r w:rsidRPr="003E335C">
        <w:rPr>
          <w:rFonts w:ascii="Garamond" w:hAnsi="Garamond"/>
          <w:lang w:val="en-US"/>
        </w:rPr>
        <w:t xml:space="preserve">Nach drei Richtungen werde ich nun diese Beobachtung von der Entwicklung und Lösung einer Phobie bei einem noch nicht fünfjährigen Knaben zu prüfen haben: erstens, inwieweit sie die Behauptungen unterstützt, die ich in den </w:t>
      </w:r>
      <w:r w:rsidRPr="003E335C">
        <w:rPr>
          <w:rFonts w:ascii="Garamond" w:hAnsi="Garamond"/>
          <w:i/>
          <w:iCs/>
          <w:lang w:val="en-US"/>
        </w:rPr>
        <w:t>Drei Abhandlungen zur Sexualtheorie</w:t>
      </w:r>
      <w:r w:rsidRPr="003E335C">
        <w:rPr>
          <w:rFonts w:ascii="Garamond" w:hAnsi="Garamond"/>
          <w:lang w:val="en-US"/>
        </w:rPr>
        <w:t xml:space="preserve">, (1905  </w:t>
      </w:r>
      <w:r w:rsidRPr="003E335C">
        <w:rPr>
          <w:rFonts w:ascii="Garamond" w:hAnsi="Garamond"/>
          <w:i/>
          <w:iCs/>
          <w:lang w:val="en-US"/>
        </w:rPr>
        <w:t>d</w:t>
      </w:r>
      <w:r w:rsidRPr="003E335C">
        <w:rPr>
          <w:rFonts w:ascii="Garamond" w:hAnsi="Garamond"/>
          <w:lang w:val="en-US"/>
        </w:rPr>
        <w:t>), aufgestellt habe; zweitens, was sie zum Verständnis der so häufigen Krankheitsform zu leisten vermag; drittens, was sich ihr etwa zur Aufklärung des kindlichen Seelenlebens und zur Kritik unserer Erziehungsabsichten abgewinnen läßt.</w:t>
      </w:r>
    </w:p>
    <w:p w:rsidR="00DF4073" w:rsidRPr="003E335C" w:rsidRDefault="00DF4073" w:rsidP="00DF4073">
      <w:pPr>
        <w:pStyle w:val="Sansinterligne"/>
        <w:rPr>
          <w:rFonts w:ascii="Garamond" w:hAnsi="Garamond"/>
          <w:lang w:val="en-US"/>
        </w:rPr>
      </w:pPr>
      <w:r w:rsidRPr="003E335C">
        <w:rPr>
          <w:rFonts w:ascii="Garamond" w:hAnsi="Garamond"/>
          <w:lang w:val="en-US"/>
        </w:rPr>
        <w:t>1</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Mein Eindruck geht dahin, daß das Bild des kindlichen Sexuallebens, wie es aus der Beobachtung des kleinen Hans hervortritt, in sehr guter Übereinstimmung mit der Schilderung steht, die ich in meiner </w:t>
      </w:r>
      <w:r w:rsidRPr="003E335C">
        <w:rPr>
          <w:rFonts w:ascii="Garamond" w:hAnsi="Garamond"/>
          <w:i/>
          <w:iCs/>
          <w:lang w:val="en-US"/>
        </w:rPr>
        <w:t>Sexualtheorie</w:t>
      </w:r>
      <w:r w:rsidRPr="003E335C">
        <w:rPr>
          <w:rFonts w:ascii="Garamond" w:hAnsi="Garamond"/>
          <w:lang w:val="en-US"/>
        </w:rPr>
        <w:t xml:space="preserve"> nach psychoanalytischen Untersuchungen an Erwachsenen entworfen habe. Aber ehe ich daran gehe, die Einzelheiten dieser Übereinstimmung zu verfolgen, werde ich zwei Einwendungen erledigen müssen, welche sich gegen die Verwertung dieser Analyse erheben. Die erste lautet: Der kleine Hans sei kein normales Kind, sondern, wie die Folge, eben die Erkrankung, lehrt, ein zur Neurose disponiertes, ein kleiner »Hereditarier«, und es sei darum unstatthaft, Schlüsse, die vielleicht für ihn Geltung haben, auf andere, normale Kinder zu übertragen. Ich werde diesen Einwand, da er den Wert der Beobachtung bloß einschränkt, nicht völlig aufhebt, später berücksichtigen. Der zweite und strengere Einspruch wird behaupten, daß die Analyse eines Kindes durch seinen Vater, der, in </w:t>
      </w:r>
      <w:r w:rsidRPr="003E335C">
        <w:rPr>
          <w:rFonts w:ascii="Garamond" w:hAnsi="Garamond"/>
          <w:i/>
          <w:iCs/>
          <w:lang w:val="en-US"/>
        </w:rPr>
        <w:t>meinen</w:t>
      </w:r>
      <w:r w:rsidRPr="003E335C">
        <w:rPr>
          <w:rFonts w:ascii="Garamond" w:hAnsi="Garamond"/>
          <w:lang w:val="en-US"/>
        </w:rPr>
        <w:t xml:space="preserve"> theoretischen Anschauungen befangen, mit </w:t>
      </w:r>
      <w:r w:rsidRPr="003E335C">
        <w:rPr>
          <w:rFonts w:ascii="Garamond" w:hAnsi="Garamond"/>
          <w:i/>
          <w:iCs/>
          <w:lang w:val="en-US"/>
        </w:rPr>
        <w:t>meinen</w:t>
      </w:r>
      <w:r w:rsidRPr="003E335C">
        <w:rPr>
          <w:rFonts w:ascii="Garamond" w:hAnsi="Garamond"/>
          <w:lang w:val="en-US"/>
        </w:rPr>
        <w:t xml:space="preserve"> Vorurteilen behaftet, an die Arbeit geht, überhaupt eines objektiven Wertes entbehre. Ein Kind sei selbstverständlich in hohem Grade suggerierbar, vielleicht gegen keine Person mehr als gegen seinen Vater; es lasse sich alles dem Vater zuliebe aufdrängen zum Dank dafür, daß er sich soviel mit ihm beschäftige, seine Aussagen hätten keine Beweiskraft und seine Produktionen in Einfällen, Phantasien und Träumen erfolgten natürlich in der Richtung, nach welcher man es mit allen Mitteln gedrängt habe. Kurz, es sei wieder einmal alles »Suggestion« und deren Entlarvung beim Kinde nur sehr erleichtert im Vergleiche mit dem Erwachsenen.</w:t>
      </w:r>
    </w:p>
    <w:p w:rsidR="00DF4073" w:rsidRPr="003E335C" w:rsidRDefault="00DF4073" w:rsidP="00DF4073">
      <w:pPr>
        <w:pStyle w:val="Sansinterligne"/>
        <w:rPr>
          <w:rFonts w:ascii="Garamond" w:hAnsi="Garamond"/>
          <w:lang w:val="en-US"/>
        </w:rPr>
      </w:pPr>
      <w:r w:rsidRPr="003E335C">
        <w:rPr>
          <w:rFonts w:ascii="Garamond" w:hAnsi="Garamond"/>
          <w:lang w:val="en-US"/>
        </w:rPr>
        <w:t>Sonderbar; ich weiß mich zu erinnern, als ich mich vor 22 Jahren in den Streit der wissenschaftlichen Meinungen einzumengen begann, mit welchem Spotte damals von der älteren Generation der Neurologen und Psychiater die Aufstellung der Suggestion und ihrer Wirkungen empfangen wurde. Seither hat sich die Situation gründlich geändert; der Widerwille ist in allzu entgegenkommende Bereitwilligkeit umgeschlagen, und dies nicht allein infolge der Wirkung, welche die Arbeiten Liebeaults, Bernheims und ihrer Schüler im Laufe dieser Dezennien entfalten mußten, sondern auch, weil unterdes die Entdeckung gemacht wurde, welche Denkersparnis mit der Anwendung des Schlagwortes »Suggestion« verbunden werden kann. Weiß doch niemand und bekümmert sich auch niemand zu wissen, was die Suggestion ist, woher sie rührt und wann sie sich einstellt; genug, daß man alles im Psychischen Unbequeme »Suggestion« heißen darf.</w:t>
      </w:r>
    </w:p>
    <w:p w:rsidR="00DF4073" w:rsidRPr="003E335C" w:rsidRDefault="00DF4073" w:rsidP="00DF4073">
      <w:pPr>
        <w:pStyle w:val="Sansinterligne"/>
        <w:rPr>
          <w:rFonts w:ascii="Garamond" w:hAnsi="Garamond"/>
          <w:lang w:val="en-US"/>
        </w:rPr>
      </w:pPr>
      <w:r w:rsidRPr="003E335C">
        <w:rPr>
          <w:rFonts w:ascii="Garamond" w:hAnsi="Garamond"/>
          <w:lang w:val="en-US"/>
        </w:rPr>
        <w:t>Ich teile nicht die gegenwärtig beliebte Ansicht, daß Kinderaussagen durchwegs willkürlich und unverläßlich seien. Willkür gibt es im Psychischen überhaupt nicht; die Unverläßlichkeit in den Aussagen der Kinder rührt her von der Übermacht ihrer Phantasie, wie die Unverläßlichkeit der Aussagen Erwachsener von der Übermacht ihrer Vorurteile. Sonst lügt auch das Kind nicht ohne Grund und hat im ganzen mehr Neigung zur Wahrheitsliebe als die Großen. Mit einer Verwerfung der Angaben unseres kleinen Hans in Bausch und Bogen täte man ihm gewiß schweres Unrecht; man kann vielmehr ganz deutlich unterscheiden, wo er unter dem Zwange eines Widerstandes fälscht oder zurückhält, wo er, selbst unentschieden, dem Vater beipflichtet, was man nicht als beweisend gelten lassen muß, und wo er, vom Drucke befreit, übersprudelnd mitteilt, was seine innere Wahrheit ist, und was er bisher allein gewußt hat. Größere Sicherheiten bieten auch die Angaben der Erwachsenen nicht. Bedauerlich bleibt, daß keine Darstellung einer Psychoanalyse die Eindrücke wiedergeben kann, die man während ihrer Ausführung empfängt, daß die endgültige Überzeugung nie durchs Lesen, sondern nur durchs Erleben vermittelt werden kann. Aber dieser Mangel haftet den Analysen mit Erwachsenen in gleichem Maße an.</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Den kleinen Hans schildern seine Eltern als ein heiteres, aufrichtiges Kind, und so dürfte er auch durch die Erziehung geworden sein, die ihm die Eltern schenkten, die wesentlich in der Unterlassung unserer gebräuchlichen Erziehungssünden bestand. Solange er in fröhlicher Naivität seine Forschungen pflegen konnte, ohne Ahnung der aus ihnen bald erwachsenden Konflikte, teilte er sich auch rückhaltlos mit, und die Beobachtungen aus der Zeit vor seiner Phobie unterliegen auch keinem Zweifel und keiner Beanstandung. In der Zeit der Krankheit und während der Analyse beginnen für ihn die Inkongruenzen zwischen dem, was er sagt, und dem, was er denkt, zum Teil darin begründet, daß sich ihm unbewußtes Material aufdrängt, das er nicht mit einem Male zu bewältigen weiß, zum andern Teil infolge der inhaltlichen Abhaltungen, die aus seinem Verhältnisse zu den Eltern stammen. Ich behaupte, daß ich </w:t>
      </w:r>
      <w:r w:rsidRPr="003E335C">
        <w:rPr>
          <w:rFonts w:ascii="Garamond" w:hAnsi="Garamond"/>
          <w:lang w:val="en-US"/>
        </w:rPr>
        <w:lastRenderedPageBreak/>
        <w:t>unparteiisch bleibe, wenn ich das Urteil ausspreche, daß auch diese Schwierigkeiten nicht größer ausgefallen sind als in soviel anderen Analysen mit Erwachsenen.</w:t>
      </w:r>
    </w:p>
    <w:p w:rsidR="00DF4073" w:rsidRPr="003E335C" w:rsidRDefault="00DF4073" w:rsidP="00DF4073">
      <w:pPr>
        <w:pStyle w:val="Sansinterligne"/>
        <w:rPr>
          <w:rFonts w:ascii="Garamond" w:hAnsi="Garamond"/>
          <w:lang w:val="en-US"/>
        </w:rPr>
      </w:pPr>
      <w:r w:rsidRPr="003E335C">
        <w:rPr>
          <w:rFonts w:ascii="Garamond" w:hAnsi="Garamond"/>
          <w:lang w:val="en-US"/>
        </w:rPr>
        <w:t>Während der Analyse allerdings muß ihm vieles gesagt werden, was er selbst nicht zu sagen weiß, müssen ihm Gedanken eingegeben werden, von denen sich noch nichts bei ihm gezeigt hat, muß seine Aufmerksamkeit die Einstellung nach jenen Richtungen erfahren, von denen her der Vater das Kommende erwartet. Das schwächt die Beweiskraft der Analyse; aber in jeder verfährt man so. Eine Psychoanalyse ist eben keine tendenzlose, wissenschaftliche Untersuchung, sondern ein therapeutischer Eingriff; sie will an sich nichts beweisen, sondern nur etwas ändern. Jedesmal gibt der Arzt in der Psychoanalyse dem Patienten die bewußten Erwartungsvorstellungen, mit deren Hilfe er imstande sein soll, das Unbewußte zu erkennen und zu erfassen, das eine Mal in reichlicherem, das andere in bescheidenerem Ausmaße. Es gibt eben Fälle, die mehr, und andere, die weniger Nachhilfe brauchen. Ohne solche Hilfe kommt niemand aus. Was man etwa bei sich allein zu Ende bringen kann, sind leichte Störungen, niemals eine Neurose, die sich dem Ich wie etwas Fremdes entgegengestellt hat; zur Bewältigung einer solchen braucht es den andern, und soweit der andere helfen kann, soweit ist die Neurose heilbar. Wenn es im Wesen einer Neurose liegt, sich .vom »andern« abzuwenden, wie es die Charakteristik der als Dementia praecox zusammengefaßten Zustände zu enthalten scheint, so sind eben darum diese Zustände für unsere Bemühung unheilbar. Es ist nun zugegeben, daß das Kind wegen der geringen Entwicklung seiner intellektuellen Systeme einer besonders intensiven Nachhilfe bedarf. Aber was der Arzt dem Patienten mitteilt, stammt doch selbst wieder aus analytischen Erfahrungen, und es ist wirklich beweisend genug, wenn mit dem Aufwande dieser ärztlichen Einmengung der Zusammenhang und die Lösung des pathogenen Materials erreicht wird.</w:t>
      </w:r>
    </w:p>
    <w:p w:rsidR="00DF4073" w:rsidRPr="003E335C" w:rsidRDefault="00DF4073" w:rsidP="00DF4073">
      <w:pPr>
        <w:pStyle w:val="Sansinterligne"/>
        <w:rPr>
          <w:rFonts w:ascii="Garamond" w:hAnsi="Garamond"/>
          <w:lang w:val="en-US"/>
        </w:rPr>
      </w:pPr>
      <w:r w:rsidRPr="003E335C">
        <w:rPr>
          <w:rFonts w:ascii="Garamond" w:hAnsi="Garamond"/>
          <w:lang w:val="en-US"/>
        </w:rPr>
        <w:t>Und doch hat unser kleiner Patient auch während der Analyse Selbständigkeit genug bewiesen, um ihn von dem Verdikte der »Suggestion« freisprechen zu können. Seine kindlichen Sexualtheorien wendet er auf sein Material an wie alle Kinder, ohne dazu eine Anregung zu erhalten. Dieselben sind dem Erwachsenen so überaus ferne gerückt; ja, in diesem Falle hatte ich es geradezu versäumt, den Vater darauf vorzubereiten, daß der Weg zum Thema der Geburt für Hans über den Exkretionskomplex führen müsse. Was infolge meiner Flüchtigkeit zu einer dunkeln Partie der Analyse wurde, ergab dann wenigstens ein gutes Zeugnis für die Echtheit und Selbständigkeit in Hansens Gedankenarbeit. Er war auf einmal mit dem »Lumpf« beschäftigt, ohne daß der angeblich suggerierende Vater verstehen konnte, wie er dazu kam und was daraus werden sollte. Ebensowenig Anteil kann man dem Vater an der Entwicklung der beiden Phantasien vom Installateur zuschreiben, die von dem frühzeitig erworbenen »Kastrationskomplexe« ausgehen. Ich muß hier das Geständnis ablegen, daß ich dem Vater die Erwartung dieses Zusammenhanges völlig verschwiegen habe, aus theoretischem Interesse, um nur die Beweiskraft eines sonst schwer erreichbaren Beleges nicht verkümmern zu lassen.</w:t>
      </w:r>
    </w:p>
    <w:p w:rsidR="00DF4073" w:rsidRPr="003E335C" w:rsidRDefault="00DF4073" w:rsidP="00DF4073">
      <w:pPr>
        <w:pStyle w:val="Sansinterligne"/>
        <w:rPr>
          <w:rFonts w:ascii="Garamond" w:hAnsi="Garamond"/>
          <w:lang w:val="en-US"/>
        </w:rPr>
      </w:pPr>
      <w:r w:rsidRPr="003E335C">
        <w:rPr>
          <w:rFonts w:ascii="Garamond" w:hAnsi="Garamond"/>
          <w:lang w:val="en-US"/>
        </w:rPr>
        <w:t>Bei weiterer Vertiefung in das Detail der Analyse würden sich noch reichlich neue Beweise für die Unabhängigkeit unseres Hans von der »Suggestion« ergeben, aber ich breche hier die Behandlung des ersten Einwandes ab. Ich weiß, daß ich auch durch diese Analyse keinen überzeugen werde, der sich nicht überzeugen lassen will, und ich setze die Bearbeitung dieser Beobachtung für jene Leser fort, die sich eine Überzeugung von der Objektivität des unbewußten pathogenen Materials bereits erworben haben, nicht ohne die angenehme Gewißheit zu betonen, daß die Anzahl der letzteren in beständiger Zunahme begriffen ist.</w:t>
      </w:r>
    </w:p>
    <w:p w:rsidR="00DF4073" w:rsidRPr="003E335C" w:rsidRDefault="00DF4073" w:rsidP="00DF4073">
      <w:pPr>
        <w:pStyle w:val="Sansinterligne"/>
        <w:rPr>
          <w:rFonts w:ascii="Garamond" w:hAnsi="Garamond"/>
          <w:lang w:val="en-US"/>
        </w:rPr>
      </w:pPr>
      <w:r w:rsidRPr="003E335C">
        <w:rPr>
          <w:rFonts w:ascii="Garamond" w:hAnsi="Garamond"/>
          <w:lang w:val="en-US"/>
        </w:rPr>
        <w:t> </w:t>
      </w:r>
    </w:p>
    <w:p w:rsidR="00DF4073" w:rsidRPr="003E335C" w:rsidRDefault="00DF4073" w:rsidP="00DF4073">
      <w:pPr>
        <w:pStyle w:val="Sansinterligne"/>
        <w:rPr>
          <w:rFonts w:ascii="Garamond" w:hAnsi="Garamond"/>
          <w:lang w:val="en-US"/>
        </w:rPr>
      </w:pPr>
      <w:r w:rsidRPr="003E335C">
        <w:rPr>
          <w:rFonts w:ascii="Garamond" w:hAnsi="Garamond"/>
          <w:lang w:val="en-US"/>
        </w:rPr>
        <w:t>Der erste dem Sexualleben zuzurechnende Zug bei dem kleinen Hans ist ein ganz besonders lebhaftes Interesse für seinen »Wiwimacher«, wie dies Organ nach der kaum minder wichtigen seiner beiden Funktionen und nach jener, die in der Kinderstube nicht zu umgehen ist, genannt wird. Dieses Interesse macht ihn zum Forscher; er entdeckt so, daß man auf Grund des Vorhandenseins oder Fehlens des Wiwimachers Lebendes und Lebloses unterscheiden könne. Bei allen Lebewesen, die er als sich ähnlich beurteilt, setzt er diesen bedeutsamen Körperteil voraus, studiert ihn an den großen Tieren, vermutet ihn bei beiden Eltern und läßt sich auch durch den Augenschein nicht abhalten, ihn bei seiner neugeborenen Schwester zu statuieren. Es wäre eine zu gewaltige Erschütterung seiner »Weltanschauung«, könnte man sagen, wenn er sich entschließen sollte, bei einem ihm ähnlichen Wesen auf ihn zu verzichten; es wäre so, als würde er ihm selbst entrissen. Eine Drohung der Mutter, die nichts geringeres als den Verlust des Wiwimachers zum Inhalte hat, wird darum wahrscheinlich eiligst zurückgedrängt und darf erst in späteren Zeiten ihre Wirkung äußern. Die Einmengung der Mutter war erfolgt, weil er sich durch Berührung dieses Gliedes Lustgefühle zu verschaffen liebte; der Kleine hat die gewöhnlichste und – normalste Art der autoerotischen Sexualität begonnen.</w:t>
      </w:r>
    </w:p>
    <w:p w:rsidR="00DF4073" w:rsidRPr="003E335C" w:rsidRDefault="00DF4073" w:rsidP="00DF4073">
      <w:pPr>
        <w:pStyle w:val="Sansinterligne"/>
        <w:rPr>
          <w:rFonts w:ascii="Garamond" w:hAnsi="Garamond"/>
          <w:lang w:val="en-US"/>
        </w:rPr>
      </w:pPr>
      <w:r w:rsidRPr="003E335C">
        <w:rPr>
          <w:rFonts w:ascii="Garamond" w:hAnsi="Garamond"/>
          <w:lang w:val="en-US"/>
        </w:rPr>
        <w:lastRenderedPageBreak/>
        <w:t xml:space="preserve">In einer Weise, die Alf. Adler sehr passend als » </w:t>
      </w:r>
      <w:r w:rsidRPr="003E335C">
        <w:rPr>
          <w:rFonts w:ascii="Garamond" w:hAnsi="Garamond"/>
          <w:i/>
          <w:iCs/>
          <w:lang w:val="en-US"/>
        </w:rPr>
        <w:t>Triebverschränkung</w:t>
      </w:r>
      <w:r w:rsidRPr="003E335C">
        <w:rPr>
          <w:rFonts w:ascii="Garamond" w:hAnsi="Garamond"/>
          <w:lang w:val="en-US"/>
        </w:rPr>
        <w:t xml:space="preserve">« bezeichnet hat </w:t>
      </w:r>
      <w:hyperlink r:id="rId415"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›Der Aggressionstrieb im Leben und in der Neurose‹ (1908).</w:t>
        </w:r>
      </w:hyperlink>
      <w:r w:rsidRPr="003E335C">
        <w:rPr>
          <w:rFonts w:ascii="Garamond" w:hAnsi="Garamond"/>
          <w:lang w:val="en-US"/>
        </w:rPr>
        <w:t xml:space="preserve">, verknüpft sich die Lust am eigenen Geschlechtsgliede mit der Schaulust in ihrer aktiven und ihrer passiven Ausbildung. Der Kleine sucht den Wiwimacher anderer Personen zu Gesicht zu bekommen, er entwickelt sexuelle Neugierde und liebt es, seinen eigenen zu zeigen. Einer seiner Träume aus der ersten Zeit der Verdrängung hat den Wunsch zum Inhalte, daß eine seiner kleinen Freundinnen ihm beim Wiwimachen behilflich sein, also dieses Anblickes teilhaftig werden solle. Der Traum bezeugt so, daß der Wunsch bis dahin unverdrängt bestanden hat, so wie spätere Mitteilungen bestätigen, daß er seine Befriedigung zu finden pflegte. Die aktive Richtung der sexuellen Schaulust verbindet sich bei ihm bald mit einem bestimmten Motiv. Wenn er sowohl dem Vater wie der Mutter wiederholt sein Bedauern zu erkennen gibt, daß er deren Wiwimacher noch nie gesehen habe, so drängt ihn dazu wahrscheinlich das Bedürfnis, zu </w:t>
      </w:r>
      <w:r w:rsidRPr="003E335C">
        <w:rPr>
          <w:rFonts w:ascii="Garamond" w:hAnsi="Garamond"/>
          <w:i/>
          <w:iCs/>
          <w:lang w:val="en-US"/>
        </w:rPr>
        <w:t>vergleichen</w:t>
      </w:r>
      <w:r w:rsidRPr="003E335C">
        <w:rPr>
          <w:rFonts w:ascii="Garamond" w:hAnsi="Garamond"/>
          <w:lang w:val="en-US"/>
        </w:rPr>
        <w:t>. Das Ich bleibt der Maßstab, mit dem man die Welt ausmißt; durch beständiges Vergleichen mit der eigenen Person lernt man sie verstehen. Hans hat beobachtet, daß die großen Tiere soviel größere Wiwimacher haben als er; darum vermutet er das gleiche Verhältnis auch bei seinen Eltern und möchte sich davon überzeugen. Die Mama, meint er, hat gewiß einen Wiwimacher »wie ein Pferd«. Er hat dann den Trost bereit, daß der Wiwimacher mit ihm wachsen werde; es ist, als ob der Größenwunsch des Kindes sich aufs Genitale geworfen hätte.</w:t>
      </w:r>
    </w:p>
    <w:p w:rsidR="00DF4073" w:rsidRPr="003E335C" w:rsidRDefault="00DF4073" w:rsidP="00DF4073">
      <w:pPr>
        <w:pStyle w:val="Sansinterligne"/>
        <w:rPr>
          <w:rFonts w:ascii="Garamond" w:hAnsi="Garamond"/>
          <w:lang w:val="en-US"/>
        </w:rPr>
      </w:pPr>
      <w:r w:rsidRPr="003E335C">
        <w:rPr>
          <w:rFonts w:ascii="Garamond" w:hAnsi="Garamond"/>
          <w:lang w:val="en-US"/>
        </w:rPr>
        <w:t>In der Sexualkonstitution des kleinen Hans ist also die Genitalzone von vornherein die am intensivsten lustbetonte unter den erogenen Zonen. Neben ihr ist nur noch die exkrementelle, an die Orifizien der Harn- und Stuhlentleerung geknüpfte Lust bei ihm bezeugt. Wenn er in seiner letzten Glücksphantasie, mit der sein Kranksein überwunden ist, Kinder hat, die er aufs Klosett führt, sie Wiwi machen läßt und ihnen den Podl auswischt, kurz »alles mit ihnen tut, was man mit Kindern tun kann«, so scheint es unabweisbar anzunehmen, daß diese selben Verrichtungen während seiner Kinderpflege eine Quelle der Lustempfindung für ihn waren. Diese Lust von erogenen Zonen wurde für ihn mit Hilfe der ihn pflegenden Person, der Mutter, gewonnen, führt also bereits zur Objektwahl; es bleibt aber möglich, daß er in noch früheren Zeiten gewohnt war, sich dieselbe autoerotisch zu verschaffen, daß er zu jenen Kindern gehört hat, die die Exkrete zurückzuhalten lieben, bis ihnen deren Entleerung einen Wollustreiz bereiten kann. Ich sage nur, es ist möglich, denn es ist in der Analyse nicht klargestellt worden; das »Krawallmachen mit den Beinen« (Zappeln), vor dem er sich später so sehr fürchtet, deutet nach dieser Richtung. Eine auffällige Betonung, wie bei anderen Kindern so häufig, haben diese Lustquellen bei ihm übrigens nicht. Er ist bald rein geworden, Bettnässen und tägliche Inkontinenz haben keine Rolle in seinen ersten Jahren gespielt; von der am Erwachsenen so häßlichen Neigung, mit den Exkrementen zu spielen, die am Ausgange der psychischen Rückbildungsprozesse wieder aufzutreten pflegt, ist an ihm nichts beobachtet worden.</w:t>
      </w:r>
    </w:p>
    <w:p w:rsidR="00DF4073" w:rsidRPr="003E335C" w:rsidRDefault="00DF4073" w:rsidP="00DF4073">
      <w:pPr>
        <w:pStyle w:val="Sansinterligne"/>
        <w:rPr>
          <w:rFonts w:ascii="Garamond" w:hAnsi="Garamond"/>
          <w:lang w:val="en-US"/>
        </w:rPr>
      </w:pPr>
      <w:r w:rsidRPr="003E335C">
        <w:rPr>
          <w:rFonts w:ascii="Garamond" w:hAnsi="Garamond"/>
          <w:lang w:val="en-US"/>
        </w:rPr>
        <w:t>Heben wir gleich an dieser Stelle hervor, daß während seiner Phobie die Verdrängung dieser beiden bei ihm gut ausgebildeten Komponenten der Sexualtätigkeit unverkennbar ist. Er schämt sich, vor anderen zu urinieren, klagt sich an, daß er den Finger zum Wiwimacher gebe, bemüht sich, auch die Onanie aufzugeben, und ekelt sich vor »Lumpf«, »Wiwi« und allem, was daran erinnert. In der Phantasie von der Kinderpflege nimmt er diese letztere Verdrängung wieder zurück.</w:t>
      </w:r>
    </w:p>
    <w:p w:rsidR="00DF4073" w:rsidRPr="003E335C" w:rsidRDefault="00DF4073" w:rsidP="00DF4073">
      <w:pPr>
        <w:pStyle w:val="Sansinterligne"/>
        <w:rPr>
          <w:rFonts w:ascii="Garamond" w:hAnsi="Garamond"/>
          <w:lang w:val="en-US"/>
        </w:rPr>
      </w:pPr>
      <w:r w:rsidRPr="003E335C">
        <w:rPr>
          <w:rFonts w:ascii="Garamond" w:hAnsi="Garamond"/>
          <w:lang w:val="en-US"/>
        </w:rPr>
        <w:t>Eine Sexualkonstitution wie die unseres kleinen Hans scheint die Disposition zur Entwicklung von Perversionen oder ihrem Negativ (beschränken wir uns hier auf die Hysterie) nicht zu enthalten. Soviel ich erfahren habe (es ist hier wirklich noch Zurückhaltung geboten), zeichnet sich die angeborene Konstitution der Hysteriker – bei den Perversen versteht es sich beinahe von selbst – durch das Zurücktreten der Genitalzonen gegen andere erogene Zonen aus. Eine einzige »Abirrung« des Sexuallebens muß von dieser Regel ausdrücklich ausgenommen werden. Bei den später Homosexuellen, die nach meiner Erwartung und nach den Beobachtungen von J. Sadger alle in der Kindheit eine amphigene Phase durchmachen, trifft man auf die nämliche infantile Präponderanz der Genitalzone, speziell des Penis. Ja, diese Hochschätzung des männlichen Gliedes wird zum Schicksal für die Homosexuellen. Sie wählen das Weib zum Sexualobjekt in ihrer Kindheit, solange sie auch beim Weibe die Existenz dieses ihnen unentbehrlich dünkenden Körperteiles voraussetzen; mit der Überzeugung, daß das Weib sie in diesem Punkte getäuscht hat, wird das Weib für sie als Sexualobjekt unannehmbar. Sie können den Penis bei der Person, die sie zum Sexualverkehre reizen soll, nicht entbehren und fixieren ihre Libido im günstigen Falle auf »das Weib mit dem Penis«, den feminin erscheinenden Jüngling. Die Homosexuellen sind also Personen, welche durch die erogene Bedeutung des eigenen Genitales gehindert worden sind, bei ihrem Sexualobjekt auf diese Übereinstimmung mit der eigenen Person zu verzichten. Sie sind in der Entwicklung vom Autoerotismus zur Objektliebe an einer Stelle, dem Autoerotismus näher, fixiert geblieben.</w:t>
      </w:r>
    </w:p>
    <w:p w:rsidR="00DF4073" w:rsidRPr="003E335C" w:rsidRDefault="00DF4073" w:rsidP="00DF4073">
      <w:pPr>
        <w:pStyle w:val="Sansinterligne"/>
        <w:rPr>
          <w:rFonts w:ascii="Garamond" w:hAnsi="Garamond"/>
          <w:lang w:val="en-US"/>
        </w:rPr>
      </w:pPr>
      <w:r w:rsidRPr="003E335C">
        <w:rPr>
          <w:rFonts w:ascii="Garamond" w:hAnsi="Garamond"/>
          <w:lang w:val="en-US"/>
        </w:rPr>
        <w:lastRenderedPageBreak/>
        <w:t xml:space="preserve">Es ist ganz und gar unzulässig, einen besonderen homosexuellen Trieb zu unterscheiden; es ist nicht eine Besonderheit des Trieblebens, sondern der Objektwahl, die den Homosexuellen ausmacht. Ich verweise darauf, was ich in der </w:t>
      </w:r>
      <w:r w:rsidRPr="003E335C">
        <w:rPr>
          <w:rFonts w:ascii="Garamond" w:hAnsi="Garamond"/>
          <w:i/>
          <w:iCs/>
          <w:lang w:val="en-US"/>
        </w:rPr>
        <w:t>Sexualtheorie</w:t>
      </w:r>
      <w:r w:rsidRPr="003E335C">
        <w:rPr>
          <w:rFonts w:ascii="Garamond" w:hAnsi="Garamond"/>
          <w:lang w:val="en-US"/>
        </w:rPr>
        <w:t xml:space="preserve"> ausgeführt habe, daß wir uns irrigerweise die Vereinigung von Trieb und Objekt im Sexualleben als eine zu innige vorgestellt haben. Der Homosexuelle kommt mit seinen – vielleicht normalen – Trieben von einem, durch eine bestimmte Bedingung ausgezeichneten Objekt nicht mehr los; in seiner Kindheit kann er sich, weil diese Bedingung überall als selbstverständlich erfüllt gilt, benehmen wie unser kleiner Hans, der unterschiedslos zärtlich ist mit Buben wie mit Mädchen und gelegentlich seinen Freund Fritzl für »sein liebstes Mäderl« erklärt. Hans ist homosexuell, wie es alle Kinder sein können, ganz im Einklange mit der nicht zu übersehenden Tatsache, daß er nur </w:t>
      </w:r>
      <w:r w:rsidRPr="003E335C">
        <w:rPr>
          <w:rFonts w:ascii="Garamond" w:hAnsi="Garamond"/>
          <w:i/>
          <w:iCs/>
          <w:lang w:val="en-US"/>
        </w:rPr>
        <w:t>eine Art von Genitale kennt</w:t>
      </w:r>
      <w:r w:rsidRPr="003E335C">
        <w:rPr>
          <w:rFonts w:ascii="Garamond" w:hAnsi="Garamond"/>
          <w:lang w:val="en-US"/>
        </w:rPr>
        <w:t xml:space="preserve">, ein Genitale wie das seinige </w:t>
      </w:r>
      <w:hyperlink r:id="rId416"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 xml:space="preserve">Ich habe später (1923 </w:t>
        </w:r>
        <w:r w:rsidRPr="003E335C">
          <w:rPr>
            <w:rStyle w:val="innerfusslink"/>
            <w:rFonts w:ascii="Garamond" w:hAnsi="Garamond"/>
            <w:i/>
            <w:iCs/>
            <w:color w:val="0000FF"/>
            <w:u w:val="single"/>
            <w:lang w:val="en-US"/>
          </w:rPr>
          <w:t>e</w:t>
        </w:r>
        <w:r w:rsidRPr="003E335C">
          <w:rPr>
            <w:rStyle w:val="innerfusslink"/>
            <w:rFonts w:ascii="Garamond" w:hAnsi="Garamond"/>
            <w:color w:val="0000FF"/>
            <w:u w:val="single"/>
            <w:lang w:val="en-US"/>
          </w:rPr>
          <w:t xml:space="preserve">) hervorgehoben, daß die Periode der Sexualentwicklung, in der sich auch unser kleiner Patient befindet, ganz allgemein dadurch ausgezeichnet ist, daß sie nur </w:t>
        </w:r>
        <w:r w:rsidRPr="003E335C">
          <w:rPr>
            <w:rStyle w:val="innerfusslink"/>
            <w:rFonts w:ascii="Garamond" w:hAnsi="Garamond"/>
            <w:i/>
            <w:iCs/>
            <w:color w:val="0000FF"/>
            <w:u w:val="single"/>
            <w:lang w:val="en-US"/>
          </w:rPr>
          <w:t>ein</w:t>
        </w:r>
        <w:r w:rsidRPr="003E335C">
          <w:rPr>
            <w:rStyle w:val="innerfusslink"/>
            <w:rFonts w:ascii="Garamond" w:hAnsi="Garamond"/>
            <w:color w:val="0000FF"/>
            <w:u w:val="single"/>
            <w:lang w:val="en-US"/>
          </w:rPr>
          <w:t xml:space="preserve"> Genitale, das männliche, kennt; zum Unterschied von der späteren Periode der Reife besteht in ihr nicht ein Genitalprimat, sondern das Primat des Phallus.</w:t>
        </w:r>
      </w:hyperlink>
      <w:r w:rsidRPr="003E335C">
        <w:rPr>
          <w:rFonts w:ascii="Garamond" w:hAnsi="Garamond"/>
          <w:lang w:val="en-US"/>
        </w:rPr>
        <w:t>.</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Die weitere Entwickelung unseres kleinen Erotikers geht aber nicht zur Homosexualität, sondern zu einer energischen, sich polygam gebärdenden Männlichkeit, die sich je nach ihren wechselnden weiblichen Objekten anders zu benehmen weiß, hier dreist zugreift und dort sehnsüchtig und verschämt schmachtet. In einer Zeit der Armut an anderen Objekten zur Liebe geht diese Neigung auf die Mutter zurück, von der her sie sich zu anderen gewendet hatte, um bei der Mutter in der Neurose zu scheitern. Erst dann erfahren wir, zu welcher Intensität die Liebe zur Mutter sich entwickelt und welche Schicksale sie durchgemacht hatte. Das Sexualziel, das er bei seinen Gespielinnen verfolgte, bei ihnen zu </w:t>
      </w:r>
      <w:r w:rsidRPr="003E335C">
        <w:rPr>
          <w:rFonts w:ascii="Garamond" w:hAnsi="Garamond"/>
          <w:i/>
          <w:iCs/>
          <w:lang w:val="en-US"/>
        </w:rPr>
        <w:t>schlafen</w:t>
      </w:r>
      <w:r w:rsidRPr="003E335C">
        <w:rPr>
          <w:rFonts w:ascii="Garamond" w:hAnsi="Garamond"/>
          <w:lang w:val="en-US"/>
        </w:rPr>
        <w:t>, rührte bereits von der Mutter her; es ist in die Worte gefaßt, die es auch im reifen Leben beibehalten kann, wenngleich der Inhalt dieser Worte eine Bereicherung erfahren wird. Der Knabe hatte auf dem gewöhnlichen Wege, von der Kinderpflege aus, den Weg zur Objektliebe gefunden, und ein neues Lusterlebnis war für ihn bestimmend geworden, das Schlafen neben der Mutter, aus dessen Zusammensetzung wir die Berührungslust der Haut, die uns allen konstitutionell eignet, herausheben würden, während es nach der uns artifiziell erscheinenden Nomenklatur von Moll als Befriedigung des Kontrektationstriebes zu bezeichnen wäre.</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In seinem Verhältnisse zu Vater und Mutter bestätigt Hans aufs grellste und greifbarste alles, was ich in der </w:t>
      </w:r>
      <w:r w:rsidRPr="003E335C">
        <w:rPr>
          <w:rFonts w:ascii="Garamond" w:hAnsi="Garamond"/>
          <w:i/>
          <w:iCs/>
          <w:lang w:val="en-US"/>
        </w:rPr>
        <w:t>Traumdeutung</w:t>
      </w:r>
      <w:r w:rsidRPr="003E335C">
        <w:rPr>
          <w:rFonts w:ascii="Garamond" w:hAnsi="Garamond"/>
          <w:lang w:val="en-US"/>
        </w:rPr>
        <w:t xml:space="preserve"> und in der </w:t>
      </w:r>
      <w:r w:rsidRPr="003E335C">
        <w:rPr>
          <w:rFonts w:ascii="Garamond" w:hAnsi="Garamond"/>
          <w:i/>
          <w:iCs/>
          <w:lang w:val="en-US"/>
        </w:rPr>
        <w:t>Sexualtheorie</w:t>
      </w:r>
      <w:r w:rsidRPr="003E335C">
        <w:rPr>
          <w:rFonts w:ascii="Garamond" w:hAnsi="Garamond"/>
          <w:lang w:val="en-US"/>
        </w:rPr>
        <w:t xml:space="preserve"> über die Sexualbeziehungen der Kinder zu den Eltern behauptet habe. Er ist wirklich ein kleiner Ödipus, der den Vater »weg«, beseitigt haben möchte, um mit der schönen Mutter allein zu sein, bei ihr zu schlafen. Dieser Wunsch entstand im Sommeraufenthalte, als die Abwechslungen von Anwesenheit und Abwesenheit des Vaters ihn auf die Bedingung hinwiesen, an welche die ersehnte Intimität mit der Mutter gebunden war. Er begnügte sich damals mit der Fassung, der Vater solle »wegfahren«, an welche später die Angst, von einem weißen Pferde gebissen zu werden, unmittelbar anknüpfen konnte, dank einem akzidentellen Eindrucke bei einer anderen Abreise. Er erhob sich später, wahrscheinlich erst in Wien, wo auf Verreisen des Vaters nicht mehr zu rechnen war, zum Inhalte, der Vater solle dauernd weg, solle »tot« sein. Die aus diesem Todeswunsche gegen den Vater entspringende, also normal zu motivierende Angst vor dem Vater bildete das größte Hindernis der Analyse, bis sie in der Aussprache in meiner Ordination beseitigt wurde </w:t>
      </w:r>
      <w:hyperlink r:id="rId417"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Die beiden Einfälle Hansens: Himbeersaft und Gewehr zum Totschießen werden gewiß nicht nur einseitig determiniert gewesen sein. Sie haben wahrscheinlich mit dem Hasse gegen den Vater ebensoviel zu tun wie mit dem Verstopfungskomplex. Der Vater, der die letzte Zurückführung selbst errät, denkt bei »Himbeersaft« auch an »Blut«.</w:t>
        </w:r>
      </w:hyperlink>
      <w:r w:rsidRPr="003E335C">
        <w:rPr>
          <w:rFonts w:ascii="Garamond" w:hAnsi="Garamond"/>
          <w:lang w:val="en-US"/>
        </w:rPr>
        <w:t>.</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Unser Hans ist aber wahrlich kein Bösewicht, nicht einmal ein Kind, bei welchem die grausamen und gewalttätigen Neigungen der menschlichen Natur um diese Zeit des Lebens noch ungehemmt entfaltet sind. Er ist im Gegenteil von ungewöhnlich gutmütigem und zärtlichem Wesen; der Vater hat notiert, daß sich die Verwandlung der Aggressionsneigung in Mitleiden bei ihm sehr frühzeitig vollzogen hat. Lange vor der Phobie wurde er unruhig, wenn er im Ringelspiele die Pferde schlagen sah, und er blieb nie ungerührt, wenn jemand in seiner Gegenwart weinte. An einer Stelle der Analyse kommt in einem gewissen Zusammenhange ein unterdrücktes Stück Sadismus bei ihm zum Vorschein </w:t>
      </w:r>
      <w:hyperlink r:id="rId418"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Die Pferde schlagen und necken wollen.</w:t>
        </w:r>
      </w:hyperlink>
      <w:r w:rsidRPr="003E335C">
        <w:rPr>
          <w:rFonts w:ascii="Garamond" w:hAnsi="Garamond"/>
          <w:lang w:val="en-US"/>
        </w:rPr>
        <w:t xml:space="preserve">; aber es war unterdrückt, und wir werden später aus dem Zusammenhange zu erraten haben, wofür es steht und was es ersetzen soll. Hans liebt auch den Vater innig, gegen den er diese Todeswünsche hegt, und während seine Intelligenz den Widerspruch beanständet </w:t>
      </w:r>
      <w:hyperlink r:id="rId419"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Vgl. die kritischen Fragen an den Vater (oben S. 42).</w:t>
        </w:r>
      </w:hyperlink>
      <w:r w:rsidRPr="003E335C">
        <w:rPr>
          <w:rFonts w:ascii="Garamond" w:hAnsi="Garamond"/>
          <w:lang w:val="en-US"/>
        </w:rPr>
        <w:t xml:space="preserve">, muß er dessen tatsächliches Vorhandensein demonstrieren, indem er den Vater schlägt und sofort darauf die geschlagene Stelle küßt. Auch wir wollen uns hüten, diesen Widerspruch anstößig zu finden; aus solchen Gegensatzpaaren ist das Gefühlsleben der Menschen überhaupt zusammengesetzt </w:t>
      </w:r>
      <w:hyperlink r:id="rId420"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 xml:space="preserve">»Das macht, ich bin kein ausgeklügelt Buch. </w:t>
        </w:r>
        <w:r w:rsidRPr="003E335C">
          <w:rPr>
            <w:rFonts w:ascii="Garamond" w:hAnsi="Garamond"/>
            <w:color w:val="0000FF"/>
            <w:u w:val="single"/>
            <w:lang w:val="en-US"/>
          </w:rPr>
          <w:br/>
        </w:r>
        <w:r w:rsidRPr="003E335C">
          <w:rPr>
            <w:rStyle w:val="innerfusslink"/>
            <w:rFonts w:ascii="Garamond" w:hAnsi="Garamond"/>
            <w:color w:val="0000FF"/>
            <w:u w:val="single"/>
            <w:lang w:val="en-US"/>
          </w:rPr>
          <w:lastRenderedPageBreak/>
          <w:t xml:space="preserve">Ich bin ein Mensch mit seinem Widerspruch.« </w:t>
        </w:r>
        <w:r w:rsidRPr="003E335C">
          <w:rPr>
            <w:rFonts w:ascii="Garamond" w:hAnsi="Garamond"/>
            <w:color w:val="0000FF"/>
            <w:u w:val="single"/>
            <w:lang w:val="en-US"/>
          </w:rPr>
          <w:br/>
        </w:r>
        <w:r w:rsidRPr="003E335C">
          <w:rPr>
            <w:rStyle w:val="innerfusslink"/>
            <w:rFonts w:ascii="Garamond" w:hAnsi="Garamond"/>
            <w:color w:val="0000FF"/>
            <w:u w:val="single"/>
            <w:lang w:val="en-US"/>
          </w:rPr>
          <w:t xml:space="preserve">        C. F. Meyer, </w:t>
        </w:r>
        <w:r w:rsidRPr="003E335C">
          <w:rPr>
            <w:rStyle w:val="innerfusslink"/>
            <w:rFonts w:ascii="Garamond" w:hAnsi="Garamond"/>
            <w:i/>
            <w:iCs/>
            <w:color w:val="0000FF"/>
            <w:u w:val="single"/>
            <w:lang w:val="en-US"/>
          </w:rPr>
          <w:t>Huttens letzte Tage</w:t>
        </w:r>
        <w:r w:rsidRPr="003E335C">
          <w:rPr>
            <w:rStyle w:val="innerfusslink"/>
            <w:rFonts w:ascii="Garamond" w:hAnsi="Garamond"/>
            <w:color w:val="0000FF"/>
            <w:u w:val="single"/>
            <w:lang w:val="en-US"/>
          </w:rPr>
          <w:t>.</w:t>
        </w:r>
      </w:hyperlink>
      <w:r w:rsidRPr="003E335C">
        <w:rPr>
          <w:rFonts w:ascii="Garamond" w:hAnsi="Garamond"/>
          <w:lang w:val="en-US"/>
        </w:rPr>
        <w:t>; ja, es käme vielleicht nicht zur Verdrängung und zur Neurose, wenn es anders wäre. Diese Gefühlsgegensätze, die dem Erwachsenen gewöhnlich nur in der höchsten Liebesleidenschaft gleichzeitig bewußt werden, sonst einander zu unterdrücken pflegen, bis es dem einen gelingt, das andere verdeckt zu halten, finden im Seelenleben des Kindes eine ganze Weile über friedlich nebeneinander Raum.</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Die größte Bedeutung für die psychosexuelle Entwicklung unseres Knaben hat die Geburt einer kleinen Schwester gehabt, als er 3½ Jahre alt war. Dieses Ereignis hat seine Beziehungen zu den Eltern verschärft, seinem Denken unlösliche Aufgaben gestellt, und das Zuschauen bei der Kinderpflege hat dann die Erinnerungsspuren seiner eigenen frühesten Lusterlebnisse wiederbelebt. Auch dieser Einfluß ist ein typischer; in einer unerwartet großen Anzahl von Lebens- und Krankengeschichten muß man dieses Aufflammen der sexuellen Lust und der sexuellen Wißbegierde, das an die Geburt des nächsten Kindes anknüpft, zum Ausgangspunkte nehmen. Hansens Benehmen gegen den Ankömmling ist das in der </w:t>
      </w:r>
      <w:r w:rsidRPr="003E335C">
        <w:rPr>
          <w:rFonts w:ascii="Garamond" w:hAnsi="Garamond"/>
          <w:i/>
          <w:iCs/>
          <w:lang w:val="en-US"/>
        </w:rPr>
        <w:t>Traumdeutung</w:t>
      </w:r>
      <w:hyperlink r:id="rId421"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S. 172, 8. Aufl.</w:t>
        </w:r>
      </w:hyperlink>
      <w:r w:rsidRPr="003E335C">
        <w:rPr>
          <w:rFonts w:ascii="Garamond" w:hAnsi="Garamond"/>
          <w:lang w:val="en-US"/>
        </w:rPr>
        <w:t xml:space="preserve"> geschilderte. Im Fieber wenige Tage nachher verrät er, wie wenig er mit diesem Zuwachs einverstanden ist. Hier ist die Feindseligkeit das zeitlich Vorangehende, die Zärtlichkeit mag nachfolgen </w:t>
      </w:r>
      <w:hyperlink r:id="rId422"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Vgl. seine Vorsätze, wenn die Kleine erst sprechen kann (oben S. 66).</w:t>
        </w:r>
      </w:hyperlink>
      <w:r w:rsidRPr="003E335C">
        <w:rPr>
          <w:rFonts w:ascii="Garamond" w:hAnsi="Garamond"/>
          <w:lang w:val="en-US"/>
        </w:rPr>
        <w:t>. Die Angst, daß noch ein neues Kind nachkommen könne, hat seither eine Stelle in seinem bewußten Denken. In der Neurose ist die bereits unterdrückte Feindseligkeit durch eine besondere Angst, die vor der Badewanne, vertreten; in der Analyse bringt er den Todeswunsch gegen die Schwester unverhohlen zum Ausdrucke, nicht bloß in Anspielungen, die der Vater vervollständigen muß. Seine Selbstkritik läßt ihm diesen Wunsch nicht so arg erscheinen wie den analogen gegen den Vater; aber er hat offenbar beide Personen in gleicher Weise im Unbewußten behandelt, weil sie beide ihm die Mammi wegnehmen, ihn im Alleinsein mit ihr stören.</w:t>
      </w:r>
    </w:p>
    <w:p w:rsidR="00DF4073" w:rsidRPr="003E335C" w:rsidRDefault="00DF4073" w:rsidP="00DF4073">
      <w:pPr>
        <w:pStyle w:val="Sansinterligne"/>
        <w:rPr>
          <w:rFonts w:ascii="Garamond" w:hAnsi="Garamond"/>
          <w:lang w:val="en-US"/>
        </w:rPr>
      </w:pPr>
      <w:r w:rsidRPr="003E335C">
        <w:rPr>
          <w:rFonts w:ascii="Garamond" w:hAnsi="Garamond"/>
          <w:lang w:val="en-US"/>
        </w:rPr>
        <w:t>Dies Ereignis und die mit ihm verknüpften Erweckungen haben übrigens seinen Wünschen eine neue Richtung gegeben. In der sieghaften Schlußphantasie zieht er dann die Summe aller seiner erotischen Wunschregungen, der aus der autoerotischen Phase stammenden und der mit der Objektliebe zusammenhängenden. Er ist mit der schönen Mutter verheiratet und hat ungezählte Kinder, die er nach seiner Weise pflegen kann.</w:t>
      </w:r>
    </w:p>
    <w:p w:rsidR="00DF4073" w:rsidRPr="003E335C" w:rsidRDefault="00DF4073" w:rsidP="00DF4073">
      <w:pPr>
        <w:pStyle w:val="Sansinterligne"/>
        <w:rPr>
          <w:rFonts w:ascii="Garamond" w:hAnsi="Garamond"/>
          <w:lang w:val="en-US"/>
        </w:rPr>
      </w:pPr>
      <w:r w:rsidRPr="003E335C">
        <w:rPr>
          <w:rFonts w:ascii="Garamond" w:hAnsi="Garamond"/>
          <w:lang w:val="en-US"/>
        </w:rPr>
        <w:t>2</w:t>
      </w:r>
    </w:p>
    <w:p w:rsidR="00DF4073" w:rsidRPr="003E335C" w:rsidRDefault="00DF4073" w:rsidP="00DF4073">
      <w:pPr>
        <w:pStyle w:val="Sansinterligne"/>
        <w:rPr>
          <w:rFonts w:ascii="Garamond" w:hAnsi="Garamond"/>
        </w:rPr>
      </w:pPr>
      <w:r w:rsidRPr="003E335C">
        <w:rPr>
          <w:rFonts w:ascii="Garamond" w:hAnsi="Garamond"/>
          <w:lang w:val="en-US"/>
        </w:rPr>
        <w:t xml:space="preserve">Hans erkrankt eines Tages an Angst auf der Straße. Er kann noch nicht sagen, wovor er sich fürchtet, aber zu Beginn seines Angstzustandes verrät er auch dem Vater das Motiv seines Krankseins, den Krankheitsgewinn. Er will bei der Mutter bleiben, mit ihr schmeicheln; die Erinnerung, daß er auch von ihr getrennt war zur Zeit, als das Kind kam, mag, wie der Vater meint, zu dieser Sehnsucht beitragen. Bald erweist sich, daß diese Angst nicht mehr in Sehnsucht zurückzuübersetzen ist, er fürchtet sich auch, wenn die Mutter mit ihm geht. Unterdes erhalten wir Anzeichen von dem, woran sich die zur Angst gewordene Libido fixiert hat. </w:t>
      </w:r>
      <w:r w:rsidRPr="003E335C">
        <w:rPr>
          <w:rFonts w:ascii="Garamond" w:hAnsi="Garamond"/>
        </w:rPr>
        <w:t>Er äußert die ganz spezialisierte Furcht, daß ihn ein weißes Pferd beißen wird.</w:t>
      </w:r>
    </w:p>
    <w:p w:rsidR="00DF4073" w:rsidRPr="003E335C" w:rsidRDefault="00DF4073" w:rsidP="00DF4073">
      <w:pPr>
        <w:pStyle w:val="Sansinterligne"/>
        <w:rPr>
          <w:rFonts w:ascii="Garamond" w:hAnsi="Garamond"/>
        </w:rPr>
      </w:pPr>
      <w:r w:rsidRPr="003E335C">
        <w:rPr>
          <w:rFonts w:ascii="Garamond" w:hAnsi="Garamond"/>
        </w:rPr>
        <w:t>Wir benennen einen solchen Krankheitszustand eine »Phobie« und könnten den Fall unseres Kleinen der Agoraphobie zurechnen, wenn diese Affektion nicht dadurch ausgezeichnet wäre, daß die sonst unmögliche Leistung im Raume jedesmal durch die Begleitung einer gewissen dazu auserwählten Person, im äußersten Falle des Arztes, leicht möglich wird. Hansens Phobie hält diese Bedingung nicht ein, sieht bald vom Raume ab und nimmt immer deutlicher das Pferd zum Objekte; in den ersten Tagen äußert er auf der Höhe des Angstzustandes die Befürchtung: »Das Pferd wird ins Zimmer kommen«, die mir das Verständnis seiner Angst so sehr erleichtert hat.</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Die Stellung der »Phobien« im System der Neurosen ist bisher eine unbestimmte gewesen. Sicher scheint, daß man in den Phobien nur Syndrome erblicken darf, die verschiedenen Neurosen angehören können, ihnen nicht die Bedeutung besonderer Krankheitsprozesse einzuräumen braucht. Für die Phobien von der Art wie die unseres kleinen Patienten, die ja die häufigsten sind, scheint mir die Bezeichnung »Angsthysterie« nicht unzweckmäßig; ich habe sie Herrn Dr. W. Stekel vorgeschlagen, als er die Darstellung der nervösen Angstzustände unternahm, und ich hoffe, daß sie sich einbürgern wird </w:t>
      </w:r>
      <w:hyperlink r:id="rId423"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 xml:space="preserve">W. Stekel, </w:t>
        </w:r>
        <w:r w:rsidRPr="003E335C">
          <w:rPr>
            <w:rStyle w:val="innerfusslink"/>
            <w:rFonts w:ascii="Garamond" w:hAnsi="Garamond"/>
            <w:i/>
            <w:iCs/>
            <w:color w:val="0000FF"/>
            <w:u w:val="single"/>
            <w:lang w:val="en-US"/>
          </w:rPr>
          <w:t>Nervöse Angstzustände und ihre Behandlung</w:t>
        </w:r>
        <w:r w:rsidRPr="003E335C">
          <w:rPr>
            <w:rStyle w:val="innerfusslink"/>
            <w:rFonts w:ascii="Garamond" w:hAnsi="Garamond"/>
            <w:color w:val="0000FF"/>
            <w:u w:val="single"/>
            <w:lang w:val="en-US"/>
          </w:rPr>
          <w:t>, 1908.</w:t>
        </w:r>
      </w:hyperlink>
      <w:r w:rsidRPr="003E335C">
        <w:rPr>
          <w:rFonts w:ascii="Garamond" w:hAnsi="Garamond"/>
          <w:lang w:val="en-US"/>
        </w:rPr>
        <w:t xml:space="preserve">. Sie rechtfertigt sich durch die vollkommene Übereinstimmung im psychischen Mechanismus dieser Phobien mit der Hysterie bis auf einen, aber entscheidenden und zur Sonderung geeigneten Punkt. Die aus dem pathogenen Material durch die Verdrängung entbundene Libido wird nämlich nicht </w:t>
      </w:r>
      <w:r w:rsidRPr="003E335C">
        <w:rPr>
          <w:rFonts w:ascii="Garamond" w:hAnsi="Garamond"/>
          <w:i/>
          <w:iCs/>
          <w:lang w:val="en-US"/>
        </w:rPr>
        <w:t>konvertiert</w:t>
      </w:r>
      <w:r w:rsidRPr="003E335C">
        <w:rPr>
          <w:rFonts w:ascii="Garamond" w:hAnsi="Garamond"/>
          <w:lang w:val="en-US"/>
        </w:rPr>
        <w:t xml:space="preserve">, aus dem Seelischen heraus zu einer körperlichen Innervation verwendet, sondern wird als Angst frei. In den vorkommenden Krankheitsfällen kann sich diese »Angsthysterie« mit der » </w:t>
      </w:r>
      <w:r w:rsidRPr="003E335C">
        <w:rPr>
          <w:rFonts w:ascii="Garamond" w:hAnsi="Garamond"/>
          <w:i/>
          <w:iCs/>
          <w:lang w:val="en-US"/>
        </w:rPr>
        <w:t>Konversionshysterie</w:t>
      </w:r>
      <w:r w:rsidRPr="003E335C">
        <w:rPr>
          <w:rFonts w:ascii="Garamond" w:hAnsi="Garamond"/>
          <w:lang w:val="en-US"/>
        </w:rPr>
        <w:t xml:space="preserve">« in beliebigem Ausmaße vermengen. Es gibt auch reine Konversionshysterie ohne jede Angst sowie bloße Angsthysterie, die sich in </w:t>
      </w:r>
      <w:r w:rsidRPr="003E335C">
        <w:rPr>
          <w:rFonts w:ascii="Garamond" w:hAnsi="Garamond"/>
          <w:lang w:val="en-US"/>
        </w:rPr>
        <w:lastRenderedPageBreak/>
        <w:t>Angstempfindungen und Phobien äußert, ohne Konversionszusatz; ein Fall letzterer Art ist der unseres kleinen Hans.</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Die Angsthysterien sind die häufigsten aller psychoneurotischen Erkrankungen, vor allem aber die zuerst im Leben auftretenden, es sind geradezu die Neurosen der Kinderzeit. Wenn eine Mutter etwa von ihrem Kind erzählt, es sei sehr »nervös«, so kann man in 9 unter 10 Fällen darauf rechnen, daß das Kind irgendeine Art von Angst oder viele Ängstlichkeiten zugleich hat. Leider ist der feinere Mechanismus dieser so bedeutsamen Erkrankungen noch nicht genügend studiert; es ist noch nicht festgestellt, ob die Angsthysterie zum Unterschiede von der Konversionshysterie und von anderen Neurosen ihre einzige Bedingung in konstitutionellen Momenten oder im akzidentellen Erleben hat, oder in welcher Vereinigung von beiden sie sie findet </w:t>
      </w:r>
      <w:hyperlink r:id="rId424"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Die hier aufgeworfene Frage ist zwar nicht weiter verfolgt worden. Es besteht aber kein Grund, für die Angsthysterie eine Ausnahme von der Regel anzunehmen, daß Anlage und Erleben für die Ätiologie einer Neurose zusammenwirken müssen. Ein besonderes Licht auf die in der Kindheit so starke Disposition zur Angsthysterie scheint die Auffassung Ranks von der Wirkung des Geburtstraumas zu werfen.</w:t>
        </w:r>
      </w:hyperlink>
      <w:r w:rsidRPr="003E335C">
        <w:rPr>
          <w:rFonts w:ascii="Garamond" w:hAnsi="Garamond"/>
          <w:lang w:val="en-US"/>
        </w:rPr>
        <w:t>. Es scheint mir, daß es diejenige neurotische Erkrankung ist, welche die geringsten Ansprüche auf eine besondere Konstitution erhebt und im Zusammenhange damit am leichtesten zu jeder Lebenszeit akquiriert werden kann.</w:t>
      </w:r>
    </w:p>
    <w:p w:rsidR="00DF4073" w:rsidRPr="003E335C" w:rsidRDefault="00DF4073" w:rsidP="00DF4073">
      <w:pPr>
        <w:pStyle w:val="Sansinterligne"/>
        <w:rPr>
          <w:rFonts w:ascii="Garamond" w:hAnsi="Garamond"/>
          <w:lang w:val="en-US"/>
        </w:rPr>
      </w:pPr>
      <w:r w:rsidRPr="003E335C">
        <w:rPr>
          <w:rFonts w:ascii="Garamond" w:hAnsi="Garamond"/>
          <w:lang w:val="en-US"/>
        </w:rPr>
        <w:t>Ein wesentlicher Charakter der Angsthysterien läßt sich leicht hervorheben. Die Angsthysterie entwickelt sich immer mehr zur »Phobie«, am Ende kann der Kranke angstfrei geworden sein, aber nur auf Kosten von Hemmungen und Einschränkungen, denen er sich unterwerfen mußte. Es gibt bei der Angsthysterie eine von Anfang an fortgesetzte psychische Arbeit, um die frei gewordene Angst wieder psychisch zu binden, aber diese Arbeit kann weder die Rückverwandlung der Angst in Libido herbeiführen noch an dieselben Komplexe anknüpfen, von denen die Libido herrührt. Es bleibt ihr nichts anderes übrig, als jeden der möglichen Anlässe zur Angstentwicklung durch einen psychischen Vorbau von der Art einer Vorsicht, einer Hemmung, eines Verbots zu sperren, und diese Schutzbauten sind es, die uns als Phobien erscheinen und für unsere Wahrnehmung das Wesen der Krankheit ausmachen.</w:t>
      </w:r>
    </w:p>
    <w:p w:rsidR="00DF4073" w:rsidRPr="003E335C" w:rsidRDefault="00DF4073" w:rsidP="00DF4073">
      <w:pPr>
        <w:pStyle w:val="Sansinterligne"/>
        <w:rPr>
          <w:rFonts w:ascii="Garamond" w:hAnsi="Garamond"/>
          <w:lang w:val="en-US"/>
        </w:rPr>
      </w:pPr>
      <w:r w:rsidRPr="003E335C">
        <w:rPr>
          <w:rFonts w:ascii="Garamond" w:hAnsi="Garamond"/>
          <w:lang w:val="en-US"/>
        </w:rPr>
        <w:t>Man darf sagen, daß die Behandlung der Angsthysterie bisher eine rein negative gewesen ist. Die Erfahrung hat gezeigt, daß es unmöglich, ja unter Umständen gefährlich ist, die Heilung der Phobie auf gewalttätige Art zu erreichen, indem man den Kranken in eine Situation bringt, in welcher er die Angstentbindung durchmachen muß, nachdem man ihm seine Deckung entzogen hat. So läßt man ihn notgedrungen Schutz suchen, wo er ihn zu finden glaubt, und bezeugt ihm eine wirkungslose Verachtung wegen seiner »unbegreiflichen Feigheit«.</w:t>
      </w:r>
    </w:p>
    <w:p w:rsidR="00DF4073" w:rsidRPr="003E335C" w:rsidRDefault="00DF4073" w:rsidP="00DF4073">
      <w:pPr>
        <w:pStyle w:val="Sansinterligne"/>
        <w:rPr>
          <w:rFonts w:ascii="Garamond" w:hAnsi="Garamond"/>
          <w:lang w:val="en-US"/>
        </w:rPr>
      </w:pPr>
      <w:r w:rsidRPr="003E335C">
        <w:rPr>
          <w:rFonts w:ascii="Garamond" w:hAnsi="Garamond"/>
          <w:lang w:val="en-US"/>
        </w:rPr>
        <w:t>Für die Eltern unseres kleinen Patienten stand von Beginn der Erkrankung an fest, daß man ihn weder auslachen noch brutalisieren dürfe, sondern den Zugang zu seinen verdrängten Wünschen auf psychoanalytischem Wege suchen müsse. Der Erfolg belohnte die außerordentliche Bemühung seines Vaters, dessen Mitteilungen uns Gelegenheit geben werden, in das Gefüge einer solchen Phobie einzudringen und den Weg der bei ihr vorgenommenen Analyse zu verfolgen.</w:t>
      </w:r>
    </w:p>
    <w:p w:rsidR="00DF4073" w:rsidRPr="003E335C" w:rsidRDefault="00DF4073" w:rsidP="00DF4073">
      <w:pPr>
        <w:pStyle w:val="Sansinterligne"/>
        <w:rPr>
          <w:rFonts w:ascii="Garamond" w:hAnsi="Garamond"/>
          <w:lang w:val="en-US"/>
        </w:rPr>
      </w:pPr>
      <w:r w:rsidRPr="003E335C">
        <w:rPr>
          <w:rFonts w:ascii="Garamond" w:hAnsi="Garamond"/>
          <w:lang w:val="en-US"/>
        </w:rPr>
        <w:t> </w:t>
      </w:r>
    </w:p>
    <w:p w:rsidR="00DF4073" w:rsidRPr="003E335C" w:rsidRDefault="00DF4073" w:rsidP="00DF4073">
      <w:pPr>
        <w:pStyle w:val="Sansinterligne"/>
        <w:rPr>
          <w:rFonts w:ascii="Garamond" w:hAnsi="Garamond"/>
          <w:lang w:val="en-US"/>
        </w:rPr>
      </w:pPr>
      <w:r w:rsidRPr="003E335C">
        <w:rPr>
          <w:rFonts w:ascii="Garamond" w:hAnsi="Garamond"/>
          <w:lang w:val="en-US"/>
        </w:rPr>
        <w:t>Es ist mir nicht unwahrscheinlich, daß die Analyse durch ihre Ausdehnung und Ausführlichkeit dem Leser einigermaßen undurchsichtig geworden ist. Ich will darum zuerst ihren Verlauf verkürzt wiederholen mit Weglassung alles störenden Beiwerks und Hervorhebung der Ergebnisse, die sich schrittweise erkennen lassen.</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Wir erfahren zunächst, daß der Ausbruch des Angstzustandes kein so plötzlicher war, wie es auf den ersten Blick erschien. Einige Tage vorher war das Kind aus einem Angsttraum erwacht, dessen Inhalt war, die Mama sei weg und er habe jetzt keine Mama zum Schmeicheln. Schon dieser Traum weist auf einen Verdrängungsvorgang von bedenklicher Intensität. Seine Aufklärung kann nicht lauten, wie bei vielen Angstträumen sonst, daß das Kind aus irgendwelchen somatischen Quellen im Traume Angst verspürt und diese Angst nun zur Erfüllung eines sonst intensiv verdrängten Wunsches aus dem Unbewußten benutzt hat (vgl. </w:t>
      </w:r>
      <w:r w:rsidRPr="003E335C">
        <w:rPr>
          <w:rFonts w:ascii="Garamond" w:hAnsi="Garamond"/>
          <w:i/>
          <w:iCs/>
          <w:lang w:val="en-US"/>
        </w:rPr>
        <w:t>Traumdeutung</w:t>
      </w:r>
      <w:r w:rsidRPr="003E335C">
        <w:rPr>
          <w:rFonts w:ascii="Garamond" w:hAnsi="Garamond"/>
          <w:lang w:val="en-US"/>
        </w:rPr>
        <w:t>), sondern es ist ein echter Straf- und Verdrängungstraum, bei dem auch die Funktion des Traumes fehlschlägt, da das Kind mit Angst aus dem Schlaf erwacht. Der eigentliche Vorgang im Unbewußten läßt sich leicht rekonstruieren. Das Kind hat von Zärtlichkeiten mit der Mutter geträumt, bei ihr geschlafen, alle Lust ist in Angst und aller Vorstellungsinhalt in sein Gegenteil verwandelt worden. Die Verdrängung hat den Sieg über den Traummechanismus davongetragen.</w:t>
      </w:r>
    </w:p>
    <w:p w:rsidR="00DF4073" w:rsidRPr="003E335C" w:rsidRDefault="00DF4073" w:rsidP="00DF4073">
      <w:pPr>
        <w:pStyle w:val="Sansinterligne"/>
        <w:rPr>
          <w:rFonts w:ascii="Garamond" w:hAnsi="Garamond"/>
        </w:rPr>
      </w:pPr>
      <w:r w:rsidRPr="003E335C">
        <w:rPr>
          <w:rFonts w:ascii="Garamond" w:hAnsi="Garamond"/>
          <w:lang w:val="en-US"/>
        </w:rPr>
        <w:t xml:space="preserve">Aber die Anfänge dieser psychologischen Situation gehen noch weiter zurück. Schon im Sommer gab es ähnliche sehnsüchtig-ängstliche Stimmungen, in denen er ähnliches äußerte, und die ihm damals den Vorteil brachten, daß ihn die Mutter zu sich ins Bett nahm. Seit dieser Zeit etwa dürften wir den Bestand einer gesteigerten sexuellen Erregung bei Hans annehmen, deren Objekt die Mutter ist, deren Intensität </w:t>
      </w:r>
      <w:r w:rsidRPr="003E335C">
        <w:rPr>
          <w:rFonts w:ascii="Garamond" w:hAnsi="Garamond"/>
          <w:lang w:val="en-US"/>
        </w:rPr>
        <w:lastRenderedPageBreak/>
        <w:t xml:space="preserve">sich in zwei Verführungsversuchen an der Mutter äußert – der letzte ganz kurz vor dem Ausbruche der Angst – und die sich nebenbei in allabendlicher masturbatorischer Befriedigung entlädt. Ob dann der Umschlag dieser Erregung sich spontan vollzieht oder infolge der Abweisung der Mutter oder durch die zufällige Erweckung früherer Eindrücke bei der später zu erfahrenden »Veranlassung« der Erkrankung, das ist nicht zu entscheiden, ist wohl auch gleichgültig, da die drei verschiedenen Fälle nicht als Gegensätze aufgefaßt werden können. </w:t>
      </w:r>
      <w:r w:rsidRPr="003E335C">
        <w:rPr>
          <w:rFonts w:ascii="Garamond" w:hAnsi="Garamond"/>
        </w:rPr>
        <w:t>Die Tatsache ist die des Umschlags der sexuellen Erregung in die Angst.</w:t>
      </w:r>
    </w:p>
    <w:p w:rsidR="00DF4073" w:rsidRPr="003E335C" w:rsidRDefault="00DF4073" w:rsidP="00DF4073">
      <w:pPr>
        <w:pStyle w:val="Sansinterligne"/>
        <w:rPr>
          <w:rFonts w:ascii="Garamond" w:hAnsi="Garamond"/>
          <w:lang w:val="en-US"/>
        </w:rPr>
      </w:pPr>
      <w:r w:rsidRPr="003E335C">
        <w:rPr>
          <w:rFonts w:ascii="Garamond" w:hAnsi="Garamond"/>
        </w:rPr>
        <w:t xml:space="preserve">Von dem Benehmen des Kindes in der ersten Zeit der Angst haben wir schon gehört, auch daß der erste Inhalt, den es seiner Angst gibt, lautet: Ein </w:t>
      </w:r>
      <w:r w:rsidRPr="003E335C">
        <w:rPr>
          <w:rFonts w:ascii="Garamond" w:hAnsi="Garamond"/>
          <w:i/>
          <w:iCs/>
        </w:rPr>
        <w:t>Pferd</w:t>
      </w:r>
      <w:r w:rsidRPr="003E335C">
        <w:rPr>
          <w:rFonts w:ascii="Garamond" w:hAnsi="Garamond"/>
        </w:rPr>
        <w:t xml:space="preserve"> wird es beißen. Hier findet nun die erste Einmengung der Therapie statt. Die Eltern weisen darauf hin, daß die Angst die Folge der Masturbation sei, und leiten ihn zur Entwöhnung von derselben an. </w:t>
      </w:r>
      <w:r w:rsidRPr="003E335C">
        <w:rPr>
          <w:rFonts w:ascii="Garamond" w:hAnsi="Garamond"/>
          <w:lang w:val="en-US"/>
        </w:rPr>
        <w:t>Ich sorge dafür, daß die Zärtlichkeit für die Mutter, die er gegen die Angst vor den Pferden vertauschen möchte, kräftig vor ihm betont werde. Eine geringfügige Besserung nach dieser ersten Einflußnahme geht bald in einer Zeit körperlichen Krankseins unter. Der Zustand ist unverändert. Bald darauf findet Hans die Ableitung der Furcht, daß ihn ein Pferd beißen wird, von der Reminiszenz eines Eindruckes in Gmunden. Ein Vater warnte damals sein Kind bei der Abreise: Gib den Finger nicht zum Pferde, sonst wird es dich beißen. Der Wortlaut, in den Hans die Warnung des Vaters kleidet, erinnert an die Wortfassung der Onanieverwarnung (den Finger hingeben). Die Eltern scheinen so zuerst recht zu behalten, daß Hans sich vor seiner onanistischen Befriedigung schreckt. Der Zusammenhang ist aber noch ein loser und das Pferd scheint zu seiner Schreckensrolle recht zufällig geraten zu sein.</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Ich hatte die Vermutung geäußert, daß sein verdrängter Wunsch jetzt lauten könnte, er wolle durchaus den Wiwimacher der Mutter sehen. Da sein Benehmen gegen ein neu eingetretenes Hausmädchen dazu stimmt, wird ihm vom Vater die erste Aufklärung erteilt: Frauen haben keinen Wiwimacher. Er reagiert auf diese erste Hilfeleistung mit der Mitteilung einer Phantasie, er habe die Mama gesehen, wie sie ihren Wiwimacher gezeigt habe </w:t>
      </w:r>
      <w:hyperlink r:id="rId425"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Aus dem Zusammenhange ist zu ergänzen: und dabei berührt habe ( S. 33). Er kann ja seinen Wiwimacher nicht zeigen, ohne ihn zu berühren.</w:t>
        </w:r>
      </w:hyperlink>
      <w:r w:rsidRPr="003E335C">
        <w:rPr>
          <w:rFonts w:ascii="Garamond" w:hAnsi="Garamond"/>
          <w:lang w:val="en-US"/>
        </w:rPr>
        <w:t>. Diese Phantasie und eine im Gespräch geäußerte Bemerkung, sein Wiwimacher sei doch angewachsen, gestatten den ersten Einblick in die unbewußten Gedankengänge des Patienten. Er stand wirklich unter dem nachträglichen Eindruck der Kastrationsdrohung der Mutter, die 1¼ Jahre früher vorgefallen war, denn die Phantasie, daß die Mutter das gleiche tue, die gewöhnliche »Retourkutsche« beschuldigter Kinder, soll ja seiner Entlastung dienen; sie ist eine Schutz- und Abwehrphantasie. Indes müssen wir uns sagen, daß es die Eltern waren, welche aus dem in Hans wirksamen pathogenen Material das Thema der Beschäftigung mit dem Wiwimacher hervorgeholt haben. Er ist ihnen darin gefolgt, hat aber noch nicht selbsttätig in die Analyse eingegriffen. Ein therapeutischer Erfolg ist nicht zu beobachten. Die Analyse ist weit weg von den Pferden, und die Mitteilung, daß Frauen keinen Wiwimacher haben, ist durch ihren Inhalt eher geeignet, seine Besorgnis um die Erhaltung des eigenen Wiwimachers zu steigern.</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Es ist aber nicht der therapeutische Erfolg, den wir an erster Stelle anstreben, sondern wir wollen den Patienten in den Stand setzen, seine unbewußten Wunschregungen bewußt zu erfassen. Dies erreichen wir, indem wir auf Grund der Andeutungen, die er uns macht, mit Hilfe unserer Deutekunst den unbewußten Komplex </w:t>
      </w:r>
      <w:r w:rsidRPr="003E335C">
        <w:rPr>
          <w:rFonts w:ascii="Garamond" w:hAnsi="Garamond"/>
          <w:i/>
          <w:iCs/>
          <w:lang w:val="en-US"/>
        </w:rPr>
        <w:t>mit unseren Worten</w:t>
      </w:r>
      <w:r w:rsidRPr="003E335C">
        <w:rPr>
          <w:rFonts w:ascii="Garamond" w:hAnsi="Garamond"/>
          <w:lang w:val="en-US"/>
        </w:rPr>
        <w:t xml:space="preserve"> vor sein Bewußtsein bringen. Das Stück Ähnlichkeit zwischen dem, was er gehört hat, und dem, was er sucht, das sich selbst, trotz aller Widerstände, zum Bewußtsein durchdrängen will, setzt ihn in den Stand, das Unbewußte zu finden. Der Arzt ist ihm im Verständnisse um ein Stück voraus; er kommt auf seinen eigenen Wegen nach, bis sie sich am bezeichneten Ziel treffen. Anfänger in der Psychoanalyse pflegen diese beiden Momente zu verschmelzen und den Zeitpunkt, in dem ihnen ein unbewußter Komplex des Kranken kenntlich geworden ist, auch für den zu halten, in dem der Kranke ihn erfaßt. Sie erwarten zu viel, wenn sie mit der Mitteilung dieser Erkenntnis den Kranken heilen wollen, während er das Mitgeteilte nur dazu verwenden kann, mit dessen Hilfe den unbewußten Komplex in seinem Unbewußten, </w:t>
      </w:r>
      <w:r w:rsidRPr="003E335C">
        <w:rPr>
          <w:rFonts w:ascii="Garamond" w:hAnsi="Garamond"/>
          <w:i/>
          <w:iCs/>
          <w:lang w:val="en-US"/>
        </w:rPr>
        <w:t>dort wo er verankert ist</w:t>
      </w:r>
      <w:r w:rsidRPr="003E335C">
        <w:rPr>
          <w:rFonts w:ascii="Garamond" w:hAnsi="Garamond"/>
          <w:lang w:val="en-US"/>
        </w:rPr>
        <w:t xml:space="preserve">, aufzufinden. Einen ersten Erfolg dieser Art erzielen wir nun bei Hans. Er ist jetzt nach der partiellen Bewältigung des Kastrationskomplexes imstande, seine Wünsche auf die Mutter mitzuteilen, und er tut dies in noch entstellter Form durch die </w:t>
      </w:r>
      <w:r w:rsidRPr="003E335C">
        <w:rPr>
          <w:rFonts w:ascii="Garamond" w:hAnsi="Garamond"/>
          <w:i/>
          <w:iCs/>
          <w:lang w:val="en-US"/>
        </w:rPr>
        <w:t>Phantasie von den beiden Giraffen</w:t>
      </w:r>
      <w:r w:rsidRPr="003E335C">
        <w:rPr>
          <w:rFonts w:ascii="Garamond" w:hAnsi="Garamond"/>
          <w:lang w:val="en-US"/>
        </w:rPr>
        <w:t xml:space="preserve">, von denen die eine erfolglos schreit, weil er von der anderen Besitz ergreift. Die Besitzergreifung stellt er unter dem Bilde des Sichdaraufsetzens dar. Der Vater erkennt in dieser Phantasie eine Reproduktion einer Szene, die sich morgens im Schlafzimmer zwischen den Eltern und dem Kinde abgespielt hat, und versäumt nicht, dem Wunsche die ihm noch anhaftende Entstellung abzustreifen. Er und die Mutter sind die beiden Giraffen. Die Einkleidung in die Giraffenphantasie ist hinreichend determiniert durch den Besuch bei diesen großen Tieren in Schönbrunn wenige Tage vorher, durch die </w:t>
      </w:r>
      <w:r w:rsidRPr="003E335C">
        <w:rPr>
          <w:rFonts w:ascii="Garamond" w:hAnsi="Garamond"/>
          <w:lang w:val="en-US"/>
        </w:rPr>
        <w:lastRenderedPageBreak/>
        <w:t xml:space="preserve">Giraffenzeichnung, die der Vater aus früheren Zeiten aufbewahrt hat, vielleicht auch durch eine unbewußte Vergleichung, die an den langen und steifen Hals der Giraffe anknüpft </w:t>
      </w:r>
      <w:hyperlink r:id="rId426"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Dazu stimmt die spätere Bewunderung Hansens für den Hals seines Vaters.</w:t>
        </w:r>
      </w:hyperlink>
      <w:r w:rsidRPr="003E335C">
        <w:rPr>
          <w:rFonts w:ascii="Garamond" w:hAnsi="Garamond"/>
          <w:lang w:val="en-US"/>
        </w:rPr>
        <w:t>. Wir merken, daß die Giraffe als großes und durch seinen Wiwimacher interessantes Tier ein Konkurrent der Pferde in ihrer Angstrolle hätte werden können, und auch daß Vater und Mutter beide als Giraffen vorgeführt werden, gibt einen vorläufig noch nicht verwerteten Wink für die Deutung der Angstpferde.</w:t>
      </w:r>
    </w:p>
    <w:p w:rsidR="00DF4073" w:rsidRPr="003E335C" w:rsidRDefault="00DF4073" w:rsidP="00DF4073">
      <w:pPr>
        <w:pStyle w:val="Sansinterligne"/>
        <w:rPr>
          <w:rFonts w:ascii="Garamond" w:hAnsi="Garamond"/>
          <w:lang w:val="en-US"/>
        </w:rPr>
      </w:pPr>
      <w:r w:rsidRPr="003E335C">
        <w:rPr>
          <w:rFonts w:ascii="Garamond" w:hAnsi="Garamond"/>
          <w:lang w:val="en-US"/>
        </w:rPr>
        <w:t>Zwei kleinere Phantasien, die Hans unmittelbar nach der Giraffendichtung bringt, daß er in Schönbrunn sich in einen verbotenen Raum drängt, daß er in der Stadtbahn ein Fenster zerschlägt, wobei beide Male das Strafbare der Handlung betont ist und der Vater als Mitschuldiger erscheint, entziehen sich leider der Deutung des Vaters. Ihre Mitteilung bringt darum auch Hans keinen Nutzen. Aber was so verstanden geblieben ist, das kommt wieder; es ruht nicht, wie ein unerlöster Geist, bis er zur Lösung und Erlösung gekommen ist.</w:t>
      </w:r>
    </w:p>
    <w:p w:rsidR="00DF4073" w:rsidRPr="003E335C" w:rsidRDefault="00DF4073" w:rsidP="00DF4073">
      <w:pPr>
        <w:pStyle w:val="Sansinterligne"/>
        <w:rPr>
          <w:rFonts w:ascii="Garamond" w:hAnsi="Garamond"/>
        </w:rPr>
      </w:pPr>
      <w:r w:rsidRPr="003E335C">
        <w:rPr>
          <w:rFonts w:ascii="Garamond" w:hAnsi="Garamond"/>
        </w:rPr>
        <w:t>Das Verständnis der beiden verbrecherischen Phantasien bietet uns keine Schwierigkeiten. Sie gehören zum Komplex des Besitzergreifens von der Mutter. In dem Kinde ringt es wie eine Ahnung von etwas, was er mit der Mutter machen könnte, womit die Besitzergreifung vollzogen wäre, und er findet für das Unfaßbare gewisse bildliche Vertretungen, denen das Gewalttätige, Verbotene gemeinsam ist, deren Inhalt uns so merkwürdig gut zur verborgenen Wirklichkeit zu stimmen scheint. Wir können nur sagen, es sind symbolische Koitusphantasien, und es ist keineswegs nebensächlich, daß der Vater dabei mittut: »Ich möchte mit der Mama etwas tun, etwas Verbotenes, ich weiß nicht was, aber ich weiß, du tust es auch.«</w:t>
      </w:r>
    </w:p>
    <w:p w:rsidR="00DF4073" w:rsidRPr="003E335C" w:rsidRDefault="00DF4073" w:rsidP="00DF4073">
      <w:pPr>
        <w:pStyle w:val="Sansinterligne"/>
        <w:rPr>
          <w:rFonts w:ascii="Garamond" w:hAnsi="Garamond"/>
        </w:rPr>
      </w:pPr>
      <w:r w:rsidRPr="003E335C">
        <w:rPr>
          <w:rFonts w:ascii="Garamond" w:hAnsi="Garamond"/>
        </w:rPr>
        <w:t>Die Giraffenphantasie hatte bei mir eine Überzeugung verstärkt, die sich bereits bei der Äußerung des kleinen Hans: »Das Pferd wird ins Zimmer kommen«, geregt hatte, und ich fand den Moment geeignet, ihm als ein wesentlich zu postulierendes Stück seiner unbewußten Regungen mitzuteilen: seine Angst vor dem Vater wegen seiner eifersüchtigen und feindseligen Wünsche gegen ihn. Damit hatte ich ihm teilweise die Angst vor den Pferden gedeutet, der Vater mußte das Pferd sein, vor dem er sich mit guter innerer Begründung fürchtete. Gewisse Einzelheiten, das Schwarze am Munde und das vor den Augen (Schnurrbart und Augengläser als Vorrechte des erwachsenen Mannes), vor denen Hans Angst äußerte, schienen mir direkt vom Vater auf die Pferde versetzt zu sein.</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Mit dieser Aufklärung hatte ich den wirksamsten Widerstand gegen die Bewußtmachung der unbewußten Gedanken bei Hans beseitigt, da ja der Vater selbst die Rolle des Arztes bei ihm spielte. Die Höhe des Zustandes war von da an überschritten, das Material floß reichlich, der kleine Patient zeigte Mut, die Einzelheiten seiner Phobie mitzuteilen, und griff bald selbständig in den Ablauf der Analyse ein </w:t>
      </w:r>
      <w:hyperlink r:id="rId427"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 xml:space="preserve">Die Angst vor dem Vater spielt noch in den Analysen, die man als Arzt mit Fremden vornimmt, eine der bedeutsamsten Rollen als Widerstand gegen die Reproduktion des unbewußten pathogenen Materials. Die Widerstände sind zum Teil von der Natur der »Motive«, überdies ist, wie in diesem Beispiel, ein Stück des unbewußten Materials </w:t>
        </w:r>
        <w:r w:rsidRPr="003E335C">
          <w:rPr>
            <w:rStyle w:val="innerfusslink"/>
            <w:rFonts w:ascii="Garamond" w:hAnsi="Garamond"/>
            <w:i/>
            <w:iCs/>
            <w:color w:val="0000FF"/>
            <w:u w:val="single"/>
            <w:lang w:val="en-US"/>
          </w:rPr>
          <w:t>inhaltlich</w:t>
        </w:r>
        <w:r w:rsidRPr="003E335C">
          <w:rPr>
            <w:rStyle w:val="innerfusslink"/>
            <w:rFonts w:ascii="Garamond" w:hAnsi="Garamond"/>
            <w:color w:val="0000FF"/>
            <w:u w:val="single"/>
            <w:lang w:val="en-US"/>
          </w:rPr>
          <w:t xml:space="preserve"> befähigt, als Hemmung gegen die Reproduktion eines andern Stückes zu dienen.</w:t>
        </w:r>
      </w:hyperlink>
      <w:r w:rsidRPr="003E335C">
        <w:rPr>
          <w:rFonts w:ascii="Garamond" w:hAnsi="Garamond"/>
          <w:lang w:val="en-US"/>
        </w:rPr>
        <w:t>.</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Man erfährt erst jetzt, vor welchen Objekten und Eindrücken Hans Angst hat. Nicht allein vor Pferden und daß Pferde ihn beißen, davon wird es bald stille, sondern auch vor Wagen, Möbelwagen und Stellwagen, als deren Gemeinsames sich alsbald die schwere Belastung herausstellt, vor Pferden, die sich in Bewegung setzen, Pferden, die groß und schwer aussehen, Pferden, die schnell fahren. Den Sinn dieser Bestimmungen gibt Hans dann selbst an; er hat Angst, daß die Pferde </w:t>
      </w:r>
      <w:r w:rsidRPr="003E335C">
        <w:rPr>
          <w:rFonts w:ascii="Garamond" w:hAnsi="Garamond"/>
          <w:i/>
          <w:iCs/>
          <w:lang w:val="en-US"/>
        </w:rPr>
        <w:t>umfallen</w:t>
      </w:r>
      <w:r w:rsidRPr="003E335C">
        <w:rPr>
          <w:rFonts w:ascii="Garamond" w:hAnsi="Garamond"/>
          <w:lang w:val="en-US"/>
        </w:rPr>
        <w:t>, und macht so alles zum Inhalte seiner Phobie, was dies Umfallen der Pferde zu erleichtern scheint.</w:t>
      </w:r>
    </w:p>
    <w:p w:rsidR="00DF4073" w:rsidRPr="003E335C" w:rsidRDefault="00DF4073" w:rsidP="00DF4073">
      <w:pPr>
        <w:pStyle w:val="Sansinterligne"/>
        <w:rPr>
          <w:rFonts w:ascii="Garamond" w:hAnsi="Garamond"/>
          <w:lang w:val="en-US"/>
        </w:rPr>
      </w:pPr>
      <w:r w:rsidRPr="003E335C">
        <w:rPr>
          <w:rFonts w:ascii="Garamond" w:hAnsi="Garamond"/>
          <w:lang w:val="en-US"/>
        </w:rPr>
        <w:t>Es ist gar nicht selten, daß man den eigentlichen Inhalt einer Phobie, den richtigen Wortlaut eines Zwangsimpulses u. dgl. erst nach einem Stücke psychoanalytischer Bemühung zu hören bekommt. Die Verdrängung hat nicht nur die unbewußten Komplexe getroffen, sie richtet sich auch noch fortwährend gegen deren Abkömmlinge und hindert den Kranken an der Wahrnehmung seiner Krankheitsprodukte selbst. Man ist da in der seltsamen Lage, als Arzt der Krankheit zu Hilfe zu kommen, um Aufmerksamkeit für sie zu werben, aber nur wer das Wesen der Psychoanalyse völlig verkennt, wird diese Phase der Bemühung hervorheben und darob eine Schädigung durch die Analyse erwarten. Die Wahrheit ist, daß die Nürnberger keinen henken, den sie nicht zuvor in die Hand bekommen haben, und daß es einiger Arbeit bedarf, um der krankhaften Bildungen, die man zerstören will, habhaft zu werden.</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Ich erwähnte schon in den die Krankengeschichte begleitenden Glossen, daß es sehr instruktiv ist, sich so in das Detail einer Phobie zu vertiefen und sich den sicheren Eindruck einer sekundär hergestellten Beziehung zwischen der Angst und ihren Objekten zu holen. Daher das eigentümlich diffuse und dann wiederum so streng bedingte Wesen einer Phobie. Das Material zu diesen Speziallösungen hat sich unser kleiner Patient offenbar aus den Eindrücken geholt, die er infolge der Lage der Wohnung gegenüber dem </w:t>
      </w:r>
      <w:r w:rsidRPr="003E335C">
        <w:rPr>
          <w:rFonts w:ascii="Garamond" w:hAnsi="Garamond"/>
          <w:lang w:val="en-US"/>
        </w:rPr>
        <w:lastRenderedPageBreak/>
        <w:t>Hauptzollamte tagsüber vor Augen haben kann. Er verrät auch in diesem Zusammenhang eine jetzt durch die Angst gehemmte Regung, mit den Ladungen der Wagen, dem Gepäcke, den Fässern und Kisten wie die Buben der Gasse zu spielen.</w:t>
      </w:r>
    </w:p>
    <w:p w:rsidR="00DF4073" w:rsidRPr="003E335C" w:rsidRDefault="00DF4073" w:rsidP="00DF4073">
      <w:pPr>
        <w:pStyle w:val="Sansinterligne"/>
        <w:rPr>
          <w:rFonts w:ascii="Garamond" w:hAnsi="Garamond"/>
          <w:lang w:val="en-US"/>
        </w:rPr>
      </w:pPr>
      <w:r w:rsidRPr="003E335C">
        <w:rPr>
          <w:rFonts w:ascii="Garamond" w:hAnsi="Garamond"/>
          <w:lang w:val="en-US"/>
        </w:rPr>
        <w:t>In diesem Stadium der Analyse findet er das an sich nicht bedeutsame Erlebnis wieder, welches dem Ausbruche der Krankheit unmittelbar vorausgegangen ist, und das wohl als die Veranlassung für diesen Ausbruch angesehen werden darf. Er ging mit der Mama spazieren und sah ein Stellwagenpferd umfallen und mit den Füßen zappeln. Dies machte auf ihn einen großen Eindruck. Er erschrak heftig, meinte, das Pferd sei tot; von jetzt ab würden alle Pferde umfallen. Der Vater weist ihn darauf hin, daß er bei dem fallenden Pferde an ihn, den Vater, gedacht und gewünscht haben muß, er solle so fallen und tot sein. Hans sträubt sich nicht gegen diese Deutung; ein Weile später akzeptiert er durch ein Spiel, das er aufführt, indem er den Vater beißt, die Identifizierung des Vaters mit dem gefürchteten Pferde und benimmt sich von da ab frei und furchtlos, ja, selbst ein wenig übermütig gegen seinen Vater. Die Angst vor Pferden hält aber noch an, und infolge welcher Verkettung das fallende Pferd seine unbewußten Wünsche aufgerührt hat, ist uns noch nicht klar.</w:t>
      </w:r>
    </w:p>
    <w:p w:rsidR="00DF4073" w:rsidRPr="003E335C" w:rsidRDefault="00DF4073" w:rsidP="00DF4073">
      <w:pPr>
        <w:pStyle w:val="Sansinterligne"/>
        <w:rPr>
          <w:rFonts w:ascii="Garamond" w:hAnsi="Garamond"/>
          <w:lang w:val="en-US"/>
        </w:rPr>
      </w:pPr>
      <w:r w:rsidRPr="003E335C">
        <w:rPr>
          <w:rFonts w:ascii="Garamond" w:hAnsi="Garamond"/>
          <w:lang w:val="en-US"/>
        </w:rPr>
        <w:t>Fassen wir zusammen, was sich bisher ergeben hat: Hinter der erst geäußerten Angst, das Pferd werde ihn beißen, ist die tiefer liegende Angst, die Pferde werden umfallen, aufgedeckt worden, und beide, das beißende wie das fallende Pferd, sind der Vater, der ihn strafen wird, weil er so böse Wünsche gegen ihn hegt. Von der Mutter sind wir unterdes in der Analyse abgekommen.</w:t>
      </w:r>
    </w:p>
    <w:p w:rsidR="00DF4073" w:rsidRPr="003E335C" w:rsidRDefault="00DF4073" w:rsidP="00DF4073">
      <w:pPr>
        <w:pStyle w:val="Sansinterligne"/>
        <w:rPr>
          <w:rFonts w:ascii="Garamond" w:hAnsi="Garamond"/>
          <w:lang w:val="en-US"/>
        </w:rPr>
      </w:pPr>
      <w:r w:rsidRPr="003E335C">
        <w:rPr>
          <w:rFonts w:ascii="Garamond" w:hAnsi="Garamond"/>
          <w:lang w:val="en-US"/>
        </w:rPr>
        <w:t>Ganz unerwartet und gewiß ohne Dazutun des Vaters beginnt nun Hans sich mit dem »Lumpfkomplex« zu beschäftigen und Ekel vor Dingen zu zeigen, die ihn an die Stuhlentleerung erinnern. Der Vater, der hier nur ungern mitgeht, setzt mittendrin die Fortsetzung der Analyse durch, wie er sie leiten möchte, und bringt Hans zur Erinnerung eines Erlebnisses in Gmunden, dessen Eindruck sich hinter dem des fallenden Stellwagenpferdes verbarg. Fritzl, sein geliebter Spielgenosse, vielleicht auch sein Konkurrent bei den vielen Gespielinnen, hatte im Pferdespiele mit dem Fuße an einen Stein gestoßen, war umgefallen, und der Fuß hatte geblutet. An diesen Unfall hatte das Erlebnis mit dem fallenden Stellwagenpferd erinnert. Es ist bemerkenswert, daß Hans, der zur Zeit mit anderen Dingen beschäftigt ist, das Umfallen Fritzls, das den Zusammenhang herstellt, zuerst leugnet, erst in einem späteren Stadium der Analyse zugesteht. Für uns mag es aber interessant sein hervorzuheben, wie sich die Verwandlung von Libido in Angst auf das Hauptobjekt der Phobie, das Pferd, projiziert. Pferde waren ihm die interessantesten großen Tiere, Pferdespiel das liebste Spiel mit seinen kindlichen Genossen. Die Vermutung, daß der Vater ihm zuerst als Pferd gedient hat, wird durch Erkundigung beim Vater bestätigt, und so konnte sich bei dem Unfälle in Gmunden der Person des Vaters die Fritzls substituieren. Nach eingetretenem Verdrängungsumschwunge mußte er sich nun vor den Pferden fürchten, an die er vorher so viel Lust geknüpft hatte.</w:t>
      </w:r>
    </w:p>
    <w:p w:rsidR="00DF4073" w:rsidRPr="003E335C" w:rsidRDefault="00DF4073" w:rsidP="00DF4073">
      <w:pPr>
        <w:pStyle w:val="Sansinterligne"/>
        <w:rPr>
          <w:rFonts w:ascii="Garamond" w:hAnsi="Garamond"/>
          <w:lang w:val="en-US"/>
        </w:rPr>
      </w:pPr>
      <w:r w:rsidRPr="003E335C">
        <w:rPr>
          <w:rFonts w:ascii="Garamond" w:hAnsi="Garamond"/>
          <w:lang w:val="en-US"/>
        </w:rPr>
        <w:t>Aber wir sagten schon, daß wir diese letzte bedeutsame Aufklärung über die Wirksamkeit des Krankheitsanlasses dem Eingreifen des Vaters verdanken. Hans ist bei seinen Lumpfinteressen, und wir müssen ihm endlich dorthin folgen. Wir erfahren, daß er sich früher der Mutter als Begleiter aufs Klosett aufzudrängen pflegte und daß er dies bei der damaligen Stellvertreterin der Mutter, seiner Freundin Berta, wiederholte, bis es bekannt und verboten wurde. Die Lust, bei den Verrichtungen einer geliebten Person zuzuschauen, entspricht auch einer »Triebverschränkung«, von der wir bei Hans bereits ein Beispiel bemerkt hatten. Endlich geht auch der Vater auf die Lumpfsymbolik ein und anerkennt eine Analogie zwischen einem schwer beladenen Wagen und einem mit Stuhlmassen belasteten Leibe, der Art, wie der Wagen aus dem Tore hinausfährt und wie man den Stuhl aus dem Leibe entläßt u. dgl..</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Die Stellung Hansens in der Analyse hat sich aber gegen frühere Stadien wesentlich geändert. Konnte ihm der Vater früher voraussagen, was kommen würde, bis Hans, der Andeutung folgend, nachgetrabt war, so eilt er jetzt mit sicherem Schritte voraus, und der Vater hat Mühe, ihm zu folgen. Hans bringt wie unvermittelt eine neue Phantasie: Der Schlosser oder Installateur hat die Badewanne losgeschraubt, in welcher Hans sich befindet, und ihm dann mit seinem großen Bohrer in den Bauch gestoßen. Von jetzt an hinkt unser Verständnis dem Materiale nach. Wir können erst später erraten, daß dies die angstentstellte Umarbeitung einer </w:t>
      </w:r>
      <w:r w:rsidRPr="003E335C">
        <w:rPr>
          <w:rFonts w:ascii="Garamond" w:hAnsi="Garamond"/>
          <w:i/>
          <w:iCs/>
          <w:lang w:val="en-US"/>
        </w:rPr>
        <w:t>Zeugungsphantasie</w:t>
      </w:r>
      <w:r w:rsidRPr="003E335C">
        <w:rPr>
          <w:rFonts w:ascii="Garamond" w:hAnsi="Garamond"/>
          <w:lang w:val="en-US"/>
        </w:rPr>
        <w:t xml:space="preserve"> ist. Die große Badewanne, in der Hans im Wasser sitzt, ist der Mutterleib; der »Bohrer«, der schon dem Vater als ein großer Penis kenntlich wird, dankt seine Erwähnung dem Geborenwerden. Es klingt natürlich sehr merkwürdig, wenn wir der Phantasie die Deutung geben müssen: Mit deinem großen Penis hast du mich »gebohrt« (zur Geburt gebracht) und mich in den Mutterleib hineingesetzt. Aber vorläufig entgeht die Phantasie der Deutung und dient Hans nur als Anknüpfung zur Fortführung seiner Mitteilungen.</w:t>
      </w:r>
    </w:p>
    <w:p w:rsidR="00DF4073" w:rsidRPr="003E335C" w:rsidRDefault="00DF4073" w:rsidP="00DF4073">
      <w:pPr>
        <w:pStyle w:val="Sansinterligne"/>
        <w:rPr>
          <w:rFonts w:ascii="Garamond" w:hAnsi="Garamond"/>
          <w:lang w:val="en-US"/>
        </w:rPr>
      </w:pPr>
      <w:r w:rsidRPr="003E335C">
        <w:rPr>
          <w:rFonts w:ascii="Garamond" w:hAnsi="Garamond"/>
          <w:lang w:val="en-US"/>
        </w:rPr>
        <w:lastRenderedPageBreak/>
        <w:t>Vor dem Baden in der großen Wanne zeigt Hans eine Angst, die wiederum zusammengesetzt ist. Ein Anteil derselben entgeht uns noch, der andere wird durch eine Beziehung zum Baden der kleinen Schwester alsbald aufgeklärt. Hans gibt den Wunsch zu, daß die Mutter die Kleine beim Baden fallen lassen möge, so daß sie sterbe; seine eigene Angst beim Baden war die vor der Vergeltung für diesen bösen Wunsch, vor der Strafe, daß es ihm so ergehen werde. Er verläßt nun das Thema des Lumpfes und übergeht unmittelbar darauf auf das der kleinen Schwester. Aber wir können ahnen, was diese Aneinanderreihung bedeutet. Nichts anderes, als daß die kleine Hanna selbst ein Lumpf ist, daß alle Kinder Lumpfe sind und wie Lumpfe geboren werden. Wir verstehen nun, daß alle Möbel-, Stell- und Lastwagen nur Storchenkistenwagen sind, auch nur als symbolische Vertretungen der Gravidität Interesse für ihn hatten und daß er im Umfallen der schweren oder schwer belasteten Pferde nichts anderes gesehen haben kann als eine – Entbindung, ein Niederkommen. Das fallende Pferd war also nicht nur der sterbende Vater, sondern auch die Mutter in der Niederkunft.</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Und nun bringt Hans die Überraschung, auf welche wir in der Tat nicht vorbereitet waren. Er hat die Gravidität der Mutter, die ja mit der Geburt der Kleinen endigte, als er 3½ Jahre war, bemerkt und sich den richtigen Sachverhalt, wenigstens nach der Entbindung, konstruiert, wohl ohne ihn zu äußern, vielleicht ohne ihn äußern zu können; es war damals nur zu beobachten, daß er unmittelbar nach der Entbindung sich so sehr skeptisch gegen alle Zeichen, die auf die Anwesenheit des Storches deuten sollten, benahm. </w:t>
      </w:r>
      <w:r w:rsidRPr="003E335C">
        <w:rPr>
          <w:rFonts w:ascii="Garamond" w:hAnsi="Garamond"/>
          <w:i/>
          <w:iCs/>
          <w:lang w:val="en-US"/>
        </w:rPr>
        <w:t>Aber daß er im Unbewußten und ganz im Gegensatze zu seinen offiziellen Reden gewußt, woher das Kind kam und wo es früher verweilt hatte</w:t>
      </w:r>
      <w:r w:rsidRPr="003E335C">
        <w:rPr>
          <w:rFonts w:ascii="Garamond" w:hAnsi="Garamond"/>
          <w:lang w:val="en-US"/>
        </w:rPr>
        <w:t>, das wird durch diese Analyse gegen jeden Zweifel sicher dargetan; es ist vielleicht das unerschütterlichste Stück derselben.</w:t>
      </w:r>
    </w:p>
    <w:p w:rsidR="00DF4073" w:rsidRPr="003E335C" w:rsidRDefault="00DF4073" w:rsidP="00DF4073">
      <w:pPr>
        <w:pStyle w:val="Sansinterligne"/>
        <w:rPr>
          <w:rFonts w:ascii="Garamond" w:hAnsi="Garamond"/>
        </w:rPr>
      </w:pPr>
      <w:r w:rsidRPr="003E335C">
        <w:rPr>
          <w:rFonts w:ascii="Garamond" w:hAnsi="Garamond"/>
          <w:lang w:val="en-US"/>
        </w:rPr>
        <w:t xml:space="preserve">Den zwingenden Beweis dafür erbringt die hartnäckig festgehaltene, mit soviel Einzelheiten ausgeschmückte Phantasie, daß Hanna schon im Sommer vor ihrer Geburt mit ihnen in Gmunden war, wie sie hingereist ist und damals soviel mehr leisten konnte als ein Jahr später, nach ihrer Geburt. Die Frechheit, mit der Hans diese Phantasie vorträgt, die ungezählten tollen Lügen, die er in sie einflicht, sind beileibe nicht sinnlos; das alles soll seiner Rache am Vater dienen, dem er wegen der Irreführung durch das Storchmärchen grollt. Es ist ganz so, als ob er sagen wollte: hast du mich für so dumm gehalten und mir zugemutet zu glauben, daß der Storch die Hanna gebracht hat, so kann ich dafür von dir verlangen, daß du meine Erfindungen für Wahrheit nimmst. In durchsichtigem Zusammenhange mit diesem Racheakte des kleinen Forschers an seinem Vater reiht sich nun die Phantasie vom Necken und Schlagen der Pferde an. Sie ist wiederum doppelt gefügt, lehnt sich einerseits an die Neckerei an, der er eben den Vater unterzogen hat, und bringt anderseits jene dunkeln sadistischen Gelüste gegen die Mutter wieder, die sich, zuerst von uns noch unverstanden, in den Phantasien vom verbotenen Tun geäußert hatten. </w:t>
      </w:r>
      <w:r w:rsidRPr="003E335C">
        <w:rPr>
          <w:rFonts w:ascii="Garamond" w:hAnsi="Garamond"/>
        </w:rPr>
        <w:t>Bewußt gesteht er auch die Lust, die Mammi zu schlagen, ein.</w:t>
      </w:r>
    </w:p>
    <w:p w:rsidR="00DF4073" w:rsidRPr="003E335C" w:rsidRDefault="00DF4073" w:rsidP="00DF4073">
      <w:pPr>
        <w:pStyle w:val="Sansinterligne"/>
        <w:rPr>
          <w:rFonts w:ascii="Garamond" w:hAnsi="Garamond"/>
        </w:rPr>
      </w:pPr>
      <w:r w:rsidRPr="003E335C">
        <w:rPr>
          <w:rFonts w:ascii="Garamond" w:hAnsi="Garamond"/>
        </w:rPr>
        <w:t>Nun haben wir nicht mehr viel Rätsel zu erwarten. Eine dunkle Phantasie vom Zugversäumen scheint eine Vorläuferin der späteren Unterbringung des Vaters bei der Großmutter in Lainz zu sein, da sie eine Reise nach Lainz behandelt und die Großmutter in ihr vorkommt. Eine andere Phantasie, in der ein Bub dem Kondukteur 50 000 fl. gibt, damit er ihn mit dem Wagen fahren läßt, klingt fast wie ein Plan, dem Vater, dessen Stärke ja zum Teil in seinem Reichtume liegt, die Mutter abzukaufen. Dann gesteht er den Wunsch, den Vater zu beseitigen, und die Begründung desselben, weil er seine Intimität mit der Mutter störe, mit einer Offenheit ein, zu welcher er es bisher noch nicht gebracht hatte. Wir dürfen uns nicht verwundern, wenn dieselben Wunschregungen im Laufe der Analyse wiederholt auftreten; die Monotonie entsteht nämlich erst durch die angeknüpften Deutungen; für Hans sind es nicht bloße Wiederholungen, sondern fortschreitende Entwicklungen von der schüchternen Andeutung bis zur vollbewußten, von jeder Entstellung freien Klarheit.</w:t>
      </w:r>
    </w:p>
    <w:p w:rsidR="00DF4073" w:rsidRPr="003E335C" w:rsidRDefault="00DF4073" w:rsidP="00DF4073">
      <w:pPr>
        <w:pStyle w:val="Sansinterligne"/>
        <w:rPr>
          <w:rFonts w:ascii="Garamond" w:hAnsi="Garamond"/>
          <w:lang w:val="en-US"/>
        </w:rPr>
      </w:pPr>
      <w:r w:rsidRPr="003E335C">
        <w:rPr>
          <w:rFonts w:ascii="Garamond" w:hAnsi="Garamond"/>
        </w:rPr>
        <w:t xml:space="preserve">Was nun noch folgt, sind solche von Hans ausgehende Betätigungen der für unsere Deutung bereits gesicherten analytischen Ergebnisse. Er zeigt in einer unzweideutigen Symptomhandlung, die er nur vor dem Hausmädchen, nicht vor dem Vater, leicht verkleidet, wie er sich eine Geburt vorstellt; aber wenn wir genauer zusehen, zeigt er noch mehr, deutet auf etwas hin, was in der Analyse nicht mehr zur Sprache kommt. Durch die runde Lücke im Gummileibe einer Puppe steckt er ein kleines Messerchen hinein, das der Mama gehört, und läßt es wieder herausfallen, indem er ihr die Beine auseinanderreißt. Die darauffolgende Aufklärung durch die Eltern, daß Kinder tatsächlich im Leibe der Mutter wachsen und wie ein Lumpf herausbefördert werden, kommt zu spät; sie kann ihm nichts mehr Neues sagen. Durch eine andere, wie zufällig erfolgende Symptomhandlung gibt er zu, daß er den Vater tot gewünscht hat, indem er ein Pferd, mit dem er spielt, umfallen läßt, d. h. umwirft, in dem Momente, da der Vater von diesem Todeswunsche spricht. </w:t>
      </w:r>
      <w:r w:rsidRPr="003E335C">
        <w:rPr>
          <w:rFonts w:ascii="Garamond" w:hAnsi="Garamond"/>
          <w:lang w:val="en-US"/>
        </w:rPr>
        <w:t xml:space="preserve">Mit Worten bekräftigt er, daß die schwer beladenen Wagen ihm die Gravidität der Mutter vorstellten, und daß das Umfallen des Pferdes so war, wie wenn man ein Kind bekommt. Die </w:t>
      </w:r>
      <w:r w:rsidRPr="003E335C">
        <w:rPr>
          <w:rFonts w:ascii="Garamond" w:hAnsi="Garamond"/>
          <w:lang w:val="en-US"/>
        </w:rPr>
        <w:lastRenderedPageBreak/>
        <w:t xml:space="preserve">köstlichste Bestätigung in diesem Zusammenhange, der Beweis, daß Kinder »Lumpfe« sind, durch die Erfindung des Namens »Lodi« für sein Lieblingskind kommt nur verspätet zu unserer Kenntnis, denn wir hören, daß er mit diesem Wurstkinde schon die längste Zeit gespielt hat </w:t>
      </w:r>
      <w:hyperlink r:id="rId428"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 xml:space="preserve">Ein zunächst befremdender Einfall des genialen Zeichners Th. Th. Heine, der auf einem Blatte im </w:t>
        </w:r>
        <w:r w:rsidRPr="003E335C">
          <w:rPr>
            <w:rStyle w:val="innerfusslink"/>
            <w:rFonts w:ascii="Garamond" w:hAnsi="Garamond"/>
            <w:i/>
            <w:iCs/>
            <w:color w:val="0000FF"/>
            <w:u w:val="single"/>
            <w:lang w:val="en-US"/>
          </w:rPr>
          <w:t>Simplizissimus</w:t>
        </w:r>
        <w:r w:rsidRPr="003E335C">
          <w:rPr>
            <w:rStyle w:val="innerfusslink"/>
            <w:rFonts w:ascii="Garamond" w:hAnsi="Garamond"/>
            <w:color w:val="0000FF"/>
            <w:u w:val="single"/>
            <w:lang w:val="en-US"/>
          </w:rPr>
          <w:t xml:space="preserve"> darstellt, wie das Kind des Selchermeisters in die Wurstmaschine gerät und dann als Würstchen von den Eltern betrauert, eingesegnet wird und gen Himmel fliegt, findet durch die Lodiepisode unserer Analyse seine Zurückführung auf eine infantile Wurzel.</w:t>
        </w:r>
      </w:hyperlink>
      <w:r w:rsidRPr="003E335C">
        <w:rPr>
          <w:rFonts w:ascii="Garamond" w:hAnsi="Garamond"/>
          <w:lang w:val="en-US"/>
        </w:rPr>
        <w:t>.</w:t>
      </w:r>
    </w:p>
    <w:p w:rsidR="00DF4073" w:rsidRPr="003E335C" w:rsidRDefault="00DF4073" w:rsidP="00DF4073">
      <w:pPr>
        <w:pStyle w:val="Sansinterligne"/>
        <w:rPr>
          <w:rFonts w:ascii="Garamond" w:hAnsi="Garamond"/>
        </w:rPr>
      </w:pPr>
      <w:r w:rsidRPr="003E335C">
        <w:rPr>
          <w:rFonts w:ascii="Garamond" w:hAnsi="Garamond"/>
          <w:lang w:val="en-US"/>
        </w:rPr>
        <w:t xml:space="preserve">Die beiden abschließenden Phantasien Hansens, mit denen seine Herstellung vollkommen wird, haben wir bereits gewürdigt. Die eine, vom Installateur, der ihm einen neuen und, wie der Vater errät, größeren Wiwimacher ansetzt, ist doch nicht bloß die Wiederholung der früheren, die sich mit dem Installateur und der Badewanne beschäftigte. </w:t>
      </w:r>
      <w:r w:rsidRPr="003E335C">
        <w:rPr>
          <w:rFonts w:ascii="Garamond" w:hAnsi="Garamond"/>
        </w:rPr>
        <w:t>Sie ist eine siegreiche Wunschphantasie und enthält die Überwindung der Kastrationsangst. Die zweite Phantasie, die den Wunsch eingesteht, mit der Mutter verheiratet zu sein und viele Kinder mit ihr zu haben, erschöpft nicht bloß den Inhalt jener unbewußten Komplexe, die sich beim Anblicke des fallenden Pferdes gerührt und Angst entwickelt hatten – sie korrigiert auch, was an jenen Gedanken schlechterdings unannehmbar war, indem sie, anstatt den Vater zu töten, ihn durch Erhöhung zur Ehe mit der Großmutter unschädlich macht. Mit dieser Phantasie schließen Krankheit und Analyse berechtigterweise ab.</w:t>
      </w:r>
    </w:p>
    <w:p w:rsidR="00DF4073" w:rsidRPr="003E335C" w:rsidRDefault="00DF4073" w:rsidP="00DF4073">
      <w:pPr>
        <w:pStyle w:val="Sansinterligne"/>
        <w:rPr>
          <w:rFonts w:ascii="Garamond" w:hAnsi="Garamond"/>
        </w:rPr>
      </w:pPr>
      <w:r w:rsidRPr="003E335C">
        <w:rPr>
          <w:rFonts w:ascii="Garamond" w:hAnsi="Garamond"/>
        </w:rPr>
        <w:t> </w:t>
      </w:r>
    </w:p>
    <w:p w:rsidR="00DF4073" w:rsidRPr="003E335C" w:rsidRDefault="00DF4073" w:rsidP="00DF4073">
      <w:pPr>
        <w:pStyle w:val="Sansinterligne"/>
        <w:rPr>
          <w:rFonts w:ascii="Garamond" w:hAnsi="Garamond"/>
        </w:rPr>
      </w:pPr>
      <w:r w:rsidRPr="003E335C">
        <w:rPr>
          <w:rFonts w:ascii="Garamond" w:hAnsi="Garamond"/>
        </w:rPr>
        <w:t>Während der Analyse eines Krankheitsfalles kann man einen anschaulichen Eindruck von der Struktur und Entwicklung der Neurose nicht gewinnen. Es ist das die Sache einer synthetischen Arbeit, der man sich nachher unterziehen muß. Wenn wir diese Synthese bei der Phobie unseres kleinen Hans unternehmen, so knüpfen wir an die Schilderung seiner Konstitution, seiner leitenden sexuellen Wünsche und seiner Erlebnisse bis zur Geburt der Schwester an, die wir auf früheren Seiten dieser Abhandlung gegeben haben.</w:t>
      </w:r>
    </w:p>
    <w:p w:rsidR="00DF4073" w:rsidRPr="003E335C" w:rsidRDefault="00DF4073" w:rsidP="00DF4073">
      <w:pPr>
        <w:pStyle w:val="Sansinterligne"/>
        <w:rPr>
          <w:rFonts w:ascii="Garamond" w:hAnsi="Garamond"/>
          <w:lang w:val="en-US"/>
        </w:rPr>
      </w:pPr>
      <w:r w:rsidRPr="003E335C">
        <w:rPr>
          <w:rFonts w:ascii="Garamond" w:hAnsi="Garamond"/>
          <w:lang w:val="en-US"/>
        </w:rPr>
        <w:t>Die Ankunft dieser Schwester brachte ihm mehrerlei, was ihn von nun an nicht zur Ruhe kommen ließ. Zunächst ein Stück Entbehrung, zu Anfang eine zeitweilige Trennung von der Mutter und dann später eine dauernde Verminderung ihrer Fürsorge und Aufmerksamkeit, die er mit der Schwester zu teilen sich gewöhnen mußte. Zuzweit eine Wiederbelebung seiner Lusterlebnisse aus der Kinderpflege, hervorgerufen durch all das, was er die Mutter mit der kleinen Schwester vornehmen sah. Aus beiden Einflüssen ergab sich eine Steigerung seiner erotischen Bedürftigkeit, der es an Befriedigung zu mangeln begann. Für den Verlust, den ihm die Schwester gebracht hatte, entschädigt er sich durch die Phantasie, daß er selbst Kinder habe, und solange er (bei seinem zweiten Aufenthalte) in Gmunden mit diesen Kindern wirklich spielen konnte, fand seine Zärtlichkeit genügende Ableitung. Aber nach Wien zurückgekehrt, war er wieder einsam, heftete alle seine Ansprüche an die Mutter und litt weitere Entbehrung, da er seit dem Alter von 4½ Jahren aus dem Schlafzimmer der Eltern verbannt worden war. Seine gesteigerte erotische Erregbarkeit äußerte sich nun in Phantasien, welche die Sommergespielen in seine Einsamkeit beschworen, und in regelmäßigen autoerotischen Befriedigungen durch masturbatorische Reizung des Genitales.</w:t>
      </w:r>
    </w:p>
    <w:p w:rsidR="00DF4073" w:rsidRPr="003E335C" w:rsidRDefault="00DF4073" w:rsidP="00DF4073">
      <w:pPr>
        <w:pStyle w:val="Sansinterligne"/>
        <w:rPr>
          <w:rFonts w:ascii="Garamond" w:hAnsi="Garamond"/>
          <w:lang w:val="en-US"/>
        </w:rPr>
      </w:pPr>
      <w:r w:rsidRPr="003E335C">
        <w:rPr>
          <w:rFonts w:ascii="Garamond" w:hAnsi="Garamond"/>
          <w:lang w:val="en-US"/>
        </w:rPr>
        <w:t>Drittens brachte ihm aber die Geburt der Schwester die Anregung zu einer Denkarbeit, die einerseits nicht zur Lösung zu bringen war, anderseits ihn in Gefühlskonflikte verstrickte. Das große Rätsel stellte sich für ihn ein, woher die Kinder kommen, das erste Problem vielleicht, dessen Lösung die Geisteskräfte des Kindes in Anspruch nimmt, von dem das Rätsel der thebanischen Sphinx wahrscheinlich nur eine Entstellung wiedergibt. Die ihm gebotene Aufklärung, der Storch habe die Hanna gebracht, wies er ab. Er hatte doch bemerkt, daß die Mutter Monate vor der Geburt der Kleinen einen großen Leib bekommen hatte, daß sie dann zu Bett gelegen, bei der Geburt gestöhnt hatte und dann schlank aufgestanden war. Er schloß also, die Hanna sei im Leibe der Mutter gewesen und dann herausgekommen wie ein »Lumpf«. Dieses Gebären konnte er sich lustvoll vorstellen, unter Anknüpfung an eigene früheste Lustempfindungen beim Stuhlgange, konnte sich also mit doppelter Motivierung wünschen, selbst Kinder zu haben, um sie mit Lust zu gebären und dann (mit Vergeltungslust gleichsam) zu pflegen. In all dem lag nichts, was ihn zu Zweifel oder zu Konflikt geführt hätte.</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Aber es war noch etwas anderes da, was ihn stören mußte. Der Vater mußte etwas mit der </w:t>
      </w:r>
      <w:r w:rsidRPr="003E335C">
        <w:rPr>
          <w:rFonts w:ascii="Garamond" w:hAnsi="Garamond"/>
          <w:i/>
          <w:iCs/>
          <w:lang w:val="en-US"/>
        </w:rPr>
        <w:t>Geburt</w:t>
      </w:r>
      <w:r w:rsidRPr="003E335C">
        <w:rPr>
          <w:rFonts w:ascii="Garamond" w:hAnsi="Garamond"/>
          <w:lang w:val="en-US"/>
        </w:rPr>
        <w:t xml:space="preserve"> der kleinen Hanna zu tun haben, denn er behauptete, Hanna und er selbst, Hans, seien seine Kinder. Er hatte sie aber gewiß nicht in die Welt gesetzt, sondern die Mama. Dieser Vater war ihm bei der Mutter im Wege. Wenn er da war, konnte er nicht bei der Mutter schlafen, und wenn die Mutter Hans ins Bett nehmen wollte, schrie der Vater. Hans hatte erfahren, wie gut er's bei Abwesenheit des Vaters haben könnte, und der Wunsch, den Vater zu beseitigen, war nur gerechtfertigt. Nun erhielt diese Feindseligkeit eine </w:t>
      </w:r>
      <w:r w:rsidRPr="003E335C">
        <w:rPr>
          <w:rFonts w:ascii="Garamond" w:hAnsi="Garamond"/>
          <w:lang w:val="en-US"/>
        </w:rPr>
        <w:lastRenderedPageBreak/>
        <w:t>Verstärkung. Der Vater hatte ihm die Lüge vom Storch erzählt, und es ihm damit unmöglich gemacht, ihn in diesen Dingen um Aufklärung zu bitten. Er hinderte ihn nicht nur, bei der Mutter im Bette zu sein, sondern vorenthielt ihm auch das Wissen, nach dem er strebte. Er benachteiligte ihn nach beiden Richtungen, und dies offenbar zu seinem eigenen Vorteile.</w:t>
      </w:r>
    </w:p>
    <w:p w:rsidR="00DF4073" w:rsidRPr="003E335C" w:rsidRDefault="00DF4073" w:rsidP="00DF4073">
      <w:pPr>
        <w:pStyle w:val="Sansinterligne"/>
        <w:rPr>
          <w:rFonts w:ascii="Garamond" w:hAnsi="Garamond"/>
          <w:lang w:val="en-US"/>
        </w:rPr>
      </w:pPr>
      <w:r w:rsidRPr="003E335C">
        <w:rPr>
          <w:rFonts w:ascii="Garamond" w:hAnsi="Garamond"/>
          <w:lang w:val="en-US"/>
        </w:rPr>
        <w:t>Daß er nun diesen selben Vater, den er als Konkurrenten hassen mußte, seit jeher geliebt hatte und weiter lieben mußte, daß er ihm Vorbild war, sein erster Spielgenosse und gleichfalls sein Pfleger aus den ersten Jahren, das ergab den ersten, zunächst nicht lösbaren Gefühlskonflikt. Wie Hansens Natur sich entwickelt hatte, mußte die Liebe vorläufig die Oberhand behalten und den Haß unterdrücken, ohne ihn aufheben zu können, denn er wurde von der Liebe zur Mutter her immer von neuem gespeist.</w:t>
      </w:r>
    </w:p>
    <w:p w:rsidR="00DF4073" w:rsidRPr="003E335C" w:rsidRDefault="00DF4073" w:rsidP="00DF4073">
      <w:pPr>
        <w:pStyle w:val="Sansinterligne"/>
        <w:rPr>
          <w:rFonts w:ascii="Garamond" w:hAnsi="Garamond"/>
          <w:lang w:val="en-US"/>
        </w:rPr>
      </w:pPr>
      <w:r w:rsidRPr="003E335C">
        <w:rPr>
          <w:rFonts w:ascii="Garamond" w:hAnsi="Garamond"/>
          <w:lang w:val="en-US"/>
        </w:rPr>
        <w:t>Der Vater wußte aber nicht nur, woher die Kinder kommen, er übte es auch wirklich aus, das, was Hans nur dunkel ahnen konnte. Der Wiwimacher mußte etwas damit zu tun haben, dessen Erregung all diese Gedanken begleitete, und zwar ein großer, größer als Hans seinen fand. Folgte man den Empfindungsandeutungen, die sich da ergaben, so mußte es sich um eine Gewalttätigkeit handeln, die man an der Mama verübte, um ein Zerschlagen, ein Öffnungschaffen, ein Eindringen in einen abgeschlossenen Raum, den Impuls dazu konnte das Kind in sich verspüren ; aber obwohl es auf dem Wege war, von seinen Penissensationen aus, die Vagina zu postulieren, so konnte es doch das Rätsel nicht lösen, denn so etwas, wie der Wiwimacher es brauchte, bestand ja in seiner Kenntnis nicht; vielmehr stand der Lösung die Überzeugung im Wege, daß die Mama einen Wiwimacher wie er besitze. Der Lösungsversuch, was man mit der Mama anfangen müßte, damit sie Kinder bekomme, versank im Unbewußten, und beiderlei aktive Impulse, der feindselige gegen den Vater wie der sadistisch-zärtliche gegen die Mutter, blieben verwendungslos, der eine infolge der neben dem Hasse vorhandenen Liebe, der andere vermöge der Ratlosigkeit, die sich aus den infantilen Sexualtheorien ergab.</w:t>
      </w:r>
    </w:p>
    <w:p w:rsidR="00DF4073" w:rsidRPr="003E335C" w:rsidRDefault="00DF4073" w:rsidP="00DF4073">
      <w:pPr>
        <w:pStyle w:val="Sansinterligne"/>
        <w:rPr>
          <w:rFonts w:ascii="Garamond" w:hAnsi="Garamond"/>
          <w:lang w:val="en-US"/>
        </w:rPr>
      </w:pPr>
      <w:r w:rsidRPr="003E335C">
        <w:rPr>
          <w:rFonts w:ascii="Garamond" w:hAnsi="Garamond"/>
          <w:lang w:val="en-US"/>
        </w:rPr>
        <w:t>Nur in dieser Weise vermag ich, auf die Resultate der Analyse gestützt, die unbewußten Komplexe und Wunschregungen zu konstruieren, deren Verdrängung und Wiedererweckung die Phobie des kleinen Hans zum Vorscheine brachte. Ich weiß, daß damit dem Denkvermögen eines Kindes zwischen 4 und 5 Jahren viel zugemutet ist, aber ich lasse mich von dem leiten, was wir neu erfahren haben, und halte mich durch die Vorurteile unserer Unwissenheit nicht für gebunden. Vielleicht hätte man die Angst vor dem »Krawallmachen mit den Beinen« benutzen können, um noch Lücken in unserem Beweisverfahren auszufüllen. Hans gab zwar an, es erinnere ihn an das Zappeln mit den Beinen, wenn er gezwungen werden sollte, sein Spiel zu unterbrechen, um Lumpf zu machen, so daß dieses Element der Neurose in Beziehung zu dem Problem gerät, ob die Mama gerne oder nur gezwungen Kinder bekomme, aber ich habe nicht den Eindruck, daß hiemit die volle Aufklärung für das »Krawallmachen mit den Beinen« gegeben ist. Meine Vermutung, daß sich bei dem Kinde eine Reminiszenz an einen von ihm im Schlafzimmer beobachteten sexuellen Verkehr der Eltern geregt habe, konnte der Vater nicht bestätigen. Begnügen wir uns also mit dem, was wir erfahren haben.</w:t>
      </w:r>
    </w:p>
    <w:p w:rsidR="00DF4073" w:rsidRPr="003E335C" w:rsidRDefault="00DF4073" w:rsidP="00DF4073">
      <w:pPr>
        <w:pStyle w:val="Sansinterligne"/>
        <w:rPr>
          <w:rFonts w:ascii="Garamond" w:hAnsi="Garamond"/>
          <w:lang w:val="en-US"/>
        </w:rPr>
      </w:pPr>
      <w:r w:rsidRPr="003E335C">
        <w:rPr>
          <w:rFonts w:ascii="Garamond" w:hAnsi="Garamond"/>
          <w:lang w:val="en-US"/>
        </w:rPr>
        <w:t>Durch welchen Einfluß es in der geschilderten Situation bei Hans zum Umkippen, zur Verwandlung der libidinösen Sehnsucht in Angst gekommen ist, an welchem Ende da die Verdrängung eingesetzt hat, das ist schwer zu sagen und könnte wohl nur durch die Vergleichung mit mehreren ähnlichen Analysen zu entscheiden sein; ob das intellektuelle Unvermögen des Kindes, das schwierige Problem der Kinderzeugung zu lösen und die durch die Annäherung an die Lösung entbundenen aggressiven Impulse zu verwerten, den Ausschlag gab oder ein somatisches Unvermögen, eine Intoleranz seiner Konstitution gegen die regelmäßig geübte masturbatorische Befriedigung, ob die bloße Fortdauer der sexuellen Erregung in so hoher Intensität zum Umschlage führen mußte, das stelle ich als fraglich hin, bis uns weitere Erfahrung zu Hilfe kommt.</w:t>
      </w:r>
    </w:p>
    <w:p w:rsidR="00DF4073" w:rsidRPr="003E335C" w:rsidRDefault="00DF4073" w:rsidP="00DF4073">
      <w:pPr>
        <w:pStyle w:val="Sansinterligne"/>
        <w:rPr>
          <w:rFonts w:ascii="Garamond" w:hAnsi="Garamond"/>
          <w:lang w:val="en-US"/>
        </w:rPr>
      </w:pPr>
      <w:r w:rsidRPr="003E335C">
        <w:rPr>
          <w:rFonts w:ascii="Garamond" w:hAnsi="Garamond"/>
          <w:lang w:val="en-US"/>
        </w:rPr>
        <w:t>Dem Gelegenheitsanlasse für den Ausbruch der Krankheit zu viel Einfluß zuzuschreiben, verbieten die zeitlichen Verhältnisse, denn Andeutungen von Ängstlichkeit waren bei Hans lange vorher, ehe er das Stellwagenpferd auf der Straße umfallen sah, zu beobachten.</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Immerhin knüpfte die Neurose direkt an dieses akzidentelle Erlebnis an und bewahrte die Spur desselben in der Erhebung des Pferdes zum Angstobjekt. Eine »traumatische Kraft« kommt diesem Eindrucke an und für sich nicht zu; nur die frühere Bedeutung des Pferdes als Gegenstand der Vorliebe und des Interesses und die Anknüpfung an das traumatisch geeignetere Erlebnis in Gmunden, wie Fritzl beim Pferdespiele umfiel, sowie der leichte Assoziationsweg von Fritzl zum Vater, haben den zufällig beobachteten Unfall mit so großer Wirksamkeit ausgestattet. Ja, wahrscheinlich hätten auch diese Beziehungen nicht ausgereicht, wenn nicht dank der Schmiegsamkeit und der Vieldeutigkeit der Assoziationsverknüpfungen der gleiche Eindruck sich auch geeignet erwiesen hätte, an den zweiten der im Unbewußten bei Hans lauernden Komplexe, an den von der Niederkunft der graviden Mutter, zu rühren. </w:t>
      </w:r>
      <w:r w:rsidRPr="003E335C">
        <w:rPr>
          <w:rFonts w:ascii="Garamond" w:hAnsi="Garamond"/>
          <w:lang w:val="en-US"/>
        </w:rPr>
        <w:lastRenderedPageBreak/>
        <w:t xml:space="preserve">Von da an war der Weg zur Wiederkehr des Verdrängten eröffnet, und nun wurde er in der Weise beschritten, daß </w:t>
      </w:r>
      <w:r w:rsidRPr="003E335C">
        <w:rPr>
          <w:rFonts w:ascii="Garamond" w:hAnsi="Garamond"/>
          <w:i/>
          <w:iCs/>
          <w:lang w:val="en-US"/>
        </w:rPr>
        <w:t>das pathogene Material auf den Pferdekomplex umgearbeitet (transponiert) und die begleitenden Affekte uniform in Angst verwandelt erschienen</w:t>
      </w:r>
      <w:r w:rsidRPr="003E335C">
        <w:rPr>
          <w:rFonts w:ascii="Garamond" w:hAnsi="Garamond"/>
          <w:lang w:val="en-US"/>
        </w:rPr>
        <w:t>.</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Bemerkenswerterweise mußte sich der nunmehrige Vorstellungsinhalt der Phobie noch eine Entstellung und Ersetzung gefallen lassen, ehe das Bewußtsein Kenntnis von ihm nahm. Der erste Wortlaut der Angst, den Hans äußerte, war: das Pferd wird mich beißen; er rührt aus einer anderen Szene in Gmunden her, die einerseits Beziehung zum feindseligen Wunsche gegen den Vater hat, anderseits an die Onanieverwarnung erinnert. Es hat sich da ein ablenkender Einfluß geltend gemacht, der vielleicht von den Eltern ausging; ich bin nicht sicher, ob die Berichte über Hans damals sorgfältig genug abgefaßt wurden, um uns entscheiden zu lassen, ob er seiner Angst diesen Ausdruck gegeben, </w:t>
      </w:r>
      <w:r w:rsidRPr="003E335C">
        <w:rPr>
          <w:rFonts w:ascii="Garamond" w:hAnsi="Garamond"/>
          <w:i/>
          <w:iCs/>
          <w:lang w:val="en-US"/>
        </w:rPr>
        <w:t>ehe oder erst nachdem</w:t>
      </w:r>
      <w:r w:rsidRPr="003E335C">
        <w:rPr>
          <w:rFonts w:ascii="Garamond" w:hAnsi="Garamond"/>
          <w:lang w:val="en-US"/>
        </w:rPr>
        <w:t xml:space="preserve"> ihn die Mutter wegen seiner Masturbation zur Rede gestellt hatte. Im Gegensatze zur Darstellung der Krankengeschichte möchte ich das letztere vermuten. Im übrigen ist unverkennbar, daß der feindselige Komplex gegen den Vater bei Hans überall den lüsternen gegen die Mutter verdeckt, so wie er auch in der Analyse zuerst aufgedeckt und erledigt wurde.</w:t>
      </w:r>
    </w:p>
    <w:p w:rsidR="00DF4073" w:rsidRPr="003E335C" w:rsidRDefault="00DF4073" w:rsidP="00DF4073">
      <w:pPr>
        <w:pStyle w:val="Sansinterligne"/>
        <w:rPr>
          <w:rFonts w:ascii="Garamond" w:hAnsi="Garamond"/>
          <w:lang w:val="en-US"/>
        </w:rPr>
      </w:pPr>
      <w:r w:rsidRPr="003E335C">
        <w:rPr>
          <w:rFonts w:ascii="Garamond" w:hAnsi="Garamond"/>
          <w:lang w:val="en-US"/>
        </w:rPr>
        <w:t>In anderen Krankheitsfällen fände sich weit mehr über die Struktur einer Neurose, ihre Entwicklung und Ausbreitung zu sagen, aber die Krankheitsgeschichte unseres kleinen Hans ist sehr kurz; sie wird alsbald nach ihrem Beginne von der Behandlungsgeschichte abgelöst. Wenn die Phobie sich während der Behandlung dann weiter zu entwickeln schien, neue Objekte und neue Bedingungen in ihren Bereich zog, so war der selbst behandelnde Vater natürlich einsichtsvoll genug, darin nur ein Zumvorscheinkommen des bereits Fertigen und nicht eine Neuproduktion, die man der Behandlung zur Last legen könnte, zu erblicken. Auf solche Einsicht darf man dann in anderen Fällen von Behandlung nicht immer rechnen.</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Ehe ich diese Synthese für beendigt erkläre, muß ich noch einen andern Gesichtspunkt würdigen, bei dem wir mitten in die Schwierigkeiten der Auffassung neurotischer Zustände geraten werden. Wir sehen, wie unser kleiner Patient von einem wichtigen Verdrängungsschube befallen wird, der gerade seine herrschenden sexuellen Komponenten betrifft </w:t>
      </w:r>
      <w:hyperlink r:id="rId429"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Der Vater hat sogar beobachtet, daß gleichzeitig mit dieser Verdrängung ein Stück Sublimierung bei ihm eintritt. Er zeigt vom Beginne der Ängstlichkeit an ein gesteigertes Interesse für Musik und entwickelt seine hereditäre musikalische Begabung.</w:t>
        </w:r>
      </w:hyperlink>
      <w:r w:rsidRPr="003E335C">
        <w:rPr>
          <w:rFonts w:ascii="Garamond" w:hAnsi="Garamond"/>
          <w:lang w:val="en-US"/>
        </w:rPr>
        <w:t>. Er entäußert sich der Onanie, er weist mit Ekel von sich, was an Exkremente und an Zuschauen bei den Verrichtungen erinnert. Es sind aber nicht diese Komponenten, welche beim Krankheitsanlasse (beim Anblicke des fallenden Pferdes) angeregt werden und die das Material für die Symptome, den Inhalt der Phobie, liefern.</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Man hat also da Anlaß, eine prinzipielle Unterscheidung aufzustellen. Wahrscheinlich gelangt man zu einem tieferen Verständnisse des Krankheitsfalles, wenn man sich jenen anderen Komponenten zuwendet, welche die beiden letztgenannten Bedingungen erfüllen. Dies sind bei Hans Regungen, die bereits vorher unterdrückt waren und sich, soviel wir erfahren, niemals ungehemmt äußern konnten, feindselig-eifersüchtige Gefühle gegen den Vater und sadistische, Koitusahnungen entsprechende, Antriebe gegen die Mutter. In diesen frühzeitigen Unterdrückungen liegt vielleicht die Disposition für die spätere Erkrankung. Diese aggressiven Neigungen haben bei Hans keinen Ausweg gefunden, und sobald sie in einer Zeit der Entbehrung und gesteigerten sexuellen Erregung verstärkt hervorbrechen wollen, entbrennt jener Kampf, den wir die »Phobie« nennen. Während derselben dringt ein Teil der verdrängten Vorstellungen als Inhalt der Phobie, entstellt und auf einen anderen Komplex überschrieben, ins Bewußtsein; aber kein Zweifel, daß dies ein kümmerlicher Erfolg ist. Der Sieg verbleibt der Verdrängung, </w:t>
      </w:r>
      <w:r w:rsidRPr="003E335C">
        <w:rPr>
          <w:rFonts w:ascii="Garamond" w:hAnsi="Garamond"/>
          <w:i/>
          <w:iCs/>
          <w:lang w:val="en-US"/>
        </w:rPr>
        <w:t>die bei dieser Gelegenheit auf andere als die vordringliche Komponente übergreift</w:t>
      </w:r>
      <w:r w:rsidRPr="003E335C">
        <w:rPr>
          <w:rFonts w:ascii="Garamond" w:hAnsi="Garamond"/>
          <w:lang w:val="en-US"/>
        </w:rPr>
        <w:t>. Das ändert nichts daran, daß das Wesen des Krankheitszustandes durchaus an die Natur der zurückzuweisenden Triebkomponenten gebunden bleibt. Absicht und Inhalt der Phobie ist eine weitgehende Einschränkung der Bewegungsfreiheit, sie ist also eine machtvolle Reaktion gegen die dunklen Bewegungsimpulse, die sich besonders gegen die Mutter wenden wollten. Das Pferd war für den Knaben immer das Vorbild der Bewegungslust (»Ich bin ein junges Pferd«, sagt Hans im Herumspringen), aber da diese Bewegungslust den Koitusimpuls einschließt, wird die Bewegungslust von der Neurose eingeschränkt und das Pferd zum Sinnbild des Schreckens erhoben. Es scheint, daß den verdrängten Trieben in der Neurose nichts anderes verbleibt als die Ehre, der Angst im Bewußtsein die Vorwände zu liefern. Aber so deutlich auch der Sieg der Sexualablehnung in der Phobie ist, so läßt doch die Kompromißnatur der Krankheit nicht zu, daß das Verdrängte nichts anderes erreiche. Die Phobie vor dem Pferde ist doch wieder ein Hindernis, auf die Gasse zu gehen, und kann als Mittel dienen, um bei der geliebten Mutter im Hause zu bleiben. Darin hat sich also die Zärtlichkeit für die Mutter siegreich durchgesetzt; der Liebhaber klammert sich infolge der Phobie an sein geliebtes Objekt, aber freilich ist nun dafür gesorgt, daß er unschädlich bleibt. In diesen beiden Wirkungen offenbart sich die eigentliche Natur einer neurotischen Erkrankung.</w:t>
      </w:r>
    </w:p>
    <w:p w:rsidR="00DF4073" w:rsidRPr="003E335C" w:rsidRDefault="00DF4073" w:rsidP="00DF4073">
      <w:pPr>
        <w:pStyle w:val="Sansinterligne"/>
        <w:rPr>
          <w:rFonts w:ascii="Garamond" w:hAnsi="Garamond"/>
          <w:lang w:val="en-US"/>
        </w:rPr>
      </w:pPr>
      <w:r w:rsidRPr="003E335C">
        <w:rPr>
          <w:rFonts w:ascii="Garamond" w:hAnsi="Garamond"/>
          <w:lang w:val="en-US"/>
        </w:rPr>
        <w:lastRenderedPageBreak/>
        <w:t xml:space="preserve">Alf. Adler hat kürzlich in einer gedankenreichen Arbeit, der ich vorhin die Bezeichnung Triebverschränkung entnommen habe, ausgeführt, daß die Angst durch die Unterdrückung des von ihm so genannten »Aggressionstriebes« entstehe, und in weitumfassender Synthese diesem Triebe die Hauptrolle im Geschehen, »im Leben und in der Neurose« zugewiesen. Wenn wir zum Schlusse gelangt sind, daß in unserem Falle von Phobie die Angst durch die Verdrängung jener Aggressionsneigungen, der feindseligen gegen den Vater und der sadistischen gegen die Mutter, zu erklären sei, scheinen wir eine eklatante Bestätigung für die Anschauung Adlers erbracht zu haben. Und doch kann ich derselben, die ich für eine irreführende Verallgemeinerung halte, nicht beipflichten. Ich kann mich nicht entschließen, einen besonderen Aggressionstrieb neben und gleichberechtigt mit den uns vertrauten Selbsterhaltungs- und Sexualtrieben anzunehmen </w:t>
      </w:r>
      <w:hyperlink r:id="rId430"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 xml:space="preserve">Das im Text Stehende ist zu einer Zeit geschrieben worden, da Adler noch auf dem Boden der Psychoanalyse zu stehen schien, vor seiner Aufstellung des männlichen Protests und seiner Verleugnung der Verdrängung. Ich habe seither auch einen »Aggressionstrieb« statuieren müssen, der nicht mit dem Adler'schen zusammenfällt. Ich ziehe es vor, ihn »Destruktions- oder Todestrieb« zu heißen ( </w:t>
        </w:r>
        <w:r w:rsidRPr="003E335C">
          <w:rPr>
            <w:rStyle w:val="innerfusslink"/>
            <w:rFonts w:ascii="Garamond" w:hAnsi="Garamond"/>
            <w:i/>
            <w:iCs/>
            <w:color w:val="0000FF"/>
            <w:u w:val="single"/>
            <w:lang w:val="en-US"/>
          </w:rPr>
          <w:t>Jenseits des Lustprinzips</w:t>
        </w:r>
        <w:r w:rsidRPr="003E335C">
          <w:rPr>
            <w:rStyle w:val="innerfusslink"/>
            <w:rFonts w:ascii="Garamond" w:hAnsi="Garamond"/>
            <w:color w:val="0000FF"/>
            <w:u w:val="single"/>
            <w:lang w:val="en-US"/>
          </w:rPr>
          <w:t xml:space="preserve">, </w:t>
        </w:r>
        <w:r w:rsidRPr="003E335C">
          <w:rPr>
            <w:rStyle w:val="innerfusslink"/>
            <w:rFonts w:ascii="Garamond" w:hAnsi="Garamond"/>
            <w:i/>
            <w:iCs/>
            <w:color w:val="0000FF"/>
            <w:u w:val="single"/>
            <w:lang w:val="en-US"/>
          </w:rPr>
          <w:t>Das Ich und das Es</w:t>
        </w:r>
        <w:r w:rsidRPr="003E335C">
          <w:rPr>
            <w:rStyle w:val="innerfusslink"/>
            <w:rFonts w:ascii="Garamond" w:hAnsi="Garamond"/>
            <w:color w:val="0000FF"/>
            <w:u w:val="single"/>
            <w:lang w:val="en-US"/>
          </w:rPr>
          <w:t>). Sein Gegensatz zu den libidinösen Trieben kommt in der bekannten Polarität von Lieben und Hassen zum Ausdruck. Auch mein Widerspruch gegen die Adler'sche Aufstellung, die einen allgemeinen Charakter der Triebe überhaupt zu Gunsten eines einzigen beeinträchtigt, bleibt aufrecht.</w:t>
        </w:r>
      </w:hyperlink>
      <w:r w:rsidRPr="003E335C">
        <w:rPr>
          <w:rFonts w:ascii="Garamond" w:hAnsi="Garamond"/>
          <w:lang w:val="en-US"/>
        </w:rPr>
        <w:t>. Es scheint mir, daß Adler einen allgemeinen und unerläßlichen Charakter aller Triebe, eben das »Triebhafte«, Drängende in ihnen, was wir als die Fähigkeit, der Motilität Anstoß zu geben, beschreiben können, zu einem besonderen Triebe mit Unrecht hypostasiert habe. Von den anderen Trieben erübrigte dann nichts anderes als die Beziehung zu einem Ziele, nachdem ihnen die Beziehung zu den Mitteln, dieses Ziel zu erreichen, durch den »Aggressionstrieb« abgenommen wird; trotz all der Unsicherheit und Ungeklärtheit unserer Trieblehre möchte ich vorläufig an der gewohnten Auffassung festhalten, welche jedem Triebe sein eigenes Vermögen, aggressiv zu werden, beläßt, und in den beiden bei unserem Hans zur Verdrängung gelangenden Trieben würde ich altbekannte Komponenten der sexuellen Libido erkennen.</w:t>
      </w:r>
    </w:p>
    <w:p w:rsidR="00DF4073" w:rsidRPr="003E335C" w:rsidRDefault="00DF4073" w:rsidP="00DF4073">
      <w:pPr>
        <w:pStyle w:val="Sansinterligne"/>
        <w:rPr>
          <w:rFonts w:ascii="Garamond" w:hAnsi="Garamond"/>
          <w:lang w:val="en-US"/>
        </w:rPr>
      </w:pPr>
      <w:r w:rsidRPr="003E335C">
        <w:rPr>
          <w:rFonts w:ascii="Garamond" w:hAnsi="Garamond"/>
          <w:lang w:val="en-US"/>
        </w:rPr>
        <w:t>3</w:t>
      </w:r>
    </w:p>
    <w:p w:rsidR="00DF4073" w:rsidRPr="003E335C" w:rsidRDefault="00DF4073" w:rsidP="00DF4073">
      <w:pPr>
        <w:pStyle w:val="Sansinterligne"/>
        <w:rPr>
          <w:rFonts w:ascii="Garamond" w:hAnsi="Garamond"/>
          <w:lang w:val="en-US"/>
        </w:rPr>
      </w:pPr>
      <w:r w:rsidRPr="003E335C">
        <w:rPr>
          <w:rFonts w:ascii="Garamond" w:hAnsi="Garamond"/>
          <w:lang w:val="en-US"/>
        </w:rPr>
        <w:t>Ehe ich nun in die voraussichtlich kurz gehaltenen Erörterungen eintrete, was aus der Phobie des kleinen Hans allgemein Wertvolles für Kinderleben und Kindererziehung zu entnehmen ist, muß ich dem lange aufgesparten Einwande begegnen, der uns mahnt, daß Hans ein Neurotiker, Hereditarier, Dégéneré ist, kein normales Kind, von dem aus auf andere Kinder übertragen werden darf. Es tut mir lange schon leid, daran zu denken, wie alle die Bekenner des »Normalmenschen« unseren armen kleinen Hans mißhandeln werden, nachdem sie erst erfahren haben, daß ihm tatsächlich hereditäre Belastung nachgewiesen werden kann. Seiner schönen Mutter, die in einem Konflikte ihrer Mädchenzeit neurotisch erkrankte, hatte ich damals Hilfe geleistet, und dies war sogar der Anfang meiner Beziehungen zu seinen Eltern. Ich getraue mich nur ganz schüchtern, einiges zu seinen Gunsten vorzubringen.</w:t>
      </w:r>
    </w:p>
    <w:p w:rsidR="00DF4073" w:rsidRPr="003E335C" w:rsidRDefault="00DF4073" w:rsidP="00DF4073">
      <w:pPr>
        <w:pStyle w:val="Sansinterligne"/>
        <w:rPr>
          <w:rFonts w:ascii="Garamond" w:hAnsi="Garamond"/>
          <w:lang w:val="en-US"/>
        </w:rPr>
      </w:pPr>
      <w:r w:rsidRPr="003E335C">
        <w:rPr>
          <w:rFonts w:ascii="Garamond" w:hAnsi="Garamond"/>
          <w:lang w:val="en-US"/>
        </w:rPr>
        <w:t>Zunächst, daß Hans nicht das ist, was man sich nach der strengen Observanz unter einem degenerierten, zur Nervosität erblich bestimmten Kinde vorstellen würde, sondern vielmehr ein körperlich wohlgebildeter, heiterer, liebenswürdiger und geistig reger Geselle, an dem nicht nur der eigene Vater seine Freude haben kann. An seiner sexuellen Frühreife freilich ist kein Zweifel, aber es fehlt da viel Vergleichsmaterial zum richtigen Urteile. Aus einer Sammeluntersuchung aus amerikanischer Quelle habe ich z. B. ersehen, daß ähnlich frühe Objektwahl und Liebesempfinden bei Knaben nicht gar so selten angetroffen wird, und aus der Kindergeschichte von später als »groß« erkannten Männern weiß man das nämliche, so daß ich meinen möchte, die sexuelle Frühreife sei ein selten fehlendes Korrelat der intellektuellen, und darum bei begabten Kindern häufiger anzutreffen, als man erwarten sollte.</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Ferner mache ich in meiner eingestandenen Parteilichkeit für den kleinen Hans geltend, daß er nicht das einzige Kind ist, das zu irgendeiner Zeit seiner Kinderjahre von Phobien befallen wird. Solche Erkrankungen sind bekanntlich ganz außerordentlich häufig, auch bei Kindern, deren Erziehung an Strenge nichts zu wünschen übrig läßt. Die betreffenden Kinder werden später entweder neurotisch, oder sie bleiben gesund. Ihre Phobien werden in der Kinderstube niedergeschrien, weil sie der Behandlung unzugänglich und gewiß sehr unbequem sind. Sie lassen dann im Laufe von Monaten oder Jahren nach, heilen anscheinend; welche psychischen Veränderungen eine solche Heilung bedingt, welche Charakterveränderungen mit ihr verknüpft sind, darin hat niemand Einsicht. Wenn man dann einmal einen erwachsenen Neurotiker in psychoanalytische Behandlung nimmt, der, nehmen wir an, erst in reifen Jahren manifest erkrankt ist, so erfährt man regelmäßig, daß seine Neurose an jene Kinderangst anknüpft, die Fortsetzung derselben darstellt, und daß also eine unausgesetzte, aber auch ungestörte psychische Arbeit sich von jenen Kinderkonflikten an durchs Leben fortgesponnen hat, ohne Rücksicht darauf, ob </w:t>
      </w:r>
      <w:r w:rsidRPr="003E335C">
        <w:rPr>
          <w:rFonts w:ascii="Garamond" w:hAnsi="Garamond"/>
          <w:lang w:val="en-US"/>
        </w:rPr>
        <w:lastRenderedPageBreak/>
        <w:t>deren erstes Symptom Bestand hatte oder unter dem Drange der Verhältnisse zurückgezogen wurde. Ich meine also, unser Hans ist vielleicht nicht stärker erkrankt gewesen als so viele andere Kinder, die nicht als »Degenerierte« gebrandmarkt werden; aber da er ohne Einschüchterung, mit möglichster Schonung und möglichst geringem Zwang erzogen wurde, hat sich seine Angst kühner hervorgewagt. Die Motive des schlechten Gewissens und der Furcht vor der Strafe haben ihr gefehlt, die sonst gewiß zu ihrer Verkleinerung beitragen. Mir will scheinen, wir geben zu viel auf Symptome und kümmern uns zu wenig um das, woraus sie hervorgehen. In der Kindererziehung gar wollen wir nichts anderes als in Ruhe gelassen werden, keine Schwierigkeiten erleben, kurz, das brave Kind züchten und achten sehr wenig darauf, ob dieser Entwicklungsgang dem Kinde auch frommt. Ich könnte mir also vorstellen, daß es heilsam für unseren Hans war, diese Phobie produziert zu haben, weil sie die Aufmerksamkeit der Eltern auf die unvermeidlichen Schwierigkeiten lenkte, welche die Überwindung der angeborenen Triebkomponenten in der Kulturerziehung dem Kinde bereiten muß, und weil diese seine Störung die Hilfeleistung des Vaters nach sich zog. Vielleicht hat er nun vor anderen Kindern das voraus, daß er nicht mehr jenen Keim verdrängter Komplexe in sich trägt, der fürs spätere Leben jedesmal etwas bedeuten muß, der gewiß Charakterverbildung in irgendeinem Ausmaße mit sich bringt, wenn nicht die Disposition zu einer späteren Neurose. Ich bin geneigt, so zu denken, aber ich weiß nicht, ob noch viele andere mein Urteil teilen werden, weiß auch nicht, ob die Erfahrung mir recht geben wird.</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Ich muß aber fragen, was hat nun bei Hans das Anslichtziehen der nicht nur von den Kindern verdrängten, sondern auch von den Eltern gefürchteten Komplexe geschadet? Hat der Kleine nun etwa Ernst gemacht mit seinen Ansprüchen auf die Mutter, oder sind an Stelle der bösen Absichten gegen den Vater Tätlichkeiten getreten? Sicherlich werden das viele befürchtet haben, die das Wesen der Psychoanalyse verkennen und meinen, man verstärke die bösen Triebe, wenn man sie bewußt mache. Diese Weisen handeln dann nur konsequent, wenn sie um Gotteswillen von jeder Beschäftigung mit den bösen Dingen abraten, die hinter den Neurosen stecken. Sie vergessen dabei allerdings, daß sie Ärzte sind, und geraten in eine fatale Ähnlichkeit mit Shakespeares Holzapfel in </w:t>
      </w:r>
      <w:r w:rsidRPr="003E335C">
        <w:rPr>
          <w:rFonts w:ascii="Garamond" w:hAnsi="Garamond"/>
          <w:i/>
          <w:iCs/>
          <w:lang w:val="en-US"/>
        </w:rPr>
        <w:t>Viel Lärm um nichts</w:t>
      </w:r>
      <w:r w:rsidRPr="003E335C">
        <w:rPr>
          <w:rFonts w:ascii="Garamond" w:hAnsi="Garamond"/>
          <w:lang w:val="en-US"/>
        </w:rPr>
        <w:t xml:space="preserve">, der der ausgeschickten Wache gleichfalls den Rat gibt, sich von jeder Berührung mit den etwa angetroffenen Dieben, Einbrechern recht fernzuhalten. Solches Gesindel sei kein Umgang für ehrliche Leute </w:t>
      </w:r>
      <w:hyperlink r:id="rId431"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Ich kann die verwunderte Frage hier nicht unterdrücken, woher diese Gegner meiner Anschauungen ihr so sicher vorgetragenes Wissen beziehen, ob die verdrängten Sexualtriebe eine Rolle in der Ätiologie der Neurosen spielen und welche, wenn sie den Patienten den Mund verschließen, sobald sie von ihren Komplexen und deren Abkömmlingen zu reden beginnen? Meine und meiner Anhänger Mitteilungen sind ja dann die einzige Wissenschaft, die ihnen zugänglich bleibt.</w:t>
        </w:r>
      </w:hyperlink>
      <w:r w:rsidRPr="003E335C">
        <w:rPr>
          <w:rFonts w:ascii="Garamond" w:hAnsi="Garamond"/>
          <w:lang w:val="en-US"/>
        </w:rPr>
        <w:t>.</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Die einzigen Folgen der Analyse sind vielmehr, daß Hans gesund wird, sich vor Pferden nicht mehr fürchtet, und daß er mit seinem Vater, wie dieser belustigt mitteilt, eher familiär verkehrt. Aber was der Vater an Respekt etwa einbüßt, das gewinnt er an Vertrauen zurück: »Ich hab' geglaubt, du weißt alles, weil du das vom Pferd gewußt hast.« Die Analyse macht nämlich den </w:t>
      </w:r>
      <w:r w:rsidRPr="003E335C">
        <w:rPr>
          <w:rFonts w:ascii="Garamond" w:hAnsi="Garamond"/>
          <w:i/>
          <w:iCs/>
          <w:lang w:val="en-US"/>
        </w:rPr>
        <w:t>Erfolg</w:t>
      </w:r>
      <w:r w:rsidRPr="003E335C">
        <w:rPr>
          <w:rFonts w:ascii="Garamond" w:hAnsi="Garamond"/>
          <w:lang w:val="en-US"/>
        </w:rPr>
        <w:t xml:space="preserve"> der Verdrängung nicht rückgängig; die Triebe, die damals unterdrückt wurden, bleiben die unterdrückten, aber sie erreicht diesen Erfolg auf anderem Weg, ersetzt den Prozeß der Verdrängung, der ein automatischer und exzessiver ist, durch die maß- und zielvolle Bewältigung mit Hilfe der höchsten seelischen Instanzen, mit einem Worte: </w:t>
      </w:r>
      <w:r w:rsidRPr="003E335C">
        <w:rPr>
          <w:rFonts w:ascii="Garamond" w:hAnsi="Garamond"/>
          <w:i/>
          <w:iCs/>
          <w:lang w:val="en-US"/>
        </w:rPr>
        <w:t>sie ersetzt die Verdrängung durch die Verurteilung</w:t>
      </w:r>
      <w:r w:rsidRPr="003E335C">
        <w:rPr>
          <w:rFonts w:ascii="Garamond" w:hAnsi="Garamond"/>
          <w:lang w:val="en-US"/>
        </w:rPr>
        <w:t xml:space="preserve">. Sie scheint uns den lang gehegten Beweis zu erbringen, daß das Bewußtsein eine biologische Funktion hat, daß mit seinem Insspieltreten ein bedeutsamer Vorteil verbunden ist </w:t>
      </w:r>
      <w:hyperlink r:id="rId432" w:history="1">
        <w:r w:rsidRPr="003E335C">
          <w:rPr>
            <w:rStyle w:val="Lienhypertexte"/>
            <w:rFonts w:ascii="Garamond" w:hAnsi="Garamond"/>
            <w:lang w:val="en-US"/>
          </w:rPr>
          <w:t>[Fußnote]</w:t>
        </w:r>
        <w:r w:rsidRPr="003E335C">
          <w:rPr>
            <w:rStyle w:val="innerfusslink"/>
            <w:rFonts w:ascii="Garamond" w:hAnsi="Garamond"/>
            <w:color w:val="0000FF"/>
            <w:u w:val="single"/>
            <w:lang w:val="en-US"/>
          </w:rPr>
          <w:t>Ich gebrauche hiedurch das Wort Bewußtsein in einem Sinne, den ich später vermieden habe, für unser normales bewußtseinsfähiges Denken. Wir wissen, daß auch solche Denkprozesse vorbewußt vor sich gehen können und tun gut, deren »Bewußtsein« rein phänomenologisch zu werten. Natürlich wird der Erwartung, auch das Bewußtwerden erfülle eine biologische Funktion, hiemit nicht widersprochen.</w:t>
        </w:r>
      </w:hyperlink>
      <w:r w:rsidRPr="003E335C">
        <w:rPr>
          <w:rFonts w:ascii="Garamond" w:hAnsi="Garamond"/>
          <w:lang w:val="en-US"/>
        </w:rPr>
        <w:t>.</w:t>
      </w:r>
    </w:p>
    <w:p w:rsidR="00DF4073" w:rsidRPr="003E335C" w:rsidRDefault="00DF4073" w:rsidP="00DF4073">
      <w:pPr>
        <w:pStyle w:val="Sansinterligne"/>
        <w:rPr>
          <w:rFonts w:ascii="Garamond" w:hAnsi="Garamond"/>
          <w:lang w:val="en-US"/>
        </w:rPr>
      </w:pPr>
      <w:r w:rsidRPr="003E335C">
        <w:rPr>
          <w:rFonts w:ascii="Garamond" w:hAnsi="Garamond"/>
          <w:lang w:val="en-US"/>
        </w:rPr>
        <w:t>Hätte ich allein die Verfügung darüber gehabt, so hätte ich's gewagt, dem Kinde auch noch die eine Aufklärung zu geben, welche ihm von den Eltern vorenthalten wurde. Ich hätte seine triebhaften Ahnungen bestätigt, indem ich ihm von der Existenz der Vagina und des Koitus erzählt hätte, so den ungelösten Rest um ein weiteres Stück verkleinert und seinem Fragedrang ein Ende gemacht. Ich bin überzeugt, er hätte weder die Liebe zur Mutter noch sein kindliches Wesen infolge dieser Aufklärungen verloren und hätte eingesehen, daß seine Beschäftigung mit diesen wichtigen, ja imposanten Dingen nun ruhen muß, bis sich sein Wunsch, groß zu werden, erfüllt hat. Aber das pädagogische Experiment wurde nicht so weit geführt.</w:t>
      </w:r>
    </w:p>
    <w:p w:rsidR="00DF4073" w:rsidRPr="003E335C" w:rsidRDefault="00DF4073" w:rsidP="00DF4073">
      <w:pPr>
        <w:pStyle w:val="Sansinterligne"/>
        <w:rPr>
          <w:rFonts w:ascii="Garamond" w:hAnsi="Garamond"/>
          <w:lang w:val="en-US"/>
        </w:rPr>
      </w:pPr>
      <w:r w:rsidRPr="003E335C">
        <w:rPr>
          <w:rFonts w:ascii="Garamond" w:hAnsi="Garamond"/>
          <w:lang w:val="en-US"/>
        </w:rPr>
        <w:t xml:space="preserve">Daß man zwischen »nervösen« und »normalen« Kindern und Erwachsenen keine scharfe Grenze ziehen darf, daß »Krankheit« ein rein praktischer Summationsbegriff ist, daß Disposition und Erleben </w:t>
      </w:r>
      <w:r w:rsidRPr="003E335C">
        <w:rPr>
          <w:rFonts w:ascii="Garamond" w:hAnsi="Garamond"/>
          <w:lang w:val="en-US"/>
        </w:rPr>
        <w:lastRenderedPageBreak/>
        <w:t>zusammentreffen müssen, um die Schwelle für die Erreichung dieser Summation überschreiten zu lassen, daß infolgedessen fortwährend viele Individuen aus der Klasse der Gesunden in die der nervös Kranken übertreten und eine weit geringere Anzahl den Weg auch in umgekehrter Richtung macht, das sind Dinge, die so oft gesagt worden sind und soviel Anklang gefunden haben, daß ich mit ihrer Behauptung gewiß nicht allein stehe. Daß die Erziehung des Kindes einen mächtigen Einfluß geltend machen kann, zugunsten oder Ungunsten der bei dieser Summation in Betracht kommenden Krankheitsdisposition, ist zum mindesten sehr wahrscheinlich, aber was die Erziehung anzustreben und wo sie einzugreifen hat, das erscheint noch durchaus fragwürdig. Sie hat sich bisher immer nur die Beherrschung, oft richtiger Unterdrückung der Triebe zur Aufgabe gestellt; der Erfolg war kein befriedigender und dort, wo es gelang, geschah es zum Vorteil einer kleinen Anzahl bevorzugter Menschen, von denen Triebunterdrückung nicht gefordert wird. Man fragte auch nicht danach, auf welchem Wege und mit welchen Opfern die Unterdrückung der unbequemen Triebe erreicht wurde. Substituiert man dieser Aufgabe eine andere, das Individuum mit der geringsten Einbuße an seiner Aktivität kulturfähig und sozial verwertbar zu machen, so haben die durch die Psychoanalyse gewonnenen Aufklärungen über die Herkunft der pathogenen Komplexe und über den Kern einer jeden Neurose eigentlich den Anspruch, vom Erzieher als unschätzbare Winke für sein Benehmen gegen das Kind gewürdigt zu werden. Welche praktischen Schlüsse sich hieraus ergeben, und inwieweit die Erfahrung die Anwendung derselben innerhalb unserer sozialen Verhältnisse rechtfertigen kann, dies überlasse ich anderen zur Erprobung und Entscheidung.</w:t>
      </w:r>
    </w:p>
    <w:p w:rsidR="00DF4073" w:rsidRPr="003E335C" w:rsidRDefault="00DF4073" w:rsidP="00DF4073">
      <w:pPr>
        <w:pStyle w:val="Sansinterligne"/>
        <w:rPr>
          <w:rFonts w:ascii="Garamond" w:hAnsi="Garamond"/>
          <w:lang w:val="en-US"/>
        </w:rPr>
      </w:pPr>
      <w:r w:rsidRPr="003E335C">
        <w:rPr>
          <w:rFonts w:ascii="Garamond" w:hAnsi="Garamond"/>
          <w:lang w:val="en-US"/>
        </w:rPr>
        <w:t>Ich kann von der Phobie unseres kleinen Patienten nicht Abschied nehmen, ohne die Vermutung auszusprechen, welche mir deren zur Heilung führende Analyse besonders wertvoll macht. Ich habe aus dieser Analyse, strenggenommen, nichts Neues erfahren, nichts, was ich nicht schon, oft in weniger deutlicher und mehr vermittelter Weise, bei anderen im reifen Alter behandelten Patienten hatte erraten können. Und da die Neurosen dieser anderen Kranken jedesmal auf die nämlichen infantilen Komplexe zurückzuführen waren, die sich hinter der Phobie Hansens aufdecken ließen, bin ich versucht, für diese Kinderneurose eine typische und vorbildliche Bedeutung in Anspruch zu nehmen, als ob die Mannigfaltigkeit der neurotischen Verdrängungserscheinungen und die Reichhaltigkeit des pathogenen Materials einer Ableitung von sehr wenigen Prozessen an den nämlichen Vorstellungskomplexen nicht im Wege stünden.</w:t>
      </w:r>
    </w:p>
    <w:p w:rsidR="00DF4073" w:rsidRPr="00DF4073" w:rsidRDefault="00DF4073" w:rsidP="00DF4073">
      <w:pPr>
        <w:pStyle w:val="Sansinterligne"/>
        <w:rPr>
          <w:rFonts w:ascii="Garamond" w:hAnsi="Garamond"/>
          <w:lang w:val="en-US" w:eastAsia="fr-FR"/>
        </w:rPr>
      </w:pPr>
      <w:r w:rsidRPr="00DF4073">
        <w:rPr>
          <w:rFonts w:ascii="Garamond" w:hAnsi="Garamond"/>
          <w:lang w:val="en-US"/>
        </w:rPr>
        <w:br w:type="page"/>
      </w:r>
    </w:p>
    <w:p w:rsidR="00DF4073" w:rsidRPr="003E335C" w:rsidRDefault="00DF4073" w:rsidP="00DF4073">
      <w:pPr>
        <w:pStyle w:val="Sansinterligne"/>
        <w:rPr>
          <w:rFonts w:ascii="Garamond" w:hAnsi="Garamond"/>
        </w:rPr>
      </w:pPr>
      <w:r w:rsidRPr="003E335C">
        <w:rPr>
          <w:rFonts w:ascii="Garamond" w:hAnsi="Garamond"/>
        </w:rPr>
        <w:lastRenderedPageBreak/>
        <w:t>Nachschrift zur Analyse des kleinen Hans</w:t>
      </w:r>
    </w:p>
    <w:p w:rsidR="00DF4073" w:rsidRPr="003E335C" w:rsidRDefault="00DF4073" w:rsidP="00DF4073">
      <w:pPr>
        <w:pStyle w:val="Sansinterligne"/>
        <w:rPr>
          <w:rFonts w:ascii="Garamond" w:hAnsi="Garamond"/>
          <w:lang w:val="en-US"/>
        </w:rPr>
      </w:pPr>
      <w:r w:rsidRPr="003E335C">
        <w:rPr>
          <w:rFonts w:ascii="Garamond" w:hAnsi="Garamond"/>
        </w:rPr>
        <w:t xml:space="preserve">Vor einigen Monaten – im Frühjahr des Jahres 1922 – stellte sich mir ein junger Mann vor und erklärte, er sei der »kleine Hans«, über dessen kindliche Neurose ich im Jahre 1909 berichtet hatte. Ich war sehr froh, ihn wiederzusehen, denn er war mir etwa zwei Jahre nach Abschluß seiner Analyse aus den Augen geraten, und ich hatte seit länger als einem Jahrzehnt nichts von seinen Schicksalen erfahren. </w:t>
      </w:r>
      <w:r w:rsidRPr="003E335C">
        <w:rPr>
          <w:rFonts w:ascii="Garamond" w:hAnsi="Garamond"/>
          <w:lang w:val="en-US"/>
        </w:rPr>
        <w:t>Die Veröffentlichung dieser ersten Analyse an einem Kinde hatte viel Aufsehen und noch mehr Entrüstung hervorgerufen, und dem armen Jungen war großes Unheil prophezeit worden, weil er in so zartem Alter »entharmlost« und zum Opfer einer Psychoanalyse gemacht worden war.</w:t>
      </w:r>
    </w:p>
    <w:p w:rsidR="00DF4073" w:rsidRPr="003E335C" w:rsidRDefault="00DF4073" w:rsidP="00DF4073">
      <w:pPr>
        <w:pStyle w:val="Sansinterligne"/>
        <w:rPr>
          <w:rFonts w:ascii="Garamond" w:hAnsi="Garamond"/>
          <w:lang w:val="en-US"/>
        </w:rPr>
      </w:pPr>
      <w:r w:rsidRPr="003E335C">
        <w:rPr>
          <w:rFonts w:ascii="Garamond" w:hAnsi="Garamond"/>
          <w:lang w:val="en-US"/>
        </w:rPr>
        <w:t>Nichts von all diesen Befürchtungen ist aber eingetroffen. Der kleine Hans war jetzt ein stattlicher Jüngling von 19 Jahren. Er behauptete, sich durchaus wohl zu befinden und an keinerlei Beschwerden oder Hemmungen zu leiden. Er war nicht nur ohne Schädigung durch die Pubertät gegangen, sondern hatte auch eine der schwersten Belastungsproben für sein Gefühlsleben gut bestanden. Seine Eltern hatten sich voneinander geschieden und jeder Teil eine neue Ehe geschlossen. Er lebe infolgedessen allein, stehe aber mit beiden Eltern gut und bedaure nur, daß er durch die Auflösung der Familie von seiner lieben jüngeren Schwester getrennt worden sei.</w:t>
      </w:r>
    </w:p>
    <w:p w:rsidR="00AD6ACB" w:rsidRDefault="00DF4073" w:rsidP="00DF4073">
      <w:pPr>
        <w:pStyle w:val="Sansinterligne"/>
        <w:rPr>
          <w:rFonts w:ascii="Garamond" w:hAnsi="Garamond"/>
        </w:rPr>
      </w:pPr>
      <w:r w:rsidRPr="003E335C">
        <w:rPr>
          <w:rFonts w:ascii="Garamond" w:hAnsi="Garamond"/>
          <w:lang w:val="en-US"/>
        </w:rPr>
        <w:t xml:space="preserve">Eine Mitteilung des kleinen Hans war mir besonders merkwürdig. Ich getraue mich auch nicht, eine Erklärung für sie zu geben. Als er seine Krankengeschichte las, erzählte er, es sei ihm alles fremd vorgekommen, er erkannte sich nicht, konnte sich an nichts erinnern, und nur als er auf die Reise nach Gmunden stieß, dämmerte ihm etwas wie ein Schimmer von Erinnerung auf, das könnte er selbst gewesen sein. Die Analyse hatte also die Begebenheit nicht vor der Amnesie bewahrt, sondern war selbst der Amnesie verfallen. </w:t>
      </w:r>
      <w:r w:rsidRPr="003E335C">
        <w:rPr>
          <w:rFonts w:ascii="Garamond" w:hAnsi="Garamond"/>
        </w:rPr>
        <w:t>Ähnlich ergeht es dem mit der Psychoanalyse Vertrauten manchmal im Schlafe. Er wird durch einen Traum geweckt, beschließt ihn ohne Aufschub zu analysieren, schläft, mit dem Ergebnis seiner Bemühung zufrieden, wieder ein, und am nächsten Morgen sind Traum und Analyse vergessen.</w:t>
      </w:r>
    </w:p>
    <w:p w:rsidR="00AD6ACB" w:rsidRDefault="00AD6ACB">
      <w:pPr>
        <w:rPr>
          <w:rFonts w:ascii="Garamond" w:hAnsi="Garamond"/>
        </w:rPr>
      </w:pPr>
      <w:r>
        <w:rPr>
          <w:rFonts w:ascii="Garamond" w:hAnsi="Garamond"/>
        </w:rPr>
        <w:br w:type="page"/>
      </w:r>
    </w:p>
    <w:p w:rsidR="00AD6ACB" w:rsidRPr="00B6748F" w:rsidRDefault="00AD6ACB" w:rsidP="00AD6ACB">
      <w:pPr>
        <w:rPr>
          <w:rFonts w:ascii="Garamond" w:hAnsi="Garamond" w:cs="Arial"/>
          <w:b/>
          <w:bCs/>
          <w:color w:val="000000"/>
        </w:rPr>
      </w:pPr>
    </w:p>
    <w:p w:rsidR="00AD6ACB" w:rsidRPr="005C1841" w:rsidRDefault="00AD6ACB" w:rsidP="00AD6ACB">
      <w:pPr>
        <w:rPr>
          <w:lang w:val="en-US"/>
        </w:rPr>
      </w:pPr>
      <w:r w:rsidRPr="00AD6ACB">
        <w:rPr>
          <w:rFonts w:ascii="Garamond" w:hAnsi="Garamond" w:cs="Arial"/>
          <w:bCs/>
          <w:color w:val="000000"/>
          <w:sz w:val="28"/>
          <w:szCs w:val="28"/>
          <w:lang w:val="en-GB"/>
        </w:rPr>
        <w:t>He</w:t>
      </w:r>
      <w:bookmarkStart w:id="116" w:name="F65"/>
      <w:bookmarkEnd w:id="116"/>
      <w:r w:rsidRPr="00AD6ACB">
        <w:rPr>
          <w:rFonts w:ascii="Garamond" w:hAnsi="Garamond" w:cs="Arial"/>
          <w:bCs/>
          <w:color w:val="000000"/>
          <w:sz w:val="28"/>
          <w:szCs w:val="28"/>
          <w:lang w:val="en-GB"/>
        </w:rPr>
        <w:t>mmung, Symptom und Angst  1926</w:t>
      </w:r>
      <w:r>
        <w:rPr>
          <w:rFonts w:ascii="Garamond" w:hAnsi="Garamond" w:cs="Arial"/>
          <w:bCs/>
          <w:color w:val="000000"/>
          <w:sz w:val="28"/>
          <w:szCs w:val="28"/>
          <w:lang w:val="en-GB"/>
        </w:rPr>
        <w:t xml:space="preserve">                                               </w:t>
      </w:r>
      <w:hyperlink w:anchor="Werke" w:history="1">
        <w:r w:rsidRPr="00525700">
          <w:rPr>
            <w:rStyle w:val="Lienhypertexte"/>
            <w:rFonts w:ascii="Garamond" w:hAnsi="Garamond"/>
            <w:lang w:val="en-US"/>
          </w:rPr>
          <w:t>Werke</w:t>
        </w:r>
      </w:hyperlink>
    </w:p>
    <w:p w:rsidR="00090F57" w:rsidRPr="005C1841" w:rsidRDefault="00090F57" w:rsidP="00AD6ACB">
      <w:pPr>
        <w:rPr>
          <w:rFonts w:ascii="Garamond" w:hAnsi="Garamond"/>
          <w:lang w:val="en-US"/>
        </w:rPr>
      </w:pPr>
      <w:r w:rsidRPr="005C1841">
        <w:rPr>
          <w:rFonts w:ascii="Garamond" w:hAnsi="Garamond"/>
          <w:lang w:val="en-US"/>
        </w:rPr>
        <w:t>In</w:t>
      </w:r>
      <w:bookmarkStart w:id="117" w:name="Angst_INHALT"/>
      <w:bookmarkEnd w:id="117"/>
      <w:r w:rsidRPr="005C1841">
        <w:rPr>
          <w:rFonts w:ascii="Garamond" w:hAnsi="Garamond"/>
          <w:lang w:val="en-US"/>
        </w:rPr>
        <w:t>halt</w:t>
      </w:r>
    </w:p>
    <w:p w:rsidR="00090F57" w:rsidRPr="00090F57" w:rsidRDefault="00B437A1" w:rsidP="00CE4D4E">
      <w:pPr>
        <w:pStyle w:val="Sansinterligne"/>
        <w:numPr>
          <w:ilvl w:val="0"/>
          <w:numId w:val="10"/>
        </w:numPr>
        <w:rPr>
          <w:rFonts w:ascii="Garamond" w:hAnsi="Garamond"/>
          <w:lang w:val="en-GB"/>
        </w:rPr>
      </w:pPr>
      <w:hyperlink w:anchor="Angst_1"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I</w:t>
        </w:r>
      </w:hyperlink>
    </w:p>
    <w:p w:rsidR="00090F57" w:rsidRPr="00090F57" w:rsidRDefault="00B437A1" w:rsidP="00CE4D4E">
      <w:pPr>
        <w:pStyle w:val="Sansinterligne"/>
        <w:numPr>
          <w:ilvl w:val="0"/>
          <w:numId w:val="10"/>
        </w:numPr>
        <w:rPr>
          <w:rFonts w:ascii="Garamond" w:hAnsi="Garamond"/>
          <w:lang w:val="en-GB"/>
        </w:rPr>
      </w:pPr>
      <w:hyperlink w:anchor="Angst_2"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II</w:t>
        </w:r>
      </w:hyperlink>
    </w:p>
    <w:p w:rsidR="00090F57" w:rsidRPr="00090F57" w:rsidRDefault="00B437A1" w:rsidP="00CE4D4E">
      <w:pPr>
        <w:pStyle w:val="Sansinterligne"/>
        <w:numPr>
          <w:ilvl w:val="0"/>
          <w:numId w:val="10"/>
        </w:numPr>
        <w:rPr>
          <w:rFonts w:ascii="Garamond" w:hAnsi="Garamond"/>
          <w:lang w:val="en-GB"/>
        </w:rPr>
      </w:pPr>
      <w:hyperlink w:anchor="Angst_3"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III</w:t>
        </w:r>
      </w:hyperlink>
    </w:p>
    <w:p w:rsidR="00090F57" w:rsidRPr="00090F57" w:rsidRDefault="00B437A1" w:rsidP="00CE4D4E">
      <w:pPr>
        <w:pStyle w:val="Sansinterligne"/>
        <w:numPr>
          <w:ilvl w:val="0"/>
          <w:numId w:val="10"/>
        </w:numPr>
        <w:rPr>
          <w:rFonts w:ascii="Garamond" w:hAnsi="Garamond"/>
          <w:lang w:val="en-GB"/>
        </w:rPr>
      </w:pPr>
      <w:hyperlink w:anchor="Angst_4"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IV</w:t>
        </w:r>
      </w:hyperlink>
    </w:p>
    <w:p w:rsidR="00090F57" w:rsidRPr="00090F57" w:rsidRDefault="00B437A1" w:rsidP="00CE4D4E">
      <w:pPr>
        <w:pStyle w:val="Sansinterligne"/>
        <w:numPr>
          <w:ilvl w:val="0"/>
          <w:numId w:val="10"/>
        </w:numPr>
        <w:rPr>
          <w:rFonts w:ascii="Garamond" w:hAnsi="Garamond"/>
          <w:lang w:val="en-GB"/>
        </w:rPr>
      </w:pPr>
      <w:hyperlink w:anchor="Angst_5"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V</w:t>
        </w:r>
      </w:hyperlink>
    </w:p>
    <w:p w:rsidR="00090F57" w:rsidRPr="00090F57" w:rsidRDefault="00B437A1" w:rsidP="00CE4D4E">
      <w:pPr>
        <w:pStyle w:val="Sansinterligne"/>
        <w:numPr>
          <w:ilvl w:val="0"/>
          <w:numId w:val="10"/>
        </w:numPr>
        <w:rPr>
          <w:rFonts w:ascii="Garamond" w:hAnsi="Garamond"/>
          <w:lang w:val="en-GB"/>
        </w:rPr>
      </w:pPr>
      <w:hyperlink w:anchor="Angst_6"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VI</w:t>
        </w:r>
      </w:hyperlink>
    </w:p>
    <w:p w:rsidR="00090F57" w:rsidRPr="00090F57" w:rsidRDefault="00B437A1" w:rsidP="00CE4D4E">
      <w:pPr>
        <w:pStyle w:val="Sansinterligne"/>
        <w:numPr>
          <w:ilvl w:val="0"/>
          <w:numId w:val="10"/>
        </w:numPr>
        <w:rPr>
          <w:rFonts w:ascii="Garamond" w:hAnsi="Garamond"/>
          <w:lang w:val="en-GB"/>
        </w:rPr>
      </w:pPr>
      <w:hyperlink w:anchor="Angst_7"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VII</w:t>
        </w:r>
      </w:hyperlink>
    </w:p>
    <w:p w:rsidR="00090F57" w:rsidRPr="00090F57" w:rsidRDefault="00B437A1" w:rsidP="00CE4D4E">
      <w:pPr>
        <w:pStyle w:val="Sansinterligne"/>
        <w:numPr>
          <w:ilvl w:val="0"/>
          <w:numId w:val="10"/>
        </w:numPr>
        <w:rPr>
          <w:rFonts w:ascii="Garamond" w:hAnsi="Garamond"/>
          <w:lang w:val="en-GB"/>
        </w:rPr>
      </w:pPr>
      <w:hyperlink w:anchor="Angst_8"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VIII</w:t>
        </w:r>
      </w:hyperlink>
    </w:p>
    <w:p w:rsidR="00090F57" w:rsidRPr="00090F57" w:rsidRDefault="00B437A1" w:rsidP="00CE4D4E">
      <w:pPr>
        <w:pStyle w:val="Sansinterligne"/>
        <w:numPr>
          <w:ilvl w:val="0"/>
          <w:numId w:val="10"/>
        </w:numPr>
        <w:rPr>
          <w:rFonts w:ascii="Garamond" w:hAnsi="Garamond"/>
          <w:lang w:val="en-GB"/>
        </w:rPr>
      </w:pPr>
      <w:hyperlink w:anchor="Angst_9"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IX</w:t>
        </w:r>
      </w:hyperlink>
    </w:p>
    <w:p w:rsidR="00090F57" w:rsidRPr="00090F57" w:rsidRDefault="00B437A1" w:rsidP="00CE4D4E">
      <w:pPr>
        <w:pStyle w:val="Sansinterligne"/>
        <w:numPr>
          <w:ilvl w:val="0"/>
          <w:numId w:val="10"/>
        </w:numPr>
        <w:rPr>
          <w:rFonts w:ascii="Garamond" w:hAnsi="Garamond"/>
          <w:lang w:val="en-GB"/>
        </w:rPr>
      </w:pPr>
      <w:hyperlink w:anchor="Angst_10"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X</w:t>
        </w:r>
      </w:hyperlink>
    </w:p>
    <w:p w:rsidR="00090F57" w:rsidRPr="00090F57" w:rsidRDefault="00B437A1" w:rsidP="00CE4D4E">
      <w:pPr>
        <w:pStyle w:val="Sansinterligne"/>
        <w:numPr>
          <w:ilvl w:val="0"/>
          <w:numId w:val="10"/>
        </w:numPr>
        <w:rPr>
          <w:rFonts w:ascii="Garamond" w:hAnsi="Garamond"/>
          <w:lang w:val="en-GB"/>
        </w:rPr>
      </w:pPr>
      <w:hyperlink w:anchor="Angst_11" w:history="1">
        <w:r w:rsidR="00090F57" w:rsidRPr="00090F57">
          <w:rPr>
            <w:rStyle w:val="Lienhypertexte"/>
            <w:rFonts w:ascii="Garamond" w:hAnsi="Garamond" w:cs="Arial"/>
            <w:bCs/>
            <w:lang w:val="en-GB"/>
          </w:rPr>
          <w:t>Hemmung, Symptom und Angst</w:t>
        </w:r>
        <w:r w:rsidR="00090F57" w:rsidRPr="00090F57">
          <w:rPr>
            <w:rStyle w:val="Lienhypertexte"/>
            <w:rFonts w:ascii="Garamond" w:hAnsi="Garamond"/>
            <w:lang w:val="en-GB"/>
          </w:rPr>
          <w:t xml:space="preserve"> XI</w:t>
        </w:r>
      </w:hyperlink>
    </w:p>
    <w:p w:rsidR="00AD6ACB" w:rsidRPr="00CA69A1" w:rsidRDefault="00AD6ACB" w:rsidP="00AD6ACB">
      <w:pPr>
        <w:rPr>
          <w:rFonts w:ascii="Garamond" w:hAnsi="Garamond"/>
          <w:lang w:val="en-GB"/>
        </w:rPr>
      </w:pPr>
    </w:p>
    <w:p w:rsidR="00090F57" w:rsidRDefault="00090F57">
      <w:pPr>
        <w:rPr>
          <w:rFonts w:ascii="Garamond" w:hAnsi="Garamond" w:cs="Arial"/>
          <w:b/>
          <w:bCs/>
          <w:color w:val="000000"/>
          <w:lang w:val="en-GB"/>
        </w:rPr>
      </w:pPr>
      <w:r>
        <w:rPr>
          <w:rFonts w:ascii="Garamond" w:hAnsi="Garamond" w:cs="Arial"/>
          <w:b/>
          <w:bCs/>
          <w:color w:val="000000"/>
          <w:lang w:val="en-GB"/>
        </w:rPr>
        <w:br w:type="page"/>
      </w:r>
    </w:p>
    <w:bookmarkStart w:id="118" w:name="Angst_1"/>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r>
        <w:rPr>
          <w:rFonts w:ascii="Garamond" w:hAnsi="Garamond" w:cs="Arial"/>
          <w:b/>
          <w:bCs/>
          <w:color w:val="000000"/>
          <w:lang w:val="en-GB"/>
        </w:rPr>
        <w:lastRenderedPageBreak/>
        <w:fldChar w:fldCharType="begin"/>
      </w:r>
      <w:r w:rsidR="00090F57">
        <w:rPr>
          <w:rFonts w:ascii="Garamond" w:hAnsi="Garamond" w:cs="Arial"/>
          <w:b/>
          <w:bCs/>
          <w:color w:val="000000"/>
          <w:lang w:val="en-GB"/>
        </w:rPr>
        <w:instrText xml:space="preserve"> HYPERLINK  \l "Angst_INHALT" </w:instrText>
      </w:r>
      <w:r>
        <w:rPr>
          <w:rFonts w:ascii="Garamond" w:hAnsi="Garamond" w:cs="Arial"/>
          <w:b/>
          <w:bCs/>
          <w:color w:val="000000"/>
          <w:lang w:val="en-GB"/>
        </w:rPr>
        <w:fldChar w:fldCharType="separate"/>
      </w:r>
      <w:r w:rsidR="00AD6ACB" w:rsidRPr="00090F57">
        <w:rPr>
          <w:rStyle w:val="Lienhypertexte"/>
          <w:rFonts w:ascii="Garamond" w:hAnsi="Garamond" w:cs="Arial"/>
          <w:b/>
          <w:bCs/>
          <w:lang w:val="en-GB"/>
        </w:rPr>
        <w:t>I</w:t>
      </w:r>
      <w:bookmarkEnd w:id="118"/>
      <w:r>
        <w:rPr>
          <w:rFonts w:ascii="Garamond" w:hAnsi="Garamond" w:cs="Arial"/>
          <w:b/>
          <w:bCs/>
          <w:color w:val="000000"/>
          <w:lang w:val="en-GB"/>
        </w:rPr>
        <w:fldChar w:fldCharType="end"/>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Unser Sprachgebrauch läßt uns in der Beschreibung pathologischer Phänomene Symptome und Hemmungen unterscheiden, aber er legt diesem Unterschied nicht viel Wert bei. Kämen uns nicht Krankheitsfälle vor, von denen wir aussagen müssen, daß sie nur Hemmungen und keine Symptome zeigen, und wollten wir nicht wissen, was dafür die Bedingung ist, so brächten wir kaum das Interesse auf, die Begriffe Hemmung und Symptom gegeneinander abzugrenzen.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beiden sind nicht auf dem nämlichen Boden erwachsen. Hemmung hat eine besondere Beziehung zur Funktion und bedeutet nicht notwendig etwas Pathologisches, man kann auch eine normale Einschränkung einer Funktion eine Hemmung derselben nennen. Symptom hingegen heißt soviel wie Anzeichen eines krankhaften Vorganges. Es kann also auch eine Hemmung ein Symptom sein. Der Sprachgebrauch verfährt dann so, daß er von Hemmung spricht, wo eine einfache Herabsetzung der Funktion vorliegt, von Symptom, wo es sich um eine ungewöhnliche Abänderung derselben oder um eine neue Leistung handelt. In vielen Fällen scheint es der Willkür überlassen, ob man die positive oder die negative Seite des pathologischen Vorgangs betonen, seinen Erfolg als Symptom oder als Hemmung bezeichnen will. Das alles ist wirklich nicht interessant, und die Fragestellung, von der wir ausgingen, erweist sich als wenig fruchtbar.</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Da die Hemmung begrifflich so innig an die Funktion geknüpft ist, kann man auf die Idee kommen, die verschiedenen Ichfunktionen daraufhin zu untersuchen, in welchen Formen sich deren Störung bei den einzelnen neurotischen Affektionen äußert. Wir wählen für diese vergleichende Studie: die Sexualfunktion, das </w:t>
      </w:r>
      <w:smartTag w:uri="urn:schemas-microsoft-com:office:smarttags" w:element="City">
        <w:smartTag w:uri="urn:schemas-microsoft-com:office:smarttags" w:element="place">
          <w:r w:rsidRPr="00CA69A1">
            <w:rPr>
              <w:rFonts w:ascii="Garamond" w:hAnsi="Garamond" w:cs="Arial"/>
              <w:color w:val="000000"/>
              <w:lang w:val="en-GB"/>
            </w:rPr>
            <w:t>Essen</w:t>
          </w:r>
        </w:smartTag>
      </w:smartTag>
      <w:r w:rsidRPr="00CA69A1">
        <w:rPr>
          <w:rFonts w:ascii="Garamond" w:hAnsi="Garamond" w:cs="Arial"/>
          <w:color w:val="000000"/>
          <w:lang w:val="en-GB"/>
        </w:rPr>
        <w:t>, die Lokomotion und die Berufsarbeit.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i/>
          <w:iCs/>
          <w:color w:val="000000"/>
          <w:lang w:val="en-GB"/>
        </w:rPr>
        <w:t>a)</w:t>
      </w:r>
      <w:r w:rsidRPr="00CA69A1">
        <w:rPr>
          <w:rFonts w:ascii="Garamond" w:hAnsi="Garamond" w:cs="Arial"/>
          <w:color w:val="000000"/>
          <w:lang w:val="en-GB"/>
        </w:rPr>
        <w:t xml:space="preserve"> Die Sexualfunktion unterliegt sehr mannigfaltigen Störungen, von denen die meisten den Charakter einfacher Hemmungen zeigen. Diese werden als psychische Impotenz zusammengefaßt. Das Zustandekommen der normalen Sexualleistung setzt einen sehr komplizierten Ablauf voraus, die Störung kann an jeder Stelle desselben eingreifen. Die Hauptstationen der Hemmung sind beim Manne: die Abwendung der Libido zur Einleitung des Vorgangs (psychische Unlust), das Ausbleiben der physischen Vorbereitung (Erektionslosigkeit), die Abkürzung des Aktes ( </w:t>
      </w:r>
      <w:r w:rsidRPr="00CA69A1">
        <w:rPr>
          <w:rFonts w:ascii="Garamond" w:hAnsi="Garamond" w:cs="Arial"/>
          <w:i/>
          <w:iCs/>
          <w:color w:val="000000"/>
          <w:lang w:val="en-GB"/>
        </w:rPr>
        <w:t>ejaculatio praecox</w:t>
      </w:r>
      <w:r w:rsidRPr="00CA69A1">
        <w:rPr>
          <w:rFonts w:ascii="Garamond" w:hAnsi="Garamond" w:cs="Arial"/>
          <w:color w:val="000000"/>
          <w:lang w:val="en-GB"/>
        </w:rPr>
        <w:t>), die ebensowohl als positives Symptom beschrieben werden kann, die Aufhaltung desselben vor dem natürlichen Ausgang (Ejakulationsmangel), das Nichtzustandekommen des psychischen Effekts (der Lustempfindung des Orgasmus). Andere Störungen erfolgen durch die Verknüpfung der Funktion mit besonderen Bedingungen, perverser oder fetischistischer Natur.</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Eine Beziehung der Hemmung zur Angst kann uns nicht lange entgehen. Manche Hemmungen sind offenbar Verzichte auf Funktion, weil bei deren Ausübung Angst entwickelt werden würde. Direkte Angst vor der Sexualfunktion ist beim Weibe häufig; wir ordnen sie der Hysterie zu, ebenso das Abwehrsymptom des Ekels, das sich ursprünglich als nachträgliche Reaktion auf den passiv erlebten Sexualakt einstellt, später bei der Vorstellung desselben auftritt. Auch eine große Anzahl von Zwangshandlungen erweisen sich als Vorsichten und Versicherungen gegen sexuelles Erleben, sind also phobischer Natur.</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Man kommt da im Verständnis nicht sehr weit; man merkt nur, daß sehr verschiedene Verfahren verwendet werden, um die Funktion zu stören: 1) die bloße Abwendung der Libido, die am ehesten zu ergeben scheint, was wir eine reine Hemmung heißen, 2) die Verschlechterung in der Ausführung der Funktion, 3) die Erschwerung derselben durch besondere Bedingungen und ihre Modifikation durch Ablenkung auf andere Ziele, 4) ihre Vorbeugung durch Sicherungsmaßregeln, 5) ihre Unterbrechung durch Angstentwicklung, sowie sich ihr Ansatz nicht mehr verhindern läßt, endlich 6) eine nachträgliche Reaktion, die dagegen protestiert und das Geschehene rückgängig machen will, wenn die Funktion doch durchgeführt wurde.</w:t>
      </w:r>
    </w:p>
    <w:p w:rsidR="00AD6ACB" w:rsidRPr="00CA69A1" w:rsidRDefault="00AD6ACB" w:rsidP="00AD6ACB">
      <w:pPr>
        <w:shd w:val="clear" w:color="auto" w:fill="FFFFFF"/>
        <w:spacing w:before="120" w:after="120" w:line="124" w:lineRule="atLeast"/>
        <w:rPr>
          <w:rFonts w:ascii="Garamond" w:hAnsi="Garamond" w:cs="Arial"/>
          <w:color w:val="000000"/>
        </w:rPr>
      </w:pPr>
      <w:r w:rsidRPr="00CA69A1">
        <w:rPr>
          <w:rFonts w:ascii="Garamond" w:hAnsi="Garamond" w:cs="Arial"/>
          <w:i/>
          <w:iCs/>
          <w:color w:val="000000"/>
          <w:lang w:val="en-GB"/>
        </w:rPr>
        <w:t>b)</w:t>
      </w:r>
      <w:r w:rsidRPr="00CA69A1">
        <w:rPr>
          <w:rFonts w:ascii="Garamond" w:hAnsi="Garamond" w:cs="Arial"/>
          <w:color w:val="000000"/>
          <w:lang w:val="en-GB"/>
        </w:rPr>
        <w:t xml:space="preserve"> Die häufigste Störung der Nahrungsfunktion ist die Eßunlust durch Abziehung der Libido. Auch Steigerungen der Eßlust sind nicht selten; ein Eßzwang motiviert sich durch Angst vor dem Verhungern, ist wenig untersucht. </w:t>
      </w:r>
      <w:r w:rsidRPr="00CA69A1">
        <w:rPr>
          <w:rFonts w:ascii="Garamond" w:hAnsi="Garamond" w:cs="Arial"/>
          <w:color w:val="000000"/>
        </w:rPr>
        <w:t>Als hysterische Abwehr des Essens kennen wir das Symptom des Erbrechens. Die Nahrungsverweigerung infolge von Angst gehört psychotischen Zuständen an (Vergiftungswahn).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i/>
          <w:iCs/>
          <w:color w:val="000000"/>
        </w:rPr>
        <w:t>c)</w:t>
      </w:r>
      <w:r w:rsidRPr="00CA69A1">
        <w:rPr>
          <w:rFonts w:ascii="Garamond" w:hAnsi="Garamond" w:cs="Arial"/>
          <w:color w:val="000000"/>
        </w:rPr>
        <w:t xml:space="preserve"> Die Lokomotion wird bei manchen neurotischen Zuständen durch Gehunlust und Gehschwäche gehemmt, die hysterische Behinderung bedient sich der motorischen Lähmung des Bewegungsapparates oder schafft eine spezialisierte Aufhebung dieser einen Funktion desselben (Abasie). </w:t>
      </w:r>
      <w:r w:rsidRPr="00CA69A1">
        <w:rPr>
          <w:rFonts w:ascii="Garamond" w:hAnsi="Garamond" w:cs="Arial"/>
          <w:color w:val="000000"/>
          <w:lang w:val="en-GB"/>
        </w:rPr>
        <w:t xml:space="preserve">Besonders </w:t>
      </w:r>
      <w:r w:rsidRPr="00CA69A1">
        <w:rPr>
          <w:rFonts w:ascii="Garamond" w:hAnsi="Garamond" w:cs="Arial"/>
          <w:color w:val="000000"/>
          <w:lang w:val="en-GB"/>
        </w:rPr>
        <w:lastRenderedPageBreak/>
        <w:t>charakteristisch sind die Erschwerungen der Lokomotion durch Einschaltung bestimmter Bedingungen, bei deren Nichterfüllung Angst auftritt (Phobie).</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i/>
          <w:iCs/>
          <w:color w:val="000000"/>
          <w:lang w:val="en-GB"/>
        </w:rPr>
        <w:t>d)</w:t>
      </w:r>
      <w:r w:rsidRPr="00CA69A1">
        <w:rPr>
          <w:rFonts w:ascii="Garamond" w:hAnsi="Garamond" w:cs="Arial"/>
          <w:color w:val="000000"/>
          <w:lang w:val="en-GB"/>
        </w:rPr>
        <w:t xml:space="preserve"> Die Arbeitshemmung, die so oft als isoliertes Symptom Gegenstand der Behandlung wird, zeigt uns verminderte Lust oder schlechtere Ausführung oder Reaktionserscheinungen wie Müdigkeit (Schwindel, Erbrechen), wenn die Fortsetzung der Arbeit erzwungen wird. Die Hysterie erzwingt die Einstellung der Arbeit durch Erzeugung von Organ- und Funktionslähmungen, deren Bestand mit der Ausführung der Arbeit unvereinbar ist. Die Zwangsneurose stört die Arbeit durch fortgesetzte Ablenkung und durch den Zeitverlust bei eingeschobenen Verweilungen und Wiederholungen.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Wir könnten diese Übersicht noch auf andere Funktionen ausdehnen, aber wir dürfen nicht erwarten, dabei mehr zu erreichen. Wir kämen nicht über die Oberfläche der Erscheinungen hinaus. Entschließen wir uns darum zu einer Auffassung, die dem Begriff der Hemmung nicht mehr viel Rätselhaftes beläßt. Die Hemmung ist der Ausdruck einer </w:t>
      </w:r>
      <w:r w:rsidRPr="00CA69A1">
        <w:rPr>
          <w:rFonts w:ascii="Garamond" w:hAnsi="Garamond" w:cs="Arial"/>
          <w:i/>
          <w:iCs/>
          <w:color w:val="000000"/>
          <w:lang w:val="en-GB"/>
        </w:rPr>
        <w:t>Funktionseinschränkung des Ichs</w:t>
      </w:r>
      <w:r w:rsidRPr="00CA69A1">
        <w:rPr>
          <w:rFonts w:ascii="Garamond" w:hAnsi="Garamond" w:cs="Arial"/>
          <w:color w:val="000000"/>
          <w:lang w:val="en-GB"/>
        </w:rPr>
        <w:t>, die selbst sehr verschiedene Ursachen haben kann. Manche der Mechanismen dieses Verzichts auf Funktion und eine allgemeine Tendenz desselben sind uns wohlbekannt.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An den spezialisierten Hemmungen ist die Tendenz leichter zu erkennen. Wenn das Klavierspielen, Schreiben und selbst das Gehen neurotischen Hemmungen unterliegen, so zeigt uns die Analyse den Grund hiefür in einer überstarken Erotisierung der bei diesen Funktionen in Anspruch genommenen Organe, der Finger und der Füße. Wir haben ganz allgemein die Einsicht gewonnen, daß die Ichfunktion eines Organes geschädigt wird, wenn seine Erogeneität, seine sexuelle Bedeutung, zunimmt. Es benimmt sich dann, wenn man den einigermaßen skurrilen Vergleich wagen darf, wie eine Köchin, die nicht mehr am Herd arbeiten will, weil der Herr des Hauses Liebesbeziehungen zu ihr angeknüpft hat. Wenn das Schreiben, das darin besteht, aus einem Rohr Flüssigkeit auf ein Stück weißes Papier fließen zu lassen, die symbolische Bedeutung des Koitus angenommen hat oder wenn das Gehen zum symbolischen Ersatz des Stampfens auf dem Leib der Mutter Erde geworden ist, dann wird beides, Schreiben und Gehen, unterlassen, weil es so ist, als ob man die verbotene sexuelle Handlung ausführen würde. Das Ich verzichtet auf diese ihm zustehenden Funktionen, um nicht eine neuerliche Verdrängung vornehmen zu müssen, </w:t>
      </w:r>
      <w:r w:rsidRPr="00CA69A1">
        <w:rPr>
          <w:rFonts w:ascii="Garamond" w:hAnsi="Garamond" w:cs="Arial"/>
          <w:i/>
          <w:iCs/>
          <w:color w:val="000000"/>
          <w:lang w:val="en-GB"/>
        </w:rPr>
        <w:t>um einem Konflikt mit dem Es auszuweichen</w:t>
      </w:r>
      <w:r w:rsidRPr="00CA69A1">
        <w:rPr>
          <w:rFonts w:ascii="Garamond" w:hAnsi="Garamond" w:cs="Arial"/>
          <w:color w:val="000000"/>
          <w:lang w:val="en-GB"/>
        </w:rPr>
        <w: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Andere Hemmungen erfolgen offenbar im Dienste der Selbstbestrafung, wie nicht selten die der beruflichen Tätigkeiten. Das Ich darf diese Dinge nicht tun, weil sie ihm Nutzen und Erfolg bringen würden, was das gestrenge Über-Ich versagt hat. Dann verzichtet das Ich auch auf diese Leistungen, </w:t>
      </w:r>
      <w:r w:rsidRPr="00CA69A1">
        <w:rPr>
          <w:rFonts w:ascii="Garamond" w:hAnsi="Garamond" w:cs="Arial"/>
          <w:i/>
          <w:iCs/>
          <w:color w:val="000000"/>
          <w:lang w:val="en-GB"/>
        </w:rPr>
        <w:t>um nicht in Konflikt mit dem Über-Ich zu geraten</w:t>
      </w:r>
      <w:r w:rsidRPr="00CA69A1">
        <w:rPr>
          <w:rFonts w:ascii="Garamond" w:hAnsi="Garamond" w:cs="Arial"/>
          <w:color w:val="000000"/>
          <w:lang w:val="en-GB"/>
        </w:rPr>
        <w: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allgemeineren Hemmungen des Ichs folgen einem anderen, einfachen, Mechanismus. Wenn das Ich durch eine psychische Aufgabe von besonderer Schwere in Anspruch genommen ist, wie z. B. durch eine Trauer, eine großartige Affektunterdrückung, durch die Nötigung, beständig aufsteigende sexuelle Phantasien niederzuhalten, dann verarmt es so sehr an der ihm verfügbaren Energie, daß es seinen Aufwand an vielen Stellen zugleich einschränken muß, wie ein Spekulant, der seine Gelder in seinen Unternehmungen immobilisiert hat. Ein lehrreiches Beispiel einer solchen intensiven Allgemeinhemmung von kurzer Dauer konnte ich an einem Zwangskranken beobachten, der in eine lähmende Müdigkeit von ein- bis mehrtägiger Dauer bei Anlässen verfiel, die offenbar einen Wutausbruch hätten herbeiführen sollen. Von hier aus muß auch ein Weg zum Verständnis der Allgemeinhemmung zu finden sein, durch die sich die Depressionszustände und der schwerste derselben, die Melancholie, kennzeichnen.</w:t>
      </w:r>
    </w:p>
    <w:p w:rsidR="00AD6ACB"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Man kann also abschließend über die Hemmungen sagen, sie seien Einschränkungen der Ichfunktionen, entweder aus Vorsicht oder infolge von Energieverarmung. Es ist nun leicht zu erkennen, worin sich die Hemmung vom Symptom unterscheidet. Das Symptom kann nicht mehr als ein Vorgang im oder am Ich beschrieben werden.</w:t>
      </w:r>
    </w:p>
    <w:p w:rsidR="00090F57" w:rsidRDefault="00090F57">
      <w:pPr>
        <w:rPr>
          <w:rFonts w:ascii="Garamond" w:hAnsi="Garamond" w:cs="Arial"/>
          <w:b/>
          <w:bCs/>
          <w:color w:val="000000"/>
          <w:lang w:val="en-GB"/>
        </w:rPr>
      </w:pPr>
      <w:r>
        <w:rPr>
          <w:rFonts w:ascii="Garamond" w:hAnsi="Garamond" w:cs="Arial"/>
          <w:b/>
          <w:bCs/>
          <w:color w:val="000000"/>
          <w:lang w:val="en-GB"/>
        </w:rPr>
        <w:br w:type="page"/>
      </w:r>
    </w:p>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hyperlink w:anchor="Angst_INHALT" w:history="1">
        <w:r w:rsidR="00AD6ACB" w:rsidRPr="00090F57">
          <w:rPr>
            <w:rStyle w:val="Lienhypertexte"/>
            <w:rFonts w:ascii="Garamond" w:hAnsi="Garamond" w:cs="Arial"/>
            <w:b/>
            <w:bCs/>
            <w:lang w:val="en-GB"/>
          </w:rPr>
          <w:t>I</w:t>
        </w:r>
        <w:bookmarkStart w:id="119" w:name="Angst_2"/>
        <w:bookmarkEnd w:id="119"/>
        <w:r w:rsidR="00AD6ACB" w:rsidRPr="00090F57">
          <w:rPr>
            <w:rStyle w:val="Lienhypertexte"/>
            <w:rFonts w:ascii="Garamond" w:hAnsi="Garamond" w:cs="Arial"/>
            <w:b/>
            <w:bCs/>
            <w:lang w:val="en-GB"/>
          </w:rPr>
          <w:t>I</w:t>
        </w:r>
      </w:hyperlink>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Grundzüge der Symptombildung sind längst studiert und in hoffentlich unanfechtbarer Weise ausgesprochen worden. Das Symptom sei Anzeichen und Ersatz einer unterbliebenen Triebbefriedigung, ein Erfolg des Verdrängungsvorganges. Die Verdrängung geht vom Ich aus, das, eventuell im Auftrage des Über-Ichs, eine im Es angeregte Triebbesetzung nicht mitmachen will. Das Ich erreicht durch die Verdrängung, daß die Vorstellung, welche der Träger der unliebsamen Regung war, vom Bewußtwerden abgehalten wird. Die Analyse weist oftmals nach, daß sie als unbewußte Formation erhalten geblieben ist. So weit wäre es klar, aber bald beginnen die unerledigten Schwierigkeiten.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Unsere bisherigen Beschreibungen des Vorganges bei der Verdrängung haben den Erfolg der Abhaltung vom Bewußtsein nachdrücklich betont, aber in anderen Punkten Zweifel offen gelassen. Es entsteht die Frage, was ist das Schicksal der im Es aktivierten Triebregung, die auf Befriedigung abzielt? Die Antwort war eine indirekte, sie lautete, durch den Vorgang der Verdrängung werde die zu erwartende Befriedigungslust in Unlust verwandelt, und dann stand man vor dem Problem, wie Unlust das Ergebnis einer Triebbefriedigung sein könne. Wir hoffen, den Sachverhalt zu klären, wenn wir die bestimmte Aussage machen, der im Es beabsichtigte Erregungsablauf komme infolge der Verdrängung überhaupt nicht zustande, es gelinge dem Ich, ihn zu inhibieren oder abzulenken. Dann entfällt das Rätsel der »Affektverwandlung« bei der Verdrängung. Wir haben aber damit dem Ich das Zugeständnis gemacht, daß es einen so weitgehenden Einfluß auf die Vorgänge im Es äußern kann, und sollen verstehen lernen, auf welchem Wege ihm diese überraschende Machtentfaltung möglich wird.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Ich glaube, dieser Einfluß fällt dem Ich zu infolge seiner innigen Beziehungen zum Wahrnehmungssystem, die ja sein Wesen ausmachen und der Grund seiner Differenzierung vom Es geworden sind. Die Funktion dieses Systems, das wir </w:t>
      </w:r>
      <w:r w:rsidRPr="00CA69A1">
        <w:rPr>
          <w:rFonts w:ascii="Garamond" w:hAnsi="Garamond" w:cs="Arial"/>
          <w:i/>
          <w:iCs/>
          <w:color w:val="000000"/>
          <w:lang w:val="en-GB"/>
        </w:rPr>
        <w:t>W-Bw</w:t>
      </w:r>
      <w:r w:rsidRPr="00CA69A1">
        <w:rPr>
          <w:rFonts w:ascii="Garamond" w:hAnsi="Garamond" w:cs="Arial"/>
          <w:color w:val="000000"/>
          <w:lang w:val="en-GB"/>
        </w:rPr>
        <w:t xml:space="preserve"> genannt haben, ist mit dem Phänomen des Bewußtseins verbunden; es empfängt Erregungen nicht nur von außen, sondern auch von innen her, und mittels der Lust-Unlustempfindungen, die es von daher erreichen, versucht es, alle Abläufe des seelischen Geschehens im Sinne des Lustprinzips zu lenken. Wir stellen uns das Ich so gerne als ohnmächtig gegen das Es vor, aber wenn es sich gegen einen Triebvorgang im Es sträubt, so braucht es bloß ein </w:t>
      </w:r>
      <w:r w:rsidRPr="00CA69A1">
        <w:rPr>
          <w:rFonts w:ascii="Garamond" w:hAnsi="Garamond" w:cs="Arial"/>
          <w:i/>
          <w:iCs/>
          <w:color w:val="000000"/>
          <w:lang w:val="en-GB"/>
        </w:rPr>
        <w:t>Unlustsignal</w:t>
      </w:r>
      <w:r w:rsidRPr="00CA69A1">
        <w:rPr>
          <w:rFonts w:ascii="Garamond" w:hAnsi="Garamond" w:cs="Arial"/>
          <w:color w:val="000000"/>
          <w:lang w:val="en-GB"/>
        </w:rPr>
        <w:t xml:space="preserve"> zu geben, um seine Absicht durch die Hilfe der beinahe allmächtigen Instanz des Lustprinzips zu erreichen. Wenn wir diese Situation für einen Augenblick isoliert betrachten, können wir sie durch ein Beispiel aus einer anderen Sphäre illustrieren. In einem Staate wehre sich eine gewisse Clique gegen eine Maßregel, deren Beschluß den Neigungen der Masse entsprechen würde. Diese Minderzahl bemächtigt sich dann der Presse, bearbeitet durch sie die souveräne »öffentliche Meinung« und setzt es so durch, daß der geplante Beschluß unterbleibt.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An die eine Beantwortung knüpfen weitere Fragestellungen an. Woher rührt die Energie, die zur Erzeugung des Unlustsignals verwendet wird? Hier weist uns die Idee den Weg, daß die Abwehr eines unerwünschten Vorganges im Inneren nach dem Muster der Abwehr gegen einen äußeren Reiz geschehen dürfte, daß das Ich den gleichen Weg der Verteidigung gegen die innere wie gegen die äußere Gefahr einschlägt. Bei äußerer Gefahr unternimmt das organische Wesen einen Fluchtversuch, es zieht zunächst die Besetzung von der Wahrnehmung des Gefährlichen ab; später erkennt es als das wirksamere Mittel, solche Muskelaktionen vorzunehmen, daß die Wahrnehmung der Gefahr, auch wenn man sie nicht verweigert, unmöglich wird, also sich dem Wirkungsbereich der Gefahr zu entziehen. Einem solchen Fluchtversuch gleichwertig ist auch die Verdrängung. Das Ich zieht die (vorbewußte) Besetzung von der zu verdrängenden Triebrepräsentanz ab und verwendet sie für die Unlust-(Angst)-Entbindung. Das Problem, wie bei der Verdrängung die Angst entsteht, mag kein einfaches sein; immerhin hat man das Recht, an der Idee festzuhalten, daß das Ich die eigentliche Angststätte ist, und die frühere Auffassung zurückzuweisen, die Besetzungsenergie der verdrängten Regung werde automatisch in Angst verwandelt. Wenn ich </w:t>
      </w:r>
      <w:smartTag w:uri="urn:schemas-microsoft-com:office:smarttags" w:element="State">
        <w:smartTag w:uri="urn:schemas-microsoft-com:office:smarttags" w:element="place">
          <w:r w:rsidRPr="00CA69A1">
            <w:rPr>
              <w:rFonts w:ascii="Garamond" w:hAnsi="Garamond" w:cs="Arial"/>
              <w:color w:val="000000"/>
              <w:lang w:val="en-GB"/>
            </w:rPr>
            <w:t>mich</w:t>
          </w:r>
        </w:smartTag>
      </w:smartTag>
      <w:r w:rsidRPr="00CA69A1">
        <w:rPr>
          <w:rFonts w:ascii="Garamond" w:hAnsi="Garamond" w:cs="Arial"/>
          <w:color w:val="000000"/>
          <w:lang w:val="en-GB"/>
        </w:rPr>
        <w:t xml:space="preserve"> früher einmal so geäußert habe, so gab ich eine phänomenologische Beschreibung, nicht eine metapsychologische Darstellung.</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Aus dem Gesagten leitet sich die neue Frage ab, wie es ökonomisch möglich ist, daß ein bloßer Abziehungs- und Abfuhrvorgang wie beim Rückzug der vorbewußten Ichbesetzung Unlust oder Angst erzeugen könne, die nach unseren Voraussetzungen nur Folge gesteigerter Besetzung sein kann. Ich antworte, diese Verursachung soll nicht ökonomisch erklärt werden, die Angst wird bei der Verdrängung nicht neu erzeugt, sondern als Affektzustand nach einem vorhandenen Erinnerungsbild reproduziert. Mit der weiteren Frage nach der Herkunft dieser Angst – wie der Affekte überhaupt – verlassen wir aber den </w:t>
      </w:r>
      <w:r w:rsidRPr="00CA69A1">
        <w:rPr>
          <w:rFonts w:ascii="Garamond" w:hAnsi="Garamond" w:cs="Arial"/>
          <w:color w:val="000000"/>
          <w:lang w:val="en-GB"/>
        </w:rPr>
        <w:lastRenderedPageBreak/>
        <w:t>unbestritten psychologischen Boden und betreten das Grenzgebiet der Physiologie. Die Affektzustände sind dem Seelenleben als Niederschläge uralter traumatischer Erlebnisse einverleibt und werden in ähnlichen Situationen wie Erinnerungssymbole wachgerufen. Ich meine, ich hatte nicht unrecht, sie den spät und individuell erworbenen hysterischen Anfällen gleichzusetzen und als deren Normalvorbilder zu betrachten. Beim Menschen und ihm verwandten Geschöpfen scheint der Geburtsakt als das erste individuelle Angsterlebnis dem Ausdruck des Angstaffekts charakteristische Züge geliehen zu haben. Wir sollen aber diesen Zusammenhang nicht überschätzen und in seiner Anerkennung nicht übersehen, daß ein Affektsymbol für die Situation der Gefahr eine biologische Notwendigkeit ist und auf jeden Fall geschaffen worden wäre. Ich halte es auch für unberechtigt anzunehmen, daß bei jedem Angstausbruch etwas im Seelenleben vor sich geht, was einer Reproduktion der Geburtssituation gleichkommt. Es ist nicht einmal sicher, ob die hysterischen Anfälle, die ursprünglich solche traumatische Reproduktionen sind, diesen Charakter dauernd bewahren.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Ich habe an anderer Stelle ausgeführt, daß die meisten Verdrängungen, mit denen wir bei der therapeutischen Arbeit zu tun bekommen, Fälle von </w:t>
      </w:r>
      <w:r w:rsidRPr="00CA69A1">
        <w:rPr>
          <w:rFonts w:ascii="Garamond" w:hAnsi="Garamond" w:cs="Arial"/>
          <w:i/>
          <w:iCs/>
          <w:color w:val="000000"/>
          <w:lang w:val="en-GB"/>
        </w:rPr>
        <w:t>Nach</w:t>
      </w:r>
      <w:r w:rsidRPr="00CA69A1">
        <w:rPr>
          <w:rFonts w:ascii="Garamond" w:hAnsi="Garamond" w:cs="Arial"/>
          <w:color w:val="000000"/>
          <w:lang w:val="en-GB"/>
        </w:rPr>
        <w:t xml:space="preserve">drängen sind. Sie setzen früher erfolgte </w:t>
      </w:r>
      <w:r w:rsidRPr="00CA69A1">
        <w:rPr>
          <w:rFonts w:ascii="Garamond" w:hAnsi="Garamond" w:cs="Arial"/>
          <w:i/>
          <w:iCs/>
          <w:color w:val="000000"/>
          <w:lang w:val="en-GB"/>
        </w:rPr>
        <w:t>Urverdrängungen</w:t>
      </w:r>
      <w:r w:rsidRPr="00CA69A1">
        <w:rPr>
          <w:rFonts w:ascii="Garamond" w:hAnsi="Garamond" w:cs="Arial"/>
          <w:color w:val="000000"/>
          <w:lang w:val="en-GB"/>
        </w:rPr>
        <w:t xml:space="preserve"> voraus, die auf die neuere Situation ihren anziehenden Einfluß ausüben. Von diesen Hintergründen und Vorstufen der Verdrängung ist noch viel zu wenig bekannt. Man kommt leicht in Gefahr, die Rolle des Über-Ichs bei der Verdrängung zu überschätzen. Man kann es derzeit nicht beurteilen, ob etwa das Auftreten des Über-Ichs die Abgrenzung zwischen Urverdrängung und Nachdrängen schafft. Die ersten – sehr intensiven – Angstausbrüche erfolgen jedenfalls vor der Differenzierung des Über-Ichs. Es ist durchaus plausibel, daß quantitative Momente, wie die übergroße Stärke der Erregung und der Durchbruch des Reizschutzes, die nächsten Anlässe der Urverdrängungen sind.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Erwähnung des Reizschutzes mahnt uns wie ein Stichwort, daß die Verdrängungen in zwei unterschiedenen Situationen auftreten, nämlich wenn eine unliebsame Triebregung durch eine äußere Wahrnehmung wachgerufen wird und wenn sie ohne solche Provokation im Innern auftaucht. Wir werden später auf diese Verschiedenheit zurückkommen. Reizschutz gibt es aber nur gegen äußere Reize, nicht gegen innere Triebansprüche.</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Solange wir den Fluchtversuch des Ichs studieren, bleiben wir der Symptombildung ferne. Das Symptom entsteht aus der durch die Verdrängung beeinträchtigten Triebregung. Wenn das Ich durch die Inanspruchnahme des Unlustsignals seine Absicht erreicht, die Triebregung völlig zu unterdrücken, erfahren wir nichts darüber, wie das geschieht. Wir lernen nur aus den Fällen, die als mehr oder minder mißglückte Verdrängungen zu bezeichnen sind.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Dann stellt es sich im allgemeinen so dar, daß die Triebregung zwar trotz der Verdrängung einen Ersatz gefunden hat, aber einen stark verkümmerten, verschobenen, gehemmten. Er ist auch als Befriedigung nicht mehr kenntlich. Wenn er vollzogen wird, kommt keine Lustempfindung zustande, dafür hat dieser Vollzug den Charakter des Zwanges angenommen. Aber bei dieser Erniedrigung des Befriedigungsablaufes zum Symptom zeigt die Verdrängung ihre Macht noch in einem anderen Punkte. Der Ersatzvorgang wird womöglich von der Abfuhr durch die Motilität ferngehalten; auch wo dies nicht gelingt, muß er sich in der Veränderung des eigenen Körpers erschöpfen und darf nicht auf die Außenwelt übergreifen; es wird ihm verwehrt, sich in Handlung umzusetzen. Wir verstehen, bei der Verdrängung arbeitet das Ich unter dem Einfluß der äußeren Realität und schließt darum den Erfolg des Ersatzvorganges von dieser Realität ab.</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Das Ich beherrscht den Zugang zum Bewußtsein wie den Übergang zur Handlung gegen die Außenwelt; in der Verdrängung betätigt es seine Macht nach beiden Richtungen. Die Triebrepräsentanz bekommt die eine, die Triebregung selbst die andere Seite seiner Kraftäußerung zu spüren. Da ist es denn am Platze, sich zu fragen, wie diese Anerkennung der Mächtigkeit des Ichs mit der Beschreibung zusammenkommt, die wir in der Studie </w:t>
      </w:r>
      <w:r w:rsidRPr="00CA69A1">
        <w:rPr>
          <w:rFonts w:ascii="Garamond" w:hAnsi="Garamond" w:cs="Arial"/>
          <w:i/>
          <w:iCs/>
          <w:color w:val="000000"/>
          <w:lang w:val="en-GB"/>
        </w:rPr>
        <w:t>Das Ich und das Es</w:t>
      </w:r>
      <w:r w:rsidRPr="00CA69A1">
        <w:rPr>
          <w:rFonts w:ascii="Garamond" w:hAnsi="Garamond" w:cs="Arial"/>
          <w:color w:val="000000"/>
          <w:lang w:val="en-GB"/>
        </w:rPr>
        <w:t xml:space="preserve"> von der Stellung desselben Ichs entworfen haben. Wir haben dort die Abhängigkeit des Ichs vom Es wie vom Über-Ich geschildert, seine Ohnmacht und Angstbereitschaft gegen beide, seine mühsam aufrechterhaltene Überheblichkeit entlarvt. Dieses Urteil hat seither einen starken Widerhall in der psychoanalytischen Literatur gefunden. Zahlreiche Stimmen betonen eindringlich die Schwäche des Ichs gegen das Es, des Rationellen gegen das Dämonische in uns, und schicken sich an, diesen Satz zu einem Grundpfeiler einer psychoanalytischen »Weltanschauung« zu machen. Sollte nicht die Einsicht in die Wirkungsweise der Verdrängung gerade den Analytiker von so extremer Parteinahme zurückhalten?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lastRenderedPageBreak/>
        <w:t>Ich bin überhaupt nicht für die Fabrikation von Weltanschauungen. Die überlasse man den Philosophen, die eingestandenermaßen die Lebensreise ohne einen solchen Baedeker, der über alles Auskunft gibt, nicht ausführbar finden. Nehmen wir demütig die Verachtung auf uns, mit der die Philosophen vom Standpunkt ihrer höheren Bedürftigkeit auf uns herabschauen. Da auch wir unseren narzißtischen Stolz nicht verleugnen können, wollen wir unseren Trost in der Erwägung suchen, daß alle diese »Lebensführer« rasch veralten, daß es gerade unsere kurzsichtig beschränkte Kleinarbeit ist, welche deren Neuauflagen notwendig macht, und daß selbst die modernsten dieser Baedeker Versuche sind, den alten, so bequemen und so vollständigen Katechismus zu ersetzen. Wir wissen genau, wie wenig Licht die Wissenschaft bisher über die Rätsel dieser Welt verbreiten konnte; alles Poltern der Philosophen kann daran nichts ändern, nur geduldige Fortsetzung der Arbeit, die alles der einen Forderung nach Gewißheit unterordnet, kann langsam Wandel schaffen. Wenn der Wanderer in der Dunkelheit singt, verleugnet er seine Ängstlichkeit, aber er sieht darum um nichts heller.</w:t>
      </w:r>
    </w:p>
    <w:p w:rsidR="00090F57" w:rsidRDefault="00090F57">
      <w:pPr>
        <w:rPr>
          <w:rFonts w:ascii="Garamond" w:hAnsi="Garamond" w:cs="Arial"/>
          <w:b/>
          <w:bCs/>
          <w:color w:val="000000"/>
          <w:lang w:val="en-GB"/>
        </w:rPr>
      </w:pPr>
      <w:r>
        <w:rPr>
          <w:rFonts w:ascii="Garamond" w:hAnsi="Garamond" w:cs="Arial"/>
          <w:b/>
          <w:bCs/>
          <w:color w:val="000000"/>
          <w:lang w:val="en-GB"/>
        </w:rPr>
        <w:br w:type="page"/>
      </w:r>
    </w:p>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hyperlink w:anchor="Angst_INHALT" w:history="1">
        <w:r w:rsidR="00AD6ACB" w:rsidRPr="00090F57">
          <w:rPr>
            <w:rStyle w:val="Lienhypertexte"/>
            <w:rFonts w:ascii="Garamond" w:hAnsi="Garamond" w:cs="Arial"/>
            <w:b/>
            <w:bCs/>
            <w:lang w:val="en-GB"/>
          </w:rPr>
          <w:t>II</w:t>
        </w:r>
        <w:bookmarkStart w:id="120" w:name="Angst_3"/>
        <w:bookmarkEnd w:id="120"/>
        <w:r w:rsidR="00AD6ACB" w:rsidRPr="00090F57">
          <w:rPr>
            <w:rStyle w:val="Lienhypertexte"/>
            <w:rFonts w:ascii="Garamond" w:hAnsi="Garamond" w:cs="Arial"/>
            <w:b/>
            <w:bCs/>
            <w:lang w:val="en-GB"/>
          </w:rPr>
          <w:t>I</w:t>
        </w:r>
      </w:hyperlink>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Um zum Problem des Ichs zurückzukehren: Der Anschein des Widerspruchs kommt daher, daß wir Abstraktionen zu starr nehmen und aus einem komplizierten Sachverhalt bald die eine, bald die andere Seite allein herausgreifen. Die Scheidung des Ichs vom Es scheint gerechtfertigt, sie wird uns durch bestimmte Verhältnisse aufgedrängt. Aber anderseits ist das Ich mit dem Es identisch, nur ein besonders differenzierter Anteil desselben. Stellen wir dieses Stück in Gedanken dem Ganzen gegenüber oder hat sich ein wirklicher Zwiespalt zwischen den beiden ergeben, so wird uns die Schwäche dieses Ichs offenbar. Bleibt das Ich aber mit dem Es verbunden, von ihm nicht unterscheidbar, so zeigt sich seine Stärke. Ähnlich ist das Verhältnis des Ichs zum Über-Ich; für viele Situationen fließen uns die beiden zusammen, meistens können wir sie nur unterscheiden, wenn sich eine Spannung, ein Konflikt zwischen ihnen hergestellt hat. Für den Fall der Verdrängung wird die Tatsache entscheidend, daß das Ich eine Organisation ist, das Es aber keine; das Ich ist eben der organisierte Anteil des Es. Es wäre ganz ungerechtfertigt, wenn man sich vorstellte, Ich und Es seien wie zwei verschiedene Heerlager; durch die Verdrängung suche das Ich ein Stück des Es zu unterdrücken, nun komme das übrige Es dem Angegriffenen zu Hilfe und messe seine Stärke mit der des Ichs. Das mag oft zustande kommen, aber es ist gewiß nicht die Eingangssituation der Verdrängung; in der Regel bleibt die zu verdrängende Triebregung isoliert. Hat der Akt der Verdrängung uns die Stärke des Ichs gezeigt, so legt er doch in einem auch Zeugnis ab für dessen Ohnmacht und für die Unbeeinflußbarkeit der einzelnen Triebregung des Es. Denn der Vorgang, der durch die Verdrängung zum Symptom geworden ist, behauptet nun seine Existenz außerhalb der Ichorganisation und unabhängig von ihr. Und nicht er allein, auch alle seine Abkömmlinge genießen dasselbe Vorrecht, man möchte sagen: der Exterritorialität, und wo sie mit Anteilen der Ichorganisation assoziativ zusammentreffen, wird es fraglich, ob sie diese nicht zu sich herüberziehen und sich mit diesem Gewinn auf Kosten des Ichs ausbreiten werden. Ein uns längst vertrauter Vergleich betrachtet das Symptom als einen Fremdkörper, der unaufhörlich Reiz- und Reaktionserscheinungen in dem Gewebe unterhält, in das er sich eingebettet hat. Es kommt zwar vor, daß der Abwehrkampf gegen die unliebsame Triebregung durch die Symptombildung abgeschlossen wird; soweit wir sehen, ist dies am ehesten bei der hysterischen Konversion möglich, aber in der Regel ist der Verlauf ein anderer; nach dem ersten Akt der Verdrängung folgt ein langwieriges oder nie zu beendendes Nachspiel, der Kampf gegen die Triebregung findet seine Fortsetzung in dem Kampf gegen das Symptom.</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Dieser sekundäre Abwehrkampf zeigt uns zwei Gesichter – mit widersprechendem Ausdruck. Einerseits wird das Ich durch seine Natur genötigt, etwas zu unternehmen, was wir als Herstellungs- oder Versöhnungsversuch beurteilen müssen. Das Ich ist eine Organisation, es beruht auf dem freien Verkehr und der Möglichkeit gegenseitiger Beeinflussung unter all seinen Bestandteilen, seine desexualisierte Energie bekundet ihre Herkunft noch in dem Streben nach Bindung und Vereinheitlichung, und dieser Zwang zur Synthese nimmt immer mehr zu, je kräftiger sich das Ich entwickelt. So wird es verständlich, daß das Ich auch versucht, die Fremdheit und Isolierung des Symptoms aufzuheben, indem es alle Möglichkeiten ausnützt, es irgendwie an sich zu binden und durch solche Bande seiner Organisation einzuverleiben. Wir wissen, daß ein solches Bestreben bereits den Akt der Symptombildung beeinflußt. Ein klassisches Beispiel dafür sind jene hysterischen Symptome, die uns als Kompromiß zwischen Befriedigungs- und Strafbedürfnis durchsichtig geworden sind. Als Erfüllungen einer Forderung des Über-Ichs haben solche Symptome von vornherein Anteil am Ich, während sie anderseits Positionen des Verdrängten und Einbruchsstellen desselben in die Ichorganisation bedeuten; sie sind sozusagen Grenzstationen mit gemischter Besetzung. </w:t>
      </w:r>
      <w:smartTag w:uri="urn:schemas-microsoft-com:office:smarttags" w:element="place">
        <w:r w:rsidRPr="00CA69A1">
          <w:rPr>
            <w:rFonts w:ascii="Garamond" w:hAnsi="Garamond" w:cs="Arial"/>
            <w:color w:val="000000"/>
            <w:lang w:val="en-GB"/>
          </w:rPr>
          <w:t>Ob</w:t>
        </w:r>
      </w:smartTag>
      <w:r w:rsidRPr="00CA69A1">
        <w:rPr>
          <w:rFonts w:ascii="Garamond" w:hAnsi="Garamond" w:cs="Arial"/>
          <w:color w:val="000000"/>
          <w:lang w:val="en-GB"/>
        </w:rPr>
        <w:t xml:space="preserve"> alle primären hysterischen Symptome so gebaut sind, verdiente eine sorgfältige Untersuchung. Im weiteren Verlaufe benimmt sich das Ich so, als ob es von der Erwägung geleitet würde: das Symptom ist einmal da und kann nicht beseitigt werden; nun heißt es, sich mit dieser Situation befreunden und den größtmöglichen Vorteil aus ihr ziehen. Es findet eine Anpassung an das ichfremde Stück der Innenwelt statt, das durch das Symptom repräsentiert wird, wie sie das Ich sonst normalerweise gegen die reale Außenwelt zustande bringt. An Anlässen hiezu fehlt es nie. Die Existenz des Symptoms mag eine gewisse Behinderung der Leistung mit sich bringen, mit der man eine Anforderung des Über-Ichs beschwichtigen oder einen Anspruch der Außenwelt zurückweisen kann. So wird das Symptom allmählich mit der Vertretung wichtiger Interessen betraut, es erhält einen Wert für die Selbstbehauptung, verwächst immer inniger mit dem Ich, wird ihm immer unentbehrlicher. Nur in ganz seltenen Fällen kann der Prozeß der Einheilung eines Fremdkörpers etwas ähnliches wiederholen. Man kann die Bedeutung dieser sekundären Anpassung an das Symptom auch übertreiben, indem man aussagt, das Ich habe sich das Symptom überhaupt nur angeschafft, um dessen Vorteile zu genießen. Das ist dann </w:t>
      </w:r>
      <w:r w:rsidRPr="00CA69A1">
        <w:rPr>
          <w:rFonts w:ascii="Garamond" w:hAnsi="Garamond" w:cs="Arial"/>
          <w:color w:val="000000"/>
          <w:lang w:val="en-GB"/>
        </w:rPr>
        <w:lastRenderedPageBreak/>
        <w:t>so richtig oder so falsch, wie wenn man die Ansicht vertritt, der Kriegsverletzte habe sich das Bein nur abschießen lassen, um dann arbeitsfrei von seiner Invalidenrente zu leben.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Andere Symptomgestaltungen, die der Zwangsneurose und der Paranoia, bekommen einen hohen Wert für das Ich, nicht weil sie ihm Vorteile, sondern weil sie ihm eine sonst entbehrte narzißtische Befriedigung bringen. Die Systembildungen der Zwangsneurotiker schmeicheln ihrer Eigenliebe durch die Vorspiegelung, sie seien als besonders reinliche oder gewissenhafte Menschen besser als andere; die Wahnbildungen der Paranoia eröffnen dem Scharfsinn und der Phantasie dieser Kranken ein Feld zur Betätigung, das ihnen nicht leicht ersetzt werden kann. Aus all den erwähnten Beziehungen resultiert, was uns als der (sekundäre) </w:t>
      </w:r>
      <w:r w:rsidRPr="00CA69A1">
        <w:rPr>
          <w:rFonts w:ascii="Garamond" w:hAnsi="Garamond" w:cs="Arial"/>
          <w:i/>
          <w:iCs/>
          <w:color w:val="000000"/>
          <w:lang w:val="en-GB"/>
        </w:rPr>
        <w:t>Krankheitsgewinn</w:t>
      </w:r>
      <w:r w:rsidRPr="00CA69A1">
        <w:rPr>
          <w:rFonts w:ascii="Garamond" w:hAnsi="Garamond" w:cs="Arial"/>
          <w:color w:val="000000"/>
          <w:lang w:val="en-GB"/>
        </w:rPr>
        <w:t xml:space="preserve"> der Neurose bekannt ist. Er kommt dem Bestreben des Ichs, sich das Symptom einzuverleiben, zu Hilfe und verstärkt die Fixierung des letzteren. Wenn wir dann den Versuch machen, dem Ich in seinem Kampf gegen das Symptom analytischen Beistand zu leisten, finden wir diese versöhnlichen Bindungen zwischen Ich und Symptom auf der Seite der Widerstände wirksam. Es wird uns nicht leicht gemacht, sie zu lösen. Die beiden Verfahren, die das Ich gegen das Symptom anwendet, stehen wirklich in Widerspruch zueinander.</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Das andere Verfahren hat weniger freundlichen Charakter, es setzt die Richtung der Verdrängung fort. Aber es scheint, daß wir das Ich nicht mit dem Vorwurf der Inkonsequenz belasten dürfen. Das Ich ist friedfertig und möchte sich das Symptom einverleiben, es in sein Ensemble aufnehmen. Die Störung geht vom Symptom aus, das als richtiger Ersatz und Abkömmling der verdrängten Regung deren Rolle weiterspielt, deren Befriedigungsanspruch immer wieder erneuert und so das Ich nötigt, wiederum das Unlustsignal zu geben und sich zur Wehre zu setzen.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Der sekundäre Abwehrkampf gegen das Symptom ist vielgestaltig, spielt sich auf verschiedenen Schauplätzen ab und bedient sich mannigfaltiger Mittel. Wir werden nicht viel über ihn aussagen können, wenn wir nicht die einzelnen Fälle der Symptombildung zum Gegenstand der Untersuchung nehmen. Dabei werden wir Anlaß finden, auf das Problem der Angst einzugehen, das wir längst wie im Hintergrunde lauernd verspüren. Es empfiehlt sich, von den Symptomen, welche die hysterische Neurose schafft, auszugehen; auf die Voraussetzungen der Symptombildung bei der Zwangsneurose, Paranoia und anderen Neurosen sind wir noch nicht vorbereitet.</w:t>
      </w:r>
    </w:p>
    <w:p w:rsidR="00090F57" w:rsidRDefault="00090F57">
      <w:pPr>
        <w:rPr>
          <w:rFonts w:ascii="Garamond" w:hAnsi="Garamond" w:cs="Arial"/>
          <w:b/>
          <w:bCs/>
          <w:color w:val="000000"/>
          <w:lang w:val="en-GB"/>
        </w:rPr>
      </w:pPr>
      <w:r>
        <w:rPr>
          <w:rFonts w:ascii="Garamond" w:hAnsi="Garamond" w:cs="Arial"/>
          <w:b/>
          <w:bCs/>
          <w:color w:val="000000"/>
          <w:lang w:val="en-GB"/>
        </w:rPr>
        <w:br w:type="page"/>
      </w:r>
    </w:p>
    <w:bookmarkStart w:id="121" w:name="Angst_4"/>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r>
        <w:rPr>
          <w:rFonts w:ascii="Garamond" w:hAnsi="Garamond" w:cs="Arial"/>
          <w:b/>
          <w:bCs/>
          <w:color w:val="000000"/>
          <w:lang w:val="en-GB"/>
        </w:rPr>
        <w:lastRenderedPageBreak/>
        <w:fldChar w:fldCharType="begin"/>
      </w:r>
      <w:r w:rsidR="00090F57">
        <w:rPr>
          <w:rFonts w:ascii="Garamond" w:hAnsi="Garamond" w:cs="Arial"/>
          <w:b/>
          <w:bCs/>
          <w:color w:val="000000"/>
          <w:lang w:val="en-GB"/>
        </w:rPr>
        <w:instrText xml:space="preserve"> HYPERLINK  \l "Angst_INHALT" </w:instrText>
      </w:r>
      <w:r>
        <w:rPr>
          <w:rFonts w:ascii="Garamond" w:hAnsi="Garamond" w:cs="Arial"/>
          <w:b/>
          <w:bCs/>
          <w:color w:val="000000"/>
          <w:lang w:val="en-GB"/>
        </w:rPr>
        <w:fldChar w:fldCharType="separate"/>
      </w:r>
      <w:r w:rsidR="00AD6ACB" w:rsidRPr="00090F57">
        <w:rPr>
          <w:rStyle w:val="Lienhypertexte"/>
          <w:rFonts w:ascii="Garamond" w:hAnsi="Garamond" w:cs="Arial"/>
          <w:b/>
          <w:bCs/>
          <w:lang w:val="en-GB"/>
        </w:rPr>
        <w:t>IV</w:t>
      </w:r>
      <w:bookmarkEnd w:id="121"/>
      <w:r>
        <w:rPr>
          <w:rFonts w:ascii="Garamond" w:hAnsi="Garamond" w:cs="Arial"/>
          <w:b/>
          <w:bCs/>
          <w:color w:val="000000"/>
          <w:lang w:val="en-GB"/>
        </w:rPr>
        <w:fldChar w:fldCharType="end"/>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Der erste Fall, den wir betrachten, sei der einer infantilen hysterischen Tierphobie, also z. B. der gewiß in allen Hauptzügen typische Fall der Pferdephobie des »kleinen Hans« </w:t>
      </w:r>
      <w:hyperlink r:id="rId433" w:anchor="#" w:history="1">
        <w:r w:rsidRPr="00CA69A1">
          <w:rPr>
            <w:rStyle w:val="fusslink"/>
            <w:rFonts w:ascii="Garamond" w:hAnsi="Garamond" w:cs="Arial"/>
            <w:b/>
            <w:bCs/>
            <w:color w:val="003399"/>
            <w:lang w:val="en-GB"/>
          </w:rPr>
          <w:t>[Fußnote]</w:t>
        </w:r>
        <w:r w:rsidRPr="00CA69A1">
          <w:rPr>
            <w:rStyle w:val="innerfusslink3"/>
            <w:rFonts w:ascii="Garamond" w:hAnsi="Garamond" w:cs="Arial"/>
            <w:b/>
            <w:bCs/>
            <w:lang w:val="en-GB"/>
          </w:rPr>
          <w:t>Siehe ›Analyse der Phobie eines fünfjährigen Knaben‹.</w:t>
        </w:r>
      </w:hyperlink>
      <w:r w:rsidRPr="00CA69A1">
        <w:rPr>
          <w:rFonts w:ascii="Garamond" w:hAnsi="Garamond" w:cs="Arial"/>
          <w:color w:val="000000"/>
          <w:lang w:val="en-GB"/>
        </w:rPr>
        <w:t>. Schon der erste Blick läßt uns erkennen, daß die Verhältnisse eines realen Falles von neurotischer Erkrankung weit komplizierter sind, als unsere Erwartung, solange wir mit Abstraktionen arbeiten, sich vorstellt. Es gehört einige Arbeit dazu, sich zu orientieren, welches die verdrängte Regung, was ihr Symptomersatz ist, wo das Motiv der Verdrängung kenntlich wird.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Der kleine Hans weigert sich, auf die Straße zu gehen, weil er Angst vor dem Pferd hat. Dies ist der Rohstoff. Was ist nun daran das Symptom: die Angstentwicklung, die Wahl des Angstobjekts oder der Verzicht auf die freie Beweglichkeit oder mehreres davon zugleich? Wo ist die Befriedigung, die er sich versagt? Warum muß er sich diese versagen?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Es liegt nahe zu antworten, an dem Falle sei nicht so viel rätselhaft. Die unverständliche Angst vor dem Pferd ist das Symptom, die Unfähigkeit, auf die Straße zu gehen, ist eine Hemmungserscheinung, eine Einschränkung, die sich das Ich auferlegt, um nicht das Angstsymptom zu wecken. Man sieht ohneweiters die Richtigkeit der Erklärung des letzten Punktes ein und wird nun diese Hemmung bei der weiteren Diskussion außer Betracht lassen. Aber die erste flüchtige Bekanntschaft mit dem Falle lehrt uns nicht einmal den wirklichen Ausdruck des vermeintlichen Symptoms kennen. Es handelt sich, wie wir bei genauerem Verhör erfahren, gar nicht um eine unbestimmte Angst vor dem Pferd, sondern um die bestimmte ängstliche Erwartung: das Pferd werde ihn beißen. Allerdings sucht sich dieser Inhalt dem Bewußtsein zu entziehen und sich durch die unbestimmte Phobie, in der nur noch die Angst und ihr Objekt vorkommen, zu ersetzen. Ist nun etwa dieser Inhalt der Kern des Symptoms?</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Wir kommen keinen Schritt weiter, solange wir nicht die ganze psychische Situation des Kleinen in Betracht ziehen, wie sie uns während der analytischen Arbeit enthüllt wird. Er befindet sich in der eifersüchtigen und feindseligen Ödipus-Einstellung zu seinem Vater, den er doch, soweit die Mutter nicht als Ursache der Entzweiung in Betracht kommt, herzlich liebt. Also ein Ambivalenzkonflikt, gut begründete Liebe und nicht minder berechtigter Haß, beide auf dieselbe Person gerichtet. </w:t>
      </w:r>
      <w:r w:rsidRPr="00CA69A1">
        <w:rPr>
          <w:rFonts w:ascii="Garamond" w:hAnsi="Garamond" w:cs="Arial"/>
          <w:color w:val="000000"/>
        </w:rPr>
        <w:t xml:space="preserve">Seine Phobie muß ein Versuch zur Lösung dieses Konflikts sein. </w:t>
      </w:r>
      <w:r w:rsidRPr="00CA69A1">
        <w:rPr>
          <w:rFonts w:ascii="Garamond" w:hAnsi="Garamond" w:cs="Arial"/>
          <w:color w:val="000000"/>
          <w:lang w:val="en-GB"/>
        </w:rPr>
        <w:t xml:space="preserve">Solche Ambivalenzkonflikte sind sehr häufig, wir kennen einen anderen typischen Ausgang derselben. Bei diesem wird die eine der beiden miteinander ringenden Regungen, in der Regel die zärtliche, enorm verstärkt, die andere verschwindet. Nur das Übermaß und das Zwangsmäßige der Zärtlichkeit verrät uns, daß diese Einstellung nicht die einzig vorhandene ist, daß sie ständig auf der Hut ist, ihr Gegenteil in Unterdrückung zu halten, und läßt uns einen Hergang konstruieren, den wir als Verdrängung durch </w:t>
      </w:r>
      <w:r w:rsidRPr="00CA69A1">
        <w:rPr>
          <w:rFonts w:ascii="Garamond" w:hAnsi="Garamond" w:cs="Arial"/>
          <w:i/>
          <w:iCs/>
          <w:color w:val="000000"/>
          <w:lang w:val="en-GB"/>
        </w:rPr>
        <w:t>Reaktionsbildung</w:t>
      </w:r>
      <w:r w:rsidRPr="00CA69A1">
        <w:rPr>
          <w:rFonts w:ascii="Garamond" w:hAnsi="Garamond" w:cs="Arial"/>
          <w:color w:val="000000"/>
          <w:lang w:val="en-GB"/>
        </w:rPr>
        <w:t xml:space="preserve"> (im Ich) beschreiben. Fälle wie der kleine Hans zeigen nichts von solcher Reaktionsbildung; es gibt offenbar verschiedene Wege, die aus einem Ambivalenzkonflikt herausführen.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Etwas anderes haben wir unterdes mit Sicherheit erkannt. Die Triebregung, die der Verdrängung unterliegt, ist ein feindseliger Impuls gegen den Vater. </w:t>
      </w:r>
      <w:r w:rsidRPr="00AD6ACB">
        <w:rPr>
          <w:rFonts w:ascii="Garamond" w:hAnsi="Garamond" w:cs="Arial"/>
          <w:color w:val="000000"/>
        </w:rPr>
        <w:t xml:space="preserve">Die Analyse lieferte uns den Beweis hiefür, während sie der Herkunft der Idee des beißenden Pferdes nachspürte. </w:t>
      </w:r>
      <w:r w:rsidRPr="00CA69A1">
        <w:rPr>
          <w:rFonts w:ascii="Garamond" w:hAnsi="Garamond" w:cs="Arial"/>
          <w:color w:val="000000"/>
          <w:lang w:val="en-GB"/>
        </w:rPr>
        <w:t>Hans hat ein Pferd fallen gesehen, einen Spielkameraden fallen und sich verletzen, mit dem er »Pferdl« gespielt hatte. Sie hat uns das Recht gegeben, bei Hans eine Wunschregung zu konstruieren, die gelautet hat, der Vater möge hinfallen, sich beschädigen wie das Pferd und der Kamerad. Beziehungen zu einer beobachteten Abreise lassen vermuten, daß der Wunsch nach der Beseitigung des Vaters auch minder zaghaften Ausdruck gefunden hat. Ein solcher Wunsch ist aber gleichwertig mit der Absicht, ihn selbst zu beseitigen, mit der mörderischen Regung des Ödipus-Komplexes.</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Von dieser verdrängten Triebregung führt bis jetzt kein Weg zu dem Ersatz für sie, den wir in der Pferdephobie vermuten. Vereinfachen wir nun die psychische Situation des kleinen Hans, indem wir das infantile Moment und die Ambivalenz wegräumen; er sei etwa ein jüngerer Diener in einem Haushalt, der in die Herrin verliebt ist und sich gewisser Gunstbezeugungen von ihrer Seite erfreue. Erhalten bleibt, daß er den stärkeren Hausherrn haßt und ihn beseitigt wissen möchte; dann ist es die natürlichste Folge dieser Situation, daß er die Rache dieses Herrn fürchtet, daß sich bei ihm ein Zustand von Angst vor diesem einstellt – ganz ähnlich wie die Phobie des kleinen Hans vor dem Pferd. Das heißt, wir können die Angst dieser Phobie nicht als Symptom bezeichnen; wenn der kleine Hans, der in seine Mutter verliebt ist, Angst vor dem Vater zeigen würde, hätten wir kein Recht, ihm eine Neurose, eine Phobie, zuzuschreiben. Wir hätten eine durchaus begreifliche affektive Reaktion vor uns. Was diese zur Neurose macht, ist einzig und </w:t>
      </w:r>
      <w:r w:rsidRPr="00CA69A1">
        <w:rPr>
          <w:rFonts w:ascii="Garamond" w:hAnsi="Garamond" w:cs="Arial"/>
          <w:color w:val="000000"/>
          <w:lang w:val="en-GB"/>
        </w:rPr>
        <w:lastRenderedPageBreak/>
        <w:t>allein ein anderer Zug, die Ersetzung des Vaters durch das Pferd. Diese Verschiebung stellt also das her, was auf den Namen eines Symptoms Anspruch hat. Sie ist jener andere Mechanismus, der die Erledigung des Ambivalenzkonflikts ohne die Hilfe der Reaktionsbildung gestattet. Ermöglicht oder erleichtert wird sie durch den Umstand, daß die mitgeborenen Spuren totemistischer Denkweise in diesem zarten Alter noch leicht zu beleben sind. Die Kluft zwischen Mensch und Tier ist noch nicht anerkannt, gewiß nicht so überbetont wie später. Der erwachsene, bewunderte, aber auch gefürchtete Mann steht noch in einer Reihe mit dem großen Tier, das man um so vielerlei beneidet, vor dem man aber auch gewarnt worden ist, weil es gefährlich werden kann. Der Ambivalenzkonflikt wird also nicht an derselben Person erledigt, sondern gleichsam umgangen, indem man einer seiner Regungen eine andere Person als Ersatzobjekt unterschiebt.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Soweit sehen wir ja klar, aber in einem anderen Punkte hat uns die Analyse der Phobie des kleinen Hans eine volle Enttäuschung gebracht. Die Entstellung, in der die Symptombildung besteht, wird gar nicht an der Repräsentanz (dem Vorstellungsinhalt) der zu verdrängenden Triebregung vorgenommen, sondern an einer davon ganz verschiedenen, die nur einer Reaktion auf das eigentlich Unliebsame entspricht. Unsere Erwartung fände eher Befriedigung, wenn der kleine Hans an Stelle seiner Angst vor dem Pferd eine Neigung entwickelt hätte, Pferde zu mißhandeln, sie zu schlagen, oder deutlich seinen Wunsch kundgegeben hätte zu sehen, wie sie hinfallen, zu Schaden kommen, eventuell unter Zuckungen verenden (das Krawallmachen mit den Beinen). Etwas der Art tritt auch wirklich während seiner Analyse auf, aber es steht lange nicht voran in der Neurose, und – sonderbar – wenn er wirklich solche Feindseligkeit, nur gegen das Pferd anstatt gegen den Vater gerichtet, als Hauptsymptom entwickelt hätte, würden wir gar nicht geurteilt haben, er befinde sich in einer Neurose. Etwas ist also da nicht in Ordnung, entweder an unserer Auffassung der Verdrängung oder in unserer Definition eines Symptoms. Eines fällt uns natürlich sofort auf: Wenn der kleine Hans wirklich ein solches Verhalten gegen Pferde gezeigt hätte, so wäre ja der Charakter der anstößigen, aggressiven Triebregung durch die Verdrängung gar nicht verändert, nur deren Objekt gewandelt worden.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rPr>
        <w:t xml:space="preserve">Es ist ganz sicher, daß es Fälle von Verdrängung gibt, die nicht mehr leisten als dies; bei der Genese der Phobie des kleinen Hans ist aber mehr geschehen. </w:t>
      </w:r>
      <w:r w:rsidRPr="00CA69A1">
        <w:rPr>
          <w:rFonts w:ascii="Garamond" w:hAnsi="Garamond" w:cs="Arial"/>
          <w:color w:val="000000"/>
          <w:lang w:val="en-GB"/>
        </w:rPr>
        <w:t>Um wieviel mehr, erraten wir aus einem anderen Stück Analyse.</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Wir haben bereits gehört, daß der kleine Hans als den Inhalt seiner Phobie die Vorstellung angab, vom Pferd gebissen zu werden. Nun haben wir später Einblick in die Genese eines anderen Falles von Tierphobie bekommen, in der der Wolf das Angsttier war, aber gleichfalls die Bedeutung eines Vaterersatzes hatte </w:t>
      </w:r>
      <w:hyperlink r:id="rId434" w:anchor="#" w:history="1">
        <w:r w:rsidRPr="00CA69A1">
          <w:rPr>
            <w:rStyle w:val="fusslink"/>
            <w:rFonts w:ascii="Garamond" w:hAnsi="Garamond" w:cs="Arial"/>
            <w:b/>
            <w:bCs/>
            <w:color w:val="003399"/>
            <w:lang w:val="en-GB"/>
          </w:rPr>
          <w:t>[Fußnote]</w:t>
        </w:r>
        <w:r w:rsidRPr="00CA69A1">
          <w:rPr>
            <w:rStyle w:val="innerfusslink3"/>
            <w:rFonts w:ascii="Garamond" w:hAnsi="Garamond" w:cs="Arial"/>
            <w:b/>
            <w:bCs/>
            <w:lang w:val="en-GB"/>
          </w:rPr>
          <w:t>›Aus der Geschichte einer infantilen Neurose‹.</w:t>
        </w:r>
      </w:hyperlink>
      <w:r w:rsidRPr="00CA69A1">
        <w:rPr>
          <w:rFonts w:ascii="Garamond" w:hAnsi="Garamond" w:cs="Arial"/>
          <w:color w:val="000000"/>
          <w:lang w:val="en-GB"/>
        </w:rPr>
        <w:t xml:space="preserve">. Im Anschluß an einen Traum, den die Analyse durchsichtig machen konnte, entwickelte sich bei diesem Knaben die Angst, vom Wolf gefressen zu werden wie eines der sieben Geißlein im Märchen. Daß der Vater des kleinen Hans nachweisbar »Pferdl« mit ihm gespielt hatte, war gewiß bestimmend für die Wahl des Angsttieres geworden; ebenso ließ sich wenigstens sehr wahrscheinlich machen, daß der Vater meines erst im dritten Jahrzehnt analysierten Russen in den Spielen mit dem Kleinen den Wolf gemimt und scherzend mit dem Auffressen gedroht hatte. Seither habe ich als dritten Fall einen jungen Amerikaner gefunden, bei dem sich zwar keine Tierphobie ausbildete, der aber gerade durch diesen Ausfall die anderen Fälle verstehen hilft. Seine sexuelle Erregung hatte sich an einer phantastischen Kindergeschichte entzündet, die man ihm vorlas, von einem arabischen Häuptling, der einer aus eßbarer Substanz bestehenden Person (dem </w:t>
      </w:r>
      <w:r w:rsidRPr="00CA69A1">
        <w:rPr>
          <w:rFonts w:ascii="Garamond" w:hAnsi="Garamond" w:cs="Arial"/>
          <w:i/>
          <w:iCs/>
          <w:color w:val="000000"/>
          <w:lang w:val="en-GB"/>
        </w:rPr>
        <w:t>Gingerbreadman</w:t>
      </w:r>
      <w:r w:rsidRPr="00CA69A1">
        <w:rPr>
          <w:rFonts w:ascii="Garamond" w:hAnsi="Garamond" w:cs="Arial"/>
          <w:color w:val="000000"/>
          <w:lang w:val="en-GB"/>
        </w:rPr>
        <w:t>) nachjagt, um ihn zu verzehren. Mit diesem eßbaren Menschen identifizierte er sich selbst, der Häuptling war als Vaterersatz leicht kenntlich, und diese Phantasie wurde die erste Unterlage seiner autoerotischen Betätigung. Die Vorstellung, vom Vater gefressen zu werden, ist aber typisches uraltes Kindergut; die Analogien aus der Mythologie (Kronos) und dem Tierleben sind allgemein bekannt.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Trotz solcher Erleichterungen ist dieser Vorstellungsinhalt uns so fremdartig, daß wir ihn dem Kinde nur ungläubig zugestehen können. Wir wissen auch nicht, ob er wirklich das bedeutet, was er auszusagen scheint, und verstehen nicht, wie er Gegenstand einer Phobie werden kann. Die analytische Erfahrung gibt uns allerdings die erforderlichen Auskünfte. Sie lehrt uns, daß die Vorstellung, vom Vater gefressen zu werden, der regressiv erniedrigte Ausdruck für eine passive zärtliche Regung ist, die vom Vater als Objekt im Sinne der Genitalerotik geliebt zu werden begehrt. Die Verfolgung der Geschichte des Falles läßt keinen Zweifel an der Richtigkeit dieser Deutung aufkommen. Die genitale Regung verrät freilich nichts mehr von ihrer zärtlichen Absicht, wenn sie in der Sprache der überwundenen Übergangsphase von der oralen zur sadistischen Libidoorganisation ausgedrückt wird. Handelt es sich übrigens nur um eine </w:t>
      </w:r>
      <w:r w:rsidRPr="00CA69A1">
        <w:rPr>
          <w:rFonts w:ascii="Garamond" w:hAnsi="Garamond" w:cs="Arial"/>
          <w:color w:val="000000"/>
          <w:lang w:val="en-GB"/>
        </w:rPr>
        <w:lastRenderedPageBreak/>
        <w:t>Ersetzung der Repräsentanz durch einen regressiven Ausdruck oder um eine wirkliche regressive Erniedrigung der genitalgerichteten Regung im Es? Das scheint gar nicht so leicht zu entscheiden. Die Krankengeschichte des russischen »Wolfsmannes« spricht ganz entschieden für die letztere ernstere Möglichkeit, denn er benimmt sich von dem entscheidenden Traum an »schlimm«, quälerisch, sadistisch und entwickelt bald darauf eine richtige Zwangsneurose. Jedenfalls gewinnen wir die Einsicht, daß die Verdrängung nicht das einzige Mittel ist, das dem Ich zur Abwehr einer unliebsamen Triebregung zu Gebote steht. Wenn es ihm gelingt, den Trieb zur Regression zu bringen, so hat es ihn im Grunde energischer beeinträchtigt, als durch die Verdrängung möglich wäre. Allerdings läßt es manchmal der zuerst erzwungenen Regression die Verdrängung folgen.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Der Sachverhalt beim Wolfsmann und der etwas einfachere beim kleinen Hans regen noch mancherlei Überlegungen an, aber zwei unerwartete Einsichten gewinnen wir schon jetzt. Kein Zweifel, die bei diesen Phobien verdrängte Triebregung ist eine feindselige gegen den Vater. Man kann sagen, sie wird verdrängt durch den Prozeß der Verwandlung ins Gegenteil; an Stelle der Aggression gegen den Vater tritt die Aggression – die Rache – des Vaters gegen die eigene Person. Da eine solche Aggression ohnedies in der sadistischen Libidophase wurzelt, bedarf sie nur noch einer gewissen Erniedrigung zur oralen Stufe, die bei Hans durch das Gebissenwerden angedeutet, beim Russen aber im Gefressenwerden grell ausgeführt ist. Aber außerdem läßt ja die Analyse über jeden Zweifel gesichert feststellen, daß gleichzeitig noch eine andere Triebregung der Verdrängung erlegen ist, die gegensinnige einer zärtlichen passiven Regung für den Vater, die bereits das Niveau der genitalen (phallischen) Libidoorganisation erreicht hatte. Die letztere scheint sogar die für das Endergebnis des Verdrängungsvorganges bedeutsamere zu sein, sie erfährt die weitergehende Regression, sie erhält den bestimmenden Einfluß auf den Inhalt der Phobie. Wo wir also nur einer Triebverdrängung nachgespürt haben, müssen wir das Zusammentreffen von zwei solchen Vorgängen anerkennen; die beiden betroffenen Triebregungen – sadistische Aggression gegen den Vater und zärtlich passive Einstellung zu ihm – bilden ein Gegensatzpaar, ja noch mehr: wenn wir die Geschichte des kleinen Hans richtig würdigen, erkennen wir, daß durch die Bildung seiner Phobie auch die zärtliche Objektbesetzung der Mutter aufgehoben worden ist, wovon der Inhalt der Phobie nichts verrät. Es handelt sich bei Hans – beim Russen ist das weit weniger deutlich – um einen Verdrängungsvorgang, der fast alle Komponenten des Ödipus-Komplexes betrifft, die feindliche wie die zärtliche Regung gegen den Vater und die zärtliche für die Mutter.</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AD6ACB">
        <w:rPr>
          <w:rFonts w:ascii="Garamond" w:hAnsi="Garamond" w:cs="Arial"/>
          <w:color w:val="000000"/>
          <w:lang w:val="en-GB"/>
        </w:rPr>
        <w:t xml:space="preserve">Das sind unerwünschte Komplikationen für uns, die wir nur einfache Fälle von Symptombildung infolge von Verdrängung studieren wollten und uns in dieser Absicht an die frühesten und anscheinend durchsichtigsten Neurosen der Kindheit gewendet hatten. </w:t>
      </w:r>
      <w:r w:rsidRPr="00AD6ACB">
        <w:rPr>
          <w:rFonts w:ascii="Garamond" w:hAnsi="Garamond" w:cs="Arial"/>
          <w:color w:val="000000"/>
          <w:lang w:val="en-US"/>
        </w:rPr>
        <w:t xml:space="preserve">Anstatt einer einzigen Verdrängung fanden wir eine Häufung von solchen vor, und überdies bekamen wir es mit der Regression zu tun. Vielleicht haben wir die Verwirrung dadurch gesteigert, daß wir die beiden verfügbaren Analysen von Tierphobien – die des kleinen Hans und des Wolfmannes – durchaus auf denselben Leisten schlagen wollten. Nun fallen uns gewisse Unterschiede der beiden auf. Nur vom kleinen Hans kann man mit Bestimmtheit aussagen, daß er durch seine Phobie die beiden Hauptregungen des Ödipus-Komplexes, die aggressive gegen den Vater und die überzärtliche gegen die Mutter, erledigt; die zärtliche für den Vater ist gewiß auch vorhanden, sie spielt ihre Rolle bei der Verdrängung ihres Gegensatzes, aber es ist weder nachweisbar, daß sie stark genug war, um eine Verdrängung zu provozieren, noch daß sie nachher aufgehoben ist. Hans scheint eben ein normaler Junge mit sogenanntem »positiven« Ödipus-Komplex gewesen zu sein. Möglich, daß die Momente, die wir vermissen, auch bei ihm mittätig waren, aber wir können sie nicht aufzeigen, das Material selbst unserer eingehendsten Analysen ist eben lückenhaft, unsere Dokumentierung unvollständig. Beim Russen ist der Defekt an anderer Stelle; seine Beziehung zum weiblichen Objekt ist durch eine frühzeitige Verführung gestört worden, die passive, feminine Seite ist bei ihm stark ausgebildet, und die Analyse seines Wolfstraumes enthüllt wenig von beabsichtigter Aggression gegen den Vater, erbringt dafür die unzweideutigsten Beweise, daß die Verdrängung die passive, zärtliche Einstellung zum Vater betrifft. Auch hier mögen die anderen Faktoren beteiligt gewesen sein, sie treten aber nicht vor. Wenn trotz dieser Unterschiede der beiden Fälle, die sich nahezu einer Gegensätzlichkeit nähern, der Enderfolg der Phobie nahezu der nämliche ist, so muß uns die Erklärung dafür von anderer Seite kommen; sie kommt von dem zweiten Ergebnis unserer kleinen vergleichenden Untersuchung. </w:t>
      </w:r>
      <w:r w:rsidRPr="00CA69A1">
        <w:rPr>
          <w:rFonts w:ascii="Garamond" w:hAnsi="Garamond" w:cs="Arial"/>
          <w:color w:val="000000"/>
          <w:lang w:val="en-GB"/>
        </w:rPr>
        <w:t xml:space="preserve">Wir glauben den Motor der Verdrängung in beiden Fällen zu kennen und sehen seine Rolle durch den Verlauf bestätigt, den die Entwicklung der zwei Kinder nimmt. Er ist in beiden Fällen der nämliche, die Angst vor einer drohenden Kastration. Aus Kastrationsangst gibt der kleine Hans die Aggression gegen den Vater auf; seine Angst, das Pferd werde ihn beißen, kann zwanglos vervollständigt werden, das Pferd werde ihm </w:t>
      </w:r>
      <w:r w:rsidRPr="00CA69A1">
        <w:rPr>
          <w:rFonts w:ascii="Garamond" w:hAnsi="Garamond" w:cs="Arial"/>
          <w:color w:val="000000"/>
          <w:lang w:val="en-GB"/>
        </w:rPr>
        <w:lastRenderedPageBreak/>
        <w:t>das Genitale abbeißen, ihn kastrieren. Aber aus Kastrationsangst verzichtet auch der kleine Russe auf den Wunsch, vom Vater als Sexualobjekt geliebt zu werden, denn er hat verstanden, eine solche Beziehung hätte zur Voraussetzung, daß er sein Genitale aufopfert, das, was ihn vom Weib unterscheidet. Beide Gestaltungen des Ödipus-Komplexes, die normale, aktive, wie die invertierte, scheitern ja am Kastrationskomplex. Die Angstidee des Russen, vom Wolf gefressen zu werden, enthält zwar keine Andeutung der Kastration, sie hat sich durch orale Regression zu weit von der phallischen Phase entfernt, aber die Analyse seines Traumes macht jeden anderen Beweis überflüssig. Es ist auch ein voller Triumph der Verdrängung, daß im Wortlaut der Phobie nichts mehr auf die Kastration hindeutet.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Hier nun das unerwartete Ergebnis: In beiden Fällen ist der Motor der Verdrängung die Kastrationsangst; die Angstinhalte, vom Pferd gebissen und vom Wolf gefressen zu werden, sind Entstellungsersatz für den Inhalt, vom Vater kastriert zu werden. Dieser Inhalt ist es eigentlich, der die Verdrängung an sich erfahren hat. Beim Russen war er Ausdruck eines Wunsches, der gegen die Auflehnung der Männlichkeit nicht bestehen konnte, bei Hans Ausdruck einer Reaktion, welche die Aggression in ihr Gegenteil umwandelte. Aber der Angstaffekt der Phobie, der ihr Wesen ausmacht, stammt nicht aus dem Verdrängungsvorgang, nicht aus den libidinösen Besetzungen der verdrängten Regungen, sondern aus dem Verdrängenden selbst; die Angst der Tierphobie ist die unverwandelte Kastrationsangst, also eine Realangst, Angst vor einer wirklich drohenden oder als real beurteilten Gefahr. Hier macht die Angst die Verdrängung, nicht, wie ich früher gemeint habe, die Verdrängung die Angst.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Es ist nicht angenehm, daran zu denken, aber es hilft nichts, es zu verleugnen, ich habe oftmals den Satz vertreten, durch die Verdrängung werde die Triebrepräsentanz entstellt, verschoben u. dgl., die Libido der Triebregung aber in Angst verwandelt. Die Untersuchung der Phobien, die vor allem berufen sein sollte, diesen Satz zu erweisen, bestätigt ihn also nicht, sie scheint ihm vielmehr direkt zu widersprechen. </w:t>
      </w:r>
      <w:r w:rsidRPr="00CA69A1">
        <w:rPr>
          <w:rFonts w:ascii="Garamond" w:hAnsi="Garamond" w:cs="Arial"/>
          <w:color w:val="000000"/>
        </w:rPr>
        <w:t xml:space="preserve">Die Angst der Tierphobien ist die Kastrationsangst des Ichs, die der weniger gründlich studierten Agoraphobie scheint Versuchungsangst zu sein, die ja genetisch mit der Kastrationsangst zusammenhängen muß. Die meisten Phobien gehen, soweit wir es heute übersehen, auf eine solche Angst des Ichs vor den Ansprüchen der Libido zurück. Immer ist dabei die Angsteinstellung des Ichs das Primäre und der Antrieb zur Verdrängung. Niemals geht die Angst aus der verdrängten Libido hervor. Wenn ich mich früher begnügt hätte zu sagen, nach der Verdrängung erscheint an Stelle der zu erwartenden Äußerung von Libido ein Maß von Angst, so hätte ich heute nichts zurückzunehmen. </w:t>
      </w:r>
      <w:r w:rsidRPr="00CA69A1">
        <w:rPr>
          <w:rFonts w:ascii="Garamond" w:hAnsi="Garamond" w:cs="Arial"/>
          <w:color w:val="000000"/>
          <w:lang w:val="en-GB"/>
        </w:rPr>
        <w:t>Die Beschreibung ist richtig, und zwischen der Stärke der zu verdrängenden Regung und der Intensität der resultierenden Angst besteht wohl die behauptete Entsprechung. Aber ich gestehe, ich glaubte mehr als eine bloße Beschreibung zu geben, ich nahm an, daß ich den metapsychologischen Vorgang einer direkten Umsetzung der Libido in Angst erkannt hatte; das kann ich also heute nicht mehr festhalten. Ich konnte auch früher nicht angeben, wie sich eine solche Umwandlung vollzieht.</w:t>
      </w:r>
    </w:p>
    <w:p w:rsidR="00AD6ACB" w:rsidRPr="00CA69A1" w:rsidRDefault="00AD6ACB" w:rsidP="00AD6ACB">
      <w:pPr>
        <w:shd w:val="clear" w:color="auto" w:fill="FFFFFF"/>
        <w:spacing w:before="120" w:after="120" w:line="124" w:lineRule="atLeast"/>
        <w:rPr>
          <w:rFonts w:ascii="Garamond" w:hAnsi="Garamond" w:cs="Arial"/>
          <w:color w:val="000000"/>
        </w:rPr>
      </w:pPr>
      <w:r w:rsidRPr="00CA69A1">
        <w:rPr>
          <w:rFonts w:ascii="Garamond" w:hAnsi="Garamond" w:cs="Arial"/>
          <w:color w:val="000000"/>
          <w:lang w:val="en-GB"/>
        </w:rPr>
        <w:t xml:space="preserve">Woher schöpfte ich überhaupt die Idee dieser Umsetzung? Zur Zeit, als es uns noch sehr ferne lag, zwischen Vorgängen im Ich und Vorgängen im Es zu unterscheiden, aus dem Studium der Aktualneurosen. Ich fand, daß bestimmte sexuelle Praktiken wie </w:t>
      </w:r>
      <w:r w:rsidRPr="00CA69A1">
        <w:rPr>
          <w:rFonts w:ascii="Garamond" w:hAnsi="Garamond" w:cs="Arial"/>
          <w:i/>
          <w:iCs/>
          <w:color w:val="000000"/>
          <w:lang w:val="en-GB"/>
        </w:rPr>
        <w:t>coitus interruptus</w:t>
      </w:r>
      <w:r w:rsidRPr="00CA69A1">
        <w:rPr>
          <w:rFonts w:ascii="Garamond" w:hAnsi="Garamond" w:cs="Arial"/>
          <w:color w:val="000000"/>
          <w:lang w:val="en-GB"/>
        </w:rPr>
        <w:t xml:space="preserve">, frustrane Erregung, erzwungene Abstinenz Angstausbrüche und eine allgemeine Angstbereitschaft erzeugen, also immer, wenn die Sexualerregung in ihrem Ablauf zur Befriedigung gehemmt, aufgehalten oder abgelenkt wird. Da die Sexualerregung der Ausdruck libidinöser Triebregungen ist, schien es nicht gewagt anzunehmen, daß die Libido sich durch die Einwirkung solcher Störungen in Angst verwandelt. Nun ist diese Beobachtung auch heute noch giltig; anderseits ist nicht abzuweisen, daß die Libido der Es-Vorgänge durch die Anregung der Verdrängung eine Störung erfährt; es kann also noch immer richtig sein, daß sich bei der Verdrängung Angst aus der Libidobesetzung der Triebregungen bildet. Aber wie soll man dieses Ergebnis mit dem anderen zusammenbringen, daß die Angst der Phobien eine Ich-Angst ist, im Ich entsteht, nicht aus der Verdrängung hervorgeht, sondern die Verdrängung hervorruft? Das scheint ein Widerspruch und nicht einfach zu lösen. Die Reduktion der beiden Ursprünge der Angst auf einen einzigen läßt sich nicht leicht durchsetzen. Man kann es mit der Annahme versuchen, daß das Ich in der Situation des gestörten Koitus, der unterbrochenen Erregung, der Abstinenz, Gefahren wittert, auf die es mit Angst reagiert, aber es ist nichts damit zu machen. </w:t>
      </w:r>
      <w:r w:rsidRPr="00CA69A1">
        <w:rPr>
          <w:rFonts w:ascii="Garamond" w:hAnsi="Garamond" w:cs="Arial"/>
          <w:color w:val="000000"/>
        </w:rPr>
        <w:t xml:space="preserve">Anderseits scheint die Analyse der Phobien, die wir vorgenommen haben, eine Berichtigung nicht zuzulassen. </w:t>
      </w:r>
      <w:r w:rsidRPr="00CA69A1">
        <w:rPr>
          <w:rFonts w:ascii="Garamond" w:hAnsi="Garamond" w:cs="Arial"/>
          <w:i/>
          <w:iCs/>
          <w:color w:val="000000"/>
        </w:rPr>
        <w:t>Non liquet!</w:t>
      </w:r>
      <w:hyperlink r:id="rId435" w:anchor="#" w:history="1">
        <w:r w:rsidRPr="00CA69A1">
          <w:rPr>
            <w:rStyle w:val="fusslink"/>
            <w:rFonts w:ascii="Garamond" w:hAnsi="Garamond" w:cs="Arial"/>
            <w:b/>
            <w:bCs/>
            <w:color w:val="003399"/>
          </w:rPr>
          <w:t>[Fußnote]</w:t>
        </w:r>
        <w:r w:rsidRPr="00CA69A1">
          <w:rPr>
            <w:rStyle w:val="innerfusslink3"/>
            <w:rFonts w:ascii="Garamond" w:hAnsi="Garamond" w:cs="Arial"/>
            <w:b/>
            <w:bCs/>
          </w:rPr>
          <w:t>Die Sache ist noch nicht spruchreif!</w:t>
        </w:r>
      </w:hyperlink>
    </w:p>
    <w:p w:rsidR="00090F57" w:rsidRDefault="00090F57">
      <w:pPr>
        <w:rPr>
          <w:rFonts w:ascii="Garamond" w:hAnsi="Garamond" w:cs="Arial"/>
          <w:b/>
          <w:bCs/>
          <w:color w:val="000000"/>
        </w:rPr>
      </w:pPr>
      <w:r>
        <w:rPr>
          <w:rFonts w:ascii="Garamond" w:hAnsi="Garamond" w:cs="Arial"/>
          <w:b/>
          <w:bCs/>
          <w:color w:val="000000"/>
        </w:rPr>
        <w:br w:type="page"/>
      </w:r>
    </w:p>
    <w:bookmarkStart w:id="122" w:name="Angst_5"/>
    <w:p w:rsidR="00AD6ACB" w:rsidRPr="00CA69A1" w:rsidRDefault="00B437A1" w:rsidP="00AD6ACB">
      <w:pPr>
        <w:shd w:val="clear" w:color="auto" w:fill="FFFFFF"/>
        <w:spacing w:before="221" w:after="44" w:line="306" w:lineRule="atLeast"/>
        <w:outlineLvl w:val="3"/>
        <w:rPr>
          <w:rFonts w:ascii="Garamond" w:hAnsi="Garamond" w:cs="Arial"/>
          <w:b/>
          <w:bCs/>
          <w:color w:val="000000"/>
        </w:rPr>
      </w:pPr>
      <w:r>
        <w:rPr>
          <w:rFonts w:ascii="Garamond" w:hAnsi="Garamond" w:cs="Arial"/>
          <w:b/>
          <w:bCs/>
          <w:color w:val="000000"/>
        </w:rPr>
        <w:lastRenderedPageBreak/>
        <w:fldChar w:fldCharType="begin"/>
      </w:r>
      <w:r w:rsidR="00090F57">
        <w:rPr>
          <w:rFonts w:ascii="Garamond" w:hAnsi="Garamond" w:cs="Arial"/>
          <w:b/>
          <w:bCs/>
          <w:color w:val="000000"/>
        </w:rPr>
        <w:instrText xml:space="preserve"> HYPERLINK  \l "Angst_INHALT" </w:instrText>
      </w:r>
      <w:r>
        <w:rPr>
          <w:rFonts w:ascii="Garamond" w:hAnsi="Garamond" w:cs="Arial"/>
          <w:b/>
          <w:bCs/>
          <w:color w:val="000000"/>
        </w:rPr>
        <w:fldChar w:fldCharType="separate"/>
      </w:r>
      <w:r w:rsidR="00AD6ACB" w:rsidRPr="00090F57">
        <w:rPr>
          <w:rStyle w:val="Lienhypertexte"/>
          <w:rFonts w:ascii="Garamond" w:hAnsi="Garamond" w:cs="Arial"/>
          <w:b/>
          <w:bCs/>
        </w:rPr>
        <w:t>V</w:t>
      </w:r>
      <w:r>
        <w:rPr>
          <w:rFonts w:ascii="Garamond" w:hAnsi="Garamond" w:cs="Arial"/>
          <w:b/>
          <w:bCs/>
          <w:color w:val="000000"/>
        </w:rPr>
        <w:fldChar w:fldCharType="end"/>
      </w:r>
    </w:p>
    <w:bookmarkEnd w:id="122"/>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rPr>
        <w:t xml:space="preserve">Wir wollten die Symptombildung und den sekundären Kampf des Ichs gegen das Symptom studieren, aber wir haben offenbar mit der Wahl der Phobien keinen glücklichen Griff getan. Die Angst, welche im Bild dieser Affektionen vorherrscht, erscheint uns nun als eine den Sachverhalt verhüllende Komplikation. Es gibt reichlich Neurosen, bei denen sich nichts von Angst zeigt. </w:t>
      </w:r>
      <w:r w:rsidRPr="00CA69A1">
        <w:rPr>
          <w:rFonts w:ascii="Garamond" w:hAnsi="Garamond" w:cs="Arial"/>
          <w:color w:val="000000"/>
          <w:lang w:val="en-GB"/>
        </w:rPr>
        <w:t xml:space="preserve">Die echte Konversionshysterie ist von solcher Art, deren schwerste Symptome ohne Beimengung von Angst gefunden werden. Schon diese Tatsache müßte uns warnen, die Beziehungen zwischen Angst und Symptombildung nicht allzu fest zu knüpfen. Den Konversionshysterien stehen die Phobien sonst so nahe, daß ich </w:t>
      </w:r>
      <w:smartTag w:uri="urn:schemas-microsoft-com:office:smarttags" w:element="State">
        <w:smartTag w:uri="urn:schemas-microsoft-com:office:smarttags" w:element="place">
          <w:r w:rsidRPr="00CA69A1">
            <w:rPr>
              <w:rFonts w:ascii="Garamond" w:hAnsi="Garamond" w:cs="Arial"/>
              <w:color w:val="000000"/>
              <w:lang w:val="en-GB"/>
            </w:rPr>
            <w:t>mich</w:t>
          </w:r>
        </w:smartTag>
      </w:smartTag>
      <w:r w:rsidRPr="00CA69A1">
        <w:rPr>
          <w:rFonts w:ascii="Garamond" w:hAnsi="Garamond" w:cs="Arial"/>
          <w:color w:val="000000"/>
          <w:lang w:val="en-GB"/>
        </w:rPr>
        <w:t xml:space="preserve"> für berechtigt gehalten habe, ihnen diese als »Angsthysterie« anzureihen. Aber niemand hat noch die Bedingung angeben können, die darüber entscheidet, ob ein Fall die Form einer Konversionshysterie oder einer Phobie annimmt, niemand also die Bedingung der Angstentwicklung bei der Hysterie ergründet.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häufigsten Symptome der Konversionshysterie, eine motorische Lähmung, Kontraktur oder unwillkürliche Aktion oder Entladung, ein Schmerz, eine Halluzination, sind entweder permanent festgehaltene oder intermittierende Besetzungsvorgänge, was der Erklärung neue Schwierigkeiten bereitet. Man weiß eigentlich nicht viel über solche Symptome zu sagen. Durch die Analyse kann man erfahren, welchen gestörten Erregungsablauf sie ersetzen. Zumeist ergibt sich, daß sie selbst einen Anteil an diesem haben, so als ob sich die gesamte Energie desselben auf dies eine Stück konzentriert hätte. Der Schmerz war in der Situation, in welcher die Verdrängung vorfiel, vorhanden; die Halluzination war damals Wahrnehmung, die motorische Lähmung ist die Abwehr einer Aktion, die in jener Situation hätte ausgeführt werden sollen, aber gehemmt wurde, die Kontraktur gewöhnlich eine Verschiebung für eine damals intendierte Muskelinnervation an anderer Stelle, der Krampfanfall Ausdruck eines Affektausbruches, der sich der normalen Kontrolle des Ichs entzogen hat. In ganz auffälligem Maße wechselnd ist die Unlustempfindung, die das Auftreten der Symptome begleitet. Bei den permanenten, auf die Motilität verschobenen Symptomen, wie Lähmungen und Kontrakturen, fehlt sie meistens gänzlich, das Ich verhält sich gegen sie wie unbeteiligt; bei den intermittierenden und den Symptomen der sensorischen Sphäre werden in der Regel deutliche Unlustempfindungen verspürt, die sich im Falle des Schmerzsymptoms zu exzessiver Höhe steigern können. Es ist sehr schwer, in dieser Mannigfaltigkeit das Moment herauszufinden, das solche Differenzen ermöglicht und sie doch einheitlich erklären läßt. Auch vom Kampf des Ichs gegen das einmal gebildete Symptom ist bei der Konversionshysterie wenig zu merken. Nur wenn die Schmerzempfindlichkeit einer Körperstelle zum Symptom geworden ist, wird diese in den Stand gesetzt, eine Doppelrolle zu spielen. Das Schmerzsymptom tritt ebenso sicher auf, wenn diese Stelle von außen berührt wird, wie wenn die von ihr vertretene pathogene Situation von innen her assoziativ aktiviert wird, und das Ich ergreift Vorsichtsmaßregeln, um die Erweckung des Symptoms durch äußere Wahrnehmung hintanzuhalten. Woher die besondere Undurchsichtigkeit der Symptombildung bei der Konversionshysterie rührt, können wir nicht erraten, aber sie gibt uns ein Motiv, das unfruchtbare Gebiet bald zu verlassen.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Wir wenden uns zur Zwangsneurose in der Erwartung, hier mehr über die Symptombildung zu erfahren. Die Symptome der Zwangsneurose sind im allgemeinen von zweierlei Art und entgegengesetzter Tendenz. Es sind entweder Verbote, Vorsichtsmaßregeln, Bußen, also negativer Natur, oder im Gegenteil Ersatzbefriedigungen, sehr häufig in symbolischer Verkleidung. Von diesen zwei Gruppen ist die negative, abwehrende, strafende, die ältere; mit der Dauer des Krankseins nehmen aber die aller Abwehr spottenden Befriedigungen überhand. Es ist ein Triumph der Symptombildung, wenn es gelingt, das Verbot mit der Befriedigung zu verquicken, so daß das ursprünglich abwehrende Gebot oder Verbot auch die Bedeutung einer Befriedigung bekommt, wozu oft sehr künstliche Verbindungswege in Anspruch genommen werden. In dieser Leistung zeigt sich die Neigung zur Synthese, die wir dem Ich bereits zuerkannt haben. In extremen Fällen bringt es der Kranke zustande, daß die meisten seiner Symptome zu ihrer ursprünglichen Bedeutung auch die des direkten Gegensatzes erworben haben, ein Zeugnis für die Macht der Ambivalenz, die, wir wissen nicht warum, in der Zwangsneurose eine so große Rolle spielt. Im rohesten Fall ist das Symptom zweizeitig, d. h. auf die Handlung, die eine gewisse Vorschrift ausführt, folgt unmittelbar eine zweite, die sie aufhebt oder rückgängig macht, wenngleich sie noch nicht wagt, ihr Gegenteil auszuführen.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Zwei Eindrücke ergeben sich sofort aus dieser flüchtigen Überschau der Zwangssymptome. Der erste, daß hier ein fortgesetzter Kampf gegen das Verdrängte unterhalten wird, der sich immer mehr zu Ungunsten </w:t>
      </w:r>
      <w:r w:rsidRPr="00CA69A1">
        <w:rPr>
          <w:rFonts w:ascii="Garamond" w:hAnsi="Garamond" w:cs="Arial"/>
          <w:color w:val="000000"/>
          <w:lang w:val="en-GB"/>
        </w:rPr>
        <w:lastRenderedPageBreak/>
        <w:t>der verdrängenden Kräfte wendet, und zweitens, daß Ich und Über-Ich hier einen besonders großen Anteil an der Symptombildung nehmen.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Zwangsneurose ist wohl das interessanteste und dankbarste Objekt der analytischen Untersuchung, aber noch immer als Problem unbezwungen. Wollen wir in ihr Wesen tiefer eindringen, so müssen wir eingestehen, daß unsichere Annahmen und unbewiesene Vermutungen noch nicht entbehrt werden können. Die Ausgangssituation der Zwangsneurose ist wohl keine andere als die der Hysterie, die notwendige Abwehr der libidinösen Ansprüche des Ödipus-Komplexes. Auch scheint sich bei jeder Zwangsneurose eine unterste Schicht sehr früh gebildeter hysterischer Symptome zu finden. Dann aber wird die weitere Gestaltung durch einen konstitutionellen Faktor entscheidend verändert. Die genitale Organisation der Libido erweist sich als schwächlich und zu wenig resistent. Wenn das Ich sein Abwehrstreben beginnt, so erzielt es als ersten Erfolg, daß die Genitalorganisation (der phallischen Phase) ganz oder teilweise auf die frühere sadistisch-anale Stufe zurückgeworfen wird. Diese Tatsache der Regression bleibt für alles folgende bestimmend.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Man kann noch eine andere Möglichkeit in Erwägung ziehen. </w:t>
      </w:r>
      <w:r w:rsidRPr="00AD6ACB">
        <w:rPr>
          <w:rFonts w:ascii="Garamond" w:hAnsi="Garamond" w:cs="Arial"/>
          <w:color w:val="000000"/>
        </w:rPr>
        <w:t xml:space="preserve">Vielleicht ist die Regression nicht die Folge eines konstitutionellen, sondern eines zeitlichen Faktors. Sie wird nicht darum ermöglicht werden, weil die Genitalorganisation der Libido zu schwächlich geraten, sondern weil das Sträuben des Ichs zu frühzeitig, noch während der Blüte der sadistischen Phase eingesetzt hat. </w:t>
      </w:r>
      <w:r w:rsidRPr="00CA69A1">
        <w:rPr>
          <w:rFonts w:ascii="Garamond" w:hAnsi="Garamond" w:cs="Arial"/>
          <w:color w:val="000000"/>
          <w:lang w:val="en-GB"/>
        </w:rPr>
        <w:t xml:space="preserve">Einer sicheren Entscheidung getraue ich </w:t>
      </w:r>
      <w:smartTag w:uri="urn:schemas-microsoft-com:office:smarttags" w:element="State">
        <w:smartTag w:uri="urn:schemas-microsoft-com:office:smarttags" w:element="place">
          <w:r w:rsidRPr="00CA69A1">
            <w:rPr>
              <w:rFonts w:ascii="Garamond" w:hAnsi="Garamond" w:cs="Arial"/>
              <w:color w:val="000000"/>
              <w:lang w:val="en-GB"/>
            </w:rPr>
            <w:t>mich</w:t>
          </w:r>
        </w:smartTag>
      </w:smartTag>
      <w:r w:rsidRPr="00CA69A1">
        <w:rPr>
          <w:rFonts w:ascii="Garamond" w:hAnsi="Garamond" w:cs="Arial"/>
          <w:color w:val="000000"/>
          <w:lang w:val="en-GB"/>
        </w:rPr>
        <w:t xml:space="preserve"> auch in diesem Punkte nicht, aber die analytische Beobachtung begünstigt diese Annahme nicht. Sie zeigt eher, daß bei der Wendung zur Zwangsneurose die phallische Stufe bereits erreicht ist. Auch ist das Lebensalter für den Ausbruch dieser Neurose ein späteres als das der Hysterie (die zweite Kindheitsperiode, nach dem Termin der Latenzzeit), und in einem Fall von sehr später Entwicklung dieser Affektion, den ich studieren konnte, ergab es sich klar, daß eine reale Entwertung des bis dahin intakten Genitallebens die Bedingung für die Regression und die Entstehung der Zwangsneurose schuf </w:t>
      </w:r>
      <w:hyperlink r:id="rId436" w:anchor="#" w:history="1">
        <w:r w:rsidRPr="00CA69A1">
          <w:rPr>
            <w:rStyle w:val="fusslink"/>
            <w:rFonts w:ascii="Garamond" w:hAnsi="Garamond" w:cs="Arial"/>
            <w:b/>
            <w:bCs/>
            <w:color w:val="003399"/>
            <w:lang w:val="en-GB"/>
          </w:rPr>
          <w:t>[Fußnote]</w:t>
        </w:r>
        <w:r w:rsidRPr="00CA69A1">
          <w:rPr>
            <w:rStyle w:val="innerfusslink3"/>
            <w:rFonts w:ascii="Garamond" w:hAnsi="Garamond" w:cs="Arial"/>
            <w:b/>
            <w:bCs/>
            <w:lang w:val="en-GB"/>
          </w:rPr>
          <w:t>S. ›Die Disposition zur Zwangsneurose‹.</w:t>
        </w:r>
      </w:hyperlink>
      <w:r w:rsidRPr="00CA69A1">
        <w:rPr>
          <w:rFonts w:ascii="Garamond" w:hAnsi="Garamond" w:cs="Arial"/>
          <w:color w:val="000000"/>
          <w:lang w:val="en-GB"/>
        </w:rPr>
        <w: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metapsychologische Erklärung der Regression suche ich in einer »Triebentmischung«, in der Absonderung der erotischen Komponenten, die mit Beginn der genitalen Phase zu den destruktiven Besetzungen der sadistischen Phase hinzugetreten waren.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Erzwingung der Regression bedeutet den ersten Erfolg des Ichs im Abwehrkampf gegen den Anspruch der Libido. Wir unterscheiden hier zweckmäßig die allgemeinere Tendenz der »Abwehr« von der »Verdrängung«, die nur eine der Mechanismen ist, deren sich die Abwehr bedient. Vielleicht noch klarer als bei normalen und hysterischen Fällen erkennt man bei der Zwangsneurose als den Motor der Abwehr den Kastrationskomplex, als das Abgewehrte die Strebungen des Ödipus-Komplexes. Wir befinden uns nun zu Beginn der Latenzzeit, die durch den Untergang des Ödipus-Komplexes, die Schöpfung oder Konsolidierung des Über-Ichs und die Aufrichtung der ethischen und ästhetischen Schranken im Ich gekennzeichnet ist. Diese Vorgänge gehen bei der Zwangsneurose über das normale Maß hinaus; zur Zerstörung des Ödipus-Komplexes tritt die regressive Erniedrigung der Libido hinzu, das Über-Ich wird besonders strenge und lieblos, das Ich entwickelt im Gehorsam gegen das Über-Ich hohe Reaktionsbildungen von Gewissenhaftigkeit, Mitleid, Reinlichkeit. Mit unerbittlicher, darum nicht immer erfolgreicher Strenge wird die Versuchung zur Fortsetzung der frühinfantilen Onanie verpönt, die sich nun an regressive (sadistisch-anale) Vorstellungen anlehnt, aber doch den unbezwungenen Anteil der phallischen Organisation repräsentiert. Es liegt ein innerer Widerspruch darin, daß gerade im Interesse der Erhaltung der Männlichkeit (Kastrationsangst) jede Betätigung dieser Männlichkeit verhindert wird, aber auch dieser Widerspruch wird bei der Zwangsneurose nur übertrieben, er haftet bereits an der normalen Art der Beseitigung des Ödipus-Komplexes. Wie jedes Übermaß den Keim zu seiner Selbstaufhebung in sich trägt, wird sich auch an der Zwangsneurose bewähren, indem gerade die unterdrückte Onanie sich in der Form der Zwangshandlungen eine immer weiter gehende Annäherung an die Befriedigung erzwingt.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Die Reaktionsbildungen im Ich der Zwangsneurotiker, die wir als Übertreibungen der normalen Charakterbildung erkennen, dürfen wir als einen neuen Mechanismus der Abwehr gegen die Regression und die Verdrängung hinstellen. Sie scheinen bei der Hysterie zu fehlen oder weit schwächer zu sein. Rückschauend gewinnen wir so eine Vermutung, wodurch der Abwehrvorgang der Hysterie ausgezeichnet ist. Es scheint, daß er sich auf die Verdrängung einschränkt, indem das Ich sich von der unliebsamen Triebregung abwendet, sie dem Ablauf im Unbewußten überläßt und an ihren Schicksalen keinen weiteren Anteil nimmt. So ganz ausschließend richtig kann das zwar nicht sein, denn wir kennen ja den Fall, daß </w:t>
      </w:r>
      <w:r w:rsidRPr="00CA69A1">
        <w:rPr>
          <w:rFonts w:ascii="Garamond" w:hAnsi="Garamond" w:cs="Arial"/>
          <w:color w:val="000000"/>
          <w:lang w:val="en-GB"/>
        </w:rPr>
        <w:lastRenderedPageBreak/>
        <w:t>das hysterische Symptom gleichzeitig die Erfüllung einer Strafanforderung des Über-Ichs bedeutet, aber es mag einen allgemeinen Charakter im Verhalten des Ichs bei der Hysterie beschreiben.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Man kann es einfach als Tatsache hinnehmen, daß sich bei der Zwangsneurose ein so strenges Über-Ich bildet, oder man kann daran denken, daß der fundamentale Zug dieser Affektion die Libidoregression ist, und versuchen, auch den Charakter des Über-Ichs mit ihr zu verknüpfen. In der Tat kann ja das Über-Ich, das aus dem Es stammt, sich der dort eingetretenen Regression und Triebentmischung nicht entziehen. Es wäre nicht zu verwundern, wenn es seinerseits härter, quälerischer, liebloser würde als bei normaler Entwicklung.</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Während der Latenzzeit scheint die Abwehr der Onanieversuchung als Hauptaufgabe behandelt zu werden. Dieser Kampf erzeugt eine Reihe von Symptomen, die bei den verschiedensten Personen in typischer Weise wiederkehren und im allgemeinen den Charakter des Zeremoniells tragen. Es ist sehr zu bedauern, daß sie noch nicht gesammelt und systematisch analysiert worden sind; als früheste Leistungen der Neurose würden sie über den hier verwendeten Mechanismus der Symptombildung am ehesten Licht verbreiten. Sie zeigen bereits die Züge, welche in einer späteren schweren Erkrankung so verhängnisvoll hervortreten werden: die Unterbringung an den Verrichtungen, die später wie automatisch ausgeführt werden sollen, am Schlafengehen, Waschen und Ankleiden, an der Lokomotion, die Neigung zur Wiederholung und zum Zeitaufwand. Warum das so geschieht, ist noch keineswegs verständlich; die Sublimierung analerotischer Komponenten spielt dabei eine deutliche Rolle.</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Pubertät macht in der Entwicklung der Zwangsneurose einen entscheidenden Abschnitt. Die in der Kindheit abgebrochene Genitalorganisation setzt nun mit großer Kraft wieder ein. Wir wissen aber, daß die Sexualentwicklung der Kinderzeit auch für den Neubeginn der Pubertätsjahre die Richtung vorschreibt. Es werden also einerseits die aggressiven Regungen der Frühzeit wieder erwachen, anderseits muß ein mehr oder minder großer Anteil der neuen libidinösen Regungen – in bösen Fällen deren Ganzes – die durch die Regression vorgezeichneten Bahnen einschlagen und als aggressive und destruktive Absichten auftreten. Infolge dieser Verkleidung der erotischen Strebungen und der starken Reaktionsbildungen im Ich, wird nun der Kampf gegen die Sexualität unter ethischer Flagge weitergeführt. Das Ich sträubt sich verwundert gegen grausame und gewalttätige Zumutungen, die ihm vom Es her ins Bewußtsein geschickt werden, und ahnt nicht, daß es dabei erotische Wünsche bekämpft, darunter auch solche, die sonst seinem Einspruch entgangen wären. Das überstrenge Über-Ich besteht um so energischer auf der Unterdrückung der Sexualität, da sie so abstoßende Formen angenommen hat. So zeigt sich der Konflikt bei der Zwangsneurose nach zwei Richtungen verschärft, das Abwehrende ist intoleranter, das Abzuwehrende unerträglicher geworden; beides durch den Einfluß des einen Moments, der Libidoregression.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Man könnte einen Widerspruch gegen manche unserer Voraussetzungen darin finden, daß die unliebsame Zwangsvorstellung überhaupt bewußt wird. Allein es ist kein Zweifel, daß sie vorher den Prozeß der Verdrängung durchgemacht hat. In den meisten Fällen ist der eigentliche Wortlaut der aggressiven Triebregung dem Ich überhaupt nicht bekannt. Es gehört ein gutes Stück analytischer Arbeit dazu, um ihn bewußt zu machen. Was zum Bewußtsein durchdringt, ist in der Regel nur ein entstellter Ersatz, entweder von einer verschwommenen, traumhaften Unbestimmtheit oder unkenntlich gemacht durch eine absurde Verkleidung. Wenn die Verdrängung nicht den Inhalt der aggressiven Triebregung angenagt hat, so hat sie doch gewiß den sie begleitenden Affektcharakter beseitigt. So erscheint die Aggression dem Ich nicht als ein Impuls, sondern, wie die Kranken sagen, als ein bloßer »Gedankeninhalt«, der einen kalt lassen sollte. Das Merkwürdigste ist, daß dies doch nicht der Fall ist.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Der bei der Wahrnehmung der Zwangsvorstellung ersparte Affekt kommt nämlich an anderer Stelle zum Vorschein. Das Über-Ich benimmt sich so, als hätte keine Verdrängung stattgefunden, als wäre ihm die aggressive Regung in ihrem richtigen Wortlaut und mit ihrem vollen Affektcharakter bekannt, und behandelt das Ich auf Grund dieser Voraussetzung. Das Ich, das sich einerseits schuldlos weiß, muß anderseits ein Schuldgefühl verspüren und eine Verantwortlichkeit tragen, die es sich nicht zu erklären weiß. Das Rätsel, das uns hiemit aufgegeben wird, ist aber nicht so groß, als es zuerst erscheint. Das Verhalten des Über-Ichs ist durchaus verständlich, der Widerspruch im Ich beweist uns nur, daß es sich mittels der Verdrängung gegen das Es verschlossen hat, während es den Einflüssen aus dem Über-Ich voll zugänglich geblieben ist </w:t>
      </w:r>
      <w:hyperlink r:id="rId437" w:anchor="#" w:history="1">
        <w:r w:rsidRPr="00CA69A1">
          <w:rPr>
            <w:rStyle w:val="fusslink"/>
            <w:rFonts w:ascii="Garamond" w:hAnsi="Garamond" w:cs="Arial"/>
            <w:b/>
            <w:bCs/>
            <w:color w:val="003399"/>
            <w:lang w:val="en-GB"/>
          </w:rPr>
          <w:t>[Fußnote]</w:t>
        </w:r>
        <w:r w:rsidRPr="00CA69A1">
          <w:rPr>
            <w:rStyle w:val="innerfusslink3"/>
            <w:rFonts w:ascii="Garamond" w:hAnsi="Garamond" w:cs="Arial"/>
            <w:b/>
            <w:bCs/>
            <w:lang w:val="en-GB"/>
          </w:rPr>
          <w:t>Vgl. Reik, 1925, S. 51.</w:t>
        </w:r>
      </w:hyperlink>
      <w:r w:rsidRPr="00CA69A1">
        <w:rPr>
          <w:rFonts w:ascii="Garamond" w:hAnsi="Garamond" w:cs="Arial"/>
          <w:color w:val="000000"/>
          <w:lang w:val="en-GB"/>
        </w:rPr>
        <w:t xml:space="preserve">. Der weiteren Frage, warum das Ich sich nicht auch der peinigenden Kritik des Über-Ichs zu entziehen sucht, macht die Nachricht ein Ende, daß dies wirklich in einer großen Reihe von Fällen so geschieht. Es gibt auch Zwangsneurosen ganz ohne </w:t>
      </w:r>
      <w:r w:rsidRPr="00CA69A1">
        <w:rPr>
          <w:rFonts w:ascii="Garamond" w:hAnsi="Garamond" w:cs="Arial"/>
          <w:color w:val="000000"/>
          <w:lang w:val="en-GB"/>
        </w:rPr>
        <w:lastRenderedPageBreak/>
        <w:t>Schuldbewußtsein; soweit wir es verstehen, hat sich das Ich die Wahrnehmung desselben durch eine neue Reihe von Symptomen, Bußhandlungen, Einschränkungen zur Selbstbestrafung, erspart. Diese Symptome bedeuten aber gleichzeitig Befriedigungen masochistischer Triebregungen, die ebenfalls aus der Regression eine Verstärkung bezogen haben.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Mannigfaltigkeit in den Erscheinungen der Zwangsneurose ist eine so großartige, daß es noch keiner Bemühung gelungen ist, eine zusammenhängende Synthese aller ihrer Variationen zu geben. Man ist bestrebt, typische Beziehungen herauszuheben, und dabei immer in Sorge, andere nicht minder wichtige Regelmäßigkeiten zu übersehen.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allgemeine Tendenz der Symptombildung bei der Zwangsneurose habe ich bereits beschrieben. Sie geht dahin, der Ersatzbefriedigung immer mehr Raum auf Kosten der Versagung zu schaffen. Dieselben Symptome, die ursprünglich Einschränkungen des Ichs bedeuteten, nehmen dank der Neigung des Ichs zur Synthese später auch die von Befriedigungen an, und es ist unverkennbar, daß die letztere Bedeutung allmählich die wirksamere wird. Ein äußerst eingeschränktes Ich, das darauf angewiesen ist, seine Befriedigungen in den Symptomen zu suchen, wird das Ergebnis dieses Prozesses, der sich immer mehr dem völligen Fehlschlagen des anfänglichen Abwehrstrebens nähert. Die Verschiebung des Kräfteverhältnisses zugunsten der Befriedigung kann zu dem gefürchteten Endausgang der Willenslähmung des Ichs führen, das für jede Entscheidung beinahe ebenso starke Antriebe von der einen wie von der anderen Seite findet. Der überscharfe Konflikt zwischen Es und Über-Ich, der die Affektion von Anfang an beherrscht, kann sich so sehr ausbreiten, daß keine der Verrichtungen des zur Vermittlung unfähigen Ichs der Einbeziehung in diesen Konflikt entgehen kann.</w:t>
      </w:r>
    </w:p>
    <w:p w:rsidR="00090F57" w:rsidRDefault="00090F57">
      <w:pPr>
        <w:rPr>
          <w:rFonts w:ascii="Garamond" w:hAnsi="Garamond" w:cs="Arial"/>
          <w:b/>
          <w:bCs/>
          <w:color w:val="000000"/>
          <w:lang w:val="en-GB"/>
        </w:rPr>
      </w:pPr>
      <w:r>
        <w:rPr>
          <w:rFonts w:ascii="Garamond" w:hAnsi="Garamond" w:cs="Arial"/>
          <w:b/>
          <w:bCs/>
          <w:color w:val="000000"/>
          <w:lang w:val="en-GB"/>
        </w:rPr>
        <w:br w:type="page"/>
      </w:r>
    </w:p>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hyperlink w:anchor="Angst_INHALT" w:history="1">
        <w:r w:rsidR="00AD6ACB" w:rsidRPr="00090F57">
          <w:rPr>
            <w:rStyle w:val="Lienhypertexte"/>
            <w:rFonts w:ascii="Garamond" w:hAnsi="Garamond" w:cs="Arial"/>
            <w:b/>
            <w:bCs/>
            <w:lang w:val="en-GB"/>
          </w:rPr>
          <w:t>V</w:t>
        </w:r>
        <w:bookmarkStart w:id="123" w:name="Angst_6"/>
        <w:bookmarkEnd w:id="123"/>
        <w:r w:rsidR="00AD6ACB" w:rsidRPr="00090F57">
          <w:rPr>
            <w:rStyle w:val="Lienhypertexte"/>
            <w:rFonts w:ascii="Garamond" w:hAnsi="Garamond" w:cs="Arial"/>
            <w:b/>
            <w:bCs/>
            <w:lang w:val="en-GB"/>
          </w:rPr>
          <w:t>I</w:t>
        </w:r>
      </w:hyperlink>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Während dieser Kämpfe kann man zwei symptombildende Tätigkeiten des Ichs beobachten, die ein besonderes Interesse verdienen, weil sie offenbare Surrogate der Verdrängung sind und darum deren Tendenz und Technik schön erläutern können. Vielleicht dürfen wir auch das Hervortreten dieser Hilfs- und Ersatztechniken als einen Beweis dafür auffassen, daß die Durchführung der regelrechten Verdrängung auf Schwierigkeiten stößt. Wenn wir erwägen, daß bei der Zwangsneurose das Ich soviel mehr Schauplatz der Symptombildung ist als bei der Hysterie, daß dieses Ich zähe an seiner Beziehung zur Realität und zum Bewußtsein festhält und dabei alle seine intellektuellen Mittel aufbietet, ja, daß die Denktätigkeit überbesetzt, erotisiert erscheint, werden uns solche Variationen der Verdrängung vielleicht nähergebracht.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Die beiden angedeuteten Techniken sind das </w:t>
      </w:r>
      <w:r w:rsidRPr="00CA69A1">
        <w:rPr>
          <w:rFonts w:ascii="Garamond" w:hAnsi="Garamond" w:cs="Arial"/>
          <w:i/>
          <w:iCs/>
          <w:color w:val="000000"/>
          <w:lang w:val="en-GB"/>
        </w:rPr>
        <w:t>Ungeschehenmachen</w:t>
      </w:r>
      <w:r w:rsidRPr="00CA69A1">
        <w:rPr>
          <w:rFonts w:ascii="Garamond" w:hAnsi="Garamond" w:cs="Arial"/>
          <w:color w:val="000000"/>
          <w:lang w:val="en-GB"/>
        </w:rPr>
        <w:t xml:space="preserve"> und das </w:t>
      </w:r>
      <w:r w:rsidRPr="00CA69A1">
        <w:rPr>
          <w:rFonts w:ascii="Garamond" w:hAnsi="Garamond" w:cs="Arial"/>
          <w:i/>
          <w:iCs/>
          <w:color w:val="000000"/>
          <w:lang w:val="en-GB"/>
        </w:rPr>
        <w:t>Isolieren</w:t>
      </w:r>
      <w:r w:rsidRPr="00CA69A1">
        <w:rPr>
          <w:rFonts w:ascii="Garamond" w:hAnsi="Garamond" w:cs="Arial"/>
          <w:color w:val="000000"/>
          <w:lang w:val="en-GB"/>
        </w:rPr>
        <w:t xml:space="preserve">. Die erstere hat ein großes Anwendungsgebiet und reicht weit zurück. Sie ist sozusagen negative Magie, sie will durch motorische Symbolik nicht die Folgen eines Ereignisses (Eindruckes, Erlebnisses), sondern dieses selbst »wegblasen«. Mit der Wahl dieses letzten Ausdruckes ist darauf hingewiesen, welche Rolle diese Technik nicht nur in der Neurose, sondern auch in den Zauberhandlungen, Volksgebräuchen und im religiösen Zeremoniell spielt. In der Zwangsneurose begegnet man dem Ungeschehen machen zuerst bei den zweizeitigen Symptomen, wo der zweite Akt den ersten aufhebt, so, als ob nichts geschehen wäre, wo in Wirklichkeit beides geschehen ist. Das zwangsneurotische Zeremoniell hat in der Absicht des Ungeschehenmachens seine zweite Wurzel. Die erste ist die Verhütung, die Vorsicht, damit etwas Bestimmtes nicht geschehe, sich nicht wiederhole. Der Unterschied ist leicht zu fassen; die Vorsichtsmaßregeln sind rationell, die »Aufhebungen« durch Ungeschehenmachen irrationell, magischer Natur. Natürlich muß man vermuten, daß diese zweite Wurzel die ältere, aus der animistischen Einstellung zur Umwelt stammende ist. Seine Abschattung zum Normalen findet das Streben zum Ungeschehenmachen in dem Entschluß, ein Ereignis als » </w:t>
      </w:r>
      <w:r w:rsidRPr="00CA69A1">
        <w:rPr>
          <w:rFonts w:ascii="Garamond" w:hAnsi="Garamond" w:cs="Arial"/>
          <w:i/>
          <w:iCs/>
          <w:color w:val="000000"/>
          <w:lang w:val="en-GB"/>
        </w:rPr>
        <w:t>non arrivé</w:t>
      </w:r>
      <w:r w:rsidRPr="00CA69A1">
        <w:rPr>
          <w:rFonts w:ascii="Garamond" w:hAnsi="Garamond" w:cs="Arial"/>
          <w:color w:val="000000"/>
          <w:lang w:val="en-GB"/>
        </w:rPr>
        <w:t xml:space="preserve">« zu behandeln, aber dann unternimmt man nichts dagegen, kümmert sich weder um das Ereignis noch um seine Folgen, während man in der Neurose die Vergangenheit selbst aufzuheben, motorisch zu verdrängen sucht. Dieselbe Tendenz kann auch die Erklärung des in der Neurose so häufigen Zwanges zur </w:t>
      </w:r>
      <w:r w:rsidRPr="00CA69A1">
        <w:rPr>
          <w:rFonts w:ascii="Garamond" w:hAnsi="Garamond" w:cs="Arial"/>
          <w:i/>
          <w:iCs/>
          <w:color w:val="000000"/>
          <w:lang w:val="en-GB"/>
        </w:rPr>
        <w:t>Wiederholung</w:t>
      </w:r>
      <w:r w:rsidRPr="00CA69A1">
        <w:rPr>
          <w:rFonts w:ascii="Garamond" w:hAnsi="Garamond" w:cs="Arial"/>
          <w:color w:val="000000"/>
          <w:lang w:val="en-GB"/>
        </w:rPr>
        <w:t xml:space="preserve"> geben, bei dessen Ausführung sich dann mancherlei einander widerstreitende Absichten zusammenfinden. Was nicht in solcher Weise geschehen ist, wie es dem Wunsch gemäß hätte geschehen sollen, wird durch die Wiederholung in anderer Weise ungeschehen gemacht, wozu nun alle die Motive hinzutreten, bei diesen Wiederholungen zu verweilen. Im weiteren Verlauf der Neurose enthüllt sich oft die Tendenz, ein traumatisches Erlebnis ungeschehen zu machen, als ein symptombildendes Motiv von erstem Range. Wir erhalten so unerwarteten Einblick in eine neue, motorische Technik der Abwehr oder, wie wir hier mit geringerer Ungenauigkeit sagen können, der Verdrängung.</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Die andere der neu zu beschreibenden Techniken ist das der Zwangsneurose eigentümlich zukommende </w:t>
      </w:r>
      <w:r w:rsidRPr="00CA69A1">
        <w:rPr>
          <w:rFonts w:ascii="Garamond" w:hAnsi="Garamond" w:cs="Arial"/>
          <w:i/>
          <w:iCs/>
          <w:color w:val="000000"/>
          <w:lang w:val="en-GB"/>
        </w:rPr>
        <w:t>Isolieren</w:t>
      </w:r>
      <w:r w:rsidRPr="00CA69A1">
        <w:rPr>
          <w:rFonts w:ascii="Garamond" w:hAnsi="Garamond" w:cs="Arial"/>
          <w:color w:val="000000"/>
          <w:lang w:val="en-GB"/>
        </w:rPr>
        <w:t xml:space="preserve">. Es bezieht sich gleichfalls auf die motorische Sphäre, besteht darin, daß nach einem unliebsamen Ereignis, ebenso nach einer im Sinne der Neurose bedeutsamen eigenen Tätigkeit, eine Pause eingeschoben wird, in der sich nichts mehr ereignen darf, keine Wahrnehmung gemacht und keine Aktion ausgeführt wird. </w:t>
      </w:r>
      <w:r w:rsidRPr="00CA69A1">
        <w:rPr>
          <w:rFonts w:ascii="Garamond" w:hAnsi="Garamond" w:cs="Arial"/>
          <w:color w:val="000000"/>
        </w:rPr>
        <w:t xml:space="preserve">Dies zunächst sonderbare Verhalten verrät uns bald seine Beziehung zur Verdrängung. Wir wissen, bei Hysterie ist es möglich, einen traumatischen Eindruck der Amnesie verfallen zu lassen; bei der Zwangsneurose ist dies oft nicht gelungen, das Erlebnis ist nicht vergessen, aber es ist von seinem Affekt entblößt, und seine assoziativen Beziehungen sind unterdrückt oder unterbrochen, so daß es wie isoliert dasteht und auch nicht im Verlaufe der Denktätigkeit reproduziert wird. Der Effekt dieser Isolierung ist dann der nämliche wie bei der Verdrängung mit Amnesie. Diese Technik wird also in den Isolierungen der Zwangsneurose reproduziert, aber dabei auch in magischer Absicht motorisch verstärkt. </w:t>
      </w:r>
      <w:r w:rsidRPr="00CA69A1">
        <w:rPr>
          <w:rFonts w:ascii="Garamond" w:hAnsi="Garamond" w:cs="Arial"/>
          <w:color w:val="000000"/>
          <w:lang w:val="en-GB"/>
        </w:rPr>
        <w:t xml:space="preserve">Was so auseinandergehalten wird, ist gerade das, was assoziativ zusammengehört, die motorische Isolierung soll eine Garantie für die Unterbrechung des Zusammenhanges im Denken geben. Einen Vorwand für dies Verfahren der Neurose gibt der normale Vorgang der Konzentration. Was uns bedeutsam als Eindruck, als Aufgabe erscheint, soll nicht durch die gleichzeitigen Ansprüche anderer Denkverrichtungen oder Tätigkeiten gestört werden. Aber schon im Normalen wird die Konzentration dazu verwendet, nicht nur das Gleichgültige, nicht Dazugehörige, sondern vor allem das unpassende Gegensätzliche fernzuhalten. Als das Störendste wird empfunden, was ursprünglich zusammengehört hat und durch den Fortschritt der Entwicklung auseinandergerissen wurde, z. B. die Äußerungen der Ambivalenz des Vaterkomplexes in der Beziehung zu Gott oder die Regungen der Exkretionsorgane in </w:t>
      </w:r>
      <w:r w:rsidRPr="00CA69A1">
        <w:rPr>
          <w:rFonts w:ascii="Garamond" w:hAnsi="Garamond" w:cs="Arial"/>
          <w:color w:val="000000"/>
          <w:lang w:val="en-GB"/>
        </w:rPr>
        <w:lastRenderedPageBreak/>
        <w:t>den Liebeserregungen. So hat das Ich normalerweise eine große Isolierungsarbeit bei der Lenkung des Gedankenablaufes zu leisten, und wir wissen, in der Ausübung der analytischen Technik müssen wir das Ich dazu erziehen, auf diese sonst durchaus gerechtfertigte Funktion zeitweilig zu verzichten.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Wir haben alle die Erfahrung gemacht, daß es dem Zwangsneurotiker besonders schwer wird, die psychoanalytische Grundregel zu befolgen. Wahrscheinlich infolge der hohen Konfliktspannung zwischen seinem Über-Ich und seinem Es ist sein Ich wachsamer, dessen Isolierungen schärfer. Es hat während seiner Denkarbeit zuviel abzuwehren, die Einmengung unbewußter Phantasien, die Äußerung der ambivalenten Strebungen. Es darf sich nicht gehenlassen, befindet sich fortwährend in Kampfbereitschaft. Diesen Zwang zur Konzentration und Isolierung unterstützt es dann durch die magischen Isolierungsaktionen, die als Symptome so auffällig und praktisch so bedeutsam werden, an sich natürlich nutzlos sind und den Charakter des Zeremoniells haben.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Indem es aber Assoziationen, Verbindung in Gedanken, zu verhindern sucht, befolgt es eines der ältesten und fundamentalsten Gebote der Zwangsneurose, das Tabu der </w:t>
      </w:r>
      <w:r w:rsidRPr="00CA69A1">
        <w:rPr>
          <w:rFonts w:ascii="Garamond" w:hAnsi="Garamond" w:cs="Arial"/>
          <w:i/>
          <w:iCs/>
          <w:color w:val="000000"/>
          <w:lang w:val="en-GB"/>
        </w:rPr>
        <w:t>Berührung</w:t>
      </w:r>
      <w:r w:rsidRPr="00CA69A1">
        <w:rPr>
          <w:rFonts w:ascii="Garamond" w:hAnsi="Garamond" w:cs="Arial"/>
          <w:color w:val="000000"/>
          <w:lang w:val="en-GB"/>
        </w:rPr>
        <w:t>. Wenn man sich die Frage vorlegt, warum die Vermeidung von Berührung, Kontakt, Ansteckung in der Neurose eine so große Rolle spielt und zum Inhalt so komplizierter Systeme gemacht wird, so findet man die Antwort, daß die Berührung, der körperliche Kontakt, das nächste Ziel sowohl der aggressiven wie der zärtlichen Objektbesetzung ist. Der Eros will die Berührung, denn er strebt nach Vereinigung, Aufhebung der Raumgrenzen zwischen Ich und geliebtem Objekt. Aber auch die Destruktion, die vor der Erfindung der Fernwaffe nur aus der Nähe erfolgen konnte, muß die körperliche Berührung, das Handanlegen voraussetzen. Eine Frau berühren ist im Sprachgebrauch ein Euphemismus für ihre Benützung als Sexualobjekt geworden. Das Glied nicht berühren ist der Wortlaut des Verbotes der autoerotischen Befriedigung. Da die Zwangsneurose zu Anfang die erotische Berührung, dann nach der Regression die als Aggression maskierte Berührung verfolgte, ist nichts anderes für sie in so hohem Grade verpönt worden, nichts so geeignet, zum Mittelpunkt eines Verbotsystems zu werden. Die Isolierung ist aber Aufhebung der Kontaktmöglichkeit, Mittel, ein Ding jeder Berührung zu entziehen, und wenn der Neurotiker auch einen Eindruck oder eine Tätigkeit durch eine Pause isoliert, gibt er uns symbolisch zu verstehen, daß er die Gedanken an sie nicht in assoziative Berührung mit anderen kommen lassen will.</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So weit reichen unsere Untersuchungen über die Symptombildung. Es verlohnt sich kaum, sie zu resümieren, sie sind ergebnisarm und unvollständig geblieben, haben auch wenig gebracht, was nicht schon früher bekannt gewesen wäre. Die Symptombildung bei anderen Affektionen als bei den Phobien, der Konversionshysterie und der Zwangsneurose in Betracht zu ziehen wäre aussichtslos; es ist zu wenig darüber bekannt. Aber auch schon aus der Zusammenstellung dieser drei Neurosen erhebt sich ein schwerwiegendes, nicht mehr aufzuschiebendes Problem. Für alle drei ist die Zerstörung des Ödipus-Komplexes der Ausgang, in allen, nehmen wir an, die Kastrationsangst der Motor des Ichsträubens. Aber nur in den Phobien kommt solche Angst zum Vorschein, wird sie eingestanden. Was ist bei den zwei anderen Formen aus ihr geworden, wie hat das Ich sich solche Angst erspart? Das Problem verschärft sich noch, wenn wir an die vorhin erwähnte Möglichkeit denken, daß die Angst durch eine Art Vergärung aus der im Ablauf gestörten Libidobesetzung selbst hervorgeht, und weiters: steht es fest, daß die Kastrationsangst der einzige Motor der Verdrängung (oder Abwehr) ist? Wenn man an die Neurosen der Frauen denkt, muß man das bezweifeln, denn so sicher sich der Kastrationskomplex bei ihnen konstatieren läßt, von einer Kastrationsangst im richtigen Sinne kann man bei bereits vollzogener Kastration doch nicht sprechen.</w:t>
      </w:r>
    </w:p>
    <w:p w:rsidR="00090F57" w:rsidRDefault="00090F57">
      <w:pPr>
        <w:rPr>
          <w:rFonts w:ascii="Garamond" w:hAnsi="Garamond" w:cs="Arial"/>
          <w:b/>
          <w:bCs/>
          <w:color w:val="000000"/>
          <w:lang w:val="en-GB"/>
        </w:rPr>
      </w:pPr>
      <w:r>
        <w:rPr>
          <w:rFonts w:ascii="Garamond" w:hAnsi="Garamond" w:cs="Arial"/>
          <w:b/>
          <w:bCs/>
          <w:color w:val="000000"/>
          <w:lang w:val="en-GB"/>
        </w:rPr>
        <w:br w:type="page"/>
      </w:r>
    </w:p>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hyperlink w:anchor="Angst_INHALT" w:history="1">
        <w:r w:rsidR="00AD6ACB" w:rsidRPr="00090F57">
          <w:rPr>
            <w:rStyle w:val="Lienhypertexte"/>
            <w:rFonts w:ascii="Garamond" w:hAnsi="Garamond" w:cs="Arial"/>
            <w:b/>
            <w:bCs/>
            <w:lang w:val="en-GB"/>
          </w:rPr>
          <w:t>VI</w:t>
        </w:r>
        <w:bookmarkStart w:id="124" w:name="Angst_7"/>
        <w:bookmarkEnd w:id="124"/>
        <w:r w:rsidR="00AD6ACB" w:rsidRPr="00090F57">
          <w:rPr>
            <w:rStyle w:val="Lienhypertexte"/>
            <w:rFonts w:ascii="Garamond" w:hAnsi="Garamond" w:cs="Arial"/>
            <w:b/>
            <w:bCs/>
            <w:lang w:val="en-GB"/>
          </w:rPr>
          <w:t>I</w:t>
        </w:r>
      </w:hyperlink>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Kehren wir zu den infantilen Tierphobien zurück, wir verstehen diese Fälle doch besser als alle anderen. Das Ich muß also hier gegen eine libidinöse Objektbesetzung des Es (die des positiven oder des negativen Ödipus-Komplexes) einschreiten, weil es verstanden hat, ihr nachzugeben brächte die Gefahr der Kastration mit sich. Wir haben das schon erörtert und finden noch Anlaß, uns einen Zweifel klarzumachen, der von dieser ersten Diskussion erübrigt ist. Sollen wir beim kleinen Hans (also im Falle des positiven Ödipus-Komplexes) annehmen, daß es die zärtliche Regung für die Mutter oder die aggressive gegen den Vater ist, welche die Abwehr des Ichs herausfordert? Praktisch schiene das gleichgültig, besonders da die beiden Regungen einander bedingen, aber ein theoretisches Interesse knüpft sich an die Frage, weil nur die zärtliche Strömung für die Mutter als eine rein erotische gelten kann. Die aggressive ist wesentlich vom Destruktionstrieb abhängig, und wir haben immer geglaubt, bei der Neurose wehre sich das Ich gegen Ansprüche der Libido, nicht der anderen Triebe. In der Tat sehen wir, daß nach der Bildung der Phobie die zärtliche Mutterbindung wie verschwunden ist, sie ist durch die Verdrängung gründlich erledigt worden, an der aggressiven Regung hat sich aber die Symptom- (Ersatz-) Bildung vollzogen. Im Falle des Wolfsmannes liegt es einfacher, die verdrängte Regung ist wirklich eine erotische, die feminine Einstellung zum Vater, und an ihr vollzieht sich auch die Symptombildung.</w:t>
      </w:r>
    </w:p>
    <w:p w:rsidR="00AD6ACB" w:rsidRPr="00CA69A1" w:rsidRDefault="00AD6ACB" w:rsidP="00AD6ACB">
      <w:pPr>
        <w:shd w:val="clear" w:color="auto" w:fill="FFFFFF"/>
        <w:spacing w:before="120" w:after="120" w:line="124" w:lineRule="atLeast"/>
        <w:rPr>
          <w:rFonts w:ascii="Garamond" w:hAnsi="Garamond" w:cs="Arial"/>
          <w:color w:val="000000"/>
        </w:rPr>
      </w:pPr>
      <w:r w:rsidRPr="00CA69A1">
        <w:rPr>
          <w:rFonts w:ascii="Garamond" w:hAnsi="Garamond" w:cs="Arial"/>
          <w:color w:val="000000"/>
          <w:lang w:val="en-GB"/>
        </w:rPr>
        <w:t xml:space="preserve">Es ist fast beschämend, daß wir nach so langer Arbeit noch immer Schwierigkeiten in der Auffassung der fundamentalsten Verhältnisse finden, aber wir haben uns vorgenommen, nichts zu vereinfachen und nichts zu verheimlichen. Wenn wir nicht klar sehen können, wollen wir wenigstens die Unklarheiten scharf sehen. Was uns hier im Wege steht, ist offenbar eine Unebenheit in der Entwicklung unserer Trieblehre. Wir hatten zuerst die Organisationen der Libido von der oralen über die sadistisch-anale zur genitalen Stufe verfolgt und dabei alle Komponenten des Sexualtriebs einander gleichstellt. </w:t>
      </w:r>
      <w:r w:rsidRPr="00CA69A1">
        <w:rPr>
          <w:rFonts w:ascii="Garamond" w:hAnsi="Garamond" w:cs="Arial"/>
          <w:color w:val="000000"/>
        </w:rPr>
        <w:t>Später erschien uns der Sadismus als der Vertreter eines andern, dem Eros gegensätzlichen Triebes. Die neue Auffassung von den zwei Triebgruppen scheint die frühere Konstruktion von sukzessiven Phasen der Libidoorganisation zu sprengen. Die hilfreiche Auskunft aus dieser Schwierigkeit brauchen wir aber nicht neu zu erfinden. Sie hat sich uns längst geboten und lautet, daß wir es kaum jemals mit reinen Triebregungen zu tun haben, sondern durchweg mit Legierungen beider Triebe in verschiedenen Mengenverhältnissen. Die sadistische Objektbesetzung hat also auch ein Anrecht, als eine libidinöse behandelt zu werden, die Organisationen der Libido brauchen nicht revidiert zu werden, die aggressive Regung gegen den Vater kann mit demselben Anrecht Objekt der Verdrängung werden wie die zärtliche für die Mutter. Immerhin setzen wir als Stoff für spätere Überlegung die Möglichkeit beiseite, daß die Verdrängung ein Prozeß ist, der eine besondere Beziehung zur Genitalorganisation der Libido hat, daß das Ich zu anderen Methoden der Abwehr greift, wenn es sich der Libido auf anderen Stufen der Organisation zu erwehren hat, und setzen wir fort: Ein Fall wie der des kleinen Hans gestattet uns keine Entscheidung; hier wird zwar eine aggressive Regung durch Verdrängung erledigt, aber nachdem die Genitalorganisation bereits erreicht ist.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Wir wollen diesmal die Beziehung zur Angst nicht aus den Augen lassen. Wir sagten, sowie das Ich die Kastrationsgefahr erkannt hat, gibt es das Angstsignal und inhibiert mittels der Lust-Unlust-Instanz auf eine weiter nicht einsichtliche Weise den bedrohlichen Besetzungsvorgang im Es. Gleichzeitig vollzieht sich die Bildung der Phobie. Die Kastrationsangst erhält ein anderes Objekt und einen entstellten Ausdruck: vom Pferd gebissen (vom Wolf gefressen), anstatt vom Vater kastriert zu werden. Die Ersatzbildung hat zwei offenkundige Vorteile, erstens, daß sie einem Ambivalenzkonflikt ausweicht, denn der Vater ist ein gleichzeitig geliebtes Objekt, und zweitens, daß sie dem Ich gestattet, die Angstentwicklung einzustellen. Die Angst der Phobie ist nämlich eine fakultative, sie tritt nur auf, wenn ihr Objekt Gegenstand der Wahrnehmung wird. Das ist ganz korrekt; nur dann ist nämlich die Gefahrsituation vorhanden. Von einem abwesenden Vater braucht man auch die Kastration nicht zu befürchten. Nun kann man den Vater nicht wegschaffen, er zeigt sich immer, wann er will. Ist er aber durch das Tier ersetzt, so braucht man nur den Anblick, d. h. die Gegenwart des Tieres zu vermeiden, um frei von Gefahr und Angst zu sein. Der kleine Hans legt seinem Ich also eine Einschränkung auf, er produziert die Hemmung, nicht auszugehen, um nicht mit Pferden zusammenzutreffen. Der kleine Russe hat es noch bequemer, es ist kaum ein Verzicht für ihn, daß er ein gewisses Bilderbuch nicht mehr zur Hand nimmt. Wenn die schlimme Schwester ihm nicht immer wieder das Bild des aufrechtstehenden Wolfes in diesem Buch vor Augen halten würde, dürfte er sich vor seiner Angst gesichert fühlen.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lastRenderedPageBreak/>
        <w:t>Ich habe früher einmal der Phobie den Charakter einer Projektion zugeschrieben, indem sie eine innere Triebgefahr durch eine äußere Wahrnehmungsgefahr ersetzt. Das bringt den Vorteil, daß man sich gegen die äußere Gefahr durch Flucht und Vermeidung der Wahrnehmung schützen kann, während gegen die Gefahr von innen keine Flucht nützt. Meine Bemerkung ist nicht unrichtig, aber sie bleibt an der Oberfläche. Der Triebanspruch ist ja nicht an sich eine Gefahr, sondern nur darum, weil er eine richtige äußere Gefahr, die der Kastration, mit sich bringt. So ist im Grunde bei der Phobie doch nur eine äußere Gefahr durch eine andere ersetzt. Daß das Ich sich bei der Phobie durch eine Vermeidung oder ein Hemmungssymptom der Angst entziehen kann, stimmt sehr gut zur Auffassung, diese Angst sei nur ein Affektsignal und an der ökonomischen Situation sei nichts geändert worden.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rPr>
        <w:t xml:space="preserve">Die Angst der Tierphobien ist also eine Affektreaktion des Ichs auf die Gefahr; die Gefahr, die hier signalisiert wird, die der Kastration. </w:t>
      </w:r>
      <w:r w:rsidRPr="00CA69A1">
        <w:rPr>
          <w:rFonts w:ascii="Garamond" w:hAnsi="Garamond" w:cs="Arial"/>
          <w:color w:val="000000"/>
          <w:lang w:val="en-GB"/>
        </w:rPr>
        <w:t>Kein anderer Unterschied von der Realangst, die das Ich normalerweise in Gefahrsituationen äußert, als daß der Inhalt der Angst unbewußt bleibt und nur in einer Entstellung bewußt wird.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Dieselbe Auffassung wird sich uns, glaube ich, auch für die Phobien Erwachsener giltig erweisen, wenngleich das Material, das die Neurose verarbeitet, hier sehr viel reichhaltiger ist und einige Momente zur Symptombildung hinzukommen. Im Grunde ist es das nämliche. Der Agoraphobe legt seinem Ich eine Beschränkung auf, um einer Triebgefahr zu entgehen. Die Triebgefahr ist die Versuchung, seinen erotischen Gelüsten nachzugeben, wodurch er wieder wie in der Kindheit die Gefahr der Kastration, oder eine ihr analoge, heraufbeschwören würde. Als einfaches Beispiel führe ich den Fall eines jungen Mannes an, der agoraphob wurde, weil er befürchtete, den Lockungen von Prostituierten nachzugeben und sich zur Strafe Syphilis zu holen.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Ich weiß wohl, daß viele Fälle eine kompliziertere Struktur zeigen und daß viele andere verdrängte Triebregungen in die Phobie einmünden können, aber diese sind nur auxiliär und haben sich meist nachträglich mit dem Kern der Neurose in Verbindung gesetzt. Die Symptomatik der Agoraphobie wird dadurch kompliziert, daß das Ich sich nicht damit begnügt, auf etwas zu verzichten; es tut noch etwas hinzu, um der Situation ihre Gefahr zu benehmen. Diese Zutat ist gewöhnlich eine zeitliche Regression in die Kinderjahre (im extremen Fall bis in den Mutterleib, in Zeiten, in denen man gegen die heute drohenden Gefahren geschützt war) und tritt als die Bedingung auf, unter der der Verzicht unterbleiben kann. So kann der Agoraphobe auf die Straße gehen, wenn er wie ein kleines Kind von einer Person seines Vertrauens begleitet wird. Dieselbe Rücksicht mag ihm auch gestatten, allein auszugehen, wenn er sich nur nicht über eine bestimmte Strecke von seinem Haus entfernt, nicht in Gegenden geht, die er nicht gut kennt und wo er den Leuten nicht bekannt ist. In der Auswahl dieser Bestimmungen zeigt sich der Einfluß der infantilen Momente, die ihn durch seine Neurose beherrschen. Ganz eindeutig, auch ohne solche infantile Regression, ist die Phobie vor dem Alleinsein, die im Grunde der Versuchung zur einsamen Onanie ausweichen will. Die Bedingung dieser infantilen Regression ist natürlich die zeitliche Entfernung von der Kindheit.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Phobie stellt sich in der Regel her, nachdem unter gewissen Umständen – auf der Straße, auf der Eisenbahn, im Alleinsein – ein erster Angstanfall erlebt worden ist. Dann ist die Angst gebannt, tritt aber jedesmal wieder auf, wenn die schützende Bedingung nicht eingehalten werden kann. Der Mechanismus der Phobie tut als Abwehrmittel gute Dienste und zeigt eine große Neigung zur Stabilität. Eine Fortsetzung des Abwehrkampfes, der sich jetzt gegen das Symptom richtet, tritt häufig, aber nicht notwendig, ein.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Was wir über die Angst bei den Phobien erfahren haben, bleibt noch für die Zwangsneurose verwertbar. </w:t>
      </w:r>
      <w:r w:rsidRPr="00CA69A1">
        <w:rPr>
          <w:rFonts w:ascii="Garamond" w:hAnsi="Garamond" w:cs="Arial"/>
          <w:color w:val="000000"/>
        </w:rPr>
        <w:t xml:space="preserve">Es ist nicht schwierig, die Situation der Zwangsneurose auf die der Phobie zu reduzieren. Der Motor aller späteren Symptombildung ist hier offenbar die Angst des Ichs vor seinem Über-Ich. Die Feindseligkeit des Über-Ichs ist die Gefahrsituation, der sich das Ich entziehen muß. Hier fehlt jeder Anschein einer Projektion, die Gefahr ist durchaus verinnerlicht. Aber wenn wir uns fragen, was das Ich von Seiten des Über-Ichs befürchtet, so drängt sich die Auffassung auf, daß die Strafe des Über-Ichs eine Fortbildung der Kastrationsstrafe ist. </w:t>
      </w:r>
      <w:r w:rsidRPr="00AD6ACB">
        <w:rPr>
          <w:rFonts w:ascii="Garamond" w:hAnsi="Garamond" w:cs="Arial"/>
          <w:color w:val="000000"/>
          <w:lang w:val="en-US"/>
        </w:rPr>
        <w:t xml:space="preserve">Wie das Über-Ich der unpersönlich gewordene Vater ist, so hat sich die Angst vor der durch ihn drohenden Kastration zur unbestimmten sozialen oder Gewissensangst umgewandelt. </w:t>
      </w:r>
      <w:r w:rsidRPr="00CA69A1">
        <w:rPr>
          <w:rFonts w:ascii="Garamond" w:hAnsi="Garamond" w:cs="Arial"/>
          <w:color w:val="000000"/>
          <w:lang w:val="en-GB"/>
        </w:rPr>
        <w:t xml:space="preserve">Aber diese Angst ist gedeckt, das Ich entzieht sich ihr, indem es die ihm auferlegten Gebote, Vorschriften und Bußhandlungen gehorsam ausführt. Wenn es daran gehindert wird, dann tritt sofort ein äußerst peinliches Unbehagen auf, in dem wir das Äquivalent der Angst erblicken dürfen, das die Kranken selbst der Angst gleichstellen. Unser Ergebnis lautet also: Die Angst ist die Reaktion auf die Gefahrsituation; sie wird </w:t>
      </w:r>
      <w:r w:rsidRPr="00CA69A1">
        <w:rPr>
          <w:rFonts w:ascii="Garamond" w:hAnsi="Garamond" w:cs="Arial"/>
          <w:color w:val="000000"/>
          <w:lang w:val="en-GB"/>
        </w:rPr>
        <w:lastRenderedPageBreak/>
        <w:t xml:space="preserve">dadurch erspart, daß das Ich etwas tut, um die Situation zu vermeiden oder sich ihr zu entziehen. Man könnte nun sagen, die Symptome werden geschaffen, um die Angstentwicklung zu vermeiden, aber das läßt nicht tief blicken. Es ist richtiger zu sagen, die Symptome werden geschaffen, um die </w:t>
      </w:r>
      <w:r w:rsidRPr="00CA69A1">
        <w:rPr>
          <w:rFonts w:ascii="Garamond" w:hAnsi="Garamond" w:cs="Arial"/>
          <w:i/>
          <w:iCs/>
          <w:color w:val="000000"/>
          <w:lang w:val="en-GB"/>
        </w:rPr>
        <w:t>Gefahrsituation</w:t>
      </w:r>
      <w:r w:rsidRPr="00CA69A1">
        <w:rPr>
          <w:rFonts w:ascii="Garamond" w:hAnsi="Garamond" w:cs="Arial"/>
          <w:color w:val="000000"/>
          <w:lang w:val="en-GB"/>
        </w:rPr>
        <w:t xml:space="preserve"> zu vermeiden, die durch die Angstentwicklung signalisiert wird. Diese Gefahr war aber in den bisher betrachteten Fällen die Kastration oder etwas von ihr Abgeleitetes.</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Wenn die Angst die Reaktion des Ichs auf die Gefahr ist, so liegt es nahe, die traumatische Neurose, welche sich so häufig an überstandene Lebensgefahr anschließt, als direkte Folge der Lebens- oder Todesangst mit Beiseitesetzung der Abhängigkeiten des Ichs und der Kastration aufzufassen. Das ist auch von den meisten Beobachtern der traumatischen Neurosen des letzten Krieges geschehen, und es ist triumphierend verkündet worden, nun sei der Beweis erbracht, daß eine Gefährdung des Selbsterhaltungstriebes eine Neurose erzeugen könne ohne jede Beteiligung der Sexualität und ohne Rücksicht auf die komplizierten Annahmen der Psychoanalyse. Es ist in der Tat außerordentlich zu bedauern, daß nicht eine einzige verwertbare Analyse einer traumatischen Neurose vorliegt. Nicht wegen des Widerspruches gegen die ätiologische Bedeutung der Sexualität, denn dieser ist längst durch die Einführung des Narzißmus aufgehoben worden, der die libidinöse Besetzung des Ichs in eine Reihe mit den Objektbesetzungen bringt und die libidinöse Natur des Selbsterhaltungstriebes betont, sondern weil wir durch den Ausfall dieser Analysen die kostbarste Gelegenheit zu entscheidenden Aufschlüssen über das Verhältnis zwischen Angst und Symptombildung versäumt haben. Es ist nach allem, was wir von der Struktur der simpleren Neurosen des täglichen Lebens wissen, sehr unwahrscheinlich, daß eine Neurose nur durch die objektive Tatsache der Gefährdung ohne Beteiligung der tieferen unbewußten Schichten des seelischen Apparats zustande kommen sollte. Im Unbewußten ist aber nichts vorhanden, was unserem Begriff der Lebensvernichtung Inhalt geben kann. Die Kastration wird sozusagen vorstellbar durch die tägliche Erfahrung der Trennung vom Darminhalt und durch den bei der Entwöhnung erlebten Verlust der mütterlichen Brust; etwas dem Tod Ähnliches ist aber nie erlebt worden oder hat wie die Ohnmacht keine nachweisbare Spur hinterlassen. Ich halte darum an der Vermutung fest, daß die Todesangst als Analogon der Kastrationsangst aufzufassen ist und daß die Situation, auf welche das Ich reagiert, das Verlassensein vom schützenden Über-Ich – den Schicksalsmächten – ist, womit die Sicherung gegen alle Gefahren ein Ende hat. Außerdem kommt in Betracht, daß bei den Erlebnissen, die zur traumatischen Neurose führen, äußerer Reizschutz durchbrochen wird und übergroße Erregungsmengen an den seelischen Apparat herantreten, so daß hier die zweite Möglichkeit vorliegt, daß Angst nicht nur als Affekt signalisiert, sondern auch aus den ökonomischen Bedingungen der Situation neu erzeugt wird.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Durch die letzte Bemerkung, das Ich sei durch regelmäßig wiederholte Objektverluste auf die Kastration vorbereitet worden, haben wir eine neue Auffassung der Angst gewonnen. Betrachteten wir sie bisher als Affektsignal der Gefahr, so erscheint sie uns nun, da es sich so oft um die Gefahr der Kastration handelt, als die Reaktion auf einen Verlust, eine Trennung. Mag auch mancherlei, was sich sofort ergibt, gegen diesen Schluß sprechen, so muß uns doch eine sehr merkwürdige Übereinstimmung auffallen. Das erste Angsterlebnis des Menschen wenigstens ist die Geburt, und diese bedeutet objektiv die Trennung von der Mutter, könnte einer Kastration der Mutter (nach der Gleichung Kind = Penis) verglichen werden. Nun wäre es sehr befriedigend, wenn die Angst als Symbol einer Trennung bei jeder späteren Trennung wiederholt würde, aber leider steht einer Verwertung dieses Zusammenstimmens im Wege, daß ja die Geburt subjektiv nicht als Trennung von der Mutter erlebt wird, da diese als Objekt dem durchaus narzißtischen Fötus völlig unbekannt ist. Ein anderes Bedenken wird lauten, daß uns die Affektreaktionen auf eine Trennung bekannt sind und daß wir sie als Schmerz und Trauer, nicht als Angst empfinden. Allerdings erinnern wir uns, wir haben bei der Diskussion der Trauer auch nicht verstehen können, warum sie so schmerzhaft ist.</w:t>
      </w:r>
    </w:p>
    <w:p w:rsidR="00090F57" w:rsidRDefault="00090F57" w:rsidP="00AD6ACB">
      <w:pPr>
        <w:shd w:val="clear" w:color="auto" w:fill="FFFFFF"/>
        <w:spacing w:before="221" w:after="44" w:line="306" w:lineRule="atLeast"/>
        <w:outlineLvl w:val="3"/>
        <w:rPr>
          <w:rFonts w:ascii="Garamond" w:hAnsi="Garamond" w:cs="Arial"/>
          <w:b/>
          <w:bCs/>
          <w:color w:val="000000"/>
          <w:lang w:val="en-GB"/>
        </w:rPr>
      </w:pPr>
    </w:p>
    <w:p w:rsidR="00090F57" w:rsidRDefault="00090F57">
      <w:pPr>
        <w:rPr>
          <w:rFonts w:ascii="Garamond" w:hAnsi="Garamond" w:cs="Arial"/>
          <w:b/>
          <w:bCs/>
          <w:color w:val="000000"/>
          <w:lang w:val="en-GB"/>
        </w:rPr>
      </w:pPr>
      <w:r>
        <w:rPr>
          <w:rFonts w:ascii="Garamond" w:hAnsi="Garamond" w:cs="Arial"/>
          <w:b/>
          <w:bCs/>
          <w:color w:val="000000"/>
          <w:lang w:val="en-GB"/>
        </w:rPr>
        <w:br w:type="page"/>
      </w:r>
    </w:p>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hyperlink w:anchor="Angst_INHALT" w:history="1">
        <w:r w:rsidR="00AD6ACB" w:rsidRPr="00090F57">
          <w:rPr>
            <w:rStyle w:val="Lienhypertexte"/>
            <w:rFonts w:ascii="Garamond" w:hAnsi="Garamond" w:cs="Arial"/>
            <w:b/>
            <w:bCs/>
            <w:lang w:val="en-GB"/>
          </w:rPr>
          <w:t>VI</w:t>
        </w:r>
        <w:bookmarkStart w:id="125" w:name="Angst_8"/>
        <w:bookmarkEnd w:id="125"/>
        <w:r w:rsidR="00AD6ACB" w:rsidRPr="00090F57">
          <w:rPr>
            <w:rStyle w:val="Lienhypertexte"/>
            <w:rFonts w:ascii="Garamond" w:hAnsi="Garamond" w:cs="Arial"/>
            <w:b/>
            <w:bCs/>
            <w:lang w:val="en-GB"/>
          </w:rPr>
          <w:t>II</w:t>
        </w:r>
      </w:hyperlink>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Es ist Zeit, sich zu besinnen. Wir suchen offenbar nach einer Einsicht, die uns das Wesen der Angst erschließt, nach einem Entweder-Oder, das die Wahrheit über sie vom Irrtum scheidet. Aber das ist schwer zu haben, die Angst ist nicht einfach zu erfassen. Bisher haben wir nichts erreicht als Widersprüche, zwischen denen ohne Vorurteil keine Wahl möglich war. Ich schlage jetzt vor, es anders zu machen; wir wollen unparteiisch alles zusammentragen, was wir von der Angst aussagen können, und dabei auf die Erwartung einer neuen Synthese verzichten.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Angst ist also in erster Linie etwas Empfundenes. Wir heißen sie einen Affektzustand, obwohl wir auch nicht wissen, was ein Affekt ist. Sie hat als Empfindung offenbarsten Unlustcharakter, aber das erschöpft nicht ihre Qualität; nicht jede Unlust können wir Angst heißen. Es gibt andere Empfindungen mit Unlustcharakter (Spannungen, Schmerz, Trauer), und die Angst muß außer dieser Unlustqualität andere Besonderheiten haben. Eine Frage: Werden wir es dazu bringen, die Unterschiede zwischen diesen verschiedenen Unlustaffekten zu verstehen?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Aus der Empfindung der Angst können wir immerhin etwas entnehmen. Ihr Unlustcharakter scheint eine besondere Note zu haben; das ist schwer zu beweisen, aber wahrscheinlich; es wäre nichts Auffälliges. Aber außer diesem schwer isolierbaren Eigencharakter nehmen wir an der Angst bestimmtere körperliche Sensationen wahr, die wir auf bestimmte Organe beziehen. Da uns die Physiologie der Angst hier nicht interessiert, genügt es uns, einzelne Repräsentanten dieser Sensationen hervorzuheben, also die häufigsten und deutlichsten an den Atmungsorganen und am Herzen. Sie sind uns Beweise dafür, daß motorische Innervationen, also Abfuhrvorgänge an dem Ganzen der Angst Anteil haben. Die Analyse des Angstzustandes ergibt also 1) einen spezifischen Unlustcharakter, 2) Abfuhraktionen, 3) Wahrnehmungen derselben. Die Punkte 2 und 3 ergeben uns bereits einen Unterschied gegen die ähnlichen Zustände, z. B. der Trauer und des Schmerzes. Bei diesen gehören die motorischen Äußerungen nicht dazu; wo sie vorhanden sind, sondern sie sich deutlich nicht als Bestandteile des Ganzen, sondern als Konsequenzen oder Reaktionen darauf. Die Angst ist also ein besonderer Unlustzustand mit Abfuhraktionen auf bestimmte Bahnen. Nach unseren allgemeinen Anschauungen werden wir glauben, daß der Angst eine Steigerung der Erregung zugrunde liegt, die einerseits den Unlustcharakter schafft, anderseits sie durch die genannten Abfuhren erleichtert. Diese rein physiologische Zusammenfassung wird uns aber kaum genügen; wir sind versucht anzunehmen, daß ein historisches Moment da ist, welches die Sensationen und Innervationen der Angst fest aneinanderbindet. Mit anderen Worten, daß der Angstzustand die Reproduktion eines Erlebnisses ist, das die Bedingungen einer solchen Reizsteigerung und der Abfuhr auf bestimmte Bahnen enthielt, wodurch also die Unlust der Angst ihren spezifischen Charakter erhält. Als solches vorbildliches Erlebnis bietet sich uns für den Menschen die Geburt, und darum sind wir geneigt, im Angstzustand eine Reproduktion des Geburtstraumas zu sehen.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Wir haben damit nichts behauptet, was der Angst eine Ausnahmsstellung unter den Affektzuständen einräumen würde. Wir meinen, auch die anderen Affekte sind Reproduktionen alter, lebenswichtiger, eventuell vorindividueller Ereignisse, und wir bringen sie als allgemeine, typische, mitgeborene hysterische Anfälle in Vergleich mit den spät und individuell erworbenen Attacken der hysterischen Neurose, deren Genese und Bedeutung als Erinnerungssymbole uns durch die Analyse deutlich geworden ist. Natürlich wäre es sehr wünschenswert, diese Auffassung für eine Reihe anderer Affekte beweisend durchführen zu können, wovon wir heute weit entfernt sind.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Zurückführung der Angst auf das Geburtsereignis hat sich gegen naheliegende Einwände zu verteidigen. Die Angst ist eine wahrscheinlich allen Organismen, jedenfalls allen höheren zukommende Reaktion, die Geburt wird nur von den Säugetieren erlebt, und es ist fraglich, ob sie bei allen diesen die Bedeutung eines Traumas hat. Es gibt also Angst ohne Geburtsvorbild. Aber dieser Einwand setzt sich über die Schranken zwischen Biologie und Psychologie hinaus. Gerade weil die Angst eine biologisch unentbehrliche Funktion zu erfüllen hat, als Reaktion auf den Zustand der Gefahr, mag sie bei verschiedenen Lebewesen auf verschiedene Art eingerichtet worden sein. Wir wissen auch nicht, ob sie bei dem Menschen fernerstehenden Lebewesen denselben Inhalt an Sensationen und Innervationen hat wie beim Menschen. Das hindert also nicht, daß die Angst beim Menschen den Geburtsvorgang zum Vorbild nimmt.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Wenn dies die Struktur und die Herkunft der Angst ist, so lautet die weitere Frage: Was ist ihre Funktion? Bei welchen Gelegenheiten wird sie reproduziert? Die Antwort scheint naheliegend und zwingend zu sein. </w:t>
      </w:r>
      <w:r w:rsidRPr="00CA69A1">
        <w:rPr>
          <w:rFonts w:ascii="Garamond" w:hAnsi="Garamond" w:cs="Arial"/>
          <w:color w:val="000000"/>
          <w:lang w:val="en-GB"/>
        </w:rPr>
        <w:lastRenderedPageBreak/>
        <w:t xml:space="preserve">Die Angst entstand als Reaktion auf einen Zustand der </w:t>
      </w:r>
      <w:r w:rsidRPr="00CA69A1">
        <w:rPr>
          <w:rFonts w:ascii="Garamond" w:hAnsi="Garamond" w:cs="Arial"/>
          <w:i/>
          <w:iCs/>
          <w:color w:val="000000"/>
          <w:lang w:val="en-GB"/>
        </w:rPr>
        <w:t>Gefahr</w:t>
      </w:r>
      <w:r w:rsidRPr="00CA69A1">
        <w:rPr>
          <w:rFonts w:ascii="Garamond" w:hAnsi="Garamond" w:cs="Arial"/>
          <w:color w:val="000000"/>
          <w:lang w:val="en-GB"/>
        </w:rPr>
        <w:t>, sie wird nun regelmäßig reproduziert, wenn sich ein solcher Zustand wieder einstellt.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Dazu ist aber einiges zu bemerken. Die Innervationen des ursprünglichen Angstzustandes waren wahrscheinlich auch sinnvoll und zweckmäßig, ganz so wie die Muskelaktionen des ersten hysterischen Anfalls. Wenn man den hysterischen Anfall erklären will, braucht man ja nur die Situation zu suchen, in der die betreffenden Bewegungen Anteile einer berechtigten Handlung waren. So hat wahrscheinlich während der Geburt die Richtung der Innervation auf die Atmungsorgane die Tätigkeit der Lungen vorbereitet, die Beschleunigung des Herzschlags gegen die Vergiftung des Blutes arbeiten wollen. Diese Zweckmäßigkeit entfällt natürlich bei der späteren Reproduktion des Angstzustandes als Affekt, wie sie auch beim wiederholten hysterischen Anfall vermißt wird. Wenn also das Individuum in eine neue Gefahrsituation gerät, so kann es leicht unzweckmäßig werden, daß es mit dem Angstzustand, der Reaktion auf eine frühere Gefahr, antwortet, anstatt die der jetzigen adäquate Reaktion einzuschlagen. Die Zweckmäßigkeit tritt aber wieder hervor, wenn die Gefahrsituation als herannahend erkannt und durch den Angstausbruch signalisiert wird. Die Angst kann dann sofort durch geeignetere Maßnahmen abgelöst werden. Es sondern sich also sofort zwei Möglichkeiten des Auftretens der Angst: die eine, unzweckmäßige, in einer neuen Gefahrsituation, die andere, zweckmäßige, zur Signalisierung und Verhütung einer solchen.</w:t>
      </w:r>
    </w:p>
    <w:p w:rsidR="00AD6ACB" w:rsidRPr="00AD6ACB"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Was aber ist eine »Gefahr«? Im Geburtsakt besteht eine objektive Gefahr für die Erhaltung des Lebens, wir wissen, was das in der Realität bedeutet. </w:t>
      </w:r>
      <w:r w:rsidRPr="00AD6ACB">
        <w:rPr>
          <w:rFonts w:ascii="Garamond" w:hAnsi="Garamond" w:cs="Arial"/>
          <w:color w:val="000000"/>
          <w:lang w:val="en-GB"/>
        </w:rPr>
        <w:t>Aber psychologisch sagt es uns gar nichts. Die Gefahr der Geburt hat noch keinen psychischen Inhalt. Sicherlich dürfen wir beim Fötus nichts voraussetzen, was sich irgendwie einer Art von Wissen um die Möglichkeit eines Ausgangs in Lebensvernichtung annähert. Der Fötus kann nichts anderes bemerken als eine großartige Störung in der Ökonomie seiner narzißtischen Libido. Große Erregungssummen dringen zu ihm, erzeugen neuartige Unlustempfindungen, manche Organe erzwingen sich erhöhte Besetzungen, was wie ein Vorspiel der bald beginnenden Objektbesetzung ist; was davon wird als Merkzeichen einer »Gefahrsituation« Verwertung finden?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AD6ACB">
        <w:rPr>
          <w:rFonts w:ascii="Garamond" w:hAnsi="Garamond" w:cs="Arial"/>
          <w:color w:val="000000"/>
          <w:lang w:val="en-GB"/>
        </w:rPr>
        <w:t xml:space="preserve">Wir wissen leider viel zu wenig von der seelischen Verfassung des Neugeborenen, um diese Frage direkt zu beantworten. Ich kann nicht einmal für die Brauchbarkeit der eben gegebenen Schilderung einstehen. </w:t>
      </w:r>
      <w:r w:rsidRPr="00CA69A1">
        <w:rPr>
          <w:rFonts w:ascii="Garamond" w:hAnsi="Garamond" w:cs="Arial"/>
          <w:color w:val="000000"/>
          <w:lang w:val="en-GB"/>
        </w:rPr>
        <w:t>Es ist leicht zu sagen, das Neugeborene werde den Angstaffekt in allen Situationen wiederholen, die es an das Geburtsereignis erinnert. Der entscheidende Punkt bleibt aber, wodurch und woran es erinnert wird.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Es bleibt uns kaum etwas anderes übrig, als die Anlässe zu studieren, bei denen der Säugling oder das ein wenig ältere Kind sich zur Angstentwicklung bereit zeigt. Rank hat in seinem Buch </w:t>
      </w:r>
      <w:r w:rsidRPr="00CA69A1">
        <w:rPr>
          <w:rFonts w:ascii="Garamond" w:hAnsi="Garamond" w:cs="Arial"/>
          <w:i/>
          <w:iCs/>
          <w:color w:val="000000"/>
          <w:lang w:val="en-GB"/>
        </w:rPr>
        <w:t>Das Trauma der Geburt</w:t>
      </w:r>
      <w:r w:rsidRPr="00CA69A1">
        <w:rPr>
          <w:rFonts w:ascii="Garamond" w:hAnsi="Garamond" w:cs="Arial"/>
          <w:color w:val="000000"/>
          <w:lang w:val="en-GB"/>
        </w:rPr>
        <w:t xml:space="preserve"> (1924) einen sehr energischen Versuch gemacht, die Beziehungen der frühesten Phobien des Kindes zum Eindruck des Geburtsereignisses zu erweisen, allein ich kann ihn nicht für geglückt halten. Man kann ihm zweierlei vorwerfen: Erstens, daß er auf der Voraussetzung beruht, das Kind habe bestimmte Sinneseindrücke, insbesondere visueller Natur, bei seiner Geburt empfangen, deren Erneuerung die Erinnerung an das Geburtstrauma und somit die Angstreaktion hervorrufen kann. Diese Annahme ist völlig unbewiesen und sehr unwahrscheinlich; es ist nicht glaubhaft, daß das Kind andere als taktile und Allgemeinsensationen vom Geburtsvorgang bewahrt hat. Wenn es also später Angst vor kleinen Tieren zeigt, die in Löchern verschwinden oder aus diesen herauskommen, so erklärt Rank diese Reaktion durch die Wahrnehmung einer Analogie, die aber dem Kinde nicht auffällig werden kann. Zweitens, daß Rank in der Würdigung dieser späteren Angstsituationen je nach Bedürfnis die Erinnerung an die glückliche intrauterine Existenz oder an deren traumatische Störung wirksam werden läßt, womit der Willkür in der Deutung Tür und Tor geöffnet wird. Einzelne Fälle dieser Kinderangst widersetzen sich direkt der Anwendung des Rankschen Prinzips. Wenn das Kind in Dunkelheit und Einsamkeit gebracht wird, so sollten wir erwarten, daß es diese Wiederherstellung der intrauterinen Situation mit Befriedigung aufnimmt, und wenn die Tatsache, daß es gerade dann mit Angst reagiert, auf die Erinnerung an die Störung dieses Glücks durch die Geburt zurückgeführt wird, so kann man das Gezwungene dieses Erklärungsversuches nicht länger verkennen.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Ich muß den Schluß ziehen, daß die frühesten Kindheitsphobien eine direkte Rückführung auf den Eindruck des Geburtsaktes nicht zulassen und sich überhaupt bis jetzt der Erklärung entzogen haben. Eine gewisse Angstbereitschaft des Säuglings ist unverkennbar. Sie ist nicht etwa unmittelbar nach der Geburt am stärksten, um dann langsam abzunehmen, sondern tritt erst später mit dem Fortschritt der seelischen Entwicklung hervor und hält über eine gewisse Periode der Kinderzeit an. Wenn sich solche Frühphobien über diese Zeit hinaus erstrecken, erwecken sie den Verdacht einer neurotischen Störung, </w:t>
      </w:r>
      <w:r w:rsidRPr="00CA69A1">
        <w:rPr>
          <w:rFonts w:ascii="Garamond" w:hAnsi="Garamond" w:cs="Arial"/>
          <w:color w:val="000000"/>
          <w:lang w:val="en-GB"/>
        </w:rPr>
        <w:lastRenderedPageBreak/>
        <w:t>wiewohl uns ihre Beziehung zu den späteren deutlichen Neurosen der Kindheit keineswegs einsichtlich ist.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Nur wenige Fälle der kindlichen Angstäußerung sind uns verständlich; an diese werden wir uns halten müssen. So, wenn das Kind allein, in der Dunkelheit, ist und wenn es eine fremde Person an Stelle der ihm vertrauten (der Mutter) findet. Diese drei Fälle reduzieren sich auf eine einzige Bedingung, das Vermissen der geliebten (ersehnten) Person. Von da an ist aber der Weg zum Verständnis der Angst und zur Vereinigung der Widersprüche, die sich an sie zu knüpfen scheinen, frei.</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Das Erinnerungsbild der ersehnten Person wird gewiß intensiv, wahrscheinlich zunächst halluzinatorisch besetzt. Aber das hat keinen Erfolg, und nun hat es den Anschein, als ob diese Sehnsucht in Angst umschlüge. Es macht geradezu den Eindruck, als wäre diese Angst ein Ausdruck der Ratlosigkeit, als wüßte das noch sehr unentwickelte Wesen mit dieser sehnsüchtigen Besetzung nichts Besseres anzufangen. Die Angst erscheint so als Reaktion auf das Vermissen des Objekts, und es drängen sich uns die Analogien auf, daß auch die Kastrationsangst die Trennung von einem hochgeschätzten Objekt zum Inhalt hat und daß die ursprünglichste Angst (die » </w:t>
      </w:r>
      <w:r w:rsidRPr="00CA69A1">
        <w:rPr>
          <w:rFonts w:ascii="Garamond" w:hAnsi="Garamond" w:cs="Arial"/>
          <w:i/>
          <w:iCs/>
          <w:color w:val="000000"/>
          <w:lang w:val="en-GB"/>
        </w:rPr>
        <w:t>Urangst</w:t>
      </w:r>
      <w:r w:rsidRPr="00CA69A1">
        <w:rPr>
          <w:rFonts w:ascii="Garamond" w:hAnsi="Garamond" w:cs="Arial"/>
          <w:color w:val="000000"/>
          <w:lang w:val="en-GB"/>
        </w:rPr>
        <w:t>« der Geburt) bei der Trennung von der Mutter entstand.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Die nächste Überlegung führt über diese Betonung des Objektverlustes hinaus. Wenn der Säugling nach der Wahrnehmung der Mutter verlangt, so doch nur darum, weil er bereits aus Erfahrung weiß, daß sie alle seine Bedürfnisse ohne Verzug befriedigt. Die Situation, die er als »Gefahr« wertet, gegen die er versichert sein will, ist also die der Unbefriedigung, des </w:t>
      </w:r>
      <w:r w:rsidRPr="00CA69A1">
        <w:rPr>
          <w:rFonts w:ascii="Garamond" w:hAnsi="Garamond" w:cs="Arial"/>
          <w:i/>
          <w:iCs/>
          <w:color w:val="000000"/>
          <w:lang w:val="en-GB"/>
        </w:rPr>
        <w:t>Anwachsens der Bedürfnisspannung</w:t>
      </w:r>
      <w:r w:rsidRPr="00CA69A1">
        <w:rPr>
          <w:rFonts w:ascii="Garamond" w:hAnsi="Garamond" w:cs="Arial"/>
          <w:color w:val="000000"/>
          <w:lang w:val="en-GB"/>
        </w:rPr>
        <w:t>, gegen die er ohnmächtig ist. Ich meine, von diesem Gesichtspunkt aus ordnet sich alles ein; die Situation der Unbefriedigung, in der Reizgrößen eine unlustvolle Höhe erreichen, ohne Bewältigung durch psychische Verwendung und Abfuhr zu finden, muß für den Säugling die Analogie mit dem Geburtserlebnis, die Wiederholung der Gefahrsituation sein; das beiden Gemeinsame ist die ökonomische Störung durch das Anwachsen der Erledigung heischenden Reizgrößen, dieses Moment also der eigentliche Kern der »Gefahr«. In beiden Fällen tritt die Angstreaktion auf, die sich auch noch beim Säugling als zweckmäßig erweist, indem die Richtung der Abfuhr auf Atem- und Stimmuskulatur nun die Mutter herbeiruft, wie sie früher die Lungentätigkeit zur Wegschaffung der inneren Reize anregte. Mehr als diese Kennzeichnung der Gefahr braucht das Kind von seiner Geburt nicht bewahrt zu haben.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Mit der Erfahrung, daß ein äußeres, durch Wahrnehmung erfaßbares Objekt der an die Geburt mahnenden gefährlichen Situation ein Ende machen kann, verschiebt sich nun der Inhalt der Gefahr von der ökonomischen Situation auf seine Bedingung, den Objektverlust. Das Vermissen der Mutter wird nun die Gefahr, bei deren Eintritt der Säugling das Angstsignal gibt, noch ehe die gefürchtete ökonomische Situation eingetreten ist. Diese Wandlung bedeutet einen ersten großen Fortschritt in der Fürsorge für die Selbsterhaltung, sie schließt gleichzeitig den Übergang von der automatisch ungewollten Neuentstehung der Angst zu ihrer beabsichtigten Reproduktion als Signal der Gefahr ein.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In beiden Hinsichten, sowohl als automatisches Phänomen wie als rettendes Signal, zeigt sich die Angst als Produkt der psychischen Hilflosigkeit des Säuglings, welche das selbstverständliche Gegenstück seiner biologischen Hilflosigkeit ist. Das auffällige Zusammentreffen, daß sowohl die Geburtsangst wie die Säuglingsangst die Bedingung der Trennung von der Mutter anerkennt, bedarf keiner psychologischen Deutung; es erklärt sich biologisch einfach genug aus der Tatsache, daß die Mutter, die zuerst alle Bedürfnisse des Fötus durch die Einrichtungen ihres Leibes beschwichtigt hatte, dieselbe Funktion zum Teil mit anderen Mitteln auch nach der Geburt fortsetzt. Intrauterinleben und erste Kindheit sind weit mehr ein Kontinuum, als uns die auffällige Caesur des Geburtsaktes glauben läßt. Das psychische Mutterobjekt ersetzt dem Kinde die biologische Fötalsituation. Wir dürfen darum nicht vergessen, daß im Intrauterinleben die Mutter kein Objekt war und daß es damals keine Objekte gab.</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Es ist leicht zu sehen, daß es in diesem Zusammenhange keinen Raum für ein Abreagieren des Geburtstraumas gibt und daß eine andere Funktion der Angst als die eines Signals zur Vermeidung der Gefahrsituation nicht aufzufinden ist. Die Angstbedingung des Objektverlustes trägt nun noch ein ganzes Stück weiter. Auch die nächste Wandlung der Angst, die in der phallischen Phase auftretende Kastrationsangst, ist eine Trennungsangst und an dieselbe Bedingung gebunden. Die Gefahr ist hier die Trennung von dem Genitale. Ein vollberechtigt scheinender Gedankengang von Ferenczi läßt uns hier die Linie des Zusammenhanges mit den früheren Inhalten der Gefahrsituation deutlich erkennen. Die hohe narzißtische Einschätzung des Penis kann sich darauf berufen, daß der Besitz dieses Organs die Gewähr </w:t>
      </w:r>
      <w:r w:rsidRPr="00CA69A1">
        <w:rPr>
          <w:rFonts w:ascii="Garamond" w:hAnsi="Garamond" w:cs="Arial"/>
          <w:color w:val="000000"/>
          <w:lang w:val="en-GB"/>
        </w:rPr>
        <w:lastRenderedPageBreak/>
        <w:t>für eine Wiedervereinigung mit der Mutter (dem Mutterersatz) im Akt des Koitus enthält. Die Beraubung dieses Gliedes ist soviel wie eine neuerliche Trennung von der Mutter, bedeutet also wiederum, einer unlustvollen Bedürfnisspannung (wie bei der Geburt) hilflos ausgeliefert zu sein. Das Bedürfnis, dessen Ansteigen gefürchtet wird, ist aber nun ein spezialisiertes, das der genitalen Libido, nicht mehr ein beliebiges wie in der Säuglingszeit. Ich füge hier an, daß die Phantasie der Rückkehr in den Mutterleib der Koitusersatz des Impotenten (durch die Kastrationsdrohung Gehemmten) ist. Im Sinne Ferenczis kann man sagen, das Individuum, das sich zur Rückkehr in den Mutterleib durch sein Genitalorgan vertreten lassen wollte, ersetzt nun regressiv dies Organ durch seine ganze Person.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Fortschritte in der Entwicklung des Kindes, die Zunahme seiner Unabhängigkeit, die schärfere Sonderung seines seelischen Apparats in mehrere Instanzen, das Auftreten neuer Bedürfnisse können nicht ohne Einfluß auf den Inhalt der Gefahrsituation bleiben. Wir haben dessen Wandlung vom Verlust des Mutterobjekts zur Kastration verfolgt und sehen den nächsten Schritt durch die Macht des Über-Ichs verursacht. Mit dem Unpersönlichwerden der Elterninstanz, von der man die Kastration befürchtete, wird die Gefahr unbestimmter. Die Kastrationsangst entwickelt sich zur Gewissensangst, zur sozialen Angst. Es ist jetzt nicht mehr so leicht anzugeben, was die Angst befürchtet. Die Formel: »Trennung, Ausschluß aus der Horde«, trifft nur jenen späteren Anteil des Über-Ichs, der sich in Anlehnung an soziale Vorbilder entwickelt hat, nicht den Kern des Über-Ichs, der der introjizierten Elterninstanz entspricht. Allgemeiner ausgedrückt, ist es der Zorn, die Strafe des Über-Ichs, der Liebesverlust von dessen Seite, den das Ich als Gefahr wertet und mit dem Angstsignal beantwortet. Als letzte Wandlung dieser Angst vor dem Über-Ich ist mir die Todes- (Lebens-) Angst, die Angst vor der Projektion des Über-Ichs in den Schicksalsmächten erschienen.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Ich habe früher einmal einen gewissen Wert auf die Darstellung gelegt, daß es die bei der Verdrängung abgezogene Besetzung ist, welche die Verwendung als Angstabfuhr erfährt. Das erscheint mir nun heute kaum wissenswert. Der Unterschied liegt darin, daß ich vormals die Angst in jedem Falle durch einen ökonomischen Vorgang automatisch entstanden glaubte, während die jetzige Auffassung der Angst als eines vom Ich beabsichtigten Signals zum Zweck der Beeinflussung der Lust-Unlust-Instanz uns von diesem ökonomischen Zwange unabhängig macht. Es ist natürlich nichts gegen die Annahme zu sagen, daß das Ich gerade die durch die Abziehung bei der Verdrängung frei gewordene Energie zur Erweckung des Affekts verwendet, aber es ist bedeutungslos geworden, mit welchem Anteil Energie dies geschieht.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AD6ACB">
        <w:rPr>
          <w:rFonts w:ascii="Garamond" w:hAnsi="Garamond" w:cs="Arial"/>
          <w:color w:val="000000"/>
          <w:lang w:val="en-GB"/>
        </w:rPr>
        <w:t xml:space="preserve">Ein anderer Satz, den ich einmal ausgesprochen, verlangt nun nach Überprüfung im Lichte unserer neuen Auffassung. Es ist die Behauptung, das Ich sei die eigentliche Angststätte; ich meine, sie wird sich als zutreffend erweisen. Wir haben nämlich keinen Anlaß, dem Über-Ich irgendeine Angstäußerung zuzuteilen. </w:t>
      </w:r>
      <w:r w:rsidRPr="00CA69A1">
        <w:rPr>
          <w:rFonts w:ascii="Garamond" w:hAnsi="Garamond" w:cs="Arial"/>
          <w:color w:val="000000"/>
          <w:lang w:val="en-GB"/>
        </w:rPr>
        <w:t xml:space="preserve">Wenn aber von einer »Angst des Es« die Rede ist, so hat man nicht zu widersprechen, sondern einen ungeschickten Ausdruck zu korrigieren. Die Angst ist ein Affektzustand, der natürlich nur vom Ich verspürt werden kann. Das Es kann nicht Angst haben wie das Ich, es ist keine Organisation, kann Gefahrsituationen nicht beurteilen. Dagegen ist es ein überaus häufiges Vorkommnis, daß sich im Es Vorgänge vorbereiten oder vollziehen, die dem Ich Anlaß zur Angstentwicklung geben; in der Tat sind die wahrscheinlich frühesten Verdrängungen, wie die Mehrzahl aller späteren, durch solche Angst des Ichs vor einzelnen Vorgängen im Es motiviert. Wir unterscheiden hier wiederum mit gutem Grund die beiden Fälle, daß sich im Es etwas ereignet, was eine der Gefahrsituationen fürs Ich aktiviert und es somit bewegt, zur Inhibition das Angstsignal zu geben, und den anderen Fall, daß sich im Es die dem Geburtstrauma analoge Situation herstellt, in der es automatisch zur Angstreaktion kommt. Man bringt die beiden Fälle einander näher, wenn man hervorhebt, daß der zweite der ersten und ursprünglichen Gefahrsituation entspricht, der erste aber einer der später aus ihr abgeleiteten Angstbedingungen. </w:t>
      </w:r>
      <w:smartTag w:uri="urn:schemas-microsoft-com:office:smarttags" w:element="place">
        <w:r w:rsidRPr="00CA69A1">
          <w:rPr>
            <w:rFonts w:ascii="Garamond" w:hAnsi="Garamond" w:cs="Arial"/>
            <w:color w:val="000000"/>
            <w:lang w:val="en-GB"/>
          </w:rPr>
          <w:t>Oder</w:t>
        </w:r>
      </w:smartTag>
      <w:r w:rsidRPr="00CA69A1">
        <w:rPr>
          <w:rFonts w:ascii="Garamond" w:hAnsi="Garamond" w:cs="Arial"/>
          <w:color w:val="000000"/>
          <w:lang w:val="en-GB"/>
        </w:rPr>
        <w:t xml:space="preserve"> auf die wirklich vorkommenden Affektionen bezogen: daß der zweite Fall in der Ätiologie der Aktualneurosen verwirklicht ist, der erste für die der Psychoneurosen charakteristisch bleibt.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Wir sehen nun, daß wir frühere Ermittlungen nicht zu entwerten, sondern bloß mit den neueren Einsichten in Verbindung zu bringen brauchen. Es ist nicht abzuweisen, daß bei Abstinenz, mißbräuchlicher Störung im Ablauf der Sexualerregung, Ablenkung derselben von ihrer psychischen Verarbeitung, direkt Angst aus Libido entsteht, d. h. jener Zustand von Hilflosigkeit des Ichs gegen eine übergroße Bedürfnisspannung hergestellt wird, der wie bei der Geburt in Angstentwicklung ausgeht, wobei es wieder eine gleichgültige, aber naheliegende Möglichkeit ist, daß gerade der Überschuß an unverwendeter Libido seine Abfuhr in der Angstentwicklung findet. Wir sehen, daß sich auf dem Boden dieser Aktualneurosen besonders leicht Psychoneurosen entwickeln, d. h. wohl, daß das Ich Versuche </w:t>
      </w:r>
      <w:r w:rsidRPr="00CA69A1">
        <w:rPr>
          <w:rFonts w:ascii="Garamond" w:hAnsi="Garamond" w:cs="Arial"/>
          <w:color w:val="000000"/>
          <w:lang w:val="en-GB"/>
        </w:rPr>
        <w:lastRenderedPageBreak/>
        <w:t>macht, die Angst, die es eine Weile suspendiert zu erhalten gelernt hat, zu ersparen und durch Symptombildung zu binden. Wahrscheinlich würde die Analyse der traumatischen Kriegsneurosen, welcher Name allerdings sehr verschiedenartige Affektionen umfaßt, ergeben haben, daß eine Anzahl von ihnen an den Charakteren der Aktualneurosen Anteil hat.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Als wir die Entwicklung der verschiedenen Gefahrsituationen aus dem ursprünglichen Geburtsvorbild darstellten, lag es uns ferne zu behaupten, daß jede spätere Angstbedingung die frühere einfach außer Kraft setzt. Die Fortschritte der Ichentwicklung tragen allerdings dazu bei, die frühere Gefahrsituation zu entwerten und beiseite zu schieben, so daß man sagen kann, einem bestimmten Entwicklungsalter sei eine gewisse Angstbedingung wie adäquat zugeteilt. Die Gefahr der psychischen Hilflosigkeit paßt zur Lebenszeit der Unreife des Ichs, wie die Gefahr des Objektverlustes zur Unselbständigkeit der ersten Kinderjahre, die Kastrationsgefahr zur phallischen Phase, die Über-Ichangst zur Latenzzeit. Aber es können doch alle diese Gefahrsituationen und Angstbedingungen nebeneinander fortbestehen bleiben und das Ich auch zu späteren als den adäquaten Zeiten zur Angstreaktion veranlassen, oder es können mehrere von ihnen gleichzeitig in Wirksamkeit treten. Möglicherweise bestehen auch engere Beziehungen zwischen der wirksamen Gefahrsituation und der Form der auf sie folgenden Neurose </w:t>
      </w:r>
      <w:hyperlink r:id="rId438" w:anchor="#" w:history="1">
        <w:r w:rsidRPr="00CA69A1">
          <w:rPr>
            <w:rStyle w:val="fusslink"/>
            <w:rFonts w:ascii="Garamond" w:hAnsi="Garamond" w:cs="Arial"/>
            <w:b/>
            <w:bCs/>
            <w:color w:val="003399"/>
            <w:lang w:val="en-GB"/>
          </w:rPr>
          <w:t>[Fußnote]</w:t>
        </w:r>
        <w:r w:rsidRPr="00CA69A1">
          <w:rPr>
            <w:rStyle w:val="innerfusslink3"/>
            <w:rFonts w:ascii="Garamond" w:hAnsi="Garamond" w:cs="Arial"/>
            <w:b/>
            <w:bCs/>
            <w:lang w:val="en-GB"/>
          </w:rPr>
          <w:t>Seit der Unterscheidung von Ich und Es mußte auch unser Interesse an den Problemen der Verdrängung eine neue Belebung erfahren. Bisher hatte es uns genügt, die dem Ich zugewendeten Seiten des Vorgangs, die Abhaltung vom Bewußtsein und von der Motilität und die Ersatz- (Symptom-) Bildung ins Auge zu fassen, von der verdrängten Triebregung selbst nahmen wir an, sie bleibe im Unbewußten unbestimmt lange unverändert bestehen. Nun wendet sich das Interesse den Schicksalen des Verdrängten zu, und wir ahnen, daß ein solcher unveränderter und unveränderlicher Fortbestand nicht selbstverständlich, vielleicht nicht einmal gewöhnlich ist. Die ursprüngliche Triebregung ist jedenfalls durch die Verdrängung gehemmt und von ihrem Ziel abgelenkt worden. Ist aber ihr Ansatz im Unbewußten erhalten geblieben und hat er sich resistent gegen die verändernden und entwertenden Einflüsse des Lebens erwiesen? Bestehen also die alten Wünsche noch, von deren früherer Existenz uns die Analyse berichtet? Die Antwort scheint naheliegend und gesichert: Die verdrängten alten Wünsche müssen im Unbewußten noch fortbestehen, da wir ihre Abkömmlinge, die Symptome, noch wirksam finden. Aber sie ist nicht zureichend, sie läßt nicht zwischen den beiden Möglichkeiten entscheiden, ob der alte Wunsch jetzt nur durch seine Abkömmlinge wirkt, denen er all seine Besetzungsenergie übertragen hat, oder ob er außerdem selbst erhalten geblieben ist. Wenn es sein Schicksal war, sich in der Besetzung seiner Abkömmlinge zu erschöpfen, so bleibt noch die dritte Möglichkeit, daß er im Verlauf der Neurose durch Regression wiederbelebt wurde, so unzeitgemäß er gegenwärtig sein mag. Man braucht diese Erwägungen nicht für müßig zu halten; vieles an den Erscheinungen des krankhaften wie des normalen Seelenlebens scheint solche Fragestellungen zu erfordern. In meiner Studie über den Untergang des Ödipus-Komplexes bin ich auf den Unterschied zwischen der bloßen Verdrängung und der wirklichen Aufhebung einer alten Wunschregung aufmerksam geworden.</w:t>
        </w:r>
      </w:hyperlink>
      <w:r w:rsidRPr="00CA69A1">
        <w:rPr>
          <w:rFonts w:ascii="Garamond" w:hAnsi="Garamond" w:cs="Arial"/>
          <w:color w:val="000000"/>
          <w:lang w:val="en-GB"/>
        </w:rPr>
        <w: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Als wir in einem früheren Stück dieser Untersuchungen auf die Bedeutung der Kastrationsgefahr bei mehr als einer neurotischen Affektion stießen, erteilten wir uns die Mahnung, dies Moment doch nicht zu überschätzen, da es bei dem gewiß mehr zur Neurose disponierten weiblichen Geschlecht doch nicht ausschlaggebend sein könnte. Wir sehen jetzt, daß wir nicht in Gefahr sind, die Kastrationsangst für den einzigen Motor der zur Neurose führenden Abwehrvorgänge zu erklären. Ich habe an anderer Stelle auseinandergesetzt, wie die Entwicklung des kleinen Mädchens durch den Kastrationskomplex zur zärtlichen Objektbesetzung gelenkt wird. Gerade beim Weibe scheint die Gefahrsituation des Objektverlustes die wirksamste geblieben zu sein. Wir dürfen an ihrer Angstbedingung die kleine Modifikation anbringen, daß es sich nicht mehr um das Vermissen oder den realen Verlust des Objekts handelt, sondern um den Liebesverlust von Seiten des Objekts. Da es sicher steht, daß die Hysterie eine größere Affinität zur Weiblichkeit hat, ebenso wie die Zwangsneurose zur Männlichkeit, so liegt die Vermutung nahe, die Angstbedingung des Liebesverlustes spiele bei Hysterie eine ähnliche Rolle wie die Kastrationsdrohung bei den Phobien, die Über-Ichangst bei der Zwangsneurose.</w:t>
      </w:r>
    </w:p>
    <w:p w:rsidR="00090F57" w:rsidRDefault="00090F57">
      <w:pPr>
        <w:rPr>
          <w:rFonts w:ascii="Garamond" w:hAnsi="Garamond" w:cs="Arial"/>
          <w:b/>
          <w:bCs/>
          <w:color w:val="000000"/>
          <w:lang w:val="en-GB"/>
        </w:rPr>
      </w:pPr>
      <w:r>
        <w:rPr>
          <w:rFonts w:ascii="Garamond" w:hAnsi="Garamond" w:cs="Arial"/>
          <w:b/>
          <w:bCs/>
          <w:color w:val="000000"/>
          <w:lang w:val="en-GB"/>
        </w:rPr>
        <w:br w:type="page"/>
      </w:r>
    </w:p>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hyperlink w:anchor="Angst_INHALT" w:history="1">
        <w:r w:rsidR="00AD6ACB" w:rsidRPr="00090F57">
          <w:rPr>
            <w:rStyle w:val="Lienhypertexte"/>
            <w:rFonts w:ascii="Garamond" w:hAnsi="Garamond" w:cs="Arial"/>
            <w:b/>
            <w:bCs/>
            <w:lang w:val="en-GB"/>
          </w:rPr>
          <w:t>I</w:t>
        </w:r>
        <w:bookmarkStart w:id="126" w:name="Angst_9"/>
        <w:bookmarkEnd w:id="126"/>
        <w:r w:rsidR="00AD6ACB" w:rsidRPr="00090F57">
          <w:rPr>
            <w:rStyle w:val="Lienhypertexte"/>
            <w:rFonts w:ascii="Garamond" w:hAnsi="Garamond" w:cs="Arial"/>
            <w:b/>
            <w:bCs/>
            <w:lang w:val="en-GB"/>
          </w:rPr>
          <w:t>X</w:t>
        </w:r>
      </w:hyperlink>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Was jetzt erübrigt, ist die Behandlung der Beziehungen zwischen Symptombildung und Angstentwicklung.</w:t>
      </w:r>
    </w:p>
    <w:p w:rsidR="00AD6ACB" w:rsidRPr="00CA69A1" w:rsidRDefault="00AD6ACB" w:rsidP="00AD6ACB">
      <w:pPr>
        <w:shd w:val="clear" w:color="auto" w:fill="FFFFFF"/>
        <w:spacing w:before="120" w:after="120" w:line="124" w:lineRule="atLeast"/>
        <w:rPr>
          <w:rFonts w:ascii="Garamond" w:hAnsi="Garamond" w:cs="Arial"/>
          <w:color w:val="000000"/>
        </w:rPr>
      </w:pPr>
      <w:r w:rsidRPr="00CA69A1">
        <w:rPr>
          <w:rFonts w:ascii="Garamond" w:hAnsi="Garamond" w:cs="Arial"/>
          <w:color w:val="000000"/>
        </w:rPr>
        <w:t>Zwei Meinungen darüber scheinen weit verbreitet zu sein. Die eine nennt die Angst selbst ein Symptom der Neurose, die andere glaubt an ein weit innigeres Verhältnis zwischen beiden. Ihr zufolge würde alle Symptombildung nur unternommen werden, um der Angst zu entgehen; die Symptome binden die psychische Energie, die sonst als Angst abgeführt würde, so daß die Angst das Grundphänomen und Hauptproblem der Neurose wäre.</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rPr>
        <w:t xml:space="preserve">Die zumindest partielle Berechtigung der zweiten Behauptung läßt sich durch schlagende Beispiele erweisen. Wenn man einen Agoraphoben, den man auf die Straße begleitet hat, dort sich selbst überläßt, produziert er einen Angstanfall; wenn man einen Zwangsneurotiker daran hindern läßt, sich nach einer Berührung die Hände zu waschen, wird er die Beute einer fast unerträglichen Angst. </w:t>
      </w:r>
      <w:r w:rsidRPr="00CA69A1">
        <w:rPr>
          <w:rFonts w:ascii="Garamond" w:hAnsi="Garamond" w:cs="Arial"/>
          <w:color w:val="000000"/>
          <w:lang w:val="en-GB"/>
        </w:rPr>
        <w:t>Es ist also klar, die Bedingung des Begleitetwerdens und die Zwangshandlung des Waschens hatten die Absicht und auch den Erfolg, solche Angstausbrüche zu verhüten. In diesem Sinne kann auch jede Hemmung, die sich das Ich auferlegt, Symptom genannt werden.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Da wir die Angstentwicklung auf die Gefahrsituation zurückgeführt haben, werden wir es vorziehen zu sagen, die Symptome werden geschaffen, um das Ich der Gefahrsituation zu entziehen. Wird die Symptombildung verhindert, so tritt die Gefahr wirklich ein, d. h. es stellt sich jene der Geburt analoge Situation her, in der sich das Ich hilflos gegen den stetig wachsenden Triebanspruch findet, also die erste und ursprünglichste der Angstbedingungen. Für unsere Anschauung erweisen sich die Beziehungen zwischen Angst und Symptom weniger eng als angenommen wurde, die Folge davon, daß wir zwischen beide das Moment der Gefahrsituation eingeschoben haben. Wir können auch ergänzend sagen, die Angstentwicklung leite die Symptombildung ein, ja sie sei eine notwendige Voraussetzung derselben, denn wenn das Ich nicht durch die Angstentwicklung die Lust-Unlust-Instanz wachrütteln würde, bekäme es nicht die Macht, den im Es vorbereiteten, gefahrdrohenden Vorgang aufzuhalten. Dabei ist die Tendenz unverkennbar, sich auf ein Mindestmaß von Angstentwicklung zu beschränken, die Angst nur als Signal zu verwenden, denn sonst bekäme man die Unlust, die durch den Triebvorgang droht, nur an anderer Stelle zu spüren, was kein Erfolg nach der Absicht des Lustprinzips wäre, sich aber doch bei den Neurosen häufig genug ereignet.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Symptombildung hat also den wirklichen Erfolg, die Gefahrsituation aufzuheben. Sie hat zwei Seiten; die eine, die uns verborgen bleibt, stellt im Es jene Abänderung her, mittels deren das Ich der Gefahr entzogen wird, die andere, uns zugewendete, zeigt, was sie an Stelle des beeinflußten Triebvorganges geschaffen hat, die Ersatzbildung.</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Wir sollten uns aber korrekter ausdrücken, dem Abwehrvorgang zuschreiben, was wir eben von der Symptombildung ausgesagt haben, und den Namen Symptombildung selbst als synonym mit Ersatzbildung gebrauchen. Es scheint dann klar, daß der Abwehrvorgang analog der Flucht ist, durch die sich das Ich einer von außen drohenden Gefahr entzieht, daß er eben einen Fluchtversuch vor einer Triebgefahr darstellt. Die Bedenken gegen diesen Vergleich werden uns zu weiterer Klärung verhelfen. Erstens läßt sich einwenden, daß der Objektverlust (der Verlust der Liebe von Seiten des Objekts) und die Kastrationsdrohung ebensowohl Gefahren sind, die von außen drohen, wie etwa ein reißendes Tier, also nicht Triebgefahren. Aber es ist doch nicht derselbe Fall. Der Wolf würde uns wahrscheinlich anfallen, gleichgiltig, wie wir uns gegen ihn benehmen; die geliebte Person würde uns aber nicht ihre Liebe entziehen, die Kastration uns nicht angedroht werden, wenn wir nicht bestimmte Gefühle und Absichten in unserem Inneren nähren würden. So werden diese Triebregungen zu Bedingungen der äußeren Gefahr und damit selbst gefährlich, wir können jetzt die äußere Gefahr durch Maßregeln gegen innere Gefahren bekämpfen. Bei den Tierphobien scheint die Gefahr noch durchaus als eine äußerliche empfunden zu werden, wie sie auch im Symptom eine äußerliche Verschiebung erfährt. Bei der Zwangsneurose ist sie weit mehr verinnerlicht, der Anteil der Angst vor dem Über-Ich, der soziale Angst ist, repräsentiert noch den innerlichen Ersatz einer äußeren Gefahr, der andere Anteil, die Gewissensangst, ist durchaus endopsychisch.</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Ein zweiter Einwand sagt, beim Fluchtversuch vor einer drohenden äußeren Gefahr tun wir ja nichts anderes, als daß wir die Raumdistanz zwischen uns und dem Drohenden vergrößern. Wir setzen uns ja nicht gegen die Gefahr zur Wehr, suchen nichts an ihr selbst zu ändern, wie in dem anderen Falle, daß wir </w:t>
      </w:r>
      <w:r w:rsidRPr="00CA69A1">
        <w:rPr>
          <w:rFonts w:ascii="Garamond" w:hAnsi="Garamond" w:cs="Arial"/>
          <w:color w:val="000000"/>
          <w:lang w:val="en-GB"/>
        </w:rPr>
        <w:lastRenderedPageBreak/>
        <w:t>mit einem Knüttel auf den Wolf losgehen oder mit einem Gewehr auf ihn schießen. Der Abwehrvorgang scheint aber mehr zu tun, als einem Fluchtversuch entspricht. Er greift ja in den drohenden Triebablauf ein, unterdrückt ihn irgendwie, lenkt ihn von seinem Ziel ab, macht ihn dadurch ungefährlich. Dieser Einwand scheint unabweisbar, wir müssen ihm Rechnung tragen. Wir meinen, es wird wohl so sein, daß es Abwehrvorgänge gibt, die man mit gutem Recht einem Fluchtversuch vergleichen kann, während sich das Ich bei anderen weit aktiver zur Wehre setzt, energische Gegenaktionen vornimmt. Wenn der Vergleich der Abwehr mit der Flucht nicht überhaupt durch den Umstand gestört wird, daß das Ich und der Trieb im Es ja Teile derselben Organisation sind, nicht getrennte Existenzen, wie der Wolf und das Kind, so daß jede Art Verhaltens des Ichs auch abändernd auf den Triebvorgang einwirken muß.</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Durch das Studium der Angstbedingungen haben wir das Verhalten des Ichs bei der Abwehr sozusagen in rationeller Verklärung erblicken müssen. Jede Gefahrsituation entspricht einer gewissen Lebenszeit oder Entwicklungsphase des seelischen Apparats und erscheint für diese berechtigt. Das frühkindliche Wesen ist wirklich nicht dafür ausgerüstet, große Erregungssummen, die von außen oder innen anlangen, psychisch zu bewältigen. Zu einer gewissen Lebenszeit ist es wirklich das wichtigste Interesse, daß die Personen, von denen man abhängt, ihre zärtliche Sorge nicht zurückziehen. Wenn der Knabe den mächtigen Vater als Rivalen bei der Mutter empfindet, seiner aggressiven Neigungen gegen ihn und seiner sexuellen Absichten auf die Mutter inne wird, hat er ein Recht dazu, sich vor ihm zu fürchten, und die Angst vor seiner Strafe kann durch phylogenetische Verstärkung sich als Kastrationsangst äußern. Mit dem Eintritt in soziale Beziehungen wird die Angst vor dem Über-Ich, das Gewissen, zur Notwendigkeit, der Wegfall dieses Moments die Quelle von schweren Konflikten und Gefahren usw. Aber gerade daran knüpft sich ein neues Problem.</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Versuchen wir es, den Angstaffekt für eine Weile durch einen anderen, z. B. den Schmerzaffekt, zu ersetzen. Wir halten es für durchaus normal, daß das Mädchen von vier Jahren schmerzlich weint, wenn ihm eine Puppe zerbricht, mit sechs Jahren, wenn ihm die Lehrerin einen Verweis gibt, mit sechzehn Jahren, wenn der Geliebte sich nicht um sie bekümmert, mit fünfundzwanzig Jahren vielleicht, wenn sie ein Kind begräbt. Jede dieser Schmerzbedingungen hat ihre Zeit und erlischt mit deren Ablauf; die letzten, definitiven, erhalten sich dann durchs Leben. Es würde uns aber auffallen, wenn dies Mädchen als Frau und Mutter über die Beschädigung einer Nippsache weinen würde. So benehmen sich aber die Neurotiker. In ihrem seelischen Apparat sind längst alle Instanzen zur Reizbewältigung innerhalb weiter Grenzen ausgebildet, sie sind erwachsen genug, um die meisten ihrer Bedürfnisse selbst zu befriedigen, sie wissen längst, daß die Kastration nicht mehr als Strafe geübt wird, und doch benehmen sie sich, als bestünden die alten Gefahrsituationen noch, sie halten an allen früheren Angstbedingungen fest.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Die Antwort hierauf wird etwas weitläufig ausfallen. Sie wird vor allem den Tatbestand zu sichten haben. In einer großen Anzahl von Fällen werden die alten Angstbedingungen wirklich fallengelassen, nachdem sie bereits neurotische Reaktionen erzeugt haben. Die Phobien der kleinsten Kinder vor Alleinsein, Dunkelheit und vor Fremden, die beinahe normal zu nennen sind, vergehen zumeist in etwas späteren Jahren, sie »wachsen sich aus«, wie man von manchen anderen Kindheitsstörungen sagt. Die so häufigen Tierphobien haben das gleiche Schicksal, viele der Konversionshysterien der Kinderjahre finden später keine Fortsetzung. Zeremoniell in der Latenzzeit ist ein ungemein häufiges Vorkommnis, nur ein sehr geringer Prozentsatz dieser Fälle entwickelt sich später zur vollen Zwangsneurose. Die Kinderneurosen sind überhaupt – soweit unsere Erfahrungen an den höheren Kulturanforderungen unterworfenen Stadtkindern weißer Rasse reichen – regelmäßige Episoden der Entwicklung, wenngleich ihnen noch immer zu wenig Aufmerksamkeit geschenkt wird. Man vermißt die Zeichen der Kindheitsneurose auch nicht bei </w:t>
      </w:r>
      <w:r w:rsidRPr="00CA69A1">
        <w:rPr>
          <w:rFonts w:ascii="Garamond" w:hAnsi="Garamond" w:cs="Arial"/>
          <w:i/>
          <w:iCs/>
          <w:color w:val="000000"/>
          <w:lang w:val="en-GB"/>
        </w:rPr>
        <w:t>einem</w:t>
      </w:r>
      <w:r w:rsidRPr="00CA69A1">
        <w:rPr>
          <w:rFonts w:ascii="Garamond" w:hAnsi="Garamond" w:cs="Arial"/>
          <w:color w:val="000000"/>
          <w:lang w:val="en-GB"/>
        </w:rPr>
        <w:t xml:space="preserve"> erwachsenen Neurotiker, während lange nicht alle Kinder, die sie zeigen, auch später Neurotiker werden. Es müssen also im Verlaufe der Reifung Angstbedingungen aufgegeben worden sein und Gefahrsituationen ihre Bedeutung verloren haben. Dazu kommt, daß einige dieser Gefahrsituationen sich dadurch in späte Zeiten hinüberretten, daß sie ihre Angstbedingung zeitgemäß modifizieren. So erhält sich z. B. die Kastrationsangst unter der Maske der Syphilisphobie, nachdem man erfahren hat, daß zwar die Kastration nicht mehr als Strafe für das Gewährenlassen der sexuellen Gelüste üblich ist, aber daß dafür der Triebfreiheit schwere Erkrankungen drohen. Andere der Angstbedingungen sind überhaupt nicht zum Untergang bestimmt, sondern sollen den Menschen durchs Leben begleiten, wie die der Angst vor dem Über-Ich. Der Neurotiker unterscheidet sich dann von den Normalen dadurch, daß er die Reaktionen auf diese Gefahren übermäßig erhöht. Gegen die Wiederkehr der ursprünglichen traumatischen Angstsituation bietet endlich auch das Erwachsensein keinen zureichenden Schutz; es </w:t>
      </w:r>
      <w:r w:rsidRPr="00CA69A1">
        <w:rPr>
          <w:rFonts w:ascii="Garamond" w:hAnsi="Garamond" w:cs="Arial"/>
          <w:color w:val="000000"/>
          <w:lang w:val="en-GB"/>
        </w:rPr>
        <w:lastRenderedPageBreak/>
        <w:t>dürfte für jedermann eine Grenze geben, über die hinaus sein seelischer Apparat in der Bewältigung der Erledigung heischenden Erregungsmengen versagt.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Diese kleinen Berichtigungen können unmöglich die Bestimmung haben, an der Tatsache zu rütteln, die hier erörtert wird, der Tatsache, daß so viele Menschen in ihrem Verhalten zur Gefahr infantil bleiben und verjährte Angstbedingungen nicht überwinden; dies bestreiten, hieße die Tatsache der Neurose leugnen, denn solche Personen heißt man eben Neurotiker. Wie ist das aber möglich? Warum sind nicht alle Neurosen Episoden der Entwicklung, die mit Erreichung der nächsten Phase abgeschlossen werden? Woher das Dauermoment in diesen Reaktionen auf die Gefahr? Woher der Vorzug, den der Angstaffekt vor allen anderen Affekten zu genießen scheint, daß er allein Reaktionen hervorruft, die sich als abnorm von den anderen sondern und sich als unzweckmäßig dem Strom des Lebens entgegenstellen? Mit anderen Worten, wir finden uns unversehens wieder vor der so oft gestellten Vexierfrage, woher kommt die Neurose, was ist ihr letztes, das ihr besondere Motiv? Nach jahrzehntelangen analytischen Bemühungen erhebt sich dies Problem vor uns, unangetastet, wie zu Anfang.</w:t>
      </w:r>
    </w:p>
    <w:p w:rsidR="00090F57" w:rsidRDefault="00090F57" w:rsidP="00AD6ACB">
      <w:pPr>
        <w:shd w:val="clear" w:color="auto" w:fill="FFFFFF"/>
        <w:spacing w:before="221" w:after="44" w:line="306" w:lineRule="atLeast"/>
        <w:outlineLvl w:val="3"/>
        <w:rPr>
          <w:rFonts w:ascii="Garamond" w:hAnsi="Garamond" w:cs="Arial"/>
          <w:b/>
          <w:bCs/>
          <w:color w:val="000000"/>
          <w:lang w:val="en-GB"/>
        </w:rPr>
      </w:pPr>
    </w:p>
    <w:p w:rsidR="00090F57" w:rsidRDefault="00090F57">
      <w:pPr>
        <w:rPr>
          <w:rFonts w:ascii="Garamond" w:hAnsi="Garamond" w:cs="Arial"/>
          <w:b/>
          <w:bCs/>
          <w:color w:val="000000"/>
          <w:lang w:val="en-GB"/>
        </w:rPr>
      </w:pPr>
      <w:r>
        <w:rPr>
          <w:rFonts w:ascii="Garamond" w:hAnsi="Garamond" w:cs="Arial"/>
          <w:b/>
          <w:bCs/>
          <w:color w:val="000000"/>
          <w:lang w:val="en-GB"/>
        </w:rPr>
        <w:br w:type="page"/>
      </w:r>
    </w:p>
    <w:bookmarkStart w:id="127" w:name="Angst_10"/>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r>
        <w:rPr>
          <w:rFonts w:ascii="Garamond" w:hAnsi="Garamond" w:cs="Arial"/>
          <w:b/>
          <w:bCs/>
          <w:color w:val="000000"/>
          <w:lang w:val="en-GB"/>
        </w:rPr>
        <w:lastRenderedPageBreak/>
        <w:fldChar w:fldCharType="begin"/>
      </w:r>
      <w:r w:rsidR="00090F57">
        <w:rPr>
          <w:rFonts w:ascii="Garamond" w:hAnsi="Garamond" w:cs="Arial"/>
          <w:b/>
          <w:bCs/>
          <w:color w:val="000000"/>
          <w:lang w:val="en-GB"/>
        </w:rPr>
        <w:instrText xml:space="preserve"> HYPERLINK  \l "Angst_INHALT" </w:instrText>
      </w:r>
      <w:r>
        <w:rPr>
          <w:rFonts w:ascii="Garamond" w:hAnsi="Garamond" w:cs="Arial"/>
          <w:b/>
          <w:bCs/>
          <w:color w:val="000000"/>
          <w:lang w:val="en-GB"/>
        </w:rPr>
        <w:fldChar w:fldCharType="separate"/>
      </w:r>
      <w:r w:rsidR="00AD6ACB" w:rsidRPr="00090F57">
        <w:rPr>
          <w:rStyle w:val="Lienhypertexte"/>
          <w:rFonts w:ascii="Garamond" w:hAnsi="Garamond" w:cs="Arial"/>
          <w:b/>
          <w:bCs/>
          <w:lang w:val="en-GB"/>
        </w:rPr>
        <w:t>X</w:t>
      </w:r>
      <w:r>
        <w:rPr>
          <w:rFonts w:ascii="Garamond" w:hAnsi="Garamond" w:cs="Arial"/>
          <w:b/>
          <w:bCs/>
          <w:color w:val="000000"/>
          <w:lang w:val="en-GB"/>
        </w:rPr>
        <w:fldChar w:fldCharType="end"/>
      </w:r>
    </w:p>
    <w:bookmarkEnd w:id="127"/>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Die Angst ist die Reaktion auf die Gefahr. Man kann doch die Idee nicht abweisen, daß es mit dem Wesen der Gefahr zusammenhängt, wenn sich der Angstaffekt eine Ausnahmsstellung in der seelischen Ökonomie erzwingen kann. Aber die Gefahren sind allgemein menschliche, für alle Individuen die nämlichen; was wir brauchen und nicht zur Verfügung haben, ist ein Moment, das uns die Auslese der Individuen verständlich macht, die den Angstaffekt trotz seiner Besonderheit dem normalen seelischen Betrieb unterwerfen können, oder das bestimmt, wer an dieser Aufgabe scheitern muß. Ich sehe zwei Versuche vor mir, ein solches Moment aufzudecken; es ist begreiflich, daß jeder solche Versuch eine sympathische Aufnahme erwarten darf, da er einem quälenden Bedürfnis Abhilfe verspricht. Die beiden Versuche ergänzen einander, indem sie das Problem an entgegengesetzten Enden angreifen. Der erste ist vor mehr als zehn Jahren von Alfred Adler unternommen worden; er behauptet, auf seinen innersten Kern reduziert, daß diejenigen Menschen an der Bewältigung der durch die Gefahr gestellten Aufgabe scheitern, denen die Minderwertigkeit ihrer Organe zu große Schwierigkeiten bereitet. Bestünde der Satz </w:t>
      </w:r>
      <w:r w:rsidRPr="00CA69A1">
        <w:rPr>
          <w:rFonts w:ascii="Garamond" w:hAnsi="Garamond" w:cs="Arial"/>
          <w:i/>
          <w:iCs/>
          <w:color w:val="000000"/>
          <w:lang w:val="en-GB"/>
        </w:rPr>
        <w:t>simplex sigillum veri</w:t>
      </w:r>
      <w:hyperlink r:id="rId439" w:anchor="#" w:history="1">
        <w:r w:rsidRPr="00CA69A1">
          <w:rPr>
            <w:rStyle w:val="fusslink"/>
            <w:rFonts w:ascii="Garamond" w:hAnsi="Garamond" w:cs="Arial"/>
            <w:b/>
            <w:bCs/>
            <w:color w:val="003399"/>
            <w:lang w:val="en-GB"/>
          </w:rPr>
          <w:t>[Fußnote]</w:t>
        </w:r>
        <w:r w:rsidRPr="00CA69A1">
          <w:rPr>
            <w:rStyle w:val="innerfusslink3"/>
            <w:rFonts w:ascii="Garamond" w:hAnsi="Garamond" w:cs="Arial"/>
            <w:b/>
            <w:bCs/>
            <w:lang w:val="en-GB"/>
          </w:rPr>
          <w:t>Einfachheit ist das Zeichen der Wahrheit</w:t>
        </w:r>
      </w:hyperlink>
      <w:r w:rsidRPr="00CA69A1">
        <w:rPr>
          <w:rFonts w:ascii="Garamond" w:hAnsi="Garamond" w:cs="Arial"/>
          <w:color w:val="000000"/>
          <w:lang w:val="en-GB"/>
        </w:rPr>
        <w:t xml:space="preserve"> zu Recht, so müßte man eine solche Lösung wie eine Erlösung begrüßen. Aber im Gegenteile, die Kritik des abgelaufenen Jahrzehnts hat die volle Unzulänglichkeit dieser Erklärung, die sich überdies über den ganzen Reichtum der von der Psychoanalyse aufgedeckten Tatbestände hinaussetzt, beweisend dargetan.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Den zweiten Versuch hat Otto Rank </w:t>
      </w:r>
      <w:smartTag w:uri="urn:schemas-microsoft-com:office:smarttags" w:element="metricconverter">
        <w:smartTagPr>
          <w:attr w:name="ProductID" w:val="1923 in"/>
        </w:smartTagPr>
        <w:r w:rsidRPr="00CA69A1">
          <w:rPr>
            <w:rFonts w:ascii="Garamond" w:hAnsi="Garamond" w:cs="Arial"/>
            <w:color w:val="000000"/>
            <w:lang w:val="en-GB"/>
          </w:rPr>
          <w:t>1923 in</w:t>
        </w:r>
      </w:smartTag>
      <w:r w:rsidRPr="00CA69A1">
        <w:rPr>
          <w:rFonts w:ascii="Garamond" w:hAnsi="Garamond" w:cs="Arial"/>
          <w:color w:val="000000"/>
          <w:lang w:val="en-GB"/>
        </w:rPr>
        <w:t xml:space="preserve"> seinem Buch </w:t>
      </w:r>
      <w:r w:rsidRPr="00CA69A1">
        <w:rPr>
          <w:rFonts w:ascii="Garamond" w:hAnsi="Garamond" w:cs="Arial"/>
          <w:i/>
          <w:iCs/>
          <w:color w:val="000000"/>
          <w:lang w:val="en-GB"/>
        </w:rPr>
        <w:t>Das Trauma der Geburt</w:t>
      </w:r>
      <w:r w:rsidRPr="00CA69A1">
        <w:rPr>
          <w:rFonts w:ascii="Garamond" w:hAnsi="Garamond" w:cs="Arial"/>
          <w:color w:val="000000"/>
          <w:lang w:val="en-GB"/>
        </w:rPr>
        <w:t xml:space="preserve"> unternommen. Es wäre unbillig, ihn dem Versuch von Adler in einem anderen Punkte als dem einen hier betonten gleichzustellen, denn er bleibt auf dem Boden der Psychoanalyse, deren Gedankengänge er fortsetzt, und ist als eine legitime Bemühung zur Lösung der analytischen Probleme anzuerkennen. In der gegebenen Relation zwischen Individuum und Gefahr lenkt Rank von der Organschwäche des Individuums ab und auf die veränderliche Intensität der Gefahr hin. Der Geburtsvorgang ist die erste Gefahrsituation, der von ihm produzierte ökonomische Aufruhr wird das Vorbild der Angstreaktion; wir haben vorhin die Entwicklungslinie verfolgt, welche diese erste Gefahrsituation und Angstbedingung mit allen späteren verbindet, und dabei gesehen, daß sie alle etwas Gemeinsames bewahren, indem sie alle in gewissem Sinne eine Trennung von der Mutter bedeuten, zuerst nur in biologischer Hinsicht, dann im Sinn eines direkten Objektverlustes und später eines durch indirekte Wege vermittelten. Die Aufdeckung dieses großen Zusammenhanges ist ein unbestrittenes Verdienst der Rankschen Konstruktion. Nun trifft das Trauma der Geburt die einzelnen Individuen in verschiedener Intensität, mit der Stärke des Traumas variiert die Heftigkeit der Angstreaktion, und es soll nach Rank von dieser Anfangshöhe der Angstentwicklung abhängen, ob das Individuum jemals ihre Beherrschung erlangen kann, ob es neurotisch wird oder normal.</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Einzelkritik der Rankschen Aufstellungen ist nicht unsere Aufgabe, bloß deren Prüfung, ob sie zur Lösung unseres Problems brauchbar sind. Die Formel Ranks, Neurotiker werde der, dem es wegen der Stärke des Geburtstraumas niemals gelinge, dieses völlig abzureagieren, ist theoretisch höchst anfechtbar. Man weiß nicht recht, was mit dem Abreagieren des Traumas gemeint ist. Versteht man es wörtlich, so kommt man zu dem unhaltbaren Schluß, daß der Neurotiker sich um so mehr der Gesundung nähert, je häufiger und intensiver er den Angstaffekt reproduziert. Wegen dieses Widerspruches mit der Wirklichkeit hatte ich ja seinerzeit die Theorie des Abreagierens aufgegeben, die in der Katharsis eine so große Rolle spielte. Die Betonung der wechselnden Stärke des Geburtstraumas läßt keinen Raum für den berechtigten ätiologischen Anspruch der hereditären Konstitution. Sie ist ja ein organisches Moment, welches sich gegen die Konstitution wie eine Zufälligkeit verhält und selbst von vielen, zufällig zu nennenden Einflüssen, z. B. von der rechtzeitigen Hilfeleistung bei der Geburt abhängig ist. Die Ranksche Lehre hat konstitutionelle wie phylogenetische Faktoren überhaupt außer Betracht gelassen. Will man aber für die Bedeutung der Konstitution Raum schaffen, etwa durch die Modifikation, es käme vielmehr darauf an, wie ausgiebig das Individuum auf die variable Intensität des Geburtstraumas reagiere, so hat man der Theorie ihre Bedeutung geraubt und den neu eingeführten Faktor auf eine Nebenrolle eingeschränkt. Die Entscheidung über den Ausgang in Neurose liegt dann doch auf einem anderen, wiederum auf einem unbekannten Gebiet.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Die Tatsache, daß der Mensch den Geburtsvorgang mit den anderen Säugetieren gemein hat, während ihm eine besondere Disposition zur Neurose als Vorrecht vor den Tieren zukommt, wird kaum günstig für die Ranksche Lehre stimmen. Der Haupteinwand bleibt aber, daß sie in der Luft schwebt, anstatt sich auf gesicherte Beobachtung zu stützen. Es gibt keine guten Untersuchungen darüber, ob schwere und </w:t>
      </w:r>
      <w:r w:rsidRPr="00CA69A1">
        <w:rPr>
          <w:rFonts w:ascii="Garamond" w:hAnsi="Garamond" w:cs="Arial"/>
          <w:color w:val="000000"/>
          <w:lang w:val="en-GB"/>
        </w:rPr>
        <w:lastRenderedPageBreak/>
        <w:t>protrahierte Geburt in unverkennbarer Weise mit Entwicklung von Neurose zusammentreffen, ja, ob so geborene Kinder nur die Phänomene der frühinfantilen Ängstlichkeit länger oder stärker zeigen als andere. Macht man geltend, daß präzipitierte und für die Mutter leichte Geburten für das Kind möglicherweise die Bedeutung von schweren Traumen haben, so bleibt doch die Forderung aufrecht, daß Geburten, die zur Asphyxie führen, die behaupteten Folgen mit Sicherheit erkennen lassen müßten. Es scheint ein Vorteil der Rankschen Ätiologie, daß sie ein Moment voranstellt, das der Nachprüfung am Material der Erfahrung zugänglich ist; solange man eine solche Prüfung nicht wirklich vorgenommen hat, ist es unmöglich, ihren Wert zu beurteilen.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Dagegen kann ich mich der Meinung nicht anschließen, daß die Ranksche Lehre der bisher in der Psychoanalyse anerkannten ätiologischen Bedeutung der Sexualtriebe widerspricht; denn sie bezieht sich nur auf das Verhältnis des Individuums zur Gefahrsituation und läßt die gute Auskunft offen, daß, wer die anfänglichen Gefahren nicht bewältigen konnte, auch in den später auftauchenden Situationen sexueller Gefahr versagen muß und dadurch in die Neurose gedrängt wird.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Ich glaube also nicht, daß der Ranksche Versuch uns die Antwort auf die Frage nach der Begründung der Neurose gebracht hat, und ich meine, es läßt sich noch nicht entscheiden, einen wie großen Beitrag zur Lösung der Frage er doch enthält. Wenn die Untersuchungen über den Einfluß schwerer Geburt auf die Disposition zu Neurosen negativ ausfallen, ist dieser Beitrag gering einzuschätzen. Es ist sehr zu besorgen, daß das Bedürfnis nach einer greifbaren und einheitlichen »letzten Ursache« der Nervosität immer unbefriedigt bleiben wird. Der ideale Fall, nach dem sich der Mediziner wahrscheinlich noch heute sehnt, wäre der des Bazillus, der sich isolieren und reinzüchten läßt und dessen Impfung bei jedem Individuum die nämliche Affektion hervorruft. Oder etwas weniger phantastisch: die Darstellung von chemischen Stoffen, deren Verabreichung bestimmte Neurosen produziert und aufhebt. Aber die Wahrscheinlichkeit spricht nicht für solche Lösungen des Problems.</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Die Psychoanalyse führt zu weniger einfachen, minder befriedigenden Auskünften. Ich habe hier nur längst Bekanntes zu wiederholen, nichts Neues hinzuzufügen. Wenn es dem Ich gelungen ist, sich einer gefährlichen Triebregung zu erwehren, z. B. durch den Vorgang der Verdrängung, so hat es diesen Teil des Es zwar gehemmt und geschädigt, aber ihm gleichzeitig auch ein Stück Unabhängigkeit gegeben und auf ein Stück seiner eigenen Souveränität verzichtet. Das folgt aus der Natur der Verdrängung, die im Grunde ein Fluchtversuch ist. Das Verdrängte ist nun »vogelfrei«, ausgeschlossen aus der großen Organisation des Ichs, nur den Gesetzen unterworfen, die im Bereich des Unbewußten herrschen. Ändert sich nun die Gefahrsituation, so daß das Ich kein Motiv zur Abwehr einer neuerlichen, der verdrängten analogen Triebregung hat, so werden die Folgen der Icheinschränkung manifest. Der neuerliche Triebablauf vollzieht sich unter dem Einfluß des Automatismus – ich zöge vor zu sagen: des Wiederholungszwanges –, er wandelt dieselben Wege wie der früher verdrängte, als ob die überwundene Gefahrsituation noch bestünde. Das fixierende Moment an der Verdrängung ist also der Wiederholungszwang des unbewußten Es, der normalerweise nur durch die frei bewegliche Funktion des Ichs aufgehoben wird. Nun mag es dem Ich mitunter gelingen, die Schranken der Verdrängung, die es selbst aufgerichtet, wieder einzureißen, seinen Einfluß auf die Triebregung wiederzugewinnen und den neuerlichen Triebablauf im Sinne der veränderten Gefahrsituation zu lenken. Tatsache ist, daß es ihm so oft mißlingt und daß es seine Verdrängungen nicht rückgängig machen kann. Quantitative Relationen mögen für den Ausgang dieses Kampfes maßgebend sein. In manchen Fällen haben wir den Eindruck, daß die Entscheidung eine zwangsläufige ist, die regressive Anziehung der verdrängten Regung und die Stärke der Verdrängung sind so groß, daß die neuerliche Regung nur dem Wiederholungszwange folgen kann. In anderen Fällen nehmen wir den Beitrag eines anderen Kräftespiels wahr, die Anziehung des verdrängten Vorbilds wird verstärkt durch die Abstoßung von Seiten der realen Schwierigkeiten, die sich einem anderen Ablauf der neuerlichen Triebregung entgegensetzen.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 xml:space="preserve">Daß dies der Hergang der Fixierung an die Verdrängung und der Erhaltung der nicht mehr aktuellen Gefahrsituation ist, findet seinen Erweis in der an sich bescheidenen, aber theoretisch kaum überschätzbaren Tatsache der analytischen Therapie. Wenn wir dem Ich in der Analyse die Hilfe leisten, die es in den Stand setzen kann, seine Verdrängungen aufzuheben, bekommt es seine Macht über das verdrängte Es wieder und kann die Triebregungen so ablaufen lassen, als ob die alten Gefahrsituationen nicht mehr bestünden. Was wir so erreichen, steht in gutem Einklang mit dem sonstigen Machtbereich unserer ärztlichen Leistung. In der Regel muß sich ja unsere Therapie damit begnügen, rascher, </w:t>
      </w:r>
      <w:r w:rsidRPr="00CA69A1">
        <w:rPr>
          <w:rFonts w:ascii="Garamond" w:hAnsi="Garamond" w:cs="Arial"/>
          <w:color w:val="000000"/>
          <w:lang w:val="en-GB"/>
        </w:rPr>
        <w:lastRenderedPageBreak/>
        <w:t>verläßlicher, mit weniger Aufwand den guten Ausgang herbeizuführen, der sich unter günstigen Verhältnissen spontan ergeben hätte.</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AD6ACB">
        <w:rPr>
          <w:rFonts w:ascii="Garamond" w:hAnsi="Garamond" w:cs="Arial"/>
          <w:color w:val="000000"/>
          <w:lang w:val="en-GB"/>
        </w:rPr>
        <w:t xml:space="preserve">Die bisherigen Erwägungen lehren uns, es sind </w:t>
      </w:r>
      <w:r w:rsidRPr="00AD6ACB">
        <w:rPr>
          <w:rFonts w:ascii="Garamond" w:hAnsi="Garamond" w:cs="Arial"/>
          <w:i/>
          <w:iCs/>
          <w:color w:val="000000"/>
          <w:lang w:val="en-GB"/>
        </w:rPr>
        <w:t>quantitative</w:t>
      </w:r>
      <w:r w:rsidRPr="00AD6ACB">
        <w:rPr>
          <w:rFonts w:ascii="Garamond" w:hAnsi="Garamond" w:cs="Arial"/>
          <w:color w:val="000000"/>
          <w:lang w:val="en-GB"/>
        </w:rPr>
        <w:t xml:space="preserve"> Relationen, nicht direkt aufzuzeigen, nur auf dem Wege des Rückschlusses faßbar, die darüber entscheiden, ob die alten Gefahrsituationen festgehalten werden, ob die Verdrängungen des Ichs erhalten bleiben, ob die Kinderneurosen ihre Fortsetzung finden oder nicht. Von den Faktoren, die an der Verursachung der Neurosen beteiligt sind, die die Bedingungen geschaffen haben, unter denen sich die psychischen Kräfte miteinander messen, heben sich für unser Verständnis drei hervor, ein biologischer, ein phylogenetischer und ein rein psychologischer. </w:t>
      </w:r>
      <w:r w:rsidRPr="00CA69A1">
        <w:rPr>
          <w:rFonts w:ascii="Garamond" w:hAnsi="Garamond" w:cs="Arial"/>
          <w:color w:val="000000"/>
          <w:lang w:val="en-GB"/>
        </w:rPr>
        <w:t>Der biologische ist die lang hingezogene Hilflosigkeit und Abhängigkeit des kleinen Menschenkindes. Die Intrauterinexistenz des Menschen erscheint gegen die der meisten Tiere relativ verkürzt; er wird unfertiger als diese in die Welt geschickt. Dadurch wird der Einfluß der realen Außenwelt verstärkt, die Differenzierung des Ichs vom Es frühzeitig gefördert, die Gefahren der Außenwelt in ihrer Bedeutung erhöht und der Wert des Objekts, das allein gegen diese Gefahren schützen und das verlorene Intrauterinleben ersetzen kann, enorm gesteigert. Dies biologische Moment stellt also die ersten Gefahrsituationen her und schafft das Bedürfnis, geliebt zu werden, das den Menschen nicht mehr verlassen wird.</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Der zweite, phylogenetische Faktor ist von uns nur erschlossen worden; eine sehr merkwürdige Tatsache der Libidoentwicklung hat uns zu seiner Annahme gedrängt. Wir finden, daß das Sexualleben des Menschen sich nicht wie das der meisten ihm nahestehenden Tiere vom Anfang bis zur Reifung stetig weiter entwickelt, sondern daß es nach einer ersten Frühblüte bis zum fünften Jahr eine energische Unterbrechung erfährt, worauf es dann mit der Pubertät von neuem anhebt und an die infantilen Ansätze anknüpft. Wir meinen, es müßte in den Schicksalen der Menschenart etwas Wichtiges vorgefallen sein, was diese Unterbrechung der Sexualentwicklung als historischen Niederschlag hinterlassen hat. Die pathogene Bedeutung dieses Moments ergibt sich daraus, daß die meisten Triebansprüche dieser kindlichen Sexualität vom Ich als Gefahren behandelt und abgewehrt werden, so daß die späteren sexuellen Regungen der Pubertät, die ichgerecht sein sollten, in Gefahr sind, der Anziehung der infantilen Vorbilder zu unterliegen und ihnen in die Verdrängung zu folgen. Hier stoßen wir auf die direkteste Ätiologie der Neurosen. Es ist merkwürdig, daß der frühe Kontakt mit den Ansprüchen der Sexualität auf das Ich ähnlich wirkt wie die vorzeitige Berührung mit der Außenwelt.</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Der dritte oder psychologische Faktor ist in einer Unvollkommenheit unseres seelischen Apparates zu finden, die gerade mit seiner Differenzierung in ein Ich und ein Es zusammenhängt, also in letzter Linie auch auf den Einfluß der Außenwelt zurückgeht. Durch die Rücksicht auf die Gefahren der Realität wird das Ich genötigt, sich gegen gewisse Triebregungen des Es zur Wehre zu setzen, sie als Gefahren zu behandeln. Das Ich kann sich aber gegen innere Triebgefahren nicht in so wirksamer Weise schützen wie gegen ein Stück der ihm fremden Realität. Mit dem Es selbst innig verbunden, kann es die Triebgefahr nur abwehren, indem es seine eigene Organisation einschränkt und sich die Symptombildung als Ersatz für seine Beeinträchtigung des Triebes gefallen läßt. Erneuert sich dann der Andrang des abgewiesenen Triebes, so ergeben sich für das Ich alle die Schwierigkeiten, die wir als das neurotische Leiden kennen.</w:t>
      </w:r>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Weiter muß ich glauben, ist unsere Einsicht in das Wesen und die Verursachung der Neurosen vorläufig nicht gekommen.</w:t>
      </w:r>
    </w:p>
    <w:p w:rsidR="00090F57" w:rsidRDefault="00090F57">
      <w:pPr>
        <w:rPr>
          <w:rFonts w:ascii="Garamond" w:hAnsi="Garamond" w:cs="Arial"/>
          <w:b/>
          <w:bCs/>
          <w:color w:val="000000"/>
          <w:lang w:val="en-GB"/>
        </w:rPr>
      </w:pPr>
      <w:r>
        <w:rPr>
          <w:rFonts w:ascii="Garamond" w:hAnsi="Garamond" w:cs="Arial"/>
          <w:b/>
          <w:bCs/>
          <w:color w:val="000000"/>
          <w:lang w:val="en-GB"/>
        </w:rPr>
        <w:br w:type="page"/>
      </w:r>
    </w:p>
    <w:p w:rsidR="00AD6ACB" w:rsidRPr="00CA69A1" w:rsidRDefault="00B437A1" w:rsidP="00AD6ACB">
      <w:pPr>
        <w:shd w:val="clear" w:color="auto" w:fill="FFFFFF"/>
        <w:spacing w:before="221" w:after="44" w:line="306" w:lineRule="atLeast"/>
        <w:outlineLvl w:val="3"/>
        <w:rPr>
          <w:rFonts w:ascii="Garamond" w:hAnsi="Garamond" w:cs="Arial"/>
          <w:b/>
          <w:bCs/>
          <w:color w:val="000000"/>
          <w:lang w:val="en-GB"/>
        </w:rPr>
      </w:pPr>
      <w:hyperlink w:anchor="Angst_INHALT" w:history="1">
        <w:r w:rsidR="00AD6ACB" w:rsidRPr="00090F57">
          <w:rPr>
            <w:rStyle w:val="Lienhypertexte"/>
            <w:rFonts w:ascii="Garamond" w:hAnsi="Garamond" w:cs="Arial"/>
            <w:b/>
            <w:bCs/>
            <w:lang w:val="en-GB"/>
          </w:rPr>
          <w:t>X</w:t>
        </w:r>
        <w:bookmarkStart w:id="128" w:name="Angst_11"/>
        <w:bookmarkEnd w:id="128"/>
        <w:r w:rsidR="00AD6ACB" w:rsidRPr="00090F57">
          <w:rPr>
            <w:rStyle w:val="Lienhypertexte"/>
            <w:rFonts w:ascii="Garamond" w:hAnsi="Garamond" w:cs="Arial"/>
            <w:b/>
            <w:bCs/>
            <w:lang w:val="en-GB"/>
          </w:rPr>
          <w:t xml:space="preserve">I </w:t>
        </w:r>
        <w:r w:rsidR="00090F57" w:rsidRPr="00090F57">
          <w:rPr>
            <w:rStyle w:val="Lienhypertexte"/>
            <w:rFonts w:ascii="Garamond" w:hAnsi="Garamond" w:cs="Arial"/>
            <w:b/>
            <w:bCs/>
            <w:lang w:val="en-GB"/>
          </w:rPr>
          <w:t xml:space="preserve"> </w:t>
        </w:r>
        <w:r w:rsidR="00AD6ACB" w:rsidRPr="00090F57">
          <w:rPr>
            <w:rStyle w:val="Lienhypertexte"/>
            <w:rFonts w:ascii="Garamond" w:hAnsi="Garamond" w:cs="Arial"/>
            <w:b/>
            <w:bCs/>
            <w:lang w:val="en-GB"/>
          </w:rPr>
          <w:t>Nachträge</w:t>
        </w:r>
      </w:hyperlink>
    </w:p>
    <w:p w:rsidR="00AD6ACB" w:rsidRPr="00CA69A1" w:rsidRDefault="00AD6ACB" w:rsidP="00AD6ACB">
      <w:pPr>
        <w:shd w:val="clear" w:color="auto" w:fill="FFFFFF"/>
        <w:spacing w:before="120" w:after="120" w:line="124" w:lineRule="atLeast"/>
        <w:rPr>
          <w:rFonts w:ascii="Garamond" w:hAnsi="Garamond" w:cs="Arial"/>
          <w:color w:val="000000"/>
          <w:lang w:val="en-GB"/>
        </w:rPr>
      </w:pPr>
      <w:r w:rsidRPr="00CA69A1">
        <w:rPr>
          <w:rFonts w:ascii="Garamond" w:hAnsi="Garamond" w:cs="Arial"/>
          <w:color w:val="000000"/>
          <w:lang w:val="en-GB"/>
        </w:rPr>
        <w:t>Im Laufe dieser Erörterungen sind verschiedene Themen berührt worden, die vorzeitig verlassen werden mußten und die jetzt gesammelt werden sollen, um den Anteil Aufmerksamkeit zu erhalten, auf den sie Anspruch haben.</w:t>
      </w:r>
    </w:p>
    <w:p w:rsidR="00090F57" w:rsidRDefault="00090F57" w:rsidP="00AD6ACB">
      <w:pPr>
        <w:shd w:val="clear" w:color="auto" w:fill="FFFFFF"/>
        <w:spacing w:before="44" w:after="44" w:line="124" w:lineRule="atLeast"/>
        <w:outlineLvl w:val="4"/>
        <w:rPr>
          <w:rFonts w:ascii="Garamond" w:hAnsi="Garamond" w:cs="Arial"/>
          <w:b/>
          <w:bCs/>
          <w:color w:val="000000"/>
          <w:lang w:val="en-US"/>
        </w:rPr>
      </w:pPr>
    </w:p>
    <w:p w:rsidR="00AD6ACB" w:rsidRPr="00CA69A1" w:rsidRDefault="00AD6ACB" w:rsidP="00AD6ACB">
      <w:pPr>
        <w:shd w:val="clear" w:color="auto" w:fill="FFFFFF"/>
        <w:spacing w:before="44" w:after="44" w:line="124" w:lineRule="atLeast"/>
        <w:outlineLvl w:val="4"/>
        <w:rPr>
          <w:rFonts w:ascii="Garamond" w:hAnsi="Garamond" w:cs="Arial"/>
          <w:b/>
          <w:bCs/>
          <w:color w:val="000000"/>
          <w:lang w:val="en-US"/>
        </w:rPr>
      </w:pPr>
      <w:r w:rsidRPr="00CA69A1">
        <w:rPr>
          <w:rFonts w:ascii="Garamond" w:hAnsi="Garamond" w:cs="Arial"/>
          <w:b/>
          <w:bCs/>
          <w:color w:val="000000"/>
          <w:lang w:val="en-US"/>
        </w:rPr>
        <w:t>A</w:t>
      </w:r>
      <w:r w:rsidR="00090F57">
        <w:rPr>
          <w:rFonts w:ascii="Garamond" w:hAnsi="Garamond" w:cs="Arial"/>
          <w:b/>
          <w:bCs/>
          <w:color w:val="000000"/>
          <w:lang w:val="en-US"/>
        </w:rPr>
        <w:t xml:space="preserve"> </w:t>
      </w:r>
      <w:r w:rsidRPr="00CA69A1">
        <w:rPr>
          <w:rFonts w:ascii="Garamond" w:hAnsi="Garamond" w:cs="Arial"/>
          <w:b/>
          <w:bCs/>
          <w:color w:val="000000"/>
          <w:lang w:val="en-US"/>
        </w:rPr>
        <w:t>Modifikationen früher geäußerter Ansichten</w:t>
      </w:r>
    </w:p>
    <w:p w:rsidR="00090F57" w:rsidRDefault="00090F57" w:rsidP="00AD6ACB">
      <w:pPr>
        <w:shd w:val="clear" w:color="auto" w:fill="FFFFFF"/>
        <w:spacing w:before="120" w:after="120" w:line="124" w:lineRule="atLeast"/>
        <w:outlineLvl w:val="5"/>
        <w:rPr>
          <w:rFonts w:ascii="Garamond" w:hAnsi="Garamond" w:cs="Arial"/>
          <w:b/>
          <w:bCs/>
          <w:caps/>
          <w:color w:val="000000"/>
          <w:lang w:val="en-US"/>
        </w:rPr>
      </w:pPr>
    </w:p>
    <w:p w:rsidR="00AD6ACB" w:rsidRPr="00CA69A1" w:rsidRDefault="00090F57" w:rsidP="00AD6ACB">
      <w:pPr>
        <w:shd w:val="clear" w:color="auto" w:fill="FFFFFF"/>
        <w:spacing w:before="120" w:after="120" w:line="124" w:lineRule="atLeast"/>
        <w:outlineLvl w:val="5"/>
        <w:rPr>
          <w:rFonts w:ascii="Garamond" w:hAnsi="Garamond" w:cs="Arial"/>
          <w:b/>
          <w:bCs/>
          <w:caps/>
          <w:color w:val="000000"/>
          <w:lang w:val="en-US"/>
        </w:rPr>
      </w:pPr>
      <w:r>
        <w:rPr>
          <w:rFonts w:ascii="Garamond" w:hAnsi="Garamond" w:cs="Arial"/>
          <w:b/>
          <w:bCs/>
          <w:caps/>
          <w:color w:val="000000"/>
          <w:lang w:val="en-US"/>
        </w:rPr>
        <w:t>1</w:t>
      </w:r>
      <w:r w:rsidR="00AD6ACB" w:rsidRPr="00CA69A1">
        <w:rPr>
          <w:rFonts w:ascii="Garamond" w:hAnsi="Garamond" w:cs="Arial"/>
          <w:b/>
          <w:bCs/>
          <w:caps/>
          <w:color w:val="000000"/>
          <w:lang w:val="en-US"/>
        </w:rPr>
        <w:t>) Widerstand und Gegenbesetzung</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Es ist ein wichtiges Stück der Theorie der Verdrängung, daß sie nicht einen einmaligen Vorgang darstellt, sondern einen dauernden Aufwand erfordert. Wenn dieser entfiele, würde der verdrängte Trieb, der kontinuierlich Zuflüsse aus seinen Quellen erhält, ein nächstes Mal denselben Weg einschlagen, von dem er abgedrängt wurde, die Verdrängung würde um ihren Erfolg gebracht, oder sie müßte unbestimmt oft wiederholt werden. So folgt aus der kontinuierlichen Natur des Triebes die Anforderung an das Ich, seine Abwehraktion durch einen Daueraufwand zu versichern. Diese Aktion zum Schutz der Verdrängung ist es, die wir bei der therapeutischen Bemühung als </w:t>
      </w:r>
      <w:r w:rsidRPr="00CA69A1">
        <w:rPr>
          <w:rFonts w:ascii="Garamond" w:hAnsi="Garamond" w:cs="Arial"/>
          <w:i/>
          <w:iCs/>
          <w:color w:val="000000"/>
          <w:lang w:val="en-US"/>
        </w:rPr>
        <w:t>Widerstand</w:t>
      </w:r>
      <w:r w:rsidRPr="00CA69A1">
        <w:rPr>
          <w:rFonts w:ascii="Garamond" w:hAnsi="Garamond" w:cs="Arial"/>
          <w:color w:val="000000"/>
          <w:lang w:val="en-US"/>
        </w:rPr>
        <w:t xml:space="preserve"> verspüren. Widerstand setzt das voraus, was ich als </w:t>
      </w:r>
      <w:r w:rsidRPr="00CA69A1">
        <w:rPr>
          <w:rFonts w:ascii="Garamond" w:hAnsi="Garamond" w:cs="Arial"/>
          <w:i/>
          <w:iCs/>
          <w:color w:val="000000"/>
          <w:lang w:val="en-US"/>
        </w:rPr>
        <w:t>Gegenbesetzung</w:t>
      </w:r>
      <w:r w:rsidRPr="00CA69A1">
        <w:rPr>
          <w:rFonts w:ascii="Garamond" w:hAnsi="Garamond" w:cs="Arial"/>
          <w:color w:val="000000"/>
          <w:lang w:val="en-US"/>
        </w:rPr>
        <w:t xml:space="preserve"> bezeichnet habe. Eine solche Gegenbesetzung wird bei der Zwangsneurose greifbar. Sie erscheint hier als Ichveränderung, als Reaktionsbildung im Ich, durch Verstärkung jener Einstellung, welche der zu verdrängenden Triebrichtung gegensätzlich ist (Mitleid, Gewissenhaftigkeit, Reinlichkeit). Diese Reaktionsbildungen der Zwangsneurose sind durchweg Übertreibungen normaler, im Verlauf der Latenzzeit entwickelter Charakterzüge. Es ist weit schwieriger, die Gegenbesetzung bei der Hysterie aufzuweisen, wo sie nach der theoretischen Erwartung ebenso unentbehrlich ist. Auch hier ist ein gewisses Maß von Ichveränderung durch Reaktionsbildung unverkennbar und wird in manchen Verhältnissen so auffällig, daß es sich der Aufmerksamkeit als das Hauptsymptom des Zustandes aufdrängt. In solcher Weise wird z. B. der Ambivalenzkonflikt der Hysterie gelöst, der Haß gegen eine geliebte Person wird durch ein Übermaß von Zärtlichkeit für sie und Ängstlichkeit um sie niedergehalten. Man muß aber als Unterschiede gegen die Zwangsneurose hervorheben, daß solche Reaktionsbildungen nicht die allgemeine Natur von Charakterzügen zeigen, sondern sich auf ganz spezielle Relationen einschränken. Die Hysterika z. B., die ihre im Grunde gehaßten Kinder mit exzessiver Zärtlichkeit behandelt, wird darum nicht im ganzen liebesbereiter als andere Frauen, nicht einmal zärtlicher für andere Kinder. Die Reaktionsbildung der Hysterie hält an einem bestimmten Objekt zähe fest und erhebt sich nicht zu einer allgemeinen Disposition des Ichs. Für die Zwangsneurose ist gerade diese Verallgemeinerung, die Lockerung der Objektbeziehungen, die Erleichterung der Verschiebung in der Objektwahl charakteristisch.</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Eine andere Art der Gegenbesetzung scheint der Eigenart der Hysterie gemäßer zu sein. Die verdrängte Triebregung kann von zwei Seiten her aktiviert (neu besetzt) werden, erstens von innen her durch eine Verstärkung des Triebes aus seinen inneren Erregungsquellen, zweitens von außen her durch die Wahrnehmung eines Objekts, das dem Trieb erwünscht wäre. Die hysterische Gegenbesetzung ist nun vorzugsweise nach außen gegen gefährliche Wahrnehmung gerichtet, sie nimmt die Form einer besonderen Wachsamkeit an, die durch Icheinschränkungen Situationen vermeidet, in denen die Wahrnehmung auftreten müßte, und die es zustandebringt, dieser Wahrnehmung die Aufmerksamkeit zu entziehen, wenn sie doch aufgetaucht ist. Französische Autoren (Laforgue) haben kürzlich diese Leistung der Hysterie durch den besonderen Namen » Skotomisation« ausgezeichnet. Noch auffälliger als bei Hysterie ist diese Technik der Gegenbesetzung bei den Phobien, deren Interesse sich darauf konzentriert, sich immer weiter von der Möglichkeit der gefürchteten Wahrnehmung zu entfernen. Der Gegensatz in der Richtung der Gegenbesetzung zwischen Hysterie und Phobien einerseits und Zwangsneurose anderseits scheint bedeutsam, wenn er auch kein absoluter ist. Er legt uns nahe anzunehmen, daß zwischen der Verdrängung und der äußeren Gegenbesetzung, wie zwischen der Regression und der inneren Gegenbesetzung (Ichveränderung durch Reaktionsbildung), ein innigerer Zusammenhang besteht. Die Abwehr der gefährlichen Wahrnehmung ist übrigens eine allgemeine Aufgabe der Neurosen. Verschiedene Gebote und Verbote der Zwangsneurose sollen der gleichen Absicht dienen.</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Wir haben uns früher einmal klargemacht, daß der Widerstand, den wir in der Analyse zu überwinden haben, vom Ich geleistet wird, das an seinen Gegenbesetzungen festhält. Das Ich hat es schwer, seine Aufmerksamkeit Wahrnehmungen und Vorstellungen zuzuwenden, deren Vermeidung es sich bisher zur </w:t>
      </w:r>
      <w:r w:rsidRPr="00CA69A1">
        <w:rPr>
          <w:rFonts w:ascii="Garamond" w:hAnsi="Garamond" w:cs="Arial"/>
          <w:color w:val="000000"/>
          <w:lang w:val="en-US"/>
        </w:rPr>
        <w:lastRenderedPageBreak/>
        <w:t xml:space="preserve">Vorschrift gemacht hatte, oder Regungen als die seinigen anzuerkennen, die den vollsten Gegensatz zu den ihm als eigen vertrauten bilden. Unsere Bekämpfung des Widerstandes in der Analyse gründet sich auf eine solche Auffassung desselben. Wir machen den Widerstand bewußt, wo er, wie so häufig, infolge des Zusammenhanges mit dem Verdrängten selbst unbewußt ist; wir setzen ihm logische Argumente entgegen, wenn oder nachdem er bewußtgeworden ist, versprechen dem Ich Nutzen und Prämien, wenn es auf den Widerstand verzichtet. An dem Widerstand des Ichs ist also nichts zu bezweifeln oder zu berichtigen. Dagegen fragt es sich, ob er allein den Sachverhalt deckt, der uns in der Analyse entgegentritt. Wir machen die Erfahrung, daß das Ich noch immer Schwierigkeiten findet, die Verdrängungen rückgängig zu machen, auch nachdem es den Vorsatz gefaßt hat, seine Widerstände aufzugeben, und haben die Phase anstrengender Bemühung, die nach solchem löblichen Vorsatz folgt, als die des »Durcharbeitens« bezeichnet. Es liegt nun nahe, das dynamische Moment anzuerkennen, das ein solches Durcharbeiten notwendig und verständlich macht. Es kann kaum anders sein, als daß nach Aufhebung des Ichwiderstandes noch die Macht des Wiederholungszwanges, die Anziehung der unbewußten Vorbilder auf den verdrängten Triebvorgang, zu überwinden ist, und es ist nichts dagegen zu sagen, wenn man dies Moment als den </w:t>
      </w:r>
      <w:r w:rsidRPr="00CA69A1">
        <w:rPr>
          <w:rFonts w:ascii="Garamond" w:hAnsi="Garamond" w:cs="Arial"/>
          <w:i/>
          <w:iCs/>
          <w:color w:val="000000"/>
          <w:lang w:val="en-US"/>
        </w:rPr>
        <w:t>Widerstand des Unbewußten</w:t>
      </w:r>
      <w:r w:rsidRPr="00CA69A1">
        <w:rPr>
          <w:rFonts w:ascii="Garamond" w:hAnsi="Garamond" w:cs="Arial"/>
          <w:color w:val="000000"/>
          <w:lang w:val="en-US"/>
        </w:rPr>
        <w:t xml:space="preserve"> bezeichnen will. Lassen wir uns solche Korrekturen nicht verdrießen; sie sind erwünscht, wenn sie unser Verständnis um ein Stück fördern, und keine Schande, wenn sie das frühere nicht widerlegen, sondern bereichern, eventuell eine Allgemeinheit einschränken, eine zu enge Auffassung erweitern.</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Es ist nicht anzunehmen, daß wir durch diese Korrektur eine vollständige Übersicht über die Arten der uns in der Analyse begegnenden Widerstände gewonnen haben. Bei weiterer Vertiefung merken wir vielmehr, daß wir fünf Arten des Widerstandes zu bekämpfen haben, die von drei Seiten herstammen, nämlich vom Ich, vom Es und vom Über-Ich, wobei sich das Ich als die Quelle von drei in ihrer Dynamik unterschiedenen Formen erweist. Der erste dieser drei Ichwiderstände ist der vorhin behandelte Verdrängungswiderstand, über den am wenigsten Neues zu sagen ist. Von ihm sondert sich der </w:t>
      </w:r>
      <w:r w:rsidRPr="00CA69A1">
        <w:rPr>
          <w:rFonts w:ascii="Garamond" w:hAnsi="Garamond" w:cs="Arial"/>
          <w:i/>
          <w:iCs/>
          <w:color w:val="000000"/>
          <w:lang w:val="en-US"/>
        </w:rPr>
        <w:t>Übertragungs</w:t>
      </w:r>
      <w:r w:rsidRPr="00CA69A1">
        <w:rPr>
          <w:rFonts w:ascii="Garamond" w:hAnsi="Garamond" w:cs="Arial"/>
          <w:color w:val="000000"/>
          <w:lang w:val="en-US"/>
        </w:rPr>
        <w:t xml:space="preserve">widerstand, der von der gleichen Natur ist, aber in der Analyse andere und weit deutlichere Erscheinungen macht, da es ihm gelungen ist, eine Beziehung zur analytischen Situation oder zur Person des Analytikers herzustellen und somit eine Verdrängung, die bloß erinnert werden sollte, wieder wie frisch zu beleben. Auch ein Ichwiderstand, aber ganz anderer Natur, ist jener, der vom </w:t>
      </w:r>
      <w:r w:rsidRPr="00CA69A1">
        <w:rPr>
          <w:rFonts w:ascii="Garamond" w:hAnsi="Garamond" w:cs="Arial"/>
          <w:i/>
          <w:iCs/>
          <w:color w:val="000000"/>
          <w:lang w:val="en-US"/>
        </w:rPr>
        <w:t>Krankheitsgewinn</w:t>
      </w:r>
      <w:r w:rsidRPr="00CA69A1">
        <w:rPr>
          <w:rFonts w:ascii="Garamond" w:hAnsi="Garamond" w:cs="Arial"/>
          <w:color w:val="000000"/>
          <w:lang w:val="en-US"/>
        </w:rPr>
        <w:t xml:space="preserve"> ausgeht und sich auf die Einbeziehung des Symptoms ins Ich gründet. Er entspricht dem Sträuben gegen den Verzicht auf eine Befriedigung oder Erleichterung. Die vierte Art des Widerstandes – den des </w:t>
      </w:r>
      <w:r w:rsidRPr="00CA69A1">
        <w:rPr>
          <w:rFonts w:ascii="Garamond" w:hAnsi="Garamond" w:cs="Arial"/>
          <w:i/>
          <w:iCs/>
          <w:color w:val="000000"/>
          <w:lang w:val="en-US"/>
        </w:rPr>
        <w:t>Es –</w:t>
      </w:r>
      <w:r w:rsidRPr="00CA69A1">
        <w:rPr>
          <w:rFonts w:ascii="Garamond" w:hAnsi="Garamond" w:cs="Arial"/>
          <w:color w:val="000000"/>
          <w:lang w:val="en-US"/>
        </w:rPr>
        <w:t xml:space="preserve"> haben wir eben für die Notwendigkeit des Durcharbeitens verantwortlich gemacht. Der fünfte Widerstand, der des </w:t>
      </w:r>
      <w:r w:rsidRPr="00CA69A1">
        <w:rPr>
          <w:rFonts w:ascii="Garamond" w:hAnsi="Garamond" w:cs="Arial"/>
          <w:i/>
          <w:iCs/>
          <w:color w:val="000000"/>
          <w:lang w:val="en-US"/>
        </w:rPr>
        <w:t>Über-Ichs</w:t>
      </w:r>
      <w:r w:rsidRPr="00CA69A1">
        <w:rPr>
          <w:rFonts w:ascii="Garamond" w:hAnsi="Garamond" w:cs="Arial"/>
          <w:color w:val="000000"/>
          <w:lang w:val="en-US"/>
        </w:rPr>
        <w:t>, der zuletzt erkannte, dunkelste, aber nicht immer schwächste, scheint dem Schuldbewußtsein oder Strafbedürfnis zu entstammen; er widersetzt sich jedem Erfolg und demnach auch der Genesung durch die Analyse.</w:t>
      </w:r>
    </w:p>
    <w:p w:rsidR="00AD6ACB" w:rsidRPr="00CA69A1" w:rsidRDefault="00090F57" w:rsidP="00AD6ACB">
      <w:pPr>
        <w:shd w:val="clear" w:color="auto" w:fill="FFFFFF"/>
        <w:spacing w:before="120" w:after="120" w:line="124" w:lineRule="atLeast"/>
        <w:outlineLvl w:val="5"/>
        <w:rPr>
          <w:rFonts w:ascii="Garamond" w:hAnsi="Garamond" w:cs="Arial"/>
          <w:b/>
          <w:bCs/>
          <w:caps/>
          <w:color w:val="000000"/>
          <w:lang w:val="en-US"/>
        </w:rPr>
      </w:pPr>
      <w:r>
        <w:rPr>
          <w:rFonts w:ascii="Garamond" w:hAnsi="Garamond" w:cs="Arial"/>
          <w:b/>
          <w:bCs/>
          <w:caps/>
          <w:color w:val="000000"/>
          <w:lang w:val="en-US"/>
        </w:rPr>
        <w:t>2</w:t>
      </w:r>
      <w:r w:rsidR="00AD6ACB" w:rsidRPr="00CA69A1">
        <w:rPr>
          <w:rFonts w:ascii="Garamond" w:hAnsi="Garamond" w:cs="Arial"/>
          <w:b/>
          <w:bCs/>
          <w:caps/>
          <w:color w:val="000000"/>
          <w:lang w:val="en-US"/>
        </w:rPr>
        <w:t>) Angst aus Umwandlung von Libido</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Die in diesem Aufsatz vertretene Auffassung der Angst entfernt sich ein Stück weit von jener, die mir bisher berechtigt schien. Früher betrachtete ich die Angst als eine allgemeine Reaktion des Ichs unter den Bedingungen der Unlust, suchte ihr Auftreten jedesmal ökonomisch zu rechtfertigen und nahm an, gestützt auf die Untersuchung der Aktualneurosen, daß Libido (sexuelle Erregung), die vom Ich abgelehnt oder nicht verwendet wird, eine direkte Abfuhr in der Form der Angst findet. Man kann es nicht übersehen, daß diese verschiedenen Bestimmungen nicht gut zusammengehen, zum mindesten nicht notwendig auseinander folgen. Überdies ergab sich der Anschein einer besonders innigen Beziehung von Angst und Libido, die wiederum mit dem Allgemeincharakter der Angst als Unlustreaktion nicht harmonierte.</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Der Einspruch gegen diese Auffassung ging von der Tendenz aus, das Ich zur alleinigen Angststätte zu machen, war also eine der Folgen der im </w:t>
      </w:r>
      <w:r w:rsidRPr="00CA69A1">
        <w:rPr>
          <w:rFonts w:ascii="Garamond" w:hAnsi="Garamond" w:cs="Arial"/>
          <w:i/>
          <w:iCs/>
          <w:color w:val="000000"/>
          <w:lang w:val="en-US"/>
        </w:rPr>
        <w:t>Ich und Es</w:t>
      </w:r>
      <w:r w:rsidRPr="00CA69A1">
        <w:rPr>
          <w:rFonts w:ascii="Garamond" w:hAnsi="Garamond" w:cs="Arial"/>
          <w:color w:val="000000"/>
          <w:lang w:val="en-US"/>
        </w:rPr>
        <w:t xml:space="preserve"> versuchten Gliederung des seelischen Apparates. Der früheren Auffassung lag es nahe, die Libido der verdrängten Triebregung als die Quelle der Angst zu betrachten; nach der neueren hatte vielmehr das Ich für diese Angst aufzukommen. Also Ich-Angst oder Trieb-(Es-)Angst. Da das Ich mit desexualisierter Energie arbeitet, wurde in der Neuerung auch der intime Zusammenhang von Angst und Libido gelockert. Ich hoffe, es ist mir gelungen, wenigstens den Widerspruch klarzumachen, die Umrisse der Unsicherheit scharf zu zeichnen.</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Die Ranksche Mahnung, der Angstaffekt sei, wie ich selbst zuerst behauptete, eine Folge des Geburtsvorganges und eine Wiederholung der damals durchlebten Situation, nötigte zu einer neuerlichen Prüfung des Angstproblems. Mit seiner eigenen Auffassung der Geburt als Trauma, des Angstzustandes </w:t>
      </w:r>
      <w:r w:rsidRPr="00CA69A1">
        <w:rPr>
          <w:rFonts w:ascii="Garamond" w:hAnsi="Garamond" w:cs="Arial"/>
          <w:color w:val="000000"/>
          <w:lang w:val="en-US"/>
        </w:rPr>
        <w:lastRenderedPageBreak/>
        <w:t xml:space="preserve">als Abfuhrreaktion darauf, jedes neuerlichen Angstaffekts als Versuch, das Trauma immer vollständiger »abzureagieren«, konnte ich nicht weiterkommen. Es ergab sich die Nötigung, von der Angstreaktion auf die </w:t>
      </w:r>
      <w:r w:rsidRPr="00CA69A1">
        <w:rPr>
          <w:rFonts w:ascii="Garamond" w:hAnsi="Garamond" w:cs="Arial"/>
          <w:i/>
          <w:iCs/>
          <w:color w:val="000000"/>
          <w:lang w:val="en-US"/>
        </w:rPr>
        <w:t>Gefahrsituation</w:t>
      </w:r>
      <w:r w:rsidRPr="00CA69A1">
        <w:rPr>
          <w:rFonts w:ascii="Garamond" w:hAnsi="Garamond" w:cs="Arial"/>
          <w:color w:val="000000"/>
          <w:lang w:val="en-US"/>
        </w:rPr>
        <w:t xml:space="preserve"> hinter ihr zurückzugehen. Mit der Einführung dieses Moments ergaben sich neue Gesichtspunkte für die Betrachtung. Die Geburt wurde das Vorbild für alle späteren Gefahrsituationen, die sich unter den neuen Bedingungen der veränderten Existenzform und der fortschreitenden psychischen Entwicklung ergaben. Ihre eigene Bedeutung wurde aber auch auf diese vorbildliche Beziehung zur Gefahr eingeschränkt. Die bei der Geburt empfundene Angst wurde nun das Vorbild eines Affektzustandes, der die Schicksale anderer Affekte teilen mußte. Er reproduzierte sich entweder automatisch in Situationen, die seinen Ursprungssituationen analog waren, als unzweckmäßige Reaktionsform, nachdem er in der ersten Gefahrsituation zweckmäßig gewesen war. Oder das Ich bekam Macht über diesen Affekt und reproduzierte ihn selbst, bediente sich seiner als Warnung vor der Gefahr und als Mittel, das Eingreifen des Lust-Unlust-Mechanismus wachzurufen. Die biologische Bedeutung des Angstaffekts kam zu ihrem Recht, indem die Angst als die allgemeine Reaktion auf die Situation der Gefahr anerkannt wurde; die Rolle des Ichs als Angststätte wurde bestätigt, indem dem Ich die Funktion eingeräumt wurde, den Angstaffekt nach seinen Bedürfnissen zu produzieren. Der Angst wurden so im späteren Leben zweierlei Ursprungsweisen zugewiesen, die eine ungewollt, automatisch, jedesmal ökonomisch gerechtfertigt, wenn sich eine Gefahrsituation analog jener der Geburt hergestellt hatte, die andere, vom Ich produzierte, wenn eine solche Situation nur drohte, um zu ihrer Vermeidung aufzufordern. In diesem zweiten Fall unterzog sich das Ich der Angst gleichsam wie einer Impfung, um durch einen abgeschwächten Krankheitsausbruch einem ungeschwächten Anfall zu entgehen. Es stellte sich gleichsam die Gefahrsituation lebhaft vor, bei unverkennbarer Tendenz, dies peinliche Erleben auf eine Andeutung, ein Signal, zu beschränken. Wie sich dabei die verschiedenen Gefahrsituationen nacheinander entwickeln und doch genetisch miteinander verknüpft bleiben, ist bereits im einzelnen dargestellt worden. Vielleicht gelingt es uns, ein Stück weiter ins Verständnis der Angst einzudringen, wenn wir das Problem des Verhältnisses zwischen neurotischer Angst und Realangst angreifen.</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Die früher behauptete direkte Umsetzung der Libido in Angst ist unserem Interesse nun weniger bedeutsam geworden. Ziehen wir sie doch in Erwägung, so haben wir mehrere Fälle zu unterscheiden. Für die Angst, die das Ich als Signal provoziert, kommt sie nicht in Betracht; also auch nicht in all den Gefahrsituationen, die das Ich zur Einleitung einer Verdrängung bewegen. Die libidinöse Besetzung der verdrängten Triebregung erfährt, wie man es am deutlichsten bei der Konversionshysterie sieht, eine andere Verwendung als die Umsetzung in und Abfuhr als Angst. Hingegen werden wir bei der weiteren Diskussion der Gefahrsituation auf jenen Fall der Angstentwicklung stoßen, der wahrscheinlich anders zu beurteilen ist.</w:t>
      </w:r>
    </w:p>
    <w:p w:rsidR="00AD6ACB" w:rsidRPr="00CA69A1" w:rsidRDefault="00090F57" w:rsidP="00AD6ACB">
      <w:pPr>
        <w:shd w:val="clear" w:color="auto" w:fill="FFFFFF"/>
        <w:spacing w:before="120" w:after="120" w:line="124" w:lineRule="atLeast"/>
        <w:outlineLvl w:val="5"/>
        <w:rPr>
          <w:rFonts w:ascii="Garamond" w:hAnsi="Garamond" w:cs="Arial"/>
          <w:b/>
          <w:bCs/>
          <w:caps/>
          <w:color w:val="000000"/>
          <w:lang w:val="en-US"/>
        </w:rPr>
      </w:pPr>
      <w:r>
        <w:rPr>
          <w:rFonts w:ascii="Garamond" w:hAnsi="Garamond" w:cs="Arial"/>
          <w:b/>
          <w:bCs/>
          <w:caps/>
          <w:color w:val="000000"/>
          <w:lang w:val="en-US"/>
        </w:rPr>
        <w:t>3</w:t>
      </w:r>
      <w:r w:rsidR="00AD6ACB" w:rsidRPr="00CA69A1">
        <w:rPr>
          <w:rFonts w:ascii="Garamond" w:hAnsi="Garamond" w:cs="Arial"/>
          <w:b/>
          <w:bCs/>
          <w:caps/>
          <w:color w:val="000000"/>
          <w:lang w:val="en-US"/>
        </w:rPr>
        <w:t>) Verdrängung und Abwehr</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Im Zusammenhange der Erörterungen über das Angstproblem habe ich einen Begriff – oder bescheidener ausgedrückt: einen Terminus – wieder aufgenommen, dessen ich mich zu Anfang meiner Studien vor dreißig Jahren ausschließend bedient und den ich späterhin fallengelassen habe. </w:t>
      </w:r>
      <w:r w:rsidRPr="00CA69A1">
        <w:rPr>
          <w:rFonts w:ascii="Garamond" w:hAnsi="Garamond" w:cs="Arial"/>
          <w:color w:val="000000"/>
        </w:rPr>
        <w:t xml:space="preserve">Ich meine den des Abwehrvorganges </w:t>
      </w:r>
      <w:hyperlink r:id="rId440" w:anchor="#" w:history="1">
        <w:r w:rsidRPr="00CA69A1">
          <w:rPr>
            <w:rStyle w:val="fusslink"/>
            <w:rFonts w:ascii="Garamond" w:hAnsi="Garamond" w:cs="Arial"/>
            <w:b/>
            <w:bCs/>
            <w:color w:val="003399"/>
          </w:rPr>
          <w:t>[Fußnote]</w:t>
        </w:r>
        <w:r w:rsidRPr="00CA69A1">
          <w:rPr>
            <w:rStyle w:val="innerfusslink3"/>
            <w:rFonts w:ascii="Garamond" w:hAnsi="Garamond" w:cs="Arial"/>
            <w:b/>
            <w:bCs/>
          </w:rPr>
          <w:t>Siehe: ›Die Abwehr-Neuropsychosen«.</w:t>
        </w:r>
      </w:hyperlink>
      <w:r w:rsidRPr="00CA69A1">
        <w:rPr>
          <w:rFonts w:ascii="Garamond" w:hAnsi="Garamond" w:cs="Arial"/>
          <w:color w:val="000000"/>
        </w:rPr>
        <w:t xml:space="preserve">. </w:t>
      </w:r>
      <w:r w:rsidRPr="00CA69A1">
        <w:rPr>
          <w:rFonts w:ascii="Garamond" w:hAnsi="Garamond" w:cs="Arial"/>
          <w:color w:val="000000"/>
          <w:lang w:val="en-US"/>
        </w:rPr>
        <w:t>Ich ersetzte ihn in der Folge durch den der Verdrängung, das Verhältnis zwischen beiden blieb aber unbestimmt. Ich meine nun, es bringt einen sicheren Vorteil, auf den alten Begriff der Abwehr zurückzugreifen, wenn man dabei festsetzt, daß er die allgemeine Bezeichnung für alle die Techniken sein soll, deren sich das Ich in seinen eventuell zur Neurose führenden Konflikten bedient, während Verdrängung der Name einer bestimmten solchen Abwehrmethode bleibt, die uns infolge der Richtung unserer Untersuchungen zuerst besser bekannt worden ist.</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Auch eine bloß terminologische Neuerung will gerechtfertigt werden, soll der Ausdruck einer neuen Betrachtungsweise oder einer Erweiterung unserer Einsichten sein. Die Wiederaufnahme des Begriffes Abwehr und die Einschränkung des Begriffes der Verdrängung trägt nun einer Tatsache Rechnung, die längst bekannt ist, aber durch einige neuere Funde an Bedeutung gewonnen hat. Unsere ersten Erfahrungen über Verdrängung und Symptombildung machten wir an der Hysterie; wir sahen, daß der Wahrnehmungsinhalt erregender Erlebnisse, der Vorstellungsinhalt pathogener Gedankenbildungen vergessen und von der Reproduktion im Gedächtnis ausgeschlossen wird, und haben darum in der Abhaltung vom Bewußtsein einen Hauptcharakter der hysterischen Verdrängung erkannt. Später haben wir die Zwangsneurose studiert und gefunden, daß bei dieser Affektion die pathogenen Vorfälle nicht vergessen werden. Sie bleiben bewußt, werden aber auf eine noch nicht vorstellbare Weise »isoliert«, so </w:t>
      </w:r>
      <w:r w:rsidRPr="00CA69A1">
        <w:rPr>
          <w:rFonts w:ascii="Garamond" w:hAnsi="Garamond" w:cs="Arial"/>
          <w:color w:val="000000"/>
          <w:lang w:val="en-US"/>
        </w:rPr>
        <w:lastRenderedPageBreak/>
        <w:t xml:space="preserve">daß ungefähr derselbe Erfolg erzielt wird wie durch die hysterische Amnesie. Aber die Differenz ist groß genug, um unsere Meinung zu berechtigen, der Vorgang, mittels dessen die Zwangsneurose einen Triebanspruch beseitigt, könne nicht der nämliche sein wie bei Hysterie. Weitere Untersuchungen haben uns gelehrt, daß bei der Zwangsneurose unter dem Einfluß des Ichsträubens eine Regression der Triebregungen auf eine frühere Libidophase erzielt wird, die zwar eine Verdrängung nicht überflüssig macht, aber offenbar in demselben Sinne wirkt wie die Verdrängung. Wir haben ferner gesehen, daß die auch bei Hysterie anzunehmende Gegenbesetzung bei der Zwangsneurose als reaktive Ichveränderung eine besonders große Rolle beim Ichschutz spielt, wir sind auf ein Verfahren der »Isolierung« aufmerksam worden, dessen Technik wir noch nicht angeben können, das sich einen direkten symptomatischen Ausdruck schafft, und auf die magisch zu nennende Prozedur des »Ungeschehenmachens«, über deren abwehrende Tendenz kein Zweifel sein kann, die aber mit dem Vorgang der »Verdrängung« keine Ähnlichkeit mehr hat. Diese Erfahrungen sind Grund genug, den alten Begriff der </w:t>
      </w:r>
      <w:r w:rsidRPr="00CA69A1">
        <w:rPr>
          <w:rFonts w:ascii="Garamond" w:hAnsi="Garamond" w:cs="Arial"/>
          <w:i/>
          <w:iCs/>
          <w:color w:val="000000"/>
          <w:lang w:val="en-US"/>
        </w:rPr>
        <w:t>Abwehr</w:t>
      </w:r>
      <w:r w:rsidRPr="00CA69A1">
        <w:rPr>
          <w:rFonts w:ascii="Garamond" w:hAnsi="Garamond" w:cs="Arial"/>
          <w:color w:val="000000"/>
          <w:lang w:val="en-US"/>
        </w:rPr>
        <w:t xml:space="preserve"> wieder einzusetzen, der alle diese Vorgänge mit gleicher Tendenz – Schutz des Ichs gegen Triebansprüche – umfassen kann, und ihm die Verdrängung als einen Spezialfall zu subsumieren. Die Bedeutung einer solchen Namengebung wird erhöht, wenn man die Möglichkeit erwägt, daß eine Vertiefung unserer Studien eine innige Zusammengehörigkeit zwischen besonderen Formen der Abwehr und bestimmten Affektionen ergeben könnte, z. B. zwischen Verdrängung und Hysterie. Unsere Erwartung richtet sich ferner auf die Möglichkeit einer anderen bedeutsamen Abhängigkeit. Es kann leicht sein, daß der seelische Apparat vor der scharfen Sonderung von Ich und Es, vor der Ausbildung eines Über-Ichs andere Methoden der Abwehr übt als nach der Erreichung dieser Organisationsstufen.</w:t>
      </w:r>
    </w:p>
    <w:p w:rsidR="00090F57" w:rsidRDefault="00090F57" w:rsidP="00AD6ACB">
      <w:pPr>
        <w:shd w:val="clear" w:color="auto" w:fill="FFFFFF"/>
        <w:spacing w:before="44" w:after="44" w:line="124" w:lineRule="atLeast"/>
        <w:outlineLvl w:val="4"/>
        <w:rPr>
          <w:rFonts w:ascii="Garamond" w:hAnsi="Garamond" w:cs="Arial"/>
          <w:b/>
          <w:bCs/>
          <w:color w:val="000000"/>
          <w:lang w:val="en-US"/>
        </w:rPr>
      </w:pPr>
    </w:p>
    <w:p w:rsidR="00AD6ACB" w:rsidRPr="00CA69A1" w:rsidRDefault="00AD6ACB" w:rsidP="00AD6ACB">
      <w:pPr>
        <w:shd w:val="clear" w:color="auto" w:fill="FFFFFF"/>
        <w:spacing w:before="44" w:after="44" w:line="124" w:lineRule="atLeast"/>
        <w:outlineLvl w:val="4"/>
        <w:rPr>
          <w:rFonts w:ascii="Garamond" w:hAnsi="Garamond" w:cs="Arial"/>
          <w:b/>
          <w:bCs/>
          <w:color w:val="000000"/>
          <w:lang w:val="en-US"/>
        </w:rPr>
      </w:pPr>
      <w:r w:rsidRPr="00CA69A1">
        <w:rPr>
          <w:rFonts w:ascii="Garamond" w:hAnsi="Garamond" w:cs="Arial"/>
          <w:b/>
          <w:bCs/>
          <w:color w:val="000000"/>
          <w:lang w:val="en-US"/>
        </w:rPr>
        <w:t xml:space="preserve">B </w:t>
      </w:r>
      <w:r w:rsidR="00090F57">
        <w:rPr>
          <w:rFonts w:ascii="Garamond" w:hAnsi="Garamond" w:cs="Arial"/>
          <w:b/>
          <w:bCs/>
          <w:color w:val="000000"/>
          <w:lang w:val="en-US"/>
        </w:rPr>
        <w:t xml:space="preserve"> </w:t>
      </w:r>
      <w:r w:rsidRPr="00CA69A1">
        <w:rPr>
          <w:rFonts w:ascii="Garamond" w:hAnsi="Garamond" w:cs="Arial"/>
          <w:b/>
          <w:bCs/>
          <w:color w:val="000000"/>
          <w:lang w:val="en-US"/>
        </w:rPr>
        <w:t>Ergänzung zur Angst</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Der Angstaffekt zeigt einige Züge, deren Untersuchung weitere Aufklärung verspricht. Die Angst hat eine unverkennbare Beziehung zur </w:t>
      </w:r>
      <w:r w:rsidRPr="00CA69A1">
        <w:rPr>
          <w:rFonts w:ascii="Garamond" w:hAnsi="Garamond" w:cs="Arial"/>
          <w:i/>
          <w:iCs/>
          <w:color w:val="000000"/>
          <w:lang w:val="en-US"/>
        </w:rPr>
        <w:t>Erwartung</w:t>
      </w:r>
      <w:r w:rsidRPr="00CA69A1">
        <w:rPr>
          <w:rFonts w:ascii="Garamond" w:hAnsi="Garamond" w:cs="Arial"/>
          <w:color w:val="000000"/>
          <w:lang w:val="en-US"/>
        </w:rPr>
        <w:t xml:space="preserve">; sie ist Angst </w:t>
      </w:r>
      <w:r w:rsidRPr="00CA69A1">
        <w:rPr>
          <w:rFonts w:ascii="Garamond" w:hAnsi="Garamond" w:cs="Arial"/>
          <w:i/>
          <w:iCs/>
          <w:color w:val="000000"/>
          <w:lang w:val="en-US"/>
        </w:rPr>
        <w:t>vor</w:t>
      </w:r>
      <w:r w:rsidRPr="00CA69A1">
        <w:rPr>
          <w:rFonts w:ascii="Garamond" w:hAnsi="Garamond" w:cs="Arial"/>
          <w:color w:val="000000"/>
          <w:lang w:val="en-US"/>
        </w:rPr>
        <w:t xml:space="preserve"> etwas. Es haftet ihr ein Charakter von </w:t>
      </w:r>
      <w:r w:rsidRPr="00CA69A1">
        <w:rPr>
          <w:rFonts w:ascii="Garamond" w:hAnsi="Garamond" w:cs="Arial"/>
          <w:i/>
          <w:iCs/>
          <w:color w:val="000000"/>
          <w:lang w:val="en-US"/>
        </w:rPr>
        <w:t>Unbestimmtheit</w:t>
      </w:r>
      <w:r w:rsidRPr="00CA69A1">
        <w:rPr>
          <w:rFonts w:ascii="Garamond" w:hAnsi="Garamond" w:cs="Arial"/>
          <w:color w:val="000000"/>
          <w:lang w:val="en-US"/>
        </w:rPr>
        <w:t xml:space="preserve"> und </w:t>
      </w:r>
      <w:r w:rsidRPr="00CA69A1">
        <w:rPr>
          <w:rFonts w:ascii="Garamond" w:hAnsi="Garamond" w:cs="Arial"/>
          <w:i/>
          <w:iCs/>
          <w:color w:val="000000"/>
          <w:lang w:val="en-US"/>
        </w:rPr>
        <w:t>Objektlosigkeit</w:t>
      </w:r>
      <w:r w:rsidRPr="00CA69A1">
        <w:rPr>
          <w:rFonts w:ascii="Garamond" w:hAnsi="Garamond" w:cs="Arial"/>
          <w:color w:val="000000"/>
          <w:lang w:val="en-US"/>
        </w:rPr>
        <w:t xml:space="preserve"> an; der korrekte Sprachgebrauch ändert selbst ihren Namen, wenn sie ein Objekt gefunden hat, und ersetzt ihn dann durch </w:t>
      </w:r>
      <w:r w:rsidRPr="00CA69A1">
        <w:rPr>
          <w:rFonts w:ascii="Garamond" w:hAnsi="Garamond" w:cs="Arial"/>
          <w:i/>
          <w:iCs/>
          <w:color w:val="000000"/>
          <w:lang w:val="en-US"/>
        </w:rPr>
        <w:t>Furcht</w:t>
      </w:r>
      <w:r w:rsidRPr="00CA69A1">
        <w:rPr>
          <w:rFonts w:ascii="Garamond" w:hAnsi="Garamond" w:cs="Arial"/>
          <w:color w:val="000000"/>
          <w:lang w:val="en-US"/>
        </w:rPr>
        <w:t>. Die Angst hat ferner außer ihrer Beziehung zur Gefahr eine andere zur Neurose, um deren Aufklärung wir uns seit langem bemühen. Es entsteht die Frage, warum nicht alle Angstreaktionen neurotisch sind, warum wir so viele als normal anerkennen; endlich verlangt der Unterschied von Realangst und neurotischer Angst nach gründlicher Würdigung.</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Gehen wir von der letzteren Aufgabe aus. Unser Fortschritt bestand in dem Rückgreifen von der Reaktion der Angst auf die Situation der Gefahr. Nehmen wir dieselbe Veränderung an dem Problem der Realangst vor, so wird uns dessen Lösung leicht. Realgefahr ist eine Gefahr, die wir kennen, Realangst die Angst vor einer solchen bekannten Gefahr. Die neurotische Angst ist Angst vor einer Gefahr, die wir nicht kennen. Die neurotische Gefahr muß also erst gesucht werden; die Analyse hat uns gelehrt, sie ist eine Triebgefahr. Indem wir diese dem Ich unbekannte Gefahr zum Bewußtsein bringen, verwischen wir den Unterschied zwischen Realangst und neurotischer Angst, können wir die letztere wie die erstere behandeln.</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In der Realgefahr entwickeln wir zwei Reaktionen, die affektive, den Angstausbruch, und die Schutzhandlung. Voraussichtlich wird bei der Triebgefahr dasselbe geschehen. Wir kennen den Fall des zweckmäßigen Zusammenwirkens beider Reaktionen, indem die eine das Signal für das Einsetzen der anderen gibt, aber auch den unzweckmäßigen Fall, den der Angstlähmung, daß die eine sich auf Kosten der anderen ausbreitet.</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Es gibt Fälle, in denen sich die Charaktere von Realangst und neurotischer Angst vermengt zeigen. Die Gefahr ist bekannt und real, aber die Angst vor ihr übermäßig groß, größer, als sie nach unserem Urteil sein dürfte. In diesem Mehr verrät sich das neurotische Element. Aber diese Fälle bringen nichts prinzipiell Neues. Die Analyse zeigt, daß an die bekannte Realgefahr eine unerkannte Triebgefahr geknüpft ist.</w:t>
      </w:r>
    </w:p>
    <w:p w:rsidR="00AD6ACB" w:rsidRPr="00CA69A1" w:rsidRDefault="00AD6ACB" w:rsidP="00AD6ACB">
      <w:pPr>
        <w:shd w:val="clear" w:color="auto" w:fill="FFFFFF"/>
        <w:spacing w:before="120" w:after="120" w:line="124" w:lineRule="atLeast"/>
        <w:rPr>
          <w:rFonts w:ascii="Garamond" w:hAnsi="Garamond" w:cs="Arial"/>
          <w:color w:val="000000"/>
        </w:rPr>
      </w:pPr>
      <w:r w:rsidRPr="00CA69A1">
        <w:rPr>
          <w:rFonts w:ascii="Garamond" w:hAnsi="Garamond" w:cs="Arial"/>
          <w:color w:val="000000"/>
          <w:lang w:val="en-US"/>
        </w:rPr>
        <w:t xml:space="preserve">Wir kommen weiter, wenn wir uns auch mit der Zurückführung der Angst auf die Gefahr nicht begnügen. Was ist der Kern, die Bedeutung der Gefahrsituation? Offenbar die Einschätzung unserer Stärke im Vergleich zu ihrer Größe, das Zugeständnis unserer Hilflosigkeit gegen sie, der materiellen Hilflosigkeit im Falle der Realgefahr, der psychischen Hilflosigkeit im Falle der Triebgefahr. Unser Urteil wird dabei von wirklich gemachten Erfahrungen geleitet werden; ob es sich in seiner Schätzung irrt, ist für den Erfolg gleichgiltig. </w:t>
      </w:r>
      <w:r w:rsidRPr="00CA69A1">
        <w:rPr>
          <w:rFonts w:ascii="Garamond" w:hAnsi="Garamond" w:cs="Arial"/>
          <w:color w:val="000000"/>
        </w:rPr>
        <w:t xml:space="preserve">Heißen wir eine solche erlebte Situation von Hilflosigkeit eine </w:t>
      </w:r>
      <w:r w:rsidRPr="00CA69A1">
        <w:rPr>
          <w:rFonts w:ascii="Garamond" w:hAnsi="Garamond" w:cs="Arial"/>
          <w:i/>
          <w:iCs/>
          <w:color w:val="000000"/>
        </w:rPr>
        <w:t>traumatische</w:t>
      </w:r>
      <w:r w:rsidRPr="00CA69A1">
        <w:rPr>
          <w:rFonts w:ascii="Garamond" w:hAnsi="Garamond" w:cs="Arial"/>
          <w:color w:val="000000"/>
        </w:rPr>
        <w:t xml:space="preserve">; wir haben dann guten Grund, die traumatische Situation von der </w:t>
      </w:r>
      <w:r w:rsidRPr="00CA69A1">
        <w:rPr>
          <w:rFonts w:ascii="Garamond" w:hAnsi="Garamond" w:cs="Arial"/>
          <w:i/>
          <w:iCs/>
          <w:color w:val="000000"/>
        </w:rPr>
        <w:t>Gefahrsituation</w:t>
      </w:r>
      <w:r w:rsidRPr="00CA69A1">
        <w:rPr>
          <w:rFonts w:ascii="Garamond" w:hAnsi="Garamond" w:cs="Arial"/>
          <w:color w:val="000000"/>
        </w:rPr>
        <w:t xml:space="preserve"> zu trennen.</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rPr>
        <w:lastRenderedPageBreak/>
        <w:t xml:space="preserve">Es ist nun ein wichtiger Fortschritt in unserer Selbstbewahrung, wenn eine solche traumatische Situation von Hilflosigkeit nicht abgewartet, sondern vorhergesehen, erwartet wird. </w:t>
      </w:r>
      <w:r w:rsidRPr="00CA69A1">
        <w:rPr>
          <w:rFonts w:ascii="Garamond" w:hAnsi="Garamond" w:cs="Arial"/>
          <w:color w:val="000000"/>
          <w:lang w:val="en-US"/>
        </w:rPr>
        <w:t>Die Situation, in der die Bedingung für solche Erwartung enthalten ist, heiße die Gefahrsituation, in ihr wird das Angstsignal gegeben. Dies will besagen: ich erwarte, daß sich eine Situation von Hilflosigkeit ergeben wird, oder die gegenwärtige Situation erinnert mich an eines der früher erfahrenen traumatischen Erlebnisse. Daher antizipiere ich dieses Trauma, will mich benehmen, als ob es schon da wäre, solange noch Zeit ist, es abzuwenden. Die Angst ist also einerseits Erwartung des Traumas, anderseits eine gemilderte Wiederholung desselben. Die beiden Charaktere, die uns an der Angst aufgefallen sind, haben also verschiedenen Ursprung. Ihre Beziehung zur Erwartung gehört zur Gefahrsituation, ihre Unbestimmtheit und Objektlosigkeit zur traumatischen Situation der Hilflosigkeit, die in der Gefahrsituation antizipiert wird.</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Nach der Entwicklung der Reihe: Angst – Gefahr – Hilflosigkeit (Trauma) können wir zusammenfassen: Die Gefahrsituation ist die erkannte, erinnerte, erwartete Situation der Hilflosigkeit. Die Angst ist die ursprüngliche Reaktion auf die Hilflosigkeit im Trauma, die dann später in der Gefahrsituation als Hilfssignal reproduziert wird. Das Ich, welches das Trauma passiv erlebt hat, wiederholt nun aktiv eine abgeschwächte Reproduktion desselben, in der Hoffnung, deren Ablauf selbsttätig leiten zu können. Wir wissen, das Kind benimmt sich ebenso gegen alle ihm peinlichen Eindrücke, indem es sie im Spiel reproduziert; durch diese Art, von der Passivität zur Aktivität überzugehen, sucht es seine Lebenseindrücke psychisch zu bewältigen. Wenn dies der Sinn eines »Abreagierens« des Traumas sein soll, so kann man nichts mehr dagegen einwenden. Das Entscheidende ist aber die erste Verschiebung der Angstreaktion von ihrem Ursprung in der Situation der Hilflosigkeit auf deren Erwartung, die Gefahrsituation. Dann folgen die weiteren Verschiebungen von der Gefahr auf die Bedingung der Gefahr, den Objektverlust und dessen schon erwähnte Modifikationen.</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Die »Verwöhnung« des kleinen Kindes hat die unerwünschte Folge, daß die Gefahr des Objektverlustes – das Objekt als Schutz gegen alle Situationen der Hilflosigkeit – gegen alle anderen Gefahren übersteigert wird. Sie begünstigt also die Zurückhaltung in der Kindheit, der die motorische wie die psychische Hilflosigkeit eigen sind.</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Wir haben bisher keinen Anlaß gehabt, die Realangst anders zu betrachten als die neurotische Angst. Wir kennen den Unterschied; die Realgefahr droht von einem äußeren Objekt, die neurotische von einem Triebanspruch. Insoferne dieser Triebanspruch etwas Reales ist, kann auch die neurotische Angst als real begründet anerkannt werden. Wir haben verstanden, daß der Anschein einer besonders intimen Beziehung zwischen Angst und Neurose sich auf die Tatsache zurückführt, daß das Ich sich mit Hilfe der Angstreaktion der Triebgefahr ebenso erwehrt wie der äußeren Realgefahr, daß aber diese Richtung der Abwehrtätigkeit infolge einer Unvollkommenheit des seelischen Apparats in die Neurose ausläuft. Wir haben auch die Überzeugung gewonnen, daß der Triebanspruch oft nur darum zur (inneren) Gefahr wird, weil seine Befriedigung eine äußere Gefahr herbeiführen würde, also weil diese innere Gefahr eine äußere repräsentiert.</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Anderseits muß auch die äußere (Real-) Gefahr eine Verinnerlichung gefunden haben, wenn sie für das Ich bedeutsam werden soll; sie muß in ihrer Beziehung zu einer erlebten Situation von Hilflosigkeit erkannt werden </w:t>
      </w:r>
      <w:hyperlink r:id="rId441" w:anchor="#" w:history="1">
        <w:r w:rsidRPr="00CA69A1">
          <w:rPr>
            <w:rStyle w:val="fusslink"/>
            <w:rFonts w:ascii="Garamond" w:hAnsi="Garamond" w:cs="Arial"/>
            <w:b/>
            <w:bCs/>
            <w:color w:val="003399"/>
            <w:lang w:val="en-US"/>
          </w:rPr>
          <w:t>[Fußnote]</w:t>
        </w:r>
        <w:r w:rsidRPr="00CA69A1">
          <w:rPr>
            <w:rStyle w:val="innerfusslink3"/>
            <w:rFonts w:ascii="Garamond" w:hAnsi="Garamond" w:cs="Arial"/>
            <w:b/>
            <w:bCs/>
            <w:lang w:val="en-US"/>
          </w:rPr>
          <w:t>Es mag oft genug vorkommen, daß in einer Gefahrsituation, die als solche richtig geschätzt wird, zur Realangst ein Stück Triebangst hinzukommt. Der Triebanspruch, vor dessen Befriedigung das Ich zurückschreckt, wäre dann der masochistische, der gegen die eigene Person gewendete Destruktionstrieb. Vielleicht erklärt diese Zutat den Fall, daß die Angstreaktion übermäßig und unzweckmäßig, lähmend ausfällt. Die Höhenphobien (Fenster, Turm, Abgrund) könnten diese Herkunft haben; ihre geheime feminine Bedeutung steht dem Masochismus nahe.</w:t>
        </w:r>
      </w:hyperlink>
      <w:r w:rsidRPr="00CA69A1">
        <w:rPr>
          <w:rFonts w:ascii="Garamond" w:hAnsi="Garamond" w:cs="Arial"/>
          <w:color w:val="000000"/>
          <w:lang w:val="en-US"/>
        </w:rPr>
        <w:t>. Eine instinktive Erkenntnis von außen drohender Gefahren scheint dem Menschen nicht oder nur in sehr bescheidenem Ausmaß mitgegeben worden zu sein. Kleine Kinder tun unaufhörlich Dinge, die sie in Lebensgefahr bringen, und können gerade darum das schützende Objekt nicht entbehren. In der Beziehung zur traumatischen Situation, gegen die man hilflos ist, treffen äußere und innere Gefahr, Realgefahr und Triebanspruch zusammen. Mag das Ich in dem einen Falle einen Schmerz, der nicht aufhören will, erleben, im anderen Falle eine Bedürfnisstauung, die keine Befriedigung finden kann, die ökonomische Situation ist für beide Fälle die nämliche, und die motorische Hilflosigkeit findet in der psychischen Hilflosigkeit ihren Ausdruck.</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lastRenderedPageBreak/>
        <w:t>Die rätselhaften Phobien der frühen Kinderzeit verdienen an dieser Stelle nochmalige Erwähnung. Die einen von ihnen – Alleinsein, Dunkelheit, fremde Personen – konnten wir als Reaktionen auf die Gefahr des Objektverlustes verstehen; für andere – kleine Tiere, Gewitter u. dgl. – bietet sich vielleicht die Auskunft, sie seien die verkümmerten Reste einer kongenitalen Vorbereitung auf die Realgefahren, die bei anderen Tieren so deutlich ausgebildet ist. Für den Menschen zweckmäßig ist allein der Anteil dieser archaischen Erbschaft, der sich auf den Objektverlust bezieht. Wenn solche Kinderphobien sich fixieren, stärker werden und bis in späte Lebensjahre anhalten, weist die Analyse nach, daß ihr Inhalt sich mit Triebansprüchen in Verbindung gesetzt hat, zur Vertretung auch innerer Gefahren geworden ist.</w:t>
      </w:r>
    </w:p>
    <w:p w:rsidR="00090F57" w:rsidRDefault="00090F57" w:rsidP="00AD6ACB">
      <w:pPr>
        <w:shd w:val="clear" w:color="auto" w:fill="FFFFFF"/>
        <w:spacing w:before="44" w:after="44" w:line="124" w:lineRule="atLeast"/>
        <w:outlineLvl w:val="4"/>
        <w:rPr>
          <w:rFonts w:ascii="Garamond" w:hAnsi="Garamond" w:cs="Arial"/>
          <w:b/>
          <w:bCs/>
          <w:color w:val="000000"/>
          <w:lang w:val="en-US"/>
        </w:rPr>
      </w:pPr>
    </w:p>
    <w:p w:rsidR="00AD6ACB" w:rsidRPr="00CA69A1" w:rsidRDefault="00AD6ACB" w:rsidP="00AD6ACB">
      <w:pPr>
        <w:shd w:val="clear" w:color="auto" w:fill="FFFFFF"/>
        <w:spacing w:before="44" w:after="44" w:line="124" w:lineRule="atLeast"/>
        <w:outlineLvl w:val="4"/>
        <w:rPr>
          <w:rFonts w:ascii="Garamond" w:hAnsi="Garamond" w:cs="Arial"/>
          <w:b/>
          <w:bCs/>
          <w:color w:val="000000"/>
          <w:lang w:val="en-US"/>
        </w:rPr>
      </w:pPr>
      <w:r w:rsidRPr="00CA69A1">
        <w:rPr>
          <w:rFonts w:ascii="Garamond" w:hAnsi="Garamond" w:cs="Arial"/>
          <w:b/>
          <w:bCs/>
          <w:color w:val="000000"/>
          <w:lang w:val="en-US"/>
        </w:rPr>
        <w:t>C</w:t>
      </w:r>
      <w:r w:rsidR="00090F57">
        <w:rPr>
          <w:rFonts w:ascii="Garamond" w:hAnsi="Garamond" w:cs="Arial"/>
          <w:b/>
          <w:bCs/>
          <w:color w:val="000000"/>
          <w:lang w:val="en-US"/>
        </w:rPr>
        <w:t xml:space="preserve">  </w:t>
      </w:r>
      <w:r w:rsidRPr="00CA69A1">
        <w:rPr>
          <w:rFonts w:ascii="Garamond" w:hAnsi="Garamond" w:cs="Arial"/>
          <w:b/>
          <w:bCs/>
          <w:color w:val="000000"/>
          <w:lang w:val="en-US"/>
        </w:rPr>
        <w:t>Angst, Schmerz und Trauer</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Zur Psychologie der Gefühlsvorgänge liegt so wenig vor, daß die nachstehenden schüchternen Bemerkungen auf die nachsichtigste Beurteilung Anspruch erheben dürfen. An folgender Stelle erhebt sich für uns das Problem. Wir mußten sagen, die Angst werde zur Reaktion auf die Gefahr des Objektverlusts. Nun kennen wir bereits eine solche Reaktion auf den Objektverlust, es ist die Trauer. Also wann kommt es zur einen, wann zur anderen? An der Trauer, mit der wir uns bereits früher beschäftigt haben </w:t>
      </w:r>
      <w:hyperlink r:id="rId442" w:anchor="#" w:history="1">
        <w:r w:rsidRPr="00CA69A1">
          <w:rPr>
            <w:rStyle w:val="fusslink"/>
            <w:rFonts w:ascii="Garamond" w:hAnsi="Garamond" w:cs="Arial"/>
            <w:b/>
            <w:bCs/>
            <w:color w:val="003399"/>
            <w:lang w:val="en-US"/>
          </w:rPr>
          <w:t>[Fußnote]</w:t>
        </w:r>
        <w:r w:rsidRPr="00CA69A1">
          <w:rPr>
            <w:rStyle w:val="innerfusslink3"/>
            <w:rFonts w:ascii="Garamond" w:hAnsi="Garamond" w:cs="Arial"/>
            <w:b/>
            <w:bCs/>
            <w:lang w:val="en-US"/>
          </w:rPr>
          <w:t>Siehe: ›Trauer und Melancholie‹.</w:t>
        </w:r>
      </w:hyperlink>
      <w:r w:rsidRPr="00CA69A1">
        <w:rPr>
          <w:rFonts w:ascii="Garamond" w:hAnsi="Garamond" w:cs="Arial"/>
          <w:color w:val="000000"/>
          <w:lang w:val="en-US"/>
        </w:rPr>
        <w:t>, blieb ein Zug völlig unverstanden, ihre besondere Schmerzlichkeit. Daß die Trennung vom Objekt schmerzlich ist, erscheint uns trotzdem selbstverständlich. Also kompliziert sich das Problem weiter: Wann macht die Trennung vom Objekt Angst, wann Trauer und wann vielleicht nur Schmerz?</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Sagen wir es gleich, es ist keine Aussicht vorhanden, Antworten auf diese Fragen zu geben. Wir werden uns dabei bescheiden, einige Abgrenzungen und einige Andeutungen zu finden.</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rPr>
        <w:t xml:space="preserve">Unser Ausgangspunkt sei wiederum die eine Situation, die wir zu verstehen glauben, die des Säuglings, der anstatt seiner Mutter eine fremde Person erblickt. Er zeigt dann die Angst, die wir auf die Gefahr des Objektverlustes gedeutet haben. </w:t>
      </w:r>
      <w:r w:rsidRPr="00CA69A1">
        <w:rPr>
          <w:rFonts w:ascii="Garamond" w:hAnsi="Garamond" w:cs="Arial"/>
          <w:color w:val="000000"/>
          <w:lang w:val="en-GB"/>
        </w:rPr>
        <w:t xml:space="preserve">Aber sie ist wohl komplizierter und verdient eine eingehendere Diskussion. An der Angst des Säuglings ist zwar kein Zweifel, aber Gesichtsausdruck und die Reaktion des Weinens lassen annehmen, daß er außerdem noch Schmerz empfindet. </w:t>
      </w:r>
      <w:r w:rsidRPr="00CA69A1">
        <w:rPr>
          <w:rFonts w:ascii="Garamond" w:hAnsi="Garamond" w:cs="Arial"/>
          <w:color w:val="000000"/>
          <w:lang w:val="en-US"/>
        </w:rPr>
        <w:t>Es scheint, daß bei ihm einiges zusammenfließt, was später gesondert werden wird. Er kann das zeitweilige Vermissen und den dauernden Verlust noch nicht unterscheiden; wenn er die Mutter das eine Mal nicht zu Gesicht bekommen hat, benimmt er sich so, als ob er sie nie wieder sehen sollte, und es bedarf wiederholter tröstlicher Erfahrungen, bis er gelernt hat, daß auf ein solches Verschwinden der Mutter ihr Wiedererscheinen zu folgen pflegt. Die Mutter reift diese für ihn so wichtige Erkenntnis, indem sie das bekannte Spiel mit ihm aufführt, sich vor ihm das Gesicht zu verdecken und zu seiner Freude wieder zu enthüllen. Er kann dann sozusagen Sehnsucht empfinden, die nicht von Verzweiflung begleitet ist.</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Die Situation, in der er die Mutter vermißt, ist infolge seines Mißverständnisses für ihn keine Gefahrsituation, sondern eine traumatische, oder richtiger, sie ist eine traumatische, wenn er in diesem Moment ein Bedürfnis verspürt, das die Mutter befriedigen soll; sie wandelt sich zur Gefahrsituation, wenn dies Bedürfnis nicht aktuell ist. Die erste Angstbedingung, die das Ich selbst einführt, ist also die des Wahrnehmungsverlustes, die der des Objektverlustes gleichgestellt wird. Ein Liebesverlust kommt noch nicht in Betracht. Später lehrt die Erfahrung, daß das Objekt vorhanden bleiben, aber auf das Kind böse geworden sein kann, und nun wird der Verlust der Liebe von Seiten des Objekts zur neuen, weit beständigeren Gefahr und Angstbedingung.</w:t>
      </w:r>
    </w:p>
    <w:p w:rsidR="00AD6ACB" w:rsidRPr="00CA69A1" w:rsidRDefault="00AD6ACB" w:rsidP="00AD6ACB">
      <w:pPr>
        <w:shd w:val="clear" w:color="auto" w:fill="FFFFFF"/>
        <w:spacing w:before="120" w:after="120" w:line="124" w:lineRule="atLeast"/>
        <w:rPr>
          <w:rFonts w:ascii="Garamond" w:hAnsi="Garamond" w:cs="Arial"/>
          <w:color w:val="000000"/>
        </w:rPr>
      </w:pPr>
      <w:r w:rsidRPr="00CA69A1">
        <w:rPr>
          <w:rFonts w:ascii="Garamond" w:hAnsi="Garamond" w:cs="Arial"/>
          <w:color w:val="000000"/>
        </w:rPr>
        <w:t>Die traumatische Situation des Vermissens der Mutter weicht in einem entscheidenden Punkte von der traumatischen Situation der Geburt ab. Damals war kein Objekt vorhanden, das vermißt werden konnte. Die Angst blieb die einzige Reaktion, die zustande kam. Seither haben wiederholte Befriedigungssituationen das Objekt der Mutter geschaffen, das nun im Falle des Bedürfnisses eine intensive, »sehnsüchtig« zu nennende Besetzung erfährt. Auf diese Neuerung ist die Reaktion des Schmerzes zu beziehen. Der Schmerz ist also die eigentliche Reaktion auf den Objektverlust, die Angst die auf die Gefahr, welche dieser Verlust mit sich bringt, in weiterer Verschiebung auf die Gefahr des Objektverlustes selbst.</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 xml:space="preserve">Auch vom Schmerz wissen wir sehr wenig. Den einzig sicheren Inhalt gibt die Tatsache, daß der Schmerz – zunächst und in der Regel – entsteht, wenn ein an der Peripherie angreifender Reiz die Vorrichtungen des Reizschutzes durchbricht und nun wie ein kontinuierlicher Triebreiz wirkt, gegen den die sonst wirksamen Muskelaktionen, welche die gereizte Stelle dem Reiz entziehen, ohnmächtig bleiben. Wenn der </w:t>
      </w:r>
      <w:r w:rsidRPr="00CA69A1">
        <w:rPr>
          <w:rFonts w:ascii="Garamond" w:hAnsi="Garamond" w:cs="Arial"/>
          <w:color w:val="000000"/>
          <w:lang w:val="en-US"/>
        </w:rPr>
        <w:lastRenderedPageBreak/>
        <w:t>Schmerz nicht von einer Hautstelle, sondern von einem inneren Organ ausgeht, so ändert das nichts an der Situation; es ist nur ein Stück der inneren Peripherie an die Stelle der äußeren getreten. Das Kind hat offenbar Gelegenheit, solche Schmerzerlebnisse zu machen, die unabhängig von seinen Bedürfniserlebnissen sind. Diese Entstehungsbedingung des Schmerzes scheint aber sehr wenig Ähnlichkeit mit einem Objektverlust zu haben, auch ist das für den Schmerz wesentliche Moment der peripherischen Reizung in der Sehnsuchtssituation des Kindes völlig entfallen. Und doch kann es nicht sinnlos sein, daß die Sprache den Begriff des inneren, des seelischen, Schmerzes geschaffen hat und die Empfindungen des Objektverlusts durchaus dem körperlichen Schmerz gleichstellt.</w:t>
      </w:r>
    </w:p>
    <w:p w:rsidR="00AD6ACB" w:rsidRPr="00CA69A1"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Beim körperlichen Schmerz entsteht eine hohe, narzißtisch zu nennende Besetzung der schmerzenden Körperstelle, die immer mehr zunimmt und sozusagen entleerend auf das Ich wirkt. Es ist bekannt, daß wir, bei Schmerzen in inneren Organen, räumliche und andere Vorstellungen von solchen Körperteilen bekommen, die sonst im bewußten Vorstellen gar nicht vertreten sind. Auch die merkwürdige Tatsache, daß die intensivsten Körperschmerzen bei psychischer Ablenkung durch ein andersartiges Interesse nicht zustande kommen (man darf hier nicht sagen: unbewußt bleiben), findet in der Tatsache der Konzentration der Besetzung auf die psychische Repräsentanz der schmerzenden Körperstelle ihre Erklärung. Nun scheint in diesem Punkt die Analogie zu liegen, die die Übertragung der Schmerzempfindung auf das seelische Gebiet gestattet hat. Die intensive, infolge ihrer Unstillbarkeit stets anwachsende Sehnsuchtsbesetzung des vermißten (verlorenen) Objekts schafft dieselben ökonomischen Bedingungen wie die Schmerzbesetzung der verletzten Körperstelle und macht es möglich, von der peripherischen Bedingtheit des Körperschmerzes abzusehen! Der Übergang vom Körperschmerz zum Seelenschmerz entspricht dem Wandel von narzißtischer zur Objektbesetzung. Die vom Bedürfnis hochbesetzte Objektvorstellung spielt die Rolle der von dem Reizzuwachs besetzten Körperstelle. Die Kontinuität und Unhemmbarkeit des Besetzungsvorganges bringen den gleichen Zustand der psychischen Hilflosigkeit hervor. Wenn die dann entstehende Unlustempfindung den spezifischen, nicht näher zu beschreibenden Charakter des Schmerzes trägt, anstatt sich in der Reaktionsform der Angst zu äußern, so liegt es nahe, dafür ein Moment verantwortlich zu machen, das sonst von der Erklärung noch zu wenig in Anspruch genommen wurde, das hohe Niveau der Besetzungs- und Bindungsverhältnisse, auf dem sich diese zur Unlustempfindung führenden Vorgänge vollziehen.</w:t>
      </w:r>
    </w:p>
    <w:p w:rsidR="00B6748F" w:rsidRDefault="00AD6ACB" w:rsidP="00AD6ACB">
      <w:pPr>
        <w:shd w:val="clear" w:color="auto" w:fill="FFFFFF"/>
        <w:spacing w:before="120" w:after="120" w:line="124" w:lineRule="atLeast"/>
        <w:rPr>
          <w:rFonts w:ascii="Garamond" w:hAnsi="Garamond" w:cs="Arial"/>
          <w:color w:val="000000"/>
          <w:lang w:val="en-US"/>
        </w:rPr>
      </w:pPr>
      <w:r w:rsidRPr="00CA69A1">
        <w:rPr>
          <w:rFonts w:ascii="Garamond" w:hAnsi="Garamond" w:cs="Arial"/>
          <w:color w:val="000000"/>
          <w:lang w:val="en-US"/>
        </w:rPr>
        <w:t>Wir kennen noch eine andere Gefühlsreaktion auf den Objektverlust, die Trauer. Ihre Erklärung bereitet aber keine Schwierigkeiten mehr. Die Trauer entsteht unter dem Einfluß der Realitätsprüfung, die kategorisch verlangt, daß man sich von dem Objekt trennen müsse, weil es nicht mehr besteht. Sie hat nun die Arbeit zu leisten, diesen Rückzug vom Objekt in all den Situationen durchzuführen, in denen das Objekt Gegenstand hoher Besetzung war. Der schmerzliche Charakter dieser Trennung fügt sich dann der eben gegebenen Erklärung durch die hohe und unerfüllbare Sehnsuchtsbesetzung des Objekts während der Reproduktion der Situationen, in denen die Bindung an das Objekt gelöst werden soll.</w:t>
      </w:r>
    </w:p>
    <w:p w:rsidR="00B6748F" w:rsidRDefault="00B6748F">
      <w:pPr>
        <w:rPr>
          <w:rFonts w:ascii="Garamond" w:hAnsi="Garamond" w:cs="Arial"/>
          <w:color w:val="000000"/>
          <w:lang w:val="en-US"/>
        </w:rPr>
      </w:pPr>
      <w:r>
        <w:rPr>
          <w:rFonts w:ascii="Garamond" w:hAnsi="Garamond" w:cs="Arial"/>
          <w:color w:val="000000"/>
          <w:lang w:val="en-US"/>
        </w:rPr>
        <w:br w:type="page"/>
      </w:r>
    </w:p>
    <w:p w:rsidR="00B6748F" w:rsidRPr="00B6748F" w:rsidRDefault="00B6748F" w:rsidP="00B6748F">
      <w:pPr>
        <w:rPr>
          <w:lang w:val="en-US"/>
        </w:rPr>
      </w:pPr>
    </w:p>
    <w:p w:rsidR="00B6748F" w:rsidRPr="00B6748F" w:rsidRDefault="00B6748F" w:rsidP="00B6748F">
      <w:pPr>
        <w:shd w:val="clear" w:color="auto" w:fill="FFFFFF"/>
        <w:spacing w:before="100" w:beforeAutospacing="1" w:after="100" w:afterAutospacing="1" w:line="124" w:lineRule="atLeast"/>
        <w:rPr>
          <w:rFonts w:ascii="Garamond" w:hAnsi="Garamond"/>
          <w:color w:val="000000" w:themeColor="text1"/>
          <w:sz w:val="28"/>
          <w:szCs w:val="28"/>
          <w:lang w:val="en-US"/>
        </w:rPr>
      </w:pPr>
      <w:r w:rsidRPr="00B6748F">
        <w:rPr>
          <w:rFonts w:ascii="Garamond" w:hAnsi="Garamond"/>
          <w:color w:val="000000" w:themeColor="text1"/>
          <w:sz w:val="28"/>
          <w:szCs w:val="28"/>
          <w:lang w:val="en-US"/>
        </w:rPr>
        <w:t>To</w:t>
      </w:r>
      <w:bookmarkStart w:id="129" w:name="F66"/>
      <w:bookmarkEnd w:id="129"/>
      <w:r w:rsidRPr="00B6748F">
        <w:rPr>
          <w:rFonts w:ascii="Garamond" w:hAnsi="Garamond"/>
          <w:color w:val="000000" w:themeColor="text1"/>
          <w:sz w:val="28"/>
          <w:szCs w:val="28"/>
          <w:lang w:val="en-US"/>
        </w:rPr>
        <w:t>tem und Tabu.</w:t>
      </w:r>
      <w:r>
        <w:rPr>
          <w:rFonts w:ascii="Garamond" w:hAnsi="Garamond"/>
          <w:color w:val="000000" w:themeColor="text1"/>
          <w:sz w:val="28"/>
          <w:szCs w:val="28"/>
          <w:lang w:val="en-US"/>
        </w:rPr>
        <w:t xml:space="preserve">                                                                                        </w:t>
      </w:r>
      <w:hyperlink w:anchor="Werke" w:history="1">
        <w:r w:rsidRPr="00B6748F">
          <w:rPr>
            <w:rStyle w:val="Lienhypertexte"/>
            <w:rFonts w:ascii="Garamond" w:hAnsi="Garamond"/>
            <w:lang w:val="en-US"/>
          </w:rPr>
          <w:t>Werke</w:t>
        </w:r>
      </w:hyperlink>
    </w:p>
    <w:p w:rsidR="00B6748F" w:rsidRPr="00751AC0" w:rsidRDefault="00B6748F" w:rsidP="00B6748F">
      <w:pPr>
        <w:spacing w:after="0" w:line="240" w:lineRule="auto"/>
        <w:rPr>
          <w:rFonts w:ascii="Garamond" w:hAnsi="Garamond"/>
          <w:color w:val="000000"/>
          <w:sz w:val="18"/>
          <w:szCs w:val="18"/>
          <w:lang w:val="en-US"/>
        </w:rPr>
      </w:pPr>
      <w:r w:rsidRPr="00751AC0">
        <w:rPr>
          <w:rFonts w:ascii="Garamond" w:hAnsi="Garamond"/>
          <w:color w:val="000000"/>
          <w:sz w:val="18"/>
          <w:szCs w:val="18"/>
          <w:lang w:val="en-GB"/>
        </w:rPr>
        <w:t xml:space="preserve">Einige Übereinstimmungen im Seelenleben der Wilden und der Neurotiker  </w:t>
      </w:r>
      <w:r w:rsidRPr="00751AC0">
        <w:rPr>
          <w:rFonts w:ascii="Garamond" w:hAnsi="Garamond"/>
          <w:color w:val="000000"/>
          <w:sz w:val="18"/>
          <w:szCs w:val="18"/>
          <w:lang w:val="en-US"/>
        </w:rPr>
        <w:t>(1912–13)</w:t>
      </w:r>
    </w:p>
    <w:p w:rsidR="007D5EBB" w:rsidRDefault="007D5EBB" w:rsidP="00B6748F">
      <w:pPr>
        <w:rPr>
          <w:rFonts w:ascii="Garamond" w:hAnsi="Garamond"/>
          <w:color w:val="0000CC"/>
          <w:lang w:val="en-US"/>
        </w:rPr>
      </w:pPr>
    </w:p>
    <w:p w:rsidR="00B6748F" w:rsidRPr="00B6748F" w:rsidRDefault="00B6748F" w:rsidP="00B6748F">
      <w:pPr>
        <w:rPr>
          <w:rFonts w:ascii="Garamond" w:hAnsi="Garamond"/>
          <w:color w:val="0000CC"/>
          <w:lang w:val="en-US"/>
        </w:rPr>
      </w:pPr>
      <w:r w:rsidRPr="00B6748F">
        <w:rPr>
          <w:rFonts w:ascii="Garamond" w:hAnsi="Garamond"/>
          <w:color w:val="0000CC"/>
          <w:lang w:val="en-US"/>
        </w:rPr>
        <w:t>In</w:t>
      </w:r>
      <w:bookmarkStart w:id="130" w:name="TTinhalt"/>
      <w:bookmarkEnd w:id="130"/>
      <w:r w:rsidRPr="00B6748F">
        <w:rPr>
          <w:rFonts w:ascii="Garamond" w:hAnsi="Garamond"/>
          <w:color w:val="0000CC"/>
          <w:lang w:val="en-US"/>
        </w:rPr>
        <w:t>halt</w:t>
      </w:r>
    </w:p>
    <w:p w:rsidR="00B6748F" w:rsidRPr="00822836" w:rsidRDefault="00B437A1" w:rsidP="00B6748F">
      <w:pPr>
        <w:rPr>
          <w:rFonts w:ascii="Garamond" w:hAnsi="Garamond"/>
          <w:color w:val="000000"/>
          <w:lang w:val="en-US"/>
        </w:rPr>
      </w:pPr>
      <w:hyperlink w:anchor="TTVorwort" w:history="1">
        <w:r w:rsidR="00B6748F" w:rsidRPr="00822836">
          <w:rPr>
            <w:rStyle w:val="Lienhypertexte"/>
            <w:rFonts w:ascii="Garamond" w:hAnsi="Garamond" w:cs="Arial"/>
            <w:bCs/>
            <w:lang w:val="en-US"/>
          </w:rPr>
          <w:t>Vorwort</w:t>
        </w:r>
      </w:hyperlink>
    </w:p>
    <w:p w:rsidR="00B6748F" w:rsidRPr="00822836" w:rsidRDefault="00B437A1" w:rsidP="00B6748F">
      <w:pPr>
        <w:rPr>
          <w:rFonts w:ascii="Garamond" w:hAnsi="Garamond"/>
          <w:color w:val="000000"/>
          <w:lang w:val="en-US"/>
        </w:rPr>
      </w:pPr>
      <w:hyperlink w:anchor="TT1" w:history="1">
        <w:r w:rsidR="00B6748F" w:rsidRPr="00822836">
          <w:rPr>
            <w:rStyle w:val="Lienhypertexte"/>
            <w:rFonts w:ascii="Garamond" w:hAnsi="Garamond" w:cs="Arial"/>
            <w:bCs/>
            <w:lang w:val="en-US"/>
          </w:rPr>
          <w:t>I. Die Inzestscheu</w:t>
        </w:r>
      </w:hyperlink>
    </w:p>
    <w:p w:rsidR="00B6748F" w:rsidRPr="00822836" w:rsidRDefault="00B437A1" w:rsidP="00B6748F">
      <w:pPr>
        <w:rPr>
          <w:rFonts w:ascii="Garamond" w:hAnsi="Garamond"/>
          <w:color w:val="000000"/>
          <w:lang w:val="en-US"/>
        </w:rPr>
      </w:pPr>
      <w:hyperlink w:anchor="TT2" w:history="1">
        <w:r w:rsidR="00B6748F" w:rsidRPr="00822836">
          <w:rPr>
            <w:rStyle w:val="Lienhypertexte"/>
            <w:rFonts w:ascii="Garamond" w:hAnsi="Garamond" w:cs="Arial"/>
            <w:bCs/>
            <w:lang w:val="en-US"/>
          </w:rPr>
          <w:t>II. Das Tabu und die Ambivalenz der Gefühlsregungen</w:t>
        </w:r>
      </w:hyperlink>
    </w:p>
    <w:p w:rsidR="00B6748F" w:rsidRPr="00822836" w:rsidRDefault="00B437A1" w:rsidP="00B6748F">
      <w:pPr>
        <w:rPr>
          <w:rFonts w:ascii="Garamond" w:hAnsi="Garamond"/>
          <w:color w:val="000000"/>
          <w:lang w:val="en-GB"/>
        </w:rPr>
      </w:pPr>
      <w:hyperlink w:anchor="TT3" w:history="1">
        <w:r w:rsidR="00B6748F" w:rsidRPr="00822836">
          <w:rPr>
            <w:rStyle w:val="Lienhypertexte"/>
            <w:rFonts w:ascii="Garamond" w:hAnsi="Garamond" w:cs="Arial"/>
            <w:bCs/>
            <w:lang w:val="en-GB"/>
          </w:rPr>
          <w:t>III. Animismus, Magie und Allmacht der Gedanken</w:t>
        </w:r>
      </w:hyperlink>
    </w:p>
    <w:p w:rsidR="00B6748F" w:rsidRDefault="00B437A1" w:rsidP="00B6748F">
      <w:pPr>
        <w:rPr>
          <w:rFonts w:ascii="Garamond" w:hAnsi="Garamond"/>
        </w:rPr>
      </w:pPr>
      <w:hyperlink w:anchor="TT4" w:history="1">
        <w:r w:rsidR="00B6748F" w:rsidRPr="00822836">
          <w:rPr>
            <w:rStyle w:val="Lienhypertexte"/>
            <w:rFonts w:ascii="Garamond" w:hAnsi="Garamond" w:cs="Arial"/>
            <w:bCs/>
          </w:rPr>
          <w:t>IV. Die infantile Wiederkehr des Totemismus</w:t>
        </w:r>
      </w:hyperlink>
    </w:p>
    <w:p w:rsidR="00B6748F" w:rsidRPr="00751AC0" w:rsidRDefault="00B6748F" w:rsidP="00B6748F">
      <w:pPr>
        <w:rPr>
          <w:rFonts w:ascii="Garamond" w:hAnsi="Garamond"/>
          <w:color w:val="000000"/>
        </w:rPr>
      </w:pPr>
      <w:r>
        <w:rPr>
          <w:rFonts w:ascii="Garamond" w:hAnsi="Garamond"/>
        </w:rPr>
        <w:br w:type="page"/>
      </w:r>
    </w:p>
    <w:p w:rsidR="00B6748F" w:rsidRDefault="00B6748F" w:rsidP="00B6748F">
      <w:pPr>
        <w:rPr>
          <w:rFonts w:ascii="Garamond" w:hAnsi="Garamond"/>
          <w:color w:val="000000"/>
        </w:rPr>
      </w:pPr>
    </w:p>
    <w:p w:rsidR="00B6748F" w:rsidRPr="00751AC0" w:rsidRDefault="00B437A1" w:rsidP="00B6748F">
      <w:pPr>
        <w:rPr>
          <w:rFonts w:ascii="Garamond" w:hAnsi="Garamond"/>
          <w:color w:val="000000"/>
        </w:rPr>
      </w:pPr>
      <w:hyperlink w:anchor="TTinhalt" w:history="1">
        <w:r w:rsidR="00B6748F" w:rsidRPr="00751AC0">
          <w:rPr>
            <w:rStyle w:val="Lienhypertexte"/>
            <w:rFonts w:ascii="Garamond" w:hAnsi="Garamond" w:cs="Arial"/>
            <w:b/>
            <w:bCs/>
          </w:rPr>
          <w:t>Vo</w:t>
        </w:r>
        <w:bookmarkStart w:id="131" w:name="TTVorwort"/>
        <w:bookmarkEnd w:id="131"/>
        <w:r w:rsidR="00B6748F" w:rsidRPr="00751AC0">
          <w:rPr>
            <w:rStyle w:val="Lienhypertexte"/>
            <w:rFonts w:ascii="Garamond" w:hAnsi="Garamond" w:cs="Arial"/>
            <w:b/>
            <w:bCs/>
          </w:rPr>
          <w:t>rwort</w:t>
        </w:r>
      </w:hyperlink>
    </w:p>
    <w:p w:rsidR="00B6748F" w:rsidRPr="00751AC0" w:rsidRDefault="00B6748F" w:rsidP="00B6748F">
      <w:pPr>
        <w:rPr>
          <w:rFonts w:ascii="Garamond" w:hAnsi="Garamond"/>
          <w:color w:val="000000"/>
          <w:lang w:val="en-GB"/>
        </w:rPr>
      </w:pPr>
      <w:r w:rsidRPr="00751AC0">
        <w:rPr>
          <w:rFonts w:ascii="Garamond" w:hAnsi="Garamond"/>
          <w:color w:val="000000"/>
        </w:rPr>
        <w:t xml:space="preserve">Die nachstehenden vier Aufsätze, die unter dem Untertitel dieses Buches in den beiden ersten Jahrgängen der von mir herausgegebenen Zeitschrift </w:t>
      </w:r>
      <w:r w:rsidRPr="00751AC0">
        <w:rPr>
          <w:rFonts w:ascii="Garamond" w:hAnsi="Garamond"/>
          <w:i/>
          <w:iCs/>
          <w:color w:val="000000"/>
        </w:rPr>
        <w:t>Imago</w:t>
      </w:r>
      <w:r w:rsidRPr="00751AC0">
        <w:rPr>
          <w:rFonts w:ascii="Garamond" w:hAnsi="Garamond"/>
          <w:color w:val="000000"/>
        </w:rPr>
        <w:t xml:space="preserve"> erschienen sind, entsprechen einem ersten Versuch von meiner Seite, Gesichtspunkte und Ergebnisse der Psychoanalyse auf ungeklärte Probleme der Völkerpsychologie anzuwenden. Sie enthalten also einen methodischen Gegensatz einerseits zu dem groß angelegten Werke von W. Wundt, welches die Annahmen und Arbeitsweisen der nicht analytischen Psychologie derselben Absicht dienstbar macht, und anderseits zu den Arbeiten der Züricher psychoanalytischen Schule, die umgekehrt Probleme der Individualpsychologie durch Heranziehung von völkerpsychologischem Material zu erledigen streben </w:t>
      </w:r>
      <w:hyperlink r:id="rId443" w:anchor="#" w:history="1">
        <w:r w:rsidRPr="00751AC0">
          <w:rPr>
            <w:rStyle w:val="fusslink"/>
            <w:rFonts w:ascii="Garamond" w:hAnsi="Garamond" w:cs="Arial"/>
            <w:b/>
            <w:bCs/>
            <w:color w:val="003399"/>
          </w:rPr>
          <w:t>[Fußnote]</w:t>
        </w:r>
        <w:r w:rsidRPr="00751AC0">
          <w:rPr>
            <w:rStyle w:val="innerfusslink3"/>
            <w:rFonts w:ascii="Garamond" w:hAnsi="Garamond" w:cs="Arial"/>
            <w:b/>
            <w:bCs/>
          </w:rPr>
          <w:t>Jung (1912 und 1913).</w:t>
        </w:r>
      </w:hyperlink>
      <w:r w:rsidRPr="00751AC0">
        <w:rPr>
          <w:rFonts w:ascii="Garamond" w:hAnsi="Garamond"/>
          <w:color w:val="000000"/>
        </w:rPr>
        <w:t xml:space="preserve">. </w:t>
      </w:r>
      <w:r w:rsidRPr="00751AC0">
        <w:rPr>
          <w:rFonts w:ascii="Garamond" w:hAnsi="Garamond"/>
          <w:color w:val="000000"/>
          <w:lang w:val="en-GB"/>
        </w:rPr>
        <w:t>Es sei gern zugestanden, daß von diesen beiden Seiten die nächste Anregung zu meinen eigenen Arbeiten ausgegangen ist.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Mängel dieser letzteren sind mir wohlbekannt. Ich will diejenigen nicht berühren, die von dem Erstlingscharakter dieser Untersuchungen abhängen. Andere aber erfordern ein Wort der Einführung. Die vier hier vereinigten Aufsätze machen auf das Interesse eines größeren Kreises von Gebildeten Anspruch und können eigentlich doch nur von den wenigen verstanden und beurteilt werden, denen die Psychoanalyse nach ihrer Eigenart nicht mehr fremd ist. Sie wollen zwischen Ethnologen, Sprachforschern, Folkloristen usw. einerseits und Psychoanalytikern anderseits vermitteln und können doch beiden nicht geben, was ihnen abgeht: den ersteren eine genügende Einführung in die neue psychologische Technik, den letzteren eine zureichende Beherrschung des der Verarbeitung harrenden Materials. So werden sie sich wohl damit begnügen müssen, hier wie dort Aufmerksamkeit zu erregen und die Erwartung hervorzurufen, daß ein öfteres Zusammentreffen von beiden Seiten nicht ertraglos für die Forschung bleiben kann. Die beiden Hauptthemata, welche diesem kleinen Buch den Namen geben, der Totem und das Tabu, werden darin nicht in gleichartiger Weise abgehandelt. Die Analyse des Tabu tritt als durchaus gesicherter, das Problem erschöpfender Lösungsversuch auf. Die Untersuchung über den Totemismus bescheidet sich zu erklären: Dies ist, was die psychoanalytische Betrachtung zur Klärung der Totemprobleme derzeit beibringen kann. Dieser Unterschied hängt damit zusammen, daß das Tabu eigentlich noch in unserer Mitte fortbesteht; obwohl negativ gefaßt und auf andere Inhalte gerichtet, ist es seiner psychologischen Natur nach doch nichts anderes als der »kategorische Imperativ« Kants, der zwangsartig wirken will und jede bewußte Motivierung ablehnt. Der Totemismus hingegen ist eine unserem heutigen Fühlen entfremdete, in Wirklichkeit längst aufgegebene und durch neuere Formen ersetzte religiös-soziale Institution, welche nur geringfügige Spuren in Religion, Sitte und Gebrauch des Lebens der gegenwärtigen Kulturvölker hinterlassen hat und selbst bei jenen Völkern große Verwandlungen erfahren mußte, welche ihm heute noch anhängen. Der soziale und technische Fortschritt der Menschheitsgeschichte hat dem Tabu weit weniger anhaben können als dem Totem. In diesem Buche ist der Versuch gewagt worden, den ursprünglichen Sinn des Totemismus aus seinen infantilen Spuren zu erraten, aus den Andeutungen, in denen er in der Entwicklung unserer eigenen Kinder wieder auftaucht. Die enge Verbindung zwischen Totem und Tabu weist die weiteren Wege zu der hier vertretenen Hypothese, und wenn diese am Ende recht unwahrscheinlich ausgefallen ist, so ergibt dieser Charakter nicht einmal einen Einwand gegen die Möglichkeit, daß sie mehr oder weniger nahe an die schwierig zu rekonstruierende Wirklichkeit herangerückt sein könnte.</w:t>
      </w:r>
    </w:p>
    <w:p w:rsidR="00B6748F" w:rsidRPr="00751AC0" w:rsidRDefault="00B6748F" w:rsidP="00B6748F">
      <w:pPr>
        <w:rPr>
          <w:rFonts w:ascii="Garamond" w:hAnsi="Garamond"/>
          <w:color w:val="000000"/>
          <w:lang w:val="en-GB"/>
        </w:rPr>
      </w:pPr>
      <w:r w:rsidRPr="00751AC0">
        <w:rPr>
          <w:rFonts w:ascii="Garamond" w:hAnsi="Garamond"/>
          <w:color w:val="000000"/>
          <w:lang w:val="en-GB"/>
        </w:rPr>
        <w:t>Rom, im September 1913.</w:t>
      </w:r>
    </w:p>
    <w:p w:rsidR="00B6748F" w:rsidRDefault="00B6748F">
      <w:pPr>
        <w:rPr>
          <w:rFonts w:ascii="Garamond" w:hAnsi="Garamond"/>
          <w:color w:val="000000"/>
          <w:lang w:val="en-GB"/>
        </w:rPr>
      </w:pPr>
      <w:r>
        <w:rPr>
          <w:rFonts w:ascii="Garamond" w:hAnsi="Garamond"/>
          <w:color w:val="000000"/>
          <w:lang w:val="en-GB"/>
        </w:rPr>
        <w:br w:type="page"/>
      </w:r>
    </w:p>
    <w:p w:rsidR="00B6748F" w:rsidRPr="00751AC0" w:rsidRDefault="00B437A1" w:rsidP="00B6748F">
      <w:pPr>
        <w:rPr>
          <w:rFonts w:ascii="Garamond" w:hAnsi="Garamond"/>
          <w:color w:val="000000"/>
          <w:lang w:val="en-GB"/>
        </w:rPr>
      </w:pPr>
      <w:hyperlink w:anchor="TTinhalt" w:history="1">
        <w:r w:rsidR="00B6748F" w:rsidRPr="00751AC0">
          <w:rPr>
            <w:rStyle w:val="Lienhypertexte"/>
            <w:rFonts w:ascii="Garamond" w:hAnsi="Garamond" w:cs="Arial"/>
            <w:b/>
            <w:bCs/>
            <w:lang w:val="en-GB"/>
          </w:rPr>
          <w:t>I. Di</w:t>
        </w:r>
        <w:bookmarkStart w:id="132" w:name="TT1"/>
        <w:bookmarkEnd w:id="132"/>
        <w:r w:rsidR="00B6748F" w:rsidRPr="00751AC0">
          <w:rPr>
            <w:rStyle w:val="Lienhypertexte"/>
            <w:rFonts w:ascii="Garamond" w:hAnsi="Garamond" w:cs="Arial"/>
            <w:b/>
            <w:bCs/>
            <w:lang w:val="en-GB"/>
          </w:rPr>
          <w:t>e Inzestscheu</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Den Menschen der Vorzeit kennen wir in den Entwicklungsstadien, die er durchlaufen hat, durch die unbelebten Denkmäler und Geräte, die er uns hinterlassen, durch die Kunde von seiner Kunst, seiner Religion und Lebensanschauung, die wir entweder direkt oder auf dem Wege der Tradition in Sagen, Mythen und Märchen erhalten haben, durch die Überreste seiner Denkweisen in unseren eigenen Sitten und Gebräuchen. Außerdem aber ist er noch in gewissem Sinne unser Zeitgenosse; es leben Menschen, von denen wir glauben, daß sie den Primitiven noch sehr nahestehen, viel näher als wir, in denen wir daher die direkten Abkömmlinge und Vertreter der früheren Menschen erblicken. Wir urteilen so über die sogenannten Wilden und halbwilden Völker, deren Seelenleben ein besonderes Interesse für uns gewinnt, wenn wir in ihm eine gut erhaltene Vorstufe unserer eigenen Entwicklung erkennen dürfen.</w:t>
      </w:r>
    </w:p>
    <w:p w:rsidR="00B6748F" w:rsidRPr="00751AC0" w:rsidRDefault="00B6748F" w:rsidP="00B6748F">
      <w:pPr>
        <w:rPr>
          <w:rFonts w:ascii="Garamond" w:hAnsi="Garamond"/>
          <w:color w:val="000000"/>
          <w:lang w:val="en-GB"/>
        </w:rPr>
      </w:pPr>
      <w:r w:rsidRPr="00751AC0">
        <w:rPr>
          <w:rFonts w:ascii="Garamond" w:hAnsi="Garamond"/>
          <w:color w:val="000000"/>
          <w:lang w:val="en-GB"/>
        </w:rPr>
        <w:t>Wenn diese Voraussetzung zutreffend ist, so wird eine Vergleichung der »Psychologie der Naturvölker«, wie die Völkerkunde sie lehrt, mit der Psychologie des Neurotikers, wie sie durch die Psychoanalyse bekannt geworden ist, zahlreiche Übereinstimmungen aufweisen müssen und wird uns gestatten, bereits Bekanntes hier und dort in neuem Lichte zu sehen.</w:t>
      </w:r>
    </w:p>
    <w:p w:rsidR="00B6748F" w:rsidRPr="00751AC0" w:rsidRDefault="00B6748F" w:rsidP="00B6748F">
      <w:pPr>
        <w:rPr>
          <w:rFonts w:ascii="Garamond" w:hAnsi="Garamond"/>
          <w:color w:val="000000"/>
          <w:lang w:val="en-GB"/>
        </w:rPr>
      </w:pPr>
      <w:r w:rsidRPr="00751AC0">
        <w:rPr>
          <w:rFonts w:ascii="Garamond" w:hAnsi="Garamond"/>
          <w:color w:val="000000"/>
          <w:lang w:val="en-GB"/>
        </w:rPr>
        <w:t>Aus äußeren wie aus inneren Gründen wähle ich für diese Vergleichung jene Völkerstämme, die von den Ethnographen als die zurückgebliebensten, armseligsten Wilden beschrieben worden sind, die Ureinwohner des jüngsten Kontinents, Australien, der uns auch in seiner Fauna soviel Archaisches, anderswo Untergegangenes bewahrt hat.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Ureinwohner Australiens werden als eine besondere Rasse betrachtet, die weder physisch noch sprachlich Verwandtschaft mit ihren nächsten Nachbarn, den melanesischen, polynesischen und malaiischen Völkern, erkennen läßt. Sie bauen weder Häuser noch feste Hütten, bearbeiten den Boden nicht, halten keine Haustiere bis auf den Hund, kennen nicht einmal die Kunst der Töpferei. Sie nähren sich ausschließlich von dem Fleische aller möglichen Tiere, die sie erlegen, und von Wurzeln, die sie graben. Könige oder Häuptlinge sind bei ihnen unbekannt, die Versammlung der gereiften Männer entscheidet über die gemeinsamen Angelegenheiten. Es ist durchaus zweifelhaft, ob man ihnen Spuren von Religion in Form der Verehrung höherer Wesen zugestehen darf. Die Stämme im Innern des Kontinents, die infolge von Wasserarmut mit den härtesten Lebensbedingungen zu ringen haben, scheinen in allen Stücken primitiver zu sein als die der Küste nahe wohnenden.</w:t>
      </w:r>
    </w:p>
    <w:p w:rsidR="00B6748F" w:rsidRPr="00751AC0" w:rsidRDefault="00B6748F" w:rsidP="00B6748F">
      <w:pPr>
        <w:rPr>
          <w:rFonts w:ascii="Garamond" w:hAnsi="Garamond"/>
          <w:color w:val="000000"/>
          <w:lang w:val="en-GB"/>
        </w:rPr>
      </w:pPr>
      <w:r w:rsidRPr="00751AC0">
        <w:rPr>
          <w:rFonts w:ascii="Garamond" w:hAnsi="Garamond"/>
          <w:color w:val="000000"/>
          <w:lang w:val="en-GB"/>
        </w:rPr>
        <w:t>Von diesen armen, nackten Kannibalen werden wir gewiß nicht erwarten, daß sie im Geschlechtsleben in unserem Sinne sittlich seien, ihren sexuellen Trieben ein hohes Maß von Beschränkung auferlegt haben. Und doch erfahren wir, daß sie sich mit ausgesuchtester Sorgfalt und peinlichster Strenge die Verhütung inzestuöser Geschlechtsbeziehungen zum Ziele gesetzt haben. Ja ihre gesamte soziale Organisation scheint dieser Absicht zu dienen oder mit ihrer Erreichung in Beziehung gebracht worden zu sein.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An Stelle aller fehlenden religiösen und sozialen Institutionen findet sich bei den Australiern das System des </w:t>
      </w:r>
      <w:r w:rsidRPr="00751AC0">
        <w:rPr>
          <w:rFonts w:ascii="Garamond" w:hAnsi="Garamond"/>
          <w:i/>
          <w:iCs/>
          <w:color w:val="000000"/>
          <w:lang w:val="en-GB"/>
        </w:rPr>
        <w:t>Totemismus</w:t>
      </w:r>
      <w:r w:rsidRPr="00751AC0">
        <w:rPr>
          <w:rFonts w:ascii="Garamond" w:hAnsi="Garamond"/>
          <w:color w:val="000000"/>
          <w:lang w:val="en-GB"/>
        </w:rPr>
        <w:t xml:space="preserve">. Die australischen Stämme zerfallen in kleinere Sippen oder Clans, von denen sich jeder nach seinem </w:t>
      </w:r>
      <w:r w:rsidRPr="00751AC0">
        <w:rPr>
          <w:rFonts w:ascii="Garamond" w:hAnsi="Garamond"/>
          <w:i/>
          <w:iCs/>
          <w:color w:val="000000"/>
          <w:lang w:val="en-GB"/>
        </w:rPr>
        <w:t>Totem</w:t>
      </w:r>
      <w:r w:rsidRPr="00751AC0">
        <w:rPr>
          <w:rFonts w:ascii="Garamond" w:hAnsi="Garamond"/>
          <w:color w:val="000000"/>
          <w:lang w:val="en-GB"/>
        </w:rPr>
        <w:t xml:space="preserve"> benennt. Was ist nun der Totem? In der Regel ein Tier, ein eßbares, harmloses oder gefährliches, gefürchtetes, seltener eine Pflanze oder eine Naturkraft (Regen, Wasser), welches in einem besonderen Verhältnis zu der ganzen Sippe steht. Der Totem ist erstens der Stammvater der Sippe, dann aber auch ihr Schutzgeist und Helfer, der ihnen Orakel sendet, und wenn er sonst gefährlich ist, seine Kinder kennt und verschont. Die Totemgenossen stehen dafür unter der heiligen, sich selbstwirkend strafenden Verpflichtung, ihren Totem nicht zu töten (vernichten) und sich seines Fleisches (oder des Genusses, den er sonst bietet) zu enthalten. Der Totemcharakter haftet nicht an einem Einzeltier oder Einzelwesen, sondern an allen Individuen der Gattung. Von Zeit zu Zeit werden Feste gefeiert, bei denen die Totemgenossen in zeremoniösen Tänzen die Bewegungen und Eigenheiten ihres Totem darstellen oder nachahmen.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Der Totem ist entweder in mütterlicher oder in väterlicher Linie erblich; die erstere Art ist möglicherweise überall die ursprüngliche und erst später durch die letztere abgelöst worden. Die Zugehörigkeit zum Totem ist die Grundlage aller sozialen Verpflichtungen des Australiers, setzt sich einerseits über die Stammesangehörigkeit hinaus und drängt anderseits die Blutsverwandtschaft zurück </w:t>
      </w:r>
      <w:hyperlink r:id="rId44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Frazer, Totemism and Exogamy, Bd. I, p. 53): » </w:t>
        </w:r>
        <w:r w:rsidRPr="00751AC0">
          <w:rPr>
            <w:rStyle w:val="innerfusslink3"/>
            <w:rFonts w:ascii="Garamond" w:hAnsi="Garamond" w:cs="Arial"/>
            <w:b/>
            <w:bCs/>
            <w:i/>
            <w:iCs/>
            <w:lang w:val="en-GB"/>
          </w:rPr>
          <w:t>The totem bond is stronger than the bond of blood or family in the modern sense.</w:t>
        </w:r>
        <w:r w:rsidRPr="00751AC0">
          <w:rPr>
            <w:rStyle w:val="innerfusslink3"/>
            <w:rFonts w:ascii="Garamond" w:hAnsi="Garamond" w:cs="Arial"/>
            <w:b/>
            <w:bCs/>
            <w:lang w:val="en-GB"/>
          </w:rPr>
          <w:t>«</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An Boden und Örtlichkeit ist der Totem nicht gebunden; die Totemgenossen wohnen voneinander getrennt und mit den Anhängern anderer Totem friedlich beisammen </w:t>
      </w:r>
      <w:hyperlink r:id="rId44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Dieser knappste Extrakt des totemistischen Systems kann nicht ohne Erläuterungen und Einschränkungen bleiben: Der Name Totem ist in der Form </w:t>
        </w:r>
        <w:r w:rsidRPr="00751AC0">
          <w:rPr>
            <w:rStyle w:val="innerfusslink3"/>
            <w:rFonts w:ascii="Garamond" w:hAnsi="Garamond" w:cs="Arial"/>
            <w:b/>
            <w:bCs/>
            <w:i/>
            <w:iCs/>
            <w:lang w:val="en-GB"/>
          </w:rPr>
          <w:t>Totam</w:t>
        </w:r>
        <w:r w:rsidRPr="00751AC0">
          <w:rPr>
            <w:rStyle w:val="innerfusslink3"/>
            <w:rFonts w:ascii="Garamond" w:hAnsi="Garamond" w:cs="Arial"/>
            <w:b/>
            <w:bCs/>
            <w:lang w:val="en-GB"/>
          </w:rPr>
          <w:t xml:space="preserve"> 1791 durch den Engländer J. Long von den Rothäuten Nordamerikas übernommen worden. Der Gegenstand selbst hat allmählich in der Wissenschaft großes Interesse gefunden und eine reichhaltige Literatur hervorgerufen, aus welcher ich als Hauptwerke das vierbändige Buch von J. G. Frazer, </w:t>
        </w:r>
        <w:r w:rsidRPr="00751AC0">
          <w:rPr>
            <w:rStyle w:val="innerfusslink3"/>
            <w:rFonts w:ascii="Garamond" w:hAnsi="Garamond" w:cs="Arial"/>
            <w:b/>
            <w:bCs/>
            <w:i/>
            <w:iCs/>
            <w:lang w:val="en-GB"/>
          </w:rPr>
          <w:t>Totemism and Exogamy</w:t>
        </w:r>
        <w:r w:rsidRPr="00751AC0">
          <w:rPr>
            <w:rStyle w:val="innerfusslink3"/>
            <w:rFonts w:ascii="Garamond" w:hAnsi="Garamond" w:cs="Arial"/>
            <w:b/>
            <w:bCs/>
            <w:lang w:val="en-GB"/>
          </w:rPr>
          <w:t xml:space="preserve">, 1910, und Bücher und Schriften von Andrew Lang ( </w:t>
        </w:r>
        <w:r w:rsidRPr="00751AC0">
          <w:rPr>
            <w:rStyle w:val="innerfusslink3"/>
            <w:rFonts w:ascii="Garamond" w:hAnsi="Garamond" w:cs="Arial"/>
            <w:b/>
            <w:bCs/>
            <w:i/>
            <w:iCs/>
            <w:lang w:val="en-GB"/>
          </w:rPr>
          <w:t>The Secret of the Totem</w:t>
        </w:r>
        <w:r w:rsidRPr="00751AC0">
          <w:rPr>
            <w:rStyle w:val="innerfusslink3"/>
            <w:rFonts w:ascii="Garamond" w:hAnsi="Garamond" w:cs="Arial"/>
            <w:b/>
            <w:bCs/>
            <w:lang w:val="en-GB"/>
          </w:rPr>
          <w:t xml:space="preserve">, 1905) hervorhebe. Das Verdienst, die Bedeutung des Totemismus für die Urgeschichte der Menschheit erkannt zu haben, gebührt dem Schotten J. Ferguson McLennan (1869/70). Totemistische Institutionen wurden oder werden heute noch außer bei den Australiern bei den Indianern Nordamerikas beobachtet, ferner bei den Völkern der ozeanischen Inselwelt, in Ostindien und in einem großen Teil von Afrika. Manche sonst schwer zu deutende Spuren und Überbleibsel lassen aber erschließen, daß der Totemismus einst auch bei den arischen und semitischen Urvölkern Europas und Asiens bestanden hat, so daß viele Forscher geneigt sind, eine notwendige und überall durchschrittene Phase der menschlichen Entwicklung in ihm zu erkennen.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lang w:val="en-GB"/>
          </w:rPr>
          <w:t xml:space="preserve">Wie kamen die vorzeitlichen Menschen nur dazu, sich einen Totem beizulegen, d. h. die Abstammung von dem oder jenem Tier zur Grundlage ihrer sozialen Verpflichtungen und, wie wir hören werden, auch ihrer sexuellen Beschränkungen zu machen? Es gibt darüber zahlreiche Theorien, deren Übersicht der deutsche Leser in Wundts </w:t>
        </w:r>
        <w:r w:rsidRPr="00751AC0">
          <w:rPr>
            <w:rStyle w:val="innerfusslink3"/>
            <w:rFonts w:ascii="Garamond" w:hAnsi="Garamond" w:cs="Arial"/>
            <w:b/>
            <w:bCs/>
            <w:i/>
            <w:iCs/>
            <w:lang w:val="en-GB"/>
          </w:rPr>
          <w:t>Völkerpsychologie</w:t>
        </w:r>
        <w:r w:rsidRPr="00751AC0">
          <w:rPr>
            <w:rStyle w:val="innerfusslink3"/>
            <w:rFonts w:ascii="Garamond" w:hAnsi="Garamond" w:cs="Arial"/>
            <w:b/>
            <w:bCs/>
            <w:lang w:val="en-GB"/>
          </w:rPr>
          <w:t xml:space="preserve"> (1906) finden kann, aber keine Einigung. Ich verspreche, das Problem des Totemismus demnächst zum Gegenstand einer besonderen Studie zu machen, in welcher dessen Lösung durch Anwendung psychoanalytischer Denkweise versucht werden soll. (Vgl. die vierte Abhandlung dieses Bandes.)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lang w:val="en-GB"/>
          </w:rPr>
          <w:t>Aber nicht nur, daß die Theorie des Totemismus strittig ist, auch die Tatsachen desselben sind kaum in allgemeinen Sätzen auszusprechen, wie oben versucht wurde. Es gibt kaum eine Behauptung, zu welcher man nicht Ausnahmen oder Widersprüche hinzufügen müßte. Man darf aber nicht vergessen, daß auch die primitivsten und konservativsten Volker in gewissem Sinne alte Völker sind und eine lange Zeit hinter sich haben, in welcher das Ursprüngliche bei ihnen viel Entwicklung und Entstellung erfahren hat. So findet man den Totemismus heute bei den Völkern, die ihn noch zeigen, in den mannigfaltigsten Stadien des Verfalles, der Abbröcklung, des Überganges zu anderen sozialen und religiösen Institutionen, oder aber in stationären Ausgestaltungen, die sich weit genug von seinem ursprünglichen Wesen entfernt haben mögen. Die Schwierigkeit liegt dann darin, daß es nicht ganz leicht ist zu entscheiden, was an den aktuellen Verhältnissen als getreues Abbild der sinnvollen Vergangenheit, was als sekundäre Entstellung derselben gefaßt werden darf.</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Und nun müssen wir endlich jener Eigentümlichkeit des totemistischen Systems gedenken, wegen welcher auch das Interesse des Psychoanalytikers sich ihm zuwendet. Fast überall, wo der Totem gilt, besteht auch das Gesetz, daß </w:t>
      </w:r>
      <w:r w:rsidRPr="00751AC0">
        <w:rPr>
          <w:rFonts w:ascii="Garamond" w:hAnsi="Garamond"/>
          <w:i/>
          <w:iCs/>
          <w:color w:val="000000"/>
          <w:lang w:val="en-GB"/>
        </w:rPr>
        <w:t>Mitglieder desselben Totem nicht in geschlechtliche Beziehungen zueinander treten, also auch einander nicht heiraten dürfen</w:t>
      </w:r>
      <w:r w:rsidRPr="00751AC0">
        <w:rPr>
          <w:rFonts w:ascii="Garamond" w:hAnsi="Garamond"/>
          <w:color w:val="000000"/>
          <w:lang w:val="en-GB"/>
        </w:rPr>
        <w:t xml:space="preserve">. Das ist die mit dem Totem verbundene </w:t>
      </w:r>
      <w:r w:rsidRPr="00751AC0">
        <w:rPr>
          <w:rFonts w:ascii="Garamond" w:hAnsi="Garamond"/>
          <w:i/>
          <w:iCs/>
          <w:color w:val="000000"/>
          <w:lang w:val="en-GB"/>
        </w:rPr>
        <w:t>Exogamie</w:t>
      </w:r>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Dieses streng gehandhabte Verbot ist sehr merkwürdig. Es wird durch nichts vorbereitet, was wir vom Begriff oder den Eigenschaften des Totem bisher erfahren haben; man versteht also nicht, wie es in das System des Totemismus hineingeraten ist. Wir verwundern uns darum nicht, wenn manche Forscher geradezu annehmen, die Exogamie habe ursprünglich – im Beginne der Zeiten und dem Sinne nach – nichts mit dem Totemismus zu tun, sondern sei ihm irgend einmal, als sich Heiratsbeschränkungen notwendig erwiesen, ohne tieferen Zusammenhang angefügt worden. Wie immer dem sein mag, die Vereinigung von Totemismus und Exogamie besteht und erweist sich als eine sehr feste.</w:t>
      </w:r>
    </w:p>
    <w:p w:rsidR="00B6748F" w:rsidRPr="00751AC0" w:rsidRDefault="00B6748F" w:rsidP="00B6748F">
      <w:pPr>
        <w:rPr>
          <w:rFonts w:ascii="Garamond" w:hAnsi="Garamond"/>
          <w:color w:val="000000"/>
          <w:lang w:val="en-GB"/>
        </w:rPr>
      </w:pPr>
      <w:r w:rsidRPr="00751AC0">
        <w:rPr>
          <w:rFonts w:ascii="Garamond" w:hAnsi="Garamond"/>
          <w:color w:val="000000"/>
          <w:lang w:val="en-GB"/>
        </w:rPr>
        <w:t>Machen wir uns die Bedeutung dieses Verbots durch weitere Erörterungen klar.</w:t>
      </w:r>
    </w:p>
    <w:p w:rsidR="00B6748F" w:rsidRPr="00751AC0" w:rsidRDefault="00B6748F" w:rsidP="00B6748F">
      <w:pPr>
        <w:rPr>
          <w:rFonts w:ascii="Garamond" w:hAnsi="Garamond"/>
          <w:color w:val="000000"/>
          <w:lang w:val="en-GB"/>
        </w:rPr>
      </w:pPr>
      <w:r w:rsidRPr="00751AC0">
        <w:rPr>
          <w:rFonts w:ascii="Garamond" w:hAnsi="Garamond"/>
          <w:i/>
          <w:iCs/>
          <w:color w:val="000000"/>
          <w:lang w:val="en-GB"/>
        </w:rPr>
        <w:t>a)</w:t>
      </w:r>
      <w:r w:rsidRPr="00751AC0">
        <w:rPr>
          <w:rFonts w:ascii="Garamond" w:hAnsi="Garamond"/>
          <w:color w:val="000000"/>
          <w:lang w:val="en-GB"/>
        </w:rPr>
        <w:t xml:space="preserve"> Die Übertretung dieses Verbotes wird nicht einer sozusagen automatisch eintretenden Bestrafung der Schuldigen überlassen wie bei anderen Totemverboten (z. B. das Totemtier zu töten), sondern wird vom ganzen Stamme aufs energischeste geahndet, als gelte es eine die ganze Gemeinschaft bedrohende Gefahr oder eine sie bedrückende Schuld abzuwehren. Einige Sätze aus dem Buche von Frazer </w:t>
      </w:r>
      <w:hyperlink r:id="rId44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l. c. Bd. I, p. 54.</w:t>
        </w:r>
      </w:hyperlink>
      <w:r w:rsidRPr="00751AC0">
        <w:rPr>
          <w:rFonts w:ascii="Garamond" w:hAnsi="Garamond"/>
          <w:color w:val="000000"/>
          <w:lang w:val="en-GB"/>
        </w:rPr>
        <w:t xml:space="preserve"> mögen zeigen, wie ernst solche Verfehlungen von diesen nach unserem Maßstabe sonst recht unsittlichen Wilden behandelt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 </w:t>
      </w:r>
      <w:r w:rsidRPr="00751AC0">
        <w:rPr>
          <w:rFonts w:ascii="Garamond" w:hAnsi="Garamond"/>
          <w:i/>
          <w:iCs/>
          <w:color w:val="000000"/>
          <w:lang w:val="en-GB"/>
        </w:rPr>
        <w:t xml:space="preserve">In </w:t>
      </w:r>
      <w:smartTag w:uri="urn:schemas-microsoft-com:office:smarttags" w:element="country-region">
        <w:smartTag w:uri="urn:schemas-microsoft-com:office:smarttags" w:element="place">
          <w:r w:rsidRPr="00751AC0">
            <w:rPr>
              <w:rFonts w:ascii="Garamond" w:hAnsi="Garamond"/>
              <w:i/>
              <w:iCs/>
              <w:color w:val="000000"/>
              <w:lang w:val="en-GB"/>
            </w:rPr>
            <w:t>Australia</w:t>
          </w:r>
        </w:smartTag>
      </w:smartTag>
      <w:r w:rsidRPr="00751AC0">
        <w:rPr>
          <w:rFonts w:ascii="Garamond" w:hAnsi="Garamond"/>
          <w:i/>
          <w:iCs/>
          <w:color w:val="000000"/>
          <w:lang w:val="en-GB"/>
        </w:rPr>
        <w:t xml:space="preserve"> the regular penalty for sexual intercourse with a person of a forbidden clan is death. It matters not whether the woman be of the same local group or has been captured in war from another tribe; a man of the wrong clan who uses her as his wife is hunted down and killed by bis clansmen, and so is the woman; though in some cases, if they succeed in eluding capture for a certain time, the offence may be condoned. In the Ta-ta-thi tribe, New South Wales, in the rare cases which occur, the man is killed but the woman is only beaten or speared, or both, till she is nearly dead; the reason given for not actually killing her being that she was probably coerced. Even in casual amours the clan prohibitions are strictly observed, any violations of these prohibitions ›are regarded with the utmost abhorrence and are punished by death‹</w:t>
      </w:r>
      <w:r w:rsidRPr="00751AC0">
        <w:rPr>
          <w:rFonts w:ascii="Garamond" w:hAnsi="Garamond"/>
          <w:color w:val="000000"/>
          <w:lang w:val="en-GB"/>
        </w:rPr>
        <w:t>. (Howitt)«</w:t>
      </w:r>
    </w:p>
    <w:p w:rsidR="00B6748F" w:rsidRPr="00751AC0" w:rsidRDefault="00B6748F" w:rsidP="00B6748F">
      <w:pPr>
        <w:rPr>
          <w:rFonts w:ascii="Garamond" w:hAnsi="Garamond"/>
          <w:color w:val="000000"/>
          <w:lang w:val="en-GB"/>
        </w:rPr>
      </w:pPr>
      <w:r w:rsidRPr="00751AC0">
        <w:rPr>
          <w:rFonts w:ascii="Garamond" w:hAnsi="Garamond"/>
          <w:i/>
          <w:iCs/>
          <w:color w:val="000000"/>
          <w:lang w:val="en-GB"/>
        </w:rPr>
        <w:t>b)</w:t>
      </w:r>
      <w:r w:rsidRPr="00751AC0">
        <w:rPr>
          <w:rFonts w:ascii="Garamond" w:hAnsi="Garamond"/>
          <w:color w:val="000000"/>
          <w:lang w:val="en-GB"/>
        </w:rPr>
        <w:t xml:space="preserve"> Da dieselbe harte Bestrafung auch gegen flüchtige Liebschaften geübt wird, die nicht zur Kindererzeugung geführt haben, so werden andere, z. B. praktische Motive des Verbotes unwahrscheinlich.</w:t>
      </w:r>
    </w:p>
    <w:p w:rsidR="00B6748F" w:rsidRPr="00751AC0" w:rsidRDefault="00B6748F" w:rsidP="00B6748F">
      <w:pPr>
        <w:rPr>
          <w:rFonts w:ascii="Garamond" w:hAnsi="Garamond"/>
          <w:color w:val="000000"/>
          <w:lang w:val="en-GB"/>
        </w:rPr>
      </w:pPr>
      <w:r w:rsidRPr="00751AC0">
        <w:rPr>
          <w:rFonts w:ascii="Garamond" w:hAnsi="Garamond"/>
          <w:i/>
          <w:iCs/>
          <w:color w:val="000000"/>
          <w:lang w:val="en-GB"/>
        </w:rPr>
        <w:t>c)</w:t>
      </w:r>
      <w:r w:rsidRPr="00751AC0">
        <w:rPr>
          <w:rFonts w:ascii="Garamond" w:hAnsi="Garamond"/>
          <w:color w:val="000000"/>
          <w:lang w:val="en-GB"/>
        </w:rPr>
        <w:t xml:space="preserve"> Da der Totem hereditär ist und durch die Heirat nicht verändert wird, so lassen sich die Folgen des Verbotes etwa bei mütterlicher Erblichkeit leicht übersehen. Gehört der Mann z. B. einem Clan mit dem Totem Känguruh an und heiratet eine Frau vom Totem Emu, so sind die Kinder, Knaben und Mädchen, alle Emu. Einem Sohne dieser Ehe wird also durch die Totemregel der inzestuöse Verkehr mit seiner Mutter und seinen Schwestern, die Emu sind wie er, unmöglich gemacht </w:t>
      </w:r>
      <w:hyperlink r:id="rId44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Dem Vater, der Känguruh ist, wird aber – wenigstens durch dieses Verbot – der Inzest mit seinen Töchtern, die Emu sind, freigelassen. Bei väterlicher Vererbung des Totem wäre der Vater Känguruh, die Kinder gleichfalls Känguruh, dem Vater würde dann der Inzest mit den Töchtern verboten sein, dem Sohne der Inzest mit der Mutter freibleiben. Diese Erfolge der Totemverbote ergeben einen Hinweis darauf, daß die mütterliche Vererbung älter ist als die väterliche, denn es liegt Grund vor anzunehmen, daß die Totemverbote vor allem gegen die inzestuösen Gelüste des Sohnes gerichtet sind.</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i/>
          <w:iCs/>
          <w:color w:val="000000"/>
          <w:lang w:val="en-GB"/>
        </w:rPr>
        <w:t>d)</w:t>
      </w:r>
      <w:r w:rsidRPr="00751AC0">
        <w:rPr>
          <w:rFonts w:ascii="Garamond" w:hAnsi="Garamond"/>
          <w:color w:val="000000"/>
          <w:lang w:val="en-GB"/>
        </w:rPr>
        <w:t xml:space="preserve"> Es bedarf aber nur einer Mahnung, um einzusehen, daß die mit dem Totem verbundene Exogamie mehr leistet, also mehr bezweckt, als die Verhütung des Inzests mit Mutter und Schwestern. Sie macht dem Manne auch die sexuelle Vereinigung mit allen Frauen seiner eigenen Sippe unmöglich, also mit einer Anzahl von weiblichen Personen, die ihm nicht blutsverwandt sind, indem sie alle diese Frauen wie Blutsverwandte behandelt. Die psychologische Berechtigung dieser großartigen Einschränkung, die weit über alles hinausgeht, was sich ihr bei zivilisierten Völkern an die Seite stellen läßt, ist zunächst nicht ersichtlich. Man glaubt nur zu verstehen, daß die Rolle des Totem (Tieres) als Ahnherrn dabei sehr ernst genommen wird. Alles, was von dem gleichen Totem abstammt, ist blutsverwandt, ist eine Familie, und in </w:t>
      </w:r>
      <w:r w:rsidRPr="00751AC0">
        <w:rPr>
          <w:rFonts w:ascii="Garamond" w:hAnsi="Garamond"/>
          <w:color w:val="000000"/>
          <w:lang w:val="en-GB"/>
        </w:rPr>
        <w:lastRenderedPageBreak/>
        <w:t>dieser Familie werden die entferntesten Verwandtschaftsgrade als absolutes Hindernis der sexuellen Vereinigung anerkannt.</w:t>
      </w:r>
    </w:p>
    <w:p w:rsidR="00B6748F" w:rsidRPr="00751AC0" w:rsidRDefault="00B6748F" w:rsidP="00B6748F">
      <w:pPr>
        <w:rPr>
          <w:rFonts w:ascii="Garamond" w:hAnsi="Garamond"/>
          <w:color w:val="000000"/>
          <w:lang w:val="en-GB"/>
        </w:rPr>
      </w:pPr>
      <w:r w:rsidRPr="00751AC0">
        <w:rPr>
          <w:rFonts w:ascii="Garamond" w:hAnsi="Garamond"/>
          <w:color w:val="000000"/>
          <w:lang w:val="en-GB"/>
        </w:rPr>
        <w:t>So zeigen uns denn diese Wilden einen ungewohnt hohen Grad von Inzestscheu oder Inzestempfindlichkeit, verbunden mit der von uns nicht gut verstandenen Eigentümlichkeit, daß sie die reale Blutsverwandtschaft durch die Totemverwandtschaft ersetzen. Wir dürfen indes diesen Gegensatz nicht allzusehr übertreiben und wollen im Gedächtnis behalten, daß die Totemverbote den realen Inzest als Spezialfall miteinschließen.</w:t>
      </w:r>
    </w:p>
    <w:p w:rsidR="00B6748F" w:rsidRPr="00751AC0" w:rsidRDefault="00B6748F" w:rsidP="00B6748F">
      <w:pPr>
        <w:rPr>
          <w:rFonts w:ascii="Garamond" w:hAnsi="Garamond"/>
          <w:color w:val="000000"/>
          <w:lang w:val="en-GB"/>
        </w:rPr>
      </w:pPr>
      <w:r w:rsidRPr="00751AC0">
        <w:rPr>
          <w:rFonts w:ascii="Garamond" w:hAnsi="Garamond"/>
          <w:color w:val="000000"/>
          <w:lang w:val="en-GB"/>
        </w:rPr>
        <w:t>Auf welche Weise es dabei zum Ersatz der wirklichen Familie durch die Totemsippe gekommen, bleibt ein Rätsel, dessen Lösung vielleicht mit der Aufklärung des Totem selbst zusammenfällt. Man müßte freilich daran denken, daß bei einer gewissen, über die Eheschranken hinausgehenden Freiheit des Sexualverkehrs die Blutsverwandtschaft und somit die Inzestverhütung so unsicher werden, daß man eine andere Fundierung des Verbotes nicht entbehren kann. Es ist darum nicht überflüssig zu bemerken, daß die Sitten der Australier soziale Bedingungen und festliche Gelegenheiten anerkennen, bei denen das ausschließliche Eheanrecht eines Mannes auf ein Weib durchbrochen wird.</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Sprachgebrauch dieser australischen Stämme </w:t>
      </w:r>
      <w:hyperlink r:id="rId44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Sowie der meisten Totemvölker.</w:t>
        </w:r>
      </w:hyperlink>
      <w:r w:rsidRPr="00751AC0">
        <w:rPr>
          <w:rFonts w:ascii="Garamond" w:hAnsi="Garamond"/>
          <w:color w:val="000000"/>
          <w:lang w:val="en-GB"/>
        </w:rPr>
        <w:t xml:space="preserve"> weist eine Eigentümlichkeit auf, welche unzweifelhaft in diesen Zusammenhang gehört. Die Verwandtschaftsbezeichnungen nämlich, deren sie sich bedienen, fassen nicht die Beziehung zwischen zwei Individuen, sondern zwischen einem Individuum und einer Gruppe ins Auge; sie gehören nach dem Ausdruck L. H. Morgans dem » </w:t>
      </w:r>
      <w:r w:rsidRPr="00751AC0">
        <w:rPr>
          <w:rFonts w:ascii="Garamond" w:hAnsi="Garamond"/>
          <w:i/>
          <w:iCs/>
          <w:color w:val="000000"/>
          <w:lang w:val="en-GB"/>
        </w:rPr>
        <w:t>klassifizierenden</w:t>
      </w:r>
      <w:r w:rsidRPr="00751AC0">
        <w:rPr>
          <w:rFonts w:ascii="Garamond" w:hAnsi="Garamond"/>
          <w:color w:val="000000"/>
          <w:lang w:val="en-GB"/>
        </w:rPr>
        <w:t>« System an. Das will heißen, ein Mann nennt »Vater« nicht nur seinen Erzeuger, sondern auch jeden anderen Mann, der nach den Stammessatzungen seine Mutter hätte heiraten und so sein Vater hätte werden können; er nennt »Mutter« jede andere Frau neben seiner Gebärerin, die ohne Verletzung der Stammesgesetze seine Mutter hätte werden können; er heißt »Brüder«, »Schwestern« nicht nur die Kinder seiner wirklichen Eltern, sondern auch die Kinder all der genannten Personen, die in der elterlichen Gruppenbeziehung zu ihm stehen, usw. Die Verwandtschaftsnamen, die zwei Australier einander geben, deuten also nicht notwendig auf eine Blutsverwandtschaft zwischen ihnen hin, wie sie es nach unserem Sprachgebrauche müßten; sie bezeichnen vielmehr soziale als physische Beziehungen. Eine Annäherung an dieses klassifikatorische System findet sich bei uns etwa in der Kinderstube, wenn das Kind veranlaßt wird, jeden Freund und jede Freundin der Eltern als »Onkel« und »Tante« zu begrüßen, oder im übertragenen Sinn, wenn wir von »Brüdern in Apoll«, »Schwestern in Christo« sprechen.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Erklärung dieses für uns so sehr befremdenden Sprachgebrauches ergibt sich leicht, wenn man ihn als Rest und Anzeichen jener Heiratsinstitution auffaßt, die der Rev. L. Fison » </w:t>
      </w:r>
      <w:r w:rsidRPr="00751AC0">
        <w:rPr>
          <w:rFonts w:ascii="Garamond" w:hAnsi="Garamond"/>
          <w:i/>
          <w:iCs/>
          <w:color w:val="000000"/>
          <w:lang w:val="en-GB"/>
        </w:rPr>
        <w:t>Gruppenehe</w:t>
      </w:r>
      <w:r w:rsidRPr="00751AC0">
        <w:rPr>
          <w:rFonts w:ascii="Garamond" w:hAnsi="Garamond"/>
          <w:color w:val="000000"/>
          <w:lang w:val="en-GB"/>
        </w:rPr>
        <w:t>« genannt hat, deren Wesen darin besteht, daß eine gewisse Anzahl von Männern eheliche Rechte über eine gewisse Anzahl von Frauen ausübt. Die Kinder dieser Gruppenehe würden dann mit Recht einander als Geschwister betrachten, obwohl sie nicht alle von derselben Mutter geboren sind, und alle Männer der Gruppe für ihre Väter halten.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Obwohl manche Autoren, wie z. B. Westermarck in seiner </w:t>
      </w:r>
      <w:r w:rsidRPr="00751AC0">
        <w:rPr>
          <w:rFonts w:ascii="Garamond" w:hAnsi="Garamond"/>
          <w:i/>
          <w:iCs/>
          <w:color w:val="000000"/>
          <w:lang w:val="en-GB"/>
        </w:rPr>
        <w:t>Geschichte der menschlichen Ehe</w:t>
      </w:r>
      <w:r w:rsidRPr="00751AC0">
        <w:rPr>
          <w:rFonts w:ascii="Garamond" w:hAnsi="Garamond"/>
          <w:color w:val="000000"/>
          <w:lang w:val="en-GB"/>
        </w:rPr>
        <w:t xml:space="preserve"> (1902), sich den Folgerungen widersetzen, welche andere aus der Existenz der Gruppenverwandtschaftsnamen gezogen haben, so stimmen doch gerade die besten Kenner der australischen Wilden darin überein, daß die klassifikatorischen Verwandtschaftsnamen als Überrest aus Zeiten der Gruppenehe zu betrachten sind. Ja, nach Spencer und Gillen (1899) läßt sich eine gewisse Form der Gruppenehe bei den Stämmen der Urabunna und der Dieri noch als heute bestehend feststellen. Die Gruppenehe sei also bei diesen Völkern der individuellen Ehe vorausgegangen und nicht geschwunden, ohne deutliche Spuren in Sprache und Sitten zurückzulassen.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Ersetzen wir aber die individuelle Ehe durch die Gruppenehe, so wird uns das scheinbare Übermaß von Inzestvermeidung, welches wir bei denselben Völkern angetroffen haben, begreiflich. Die Totemexogamie, das Verbot des sexuellen Verkehrs zwischen Mitgliedern desselben Clans, erscheint als das angemessene Mittel zur Verhütung des Gruppeninzestes, welches dann fixiert wurde und seine Motivierung um lange Zeiten überdauert hat.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Glauben wir so die Heiratsbeschränkungen der Wilden Australiens in ihrer Motivierung verstanden zu haben, so müssen wir noch erfahren, daß die wirklichen Verhältnisse eine weit größere, auf den ersten Anblick verwirrende Kompliziertheit erkennen lassen. Es gibt nämlich nur wenige Stämme in Australien, die kein anderes Verbot als die Totemschranke zeigen. Die meisten sind derart organisiert, daß sie zunächst in zwei Abteilungen zerfallen, die man Heiratsklassen (englisch: </w:t>
      </w:r>
      <w:r w:rsidRPr="00751AC0">
        <w:rPr>
          <w:rFonts w:ascii="Garamond" w:hAnsi="Garamond"/>
          <w:i/>
          <w:iCs/>
          <w:color w:val="000000"/>
          <w:lang w:val="en-GB"/>
        </w:rPr>
        <w:t>phratries</w:t>
      </w:r>
      <w:r w:rsidRPr="00751AC0">
        <w:rPr>
          <w:rFonts w:ascii="Garamond" w:hAnsi="Garamond"/>
          <w:color w:val="000000"/>
          <w:lang w:val="en-GB"/>
        </w:rPr>
        <w:t xml:space="preserve">) genannt hat. Jede dieser Heiratsklassen ist exogam und schließt eine Mehrzahl von Totemsippen ein. Gewöhnlich teilt sich noch jede Heiratsklasse in zwei Unterklassen ( </w:t>
      </w:r>
      <w:r w:rsidRPr="00751AC0">
        <w:rPr>
          <w:rFonts w:ascii="Garamond" w:hAnsi="Garamond"/>
          <w:i/>
          <w:iCs/>
          <w:color w:val="000000"/>
          <w:lang w:val="en-GB"/>
        </w:rPr>
        <w:t>sub-phratries</w:t>
      </w:r>
      <w:r w:rsidRPr="00751AC0">
        <w:rPr>
          <w:rFonts w:ascii="Garamond" w:hAnsi="Garamond"/>
          <w:color w:val="000000"/>
          <w:lang w:val="en-GB"/>
        </w:rPr>
        <w:t>), der ganze Stamm also in vier; die Unterklassen stehen so zwischen den Phratrien und den Totemsippen.</w:t>
      </w:r>
    </w:p>
    <w:p w:rsidR="00B6748F" w:rsidRPr="00751AC0" w:rsidRDefault="00B6748F" w:rsidP="00B6748F">
      <w:pPr>
        <w:rPr>
          <w:rFonts w:ascii="Garamond" w:hAnsi="Garamond"/>
          <w:color w:val="000000"/>
        </w:rPr>
      </w:pPr>
      <w:r w:rsidRPr="00751AC0">
        <w:rPr>
          <w:rFonts w:ascii="Garamond" w:hAnsi="Garamond"/>
          <w:color w:val="000000"/>
        </w:rPr>
        <w:t>Das typische, recht häufig verwirklichte Schema der Organisation eines australischen Stammes sieht also folgendermaßen aus:</w:t>
      </w:r>
    </w:p>
    <w:p w:rsidR="00B6748F" w:rsidRPr="00751AC0" w:rsidRDefault="00B6748F" w:rsidP="00B6748F">
      <w:pPr>
        <w:rPr>
          <w:rFonts w:ascii="Garamond" w:hAnsi="Garamond"/>
          <w:color w:val="000000"/>
        </w:rPr>
      </w:pPr>
      <w:r>
        <w:rPr>
          <w:rFonts w:ascii="Garamond" w:hAnsi="Garamond"/>
          <w:noProof/>
          <w:color w:val="000000"/>
          <w:lang w:eastAsia="fr-FR"/>
        </w:rPr>
        <w:drawing>
          <wp:inline distT="0" distB="0" distL="0" distR="0">
            <wp:extent cx="3812540" cy="2391410"/>
            <wp:effectExtent l="19050" t="0" r="0" b="0"/>
            <wp:docPr id="13" name="Image 11" descr="a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b1"/>
                    <pic:cNvPicPr>
                      <a:picLocks noChangeAspect="1" noChangeArrowheads="1"/>
                    </pic:cNvPicPr>
                  </pic:nvPicPr>
                  <pic:blipFill>
                    <a:blip r:embed="rId449" cstate="print"/>
                    <a:srcRect/>
                    <a:stretch>
                      <a:fillRect/>
                    </a:stretch>
                  </pic:blipFill>
                  <pic:spPr bwMode="auto">
                    <a:xfrm>
                      <a:off x="0" y="0"/>
                      <a:ext cx="3812540" cy="2391410"/>
                    </a:xfrm>
                    <a:prstGeom prst="rect">
                      <a:avLst/>
                    </a:prstGeom>
                    <a:noFill/>
                    <a:ln w="9525">
                      <a:noFill/>
                      <a:miter lim="800000"/>
                      <a:headEnd/>
                      <a:tailEnd/>
                    </a:ln>
                  </pic:spPr>
                </pic:pic>
              </a:graphicData>
            </a:graphic>
          </wp:inline>
        </w:drawing>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zwölf Totemsippen sind in vier Unterklassen und zwei Klassen untergebracht. Alle Abteilungen sind exogam </w:t>
      </w:r>
      <w:hyperlink r:id="rId45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 Anzahl der Totem ist willkürlich gewählt.</w:t>
        </w:r>
      </w:hyperlink>
      <w:r w:rsidRPr="00751AC0">
        <w:rPr>
          <w:rFonts w:ascii="Garamond" w:hAnsi="Garamond"/>
          <w:color w:val="000000"/>
          <w:lang w:val="en-GB"/>
        </w:rPr>
        <w:t xml:space="preserve">. </w:t>
      </w:r>
      <w:r w:rsidRPr="00751AC0">
        <w:rPr>
          <w:rFonts w:ascii="Garamond" w:hAnsi="Garamond"/>
          <w:color w:val="000000"/>
        </w:rPr>
        <w:t xml:space="preserve">Die Subklasse </w:t>
      </w:r>
      <w:r w:rsidRPr="00751AC0">
        <w:rPr>
          <w:rFonts w:ascii="Garamond" w:hAnsi="Garamond"/>
          <w:i/>
          <w:iCs/>
          <w:color w:val="000000"/>
        </w:rPr>
        <w:t>c</w:t>
      </w:r>
      <w:r w:rsidRPr="00751AC0">
        <w:rPr>
          <w:rFonts w:ascii="Garamond" w:hAnsi="Garamond"/>
          <w:color w:val="000000"/>
        </w:rPr>
        <w:t xml:space="preserve"> bildet mit </w:t>
      </w:r>
      <w:r w:rsidRPr="00751AC0">
        <w:rPr>
          <w:rFonts w:ascii="Garamond" w:hAnsi="Garamond"/>
          <w:i/>
          <w:iCs/>
          <w:color w:val="000000"/>
        </w:rPr>
        <w:t>e,</w:t>
      </w:r>
      <w:r w:rsidRPr="00751AC0">
        <w:rPr>
          <w:rFonts w:ascii="Garamond" w:hAnsi="Garamond"/>
          <w:color w:val="000000"/>
        </w:rPr>
        <w:t xml:space="preserve"> die Subklasse </w:t>
      </w:r>
      <w:r w:rsidRPr="00751AC0">
        <w:rPr>
          <w:rFonts w:ascii="Garamond" w:hAnsi="Garamond"/>
          <w:i/>
          <w:iCs/>
          <w:color w:val="000000"/>
        </w:rPr>
        <w:t>d</w:t>
      </w:r>
      <w:r w:rsidRPr="00751AC0">
        <w:rPr>
          <w:rFonts w:ascii="Garamond" w:hAnsi="Garamond"/>
          <w:color w:val="000000"/>
        </w:rPr>
        <w:t xml:space="preserve"> mit </w:t>
      </w:r>
      <w:r w:rsidRPr="00751AC0">
        <w:rPr>
          <w:rFonts w:ascii="Garamond" w:hAnsi="Garamond"/>
          <w:i/>
          <w:iCs/>
          <w:color w:val="000000"/>
        </w:rPr>
        <w:t>f</w:t>
      </w:r>
      <w:r w:rsidRPr="00751AC0">
        <w:rPr>
          <w:rFonts w:ascii="Garamond" w:hAnsi="Garamond"/>
          <w:color w:val="000000"/>
        </w:rPr>
        <w:t xml:space="preserve"> eine exogame Einheit. Der Erfolg, also die Tendenz, dieser Einrichtungen ist nicht zweifelhaft: es wird auf diesem Wege eine weitere Einschränkung der Heiratswahl und der sexuellen Freiheit herbeigeführt. Bestünden nur die zwölf Totemsippen, so wäre jedem Mitglied einer Sippe – bei Voraussetzung der gleichen Menschenanzahl in jeder Sippe – 11/12 aller Frauen des Stammes zur Auswahl zugänglich. Die Existenz der beiden Phratrien beschränkt diese Anzahl auf 6/12 = ½; ein Mann vom Totem </w:t>
      </w:r>
      <w:r w:rsidRPr="00751AC0">
        <w:rPr>
          <w:rFonts w:ascii="Garamond" w:hAnsi="Garamond"/>
          <w:i/>
          <w:iCs/>
          <w:color w:val="000000"/>
        </w:rPr>
        <w:t>a</w:t>
      </w:r>
      <w:r w:rsidRPr="00751AC0">
        <w:rPr>
          <w:rFonts w:ascii="Garamond" w:hAnsi="Garamond"/>
          <w:color w:val="000000"/>
        </w:rPr>
        <w:t xml:space="preserve"> kann nur eine Frau der Sippen 1 bis 6 heiraten. </w:t>
      </w:r>
      <w:r w:rsidRPr="00751AC0">
        <w:rPr>
          <w:rFonts w:ascii="Garamond" w:hAnsi="Garamond"/>
          <w:color w:val="000000"/>
          <w:lang w:val="en-GB"/>
        </w:rPr>
        <w:t xml:space="preserve">Bei Einführung der beiden Unterklassen sinkt die Auswahl auf 3/12 = ¼; ein Mann vom Totem </w:t>
      </w:r>
      <w:r w:rsidRPr="00751AC0">
        <w:rPr>
          <w:rFonts w:ascii="Garamond" w:hAnsi="Garamond"/>
          <w:i/>
          <w:iCs/>
          <w:color w:val="000000"/>
          <w:lang w:val="en-GB"/>
        </w:rPr>
        <w:t>a</w:t>
      </w:r>
      <w:r w:rsidRPr="00751AC0">
        <w:rPr>
          <w:rFonts w:ascii="Garamond" w:hAnsi="Garamond"/>
          <w:color w:val="000000"/>
          <w:lang w:val="en-GB"/>
        </w:rPr>
        <w:t xml:space="preserve"> muß seine Ehewahl auf die Frauen der Totem 4, 5, 6 beschränken.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historischen Beziehungen der Heiratsklassen – deren bei einigen Stämmen bis zu acht vorkommen – zu den Totemsippen sind durchaus ungeklärt. Man sieht nur, daß diese Einrichtungen dasselbe erreichen wollen wie die Totemexogamie und auch noch mehr anstreben. Aber während die Totemexogamie den Eindruck einer heiligen Satzung macht, die entstanden ist, man weiß nicht wie, also einer Sitte, scheinen die komplizierten Institutionen der Heiratsklassen, ihrer Unterteilungen und der daran geknüpften Bedingungen zielbewußter Gesetzgebung zu entstammen, die vielleicht die Aufgabe der Inzestverhütung neu aufnahm, weil der Einfluß des Totem im Nachlassen war. Und während das Totemsystem, wie wir </w:t>
      </w:r>
      <w:r w:rsidRPr="00751AC0">
        <w:rPr>
          <w:rFonts w:ascii="Garamond" w:hAnsi="Garamond"/>
          <w:color w:val="000000"/>
          <w:lang w:val="en-GB"/>
        </w:rPr>
        <w:lastRenderedPageBreak/>
        <w:t>wissen, die Grundlage aller anderen sozialen Verpflichtungen und sittlichen Beschränkungen des Stammes ist, erschöpft sich die Bedeutung der Phratrien im allgemeinen in der durch sie angestrebten Regelung der Ehewahl.</w:t>
      </w:r>
    </w:p>
    <w:p w:rsidR="00B6748F" w:rsidRPr="00B6748F" w:rsidRDefault="00B6748F" w:rsidP="00B6748F">
      <w:pPr>
        <w:rPr>
          <w:rFonts w:ascii="Garamond" w:hAnsi="Garamond"/>
          <w:color w:val="000000"/>
          <w:lang w:val="en-GB"/>
        </w:rPr>
      </w:pPr>
      <w:r w:rsidRPr="00751AC0">
        <w:rPr>
          <w:rFonts w:ascii="Garamond" w:hAnsi="Garamond"/>
          <w:color w:val="000000"/>
          <w:lang w:val="en-GB"/>
        </w:rPr>
        <w:t xml:space="preserve">In der weiteren Ausbildung des Heiratsklassensystems zeigt sich ein Bestreben, über die Verhütung des natürlichen und des Gruppeninzests hinauszugehen und Ehen zwischen entfernteren Gruppenverwandten zu verbieten, ähnlich wie es die katholische Kirche tat, indem sie die seit jeher für Geschwister geltenden Heiratsverbote auf die Vetternschaft ausdehnte und die geistlichen Verwandtschaftsgrade dazuerfand. </w:t>
      </w:r>
      <w:r w:rsidRPr="00B6748F">
        <w:rPr>
          <w:rFonts w:ascii="Garamond" w:hAnsi="Garamond"/>
          <w:color w:val="000000"/>
          <w:lang w:val="en-GB"/>
        </w:rPr>
        <w:t>(Lang, 1910–11).</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Es würde unserem Interesse wenig dienen, wenn wir in die außerordentlich verwickelten und ungeklärten Diskussionen über Herkunft und Bedeutung der Heiratsklassen sowie über deren Verhältnis zum Totem tiefer eindringen wollten. Für unsere Zwecke genügt der Hinweis auf die große Sorgfalt, welche die Australier sowie andere wilde Völker zur Verhütung des Inzests aufwenden </w:t>
      </w:r>
      <w:hyperlink r:id="rId451" w:anchor="#" w:history="1">
        <w:r w:rsidRPr="00B6748F">
          <w:rPr>
            <w:rStyle w:val="fusslink"/>
            <w:rFonts w:ascii="Garamond" w:hAnsi="Garamond" w:cs="Arial"/>
            <w:b/>
            <w:bCs/>
            <w:color w:val="003399"/>
            <w:lang w:val="en-GB"/>
          </w:rPr>
          <w:t>[Fußnote]</w:t>
        </w:r>
        <w:r w:rsidRPr="00B6748F">
          <w:rPr>
            <w:rStyle w:val="innerfusslink3"/>
            <w:rFonts w:ascii="Garamond" w:hAnsi="Garamond" w:cs="Arial"/>
            <w:b/>
            <w:bCs/>
            <w:lang w:val="en-GB"/>
          </w:rPr>
          <w:t xml:space="preserve">Auf diesen Punkt hat erst kürzlich Storfer in seiner Studie: </w:t>
        </w:r>
        <w:r w:rsidRPr="00B6748F">
          <w:rPr>
            <w:rStyle w:val="innerfusslink3"/>
            <w:rFonts w:ascii="Garamond" w:hAnsi="Garamond" w:cs="Arial"/>
            <w:b/>
            <w:bCs/>
            <w:i/>
            <w:iCs/>
            <w:lang w:val="en-GB"/>
          </w:rPr>
          <w:t>Zur Sonderstellung des Vatermordes</w:t>
        </w:r>
        <w:r w:rsidRPr="00B6748F">
          <w:rPr>
            <w:rStyle w:val="innerfusslink3"/>
            <w:rFonts w:ascii="Garamond" w:hAnsi="Garamond" w:cs="Arial"/>
            <w:b/>
            <w:bCs/>
            <w:lang w:val="en-GB"/>
          </w:rPr>
          <w:t xml:space="preserve"> (1911) nachdrücklich aufmerksam gemacht.</w:t>
        </w:r>
      </w:hyperlink>
      <w:r w:rsidRPr="00B6748F">
        <w:rPr>
          <w:rFonts w:ascii="Garamond" w:hAnsi="Garamond"/>
          <w:color w:val="000000"/>
          <w:lang w:val="en-GB"/>
        </w:rPr>
        <w:t xml:space="preserve">. </w:t>
      </w:r>
      <w:r w:rsidRPr="00751AC0">
        <w:rPr>
          <w:rFonts w:ascii="Garamond" w:hAnsi="Garamond"/>
          <w:color w:val="000000"/>
          <w:lang w:val="en-GB"/>
        </w:rPr>
        <w:t>Wir müssen sagen, diese Wilden sind selbst inzestempfindlicher als wir. Wahrscheinlich liegt ihnen die Versuchung näher, so daß sie eines ausgiebigeren Schutzes gegen dieselbe bedürfen.</w:t>
      </w:r>
    </w:p>
    <w:p w:rsidR="00B6748F" w:rsidRPr="00B6748F" w:rsidRDefault="00B6748F" w:rsidP="00B6748F">
      <w:pPr>
        <w:rPr>
          <w:rFonts w:ascii="Garamond" w:hAnsi="Garamond"/>
          <w:color w:val="000000"/>
          <w:lang w:val="en-US"/>
        </w:rPr>
      </w:pPr>
      <w:r w:rsidRPr="00751AC0">
        <w:rPr>
          <w:rFonts w:ascii="Garamond" w:hAnsi="Garamond"/>
          <w:color w:val="000000"/>
          <w:lang w:val="en-GB"/>
        </w:rPr>
        <w:t xml:space="preserve">Die Inzestscheu dieser Völker begnügt sich aber nicht mit der Aufrichtung der beschriebenen Institutionen, welche uns hauptsächlich gegen den Gruppeninzest gerichtet scheinen. Wir müssen eine Reihe von »Sitten« hinzunehmen, welche den individuellen Verkehr naher Verwandter in unserem Sinne behüten, die mit geradezu religiöser Strenge eingehalten werden und deren Absicht uns kaum zweifelhaft erscheinen kann. Man kann diese Sitten oder Sittenverbote »Vermeidungen« ( </w:t>
      </w:r>
      <w:r w:rsidRPr="00751AC0">
        <w:rPr>
          <w:rFonts w:ascii="Garamond" w:hAnsi="Garamond"/>
          <w:i/>
          <w:iCs/>
          <w:color w:val="000000"/>
          <w:lang w:val="en-GB"/>
        </w:rPr>
        <w:t>avoidances</w:t>
      </w:r>
      <w:r w:rsidRPr="00751AC0">
        <w:rPr>
          <w:rFonts w:ascii="Garamond" w:hAnsi="Garamond"/>
          <w:color w:val="000000"/>
          <w:lang w:val="en-GB"/>
        </w:rPr>
        <w:t xml:space="preserve">) heißen. Ihre Verbreitung geht weit über die australischen Totemvölker hinaus. </w:t>
      </w:r>
      <w:r w:rsidRPr="00B6748F">
        <w:rPr>
          <w:rFonts w:ascii="Garamond" w:hAnsi="Garamond"/>
          <w:color w:val="000000"/>
          <w:lang w:val="en-US"/>
        </w:rPr>
        <w:t>Ich werde aber auch hier die Leser bitten müssen, mit einem fragmentarischen Ausschnitt aus dem reichen Material vorliebzunehmen.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Melanesien richten sich solche einschränkende Verbote gegen den Verkehr des Knaben mit Mutter und Schwestern. So z. B. verläßt auf Lepers Island, einer der Neuhebriden, der Knabe von einem bestimmten Alter an das mütterliche Heim und übersiedelt ins »Klubhaus«, wo er jetzt regelmäßig schläft und seine Mahlzeiten einnimmt. Er darf sein Heim zwar noch besuchen, um dort Nahrung zu verlangen; wenn aber seine Schwester zu Hause ist, muß er fortgehen, ehe er gegessen hat; ist keine Schwester anwesend, so darf er sich in der Nähe der Türe zum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niedersetzen. Begegnen sich Bruder und Schwester zufällig im Freien, so muß sie weglaufen oder sich seitwärts verstecken. Wenn der Knabe gewisse Fußspuren im Sande als die seiner Schwester erkennt, so wird er ihnen nicht folgen, ebensowenig wie sie den seinigen. Ja, er wird nicht einmal ihren Namen aussprechen und wird sich hüten, ein geläufiges Wort zu gebrauchen, wenn es als Bestandteil in ihrem Namen enthalten ist. Diese Vermeidung, die mit der Pubertätszeremonie beginnt, wird über das ganze Leben festgehalten. Die Zurückhaltung zwischen einer Mutter und ihrem Sohne nimmt mit den Jahren zu, ist übrigens überwiegend auf Seite der Mutter. Wenn sie ihm etwas zu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bringt, reicht sie es ihm nicht selbst, sondern stellt es vor ihn hin, sie redet ihn auch nicht vertraut an, sagt ihm – nach unserem Sprachgebrauch – nicht »du«, sondern »Sie« </w:t>
      </w:r>
      <w:hyperlink r:id="rId45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Bd. 2, p. 77), nach R. H. Codrington.</w:t>
        </w:r>
      </w:hyperlink>
      <w:r w:rsidRPr="00751AC0">
        <w:rPr>
          <w:rFonts w:ascii="Garamond" w:hAnsi="Garamond"/>
          <w:color w:val="000000"/>
          <w:lang w:val="en-GB"/>
        </w:rPr>
        <w:t>. Ähnliche Gebräuche herrschen in Neukaledonien. Wenn Bruder und Schwester einander begegnen, so flüchtet sie ins Gebüsch, und er geht vorüber, ohne den Kopf nach ihr zu wenden.</w:t>
      </w:r>
    </w:p>
    <w:p w:rsidR="00B6748F" w:rsidRPr="00B6748F" w:rsidRDefault="00B6748F" w:rsidP="00B6748F">
      <w:pPr>
        <w:rPr>
          <w:rFonts w:ascii="Garamond" w:hAnsi="Garamond"/>
          <w:color w:val="000000"/>
          <w:lang w:val="en-GB"/>
        </w:rPr>
      </w:pPr>
      <w:r w:rsidRPr="00B6748F">
        <w:rPr>
          <w:rFonts w:ascii="Garamond" w:hAnsi="Garamond"/>
          <w:color w:val="000000"/>
          <w:lang w:val="en-GB"/>
        </w:rPr>
        <w:t xml:space="preserve">Auf der Gazellen-Halbinsel in Neubritannien darf eine Schwester von ihrer Heirat an mit ihrem Bruder nicht mehr sprechen, sie spricht auch seinen Namen nicht mehr aus, sondern bezeichnet ihn mit einer Umschreibung </w:t>
      </w:r>
      <w:hyperlink r:id="rId453" w:anchor="#" w:history="1">
        <w:r w:rsidRPr="00B6748F">
          <w:rPr>
            <w:rStyle w:val="fusslink"/>
            <w:rFonts w:ascii="Garamond" w:hAnsi="Garamond" w:cs="Arial"/>
            <w:b/>
            <w:bCs/>
            <w:color w:val="003399"/>
            <w:lang w:val="en-GB"/>
          </w:rPr>
          <w:t>[Fußnote]</w:t>
        </w:r>
        <w:r w:rsidRPr="00B6748F">
          <w:rPr>
            <w:rStyle w:val="innerfusslink3"/>
            <w:rFonts w:ascii="Garamond" w:hAnsi="Garamond" w:cs="Arial"/>
            <w:b/>
            <w:bCs/>
            <w:lang w:val="en-GB"/>
          </w:rPr>
          <w:t>Frazer (1910, Bd. 2, p. 124).</w:t>
        </w:r>
      </w:hyperlink>
      <w:r w:rsidRPr="00B6748F">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Auf Neumecklenburg werden Vetter und Base (obwohl nicht jeder Art) von solchen Beschränkungen getroffen, ebenso aber Bruder und Schwester. Sie dürfen sich einander nicht nähern, einander nicht die </w:t>
      </w:r>
      <w:r w:rsidRPr="00751AC0">
        <w:rPr>
          <w:rFonts w:ascii="Garamond" w:hAnsi="Garamond"/>
          <w:color w:val="000000"/>
          <w:lang w:val="en-GB"/>
        </w:rPr>
        <w:lastRenderedPageBreak/>
        <w:t xml:space="preserve">Hand geben, keine Geschenke machen, dürfen aber in der Entfernung von einigen Schritten miteinander sprechen. Die Strafe für den Inzest mit der Schwester ist der Tod durch Erhängen </w:t>
      </w:r>
      <w:hyperlink r:id="rId45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Bd. 2, p. 130 f.), nach P. G. Peckel (1908).</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Auf den </w:t>
      </w:r>
      <w:smartTag w:uri="urn:schemas-microsoft-com:office:smarttags" w:element="country-region">
        <w:smartTag w:uri="urn:schemas-microsoft-com:office:smarttags" w:element="place">
          <w:r w:rsidRPr="00751AC0">
            <w:rPr>
              <w:rFonts w:ascii="Garamond" w:hAnsi="Garamond"/>
              <w:color w:val="000000"/>
              <w:lang w:val="en-GB"/>
            </w:rPr>
            <w:t>Fiji</w:t>
          </w:r>
        </w:smartTag>
      </w:smartTag>
      <w:r w:rsidRPr="00751AC0">
        <w:rPr>
          <w:rFonts w:ascii="Garamond" w:hAnsi="Garamond"/>
          <w:color w:val="000000"/>
          <w:lang w:val="en-GB"/>
        </w:rPr>
        <w:t xml:space="preserve">-Inseln sind diese Vermeidungsregeln besonders strenge; sie betreffen dort nicht nur die blutsverwandte, sondern selbst die Gruppenschwester. Um so sonderbarer berührt es uns, wenn wir hören, daß diese Wilden heilige Orgien kennen, in denen eben diese verbotenen Verwandtschaftsgrade die geschlechtliche Vereinigung aufsuchen, wenn wir es nicht vorziehen, diesen Gegensatz zur Aufklärung des Verbotes zu verwenden, anstatt uns über ihn zu verwundern </w:t>
      </w:r>
      <w:hyperlink r:id="rId45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Bd. 2, p. 146 ff.), nach Rev. L. Fison.</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Unter den Battas auf Sumatra betreffen die Vermeidungsgebote alle nahen Verwandtschaftsbeziehungen. »Es wäre für einen Batta z. B. höchst anstößig, seine eigene Schwester zu einer Abendgesellschaft zu begleiten. </w:t>
      </w:r>
      <w:r w:rsidRPr="00751AC0">
        <w:rPr>
          <w:rFonts w:ascii="Garamond" w:hAnsi="Garamond"/>
          <w:color w:val="000000"/>
          <w:lang w:val="en-GB"/>
        </w:rPr>
        <w:t xml:space="preserve">Ein Battabruder wird sich in Gesellschaft seiner Schwester unbehaglich fühlen, selbst wenn noch andere Personen mit anwesend sind. Wenn der eine von ihnen ins Haus kommt, so zieht es der andere Teil vor wegzugehen. Ein Vater wird auch nicht allein im Hause mit seiner Tochter bleiben, ebensowenig wie eine Mutter mit ihrem Sohne ... Der holländische Missionär, der über diese Sitten berichtet, fügt hinzu, er müsse sie leider für sehr wohlbegründet halten.« Es wird bei diesem Volke ohneweiters angenommen, daß ein Alleinsein eines Mannes mit einer Frau zu ungehöriger Intimität führen werde, und da sie vom Verkehr naher Blutsverwandter alle möglichen Strafen und üblen Folgen erwarten, tun sie recht daran, allen Versuchungen durch solche Verbote auszuweichen </w:t>
      </w:r>
      <w:hyperlink r:id="rId45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Bd. 2, p. 189).</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Bei den Barongos an der Delagoa-Bucht in Afrika gelten merkwürdigerweise die strengsten Vorsichten der Schwägerin, der Frau des Bruders der eigenen Frau. </w:t>
      </w:r>
      <w:r w:rsidRPr="00751AC0">
        <w:rPr>
          <w:rFonts w:ascii="Garamond" w:hAnsi="Garamond"/>
          <w:color w:val="000000"/>
          <w:lang w:val="en-GB"/>
        </w:rPr>
        <w:t xml:space="preserve">Wenn ein Mann diese ihm gefährliche Person irgendwo begegnet, so weicht er ihr sorgsam aus. Er wagt es nicht, aus einer Schüssel mit ihr zu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er spricht sie nur zagend an, getraut sich nicht, in ihre Hütte einzutreten, und begrüßt sie nur mit zitternder Stimme </w:t>
      </w:r>
      <w:hyperlink r:id="rId45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Bd. 2, p. 388), nach Junod.</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Bei den Akamba (oder Wakamba) in Britisch-Ostafrika herrscht ein Gebot der Vermeidung, welches man häufiger anzutreffen erwartet hätte. Ein Mädchen muß zwischen ihrer Pubertät und ihrer Verheiratung dem eigenen Vater sorgfältig ausweichen. Sie versteckt sich, wenn sie ihn auf der Straße begegnet, sie versucht es niemals, sich neben ihn hinzusetzen, und benimmt sich so bis zum Moment ihrer Verlobung. Von der Heirat an ist ihrem Verkehr mit dem Vater kein Hindernis mehr in den Weg gelegt </w:t>
      </w:r>
      <w:hyperlink r:id="rId45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Bd. 2, p. 424).</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bei weitem verbreitetste, strengste und auch für zivilisierte Völker interessanteste Vermeidung ist die, welche den Verkehr zwischen einem Manne und seiner Schwiegermutter einschränkt. Sie ist in Australien ganz allgemein, ist aber auch bei den melanesischen, polynesischen und den Negervölkern Afrikas in Kraft, soweit die Spuren des Totemismus und der Gruppenverwandtschaft reichen, und wahrscheinlich noch darüber hinaus. Bei manchen dieser Völker bestehen ähnliche Verbote gegen den harmlosen Verkehr einer Frau mit ihrem Schwiegervater, doch sind sie lange nicht so konstant und so ernsthaft. In vereinzelten Fällen werden beide Schwiegereltern Gegenstand der Vermeidung.</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 wir uns weniger für die ethnographische Verbreitung als für den Inhalt und die Absicht der Schwiegermuttervermeidung interessieren, werde ich </w:t>
      </w:r>
      <w:smartTag w:uri="urn:schemas-microsoft-com:office:smarttags" w:element="State">
        <w:smartTag w:uri="urn:schemas-microsoft-com:office:smarttags" w:element="place">
          <w:r w:rsidRPr="00751AC0">
            <w:rPr>
              <w:rFonts w:ascii="Garamond" w:hAnsi="Garamond"/>
              <w:color w:val="000000"/>
              <w:lang w:val="en-GB"/>
            </w:rPr>
            <w:t>mich</w:t>
          </w:r>
        </w:smartTag>
      </w:smartTag>
      <w:r w:rsidRPr="00751AC0">
        <w:rPr>
          <w:rFonts w:ascii="Garamond" w:hAnsi="Garamond"/>
          <w:color w:val="000000"/>
          <w:lang w:val="en-GB"/>
        </w:rPr>
        <w:t xml:space="preserve"> auch hier auf die Wiedergabe weniger Beispiele beschränken.</w:t>
      </w:r>
    </w:p>
    <w:p w:rsidR="00B6748F" w:rsidRPr="00B6748F" w:rsidRDefault="00B6748F" w:rsidP="00B6748F">
      <w:pPr>
        <w:rPr>
          <w:rFonts w:ascii="Garamond" w:hAnsi="Garamond"/>
          <w:color w:val="000000"/>
          <w:lang w:val="en-US"/>
        </w:rPr>
      </w:pPr>
      <w:r w:rsidRPr="00751AC0">
        <w:rPr>
          <w:rFonts w:ascii="Garamond" w:hAnsi="Garamond"/>
          <w:color w:val="000000"/>
          <w:lang w:val="en-GB"/>
        </w:rPr>
        <w:t xml:space="preserve">Auf den Banks-Inseln sind diese Gebote sehr strenge und peinlich genau. </w:t>
      </w:r>
      <w:r w:rsidRPr="00751AC0">
        <w:rPr>
          <w:rFonts w:ascii="Garamond" w:hAnsi="Garamond"/>
          <w:color w:val="000000"/>
        </w:rPr>
        <w:t xml:space="preserve">Ein Mann wird die Nähe seiner Schwiegermutter meiden wie sie die seinige. Wenn sie einander zufällig auf einem Pfade begegnen, so tritt das Weib zur Seite und wendet ihm den Rücken, bis er vorüber ist, oder er tut das nämliche. In Vanua </w:t>
      </w:r>
      <w:r w:rsidRPr="00751AC0">
        <w:rPr>
          <w:rFonts w:ascii="Garamond" w:hAnsi="Garamond"/>
          <w:color w:val="000000"/>
        </w:rPr>
        <w:lastRenderedPageBreak/>
        <w:t xml:space="preserve">Lava (Port Patteson) wird ein Mann nicht einmal hinter seiner Schwiegermutter am Strande einhergehen, ehe die steigende Flut nicht die Spur ihrer Fußtritte im Sande weggeschwemmt hat. Doch dürfen sie aus einer gewissen Entfernung miteinander sprechen. Es ist ganz ausgeschlossen, daß er je den Namen seiner Schwiegermutter ausspricht oder sie den ihres Schwiegersohnes. </w:t>
      </w:r>
      <w:hyperlink r:id="rId459" w:anchor="#" w:history="1">
        <w:r w:rsidRPr="00B6748F">
          <w:rPr>
            <w:rStyle w:val="fusslink"/>
            <w:rFonts w:ascii="Garamond" w:hAnsi="Garamond" w:cs="Arial"/>
            <w:b/>
            <w:bCs/>
            <w:color w:val="003399"/>
            <w:lang w:val="en-US"/>
          </w:rPr>
          <w:t>[Fußnote]</w:t>
        </w:r>
        <w:r w:rsidRPr="00B6748F">
          <w:rPr>
            <w:rStyle w:val="innerfusslink3"/>
            <w:rFonts w:ascii="Garamond" w:hAnsi="Garamond" w:cs="Arial"/>
            <w:b/>
            <w:bCs/>
            <w:lang w:val="en-US"/>
          </w:rPr>
          <w:t>Frazer (1910, Bd. 2, p. 76).</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Auf den Salomons-Inseln darf der Mann von seiner Heirat an seine Schwiegermutter weder sehen noch mit ihr sprechen. Wenn er ihr begegnet, tut er nicht, als ob er sie kennen würde, sondern läuft, so schnell er kann, davon, um sich zu verstecken </w:t>
      </w:r>
      <w:hyperlink r:id="rId46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Bd. 2, p. 117), nach C. Ribbe (1903).</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Bei den Zulukaffern »verlangt die Sitte, daß ein Mann sich seiner Schwiegermutter schäme, daß er alles tue, um ihrer Gesellschaft auszuweichen. Er tritt nicht in die Hütte ein, in der sie sich befindet, und wenn sie einander begegnen, geht er oder sie beiseite, etwa indem sie sich hinter einem Busch versteckt, während er seinen Schild vors Gesicht hält. Wenn sie einander nicht ausweichen können und das Weib nichts anderes hat, um sich zu verhüllen, so bindet sie wenigstens ein Grasbüschel um ihren Kopf, damit dem Zeremoniell Genüge getan sei. Der Verkehr zwischen ihnen muß entweder durch eine dritte Person besorgt werden, oder sie dürfen aus einiger Entfernung einander zuschreien, wenn sie irgendeine Schranke, z. B. die Einfassung des Kraals, zwischen sich haben. Keiner von ihnen darf den Namen des andern in den Mund nehmen.« (Frazer, 1910, Bd. 2, p. 385.)</w:t>
      </w:r>
    </w:p>
    <w:p w:rsidR="00B6748F" w:rsidRPr="00751AC0" w:rsidRDefault="00B6748F" w:rsidP="00B6748F">
      <w:pPr>
        <w:rPr>
          <w:rFonts w:ascii="Garamond" w:hAnsi="Garamond"/>
          <w:color w:val="000000"/>
          <w:lang w:val="en-GB"/>
        </w:rPr>
      </w:pPr>
      <w:r w:rsidRPr="00751AC0">
        <w:rPr>
          <w:rFonts w:ascii="Garamond" w:hAnsi="Garamond"/>
          <w:color w:val="000000"/>
          <w:lang w:val="en-GB"/>
        </w:rPr>
        <w:t>Bei den Basoga, einem Negerstamme im Quellengebiete des Nils, darf ein Mann zu seiner Schwiegermutter nur sprechen, wenn sie in einem anderen Raume des Hauses ist und von ihm nicht gesehen wird. Dieses Volk verabscheut übrigens den Inzest so sehr, daß es ihn selbst bei Haustieren nicht straflos läßt. (Frazer, 1910, Bd. 2, p. 461.)</w:t>
      </w:r>
    </w:p>
    <w:p w:rsidR="00B6748F" w:rsidRPr="00751AC0" w:rsidRDefault="00B6748F" w:rsidP="00B6748F">
      <w:pPr>
        <w:rPr>
          <w:rFonts w:ascii="Garamond" w:hAnsi="Garamond"/>
          <w:color w:val="000000"/>
          <w:lang w:val="en-GB"/>
        </w:rPr>
      </w:pPr>
      <w:r w:rsidRPr="00751AC0">
        <w:rPr>
          <w:rFonts w:ascii="Garamond" w:hAnsi="Garamond"/>
          <w:color w:val="000000"/>
          <w:lang w:val="en-GB"/>
        </w:rPr>
        <w:t>Während Absicht und Bedeutung der anderen Vermeidungen zwischen nahen Verwandten einem Zweifel nicht unterliegen, so daß sie von allen Beobachtern als Schutzmaßregeln gegen den Inzest aufgefaßt werden, haben die Verbote, welche den Verkehr mit der Schwiegermutter betreffen, von manchen Seiten eine andere Deutung erfahren. Es erschien mit Recht unverständlich, daß alle diese Völker so große Angst vor der Versuchung zeigen sollten, die dem Manne in der Gestalt einer älteren Frau entgegentritt, welche seine Mutter sein könnte, ohne es wirklich zu sein. (Vgl. Crawley, 1902, p. 405.)</w:t>
      </w:r>
    </w:p>
    <w:p w:rsidR="00B6748F" w:rsidRPr="00751AC0" w:rsidRDefault="00B6748F" w:rsidP="00B6748F">
      <w:pPr>
        <w:rPr>
          <w:rFonts w:ascii="Garamond" w:hAnsi="Garamond"/>
          <w:color w:val="000000"/>
          <w:lang w:val="en-GB"/>
        </w:rPr>
      </w:pPr>
      <w:r w:rsidRPr="00751AC0">
        <w:rPr>
          <w:rFonts w:ascii="Garamond" w:hAnsi="Garamond"/>
          <w:color w:val="000000"/>
          <w:lang w:val="en-GB"/>
        </w:rPr>
        <w:t>Diese Einwendung wurde auch gegen die Auffassung von Fison erhoben, der darauf aufmerksam machte, daß gewisse Heiratsklassensysteme darin eine Lücke zeigen, daß sie die Ehe zwischen einem Manne und seiner Schwiegermutter nicht theoretisch unmöglich machen; es hätte darum einer besonderen Sicherung gegen diese Möglichkeit bedurft.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Sir J. Lubbock führt in seinem Werke </w:t>
      </w:r>
      <w:r w:rsidRPr="00751AC0">
        <w:rPr>
          <w:rFonts w:ascii="Garamond" w:hAnsi="Garamond"/>
          <w:i/>
          <w:iCs/>
          <w:color w:val="000000"/>
          <w:lang w:val="en-GB"/>
        </w:rPr>
        <w:t>Origin of Civilisation</w:t>
      </w:r>
      <w:r w:rsidRPr="00751AC0">
        <w:rPr>
          <w:rFonts w:ascii="Garamond" w:hAnsi="Garamond"/>
          <w:color w:val="000000"/>
          <w:lang w:val="en-GB"/>
        </w:rPr>
        <w:t xml:space="preserve"> das Benehmen der Schwiegermutter gegen den Schwiegersohn auf die einstige Raubehe ( </w:t>
      </w:r>
      <w:r w:rsidRPr="00751AC0">
        <w:rPr>
          <w:rFonts w:ascii="Garamond" w:hAnsi="Garamond"/>
          <w:i/>
          <w:iCs/>
          <w:color w:val="000000"/>
          <w:lang w:val="en-GB"/>
        </w:rPr>
        <w:t>marriage by capture</w:t>
      </w:r>
      <w:r w:rsidRPr="00751AC0">
        <w:rPr>
          <w:rFonts w:ascii="Garamond" w:hAnsi="Garamond"/>
          <w:color w:val="000000"/>
          <w:lang w:val="en-GB"/>
        </w:rPr>
        <w:t xml:space="preserve">) zurück. »Solange der Frauenraub wirklich bestand, wird auch die Entrüstung der Eltern ernsthaft genug gewesen sein. Als von dieser Form der Ehe nurmehr Symbole übrig waren, wurde auch die Entrüstung der Eltern symbolisiert, und diese Sitte hielt noch an, nachdem ihre Herkunft vergessen war.« Es wird </w:t>
      </w:r>
      <w:smartTag w:uri="urn:schemas-microsoft-com:office:smarttags" w:element="place">
        <w:r w:rsidRPr="00751AC0">
          <w:rPr>
            <w:rFonts w:ascii="Garamond" w:hAnsi="Garamond"/>
            <w:color w:val="000000"/>
            <w:lang w:val="en-GB"/>
          </w:rPr>
          <w:t>Crawley</w:t>
        </w:r>
      </w:smartTag>
      <w:r w:rsidRPr="00751AC0">
        <w:rPr>
          <w:rFonts w:ascii="Garamond" w:hAnsi="Garamond"/>
          <w:color w:val="000000"/>
          <w:lang w:val="en-GB"/>
        </w:rPr>
        <w:t xml:space="preserve"> leicht zu zeigen, wie wenig dieser Erklärungsversuch die Einzelheiten der tatsächlichen Beobachtung deckt.</w:t>
      </w:r>
    </w:p>
    <w:p w:rsidR="00B6748F" w:rsidRPr="00751AC0" w:rsidRDefault="00B6748F" w:rsidP="00B6748F">
      <w:pPr>
        <w:rPr>
          <w:rFonts w:ascii="Garamond" w:hAnsi="Garamond"/>
          <w:color w:val="000000"/>
        </w:rPr>
      </w:pPr>
      <w:r w:rsidRPr="00751AC0">
        <w:rPr>
          <w:rFonts w:ascii="Garamond" w:hAnsi="Garamond"/>
          <w:color w:val="000000"/>
          <w:lang w:val="en-GB"/>
        </w:rPr>
        <w:t xml:space="preserve">E. B. Tylor meint, die Behandlung des Schwiegersohnes von seiten der Schwiegermutter sei nichts anderes als eine Form der »Nichtanerkennung« ( </w:t>
      </w:r>
      <w:r w:rsidRPr="00751AC0">
        <w:rPr>
          <w:rFonts w:ascii="Garamond" w:hAnsi="Garamond"/>
          <w:i/>
          <w:iCs/>
          <w:color w:val="000000"/>
          <w:lang w:val="en-GB"/>
        </w:rPr>
        <w:t>cutting</w:t>
      </w:r>
      <w:r w:rsidRPr="00751AC0">
        <w:rPr>
          <w:rFonts w:ascii="Garamond" w:hAnsi="Garamond"/>
          <w:color w:val="000000"/>
          <w:lang w:val="en-GB"/>
        </w:rPr>
        <w:t xml:space="preserve">) von seiten der Familie der Frau. Der Mann gilt als Fremder, und dies so lange, bis das erste Kind geboren wird. Allein abgesehen von den Fällen, in denen letztere Bedingung das Verbot nicht aufhebt, unterliegt diese Erklärung dem Einwand, daß sie die Orientierung der Sitte auf das Verhältnis zwischen Schwiegersohn und Schwiegermutter nicht aufhellt, also den geschlechtlichen Faktor übersieht, und daß sie dem Moment des geradezu heiligen Abscheus nicht Rechnung trägt, welcher in den Vermeidungsgeboten zum Ausdruck kommt. </w:t>
      </w:r>
      <w:hyperlink r:id="rId461" w:anchor="#" w:history="1">
        <w:r w:rsidRPr="00751AC0">
          <w:rPr>
            <w:rStyle w:val="fusslink"/>
            <w:rFonts w:ascii="Garamond" w:hAnsi="Garamond" w:cs="Arial"/>
            <w:b/>
            <w:bCs/>
            <w:color w:val="003399"/>
          </w:rPr>
          <w:t>[Fußnote]</w:t>
        </w:r>
        <w:r w:rsidRPr="00751AC0">
          <w:rPr>
            <w:rStyle w:val="innerfusslink3"/>
            <w:rFonts w:ascii="Garamond" w:hAnsi="Garamond" w:cs="Arial"/>
            <w:b/>
            <w:bCs/>
          </w:rPr>
          <w:t>Crawley, l. c. p. 407.</w:t>
        </w:r>
      </w:hyperlink>
    </w:p>
    <w:p w:rsidR="00B6748F" w:rsidRPr="00751AC0" w:rsidRDefault="00B6748F" w:rsidP="00B6748F">
      <w:pPr>
        <w:rPr>
          <w:rFonts w:ascii="Garamond" w:hAnsi="Garamond"/>
          <w:color w:val="000000"/>
        </w:rPr>
      </w:pPr>
      <w:r w:rsidRPr="00751AC0">
        <w:rPr>
          <w:rFonts w:ascii="Garamond" w:hAnsi="Garamond"/>
          <w:color w:val="000000"/>
        </w:rPr>
        <w:lastRenderedPageBreak/>
        <w:t xml:space="preserve">Eine Zulufrau, die nach der Begründung des Verbotes gefragt wurde, gab die von Zartgefühl getragene Antwort: »Es ist nicht recht, daß er die Brüste sehen soll, die seine Frau gesäugt haben.« </w:t>
      </w:r>
      <w:hyperlink r:id="rId462" w:anchor="#" w:history="1">
        <w:r w:rsidRPr="00751AC0">
          <w:rPr>
            <w:rStyle w:val="fusslink"/>
            <w:rFonts w:ascii="Garamond" w:hAnsi="Garamond" w:cs="Arial"/>
            <w:b/>
            <w:bCs/>
            <w:color w:val="003399"/>
          </w:rPr>
          <w:t>[Fußnote]</w:t>
        </w:r>
        <w:r w:rsidRPr="00751AC0">
          <w:rPr>
            <w:rStyle w:val="innerfusslink3"/>
            <w:rFonts w:ascii="Garamond" w:hAnsi="Garamond" w:cs="Arial"/>
            <w:b/>
            <w:bCs/>
          </w:rPr>
          <w:t>Crawley, l. c., p. 401, nach Leslie (1875).</w:t>
        </w:r>
      </w:hyperlink>
    </w:p>
    <w:p w:rsidR="00B6748F" w:rsidRPr="00751AC0" w:rsidRDefault="00B6748F" w:rsidP="00B6748F">
      <w:pPr>
        <w:rPr>
          <w:rFonts w:ascii="Garamond" w:hAnsi="Garamond"/>
          <w:color w:val="000000"/>
          <w:lang w:val="en-GB"/>
        </w:rPr>
      </w:pPr>
      <w:r w:rsidRPr="00751AC0">
        <w:rPr>
          <w:rFonts w:ascii="Garamond" w:hAnsi="Garamond"/>
          <w:color w:val="000000"/>
        </w:rPr>
        <w:t xml:space="preserve">Es ist bekannt, daß das Verhältnis zwischen Schwiegersohn und Schwiegermutter auch bei den zivilisierten Völkern zu den heikeln Seiten der Familienorganisation gehört. Es bestehen in der Gesellschaft der weißen Völker Europas und Amerikas zwar keine Vermeidungsgebote mehr für die beiden, aber es würde oft viel Streit und Unlust vermieden, wenn solche noch als Sitte bestünden und nicht von den einzelnen Individuen wieder aufgerichtet werden müßten. Manchen Europäern mag es als ein Akt hoher Weisheit erscheinen, daß die wilden Völker durch ihre Vermeidungsgebote die Herstellung eines Einvernehmens zwischen den beiden so nahe verwandt gewordenen Personen von vornherein ausgeschlossen haben. Es ist kaum zweifelhaft, daß in der psychologischen Situation von Schwiegermutter und Schwiegersohn etwas enthalten ist, was die Feindseligkeit zwischen ihnen befördert und ihr Zusammenleben erschwert. Daß der Witz der zivilisierten Völker gerade das Schwiegermutterthema so gern zum Objekt nimmt, scheint mir darauf hinzudeuten, daß die Gefühlsrelationen zwischen den beiden außerdem Komponenten führen, die in scharfem Gegensatz zueinander stehen. </w:t>
      </w:r>
      <w:r w:rsidRPr="00751AC0">
        <w:rPr>
          <w:rFonts w:ascii="Garamond" w:hAnsi="Garamond"/>
          <w:color w:val="000000"/>
          <w:lang w:val="en-GB"/>
        </w:rPr>
        <w:t>Ich meine, daß dies Verhältnis eigentlich ein »ambivalentes«, aus widerstreitenden, zärtlichen und feindseligen Regungen zusammengesetztes ist.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 gewisser Anteil dieser Regungen liegt klar zutage: Von Seiten der Schwiegermutter die Abneigung, auf den Besitz der Tochter zu verzichten, das Mißtrauen gegen den Fremden, dem sie überantwortet ist, die Tendenz, eine herrschende Position zu behaupten, in die sie sich im eigenen Hause eingelebt hatte. Von Seiten des Mannes die Entschlossenheit, sich keinem fremden Willen mehr unterzuordnen, die Eifersucht gegen alle Personen, die vor ihm die Zärtlichkeit seines Weibes besaßen, und – </w:t>
      </w:r>
      <w:r w:rsidRPr="00751AC0">
        <w:rPr>
          <w:rFonts w:ascii="Garamond" w:hAnsi="Garamond"/>
          <w:i/>
          <w:iCs/>
          <w:color w:val="000000"/>
          <w:lang w:val="en-GB"/>
        </w:rPr>
        <w:t>last not least</w:t>
      </w:r>
      <w:r w:rsidRPr="00751AC0">
        <w:rPr>
          <w:rFonts w:ascii="Garamond" w:hAnsi="Garamond"/>
          <w:color w:val="000000"/>
          <w:lang w:val="en-GB"/>
        </w:rPr>
        <w:t xml:space="preserve"> – die Abneigung dagegen, sich in der Illusion der Sexualüberschätzung stören zu lassen. Eine solche Störung geht wohl zumeist von der Person der Schwiegermutter aus, die ihn durch so viele gemeinsame Züge an die Tochter mahnt und doch all der Reize der Jugend, Schönheit und psychischen Frische entbehrt, welche ihm seine Frau wertvoll machen.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 Kenntnis versteckter Seelenregungen, welche die psychoanalytische Untersuchung einzelner Menschen verleiht, gestattet uns, zu diesen Motiven noch andere hinzuzufügen. Wo die psychosexuellen Bedürfnisse der Frau in der Ehe und im Familienleben befriedigt werden sollen, da droht ihr immer die Gefahr der Unbefriedigung durch den frühzeitigen Ablauf der ehelichen Beziehung und die Ereignislosigkeit in ihrem Gefühlsleben. Die alternde Mutter schützt sich davor durch Einfühlung in ihre Kinder, Identifizierung mit ihnen, indem sie deren gefühlsbetonte Erlebnisse zu den eigenen macht. Man sagt, die Eltern bleiben jung mit ihren Kindern; es ist dies in der Tat einer der wertvollsten seelischen Gewinste, den Eltern aus ihren Kindern ziehen. Im Falle der Kinderlosigkeit entfällt so eine der besten Möglichkeiten, die für die eigene Ehe erforderliche Resignation zu ertragen. Diese Einfühlung in die Tochter geht bei der Mutter leicht so weit, daß sie sich in den von ihr geliebten Mann – mitverliebt, was in grellen Fällen infolge des heftigen seelischen Sträubens gegen diese Gefühlsanlage zu schweren Formen neurotischer Erkrankung führt. Eine Tendenz zu solcher Verliebtheit ist bei der Schwiegermutter jedenfalls sehr häufig, und entweder diese selbst oder die ihr entgegenarbeitende Strebung schließen sich dem Gewühle der miteinander ringenden Kräfte in der Seele der Schwiegermutter an. Recht häufig wird gerade die unzärtliche, sadistische Komponente der Liebeserregung dem Schwiegersohne zugewendet, um die verpönte, zärtliche um so sicherer zu unterdrücken.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Für den Mann kompliziert sich das Verhältnis zur Schwiegermutter durch ähnliche Regungen, die aber aus anderen Quellen stammen. Der Weg der Objektwahl hat ihn regulärerweise über das Bild seiner Mutter, vielleicht noch seiner Schwester, zu seinem Liebesobjekt geführt; infolge der Inzestschranke glitt seine Vorliebe von beiden teuren Personen seiner Kindheit ab, um bei einem fremden Objekt nach deren </w:t>
      </w:r>
      <w:r w:rsidRPr="00751AC0">
        <w:rPr>
          <w:rFonts w:ascii="Garamond" w:hAnsi="Garamond"/>
          <w:color w:val="000000"/>
          <w:lang w:val="en-GB"/>
        </w:rPr>
        <w:lastRenderedPageBreak/>
        <w:t>Ebenbild zu landen. An Stelle der eigenen Mutter und Mutter seiner Schwester sieht er nun die Schwiegermutter treten; es entwickelt sich eine Tendenz, in die vorzeitliche Wahl zurückzusinken, aber dieser widerstrebt alles in ihm. Seine Inzestscheu fordert, daß er an die Genealogie seiner Liebeswahl nicht erinnert werde; die Aktualität der Schwiegermutter, die er nicht wie die Mutter von jeher gekannt hat, so daß ihr Bild im Unbewußten unverändert bewahrt werden konnte, macht ihm die Ablehnung leicht. Ein besonderer Zusatz von Reizbarkeit und Gehässigkeit zur Gefühlsmischung läßt uns vermuten, daß die Schwiegermutter tatsächlich eine Inzestversuchung für den Schwiegersohn darstellt, sowie es anderseits nicht selten vorkommt, daß sich ein Mann manifesterweise zunächst in seine spätere Schwiegermutter verliebt, ehe seine Neigung auf deren Tochter übergeht.</w:t>
      </w:r>
    </w:p>
    <w:p w:rsidR="00B6748F" w:rsidRPr="00751AC0" w:rsidRDefault="00B6748F" w:rsidP="00B6748F">
      <w:pPr>
        <w:rPr>
          <w:rFonts w:ascii="Garamond" w:hAnsi="Garamond"/>
          <w:color w:val="000000"/>
          <w:lang w:val="en-GB"/>
        </w:rPr>
      </w:pPr>
      <w:r w:rsidRPr="00751AC0">
        <w:rPr>
          <w:rFonts w:ascii="Garamond" w:hAnsi="Garamond"/>
          <w:color w:val="000000"/>
          <w:lang w:val="en-GB"/>
        </w:rPr>
        <w:t>Ich sehe keine Abhaltung von der Annahme, daß es gerade dieser, der inzestuöse Faktor des Verhältnisses ist, welcher die Vermeidung zwischen Schwiegersohn und Schwiegermutter bei den Wilden motiviert. Wir würden also in der Aufklärung der so streng gehandhabten »Vermeidungen« dieser primitiven Völker die ursprünglich von Fison geäußerte Meinung bevorzugen, die in diesen Vorschriften wiederum nur einen Schutz gegen den möglichen Inzest erblickt. Das nämliche würde für alle anderen Vermeidungen zwischen Bluts- oder Heiratsverwandten gelten. Nur bliebe der Unterschied, daß im ersteren Falle der Inzest ein direkter ist, die Verhütungsabsicht eine bewußte sein könnte; im anderen Falle, der das Schwiegermutterverhältnis mit einschließt, wäre der Inzest eine Phantasieversuchung, ein durch unbewußte Zwischenglieder vermittelter.</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haben in den vorstehenden Ausführungen wenig Gelegenheit gehabt zu zeigen, daß die Tatsachen der Völkerpsychologie durch die Anwendung der psychoanalytischen Betrachtung in neuem Verständnis gesehen werden können, denn die Inzestscheu der Wilden ist längst als solche erkannt worden und bedarf keiner weiteren Deutung. Was wir zu ihrer Würdigung hinzufügen können, ist die Aussage, sie sei ein exquisit infantiler Zug und eine auffällige Übereinstimmung mit dem seelischen Leben des Neurotikers. Die Psychoanalyse hat uns gelehrt, daß die erste sexuelle Objektwahl des Knaben eine inzestuöse ist, den verpönten Objekten, Mutter und Schwester, gilt, und hat uns auch die Wege kennen gelehrt, auf denen sich der Heranwachsende von der Anziehung des Inzests frei macht. Der Neurotiker repräsentiert uns aber regelmäßig ein Stück des psychischen Infantilismus, er hat es entweder nicht vermocht, sich von den kindlichen Verhältnissen der Psychosexualität zu befreien, oder er ist zu ihnen zurückgekehrt. (Entwicklungshemmung und Regression.) In seinem unbewußten Seelenleben spielen darum noch immer oder wiederum die inzestuösen Fixierungen der Libido eine Hauptrolle. Wir sind dahin gekommen, das vom Inzestverlangen beherrschte Verhältnis zu den Eltern für den </w:t>
      </w:r>
      <w:r w:rsidRPr="00751AC0">
        <w:rPr>
          <w:rFonts w:ascii="Garamond" w:hAnsi="Garamond"/>
          <w:i/>
          <w:iCs/>
          <w:color w:val="000000"/>
          <w:lang w:val="en-GB"/>
        </w:rPr>
        <w:t>Kernkomplex</w:t>
      </w:r>
      <w:r w:rsidRPr="00751AC0">
        <w:rPr>
          <w:rFonts w:ascii="Garamond" w:hAnsi="Garamond"/>
          <w:color w:val="000000"/>
          <w:lang w:val="en-GB"/>
        </w:rPr>
        <w:t xml:space="preserve"> der Neurose zu erklären. Die Aufdeckung dieser Bedeutung des Inzests für die Neurose stößt natürlich auf den allgemeinsten Unglauben der Erwachsenen und Normalen; dieselbe Ablehnung wird z. B. auch den Arbeiten von Otto Rank entgegentreten, die in immer größerem Ausmaß dartun, wie sehr das Inzestthema im Mittelpunkte des dichterischen Interesses steht und in ungezählten Variationen und Entstellungen der Poesie den Stoff liefert. Wir sind genötigt zu glauben, daß solche Ablehnung vor allem ein Produkt der tiefen Abneigung des Menschen gegen seine einstigen, seither der Verdrängung verfallenen Inzestwünsche ist. Es ist uns darum nicht unwichtig, an den wilden Völkern zeigen zu können, daß sie die zur späteren Unbewußtheit bestimmten Inzestwünsche des Menschen noch als bedrohlich empfinden und der schärfsten Abwehrmaßregeln für würdig halten.</w:t>
      </w:r>
    </w:p>
    <w:p w:rsidR="00B6748F" w:rsidRDefault="00B6748F">
      <w:pPr>
        <w:rPr>
          <w:rFonts w:ascii="Garamond" w:hAnsi="Garamond"/>
          <w:color w:val="000000"/>
          <w:lang w:val="en-GB"/>
        </w:rPr>
      </w:pPr>
      <w:r>
        <w:rPr>
          <w:rFonts w:ascii="Garamond" w:hAnsi="Garamond"/>
          <w:color w:val="000000"/>
          <w:lang w:val="en-GB"/>
        </w:rPr>
        <w:br w:type="page"/>
      </w:r>
    </w:p>
    <w:p w:rsidR="00B6748F" w:rsidRPr="00751AC0" w:rsidRDefault="00B437A1" w:rsidP="00B6748F">
      <w:pPr>
        <w:rPr>
          <w:rFonts w:ascii="Garamond" w:hAnsi="Garamond"/>
          <w:color w:val="000000"/>
          <w:lang w:val="en-GB"/>
        </w:rPr>
      </w:pPr>
      <w:hyperlink w:anchor="TTinhalt" w:history="1">
        <w:r w:rsidR="00B6748F" w:rsidRPr="00751AC0">
          <w:rPr>
            <w:rStyle w:val="Lienhypertexte"/>
            <w:rFonts w:ascii="Garamond" w:hAnsi="Garamond" w:cs="Arial"/>
            <w:b/>
            <w:bCs/>
            <w:lang w:val="en-GB"/>
          </w:rPr>
          <w:t>II. Da</w:t>
        </w:r>
        <w:bookmarkStart w:id="133" w:name="TT2"/>
        <w:bookmarkEnd w:id="133"/>
        <w:r w:rsidR="00B6748F" w:rsidRPr="00751AC0">
          <w:rPr>
            <w:rStyle w:val="Lienhypertexte"/>
            <w:rFonts w:ascii="Garamond" w:hAnsi="Garamond" w:cs="Arial"/>
            <w:b/>
            <w:bCs/>
            <w:lang w:val="en-GB"/>
          </w:rPr>
          <w:t>s Tabu und die Ambivalenz der Gefühlsregungen</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1</w:t>
      </w:r>
    </w:p>
    <w:p w:rsidR="00B6748F" w:rsidRPr="00751AC0" w:rsidRDefault="00B6748F" w:rsidP="00B6748F">
      <w:pPr>
        <w:rPr>
          <w:rFonts w:ascii="Garamond" w:hAnsi="Garamond"/>
          <w:color w:val="000000"/>
          <w:lang w:val="en-GB"/>
        </w:rPr>
      </w:pPr>
      <w:r w:rsidRPr="00751AC0">
        <w:rPr>
          <w:rFonts w:ascii="Garamond" w:hAnsi="Garamond"/>
          <w:i/>
          <w:iCs/>
          <w:color w:val="000000"/>
          <w:lang w:val="en-GB"/>
        </w:rPr>
        <w:t>Tabu</w:t>
      </w:r>
      <w:r w:rsidRPr="00751AC0">
        <w:rPr>
          <w:rFonts w:ascii="Garamond" w:hAnsi="Garamond"/>
          <w:color w:val="000000"/>
          <w:lang w:val="en-GB"/>
        </w:rPr>
        <w:t xml:space="preserve"> ist ein polynesisches Wort, dessen Übersetzung uns Schwierigkeiten bereitet, weil wir den damit bezeichneten Begriff nicht mehr besitzen. Den alten Römern war er noch geläufig, ihr </w:t>
      </w:r>
      <w:r w:rsidRPr="00751AC0">
        <w:rPr>
          <w:rFonts w:ascii="Garamond" w:hAnsi="Garamond"/>
          <w:i/>
          <w:iCs/>
          <w:color w:val="000000"/>
          <w:lang w:val="en-GB"/>
        </w:rPr>
        <w:t>sacer</w:t>
      </w:r>
      <w:r w:rsidRPr="00751AC0">
        <w:rPr>
          <w:rFonts w:ascii="Garamond" w:hAnsi="Garamond"/>
          <w:color w:val="000000"/>
          <w:lang w:val="en-GB"/>
        </w:rPr>
        <w:t xml:space="preserve"> war dasselbe wie das Tabu der Polynesier. Auch das </w:t>
      </w:r>
      <w:r w:rsidRPr="00751AC0">
        <w:rPr>
          <w:rFonts w:ascii="Garamond" w:hAnsi="Garamond"/>
          <w:color w:val="000000"/>
        </w:rPr>
        <w:t>άγος</w:t>
      </w:r>
      <w:r w:rsidRPr="00751AC0">
        <w:rPr>
          <w:rFonts w:ascii="Garamond" w:hAnsi="Garamond"/>
          <w:color w:val="000000"/>
          <w:lang w:val="en-GB"/>
        </w:rPr>
        <w:t xml:space="preserve"> der Griechen, das </w:t>
      </w:r>
      <w:r w:rsidRPr="00751AC0">
        <w:rPr>
          <w:rFonts w:ascii="Garamond" w:hAnsi="Garamond"/>
          <w:i/>
          <w:iCs/>
          <w:color w:val="000000"/>
          <w:lang w:val="en-GB"/>
        </w:rPr>
        <w:t>Kodausch</w:t>
      </w:r>
      <w:r w:rsidRPr="00751AC0">
        <w:rPr>
          <w:rFonts w:ascii="Garamond" w:hAnsi="Garamond"/>
          <w:color w:val="000000"/>
          <w:lang w:val="en-GB"/>
        </w:rPr>
        <w:t xml:space="preserve"> der Hebräer muß das nämliche bedeutet haben, was die Polynesier durch ihr Tabu, viele Völker in Amerika, Afrika (Madagaskar), Nord- und Zentral-Asien durch analoge Bezeichnungen ausdrücken.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Uns geht die Bedeutung des Tabu nach zwei entgegengesetzten Richtungen auseinander. Es heißt uns einerseits: heilig, geweiht, anderseits: unheimlich, gefährlich, verboten, unrein. Der Gegensatz von Tabu heißt im Polynesischen </w:t>
      </w:r>
      <w:r w:rsidRPr="00751AC0">
        <w:rPr>
          <w:rFonts w:ascii="Garamond" w:hAnsi="Garamond"/>
          <w:i/>
          <w:iCs/>
          <w:color w:val="000000"/>
          <w:lang w:val="en-GB"/>
        </w:rPr>
        <w:t>noa=</w:t>
      </w:r>
      <w:r w:rsidRPr="00751AC0">
        <w:rPr>
          <w:rFonts w:ascii="Garamond" w:hAnsi="Garamond"/>
          <w:color w:val="000000"/>
          <w:lang w:val="en-GB"/>
        </w:rPr>
        <w:t xml:space="preserve"> gewöhnlich, allgemein zugänglich. Somit haftet am Tabu etwas wie der Begriff einer Reserve, das Tabu äußert sich auch wesentlich in Verboten und Einschränkungen. Unsere Zusammensetzung »heilige Scheu« würde sich oft mit dem Sinn des Tabu decken.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 Tabubeschränkungen sind etwas anderes als die religiösen oder moralischen Verbote. Sie werden nicht auf das Gebot eines Gottes zurückgeführt, sondern verbieten sich eigentlich von selbst; von den Moralverboten scheidet sie das Fehlen der Einreihung in ein System, welches ganz allgemein Enthaltungen für notwendig erklärt und diese Notwendigkeit auch begründet. Die Tabuverbote entbehren jeder Begründung; sie sind unbekannter Herkunft; für uns unverständlich, erscheinen sie jenen selbstverständlich, die unter ihrer Herrschaft stehen.</w:t>
      </w:r>
    </w:p>
    <w:p w:rsidR="00B6748F" w:rsidRPr="00751AC0" w:rsidRDefault="00B6748F" w:rsidP="00B6748F">
      <w:pPr>
        <w:rPr>
          <w:rFonts w:ascii="Garamond" w:hAnsi="Garamond"/>
          <w:color w:val="000000"/>
          <w:lang w:val="en-GB"/>
        </w:rPr>
      </w:pPr>
      <w:r w:rsidRPr="00751AC0">
        <w:rPr>
          <w:rFonts w:ascii="Garamond" w:hAnsi="Garamond"/>
          <w:color w:val="000000"/>
          <w:lang w:val="en-GB"/>
        </w:rPr>
        <w:t>Wundt (1906, p. 308) nennt das Tabu den ältesten ungeschriebenen Gesetzeskodex der Menschheit. Es wird allgemein angenommen, daß das Tabu älter ist als die Götter und in die Zeiten vor jeder Religion zurückreicht.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 wir einer unparteiischen Darstellung des Tabu bedürfen, um dieses der psychoanalytischen Betrachtung zu unterziehen, lasse ich nun einen Auszug aus dem Artikel ›Taboo‹ der </w:t>
      </w:r>
      <w:r w:rsidRPr="00751AC0">
        <w:rPr>
          <w:rFonts w:ascii="Garamond" w:hAnsi="Garamond"/>
          <w:i/>
          <w:iCs/>
          <w:color w:val="000000"/>
          <w:lang w:val="en-GB"/>
        </w:rPr>
        <w:t>Encyclopaedia Britannica</w:t>
      </w:r>
      <w:hyperlink r:id="rId46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Elfte Auflage, 1910–11. – Daselbst auch die wichtigsten Literaturnachweise.</w:t>
        </w:r>
      </w:hyperlink>
      <w:r w:rsidRPr="00751AC0">
        <w:rPr>
          <w:rFonts w:ascii="Garamond" w:hAnsi="Garamond"/>
          <w:color w:val="000000"/>
          <w:lang w:val="en-GB"/>
        </w:rPr>
        <w:t xml:space="preserve"> folgen, der den Anthropologen Northcote W. Thomas zum Verfasser hat.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»Strenggenommen umfaßt tabu nur </w:t>
      </w:r>
      <w:r w:rsidRPr="00751AC0">
        <w:rPr>
          <w:rFonts w:ascii="Garamond" w:hAnsi="Garamond"/>
          <w:i/>
          <w:iCs/>
          <w:color w:val="000000"/>
          <w:lang w:val="en-GB"/>
        </w:rPr>
        <w:t>a)</w:t>
      </w:r>
      <w:r w:rsidRPr="00751AC0">
        <w:rPr>
          <w:rFonts w:ascii="Garamond" w:hAnsi="Garamond"/>
          <w:color w:val="000000"/>
          <w:lang w:val="en-GB"/>
        </w:rPr>
        <w:t xml:space="preserve"> den heiligen (oder unreinen) Charakter von Personen oder Dingen, </w:t>
      </w:r>
      <w:r w:rsidRPr="00751AC0">
        <w:rPr>
          <w:rFonts w:ascii="Garamond" w:hAnsi="Garamond"/>
          <w:i/>
          <w:iCs/>
          <w:color w:val="000000"/>
          <w:lang w:val="en-GB"/>
        </w:rPr>
        <w:t>b)</w:t>
      </w:r>
      <w:r w:rsidRPr="00751AC0">
        <w:rPr>
          <w:rFonts w:ascii="Garamond" w:hAnsi="Garamond"/>
          <w:color w:val="000000"/>
          <w:lang w:val="en-GB"/>
        </w:rPr>
        <w:t xml:space="preserve"> die Art der Beschränkung, welche sich aus diesem Charakter ergibt, und </w:t>
      </w:r>
      <w:r w:rsidRPr="00751AC0">
        <w:rPr>
          <w:rFonts w:ascii="Garamond" w:hAnsi="Garamond"/>
          <w:i/>
          <w:iCs/>
          <w:color w:val="000000"/>
          <w:lang w:val="en-GB"/>
        </w:rPr>
        <w:t>c)</w:t>
      </w:r>
      <w:r w:rsidRPr="00751AC0">
        <w:rPr>
          <w:rFonts w:ascii="Garamond" w:hAnsi="Garamond"/>
          <w:color w:val="000000"/>
          <w:lang w:val="en-GB"/>
        </w:rPr>
        <w:t xml:space="preserve"> die Heiligkeit (oder Unreinheit), welche aus der Verletzung dieses Verbotes hervorgeht. Das Gegenteil von tabu heißt in Polynesien › </w:t>
      </w:r>
      <w:r w:rsidRPr="00751AC0">
        <w:rPr>
          <w:rFonts w:ascii="Garamond" w:hAnsi="Garamond"/>
          <w:i/>
          <w:iCs/>
          <w:color w:val="000000"/>
          <w:lang w:val="en-GB"/>
        </w:rPr>
        <w:t>noa</w:t>
      </w:r>
      <w:r w:rsidRPr="00751AC0">
        <w:rPr>
          <w:rFonts w:ascii="Garamond" w:hAnsi="Garamond"/>
          <w:color w:val="000000"/>
          <w:lang w:val="en-GB"/>
        </w:rPr>
        <w:t>‹, was ›gewöhnlich‹ oder ›gemein‹ bedeutet ...«</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einem weiteren Sinne kann man verschiedene Arten von Tabu unterscheiden: 1. Ein </w:t>
      </w:r>
      <w:r w:rsidRPr="00751AC0">
        <w:rPr>
          <w:rFonts w:ascii="Garamond" w:hAnsi="Garamond"/>
          <w:i/>
          <w:iCs/>
          <w:color w:val="000000"/>
          <w:lang w:val="en-GB"/>
        </w:rPr>
        <w:t>natürliches</w:t>
      </w:r>
      <w:r w:rsidRPr="00751AC0">
        <w:rPr>
          <w:rFonts w:ascii="Garamond" w:hAnsi="Garamond"/>
          <w:color w:val="000000"/>
          <w:lang w:val="en-GB"/>
        </w:rPr>
        <w:t xml:space="preserve"> oder direktes Tabu, welches das Ergebnis einer geheimnisvollen Kraft ( </w:t>
      </w:r>
      <w:r w:rsidRPr="00751AC0">
        <w:rPr>
          <w:rFonts w:ascii="Garamond" w:hAnsi="Garamond"/>
          <w:i/>
          <w:iCs/>
          <w:color w:val="000000"/>
          <w:lang w:val="en-GB"/>
        </w:rPr>
        <w:t>Mana</w:t>
      </w:r>
      <w:r w:rsidRPr="00751AC0">
        <w:rPr>
          <w:rFonts w:ascii="Garamond" w:hAnsi="Garamond"/>
          <w:color w:val="000000"/>
          <w:lang w:val="en-GB"/>
        </w:rPr>
        <w:t xml:space="preserve">) ist, die an einer Person oder Sache haftet; 2. ein </w:t>
      </w:r>
      <w:r w:rsidRPr="00751AC0">
        <w:rPr>
          <w:rFonts w:ascii="Garamond" w:hAnsi="Garamond"/>
          <w:i/>
          <w:iCs/>
          <w:color w:val="000000"/>
          <w:lang w:val="en-GB"/>
        </w:rPr>
        <w:t>mitgeteiltes</w:t>
      </w:r>
      <w:r w:rsidRPr="00751AC0">
        <w:rPr>
          <w:rFonts w:ascii="Garamond" w:hAnsi="Garamond"/>
          <w:color w:val="000000"/>
          <w:lang w:val="en-GB"/>
        </w:rPr>
        <w:t xml:space="preserve"> oder indirektes Tabu, das auch von jener Kraft ausgeht, aber entweder </w:t>
      </w:r>
      <w:r w:rsidRPr="00751AC0">
        <w:rPr>
          <w:rFonts w:ascii="Garamond" w:hAnsi="Garamond"/>
          <w:i/>
          <w:iCs/>
          <w:color w:val="000000"/>
          <w:lang w:val="en-GB"/>
        </w:rPr>
        <w:t>a)</w:t>
      </w:r>
      <w:r w:rsidRPr="00751AC0">
        <w:rPr>
          <w:rFonts w:ascii="Garamond" w:hAnsi="Garamond"/>
          <w:color w:val="000000"/>
          <w:lang w:val="en-GB"/>
        </w:rPr>
        <w:t xml:space="preserve"> erworben ist, oder </w:t>
      </w:r>
      <w:r w:rsidRPr="00751AC0">
        <w:rPr>
          <w:rFonts w:ascii="Garamond" w:hAnsi="Garamond"/>
          <w:i/>
          <w:iCs/>
          <w:color w:val="000000"/>
          <w:lang w:val="en-GB"/>
        </w:rPr>
        <w:t>b)</w:t>
      </w:r>
      <w:r w:rsidRPr="00751AC0">
        <w:rPr>
          <w:rFonts w:ascii="Garamond" w:hAnsi="Garamond"/>
          <w:color w:val="000000"/>
          <w:lang w:val="en-GB"/>
        </w:rPr>
        <w:t xml:space="preserve"> von einem Priester, Häuptling oder sonst jemandem übertragen; endlich 3. ein Tabu, das zwischen den beiden anderen die Mitte hält, wenn nämlich beide Faktoren in Betracht kommen, wie z. B. bei der Aneignung eines Weibes durch einen Mann ...« Der Name Tabu wird auch auf andere rituelle Beschränkungen angewendet, aber man sollte alles, was besser religiöses Verbot heißen könnte, nicht zum Tabu rechnen.«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Ziele des Tabu sind mannigfacher Art: Direkte Tabu bezwecken </w:t>
      </w:r>
      <w:r w:rsidRPr="00751AC0">
        <w:rPr>
          <w:rFonts w:ascii="Garamond" w:hAnsi="Garamond"/>
          <w:i/>
          <w:iCs/>
          <w:color w:val="000000"/>
          <w:lang w:val="en-GB"/>
        </w:rPr>
        <w:t>a)</w:t>
      </w:r>
      <w:r w:rsidRPr="00751AC0">
        <w:rPr>
          <w:rFonts w:ascii="Garamond" w:hAnsi="Garamond"/>
          <w:color w:val="000000"/>
          <w:lang w:val="en-GB"/>
        </w:rPr>
        <w:t xml:space="preserve"> den Schutz bedeutsamer Personen wie Häuptlinge, Priester und Gegenstände u. dgl. gegen mögliche Schädigung; </w:t>
      </w:r>
      <w:r w:rsidRPr="00751AC0">
        <w:rPr>
          <w:rFonts w:ascii="Garamond" w:hAnsi="Garamond"/>
          <w:i/>
          <w:iCs/>
          <w:color w:val="000000"/>
          <w:lang w:val="en-GB"/>
        </w:rPr>
        <w:t>b)</w:t>
      </w:r>
      <w:r w:rsidRPr="00751AC0">
        <w:rPr>
          <w:rFonts w:ascii="Garamond" w:hAnsi="Garamond"/>
          <w:color w:val="000000"/>
          <w:lang w:val="en-GB"/>
        </w:rPr>
        <w:t xml:space="preserve"> die Sicherung der Schwachen – Frauen, Kinder und gewöhnlicher Menschen im allgemeinen – gegen das mächtige Mana (die magische Kraft) der Priester und Häuptlinge; </w:t>
      </w:r>
      <w:r w:rsidRPr="00751AC0">
        <w:rPr>
          <w:rFonts w:ascii="Garamond" w:hAnsi="Garamond"/>
          <w:i/>
          <w:iCs/>
          <w:color w:val="000000"/>
          <w:lang w:val="en-GB"/>
        </w:rPr>
        <w:t>c)</w:t>
      </w:r>
      <w:r w:rsidRPr="00751AC0">
        <w:rPr>
          <w:rFonts w:ascii="Garamond" w:hAnsi="Garamond"/>
          <w:color w:val="000000"/>
          <w:lang w:val="en-GB"/>
        </w:rPr>
        <w:t xml:space="preserve"> den Schutz gegen Gefahren, die mit der Berührung von Leichen, mit dem Genuß gewisser Speisen usw. verbunden sind; </w:t>
      </w:r>
      <w:r w:rsidRPr="00751AC0">
        <w:rPr>
          <w:rFonts w:ascii="Garamond" w:hAnsi="Garamond"/>
          <w:i/>
          <w:iCs/>
          <w:color w:val="000000"/>
          <w:lang w:val="en-GB"/>
        </w:rPr>
        <w:t>d)</w:t>
      </w:r>
      <w:r w:rsidRPr="00751AC0">
        <w:rPr>
          <w:rFonts w:ascii="Garamond" w:hAnsi="Garamond"/>
          <w:color w:val="000000"/>
          <w:lang w:val="en-GB"/>
        </w:rPr>
        <w:t xml:space="preserve"> die Versicherung gegen die Störung wichtiger Lebensakte wie Geburt, Männerweihe, Heirat, sexuelle Tätigkeiten; </w:t>
      </w:r>
      <w:r w:rsidRPr="00751AC0">
        <w:rPr>
          <w:rFonts w:ascii="Garamond" w:hAnsi="Garamond"/>
          <w:i/>
          <w:iCs/>
          <w:color w:val="000000"/>
          <w:lang w:val="en-GB"/>
        </w:rPr>
        <w:t>e)</w:t>
      </w:r>
      <w:r w:rsidRPr="00751AC0">
        <w:rPr>
          <w:rFonts w:ascii="Garamond" w:hAnsi="Garamond"/>
          <w:color w:val="000000"/>
          <w:lang w:val="en-GB"/>
        </w:rPr>
        <w:t xml:space="preserve"> den Schutz </w:t>
      </w:r>
      <w:r w:rsidRPr="00751AC0">
        <w:rPr>
          <w:rFonts w:ascii="Garamond" w:hAnsi="Garamond"/>
          <w:color w:val="000000"/>
          <w:lang w:val="en-GB"/>
        </w:rPr>
        <w:lastRenderedPageBreak/>
        <w:t xml:space="preserve">menschlicher Wesen gegen die Macht oder den Zorn von Göttern und Dämonen </w:t>
      </w:r>
      <w:hyperlink r:id="rId46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Diese Verwendung des Tabu kann auch als eine nicht ursprüngliche in diesem Zusammenhange beiseite gelassen werden.</w:t>
        </w:r>
      </w:hyperlink>
      <w:r w:rsidRPr="00751AC0">
        <w:rPr>
          <w:rFonts w:ascii="Garamond" w:hAnsi="Garamond"/>
          <w:color w:val="000000"/>
          <w:lang w:val="en-GB"/>
        </w:rPr>
        <w:t xml:space="preserve">; </w:t>
      </w:r>
      <w:r w:rsidRPr="00751AC0">
        <w:rPr>
          <w:rFonts w:ascii="Garamond" w:hAnsi="Garamond"/>
          <w:i/>
          <w:iCs/>
          <w:color w:val="000000"/>
          <w:lang w:val="en-GB"/>
        </w:rPr>
        <w:t>f)</w:t>
      </w:r>
      <w:r w:rsidRPr="00751AC0">
        <w:rPr>
          <w:rFonts w:ascii="Garamond" w:hAnsi="Garamond"/>
          <w:color w:val="000000"/>
          <w:lang w:val="en-GB"/>
        </w:rPr>
        <w:t xml:space="preserve"> die Behütung Ungeborener und kleiner Kinder gegen die mannigfachen Gefahren, die ihnen infolge ihrer besonderen sympathetischen Abhängigkeit von ihren Eltern drohen, wenn diese z. B. gewisse Dinge tun oder Speisen zu sich nehmen, deren Genuß den. Kindern besondere Eigenschaften übertragen könnte. Eine andere Verwendung des Tabu ist die zum Schutze des Eigentums einer Person, ihrer Werkzeuge, ihres Feldes usw. gegen Diebe ...«</w:t>
      </w:r>
    </w:p>
    <w:p w:rsidR="00B6748F" w:rsidRPr="00751AC0" w:rsidRDefault="00B6748F" w:rsidP="00B6748F">
      <w:pPr>
        <w:rPr>
          <w:rFonts w:ascii="Garamond" w:hAnsi="Garamond"/>
          <w:color w:val="000000"/>
          <w:lang w:val="en-GB"/>
        </w:rPr>
      </w:pPr>
      <w:r w:rsidRPr="00751AC0">
        <w:rPr>
          <w:rFonts w:ascii="Garamond" w:hAnsi="Garamond"/>
          <w:color w:val="000000"/>
          <w:lang w:val="en-GB"/>
        </w:rPr>
        <w:t>»Die Strafe für die Übertretung eines Tabu wird wohl ursprünglich einer inneren, automatisch wirkenden Einrichtung überlassen. Das verletzte Tabu rächt sich selbst. Wenn Vorstellungen von Göttern und Dämonen hinzukommen, mit denen das Tabu in Beziehung tritt, so wird von der Macht der Gottheit eine automatische Bestrafung erwartet. In anderen Fällen, wahrscheinlich infolge einer weiteren Entwicklung des Begriffes, übernimmt die Gesellschaft die Bestrafung des Verwegenen, dessen Vorgehen seine Genossen in Gefahr gebracht hat. So knüpfen auch die ersten Strafsysteme der Menschheit an das Tabu an.«</w:t>
      </w:r>
    </w:p>
    <w:p w:rsidR="00B6748F" w:rsidRPr="00751AC0" w:rsidRDefault="00B6748F" w:rsidP="00B6748F">
      <w:pPr>
        <w:rPr>
          <w:rFonts w:ascii="Garamond" w:hAnsi="Garamond"/>
          <w:color w:val="000000"/>
          <w:lang w:val="en-GB"/>
        </w:rPr>
      </w:pPr>
      <w:r w:rsidRPr="00751AC0">
        <w:rPr>
          <w:rFonts w:ascii="Garamond" w:hAnsi="Garamond"/>
          <w:color w:val="000000"/>
          <w:lang w:val="en-GB"/>
        </w:rPr>
        <w:t>»Wer ein Tabu übertreten hat, der ist dadurch selbst tabu geworden ...« Gewisse Gefahren, die aus der Verletzung eines Tabu entstehen, können durch Bußhandlungen und Reinigungszeremonien beschworen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»Als die Quelle des Tabu wird eine eigentümliche Zauberkraft angesehen, die an Personen und Geistern haftet und von ihnen aus durch unbelebte Gegenstände hindurch übertragen werden kann. »Personen oder Dinge, die tabu sind, können mit elektrisch geladenen Gegenständen verglichen werden; sie sind der Sitz einer furchtbaren Kraft, welche sich durch Berührung mitteilt und mit unheilvollen Wirkungen entbunden wird, wenn der Organismus, der die Entladung hervorruft, zu schwach ist, ihr zu widerstehen. Der Erfolg einer Verletzung des Tabu hängt also nicht nur von der Intensität der magischen Kraft ab, die an dem Tabuobjekt haftet, sondern auch von der Stärke des Mana, die sich dieser Kraft bei dem Frevler entgegensetzt. So sind z. B. Könige und Priester Inhaber einer großartigen Kraft, und es wäre Tod für ihre Untertanen, in unmittelbare Berührung mit ihnen zu treten, aber ein Minister oder eine andere Person von mehr als gewöhnlichem Mana kann ungefährdet mit ihnen verkehren, und diese Mittelspersonen können wiederum ihren Untergebenen ihre Annäherung gestatten, ohne sie in Gefahr zu bringen ... Auch mitgeteilte Tabu hängen in ihrer Bedeutung von dem Mana der Person ab, von der sie ausgehen; wenn ein König oder Priester ein Tabu auferlegt, ist es wirksamer, als wenn es von einem gewöhnlichen Menschen käme ...«</w:t>
      </w:r>
    </w:p>
    <w:p w:rsidR="00B6748F" w:rsidRPr="00751AC0" w:rsidRDefault="00B6748F" w:rsidP="00B6748F">
      <w:pPr>
        <w:rPr>
          <w:rFonts w:ascii="Garamond" w:hAnsi="Garamond"/>
          <w:color w:val="000000"/>
          <w:lang w:val="en-GB"/>
        </w:rPr>
      </w:pPr>
      <w:r w:rsidRPr="00751AC0">
        <w:rPr>
          <w:rFonts w:ascii="Garamond" w:hAnsi="Garamond"/>
          <w:color w:val="000000"/>
          <w:lang w:val="en-GB"/>
        </w:rPr>
        <w:t>»Die Übertragbarkeit eines Tabu ist wohl jener Charakter, der dazu Veranlassung gegeben hat, seine Beseitigung durch Sühnezeremonien zu versuchen.«</w:t>
      </w:r>
    </w:p>
    <w:p w:rsidR="00B6748F" w:rsidRPr="00751AC0" w:rsidRDefault="00B6748F" w:rsidP="00B6748F">
      <w:pPr>
        <w:rPr>
          <w:rFonts w:ascii="Garamond" w:hAnsi="Garamond"/>
          <w:color w:val="000000"/>
          <w:lang w:val="en-GB"/>
        </w:rPr>
      </w:pPr>
      <w:r w:rsidRPr="00751AC0">
        <w:rPr>
          <w:rFonts w:ascii="Garamond" w:hAnsi="Garamond"/>
          <w:color w:val="000000"/>
        </w:rPr>
        <w:t xml:space="preserve">»Es gibt permanente und zeitweilige Tabu. </w:t>
      </w:r>
      <w:r w:rsidRPr="00751AC0">
        <w:rPr>
          <w:rFonts w:ascii="Garamond" w:hAnsi="Garamond"/>
          <w:color w:val="000000"/>
          <w:lang w:val="en-GB"/>
        </w:rPr>
        <w:t>Priester und Häuptlinge sind das erstere, ebenso Tote und alles, was zu ihnen gehört hat. Zeitweilige Tabu schließen sich an gewisse Zustände an, so an die Menstruation und das Kindbett, an den Stand des Kriegers vor und nach der Expedition, an die Tätigkeiten des Fischens und Jagens u. dgl. Ein allgemeines Tabu kann auch wie das kirchliche Interdikt über einen großen Bezirk verhängt werden und dann jahrelang anhalten.«</w:t>
      </w:r>
    </w:p>
    <w:p w:rsidR="00B6748F" w:rsidRPr="00751AC0" w:rsidRDefault="00B6748F" w:rsidP="00B6748F">
      <w:pPr>
        <w:rPr>
          <w:rFonts w:ascii="Garamond" w:hAnsi="Garamond"/>
          <w:color w:val="000000"/>
          <w:lang w:val="en-GB"/>
        </w:rPr>
      </w:pPr>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Wenn ich die Eindrücke meiner Leser richtig abzuschätzen weiß, so getraue ich </w:t>
      </w:r>
      <w:smartTag w:uri="urn:schemas-microsoft-com:office:smarttags" w:element="State">
        <w:smartTag w:uri="urn:schemas-microsoft-com:office:smarttags" w:element="place">
          <w:r w:rsidRPr="00751AC0">
            <w:rPr>
              <w:rFonts w:ascii="Garamond" w:hAnsi="Garamond"/>
              <w:color w:val="000000"/>
              <w:lang w:val="en-GB"/>
            </w:rPr>
            <w:t>mich</w:t>
          </w:r>
        </w:smartTag>
      </w:smartTag>
      <w:r w:rsidRPr="00751AC0">
        <w:rPr>
          <w:rFonts w:ascii="Garamond" w:hAnsi="Garamond"/>
          <w:color w:val="000000"/>
          <w:lang w:val="en-GB"/>
        </w:rPr>
        <w:t xml:space="preserve"> jetzt der Behauptung, sie wüßten nach all diesen Mitteilungen über das Tabu erst recht nicht, was sie sich darunter vorzustellen haben und wo sie es in ihrem Denken unterbringen können. Dies ist sicherlich die Folge der ungenügenden Information, die sie von mir erhalten haben, und des Wegfalls aller Erörterungen über die Beziehung des Tabu zum Aberglauben, zum Seelenglauben und zur Religion. Aber anderseits fürchte ich, </w:t>
      </w:r>
      <w:r w:rsidRPr="00751AC0">
        <w:rPr>
          <w:rFonts w:ascii="Garamond" w:hAnsi="Garamond"/>
          <w:color w:val="000000"/>
          <w:lang w:val="en-GB"/>
        </w:rPr>
        <w:lastRenderedPageBreak/>
        <w:t>eine eingehendere Schilderung dessen, was man über das Tabu weiß, hätte noch verwirrender gewirkt, und darf versichern, daß die Sachlage in Wirklichkeit recht undurchsichtig ist. Es handelt sich also um eine Reihe von Einschränkungen, denen sich diese primitiven Völker unterwerfen; dies und jenes ist verboten, sie wissen nicht warum, es fällt ihnen auch nicht ein, danach zu fragen, sondern sie unterwerfen sich ihnen wie selbstverständlich und sind überzeugt, daß eine Übertretung sich von selbst auf die härteste Weise strafen wird. Es liegen zuverlässige Berichte vor, daß die unwissentliche Übertretung eines solchen Verbotes sich tatsächlich automatisch gestraft hat. Der unschuldige Missetäter, der z. B. von einem ihm verbotenen Tier gegessen hat, wird tief deprimiert, erwartet seinen Tod und stirbt dann in allem Ernst. Die Verbote betreffen meist Genußfähigkeit, Bewegungs- und Verkehrsfreiheit; sie scheinen in manchen Fällen sinnreich, sollen offenbar Enthaltungen und Entsagungen bedeuten, in anderen Fällen sind sie ihrem Inhalt nach ganz unverständlich, betreffen wertlose Kleinigkeiten, scheinen ganz von der Art eines Zeremoniells zu sein. All diesen Verboten scheint etwas wie eine Theorie zugrunde zu liegen, als ob die Verbote notwendig wären, weil gewissen Personen und Dingen eine gefährliche Kraft zu eigen ist, die sich durch Berührung mit dem so geladenen Objekt überträgt, fast wie eine Ansteckung. Es wird auch die Quantität dieser gefährlichen Eigenschaft in Betracht gezogen. Der eine oder das eine hat mehr davon als der andere, und die Gefahr richtet sich geradezu nach der Differenz der Ladungen. Das Sonderbarste daran ist wohl, daß wer es zustande gebracht hat, ein solches Verbot zu übertreten, selbst den Charakter des Verbotenen gewonnen, gleichsam die ganze gefährliche Ladung auf sich genommen hat. Diese Kraft haftet nun an allen Personen, die etwas Besonderes sind, wie Könige, Priester, Neugeborene, an allen Ausnahmszuständen, wie die körperlichen der Menstruation, der Pubertät, der Geburt, an allem Unheimlichen, wie Krankheit und Tod, und was kraft der Ansteckungs- oder Ausbreitungsfähigkeit damit zusammenhängt.</w:t>
      </w:r>
    </w:p>
    <w:p w:rsidR="00B6748F" w:rsidRPr="00751AC0" w:rsidRDefault="00B6748F" w:rsidP="00B6748F">
      <w:pPr>
        <w:rPr>
          <w:rFonts w:ascii="Garamond" w:hAnsi="Garamond"/>
          <w:color w:val="000000"/>
          <w:lang w:val="en-GB"/>
        </w:rPr>
      </w:pPr>
      <w:r w:rsidRPr="00751AC0">
        <w:rPr>
          <w:rFonts w:ascii="Garamond" w:hAnsi="Garamond"/>
          <w:color w:val="000000"/>
          <w:lang w:val="en-GB"/>
        </w:rPr>
        <w:t>»Tabu« heißt aber alles, sowohl die Personen als auch die Örtlichkeiten, Gegenstände und die vorübergehenden Zustände, welche Träger oder Quelle dieser geheimnisvollen Eigenschaft sind. Tabu heißt auch das Verbot, welches sich aus dieser Eigenschaft herleitet, und Tabu heißt endlich seinem Wortsinn nach etwas, was zugleich heilig, über das Gewöhnliche erhaben, wie auch gefährlich, unrein, unheimlich umfaßt.</w:t>
      </w:r>
    </w:p>
    <w:p w:rsidR="00B6748F" w:rsidRPr="00751AC0" w:rsidRDefault="00B6748F" w:rsidP="00B6748F">
      <w:pPr>
        <w:rPr>
          <w:rFonts w:ascii="Garamond" w:hAnsi="Garamond"/>
          <w:color w:val="000000"/>
          <w:lang w:val="en-GB"/>
        </w:rPr>
      </w:pPr>
      <w:r w:rsidRPr="00751AC0">
        <w:rPr>
          <w:rFonts w:ascii="Garamond" w:hAnsi="Garamond"/>
          <w:color w:val="000000"/>
          <w:lang w:val="en-GB"/>
        </w:rPr>
        <w:t>In diesem Wort und in dem System, das es bezeichnet, drückt sich ein Stück Seelenleben aus, dessen Verständnis uns wirklich nicht nahegerückt erscheint. Vor allem sollte man meinen, daß man sich diesem Verständnis nicht nähern könne, ohne auf den für so tiefstehende Kulturen charakteristischen Glauben an Geister und Dämonen einzugehen.</w:t>
      </w:r>
    </w:p>
    <w:p w:rsidR="00B6748F" w:rsidRPr="00751AC0" w:rsidRDefault="00B6748F" w:rsidP="00B6748F">
      <w:pPr>
        <w:rPr>
          <w:rFonts w:ascii="Garamond" w:hAnsi="Garamond"/>
          <w:color w:val="000000"/>
          <w:lang w:val="en-GB"/>
        </w:rPr>
      </w:pPr>
      <w:r w:rsidRPr="00751AC0">
        <w:rPr>
          <w:rFonts w:ascii="Garamond" w:hAnsi="Garamond"/>
          <w:color w:val="000000"/>
          <w:lang w:val="en-GB"/>
        </w:rPr>
        <w:t>Warum sollen wir überhaupt unser Interesse an das Rätsel des Tabu wenden? Ich meine, nicht nur, weil jedes psychologische Problem an sich des Versuches einer Lösung wert ist, sondern auch noch aus anderen Gründen. Es darf uns ahnen, daß das Tabu der Wilden Polynesiens doch nicht so weit von uns abliegt, wie wir zuerst glauben wollten, daß die Sitten- und Moralverbote, denen wir selbst gehorchen, in ihrem Wesen eine Verwandtschaft mit diesem primitiven Tabu haben könnten und daß die Aufklärung des Tabu ein Licht auf den dunkeln Ursprung unseres eigenen »kategorischen Imperativs« zu werfen vermöchte.</w:t>
      </w:r>
    </w:p>
    <w:p w:rsidR="00B6748F" w:rsidRPr="00751AC0" w:rsidRDefault="00B6748F" w:rsidP="00B6748F">
      <w:pPr>
        <w:rPr>
          <w:rFonts w:ascii="Garamond" w:hAnsi="Garamond"/>
          <w:color w:val="000000"/>
          <w:lang w:val="en-GB"/>
        </w:rPr>
      </w:pPr>
      <w:r w:rsidRPr="00751AC0">
        <w:rPr>
          <w:rFonts w:ascii="Garamond" w:hAnsi="Garamond"/>
          <w:color w:val="000000"/>
          <w:lang w:val="en-GB"/>
        </w:rPr>
        <w:t>Wir werden also in besonders erwartungsvoller Spannung aufhorchen, wenn ein Forscher wie W. Wundt uns seine Auffassung des Tabu mitteilt, zumal da er verspricht, »zu den letzten Wurzeln der Tabuvorstellungen zurückzugehen« (1906, p. 301).</w:t>
      </w:r>
    </w:p>
    <w:p w:rsidR="00B6748F" w:rsidRPr="00751AC0" w:rsidRDefault="00B6748F" w:rsidP="00B6748F">
      <w:pPr>
        <w:rPr>
          <w:rFonts w:ascii="Garamond" w:hAnsi="Garamond"/>
          <w:color w:val="000000"/>
          <w:lang w:val="en-GB"/>
        </w:rPr>
      </w:pPr>
      <w:r w:rsidRPr="00751AC0">
        <w:rPr>
          <w:rFonts w:ascii="Garamond" w:hAnsi="Garamond"/>
          <w:color w:val="000000"/>
          <w:lang w:val="en-GB"/>
        </w:rPr>
        <w:t>Vom Begriff des Tabu sagt Wundt, daß es »alle die Bräuche umfaßt, in denen sich die Scheu vor bestimmten mit den kultischen Vorstellungen zusammenhängenden Objekten oder vor den sich auf diese beziehenden Handlungen ausdrückt «. (Ibid., 237.)</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Ein andermal: »Verstehen wir darunter (unter dem Tabu), wie es dem allgemeinen Sinne des Wortes entspricht, jedes in Brauch und Sitte oder in ausdrücklich formulierten Gesetzen niedergelegte Verbot, einen Gegenstand zu berühren, zu eigenem Gebrauch in Anspruch zu nehmen oder gewisse verpönte Worte zu gebrauchen ...«, so gebe es überhaupt kein Volk und keine Kulturstufe, die der Schädigung durch das Tabu entgangen wäre.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Wundt führt dann aus, weshalb es ihm zweckmäßiger erscheint, die Natur des Tabu an den primitiven Verhältnissen der australischen Wilden als in der höheren Kultur der polynesischen Völker zu studieren. Bei den Australiern ordnet er die Tabuverbote in drei Klassen, je nachdem sie Tiere, Menschen oder andere Objekte betreffen. Das Tabu der Tiere, das wesentlich im Verbot des Tötens und Verzehrens besteht, bildet den Kern des </w:t>
      </w:r>
      <w:r w:rsidRPr="00751AC0">
        <w:rPr>
          <w:rFonts w:ascii="Garamond" w:hAnsi="Garamond"/>
          <w:i/>
          <w:iCs/>
          <w:color w:val="000000"/>
          <w:lang w:val="en-GB"/>
        </w:rPr>
        <w:t>Totemismus</w:t>
      </w:r>
      <w:hyperlink r:id="rId46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darüber die erste und die letzte Abhandlung dieses Buches.</w:t>
        </w:r>
      </w:hyperlink>
      <w:r w:rsidRPr="00751AC0">
        <w:rPr>
          <w:rFonts w:ascii="Garamond" w:hAnsi="Garamond"/>
          <w:color w:val="000000"/>
          <w:lang w:val="en-GB"/>
        </w:rPr>
        <w:t>. Das Tabu der zweiten Art, das den Menschen zu seinem Objekt hat, ist wesentlich anderen Charakters. Es ist von vornherein auf Bedingungen eingeschränkt, die für den Tabuierten eine ungewöhnliche Lebenslage herbeiführen. So sind Jünglinge tabu beim Fest der Männerweihe, Frauen während der Menstruation und unmittelbar nach der Geburt, neugeborene Kinder, Kranke und vor allem die Toten. Auf dem fortwährend gebrauchten Eigentum eines Menschen liegt ein dauerndes Tabu für jeden anderen; so auf seinen Kleidern, Werkzeugen und Waffen. Zum persönlichsten Eigentum gehört in Australien auch der neue Name, den ein Knabe bei seiner Männerweihe erhält, dieser ist tabu und muß geheimgehalten werden. Die Tabu der dritten Art, die auf Bäumen, Pflanzen, Häusern, Örtlichkeiten ruhen, sind veränderlicher, scheinen nur der Regel zu folgen, daß dem Tabu unterworfen wird, was aus irgendwelcher Ursache Scheu erregt oder unheimlich ist.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Veränderungen, die das Tabu in der reicheren Kultur der Polynesier und der malaiischen Inselwelt erfährt, muß Wundt selbst für nicht sehr tiefgehend erklären. Die stärkere soziale Differenzierung dieser Völker macht sich darin geltend, daß Häuptlinge, Könige und Priester ein besonders wirksames Tabu ausüben und selbst dem stärksten Zwang des Tabu ausgesetzt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eigentlichen Quellen des Tabu liegen aber tiefer als in den Interessen der privilegierten Stände; »sie entspringen da, wo die primitivsten und zugleich dauerndsten menschlichen Triebe ihren Ursprung nehmen, </w:t>
      </w:r>
      <w:r w:rsidRPr="00751AC0">
        <w:rPr>
          <w:rFonts w:ascii="Garamond" w:hAnsi="Garamond"/>
          <w:i/>
          <w:iCs/>
          <w:color w:val="000000"/>
          <w:lang w:val="en-GB"/>
        </w:rPr>
        <w:t>in der Furcht vor der Wirkung dämonischer Mächte</w:t>
      </w:r>
      <w:r w:rsidRPr="00751AC0">
        <w:rPr>
          <w:rFonts w:ascii="Garamond" w:hAnsi="Garamond"/>
          <w:color w:val="000000"/>
          <w:lang w:val="en-GB"/>
        </w:rPr>
        <w:t>.« (l. c., p. 307.) »Ursprünglich nichts anderes als die objektiv gewordene Furcht vor der in dem tabuierten Gegenstand verborgen gedachten dämonischen Macht, verbietet das Tabu, diese Macht zu reizen, und es gebietet, wo es wissentlich oder unwissentlich verletzt worden ist, die Rache des Dämons zu beseitigen.«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Allmählich wird dann das Tabu zu einer in sich selbst begründeten Macht, die sich vom Dämonismus losgelöst hat. Es wird zum Zwang der Sitte und des Herkommens und schließlich des Gesetzes. »Das Gebot aber, das unausgesprochen hinter den nach Ort und Zeit mannigfach wechselnden Tabuverboten steht, ist ursprünglich das </w:t>
      </w:r>
      <w:r w:rsidRPr="00751AC0">
        <w:rPr>
          <w:rFonts w:ascii="Garamond" w:hAnsi="Garamond"/>
          <w:i/>
          <w:iCs/>
          <w:color w:val="000000"/>
          <w:lang w:val="en-GB"/>
        </w:rPr>
        <w:t>eine</w:t>
      </w:r>
      <w:r w:rsidRPr="00751AC0">
        <w:rPr>
          <w:rFonts w:ascii="Garamond" w:hAnsi="Garamond"/>
          <w:color w:val="000000"/>
          <w:lang w:val="en-GB"/>
        </w:rPr>
        <w:t>: Hüte dich vor dem Zorn der Dämonen.«</w:t>
      </w:r>
    </w:p>
    <w:p w:rsidR="00B6748F" w:rsidRPr="00751AC0" w:rsidRDefault="00B6748F" w:rsidP="00B6748F">
      <w:pPr>
        <w:rPr>
          <w:rFonts w:ascii="Garamond" w:hAnsi="Garamond"/>
          <w:color w:val="000000"/>
          <w:lang w:val="en-GB"/>
        </w:rPr>
      </w:pPr>
      <w:r w:rsidRPr="00751AC0">
        <w:rPr>
          <w:rFonts w:ascii="Garamond" w:hAnsi="Garamond"/>
          <w:color w:val="000000"/>
          <w:lang w:val="en-GB"/>
        </w:rPr>
        <w:t>Wundt lehrt uns also, das Tabu sei ein Ausdruck und Ausfluß des Glaubens der primitiven Völker an dämonische Mächte. Später habe sich das Tabu von dieser Wurzel losgelöst und sei eine Macht geblieben, einfach weil es eine solche war, infolge einer Art von psychischer Beharrung; so sei es selbst die Wurzel unserer Sittengebote und unserer Gesetze geworden. So wenig nun der erste dieser Sätze zum Widerspruch reizen kann, so glaube ich doch dem Eindruck vieler Leser Worte zu leihen, wenn ich die Aufklärung Wundts als eine Enttäuschung anspreche. Das heißt wohl nicht, zu den Quellen der Tabuvorstellungen heruntergehen oder ihre letzten Wurzeln aufzeigen. Weder die Angst noch die Dämonen können in der Psychologie als letzte Dinge gewertet werden, die jeder weiteren Zurückführung trotzen. Es wäre anders, wenn die Dämonen wirklich existierten; aber wir wissen ja, sie sind selbst wie die Götter Schöpfungen der Seelenkräfte des Menschen; sie sind von etwas und aus etwas geschaffen worden.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Über die Doppelbedeutung des Tabu äußert Wundt bedeutsame, aber nicht ganz klar zu fassende Ansichten. Für die primitiven Anfänge des Tabu besteht nach ihm eine Scheidung von </w:t>
      </w:r>
      <w:r w:rsidRPr="00751AC0">
        <w:rPr>
          <w:rFonts w:ascii="Garamond" w:hAnsi="Garamond"/>
          <w:i/>
          <w:iCs/>
          <w:color w:val="000000"/>
          <w:lang w:val="en-GB"/>
        </w:rPr>
        <w:t>heilig</w:t>
      </w:r>
      <w:r w:rsidRPr="00751AC0">
        <w:rPr>
          <w:rFonts w:ascii="Garamond" w:hAnsi="Garamond"/>
          <w:color w:val="000000"/>
          <w:lang w:val="en-GB"/>
        </w:rPr>
        <w:t xml:space="preserve"> und </w:t>
      </w:r>
      <w:r w:rsidRPr="00751AC0">
        <w:rPr>
          <w:rFonts w:ascii="Garamond" w:hAnsi="Garamond"/>
          <w:i/>
          <w:iCs/>
          <w:color w:val="000000"/>
          <w:lang w:val="en-GB"/>
        </w:rPr>
        <w:t>unrein</w:t>
      </w:r>
      <w:r w:rsidRPr="00751AC0">
        <w:rPr>
          <w:rFonts w:ascii="Garamond" w:hAnsi="Garamond"/>
          <w:color w:val="000000"/>
          <w:lang w:val="en-GB"/>
        </w:rPr>
        <w:t xml:space="preserve"> noch nicht. Eben darum fehlen hier jene Begriffe überhaupt in der Bedeutung, die sie eben erst durch den Gegensatz, in den sie zueinander traten, annehmen konnten. Das Tier, der Mensch, der Ort, auf dem ein Tabu ruht, sind dämonisch, nicht heilig und darum auch noch nicht in dem späteren Sinne unrein. Gerade für diese noch indifferent in der Mitte stehende Bedeutung des Dämonischen, das nicht berührt werden darf, ist der Ausdruck Tabu wohl geeignet, da er ein Merkmal hervorhebt, das schließlich dem Heiligen wie dem Unreinen für alle Zeiten gemeinsam bleibt: die Scheu vor seiner Berührung. In dieser bleibenden Gemeinschaft eines wichtigen Merkmals liegt aber zugleich ein Hinweis darauf, daß hier zwischen beiden Gebieten eine ursprüngliche Übereinstimmung obwaltet, die erst infolge weiterer Bedingungen einer Differenzierung gewichen ist, durch welche sich beide schließlich zu Gegensätzen entwickelt haben.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dem ursprünglichen Tabu eigene Glaube an eine dämonische Macht, die in dem Gegenstand verborgen ist und dessen Berührung oder unerlaubte Verwendung durch Verzauberung des Täters rächt, ist eben noch ganz und ausschließlich die objektivierte Furcht. Diese hat sich noch nicht in die beiden Formen gesondert, die sie auf einer entwickelten Stufe annimmt: in die </w:t>
      </w:r>
      <w:r w:rsidRPr="00751AC0">
        <w:rPr>
          <w:rFonts w:ascii="Garamond" w:hAnsi="Garamond"/>
          <w:i/>
          <w:iCs/>
          <w:color w:val="000000"/>
          <w:lang w:val="en-GB"/>
        </w:rPr>
        <w:t>Ehrfurcht</w:t>
      </w:r>
      <w:r w:rsidRPr="00751AC0">
        <w:rPr>
          <w:rFonts w:ascii="Garamond" w:hAnsi="Garamond"/>
          <w:color w:val="000000"/>
          <w:lang w:val="en-GB"/>
        </w:rPr>
        <w:t xml:space="preserve"> und in den </w:t>
      </w:r>
      <w:r w:rsidRPr="00751AC0">
        <w:rPr>
          <w:rFonts w:ascii="Garamond" w:hAnsi="Garamond"/>
          <w:i/>
          <w:iCs/>
          <w:color w:val="000000"/>
          <w:lang w:val="en-GB"/>
        </w:rPr>
        <w:t>Abscheu</w:t>
      </w:r>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Wie aber entsteht diese Sonderung? Nach Wundt durch die Verpflanzung der Tabugebote aus dem Gebiet der Dämonen- in das der Göttervorstellungen. Der Gegensatz von heilig und unrein fällt mit der Aufeinanderfolge zweier mythologischer Stufen zusammen, von denen die frühere nicht vollkommen verschwindet, wenn die folgende erreicht ist, sondern in der Form einer niedrigeren und allmählich mit Verachtung sich paarenden Wertschätzung fortbesteht. In der Mythologie gilt allgemein das Gesetz, daß eine vorangegangene Stufe eben deshalb, weil sie von der höheren überwunden und zurückgedrängt wird, nun neben dieser in erniedrigter Form fortbesteht, so daß die Objekte ihrer Verehrung in solche des Abscheus sich umwandeln. </w:t>
      </w:r>
      <w:hyperlink r:id="rId46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l. c., p. 313.</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Die weiteren Ausführungen Wundts beziehen sich auf das Verhältnis der Tabuvorstellungen zur Reinigung und zum Opfer.</w:t>
      </w:r>
    </w:p>
    <w:p w:rsidR="00B6748F" w:rsidRPr="00751AC0" w:rsidRDefault="00B6748F" w:rsidP="00B6748F">
      <w:pPr>
        <w:rPr>
          <w:rFonts w:ascii="Garamond" w:hAnsi="Garamond"/>
          <w:color w:val="000000"/>
          <w:lang w:val="en-GB"/>
        </w:rPr>
      </w:pPr>
      <w:r w:rsidRPr="00751AC0">
        <w:rPr>
          <w:rFonts w:ascii="Garamond" w:hAnsi="Garamond"/>
          <w:color w:val="000000"/>
          <w:lang w:val="en-GB"/>
        </w:rPr>
        <w:t>2</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Wer von der Psychoanalyse, das heißt von der Erforschung des unbewußten Anteils am individuellen Seelenleben her an das Problem des Tabu herantritt, der wird sich nach kurzem Besinnen sagen, daß ihm diese Phänomene nicht fremd sind. Er kennt Personen, die sich solche Tabuverbote individuell geschaffen haben und sie ebenso streng befolgen wie die Wilden die ihrem Stamme oder ihrer Gesellschaft gemeinsamen. Wenn er nicht gewohnt wäre, diese vereinzelten Personen als » </w:t>
      </w:r>
      <w:r w:rsidRPr="00751AC0">
        <w:rPr>
          <w:rFonts w:ascii="Garamond" w:hAnsi="Garamond"/>
          <w:i/>
          <w:iCs/>
          <w:color w:val="000000"/>
          <w:lang w:val="en-GB"/>
        </w:rPr>
        <w:t>Zwangskranke</w:t>
      </w:r>
      <w:r w:rsidRPr="00751AC0">
        <w:rPr>
          <w:rFonts w:ascii="Garamond" w:hAnsi="Garamond"/>
          <w:color w:val="000000"/>
          <w:lang w:val="en-GB"/>
        </w:rPr>
        <w:t xml:space="preserve">« zu bezeichnen, würde er den Namen » </w:t>
      </w:r>
      <w:r w:rsidRPr="00751AC0">
        <w:rPr>
          <w:rFonts w:ascii="Garamond" w:hAnsi="Garamond"/>
          <w:i/>
          <w:iCs/>
          <w:color w:val="000000"/>
          <w:lang w:val="en-GB"/>
        </w:rPr>
        <w:t>Tabukrankheit</w:t>
      </w:r>
      <w:r w:rsidRPr="00751AC0">
        <w:rPr>
          <w:rFonts w:ascii="Garamond" w:hAnsi="Garamond"/>
          <w:color w:val="000000"/>
          <w:lang w:val="en-GB"/>
        </w:rPr>
        <w:t>« für deren Zustand angemessen finden müssen. Von dieser Zwangskrankheit hat er aber durch die psychoanalytische Untersuchung so viel erfahren, die klinische Ätiologie und das Wesentliche des psychischen Mechanismus, daß er es sich nicht versagen kann, das hier Gelernte zur Aufklärung der entsprechenden völkerpsychologischen Erscheinung zu verwenden.</w:t>
      </w:r>
    </w:p>
    <w:p w:rsidR="00B6748F" w:rsidRPr="00751AC0" w:rsidRDefault="00B6748F" w:rsidP="00B6748F">
      <w:pPr>
        <w:rPr>
          <w:rFonts w:ascii="Garamond" w:hAnsi="Garamond"/>
          <w:color w:val="000000"/>
          <w:lang w:val="en-GB"/>
        </w:rPr>
      </w:pPr>
      <w:r w:rsidRPr="00751AC0">
        <w:rPr>
          <w:rFonts w:ascii="Garamond" w:hAnsi="Garamond"/>
          <w:color w:val="000000"/>
          <w:lang w:val="en-GB"/>
        </w:rPr>
        <w:t>Eine Warnung wird bei diesem Versuche angehört werden müssen. Die Ähnlichkeit des Tabu mit der Zwangskrankheit mag eine rein äußerliche sein, für die Erscheinungsform der beiden gelten und sich nicht weiter auf deren Wesen erstrecken. Die Natur liebt es, die nämlichen Formen in den verschiedensten biologischen Zusammenhängen zu verwenden, z. B. am Korallenstock wie an der Pflanze, ja darüber hinaus an gewissen Kristallen oder bei Bildung bestimmter chemischer Niederschläge. Es wäre offenbar voreilig und wenig aussichtsvoll, durch diese Übereinstimmungen, die auf eine Gemeinsamkeit mechanischer Bedingungen zurückgehen, Schlüsse zu begründen, die sich auf innere Verwandtschaft beziehen. Wir werden dieser Warnung eingedenk bleiben, brauchen aber die beabsichtigte Vergleichung dieser Möglichkeit wegen nicht zu unterlassen.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Die nächste und auffälligste Übereinstimmung der Zwangsverbote (bei den Nervösen) mit dem Tabu besteht nun darin, daß diese Verbote ebenso unmotiviert und in ihrer Herkunft rätselhaft sind. Sie sind irgend einmal aufgetreten und müssen nun infolge einer unbezwingbaren Angst gehalten werden. Eine äußere Strafandrohung ist überflüssig, weil eine innere Sicherheit (ein Gewissen) besteht, die Übertretung werde zu einem unerträglichen Unheil führen. Das Äußerste, was die Zwangskranken mitteilen können, ist die unbestimmte Ahnung, es werde eine gewisse Person ihrer Umgebung durch die Übertretung zu Schaden kommen. Welches diese Schädigung sein soll, wird nicht erkannt, auch erhält man diese kümmerliche Auskunft eher bei den später zu besprechenden Sühne- und Abwehrhandlungen als bei den Verboten selbst.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Das Haupt- und Kernverbot der Neurose ist wie beim Tabu das der Berührung, daher der Name: Berührungsangst, </w:t>
      </w:r>
      <w:r w:rsidRPr="00751AC0">
        <w:rPr>
          <w:rFonts w:ascii="Garamond" w:hAnsi="Garamond"/>
          <w:i/>
          <w:iCs/>
          <w:color w:val="000000"/>
          <w:lang w:val="en-GB"/>
        </w:rPr>
        <w:t>délire de toucher</w:t>
      </w:r>
      <w:r w:rsidRPr="00751AC0">
        <w:rPr>
          <w:rFonts w:ascii="Garamond" w:hAnsi="Garamond"/>
          <w:color w:val="000000"/>
          <w:lang w:val="en-GB"/>
        </w:rPr>
        <w:t>. Das Verbot erstreckt sich nicht nur auf die direkte Berührung mit dem Körper, sondern nimmt den Umfang der übertragenen Redensart: in Berührung kommen, an. Alles, was die Gedanken auf das Verbotene lenkt, eine Gedankenberührung hervorruft, ist ebenso verboten wie der unmittelbare leibliche Kontakt; dieselbe Ausdehnung findet sich beim Tabu wieder.</w:t>
      </w:r>
    </w:p>
    <w:p w:rsidR="00B6748F" w:rsidRPr="00751AC0" w:rsidRDefault="00B6748F" w:rsidP="00B6748F">
      <w:pPr>
        <w:rPr>
          <w:rFonts w:ascii="Garamond" w:hAnsi="Garamond"/>
          <w:color w:val="000000"/>
          <w:lang w:val="en-GB"/>
        </w:rPr>
      </w:pPr>
      <w:r w:rsidRPr="00751AC0">
        <w:rPr>
          <w:rFonts w:ascii="Garamond" w:hAnsi="Garamond"/>
          <w:color w:val="000000"/>
          <w:lang w:val="en-GB"/>
        </w:rPr>
        <w:t>Ein Teil der Verbote ist nach seiner Absicht ohneweiters verständlich, ein anderer Teil dagegen erscheint uns unbegreiflich, läppisch, sinnlos. Wir bezeichnen solche Gebote als »Zeremoniell« und finden, daß die Tabugebräuche dieselbe Verschiedenheit erkennen lassen.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Den Zwangsverboten ist eine großartige Verschiebbarkeit zu eigen, sie dehnen sich auf irgendwelchen Wegen des Zusammenhanges von einem Objekt auf das andere aus und machen auch dieses neue Objekt, wie eine meiner Kranken treffend sagt, » </w:t>
      </w:r>
      <w:r w:rsidRPr="00751AC0">
        <w:rPr>
          <w:rFonts w:ascii="Garamond" w:hAnsi="Garamond"/>
          <w:i/>
          <w:iCs/>
          <w:color w:val="000000"/>
          <w:lang w:val="en-GB"/>
        </w:rPr>
        <w:t>unmöglich</w:t>
      </w:r>
      <w:r w:rsidRPr="00751AC0">
        <w:rPr>
          <w:rFonts w:ascii="Garamond" w:hAnsi="Garamond"/>
          <w:color w:val="000000"/>
          <w:lang w:val="en-GB"/>
        </w:rPr>
        <w:t>«. Die Unmöglichkeit hat am Ende die ganze Welt mit Beschlag belegt. Die Zwangskranken benehmen sich so, als wären die »unmöglichen« Personen und Dinge Träger einer gefährlichen Ansteckung, die bereit ist, sich auf alles Benachbarte durch Kontakt zu übertragen. Dieselben Charaktere der Ansteckungsfähigkeit und der Übertragbarkeit haben wir eingangs bei der Schilderung der Tabuverbote hervorgehoben. Wir wissen auch, wer ein Tabu übertreten hat durch die Berührung von etwas, was tabu ist, der wird selbst tabu, und niemand darf mit ihm in Berührung treten.</w:t>
      </w:r>
    </w:p>
    <w:p w:rsidR="00B6748F" w:rsidRPr="00751AC0" w:rsidRDefault="00B6748F" w:rsidP="00B6748F">
      <w:pPr>
        <w:rPr>
          <w:rFonts w:ascii="Garamond" w:hAnsi="Garamond"/>
          <w:color w:val="000000"/>
          <w:lang w:val="en-GB"/>
        </w:rPr>
      </w:pPr>
      <w:r w:rsidRPr="00751AC0">
        <w:rPr>
          <w:rFonts w:ascii="Garamond" w:hAnsi="Garamond"/>
          <w:color w:val="000000"/>
          <w:lang w:val="en-GB"/>
        </w:rPr>
        <w:t>Ich stelle zwei Beispiele von Übertragung (besser Verschiebung) des Verbotes zusammen; das eine aus dem Leben der Maori, das andere aus meiner Beobachtung an einer zwangskranken Frau.</w:t>
      </w:r>
    </w:p>
    <w:p w:rsidR="00B6748F" w:rsidRPr="00751AC0" w:rsidRDefault="00B6748F" w:rsidP="00B6748F">
      <w:pPr>
        <w:rPr>
          <w:rFonts w:ascii="Garamond" w:hAnsi="Garamond"/>
          <w:color w:val="000000"/>
        </w:rPr>
      </w:pPr>
      <w:r w:rsidRPr="00751AC0">
        <w:rPr>
          <w:rFonts w:ascii="Garamond" w:hAnsi="Garamond"/>
          <w:color w:val="000000"/>
          <w:lang w:val="en-GB"/>
        </w:rPr>
        <w:t xml:space="preserve">»Ein Maorihäuptling wird kein Feuer mit seinem Hauch anfachen, denn sein geheiligter Atem würde seine Kraft dem Feuer mitteilen, dieses dem Topf, der im Feuer steht, der Topf der Speise, die in ihm gekocht wird, die Speise der Person, die von ihr ißt, und so müßte die Person sterben, die gegessen von der Speise, die gekocht in dem Topf, der gestanden im Feuer, in das geblasen der Häuptling mit seinem heiligen und gefährlichen Hauch.« </w:t>
      </w:r>
      <w:hyperlink r:id="rId467"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(1911 p. 136).</w:t>
        </w:r>
      </w:hyperlink>
    </w:p>
    <w:p w:rsidR="00B6748F" w:rsidRPr="00751AC0" w:rsidRDefault="00B6748F" w:rsidP="00B6748F">
      <w:pPr>
        <w:rPr>
          <w:rFonts w:ascii="Garamond" w:hAnsi="Garamond"/>
          <w:color w:val="000000"/>
          <w:lang w:val="en-GB"/>
        </w:rPr>
      </w:pPr>
      <w:r w:rsidRPr="00751AC0">
        <w:rPr>
          <w:rFonts w:ascii="Garamond" w:hAnsi="Garamond"/>
          <w:color w:val="000000"/>
        </w:rPr>
        <w:t xml:space="preserve">Die Patientin verlangt, daß ein Gebrauchsgegenstand, den ihr Mann vom Einkauf nach Hause gebracht, entfernt werde, er würde ihr sonst den Raum, in dem sie wohnt, unmöglich machen. </w:t>
      </w:r>
      <w:r w:rsidRPr="00751AC0">
        <w:rPr>
          <w:rFonts w:ascii="Garamond" w:hAnsi="Garamond"/>
          <w:color w:val="000000"/>
          <w:lang w:val="en-GB"/>
        </w:rPr>
        <w:t>Denn sie hat gehört, daß dieser Gegenstand in einem Laden gekauft wurde, welcher in der, sagen wir: Hirschengasse liegt. Aber Hirsch ist heute der Name einer Freundin, die in einer fernen Stadt lebt und die sie in ihrer Jugend unter ihrem Mädchennamen gekannt hat. Diese Freundin ist ihr heute »unmöglich«, tabu, und der hier in Wien gekaufte Gegenstand ist ebenso tabu wie die Freundin selbst, mit der sie nicht in Berührung kommen will.</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Zwangsverbote bringen großartigen Verzicht und Einschränkungen des Lebens mit sich wie die Tabuverbote, aber ein Anteil von ihnen kann aufgehoben werden durch die Ausführung gewisser Handlungen, die nun auch geschehen müssen, die Zwangscharakter haben – Zwangshandlungen – und deren Natur als Buße, Sühne, Abwehrmaßregeln und Reinigung keinem Zweifel unterliegt. Die gebräuchlichste dieser Zwangshandlungen ist das Abwaschen mit Wasser (Waschzwang). Auch ein Teil </w:t>
      </w:r>
      <w:r w:rsidRPr="00751AC0">
        <w:rPr>
          <w:rFonts w:ascii="Garamond" w:hAnsi="Garamond"/>
          <w:color w:val="000000"/>
          <w:lang w:val="en-GB"/>
        </w:rPr>
        <w:lastRenderedPageBreak/>
        <w:t>der Tabuverbote kann so ersetzt, respektive deren Übertretung durch solches »Zeremoniell« gutgemacht werden, und die Lustration durch Wasser ist auch hier die bevorzugte.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Resümieren wir nun, in welchen Punkten sich die Übereinstimmung der Tabugebräuche mit den Symptomen der Zwangsneurose am deutlichsten äußert: </w:t>
      </w:r>
      <w:smartTag w:uri="urn:schemas-microsoft-com:office:smarttags" w:element="metricconverter">
        <w:smartTagPr>
          <w:attr w:name="ProductID" w:val="1. In"/>
        </w:smartTagPr>
        <w:r w:rsidRPr="00751AC0">
          <w:rPr>
            <w:rFonts w:ascii="Garamond" w:hAnsi="Garamond"/>
            <w:color w:val="000000"/>
            <w:lang w:val="en-GB"/>
          </w:rPr>
          <w:t>1. In</w:t>
        </w:r>
      </w:smartTag>
      <w:r w:rsidRPr="00751AC0">
        <w:rPr>
          <w:rFonts w:ascii="Garamond" w:hAnsi="Garamond"/>
          <w:color w:val="000000"/>
          <w:lang w:val="en-GB"/>
        </w:rPr>
        <w:t xml:space="preserve"> der Unmotiviertheit der Gebote, </w:t>
      </w:r>
      <w:smartTag w:uri="urn:schemas-microsoft-com:office:smarttags" w:element="metricconverter">
        <w:smartTagPr>
          <w:attr w:name="ProductID" w:val="2. in"/>
        </w:smartTagPr>
        <w:r w:rsidRPr="00751AC0">
          <w:rPr>
            <w:rFonts w:ascii="Garamond" w:hAnsi="Garamond"/>
            <w:color w:val="000000"/>
            <w:lang w:val="en-GB"/>
          </w:rPr>
          <w:t>2. in</w:t>
        </w:r>
      </w:smartTag>
      <w:r w:rsidRPr="00751AC0">
        <w:rPr>
          <w:rFonts w:ascii="Garamond" w:hAnsi="Garamond"/>
          <w:color w:val="000000"/>
          <w:lang w:val="en-GB"/>
        </w:rPr>
        <w:t xml:space="preserve"> ihrer Befestigung durch eine innere Nötigung, </w:t>
      </w:r>
      <w:smartTag w:uri="urn:schemas-microsoft-com:office:smarttags" w:element="metricconverter">
        <w:smartTagPr>
          <w:attr w:name="ProductID" w:val="3. in"/>
        </w:smartTagPr>
        <w:r w:rsidRPr="00751AC0">
          <w:rPr>
            <w:rFonts w:ascii="Garamond" w:hAnsi="Garamond"/>
            <w:color w:val="000000"/>
            <w:lang w:val="en-GB"/>
          </w:rPr>
          <w:t>3. in</w:t>
        </w:r>
      </w:smartTag>
      <w:r w:rsidRPr="00751AC0">
        <w:rPr>
          <w:rFonts w:ascii="Garamond" w:hAnsi="Garamond"/>
          <w:color w:val="000000"/>
          <w:lang w:val="en-GB"/>
        </w:rPr>
        <w:t xml:space="preserve"> ihrer Verschiebbarkeit und in der Ansteckungsgefahr durch das Verbotene, </w:t>
      </w:r>
      <w:smartTag w:uri="urn:schemas-microsoft-com:office:smarttags" w:element="metricconverter">
        <w:smartTagPr>
          <w:attr w:name="ProductID" w:val="4. In"/>
        </w:smartTagPr>
        <w:r w:rsidRPr="00751AC0">
          <w:rPr>
            <w:rFonts w:ascii="Garamond" w:hAnsi="Garamond"/>
            <w:color w:val="000000"/>
            <w:lang w:val="en-GB"/>
          </w:rPr>
          <w:t>4. in</w:t>
        </w:r>
      </w:smartTag>
      <w:r w:rsidRPr="00751AC0">
        <w:rPr>
          <w:rFonts w:ascii="Garamond" w:hAnsi="Garamond"/>
          <w:color w:val="000000"/>
          <w:lang w:val="en-GB"/>
        </w:rPr>
        <w:t xml:space="preserve"> der Verursachung von zeremoniösen Handlungen, Geboten, die von den Verboten ausgehen.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klinische Geschichte wie der psychische Mechanismus der Fälle von Zwangskrankheit sind uns aber durch die Psychoanalyse bekannt geworden. Erstere lautet für einen typischen Fall von Berührungsangst wie folgt: Zu allem Anfang, in ganz früher Kinderzeit, äußerte sich eine starke Berührungs </w:t>
      </w:r>
      <w:r w:rsidRPr="00751AC0">
        <w:rPr>
          <w:rFonts w:ascii="Garamond" w:hAnsi="Garamond"/>
          <w:i/>
          <w:iCs/>
          <w:color w:val="000000"/>
          <w:lang w:val="en-GB"/>
        </w:rPr>
        <w:t>lust</w:t>
      </w:r>
      <w:r w:rsidRPr="00751AC0">
        <w:rPr>
          <w:rFonts w:ascii="Garamond" w:hAnsi="Garamond"/>
          <w:color w:val="000000"/>
          <w:lang w:val="en-GB"/>
        </w:rPr>
        <w:t xml:space="preserve">, deren Ziel weit spezialisierter war, als man geneigt wäre zu erwarten. Dieser Lust trat alsbald </w:t>
      </w:r>
      <w:r w:rsidRPr="00751AC0">
        <w:rPr>
          <w:rFonts w:ascii="Garamond" w:hAnsi="Garamond"/>
          <w:i/>
          <w:iCs/>
          <w:color w:val="000000"/>
          <w:lang w:val="en-GB"/>
        </w:rPr>
        <w:t>von außen</w:t>
      </w:r>
      <w:r w:rsidRPr="00751AC0">
        <w:rPr>
          <w:rFonts w:ascii="Garamond" w:hAnsi="Garamond"/>
          <w:color w:val="000000"/>
          <w:lang w:val="en-GB"/>
        </w:rPr>
        <w:t xml:space="preserve"> ein Verbot entgegen, gerade diese Berührung nicht auszuführen </w:t>
      </w:r>
      <w:hyperlink r:id="rId46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Beide, Lust und Verbot, bezogen sich auf die Berührung der eigenen Genitalien.</w:t>
        </w:r>
      </w:hyperlink>
      <w:r w:rsidRPr="00751AC0">
        <w:rPr>
          <w:rFonts w:ascii="Garamond" w:hAnsi="Garamond"/>
          <w:color w:val="000000"/>
          <w:lang w:val="en-GB"/>
        </w:rPr>
        <w:t xml:space="preserve">. Das Verbot wurde aufgenommen, denn es konnte sich auf starke innere Kräfte stützen </w:t>
      </w:r>
      <w:hyperlink r:id="rId46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Auf die Beziehung zu den geliebten Personen, von denen das Verbot gegeben wurde.</w:t>
        </w:r>
      </w:hyperlink>
      <w:r w:rsidRPr="00751AC0">
        <w:rPr>
          <w:rFonts w:ascii="Garamond" w:hAnsi="Garamond"/>
          <w:color w:val="000000"/>
          <w:lang w:val="en-GB"/>
        </w:rPr>
        <w:t xml:space="preserve">; es erwies sich stärker als der Trieb, der sich in der Berührung äußern wollte. </w:t>
      </w:r>
      <w:r w:rsidRPr="00751AC0">
        <w:rPr>
          <w:rFonts w:ascii="Garamond" w:hAnsi="Garamond"/>
          <w:color w:val="000000"/>
        </w:rPr>
        <w:t xml:space="preserve">Aber infolge der primitiven psychischen Konstitution des Kindes gelang es dem Verbot nicht, den Trieb aufzuheben. Der Erfolg des Verbotes war nur, den Trieb – die Berührungslust – zu verdrängen und ihn ins Unbewußte zu verbannen. Verbot und Trieb blieben beide erhalten; der Trieb, weil er nur verdrängt, nicht aufgehoben war, das Verbot, weil mit seinem Aufhören der Trieb zum Bewußtsein und zur Ausführung durchgedrungen wäre. </w:t>
      </w:r>
      <w:r w:rsidRPr="00751AC0">
        <w:rPr>
          <w:rFonts w:ascii="Garamond" w:hAnsi="Garamond"/>
          <w:color w:val="000000"/>
          <w:lang w:val="en-GB"/>
        </w:rPr>
        <w:t>Es war eine unerledigte Situation, eine psychische Fixierung geschaffen, und aus dem fortdauernden Konflikt von Verbot und Trieb leitet sich nun alles Weitere ab.</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Hauptcharakter der psychologischen Konstellation, die so fixiert worden ist, liegt in dem, was man das </w:t>
      </w:r>
      <w:r w:rsidRPr="00751AC0">
        <w:rPr>
          <w:rFonts w:ascii="Garamond" w:hAnsi="Garamond"/>
          <w:i/>
          <w:iCs/>
          <w:color w:val="000000"/>
          <w:lang w:val="en-GB"/>
        </w:rPr>
        <w:t>ambivalente</w:t>
      </w:r>
      <w:r w:rsidRPr="00751AC0">
        <w:rPr>
          <w:rFonts w:ascii="Garamond" w:hAnsi="Garamond"/>
          <w:color w:val="000000"/>
          <w:lang w:val="en-GB"/>
        </w:rPr>
        <w:t xml:space="preserve"> Verhalten des Individuums gegen das eine Objekt, vielmehr die eine Handlung an ihm, heißen könnte </w:t>
      </w:r>
      <w:hyperlink r:id="rId47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Nach einem trefflichen Ausdruck von Bleuler.</w:t>
        </w:r>
      </w:hyperlink>
      <w:r w:rsidRPr="00751AC0">
        <w:rPr>
          <w:rFonts w:ascii="Garamond" w:hAnsi="Garamond"/>
          <w:color w:val="000000"/>
          <w:lang w:val="en-GB"/>
        </w:rPr>
        <w:t>. Es will diese Handlung – die Berührung – immer wieder ausführen, es sieht in ihr den höchsten Genuß, aber es darf sie nicht ausführen, es verabscheut sie auch. Der Gegensatz der beiden Strömungen ist auf kurzem Wege nicht ausgleichbar, weil sie – wir können nur sagen – im Seelenleben so lokalisiert sind, daß sie nicht zusammenstoßen können. Das Verbot wird laut bewußt, die fortdauernde Berührungslust ist unbewußt, die Person weiß nichts von ihr. Bestünde dieses psychologische Moment nicht, so könnte eine Ambivalenz weder sich so lange erhalten, noch könnte sie zu solchen Folgeerscheinungen führen.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der klinischen Geschichte des Falles haben wir das Eindringen des Verbotes in so frühem Kindesalter als das Maßgebende hervorgehoben; für die weitere Gestaltung fällt diese Rolle dem Mechanismus der Verdrängung auf dieser Altersstufe zu. Infolge der stattgehabten Verdrängung, die mit einem Vergessen – Amnesie – verbunden ist, bleibt die Motivierung des bewußt gewordenen Verbotes unbekannt und müssen alle Versuche scheitern, es intellektuell zu zersetzen, da diese den Punkt nicht finden, an dem sie angreifen könnten. Das Verbot verdankt seine Stärke – seinen Zwangscharakter – gerade der Beziehung zu seinem unbewußten Gegenpart, der im Verborgenen ungedämpften Lust, also einer inneren Notwendigkeiten welche die bewußte Einsicht fehlt. Die Übertragbarkeit und Fortpflanzungsfähigkeit des Verbotes spiegelt einen Vorgang wider, der sich mit der unbewußten Lust zuträgt und unter den psychologischen Bedingungen des Unbewußten besonders erleichtert ist. Die Trieblust verschiebt sich beständig, um der Absperrung, in der sie sich befindet, zu entgehen, und sucht Surrogate für das Verbotene – Ersatzobjekte und Ersatzhandlungen – zu gewinnen. Darum wandert auch das Verbot und dehnt sich auf die neuen Ziele der verpönten Regung aus. Jeden neuen Vorstoß der verdrängten Libido beantwortet das Verbot mit einer neuen Verschärfung. Die gegenseitige Hemmung der beiden ringenden Mächte erzeugt ein Bedürfnis nach Abfuhr, nach Verringerung der herrschenden Spannung, in welchem man die Motivierung der Zwangshandlungen erkennen darf. Diese sind bei der Neurose deutlich </w:t>
      </w:r>
      <w:r w:rsidRPr="00751AC0">
        <w:rPr>
          <w:rFonts w:ascii="Garamond" w:hAnsi="Garamond"/>
          <w:color w:val="000000"/>
          <w:lang w:val="en-GB"/>
        </w:rPr>
        <w:lastRenderedPageBreak/>
        <w:t>Kompromißaktionen, in der einen Ansicht Bezeugungen von Reue, Bemühungen zur Sühne u. dgl., in der anderen aber gleichzeitig Ersatzhandlungen, welche den Trieb für das Verbotene entschädigen. Es ist ein Gesetz der neurotischen Erkrankung, daß diese Zwangshandlungen immer mehr in den Dienst des Triebes treten und immer näher an die ursprünglich verbotene Handlung herankommen.</w:t>
      </w:r>
    </w:p>
    <w:p w:rsidR="00B6748F" w:rsidRPr="00751AC0" w:rsidRDefault="00B6748F" w:rsidP="00B6748F">
      <w:pPr>
        <w:rPr>
          <w:rFonts w:ascii="Garamond" w:hAnsi="Garamond"/>
          <w:color w:val="000000"/>
          <w:lang w:val="en-GB"/>
        </w:rPr>
      </w:pPr>
      <w:r w:rsidRPr="00751AC0">
        <w:rPr>
          <w:rFonts w:ascii="Garamond" w:hAnsi="Garamond"/>
          <w:color w:val="000000"/>
          <w:lang w:val="en-GB"/>
        </w:rPr>
        <w:t>Unternehmen wir jetzt den Versuch, das Tabu zu behandeln, als wäre es von derselben Natur wie ein Zwangsverbot unserer Kranken. Wir machen uns dabei von vornherein klar, daß viele der für uns zu beobachtenden Tabuverbote sekundärer, verschobener und entstellter Art sind und daß wir zufrieden sein müssen, etwas Licht auf die ursprünglichsten und bedeutsamsten Tabuverbote zu werfen. Ferner, daß die Verschiedenheiten in der Situation des Wilden und des Neurotikers wichtig genug sein dürften, um eine völlige Übereinstimmung auszuschließen, eine Übertragung von dem einen auf den anderen, die einer Abbildung in jedem Punkte gleichkäme, zu verhindern.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würden dann zunächst sagen, es habe keinen Sinn, die Wilden nach der wirklichen Motivierung ihrer Verbote, nach der Genese des Tabu zu fragen. Nach unserer Voraussetzung müssen sie unfähig sein, darüber etwas mitzuteilen, denn diese Motivierung sei ihnen »unbewußt«. Wir konstruieren die Geschichte des Tabu aber folgendermaßen nach dem Vorbild der Zwangsverbote. Die Tabu seien uralte Verbote, einer Generation von primitiven Menschen dereinst von außen aufgedrängt, das heißt also doch wohl von der früheren Generation ihr gewalttätig eingeschärft. Diese Verbote haben Tätigkeiten betroffen, zu denen eine starke Neigung bestand. Die Verbote haben sich nun von Generation zu Generation erhalten, vielleicht bloß infolge der Tradition durch elterliche und gesellschaftliche Autorität. Vielleicht aber haben sie sich in den späteren Organisationen bereits »organisiert« als ein Stück ererbten psychischen Besitzes. </w:t>
      </w:r>
      <w:smartTag w:uri="urn:schemas-microsoft-com:office:smarttags" w:element="place">
        <w:r w:rsidRPr="00751AC0">
          <w:rPr>
            <w:rFonts w:ascii="Garamond" w:hAnsi="Garamond"/>
            <w:color w:val="000000"/>
            <w:lang w:val="en-GB"/>
          </w:rPr>
          <w:t>Ob</w:t>
        </w:r>
      </w:smartTag>
      <w:r w:rsidRPr="00751AC0">
        <w:rPr>
          <w:rFonts w:ascii="Garamond" w:hAnsi="Garamond"/>
          <w:color w:val="000000"/>
          <w:lang w:val="en-GB"/>
        </w:rPr>
        <w:t xml:space="preserve"> es solche »angeborene Ideen« gibt, ob sie allein oder im Zusammenwirken mit der Erziehung die Fixierung der Tabu bewirkt haben, wer vermöchte es gerade für den in Rede stehenden Fall zu entscheiden? Aber aus der Festhaltung der Tabu ginge eines hervor, daß die ursprüngliche Lust, jenes Verbotene zu tun, auch noch bei den Tabuvölkern fortbesteht. Diese haben also zu ihren Tabuverboten eine </w:t>
      </w:r>
      <w:r w:rsidRPr="00751AC0">
        <w:rPr>
          <w:rFonts w:ascii="Garamond" w:hAnsi="Garamond"/>
          <w:i/>
          <w:iCs/>
          <w:color w:val="000000"/>
          <w:lang w:val="en-GB"/>
        </w:rPr>
        <w:t>ambivalente Einstellung</w:t>
      </w:r>
      <w:r w:rsidRPr="00751AC0">
        <w:rPr>
          <w:rFonts w:ascii="Garamond" w:hAnsi="Garamond"/>
          <w:color w:val="000000"/>
          <w:lang w:val="en-GB"/>
        </w:rPr>
        <w:t>; sie möchten im Unbewußten nichts lieber als sie übertreten, aber sie fürchten sich auch davor; sie fürchten sich gerade darum, weil sie es möchten, und die Furcht ist stärker als die Lust. Die Lust dazu ist aber bei jeder Einzelperson des Volkes unbewußt wie bei dem Neurotiker.</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ältesten und wichtigsten Tabuverbote sind die beiden Grundgesetze des </w:t>
      </w:r>
      <w:r w:rsidRPr="00751AC0">
        <w:rPr>
          <w:rFonts w:ascii="Garamond" w:hAnsi="Garamond"/>
          <w:i/>
          <w:iCs/>
          <w:color w:val="000000"/>
          <w:lang w:val="en-GB"/>
        </w:rPr>
        <w:t>Totemismus</w:t>
      </w:r>
      <w:r w:rsidRPr="00751AC0">
        <w:rPr>
          <w:rFonts w:ascii="Garamond" w:hAnsi="Garamond"/>
          <w:color w:val="000000"/>
          <w:lang w:val="en-GB"/>
        </w:rPr>
        <w:t>: das Totemtier nicht zu töten und den sexuellen Verkehr mit dem Totemgenossen des anderen Geschlechtes zu vermeiden.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Das müßten also die ältesten und stärksten Gelüste der Menschen sein. Wir können das nicht verstehen und können demnach unsere Voraussetzung nicht an diesen Beispielen prüfen, solange uns Sinn und Abkunft des totemistischen Systems so völlig unbekannt sind. Aber wer die Ergebnisse der psychoanalytischen Erforschung des Einzelmenschen kennt, der wird selbst durch den Wortlaut dieser beiden Tabu und durch ihr Zusammentreffen an etwas ganz Bestimmtes gemahnt, was die Psychoanalytiker für den Knotenpunkt des infantilen Wunschlebens und dann für den Kern der Neurose erklären </w:t>
      </w:r>
      <w:hyperlink r:id="rId47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meine in diesen Aufsätzen bereits mehrmals angekündigte Studie über den Totemismus.</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sonstige Mannigfaltigkeit der Tabuerscheinungen, die zu den früher mitgeteilten Klassifizierungsversuchen geführt hat, wächst für uns auf folgende Art zu einer Einheit zusammen: Grundlage des Tabu ist ein verbotenes Tun, zu dem eine starke Neigung im Unbewußten besteht.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wissen, ohne es zu verstehen, wer das Verbotene tut, das Tabu übertritt, wird selbst tabu. Wie bringen wir aber diese Tatsache mit der anderen zusammen, daß das Tabu nicht nur an Personen haftet, die das Verbotene getan haben, sondern auch an Personen, die sich in besonderen Zuständen befinden, an diesen Zuständen selbst und an unpersönlichen Dingen? Was kann das für eine gefährliche Eigenschaft sein, die </w:t>
      </w:r>
      <w:r w:rsidRPr="00751AC0">
        <w:rPr>
          <w:rFonts w:ascii="Garamond" w:hAnsi="Garamond"/>
          <w:color w:val="000000"/>
          <w:lang w:val="en-GB"/>
        </w:rPr>
        <w:lastRenderedPageBreak/>
        <w:t xml:space="preserve">immer die nämliche bleibt unter all diesen verschiedenen Bedingungen? Nur die eine: die Eignung, die Ambivalenz des Menschen anzufachen und ihn in </w:t>
      </w:r>
      <w:r w:rsidRPr="00751AC0">
        <w:rPr>
          <w:rFonts w:ascii="Garamond" w:hAnsi="Garamond"/>
          <w:i/>
          <w:iCs/>
          <w:color w:val="000000"/>
          <w:lang w:val="en-GB"/>
        </w:rPr>
        <w:t>Versuchung</w:t>
      </w:r>
      <w:r w:rsidRPr="00751AC0">
        <w:rPr>
          <w:rFonts w:ascii="Garamond" w:hAnsi="Garamond"/>
          <w:color w:val="000000"/>
          <w:lang w:val="en-GB"/>
        </w:rPr>
        <w:t xml:space="preserve"> zu führen, das Verbot zu übertreten.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Mensch, der ein Tabu übertreten hat, wird selbst tabu, weil er die gefährliche Eignung hat, andere zu versuchen, daß sie seinem Beispiel folgen. Er erweckt Neid; warum sollte ihm gestattet sein, was anderen verboten ist? Er ist also wirklich </w:t>
      </w:r>
      <w:r w:rsidRPr="00751AC0">
        <w:rPr>
          <w:rFonts w:ascii="Garamond" w:hAnsi="Garamond"/>
          <w:i/>
          <w:iCs/>
          <w:color w:val="000000"/>
          <w:lang w:val="en-GB"/>
        </w:rPr>
        <w:t>ansteckend</w:t>
      </w:r>
      <w:r w:rsidRPr="00751AC0">
        <w:rPr>
          <w:rFonts w:ascii="Garamond" w:hAnsi="Garamond"/>
          <w:color w:val="000000"/>
          <w:lang w:val="en-GB"/>
        </w:rPr>
        <w:t>, insofern jedes Beispiel zur Nachahmung ansteckt, und darum muß er selbst gemieden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Ein Mensch braucht aber kein Tabu übertreten zu haben und kann doch permanent oder zeitweilig tabu sein, weil er sich in einem Zustand befindet, welcher die Eignung hat, die verbotenen Gelüste der anderen anzuregen, den Ambivalenzkonflikt in ihnen zu wecken. Die meisten Ausnahmsstellungen und Ausnahmezustände sind von solcher Art und haben diese gefährliche Kraft. Der König oder Häuptling erweckt den Neid auf seine Vorrechte; es möchte vielleicht jeder König sein. Der Tote, das Neugeborene, die Frau in ihren Leidenszuständen reizen durch ihre besondere Hilflosigkeit, das eben geschlechtsreif gewordene Individuum durch den neuen Genuß, den es verspricht. Darum sind alle diese Personen und alle diese Zustände tabu, denn der Versuchung darf nicht nachgegeben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Wir verstehen jetzt auch, warum die Manakräfte verschiedener Personen sich voneinander abziehen, einander teilweise aufheben können. Das Tabu eines Königs ist zu stark für seinen Untertan, weil die soziale Differenz zwischen ihnen zu groß ist. Aber ein Minister kann etwa den unschädlichen Vermittler zwischen ihnen machen. Das heißt aus der Sprache des Tabu in die der Normalpsychologie übersetzt: Der Untertan, der die großartige Versuchung scheut, welche ihm die Berührung mit dem König bereitet, kann etwa den Umgang des Beamten vertragen, den er nicht so sehr zu beneiden braucht und dessen Stellung ihm vielleicht selbst erreichbar scheint. Der Minister aber kann seinen Neid gegen den König durch die Erwägung der Macht ermäßigen, die ihm selbst eingeräumt ist. So sind geringere Differenzen der in Versuchung führenden Zauberkraft weniger zu fürchten als besonders große.</w:t>
      </w:r>
    </w:p>
    <w:p w:rsidR="00B6748F" w:rsidRPr="00751AC0" w:rsidRDefault="00B6748F" w:rsidP="00B6748F">
      <w:pPr>
        <w:rPr>
          <w:rFonts w:ascii="Garamond" w:hAnsi="Garamond"/>
          <w:color w:val="000000"/>
          <w:lang w:val="en-GB"/>
        </w:rPr>
      </w:pPr>
      <w:r w:rsidRPr="00751AC0">
        <w:rPr>
          <w:rFonts w:ascii="Garamond" w:hAnsi="Garamond"/>
          <w:color w:val="000000"/>
          <w:lang w:val="en-GB"/>
        </w:rPr>
        <w:t>Es ist ebenso klar, wieso die Übertretung gewisser Tabuverbote eine soziale Gefahr bedeutet, die von allen Mitgliedern der Gesellschaft gestraft oder gesühnt werden muß, wenn sie nicht alle schädigen soll. Diese Gefahr besteht wirklich, wenn wir die bewußten Regungen für die unbewußten Gelüste einsetzen. Sie besteht in der Möglichkeit der Nachahmung, in deren Folge die Gesellschaft bald zur Auflösung käme. Wenn die anderen die Übertretung nicht ahnden würden, müßten sie ja innewerden, daß sie dasselbe tun wollen wie der Übeltäter.</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Daß die Berührung beim Tabuverbot eine ähnliche Rolle spielt wie beim </w:t>
      </w:r>
      <w:r w:rsidRPr="00751AC0">
        <w:rPr>
          <w:rFonts w:ascii="Garamond" w:hAnsi="Garamond"/>
          <w:i/>
          <w:iCs/>
          <w:color w:val="000000"/>
          <w:lang w:val="en-GB"/>
        </w:rPr>
        <w:t>délire de toucher</w:t>
      </w:r>
      <w:r w:rsidRPr="00751AC0">
        <w:rPr>
          <w:rFonts w:ascii="Garamond" w:hAnsi="Garamond"/>
          <w:color w:val="000000"/>
          <w:lang w:val="en-GB"/>
        </w:rPr>
        <w:t>, obwohl der geheime Sinn des Verbotes beim Tabu unmöglich ein so spezieller sein kann wie bei der Neurose, darf uns nicht wundernehmen. Die Berührung ist der Beginn jeder Bemächtigung, jedes Versuches, sich eine Person oder Sache dienstbar zu machen.</w:t>
      </w:r>
    </w:p>
    <w:p w:rsidR="00B6748F" w:rsidRPr="00751AC0" w:rsidRDefault="00B6748F" w:rsidP="00B6748F">
      <w:pPr>
        <w:rPr>
          <w:rFonts w:ascii="Garamond" w:hAnsi="Garamond"/>
          <w:color w:val="000000"/>
          <w:lang w:val="en-GB"/>
        </w:rPr>
      </w:pPr>
      <w:r w:rsidRPr="00751AC0">
        <w:rPr>
          <w:rFonts w:ascii="Garamond" w:hAnsi="Garamond"/>
          <w:color w:val="000000"/>
          <w:lang w:val="en-GB"/>
        </w:rPr>
        <w:t>Wir haben die ansteckende Kraft, die dem Tabu innewohnt, durch die Eignung, in Versuchung zu führen, zur Nachahmung anzuregen, übersetzt. Dazu scheint es nicht zu stimmen, daß sich die Ansteckungsfähigkeit des Tabu vor allem in der Übertragung auf Gegenstände äußert, die dadurch selbst Träger des Tabu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Diese Übertragbarkeit des Tabu spiegelt die bei der Neurose nachgewiesene Neigung des unbewußten Triebes wider, sich auf assoziativen Wegen auf immer neue Objekte zu verschieben. Wir werden so aufmerksam gemacht, daß der gefährlichen Zauberkraft des » </w:t>
      </w:r>
      <w:r w:rsidRPr="00751AC0">
        <w:rPr>
          <w:rFonts w:ascii="Garamond" w:hAnsi="Garamond"/>
          <w:i/>
          <w:iCs/>
          <w:color w:val="000000"/>
          <w:lang w:val="en-GB"/>
        </w:rPr>
        <w:t>Mana</w:t>
      </w:r>
      <w:r w:rsidRPr="00751AC0">
        <w:rPr>
          <w:rFonts w:ascii="Garamond" w:hAnsi="Garamond"/>
          <w:color w:val="000000"/>
          <w:lang w:val="en-GB"/>
        </w:rPr>
        <w:t xml:space="preserve">« zweierlei realere Fähigkeiten entsprechen, die Eignung, den Menschen an seine verbotenen Wünsche zu erinnern, und die scheinbar bedeutsamere, ihn zur Übertretung des Verbotes im Dienste dieser Wünsche zu verleiten. Beide Leistungen treten aber wieder zu einer einzigen zusammen, wenn wir annehmen, es läge im Sinne eines primitiven Seelenlebens, daß mit der Erweckung der Erinnerung an das verbotene Tun auch die </w:t>
      </w:r>
      <w:r w:rsidRPr="00751AC0">
        <w:rPr>
          <w:rFonts w:ascii="Garamond" w:hAnsi="Garamond"/>
          <w:color w:val="000000"/>
          <w:lang w:val="en-GB"/>
        </w:rPr>
        <w:lastRenderedPageBreak/>
        <w:t>Erweckung der Tendenz, es durchzusetzen, verknüpft sei. Dann fallen Erinnerung und Versuchung wieder zusammen. Man muß auch zugestehen, wenn das Beispiel eines Menschen, der ein Verbot übertreten hat, einen anderen zur gleichen Tat verführt, so hat sich der Ungehorsam gegen das Verbot fortgepflanzt wie eine Ansteckung, wie sich das Tabu von einer Person auf einen Gegenstand und von diesem auf einen anderen überträgt.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Wenn die Übertretung eines Tabu gutgemacht werden kann durch eine Sühne oder Buße, die ja einen </w:t>
      </w:r>
      <w:r w:rsidRPr="00751AC0">
        <w:rPr>
          <w:rFonts w:ascii="Garamond" w:hAnsi="Garamond"/>
          <w:i/>
          <w:iCs/>
          <w:color w:val="000000"/>
          <w:lang w:val="en-GB"/>
        </w:rPr>
        <w:t>Verzicht</w:t>
      </w:r>
      <w:r w:rsidRPr="00751AC0">
        <w:rPr>
          <w:rFonts w:ascii="Garamond" w:hAnsi="Garamond"/>
          <w:color w:val="000000"/>
          <w:lang w:val="en-GB"/>
        </w:rPr>
        <w:t xml:space="preserve"> auf irgendein Gut oder eine Freiheit bedeuten, so ist hiedurch der Beweis erbracht, daß die Befolgung der Tabuvorschrift selbst ein Verzicht war auf etwas, was man gern gewünscht hätte. Die Unterlassung des einen Verzichts wird durch einen Verzicht an anderer Stelle abgelöst. Für das Tabuzeremoniell würden wir hieraus den Schluß ziehen, daß die Buße etwas Ursprünglicheres ist als die Reinigung.</w:t>
      </w:r>
    </w:p>
    <w:p w:rsidR="00B6748F" w:rsidRPr="00751AC0" w:rsidRDefault="00B6748F" w:rsidP="00B6748F">
      <w:pPr>
        <w:rPr>
          <w:rFonts w:ascii="Garamond" w:hAnsi="Garamond"/>
          <w:color w:val="000000"/>
          <w:lang w:val="en-GB"/>
        </w:rPr>
      </w:pPr>
      <w:r w:rsidRPr="00751AC0">
        <w:rPr>
          <w:rFonts w:ascii="Garamond" w:hAnsi="Garamond"/>
          <w:color w:val="000000"/>
          <w:lang w:val="en-GB"/>
        </w:rPr>
        <w:t>Fassen wir nun zusammen, welches Verständnis des Tabu sich uns aus der Gleichstellung mit dem Zwangsverbot des Neurotikers ergeben hat: Das Tabu ist ein uraltes Verbot, von außen (von einer Autorität) aufgedrängt und gegen die stärksten Gelüste der Menschen gerichtet. Die Lust, es zu übertreten, besteht in deren Unbewußten fort; die Menschen, die dem Tabu gehorchen, haben eine ambivalente Einstellung gegen das vom Tabu Betroffene. Die dem Tabu zugeschriebene Zauberkraft führt sich auf die Fähigkeit zurück, die Menschen in Versuchung zu führen; sie benimmt sich wie eine Ansteckung, weil das Beispiel ansteckend ist und weil sich das verbotene Gelüste im Unbewußten auf anderes verschiebt. Die Sühne der Übertretung des Tabu durch einen Verzicht erweist, daß der Befolgung des Tabu ein Verzicht zugrunde liegt.</w:t>
      </w:r>
    </w:p>
    <w:p w:rsidR="00B6748F" w:rsidRPr="00751AC0" w:rsidRDefault="00B6748F" w:rsidP="00B6748F">
      <w:pPr>
        <w:rPr>
          <w:rFonts w:ascii="Garamond" w:hAnsi="Garamond"/>
          <w:color w:val="000000"/>
          <w:lang w:val="en-GB"/>
        </w:rPr>
      </w:pPr>
      <w:r w:rsidRPr="00751AC0">
        <w:rPr>
          <w:rFonts w:ascii="Garamond" w:hAnsi="Garamond"/>
          <w:color w:val="000000"/>
          <w:lang w:val="en-GB"/>
        </w:rPr>
        <w:t>3</w:t>
      </w:r>
    </w:p>
    <w:p w:rsidR="00B6748F" w:rsidRPr="00751AC0" w:rsidRDefault="00B6748F" w:rsidP="00B6748F">
      <w:pPr>
        <w:rPr>
          <w:rFonts w:ascii="Garamond" w:hAnsi="Garamond"/>
          <w:color w:val="000000"/>
          <w:lang w:val="en-GB"/>
        </w:rPr>
      </w:pPr>
      <w:r w:rsidRPr="00751AC0">
        <w:rPr>
          <w:rFonts w:ascii="Garamond" w:hAnsi="Garamond"/>
          <w:color w:val="000000"/>
          <w:lang w:val="en-GB"/>
        </w:rPr>
        <w:t>Wir wollen nun wissen, welchen Wert unsere Gleichstellung des Tabu mit der Zwangsneurose und die auf Grund dieser Vergleichung gegebene Auffassung des Tabu beanspruchen kann. Ein solcher Wert liegt offenbar nur vor, wenn unsere Auffassung einen Vorteil bietet, der sonst nicht zu haben ist, wenn sie ein besseres Verständnis des Tabu gestattet, als uns sonst möglich wird. Wir sind vielleicht geneigt zu behaupten, daß wir diesen Nachweis der Brauchbarkeit im vorstehenden bereits erbracht haben; wir werden aber versuchen müssen, ihn zu verstärken, indem wir die Erklärung der Tabuverbote und Gebräuche ins einzelne fortsetzen.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steht uns aber auch ein anderer Weg offen. Wir können die Untersuchung anstellen, ob nicht ein Teil der Voraussetzungen, die wir von der Neurose her auf das Tabu übertragen haben, oder der Folgerungen, zu denen wir dabei gelangt sind, an den Phänomenen des Tabu unmittelbar erweisbar ist. Wir müssen uns nur entscheiden, wonach wir suchen wollen. Die Behauptung über die Genese des Tabu, es stamme von einem uralten Verbote ab, welches dereinst von außen auferlegt worden ist, entzieht sich natürlich dem Beweise. Wir werden also eher die psychologischen Bedingungen für das Tabu zu bestätigen suchen, welche wir für die Zwangsneurose kennengelernt haben. Wie gelangten wir bei der Neurose zur Kenntnis dieser psychologischen Momente? Durch das analytische Studium der Symptome, vor allem der Zwangshandlungen, der Abwehrmaßregeln und Zwangsgebote. Wir fanden an ihnen die besten Anzeichen für ihre Abstammung von </w:t>
      </w:r>
      <w:r w:rsidRPr="00751AC0">
        <w:rPr>
          <w:rFonts w:ascii="Garamond" w:hAnsi="Garamond"/>
          <w:i/>
          <w:iCs/>
          <w:color w:val="000000"/>
          <w:lang w:val="en-GB"/>
        </w:rPr>
        <w:t>ambivalenten</w:t>
      </w:r>
      <w:r w:rsidRPr="00751AC0">
        <w:rPr>
          <w:rFonts w:ascii="Garamond" w:hAnsi="Garamond"/>
          <w:color w:val="000000"/>
          <w:lang w:val="en-GB"/>
        </w:rPr>
        <w:t xml:space="preserve"> Regungen oder Tendenzen, wobei sie entweder gleichzeitig dem Wunsche wie dem Gegenwunsche entsprechen oder vorwiegend im Dienste der einen von den beiden entgegengesetzten Tendenzen stehen. Wenn es uns nun gelänge, auch an den Tabuvorschriften die Ambivalenz, das Walten entgegengesetzter Tendenzen, aufzuzeigen oder unter ihnen einige aufzufinden, die nach der Art von Zwangshandlungen beiden Strömungen gleichzeitigen Ausdruck geben, so wäre die psychologische Übereinstimmung zwischen dem Tabu und der Zwangsneurose im nahezu wichtigsten Stücke gesichert.</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Die beiden fundamentalen Tabuverbote sind, wie vorhin erwähnt, für unsere Analyse durch die Zugehörigkeit zum Totemismus unzugänglich; ein anderer Anteil der Tabusatzungen ist sekundärer Abkunft und für unsere Absicht nicht verwertbar. Das Tabu ist nämlich bei den entsprechenden Völkern die allgemeine Form der Gesetzgebung geworden und in den Dienst von sozialen Tendenzen getreten, die sicherlich jünger sind als das Tabu selbst, wie z. B. die Tabu, die von Häuptlingen und Priestern auferlegt werden, um sich Eigentum und Vorrechte zu sichern. Doch bleibt uns eine große Gruppe von Vorschriften übrig, an denen unsere Untersuchung vorgenommen werden kann; ich hebe aus dieser die Tabu heraus, die sich </w:t>
      </w:r>
      <w:r w:rsidRPr="00751AC0">
        <w:rPr>
          <w:rFonts w:ascii="Garamond" w:hAnsi="Garamond"/>
          <w:i/>
          <w:iCs/>
          <w:color w:val="000000"/>
          <w:lang w:val="en-GB"/>
        </w:rPr>
        <w:t>a)</w:t>
      </w:r>
      <w:r w:rsidRPr="00751AC0">
        <w:rPr>
          <w:rFonts w:ascii="Garamond" w:hAnsi="Garamond"/>
          <w:color w:val="000000"/>
          <w:lang w:val="en-GB"/>
        </w:rPr>
        <w:t xml:space="preserve"> an </w:t>
      </w:r>
      <w:r w:rsidRPr="00751AC0">
        <w:rPr>
          <w:rFonts w:ascii="Garamond" w:hAnsi="Garamond"/>
          <w:i/>
          <w:iCs/>
          <w:color w:val="000000"/>
          <w:lang w:val="en-GB"/>
        </w:rPr>
        <w:t>Feinde</w:t>
      </w:r>
      <w:r w:rsidRPr="00751AC0">
        <w:rPr>
          <w:rFonts w:ascii="Garamond" w:hAnsi="Garamond"/>
          <w:color w:val="000000"/>
          <w:lang w:val="en-GB"/>
        </w:rPr>
        <w:t xml:space="preserve">, </w:t>
      </w:r>
      <w:r w:rsidRPr="00751AC0">
        <w:rPr>
          <w:rFonts w:ascii="Garamond" w:hAnsi="Garamond"/>
          <w:i/>
          <w:iCs/>
          <w:color w:val="000000"/>
          <w:lang w:val="en-GB"/>
        </w:rPr>
        <w:t>b)</w:t>
      </w:r>
      <w:r w:rsidRPr="00751AC0">
        <w:rPr>
          <w:rFonts w:ascii="Garamond" w:hAnsi="Garamond"/>
          <w:color w:val="000000"/>
          <w:lang w:val="en-GB"/>
        </w:rPr>
        <w:t xml:space="preserve"> an </w:t>
      </w:r>
      <w:r w:rsidRPr="00751AC0">
        <w:rPr>
          <w:rFonts w:ascii="Garamond" w:hAnsi="Garamond"/>
          <w:i/>
          <w:iCs/>
          <w:color w:val="000000"/>
          <w:lang w:val="en-GB"/>
        </w:rPr>
        <w:t>Häuptlinge</w:t>
      </w:r>
      <w:r w:rsidRPr="00751AC0">
        <w:rPr>
          <w:rFonts w:ascii="Garamond" w:hAnsi="Garamond"/>
          <w:color w:val="000000"/>
          <w:lang w:val="en-GB"/>
        </w:rPr>
        <w:t xml:space="preserve">, </w:t>
      </w:r>
      <w:r w:rsidRPr="00751AC0">
        <w:rPr>
          <w:rFonts w:ascii="Garamond" w:hAnsi="Garamond"/>
          <w:i/>
          <w:iCs/>
          <w:color w:val="000000"/>
          <w:lang w:val="en-GB"/>
        </w:rPr>
        <w:t>c)</w:t>
      </w:r>
      <w:r w:rsidRPr="00751AC0">
        <w:rPr>
          <w:rFonts w:ascii="Garamond" w:hAnsi="Garamond"/>
          <w:color w:val="000000"/>
          <w:lang w:val="en-GB"/>
        </w:rPr>
        <w:t xml:space="preserve"> an </w:t>
      </w:r>
      <w:r w:rsidRPr="00751AC0">
        <w:rPr>
          <w:rFonts w:ascii="Garamond" w:hAnsi="Garamond"/>
          <w:i/>
          <w:iCs/>
          <w:color w:val="000000"/>
          <w:lang w:val="en-GB"/>
        </w:rPr>
        <w:t>Tote</w:t>
      </w:r>
      <w:r w:rsidRPr="00751AC0">
        <w:rPr>
          <w:rFonts w:ascii="Garamond" w:hAnsi="Garamond"/>
          <w:color w:val="000000"/>
          <w:lang w:val="en-GB"/>
        </w:rPr>
        <w:t xml:space="preserve"> knüpfen, und werde das zu behandelnde Material der ausgezeichneten Sammlung von J. G. Frazer in seinem großen Werke: </w:t>
      </w:r>
      <w:r w:rsidRPr="00751AC0">
        <w:rPr>
          <w:rFonts w:ascii="Garamond" w:hAnsi="Garamond"/>
          <w:i/>
          <w:iCs/>
          <w:color w:val="000000"/>
          <w:lang w:val="en-GB"/>
        </w:rPr>
        <w:t>The Golden Bough</w:t>
      </w:r>
      <w:r w:rsidRPr="00751AC0">
        <w:rPr>
          <w:rFonts w:ascii="Garamond" w:hAnsi="Garamond"/>
          <w:color w:val="000000"/>
          <w:lang w:val="en-GB"/>
        </w:rPr>
        <w:t xml:space="preserve"> entnehmen </w:t>
      </w:r>
      <w:hyperlink r:id="rId47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Third edition, Part II, </w:t>
        </w:r>
        <w:r w:rsidRPr="00751AC0">
          <w:rPr>
            <w:rStyle w:val="innerfusslink3"/>
            <w:rFonts w:ascii="Garamond" w:hAnsi="Garamond" w:cs="Arial"/>
            <w:b/>
            <w:bCs/>
            <w:i/>
            <w:iCs/>
            <w:lang w:val="en-GB"/>
          </w:rPr>
          <w:t>Taboo and the Perils of the Soul</w:t>
        </w:r>
        <w:r w:rsidRPr="00751AC0">
          <w:rPr>
            <w:rStyle w:val="innerfusslink3"/>
            <w:rFonts w:ascii="Garamond" w:hAnsi="Garamond" w:cs="Arial"/>
            <w:b/>
            <w:bCs/>
            <w:lang w:val="en-GB"/>
          </w:rPr>
          <w:t xml:space="preserve"> (1911) </w:t>
        </w:r>
        <w:r w:rsidRPr="00751AC0">
          <w:rPr>
            <w:rStyle w:val="innerfusslink3"/>
            <w:rFonts w:ascii="Garamond" w:hAnsi="Garamond" w:cs="Arial"/>
            <w:b/>
            <w:bCs/>
            <w:i/>
            <w:iCs/>
            <w:lang w:val="en-GB"/>
          </w:rPr>
          <w:t>.</w:t>
        </w:r>
      </w:hyperlink>
      <w:r w:rsidRPr="00751AC0">
        <w:rPr>
          <w:rFonts w:ascii="Garamond" w:hAnsi="Garamond"/>
          <w:color w:val="000000"/>
          <w:lang w:val="en-GB"/>
        </w:rPr>
        <w:t>.</w:t>
      </w:r>
    </w:p>
    <w:p w:rsidR="00B6748F" w:rsidRPr="00751AC0" w:rsidRDefault="00B6748F" w:rsidP="00B6748F">
      <w:pPr>
        <w:rPr>
          <w:rFonts w:ascii="Garamond" w:hAnsi="Garamond"/>
          <w:caps/>
          <w:color w:val="000000"/>
          <w:lang w:val="en-GB"/>
        </w:rPr>
      </w:pPr>
      <w:r w:rsidRPr="00751AC0">
        <w:rPr>
          <w:rFonts w:ascii="Garamond" w:hAnsi="Garamond"/>
          <w:caps/>
          <w:color w:val="000000"/>
          <w:lang w:val="en-GB"/>
        </w:rPr>
        <w:t>a) Die Behandlung der Feinde</w:t>
      </w:r>
    </w:p>
    <w:p w:rsidR="00B6748F" w:rsidRPr="00751AC0" w:rsidRDefault="00B6748F" w:rsidP="00B6748F">
      <w:pPr>
        <w:rPr>
          <w:rFonts w:ascii="Garamond" w:hAnsi="Garamond"/>
          <w:color w:val="000000"/>
          <w:lang w:val="en-GB"/>
        </w:rPr>
      </w:pPr>
      <w:r w:rsidRPr="00751AC0">
        <w:rPr>
          <w:rFonts w:ascii="Garamond" w:hAnsi="Garamond"/>
          <w:color w:val="000000"/>
          <w:lang w:val="en-GB"/>
        </w:rPr>
        <w:t>Wenn wir geneigt waren, den wilden und halbwilden Völkern ungehemmte und reuelose Grausamkeit gegen ihre Feinde zuzuschreiben, so werden wir mit großem Interesse erfahren, daß auch bei ihnen die Tötung eines Menschen zur Befolgung einer Reihe von Vorschriften zwingt, welche den Tabugebräuchen zugeordnet werden. Diese Vorschriften sind mit Leichtigkeit in vier Gruppen zu bringen; sie fordern 1. Versöhnung des getöteten Feindes, 2. Beschränkungen und 3. Sühnehandlungen, Reinigungen des Mörders und 4. gewisse zeremonielle Vornahmen. Wie allgemein oder wie vereinzelt solche Tabugebräuche bei diesen Völkern sein mögen, läßt sich einerseits aus unseren unvollständigen Nachrichten nicht mit Sicherheit entscheiden und ist anderseits für unser Interesse an diesen Vorkommnissen gleichgültig. Immerhin darf man annehmen, daß es sich um weitverbreitete Gebräuche und nicht um vereinzelte Sonderbarkeiten handelt.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w:t>
      </w:r>
      <w:r w:rsidRPr="00751AC0">
        <w:rPr>
          <w:rFonts w:ascii="Garamond" w:hAnsi="Garamond"/>
          <w:i/>
          <w:iCs/>
          <w:color w:val="000000"/>
          <w:lang w:val="en-GB"/>
        </w:rPr>
        <w:t>Versöhnungs</w:t>
      </w:r>
      <w:r w:rsidRPr="00751AC0">
        <w:rPr>
          <w:rFonts w:ascii="Garamond" w:hAnsi="Garamond"/>
          <w:color w:val="000000"/>
          <w:lang w:val="en-GB"/>
        </w:rPr>
        <w:t xml:space="preserve">gebräuche auf der Insel Timor, nachdem eine siegreiche Kriegerschar mit den abgeschnittenen Köpfen der besiegten Feinde zurückkehrt, sind darum besonders bedeutsam, weil überdies der Führer der Expedition von schweren Beschränkungen betroffen wird (s. unten). Bei dem feierlichen Einzug der Sieger werden Opfer dargebracht, um die Seelen der Feinde zu versöhnen; »sonst müßte man Unheil für die Sieger vorhersehen. Es wird ein Tanz aufgeführt und dabei ein Gesang vorgetragen, in welchem der erschlagene Feind beklagt und seine Verzeihung erbeten wird: ›Zürne uns nicht, weil wir deinen Kopf hier bei uns haben; wäre uns das Glück nicht hold gewesen, so hingen jetzt vielleicht unsere Köpfe in deinem Dorf. Wir haben dir ein Opfer gebracht, um dich zu besänftigen. Nun darf dein Geist zufrieden sein und uns in Ruhe lassen. Warum bist du unser Feind gewesen? Wären wir nicht besser Freunde geblieben? Dann wäre dein Blut nicht vergossen und dein Kopf nicht abgeschnitten worden.‹« </w:t>
      </w:r>
      <w:hyperlink r:id="rId47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(1911, l. c., p. 166).</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Ähnliches findet sich bei den Palu in </w:t>
      </w:r>
      <w:smartTag w:uri="urn:schemas-microsoft-com:office:smarttags" w:element="place">
        <w:r w:rsidRPr="00751AC0">
          <w:rPr>
            <w:rFonts w:ascii="Garamond" w:hAnsi="Garamond"/>
            <w:color w:val="000000"/>
            <w:lang w:val="en-GB"/>
          </w:rPr>
          <w:t>Celebes</w:t>
        </w:r>
      </w:smartTag>
      <w:r w:rsidRPr="00751AC0">
        <w:rPr>
          <w:rFonts w:ascii="Garamond" w:hAnsi="Garamond"/>
          <w:color w:val="000000"/>
          <w:lang w:val="en-GB"/>
        </w:rPr>
        <w:t>; die Gallas opfern den Geistern ihrer erschlagenen Feinde, ehe sie ihr Heimatdorf betreten.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Andere Völker haben das Mittel gefunden, um aus ihren früheren Feinden nach deren Tod Freunde, Wächter und Beschützer zu machen. Es besteht in der zärtlichen Behandlung der abgeschnittenen Köpfe, wie manche wilde Stämme Borneos sich deren rühmen. Wenn die See-Dayaks von Sarawak von einem Kriegszug einen Kopf nach Hause bringen, so wird dieser Monate hindurch mit der ausgesuchtesten Liebenswürdigkeit behandelt und mit den zärtlichsten Namen angesprochen, über die ihre Sprache verfügt. Die besten Bissen von ihren Mahlzeiten werden ihm in den Mund gesteckt, Leckerbissen und Zigarren. Er wird wiederholt gebeten, seine früheren Freunde zu hassen und seinen neuen Wirten seine Liebe zu schenken, da er jetzt einer der Ihrigen ist. Man würde sehr irregehen, wenn man an dieser uns gräßlich erscheinenden Behandlung dem Hohn einen Anteil zuschriebe </w:t>
      </w:r>
      <w:hyperlink r:id="rId47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Adonis, Attis, Osiris, p. 248, 1907 – nach Low (1848).</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Bei mehreren der wilden Stämme Nordamerikas ist die Trauer um den erschlagenen und skalpierten Feind den Beobachtern aufgefallen. Wenn ein Choctaw einen Feind getötet hatte, so begann für ihn eine monatlange Trauer, während welcher er sich schweren Einschränkungen unterwarf. Ebenso trauerten die Dakota-Indianer. Wenn die Osagen, bemerkt ein Gewährsmann, ihre eigenen Toten betrauert hatten, so trauerten sie dann um den Feind, als ob er ein Freund gewesen wäre </w:t>
      </w:r>
      <w:hyperlink r:id="rId47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(1911, p. 181), nach Dorsey.</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Noch ehe wir auf die anderen Klassen von Tabugebräuchen zur Behandlung der Feinde eingehen, müssen wir gegen eine naheliegende Einwendung Stellung nehmen. Die Motivierung dieser Versöhnungsvorschriften, wird man uns mit Frazer und anderen entgegenhalten, ist einfach genug und hat nichts mit einer »Ambivalenz« zu tun. Diese Völker werden von abergläubischer Furcht vor den Geistern der Erschlagenen beherrscht, einer Furcht, die auch dem klassischen Altertum nicht fremd war, die der große britische Dramatiker in den Halluzinationen Macbeths und Richards III. auf die Bühne gebracht hat. Aus diesem Aberglauben leiten sich folgerichtig alle die Versöhnungsvorschriften ab, wie auch die später zu besprechenden Beschränkungen und Sühnungen; für diese Auffassung sprechen noch die in der vierten Gruppe vereinigten Zeremonien, die keine andere Auslegung zulassen als von Bemühungen, die den Mördern folgenden Geister der Erschlagenen zu verjagen </w:t>
      </w:r>
      <w:hyperlink r:id="rId47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Taboo, p. 169 usf., p. 174. Diese Zeremonien bestehen in Schlagen mit den Schilden, Schreien, Brüllen und Erzeugung von Lärm mit Hilfe von Instrumenten usw.</w:t>
        </w:r>
      </w:hyperlink>
      <w:r w:rsidRPr="00751AC0">
        <w:rPr>
          <w:rFonts w:ascii="Garamond" w:hAnsi="Garamond"/>
          <w:color w:val="000000"/>
          <w:lang w:val="en-GB"/>
        </w:rPr>
        <w:t>. Zum Überfluß gestehen die Wilden ihre Angst vor den Geistern der getöteten Feinde direkt ein und führen die besprochenen Tabugebräuche selbst auf sie zurück.</w:t>
      </w:r>
    </w:p>
    <w:p w:rsidR="00B6748F" w:rsidRPr="00751AC0" w:rsidRDefault="00B6748F" w:rsidP="00B6748F">
      <w:pPr>
        <w:rPr>
          <w:rFonts w:ascii="Garamond" w:hAnsi="Garamond"/>
          <w:color w:val="000000"/>
          <w:lang w:val="en-GB"/>
        </w:rPr>
      </w:pPr>
      <w:r w:rsidRPr="00751AC0">
        <w:rPr>
          <w:rFonts w:ascii="Garamond" w:hAnsi="Garamond"/>
          <w:color w:val="000000"/>
          <w:lang w:val="en-GB"/>
        </w:rPr>
        <w:t>Diese Einwendung ist in der Tat naheliegend, und wenn sie ebenso ausreichend wäre, könnten wir uns die Mühe unseres Erklärungsversuches gern ersparen. Wir verschieben es auf später, uns mit ihr auseinanderzusetzen, und stellen ihr zunächst nur die Auffassung entgegen, die sich aus den Voraussetzungen der vorigen Erörterungen über das Tabu ableitet. Wir schließen aus all diesen Vorschriften, daß im Benehmen gegen die Feinde noch andere als bloß feindselige Regungen zum Ausdruck kommen. Wir erblicken in ihnen Äußerungen der Reue, der Wertschätzung des Feindes, des bösen Gewissens, ihn ums Leben gebracht zu haben. Es will uns scheinen, als wäre auch in diesen Wilden das Gebot lebendig: »Du sollst nicht töten«, welches nicht ungestraft verletzt werden darf, lange vor jeder Gesetzgebung, die aus den Händen eines Gottes empfangen wird.</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Kehren wir nun zu den anderen Klassen von Tabuvorschriften zurück. Die </w:t>
      </w:r>
      <w:r w:rsidRPr="00751AC0">
        <w:rPr>
          <w:rFonts w:ascii="Garamond" w:hAnsi="Garamond"/>
          <w:i/>
          <w:iCs/>
          <w:color w:val="000000"/>
          <w:lang w:val="en-GB"/>
        </w:rPr>
        <w:t>Beschränkungen</w:t>
      </w:r>
      <w:r w:rsidRPr="00751AC0">
        <w:rPr>
          <w:rFonts w:ascii="Garamond" w:hAnsi="Garamond"/>
          <w:color w:val="000000"/>
          <w:lang w:val="en-GB"/>
        </w:rPr>
        <w:t xml:space="preserve"> des siegreichen Mörders sind ungemein häufig und meist von ernster Art. Auf Timor (vgl. die Versöhnungsgebräuche oben) darf der Führer der Expedition nicht ohneweiters in sein Haus zurückkehren. Es wird für ihn eine besondere Hütte errichtet, in welcher er zwei Monate mit der Befolgung verschiedener Reinigungsvorschriften verbringt. In dieser Zeit darf er sein Weib nicht sehen, auch sich nicht selbst ernähren, eine andere Person muß ihm das Essen in den Mund schieben </w:t>
      </w:r>
      <w:hyperlink r:id="rId47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Taboo, p. 166, nach Müller (1857).</w:t>
        </w:r>
      </w:hyperlink>
      <w:r w:rsidRPr="00751AC0">
        <w:rPr>
          <w:rFonts w:ascii="Garamond" w:hAnsi="Garamond"/>
          <w:color w:val="000000"/>
          <w:lang w:val="en-GB"/>
        </w:rPr>
        <w:t xml:space="preserve">. – Bei einigen Dayakstämmen müssen die vom erfolgreichen Kriegszug Heimkehrenden einige Tage lang abgesondert bleiben und sich gewisser Speisen enthalten, sie dürfen auch kein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berühren und bleiben ihren Frauen fern. – In Logea, einer Insel nahe Neuguinea, schließen sich Männer, die Feinde getötet oder daran teilgenommen haben, für eine Woche in ihren Häusern ein. Sie vermeiden jeden Umgang mit ihren Frauen und ihren Freunden, rühren Nahrungsmittel nicht mit ihren Händen an und nähren sich nur von Pflanzenkost, die in besonderen Gefäßen für sie gekocht wird. Als Grund für diese letzte Beschränkung wird angegeben, daß sie das Blut der Erschlagenen nicht riechen dürfen; sie würden sonst erkranken und sterben. – Bei dem Toaripi- oder Motumotu-Stamm auf Neuguinea darf ein Mann, der einen anderen getötet hat, seinem Weib nicht nahe kommen und Nahrung nicht mit seinen Fingern berühren. Er wird von anderen Personen mit besonderer Nahrung gefüttert. Dies dauert bis zum nächsten Neumond.</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Ich unterlasse es, die bei Frazer mitgeteilten Fälle von Beschränkungen des siegreichen Mörders vollzählig anzuführen, und hebe nur noch solche Beispiele hervor, in denen der Tabucharakter besonders auffällig ist oder die Beschränkung im Verein mit Sühne, Reinigung und Zeremoniell auftritt.</w:t>
      </w:r>
    </w:p>
    <w:p w:rsidR="00B6748F" w:rsidRPr="00751AC0" w:rsidRDefault="00B6748F" w:rsidP="00B6748F">
      <w:pPr>
        <w:rPr>
          <w:rFonts w:ascii="Garamond" w:hAnsi="Garamond"/>
          <w:color w:val="000000"/>
          <w:lang w:val="en-GB"/>
        </w:rPr>
      </w:pPr>
      <w:r w:rsidRPr="00751AC0">
        <w:rPr>
          <w:rFonts w:ascii="Garamond" w:hAnsi="Garamond"/>
          <w:color w:val="000000"/>
          <w:lang w:val="en-GB"/>
        </w:rPr>
        <w:t>»Bei den Monumbos in Deutsch-Neuguinea wird jeder, der einen Feind im Kampfe getötet hat, ›unrein‹«, wofür dasselbe Wort gebraucht wird, das auf Frauen während der Menstruation oder des Wochenbettes Anwendung findet. Er »darf durch lange Zeit das Klubhaus der Männer nicht verlassen, während sich die Mitbewohner seines Dorfes um ihn versammeln und seinen Sieg mit Liedern und Tänzen feiern. Er darf niemand, nicht einmal seine eigene Frau und seine Kinder berühren; täte er es, so würden sie von Geschwüren befallen werden. Er wird dann rein durch Waschungen« und anderes Zeremoniell.«</w:t>
      </w:r>
    </w:p>
    <w:p w:rsidR="00B6748F" w:rsidRPr="00751AC0" w:rsidRDefault="00B6748F" w:rsidP="00B6748F">
      <w:pPr>
        <w:rPr>
          <w:rFonts w:ascii="Garamond" w:hAnsi="Garamond"/>
          <w:color w:val="000000"/>
          <w:lang w:val="en-GB"/>
        </w:rPr>
      </w:pPr>
      <w:r w:rsidRPr="00751AC0">
        <w:rPr>
          <w:rFonts w:ascii="Garamond" w:hAnsi="Garamond"/>
          <w:color w:val="000000"/>
          <w:lang w:val="en-GB"/>
        </w:rPr>
        <w:t>»Bei den Natchez in Nordamerika waren junge Krieger, die den ersten Skalp erbeutet hatten, durch sechs Monate zur Befolgung gewisser Entsagungen genötigt. Sie durften nicht bei ihren Frauen schlafen und kein Fleisch essen, erhielten nur Fisch und Maispudding zur Nahrung ... Wenn ein Choctaw einen Feind getötet und skalpiert hatte, begann für ihn eine Trauerzeit von einem Monat, während welcher er sein Haar nicht kämmen durfte. Wenn es ihn am Kopfe juckte, durfte er sich nicht mit der Hand kratzen, sondern bediente sich dazu eines kleinen Steckens...«</w:t>
      </w:r>
    </w:p>
    <w:p w:rsidR="00B6748F" w:rsidRPr="00751AC0" w:rsidRDefault="00B6748F" w:rsidP="00B6748F">
      <w:pPr>
        <w:rPr>
          <w:rFonts w:ascii="Garamond" w:hAnsi="Garamond"/>
          <w:color w:val="000000"/>
          <w:lang w:val="en-GB"/>
        </w:rPr>
      </w:pPr>
      <w:r w:rsidRPr="00751AC0">
        <w:rPr>
          <w:rFonts w:ascii="Garamond" w:hAnsi="Garamond"/>
          <w:color w:val="000000"/>
          <w:lang w:val="en-GB"/>
        </w:rPr>
        <w:t>»Wenn ein Pima-Indianer einen Apachen getötet hatte, so mußte er sich schweren Reinigungs- und Sühnezeremonien unterwerfen. Während einer sechzehntägigen Fastenzeit durfte er Fleisch und Salz nicht berühren, auf kein brennendes Feuer schauen, zu keinem Menschen sprechen. Er lebte allein im Walde, von einer alten Frau bedient, die ihm spärliche Nahrung brachte, badete oft im nächsten Fluß und trug – als Zeichen der Trauer – einen Klumpen Lehm auf seinem Haupte. Am siebzehnten Tage fand dann die öffentliche Zeremonie der feierlichen Reinigung des Mannes und seiner Waffen statt. Da die Pima-Indianer das Tabu des Mörders viel ernster nahmen als ihre Feinde und die Sühne und Reinigung nicht wie diese bis nach der Beendigung des Feldzuges aufzuschieben pflegten, litt ihre Kriegstüchtigkeit sehr unter ihrer sittlichen Strenge oder Frömmigkeit, wenn man will. Trotz ihrer außerordentlichen Tapferkeit erwiesen sie sich den Amerikanern als unbefriedigende Bundesgenossen in ihren Kämpfen gegen die Apachen.«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So interessant die Einzelheiten und Variationen der Sühne- und Reinigungszeremonien nach Tötung eines Feindes für eine tiefer eindringende Betrachtung auch sein mögen, so breche ich deren Mitteilung doch ab, weil sie uns keine neuen Gesichtspunkte eröffnen können. Vielleicht führe ich noch an, daß die zeitweilige oder permanente Isolierung des berufsmäßigen Henkers, die sich bis in unsere Neuzeit erhalten hat, in diesen Zusammenhang gehört. Die Stellung des »Freimannes« in der mittelalterlichen Gesellschaft vermittelt in der Tat eine gute Vorstellung von dem »Tabu« der Wilden </w:t>
      </w:r>
      <w:hyperlink r:id="rId47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Zu diesen Beispielen s. Frazer, Taboo, p. 165–190), ›Manslayers tabooed‹.</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In der gangbaren Erklärung all dieser Versöhnungs-, Beschränkungs-, Sühne- und Reinigungsvorschriften werden zwei Prinzipien miteinander kombiniert. Die Fortsetzung des Tabu vom Toten her auf alles, was mit ihm in Berührung gekommen ist, und die Furcht vor dem Geist des Getöteten. Auf welche Weise diese beiden Momente miteinander zur Erklärung des Zeremoniells zu kombinieren sind, ob sie als gleichwertig aufgefaßt werden sollen, ob das eine das primäre, das andere sekundär ist, und welches, das wird nicht gesagt und ist in der Tat nicht leicht anzugeben. Demgegenüber betonen wir die Einheitlichkeit unserer Auffassung, wenn wir all diese Vorschriften aus der Ambivalenz der Gefühlsregungen gegen den Feind ableiten.</w:t>
      </w:r>
    </w:p>
    <w:p w:rsidR="00B6748F" w:rsidRPr="00751AC0" w:rsidRDefault="00B6748F" w:rsidP="00B6748F">
      <w:pPr>
        <w:rPr>
          <w:rFonts w:ascii="Garamond" w:hAnsi="Garamond"/>
          <w:caps/>
          <w:color w:val="000000"/>
          <w:lang w:val="en-GB"/>
        </w:rPr>
      </w:pPr>
      <w:r w:rsidRPr="00751AC0">
        <w:rPr>
          <w:rFonts w:ascii="Garamond" w:hAnsi="Garamond"/>
          <w:caps/>
          <w:color w:val="000000"/>
          <w:lang w:val="en-GB"/>
        </w:rPr>
        <w:t>b) Das Tabu der Herrscher</w:t>
      </w:r>
    </w:p>
    <w:p w:rsidR="00B6748F" w:rsidRPr="00751AC0" w:rsidRDefault="00B6748F" w:rsidP="00B6748F">
      <w:pPr>
        <w:rPr>
          <w:rFonts w:ascii="Garamond" w:hAnsi="Garamond"/>
          <w:color w:val="000000"/>
        </w:rPr>
      </w:pPr>
      <w:r w:rsidRPr="00751AC0">
        <w:rPr>
          <w:rFonts w:ascii="Garamond" w:hAnsi="Garamond"/>
          <w:color w:val="000000"/>
          <w:lang w:val="en-GB"/>
        </w:rPr>
        <w:t xml:space="preserve">Das Benehmen primitiver Völker gegen ihre Häuptlinge, Könige, Priester wird von zwei Grundsätzen regiert, die einander eher zu ergänzen als zu widersprechen scheinen. Man muß sich vor ihnen hüten, und </w:t>
      </w:r>
      <w:r w:rsidRPr="00751AC0">
        <w:rPr>
          <w:rFonts w:ascii="Garamond" w:hAnsi="Garamond"/>
          <w:color w:val="000000"/>
          <w:lang w:val="en-GB"/>
        </w:rPr>
        <w:lastRenderedPageBreak/>
        <w:t xml:space="preserve">man muß sie behüten </w:t>
      </w:r>
      <w:hyperlink r:id="rId47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Frazer, Taboo </w:t>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 p. 132. » </w:t>
        </w:r>
        <w:r w:rsidRPr="00751AC0">
          <w:rPr>
            <w:rStyle w:val="innerfusslink3"/>
            <w:rFonts w:ascii="Garamond" w:hAnsi="Garamond" w:cs="Arial"/>
            <w:b/>
            <w:bCs/>
            <w:i/>
            <w:iCs/>
            <w:lang w:val="en-GB"/>
          </w:rPr>
          <w:t>He must not only be guarded, he must also be guarded against.</w:t>
        </w:r>
        <w:r w:rsidRPr="00751AC0">
          <w:rPr>
            <w:rStyle w:val="innerfusslink3"/>
            <w:rFonts w:ascii="Garamond" w:hAnsi="Garamond" w:cs="Arial"/>
            <w:b/>
            <w:bCs/>
            <w:lang w:val="en-GB"/>
          </w:rPr>
          <w:t>«</w:t>
        </w:r>
      </w:hyperlink>
      <w:r w:rsidRPr="00751AC0">
        <w:rPr>
          <w:rFonts w:ascii="Garamond" w:hAnsi="Garamond"/>
          <w:color w:val="000000"/>
        </w:rPr>
        <w:t>. Beides geschieht vermittels einer Unzahl von Tabuvorschriften. Warum man sich vor den Herrschern hüten muß, ist uns bereits bekannt geworden: weil sie die Träger jener geheimnisvollen und gefährlichen Zauberkraft sind, die sich wie eine elektrische Ladung durch Berührung mitteilt und dem selbst nicht durch eine ähnliche Ladung Geschützten Tod und Verderben bringt. Man vermeidet also jede mittelbare oder unmittelbare Berührung mit der gefährlichen Heiligkeit und hat, wo solche nicht zu vermeiden ist, ein Zeremoniell gefunden, um die gefürchteten Folgen abzuwenden. Die Nubas in Ostafrika glauben z. B., »daß sie sterben müssen, wenn sie das Haus ihres Priesterkönigs betreten, daß sie aber dieser Gefahr entgehen, wenn sie beim Eintritt die linke Schulter entblößen und den König veranlassen, diese mit seiner Hand zu berühren«. So trifft das Merkwürdige ein, daß die Berührung des Königs das Heil- und Schutzmittel gegen die Gefahren wird, welche aus der Berührung des Königs hervorgehen, aber es handelt sich dabei wohl um die Heilkraft der absichtlichen, vom König ausgehenden Berührung im Gegensatz zur Gefahr, daß man ihn berühre, um den Gegensatz der Passivität und der Aktivität gegen den König.</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Wenn es sich um die Heilwirkung der königlichen Berührung handelt, brauchen wir die Beispiele nicht bei Wilden zu suchen. Die Könige von England haben in Zeiten, die noch nicht weit zurückliegen, diese Kraft an der Skrofulöse geübt, die darum den Namen: » </w:t>
      </w:r>
      <w:r w:rsidRPr="00751AC0">
        <w:rPr>
          <w:rFonts w:ascii="Garamond" w:hAnsi="Garamond"/>
          <w:i/>
          <w:iCs/>
          <w:color w:val="000000"/>
          <w:lang w:val="en-GB"/>
        </w:rPr>
        <w:t>The King's Evil</w:t>
      </w:r>
      <w:r w:rsidRPr="00751AC0">
        <w:rPr>
          <w:rFonts w:ascii="Garamond" w:hAnsi="Garamond"/>
          <w:color w:val="000000"/>
          <w:lang w:val="en-GB"/>
        </w:rPr>
        <w:t>« trug. Königin Elisabeth entsagte diesem Stück ihrer königlichen Prärogative ebensowenig wie irgend einer ihrer späteren Nachfolger. Charles I. soll im Jahre 1633 hundert Kranke auf einen Streich geheilt haben. Unter dessen zuchtlosem Sohn Charles II. feierten nach der Überwindung der großen englischen Revolution die Königsheilungen bei Skrofeln ihre höchste Blüte.</w:t>
      </w:r>
    </w:p>
    <w:p w:rsidR="00B6748F" w:rsidRPr="00B6748F" w:rsidRDefault="00B6748F" w:rsidP="00B6748F">
      <w:pPr>
        <w:rPr>
          <w:rFonts w:ascii="Garamond" w:hAnsi="Garamond"/>
          <w:color w:val="000000"/>
          <w:lang w:val="en-US"/>
        </w:rPr>
      </w:pPr>
      <w:r w:rsidRPr="00751AC0">
        <w:rPr>
          <w:rFonts w:ascii="Garamond" w:hAnsi="Garamond"/>
          <w:color w:val="000000"/>
          <w:lang w:val="en-GB"/>
        </w:rPr>
        <w:t xml:space="preserve">Dieser König soll im Laufe seiner Regierung bei hunderttausend Skrofulöse berührt haben. Das Gedränge der Heilungsuchenden pflegte bei dieser Gelegenheit so groß zu sein, daß einmal sechs oder sieben von ihnen anstatt der Heilung den Tod durch Erdrücktwerden fanden. Der skeptische Oranier Wilhelm III., der nach der Vertreibung der Stuarts König von England wurde, weigerte sich des Zaubers; das einzigemal, als er sich zu einer solchen Berührung herbeiließ, tat er es mit den Worten: »Gott gebe Euch eine bessere Gesundheit und mehr Verstand.« </w:t>
      </w:r>
      <w:hyperlink r:id="rId480" w:anchor="#" w:history="1">
        <w:r w:rsidRPr="00B6748F">
          <w:rPr>
            <w:rStyle w:val="fusslink"/>
            <w:rFonts w:ascii="Garamond" w:hAnsi="Garamond" w:cs="Arial"/>
            <w:b/>
            <w:bCs/>
            <w:color w:val="003399"/>
            <w:lang w:val="en-US"/>
          </w:rPr>
          <w:t>[Fußnote]</w:t>
        </w:r>
        <w:r w:rsidRPr="00B6748F">
          <w:rPr>
            <w:rStyle w:val="innerfusslink3"/>
            <w:rFonts w:ascii="Garamond" w:hAnsi="Garamond" w:cs="Arial"/>
            <w:b/>
            <w:bCs/>
            <w:lang w:val="en-US"/>
          </w:rPr>
          <w:t>Frazer, The magic art I, p. 368.</w:t>
        </w:r>
      </w:hyperlink>
    </w:p>
    <w:p w:rsidR="00B6748F" w:rsidRPr="00751AC0" w:rsidRDefault="00B6748F" w:rsidP="00B6748F">
      <w:pPr>
        <w:rPr>
          <w:rFonts w:ascii="Garamond" w:hAnsi="Garamond"/>
          <w:color w:val="000000"/>
        </w:rPr>
      </w:pPr>
      <w:r w:rsidRPr="00B6748F">
        <w:rPr>
          <w:rFonts w:ascii="Garamond" w:hAnsi="Garamond"/>
          <w:color w:val="000000"/>
          <w:lang w:val="en-US"/>
        </w:rPr>
        <w:t xml:space="preserve">Von der fürchterlichen Wirkung der Berührung, in welcher man, ob auch unabsichtlich, </w:t>
      </w:r>
      <w:r w:rsidRPr="00B6748F">
        <w:rPr>
          <w:rFonts w:ascii="Garamond" w:hAnsi="Garamond"/>
          <w:i/>
          <w:iCs/>
          <w:color w:val="000000"/>
          <w:lang w:val="en-US"/>
        </w:rPr>
        <w:t>gegen</w:t>
      </w:r>
      <w:r w:rsidRPr="00B6748F">
        <w:rPr>
          <w:rFonts w:ascii="Garamond" w:hAnsi="Garamond"/>
          <w:color w:val="000000"/>
          <w:lang w:val="en-US"/>
        </w:rPr>
        <w:t xml:space="preserve"> den König oder das, was zu ihm gehört, aktiv wird, mag folgender Bericht Zeugnis ablegen. »Ein Häuptling von hohem Rang und großer Heiligkeit auf Neuseeland hatte einst die Reste seiner Mahlzeit am Wege stehenlassen. Da kam ein Sklave daher, ein junger, kräftiger, hungriger Gesell, sah das Zurückgelassene und machte sich darüber, um es aufzuessen. Kaum war er fertig worden, da teilte ihm ein entsetzter Zuschauer mit, daß es die Mahlzeit des Häuptlings gewesen sei, an welcher er sich vergangen habe.« Er war ein starker, mutiger Krieger gewesen, aber sobald er diese Auskunft vernommen hatte, stürzte er zusammen, wurde von gräßlichen Zuckungen befallen und starb gegen Sonnenuntergang des nächsten Tages </w:t>
      </w:r>
      <w:hyperlink r:id="rId481" w:anchor="#" w:history="1">
        <w:r w:rsidRPr="00B6748F">
          <w:rPr>
            <w:rStyle w:val="fusslink"/>
            <w:rFonts w:ascii="Garamond" w:hAnsi="Garamond" w:cs="Arial"/>
            <w:b/>
            <w:bCs/>
            <w:color w:val="003399"/>
            <w:lang w:val="en-US"/>
          </w:rPr>
          <w:t>[Fußnote]</w:t>
        </w:r>
        <w:r w:rsidRPr="00B6748F">
          <w:rPr>
            <w:rStyle w:val="innerfusslink3"/>
            <w:rFonts w:ascii="Garamond" w:hAnsi="Garamond" w:cs="Arial"/>
            <w:b/>
            <w:bCs/>
            <w:lang w:val="en-US"/>
          </w:rPr>
          <w:t>Old New Zealand, by a Pekeha Maori (London 1884), bei Frazer, Taboo, p. 135.</w:t>
        </w:r>
      </w:hyperlink>
      <w:r w:rsidRPr="00B6748F">
        <w:rPr>
          <w:rFonts w:ascii="Garamond" w:hAnsi="Garamond"/>
          <w:color w:val="000000"/>
          <w:lang w:val="en-US"/>
        </w:rPr>
        <w:t xml:space="preserve">. »Eine Maorifrau hatte gewisse Früchte gegessen und dann erfahren, daß diese von einem mit Tabu belegten Orte herrührten. Sie schrie auf, der Geist des Häuptlings, den sie so beleidigt, werde sie gewiß töten. Dies geschah am Nachmittag, und am nächsten Tag um zwölf Uhr war sie tot.« </w:t>
      </w:r>
      <w:hyperlink r:id="rId482"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(loc. cit.), nach Brown (1845).</w:t>
        </w:r>
      </w:hyperlink>
      <w:r w:rsidRPr="00751AC0">
        <w:rPr>
          <w:rFonts w:ascii="Garamond" w:hAnsi="Garamond"/>
          <w:color w:val="000000"/>
        </w:rPr>
        <w:t xml:space="preserve"> »Das Feuerzeug eines Maori-Häuptlings brachte einmal mehrere Personen ums Leben. </w:t>
      </w:r>
      <w:r w:rsidRPr="00751AC0">
        <w:rPr>
          <w:rFonts w:ascii="Garamond" w:hAnsi="Garamond"/>
          <w:color w:val="000000"/>
          <w:lang w:val="en-GB"/>
        </w:rPr>
        <w:t xml:space="preserve">Der Häuptling hatte es verloren, andere fanden es und bedienten sich seiner, um ihre Pfeifen anzuzünden. Als sie erfuhren, wessen Eigentum das Feuerzeug sei, starben sie vor Schrecken.« </w:t>
      </w:r>
      <w:hyperlink r:id="rId483"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(loc. cit.).</w:t>
        </w:r>
      </w:hyperlink>
    </w:p>
    <w:p w:rsidR="00B6748F" w:rsidRPr="00751AC0" w:rsidRDefault="00B6748F" w:rsidP="00B6748F">
      <w:pPr>
        <w:rPr>
          <w:rFonts w:ascii="Garamond" w:hAnsi="Garamond"/>
          <w:color w:val="000000"/>
        </w:rPr>
      </w:pPr>
      <w:r w:rsidRPr="00751AC0">
        <w:rPr>
          <w:rFonts w:ascii="Garamond" w:hAnsi="Garamond"/>
          <w:color w:val="000000"/>
        </w:rPr>
        <w:t xml:space="preserve">Es ist nicht zu verwundern, wenn sich das Bedürfnis fühlbar machte, so gefährliche Personen wie Häuptlinge und Priester von den anderen zu isolieren, eine Mauer um sie aufzuführen, hinter welcher sie </w:t>
      </w:r>
      <w:r w:rsidRPr="00751AC0">
        <w:rPr>
          <w:rFonts w:ascii="Garamond" w:hAnsi="Garamond"/>
          <w:color w:val="000000"/>
        </w:rPr>
        <w:lastRenderedPageBreak/>
        <w:t>für die anderen unzugänglich waren. Es mag uns die Erkenntnis dämmern, daß diese ursprünglich aus Tabuvorschriften gefügte Mauer heute noch als höfisches Zeremoniell existiert.</w:t>
      </w:r>
    </w:p>
    <w:p w:rsidR="00B6748F" w:rsidRPr="00751AC0" w:rsidRDefault="00B6748F" w:rsidP="00B6748F">
      <w:pPr>
        <w:rPr>
          <w:rFonts w:ascii="Garamond" w:hAnsi="Garamond"/>
          <w:color w:val="000000"/>
          <w:lang w:val="en-GB"/>
        </w:rPr>
      </w:pPr>
      <w:r w:rsidRPr="00751AC0">
        <w:rPr>
          <w:rFonts w:ascii="Garamond" w:hAnsi="Garamond"/>
          <w:color w:val="000000"/>
        </w:rPr>
        <w:t xml:space="preserve">Aber der vielleicht größere Teil dieses Tabu der Herrscher läßt sich nicht auf das Bedürfnis des Schutzes </w:t>
      </w:r>
      <w:r w:rsidRPr="00751AC0">
        <w:rPr>
          <w:rFonts w:ascii="Garamond" w:hAnsi="Garamond"/>
          <w:i/>
          <w:iCs/>
          <w:color w:val="000000"/>
        </w:rPr>
        <w:t>vor</w:t>
      </w:r>
      <w:r w:rsidRPr="00751AC0">
        <w:rPr>
          <w:rFonts w:ascii="Garamond" w:hAnsi="Garamond"/>
          <w:color w:val="000000"/>
        </w:rPr>
        <w:t xml:space="preserve"> ihnen zurückführen. </w:t>
      </w:r>
      <w:r w:rsidRPr="00751AC0">
        <w:rPr>
          <w:rFonts w:ascii="Garamond" w:hAnsi="Garamond"/>
          <w:color w:val="000000"/>
          <w:lang w:val="en-GB"/>
        </w:rPr>
        <w:t>Der andere Gesichtspunkt in der Behandlung der privilegierten Personen, das Bedürfnis, sie selbst vor den ihnen drohenden Gefahren zu schützen, hat an der Schaffung der Tabu und somit an der Entstehung der höfischen Etikette den deutlichsten Anteil gehabt.</w:t>
      </w:r>
    </w:p>
    <w:p w:rsidR="00B6748F" w:rsidRPr="00751AC0" w:rsidRDefault="00B6748F" w:rsidP="00B6748F">
      <w:pPr>
        <w:rPr>
          <w:rFonts w:ascii="Garamond" w:hAnsi="Garamond"/>
          <w:color w:val="000000"/>
        </w:rPr>
      </w:pPr>
      <w:r w:rsidRPr="00751AC0">
        <w:rPr>
          <w:rFonts w:ascii="Garamond" w:hAnsi="Garamond"/>
          <w:color w:val="000000"/>
          <w:lang w:val="en-GB"/>
        </w:rPr>
        <w:t xml:space="preserve">Die Notwendigkeit, den König vor allen erdenklichen Gefahren zu schützen, ergibt sich aus seiner ungeheuren Bedeutung für das Wohl und Wehe seiner Untertanen. Strenggenommen ist es seine Person, die den Lauf der Welt reguliert; »sein Volk hat ihm nicht nur für den Regen und Sonnenschein zu danken, der die Früchte der Erde gedeihen läßt, sondern auch für den Wind, der Schiffe an ihre Küste bringt, und für den festen Boden, auf den sie ihre Füße setzen.« </w:t>
      </w:r>
      <w:hyperlink r:id="rId484"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Taboo. The burden of royality, 1911 p. 7.</w:t>
        </w:r>
      </w:hyperlink>
    </w:p>
    <w:p w:rsidR="00B6748F" w:rsidRPr="00751AC0" w:rsidRDefault="00B6748F" w:rsidP="00B6748F">
      <w:pPr>
        <w:rPr>
          <w:rFonts w:ascii="Garamond" w:hAnsi="Garamond"/>
          <w:color w:val="000000"/>
        </w:rPr>
      </w:pPr>
      <w:r w:rsidRPr="00751AC0">
        <w:rPr>
          <w:rFonts w:ascii="Garamond" w:hAnsi="Garamond"/>
          <w:color w:val="000000"/>
        </w:rPr>
        <w:t>Diese Könige der Wilden sind mit einer Machtfülle und einer Fähigkeit zu beglücken ausgestattet, die nur Göttern zu eigen ist und an welche auf späteren Stufen der Zivilisation nur die servilsten ihrer Höflinge Glauben heucheln werden.</w:t>
      </w:r>
    </w:p>
    <w:p w:rsidR="00B6748F" w:rsidRPr="00751AC0" w:rsidRDefault="00B6748F" w:rsidP="00B6748F">
      <w:pPr>
        <w:rPr>
          <w:rFonts w:ascii="Garamond" w:hAnsi="Garamond"/>
          <w:color w:val="000000"/>
          <w:lang w:val="en-GB"/>
        </w:rPr>
      </w:pPr>
      <w:r w:rsidRPr="00751AC0">
        <w:rPr>
          <w:rFonts w:ascii="Garamond" w:hAnsi="Garamond"/>
          <w:color w:val="000000"/>
        </w:rPr>
        <w:t xml:space="preserve">Es erscheint ein offenbarer Widerspruch, daß Personen von solcher Machtvollkommenheit selbst der größten Sorgfalt bedürfen, um vor den sie bedrohenden Gefahren beschützt zu werden, aber es ist nicht der einzige Widerspruch, der in der Behandlung königlicher Personen bei den Wilden zutage tritt. Diese Völker halten es auch für notwendig, ihre Könige zu überwachen, daß sie ihre Kräfte im rechten Sinne verwenden; sie sind ihrer guten Intentionen oder ihrer Gewissenhaftigkeit keineswegs sicher. Ein Zug von Mißtrauen mengt sich der Motivierung der Tabuvorschriften für den König bei. »Die Idee, daß urzeitliches Königstum ein Despotismus ist«, sagt Frazer (ibid., </w:t>
      </w:r>
      <w:smartTag w:uri="urn:schemas-microsoft-com:office:smarttags" w:element="metricconverter">
        <w:smartTagPr>
          <w:attr w:name="ProductID" w:val="7 f"/>
        </w:smartTagPr>
        <w:r w:rsidRPr="00751AC0">
          <w:rPr>
            <w:rFonts w:ascii="Garamond" w:hAnsi="Garamond"/>
            <w:color w:val="000000"/>
          </w:rPr>
          <w:t>7 f</w:t>
        </w:r>
      </w:smartTag>
      <w:r w:rsidRPr="00751AC0">
        <w:rPr>
          <w:rFonts w:ascii="Garamond" w:hAnsi="Garamond"/>
          <w:color w:val="000000"/>
        </w:rPr>
        <w:t xml:space="preserve">.), »demzufolge das Volk nur für seinen Herrscher existiert, ist auf die Monarchien, die wir hier im Auge haben, ganz und gar nicht anwendbar. </w:t>
      </w:r>
      <w:r w:rsidRPr="00751AC0">
        <w:rPr>
          <w:rFonts w:ascii="Garamond" w:hAnsi="Garamond"/>
          <w:color w:val="000000"/>
          <w:lang w:val="en-GB"/>
        </w:rPr>
        <w:t>Im Gegenteile, in diesen lebt der Herrscher nur für seine Untertanen; sein Leben hat einen Wert nur so lange, als er die Pflichten seiner Stellung erfüllt, den Lauf der Natur zum Besten seines Volkes regelt. Sobald er darin nachläßt oder versagt, wandeln sich die Sorgfalt, die Hingebung, die religiöse Verehrung, deren Gegenstand er bisher im ausgiebigsten Maße war, in Haß und Verachtung um. Er wird schmählich davongejagt und mag froh sein, wenn er das nackte Leben rettet. Heute noch als Gott verehrt, mag es ihm passieren, morgen als Verbrecher erschlagen zu werden. Aber wir haben kein Recht, dies veränderte Benehmen seines Volkes als Unbeständigkeit oder Widerspruch zu verurteilen, das Volk bleibt vielmehr durchaus konsequent. Wenn ihr König ihr Gott ist, so denken sie, muß er sich auch als ihr Beschützer erweisen; und wenn er sie nicht beschützen will, soll er einem anderen, der bereitwilliger ist, den Platz räumen. Solange er aber ihren Erwartungen entspricht, kennt ihre Sorgfalt für ihn keine Grenzen, und sie nötigen ihn dazu, sich selbst mit der gleichen Fürsorge zu behandeln. Ein solcher König lebt wie eingemauert hinter einem System von Zeremoniell und Etikette, eingesponnen in ein Netz von Gebräuchen und Verboten, deren Absicht keineswegs dahin geht, seine Würde zu erhöhen, noch weniger sein Wohlbehagen zu steigern, sondern die einzig und allein bezwecken, ihn vor Schritten zurückzuhalten, welche die Harmonie der Natur stören und so ihn, sein Volk und das ganze Weltall gleichzeitig zugrunde richten könnten. Diese Vorschriften, weit entfernt, seinem Behagen zu dienen, mengen sich in jede seiner Handlungen, heben seine Freiheit auf und machen ihm das Leben, das sie angeblich versichern wollen, zur Bürde und zur Qual.«</w:t>
      </w:r>
    </w:p>
    <w:p w:rsidR="00B6748F" w:rsidRPr="00751AC0" w:rsidRDefault="00B6748F" w:rsidP="00B6748F">
      <w:pPr>
        <w:rPr>
          <w:rFonts w:ascii="Garamond" w:hAnsi="Garamond"/>
          <w:color w:val="000000"/>
        </w:rPr>
      </w:pPr>
      <w:r w:rsidRPr="00751AC0">
        <w:rPr>
          <w:rFonts w:ascii="Garamond" w:hAnsi="Garamond"/>
          <w:color w:val="000000"/>
          <w:lang w:val="en-GB"/>
        </w:rPr>
        <w:t xml:space="preserve">Eines der grellsten Beispiele von solcher Fesselung und Lähmung eines heiligen Herrschers durch das Tabuzeremoniell scheint in der Lebensweise des Mikado von Japan in früheren Jahrhunderten erzielt worden zu sein. Eine Beschreibung, die jetzt über zweihundert Jahre alt ist </w:t>
      </w:r>
      <w:hyperlink r:id="rId48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Kaempfer (1727), bei Frazer (1911, p. 3 f.).</w:t>
        </w:r>
      </w:hyperlink>
      <w:r w:rsidRPr="00751AC0">
        <w:rPr>
          <w:rFonts w:ascii="Garamond" w:hAnsi="Garamond"/>
          <w:color w:val="000000"/>
          <w:lang w:val="en-GB"/>
        </w:rPr>
        <w:t xml:space="preserve">, erzählt: »Der Mikado glaubt, daß es seiner Würde und Heiligkeit nicht </w:t>
      </w:r>
      <w:r w:rsidRPr="00751AC0">
        <w:rPr>
          <w:rFonts w:ascii="Garamond" w:hAnsi="Garamond"/>
          <w:color w:val="000000"/>
          <w:lang w:val="en-GB"/>
        </w:rPr>
        <w:lastRenderedPageBreak/>
        <w:t xml:space="preserve">angemessen sei, den Boden mit den Füßen zu berühren; wenn er also irgendwohin gehen will, muß er auf den Schultern von Männern hingetragen werden. </w:t>
      </w:r>
      <w:r w:rsidRPr="00751AC0">
        <w:rPr>
          <w:rFonts w:ascii="Garamond" w:hAnsi="Garamond"/>
          <w:color w:val="000000"/>
        </w:rPr>
        <w:t>Es geht aber noch viel weniger an, daß er seine heilige Person der freien Luft aussetze, und die Sonne wird der Ehre nicht gewürdigt, auf sein Haupt zu scheinen. Allen Teilen seines Körpers wird eine so hohe Heiligkeit zugeschrieben, daß weder sein Haupthaar noch sein Bart geschoren und seine Nägel nicht geschnitten werden dürfen. Damit er aber nicht zu sehr verwahrlose, waschen sie ihn nachts, wenn er schläft: sie sagen, was man in diesem Zustand von seinem Körper nimmt, kann nur als gestohlen aufgefaßt werden, und ein solcher Diebstahl tut seiner Würde und Heiligkeit keinen Eintrag. In noch früheren Zeiten mußte er jeden Vormittag einige Stunden lang mit der Kaiserkrone auf dem Haupte auf dem Throne sitzen, aber er mußte sitzen wie eine Statue, ohne Hände, Füße, Kopf oder Augen zu bewegen; nur so, meinte man, könne er Ruhe und Frieden im Reiche erhalten. Wenn er unseligerweise sich nach der einen oder der anderen Seite wenden sollte, oder eine Zeitlang den Blick bloß auf einen Teil seines Reiches richtete, so würden Krieg, Hungersnot, Feuer, Pest oder sonst ein großes Unheil hereinbrechen, um das Land zu verheeren.«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Einige der Tabu, denen barbarische Könige unterworfen sind, mahnen lebhaft an die Beschränkungen der Mörder. In Shark Point bei Kap Padron in Unter-Guinea (Westafrika) »lebt ein Priesterkönig, Kukulu, allein in einem Wald. Er darf kein Weib berühren, auch sein Haus nicht verlassen, ja nicht einmal von seinem Stuhl aufstehen, in dem er sitzend schlafen muß. Wenn er sich niederlegte, würde der Wind aufhören und die Schiffahrt gestört sein. Seine Funktion ist es, die Stürme in Schranken zu halten und im allgemeinen für einen gleichmäßig gesunden Zustand der Atmosphäre zu sorgen« </w:t>
      </w:r>
      <w:hyperlink r:id="rId48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l. c., p. 5), nach Bastian (1874–75).</w:t>
        </w:r>
      </w:hyperlink>
      <w:r w:rsidRPr="00751AC0">
        <w:rPr>
          <w:rFonts w:ascii="Garamond" w:hAnsi="Garamond"/>
          <w:color w:val="000000"/>
          <w:lang w:val="en-GB"/>
        </w:rPr>
        <w:t>. Je mächtiger ein König von Loango ist, sagt Bastian, desto mehr Tabu muß er beobachten. Auch der Thronfolger ist von Kindheit an an sie gebunden, aber sie häufen sich um ihn, während er heranwächst; im Momente der Thronbesteigung ist er von ihnen erstickt.</w:t>
      </w:r>
    </w:p>
    <w:p w:rsidR="00B6748F" w:rsidRPr="00751AC0" w:rsidRDefault="00B6748F" w:rsidP="00B6748F">
      <w:pPr>
        <w:rPr>
          <w:rFonts w:ascii="Garamond" w:hAnsi="Garamond"/>
          <w:color w:val="000000"/>
          <w:lang w:val="en-GB"/>
        </w:rPr>
      </w:pPr>
      <w:r w:rsidRPr="00751AC0">
        <w:rPr>
          <w:rFonts w:ascii="Garamond" w:hAnsi="Garamond"/>
          <w:color w:val="000000"/>
          <w:lang w:val="en-GB"/>
        </w:rPr>
        <w:t>Unser Raum gestattet es nicht und unser Interesse erfordert es nicht, daß wir in die Beschreibung der an der Königs- oder Priesterwürde haftenden Tabu weiter eingehen. Führen wir noch an, daß Beschränkungen der freien Bewegung und der Diät die Hauptrolle unter ihnen spielen. Wie konservierend aber auf alte Gebräuche der Zusammenhang mit diesen privilegierten Personen wirkt, mag aus zwei Beispielen von Tabuzeremoniell hervorgehen, die von zivilisierten Völkern, also von weit höheren Kulturstufen, genommen sind.</w:t>
      </w:r>
    </w:p>
    <w:p w:rsidR="00B6748F" w:rsidRPr="00751AC0" w:rsidRDefault="00B6748F" w:rsidP="00B6748F">
      <w:pPr>
        <w:rPr>
          <w:rFonts w:ascii="Garamond" w:hAnsi="Garamond"/>
          <w:color w:val="000000"/>
        </w:rPr>
      </w:pPr>
      <w:r w:rsidRPr="00751AC0">
        <w:rPr>
          <w:rFonts w:ascii="Garamond" w:hAnsi="Garamond"/>
          <w:color w:val="000000"/>
          <w:lang w:val="en-GB"/>
        </w:rPr>
        <w:t xml:space="preserve">Der </w:t>
      </w:r>
      <w:r w:rsidRPr="00751AC0">
        <w:rPr>
          <w:rFonts w:ascii="Garamond" w:hAnsi="Garamond"/>
          <w:i/>
          <w:iCs/>
          <w:color w:val="000000"/>
          <w:lang w:val="en-GB"/>
        </w:rPr>
        <w:t>Flamen Dialis</w:t>
      </w:r>
      <w:r w:rsidRPr="00751AC0">
        <w:rPr>
          <w:rFonts w:ascii="Garamond" w:hAnsi="Garamond"/>
          <w:color w:val="000000"/>
          <w:lang w:val="en-GB"/>
        </w:rPr>
        <w:t xml:space="preserve">, der Oberpriester des Jupiter im alten Rom, hatte eine außerordentlich große Anzahl von Tabugeboten zu beobachten. Er »durfte nicht reiten, kein Pferd, keine Bewaffneten sehen, keinen Ring tragen, der nicht zerbrochen war, keinen Knoten an seinen Gewändern haben; ... Weizenmehl und Sauerteig nicht berühren, eine Ziege, einen Hund, rohes Fleisch, Bohnen und Efeu nicht einmal beim Namen nennen; ... sein Haar durfte nur von einem freien Mann mit einem Bronzemesser geschnitten, seine Haare und Nägelabfälle mußten unter einem glückbringenden Baum vergraben werden; ... er durfte keinen Toten anrühren; ... nicht unbedeckten Hauptes unter freiem Himmel stehen« u. dgl. Seine Frau, die Flaminica, hatte überdies ihre eigenen Verbote: Sie durfte auf einer gewissen Art von Treppen nicht höher als drei Stufen steigen, an gewissen Festtagen ihr Haar nicht kämmen; das Leder ihrer Schuhe durfte von keinem Tier genommen werden, das eines natürlichen Todes gestorben war, sondern nur von einem geschlachteten oder geopferten; wenn sie Donner hörte, war sie unrein, bis sie ein Sühnopfer dargebracht hatte. </w:t>
      </w:r>
      <w:hyperlink r:id="rId487"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 c., p. 13.</w:t>
        </w:r>
      </w:hyperlink>
    </w:p>
    <w:p w:rsidR="00B6748F" w:rsidRPr="00751AC0" w:rsidRDefault="00B6748F" w:rsidP="00B6748F">
      <w:pPr>
        <w:rPr>
          <w:rFonts w:ascii="Garamond" w:hAnsi="Garamond"/>
          <w:color w:val="000000"/>
        </w:rPr>
      </w:pPr>
      <w:r w:rsidRPr="00751AC0">
        <w:rPr>
          <w:rFonts w:ascii="Garamond" w:hAnsi="Garamond"/>
          <w:color w:val="000000"/>
        </w:rPr>
        <w:t xml:space="preserve">Die alten Könige von Irland waren einer Reihe von höchst sonderbaren Beschränkungen unterworfen, von deren Einhaltung aller Segen, von deren Übertretung alles Unheil für das Land erwartet wurde. </w:t>
      </w:r>
      <w:r w:rsidRPr="00751AC0">
        <w:rPr>
          <w:rFonts w:ascii="Garamond" w:hAnsi="Garamond"/>
          <w:color w:val="000000"/>
          <w:lang w:val="en-GB"/>
        </w:rPr>
        <w:t xml:space="preserve">Das vollständige Verzeichnis dieser Tabu ist in dem </w:t>
      </w:r>
      <w:r w:rsidRPr="00751AC0">
        <w:rPr>
          <w:rFonts w:ascii="Garamond" w:hAnsi="Garamond"/>
          <w:i/>
          <w:iCs/>
          <w:color w:val="000000"/>
          <w:lang w:val="en-GB"/>
        </w:rPr>
        <w:t>Book of Rights</w:t>
      </w:r>
      <w:r w:rsidRPr="00751AC0">
        <w:rPr>
          <w:rFonts w:ascii="Garamond" w:hAnsi="Garamond"/>
          <w:color w:val="000000"/>
          <w:lang w:val="en-GB"/>
        </w:rPr>
        <w:t xml:space="preserve"> gegeben, dessen älteste handschriftliche Exemplare die Jahreszahlen 1390 und 1418 tragen. Die Verbote sind äußerst detailliert, betreffen gewisse Tätigkeiten an bestimmten Orten und zu bestimmten Zeiten; in dieser Stadt darf der König nicht an </w:t>
      </w:r>
      <w:r w:rsidRPr="00751AC0">
        <w:rPr>
          <w:rFonts w:ascii="Garamond" w:hAnsi="Garamond"/>
          <w:color w:val="000000"/>
          <w:lang w:val="en-GB"/>
        </w:rPr>
        <w:lastRenderedPageBreak/>
        <w:t xml:space="preserve">einem gewissen Wochentag weilen, jenen Fluß nicht um eine genannte Stunde übersetzen, nicht volle neun Tage auf einer gewissen Ebene lagern u. dgl. </w:t>
      </w:r>
      <w:hyperlink r:id="rId488"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 c., p. 11.</w:t>
        </w:r>
      </w:hyperlink>
    </w:p>
    <w:p w:rsidR="00B6748F" w:rsidRPr="00751AC0" w:rsidRDefault="00B6748F" w:rsidP="00B6748F">
      <w:pPr>
        <w:rPr>
          <w:rFonts w:ascii="Garamond" w:hAnsi="Garamond"/>
          <w:color w:val="000000"/>
        </w:rPr>
      </w:pPr>
      <w:r w:rsidRPr="00751AC0">
        <w:rPr>
          <w:rFonts w:ascii="Garamond" w:hAnsi="Garamond"/>
          <w:color w:val="000000"/>
        </w:rPr>
        <w:t xml:space="preserve">Die Härte der Tabubeschränkungen für die Priesterkönige hat bei vielen wilden Völkern eine Folge gehabt, die historisch bedeutsam und für unsere Gesichtspunkte besonders interessant ist. Die Priesterkönigswürde hörte auf, etwas Begehrenswertes zu sein; wem sie bevorstand, der wandte oft alle Mittel an, um ihr zu entgehen. So wird es auf Kambodscha, wo es einen Feuer- und einen Wasserkönig gibt, oft notwendig, die Nachfolger mit Gewalt zur Annahme der Würde zu zwingen. Auf Niue oder Savage Island, einer Koralleninsel im Stillen Ozean, kam die Monarchie tatsächlich zu Ende, weil sich niemand mehr bereit finden wollte, das verantwortliche und gefährliche Amt zu übernehmen. »In manchen Teilen von Westafrika wird nach dem Tode des Königs ein geheimes Konzil abgehalten, um den Nachfolger zu bestimmen. </w:t>
      </w:r>
      <w:r w:rsidRPr="00751AC0">
        <w:rPr>
          <w:rFonts w:ascii="Garamond" w:hAnsi="Garamond"/>
          <w:color w:val="000000"/>
          <w:lang w:val="en-GB"/>
        </w:rPr>
        <w:t xml:space="preserve">Der, auf welchen die Wahl fällt, wird gepackt, gebunden und im Fetischhaus in Gewahrsam gehalten, bis er sich bereit erklärt hat, die Krone anzunehmen. Gelegentlich findet der präsumtive Thronfolger Mittel und Wege, um sich der ihm zugedachten Ehre zu entziehen; so wird von einem Häuptling berichtet, daß er Tag und Nacht Waffen zu tragen pflegte, um jedem Versuch, ihn auf den Thron zu setzen, mit Gewalt zu widerstehen.« </w:t>
      </w:r>
      <w:hyperlink r:id="rId489"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 c., p 18, nach Bastian (1874–75).</w:t>
        </w:r>
      </w:hyperlink>
      <w:r w:rsidRPr="00751AC0">
        <w:rPr>
          <w:rFonts w:ascii="Garamond" w:hAnsi="Garamond"/>
          <w:color w:val="000000"/>
        </w:rPr>
        <w:t xml:space="preserve"> Bei den Negern von Sierra Leone ward das Widerstreben gegen die Annahme der Königswürde so groß, daß die meisten Stämme genötigt waren, Fremde zu ihren Königen zu machen.</w:t>
      </w:r>
    </w:p>
    <w:p w:rsidR="00B6748F" w:rsidRPr="00751AC0" w:rsidRDefault="00B6748F" w:rsidP="00B6748F">
      <w:pPr>
        <w:rPr>
          <w:rFonts w:ascii="Garamond" w:hAnsi="Garamond"/>
          <w:color w:val="000000"/>
          <w:lang w:val="en-GB"/>
        </w:rPr>
      </w:pPr>
      <w:r w:rsidRPr="00751AC0">
        <w:rPr>
          <w:rFonts w:ascii="Garamond" w:hAnsi="Garamond"/>
          <w:color w:val="000000"/>
        </w:rPr>
        <w:t xml:space="preserve">Frazer führt es auf diese Verhältnisse zurück, daß sich in der Entwicklung der Geschichte endlich eine Scheidung des ursprünglichen Priesterkönigtums in eine geistliche und weltliche Macht vollzog. Die von der Bürde ihrer Heiligkeit erdrückten Könige wurden unfähig, die Herrschaft in realen Dingen auszuüben, und mußten diese geringeren, aber tatkräftigen Personen überlassen, welche bereit waren, auf die Ehren der Königswürde zu verzichten. Aus diesen erwuchsen dann die weltlichen Herrscher, während die nun praktisch bedeutungslose geistliche Oberhoheit den früheren Tabukönigen verblieb. </w:t>
      </w:r>
      <w:r w:rsidRPr="00751AC0">
        <w:rPr>
          <w:rFonts w:ascii="Garamond" w:hAnsi="Garamond"/>
          <w:color w:val="000000"/>
          <w:lang w:val="en-GB"/>
        </w:rPr>
        <w:t>Es ist bekannt, wieweit diese Aufstellung in der Geschichte des alten Japans Bestätigung findet.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Wenn wir nun das Bild der Beziehungen der primitiven Menschen zu ihren Herrschern überblicken, so regt sich in uns die Erwartung, daß uns der Fortschritt von seiner Beschreibung zu seinem psychoanalytischen Verständnis nicht schwerfallen wird. Diese Beziehungen sind sehr verwickelter Natur und nicht frei von Widersprüchen. Man räumt den Herrschern große Vorrechte ein, welche sich mit den Tabuverboten der anderen geradezu decken. Es sind privilegierte Personen; sie dürfen eben das tun oder genießen, was den übrigen durch das Tabu vorenthalten ist. Im Gegensatz zu dieser Freiheit steht aber, daß sie durch andere Tabu beschränkt sind, welche auf die gewöhnlichen Individuen nicht drücken. Hier ist also ein erster Gegensatz, fast ein Widerspruch, zwischen einem Mehr von Freiheit und einem Mehr an Beschränkung für dieselben Personen. Man traut ihnen außerordentliche Zauberkräfte zu und fürchtet sich deshalb vor der Berührung mit ihren Personen oder ihrem Eigentum, während man anderseits von diesen Berührungen die wohltätigste Wirkung erwartet. Dies scheint ein zweiter, besonders greller Widerspruch zu sein; allein wir haben bereits erfahren, daß er nur scheinbar ist. Heilend und schützend wirkt die Berührung, die vom König selbst in wohlwollender Absicht ausgeht; gefährlich ist nur die Berührung, die vom gemeinen Mann am König und am Königlichen verübt wird, wahrscheinlich weil sie an aggressive Tendenzen mahnen kann. Ein anderer, nicht so leicht auflösbarer Widerspruch äußert sich darin, daß man dem Herrscher eine so große Gewalt über die Vorgänge der Natur zuschreibt und sich doch für verpflichtet hält, ihn mit ganz besonderer Sorgfalt gegen ihm drohende Gefahren zu beschützen, als ob seine eigene Macht, die so vieles kann, nicht auch dies vermöchte. Eine weitere Erschwerung des Verhältnisses stellt sich dann her, indem man dem Herrscher nicht das Zutrauen entgegenbringt, er werde seine ungeheure Macht in der richtigen Weise zum Vorteil der Untertanen wie zu seinem eigenen Schutz verwenden wollen; man mißtraut ihm also und hält sich für berechtigt, ihn zu überwachen. Allen diesen Absichten der Bevormundung des Königs, seinem Schutz vor Gefahren und dem Schutz der Untertanen </w:t>
      </w:r>
      <w:r w:rsidRPr="00751AC0">
        <w:rPr>
          <w:rFonts w:ascii="Garamond" w:hAnsi="Garamond"/>
          <w:color w:val="000000"/>
          <w:lang w:val="en-GB"/>
        </w:rPr>
        <w:lastRenderedPageBreak/>
        <w:t>vor der Gefahr, die er ihnen bringt, dient gleichzeitig die Tabuetikette, der das Leben des Königs unterworfen wird.</w:t>
      </w:r>
    </w:p>
    <w:p w:rsidR="00B6748F" w:rsidRPr="00751AC0" w:rsidRDefault="00B6748F" w:rsidP="00B6748F">
      <w:pPr>
        <w:rPr>
          <w:rFonts w:ascii="Garamond" w:hAnsi="Garamond"/>
          <w:color w:val="000000"/>
          <w:lang w:val="en-GB"/>
        </w:rPr>
      </w:pPr>
      <w:r w:rsidRPr="00751AC0">
        <w:rPr>
          <w:rFonts w:ascii="Garamond" w:hAnsi="Garamond"/>
          <w:color w:val="000000"/>
          <w:lang w:val="en-GB"/>
        </w:rPr>
        <w:t>Es liegt nahe, folgende Erklärung für das komplizierte und widerspruchsvolle Verhältnis der Primitiven zu ihren Herrschern zu geben: Aus abergläubischen und anderen Motiven kommen in der Behandlung der Könige mannigfache Tendenzen zum Ausdruck, von denen jede ohne Rücksicht auf die anderen zum Extrem entwickelt wird. Daraus entstehen dann die Widersprüche, an denen der Intellekt der Wilden übrigens so wenig Anstoß nimmt wie der der Höchstzivilisierten, wenn es sich nur um Verhältnisse der Religion oder der »Loyalität« handelt.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Das wäre soweit gut, aber die psychoanalytische Technik wird gestatten, tiefer in den Zusammenhang einzudringen und Näheres über die Natur dieser mannigfaltigen Tendenzen auszusagen. Wenn wir den geschilderten Sachverhalt der Analyse unterziehen, gleichsam als ob er sich im Symptombild einer Neurose fände, so werden wir zunächst an das Übermaß von ängstlicher Sorge anknüpfen, welches als Begründung des Tabuzeremoniells ausgegeben wird. Dies Vorkommen einer solchen Überzärtlichkeit ist in der Neurose, speziell bei der Zwangsneurose, die wir in erster Linie zum Vergleich heranziehen, sehr gewöhnlich. Ihre Herkunft ist uns sehr wohl verständlich geworden. Sie tritt überall dort auf, wo außer der vorherrschenden Zärtlichkeit eine gegensätzliche, aber unbewußte Strömung von Feindseligkeit besteht, also der typische Fall der ambivalenten Gefühlseinstellung realisiert ist. Dann wird die Feindseligkeit überschrieen durch eine übermäßige Steigerung der Zärtlichkeit, die sich als Ängstlichkeit äußert und die zwanghaft wird, weil sie sonst ihrer Aufgabe, die unbewußte Gegenströmung in der Verdrängung zu erhalten, nicht genügen würde. Jeder Psychoanalytiker hat es erfahren, mit welcher Sicherheit die ängstliche Überzärtlichkeit unter den unwahrscheinlichsten Verhältnissen, z. B. zwischen Mutter und Kind oder bei zärtlichen Eheleuten, diese Auflösung gestattet. Auf die Behandlung der privilegierten Personen angewendet, ergäbe sich die Einsicht, daß der Verehrung, ja Vergötterung derselben im Unbewußten eine intensive feindselige Strömung entgegensteht, daß also hier, wie wir es erwartet haben, die Situation der ambivalenten Gefühlseinstellung verwirklicht ist. Das Mißtrauen, welches als Beitrag zur Motivierung der Königstabu unabweisbar erscheint, wäre eine andere, direktere Äußerung derselben unbewußten Feindseligkeit. Ja, wir wären – infolge der Mannigfaltigkeit der Endausgänge eines solchen Konflikts bei verschiedenen Völkern – nicht um Beispiele verlegen, in denen uns der Nachweis einer solchen Feindseligkeit noch viel leichter fiele. »Die wilden Timmes von Sierra Leone«, hören wir bei Frazer </w:t>
      </w:r>
      <w:hyperlink r:id="rId49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l. c., p. 18, nach Zweifel und Moustier (1880).</w:t>
        </w:r>
      </w:hyperlink>
      <w:r w:rsidRPr="00751AC0">
        <w:rPr>
          <w:rFonts w:ascii="Garamond" w:hAnsi="Garamond"/>
          <w:color w:val="000000"/>
          <w:lang w:val="en-GB"/>
        </w:rPr>
        <w:t>, »haben sich das Recht vorbehalten, ihren gewählten König am Abend vor seiner Krönung durchzuprügeln, und sie bedienen sich dieses konstitutionellen Vorrechtes mit solcher Gründlichkeit, daß der unglückliche Herrscher gelegentlich seine Erhebung auf den Thron um nicht lange Zeit überlebt, daher haben es sich die Großen des Volkes zur Regel gemacht, wenn sie einen Groll gegen einen bestimmten Mann haben, diesen zum König zu wählen.« Immerhin wird auch in solchen grellen Fällen die Feindseligkeit sich nicht als solche bekennen, sondern sich als Zeremoniell gebärden.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 anderes Stück im Verhalten der Primitiven gegen ihre Herrscher ruft die Erinnerung an einen Vorgang wach, der, in der Neurose allgemein verbreitet, in dem sogenannten Verfolgungswahn offen zutage tritt. Es wird hier die Bedeutung einer bestimmten Person außerordentlich erhöht, ihre Machtvollkommenheit ins Unwahrscheinliche gesteigert, um ihr desto eher die Verantwortlichkeit für alles Widrige, was dem Kranken widerfährt, aufladen zu können. Eigentlich verfahren ja die Wilden mit ihren Königen nicht anders, wenn sie ihnen die Macht über Regen und Sonnenschein, Wind und Wetter zuschreiben und sie dann absetzen oder töten, weil die Natur ihre Erwartungen auf eine gute Jagd oder eine reiche Ernte enttäuscht hat. Das Vorbild, welches der Paranoiker im Verfolgungswahn wiederherstellt, liegt im Verhältnis des Kindes zu seinem Vater. Dem Vater kommt eine derartige Machtfülle in der Vorstellung des Sohnes regelmäßig zu, und es zeigt sich, daß das Mißtrauen gegen den Vater mit seiner Hochschätzung innig verknüpft ist. Wenn der Paranoiker eine Person seiner </w:t>
      </w:r>
      <w:r w:rsidRPr="00751AC0">
        <w:rPr>
          <w:rFonts w:ascii="Garamond" w:hAnsi="Garamond"/>
          <w:color w:val="000000"/>
          <w:lang w:val="en-GB"/>
        </w:rPr>
        <w:lastRenderedPageBreak/>
        <w:t>Lebensbeziehungen zu seinem »Verfolger« ernennt, so hebt er sie damit in die Väterreihe, bringt sie unter die Bedingungen, die ihm gestatten, sie für alles Unglück seiner Empfindung verantwortlich zu machen. So mag uns diese zweite Analogie zwischen dem Wilden und dem Neurotiker die Einsicht ahnen lassen, wie vieles im Verhältnis des Wilden zu seinem Herrscher aus der infantilen Einstellung des Kindes zum Vater hervorgeht.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Den stärksten Anhaltspunkt für unsere Betrachtungsweise, welche die Tabuverbote mit neurotischen Symptomen vergleichen will, finden wir aber im Tabuzeremoniell selbst, dessen Bedeutung für die Stellung des Königtums vorhin erörtert wurde. Dieses Zeremoniell trägt seinen Doppelsinn und seine Herkunft von ambivalenten Tendenzen unverkennbar zur Schau, wenn wir nur annehmen wollen, daß es die Wirkungen, die es hervorbringt, auch von allem Anfang an beabsichtigt hat. Es zeichnet nicht nur die Könige aus und erhebt sie über alle gewöhnlichen Sterblichen, es macht ihnen auch das Leben zur Qual und zur unerträglichen Bürde und zwingt sie in eine Knechtschaft, die weit ärger ist als die ihrer Untertanen. Es erscheint uns so als das richtige Gegenstück zur Zwangshandlung der Neurose, in der sich der unterdrückte Trieb und der ihn unterdrückende zur gleichzeitigen und gemeinsamen Befriedigung treffen. Die Zwangshandlung ist </w:t>
      </w:r>
      <w:r w:rsidRPr="00751AC0">
        <w:rPr>
          <w:rFonts w:ascii="Garamond" w:hAnsi="Garamond"/>
          <w:i/>
          <w:iCs/>
          <w:color w:val="000000"/>
          <w:lang w:val="en-GB"/>
        </w:rPr>
        <w:t>angeblich</w:t>
      </w:r>
      <w:r w:rsidRPr="00751AC0">
        <w:rPr>
          <w:rFonts w:ascii="Garamond" w:hAnsi="Garamond"/>
          <w:color w:val="000000"/>
          <w:lang w:val="en-GB"/>
        </w:rPr>
        <w:t xml:space="preserve"> ein Schutz gegen die verbotene Handlung; wir möchten aber sagen, sie ist </w:t>
      </w:r>
      <w:r w:rsidRPr="00751AC0">
        <w:rPr>
          <w:rFonts w:ascii="Garamond" w:hAnsi="Garamond"/>
          <w:i/>
          <w:iCs/>
          <w:color w:val="000000"/>
          <w:lang w:val="en-GB"/>
        </w:rPr>
        <w:t>eigentlich</w:t>
      </w:r>
      <w:r w:rsidRPr="00751AC0">
        <w:rPr>
          <w:rFonts w:ascii="Garamond" w:hAnsi="Garamond"/>
          <w:color w:val="000000"/>
          <w:lang w:val="en-GB"/>
        </w:rPr>
        <w:t xml:space="preserve"> die Wiederholung des Verbotenen. Das »angeblich« wendet sich hier der bewußten, das »eigentlich« der unbewußten Instanz des Seelenlebens zu. So ist auch das Tabuzeremoniell der Könige angeblich die höchste Ehrung und Sicherung derselben, eigentlich die Strafe für ihre Erhöhung, die Rache, welche die Untertanen an ihnen nehmen. Die Erfahrungen, die Sancho Pansa bei Cervantes als Gouverneur auf seiner Insel macht, haben ihn offenbar diese Auffassung des höfischen Zeremoniells als die einzig zutreffende erkennen lassen. Es ist sehr wohl möglich, daß wir weitere Zustimmungen zu hören bekämen, wenn wir Könige und Herrscher von heute zur Äußerung darüber veranlassen könnten.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Warum die Gefühlseinstellung gegen die Herrscher einen so mächtigen unbewußten Beitrag von Feindseligkeit enthalten sollte, ist ein sehr interessantes, aber die Grenzen dieser Arbeit überschreitendes Problem. Den Hinweis auf den infantilen Vaterkomplex haben wir bereits gegeben; fügen wir hinzu, daß die Verfolgung der Vorgeschichte des Königtums uns die entscheidenden Aufklärungen bringen müßte. Nach Frazers eindrucksvollen, aber nach eigenem Zugeständnis nicht ganz zwingenden Erörterungen waren die ersten Könige Fremde, die nach kurzer Herrschaft zum Opfertod bei feierlichen Festen als Repräsentanten der Gottheit bestimmt waren. (Frazer, </w:t>
      </w:r>
      <w:smartTag w:uri="urn:schemas-microsoft-com:office:smarttags" w:element="metricconverter">
        <w:smartTagPr>
          <w:attr w:name="ProductID" w:val="1911 a"/>
        </w:smartTagPr>
        <w:r w:rsidRPr="00751AC0">
          <w:rPr>
            <w:rFonts w:ascii="Garamond" w:hAnsi="Garamond"/>
            <w:color w:val="000000"/>
            <w:lang w:val="en-GB"/>
          </w:rPr>
          <w:t xml:space="preserve">1911 </w:t>
        </w:r>
        <w:r w:rsidRPr="00751AC0">
          <w:rPr>
            <w:rFonts w:ascii="Garamond" w:hAnsi="Garamond"/>
            <w:i/>
            <w:iCs/>
            <w:color w:val="000000"/>
            <w:lang w:val="en-GB"/>
          </w:rPr>
          <w:t>a</w:t>
        </w:r>
      </w:smartTag>
      <w:r w:rsidRPr="00751AC0">
        <w:rPr>
          <w:rFonts w:ascii="Garamond" w:hAnsi="Garamond"/>
          <w:color w:val="000000"/>
          <w:lang w:val="en-GB"/>
        </w:rPr>
        <w:t>.) Noch die Mythen des Christentums wären von der Nachwirkung dieser Entwicklungsgeschichte der Könige berührt.</w:t>
      </w:r>
    </w:p>
    <w:p w:rsidR="00B6748F" w:rsidRPr="00751AC0" w:rsidRDefault="00B6748F" w:rsidP="00B6748F">
      <w:pPr>
        <w:rPr>
          <w:rFonts w:ascii="Garamond" w:hAnsi="Garamond"/>
          <w:caps/>
          <w:color w:val="000000"/>
          <w:lang w:val="en-GB"/>
        </w:rPr>
      </w:pPr>
      <w:r w:rsidRPr="00751AC0">
        <w:rPr>
          <w:rFonts w:ascii="Garamond" w:hAnsi="Garamond"/>
          <w:caps/>
          <w:color w:val="000000"/>
          <w:lang w:val="en-GB"/>
        </w:rPr>
        <w:t>c) Das Tabu der Toten</w:t>
      </w:r>
    </w:p>
    <w:p w:rsidR="00B6748F" w:rsidRPr="00751AC0" w:rsidRDefault="00B6748F" w:rsidP="00B6748F">
      <w:pPr>
        <w:rPr>
          <w:rFonts w:ascii="Garamond" w:hAnsi="Garamond"/>
          <w:color w:val="000000"/>
          <w:lang w:val="en-GB"/>
        </w:rPr>
      </w:pPr>
      <w:r w:rsidRPr="00751AC0">
        <w:rPr>
          <w:rFonts w:ascii="Garamond" w:hAnsi="Garamond"/>
          <w:color w:val="000000"/>
          <w:lang w:val="en-GB"/>
        </w:rPr>
        <w:t>Wir wissen, daß die Toten mächtige Herrscher sind; wir werden vielleicht erstaunt sein zu erfahren, daß sie als Feinde betrachtet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Das Tabu der Toten erweist, wenn wir auf dem Boden des Vergleiches mit der Infektion bleiben dürfen, bei den meisten primitiven Völkern eine besondere Virulenz. Es äußert sich zunächst in den Folgen, welche die Berührung des Toten nach sich zieht, und in der Behandlung der um den Toten Trauernden. Bei den Maori war jeder, der eine Leiche berührt oder an ihrer Grablegung teilgenommen hatte, aufs äußerste unrein und nahezu abgeschnitten von allem Verkehr mit seinen Mitmenschen, sozusagen boykottiert. Er konnte kein Haus betreten, keiner Person oder Sache nahe kommen, ohne sie mit der gleichen Eigenschaft anzustecken. Ja, er durfte nicht einmal Nahrung mit seinen Händen berühren, diese waren ihm durch ihre Unreinheit geradezu unbrauchbar geworden. Man stellte ihm das Essen auf den Boden hin, und ihm blieb nichts übrig, als sich dessen mit den Lippen und den Zähnen, so gut es eben ging, zu bemächtigen, während er seine Hände nach dem Rücken gebogen hielt. Gelegentlich war es erlaubt, daß eine andere Person ihn füttere, die es dann mit ausgestrecktem Arm tat, sorgsam, den Unseligen nicht selbst zu berühren, aber diese Hilfsperson war dann selbst Einschränkungen unterworfen, </w:t>
      </w:r>
      <w:r w:rsidRPr="00751AC0">
        <w:rPr>
          <w:rFonts w:ascii="Garamond" w:hAnsi="Garamond"/>
          <w:color w:val="000000"/>
          <w:lang w:val="en-GB"/>
        </w:rPr>
        <w:lastRenderedPageBreak/>
        <w:t>die nicht viel weniger drückend waren als die eigenen. Es gab wohl in jedem Dorf ein ganz verkommenes, von der Gesellschaft ausgestoßenes Individuum, das in der armseligsten Weise von spärlichen Almosen lebte. Diesem Wesen war es allein gestattet, sich auf Armeslänge dem zu nähern, der die letzte Pflicht gegen einen Verstorbenen erfüllt hatte. War aber dann die Zeit der Abschließung vorüber und durfte der durch die Leiche Verunreinigte sich wieder unter seine Genossen mengen, so wurde alles Geschirr, dessen er sich in der gefährlichen Zeit bedient hatte, zerschlagen und alles Zeug weggeworfen, mit dem er bekleidet gewesen war.</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Tabugebräuche nach der körperlichen Berührung von Toten sind in ganz Polynesien, Melanesien und in einem Teil von Afrika die nämlichen; ihr konstantestes Stück ist das Verbot, Nahrung selbst zu berühren, und die sich daraus ergebende Notwendigkeit, von anderen gefüttert zu werden. Es ist bemerkenswert, daß in Polynesien oder vielleicht nur in </w:t>
      </w:r>
      <w:smartTag w:uri="urn:schemas-microsoft-com:office:smarttags" w:element="State">
        <w:smartTag w:uri="urn:schemas-microsoft-com:office:smarttags" w:element="place">
          <w:r w:rsidRPr="00751AC0">
            <w:rPr>
              <w:rFonts w:ascii="Garamond" w:hAnsi="Garamond"/>
              <w:color w:val="000000"/>
              <w:lang w:val="en-GB"/>
            </w:rPr>
            <w:t>Hawaii</w:t>
          </w:r>
        </w:smartTag>
      </w:smartTag>
      <w:r w:rsidRPr="00751AC0">
        <w:rPr>
          <w:rFonts w:ascii="Garamond" w:hAnsi="Garamond"/>
          <w:color w:val="000000"/>
          <w:lang w:val="en-GB"/>
        </w:rPr>
        <w:t xml:space="preserve"> </w:t>
      </w:r>
      <w:hyperlink r:id="rId49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(loc. cit.).</w:t>
        </w:r>
      </w:hyperlink>
      <w:r w:rsidRPr="00751AC0">
        <w:rPr>
          <w:rFonts w:ascii="Garamond" w:hAnsi="Garamond"/>
          <w:color w:val="000000"/>
          <w:lang w:val="en-GB"/>
        </w:rPr>
        <w:t xml:space="preserve"> Priesterkönige während der Ausübung heiliger Handlungen denselben Beschränkungen unterlagen. Bei den Tabu der Toten auf </w:t>
      </w:r>
      <w:smartTag w:uri="urn:schemas-microsoft-com:office:smarttags" w:element="country-region">
        <w:smartTag w:uri="urn:schemas-microsoft-com:office:smarttags" w:element="place">
          <w:r w:rsidRPr="00751AC0">
            <w:rPr>
              <w:rFonts w:ascii="Garamond" w:hAnsi="Garamond"/>
              <w:color w:val="000000"/>
              <w:lang w:val="en-GB"/>
            </w:rPr>
            <w:t>Tonga</w:t>
          </w:r>
        </w:smartTag>
      </w:smartTag>
      <w:r w:rsidRPr="00751AC0">
        <w:rPr>
          <w:rFonts w:ascii="Garamond" w:hAnsi="Garamond"/>
          <w:color w:val="000000"/>
          <w:lang w:val="en-GB"/>
        </w:rPr>
        <w:t xml:space="preserve"> tritt die Abstufung und allmähliche Aufhebung der Verbote durch die eigene Tabukraft sehr deutlich hervor. Wer den Leichnam eines toten Häuptlings berührt hatte, war durch zehn Monate unrein; wenn er aber selbst ein Häuptling war, nur durch drei, vier oder fünf Monate, je nach dem Rang des Verstorbenen; aber wenn es sich um die Leiche des vergötterten Oberhäuptlings handelte, wurden selbst die größten Häuptlinge durch zehn Monate tabu. Die Wilden glauben fest daran, daß, wer solche Tabuvorschriften übertritt, schwer erkranken und sterben muß, so fest, daß sie nach der Meinung eines Beobachters noch niemals den Versuch gewagt haben, sich vom Gegenteil zu überzeugen </w:t>
      </w:r>
      <w:hyperlink r:id="rId49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l. c., p. 140, nach Mariner (1818).</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Im wesentlichen gleichartig, aber für unsere Zwecke interessanter sind die Tabubeschränkungen jener Personen, deren Berührung mit den Toten im übertragenen Sinne zu verstehen ist, der trauernden Angehörigen, der Witwer und Witwen. Sehen wir in den bisher erwähnten Vorschriften nur den typischen Ausdruck der Virulenz und der Ausbreitungsfähigkeit des Tabu, so schimmern in den nun mitzuteilenden die Motive der Tabu durch, und zwar sowohl die vorgeblichen als auch solche, die wir für die tiefliegenden, echten halten dürfen.</w:t>
      </w:r>
    </w:p>
    <w:p w:rsidR="00B6748F" w:rsidRPr="00751AC0" w:rsidRDefault="00B6748F" w:rsidP="00B6748F">
      <w:pPr>
        <w:rPr>
          <w:rFonts w:ascii="Garamond" w:hAnsi="Garamond"/>
          <w:color w:val="000000"/>
          <w:lang w:val="en-GB"/>
        </w:rPr>
      </w:pPr>
      <w:r w:rsidRPr="00751AC0">
        <w:rPr>
          <w:rFonts w:ascii="Garamond" w:hAnsi="Garamond"/>
          <w:color w:val="000000"/>
          <w:lang w:val="en-GB"/>
        </w:rPr>
        <w:t>»Bei den Shuswap in Britisch-Kolumbia müssen Witwen und Witwer während ihrer Trauerzeit abgesondert leben; sie dürfen weder ihren eigenen Körper noch ihren Kopf mit ihren Händen berühren; alles Geschirr, dessen sie sich bedienen, ist dem Gebrauche anderer entzogen ... Kein Jäger wird sich der Hütte, in welcher solche Trauernde wohnen, nähern wollen, denn das brächte ihm Unglück; wenn der Schatten eines Trauernden auf ihn fallen würde, müßte er erkranken. Die Trauernden schlafen auf Dornbüschen ... und umgeben ihr Bett mit solchen.« Diese letztere Maßregel ist dazu bestimmt, den Geist des Verstorbenen fernzuhalten, und noch deutlicher ist wohl der von anderen nordamerikanischen Stämmen berichtete Gebrauch der Witwe, eine Zeitlang nach dem Tode des Mannes ein hosenartiges Kleidungsstück aus trockenem Gras zu tragen, um sich unzugänglich für die Annäherung des Geistes zu machen. So wird uns die Vorstellung nahegelegt, daß die Berührung »im übertragenen Sinne« doch nur als ein körperlicher Kontakt verstanden wird, da der Geist des Verstorbenen nicht von seinen Angehörigen weicht, nicht abläßt, sie während der Zeit der Trauer zu »umschweben«.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Bei den Agutainos, die auf Palawan, einer der Philippinen, wohnen, darf eine Witwe ihre Hütte die ersten sieben oder acht Tage nach dem Todesfall nicht verlassen, es sei denn zur Nachtzeit, wenn sie Begegnungen nicht zu erwarten hat. Wer sie erschaut, gerät in Gefahr, augenblicklich zu sterben, und darum warnt sie selbst vor ihrer Annäherung, indem sie bei jedem Schritt mit einem hölzernen Stab gegen die Bäume schlägt; diese Bäume aber verdorren.« Worin die Gefährlichkeit einer solchen Witwe bestehen mag, wird uns durch eine andere Beobachtung erläutert. »Im Mekeobezirk von Britisch-Neuguinea wird ein Witwer aller bürgerlichen Rechte verlustig und lebt für eine Weile wie ein Ausgestoßener ... Er darf keinen Garten bebauen, sich nicht öffentlich zeigen, das Dorf und die Straße nicht betreten. Er schleicht </w:t>
      </w:r>
      <w:r w:rsidRPr="00751AC0">
        <w:rPr>
          <w:rFonts w:ascii="Garamond" w:hAnsi="Garamond"/>
          <w:color w:val="000000"/>
          <w:lang w:val="en-GB"/>
        </w:rPr>
        <w:lastRenderedPageBreak/>
        <w:t xml:space="preserve">wie ein wildes Tier im hohen Gras oder im Gebüsch umher und muß sich im Dickicht verstecken, wenn er jemanden, besonders aber ein Weib, herannahen sieht.« Diese letztere Andeutung macht es uns leicht, die Gefährlichkeit des Witwers oder der Witwe auf die Gefahr der </w:t>
      </w:r>
      <w:r w:rsidRPr="00751AC0">
        <w:rPr>
          <w:rFonts w:ascii="Garamond" w:hAnsi="Garamond"/>
          <w:i/>
          <w:iCs/>
          <w:color w:val="000000"/>
          <w:lang w:val="en-GB"/>
        </w:rPr>
        <w:t>Versuchung</w:t>
      </w:r>
      <w:r w:rsidRPr="00751AC0">
        <w:rPr>
          <w:rFonts w:ascii="Garamond" w:hAnsi="Garamond"/>
          <w:color w:val="000000"/>
          <w:lang w:val="en-GB"/>
        </w:rPr>
        <w:t xml:space="preserve"> zurückzuführen. Der Mann, der sein Weib verloren hat, soll dem Begehren nach einem Ersatz ausweichen; die Witwe hat mit demselben Wunsch zu kämpfen und mag überdies als herrenlos die Begehrlichkeit anderer Männer erwecken. Jede solche Ersatzbefriedigung läuft gegen den Sinn der Trauer; sie müßte den Zorn des Geistes auflodern lassen </w:t>
      </w:r>
      <w:hyperlink r:id="rId49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Dieselbe Kranke, deren »Unmöglichkeiten« ich oben (S. 38) mit den Tabu zusammengestellt habe, bekannte, daß sie jedesmal in Entrüstung gerate, wenn sie einer in Trauer gekleideten Person auf der Straße begegne. Solchen Leuten sollte das Ausgehen verboten sein!</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Einer der befremdendsten, aber auch lehrreichsten Tabugebräuche der Trauer bei den Primitiven ist das Verbot, den </w:t>
      </w:r>
      <w:r w:rsidRPr="00751AC0">
        <w:rPr>
          <w:rFonts w:ascii="Garamond" w:hAnsi="Garamond"/>
          <w:i/>
          <w:iCs/>
          <w:color w:val="000000"/>
          <w:lang w:val="en-GB"/>
        </w:rPr>
        <w:t>Namen</w:t>
      </w:r>
      <w:r w:rsidRPr="00751AC0">
        <w:rPr>
          <w:rFonts w:ascii="Garamond" w:hAnsi="Garamond"/>
          <w:color w:val="000000"/>
          <w:lang w:val="en-GB"/>
        </w:rPr>
        <w:t xml:space="preserve"> des Verstorbenen auszusprechen. Es ist ungemein verbreitet, hat mannigfaltige Ausführungen erfahren und bedeutsame Konsequenzen gehabt.</w:t>
      </w:r>
    </w:p>
    <w:p w:rsidR="00B6748F" w:rsidRPr="00751AC0" w:rsidRDefault="00B6748F" w:rsidP="00B6748F">
      <w:pPr>
        <w:rPr>
          <w:rFonts w:ascii="Garamond" w:hAnsi="Garamond"/>
          <w:color w:val="000000"/>
        </w:rPr>
      </w:pPr>
      <w:r w:rsidRPr="00751AC0">
        <w:rPr>
          <w:rFonts w:ascii="Garamond" w:hAnsi="Garamond"/>
          <w:color w:val="000000"/>
          <w:lang w:val="en-GB"/>
        </w:rPr>
        <w:t xml:space="preserve">Außer bei den Australiern und Polynesiern, welche uns die Tabugebräuche in ihrer besten Erhaltung zu zeigen pflegen, findet sich dieses Verbot »bei so entfernten und einander so fremden Völkern wie die Samojeden in Sibirien und die Todas in Südindien, die Mongolen der Tartarei und die Tuaregs der Sahara, die Aino in Japan und die Akamba und Nandi in Zentralafrika, die Tinguanen auf den Philippinen und die Einwohner der Nikobarischen Inseln, von Madagaskar und Borneo«. </w:t>
      </w:r>
      <w:hyperlink r:id="rId494"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 c., p. 353.</w:t>
        </w:r>
      </w:hyperlink>
      <w:r w:rsidRPr="00751AC0">
        <w:rPr>
          <w:rFonts w:ascii="Garamond" w:hAnsi="Garamond"/>
          <w:color w:val="000000"/>
        </w:rPr>
        <w:t xml:space="preserve"> Bei einigen dieser Völker gilt das Verbot und die aus ihm sich ableitenden Folgen nur für die Zeit der Trauer, bei anderen bleibt es permanent, doch scheint es in allen Fällen mit der Entfernung vom Zeitpunkte des Todesfalles abzublassen.</w:t>
      </w:r>
    </w:p>
    <w:p w:rsidR="00B6748F" w:rsidRPr="00751AC0" w:rsidRDefault="00B6748F" w:rsidP="00B6748F">
      <w:pPr>
        <w:rPr>
          <w:rFonts w:ascii="Garamond" w:hAnsi="Garamond"/>
          <w:color w:val="000000"/>
          <w:lang w:val="en-GB"/>
        </w:rPr>
      </w:pPr>
      <w:r w:rsidRPr="00751AC0">
        <w:rPr>
          <w:rFonts w:ascii="Garamond" w:hAnsi="Garamond"/>
          <w:color w:val="000000"/>
        </w:rPr>
        <w:t xml:space="preserve">Die Vermeidung des Namens des Verstorbenen wird in der Regel außerordentlich streng gehandhabt. So gilt es bei manchen südamerikanischen Stämmen als die schwerste Beleidigung der Überlebenden, den Namen des verstorbenen Angehörigen vor ihnen auszusprechen, und die darauf gesetzte Strafe ist nicht geringer als die für eine Mordtat selbst festgesetzte. (Ibid., 352.) Warum die Nennung des Namens so verabscheut werden sollte, ist zunächst nicht leicht zu erraten, aber die mit ihr verbundenen Gefahren haben eine ganze Reihe von Auskunftsmitteln entstehen lassen, die nach verschiedenen Richtungen interessant und bedeutungsvoll sind. So sind die Masai in Afrika auf die Ausflucht gekommen, den Namen des Verstorbenen unmittelbar nach seinem Tode zu ändern; er darf nun ohne Scheu mit dem neuen Namen erwähnt werden, während alle Verbote an den alten geknüpft bleiben. Es scheint dabei vorausgesetzt, daß der Geist seinen neuen Namen nicht kennt und nicht erfahren wird. </w:t>
      </w:r>
      <w:r w:rsidRPr="00B6748F">
        <w:rPr>
          <w:rFonts w:ascii="Garamond" w:hAnsi="Garamond"/>
          <w:color w:val="000000"/>
        </w:rPr>
        <w:t xml:space="preserve">Die australischen Stämme an der Adelaide und der Encounter Bay sind in ihrer Vorsicht so konsequent, daß nach einem Todesfall alle Personen ihre Namen gegen einen anderen vertauschen, welche ebenso oder sehr ähnlich geheißen haben wie der Verstorbene. </w:t>
      </w:r>
      <w:r w:rsidRPr="00751AC0">
        <w:rPr>
          <w:rFonts w:ascii="Garamond" w:hAnsi="Garamond"/>
          <w:color w:val="000000"/>
          <w:lang w:val="en-GB"/>
        </w:rPr>
        <w:t xml:space="preserve">Manchmal wird in weiterer Ausdehnung derselben Erwägung die Namensänderung nach einem Todesfall bei allen Angehörigen des Verstorbenen vorgenommen, ohne Rücksicht auf den Gleichklang der Namen, so bei einigen Stämmen in </w:t>
      </w:r>
      <w:smartTag w:uri="urn:schemas-microsoft-com:office:smarttags" w:element="State">
        <w:smartTag w:uri="urn:schemas-microsoft-com:office:smarttags" w:element="place">
          <w:r w:rsidRPr="00751AC0">
            <w:rPr>
              <w:rFonts w:ascii="Garamond" w:hAnsi="Garamond"/>
              <w:color w:val="000000"/>
              <w:lang w:val="en-GB"/>
            </w:rPr>
            <w:t>Victoria</w:t>
          </w:r>
        </w:smartTag>
      </w:smartTag>
      <w:r w:rsidRPr="00751AC0">
        <w:rPr>
          <w:rFonts w:ascii="Garamond" w:hAnsi="Garamond"/>
          <w:color w:val="000000"/>
          <w:lang w:val="en-GB"/>
        </w:rPr>
        <w:t xml:space="preserve"> und in Nordwestamerika. Ja bei den Guaycurus in Paraguay pflegte der Häuptling bei so traurigem Anlaß allen Mitgliedern des Stammes neue Namen zu geben, die sie fortan erinnerten, als ob sie sie von jeher getragen hätten </w:t>
      </w:r>
      <w:hyperlink r:id="rId49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l. c., p. 357, nach einem alten spanischen Beobachter.</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Ferner, wenn der Name des Verstorbenen sich mit der Bezeichnung eines Tieres, Gegenstandes usw. gedeckt hatte, erschien es manchen unter den angeführten Völkern notwendig, auch diese Tiere und Objekte neu zu benennen, damit man beim Gebrauch dieser Worte nicht an den Verstorbenen erinnert werde. Daraus mußte sich eine nie zur Ruhe kommende Veränderung des Sprachschatzes ergeben, die den Missionären Schwierigkeiten genug bereitete, besonders wo die Namensverpönung eine permanente war. In den sieben Jahren, die der Missionär Dobrizhoffer bei den Abiponen in Paraguay verbrachte, wurde der Name für Jaguar dreimal abgeändert, und die Worte für Krokodil, Dornen und Tierschlachten hatten </w:t>
      </w:r>
      <w:r w:rsidRPr="00751AC0">
        <w:rPr>
          <w:rFonts w:ascii="Garamond" w:hAnsi="Garamond"/>
          <w:color w:val="000000"/>
          <w:lang w:val="en-GB"/>
        </w:rPr>
        <w:lastRenderedPageBreak/>
        <w:t xml:space="preserve">ähnliche Schicksale </w:t>
      </w:r>
      <w:hyperlink r:id="rId49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(1911, l. c., p. 360).</w:t>
        </w:r>
      </w:hyperlink>
      <w:r w:rsidRPr="00751AC0">
        <w:rPr>
          <w:rFonts w:ascii="Garamond" w:hAnsi="Garamond"/>
          <w:color w:val="000000"/>
          <w:lang w:val="en-GB"/>
        </w:rPr>
        <w:t>. Die Scheu, einen Namen auszusprechen, der einem Verstorbenen angehört hat, dehnt sich aber auch nach der Richtung hin aus, daß man alles zu erwähnen vermeidet, wobei dieser Verstorbene eine Rolle spielte, und als bedeutsame Folge dieses Unterdrückungsprozesses ergibt sich, daß diese Völker keine Tradition, keine historischen Reminiszenzen haben und einer Erforschung ihrer Vorgeschichte die größten Schwierigkeiten in den Weg legen. Bei einer Reihe dieser primitiven Völker haben sich aber auch kompensierende Gebräuche eingebürgert, um die Namen der Verstorbenen nach einer langen Zeit von Trauer wieder zu erwecken, indem man sie an Kinder verleiht, die als die Wiedergeburt der Toten betrachtet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Das Befremdende dieses Namentabu ermäßigt sich, wenn wir daran gemahnt werden, daß für die Wilden der Name ein wesentliches Stück und ein wichtiger Besitz der Persönlichkeit ist, daß sie dem Worte volle Dingbedeutung zuschreiben. Dasselbe tun, wie ich an anderen Orten ausgeführt habe, unsere Kinder, die sich darum niemals mit der Annahme einer bedeutungslosen Wortähnlichkeit begnügen, sondern konsequent schließen, wenn zwei Dinge mit gleichklingenden Namen genannt werden, so müßte damit eine tiefgehende Übereinstimmung zwischen beiden bezeichnet sein. Auch der zivilisierte Erwachsene mag an manchen Besonderheiten seines Benehmens noch erraten, daß er von dem Voll- und Wichtignehmen der Eigennamen nicht so weit entfernt ist, wie er glaubt, und daß sein Name in einer ganz besonderen Art mit seiner Person verwachsen ist. Es stimmt dann hiezu, wenn die psychoanalytische Praxis vielfachen Anlaß findet, auf die Bedeutung der Namen in der unbewußten Denktätigkeit hinzuweisen </w:t>
      </w:r>
      <w:hyperlink r:id="rId49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Stekel, Abraham.</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Zwangsneurotiker benehmen sich dann, wie zu erwarten stand, in betreff der Namen ganz wie die Wilden. Sie zeigen die volle »Komplexempfindlichkeit« gegen das Aussprechen und Anhören bestimmter Worte und Namen (ähnlich wie auch andere Neurotiker), und leiten aus ihrer Behandlung des eigenen Namens eine gute Anzahl von oft schweren Hemmungen ab. Eine solche Tabukranke, die ich kannte, hatte die Vermeidung angenommen, ihren Namen niederzuschreiben, aus Angst, er könnte in jemandes Hand geraten, der damit in den Besitz eines Stückes von ihrer Persönlichkeit gekommen wäre. In der krampfhaften Treue, durch die sie sich gegen die Versuchungen ihrer Phantasie schützen mußte, hatte sie sich das Gebot geschaffen, »nichts von ihrer Person herzugeben«. Dazu gehörte zunächst der Name, in weiterer Ausdehnung die Handschrift, und darum gab sie schließlich das Schreiben auf.</w:t>
      </w:r>
    </w:p>
    <w:p w:rsidR="00B6748F" w:rsidRPr="00751AC0" w:rsidRDefault="00B6748F" w:rsidP="00B6748F">
      <w:pPr>
        <w:rPr>
          <w:rFonts w:ascii="Garamond" w:hAnsi="Garamond"/>
          <w:color w:val="000000"/>
          <w:lang w:val="en-GB"/>
        </w:rPr>
      </w:pPr>
      <w:r w:rsidRPr="00751AC0">
        <w:rPr>
          <w:rFonts w:ascii="Garamond" w:hAnsi="Garamond"/>
          <w:color w:val="000000"/>
          <w:lang w:val="en-GB"/>
        </w:rPr>
        <w:t>So finden wir es nicht mehr auffällig, wenn von den Wilden der Name des Toten als ein Stück seiner Person gewertet und zum Gegenstand des den Toten betreffenden Tabu gemacht wird. Auch die Namensnennung des Toten läßt sich auf die Berührung mit ihm zurückführen, und wir dürfen uns dem umfassenderen Problem zuwenden, weshalb diese Berührung von so strengem Tabu betroffen ist.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naheliegendste Erklärung würde auf das natürliche Grauen hinweisen, welches der Leichnam und die Veränderungen, die alsbald an ihm bemerkt werden, erregt. Daneben müßte man der Trauer um den Toten einen Platz einräumen, als Motiv für alles, was sich auf diesen Toten bezieht. Allein das Grauen vor dem Leichnam deckt offenbar nicht die Einzelheiten der Tabuvorschriften, und die Trauer kann uns niemals erklären, daß die Erwähnung des Toten ein schwerer Schimpf für dessen Hinterbliebene ist. Die Trauer liebt es vielmehr, sich mit dem Verstorbenen zu beschäftigen, sein Andenken auszuarbeiten und für möglichst lange Zeit zu erhalten. Für die Eigentümlichkeiten der Tabugebräuche muß etwas anderes als die Trauer verantwortlich gemacht werden, etwas, das offenbar andere Absichten als diese verfolgt. Gerade die Tabu der Namen verraten uns dies noch unbekannte Motiv, und sagten es die Gebräuche nicht, so würden wir es aus den Angaben der trauernden Wilden selbst erfahren.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Sie machen nämlich kein Hehl daraus, daß sie sich vor der Gegenwart und der Wiederkehr des Geistes des Verstorbenen </w:t>
      </w:r>
      <w:r w:rsidRPr="00751AC0">
        <w:rPr>
          <w:rFonts w:ascii="Garamond" w:hAnsi="Garamond"/>
          <w:i/>
          <w:iCs/>
          <w:color w:val="000000"/>
          <w:lang w:val="en-GB"/>
        </w:rPr>
        <w:t>fürchten</w:t>
      </w:r>
      <w:r w:rsidRPr="00751AC0">
        <w:rPr>
          <w:rFonts w:ascii="Garamond" w:hAnsi="Garamond"/>
          <w:color w:val="000000"/>
          <w:lang w:val="en-GB"/>
        </w:rPr>
        <w:t xml:space="preserve">; sie üben eine Menge von Zeremonien, um ihn fernzuhalten, ihn zu vertreiben </w:t>
      </w:r>
      <w:hyperlink r:id="rId49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Als Beispiel eines solchen Bekenntnisses sind bei Frazer l. c., p. 353) die Tuaregs der </w:t>
        </w:r>
        <w:r w:rsidRPr="00751AC0">
          <w:rPr>
            <w:rStyle w:val="innerfusslink3"/>
            <w:rFonts w:ascii="Garamond" w:hAnsi="Garamond" w:cs="Arial"/>
            <w:b/>
            <w:bCs/>
            <w:lang w:val="en-GB"/>
          </w:rPr>
          <w:lastRenderedPageBreak/>
          <w:t>Sahara angeführt.</w:t>
        </w:r>
      </w:hyperlink>
      <w:r w:rsidRPr="00751AC0">
        <w:rPr>
          <w:rFonts w:ascii="Garamond" w:hAnsi="Garamond"/>
          <w:color w:val="000000"/>
          <w:lang w:val="en-GB"/>
        </w:rPr>
        <w:t xml:space="preserve">. Seinen Namen auszusprechen dünkt ihnen eine Beschwörung, der seine Gegenwart auf dem Fuße folgen wird </w:t>
      </w:r>
      <w:hyperlink r:id="rId49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Vielleicht ist hiezu die Bedingung zu fügen: solange noch etwas von seinen körperlichen Überresten existiert. Frazer (ibid., 372).</w:t>
        </w:r>
      </w:hyperlink>
      <w:r w:rsidRPr="00751AC0">
        <w:rPr>
          <w:rFonts w:ascii="Garamond" w:hAnsi="Garamond"/>
          <w:color w:val="000000"/>
          <w:lang w:val="en-GB"/>
        </w:rPr>
        <w:t xml:space="preserve">. Sie tun darum folgerichtig alles, um einer solchen Beschwörung und Erweckung aus dem Wege zu gehen. Sie verkleiden sich, damit der Geist sie nicht erkenne </w:t>
      </w:r>
      <w:hyperlink r:id="rId50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Auf den Nikobaren. Frazer (ibid.).</w:t>
        </w:r>
      </w:hyperlink>
      <w:r w:rsidRPr="00751AC0">
        <w:rPr>
          <w:rFonts w:ascii="Garamond" w:hAnsi="Garamond"/>
          <w:color w:val="000000"/>
          <w:lang w:val="en-GB"/>
        </w:rPr>
        <w:t xml:space="preserve">, oder sie entstellen seinen oder den eigenen Namen; sie wüten gegen den rücksichtslosen Fremden, der den Geist durch Nennung seines Namens auf seine Hinterbliebenen hetzt. Es ist unmöglich, der Folgerung auszuweichen, daß sie, nach Wundts Ausdruck, an der Furcht »vor seiner zum Dämon gewordenen Seele« </w:t>
      </w:r>
      <w:smartTag w:uri="urn:schemas-microsoft-com:office:smarttags" w:element="City">
        <w:smartTag w:uri="urn:schemas-microsoft-com:office:smarttags" w:element="place">
          <w:r w:rsidRPr="00751AC0">
            <w:rPr>
              <w:rFonts w:ascii="Garamond" w:hAnsi="Garamond"/>
              <w:color w:val="000000"/>
              <w:lang w:val="en-GB"/>
            </w:rPr>
            <w:t>leiden</w:t>
          </w:r>
        </w:smartTag>
      </w:smartTag>
      <w:r w:rsidRPr="00751AC0">
        <w:rPr>
          <w:rFonts w:ascii="Garamond" w:hAnsi="Garamond"/>
          <w:color w:val="000000"/>
          <w:lang w:val="en-GB"/>
        </w:rPr>
        <w:t xml:space="preserve"> </w:t>
      </w:r>
      <w:hyperlink r:id="rId50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Wundt (1906, p. 49).</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Mit dieser Einsicht wären wir bei der Bestätigung der Auffassung Wundts angelangt, welche das Wesen des Tabu, wie wir gehört haben, in der Angst vor den Dämonen findet.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Voraussetzung dieser Lehre, daß das teure Familienmitglied mit dem Augenblicke seines Todes zum Dämon wird, von dem die Hinterbliebenen nur Feindseliges zu erwarten haben und gegen dessen böse Gelüste sie sich mit allen Mitteln schützen müssen, ist so sonderbar, daß man ihr zunächst den Glauben versagen wird. Allein so ziemlich alle maßgebenden Autoren sind darin einig, den Primitiven diese Auffassung zuzuschreiben. Westermarck, der in seinem Werke: </w:t>
      </w:r>
      <w:r w:rsidRPr="00751AC0">
        <w:rPr>
          <w:rFonts w:ascii="Garamond" w:hAnsi="Garamond"/>
          <w:i/>
          <w:iCs/>
          <w:color w:val="000000"/>
          <w:lang w:val="en-GB"/>
        </w:rPr>
        <w:t>Ursprung und Entwicklung der Moralbegriffe</w:t>
      </w:r>
      <w:r w:rsidRPr="00751AC0">
        <w:rPr>
          <w:rFonts w:ascii="Garamond" w:hAnsi="Garamond"/>
          <w:color w:val="000000"/>
          <w:lang w:val="en-GB"/>
        </w:rPr>
        <w:t xml:space="preserve"> dem Tabu, nach meiner Schätzung, viel zu wenig Beachtung schenkt, äußert in dem Abschnitt: ›Verhalten gegen Verstorbene‹ direkt: »Überhaupt läßt </w:t>
      </w:r>
      <w:smartTag w:uri="urn:schemas-microsoft-com:office:smarttags" w:element="State">
        <w:smartTag w:uri="urn:schemas-microsoft-com:office:smarttags" w:element="place">
          <w:r w:rsidRPr="00751AC0">
            <w:rPr>
              <w:rFonts w:ascii="Garamond" w:hAnsi="Garamond"/>
              <w:color w:val="000000"/>
              <w:lang w:val="en-GB"/>
            </w:rPr>
            <w:t>mich</w:t>
          </w:r>
        </w:smartTag>
      </w:smartTag>
      <w:r w:rsidRPr="00751AC0">
        <w:rPr>
          <w:rFonts w:ascii="Garamond" w:hAnsi="Garamond"/>
          <w:color w:val="000000"/>
          <w:lang w:val="en-GB"/>
        </w:rPr>
        <w:t xml:space="preserve"> mein Tatsachenmaterial den Schluß ziehen, daß die Toten häufiger als Feinde denn als Freunde angesehen werden </w:t>
      </w:r>
      <w:hyperlink r:id="rId50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Westermarck, l. c., II. Band, p. 424. In der Anmerkung und in der Fortsetzung des Textes die reiche Fülle von bestätigenden, oft sehr charakteristischen Zeugnissen, z. B.: Die Maoris glaubten, »daß die nächsten und geliebtesten Verwandten nach dem Tode ihr Wesen ändern und selbst gegen ihre früheren Lieblinge übel gesinnt werden.« – Die Australneger glauben, jeder Verstorbene sei lange Zeit bösartig; je enger die Verwandtschaft, desto größer die Furcht. Die Zentraleskimo werden von der Vorstellung beherrscht, daß die Toten erst spät zur Ruhe gelangen, anfänglich aber zu fürchten seien als unheilbrütende Geister, die das Dorf häufig umkreisen, um Krankheit, Tod und anderes Unheil zu verbreiten. (Boas.)</w:t>
        </w:r>
      </w:hyperlink>
      <w:r w:rsidRPr="00751AC0">
        <w:rPr>
          <w:rFonts w:ascii="Garamond" w:hAnsi="Garamond"/>
          <w:color w:val="000000"/>
          <w:lang w:val="en-GB"/>
        </w:rPr>
        <w:t xml:space="preserve"> und daß Jevons und Grant Allen im Irrtum sind mit ihrer Behauptung, man habe früher geglaubt, die Böswilligkeit der Toten richte sich in der Regel nur gegen Fremde, während sie für Leben und Ergehen ihrer Nachkommen und Clangenossen väterlich besorgt seien.«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R. Kleinpaul hat in einem eindrucksvollen Buche die Reste des alten Seelenglaubens bei den zivilisierten Völkern zur Darstellung des Verhältnisses zwischen den Lebendigen und den Toten verwertet. </w:t>
      </w:r>
      <w:hyperlink r:id="rId50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R. Kleinpaul, Die Lebendigen und die Toten in Volksglauben, Religion und Sage, 1898.</w:t>
        </w:r>
      </w:hyperlink>
      <w:r w:rsidRPr="00751AC0">
        <w:rPr>
          <w:rFonts w:ascii="Garamond" w:hAnsi="Garamond"/>
          <w:color w:val="000000"/>
          <w:lang w:val="en-GB"/>
        </w:rPr>
        <w:t xml:space="preserve"> Es gipfelt auch nach ihm in der Überzeugung, daß die Toten mordlustig die Lebendigen nach sich ziehen. Die Toten töten; das Skelett, als welches der Tod </w:t>
      </w:r>
      <w:r w:rsidRPr="00751AC0">
        <w:rPr>
          <w:rFonts w:ascii="Garamond" w:hAnsi="Garamond"/>
          <w:i/>
          <w:iCs/>
          <w:color w:val="000000"/>
          <w:lang w:val="en-GB"/>
        </w:rPr>
        <w:t>heute</w:t>
      </w:r>
      <w:r w:rsidRPr="00751AC0">
        <w:rPr>
          <w:rFonts w:ascii="Garamond" w:hAnsi="Garamond"/>
          <w:color w:val="000000"/>
          <w:lang w:val="en-GB"/>
        </w:rPr>
        <w:t xml:space="preserve"> gebildet wird, stellt dar, daß der Tod selbst nur ein Toter ist. Nicht eher fühlte sich der Lebendige vor der Nachstellung des Toten sicher, als bis er ein trennendes Wasser zwischen sich und ihn gebracht hat. Daher begrub man die Toten gern auf Inseln, brachte sie auf die andere Seite eines Flusses; die Ausdrücke Diesseits und Jenseits sind hievon ausgegangen. Eine spätere Milderung hat die Böswilligkeit der Toten auf jene Kategorien beschränkt, denen man ein besonderes Recht zum Groll einräumen mußte, auf die Ermordeten, die ihren Mörder als böse Geister verfolgen, auf die in ungestillter Sehnsucht Gestorbenen wie die Bräute. Aber ursprünglich, meint Kleinpaul, waren alle Toten Vampire, alle grollten den Lebenden und trachteten, ihnen zu schaden, sie des Lebens zu berauben. Der Leichnam hat überhaupt erst den Begriff eines bösen Geistes geliefert.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Annahme, die liebsten Verstorbenen wandelten sich nach dem Tode zu Dämonen, läßt offenbar eine weitere Fragestellung zu. Was bewog die Primitiven dazu, ihren teuren Toten eine solche Sinnesänderung zuzuschreiben? Warum machten sie sie zu Dämonen? Westermarck glaubt, diese Frage leicht zu </w:t>
      </w:r>
      <w:r w:rsidRPr="00751AC0">
        <w:rPr>
          <w:rFonts w:ascii="Garamond" w:hAnsi="Garamond"/>
          <w:color w:val="000000"/>
          <w:lang w:val="en-GB"/>
        </w:rPr>
        <w:lastRenderedPageBreak/>
        <w:t xml:space="preserve">beantworten </w:t>
      </w:r>
      <w:hyperlink r:id="rId50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l. c., p. 426.</w:t>
        </w:r>
      </w:hyperlink>
      <w:r w:rsidRPr="00751AC0">
        <w:rPr>
          <w:rFonts w:ascii="Garamond" w:hAnsi="Garamond"/>
          <w:color w:val="000000"/>
          <w:lang w:val="en-GB"/>
        </w:rPr>
        <w:t>. »Da der Tod zumeist für das schlimmste Unglück gehalten wird, das den Menschen treffen kann, glaubt man, daß die Abgeschiedenen mit ihrem Schicksal äußerst unzufrieden seien. Nach Auffassung der Naturvölker stirbt man nur durch Tötung, sei es gewaltsame, sei es durch Zauberei bewirkte, und schon deshalb sieht man die Seele als rachsüchtig und reizbar an; vermeintlich beneidet sie die Lebenden und sehnt sich nach der Gesellschaft der alten Angehörigen – es ist daher begreiflich, daß sie trachtet, sie durch Krankheiten zu töten, um mit ihnen vereinigt zu werden ...«</w:t>
      </w:r>
    </w:p>
    <w:p w:rsidR="00B6748F" w:rsidRPr="00751AC0" w:rsidRDefault="00B6748F" w:rsidP="00B6748F">
      <w:pPr>
        <w:rPr>
          <w:rFonts w:ascii="Garamond" w:hAnsi="Garamond"/>
          <w:color w:val="000000"/>
          <w:lang w:val="en-GB"/>
        </w:rPr>
      </w:pPr>
      <w:r w:rsidRPr="00751AC0">
        <w:rPr>
          <w:rFonts w:ascii="Garamond" w:hAnsi="Garamond"/>
          <w:color w:val="000000"/>
          <w:lang w:val="en-GB"/>
        </w:rPr>
        <w:t>»... Eine weitere Erklärung der Bösartigkeit, die man den Seelen zuschreibt, liegt in der instinktiven Furcht vor diesen, welche Furcht ihrerseits das Ergebnis der Angst vor dem Tode ist.«</w:t>
      </w:r>
    </w:p>
    <w:p w:rsidR="00B6748F" w:rsidRPr="00751AC0" w:rsidRDefault="00B6748F" w:rsidP="00B6748F">
      <w:pPr>
        <w:rPr>
          <w:rFonts w:ascii="Garamond" w:hAnsi="Garamond"/>
          <w:color w:val="000000"/>
          <w:lang w:val="en-GB"/>
        </w:rPr>
      </w:pPr>
      <w:r w:rsidRPr="00751AC0">
        <w:rPr>
          <w:rFonts w:ascii="Garamond" w:hAnsi="Garamond"/>
          <w:color w:val="000000"/>
          <w:lang w:val="en-GB"/>
        </w:rPr>
        <w:t>Das Studium der psychoneurotischen Störungen weist uns auf eine umfassendere Erklärung hin, welche die Westmarcksche miteinschließt. Wenn eine Frau ihren Mann, eine Tochter ihre Mutter durch den Tod verloren hat, so ereignet es sich nicht selten, daß die Überlebende von peinigenden Bedenken, die wir »Zwangsvorwürfe« heißen, befallen wird, ob sie nicht selbst durch eine Unvorsichtigkeit oder Nachlässigkeit den Tod der geliebten Person verschuldet habe. Keine Erinnerung daran, wie sorgfältig sie den Kranken gepflegt, keine sachliche Zurückweisung der behaupteten Verschuldung vermag der Qual ein Ende zu machen, die etwa den pathologischen Ausdruck einer Trauer darstellt und mit der Zeit langsam abklingt. Die psychoanalytische Untersuchung solcher Fälle hat uns die geheimen Triebfedern des Leidens kennen gelehrt. Wir haben erfahren, daß diese Zwangsvorwürfe in gewissem Sinne berechtigt und nur darum gegen Widerlegung und Einspruch gefeit sind. Nicht als ob die Trauernde den Tod wirklich verschuldet oder die Vernachlässigung wirklich begangen hätte, wie es der Zwangsvorwurf behauptet; aber es war doch etwas in ihr vorhanden, ein ihr selbst unbewußter Wunsch, der mit dem Tode nicht unzufrieden war und der ihn herbeigeführt hätte, wenn er im Besitze der Macht gewesen wäre. Gegen diesen unbewußten Wunsch reagiert nun der Vorwurf nach dem Tode der geliebten Person. Solche im Unbewußten versteckte Feindseligkeit hinter zärtlicher Liebe gibt es nun in fast allen Fällen von intensiver Bindung des Gefühls an eine bestimmte Person, es ist der klassische Fall, das Vorbild der Ambivalenz menschlicher Gefühlsregungen. Von solcher Ambivalenz ist bei einem Menschen bald mehr, bald weniger in der Anlage vorgesehen; normalerweise ist es nicht so viel, daß die beschriebenen Zwangsvorwürfe daraus entstehen können. Wo sie aber ausgiebig angelegt ist, da wird sie sich gerade im Verhältnis zu den allergeliebtesten Personen, da, wo man es am wenigsten erwarten würde, manifestieren. Die Disposition zur Zwangsneurose, die wir in der Tabufrage so oft zum Vergleich herangezogen haben, denken wir uns durch ein besonders hohes Maß solcher ursprünglicher Gefühlsambivalenz ausgezeichnet.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kennen nun das Moment, welches uns das vermeintliche Dämonentum der frisch verstorbenen Seelen und die Notwendigkeit, sich durch die Tabuvorschriften gegen ihre Feindschaft zu schützen, erklären kann. Wenn wir annehmen, daß dem Gefühlsleben der Primitiven ein ähnlich hohes Maß von Ambivalenz zukomme, wie wir es nach den Ergebnissen der Psychoanalyse den Zwangskranken zuschreiben, so wird es verständlich, daß nach dem schmerzlichen Verlust eine ähnliche Reaktion gegen die im Unbewußten latente Feindseligkeit notwendig wird, wie sie dort durch die Zwangsvorwürfe erwiesen wurde. Diese im Unbewußten als Befriedigung über den Todesfall peinlich verspürte Feindseligkeit hat aber beim Primitiven ein anderes Schicksal; sie wird abgewehrt, indem sie auf das Objekt der Feindseligkeit, auf den Toten, verschoben wird. Wir heißen diesen im normalen wie im krankhaften Seelenleben häufigen Abwehrvorgang eine </w:t>
      </w:r>
      <w:r w:rsidRPr="00751AC0">
        <w:rPr>
          <w:rFonts w:ascii="Garamond" w:hAnsi="Garamond"/>
          <w:i/>
          <w:iCs/>
          <w:color w:val="000000"/>
          <w:lang w:val="en-GB"/>
        </w:rPr>
        <w:t>Projektion</w:t>
      </w:r>
      <w:r w:rsidRPr="00751AC0">
        <w:rPr>
          <w:rFonts w:ascii="Garamond" w:hAnsi="Garamond"/>
          <w:color w:val="000000"/>
          <w:lang w:val="en-GB"/>
        </w:rPr>
        <w:t xml:space="preserve">. Der Überlebende leugnet nun, daß er je feindselige Regungen gegen den geliebten Verstorbenen gehegt hat; aber die Seele des Verstorbenen hegt sie jetzt und wird sie über die ganze Zeit der Trauer zu betätigen bemüht sein. Der Straf- und Reuecharakter dieser Gefühlsreaktion wird sich trotz der geglückten Abwehr durch Projektion darin äußern, daß man sich fürchtet, sich Verzicht auferlegt und sich Einschränkungen unterwirft, die man zum Teil als Schutzmaßregeln gegen den feindlichen Dämon verkleidet. Wir finden so wiederum, daß das Tabu auf dem Boden einer ambivalenten Gefühlseinstellung erwachsen ist. Auch das Tabu der Toten rührt von dem Gegensatz zwischen dem bewußten Schmerz und der unbewußten Befriedigung über den Todesfall her. Bei dieser Herkunft des </w:t>
      </w:r>
      <w:r w:rsidRPr="00751AC0">
        <w:rPr>
          <w:rFonts w:ascii="Garamond" w:hAnsi="Garamond"/>
          <w:color w:val="000000"/>
          <w:lang w:val="en-GB"/>
        </w:rPr>
        <w:lastRenderedPageBreak/>
        <w:t>Grolles der Geister ist es selbstverständlich, daß gerade die nächsten und früher geliebtesten Hinterbliebenen ihn am meisten zu fürchten haben.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 Tabuvorschriften benehmen sich auch hier zwiespältig wie die neurotischen Symptome. Sie bringen einerseits durch ihren Charakter als Einschränkungen die Trauer zum Ausdruck, anderseits aber verraten sie sehr deutlich, was sie verbergen wollen, die Feindseligkeit gegen den Toten, die jetzt als Notwehr motiviert ist. Einen gewissen Anteil der Tabuverbote haben wir als Versuchungsangst verstehen gelernt. Der Tote ist wehrlos, das muß zur Befriedigung der feindseligen Gelüste an ihm reizen, und dieser Versuchung muß das Verbot entgegengesetzt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Westermarck hat aber recht, wenn er für die Auffassung der Wilden keinen Unterschied zwischen gewaltsam und natürlich Gestorbenen gelten lassen will. Für das unbewußte Denken ist auch der ein Gemordeter, der eines natürlichen Todes gestorben ist; die bösen Wünsche haben ihn getötet. (Vgl. die nächste Abhandlung dieser Reihe: ›Animismus, Magie und Allmacht der Gedanken‹.) Wer sich für Herkunft und Bedeutung der Träume vom Tode teurer Verwandter (der Eltern und Geschwister) interessiert, der wird beim Träumer, beim Kind und beim Wilden die volle Übereinstimmung im Verhalten gegen den Toten, gegründet auf die nämliche Gefühlsambivalenz, feststellen können.</w:t>
      </w:r>
    </w:p>
    <w:p w:rsidR="00B6748F" w:rsidRPr="00751AC0" w:rsidRDefault="00B6748F" w:rsidP="00B6748F">
      <w:pPr>
        <w:rPr>
          <w:rFonts w:ascii="Garamond" w:hAnsi="Garamond"/>
          <w:color w:val="000000"/>
          <w:lang w:val="en-GB"/>
        </w:rPr>
      </w:pPr>
      <w:r w:rsidRPr="00751AC0">
        <w:rPr>
          <w:rFonts w:ascii="Garamond" w:hAnsi="Garamond"/>
          <w:color w:val="000000"/>
          <w:lang w:val="en-GB"/>
        </w:rPr>
        <w:t>Wir haben vorhin einer Auffassung von Wundt widersprochen, welche das Wesen des Tabu in der Furcht vor den Dämonen findet, und doch haben wir soeben der Erklärung zugestimmt, welche das Tabu der Toten auf die Furcht vor der zum Dämon gewordenen Seele des Verstorbenen zurückführt. Das schiene ein Widerspruch: es wird uns aber nicht schwer werden, ihn aufzulösen. Wir haben die Dämonen zwar angenommen, aber nicht als etwas Letztes und für die Psychologie Unauflösbares gelten lassen. Wir sind gleichsam hinter die Dämonen gekommen, indem wir sie als Projektionen der feindseligen Gefühle erkannten, welche die Überlebenden gegen die Toten hegen.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nach unserer gut begründeten Annahme zwiespältigen – zärtlichen und feindseligen – Gefühle gegen die nun Verstorbenen wollen sich zur Zeit des Verlustes beide zur Geltung bringen, als Trauer und als Befriedigung. Zwischen diesen beiden Gegensätzen muß es zum Konflikt kommen, und da der eine Gegensatzpartner, die Feindseligkeit – ganz oder zum größeren Anteile –, unbewußt ist, kann der Ausgang des Konfliktes nicht in einer Subtraktion der beiden Intensitäten voneinander mit bewußter Einsetzung des Überschusses bestehen, etwa wie man einer geliebten Person eine von ihr erlittene Kränkung verzeiht. Der Prozeß erledigt sich vielmehr durch einen besonderen psychischen Mechanismus, den man in der Psychoanalyse als </w:t>
      </w:r>
      <w:r w:rsidRPr="00751AC0">
        <w:rPr>
          <w:rFonts w:ascii="Garamond" w:hAnsi="Garamond"/>
          <w:i/>
          <w:iCs/>
          <w:color w:val="000000"/>
          <w:lang w:val="en-GB"/>
        </w:rPr>
        <w:t>Projektion</w:t>
      </w:r>
      <w:r w:rsidRPr="00751AC0">
        <w:rPr>
          <w:rFonts w:ascii="Garamond" w:hAnsi="Garamond"/>
          <w:color w:val="000000"/>
          <w:lang w:val="en-GB"/>
        </w:rPr>
        <w:t xml:space="preserve"> zu bezeichnen gewohnt ist. Die Feindseligkeit, von der man nichts weiß und auch weiter nichts wissen will, wird aus der inneren Wahrnehmung in die Außenwelt geworfen, dabei von der eigenen Person gelöst und der anderen zugeschoben. Nicht wir, die Überlebenden, freuen uns jetzt darüber, daß wir des Verstorbenen ledig sind; nein, wir trauern um ihn, aber er ist merkwürdigerweise ein böser Dämon geworden, dem unser Unglück Befriedigung bereiten würde, der uns den Tod zu bringen sucht. Die Überlebenden müssen sich nun gegen diesen bösen Feind verteidigen; sie sind von der inneren Bedrückung entlastet, haben sie aber nur gegen eine Bedrängnis von außen eingetauscht.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ist nicht abzuweisen, daß dieser Projektionsvorgang, welcher die Verstorbenen zu böswilligen Feinden macht, eine Anlehnung an den reellen Feindseligkeiten findet, die man von letzteren erinnern und ihnen wirklich zum Vorwurf machen kann. Also an ihrer Härte, Herrschsucht, Ungerechtigkeit und was sonst den Hintergrund auch der zärtlichsten Beziehungen unter den Menschen bildet. Aber es kann nicht so einfach zugehen, daß uns dieses Moment für sich allein die Projektionsschöpfung der Dämonen begreiflich mache. Die Verschuldungen der Verstorbenen enthalten gewiß einen Teil der Motivierung für die Feindseligkeit der Überlebenden, aber sie wären unwirksam, wenn nicht die letzteren diese Feindseligkeit aus eigenem entwickeln würden, und der Zeitpunkt ihres Todes wäre gewiß der ungeeignetste Anlaß, die Erinnerung an die Vorwürfe zu wecken, die man ihnen zu machen berechtigt </w:t>
      </w:r>
      <w:r w:rsidRPr="00751AC0">
        <w:rPr>
          <w:rFonts w:ascii="Garamond" w:hAnsi="Garamond"/>
          <w:color w:val="000000"/>
          <w:lang w:val="en-GB"/>
        </w:rPr>
        <w:lastRenderedPageBreak/>
        <w:t>war. Wir können die unbewußte Feindseligkeit als das regelmäßig wirkende und eigentlich treibende Motiv nicht entbehren. Diese feindselige Strömung gegen die nächsten und teuersten Angehörigen konnte zu deren Lebzeiten latent bleiben, das heißt sich dem Bewußtsein weder direkt noch indirekt durch irgendeine Ersatzbildung verraten. Mit dem Ableben der gleichzeitig geliebten und gehaßten Personen war dies nicht mehr möglich, der Konflikt wurde akut. Die aus der gesteigerten Zärtlichkeit stammende Trauer wurde einerseits unduldsamer gegen die latente Feindseligkeit, anderseits durfte sie es nicht zulassen, daß sich aus letzterer nun ein Gefühl der Befriedigung ergebe. Somit kam es zur Verdrängung der unbewußten Feindseligkeit auf dem Wege der Projektion, zur Bildung jenes Zeremoniells, in dem die Furcht vor der Bestrafung durch die Dämonen Ausdruck findet, und mit dem zeitlichen Ablauf der Trauer verliert auch der Konflikt an Schärfe, so daß das Tabu dieser Toten sich abschwächen oder in Vergessenheit versinken darf.</w:t>
      </w:r>
    </w:p>
    <w:p w:rsidR="00B6748F" w:rsidRPr="00751AC0" w:rsidRDefault="00B6748F" w:rsidP="00B6748F">
      <w:pPr>
        <w:rPr>
          <w:rFonts w:ascii="Garamond" w:hAnsi="Garamond"/>
          <w:color w:val="000000"/>
          <w:lang w:val="en-GB"/>
        </w:rPr>
      </w:pPr>
      <w:r w:rsidRPr="00751AC0">
        <w:rPr>
          <w:rFonts w:ascii="Garamond" w:hAnsi="Garamond"/>
          <w:color w:val="000000"/>
          <w:lang w:val="en-GB"/>
        </w:rPr>
        <w:t>4</w:t>
      </w:r>
    </w:p>
    <w:p w:rsidR="00B6748F" w:rsidRPr="00751AC0" w:rsidRDefault="00B6748F" w:rsidP="00B6748F">
      <w:pPr>
        <w:rPr>
          <w:rFonts w:ascii="Garamond" w:hAnsi="Garamond"/>
          <w:color w:val="000000"/>
          <w:lang w:val="en-GB"/>
        </w:rPr>
      </w:pPr>
      <w:r w:rsidRPr="00751AC0">
        <w:rPr>
          <w:rFonts w:ascii="Garamond" w:hAnsi="Garamond"/>
          <w:color w:val="000000"/>
          <w:lang w:val="en-GB"/>
        </w:rPr>
        <w:t>Haben wir so den Boden geklärt, auf dem das überaus lehrreiche Tabu der Toten erwachsen ist, so wollen wir nicht versäumen, einige Bemerkungen anzuknüpfen, die für das Verständnis des Tabu überhaupt bedeutungsvoll werden können.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 Projektion der unbewußten Feindseligkeit beim Tabu der Toten auf die Dämonen ist nur ein einzelnes Beispiel aus einer Reihe von Vorgängen, denen der größte Einfluß auf die Gestaltung des primitiven Seelenlebens zugesprochen werden muß. In dem betrachteten Falle dient die Projektion der Erledigung eines Gefühlskonfliktes; sie findet die nämliche Verwendung in einer großen Anzahl von psychischen Situationen, die zur Neurose führen. Aber die Projektion ist nicht für die Abwehr geschaffen, sie kommt auch zustande, wo es keine Konflikte gibt. Die Projektion innerer Wahrnehmungen nach außen ist ein primitiver Mechanismus, dem z. B. auch unsere Sinneswahrnehmungen unterliegen, der also an der Gestaltung unserer Außenwelt normalerweise den größten Anteil hat. Unter noch nicht genügend festgestellten Bedingungen werden innere Wahrnehmungen auch von Gefühls- und Denkvorgängen wie die Sinneswahrnehmungen nach außen projiziert, zur Ausgestaltung der Außenwelt verwendet, während sie der Innenwelt verbleiben sollten. Es hängt dies vielleicht genetisch damit zusammen, daß die Funktion der Aufmerksamkeit ursprünglich nicht der Innenwelt, sondern den von der Außenwelt zuströmenden Reizen zugewendet war und von den endopsychischen Vorgängen nur die Nachrichten über Lust- und Unlustentwicklungen empfing. Erst mit der Ausbildung einer abstrakten Denksprache, durch die Verknüpfung der sinnlichen Reste der Wortvorstellungen mit inneren Vorgängen, wurden diese selbst allmählich wahrnehmungsfähig. Bis dahin hatten die primitiven Menschen durch Projektion innerer Wahrnehmungen nach außen ein Bild der Außenwelt entwickelt, welches wir nun mit erstarkter Bewußtseinswahrnehmung in Psychologie zurückübersetzen müssen.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Projektion der eigenen bösen Regungen in die Dämonen ist nur ein Stück eines Systems, welches die »Weltanschauung« der Primitiven geworden ist und das wir in der nächsten Abhandlung dieser Reihe als das »animistische« kennenlernen werden. Wir werden dann die psychologischen Charaktere einer solchen Systembildung festzustellen haben und unsere Anhaltspunkte wiederum in der Analyse jener Systembildungen finden, welche uns die Neurosen entgegenbringen. Wir wollen vorläufig nur verraten, daß die sogenannte »sekundäre Bearbeitung« des Trauminhalts das Vorbild für alle diese Systembildungen ist. Vergessen wir auch nicht daran, daß es vom Stadium der Systembildung an zweierlei Ableitungen für jeden vom Bewußtsein beurteilten Akt gibt, die systematische und die reale, aber unbewußte </w:t>
      </w:r>
      <w:hyperlink r:id="rId50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Den Projektionsschöpfungen der Primitiven stehen die Personifikationen nahe, durch welche der Dichter die in ihm ringenden entgegengesetzten Triebregungen als gesonderte Individuen aus sich herausstellt.</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Wundt </w:t>
      </w:r>
      <w:hyperlink r:id="rId50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»Mythus und Religion«, II, S. 129</w:t>
        </w:r>
      </w:hyperlink>
      <w:r w:rsidRPr="00751AC0">
        <w:rPr>
          <w:rFonts w:ascii="Garamond" w:hAnsi="Garamond"/>
          <w:color w:val="000000"/>
          <w:lang w:val="en-GB"/>
        </w:rPr>
        <w:t xml:space="preserve"> bemerkt, daß »unter den Wirkungen, die der Mythus allerorten den Dämonen zuschreibt, zunächst die </w:t>
      </w:r>
      <w:r w:rsidRPr="00751AC0">
        <w:rPr>
          <w:rFonts w:ascii="Garamond" w:hAnsi="Garamond"/>
          <w:i/>
          <w:iCs/>
          <w:color w:val="000000"/>
          <w:lang w:val="en-GB"/>
        </w:rPr>
        <w:t>unheilvollen</w:t>
      </w:r>
      <w:r w:rsidRPr="00751AC0">
        <w:rPr>
          <w:rFonts w:ascii="Garamond" w:hAnsi="Garamond"/>
          <w:color w:val="000000"/>
          <w:lang w:val="en-GB"/>
        </w:rPr>
        <w:t xml:space="preserve"> überwiegen, so daß im Glauben der Völker sichtlich die bösen Dämonen älter sind als die guten«. Es ist nun sehr wohl möglich, daß der Begriff des Dämons überhaupt aus der so bedeutsamen Relation zu den Toten gewonnen wurde. Die diesem Verhältnis innewohnende Ambivalenz hat sich dann im weiteren Verlaufe der Menschheitsentwicklung darin geäußert, daß sie aus der nämlichen Wurzel zwei völlig entgegengesetzte psychische Bildungen hervorgehen ließ: Dämonen- und Gespensterfurcht einerseits, die Ahnenverehrung anderseits </w:t>
      </w:r>
      <w:hyperlink r:id="rId50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In den Psychoanalysen neurotischer Personen, die an Gespensterangst leiden oder in ihrer Kindheit gelitten haben, fällt es oft nicht schwer, diese Gespenster als die Eltern zu entlarven. Vgl. hiezu auch die ›Sexualgespenster‹ betitelte Mitteilung von P. Haeberlin (1912), in welcher es sich um eine andere erotisch betonte Person handelt, der Vater aber verstorben war.</w:t>
        </w:r>
      </w:hyperlink>
      <w:r w:rsidRPr="00751AC0">
        <w:rPr>
          <w:rFonts w:ascii="Garamond" w:hAnsi="Garamond"/>
          <w:color w:val="000000"/>
          <w:lang w:val="en-GB"/>
        </w:rPr>
        <w:t xml:space="preserve">. Daß die Dämonen stets als die Geister </w:t>
      </w:r>
      <w:r w:rsidRPr="00751AC0">
        <w:rPr>
          <w:rFonts w:ascii="Garamond" w:hAnsi="Garamond"/>
          <w:i/>
          <w:iCs/>
          <w:color w:val="000000"/>
          <w:lang w:val="en-GB"/>
        </w:rPr>
        <w:t>kürzlich</w:t>
      </w:r>
      <w:r w:rsidRPr="00751AC0">
        <w:rPr>
          <w:rFonts w:ascii="Garamond" w:hAnsi="Garamond"/>
          <w:color w:val="000000"/>
          <w:lang w:val="en-GB"/>
        </w:rPr>
        <w:t xml:space="preserve"> Verstorbener aufgefaßt werden, bezeugt wie nichts anderes den Einfluß der Trauer auf die Entstehung des Dämonenglaubens. Die Trauer hat eine ganz bestimmte psychische Aufgabe zu erledigen, sie soll die Erinnerungen und Erwartungen der Überlebenden von den Toten ablösen. Ist diese Arbeit geschehen, so läßt der Schmerz nach, mit ihm die Reue und der Vorwurf und darum auch die Angst vor dem Dämon. Dieselben Geister aber, die zunächst als Dämonen gefürchtet wurden, gehen nun der freundlicheren Bestimmung entgegen, als Ahnen verehrt und zur Hilfeleistung angerufen zu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Überblickt man das Verhältnis der Überlebenden zu den Toten im Wandel der Zeiten, so ist es unverkennbar, daß dessen Ambivalenz außerordentlich nachgelassen hat. Es gelingt jetzt leicht, die unbewußte, immer noch nachweisbare Feindseligkeit gegen die Toten niederzuhalten, ohne daß es eines besonderen seelischen Aufwandes hiefür bedürfte. Wo früher der befriedigte Haß und die schmerzhafte Zärtlichkeit miteinander gerungen haben, da erhebt sich heute wie eine Narbenbildung die Pietät und fordert das: </w:t>
      </w:r>
      <w:r w:rsidRPr="00751AC0">
        <w:rPr>
          <w:rFonts w:ascii="Garamond" w:hAnsi="Garamond"/>
          <w:i/>
          <w:iCs/>
          <w:color w:val="000000"/>
          <w:lang w:val="en-GB"/>
        </w:rPr>
        <w:t>De mortuis nil nisi bene</w:t>
      </w:r>
      <w:r w:rsidRPr="00751AC0">
        <w:rPr>
          <w:rFonts w:ascii="Garamond" w:hAnsi="Garamond"/>
          <w:color w:val="000000"/>
          <w:lang w:val="en-GB"/>
        </w:rPr>
        <w:t xml:space="preserve">. Nur die Neurotiker trüben noch die Trauer um den Verlust eines ihrer Teuren durch Anfälle von Zwangsvorwürfen, welche in der Psychoanalyse die alte ambivalente Gefühlseinstellung als ihr Geheimnis verraten. Auf welchem Wege diese Änderung herbeigeführt wurde, inwieweit sich konstitutionelle Änderung und reale Besserung der familiären Beziehungen in deren Verursachung teilen, das braucht hier nicht erörtert zu werden. Aber man könnte durch dieses Beispiel zur Annahme geführt werden, </w:t>
      </w:r>
      <w:r w:rsidRPr="00751AC0">
        <w:rPr>
          <w:rFonts w:ascii="Garamond" w:hAnsi="Garamond"/>
          <w:i/>
          <w:iCs/>
          <w:color w:val="000000"/>
          <w:lang w:val="en-GB"/>
        </w:rPr>
        <w:t>es sei den Seelenregungen der Primitiven überhaupt ein höheres Maß von Ambivalenz zuzugestehen, als bei dem heute lebenden Kulturmenschen aufzufinden ist. Mit der Abnahme dieser Ambivalenz schwand auch langsam das Tabu, das Kompromißsymptom des Ambivalenzkonfliktes.</w:t>
      </w:r>
      <w:r w:rsidRPr="00751AC0">
        <w:rPr>
          <w:rFonts w:ascii="Garamond" w:hAnsi="Garamond"/>
          <w:color w:val="000000"/>
          <w:lang w:val="en-GB"/>
        </w:rPr>
        <w:t xml:space="preserve"> Von den Neurotikern, welche genötigt sind, diesen Kampf und das aus ihm hervorgehende Tabu zu reproduzieren, würden wir sagen, daß sie eine archaistische Konstitution als atavistischen Rest mit sich gebracht haben, deren Kompensation im Dienste der Kulturanforderung sie nun zu so ungeheuerlichem seelischen Aufwand zwingt.</w:t>
      </w:r>
    </w:p>
    <w:p w:rsidR="00B6748F" w:rsidRPr="00751AC0" w:rsidRDefault="00B6748F" w:rsidP="00B6748F">
      <w:pPr>
        <w:rPr>
          <w:rFonts w:ascii="Garamond" w:hAnsi="Garamond"/>
          <w:color w:val="000000"/>
          <w:lang w:val="en-GB"/>
        </w:rPr>
      </w:pPr>
      <w:r w:rsidRPr="00751AC0">
        <w:rPr>
          <w:rFonts w:ascii="Garamond" w:hAnsi="Garamond"/>
          <w:color w:val="000000"/>
          <w:lang w:val="en-GB"/>
        </w:rPr>
        <w:t>Wir erinnern uns an dieser Stelle der durch ihre Unklarheit verwirrenden Auskunft, welche uns Wundt über die Doppelbedeutung des Wortes Tabu: heilig und unrein geboten hat (s. oben). Ursprünglich habe das Wort Tabu heilig und unrein noch nicht bedeutet, sondern habe das Dämonische bezeichnet, das nicht berührt werden darf, und somit ein wichtiges, den beiden extremen Begriffen gemeinsames Merkmal hervorgehoben, doch beweise diese bleibende Gemeinschaft, daß zwischen den beiden Gebieten des Heiligen und des Unreinen eine ursprüngliche Übereinstimmung obwalte, die erst später einer Differenzierung gewichen sei.</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Im Gegensatze hiezu leiten wir aus unseren Erörterungen mühelos ab, daß dem Worte Tabu von allem Anfang an die erwähnte Doppelbedeutung zukommt, daß es zur Bezeichnung einer bestimmten Ambivalenz dient und alles dessen, was auf dem Boden dieser Ambivalenz erwachsen ist. </w:t>
      </w:r>
      <w:r w:rsidRPr="00751AC0">
        <w:rPr>
          <w:rFonts w:ascii="Garamond" w:hAnsi="Garamond"/>
          <w:i/>
          <w:iCs/>
          <w:color w:val="000000"/>
          <w:lang w:val="en-GB"/>
        </w:rPr>
        <w:t>Tabu</w:t>
      </w:r>
      <w:r w:rsidRPr="00751AC0">
        <w:rPr>
          <w:rFonts w:ascii="Garamond" w:hAnsi="Garamond"/>
          <w:color w:val="000000"/>
          <w:lang w:val="en-GB"/>
        </w:rPr>
        <w:t xml:space="preserve"> ist selbst ein ambivalentes Wort, und nachträglich meinen wir, man hätte aus dem festgestellten Sinne dieses Wortes allein erraten können, was sich als Ergebnis weitläufiger Untersuchung herausgestellt hat, daß das Tabuverbot als das Resultat einer Gefühlsambivalenz zu verstehen ist. Das Studium der ältesten Sprachen </w:t>
      </w:r>
      <w:r w:rsidRPr="00751AC0">
        <w:rPr>
          <w:rFonts w:ascii="Garamond" w:hAnsi="Garamond"/>
          <w:color w:val="000000"/>
          <w:lang w:val="en-GB"/>
        </w:rPr>
        <w:lastRenderedPageBreak/>
        <w:t xml:space="preserve">hat uns belehrt, daß es einst viele solche Worte gab, welche Gegensätze in sich faßten, in gewissem – wenn auch nicht in ganz dem nämlichen – Sinne wie das Wort Tabu ambivalent waren </w:t>
      </w:r>
      <w:hyperlink r:id="rId50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Vgl. mein Referat über Abels » </w:t>
        </w:r>
        <w:r w:rsidRPr="00751AC0">
          <w:rPr>
            <w:rStyle w:val="innerfusslink3"/>
            <w:rFonts w:ascii="Garamond" w:hAnsi="Garamond" w:cs="Arial"/>
            <w:b/>
            <w:bCs/>
            <w:i/>
            <w:iCs/>
            <w:lang w:val="en-GB"/>
          </w:rPr>
          <w:t>Gegensinn der Urworte«</w:t>
        </w:r>
        <w:r w:rsidRPr="00751AC0">
          <w:rPr>
            <w:rStyle w:val="innerfusslink3"/>
            <w:rFonts w:ascii="Garamond" w:hAnsi="Garamond" w:cs="Arial"/>
            <w:b/>
            <w:bCs/>
            <w:lang w:val="en-GB"/>
          </w:rPr>
          <w:t>.</w:t>
        </w:r>
      </w:hyperlink>
      <w:r w:rsidRPr="00751AC0">
        <w:rPr>
          <w:rFonts w:ascii="Garamond" w:hAnsi="Garamond"/>
          <w:color w:val="000000"/>
          <w:lang w:val="en-GB"/>
        </w:rPr>
        <w:t>. Geringe lautliche Modifikationen des gegensinnigen Urwortes haben später dazu gedient, um den beiden hier vereinigten Gegensätzen einen gesonderten sprachlichen Ausdruck zu schaffen.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Das Wort </w:t>
      </w:r>
      <w:r w:rsidRPr="00751AC0">
        <w:rPr>
          <w:rFonts w:ascii="Garamond" w:hAnsi="Garamond"/>
          <w:i/>
          <w:iCs/>
          <w:color w:val="000000"/>
          <w:lang w:val="en-GB"/>
        </w:rPr>
        <w:t>Tabu</w:t>
      </w:r>
      <w:r w:rsidRPr="00751AC0">
        <w:rPr>
          <w:rFonts w:ascii="Garamond" w:hAnsi="Garamond"/>
          <w:color w:val="000000"/>
          <w:lang w:val="en-GB"/>
        </w:rPr>
        <w:t xml:space="preserve"> hat ein anderes Schicksal gehabt; mit der abnehmenden Wichtigkeit der von ihm bezeichneten Ambivalenz ist es selbst, respektive sind die ihm analogen Worte aus dem Sprachschatz geschwunden. Ich hoffe, in späterem Zusammenhange wahrscheinlich machen zu können, daß sich hinter dem Schicksal dieses Begriffes eine greifbare historische Wandlung verbirgt, daß das Wort zuerst an ganz bestimmten menschlichen Relationen haftete, denen die große Gefühlsambivalenz eigen war, und daß es von hier aus auf andere, analoge Relationen ausgedehnt wurde.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Wenn wir nicht irren, so wirft das Verständnis des Tabu auch ein Licht auf die Natur und Entstehung des </w:t>
      </w:r>
      <w:r w:rsidRPr="00751AC0">
        <w:rPr>
          <w:rFonts w:ascii="Garamond" w:hAnsi="Garamond"/>
          <w:i/>
          <w:iCs/>
          <w:color w:val="000000"/>
          <w:lang w:val="en-GB"/>
        </w:rPr>
        <w:t>Gewissens</w:t>
      </w:r>
      <w:r w:rsidRPr="00751AC0">
        <w:rPr>
          <w:rFonts w:ascii="Garamond" w:hAnsi="Garamond"/>
          <w:color w:val="000000"/>
          <w:lang w:val="en-GB"/>
        </w:rPr>
        <w:t>. Man kann ohne Dehnung der Begriffe von einem Tabugewissen und von einem Tabuschuldbewußtsein nach Übertretung des Tabu sprechen. Das Tabugewissen ist wahrscheinlich die älteste Form, in welcher uns das Phänomen des Gewissens entgegentritt.</w:t>
      </w:r>
    </w:p>
    <w:p w:rsidR="00B6748F" w:rsidRPr="00751AC0" w:rsidRDefault="00B6748F" w:rsidP="00B6748F">
      <w:pPr>
        <w:rPr>
          <w:rFonts w:ascii="Garamond" w:hAnsi="Garamond"/>
          <w:color w:val="000000"/>
          <w:lang w:val="en-GB"/>
        </w:rPr>
      </w:pPr>
      <w:r w:rsidRPr="00751AC0">
        <w:rPr>
          <w:rFonts w:ascii="Garamond" w:hAnsi="Garamond"/>
          <w:color w:val="000000"/>
          <w:lang w:val="en-GB"/>
        </w:rPr>
        <w:t>Denn was ist »Gewissen«? Nach dem Zeugnis der Sprache gehört es zu dem, was man am gewissesten weiß; in manchen Sprachen scheidet sich seine Bezeichnung kaum von der des Bewußtseins.</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Gewissen ist die innere Wahrnehmung von der Verwerfung bestimmter in uns bestehender Wunschregungen; der Ton liegt aber darauf, daß diese Verwerfung sich auf nichts anderes zu berufen braucht, daß sie ihrer selbst gewiß ist. Noch deutlicher wird dies beim Schuldbewußtsein, der Wahrnehmung der inneren Verurteilung solcher Akte, durch die wir bestimmte Wunschregungen vollzogen haben. Eine Begründung erscheint hier überflüssig; jeder, der ein Gewissen hat, muß die Berechtigung der Verurteilung, den Vorwurf der vollzogenen Handlung, in sich verspüren. Diesen nämlichen Charakter zeigt aber das Verhalten der Wilden gegen das Tabu; das Tabu ist ein Gewissensgebot, seine Verletzung läßt ein entsetzliches Schuldgefühl entstehen, welches ebenso selbstverständlich wie nach seiner Herkunft unbekannt ist </w:t>
      </w:r>
      <w:hyperlink r:id="rId50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Es ist eine interessante Parallele, daß das Schuldbewußtsein des Tabu in nichts gemindert wird, wenn die Übertretung unwissentlich geschah (s. Beispiele oben), und daß noch im griechischen Mythus die Verschuldung des Ödipus nicht aufgehoben wird dadurch, daß sie ohne, ja gegen sein Wissen und Wollen erworben wurde.</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Also entsteht wahrscheinlich auch das Gewissen auf dem Boden einer Gefühlsambivalenz aus ganz bestimmten menschlichen Relationen, an denen diese Ambivalenz haftet, und unter den für das Tabu und die Zwangsneurose geltend gemachten Bedingungen, daß das eine Glied des Gegensatzes unbewußt sei und durch das zwanghaft herrschende andere verdrängt erhalten werde. Zu diesem Schlusse stimmt mehrerlei, was wir aus der Analyse der Neurose gelernt haben. Erstens, daß im Charakter der Zwangsneurotiker der Zug der peinlichen Gewissenhaftigkeit hervortritt als Reaktionssymptom gegen die im Unbewußten lauernde Versuchung und daß bei Steigerung des Krankseins die höchsten Grade von Schuldbewußtsein von ihnen entwickelt werden. Man kann in der Tat den Ausspruch wagen, wenn wir nicht an den Zwangskranken die Herkunft des Schuldbewußtseins ergründen können, so haben wir überhaupt keine Aussicht, dieselbe zu erfahren. Die Lösung dieser Aufgabe gelingt nun beim einzelnen neurotischen Individuum; für die Völker getrauen wir uns eine ähnliche Lösung zu erschließen.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Zweitens muß es uns auffallen, daß das Schuldbewußtsein viel von der Natur der Angst hat; es kann ohne Bedenken als »Gewissensangst« beschrieben werden. Die Angst deutet aber auf unbewußte Quellen hin; wir haben aus der Neurosenpsychologie gelernt, daß, wenn Wunschregungen der Verdrängung unterliegen, deren Libido in Angst verwandelt wird. Dazu wollen wir erinnern, daß auch beim </w:t>
      </w:r>
      <w:r w:rsidRPr="00751AC0">
        <w:rPr>
          <w:rFonts w:ascii="Garamond" w:hAnsi="Garamond"/>
          <w:color w:val="000000"/>
          <w:lang w:val="en-GB"/>
        </w:rPr>
        <w:lastRenderedPageBreak/>
        <w:t>Schuldbewußtsein etwas unbekannt und unbewußt ist, nämlich die Motivierung der Verwerfung. Diesem Unbekannten entspricht der Angstcharakter des Schuldbewußtseins.</w:t>
      </w:r>
    </w:p>
    <w:p w:rsidR="00B6748F" w:rsidRPr="00751AC0" w:rsidRDefault="00B6748F" w:rsidP="00B6748F">
      <w:pPr>
        <w:rPr>
          <w:rFonts w:ascii="Garamond" w:hAnsi="Garamond"/>
          <w:color w:val="000000"/>
          <w:lang w:val="en-GB"/>
        </w:rPr>
      </w:pPr>
      <w:r w:rsidRPr="00751AC0">
        <w:rPr>
          <w:rFonts w:ascii="Garamond" w:hAnsi="Garamond"/>
          <w:color w:val="000000"/>
          <w:lang w:val="en-GB"/>
        </w:rPr>
        <w:t>Wenn das Tabu sich vorwiegend in Verboten äußert, so ist eine Überlegung denkbar, die uns sagt, es sei ganz selbstverständlich und bedürfe keines weitläufigen Beweises aus der Analogie mit der Neurose, daß ihm eine positive, begehrende Strömung zugrunde liege. Denn, was niemand zu tun begehrt, das braucht man doch nicht zu verbieten, und jedenfalls muß das, was aufs nachdrücklichste verboten wird, doch Gegenstand eines Begehrens sein. Wenden wir diesen plausiblen Satz auf unsere Primitiven an, so müßten wir schließen, es gehöre zu ihren stärksten Versuchungen, ihre Könige und Priester zu töten, Inzest zu verüben, ihre Toten zu mißhandeln u. dgl. Das ist nun kaum wahrscheinlich; den entschiedensten Widerspruch erwecken wir aber, wenn wir den nämlichen Satz an den Fällen messen, in welchen wir selbst die Stimme des Gewissens am deutlichsten zu vernehmen glauben. Wir würden dann mit einer nicht zu übertreffenden Sicherheit behaupten, daß wir nicht die geringste Versuchung verspüren, eines dieser Gebote zu übertreten, z. B. das Gebot: »Du sollst nicht morden«, und daß wir vor der Übertretung desselben nichts anderes verspüren als Abscheu.</w:t>
      </w:r>
    </w:p>
    <w:p w:rsidR="00B6748F" w:rsidRPr="00751AC0" w:rsidRDefault="00B6748F" w:rsidP="00B6748F">
      <w:pPr>
        <w:rPr>
          <w:rFonts w:ascii="Garamond" w:hAnsi="Garamond"/>
          <w:color w:val="000000"/>
          <w:lang w:val="en-GB"/>
        </w:rPr>
      </w:pPr>
      <w:r w:rsidRPr="00751AC0">
        <w:rPr>
          <w:rFonts w:ascii="Garamond" w:hAnsi="Garamond"/>
          <w:color w:val="000000"/>
          <w:lang w:val="en-GB"/>
        </w:rPr>
        <w:t>Mißt man dieser Aussage unseres Gewissens die Bedeutung bei, die sie beansprucht, so wird einerseits das Verbot überflüssig – das Tabu sowohl wie unser Moralverbot –, anderseits bleibt die Tatsache des Gewissens unerklärt, und die Beziehungen zwischen Gewissen, Tabu und Neurose entfallen; es ist also jener Zustand unseres Verständnisses hergestellt, der auch gegenwärtig besteht, solange wir nicht psychoanalytische Gesichtspunkte auf das Problem anwenden.</w:t>
      </w:r>
    </w:p>
    <w:p w:rsidR="00B6748F" w:rsidRPr="00751AC0" w:rsidRDefault="00B6748F" w:rsidP="00B6748F">
      <w:pPr>
        <w:rPr>
          <w:rFonts w:ascii="Garamond" w:hAnsi="Garamond"/>
          <w:color w:val="000000"/>
          <w:lang w:val="en-GB"/>
        </w:rPr>
      </w:pPr>
      <w:r w:rsidRPr="00751AC0">
        <w:rPr>
          <w:rFonts w:ascii="Garamond" w:hAnsi="Garamond"/>
          <w:color w:val="000000"/>
          <w:lang w:val="en-GB"/>
        </w:rPr>
        <w:t>Wenn wir aber der durch die Psychoanalyse – an den Träumen Gesunder – gefundenen Tatsache Rechnung tragen, daß die Versuchung, den anderen zu töten, auch bei uns stärker und häufiger ist, als wir ahnen, und daß sie psychische Wirkungen äußert, auch wo sie sich unserem Bewußtsein nicht kundgibt, wenn wir ferner in den Zwangsvorschriften gewisser Neurotiker die Sicherungen und Selbstbestrafungen gegen den verstärkten Impuls zu morden erkannt haben, dann werden wir zu dem vorhin aufgestellten Satz: Wo ein Verbot vorliegt, muß ein Begehren dahinter sein, mit neuer Schätzung zurückkehren. Wir werden annehmen, daß dies Begehren zu morden tatsächlich im Unbewußten vorhanden ist und daß das Tabu wie das Moralverbot psychologisch keineswegs überflüssig ist, vielmehr durch die ambivalente Einstellung gegen den Mordimpuls erklärt und gerechtfertigt wird.</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eine so häufig als fundamental hervorgehobene Charakter dieses Ambivalenzverhältnisses, daß die positive, begehrende Strömung eine unbewußte ist, eröffnet einen Ausblick auf weitere Zusammenhänge und Erklärungsmöglichkeiten. Die psychischen Vorgänge im Unbewußten sind nicht durchwegs mit jenen identisch, die uns aus unserem bewußten Seelenleben bekannt sind, sondern genießen gewisse beachtenswerte Freiheiten, die den letzteren entzogen worden sind. Ein unbewußter Impuls braucht nicht dort entstanden zu sein, wo wir seine Äußerung finden; er kann von ganz anderer Stelle herstammen, sich ursprünglich auf andere Personen und Relationen bezogen haben und durch den Mechanismus der </w:t>
      </w:r>
      <w:r w:rsidRPr="00751AC0">
        <w:rPr>
          <w:rFonts w:ascii="Garamond" w:hAnsi="Garamond"/>
          <w:i/>
          <w:iCs/>
          <w:color w:val="000000"/>
          <w:lang w:val="en-GB"/>
        </w:rPr>
        <w:t>Verschiebung</w:t>
      </w:r>
      <w:r w:rsidRPr="00751AC0">
        <w:rPr>
          <w:rFonts w:ascii="Garamond" w:hAnsi="Garamond"/>
          <w:color w:val="000000"/>
          <w:lang w:val="en-GB"/>
        </w:rPr>
        <w:t xml:space="preserve"> dorthin gelangt sein, wo er uns auffällt. Er kann ferner dank der Unzerstörbarkeit und Unkorrigierbarkeit unbewußter Vorgänge aus sehr frühen Zeiten, denen er angemessen war, in spätere Zeiten und Verhältnisse hinübergerettet werden, in denen seine Äußerungen fremdartig erscheinen müssen. All dies sind nur Andeutungen, aber eine sorgfältige Ausführung derselben würde zeigen, wie wichtig sie für das Verständnis der Kulturentwicklung werden können.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Zum Schlusse dieser Erörterungen wollen wir eine spätere Untersuchungen vorbereitende Bemerkung nicht versäumen. Wenn wir auch an der Wesensgleichheit von Tabuverbot und Moralverbot festhalten, so wollen wir doch nicht bestreiten, daß eine psychologische Verschiedenheit zwischen beiden bestehen muß. Eine Veränderung in den Verhältnissen der grundlegenden Ambivalenz kann allein die Ursache sein, daß das Verbot nicht mehr in der Form des Tabu erscheint. Wir haben uns bisher in der analytischen </w:t>
      </w:r>
      <w:r w:rsidRPr="00751AC0">
        <w:rPr>
          <w:rFonts w:ascii="Garamond" w:hAnsi="Garamond"/>
          <w:color w:val="000000"/>
          <w:lang w:val="en-GB"/>
        </w:rPr>
        <w:lastRenderedPageBreak/>
        <w:t>Betrachtung der Tabuphänomene von den nachweisbaren Übereinstimmungen mit der Zwangsneurose leiten lassen, aber das Tabu ist doch keine Neurose, sondern eine soziale Bildung; somit obliegt uns die Aufgabe, auch darauf hinzuweisen, worin der prinzipielle Unterschied der Neurose von einer Kulturschöpfung wie das Tabu zu suchen ist.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Ich will hier wiederum eine einzelne Tatsache zum Ausgangspunkt nehmen. Von der Übertretung eines Tabu wird bei den Primitiven eine Strafe befürchtet, meist eine schwere Erkrankung oder der Tod. Diese Strafe droht nun dem, der sich die Übertretung hat zuschulden kommen lassen. Bei der Zwangsneurose ist dies anders. Wenn der Kranke etwas ihm Verbotenes ausführen soll, so fürchtet er die Strafe nicht für sich, sondern für eine andere Person, die meist unbestimmt gelassen ist, aber durch die Analyse leicht als eine der ihm nächsten und von ihm geliebtesten Personen erkannt wird. Der Neurotiker verhält sich also hiebei wie altruistisch, der Primitive wie egoistisch. Erst wenn die Tabuübertretung sich im Missetäter nicht spontan gerächt hat, dann erwacht bei den Wilden ein kollektives Gefühl, daß sie durch den Frevel alle bedroht wären, und sie beeilen sich, die ausgebliebene Bestrafung selbst zu vollstrecken. </w:t>
      </w:r>
      <w:r w:rsidRPr="00751AC0">
        <w:rPr>
          <w:rFonts w:ascii="Garamond" w:hAnsi="Garamond"/>
          <w:color w:val="000000"/>
        </w:rPr>
        <w:t xml:space="preserve">Wir haben es leicht, uns den Mechanismus dieser Solidarität zu erklären. </w:t>
      </w:r>
      <w:r w:rsidRPr="00751AC0">
        <w:rPr>
          <w:rFonts w:ascii="Garamond" w:hAnsi="Garamond"/>
          <w:color w:val="000000"/>
          <w:lang w:val="en-GB"/>
        </w:rPr>
        <w:t>Die Angst vor dem ansteckenden Beispiel, vor der Versuchung zur Nachahmung, also vor der Infektionsfähigkeit des Tabu ist hier im Spiele. Wenn einer es zustande gebracht hat, das verdrängte Begehren zu befriedigen, so muß sich in allen Gesellschaftsgenossen das gleiche Begehren regen; um diese Versuchung niederzuhalten, muß der eigentlich Beneidete um die Frucht seines Wagnisses gebracht werden, und die Strafe gibt den Vollstreckern nicht selten Gelegenheit, unter der Rechtfertigung der Sühne dieselbe frevle Tat auch ihrerseits zu begehen. Es ist dies ja eine der Grundlagen der menschlichen Strafordnung, und sie hat, wie gewiß richtig, die Gleichartigkeit der verbotenen Regungen beim Verbrecher wie bei der rächenden Gesellschaft zur Voraussetzung.</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Psychoanalyse bestätigt hier, was die Frommen zu sagen pflegen, wir seien alle arge Sünder. Wie soll man nun den unerwarteten Edelsinn der Neurose erklären, die nichts für sich und alles für eine geliebte Person fürchtet? Die analytische Untersuchung zeigt, daß er nicht primär ist. Ursprünglich, das heißt zu Anfang der Erkrankung, galt die Strafandrohung wie bei den Wilden der eigenen Person; man fürchtete in jedem Falle für sein eigenes Leben; erst später wurde die Todesangst auf eine andere geliebte Person verschoben. Der Vorgang ist einigermaßen kompliziert, aber wir übersehen ihn vollständig. Zugrunde der Verbotbildung liegt regelmäßig eine böse Regung – ein Todeswunsch – gegen eine geliebte Person. Diese wird durch ein Verbot verdrängt, das Verbot an eine gewisse Handlung geknüpft, welche etwa die feindselige gegen die geliebte Person durch Verschiebung vertritt, die Ausführung dieser Handlung mit der Todesstrafe bedroht. Aber der Prozeß geht weiter, und der ursprüngliche Todeswunsch gegen den geliebten anderen ist dann durch die Todesangst um ihn ersetzt. Wenn die Neurose sich also so zärtlich altruistisch erweist, so </w:t>
      </w:r>
      <w:r w:rsidRPr="00751AC0">
        <w:rPr>
          <w:rFonts w:ascii="Garamond" w:hAnsi="Garamond"/>
          <w:i/>
          <w:iCs/>
          <w:color w:val="000000"/>
          <w:lang w:val="en-GB"/>
        </w:rPr>
        <w:t>kompensiert</w:t>
      </w:r>
      <w:r w:rsidRPr="00751AC0">
        <w:rPr>
          <w:rFonts w:ascii="Garamond" w:hAnsi="Garamond"/>
          <w:color w:val="000000"/>
          <w:lang w:val="en-GB"/>
        </w:rPr>
        <w:t xml:space="preserve"> sie damit nur die ihr zugrunde liegende gegenteilige Einstellung eines brutalen Egoismus. Heißen wir die Gefühlsregungen, die durch die Rücksicht auf den anderen bestimmt werden und ihn nicht selbst zum Sexualobjekt nehmen, </w:t>
      </w:r>
      <w:r w:rsidRPr="00751AC0">
        <w:rPr>
          <w:rFonts w:ascii="Garamond" w:hAnsi="Garamond"/>
          <w:i/>
          <w:iCs/>
          <w:color w:val="000000"/>
          <w:lang w:val="en-GB"/>
        </w:rPr>
        <w:t>soziale</w:t>
      </w:r>
      <w:r w:rsidRPr="00751AC0">
        <w:rPr>
          <w:rFonts w:ascii="Garamond" w:hAnsi="Garamond"/>
          <w:color w:val="000000"/>
          <w:lang w:val="en-GB"/>
        </w:rPr>
        <w:t>, so können wir das Zurücktreten dieser sozialen Faktoren als einen später durch Überkompensation verhüllten Grundzug der Neurose herausheben.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Ohne uns bei der Entstehung dieser sozialen Regungen und ihrer Beziehung zu den anderen Grundtrieben des Menschen aufzuhalten, wollen wir an einem anderen Beispiel den zweiten Hauptcharakter der Neurose zum Vorschein bringen. </w:t>
      </w:r>
      <w:r w:rsidRPr="00751AC0">
        <w:rPr>
          <w:rFonts w:ascii="Garamond" w:hAnsi="Garamond"/>
          <w:color w:val="000000"/>
        </w:rPr>
        <w:t xml:space="preserve">Das Tabu hat in seiner Erscheinungsform die größte Ähnlichkeit mit der Berührungsangst der Neurotiker, dem </w:t>
      </w:r>
      <w:r w:rsidRPr="00751AC0">
        <w:rPr>
          <w:rFonts w:ascii="Garamond" w:hAnsi="Garamond"/>
          <w:i/>
          <w:iCs/>
          <w:color w:val="000000"/>
        </w:rPr>
        <w:t>délire de toucher</w:t>
      </w:r>
      <w:r w:rsidRPr="00751AC0">
        <w:rPr>
          <w:rFonts w:ascii="Garamond" w:hAnsi="Garamond"/>
          <w:color w:val="000000"/>
        </w:rPr>
        <w:t xml:space="preserve">. Nun handelt es sich bei dieser Neurose regelmäßig um das Verbot sexueller Berührung, und die Psychoanalyse hat ganz allgemein gezeigt, daß die Triebkräfte, welche in der Neurose abgelenkt und verschoben werden, sexueller Herkunft sind. Beim Tabu hat die verbotene Berührung offenbar nicht nur sexuelle Bedeutung, sondern vielmehr die allgemeinere des Angreifens, der Bemächtigung, des Geltendmachens der eigenen Person. </w:t>
      </w:r>
      <w:r w:rsidRPr="00751AC0">
        <w:rPr>
          <w:rFonts w:ascii="Garamond" w:hAnsi="Garamond"/>
          <w:color w:val="000000"/>
          <w:lang w:val="en-GB"/>
        </w:rPr>
        <w:t xml:space="preserve">Wenn es verboten ist, den Häuptling oder etwas, was mit ihm in Berührung war, selbst zu berühren, so soll damit </w:t>
      </w:r>
      <w:r w:rsidRPr="00751AC0">
        <w:rPr>
          <w:rFonts w:ascii="Garamond" w:hAnsi="Garamond"/>
          <w:color w:val="000000"/>
          <w:lang w:val="en-GB"/>
        </w:rPr>
        <w:lastRenderedPageBreak/>
        <w:t xml:space="preserve">demselben Impuls eine Hemmung angelegt werden, der sich andere Male in der argwöhnischen Überwachung des Häuptlings, ja in seiner körperlichen Mißhandlung vor der Krönung (s. oben) zum Ausdruck bringt. </w:t>
      </w:r>
      <w:r w:rsidRPr="00751AC0">
        <w:rPr>
          <w:rFonts w:ascii="Garamond" w:hAnsi="Garamond"/>
          <w:i/>
          <w:iCs/>
          <w:color w:val="000000"/>
          <w:lang w:val="en-GB"/>
        </w:rPr>
        <w:t>Somit ist das Überwiegen der sexuellen Triebanteile gegen die sozialen das für die Neurose charakteristische Moment.</w:t>
      </w:r>
      <w:r w:rsidRPr="00751AC0">
        <w:rPr>
          <w:rFonts w:ascii="Garamond" w:hAnsi="Garamond"/>
          <w:color w:val="000000"/>
          <w:lang w:val="en-GB"/>
        </w:rPr>
        <w:t xml:space="preserve"> Die sozialen Triebe sind aber selbst durch Zusammentreten von egoistischen und erotischen Komponenten zu besonderen Einheiten entstanden.</w:t>
      </w:r>
    </w:p>
    <w:p w:rsidR="00B6748F" w:rsidRPr="00751AC0" w:rsidRDefault="00B6748F" w:rsidP="00B6748F">
      <w:pPr>
        <w:rPr>
          <w:rFonts w:ascii="Garamond" w:hAnsi="Garamond"/>
          <w:color w:val="000000"/>
          <w:lang w:val="en-GB"/>
        </w:rPr>
      </w:pPr>
      <w:r w:rsidRPr="00751AC0">
        <w:rPr>
          <w:rFonts w:ascii="Garamond" w:hAnsi="Garamond"/>
          <w:color w:val="000000"/>
          <w:lang w:val="en-GB"/>
        </w:rPr>
        <w:t>An dem einen Beispiele vom Vergleich des Tabu mit der Zwangsneurose läßt sich bereits erraten, welches das Verhältnis der einzelnen Formen von Neurose zu den Kulturbildungen ist und wodurch das Studium der Neurosenpsychologie für das Verständnis der Kulturentwicklung wichtig wird.</w:t>
      </w:r>
    </w:p>
    <w:p w:rsidR="00B6748F" w:rsidRPr="00751AC0" w:rsidRDefault="00B6748F" w:rsidP="00B6748F">
      <w:pPr>
        <w:rPr>
          <w:rFonts w:ascii="Garamond" w:hAnsi="Garamond"/>
          <w:color w:val="000000"/>
          <w:lang w:val="en-GB"/>
        </w:rPr>
      </w:pPr>
      <w:r w:rsidRPr="00751AC0">
        <w:rPr>
          <w:rFonts w:ascii="Garamond" w:hAnsi="Garamond"/>
          <w:color w:val="000000"/>
          <w:lang w:val="en-GB"/>
        </w:rPr>
        <w:t>Die Neurosen zeigen einerseits auffällige und tiefreichende Übereinstimmungen mit den großen sozialen Produktionen der Kunst, der Religion und der Philosophie, anderseits erscheinen sie wie Verzerrungen derselben. Man könnte den Ausspruch wagen, eine Hysterie sei ein Zerrbild einer Kunstschöpfung, eine Zwangsneurose ein Zerrbild einer Religion, ein paranoischer Wahn ein Zerrbild eines philosophischen Systems. Diese Abweichung führt sich in letzter Auflösung darauf zurück, daß die Neurosen asoziale Bildungen sind; sie suchen mit privaten Mitteln zu leisten, was in der Gesellschaft durch kollektive Arbeit entstand. Bei der Triebanalyse der Neurosen erfährt man, daß in ihnen die Triebkräfte sexueller Herkunft den bestimmenden Einfluß ausüben, während die entsprechenden Kulturbildungen auf sozialen Trieben ruhen, solchen, die aus der Vereinigung egoistischer und erotischer Anteile hervorgegangen sind. Das Sexualbedürfnis ist eben nicht imstande, die Menschen in ähnlicher Weise wie die Anforderungen der Selbsterhaltung zu einigen; die Sexualbefriedigung ist zunächst die Privatsache des Individuums.</w:t>
      </w:r>
    </w:p>
    <w:p w:rsidR="00B6748F" w:rsidRPr="00751AC0" w:rsidRDefault="00B6748F" w:rsidP="00B6748F">
      <w:pPr>
        <w:rPr>
          <w:rFonts w:ascii="Garamond" w:hAnsi="Garamond"/>
          <w:color w:val="000000"/>
          <w:lang w:val="en-GB"/>
        </w:rPr>
      </w:pPr>
      <w:r w:rsidRPr="00751AC0">
        <w:rPr>
          <w:rFonts w:ascii="Garamond" w:hAnsi="Garamond"/>
          <w:color w:val="000000"/>
          <w:lang w:val="en-GB"/>
        </w:rPr>
        <w:t>Genetisch ergibt sich die asoziale Natur der Neurose aus deren ursprünglichster Tendenz, sich aus einer unbefriedigenden Realität in eine lustvollere Phantasiewelt zu flüchten. In dieser vom Neurotiker gemiedenen realen Welt herrscht die Gesellschaft der Menschen und die von ihnen gemeinsam geschaffenen Institutionen; die Abkehrung von der Realität ist gleichzeitig ein Austritt aus der menschlichen Gemeinschaft.</w:t>
      </w:r>
    </w:p>
    <w:p w:rsidR="00B6748F" w:rsidRDefault="00B6748F">
      <w:pPr>
        <w:rPr>
          <w:rFonts w:ascii="Garamond" w:hAnsi="Garamond"/>
          <w:color w:val="000000"/>
          <w:lang w:val="en-GB"/>
        </w:rPr>
      </w:pPr>
      <w:r>
        <w:rPr>
          <w:rFonts w:ascii="Garamond" w:hAnsi="Garamond"/>
          <w:color w:val="000000"/>
          <w:lang w:val="en-GB"/>
        </w:rPr>
        <w:br w:type="page"/>
      </w:r>
    </w:p>
    <w:p w:rsidR="00B6748F" w:rsidRPr="00751AC0" w:rsidRDefault="00B437A1" w:rsidP="00B6748F">
      <w:pPr>
        <w:rPr>
          <w:rFonts w:ascii="Garamond" w:hAnsi="Garamond"/>
          <w:color w:val="000000"/>
          <w:lang w:val="en-GB"/>
        </w:rPr>
      </w:pPr>
      <w:hyperlink w:anchor="TTinhalt" w:history="1">
        <w:r w:rsidR="00B6748F" w:rsidRPr="00751AC0">
          <w:rPr>
            <w:rStyle w:val="Lienhypertexte"/>
            <w:rFonts w:ascii="Garamond" w:hAnsi="Garamond" w:cs="Arial"/>
            <w:b/>
            <w:bCs/>
            <w:lang w:val="en-GB"/>
          </w:rPr>
          <w:t>III. An</w:t>
        </w:r>
        <w:bookmarkStart w:id="134" w:name="TT3"/>
        <w:bookmarkEnd w:id="134"/>
        <w:r w:rsidR="00B6748F" w:rsidRPr="00751AC0">
          <w:rPr>
            <w:rStyle w:val="Lienhypertexte"/>
            <w:rFonts w:ascii="Garamond" w:hAnsi="Garamond" w:cs="Arial"/>
            <w:b/>
            <w:bCs/>
            <w:lang w:val="en-GB"/>
          </w:rPr>
          <w:t>imismus, Magie und Allmacht der Gedanken</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1</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ist ein notwendiger Mangel der Arbeiten, welche Gesichtspunkte der Psychoanalyse auf Themen der Geisteswissenschaften anwenden wollen, daß sie dem Leser von beiden zu wenig bieten müssen. Sie beschränken sich darum auf den Charakter von Anregungen, sie machen dem Fachmanne Vorschläge, die er bei seiner Arbeit in Erwägung ziehen soll. Dieser Mangel wird sich aufs äußerste fühlbar machen in einem Aufsatz, welcher das ungeheure Gebiet dessen, was man Animismus nennt, behandeln will </w:t>
      </w:r>
      <w:hyperlink r:id="rId51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 geforderte Zusammendrängung des Stoffes bringt auch den Verzicht auf eingehende Literaturnachweise mit sich. An deren Stelle stehe der Hinweis auf die bekannten Werke von Herbert Spencer, J. G. Frazer, A. Lang, E. B. Tylor und W. Wundt, aus denen alle Behauptungen über Animismus und Magie entnommen sind. Die Selbständigkeit des Verfassers kann sich nur in der von ihm getroffenen Auswahl der Materien sowie der Meinungen kundgeben.</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Animismus im engeren Sinne heißt die Lehre von den Seelenvorstellungen, im weiteren die von geistigen Wesen überhaupt. Man unterscheidet noch Animatismus, die Lehre von der Belebtheit der uns unbelebt erscheinenden Natur, und reiht hier den Animalismus und Manismus an. Der Name Animismus, früher für ein bestimmtes philosophisches System verwendet, scheint seine gegenwärtige Bedeutung durch E. B. Tylor erhalten zu haben </w:t>
      </w:r>
      <w:hyperlink r:id="rId51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E. B. Tylor (1891, I. Bd., p. 425), W. Wundt (1906, p. 173).</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Was zur Aufstellung dieser Namen Anlaß gegeben hat, ist die Einsicht in die höchst merkwürdige Natur- und Weltauffassung der uns bekannten primitiven Völker, der historischen sowohl wie der jetzt noch lebenden. Diese bevölkern die Welt mit einer Unzahl von geistigen Wesen, die ihnen wohlwollend oder übelgesinnt sind; sie schreiben diesen Geistern und Dämonen die Verursachung der Naturvorgänge zu und halten nicht nur die Tiere und Pflanzen, sondern auch die unbelebten Dinge der Welt für durch sie belebt. Ein drittes und vielleicht wichtigstes Stück dieser primitiven »Naturphilosophie« erscheint uns weit weniger auffällig, weil wir selbst noch nicht weit genug von ihm entfernt sind, während wir doch die Existenz der Geister sehr eingeschränkt haben und die Naturvorgänge heute durch die Annahme unpersönlicher physikalischer Kräfte erklären. Die Primitiven glauben nämlich an eine ähnliche »Beseelung« auch der menschlichen Einzelwesen. Die menschlichen Personen enthalten Seelen, welche ihren Wohnsitz verlassen und in andere Menschen einwandern können; diese Seelen sind die Träger der geistigen Tätigkeiten und bis zu einem gewissen Grad von den »Leibern« unabhängig. Ursprünglich wurden die Seelen als sehr ähnlich den Individuen vorgestellt, und erst im Laufe einer langen Entwicklung haben sie die Charaktere des Materiellen bis zu einem hohen Grad von »Vergeistigung« abgestreift </w:t>
      </w:r>
      <w:hyperlink r:id="rId51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Wundt (1906), IV. Kapitel ›Die Seelenvorstellungen‹.</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Mehrzahl der Autoren neigt zu der Annahme, daß diese Seelenvorstellungen der ursprüngliche Kern des animistischen Systems sind, daß die Geister nur selbständig gewordenen Seelen entsprechen und daß auch die Seelen von Tieren, Pflanzen und Dingen in Analogie mit den Menschenseelen gebildet wurden.</w:t>
      </w:r>
    </w:p>
    <w:p w:rsidR="00B6748F" w:rsidRPr="00751AC0" w:rsidRDefault="00B6748F" w:rsidP="00B6748F">
      <w:pPr>
        <w:rPr>
          <w:rFonts w:ascii="Garamond" w:hAnsi="Garamond"/>
          <w:color w:val="000000"/>
        </w:rPr>
      </w:pPr>
      <w:r w:rsidRPr="00751AC0">
        <w:rPr>
          <w:rFonts w:ascii="Garamond" w:hAnsi="Garamond"/>
          <w:color w:val="000000"/>
          <w:lang w:val="en-GB"/>
        </w:rPr>
        <w:t xml:space="preserve">Wie sind die primitiven Menschen zu den eigentümlich dualistischen Grundanschauungen gekommen, auf denen dieses animistische System ruht? Man meint, durch die Beobachtung der Phänomene des Schlafes (mit dem Traum) und des ihm so ähnlichen Todes und durch die Bemühung, sich diese jeden Einzelnen so nahe angehenden Zustände zu erklären. Vor allem müßte das Todesproblem der Ausgangspunkt der Theoriebildung geworden sein. </w:t>
      </w:r>
      <w:r w:rsidRPr="00751AC0">
        <w:rPr>
          <w:rFonts w:ascii="Garamond" w:hAnsi="Garamond"/>
          <w:color w:val="000000"/>
        </w:rPr>
        <w:t xml:space="preserve">Für den Primitiven wäre die Fortdauer des Lebens – die Unsterblichkeit – das Selbstverständliche. Die Vorstellung des Todes ist etwas spät und nur zögernd Rezipiertes, sie ist ja auch für uns noch inhaltsleer und unvollziehbar. Über den Anteil, den andere Beobachtungen und Erfahrungen an der Gestaltung der animistischen Grundlehren gehabt haben mögen, die über Traumbilder, Schatten, Spiegelbilder u. dgl., haben sehr lebhafte, zu keinem Abschluß gelangte </w:t>
      </w:r>
      <w:r w:rsidRPr="00751AC0">
        <w:rPr>
          <w:rFonts w:ascii="Garamond" w:hAnsi="Garamond"/>
          <w:color w:val="000000"/>
        </w:rPr>
        <w:lastRenderedPageBreak/>
        <w:t xml:space="preserve">Diskussionen stattgefunden </w:t>
      </w:r>
      <w:hyperlink r:id="rId513" w:anchor="#" w:history="1">
        <w:r w:rsidRPr="00751AC0">
          <w:rPr>
            <w:rStyle w:val="fusslink"/>
            <w:rFonts w:ascii="Garamond" w:hAnsi="Garamond" w:cs="Arial"/>
            <w:b/>
            <w:bCs/>
            <w:color w:val="003399"/>
          </w:rPr>
          <w:t>[Fußnote]</w:t>
        </w:r>
        <w:r w:rsidRPr="00751AC0">
          <w:rPr>
            <w:rStyle w:val="innerfusslink3"/>
            <w:rFonts w:ascii="Garamond" w:hAnsi="Garamond" w:cs="Arial"/>
            <w:b/>
            <w:bCs/>
          </w:rPr>
          <w:t xml:space="preserve">Vgl. außer bei Wundt und H. Spencer die orientierenden Artikel der </w:t>
        </w:r>
        <w:r w:rsidRPr="00751AC0">
          <w:rPr>
            <w:rStyle w:val="innerfusslink3"/>
            <w:rFonts w:ascii="Garamond" w:hAnsi="Garamond" w:cs="Arial"/>
            <w:b/>
            <w:bCs/>
            <w:i/>
            <w:iCs/>
          </w:rPr>
          <w:t>Encyclopaedia Britannica</w:t>
        </w:r>
        <w:r w:rsidRPr="00751AC0">
          <w:rPr>
            <w:rStyle w:val="innerfusslink3"/>
            <w:rFonts w:ascii="Garamond" w:hAnsi="Garamond" w:cs="Arial"/>
            <w:b/>
            <w:bCs/>
          </w:rPr>
          <w:t>, 1911 (›Animism‹, ›Mythology‹, usw.).</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Wenn der Primitive auf die sein Nachdenken anregenden Phänomene mit der Bildung der Seelenvorstellungen reagierte und diese dann auf die Objekte der Außenwelt übertrug, so wird sein Verhalten dabei als durchaus natürlich und weiter nicht rätselhaft beurteilt. Wundt (1906, p. 154) äußert angesichts der Tatsache, daß sich die nämlichen animistischen Vorstellungen bei den verschiedensten Völkern und zu allen Zeiten übereinstimmend gezeigt haben, dieselben »seien das notwendige psychologische Erzeugnis des mythenbildenden Bewußtseins und der primitive Animismus dürfte als der geistige Ausdruck des </w:t>
      </w:r>
      <w:r w:rsidRPr="00751AC0">
        <w:rPr>
          <w:rFonts w:ascii="Garamond" w:hAnsi="Garamond"/>
          <w:i/>
          <w:iCs/>
          <w:color w:val="000000"/>
        </w:rPr>
        <w:t>menschlichen Naturzustandes</w:t>
      </w:r>
      <w:r w:rsidRPr="00751AC0">
        <w:rPr>
          <w:rFonts w:ascii="Garamond" w:hAnsi="Garamond"/>
          <w:color w:val="000000"/>
        </w:rPr>
        <w:t xml:space="preserve"> gelten, insoweit dieser überhaupt für unsere Beobachtung erreichbar ist«. </w:t>
      </w:r>
      <w:r w:rsidRPr="00751AC0">
        <w:rPr>
          <w:rFonts w:ascii="Garamond" w:hAnsi="Garamond"/>
          <w:color w:val="000000"/>
          <w:lang w:val="en-GB"/>
        </w:rPr>
        <w:t xml:space="preserve">Die Rechtfertigung der Belebung des Unbelebten hat bereits Hume in seiner </w:t>
      </w:r>
      <w:r w:rsidRPr="00751AC0">
        <w:rPr>
          <w:rFonts w:ascii="Garamond" w:hAnsi="Garamond"/>
          <w:i/>
          <w:iCs/>
          <w:color w:val="000000"/>
          <w:lang w:val="en-GB"/>
        </w:rPr>
        <w:t>Natural History of Religion</w:t>
      </w:r>
      <w:r w:rsidRPr="00751AC0">
        <w:rPr>
          <w:rFonts w:ascii="Garamond" w:hAnsi="Garamond"/>
          <w:color w:val="000000"/>
          <w:lang w:val="en-GB"/>
        </w:rPr>
        <w:t xml:space="preserve"> gegeben, indem er schrieb: » </w:t>
      </w:r>
      <w:r w:rsidRPr="00751AC0">
        <w:rPr>
          <w:rFonts w:ascii="Garamond" w:hAnsi="Garamond"/>
          <w:i/>
          <w:iCs/>
          <w:color w:val="000000"/>
          <w:lang w:val="en-GB"/>
        </w:rPr>
        <w:t>There is an universal tendency among mankind to conceive all beings like themselves and to transfer to every object those qualities with which they are familiarly acquainted and of which they are intimately conscious.</w:t>
      </w:r>
      <w:r w:rsidRPr="00751AC0">
        <w:rPr>
          <w:rFonts w:ascii="Garamond" w:hAnsi="Garamond"/>
          <w:color w:val="000000"/>
          <w:lang w:val="en-GB"/>
        </w:rPr>
        <w:t xml:space="preserve">« </w:t>
      </w:r>
      <w:hyperlink r:id="rId514" w:anchor="#" w:history="1">
        <w:r w:rsidRPr="00751AC0">
          <w:rPr>
            <w:rStyle w:val="fusslink"/>
            <w:rFonts w:ascii="Garamond" w:hAnsi="Garamond" w:cs="Arial"/>
            <w:b/>
            <w:bCs/>
            <w:color w:val="003399"/>
          </w:rPr>
          <w:t>[Fußnote]</w:t>
        </w:r>
        <w:r w:rsidRPr="00751AC0">
          <w:rPr>
            <w:rStyle w:val="innerfusslink3"/>
            <w:rFonts w:ascii="Garamond" w:hAnsi="Garamond" w:cs="Arial"/>
            <w:b/>
            <w:bCs/>
          </w:rPr>
          <w:t>Bei Tylor, Primtive Culture, 1891, I. Bd., p. 477).</w:t>
        </w:r>
      </w:hyperlink>
    </w:p>
    <w:p w:rsidR="00B6748F" w:rsidRPr="00751AC0" w:rsidRDefault="00B6748F" w:rsidP="00B6748F">
      <w:pPr>
        <w:rPr>
          <w:rFonts w:ascii="Garamond" w:hAnsi="Garamond"/>
          <w:color w:val="000000"/>
        </w:rPr>
      </w:pPr>
      <w:r w:rsidRPr="00751AC0">
        <w:rPr>
          <w:rFonts w:ascii="Garamond" w:hAnsi="Garamond"/>
          <w:color w:val="000000"/>
        </w:rPr>
        <w:t>Der Animismus ist ein Denksystem, er gibt nicht nur die Erklärung eines einzelnen Phänomens, sondern gestattet es, das Ganze der Welt als einen einzigen Zusammenhang, aus einem Punkte zu begreifen. Die Menschheit hat, wenn wir den Autoren folgen wollen, drei solcher Denksysteme, drei große Weltanschauungen im Laufe der Zeiten hervorgebracht: die animistische (mythologische), die religiöse und die wissenschaftliche. Unter diesen ist die erstgeschaffene, die des Animismus, vielleicht die folgerichtigste und erschöpfendste, eine, die das Wesen der Welt restlos erklärt. Diese erste Weltanschauung der Menschheit ist nun eine psychologische Theorie. Es geht über unsere Absicht hinaus zu zeigen, wieviel von ihr noch im Leben der Gegenwart nachweisbar ist, entweder entwertet in der Form des Aberglaubens, oder lebendig als Grundlage unseres Sprechens, Glaubens und Philosophierens.</w:t>
      </w:r>
    </w:p>
    <w:p w:rsidR="00B6748F" w:rsidRPr="00751AC0" w:rsidRDefault="00B6748F" w:rsidP="00B6748F">
      <w:pPr>
        <w:rPr>
          <w:rFonts w:ascii="Garamond" w:hAnsi="Garamond"/>
          <w:color w:val="000000"/>
        </w:rPr>
      </w:pPr>
      <w:r w:rsidRPr="00751AC0">
        <w:rPr>
          <w:rFonts w:ascii="Garamond" w:hAnsi="Garamond"/>
          <w:color w:val="000000"/>
        </w:rPr>
        <w:t>Es greift auf die Stufenfolge der drei Weltanschauungen zurück, wenn gesagt wird, daß der Animismus selbst noch keine Religion ist, aber die Vorbedingungen enthält, auf denen sich später die Religionen aufbauen. Es ist auch augenfällig, daß der Mythus auf animistischen Voraussetzungen ruht; die Einzelheiten der Beziehung von Mythus und Animismus erscheinen aber als in wesentlichen Punkten ungeklärt.</w:t>
      </w:r>
    </w:p>
    <w:p w:rsidR="00B6748F" w:rsidRPr="00751AC0" w:rsidRDefault="00B6748F" w:rsidP="00B6748F">
      <w:pPr>
        <w:rPr>
          <w:rFonts w:ascii="Garamond" w:hAnsi="Garamond"/>
          <w:color w:val="000000"/>
          <w:lang w:val="en-GB"/>
        </w:rPr>
      </w:pPr>
      <w:r w:rsidRPr="00751AC0">
        <w:rPr>
          <w:rFonts w:ascii="Garamond" w:hAnsi="Garamond"/>
          <w:color w:val="000000"/>
          <w:lang w:val="en-GB"/>
        </w:rPr>
        <w:t>2</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Unsere psychoanalytische Arbeit wird an anderer Stelle einsetzen. – Man darf nicht annehmen, daß die Menschen sich aus reiner spekulativer Wißbegierde zur Schöpfung ihres ersten Weltsystems aufgeschwungen haben. Das praktische Bedürfnis, sich der Welt zu bemächtigen, muß seinen Anteil an dieser Bemühung haben. Wir sind darum nicht erstaunt zu erfahren, daß mit dem animistischen System etwas anderes Hand in Hand geht, eine Anweisung, wie man verfahren müsse, um der Menschen, Tiere und Dinge, respektive ihrer Geister, Herr zu werden. Diese Anweisung, welche unter dem Namen » </w:t>
      </w:r>
      <w:r w:rsidRPr="00751AC0">
        <w:rPr>
          <w:rFonts w:ascii="Garamond" w:hAnsi="Garamond"/>
          <w:i/>
          <w:iCs/>
          <w:color w:val="000000"/>
          <w:lang w:val="en-GB"/>
        </w:rPr>
        <w:t>Zauberei</w:t>
      </w:r>
      <w:r w:rsidRPr="00751AC0">
        <w:rPr>
          <w:rFonts w:ascii="Garamond" w:hAnsi="Garamond"/>
          <w:color w:val="000000"/>
          <w:lang w:val="en-GB"/>
        </w:rPr>
        <w:t xml:space="preserve"> und </w:t>
      </w:r>
      <w:r w:rsidRPr="00751AC0">
        <w:rPr>
          <w:rFonts w:ascii="Garamond" w:hAnsi="Garamond"/>
          <w:i/>
          <w:iCs/>
          <w:color w:val="000000"/>
          <w:lang w:val="en-GB"/>
        </w:rPr>
        <w:t>Magie</w:t>
      </w:r>
      <w:r w:rsidRPr="00751AC0">
        <w:rPr>
          <w:rFonts w:ascii="Garamond" w:hAnsi="Garamond"/>
          <w:color w:val="000000"/>
          <w:lang w:val="en-GB"/>
        </w:rPr>
        <w:t>« bekannt ist, will S. Reinach (1909) die Strategie des Animismus heißen; ich würde es vorziehen, sie mit Hubert und Mauß (1904) der Technik zu vergleichen.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Kann man Zauberei und Magie begrifflich voneinander trennen? Es ist möglich, wenn man sich mit einiger Eigenmächtigkeit über die Schwankungen des Sprachgebrauches hinwegsetzen will. Dann ist Zauberei im wesentlichen die Kunst, die Geister zu beeinflussen, indem man sie behandelt wie unter gleichen Bedingungen die Menschen, also indem man sie beschwichtigt, versöhnt, sich geneigt macht, sie einschüchtert, ihrer Macht beraubt, sie seinem Willen unterwirft, durch dieselben Mittel, die man für lebende Menschen wirksam gefunden hat. Magie ist aber etwas anderes; sie sieht im Grunde von den Geistern ab, und sie bedient sich besonderer Mittel, nicht der banalen psychologischen Methodik. Wir werden leicht erraten, daß die Magie das ursprünglichere und bedeutsamere Stück der animistischen Technik ist, denn unter den Mitteln, mit denen Geister behandelt werden sollen, befinden sich auch </w:t>
      </w:r>
      <w:r w:rsidRPr="00751AC0">
        <w:rPr>
          <w:rFonts w:ascii="Garamond" w:hAnsi="Garamond"/>
          <w:color w:val="000000"/>
          <w:lang w:val="en-GB"/>
        </w:rPr>
        <w:lastRenderedPageBreak/>
        <w:t xml:space="preserve">magische </w:t>
      </w:r>
      <w:hyperlink r:id="rId51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Wenn man einen Geist durch Lärm und Geschrei verscheucht, so ist dies eine rein zauberische Handlung; wenn man ihn zwingt, indem man sich seines Namens bemächtigt, so hat man Magie gegen ihn gebraucht.</w:t>
        </w:r>
      </w:hyperlink>
      <w:r w:rsidRPr="00751AC0">
        <w:rPr>
          <w:rFonts w:ascii="Garamond" w:hAnsi="Garamond"/>
          <w:color w:val="000000"/>
          <w:lang w:val="en-GB"/>
        </w:rPr>
        <w:t>, und die Magie findet ihre Anwendung auch in Fällen, wo die Vergeistigung der Natur, wie uns scheint, nicht durchgeführt worden ist.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Magie muß den mannigfaltigsten Absichten dienen, die Naturvorgänge dem Willen des Menschen unterwerfen, das Individuum gegen Feinde und Gefahren schützen und ihm die Macht geben, seine Feinde zu schädigen. Die Prinzipien aber, auf deren Voraussetzung das magische Tun beruht – oder vielmehr das Prinzip der Magie – ist so auffällig, daß es von allen Autoren erkannt werden mußte. Man kann es am knappsten, wenn man von dem beigefügten Werturteil absieht, mit den Worten E. B. Tylors ausdrücken: » </w:t>
      </w:r>
      <w:r w:rsidRPr="00751AC0">
        <w:rPr>
          <w:rFonts w:ascii="Garamond" w:hAnsi="Garamond"/>
          <w:i/>
          <w:iCs/>
          <w:color w:val="000000"/>
          <w:lang w:val="en-GB"/>
        </w:rPr>
        <w:t>mistaking an ideal connection for a real one</w:t>
      </w:r>
      <w:r w:rsidRPr="00751AC0">
        <w:rPr>
          <w:rFonts w:ascii="Garamond" w:hAnsi="Garamond"/>
          <w:color w:val="000000"/>
          <w:lang w:val="en-GB"/>
        </w:rPr>
        <w:t>«. An zwei Gruppen von magischen Handlungen wollen wir diesen Charakter erläutern.</w:t>
      </w:r>
    </w:p>
    <w:p w:rsidR="00B6748F" w:rsidRPr="00751AC0" w:rsidRDefault="00B6748F" w:rsidP="00B6748F">
      <w:pPr>
        <w:rPr>
          <w:rFonts w:ascii="Garamond" w:hAnsi="Garamond"/>
          <w:color w:val="000000"/>
        </w:rPr>
      </w:pPr>
      <w:r w:rsidRPr="00751AC0">
        <w:rPr>
          <w:rFonts w:ascii="Garamond" w:hAnsi="Garamond"/>
          <w:color w:val="000000"/>
          <w:lang w:val="en-GB"/>
        </w:rPr>
        <w:t xml:space="preserve">Eine der verbreitetsten magischen Prozeduren, um einem Feind zu schaden, besteht darin, sich ein Ebenbild von ihm aus beliebigem Material zu machen. Auf die Ähnlichkeit kommt es dabei wenig an. Man kann auch irgendein Objekt zu seinem Bild »ernennen«. Was man dann diesem Ebenbild antut, das stößt auch dem gehaßten Urbild zu; an welcher Körperstelle man das erstere verletzt, an derselben erkrankt das letztere. Man kann dieselbe magische Technik anstatt in den Dienst privater Feindseligkeit auch in den der Frömmigkeit stellen und so Göttern gegen böse Dämonen zu Hilfe kommen. Ich zitiere nach Frazer (The Magic Art, 1911, II. Bd., p. 67): »Jede Nacht, wenn der Sonnengott Ra (im alten Ägypten) zu seinem Heim im glühenden Westen herabstieg, hatte er einen bitteren Kampf gegen eine Schar von Dämonen zu bestehen, die ihn unter der Führung des Erzfeindes Apepi überfielen. Er kämpfte mit ihnen die ganze Nacht, und häufig waren die Mächte der Finsternis stark genug, noch des Tags dunkle Wolken an den blauen Himmel zu senden, die seine Kraft schwächten und sein Licht abhielten. Um dem Gotte beizustehen, wurde in seinem Tempel zu Theben täglich folgende Zeremonie aufgeführt: Es wurde aus Wachs ein Bild seines Feindes Apepi gemacht, in der Gestalt eines scheußlichen Krokodils oder einer langgeringelten Schlange und der Name des Dämons mit grüner Tinte darauf geschrieben. In ein Papyrusgehäuse gehüllt, auf dem eine ähnliche Zeichnung angebracht war, wurde dann diese Figur mit schwarzem Haar umwickelt, vom Priester angespuckt, mit einem Steinmesser bearbeitet und auf den Boden geworfen. Dann trat er mit seinem linken Fuß auf sie, und endlich verbrannte er sie in einem von gewissen Pflanzen genährten Feuer. Nachdem Apepi in solcher Weise beseitigt worden war, geschah mit allen Dämonen seines Gefolges das nämliche. Dieser Gottesdienst, bei dem gewisse Reden hergesagt werden mußten, wurde nicht nur morgens, mittags und abends wiederholt, sondern auch jederzeit dazwischen, wenn ein Sturm wütete, wenn ein heftiger Regenguß niederging oder schwarze Wolken die Sonnenscheibe am Himmel verdeckten. Die bösen Feinde verspürten die Züchtigung, die ihren Bildern widerfahren war, als ob sie sie selbst erlitten hätten; sie flohen, und der Sonnengott triumphierte von neuem.« </w:t>
      </w:r>
      <w:hyperlink r:id="rId516" w:anchor="#" w:history="1">
        <w:r w:rsidRPr="00751AC0">
          <w:rPr>
            <w:rStyle w:val="fusslink"/>
            <w:rFonts w:ascii="Garamond" w:hAnsi="Garamond" w:cs="Arial"/>
            <w:b/>
            <w:bCs/>
            <w:color w:val="003399"/>
          </w:rPr>
          <w:t>[Fußnote]</w:t>
        </w:r>
        <w:r w:rsidRPr="00751AC0">
          <w:rPr>
            <w:rStyle w:val="innerfusslink3"/>
            <w:rFonts w:ascii="Garamond" w:hAnsi="Garamond" w:cs="Arial"/>
            <w:b/>
            <w:bCs/>
          </w:rPr>
          <w:t>Das biblische Verbot, sich ein Bild von irgendetwas Lebendem zu machen, entstammte wohl keiner prinzipiellen Ablehnung der bildenden Kunst, sondern sollte der von der hebräischen Religion verpönten Magie ein Werkzeug entziehen. Frazer, 1911, l. c., p. 87, Note.</w:t>
        </w:r>
      </w:hyperlink>
    </w:p>
    <w:p w:rsidR="00B6748F" w:rsidRPr="00751AC0" w:rsidRDefault="00B6748F" w:rsidP="00B6748F">
      <w:pPr>
        <w:rPr>
          <w:rFonts w:ascii="Garamond" w:hAnsi="Garamond"/>
          <w:color w:val="000000"/>
          <w:lang w:val="en-GB"/>
        </w:rPr>
      </w:pPr>
      <w:r w:rsidRPr="00751AC0">
        <w:rPr>
          <w:rFonts w:ascii="Garamond" w:hAnsi="Garamond"/>
          <w:color w:val="000000"/>
        </w:rPr>
        <w:t xml:space="preserve">Aus der unübersehbaren Fülle ähnlich begründeter magischer Handlungen will ich nur noch zweierlei hervorheben, die bei den primitiven Völkern jederzeit eine große Rolle gespielt haben und zum Teil im Mythus und Kultus höherer Entwicklungsstufen erhalten geblieben sind, nämlich die Arten des Regen- und des Fruchtbarkeitszaubers. </w:t>
      </w:r>
      <w:r w:rsidRPr="00751AC0">
        <w:rPr>
          <w:rFonts w:ascii="Garamond" w:hAnsi="Garamond"/>
          <w:color w:val="000000"/>
          <w:lang w:val="en-GB"/>
        </w:rPr>
        <w:t xml:space="preserve">Man erzeugt den Regen auf magischem Wege, indem man ihn imitiert, etwa auch noch die ihn erzeugenden Wolken oder den Sturm nachahmt. Es sieht aus, als ob man »regnen spielen« wollte. Die japanischen Ainos z. B. machen Regen in der Weise, daß ein Teil von ihnen Wasser aus großen Sieben ausgießt, während ein anderer eine große Schüssel mit Segel und Ruder ausstattet, als ob sie ein Schiff wäre, und sie so um Dorf und Gärten herumzieht. Die Fruchtbarkeit des Bodens sicherte man sich aber auf magische Weise, indem man ihm das Schauspiel eines menschlichen Geschlechtsverkehrs zeigte. So pflegen – ein Beispiel anstatt unendlich vieler – in manchen Teilen Javas </w:t>
      </w:r>
      <w:r w:rsidRPr="00751AC0">
        <w:rPr>
          <w:rFonts w:ascii="Garamond" w:hAnsi="Garamond"/>
          <w:color w:val="000000"/>
          <w:lang w:val="en-GB"/>
        </w:rPr>
        <w:lastRenderedPageBreak/>
        <w:t xml:space="preserve">zur Zeit des Herannahens der Reisblüte Bauer und Bäuerin sich nachts auf die Felder zu begeben, um durch das Beispiel, das sie ihm geben, den Reis zur Fruchtbarkeit anzuregen </w:t>
      </w:r>
      <w:hyperlink r:id="rId51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The magic art, II., p. 98).</w:t>
        </w:r>
      </w:hyperlink>
      <w:r w:rsidRPr="00751AC0">
        <w:rPr>
          <w:rFonts w:ascii="Garamond" w:hAnsi="Garamond"/>
          <w:color w:val="000000"/>
          <w:lang w:val="en-GB"/>
        </w:rPr>
        <w:t xml:space="preserve">. Dagegen fürchtete man von verpönten inzestuösen Geschlechtsbeziehungen, daß sie Mißwuchs und Unfruchtbarkeit des Bodens erzeugen würden </w:t>
      </w:r>
      <w:hyperlink r:id="rId51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Davon ein Nachklang im </w:t>
        </w:r>
        <w:r w:rsidRPr="00751AC0">
          <w:rPr>
            <w:rStyle w:val="innerfusslink3"/>
            <w:rFonts w:ascii="Garamond" w:hAnsi="Garamond" w:cs="Arial"/>
            <w:b/>
            <w:bCs/>
            <w:i/>
            <w:iCs/>
            <w:lang w:val="en-GB"/>
          </w:rPr>
          <w:t>König Ödipus</w:t>
        </w:r>
        <w:r w:rsidRPr="00751AC0">
          <w:rPr>
            <w:rStyle w:val="innerfusslink3"/>
            <w:rFonts w:ascii="Garamond" w:hAnsi="Garamond" w:cs="Arial"/>
            <w:b/>
            <w:bCs/>
            <w:lang w:val="en-GB"/>
          </w:rPr>
          <w:t xml:space="preserve"> des Sophokles.</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Auch gewisse negative Vorschriften – magische Vorsichten also – sind dieser ersten Gruppe einzureihen. Wenn ein Teil der Bewohner eines Dayakdorfes auf Wildschweinjagd ausgezogen ist, so dürfen die Zurückgebliebenen unterdes weder Öl noch Wasser mit ihren Händen berühren, sonst würden die Jäger weiche Finger bekommen und die Beute aus ihren Händen schlüpfen lassen </w:t>
      </w:r>
      <w:hyperlink r:id="rId51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The magic art, I., p. 120).</w:t>
        </w:r>
      </w:hyperlink>
      <w:r w:rsidRPr="00751AC0">
        <w:rPr>
          <w:rFonts w:ascii="Garamond" w:hAnsi="Garamond"/>
          <w:color w:val="000000"/>
          <w:lang w:val="en-GB"/>
        </w:rPr>
        <w:t xml:space="preserve">. </w:t>
      </w:r>
      <w:smartTag w:uri="urn:schemas-microsoft-com:office:smarttags" w:element="place">
        <w:r w:rsidRPr="00751AC0">
          <w:rPr>
            <w:rFonts w:ascii="Garamond" w:hAnsi="Garamond"/>
            <w:color w:val="000000"/>
            <w:lang w:val="en-GB"/>
          </w:rPr>
          <w:t>Oder</w:t>
        </w:r>
      </w:smartTag>
      <w:r w:rsidRPr="00751AC0">
        <w:rPr>
          <w:rFonts w:ascii="Garamond" w:hAnsi="Garamond"/>
          <w:color w:val="000000"/>
          <w:lang w:val="en-GB"/>
        </w:rPr>
        <w:t xml:space="preserve">, wenn ein Gilyakjäger im Walde dem Wilde nachstellt, so ist es seinen Kindern zu Hause verboten, Zeichnungen auf Holz oder im Sand zu machen. Die Pfade im dichten Wald könnten sonst so verschlungen werden wie die Linien der Zeichnung, so daß der Jäger den Weg nach Hause nicht fände </w:t>
      </w:r>
      <w:hyperlink r:id="rId52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l. c., p. 122).</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Wenn in diesen letzten wie in so vielen anderen Beispielen magischer Wirkung die Entfernung keine Rolle spielt, die Telepathie also als selbstverständlich hingenommen wird, so wird auch uns das Verständnis dieser Eigentümlichkeit der Magie keine Schwierigkeit bereiten.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unterliegt keinem Zweifel, was an all diesen Beispielen als das Wirksame betrachtet wird. Es ist die </w:t>
      </w:r>
      <w:r w:rsidRPr="00751AC0">
        <w:rPr>
          <w:rFonts w:ascii="Garamond" w:hAnsi="Garamond"/>
          <w:i/>
          <w:iCs/>
          <w:color w:val="000000"/>
          <w:lang w:val="en-GB"/>
        </w:rPr>
        <w:t>Ähnlichkeit</w:t>
      </w:r>
      <w:r w:rsidRPr="00751AC0">
        <w:rPr>
          <w:rFonts w:ascii="Garamond" w:hAnsi="Garamond"/>
          <w:color w:val="000000"/>
          <w:lang w:val="en-GB"/>
        </w:rPr>
        <w:t xml:space="preserve"> zwischen der vollzogenen Handlung und dem erwarteten Geschehen. Frazer nennt darum diese Art der Magie </w:t>
      </w:r>
      <w:r w:rsidRPr="00751AC0">
        <w:rPr>
          <w:rFonts w:ascii="Garamond" w:hAnsi="Garamond"/>
          <w:i/>
          <w:iCs/>
          <w:color w:val="000000"/>
          <w:lang w:val="en-GB"/>
        </w:rPr>
        <w:t>imitative</w:t>
      </w:r>
      <w:r w:rsidRPr="00751AC0">
        <w:rPr>
          <w:rFonts w:ascii="Garamond" w:hAnsi="Garamond"/>
          <w:color w:val="000000"/>
          <w:lang w:val="en-GB"/>
        </w:rPr>
        <w:t xml:space="preserve"> oder </w:t>
      </w:r>
      <w:r w:rsidRPr="00751AC0">
        <w:rPr>
          <w:rFonts w:ascii="Garamond" w:hAnsi="Garamond"/>
          <w:i/>
          <w:iCs/>
          <w:color w:val="000000"/>
          <w:lang w:val="en-GB"/>
        </w:rPr>
        <w:t>homöopathische</w:t>
      </w:r>
      <w:r w:rsidRPr="00751AC0">
        <w:rPr>
          <w:rFonts w:ascii="Garamond" w:hAnsi="Garamond"/>
          <w:color w:val="000000"/>
          <w:lang w:val="en-GB"/>
        </w:rPr>
        <w:t>. Wenn ich will, daß es regne, so brauche ich nur etwas zu tun, was wie Regen aussieht oder an Regen erinnert. In einer weiteren Phase der Kulturentwicklung wird man anstatt dieses magischen Regenzaubers Bittgänge zu einem Gotteshaus veranstalten und den dort wohnenden Heiligen um Regen anflehen. Endlich wird man auch diese religiöse Technik aufgeben und dafür versuchen, durch welche Einwirkungen auf die Atmosphäre Regen erzeugt werden kann.</w:t>
      </w:r>
    </w:p>
    <w:p w:rsidR="00B6748F" w:rsidRPr="00751AC0" w:rsidRDefault="00B6748F" w:rsidP="00B6748F">
      <w:pPr>
        <w:rPr>
          <w:rFonts w:ascii="Garamond" w:hAnsi="Garamond"/>
          <w:color w:val="000000"/>
          <w:lang w:val="en-GB"/>
        </w:rPr>
      </w:pPr>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In einer anderen Gruppe von magischen Handlungen kommt das Prinzip der Ähnlichkeit nicht mehr in Betracht, dafür ein anderes, welches sich aus den nachstehenden Beispielen leicht ergeben wird.</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Um einem Feinde zu schaden, kann man sich auch eines anderen Verfahrens bedienen. Man bemächtigt sich seiner Haare, Nägel, Abfallstoffe oder selbst eines Teiles seiner Kleidung und stellt mit diesen Dingen etwas Feindseliges an. Es ist dann geradeso, als hätte man sich der Person selbst bemächtigt, und was man den von der Person herrührenden Dingen angetan hat, muß ihr selbst widerfahren. Zu den wesentlichen Bestandteilen einer Persönlichkeit gehört nach der Anschauung der Primitiven ihr Name; wenn man also den Namen einer Person oder eines Geistes weiß, hat man eine gewisse Macht über den Träger des Namens erworben. Daher die merkwürdigen Vorsichten und Beschränkungen im Gebrauche der Namen, die in dem Aufsatz über das Tabu gestreift worden sind. (Vgl. S. 69 u. ff.) Die Ähnlichkeit wird in diesen Beispielen offenbar ersetzt durch </w:t>
      </w:r>
      <w:r w:rsidRPr="00751AC0">
        <w:rPr>
          <w:rFonts w:ascii="Garamond" w:hAnsi="Garamond"/>
          <w:i/>
          <w:iCs/>
          <w:color w:val="000000"/>
          <w:lang w:val="en-GB"/>
        </w:rPr>
        <w:t>Zusammengehörigkeit</w:t>
      </w:r>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Kannibalismus der Primitiven leitet seine sublimere Motivierung in ähnlicher Weise ab. Indem man Teile vom Leib einer Person durch den Akt des Verzehrens in sich aufnimmt, eignet man sich auch die Eigenschaften an, welche dieser Person angehört haben. Daraus erfolgen dann Vorsichten und Beschränkungen der Diät unter besonderen Umständen. Eine Frau wird in der Gravidität vermeiden, das Fleisch gewisser Tiere zu genießen, weil deren unerwünschte Eigenschaften, z. B. die Feigheit, so auf das von ihr genährte Kind übergehen könnten. Es macht für die magische Wirkung keinen Unterschied, auch wenn der Zusammenhang ein bereits aufgehobener ist oder wenn er überhaupt nur in einmaliger, bedeutungsvoller Berührung bestand. So ist z. B. der Glaube an ein magisches Band, welches das Schicksal einer Wunde mit dem der Waffe verknüpft, durch welche sie hervorgerufen wurde, unverändert durch </w:t>
      </w:r>
      <w:r w:rsidRPr="00751AC0">
        <w:rPr>
          <w:rFonts w:ascii="Garamond" w:hAnsi="Garamond"/>
          <w:color w:val="000000"/>
          <w:lang w:val="en-GB"/>
        </w:rPr>
        <w:lastRenderedPageBreak/>
        <w:t xml:space="preserve">Jahrtausende zu verfolgen. Wenn ein Melanesier sich des Bogens bemächtigt hat, durch den er verwundet wurde, so wird er ihn sorgfältig an einem kühlen Ort verwahren, um so die Entzündung der Wunde niederzuhalten. Ist der Bogen aber im Besitz der Feinde geblieben, so wird er gewiß in nächster Nähe eines Feuers aufgehängt werden, damit die Wunde nur ja recht entzündet werde und brenne. Plinius rät in seiner </w:t>
      </w:r>
      <w:r w:rsidRPr="00751AC0">
        <w:rPr>
          <w:rFonts w:ascii="Garamond" w:hAnsi="Garamond"/>
          <w:i/>
          <w:iCs/>
          <w:color w:val="000000"/>
          <w:lang w:val="en-GB"/>
        </w:rPr>
        <w:t>Naturalis Historia</w:t>
      </w:r>
      <w:r w:rsidRPr="00751AC0">
        <w:rPr>
          <w:rFonts w:ascii="Garamond" w:hAnsi="Garamond"/>
          <w:color w:val="000000"/>
          <w:lang w:val="en-GB"/>
        </w:rPr>
        <w:t xml:space="preserve"> XXVIII, wenn man bereut, einen anderen verletzt zu haben, solle man auf die Hand spucken, welche die Verletzung verschuldet hat; der Schmerz des Verletzten werde dann sofort gelindert. Francis Bacon erwähnt in seiner </w:t>
      </w:r>
      <w:r w:rsidRPr="00751AC0">
        <w:rPr>
          <w:rFonts w:ascii="Garamond" w:hAnsi="Garamond"/>
          <w:i/>
          <w:iCs/>
          <w:color w:val="000000"/>
          <w:lang w:val="en-GB"/>
        </w:rPr>
        <w:t>Natural History</w:t>
      </w:r>
      <w:r w:rsidRPr="00751AC0">
        <w:rPr>
          <w:rFonts w:ascii="Garamond" w:hAnsi="Garamond"/>
          <w:color w:val="000000"/>
          <w:lang w:val="en-GB"/>
        </w:rPr>
        <w:t xml:space="preserve"> den allgemein gültigen Glauben, daß das Salben einer Waffe, welche eine Wunde geschlagen hat, diese Wunde selbst heilt. Die englischen Bauern sollen noch heute nach diesem Rezept handeln, und wenn sie sich mit einer Sichel geschnitten haben, das Instrument von da an sorgfältig rein halten, damit die Wunde nicht in Eiterung gerate. Im Juni des Jahres 1902, berichtete eine lokale englische Wochenschrift, stieß sich eine Frau namens Matilda Henry in </w:t>
      </w:r>
      <w:smartTag w:uri="urn:schemas-microsoft-com:office:smarttags" w:element="City">
        <w:smartTag w:uri="urn:schemas-microsoft-com:office:smarttags" w:element="place">
          <w:r w:rsidRPr="00751AC0">
            <w:rPr>
              <w:rFonts w:ascii="Garamond" w:hAnsi="Garamond"/>
              <w:color w:val="000000"/>
              <w:lang w:val="en-GB"/>
            </w:rPr>
            <w:t>Norwich</w:t>
          </w:r>
        </w:smartTag>
      </w:smartTag>
      <w:r w:rsidRPr="00751AC0">
        <w:rPr>
          <w:rFonts w:ascii="Garamond" w:hAnsi="Garamond"/>
          <w:color w:val="000000"/>
          <w:lang w:val="en-GB"/>
        </w:rPr>
        <w:t xml:space="preserve"> zufällig einen eisernen Nagel in die Sohle. Ohne die Wunde untersuchen zu lassen oder auch nur den Strumpf auszuziehen, hieß sie ihre Tochter, den Nagel gut einölen, in der Erwartung, daß ihr dann nichts geschehen könne. Sie selbst starb einige Tage später an Wundstarrkrampf infolge dieser verschobenen Antisepsis. (Frazer, ibid., 201 –203.)</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Beispiele der letzteren Gruppe erläutern, was Frazer als </w:t>
      </w:r>
      <w:r w:rsidRPr="00751AC0">
        <w:rPr>
          <w:rFonts w:ascii="Garamond" w:hAnsi="Garamond"/>
          <w:i/>
          <w:iCs/>
          <w:color w:val="000000"/>
          <w:lang w:val="en-GB"/>
        </w:rPr>
        <w:t>kontagiöse</w:t>
      </w:r>
      <w:r w:rsidRPr="00751AC0">
        <w:rPr>
          <w:rFonts w:ascii="Garamond" w:hAnsi="Garamond"/>
          <w:color w:val="000000"/>
          <w:lang w:val="en-GB"/>
        </w:rPr>
        <w:t xml:space="preserve"> Magie von der </w:t>
      </w:r>
      <w:r w:rsidRPr="00751AC0">
        <w:rPr>
          <w:rFonts w:ascii="Garamond" w:hAnsi="Garamond"/>
          <w:i/>
          <w:iCs/>
          <w:color w:val="000000"/>
          <w:lang w:val="en-GB"/>
        </w:rPr>
        <w:t>imitativen</w:t>
      </w:r>
      <w:r w:rsidRPr="00751AC0">
        <w:rPr>
          <w:rFonts w:ascii="Garamond" w:hAnsi="Garamond"/>
          <w:color w:val="000000"/>
          <w:lang w:val="en-GB"/>
        </w:rPr>
        <w:t xml:space="preserve"> sondert. Was in ihnen als wirksam gedacht wird, ist nicht mehr die Ähnlichkeit, sondern der Zusammenhang im Raum, die </w:t>
      </w:r>
      <w:r w:rsidRPr="00751AC0">
        <w:rPr>
          <w:rFonts w:ascii="Garamond" w:hAnsi="Garamond"/>
          <w:i/>
          <w:iCs/>
          <w:color w:val="000000"/>
          <w:lang w:val="en-GB"/>
        </w:rPr>
        <w:t>Kontiguität</w:t>
      </w:r>
      <w:r w:rsidRPr="00751AC0">
        <w:rPr>
          <w:rFonts w:ascii="Garamond" w:hAnsi="Garamond"/>
          <w:color w:val="000000"/>
          <w:lang w:val="en-GB"/>
        </w:rPr>
        <w:t xml:space="preserve">, wenigstens die vorgestellte Kontiguität, die Erinnerung an ihr Vorhandensein. Da aber Ähnlichkeit und Kontiguität die beiden wesentlichen Prinzipien der Assoziationsvorgänge sind, stellt sich als Erklärung für all die Tollheit der magischen Vorschriften wirklich die Herrschaft der Ideenassoziation heraus. Man sieht, wie zutreffend sich Tylors oben zitierte Charakteristik der Magie erweist: </w:t>
      </w:r>
      <w:r w:rsidRPr="00751AC0">
        <w:rPr>
          <w:rFonts w:ascii="Garamond" w:hAnsi="Garamond"/>
          <w:i/>
          <w:iCs/>
          <w:color w:val="000000"/>
          <w:lang w:val="en-GB"/>
        </w:rPr>
        <w:t>mistaking an ideal connection for a real one</w:t>
      </w:r>
      <w:r w:rsidRPr="00751AC0">
        <w:rPr>
          <w:rFonts w:ascii="Garamond" w:hAnsi="Garamond"/>
          <w:color w:val="000000"/>
          <w:lang w:val="en-GB"/>
        </w:rPr>
        <w:t xml:space="preserve">, oder wie es fast gleichlautend Frazer ausgedrückt hat (ibid., 420): » </w:t>
      </w:r>
      <w:r w:rsidRPr="00751AC0">
        <w:rPr>
          <w:rFonts w:ascii="Garamond" w:hAnsi="Garamond"/>
          <w:i/>
          <w:iCs/>
          <w:color w:val="000000"/>
          <w:lang w:val="en-GB"/>
        </w:rPr>
        <w:t>men mistook the order of their ideas for the order of nature, and hence imagined that the control which they have, or seem to have, over their thoughts, permitted them to exercise a corresponding control over things</w:t>
      </w:r>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wird dann zunächst befremdend wirken, daß diese einleuchtende Erklärung der Magie von manchen Autoren als unbefriedigend verworfen werden konnte </w:t>
      </w:r>
      <w:hyperlink r:id="rId52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Vgl. den Artikel ›Magic‹ (N. W. T.) in der 11. Auflage der </w:t>
        </w:r>
        <w:r w:rsidRPr="00751AC0">
          <w:rPr>
            <w:rStyle w:val="innerfusslink3"/>
            <w:rFonts w:ascii="Garamond" w:hAnsi="Garamond" w:cs="Arial"/>
            <w:b/>
            <w:bCs/>
            <w:i/>
            <w:iCs/>
            <w:lang w:val="en-GB"/>
          </w:rPr>
          <w:t>Encyclopaedia Britannica</w:t>
        </w:r>
        <w:r w:rsidRPr="00751AC0">
          <w:rPr>
            <w:rStyle w:val="innerfusslink3"/>
            <w:rFonts w:ascii="Garamond" w:hAnsi="Garamond" w:cs="Arial"/>
            <w:b/>
            <w:bCs/>
            <w:lang w:val="en-GB"/>
          </w:rPr>
          <w:t>.</w:t>
        </w:r>
      </w:hyperlink>
      <w:r w:rsidRPr="00751AC0">
        <w:rPr>
          <w:rFonts w:ascii="Garamond" w:hAnsi="Garamond"/>
          <w:color w:val="000000"/>
          <w:lang w:val="en-GB"/>
        </w:rPr>
        <w:t>. Bei näherer Überlegung muß man aber dem Einwand recht geben, daß die Assoziationstheorie der Magie bloß die Wege aufklärt, welche die Magie geht, aber nicht deren eigentliches Wesen, nämlich nicht das Mißverständnis, welches sie psychologische Gesetze an die Stelle natürlicher setzen heißt. Es bedarf hier offenbar eines dynamischen Moments, aber während die Suche nach einem solchen die Kritiker der Frazerschen Lehre in die Irre führt, wird es leicht, eine befriedigende Aufklärung der Magie zu geben, wenn man nur die Assoziationstheorie derselben weiterführen und vertiefen will.</w:t>
      </w:r>
    </w:p>
    <w:p w:rsidR="00B6748F" w:rsidRPr="00751AC0" w:rsidRDefault="00B6748F" w:rsidP="00B6748F">
      <w:pPr>
        <w:rPr>
          <w:rFonts w:ascii="Garamond" w:hAnsi="Garamond"/>
          <w:color w:val="000000"/>
        </w:rPr>
      </w:pPr>
      <w:r w:rsidRPr="00751AC0">
        <w:rPr>
          <w:rFonts w:ascii="Garamond" w:hAnsi="Garamond"/>
          <w:color w:val="000000"/>
          <w:lang w:val="en-GB"/>
        </w:rPr>
        <w:t xml:space="preserve">Betrachten wir zunächst den einfacheren und bedeutsameren Fall der imitativen Magie. Nach Frazer </w:t>
      </w:r>
      <w:hyperlink r:id="rId52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l. c., p. 54</w:t>
        </w:r>
      </w:hyperlink>
      <w:r w:rsidRPr="00751AC0">
        <w:rPr>
          <w:rFonts w:ascii="Garamond" w:hAnsi="Garamond"/>
          <w:color w:val="000000"/>
          <w:lang w:val="en-GB"/>
        </w:rPr>
        <w:t xml:space="preserve"> kann diese allein geübt werden, während die kontagiöse Magie in der Regel die imitative voraussetzt. </w:t>
      </w:r>
      <w:r w:rsidRPr="00751AC0">
        <w:rPr>
          <w:rFonts w:ascii="Garamond" w:hAnsi="Garamond"/>
          <w:color w:val="000000"/>
        </w:rPr>
        <w:t>Die Motive, welche zur Ausübung der Magie drängen, sind leicht zu erkennen, es sind die Wünsche des Menschen. Wir brauchen nun bloß anzunehmen, daß der primitive Mensch ein großartiges Zutrauen zur Macht seiner Wünsche hat. Im Grunde muß all das, was er auf magischem Wege herstellt, doch nur darum geschehen, weil er es will. So ist anfänglich bloß sein Wunsch das Betonte.</w:t>
      </w:r>
    </w:p>
    <w:p w:rsidR="00B6748F" w:rsidRPr="00751AC0" w:rsidRDefault="00B6748F" w:rsidP="00B6748F">
      <w:pPr>
        <w:rPr>
          <w:rFonts w:ascii="Garamond" w:hAnsi="Garamond"/>
          <w:color w:val="000000"/>
          <w:lang w:val="en-GB"/>
        </w:rPr>
      </w:pPr>
      <w:r w:rsidRPr="00751AC0">
        <w:rPr>
          <w:rFonts w:ascii="Garamond" w:hAnsi="Garamond"/>
          <w:color w:val="000000"/>
        </w:rPr>
        <w:t xml:space="preserve">Für das Kind, welches sich unter analogen psychischen Bedingungen befindet, aber motorisch noch nicht leistungsfähig ist, haben wir an anderer Stelle die Annahme vertreten, daß es seine Wünsche zunächst halluzinatorisch befriedigt, indem es die befriedigende Situation durch die zentrifugalen Erregungen seiner Sinnesorgane herstellen läßt </w:t>
      </w:r>
      <w:hyperlink r:id="rId523" w:anchor="#" w:history="1">
        <w:r w:rsidRPr="00751AC0">
          <w:rPr>
            <w:rStyle w:val="fusslink"/>
            <w:rFonts w:ascii="Garamond" w:hAnsi="Garamond" w:cs="Arial"/>
            <w:b/>
            <w:bCs/>
            <w:color w:val="003399"/>
          </w:rPr>
          <w:t>[Fußnote]</w:t>
        </w:r>
        <w:r w:rsidRPr="00751AC0">
          <w:rPr>
            <w:rStyle w:val="innerfusslink3"/>
            <w:rFonts w:ascii="Garamond" w:hAnsi="Garamond" w:cs="Arial"/>
            <w:b/>
            <w:bCs/>
          </w:rPr>
          <w:t>›Formulierungen über die zwei Prinzipien des psychischen Geschehens‹ (1912).</w:t>
        </w:r>
      </w:hyperlink>
      <w:r w:rsidRPr="00751AC0">
        <w:rPr>
          <w:rFonts w:ascii="Garamond" w:hAnsi="Garamond"/>
          <w:color w:val="000000"/>
        </w:rPr>
        <w:t xml:space="preserve">. Für den erwachsenen Primitiven ergibt sich ein anderer Weg. An seinem Wunsch hängt ein motorischer Impuls, der Wille, und dieser – der später im Dienst der Wunschbefriedigung das Antlitz der Erde verändern wird – wird jetzt dazu verwendet, die Befriedigung darzustellen, so daß man </w:t>
      </w:r>
      <w:r w:rsidRPr="00751AC0">
        <w:rPr>
          <w:rFonts w:ascii="Garamond" w:hAnsi="Garamond"/>
          <w:color w:val="000000"/>
        </w:rPr>
        <w:lastRenderedPageBreak/>
        <w:t xml:space="preserve">sie gleichsam durch motorische Halluzinationen erleben kann. </w:t>
      </w:r>
      <w:r w:rsidRPr="00751AC0">
        <w:rPr>
          <w:rFonts w:ascii="Garamond" w:hAnsi="Garamond"/>
          <w:color w:val="000000"/>
          <w:lang w:val="en-GB"/>
        </w:rPr>
        <w:t xml:space="preserve">Eine solche </w:t>
      </w:r>
      <w:r w:rsidRPr="00751AC0">
        <w:rPr>
          <w:rFonts w:ascii="Garamond" w:hAnsi="Garamond"/>
          <w:i/>
          <w:iCs/>
          <w:color w:val="000000"/>
          <w:lang w:val="en-GB"/>
        </w:rPr>
        <w:t>Darstellung</w:t>
      </w:r>
      <w:r w:rsidRPr="00751AC0">
        <w:rPr>
          <w:rFonts w:ascii="Garamond" w:hAnsi="Garamond"/>
          <w:color w:val="000000"/>
          <w:lang w:val="en-GB"/>
        </w:rPr>
        <w:t xml:space="preserve"> des befriedigten Wunsches ist dem </w:t>
      </w:r>
      <w:r w:rsidRPr="00751AC0">
        <w:rPr>
          <w:rFonts w:ascii="Garamond" w:hAnsi="Garamond"/>
          <w:i/>
          <w:iCs/>
          <w:color w:val="000000"/>
          <w:lang w:val="en-GB"/>
        </w:rPr>
        <w:t>Spiele</w:t>
      </w:r>
      <w:r w:rsidRPr="00751AC0">
        <w:rPr>
          <w:rFonts w:ascii="Garamond" w:hAnsi="Garamond"/>
          <w:color w:val="000000"/>
          <w:lang w:val="en-GB"/>
        </w:rPr>
        <w:t xml:space="preserve"> der Kinder völlig vergleichbar, welches bei diesen die rein sensorische Technik der Befriedigung ablöst. Wenn Spiel und imitative Darstellung dem Kinde und dem Primitiven genügen, so ist dies nicht ein Zeichen von Bescheidenheit in unserem Sinne oder von Resignation infolge Erkenntnis ihrer realen Ohnmacht, sondern die wohl verständliche Folge der überwiegenden Wertung ihres Wunsches, des von ihm abhängigen Willens und der von ihm eingeschlagenen Wege. Mit der Zeit verschiebt sich der psychische Akzent von den Motiven der magischen Handlung auf deren Mittel, auf die Handlung selbst. Vielleicht sagen wir richtiger, an diesen Mitteln erst wird ihm die Überschätzung seiner psychischen Akte evident. Nun hat es den Anschein, als wäre es nichts anderes als die magische Handlung, die kraft ihrer Ähnlichkeit mit dem Gewünschten dessen Geschehen erzwingt. Auf der Stufe des animistischen Denkens gibt es noch keine Gelegenheit, den wahren Sachverhalt objektiv zu erweisen, wohl aber auf späteren, wenn alle solche Prozeduren noch gepflegt werden, aber das psychische Phänomen des Zweifels als Ausdruck einer Verdrängungsneigung bereits möglich ist. Dann werden die Menschen zugeben, daß die Beschwörungen von Geistern nichts leisten, wenn nicht der Glaube an sie dabei ist, und daß auch die Zauberkraft des Gebets versagt, wenn keine Frömmigkeit dahinter wirkt </w:t>
      </w:r>
      <w:hyperlink r:id="rId52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Der König in </w:t>
        </w:r>
        <w:r w:rsidRPr="00751AC0">
          <w:rPr>
            <w:rStyle w:val="innerfusslink3"/>
            <w:rFonts w:ascii="Garamond" w:hAnsi="Garamond" w:cs="Arial"/>
            <w:b/>
            <w:bCs/>
            <w:i/>
            <w:iCs/>
            <w:lang w:val="en-GB"/>
          </w:rPr>
          <w:t>Hamlet</w:t>
        </w:r>
        <w:r w:rsidRPr="00751AC0">
          <w:rPr>
            <w:rStyle w:val="innerfusslink3"/>
            <w:rFonts w:ascii="Garamond" w:hAnsi="Garamond" w:cs="Arial"/>
            <w:b/>
            <w:bCs/>
            <w:lang w:val="en-GB"/>
          </w:rPr>
          <w:t xml:space="preserve"> (III. Akt, 3. Szene):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 xml:space="preserve">My words fly up, my thoughts remain below: </w:t>
        </w:r>
        <w:r w:rsidRPr="00751AC0">
          <w:rPr>
            <w:rFonts w:ascii="Garamond" w:hAnsi="Garamond"/>
            <w:i/>
            <w:iCs/>
            <w:color w:val="000000"/>
            <w:lang w:val="en-GB"/>
          </w:rPr>
          <w:br/>
        </w:r>
        <w:r w:rsidRPr="00751AC0">
          <w:rPr>
            <w:rStyle w:val="innerfusslink3"/>
            <w:rFonts w:ascii="Garamond" w:hAnsi="Garamond" w:cs="Arial"/>
            <w:b/>
            <w:bCs/>
            <w:i/>
            <w:iCs/>
            <w:lang w:val="en-GB"/>
          </w:rPr>
          <w:t>Words without thoughts never to heaven go.</w:t>
        </w:r>
        <w:r w:rsidRPr="00751AC0">
          <w:rPr>
            <w:rStyle w:val="innerfusslink3"/>
            <w:rFonts w:ascii="Garamond" w:hAnsi="Garamond" w:cs="Arial"/>
            <w:b/>
            <w:bCs/>
            <w:lang w:val="en-GB"/>
          </w:rPr>
          <w:t>«</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Die Möglichkeit einer auf der Kontiguitätsassoziation beruhenden kontagiösen Magie wird uns dann zeigen, daß sich die psychische Wertschätzung vom Wunsch und vom Willen her auf alle psychischen Akte, die dem Willen zu Gebote stehen, ausgedehnt hat. Es besteht also jetzt eine allgemeine Überschätzung der seelischen Vorgänge, das heißt eine Einstellung zur Welt, welche uns nach unseren Einsichten in die Beziehung von Realität und Denken als solche Überschätzung des letzteren erscheinen muß. Die Dinge treten gegen deren Vorstellungen zurück; was mit den letzteren vorgenommen wird, muß sich auch an den ersteren ereignen. Die Relationen, die zwischen den Vorstellungen bestehen, werden auch zwischen den Dingen vorausgesetzt. Da das Denken keine Entfernungen kennt, das räumlich Entlegenste wie das zeitlich Verschiedenste mit Leichtigkeit in einen Bewußtseinsakt zusammenbringt, wird auch die magische Welt sich telepathisch über die räumliche Distanz hinaussetzen und ehemaligen Zusammenhang wie gegenwärtigen behandeln. Das Spiegelbild der Innenwelt muß im animistischen Zeitalter jenes andere Weltbild, das wir zu erkennen glauben, unsichtbar machen.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Heben wir übrigens hervor, daß die beiden Prinzipien der Assoziation – Ähnlichkeit und Kontiguität – in der höheren Einheit der </w:t>
      </w:r>
      <w:r w:rsidRPr="00751AC0">
        <w:rPr>
          <w:rFonts w:ascii="Garamond" w:hAnsi="Garamond"/>
          <w:i/>
          <w:iCs/>
          <w:color w:val="000000"/>
          <w:lang w:val="en-GB"/>
        </w:rPr>
        <w:t>Berührung</w:t>
      </w:r>
      <w:r w:rsidRPr="00751AC0">
        <w:rPr>
          <w:rFonts w:ascii="Garamond" w:hAnsi="Garamond"/>
          <w:color w:val="000000"/>
          <w:lang w:val="en-GB"/>
        </w:rPr>
        <w:t xml:space="preserve"> zusammentreffen. Kontiguitätsassoziation ist Berührung im direkten, Ähnlichkeitsassoziation solche im übertragenen Sinne. Eine von uns noch nicht erfaßte Identität im psychischen Vorgang wird wohl durch den Gebrauch des nämlichen Wortes für beide Arten der Verknüpfung verbürgt. Es ist derselbe Umfang des Begriffes Berührung, der sich bei der Analyse des Tabu herausstellte </w:t>
      </w:r>
      <w:hyperlink r:id="rId52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die vorige Abhandlung dieser Reihe.</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Zusammenfassend können wir nun sagen: das Prinzip, welches die Magie, die Technik der animistischen Denkweise, regiert, ist das der »Allmacht der Gedanken«.</w:t>
      </w:r>
    </w:p>
    <w:p w:rsidR="00B6748F" w:rsidRPr="00751AC0" w:rsidRDefault="00B6748F" w:rsidP="00B6748F">
      <w:pPr>
        <w:rPr>
          <w:rFonts w:ascii="Garamond" w:hAnsi="Garamond"/>
          <w:color w:val="000000"/>
          <w:lang w:val="en-GB"/>
        </w:rPr>
      </w:pPr>
      <w:r w:rsidRPr="00751AC0">
        <w:rPr>
          <w:rFonts w:ascii="Garamond" w:hAnsi="Garamond"/>
          <w:color w:val="000000"/>
          <w:lang w:val="en-GB"/>
        </w:rPr>
        <w:t>3</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Bezeichnung »Allmacht der Gedanken« habe ich von einem hochintelligenten, an Zwangsvorstellungen leidenden Manne angenommen, dem es nach seiner Herstellung durch psychoanalytische Behandlung möglich geworden ist, auch seine Tüchtigkeit und Verständigkeit zu erweisen </w:t>
      </w:r>
      <w:hyperlink r:id="rId52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›Bemerkungen über einen Fall von Zwangsneurose‹ (1909).</w:t>
        </w:r>
      </w:hyperlink>
      <w:r w:rsidRPr="00751AC0">
        <w:rPr>
          <w:rFonts w:ascii="Garamond" w:hAnsi="Garamond"/>
          <w:color w:val="000000"/>
          <w:lang w:val="en-GB"/>
        </w:rPr>
        <w:t xml:space="preserve">. Er hatte sich dieses Wort geprägt zur Begründung aller jener sonderbaren und unheimlichen Geschehnisse, die ihn wie andere </w:t>
      </w:r>
      <w:r w:rsidRPr="00751AC0">
        <w:rPr>
          <w:rFonts w:ascii="Garamond" w:hAnsi="Garamond"/>
          <w:color w:val="000000"/>
          <w:lang w:val="en-GB"/>
        </w:rPr>
        <w:lastRenderedPageBreak/>
        <w:t xml:space="preserve">mit seinem Leiden Behaftete zu verfolgen schienen. Dachte er eben an eine Person, so kam sie ihm auch schon entgegen, als ob er sie beschworen hätte; erkundigte er sich plötzlich nach dem Befinden eines lange vermißten Bekannten, so mußte er hören, daß dieser eben gestorben sei, so daß er glauben konnte, jener habe sich ihm telepathisch bemerkbar gemacht; stieß er gegen einen Fremden eine nicht einmal ganz ernst gemeinte Verwünschung aus, so durfte er erwarten, daß dieser bald darauf starb und ihn mit der Verantwortlichkeit für sein Ableben belastete. Von den meisten dieser Fälle konnte er mir im Laufe der Behandlung selbst mitteilen, wie der täuschende Anschein entstanden war und was er selbst an Veranstaltungen hinzugetan hatte, um sich in seinen abergläubischen Erwartungen zu bestärken </w:t>
      </w:r>
      <w:hyperlink r:id="rId52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Es scheint, daß wir den Charakter des »Unheimlichen« solchen Eindrücken verleihen, welche die Allmacht der Gedanken und die animistische Denkweise überhaupt bestätigen wollen, während wir uns bereits im Urteil von ihr abgewendet haben.</w:t>
        </w:r>
      </w:hyperlink>
      <w:r w:rsidRPr="00751AC0">
        <w:rPr>
          <w:rFonts w:ascii="Garamond" w:hAnsi="Garamond"/>
          <w:color w:val="000000"/>
          <w:lang w:val="en-GB"/>
        </w:rPr>
        <w:t>. Alle Zwangskranken sind in solcher Weise, meist gegen ihre bessere Einsicht, abergläubisch.</w:t>
      </w:r>
    </w:p>
    <w:p w:rsidR="00B6748F" w:rsidRPr="00751AC0" w:rsidRDefault="00B6748F" w:rsidP="00B6748F">
      <w:pPr>
        <w:rPr>
          <w:rFonts w:ascii="Garamond" w:hAnsi="Garamond"/>
          <w:color w:val="000000"/>
          <w:lang w:val="en-GB"/>
        </w:rPr>
      </w:pPr>
      <w:r w:rsidRPr="00751AC0">
        <w:rPr>
          <w:rFonts w:ascii="Garamond" w:hAnsi="Garamond"/>
          <w:color w:val="000000"/>
          <w:lang w:val="en-GB"/>
        </w:rPr>
        <w:t>Der Fortbestand der Allmacht der Gedanken tritt uns bei der Zwangsneurose am deutlichsten entgegen, die Ergebnisse dieser primitiven Denkweise sind hier dem Bewußtsein am nächsten. Wir müssen uns aber davor hüten, darin einen auszeichnenden Charakter dieser Neurose zu erblicken, denn die analytische Untersuchung deckt das nämliche bei den anderen Neurosen auf. Bei ihnen allen ist nicht die Realität des Erlebens, sondern die des Denkens für die Symptombildung maßgebend. Die Neurotiker leben in einer besonderen Welt, in welcher, wie ich es an anderer Stelle ausgedrückt habe, nur die »neurotische Währung« gilt, das heißt nur das intensiv Gedachte, mit Affekt Vorgestellte ist bei ihnen wirksam, dessen Übereinstimmung mit der äußeren Realität aber nebensächlich. Der Hysteriker wiederholt in seinen Anfällen und fixiert durch seine Symptome Erlebnisse, die sich nur in seiner Phantasie so zugetragen haben, allerdings in letzter Auflösung auf wirkliche Ereignisse zurückgehen oder aus solchen aufgebaut worden sind. Das Schuldbewußtsein der Neurotiker würde man ebenso schlecht verstehen, wenn man es auf reale Missetaten zurückführen wollte. Ein Zwangsneurotiker kann von einem Schuldbewußtsein gedrückt sein, das einem Massenmörder wohl anstünde; er wird sich dabei gegen seine Mitmenschen als der rücksichtsvollste und skrupulöseste Genosse benehmen und seit seiner Kindheit so benommen haben. Doch ist sein Schuldgefühl begründet; es fußt auf den intensiven und häufigen Todeswünschen, die sich in ihm unbewußt gegen seine Mitmenschen regen. Es ist begründet, insofern unbewußte Gedanken und nicht absichtliche Taten in Betracht kommen. So erweist sich die Allmacht der Gedanken, die Überschätzung der seelischen Vorgänge gegen die Realität, als unbeschränkt wirksam im Affektleben des Neurotikers und in allen von diesem ausgehenden Folgen. Unterzieht man ihn aber der psychoanalytischen Behandlung, welche das bei ihm Unbewußte bewußtmacht, so wird er nicht glauben können, daß Gedanken frei sind, und wird sich jedesmal fürchten, böse Wünsche zu äußern, als ob sie infolge dieser Äußerung in Erfüllung gehen müßten. Durch dieses Verhalten wie durch seinen im Leben betätigten Aberglauben zeigt er uns aber, wie nahe er dem Wilden steht, der durch seine bloßen Gedanken die Außenwelt zu verändern vermeint.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primären Zwangshandlungen dieser Neurotiker sind eigentlich durchaus magischer Natur. Sie sind, wenn nicht Zauber, so doch Gegenzauber, zur Abwehr der Unheilserwartungen bestimmt, mit denen die Neurose zu beginnen pflegt. Sooft ich das Geheimnis zu durchdringen vermochte, zeigte es sich, daß diese Unheilserwartung den Tod zum Inhalt hatte. Das Todesproblem steht nach Schopenhauer am Eingang jeder Philosophie; wir haben gehört, daß auch die Bildung der Seelenvorstellungen und des Dämonenglaubens, die den Animismus kennzeichnen, auf den Eindruck zurückgeführt wird, den der Tod auf den Menschen macht. Ob diese ersten Zwangs- oder Schutzhandlungen dem Prinzip der Ähnlichkeit, respektive des Kontrastes folgen, ist schwer zu beurteilen, denn sie werden unter den Bedingungen der Neurose gewöhnlich durch die Verschiebung auf irgendein Kleinstes, eine an sich höchst geringfügige Aktion entstellt </w:t>
      </w:r>
      <w:hyperlink r:id="rId52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Ein weiteres Motiv für diese Verschiebung auf eine kleinste Aktion wird sich aus den nachstehenden Erörterungen ergeben.</w:t>
        </w:r>
      </w:hyperlink>
      <w:r w:rsidRPr="00751AC0">
        <w:rPr>
          <w:rFonts w:ascii="Garamond" w:hAnsi="Garamond"/>
          <w:color w:val="000000"/>
          <w:lang w:val="en-GB"/>
        </w:rPr>
        <w:t xml:space="preserve">. Auch die Schutzformeln der Zwangsneurose </w:t>
      </w:r>
      <w:r w:rsidRPr="00751AC0">
        <w:rPr>
          <w:rFonts w:ascii="Garamond" w:hAnsi="Garamond"/>
          <w:color w:val="000000"/>
          <w:lang w:val="en-GB"/>
        </w:rPr>
        <w:lastRenderedPageBreak/>
        <w:t>finden ihr Gegenstück in den Zauberformeln der Magie. Die Entwicklungsgeschichte der Zwangshandlungen kann man aber beschreiben, indem man hervorhebt, wie sie, vom Sexuellen möglichst weit entfernt, als Zauber gegen böse Wünsche beginnen, um als Ersatz für verbotenes sexuelles Tun, das sie möglichst getreu nachahmen, zu enden.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Wenn wir die vorhin erwähnte Entwicklungsgeschichte der menschlichen Weltanschauungen annehmen, in welcher die </w:t>
      </w:r>
      <w:r w:rsidRPr="00751AC0">
        <w:rPr>
          <w:rFonts w:ascii="Garamond" w:hAnsi="Garamond"/>
          <w:i/>
          <w:iCs/>
          <w:color w:val="000000"/>
          <w:lang w:val="en-GB"/>
        </w:rPr>
        <w:t>animistische</w:t>
      </w:r>
      <w:r w:rsidRPr="00751AC0">
        <w:rPr>
          <w:rFonts w:ascii="Garamond" w:hAnsi="Garamond"/>
          <w:color w:val="000000"/>
          <w:lang w:val="en-GB"/>
        </w:rPr>
        <w:t xml:space="preserve"> Phase von der </w:t>
      </w:r>
      <w:r w:rsidRPr="00751AC0">
        <w:rPr>
          <w:rFonts w:ascii="Garamond" w:hAnsi="Garamond"/>
          <w:i/>
          <w:iCs/>
          <w:color w:val="000000"/>
          <w:lang w:val="en-GB"/>
        </w:rPr>
        <w:t>religiösen</w:t>
      </w:r>
      <w:r w:rsidRPr="00751AC0">
        <w:rPr>
          <w:rFonts w:ascii="Garamond" w:hAnsi="Garamond"/>
          <w:color w:val="000000"/>
          <w:lang w:val="en-GB"/>
        </w:rPr>
        <w:t xml:space="preserve">, diese von der </w:t>
      </w:r>
      <w:r w:rsidRPr="00751AC0">
        <w:rPr>
          <w:rFonts w:ascii="Garamond" w:hAnsi="Garamond"/>
          <w:i/>
          <w:iCs/>
          <w:color w:val="000000"/>
          <w:lang w:val="en-GB"/>
        </w:rPr>
        <w:t>wissenschaftlichen</w:t>
      </w:r>
      <w:r w:rsidRPr="00751AC0">
        <w:rPr>
          <w:rFonts w:ascii="Garamond" w:hAnsi="Garamond"/>
          <w:color w:val="000000"/>
          <w:lang w:val="en-GB"/>
        </w:rPr>
        <w:t xml:space="preserve"> abgelöst wird, wird es uns nicht schwer, die Schicksale der »Allmacht der Gedanken« durch diese Phasen zu verfolgen. Im animistischen Stadium schreibt der Mensch sich selbst die Allmacht zu; im religiösen hat er sie den Göttern abgetreten, aber nicht ernstlich auf sie verzichtet, denn er behält sich vor, die Götter durch mannigfache Beeinflussungen nach seinen Wünschen zu lenken. In der wissenschaftlichen Weltanschauung ist kein Raum mehr für die Allmacht des Menschen, er hat sich zu seiner Kleinheit bekannt und sich resigniert dem Tode wie allen anderen Naturnotwendigkeiten unterworfen. Aber in dem Vertrauen auf die Macht des Menschengeistes, welcher mit den Gesetzen der Wirklichkeit rechnet, lebt ein Stück des primitiven Allmachtglaubens weiter.</w:t>
      </w:r>
    </w:p>
    <w:p w:rsidR="00B6748F" w:rsidRPr="00751AC0" w:rsidRDefault="00B6748F" w:rsidP="00B6748F">
      <w:pPr>
        <w:rPr>
          <w:rFonts w:ascii="Garamond" w:hAnsi="Garamond"/>
          <w:color w:val="000000"/>
        </w:rPr>
      </w:pPr>
      <w:r w:rsidRPr="00751AC0">
        <w:rPr>
          <w:rFonts w:ascii="Garamond" w:hAnsi="Garamond"/>
          <w:color w:val="000000"/>
          <w:lang w:val="en-GB"/>
        </w:rPr>
        <w:t xml:space="preserve">Bei der Rückverfolgung der Entwicklung libidinöser Strebungen im Einzelmenschen, von ihrer Gestaltung in der Reife bis zu den ersten Anfängen der Kindheit, hat sich zunächst eine wichtige Unterscheidung ergeben, die in den </w:t>
      </w:r>
      <w:r w:rsidRPr="00751AC0">
        <w:rPr>
          <w:rFonts w:ascii="Garamond" w:hAnsi="Garamond"/>
          <w:i/>
          <w:iCs/>
          <w:color w:val="000000"/>
          <w:lang w:val="en-GB"/>
        </w:rPr>
        <w:t>Drei Abhandlungen zur Sexualtheorie</w:t>
      </w:r>
      <w:r w:rsidRPr="00751AC0">
        <w:rPr>
          <w:rFonts w:ascii="Garamond" w:hAnsi="Garamond"/>
          <w:color w:val="000000"/>
          <w:lang w:val="en-GB"/>
        </w:rPr>
        <w:t xml:space="preserve"> (1905) niedergelegt ist. Die Äußerungen der sexuellen Triebe sind von Anfang an zu erkennen, aber sie richten sich zuerst noch auf kein äußeres Objekt. Die einzelnen Triebkomponenten der Sexualität arbeiten jede für sich auf Lustgewinn und finden ihre Befriedigung am eigenen Körper. </w:t>
      </w:r>
      <w:r w:rsidRPr="00751AC0">
        <w:rPr>
          <w:rFonts w:ascii="Garamond" w:hAnsi="Garamond"/>
          <w:color w:val="000000"/>
        </w:rPr>
        <w:t xml:space="preserve">Dies Stadium heißt das des </w:t>
      </w:r>
      <w:r w:rsidRPr="00751AC0">
        <w:rPr>
          <w:rFonts w:ascii="Garamond" w:hAnsi="Garamond"/>
          <w:i/>
          <w:iCs/>
          <w:color w:val="000000"/>
        </w:rPr>
        <w:t>Autoerotismus</w:t>
      </w:r>
      <w:r w:rsidRPr="00751AC0">
        <w:rPr>
          <w:rFonts w:ascii="Garamond" w:hAnsi="Garamond"/>
          <w:color w:val="000000"/>
        </w:rPr>
        <w:t xml:space="preserve">, es wird von dem der </w:t>
      </w:r>
      <w:r w:rsidRPr="00751AC0">
        <w:rPr>
          <w:rFonts w:ascii="Garamond" w:hAnsi="Garamond"/>
          <w:i/>
          <w:iCs/>
          <w:color w:val="000000"/>
        </w:rPr>
        <w:t>Objektwahl</w:t>
      </w:r>
      <w:r w:rsidRPr="00751AC0">
        <w:rPr>
          <w:rFonts w:ascii="Garamond" w:hAnsi="Garamond"/>
          <w:color w:val="000000"/>
        </w:rPr>
        <w:t xml:space="preserve"> abgelöst.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hat sich bei weiterem Studium als zweckmäßig, ja als unabweisbar gezeigt, zwischen diesen beiden Stadien ein drittes einzuschieben, oder, wenn man so will, das erste Stadium des Autoerotismus in zwei zu zerlegen. In diesem Zwischenstadium, dessen Bedeutsamkeit sich der Forschung immer mehr aufdrängt, haben die vorher vereinzelten Sexualtriebe sich bereits zu einer Einheit zusammengesetzt und auch ein Objekt gefunden; dies Objekt ist aber kein äußeres, dem Individuum fremdes, sondern es ist das eigene, um diese Zeit konstituierte Ich. Mit Rücksicht auf später zu beobachtende pathologische Fixierungen dieses Zustandes heißen wir das neue Stadium das des </w:t>
      </w:r>
      <w:r w:rsidRPr="00751AC0">
        <w:rPr>
          <w:rFonts w:ascii="Garamond" w:hAnsi="Garamond"/>
          <w:i/>
          <w:iCs/>
          <w:color w:val="000000"/>
          <w:lang w:val="en-GB"/>
        </w:rPr>
        <w:t>Narzißmus.</w:t>
      </w:r>
      <w:r w:rsidRPr="00751AC0">
        <w:rPr>
          <w:rFonts w:ascii="Garamond" w:hAnsi="Garamond"/>
          <w:color w:val="000000"/>
          <w:lang w:val="en-GB"/>
        </w:rPr>
        <w:t xml:space="preserve"> Die Person verhält sich so, als wäre sie in sich selbst verliebt; die Ichtriebe und die libidinösen Wünsche sind für unsere Analyse noch nicht voneinander zu sondern.</w:t>
      </w:r>
    </w:p>
    <w:p w:rsidR="00B6748F" w:rsidRPr="00751AC0" w:rsidRDefault="00B6748F" w:rsidP="00B6748F">
      <w:pPr>
        <w:rPr>
          <w:rFonts w:ascii="Garamond" w:hAnsi="Garamond"/>
          <w:color w:val="000000"/>
          <w:lang w:val="en-GB"/>
        </w:rPr>
      </w:pPr>
      <w:r w:rsidRPr="00751AC0">
        <w:rPr>
          <w:rFonts w:ascii="Garamond" w:hAnsi="Garamond"/>
          <w:color w:val="000000"/>
          <w:lang w:val="en-GB"/>
        </w:rPr>
        <w:t>Wenngleich uns eine genügend scharfe Charakteristik dieses narzißtischen Stadiums, in welchem die bisher dissoziierten Sexualtriebe zu einer Einheit zusammentreten und das Ich als Objekt besetzen, noch nicht möglich ist, so ahnen wir doch bereits, daß die narzißtische Organisation nie mehr völlig aufgegeben wird. Der Mensch bleibt in gewissem Maße narzißtisch, auch nachdem er äußere Objekte für seine Libido gefunden hat; die Objektbesetzungen, die er vornimmt, sind gleichsam Emanationen der beim Ich verbleibenden Libido und können wieder in dieselbe zurückgezogen werden. Die psychologisch so merkwürdigen Zustände von Verliebtheit, die Normalvorbilder der Psychosen, entsprechen dem höchsten Stande dieser Emanationen im Vergleich zum Niveau der Ichliebe.</w:t>
      </w:r>
    </w:p>
    <w:p w:rsidR="00B6748F" w:rsidRPr="00751AC0" w:rsidRDefault="00B6748F" w:rsidP="00B6748F">
      <w:pPr>
        <w:rPr>
          <w:rFonts w:ascii="Garamond" w:hAnsi="Garamond"/>
          <w:color w:val="000000"/>
        </w:rPr>
      </w:pPr>
      <w:r w:rsidRPr="00751AC0">
        <w:rPr>
          <w:rFonts w:ascii="Garamond" w:hAnsi="Garamond"/>
          <w:color w:val="000000"/>
          <w:lang w:val="en-GB"/>
        </w:rPr>
        <w:t xml:space="preserve">Es liegt nun nahe, die von uns aufgefundene Hochschätzung der psychischen Aktionen – die wir von unserem Standpunkt aus eine Überschätzung heißen – bei den Primitiven und Neurotikern in Beziehung zum Narzißmus zu bringen und sie als wesentliches Teilstück desselben aufzufassen. Wir würden sagen, das Denken ist bei den Primitiven noch in hohem Maße sexualisiert, daher rührt der Glaube an die Allmacht der Gedanken, die unerschütterliche Zuversicht auf die Möglichkeit der Weltbeherrschung und die Unzugänglichkeit gegen die leicht zu machenden Erfahrungen, welche den Menschen über seine wirkliche Stellung in der Welt belehren könnten. Bei den Neurotikern ist einerseits ein beträchtliches </w:t>
      </w:r>
      <w:r w:rsidRPr="00751AC0">
        <w:rPr>
          <w:rFonts w:ascii="Garamond" w:hAnsi="Garamond"/>
          <w:color w:val="000000"/>
          <w:lang w:val="en-GB"/>
        </w:rPr>
        <w:lastRenderedPageBreak/>
        <w:t xml:space="preserve">Stück dieser primitiven Einstellung konstitutionell verblieben, anderseits wird durch die bei ihnen eingetretene Sexualverdrängung eine neuerliche Sexualisierung der Denkvorgänge herbeigeführt. Die psychischen Folgen müssen in beiden Fällen dieselben sein, bei ursprünglicher wie bei regressiv erzielter libidinöser Überbesetzung des Denkens: intellektueller Narzißmus, Allmacht der Gedanken </w:t>
      </w:r>
      <w:hyperlink r:id="rId52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It is almost an axiom with writers on this subject, that a sort of Solipsism or Berkeleianism (as Professor Sully terms it as he finds it in the Child), operates in the savage to make him refuse to recognise death as a fact.</w:t>
        </w:r>
        <w:r w:rsidRPr="00751AC0">
          <w:rPr>
            <w:rStyle w:val="innerfusslink3"/>
            <w:rFonts w:ascii="Garamond" w:hAnsi="Garamond" w:cs="Arial"/>
            <w:b/>
            <w:bCs/>
            <w:lang w:val="en-GB"/>
          </w:rPr>
          <w:t>« – (Marett, 1900, p. 178.)</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Wenn wir im Nachweis der Allmacht der Gedanken bei den Primitiven ein Zeugnis für den Narzißmus erblicken dürfen, so können wir den Versuch wagen, die Entwicklungsstufen der menschlichen Weltanschauung mit den Stadien der libidinösen Entwicklung des Einzelnen in Vergleich zu ziehen. Es entspricht dann zeitlich wie inhaltlich die animistische Phase dem Narzißmus, die religiöse Phase jener Stufe der Objektfindung, welche durch die Bindung an die Eltern charakterisiert ist, und die wissenschaftliche Phase hat ihr volles Gegenstück in jenem Reifezustand des Individuums, welcher auf das Lustprinzip verzichtet hat und unter Anpassung an die Realität sein Objekt in der Außenwelt sucht </w:t>
      </w:r>
      <w:hyperlink r:id="rId530" w:anchor="#" w:history="1">
        <w:r w:rsidRPr="00751AC0">
          <w:rPr>
            <w:rStyle w:val="fusslink"/>
            <w:rFonts w:ascii="Garamond" w:hAnsi="Garamond" w:cs="Arial"/>
            <w:b/>
            <w:bCs/>
            <w:color w:val="003399"/>
          </w:rPr>
          <w:t>[Fußnote]</w:t>
        </w:r>
        <w:r w:rsidRPr="00751AC0">
          <w:rPr>
            <w:rStyle w:val="innerfusslink3"/>
            <w:rFonts w:ascii="Garamond" w:hAnsi="Garamond" w:cs="Arial"/>
            <w:b/>
            <w:bCs/>
          </w:rPr>
          <w:t>Es soll hier nur angedeutet werden, daß der ursprüngliche Narzißmus des Kindes maßgebend für die Auffassung seiner Charakterentwicklung ist und die Annahme eines primitiven Minderwertigkeitsgefühles bei demselben ausschließt.</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Nur auf einem Gebiete ist auch in unserer Kultur die »Allmacht der Gedanken« erhalten geblieben, auf dem der Kunst. In der Kunst allein kommt es noch vor, daß ein von Wünschen verzehrter Mensch etwas der Befriedigung Ähnliches macht und daß dieses Spielen – dank der künstlerischen Illusion – Affektwirkungen hervorruft, als wäre es etwas Reales. Mit Recht spricht man vom Zauber der Kunst und vergleicht den Künstler mit einem Zauberer. Aber dieser Vergleich ist vielleicht bedeutsamer, als er zu sein beansprucht. Die Kunst, die gewiß nicht als </w:t>
      </w:r>
      <w:r w:rsidRPr="00751AC0">
        <w:rPr>
          <w:rFonts w:ascii="Garamond" w:hAnsi="Garamond"/>
          <w:i/>
          <w:iCs/>
          <w:color w:val="000000"/>
          <w:lang w:val="en-GB"/>
        </w:rPr>
        <w:t>l'art pour l'art</w:t>
      </w:r>
      <w:r w:rsidRPr="00751AC0">
        <w:rPr>
          <w:rFonts w:ascii="Garamond" w:hAnsi="Garamond"/>
          <w:color w:val="000000"/>
          <w:lang w:val="en-GB"/>
        </w:rPr>
        <w:t xml:space="preserve"> begonnen hat, stand ursprünglich im Dienste von Tendenzen, die heute zum großen Teil erloschen sind. Unter diesen lassen sich mancherlei magische Absichten vermuten </w:t>
      </w:r>
      <w:hyperlink r:id="rId53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S. Reinach, ›L'art et la magie‹ in der Sammlung </w:t>
        </w:r>
        <w:r w:rsidRPr="00751AC0">
          <w:rPr>
            <w:rStyle w:val="innerfusslink3"/>
            <w:rFonts w:ascii="Garamond" w:hAnsi="Garamond" w:cs="Arial"/>
            <w:b/>
            <w:bCs/>
            <w:i/>
            <w:iCs/>
            <w:lang w:val="en-GB"/>
          </w:rPr>
          <w:t>Cultes, mythes et religions</w:t>
        </w:r>
        <w:r w:rsidRPr="00751AC0">
          <w:rPr>
            <w:rStyle w:val="innerfusslink3"/>
            <w:rFonts w:ascii="Garamond" w:hAnsi="Garamond" w:cs="Arial"/>
            <w:b/>
            <w:bCs/>
            <w:lang w:val="en-GB"/>
          </w:rPr>
          <w:t xml:space="preserve"> (1905–12, Bd. 1, 125–36). – Reinach meint, die primitiven Künstler, welche uns die eingeritzten oder aufgemalten Tierbilder in den Höhlen Frankreichs hinterlassen haben, wollten nicht »Gefallen erregen«, sondern »beschwören«. Er erklärt es so, daß sich diese Zeichnungen an den dunkelsten und unzugänglichsten Stellen der Höhlen befinden und daß die Darstellungen der gefürchteten Raubtiere unter ihnen fehlen. » </w:t>
        </w:r>
        <w:r w:rsidRPr="00751AC0">
          <w:rPr>
            <w:rStyle w:val="innerfusslink3"/>
            <w:rFonts w:ascii="Garamond" w:hAnsi="Garamond" w:cs="Arial"/>
            <w:b/>
            <w:bCs/>
            <w:i/>
            <w:iCs/>
          </w:rPr>
          <w:t>Les modernes parlent souvent, par hyperbole, de la magie du pinceau ou du ciseau d'un grand artiste et, en général, de la magie de l'art. Entendu au sens propre, qui est celui d'une contrainte mystique exercée par la volonté de l'homme sur d'autres volontés ou sur les choses, cette expression n'est plus admissible; mais nous avons vu qu'elle était autrefois rigoureusement vraie, du moins dans l'opinion des artistes.</w:t>
        </w:r>
        <w:r w:rsidRPr="00751AC0">
          <w:rPr>
            <w:rStyle w:val="innerfusslink3"/>
            <w:rFonts w:ascii="Garamond" w:hAnsi="Garamond" w:cs="Arial"/>
            <w:b/>
            <w:bCs/>
          </w:rPr>
          <w:t>« (Ibid., 136.)</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4</w:t>
      </w:r>
    </w:p>
    <w:p w:rsidR="00B6748F" w:rsidRPr="00751AC0" w:rsidRDefault="00B6748F" w:rsidP="00B6748F">
      <w:pPr>
        <w:rPr>
          <w:rFonts w:ascii="Garamond" w:hAnsi="Garamond"/>
          <w:color w:val="000000"/>
          <w:lang w:val="en-GB"/>
        </w:rPr>
      </w:pPr>
      <w:r w:rsidRPr="00751AC0">
        <w:rPr>
          <w:rFonts w:ascii="Garamond" w:hAnsi="Garamond"/>
          <w:color w:val="000000"/>
        </w:rPr>
        <w:t xml:space="preserve">Die erste Weltauffassung, welche den Menschen gelang, die des Animismus, war also eine psychologische, sie bedurfte noch keiner Wissenschaft zu ihrer Begründung, denn Wissenschaft setzt erst ein, wenn man eingesehen hat, daß man die Welt nicht kennt und darum nach Wegen suchen muß, um sie kennenzulernen. </w:t>
      </w:r>
      <w:r w:rsidRPr="00751AC0">
        <w:rPr>
          <w:rFonts w:ascii="Garamond" w:hAnsi="Garamond"/>
          <w:color w:val="000000"/>
          <w:lang w:val="en-GB"/>
        </w:rPr>
        <w:t xml:space="preserve">Der Animismus war aber dem primitiven Menschen natürlich und selbstgewiß; er wußte, wie die Dinge der Welt sind, nämlich so, wie der Mensch sich selbst verspürte. Wir sind also darauf vorbereitet zu finden, daß der primitive Mensch Strukturverhältnisse seiner eigenen Psyche in die Außenwelt verlegte </w:t>
      </w:r>
      <w:hyperlink r:id="rId53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Durch sogenannte endopsychische Wahrnehmung erkannte.</w:t>
        </w:r>
      </w:hyperlink>
      <w:r w:rsidRPr="00751AC0">
        <w:rPr>
          <w:rFonts w:ascii="Garamond" w:hAnsi="Garamond"/>
          <w:color w:val="000000"/>
          <w:lang w:val="en-GB"/>
        </w:rPr>
        <w:t>, und dürfen anderseits den Versuch machen, was der Animismus von der Natur der Dinge lehrt, in die menschliche Seele zurückzuversetzen.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Die Technik des Animismus, die Magie, zeigt uns am deutlichsten und unvermengtesten die Absicht, den realen Dingen die Gesetze des Seelenlebens aufzuzwingen, wobei Geister noch keine Rolle spielen müssen, während auch Geister zu Objekten magischer Behandlung genommen werden können. Die Voraussetzungen der Magie sind also ursprünglicher und älter als die Geisterlehre, die den Kern des Animismus bildet. Unsere psychoanalytische Betrachtung trifft hier mit einer Lehre von R. R. Marett zusammen, welcher ein </w:t>
      </w:r>
      <w:r w:rsidRPr="00751AC0">
        <w:rPr>
          <w:rFonts w:ascii="Garamond" w:hAnsi="Garamond"/>
          <w:i/>
          <w:iCs/>
          <w:color w:val="000000"/>
          <w:lang w:val="en-GB"/>
        </w:rPr>
        <w:t>präanimistisches</w:t>
      </w:r>
      <w:r w:rsidRPr="00751AC0">
        <w:rPr>
          <w:rFonts w:ascii="Garamond" w:hAnsi="Garamond"/>
          <w:color w:val="000000"/>
          <w:lang w:val="en-GB"/>
        </w:rPr>
        <w:t xml:space="preserve"> Stadium dem Animismus vorhergehen läßt, dessen Charakter am besten durch den Namen </w:t>
      </w:r>
      <w:r w:rsidRPr="00751AC0">
        <w:rPr>
          <w:rFonts w:ascii="Garamond" w:hAnsi="Garamond"/>
          <w:i/>
          <w:iCs/>
          <w:color w:val="000000"/>
          <w:lang w:val="en-GB"/>
        </w:rPr>
        <w:t>Animatismus</w:t>
      </w:r>
      <w:r w:rsidRPr="00751AC0">
        <w:rPr>
          <w:rFonts w:ascii="Garamond" w:hAnsi="Garamond"/>
          <w:color w:val="000000"/>
          <w:lang w:val="en-GB"/>
        </w:rPr>
        <w:t xml:space="preserve"> (Lehre von der allgemeinen Belebtheit) angedeutet wird. Es ist wenig mehr aus der Erfahrung über den Präanimismus zu sagen, da man noch kein Volk angetroffen hat, welches der Geistervorstellungen entbehrte </w:t>
      </w:r>
      <w:hyperlink r:id="rId53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R. R. Marett (1900). – Vgl. Wundt (1906, p. 171 u. ff.).</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Während die Magie noch alle Allmacht den Gedanken vorbehält, hat der Animismus einen Teil dieser Allmacht den Geistern abgetreten und damit den Weg zur Bildung einer Religion eingeschlagen. Was soll nun den Primitiven zu dieser ersten Verzichtleistung bewogen haben? Kaum die Einsicht in die Unrichtigkeit seiner Voraussetzungen, denn er behält ja die magische Technik bei.</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Geister und Dämonen sind, wie an anderer Stelle angedeutet wurde, nichts als die Projektionen seiner Gefühlsregungen </w:t>
      </w:r>
      <w:hyperlink r:id="rId53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Wir nehmen an, daß in diesem frühen narzißtischen Stadium Besetzungen aus libidinösen und anderen Erregungsquellen vielleicht noch ununterscheidbar miteinander vereinigt sind.</w:t>
        </w:r>
      </w:hyperlink>
      <w:r w:rsidRPr="00751AC0">
        <w:rPr>
          <w:rFonts w:ascii="Garamond" w:hAnsi="Garamond"/>
          <w:color w:val="000000"/>
          <w:lang w:val="en-GB"/>
        </w:rPr>
        <w:t xml:space="preserve">; er macht seine Affektbesetzungen zu Personen, bevölkert mit ihnen die Welt und findet nun seine inneren seelischen Vorgänge außer seiner wieder, ganz ähnlich wie der geistreiche Paranoiker Schreber, der die Bindungen und Lösungen seiner Libido in den Schicksalen der von ihm kombinierten »Gottesstrahlen« gespiegelt fand </w:t>
      </w:r>
      <w:hyperlink r:id="rId53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Schreber, Denkwürdigkeiten eines Nervenkranken (1903). – Freud, ›Psychoanalytische Bemerkungen über einen autobiographisch beschriebenen Fall von Paranoia‹ (1911).</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wollen hier wie bei einem früheren Anlasse </w:t>
      </w:r>
      <w:hyperlink r:id="rId53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die letztzitierte Abhandlung über Schreber (Freud, 1911).</w:t>
        </w:r>
      </w:hyperlink>
      <w:r w:rsidRPr="00751AC0">
        <w:rPr>
          <w:rFonts w:ascii="Garamond" w:hAnsi="Garamond"/>
          <w:color w:val="000000"/>
          <w:lang w:val="en-GB"/>
        </w:rPr>
        <w:t xml:space="preserve"> dem Problem ausweichen, woher die Neigung überhaupt rührt, seelische Vorgänge nach außen zu projizieren. Der einen Annahme dürfen wir uns aber getrauen, daß diese Neigung dort eine Verstärkung erfährt, wo die Projektion den Vorteil einer psychischen Erleichterung mit sich bringt. Ein solcher Vorteil ist mit Bestimmtheit zu erwarten, wenn die nach Allmacht strebenden Regungen in Konflikt miteinander geraten sind; dann können sie offenbar nicht alle allmächtig werden. Der Krankheitsprozeß der Paranoia bedient sich tatsächlich des Mechanismus der Projektion, um solche im Seelenleben entstandenen Konflikte zu erledigen. Nun ist der vorbildliche Fall eines solchen Konflikts der zwischen den beiden Gliedern eines Gegensatzpaares, der Fall der ambivalenten Einstellung, den wir in der Situation des Trauernden beim Tode eines teuern Angehörigen eingehend zergliedert haben. Ein solcher Fall wird uns besonders geeignet scheinen, die Schöpfung von Projektionsgebilden zu motivieren. Wir treffen hier wiederum mit Meinungen der Autoren zusammen, welche die bösen Geister für die erstgeborenen unter den Geistern erklären und die Entstehung der Seelenvorstellungen aus dem Eindruck des Todes auf die Überlebenden ableiten. Wir machen nur den einen Unterschied, daß wir nicht das intellektuelle Problem voranstellen, welches der Tod dem Lebenden aufgibt, sondern die zur Erforschung treibende Kraft in den Gefühlskonflikt verlegen, in welchen diese Situation den Überlebenden stürzt.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erste theoretische Leistung des Menschen – die Schöpfung der Geister – würde also aus derselben Quelle entspringen wie die ersten sittlichen Beschränkungen, denen er sich unterwirft, die Tabuvorschriften. Doch soll die Gleichheit des Ursprungs nichts für die Gleichzeitigkeit der Entstehung präjudizieren. Wenn es wirklich die Situation des Überlebenden gegen den Toten war, die den primitiven Menschen zuerst nachdenklich machte, ihn nötigte, einen Teil seiner Allmacht an die Geister abzugeben und ein Stück der freien Willkür seines Handelns zu opfern, so wären diese Kulturschöpfungen eine erste Anerkennung der ›</w:t>
      </w:r>
      <w:r w:rsidRPr="00751AC0">
        <w:rPr>
          <w:rFonts w:ascii="Garamond" w:hAnsi="Garamond"/>
          <w:color w:val="000000"/>
        </w:rPr>
        <w:t>Ανάγχη</w:t>
      </w:r>
      <w:r w:rsidRPr="00751AC0">
        <w:rPr>
          <w:rFonts w:ascii="Garamond" w:hAnsi="Garamond"/>
          <w:color w:val="000000"/>
          <w:lang w:val="en-GB"/>
        </w:rPr>
        <w:t xml:space="preserve">‹ </w:t>
      </w:r>
      <w:hyperlink r:id="rId53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griechisch: Notwendigkeit</w:t>
        </w:r>
      </w:hyperlink>
      <w:r w:rsidRPr="00751AC0">
        <w:rPr>
          <w:rFonts w:ascii="Garamond" w:hAnsi="Garamond"/>
          <w:color w:val="000000"/>
          <w:lang w:val="en-GB"/>
        </w:rPr>
        <w:t xml:space="preserve">, die sich dem menschlichen </w:t>
      </w:r>
      <w:r w:rsidRPr="00751AC0">
        <w:rPr>
          <w:rFonts w:ascii="Garamond" w:hAnsi="Garamond"/>
          <w:color w:val="000000"/>
          <w:lang w:val="en-GB"/>
        </w:rPr>
        <w:lastRenderedPageBreak/>
        <w:t>Narzißmus widersetzt. Der Primitive würde sich vor der Übermacht des Todes beugen mit derselben Geste, durch die er diesen zu verleugnen scheint.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Wenn wir den Mut zur weiteren Ausbeutung unserer Voraussetzungen haben, können wir fragen, welches wesentliche Stück unserer psychologischen Struktur in der Projektionsschöpfung der Seelen und Geister seine Spiegelung und Wiederkehr findet. Es ist dann schwer zu bestreiten, daß die primitive Seelenvorstellung, soweit sie auch noch von der späteren völlig immateriellen Seele absteht, doch im wesentlichen mit dieser zusammentrifft, also Person oder Ding als eine Zweiheit auffaßt, auf deren beide Bestandteile die bekannten Eigenschaften und Veränderungen des Ganzen verteilt sind. Diese ursprüngliche Dualität – nach einem Ausdruck von H. Spencer – ist bereits identisch mit jenem Dualismus, der sich in der uns geläufigen Trennung von Geist und Körper kundgibt und dessen unzerstörbare sprachliche Äußerungen wir z. B. in der Beschreibung des Ohnmächtigen oder Rasenden: </w:t>
      </w:r>
      <w:r w:rsidRPr="00751AC0">
        <w:rPr>
          <w:rFonts w:ascii="Garamond" w:hAnsi="Garamond"/>
          <w:i/>
          <w:iCs/>
          <w:color w:val="000000"/>
          <w:lang w:val="en-GB"/>
        </w:rPr>
        <w:t>er sei nicht bei sich</w:t>
      </w:r>
      <w:r w:rsidRPr="00751AC0">
        <w:rPr>
          <w:rFonts w:ascii="Garamond" w:hAnsi="Garamond"/>
          <w:color w:val="000000"/>
          <w:lang w:val="en-GB"/>
        </w:rPr>
        <w:t xml:space="preserve">, erkennen </w:t>
      </w:r>
      <w:hyperlink r:id="rId53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H. Spencer, l. c., p. 179.</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Was wir so, ganz ähnlich wie der Primitive, in die äußere Realität projizieren, kann kaum etwas anderes sein als die Erkenntnis eines Zustandes, in dem ein Ding den Sinnen und dem Bewußtsein gegeben, </w:t>
      </w:r>
      <w:r w:rsidRPr="00751AC0">
        <w:rPr>
          <w:rFonts w:ascii="Garamond" w:hAnsi="Garamond"/>
          <w:i/>
          <w:iCs/>
          <w:color w:val="000000"/>
          <w:lang w:val="en-GB"/>
        </w:rPr>
        <w:t>präsent</w:t>
      </w:r>
      <w:r w:rsidRPr="00751AC0">
        <w:rPr>
          <w:rFonts w:ascii="Garamond" w:hAnsi="Garamond"/>
          <w:color w:val="000000"/>
          <w:lang w:val="en-GB"/>
        </w:rPr>
        <w:t xml:space="preserve"> ist, neben welchem ein anderer besteht, in dem dasselbe </w:t>
      </w:r>
      <w:r w:rsidRPr="00751AC0">
        <w:rPr>
          <w:rFonts w:ascii="Garamond" w:hAnsi="Garamond"/>
          <w:i/>
          <w:iCs/>
          <w:color w:val="000000"/>
          <w:lang w:val="en-GB"/>
        </w:rPr>
        <w:t>latent</w:t>
      </w:r>
      <w:r w:rsidRPr="00751AC0">
        <w:rPr>
          <w:rFonts w:ascii="Garamond" w:hAnsi="Garamond"/>
          <w:color w:val="000000"/>
          <w:lang w:val="en-GB"/>
        </w:rPr>
        <w:t xml:space="preserve"> ist, aber wiedererscheinen kann, also die Koexistenz von Wahrnehmen und Erinnern, oder, ins Allgemeine ausgedehnt, die Existenz </w:t>
      </w:r>
      <w:r w:rsidRPr="00751AC0">
        <w:rPr>
          <w:rFonts w:ascii="Garamond" w:hAnsi="Garamond"/>
          <w:i/>
          <w:iCs/>
          <w:color w:val="000000"/>
          <w:lang w:val="en-GB"/>
        </w:rPr>
        <w:t>unbewußter</w:t>
      </w:r>
      <w:r w:rsidRPr="00751AC0">
        <w:rPr>
          <w:rFonts w:ascii="Garamond" w:hAnsi="Garamond"/>
          <w:color w:val="000000"/>
          <w:lang w:val="en-GB"/>
        </w:rPr>
        <w:t xml:space="preserve"> Seelenvorgänge neben den </w:t>
      </w:r>
      <w:r w:rsidRPr="00751AC0">
        <w:rPr>
          <w:rFonts w:ascii="Garamond" w:hAnsi="Garamond"/>
          <w:i/>
          <w:iCs/>
          <w:color w:val="000000"/>
          <w:lang w:val="en-GB"/>
        </w:rPr>
        <w:t>bewußten</w:t>
      </w:r>
      <w:hyperlink r:id="rId53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Vgl. meine kleine Schrift: ›A note on the Unconscious in Psycho-Analysis‹ aus den </w:t>
        </w:r>
        <w:r w:rsidRPr="00751AC0">
          <w:rPr>
            <w:rStyle w:val="innerfusslink3"/>
            <w:rFonts w:ascii="Garamond" w:hAnsi="Garamond" w:cs="Arial"/>
            <w:b/>
            <w:bCs/>
            <w:i/>
            <w:iCs/>
            <w:lang w:val="en-GB"/>
          </w:rPr>
          <w:t>Proceedings</w:t>
        </w:r>
        <w:r w:rsidRPr="00751AC0">
          <w:rPr>
            <w:rStyle w:val="innerfusslink3"/>
            <w:rFonts w:ascii="Garamond" w:hAnsi="Garamond" w:cs="Arial"/>
            <w:b/>
            <w:bCs/>
            <w:lang w:val="en-GB"/>
          </w:rPr>
          <w:t xml:space="preserve"> of the Society for Psychical Research, Part LXVI, vol. XXVI, London 1912.</w:t>
        </w:r>
      </w:hyperlink>
      <w:r w:rsidRPr="00751AC0">
        <w:rPr>
          <w:rFonts w:ascii="Garamond" w:hAnsi="Garamond"/>
          <w:color w:val="000000"/>
          <w:lang w:val="en-GB"/>
        </w:rPr>
        <w:t>. Man könnte sagen, der »Geist« einer Person oder eines Dinges reduziere sich in letzter Analyse auf deren Fähigkeit, erinnert und vorgestellt zu werden, wenn sie der Wahrnehmung entzogen sind.</w:t>
      </w:r>
    </w:p>
    <w:p w:rsidR="00B6748F" w:rsidRPr="00751AC0" w:rsidRDefault="00B6748F" w:rsidP="00B6748F">
      <w:pPr>
        <w:rPr>
          <w:rFonts w:ascii="Garamond" w:hAnsi="Garamond"/>
          <w:color w:val="000000"/>
          <w:lang w:val="en-GB"/>
        </w:rPr>
      </w:pPr>
      <w:r w:rsidRPr="00751AC0">
        <w:rPr>
          <w:rFonts w:ascii="Garamond" w:hAnsi="Garamond"/>
          <w:color w:val="000000"/>
          <w:lang w:val="en-GB"/>
        </w:rPr>
        <w:t>Man wird nun freilich weder von der primitiven noch von der heutigen Vorstellung der »Seele« erwarten dürfen, daß ihre Abgrenzung vom anderen Teile die Linien einhalte, welche unsere heutige Wissenschaft zwischen der bewußten und der unbewußten Seelentätigkeit zieht. Die animistische Seele vereinigt vielmehr Bestimmungen von beiden Seiten in sich. Ihre Flüchtigkeit und Beweglichkeit, ihre Fähigkeit, den Körper zu verlassen, dauernd oder vorübergehend von einem anderen Leibe Besitz zu nehmen, dies sind Charaktere, die unverkennbar an das Wesen des Bewußtseins erinnern. Aber die Art, wie sie sich hinter der persönlichen Erscheinung verborgen hält, mahnt an das Unbewußte; die Unveränderlichkeit und Unzerstörbarkeit schreiben wir heute nicht mehr den bewußten, sondern den unbewußten Vorgängen zu, und diese betrachten wir auch als die eigentlichen Träger der seelischen Tätigkeit.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sagten vorhin, der Animismus sei ein Denksystem, die erste vollständige Theorie der Welt, und wollen nun aus der psychoanalytischen Auffassung eines solchen Systems gewisse Folgerungen ableiten. Die Erfahrung jedes unserer Tage kann uns die Haupteigenschaften des »Systems« immer von neuem vorführen. Wir träumen in der Nacht und haben es erlernt, am Tage den Traum zu deuten. Der Traum kann, ohne seine Natur zu verleugnen, wirr und zusammenhanglos erscheinen, er kann aber auch im Gegenteil die Ordnung der Eindrücke eines Erlebnisses nachahmen, eine Begebenheit aus der anderen ableiten und ein Stück seines Inhaltes auf ein anderes beziehen. Dies scheint ihm besser oder schlechter gelungen zu sein, fast niemals gelingt es so vollkommen, daß nicht irgendwo eine Absurdität, ein Riß im Gefüge zum Vorschein käme. Wenn wir den Traum der Deutung unterziehen, erfahren wir, daß die inkonstante und ungleichmäßige Anordnung der Traumbestandteile auch etwas für das Verständnis des Traumes recht Unwichtiges ist. Das Wesentliche am Traum sind die Traumgedanken, die allerdings sinnreich, zusammenhängend und geordnet sind. Aber deren Ordnung ist eine ganz andere als die von uns am manifesten Trauminhalt erinnerte. Der Zusammenhang der Traumgedanken ist aufgegeben worden und kann dann entweder überhaupt verloren bleiben oder durch den neuen Zusammenhang des Trauminhalts ersetzt werden. Fast regelmäßig hat, außer der Verdichtung der Traumelemente, eine Umordnung derselben stattgefunden, die von der früheren Anordnung mehr oder weniger unabhängig ist. </w:t>
      </w:r>
      <w:r w:rsidRPr="00751AC0">
        <w:rPr>
          <w:rFonts w:ascii="Garamond" w:hAnsi="Garamond"/>
          <w:color w:val="000000"/>
          <w:lang w:val="en-GB"/>
        </w:rPr>
        <w:lastRenderedPageBreak/>
        <w:t xml:space="preserve">Wir sagen abschließend, das, was durch die Traumarbeit aus dem Material der Traumgedanken geworden ist, hat eine neue Beeinflussung erfahren, die sogenannte » </w:t>
      </w:r>
      <w:r w:rsidRPr="00751AC0">
        <w:rPr>
          <w:rFonts w:ascii="Garamond" w:hAnsi="Garamond"/>
          <w:i/>
          <w:iCs/>
          <w:color w:val="000000"/>
          <w:lang w:val="en-GB"/>
        </w:rPr>
        <w:t>sekundäre Bearbeitung</w:t>
      </w:r>
      <w:r w:rsidRPr="00751AC0">
        <w:rPr>
          <w:rFonts w:ascii="Garamond" w:hAnsi="Garamond"/>
          <w:color w:val="000000"/>
          <w:lang w:val="en-GB"/>
        </w:rPr>
        <w:t>«, deren Absicht offenbar dahin geht, die aus der Traumarbeit resultierende Zusammenhanglosigkeit und Unverständlichkeit zugunsten eines neuen »Sinnes« zu beseitigen. Dieser neue, durch die sekundäre Bearbeitung erzielte Sinn ist nicht mehr der Sinn der Traumgedanken.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sekundäre Bearbeitung des Produkts der Traumarbeit ist ein vortreffliches Beispiel für das Wesen und die Ansprüche eines Systems. Eine intellektuelle Funktion in uns fordert Vereinheitlichung, Zusammenhang und Verständlichkeit von jedem Material der Wahrnehmung oder des Denkens, dessen sie sich bemächtigt, und scheut sich nicht, einen unrichtigen Zusammenhang herzustellen, wenn sie infolge besonderer Umstände den richtigen nicht erfassen kann. Wir kennen solche Systembildungen nicht nur vom Traume, sondern auch von den Phobien, dem Zwangsdenken und den Formen des Wahnes. Bei den Wahnerkrankungen (der Paranoia) ist die Systembildung das Sinnfälligste, sie beherrscht das Krankheitsbild, sie darf aber auch bei den anderen Formen von Neuropsychosen nicht übersehen werden. In allen Fällen können wir dann nachweisen, daß eine </w:t>
      </w:r>
      <w:r w:rsidRPr="00751AC0">
        <w:rPr>
          <w:rFonts w:ascii="Garamond" w:hAnsi="Garamond"/>
          <w:i/>
          <w:iCs/>
          <w:color w:val="000000"/>
          <w:lang w:val="en-GB"/>
        </w:rPr>
        <w:t>Umordnung</w:t>
      </w:r>
      <w:r w:rsidRPr="00751AC0">
        <w:rPr>
          <w:rFonts w:ascii="Garamond" w:hAnsi="Garamond"/>
          <w:color w:val="000000"/>
          <w:lang w:val="en-GB"/>
        </w:rPr>
        <w:t xml:space="preserve"> des psychischen Materials zu einem neuen Ziel stattgefunden hat, oft eine im Grunde recht gewaltsame, wenn sie nur unter dem Gesichtspunkt des Systems begreiflich erscheint. Es wird dann zum besten Kennzeichen der Systembildung, daß jedes der Ergebnisse desselben mindestens zwei Motivierungen aufdecken läßt, eine Motivierung aus den Voraussetzungen des Systems – also eventuell eine wahnhafte – und eine versteckte, die wir aber als die eigentlich wirksame, reale anerkennen müssen.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Zur Erläuterung ein Beispiel aus der Neurose: In der Abhandlung über das Tabu erwähnte ich eine Kranke, deren Zwangsverbote die schönsten Übereinstimmungen mit dem Tabu der Maori zeigen. (p. 38) Die Neurose dieser Frau ist auf ihren Mann gerichtet; sie gipfelt in der Abwehr des unbewußten Wunsches nach seinem Tod. Ihre manifeste, systematische Phobie gilt aber der Erwähnung des Todes überhaupt, wobei ihr Mann völlig ausgeschaltet ist und niemals Gegenstand bewußter Sorge wird. Eines Tages hört sie den Mann den Auftrag erteilen, seine stumpf gewordenen Rasiermesser sollen in einen bestimmten Laden zum Schleifen gebracht werden. Von einer eigentümlichen Unruhe getrieben, macht sie sich selbst auf den Weg nach diesem Laden und fordert nach ihrer Rückkehr von dieser Rekognoszierung von ihrem Manne, er müsse diese Messer für alle Zeiten aus dem Wege räumen, denn sie habe entdeckt, daß neben dem von ihm genannten Laden sich eine Niederlage von Särgen, Trauerwaren u. dgl. befindet. Die Messer seien durch seine Absicht in eine unlösbare Verbindung mit dem Gedanken an den Tod geraten. Dies ist nun die </w:t>
      </w:r>
      <w:r w:rsidRPr="00751AC0">
        <w:rPr>
          <w:rFonts w:ascii="Garamond" w:hAnsi="Garamond"/>
          <w:i/>
          <w:iCs/>
          <w:color w:val="000000"/>
          <w:lang w:val="en-GB"/>
        </w:rPr>
        <w:t>systematische</w:t>
      </w:r>
      <w:r w:rsidRPr="00751AC0">
        <w:rPr>
          <w:rFonts w:ascii="Garamond" w:hAnsi="Garamond"/>
          <w:color w:val="000000"/>
          <w:lang w:val="en-GB"/>
        </w:rPr>
        <w:t xml:space="preserve"> Motivierung des Verbotes. Wir dürfen sicher sein, daß die Kranke auch ohne die Entdeckung jener Nachbarschaft das Verbot der Rasiermesser nach Hause gebracht hätte. Denn es hätte dazu hingereicht, daß sie auf dem Wege nach dem Laden einem Leichenwagen, einer Person in Trauerkleidung oder einer Trägerin eines Leichenkranzes begegnete. Das Netz der Bedingungen war weit genug ausgespannt, um die Beute in jedem Falle zu fangen; es lag dann an ihr, ob sie es zuziehen wollte oder nicht. Man konnte mit Sicherheit feststellen, daß sie für andere Fälle die Bedingungen des Verbotes nicht aktivierte. Dann hieß es eben, es sei ein »besserer Tag« gewesen. Die </w:t>
      </w:r>
      <w:r w:rsidRPr="00751AC0">
        <w:rPr>
          <w:rFonts w:ascii="Garamond" w:hAnsi="Garamond"/>
          <w:i/>
          <w:iCs/>
          <w:color w:val="000000"/>
          <w:lang w:val="en-GB"/>
        </w:rPr>
        <w:t>wirkliche</w:t>
      </w:r>
      <w:r w:rsidRPr="00751AC0">
        <w:rPr>
          <w:rFonts w:ascii="Garamond" w:hAnsi="Garamond"/>
          <w:color w:val="000000"/>
          <w:lang w:val="en-GB"/>
        </w:rPr>
        <w:t xml:space="preserve"> Ursache des Verbotes der Rasiermesser war natürlich, wie wir mit Leichtigkeit erraten, ihr Sträuben gegen eine Lustbetonung der Vorstellung, ihr Mann könne sich mit dem geschärften Rasiermesser den Hals abschneiden.</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In ganz ähnlicher Weise vervollständigt und detailliert sich eine Gehhemmung, eine Abasie oder Agoraphobie, wenn es diesem Symptom einmal gelungen ist, sich zur Vertretung eines unbewußten Wunsches und der Abwehr gegen denselben aufzuschwingen. Was sonst noch an unbewußten Phantasien und an wirksamen Reminiszenzen in dem Kranken vorhanden ist, drängt diesem einmal eröffneten Ausweg zum symptomatischen Ausdruck zu und bringt sich in zweckmäßiger Neuordnung im Rahmen der Gehstörung unter. Es wäre also ein vergebliches, eigentlich ein törichtes Beginnen, wenn man das symptomatische Gefüge und die Einzelheiten z. B. einer Agoraphobie aus der Grundvoraussetzung </w:t>
      </w:r>
      <w:r w:rsidRPr="00B6748F">
        <w:rPr>
          <w:rFonts w:ascii="Garamond" w:hAnsi="Garamond"/>
          <w:color w:val="000000"/>
          <w:lang w:val="en-GB"/>
        </w:rPr>
        <w:lastRenderedPageBreak/>
        <w:t xml:space="preserve">derselben verstehen wollte. Alle Konsequenz und Strenge des Zusammenhanges ist doch nur scheinbar. Schärfere Beobachtung kann, wie bei der Fassadenbildung des Traumes, die ärgsten Inkonsequenzen und Willkürlichkeiten der Symptombildung aufdecken. </w:t>
      </w:r>
      <w:r w:rsidRPr="00751AC0">
        <w:rPr>
          <w:rFonts w:ascii="Garamond" w:hAnsi="Garamond"/>
          <w:color w:val="000000"/>
          <w:lang w:val="en-GB"/>
        </w:rPr>
        <w:t>Die Einzelheiten einer solchen systematischen Phobie entnehmen ihre reale Motivierung versteckten Determinanten, die mit der Gehhemmung nichts zu tun haben müssen, und darum fallen auch die Gestaltungen einer solchen Phobie bei verschiedenen Personen so mannigfaltig und so widersprechend aus.</w:t>
      </w:r>
    </w:p>
    <w:p w:rsidR="00B6748F" w:rsidRPr="00751AC0" w:rsidRDefault="00B6748F" w:rsidP="00B6748F">
      <w:pPr>
        <w:rPr>
          <w:rFonts w:ascii="Garamond" w:hAnsi="Garamond"/>
          <w:color w:val="000000"/>
          <w:lang w:val="en-GB"/>
        </w:rPr>
      </w:pPr>
      <w:r w:rsidRPr="00751AC0">
        <w:rPr>
          <w:rFonts w:ascii="Garamond" w:hAnsi="Garamond"/>
          <w:color w:val="000000"/>
          <w:lang w:val="en-GB"/>
        </w:rPr>
        <w:t>Suchen wir nun den Rückweg zu dem uns beschäftigenden System des Animismus, so schließen wir aus unseren Einsichten über andere psychologische Systeme, daß die Motivierung einer einzelnen Sitte oder Vorschrift durch den »Aberglauben« auch bei den Primitiven nicht die einzige und die eigentliche Motivierung zu sein braucht und uns der Verpflichtung nicht überhebt, nach den versteckten Motiven derselben zu suchen. Unter der Herrschaft eines animistischen Systems ist es nicht anders möglich, als daß jede Vorschrift und jede Tätigkeit eine systematische Begründung erhalte, welche wir heute eine »abergläubische« heißen. »Aberglaube« ist wie »Angst«, wie »Traum«, wie »Dämon« eine der psychologischen Vorläufigkeiten, die vor der psychoanalytischen Forschung zergangen sind. Kommt man hinter diese die Erkenntnis wie Wandschirme abwehrenden Konstruktionen, so ahnt man, daß dem Seelenleben und der Kulturhöhe der Wilden ein Stück verdienter Würdigung bisher vorenthalten wurde.</w:t>
      </w:r>
    </w:p>
    <w:p w:rsidR="00B6748F" w:rsidRPr="00751AC0" w:rsidRDefault="00B6748F" w:rsidP="00B6748F">
      <w:pPr>
        <w:rPr>
          <w:rFonts w:ascii="Garamond" w:hAnsi="Garamond"/>
          <w:color w:val="000000"/>
          <w:lang w:val="en-GB"/>
        </w:rPr>
      </w:pPr>
      <w:r w:rsidRPr="00751AC0">
        <w:rPr>
          <w:rFonts w:ascii="Garamond" w:hAnsi="Garamond"/>
          <w:color w:val="000000"/>
          <w:lang w:val="en-GB"/>
        </w:rPr>
        <w:t>Betrachtet man die Triebverdrängung als ein Maß des erreichten Kulturniveaus, so muß man zugestehen, daß auch unter dem animistischen System Fortschritte und Entwicklungen vorgefallen sind, die man mit Unrecht ihrer abergläubischen Motivierung wegen geringschätzt. Wenn wir hören, daß Krieger eines wilden Volksstammes sich die größte Keuschheit und Reinlichkeit auferlegen, sobald sie sich auf den Kriegspfad begeben (Frazer, 1911, p. 158), so wird uns die Erklärung nahegelegt, daß sie ihren Unrat beseitigen, damit sich der Feind dieses Teiles ihrer Person nicht bemächtige, um ihnen auf magische Weise zu schaden, und für ihre Enthaltsamkeit sollen wir analoge abergläubische Motivierungen vermuten. Nichtsdestoweniger bleibt die Tatsache des Triebverzichts bestehen, und wir verstehen den Fall wohl besser, wenn wir annehmen, daß der wilde Krieger sich solche Beschränkungen zur Ausgleichung auferlegt, weil er im Begriffe steht, sich die sonst untersagte Befriedigung grausamer und feindseliger Regungen im vollen Ausmaße zu gestatten. Dasselbe gilt für die zahlreichen Fälle von sexueller Beschränkung, solange man mit schwierigen oder verantwortlichen Arbeiten beschäftigt ist (ibid., p. 200 ). Mag sich die Begründung dieser Verbote immerhin auf einen magischen Zusammenhang berufen, die fundamentale Vorstellung, durch Verzicht auf Triebbefriedigung größere Kraft zu gewinnen, bleibt doch unverkennbar, und die hygienische Wurzel des Verbotes ist neben der magischen Rationalisierung derselben nicht zu vernachlässigen. Wenn die Männer eines wilden Volksstammes zur Jagd, zum Fischfang, zum Krieg, zum Einsammeln kostbarer Pflanzenstoffe ausgezogen sind, so bleiben ihre Frauen unterdes im Hause zahlreichen drückenden Beschränkungen unterworfen, denen von den Wilden selbst eine in die Ferne reichende, sympathetische Wirkung auf das Gelingen der Expedition zugeschrieben wird. Doch gehört wenig Scharfsinn dazu, um zu erraten, daß jenes in die Ferne wirkende Moment kein anderes als das Heimwärtsdenken, die Sehnsucht der Abwesenden ist und daß hinter diesen Einkleidungen die gute psychologische Einsicht steckt, die Männer werden ihr Bestes nur dann tun, wenn sie über den Verbleib der unbeaufsichtigten Frauen vollauf beruhigt sind. Andere Male wird es direkt, ohne magische Motivierung ausgesprochen, daß die eheliche Untreue der Frau die Bemühungen des in verantwortlicher Tätigkeit abwesenden Mannes zum Scheitern bringt.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unzähligen Tabuvorschriften, denen die Frauen der Wilden während ihrer Menstruation unterliegen, werden durch die abergläubische Scheu vor dem Blute motiviert und haben in ihr wohl auch eine reale Begründung. Aber es wäre unrecht, die Möglichkeit zu übersehen, daß diese Blutscheu hier auch ästhetischen und hygienischen Absichten dient, die sich in allen Fällen mit magischen Motivierungen drapieren müßten.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Wir täuschen uns wohl nicht darüber, daß wir uns durch solche Erklärungsversuche dem Vorwurfe aussetzen, daß wir den heutigen Wilden eine Feinheit der seelischen Tätigkeiten zumuten, die weit über die Wahrscheinlichkeit hinausgeht. Allein ich meine, es könnte uns mit der Psychologie dieser Völker, die auf der animistischen Stufe stehengeblieben sind, leicht so ergehen wie mit dem Seelenleben des Kindes, das wir Erwachsene nicht mehr verstehen und dessen Reichhaltigkeit und Feinfühligkeit wir darum so sehr unterschätzt haben.</w:t>
      </w:r>
    </w:p>
    <w:p w:rsidR="00B6748F" w:rsidRPr="00751AC0" w:rsidRDefault="00B6748F" w:rsidP="00B6748F">
      <w:pPr>
        <w:rPr>
          <w:rFonts w:ascii="Garamond" w:hAnsi="Garamond"/>
          <w:color w:val="000000"/>
          <w:lang w:val="en-GB"/>
        </w:rPr>
      </w:pPr>
      <w:r w:rsidRPr="00751AC0">
        <w:rPr>
          <w:rFonts w:ascii="Garamond" w:hAnsi="Garamond"/>
          <w:color w:val="000000"/>
          <w:lang w:val="en-GB"/>
        </w:rPr>
        <w:t>Ich will noch einer Gruppe von bisher unerklärten Tabuvorschriften gedenken, weil sie eine dem Psychoanalytiker vertraute Aufklärung zuläßt. Bei vielen wilden Völkern ist es unter verschiedenen Verhältnissen verboten, scharfe Waffen und schneidende Instrumente im Hause zu halten (Frazer, l. c., p. 237). Frazer zitiert einen deutschen Aberglauben, daß man ein Messer nicht mit der Schneide nach oben liegen lassen dürfe. Gott und die Engel könnten sich daran verletzen. Soll man in diesem Tabu nicht die Ahnung gewisser »Symptomhandlungen« erkennen, zu denen die scharfe Waffe durch unbewußte böse Regungen gebraucht werden könnte?</w:t>
      </w:r>
    </w:p>
    <w:p w:rsidR="00B6748F" w:rsidRPr="002A2E3C" w:rsidRDefault="00B6748F">
      <w:pPr>
        <w:rPr>
          <w:rFonts w:ascii="Garamond" w:hAnsi="Garamond"/>
          <w:color w:val="000000"/>
          <w:lang w:val="en-GB"/>
        </w:rPr>
      </w:pPr>
      <w:r w:rsidRPr="002A2E3C">
        <w:rPr>
          <w:rFonts w:ascii="Garamond" w:hAnsi="Garamond"/>
          <w:color w:val="000000"/>
          <w:lang w:val="en-GB"/>
        </w:rPr>
        <w:br w:type="page"/>
      </w:r>
    </w:p>
    <w:p w:rsidR="00B6748F" w:rsidRPr="00751AC0" w:rsidRDefault="00B437A1" w:rsidP="00B6748F">
      <w:pPr>
        <w:rPr>
          <w:rFonts w:ascii="Garamond" w:hAnsi="Garamond"/>
          <w:color w:val="000000"/>
        </w:rPr>
      </w:pPr>
      <w:hyperlink w:anchor="TTinhalt" w:history="1">
        <w:r w:rsidR="00B6748F" w:rsidRPr="00751AC0">
          <w:rPr>
            <w:rStyle w:val="Lienhypertexte"/>
            <w:rFonts w:ascii="Garamond" w:hAnsi="Garamond" w:cs="Arial"/>
            <w:b/>
            <w:bCs/>
          </w:rPr>
          <w:t>IV. Di</w:t>
        </w:r>
        <w:bookmarkStart w:id="135" w:name="TT4"/>
        <w:bookmarkEnd w:id="135"/>
        <w:r w:rsidR="00B6748F" w:rsidRPr="00751AC0">
          <w:rPr>
            <w:rStyle w:val="Lienhypertexte"/>
            <w:rFonts w:ascii="Garamond" w:hAnsi="Garamond" w:cs="Arial"/>
            <w:b/>
            <w:bCs/>
          </w:rPr>
          <w:t>e infantile Wiederkehr des Totemismus</w:t>
        </w:r>
      </w:hyperlink>
    </w:p>
    <w:p w:rsidR="00B6748F" w:rsidRPr="00751AC0" w:rsidRDefault="00B6748F" w:rsidP="00B6748F">
      <w:pPr>
        <w:rPr>
          <w:rFonts w:ascii="Garamond" w:hAnsi="Garamond"/>
          <w:color w:val="000000"/>
        </w:rPr>
      </w:pPr>
      <w:r w:rsidRPr="00751AC0">
        <w:rPr>
          <w:rFonts w:ascii="Garamond" w:hAnsi="Garamond"/>
          <w:color w:val="000000"/>
        </w:rPr>
        <w:t>Von der Psychoanalyse, welche zuerst die regelmäßige Überdeterminierung psychischer Akte und Bildungen aufgedeckt hat, braucht man nicht zu besorgen, daß sie versucht sein werde, etwas so Kompliziertes wie die Religion aus einem einzigen Ursprung abzuleiten. Wenn sie in notgedrungener, eigentlich pflichtgemäßer Einseitigkeit eine einzige der Quellen dieser Institution zur Anerkennung bringen will, so beansprucht sie zunächst für dieselbe die Ausschließlichkeit so wenig wie den ersten Rang unter den zusammenwirkenden Momenten. Erst eine Synthese aus verschiedenen Gebieten der Forschung kann entscheiden, welche relative Bedeutung dem hier zu erörternden Mechanismus in der Genese der Religion zuzuteilen ist; eine solche Arbeit überschreitet aber sowohl die Mittel als auch die Absicht des Psychoanalytikers.</w:t>
      </w:r>
    </w:p>
    <w:p w:rsidR="00B6748F" w:rsidRPr="00751AC0" w:rsidRDefault="00B6748F" w:rsidP="00B6748F">
      <w:pPr>
        <w:rPr>
          <w:rFonts w:ascii="Garamond" w:hAnsi="Garamond"/>
          <w:color w:val="000000"/>
          <w:lang w:val="en-GB"/>
        </w:rPr>
      </w:pPr>
      <w:r w:rsidRPr="00751AC0">
        <w:rPr>
          <w:rFonts w:ascii="Garamond" w:hAnsi="Garamond"/>
          <w:color w:val="000000"/>
          <w:lang w:val="en-GB"/>
        </w:rPr>
        <w:t>1</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der ersten Abhandlung dieser Reihe haben wir den Begriff des Totemismus kennengelernt. Wir haben gehört, daß der Totemismus ein System ist, welches bei gewissen primitiven Völkern in Australien, Amerika, Afrika die Stelle einer Religion vertritt und die Grundlage der sozialen Organisation abgibt. Wir wissen, daß der Schotte McLennan 1869 das allgemeinste Interesse für die bis dahin nur als Kuriosa gewürdigten Phänomene des Totemismus in Anspruch nahm, indem er die Vermutung aussprach, eine große Anzahl von Sitten und Gebräuchen in verschiedenen alten wie modernen Gesellschaften seien als Überreste einer totemistischen Epoche zu verstehen. Die Wissenschaft hat seither diese Bedeutung des Totemismus im vollen Umfange anerkannt. Als eine der letzten Äußerungen über diese Frage will ich eine Stelle aus den </w:t>
      </w:r>
      <w:r w:rsidRPr="00751AC0">
        <w:rPr>
          <w:rFonts w:ascii="Garamond" w:hAnsi="Garamond"/>
          <w:i/>
          <w:iCs/>
          <w:color w:val="000000"/>
          <w:lang w:val="en-GB"/>
        </w:rPr>
        <w:t>Elementen der Völkerpsychologie</w:t>
      </w:r>
      <w:r w:rsidRPr="00751AC0">
        <w:rPr>
          <w:rFonts w:ascii="Garamond" w:hAnsi="Garamond"/>
          <w:color w:val="000000"/>
          <w:lang w:val="en-GB"/>
        </w:rPr>
        <w:t xml:space="preserve"> von W. Wundt (1912, p. 139) zitieren: »Nehmen wir alles dies zusammen, so ergibt sich mit hoher Wahrscheinlichkeit der Schluß, daß die totemistische Kultur überall einmal eine Vorstufe der späteren Entwicklungen und eine Übergangsstufe zwischen dem Zustand des primitiven Menschen und dem Helden- und Götterzeitalter gebildet hat.«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Absichten der vorliegenden Abhandlungen nötigen uns zu einem tieferen Eingehen auf die Charaktere des Totemismus. Aus Gründen, welche später ersichtlich werden sollen, bevorzuge ich hier eine Darstellung von S. Reinach, der im Jahre 1900 nachstehenden </w:t>
      </w:r>
      <w:r w:rsidRPr="00751AC0">
        <w:rPr>
          <w:rFonts w:ascii="Garamond" w:hAnsi="Garamond"/>
          <w:i/>
          <w:iCs/>
          <w:color w:val="000000"/>
          <w:lang w:val="en-GB"/>
        </w:rPr>
        <w:t>Code du totemisme</w:t>
      </w:r>
      <w:r w:rsidRPr="00751AC0">
        <w:rPr>
          <w:rFonts w:ascii="Garamond" w:hAnsi="Garamond"/>
          <w:color w:val="000000"/>
          <w:lang w:val="en-GB"/>
        </w:rPr>
        <w:t xml:space="preserve"> in zwölf Artikeln, gleichsam einen Katechismus der totemistischen Religion, entworfen hat </w:t>
      </w:r>
      <w:hyperlink r:id="rId54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i/>
            <w:iCs/>
            <w:lang w:val="en-GB"/>
          </w:rPr>
          <w:t>Revue scientifique</w:t>
        </w:r>
        <w:r w:rsidRPr="00751AC0">
          <w:rPr>
            <w:rStyle w:val="innerfusslink3"/>
            <w:rFonts w:ascii="Garamond" w:hAnsi="Garamond" w:cs="Arial"/>
            <w:b/>
            <w:bCs/>
            <w:lang w:val="en-GB"/>
          </w:rPr>
          <w:t xml:space="preserve">, Oktober 1900, abgedruckt in des Autors vierbändigem Werke </w:t>
        </w:r>
        <w:r w:rsidRPr="00751AC0">
          <w:rPr>
            <w:rStyle w:val="innerfusslink3"/>
            <w:rFonts w:ascii="Garamond" w:hAnsi="Garamond" w:cs="Arial"/>
            <w:b/>
            <w:bCs/>
            <w:i/>
            <w:iCs/>
            <w:lang w:val="en-GB"/>
          </w:rPr>
          <w:t>Cultes, mythes et religions</w:t>
        </w:r>
        <w:r w:rsidRPr="00751AC0">
          <w:rPr>
            <w:rStyle w:val="innerfusslink3"/>
            <w:rFonts w:ascii="Garamond" w:hAnsi="Garamond" w:cs="Arial"/>
            <w:b/>
            <w:bCs/>
            <w:lang w:val="en-GB"/>
          </w:rPr>
          <w:t xml:space="preserve"> (1905–12, Bd. I, 17 ff.).</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1. Gewisse Tiere dürfen weder getötet noch gegessen werden, aber die Menschen ziehen Individuen dieser Tiergattungen auf und schenken ihnen Pflege.</w:t>
      </w:r>
    </w:p>
    <w:p w:rsidR="00B6748F" w:rsidRPr="00751AC0" w:rsidRDefault="00B6748F" w:rsidP="00B6748F">
      <w:pPr>
        <w:rPr>
          <w:rFonts w:ascii="Garamond" w:hAnsi="Garamond"/>
          <w:color w:val="000000"/>
          <w:lang w:val="en-GB"/>
        </w:rPr>
      </w:pPr>
      <w:r w:rsidRPr="00751AC0">
        <w:rPr>
          <w:rFonts w:ascii="Garamond" w:hAnsi="Garamond"/>
          <w:color w:val="000000"/>
          <w:lang w:val="en-GB"/>
        </w:rPr>
        <w:t>2. Ein zufällig verstorbenes Tier wird betrauert und unter den gleichen Ehrenbezeigungen bestattet wie ein Mitglied des Stammes.</w:t>
      </w:r>
    </w:p>
    <w:p w:rsidR="00B6748F" w:rsidRPr="00751AC0" w:rsidRDefault="00B6748F" w:rsidP="00B6748F">
      <w:pPr>
        <w:rPr>
          <w:rFonts w:ascii="Garamond" w:hAnsi="Garamond"/>
          <w:color w:val="000000"/>
          <w:lang w:val="en-GB"/>
        </w:rPr>
      </w:pPr>
      <w:r w:rsidRPr="00751AC0">
        <w:rPr>
          <w:rFonts w:ascii="Garamond" w:hAnsi="Garamond"/>
          <w:color w:val="000000"/>
          <w:lang w:val="en-GB"/>
        </w:rPr>
        <w:t>3. Das Speiseverbot bezieht sich gelegentlich nur auf einen bestimmten Körperteil des Tieres.</w:t>
      </w:r>
    </w:p>
    <w:p w:rsidR="00B6748F" w:rsidRPr="00751AC0" w:rsidRDefault="00B6748F" w:rsidP="00B6748F">
      <w:pPr>
        <w:rPr>
          <w:rFonts w:ascii="Garamond" w:hAnsi="Garamond"/>
          <w:color w:val="000000"/>
          <w:lang w:val="en-GB"/>
        </w:rPr>
      </w:pPr>
      <w:r w:rsidRPr="00751AC0">
        <w:rPr>
          <w:rFonts w:ascii="Garamond" w:hAnsi="Garamond"/>
          <w:color w:val="000000"/>
          <w:lang w:val="en-GB"/>
        </w:rPr>
        <w:t>4. Wenn man ein für gewöhnlich verschontes Tier unter dem Drange der Notwendigkeit töten muß, so entschuldigt man sich bei ihm und sucht die Verletzung des Tabu, den Mord, durch mannigfache Kunstgriffe und Ausflüchte abzuschwächen.</w:t>
      </w:r>
    </w:p>
    <w:p w:rsidR="00B6748F" w:rsidRPr="00751AC0" w:rsidRDefault="00B6748F" w:rsidP="00B6748F">
      <w:pPr>
        <w:rPr>
          <w:rFonts w:ascii="Garamond" w:hAnsi="Garamond"/>
          <w:color w:val="000000"/>
          <w:lang w:val="en-GB"/>
        </w:rPr>
      </w:pPr>
      <w:r w:rsidRPr="00751AC0">
        <w:rPr>
          <w:rFonts w:ascii="Garamond" w:hAnsi="Garamond"/>
          <w:color w:val="000000"/>
          <w:lang w:val="en-GB"/>
        </w:rPr>
        <w:t>5. Wenn das Tier rituell geopfert wird, wird es feierlich beweint.</w:t>
      </w:r>
    </w:p>
    <w:p w:rsidR="00B6748F" w:rsidRPr="00751AC0" w:rsidRDefault="00B6748F" w:rsidP="00B6748F">
      <w:pPr>
        <w:rPr>
          <w:rFonts w:ascii="Garamond" w:hAnsi="Garamond"/>
          <w:color w:val="000000"/>
          <w:lang w:val="en-GB"/>
        </w:rPr>
      </w:pPr>
      <w:r w:rsidRPr="00751AC0">
        <w:rPr>
          <w:rFonts w:ascii="Garamond" w:hAnsi="Garamond"/>
          <w:color w:val="000000"/>
          <w:lang w:val="en-GB"/>
        </w:rPr>
        <w:t>6. Bei gewissen feierlichen Gelegenheiten, religiösen Zeremonien, legt man die Haut bestimmter Tiere an. Wo der Totemismus noch besteht, sind dies die Totemtiere.</w:t>
      </w:r>
    </w:p>
    <w:p w:rsidR="00B6748F" w:rsidRPr="00751AC0" w:rsidRDefault="00B6748F" w:rsidP="00B6748F">
      <w:pPr>
        <w:rPr>
          <w:rFonts w:ascii="Garamond" w:hAnsi="Garamond"/>
          <w:color w:val="000000"/>
          <w:lang w:val="en-GB"/>
        </w:rPr>
      </w:pPr>
      <w:r w:rsidRPr="00751AC0">
        <w:rPr>
          <w:rFonts w:ascii="Garamond" w:hAnsi="Garamond"/>
          <w:color w:val="000000"/>
          <w:lang w:val="en-GB"/>
        </w:rPr>
        <w:t>7. Stämme und Einzelpersonen legen sich Tiernamen bei, eben die der Totemtiere.</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8. Viele Stämme gebrauchen Tierbilder als Wappen und verzieren mit ihnen ihre Waffen; Männer malen sich Tierbilder auf den Leib oder lassen sich solche durch Tätowierung einritzen.</w:t>
      </w:r>
    </w:p>
    <w:p w:rsidR="00B6748F" w:rsidRPr="00751AC0" w:rsidRDefault="00B6748F" w:rsidP="00B6748F">
      <w:pPr>
        <w:rPr>
          <w:rFonts w:ascii="Garamond" w:hAnsi="Garamond"/>
          <w:color w:val="000000"/>
          <w:lang w:val="en-GB"/>
        </w:rPr>
      </w:pPr>
      <w:r w:rsidRPr="00751AC0">
        <w:rPr>
          <w:rFonts w:ascii="Garamond" w:hAnsi="Garamond"/>
          <w:color w:val="000000"/>
          <w:lang w:val="en-GB"/>
        </w:rPr>
        <w:t>9. Wenn der Totem zu den gefürchteten und gefährlichen Tieren gehört, so wird angenommen, daß er die Mitglieder des nach ihm genannten Stammes verschont.</w:t>
      </w:r>
    </w:p>
    <w:p w:rsidR="00B6748F" w:rsidRPr="00751AC0" w:rsidRDefault="00B6748F" w:rsidP="00B6748F">
      <w:pPr>
        <w:rPr>
          <w:rFonts w:ascii="Garamond" w:hAnsi="Garamond"/>
          <w:color w:val="000000"/>
          <w:lang w:val="en-GB"/>
        </w:rPr>
      </w:pPr>
      <w:r w:rsidRPr="00751AC0">
        <w:rPr>
          <w:rFonts w:ascii="Garamond" w:hAnsi="Garamond"/>
          <w:color w:val="000000"/>
          <w:lang w:val="en-GB"/>
        </w:rPr>
        <w:t>10. Das Totemtier beschützt und warnt die Angehörigen des Stammes.</w:t>
      </w:r>
    </w:p>
    <w:p w:rsidR="00B6748F" w:rsidRPr="00751AC0" w:rsidRDefault="00B6748F" w:rsidP="00B6748F">
      <w:pPr>
        <w:rPr>
          <w:rFonts w:ascii="Garamond" w:hAnsi="Garamond"/>
          <w:color w:val="000000"/>
          <w:lang w:val="en-GB"/>
        </w:rPr>
      </w:pPr>
      <w:r w:rsidRPr="00751AC0">
        <w:rPr>
          <w:rFonts w:ascii="Garamond" w:hAnsi="Garamond"/>
          <w:color w:val="000000"/>
          <w:lang w:val="en-GB"/>
        </w:rPr>
        <w:t>11. Das Totemtier kündigt seinen Getreuen die Zukunft an und dient ihnen als Führer.</w:t>
      </w:r>
    </w:p>
    <w:p w:rsidR="00B6748F" w:rsidRPr="00751AC0" w:rsidRDefault="00B6748F" w:rsidP="00B6748F">
      <w:pPr>
        <w:rPr>
          <w:rFonts w:ascii="Garamond" w:hAnsi="Garamond"/>
          <w:color w:val="000000"/>
          <w:lang w:val="en-GB"/>
        </w:rPr>
      </w:pPr>
      <w:r w:rsidRPr="00751AC0">
        <w:rPr>
          <w:rFonts w:ascii="Garamond" w:hAnsi="Garamond"/>
          <w:color w:val="000000"/>
          <w:lang w:val="en-GB"/>
        </w:rPr>
        <w:t>12. Die Mitglieder eines Totemstammes glauben oft daran, daß sie mit dem Totemtier durch das Band gemeinsamer Abstammung verknüpft sind.</w:t>
      </w:r>
    </w:p>
    <w:p w:rsidR="00B6748F" w:rsidRPr="00751AC0" w:rsidRDefault="00B6748F" w:rsidP="00B6748F">
      <w:pPr>
        <w:rPr>
          <w:rFonts w:ascii="Garamond" w:hAnsi="Garamond"/>
          <w:color w:val="000000"/>
          <w:lang w:val="en-GB"/>
        </w:rPr>
      </w:pPr>
      <w:r w:rsidRPr="00751AC0">
        <w:rPr>
          <w:rFonts w:ascii="Garamond" w:hAnsi="Garamond"/>
          <w:color w:val="000000"/>
          <w:lang w:val="en-GB"/>
        </w:rPr>
        <w:t>Man kann diesen Katechismus der Totemreligion erst würdigen, wenn man in Betracht zieht, daß Reinach hier auch alle Anzeichen und Resterscheinungen eingetragen hat, aus denen man den einstigen Bestand des totemistischen Systems erschließen kann. Eine besondere Stellung dieses Autors zum Problem zeigt sich darin, daß er dafür die wesentlichen Züge des Totemismus einigermaßen vernachlässigt. Wir werden uns überzeugen, daß er von den zwei Hauptsätzen des totemistischen Katechismus den einen in den Hintergrund gedrängt, den anderen völlig übergangen hat.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Um von den Charakteren des Totemismus ein richtiges Bild zu gewinnen, wenden wir uns an einen Autor, welcher dem Thema ein vierbändiges Werk gewidmet hat, das die vollständigste Sammlung der hieher gehörigen Beobachtungen mit der eingehendsten Diskussion der durch sie angeregten Probleme verbindet. Wir werden J. G. Frazer, dem Verfasser von </w:t>
      </w:r>
      <w:r w:rsidRPr="00751AC0">
        <w:rPr>
          <w:rFonts w:ascii="Garamond" w:hAnsi="Garamond"/>
          <w:i/>
          <w:iCs/>
          <w:color w:val="000000"/>
          <w:lang w:val="en-GB"/>
        </w:rPr>
        <w:t>Totemism and Exogamy</w:t>
      </w:r>
      <w:r w:rsidRPr="00751AC0">
        <w:rPr>
          <w:rFonts w:ascii="Garamond" w:hAnsi="Garamond"/>
          <w:color w:val="000000"/>
          <w:lang w:val="en-GB"/>
        </w:rPr>
        <w:t xml:space="preserve"> (1910), für Genuß und Belehrung verpflichtet bleiben, auch wenn die psychoanalytische Untersuchung zu Ergebnissen führen sollte, welche weit von den seinigen abweichen </w:t>
      </w:r>
      <w:hyperlink r:id="rId54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Vielleicht tun wir aber vorher gut daran, dem Leser die Schwierigkeiten vorzuführen, mit denen Feststellungen auf diesem Gebiete zu kämpfen haben: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lang w:val="en-GB"/>
          </w:rPr>
          <w:t xml:space="preserve">Zunächst: die Personen, welche die Beobachtungen sammeln, sind nicht dieselben, welche sie verarbeiten und diskutieren, die ersteren Reisende und Missionäre, die letzteren Gelehrte, welche die Objekte ihrer Forschung vielleicht niemals gesehen haben. – Die Verständigung mit den Wilden ist nicht leicht. Nicht alle der Beobachter waren mit den Sprachen derselben vertraut, sondern mußten sich der Hilfe von Dolmetschern bedienen oder in der Hilfssprache des </w:t>
        </w:r>
        <w:r w:rsidRPr="00751AC0">
          <w:rPr>
            <w:rStyle w:val="innerfusslink3"/>
            <w:rFonts w:ascii="Garamond" w:hAnsi="Garamond" w:cs="Arial"/>
            <w:b/>
            <w:bCs/>
            <w:i/>
            <w:iCs/>
            <w:lang w:val="en-GB"/>
          </w:rPr>
          <w:t>pidgin-english</w:t>
        </w:r>
        <w:r w:rsidRPr="00751AC0">
          <w:rPr>
            <w:rStyle w:val="innerfusslink3"/>
            <w:rFonts w:ascii="Garamond" w:hAnsi="Garamond" w:cs="Arial"/>
            <w:b/>
            <w:bCs/>
            <w:lang w:val="en-GB"/>
          </w:rPr>
          <w:t xml:space="preserve"> mit den Ausgefragten verkehren. Die Wilden sind nicht mitteilsam über die intimsten Angelegenheiten ihrer Kultur und eröffnen sich nur solchen Fremden, die viele Jahre in ihrer Mitte zugebracht haben. Sie geben aus den verschiedenartigsten Motiven (vgl. Frazer, 1910, Bd. 1, 150 f.) oft falsche oder mißverständliche Auskünfte. – Man darf nicht daran vergessen, daß die primitiven Völker keine jungen Völker sind, sondern eigentlich ebenso alt wie die zivilisiertesten, und daß man kein Recht zur Erwartung hat, sie würden ihre ursprünglichen Ideen und Institutionen ohne jede Entwicklung und Entstellung für unsere Kenntnisnahme aufbewahrt haben. Es ist vielmehr sicher, daß sich bei den Primitiven tiefgreifende Wandlungen nach allen Richtungen vollzogen haben, so daß man niemals ohne Bedenken entscheiden kann, was an ihren gegenwärtigen Zuständen und Meinungen nach Art eines Petrefakts die ursprüngliche Vergangenheit erhalten hat und was einer Entstellung und Veränderung derselben entspricht. Daher die überreichlichen Streitigkeiten unter den Autoren, was an den Eigentümlichkeiten einer primitiven Kultur als primär und was als spätere sekundäre Gestaltung aufzufassen sei. Die Feststellung des ursprünglichen Zustandes bleibt also jedesmal eine Sache der Konstruktion. – Es ist endlich nicht leicht, sich in die Denkungsart der Primitiven einzufühlen. Wir mißverstehen sie ebenso leicht wie die Kinder und sind immer geneigt, ihr Tun und Fühlen nach unseren eigenen psychischen Konstellationen zu deuten.</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»Ein Totem«, schrieb Frazer in seinem ersten Aufsatz </w:t>
      </w:r>
      <w:hyperlink r:id="rId54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Totemism, Edinburgh 1887, abgedruckt im ersten Band des großen Werkes </w:t>
        </w:r>
        <w:r w:rsidRPr="00751AC0">
          <w:rPr>
            <w:rStyle w:val="innerfusslink3"/>
            <w:rFonts w:ascii="Garamond" w:hAnsi="Garamond" w:cs="Arial"/>
            <w:b/>
            <w:bCs/>
            <w:i/>
            <w:iCs/>
            <w:lang w:val="en-GB"/>
          </w:rPr>
          <w:t>Totemism and Exogamy</w:t>
        </w:r>
        <w:r w:rsidRPr="00751AC0">
          <w:rPr>
            <w:rStyle w:val="innerfusslink3"/>
            <w:rFonts w:ascii="Garamond" w:hAnsi="Garamond" w:cs="Arial"/>
            <w:b/>
            <w:bCs/>
            <w:lang w:val="en-GB"/>
          </w:rPr>
          <w:t xml:space="preserve"> (1910).</w:t>
        </w:r>
      </w:hyperlink>
      <w:r w:rsidRPr="00751AC0">
        <w:rPr>
          <w:rFonts w:ascii="Garamond" w:hAnsi="Garamond"/>
          <w:color w:val="000000"/>
          <w:lang w:val="en-GB"/>
        </w:rPr>
        <w:t>, »ist ein materielles Objekt, welchem der Wilde einen abergläubischen Respekt bezeugt, weil er glaubt, daß zwischen seiner eigenen Person und jedem Ding dieser Gattung eine ganz besondere Beziehung besteht ... Die Verbindung zwischen einem Menschen und seinem Totem ist eine wechselseitige, der Totem beschützt den Menschen, und der Mensch beweist seine Achtung vor dem Totem auf verschiedene Arten, so z. B. daß er ihn nicht tötet, wenn es ein Tier, und nicht abpflückt, wenn es eine Pflanze ist. Der Totem unterscheidet sich vom Fetisch darin, daß er nie ein Einzelding ist wie dieser, sondern immer eine Gattung, in der Regel eine Tier- oder Pflanzenart, seltener eine Klasse von unbelebten Dingen und noch seltener von künstlich hergestellten Gegenständen ...«</w:t>
      </w:r>
    </w:p>
    <w:p w:rsidR="00B6748F" w:rsidRPr="00751AC0" w:rsidRDefault="00B6748F" w:rsidP="00B6748F">
      <w:pPr>
        <w:rPr>
          <w:rFonts w:ascii="Garamond" w:hAnsi="Garamond"/>
          <w:color w:val="000000"/>
          <w:lang w:val="en-GB"/>
        </w:rPr>
      </w:pPr>
      <w:r w:rsidRPr="00751AC0">
        <w:rPr>
          <w:rFonts w:ascii="Garamond" w:hAnsi="Garamond"/>
          <w:color w:val="000000"/>
          <w:lang w:val="en-GB"/>
        </w:rPr>
        <w:t>»Man kann mindestens drei Arten von Totem unterscheiden:</w:t>
      </w:r>
    </w:p>
    <w:p w:rsidR="00B6748F" w:rsidRPr="00751AC0" w:rsidRDefault="00B6748F" w:rsidP="00B6748F">
      <w:pPr>
        <w:rPr>
          <w:rFonts w:ascii="Garamond" w:hAnsi="Garamond"/>
          <w:color w:val="000000"/>
          <w:lang w:val="en-GB"/>
        </w:rPr>
      </w:pPr>
      <w:r w:rsidRPr="00751AC0">
        <w:rPr>
          <w:rFonts w:ascii="Garamond" w:hAnsi="Garamond"/>
          <w:color w:val="000000"/>
          <w:lang w:val="en-GB"/>
        </w:rPr>
        <w:t>1. den Stammestotem, an dem ein ganzer Stamm teilhat und der sich erblich von einer Generation auf die nächste überträgt;</w:t>
      </w:r>
    </w:p>
    <w:p w:rsidR="00B6748F" w:rsidRPr="00751AC0" w:rsidRDefault="00B6748F" w:rsidP="00B6748F">
      <w:pPr>
        <w:rPr>
          <w:rFonts w:ascii="Garamond" w:hAnsi="Garamond"/>
          <w:color w:val="000000"/>
          <w:lang w:val="en-GB"/>
        </w:rPr>
      </w:pPr>
      <w:r w:rsidRPr="00751AC0">
        <w:rPr>
          <w:rFonts w:ascii="Garamond" w:hAnsi="Garamond"/>
          <w:color w:val="000000"/>
          <w:lang w:val="en-GB"/>
        </w:rPr>
        <w:t>2. den Geschlechtstotem, der allen männlichen oder allen weiblichen Mitgliedern eines Stammes mit Ausschluß des anderen Geschlechtes angehört, und</w:t>
      </w:r>
    </w:p>
    <w:p w:rsidR="00B6748F" w:rsidRPr="00751AC0" w:rsidRDefault="00B6748F" w:rsidP="00B6748F">
      <w:pPr>
        <w:rPr>
          <w:rFonts w:ascii="Garamond" w:hAnsi="Garamond"/>
          <w:color w:val="000000"/>
          <w:lang w:val="en-GB"/>
        </w:rPr>
      </w:pPr>
      <w:r w:rsidRPr="00751AC0">
        <w:rPr>
          <w:rFonts w:ascii="Garamond" w:hAnsi="Garamond"/>
          <w:color w:val="000000"/>
          <w:lang w:val="en-GB"/>
        </w:rPr>
        <w:t>3. den individuellen Totem, der einer einzelnen Person eignet und nicht auf deren Nachkommenschaft übergeht ...« Die beiden letzten Arten von Totem kommen an Bedeutung gegen den Stammestotem nicht in Betracht. Es sind, wenn nicht alles täuscht, späte und für das Wesen des Totem wenig bedeutsame Bildungen.</w:t>
      </w:r>
    </w:p>
    <w:p w:rsidR="00B6748F" w:rsidRPr="00751AC0" w:rsidRDefault="00B6748F" w:rsidP="00B6748F">
      <w:pPr>
        <w:rPr>
          <w:rFonts w:ascii="Garamond" w:hAnsi="Garamond"/>
          <w:color w:val="000000"/>
          <w:lang w:val="en-GB"/>
        </w:rPr>
      </w:pPr>
      <w:r w:rsidRPr="00751AC0">
        <w:rPr>
          <w:rFonts w:ascii="Garamond" w:hAnsi="Garamond"/>
          <w:color w:val="000000"/>
          <w:lang w:val="en-GB"/>
        </w:rPr>
        <w:t>»Der Stammestotem (Clantotem) ist Gegenstand der Verehrung einer Gruppe von Männern und Frauen, die sich nach dem Totem nennen, sich für blutsverwandte Abkömmlinge eines gemeinsamen Ahnen halten und durch gemeinsame Pflichten gegeneinander wie durch den Glauben an ihren Totem miteinander fest verbunden sind.«</w:t>
      </w:r>
    </w:p>
    <w:p w:rsidR="00B6748F" w:rsidRPr="00751AC0" w:rsidRDefault="00B6748F" w:rsidP="00B6748F">
      <w:pPr>
        <w:rPr>
          <w:rFonts w:ascii="Garamond" w:hAnsi="Garamond"/>
          <w:color w:val="000000"/>
          <w:lang w:val="en-GB"/>
        </w:rPr>
      </w:pPr>
      <w:r w:rsidRPr="00751AC0">
        <w:rPr>
          <w:rFonts w:ascii="Garamond" w:hAnsi="Garamond"/>
          <w:color w:val="000000"/>
          <w:lang w:val="en-GB"/>
        </w:rPr>
        <w:t>»Der Totemismus ist sowohl ein religiöses wie ein soziales System. Nach seiner religiösen Seite besteht er in den Beziehungen gegenseitiger Achtung und Schonung zwischen einem Menschen und seinem Totem, nach seiner sozialen Seite in den Verpflichtungen der Clanmitglieder gegeneinander und gegen andere Stämme. In der späteren Geschichte des Totemismus zeigen dessen beide Seiten eine Neigung auseinanderzugehen; das soziale System überlebt häufig das religiöse, und umgekehrt verbleiben Reste von Totemismus in der Religion solcher Länder, in denen das auf den Totemismus gegründete soziale System verschwunden ist. Wie diese beiden Seiten des Totemismus ursprünglich miteinander zusammenhängen, können wir bei unserer Unkenntnis über dessen Ursprünge nicht mit Sicherheit sagen. Doch ergibt sich im ganzen eine starke Wahrscheinlichkeit dafür, daß die beiden Seiten des Totemismus zu Anfang unzertrennlich voneinander waren. Mit anderen Worten, je weiter wir zurückgehen, desto deutlicher zeigt es sich, daß der Stammesangehörige sich zur selben Art zählt wie seinen Totem und sein Verhalten gegen den Totem von dem gegen einen Stammesgenossen nicht unterscheidet.«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der speziellen Beschreibung des Totemismus als eines religiösen Systems stellt Frazer voran, daß die Mitglieder eines Stammes sich nach ihrem Totem nennen und </w:t>
      </w:r>
      <w:r w:rsidRPr="00751AC0">
        <w:rPr>
          <w:rFonts w:ascii="Garamond" w:hAnsi="Garamond"/>
          <w:i/>
          <w:iCs/>
          <w:color w:val="000000"/>
          <w:lang w:val="en-GB"/>
        </w:rPr>
        <w:t>in der Regel auch glauben, daß sie von ihm abstammen</w:t>
      </w:r>
      <w:r w:rsidRPr="00751AC0">
        <w:rPr>
          <w:rFonts w:ascii="Garamond" w:hAnsi="Garamond"/>
          <w:color w:val="000000"/>
          <w:lang w:val="en-GB"/>
        </w:rPr>
        <w:t xml:space="preserve">. Die Folge dieses Glaubens ist es, daß sie das Totemtier nicht jagen, nicht töten und nicht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und sich jeden anderen Gebrauch des Totem versagen, wenn er etwas anderes als ein Tier ist. Die Verbote, den Totem nicht zu töten und nicht zu essen, sind nicht die einzigen Tabu, die ihn betreffen; manchmal ist es auch verboten, ihn zu berühren, ja, ihn anzuschauen; in einer Anzahl von Fällen darf der Totem nicht bei seinem richtigen Namen genannt werden. Die Übertretung dieser den Totem schützenden Tabugebote straft sich automatisch durch schwere Erkrankungen oder Tod </w:t>
      </w:r>
      <w:hyperlink r:id="rId54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die Abhandlung über das Tabu.</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Exemplare des Totemtieres werden gelegentlich von dem Clan aufgezogen und in der Gefangenschaft gehegt </w:t>
      </w:r>
      <w:hyperlink r:id="rId54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Wie heute noch die Wölfe im Käfig an der Kapitolsstiege in Rom, die Bären im Zwinger von Bern.</w:t>
        </w:r>
      </w:hyperlink>
      <w:r w:rsidRPr="00751AC0">
        <w:rPr>
          <w:rFonts w:ascii="Garamond" w:hAnsi="Garamond"/>
          <w:color w:val="000000"/>
          <w:lang w:val="en-GB"/>
        </w:rPr>
        <w:t>. Ein tot aufgefundenes Totemtier wird betrauert und bestattet wie ein Clangenosse. Mußte man ein Totemtier töten, so geschah es unter einem vorgeschriebenen Rituale von Entschuldigungen und Sühnezeremonien.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Von seinem Totem erwartete der Stamm Schutz und Schonung. Wenn er ein gefährliches Tier war (Raubtier, Giftschlange), so setzte man voraus, daß er seinen Genossen nichts zuleide tun würde, und wo sich diese Voraussetzung nicht bestätigte, wurde der Beschädigte aus dem Stamme ausgestoßen. Eide, meint Frazer, waren ursprünglich Ordalien; viele Abstammungs- und Echtheitsproben wurden so dem Totem zur Entscheidung überlassen. Der Totem hilft in Krankheiten, gibt dem Stamme Vorzeichen und Warnungen. Die Erscheinung des Totemtieres in der Nähe eines Hauses wurde häufig als Ankündigung eines Todesfalles angesehen. Der Totem war gekommen, seinen Verwandten zu holen </w:t>
      </w:r>
      <w:hyperlink r:id="rId54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Also wie die weiße Frau mancher Adelsgeschlechter.</w:t>
        </w:r>
      </w:hyperlink>
      <w:r w:rsidRPr="00751AC0">
        <w:rPr>
          <w:rFonts w:ascii="Garamond" w:hAnsi="Garamond"/>
          <w:color w:val="000000"/>
          <w:lang w:val="en-GB"/>
        </w:rPr>
        <w:t xml:space="preserve">. Unter verschiedenen bedeutsamen Verhältnissen sucht der Clangenosse seine Verwandtschaft mit dem Totem zu betonen, indem er sich ihm äußerlich ähnlich macht, sich in die Haut des Totemtieres hüllt, sich das Bild desselben einritzt u. dgl. Bei den feierlichen Gelegenheiten der Geburt, der Männerweihe, des Begräbnisses wird diese Identifizierung mit dem Totem in Taten und Worten durchgeführt. Tänze, bei denen alle Genossen des Stammes sich in ihren Totem verkleiden und wie er gebärden, dienen mannigfaltigen magischen und religiösen Absichten. Endlich gibt es Zeremonien, bei denen das Totemtier in feierlicher Weise getötet wird </w:t>
      </w:r>
      <w:hyperlink r:id="rId54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Bd. 1, p. 45). – S. unten die Erörterung über das Opfer.</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soziale Seite des Totemismus prägt sich vor allem in einem streng gehaltenen Gebot und in einer großartigen Einschränkung aus. Die Mitglieder eines Totemclans sind Brüder und Schwestern, verpflichtet, einander zu helfen und zu beschützen; im Falle der Tötung eines Clangenossen durch einen Fremden haftet der ganze Stamm des Täters für die Bluttat, und der Clan des Gemordeten fühlt sich solidarisch in der Forderung nach Sühne für das vergossene Blut. Die Totembande sind stärker als die Familienbande in unserem Sinne; sie fallen mit diesen nicht zusammen, da die Übertragung des Totem in der Regel durch mütterliche Vererbung geschieht und ursprünglich die väterliche Vererbung vielleicht überhaupt nicht in Geltung war.</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entsprechende Tabubeschränkung aber besteht in dem Verbot, daß Mitglieder desselben Totemclans einander nicht heiraten und überhaupt nicht in Sexualverkehr miteinander treten dürfen. Dies ist die berühmte und rätselhafte, mit dem Totemismus verknüpfte </w:t>
      </w:r>
      <w:r w:rsidRPr="00751AC0">
        <w:rPr>
          <w:rFonts w:ascii="Garamond" w:hAnsi="Garamond"/>
          <w:i/>
          <w:iCs/>
          <w:color w:val="000000"/>
          <w:lang w:val="en-GB"/>
        </w:rPr>
        <w:t>Exogamie</w:t>
      </w:r>
      <w:r w:rsidRPr="00751AC0">
        <w:rPr>
          <w:rFonts w:ascii="Garamond" w:hAnsi="Garamond"/>
          <w:color w:val="000000"/>
          <w:lang w:val="en-GB"/>
        </w:rPr>
        <w:t xml:space="preserve">. Wir haben ihr die ganze erste Abhandlung dieser Reihe gewidmet und brauchen darum hier nur anzuführen, daß sie der verschärften Inzestscheu der Primitiven entspringt, daß sie als Sicherung gegen Inzest bei Gruppenehe vollkommen verständlich würde und daß sie zunächst die Inzestverhütung für die jüngere Generation besorgt und erst in weiterer Ausbildung auch der älteren Generation zum Hindernis wird </w:t>
      </w:r>
      <w:hyperlink r:id="rId54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S. die erste Abhandlung.</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An diese Darstellung des Totemismus bei Frazer, eine der frühesten in der Literatur des Gegenstandes, will ich nun einige Auszüge aus einer der letzten Zusammenfassungen anschließen. In den 1912 erschienenen </w:t>
      </w:r>
      <w:r w:rsidRPr="00751AC0">
        <w:rPr>
          <w:rFonts w:ascii="Garamond" w:hAnsi="Garamond"/>
          <w:i/>
          <w:iCs/>
          <w:color w:val="000000"/>
          <w:lang w:val="en-GB"/>
        </w:rPr>
        <w:t>Elementen der Völkerpsychologie</w:t>
      </w:r>
      <w:r w:rsidRPr="00751AC0">
        <w:rPr>
          <w:rFonts w:ascii="Garamond" w:hAnsi="Garamond"/>
          <w:color w:val="000000"/>
          <w:lang w:val="en-GB"/>
        </w:rPr>
        <w:t xml:space="preserve"> sagt W. Wundt </w:t>
      </w:r>
      <w:hyperlink r:id="rId54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p. 116</w:t>
        </w:r>
      </w:hyperlink>
      <w:r w:rsidRPr="00751AC0">
        <w:rPr>
          <w:rFonts w:ascii="Garamond" w:hAnsi="Garamond"/>
          <w:color w:val="000000"/>
          <w:lang w:val="en-GB"/>
        </w:rPr>
        <w:t xml:space="preserve">: »Das Totemtier gilt als Ahnentier der betreffenden Gruppe. ›Totem‹ ist also einerseits Gruppen-, anderseits Abstammungsname, und in letzterer Beziehung hat dieser Name zugleich eine mythologische Bedeutung. Alle diese Verwendungen des Begriffes spielen aber ineinander, und die einzelnen dieser Bedeutungen können zurücktreten, so daß in manchen Fällen die Totems fast zu einer bloßen Nomenklatur der Stammesabteilungen geworden sind, während in anderen die Vorstellung der Abstammung oder aber auch die kultische Bedeutung des Totems im Vordergrund steht ...« Der Begriff des Totem wird für die </w:t>
      </w:r>
      <w:r w:rsidRPr="00751AC0">
        <w:rPr>
          <w:rFonts w:ascii="Garamond" w:hAnsi="Garamond"/>
          <w:i/>
          <w:iCs/>
          <w:color w:val="000000"/>
          <w:lang w:val="en-GB"/>
        </w:rPr>
        <w:t>Stammesgliederung</w:t>
      </w:r>
      <w:r w:rsidRPr="00751AC0">
        <w:rPr>
          <w:rFonts w:ascii="Garamond" w:hAnsi="Garamond"/>
          <w:color w:val="000000"/>
          <w:lang w:val="en-GB"/>
        </w:rPr>
        <w:t xml:space="preserve"> und </w:t>
      </w:r>
      <w:r w:rsidRPr="00751AC0">
        <w:rPr>
          <w:rFonts w:ascii="Garamond" w:hAnsi="Garamond"/>
          <w:i/>
          <w:iCs/>
          <w:color w:val="000000"/>
          <w:lang w:val="en-GB"/>
        </w:rPr>
        <w:t>Stammesorganisation</w:t>
      </w:r>
      <w:r w:rsidRPr="00751AC0">
        <w:rPr>
          <w:rFonts w:ascii="Garamond" w:hAnsi="Garamond"/>
          <w:color w:val="000000"/>
          <w:lang w:val="en-GB"/>
        </w:rPr>
        <w:t xml:space="preserve"> maßgebend. »Mit diesen Normen und mit ihrer Befestigung im </w:t>
      </w:r>
      <w:r w:rsidRPr="00751AC0">
        <w:rPr>
          <w:rFonts w:ascii="Garamond" w:hAnsi="Garamond"/>
          <w:color w:val="000000"/>
          <w:lang w:val="en-GB"/>
        </w:rPr>
        <w:lastRenderedPageBreak/>
        <w:t xml:space="preserve">Glauben und Fühlen der Stammesgenossen hängt es zusammen, daß man das Totemtier ursprünglich jedenfalls nicht bloß als einen Namen für eine Gruppe von Stammesgliedern betrachtete, sondern daß das Tier meist als Stammvater der betreffenden Abteilung gilt ... </w:t>
      </w:r>
      <w:r w:rsidRPr="00751AC0">
        <w:rPr>
          <w:rFonts w:ascii="Garamond" w:hAnsi="Garamond"/>
          <w:color w:val="000000"/>
        </w:rPr>
        <w:t xml:space="preserve">Damit hängt dann zusammen, daß diese Tierahnen einen Kult genießen ... Dieser Tierkult äußert sich ursprünglich, abgesehen von bestimmten Zeremonien und zeremoniellen Festen, vor allem in dem Verhalten gegenüber dem Totemtier: nicht nur ein einzelnes Tier, sondern jeder Repräsentant der gleichen Spezies ist in gewissem Grade ein geheiligtes Tier, es ist den Totemgenossen verboten oder nur unter gewissen Umständen erlaubt, das Fleisch des Totemtieres zu genießen. </w:t>
      </w:r>
      <w:r w:rsidRPr="00751AC0">
        <w:rPr>
          <w:rFonts w:ascii="Garamond" w:hAnsi="Garamond"/>
          <w:color w:val="000000"/>
          <w:lang w:val="en-GB"/>
        </w:rPr>
        <w:t>Dem entspricht die in solchem Zusammenhange bedeutsame Gegenerscheinung, daß unter gewissen Bedingungen eine Art von zeremoniellem Genuß des Totemfleisches stattfindet ...«</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 Die wichtigste soziale Seite dieser totemistischen Stammesgliederung besteht aber darin, daß mit ihr bestimmte Normen der Sitte für den Verkehr der Gruppen untereinander verbunden sind. Unter diesen Normen stehen in erster Linie die für den Eheverkehr. So hängt diese Stammesgliederung mit einer wichtigen Erscheinung zusammen, die zum erstenmal im totemistischen Zeitalter auftritt: mit der </w:t>
      </w:r>
      <w:r w:rsidRPr="00751AC0">
        <w:rPr>
          <w:rFonts w:ascii="Garamond" w:hAnsi="Garamond"/>
          <w:i/>
          <w:iCs/>
          <w:color w:val="000000"/>
          <w:lang w:val="en-GB"/>
        </w:rPr>
        <w:t>Exogamie</w:t>
      </w:r>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Wenn wir durch all das hindurch, was späterer Fortbildung oder Abschwächung entsprechen mag, zu einer Charakteristik des ursprünglichen Totemismus gelangen wollen, so ergeben sich uns folgende wesentliche Züge: </w:t>
      </w:r>
      <w:r w:rsidRPr="00751AC0">
        <w:rPr>
          <w:rFonts w:ascii="Garamond" w:hAnsi="Garamond"/>
          <w:i/>
          <w:iCs/>
          <w:color w:val="000000"/>
          <w:lang w:val="en-GB"/>
        </w:rPr>
        <w:t>Die Totem waren ursprünglich nur Tiere, sie galten als die Ahnen der einzelnen Stämme. Der Totem vererbte sich nur in weiblicher Linie; es war verboten, den Totem zu töten</w:t>
      </w:r>
      <w:r w:rsidRPr="00751AC0">
        <w:rPr>
          <w:rFonts w:ascii="Garamond" w:hAnsi="Garamond"/>
          <w:color w:val="000000"/>
          <w:lang w:val="en-GB"/>
        </w:rPr>
        <w:t xml:space="preserve"> (oder </w:t>
      </w:r>
      <w:r w:rsidRPr="00751AC0">
        <w:rPr>
          <w:rFonts w:ascii="Garamond" w:hAnsi="Garamond"/>
          <w:i/>
          <w:iCs/>
          <w:color w:val="000000"/>
          <w:lang w:val="en-GB"/>
        </w:rPr>
        <w:t>zu essen</w:t>
      </w:r>
      <w:r w:rsidRPr="00751AC0">
        <w:rPr>
          <w:rFonts w:ascii="Garamond" w:hAnsi="Garamond"/>
          <w:color w:val="000000"/>
          <w:lang w:val="en-GB"/>
        </w:rPr>
        <w:t xml:space="preserve">, was für primitive Verhältnisse zusammenfällt); </w:t>
      </w:r>
      <w:r w:rsidRPr="00751AC0">
        <w:rPr>
          <w:rFonts w:ascii="Garamond" w:hAnsi="Garamond"/>
          <w:i/>
          <w:iCs/>
          <w:color w:val="000000"/>
          <w:lang w:val="en-GB"/>
        </w:rPr>
        <w:t>es war den Totemgenossen verboten, Sexualverkehr miteinander zu pflegen</w:t>
      </w:r>
      <w:hyperlink r:id="rId54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Übereinstimmend mit diesem Text lautet das Fazit des Totemismus, welches Frazer in seiner zweiten Arbeit über den Gegenstand (›The Origin of Totemisms </w:t>
        </w:r>
        <w:r w:rsidRPr="00751AC0">
          <w:rPr>
            <w:rStyle w:val="innerfusslink3"/>
            <w:rFonts w:ascii="Garamond" w:hAnsi="Garamond" w:cs="Arial"/>
            <w:b/>
            <w:bCs/>
            <w:i/>
            <w:iCs/>
            <w:lang w:val="en-GB"/>
          </w:rPr>
          <w:t>Fortnightly Review</w:t>
        </w:r>
        <w:r w:rsidRPr="00751AC0">
          <w:rPr>
            <w:rStyle w:val="innerfusslink3"/>
            <w:rFonts w:ascii="Garamond" w:hAnsi="Garamond" w:cs="Arial"/>
            <w:b/>
            <w:bCs/>
            <w:lang w:val="en-GB"/>
          </w:rPr>
          <w:t xml:space="preserve"> 1899) zieht: » </w:t>
        </w:r>
        <w:r w:rsidRPr="00751AC0">
          <w:rPr>
            <w:rStyle w:val="innerfusslink3"/>
            <w:rFonts w:ascii="Garamond" w:hAnsi="Garamond" w:cs="Arial"/>
            <w:b/>
            <w:bCs/>
            <w:i/>
            <w:iCs/>
            <w:lang w:val="en-GB"/>
          </w:rPr>
          <w:t>Thus, Totemism has commonly been treated as a primitive system both of religion and of Society. As a System of religion it embraces the mystic union of the savage with his totem; as a System of Society it comprises the relations in which men and women of the same totem stand to each other and to the members of other totemic groups. And corresponding to these two sides of the System are two rough and ready tests or canons of Totemism: first, the rule that a man may not kill or eat his totem animal or plant; and second the rule that he may not marry or cohabit with a woman of the same totem.</w:t>
        </w:r>
        <w:r w:rsidRPr="00751AC0">
          <w:rPr>
            <w:rStyle w:val="innerfusslink3"/>
            <w:rFonts w:ascii="Garamond" w:hAnsi="Garamond" w:cs="Arial"/>
            <w:b/>
            <w:bCs/>
            <w:lang w:val="en-GB"/>
          </w:rPr>
          <w:t xml:space="preserve">« Frazer fügt dann hinzu, was uns mitten in die Diskussionen über den Totemismus hineinführt: » </w:t>
        </w:r>
        <w:r w:rsidRPr="00751AC0">
          <w:rPr>
            <w:rStyle w:val="innerfusslink3"/>
            <w:rFonts w:ascii="Garamond" w:hAnsi="Garamond" w:cs="Arial"/>
            <w:b/>
            <w:bCs/>
            <w:i/>
            <w:iCs/>
            <w:lang w:val="en-GB"/>
          </w:rPr>
          <w:t>Whether the two sides – the religious and the social – have always co-existed or are essentially independent, is a question which has been variously answered.</w:t>
        </w:r>
        <w:r w:rsidRPr="00751AC0">
          <w:rPr>
            <w:rStyle w:val="innerfusslink3"/>
            <w:rFonts w:ascii="Garamond" w:hAnsi="Garamond" w:cs="Arial"/>
            <w:b/>
            <w:bCs/>
            <w:lang w:val="en-GB"/>
          </w:rPr>
          <w:t>«</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Es darf uns nun auffallen, daß in dem </w:t>
      </w:r>
      <w:r w:rsidRPr="00751AC0">
        <w:rPr>
          <w:rFonts w:ascii="Garamond" w:hAnsi="Garamond"/>
          <w:i/>
          <w:iCs/>
          <w:color w:val="000000"/>
        </w:rPr>
        <w:t>Code du totemisme</w:t>
      </w:r>
      <w:r w:rsidRPr="00751AC0">
        <w:rPr>
          <w:rFonts w:ascii="Garamond" w:hAnsi="Garamond"/>
          <w:color w:val="000000"/>
        </w:rPr>
        <w:t>, den Reinach aufgestellt hat, das eine der Haupttabu, das der Exogamie, überhaupt nicht vorkommt, während die Voraussetzung des zweiten, die Abstammung vom Totemtier, nur eine beiläufige Erwähnung findet. Ich habe aber die Darstellung Reinachs, eines um den Gegenstand sehr verdienten Autors, ausgewählt, um auf die Meinungsverschiedenheiten unter den Autoren vorzubereiten, welche uns nun beschäftigen sollen.</w:t>
      </w:r>
    </w:p>
    <w:p w:rsidR="00B6748F" w:rsidRPr="00751AC0" w:rsidRDefault="00B6748F" w:rsidP="00B6748F">
      <w:pPr>
        <w:rPr>
          <w:rFonts w:ascii="Garamond" w:hAnsi="Garamond"/>
          <w:color w:val="000000"/>
        </w:rPr>
      </w:pPr>
      <w:r w:rsidRPr="00751AC0">
        <w:rPr>
          <w:rFonts w:ascii="Garamond" w:hAnsi="Garamond"/>
          <w:color w:val="000000"/>
        </w:rPr>
        <w:t>2</w:t>
      </w:r>
    </w:p>
    <w:p w:rsidR="00B6748F" w:rsidRPr="00B6748F" w:rsidRDefault="00B6748F" w:rsidP="00B6748F">
      <w:pPr>
        <w:rPr>
          <w:rFonts w:ascii="Garamond" w:hAnsi="Garamond"/>
          <w:color w:val="000000"/>
          <w:lang w:val="en-US"/>
        </w:rPr>
      </w:pPr>
      <w:r w:rsidRPr="00751AC0">
        <w:rPr>
          <w:rFonts w:ascii="Garamond" w:hAnsi="Garamond"/>
          <w:color w:val="000000"/>
        </w:rPr>
        <w:t xml:space="preserve">Je unabweisbarer die Einsicht auftrat, daß der Totemismus eine regelmäßige Phase aller Kulturen gebildet habe, desto dringender wurde das Bedürfnis, zu einem Verständnis desselben zu gelangen, die Rätsel seines Wesens aufzuhellen. Rätselhaft ist wohl alles am Totemismus; die entscheidenden Fragen sind die nach der Herkunft der Totemabstammung, nach der Motivierung der Exogamie (respektive des durch sie vertretenen Inzesttabu) und nach der Beziehung zwischen den beiden, der Totemorganisation und dem Inzestverbot. </w:t>
      </w:r>
      <w:r w:rsidRPr="00B6748F">
        <w:rPr>
          <w:rFonts w:ascii="Garamond" w:hAnsi="Garamond"/>
          <w:color w:val="000000"/>
          <w:lang w:val="en-US"/>
        </w:rPr>
        <w:t xml:space="preserve">Das Verständnis sollte in einem ein historisches und ein psychologisches sein, Auskunft </w:t>
      </w:r>
      <w:r w:rsidRPr="00B6748F">
        <w:rPr>
          <w:rFonts w:ascii="Garamond" w:hAnsi="Garamond"/>
          <w:color w:val="000000"/>
          <w:lang w:val="en-US"/>
        </w:rPr>
        <w:lastRenderedPageBreak/>
        <w:t>geben, unter welchen Bedingungen sich diese eigentümliche Institution entwickelt und welchen seelischen Bedürfnissen der Menschen sie Ausdruck gegeben hatte.</w:t>
      </w:r>
    </w:p>
    <w:p w:rsidR="00B6748F" w:rsidRPr="00751AC0" w:rsidRDefault="00B6748F" w:rsidP="00B6748F">
      <w:pPr>
        <w:rPr>
          <w:rFonts w:ascii="Garamond" w:hAnsi="Garamond"/>
          <w:color w:val="000000"/>
          <w:lang w:val="en-GB"/>
        </w:rPr>
      </w:pPr>
      <w:r w:rsidRPr="00B6748F">
        <w:rPr>
          <w:rFonts w:ascii="Garamond" w:hAnsi="Garamond"/>
          <w:color w:val="000000"/>
          <w:lang w:val="en-US"/>
        </w:rPr>
        <w:t xml:space="preserve">Meine Leser werden nun gewiß erstaunt sein zu hören, von wie verschiedenen Gesichtspunkten her die Beantwortung dieser Fragen versucht wurde und wie weit die Meinungen der sachkundigen Forscher hierüber auseinandergehen. </w:t>
      </w:r>
      <w:r w:rsidRPr="00751AC0">
        <w:rPr>
          <w:rFonts w:ascii="Garamond" w:hAnsi="Garamond"/>
          <w:color w:val="000000"/>
          <w:lang w:val="en-GB"/>
        </w:rPr>
        <w:t xml:space="preserve">Es steht so ziemlich alles in Frage, was man allgemein über Totemismus und Exogamie behaupten möchte; auch das vorangeschickte, aus einer von Frazer 1887 veröffentlichten Schrift geschöpfte Bild kann der Kritik nicht entgehen, eine willkürliche Vorliebe des Referenten auszudrücken, und würde heute von Frazer selbst, der seine Ansichten über den Gegenstand wiederholt geändert hat, beanständet werden </w:t>
      </w:r>
      <w:hyperlink r:id="rId55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Anläßlich einer solchen Sinnesänderung schrieb er den schönen Satz nieder: » </w:t>
        </w:r>
        <w:r w:rsidRPr="00751AC0">
          <w:rPr>
            <w:rStyle w:val="innerfusslink3"/>
            <w:rFonts w:ascii="Garamond" w:hAnsi="Garamond" w:cs="Arial"/>
            <w:b/>
            <w:bCs/>
            <w:i/>
            <w:iCs/>
            <w:lang w:val="en-GB"/>
          </w:rPr>
          <w:t>That my conclusions on these difftcult questions are final, I am not so foolish as to pretend. I have changed my views repeatedly, and I am resolved to change them again with every change of the evidence, for like a chameleon, the candid enquirer should shift his colours with the shifting colours of the ground he treads.</w:t>
        </w:r>
        <w:r w:rsidRPr="00751AC0">
          <w:rPr>
            <w:rStyle w:val="innerfusslink3"/>
            <w:rFonts w:ascii="Garamond" w:hAnsi="Garamond" w:cs="Arial"/>
            <w:b/>
            <w:bCs/>
            <w:lang w:val="en-GB"/>
          </w:rPr>
          <w:t xml:space="preserve">« Vorrede zum I. Band von </w:t>
        </w:r>
        <w:r w:rsidRPr="00751AC0">
          <w:rPr>
            <w:rStyle w:val="innerfusslink3"/>
            <w:rFonts w:ascii="Garamond" w:hAnsi="Garamond" w:cs="Arial"/>
            <w:b/>
            <w:bCs/>
            <w:i/>
            <w:iCs/>
            <w:lang w:val="en-GB"/>
          </w:rPr>
          <w:t>Totemism and Exogamy</w:t>
        </w:r>
        <w:r w:rsidRPr="00751AC0">
          <w:rPr>
            <w:rStyle w:val="innerfusslink3"/>
            <w:rFonts w:ascii="Garamond" w:hAnsi="Garamond" w:cs="Arial"/>
            <w:b/>
            <w:bCs/>
            <w:lang w:val="en-GB"/>
          </w:rPr>
          <w:t xml:space="preserve"> (1910).</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ist eine naheliegende Annahme, daß man das Wesen des Totemismus und der Exogamie am ehesten erfassen könnte, wenn man den Ursprüngen der beiden Institutionen näherkäme. Dann ist aber für die Beurteilung der Sachlage die Bemerkung von Andrew Lang nicht zu vergessen, daß auch die primitiven Völker uns diese ursprünglichen Formen der Institutionen und die Bedingungen für deren Entstehung nicht mehr aufbewahrt haben, so daß wir einzig und allein auf Hypothesen angewiesen bleiben, um die mangelnde Beobachtung zu ersetzen </w:t>
      </w:r>
      <w:hyperlink r:id="rId55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By the nature of the case, as the origin of totemism lies far beyond our powers of historical examination or of experiment, we must have recourse as regards this matter to conjecture</w:t>
        </w:r>
        <w:r w:rsidRPr="00751AC0">
          <w:rPr>
            <w:rStyle w:val="innerfusslink3"/>
            <w:rFonts w:ascii="Garamond" w:hAnsi="Garamond" w:cs="Arial"/>
            <w:b/>
            <w:bCs/>
            <w:lang w:val="en-GB"/>
          </w:rPr>
          <w:t xml:space="preserve">«, A. Lang (1905, p. 27). – » </w:t>
        </w:r>
        <w:r w:rsidRPr="00751AC0">
          <w:rPr>
            <w:rStyle w:val="innerfusslink3"/>
            <w:rFonts w:ascii="Garamond" w:hAnsi="Garamond" w:cs="Arial"/>
            <w:b/>
            <w:bCs/>
            <w:i/>
            <w:iCs/>
            <w:lang w:val="en-GB"/>
          </w:rPr>
          <w:t>Nowhere do we see absolutely primitive man, and a totemic system in the making.</w:t>
        </w:r>
        <w:r w:rsidRPr="00751AC0">
          <w:rPr>
            <w:rStyle w:val="innerfusslink3"/>
            <w:rFonts w:ascii="Garamond" w:hAnsi="Garamond" w:cs="Arial"/>
            <w:b/>
            <w:bCs/>
            <w:lang w:val="en-GB"/>
          </w:rPr>
          <w:t>« (Ibid., p. 29.)</w:t>
        </w:r>
      </w:hyperlink>
      <w:r w:rsidRPr="00751AC0">
        <w:rPr>
          <w:rFonts w:ascii="Garamond" w:hAnsi="Garamond"/>
          <w:color w:val="000000"/>
          <w:lang w:val="en-GB"/>
        </w:rPr>
        <w:t xml:space="preserve">. Unter den vorgebrachten Erklärungsversuchen erscheinen einige dem Urteil des Psychologen von vornherein als inadäquat. Sie sind allzu rationell und nehmen auf den Gefühlscharakter der zu erklärenden Dinge keine Rücksicht. Andere ruhen auf Voraussetzungen, denen die Beobachtung die Bestätigung versagt; noch andere berufen sich auf ein Material, welches besser einer anderen Deutung unterworfen werden sollte. Die Widerlegung der verschiedenen Ansichten hat in der Regel wenig Schwierigkeiten; die Autoren sind wie gewöhnlich in der Kritik, die sie aneinander üben, stärker als in ihren eigenen Produktionen. </w:t>
      </w:r>
      <w:r w:rsidRPr="00751AC0">
        <w:rPr>
          <w:rFonts w:ascii="Garamond" w:hAnsi="Garamond"/>
          <w:color w:val="000000"/>
        </w:rPr>
        <w:t xml:space="preserve">Ein </w:t>
      </w:r>
      <w:r w:rsidRPr="00751AC0">
        <w:rPr>
          <w:rFonts w:ascii="Garamond" w:hAnsi="Garamond"/>
          <w:i/>
          <w:iCs/>
          <w:color w:val="000000"/>
        </w:rPr>
        <w:t>Non liquet</w:t>
      </w:r>
      <w:r w:rsidRPr="00751AC0">
        <w:rPr>
          <w:rFonts w:ascii="Garamond" w:hAnsi="Garamond"/>
          <w:color w:val="000000"/>
        </w:rPr>
        <w:t xml:space="preserve"> ist für die meisten der behandelten Punkte das Endergebnis. Es ist daher nicht zu verwundern, wenn in der neuesten, hier meist übergangenen Literatur des Gegenstandes das unverkennbare Bestreben auftritt, eine allgemeine Lösung der totemistischen Probleme als undurchführbar abzuweisen. </w:t>
      </w:r>
      <w:r w:rsidRPr="00751AC0">
        <w:rPr>
          <w:rFonts w:ascii="Garamond" w:hAnsi="Garamond"/>
          <w:color w:val="000000"/>
          <w:lang w:val="en-GB"/>
        </w:rPr>
        <w:t xml:space="preserve">So z. B. Goldenweiser, 1910. (Referat in </w:t>
      </w:r>
      <w:r w:rsidRPr="00751AC0">
        <w:rPr>
          <w:rFonts w:ascii="Garamond" w:hAnsi="Garamond"/>
          <w:i/>
          <w:iCs/>
          <w:color w:val="000000"/>
          <w:lang w:val="en-GB"/>
        </w:rPr>
        <w:t>Britannica Year Book</w:t>
      </w:r>
      <w:r w:rsidRPr="00751AC0">
        <w:rPr>
          <w:rFonts w:ascii="Garamond" w:hAnsi="Garamond"/>
          <w:color w:val="000000"/>
          <w:lang w:val="en-GB"/>
        </w:rPr>
        <w:t xml:space="preserve"> 1913.) Ich habe mir gestattet, bei der Mitteilung dieser einander widerstreitenden Hypothesen von deren Zeitfolge abzusehen.</w:t>
      </w:r>
    </w:p>
    <w:p w:rsidR="00B6748F" w:rsidRPr="00751AC0" w:rsidRDefault="00B6748F" w:rsidP="00B6748F">
      <w:pPr>
        <w:rPr>
          <w:rFonts w:ascii="Garamond" w:hAnsi="Garamond"/>
          <w:caps/>
          <w:color w:val="000000"/>
          <w:lang w:val="en-GB"/>
        </w:rPr>
      </w:pPr>
      <w:r w:rsidRPr="00751AC0">
        <w:rPr>
          <w:rFonts w:ascii="Garamond" w:hAnsi="Garamond"/>
          <w:caps/>
          <w:color w:val="000000"/>
          <w:lang w:val="en-GB"/>
        </w:rPr>
        <w:t>a) Die Herkunft des Totemismus</w:t>
      </w:r>
    </w:p>
    <w:p w:rsidR="00B6748F" w:rsidRPr="00751AC0" w:rsidRDefault="00B6748F" w:rsidP="00B6748F">
      <w:pPr>
        <w:rPr>
          <w:rFonts w:ascii="Garamond" w:hAnsi="Garamond"/>
          <w:color w:val="000000"/>
        </w:rPr>
      </w:pPr>
      <w:r w:rsidRPr="00751AC0">
        <w:rPr>
          <w:rFonts w:ascii="Garamond" w:hAnsi="Garamond"/>
          <w:color w:val="000000"/>
          <w:lang w:val="en-GB"/>
        </w:rPr>
        <w:t xml:space="preserve">Die Frage nach der Entstehung des Totemismus läßt sich auch so formulieren: Wie kamen primitive Menschen dazu, sich (ihre Stämme) nach Tieren, Pflanzen, leblosen Gegenständen zu benennen? </w:t>
      </w:r>
      <w:hyperlink r:id="rId552" w:anchor="#" w:history="1">
        <w:r w:rsidRPr="00751AC0">
          <w:rPr>
            <w:rStyle w:val="fusslink"/>
            <w:rFonts w:ascii="Garamond" w:hAnsi="Garamond" w:cs="Arial"/>
            <w:b/>
            <w:bCs/>
            <w:color w:val="003399"/>
          </w:rPr>
          <w:t>[Fußnote]</w:t>
        </w:r>
        <w:r w:rsidRPr="00751AC0">
          <w:rPr>
            <w:rStyle w:val="innerfusslink3"/>
            <w:rFonts w:ascii="Garamond" w:hAnsi="Garamond" w:cs="Arial"/>
            <w:b/>
            <w:bCs/>
          </w:rPr>
          <w:t>Wahrscheinlich ursprünglich nur nach Tieren.</w:t>
        </w:r>
      </w:hyperlink>
    </w:p>
    <w:p w:rsidR="00B6748F" w:rsidRPr="00B6748F" w:rsidRDefault="00B6748F" w:rsidP="00B6748F">
      <w:pPr>
        <w:rPr>
          <w:rFonts w:ascii="Garamond" w:hAnsi="Garamond"/>
          <w:color w:val="000000"/>
        </w:rPr>
      </w:pPr>
      <w:r w:rsidRPr="00751AC0">
        <w:rPr>
          <w:rFonts w:ascii="Garamond" w:hAnsi="Garamond"/>
          <w:color w:val="000000"/>
        </w:rPr>
        <w:t xml:space="preserve">Der Schotte McLennan, der Totemismus und Exogamie für die Wissenschaft entdeckte (1869–70 und 1865), enthielt sich, eine Ansicht über die Entstehung des Totemismus zu veröffentlichen. Nach einer Mitteilung von A. Lang (1905, 34) war er eine Zeitlang geneigt, den Totemismus auf die Sitte des Tätowierens zurückzuführen. </w:t>
      </w:r>
      <w:r w:rsidRPr="00B6748F">
        <w:rPr>
          <w:rFonts w:ascii="Garamond" w:hAnsi="Garamond"/>
          <w:color w:val="000000"/>
        </w:rPr>
        <w:t xml:space="preserve">Die verlautbarten Theorien zur Ableitung des Totemismus möchte ich in drei Gruppen bringen, als </w:t>
      </w:r>
      <w:r w:rsidRPr="00751AC0">
        <w:rPr>
          <w:rFonts w:ascii="Garamond" w:hAnsi="Garamond"/>
          <w:color w:val="000000"/>
        </w:rPr>
        <w:t>α</w:t>
      </w:r>
      <w:r w:rsidRPr="00B6748F">
        <w:rPr>
          <w:rFonts w:ascii="Garamond" w:hAnsi="Garamond"/>
          <w:color w:val="000000"/>
        </w:rPr>
        <w:t xml:space="preserve">) nominalistische, </w:t>
      </w:r>
      <w:r w:rsidRPr="00751AC0">
        <w:rPr>
          <w:rFonts w:ascii="Garamond" w:hAnsi="Garamond"/>
          <w:color w:val="000000"/>
        </w:rPr>
        <w:t>β</w:t>
      </w:r>
      <w:r w:rsidRPr="00B6748F">
        <w:rPr>
          <w:rFonts w:ascii="Garamond" w:hAnsi="Garamond"/>
          <w:color w:val="000000"/>
        </w:rPr>
        <w:t xml:space="preserve">) soziologische, </w:t>
      </w:r>
      <w:r w:rsidRPr="00751AC0">
        <w:rPr>
          <w:rFonts w:ascii="Garamond" w:hAnsi="Garamond"/>
          <w:color w:val="000000"/>
        </w:rPr>
        <w:t>γ</w:t>
      </w:r>
      <w:r w:rsidRPr="00B6748F">
        <w:rPr>
          <w:rFonts w:ascii="Garamond" w:hAnsi="Garamond"/>
          <w:color w:val="000000"/>
        </w:rPr>
        <w:t>) psychologische.</w:t>
      </w:r>
    </w:p>
    <w:p w:rsidR="00B6748F" w:rsidRPr="00751AC0" w:rsidRDefault="00B6748F" w:rsidP="00B6748F">
      <w:pPr>
        <w:rPr>
          <w:rFonts w:ascii="Garamond" w:hAnsi="Garamond"/>
          <w:color w:val="000000"/>
          <w:lang w:val="en-GB"/>
        </w:rPr>
      </w:pPr>
      <w:r w:rsidRPr="00751AC0">
        <w:rPr>
          <w:rFonts w:ascii="Garamond" w:hAnsi="Garamond"/>
          <w:color w:val="000000"/>
        </w:rPr>
        <w:t>α</w:t>
      </w:r>
      <w:r w:rsidRPr="00751AC0">
        <w:rPr>
          <w:rFonts w:ascii="Garamond" w:hAnsi="Garamond"/>
          <w:color w:val="000000"/>
          <w:lang w:val="en-GB"/>
        </w:rPr>
        <w:t>) Die nominalistischen Theorien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Die Mitteilungen über diese Theorien werden deren Zusammenfassung unter dem von mir gebrachten Titel rechtfertigen.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Schon Garcilaso de la Vega, ein Abkömmling der peruanischen Inka, der im 17. Jahrhundert die Geschichte seines Volkes schrieb, soll, was ihm von totemistischen Phänomenen bekannt war, auf das Bedürfnis der Stämme, sich durch Namen voneinander zu unterscheiden, zurückgeführt haben </w:t>
      </w:r>
      <w:hyperlink r:id="rId55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Nach Lang, 1905, p. 34.</w:t>
        </w:r>
      </w:hyperlink>
      <w:r w:rsidRPr="00751AC0">
        <w:rPr>
          <w:rFonts w:ascii="Garamond" w:hAnsi="Garamond"/>
          <w:color w:val="000000"/>
          <w:lang w:val="en-GB"/>
        </w:rPr>
        <w:t xml:space="preserve">. Derselbe Gedanke taucht Jahrhunderte später in der Ethnology von A. H. Keane auf: Die Totem seien aus » </w:t>
      </w:r>
      <w:r w:rsidRPr="00751AC0">
        <w:rPr>
          <w:rFonts w:ascii="Garamond" w:hAnsi="Garamond"/>
          <w:i/>
          <w:iCs/>
          <w:color w:val="000000"/>
          <w:lang w:val="en-GB"/>
        </w:rPr>
        <w:t>heraldic badges</w:t>
      </w:r>
      <w:r w:rsidRPr="00751AC0">
        <w:rPr>
          <w:rFonts w:ascii="Garamond" w:hAnsi="Garamond"/>
          <w:color w:val="000000"/>
          <w:lang w:val="en-GB"/>
        </w:rPr>
        <w:t xml:space="preserve">« (Wappenabzeichen) hervorgegangen, durch die Individuen, Familien und Stämme sich voneinander unterscheiden wollten. </w:t>
      </w:r>
      <w:hyperlink r:id="rId55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Ibid.</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Max Müller äußerte dieselbe Ansicht über die Bedeutung der Totem in seinen </w:t>
      </w:r>
      <w:r w:rsidRPr="00751AC0">
        <w:rPr>
          <w:rFonts w:ascii="Garamond" w:hAnsi="Garamond"/>
          <w:i/>
          <w:iCs/>
          <w:color w:val="000000"/>
          <w:lang w:val="en-GB"/>
        </w:rPr>
        <w:t>Contributions to the Science of Mythology</w:t>
      </w:r>
      <w:r w:rsidRPr="00751AC0">
        <w:rPr>
          <w:rFonts w:ascii="Garamond" w:hAnsi="Garamond"/>
          <w:color w:val="000000"/>
          <w:lang w:val="en-GB"/>
        </w:rPr>
        <w:t xml:space="preserve">. </w:t>
      </w:r>
      <w:hyperlink r:id="rId555" w:anchor="#" w:history="1">
        <w:r w:rsidRPr="00751AC0">
          <w:rPr>
            <w:rStyle w:val="fusslink"/>
            <w:rFonts w:ascii="Garamond" w:hAnsi="Garamond" w:cs="Arial"/>
            <w:b/>
            <w:bCs/>
            <w:color w:val="003399"/>
          </w:rPr>
          <w:t>[Fußnote]</w:t>
        </w:r>
        <w:r w:rsidRPr="00751AC0">
          <w:rPr>
            <w:rStyle w:val="innerfusslink3"/>
            <w:rFonts w:ascii="Garamond" w:hAnsi="Garamond" w:cs="Arial"/>
            <w:b/>
            <w:bCs/>
          </w:rPr>
          <w:t>Nach A. Lang.</w:t>
        </w:r>
      </w:hyperlink>
      <w:r w:rsidRPr="00751AC0">
        <w:rPr>
          <w:rFonts w:ascii="Garamond" w:hAnsi="Garamond"/>
          <w:color w:val="000000"/>
        </w:rPr>
        <w:t xml:space="preserve"> Ein Totem sei: 1. ein Clanabzeichen, 2. ein Clanname, 3. der Name des Ahnherrn des Clan, 4. der Name des vom Clan verehrten Gegenstandes. </w:t>
      </w:r>
      <w:r w:rsidRPr="00751AC0">
        <w:rPr>
          <w:rFonts w:ascii="Garamond" w:hAnsi="Garamond"/>
          <w:color w:val="000000"/>
          <w:lang w:val="en-GB"/>
        </w:rPr>
        <w:t xml:space="preserve">Später J. Pikler (1899): »Die Menschen bedurften eines bleibenden, schriftlich fixierbaren Namens für Gemeinschaften und Individuen ... So entspringt also der Totemismus nicht aus dem religiösen, sondern aus dem nüchternen Alltagsbedürfnis der Menschheit. Der Kern des Totemismus, die Benennung, ist eine Folge der primitiven Schrifttechnik. Der Charakter der Totem ist auch der von leicht darstellbaren Schriftzeichen. Wenn die Wilden aber erst den Namen eines Tieres trugen, so leiteten sie daraus die Idee einer Verwandtschaft mit diesem Tiere ab.« </w:t>
      </w:r>
      <w:hyperlink r:id="rId55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Pikler und Somló. Die Autoren kennzeichnen ihren Erklärungsversuch mit Recht als »Beitrag zur materialistischen Geschichtstheorie«.</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Herbert Spencer </w:t>
      </w:r>
      <w:hyperlink r:id="rId55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1870, I. Bd., §§ 169 bis 176</w:t>
        </w:r>
      </w:hyperlink>
      <w:r w:rsidRPr="00751AC0">
        <w:rPr>
          <w:rFonts w:ascii="Garamond" w:hAnsi="Garamond"/>
          <w:color w:val="000000"/>
          <w:lang w:val="en-GB"/>
        </w:rPr>
        <w:t xml:space="preserve"> legte gleichfalls der Namengebung die entscheidende Bedeutung für die Entstehung des Totemismus bei. Einzelne Individuen, führte er aus, hätten durch ihre Eigenschaften herausgefordert, sie nach Tieren zu benennen, und seien so zu Ehrennamen oder Spitznamen gekommen, welche sich auf ihre Nachkommen fortsetzten. Infolge der Unbestimmtheit und Unverständlichkeit der primitiven Sprachen seien diese Namen von den späteren Generationen so aufgefaßt worden, als seien sie ein Zeugnis für ihre Abstammung von diesen Tieren selbst. Der Totemismus hätte sich so als mißverständliche Ahnenverehrung ergeben.</w:t>
      </w:r>
    </w:p>
    <w:p w:rsidR="00B6748F" w:rsidRPr="00751AC0" w:rsidRDefault="00B6748F" w:rsidP="00B6748F">
      <w:pPr>
        <w:rPr>
          <w:rFonts w:ascii="Garamond" w:hAnsi="Garamond"/>
          <w:color w:val="000000"/>
          <w:lang w:val="en-GB"/>
        </w:rPr>
      </w:pPr>
      <w:r w:rsidRPr="00751AC0">
        <w:rPr>
          <w:rFonts w:ascii="Garamond" w:hAnsi="Garamond"/>
          <w:color w:val="000000"/>
          <w:lang w:val="en-GB"/>
        </w:rPr>
        <w:t>Ganz ähnlich, obwohl ohne Hervorhebung des Mißverständnisses hat Lord Avebury (bekannter unter seinem früheren Namen Sir John Lubbock) die Entstehung des Totemismus beurteilt: Wenn wir die Tierverehrung erklären wollen, dürfen wir nicht daran vergessen, wie häufig die menschlichen Namen von den Tieren entlehnt werden. Die Kinder und das Gefolge eines Mannes, der Bär oder Löwe genannt wurde, machten daraus natürlich einen Stammesnamen. Daraus ergab sich, daß das Tier selbst zu einer gewissen Achtung und endlich Verehrung gelangte.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Einen, wie es scheint, unwiderleglichen Einwand gegen solche Zurückführung der Totemnamen auf die Namen von Individuen hat Fison vorgebracht </w:t>
      </w:r>
      <w:hyperlink r:id="rId55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Kamilaroi and Kurmai, p. 165, 1880 (nach A. Lang, Secret etc.).</w:t>
        </w:r>
      </w:hyperlink>
      <w:r w:rsidRPr="00751AC0">
        <w:rPr>
          <w:rFonts w:ascii="Garamond" w:hAnsi="Garamond"/>
          <w:color w:val="000000"/>
          <w:lang w:val="en-GB"/>
        </w:rPr>
        <w:t xml:space="preserve"> Er zeigt an den Verhältnissen von Australien, daß der Totem stets das Merkzeichen einer Gruppe von Menschen, nie eines einzelnen ist. Wäre es aber anders und der Totem ursprünglich der Name eines einzelnen Menschen, so könnte er bei dem System der mütterlichen Vererbung nie auf dessen Kinder übergehen.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bisher mitgeteilten Theorien sind übrigens in offenkundiger Weise unzureichend. Sie erklären etwa die Tatsache der Tiernamen für die Stämme der Primitiven, aber niemals die Bedeutung, welche diese Namengebung für sie gewonnen hat, das totemistische System. Die beachtenswerteste Theorie dieser Gruppe ist die von A. Lang in seinen Büchern </w:t>
      </w:r>
      <w:r w:rsidRPr="00751AC0">
        <w:rPr>
          <w:rFonts w:ascii="Garamond" w:hAnsi="Garamond"/>
          <w:i/>
          <w:iCs/>
          <w:color w:val="000000"/>
          <w:lang w:val="en-GB"/>
        </w:rPr>
        <w:t>Social Origins</w:t>
      </w:r>
      <w:r w:rsidRPr="00751AC0">
        <w:rPr>
          <w:rFonts w:ascii="Garamond" w:hAnsi="Garamond"/>
          <w:color w:val="000000"/>
          <w:lang w:val="en-GB"/>
        </w:rPr>
        <w:t xml:space="preserve"> 1903 und </w:t>
      </w:r>
      <w:r w:rsidRPr="00751AC0">
        <w:rPr>
          <w:rFonts w:ascii="Garamond" w:hAnsi="Garamond"/>
          <w:i/>
          <w:iCs/>
          <w:color w:val="000000"/>
          <w:lang w:val="en-GB"/>
        </w:rPr>
        <w:t>The Secret of the Totem</w:t>
      </w:r>
      <w:r w:rsidRPr="00751AC0">
        <w:rPr>
          <w:rFonts w:ascii="Garamond" w:hAnsi="Garamond"/>
          <w:color w:val="000000"/>
          <w:lang w:val="en-GB"/>
        </w:rPr>
        <w:t xml:space="preserve"> 1905 entwickelte. Sie macht immer noch die Namengebung zum Kern des Problems, aber sie verarbeitet zwei interessante psychologische Momente und beansprucht so, das Rätsel des Totemismus der endgültigen Lösung zugeführt zu haben.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A. Lang meint, es sei zunächst gleichgültig, auf welche Weise die Clans zu ihren Tiernamen gekommen seien. Man wolle nur annehmen, sie erwachten eines Tages zum Bewußtsein, daß sie solche tragen, und wußten sich keine Rechenschaft zu geben, woher. </w:t>
      </w:r>
      <w:r w:rsidRPr="00751AC0">
        <w:rPr>
          <w:rFonts w:ascii="Garamond" w:hAnsi="Garamond"/>
          <w:i/>
          <w:iCs/>
          <w:color w:val="000000"/>
          <w:lang w:val="en-GB"/>
        </w:rPr>
        <w:t>Der Ursprung dieser Namen sei vergessen.</w:t>
      </w:r>
      <w:r w:rsidRPr="00751AC0">
        <w:rPr>
          <w:rFonts w:ascii="Garamond" w:hAnsi="Garamond"/>
          <w:color w:val="000000"/>
          <w:lang w:val="en-GB"/>
        </w:rPr>
        <w:t xml:space="preserve"> Dann würden sie versuchen, sich durch Spekulation Auskunft darüber zu schaffen, und bei ihren Überzeugungen von der Bedeutung der Namen müßten sie notwendigerweise zu all den Ideen kommen, die im totemistischen System enthalten sind. Namen sind für die Primitiven – wie für die heutigen Wilden und selbst für unsere Kinder </w:t>
      </w:r>
      <w:hyperlink r:id="rId55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oben die Abhandlung über das Tabu,, S. 71.</w:t>
        </w:r>
      </w:hyperlink>
      <w:r w:rsidRPr="00751AC0">
        <w:rPr>
          <w:rFonts w:ascii="Garamond" w:hAnsi="Garamond"/>
          <w:color w:val="000000"/>
          <w:lang w:val="en-GB"/>
        </w:rPr>
        <w:t xml:space="preserve"> – nicht etwa etwas Gleichgültiges und Konventionelles, wie sie uns erscheinen, sondern etwas Bedeutungsvolles und Wesentliches. </w:t>
      </w:r>
      <w:r w:rsidRPr="00751AC0">
        <w:rPr>
          <w:rFonts w:ascii="Garamond" w:hAnsi="Garamond"/>
          <w:color w:val="000000"/>
        </w:rPr>
        <w:t xml:space="preserve">Der Name eines Menschen ist ein Hauptbestandteil seiner Person, vielleicht ein Stück seiner Seele. </w:t>
      </w:r>
      <w:r w:rsidRPr="00751AC0">
        <w:rPr>
          <w:rFonts w:ascii="Garamond" w:hAnsi="Garamond"/>
          <w:color w:val="000000"/>
          <w:lang w:val="en-GB"/>
        </w:rPr>
        <w:t>Die Gleichnamigkeit mit dem Tiere mußte die Primitiven dazu führen, ein geheimnisvolles und bedeutsames Band zwischen ihren Personen und dieser Tiergattung anzunehmen. Welches Band konnte da anders in Betracht kommen als das der Blutsverwandtschaft? War diese aber infolge der Namensgleichheit einmal angenommen, so ergaben sich aus ihr als direkte Folgen des Bluttabu alle Totemvorschriften mit Einschluß der Exogamie.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 </w:t>
      </w:r>
      <w:r w:rsidRPr="00751AC0">
        <w:rPr>
          <w:rFonts w:ascii="Garamond" w:hAnsi="Garamond"/>
          <w:i/>
          <w:iCs/>
          <w:color w:val="000000"/>
          <w:lang w:val="en-GB"/>
        </w:rPr>
        <w:t>No more than these three things – a group animal name of unknown origin; belief in a transcendental connection between all bearers, human and bestial, of the same name; and belief in the blood superstitions – was needed to give rise to all the totemic creeds and practices, including exogamy.</w:t>
      </w:r>
      <w:r w:rsidRPr="00751AC0">
        <w:rPr>
          <w:rFonts w:ascii="Garamond" w:hAnsi="Garamond"/>
          <w:color w:val="000000"/>
          <w:lang w:val="en-GB"/>
        </w:rPr>
        <w:t>« (Lang, 1905, p. 125)</w:t>
      </w:r>
    </w:p>
    <w:p w:rsidR="00B6748F" w:rsidRPr="00751AC0" w:rsidRDefault="00B6748F" w:rsidP="00B6748F">
      <w:pPr>
        <w:rPr>
          <w:rFonts w:ascii="Garamond" w:hAnsi="Garamond"/>
          <w:color w:val="000000"/>
          <w:lang w:val="en-GB"/>
        </w:rPr>
      </w:pPr>
      <w:r w:rsidRPr="00751AC0">
        <w:rPr>
          <w:rFonts w:ascii="Garamond" w:hAnsi="Garamond"/>
          <w:color w:val="000000"/>
          <w:lang w:val="en-GB"/>
        </w:rPr>
        <w:t>Langs Erklärung ist sozusagen zweizeitig. Sie leitet das totemistische System mit psychologischer Notwendigkeit aus der Tatsache der Totemnamen ab unter der Voraussetzung, daß die Herkunft dieser Namengebung vergessen worden sei. Das andere Stück der Theorie sucht nun den Ursprung dieser Namen aufzuklären; wir werden sehen, daß es von ganz anderem Gepräge ist.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Dies andere Stück der Langschen Theorie entfernt sich nicht wesentlich von den übrigen, die ich »nominalistisch« genannt habe. Das praktische Bedürfnis nach Unterscheidung nötigte die einzelnen Stämme, Namen anzunehmen, und darum ließen sie sich die Namen gefallen, die jedem Stamm von den anderen gegeben wurden. Dies » </w:t>
      </w:r>
      <w:r w:rsidRPr="00751AC0">
        <w:rPr>
          <w:rFonts w:ascii="Garamond" w:hAnsi="Garamond"/>
          <w:i/>
          <w:iCs/>
          <w:color w:val="000000"/>
          <w:lang w:val="en-GB"/>
        </w:rPr>
        <w:t>naming from without</w:t>
      </w:r>
      <w:r w:rsidRPr="00751AC0">
        <w:rPr>
          <w:rFonts w:ascii="Garamond" w:hAnsi="Garamond"/>
          <w:color w:val="000000"/>
          <w:lang w:val="en-GB"/>
        </w:rPr>
        <w:t xml:space="preserve">« ist die Eigentümlichkeit der Langschen Konstruktion. Daß die Namen, die so zustande kamen, von Tieren entlehnt waren, ist nicht weiter auffällig und braucht von den Primitiven nicht als Schimpf oder Spott empfunden worden zu sein. Übrigens hat Lang die keineswegs vereinzelten Fälle aus späteren Epochen der Geschichte herangezogen, in denen von außen gegebene, ursprünglich als Spott gemeinte Namen von den so Bezeichneten akzeptiert und bereitwillig getragen wurden ( </w:t>
      </w:r>
      <w:r w:rsidRPr="00751AC0">
        <w:rPr>
          <w:rFonts w:ascii="Garamond" w:hAnsi="Garamond"/>
          <w:i/>
          <w:iCs/>
          <w:color w:val="000000"/>
          <w:lang w:val="en-GB"/>
        </w:rPr>
        <w:t>Geusen, Whigs</w:t>
      </w:r>
      <w:r w:rsidRPr="00751AC0">
        <w:rPr>
          <w:rFonts w:ascii="Garamond" w:hAnsi="Garamond"/>
          <w:color w:val="000000"/>
          <w:lang w:val="en-GB"/>
        </w:rPr>
        <w:t xml:space="preserve"> und </w:t>
      </w:r>
      <w:r w:rsidRPr="00751AC0">
        <w:rPr>
          <w:rFonts w:ascii="Garamond" w:hAnsi="Garamond"/>
          <w:i/>
          <w:iCs/>
          <w:color w:val="000000"/>
          <w:lang w:val="en-GB"/>
        </w:rPr>
        <w:t>Tories</w:t>
      </w:r>
      <w:r w:rsidRPr="00751AC0">
        <w:rPr>
          <w:rFonts w:ascii="Garamond" w:hAnsi="Garamond"/>
          <w:color w:val="000000"/>
          <w:lang w:val="en-GB"/>
        </w:rPr>
        <w:t>). Die Annahme, daß die Entstehung dieser Namen im Laufe der Zeit vergessen wurde, verknüpft dies zweite Stück der Langschen Theorie mit dem vorhin dargestellten ersten.</w:t>
      </w:r>
    </w:p>
    <w:p w:rsidR="00B6748F" w:rsidRPr="00751AC0" w:rsidRDefault="00B6748F" w:rsidP="00B6748F">
      <w:pPr>
        <w:rPr>
          <w:rFonts w:ascii="Garamond" w:hAnsi="Garamond"/>
          <w:color w:val="000000"/>
          <w:lang w:val="en-GB"/>
        </w:rPr>
      </w:pPr>
      <w:r w:rsidRPr="00751AC0">
        <w:rPr>
          <w:rFonts w:ascii="Garamond" w:hAnsi="Garamond"/>
          <w:color w:val="000000"/>
        </w:rPr>
        <w:t>β</w:t>
      </w:r>
      <w:r w:rsidRPr="00751AC0">
        <w:rPr>
          <w:rFonts w:ascii="Garamond" w:hAnsi="Garamond"/>
          <w:color w:val="000000"/>
          <w:lang w:val="en-GB"/>
        </w:rPr>
        <w:t>) Die soziologischen Theorien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 Reinach, der den Überbleibseln des totemistischen Systems in Kult und Sitte späterer Perioden erfolgreich nachgespürt, aber von Anfang an das Moment der Abstammung vom Totemtier geringgeschätzt hat, äußert einmal ohne Bedenken, der Totemismus scheine ihm nichts anderes zu sein als » </w:t>
      </w:r>
      <w:r w:rsidRPr="00751AC0">
        <w:rPr>
          <w:rFonts w:ascii="Garamond" w:hAnsi="Garamond"/>
          <w:i/>
          <w:iCs/>
          <w:color w:val="000000"/>
          <w:lang w:val="en-GB"/>
        </w:rPr>
        <w:t>une hypertrophie de l'instinct social</w:t>
      </w:r>
      <w:r w:rsidRPr="00751AC0">
        <w:rPr>
          <w:rFonts w:ascii="Garamond" w:hAnsi="Garamond"/>
          <w:color w:val="000000"/>
          <w:lang w:val="en-GB"/>
        </w:rPr>
        <w:t xml:space="preserve">« </w:t>
      </w:r>
      <w:hyperlink r:id="rId56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Reinach (1905–12, Bd. 1, p. 41).</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rPr>
        <w:t xml:space="preserve">Dieselbe Auffassung scheint das neue Werk von E. Durkheim: </w:t>
      </w:r>
      <w:r w:rsidRPr="00751AC0">
        <w:rPr>
          <w:rFonts w:ascii="Garamond" w:hAnsi="Garamond"/>
          <w:i/>
          <w:iCs/>
          <w:color w:val="000000"/>
        </w:rPr>
        <w:t>Les formes élémentaires de la vie religieuse: Le système totémique en Australie</w:t>
      </w:r>
      <w:r w:rsidRPr="00751AC0">
        <w:rPr>
          <w:rFonts w:ascii="Garamond" w:hAnsi="Garamond"/>
          <w:color w:val="000000"/>
        </w:rPr>
        <w:t xml:space="preserve"> (1912), zu durchziehen. Der Totem ist der sichtbare Repräsentant der sozialen Religion dieser Völker. Er verkörpert die Gemeinschaft, welche der eigentliche Gegenstand der Verehrung ist.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Andere Autoren haben nach näherer Begründung für diese Beteiligung der sozialen Triebe an der Bildung der totemistischen Institutionen gesucht. So hat A. C. Haddon angenommen, daß jeder primitive Stamm ursprünglich von einer besonderen Tier- oder Pflanzenart lebte, vielleicht auch mit diesem Nahrungsmittel </w:t>
      </w:r>
      <w:r w:rsidRPr="00751AC0">
        <w:rPr>
          <w:rFonts w:ascii="Garamond" w:hAnsi="Garamond"/>
          <w:color w:val="000000"/>
          <w:lang w:val="en-GB"/>
        </w:rPr>
        <w:lastRenderedPageBreak/>
        <w:t xml:space="preserve">Handel trieb und ihn anderen Stämmen im Austausch zuführte. So konnte es nicht fehlen, daß der Stamm den anderen unter dem Namen des Tieres, welches für ihn eine so wichtige Rolle spielte, bekannt wurde. Gleichzeitig mußte sich bei diesem Stamm eine besondere Vertrautheit mit dem betreffenden Tier und eine Art von Interesse für dasselbe entwickeln, welches aber auf kein anderes psychisches Motiv als auf das elementarste und dringendste der menschlichen Bedürfnisse, den Hunger, gegründet war </w:t>
      </w:r>
      <w:hyperlink r:id="rId56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Haddon (1902), bei Frazer (1910, Bd. 4, p. 50).</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Einwendungen gegen diese rationalste aller Totemtheorien besagen, daß ein solcher Zustand der Ernährung bei den Primitiven nirgends gefunden werde und wahrscheinlich niemals bestanden habe. Die Wilden seien omnivor, und zwar um so mehr, je niedriger sie stehen. Ferner sei es nicht zu verstehen, wie aus solcher ausschließlicher Diät sich ein fast religiöses Verhältnis zu dem Totem entwickelt haben konnte, das in der absoluten Enthaltung von der Vorzugsnahrung gipfelte.</w:t>
      </w:r>
    </w:p>
    <w:p w:rsidR="00B6748F" w:rsidRPr="00751AC0" w:rsidRDefault="00B6748F" w:rsidP="00B6748F">
      <w:pPr>
        <w:rPr>
          <w:rFonts w:ascii="Garamond" w:hAnsi="Garamond"/>
          <w:color w:val="000000"/>
          <w:lang w:val="en-GB"/>
        </w:rPr>
      </w:pPr>
      <w:r w:rsidRPr="00751AC0">
        <w:rPr>
          <w:rFonts w:ascii="Garamond" w:hAnsi="Garamond"/>
          <w:color w:val="000000"/>
          <w:lang w:val="en-GB"/>
        </w:rPr>
        <w:t>Die erste der drei Theorien, welche Frazer über die Entstehung des Totemismus ausgesprochen, war eine psychologische; sie wird an anderer Stelle berichtet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 zweite hier zu besprechende Theorie Frazers entstand unter dem Eindruck der bedeutungsvollen Publikation zweier Forscher über die Eingeborenen von Zentralaustralien.</w:t>
      </w:r>
    </w:p>
    <w:p w:rsidR="00B6748F" w:rsidRPr="00751AC0" w:rsidRDefault="00B6748F" w:rsidP="00B6748F">
      <w:pPr>
        <w:rPr>
          <w:rFonts w:ascii="Garamond" w:hAnsi="Garamond"/>
          <w:color w:val="000000"/>
          <w:lang w:val="en-GB"/>
        </w:rPr>
      </w:pPr>
      <w:r w:rsidRPr="00751AC0">
        <w:rPr>
          <w:rFonts w:ascii="Garamond" w:hAnsi="Garamond"/>
          <w:color w:val="000000"/>
          <w:lang w:val="en-GB"/>
        </w:rPr>
        <w:t>Spencer und Gillen beschrieben bei einer Gruppe von Stämmen, der sogenannten Aruntanation, eine Reihe von eigentümlichen Einrichtungen, Gebräuchen und Ansichten, und Frazer schloß sich ihrem Urteile an, daß diese Besonderheiten als Züge eines primären Zustandes zu betrachten seien und über den ersten und eigentlichen Sinn des Totemismus Aufschluß geben können.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Diese Eigentümlichkeiten sind bei dem Aruntastamm selbst (einem Teil der Aruntanation) folgende:</w:t>
      </w:r>
    </w:p>
    <w:p w:rsidR="00B6748F" w:rsidRPr="00751AC0" w:rsidRDefault="00B6748F" w:rsidP="00B6748F">
      <w:pPr>
        <w:rPr>
          <w:rFonts w:ascii="Garamond" w:hAnsi="Garamond"/>
          <w:color w:val="000000"/>
          <w:lang w:val="en-GB"/>
        </w:rPr>
      </w:pPr>
      <w:r w:rsidRPr="00751AC0">
        <w:rPr>
          <w:rFonts w:ascii="Garamond" w:hAnsi="Garamond"/>
          <w:color w:val="000000"/>
          <w:lang w:val="en-GB"/>
        </w:rPr>
        <w:t>1. Sie haben die Gliederung in Totemclans, aber der Totem wird nicht erblich übertragen, sondern (auf später mitzuteilende Weise) individuell bestimmt.</w:t>
      </w:r>
    </w:p>
    <w:p w:rsidR="00B6748F" w:rsidRPr="00751AC0" w:rsidRDefault="00B6748F" w:rsidP="00B6748F">
      <w:pPr>
        <w:rPr>
          <w:rFonts w:ascii="Garamond" w:hAnsi="Garamond"/>
          <w:color w:val="000000"/>
          <w:lang w:val="en-GB"/>
        </w:rPr>
      </w:pPr>
      <w:r w:rsidRPr="00751AC0">
        <w:rPr>
          <w:rFonts w:ascii="Garamond" w:hAnsi="Garamond"/>
          <w:color w:val="000000"/>
          <w:lang w:val="en-GB"/>
        </w:rPr>
        <w:t>2. Die Totemclans sind nicht exogam, die Heiratsbeschränkungen werden durch eine hochentwickelte Gliederung in Heiratsklassen hergestellt, welche mit den Totem nichts zu tun haben.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3. Die Funktion der Totemclans besteht in der Ausführung einer Zeremonie, welche auf exquisit magische Weise die Vermehrung des eßbaren Totemobjekts bezweckt (diese Zeremonie heißt </w:t>
      </w:r>
      <w:r w:rsidRPr="00751AC0">
        <w:rPr>
          <w:rFonts w:ascii="Garamond" w:hAnsi="Garamond"/>
          <w:i/>
          <w:iCs/>
          <w:color w:val="000000"/>
          <w:lang w:val="en-GB"/>
        </w:rPr>
        <w:t>Intichiuma</w:t>
      </w:r>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4. Die Arunta haben eine eigenartige Konzeptions- und Wiedergeburtstheorie. Sie nehmen an, daß an bestimmten Stellen ihres Landes die Geister der Verstorbenen desselben Totem auf ihre Wiedergeburt warten und in den Leib der Frauen eindringen, die jene Stellen passieren. Wird ein Kind geboren, so gibt die Mutter an, auf welcher Geisterstätte sie ihr Kind empfangen zu haben glaubt. Danach wird der Totem des Kindes bestimmt. Es wird ferner angenommen, daß die Geister (der Verstorbenen wie der Wiedergeborenen) an eigentümliche Steinamulette gebunden sind (namens </w:t>
      </w:r>
      <w:r w:rsidRPr="00751AC0">
        <w:rPr>
          <w:rFonts w:ascii="Garamond" w:hAnsi="Garamond"/>
          <w:i/>
          <w:iCs/>
          <w:color w:val="000000"/>
          <w:lang w:val="en-GB"/>
        </w:rPr>
        <w:t>Churinga</w:t>
      </w:r>
      <w:r w:rsidRPr="00751AC0">
        <w:rPr>
          <w:rFonts w:ascii="Garamond" w:hAnsi="Garamond"/>
          <w:color w:val="000000"/>
          <w:lang w:val="en-GB"/>
        </w:rPr>
        <w:t>), welche an jenen Stätten gefunden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Zwei Momente scheinen Frazer zum Glauben bewogen zu haben, daß man in den Einrichtungen der Arunta die älteste Form des Totemismus aufgefunden habe. Erstens die Existenz gewisser Mythen, welche behaupteten, daß die Ahnen der Arunta sich regelmäßig von ihrem Totem genährt und keine anderen Frauen als die aus ihrem eigenen Totem geheiratet hätten. Zweitens die anscheinende Zurücksetzung des Geschlechtsaktes in ihrer Konzeptionstheorie. Menschen, die noch nicht erkannt hatten, daß die Empfängnis die Folge des Geschlechtsverkehrs sei, dürfte man wohl als die zurückgebliebensten und primitivsten unter den heute lebenden ansehen.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Indem Frazer sich für die Beurteilung des Totemismus an die </w:t>
      </w:r>
      <w:r w:rsidRPr="00751AC0">
        <w:rPr>
          <w:rFonts w:ascii="Garamond" w:hAnsi="Garamond"/>
          <w:i/>
          <w:iCs/>
          <w:color w:val="000000"/>
          <w:lang w:val="en-GB"/>
        </w:rPr>
        <w:t>Intichiuma</w:t>
      </w:r>
      <w:r w:rsidRPr="00751AC0">
        <w:rPr>
          <w:rFonts w:ascii="Garamond" w:hAnsi="Garamond"/>
          <w:color w:val="000000"/>
          <w:lang w:val="en-GB"/>
        </w:rPr>
        <w:t xml:space="preserve">zeremonie hielt, erschien ihm das totemistische System auf einmal in gänzlich verändertem Lichte als eine durchwegs praktische Organisation zur Bestreitung der natürlichsten Bedürfnisse des Menschen (vgl. oben, Haddon) </w:t>
      </w:r>
      <w:hyperlink r:id="rId56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There is nothing vague or mystical about it, nothing of that metaphysical haze which some writers love to conjure up over the humble beginnings of human speculation, but which is utterly foreign to the simple, sensuous and concrete modes of thought of the savage.</w:t>
        </w:r>
        <w:r w:rsidRPr="00751AC0">
          <w:rPr>
            <w:rStyle w:val="innerfusslink3"/>
            <w:rFonts w:ascii="Garamond" w:hAnsi="Garamond" w:cs="Arial"/>
            <w:b/>
            <w:bCs/>
            <w:lang w:val="en-GB"/>
          </w:rPr>
          <w:t>« (Frazer, 1910, I, p. 117.)</w:t>
        </w:r>
      </w:hyperlink>
      <w:r w:rsidRPr="00751AC0">
        <w:rPr>
          <w:rFonts w:ascii="Garamond" w:hAnsi="Garamond"/>
          <w:color w:val="000000"/>
          <w:lang w:val="en-GB"/>
        </w:rPr>
        <w:t xml:space="preserve">, Das System war einfach ein großartiges Stück von » </w:t>
      </w:r>
      <w:r w:rsidRPr="00751AC0">
        <w:rPr>
          <w:rFonts w:ascii="Garamond" w:hAnsi="Garamond"/>
          <w:i/>
          <w:iCs/>
          <w:color w:val="000000"/>
          <w:lang w:val="en-GB"/>
        </w:rPr>
        <w:t>co-operative magic</w:t>
      </w:r>
      <w:r w:rsidRPr="00751AC0">
        <w:rPr>
          <w:rFonts w:ascii="Garamond" w:hAnsi="Garamond"/>
          <w:color w:val="000000"/>
          <w:lang w:val="en-GB"/>
        </w:rPr>
        <w:t xml:space="preserve">«. Die Primitiven bildeten sozusagen einen magischen Produktions- und Konsumverein. Jeder Totemclan hatte die Aufgabe übernommen, für die Reichlichkeit eines gewissen Nahrungsmittels zu sorgen. Wenn es sich um nicht eßbare Totem handelte, wie um schädliche Tiere, um Regen, Wind u. dgl., so war die Pflicht des Totemclan, dieses Stück Natur zu beherrschen und dessen Schädlichkeit abzuwehren. Die Leistungen eines jeden Clan kamen allen anderen zugute. Da der Clan von seinem Totem nichts oder nur sehr wenig essen durfte, so beschaffte er dieses wertvolle Gut für die anderen und wurde dafür von ihnen mit dem versorgt, was sie selbst als ihre soziale Totempflicht zu besorgen hatten. Im Lichte dieser durch die </w:t>
      </w:r>
      <w:r w:rsidRPr="00751AC0">
        <w:rPr>
          <w:rFonts w:ascii="Garamond" w:hAnsi="Garamond"/>
          <w:i/>
          <w:iCs/>
          <w:color w:val="000000"/>
          <w:lang w:val="en-GB"/>
        </w:rPr>
        <w:t>Intichiuma</w:t>
      </w:r>
      <w:r w:rsidRPr="00751AC0">
        <w:rPr>
          <w:rFonts w:ascii="Garamond" w:hAnsi="Garamond"/>
          <w:color w:val="000000"/>
          <w:lang w:val="en-GB"/>
        </w:rPr>
        <w:t>zeremonie vermittelten Auffassung wollte es Frazer scheinen, als wäre man durch das Verbot, von seinem Totem zu essen, verblendet worden, die wichtigere Seite des Verhältnisses zu vernachlässigen, nämlich das Gebot, möglichst viel von dem eßbaren Totem für den Bedarf der anderen herbeizuschaffen.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Frazer nahm die Tradition der Arunta an, daß jeder Totemclan sich ursprünglich ohne Einschränkung von seinem Totem genährt habe. Dann bereitete es Schwierigkeiten, die folgende Entwicklung zu verstehen, die sich damit begnügte, den Totem für andere zu sichern, während man selbst auf seinen Genuß fast verzichtete. Er nahm dann an, diese Einschränkung sei keineswegs aus einer Art von religiösem Respekt hervorgegangen, sondern vielleicht aus der Beobachtung, daß kein Tier seinesgleichen zu verzehren pflege, so daß dieser Abbruch der Identifizierung mit dem Totem der Macht, die man über denselben zu erlangen wünschte, Schaden brächte. </w:t>
      </w:r>
      <w:smartTag w:uri="urn:schemas-microsoft-com:office:smarttags" w:element="place">
        <w:r w:rsidRPr="00751AC0">
          <w:rPr>
            <w:rFonts w:ascii="Garamond" w:hAnsi="Garamond"/>
            <w:color w:val="000000"/>
            <w:lang w:val="en-GB"/>
          </w:rPr>
          <w:t>Oder</w:t>
        </w:r>
      </w:smartTag>
      <w:r w:rsidRPr="00751AC0">
        <w:rPr>
          <w:rFonts w:ascii="Garamond" w:hAnsi="Garamond"/>
          <w:color w:val="000000"/>
          <w:lang w:val="en-GB"/>
        </w:rPr>
        <w:t xml:space="preserve"> aus einem Bestreben, sich das Wesen geneigt zu machen, indem man es selbst verschonte. Frazer verhehlte sich aber die Schwierigkeiten dieser Erklärung nicht (1910, I. Bd., p. 121 ff.), und ebensowenig getraute er sich anzugeben, auf welchem Wege die von den Mythen der Arunta behauptete Gewohnheit, innerhalb des Totem zu heiraten, sich zur Exogamie gewandelt habe.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auf das </w:t>
      </w:r>
      <w:r w:rsidRPr="00751AC0">
        <w:rPr>
          <w:rFonts w:ascii="Garamond" w:hAnsi="Garamond"/>
          <w:i/>
          <w:iCs/>
          <w:color w:val="000000"/>
          <w:lang w:val="en-GB"/>
        </w:rPr>
        <w:t>Intichiuma</w:t>
      </w:r>
      <w:r w:rsidRPr="00751AC0">
        <w:rPr>
          <w:rFonts w:ascii="Garamond" w:hAnsi="Garamond"/>
          <w:color w:val="000000"/>
          <w:lang w:val="en-GB"/>
        </w:rPr>
        <w:t xml:space="preserve"> gegründete Theorie Frazers steht und fällt mit der Anerkennung der primitiven Natur der Aruntainstitutionen. Es scheint aber unmöglich, diese letztere gegen die von Durkheim </w:t>
      </w:r>
      <w:hyperlink r:id="rId56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i/>
            <w:iCs/>
            <w:lang w:val="en-GB"/>
          </w:rPr>
          <w:t>L'année sociologique,</w:t>
        </w:r>
        <w:r w:rsidRPr="00751AC0">
          <w:rPr>
            <w:rStyle w:val="innerfusslink3"/>
            <w:rFonts w:ascii="Garamond" w:hAnsi="Garamond" w:cs="Arial"/>
            <w:b/>
            <w:bCs/>
            <w:lang w:val="en-GB"/>
          </w:rPr>
          <w:t xml:space="preserve"> Bd. I, V, VIII und an anderen Stellen. S. besonders die Abhandlung ›Sur le totémisme‹, Bd. V (1902).</w:t>
        </w:r>
      </w:hyperlink>
      <w:r w:rsidRPr="00751AC0">
        <w:rPr>
          <w:rFonts w:ascii="Garamond" w:hAnsi="Garamond"/>
          <w:color w:val="000000"/>
          <w:lang w:val="en-GB"/>
        </w:rPr>
        <w:t xml:space="preserve"> und Lang (1903 und 1905) vorgebrachten Einwendungen zu halten. Die Arunta scheinen vielmehr die entwickeltsten der australischen Stämme zu sein, eher ein Auflösungsstadium als den Beginn des Totemismus zu repräsentieren. Die Mythen, welche auf Frazer so großen Eindruck gemacht haben, weil sie im Gegensatz zu den heute herrschenden Institutionen die Freiheit betonen, vom Totem zu essen und innerhalb des Totem zu heiraten, würden sich uns leicht als Wunschphantasien erklären, welche in die Vergangenheit projiziert sind, ähnlich wie der Mythus vom goldenen Zeitalter.</w:t>
      </w:r>
    </w:p>
    <w:p w:rsidR="00B6748F" w:rsidRPr="00751AC0" w:rsidRDefault="00B6748F" w:rsidP="00B6748F">
      <w:pPr>
        <w:rPr>
          <w:rFonts w:ascii="Garamond" w:hAnsi="Garamond"/>
          <w:color w:val="000000"/>
          <w:lang w:val="en-GB"/>
        </w:rPr>
      </w:pPr>
      <w:r w:rsidRPr="00751AC0">
        <w:rPr>
          <w:rFonts w:ascii="Garamond" w:hAnsi="Garamond"/>
          <w:color w:val="000000"/>
        </w:rPr>
        <w:t>γ</w:t>
      </w:r>
      <w:r w:rsidRPr="00751AC0">
        <w:rPr>
          <w:rFonts w:ascii="Garamond" w:hAnsi="Garamond"/>
          <w:color w:val="000000"/>
          <w:lang w:val="en-GB"/>
        </w:rPr>
        <w:t>) Die psychologischen Theorien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erste psychologische Theorie Frazers, noch vor seiner Bekanntschaft mit den Beobachtungen von Spencer und Gillen geschaffen, ruhte auf dem Glauben an die »äußerliche Seele« </w:t>
      </w:r>
      <w:hyperlink r:id="rId56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i/>
            <w:iCs/>
            <w:lang w:val="en-GB"/>
          </w:rPr>
          <w:t>The Golden Bough</w:t>
        </w:r>
        <w:r w:rsidRPr="00751AC0">
          <w:rPr>
            <w:rStyle w:val="innerfusslink3"/>
            <w:rFonts w:ascii="Garamond" w:hAnsi="Garamond" w:cs="Arial"/>
            <w:b/>
            <w:bCs/>
            <w:lang w:val="en-GB"/>
          </w:rPr>
          <w:t xml:space="preserve"> (1890), II, p. 332.</w:t>
        </w:r>
      </w:hyperlink>
      <w:r w:rsidRPr="00751AC0">
        <w:rPr>
          <w:rFonts w:ascii="Garamond" w:hAnsi="Garamond"/>
          <w:color w:val="000000"/>
          <w:lang w:val="en-GB"/>
        </w:rPr>
        <w:t xml:space="preserve">. Der Totem sollte einen sicheren Zufluchtsort für die Seele darstellen, an dem sie deponiert wird, um den Gefahren, die sie bedrohen, entzogen zu bleiben. Wenn der Primitive seine Seele in seinem Totem untergebracht hatte, so war er selbst unverletzlich, und natürlich hütete er sich, den Träger seiner Seele selbst zu beschädigen. Da er aber nicht wußte, welches Individuum der Tierart sein </w:t>
      </w:r>
      <w:r w:rsidRPr="00751AC0">
        <w:rPr>
          <w:rFonts w:ascii="Garamond" w:hAnsi="Garamond"/>
          <w:color w:val="000000"/>
          <w:lang w:val="en-GB"/>
        </w:rPr>
        <w:lastRenderedPageBreak/>
        <w:t>Seelenträger war, lag es ihm nahe, die ganze Art zu verschonen. Frazer hat diese Ableitung des Totemismus aus dem Seelenglauben später selbst aufgegeben.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Als er mit den Beobachtungen von Spencer und Gillen bekannt wurde, stellte er die andere, soziologische Theorie des Totemismus auf, welche eben vorhin mitgeteilt wurde, aber er fand dann selbst, daß das Motiv, aus dem er den Totemismus abgeleitet, allzu »rationell« sei und daß er dabei eine soziale Organisation vorausgesetzt habe, die allzu kompliziert sei, als daß man sie primitiv heißen dürfe </w:t>
      </w:r>
      <w:hyperlink r:id="rId56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It is unlikely that a community of savages should deliberately parcel out the realm of nature into provinces, assign euch province to a particular band of magicians, and bid all the bands to work their magic and weave their spells for the common good.</w:t>
        </w:r>
        <w:r w:rsidRPr="00751AC0">
          <w:rPr>
            <w:rStyle w:val="innerfusslink3"/>
            <w:rFonts w:ascii="Garamond" w:hAnsi="Garamond" w:cs="Arial"/>
            <w:b/>
            <w:bCs/>
            <w:lang w:val="en-GB"/>
          </w:rPr>
          <w:t>« (Frazer, 1910, Bd. 4, 57.)</w:t>
        </w:r>
      </w:hyperlink>
      <w:r w:rsidRPr="00751AC0">
        <w:rPr>
          <w:rFonts w:ascii="Garamond" w:hAnsi="Garamond"/>
          <w:color w:val="000000"/>
          <w:lang w:val="en-GB"/>
        </w:rPr>
        <w:t>. Die magischen Kooperativgesellschaften erschienen ihm jetzt eher als späte Früchte denn als Keime des Totemismus. Er suchte ein einfacheres Moment, einen primitiven Aberglauben, hinter diesen Bildungen, um aus ihm die Entstehung des Totemismus abzuleiten. Dieses ursprüngliche Moment fand er dann in der merkwürdigen Konzeptionstheorie der Arunta.</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Arunta heben, wie bereits erwähnt, den Zusammenhang der Konzeption mit dem Geschlechtsakt auf. Wenn ein Weib sich Mutter fühlt, so ist in diesem Augenblick einer der auf Wiedergeburt lauernden Geister von der nächstliegenden Geisterstätte in ihren Leib eingedrungen und wird von ihr als Kind geboren. Dies Kind hat denselben Totem wie alle an der gewissen Stelle lauernden Geister. Diese Konzeptionstheorie kann den Totemismus nicht erklären, denn sie setzt den Totem voraus. Aber wenn man einen Schritt weiter zurückgehen und annehmen will, daß das Weib ursprünglich geglaubt, das Tier, die Pflanze, der Stein, das Objekt, welches ihre Phantasie in dem Moment beschäftigte, da sie sich zuerst Mutter fühlte, sei wirklich in sie eingedrungen und werde dann von ihr in menschlicher Form geboren, dann wäre die Identität eines Menschen mit seinem Totem durch den Glauben der Mutter wirklich begründet, und alle weiteren Totemgebote (mit Ausschluß der Exogamie) ließen sich leicht daraus ableiten. Der Mensch würde sich weigern, von diesem Tier, dieser Pflanze zu </w:t>
      </w:r>
      <w:smartTag w:uri="urn:schemas-microsoft-com:office:smarttags" w:element="City">
        <w:r w:rsidRPr="00751AC0">
          <w:rPr>
            <w:rFonts w:ascii="Garamond" w:hAnsi="Garamond"/>
            <w:color w:val="000000"/>
            <w:lang w:val="en-GB"/>
          </w:rPr>
          <w:t>essen</w:t>
        </w:r>
      </w:smartTag>
      <w:r w:rsidRPr="00751AC0">
        <w:rPr>
          <w:rFonts w:ascii="Garamond" w:hAnsi="Garamond"/>
          <w:color w:val="000000"/>
          <w:lang w:val="en-GB"/>
        </w:rPr>
        <w:t xml:space="preserve">, weil er damit gleichsam sich selbst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würde. Er würde sich aber veranlaßt finden, gelegentlich in zeremoniöser Weise etwas von seinem Totem zu genießen, weil er dadurch seine Identifizierung mit dem Totem, welche das Wesentliche am Totemismus ist, verstärken könnte. Beobachtungen von W. H. R. Rivers an den Eingeborenen der Banksinseln schienen die direkte Identifizierung der Menschen mit ihrem Totem auf Grund einer solchen Konzeptionstheorie zu erweisen </w:t>
      </w:r>
      <w:hyperlink r:id="rId56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II, p. 89 und IV, p. 59).</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letzte Quelle des Totemismus wäre also die Unwissenheit der Wilden über den Prozeß, wie Menschen und Tiere ihr Geschlecht fortpflanzen. Des besonderen die Unkenntnis der Rolle, welche das Männchen bei der Befruchtung spielt. Diese Unkenntnis muß erleichtert werden durch das lange Intervall, welches sich zwischen den befruchtenden Akt und die Geburt des Kindes (oder das Verspüren der ersten Kindsbewegungen) einschiebt. </w:t>
      </w:r>
      <w:r w:rsidRPr="00751AC0">
        <w:rPr>
          <w:rFonts w:ascii="Garamond" w:hAnsi="Garamond"/>
          <w:color w:val="000000"/>
        </w:rPr>
        <w:t xml:space="preserve">Der Totemismus ist daher eine Schöpfung nicht des männlichen, sondern des weiblichen Geistes. </w:t>
      </w:r>
      <w:r w:rsidRPr="00751AC0">
        <w:rPr>
          <w:rFonts w:ascii="Garamond" w:hAnsi="Garamond"/>
          <w:color w:val="000000"/>
          <w:lang w:val="en-GB"/>
        </w:rPr>
        <w:t xml:space="preserve">Die Gelüste ( </w:t>
      </w:r>
      <w:r w:rsidRPr="00751AC0">
        <w:rPr>
          <w:rFonts w:ascii="Garamond" w:hAnsi="Garamond"/>
          <w:i/>
          <w:iCs/>
          <w:color w:val="000000"/>
          <w:lang w:val="en-GB"/>
        </w:rPr>
        <w:t>sick fancies</w:t>
      </w:r>
      <w:r w:rsidRPr="00751AC0">
        <w:rPr>
          <w:rFonts w:ascii="Garamond" w:hAnsi="Garamond"/>
          <w:color w:val="000000"/>
          <w:lang w:val="en-GB"/>
        </w:rPr>
        <w:t xml:space="preserve">) des schwangeren Weibes sind die Wurzel desselben. » </w:t>
      </w:r>
      <w:r w:rsidRPr="00751AC0">
        <w:rPr>
          <w:rFonts w:ascii="Garamond" w:hAnsi="Garamond"/>
          <w:i/>
          <w:iCs/>
          <w:color w:val="000000"/>
          <w:lang w:val="en-GB"/>
        </w:rPr>
        <w:t>Anything indeed that struck a woman at that mysterious moment of her life when she first knows herself to be a mother might easily be identified by her with the child in her womb. Such maternal fancies, so natural and seemingly so universal, appear to be the root of totemism.</w:t>
      </w:r>
      <w:r w:rsidRPr="00751AC0">
        <w:rPr>
          <w:rFonts w:ascii="Garamond" w:hAnsi="Garamond"/>
          <w:color w:val="000000"/>
          <w:lang w:val="en-GB"/>
        </w:rPr>
        <w:t xml:space="preserve">« </w:t>
      </w:r>
      <w:hyperlink r:id="rId56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l. c. IV, p. 63.</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Haupteinwand gegen diese dritte Frazersche Theorie ist derselbe, der bereits gegen die zweite, soziologische vorgebracht wurde. Die Arunta scheinen sich von den Anfängen des Totemismus weit weg entfernt zu haben. Ihre Verleugnung der Vaterschaft scheint nicht auf primitiver Unwissenheit zu beruhen; sie haben selbst in manchen Stücken väterliche Vererbung. Sie scheinen die Vaterschaft einer Art von Spekulation geopfert zu haben, welche die Ahnengeister zu Ehren bringen will </w:t>
      </w:r>
      <w:hyperlink r:id="rId56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That belief is a philosophy far from primitive.</w:t>
        </w:r>
        <w:r w:rsidRPr="00751AC0">
          <w:rPr>
            <w:rStyle w:val="innerfusslink3"/>
            <w:rFonts w:ascii="Garamond" w:hAnsi="Garamond" w:cs="Arial"/>
            <w:b/>
            <w:bCs/>
            <w:lang w:val="en-GB"/>
          </w:rPr>
          <w:t>« (A. Lang, 1905, p. 192.)</w:t>
        </w:r>
      </w:hyperlink>
      <w:r w:rsidRPr="00751AC0">
        <w:rPr>
          <w:rFonts w:ascii="Garamond" w:hAnsi="Garamond"/>
          <w:color w:val="000000"/>
          <w:lang w:val="en-GB"/>
        </w:rPr>
        <w:t xml:space="preserve">. Wenn sie den Mythus der unbefleckten Empfängnis durch den Geist zur allgemeinen Konzeptionstheorie erheben, darf man ihnen </w:t>
      </w:r>
      <w:r w:rsidRPr="00751AC0">
        <w:rPr>
          <w:rFonts w:ascii="Garamond" w:hAnsi="Garamond"/>
          <w:color w:val="000000"/>
          <w:lang w:val="en-GB"/>
        </w:rPr>
        <w:lastRenderedPageBreak/>
        <w:t>darum Unwissenheit über die Bedingungen der Fortpflanzung ebensowenig zumuten wie den alten Völkern um die Zeit der Entstehung der christlichen Mythen.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Eine andere psychologische Theorie der Herkunft des Totemismus hat der Holländer G. A. Wilken aufgestellt. Sie stellt eine Verknüpfung des Totemismus mit der Seelenwanderung her. »Dasjenige Tier, in welches die Seelen der Toten nach allgemeinem Glauben übergingen, wurde zum Blutsverwandten, Ahnherrn und als solcher verehrt.« Aber der Glauben an die Tierwanderung der Seelen mag eher aus dem Totemismus abgeleitet sein als umgekehrt </w:t>
      </w:r>
      <w:hyperlink r:id="rId56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Bei Frazer,1910, IV, p. 45 u. ff.).</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Eine andere Theorie des Totemismus wird von ausgezeichneten amerikanischen Ethnologen, Fr. Boas, Hill-Tout u. a., vertreten. Sie geht von den Beobachtungen an totemistischen Indianerstämmen aus und behauptet, der Totem sei ursprünglich der Schutzgeist eines Ahnen, den dieser durch einen Traum erworben und auf seine Nachkommenschaft vererbt habe. Wir haben schon früher gehört, welche Schwierigkeiten die Ableitung des Totemismus aus der Vererbung von einem Einzelnen her bietet; überdies sollen die australischen Beobachtungen die Zurückführung des Totem auf den Schutzgeist keineswegs unterstützen. </w:t>
      </w:r>
      <w:hyperlink r:id="rId570"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 c., p. 48 .</w:t>
        </w:r>
      </w:hyperlink>
    </w:p>
    <w:p w:rsidR="00B6748F" w:rsidRPr="00751AC0" w:rsidRDefault="00B6748F" w:rsidP="00B6748F">
      <w:pPr>
        <w:rPr>
          <w:rFonts w:ascii="Garamond" w:hAnsi="Garamond"/>
          <w:color w:val="000000"/>
          <w:lang w:val="en-GB"/>
        </w:rPr>
      </w:pPr>
      <w:r w:rsidRPr="00751AC0">
        <w:rPr>
          <w:rFonts w:ascii="Garamond" w:hAnsi="Garamond"/>
          <w:color w:val="000000"/>
        </w:rPr>
        <w:t xml:space="preserve">Für die letzte der psychologischen Theorien, die von Wundt ausgesprochene, sind die beiden Tatsachen entscheidend geworden, daß erstens das ursprüngliche Totemobjekt und das dauernd verbreitetste das Tier ist und daß zweitens unter den Totemtieren wieder die ursprünglichsten mit Seelentieren zusammenfallen. </w:t>
      </w:r>
      <w:hyperlink r:id="rId571" w:anchor="#" w:history="1">
        <w:r w:rsidRPr="00751AC0">
          <w:rPr>
            <w:rStyle w:val="fusslink"/>
            <w:rFonts w:ascii="Garamond" w:hAnsi="Garamond" w:cs="Arial"/>
            <w:b/>
            <w:bCs/>
            <w:color w:val="003399"/>
          </w:rPr>
          <w:t>[Fußnote]</w:t>
        </w:r>
        <w:r w:rsidRPr="00751AC0">
          <w:rPr>
            <w:rStyle w:val="innerfusslink3"/>
            <w:rFonts w:ascii="Garamond" w:hAnsi="Garamond" w:cs="Arial"/>
            <w:b/>
            <w:bCs/>
          </w:rPr>
          <w:t>Wundt, 1912, p. 190.</w:t>
        </w:r>
      </w:hyperlink>
      <w:r w:rsidRPr="00751AC0">
        <w:rPr>
          <w:rFonts w:ascii="Garamond" w:hAnsi="Garamond"/>
          <w:color w:val="000000"/>
        </w:rPr>
        <w:t xml:space="preserve"> Seelentiere, wie Vögel, Schlange, Eidechse, Maus, eignen sich durch ihre schnelle Beweglichkeit, ihren Flug in der Luft, durch andere Überraschung und Grauen erregende Eigenschaften dazu, als die Träger der den Körper verlassenden Seele erkannt zu werden. </w:t>
      </w:r>
      <w:r w:rsidRPr="00751AC0">
        <w:rPr>
          <w:rFonts w:ascii="Garamond" w:hAnsi="Garamond"/>
          <w:color w:val="000000"/>
          <w:lang w:val="en-GB"/>
        </w:rPr>
        <w:t>Das Totemtier ist ein Abkömmling der Tierverwandlungen der Hauchseele. So mündet hier für Wundt der Totemismus unmittelbar in den Seelenglauben oder Animismus ein.</w:t>
      </w:r>
    </w:p>
    <w:p w:rsidR="00B6748F" w:rsidRPr="00751AC0" w:rsidRDefault="00B6748F" w:rsidP="00B6748F">
      <w:pPr>
        <w:rPr>
          <w:rFonts w:ascii="Garamond" w:hAnsi="Garamond"/>
          <w:caps/>
          <w:color w:val="000000"/>
          <w:lang w:val="en-GB"/>
        </w:rPr>
      </w:pPr>
      <w:r w:rsidRPr="00751AC0">
        <w:rPr>
          <w:rFonts w:ascii="Garamond" w:hAnsi="Garamond"/>
          <w:i/>
          <w:iCs/>
          <w:caps/>
          <w:color w:val="000000"/>
          <w:lang w:val="en-GB"/>
        </w:rPr>
        <w:t>b)</w:t>
      </w:r>
      <w:r w:rsidRPr="00751AC0">
        <w:rPr>
          <w:rFonts w:ascii="Garamond" w:hAnsi="Garamond"/>
          <w:caps/>
          <w:color w:val="000000"/>
          <w:lang w:val="en-GB"/>
        </w:rPr>
        <w:t xml:space="preserve"> und </w:t>
      </w:r>
      <w:r w:rsidRPr="00751AC0">
        <w:rPr>
          <w:rFonts w:ascii="Garamond" w:hAnsi="Garamond"/>
          <w:i/>
          <w:iCs/>
          <w:caps/>
          <w:color w:val="000000"/>
          <w:lang w:val="en-GB"/>
        </w:rPr>
        <w:t>c)</w:t>
      </w:r>
      <w:r w:rsidRPr="00751AC0">
        <w:rPr>
          <w:rFonts w:ascii="Garamond" w:hAnsi="Garamond"/>
          <w:caps/>
          <w:color w:val="000000"/>
          <w:lang w:val="en-GB"/>
        </w:rPr>
        <w:t xml:space="preserve"> Die Herkunft der Exogamie und ihre Beziehung zum Totemismus</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Ich habe die Theorien des Totemismus mit einiger Ausführlichkeit vorgebracht und muß dennoch befürchten, daß ich deren Eindruck durch die immerhin notwendige Verkürzung geschadet habe. In betreff der weiteren Fragen nehme ich mir im Interesse der Leser die Freiheit einer noch weitergehenden Zusammendrängung. Die Diskussionen über Exogamie der Totemvölker werden durch die Natur des dabei verwerteten Materials besonders kompliziert und unübersehbar; man könnte sagen: verworren. Die Ziele dieser Abhandlung gestatten es auch, daß ich </w:t>
      </w:r>
      <w:smartTag w:uri="urn:schemas-microsoft-com:office:smarttags" w:element="State">
        <w:smartTag w:uri="urn:schemas-microsoft-com:office:smarttags" w:element="place">
          <w:r w:rsidRPr="00751AC0">
            <w:rPr>
              <w:rFonts w:ascii="Garamond" w:hAnsi="Garamond"/>
              <w:color w:val="000000"/>
              <w:lang w:val="en-GB"/>
            </w:rPr>
            <w:t>mich</w:t>
          </w:r>
        </w:smartTag>
      </w:smartTag>
      <w:r w:rsidRPr="00751AC0">
        <w:rPr>
          <w:rFonts w:ascii="Garamond" w:hAnsi="Garamond"/>
          <w:color w:val="000000"/>
          <w:lang w:val="en-GB"/>
        </w:rPr>
        <w:t xml:space="preserve"> hier auf Hervorhebung einiger Richtlinien beschränke und für eine gründlichere Verfolgung des Gegenstandes auf die mehrmals zitierten eingehenden Fachschriften verweise.</w:t>
      </w:r>
    </w:p>
    <w:p w:rsidR="00B6748F" w:rsidRPr="00751AC0" w:rsidRDefault="00B6748F" w:rsidP="00B6748F">
      <w:pPr>
        <w:rPr>
          <w:rFonts w:ascii="Garamond" w:hAnsi="Garamond"/>
          <w:color w:val="000000"/>
          <w:lang w:val="en-GB"/>
        </w:rPr>
      </w:pPr>
      <w:r w:rsidRPr="00751AC0">
        <w:rPr>
          <w:rFonts w:ascii="Garamond" w:hAnsi="Garamond"/>
          <w:color w:val="000000"/>
          <w:lang w:val="en-GB"/>
        </w:rPr>
        <w:t>Die Stellung eines Autors zu den Problemen der Exogamie ist natürlich nicht unabhängig von seiner Parteinahme für diese oder jene Totemtheorie. Einige von diesen Erklärungen des Totemismus lassen jede Anknüpfung an die Exogamie vermissen, so daß die beiden Institutionen glatt auseinanderfallen. So stehen hier zwei Anschauungen einander gegenüber, die eine, welche den ursprünglichen Anschein festhalten will, die Exogamie sei ein wesentliches Stück des totemistischen Systems, und eine andere, welche einen solchen Zusammenhang bestreitet und an ein zufälliges Zusammentreffen der beiden Züge ältester Kulturen glaubt. Frazer hat in seinen späteren Arbeiten diesen letzteren Standpunkt mit Entschiedenheit vertreten.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 </w:t>
      </w:r>
      <w:r w:rsidRPr="00751AC0">
        <w:rPr>
          <w:rFonts w:ascii="Garamond" w:hAnsi="Garamond"/>
          <w:i/>
          <w:iCs/>
          <w:color w:val="000000"/>
          <w:lang w:val="en-GB"/>
        </w:rPr>
        <w:t>I must request the reader to bear constantly in mind that the two institutions of totemism and exogamy are fundamentally distinct inorigin and nature, though they have accidentally crossed and blended in many tribes.«</w:t>
      </w:r>
      <w:r w:rsidRPr="00751AC0">
        <w:rPr>
          <w:rFonts w:ascii="Garamond" w:hAnsi="Garamond"/>
          <w:color w:val="000000"/>
          <w:lang w:val="en-GB"/>
        </w:rPr>
        <w:t xml:space="preserve"> (T. and Ex., </w:t>
      </w:r>
      <w:smartTag w:uri="urn:schemas-microsoft-com:office:smarttags" w:element="place">
        <w:r w:rsidRPr="00751AC0">
          <w:rPr>
            <w:rFonts w:ascii="Garamond" w:hAnsi="Garamond"/>
            <w:color w:val="000000"/>
            <w:lang w:val="en-GB"/>
          </w:rPr>
          <w:t>I.</w:t>
        </w:r>
      </w:smartTag>
      <w:r w:rsidRPr="00751AC0">
        <w:rPr>
          <w:rFonts w:ascii="Garamond" w:hAnsi="Garamond"/>
          <w:color w:val="000000"/>
          <w:lang w:val="en-GB"/>
        </w:rPr>
        <w:t>, Vorrede XII.)</w:t>
      </w:r>
    </w:p>
    <w:p w:rsidR="00B6748F" w:rsidRPr="00751AC0" w:rsidRDefault="00B6748F" w:rsidP="00B6748F">
      <w:pPr>
        <w:rPr>
          <w:rFonts w:ascii="Garamond" w:hAnsi="Garamond"/>
          <w:color w:val="000000"/>
        </w:rPr>
      </w:pPr>
      <w:r w:rsidRPr="00751AC0">
        <w:rPr>
          <w:rFonts w:ascii="Garamond" w:hAnsi="Garamond"/>
          <w:color w:val="000000"/>
          <w:lang w:val="en-GB"/>
        </w:rPr>
        <w:lastRenderedPageBreak/>
        <w:t xml:space="preserve">Er warnt direkt vor der gegenteiligen Ansicht als einer Quelle unendlicher Schwierigkeiten und Mißverständnisse. Im Gegensatz hiezu haben andere Autoren den Weg gefunden, die Exogamie als notwendige Folge der totemistischen Grundanschauungen zu begreifen. Durkheim hat in seinen Arbeiten (1898 – 1904) ausgeführt, wie das an den Totem geknüpfte Tabu das Verbot mit sich bringen mußte, ein Weib des nämlichen Totem zum geschlechtlichen Verkehr zu gebrauchen. Der Totem ist von demselben Blut wie der Mensch, und darum verbietet der Blutbann (mit Rücksicht auf Defloration und Menstruation) den sexuellen Verkehr mit dem Weibe, das demselben Totem angehört </w:t>
      </w:r>
      <w:hyperlink r:id="rId57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S. die Kritik der Erörterungen Durkheims bei Frazer, T. and Ex., IV, p. 101.</w:t>
        </w:r>
      </w:hyperlink>
      <w:r w:rsidRPr="00751AC0">
        <w:rPr>
          <w:rFonts w:ascii="Garamond" w:hAnsi="Garamond"/>
          <w:color w:val="000000"/>
          <w:lang w:val="en-GB"/>
        </w:rPr>
        <w:t xml:space="preserve">. </w:t>
      </w:r>
      <w:r w:rsidRPr="00751AC0">
        <w:rPr>
          <w:rFonts w:ascii="Garamond" w:hAnsi="Garamond"/>
          <w:color w:val="000000"/>
        </w:rPr>
        <w:t>A. Lang, der sich hierin Durkheim anschließt, meint sogar, es bedürfte nicht des Bluttabu, um das Verbot der Frauen des gleichen Stammes zu bewirken. (Lang, 1905, p. 125.) Das allgemeine Totemtabu, welches z. B. verbietet, im Schatten des Totembaumes zu sitzen, würde hiefür hingereicht haben. A. Lang verficht übrigens auch eine andere Ableitung der Exogamie (s. unten) und läßt es zweifelhaft, wie sich diese beiden Erklärungen zueinander verhalten.</w:t>
      </w:r>
    </w:p>
    <w:p w:rsidR="00B6748F" w:rsidRPr="00751AC0" w:rsidRDefault="00B6748F" w:rsidP="00B6748F">
      <w:pPr>
        <w:rPr>
          <w:rFonts w:ascii="Garamond" w:hAnsi="Garamond"/>
          <w:color w:val="000000"/>
        </w:rPr>
      </w:pPr>
      <w:r w:rsidRPr="00751AC0">
        <w:rPr>
          <w:rFonts w:ascii="Garamond" w:hAnsi="Garamond"/>
          <w:color w:val="000000"/>
        </w:rPr>
        <w:t xml:space="preserve">In betreff der zeitlichen Verhältnisse huldigt die Mehrzahl der Autoren der Ansicht, der Totemismus sei die ältere Institution, die Exogamie später hinzugekommen. </w:t>
      </w:r>
      <w:hyperlink r:id="rId57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Zum Beispiel Frazer, l. c., IV, p. 75: » </w:t>
        </w:r>
        <w:r w:rsidRPr="00751AC0">
          <w:rPr>
            <w:rStyle w:val="innerfusslink3"/>
            <w:rFonts w:ascii="Garamond" w:hAnsi="Garamond" w:cs="Arial"/>
            <w:b/>
            <w:bCs/>
            <w:i/>
            <w:iCs/>
            <w:lang w:val="en-GB"/>
          </w:rPr>
          <w:t>The totemic clan is a totally different social organism from the exogamous clan, and we have good grounds for thinking that it is far older.</w:t>
        </w:r>
        <w:r w:rsidRPr="00751AC0">
          <w:rPr>
            <w:rStyle w:val="innerfusslink3"/>
            <w:rFonts w:ascii="Garamond" w:hAnsi="Garamond" w:cs="Arial"/>
            <w:b/>
            <w:bCs/>
            <w:lang w:val="en-GB"/>
          </w:rPr>
          <w:t>«</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Unter den Theorien, welche die Exogamie unabhängig vom Totemismus erklären wollen, seien nur einige hervorgehoben, welche die verschiedenen Einstellungen der Autoren zum Inzestproblem erläutern. McLennan (1865) hatte die Exogamie in geistreicher Weise aus den Überresten von Sitten erraten, welche auf den ehemaligen Frauenraub hindeuteten. Er nahm nun an, daß es in Urzeiten allgemein gebräuchlich gewesen sei, sich das Weib aus einem fremden Stamm zu holen, und die Heirat mit einem Weib aus dem eigenen Stamm sei allmählich unerlaubt geworden, weil sie ungewöhnlich war </w:t>
      </w:r>
      <w:hyperlink r:id="rId574" w:anchor="#" w:history="1">
        <w:r w:rsidRPr="00751AC0">
          <w:rPr>
            <w:rStyle w:val="fusslink"/>
            <w:rFonts w:ascii="Garamond" w:hAnsi="Garamond" w:cs="Arial"/>
            <w:b/>
            <w:bCs/>
            <w:color w:val="003399"/>
          </w:rPr>
          <w:t>[Fußnote]</w:t>
        </w:r>
        <w:r w:rsidRPr="00751AC0">
          <w:rPr>
            <w:rStyle w:val="innerfusslink3"/>
            <w:rFonts w:ascii="Garamond" w:hAnsi="Garamond" w:cs="Arial"/>
            <w:b/>
            <w:bCs/>
          </w:rPr>
          <w:t xml:space="preserve">» </w:t>
        </w:r>
        <w:r w:rsidRPr="00751AC0">
          <w:rPr>
            <w:rStyle w:val="innerfusslink3"/>
            <w:rFonts w:ascii="Garamond" w:hAnsi="Garamond" w:cs="Arial"/>
            <w:b/>
            <w:bCs/>
            <w:i/>
            <w:iCs/>
          </w:rPr>
          <w:t>Improper because it was unusual.</w:t>
        </w:r>
        <w:r w:rsidRPr="00751AC0">
          <w:rPr>
            <w:rStyle w:val="innerfusslink3"/>
            <w:rFonts w:ascii="Garamond" w:hAnsi="Garamond" w:cs="Arial"/>
            <w:b/>
            <w:bCs/>
          </w:rPr>
          <w:t>«</w:t>
        </w:r>
      </w:hyperlink>
      <w:r w:rsidRPr="00751AC0">
        <w:rPr>
          <w:rFonts w:ascii="Garamond" w:hAnsi="Garamond"/>
          <w:color w:val="000000"/>
        </w:rPr>
        <w:t xml:space="preserve">. Das Motiv für diese Gewohnheit der Exogamie suchte er in einem Frauenmangel jener primitiven Stämme, der sich aus dem Gebrauch, die meisten weiblichen Kinder bei der Geburt zu töten, ergeben hatte. Wir haben es hier nicht mit der Nachprüfung zu tun, ob die tatsächlichen Verhältnisse die Annahmen McLennans bestätigen. Weit mehr interessiert uns das Argument, daß es unter den Voraussetzungen des Autors doch unerklärlich bliebe, warum sich die männlichen Mitglieder des Stammes auch die wenigen Frauen aus ihrem Blut unzugänglich machen sollten, und die Art, wie hier das Inzestproblem gänzlich beiseite gelassen wird. </w:t>
      </w:r>
      <w:hyperlink r:id="rId575"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 c., IV, p. 71–92.</w:t>
        </w:r>
      </w:hyperlink>
    </w:p>
    <w:p w:rsidR="00B6748F" w:rsidRPr="00751AC0" w:rsidRDefault="00B6748F" w:rsidP="00B6748F">
      <w:pPr>
        <w:rPr>
          <w:rFonts w:ascii="Garamond" w:hAnsi="Garamond"/>
          <w:color w:val="000000"/>
        </w:rPr>
      </w:pPr>
      <w:r w:rsidRPr="00751AC0">
        <w:rPr>
          <w:rFonts w:ascii="Garamond" w:hAnsi="Garamond"/>
          <w:color w:val="000000"/>
        </w:rPr>
        <w:t xml:space="preserve">Im Gegensatz hiezu und offenbar mit mehr Recht haben andere Forscher die Exogamie als eine Institution zur Verhütung des Inzests erfaßt </w:t>
      </w:r>
      <w:hyperlink r:id="rId576" w:anchor="#" w:history="1">
        <w:r w:rsidRPr="00751AC0">
          <w:rPr>
            <w:rStyle w:val="fusslink"/>
            <w:rFonts w:ascii="Garamond" w:hAnsi="Garamond" w:cs="Arial"/>
            <w:b/>
            <w:bCs/>
            <w:color w:val="003399"/>
          </w:rPr>
          <w:t>[Fußnote]</w:t>
        </w:r>
        <w:r w:rsidRPr="00751AC0">
          <w:rPr>
            <w:rStyle w:val="innerfusslink3"/>
            <w:rFonts w:ascii="Garamond" w:hAnsi="Garamond" w:cs="Arial"/>
            <w:b/>
            <w:bCs/>
          </w:rPr>
          <w:t>Vgl. die erste Abhandlung.</w:t>
        </w:r>
      </w:hyperlink>
      <w:r w:rsidRPr="00751AC0">
        <w:rPr>
          <w:rFonts w:ascii="Garamond" w:hAnsi="Garamond"/>
          <w:color w:val="000000"/>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Überblickt man die allmählich wachsende Komplikation der australischen Heiratsbeschränkungen, so kann man nicht anders als der Ansicht von Morgan, Frazer, Howitt, Baldwin Spencer </w:t>
      </w:r>
      <w:hyperlink r:id="rId57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Morgan, 1877. – Frazer, T. and Ex. IV, p 105 ff.).</w:t>
        </w:r>
      </w:hyperlink>
      <w:r w:rsidRPr="00751AC0">
        <w:rPr>
          <w:rFonts w:ascii="Garamond" w:hAnsi="Garamond"/>
          <w:color w:val="000000"/>
          <w:lang w:val="en-GB"/>
        </w:rPr>
        <w:t xml:space="preserve"> beistimmen, daß diese Einrichtungen das Gepräge zielbewußter Absicht (» </w:t>
      </w:r>
      <w:r w:rsidRPr="00751AC0">
        <w:rPr>
          <w:rFonts w:ascii="Garamond" w:hAnsi="Garamond"/>
          <w:i/>
          <w:iCs/>
          <w:color w:val="000000"/>
          <w:lang w:val="en-GB"/>
        </w:rPr>
        <w:t>deliberate design</w:t>
      </w:r>
      <w:r w:rsidRPr="00751AC0">
        <w:rPr>
          <w:rFonts w:ascii="Garamond" w:hAnsi="Garamond"/>
          <w:color w:val="000000"/>
          <w:lang w:val="en-GB"/>
        </w:rPr>
        <w:t xml:space="preserve">« nach Frazer) an sich tragen und daß sie das erreichen sollten, was sie tatsächlich geleistet haben. » </w:t>
      </w:r>
      <w:r w:rsidRPr="00751AC0">
        <w:rPr>
          <w:rFonts w:ascii="Garamond" w:hAnsi="Garamond"/>
          <w:i/>
          <w:iCs/>
          <w:color w:val="000000"/>
          <w:lang w:val="en-GB"/>
        </w:rPr>
        <w:t>In no other way does it seem possible to explain in all its details a system at once so complex and so regular.</w:t>
      </w:r>
      <w:r w:rsidRPr="00751AC0">
        <w:rPr>
          <w:rFonts w:ascii="Garamond" w:hAnsi="Garamond"/>
          <w:color w:val="000000"/>
          <w:lang w:val="en-GB"/>
        </w:rPr>
        <w:t>« (Frazer, ibid., p. 106.)</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ist interessant hervorzuheben, daß die ersten der durch die Einführung von Heiratsklassen erzeugten Beschränkungen die Sexualfreiheit der jüngeren Generation, also den Inzest von Geschwistern und von Söhnen mit ihrer Mutter trafen, während der Inzest zwischen Vater und Tochter erst durch weitergehende Maßregeln aufgehoben wurde. Die Zurückführung der exogamischen Sexualbeschränkungen auf gesetzgeberische Absicht leistet aber nichts für das Verständnis des Motivs, welches diese Institutionen geschaffen hat. Woher stammt in letzter Auflösung die Inzestscheu, welche als die Wurzel der Exogamie </w:t>
      </w:r>
      <w:r w:rsidRPr="00751AC0">
        <w:rPr>
          <w:rFonts w:ascii="Garamond" w:hAnsi="Garamond"/>
          <w:color w:val="000000"/>
          <w:lang w:val="en-GB"/>
        </w:rPr>
        <w:lastRenderedPageBreak/>
        <w:t>erkannt werden muß? Es ist offenbar nicht genügend, sich zur Erklärung der Inzestscheu auf eine instinktive Abneigung gegen sexuellen Verkehr unter Blutsverwandten, d. h. also auf die Tatsache der Inzestscheu zu berufen, wenn die soziale Erfahrung nachweist, daß der Inzest diesem Instinkt zum Trotz kein seltenes Vorkommnis selbst in unserer heutigen Gesellschaft ist, und wenn die historische Erfahrung Fälle kennen lehrt, in denen die inzestuöse Ehe bevorzugten Personen zur Vorschrift gemacht wurde.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Westermarck </w:t>
      </w:r>
      <w:hyperlink r:id="rId57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Ursprung und Entwicklung der Moralbegriffe, II. Die Ehe. 1909. Dort auch die Verteidigung des Autors gegen ihm bekannt gewordene Einwendungen.</w:t>
        </w:r>
      </w:hyperlink>
      <w:r w:rsidRPr="00751AC0">
        <w:rPr>
          <w:rFonts w:ascii="Garamond" w:hAnsi="Garamond"/>
          <w:color w:val="000000"/>
          <w:lang w:val="en-GB"/>
        </w:rPr>
        <w:t xml:space="preserve"> machte zur Erklärung der Inzestscheu geltend, »daß zwischen Personen, die von Kindheit an beisammen leben, eine angeborene Abneigung gegen den Geschlechtsverkehr herrscht und daß dieses Gefühl, da diese Personen in der Regel blutsverwandt sind, in Sitte und Gesetz einen natürlichen Ausdruck findet durch den Abscheu vor dem Geschlechtsumgang unter nahen Verwandten«. Havelock Ellis bestritt zwar den triebhaften Charakter dieser Abneigung in seinen </w:t>
      </w:r>
      <w:r w:rsidRPr="00751AC0">
        <w:rPr>
          <w:rFonts w:ascii="Garamond" w:hAnsi="Garamond"/>
          <w:i/>
          <w:iCs/>
          <w:color w:val="000000"/>
          <w:lang w:val="en-GB"/>
        </w:rPr>
        <w:t>Studies in the Psychology of Sex</w:t>
      </w:r>
      <w:r w:rsidRPr="00751AC0">
        <w:rPr>
          <w:rFonts w:ascii="Garamond" w:hAnsi="Garamond"/>
          <w:color w:val="000000"/>
          <w:lang w:val="en-GB"/>
        </w:rPr>
        <w:t>, trat aber sonst im wesentlichen derselben Erklärung bei, indem er äußerte: »Das normale Unterbleiben des Zutagetretens des Paarungstriebes dort, wo es sich um Brüder und Schwestern oder um von Kindheit auf beisammenlebende Mädchen und Knaben handelt, ist eine rein negative Erscheinung, welche daher kommt, daß unter jenen Umständen die den Paarungstrieb erweckenden Vorbedingungen durchaus fehlen müssen ... Zwischen Personen, die von Kindheit zusammen aufgewachsen sind, hat die Gewöhnung alle sinnlichen Reize des Sehens, des Hörens und der Berührung abgestumpft, in die Bahn einer ruhigen Zuneigung gelenkt und ihrer Macht beraubt, die zur Erzeugung geschlechtlicher Tumeszenz erforderliche nötige erethistische Erregung hervorzurufen.«</w:t>
      </w:r>
    </w:p>
    <w:p w:rsidR="00B6748F" w:rsidRPr="00751AC0" w:rsidRDefault="00B6748F" w:rsidP="00B6748F">
      <w:pPr>
        <w:rPr>
          <w:rFonts w:ascii="Garamond" w:hAnsi="Garamond"/>
          <w:color w:val="000000"/>
          <w:lang w:val="en-GB"/>
        </w:rPr>
      </w:pPr>
      <w:r w:rsidRPr="00751AC0">
        <w:rPr>
          <w:rFonts w:ascii="Garamond" w:hAnsi="Garamond"/>
          <w:color w:val="000000"/>
          <w:lang w:val="en-GB"/>
        </w:rPr>
        <w:t>Es erscheint mir sehr merkwürdig, daß Westermarck diese angeborene Abneigung gegen den Geschlechtsverkehr mit Personen, mit denen man die Kindheit geteilt hat, gleichzeitig als psychische Repräsentanz der biologischen Tatsache ansieht, daß Inzucht eine Schädigung der Gattung bedeutet. Ein derartiger biologischer Instinkt würde in seiner psychologischen Äußerung so weit irregehen, daß er anstatt der für die Fortpflanzung schädlichen Blutsverwandten die in dieser Hinsicht ganz harmlosen Haus- und Herdgenossen träfe. Ich kann es mir aber auch nicht versagen, die ganz ausgezeichnete Kritik mitzuteilen, welche Frazer der Behauptung von Westermarck entgegenstellt. Frazer findet es unbegreiflich, daß das sexuelle Empfinden sich heute so gar nicht gegen den Verkehr mit Herdgenossen sträubt, während die Inzestscheu, die nur ein Abkömmling von diesem Sträuben sein soll, gegenwärtig so übermächtig angewachsen ist. Tiefer dringen aber andere Bemerkungen Frazers, die ich unverkürzt hieher setze, weil sie im Wesen mit den in meinem Aufsatz über das Tabu entwickelten Argumenten zusammentreffen.</w:t>
      </w:r>
    </w:p>
    <w:p w:rsidR="00B6748F" w:rsidRPr="00751AC0" w:rsidRDefault="00B6748F" w:rsidP="00B6748F">
      <w:pPr>
        <w:rPr>
          <w:rFonts w:ascii="Garamond" w:hAnsi="Garamond"/>
          <w:color w:val="000000"/>
        </w:rPr>
      </w:pPr>
      <w:r w:rsidRPr="00751AC0">
        <w:rPr>
          <w:rFonts w:ascii="Garamond" w:hAnsi="Garamond"/>
          <w:color w:val="000000"/>
          <w:lang w:val="en-GB"/>
        </w:rPr>
        <w:t xml:space="preserve">»Es ist nicht leicht einzusehen, warum ein tief wurzelnder menschlicher Instinkt die Verstärkung durch ein Gesetz benötigen sollte. Es gibt kein Gesetz, welches den Menschen befiehlt zu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und zu trinken, oder ihnen verbietet, ihre Hände ins Feuer zu stecken. Die Menschen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und trinken und halten ihre Hände vom Feuer weg, instinktgemäß, aus Angst vor natürlichen und nicht vor gesetzlichen Strafen, die sie sich durch Beleidigung dieser Triebe zuziehen würden. Das Gesetz verbietet den Menschen nur, was sie unter dem Drängen ihrer Triebe ausführen könnten. Was die Natur selbst verbietet und bestraft, das braucht nicht erst das Gesetz zu verbieten und zu strafen. Wir dürfen daher auch ruhig annehmen, daß Verbrechen, die durch ein Gesetz verboten werden, Verbrechen sind, die viele Menschen aus natürlichen Neigungen gern begehen würden. Wenn es keine solche Neigung gäbe, kämen keine solche Verbrechen vor, und wenn solche Verbrechen nicht begangen würden, wozu brauchte man sie zu verbieten? Anstatt also aus dem gesetzlichen Verbot des Inzests zu schließen, daß eine natürliche Abneigung gegen den Inzest besteht, sollten wir eher den Schluß ziehen, daß ein natürlicher Instinkt zum Inzest treibt und daß, wenn das Gesetz diesen Trieb wie andere natürliche Triebe unterdrückt, dies seinen Grund in der Einsicht zivilisierter Menschen hat, daß die Befriedigung dieser natürlichen Triebe der Gesellschaft Schaden bringt.« </w:t>
      </w:r>
      <w:hyperlink r:id="rId579" w:anchor="#" w:history="1">
        <w:r w:rsidRPr="00751AC0">
          <w:rPr>
            <w:rStyle w:val="fusslink"/>
            <w:rFonts w:ascii="Garamond" w:hAnsi="Garamond" w:cs="Arial"/>
            <w:b/>
            <w:bCs/>
            <w:color w:val="003399"/>
          </w:rPr>
          <w:t>[Fußnote]</w:t>
        </w:r>
        <w:r w:rsidRPr="00751AC0">
          <w:rPr>
            <w:rStyle w:val="innerfusslink3"/>
            <w:rFonts w:ascii="Garamond" w:hAnsi="Garamond" w:cs="Arial"/>
            <w:b/>
            <w:bCs/>
          </w:rPr>
          <w:t>l. c., p. 97</w:t>
        </w:r>
      </w:hyperlink>
    </w:p>
    <w:p w:rsidR="00B6748F" w:rsidRPr="00751AC0" w:rsidRDefault="00B6748F" w:rsidP="00B6748F">
      <w:pPr>
        <w:rPr>
          <w:rFonts w:ascii="Garamond" w:hAnsi="Garamond"/>
          <w:color w:val="000000"/>
        </w:rPr>
      </w:pPr>
      <w:r w:rsidRPr="00751AC0">
        <w:rPr>
          <w:rFonts w:ascii="Garamond" w:hAnsi="Garamond"/>
          <w:color w:val="000000"/>
        </w:rPr>
        <w:lastRenderedPageBreak/>
        <w:t>Ich kann dieser kostbaren Argumentation Frazers noch hinzufügen, daß die Erfahrungen der Psychoanalyse die Annahme einer angeborenen Abneigung gegen den Inzestverkehr vollends unmöglich machen. Sie haben im Gegenteile gelehrt, daß die ersten sexuellen Regungen des jugendlichen Menschen regelmäßig inzestuöser Natur sind und daß solche verdrängte Regungen als Triebkräfte der späteren Neurosen eine kaum zu überschätzende Rolle spielen.</w:t>
      </w:r>
    </w:p>
    <w:p w:rsidR="00B6748F" w:rsidRPr="00751AC0" w:rsidRDefault="00B6748F" w:rsidP="00B6748F">
      <w:pPr>
        <w:rPr>
          <w:rFonts w:ascii="Garamond" w:hAnsi="Garamond"/>
          <w:color w:val="000000"/>
        </w:rPr>
      </w:pPr>
      <w:r w:rsidRPr="00751AC0">
        <w:rPr>
          <w:rFonts w:ascii="Garamond" w:hAnsi="Garamond"/>
          <w:color w:val="000000"/>
          <w:lang w:val="en-GB"/>
        </w:rPr>
        <w:t xml:space="preserve">Die Auffassung der Inzestscheu als eines angeborenen Instinkts muß also fallengelassen werden. Nicht besser steht es um eine andere Ableitung des Inzestverbots, welche sich zahlreicher Anhänger erfreut, um die Annahme, daß die primitiven Völker frühzeitig bemerkt haben, mit welchen Gefahren die Inzucht ihr Geschlecht bedrohe, und daß sie darum in bewußter Absicht das Inzestverbot erlassen hätten. Die Einwendungen gegen diesen Erklärungsversuch drängen einander </w:t>
      </w:r>
      <w:hyperlink r:id="rId58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Durkheim (1896/97).</w:t>
        </w:r>
      </w:hyperlink>
      <w:r w:rsidRPr="00751AC0">
        <w:rPr>
          <w:rFonts w:ascii="Garamond" w:hAnsi="Garamond"/>
          <w:color w:val="000000"/>
          <w:lang w:val="en-GB"/>
        </w:rPr>
        <w:t xml:space="preserve">. Nicht nur, daß das Inzestverbot älter sein muß als alle Haustierwirtschaft, an welcher der Mensch Erfahrungen über die Wirkung der Inzucht auf die Eigenschaften der Rasse machen konnte, sondern die schädlichen Folgen der Inzucht sind auch heute noch nicht über jeden Zweifel sichergestellt und beim Menschen nur schwer nachweisbar. Ferner macht alles, was wir über die heutigen Wilden wissen, es sehr unwahrscheinlich, daß die Gedanken ihrer entferntesten Ahnen bereits mit der Verhütung von Schäden für ihre spätere Nachkommenschaft beschäftigt waren. Es klingt fast lächerlich, wenn man diesen ohne jeden Vorbedacht lebenden Menschenkindern hygienische und eugenische Motive zumuten will, wie sie noch kaum in unserer heutigen Kultur Berücksichtigung gefunden haben </w:t>
      </w:r>
      <w:hyperlink r:id="rId58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Ch. Darwin meint von den Wilden: » </w:t>
        </w:r>
        <w:r w:rsidRPr="00751AC0">
          <w:rPr>
            <w:rStyle w:val="innerfusslink3"/>
            <w:rFonts w:ascii="Garamond" w:hAnsi="Garamond" w:cs="Arial"/>
            <w:b/>
            <w:bCs/>
            <w:i/>
            <w:iCs/>
            <w:lang w:val="en-GB"/>
          </w:rPr>
          <w:t>they are not likely to reflect on distant evils to their progeny.</w:t>
        </w:r>
        <w:r w:rsidRPr="00751AC0">
          <w:rPr>
            <w:rStyle w:val="innerfusslink3"/>
            <w:rFonts w:ascii="Garamond" w:hAnsi="Garamond" w:cs="Arial"/>
            <w:b/>
            <w:bCs/>
            <w:lang w:val="en-GB"/>
          </w:rPr>
          <w:t>«</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Endlich wird man auch geltend machen müssen, daß das aus praktisch hygienischen Motiven gegebene Verbot der Inzucht als eines die Rasse schwächenden Moments ganz unangemessen erscheint, um den tiefen Abscheu zu erklären, welcher sich in unserer Gesellschaft gegen den Inzest erhebt. Wie ich an anderer Stelle dargetan habe </w:t>
      </w:r>
      <w:hyperlink r:id="rId582" w:anchor="#" w:history="1">
        <w:r w:rsidRPr="00751AC0">
          <w:rPr>
            <w:rStyle w:val="fusslink"/>
            <w:rFonts w:ascii="Garamond" w:hAnsi="Garamond" w:cs="Arial"/>
            <w:b/>
            <w:bCs/>
            <w:color w:val="003399"/>
          </w:rPr>
          <w:t>[Fußnote]</w:t>
        </w:r>
        <w:r w:rsidRPr="00751AC0">
          <w:rPr>
            <w:rStyle w:val="innerfusslink3"/>
            <w:rFonts w:ascii="Garamond" w:hAnsi="Garamond" w:cs="Arial"/>
            <w:b/>
            <w:bCs/>
          </w:rPr>
          <w:t>Vgl. die erste Abhandlung.</w:t>
        </w:r>
      </w:hyperlink>
      <w:r w:rsidRPr="00751AC0">
        <w:rPr>
          <w:rFonts w:ascii="Garamond" w:hAnsi="Garamond"/>
          <w:color w:val="000000"/>
        </w:rPr>
        <w:t>, erscheint diese Inzestscheu bei den heute lebenden primitiven Völkern eher noch reger und stärker als bei den zivilisierten.</w:t>
      </w:r>
    </w:p>
    <w:p w:rsidR="00B6748F" w:rsidRPr="00751AC0" w:rsidRDefault="00B6748F" w:rsidP="00B6748F">
      <w:pPr>
        <w:rPr>
          <w:rFonts w:ascii="Garamond" w:hAnsi="Garamond"/>
          <w:color w:val="000000"/>
          <w:lang w:val="en-GB"/>
        </w:rPr>
      </w:pPr>
      <w:r w:rsidRPr="00751AC0">
        <w:rPr>
          <w:rFonts w:ascii="Garamond" w:hAnsi="Garamond"/>
          <w:color w:val="000000"/>
        </w:rPr>
        <w:t xml:space="preserve">Während man erwarten konnte, auch für die Ableitung der Inzestscheu die Wahl zu haben zwischen soziologischen, biologischen und psychologischen Erklärungsmöglichkeiten, wobei noch die psychologischen Motive vielleicht als Repräsentanz von biologischen Mächten zu würdigen wären, sieht man sich am Ende der Untersuchung genötigt, dem resignierten Ausspruch Frazers beizutreten: Wir kennen die Herkunft der Inzestscheu nicht und wissen selbst nicht, worauf wir raten sollen. </w:t>
      </w:r>
      <w:r w:rsidRPr="00751AC0">
        <w:rPr>
          <w:rFonts w:ascii="Garamond" w:hAnsi="Garamond"/>
          <w:color w:val="000000"/>
          <w:lang w:val="en-GB"/>
        </w:rPr>
        <w:t xml:space="preserve">Keine der bisher vorgebrachten Lösungen des Rätsels erscheint uns befriedigend </w:t>
      </w:r>
      <w:hyperlink r:id="rId58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Thus the ultimate origin of exogamy and with it the law of incest – since exogamy was devised to prevent incest – remains a problem nearly as dark as ever.</w:t>
        </w:r>
        <w:r w:rsidRPr="00751AC0">
          <w:rPr>
            <w:rStyle w:val="innerfusslink3"/>
            <w:rFonts w:ascii="Garamond" w:hAnsi="Garamond" w:cs="Arial"/>
            <w:b/>
            <w:bCs/>
            <w:lang w:val="en-GB"/>
          </w:rPr>
          <w:t>« T. and Ex. I, p. 165.)</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Ich muß noch eines Versuches erwähnen, die Entstehung der Inzestscheu zu erklären, welcher von ganz anderer Art ist als die bisher betrachteten. Man könnte ihn als eine historische Ableitung bezeichnen. Dieser Versuch knüpft an eine Hypothese von Ch. Darwin über den sozialen Urzustand des Menschen an. Darwin schloß aus den Lebensgewohnheiten der höheren Affen, daß auch der Mensch ursprünglich in kleineren Horden gelebt habe, innerhalb welcher die Eifersucht des ältesten und stärksten Männchens die sexuelle Promiskuität verhinderte. »Wir können in der Tat, nach dem, was wir von der Eifersucht aller Säugetiere wissen, von denen viele mit speziellen Waffen zum Kämpfen mit ihren Nebenbuhlern bewaffnet sind, schließen, daß allgemeine Vermischung der Geschlechter im Naturzustand äußerst unwahrscheinlich ist ... Wenn wir daher im Strome der Zeit weit genug zurückblicken ... und nach den sozialen Gewohnheiten des Menschen, wie er jetzt existiert, schließen, ... ist die wahrscheinlichste Ansicht die, daß der Mensch ursprünglich in kleinen Gesellschaften lebte, jeder Mann mit einer Frau oder, hatte er die Macht, mit mehreren, welche er eifersüchtig gegen alle anderen Männer verteidigte. </w:t>
      </w:r>
      <w:smartTag w:uri="urn:schemas-microsoft-com:office:smarttags" w:element="place">
        <w:r w:rsidRPr="00751AC0">
          <w:rPr>
            <w:rFonts w:ascii="Garamond" w:hAnsi="Garamond"/>
            <w:color w:val="000000"/>
            <w:lang w:val="en-GB"/>
          </w:rPr>
          <w:t>Oder</w:t>
        </w:r>
      </w:smartTag>
      <w:r w:rsidRPr="00751AC0">
        <w:rPr>
          <w:rFonts w:ascii="Garamond" w:hAnsi="Garamond"/>
          <w:color w:val="000000"/>
          <w:lang w:val="en-GB"/>
        </w:rPr>
        <w:t xml:space="preserve"> er mag kein soziales Tier gewesen sein und doch mit mehreren Frauen für sich allein gelebt haben wie der Gorilla; denn alle Eingeborenen ›stimmen darin überein, daß nur ein erwachsenes Männchen in einer Gruppe zu </w:t>
      </w:r>
      <w:r w:rsidRPr="00751AC0">
        <w:rPr>
          <w:rFonts w:ascii="Garamond" w:hAnsi="Garamond"/>
          <w:color w:val="000000"/>
          <w:lang w:val="en-GB"/>
        </w:rPr>
        <w:lastRenderedPageBreak/>
        <w:t xml:space="preserve">sehen ist. Wächst das junge Männchen heran, so findet ein Kampf um die Herrschaft statt, und der Stärkste setzt sich dann, indem er die anderen getötet oder vertrieben hat, als Oberhaupt der Gesellschaft fest‹ (Dr. Savage in </w:t>
      </w:r>
      <w:r w:rsidRPr="00751AC0">
        <w:rPr>
          <w:rFonts w:ascii="Garamond" w:hAnsi="Garamond"/>
          <w:i/>
          <w:iCs/>
          <w:color w:val="000000"/>
          <w:lang w:val="en-GB"/>
        </w:rPr>
        <w:t>Boston Journal of Nat. Hist.</w:t>
      </w:r>
      <w:r w:rsidRPr="00751AC0">
        <w:rPr>
          <w:rFonts w:ascii="Garamond" w:hAnsi="Garamond"/>
          <w:color w:val="000000"/>
          <w:lang w:val="en-GB"/>
        </w:rPr>
        <w:t xml:space="preserve"> Bd. 5, 1845 bis 1847). Die jüngeren Männchen, welche hiedurch ausgestoßen sind und nun herumwandern, werden auch, wenn sie zuletzt beim Finden einer Gattin erfolgreich sind, die zu enge Inzucht innerhalb der Glieder einer und derselben Familie verhüten.« </w:t>
      </w:r>
      <w:hyperlink r:id="rId584" w:anchor="#" w:history="1">
        <w:r w:rsidRPr="00751AC0">
          <w:rPr>
            <w:rStyle w:val="fusslink"/>
            <w:rFonts w:ascii="Garamond" w:hAnsi="Garamond" w:cs="Arial"/>
            <w:b/>
            <w:bCs/>
            <w:color w:val="003399"/>
          </w:rPr>
          <w:t>[Fußnote]</w:t>
        </w:r>
        <w:r w:rsidRPr="00751AC0">
          <w:rPr>
            <w:rStyle w:val="innerfusslink3"/>
            <w:rFonts w:ascii="Garamond" w:hAnsi="Garamond" w:cs="Arial"/>
            <w:b/>
            <w:bCs/>
            <w:i/>
            <w:iCs/>
          </w:rPr>
          <w:t>Abstammung des Menschen,</w:t>
        </w:r>
        <w:r w:rsidRPr="00751AC0">
          <w:rPr>
            <w:rStyle w:val="innerfusslink3"/>
            <w:rFonts w:ascii="Garamond" w:hAnsi="Garamond" w:cs="Arial"/>
            <w:b/>
            <w:bCs/>
          </w:rPr>
          <w:t xml:space="preserve"> übersetzt von V. Carus, II. Bd., Kapitel 20, p. 341.</w:t>
        </w:r>
      </w:hyperlink>
    </w:p>
    <w:p w:rsidR="00B6748F" w:rsidRPr="00751AC0" w:rsidRDefault="00B6748F" w:rsidP="00B6748F">
      <w:pPr>
        <w:rPr>
          <w:rFonts w:ascii="Garamond" w:hAnsi="Garamond"/>
          <w:color w:val="000000"/>
          <w:lang w:val="en-GB"/>
        </w:rPr>
      </w:pPr>
      <w:r w:rsidRPr="00751AC0">
        <w:rPr>
          <w:rFonts w:ascii="Garamond" w:hAnsi="Garamond"/>
          <w:color w:val="000000"/>
        </w:rPr>
        <w:t xml:space="preserve">Atkinson </w:t>
      </w:r>
      <w:hyperlink r:id="rId585" w:anchor="#" w:history="1">
        <w:r w:rsidRPr="00751AC0">
          <w:rPr>
            <w:rStyle w:val="fusslink"/>
            <w:rFonts w:ascii="Garamond" w:hAnsi="Garamond" w:cs="Arial"/>
            <w:b/>
            <w:bCs/>
            <w:color w:val="003399"/>
          </w:rPr>
          <w:t>[Fußnote]</w:t>
        </w:r>
        <w:r w:rsidRPr="00751AC0">
          <w:rPr>
            <w:rStyle w:val="innerfusslink3"/>
            <w:rFonts w:ascii="Garamond" w:hAnsi="Garamond" w:cs="Arial"/>
            <w:b/>
            <w:bCs/>
            <w:i/>
            <w:iCs/>
          </w:rPr>
          <w:t>Primal Law</w:t>
        </w:r>
        <w:r w:rsidRPr="00751AC0">
          <w:rPr>
            <w:rStyle w:val="innerfusslink3"/>
            <w:rFonts w:ascii="Garamond" w:hAnsi="Garamond" w:cs="Arial"/>
            <w:b/>
            <w:bCs/>
          </w:rPr>
          <w:t xml:space="preserve"> (1903) (mit A. Lang, 1903).</w:t>
        </w:r>
      </w:hyperlink>
      <w:r w:rsidRPr="00751AC0">
        <w:rPr>
          <w:rFonts w:ascii="Garamond" w:hAnsi="Garamond"/>
          <w:color w:val="000000"/>
        </w:rPr>
        <w:t xml:space="preserve"> scheint zuerst erkannt zu haben, daß diese Verhältnisse der Darwinschen Urhorde die Exogamie der jungen Männer praktisch durchsetzen mußten. Jeder dieser Vertriebenen konnte eine ähnliche Horde gründen, in welcher dasselbe Verbot des Geschlechtsverkehrs dank der Eifersucht des Oberhauptes galt, und im Laufe der Zeit würde sich aus diesen Zuständen die jetzt als Gesetz bewußte Regel ergeben haben: Kein Sexualverkehr mit den Herdgenossen. </w:t>
      </w:r>
      <w:r w:rsidRPr="00751AC0">
        <w:rPr>
          <w:rFonts w:ascii="Garamond" w:hAnsi="Garamond"/>
          <w:color w:val="000000"/>
          <w:lang w:val="en-GB"/>
        </w:rPr>
        <w:t>Nach Einsetzung des Totemismus hätte sich die Regel in die andere Form gewandelt: Kein Sexualverkehr innerhalb des Totem.</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 Lang (1905, p. 114 und p. 143) hat sich dieser Erklärung der Exogamie angeschlossen. Er vertritt aber in demselben Buche die andere (Durkheimsche) Theorie, welche die Exogamie als Konsequenz aus den Totemgesetzen hervorgehen läßt. Es ist nicht ganz einfach, die beiden Auffassungen miteinander zu vereinigen; im ersten Falle hätte die Exogamie vor dem Totemismus bestanden, im zweiten wäre sie eine Folge desselben </w:t>
      </w:r>
      <w:hyperlink r:id="rId58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If it be granted that exogamy existed in practice, on the lines of Mr. Darwin's theory, before the totem beliefs lent to the practice a sacred sanction, our task is relatively easy. The first practical rule would be that of the jealous Sire, ›No males to touch the females in my camp‹, with expulsion of adolescent sons. In efflux of time that rule, become habitual, would be, ›No marriage within the local group‹. Next let the local groups receive names, such as Emus, Crows, Opossums, Snipes, and the rule becomes, ›No marriage within the local group of animal name; no Snipe to marry a Snipe‹. But, if the primal groups were not exogamous, they would become so, as soon as totemic myths and tabus were developed out of the animal, vegetable, and other names of small local groups.«</w:t>
        </w:r>
        <w:r w:rsidRPr="00751AC0">
          <w:rPr>
            <w:rStyle w:val="innerfusslink3"/>
            <w:rFonts w:ascii="Garamond" w:hAnsi="Garamond" w:cs="Arial"/>
            <w:b/>
            <w:bCs/>
            <w:lang w:val="en-GB"/>
          </w:rPr>
          <w:t xml:space="preserve"> (1905, p. 143.) (Die Hervorhebung in der Mitte dieser Stelle ist mein Werk.) – In seiner letzten Äußerung über den Gegenstand (1911) teilt A. Lang übrigens mit, daß er die Ableitung der Exogamie aus dem » </w:t>
        </w:r>
        <w:r w:rsidRPr="00751AC0">
          <w:rPr>
            <w:rStyle w:val="innerfusslink3"/>
            <w:rFonts w:ascii="Garamond" w:hAnsi="Garamond" w:cs="Arial"/>
            <w:b/>
            <w:bCs/>
            <w:i/>
            <w:iCs/>
            <w:lang w:val="en-GB"/>
          </w:rPr>
          <w:t>general totemic</w:t>
        </w:r>
        <w:r w:rsidRPr="00751AC0">
          <w:rPr>
            <w:rStyle w:val="innerfusslink3"/>
            <w:rFonts w:ascii="Garamond" w:hAnsi="Garamond" w:cs="Arial"/>
            <w:b/>
            <w:bCs/>
            <w:lang w:val="en-GB"/>
          </w:rPr>
          <w:t>« Tabu aufgegeben habe.</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3</w:t>
      </w:r>
    </w:p>
    <w:p w:rsidR="00B6748F" w:rsidRPr="00751AC0" w:rsidRDefault="00B6748F" w:rsidP="00B6748F">
      <w:pPr>
        <w:rPr>
          <w:rFonts w:ascii="Garamond" w:hAnsi="Garamond"/>
          <w:color w:val="000000"/>
          <w:lang w:val="en-GB"/>
        </w:rPr>
      </w:pPr>
      <w:r w:rsidRPr="00751AC0">
        <w:rPr>
          <w:rFonts w:ascii="Garamond" w:hAnsi="Garamond"/>
          <w:color w:val="000000"/>
          <w:lang w:val="en-GB"/>
        </w:rPr>
        <w:t>Einen einzigen Lichtstrahl wirft die psychoanalytische Erfahrung in dieses Dunkel.</w:t>
      </w:r>
    </w:p>
    <w:p w:rsidR="00B6748F" w:rsidRPr="00751AC0" w:rsidRDefault="00B6748F" w:rsidP="00B6748F">
      <w:pPr>
        <w:rPr>
          <w:rFonts w:ascii="Garamond" w:hAnsi="Garamond"/>
          <w:color w:val="000000"/>
          <w:lang w:val="en-GB"/>
        </w:rPr>
      </w:pPr>
      <w:r w:rsidRPr="00751AC0">
        <w:rPr>
          <w:rFonts w:ascii="Garamond" w:hAnsi="Garamond"/>
          <w:color w:val="000000"/>
          <w:lang w:val="en-GB"/>
        </w:rPr>
        <w:t>Das Verhältnis des Kindes zum Tiere hat viel Ähnlichkeit mit dem des Primitiven zum Tiere. Das Kind zeigt noch keine Spur von jenem Hochmut, welcher dann den erwachsenen Kulturmenschen bewegt, seine eigene Natur durch eine scharfe Grenzlinie von allem anderen Animalischen abzusetzen. Es gesteht dem Tiere ohne Bedenken die volle Ebenbürtigkeit zu; im ungehemmten Bekennen zu seinen Bedürfnissen fühlt es sich wohl dem Tiere verwandter als dem ihm wahrscheinlich rätselhaften Erwachsenen.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diesem ausgezeichneten Einverständnis zwischen Kind und Tier tritt nicht selten eine merkwürdige Störung auf. Das Kind beginnt plötzlich eine bestimmte Tierart zu fürchten und sich vor der Berührung oder dem Anblick aller einzelnen dieser Art zu schützen. Es stellt sich das klinische Bild einer </w:t>
      </w:r>
      <w:r w:rsidRPr="00751AC0">
        <w:rPr>
          <w:rFonts w:ascii="Garamond" w:hAnsi="Garamond"/>
          <w:i/>
          <w:iCs/>
          <w:color w:val="000000"/>
          <w:lang w:val="en-GB"/>
        </w:rPr>
        <w:t>Tierphobie</w:t>
      </w:r>
      <w:r w:rsidRPr="00751AC0">
        <w:rPr>
          <w:rFonts w:ascii="Garamond" w:hAnsi="Garamond"/>
          <w:color w:val="000000"/>
          <w:lang w:val="en-GB"/>
        </w:rPr>
        <w:t xml:space="preserve"> her, eine der häufigsten unter den psychoneurotischen Erkrankungen dieses Alters und vielleicht die früheste Form solcher Erkrankung. Die Phobie betrifft in der Regel Tiere, für welche das Kind bis dahin ein besonders lebhaftes Interesse gezeigt hatte, sie hat mit dem Einzeltier nichts zu tun. Die Auswahl unter den Tieren, welche Objekte der Phobie werden können, ist unter städtischen Bedingungen nicht groß. Es sind Pferde, Hunde, Katzen, seltener Vögel, auffällig häufig kleinste Tiere wie Käfer und </w:t>
      </w:r>
      <w:r w:rsidRPr="00751AC0">
        <w:rPr>
          <w:rFonts w:ascii="Garamond" w:hAnsi="Garamond"/>
          <w:color w:val="000000"/>
          <w:lang w:val="en-GB"/>
        </w:rPr>
        <w:lastRenderedPageBreak/>
        <w:t>Schmetterlinge. Manchmal werden Tiere, die dem Kind nur aus Bilderbuch und Märchenerzählung bekannt worden sind, Objekte der unsinnigen und unmäßigen Angst, welche sich bei diesen Phobien zeigt; selten gelingt es einmal, die Wege zu erfahren, auf denen sich eine ungewöhnliche Wahl des Angsttieres vollzogen hat. So verdanke ich K. Abraham die Mitteilung eines Falles, in welchem ein Kind seine Angst vor Wespen selbst durch die Angabe aufklärte, die Farbe und Streifung des Wespenleibes hätte es an den Tiger denken lassen, vor dem es sich nach allem Gehörten fürchten durfte.</w:t>
      </w:r>
    </w:p>
    <w:p w:rsidR="00B6748F" w:rsidRPr="00751AC0" w:rsidRDefault="00B6748F" w:rsidP="00B6748F">
      <w:pPr>
        <w:rPr>
          <w:rFonts w:ascii="Garamond" w:hAnsi="Garamond"/>
          <w:color w:val="000000"/>
          <w:lang w:val="en-GB"/>
        </w:rPr>
      </w:pPr>
      <w:r w:rsidRPr="00751AC0">
        <w:rPr>
          <w:rFonts w:ascii="Garamond" w:hAnsi="Garamond"/>
          <w:color w:val="000000"/>
          <w:lang w:val="en-GB"/>
        </w:rPr>
        <w:t>Die Tierphobien der Kinder sind noch nicht Gegenstand aufmerksamer analytischer Untersuchung geworden, obwohl sie es im hohen Grade verdienen. Die Schwierigkeiten der Analyse mit Kindern in so zartem Alter sind wohl das Motiv der Unterlassung gewesen. Man kann daher nicht behaupten, daß man den allgemeinen Sinn dieser Erkrankungen kennt, und ich meine selbst, daß er sich nicht als einheitlich herausstellen dürfte. Aber einige Fälle von solchen auf größere Tiere gerichteten Phobien haben sich der Analyse zugänglich erwiesen und so dem Untersucher ihr Geheimnis verraten. Es war in jedem Falle das nämliche: die Angst galt im Grunde dem Vater, wenn die untersuchten Kinder Knaben waren, und war nur auf das Tier verschoben worden.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Jeder in der Psychoanalyse Erfahrene hat gewiß solche Fälle gesehen und von ihnen den nämlichen Eindruck empfangen. Doch kann ich </w:t>
      </w:r>
      <w:smartTag w:uri="urn:schemas-microsoft-com:office:smarttags" w:element="State">
        <w:smartTag w:uri="urn:schemas-microsoft-com:office:smarttags" w:element="place">
          <w:r w:rsidRPr="00751AC0">
            <w:rPr>
              <w:rFonts w:ascii="Garamond" w:hAnsi="Garamond"/>
              <w:color w:val="000000"/>
              <w:lang w:val="en-GB"/>
            </w:rPr>
            <w:t>mich</w:t>
          </w:r>
        </w:smartTag>
      </w:smartTag>
      <w:r w:rsidRPr="00751AC0">
        <w:rPr>
          <w:rFonts w:ascii="Garamond" w:hAnsi="Garamond"/>
          <w:color w:val="000000"/>
          <w:lang w:val="en-GB"/>
        </w:rPr>
        <w:t xml:space="preserve"> nur auf wenige ausführliche Publikationen darüber berufen. Es ist dies ein Zufall der Literatur, aus welchem nicht geschlossen werden sollte, daß wir unsere Behauptung überhaupt nur auf vereinzelte Beobachtungen stützen können. Ich erwähne z. B. einen Autor, welcher sich verständnisvoll mit den Neurosen des Kindesalters beschäftigt hat, M. Wulff (</w:t>
      </w:r>
      <w:smartTag w:uri="urn:schemas-microsoft-com:office:smarttags" w:element="City">
        <w:smartTag w:uri="urn:schemas-microsoft-com:office:smarttags" w:element="place">
          <w:r w:rsidRPr="00751AC0">
            <w:rPr>
              <w:rFonts w:ascii="Garamond" w:hAnsi="Garamond"/>
              <w:color w:val="000000"/>
              <w:lang w:val="en-GB"/>
            </w:rPr>
            <w:t>Odessa</w:t>
          </w:r>
        </w:smartTag>
      </w:smartTag>
      <w:r w:rsidRPr="00751AC0">
        <w:rPr>
          <w:rFonts w:ascii="Garamond" w:hAnsi="Garamond"/>
          <w:color w:val="000000"/>
          <w:lang w:val="en-GB"/>
        </w:rPr>
        <w:t xml:space="preserve">). Er erzählt im Zusammenhange der Krankengeschichte eines neunjährigen Knaben, daß dieser mit vier Jahren an einer Hundephobie gelitten hat. »Als er auf der Straße einen Hund vorbeilaufen sah, weinte er und schrie: ›Lieber Hund, fasse </w:t>
      </w:r>
      <w:smartTag w:uri="urn:schemas-microsoft-com:office:smarttags" w:element="State">
        <w:smartTag w:uri="urn:schemas-microsoft-com:office:smarttags" w:element="place">
          <w:r w:rsidRPr="00751AC0">
            <w:rPr>
              <w:rFonts w:ascii="Garamond" w:hAnsi="Garamond"/>
              <w:color w:val="000000"/>
              <w:lang w:val="en-GB"/>
            </w:rPr>
            <w:t>mich</w:t>
          </w:r>
        </w:smartTag>
      </w:smartTag>
      <w:r w:rsidRPr="00751AC0">
        <w:rPr>
          <w:rFonts w:ascii="Garamond" w:hAnsi="Garamond"/>
          <w:color w:val="000000"/>
          <w:lang w:val="en-GB"/>
        </w:rPr>
        <w:t xml:space="preserve"> nicht, ich will artig sein.‹ Unter ›artig sein‹ meinte er: ›nicht mehr Geige spielen‹ (onanieren).« (Wulff, 1912, p. 15.)</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Derselbe Autor resümiert später: »Seine Hundephobie ist eigentlich die auf die Hunde verschobene Angst vor dem Vater, denn seine sonderbare Äußerung: ›Hund, ich will artig sein‹ – d. h. nicht masturbieren – bezieht sich doch eigentlich auf den Vater, der die Masturbation verboten hat.« In einer Anmerkung setzt er dann hinzu, was sich eben so völlig mit meiner Erfahrung deckt und gleichzeitig die Reichlichkeit solcher Erfahrungen bezeugt: »Solche Phobien (Pferdephobien, Hundephobien, Katzen, Hühner und andere Haustiere) sind, glaube ich, im Kindesalter mindestens ebenso verbreitet wie der </w:t>
      </w:r>
      <w:r w:rsidRPr="00751AC0">
        <w:rPr>
          <w:rFonts w:ascii="Garamond" w:hAnsi="Garamond"/>
          <w:i/>
          <w:iCs/>
          <w:color w:val="000000"/>
          <w:lang w:val="en-GB"/>
        </w:rPr>
        <w:t>pavor nocturnus</w:t>
      </w:r>
      <w:r w:rsidRPr="00751AC0">
        <w:rPr>
          <w:rFonts w:ascii="Garamond" w:hAnsi="Garamond"/>
          <w:color w:val="000000"/>
          <w:lang w:val="en-GB"/>
        </w:rPr>
        <w:t xml:space="preserve"> und lassen sich in der Analyse fast immer als eine Verschiebung der Angst von einem der Eltern auf die Tiere entpuppen. </w:t>
      </w:r>
      <w:smartTag w:uri="urn:schemas-microsoft-com:office:smarttags" w:element="place">
        <w:r w:rsidRPr="00751AC0">
          <w:rPr>
            <w:rFonts w:ascii="Garamond" w:hAnsi="Garamond"/>
            <w:color w:val="000000"/>
            <w:lang w:val="en-GB"/>
          </w:rPr>
          <w:t>Ob</w:t>
        </w:r>
      </w:smartTag>
      <w:r w:rsidRPr="00751AC0">
        <w:rPr>
          <w:rFonts w:ascii="Garamond" w:hAnsi="Garamond"/>
          <w:color w:val="000000"/>
          <w:lang w:val="en-GB"/>
        </w:rPr>
        <w:t xml:space="preserve"> die so verbreitete Mäuse- und Rattenphobie denselben Mechanismus hat, möchte ich nicht behaupten.«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Im ersten Band des </w:t>
      </w:r>
      <w:r w:rsidRPr="00751AC0">
        <w:rPr>
          <w:rFonts w:ascii="Garamond" w:hAnsi="Garamond"/>
          <w:i/>
          <w:iCs/>
          <w:color w:val="000000"/>
          <w:lang w:val="en-GB"/>
        </w:rPr>
        <w:t>Jahrbuches für psychoanalytische und psychopathologische Forschungen</w:t>
      </w:r>
      <w:r w:rsidRPr="00751AC0">
        <w:rPr>
          <w:rFonts w:ascii="Garamond" w:hAnsi="Garamond"/>
          <w:color w:val="000000"/>
          <w:lang w:val="en-GB"/>
        </w:rPr>
        <w:t xml:space="preserve"> teilte ich die ›Analyse der Phobie eines fünfjährigen Knaben‹ mit, welche mir der Vater des kleinen Patienten zur Verfügung gestellt hatte. Es war eine Angst vor Pferden, in deren Konsequenz der Knabe sich weigerte, auf die Straße zu gehen. Er äußerte die Befürchtung, das Pferd werde ins Zimmer kommen, werde ihn beißen. Es erwies sich, daß dies die Strafe für seinen Wunsch sein sollte, daß das Pferd umfallen (sterben) möge. Nachdem man dem Knaben durch Zusicherungen die Angst vor dem Vater benommen hatte, ergab es sich, daß er gegen Wünsche ankämpfte, die das Wegsein (Abreisen, Sterben) des Vaters zum Inhalt hatten. Er empfand den Vater, wie er überdeutlich zu erkennen gab, als Konkurrenten in der Gunst der Mutter, auf welche seine keimenden Sexualwünsche in dunkeln Ahnungen gerichtet waren. Er befand sich also in jener typischen Einstellung des männlichen Kindes zu den Eltern, welche wir als den »Ödipuskomplex« bezeichnen und in der wir den Kernkomplex der Neurosen überhaupt erkennen. Was wir neu aus der Analyse des »kleinen Hans« erfahren, ist die für den Totemismus wertvolle Tatsache, daß das Kind unter solchen Bedingungen einen Anteil seiner Gefühle von dem Vater weg auf ein Tier verschiebt.</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Die Analyse weist die inhaltlich bedeutsamen wie die zufälligen Assoziationswege nach, auf welchen eine solche Verschiebung vor sich geht. Sie läßt auch die Motive derselben erraten. Der aus der Nebenbuhlerschaft bei der Mutter hervorgehende Haß kann sich im Seelenleben des Knaben nicht ungehemmt ausbreiten, er hat mit der seit jeher bestehenden Zärtlichkeit und Bewunderung für dieselbe Person zu kämpfen, das Kind befindet sich in doppelsinniger – </w:t>
      </w:r>
      <w:r w:rsidRPr="00751AC0">
        <w:rPr>
          <w:rFonts w:ascii="Garamond" w:hAnsi="Garamond"/>
          <w:i/>
          <w:iCs/>
          <w:color w:val="000000"/>
          <w:lang w:val="en-GB"/>
        </w:rPr>
        <w:t>ambivalenter</w:t>
      </w:r>
      <w:r w:rsidRPr="00751AC0">
        <w:rPr>
          <w:rFonts w:ascii="Garamond" w:hAnsi="Garamond"/>
          <w:color w:val="000000"/>
          <w:lang w:val="en-GB"/>
        </w:rPr>
        <w:t xml:space="preserve"> – Gefühlseinstellung gegen den Vater und schafft sich Erleichterung in diesem Ambivalenzkonflikt, wenn es seine feindseligen und ängstlichen Gefühle auf ein Vatersurrogat verschiebt. Die Verschiebung kann den Konflikt allerdings nicht in der Weise erledigen, daß sie eine glatte Scheidung der zärtlichen von den feindseligen Gefühlen herstellt. Der Konflikt setzt sich vielmehr auf das Verschiebungsobjekt fort, die Ambivalenz greift auf dieses letztere über. Es ist unverkennbar, daß der kleine Hans den Pferden nicht nur Angst, sondern auch Respekt und Interesse entgegenbringt. Sowie sich seine Angst ermäßigt hat, identifiziert er sich selbst mit dem gefürchteten Tier, springt als Pferd herum und beißt nun seinerseits den Vater </w:t>
      </w:r>
      <w:hyperlink r:id="rId58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(1909, s. 169).</w:t>
        </w:r>
      </w:hyperlink>
      <w:r w:rsidRPr="00751AC0">
        <w:rPr>
          <w:rFonts w:ascii="Garamond" w:hAnsi="Garamond"/>
          <w:color w:val="000000"/>
          <w:lang w:val="en-GB"/>
        </w:rPr>
        <w:t xml:space="preserve">. In einem anderen Auflösungsstadium der Phobie macht es ihm nichts, die Eltern mit anderen großen Tieren zu identifizieren </w:t>
      </w:r>
      <w:hyperlink r:id="rId58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 Giraffenphantasie.</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Man darf den Eindruck aussprechen, daß in diesen Tierphobien der Kinder gewisse Züge des Totemismus in negativer Ausprägung wiederkehren. Wir verdanken aber </w:t>
      </w:r>
      <w:smartTag w:uri="urn:schemas-microsoft-com:office:smarttags" w:element="place">
        <w:r w:rsidRPr="00751AC0">
          <w:rPr>
            <w:rFonts w:ascii="Garamond" w:hAnsi="Garamond"/>
            <w:color w:val="000000"/>
            <w:lang w:val="en-GB"/>
          </w:rPr>
          <w:t>S. Ferenczi</w:t>
        </w:r>
      </w:smartTag>
      <w:r w:rsidRPr="00751AC0">
        <w:rPr>
          <w:rFonts w:ascii="Garamond" w:hAnsi="Garamond"/>
          <w:color w:val="000000"/>
          <w:lang w:val="en-GB"/>
        </w:rPr>
        <w:t xml:space="preserve"> die vereinzelt schöne Beobachtung eines Falles, den man nur als positiven Totemismus bei einem Kinde bezeichnen kann (1913). Bei dem kleinen Árpád, von dem Ferenczi berichtet, erwachen die totemistischen Interessen allerdings nicht direkt im Zusammenhang des Ödipuskomplexes, sondern auf Grund der narzißtischen Voraussetzung desselben, der Kastrationsangst. Wer aber die Geschichte des kleinen Hans aufmerksam durchsieht, wird auch in dieser die reichlichsten Zeugnisse dafür finden, daß der Vater als der Besitzer des großen Genitales bewundert und als der Bedroher des eigenen Genitales gefürchtet wird. </w:t>
      </w:r>
      <w:r w:rsidRPr="00751AC0">
        <w:rPr>
          <w:rFonts w:ascii="Garamond" w:hAnsi="Garamond"/>
          <w:color w:val="000000"/>
        </w:rPr>
        <w:t xml:space="preserve">Im Ödipus- wie im Kastrationskomplex spielt der Vater die nämliche Rolle, die des gefürchteten Gegners der infantilen Sexualinteressen. Die Kastration und ihr Ersatz durch die Blendung ist die von ihm drohende Strafe </w:t>
      </w:r>
      <w:hyperlink r:id="rId589" w:anchor="#" w:history="1">
        <w:r w:rsidRPr="00751AC0">
          <w:rPr>
            <w:rStyle w:val="fusslink"/>
            <w:rFonts w:ascii="Garamond" w:hAnsi="Garamond" w:cs="Arial"/>
            <w:b/>
            <w:bCs/>
            <w:color w:val="003399"/>
          </w:rPr>
          <w:t>[Fußnote]</w:t>
        </w:r>
        <w:r w:rsidRPr="00751AC0">
          <w:rPr>
            <w:rStyle w:val="innerfusslink3"/>
            <w:rFonts w:ascii="Garamond" w:hAnsi="Garamond" w:cs="Arial"/>
            <w:b/>
            <w:bCs/>
          </w:rPr>
          <w:t>Über den Ersatz der Kastration durch die auch im Ödipus-Mythus enthaltene Blendung vgl. die Mitteilungen von Reitler (1913), Ferenczi (1913), Rank (1913) und Eder (1913).</w:t>
        </w:r>
      </w:hyperlink>
      <w:r w:rsidRPr="00751AC0">
        <w:rPr>
          <w:rFonts w:ascii="Garamond" w:hAnsi="Garamond"/>
          <w:color w:val="000000"/>
        </w:rPr>
        <w:t>.</w:t>
      </w:r>
    </w:p>
    <w:p w:rsidR="00B6748F" w:rsidRPr="00751AC0" w:rsidRDefault="00B6748F" w:rsidP="00B6748F">
      <w:pPr>
        <w:rPr>
          <w:rFonts w:ascii="Garamond" w:hAnsi="Garamond"/>
          <w:color w:val="000000"/>
          <w:lang w:val="en-GB"/>
        </w:rPr>
      </w:pPr>
      <w:r w:rsidRPr="00751AC0">
        <w:rPr>
          <w:rFonts w:ascii="Garamond" w:hAnsi="Garamond"/>
          <w:color w:val="000000"/>
        </w:rPr>
        <w:t xml:space="preserve">Als der kleine Árpád zweieinhalb Jahre alt war, versuchte er einmal in einem Sommeraufenthalte ins Geflügelhaus zu urinieren, wobei ihn ein Huhn ins Glied biß oder nach seinem Glied schnappte. Als er ein Jahr später an denselben Ort zurückkehrte, wurde er selbst zum Huhn, er interessierte sich nur mehr für das Geflügelhaus und alles, was darin vorging, und gab seine menschliche Sprache gegen Gackern und Krähen auf. </w:t>
      </w:r>
      <w:r w:rsidRPr="00751AC0">
        <w:rPr>
          <w:rFonts w:ascii="Garamond" w:hAnsi="Garamond"/>
          <w:color w:val="000000"/>
          <w:lang w:val="en-GB"/>
        </w:rPr>
        <w:t>Zur Zeit der Beobachtung (fünf Jahre) sprach er wieder, aber beschäftigte sich auch in der Rede ausschließlich nur mit Hühnern und anderem Geflügel. Er spielte mit keinem anderen Spielzeug, sang nur Lieder, in denen etwas vom Federvieh vorkam. Sein Benehmen gegen sein Totemtier war exquisit ambivalent, übermäßiges Hassen und Lieben. Am liebsten spielte er Hühnerschlachten. »Das Schlachten des Federviehs ist ihm überhaupt ein Fest. Er ist imstande, stundenlang um die Tierleichen erregt herumzutanzen.« Aber dann küßte und streichelte er das geschlachtete Tier, reinigte und liebkoste die von ihm selbst mißhandelten Ebenbilder von Hühnern.</w:t>
      </w:r>
    </w:p>
    <w:p w:rsidR="00B6748F" w:rsidRPr="00751AC0" w:rsidRDefault="00B6748F" w:rsidP="00B6748F">
      <w:pPr>
        <w:rPr>
          <w:rFonts w:ascii="Garamond" w:hAnsi="Garamond"/>
          <w:color w:val="000000"/>
          <w:lang w:val="en-GB"/>
        </w:rPr>
      </w:pPr>
      <w:r w:rsidRPr="00751AC0">
        <w:rPr>
          <w:rFonts w:ascii="Garamond" w:hAnsi="Garamond"/>
          <w:color w:val="000000"/>
        </w:rPr>
        <w:t xml:space="preserve">Der kleine Árpád sorgte selbst dafür, daß der Sinn seines sonderbaren Treibens nicht verborgen bleiben konnte. Er übersetzte gelegentlich seine Wünsche aus der totemistischen Ausdrucksweise zurück in die des Alltagslebens. »Mein Vater ist der Hahn«, sagte er einmal. »Jetzt bin ich klein, jetzt bin ich ein Küchlein. </w:t>
      </w:r>
      <w:r w:rsidRPr="00751AC0">
        <w:rPr>
          <w:rFonts w:ascii="Garamond" w:hAnsi="Garamond"/>
          <w:color w:val="000000"/>
          <w:lang w:val="en-GB"/>
        </w:rPr>
        <w:t xml:space="preserve">Wenn ich größer werde, bin ich ein Huhn. Wenn ich noch größer werde, bin ich ein Hahn.« Ein andermal wünscht er sich plötzlich eine »eingemachte Mutter« zu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(nach der Analogie des eingemachten Huhns). Er war sehr freigebig mit deutlichen Kastrationsandrohungen gegen andere, wie er sie wegen onanistischer Beschäftigung mit seinem Gliede selbst erfahren hatte.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Über die Quelle seines Interesses für das Treiben im Hühnerhof blieb nach Ferenczi kein Zweifel: »Der rege Sexualverkehr zwischen Hahn und Henne, das Eierlegen und das Herauskriechen der jungen Brut« </w:t>
      </w:r>
      <w:r w:rsidRPr="00751AC0">
        <w:rPr>
          <w:rFonts w:ascii="Garamond" w:hAnsi="Garamond"/>
          <w:color w:val="000000"/>
          <w:lang w:val="en-GB"/>
        </w:rPr>
        <w:lastRenderedPageBreak/>
        <w:t>befriedigten seine sexuelle Wißbegierde, die eigentlich dem menschlichen Familienleben galt. Nach dem Vorbild des Hühnerlebens hatte er seine Objektwünsche geformt, wenn er einmal der Nachbarin sagte: »Ich werde Sie heiraten und Ihre Schwester und meine drei Cousinen und die Köchin, nein, statt der Köchin lieber die Mutter.«</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werden an späterer Stelle die Würdigung dieser Beobachtung vervollständigen können; heben wir jetzt nur als wertvolle Übereinstimmungen mit dem Totemismus zwei Züge hervor: die volle Identifizierung mit dem Totemtier </w:t>
      </w:r>
      <w:hyperlink r:id="rId59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In welcher nach Frazer (1910, IV, p. 5) das Wesentliche des Totemismus gegeben ist: » </w:t>
        </w:r>
        <w:r w:rsidRPr="00751AC0">
          <w:rPr>
            <w:rStyle w:val="innerfusslink3"/>
            <w:rFonts w:ascii="Garamond" w:hAnsi="Garamond" w:cs="Arial"/>
            <w:b/>
            <w:bCs/>
            <w:i/>
            <w:iCs/>
            <w:lang w:val="en-GB"/>
          </w:rPr>
          <w:t>Totemism is an Identification of a man with his totem.</w:t>
        </w:r>
        <w:r w:rsidRPr="00751AC0">
          <w:rPr>
            <w:rStyle w:val="innerfusslink3"/>
            <w:rFonts w:ascii="Garamond" w:hAnsi="Garamond" w:cs="Arial"/>
            <w:b/>
            <w:bCs/>
            <w:lang w:val="en-GB"/>
          </w:rPr>
          <w:t>«</w:t>
        </w:r>
      </w:hyperlink>
      <w:r w:rsidRPr="00751AC0">
        <w:rPr>
          <w:rFonts w:ascii="Garamond" w:hAnsi="Garamond"/>
          <w:color w:val="000000"/>
          <w:lang w:val="en-GB"/>
        </w:rPr>
        <w:t xml:space="preserve"> und die ambivalente Gefühlseinstellung gegen dasselbe. Wir halten uns nach diesen Beobachtungen für berechtigt, in die Formel des Totemismus – für den Mann – den Vater an Stelle des Totemtieres einzusetzen. Wir merken dann, daß wir damit keinen neuen oder besonders kühnen Schritt getan haben. Die Primitiven sagen es ja selbst und bezeichnen, soweit noch heute das totemistische System in Kraft besteht, den Totem als ihren Ahnherrn und Urvater. Wir haben nur eine Aussage dieser Völker wörtlich genommen, mit welcher die Ethnologen wenig anzufangen wußten und die sie darum gern in den Hintergrund gerückt haben. Die Psychoanalyse mahnt uns, im Gegenteile gerade diesen Punkt hervorzusuchen und an ihn den Erklärungsversuch des Totemismus zu knüpfen </w:t>
      </w:r>
      <w:hyperlink r:id="rId59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O. Rank verdanke ich die Mitteilung eines Falles von Hundephobie bei einem intelligenten jungen Manne, dessen Erklärung, wie er zu seinem Leiden gekommen sei, merklich an die oben (S. 138) erwähnte Totemtheorie der Arunta anklingt. Er meinte, von seinem Vater erfahren zu haben, daß seine Mutter während der Schwangerschaft mit ihm einmal vor einem Hunde erschrocken sei.</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Das erste Ergebnis unserer Ersetzung ist sehr merkwürdig. Wenn das Totemtier der Vater ist, dann fallen die beiden Hauptgebote des Totemismus, die beiden Tabuvorschriften, die seinen Kern ausmachen, den Totem nicht zu töten und kein Weib, das dem Totem angehört, sexuell zu gebrauchen, inhaltlich zusammen mit den beiden Verbrechen des Ödipus, der seinen Vater tötete und seine Mutter zum Weibe nahm, und mit den beiden Urwünschen des Kindes, deren ungenügende Verdrängung oder deren Wiedererweckung den Kern vielleicht aller Psychoneurosen bildet. Sollte diese Gleichung mehr als ein irreleitendes Spiel des Zufalls sein, so müßte sie uns gestatten, ein Licht auf die Entstehung des Totemismus in unvordenklichen Zeiten zu werfen. Mit anderen Worten, es müßte uns gelingen, wahrscheinlich zu machen, daß das totemistische System sich aus den Bedingungen des Ödipuskomplexes ergeben hat wie die Tierphobie des »kleinen Hans« und die Geflügelperversion des »kleinen Árpád«. Um dieser Möglichkeit nachzugehen, werden wir im folgenden eine Eigentümlichkeit des totemistischen Systems oder, wie wir sagen können, der Totemreligion studieren, welche bisher kaum Erwähnung finden konnte.</w:t>
      </w:r>
    </w:p>
    <w:p w:rsidR="00B6748F" w:rsidRPr="00751AC0" w:rsidRDefault="00B6748F" w:rsidP="00B6748F">
      <w:pPr>
        <w:rPr>
          <w:rFonts w:ascii="Garamond" w:hAnsi="Garamond"/>
          <w:color w:val="000000"/>
          <w:lang w:val="en-GB"/>
        </w:rPr>
      </w:pPr>
      <w:r w:rsidRPr="00751AC0">
        <w:rPr>
          <w:rFonts w:ascii="Garamond" w:hAnsi="Garamond"/>
          <w:color w:val="000000"/>
          <w:lang w:val="en-GB"/>
        </w:rPr>
        <w:t>4</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im Jahre 1894 verstorbene W. Robertson Smith, Physiker, Philologe, Bibelkritiker und Altertumsforscher, ein ebenso vielseitiger wie scharfsichtiger und freidenkender Mann, sprach in seinem 1889 veröffentlichten Werke über die Religion der Semiten </w:t>
      </w:r>
      <w:hyperlink r:id="rId59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W. Robertson Smith, </w:t>
        </w:r>
        <w:r w:rsidRPr="00751AC0">
          <w:rPr>
            <w:rStyle w:val="innerfusslink3"/>
            <w:rFonts w:ascii="Garamond" w:hAnsi="Garamond" w:cs="Arial"/>
            <w:b/>
            <w:bCs/>
            <w:i/>
            <w:iCs/>
            <w:lang w:val="en-GB"/>
          </w:rPr>
          <w:t>The Religion of the Semites</w:t>
        </w:r>
        <w:r w:rsidRPr="00751AC0">
          <w:rPr>
            <w:rStyle w:val="innerfusslink3"/>
            <w:rFonts w:ascii="Garamond" w:hAnsi="Garamond" w:cs="Arial"/>
            <w:b/>
            <w:bCs/>
            <w:lang w:val="en-GB"/>
          </w:rPr>
          <w:t>. 1907.</w:t>
        </w:r>
      </w:hyperlink>
      <w:r w:rsidRPr="00751AC0">
        <w:rPr>
          <w:rFonts w:ascii="Garamond" w:hAnsi="Garamond"/>
          <w:color w:val="000000"/>
          <w:lang w:val="en-GB"/>
        </w:rPr>
        <w:t xml:space="preserve"> die Annahme aus, daß eine eigentümliche Zeremonie, die sogenannte </w:t>
      </w:r>
      <w:r w:rsidRPr="00751AC0">
        <w:rPr>
          <w:rFonts w:ascii="Garamond" w:hAnsi="Garamond"/>
          <w:i/>
          <w:iCs/>
          <w:color w:val="000000"/>
          <w:lang w:val="en-GB"/>
        </w:rPr>
        <w:t>Totemmahlzeit</w:t>
      </w:r>
      <w:r w:rsidRPr="00751AC0">
        <w:rPr>
          <w:rFonts w:ascii="Garamond" w:hAnsi="Garamond"/>
          <w:color w:val="000000"/>
          <w:lang w:val="en-GB"/>
        </w:rPr>
        <w:t>, von allem Anfang an einen integrierenden Bestandteil des totemistischen Systems gebildet habe. Zur Stütze dieser Vermutung stand ihm damals nur eine einzige, aus dem 5. Jahrhundert n. Chr. überlieferte Beschreibung eines solchen Aktes zu Gebote, aber er verstand es, die Annahme durch die Analyse des Opferwesens bei den alten Semiten zu einem hohen Grad von Wahrscheinlichkeit zu erheben. Da das Opfer eine göttliche Person voraussetzt, handelt es sich dabei um den Rückschluß von einer höheren Phase des religiösen Ritus auf die niedrigste des Totemismus.</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Ich will nun versuchen, aus dem ausgezeichneten Buch von Robertson Smith die für unser Interesse entscheidenden Sätze über Ursprung und Bedeutung des Opferritus herauszuheben unter Weglassung aller oft so reizvollen Details und mit konsequenter Hintansetzung aller späteren Entwicklungen. Es ist ganz ausgeschlossen, in einem solchen Auszug dem Leser etwas von der Luzidität oder von der Beweiskraft der Darstellung im Original zu übermitteln.</w:t>
      </w:r>
    </w:p>
    <w:p w:rsidR="00B6748F" w:rsidRPr="00751AC0" w:rsidRDefault="00B6748F" w:rsidP="00B6748F">
      <w:pPr>
        <w:rPr>
          <w:rFonts w:ascii="Garamond" w:hAnsi="Garamond"/>
          <w:color w:val="000000"/>
          <w:lang w:val="en-GB"/>
        </w:rPr>
      </w:pPr>
      <w:r w:rsidRPr="00751AC0">
        <w:rPr>
          <w:rFonts w:ascii="Garamond" w:hAnsi="Garamond"/>
          <w:color w:val="000000"/>
          <w:lang w:val="en-GB"/>
        </w:rPr>
        <w:t>Robertson Smith führt aus, daß das Opfer am Altar das wesentliche Stück im Ritus der alten Religion gewesen ist. Es spielt in allen Religionen die nämliche Rolle, so daß man seine Entstehung auf sehr allgemeine und überall gleichartig wirkende Ursachen zurückführen muß.</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Das Opfer – die heilige Handlung </w:t>
      </w:r>
      <w:r w:rsidRPr="00751AC0">
        <w:rPr>
          <w:rFonts w:ascii="Garamond" w:hAnsi="Garamond"/>
          <w:color w:val="000000"/>
        </w:rPr>
        <w:t>κατ</w:t>
      </w:r>
      <w:r w:rsidRPr="00751AC0">
        <w:rPr>
          <w:rFonts w:ascii="Garamond" w:hAnsi="Garamond"/>
          <w:color w:val="000000"/>
          <w:lang w:val="en-GB"/>
        </w:rPr>
        <w:t xml:space="preserve">' </w:t>
      </w:r>
      <w:r w:rsidRPr="00751AC0">
        <w:rPr>
          <w:rFonts w:ascii="Garamond" w:hAnsi="Garamond"/>
          <w:color w:val="000000"/>
        </w:rPr>
        <w:t>εξοχήν</w:t>
      </w:r>
      <w:r w:rsidRPr="00751AC0">
        <w:rPr>
          <w:rFonts w:ascii="Garamond" w:hAnsi="Garamond"/>
          <w:color w:val="000000"/>
          <w:lang w:val="en-GB"/>
        </w:rPr>
        <w:t xml:space="preserve"> ( </w:t>
      </w:r>
      <w:r w:rsidRPr="00751AC0">
        <w:rPr>
          <w:rFonts w:ascii="Garamond" w:hAnsi="Garamond"/>
          <w:i/>
          <w:iCs/>
          <w:color w:val="000000"/>
          <w:lang w:val="en-GB"/>
        </w:rPr>
        <w:t>sacrificium</w:t>
      </w:r>
      <w:r w:rsidRPr="00751AC0">
        <w:rPr>
          <w:rFonts w:ascii="Garamond" w:hAnsi="Garamond"/>
          <w:color w:val="000000"/>
          <w:lang w:val="en-GB"/>
        </w:rPr>
        <w:t xml:space="preserve">, </w:t>
      </w:r>
      <w:r w:rsidRPr="00751AC0">
        <w:rPr>
          <w:rFonts w:ascii="Garamond" w:hAnsi="Garamond"/>
          <w:color w:val="000000"/>
        </w:rPr>
        <w:t>ιερουργία</w:t>
      </w:r>
      <w:r w:rsidRPr="00751AC0">
        <w:rPr>
          <w:rFonts w:ascii="Garamond" w:hAnsi="Garamond"/>
          <w:color w:val="000000"/>
          <w:lang w:val="en-GB"/>
        </w:rPr>
        <w:t xml:space="preserve">) – bedeutete aber ursprünglich etwas anderes, als was spätere Zeiten darunter verstanden: die Darbringung an die Gottheit, um sie zu versöhnen oder sich geneigt zu machen. (Von dem Nebensinn der Selbstentäußerung ging dann die profane Verwendung des Wortes aus.) Das Opfer war nachweisbar zuerst nichts anderes als » </w:t>
      </w:r>
      <w:r w:rsidRPr="00751AC0">
        <w:rPr>
          <w:rFonts w:ascii="Garamond" w:hAnsi="Garamond"/>
          <w:i/>
          <w:iCs/>
          <w:color w:val="000000"/>
          <w:lang w:val="en-GB"/>
        </w:rPr>
        <w:t>an act of social fellowship between the deity and his worshippers</w:t>
      </w:r>
      <w:r w:rsidRPr="00751AC0">
        <w:rPr>
          <w:rFonts w:ascii="Garamond" w:hAnsi="Garamond"/>
          <w:color w:val="000000"/>
          <w:lang w:val="en-GB"/>
        </w:rPr>
        <w:t>«, ein Akt der Geselligkeit, eine Kommunion der Gläubigen mit ihrem Gotte.</w:t>
      </w:r>
    </w:p>
    <w:p w:rsidR="00B6748F" w:rsidRPr="00751AC0" w:rsidRDefault="00B6748F" w:rsidP="00B6748F">
      <w:pPr>
        <w:rPr>
          <w:rFonts w:ascii="Garamond" w:hAnsi="Garamond"/>
          <w:color w:val="000000"/>
          <w:lang w:val="en-GB"/>
        </w:rPr>
      </w:pPr>
      <w:r w:rsidRPr="00751AC0">
        <w:rPr>
          <w:rFonts w:ascii="Garamond" w:hAnsi="Garamond"/>
          <w:color w:val="000000"/>
          <w:lang w:val="en-GB"/>
        </w:rPr>
        <w:t>Als Opfer wurden dargebracht eßbare und trinkbare Dinge; dasselbe, wovon der Mensch sich nährte, Fleisch, Zerealien, Früchte, Wein und Öl, das opferte er auch seinem Gotte. Nur in bezug auf das Opferfleisch bestanden Einschränkungen und Abweichungen. Von den Tieropfern speist der Gott gemeinsam mit seinen Anbetern, die vegetabilischen Opfer sind ihm allein überlassen. Es ist kein Zweifel, daß die Tieropfer die älteren sind und einmal die einzigen waren. Die vegetabilischen Opfer sind aus der Darbringung der Erstlinge aller Früchte hervorgegangen und entsprechen einem Tribut an den Herrn des Bodens und des Landes. Das Tieropfer ist aber älter als der Ackerbau.</w:t>
      </w:r>
    </w:p>
    <w:p w:rsidR="00B6748F" w:rsidRPr="00751AC0" w:rsidRDefault="00B6748F" w:rsidP="00B6748F">
      <w:pPr>
        <w:rPr>
          <w:rFonts w:ascii="Garamond" w:hAnsi="Garamond"/>
          <w:color w:val="000000"/>
          <w:lang w:val="en-GB"/>
        </w:rPr>
      </w:pPr>
      <w:r w:rsidRPr="00751AC0">
        <w:rPr>
          <w:rFonts w:ascii="Garamond" w:hAnsi="Garamond"/>
          <w:color w:val="000000"/>
          <w:lang w:val="en-GB"/>
        </w:rPr>
        <w:t>Es ist aus sprachlichen Überresten gewiß, daß der dem Gott bestimmte Anteil des Opfers zuerst als seine wirkliche Nahrung angesehen wurde. Mit der fortschreitenden Dematerialisierung des göttlichen Wesens wurde diese Vorstellung anstößig; man wich ihr aus, indem man allein den flüssigen Anteil der Mahlzeit der Gottheit zuwies. Später gestattete der Gebrauch des Feuers, welcher das Opferfleisch auf dem Altar in Rauch aufgehen ließ, eine Zurichtung der menschlichen Nahrungsmittel, durch welche sie dem göttlichen Wesen angemessener wurden. Die Substanz des Trinkopfers war ursprünglich das Blut der Opfertiere; Wein wurde später der Ersatz des Blutes. Der Wein galt den Alten als das »Blut der Rebe«, wie ihn unsere Dichter jetzt noch heißen.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 älteste Form des Opfers, älter als der Gebrauch des Feuers und die Kenntnis des Ackerbaues, war also das Tieropfer, dessen Fleisch und Blut der Gott und seine Anbeter gemeinsam genossen. Es war wesentlich, daß jeder der Teilnehmer seinen Anteil an der Mahlzeit erhalte.</w:t>
      </w:r>
    </w:p>
    <w:p w:rsidR="00B6748F" w:rsidRPr="00751AC0" w:rsidRDefault="00B6748F" w:rsidP="00B6748F">
      <w:pPr>
        <w:rPr>
          <w:rFonts w:ascii="Garamond" w:hAnsi="Garamond"/>
          <w:color w:val="000000"/>
          <w:lang w:val="en-GB"/>
        </w:rPr>
      </w:pPr>
      <w:r w:rsidRPr="00751AC0">
        <w:rPr>
          <w:rFonts w:ascii="Garamond" w:hAnsi="Garamond"/>
          <w:color w:val="000000"/>
          <w:lang w:val="en-GB"/>
        </w:rPr>
        <w:t>Ein solches Opfer war eine öffentliche Zeremonie, das Fest eines ganzen Clan. Die Religion war überhaupt eine allgemeine Angelegenheit, die religiöse Pflicht ein Stück der sozialen Verpflichtung. Opfer und Festlichkeit fallen bei allen Völkern zusammen, jedes Opfer bringt ein Fest mit sich, und kein Fest kann ohne Opfer gefeiert werden. Das Opferfest war eine Gelegenheit der freudigen Erhebung über die eigenen Interessen, der Betonung der Zusammengehörigkeit untereinander und mit der Gottheit.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ethische Macht der öffentlichen Opfermahlzeit ruhte auf uralten Vorstellungen über die Bedeutung des gemeinsamen Essens und Trinkens. Mit einem anderen zu essen und zu trinken war gleichzeitig ein Symbol und eine Bekräftigung von sozialer Gemeinschaft und von Übernahme gegenseitiger Verpflichtungen; die Opfermahlzeit brachte zum direkten Ausdruck, daß der Gott und seine Anbeter </w:t>
      </w:r>
      <w:r w:rsidRPr="00751AC0">
        <w:rPr>
          <w:rFonts w:ascii="Garamond" w:hAnsi="Garamond"/>
          <w:i/>
          <w:iCs/>
          <w:color w:val="000000"/>
          <w:lang w:val="en-GB"/>
        </w:rPr>
        <w:t>Commensalen</w:t>
      </w:r>
      <w:r w:rsidRPr="00751AC0">
        <w:rPr>
          <w:rFonts w:ascii="Garamond" w:hAnsi="Garamond"/>
          <w:color w:val="000000"/>
          <w:lang w:val="en-GB"/>
        </w:rPr>
        <w:t xml:space="preserve"> sind, aber damit waren alle ihre anderen Beziehungen gegeben. Gebräuche, die noch heute unter den Arabern der Wüste in Kraft sind, beweisen, daß das Bindende an der gemeinsamen Mahlzeit nicht ein religiöses Moment ist, sondern der Akt des Essens selbst. Wer den kleinsten Bissen mit einem </w:t>
      </w:r>
      <w:r w:rsidRPr="00751AC0">
        <w:rPr>
          <w:rFonts w:ascii="Garamond" w:hAnsi="Garamond"/>
          <w:color w:val="000000"/>
          <w:lang w:val="en-GB"/>
        </w:rPr>
        <w:lastRenderedPageBreak/>
        <w:t>solchen Beduinen geteilt oder einen Schluck von seiner Milch getrunken hat, der braucht ihn nicht mehr als Feind zu fürchten, sondern darf seines Schutzes und seiner Hilfe sicher sein. Allerdings nicht für ewige Zeiten; strenggenommen nur für so lange, als der gemeinsam genossene Stoff der Annahme nach in seinem Körper verbleibt. So realistisch wird das Band der Vereinigung aufgefaßt; es bedarf der Wiederholung, um es zu verstärken und dauerhaft zu machen.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Warum wird aber dem gemeinsamen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und Trinken diese bindende Kraft zugeschrieben? In den primitivsten Gesellschaften gibt es nur ein Band, welches unbedingt und ausnahmslos einigt, das der Stammesgemeinschaft ( </w:t>
      </w:r>
      <w:r w:rsidRPr="00751AC0">
        <w:rPr>
          <w:rFonts w:ascii="Garamond" w:hAnsi="Garamond"/>
          <w:i/>
          <w:iCs/>
          <w:color w:val="000000"/>
          <w:lang w:val="en-GB"/>
        </w:rPr>
        <w:t>kinship</w:t>
      </w:r>
      <w:r w:rsidRPr="00751AC0">
        <w:rPr>
          <w:rFonts w:ascii="Garamond" w:hAnsi="Garamond"/>
          <w:color w:val="000000"/>
          <w:lang w:val="en-GB"/>
        </w:rPr>
        <w:t xml:space="preserve">). Die Mitglieder dieser Gemeinschaft treten solidarisch füreinander ein, ein </w:t>
      </w:r>
      <w:r w:rsidRPr="00751AC0">
        <w:rPr>
          <w:rFonts w:ascii="Garamond" w:hAnsi="Garamond"/>
          <w:i/>
          <w:iCs/>
          <w:color w:val="000000"/>
          <w:lang w:val="en-GB"/>
        </w:rPr>
        <w:t>Kin</w:t>
      </w:r>
      <w:r w:rsidRPr="00751AC0">
        <w:rPr>
          <w:rFonts w:ascii="Garamond" w:hAnsi="Garamond"/>
          <w:color w:val="000000"/>
          <w:lang w:val="en-GB"/>
        </w:rPr>
        <w:t xml:space="preserve"> ist eine Gruppe von Personen, deren Leben solcherart zu einer physischen Einheit verbunden sind, daß man sie wie Stücke eines gemeinsamen Lebens betrachten kann. Es heißt dann beim Mord eines Einzelnen aus dem </w:t>
      </w:r>
      <w:r w:rsidRPr="00751AC0">
        <w:rPr>
          <w:rFonts w:ascii="Garamond" w:hAnsi="Garamond"/>
          <w:i/>
          <w:iCs/>
          <w:color w:val="000000"/>
          <w:lang w:val="en-GB"/>
        </w:rPr>
        <w:t>Kin</w:t>
      </w:r>
      <w:r w:rsidRPr="00751AC0">
        <w:rPr>
          <w:rFonts w:ascii="Garamond" w:hAnsi="Garamond"/>
          <w:color w:val="000000"/>
          <w:lang w:val="en-GB"/>
        </w:rPr>
        <w:t xml:space="preserve"> nicht: das Blut dieses oder jenes ist vergossen worden, sondern unser Blut ist vergossen worden. Die hebräische Phrase, mit welcher die Stammesverwandtschaft anerkannt wird, lautet: Du bist mein Bein und mein Fleisch. </w:t>
      </w:r>
      <w:r w:rsidRPr="00751AC0">
        <w:rPr>
          <w:rFonts w:ascii="Garamond" w:hAnsi="Garamond"/>
          <w:i/>
          <w:iCs/>
          <w:color w:val="000000"/>
          <w:lang w:val="en-GB"/>
        </w:rPr>
        <w:t>Kinship</w:t>
      </w:r>
      <w:r w:rsidRPr="00751AC0">
        <w:rPr>
          <w:rFonts w:ascii="Garamond" w:hAnsi="Garamond"/>
          <w:color w:val="000000"/>
          <w:lang w:val="en-GB"/>
        </w:rPr>
        <w:t xml:space="preserve"> bedeutet also einen Anteil haben an einer gemeinsamen Substanz. Es ist dann natürlich, daß sie nicht nur auf die Tatsache gegründet wird, daß man ein Teil von der Substanz seiner Mutter ist, von der man geboren und mit deren Milch man genährt wurde, sondern daß auch die Nahrung, die man späterhin genießt und durch die man seinen Körper erneuert, </w:t>
      </w:r>
      <w:r w:rsidRPr="00751AC0">
        <w:rPr>
          <w:rFonts w:ascii="Garamond" w:hAnsi="Garamond"/>
          <w:i/>
          <w:iCs/>
          <w:color w:val="000000"/>
          <w:lang w:val="en-GB"/>
        </w:rPr>
        <w:t>Kinship</w:t>
      </w:r>
      <w:r w:rsidRPr="00751AC0">
        <w:rPr>
          <w:rFonts w:ascii="Garamond" w:hAnsi="Garamond"/>
          <w:color w:val="000000"/>
          <w:lang w:val="en-GB"/>
        </w:rPr>
        <w:t xml:space="preserve"> erwerben und bestärken kann. Teilte man die Mahlzeit mit seinem Gotte, so drückte es die Überzeugung aus, daß man von einem Stoff mit ihm sei, und wen man als Fremden erkannte, mit dem teilte man keine Mahlzeit.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Opfermahlzeit war also ursprünglich ein Festmahl von Stammverwandten, dem Gesetze folgend, daß nur Stammverwandte miteinander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In unserer Gesellschaft einigt die Mahlzeit die Mitglieder der Familie, aber mit der Familie hat die Opfermahlzeit nichts zu tun. </w:t>
      </w:r>
      <w:r w:rsidRPr="00751AC0">
        <w:rPr>
          <w:rFonts w:ascii="Garamond" w:hAnsi="Garamond"/>
          <w:i/>
          <w:iCs/>
          <w:color w:val="000000"/>
          <w:lang w:val="en-GB"/>
        </w:rPr>
        <w:t>Kinship</w:t>
      </w:r>
      <w:r w:rsidRPr="00751AC0">
        <w:rPr>
          <w:rFonts w:ascii="Garamond" w:hAnsi="Garamond"/>
          <w:color w:val="000000"/>
          <w:lang w:val="en-GB"/>
        </w:rPr>
        <w:t xml:space="preserve"> ist älter als Familienleben; die ältesten uns bekannten Familien umfassen regelmäßig Personen, die verschiedenen Verwandtschaftsverbänden angehören. Die Männer heiraten Frauen aus fremden Clans, die Kinder erben den Clan der Mutter; es besteht keine Stammesverwandtschaft zwischen dem Manne und den übrigen Familienmitgliedern. In einer solchen Familie gibt es keine gemeinsame Mahlzeit. Die Wilden </w:t>
      </w:r>
      <w:smartTag w:uri="urn:schemas-microsoft-com:office:smarttags" w:element="City">
        <w:smartTag w:uri="urn:schemas-microsoft-com:office:smarttags" w:element="place">
          <w:r w:rsidRPr="00751AC0">
            <w:rPr>
              <w:rFonts w:ascii="Garamond" w:hAnsi="Garamond"/>
              <w:color w:val="000000"/>
              <w:lang w:val="en-GB"/>
            </w:rPr>
            <w:t>essen</w:t>
          </w:r>
        </w:smartTag>
      </w:smartTag>
      <w:r w:rsidRPr="00751AC0">
        <w:rPr>
          <w:rFonts w:ascii="Garamond" w:hAnsi="Garamond"/>
          <w:color w:val="000000"/>
          <w:lang w:val="en-GB"/>
        </w:rPr>
        <w:t xml:space="preserve"> noch heute abseits und allein, und die religiösen Speiseverbote des Totemismus machen ihnen oft die Eßgemeinschaft mit ihren Frauen und Kindern unmöglich.</w:t>
      </w:r>
    </w:p>
    <w:p w:rsidR="00B6748F" w:rsidRPr="00751AC0" w:rsidRDefault="00B6748F" w:rsidP="00B6748F">
      <w:pPr>
        <w:rPr>
          <w:rFonts w:ascii="Garamond" w:hAnsi="Garamond"/>
          <w:color w:val="000000"/>
          <w:lang w:val="en-GB"/>
        </w:rPr>
      </w:pPr>
      <w:r w:rsidRPr="00751AC0">
        <w:rPr>
          <w:rFonts w:ascii="Garamond" w:hAnsi="Garamond"/>
          <w:color w:val="000000"/>
        </w:rPr>
        <w:t xml:space="preserve">Wenden wir uns nun zum Opfertier. Es gab, wie wir gehört, keine Stammeszusammenkunft ohne Tieropfer, aber – was nun bedeutsam ist – auch kein Schlachten eines Tieres außer für solche feierliche Gelegenheit. Man nährte sich ohne Bedenken von Früchten, Wild und von der Milch der Haustiere, aber religiöse Skrupel machten es dem Einzelnen unmöglich, ein Haustier für seinen eigenen Gebrauch zu töten. Es leidet nicht den leisesten Zweifel, sagt Robertson Smith, daß jedes Opfer ursprünglich Clanopfer war und daß das </w:t>
      </w:r>
      <w:r w:rsidRPr="00751AC0">
        <w:rPr>
          <w:rFonts w:ascii="Garamond" w:hAnsi="Garamond"/>
          <w:i/>
          <w:iCs/>
          <w:color w:val="000000"/>
        </w:rPr>
        <w:t>Töten eines Schlachtopfers</w:t>
      </w:r>
      <w:r w:rsidRPr="00751AC0">
        <w:rPr>
          <w:rFonts w:ascii="Garamond" w:hAnsi="Garamond"/>
          <w:color w:val="000000"/>
        </w:rPr>
        <w:t xml:space="preserve"> ursprünglich zu jenen Handlungen gehörte, </w:t>
      </w:r>
      <w:r w:rsidRPr="00751AC0">
        <w:rPr>
          <w:rFonts w:ascii="Garamond" w:hAnsi="Garamond"/>
          <w:i/>
          <w:iCs/>
          <w:color w:val="000000"/>
        </w:rPr>
        <w:t>die dem Einzelnen verboten sind und nur dann gerechtfertigt werden, wenn der ganze Stamm die Verantwortlichkeit mit übernimmt</w:t>
      </w:r>
      <w:r w:rsidRPr="00751AC0">
        <w:rPr>
          <w:rFonts w:ascii="Garamond" w:hAnsi="Garamond"/>
          <w:color w:val="000000"/>
        </w:rPr>
        <w:t xml:space="preserve">. </w:t>
      </w:r>
      <w:r w:rsidRPr="00751AC0">
        <w:rPr>
          <w:rFonts w:ascii="Garamond" w:hAnsi="Garamond"/>
          <w:color w:val="000000"/>
          <w:lang w:val="en-GB"/>
        </w:rPr>
        <w:t xml:space="preserve">Es gibt bei den Primitiven nur eine Klasse von Handlungen, für welche diese Charakteristik zutrifft, nämlich Handlungen, welche an die Heiligkeit des dem Stamme gemeinsamen Blutes rühren. Ein Leben, welches kein Einzelner wegnehmen darf und das nur durch die Zustimmung, unter der Teilnahme aller Clangenossen geopfert werden kann, steht auf derselben Stufe wie das Leben der Stammesgenossen selbst. Die Regel, daß jeder Gast der Opfermahlzeit vom Fleisch des Opfertieres genießen müsse, hat denselben Sinn wie die Vorschrift, daß die Exekution an einem schuldigen Stammesgenossen von dem ganzen Stamm zu vollziehen sei. Mit anderen Worten: Das Opfertier wurde behandelt wie ein Stammverwandter, </w:t>
      </w:r>
      <w:r w:rsidRPr="00751AC0">
        <w:rPr>
          <w:rFonts w:ascii="Garamond" w:hAnsi="Garamond"/>
          <w:i/>
          <w:iCs/>
          <w:color w:val="000000"/>
          <w:lang w:val="en-GB"/>
        </w:rPr>
        <w:t>die opfernde Gemeinde, ihr Gott und das Opfertier waren eines Blutes</w:t>
      </w:r>
      <w:r w:rsidRPr="00751AC0">
        <w:rPr>
          <w:rFonts w:ascii="Garamond" w:hAnsi="Garamond"/>
          <w:color w:val="000000"/>
          <w:lang w:val="en-GB"/>
        </w:rPr>
        <w:t>, Mitglieder eines Clan.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Robertson Smith identifiziert auf Grund einer reichen Evidenz das Opfertier mit dem alten Totemtier. Es gab im späteren Altertum zwei Arten von Opfern, solche von Haustieren, die auch für gewöhnlich gegessen wurden, und ungewöhnliche Opfer von Tieren, die als unrein verboten waren. Die nähere </w:t>
      </w:r>
      <w:r w:rsidRPr="00751AC0">
        <w:rPr>
          <w:rFonts w:ascii="Garamond" w:hAnsi="Garamond"/>
          <w:color w:val="000000"/>
          <w:lang w:val="en-GB"/>
        </w:rPr>
        <w:lastRenderedPageBreak/>
        <w:t>Erforschung zeigt dann, daß diese unreinen Tiere heilige Tiere waren, daß sie den Göttern als Opfer dargebracht wurden, denen sie heilig waren, daß diese Tiere ursprünglich identisch waren mit den Göttern selbst und daß die Gläubigen in irgendeiner Weise beim Opfer ihre Blutsverwandtschaft mit dem Tiere und dem Gotte betonten. Für noch frühere Zeiten entfällt aber dieser Unterschied zwischen gewöhnlichen und »mystischen« Opfern. Alle Tiere sind ursprünglich heilig, ihr Fleisch ist verboten und darf nur bei feierlichen Gelegenheiten unter Teilnahme des ganzen Stammes genossen werden. Das Schlachten des Tieres kommt dem Vergießen von Stammesblut gleich und muß unter den nämlichen Vorsichten und Sicherungen gegen Vorwurf geschehen.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Zähmung von Haustieren und das Emporkommen der Viehzucht scheint überall dem reinen und strengen Totemismus der Urzeit ein Ende bereitet zu haben </w:t>
      </w:r>
      <w:hyperlink r:id="rId59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The inference is that the domestication to which totemism invariably leads (when there are any animals capable of domestication) is fatal to totemism.</w:t>
        </w:r>
        <w:r w:rsidRPr="00751AC0">
          <w:rPr>
            <w:rStyle w:val="innerfusslink3"/>
            <w:rFonts w:ascii="Garamond" w:hAnsi="Garamond" w:cs="Arial"/>
            <w:b/>
            <w:bCs/>
            <w:lang w:val="en-GB"/>
          </w:rPr>
          <w:t>« (Jevons, 1902, p. 120.)</w:t>
        </w:r>
      </w:hyperlink>
      <w:r w:rsidRPr="00751AC0">
        <w:rPr>
          <w:rFonts w:ascii="Garamond" w:hAnsi="Garamond"/>
          <w:color w:val="000000"/>
          <w:lang w:val="en-GB"/>
        </w:rPr>
        <w:t xml:space="preserve">. Aber was in der nun »pastoralen« Religion den Haustieren an Heiligkeit verblieb, ist deutlich genug, um den ursprünglichen Totemcharakter derselben erkennen zu lassen. Noch in späten klassischen Zeiten schrieb der Ritus an verschiedenen Orten dem Opferer vor, nach vollzogenem Opfer die Flucht zu ergreifen, wie um sich einer Ahndung zu entziehen. In Griechenland muß die Idee, daß die Tötung eines Ochsen eigentlich ein Verbrechen sei, einst allgemein geherrscht haben. An dem athenischen Fest der </w:t>
      </w:r>
      <w:r w:rsidRPr="00751AC0">
        <w:rPr>
          <w:rFonts w:ascii="Garamond" w:hAnsi="Garamond"/>
          <w:i/>
          <w:iCs/>
          <w:color w:val="000000"/>
          <w:lang w:val="en-GB"/>
        </w:rPr>
        <w:t>Euphonien</w:t>
      </w:r>
      <w:r w:rsidRPr="00751AC0">
        <w:rPr>
          <w:rFonts w:ascii="Garamond" w:hAnsi="Garamond"/>
          <w:color w:val="000000"/>
          <w:lang w:val="en-GB"/>
        </w:rPr>
        <w:t xml:space="preserve"> wurde nach dem Opfer ein förmlicher Prozeß eingeleitet, bei dem alle Beteiligten zum Verhör kamen. Endlich einigte man sich, die Schuld an der Mordtat auf das Messer abzuwälzen, welches dann ins Meer geworfen wurde.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Trotz der Scheu, welche das Leben des heiligen Tieres als eines Stammesgenossen schützt, wird es zur Notwendigkeit, ein solches Tier von Zeit zu Zeit in feierlicher Gemeinschaft zu töten und Fleisch und Blut desselben unter die Clangenossen zu verteilen. Das Motiv, welches diese Tat gebietet, gibt den tiefsten Sinn des Opferwesens preis. Wir haben gehört, daß in späteren Zeiten jedes gemeinsame Essen, die Teilnahme an der nämlichen Substanz, welche in ihre Körper eindringt, ein heiliges Band zwischen den Commensalen herstellt; in ältesten Zeiten scheint diese Bedeutung nur der Teilnahme an der Substanz eines heiligen Opfers zuzukommen. </w:t>
      </w:r>
      <w:r w:rsidRPr="00751AC0">
        <w:rPr>
          <w:rFonts w:ascii="Garamond" w:hAnsi="Garamond"/>
          <w:i/>
          <w:iCs/>
          <w:color w:val="000000"/>
          <w:lang w:val="en-GB"/>
        </w:rPr>
        <w:t>Das heilige Mysterium des Opfertodes rechtfertigt sich, indem nur auf diesem Wege das heilige Band hergestellt werden kann, welches die Teilnehmer untereinander und mit ihrem Gotte einigt</w:t>
      </w:r>
      <w:hyperlink r:id="rId59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l. c., p. 113.</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Dieses Band ist nichts anderes als das Leben des Opfertieres, welches in seinem Fleisch und in seinem Blute wohnt und durch die Opfermahlzeit allen Teilnehmern mitgeteilt wird. Eine solche Vorstellung liegt allen </w:t>
      </w:r>
      <w:r w:rsidRPr="00751AC0">
        <w:rPr>
          <w:rFonts w:ascii="Garamond" w:hAnsi="Garamond"/>
          <w:i/>
          <w:iCs/>
          <w:color w:val="000000"/>
          <w:lang w:val="en-GB"/>
        </w:rPr>
        <w:t>Blutbündnissen</w:t>
      </w:r>
      <w:r w:rsidRPr="00751AC0">
        <w:rPr>
          <w:rFonts w:ascii="Garamond" w:hAnsi="Garamond"/>
          <w:color w:val="000000"/>
          <w:lang w:val="en-GB"/>
        </w:rPr>
        <w:t xml:space="preserve"> zugrunde, durch die sich noch in späten Zeiten Menschen gegeneinander verpflichten. Die durchaus realistische Auffassung der Blutsgemeinschaft als Identität der Substanz läßt die Notwendigkeit verstehen, sie von Zeit zu Zeit durch den physischen Prozeß der Opfermahlzeit zu erneuern.</w:t>
      </w:r>
    </w:p>
    <w:p w:rsidR="00B6748F" w:rsidRPr="00751AC0" w:rsidRDefault="00B6748F" w:rsidP="00B6748F">
      <w:pPr>
        <w:rPr>
          <w:rFonts w:ascii="Garamond" w:hAnsi="Garamond"/>
          <w:color w:val="000000"/>
          <w:lang w:val="en-GB"/>
        </w:rPr>
      </w:pPr>
      <w:r w:rsidRPr="00751AC0">
        <w:rPr>
          <w:rFonts w:ascii="Garamond" w:hAnsi="Garamond"/>
          <w:color w:val="000000"/>
          <w:lang w:val="en-GB"/>
        </w:rPr>
        <w:t>Brechen wir hier die Mitteilung der Gedankengänge von Robertson Smith ab, um ihren Kern in gedrängtester Kürze zu resümieren: Als die Idee des Privateigentums aufkam, wurde das Opfer als eine Gabe an die Gottheit, als eine Übertragung aus dem Eigentum des Menschen in das des Gottes aufgefaßt. Allein diese Deutung ließ alle Eigentümlichkeiten des Opferrituals unaufgeklärt. In ältesten Zeiten war das Opfertier selbst heilig, sein Leben unverletzlich gewesen; es konnte nur unter der Teilnahme und Mitschuld des ganzen Stammes und in Gegenwart des Gottes genommen werden, um die heilige Substanz zu liefern, durch deren Genuß die Clangenossen sich ihrer stofflichen Identität untereinander und mit der Gottheit versicherten. Das Opfer war ein Sakrament, das Opfertier selbst ein Stammesgenosse. Es war in Wirklichkeit das alte Totemtier, der primitive Gott selbst, durch dessen Tötung und Verzehrung die Clangenossen ihre Gottähnlichkeit auffrischten und versicherten.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Aus dieser Analyse des Opferwesens zog Robertson Smith den Schluß, daß die periodische Tötung und Aufzehrung des Totem in Zeiten </w:t>
      </w:r>
      <w:r w:rsidRPr="00751AC0">
        <w:rPr>
          <w:rFonts w:ascii="Garamond" w:hAnsi="Garamond"/>
          <w:i/>
          <w:iCs/>
          <w:color w:val="000000"/>
          <w:lang w:val="en-GB"/>
        </w:rPr>
        <w:t>vor der Verehrung anthropomorpher Gottheiten</w:t>
      </w:r>
      <w:r w:rsidRPr="00751AC0">
        <w:rPr>
          <w:rFonts w:ascii="Garamond" w:hAnsi="Garamond"/>
          <w:color w:val="000000"/>
          <w:lang w:val="en-GB"/>
        </w:rPr>
        <w:t xml:space="preserve"> ein bedeutsames Stück der Totemreligion gewesen sei. Das Zeremoniell einer solchen Totemmahlzeit, meinte er, sei uns in der Beschreibung eines Opfers aus späteren Zeiten erhalten. Der hl. Nilus berichtet von einer Opfersitte der Beduinen in der sinaitischen Wüste um das Ende des vierten Jahrhunderts nach Christi Geburt. Das Opfer, ein Kamel, wurde gebunden auf einen rohen Altar von Steinen gelegt; der Anführer des Stammes ließ die Teilnehmer dreimal unter Gesängen um den Altar herumgehen, brachte dem Tiere die erste Wunde bei und trank gierig das hervorquellende Blut; dann stürzte sich die ganze Gemeinde auf das Opfer, hieb mit den Schwertern Stücke des zuckenden Fleisches los und verzehrte sie roh in solcher Hast, daß in der kurzen Zwischenzeit zwischen dem Aufgang des Morgensterns, dem dieses Opfer galt, und dem Erblassen des Gestirns vor den Sonnenstrahlen alles vom Opfertier, Leib, Knochen, Haut, Fleisch und Eingeweide, vertilgt war. Dieser barbarische, von höchster Altertümlichkeit zeugende Ritus war allen Beweismitteln nach kein vereinzelter Gebrauch, sondern die allgemeine, ursprüngliche Form des Totemopfers, die in späterer Zeit die verschiedensten Abschwächungen erfuhr.</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Viele Autoren haben sich geweigert, der Konzeption der Totemmahlzeit Gewicht beizulegen, weil sie durch die direkte Beobachtung auf der Stufe des Totemismus nicht erhärtet werden konnte. Robertson Smith hat noch selbst auf die Beispiele hingewiesen, in denen die sakramentale Bedeutung der Opfer gesichert scheint, z. B. bei den Menschenopfern der Azteken, und auf andere, welche an die Bedingungen der Totemmahlzeit erinnern, die Bärenopfer des Bärenstammes der Ouataouaks in Amerika und die Bärenfeste der Ainos in Japan. Frazer hat diese und ähnliche Fälle in den beiden letzterschienenen Abteilungen seines großen Werkes ausführlich mitgeteilt </w:t>
      </w:r>
      <w:hyperlink r:id="rId59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(1912)</w:t>
        </w:r>
      </w:hyperlink>
      <w:r w:rsidRPr="00751AC0">
        <w:rPr>
          <w:rFonts w:ascii="Garamond" w:hAnsi="Garamond"/>
          <w:color w:val="000000"/>
          <w:lang w:val="en-GB"/>
        </w:rPr>
        <w:t>. Ein Indianerstamm in Kalifornien, der einen großen Raubvogel (Bussard) verehrt, tötet diesen in feierlicher Zeremonie einmal im Jahre, worauf er betrauert und seine Haut mit den Federn aufbewahrt wird. Die Zuniindianer in Neumexiko verfahren ebenso mit ihrer heiligen Schildkröte.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den </w:t>
      </w:r>
      <w:r w:rsidRPr="00751AC0">
        <w:rPr>
          <w:rFonts w:ascii="Garamond" w:hAnsi="Garamond"/>
          <w:i/>
          <w:iCs/>
          <w:color w:val="000000"/>
          <w:lang w:val="en-GB"/>
        </w:rPr>
        <w:t>Intichiuma</w:t>
      </w:r>
      <w:r w:rsidRPr="00751AC0">
        <w:rPr>
          <w:rFonts w:ascii="Garamond" w:hAnsi="Garamond"/>
          <w:color w:val="000000"/>
          <w:lang w:val="en-GB"/>
        </w:rPr>
        <w:t>zeremonien der zentralaustralischen Stämme ist ein Zug beobachtet worden, welcher zu den Voraussetzungen von Robertson Smith vortrefflich stimmt. Jeder Stamm, der für die Vermehrung seines Totem, dessen Genuß ihm doch selbst verwehrt ist, Magie treibt, ist gehalten, bei der Zeremonie etwas von seinem Totem selbst zu genießen, ehe derselbe den anderen Stämmen zugänglich wird. Das schönste Beispiel für den sakramentalen Genuß des sonst verbotenen Totem soll sich nach Frazer bei den Bini in Westafrika in Verbindung mit dem Begräbniszeremoniell dieser Stämme finden. (Ibid., II, p. 590.)</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aber wollen Robertson Smith in der Annahme folgen, daß die sakramentale Tötung und gemeinsame Aufzehrung des sonst verbotenen Totemtieres ein bedeutungsvoller Zug der Totemreligion gewesen sei </w:t>
      </w:r>
      <w:hyperlink r:id="rId59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 von verschiedenen Autoren (Marillier, Hubert und Mauss u. a.) gegen diese Theorie des Opfers vorgebrachten Einwendungen sind mir nicht unbekannt geblieben, haben aber den Eindruck der Lehren von Robertson Smith im wesentlichen nicht beeinträchtigt.</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5</w:t>
      </w:r>
    </w:p>
    <w:p w:rsidR="00B6748F" w:rsidRPr="00751AC0" w:rsidRDefault="00B6748F" w:rsidP="00B6748F">
      <w:pPr>
        <w:rPr>
          <w:rFonts w:ascii="Garamond" w:hAnsi="Garamond"/>
          <w:color w:val="000000"/>
        </w:rPr>
      </w:pPr>
      <w:r w:rsidRPr="00751AC0">
        <w:rPr>
          <w:rFonts w:ascii="Garamond" w:hAnsi="Garamond"/>
          <w:color w:val="000000"/>
          <w:lang w:val="en-GB"/>
        </w:rPr>
        <w:t xml:space="preserve">Stellen wir uns nun die Szene einer solchen Totemmahlzeit vor und statten sie noch mit einigen wahrscheinlichen Zügen aus, die bisher nicht gewürdigt werden konnten. Der Clan, der sein Totemtier bei feierlichem Anlasse auf grausame Art tötet und es roh verzehrt, Blut, Fleisch und Knochen; dabei sind die Stammesgenossen in die Ähnlichkeit des Totem verkleidet, imitieren es in Lauten und Bewegungen, als ob sie seine und ihre Identität betonen wollten. Es ist das Bewußtsein dabei, daß man eine jedem Einzelnen verbotene Handlung ausführt, die nur durch die Teilnahme aller gerechtfertigt werden kann; es darf sich auch keiner von der Tötung und der Mahlzeit ausschließen. Nach der Tat wird das hingemordete Tier beweint und beklagt. Die Totenklage ist eine zwangsmäßige, durch die Furcht vor einer drohenden </w:t>
      </w:r>
      <w:r w:rsidRPr="00751AC0">
        <w:rPr>
          <w:rFonts w:ascii="Garamond" w:hAnsi="Garamond"/>
          <w:color w:val="000000"/>
          <w:lang w:val="en-GB"/>
        </w:rPr>
        <w:lastRenderedPageBreak/>
        <w:t xml:space="preserve">Vergeltung erzwungene, ihre Hauptabsicht geht dahin, wie Robertson Smith bei einer analogen Gelegenheit bemerkt, die Verantwortlichkeit für die Tötung von sich abzuwälzen. </w:t>
      </w:r>
      <w:hyperlink r:id="rId597" w:anchor="#" w:history="1">
        <w:r w:rsidRPr="00751AC0">
          <w:rPr>
            <w:rStyle w:val="fusslink"/>
            <w:rFonts w:ascii="Garamond" w:hAnsi="Garamond" w:cs="Arial"/>
            <w:b/>
            <w:bCs/>
            <w:color w:val="003399"/>
          </w:rPr>
          <w:t>[Fußnote]</w:t>
        </w:r>
        <w:r w:rsidRPr="00751AC0">
          <w:rPr>
            <w:rStyle w:val="innerfusslink3"/>
            <w:rFonts w:ascii="Garamond" w:hAnsi="Garamond" w:cs="Arial"/>
            <w:b/>
            <w:bCs/>
          </w:rPr>
          <w:t>1894, p. 412.</w:t>
        </w:r>
      </w:hyperlink>
    </w:p>
    <w:p w:rsidR="00B6748F" w:rsidRPr="00751AC0" w:rsidRDefault="00B6748F" w:rsidP="00B6748F">
      <w:pPr>
        <w:rPr>
          <w:rFonts w:ascii="Garamond" w:hAnsi="Garamond"/>
          <w:color w:val="000000"/>
        </w:rPr>
      </w:pPr>
      <w:r w:rsidRPr="00751AC0">
        <w:rPr>
          <w:rFonts w:ascii="Garamond" w:hAnsi="Garamond"/>
          <w:color w:val="000000"/>
        </w:rPr>
        <w:t xml:space="preserve">Aber nach dieser Trauer folgt die lauteste Festfreude, die Entfesselung aller Triebe und Gestattung aller Befriedigungen. Die Einsicht in das Wesen des </w:t>
      </w:r>
      <w:r w:rsidRPr="00751AC0">
        <w:rPr>
          <w:rFonts w:ascii="Garamond" w:hAnsi="Garamond"/>
          <w:i/>
          <w:iCs/>
          <w:color w:val="000000"/>
        </w:rPr>
        <w:t>Festes</w:t>
      </w:r>
      <w:r w:rsidRPr="00751AC0">
        <w:rPr>
          <w:rFonts w:ascii="Garamond" w:hAnsi="Garamond"/>
          <w:color w:val="000000"/>
        </w:rPr>
        <w:t xml:space="preserve"> fällt uns hier ohne jede Mühe zu.</w:t>
      </w:r>
    </w:p>
    <w:p w:rsidR="00B6748F" w:rsidRPr="00751AC0" w:rsidRDefault="00B6748F" w:rsidP="00B6748F">
      <w:pPr>
        <w:rPr>
          <w:rFonts w:ascii="Garamond" w:hAnsi="Garamond"/>
          <w:color w:val="000000"/>
        </w:rPr>
      </w:pPr>
      <w:r w:rsidRPr="00751AC0">
        <w:rPr>
          <w:rFonts w:ascii="Garamond" w:hAnsi="Garamond"/>
          <w:color w:val="000000"/>
        </w:rPr>
        <w:t>Ein Fest ist ein gestatteter, vielmehr ein gebotener Exzeß, ein feierlicher Durchbruch eines Verbotes. Nicht weil die Menschen infolge irgendeiner Vorschrift froh gestimmt sind, begehen sie die Ausschreitungen, sondern der Exzeß liegt im Wesen des Festes; die festliche Stimmung wird durch die Freigebung des sonst Verbotenen erzeugt.</w:t>
      </w:r>
    </w:p>
    <w:p w:rsidR="00B6748F" w:rsidRPr="00751AC0" w:rsidRDefault="00B6748F" w:rsidP="00B6748F">
      <w:pPr>
        <w:rPr>
          <w:rFonts w:ascii="Garamond" w:hAnsi="Garamond"/>
          <w:color w:val="000000"/>
        </w:rPr>
      </w:pPr>
      <w:r w:rsidRPr="00751AC0">
        <w:rPr>
          <w:rFonts w:ascii="Garamond" w:hAnsi="Garamond"/>
          <w:color w:val="000000"/>
        </w:rPr>
        <w:t>Was soll aber die Einleitung zu dieser Festesfreude, die Trauer über den Tod des Totemtieres? Wenn man sich über die Tötung des Totem, die sonst versagt ist, freut, warum trauert man auch über sie?</w:t>
      </w:r>
    </w:p>
    <w:p w:rsidR="00B6748F" w:rsidRPr="00751AC0" w:rsidRDefault="00B6748F" w:rsidP="00B6748F">
      <w:pPr>
        <w:rPr>
          <w:rFonts w:ascii="Garamond" w:hAnsi="Garamond"/>
          <w:color w:val="000000"/>
          <w:lang w:val="en-GB"/>
        </w:rPr>
      </w:pPr>
      <w:r w:rsidRPr="00751AC0">
        <w:rPr>
          <w:rFonts w:ascii="Garamond" w:hAnsi="Garamond"/>
          <w:color w:val="000000"/>
          <w:lang w:val="en-GB"/>
        </w:rPr>
        <w:t>Wir haben gehört, daß sich die Clangenossen durch den Genuß des Totem heiligen, in ihrer Identifizierung mit ihm und untereinander bestärken. Daß sie das heilige Leben, dessen Träger die Substanz des Totem ist, in sich aufgenommen haben, könnte ja die festliche Stimmung und alles, was aus ihr folgt, erklären.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 Psychoanalyse hat uns verraten, daß das Totemtier wirklich der Ersatz des Vaters ist, und dazu stimmte wohl der Widerspruch, daß es sonst verboten ist, es zu töten, und daß seine Tötung zur Festlichkeit wird, daß man das Tier tötet und es doch betrauert. Die ambivalente Gefühlseinstellung, welche den Vaterkomplex heute noch bei unseren Kindern auszeichnet und sich oft ins Leben der Erwachsenen fortsetzt, würde sich auch auf den Vaterersatz des Totemtieres erstrecken.</w:t>
      </w:r>
    </w:p>
    <w:p w:rsidR="00B6748F" w:rsidRPr="00751AC0" w:rsidRDefault="00B6748F" w:rsidP="00B6748F">
      <w:pPr>
        <w:rPr>
          <w:rFonts w:ascii="Garamond" w:hAnsi="Garamond"/>
          <w:color w:val="000000"/>
          <w:lang w:val="en-GB"/>
        </w:rPr>
      </w:pPr>
      <w:r w:rsidRPr="00751AC0">
        <w:rPr>
          <w:rFonts w:ascii="Garamond" w:hAnsi="Garamond"/>
          <w:color w:val="000000"/>
          <w:lang w:val="en-GB"/>
        </w:rPr>
        <w:t>Allein, wenn man die von der Psychoanalyse gegebene Übersetzung des Totem mit der Tatsache der Totemmahlzeit und der Darwinschen Hypothese über den Urzustand der menschlichen Gesellschaft zusammenhält, ergibt sich die Möglichkeit eines tieferen Verständnisses, der Ausblick auf eine Hypothese, die phantastisch erscheinen mag, aber den Vorteil bietet, eine unvermutete Einheit zwischen bisher gesonderten Reihen von Phänomenen herzustellen.</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Die Darwinsche Urhorde hat natürlich keinen Raum für die Anfänge des Totemismus. Ein gewalttätiger, eifersüchtiger Vater, der alle Weibchen für sich behält und die heranwachsenden Söhne vertreibt, nichts weiter. </w:t>
      </w:r>
      <w:r w:rsidRPr="00751AC0">
        <w:rPr>
          <w:rFonts w:ascii="Garamond" w:hAnsi="Garamond"/>
          <w:color w:val="000000"/>
          <w:lang w:val="en-GB"/>
        </w:rPr>
        <w:t xml:space="preserve">Dieser Urzustand der Gesellschaft ist nirgends Gegenstand der Beobachtung geworden. Was wir als primitivste Organisation finden, was noch heute bei gewissen Stämmen in Kraft besteht, das sind </w:t>
      </w:r>
      <w:r w:rsidRPr="00751AC0">
        <w:rPr>
          <w:rFonts w:ascii="Garamond" w:hAnsi="Garamond"/>
          <w:i/>
          <w:iCs/>
          <w:color w:val="000000"/>
          <w:lang w:val="en-GB"/>
        </w:rPr>
        <w:t>Männerverbände</w:t>
      </w:r>
      <w:r w:rsidRPr="00751AC0">
        <w:rPr>
          <w:rFonts w:ascii="Garamond" w:hAnsi="Garamond"/>
          <w:color w:val="000000"/>
          <w:lang w:val="en-GB"/>
        </w:rPr>
        <w:t>, die aus gleichberechtigten Mitgliedern bestehen und den Einschränkungen des totemistischen Systems unterliegen, dabei mütterliche Erblichkeit. Kann das eine aus dem anderen hervorgegangen sein, und auf welchem Wege war es möglich?</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Berufung auf die Feier der Totemmahlzeit gestattet uns eine Antwort zu geben: Eines Tages </w:t>
      </w:r>
      <w:hyperlink r:id="rId59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Zu dieser Darstellung, die sonst mißverständlich würde, bitte ich die Schlußsätze der nachfolgenden Anmerkung als Korrektiv hinzuzunehmen.</w:t>
        </w:r>
      </w:hyperlink>
      <w:r w:rsidRPr="00751AC0">
        <w:rPr>
          <w:rFonts w:ascii="Garamond" w:hAnsi="Garamond"/>
          <w:color w:val="000000"/>
          <w:lang w:val="en-GB"/>
        </w:rPr>
        <w:t xml:space="preserve"> taten sich die ausgetriebenen Brüder zusammen, erschlugen und verzehrten den Vater und machten so der Vaterhorde ein Ende. Vereint wagten sie und brachten zustande, was dem Einzelnen unmöglich geblieben wäre. (Vielleicht hatte ein Kulturfortschritt, die Handhabung einer neuen Waffe, ihnen das Gefühl der Überlegenheit gegeben.) Daß sie den Getöteten auch verzehrten, ist für den kannibalen Wilden selbstverständlich. Der gewalttätige Urvater war gewiß das beneidete und gefürchtete Vorbild eines jeden aus der Brüderschar gewesen. Nun setzten sie im Akte des Verzehrens die Identifizierung mit ihm durch, eigneten sich ein jeder ein Stück seiner Stärke an. Die Totemmahlzeit, vielleicht das erste Fest der Menschheit, wäre die Wiederholung und die Gedenkfeier dieser denkwürdigen, verbrecherischen Tat, mit welcher so vieles seinen Anfang nahm, die sozialen Organisationen, die sittlichen Einschränkungen und die Religion </w:t>
      </w:r>
      <w:hyperlink r:id="rId59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Die </w:t>
        </w:r>
        <w:r w:rsidRPr="00751AC0">
          <w:rPr>
            <w:rStyle w:val="innerfusslink3"/>
            <w:rFonts w:ascii="Garamond" w:hAnsi="Garamond" w:cs="Arial"/>
            <w:b/>
            <w:bCs/>
            <w:lang w:val="en-GB"/>
          </w:rPr>
          <w:lastRenderedPageBreak/>
          <w:t xml:space="preserve">ungeheuerlich erscheinende Annahme der Überwältigung und Tötung des tyrannischen Vaters durch die Vereinigung der ausgetriebenen Sohne hat sich auch Atkinson als direkte Folgerung aus den Verhältnissen der Darwinschen Urhorde ergeben. » </w:t>
        </w:r>
        <w:r w:rsidRPr="00751AC0">
          <w:rPr>
            <w:rStyle w:val="innerfusslink3"/>
            <w:rFonts w:ascii="Garamond" w:hAnsi="Garamond" w:cs="Arial"/>
            <w:b/>
            <w:bCs/>
            <w:i/>
            <w:iCs/>
            <w:lang w:val="en-GB"/>
          </w:rPr>
          <w:t>A youthful band of brothers living together in forced celibacy, or at most in polyandrous relation with some single female captive. A horde as yet weak in their impubescence they are, but they would, when strength was gained with time, inevitably wrench by combined attacks, renewed again and again, both wife and life from the paternal tyrant</w:t>
        </w:r>
        <w:r w:rsidRPr="00751AC0">
          <w:rPr>
            <w:rStyle w:val="innerfusslink3"/>
            <w:rFonts w:ascii="Garamond" w:hAnsi="Garamond" w:cs="Arial"/>
            <w:b/>
            <w:bCs/>
            <w:lang w:val="en-GB"/>
          </w:rPr>
          <w:t xml:space="preserve">« (1903, p. 220). Atkinson, der übrigens sein Leben in Neu-Caledonien verbrachte und ungewöhnliche Gelegenheit zum Studium der Eingeborenen hatte, beruft sich auch darauf, daß die von Darwin supponierten Zustände der Urhorde bei wilden Rinder- und Pferdeherden leicht zu beobachten sind und regelmäßig zur Tötung des Vatertieres führen. Er nimmt dann weiter an, daß nach der Beseitigung des Vaters ein Zerfall der Horde durch den erbitterten Kampf der siegreichen Söhne untereinander eintritt. Auf diese Weise käme eine neue Organisation der Gesellschaft niemals zustande: » </w:t>
        </w:r>
        <w:r w:rsidRPr="00751AC0">
          <w:rPr>
            <w:rStyle w:val="innerfusslink3"/>
            <w:rFonts w:ascii="Garamond" w:hAnsi="Garamond" w:cs="Arial"/>
            <w:b/>
            <w:bCs/>
            <w:i/>
            <w:iCs/>
            <w:lang w:val="en-GB"/>
          </w:rPr>
          <w:t>an ever recurring violent succession to the solitary paternal tyrant by sons, whose parricidal hands were so soon again clenched in fratricidal strife</w:t>
        </w:r>
        <w:r w:rsidRPr="00751AC0">
          <w:rPr>
            <w:rStyle w:val="innerfusslink3"/>
            <w:rFonts w:ascii="Garamond" w:hAnsi="Garamond" w:cs="Arial"/>
            <w:b/>
            <w:bCs/>
            <w:lang w:val="en-GB"/>
          </w:rPr>
          <w:t xml:space="preserve">« (p. 228). Atkinson, dem die Winke der Psychoanalyse nicht zu Gebote standen und dem die Studien von Robertson Smith nicht bekannt waren, findet einen minder gewaltsamen Übergang von der Urhorde zur nächsten sozialen Stufe, auf welcher zahlreiche Männer in friedlicher Gemeinschaft zusammenleben. Er läßt es die Mutterliebe durchsetzen, daß anfangs nur die jüngsten, später auch andere Söhne in der Horde verbleiben, wofür diese Geduldeten das sexuelle Vorrecht des Vaters in Form der von ihnen geübten Entsagung gegen Mutter und Schwestern anerkennen.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lang w:val="en-GB"/>
          </w:rPr>
          <w:t xml:space="preserve">So viel über die höchst bemerkenswerte Theorie von Atkinson, ihre Übereinstimmung mit der hier vorgetragenen im </w:t>
        </w:r>
        <w:r w:rsidRPr="00751AC0">
          <w:rPr>
            <w:rStyle w:val="innerfusslink3"/>
            <w:rFonts w:ascii="Garamond" w:hAnsi="Garamond" w:cs="Arial"/>
            <w:b/>
            <w:bCs/>
            <w:i/>
            <w:iCs/>
            <w:lang w:val="en-GB"/>
          </w:rPr>
          <w:t>wesentlichen</w:t>
        </w:r>
        <w:r w:rsidRPr="00751AC0">
          <w:rPr>
            <w:rStyle w:val="innerfusslink3"/>
            <w:rFonts w:ascii="Garamond" w:hAnsi="Garamond" w:cs="Arial"/>
            <w:b/>
            <w:bCs/>
            <w:lang w:val="en-GB"/>
          </w:rPr>
          <w:t xml:space="preserve"> Punkte und ihre Abweichung davon, welche den Verzicht auf den Zusammenhang mit so vielem anderen mit sich bringt.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lang w:val="en-GB"/>
          </w:rPr>
          <w:t>Die Unbestimmtheit, die zeitliche Verkürzung und inhaltliche Zusammendrängung der Angaben in meinen obenstehenden Ausführungen darf ich als eine durch die Natur des Gegenstandes geforderte Enthaltung hinstellen. Es wäre ebenso unsinnig, In dieser Materie Exaktheit anzustreben, wie es unbillig wäre, Sicherheiten zu fordern.</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Um, von der Voraussetzung absehend, diese Folgen glaubwürdig zu finden, braucht man nur anzunehmen, daß die sich zusammenrottende Brüderschar von denselben einander widersprechenden Gefühlen gegen den Vater beherrscht war, die wir als Inhalt der Ambivalenz des Vaterkomplexes bei jedem unserer Kinder und unserer Neurotiker nachweisen können. Sie haßten den Vater, der ihrem Machtbedürfnis und ihren sexuellen Ansprüchen so mächtig im Wege stand, aber sie liebten und bewunderten ihn auch. Nachdem sie ihn beseitigt, ihren Haß befriedigt und ihren Wunsch nach Identifizierung mit ihm durchgesetzt hatten, mußten sich die dabei überwältigten zärtlichen Regungen zur Geltung bringen </w:t>
      </w:r>
      <w:hyperlink r:id="rId60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Dieser neuen Gefühlseinstellung mußte auch zugute kommen, daß die Tat keinem der Täter die volle Befriedigung bringen konnte. Sie war in gewisser Hinsicht vergeblich geschehen. Keiner der Söhne konnte ja seinen ursprünglichen Wunsch durchsetzen, die Stelle des Vaters einzunehmen. Der Mißerfolg ist aber, wie wir wissen, der moralischen Reaktion weit günstiger als die Befriedigung.</w:t>
        </w:r>
      </w:hyperlink>
      <w:r w:rsidRPr="00751AC0">
        <w:rPr>
          <w:rFonts w:ascii="Garamond" w:hAnsi="Garamond"/>
          <w:color w:val="000000"/>
          <w:lang w:val="en-GB"/>
        </w:rPr>
        <w:t xml:space="preserve">. Es geschah in der Form der Reue, es entstand ein Schuldbewußtsein, welches hier mit der gemeinsam empfundenen Reue zusammenfällt. Der Tote wurde nun stärker, als der Lebende gewesen war; all dies, wie wir es noch heute an Menschenschicksalen sehen. Was er früher durch seine Existenz verhindert hatte, das verboten sie sich jetzt selbst in der psychischen Situation des uns aus den Psychoanalysen so wohl bekannten » </w:t>
      </w:r>
      <w:r w:rsidRPr="00751AC0">
        <w:rPr>
          <w:rFonts w:ascii="Garamond" w:hAnsi="Garamond"/>
          <w:i/>
          <w:iCs/>
          <w:color w:val="000000"/>
          <w:lang w:val="en-GB"/>
        </w:rPr>
        <w:t>nachträglichen Gehorsams</w:t>
      </w:r>
      <w:r w:rsidRPr="00751AC0">
        <w:rPr>
          <w:rFonts w:ascii="Garamond" w:hAnsi="Garamond"/>
          <w:color w:val="000000"/>
          <w:lang w:val="en-GB"/>
        </w:rPr>
        <w:t xml:space="preserve">«. Sie widerriefen ihre Tat, indem sie die Tötung des Vaterersatzes, des Totem, für unerlaubt erklärten, und verzichteten auf deren Früchte, indem sie sich die freigewordenen Frauen versagten. So schufen sie aus dem </w:t>
      </w:r>
      <w:r w:rsidRPr="00751AC0">
        <w:rPr>
          <w:rFonts w:ascii="Garamond" w:hAnsi="Garamond"/>
          <w:i/>
          <w:iCs/>
          <w:color w:val="000000"/>
          <w:lang w:val="en-GB"/>
        </w:rPr>
        <w:lastRenderedPageBreak/>
        <w:t>Schuldbewußtsein des Sohnes</w:t>
      </w:r>
      <w:r w:rsidRPr="00751AC0">
        <w:rPr>
          <w:rFonts w:ascii="Garamond" w:hAnsi="Garamond"/>
          <w:color w:val="000000"/>
          <w:lang w:val="en-GB"/>
        </w:rPr>
        <w:t xml:space="preserve"> die beiden fundamentalen Tabu des Totemismus, die eben darum mit den beiden verdrängten Wünschen des Ödipuskomplexes übereinstimmen mußten. Wer dawiderhandelte, machte sich der beiden einzigen Verbrechen schuldig, welche die primitive Gesellschaft bekümmerten </w:t>
      </w:r>
      <w:hyperlink r:id="rId60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Murder and incest, or offences of a like kind against the sacred law of blood, are in primitive society the only crimes of which the community as such takes cognizance..</w:t>
        </w:r>
        <w:r w:rsidRPr="00751AC0">
          <w:rPr>
            <w:rStyle w:val="innerfusslink3"/>
            <w:rFonts w:ascii="Garamond" w:hAnsi="Garamond" w:cs="Arial"/>
            <w:b/>
            <w:bCs/>
            <w:lang w:val="en-GB"/>
          </w:rPr>
          <w:t>.« (Smith, 1894, p. 419).</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beiden Tabu des Totemismus, mit denen die Sittlichkeit der Menschen beginnt, sind psychologisch nicht gleichwertig. Nur das eine, die Schonung des Totemtieres, ruht ganz auf Gefühlsmotiven; der Vater war ja beseitigt, in der Realität war nichts mehr gutzumachen. Das andere aber, das Inzestverbot, hatte auch eine starke praktische Begründung. </w:t>
      </w:r>
      <w:r w:rsidRPr="00751AC0">
        <w:rPr>
          <w:rFonts w:ascii="Garamond" w:hAnsi="Garamond"/>
          <w:color w:val="000000"/>
        </w:rPr>
        <w:t xml:space="preserve">Das sexuelle Bedürfnis einigt die Männer nicht, sondern entzweit sie. </w:t>
      </w:r>
      <w:r w:rsidRPr="00751AC0">
        <w:rPr>
          <w:rFonts w:ascii="Garamond" w:hAnsi="Garamond"/>
          <w:color w:val="000000"/>
          <w:lang w:val="en-GB"/>
        </w:rPr>
        <w:t xml:space="preserve">Hatten sich die Brüder verbündet, um den Vater zu überwältigen, so war jeder des anderen Nebenbuhler bei den Frauen. Jeder hätte sie wie der Vater alle für sich haben wollen, und in dem Kampfe aller gegen alle wäre die neue Organisation zugrunde gegangen. Es war kein Überstarker mehr da, der die Rolle des Vaters mit Erfolg hätte aufnehmen können. Somit blieb den Brüdern, wenn sie miteinander leben wollten, nichts übrig, als – vielleicht nach Überwindung schwerer Zwischenfälle – das Inzestverbot aufzurichten, mit welchem sie alle zugleich auf die von ihnen begehrten Frauen verzichteten, um derentwegen sie doch in erster Linie den Vater beseitigt hatten. Sie retteten so die Organisation, welche sie stark gemacht hatte und die auf homosexuellen Gefühlen und Betätigungen ruhen konnte, welche sich in der Zeit der Vertreibung bei ihnen eingestellt haben mochten. Vielleicht war es auch diese Situation, welche den Keim zu den von Bachofen erkannten Institutionen des </w:t>
      </w:r>
      <w:r w:rsidRPr="00751AC0">
        <w:rPr>
          <w:rFonts w:ascii="Garamond" w:hAnsi="Garamond"/>
          <w:i/>
          <w:iCs/>
          <w:color w:val="000000"/>
          <w:lang w:val="en-GB"/>
        </w:rPr>
        <w:t>Mutterrechts</w:t>
      </w:r>
      <w:r w:rsidRPr="00751AC0">
        <w:rPr>
          <w:rFonts w:ascii="Garamond" w:hAnsi="Garamond"/>
          <w:color w:val="000000"/>
          <w:lang w:val="en-GB"/>
        </w:rPr>
        <w:t xml:space="preserve"> legte, bis dieses von der patriarchalischen Familienordnung abgelöst wurde.</w:t>
      </w:r>
    </w:p>
    <w:p w:rsidR="00B6748F" w:rsidRPr="00751AC0" w:rsidRDefault="00B6748F" w:rsidP="00B6748F">
      <w:pPr>
        <w:rPr>
          <w:rFonts w:ascii="Garamond" w:hAnsi="Garamond"/>
          <w:color w:val="000000"/>
          <w:lang w:val="en-GB"/>
        </w:rPr>
      </w:pPr>
      <w:r w:rsidRPr="00751AC0">
        <w:rPr>
          <w:rFonts w:ascii="Garamond" w:hAnsi="Garamond"/>
          <w:color w:val="000000"/>
          <w:lang w:val="en-GB"/>
        </w:rPr>
        <w:t>An das andere Tabu, welches das Leben des Totemtieres beschützt, knüpft hingegen der Anspruch des Totemismus an, als erster Versuch einer Religion gewertet zu werden. Bot sich dem Empfinden der Söhne das Tier als natürlicher und nächstliegender Ersatz des Vaters, so fand sich in der ihnen zwanghaft gebotenen Behandlung desselben doch noch mehr Ausdruck als das Bedürfnis, ihre Reue zur Darstellung zu bringen. Es konnte mit dem Vatersurrogat der Versuch gemacht werden, das brennende Schuldgefühl zu beschwichtigen, eine Art von Aussöhnung mit dem Vater zu bewerkstelligen. Das totemistische System war gleichsam ein Vertrag mit dem Vater, in dem der letztere all das zusagte, was die kindliche Phantasie vom Vater erwarten durfte, Schutz, Fürsorge und Schonung, wogegen man sich verpflichtete, sein Leben zu ehren, das heißt die Tat an ihm nicht zu wiederholen, durch die der wirkliche Vater zugrunde gegangen war. Es lag auch ein Rechtfertigungsversuch im Totemismus. »Hätte der Vater uns behandelt wie der Totem, wir wären nie in die Versuchung gekommen, ihn zu töten.« So verhalf der Totemismus dazu, die Verhältnisse zu beschönigen und das Ereignis vergessen zu machen, dem er seine Entstehung verdankte.</w:t>
      </w:r>
    </w:p>
    <w:p w:rsidR="00B6748F" w:rsidRPr="00751AC0" w:rsidRDefault="00B6748F" w:rsidP="00B6748F">
      <w:pPr>
        <w:rPr>
          <w:rFonts w:ascii="Garamond" w:hAnsi="Garamond"/>
          <w:color w:val="000000"/>
          <w:lang w:val="en-GB"/>
        </w:rPr>
      </w:pPr>
      <w:r w:rsidRPr="00751AC0">
        <w:rPr>
          <w:rFonts w:ascii="Garamond" w:hAnsi="Garamond"/>
          <w:color w:val="000000"/>
          <w:lang w:val="en-GB"/>
        </w:rPr>
        <w:t>Es wurden hiebei Züge geschaffen, die fortan für den Charakter der Religion bestimmend blieben. Die Totemreligion war aus dem Schuldbewußtsein der Söhne hervorgegangen als Versuch, dies Gefühl zu beschwichtigen und den beleidigten Vater durch den nachträglichen Gehorsam zu versöhnen. Alle späteren Religionen erweisen sich als Lösungsversuche desselben Problems, variabel je nach dem kulturellen Zustand, in dem sie unternommen werden, und nach den Wegen, die sie einschlagen, aber es sind alle gleichzielende Reaktionen auf dieselbe große Begebenheit, mit der die Kultur begonnen hat und die seitdem die Menschheit nicht zur Ruhe kommen läßt.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Auch ein anderer Charakter, den die Religion treu bewahrt hat, ist damals schon im Totemismus hervorgetreten. Die Ambivalenzspannung war wohl zu groß, um durch irgendeine Veranstaltung ausgeglichen zu werden, oder die psychologischen Bedingungen sind der Erledigung dieser Gefühlsgegensätze überhaupt nicht günstig. Man merkt jedenfalls, daß die dem Vaterkomplex anhaftende Ambivalenz sich auch in den Totemismus und in die Religionen überhaupt fortsetzt. Die Religion des Totem umfaßt nicht nur die Äußerungen der Reue und die Versuche der Versöhnung, sondern dient auch </w:t>
      </w:r>
      <w:r w:rsidRPr="00751AC0">
        <w:rPr>
          <w:rFonts w:ascii="Garamond" w:hAnsi="Garamond"/>
          <w:color w:val="000000"/>
          <w:lang w:val="en-GB"/>
        </w:rPr>
        <w:lastRenderedPageBreak/>
        <w:t>der Erinnerung an den Triumph über den Vater. Die Befriedigung darüber läßt das Erinnerungsfest der Totemmahlzeit einsetzen, bei dem die Einschränkungen des nachträglichen Gehorsams wegfallen, macht es zur Pflicht, das Verbrechen des Vatermordes in der Opferung des Totemtieres immer wieder von neuem zu wiederholen, sooft der festgehaltene Erwerb jener Tat, die Aneignung der Eigenschaften des Vaters, infolge der verändernden Einflüsse des Lebens zu entschwinden droht. Wir werden nicht überrascht sein zu finden, daß auch der Anteil des Sohnestrotzes, oft in den merkwürdigsten Verkleidungen und Umwendungen, in späteren Religionsbildungen wieder auftaucht.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Verfolgen wir in Religion und sittlicher Vorschrift, die im Totemismus noch wenig scharf gesondert sind, bisher die Folgen der in Reue verwandelten zärtlichen Strömung gegen den Vater, so wollen wir doch nicht übersehen, daß im wesentlichen die Tendenzen, welche zum Vatermord gedrängt haben, den Sieg behalten. Die sozialen Brudergefühle, auf denen die große Umwälzung ruht, bewahren von nun an über lange Zeiten den tiefstgehenden Einfluß auf die Entwicklung der Gesellschaft. Sie schaffen sich Ausdruck in der Heiligung des gemeinsamen Blutes, in der Betonung der Solidarität aller Leben desselben Clans. Indem die Brüder sich einander so das Leben zusichern, sprechen sie aus, daß niemand von ihnen vom anderen behandelt werden dürfe wie der Vater von ihnen allen gemeinsam. Sie schließen eine Wiederholung des Vaterschicksals aus. Zum religiös begründeten Verbot, den Totem zu töten, kommt nun das sozial begründete Verbot des Brudermordes hinzu. Es wird dann noch lange währen, bis das Gebot die Einschränkung auf den Stammesgenossen abstreifen und den einfachen Wortlaut annehmen wird: Du sollst nicht morden. Zunächst ist an Stelle der </w:t>
      </w:r>
      <w:r w:rsidRPr="00751AC0">
        <w:rPr>
          <w:rFonts w:ascii="Garamond" w:hAnsi="Garamond"/>
          <w:i/>
          <w:iCs/>
          <w:color w:val="000000"/>
          <w:lang w:val="en-GB"/>
        </w:rPr>
        <w:t>Vaterhorde</w:t>
      </w:r>
      <w:r w:rsidRPr="00751AC0">
        <w:rPr>
          <w:rFonts w:ascii="Garamond" w:hAnsi="Garamond"/>
          <w:color w:val="000000"/>
          <w:lang w:val="en-GB"/>
        </w:rPr>
        <w:t xml:space="preserve"> der </w:t>
      </w:r>
      <w:r w:rsidRPr="00751AC0">
        <w:rPr>
          <w:rFonts w:ascii="Garamond" w:hAnsi="Garamond"/>
          <w:i/>
          <w:iCs/>
          <w:color w:val="000000"/>
          <w:lang w:val="en-GB"/>
        </w:rPr>
        <w:t>Brüderclan</w:t>
      </w:r>
      <w:r w:rsidRPr="00751AC0">
        <w:rPr>
          <w:rFonts w:ascii="Garamond" w:hAnsi="Garamond"/>
          <w:color w:val="000000"/>
          <w:lang w:val="en-GB"/>
        </w:rPr>
        <w:t xml:space="preserve"> getreten, welcher sich durch das Blutband versichert hat. Die Gesellschaft ruht jetzt auf der Mitschuld an dem gemeinsam verübten Verbrechen, die Religion auf dem Schuldbewußtsein und der Reue darüber, die Sittlichkeit teils auf den Notwendigkeiten dieser Gesellschaft, zum anderen Teil auf den vom Schuldbewußtsein geforderten Bußen.</w:t>
      </w:r>
    </w:p>
    <w:p w:rsidR="00B6748F" w:rsidRPr="00751AC0" w:rsidRDefault="00B6748F" w:rsidP="00B6748F">
      <w:pPr>
        <w:rPr>
          <w:rFonts w:ascii="Garamond" w:hAnsi="Garamond"/>
          <w:color w:val="000000"/>
          <w:lang w:val="en-GB"/>
        </w:rPr>
      </w:pPr>
      <w:r w:rsidRPr="00751AC0">
        <w:rPr>
          <w:rFonts w:ascii="Garamond" w:hAnsi="Garamond"/>
          <w:color w:val="000000"/>
          <w:lang w:val="en-GB"/>
        </w:rPr>
        <w:t>Im Gegensatz zu den neueren und in Anlehnung an die älteren Auffassungen des totemistischen Systems heißt uns also die Psychoanalyse einen innigen Zusammenhang und gleichzeitigen Ursprung von Totemismus und Exogamie vertreten.</w:t>
      </w:r>
    </w:p>
    <w:p w:rsidR="00B6748F" w:rsidRPr="00751AC0" w:rsidRDefault="00B6748F" w:rsidP="00B6748F">
      <w:pPr>
        <w:rPr>
          <w:rFonts w:ascii="Garamond" w:hAnsi="Garamond"/>
          <w:color w:val="000000"/>
          <w:lang w:val="en-GB"/>
        </w:rPr>
      </w:pPr>
      <w:r w:rsidRPr="00751AC0">
        <w:rPr>
          <w:rFonts w:ascii="Garamond" w:hAnsi="Garamond"/>
          <w:color w:val="000000"/>
          <w:lang w:val="en-GB"/>
        </w:rPr>
        <w:t>6</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Ich stehe unter der Einwirkung einer großen Anzahl von starken Motiven, die mich vom Versuche zurückhalten werden, die weitere Entwicklung der Religionen von ihrem Beginn im Totemismus an bis zu ihrem heutigen Stande zu schildern. Ich will nur zwei Fäden hindurch verfolgen, wo ich sie im Gewebe besonders deutlich auftauchen sehe: das Motiv des Totemopfers und das Verhältnis des Sohnes zum Vater </w:t>
      </w:r>
      <w:hyperlink r:id="rId60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die zum Teil von abweichenden Gesichtspunkten beherrschte Arbeit von C. G. Jung (1912).</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Robertson Smith hat uns belehrt, daß die alte Totemmahlzeit in der ursprünglichen Form des Opfers wiederkehrt. Der Sinn der Handlung ist derselbe: die Heiligung durch die Teilnahme an der gemeinsamen Mahlzeit; auch das Schuldbewußtsein ist dabei geblieben, welches nur durch die Solidarität aller Teilnehmer beschwichtigt werden kann. Neu hinzugekommen ist die Stammesgottheit, in deren gedachter Gegenwart das Opfer stattfindet, die an dem Mahle teilnimmt wie ein Stammesgenosse und mit der man sich durch den Genuß am Opfer identifiziert. Wie kommt der Gott in die ihm ursprünglich fremde Situation? Die Antwort könnte lauten, es sei unterdes – unbekannt woher – die Gottesidee aufgetaucht, habe sich das ganze religiöse Leben unterworfen, und wie alles andere, was bestehenbleiben wollte, hätte auch die Totemmahlzeit den Anschluß an das neue System gewinnen müssen. Allein die psychoanalytische Erforschung des einzelnen Menschen lehrt mit einer ganz besonderen Nachdrücklichkeit, daß für jeden der Gott nach dem Vater gebildet ist, daß sein persönliches Verhältnis zu Gott von seinem Verhältnis zum leiblichen Vater abhängt, mit ihm schwankt und sich verwandelt und daß Gott im Grunde nichts </w:t>
      </w:r>
      <w:r w:rsidRPr="00751AC0">
        <w:rPr>
          <w:rFonts w:ascii="Garamond" w:hAnsi="Garamond"/>
          <w:color w:val="000000"/>
          <w:lang w:val="en-GB"/>
        </w:rPr>
        <w:lastRenderedPageBreak/>
        <w:t>anderes ist als ein erhöhter Vater. Die Psychoanalyse rät auch hier wie im Falle des Totemismus, den Gläubigen Glauben zu schenken, die Gott Vater nennen, wie sie den Totem Ahnherrn genannt haben. Wenn die Psychoanalyse irgendwelche Beachtung verdient, so muß, unbeschadet aller anderen Ursprünge und Bedeutungen Gottes, auf welche die Psychoanalyse kein Licht werfen kann, der Vateranteil an der Gottesidee ein sehr gewichtiger sein. Dann wäre aber in der Situation des primitiven Opfers der Vater zweimal vertreten, einmal als Gott und dann als das Totemopfertier, und bei allem Bescheiden mit der geringen Mannigfaltigkeit der psychoanalytischen Lösungen müssen wir fragen, ob das möglich ist und welchen Sinn es haben kann.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wissen, daß mehrfache Beziehungen zwischen dem Gott und dem heiligen Tier (Totem, Opfertier) bestehen: 1. Jedem Gott ist gewöhnlich ein Tier heilig, nicht selten selbst mehrere; </w:t>
      </w:r>
      <w:smartTag w:uri="urn:schemas-microsoft-com:office:smarttags" w:element="metricconverter">
        <w:smartTagPr>
          <w:attr w:name="ProductID" w:val="2. in"/>
        </w:smartTagPr>
        <w:r w:rsidRPr="00751AC0">
          <w:rPr>
            <w:rFonts w:ascii="Garamond" w:hAnsi="Garamond"/>
            <w:color w:val="000000"/>
            <w:lang w:val="en-GB"/>
          </w:rPr>
          <w:t>2. in</w:t>
        </w:r>
      </w:smartTag>
      <w:r w:rsidRPr="00751AC0">
        <w:rPr>
          <w:rFonts w:ascii="Garamond" w:hAnsi="Garamond"/>
          <w:color w:val="000000"/>
          <w:lang w:val="en-GB"/>
        </w:rPr>
        <w:t xml:space="preserve"> gewissen, besonders heiligen Opfern, den »mystischen«, wurde dem Gotte gerade das ihm geheiligte Tier zum Opfer dargebracht (Smith, 1894); 3. der Gott wurde häufig in der Gestalt eines Tieres verehrt oder, anders gesehen, Tiere genossen göttliche Verehrung lange nach dem Zeitalter des Totemismus; </w:t>
      </w:r>
      <w:smartTag w:uri="urn:schemas-microsoft-com:office:smarttags" w:element="metricconverter">
        <w:smartTagPr>
          <w:attr w:name="ProductID" w:val="4. In"/>
        </w:smartTagPr>
        <w:r w:rsidRPr="00751AC0">
          <w:rPr>
            <w:rFonts w:ascii="Garamond" w:hAnsi="Garamond"/>
            <w:color w:val="000000"/>
            <w:lang w:val="en-GB"/>
          </w:rPr>
          <w:t>4. in</w:t>
        </w:r>
      </w:smartTag>
      <w:r w:rsidRPr="00751AC0">
        <w:rPr>
          <w:rFonts w:ascii="Garamond" w:hAnsi="Garamond"/>
          <w:color w:val="000000"/>
          <w:lang w:val="en-GB"/>
        </w:rPr>
        <w:t xml:space="preserve"> den Mythen verwandelt sich der Gott häufig in ein Tier, oft in das ihm geheiligte. So läge die Annahme nahe, daß der Gott selbst das Totemtier wäre, sich auf einer späteren Stufe des religiösen Fühlens aus dem Totemtier entwickelt hätte. Aller weiteren Diskussion überhebt uns aber die Erwägung, daß der Totem selbst nichts anderes ist als ein Vaterersatz. So mag er die erste Form des Vaterersatzes sein, der Gott aber eine spätere, in welcher der Vater seine menschliche Gestalt wiedergewonnen. Eine solche Neuschöpfung aus der Wurzel aller Religionsbildung, der </w:t>
      </w:r>
      <w:r w:rsidRPr="00751AC0">
        <w:rPr>
          <w:rFonts w:ascii="Garamond" w:hAnsi="Garamond"/>
          <w:i/>
          <w:iCs/>
          <w:color w:val="000000"/>
          <w:lang w:val="en-GB"/>
        </w:rPr>
        <w:t>Vatersehnsucht</w:t>
      </w:r>
      <w:r w:rsidRPr="00751AC0">
        <w:rPr>
          <w:rFonts w:ascii="Garamond" w:hAnsi="Garamond"/>
          <w:color w:val="000000"/>
          <w:lang w:val="en-GB"/>
        </w:rPr>
        <w:t>, konnte möglich werden, wenn sich im Laufe der Zeiten am Verhältnis zum Vater – und vielleicht auch zum Tiere – Wesentliches geändert hatte.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Solche Veränderungen lassen sich leicht erraten, auch wenn man von dem Beginn einer psychischen Entfremdung von dem Tiere und von der Zersetzung des Totemismus durch die Domestikation absehen will. (S. oben S. 167) In der durch die Beseitigung des Vaters hergestellten Situation lag ein Moment, welches im Laufe der Zeit eine außerordentliche Steigerung der Vatersehnsucht erzeugen mußte. Die Brüder, welche sich zur Tötung des Vaters zusammengetan hatten, waren ja jeder für sich vom Wunsche beseelt gewesen, dem Vater gleich zu werden, und hatten diesem Wunsche durch Einverleibung von Teilen seines Ersatzes in der Totemmahlzeit Ausdruck gegeben. </w:t>
      </w:r>
      <w:r w:rsidRPr="00751AC0">
        <w:rPr>
          <w:rFonts w:ascii="Garamond" w:hAnsi="Garamond"/>
          <w:color w:val="000000"/>
        </w:rPr>
        <w:t xml:space="preserve">Dieser Wunsch mußte infolge des Druckes, welchen die Bande des Brüderclan auf jeden Teilnehmer übten, unerfüllt bleiben. Es konnte und durfte niemand mehr die Machtvollkommenheit des Vaters erreichen, nach der sie doch alle gestrebt hatten. Somit konnte im Laufe langer Zeiten die Erbitterung gegen den Vater, die zur Tat gedrängt hatte, nachlassen, die Sehnsucht nach ihm wachsen, und es konnte ein Ideal entstehen, welches die Machtfülle und Unbeschränktheit des einst bekämpften Urvaters und die Bereitwilligkeit, sich ihm zu unterwerfen, zum Inhalt hatte. Die ursprüngliche demokratische Gleichstellung aller einzelnen Stammesgenossen war infolge einschneidender kultureller Veränderungen nicht mehr festzuhalten; somit zeigte sich eine Geneigtheit, in Anlehnung an die Verehrung einzelner Menschen, die sich vor anderen hervorgetan hatten, das alte Vaterideal in der Schöpfung von Göttern wiederzubeleben. </w:t>
      </w:r>
      <w:r w:rsidRPr="00751AC0">
        <w:rPr>
          <w:rFonts w:ascii="Garamond" w:hAnsi="Garamond"/>
          <w:color w:val="000000"/>
          <w:lang w:val="en-GB"/>
        </w:rPr>
        <w:t xml:space="preserve">Daß ein Mensch zum Gott wird und daß ein Gott stirbt, was uns heute als empörende Zumutung erscheint, war ja noch für das Vorstellungsvermögen des klassischen Altertums keineswegs anstößig </w:t>
      </w:r>
      <w:hyperlink r:id="rId60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To us moderns, for whom the breach which divides the human and the divine has deepened into an impassible gulf, such mimicry may appear impious, but it was otherwise with the ancients. To their thinking gods and men were akin, for many families traced their descent from a divinity, and the deification of a man probably seemed as little extraordinary to them as the canonization of a saint seems to a modern Catholic.</w:t>
        </w:r>
        <w:r w:rsidRPr="00751AC0">
          <w:rPr>
            <w:rStyle w:val="innerfusslink3"/>
            <w:rFonts w:ascii="Garamond" w:hAnsi="Garamond" w:cs="Arial"/>
            <w:b/>
            <w:bCs/>
            <w:lang w:val="en-GB"/>
          </w:rPr>
          <w:t>« (Frazer, 1911, II, p. 177.)</w:t>
        </w:r>
      </w:hyperlink>
      <w:r w:rsidRPr="00751AC0">
        <w:rPr>
          <w:rFonts w:ascii="Garamond" w:hAnsi="Garamond"/>
          <w:color w:val="000000"/>
          <w:lang w:val="en-GB"/>
        </w:rPr>
        <w:t>. Die Erhöhung des einst gemordeten Vaters zum Gott, von dem nun der Stamm seine Herkunft ableitete, war aber ein weit ernsthafterer Sühneversuch als seinerzeit der Vertrag mit dem Totem.</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Wo sich in dieser Entwicklung die Stelle für die großen Muttergottheiten findet, die vielleicht allgemein den Vatergöttern vorhergegangen sind, weiß ich nicht anzugeben. Sicher scheint aber, daß die Wandlung </w:t>
      </w:r>
      <w:r w:rsidRPr="00751AC0">
        <w:rPr>
          <w:rFonts w:ascii="Garamond" w:hAnsi="Garamond"/>
          <w:color w:val="000000"/>
          <w:lang w:val="en-GB"/>
        </w:rPr>
        <w:lastRenderedPageBreak/>
        <w:t>im Verhältnis zum Vater sich nicht auf das religiöse Gebiet beschränkte, sondern folgerichtig auf die andere durch die Beseitigung des Vaters beeinflußte Seite des menschlichen Lebens, auf die soziale Organisation, übergriff. Mit der Einsetzung der Vatergottheiten wandelte sich die vaterlose Gesellschaft allmählich in die patriarchalisch geordnete um. Die Familie war eine Wiederherstellung der einstigen Urhorde und gab den Vätern auch ein großes Stück ihrer früheren Rechte wieder. Es gab jetzt wieder Väter, aber die sozialen Errungenschaften des Brüderclan waren nicht aufgegeben worden, und der faktische Abstand der neuen Familienväter vom unumschränkten Urvater der Horde war groß genug, um die Fortdauer des religiösen Bedürfnisses, die Erhaltung der ungestillten Vatersehnsucht, zu versichern.</w:t>
      </w:r>
    </w:p>
    <w:p w:rsidR="00B6748F" w:rsidRPr="00751AC0" w:rsidRDefault="00B6748F" w:rsidP="00B6748F">
      <w:pPr>
        <w:rPr>
          <w:rFonts w:ascii="Garamond" w:hAnsi="Garamond"/>
          <w:color w:val="000000"/>
          <w:lang w:val="en-GB"/>
        </w:rPr>
      </w:pPr>
      <w:r w:rsidRPr="00751AC0">
        <w:rPr>
          <w:rFonts w:ascii="Garamond" w:hAnsi="Garamond"/>
          <w:color w:val="000000"/>
          <w:lang w:val="en-GB"/>
        </w:rPr>
        <w:t>In der Opferszene vor dem Stammesgott ist also der Vater wirklich zweimal enthalten, als Gott und als Totemopfertier. Aber bei dem Versuch, diese Situation zu verstehen, werden wir uns vor Deutungen in acht nehmen, welche sie in flächenhafter Auffassung wie eine Allegorie übersetzen wollen und dabei der historischen Schichtung vergessen. Die zweifache Anwesenheit des Vaters entspricht den zwei einander zeitlich ablösenden Bedeutungen der Szene. Die ambivalente Einstellung gegen den Vater hat hier plastischen Ausdruck gefunden und ebenso der Sieg der zärtlichen Gefühlsregungen des Sohnes über seine feindseligen. Die Szene der Überwältigung des Vaters, seiner größten Erniedrigung, ist hier zum Material für eine Darstellung seines höchsten Triumphes geworden. Die Bedeutung, die das Opfer ganz allgemein gewonnen hat, liegt eben darin, daß es dem Vater die Genugtuung für die an ihm verübte Schmach in derselben Handlung bietet, welche die Erinnerung an diese Untat fortsetzt.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weiterer Folge verliert das Tier seine Heiligkeit und das Opfer die Beziehung zur Totemfeier; es wird zu einer einfachen Darbringung an die Gottheit, zu einer Selbstentäußerung zugunsten des Gottes. Gott selbst ist jetzt so hoch über den Menschen erhaben, daß man mit ihm nur durch die Vermittlung des Priesters verkehren kann. Gleichzeitig kennt die soziale Ordnung göttergleiche Könige, welche das patriarchalische System auf den Staat übertragen. Wir müssen sagen, die Rache des gestürzten und wiedereingesetzten Vaters ist eine harte geworden, die Herrschaft der Autorität steht auf ihrer Höhe. Die unterworfenen Söhne haben das neue Verhältnis dazu benützt, um ihr Schuldbewußtsein noch weiter zu entlasten. Das Opfer, wie es jetzt ist, fällt ganz aus ihrer Verantwortlichkeit heraus. Gott selbst hat es verlangt und angeordnet. Zu dieser Phase gehören Mythen, in welchen der Gott selbst das Tier tötet, das ihm heilig ist, das er eigentlich selbst ist. Dies ist die äußerste Verleugnung der großen Untat, mit welcher die Gesellschaft und das Schuldbewußtsein begann. Eine zweite Bedeutung dieser letzteren Opferdarstellung ist nicht zu verkennen. Sie drückt die Befriedigung darüber aus, daß man den früheren Vaterersatz zugunsten der höheren Gottesvorstellung verlassen hat. Die flach allegorische Übersetzung der Szene fällt hier ungefähr mit ihrer psychoanalytischen Deutung zusammen. Jene lautet: es werde dargestellt, daß der Gott den tierischen Anteil seines Wesens überwindet </w:t>
      </w:r>
      <w:hyperlink r:id="rId60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 Überwindung einer Göttergeneration durch eine andere in den Mythologien bedeutet bekanntlich den historischen Vorgang der Ersetzung eines religiösen Systems durch ein neues, sei es infolge von Eroberung durch ein Fremdvolk oder auf dem Wege psychologischer Entwicklung. Im letzteren Falle nähert sich der Mythus den »funktionalen Phänomenen« im Sinne von H. Silberer. Daß der das Tier tötende Gott ein Libidosymbol ist, wie C. G. Jung (1912) behauptet, setzt einen anderen Begriff der Libido als den bisher verwendeten voraus und erscheint mir überhaupt fragwürdig.</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Es wäre indes irrig, wenn man glauben wollte, in diesen Zeiten der erneuerten Vaterautorität seien die feindseligen Regungen, welche dem Vaterkomplex zugehören, völlig verstummt. Aus den ersten Phasen der Herrschaft der beiden neuen Vaterersatzbildungen, der Götter und der Könige, kennen wir vielmehr die energischesten Äußerungen jener Ambivalenz, welche für die Religion charakteristisch bleibt.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Frazer hat in seinem großen Werk </w:t>
      </w:r>
      <w:r w:rsidRPr="00751AC0">
        <w:rPr>
          <w:rFonts w:ascii="Garamond" w:hAnsi="Garamond"/>
          <w:i/>
          <w:iCs/>
          <w:color w:val="000000"/>
          <w:lang w:val="en-GB"/>
        </w:rPr>
        <w:t>The Golden Bough</w:t>
      </w:r>
      <w:r w:rsidRPr="00751AC0">
        <w:rPr>
          <w:rFonts w:ascii="Garamond" w:hAnsi="Garamond"/>
          <w:color w:val="000000"/>
          <w:lang w:val="en-GB"/>
        </w:rPr>
        <w:t xml:space="preserve"> die Vermutung ausgesprochen, daß die ersten Könige der lateinischen Stämme Fremde waren, welche die Rolle einer Gottheit spielten und in dieser Rolle an einem bestimmten Festtage feierlich hingerichtet wurden. Die jährliche Opferung (Variante: </w:t>
      </w:r>
      <w:r w:rsidRPr="00751AC0">
        <w:rPr>
          <w:rFonts w:ascii="Garamond" w:hAnsi="Garamond"/>
          <w:color w:val="000000"/>
          <w:lang w:val="en-GB"/>
        </w:rPr>
        <w:lastRenderedPageBreak/>
        <w:t>Selbstopferung) eines Gottes scheint ein wesentlicher Zug der semitischen Religionen gewesen zu sein. Das Zeremoniell der Menschenopfer an den verschiedensten Stellen der bewohnten Erde läßt wenig Zweifel darüber, daß diese Menschen als Repräsentanten der Gottheit ihr Ende fanden, und in der Ersetzung des lebenden Menschen durch eine leblose Nachahmung (Puppe) läßt sich dieser Opfergebrauch noch in späte Zeiten verfolgen. Das theanthropische Gottesopfer, welches ich hier leider nicht mit der gleichen Vertiefung wie das Tieropfer behandeln kann, wirft ein helles Licht nach rückwärts auf den Sinn der älteren Opferformen. Es bekennt mit kaum zu überbietender Aufrichtigkeit, daß das Objekt der Opferhandlung immer das nämliche war, dasselbe, was nun als Gott verehrt wird, der Vater also. Die Frage nach dem Verhältnis von Tier- und Menschenopfer findet jetzt eine einfache Lösung. Das ursprüngliche Tieropfer war bereits ein Ersatz für ein Menschenopfer, für die feierliche Tötung des Vaters, und als der Vaterersatz seine menschliche Gestalt wiedererhielt, konnte sich das Tieropfer auch wieder in das Menschenopfer verwandeln.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So hatte sich die Erinnerung an jene erste große Opfertat als unzerstörbar erwiesen, trotz aller Bemühungen, sie zu vergessen, und gerade als man sich von ihren Motiven am weitesten entfernen wollte, mußte in der Form des Gottesopfers ihre unentstellte Wiederholung zutage treten. Welche Entwicklungen des religiösen Denkens als Rationalisierungen diese Wiederkehr ermöglicht haben, brauche ich an dieser Stelle nicht auszuführen. Robertson Smith, dem ja unsere Zurückführung des Opfers auf jenes große Ereignis der menschlichen Urgeschichte fernliegt, gibt an, daß die Zeremonien jener Feste, mit denen die alten Semiten den Tod einer Gottheit feierten, als » </w:t>
      </w:r>
      <w:r w:rsidRPr="00751AC0">
        <w:rPr>
          <w:rFonts w:ascii="Garamond" w:hAnsi="Garamond"/>
          <w:i/>
          <w:iCs/>
          <w:color w:val="000000"/>
          <w:lang w:val="en-GB"/>
        </w:rPr>
        <w:t>commemoration of a mythical tragedy</w:t>
      </w:r>
      <w:r w:rsidRPr="00751AC0">
        <w:rPr>
          <w:rFonts w:ascii="Garamond" w:hAnsi="Garamond"/>
          <w:color w:val="000000"/>
          <w:lang w:val="en-GB"/>
        </w:rPr>
        <w:t xml:space="preserve">« ausgelegt wurden und daß die Klage dabei nicht den Charakter einer spontanen Teilnahme hatte, sondern etwas Zwangsmäßiges, von der Furcht vor dem göttlichen Zorn Gebotenes an sich trug </w:t>
      </w:r>
      <w:hyperlink r:id="rId60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(Religion of the Semites, p. 412): » </w:t>
        </w:r>
        <w:r w:rsidRPr="00751AC0">
          <w:rPr>
            <w:rStyle w:val="innerfusslink3"/>
            <w:rFonts w:ascii="Garamond" w:hAnsi="Garamond" w:cs="Arial"/>
            <w:b/>
            <w:bCs/>
            <w:i/>
            <w:iCs/>
            <w:lang w:val="en-GB"/>
          </w:rPr>
          <w:t>The mourning is not a spontaneous expression of sympathy with the divine tragedy, but obligatory and enforced by fear of supernatural anger. And a chief object of the mourners is to disclaim responsibility for the god' s death – a point which has already come before us in connection with theanthropic sacrifices, such as the ›ox-murder at Athens‹.</w:t>
        </w:r>
        <w:r w:rsidRPr="00751AC0">
          <w:rPr>
            <w:rStyle w:val="innerfusslink3"/>
            <w:rFonts w:ascii="Garamond" w:hAnsi="Garamond" w:cs="Arial"/>
            <w:b/>
            <w:bCs/>
            <w:lang w:val="en-GB"/>
          </w:rPr>
          <w:t>«</w:t>
        </w:r>
      </w:hyperlink>
      <w:r w:rsidRPr="00751AC0">
        <w:rPr>
          <w:rFonts w:ascii="Garamond" w:hAnsi="Garamond"/>
          <w:color w:val="000000"/>
          <w:lang w:val="en-GB"/>
        </w:rPr>
        <w:t>. Wir glauben zu erkennen, daß diese Auslegung im Rechte war und daß die Gefühle der Feiernden in der zugrunde liegenden Situation ihre gute Aufklärung fanden.</w:t>
      </w:r>
    </w:p>
    <w:p w:rsidR="00B6748F" w:rsidRPr="00751AC0" w:rsidRDefault="00B6748F" w:rsidP="00B6748F">
      <w:pPr>
        <w:rPr>
          <w:rFonts w:ascii="Garamond" w:hAnsi="Garamond"/>
          <w:color w:val="000000"/>
          <w:lang w:val="en-GB"/>
        </w:rPr>
      </w:pPr>
      <w:r w:rsidRPr="00751AC0">
        <w:rPr>
          <w:rFonts w:ascii="Garamond" w:hAnsi="Garamond"/>
          <w:color w:val="000000"/>
          <w:lang w:val="en-GB"/>
        </w:rPr>
        <w:t>Nehmen wir es nun als Tatsache hin, daß auch in der weiteren Entwicklung der Religionen die beiden treibenden Faktoren, das Schuldbewußtsein des Sohnes und der Sohnestrotz, niemals erlöschen. Jeder Lösungsversuch des religiösen Problems, jede Art der Versöhnung der beiden widerstreitenden seelischen Mächte wird allmählich hinfällig, wahrscheinlich unter dem kombinierten Einfluß von historischen Ereignissen, kulturellen Änderungen und inneren psychischen Wandlungen.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Mit immer größerer Deutlichkeit tritt das Bestreben des Sohnes hervor, sich an die Stelle des Vatergottes zu setzen. Mit der Einführung des Ackerbaues hebt sich die Bedeutung des Sohnes in der patriarchalischen Familie. Er getraut sich neuer Äußerungen seiner inzestuösen Libido, die in der Bearbeitung der Mutter Erde eine symbolische Befriedigung findet. Es entstehen die Göttergestalten des Attis, Adonis, Tammuz u. a., Vegetationsgeister und zugleich jugendliche Gottheiten, welche die Liebesgunst mütterlicher Gottheiten genießen, den Mutterinzest dem Vater zum Trotze durchsetzen. Allein das Schuldbewußtsein, welches durch diese Schöpfungen nicht beschwichtigt ist, drückt sich in den Mythen aus, die diesen jugendlichen Geliebten der Muttergöttinnen ein kurzes Leben und eine Bestrafung durch Entmannung oder durch den Zorn des Vatergottes in Tierform bescheiden. Adonis wird durch den Eber getötet, das heilige Tier der Aphrodite; Attis, der Geliebte der Kybele, stirbt an Entmannung </w:t>
      </w:r>
      <w:hyperlink r:id="rId60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Die Kastrationsangst spielt eine außerordentlich große Rolle in der Störung des Verhältnisses zum Vater bei unseren jugendlichen Neurotikern. Aus der schönen Beobachtung von Ferenczi haben wir ersehen, wie der Knabe seinen Totem in dem Tier erkennt, welches nach seinem kleinen Gliede schnappt. Wenn unsere Kinder von der rituellen Beschneidung erfahren, stellen sie dieselbe der Kastration gleich. Die völkerpsychologische Parallele zu diesem Verhalten </w:t>
        </w:r>
        <w:r w:rsidRPr="00751AC0">
          <w:rPr>
            <w:rStyle w:val="innerfusslink3"/>
            <w:rFonts w:ascii="Garamond" w:hAnsi="Garamond" w:cs="Arial"/>
            <w:b/>
            <w:bCs/>
            <w:lang w:val="en-GB"/>
          </w:rPr>
          <w:lastRenderedPageBreak/>
          <w:t>der Kinder ist meines Wissens noch nicht ausgeführt worden. Die in der Urzeit und bei primitiven Völkern so häufige Beschneidung gehört dem Zeitpunkt der Männerweihe an, wo sie ihre Bedeutung finden muß, und ist erst sekundär in frühere Lebenszeiten zurückgeschoben worden. Es ist überaus interessant, daß die Beschneidung bei den Primitiven mit Haarabschneiden und Zahnausschlagen kombiniert oder durch sie ersetzt ist und daß unsere Kinder, die von diesem Sachverhalt nichts wissen können, in ihren Angstreaktionen diese beiden Operationen wirklich wie Äquivalente der Kastration behandeln.</w:t>
        </w:r>
      </w:hyperlink>
      <w:r w:rsidRPr="00751AC0">
        <w:rPr>
          <w:rFonts w:ascii="Garamond" w:hAnsi="Garamond"/>
          <w:color w:val="000000"/>
          <w:lang w:val="en-GB"/>
        </w:rPr>
        <w:t>. Die Beweinung und die Freude über die Auferstehung dieser Götter ist in das Rituale einer anderen Sohnesgottheit übergegangen, welche zu dauerndem Erfolge bestimmt war.</w:t>
      </w:r>
    </w:p>
    <w:p w:rsidR="00B6748F" w:rsidRPr="00751AC0" w:rsidRDefault="00B6748F" w:rsidP="00B6748F">
      <w:pPr>
        <w:rPr>
          <w:rFonts w:ascii="Garamond" w:hAnsi="Garamond"/>
          <w:color w:val="000000"/>
          <w:lang w:val="en-GB"/>
        </w:rPr>
      </w:pPr>
      <w:r w:rsidRPr="00751AC0">
        <w:rPr>
          <w:rFonts w:ascii="Garamond" w:hAnsi="Garamond"/>
          <w:color w:val="000000"/>
          <w:lang w:val="en-GB"/>
        </w:rPr>
        <w:t>Als das Christentum seinen Einzug in die antike Welt begann, traf es auf die Konkurrenz der Mithrasreligion, und es war für eine Weile zweifelhaft, welcher Gottheit der Sieg zufallen würde.</w:t>
      </w:r>
    </w:p>
    <w:p w:rsidR="00B6748F" w:rsidRPr="00751AC0" w:rsidRDefault="00B6748F" w:rsidP="00B6748F">
      <w:pPr>
        <w:rPr>
          <w:rFonts w:ascii="Garamond" w:hAnsi="Garamond"/>
          <w:color w:val="000000"/>
          <w:lang w:val="en-GB"/>
        </w:rPr>
      </w:pPr>
      <w:r w:rsidRPr="00751AC0">
        <w:rPr>
          <w:rFonts w:ascii="Garamond" w:hAnsi="Garamond"/>
          <w:color w:val="000000"/>
          <w:lang w:val="en-GB"/>
        </w:rPr>
        <w:t>Die lichtumflossene Gestalt des persischen Götterjünglings ist doch unserem Verständnis dunkel geblieben. Vielleicht darf man aus den Darstellungen der Stiertötungen durch Mithras schließen, daß er jenen Sohn vorstellte, der die Opferung des Vaters allein vollzog und somit die Brüder von der sie drückenden Mitschuld an der Tat erlöste. Es gab einen anderen Weg zur Beschwichtigung dieses Schuldbewußtseins, und diesen beschritt erst Christus. Er ging hin und opferte sein eigenes Leben, und dadurch erlöste er die Brüderschar von der Erbsünde.</w:t>
      </w:r>
    </w:p>
    <w:p w:rsidR="00B6748F" w:rsidRPr="00751AC0" w:rsidRDefault="00B6748F" w:rsidP="00B6748F">
      <w:pPr>
        <w:rPr>
          <w:rFonts w:ascii="Garamond" w:hAnsi="Garamond"/>
          <w:color w:val="000000"/>
        </w:rPr>
      </w:pPr>
      <w:r w:rsidRPr="00751AC0">
        <w:rPr>
          <w:rFonts w:ascii="Garamond" w:hAnsi="Garamond"/>
          <w:color w:val="000000"/>
          <w:lang w:val="en-GB"/>
        </w:rPr>
        <w:t xml:space="preserve">Die Lehre von der Erbsünde ist </w:t>
      </w:r>
      <w:r w:rsidRPr="00751AC0">
        <w:rPr>
          <w:rFonts w:ascii="Garamond" w:hAnsi="Garamond"/>
          <w:i/>
          <w:iCs/>
          <w:color w:val="000000"/>
          <w:lang w:val="en-GB"/>
        </w:rPr>
        <w:t>orphischer</w:t>
      </w:r>
      <w:r w:rsidRPr="00751AC0">
        <w:rPr>
          <w:rFonts w:ascii="Garamond" w:hAnsi="Garamond"/>
          <w:color w:val="000000"/>
          <w:lang w:val="en-GB"/>
        </w:rPr>
        <w:t xml:space="preserve"> Herkunft; sie wurde in den Mysterien erhalten und drang von da aus in die Philosophenschulen des griechischen Altertums ein. </w:t>
      </w:r>
      <w:hyperlink r:id="rId607" w:anchor="#" w:history="1">
        <w:r w:rsidRPr="00751AC0">
          <w:rPr>
            <w:rStyle w:val="fusslink"/>
            <w:rFonts w:ascii="Garamond" w:hAnsi="Garamond" w:cs="Arial"/>
            <w:b/>
            <w:bCs/>
            <w:color w:val="003399"/>
          </w:rPr>
          <w:t>[Fußnote]</w:t>
        </w:r>
        <w:r w:rsidRPr="00751AC0">
          <w:rPr>
            <w:rStyle w:val="innerfusslink3"/>
            <w:rFonts w:ascii="Garamond" w:hAnsi="Garamond" w:cs="Arial"/>
            <w:b/>
            <w:bCs/>
          </w:rPr>
          <w:t>Reinach, Cultes Mythes et Religions, (1905–12), II, p. 75 .</w:t>
        </w:r>
      </w:hyperlink>
      <w:r w:rsidRPr="00751AC0">
        <w:rPr>
          <w:rFonts w:ascii="Garamond" w:hAnsi="Garamond"/>
          <w:color w:val="000000"/>
        </w:rPr>
        <w:t xml:space="preserve">) Die Menschen waren die Nachkommen von Titanen, welche den jungen Dionysos-Zagreus getötet und zerstückelt hatten; die Last dieses Verbrechens drückte auf sie. In einem Fragment von Anaximander wird gesagt, daß die Einheit der Welt durch ein urzeitliches Verbrechen zerstört worden sei und daß alles, was daraus hervorgegangen, die Strafe dafür weiter tragen muß </w:t>
      </w:r>
      <w:hyperlink r:id="rId608" w:anchor="#" w:history="1">
        <w:r w:rsidRPr="00751AC0">
          <w:rPr>
            <w:rStyle w:val="fusslink"/>
            <w:rFonts w:ascii="Garamond" w:hAnsi="Garamond" w:cs="Arial"/>
            <w:b/>
            <w:bCs/>
            <w:color w:val="003399"/>
          </w:rPr>
          <w:t>[Fußnote]</w:t>
        </w:r>
        <w:r w:rsidRPr="00751AC0">
          <w:rPr>
            <w:rStyle w:val="innerfusslink3"/>
            <w:rFonts w:ascii="Garamond" w:hAnsi="Garamond" w:cs="Arial"/>
            <w:b/>
            <w:bCs/>
          </w:rPr>
          <w:t xml:space="preserve">» </w:t>
        </w:r>
        <w:r w:rsidRPr="00751AC0">
          <w:rPr>
            <w:rStyle w:val="innerfusslink3"/>
            <w:rFonts w:ascii="Garamond" w:hAnsi="Garamond" w:cs="Arial"/>
            <w:b/>
            <w:bCs/>
            <w:i/>
            <w:iCs/>
          </w:rPr>
          <w:t>Une sorte de péché proethnique</w:t>
        </w:r>
        <w:r w:rsidRPr="00751AC0">
          <w:rPr>
            <w:rStyle w:val="innerfusslink3"/>
            <w:rFonts w:ascii="Garamond" w:hAnsi="Garamond" w:cs="Arial"/>
            <w:b/>
            <w:bCs/>
          </w:rPr>
          <w:t>« (Reinach, 1905–12, II, p. 76).</w:t>
        </w:r>
      </w:hyperlink>
      <w:r w:rsidRPr="00751AC0">
        <w:rPr>
          <w:rFonts w:ascii="Garamond" w:hAnsi="Garamond"/>
          <w:color w:val="000000"/>
        </w:rPr>
        <w:t>. Erinnert die Tat der Titanen durch die Züge der Zusammenrottung, der Tötung und Zerreißung deutlich genug an das von St. Nilus beschriebene Totemopfer – wie übrigens viele andere Mythen des Altertums, z. B. der Tod des Orpheus selbst –, so stört uns hier doch die Abweichung, daß die Mordtat an einem jugendlichen Gotte vollzogen wird.</w:t>
      </w:r>
    </w:p>
    <w:p w:rsidR="00B6748F" w:rsidRPr="00751AC0" w:rsidRDefault="00B6748F" w:rsidP="00B6748F">
      <w:pPr>
        <w:rPr>
          <w:rFonts w:ascii="Garamond" w:hAnsi="Garamond"/>
          <w:color w:val="000000"/>
          <w:lang w:val="en-GB"/>
        </w:rPr>
      </w:pPr>
      <w:r w:rsidRPr="00751AC0">
        <w:rPr>
          <w:rFonts w:ascii="Garamond" w:hAnsi="Garamond"/>
          <w:color w:val="000000"/>
        </w:rPr>
        <w:t xml:space="preserve">Im christlichen Mythus ist die Erbsünde des Menschen unzweifelhaft eine Versündigung gegen Gottvater. Wenn nun Christus die Menschen von dem Drucke der Erbsünde erlöst, indem er sein eigenes Leben opfert, so zwingt er uns zu dem Schlusse, daß diese Sünde eine Mordtat war. Nach dem im menschlichen Fühlen tiefgewurzelten Gesetz der Talion kann ein Mord nur durch die Opferung eines anderen Lebens gesühnt werden; die Selbstaufopferung weist auf eine Blutschuld zurück </w:t>
      </w:r>
      <w:hyperlink r:id="rId609" w:anchor="#" w:history="1">
        <w:r w:rsidRPr="00751AC0">
          <w:rPr>
            <w:rStyle w:val="fusslink"/>
            <w:rFonts w:ascii="Garamond" w:hAnsi="Garamond" w:cs="Arial"/>
            <w:b/>
            <w:bCs/>
            <w:color w:val="003399"/>
          </w:rPr>
          <w:t>[Fußnote]</w:t>
        </w:r>
        <w:r w:rsidRPr="00751AC0">
          <w:rPr>
            <w:rStyle w:val="innerfusslink3"/>
            <w:rFonts w:ascii="Garamond" w:hAnsi="Garamond" w:cs="Arial"/>
            <w:b/>
            <w:bCs/>
          </w:rPr>
          <w:t>Die Selbstmordimpulse unserer Neurotiker erweisen sich regelmäßig als Selbstbestrafungen für Todeswünsche, die gegen andere gerichtet sind.</w:t>
        </w:r>
      </w:hyperlink>
      <w:r w:rsidRPr="00751AC0">
        <w:rPr>
          <w:rFonts w:ascii="Garamond" w:hAnsi="Garamond"/>
          <w:color w:val="000000"/>
        </w:rPr>
        <w:t xml:space="preserve">. </w:t>
      </w:r>
      <w:r w:rsidRPr="00751AC0">
        <w:rPr>
          <w:rFonts w:ascii="Garamond" w:hAnsi="Garamond"/>
          <w:color w:val="000000"/>
          <w:lang w:val="en-GB"/>
        </w:rPr>
        <w:t>Und wenn dies Opfer des eigenen Lebens die Versöhnung mit Gottvater herbeiführt, so kann das zu sühnende Verbrechen kein anderes als der Mord am Vater gewesen sein.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So bekennt sich denn in der christlichen Lehre die Menschheit am unverhülltesten zu der schuldvollen Tat der Urzeit, weil sie nun im Opfertod des einen Sohnes die ausgiebigste Sühne für sie gefunden hat. Die Versöhnung mit dem Vater ist um so gründlicher, weil gleichzeitig mit diesem Opfer der volle Verzicht auf das Weib erfolgt, um dessentwillen man sich gegen den Vater empört hatte. </w:t>
      </w:r>
      <w:r w:rsidRPr="00751AC0">
        <w:rPr>
          <w:rFonts w:ascii="Garamond" w:hAnsi="Garamond"/>
          <w:color w:val="000000"/>
        </w:rPr>
        <w:t xml:space="preserve">Aber nun fordert auch das psychologische Verhängnis der Ambivalenz seine Rechte. Mit der gleichen Tat, welche dem Vater die größtmögliche Sühne bietet, erreicht auch der Sohn das Ziel seiner Wünsche gegen den Vater. </w:t>
      </w:r>
      <w:r w:rsidRPr="00751AC0">
        <w:rPr>
          <w:rFonts w:ascii="Garamond" w:hAnsi="Garamond"/>
          <w:color w:val="000000"/>
          <w:lang w:val="en-GB"/>
        </w:rPr>
        <w:t xml:space="preserve">Er wird selbst zum Gott neben, eigentlich an Stelle des Vaters. Die Sohnesreligion löst die Vaterreligion ab. Zum Zeichen dieser Ersetzung wird die alte Totemmahlzeit als Kommunion wiederbelebt, in welcher nun die </w:t>
      </w:r>
      <w:r w:rsidRPr="00751AC0">
        <w:rPr>
          <w:rFonts w:ascii="Garamond" w:hAnsi="Garamond"/>
          <w:color w:val="000000"/>
          <w:lang w:val="en-GB"/>
        </w:rPr>
        <w:lastRenderedPageBreak/>
        <w:t xml:space="preserve">Brüderschar vom Fleisch und Blut des Sohnes, nicht mehr des Vaters, genießt, sich durch diesen Genuß heiligt und mit ihm identifiziert. Unser Blick verfolgt durch die Länge der Zeiten die Identität der Totemmahlzeit mit dem Tieropfer, dem theanthropischen Menschenopfer und mit der christlichen Eucharistie und erkennt in all diesen Feierlichkeiten die Nachwirkung jenes Verbrechens, welches die Menschen so sehr bedrückte und auf das sie doch so stolz sein mußten. Die christliche Kommunion ist aber im Grunde eine neuerliche Beseitigung des Vaters, eine Wiederholung der zu sühnenden Tat. Wir merken, wie berechtigt der Satz von Frazer ist, daß » </w:t>
      </w:r>
      <w:r w:rsidRPr="00751AC0">
        <w:rPr>
          <w:rFonts w:ascii="Garamond" w:hAnsi="Garamond"/>
          <w:i/>
          <w:iCs/>
          <w:color w:val="000000"/>
          <w:lang w:val="en-GB"/>
        </w:rPr>
        <w:t>the Christian communion has absorbed within itself a sacrament which is doubtless far older than Christianity</w:t>
      </w:r>
      <w:r w:rsidRPr="00751AC0">
        <w:rPr>
          <w:rFonts w:ascii="Garamond" w:hAnsi="Garamond"/>
          <w:color w:val="000000"/>
          <w:lang w:val="en-GB"/>
        </w:rPr>
        <w:t xml:space="preserve">« </w:t>
      </w:r>
      <w:hyperlink r:id="rId61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(1912, II, p. 51). – Niemand, der mit der Literatur des Gegenstandes vertraut ist, wird annehmen, daß die Zurückführung der christlichen Kommunion auf die Totemmahlzeit eine Idee des Schreibers dieses Aufsatzes sei.</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7</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 Vorgang wie die Beseitigung des Urvaters durch die Brüderschar mußte unvertilgbare Spuren in der Geschichte der Menschheit hinterlassen und sich in desto zahlreicheren Ersatzbildungen zum Ausdruck bringen, je weniger er selbst erinnert werden sollte </w:t>
      </w:r>
      <w:hyperlink r:id="rId61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Ariel im </w:t>
        </w:r>
        <w:r w:rsidRPr="00751AC0">
          <w:rPr>
            <w:rStyle w:val="innerfusslink3"/>
            <w:rFonts w:ascii="Garamond" w:hAnsi="Garamond" w:cs="Arial"/>
            <w:b/>
            <w:bCs/>
            <w:i/>
            <w:iCs/>
            <w:lang w:val="en-GB"/>
          </w:rPr>
          <w:t>Sturm</w:t>
        </w:r>
        <w:r w:rsidRPr="00751AC0">
          <w:rPr>
            <w:rStyle w:val="innerfusslink3"/>
            <w:rFonts w:ascii="Garamond" w:hAnsi="Garamond" w:cs="Arial"/>
            <w:b/>
            <w:bCs/>
            <w:lang w:val="en-GB"/>
          </w:rPr>
          <w:t xml:space="preserve">: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i/>
            <w:iCs/>
            <w:lang w:val="en-GB"/>
          </w:rPr>
          <w:t xml:space="preserve">...................Full fathom five thy father lies: </w:t>
        </w:r>
        <w:r w:rsidRPr="00751AC0">
          <w:rPr>
            <w:rFonts w:ascii="Garamond" w:hAnsi="Garamond"/>
            <w:i/>
            <w:iCs/>
            <w:color w:val="000000"/>
            <w:lang w:val="en-GB"/>
          </w:rPr>
          <w:br/>
        </w:r>
        <w:r w:rsidRPr="00751AC0">
          <w:rPr>
            <w:rStyle w:val="innerfusslink3"/>
            <w:rFonts w:ascii="Garamond" w:hAnsi="Garamond" w:cs="Arial"/>
            <w:b/>
            <w:bCs/>
            <w:i/>
            <w:iCs/>
            <w:lang w:val="en-GB"/>
          </w:rPr>
          <w:t xml:space="preserve">...................Of his bones are coral made; </w:t>
        </w:r>
        <w:r w:rsidRPr="00751AC0">
          <w:rPr>
            <w:rFonts w:ascii="Garamond" w:hAnsi="Garamond"/>
            <w:i/>
            <w:iCs/>
            <w:color w:val="000000"/>
            <w:lang w:val="en-GB"/>
          </w:rPr>
          <w:br/>
        </w:r>
        <w:r w:rsidRPr="00751AC0">
          <w:rPr>
            <w:rStyle w:val="innerfusslink3"/>
            <w:rFonts w:ascii="Garamond" w:hAnsi="Garamond" w:cs="Arial"/>
            <w:b/>
            <w:bCs/>
            <w:i/>
            <w:iCs/>
            <w:lang w:val="en-GB"/>
          </w:rPr>
          <w:t xml:space="preserve">...................Those are pearls that were his eyes: </w:t>
        </w:r>
        <w:r w:rsidRPr="00751AC0">
          <w:rPr>
            <w:rFonts w:ascii="Garamond" w:hAnsi="Garamond"/>
            <w:i/>
            <w:iCs/>
            <w:color w:val="000000"/>
            <w:lang w:val="en-GB"/>
          </w:rPr>
          <w:br/>
        </w:r>
        <w:r w:rsidRPr="00751AC0">
          <w:rPr>
            <w:rStyle w:val="innerfusslink3"/>
            <w:rFonts w:ascii="Garamond" w:hAnsi="Garamond" w:cs="Arial"/>
            <w:b/>
            <w:bCs/>
            <w:i/>
            <w:iCs/>
            <w:lang w:val="en-GB"/>
          </w:rPr>
          <w:t xml:space="preserve">...................Nothing of him that doth fade, </w:t>
        </w:r>
        <w:r w:rsidRPr="00751AC0">
          <w:rPr>
            <w:rFonts w:ascii="Garamond" w:hAnsi="Garamond"/>
            <w:i/>
            <w:iCs/>
            <w:color w:val="000000"/>
            <w:lang w:val="en-GB"/>
          </w:rPr>
          <w:br/>
        </w:r>
        <w:r w:rsidRPr="00751AC0">
          <w:rPr>
            <w:rStyle w:val="innerfusslink3"/>
            <w:rFonts w:ascii="Garamond" w:hAnsi="Garamond" w:cs="Arial"/>
            <w:b/>
            <w:bCs/>
            <w:i/>
            <w:iCs/>
            <w:lang w:val="en-GB"/>
          </w:rPr>
          <w:t xml:space="preserve">...................But doth suffer a sea-change </w:t>
        </w:r>
        <w:r w:rsidRPr="00751AC0">
          <w:rPr>
            <w:rFonts w:ascii="Garamond" w:hAnsi="Garamond"/>
            <w:i/>
            <w:iCs/>
            <w:color w:val="000000"/>
            <w:lang w:val="en-GB"/>
          </w:rPr>
          <w:br/>
        </w:r>
        <w:r w:rsidRPr="00751AC0">
          <w:rPr>
            <w:rStyle w:val="innerfusslink3"/>
            <w:rFonts w:ascii="Garamond" w:hAnsi="Garamond" w:cs="Arial"/>
            <w:b/>
            <w:bCs/>
            <w:i/>
            <w:iCs/>
            <w:lang w:val="en-GB"/>
          </w:rPr>
          <w:t xml:space="preserve">...................Into something rich and strange. </w:t>
        </w:r>
        <w:r w:rsidRPr="00751AC0">
          <w:rPr>
            <w:rFonts w:ascii="Garamond" w:hAnsi="Garamond"/>
            <w:i/>
            <w:iCs/>
            <w:color w:val="000000"/>
            <w:lang w:val="en-GB"/>
          </w:rPr>
          <w:br/>
        </w:r>
        <w:r w:rsidRPr="00751AC0">
          <w:rPr>
            <w:rFonts w:ascii="Garamond" w:hAnsi="Garamond"/>
            <w:i/>
            <w:iCs/>
            <w:color w:val="000000"/>
            <w:lang w:val="en-GB"/>
          </w:rPr>
          <w:br/>
        </w:r>
        <w:r w:rsidRPr="00751AC0">
          <w:rPr>
            <w:rStyle w:val="innerfusslink3"/>
            <w:rFonts w:ascii="Garamond" w:hAnsi="Garamond" w:cs="Arial"/>
            <w:b/>
            <w:bCs/>
            <w:lang w:val="en-GB"/>
          </w:rPr>
          <w:t xml:space="preserve">In der schönen Übersetzung von Schlegel: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Fünf Faden tief liegt Vater dein.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Sein Gebein wird zu Korallen,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Perlen sind die Augen sein.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Nichts an ihm, das soll verfallen,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Das nicht wandelt Meeres-Hut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In ein reich und seltnes Gut.</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Ich gehe der Versuchung aus dem Wege, diese Spuren in der Mythologie, wo sie nicht schwer zu finden sind, nachzuweisen, und wende mich einem anderen Gebiete zu, indem ich einem Fingerzeig von S. Reinach in einer inhaltsreichen Abhandlung über den Tod des Orpheus folge </w:t>
      </w:r>
      <w:hyperlink r:id="rId61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›La Mort d'Orphée‹ in dem hier oft zitierten Buche: </w:t>
        </w:r>
        <w:r w:rsidRPr="00751AC0">
          <w:rPr>
            <w:rStyle w:val="innerfusslink3"/>
            <w:rFonts w:ascii="Garamond" w:hAnsi="Garamond" w:cs="Arial"/>
            <w:b/>
            <w:bCs/>
            <w:i/>
            <w:iCs/>
            <w:lang w:val="en-GB"/>
          </w:rPr>
          <w:t>Cultes, mythes et religions</w:t>
        </w:r>
        <w:r w:rsidRPr="00751AC0">
          <w:rPr>
            <w:rStyle w:val="innerfusslink3"/>
            <w:rFonts w:ascii="Garamond" w:hAnsi="Garamond" w:cs="Arial"/>
            <w:b/>
            <w:bCs/>
            <w:lang w:val="en-GB"/>
          </w:rPr>
          <w:t xml:space="preserve"> (1905–12), II, p. 100 ff.).</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In der Geschichte der griechischen Kunst gibt es eine Situation, welche auffällige Ähnlichkeiten und nicht minder tiefgehende Verschiedenheiten mit der von Robertson Smith erkannten Szene der Totemmahlzeit zeigt. Es ist die Situation der ältesten griechischen Tragödie. Eine Schar von Personen, alle gleich benannt und gleich gekleidet, umsteht einen einzigen, von dessen Reden und Handeln sie alle abhängig sind: es ist der Chor und der ursprünglich einzige Heldendarsteller. Spätere Entwicklungen brachten einen zweiten und dritten Schauspieler, um Gegenspieler und Abspaltungen des Helden darzustellen, aber der Charakter des Helden wie sein Verhältnis zum Chor blieben unverändert. Der Held der Tragödie mußte leiden; dies ist noch heute der wesentliche Inhalt einer Tragödie. Er hatte die sogenannte »tragische Schuld« auf sich geladen, die nicht immer leicht zu begründen ist; sie ist oft keine Schuld im Sinne des bürgerlichen Lebens. Zumeist bestand sie in der Auflehnung gegen eine göttliche oder menschliche Autorität, und der Chor begleitete den Helden mit seinen sympathischen Gefühlen, suchte ihn zurückzuhalten, zu warnen, zu </w:t>
      </w:r>
      <w:r w:rsidRPr="00751AC0">
        <w:rPr>
          <w:rFonts w:ascii="Garamond" w:hAnsi="Garamond"/>
          <w:color w:val="000000"/>
        </w:rPr>
        <w:lastRenderedPageBreak/>
        <w:t>mäßigen und beklagte ihn, nachdem er für sein kühnes Unternehmen die als verdient hingestellte Bestrafung gefunden hatte.</w:t>
      </w:r>
    </w:p>
    <w:p w:rsidR="00B6748F" w:rsidRPr="00751AC0" w:rsidRDefault="00B6748F" w:rsidP="00B6748F">
      <w:pPr>
        <w:rPr>
          <w:rFonts w:ascii="Garamond" w:hAnsi="Garamond"/>
          <w:color w:val="000000"/>
          <w:lang w:val="en-GB"/>
        </w:rPr>
      </w:pPr>
      <w:r w:rsidRPr="00751AC0">
        <w:rPr>
          <w:rFonts w:ascii="Garamond" w:hAnsi="Garamond"/>
          <w:color w:val="000000"/>
          <w:lang w:val="en-GB"/>
        </w:rPr>
        <w:t>Warum muß aber der Held der Tragödie leiden, und was bedeutet seine »tragische« Schuld? Wir wollen die Diskussion durch rasche Beantwortung abschneiden. Er muß leiden, weil er der Urvater, der Held jener großen urzeitlichen Tragödie ist, die hier eine tendenziöse Wiederholung findet, und die tragische Schuld ist jene, die er auf sich nehmen muß, um den Chor von seiner Schuld zu entlasten. Die Szene auf der Bühne ist durch zweckmäßige Entstellung, man könnte sagen: im Dienste raffinierter Heuchelei, aus der historischen Szene hervorgegangen. In jener alten Wirklichkeit waren es gerade die Chorgenossen, die das Leiden des Helden verursachten; hier aber erschöpfen sie sich in Teilnahme und Bedauern, und der Held ist selbst an seinem Leiden schuld. Das auf ihn gewälzte Verbrechen, die Überhebung und Auflehnung gegen eine große Autorität, ist genau dasselbe, was in Wirklichkeit die Genossen des Chors, die Brüderschar, bedrückt. So wird der tragische Held – noch wider seinen Willen – zum Erlöser des Chors gemacht.</w:t>
      </w:r>
    </w:p>
    <w:p w:rsidR="00B6748F" w:rsidRPr="00751AC0" w:rsidRDefault="00B6748F" w:rsidP="00B6748F">
      <w:pPr>
        <w:rPr>
          <w:rFonts w:ascii="Garamond" w:hAnsi="Garamond"/>
          <w:color w:val="000000"/>
          <w:lang w:val="en-GB"/>
        </w:rPr>
      </w:pPr>
      <w:r w:rsidRPr="00751AC0">
        <w:rPr>
          <w:rFonts w:ascii="Garamond" w:hAnsi="Garamond"/>
          <w:color w:val="000000"/>
          <w:lang w:val="en-GB"/>
        </w:rPr>
        <w:t>Waren speziell in der griechischen Tragödie die Leiden des göttlichen Bockes Dionysos und die Klage des mit ihm sich identifizierenden Gefolges von Böcken der Inhalt der Aufführung, so wird es leicht verständlich, daß das bereits erloschene Drama sich im Mittelalter an der Passion Christi neu entzündete.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So möchte ich denn zum Schlusse dieser mit äußerster Verkürzung geführten Untersuchung das Ergebnis aussprechen, daß im Ödipuskomplex die Anfänge von Religion, Sittlichkeit, Gesellschaft und Kunst zusammentreffen, in voller Übereinstimmung mit der Feststellung der Psychoanalyse, daß dieser Komplex den Kern aller Neurosen bildet, soweit sie bis jetzt unserem Verständnis nachgegeben haben. Es erscheint mir als eine große Überraschung, daß auch diese Probleme des Völkerseelenlebens eine Auflösung von einem einzigen konkreten Punkte her, wie es das Verhältnis zum Vater ist, gestatten sollten. Vielleicht ist selbst ein anderes psychologisches Problem in diesen Zusammenhang einzubeziehen. Wir haben so oft Gelegenheit gehabt, die Gefühlsambivalenz im eigentlichen Sinne, also das Zusammentreffen von Liebe und Haß gegen dasselbe Objekt, an der Wurzel wichtiger Kulturbildungen aufzuzeigen. Wir wissen nichts über die Herkunft dieser Ambivalenz. Man kann die Annahme machen, daß sie ein fundamentales Phänomen unseres Gefühlslebens sei. Aber auch die andere Möglichkeit scheint mir wohl beachtenswert, daß sie, dem Gefühlsleben ursprünglich fremd, von der Menschheit an dem Vaterkomplex </w:t>
      </w:r>
      <w:hyperlink r:id="rId61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Respektive Elternkomplex.</w:t>
        </w:r>
      </w:hyperlink>
      <w:r w:rsidRPr="00751AC0">
        <w:rPr>
          <w:rFonts w:ascii="Garamond" w:hAnsi="Garamond"/>
          <w:color w:val="000000"/>
          <w:lang w:val="en-GB"/>
        </w:rPr>
        <w:t xml:space="preserve"> erworben wurde, wo die psychoanalytische Erforschung des Einzelmenschen heute noch ihre stärkste Ausprägung nachweist </w:t>
      </w:r>
      <w:hyperlink r:id="rId61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Der Mißverständnisse gewöhnt, halte ich es nicht für überflüssig, ausdrücklich hervorzuheben, daß die hier gegebenen Zurückführungen an die komplexe Natur der abzuleitenden Phänomene keineswegs vergessen haben und daß sie nur den Anspruch erheben, zu den bereits bekannten oder noch unerkannten Ursprüngen der Religion, Sittlichkeit und der Gesellschaft ein neues Moment hinzuzufügen, welches sich aus der Berücksichtigung der psychoanalytischen Anforderungen ergibt. Die Synthese zu einem Ganzen der Erklärung muß ich anderen überlassen. Es geht aber diesmal aus der Natur dieses neuen Beitrages hervor, daß er in einer solchen Synthese keine andere als die zentrale Rolle spielen könnte, wenngleich die Überwindung von großen affektiven Widerständen erfordert werden dürfte, ehe man ihm eine solche Bedeutung zugesteht.</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Bevor ich nun abschließe, muß ich der Bemerkung Raum geben, daß der hohe Grad von Konvergenz zu einem umfassenden Zusammenhange, den wir in diesen Ausführungen erreicht haben, uns nicht gegen die Unsicherheiten unserer Voraussetzungen und die Schwierigkeiten unserer Resultate verblenden kann. Von den letzteren will ich nur noch zwei behandeln, die sich manchem Leser aufgedrängt haben dürften.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kann zunächst niemandem entgangen sein, daß wir überall die Annahme einer Massenpsyche zugrunde legen, in welcher sich die seelischen Vorgänge vollziehen wie im Seelenleben eines Einzelnen. Wir lassen </w:t>
      </w:r>
      <w:r w:rsidRPr="00751AC0">
        <w:rPr>
          <w:rFonts w:ascii="Garamond" w:hAnsi="Garamond"/>
          <w:color w:val="000000"/>
          <w:lang w:val="en-GB"/>
        </w:rPr>
        <w:lastRenderedPageBreak/>
        <w:t>vor allem das Schuldbewußtsein wegen einer Tat über viele Jahrtausende fortleben und in Generationen wirksam bleiben, welche von dieser Tat nichts wissen konnten. Wir lassen einen Gefühlsprozeß, wie er bei Generationen von Söhnen entstehen konnte, die von ihrem Vater mißhandelt wurden, sich auf neue Generationen fortsetzen, welche einer solchen Behandlung gerade durch die Beseitigung des Vaters entzogen worden waren. Dies scheinen allerdings schwerwiegende Bedenken, und jede andere Erklärung scheint den Vorzug zu verdienen, welche solche Voraussetzungen vermeiden kann.</w:t>
      </w:r>
    </w:p>
    <w:p w:rsidR="00B6748F" w:rsidRPr="00751AC0" w:rsidRDefault="00B6748F" w:rsidP="00B6748F">
      <w:pPr>
        <w:rPr>
          <w:rFonts w:ascii="Garamond" w:hAnsi="Garamond"/>
          <w:color w:val="000000"/>
        </w:rPr>
      </w:pPr>
      <w:r w:rsidRPr="00751AC0">
        <w:rPr>
          <w:rFonts w:ascii="Garamond" w:hAnsi="Garamond"/>
          <w:color w:val="000000"/>
          <w:lang w:val="en-GB"/>
        </w:rPr>
        <w:t xml:space="preserve">Allein eine weitere Erwägung zeigt, daß wir die Verantwortlichkeit für solche Kühnheit nicht allein zu tragen haben. Ohne die Annahme einer Massenpsyche, einer Kontinuität im Gefühlsleben der Menschen, welche gestattet, sich über die Unterbrechungen der seelischen Akte durch das Vergehen der Individuen hinwegzusetzen, kann die Völkerpsychologie überhaupt nicht bestehen. Setzen sich die psychischen Prozesse der einen Generation nicht auf die nächste fort, müßte jede ihre Einstellung zum Leben neu erwerben, so gäbe es auf diesem Gebiet keinen Fortschritt und so gut wie keine Entwicklung. Es erheben sich nun zwei neue Fragen, wieviel man der psychischen Kontinuität innerhalb der Generationsreihen zutrauen kann und welcher Mittel und Wege sich die eine Generation bedient, um ihre psychischen Zustände auf die nächste zu übertragen. Ich werde nicht behaupten, daß diese Probleme weit genug geklärt sind oder daß die direkte Mitteilung und Tradition, an die man zunächst denkt, für das Erfordernis hinreichen. Im allgemeinen kümmert sich die Völkerpsychologie wenig darum, auf welche Weise die verlangte Kontinuität im Seelenleben der einander ablösenden Generationen hergestellt wird. Ein Teil der Aufgabe scheint durch die Vererbung psychischer Dispositionen besorgt zu werden, welche aber doch gewisser Anstöße im individuellen Leben bedürfen, um zur Wirksamkeit zu erwachen. </w:t>
      </w:r>
      <w:r w:rsidRPr="00751AC0">
        <w:rPr>
          <w:rFonts w:ascii="Garamond" w:hAnsi="Garamond"/>
          <w:color w:val="000000"/>
        </w:rPr>
        <w:t>Es mag dies der Sinn des Dichterwortes sein:</w:t>
      </w:r>
    </w:p>
    <w:p w:rsidR="00B6748F" w:rsidRPr="00751AC0" w:rsidRDefault="00B6748F" w:rsidP="00B6748F">
      <w:pPr>
        <w:rPr>
          <w:rFonts w:ascii="Garamond" w:hAnsi="Garamond"/>
          <w:color w:val="000000"/>
        </w:rPr>
      </w:pPr>
      <w:r w:rsidRPr="00751AC0">
        <w:rPr>
          <w:rFonts w:ascii="Garamond" w:hAnsi="Garamond"/>
          <w:color w:val="000000"/>
        </w:rPr>
        <w:t xml:space="preserve">Was du ererbt von deinen Vätern hast, </w:t>
      </w:r>
      <w:r w:rsidRPr="00751AC0">
        <w:rPr>
          <w:rFonts w:ascii="Garamond" w:hAnsi="Garamond"/>
          <w:color w:val="000000"/>
        </w:rPr>
        <w:br/>
        <w:t>erwirb es, um es zu besitzen.</w:t>
      </w:r>
    </w:p>
    <w:p w:rsidR="00B6748F" w:rsidRPr="00751AC0" w:rsidRDefault="00B6748F" w:rsidP="00B6748F">
      <w:pPr>
        <w:rPr>
          <w:rFonts w:ascii="Garamond" w:hAnsi="Garamond"/>
          <w:color w:val="000000"/>
          <w:lang w:val="en-GB"/>
        </w:rPr>
      </w:pPr>
      <w:r w:rsidRPr="00751AC0">
        <w:rPr>
          <w:rFonts w:ascii="Garamond" w:hAnsi="Garamond"/>
          <w:color w:val="000000"/>
        </w:rPr>
        <w:t xml:space="preserve">Das Problem erschiene noch schwieriger, wenn wir zugestehen könnten, daß es seelische Regungen gibt, welche so spurlos unterdrückt werden können, daß sie keine Resterscheinungen zurücklassen. Allein solche gibt es nicht. Die stärkste Unterdrückung muß Raum lassen für entstellte Ersatzregungen und aus ihnen folgende Reaktionen. </w:t>
      </w:r>
      <w:r w:rsidRPr="00751AC0">
        <w:rPr>
          <w:rFonts w:ascii="Garamond" w:hAnsi="Garamond"/>
          <w:color w:val="000000"/>
          <w:lang w:val="en-GB"/>
        </w:rPr>
        <w:t>Dann dürfen wir aber annehmen, daß keine Generation imstande ist, bedeutsamere seelische Vorgänge vor der nächsten zu verbergen. Die Psychoanalyse hat uns nämlich gelehrt, daß jeder Mensch in seiner unbewußten Geistestätigkeit einen Apparat besitzt, der ihm gestattet, die Reaktionen anderer Menschen zu deuten, das heißt die Entstellungen wieder rückgängig zu machen, welche der andere an dem Ausdruck seiner Gefühlsregungen vorgenommen hat. Auf diesem Wege des unbewußten Verständnisses all der Sitten, Zeremonien und Satzungen, welche das ursprüngliche Verhältnis zum Urvater zurückgelassen hatte, mag auch den späteren Generationen die Übernahme jener Gefühlserbschaft gelungen sein.</w:t>
      </w:r>
    </w:p>
    <w:p w:rsidR="00B6748F" w:rsidRPr="00751AC0" w:rsidRDefault="00B6748F" w:rsidP="00B6748F">
      <w:pPr>
        <w:rPr>
          <w:rFonts w:ascii="Garamond" w:hAnsi="Garamond"/>
          <w:color w:val="000000"/>
          <w:lang w:val="en-GB"/>
        </w:rPr>
      </w:pPr>
      <w:r w:rsidRPr="00751AC0">
        <w:rPr>
          <w:rFonts w:ascii="Garamond" w:hAnsi="Garamond"/>
          <w:color w:val="000000"/>
          <w:lang w:val="en-GB"/>
        </w:rPr>
        <w:t>Ein anderes Bedenken dürfte gerade von seiten der analytischen Denkweise erhoben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haben die ersten Moralvorschriften und sittlichen Beschränkungen der primitiven Gesellschaft als Reaktion auf eine Tat aufgefaßt, welche ihren Urhebern den Begriff des Verbrechens gab. Sie bereuten diese Tat und beschlossen, daß sie nicht mehr wiederholt werden solle und daß ihre Ausführung keinen Gewinn gebracht haben dürfe. Dies schöpferische Schuldbewußtsein ist nun unter uns nicht erloschen. Wir finden es bei den Neurotikern in asozialer Weise wirkend, um neue Moralvorschriften, fortgesetzte Einschränkungen zu produzieren, als Sühne für die begangenen und als Vorsicht gegen neu zu begehende Untaten </w:t>
      </w:r>
      <w:hyperlink r:id="rId61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den zweiten Aufsatz dieser Reihe über das Tabu.</w:t>
        </w:r>
      </w:hyperlink>
      <w:r w:rsidRPr="00751AC0">
        <w:rPr>
          <w:rFonts w:ascii="Garamond" w:hAnsi="Garamond"/>
          <w:color w:val="000000"/>
          <w:lang w:val="en-GB"/>
        </w:rPr>
        <w:t xml:space="preserve">. Wenn wir aber bei diesen Neurotikern nach den Taten forschen, welche solche Reaktionen wachgerufen haben, so werden wir enttäuscht. Wir finden nicht Taten, sondern nur Impulse, Gefühlsregungen, welche nach dem Bösen verlangen, aber von der Ausführung abgehalten worden sind. Dem Schuldbewußtsein der Neurotiker </w:t>
      </w:r>
      <w:r w:rsidRPr="00751AC0">
        <w:rPr>
          <w:rFonts w:ascii="Garamond" w:hAnsi="Garamond"/>
          <w:color w:val="000000"/>
          <w:lang w:val="en-GB"/>
        </w:rPr>
        <w:lastRenderedPageBreak/>
        <w:t>liegen nur psychische Realitäten zugrunde, nicht faktische. Die Neurose ist dadurch charakterisiert, daß sie die psychische Realität über die faktische setzt, auf Gedanken ebenso ernsthaft reagiert wie die Normalen nur auf Wirklichkeiten.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Kann es sich bei den Primitiven nicht ähnlich verhalten haben? Wir sind berechtigt, ihnen eine außerordentliche Überschätzung ihrer psychischen Akte als Teilerscheinung ihrer narzißtischen Organisation zuzuschreiben </w:t>
      </w:r>
      <w:hyperlink r:id="rId61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S. den Aufsatz über ›Animismus, Magie und Allmacht der Gedanken‹.</w:t>
        </w:r>
      </w:hyperlink>
      <w:r w:rsidRPr="00751AC0">
        <w:rPr>
          <w:rFonts w:ascii="Garamond" w:hAnsi="Garamond"/>
          <w:color w:val="000000"/>
          <w:lang w:val="en-GB"/>
        </w:rPr>
        <w:t>. Demnach könnten die bloßen Impulse von Feindseligkeit gegen den Vater, die Existenz der Wunschphantasie, ihn zu töten und zu verzehren, hingereicht haben, um jene moralische Reaktion zu erzeugen, die Totemismus und Tabu geschaffen hat. Man würde so der Notwendigkeit entgehen, den Beginn unseres kulturellen Besitzes, auf den wir mit Recht so stolz sind, auf ein gräßliches, alle unsere Gefühle beleidigendes Verbrechen zurückzuführen. Die kausale, von jenem Anfang bis in unsere Gegenwart reichende Verknüpfung litte dabei keinen Schaden, denn die psychische Realität wäre bedeutsam genug, um alle diese Folgen zu tragen. Man wird dagegen einwenden, daß ja eine Veränderung der Gesellschaft von der Form der Vaterhorde zu der des Brüderclan wirklich vorgefallen ist. Dies ist ein starkes Argument, aber doch nicht entscheidend. Die Veränderung könnte auf minder gewaltsame Weise erreicht worden sein und doch die Bedingung für das Hervortreten der moralischen Reaktion enthalten haben. Solange der Druck des Urvaters sich fühlbar machte, waren die feindseligen Gefühle gegen ihn berechtigt, und die Reue über sie mußte einen anderen Zeitpunkt abwarten. Ebensowenig ist der zweite Einwand stichhaltig, daß alles, was sich aus der ambivalenten Relation zum Vater ableitet, Tabu und Opfervorschrift, den Charakter des höchsten Ernstes und der vollsten Realität an sich trägt. Auch das Zeremoniell und die Hemmungen der Zwangsneurotiker zeigen diesen Charakter und gehen doch nur auf psychische Realität, auf Vorsatz und nicht auf Ausführungen zurück. Wir müssen uns hüten, aus unserer nüchternen Welt, die voll ist von materiellen Werten, die Geringschätzung des bloß Gedachten und Gewünschten in die nur innerlich reiche Welt des Primitiven und des Neurotikers einzutragen.</w:t>
      </w:r>
    </w:p>
    <w:p w:rsidR="00B6748F" w:rsidRPr="00751AC0" w:rsidRDefault="00B6748F" w:rsidP="00B6748F">
      <w:pPr>
        <w:rPr>
          <w:rFonts w:ascii="Garamond" w:hAnsi="Garamond"/>
          <w:color w:val="000000"/>
          <w:lang w:val="en-GB"/>
        </w:rPr>
      </w:pPr>
      <w:r w:rsidRPr="00751AC0">
        <w:rPr>
          <w:rFonts w:ascii="Garamond" w:hAnsi="Garamond"/>
          <w:color w:val="000000"/>
          <w:lang w:val="en-GB"/>
        </w:rPr>
        <w:t>Wir stehen hier vor einer Entscheidung, die uns wirklich nicht leicht gemacht ist. Beginnen wir aber mit dem Bekenntnis, daß der Unterschied, der anderen fundamental erscheinen kann, für unser Urteil nicht das Wesentliche des Gegenstandes trifft. Wenn für den Primitiven Wünsche und Impulse den vollen Wert von Tatsachen haben, so ist es an uns, solcher Auffassung verständnisvoll zu folgen, anstatt sie nach unserem Maßstab zu korrigieren. Dann aber wollen wir das Vorbild der Neurose, das uns in diesen Zweifel gebracht hat, selbst schärfer ins Auge fassen. Es ist nicht richtig, daß die Zwangsneurotiker, welche heute unter dem Drucke einer Übermoral stehen, sich nur gegen die psychische Realität von Versuchungen verteidigen und wegen bloß verspürter Impulse bestrafen. Es ist auch ein Stück historischer Realität dabei; in ihrer Kindheit hatten diese Menschen nichts anderes als die bösen Impulse, und insoweit sie in der Ohnmacht des Kindes es konnten, haben sie diese Impulse auch in Handlungen umgesetzt. Jeder von diesen Überguten hatte in der Kindheit seine böse Zeit, eine perverse Phase als Vorläufer und Voraussetzung der späteren übermoralischen. Die Analogie der Primitiven mit den Neurotikern wird also viel gründlicher hergestellt, wenn wir annehmen, daß auch bei den ersteren die psychische Realität, an deren Gestaltung kein Zweifel ist, anfänglich mit der faktischen Realität zusammenfiel, daß die Primitiven das wirklich getan haben, was sie nach allen Zeugnissen zu tun beabsichtigten.</w:t>
      </w:r>
    </w:p>
    <w:p w:rsidR="00B6748F" w:rsidRPr="00751AC0" w:rsidRDefault="00B6748F" w:rsidP="00B6748F">
      <w:pPr>
        <w:rPr>
          <w:rFonts w:ascii="Garamond" w:hAnsi="Garamond"/>
          <w:color w:val="000000"/>
          <w:lang w:val="en-GB"/>
        </w:rPr>
      </w:pPr>
      <w:r w:rsidRPr="00751AC0">
        <w:rPr>
          <w:rFonts w:ascii="Garamond" w:hAnsi="Garamond"/>
          <w:color w:val="000000"/>
          <w:lang w:val="en-GB"/>
        </w:rPr>
        <w:t>Allzuweit dürfen wir unser Urteil über die Primitiven auch nicht durch die Analogie mit den Neurotikern beeinflussen lassen. Es sind auch die Unterschiede in Rechnung zu ziehen. Gewiß sind bei beiden, Wilden wie Neurotikern, die scharfen Scheidungen zwischen Denken und Tun, wie wir sie ziehen, nicht vorhanden. Allein der Neurotiker ist vor allem im Handeln gehemmt, bei ihm ist der Gedanke der volle Ersatz für die Tat. Der Primitive ist ungehemmt, der Gedanke setzt sich ohneweiters in Tat um, die Tat ist ihm sozusagen eher ein Ersatz des Gedankens, und darum meine ich, ohne selbst für die letzte Sicherheit der Entscheidung einzutreten, man darf in dem Falle, den wir diskutieren, wohl annehmen: »Im Anfang war die Tat.«</w:t>
      </w:r>
    </w:p>
    <w:p w:rsidR="00B6748F" w:rsidRPr="00751AC0" w:rsidRDefault="00B6748F" w:rsidP="00B6748F">
      <w:pPr>
        <w:rPr>
          <w:rFonts w:ascii="Garamond" w:hAnsi="Garamond"/>
          <w:color w:val="000000"/>
        </w:rPr>
      </w:pPr>
      <w:r w:rsidRPr="00751AC0">
        <w:rPr>
          <w:rFonts w:ascii="Garamond" w:hAnsi="Garamond"/>
          <w:color w:val="000000"/>
        </w:rPr>
        <w:lastRenderedPageBreak/>
        <w:t>IV. Die infantile Wiederkehr des Totemismus</w:t>
      </w:r>
    </w:p>
    <w:p w:rsidR="00B6748F" w:rsidRPr="00751AC0" w:rsidRDefault="00B6748F" w:rsidP="00B6748F">
      <w:pPr>
        <w:rPr>
          <w:rFonts w:ascii="Garamond" w:hAnsi="Garamond"/>
          <w:color w:val="000000"/>
        </w:rPr>
      </w:pPr>
      <w:r w:rsidRPr="00751AC0">
        <w:rPr>
          <w:rFonts w:ascii="Garamond" w:hAnsi="Garamond"/>
          <w:color w:val="000000"/>
        </w:rPr>
        <w:t>Von der Psychoanalyse, welche zuerst die regelmäßige Überdeterminierung psychischer Akte und Bildungen aufgedeckt hat, braucht man nicht zu besorgen, daß sie versucht sein werde, etwas so Kompliziertes wie die Religion aus einem einzigen Ursprung abzuleiten. Wenn sie in notgedrungener, eigentlich pflichtgemäßer Einseitigkeit eine einzige der Quellen dieser Institution zur Anerkennung bringen will, so beansprucht sie zunächst für dieselbe die Ausschließlichkeit so wenig wie den ersten Rang unter den zusammenwirkenden Momenten. Erst eine Synthese aus verschiedenen Gebieten der Forschung kann entscheiden, welche relative Bedeutung dem hier zu erörternden Mechanismus in der Genese der Religion zuzuteilen ist; eine solche Arbeit überschreitet aber sowohl die Mittel als auch die Absicht des Psychoanalytikers.</w:t>
      </w:r>
    </w:p>
    <w:p w:rsidR="00B6748F" w:rsidRPr="00751AC0" w:rsidRDefault="00B6748F" w:rsidP="00B6748F">
      <w:pPr>
        <w:rPr>
          <w:rFonts w:ascii="Garamond" w:hAnsi="Garamond"/>
          <w:color w:val="000000"/>
          <w:lang w:val="en-GB"/>
        </w:rPr>
      </w:pPr>
      <w:r w:rsidRPr="00751AC0">
        <w:rPr>
          <w:rFonts w:ascii="Garamond" w:hAnsi="Garamond"/>
          <w:color w:val="000000"/>
          <w:lang w:val="en-GB"/>
        </w:rPr>
        <w:t>1</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der ersten Abhandlung dieser Reihe haben wir den Begriff des Totemismus kennengelernt. Wir haben gehört, daß der Totemismus ein System ist, welches bei gewissen primitiven Völkern in Australien, Amerika, Afrika die Stelle einer Religion vertritt und die Grundlage der sozialen Organisation abgibt. Wir wissen, daß der Schotte McLennan 1869 das allgemeinste Interesse für die bis dahin nur als Kuriosa gewürdigten Phänomene des Totemismus in Anspruch nahm, indem er die Vermutung aussprach, eine große Anzahl von Sitten und Gebräuchen in verschiedenen alten wie modernen Gesellschaften seien als Überreste einer totemistischen Epoche zu verstehen. Die Wissenschaft hat seither diese Bedeutung des Totemismus im vollen Umfange anerkannt. Als eine der letzten Äußerungen über diese Frage will ich eine Stelle aus den </w:t>
      </w:r>
      <w:r w:rsidRPr="00751AC0">
        <w:rPr>
          <w:rFonts w:ascii="Garamond" w:hAnsi="Garamond"/>
          <w:i/>
          <w:iCs/>
          <w:color w:val="000000"/>
          <w:lang w:val="en-GB"/>
        </w:rPr>
        <w:t>Elementen der Völkerpsychologie</w:t>
      </w:r>
      <w:r w:rsidRPr="00751AC0">
        <w:rPr>
          <w:rFonts w:ascii="Garamond" w:hAnsi="Garamond"/>
          <w:color w:val="000000"/>
          <w:lang w:val="en-GB"/>
        </w:rPr>
        <w:t xml:space="preserve"> von W. Wundt (1912, p. 139) zitieren: »Nehmen wir alles dies zusammen, so ergibt sich mit hoher Wahrscheinlichkeit der Schluß, daß die totemistische Kultur überall einmal eine Vorstufe der späteren Entwicklungen und eine Übergangsstufe zwischen dem Zustand des primitiven Menschen und dem Helden- und Götterzeitalter gebildet hat.«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Absichten der vorliegenden Abhandlungen nötigen uns zu einem tieferen Eingehen auf die Charaktere des Totemismus. Aus Gründen, welche später ersichtlich werden sollen, bevorzuge ich hier eine Darstellung von S. Reinach, der im Jahre 1900 nachstehenden </w:t>
      </w:r>
      <w:r w:rsidRPr="00751AC0">
        <w:rPr>
          <w:rFonts w:ascii="Garamond" w:hAnsi="Garamond"/>
          <w:i/>
          <w:iCs/>
          <w:color w:val="000000"/>
          <w:lang w:val="en-GB"/>
        </w:rPr>
        <w:t>Code du totemisme</w:t>
      </w:r>
      <w:r w:rsidRPr="00751AC0">
        <w:rPr>
          <w:rFonts w:ascii="Garamond" w:hAnsi="Garamond"/>
          <w:color w:val="000000"/>
          <w:lang w:val="en-GB"/>
        </w:rPr>
        <w:t xml:space="preserve"> in zwölf Artikeln, gleichsam einen Katechismus der totemistischen Religion, entworfen hat </w:t>
      </w:r>
      <w:hyperlink r:id="rId61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i/>
            <w:iCs/>
            <w:lang w:val="en-GB"/>
          </w:rPr>
          <w:t>Revue scientifique</w:t>
        </w:r>
        <w:r w:rsidRPr="00751AC0">
          <w:rPr>
            <w:rStyle w:val="innerfusslink3"/>
            <w:rFonts w:ascii="Garamond" w:hAnsi="Garamond" w:cs="Arial"/>
            <w:b/>
            <w:bCs/>
            <w:lang w:val="en-GB"/>
          </w:rPr>
          <w:t xml:space="preserve">, Oktober 1900, abgedruckt in des Autors vierbändigem Werke </w:t>
        </w:r>
        <w:r w:rsidRPr="00751AC0">
          <w:rPr>
            <w:rStyle w:val="innerfusslink3"/>
            <w:rFonts w:ascii="Garamond" w:hAnsi="Garamond" w:cs="Arial"/>
            <w:b/>
            <w:bCs/>
            <w:i/>
            <w:iCs/>
            <w:lang w:val="en-GB"/>
          </w:rPr>
          <w:t>Cultes, mythes et religions</w:t>
        </w:r>
        <w:r w:rsidRPr="00751AC0">
          <w:rPr>
            <w:rStyle w:val="innerfusslink3"/>
            <w:rFonts w:ascii="Garamond" w:hAnsi="Garamond" w:cs="Arial"/>
            <w:b/>
            <w:bCs/>
            <w:lang w:val="en-GB"/>
          </w:rPr>
          <w:t xml:space="preserve"> (1905–12, Bd. I, 17 ff.).</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1. Gewisse Tiere dürfen weder getötet noch gegessen werden, aber die Menschen ziehen Individuen dieser Tiergattungen auf und schenken ihnen Pflege.</w:t>
      </w:r>
    </w:p>
    <w:p w:rsidR="00B6748F" w:rsidRPr="00751AC0" w:rsidRDefault="00B6748F" w:rsidP="00B6748F">
      <w:pPr>
        <w:rPr>
          <w:rFonts w:ascii="Garamond" w:hAnsi="Garamond"/>
          <w:color w:val="000000"/>
          <w:lang w:val="en-GB"/>
        </w:rPr>
      </w:pPr>
      <w:r w:rsidRPr="00751AC0">
        <w:rPr>
          <w:rFonts w:ascii="Garamond" w:hAnsi="Garamond"/>
          <w:color w:val="000000"/>
          <w:lang w:val="en-GB"/>
        </w:rPr>
        <w:t>2. Ein zufällig verstorbenes Tier wird betrauert und unter den gleichen Ehrenbezeigungen bestattet wie ein Mitglied des Stammes.</w:t>
      </w:r>
    </w:p>
    <w:p w:rsidR="00B6748F" w:rsidRPr="00751AC0" w:rsidRDefault="00B6748F" w:rsidP="00B6748F">
      <w:pPr>
        <w:rPr>
          <w:rFonts w:ascii="Garamond" w:hAnsi="Garamond"/>
          <w:color w:val="000000"/>
          <w:lang w:val="en-GB"/>
        </w:rPr>
      </w:pPr>
      <w:r w:rsidRPr="00751AC0">
        <w:rPr>
          <w:rFonts w:ascii="Garamond" w:hAnsi="Garamond"/>
          <w:color w:val="000000"/>
          <w:lang w:val="en-GB"/>
        </w:rPr>
        <w:t>3. Das Speiseverbot bezieht sich gelegentlich nur auf einen bestimmten Körperteil des Tieres.</w:t>
      </w:r>
    </w:p>
    <w:p w:rsidR="00B6748F" w:rsidRPr="00751AC0" w:rsidRDefault="00B6748F" w:rsidP="00B6748F">
      <w:pPr>
        <w:rPr>
          <w:rFonts w:ascii="Garamond" w:hAnsi="Garamond"/>
          <w:color w:val="000000"/>
          <w:lang w:val="en-GB"/>
        </w:rPr>
      </w:pPr>
      <w:r w:rsidRPr="00751AC0">
        <w:rPr>
          <w:rFonts w:ascii="Garamond" w:hAnsi="Garamond"/>
          <w:color w:val="000000"/>
          <w:lang w:val="en-GB"/>
        </w:rPr>
        <w:t>4. Wenn man ein für gewöhnlich verschontes Tier unter dem Drange der Notwendigkeit töten muß, so entschuldigt man sich bei ihm und sucht die Verletzung des Tabu, den Mord, durch mannigfache Kunstgriffe und Ausflüchte abzuschwächen.</w:t>
      </w:r>
    </w:p>
    <w:p w:rsidR="00B6748F" w:rsidRPr="00751AC0" w:rsidRDefault="00B6748F" w:rsidP="00B6748F">
      <w:pPr>
        <w:rPr>
          <w:rFonts w:ascii="Garamond" w:hAnsi="Garamond"/>
          <w:color w:val="000000"/>
          <w:lang w:val="en-GB"/>
        </w:rPr>
      </w:pPr>
      <w:r w:rsidRPr="00751AC0">
        <w:rPr>
          <w:rFonts w:ascii="Garamond" w:hAnsi="Garamond"/>
          <w:color w:val="000000"/>
          <w:lang w:val="en-GB"/>
        </w:rPr>
        <w:t>5. Wenn das Tier rituell geopfert wird, wird es feierlich beweint.</w:t>
      </w:r>
    </w:p>
    <w:p w:rsidR="00B6748F" w:rsidRPr="00751AC0" w:rsidRDefault="00B6748F" w:rsidP="00B6748F">
      <w:pPr>
        <w:rPr>
          <w:rFonts w:ascii="Garamond" w:hAnsi="Garamond"/>
          <w:color w:val="000000"/>
          <w:lang w:val="en-GB"/>
        </w:rPr>
      </w:pPr>
      <w:r w:rsidRPr="00751AC0">
        <w:rPr>
          <w:rFonts w:ascii="Garamond" w:hAnsi="Garamond"/>
          <w:color w:val="000000"/>
          <w:lang w:val="en-GB"/>
        </w:rPr>
        <w:t>6. Bei gewissen feierlichen Gelegenheiten, religiösen Zeremonien, legt man die Haut bestimmter Tiere an. Wo der Totemismus noch besteht, sind dies die Totemtiere.</w:t>
      </w:r>
    </w:p>
    <w:p w:rsidR="00B6748F" w:rsidRPr="00751AC0" w:rsidRDefault="00B6748F" w:rsidP="00B6748F">
      <w:pPr>
        <w:rPr>
          <w:rFonts w:ascii="Garamond" w:hAnsi="Garamond"/>
          <w:color w:val="000000"/>
          <w:lang w:val="en-GB"/>
        </w:rPr>
      </w:pPr>
      <w:r w:rsidRPr="00751AC0">
        <w:rPr>
          <w:rFonts w:ascii="Garamond" w:hAnsi="Garamond"/>
          <w:color w:val="000000"/>
          <w:lang w:val="en-GB"/>
        </w:rPr>
        <w:t>7. Stämme und Einzelpersonen legen sich Tiernamen bei, eben die der Totemtiere.</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8. Viele Stämme gebrauchen Tierbilder als Wappen und verzieren mit ihnen ihre Waffen; Männer malen sich Tierbilder auf den Leib oder lassen sich solche durch Tätowierung einritzen.</w:t>
      </w:r>
    </w:p>
    <w:p w:rsidR="00B6748F" w:rsidRPr="00751AC0" w:rsidRDefault="00B6748F" w:rsidP="00B6748F">
      <w:pPr>
        <w:rPr>
          <w:rFonts w:ascii="Garamond" w:hAnsi="Garamond"/>
          <w:color w:val="000000"/>
          <w:lang w:val="en-GB"/>
        </w:rPr>
      </w:pPr>
      <w:r w:rsidRPr="00751AC0">
        <w:rPr>
          <w:rFonts w:ascii="Garamond" w:hAnsi="Garamond"/>
          <w:color w:val="000000"/>
          <w:lang w:val="en-GB"/>
        </w:rPr>
        <w:t>9. Wenn der Totem zu den gefürchteten und gefährlichen Tieren gehört, so wird angenommen, daß er die Mitglieder des nach ihm genannten Stammes verschont.</w:t>
      </w:r>
    </w:p>
    <w:p w:rsidR="00B6748F" w:rsidRPr="00751AC0" w:rsidRDefault="00B6748F" w:rsidP="00B6748F">
      <w:pPr>
        <w:rPr>
          <w:rFonts w:ascii="Garamond" w:hAnsi="Garamond"/>
          <w:color w:val="000000"/>
          <w:lang w:val="en-GB"/>
        </w:rPr>
      </w:pPr>
      <w:r w:rsidRPr="00751AC0">
        <w:rPr>
          <w:rFonts w:ascii="Garamond" w:hAnsi="Garamond"/>
          <w:color w:val="000000"/>
          <w:lang w:val="en-GB"/>
        </w:rPr>
        <w:t>10. Das Totemtier beschützt und warnt die Angehörigen des Stammes.</w:t>
      </w:r>
    </w:p>
    <w:p w:rsidR="00B6748F" w:rsidRPr="00751AC0" w:rsidRDefault="00B6748F" w:rsidP="00B6748F">
      <w:pPr>
        <w:rPr>
          <w:rFonts w:ascii="Garamond" w:hAnsi="Garamond"/>
          <w:color w:val="000000"/>
          <w:lang w:val="en-GB"/>
        </w:rPr>
      </w:pPr>
      <w:r w:rsidRPr="00751AC0">
        <w:rPr>
          <w:rFonts w:ascii="Garamond" w:hAnsi="Garamond"/>
          <w:color w:val="000000"/>
          <w:lang w:val="en-GB"/>
        </w:rPr>
        <w:t>11. Das Totemtier kündigt seinen Getreuen die Zukunft an und dient ihnen als Führer.</w:t>
      </w:r>
    </w:p>
    <w:p w:rsidR="00B6748F" w:rsidRPr="00751AC0" w:rsidRDefault="00B6748F" w:rsidP="00B6748F">
      <w:pPr>
        <w:rPr>
          <w:rFonts w:ascii="Garamond" w:hAnsi="Garamond"/>
          <w:color w:val="000000"/>
          <w:lang w:val="en-GB"/>
        </w:rPr>
      </w:pPr>
      <w:r w:rsidRPr="00751AC0">
        <w:rPr>
          <w:rFonts w:ascii="Garamond" w:hAnsi="Garamond"/>
          <w:color w:val="000000"/>
          <w:lang w:val="en-GB"/>
        </w:rPr>
        <w:t>12. Die Mitglieder eines Totemstammes glauben oft daran, daß sie mit dem Totemtier durch das Band gemeinsamer Abstammung verknüpft sind.</w:t>
      </w:r>
    </w:p>
    <w:p w:rsidR="00B6748F" w:rsidRPr="00751AC0" w:rsidRDefault="00B6748F" w:rsidP="00B6748F">
      <w:pPr>
        <w:rPr>
          <w:rFonts w:ascii="Garamond" w:hAnsi="Garamond"/>
          <w:color w:val="000000"/>
          <w:lang w:val="en-GB"/>
        </w:rPr>
      </w:pPr>
      <w:r w:rsidRPr="00751AC0">
        <w:rPr>
          <w:rFonts w:ascii="Garamond" w:hAnsi="Garamond"/>
          <w:color w:val="000000"/>
          <w:lang w:val="en-GB"/>
        </w:rPr>
        <w:t>Man kann diesen Katechismus der Totemreligion erst würdigen, wenn man in Betracht zieht, daß Reinach hier auch alle Anzeichen und Resterscheinungen eingetragen hat, aus denen man den einstigen Bestand des totemistischen Systems erschließen kann. Eine besondere Stellung dieses Autors zum Problem zeigt sich darin, daß er dafür die wesentlichen Züge des Totemismus einigermaßen vernachlässigt. Wir werden uns überzeugen, daß er von den zwei Hauptsätzen des totemistischen Katechismus den einen in den Hintergrund gedrängt, den anderen völlig übergangen hat.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Um von den Charakteren des Totemismus ein richtiges Bild zu gewinnen, wenden wir uns an einen Autor, welcher dem Thema ein vierbändiges Werk gewidmet hat, das die vollständigste Sammlung der hieher gehörigen Beobachtungen mit der eingehendsten Diskussion der durch sie angeregten Probleme verbindet. Wir werden J. G. Frazer, dem Verfasser von </w:t>
      </w:r>
      <w:r w:rsidRPr="00751AC0">
        <w:rPr>
          <w:rFonts w:ascii="Garamond" w:hAnsi="Garamond"/>
          <w:i/>
          <w:iCs/>
          <w:color w:val="000000"/>
          <w:lang w:val="en-GB"/>
        </w:rPr>
        <w:t>Totemism and Exogamy</w:t>
      </w:r>
      <w:r w:rsidRPr="00751AC0">
        <w:rPr>
          <w:rFonts w:ascii="Garamond" w:hAnsi="Garamond"/>
          <w:color w:val="000000"/>
          <w:lang w:val="en-GB"/>
        </w:rPr>
        <w:t xml:space="preserve"> (1910), für Genuß und Belehrung verpflichtet bleiben, auch wenn die psychoanalytische Untersuchung zu Ergebnissen führen sollte, welche weit von den seinigen abweichen </w:t>
      </w:r>
      <w:hyperlink r:id="rId61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Vielleicht tun wir aber vorher gut daran, dem Leser die Schwierigkeiten vorzuführen, mit denen Feststellungen auf diesem Gebiete zu kämpfen haben: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lang w:val="en-GB"/>
          </w:rPr>
          <w:t xml:space="preserve">Zunächst: die Personen, welche die Beobachtungen sammeln, sind nicht dieselben, welche sie verarbeiten und diskutieren, die ersteren Reisende und Missionäre, die letzteren Gelehrte, welche die Objekte ihrer Forschung vielleicht niemals gesehen haben. – Die Verständigung mit den Wilden ist nicht leicht. Nicht alle der Beobachter waren mit den Sprachen derselben vertraut, sondern mußten sich der Hilfe von Dolmetschern bedienen oder in der Hilfssprache des </w:t>
        </w:r>
        <w:r w:rsidRPr="00751AC0">
          <w:rPr>
            <w:rStyle w:val="innerfusslink3"/>
            <w:rFonts w:ascii="Garamond" w:hAnsi="Garamond" w:cs="Arial"/>
            <w:b/>
            <w:bCs/>
            <w:i/>
            <w:iCs/>
            <w:lang w:val="en-GB"/>
          </w:rPr>
          <w:t>pidgin-english</w:t>
        </w:r>
        <w:r w:rsidRPr="00751AC0">
          <w:rPr>
            <w:rStyle w:val="innerfusslink3"/>
            <w:rFonts w:ascii="Garamond" w:hAnsi="Garamond" w:cs="Arial"/>
            <w:b/>
            <w:bCs/>
            <w:lang w:val="en-GB"/>
          </w:rPr>
          <w:t xml:space="preserve"> mit den Ausgefragten verkehren. Die Wilden sind nicht mitteilsam über die intimsten Angelegenheiten ihrer Kultur und eröffnen sich nur solchen Fremden, die viele Jahre in ihrer Mitte zugebracht haben. Sie geben aus den verschiedenartigsten Motiven (vgl. Frazer, 1910, Bd. 1, 150 f.) oft falsche oder mißverständliche Auskünfte. – Man darf nicht daran vergessen, daß die primitiven Völker keine jungen Völker sind, sondern eigentlich ebenso alt wie die zivilisiertesten, und daß man kein Recht zur Erwartung hat, sie würden ihre ursprünglichen Ideen und Institutionen ohne jede Entwicklung und Entstellung für unsere Kenntnisnahme aufbewahrt haben. Es ist vielmehr sicher, daß sich bei den Primitiven tiefgreifende Wandlungen nach allen Richtungen vollzogen haben, so daß man niemals ohne Bedenken entscheiden kann, was an ihren gegenwärtigen Zuständen und Meinungen nach Art eines Petrefakts die ursprüngliche Vergangenheit erhalten hat und was einer Entstellung und Veränderung derselben entspricht. Daher die überreichlichen Streitigkeiten unter den Autoren, was an den Eigentümlichkeiten einer primitiven Kultur als primär und was als spätere sekundäre Gestaltung aufzufassen sei. Die Feststellung des ursprünglichen Zustandes bleibt also jedesmal eine Sache der Konstruktion. – Es ist endlich nicht leicht, sich in die Denkungsart der Primitiven einzufühlen. Wir mißverstehen sie ebenso leicht wie die Kinder und sind immer geneigt, ihr Tun und Fühlen nach unseren eigenen psychischen Konstellationen zu deuten.</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»Ein Totem«, schrieb Frazer in seinem ersten Aufsatz </w:t>
      </w:r>
      <w:hyperlink r:id="rId61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Totemism, Edinburgh 1887, abgedruckt im ersten Band des großen Werkes </w:t>
        </w:r>
        <w:r w:rsidRPr="00751AC0">
          <w:rPr>
            <w:rStyle w:val="innerfusslink3"/>
            <w:rFonts w:ascii="Garamond" w:hAnsi="Garamond" w:cs="Arial"/>
            <w:b/>
            <w:bCs/>
            <w:i/>
            <w:iCs/>
            <w:lang w:val="en-GB"/>
          </w:rPr>
          <w:t>Totemism and Exogamy</w:t>
        </w:r>
        <w:r w:rsidRPr="00751AC0">
          <w:rPr>
            <w:rStyle w:val="innerfusslink3"/>
            <w:rFonts w:ascii="Garamond" w:hAnsi="Garamond" w:cs="Arial"/>
            <w:b/>
            <w:bCs/>
            <w:lang w:val="en-GB"/>
          </w:rPr>
          <w:t xml:space="preserve"> (1910).</w:t>
        </w:r>
      </w:hyperlink>
      <w:r w:rsidRPr="00751AC0">
        <w:rPr>
          <w:rFonts w:ascii="Garamond" w:hAnsi="Garamond"/>
          <w:color w:val="000000"/>
          <w:lang w:val="en-GB"/>
        </w:rPr>
        <w:t>, »ist ein materielles Objekt, welchem der Wilde einen abergläubischen Respekt bezeugt, weil er glaubt, daß zwischen seiner eigenen Person und jedem Ding dieser Gattung eine ganz besondere Beziehung besteht ... Die Verbindung zwischen einem Menschen und seinem Totem ist eine wechselseitige, der Totem beschützt den Menschen, und der Mensch beweist seine Achtung vor dem Totem auf verschiedene Arten, so z. B. daß er ihn nicht tötet, wenn es ein Tier, und nicht abpflückt, wenn es eine Pflanze ist. Der Totem unterscheidet sich vom Fetisch darin, daß er nie ein Einzelding ist wie dieser, sondern immer eine Gattung, in der Regel eine Tier- oder Pflanzenart, seltener eine Klasse von unbelebten Dingen und noch seltener von künstlich hergestellten Gegenständen ...«</w:t>
      </w:r>
    </w:p>
    <w:p w:rsidR="00B6748F" w:rsidRPr="00751AC0" w:rsidRDefault="00B6748F" w:rsidP="00B6748F">
      <w:pPr>
        <w:rPr>
          <w:rFonts w:ascii="Garamond" w:hAnsi="Garamond"/>
          <w:color w:val="000000"/>
          <w:lang w:val="en-GB"/>
        </w:rPr>
      </w:pPr>
      <w:r w:rsidRPr="00751AC0">
        <w:rPr>
          <w:rFonts w:ascii="Garamond" w:hAnsi="Garamond"/>
          <w:color w:val="000000"/>
          <w:lang w:val="en-GB"/>
        </w:rPr>
        <w:t>»Man kann mindestens drei Arten von Totem unterscheiden:</w:t>
      </w:r>
    </w:p>
    <w:p w:rsidR="00B6748F" w:rsidRPr="00751AC0" w:rsidRDefault="00B6748F" w:rsidP="00B6748F">
      <w:pPr>
        <w:rPr>
          <w:rFonts w:ascii="Garamond" w:hAnsi="Garamond"/>
          <w:color w:val="000000"/>
          <w:lang w:val="en-GB"/>
        </w:rPr>
      </w:pPr>
      <w:r w:rsidRPr="00751AC0">
        <w:rPr>
          <w:rFonts w:ascii="Garamond" w:hAnsi="Garamond"/>
          <w:color w:val="000000"/>
          <w:lang w:val="en-GB"/>
        </w:rPr>
        <w:t>1. den Stammestotem, an dem ein ganzer Stamm teilhat und der sich erblich von einer Generation auf die nächste überträgt;</w:t>
      </w:r>
    </w:p>
    <w:p w:rsidR="00B6748F" w:rsidRPr="00751AC0" w:rsidRDefault="00B6748F" w:rsidP="00B6748F">
      <w:pPr>
        <w:rPr>
          <w:rFonts w:ascii="Garamond" w:hAnsi="Garamond"/>
          <w:color w:val="000000"/>
          <w:lang w:val="en-GB"/>
        </w:rPr>
      </w:pPr>
      <w:r w:rsidRPr="00751AC0">
        <w:rPr>
          <w:rFonts w:ascii="Garamond" w:hAnsi="Garamond"/>
          <w:color w:val="000000"/>
          <w:lang w:val="en-GB"/>
        </w:rPr>
        <w:t>2. den Geschlechtstotem, der allen männlichen oder allen weiblichen Mitgliedern eines Stammes mit Ausschluß des anderen Geschlechtes angehört, und</w:t>
      </w:r>
    </w:p>
    <w:p w:rsidR="00B6748F" w:rsidRPr="00751AC0" w:rsidRDefault="00B6748F" w:rsidP="00B6748F">
      <w:pPr>
        <w:rPr>
          <w:rFonts w:ascii="Garamond" w:hAnsi="Garamond"/>
          <w:color w:val="000000"/>
          <w:lang w:val="en-GB"/>
        </w:rPr>
      </w:pPr>
      <w:r w:rsidRPr="00751AC0">
        <w:rPr>
          <w:rFonts w:ascii="Garamond" w:hAnsi="Garamond"/>
          <w:color w:val="000000"/>
          <w:lang w:val="en-GB"/>
        </w:rPr>
        <w:t>3. den individuellen Totem, der einer einzelnen Person eignet und nicht auf deren Nachkommenschaft übergeht ...« Die beiden letzten Arten von Totem kommen an Bedeutung gegen den Stammestotem nicht in Betracht. Es sind, wenn nicht alles täuscht, späte und für das Wesen des Totem wenig bedeutsame Bildungen.</w:t>
      </w:r>
    </w:p>
    <w:p w:rsidR="00B6748F" w:rsidRPr="00751AC0" w:rsidRDefault="00B6748F" w:rsidP="00B6748F">
      <w:pPr>
        <w:rPr>
          <w:rFonts w:ascii="Garamond" w:hAnsi="Garamond"/>
          <w:color w:val="000000"/>
          <w:lang w:val="en-GB"/>
        </w:rPr>
      </w:pPr>
      <w:r w:rsidRPr="00751AC0">
        <w:rPr>
          <w:rFonts w:ascii="Garamond" w:hAnsi="Garamond"/>
          <w:color w:val="000000"/>
          <w:lang w:val="en-GB"/>
        </w:rPr>
        <w:t>»Der Stammestotem (Clantotem) ist Gegenstand der Verehrung einer Gruppe von Männern und Frauen, die sich nach dem Totem nennen, sich für blutsverwandte Abkömmlinge eines gemeinsamen Ahnen halten und durch gemeinsame Pflichten gegeneinander wie durch den Glauben an ihren Totem miteinander fest verbunden sind.«</w:t>
      </w:r>
    </w:p>
    <w:p w:rsidR="00B6748F" w:rsidRPr="00751AC0" w:rsidRDefault="00B6748F" w:rsidP="00B6748F">
      <w:pPr>
        <w:rPr>
          <w:rFonts w:ascii="Garamond" w:hAnsi="Garamond"/>
          <w:color w:val="000000"/>
          <w:lang w:val="en-GB"/>
        </w:rPr>
      </w:pPr>
      <w:r w:rsidRPr="00751AC0">
        <w:rPr>
          <w:rFonts w:ascii="Garamond" w:hAnsi="Garamond"/>
          <w:color w:val="000000"/>
          <w:lang w:val="en-GB"/>
        </w:rPr>
        <w:t>»Der Totemismus ist sowohl ein religiöses wie ein soziales System. Nach seiner religiösen Seite besteht er in den Beziehungen gegenseitiger Achtung und Schonung zwischen einem Menschen und seinem Totem, nach seiner sozialen Seite in den Verpflichtungen der Clanmitglieder gegeneinander und gegen andere Stämme. In der späteren Geschichte des Totemismus zeigen dessen beide Seiten eine Neigung auseinanderzugehen; das soziale System überlebt häufig das religiöse, und umgekehrt verbleiben Reste von Totemismus in der Religion solcher Länder, in denen das auf den Totemismus gegründete soziale System verschwunden ist. Wie diese beiden Seiten des Totemismus ursprünglich miteinander zusammenhängen, können wir bei unserer Unkenntnis über dessen Ursprünge nicht mit Sicherheit sagen. Doch ergibt sich im ganzen eine starke Wahrscheinlichkeit dafür, daß die beiden Seiten des Totemismus zu Anfang unzertrennlich voneinander waren. Mit anderen Worten, je weiter wir zurückgehen, desto deutlicher zeigt es sich, daß der Stammesangehörige sich zur selben Art zählt wie seinen Totem und sein Verhalten gegen den Totem von dem gegen einen Stammesgenossen nicht unterscheidet.«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der speziellen Beschreibung des Totemismus als eines religiösen Systems stellt Frazer voran, daß die Mitglieder eines Stammes sich nach ihrem Totem nennen und </w:t>
      </w:r>
      <w:r w:rsidRPr="00751AC0">
        <w:rPr>
          <w:rFonts w:ascii="Garamond" w:hAnsi="Garamond"/>
          <w:i/>
          <w:iCs/>
          <w:color w:val="000000"/>
          <w:lang w:val="en-GB"/>
        </w:rPr>
        <w:t>in der Regel auch glauben, daß sie von ihm abstammen</w:t>
      </w:r>
      <w:r w:rsidRPr="00751AC0">
        <w:rPr>
          <w:rFonts w:ascii="Garamond" w:hAnsi="Garamond"/>
          <w:color w:val="000000"/>
          <w:lang w:val="en-GB"/>
        </w:rPr>
        <w:t xml:space="preserve">. Die Folge dieses Glaubens ist es, daß sie das Totemtier nicht jagen, nicht töten und nicht essen und sich jeden anderen Gebrauch des Totem versagen, wenn er etwas anderes als ein Tier ist. Die Verbote, den Totem nicht zu töten und nicht zu essen, sind nicht die einzigen Tabu, die ihn betreffen; manchmal ist es auch verboten, ihn zu berühren, ja, ihn anzuschauen; in einer Anzahl von Fällen darf der Totem nicht bei seinem richtigen Namen genannt werden. Die Übertretung dieser den Totem schützenden Tabugebote straft sich automatisch durch schwere Erkrankungen oder Tod </w:t>
      </w:r>
      <w:hyperlink r:id="rId62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die Abhandlung über das Tabu.</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Exemplare des Totemtieres werden gelegentlich von dem Clan aufgezogen und in der Gefangenschaft gehegt </w:t>
      </w:r>
      <w:hyperlink r:id="rId62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Wie heute noch die Wölfe im Käfig an der Kapitolsstiege in Rom, die Bären im Zwinger von Bern.</w:t>
        </w:r>
      </w:hyperlink>
      <w:r w:rsidRPr="00751AC0">
        <w:rPr>
          <w:rFonts w:ascii="Garamond" w:hAnsi="Garamond"/>
          <w:color w:val="000000"/>
          <w:lang w:val="en-GB"/>
        </w:rPr>
        <w:t>. Ein tot aufgefundenes Totemtier wird betrauert und bestattet wie ein Clangenosse. Mußte man ein Totemtier töten, so geschah es unter einem vorgeschriebenen Rituale von Entschuldigungen und Sühnezeremonien.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Von seinem Totem erwartete der Stamm Schutz und Schonung. Wenn er ein gefährliches Tier war (Raubtier, Giftschlange), so setzte man voraus, daß er seinen Genossen nichts zuleide tun würde, und wo sich diese Voraussetzung nicht bestätigte, wurde der Beschädigte aus dem Stamme ausgestoßen. Eide, meint Frazer, waren ursprünglich Ordalien; viele Abstammungs- und Echtheitsproben wurden so dem Totem zur Entscheidung überlassen. Der Totem hilft in Krankheiten, gibt dem Stamme Vorzeichen und Warnungen. Die Erscheinung des Totemtieres in der Nähe eines Hauses wurde häufig als Ankündigung eines Todesfalles angesehen. Der Totem war gekommen, seinen Verwandten zu holen </w:t>
      </w:r>
      <w:hyperlink r:id="rId62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Also wie die weiße Frau mancher Adelsgeschlechter.</w:t>
        </w:r>
      </w:hyperlink>
      <w:r w:rsidRPr="00751AC0">
        <w:rPr>
          <w:rFonts w:ascii="Garamond" w:hAnsi="Garamond"/>
          <w:color w:val="000000"/>
          <w:lang w:val="en-GB"/>
        </w:rPr>
        <w:t xml:space="preserve">. Unter verschiedenen bedeutsamen Verhältnissen sucht der Clangenosse seine Verwandtschaft mit dem Totem zu betonen, indem er sich ihm äußerlich ähnlich macht, sich in die Haut des Totemtieres hüllt, sich das Bild desselben einritzt u. dgl. Bei den feierlichen Gelegenheiten der Geburt, der Männerweihe, des Begräbnisses wird diese Identifizierung mit dem Totem in Taten und Worten durchgeführt. Tänze, bei denen alle Genossen des Stammes sich in ihren Totem verkleiden und wie er gebärden, dienen mannigfaltigen magischen und religiösen Absichten. Endlich gibt es Zeremonien, bei denen das Totemtier in feierlicher Weise getötet wird </w:t>
      </w:r>
      <w:hyperlink r:id="rId62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Bd. 1, p. 45). – S. unten die Erörterung über das Opfer.</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soziale Seite des Totemismus prägt sich vor allem in einem streng gehaltenen Gebot und in einer großartigen Einschränkung aus. Die Mitglieder eines Totemclans sind Brüder und Schwestern, verpflichtet, einander zu helfen und zu beschützen; im Falle der Tötung eines Clangenossen durch einen Fremden haftet der ganze Stamm des Täters für die Bluttat, und der Clan des Gemordeten fühlt sich solidarisch in der Forderung nach Sühne für das vergossene Blut. Die Totembande sind stärker als die Familienbande in unserem Sinne; sie fallen mit diesen nicht zusammen, da die Übertragung des Totem in der Regel durch mütterliche Vererbung geschieht und ursprünglich die väterliche Vererbung vielleicht überhaupt nicht in Geltung war.</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entsprechende Tabubeschränkung aber besteht in dem Verbot, daß Mitglieder desselben Totemclans einander nicht heiraten und überhaupt nicht in Sexualverkehr miteinander treten dürfen. Dies ist die berühmte und rätselhafte, mit dem Totemismus verknüpfte </w:t>
      </w:r>
      <w:r w:rsidRPr="00751AC0">
        <w:rPr>
          <w:rFonts w:ascii="Garamond" w:hAnsi="Garamond"/>
          <w:i/>
          <w:iCs/>
          <w:color w:val="000000"/>
          <w:lang w:val="en-GB"/>
        </w:rPr>
        <w:t>Exogamie</w:t>
      </w:r>
      <w:r w:rsidRPr="00751AC0">
        <w:rPr>
          <w:rFonts w:ascii="Garamond" w:hAnsi="Garamond"/>
          <w:color w:val="000000"/>
          <w:lang w:val="en-GB"/>
        </w:rPr>
        <w:t xml:space="preserve">. Wir haben ihr die ganze erste Abhandlung dieser Reihe gewidmet und brauchen darum hier nur anzuführen, daß sie der verschärften Inzestscheu der Primitiven entspringt, daß sie als Sicherung gegen Inzest bei Gruppenehe vollkommen verständlich würde und daß sie zunächst die Inzestverhütung für die jüngere Generation besorgt und erst in weiterer Ausbildung auch der älteren Generation zum Hindernis wird </w:t>
      </w:r>
      <w:hyperlink r:id="rId62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S. die erste Abhandlung.</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An diese Darstellung des Totemismus bei Frazer, eine der frühesten in der Literatur des Gegenstandes, will ich nun einige Auszüge aus einer der letzten Zusammenfassungen anschließen. In den 1912 erschienenen </w:t>
      </w:r>
      <w:r w:rsidRPr="00751AC0">
        <w:rPr>
          <w:rFonts w:ascii="Garamond" w:hAnsi="Garamond"/>
          <w:i/>
          <w:iCs/>
          <w:color w:val="000000"/>
          <w:lang w:val="en-GB"/>
        </w:rPr>
        <w:t>Elementen der Völkerpsychologie</w:t>
      </w:r>
      <w:r w:rsidRPr="00751AC0">
        <w:rPr>
          <w:rFonts w:ascii="Garamond" w:hAnsi="Garamond"/>
          <w:color w:val="000000"/>
          <w:lang w:val="en-GB"/>
        </w:rPr>
        <w:t xml:space="preserve"> sagt W. Wundt </w:t>
      </w:r>
      <w:hyperlink r:id="rId62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p. 116</w:t>
        </w:r>
      </w:hyperlink>
      <w:r w:rsidRPr="00751AC0">
        <w:rPr>
          <w:rFonts w:ascii="Garamond" w:hAnsi="Garamond"/>
          <w:color w:val="000000"/>
          <w:lang w:val="en-GB"/>
        </w:rPr>
        <w:t xml:space="preserve">: »Das Totemtier gilt als Ahnentier der betreffenden Gruppe. ›Totem‹ ist also einerseits Gruppen-, anderseits Abstammungsname, und in letzterer Beziehung hat dieser Name zugleich eine mythologische Bedeutung. Alle diese Verwendungen des Begriffes spielen aber ineinander, und die einzelnen dieser Bedeutungen können zurücktreten, so daß in manchen Fällen die Totems fast zu einer bloßen Nomenklatur der Stammesabteilungen geworden sind, während in anderen die Vorstellung der Abstammung oder aber auch die kultische Bedeutung des Totems im Vordergrund steht ...« Der Begriff des Totem wird für die </w:t>
      </w:r>
      <w:r w:rsidRPr="00751AC0">
        <w:rPr>
          <w:rFonts w:ascii="Garamond" w:hAnsi="Garamond"/>
          <w:i/>
          <w:iCs/>
          <w:color w:val="000000"/>
          <w:lang w:val="en-GB"/>
        </w:rPr>
        <w:t>Stammesgliederung</w:t>
      </w:r>
      <w:r w:rsidRPr="00751AC0">
        <w:rPr>
          <w:rFonts w:ascii="Garamond" w:hAnsi="Garamond"/>
          <w:color w:val="000000"/>
          <w:lang w:val="en-GB"/>
        </w:rPr>
        <w:t xml:space="preserve"> und </w:t>
      </w:r>
      <w:r w:rsidRPr="00751AC0">
        <w:rPr>
          <w:rFonts w:ascii="Garamond" w:hAnsi="Garamond"/>
          <w:i/>
          <w:iCs/>
          <w:color w:val="000000"/>
          <w:lang w:val="en-GB"/>
        </w:rPr>
        <w:t>Stammesorganisation</w:t>
      </w:r>
      <w:r w:rsidRPr="00751AC0">
        <w:rPr>
          <w:rFonts w:ascii="Garamond" w:hAnsi="Garamond"/>
          <w:color w:val="000000"/>
          <w:lang w:val="en-GB"/>
        </w:rPr>
        <w:t xml:space="preserve"> maßgebend. »Mit diesen Normen und mit ihrer Befestigung im </w:t>
      </w:r>
      <w:r w:rsidRPr="00751AC0">
        <w:rPr>
          <w:rFonts w:ascii="Garamond" w:hAnsi="Garamond"/>
          <w:color w:val="000000"/>
          <w:lang w:val="en-GB"/>
        </w:rPr>
        <w:lastRenderedPageBreak/>
        <w:t xml:space="preserve">Glauben und Fühlen der Stammesgenossen hängt es zusammen, daß man das Totemtier ursprünglich jedenfalls nicht bloß als einen Namen für eine Gruppe von Stammesgliedern betrachtete, sondern daß das Tier meist als Stammvater der betreffenden Abteilung gilt ... </w:t>
      </w:r>
      <w:r w:rsidRPr="00751AC0">
        <w:rPr>
          <w:rFonts w:ascii="Garamond" w:hAnsi="Garamond"/>
          <w:color w:val="000000"/>
        </w:rPr>
        <w:t xml:space="preserve">Damit hängt dann zusammen, daß diese Tierahnen einen Kult genießen ... Dieser Tierkult äußert sich ursprünglich, abgesehen von bestimmten Zeremonien und zeremoniellen Festen, vor allem in dem Verhalten gegenüber dem Totemtier: nicht nur ein einzelnes Tier, sondern jeder Repräsentant der gleichen Spezies ist in gewissem Grade ein geheiligtes Tier, es ist den Totemgenossen verboten oder nur unter gewissen Umständen erlaubt, das Fleisch des Totemtieres zu genießen. </w:t>
      </w:r>
      <w:r w:rsidRPr="00751AC0">
        <w:rPr>
          <w:rFonts w:ascii="Garamond" w:hAnsi="Garamond"/>
          <w:color w:val="000000"/>
          <w:lang w:val="en-GB"/>
        </w:rPr>
        <w:t>Dem entspricht die in solchem Zusammenhange bedeutsame Gegenerscheinung, daß unter gewissen Bedingungen eine Art von zeremoniellem Genuß des Totemfleisches stattfindet ...«</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 Die wichtigste soziale Seite dieser totemistischen Stammesgliederung besteht aber darin, daß mit ihr bestimmte Normen der Sitte für den Verkehr der Gruppen untereinander verbunden sind. Unter diesen Normen stehen in erster Linie die für den Eheverkehr. So hängt diese Stammesgliederung mit einer wichtigen Erscheinung zusammen, die zum erstenmal im totemistischen Zeitalter auftritt: mit der </w:t>
      </w:r>
      <w:r w:rsidRPr="00751AC0">
        <w:rPr>
          <w:rFonts w:ascii="Garamond" w:hAnsi="Garamond"/>
          <w:i/>
          <w:iCs/>
          <w:color w:val="000000"/>
          <w:lang w:val="en-GB"/>
        </w:rPr>
        <w:t>Exogamie</w:t>
      </w:r>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Wenn wir durch all das hindurch, was späterer Fortbildung oder Abschwächung entsprechen mag, zu einer Charakteristik des ursprünglichen Totemismus gelangen wollen, so ergeben sich uns folgende wesentliche Züge: </w:t>
      </w:r>
      <w:r w:rsidRPr="00751AC0">
        <w:rPr>
          <w:rFonts w:ascii="Garamond" w:hAnsi="Garamond"/>
          <w:i/>
          <w:iCs/>
          <w:color w:val="000000"/>
          <w:lang w:val="en-GB"/>
        </w:rPr>
        <w:t>Die Totem waren ursprünglich nur Tiere, sie galten als die Ahnen der einzelnen Stämme. Der Totem vererbte sich nur in weiblicher Linie; es war verboten, den Totem zu töten</w:t>
      </w:r>
      <w:r w:rsidRPr="00751AC0">
        <w:rPr>
          <w:rFonts w:ascii="Garamond" w:hAnsi="Garamond"/>
          <w:color w:val="000000"/>
          <w:lang w:val="en-GB"/>
        </w:rPr>
        <w:t xml:space="preserve"> (oder </w:t>
      </w:r>
      <w:r w:rsidRPr="00751AC0">
        <w:rPr>
          <w:rFonts w:ascii="Garamond" w:hAnsi="Garamond"/>
          <w:i/>
          <w:iCs/>
          <w:color w:val="000000"/>
          <w:lang w:val="en-GB"/>
        </w:rPr>
        <w:t>zu essen</w:t>
      </w:r>
      <w:r w:rsidRPr="00751AC0">
        <w:rPr>
          <w:rFonts w:ascii="Garamond" w:hAnsi="Garamond"/>
          <w:color w:val="000000"/>
          <w:lang w:val="en-GB"/>
        </w:rPr>
        <w:t xml:space="preserve">, was für primitive Verhältnisse zusammenfällt); </w:t>
      </w:r>
      <w:r w:rsidRPr="00751AC0">
        <w:rPr>
          <w:rFonts w:ascii="Garamond" w:hAnsi="Garamond"/>
          <w:i/>
          <w:iCs/>
          <w:color w:val="000000"/>
          <w:lang w:val="en-GB"/>
        </w:rPr>
        <w:t>es war den Totemgenossen verboten, Sexualverkehr miteinander zu pflegen</w:t>
      </w:r>
      <w:hyperlink r:id="rId62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Übereinstimmend mit diesem Text lautet das Fazit des Totemismus, welches Frazer in seiner zweiten Arbeit über den Gegenstand (›The Origin of Totemisms </w:t>
        </w:r>
        <w:r w:rsidRPr="00751AC0">
          <w:rPr>
            <w:rStyle w:val="innerfusslink3"/>
            <w:rFonts w:ascii="Garamond" w:hAnsi="Garamond" w:cs="Arial"/>
            <w:b/>
            <w:bCs/>
            <w:i/>
            <w:iCs/>
            <w:lang w:val="en-GB"/>
          </w:rPr>
          <w:t>Fortnightly Review</w:t>
        </w:r>
        <w:r w:rsidRPr="00751AC0">
          <w:rPr>
            <w:rStyle w:val="innerfusslink3"/>
            <w:rFonts w:ascii="Garamond" w:hAnsi="Garamond" w:cs="Arial"/>
            <w:b/>
            <w:bCs/>
            <w:lang w:val="en-GB"/>
          </w:rPr>
          <w:t xml:space="preserve"> 1899) zieht: » </w:t>
        </w:r>
        <w:r w:rsidRPr="00751AC0">
          <w:rPr>
            <w:rStyle w:val="innerfusslink3"/>
            <w:rFonts w:ascii="Garamond" w:hAnsi="Garamond" w:cs="Arial"/>
            <w:b/>
            <w:bCs/>
            <w:i/>
            <w:iCs/>
            <w:lang w:val="en-GB"/>
          </w:rPr>
          <w:t>Thus, Totemism has commonly been treated as a primitive system both of religion and of Society. As a System of religion it embraces the mystic union of the savage with his totem; as a System of Society it comprises the relations in which men and women of the same totem stand to each other and to the members of other totemic groups. And corresponding to these two sides of the System are two rough and ready tests or canons of Totemism: first, the rule that a man may not kill or eat his totem animal or plant; and second the rule that he may not marry or cohabit with a woman of the same totem.</w:t>
        </w:r>
        <w:r w:rsidRPr="00751AC0">
          <w:rPr>
            <w:rStyle w:val="innerfusslink3"/>
            <w:rFonts w:ascii="Garamond" w:hAnsi="Garamond" w:cs="Arial"/>
            <w:b/>
            <w:bCs/>
            <w:lang w:val="en-GB"/>
          </w:rPr>
          <w:t xml:space="preserve">« Frazer fügt dann hinzu, was uns mitten in die Diskussionen über den Totemismus hineinführt: » </w:t>
        </w:r>
        <w:r w:rsidRPr="00751AC0">
          <w:rPr>
            <w:rStyle w:val="innerfusslink3"/>
            <w:rFonts w:ascii="Garamond" w:hAnsi="Garamond" w:cs="Arial"/>
            <w:b/>
            <w:bCs/>
            <w:i/>
            <w:iCs/>
            <w:lang w:val="en-GB"/>
          </w:rPr>
          <w:t>Whether the two sides – the religious and the social – have always co-existed or are essentially independent, is a question which has been variously answered.</w:t>
        </w:r>
        <w:r w:rsidRPr="00751AC0">
          <w:rPr>
            <w:rStyle w:val="innerfusslink3"/>
            <w:rFonts w:ascii="Garamond" w:hAnsi="Garamond" w:cs="Arial"/>
            <w:b/>
            <w:bCs/>
            <w:lang w:val="en-GB"/>
          </w:rPr>
          <w:t>«</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Es darf uns nun auffallen, daß in dem </w:t>
      </w:r>
      <w:r w:rsidRPr="00751AC0">
        <w:rPr>
          <w:rFonts w:ascii="Garamond" w:hAnsi="Garamond"/>
          <w:i/>
          <w:iCs/>
          <w:color w:val="000000"/>
        </w:rPr>
        <w:t>Code du totemisme</w:t>
      </w:r>
      <w:r w:rsidRPr="00751AC0">
        <w:rPr>
          <w:rFonts w:ascii="Garamond" w:hAnsi="Garamond"/>
          <w:color w:val="000000"/>
        </w:rPr>
        <w:t>, den Reinach aufgestellt hat, das eine der Haupttabu, das der Exogamie, überhaupt nicht vorkommt, während die Voraussetzung des zweiten, die Abstammung vom Totemtier, nur eine beiläufige Erwähnung findet. Ich habe aber die Darstellung Reinachs, eines um den Gegenstand sehr verdienten Autors, ausgewählt, um auf die Meinungsverschiedenheiten unter den Autoren vorzubereiten, welche uns nun beschäftigen sollen.</w:t>
      </w:r>
    </w:p>
    <w:p w:rsidR="00B6748F" w:rsidRPr="00751AC0" w:rsidRDefault="00B6748F" w:rsidP="00B6748F">
      <w:pPr>
        <w:rPr>
          <w:rFonts w:ascii="Garamond" w:hAnsi="Garamond"/>
          <w:color w:val="000000"/>
        </w:rPr>
      </w:pPr>
      <w:r w:rsidRPr="00751AC0">
        <w:rPr>
          <w:rFonts w:ascii="Garamond" w:hAnsi="Garamond"/>
          <w:color w:val="000000"/>
        </w:rPr>
        <w:t>2</w:t>
      </w:r>
    </w:p>
    <w:p w:rsidR="00B6748F" w:rsidRPr="00B6748F" w:rsidRDefault="00B6748F" w:rsidP="00B6748F">
      <w:pPr>
        <w:rPr>
          <w:rFonts w:ascii="Garamond" w:hAnsi="Garamond"/>
          <w:color w:val="000000"/>
          <w:lang w:val="en-US"/>
        </w:rPr>
      </w:pPr>
      <w:r w:rsidRPr="00751AC0">
        <w:rPr>
          <w:rFonts w:ascii="Garamond" w:hAnsi="Garamond"/>
          <w:color w:val="000000"/>
        </w:rPr>
        <w:t xml:space="preserve">Je unabweisbarer die Einsicht auftrat, daß der Totemismus eine regelmäßige Phase aller Kulturen gebildet habe, desto dringender wurde das Bedürfnis, zu einem Verständnis desselben zu gelangen, die Rätsel seines Wesens aufzuhellen. Rätselhaft ist wohl alles am Totemismus; die entscheidenden Fragen sind die nach der Herkunft der Totemabstammung, nach der Motivierung der Exogamie (respektive des durch sie vertretenen Inzesttabu) und nach der Beziehung zwischen den beiden, der Totemorganisation und dem Inzestverbot. </w:t>
      </w:r>
      <w:r w:rsidRPr="00B6748F">
        <w:rPr>
          <w:rFonts w:ascii="Garamond" w:hAnsi="Garamond"/>
          <w:color w:val="000000"/>
          <w:lang w:val="en-US"/>
        </w:rPr>
        <w:t xml:space="preserve">Das Verständnis sollte in einem ein historisches und ein psychologisches sein, Auskunft </w:t>
      </w:r>
      <w:r w:rsidRPr="00B6748F">
        <w:rPr>
          <w:rFonts w:ascii="Garamond" w:hAnsi="Garamond"/>
          <w:color w:val="000000"/>
          <w:lang w:val="en-US"/>
        </w:rPr>
        <w:lastRenderedPageBreak/>
        <w:t>geben, unter welchen Bedingungen sich diese eigentümliche Institution entwickelt und welchen seelischen Bedürfnissen der Menschen sie Ausdruck gegeben hatte.</w:t>
      </w:r>
    </w:p>
    <w:p w:rsidR="00B6748F" w:rsidRPr="00751AC0" w:rsidRDefault="00B6748F" w:rsidP="00B6748F">
      <w:pPr>
        <w:rPr>
          <w:rFonts w:ascii="Garamond" w:hAnsi="Garamond"/>
          <w:color w:val="000000"/>
          <w:lang w:val="en-GB"/>
        </w:rPr>
      </w:pPr>
      <w:r w:rsidRPr="00B6748F">
        <w:rPr>
          <w:rFonts w:ascii="Garamond" w:hAnsi="Garamond"/>
          <w:color w:val="000000"/>
          <w:lang w:val="en-US"/>
        </w:rPr>
        <w:t xml:space="preserve">Meine Leser werden nun gewiß erstaunt sein zu hören, von wie verschiedenen Gesichtspunkten her die Beantwortung dieser Fragen versucht wurde und wie weit die Meinungen der sachkundigen Forscher hierüber auseinandergehen. </w:t>
      </w:r>
      <w:r w:rsidRPr="00751AC0">
        <w:rPr>
          <w:rFonts w:ascii="Garamond" w:hAnsi="Garamond"/>
          <w:color w:val="000000"/>
          <w:lang w:val="en-GB"/>
        </w:rPr>
        <w:t xml:space="preserve">Es steht so ziemlich alles in Frage, was man allgemein über Totemismus und Exogamie behaupten möchte; auch das vorangeschickte, aus einer von Frazer 1887 veröffentlichten Schrift geschöpfte Bild kann der Kritik nicht entgehen, eine willkürliche Vorliebe des Referenten auszudrücken, und würde heute von Frazer selbst, der seine Ansichten über den Gegenstand wiederholt geändert hat, beanständet werden </w:t>
      </w:r>
      <w:hyperlink r:id="rId62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Anläßlich einer solchen Sinnesänderung schrieb er den schönen Satz nieder: » </w:t>
        </w:r>
        <w:r w:rsidRPr="00751AC0">
          <w:rPr>
            <w:rStyle w:val="innerfusslink3"/>
            <w:rFonts w:ascii="Garamond" w:hAnsi="Garamond" w:cs="Arial"/>
            <w:b/>
            <w:bCs/>
            <w:i/>
            <w:iCs/>
            <w:lang w:val="en-GB"/>
          </w:rPr>
          <w:t>That my conclusions on these difftcult questions are final, I am not so foolish as to pretend. I have changed my views repeatedly, and I am resolved to change them again with every change of the evidence, for like a chameleon, the candid enquirer should shift his colours with the shifting colours of the ground he treads.</w:t>
        </w:r>
        <w:r w:rsidRPr="00751AC0">
          <w:rPr>
            <w:rStyle w:val="innerfusslink3"/>
            <w:rFonts w:ascii="Garamond" w:hAnsi="Garamond" w:cs="Arial"/>
            <w:b/>
            <w:bCs/>
            <w:lang w:val="en-GB"/>
          </w:rPr>
          <w:t xml:space="preserve">« Vorrede zum I. Band von </w:t>
        </w:r>
        <w:r w:rsidRPr="00751AC0">
          <w:rPr>
            <w:rStyle w:val="innerfusslink3"/>
            <w:rFonts w:ascii="Garamond" w:hAnsi="Garamond" w:cs="Arial"/>
            <w:b/>
            <w:bCs/>
            <w:i/>
            <w:iCs/>
            <w:lang w:val="en-GB"/>
          </w:rPr>
          <w:t>Totemism and Exogamy</w:t>
        </w:r>
        <w:r w:rsidRPr="00751AC0">
          <w:rPr>
            <w:rStyle w:val="innerfusslink3"/>
            <w:rFonts w:ascii="Garamond" w:hAnsi="Garamond" w:cs="Arial"/>
            <w:b/>
            <w:bCs/>
            <w:lang w:val="en-GB"/>
          </w:rPr>
          <w:t xml:space="preserve"> (1910).</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ist eine naheliegende Annahme, daß man das Wesen des Totemismus und der Exogamie am ehesten erfassen könnte, wenn man den Ursprüngen der beiden Institutionen näherkäme. Dann ist aber für die Beurteilung der Sachlage die Bemerkung von Andrew Lang nicht zu vergessen, daß auch die primitiven Völker uns diese ursprünglichen Formen der Institutionen und die Bedingungen für deren Entstehung nicht mehr aufbewahrt haben, so daß wir einzig und allein auf Hypothesen angewiesen bleiben, um die mangelnde Beobachtung zu ersetzen </w:t>
      </w:r>
      <w:hyperlink r:id="rId62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By the nature of the case, as the origin of totemism lies far beyond our powers of historical examination or of experiment, we must have recourse as regards this matter to conjecture</w:t>
        </w:r>
        <w:r w:rsidRPr="00751AC0">
          <w:rPr>
            <w:rStyle w:val="innerfusslink3"/>
            <w:rFonts w:ascii="Garamond" w:hAnsi="Garamond" w:cs="Arial"/>
            <w:b/>
            <w:bCs/>
            <w:lang w:val="en-GB"/>
          </w:rPr>
          <w:t xml:space="preserve">«, A. Lang (1905, p. 27). – » </w:t>
        </w:r>
        <w:r w:rsidRPr="00751AC0">
          <w:rPr>
            <w:rStyle w:val="innerfusslink3"/>
            <w:rFonts w:ascii="Garamond" w:hAnsi="Garamond" w:cs="Arial"/>
            <w:b/>
            <w:bCs/>
            <w:i/>
            <w:iCs/>
            <w:lang w:val="en-GB"/>
          </w:rPr>
          <w:t>Nowhere do we see absolutely primitive man, and a totemic system in the making.</w:t>
        </w:r>
        <w:r w:rsidRPr="00751AC0">
          <w:rPr>
            <w:rStyle w:val="innerfusslink3"/>
            <w:rFonts w:ascii="Garamond" w:hAnsi="Garamond" w:cs="Arial"/>
            <w:b/>
            <w:bCs/>
            <w:lang w:val="en-GB"/>
          </w:rPr>
          <w:t>« (Ibid., p. 29.)</w:t>
        </w:r>
      </w:hyperlink>
      <w:r w:rsidRPr="00751AC0">
        <w:rPr>
          <w:rFonts w:ascii="Garamond" w:hAnsi="Garamond"/>
          <w:color w:val="000000"/>
          <w:lang w:val="en-GB"/>
        </w:rPr>
        <w:t xml:space="preserve">. Unter den vorgebrachten Erklärungsversuchen erscheinen einige dem Urteil des Psychologen von vornherein als inadäquat. Sie sind allzu rationell und nehmen auf den Gefühlscharakter der zu erklärenden Dinge keine Rücksicht. Andere ruhen auf Voraussetzungen, denen die Beobachtung die Bestätigung versagt; noch andere berufen sich auf ein Material, welches besser einer anderen Deutung unterworfen werden sollte. Die Widerlegung der verschiedenen Ansichten hat in der Regel wenig Schwierigkeiten; die Autoren sind wie gewöhnlich in der Kritik, die sie aneinander üben, stärker als in ihren eigenen Produktionen. </w:t>
      </w:r>
      <w:r w:rsidRPr="00751AC0">
        <w:rPr>
          <w:rFonts w:ascii="Garamond" w:hAnsi="Garamond"/>
          <w:color w:val="000000"/>
        </w:rPr>
        <w:t xml:space="preserve">Ein </w:t>
      </w:r>
      <w:r w:rsidRPr="00751AC0">
        <w:rPr>
          <w:rFonts w:ascii="Garamond" w:hAnsi="Garamond"/>
          <w:i/>
          <w:iCs/>
          <w:color w:val="000000"/>
        </w:rPr>
        <w:t>Non liquet</w:t>
      </w:r>
      <w:r w:rsidRPr="00751AC0">
        <w:rPr>
          <w:rFonts w:ascii="Garamond" w:hAnsi="Garamond"/>
          <w:color w:val="000000"/>
        </w:rPr>
        <w:t xml:space="preserve"> ist für die meisten der behandelten Punkte das Endergebnis. Es ist daher nicht zu verwundern, wenn in der neuesten, hier meist übergangenen Literatur des Gegenstandes das unverkennbare Bestreben auftritt, eine allgemeine Lösung der totemistischen Probleme als undurchführbar abzuweisen. </w:t>
      </w:r>
      <w:r w:rsidRPr="00751AC0">
        <w:rPr>
          <w:rFonts w:ascii="Garamond" w:hAnsi="Garamond"/>
          <w:color w:val="000000"/>
          <w:lang w:val="en-GB"/>
        </w:rPr>
        <w:t xml:space="preserve">So z. B. Goldenweiser, 1910. (Referat in </w:t>
      </w:r>
      <w:r w:rsidRPr="00751AC0">
        <w:rPr>
          <w:rFonts w:ascii="Garamond" w:hAnsi="Garamond"/>
          <w:i/>
          <w:iCs/>
          <w:color w:val="000000"/>
          <w:lang w:val="en-GB"/>
        </w:rPr>
        <w:t>Britannica Year Book</w:t>
      </w:r>
      <w:r w:rsidRPr="00751AC0">
        <w:rPr>
          <w:rFonts w:ascii="Garamond" w:hAnsi="Garamond"/>
          <w:color w:val="000000"/>
          <w:lang w:val="en-GB"/>
        </w:rPr>
        <w:t xml:space="preserve"> 1913.) Ich habe mir gestattet, bei der Mitteilung dieser einander widerstreitenden Hypothesen von deren Zeitfolge abzusehen.</w:t>
      </w:r>
    </w:p>
    <w:p w:rsidR="00B6748F" w:rsidRPr="00751AC0" w:rsidRDefault="00B6748F" w:rsidP="00B6748F">
      <w:pPr>
        <w:rPr>
          <w:rFonts w:ascii="Garamond" w:hAnsi="Garamond"/>
          <w:caps/>
          <w:color w:val="000000"/>
          <w:lang w:val="en-GB"/>
        </w:rPr>
      </w:pPr>
      <w:r w:rsidRPr="00751AC0">
        <w:rPr>
          <w:rFonts w:ascii="Garamond" w:hAnsi="Garamond"/>
          <w:caps/>
          <w:color w:val="000000"/>
          <w:lang w:val="en-GB"/>
        </w:rPr>
        <w:t>a) Die Herkunft des Totemismus</w:t>
      </w:r>
    </w:p>
    <w:p w:rsidR="00B6748F" w:rsidRPr="00751AC0" w:rsidRDefault="00B6748F" w:rsidP="00B6748F">
      <w:pPr>
        <w:rPr>
          <w:rFonts w:ascii="Garamond" w:hAnsi="Garamond"/>
          <w:color w:val="000000"/>
        </w:rPr>
      </w:pPr>
      <w:r w:rsidRPr="00751AC0">
        <w:rPr>
          <w:rFonts w:ascii="Garamond" w:hAnsi="Garamond"/>
          <w:color w:val="000000"/>
          <w:lang w:val="en-GB"/>
        </w:rPr>
        <w:t xml:space="preserve">Die Frage nach der Entstehung des Totemismus läßt sich auch so formulieren: Wie kamen primitive Menschen dazu, sich (ihre Stämme) nach Tieren, Pflanzen, leblosen Gegenständen zu benennen? </w:t>
      </w:r>
      <w:hyperlink r:id="rId629" w:anchor="#" w:history="1">
        <w:r w:rsidRPr="00751AC0">
          <w:rPr>
            <w:rStyle w:val="fusslink"/>
            <w:rFonts w:ascii="Garamond" w:hAnsi="Garamond" w:cs="Arial"/>
            <w:b/>
            <w:bCs/>
            <w:color w:val="003399"/>
          </w:rPr>
          <w:t>[Fußnote]</w:t>
        </w:r>
        <w:r w:rsidRPr="00751AC0">
          <w:rPr>
            <w:rStyle w:val="innerfusslink3"/>
            <w:rFonts w:ascii="Garamond" w:hAnsi="Garamond" w:cs="Arial"/>
            <w:b/>
            <w:bCs/>
          </w:rPr>
          <w:t>Wahrscheinlich ursprünglich nur nach Tieren.</w:t>
        </w:r>
      </w:hyperlink>
    </w:p>
    <w:p w:rsidR="00B6748F" w:rsidRPr="00B6748F" w:rsidRDefault="00B6748F" w:rsidP="00B6748F">
      <w:pPr>
        <w:rPr>
          <w:rFonts w:ascii="Garamond" w:hAnsi="Garamond"/>
          <w:color w:val="000000"/>
        </w:rPr>
      </w:pPr>
      <w:r w:rsidRPr="00751AC0">
        <w:rPr>
          <w:rFonts w:ascii="Garamond" w:hAnsi="Garamond"/>
          <w:color w:val="000000"/>
        </w:rPr>
        <w:t xml:space="preserve">Der Schotte McLennan, der Totemismus und Exogamie für die Wissenschaft entdeckte (1869–70 und 1865), enthielt sich, eine Ansicht über die Entstehung des Totemismus zu veröffentlichen. Nach einer Mitteilung von A. Lang (1905, 34) war er eine Zeitlang geneigt, den Totemismus auf die Sitte des Tätowierens zurückzuführen. </w:t>
      </w:r>
      <w:r w:rsidRPr="00B6748F">
        <w:rPr>
          <w:rFonts w:ascii="Garamond" w:hAnsi="Garamond"/>
          <w:color w:val="000000"/>
        </w:rPr>
        <w:t xml:space="preserve">Die verlautbarten Theorien zur Ableitung des Totemismus möchte ich in drei Gruppen bringen, als </w:t>
      </w:r>
      <w:r w:rsidRPr="00751AC0">
        <w:rPr>
          <w:rFonts w:ascii="Garamond" w:hAnsi="Garamond"/>
          <w:color w:val="000000"/>
        </w:rPr>
        <w:t>α</w:t>
      </w:r>
      <w:r w:rsidRPr="00B6748F">
        <w:rPr>
          <w:rFonts w:ascii="Garamond" w:hAnsi="Garamond"/>
          <w:color w:val="000000"/>
        </w:rPr>
        <w:t xml:space="preserve">) nominalistische, </w:t>
      </w:r>
      <w:r w:rsidRPr="00751AC0">
        <w:rPr>
          <w:rFonts w:ascii="Garamond" w:hAnsi="Garamond"/>
          <w:color w:val="000000"/>
        </w:rPr>
        <w:t>β</w:t>
      </w:r>
      <w:r w:rsidRPr="00B6748F">
        <w:rPr>
          <w:rFonts w:ascii="Garamond" w:hAnsi="Garamond"/>
          <w:color w:val="000000"/>
        </w:rPr>
        <w:t xml:space="preserve">) soziologische, </w:t>
      </w:r>
      <w:r w:rsidRPr="00751AC0">
        <w:rPr>
          <w:rFonts w:ascii="Garamond" w:hAnsi="Garamond"/>
          <w:color w:val="000000"/>
        </w:rPr>
        <w:t>γ</w:t>
      </w:r>
      <w:r w:rsidRPr="00B6748F">
        <w:rPr>
          <w:rFonts w:ascii="Garamond" w:hAnsi="Garamond"/>
          <w:color w:val="000000"/>
        </w:rPr>
        <w:t>) psychologische.</w:t>
      </w:r>
    </w:p>
    <w:p w:rsidR="00B6748F" w:rsidRPr="00751AC0" w:rsidRDefault="00B6748F" w:rsidP="00B6748F">
      <w:pPr>
        <w:rPr>
          <w:rFonts w:ascii="Garamond" w:hAnsi="Garamond"/>
          <w:color w:val="000000"/>
          <w:lang w:val="en-GB"/>
        </w:rPr>
      </w:pPr>
      <w:r w:rsidRPr="00751AC0">
        <w:rPr>
          <w:rFonts w:ascii="Garamond" w:hAnsi="Garamond"/>
          <w:color w:val="000000"/>
        </w:rPr>
        <w:t>α</w:t>
      </w:r>
      <w:r w:rsidRPr="00751AC0">
        <w:rPr>
          <w:rFonts w:ascii="Garamond" w:hAnsi="Garamond"/>
          <w:color w:val="000000"/>
          <w:lang w:val="en-GB"/>
        </w:rPr>
        <w:t>) Die nominalistischen Theorien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Die Mitteilungen über diese Theorien werden deren Zusammenfassung unter dem von mir gebrachten Titel rechtfertigen.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Schon Garcilaso de la Vega, ein Abkömmling der peruanischen Inka, der im 17. Jahrhundert die Geschichte seines Volkes schrieb, soll, was ihm von totemistischen Phänomenen bekannt war, auf das Bedürfnis der Stämme, sich durch Namen voneinander zu unterscheiden, zurückgeführt haben </w:t>
      </w:r>
      <w:hyperlink r:id="rId63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Nach Lang, 1905, p. 34.</w:t>
        </w:r>
      </w:hyperlink>
      <w:r w:rsidRPr="00751AC0">
        <w:rPr>
          <w:rFonts w:ascii="Garamond" w:hAnsi="Garamond"/>
          <w:color w:val="000000"/>
          <w:lang w:val="en-GB"/>
        </w:rPr>
        <w:t xml:space="preserve">. Derselbe Gedanke taucht Jahrhunderte später in der Ethnology von A. H. Keane auf: Die Totem seien aus » </w:t>
      </w:r>
      <w:r w:rsidRPr="00751AC0">
        <w:rPr>
          <w:rFonts w:ascii="Garamond" w:hAnsi="Garamond"/>
          <w:i/>
          <w:iCs/>
          <w:color w:val="000000"/>
          <w:lang w:val="en-GB"/>
        </w:rPr>
        <w:t>heraldic badges</w:t>
      </w:r>
      <w:r w:rsidRPr="00751AC0">
        <w:rPr>
          <w:rFonts w:ascii="Garamond" w:hAnsi="Garamond"/>
          <w:color w:val="000000"/>
          <w:lang w:val="en-GB"/>
        </w:rPr>
        <w:t xml:space="preserve">« (Wappenabzeichen) hervorgegangen, durch die Individuen, Familien und Stämme sich voneinander unterscheiden wollten. </w:t>
      </w:r>
      <w:hyperlink r:id="rId63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Ibid.</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Max Müller äußerte dieselbe Ansicht über die Bedeutung der Totem in seinen </w:t>
      </w:r>
      <w:r w:rsidRPr="00751AC0">
        <w:rPr>
          <w:rFonts w:ascii="Garamond" w:hAnsi="Garamond"/>
          <w:i/>
          <w:iCs/>
          <w:color w:val="000000"/>
          <w:lang w:val="en-GB"/>
        </w:rPr>
        <w:t>Contributions to the Science of Mythology</w:t>
      </w:r>
      <w:r w:rsidRPr="00751AC0">
        <w:rPr>
          <w:rFonts w:ascii="Garamond" w:hAnsi="Garamond"/>
          <w:color w:val="000000"/>
          <w:lang w:val="en-GB"/>
        </w:rPr>
        <w:t xml:space="preserve">. </w:t>
      </w:r>
      <w:hyperlink r:id="rId632" w:anchor="#" w:history="1">
        <w:r w:rsidRPr="00751AC0">
          <w:rPr>
            <w:rStyle w:val="fusslink"/>
            <w:rFonts w:ascii="Garamond" w:hAnsi="Garamond" w:cs="Arial"/>
            <w:b/>
            <w:bCs/>
            <w:color w:val="003399"/>
          </w:rPr>
          <w:t>[Fußnote]</w:t>
        </w:r>
        <w:r w:rsidRPr="00751AC0">
          <w:rPr>
            <w:rStyle w:val="innerfusslink3"/>
            <w:rFonts w:ascii="Garamond" w:hAnsi="Garamond" w:cs="Arial"/>
            <w:b/>
            <w:bCs/>
          </w:rPr>
          <w:t>Nach A. Lang.</w:t>
        </w:r>
      </w:hyperlink>
      <w:r w:rsidRPr="00751AC0">
        <w:rPr>
          <w:rFonts w:ascii="Garamond" w:hAnsi="Garamond"/>
          <w:color w:val="000000"/>
        </w:rPr>
        <w:t xml:space="preserve"> Ein Totem sei: 1. ein Clanabzeichen, 2. ein Clanname, 3. der Name des Ahnherrn des Clan, 4. der Name des vom Clan verehrten Gegenstandes. </w:t>
      </w:r>
      <w:r w:rsidRPr="00751AC0">
        <w:rPr>
          <w:rFonts w:ascii="Garamond" w:hAnsi="Garamond"/>
          <w:color w:val="000000"/>
          <w:lang w:val="en-GB"/>
        </w:rPr>
        <w:t xml:space="preserve">Später J. Pikler (1899): »Die Menschen bedurften eines bleibenden, schriftlich fixierbaren Namens für Gemeinschaften und Individuen ... So entspringt also der Totemismus nicht aus dem religiösen, sondern aus dem nüchternen Alltagsbedürfnis der Menschheit. Der Kern des Totemismus, die Benennung, ist eine Folge der primitiven Schrifttechnik. Der Charakter der Totem ist auch der von leicht darstellbaren Schriftzeichen. Wenn die Wilden aber erst den Namen eines Tieres trugen, so leiteten sie daraus die Idee einer Verwandtschaft mit diesem Tiere ab.« </w:t>
      </w:r>
      <w:hyperlink r:id="rId63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Pikler und Somló. Die Autoren kennzeichnen ihren Erklärungsversuch mit Recht als »Beitrag zur materialistischen Geschichtstheorie«.</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Herbert Spencer </w:t>
      </w:r>
      <w:hyperlink r:id="rId63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1870, I. Bd., §§ 169 bis 176</w:t>
        </w:r>
      </w:hyperlink>
      <w:r w:rsidRPr="00751AC0">
        <w:rPr>
          <w:rFonts w:ascii="Garamond" w:hAnsi="Garamond"/>
          <w:color w:val="000000"/>
          <w:lang w:val="en-GB"/>
        </w:rPr>
        <w:t xml:space="preserve"> legte gleichfalls der Namengebung die entscheidende Bedeutung für die Entstehung des Totemismus bei. Einzelne Individuen, führte er aus, hätten durch ihre Eigenschaften herausgefordert, sie nach Tieren zu benennen, und seien so zu Ehrennamen oder Spitznamen gekommen, welche sich auf ihre Nachkommen fortsetzten. Infolge der Unbestimmtheit und Unverständlichkeit der primitiven Sprachen seien diese Namen von den späteren Generationen so aufgefaßt worden, als seien sie ein Zeugnis für ihre Abstammung von diesen Tieren selbst. Der Totemismus hätte sich so als mißverständliche Ahnenverehrung ergeben.</w:t>
      </w:r>
    </w:p>
    <w:p w:rsidR="00B6748F" w:rsidRPr="00751AC0" w:rsidRDefault="00B6748F" w:rsidP="00B6748F">
      <w:pPr>
        <w:rPr>
          <w:rFonts w:ascii="Garamond" w:hAnsi="Garamond"/>
          <w:color w:val="000000"/>
          <w:lang w:val="en-GB"/>
        </w:rPr>
      </w:pPr>
      <w:r w:rsidRPr="00751AC0">
        <w:rPr>
          <w:rFonts w:ascii="Garamond" w:hAnsi="Garamond"/>
          <w:color w:val="000000"/>
          <w:lang w:val="en-GB"/>
        </w:rPr>
        <w:t>Ganz ähnlich, obwohl ohne Hervorhebung des Mißverständnisses hat Lord Avebury (bekannter unter seinem früheren Namen Sir John Lubbock) die Entstehung des Totemismus beurteilt: Wenn wir die Tierverehrung erklären wollen, dürfen wir nicht daran vergessen, wie häufig die menschlichen Namen von den Tieren entlehnt werden. Die Kinder und das Gefolge eines Mannes, der Bär oder Löwe genannt wurde, machten daraus natürlich einen Stammesnamen. Daraus ergab sich, daß das Tier selbst zu einer gewissen Achtung und endlich Verehrung gelangte.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Einen, wie es scheint, unwiderleglichen Einwand gegen solche Zurückführung der Totemnamen auf die Namen von Individuen hat Fison vorgebracht </w:t>
      </w:r>
      <w:hyperlink r:id="rId63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Kamilaroi and Kurmai, p. 165, 1880 (nach A. Lang, Secret etc.).</w:t>
        </w:r>
      </w:hyperlink>
      <w:r w:rsidRPr="00751AC0">
        <w:rPr>
          <w:rFonts w:ascii="Garamond" w:hAnsi="Garamond"/>
          <w:color w:val="000000"/>
          <w:lang w:val="en-GB"/>
        </w:rPr>
        <w:t xml:space="preserve"> Er zeigt an den Verhältnissen von Australien, daß der Totem stets das Merkzeichen einer Gruppe von Menschen, nie eines einzelnen ist. Wäre es aber anders und der Totem ursprünglich der Name eines einzelnen Menschen, so könnte er bei dem System der mütterlichen Vererbung nie auf dessen Kinder übergehen.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bisher mitgeteilten Theorien sind übrigens in offenkundiger Weise unzureichend. Sie erklären etwa die Tatsache der Tiernamen für die Stämme der Primitiven, aber niemals die Bedeutung, welche diese Namengebung für sie gewonnen hat, das totemistische System. Die beachtenswerteste Theorie dieser Gruppe ist die von A. Lang in seinen Büchern </w:t>
      </w:r>
      <w:r w:rsidRPr="00751AC0">
        <w:rPr>
          <w:rFonts w:ascii="Garamond" w:hAnsi="Garamond"/>
          <w:i/>
          <w:iCs/>
          <w:color w:val="000000"/>
          <w:lang w:val="en-GB"/>
        </w:rPr>
        <w:t>Social Origins</w:t>
      </w:r>
      <w:r w:rsidRPr="00751AC0">
        <w:rPr>
          <w:rFonts w:ascii="Garamond" w:hAnsi="Garamond"/>
          <w:color w:val="000000"/>
          <w:lang w:val="en-GB"/>
        </w:rPr>
        <w:t xml:space="preserve"> 1903 und </w:t>
      </w:r>
      <w:r w:rsidRPr="00751AC0">
        <w:rPr>
          <w:rFonts w:ascii="Garamond" w:hAnsi="Garamond"/>
          <w:i/>
          <w:iCs/>
          <w:color w:val="000000"/>
          <w:lang w:val="en-GB"/>
        </w:rPr>
        <w:t>The Secret of the Totem</w:t>
      </w:r>
      <w:r w:rsidRPr="00751AC0">
        <w:rPr>
          <w:rFonts w:ascii="Garamond" w:hAnsi="Garamond"/>
          <w:color w:val="000000"/>
          <w:lang w:val="en-GB"/>
        </w:rPr>
        <w:t xml:space="preserve"> 1905 entwickelte. Sie macht immer noch die Namengebung zum Kern des Problems, aber sie verarbeitet zwei interessante psychologische Momente und beansprucht so, das Rätsel des Totemismus der endgültigen Lösung zugeführt zu haben.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A. Lang meint, es sei zunächst gleichgültig, auf welche Weise die Clans zu ihren Tiernamen gekommen seien. Man wolle nur annehmen, sie erwachten eines Tages zum Bewußtsein, daß sie solche tragen, und wußten sich keine Rechenschaft zu geben, woher. </w:t>
      </w:r>
      <w:r w:rsidRPr="00751AC0">
        <w:rPr>
          <w:rFonts w:ascii="Garamond" w:hAnsi="Garamond"/>
          <w:i/>
          <w:iCs/>
          <w:color w:val="000000"/>
          <w:lang w:val="en-GB"/>
        </w:rPr>
        <w:t>Der Ursprung dieser Namen sei vergessen.</w:t>
      </w:r>
      <w:r w:rsidRPr="00751AC0">
        <w:rPr>
          <w:rFonts w:ascii="Garamond" w:hAnsi="Garamond"/>
          <w:color w:val="000000"/>
          <w:lang w:val="en-GB"/>
        </w:rPr>
        <w:t xml:space="preserve"> Dann würden sie versuchen, sich durch Spekulation Auskunft darüber zu schaffen, und bei ihren Überzeugungen von der Bedeutung der Namen müßten sie notwendigerweise zu all den Ideen kommen, die im totemistischen System enthalten sind. Namen sind für die Primitiven – wie für die heutigen Wilden und selbst für unsere Kinder </w:t>
      </w:r>
      <w:hyperlink r:id="rId63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oben die Abhandlung über das Tabu,, S. 71.</w:t>
        </w:r>
      </w:hyperlink>
      <w:r w:rsidRPr="00751AC0">
        <w:rPr>
          <w:rFonts w:ascii="Garamond" w:hAnsi="Garamond"/>
          <w:color w:val="000000"/>
          <w:lang w:val="en-GB"/>
        </w:rPr>
        <w:t xml:space="preserve"> – nicht etwa etwas Gleichgültiges und Konventionelles, wie sie uns erscheinen, sondern etwas Bedeutungsvolles und Wesentliches. </w:t>
      </w:r>
      <w:r w:rsidRPr="00751AC0">
        <w:rPr>
          <w:rFonts w:ascii="Garamond" w:hAnsi="Garamond"/>
          <w:color w:val="000000"/>
        </w:rPr>
        <w:t xml:space="preserve">Der Name eines Menschen ist ein Hauptbestandteil seiner Person, vielleicht ein Stück seiner Seele. </w:t>
      </w:r>
      <w:r w:rsidRPr="00751AC0">
        <w:rPr>
          <w:rFonts w:ascii="Garamond" w:hAnsi="Garamond"/>
          <w:color w:val="000000"/>
          <w:lang w:val="en-GB"/>
        </w:rPr>
        <w:t>Die Gleichnamigkeit mit dem Tiere mußte die Primitiven dazu führen, ein geheimnisvolles und bedeutsames Band zwischen ihren Personen und dieser Tiergattung anzunehmen. Welches Band konnte da anders in Betracht kommen als das der Blutsverwandtschaft? War diese aber infolge der Namensgleichheit einmal angenommen, so ergaben sich aus ihr als direkte Folgen des Bluttabu alle Totemvorschriften mit Einschluß der Exogamie.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 </w:t>
      </w:r>
      <w:r w:rsidRPr="00751AC0">
        <w:rPr>
          <w:rFonts w:ascii="Garamond" w:hAnsi="Garamond"/>
          <w:i/>
          <w:iCs/>
          <w:color w:val="000000"/>
          <w:lang w:val="en-GB"/>
        </w:rPr>
        <w:t>No more than these three things – a group animal name of unknown origin; belief in a transcendental connection between all bearers, human and bestial, of the same name; and belief in the blood superstitions – was needed to give rise to all the totemic creeds and practices, including exogamy.</w:t>
      </w:r>
      <w:r w:rsidRPr="00751AC0">
        <w:rPr>
          <w:rFonts w:ascii="Garamond" w:hAnsi="Garamond"/>
          <w:color w:val="000000"/>
          <w:lang w:val="en-GB"/>
        </w:rPr>
        <w:t>« (Lang, 1905, p. 125)</w:t>
      </w:r>
    </w:p>
    <w:p w:rsidR="00B6748F" w:rsidRPr="00751AC0" w:rsidRDefault="00B6748F" w:rsidP="00B6748F">
      <w:pPr>
        <w:rPr>
          <w:rFonts w:ascii="Garamond" w:hAnsi="Garamond"/>
          <w:color w:val="000000"/>
          <w:lang w:val="en-GB"/>
        </w:rPr>
      </w:pPr>
      <w:r w:rsidRPr="00751AC0">
        <w:rPr>
          <w:rFonts w:ascii="Garamond" w:hAnsi="Garamond"/>
          <w:color w:val="000000"/>
          <w:lang w:val="en-GB"/>
        </w:rPr>
        <w:t>Langs Erklärung ist sozusagen zweizeitig. Sie leitet das totemistische System mit psychologischer Notwendigkeit aus der Tatsache der Totemnamen ab unter der Voraussetzung, daß die Herkunft dieser Namengebung vergessen worden sei. Das andere Stück der Theorie sucht nun den Ursprung dieser Namen aufzuklären; wir werden sehen, daß es von ganz anderem Gepräge ist.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Dies andere Stück der Langschen Theorie entfernt sich nicht wesentlich von den übrigen, die ich »nominalistisch« genannt habe. Das praktische Bedürfnis nach Unterscheidung nötigte die einzelnen Stämme, Namen anzunehmen, und darum ließen sie sich die Namen gefallen, die jedem Stamm von den anderen gegeben wurden. Dies » </w:t>
      </w:r>
      <w:r w:rsidRPr="00751AC0">
        <w:rPr>
          <w:rFonts w:ascii="Garamond" w:hAnsi="Garamond"/>
          <w:i/>
          <w:iCs/>
          <w:color w:val="000000"/>
          <w:lang w:val="en-GB"/>
        </w:rPr>
        <w:t>naming from without</w:t>
      </w:r>
      <w:r w:rsidRPr="00751AC0">
        <w:rPr>
          <w:rFonts w:ascii="Garamond" w:hAnsi="Garamond"/>
          <w:color w:val="000000"/>
          <w:lang w:val="en-GB"/>
        </w:rPr>
        <w:t xml:space="preserve">« ist die Eigentümlichkeit der Langschen Konstruktion. Daß die Namen, die so zustande kamen, von Tieren entlehnt waren, ist nicht weiter auffällig und braucht von den Primitiven nicht als Schimpf oder Spott empfunden worden zu sein. Übrigens hat Lang die keineswegs vereinzelten Fälle aus späteren Epochen der Geschichte herangezogen, in denen von außen gegebene, ursprünglich als Spott gemeinte Namen von den so Bezeichneten akzeptiert und bereitwillig getragen wurden ( </w:t>
      </w:r>
      <w:r w:rsidRPr="00751AC0">
        <w:rPr>
          <w:rFonts w:ascii="Garamond" w:hAnsi="Garamond"/>
          <w:i/>
          <w:iCs/>
          <w:color w:val="000000"/>
          <w:lang w:val="en-GB"/>
        </w:rPr>
        <w:t>Geusen, Whigs</w:t>
      </w:r>
      <w:r w:rsidRPr="00751AC0">
        <w:rPr>
          <w:rFonts w:ascii="Garamond" w:hAnsi="Garamond"/>
          <w:color w:val="000000"/>
          <w:lang w:val="en-GB"/>
        </w:rPr>
        <w:t xml:space="preserve"> und </w:t>
      </w:r>
      <w:r w:rsidRPr="00751AC0">
        <w:rPr>
          <w:rFonts w:ascii="Garamond" w:hAnsi="Garamond"/>
          <w:i/>
          <w:iCs/>
          <w:color w:val="000000"/>
          <w:lang w:val="en-GB"/>
        </w:rPr>
        <w:t>Tories</w:t>
      </w:r>
      <w:r w:rsidRPr="00751AC0">
        <w:rPr>
          <w:rFonts w:ascii="Garamond" w:hAnsi="Garamond"/>
          <w:color w:val="000000"/>
          <w:lang w:val="en-GB"/>
        </w:rPr>
        <w:t>). Die Annahme, daß die Entstehung dieser Namen im Laufe der Zeit vergessen wurde, verknüpft dies zweite Stück der Langschen Theorie mit dem vorhin dargestellten ersten.</w:t>
      </w:r>
    </w:p>
    <w:p w:rsidR="00B6748F" w:rsidRPr="00751AC0" w:rsidRDefault="00B6748F" w:rsidP="00B6748F">
      <w:pPr>
        <w:rPr>
          <w:rFonts w:ascii="Garamond" w:hAnsi="Garamond"/>
          <w:color w:val="000000"/>
          <w:lang w:val="en-GB"/>
        </w:rPr>
      </w:pPr>
      <w:r w:rsidRPr="00751AC0">
        <w:rPr>
          <w:rFonts w:ascii="Garamond" w:hAnsi="Garamond"/>
          <w:color w:val="000000"/>
        </w:rPr>
        <w:t>β</w:t>
      </w:r>
      <w:r w:rsidRPr="00751AC0">
        <w:rPr>
          <w:rFonts w:ascii="Garamond" w:hAnsi="Garamond"/>
          <w:color w:val="000000"/>
          <w:lang w:val="en-GB"/>
        </w:rPr>
        <w:t>) Die soziologischen Theorien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 Reinach, der den Überbleibseln des totemistischen Systems in Kult und Sitte späterer Perioden erfolgreich nachgespürt, aber von Anfang an das Moment der Abstammung vom Totemtier geringgeschätzt hat, äußert einmal ohne Bedenken, der Totemismus scheine ihm nichts anderes zu sein als » </w:t>
      </w:r>
      <w:r w:rsidRPr="00751AC0">
        <w:rPr>
          <w:rFonts w:ascii="Garamond" w:hAnsi="Garamond"/>
          <w:i/>
          <w:iCs/>
          <w:color w:val="000000"/>
          <w:lang w:val="en-GB"/>
        </w:rPr>
        <w:t>une hypertrophie de l'instinct social</w:t>
      </w:r>
      <w:r w:rsidRPr="00751AC0">
        <w:rPr>
          <w:rFonts w:ascii="Garamond" w:hAnsi="Garamond"/>
          <w:color w:val="000000"/>
          <w:lang w:val="en-GB"/>
        </w:rPr>
        <w:t xml:space="preserve">« </w:t>
      </w:r>
      <w:hyperlink r:id="rId63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Reinach (1905–12, Bd. 1, p. 41).</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rPr>
        <w:t xml:space="preserve">Dieselbe Auffassung scheint das neue Werk von E. Durkheim: </w:t>
      </w:r>
      <w:r w:rsidRPr="00751AC0">
        <w:rPr>
          <w:rFonts w:ascii="Garamond" w:hAnsi="Garamond"/>
          <w:i/>
          <w:iCs/>
          <w:color w:val="000000"/>
        </w:rPr>
        <w:t>Les formes élémentaires de la vie religieuse: Le système totémique en Australie</w:t>
      </w:r>
      <w:r w:rsidRPr="00751AC0">
        <w:rPr>
          <w:rFonts w:ascii="Garamond" w:hAnsi="Garamond"/>
          <w:color w:val="000000"/>
        </w:rPr>
        <w:t xml:space="preserve"> (1912), zu durchziehen. Der Totem ist der sichtbare Repräsentant der sozialen Religion dieser Völker. Er verkörpert die Gemeinschaft, welche der eigentliche Gegenstand der Verehrung ist.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Andere Autoren haben nach näherer Begründung für diese Beteiligung der sozialen Triebe an der Bildung der totemistischen Institutionen gesucht. So hat A. C. Haddon angenommen, daß jeder primitive Stamm ursprünglich von einer besonderen Tier- oder Pflanzenart lebte, vielleicht auch mit diesem Nahrungsmittel </w:t>
      </w:r>
      <w:r w:rsidRPr="00751AC0">
        <w:rPr>
          <w:rFonts w:ascii="Garamond" w:hAnsi="Garamond"/>
          <w:color w:val="000000"/>
          <w:lang w:val="en-GB"/>
        </w:rPr>
        <w:lastRenderedPageBreak/>
        <w:t xml:space="preserve">Handel trieb und ihn anderen Stämmen im Austausch zuführte. So konnte es nicht fehlen, daß der Stamm den anderen unter dem Namen des Tieres, welches für ihn eine so wichtige Rolle spielte, bekannt wurde. Gleichzeitig mußte sich bei diesem Stamm eine besondere Vertrautheit mit dem betreffenden Tier und eine Art von Interesse für dasselbe entwickeln, welches aber auf kein anderes psychisches Motiv als auf das elementarste und dringendste der menschlichen Bedürfnisse, den Hunger, gegründet war </w:t>
      </w:r>
      <w:hyperlink r:id="rId63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Haddon (1902), bei Frazer (1910, Bd. 4, p. 50).</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Die Einwendungen gegen diese rationalste aller Totemtheorien besagen, daß ein solcher Zustand der Ernährung bei den Primitiven nirgends gefunden werde und wahrscheinlich niemals bestanden habe. Die Wilden seien omnivor, und zwar um so mehr, je niedriger sie stehen. Ferner sei es nicht zu verstehen, wie aus solcher ausschließlicher Diät sich ein fast religiöses Verhältnis zu dem Totem entwickelt haben konnte, das in der absoluten Enthaltung von der Vorzugsnahrung gipfelte.</w:t>
      </w:r>
    </w:p>
    <w:p w:rsidR="00B6748F" w:rsidRPr="00751AC0" w:rsidRDefault="00B6748F" w:rsidP="00B6748F">
      <w:pPr>
        <w:rPr>
          <w:rFonts w:ascii="Garamond" w:hAnsi="Garamond"/>
          <w:color w:val="000000"/>
          <w:lang w:val="en-GB"/>
        </w:rPr>
      </w:pPr>
      <w:r w:rsidRPr="00751AC0">
        <w:rPr>
          <w:rFonts w:ascii="Garamond" w:hAnsi="Garamond"/>
          <w:color w:val="000000"/>
          <w:lang w:val="en-GB"/>
        </w:rPr>
        <w:t>Die erste der drei Theorien, welche Frazer über die Entstehung des Totemismus ausgesprochen, war eine psychologische; sie wird an anderer Stelle berichtet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 zweite hier zu besprechende Theorie Frazers entstand unter dem Eindruck der bedeutungsvollen Publikation zweier Forscher über die Eingeborenen von Zentralaustralien.</w:t>
      </w:r>
    </w:p>
    <w:p w:rsidR="00B6748F" w:rsidRPr="00751AC0" w:rsidRDefault="00B6748F" w:rsidP="00B6748F">
      <w:pPr>
        <w:rPr>
          <w:rFonts w:ascii="Garamond" w:hAnsi="Garamond"/>
          <w:color w:val="000000"/>
          <w:lang w:val="en-GB"/>
        </w:rPr>
      </w:pPr>
      <w:r w:rsidRPr="00751AC0">
        <w:rPr>
          <w:rFonts w:ascii="Garamond" w:hAnsi="Garamond"/>
          <w:color w:val="000000"/>
          <w:lang w:val="en-GB"/>
        </w:rPr>
        <w:t>Spencer und Gillen beschrieben bei einer Gruppe von Stämmen, der sogenannten Aruntanation, eine Reihe von eigentümlichen Einrichtungen, Gebräuchen und Ansichten, und Frazer schloß sich ihrem Urteile an, daß diese Besonderheiten als Züge eines primären Zustandes zu betrachten seien und über den ersten und eigentlichen Sinn des Totemismus Aufschluß geben können.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Diese Eigentümlichkeiten sind bei dem Aruntastamm selbst (einem Teil der Aruntanation) folgende:</w:t>
      </w:r>
    </w:p>
    <w:p w:rsidR="00B6748F" w:rsidRPr="00751AC0" w:rsidRDefault="00B6748F" w:rsidP="00B6748F">
      <w:pPr>
        <w:rPr>
          <w:rFonts w:ascii="Garamond" w:hAnsi="Garamond"/>
          <w:color w:val="000000"/>
          <w:lang w:val="en-GB"/>
        </w:rPr>
      </w:pPr>
      <w:r w:rsidRPr="00751AC0">
        <w:rPr>
          <w:rFonts w:ascii="Garamond" w:hAnsi="Garamond"/>
          <w:color w:val="000000"/>
          <w:lang w:val="en-GB"/>
        </w:rPr>
        <w:t>1. Sie haben die Gliederung in Totemclans, aber der Totem wird nicht erblich übertragen, sondern (auf später mitzuteilende Weise) individuell bestimmt.</w:t>
      </w:r>
    </w:p>
    <w:p w:rsidR="00B6748F" w:rsidRPr="00751AC0" w:rsidRDefault="00B6748F" w:rsidP="00B6748F">
      <w:pPr>
        <w:rPr>
          <w:rFonts w:ascii="Garamond" w:hAnsi="Garamond"/>
          <w:color w:val="000000"/>
          <w:lang w:val="en-GB"/>
        </w:rPr>
      </w:pPr>
      <w:r w:rsidRPr="00751AC0">
        <w:rPr>
          <w:rFonts w:ascii="Garamond" w:hAnsi="Garamond"/>
          <w:color w:val="000000"/>
          <w:lang w:val="en-GB"/>
        </w:rPr>
        <w:t>2. Die Totemclans sind nicht exogam, die Heiratsbeschränkungen werden durch eine hochentwickelte Gliederung in Heiratsklassen hergestellt, welche mit den Totem nichts zu tun haben.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3. Die Funktion der Totemclans besteht in der Ausführung einer Zeremonie, welche auf exquisit magische Weise die Vermehrung des eßbaren Totemobjekts bezweckt (diese Zeremonie heißt </w:t>
      </w:r>
      <w:r w:rsidRPr="00751AC0">
        <w:rPr>
          <w:rFonts w:ascii="Garamond" w:hAnsi="Garamond"/>
          <w:i/>
          <w:iCs/>
          <w:color w:val="000000"/>
          <w:lang w:val="en-GB"/>
        </w:rPr>
        <w:t>Intichiuma</w:t>
      </w:r>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4. Die Arunta haben eine eigenartige Konzeptions- und Wiedergeburtstheorie. Sie nehmen an, daß an bestimmten Stellen ihres Landes die Geister der Verstorbenen desselben Totem auf ihre Wiedergeburt warten und in den Leib der Frauen eindringen, die jene Stellen passieren. Wird ein Kind geboren, so gibt die Mutter an, auf welcher Geisterstätte sie ihr Kind empfangen zu haben glaubt. Danach wird der Totem des Kindes bestimmt. Es wird ferner angenommen, daß die Geister (der Verstorbenen wie der Wiedergeborenen) an eigentümliche Steinamulette gebunden sind (namens </w:t>
      </w:r>
      <w:r w:rsidRPr="00751AC0">
        <w:rPr>
          <w:rFonts w:ascii="Garamond" w:hAnsi="Garamond"/>
          <w:i/>
          <w:iCs/>
          <w:color w:val="000000"/>
          <w:lang w:val="en-GB"/>
        </w:rPr>
        <w:t>Churinga</w:t>
      </w:r>
      <w:r w:rsidRPr="00751AC0">
        <w:rPr>
          <w:rFonts w:ascii="Garamond" w:hAnsi="Garamond"/>
          <w:color w:val="000000"/>
          <w:lang w:val="en-GB"/>
        </w:rPr>
        <w:t>), welche an jenen Stätten gefunden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Zwei Momente scheinen Frazer zum Glauben bewogen zu haben, daß man in den Einrichtungen der Arunta die älteste Form des Totemismus aufgefunden habe. Erstens die Existenz gewisser Mythen, welche behaupteten, daß die Ahnen der Arunta sich regelmäßig von ihrem Totem genährt und keine anderen Frauen als die aus ihrem eigenen Totem geheiratet hätten. Zweitens die anscheinende Zurücksetzung des Geschlechtsaktes in ihrer Konzeptionstheorie. Menschen, die noch nicht erkannt hatten, daß die Empfängnis die Folge des Geschlechtsverkehrs sei, dürfte man wohl als die zurückgebliebensten und primitivsten unter den heute lebenden ansehen.</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Indem Frazer sich für die Beurteilung des Totemismus an die </w:t>
      </w:r>
      <w:r w:rsidRPr="00751AC0">
        <w:rPr>
          <w:rFonts w:ascii="Garamond" w:hAnsi="Garamond"/>
          <w:i/>
          <w:iCs/>
          <w:color w:val="000000"/>
          <w:lang w:val="en-GB"/>
        </w:rPr>
        <w:t>Intichiuma</w:t>
      </w:r>
      <w:r w:rsidRPr="00751AC0">
        <w:rPr>
          <w:rFonts w:ascii="Garamond" w:hAnsi="Garamond"/>
          <w:color w:val="000000"/>
          <w:lang w:val="en-GB"/>
        </w:rPr>
        <w:t xml:space="preserve">zeremonie hielt, erschien ihm das totemistische System auf einmal in gänzlich verändertem Lichte als eine durchwegs praktische Organisation zur Bestreitung der natürlichsten Bedürfnisse des Menschen (vgl. oben, Haddon) </w:t>
      </w:r>
      <w:hyperlink r:id="rId63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There is nothing vague or mystical about it, nothing of that metaphysical haze which some writers love to conjure up over the humble beginnings of human speculation, but which is utterly foreign to the simple, sensuous and concrete modes of thought of the savage.</w:t>
        </w:r>
        <w:r w:rsidRPr="00751AC0">
          <w:rPr>
            <w:rStyle w:val="innerfusslink3"/>
            <w:rFonts w:ascii="Garamond" w:hAnsi="Garamond" w:cs="Arial"/>
            <w:b/>
            <w:bCs/>
            <w:lang w:val="en-GB"/>
          </w:rPr>
          <w:t>« (Frazer, 1910, I, p. 117.)</w:t>
        </w:r>
      </w:hyperlink>
      <w:r w:rsidRPr="00751AC0">
        <w:rPr>
          <w:rFonts w:ascii="Garamond" w:hAnsi="Garamond"/>
          <w:color w:val="000000"/>
          <w:lang w:val="en-GB"/>
        </w:rPr>
        <w:t xml:space="preserve">, Das System war einfach ein großartiges Stück von » </w:t>
      </w:r>
      <w:r w:rsidRPr="00751AC0">
        <w:rPr>
          <w:rFonts w:ascii="Garamond" w:hAnsi="Garamond"/>
          <w:i/>
          <w:iCs/>
          <w:color w:val="000000"/>
          <w:lang w:val="en-GB"/>
        </w:rPr>
        <w:t>co-operative magic</w:t>
      </w:r>
      <w:r w:rsidRPr="00751AC0">
        <w:rPr>
          <w:rFonts w:ascii="Garamond" w:hAnsi="Garamond"/>
          <w:color w:val="000000"/>
          <w:lang w:val="en-GB"/>
        </w:rPr>
        <w:t xml:space="preserve">«. Die Primitiven bildeten sozusagen einen magischen Produktions- und Konsumverein. Jeder Totemclan hatte die Aufgabe übernommen, für die Reichlichkeit eines gewissen Nahrungsmittels zu sorgen. Wenn es sich um nicht eßbare Totem handelte, wie um schädliche Tiere, um Regen, Wind u. dgl., so war die Pflicht des Totemclan, dieses Stück Natur zu beherrschen und dessen Schädlichkeit abzuwehren. Die Leistungen eines jeden Clan kamen allen anderen zugute. Da der Clan von seinem Totem nichts oder nur sehr wenig essen durfte, so beschaffte er dieses wertvolle Gut für die anderen und wurde dafür von ihnen mit dem versorgt, was sie selbst als ihre soziale Totempflicht zu besorgen hatten. Im Lichte dieser durch die </w:t>
      </w:r>
      <w:r w:rsidRPr="00751AC0">
        <w:rPr>
          <w:rFonts w:ascii="Garamond" w:hAnsi="Garamond"/>
          <w:i/>
          <w:iCs/>
          <w:color w:val="000000"/>
          <w:lang w:val="en-GB"/>
        </w:rPr>
        <w:t>Intichiuma</w:t>
      </w:r>
      <w:r w:rsidRPr="00751AC0">
        <w:rPr>
          <w:rFonts w:ascii="Garamond" w:hAnsi="Garamond"/>
          <w:color w:val="000000"/>
          <w:lang w:val="en-GB"/>
        </w:rPr>
        <w:t>zeremonie vermittelten Auffassung wollte es Frazer scheinen, als wäre man durch das Verbot, von seinem Totem zu essen, verblendet worden, die wichtigere Seite des Verhältnisses zu vernachlässigen, nämlich das Gebot, möglichst viel von dem eßbaren Totem für den Bedarf der anderen herbeizuschaffen.</w:t>
      </w:r>
    </w:p>
    <w:p w:rsidR="00B6748F" w:rsidRPr="00751AC0" w:rsidRDefault="00B6748F" w:rsidP="00B6748F">
      <w:pPr>
        <w:rPr>
          <w:rFonts w:ascii="Garamond" w:hAnsi="Garamond"/>
          <w:color w:val="000000"/>
          <w:lang w:val="en-GB"/>
        </w:rPr>
      </w:pPr>
      <w:r w:rsidRPr="00751AC0">
        <w:rPr>
          <w:rFonts w:ascii="Garamond" w:hAnsi="Garamond"/>
          <w:color w:val="000000"/>
          <w:lang w:val="en-GB"/>
        </w:rPr>
        <w:t>Frazer nahm die Tradition der Arunta an, daß jeder Totemclan sich ursprünglich ohne Einschränkung von seinem Totem genährt habe. Dann bereitete es Schwierigkeiten, die folgende Entwicklung zu verstehen, die sich damit begnügte, den Totem für andere zu sichern, während man selbst auf seinen Genuß fast verzichtete. Er nahm dann an, diese Einschränkung sei keineswegs aus einer Art von religiösem Respekt hervorgegangen, sondern vielleicht aus der Beobachtung, daß kein Tier seinesgleichen zu verzehren pflege, so daß dieser Abbruch der Identifizierung mit dem Totem der Macht, die man über denselben zu erlangen wünschte, Schaden brächte. Oder aus einem Bestreben, sich das Wesen geneigt zu machen, indem man es selbst verschonte. Frazer verhehlte sich aber die Schwierigkeiten dieser Erklärung nicht (1910, I. Bd., p. 121 ff.), und ebensowenig getraute er sich anzugeben, auf welchem Wege die von den Mythen der Arunta behauptete Gewohnheit, innerhalb des Totem zu heiraten, sich zur Exogamie gewandelt habe.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auf das </w:t>
      </w:r>
      <w:r w:rsidRPr="00751AC0">
        <w:rPr>
          <w:rFonts w:ascii="Garamond" w:hAnsi="Garamond"/>
          <w:i/>
          <w:iCs/>
          <w:color w:val="000000"/>
          <w:lang w:val="en-GB"/>
        </w:rPr>
        <w:t>Intichiuma</w:t>
      </w:r>
      <w:r w:rsidRPr="00751AC0">
        <w:rPr>
          <w:rFonts w:ascii="Garamond" w:hAnsi="Garamond"/>
          <w:color w:val="000000"/>
          <w:lang w:val="en-GB"/>
        </w:rPr>
        <w:t xml:space="preserve"> gegründete Theorie Frazers steht und fällt mit der Anerkennung der primitiven Natur der Aruntainstitutionen. Es scheint aber unmöglich, diese letztere gegen die von Durkheim </w:t>
      </w:r>
      <w:hyperlink r:id="rId64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i/>
            <w:iCs/>
            <w:lang w:val="en-GB"/>
          </w:rPr>
          <w:t>L'année sociologique,</w:t>
        </w:r>
        <w:r w:rsidRPr="00751AC0">
          <w:rPr>
            <w:rStyle w:val="innerfusslink3"/>
            <w:rFonts w:ascii="Garamond" w:hAnsi="Garamond" w:cs="Arial"/>
            <w:b/>
            <w:bCs/>
            <w:lang w:val="en-GB"/>
          </w:rPr>
          <w:t xml:space="preserve"> Bd. I, V, VIII und an anderen Stellen. S. besonders die Abhandlung ›Sur le totémisme‹, Bd. V (1902).</w:t>
        </w:r>
      </w:hyperlink>
      <w:r w:rsidRPr="00751AC0">
        <w:rPr>
          <w:rFonts w:ascii="Garamond" w:hAnsi="Garamond"/>
          <w:color w:val="000000"/>
          <w:lang w:val="en-GB"/>
        </w:rPr>
        <w:t xml:space="preserve"> und Lang (1903 und 1905) vorgebrachten Einwendungen zu halten. Die Arunta scheinen vielmehr die entwickeltsten der australischen Stämme zu sein, eher ein Auflösungsstadium als den Beginn des Totemismus zu repräsentieren. Die Mythen, welche auf Frazer so großen Eindruck gemacht haben, weil sie im Gegensatz zu den heute herrschenden Institutionen die Freiheit betonen, vom Totem zu essen und innerhalb des Totem zu heiraten, würden sich uns leicht als Wunschphantasien erklären, welche in die Vergangenheit projiziert sind, ähnlich wie der Mythus vom goldenen Zeitalter.</w:t>
      </w:r>
    </w:p>
    <w:p w:rsidR="00B6748F" w:rsidRPr="00751AC0" w:rsidRDefault="00B6748F" w:rsidP="00B6748F">
      <w:pPr>
        <w:rPr>
          <w:rFonts w:ascii="Garamond" w:hAnsi="Garamond"/>
          <w:color w:val="000000"/>
          <w:lang w:val="en-GB"/>
        </w:rPr>
      </w:pPr>
      <w:r w:rsidRPr="00751AC0">
        <w:rPr>
          <w:rFonts w:ascii="Garamond" w:hAnsi="Garamond"/>
          <w:color w:val="000000"/>
        </w:rPr>
        <w:t>γ</w:t>
      </w:r>
      <w:r w:rsidRPr="00751AC0">
        <w:rPr>
          <w:rFonts w:ascii="Garamond" w:hAnsi="Garamond"/>
          <w:color w:val="000000"/>
          <w:lang w:val="en-GB"/>
        </w:rPr>
        <w:t>) Die psychologischen Theorien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erste psychologische Theorie Frazers, noch vor seiner Bekanntschaft mit den Beobachtungen von Spencer und Gillen geschaffen, ruhte auf dem Glauben an die »äußerliche Seele« </w:t>
      </w:r>
      <w:hyperlink r:id="rId64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i/>
            <w:iCs/>
            <w:lang w:val="en-GB"/>
          </w:rPr>
          <w:t>The Golden Bough</w:t>
        </w:r>
        <w:r w:rsidRPr="00751AC0">
          <w:rPr>
            <w:rStyle w:val="innerfusslink3"/>
            <w:rFonts w:ascii="Garamond" w:hAnsi="Garamond" w:cs="Arial"/>
            <w:b/>
            <w:bCs/>
            <w:lang w:val="en-GB"/>
          </w:rPr>
          <w:t xml:space="preserve"> (1890), II, p. 332.</w:t>
        </w:r>
      </w:hyperlink>
      <w:r w:rsidRPr="00751AC0">
        <w:rPr>
          <w:rFonts w:ascii="Garamond" w:hAnsi="Garamond"/>
          <w:color w:val="000000"/>
          <w:lang w:val="en-GB"/>
        </w:rPr>
        <w:t xml:space="preserve">. Der Totem sollte einen sicheren Zufluchtsort für die Seele darstellen, an dem sie deponiert wird, um den Gefahren, die sie bedrohen, entzogen zu bleiben. Wenn der Primitive seine Seele in seinem Totem untergebracht hatte, so war er selbst unverletzlich, und natürlich hütete er sich, den Träger seiner Seele selbst zu beschädigen. Da er aber nicht wußte, welches Individuum der Tierart sein </w:t>
      </w:r>
      <w:r w:rsidRPr="00751AC0">
        <w:rPr>
          <w:rFonts w:ascii="Garamond" w:hAnsi="Garamond"/>
          <w:color w:val="000000"/>
          <w:lang w:val="en-GB"/>
        </w:rPr>
        <w:lastRenderedPageBreak/>
        <w:t>Seelenträger war, lag es ihm nahe, die ganze Art zu verschonen. Frazer hat diese Ableitung des Totemismus aus dem Seelenglauben später selbst aufgegeben.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Als er mit den Beobachtungen von Spencer und Gillen bekannt wurde, stellte er die andere, soziologische Theorie des Totemismus auf, welche eben vorhin mitgeteilt wurde, aber er fand dann selbst, daß das Motiv, aus dem er den Totemismus abgeleitet, allzu »rationell« sei und daß er dabei eine soziale Organisation vorausgesetzt habe, die allzu kompliziert sei, als daß man sie primitiv heißen dürfe </w:t>
      </w:r>
      <w:hyperlink r:id="rId64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It is unlikely that a community of savages should deliberately parcel out the realm of nature into provinces, assign euch province to a particular band of magicians, and bid all the bands to work their magic and weave their spells for the common good.</w:t>
        </w:r>
        <w:r w:rsidRPr="00751AC0">
          <w:rPr>
            <w:rStyle w:val="innerfusslink3"/>
            <w:rFonts w:ascii="Garamond" w:hAnsi="Garamond" w:cs="Arial"/>
            <w:b/>
            <w:bCs/>
            <w:lang w:val="en-GB"/>
          </w:rPr>
          <w:t>« (Frazer, 1910, Bd. 4, 57.)</w:t>
        </w:r>
      </w:hyperlink>
      <w:r w:rsidRPr="00751AC0">
        <w:rPr>
          <w:rFonts w:ascii="Garamond" w:hAnsi="Garamond"/>
          <w:color w:val="000000"/>
          <w:lang w:val="en-GB"/>
        </w:rPr>
        <w:t>. Die magischen Kooperativgesellschaften erschienen ihm jetzt eher als späte Früchte denn als Keime des Totemismus. Er suchte ein einfacheres Moment, einen primitiven Aberglauben, hinter diesen Bildungen, um aus ihm die Entstehung des Totemismus abzuleiten. Dieses ursprüngliche Moment fand er dann in der merkwürdigen Konzeptionstheorie der Arunta.</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Arunta heben, wie bereits erwähnt, den Zusammenhang der Konzeption mit dem Geschlechtsakt auf. Wenn ein Weib sich Mutter fühlt, so ist in diesem Augenblick einer der auf Wiedergeburt lauernden Geister von der nächstliegenden Geisterstätte in ihren Leib eingedrungen und wird von ihr als Kind geboren. Dies Kind hat denselben Totem wie alle an der gewissen Stelle lauernden Geister. Diese Konzeptionstheorie kann den Totemismus nicht erklären, denn sie setzt den Totem voraus. Aber wenn man einen Schritt weiter zurückgehen und annehmen will, daß das Weib ursprünglich geglaubt, das Tier, die Pflanze, der Stein, das Objekt, welches ihre Phantasie in dem Moment beschäftigte, da sie sich zuerst Mutter fühlte, sei wirklich in sie eingedrungen und werde dann von ihr in menschlicher Form geboren, dann wäre die Identität eines Menschen mit seinem Totem durch den Glauben der Mutter wirklich begründet, und alle weiteren Totemgebote (mit Ausschluß der Exogamie) ließen sich leicht daraus ableiten. Der Mensch würde sich weigern, von diesem Tier, dieser Pflanze zu essen, weil er damit gleichsam sich selbst essen würde. Er würde sich aber veranlaßt finden, gelegentlich in zeremoniöser Weise etwas von seinem Totem zu genießen, weil er dadurch seine Identifizierung mit dem Totem, welche das Wesentliche am Totemismus ist, verstärken könnte. Beobachtungen von W. H. R. Rivers an den Eingeborenen der Banksinseln schienen die direkte Identifizierung der Menschen mit ihrem Totem auf Grund einer solchen Konzeptionstheorie zu erweisen </w:t>
      </w:r>
      <w:hyperlink r:id="rId64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(1910, II, p. 89 und IV, p. 59).</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letzte Quelle des Totemismus wäre also die Unwissenheit der Wilden über den Prozeß, wie Menschen und Tiere ihr Geschlecht fortpflanzen. Des besonderen die Unkenntnis der Rolle, welche das Männchen bei der Befruchtung spielt. Diese Unkenntnis muß erleichtert werden durch das lange Intervall, welches sich zwischen den befruchtenden Akt und die Geburt des Kindes (oder das Verspüren der ersten Kindsbewegungen) einschiebt. </w:t>
      </w:r>
      <w:r w:rsidRPr="00751AC0">
        <w:rPr>
          <w:rFonts w:ascii="Garamond" w:hAnsi="Garamond"/>
          <w:color w:val="000000"/>
        </w:rPr>
        <w:t xml:space="preserve">Der Totemismus ist daher eine Schöpfung nicht des männlichen, sondern des weiblichen Geistes. </w:t>
      </w:r>
      <w:r w:rsidRPr="00751AC0">
        <w:rPr>
          <w:rFonts w:ascii="Garamond" w:hAnsi="Garamond"/>
          <w:color w:val="000000"/>
          <w:lang w:val="en-GB"/>
        </w:rPr>
        <w:t xml:space="preserve">Die Gelüste ( </w:t>
      </w:r>
      <w:r w:rsidRPr="00751AC0">
        <w:rPr>
          <w:rFonts w:ascii="Garamond" w:hAnsi="Garamond"/>
          <w:i/>
          <w:iCs/>
          <w:color w:val="000000"/>
          <w:lang w:val="en-GB"/>
        </w:rPr>
        <w:t>sick fancies</w:t>
      </w:r>
      <w:r w:rsidRPr="00751AC0">
        <w:rPr>
          <w:rFonts w:ascii="Garamond" w:hAnsi="Garamond"/>
          <w:color w:val="000000"/>
          <w:lang w:val="en-GB"/>
        </w:rPr>
        <w:t xml:space="preserve">) des schwangeren Weibes sind die Wurzel desselben. » </w:t>
      </w:r>
      <w:r w:rsidRPr="00751AC0">
        <w:rPr>
          <w:rFonts w:ascii="Garamond" w:hAnsi="Garamond"/>
          <w:i/>
          <w:iCs/>
          <w:color w:val="000000"/>
          <w:lang w:val="en-GB"/>
        </w:rPr>
        <w:t>Anything indeed that struck a woman at that mysterious moment of her life when she first knows herself to be a mother might easily be identified by her with the child in her womb. Such maternal fancies, so natural and seemingly so universal, appear to be the root of totemism.</w:t>
      </w:r>
      <w:r w:rsidRPr="00751AC0">
        <w:rPr>
          <w:rFonts w:ascii="Garamond" w:hAnsi="Garamond"/>
          <w:color w:val="000000"/>
          <w:lang w:val="en-GB"/>
        </w:rPr>
        <w:t xml:space="preserve">« </w:t>
      </w:r>
      <w:hyperlink r:id="rId64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l. c. IV, p. 63.</w:t>
        </w:r>
      </w:hyperlink>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Haupteinwand gegen diese dritte Frazersche Theorie ist derselbe, der bereits gegen die zweite, soziologische vorgebracht wurde. Die Arunta scheinen sich von den Anfängen des Totemismus weit weg entfernt zu haben. Ihre Verleugnung der Vaterschaft scheint nicht auf primitiver Unwissenheit zu beruhen; sie haben selbst in manchen Stücken väterliche Vererbung. Sie scheinen die Vaterschaft einer Art von Spekulation geopfert zu haben, welche die Ahnengeister zu Ehren bringen will </w:t>
      </w:r>
      <w:hyperlink r:id="rId64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That belief is a philosophy far from primitive.</w:t>
        </w:r>
        <w:r w:rsidRPr="00751AC0">
          <w:rPr>
            <w:rStyle w:val="innerfusslink3"/>
            <w:rFonts w:ascii="Garamond" w:hAnsi="Garamond" w:cs="Arial"/>
            <w:b/>
            <w:bCs/>
            <w:lang w:val="en-GB"/>
          </w:rPr>
          <w:t>« (A. Lang, 1905, p. 192.)</w:t>
        </w:r>
      </w:hyperlink>
      <w:r w:rsidRPr="00751AC0">
        <w:rPr>
          <w:rFonts w:ascii="Garamond" w:hAnsi="Garamond"/>
          <w:color w:val="000000"/>
          <w:lang w:val="en-GB"/>
        </w:rPr>
        <w:t xml:space="preserve">. Wenn sie den Mythus der unbefleckten Empfängnis durch den Geist zur allgemeinen Konzeptionstheorie erheben, darf man ihnen </w:t>
      </w:r>
      <w:r w:rsidRPr="00751AC0">
        <w:rPr>
          <w:rFonts w:ascii="Garamond" w:hAnsi="Garamond"/>
          <w:color w:val="000000"/>
          <w:lang w:val="en-GB"/>
        </w:rPr>
        <w:lastRenderedPageBreak/>
        <w:t>darum Unwissenheit über die Bedingungen der Fortpflanzung ebensowenig zumuten wie den alten Völkern um die Zeit der Entstehung der christlichen Mythen.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Eine andere psychologische Theorie der Herkunft des Totemismus hat der Holländer G. A. Wilken aufgestellt. Sie stellt eine Verknüpfung des Totemismus mit der Seelenwanderung her. »Dasjenige Tier, in welches die Seelen der Toten nach allgemeinem Glauben übergingen, wurde zum Blutsverwandten, Ahnherrn und als solcher verehrt.« Aber der Glauben an die Tierwanderung der Seelen mag eher aus dem Totemismus abgeleitet sein als umgekehrt </w:t>
      </w:r>
      <w:hyperlink r:id="rId64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Bei Frazer,1910, IV, p. 45 u. ff.).</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Eine andere Theorie des Totemismus wird von ausgezeichneten amerikanischen Ethnologen, Fr. Boas, Hill-Tout u. a., vertreten. Sie geht von den Beobachtungen an totemistischen Indianerstämmen aus und behauptet, der Totem sei ursprünglich der Schutzgeist eines Ahnen, den dieser durch einen Traum erworben und auf seine Nachkommenschaft vererbt habe. Wir haben schon früher gehört, welche Schwierigkeiten die Ableitung des Totemismus aus der Vererbung von einem Einzelnen her bietet; überdies sollen die australischen Beobachtungen die Zurückführung des Totem auf den Schutzgeist keineswegs unterstützen. </w:t>
      </w:r>
      <w:hyperlink r:id="rId647"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 c., p. 48 .</w:t>
        </w:r>
      </w:hyperlink>
    </w:p>
    <w:p w:rsidR="00B6748F" w:rsidRPr="00751AC0" w:rsidRDefault="00B6748F" w:rsidP="00B6748F">
      <w:pPr>
        <w:rPr>
          <w:rFonts w:ascii="Garamond" w:hAnsi="Garamond"/>
          <w:color w:val="000000"/>
          <w:lang w:val="en-GB"/>
        </w:rPr>
      </w:pPr>
      <w:r w:rsidRPr="00751AC0">
        <w:rPr>
          <w:rFonts w:ascii="Garamond" w:hAnsi="Garamond"/>
          <w:color w:val="000000"/>
        </w:rPr>
        <w:t xml:space="preserve">Für die letzte der psychologischen Theorien, die von Wundt ausgesprochene, sind die beiden Tatsachen entscheidend geworden, daß erstens das ursprüngliche Totemobjekt und das dauernd verbreitetste das Tier ist und daß zweitens unter den Totemtieren wieder die ursprünglichsten mit Seelentieren zusammenfallen. </w:t>
      </w:r>
      <w:hyperlink r:id="rId648" w:anchor="#" w:history="1">
        <w:r w:rsidRPr="00751AC0">
          <w:rPr>
            <w:rStyle w:val="fusslink"/>
            <w:rFonts w:ascii="Garamond" w:hAnsi="Garamond" w:cs="Arial"/>
            <w:b/>
            <w:bCs/>
            <w:color w:val="003399"/>
          </w:rPr>
          <w:t>[Fußnote]</w:t>
        </w:r>
        <w:r w:rsidRPr="00751AC0">
          <w:rPr>
            <w:rStyle w:val="innerfusslink3"/>
            <w:rFonts w:ascii="Garamond" w:hAnsi="Garamond" w:cs="Arial"/>
            <w:b/>
            <w:bCs/>
          </w:rPr>
          <w:t>Wundt, 1912, p. 190.</w:t>
        </w:r>
      </w:hyperlink>
      <w:r w:rsidRPr="00751AC0">
        <w:rPr>
          <w:rFonts w:ascii="Garamond" w:hAnsi="Garamond"/>
          <w:color w:val="000000"/>
        </w:rPr>
        <w:t xml:space="preserve"> Seelentiere, wie Vögel, Schlange, Eidechse, Maus, eignen sich durch ihre schnelle Beweglichkeit, ihren Flug in der Luft, durch andere Überraschung und Grauen erregende Eigenschaften dazu, als die Träger der den Körper verlassenden Seele erkannt zu werden. </w:t>
      </w:r>
      <w:r w:rsidRPr="00751AC0">
        <w:rPr>
          <w:rFonts w:ascii="Garamond" w:hAnsi="Garamond"/>
          <w:color w:val="000000"/>
          <w:lang w:val="en-GB"/>
        </w:rPr>
        <w:t>Das Totemtier ist ein Abkömmling der Tierverwandlungen der Hauchseele. So mündet hier für Wundt der Totemismus unmittelbar in den Seelenglauben oder Animismus ein.</w:t>
      </w:r>
    </w:p>
    <w:p w:rsidR="00B6748F" w:rsidRPr="00751AC0" w:rsidRDefault="00B6748F" w:rsidP="00B6748F">
      <w:pPr>
        <w:rPr>
          <w:rFonts w:ascii="Garamond" w:hAnsi="Garamond"/>
          <w:caps/>
          <w:color w:val="000000"/>
          <w:lang w:val="en-GB"/>
        </w:rPr>
      </w:pPr>
      <w:r w:rsidRPr="00751AC0">
        <w:rPr>
          <w:rFonts w:ascii="Garamond" w:hAnsi="Garamond"/>
          <w:i/>
          <w:iCs/>
          <w:caps/>
          <w:color w:val="000000"/>
          <w:lang w:val="en-GB"/>
        </w:rPr>
        <w:t>b)</w:t>
      </w:r>
      <w:r w:rsidRPr="00751AC0">
        <w:rPr>
          <w:rFonts w:ascii="Garamond" w:hAnsi="Garamond"/>
          <w:caps/>
          <w:color w:val="000000"/>
          <w:lang w:val="en-GB"/>
        </w:rPr>
        <w:t xml:space="preserve"> und </w:t>
      </w:r>
      <w:r w:rsidRPr="00751AC0">
        <w:rPr>
          <w:rFonts w:ascii="Garamond" w:hAnsi="Garamond"/>
          <w:i/>
          <w:iCs/>
          <w:caps/>
          <w:color w:val="000000"/>
          <w:lang w:val="en-GB"/>
        </w:rPr>
        <w:t>c)</w:t>
      </w:r>
      <w:r w:rsidRPr="00751AC0">
        <w:rPr>
          <w:rFonts w:ascii="Garamond" w:hAnsi="Garamond"/>
          <w:caps/>
          <w:color w:val="000000"/>
          <w:lang w:val="en-GB"/>
        </w:rPr>
        <w:t xml:space="preserve"> Die Herkunft der Exogamie und ihre Beziehung zum Totemismus</w:t>
      </w:r>
    </w:p>
    <w:p w:rsidR="00B6748F" w:rsidRPr="00751AC0" w:rsidRDefault="00B6748F" w:rsidP="00B6748F">
      <w:pPr>
        <w:rPr>
          <w:rFonts w:ascii="Garamond" w:hAnsi="Garamond"/>
          <w:color w:val="000000"/>
          <w:lang w:val="en-GB"/>
        </w:rPr>
      </w:pPr>
      <w:r w:rsidRPr="00751AC0">
        <w:rPr>
          <w:rFonts w:ascii="Garamond" w:hAnsi="Garamond"/>
          <w:color w:val="000000"/>
          <w:lang w:val="en-GB"/>
        </w:rPr>
        <w:t>Ich habe die Theorien des Totemismus mit einiger Ausführlichkeit vorgebracht und muß dennoch befürchten, daß ich deren Eindruck durch die immerhin notwendige Verkürzung geschadet habe. In betreff der weiteren Fragen nehme ich mir im Interesse der Leser die Freiheit einer noch weitergehenden Zusammendrängung. Die Diskussionen über Exogamie der Totemvölker werden durch die Natur des dabei verwerteten Materials besonders kompliziert und unübersehbar; man könnte sagen: verworren. Die Ziele dieser Abhandlung gestatten es auch, daß ich mich hier auf Hervorhebung einiger Richtlinien beschränke und für eine gründlichere Verfolgung des Gegenstandes auf die mehrmals zitierten eingehenden Fachschriften verweise.</w:t>
      </w:r>
    </w:p>
    <w:p w:rsidR="00B6748F" w:rsidRPr="00751AC0" w:rsidRDefault="00B6748F" w:rsidP="00B6748F">
      <w:pPr>
        <w:rPr>
          <w:rFonts w:ascii="Garamond" w:hAnsi="Garamond"/>
          <w:color w:val="000000"/>
          <w:lang w:val="en-GB"/>
        </w:rPr>
      </w:pPr>
      <w:r w:rsidRPr="00751AC0">
        <w:rPr>
          <w:rFonts w:ascii="Garamond" w:hAnsi="Garamond"/>
          <w:color w:val="000000"/>
          <w:lang w:val="en-GB"/>
        </w:rPr>
        <w:t>Die Stellung eines Autors zu den Problemen der Exogamie ist natürlich nicht unabhängig von seiner Parteinahme für diese oder jene Totemtheorie. Einige von diesen Erklärungen des Totemismus lassen jede Anknüpfung an die Exogamie vermissen, so daß die beiden Institutionen glatt auseinanderfallen. So stehen hier zwei Anschauungen einander gegenüber, die eine, welche den ursprünglichen Anschein festhalten will, die Exogamie sei ein wesentliches Stück des totemistischen Systems, und eine andere, welche einen solchen Zusammenhang bestreitet und an ein zufälliges Zusammentreffen der beiden Züge ältester Kulturen glaubt. Frazer hat in seinen späteren Arbeiten diesen letzteren Standpunkt mit Entschiedenheit vertreten.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 </w:t>
      </w:r>
      <w:r w:rsidRPr="00751AC0">
        <w:rPr>
          <w:rFonts w:ascii="Garamond" w:hAnsi="Garamond"/>
          <w:i/>
          <w:iCs/>
          <w:color w:val="000000"/>
          <w:lang w:val="en-GB"/>
        </w:rPr>
        <w:t>I must request the reader to bear constantly in mind that the two institutions of totemism and exogamy are fundamentally distinct inorigin and nature, though they have accidentally crossed and blended in many tribes.«</w:t>
      </w:r>
      <w:r w:rsidRPr="00751AC0">
        <w:rPr>
          <w:rFonts w:ascii="Garamond" w:hAnsi="Garamond"/>
          <w:color w:val="000000"/>
          <w:lang w:val="en-GB"/>
        </w:rPr>
        <w:t xml:space="preserve"> (T. and Ex., I., Vorrede XII.)</w:t>
      </w:r>
    </w:p>
    <w:p w:rsidR="00B6748F" w:rsidRPr="00751AC0" w:rsidRDefault="00B6748F" w:rsidP="00B6748F">
      <w:pPr>
        <w:rPr>
          <w:rFonts w:ascii="Garamond" w:hAnsi="Garamond"/>
          <w:color w:val="000000"/>
        </w:rPr>
      </w:pPr>
      <w:r w:rsidRPr="00751AC0">
        <w:rPr>
          <w:rFonts w:ascii="Garamond" w:hAnsi="Garamond"/>
          <w:color w:val="000000"/>
          <w:lang w:val="en-GB"/>
        </w:rPr>
        <w:lastRenderedPageBreak/>
        <w:t xml:space="preserve">Er warnt direkt vor der gegenteiligen Ansicht als einer Quelle unendlicher Schwierigkeiten und Mißverständnisse. Im Gegensatz hiezu haben andere Autoren den Weg gefunden, die Exogamie als notwendige Folge der totemistischen Grundanschauungen zu begreifen. Durkheim hat in seinen Arbeiten (1898 – 1904) ausgeführt, wie das an den Totem geknüpfte Tabu das Verbot mit sich bringen mußte, ein Weib des nämlichen Totem zum geschlechtlichen Verkehr zu gebrauchen. Der Totem ist von demselben Blut wie der Mensch, und darum verbietet der Blutbann (mit Rücksicht auf Defloration und Menstruation) den sexuellen Verkehr mit dem Weibe, das demselben Totem angehört </w:t>
      </w:r>
      <w:hyperlink r:id="rId64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S. die Kritik der Erörterungen Durkheims bei Frazer, T. and Ex., IV, p. 101.</w:t>
        </w:r>
      </w:hyperlink>
      <w:r w:rsidRPr="00751AC0">
        <w:rPr>
          <w:rFonts w:ascii="Garamond" w:hAnsi="Garamond"/>
          <w:color w:val="000000"/>
          <w:lang w:val="en-GB"/>
        </w:rPr>
        <w:t xml:space="preserve">. </w:t>
      </w:r>
      <w:r w:rsidRPr="00751AC0">
        <w:rPr>
          <w:rFonts w:ascii="Garamond" w:hAnsi="Garamond"/>
          <w:color w:val="000000"/>
        </w:rPr>
        <w:t>A. Lang, der sich hierin Durkheim anschließt, meint sogar, es bedürfte nicht des Bluttabu, um das Verbot der Frauen des gleichen Stammes zu bewirken. (Lang, 1905, p. 125.) Das allgemeine Totemtabu, welches z. B. verbietet, im Schatten des Totembaumes zu sitzen, würde hiefür hingereicht haben. A. Lang verficht übrigens auch eine andere Ableitung der Exogamie (s. unten) und läßt es zweifelhaft, wie sich diese beiden Erklärungen zueinander verhalten.</w:t>
      </w:r>
    </w:p>
    <w:p w:rsidR="00B6748F" w:rsidRPr="00751AC0" w:rsidRDefault="00B6748F" w:rsidP="00B6748F">
      <w:pPr>
        <w:rPr>
          <w:rFonts w:ascii="Garamond" w:hAnsi="Garamond"/>
          <w:color w:val="000000"/>
        </w:rPr>
      </w:pPr>
      <w:r w:rsidRPr="00751AC0">
        <w:rPr>
          <w:rFonts w:ascii="Garamond" w:hAnsi="Garamond"/>
          <w:color w:val="000000"/>
        </w:rPr>
        <w:t xml:space="preserve">In betreff der zeitlichen Verhältnisse huldigt die Mehrzahl der Autoren der Ansicht, der Totemismus sei die ältere Institution, die Exogamie später hinzugekommen. </w:t>
      </w:r>
      <w:hyperlink r:id="rId65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Zum Beispiel Frazer, l. c., IV, p. 75: » </w:t>
        </w:r>
        <w:r w:rsidRPr="00751AC0">
          <w:rPr>
            <w:rStyle w:val="innerfusslink3"/>
            <w:rFonts w:ascii="Garamond" w:hAnsi="Garamond" w:cs="Arial"/>
            <w:b/>
            <w:bCs/>
            <w:i/>
            <w:iCs/>
            <w:lang w:val="en-GB"/>
          </w:rPr>
          <w:t>The totemic clan is a totally different social organism from the exogamous clan, and we have good grounds for thinking that it is far older.</w:t>
        </w:r>
        <w:r w:rsidRPr="00751AC0">
          <w:rPr>
            <w:rStyle w:val="innerfusslink3"/>
            <w:rFonts w:ascii="Garamond" w:hAnsi="Garamond" w:cs="Arial"/>
            <w:b/>
            <w:bCs/>
            <w:lang w:val="en-GB"/>
          </w:rPr>
          <w:t>«</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Unter den Theorien, welche die Exogamie unabhängig vom Totemismus erklären wollen, seien nur einige hervorgehoben, welche die verschiedenen Einstellungen der Autoren zum Inzestproblem erläutern. McLennan (1865) hatte die Exogamie in geistreicher Weise aus den Überresten von Sitten erraten, welche auf den ehemaligen Frauenraub hindeuteten. Er nahm nun an, daß es in Urzeiten allgemein gebräuchlich gewesen sei, sich das Weib aus einem fremden Stamm zu holen, und die Heirat mit einem Weib aus dem eigenen Stamm sei allmählich unerlaubt geworden, weil sie ungewöhnlich war </w:t>
      </w:r>
      <w:hyperlink r:id="rId651" w:anchor="#" w:history="1">
        <w:r w:rsidRPr="00751AC0">
          <w:rPr>
            <w:rStyle w:val="fusslink"/>
            <w:rFonts w:ascii="Garamond" w:hAnsi="Garamond" w:cs="Arial"/>
            <w:b/>
            <w:bCs/>
            <w:color w:val="003399"/>
          </w:rPr>
          <w:t>[Fußnote]</w:t>
        </w:r>
        <w:r w:rsidRPr="00751AC0">
          <w:rPr>
            <w:rStyle w:val="innerfusslink3"/>
            <w:rFonts w:ascii="Garamond" w:hAnsi="Garamond" w:cs="Arial"/>
            <w:b/>
            <w:bCs/>
          </w:rPr>
          <w:t xml:space="preserve">» </w:t>
        </w:r>
        <w:r w:rsidRPr="00751AC0">
          <w:rPr>
            <w:rStyle w:val="innerfusslink3"/>
            <w:rFonts w:ascii="Garamond" w:hAnsi="Garamond" w:cs="Arial"/>
            <w:b/>
            <w:bCs/>
            <w:i/>
            <w:iCs/>
          </w:rPr>
          <w:t>Improper because it was unusual.</w:t>
        </w:r>
        <w:r w:rsidRPr="00751AC0">
          <w:rPr>
            <w:rStyle w:val="innerfusslink3"/>
            <w:rFonts w:ascii="Garamond" w:hAnsi="Garamond" w:cs="Arial"/>
            <w:b/>
            <w:bCs/>
          </w:rPr>
          <w:t>«</w:t>
        </w:r>
      </w:hyperlink>
      <w:r w:rsidRPr="00751AC0">
        <w:rPr>
          <w:rFonts w:ascii="Garamond" w:hAnsi="Garamond"/>
          <w:color w:val="000000"/>
        </w:rPr>
        <w:t xml:space="preserve">. Das Motiv für diese Gewohnheit der Exogamie suchte er in einem Frauenmangel jener primitiven Stämme, der sich aus dem Gebrauch, die meisten weiblichen Kinder bei der Geburt zu töten, ergeben hatte. Wir haben es hier nicht mit der Nachprüfung zu tun, ob die tatsächlichen Verhältnisse die Annahmen McLennans bestätigen. Weit mehr interessiert uns das Argument, daß es unter den Voraussetzungen des Autors doch unerklärlich bliebe, warum sich die männlichen Mitglieder des Stammes auch die wenigen Frauen aus ihrem Blut unzugänglich machen sollten, und die Art, wie hier das Inzestproblem gänzlich beiseite gelassen wird. </w:t>
      </w:r>
      <w:hyperlink r:id="rId652" w:anchor="#" w:history="1">
        <w:r w:rsidRPr="00751AC0">
          <w:rPr>
            <w:rStyle w:val="fusslink"/>
            <w:rFonts w:ascii="Garamond" w:hAnsi="Garamond" w:cs="Arial"/>
            <w:b/>
            <w:bCs/>
            <w:color w:val="003399"/>
          </w:rPr>
          <w:t>[Fußnote]</w:t>
        </w:r>
        <w:r w:rsidRPr="00751AC0">
          <w:rPr>
            <w:rStyle w:val="innerfusslink3"/>
            <w:rFonts w:ascii="Garamond" w:hAnsi="Garamond" w:cs="Arial"/>
            <w:b/>
            <w:bCs/>
          </w:rPr>
          <w:t>Frazer, l. c., IV, p. 71–92.</w:t>
        </w:r>
      </w:hyperlink>
    </w:p>
    <w:p w:rsidR="00B6748F" w:rsidRPr="00751AC0" w:rsidRDefault="00B6748F" w:rsidP="00B6748F">
      <w:pPr>
        <w:rPr>
          <w:rFonts w:ascii="Garamond" w:hAnsi="Garamond"/>
          <w:color w:val="000000"/>
        </w:rPr>
      </w:pPr>
      <w:r w:rsidRPr="00751AC0">
        <w:rPr>
          <w:rFonts w:ascii="Garamond" w:hAnsi="Garamond"/>
          <w:color w:val="000000"/>
        </w:rPr>
        <w:t xml:space="preserve">Im Gegensatz hiezu und offenbar mit mehr Recht haben andere Forscher die Exogamie als eine Institution zur Verhütung des Inzests erfaßt </w:t>
      </w:r>
      <w:hyperlink r:id="rId653" w:anchor="#" w:history="1">
        <w:r w:rsidRPr="00751AC0">
          <w:rPr>
            <w:rStyle w:val="fusslink"/>
            <w:rFonts w:ascii="Garamond" w:hAnsi="Garamond" w:cs="Arial"/>
            <w:b/>
            <w:bCs/>
            <w:color w:val="003399"/>
          </w:rPr>
          <w:t>[Fußnote]</w:t>
        </w:r>
        <w:r w:rsidRPr="00751AC0">
          <w:rPr>
            <w:rStyle w:val="innerfusslink3"/>
            <w:rFonts w:ascii="Garamond" w:hAnsi="Garamond" w:cs="Arial"/>
            <w:b/>
            <w:bCs/>
          </w:rPr>
          <w:t>Vgl. die erste Abhandlung.</w:t>
        </w:r>
      </w:hyperlink>
      <w:r w:rsidRPr="00751AC0">
        <w:rPr>
          <w:rFonts w:ascii="Garamond" w:hAnsi="Garamond"/>
          <w:color w:val="000000"/>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Überblickt man die allmählich wachsende Komplikation der australischen Heiratsbeschränkungen, so kann man nicht anders als der Ansicht von Morgan, Frazer, Howitt, Baldwin Spencer </w:t>
      </w:r>
      <w:hyperlink r:id="rId65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Morgan, 1877. – Frazer, T. and Ex. IV, p 105 ff.).</w:t>
        </w:r>
      </w:hyperlink>
      <w:r w:rsidRPr="00751AC0">
        <w:rPr>
          <w:rFonts w:ascii="Garamond" w:hAnsi="Garamond"/>
          <w:color w:val="000000"/>
          <w:lang w:val="en-GB"/>
        </w:rPr>
        <w:t xml:space="preserve"> beistimmen, daß diese Einrichtungen das Gepräge zielbewußter Absicht (» </w:t>
      </w:r>
      <w:r w:rsidRPr="00751AC0">
        <w:rPr>
          <w:rFonts w:ascii="Garamond" w:hAnsi="Garamond"/>
          <w:i/>
          <w:iCs/>
          <w:color w:val="000000"/>
          <w:lang w:val="en-GB"/>
        </w:rPr>
        <w:t>deliberate design</w:t>
      </w:r>
      <w:r w:rsidRPr="00751AC0">
        <w:rPr>
          <w:rFonts w:ascii="Garamond" w:hAnsi="Garamond"/>
          <w:color w:val="000000"/>
          <w:lang w:val="en-GB"/>
        </w:rPr>
        <w:t xml:space="preserve">« nach Frazer) an sich tragen und daß sie das erreichen sollten, was sie tatsächlich geleistet haben. » </w:t>
      </w:r>
      <w:r w:rsidRPr="00751AC0">
        <w:rPr>
          <w:rFonts w:ascii="Garamond" w:hAnsi="Garamond"/>
          <w:i/>
          <w:iCs/>
          <w:color w:val="000000"/>
          <w:lang w:val="en-GB"/>
        </w:rPr>
        <w:t>In no other way does it seem possible to explain in all its details a system at once so complex and so regular.</w:t>
      </w:r>
      <w:r w:rsidRPr="00751AC0">
        <w:rPr>
          <w:rFonts w:ascii="Garamond" w:hAnsi="Garamond"/>
          <w:color w:val="000000"/>
          <w:lang w:val="en-GB"/>
        </w:rPr>
        <w:t>« (Frazer, ibid., p. 106.)</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Es ist interessant hervorzuheben, daß die ersten der durch die Einführung von Heiratsklassen erzeugten Beschränkungen die Sexualfreiheit der jüngeren Generation, also den Inzest von Geschwistern und von Söhnen mit ihrer Mutter trafen, während der Inzest zwischen Vater und Tochter erst durch weitergehende Maßregeln aufgehoben wurde. Die Zurückführung der exogamischen Sexualbeschränkungen auf gesetzgeberische Absicht leistet aber nichts für das Verständnis des Motivs, welches diese Institutionen geschaffen hat. Woher stammt in letzter Auflösung die Inzestscheu, welche als die Wurzel der Exogamie </w:t>
      </w:r>
      <w:r w:rsidRPr="00751AC0">
        <w:rPr>
          <w:rFonts w:ascii="Garamond" w:hAnsi="Garamond"/>
          <w:color w:val="000000"/>
          <w:lang w:val="en-GB"/>
        </w:rPr>
        <w:lastRenderedPageBreak/>
        <w:t>erkannt werden muß? Es ist offenbar nicht genügend, sich zur Erklärung der Inzestscheu auf eine instinktive Abneigung gegen sexuellen Verkehr unter Blutsverwandten, d. h. also auf die Tatsache der Inzestscheu zu berufen, wenn die soziale Erfahrung nachweist, daß der Inzest diesem Instinkt zum Trotz kein seltenes Vorkommnis selbst in unserer heutigen Gesellschaft ist, und wenn die historische Erfahrung Fälle kennen lehrt, in denen die inzestuöse Ehe bevorzugten Personen zur Vorschrift gemacht wurde.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Westermarck </w:t>
      </w:r>
      <w:hyperlink r:id="rId65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Ursprung und Entwicklung der Moralbegriffe, II. Die Ehe. 1909. Dort auch die Verteidigung des Autors gegen ihm bekannt gewordene Einwendungen.</w:t>
        </w:r>
      </w:hyperlink>
      <w:r w:rsidRPr="00751AC0">
        <w:rPr>
          <w:rFonts w:ascii="Garamond" w:hAnsi="Garamond"/>
          <w:color w:val="000000"/>
          <w:lang w:val="en-GB"/>
        </w:rPr>
        <w:t xml:space="preserve"> machte zur Erklärung der Inzestscheu geltend, »daß zwischen Personen, die von Kindheit an beisammen leben, eine angeborene Abneigung gegen den Geschlechtsverkehr herrscht und daß dieses Gefühl, da diese Personen in der Regel blutsverwandt sind, in Sitte und Gesetz einen natürlichen Ausdruck findet durch den Abscheu vor dem Geschlechtsumgang unter nahen Verwandten«. Havelock Ellis bestritt zwar den triebhaften Charakter dieser Abneigung in seinen </w:t>
      </w:r>
      <w:r w:rsidRPr="00751AC0">
        <w:rPr>
          <w:rFonts w:ascii="Garamond" w:hAnsi="Garamond"/>
          <w:i/>
          <w:iCs/>
          <w:color w:val="000000"/>
          <w:lang w:val="en-GB"/>
        </w:rPr>
        <w:t>Studies in the Psychology of Sex</w:t>
      </w:r>
      <w:r w:rsidRPr="00751AC0">
        <w:rPr>
          <w:rFonts w:ascii="Garamond" w:hAnsi="Garamond"/>
          <w:color w:val="000000"/>
          <w:lang w:val="en-GB"/>
        </w:rPr>
        <w:t>, trat aber sonst im wesentlichen derselben Erklärung bei, indem er äußerte: »Das normale Unterbleiben des Zutagetretens des Paarungstriebes dort, wo es sich um Brüder und Schwestern oder um von Kindheit auf beisammenlebende Mädchen und Knaben handelt, ist eine rein negative Erscheinung, welche daher kommt, daß unter jenen Umständen die den Paarungstrieb erweckenden Vorbedingungen durchaus fehlen müssen ... Zwischen Personen, die von Kindheit zusammen aufgewachsen sind, hat die Gewöhnung alle sinnlichen Reize des Sehens, des Hörens und der Berührung abgestumpft, in die Bahn einer ruhigen Zuneigung gelenkt und ihrer Macht beraubt, die zur Erzeugung geschlechtlicher Tumeszenz erforderliche nötige erethistische Erregung hervorzurufen.«</w:t>
      </w:r>
    </w:p>
    <w:p w:rsidR="00B6748F" w:rsidRPr="00751AC0" w:rsidRDefault="00B6748F" w:rsidP="00B6748F">
      <w:pPr>
        <w:rPr>
          <w:rFonts w:ascii="Garamond" w:hAnsi="Garamond"/>
          <w:color w:val="000000"/>
          <w:lang w:val="en-GB"/>
        </w:rPr>
      </w:pPr>
      <w:r w:rsidRPr="00751AC0">
        <w:rPr>
          <w:rFonts w:ascii="Garamond" w:hAnsi="Garamond"/>
          <w:color w:val="000000"/>
          <w:lang w:val="en-GB"/>
        </w:rPr>
        <w:t>Es erscheint mir sehr merkwürdig, daß Westermarck diese angeborene Abneigung gegen den Geschlechtsverkehr mit Personen, mit denen man die Kindheit geteilt hat, gleichzeitig als psychische Repräsentanz der biologischen Tatsache ansieht, daß Inzucht eine Schädigung der Gattung bedeutet. Ein derartiger biologischer Instinkt würde in seiner psychologischen Äußerung so weit irregehen, daß er anstatt der für die Fortpflanzung schädlichen Blutsverwandten die in dieser Hinsicht ganz harmlosen Haus- und Herdgenossen träfe. Ich kann es mir aber auch nicht versagen, die ganz ausgezeichnete Kritik mitzuteilen, welche Frazer der Behauptung von Westermarck entgegenstellt. Frazer findet es unbegreiflich, daß das sexuelle Empfinden sich heute so gar nicht gegen den Verkehr mit Herdgenossen sträubt, während die Inzestscheu, die nur ein Abkömmling von diesem Sträuben sein soll, gegenwärtig so übermächtig angewachsen ist. Tiefer dringen aber andere Bemerkungen Frazers, die ich unverkürzt hieher setze, weil sie im Wesen mit den in meinem Aufsatz über das Tabu entwickelten Argumenten zusammentreffen.</w:t>
      </w:r>
    </w:p>
    <w:p w:rsidR="00B6748F" w:rsidRPr="00751AC0" w:rsidRDefault="00B6748F" w:rsidP="00B6748F">
      <w:pPr>
        <w:rPr>
          <w:rFonts w:ascii="Garamond" w:hAnsi="Garamond"/>
          <w:color w:val="000000"/>
        </w:rPr>
      </w:pPr>
      <w:r w:rsidRPr="00751AC0">
        <w:rPr>
          <w:rFonts w:ascii="Garamond" w:hAnsi="Garamond"/>
          <w:color w:val="000000"/>
          <w:lang w:val="en-GB"/>
        </w:rPr>
        <w:t xml:space="preserve">»Es ist nicht leicht einzusehen, warum ein tief wurzelnder menschlicher Instinkt die Verstärkung durch ein Gesetz benötigen sollte. Es gibt kein Gesetz, welches den Menschen befiehlt zu essen und zu trinken, oder ihnen verbietet, ihre Hände ins Feuer zu stecken. Die Menschen essen und trinken und halten ihre Hände vom Feuer weg, instinktgemäß, aus Angst vor natürlichen und nicht vor gesetzlichen Strafen, die sie sich durch Beleidigung dieser Triebe zuziehen würden. Das Gesetz verbietet den Menschen nur, was sie unter dem Drängen ihrer Triebe ausführen könnten. Was die Natur selbst verbietet und bestraft, das braucht nicht erst das Gesetz zu verbieten und zu strafen. Wir dürfen daher auch ruhig annehmen, daß Verbrechen, die durch ein Gesetz verboten werden, Verbrechen sind, die viele Menschen aus natürlichen Neigungen gern begehen würden. Wenn es keine solche Neigung gäbe, kämen keine solche Verbrechen vor, und wenn solche Verbrechen nicht begangen würden, wozu brauchte man sie zu verbieten? Anstatt also aus dem gesetzlichen Verbot des Inzests zu schließen, daß eine natürliche Abneigung gegen den Inzest besteht, sollten wir eher den Schluß ziehen, daß ein natürlicher Instinkt zum Inzest treibt und daß, wenn das Gesetz diesen Trieb wie andere natürliche Triebe unterdrückt, dies seinen Grund in der Einsicht zivilisierter Menschen hat, daß die Befriedigung dieser natürlichen Triebe der Gesellschaft Schaden bringt.« </w:t>
      </w:r>
      <w:hyperlink r:id="rId656" w:anchor="#" w:history="1">
        <w:r w:rsidRPr="00751AC0">
          <w:rPr>
            <w:rStyle w:val="fusslink"/>
            <w:rFonts w:ascii="Garamond" w:hAnsi="Garamond" w:cs="Arial"/>
            <w:b/>
            <w:bCs/>
            <w:color w:val="003399"/>
          </w:rPr>
          <w:t>[Fußnote]</w:t>
        </w:r>
        <w:r w:rsidRPr="00751AC0">
          <w:rPr>
            <w:rStyle w:val="innerfusslink3"/>
            <w:rFonts w:ascii="Garamond" w:hAnsi="Garamond" w:cs="Arial"/>
            <w:b/>
            <w:bCs/>
          </w:rPr>
          <w:t>l. c., p. 97</w:t>
        </w:r>
      </w:hyperlink>
    </w:p>
    <w:p w:rsidR="00B6748F" w:rsidRPr="00751AC0" w:rsidRDefault="00B6748F" w:rsidP="00B6748F">
      <w:pPr>
        <w:rPr>
          <w:rFonts w:ascii="Garamond" w:hAnsi="Garamond"/>
          <w:color w:val="000000"/>
        </w:rPr>
      </w:pPr>
      <w:r w:rsidRPr="00751AC0">
        <w:rPr>
          <w:rFonts w:ascii="Garamond" w:hAnsi="Garamond"/>
          <w:color w:val="000000"/>
        </w:rPr>
        <w:lastRenderedPageBreak/>
        <w:t>Ich kann dieser kostbaren Argumentation Frazers noch hinzufügen, daß die Erfahrungen der Psychoanalyse die Annahme einer angeborenen Abneigung gegen den Inzestverkehr vollends unmöglich machen. Sie haben im Gegenteile gelehrt, daß die ersten sexuellen Regungen des jugendlichen Menschen regelmäßig inzestuöser Natur sind und daß solche verdrängte Regungen als Triebkräfte der späteren Neurosen eine kaum zu überschätzende Rolle spielen.</w:t>
      </w:r>
    </w:p>
    <w:p w:rsidR="00B6748F" w:rsidRPr="00751AC0" w:rsidRDefault="00B6748F" w:rsidP="00B6748F">
      <w:pPr>
        <w:rPr>
          <w:rFonts w:ascii="Garamond" w:hAnsi="Garamond"/>
          <w:color w:val="000000"/>
        </w:rPr>
      </w:pPr>
      <w:r w:rsidRPr="00751AC0">
        <w:rPr>
          <w:rFonts w:ascii="Garamond" w:hAnsi="Garamond"/>
          <w:color w:val="000000"/>
          <w:lang w:val="en-GB"/>
        </w:rPr>
        <w:t xml:space="preserve">Die Auffassung der Inzestscheu als eines angeborenen Instinkts muß also fallengelassen werden. Nicht besser steht es um eine andere Ableitung des Inzestverbots, welche sich zahlreicher Anhänger erfreut, um die Annahme, daß die primitiven Völker frühzeitig bemerkt haben, mit welchen Gefahren die Inzucht ihr Geschlecht bedrohe, und daß sie darum in bewußter Absicht das Inzestverbot erlassen hätten. Die Einwendungen gegen diesen Erklärungsversuch drängen einander </w:t>
      </w:r>
      <w:hyperlink r:id="rId65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Durkheim (1896/97).</w:t>
        </w:r>
      </w:hyperlink>
      <w:r w:rsidRPr="00751AC0">
        <w:rPr>
          <w:rFonts w:ascii="Garamond" w:hAnsi="Garamond"/>
          <w:color w:val="000000"/>
          <w:lang w:val="en-GB"/>
        </w:rPr>
        <w:t xml:space="preserve">. Nicht nur, daß das Inzestverbot älter sein muß als alle Haustierwirtschaft, an welcher der Mensch Erfahrungen über die Wirkung der Inzucht auf die Eigenschaften der Rasse machen konnte, sondern die schädlichen Folgen der Inzucht sind auch heute noch nicht über jeden Zweifel sichergestellt und beim Menschen nur schwer nachweisbar. Ferner macht alles, was wir über die heutigen Wilden wissen, es sehr unwahrscheinlich, daß die Gedanken ihrer entferntesten Ahnen bereits mit der Verhütung von Schäden für ihre spätere Nachkommenschaft beschäftigt waren. Es klingt fast lächerlich, wenn man diesen ohne jeden Vorbedacht lebenden Menschenkindern hygienische und eugenische Motive zumuten will, wie sie noch kaum in unserer heutigen Kultur Berücksichtigung gefunden haben </w:t>
      </w:r>
      <w:hyperlink r:id="rId65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Ch. Darwin meint von den Wilden: » </w:t>
        </w:r>
        <w:r w:rsidRPr="00751AC0">
          <w:rPr>
            <w:rStyle w:val="innerfusslink3"/>
            <w:rFonts w:ascii="Garamond" w:hAnsi="Garamond" w:cs="Arial"/>
            <w:b/>
            <w:bCs/>
            <w:i/>
            <w:iCs/>
            <w:lang w:val="en-GB"/>
          </w:rPr>
          <w:t>they are not likely to reflect on distant evils to their progeny.</w:t>
        </w:r>
        <w:r w:rsidRPr="00751AC0">
          <w:rPr>
            <w:rStyle w:val="innerfusslink3"/>
            <w:rFonts w:ascii="Garamond" w:hAnsi="Garamond" w:cs="Arial"/>
            <w:b/>
            <w:bCs/>
            <w:lang w:val="en-GB"/>
          </w:rPr>
          <w:t>«</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Endlich wird man auch geltend machen müssen, daß das aus praktisch hygienischen Motiven gegebene Verbot der Inzucht als eines die Rasse schwächenden Moments ganz unangemessen erscheint, um den tiefen Abscheu zu erklären, welcher sich in unserer Gesellschaft gegen den Inzest erhebt. Wie ich an anderer Stelle dargetan habe </w:t>
      </w:r>
      <w:hyperlink r:id="rId659" w:anchor="#" w:history="1">
        <w:r w:rsidRPr="00751AC0">
          <w:rPr>
            <w:rStyle w:val="fusslink"/>
            <w:rFonts w:ascii="Garamond" w:hAnsi="Garamond" w:cs="Arial"/>
            <w:b/>
            <w:bCs/>
            <w:color w:val="003399"/>
          </w:rPr>
          <w:t>[Fußnote]</w:t>
        </w:r>
        <w:r w:rsidRPr="00751AC0">
          <w:rPr>
            <w:rStyle w:val="innerfusslink3"/>
            <w:rFonts w:ascii="Garamond" w:hAnsi="Garamond" w:cs="Arial"/>
            <w:b/>
            <w:bCs/>
          </w:rPr>
          <w:t>Vgl. die erste Abhandlung.</w:t>
        </w:r>
      </w:hyperlink>
      <w:r w:rsidRPr="00751AC0">
        <w:rPr>
          <w:rFonts w:ascii="Garamond" w:hAnsi="Garamond"/>
          <w:color w:val="000000"/>
        </w:rPr>
        <w:t>, erscheint diese Inzestscheu bei den heute lebenden primitiven Völkern eher noch reger und stärker als bei den zivilisierten.</w:t>
      </w:r>
    </w:p>
    <w:p w:rsidR="00B6748F" w:rsidRPr="00751AC0" w:rsidRDefault="00B6748F" w:rsidP="00B6748F">
      <w:pPr>
        <w:rPr>
          <w:rFonts w:ascii="Garamond" w:hAnsi="Garamond"/>
          <w:color w:val="000000"/>
          <w:lang w:val="en-GB"/>
        </w:rPr>
      </w:pPr>
      <w:r w:rsidRPr="00751AC0">
        <w:rPr>
          <w:rFonts w:ascii="Garamond" w:hAnsi="Garamond"/>
          <w:color w:val="000000"/>
        </w:rPr>
        <w:t xml:space="preserve">Während man erwarten konnte, auch für die Ableitung der Inzestscheu die Wahl zu haben zwischen soziologischen, biologischen und psychologischen Erklärungsmöglichkeiten, wobei noch die psychologischen Motive vielleicht als Repräsentanz von biologischen Mächten zu würdigen wären, sieht man sich am Ende der Untersuchung genötigt, dem resignierten Ausspruch Frazers beizutreten: Wir kennen die Herkunft der Inzestscheu nicht und wissen selbst nicht, worauf wir raten sollen. </w:t>
      </w:r>
      <w:r w:rsidRPr="00751AC0">
        <w:rPr>
          <w:rFonts w:ascii="Garamond" w:hAnsi="Garamond"/>
          <w:color w:val="000000"/>
          <w:lang w:val="en-GB"/>
        </w:rPr>
        <w:t xml:space="preserve">Keine der bisher vorgebrachten Lösungen des Rätsels erscheint uns befriedigend </w:t>
      </w:r>
      <w:hyperlink r:id="rId66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Thus the ultimate origin of exogamy and with it the law of incest – since exogamy was devised to prevent incest – remains a problem nearly as dark as ever.</w:t>
        </w:r>
        <w:r w:rsidRPr="00751AC0">
          <w:rPr>
            <w:rStyle w:val="innerfusslink3"/>
            <w:rFonts w:ascii="Garamond" w:hAnsi="Garamond" w:cs="Arial"/>
            <w:b/>
            <w:bCs/>
            <w:lang w:val="en-GB"/>
          </w:rPr>
          <w:t>« T. and Ex. I, p. 165.)</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Ich muß noch eines Versuches erwähnen, die Entstehung der Inzestscheu zu erklären, welcher von ganz anderer Art ist als die bisher betrachteten. Man könnte ihn als eine historische Ableitung bezeichnen. Dieser Versuch knüpft an eine Hypothese von Ch. Darwin über den sozialen Urzustand des Menschen an. Darwin schloß aus den Lebensgewohnheiten der höheren Affen, daß auch der Mensch ursprünglich in kleineren Horden gelebt habe, innerhalb welcher die Eifersucht des ältesten und stärksten Männchens die sexuelle Promiskuität verhinderte. »Wir können in der Tat, nach dem, was wir von der Eifersucht aller Säugetiere wissen, von denen viele mit speziellen Waffen zum Kämpfen mit ihren Nebenbuhlern bewaffnet sind, schließen, daß allgemeine Vermischung der Geschlechter im Naturzustand äußerst unwahrscheinlich ist ... Wenn wir daher im Strome der Zeit weit genug zurückblicken ... und nach den sozialen Gewohnheiten des Menschen, wie er jetzt existiert, schließen, ... ist die wahrscheinlichste Ansicht die, daß der Mensch ursprünglich in kleinen Gesellschaften lebte, jeder Mann mit einer Frau oder, hatte er die Macht, mit mehreren, welche er eifersüchtig gegen alle anderen Männer verteidigte. Oder er mag kein soziales Tier gewesen sein und doch mit mehreren Frauen für sich allein gelebt haben wie der Gorilla; denn alle Eingeborenen ›stimmen darin überein, daß nur ein erwachsenes Männchen in einer Gruppe zu </w:t>
      </w:r>
      <w:r w:rsidRPr="00751AC0">
        <w:rPr>
          <w:rFonts w:ascii="Garamond" w:hAnsi="Garamond"/>
          <w:color w:val="000000"/>
          <w:lang w:val="en-GB"/>
        </w:rPr>
        <w:lastRenderedPageBreak/>
        <w:t xml:space="preserve">sehen ist. Wächst das junge Männchen heran, so findet ein Kampf um die Herrschaft statt, und der Stärkste setzt sich dann, indem er die anderen getötet oder vertrieben hat, als Oberhaupt der Gesellschaft fest‹ (Dr. Savage in </w:t>
      </w:r>
      <w:r w:rsidRPr="00751AC0">
        <w:rPr>
          <w:rFonts w:ascii="Garamond" w:hAnsi="Garamond"/>
          <w:i/>
          <w:iCs/>
          <w:color w:val="000000"/>
          <w:lang w:val="en-GB"/>
        </w:rPr>
        <w:t>Boston Journal of Nat. Hist.</w:t>
      </w:r>
      <w:r w:rsidRPr="00751AC0">
        <w:rPr>
          <w:rFonts w:ascii="Garamond" w:hAnsi="Garamond"/>
          <w:color w:val="000000"/>
          <w:lang w:val="en-GB"/>
        </w:rPr>
        <w:t xml:space="preserve"> Bd. 5, 1845 bis 1847). Die jüngeren Männchen, welche hiedurch ausgestoßen sind und nun herumwandern, werden auch, wenn sie zuletzt beim Finden einer Gattin erfolgreich sind, die zu enge Inzucht innerhalb der Glieder einer und derselben Familie verhüten.« </w:t>
      </w:r>
      <w:hyperlink r:id="rId661" w:anchor="#" w:history="1">
        <w:r w:rsidRPr="00751AC0">
          <w:rPr>
            <w:rStyle w:val="fusslink"/>
            <w:rFonts w:ascii="Garamond" w:hAnsi="Garamond" w:cs="Arial"/>
            <w:b/>
            <w:bCs/>
            <w:color w:val="003399"/>
          </w:rPr>
          <w:t>[Fußnote]</w:t>
        </w:r>
        <w:r w:rsidRPr="00751AC0">
          <w:rPr>
            <w:rStyle w:val="innerfusslink3"/>
            <w:rFonts w:ascii="Garamond" w:hAnsi="Garamond" w:cs="Arial"/>
            <w:b/>
            <w:bCs/>
            <w:i/>
            <w:iCs/>
          </w:rPr>
          <w:t>Abstammung des Menschen,</w:t>
        </w:r>
        <w:r w:rsidRPr="00751AC0">
          <w:rPr>
            <w:rStyle w:val="innerfusslink3"/>
            <w:rFonts w:ascii="Garamond" w:hAnsi="Garamond" w:cs="Arial"/>
            <w:b/>
            <w:bCs/>
          </w:rPr>
          <w:t xml:space="preserve"> übersetzt von V. Carus, II. Bd., Kapitel 20, p. 341.</w:t>
        </w:r>
      </w:hyperlink>
    </w:p>
    <w:p w:rsidR="00B6748F" w:rsidRPr="00751AC0" w:rsidRDefault="00B6748F" w:rsidP="00B6748F">
      <w:pPr>
        <w:rPr>
          <w:rFonts w:ascii="Garamond" w:hAnsi="Garamond"/>
          <w:color w:val="000000"/>
          <w:lang w:val="en-GB"/>
        </w:rPr>
      </w:pPr>
      <w:r w:rsidRPr="00751AC0">
        <w:rPr>
          <w:rFonts w:ascii="Garamond" w:hAnsi="Garamond"/>
          <w:color w:val="000000"/>
        </w:rPr>
        <w:t xml:space="preserve">Atkinson </w:t>
      </w:r>
      <w:hyperlink r:id="rId662" w:anchor="#" w:history="1">
        <w:r w:rsidRPr="00751AC0">
          <w:rPr>
            <w:rStyle w:val="fusslink"/>
            <w:rFonts w:ascii="Garamond" w:hAnsi="Garamond" w:cs="Arial"/>
            <w:b/>
            <w:bCs/>
            <w:color w:val="003399"/>
          </w:rPr>
          <w:t>[Fußnote]</w:t>
        </w:r>
        <w:r w:rsidRPr="00751AC0">
          <w:rPr>
            <w:rStyle w:val="innerfusslink3"/>
            <w:rFonts w:ascii="Garamond" w:hAnsi="Garamond" w:cs="Arial"/>
            <w:b/>
            <w:bCs/>
            <w:i/>
            <w:iCs/>
          </w:rPr>
          <w:t>Primal Law</w:t>
        </w:r>
        <w:r w:rsidRPr="00751AC0">
          <w:rPr>
            <w:rStyle w:val="innerfusslink3"/>
            <w:rFonts w:ascii="Garamond" w:hAnsi="Garamond" w:cs="Arial"/>
            <w:b/>
            <w:bCs/>
          </w:rPr>
          <w:t xml:space="preserve"> (1903) (mit A. Lang, 1903).</w:t>
        </w:r>
      </w:hyperlink>
      <w:r w:rsidRPr="00751AC0">
        <w:rPr>
          <w:rFonts w:ascii="Garamond" w:hAnsi="Garamond"/>
          <w:color w:val="000000"/>
        </w:rPr>
        <w:t xml:space="preserve"> scheint zuerst erkannt zu haben, daß diese Verhältnisse der Darwinschen Urhorde die Exogamie der jungen Männer praktisch durchsetzen mußten. Jeder dieser Vertriebenen konnte eine ähnliche Horde gründen, in welcher dasselbe Verbot des Geschlechtsverkehrs dank der Eifersucht des Oberhauptes galt, und im Laufe der Zeit würde sich aus diesen Zuständen die jetzt als Gesetz bewußte Regel ergeben haben: Kein Sexualverkehr mit den Herdgenossen. </w:t>
      </w:r>
      <w:r w:rsidRPr="00751AC0">
        <w:rPr>
          <w:rFonts w:ascii="Garamond" w:hAnsi="Garamond"/>
          <w:color w:val="000000"/>
          <w:lang w:val="en-GB"/>
        </w:rPr>
        <w:t>Nach Einsetzung des Totemismus hätte sich die Regel in die andere Form gewandelt: Kein Sexualverkehr innerhalb des Totem.</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 Lang (1905, p. 114 und p. 143) hat sich dieser Erklärung der Exogamie angeschlossen. Er vertritt aber in demselben Buche die andere (Durkheimsche) Theorie, welche die Exogamie als Konsequenz aus den Totemgesetzen hervorgehen läßt. Es ist nicht ganz einfach, die beiden Auffassungen miteinander zu vereinigen; im ersten Falle hätte die Exogamie vor dem Totemismus bestanden, im zweiten wäre sie eine Folge desselben </w:t>
      </w:r>
      <w:hyperlink r:id="rId66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If it be granted that exogamy existed in practice, on the lines of Mr. Darwin's theory, before the totem beliefs lent to the practice a sacred sanction, our task is relatively easy. The first practical rule would be that of the jealous Sire, ›No males to touch the females in my camp‹, with expulsion of adolescent sons. In efflux of time that rule, become habitual, would be, ›No marriage within the local group‹. Next let the local groups receive names, such as Emus, Crows, Opossums, Snipes, and the rule becomes, ›No marriage within the local group of animal name; no Snipe to marry a Snipe‹. But, if the primal groups were not exogamous, they would become so, as soon as totemic myths and tabus were developed out of the animal, vegetable, and other names of small local groups.«</w:t>
        </w:r>
        <w:r w:rsidRPr="00751AC0">
          <w:rPr>
            <w:rStyle w:val="innerfusslink3"/>
            <w:rFonts w:ascii="Garamond" w:hAnsi="Garamond" w:cs="Arial"/>
            <w:b/>
            <w:bCs/>
            <w:lang w:val="en-GB"/>
          </w:rPr>
          <w:t xml:space="preserve"> (1905, p. 143.) (Die Hervorhebung in der Mitte dieser Stelle ist mein Werk.) – In seiner letzten Äußerung über den Gegenstand (1911) teilt A. Lang übrigens mit, daß er die Ableitung der Exogamie aus dem » </w:t>
        </w:r>
        <w:r w:rsidRPr="00751AC0">
          <w:rPr>
            <w:rStyle w:val="innerfusslink3"/>
            <w:rFonts w:ascii="Garamond" w:hAnsi="Garamond" w:cs="Arial"/>
            <w:b/>
            <w:bCs/>
            <w:i/>
            <w:iCs/>
            <w:lang w:val="en-GB"/>
          </w:rPr>
          <w:t>general totemic</w:t>
        </w:r>
        <w:r w:rsidRPr="00751AC0">
          <w:rPr>
            <w:rStyle w:val="innerfusslink3"/>
            <w:rFonts w:ascii="Garamond" w:hAnsi="Garamond" w:cs="Arial"/>
            <w:b/>
            <w:bCs/>
            <w:lang w:val="en-GB"/>
          </w:rPr>
          <w:t>« Tabu aufgegeben habe.</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3</w:t>
      </w:r>
    </w:p>
    <w:p w:rsidR="00B6748F" w:rsidRPr="00751AC0" w:rsidRDefault="00B6748F" w:rsidP="00B6748F">
      <w:pPr>
        <w:rPr>
          <w:rFonts w:ascii="Garamond" w:hAnsi="Garamond"/>
          <w:color w:val="000000"/>
          <w:lang w:val="en-GB"/>
        </w:rPr>
      </w:pPr>
      <w:r w:rsidRPr="00751AC0">
        <w:rPr>
          <w:rFonts w:ascii="Garamond" w:hAnsi="Garamond"/>
          <w:color w:val="000000"/>
          <w:lang w:val="en-GB"/>
        </w:rPr>
        <w:t>Einen einzigen Lichtstrahl wirft die psychoanalytische Erfahrung in dieses Dunkel.</w:t>
      </w:r>
    </w:p>
    <w:p w:rsidR="00B6748F" w:rsidRPr="00751AC0" w:rsidRDefault="00B6748F" w:rsidP="00B6748F">
      <w:pPr>
        <w:rPr>
          <w:rFonts w:ascii="Garamond" w:hAnsi="Garamond"/>
          <w:color w:val="000000"/>
          <w:lang w:val="en-GB"/>
        </w:rPr>
      </w:pPr>
      <w:r w:rsidRPr="00751AC0">
        <w:rPr>
          <w:rFonts w:ascii="Garamond" w:hAnsi="Garamond"/>
          <w:color w:val="000000"/>
          <w:lang w:val="en-GB"/>
        </w:rPr>
        <w:t>Das Verhältnis des Kindes zum Tiere hat viel Ähnlichkeit mit dem des Primitiven zum Tiere. Das Kind zeigt noch keine Spur von jenem Hochmut, welcher dann den erwachsenen Kulturmenschen bewegt, seine eigene Natur durch eine scharfe Grenzlinie von allem anderen Animalischen abzusetzen. Es gesteht dem Tiere ohne Bedenken die volle Ebenbürtigkeit zu; im ungehemmten Bekennen zu seinen Bedürfnissen fühlt es sich wohl dem Tiere verwandter als dem ihm wahrscheinlich rätselhaften Erwachsenen.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diesem ausgezeichneten Einverständnis zwischen Kind und Tier tritt nicht selten eine merkwürdige Störung auf. Das Kind beginnt plötzlich eine bestimmte Tierart zu fürchten und sich vor der Berührung oder dem Anblick aller einzelnen dieser Art zu schützen. Es stellt sich das klinische Bild einer </w:t>
      </w:r>
      <w:r w:rsidRPr="00751AC0">
        <w:rPr>
          <w:rFonts w:ascii="Garamond" w:hAnsi="Garamond"/>
          <w:i/>
          <w:iCs/>
          <w:color w:val="000000"/>
          <w:lang w:val="en-GB"/>
        </w:rPr>
        <w:t>Tierphobie</w:t>
      </w:r>
      <w:r w:rsidRPr="00751AC0">
        <w:rPr>
          <w:rFonts w:ascii="Garamond" w:hAnsi="Garamond"/>
          <w:color w:val="000000"/>
          <w:lang w:val="en-GB"/>
        </w:rPr>
        <w:t xml:space="preserve"> her, eine der häufigsten unter den psychoneurotischen Erkrankungen dieses Alters und vielleicht die früheste Form solcher Erkrankung. Die Phobie betrifft in der Regel Tiere, für welche das Kind bis dahin ein besonders lebhaftes Interesse gezeigt hatte, sie hat mit dem Einzeltier nichts zu tun. Die Auswahl unter den Tieren, welche Objekte der Phobie werden können, ist unter städtischen Bedingungen nicht groß. Es sind Pferde, Hunde, Katzen, seltener Vögel, auffällig häufig kleinste Tiere wie Käfer und </w:t>
      </w:r>
      <w:r w:rsidRPr="00751AC0">
        <w:rPr>
          <w:rFonts w:ascii="Garamond" w:hAnsi="Garamond"/>
          <w:color w:val="000000"/>
          <w:lang w:val="en-GB"/>
        </w:rPr>
        <w:lastRenderedPageBreak/>
        <w:t>Schmetterlinge. Manchmal werden Tiere, die dem Kind nur aus Bilderbuch und Märchenerzählung bekannt worden sind, Objekte der unsinnigen und unmäßigen Angst, welche sich bei diesen Phobien zeigt; selten gelingt es einmal, die Wege zu erfahren, auf denen sich eine ungewöhnliche Wahl des Angsttieres vollzogen hat. So verdanke ich K. Abraham die Mitteilung eines Falles, in welchem ein Kind seine Angst vor Wespen selbst durch die Angabe aufklärte, die Farbe und Streifung des Wespenleibes hätte es an den Tiger denken lassen, vor dem es sich nach allem Gehörten fürchten durfte.</w:t>
      </w:r>
    </w:p>
    <w:p w:rsidR="00B6748F" w:rsidRPr="00751AC0" w:rsidRDefault="00B6748F" w:rsidP="00B6748F">
      <w:pPr>
        <w:rPr>
          <w:rFonts w:ascii="Garamond" w:hAnsi="Garamond"/>
          <w:color w:val="000000"/>
          <w:lang w:val="en-GB"/>
        </w:rPr>
      </w:pPr>
      <w:r w:rsidRPr="00751AC0">
        <w:rPr>
          <w:rFonts w:ascii="Garamond" w:hAnsi="Garamond"/>
          <w:color w:val="000000"/>
          <w:lang w:val="en-GB"/>
        </w:rPr>
        <w:t>Die Tierphobien der Kinder sind noch nicht Gegenstand aufmerksamer analytischer Untersuchung geworden, obwohl sie es im hohen Grade verdienen. Die Schwierigkeiten der Analyse mit Kindern in so zartem Alter sind wohl das Motiv der Unterlassung gewesen. Man kann daher nicht behaupten, daß man den allgemeinen Sinn dieser Erkrankungen kennt, und ich meine selbst, daß er sich nicht als einheitlich herausstellen dürfte. Aber einige Fälle von solchen auf größere Tiere gerichteten Phobien haben sich der Analyse zugänglich erwiesen und so dem Untersucher ihr Geheimnis verraten. Es war in jedem Falle das nämliche: die Angst galt im Grunde dem Vater, wenn die untersuchten Kinder Knaben waren, und war nur auf das Tier verschoben worden.</w:t>
      </w:r>
    </w:p>
    <w:p w:rsidR="00B6748F" w:rsidRPr="00751AC0" w:rsidRDefault="00B6748F" w:rsidP="00B6748F">
      <w:pPr>
        <w:rPr>
          <w:rFonts w:ascii="Garamond" w:hAnsi="Garamond"/>
          <w:color w:val="000000"/>
          <w:lang w:val="en-GB"/>
        </w:rPr>
      </w:pPr>
      <w:r w:rsidRPr="00751AC0">
        <w:rPr>
          <w:rFonts w:ascii="Garamond" w:hAnsi="Garamond"/>
          <w:color w:val="000000"/>
          <w:lang w:val="en-GB"/>
        </w:rPr>
        <w:t>Jeder in der Psychoanalyse Erfahrene hat gewiß solche Fälle gesehen und von ihnen den nämlichen Eindruck empfangen. Doch kann ich mich nur auf wenige ausführliche Publikationen darüber berufen. Es ist dies ein Zufall der Literatur, aus welchem nicht geschlossen werden sollte, daß wir unsere Behauptung überhaupt nur auf vereinzelte Beobachtungen stützen können. Ich erwähne z. B. einen Autor, welcher sich verständnisvoll mit den Neurosen des Kindesalters beschäftigt hat, M. Wulff (Odessa). Er erzählt im Zusammenhange der Krankengeschichte eines neunjährigen Knaben, daß dieser mit vier Jahren an einer Hundephobie gelitten hat. »Als er auf der Straße einen Hund vorbeilaufen sah, weinte er und schrie: ›Lieber Hund, fasse mich nicht, ich will artig sein.‹ Unter ›artig sein‹ meinte er: ›nicht mehr Geige spielen‹ (onanieren).« (Wulff, 1912, p. 15.)</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Derselbe Autor resümiert später: »Seine Hundephobie ist eigentlich die auf die Hunde verschobene Angst vor dem Vater, denn seine sonderbare Äußerung: ›Hund, ich will artig sein‹ – d. h. nicht masturbieren – bezieht sich doch eigentlich auf den Vater, der die Masturbation verboten hat.« In einer Anmerkung setzt er dann hinzu, was sich eben so völlig mit meiner Erfahrung deckt und gleichzeitig die Reichlichkeit solcher Erfahrungen bezeugt: »Solche Phobien (Pferdephobien, Hundephobien, Katzen, Hühner und andere Haustiere) sind, glaube ich, im Kindesalter mindestens ebenso verbreitet wie der </w:t>
      </w:r>
      <w:r w:rsidRPr="00751AC0">
        <w:rPr>
          <w:rFonts w:ascii="Garamond" w:hAnsi="Garamond"/>
          <w:i/>
          <w:iCs/>
          <w:color w:val="000000"/>
          <w:lang w:val="en-GB"/>
        </w:rPr>
        <w:t>pavor nocturnus</w:t>
      </w:r>
      <w:r w:rsidRPr="00751AC0">
        <w:rPr>
          <w:rFonts w:ascii="Garamond" w:hAnsi="Garamond"/>
          <w:color w:val="000000"/>
          <w:lang w:val="en-GB"/>
        </w:rPr>
        <w:t xml:space="preserve"> und lassen sich in der Analyse fast immer als eine Verschiebung der Angst von einem der Eltern auf die Tiere entpuppen. Ob die so verbreitete Mäuse- und Rattenphobie denselben Mechanismus hat, möchte ich nicht behaupten.«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Im ersten Band des </w:t>
      </w:r>
      <w:r w:rsidRPr="00751AC0">
        <w:rPr>
          <w:rFonts w:ascii="Garamond" w:hAnsi="Garamond"/>
          <w:i/>
          <w:iCs/>
          <w:color w:val="000000"/>
          <w:lang w:val="en-GB"/>
        </w:rPr>
        <w:t>Jahrbuches für psychoanalytische und psychopathologische Forschungen</w:t>
      </w:r>
      <w:r w:rsidRPr="00751AC0">
        <w:rPr>
          <w:rFonts w:ascii="Garamond" w:hAnsi="Garamond"/>
          <w:color w:val="000000"/>
          <w:lang w:val="en-GB"/>
        </w:rPr>
        <w:t xml:space="preserve"> teilte ich die ›Analyse der Phobie eines fünfjährigen Knaben‹ mit, welche mir der Vater des kleinen Patienten zur Verfügung gestellt hatte. Es war eine Angst vor Pferden, in deren Konsequenz der Knabe sich weigerte, auf die Straße zu gehen. Er äußerte die Befürchtung, das Pferd werde ins Zimmer kommen, werde ihn beißen. Es erwies sich, daß dies die Strafe für seinen Wunsch sein sollte, daß das Pferd umfallen (sterben) möge. Nachdem man dem Knaben durch Zusicherungen die Angst vor dem Vater benommen hatte, ergab es sich, daß er gegen Wünsche ankämpfte, die das Wegsein (Abreisen, Sterben) des Vaters zum Inhalt hatten. Er empfand den Vater, wie er überdeutlich zu erkennen gab, als Konkurrenten in der Gunst der Mutter, auf welche seine keimenden Sexualwünsche in dunkeln Ahnungen gerichtet waren. Er befand sich also in jener typischen Einstellung des männlichen Kindes zu den Eltern, welche wir als den »Ödipuskomplex« bezeichnen und in der wir den Kernkomplex der Neurosen überhaupt erkennen. Was wir neu aus der Analyse des »kleinen Hans« erfahren, ist die für den Totemismus wertvolle Tatsache, daß das Kind unter solchen Bedingungen einen Anteil seiner Gefühle von dem Vater weg auf ein Tier verschiebt.</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 xml:space="preserve">Die Analyse weist die inhaltlich bedeutsamen wie die zufälligen Assoziationswege nach, auf welchen eine solche Verschiebung vor sich geht. Sie läßt auch die Motive derselben erraten. Der aus der Nebenbuhlerschaft bei der Mutter hervorgehende Haß kann sich im Seelenleben des Knaben nicht ungehemmt ausbreiten, er hat mit der seit jeher bestehenden Zärtlichkeit und Bewunderung für dieselbe Person zu kämpfen, das Kind befindet sich in doppelsinniger – </w:t>
      </w:r>
      <w:r w:rsidRPr="00751AC0">
        <w:rPr>
          <w:rFonts w:ascii="Garamond" w:hAnsi="Garamond"/>
          <w:i/>
          <w:iCs/>
          <w:color w:val="000000"/>
          <w:lang w:val="en-GB"/>
        </w:rPr>
        <w:t>ambivalenter</w:t>
      </w:r>
      <w:r w:rsidRPr="00751AC0">
        <w:rPr>
          <w:rFonts w:ascii="Garamond" w:hAnsi="Garamond"/>
          <w:color w:val="000000"/>
          <w:lang w:val="en-GB"/>
        </w:rPr>
        <w:t xml:space="preserve"> – Gefühlseinstellung gegen den Vater und schafft sich Erleichterung in diesem Ambivalenzkonflikt, wenn es seine feindseligen und ängstlichen Gefühle auf ein Vatersurrogat verschiebt. Die Verschiebung kann den Konflikt allerdings nicht in der Weise erledigen, daß sie eine glatte Scheidung der zärtlichen von den feindseligen Gefühlen herstellt. Der Konflikt setzt sich vielmehr auf das Verschiebungsobjekt fort, die Ambivalenz greift auf dieses letztere über. Es ist unverkennbar, daß der kleine Hans den Pferden nicht nur Angst, sondern auch Respekt und Interesse entgegenbringt. Sowie sich seine Angst ermäßigt hat, identifiziert er sich selbst mit dem gefürchteten Tier, springt als Pferd herum und beißt nun seinerseits den Vater </w:t>
      </w:r>
      <w:hyperlink r:id="rId664"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(1909, s. 169).</w:t>
        </w:r>
      </w:hyperlink>
      <w:r w:rsidRPr="00751AC0">
        <w:rPr>
          <w:rFonts w:ascii="Garamond" w:hAnsi="Garamond"/>
          <w:color w:val="000000"/>
          <w:lang w:val="en-GB"/>
        </w:rPr>
        <w:t xml:space="preserve">. In einem anderen Auflösungsstadium der Phobie macht es ihm nichts, die Eltern mit anderen großen Tieren zu identifizieren </w:t>
      </w:r>
      <w:hyperlink r:id="rId665"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 Giraffenphantasie.</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Man darf den Eindruck aussprechen, daß in diesen Tierphobien der Kinder gewisse Züge des Totemismus in negativer Ausprägung wiederkehren. Wir verdanken aber S. Ferenczi die vereinzelt schöne Beobachtung eines Falles, den man nur als positiven Totemismus bei einem Kinde bezeichnen kann (1913). Bei dem kleinen Árpád, von dem Ferenczi berichtet, erwachen die totemistischen Interessen allerdings nicht direkt im Zusammenhang des Ödipuskomplexes, sondern auf Grund der narzißtischen Voraussetzung desselben, der Kastrationsangst. Wer aber die Geschichte des kleinen Hans aufmerksam durchsieht, wird auch in dieser die reichlichsten Zeugnisse dafür finden, daß der Vater als der Besitzer des großen Genitales bewundert und als der Bedroher des eigenen Genitales gefürchtet wird. </w:t>
      </w:r>
      <w:r w:rsidRPr="00751AC0">
        <w:rPr>
          <w:rFonts w:ascii="Garamond" w:hAnsi="Garamond"/>
          <w:color w:val="000000"/>
        </w:rPr>
        <w:t xml:space="preserve">Im Ödipus- wie im Kastrationskomplex spielt der Vater die nämliche Rolle, die des gefürchteten Gegners der infantilen Sexualinteressen. Die Kastration und ihr Ersatz durch die Blendung ist die von ihm drohende Strafe </w:t>
      </w:r>
      <w:hyperlink r:id="rId666" w:anchor="#" w:history="1">
        <w:r w:rsidRPr="00751AC0">
          <w:rPr>
            <w:rStyle w:val="fusslink"/>
            <w:rFonts w:ascii="Garamond" w:hAnsi="Garamond" w:cs="Arial"/>
            <w:b/>
            <w:bCs/>
            <w:color w:val="003399"/>
          </w:rPr>
          <w:t>[Fußnote]</w:t>
        </w:r>
        <w:r w:rsidRPr="00751AC0">
          <w:rPr>
            <w:rStyle w:val="innerfusslink3"/>
            <w:rFonts w:ascii="Garamond" w:hAnsi="Garamond" w:cs="Arial"/>
            <w:b/>
            <w:bCs/>
          </w:rPr>
          <w:t>Über den Ersatz der Kastration durch die auch im Ödipus-Mythus enthaltene Blendung vgl. die Mitteilungen von Reitler (1913), Ferenczi (1913), Rank (1913) und Eder (1913).</w:t>
        </w:r>
      </w:hyperlink>
      <w:r w:rsidRPr="00751AC0">
        <w:rPr>
          <w:rFonts w:ascii="Garamond" w:hAnsi="Garamond"/>
          <w:color w:val="000000"/>
        </w:rPr>
        <w:t>.</w:t>
      </w:r>
    </w:p>
    <w:p w:rsidR="00B6748F" w:rsidRPr="00751AC0" w:rsidRDefault="00B6748F" w:rsidP="00B6748F">
      <w:pPr>
        <w:rPr>
          <w:rFonts w:ascii="Garamond" w:hAnsi="Garamond"/>
          <w:color w:val="000000"/>
          <w:lang w:val="en-GB"/>
        </w:rPr>
      </w:pPr>
      <w:r w:rsidRPr="00751AC0">
        <w:rPr>
          <w:rFonts w:ascii="Garamond" w:hAnsi="Garamond"/>
          <w:color w:val="000000"/>
        </w:rPr>
        <w:t xml:space="preserve">Als der kleine Árpád zweieinhalb Jahre alt war, versuchte er einmal in einem Sommeraufenthalte ins Geflügelhaus zu urinieren, wobei ihn ein Huhn ins Glied biß oder nach seinem Glied schnappte. Als er ein Jahr später an denselben Ort zurückkehrte, wurde er selbst zum Huhn, er interessierte sich nur mehr für das Geflügelhaus und alles, was darin vorging, und gab seine menschliche Sprache gegen Gackern und Krähen auf. </w:t>
      </w:r>
      <w:r w:rsidRPr="00751AC0">
        <w:rPr>
          <w:rFonts w:ascii="Garamond" w:hAnsi="Garamond"/>
          <w:color w:val="000000"/>
          <w:lang w:val="en-GB"/>
        </w:rPr>
        <w:t>Zur Zeit der Beobachtung (fünf Jahre) sprach er wieder, aber beschäftigte sich auch in der Rede ausschließlich nur mit Hühnern und anderem Geflügel. Er spielte mit keinem anderen Spielzeug, sang nur Lieder, in denen etwas vom Federvieh vorkam. Sein Benehmen gegen sein Totemtier war exquisit ambivalent, übermäßiges Hassen und Lieben. Am liebsten spielte er Hühnerschlachten. »Das Schlachten des Federviehs ist ihm überhaupt ein Fest. Er ist imstande, stundenlang um die Tierleichen erregt herumzutanzen.« Aber dann küßte und streichelte er das geschlachtete Tier, reinigte und liebkoste die von ihm selbst mißhandelten Ebenbilder von Hühnern.</w:t>
      </w:r>
    </w:p>
    <w:p w:rsidR="00B6748F" w:rsidRPr="00751AC0" w:rsidRDefault="00B6748F" w:rsidP="00B6748F">
      <w:pPr>
        <w:rPr>
          <w:rFonts w:ascii="Garamond" w:hAnsi="Garamond"/>
          <w:color w:val="000000"/>
          <w:lang w:val="en-GB"/>
        </w:rPr>
      </w:pPr>
      <w:r w:rsidRPr="00751AC0">
        <w:rPr>
          <w:rFonts w:ascii="Garamond" w:hAnsi="Garamond"/>
          <w:color w:val="000000"/>
        </w:rPr>
        <w:t xml:space="preserve">Der kleine Árpád sorgte selbst dafür, daß der Sinn seines sonderbaren Treibens nicht verborgen bleiben konnte. Er übersetzte gelegentlich seine Wünsche aus der totemistischen Ausdrucksweise zurück in die des Alltagslebens. »Mein Vater ist der Hahn«, sagte er einmal. »Jetzt bin ich klein, jetzt bin ich ein Küchlein. </w:t>
      </w:r>
      <w:r w:rsidRPr="00751AC0">
        <w:rPr>
          <w:rFonts w:ascii="Garamond" w:hAnsi="Garamond"/>
          <w:color w:val="000000"/>
          <w:lang w:val="en-GB"/>
        </w:rPr>
        <w:t>Wenn ich größer werde, bin ich ein Huhn. Wenn ich noch größer werde, bin ich ein Hahn.« Ein andermal wünscht er sich plötzlich eine »eingemachte Mutter« zu essen (nach der Analogie des eingemachten Huhns). Er war sehr freigebig mit deutlichen Kastrationsandrohungen gegen andere, wie er sie wegen onanistischer Beschäftigung mit seinem Gliede selbst erfahren hatte.</w:t>
      </w:r>
    </w:p>
    <w:p w:rsidR="00B6748F" w:rsidRPr="00B6748F" w:rsidRDefault="00B6748F" w:rsidP="00B6748F">
      <w:pPr>
        <w:rPr>
          <w:rFonts w:ascii="Garamond" w:hAnsi="Garamond"/>
          <w:color w:val="000000"/>
          <w:lang w:val="en-GB"/>
        </w:rPr>
      </w:pPr>
      <w:r w:rsidRPr="00B6748F">
        <w:rPr>
          <w:rFonts w:ascii="Garamond" w:hAnsi="Garamond"/>
          <w:color w:val="000000"/>
          <w:lang w:val="en-GB"/>
        </w:rPr>
        <w:t xml:space="preserve">Über die Quelle seines Interesses für das Treiben im Hühnerhof blieb nach Ferenczi kein Zweifel: »Der rege Sexualverkehr zwischen Hahn und Henne, das Eierlegen und das Herauskriechen der jungen Brut« </w:t>
      </w:r>
      <w:r w:rsidRPr="00B6748F">
        <w:rPr>
          <w:rFonts w:ascii="Garamond" w:hAnsi="Garamond"/>
          <w:color w:val="000000"/>
          <w:lang w:val="en-GB"/>
        </w:rPr>
        <w:lastRenderedPageBreak/>
        <w:t>befriedigten seine sexuelle Wißbegierde, die eigentlich dem menschlichen Familienleben galt. Nach dem Vorbild des Hühnerlebens hatte er seine Objektwünsche geformt, wenn er einmal der Nachbarin sagte: »Ich werde Sie heiraten und Ihre Schwester und meine drei Cousinen und die Köchin, nein, statt der Köchin lieber die Mutter.«</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werden an späterer Stelle die Würdigung dieser Beobachtung vervollständigen können; heben wir jetzt nur als wertvolle Übereinstimmungen mit dem Totemismus zwei Züge hervor: die volle Identifizierung mit dem Totemtier </w:t>
      </w:r>
      <w:hyperlink r:id="rId66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In welcher nach Frazer (1910, IV, p. 5) das Wesentliche des Totemismus gegeben ist: » </w:t>
        </w:r>
        <w:r w:rsidRPr="00751AC0">
          <w:rPr>
            <w:rStyle w:val="innerfusslink3"/>
            <w:rFonts w:ascii="Garamond" w:hAnsi="Garamond" w:cs="Arial"/>
            <w:b/>
            <w:bCs/>
            <w:i/>
            <w:iCs/>
            <w:lang w:val="en-GB"/>
          </w:rPr>
          <w:t>Totemism is an Identification of a man with his totem.</w:t>
        </w:r>
        <w:r w:rsidRPr="00751AC0">
          <w:rPr>
            <w:rStyle w:val="innerfusslink3"/>
            <w:rFonts w:ascii="Garamond" w:hAnsi="Garamond" w:cs="Arial"/>
            <w:b/>
            <w:bCs/>
            <w:lang w:val="en-GB"/>
          </w:rPr>
          <w:t>«</w:t>
        </w:r>
      </w:hyperlink>
      <w:r w:rsidRPr="00751AC0">
        <w:rPr>
          <w:rFonts w:ascii="Garamond" w:hAnsi="Garamond"/>
          <w:color w:val="000000"/>
          <w:lang w:val="en-GB"/>
        </w:rPr>
        <w:t xml:space="preserve"> und die ambivalente Gefühlseinstellung gegen dasselbe. Wir halten uns nach diesen Beobachtungen für berechtigt, in die Formel des Totemismus – für den Mann – den Vater an Stelle des Totemtieres einzusetzen. Wir merken dann, daß wir damit keinen neuen oder besonders kühnen Schritt getan haben. Die Primitiven sagen es ja selbst und bezeichnen, soweit noch heute das totemistische System in Kraft besteht, den Totem als ihren Ahnherrn und Urvater. Wir haben nur eine Aussage dieser Völker wörtlich genommen, mit welcher die Ethnologen wenig anzufangen wußten und die sie darum gern in den Hintergrund gerückt haben. Die Psychoanalyse mahnt uns, im Gegenteile gerade diesen Punkt hervorzusuchen und an ihn den Erklärungsversuch des Totemismus zu knüpfen </w:t>
      </w:r>
      <w:hyperlink r:id="rId66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O. Rank verdanke ich die Mitteilung eines Falles von Hundephobie bei einem intelligenten jungen Manne, dessen Erklärung, wie er zu seinem Leiden gekommen sei, merklich an die oben (S. 138) erwähnte Totemtheorie der Arunta anklingt. Er meinte, von seinem Vater erfahren zu haben, daß seine Mutter während der Schwangerschaft mit ihm einmal vor einem Hunde erschrocken sei.</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Das erste Ergebnis unserer Ersetzung ist sehr merkwürdig. Wenn das Totemtier der Vater ist, dann fallen die beiden Hauptgebote des Totemismus, die beiden Tabuvorschriften, die seinen Kern ausmachen, den Totem nicht zu töten und kein Weib, das dem Totem angehört, sexuell zu gebrauchen, inhaltlich zusammen mit den beiden Verbrechen des Ödipus, der seinen Vater tötete und seine Mutter zum Weibe nahm, und mit den beiden Urwünschen des Kindes, deren ungenügende Verdrängung oder deren Wiedererweckung den Kern vielleicht aller Psychoneurosen bildet. Sollte diese Gleichung mehr als ein irreleitendes Spiel des Zufalls sein, so müßte sie uns gestatten, ein Licht auf die Entstehung des Totemismus in unvordenklichen Zeiten zu werfen. Mit anderen Worten, es müßte uns gelingen, wahrscheinlich zu machen, daß das totemistische System sich aus den Bedingungen des Ödipuskomplexes ergeben hat wie die Tierphobie des »kleinen Hans« und die Geflügelperversion des »kleinen Árpád«. Um dieser Möglichkeit nachzugehen, werden wir im folgenden eine Eigentümlichkeit des totemistischen Systems oder, wie wir sagen können, der Totemreligion studieren, welche bisher kaum Erwähnung finden konnte.</w:t>
      </w:r>
    </w:p>
    <w:p w:rsidR="00B6748F" w:rsidRPr="00B6748F" w:rsidRDefault="00B6748F" w:rsidP="00B6748F">
      <w:pPr>
        <w:rPr>
          <w:rFonts w:ascii="Garamond" w:hAnsi="Garamond"/>
          <w:color w:val="000000"/>
          <w:lang w:val="en-US"/>
        </w:rPr>
      </w:pPr>
      <w:r w:rsidRPr="00B6748F">
        <w:rPr>
          <w:rFonts w:ascii="Garamond" w:hAnsi="Garamond"/>
          <w:color w:val="000000"/>
          <w:lang w:val="en-US"/>
        </w:rPr>
        <w:t>4</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Der im Jahre 1894 verstorbene W. Robertson Smith, Physiker, Philologe, Bibelkritiker und Altertumsforscher, ein ebenso vielseitiger wie scharfsichtiger und freidenkender Mann, sprach in seinem 1889 veröffentlichten Werke über die Religion der Semiten </w:t>
      </w:r>
      <w:hyperlink r:id="rId66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W. Robertson Smith, </w:t>
        </w:r>
        <w:r w:rsidRPr="00751AC0">
          <w:rPr>
            <w:rStyle w:val="innerfusslink3"/>
            <w:rFonts w:ascii="Garamond" w:hAnsi="Garamond" w:cs="Arial"/>
            <w:b/>
            <w:bCs/>
            <w:i/>
            <w:iCs/>
            <w:lang w:val="en-GB"/>
          </w:rPr>
          <w:t>The Religion of the Semites</w:t>
        </w:r>
        <w:r w:rsidRPr="00751AC0">
          <w:rPr>
            <w:rStyle w:val="innerfusslink3"/>
            <w:rFonts w:ascii="Garamond" w:hAnsi="Garamond" w:cs="Arial"/>
            <w:b/>
            <w:bCs/>
            <w:lang w:val="en-GB"/>
          </w:rPr>
          <w:t>. 1907.</w:t>
        </w:r>
      </w:hyperlink>
      <w:r w:rsidRPr="00751AC0">
        <w:rPr>
          <w:rFonts w:ascii="Garamond" w:hAnsi="Garamond"/>
          <w:color w:val="000000"/>
          <w:lang w:val="en-GB"/>
        </w:rPr>
        <w:t xml:space="preserve"> die Annahme aus, daß eine eigentümliche Zeremonie, die sogenannte </w:t>
      </w:r>
      <w:r w:rsidRPr="00751AC0">
        <w:rPr>
          <w:rFonts w:ascii="Garamond" w:hAnsi="Garamond"/>
          <w:i/>
          <w:iCs/>
          <w:color w:val="000000"/>
          <w:lang w:val="en-GB"/>
        </w:rPr>
        <w:t>Totemmahlzeit</w:t>
      </w:r>
      <w:r w:rsidRPr="00751AC0">
        <w:rPr>
          <w:rFonts w:ascii="Garamond" w:hAnsi="Garamond"/>
          <w:color w:val="000000"/>
          <w:lang w:val="en-GB"/>
        </w:rPr>
        <w:t>, von allem Anfang an einen integrierenden Bestandteil des totemistischen Systems gebildet habe. Zur Stütze dieser Vermutung stand ihm damals nur eine einzige, aus dem 5. Jahrhundert n. Chr. überlieferte Beschreibung eines solchen Aktes zu Gebote, aber er verstand es, die Annahme durch die Analyse des Opferwesens bei den alten Semiten zu einem hohen Grad von Wahrscheinlichkeit zu erheben. Da das Opfer eine göttliche Person voraussetzt, handelt es sich dabei um den Rückschluß von einer höheren Phase des religiösen Ritus auf die niedrigste des Totemismus.</w:t>
      </w:r>
    </w:p>
    <w:p w:rsidR="00B6748F" w:rsidRPr="00751AC0" w:rsidRDefault="00B6748F" w:rsidP="00B6748F">
      <w:pPr>
        <w:rPr>
          <w:rFonts w:ascii="Garamond" w:hAnsi="Garamond"/>
          <w:color w:val="000000"/>
          <w:lang w:val="en-GB"/>
        </w:rPr>
      </w:pPr>
      <w:r w:rsidRPr="00751AC0">
        <w:rPr>
          <w:rFonts w:ascii="Garamond" w:hAnsi="Garamond"/>
          <w:color w:val="000000"/>
          <w:lang w:val="en-GB"/>
        </w:rPr>
        <w:lastRenderedPageBreak/>
        <w:t>Ich will nun versuchen, aus dem ausgezeichneten Buch von Robertson Smith die für unser Interesse entscheidenden Sätze über Ursprung und Bedeutung des Opferritus herauszuheben unter Weglassung aller oft so reizvollen Details und mit konsequenter Hintansetzung aller späteren Entwicklungen. Es ist ganz ausgeschlossen, in einem solchen Auszug dem Leser etwas von der Luzidität oder von der Beweiskraft der Darstellung im Original zu übermitteln.</w:t>
      </w:r>
    </w:p>
    <w:p w:rsidR="00B6748F" w:rsidRPr="00751AC0" w:rsidRDefault="00B6748F" w:rsidP="00B6748F">
      <w:pPr>
        <w:rPr>
          <w:rFonts w:ascii="Garamond" w:hAnsi="Garamond"/>
          <w:color w:val="000000"/>
          <w:lang w:val="en-GB"/>
        </w:rPr>
      </w:pPr>
      <w:r w:rsidRPr="00751AC0">
        <w:rPr>
          <w:rFonts w:ascii="Garamond" w:hAnsi="Garamond"/>
          <w:color w:val="000000"/>
          <w:lang w:val="en-GB"/>
        </w:rPr>
        <w:t>Robertson Smith führt aus, daß das Opfer am Altar das wesentliche Stück im Ritus der alten Religion gewesen ist. Es spielt in allen Religionen die nämliche Rolle, so daß man seine Entstehung auf sehr allgemeine und überall gleichartig wirkende Ursachen zurückführen muß.</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Das Opfer – die heilige Handlung </w:t>
      </w:r>
      <w:r w:rsidRPr="00751AC0">
        <w:rPr>
          <w:rFonts w:ascii="Garamond" w:hAnsi="Garamond"/>
          <w:color w:val="000000"/>
        </w:rPr>
        <w:t>κατ</w:t>
      </w:r>
      <w:r w:rsidRPr="00751AC0">
        <w:rPr>
          <w:rFonts w:ascii="Garamond" w:hAnsi="Garamond"/>
          <w:color w:val="000000"/>
          <w:lang w:val="en-GB"/>
        </w:rPr>
        <w:t xml:space="preserve">' </w:t>
      </w:r>
      <w:r w:rsidRPr="00751AC0">
        <w:rPr>
          <w:rFonts w:ascii="Garamond" w:hAnsi="Garamond"/>
          <w:color w:val="000000"/>
        </w:rPr>
        <w:t>εξοχήν</w:t>
      </w:r>
      <w:r w:rsidRPr="00751AC0">
        <w:rPr>
          <w:rFonts w:ascii="Garamond" w:hAnsi="Garamond"/>
          <w:color w:val="000000"/>
          <w:lang w:val="en-GB"/>
        </w:rPr>
        <w:t xml:space="preserve"> ( </w:t>
      </w:r>
      <w:r w:rsidRPr="00751AC0">
        <w:rPr>
          <w:rFonts w:ascii="Garamond" w:hAnsi="Garamond"/>
          <w:i/>
          <w:iCs/>
          <w:color w:val="000000"/>
          <w:lang w:val="en-GB"/>
        </w:rPr>
        <w:t>sacrificium</w:t>
      </w:r>
      <w:r w:rsidRPr="00751AC0">
        <w:rPr>
          <w:rFonts w:ascii="Garamond" w:hAnsi="Garamond"/>
          <w:color w:val="000000"/>
          <w:lang w:val="en-GB"/>
        </w:rPr>
        <w:t xml:space="preserve">, </w:t>
      </w:r>
      <w:r w:rsidRPr="00751AC0">
        <w:rPr>
          <w:rFonts w:ascii="Garamond" w:hAnsi="Garamond"/>
          <w:color w:val="000000"/>
        </w:rPr>
        <w:t>ιερουργία</w:t>
      </w:r>
      <w:r w:rsidRPr="00751AC0">
        <w:rPr>
          <w:rFonts w:ascii="Garamond" w:hAnsi="Garamond"/>
          <w:color w:val="000000"/>
          <w:lang w:val="en-GB"/>
        </w:rPr>
        <w:t xml:space="preserve">) – bedeutete aber ursprünglich etwas anderes, als was spätere Zeiten darunter verstanden: die Darbringung an die Gottheit, um sie zu versöhnen oder sich geneigt zu machen. (Von dem Nebensinn der Selbstentäußerung ging dann die profane Verwendung des Wortes aus.) Das Opfer war nachweisbar zuerst nichts anderes als » </w:t>
      </w:r>
      <w:r w:rsidRPr="00751AC0">
        <w:rPr>
          <w:rFonts w:ascii="Garamond" w:hAnsi="Garamond"/>
          <w:i/>
          <w:iCs/>
          <w:color w:val="000000"/>
          <w:lang w:val="en-GB"/>
        </w:rPr>
        <w:t>an act of social fellowship between the deity and his worshippers</w:t>
      </w:r>
      <w:r w:rsidRPr="00751AC0">
        <w:rPr>
          <w:rFonts w:ascii="Garamond" w:hAnsi="Garamond"/>
          <w:color w:val="000000"/>
          <w:lang w:val="en-GB"/>
        </w:rPr>
        <w:t>«, ein Akt der Geselligkeit, eine Kommunion der Gläubigen mit ihrem Gotte.</w:t>
      </w:r>
    </w:p>
    <w:p w:rsidR="00B6748F" w:rsidRPr="00B6748F" w:rsidRDefault="00B6748F" w:rsidP="00B6748F">
      <w:pPr>
        <w:rPr>
          <w:rFonts w:ascii="Garamond" w:hAnsi="Garamond"/>
          <w:color w:val="000000"/>
          <w:lang w:val="en-GB"/>
        </w:rPr>
      </w:pPr>
      <w:r w:rsidRPr="00B6748F">
        <w:rPr>
          <w:rFonts w:ascii="Garamond" w:hAnsi="Garamond"/>
          <w:color w:val="000000"/>
          <w:lang w:val="en-GB"/>
        </w:rPr>
        <w:t xml:space="preserve">Als Opfer wurden dargebracht eßbare und trinkbare Dinge; dasselbe, wovon der Mensch sich nährte, Fleisch, Zerealien, Früchte, Wein und Öl, das opferte er auch seinem Gotte. </w:t>
      </w:r>
      <w:r w:rsidRPr="00751AC0">
        <w:rPr>
          <w:rFonts w:ascii="Garamond" w:hAnsi="Garamond"/>
          <w:color w:val="000000"/>
          <w:lang w:val="en-GB"/>
        </w:rPr>
        <w:t xml:space="preserve">Nur in bezug auf das Opferfleisch bestanden Einschränkungen und Abweichungen. Von den Tieropfern speist der Gott gemeinsam mit seinen Anbetern, die vegetabilischen Opfer sind ihm allein überlassen. Es ist kein Zweifel, daß die Tieropfer die älteren sind und einmal die einzigen waren. Die vegetabilischen Opfer sind aus der Darbringung der Erstlinge aller Früchte hervorgegangen und entsprechen einem Tribut an den Herrn des Bodens und des Landes. </w:t>
      </w:r>
      <w:r w:rsidRPr="00B6748F">
        <w:rPr>
          <w:rFonts w:ascii="Garamond" w:hAnsi="Garamond"/>
          <w:color w:val="000000"/>
          <w:lang w:val="en-GB"/>
        </w:rPr>
        <w:t>Das Tieropfer ist aber älter als der Ackerbau.</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Es ist aus sprachlichen Überresten gewiß, daß der dem Gott bestimmte Anteil des Opfers zuerst als seine wirkliche Nahrung angesehen wurde. </w:t>
      </w:r>
      <w:r w:rsidRPr="00751AC0">
        <w:rPr>
          <w:rFonts w:ascii="Garamond" w:hAnsi="Garamond"/>
          <w:color w:val="000000"/>
          <w:lang w:val="en-GB"/>
        </w:rPr>
        <w:t>Mit der fortschreitenden Dematerialisierung des göttlichen Wesens wurde diese Vorstellung anstößig; man wich ihr aus, indem man allein den flüssigen Anteil der Mahlzeit der Gottheit zuwies. Später gestattete der Gebrauch des Feuers, welcher das Opferfleisch auf dem Altar in Rauch aufgehen ließ, eine Zurichtung der menschlichen Nahrungsmittel, durch welche sie dem göttlichen Wesen angemessener wurden. Die Substanz des Trinkopfers war ursprünglich das Blut der Opfertiere; Wein wurde später der Ersatz des Blutes. Der Wein galt den Alten als das »Blut der Rebe«, wie ihn unsere Dichter jetzt noch heißen.</w:t>
      </w:r>
    </w:p>
    <w:p w:rsidR="00B6748F" w:rsidRPr="00751AC0" w:rsidRDefault="00B6748F" w:rsidP="00B6748F">
      <w:pPr>
        <w:rPr>
          <w:rFonts w:ascii="Garamond" w:hAnsi="Garamond"/>
          <w:color w:val="000000"/>
          <w:lang w:val="en-GB"/>
        </w:rPr>
      </w:pPr>
      <w:r w:rsidRPr="00751AC0">
        <w:rPr>
          <w:rFonts w:ascii="Garamond" w:hAnsi="Garamond"/>
          <w:color w:val="000000"/>
          <w:lang w:val="en-GB"/>
        </w:rPr>
        <w:t>Die älteste Form des Opfers, älter als der Gebrauch des Feuers und die Kenntnis des Ackerbaues, war also das Tieropfer, dessen Fleisch und Blut der Gott und seine Anbeter gemeinsam genossen. Es war wesentlich, daß jeder der Teilnehmer seinen Anteil an der Mahlzeit erhalte.</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Ein solches Opfer war eine öffentliche Zeremonie, das Fest eines ganzen Clan. Die Religion war überhaupt eine allgemeine Angelegenheit, die religiöse Pflicht ein Stück der sozialen Verpflichtung. </w:t>
      </w:r>
      <w:r w:rsidRPr="00751AC0">
        <w:rPr>
          <w:rFonts w:ascii="Garamond" w:hAnsi="Garamond"/>
          <w:color w:val="000000"/>
          <w:lang w:val="en-GB"/>
        </w:rPr>
        <w:t>Opfer und Festlichkeit fallen bei allen Völkern zusammen, jedes Opfer bringt ein Fest mit sich, und kein Fest kann ohne Opfer gefeiert werden. Das Opferfest war eine Gelegenheit der freudigen Erhebung über die eigenen Interessen, der Betonung der Zusammengehörigkeit untereinander und mit der Gottheit.</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Die ethische Macht der öffentlichen Opfermahlzeit ruhte auf uralten Vorstellungen über die Bedeutung des gemeinsamen Essens und Trinkens. Mit einem anderen zu essen und zu trinken war gleichzeitig ein Symbol und eine Bekräftigung von sozialer Gemeinschaft und von Übernahme gegenseitiger Verpflichtungen; die Opfermahlzeit brachte zum direkten Ausdruck, daß der Gott und seine Anbeter </w:t>
      </w:r>
      <w:r w:rsidRPr="00B6748F">
        <w:rPr>
          <w:rFonts w:ascii="Garamond" w:hAnsi="Garamond"/>
          <w:i/>
          <w:iCs/>
          <w:color w:val="000000"/>
          <w:lang w:val="en-GB"/>
        </w:rPr>
        <w:t>Commensalen</w:t>
      </w:r>
      <w:r w:rsidRPr="00B6748F">
        <w:rPr>
          <w:rFonts w:ascii="Garamond" w:hAnsi="Garamond"/>
          <w:color w:val="000000"/>
          <w:lang w:val="en-GB"/>
        </w:rPr>
        <w:t xml:space="preserve"> sind, aber damit waren alle ihre anderen Beziehungen gegeben. Gebräuche, die noch heute unter den Arabern der Wüste in Kraft sind, beweisen, daß das Bindende an der gemeinsamen Mahlzeit nicht ein religiöses Moment ist, sondern der Akt des Essens selbst. Wer den kleinsten Bissen mit einem </w:t>
      </w:r>
      <w:r w:rsidRPr="00B6748F">
        <w:rPr>
          <w:rFonts w:ascii="Garamond" w:hAnsi="Garamond"/>
          <w:color w:val="000000"/>
          <w:lang w:val="en-GB"/>
        </w:rPr>
        <w:lastRenderedPageBreak/>
        <w:t xml:space="preserve">solchen Beduinen geteilt oder einen Schluck von seiner Milch getrunken hat, der braucht ihn nicht mehr als Feind zu fürchten, sondern darf seines Schutzes und seiner Hilfe sicher sein. </w:t>
      </w:r>
      <w:r w:rsidRPr="00751AC0">
        <w:rPr>
          <w:rFonts w:ascii="Garamond" w:hAnsi="Garamond"/>
          <w:color w:val="000000"/>
          <w:lang w:val="en-GB"/>
        </w:rPr>
        <w:t>Allerdings nicht für ewige Zeiten; strenggenommen nur für so lange, als der gemeinsam genossene Stoff der Annahme nach in seinem Körper verbleibt. So realistisch wird das Band der Vereinigung aufgefaßt; es bedarf der Wiederholung, um es zu verstärken und dauerhaft zu machen.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Warum wird aber dem gemeinsamen Essen und Trinken diese bindende Kraft zugeschrieben? In den primitivsten Gesellschaften gibt es nur ein Band, welches unbedingt und ausnahmslos einigt, das der Stammesgemeinschaft ( </w:t>
      </w:r>
      <w:r w:rsidRPr="00751AC0">
        <w:rPr>
          <w:rFonts w:ascii="Garamond" w:hAnsi="Garamond"/>
          <w:i/>
          <w:iCs/>
          <w:color w:val="000000"/>
          <w:lang w:val="en-GB"/>
        </w:rPr>
        <w:t>kinship</w:t>
      </w:r>
      <w:r w:rsidRPr="00751AC0">
        <w:rPr>
          <w:rFonts w:ascii="Garamond" w:hAnsi="Garamond"/>
          <w:color w:val="000000"/>
          <w:lang w:val="en-GB"/>
        </w:rPr>
        <w:t xml:space="preserve">). Die Mitglieder dieser Gemeinschaft treten solidarisch füreinander ein, ein </w:t>
      </w:r>
      <w:r w:rsidRPr="00751AC0">
        <w:rPr>
          <w:rFonts w:ascii="Garamond" w:hAnsi="Garamond"/>
          <w:i/>
          <w:iCs/>
          <w:color w:val="000000"/>
          <w:lang w:val="en-GB"/>
        </w:rPr>
        <w:t>Kin</w:t>
      </w:r>
      <w:r w:rsidRPr="00751AC0">
        <w:rPr>
          <w:rFonts w:ascii="Garamond" w:hAnsi="Garamond"/>
          <w:color w:val="000000"/>
          <w:lang w:val="en-GB"/>
        </w:rPr>
        <w:t xml:space="preserve"> ist eine Gruppe von Personen, deren Leben solcherart zu einer physischen Einheit verbunden sind, daß man sie wie Stücke eines gemeinsamen Lebens betrachten kann. Es heißt dann beim Mord eines Einzelnen aus dem </w:t>
      </w:r>
      <w:r w:rsidRPr="00751AC0">
        <w:rPr>
          <w:rFonts w:ascii="Garamond" w:hAnsi="Garamond"/>
          <w:i/>
          <w:iCs/>
          <w:color w:val="000000"/>
          <w:lang w:val="en-GB"/>
        </w:rPr>
        <w:t>Kin</w:t>
      </w:r>
      <w:r w:rsidRPr="00751AC0">
        <w:rPr>
          <w:rFonts w:ascii="Garamond" w:hAnsi="Garamond"/>
          <w:color w:val="000000"/>
          <w:lang w:val="en-GB"/>
        </w:rPr>
        <w:t xml:space="preserve"> nicht: das Blut dieses oder jenes ist vergossen worden, sondern unser Blut ist vergossen worden. Die hebräische Phrase, mit welcher die Stammesverwandtschaft anerkannt wird, lautet: Du bist mein Bein und mein Fleisch. </w:t>
      </w:r>
      <w:r w:rsidRPr="00751AC0">
        <w:rPr>
          <w:rFonts w:ascii="Garamond" w:hAnsi="Garamond"/>
          <w:i/>
          <w:iCs/>
          <w:color w:val="000000"/>
          <w:lang w:val="en-GB"/>
        </w:rPr>
        <w:t>Kinship</w:t>
      </w:r>
      <w:r w:rsidRPr="00751AC0">
        <w:rPr>
          <w:rFonts w:ascii="Garamond" w:hAnsi="Garamond"/>
          <w:color w:val="000000"/>
          <w:lang w:val="en-GB"/>
        </w:rPr>
        <w:t xml:space="preserve"> bedeutet also einen Anteil haben an einer gemeinsamen Substanz. Es ist dann natürlich, daß sie nicht nur auf die Tatsache gegründet wird, daß man ein Teil von der Substanz seiner Mutter ist, von der man geboren und mit deren Milch man genährt wurde, sondern daß auch die Nahrung, die man späterhin genießt und durch die man seinen Körper erneuert, </w:t>
      </w:r>
      <w:r w:rsidRPr="00751AC0">
        <w:rPr>
          <w:rFonts w:ascii="Garamond" w:hAnsi="Garamond"/>
          <w:i/>
          <w:iCs/>
          <w:color w:val="000000"/>
          <w:lang w:val="en-GB"/>
        </w:rPr>
        <w:t>Kinship</w:t>
      </w:r>
      <w:r w:rsidRPr="00751AC0">
        <w:rPr>
          <w:rFonts w:ascii="Garamond" w:hAnsi="Garamond"/>
          <w:color w:val="000000"/>
          <w:lang w:val="en-GB"/>
        </w:rPr>
        <w:t xml:space="preserve"> erwerben und bestärken kann. Teilte man die Mahlzeit mit seinem Gotte, so drückte es die Überzeugung aus, daß man von einem Stoff mit ihm sei, und wen man als Fremden erkannte, mit dem teilte man keine Mahlzeit.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Opfermahlzeit war also ursprünglich ein Festmahl von Stammverwandten, dem Gesetze folgend, daß nur Stammverwandte miteinander essen. In unserer Gesellschaft einigt die Mahlzeit die Mitglieder der Familie, aber mit der Familie hat die Opfermahlzeit nichts zu tun. </w:t>
      </w:r>
      <w:r w:rsidRPr="00751AC0">
        <w:rPr>
          <w:rFonts w:ascii="Garamond" w:hAnsi="Garamond"/>
          <w:i/>
          <w:iCs/>
          <w:color w:val="000000"/>
          <w:lang w:val="en-GB"/>
        </w:rPr>
        <w:t>Kinship</w:t>
      </w:r>
      <w:r w:rsidRPr="00751AC0">
        <w:rPr>
          <w:rFonts w:ascii="Garamond" w:hAnsi="Garamond"/>
          <w:color w:val="000000"/>
          <w:lang w:val="en-GB"/>
        </w:rPr>
        <w:t xml:space="preserve"> ist älter als Familienleben; die ältesten uns bekannten Familien umfassen regelmäßig Personen, die verschiedenen Verwandtschaftsverbänden angehören. Die Männer heiraten Frauen aus fremden Clans, die Kinder erben den Clan der Mutter; es besteht keine Stammesverwandtschaft zwischen dem Manne und den übrigen Familienmitgliedern. In einer solchen Familie gibt es keine gemeinsame Mahlzeit. Die Wilden essen noch heute abseits und allein, und die religiösen Speiseverbote des Totemismus machen ihnen oft die Eßgemeinschaft mit ihren Frauen und Kindern unmöglich.</w:t>
      </w:r>
    </w:p>
    <w:p w:rsidR="00B6748F" w:rsidRPr="00751AC0" w:rsidRDefault="00B6748F" w:rsidP="00B6748F">
      <w:pPr>
        <w:rPr>
          <w:rFonts w:ascii="Garamond" w:hAnsi="Garamond"/>
          <w:color w:val="000000"/>
          <w:lang w:val="en-GB"/>
        </w:rPr>
      </w:pPr>
      <w:r w:rsidRPr="00751AC0">
        <w:rPr>
          <w:rFonts w:ascii="Garamond" w:hAnsi="Garamond"/>
          <w:color w:val="000000"/>
        </w:rPr>
        <w:t xml:space="preserve">Wenden wir uns nun zum Opfertier. Es gab, wie wir gehört, keine Stammeszusammenkunft ohne Tieropfer, aber – was nun bedeutsam ist – auch kein Schlachten eines Tieres außer für solche feierliche Gelegenheit. Man nährte sich ohne Bedenken von Früchten, Wild und von der Milch der Haustiere, aber religiöse Skrupel machten es dem Einzelnen unmöglich, ein Haustier für seinen eigenen Gebrauch zu töten. Es leidet nicht den leisesten Zweifel, sagt Robertson Smith, daß jedes Opfer ursprünglich Clanopfer war und daß das </w:t>
      </w:r>
      <w:r w:rsidRPr="00751AC0">
        <w:rPr>
          <w:rFonts w:ascii="Garamond" w:hAnsi="Garamond"/>
          <w:i/>
          <w:iCs/>
          <w:color w:val="000000"/>
        </w:rPr>
        <w:t>Töten eines Schlachtopfers</w:t>
      </w:r>
      <w:r w:rsidRPr="00751AC0">
        <w:rPr>
          <w:rFonts w:ascii="Garamond" w:hAnsi="Garamond"/>
          <w:color w:val="000000"/>
        </w:rPr>
        <w:t xml:space="preserve"> ursprünglich zu jenen Handlungen gehörte, </w:t>
      </w:r>
      <w:r w:rsidRPr="00751AC0">
        <w:rPr>
          <w:rFonts w:ascii="Garamond" w:hAnsi="Garamond"/>
          <w:i/>
          <w:iCs/>
          <w:color w:val="000000"/>
        </w:rPr>
        <w:t>die dem Einzelnen verboten sind und nur dann gerechtfertigt werden, wenn der ganze Stamm die Verantwortlichkeit mit übernimmt</w:t>
      </w:r>
      <w:r w:rsidRPr="00751AC0">
        <w:rPr>
          <w:rFonts w:ascii="Garamond" w:hAnsi="Garamond"/>
          <w:color w:val="000000"/>
        </w:rPr>
        <w:t xml:space="preserve">. </w:t>
      </w:r>
      <w:r w:rsidRPr="00751AC0">
        <w:rPr>
          <w:rFonts w:ascii="Garamond" w:hAnsi="Garamond"/>
          <w:color w:val="000000"/>
          <w:lang w:val="en-GB"/>
        </w:rPr>
        <w:t xml:space="preserve">Es gibt bei den Primitiven nur eine Klasse von Handlungen, für welche diese Charakteristik zutrifft, nämlich Handlungen, welche an die Heiligkeit des dem Stamme gemeinsamen Blutes rühren. Ein Leben, welches kein Einzelner wegnehmen darf und das nur durch die Zustimmung, unter der Teilnahme aller Clangenossen geopfert werden kann, steht auf derselben Stufe wie das Leben der Stammesgenossen selbst. Die Regel, daß jeder Gast der Opfermahlzeit vom Fleisch des Opfertieres genießen müsse, hat denselben Sinn wie die Vorschrift, daß die Exekution an einem schuldigen Stammesgenossen von dem ganzen Stamm zu vollziehen sei. Mit anderen Worten: Das Opfertier wurde behandelt wie ein Stammverwandter, </w:t>
      </w:r>
      <w:r w:rsidRPr="00751AC0">
        <w:rPr>
          <w:rFonts w:ascii="Garamond" w:hAnsi="Garamond"/>
          <w:i/>
          <w:iCs/>
          <w:color w:val="000000"/>
          <w:lang w:val="en-GB"/>
        </w:rPr>
        <w:t>die opfernde Gemeinde, ihr Gott und das Opfertier waren eines Blutes</w:t>
      </w:r>
      <w:r w:rsidRPr="00751AC0">
        <w:rPr>
          <w:rFonts w:ascii="Garamond" w:hAnsi="Garamond"/>
          <w:color w:val="000000"/>
          <w:lang w:val="en-GB"/>
        </w:rPr>
        <w:t>, Mitglieder eines Clan.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Robertson Smith identifiziert auf Grund einer reichen Evidenz das Opfertier mit dem alten Totemtier. Es gab im späteren Altertum zwei Arten von Opfern, solche von Haustieren, die auch für gewöhnlich gegessen wurden, und ungewöhnliche Opfer von Tieren, die als unrein verboten waren. Die nähere </w:t>
      </w:r>
      <w:r w:rsidRPr="00751AC0">
        <w:rPr>
          <w:rFonts w:ascii="Garamond" w:hAnsi="Garamond"/>
          <w:color w:val="000000"/>
          <w:lang w:val="en-GB"/>
        </w:rPr>
        <w:lastRenderedPageBreak/>
        <w:t>Erforschung zeigt dann, daß diese unreinen Tiere heilige Tiere waren, daß sie den Göttern als Opfer dargebracht wurden, denen sie heilig waren, daß diese Tiere ursprünglich identisch waren mit den Göttern selbst und daß die Gläubigen in irgendeiner Weise beim Opfer ihre Blutsverwandtschaft mit dem Tiere und dem Gotte betonten. Für noch frühere Zeiten entfällt aber dieser Unterschied zwischen gewöhnlichen und »mystischen« Opfern. Alle Tiere sind ursprünglich heilig, ihr Fleisch ist verboten und darf nur bei feierlichen Gelegenheiten unter Teilnahme des ganzen Stammes genossen werden. Das Schlachten des Tieres kommt dem Vergießen von Stammesblut gleich und muß unter den nämlichen Vorsichten und Sicherungen gegen Vorwurf geschehen.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 Zähmung von Haustieren und das Emporkommen der Viehzucht scheint überall dem reinen und strengen Totemismus der Urzeit ein Ende bereitet zu haben </w:t>
      </w:r>
      <w:hyperlink r:id="rId67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The inference is that the domestication to which totemism invariably leads (when there are any animals capable of domestication) is fatal to totemism.</w:t>
        </w:r>
        <w:r w:rsidRPr="00751AC0">
          <w:rPr>
            <w:rStyle w:val="innerfusslink3"/>
            <w:rFonts w:ascii="Garamond" w:hAnsi="Garamond" w:cs="Arial"/>
            <w:b/>
            <w:bCs/>
            <w:lang w:val="en-GB"/>
          </w:rPr>
          <w:t>« (Jevons, 1902, p. 120.)</w:t>
        </w:r>
      </w:hyperlink>
      <w:r w:rsidRPr="00751AC0">
        <w:rPr>
          <w:rFonts w:ascii="Garamond" w:hAnsi="Garamond"/>
          <w:color w:val="000000"/>
          <w:lang w:val="en-GB"/>
        </w:rPr>
        <w:t xml:space="preserve">. Aber was in der nun »pastoralen« Religion den Haustieren an Heiligkeit verblieb, ist deutlich genug, um den ursprünglichen Totemcharakter derselben erkennen zu lassen. Noch in späten klassischen Zeiten schrieb der Ritus an verschiedenen Orten dem Opferer vor, nach vollzogenem Opfer die Flucht zu ergreifen, wie um sich einer Ahndung zu entziehen. In Griechenland muß die Idee, daß die Tötung eines Ochsen eigentlich ein Verbrechen sei, einst allgemein geherrscht haben. An dem athenischen Fest der </w:t>
      </w:r>
      <w:r w:rsidRPr="00751AC0">
        <w:rPr>
          <w:rFonts w:ascii="Garamond" w:hAnsi="Garamond"/>
          <w:i/>
          <w:iCs/>
          <w:color w:val="000000"/>
          <w:lang w:val="en-GB"/>
        </w:rPr>
        <w:t>Euphonien</w:t>
      </w:r>
      <w:r w:rsidRPr="00751AC0">
        <w:rPr>
          <w:rFonts w:ascii="Garamond" w:hAnsi="Garamond"/>
          <w:color w:val="000000"/>
          <w:lang w:val="en-GB"/>
        </w:rPr>
        <w:t xml:space="preserve"> wurde nach dem Opfer ein förmlicher Prozeß eingeleitet, bei dem alle Beteiligten zum Verhör kamen. Endlich einigte man sich, die Schuld an der Mordtat auf das Messer abzuwälzen, welches dann ins Meer geworfen wurde.</w:t>
      </w:r>
    </w:p>
    <w:p w:rsidR="00B6748F" w:rsidRPr="00B6748F" w:rsidRDefault="00B6748F" w:rsidP="00B6748F">
      <w:pPr>
        <w:rPr>
          <w:rFonts w:ascii="Garamond" w:hAnsi="Garamond"/>
          <w:color w:val="000000"/>
          <w:lang w:val="en-GB"/>
        </w:rPr>
      </w:pPr>
      <w:r w:rsidRPr="00B6748F">
        <w:rPr>
          <w:rFonts w:ascii="Garamond" w:hAnsi="Garamond"/>
          <w:color w:val="000000"/>
          <w:lang w:val="en-GB"/>
        </w:rPr>
        <w:t xml:space="preserve">Trotz der Scheu, welche das Leben des heiligen Tieres als eines Stammesgenossen schützt, wird es zur Notwendigkeit, ein solches Tier von Zeit zu Zeit in feierlicher Gemeinschaft zu töten und Fleisch und Blut desselben unter die Clangenossen zu verteilen. Das Motiv, welches diese Tat gebietet, gibt den tiefsten Sinn des Opferwesens preis. Wir haben gehört, daß in späteren Zeiten jedes gemeinsame Essen, die Teilnahme an der nämlichen Substanz, welche in ihre Körper eindringt, ein heiliges Band zwischen den Commensalen herstellt; in ältesten Zeiten scheint diese Bedeutung nur der Teilnahme an der Substanz eines heiligen Opfers zuzukommen. </w:t>
      </w:r>
      <w:r w:rsidRPr="00B6748F">
        <w:rPr>
          <w:rFonts w:ascii="Garamond" w:hAnsi="Garamond"/>
          <w:i/>
          <w:iCs/>
          <w:color w:val="000000"/>
          <w:lang w:val="en-GB"/>
        </w:rPr>
        <w:t>Das heilige Mysterium des Opfertodes rechtfertigt sich, indem nur auf diesem Wege das heilige Band hergestellt werden kann, welches die Teilnehmer untereinander und mit ihrem Gotte einigt</w:t>
      </w:r>
      <w:hyperlink r:id="rId671" w:anchor="#" w:history="1">
        <w:r w:rsidRPr="00B6748F">
          <w:rPr>
            <w:rStyle w:val="fusslink"/>
            <w:rFonts w:ascii="Garamond" w:hAnsi="Garamond" w:cs="Arial"/>
            <w:b/>
            <w:bCs/>
            <w:color w:val="003399"/>
            <w:lang w:val="en-GB"/>
          </w:rPr>
          <w:t>[Fußnote]</w:t>
        </w:r>
        <w:r w:rsidRPr="00B6748F">
          <w:rPr>
            <w:rStyle w:val="innerfusslink3"/>
            <w:rFonts w:ascii="Garamond" w:hAnsi="Garamond" w:cs="Arial"/>
            <w:b/>
            <w:bCs/>
            <w:lang w:val="en-GB"/>
          </w:rPr>
          <w:t>l. c., p. 113.</w:t>
        </w:r>
      </w:hyperlink>
      <w:r w:rsidRPr="00B6748F">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Dieses Band ist nichts anderes als das Leben des Opfertieres, welches in seinem Fleisch und in seinem Blute wohnt und durch die Opfermahlzeit allen Teilnehmern mitgeteilt wird. Eine solche Vorstellung liegt allen </w:t>
      </w:r>
      <w:r w:rsidRPr="00751AC0">
        <w:rPr>
          <w:rFonts w:ascii="Garamond" w:hAnsi="Garamond"/>
          <w:i/>
          <w:iCs/>
          <w:color w:val="000000"/>
          <w:lang w:val="en-GB"/>
        </w:rPr>
        <w:t>Blutbündnissen</w:t>
      </w:r>
      <w:r w:rsidRPr="00751AC0">
        <w:rPr>
          <w:rFonts w:ascii="Garamond" w:hAnsi="Garamond"/>
          <w:color w:val="000000"/>
          <w:lang w:val="en-GB"/>
        </w:rPr>
        <w:t xml:space="preserve"> zugrunde, durch die sich noch in späten Zeiten Menschen gegeneinander verpflichten. Die durchaus realistische Auffassung der Blutsgemeinschaft als Identität der Substanz läßt die Notwendigkeit verstehen, sie von Zeit zu Zeit durch den physischen Prozeß der Opfermahlzeit zu erneuern.</w:t>
      </w:r>
    </w:p>
    <w:p w:rsidR="00B6748F" w:rsidRPr="00B6748F" w:rsidRDefault="00B6748F" w:rsidP="00B6748F">
      <w:pPr>
        <w:rPr>
          <w:rFonts w:ascii="Garamond" w:hAnsi="Garamond"/>
          <w:color w:val="000000"/>
          <w:lang w:val="en-GB"/>
        </w:rPr>
      </w:pPr>
      <w:r w:rsidRPr="00B6748F">
        <w:rPr>
          <w:rFonts w:ascii="Garamond" w:hAnsi="Garamond"/>
          <w:color w:val="000000"/>
          <w:lang w:val="en-GB"/>
        </w:rPr>
        <w:t>Brechen wir hier die Mitteilung der Gedankengänge von Robertson Smith ab, um ihren Kern in gedrängtester Kürze zu resümieren: Als die Idee des Privateigentums aufkam, wurde das Opfer als eine Gabe an die Gottheit, als eine Übertragung aus dem Eigentum des Menschen in das des Gottes aufgefaßt. Allein diese Deutung ließ alle Eigentümlichkeiten des Opferrituals unaufgeklärt. In ältesten Zeiten war das Opfertier selbst heilig, sein Leben unverletzlich gewesen; es konnte nur unter der Teilnahme und Mitschuld des ganzen Stammes und in Gegenwart des Gottes genommen werden, um die heilige Substanz zu liefern, durch deren Genuß die Clangenossen sich ihrer stofflichen Identität untereinander und mit der Gottheit versicherten. Das Opfer war ein Sakrament, das Opfertier selbst ein Stammesgenosse. Es war in Wirklichkeit das alte Totemtier, der primitive Gott selbst, durch dessen Tötung und Verzehrung die Clangenossen ihre Gottähnlichkeit auffrischten und versicherten.</w:t>
      </w:r>
    </w:p>
    <w:p w:rsidR="00B6748F" w:rsidRPr="00751AC0" w:rsidRDefault="00B6748F" w:rsidP="00B6748F">
      <w:pPr>
        <w:rPr>
          <w:rFonts w:ascii="Garamond" w:hAnsi="Garamond"/>
          <w:color w:val="000000"/>
          <w:lang w:val="en-GB"/>
        </w:rPr>
      </w:pPr>
      <w:r w:rsidRPr="00B6748F">
        <w:rPr>
          <w:rFonts w:ascii="Garamond" w:hAnsi="Garamond"/>
          <w:color w:val="000000"/>
          <w:lang w:val="en-GB"/>
        </w:rPr>
        <w:lastRenderedPageBreak/>
        <w:t xml:space="preserve">Aus dieser Analyse des Opferwesens zog Robertson Smith den Schluß, daß die periodische Tötung und Aufzehrung des Totem in Zeiten </w:t>
      </w:r>
      <w:r w:rsidRPr="00B6748F">
        <w:rPr>
          <w:rFonts w:ascii="Garamond" w:hAnsi="Garamond"/>
          <w:i/>
          <w:iCs/>
          <w:color w:val="000000"/>
          <w:lang w:val="en-GB"/>
        </w:rPr>
        <w:t>vor der Verehrung anthropomorpher Gottheiten</w:t>
      </w:r>
      <w:r w:rsidRPr="00B6748F">
        <w:rPr>
          <w:rFonts w:ascii="Garamond" w:hAnsi="Garamond"/>
          <w:color w:val="000000"/>
          <w:lang w:val="en-GB"/>
        </w:rPr>
        <w:t xml:space="preserve"> ein bedeutsames Stück der Totemreligion gewesen sei. </w:t>
      </w:r>
      <w:r w:rsidRPr="00751AC0">
        <w:rPr>
          <w:rFonts w:ascii="Garamond" w:hAnsi="Garamond"/>
          <w:color w:val="000000"/>
          <w:lang w:val="en-GB"/>
        </w:rPr>
        <w:t>Das Zeremoniell einer solchen Totemmahlzeit, meinte er, sei uns in der Beschreibung eines Opfers aus späteren Zeiten erhalten. Der hl. Nilus berichtet von einer Opfersitte der Beduinen in der sinaitischen Wüste um das Ende des vierten Jahrhunderts nach Christi Geburt. Das Opfer, ein Kamel, wurde gebunden auf einen rohen Altar von Steinen gelegt; der Anführer des Stammes ließ die Teilnehmer dreimal unter Gesängen um den Altar herumgehen, brachte dem Tiere die erste Wunde bei und trank gierig das hervorquellende Blut; dann stürzte sich die ganze Gemeinde auf das Opfer, hieb mit den Schwertern Stücke des zuckenden Fleisches los und verzehrte sie roh in solcher Hast, daß in der kurzen Zwischenzeit zwischen dem Aufgang des Morgensterns, dem dieses Opfer galt, und dem Erblassen des Gestirns vor den Sonnenstrahlen alles vom Opfertier, Leib, Knochen, Haut, Fleisch und Eingeweide, vertilgt war. Dieser barbarische, von höchster Altertümlichkeit zeugende Ritus war allen Beweismitteln nach kein vereinzelter Gebrauch, sondern die allgemeine, ursprüngliche Form des Totemopfers, die in späterer Zeit die verschiedensten Abschwächungen erfuhr.</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Viele Autoren haben sich geweigert, der Konzeption der Totemmahlzeit Gewicht beizulegen, weil sie durch die direkte Beobachtung auf der Stufe des Totemismus nicht erhärtet werden konnte. </w:t>
      </w:r>
      <w:r w:rsidRPr="00B6748F">
        <w:rPr>
          <w:rFonts w:ascii="Garamond" w:hAnsi="Garamond"/>
          <w:color w:val="000000"/>
          <w:lang w:val="en-US"/>
        </w:rPr>
        <w:t xml:space="preserve">Robertson Smith hat noch selbst auf die Beispiele hingewiesen, in denen die sakramentale Bedeutung der Opfer gesichert scheint, z. B. bei den Menschenopfern der Azteken, und auf andere, welche an die Bedingungen der Totemmahlzeit erinnern, die Bärenopfer des Bärenstammes der Ouataouaks in Amerika und die Bärenfeste der Ainos in Japan. </w:t>
      </w:r>
      <w:r w:rsidRPr="00751AC0">
        <w:rPr>
          <w:rFonts w:ascii="Garamond" w:hAnsi="Garamond"/>
          <w:color w:val="000000"/>
          <w:lang w:val="en-GB"/>
        </w:rPr>
        <w:t xml:space="preserve">Frazer hat diese und ähnliche Fälle in den beiden letzterschienenen Abteilungen seines großen Werkes ausführlich mitgeteilt </w:t>
      </w:r>
      <w:hyperlink r:id="rId67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(1912)</w:t>
        </w:r>
      </w:hyperlink>
      <w:r w:rsidRPr="00751AC0">
        <w:rPr>
          <w:rFonts w:ascii="Garamond" w:hAnsi="Garamond"/>
          <w:color w:val="000000"/>
          <w:lang w:val="en-GB"/>
        </w:rPr>
        <w:t>. Ein Indianerstamm in Kalifornien, der einen großen Raubvogel (Bussard) verehrt, tötet diesen in feierlicher Zeremonie einmal im Jahre, worauf er betrauert und seine Haut mit den Federn aufbewahrt wird. Die Zuniindianer in Neumexiko verfahren ebenso mit ihrer heiligen Schildkröte.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In den </w:t>
      </w:r>
      <w:r w:rsidRPr="00751AC0">
        <w:rPr>
          <w:rFonts w:ascii="Garamond" w:hAnsi="Garamond"/>
          <w:i/>
          <w:iCs/>
          <w:color w:val="000000"/>
          <w:lang w:val="en-GB"/>
        </w:rPr>
        <w:t>Intichiuma</w:t>
      </w:r>
      <w:r w:rsidRPr="00751AC0">
        <w:rPr>
          <w:rFonts w:ascii="Garamond" w:hAnsi="Garamond"/>
          <w:color w:val="000000"/>
          <w:lang w:val="en-GB"/>
        </w:rPr>
        <w:t>zeremonien der zentralaustralischen Stämme ist ein Zug beobachtet worden, welcher zu den Voraussetzungen von Robertson Smith vortrefflich stimmt. Jeder Stamm, der für die Vermehrung seines Totem, dessen Genuß ihm doch selbst verwehrt ist, Magie treibt, ist gehalten, bei der Zeremonie etwas von seinem Totem selbst zu genießen, ehe derselbe den anderen Stämmen zugänglich wird. Das schönste Beispiel für den sakramentalen Genuß des sonst verbotenen Totem soll sich nach Frazer bei den Bini in Westafrika in Verbindung mit dem Begräbniszeremoniell dieser Stämme finden. (Ibid., II, p. 590.)</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aber wollen Robertson Smith in der Annahme folgen, daß die sakramentale Tötung und gemeinsame Aufzehrung des sonst verbotenen Totemtieres ein bedeutungsvoller Zug der Totemreligion gewesen sei </w:t>
      </w:r>
      <w:hyperlink r:id="rId67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 von verschiedenen Autoren (Marillier, Hubert und Mauss u. a.) gegen diese Theorie des Opfers vorgebrachten Einwendungen sind mir nicht unbekannt geblieben, haben aber den Eindruck der Lehren von Robertson Smith im wesentlichen nicht beeinträchtigt.</w:t>
        </w:r>
      </w:hyperlink>
      <w:r w:rsidRPr="00751AC0">
        <w:rPr>
          <w:rFonts w:ascii="Garamond" w:hAnsi="Garamond"/>
          <w:color w:val="000000"/>
          <w:lang w:val="en-GB"/>
        </w:rPr>
        <w:t>.</w:t>
      </w:r>
    </w:p>
    <w:p w:rsidR="00B6748F" w:rsidRPr="00B6748F" w:rsidRDefault="00B6748F" w:rsidP="00B6748F">
      <w:pPr>
        <w:rPr>
          <w:rFonts w:ascii="Garamond" w:hAnsi="Garamond"/>
          <w:color w:val="000000"/>
          <w:lang w:val="en-GB"/>
        </w:rPr>
      </w:pPr>
      <w:r w:rsidRPr="00B6748F">
        <w:rPr>
          <w:rFonts w:ascii="Garamond" w:hAnsi="Garamond"/>
          <w:color w:val="000000"/>
          <w:lang w:val="en-GB"/>
        </w:rPr>
        <w:t>5</w:t>
      </w:r>
    </w:p>
    <w:p w:rsidR="00B6748F" w:rsidRPr="00751AC0" w:rsidRDefault="00B6748F" w:rsidP="00B6748F">
      <w:pPr>
        <w:rPr>
          <w:rFonts w:ascii="Garamond" w:hAnsi="Garamond"/>
          <w:color w:val="000000"/>
        </w:rPr>
      </w:pPr>
      <w:r w:rsidRPr="00B6748F">
        <w:rPr>
          <w:rFonts w:ascii="Garamond" w:hAnsi="Garamond"/>
          <w:color w:val="000000"/>
          <w:lang w:val="en-GB"/>
        </w:rPr>
        <w:t xml:space="preserve">Stellen wir uns nun die Szene einer solchen Totemmahlzeit vor und statten sie noch mit einigen wahrscheinlichen Zügen aus, die bisher nicht gewürdigt werden konnten. Der Clan, der sein Totemtier bei feierlichem Anlasse auf grausame Art tötet und es roh verzehrt, Blut, Fleisch und Knochen; dabei sind die Stammesgenossen in die Ähnlichkeit des Totem verkleidet, imitieren es in Lauten und Bewegungen, als ob sie seine und ihre Identität betonen wollten. Es ist das Bewußtsein dabei, daß man eine jedem Einzelnen verbotene Handlung ausführt, die nur durch die Teilnahme aller gerechtfertigt werden kann; es darf sich auch keiner von der Tötung und der Mahlzeit ausschließen. </w:t>
      </w:r>
      <w:r w:rsidRPr="00751AC0">
        <w:rPr>
          <w:rFonts w:ascii="Garamond" w:hAnsi="Garamond"/>
          <w:color w:val="000000"/>
          <w:lang w:val="en-GB"/>
        </w:rPr>
        <w:t xml:space="preserve">Nach der Tat wird das hingemordete Tier beweint und beklagt. Die Totenklage ist eine zwangsmäßige, durch die Furcht vor einer drohenden </w:t>
      </w:r>
      <w:r w:rsidRPr="00751AC0">
        <w:rPr>
          <w:rFonts w:ascii="Garamond" w:hAnsi="Garamond"/>
          <w:color w:val="000000"/>
          <w:lang w:val="en-GB"/>
        </w:rPr>
        <w:lastRenderedPageBreak/>
        <w:t xml:space="preserve">Vergeltung erzwungene, ihre Hauptabsicht geht dahin, wie Robertson Smith bei einer analogen Gelegenheit bemerkt, die Verantwortlichkeit für die Tötung von sich abzuwälzen. </w:t>
      </w:r>
      <w:hyperlink r:id="rId674" w:anchor="#" w:history="1">
        <w:r w:rsidRPr="00751AC0">
          <w:rPr>
            <w:rStyle w:val="fusslink"/>
            <w:rFonts w:ascii="Garamond" w:hAnsi="Garamond" w:cs="Arial"/>
            <w:b/>
            <w:bCs/>
            <w:color w:val="003399"/>
          </w:rPr>
          <w:t>[Fußnote]</w:t>
        </w:r>
        <w:r w:rsidRPr="00751AC0">
          <w:rPr>
            <w:rStyle w:val="innerfusslink3"/>
            <w:rFonts w:ascii="Garamond" w:hAnsi="Garamond" w:cs="Arial"/>
            <w:b/>
            <w:bCs/>
          </w:rPr>
          <w:t>1894, p. 412.</w:t>
        </w:r>
      </w:hyperlink>
    </w:p>
    <w:p w:rsidR="00B6748F" w:rsidRPr="00751AC0" w:rsidRDefault="00B6748F" w:rsidP="00B6748F">
      <w:pPr>
        <w:rPr>
          <w:rFonts w:ascii="Garamond" w:hAnsi="Garamond"/>
          <w:color w:val="000000"/>
        </w:rPr>
      </w:pPr>
      <w:r w:rsidRPr="00751AC0">
        <w:rPr>
          <w:rFonts w:ascii="Garamond" w:hAnsi="Garamond"/>
          <w:color w:val="000000"/>
        </w:rPr>
        <w:t xml:space="preserve">Aber nach dieser Trauer folgt die lauteste Festfreude, die Entfesselung aller Triebe und Gestattung aller Befriedigungen. Die Einsicht in das Wesen des </w:t>
      </w:r>
      <w:r w:rsidRPr="00751AC0">
        <w:rPr>
          <w:rFonts w:ascii="Garamond" w:hAnsi="Garamond"/>
          <w:i/>
          <w:iCs/>
          <w:color w:val="000000"/>
        </w:rPr>
        <w:t>Festes</w:t>
      </w:r>
      <w:r w:rsidRPr="00751AC0">
        <w:rPr>
          <w:rFonts w:ascii="Garamond" w:hAnsi="Garamond"/>
          <w:color w:val="000000"/>
        </w:rPr>
        <w:t xml:space="preserve"> fällt uns hier ohne jede Mühe zu.</w:t>
      </w:r>
    </w:p>
    <w:p w:rsidR="00B6748F" w:rsidRPr="00751AC0" w:rsidRDefault="00B6748F" w:rsidP="00B6748F">
      <w:pPr>
        <w:rPr>
          <w:rFonts w:ascii="Garamond" w:hAnsi="Garamond"/>
          <w:color w:val="000000"/>
        </w:rPr>
      </w:pPr>
      <w:r w:rsidRPr="00751AC0">
        <w:rPr>
          <w:rFonts w:ascii="Garamond" w:hAnsi="Garamond"/>
          <w:color w:val="000000"/>
        </w:rPr>
        <w:t>Ein Fest ist ein gestatteter, vielmehr ein gebotener Exzeß, ein feierlicher Durchbruch eines Verbotes. Nicht weil die Menschen infolge irgendeiner Vorschrift froh gestimmt sind, begehen sie die Ausschreitungen, sondern der Exzeß liegt im Wesen des Festes; die festliche Stimmung wird durch die Freigebung des sonst Verbotenen erzeugt.</w:t>
      </w:r>
    </w:p>
    <w:p w:rsidR="00B6748F" w:rsidRPr="00751AC0" w:rsidRDefault="00B6748F" w:rsidP="00B6748F">
      <w:pPr>
        <w:rPr>
          <w:rFonts w:ascii="Garamond" w:hAnsi="Garamond"/>
          <w:color w:val="000000"/>
        </w:rPr>
      </w:pPr>
      <w:r w:rsidRPr="00751AC0">
        <w:rPr>
          <w:rFonts w:ascii="Garamond" w:hAnsi="Garamond"/>
          <w:color w:val="000000"/>
        </w:rPr>
        <w:t>Was soll aber die Einleitung zu dieser Festesfreude, die Trauer über den Tod des Totemtieres? Wenn man sich über die Tötung des Totem, die sonst versagt ist, freut, warum trauert man auch über sie?</w:t>
      </w:r>
    </w:p>
    <w:p w:rsidR="00B6748F" w:rsidRPr="00751AC0" w:rsidRDefault="00B6748F" w:rsidP="00B6748F">
      <w:pPr>
        <w:rPr>
          <w:rFonts w:ascii="Garamond" w:hAnsi="Garamond"/>
          <w:color w:val="000000"/>
          <w:lang w:val="en-GB"/>
        </w:rPr>
      </w:pPr>
      <w:r w:rsidRPr="00751AC0">
        <w:rPr>
          <w:rFonts w:ascii="Garamond" w:hAnsi="Garamond"/>
          <w:color w:val="000000"/>
          <w:lang w:val="en-GB"/>
        </w:rPr>
        <w:t>Wir haben gehört, daß sich die Clangenossen durch den Genuß des Totem heiligen, in ihrer Identifizierung mit ihm und untereinander bestärken. Daß sie das heilige Leben, dessen Träger die Substanz des Totem ist, in sich aufgenommen haben, könnte ja die festliche Stimmung und alles, was aus ihr folgt, erklären.</w:t>
      </w:r>
    </w:p>
    <w:p w:rsidR="00B6748F" w:rsidRPr="00B6748F" w:rsidRDefault="00B6748F" w:rsidP="00B6748F">
      <w:pPr>
        <w:rPr>
          <w:rFonts w:ascii="Garamond" w:hAnsi="Garamond"/>
          <w:color w:val="000000"/>
          <w:lang w:val="en-GB"/>
        </w:rPr>
      </w:pPr>
      <w:r w:rsidRPr="00B6748F">
        <w:rPr>
          <w:rFonts w:ascii="Garamond" w:hAnsi="Garamond"/>
          <w:color w:val="000000"/>
          <w:lang w:val="en-GB"/>
        </w:rPr>
        <w:t>Die Psychoanalyse hat uns verraten, daß das Totemtier wirklich der Ersatz des Vaters ist, und dazu stimmte wohl der Widerspruch, daß es sonst verboten ist, es zu töten, und daß seine Tötung zur Festlichkeit wird, daß man das Tier tötet und es doch betrauert. Die ambivalente Gefühlseinstellung, welche den Vaterkomplex heute noch bei unseren Kindern auszeichnet und sich oft ins Leben der Erwachsenen fortsetzt, würde sich auch auf den Vaterersatz des Totemtieres erstrecken.</w:t>
      </w:r>
    </w:p>
    <w:p w:rsidR="00B6748F" w:rsidRPr="00B6748F" w:rsidRDefault="00B6748F" w:rsidP="00B6748F">
      <w:pPr>
        <w:rPr>
          <w:rFonts w:ascii="Garamond" w:hAnsi="Garamond"/>
          <w:color w:val="000000"/>
          <w:lang w:val="en-GB"/>
        </w:rPr>
      </w:pPr>
      <w:r w:rsidRPr="00B6748F">
        <w:rPr>
          <w:rFonts w:ascii="Garamond" w:hAnsi="Garamond"/>
          <w:color w:val="000000"/>
          <w:lang w:val="en-GB"/>
        </w:rPr>
        <w:t>Allein, wenn man die von der Psychoanalyse gegebene Übersetzung des Totem mit der Tatsache der Totemmahlzeit und der Darwinschen Hypothese über den Urzustand der menschlichen Gesellschaft zusammenhält, ergibt sich die Möglichkeit eines tieferen Verständnisses, der Ausblick auf eine Hypothese, die phantastisch erscheinen mag, aber den Vorteil bietet, eine unvermutete Einheit zwischen bisher gesonderten Reihen von Phänomenen herzustellen.</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Die Darwinsche Urhorde hat natürlich keinen Raum für die Anfänge des Totemismus. Ein gewalttätiger, eifersüchtiger Vater, der alle Weibchen für sich behält und die heranwachsenden Söhne vertreibt, nichts weiter. </w:t>
      </w:r>
      <w:r w:rsidRPr="00751AC0">
        <w:rPr>
          <w:rFonts w:ascii="Garamond" w:hAnsi="Garamond"/>
          <w:color w:val="000000"/>
          <w:lang w:val="en-GB"/>
        </w:rPr>
        <w:t xml:space="preserve">Dieser Urzustand der Gesellschaft ist nirgends Gegenstand der Beobachtung geworden. Was wir als primitivste Organisation finden, was noch heute bei gewissen Stämmen in Kraft besteht, das sind </w:t>
      </w:r>
      <w:r w:rsidRPr="00751AC0">
        <w:rPr>
          <w:rFonts w:ascii="Garamond" w:hAnsi="Garamond"/>
          <w:i/>
          <w:iCs/>
          <w:color w:val="000000"/>
          <w:lang w:val="en-GB"/>
        </w:rPr>
        <w:t>Männerverbände</w:t>
      </w:r>
      <w:r w:rsidRPr="00751AC0">
        <w:rPr>
          <w:rFonts w:ascii="Garamond" w:hAnsi="Garamond"/>
          <w:color w:val="000000"/>
          <w:lang w:val="en-GB"/>
        </w:rPr>
        <w:t>, die aus gleichberechtigten Mitgliedern bestehen und den Einschränkungen des totemistischen Systems unterliegen, dabei mütterliche Erblichkeit. Kann das eine aus dem anderen hervorgegangen sein, und auf welchem Wege war es möglich?</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Die Berufung auf die Feier der Totemmahlzeit gestattet uns eine Antwort zu geben: Eines Tages </w:t>
      </w:r>
      <w:hyperlink r:id="rId675" w:anchor="#" w:history="1">
        <w:r w:rsidRPr="00B6748F">
          <w:rPr>
            <w:rStyle w:val="fusslink"/>
            <w:rFonts w:ascii="Garamond" w:hAnsi="Garamond" w:cs="Arial"/>
            <w:b/>
            <w:bCs/>
            <w:color w:val="003399"/>
            <w:lang w:val="en-GB"/>
          </w:rPr>
          <w:t>[Fußnote]</w:t>
        </w:r>
        <w:r w:rsidRPr="00B6748F">
          <w:rPr>
            <w:rStyle w:val="innerfusslink3"/>
            <w:rFonts w:ascii="Garamond" w:hAnsi="Garamond" w:cs="Arial"/>
            <w:b/>
            <w:bCs/>
            <w:lang w:val="en-GB"/>
          </w:rPr>
          <w:t>Zu dieser Darstellung, die sonst mißverständlich würde, bitte ich die Schlußsätze der nachfolgenden Anmerkung als Korrektiv hinzuzunehmen.</w:t>
        </w:r>
      </w:hyperlink>
      <w:r w:rsidRPr="00B6748F">
        <w:rPr>
          <w:rFonts w:ascii="Garamond" w:hAnsi="Garamond"/>
          <w:color w:val="000000"/>
          <w:lang w:val="en-GB"/>
        </w:rPr>
        <w:t xml:space="preserve"> </w:t>
      </w:r>
      <w:r w:rsidRPr="00751AC0">
        <w:rPr>
          <w:rFonts w:ascii="Garamond" w:hAnsi="Garamond"/>
          <w:color w:val="000000"/>
          <w:lang w:val="en-GB"/>
        </w:rPr>
        <w:t xml:space="preserve">taten sich die ausgetriebenen Brüder zusammen, erschlugen und verzehrten den Vater und machten so der Vaterhorde ein Ende. Vereint wagten sie und brachten zustande, was dem Einzelnen unmöglich geblieben wäre. (Vielleicht hatte ein Kulturfortschritt, die Handhabung einer neuen Waffe, ihnen das Gefühl der Überlegenheit gegeben.) Daß sie den Getöteten auch verzehrten, ist für den kannibalen Wilden selbstverständlich. Der gewalttätige Urvater war gewiß das beneidete und gefürchtete Vorbild eines jeden aus der Brüderschar gewesen. Nun setzten sie im Akte des Verzehrens die Identifizierung mit ihm durch, eigneten sich ein jeder ein Stück seiner Stärke an. Die Totemmahlzeit, vielleicht das erste Fest der Menschheit, wäre die Wiederholung und die Gedenkfeier dieser denkwürdigen, verbrecherischen Tat, mit welcher so vieles seinen Anfang nahm, die sozialen Organisationen, die sittlichen Einschränkungen und die Religion </w:t>
      </w:r>
      <w:hyperlink r:id="rId676"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Die </w:t>
        </w:r>
        <w:r w:rsidRPr="00751AC0">
          <w:rPr>
            <w:rStyle w:val="innerfusslink3"/>
            <w:rFonts w:ascii="Garamond" w:hAnsi="Garamond" w:cs="Arial"/>
            <w:b/>
            <w:bCs/>
            <w:lang w:val="en-GB"/>
          </w:rPr>
          <w:lastRenderedPageBreak/>
          <w:t xml:space="preserve">ungeheuerlich erscheinende Annahme der Überwältigung und Tötung des tyrannischen Vaters durch die Vereinigung der ausgetriebenen Sohne hat sich auch Atkinson als direkte Folgerung aus den Verhältnissen der Darwinschen Urhorde ergeben. » </w:t>
        </w:r>
        <w:r w:rsidRPr="00751AC0">
          <w:rPr>
            <w:rStyle w:val="innerfusslink3"/>
            <w:rFonts w:ascii="Garamond" w:hAnsi="Garamond" w:cs="Arial"/>
            <w:b/>
            <w:bCs/>
            <w:i/>
            <w:iCs/>
            <w:lang w:val="en-GB"/>
          </w:rPr>
          <w:t>A youthful band of brothers living together in forced celibacy, or at most in polyandrous relation with some single female captive. A horde as yet weak in their impubescence they are, but they would, when strength was gained with time, inevitably wrench by combined attacks, renewed again and again, both wife and life from the paternal tyrant</w:t>
        </w:r>
        <w:r w:rsidRPr="00751AC0">
          <w:rPr>
            <w:rStyle w:val="innerfusslink3"/>
            <w:rFonts w:ascii="Garamond" w:hAnsi="Garamond" w:cs="Arial"/>
            <w:b/>
            <w:bCs/>
            <w:lang w:val="en-GB"/>
          </w:rPr>
          <w:t xml:space="preserve">« (1903, p. 220). Atkinson, der übrigens sein Leben in Neu-Caledonien verbrachte und ungewöhnliche Gelegenheit zum Studium der Eingeborenen hatte, beruft sich auch darauf, daß die von Darwin supponierten Zustände der Urhorde bei wilden Rinder- und Pferdeherden leicht zu beobachten sind und regelmäßig zur Tötung des Vatertieres führen. Er nimmt dann weiter an, daß nach der Beseitigung des Vaters ein Zerfall der Horde durch den erbitterten Kampf der siegreichen Söhne untereinander eintritt. Auf diese Weise käme eine neue Organisation der Gesellschaft niemals zustande: » </w:t>
        </w:r>
        <w:r w:rsidRPr="00751AC0">
          <w:rPr>
            <w:rStyle w:val="innerfusslink3"/>
            <w:rFonts w:ascii="Garamond" w:hAnsi="Garamond" w:cs="Arial"/>
            <w:b/>
            <w:bCs/>
            <w:i/>
            <w:iCs/>
            <w:lang w:val="en-GB"/>
          </w:rPr>
          <w:t>an ever recurring violent succession to the solitary paternal tyrant by sons, whose parricidal hands were so soon again clenched in fratricidal strife</w:t>
        </w:r>
        <w:r w:rsidRPr="00751AC0">
          <w:rPr>
            <w:rStyle w:val="innerfusslink3"/>
            <w:rFonts w:ascii="Garamond" w:hAnsi="Garamond" w:cs="Arial"/>
            <w:b/>
            <w:bCs/>
            <w:lang w:val="en-GB"/>
          </w:rPr>
          <w:t xml:space="preserve">« (p. 228). Atkinson, dem die Winke der Psychoanalyse nicht zu Gebote standen und dem die Studien von Robertson Smith nicht bekannt waren, findet einen minder gewaltsamen Übergang von der Urhorde zur nächsten sozialen Stufe, auf welcher zahlreiche Männer in friedlicher Gemeinschaft zusammenleben. Er läßt es die Mutterliebe durchsetzen, daß anfangs nur die jüngsten, später auch andere Söhne in der Horde verbleiben, wofür diese Geduldeten das sexuelle Vorrecht des Vaters in Form der von ihnen geübten Entsagung gegen Mutter und Schwestern anerkennen.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lang w:val="en-GB"/>
          </w:rPr>
          <w:t xml:space="preserve">So viel über die höchst bemerkenswerte Theorie von Atkinson, ihre Übereinstimmung mit der hier vorgetragenen im </w:t>
        </w:r>
        <w:r w:rsidRPr="00751AC0">
          <w:rPr>
            <w:rStyle w:val="innerfusslink3"/>
            <w:rFonts w:ascii="Garamond" w:hAnsi="Garamond" w:cs="Arial"/>
            <w:b/>
            <w:bCs/>
            <w:i/>
            <w:iCs/>
            <w:lang w:val="en-GB"/>
          </w:rPr>
          <w:t>wesentlichen</w:t>
        </w:r>
        <w:r w:rsidRPr="00751AC0">
          <w:rPr>
            <w:rStyle w:val="innerfusslink3"/>
            <w:rFonts w:ascii="Garamond" w:hAnsi="Garamond" w:cs="Arial"/>
            <w:b/>
            <w:bCs/>
            <w:lang w:val="en-GB"/>
          </w:rPr>
          <w:t xml:space="preserve"> Punkte und ihre Abweichung davon, welche den Verzicht auf den Zusammenhang mit so vielem anderen mit sich bringt.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lang w:val="en-GB"/>
          </w:rPr>
          <w:t>Die Unbestimmtheit, die zeitliche Verkürzung und inhaltliche Zusammendrängung der Angaben in meinen obenstehenden Ausführungen darf ich als eine durch die Natur des Gegenstandes geforderte Enthaltung hinstellen. Es wäre ebenso unsinnig, In dieser Materie Exaktheit anzustreben, wie es unbillig wäre, Sicherheiten zu fordern.</w:t>
        </w:r>
      </w:hyperlink>
      <w:r w:rsidRPr="00751AC0">
        <w:rPr>
          <w:rFonts w:ascii="Garamond" w:hAnsi="Garamond"/>
          <w:color w:val="000000"/>
          <w:lang w:val="en-GB"/>
        </w:rPr>
        <w:t>.</w:t>
      </w:r>
    </w:p>
    <w:p w:rsidR="00B6748F" w:rsidRPr="00B6748F" w:rsidRDefault="00B6748F" w:rsidP="00B6748F">
      <w:pPr>
        <w:rPr>
          <w:rFonts w:ascii="Garamond" w:hAnsi="Garamond"/>
          <w:color w:val="000000"/>
          <w:lang w:val="en-GB"/>
        </w:rPr>
      </w:pPr>
      <w:r w:rsidRPr="00B6748F">
        <w:rPr>
          <w:rFonts w:ascii="Garamond" w:hAnsi="Garamond"/>
          <w:color w:val="000000"/>
          <w:lang w:val="en-GB"/>
        </w:rPr>
        <w:t xml:space="preserve">Um, von der Voraussetzung absehend, diese Folgen glaubwürdig zu finden, braucht man nur anzunehmen, daß die sich zusammenrottende Brüderschar von denselben einander widersprechenden Gefühlen gegen den Vater beherrscht war, die wir als Inhalt der Ambivalenz des Vaterkomplexes bei jedem unserer Kinder und unserer Neurotiker nachweisen können. </w:t>
      </w:r>
      <w:r w:rsidRPr="00751AC0">
        <w:rPr>
          <w:rFonts w:ascii="Garamond" w:hAnsi="Garamond"/>
          <w:color w:val="000000"/>
          <w:lang w:val="en-GB"/>
        </w:rPr>
        <w:t xml:space="preserve">Sie haßten den Vater, der ihrem Machtbedürfnis und ihren sexuellen Ansprüchen so mächtig im Wege stand, aber sie liebten und bewunderten ihn auch. Nachdem sie ihn beseitigt, ihren Haß befriedigt und ihren Wunsch nach Identifizierung mit ihm durchgesetzt hatten, mußten sich die dabei überwältigten zärtlichen Regungen zur Geltung bringen </w:t>
      </w:r>
      <w:hyperlink r:id="rId67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Dieser neuen Gefühlseinstellung mußte auch zugute kommen, daß die Tat keinem der Täter die volle Befriedigung bringen konnte. Sie war in gewisser Hinsicht vergeblich geschehen. Keiner der Söhne konnte ja seinen ursprünglichen Wunsch durchsetzen, die Stelle des Vaters einzunehmen. Der Mißerfolg ist aber, wie wir wissen, der moralischen Reaktion weit günstiger als die Befriedigung.</w:t>
        </w:r>
      </w:hyperlink>
      <w:r w:rsidRPr="00751AC0">
        <w:rPr>
          <w:rFonts w:ascii="Garamond" w:hAnsi="Garamond"/>
          <w:color w:val="000000"/>
          <w:lang w:val="en-GB"/>
        </w:rPr>
        <w:t xml:space="preserve">. Es geschah in der Form der Reue, es entstand ein Schuldbewußtsein, welches hier mit der gemeinsam empfundenen Reue zusammenfällt. Der Tote wurde nun stärker, als der Lebende gewesen war; all dies, wie wir es noch heute an Menschenschicksalen sehen. Was er früher durch seine Existenz verhindert hatte, das verboten sie sich jetzt selbst in der psychischen Situation des uns aus den Psychoanalysen so wohl bekannten » </w:t>
      </w:r>
      <w:r w:rsidRPr="00751AC0">
        <w:rPr>
          <w:rFonts w:ascii="Garamond" w:hAnsi="Garamond"/>
          <w:i/>
          <w:iCs/>
          <w:color w:val="000000"/>
          <w:lang w:val="en-GB"/>
        </w:rPr>
        <w:t>nachträglichen Gehorsams</w:t>
      </w:r>
      <w:r w:rsidRPr="00751AC0">
        <w:rPr>
          <w:rFonts w:ascii="Garamond" w:hAnsi="Garamond"/>
          <w:color w:val="000000"/>
          <w:lang w:val="en-GB"/>
        </w:rPr>
        <w:t xml:space="preserve">«. Sie widerriefen ihre Tat, indem sie die Tötung des Vaterersatzes, des Totem, für unerlaubt erklärten, und verzichteten auf deren Früchte, indem sie sich die freigewordenen Frauen versagten. So schufen sie aus dem </w:t>
      </w:r>
      <w:r w:rsidRPr="00751AC0">
        <w:rPr>
          <w:rFonts w:ascii="Garamond" w:hAnsi="Garamond"/>
          <w:i/>
          <w:iCs/>
          <w:color w:val="000000"/>
          <w:lang w:val="en-GB"/>
        </w:rPr>
        <w:lastRenderedPageBreak/>
        <w:t>Schuldbewußtsein des Sohnes</w:t>
      </w:r>
      <w:r w:rsidRPr="00751AC0">
        <w:rPr>
          <w:rFonts w:ascii="Garamond" w:hAnsi="Garamond"/>
          <w:color w:val="000000"/>
          <w:lang w:val="en-GB"/>
        </w:rPr>
        <w:t xml:space="preserve"> die beiden fundamentalen Tabu des Totemismus, die eben darum mit den beiden verdrängten Wünschen des Ödipuskomplexes übereinstimmen mußten. Wer dawiderhandelte, machte sich der beiden einzigen Verbrechen schuldig, welche die primitive Gesellschaft bekümmerten </w:t>
      </w:r>
      <w:hyperlink r:id="rId67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Murder and incest, or offences of a like kind against the sacred law of blood, are in primitive society the only crimes of which the community as such takes cognizance..</w:t>
        </w:r>
        <w:r w:rsidRPr="00751AC0">
          <w:rPr>
            <w:rStyle w:val="innerfusslink3"/>
            <w:rFonts w:ascii="Garamond" w:hAnsi="Garamond" w:cs="Arial"/>
            <w:b/>
            <w:bCs/>
            <w:lang w:val="en-GB"/>
          </w:rPr>
          <w:t xml:space="preserve">.« </w:t>
        </w:r>
        <w:r w:rsidRPr="00B6748F">
          <w:rPr>
            <w:rStyle w:val="innerfusslink3"/>
            <w:rFonts w:ascii="Garamond" w:hAnsi="Garamond" w:cs="Arial"/>
            <w:b/>
            <w:bCs/>
            <w:lang w:val="en-GB"/>
          </w:rPr>
          <w:t>(Smith, 1894, p. 419).</w:t>
        </w:r>
      </w:hyperlink>
      <w:r w:rsidRPr="00B6748F">
        <w:rPr>
          <w:rFonts w:ascii="Garamond" w:hAnsi="Garamond"/>
          <w:color w:val="000000"/>
          <w:lang w:val="en-GB"/>
        </w:rPr>
        <w:t>.</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Die beiden Tabu des Totemismus, mit denen die Sittlichkeit der Menschen beginnt, sind psychologisch nicht gleichwertig. Nur das eine, die Schonung des Totemtieres, ruht ganz auf Gefühlsmotiven; der Vater war ja beseitigt, in der Realität war nichts mehr gutzumachen. </w:t>
      </w:r>
      <w:r w:rsidRPr="00751AC0">
        <w:rPr>
          <w:rFonts w:ascii="Garamond" w:hAnsi="Garamond"/>
          <w:color w:val="000000"/>
          <w:lang w:val="en-GB"/>
        </w:rPr>
        <w:t xml:space="preserve">Das andere aber, das Inzestverbot, hatte auch eine starke praktische Begründung. </w:t>
      </w:r>
      <w:r w:rsidRPr="00751AC0">
        <w:rPr>
          <w:rFonts w:ascii="Garamond" w:hAnsi="Garamond"/>
          <w:color w:val="000000"/>
        </w:rPr>
        <w:t xml:space="preserve">Das sexuelle Bedürfnis einigt die Männer nicht, sondern entzweit sie. </w:t>
      </w:r>
      <w:r w:rsidRPr="00751AC0">
        <w:rPr>
          <w:rFonts w:ascii="Garamond" w:hAnsi="Garamond"/>
          <w:color w:val="000000"/>
          <w:lang w:val="en-GB"/>
        </w:rPr>
        <w:t xml:space="preserve">Hatten sich die Brüder verbündet, um den Vater zu überwältigen, so war jeder des anderen Nebenbuhler bei den Frauen. Jeder hätte sie wie der Vater alle für sich haben wollen, und in dem Kampfe aller gegen alle wäre die neue Organisation zugrunde gegangen. Es war kein Überstarker mehr da, der die Rolle des Vaters mit Erfolg hätte aufnehmen können. Somit blieb den Brüdern, wenn sie miteinander leben wollten, nichts übrig, als – vielleicht nach Überwindung schwerer Zwischenfälle – das Inzestverbot aufzurichten, mit welchem sie alle zugleich auf die von ihnen begehrten Frauen verzichteten, um derentwegen sie doch in erster Linie den Vater beseitigt hatten. Sie retteten so die Organisation, welche sie stark gemacht hatte und die auf homosexuellen Gefühlen und Betätigungen ruhen konnte, welche sich in der Zeit der Vertreibung bei ihnen eingestellt haben mochten. Vielleicht war es auch diese Situation, welche den Keim zu den von Bachofen erkannten Institutionen des </w:t>
      </w:r>
      <w:r w:rsidRPr="00751AC0">
        <w:rPr>
          <w:rFonts w:ascii="Garamond" w:hAnsi="Garamond"/>
          <w:i/>
          <w:iCs/>
          <w:color w:val="000000"/>
          <w:lang w:val="en-GB"/>
        </w:rPr>
        <w:t>Mutterrechts</w:t>
      </w:r>
      <w:r w:rsidRPr="00751AC0">
        <w:rPr>
          <w:rFonts w:ascii="Garamond" w:hAnsi="Garamond"/>
          <w:color w:val="000000"/>
          <w:lang w:val="en-GB"/>
        </w:rPr>
        <w:t xml:space="preserve"> legte, bis dieses von der patriarchalischen Familienordnung abgelöst wurde.</w:t>
      </w:r>
    </w:p>
    <w:p w:rsidR="00B6748F" w:rsidRPr="00751AC0" w:rsidRDefault="00B6748F" w:rsidP="00B6748F">
      <w:pPr>
        <w:rPr>
          <w:rFonts w:ascii="Garamond" w:hAnsi="Garamond"/>
          <w:color w:val="000000"/>
          <w:lang w:val="en-GB"/>
        </w:rPr>
      </w:pPr>
      <w:r w:rsidRPr="00751AC0">
        <w:rPr>
          <w:rFonts w:ascii="Garamond" w:hAnsi="Garamond"/>
          <w:color w:val="000000"/>
          <w:lang w:val="en-GB"/>
        </w:rPr>
        <w:t>An das andere Tabu, welches das Leben des Totemtieres beschützt, knüpft hingegen der Anspruch des Totemismus an, als erster Versuch einer Religion gewertet zu werden. Bot sich dem Empfinden der Söhne das Tier als natürlicher und nächstliegender Ersatz des Vaters, so fand sich in der ihnen zwanghaft gebotenen Behandlung desselben doch noch mehr Ausdruck als das Bedürfnis, ihre Reue zur Darstellung zu bringen. Es konnte mit dem Vatersurrogat der Versuch gemacht werden, das brennende Schuldgefühl zu beschwichtigen, eine Art von Aussöhnung mit dem Vater zu bewerkstelligen. Das totemistische System war gleichsam ein Vertrag mit dem Vater, in dem der letztere all das zusagte, was die kindliche Phantasie vom Vater erwarten durfte, Schutz, Fürsorge und Schonung, wogegen man sich verpflichtete, sein Leben zu ehren, das heißt die Tat an ihm nicht zu wiederholen, durch die der wirkliche Vater zugrunde gegangen war. Es lag auch ein Rechtfertigungsversuch im Totemismus. »Hätte der Vater uns behandelt wie der Totem, wir wären nie in die Versuchung gekommen, ihn zu töten.« So verhalf der Totemismus dazu, die Verhältnisse zu beschönigen und das Ereignis vergessen zu machen, dem er seine Entstehung verdankte.</w:t>
      </w:r>
    </w:p>
    <w:p w:rsidR="00B6748F" w:rsidRPr="00B6748F" w:rsidRDefault="00B6748F" w:rsidP="00B6748F">
      <w:pPr>
        <w:rPr>
          <w:rFonts w:ascii="Garamond" w:hAnsi="Garamond"/>
          <w:color w:val="000000"/>
          <w:lang w:val="en-GB"/>
        </w:rPr>
      </w:pPr>
      <w:r w:rsidRPr="00B6748F">
        <w:rPr>
          <w:rFonts w:ascii="Garamond" w:hAnsi="Garamond"/>
          <w:color w:val="000000"/>
          <w:lang w:val="en-GB"/>
        </w:rPr>
        <w:t>Es wurden hiebei Züge geschaffen, die fortan für den Charakter der Religion bestimmend blieben. Die Totemreligion war aus dem Schuldbewußtsein der Söhne hervorgegangen als Versuch, dies Gefühl zu beschwichtigen und den beleidigten Vater durch den nachträglichen Gehorsam zu versöhnen. Alle späteren Religionen erweisen sich als Lösungsversuche desselben Problems, variabel je nach dem kulturellen Zustand, in dem sie unternommen werden, und nach den Wegen, die sie einschlagen, aber es sind alle gleichzielende Reaktionen auf dieselbe große Begebenheit, mit der die Kultur begonnen hat und die seitdem die Menschheit nicht zur Ruhe kommen läßt.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Auch ein anderer Charakter, den die Religion treu bewahrt hat, ist damals schon im Totemismus hervorgetreten. Die Ambivalenzspannung war wohl zu groß, um durch irgendeine Veranstaltung ausgeglichen zu werden, oder die psychologischen Bedingungen sind der Erledigung dieser Gefühlsgegensätze überhaupt nicht günstig. Man merkt jedenfalls, daß die dem Vaterkomplex anhaftende Ambivalenz sich auch in den Totemismus und in die Religionen überhaupt fortsetzt. Die Religion des Totem umfaßt nicht nur die Äußerungen der Reue und die Versuche der Versöhnung, sondern dient auch </w:t>
      </w:r>
      <w:r w:rsidRPr="00751AC0">
        <w:rPr>
          <w:rFonts w:ascii="Garamond" w:hAnsi="Garamond"/>
          <w:color w:val="000000"/>
          <w:lang w:val="en-GB"/>
        </w:rPr>
        <w:lastRenderedPageBreak/>
        <w:t>der Erinnerung an den Triumph über den Vater. Die Befriedigung darüber läßt das Erinnerungsfest der Totemmahlzeit einsetzen, bei dem die Einschränkungen des nachträglichen Gehorsams wegfallen, macht es zur Pflicht, das Verbrechen des Vatermordes in der Opferung des Totemtieres immer wieder von neuem zu wiederholen, sooft der festgehaltene Erwerb jener Tat, die Aneignung der Eigenschaften des Vaters, infolge der verändernden Einflüsse des Lebens zu entschwinden droht. Wir werden nicht überrascht sein zu finden, daß auch der Anteil des Sohnestrotzes, oft in den merkwürdigsten Verkleidungen und Umwendungen, in späteren Religionsbildungen wieder auftaucht.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Verfolgen wir in Religion und sittlicher Vorschrift, die im Totemismus noch wenig scharf gesondert sind, bisher die Folgen der in Reue verwandelten zärtlichen Strömung gegen den Vater, so wollen wir doch nicht übersehen, daß im wesentlichen die Tendenzen, welche zum Vatermord gedrängt haben, den Sieg behalten. Die sozialen Brudergefühle, auf denen die große Umwälzung ruht, bewahren von nun an über lange Zeiten den tiefstgehenden Einfluß auf die Entwicklung der Gesellschaft. Sie schaffen sich Ausdruck in der Heiligung des gemeinsamen Blutes, in der Betonung der Solidarität aller Leben desselben Clans. Indem die Brüder sich einander so das Leben zusichern, sprechen sie aus, daß niemand von ihnen vom anderen behandelt werden dürfe wie der Vater von ihnen allen gemeinsam. Sie schließen eine Wiederholung des Vaterschicksals aus. Zum religiös begründeten Verbot, den Totem zu töten, kommt nun das sozial begründete Verbot des Brudermordes hinzu. Es wird dann noch lange währen, bis das Gebot die Einschränkung auf den Stammesgenossen abstreifen und den einfachen Wortlaut annehmen wird: Du sollst nicht morden. Zunächst ist an Stelle der </w:t>
      </w:r>
      <w:r w:rsidRPr="00751AC0">
        <w:rPr>
          <w:rFonts w:ascii="Garamond" w:hAnsi="Garamond"/>
          <w:i/>
          <w:iCs/>
          <w:color w:val="000000"/>
          <w:lang w:val="en-GB"/>
        </w:rPr>
        <w:t>Vaterhorde</w:t>
      </w:r>
      <w:r w:rsidRPr="00751AC0">
        <w:rPr>
          <w:rFonts w:ascii="Garamond" w:hAnsi="Garamond"/>
          <w:color w:val="000000"/>
          <w:lang w:val="en-GB"/>
        </w:rPr>
        <w:t xml:space="preserve"> der </w:t>
      </w:r>
      <w:r w:rsidRPr="00751AC0">
        <w:rPr>
          <w:rFonts w:ascii="Garamond" w:hAnsi="Garamond"/>
          <w:i/>
          <w:iCs/>
          <w:color w:val="000000"/>
          <w:lang w:val="en-GB"/>
        </w:rPr>
        <w:t>Brüderclan</w:t>
      </w:r>
      <w:r w:rsidRPr="00751AC0">
        <w:rPr>
          <w:rFonts w:ascii="Garamond" w:hAnsi="Garamond"/>
          <w:color w:val="000000"/>
          <w:lang w:val="en-GB"/>
        </w:rPr>
        <w:t xml:space="preserve"> getreten, welcher sich durch das Blutband versichert hat. Die Gesellschaft ruht jetzt auf der Mitschuld an dem gemeinsam verübten Verbrechen, die Religion auf dem Schuldbewußtsein und der Reue darüber, die Sittlichkeit teils auf den Notwendigkeiten dieser Gesellschaft, zum anderen Teil auf den vom Schuldbewußtsein geforderten Bußen.</w:t>
      </w:r>
    </w:p>
    <w:p w:rsidR="00B6748F" w:rsidRPr="00751AC0" w:rsidRDefault="00B6748F" w:rsidP="00B6748F">
      <w:pPr>
        <w:rPr>
          <w:rFonts w:ascii="Garamond" w:hAnsi="Garamond"/>
          <w:color w:val="000000"/>
          <w:lang w:val="en-GB"/>
        </w:rPr>
      </w:pPr>
      <w:r w:rsidRPr="00751AC0">
        <w:rPr>
          <w:rFonts w:ascii="Garamond" w:hAnsi="Garamond"/>
          <w:color w:val="000000"/>
          <w:lang w:val="en-GB"/>
        </w:rPr>
        <w:t>Im Gegensatz zu den neueren und in Anlehnung an die älteren Auffassungen des totemistischen Systems heißt uns also die Psychoanalyse einen innigen Zusammenhang und gleichzeitigen Ursprung von Totemismus und Exogamie vertreten.</w:t>
      </w:r>
    </w:p>
    <w:p w:rsidR="00B6748F" w:rsidRPr="00751AC0" w:rsidRDefault="00B6748F" w:rsidP="00B6748F">
      <w:pPr>
        <w:rPr>
          <w:rFonts w:ascii="Garamond" w:hAnsi="Garamond"/>
          <w:color w:val="000000"/>
          <w:lang w:val="en-GB"/>
        </w:rPr>
      </w:pPr>
      <w:r w:rsidRPr="00751AC0">
        <w:rPr>
          <w:rFonts w:ascii="Garamond" w:hAnsi="Garamond"/>
          <w:color w:val="000000"/>
          <w:lang w:val="en-GB"/>
        </w:rPr>
        <w:t>6</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Ich stehe unter der Einwirkung einer großen Anzahl von starken Motiven, die mich vom Versuche zurückhalten werden, die weitere Entwicklung der Religionen von ihrem Beginn im Totemismus an bis zu ihrem heutigen Stande zu schildern. Ich will nur zwei Fäden hindurch verfolgen, wo ich sie im Gewebe besonders deutlich auftauchen sehe: das Motiv des Totemopfers und das Verhältnis des Sohnes zum Vater </w:t>
      </w:r>
      <w:hyperlink r:id="rId67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die zum Teil von abweichenden Gesichtspunkten beherrschte Arbeit von C. G. Jung (1912).</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Robertson Smith hat uns belehrt, daß die alte Totemmahlzeit in der ursprünglichen Form des Opfers wiederkehrt. Der Sinn der Handlung ist derselbe: die Heiligung durch die Teilnahme an der gemeinsamen Mahlzeit; auch das Schuldbewußtsein ist dabei geblieben, welches nur durch die Solidarität aller Teilnehmer beschwichtigt werden kann. Neu hinzugekommen ist die Stammesgottheit, in deren gedachter Gegenwart das Opfer stattfindet, die an dem Mahle teilnimmt wie ein Stammesgenosse und mit der man sich durch den Genuß am Opfer identifiziert. Wie kommt der Gott in die ihm ursprünglich fremde Situation? Die Antwort könnte lauten, es sei unterdes – unbekannt woher – die Gottesidee aufgetaucht, habe sich das ganze religiöse Leben unterworfen, und wie alles andere, was bestehenbleiben wollte, hätte auch die Totemmahlzeit den Anschluß an das neue System gewinnen müssen. Allein die psychoanalytische Erforschung des einzelnen Menschen lehrt mit einer ganz besonderen Nachdrücklichkeit, daß für jeden der Gott nach dem Vater gebildet ist, daß sein persönliches Verhältnis zu Gott von seinem Verhältnis zum leiblichen Vater abhängt, mit ihm schwankt und sich verwandelt und daß Gott im Grunde nichts </w:t>
      </w:r>
      <w:r w:rsidRPr="00751AC0">
        <w:rPr>
          <w:rFonts w:ascii="Garamond" w:hAnsi="Garamond"/>
          <w:color w:val="000000"/>
          <w:lang w:val="en-GB"/>
        </w:rPr>
        <w:lastRenderedPageBreak/>
        <w:t>anderes ist als ein erhöhter Vater. Die Psychoanalyse rät auch hier wie im Falle des Totemismus, den Gläubigen Glauben zu schenken, die Gott Vater nennen, wie sie den Totem Ahnherrn genannt haben. Wenn die Psychoanalyse irgendwelche Beachtung verdient, so muß, unbeschadet aller anderen Ursprünge und Bedeutungen Gottes, auf welche die Psychoanalyse kein Licht werfen kann, der Vateranteil an der Gottesidee ein sehr gewichtiger sein. Dann wäre aber in der Situation des primitiven Opfers der Vater zweimal vertreten, einmal als Gott und dann als das Totemopfertier, und bei allem Bescheiden mit der geringen Mannigfaltigkeit der psychoanalytischen Lösungen müssen wir fragen, ob das möglich ist und welchen Sinn es haben kann.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wissen, daß mehrfache Beziehungen zwischen dem Gott und dem heiligen Tier (Totem, Opfertier) bestehen: 1. Jedem Gott ist gewöhnlich ein Tier heilig, nicht selten selbst mehrere; </w:t>
      </w:r>
      <w:smartTag w:uri="urn:schemas-microsoft-com:office:smarttags" w:element="metricconverter">
        <w:smartTagPr>
          <w:attr w:name="ProductID" w:val="2. in"/>
        </w:smartTagPr>
        <w:r w:rsidRPr="00751AC0">
          <w:rPr>
            <w:rFonts w:ascii="Garamond" w:hAnsi="Garamond"/>
            <w:color w:val="000000"/>
            <w:lang w:val="en-GB"/>
          </w:rPr>
          <w:t>2. in</w:t>
        </w:r>
      </w:smartTag>
      <w:r w:rsidRPr="00751AC0">
        <w:rPr>
          <w:rFonts w:ascii="Garamond" w:hAnsi="Garamond"/>
          <w:color w:val="000000"/>
          <w:lang w:val="en-GB"/>
        </w:rPr>
        <w:t xml:space="preserve"> gewissen, besonders heiligen Opfern, den »mystischen«, wurde dem Gotte gerade das ihm geheiligte Tier zum Opfer dargebracht (Smith, 1894); 3. der Gott wurde häufig in der Gestalt eines Tieres verehrt oder, anders gesehen, Tiere genossen göttliche Verehrung lange nach dem Zeitalter des Totemismus; </w:t>
      </w:r>
      <w:smartTag w:uri="urn:schemas-microsoft-com:office:smarttags" w:element="metricconverter">
        <w:smartTagPr>
          <w:attr w:name="ProductID" w:val="4. In"/>
        </w:smartTagPr>
        <w:r w:rsidRPr="00751AC0">
          <w:rPr>
            <w:rFonts w:ascii="Garamond" w:hAnsi="Garamond"/>
            <w:color w:val="000000"/>
            <w:lang w:val="en-GB"/>
          </w:rPr>
          <w:t>4. in</w:t>
        </w:r>
      </w:smartTag>
      <w:r w:rsidRPr="00751AC0">
        <w:rPr>
          <w:rFonts w:ascii="Garamond" w:hAnsi="Garamond"/>
          <w:color w:val="000000"/>
          <w:lang w:val="en-GB"/>
        </w:rPr>
        <w:t xml:space="preserve"> den Mythen verwandelt sich der Gott häufig in ein Tier, oft in das ihm geheiligte. So läge die Annahme nahe, daß der Gott selbst das Totemtier wäre, sich auf einer späteren Stufe des religiösen Fühlens aus dem Totemtier entwickelt hätte. Aller weiteren Diskussion überhebt uns aber die Erwägung, daß der Totem selbst nichts anderes ist als ein Vaterersatz. So mag er die erste Form des Vaterersatzes sein, der Gott aber eine spätere, in welcher der Vater seine menschliche Gestalt wiedergewonnen. Eine solche Neuschöpfung aus der Wurzel aller Religionsbildung, der </w:t>
      </w:r>
      <w:r w:rsidRPr="00751AC0">
        <w:rPr>
          <w:rFonts w:ascii="Garamond" w:hAnsi="Garamond"/>
          <w:i/>
          <w:iCs/>
          <w:color w:val="000000"/>
          <w:lang w:val="en-GB"/>
        </w:rPr>
        <w:t>Vatersehnsucht</w:t>
      </w:r>
      <w:r w:rsidRPr="00751AC0">
        <w:rPr>
          <w:rFonts w:ascii="Garamond" w:hAnsi="Garamond"/>
          <w:color w:val="000000"/>
          <w:lang w:val="en-GB"/>
        </w:rPr>
        <w:t>, konnte möglich werden, wenn sich im Laufe der Zeiten am Verhältnis zum Vater – und vielleicht auch zum Tiere – Wesentliches geändert hatte.</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Solche Veränderungen lassen sich leicht erraten, auch wenn man von dem Beginn einer psychischen Entfremdung von dem Tiere und von der Zersetzung des Totemismus durch die Domestikation absehen will. (S. oben S. 167) In der durch die Beseitigung des Vaters hergestellten Situation lag ein Moment, welches im Laufe der Zeit eine außerordentliche Steigerung der Vatersehnsucht erzeugen mußte. Die Brüder, welche sich zur Tötung des Vaters zusammengetan hatten, waren ja jeder für sich vom Wunsche beseelt gewesen, dem Vater gleich zu werden, und hatten diesem Wunsche durch Einverleibung von Teilen seines Ersatzes in der Totemmahlzeit Ausdruck gegeben. </w:t>
      </w:r>
      <w:r w:rsidRPr="00751AC0">
        <w:rPr>
          <w:rFonts w:ascii="Garamond" w:hAnsi="Garamond"/>
          <w:color w:val="000000"/>
        </w:rPr>
        <w:t xml:space="preserve">Dieser Wunsch mußte infolge des Druckes, welchen die Bande des Brüderclan auf jeden Teilnehmer übten, unerfüllt bleiben. Es konnte und durfte niemand mehr die Machtvollkommenheit des Vaters erreichen, nach der sie doch alle gestrebt hatten. Somit konnte im Laufe langer Zeiten die Erbitterung gegen den Vater, die zur Tat gedrängt hatte, nachlassen, die Sehnsucht nach ihm wachsen, und es konnte ein Ideal entstehen, welches die Machtfülle und Unbeschränktheit des einst bekämpften Urvaters und die Bereitwilligkeit, sich ihm zu unterwerfen, zum Inhalt hatte. Die ursprüngliche demokratische Gleichstellung aller einzelnen Stammesgenossen war infolge einschneidender kultureller Veränderungen nicht mehr festzuhalten; somit zeigte sich eine Geneigtheit, in Anlehnung an die Verehrung einzelner Menschen, die sich vor anderen hervorgetan hatten, das alte Vaterideal in der Schöpfung von Göttern wiederzubeleben. </w:t>
      </w:r>
      <w:r w:rsidRPr="00751AC0">
        <w:rPr>
          <w:rFonts w:ascii="Garamond" w:hAnsi="Garamond"/>
          <w:color w:val="000000"/>
          <w:lang w:val="en-GB"/>
        </w:rPr>
        <w:t xml:space="preserve">Daß ein Mensch zum Gott wird und daß ein Gott stirbt, was uns heute als empörende Zumutung erscheint, war ja noch für das Vorstellungsvermögen des klassischen Altertums keineswegs anstößig </w:t>
      </w:r>
      <w:hyperlink r:id="rId68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 </w:t>
        </w:r>
        <w:r w:rsidRPr="00751AC0">
          <w:rPr>
            <w:rStyle w:val="innerfusslink3"/>
            <w:rFonts w:ascii="Garamond" w:hAnsi="Garamond" w:cs="Arial"/>
            <w:b/>
            <w:bCs/>
            <w:i/>
            <w:iCs/>
            <w:lang w:val="en-GB"/>
          </w:rPr>
          <w:t>To us moderns, for whom the breach which divides the human and the divine has deepened into an impassible gulf, such mimicry may appear impious, but it was otherwise with the ancients. To their thinking gods and men were akin, for many families traced their descent from a divinity, and the deification of a man probably seemed as little extraordinary to them as the canonization of a saint seems to a modern Catholic.</w:t>
        </w:r>
        <w:r w:rsidRPr="00751AC0">
          <w:rPr>
            <w:rStyle w:val="innerfusslink3"/>
            <w:rFonts w:ascii="Garamond" w:hAnsi="Garamond" w:cs="Arial"/>
            <w:b/>
            <w:bCs/>
            <w:lang w:val="en-GB"/>
          </w:rPr>
          <w:t>« (Frazer, 1911, II, p. 177.)</w:t>
        </w:r>
      </w:hyperlink>
      <w:r w:rsidRPr="00751AC0">
        <w:rPr>
          <w:rFonts w:ascii="Garamond" w:hAnsi="Garamond"/>
          <w:color w:val="000000"/>
          <w:lang w:val="en-GB"/>
        </w:rPr>
        <w:t>. Die Erhöhung des einst gemordeten Vaters zum Gott, von dem nun der Stamm seine Herkunft ableitete, war aber ein weit ernsthafterer Sühneversuch als seinerzeit der Vertrag mit dem Totem.</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Wo sich in dieser Entwicklung die Stelle für die großen Muttergottheiten findet, die vielleicht allgemein den Vatergöttern vorhergegangen sind, weiß ich nicht anzugeben. Sicher scheint aber, daß die Wandlung </w:t>
      </w:r>
      <w:r w:rsidRPr="00751AC0">
        <w:rPr>
          <w:rFonts w:ascii="Garamond" w:hAnsi="Garamond"/>
          <w:color w:val="000000"/>
          <w:lang w:val="en-GB"/>
        </w:rPr>
        <w:lastRenderedPageBreak/>
        <w:t>im Verhältnis zum Vater sich nicht auf das religiöse Gebiet beschränkte, sondern folgerichtig auf die andere durch die Beseitigung des Vaters beeinflußte Seite des menschlichen Lebens, auf die soziale Organisation, übergriff. Mit der Einsetzung der Vatergottheiten wandelte sich die vaterlose Gesellschaft allmählich in die patriarchalisch geordnete um. Die Familie war eine Wiederherstellung der einstigen Urhorde und gab den Vätern auch ein großes Stück ihrer früheren Rechte wieder. Es gab jetzt wieder Väter, aber die sozialen Errungenschaften des Brüderclan waren nicht aufgegeben worden, und der faktische Abstand der neuen Familienväter vom unumschränkten Urvater der Horde war groß genug, um die Fortdauer des religiösen Bedürfnisses, die Erhaltung der ungestillten Vatersehnsucht, zu versichern.</w:t>
      </w:r>
    </w:p>
    <w:p w:rsidR="00B6748F" w:rsidRPr="00751AC0" w:rsidRDefault="00B6748F" w:rsidP="00B6748F">
      <w:pPr>
        <w:rPr>
          <w:rFonts w:ascii="Garamond" w:hAnsi="Garamond"/>
          <w:color w:val="000000"/>
          <w:lang w:val="en-GB"/>
        </w:rPr>
      </w:pPr>
      <w:r w:rsidRPr="00751AC0">
        <w:rPr>
          <w:rFonts w:ascii="Garamond" w:hAnsi="Garamond"/>
          <w:color w:val="000000"/>
          <w:lang w:val="en-GB"/>
        </w:rPr>
        <w:t>In der Opferszene vor dem Stammesgott ist also der Vater wirklich zweimal enthalten, als Gott und als Totemopfertier. Aber bei dem Versuch, diese Situation zu verstehen, werden wir uns vor Deutungen in acht nehmen, welche sie in flächenhafter Auffassung wie eine Allegorie übersetzen wollen und dabei der historischen Schichtung vergessen. Die zweifache Anwesenheit des Vaters entspricht den zwei einander zeitlich ablösenden Bedeutungen der Szene. Die ambivalente Einstellung gegen den Vater hat hier plastischen Ausdruck gefunden und ebenso der Sieg der zärtlichen Gefühlsregungen des Sohnes über seine feindseligen. Die Szene der Überwältigung des Vaters, seiner größten Erniedrigung, ist hier zum Material für eine Darstellung seines höchsten Triumphes geworden. Die Bedeutung, die das Opfer ganz allgemein gewonnen hat, liegt eben darin, daß es dem Vater die Genugtuung für die an ihm verübte Schmach in derselben Handlung bietet, welche die Erinnerung an diese Untat fortsetzt.</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In weiterer Folge verliert das Tier seine Heiligkeit und das Opfer die Beziehung zur Totemfeier; es wird zu einer einfachen Darbringung an die Gottheit, zu einer Selbstentäußerung zugunsten des Gottes. </w:t>
      </w:r>
      <w:r w:rsidRPr="00751AC0">
        <w:rPr>
          <w:rFonts w:ascii="Garamond" w:hAnsi="Garamond"/>
          <w:color w:val="000000"/>
          <w:lang w:val="en-GB"/>
        </w:rPr>
        <w:t xml:space="preserve">Gott selbst ist jetzt so hoch über den Menschen erhaben, daß man mit ihm nur durch die Vermittlung des Priesters verkehren kann. Gleichzeitig kennt die soziale Ordnung göttergleiche Könige, welche das patriarchalische System auf den Staat übertragen. Wir müssen sagen, die Rache des gestürzten und wiedereingesetzten Vaters ist eine harte geworden, die Herrschaft der Autorität steht auf ihrer Höhe. Die unterworfenen Söhne haben das neue Verhältnis dazu benützt, um ihr Schuldbewußtsein noch weiter zu entlasten. Das Opfer, wie es jetzt ist, fällt ganz aus ihrer Verantwortlichkeit heraus. Gott selbst hat es verlangt und angeordnet. Zu dieser Phase gehören Mythen, in welchen der Gott selbst das Tier tötet, das ihm heilig ist, das er eigentlich selbst ist. Dies ist die äußerste Verleugnung der großen Untat, mit welcher die Gesellschaft und das Schuldbewußtsein begann. Eine zweite Bedeutung dieser letzteren Opferdarstellung ist nicht zu verkennen. Sie drückt die Befriedigung darüber aus, daß man den früheren Vaterersatz zugunsten der höheren Gottesvorstellung verlassen hat. Die flach allegorische Übersetzung der Szene fällt hier ungefähr mit ihrer psychoanalytischen Deutung zusammen. Jene lautet: es werde dargestellt, daß der Gott den tierischen Anteil seines Wesens überwindet </w:t>
      </w:r>
      <w:hyperlink r:id="rId68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Die Überwindung einer Göttergeneration durch eine andere in den Mythologien bedeutet bekanntlich den historischen Vorgang der Ersetzung eines religiösen Systems durch ein neues, sei es infolge von Eroberung durch ein Fremdvolk oder auf dem Wege psychologischer Entwicklung. Im letzteren Falle nähert sich der Mythus den »funktionalen Phänomenen« im Sinne von H. Silberer. Daß der das Tier tötende Gott ein Libidosymbol ist, wie C. G. Jung (1912) behauptet, setzt einen anderen Begriff der Libido als den bisher verwendeten voraus und erscheint mir überhaupt fragwürdig.</w:t>
        </w:r>
      </w:hyperlink>
      <w:r w:rsidRPr="00751AC0">
        <w:rPr>
          <w:rFonts w:ascii="Garamond" w:hAnsi="Garamond"/>
          <w:color w:val="000000"/>
          <w:lang w:val="en-GB"/>
        </w:rPr>
        <w:t>.</w:t>
      </w:r>
    </w:p>
    <w:p w:rsidR="00B6748F" w:rsidRPr="00B6748F" w:rsidRDefault="00B6748F" w:rsidP="00B6748F">
      <w:pPr>
        <w:rPr>
          <w:rFonts w:ascii="Garamond" w:hAnsi="Garamond"/>
          <w:color w:val="000000"/>
          <w:lang w:val="en-GB"/>
        </w:rPr>
      </w:pPr>
      <w:r w:rsidRPr="00B6748F">
        <w:rPr>
          <w:rFonts w:ascii="Garamond" w:hAnsi="Garamond"/>
          <w:color w:val="000000"/>
          <w:lang w:val="en-GB"/>
        </w:rPr>
        <w:t>Es wäre indes irrig, wenn man glauben wollte, in diesen Zeiten der erneuerten Vaterautorität seien die feindseligen Regungen, welche dem Vaterkomplex zugehören, völlig verstummt. Aus den ersten Phasen der Herrschaft der beiden neuen Vaterersatzbildungen, der Götter und der Könige, kennen wir vielmehr die energischesten Äußerungen jener Ambivalenz, welche für die Religion charakteristisch bleibt.</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Frazer hat in seinem großen Werk </w:t>
      </w:r>
      <w:r w:rsidRPr="00751AC0">
        <w:rPr>
          <w:rFonts w:ascii="Garamond" w:hAnsi="Garamond"/>
          <w:i/>
          <w:iCs/>
          <w:color w:val="000000"/>
          <w:lang w:val="en-GB"/>
        </w:rPr>
        <w:t>The Golden Bough</w:t>
      </w:r>
      <w:r w:rsidRPr="00751AC0">
        <w:rPr>
          <w:rFonts w:ascii="Garamond" w:hAnsi="Garamond"/>
          <w:color w:val="000000"/>
          <w:lang w:val="en-GB"/>
        </w:rPr>
        <w:t xml:space="preserve"> die Vermutung ausgesprochen, daß die ersten Könige der lateinischen Stämme Fremde waren, welche die Rolle einer Gottheit spielten und in dieser Rolle an einem bestimmten Festtage feierlich hingerichtet wurden. Die jährliche Opferung (Variante: </w:t>
      </w:r>
      <w:r w:rsidRPr="00751AC0">
        <w:rPr>
          <w:rFonts w:ascii="Garamond" w:hAnsi="Garamond"/>
          <w:color w:val="000000"/>
          <w:lang w:val="en-GB"/>
        </w:rPr>
        <w:lastRenderedPageBreak/>
        <w:t>Selbstopferung) eines Gottes scheint ein wesentlicher Zug der semitischen Religionen gewesen zu sein. Das Zeremoniell der Menschenopfer an den verschiedensten Stellen der bewohnten Erde läßt wenig Zweifel darüber, daß diese Menschen als Repräsentanten der Gottheit ihr Ende fanden, und in der Ersetzung des lebenden Menschen durch eine leblose Nachahmung (Puppe) läßt sich dieser Opfergebrauch noch in späte Zeiten verfolgen. Das theanthropische Gottesopfer, welches ich hier leider nicht mit der gleichen Vertiefung wie das Tieropfer behandeln kann, wirft ein helles Licht nach rückwärts auf den Sinn der älteren Opferformen. Es bekennt mit kaum zu überbietender Aufrichtigkeit, daß das Objekt der Opferhandlung immer das nämliche war, dasselbe, was nun als Gott verehrt wird, der Vater also. Die Frage nach dem Verhältnis von Tier- und Menschenopfer findet jetzt eine einfache Lösung. Das ursprüngliche Tieropfer war bereits ein Ersatz für ein Menschenopfer, für die feierliche Tötung des Vaters, und als der Vaterersatz seine menschliche Gestalt wiedererhielt, konnte sich das Tieropfer auch wieder in das Menschenopfer verwandeln.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So hatte sich die Erinnerung an jene erste große Opfertat als unzerstörbar erwiesen, trotz aller Bemühungen, sie zu vergessen, und gerade als man sich von ihren Motiven am weitesten entfernen wollte, mußte in der Form des Gottesopfers ihre unentstellte Wiederholung zutage treten. Welche Entwicklungen des religiösen Denkens als Rationalisierungen diese Wiederkehr ermöglicht haben, brauche ich an dieser Stelle nicht auszuführen. Robertson Smith, dem ja unsere Zurückführung des Opfers auf jenes große Ereignis der menschlichen Urgeschichte fernliegt, gibt an, daß die Zeremonien jener Feste, mit denen die alten Semiten den Tod einer Gottheit feierten, als » </w:t>
      </w:r>
      <w:r w:rsidRPr="00751AC0">
        <w:rPr>
          <w:rFonts w:ascii="Garamond" w:hAnsi="Garamond"/>
          <w:i/>
          <w:iCs/>
          <w:color w:val="000000"/>
          <w:lang w:val="en-GB"/>
        </w:rPr>
        <w:t>commemoration of a mythical tragedy</w:t>
      </w:r>
      <w:r w:rsidRPr="00751AC0">
        <w:rPr>
          <w:rFonts w:ascii="Garamond" w:hAnsi="Garamond"/>
          <w:color w:val="000000"/>
          <w:lang w:val="en-GB"/>
        </w:rPr>
        <w:t xml:space="preserve">« ausgelegt wurden und daß die Klage dabei nicht den Charakter einer spontanen Teilnahme hatte, sondern etwas Zwangsmäßiges, von der Furcht vor dem göttlichen Zorn Gebotenes an sich trug </w:t>
      </w:r>
      <w:hyperlink r:id="rId68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(Religion of the Semites, p. 412): » </w:t>
        </w:r>
        <w:r w:rsidRPr="00751AC0">
          <w:rPr>
            <w:rStyle w:val="innerfusslink3"/>
            <w:rFonts w:ascii="Garamond" w:hAnsi="Garamond" w:cs="Arial"/>
            <w:b/>
            <w:bCs/>
            <w:i/>
            <w:iCs/>
            <w:lang w:val="en-GB"/>
          </w:rPr>
          <w:t>The mourning is not a spontaneous expression of sympathy with the divine tragedy, but obligatory and enforced by fear of supernatural anger. And a chief object of the mourners is to disclaim responsibility for the god' s death – a point which has already come before us in connection with theanthropic sacrifices, such as the ›ox-murder at Athens‹.</w:t>
        </w:r>
        <w:r w:rsidRPr="00751AC0">
          <w:rPr>
            <w:rStyle w:val="innerfusslink3"/>
            <w:rFonts w:ascii="Garamond" w:hAnsi="Garamond" w:cs="Arial"/>
            <w:b/>
            <w:bCs/>
            <w:lang w:val="en-GB"/>
          </w:rPr>
          <w:t>«</w:t>
        </w:r>
      </w:hyperlink>
      <w:r w:rsidRPr="00751AC0">
        <w:rPr>
          <w:rFonts w:ascii="Garamond" w:hAnsi="Garamond"/>
          <w:color w:val="000000"/>
          <w:lang w:val="en-GB"/>
        </w:rPr>
        <w:t>. Wir glauben zu erkennen, daß diese Auslegung im Rechte war und daß die Gefühle der Feiernden in der zugrunde liegenden Situation ihre gute Aufklärung fanden.</w:t>
      </w:r>
    </w:p>
    <w:p w:rsidR="00B6748F" w:rsidRPr="00751AC0" w:rsidRDefault="00B6748F" w:rsidP="00B6748F">
      <w:pPr>
        <w:rPr>
          <w:rFonts w:ascii="Garamond" w:hAnsi="Garamond"/>
          <w:color w:val="000000"/>
          <w:lang w:val="en-GB"/>
        </w:rPr>
      </w:pPr>
      <w:r w:rsidRPr="00751AC0">
        <w:rPr>
          <w:rFonts w:ascii="Garamond" w:hAnsi="Garamond"/>
          <w:color w:val="000000"/>
          <w:lang w:val="en-GB"/>
        </w:rPr>
        <w:t>Nehmen wir es nun als Tatsache hin, daß auch in der weiteren Entwicklung der Religionen die beiden treibenden Faktoren, das Schuldbewußtsein des Sohnes und der Sohnestrotz, niemals erlöschen. Jeder Lösungsversuch des religiösen Problems, jede Art der Versöhnung der beiden widerstreitenden seelischen Mächte wird allmählich hinfällig, wahrscheinlich unter dem kombinierten Einfluß von historischen Ereignissen, kulturellen Änderungen und inneren psychischen Wandlungen.</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Mit immer größerer Deutlichkeit tritt das Bestreben des Sohnes hervor, sich an die Stelle des Vatergottes zu setzen. Mit der Einführung des Ackerbaues hebt sich die Bedeutung des Sohnes in der patriarchalischen Familie. </w:t>
      </w:r>
      <w:r w:rsidRPr="00751AC0">
        <w:rPr>
          <w:rFonts w:ascii="Garamond" w:hAnsi="Garamond"/>
          <w:color w:val="000000"/>
          <w:lang w:val="en-GB"/>
        </w:rPr>
        <w:t xml:space="preserve">Er getraut sich neuer Äußerungen seiner inzestuösen Libido, die in der Bearbeitung der Mutter Erde eine symbolische Befriedigung findet. Es entstehen die Göttergestalten des Attis, Adonis, Tammuz u. a., Vegetationsgeister und zugleich jugendliche Gottheiten, welche die Liebesgunst mütterlicher Gottheiten genießen, den Mutterinzest dem Vater zum Trotze durchsetzen. Allein das Schuldbewußtsein, welches durch diese Schöpfungen nicht beschwichtigt ist, drückt sich in den Mythen aus, die diesen jugendlichen Geliebten der Muttergöttinnen ein kurzes Leben und eine Bestrafung durch Entmannung oder durch den Zorn des Vatergottes in Tierform bescheiden. Adonis wird durch den Eber getötet, das heilige Tier der Aphrodite; Attis, der Geliebte der Kybele, stirbt an Entmannung </w:t>
      </w:r>
      <w:hyperlink r:id="rId68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Die Kastrationsangst spielt eine außerordentlich große Rolle in der Störung des Verhältnisses zum Vater bei unseren jugendlichen Neurotikern. Aus der schönen Beobachtung von Ferenczi haben wir ersehen, wie der Knabe seinen Totem in dem Tier erkennt, welches nach seinem kleinen Gliede schnappt. Wenn unsere Kinder von der rituellen Beschneidung erfahren, stellen sie dieselbe der Kastration gleich. Die völkerpsychologische Parallele zu diesem Verhalten </w:t>
        </w:r>
        <w:r w:rsidRPr="00751AC0">
          <w:rPr>
            <w:rStyle w:val="innerfusslink3"/>
            <w:rFonts w:ascii="Garamond" w:hAnsi="Garamond" w:cs="Arial"/>
            <w:b/>
            <w:bCs/>
            <w:lang w:val="en-GB"/>
          </w:rPr>
          <w:lastRenderedPageBreak/>
          <w:t>der Kinder ist meines Wissens noch nicht ausgeführt worden. Die in der Urzeit und bei primitiven Völkern so häufige Beschneidung gehört dem Zeitpunkt der Männerweihe an, wo sie ihre Bedeutung finden muß, und ist erst sekundär in frühere Lebenszeiten zurückgeschoben worden. Es ist überaus interessant, daß die Beschneidung bei den Primitiven mit Haarabschneiden und Zahnausschlagen kombiniert oder durch sie ersetzt ist und daß unsere Kinder, die von diesem Sachverhalt nichts wissen können, in ihren Angstreaktionen diese beiden Operationen wirklich wie Äquivalente der Kastration behandeln.</w:t>
        </w:r>
      </w:hyperlink>
      <w:r w:rsidRPr="00751AC0">
        <w:rPr>
          <w:rFonts w:ascii="Garamond" w:hAnsi="Garamond"/>
          <w:color w:val="000000"/>
          <w:lang w:val="en-GB"/>
        </w:rPr>
        <w:t>. Die Beweinung und die Freude über die Auferstehung dieser Götter ist in das Rituale einer anderen Sohnesgottheit übergegangen, welche zu dauerndem Erfolge bestimmt war.</w:t>
      </w:r>
    </w:p>
    <w:p w:rsidR="00B6748F" w:rsidRPr="00B6748F" w:rsidRDefault="00B6748F" w:rsidP="00B6748F">
      <w:pPr>
        <w:rPr>
          <w:rFonts w:ascii="Garamond" w:hAnsi="Garamond"/>
          <w:color w:val="000000"/>
          <w:lang w:val="en-GB"/>
        </w:rPr>
      </w:pPr>
      <w:r w:rsidRPr="00B6748F">
        <w:rPr>
          <w:rFonts w:ascii="Garamond" w:hAnsi="Garamond"/>
          <w:color w:val="000000"/>
          <w:lang w:val="en-GB"/>
        </w:rPr>
        <w:t>Als das Christentum seinen Einzug in die antike Welt begann, traf es auf die Konkurrenz der Mithrasreligion, und es war für eine Weile zweifelhaft, welcher Gottheit der Sieg zufallen würde.</w:t>
      </w:r>
    </w:p>
    <w:p w:rsidR="00B6748F" w:rsidRPr="00751AC0" w:rsidRDefault="00B6748F" w:rsidP="00B6748F">
      <w:pPr>
        <w:rPr>
          <w:rFonts w:ascii="Garamond" w:hAnsi="Garamond"/>
          <w:color w:val="000000"/>
          <w:lang w:val="en-GB"/>
        </w:rPr>
      </w:pPr>
      <w:r w:rsidRPr="00751AC0">
        <w:rPr>
          <w:rFonts w:ascii="Garamond" w:hAnsi="Garamond"/>
          <w:color w:val="000000"/>
          <w:lang w:val="en-GB"/>
        </w:rPr>
        <w:t>Die lichtumflossene Gestalt des persischen Götterjünglings ist doch unserem Verständnis dunkel geblieben. Vielleicht darf man aus den Darstellungen der Stiertötungen durch Mithras schließen, daß er jenen Sohn vorstellte, der die Opferung des Vaters allein vollzog und somit die Brüder von der sie drückenden Mitschuld an der Tat erlöste. Es gab einen anderen Weg zur Beschwichtigung dieses Schuldbewußtseins, und diesen beschritt erst Christus. Er ging hin und opferte sein eigenes Leben, und dadurch erlöste er die Brüderschar von der Erbsünde.</w:t>
      </w:r>
    </w:p>
    <w:p w:rsidR="00B6748F" w:rsidRPr="00751AC0" w:rsidRDefault="00B6748F" w:rsidP="00B6748F">
      <w:pPr>
        <w:rPr>
          <w:rFonts w:ascii="Garamond" w:hAnsi="Garamond"/>
          <w:color w:val="000000"/>
        </w:rPr>
      </w:pPr>
      <w:r w:rsidRPr="00751AC0">
        <w:rPr>
          <w:rFonts w:ascii="Garamond" w:hAnsi="Garamond"/>
          <w:color w:val="000000"/>
          <w:lang w:val="en-GB"/>
        </w:rPr>
        <w:t xml:space="preserve">Die Lehre von der Erbsünde ist </w:t>
      </w:r>
      <w:r w:rsidRPr="00751AC0">
        <w:rPr>
          <w:rFonts w:ascii="Garamond" w:hAnsi="Garamond"/>
          <w:i/>
          <w:iCs/>
          <w:color w:val="000000"/>
          <w:lang w:val="en-GB"/>
        </w:rPr>
        <w:t>orphischer</w:t>
      </w:r>
      <w:r w:rsidRPr="00751AC0">
        <w:rPr>
          <w:rFonts w:ascii="Garamond" w:hAnsi="Garamond"/>
          <w:color w:val="000000"/>
          <w:lang w:val="en-GB"/>
        </w:rPr>
        <w:t xml:space="preserve"> Herkunft; sie wurde in den Mysterien erhalten und drang von da aus in die Philosophenschulen des griechischen Altertums ein. </w:t>
      </w:r>
      <w:hyperlink r:id="rId684" w:anchor="#" w:history="1">
        <w:r w:rsidRPr="00751AC0">
          <w:rPr>
            <w:rStyle w:val="fusslink"/>
            <w:rFonts w:ascii="Garamond" w:hAnsi="Garamond" w:cs="Arial"/>
            <w:b/>
            <w:bCs/>
            <w:color w:val="003399"/>
          </w:rPr>
          <w:t>[Fußnote]</w:t>
        </w:r>
        <w:r w:rsidRPr="00751AC0">
          <w:rPr>
            <w:rStyle w:val="innerfusslink3"/>
            <w:rFonts w:ascii="Garamond" w:hAnsi="Garamond" w:cs="Arial"/>
            <w:b/>
            <w:bCs/>
          </w:rPr>
          <w:t>Reinach, Cultes Mythes et Religions, (1905–12), II, p. 75 .</w:t>
        </w:r>
      </w:hyperlink>
      <w:r w:rsidRPr="00751AC0">
        <w:rPr>
          <w:rFonts w:ascii="Garamond" w:hAnsi="Garamond"/>
          <w:color w:val="000000"/>
        </w:rPr>
        <w:t xml:space="preserve">) Die Menschen waren die Nachkommen von Titanen, welche den jungen Dionysos-Zagreus getötet und zerstückelt hatten; die Last dieses Verbrechens drückte auf sie. In einem Fragment von Anaximander wird gesagt, daß die Einheit der Welt durch ein urzeitliches Verbrechen zerstört worden sei und daß alles, was daraus hervorgegangen, die Strafe dafür weiter tragen muß </w:t>
      </w:r>
      <w:hyperlink r:id="rId685" w:anchor="#" w:history="1">
        <w:r w:rsidRPr="00751AC0">
          <w:rPr>
            <w:rStyle w:val="fusslink"/>
            <w:rFonts w:ascii="Garamond" w:hAnsi="Garamond" w:cs="Arial"/>
            <w:b/>
            <w:bCs/>
            <w:color w:val="003399"/>
          </w:rPr>
          <w:t>[Fußnote]</w:t>
        </w:r>
        <w:r w:rsidRPr="00751AC0">
          <w:rPr>
            <w:rStyle w:val="innerfusslink3"/>
            <w:rFonts w:ascii="Garamond" w:hAnsi="Garamond" w:cs="Arial"/>
            <w:b/>
            <w:bCs/>
          </w:rPr>
          <w:t xml:space="preserve">» </w:t>
        </w:r>
        <w:r w:rsidRPr="00751AC0">
          <w:rPr>
            <w:rStyle w:val="innerfusslink3"/>
            <w:rFonts w:ascii="Garamond" w:hAnsi="Garamond" w:cs="Arial"/>
            <w:b/>
            <w:bCs/>
            <w:i/>
            <w:iCs/>
          </w:rPr>
          <w:t>Une sorte de péché proethnique</w:t>
        </w:r>
        <w:r w:rsidRPr="00751AC0">
          <w:rPr>
            <w:rStyle w:val="innerfusslink3"/>
            <w:rFonts w:ascii="Garamond" w:hAnsi="Garamond" w:cs="Arial"/>
            <w:b/>
            <w:bCs/>
          </w:rPr>
          <w:t>« (Reinach, 1905–12, II, p. 76).</w:t>
        </w:r>
      </w:hyperlink>
      <w:r w:rsidRPr="00751AC0">
        <w:rPr>
          <w:rFonts w:ascii="Garamond" w:hAnsi="Garamond"/>
          <w:color w:val="000000"/>
        </w:rPr>
        <w:t>. Erinnert die Tat der Titanen durch die Züge der Zusammenrottung, der Tötung und Zerreißung deutlich genug an das von St. Nilus beschriebene Totemopfer – wie übrigens viele andere Mythen des Altertums, z. B. der Tod des Orpheus selbst –, so stört uns hier doch die Abweichung, daß die Mordtat an einem jugendlichen Gotte vollzogen wird.</w:t>
      </w:r>
    </w:p>
    <w:p w:rsidR="00B6748F" w:rsidRPr="00751AC0" w:rsidRDefault="00B6748F" w:rsidP="00B6748F">
      <w:pPr>
        <w:rPr>
          <w:rFonts w:ascii="Garamond" w:hAnsi="Garamond"/>
          <w:color w:val="000000"/>
          <w:lang w:val="en-GB"/>
        </w:rPr>
      </w:pPr>
      <w:r w:rsidRPr="00751AC0">
        <w:rPr>
          <w:rFonts w:ascii="Garamond" w:hAnsi="Garamond"/>
          <w:color w:val="000000"/>
        </w:rPr>
        <w:t xml:space="preserve">Im christlichen Mythus ist die Erbsünde des Menschen unzweifelhaft eine Versündigung gegen Gottvater. Wenn nun Christus die Menschen von dem Drucke der Erbsünde erlöst, indem er sein eigenes Leben opfert, so zwingt er uns zu dem Schlusse, daß diese Sünde eine Mordtat war. Nach dem im menschlichen Fühlen tiefgewurzelten Gesetz der Talion kann ein Mord nur durch die Opferung eines anderen Lebens gesühnt werden; die Selbstaufopferung weist auf eine Blutschuld zurück </w:t>
      </w:r>
      <w:hyperlink r:id="rId686" w:anchor="#" w:history="1">
        <w:r w:rsidRPr="00751AC0">
          <w:rPr>
            <w:rStyle w:val="fusslink"/>
            <w:rFonts w:ascii="Garamond" w:hAnsi="Garamond" w:cs="Arial"/>
            <w:b/>
            <w:bCs/>
            <w:color w:val="003399"/>
          </w:rPr>
          <w:t>[Fußnote]</w:t>
        </w:r>
        <w:r w:rsidRPr="00751AC0">
          <w:rPr>
            <w:rStyle w:val="innerfusslink3"/>
            <w:rFonts w:ascii="Garamond" w:hAnsi="Garamond" w:cs="Arial"/>
            <w:b/>
            <w:bCs/>
          </w:rPr>
          <w:t>Die Selbstmordimpulse unserer Neurotiker erweisen sich regelmäßig als Selbstbestrafungen für Todeswünsche, die gegen andere gerichtet sind.</w:t>
        </w:r>
      </w:hyperlink>
      <w:r w:rsidRPr="00751AC0">
        <w:rPr>
          <w:rFonts w:ascii="Garamond" w:hAnsi="Garamond"/>
          <w:color w:val="000000"/>
        </w:rPr>
        <w:t xml:space="preserve">. </w:t>
      </w:r>
      <w:r w:rsidRPr="00751AC0">
        <w:rPr>
          <w:rFonts w:ascii="Garamond" w:hAnsi="Garamond"/>
          <w:color w:val="000000"/>
          <w:lang w:val="en-GB"/>
        </w:rPr>
        <w:t>Und wenn dies Opfer des eigenen Lebens die Versöhnung mit Gottvater herbeiführt, so kann das zu sühnende Verbrechen kein anderes als der Mord am Vater gewesen sein.</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So bekennt sich denn in der christlichen Lehre die Menschheit am unverhülltesten zu der schuldvollen Tat der Urzeit, weil sie nun im Opfertod des einen Sohnes die ausgiebigste Sühne für sie gefunden hat. </w:t>
      </w:r>
      <w:r w:rsidRPr="00B6748F">
        <w:rPr>
          <w:rFonts w:ascii="Garamond" w:hAnsi="Garamond"/>
          <w:color w:val="000000"/>
          <w:lang w:val="en-US"/>
        </w:rPr>
        <w:t xml:space="preserve">Die Versöhnung mit dem Vater ist um so gründlicher, weil gleichzeitig mit diesem Opfer der volle Verzicht auf das Weib erfolgt, um dessentwillen man sich gegen den Vater empört hatte. </w:t>
      </w:r>
      <w:r w:rsidRPr="00751AC0">
        <w:rPr>
          <w:rFonts w:ascii="Garamond" w:hAnsi="Garamond"/>
          <w:color w:val="000000"/>
        </w:rPr>
        <w:t xml:space="preserve">Aber nun fordert auch das psychologische Verhängnis der Ambivalenz seine Rechte. Mit der gleichen Tat, welche dem Vater die größtmögliche Sühne bietet, erreicht auch der Sohn das Ziel seiner Wünsche gegen den Vater. </w:t>
      </w:r>
      <w:r w:rsidRPr="00751AC0">
        <w:rPr>
          <w:rFonts w:ascii="Garamond" w:hAnsi="Garamond"/>
          <w:color w:val="000000"/>
          <w:lang w:val="en-GB"/>
        </w:rPr>
        <w:t xml:space="preserve">Er wird selbst zum Gott neben, eigentlich an Stelle des Vaters. Die Sohnesreligion löst die Vaterreligion ab. Zum Zeichen dieser Ersetzung wird die alte Totemmahlzeit als Kommunion wiederbelebt, in welcher nun die </w:t>
      </w:r>
      <w:r w:rsidRPr="00751AC0">
        <w:rPr>
          <w:rFonts w:ascii="Garamond" w:hAnsi="Garamond"/>
          <w:color w:val="000000"/>
          <w:lang w:val="en-GB"/>
        </w:rPr>
        <w:lastRenderedPageBreak/>
        <w:t xml:space="preserve">Brüderschar vom Fleisch und Blut des Sohnes, nicht mehr des Vaters, genießt, sich durch diesen Genuß heiligt und mit ihm identifiziert. Unser Blick verfolgt durch die Länge der Zeiten die Identität der Totemmahlzeit mit dem Tieropfer, dem theanthropischen Menschenopfer und mit der christlichen Eucharistie und erkennt in all diesen Feierlichkeiten die Nachwirkung jenes Verbrechens, welches die Menschen so sehr bedrückte und auf das sie doch so stolz sein mußten. Die christliche Kommunion ist aber im Grunde eine neuerliche Beseitigung des Vaters, eine Wiederholung der zu sühnenden Tat. Wir merken, wie berechtigt der Satz von Frazer ist, daß » </w:t>
      </w:r>
      <w:r w:rsidRPr="00751AC0">
        <w:rPr>
          <w:rFonts w:ascii="Garamond" w:hAnsi="Garamond"/>
          <w:i/>
          <w:iCs/>
          <w:color w:val="000000"/>
          <w:lang w:val="en-GB"/>
        </w:rPr>
        <w:t>the Christian communion has absorbed within itself a sacrament which is doubtless far older than Christianity</w:t>
      </w:r>
      <w:r w:rsidRPr="00751AC0">
        <w:rPr>
          <w:rFonts w:ascii="Garamond" w:hAnsi="Garamond"/>
          <w:color w:val="000000"/>
          <w:lang w:val="en-GB"/>
        </w:rPr>
        <w:t xml:space="preserve">« </w:t>
      </w:r>
      <w:hyperlink r:id="rId687"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Frazer (1912, II, p. 51). – Niemand, der mit der Literatur des Gegenstandes vertraut ist, wird annehmen, daß die Zurückführung der christlichen Kommunion auf die Totemmahlzeit eine Idee des Schreibers dieses Aufsatzes sei.</w:t>
        </w:r>
      </w:hyperlink>
      <w:r w:rsidRPr="00751AC0">
        <w:rPr>
          <w:rFonts w:ascii="Garamond" w:hAnsi="Garamond"/>
          <w:color w:val="000000"/>
          <w:lang w:val="en-GB"/>
        </w:rPr>
        <w:t>.</w:t>
      </w:r>
    </w:p>
    <w:p w:rsidR="00B6748F" w:rsidRPr="00B6748F" w:rsidRDefault="00B6748F" w:rsidP="00B6748F">
      <w:pPr>
        <w:rPr>
          <w:rFonts w:ascii="Garamond" w:hAnsi="Garamond"/>
          <w:color w:val="000000"/>
          <w:lang w:val="en-US"/>
        </w:rPr>
      </w:pPr>
      <w:r w:rsidRPr="00B6748F">
        <w:rPr>
          <w:rFonts w:ascii="Garamond" w:hAnsi="Garamond"/>
          <w:color w:val="000000"/>
          <w:lang w:val="en-US"/>
        </w:rPr>
        <w:t>7</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Ein Vorgang wie die Beseitigung des Urvaters durch die Brüderschar mußte unvertilgbare Spuren in der Geschichte der Menschheit hinterlassen und sich in desto zahlreicheren Ersatzbildungen zum Ausdruck bringen, je weniger er selbst erinnert werden sollte </w:t>
      </w:r>
      <w:hyperlink r:id="rId688"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Ariel im </w:t>
        </w:r>
        <w:r w:rsidRPr="00751AC0">
          <w:rPr>
            <w:rStyle w:val="innerfusslink3"/>
            <w:rFonts w:ascii="Garamond" w:hAnsi="Garamond" w:cs="Arial"/>
            <w:b/>
            <w:bCs/>
            <w:i/>
            <w:iCs/>
            <w:lang w:val="en-GB"/>
          </w:rPr>
          <w:t>Sturm</w:t>
        </w:r>
        <w:r w:rsidRPr="00751AC0">
          <w:rPr>
            <w:rStyle w:val="innerfusslink3"/>
            <w:rFonts w:ascii="Garamond" w:hAnsi="Garamond" w:cs="Arial"/>
            <w:b/>
            <w:bCs/>
            <w:lang w:val="en-GB"/>
          </w:rPr>
          <w:t xml:space="preserve">: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i/>
            <w:iCs/>
            <w:lang w:val="en-GB"/>
          </w:rPr>
          <w:t xml:space="preserve">...................Full fathom five thy father lies: </w:t>
        </w:r>
        <w:r w:rsidRPr="00751AC0">
          <w:rPr>
            <w:rFonts w:ascii="Garamond" w:hAnsi="Garamond"/>
            <w:i/>
            <w:iCs/>
            <w:color w:val="000000"/>
            <w:lang w:val="en-GB"/>
          </w:rPr>
          <w:br/>
        </w:r>
        <w:r w:rsidRPr="00751AC0">
          <w:rPr>
            <w:rStyle w:val="innerfusslink3"/>
            <w:rFonts w:ascii="Garamond" w:hAnsi="Garamond" w:cs="Arial"/>
            <w:b/>
            <w:bCs/>
            <w:i/>
            <w:iCs/>
            <w:lang w:val="en-GB"/>
          </w:rPr>
          <w:t xml:space="preserve">...................Of his bones are coral made; </w:t>
        </w:r>
        <w:r w:rsidRPr="00751AC0">
          <w:rPr>
            <w:rFonts w:ascii="Garamond" w:hAnsi="Garamond"/>
            <w:i/>
            <w:iCs/>
            <w:color w:val="000000"/>
            <w:lang w:val="en-GB"/>
          </w:rPr>
          <w:br/>
        </w:r>
        <w:r w:rsidRPr="00751AC0">
          <w:rPr>
            <w:rStyle w:val="innerfusslink3"/>
            <w:rFonts w:ascii="Garamond" w:hAnsi="Garamond" w:cs="Arial"/>
            <w:b/>
            <w:bCs/>
            <w:i/>
            <w:iCs/>
            <w:lang w:val="en-GB"/>
          </w:rPr>
          <w:t xml:space="preserve">...................Those are pearls that were his eyes: </w:t>
        </w:r>
        <w:r w:rsidRPr="00751AC0">
          <w:rPr>
            <w:rFonts w:ascii="Garamond" w:hAnsi="Garamond"/>
            <w:i/>
            <w:iCs/>
            <w:color w:val="000000"/>
            <w:lang w:val="en-GB"/>
          </w:rPr>
          <w:br/>
        </w:r>
        <w:r w:rsidRPr="00751AC0">
          <w:rPr>
            <w:rStyle w:val="innerfusslink3"/>
            <w:rFonts w:ascii="Garamond" w:hAnsi="Garamond" w:cs="Arial"/>
            <w:b/>
            <w:bCs/>
            <w:i/>
            <w:iCs/>
            <w:lang w:val="en-GB"/>
          </w:rPr>
          <w:t xml:space="preserve">...................Nothing of him that doth fade, </w:t>
        </w:r>
        <w:r w:rsidRPr="00751AC0">
          <w:rPr>
            <w:rFonts w:ascii="Garamond" w:hAnsi="Garamond"/>
            <w:i/>
            <w:iCs/>
            <w:color w:val="000000"/>
            <w:lang w:val="en-GB"/>
          </w:rPr>
          <w:br/>
        </w:r>
        <w:r w:rsidRPr="00751AC0">
          <w:rPr>
            <w:rStyle w:val="innerfusslink3"/>
            <w:rFonts w:ascii="Garamond" w:hAnsi="Garamond" w:cs="Arial"/>
            <w:b/>
            <w:bCs/>
            <w:i/>
            <w:iCs/>
            <w:lang w:val="en-GB"/>
          </w:rPr>
          <w:t xml:space="preserve">...................But doth suffer a sea-change </w:t>
        </w:r>
        <w:r w:rsidRPr="00751AC0">
          <w:rPr>
            <w:rFonts w:ascii="Garamond" w:hAnsi="Garamond"/>
            <w:i/>
            <w:iCs/>
            <w:color w:val="000000"/>
            <w:lang w:val="en-GB"/>
          </w:rPr>
          <w:br/>
        </w:r>
        <w:r w:rsidRPr="00751AC0">
          <w:rPr>
            <w:rStyle w:val="innerfusslink3"/>
            <w:rFonts w:ascii="Garamond" w:hAnsi="Garamond" w:cs="Arial"/>
            <w:b/>
            <w:bCs/>
            <w:i/>
            <w:iCs/>
            <w:lang w:val="en-GB"/>
          </w:rPr>
          <w:t xml:space="preserve">...................Into something rich and strange. </w:t>
        </w:r>
        <w:r w:rsidRPr="00751AC0">
          <w:rPr>
            <w:rFonts w:ascii="Garamond" w:hAnsi="Garamond"/>
            <w:i/>
            <w:iCs/>
            <w:color w:val="000000"/>
            <w:lang w:val="en-GB"/>
          </w:rPr>
          <w:br/>
        </w:r>
        <w:r w:rsidRPr="00751AC0">
          <w:rPr>
            <w:rFonts w:ascii="Garamond" w:hAnsi="Garamond"/>
            <w:i/>
            <w:iCs/>
            <w:color w:val="000000"/>
            <w:lang w:val="en-GB"/>
          </w:rPr>
          <w:br/>
        </w:r>
        <w:r w:rsidRPr="00751AC0">
          <w:rPr>
            <w:rStyle w:val="innerfusslink3"/>
            <w:rFonts w:ascii="Garamond" w:hAnsi="Garamond" w:cs="Arial"/>
            <w:b/>
            <w:bCs/>
            <w:lang w:val="en-GB"/>
          </w:rPr>
          <w:t xml:space="preserve">In der schönen Übersetzung von Schlegel: </w:t>
        </w:r>
        <w:r w:rsidRPr="00751AC0">
          <w:rPr>
            <w:rFonts w:ascii="Garamond" w:hAnsi="Garamond"/>
            <w:color w:val="000000"/>
            <w:lang w:val="en-GB"/>
          </w:rPr>
          <w:br/>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Fünf Faden tief liegt Vater dein.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Sein Gebein wird zu Korallen,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Perlen sind die Augen sein.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Nichts an ihm, das soll verfallen,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 xml:space="preserve">Das nicht wandelt Meeres-Hut </w:t>
        </w:r>
        <w:r w:rsidRPr="00751AC0">
          <w:rPr>
            <w:rFonts w:ascii="Garamond" w:hAnsi="Garamond"/>
            <w:color w:val="000000"/>
            <w:lang w:val="en-GB"/>
          </w:rPr>
          <w:br/>
        </w:r>
        <w:r w:rsidRPr="00751AC0">
          <w:rPr>
            <w:rStyle w:val="innerfusslink3"/>
            <w:rFonts w:ascii="Garamond" w:hAnsi="Garamond" w:cs="Arial"/>
            <w:b/>
            <w:bCs/>
            <w:i/>
            <w:iCs/>
            <w:lang w:val="en-GB"/>
          </w:rPr>
          <w:t>...................</w:t>
        </w:r>
        <w:r w:rsidRPr="00751AC0">
          <w:rPr>
            <w:rStyle w:val="innerfusslink3"/>
            <w:rFonts w:ascii="Garamond" w:hAnsi="Garamond" w:cs="Arial"/>
            <w:b/>
            <w:bCs/>
            <w:lang w:val="en-GB"/>
          </w:rPr>
          <w:t>In ein reich und seltnes Gut.</w:t>
        </w:r>
      </w:hyperlink>
      <w:r w:rsidRPr="00751AC0">
        <w:rPr>
          <w:rFonts w:ascii="Garamond" w:hAnsi="Garamond"/>
          <w:color w:val="000000"/>
          <w:lang w:val="en-GB"/>
        </w:rPr>
        <w:t>.</w:t>
      </w:r>
    </w:p>
    <w:p w:rsidR="00B6748F" w:rsidRPr="00751AC0" w:rsidRDefault="00B6748F" w:rsidP="00B6748F">
      <w:pPr>
        <w:rPr>
          <w:rFonts w:ascii="Garamond" w:hAnsi="Garamond"/>
          <w:color w:val="000000"/>
        </w:rPr>
      </w:pPr>
      <w:r w:rsidRPr="00751AC0">
        <w:rPr>
          <w:rFonts w:ascii="Garamond" w:hAnsi="Garamond"/>
          <w:color w:val="000000"/>
          <w:lang w:val="en-GB"/>
        </w:rPr>
        <w:t xml:space="preserve">Ich gehe der Versuchung aus dem Wege, diese Spuren in der Mythologie, wo sie nicht schwer zu finden sind, nachzuweisen, und wende mich einem anderen Gebiete zu, indem ich einem Fingerzeig von S. Reinach in einer inhaltsreichen Abhandlung über den Tod des Orpheus folge </w:t>
      </w:r>
      <w:hyperlink r:id="rId689"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 xml:space="preserve">›La Mort d'Orphée‹ in dem hier oft zitierten Buche: </w:t>
        </w:r>
        <w:r w:rsidRPr="00751AC0">
          <w:rPr>
            <w:rStyle w:val="innerfusslink3"/>
            <w:rFonts w:ascii="Garamond" w:hAnsi="Garamond" w:cs="Arial"/>
            <w:b/>
            <w:bCs/>
            <w:i/>
            <w:iCs/>
            <w:lang w:val="en-GB"/>
          </w:rPr>
          <w:t>Cultes, mythes et religions</w:t>
        </w:r>
        <w:r w:rsidRPr="00751AC0">
          <w:rPr>
            <w:rStyle w:val="innerfusslink3"/>
            <w:rFonts w:ascii="Garamond" w:hAnsi="Garamond" w:cs="Arial"/>
            <w:b/>
            <w:bCs/>
            <w:lang w:val="en-GB"/>
          </w:rPr>
          <w:t xml:space="preserve"> (1905–12), II, p. 100 ff.).</w:t>
        </w:r>
      </w:hyperlink>
      <w:r w:rsidRPr="00751AC0">
        <w:rPr>
          <w:rFonts w:ascii="Garamond" w:hAnsi="Garamond"/>
          <w:color w:val="000000"/>
        </w:rPr>
        <w:t>.</w:t>
      </w:r>
    </w:p>
    <w:p w:rsidR="00B6748F" w:rsidRPr="00751AC0" w:rsidRDefault="00B6748F" w:rsidP="00B6748F">
      <w:pPr>
        <w:rPr>
          <w:rFonts w:ascii="Garamond" w:hAnsi="Garamond"/>
          <w:color w:val="000000"/>
        </w:rPr>
      </w:pPr>
      <w:r w:rsidRPr="00751AC0">
        <w:rPr>
          <w:rFonts w:ascii="Garamond" w:hAnsi="Garamond"/>
          <w:color w:val="000000"/>
        </w:rPr>
        <w:t xml:space="preserve">In der Geschichte der griechischen Kunst gibt es eine Situation, welche auffällige Ähnlichkeiten und nicht minder tiefgehende Verschiedenheiten mit der von Robertson Smith erkannten Szene der Totemmahlzeit zeigt. Es ist die Situation der ältesten griechischen Tragödie. Eine Schar von Personen, alle gleich benannt und gleich gekleidet, umsteht einen einzigen, von dessen Reden und Handeln sie alle abhängig sind: es ist der Chor und der ursprünglich einzige Heldendarsteller. Spätere Entwicklungen brachten einen zweiten und dritten Schauspieler, um Gegenspieler und Abspaltungen des Helden darzustellen, aber der Charakter des Helden wie sein Verhältnis zum Chor blieben unverändert. Der Held der Tragödie mußte leiden; dies ist noch heute der wesentliche Inhalt einer Tragödie. Er hatte die sogenannte »tragische Schuld« auf sich geladen, die nicht immer leicht zu begründen ist; sie ist oft keine Schuld im Sinne des bürgerlichen Lebens. Zumeist bestand sie in der Auflehnung gegen eine göttliche oder menschliche Autorität, und der Chor begleitete den Helden mit seinen sympathischen Gefühlen, suchte ihn zurückzuhalten, zu warnen, zu </w:t>
      </w:r>
      <w:r w:rsidRPr="00751AC0">
        <w:rPr>
          <w:rFonts w:ascii="Garamond" w:hAnsi="Garamond"/>
          <w:color w:val="000000"/>
        </w:rPr>
        <w:lastRenderedPageBreak/>
        <w:t>mäßigen und beklagte ihn, nachdem er für sein kühnes Unternehmen die als verdient hingestellte Bestrafung gefunden hatte.</w:t>
      </w:r>
    </w:p>
    <w:p w:rsidR="00B6748F" w:rsidRPr="00751AC0" w:rsidRDefault="00B6748F" w:rsidP="00B6748F">
      <w:pPr>
        <w:rPr>
          <w:rFonts w:ascii="Garamond" w:hAnsi="Garamond"/>
          <w:color w:val="000000"/>
          <w:lang w:val="en-GB"/>
        </w:rPr>
      </w:pPr>
      <w:r w:rsidRPr="00751AC0">
        <w:rPr>
          <w:rFonts w:ascii="Garamond" w:hAnsi="Garamond"/>
          <w:color w:val="000000"/>
          <w:lang w:val="en-GB"/>
        </w:rPr>
        <w:t>Warum muß aber der Held der Tragödie leiden, und was bedeutet seine »tragische« Schuld? Wir wollen die Diskussion durch rasche Beantwortung abschneiden. Er muß leiden, weil er der Urvater, der Held jener großen urzeitlichen Tragödie ist, die hier eine tendenziöse Wiederholung findet, und die tragische Schuld ist jene, die er auf sich nehmen muß, um den Chor von seiner Schuld zu entlasten. Die Szene auf der Bühne ist durch zweckmäßige Entstellung, man könnte sagen: im Dienste raffinierter Heuchelei, aus der historischen Szene hervorgegangen. In jener alten Wirklichkeit waren es gerade die Chorgenossen, die das Leiden des Helden verursachten; hier aber erschöpfen sie sich in Teilnahme und Bedauern, und der Held ist selbst an seinem Leiden schuld. Das auf ihn gewälzte Verbrechen, die Überhebung und Auflehnung gegen eine große Autorität, ist genau dasselbe, was in Wirklichkeit die Genossen des Chors, die Brüderschar, bedrückt. So wird der tragische Held – noch wider seinen Willen – zum Erlöser des Chors gemacht.</w:t>
      </w:r>
    </w:p>
    <w:p w:rsidR="00B6748F" w:rsidRPr="00751AC0" w:rsidRDefault="00B6748F" w:rsidP="00B6748F">
      <w:pPr>
        <w:rPr>
          <w:rFonts w:ascii="Garamond" w:hAnsi="Garamond"/>
          <w:color w:val="000000"/>
          <w:lang w:val="en-GB"/>
        </w:rPr>
      </w:pPr>
      <w:r w:rsidRPr="00751AC0">
        <w:rPr>
          <w:rFonts w:ascii="Garamond" w:hAnsi="Garamond"/>
          <w:color w:val="000000"/>
          <w:lang w:val="en-GB"/>
        </w:rPr>
        <w:t>Waren speziell in der griechischen Tragödie die Leiden des göttlichen Bockes Dionysos und die Klage des mit ihm sich identifizierenden Gefolges von Böcken der Inhalt der Aufführung, so wird es leicht verständlich, daß das bereits erloschene Drama sich im Mittelalter an der Passion Christi neu entzündete.</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So möchte ich denn zum Schlusse dieser mit äußerster Verkürzung geführten Untersuchung das Ergebnis aussprechen, daß im Ödipuskomplex die Anfänge von Religion, Sittlichkeit, Gesellschaft und Kunst zusammentreffen, in voller Übereinstimmung mit der Feststellung der Psychoanalyse, daß dieser Komplex den Kern aller Neurosen bildet, soweit sie bis jetzt unserem Verständnis nachgegeben haben. Es erscheint mir als eine große Überraschung, daß auch diese Probleme des Völkerseelenlebens eine Auflösung von einem einzigen konkreten Punkte her, wie es das Verhältnis zum Vater ist, gestatten sollten. </w:t>
      </w:r>
      <w:r w:rsidRPr="00751AC0">
        <w:rPr>
          <w:rFonts w:ascii="Garamond" w:hAnsi="Garamond"/>
          <w:color w:val="000000"/>
          <w:lang w:val="en-GB"/>
        </w:rPr>
        <w:t xml:space="preserve">Vielleicht ist selbst ein anderes psychologisches Problem in diesen Zusammenhang einzubeziehen. Wir haben so oft Gelegenheit gehabt, die Gefühlsambivalenz im eigentlichen Sinne, also das Zusammentreffen von Liebe und Haß gegen dasselbe Objekt, an der Wurzel wichtiger Kulturbildungen aufzuzeigen. Wir wissen nichts über die Herkunft dieser Ambivalenz. Man kann die Annahme machen, daß sie ein fundamentales Phänomen unseres Gefühlslebens sei. Aber auch die andere Möglichkeit scheint mir wohl beachtenswert, daß sie, dem Gefühlsleben ursprünglich fremd, von der Menschheit an dem Vaterkomplex </w:t>
      </w:r>
      <w:hyperlink r:id="rId690"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Respektive Elternkomplex.</w:t>
        </w:r>
      </w:hyperlink>
      <w:r w:rsidRPr="00751AC0">
        <w:rPr>
          <w:rFonts w:ascii="Garamond" w:hAnsi="Garamond"/>
          <w:color w:val="000000"/>
          <w:lang w:val="en-GB"/>
        </w:rPr>
        <w:t xml:space="preserve"> erworben wurde, wo die psychoanalytische Erforschung des Einzelmenschen heute noch ihre stärkste Ausprägung nachweist </w:t>
      </w:r>
      <w:hyperlink r:id="rId691"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Der Mißverständnisse gewöhnt, halte ich es nicht für überflüssig, ausdrücklich hervorzuheben, daß die hier gegebenen Zurückführungen an die komplexe Natur der abzuleitenden Phänomene keineswegs vergessen haben und daß sie nur den Anspruch erheben, zu den bereits bekannten oder noch unerkannten Ursprüngen der Religion, Sittlichkeit und der Gesellschaft ein neues Moment hinzuzufügen, welches sich aus der Berücksichtigung der psychoanalytischen Anforderungen ergibt. Die Synthese zu einem Ganzen der Erklärung muß ich anderen überlassen. Es geht aber diesmal aus der Natur dieses neuen Beitrages hervor, daß er in einer solchen Synthese keine andere als die zentrale Rolle spielen könnte, wenngleich die Überwindung von großen affektiven Widerständen erfordert werden dürfte, ehe man ihm eine solche Bedeutung zugesteht.</w:t>
        </w:r>
      </w:hyperlink>
      <w:r w:rsidRPr="00751AC0">
        <w:rPr>
          <w:rFonts w:ascii="Garamond" w:hAnsi="Garamond"/>
          <w:color w:val="000000"/>
          <w:lang w:val="en-GB"/>
        </w:rPr>
        <w:t>.</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Bevor ich nun abschließe, muß ich der Bemerkung Raum geben, daß der hohe Grad von Konvergenz zu einem umfassenden Zusammenhange, den wir in diesen Ausführungen erreicht haben, uns nicht gegen die Unsicherheiten unserer Voraussetzungen und die Schwierigkeiten unserer Resultate verblenden kann. </w:t>
      </w:r>
      <w:r w:rsidRPr="00751AC0">
        <w:rPr>
          <w:rFonts w:ascii="Garamond" w:hAnsi="Garamond"/>
          <w:color w:val="000000"/>
          <w:lang w:val="en-GB"/>
        </w:rPr>
        <w:t>Von den letzteren will ich nur noch zwei behandeln, die sich manchem Leser aufgedrängt haben dürften.</w:t>
      </w:r>
    </w:p>
    <w:p w:rsidR="00B6748F" w:rsidRPr="00751AC0" w:rsidRDefault="00B6748F" w:rsidP="00B6748F">
      <w:pPr>
        <w:rPr>
          <w:rFonts w:ascii="Garamond" w:hAnsi="Garamond"/>
          <w:color w:val="000000"/>
          <w:lang w:val="en-GB"/>
        </w:rPr>
      </w:pPr>
      <w:r w:rsidRPr="00B6748F">
        <w:rPr>
          <w:rFonts w:ascii="Garamond" w:hAnsi="Garamond"/>
          <w:color w:val="000000"/>
          <w:lang w:val="en-GB"/>
        </w:rPr>
        <w:t xml:space="preserve">Es kann zunächst niemandem entgangen sein, daß wir überall die Annahme einer Massenpsyche zugrunde legen, in welcher sich die seelischen Vorgänge vollziehen wie im Seelenleben eines Einzelnen. </w:t>
      </w:r>
      <w:r w:rsidRPr="00751AC0">
        <w:rPr>
          <w:rFonts w:ascii="Garamond" w:hAnsi="Garamond"/>
          <w:color w:val="000000"/>
          <w:lang w:val="en-GB"/>
        </w:rPr>
        <w:t xml:space="preserve">Wir lassen </w:t>
      </w:r>
      <w:r w:rsidRPr="00751AC0">
        <w:rPr>
          <w:rFonts w:ascii="Garamond" w:hAnsi="Garamond"/>
          <w:color w:val="000000"/>
          <w:lang w:val="en-GB"/>
        </w:rPr>
        <w:lastRenderedPageBreak/>
        <w:t>vor allem das Schuldbewußtsein wegen einer Tat über viele Jahrtausende fortleben und in Generationen wirksam bleiben, welche von dieser Tat nichts wissen konnten. Wir lassen einen Gefühlsprozeß, wie er bei Generationen von Söhnen entstehen konnte, die von ihrem Vater mißhandelt wurden, sich auf neue Generationen fortsetzen, welche einer solchen Behandlung gerade durch die Beseitigung des Vaters entzogen worden waren. Dies scheinen allerdings schwerwiegende Bedenken, und jede andere Erklärung scheint den Vorzug zu verdienen, welche solche Voraussetzungen vermeiden kann.</w:t>
      </w:r>
    </w:p>
    <w:p w:rsidR="00B6748F" w:rsidRPr="00751AC0" w:rsidRDefault="00B6748F" w:rsidP="00B6748F">
      <w:pPr>
        <w:rPr>
          <w:rFonts w:ascii="Garamond" w:hAnsi="Garamond"/>
          <w:color w:val="000000"/>
        </w:rPr>
      </w:pPr>
      <w:r w:rsidRPr="00B6748F">
        <w:rPr>
          <w:rFonts w:ascii="Garamond" w:hAnsi="Garamond"/>
          <w:color w:val="000000"/>
          <w:lang w:val="en-GB"/>
        </w:rPr>
        <w:t xml:space="preserve">Allein eine weitere Erwägung zeigt, daß wir die Verantwortlichkeit für solche Kühnheit nicht allein zu tragen haben. Ohne die Annahme einer Massenpsyche, einer Kontinuität im Gefühlsleben der Menschen, welche gestattet, sich über die Unterbrechungen der seelischen Akte durch das Vergehen der Individuen hinwegzusetzen, kann die Völkerpsychologie überhaupt nicht bestehen. Setzen sich die psychischen Prozesse der einen Generation nicht auf die nächste fort, müßte jede ihre Einstellung zum Leben neu erwerben, so gäbe es auf diesem Gebiet keinen Fortschritt und so gut wie keine Entwicklung. Es erheben sich nun zwei neue Fragen, wieviel man der psychischen Kontinuität innerhalb der Generationsreihen zutrauen kann und welcher Mittel und Wege sich die eine Generation bedient, um ihre psychischen Zustände auf die nächste zu übertragen. </w:t>
      </w:r>
      <w:r w:rsidRPr="00751AC0">
        <w:rPr>
          <w:rFonts w:ascii="Garamond" w:hAnsi="Garamond"/>
          <w:color w:val="000000"/>
          <w:lang w:val="en-GB"/>
        </w:rPr>
        <w:t xml:space="preserve">Ich werde nicht behaupten, daß diese Probleme weit genug geklärt sind oder daß die direkte Mitteilung und Tradition, an die man zunächst denkt, für das Erfordernis hinreichen. Im allgemeinen kümmert sich die Völkerpsychologie wenig darum, auf welche Weise die verlangte Kontinuität im Seelenleben der einander ablösenden Generationen hergestellt wird. Ein Teil der Aufgabe scheint durch die Vererbung psychischer Dispositionen besorgt zu werden, welche aber doch gewisser Anstöße im individuellen Leben bedürfen, um zur Wirksamkeit zu erwachen. </w:t>
      </w:r>
      <w:r w:rsidRPr="00751AC0">
        <w:rPr>
          <w:rFonts w:ascii="Garamond" w:hAnsi="Garamond"/>
          <w:color w:val="000000"/>
        </w:rPr>
        <w:t>Es mag dies der Sinn des Dichterwortes sein:</w:t>
      </w:r>
    </w:p>
    <w:p w:rsidR="00B6748F" w:rsidRPr="00751AC0" w:rsidRDefault="00B6748F" w:rsidP="00B6748F">
      <w:pPr>
        <w:rPr>
          <w:rFonts w:ascii="Garamond" w:hAnsi="Garamond"/>
          <w:color w:val="000000"/>
        </w:rPr>
      </w:pPr>
      <w:r w:rsidRPr="00751AC0">
        <w:rPr>
          <w:rFonts w:ascii="Garamond" w:hAnsi="Garamond"/>
          <w:color w:val="000000"/>
        </w:rPr>
        <w:t xml:space="preserve">Was du ererbt von deinen Vätern hast, </w:t>
      </w:r>
      <w:r w:rsidRPr="00751AC0">
        <w:rPr>
          <w:rFonts w:ascii="Garamond" w:hAnsi="Garamond"/>
          <w:color w:val="000000"/>
        </w:rPr>
        <w:br/>
        <w:t>erwirb es, um es zu besitzen.</w:t>
      </w:r>
    </w:p>
    <w:p w:rsidR="00B6748F" w:rsidRPr="00751AC0" w:rsidRDefault="00B6748F" w:rsidP="00B6748F">
      <w:pPr>
        <w:rPr>
          <w:rFonts w:ascii="Garamond" w:hAnsi="Garamond"/>
          <w:color w:val="000000"/>
          <w:lang w:val="en-GB"/>
        </w:rPr>
      </w:pPr>
      <w:r w:rsidRPr="00751AC0">
        <w:rPr>
          <w:rFonts w:ascii="Garamond" w:hAnsi="Garamond"/>
          <w:color w:val="000000"/>
        </w:rPr>
        <w:t xml:space="preserve">Das Problem erschiene noch schwieriger, wenn wir zugestehen könnten, daß es seelische Regungen gibt, welche so spurlos unterdrückt werden können, daß sie keine Resterscheinungen zurücklassen. Allein solche gibt es nicht. Die stärkste Unterdrückung muß Raum lassen für entstellte Ersatzregungen und aus ihnen folgende Reaktionen. </w:t>
      </w:r>
      <w:r w:rsidRPr="00751AC0">
        <w:rPr>
          <w:rFonts w:ascii="Garamond" w:hAnsi="Garamond"/>
          <w:color w:val="000000"/>
          <w:lang w:val="en-GB"/>
        </w:rPr>
        <w:t>Dann dürfen wir aber annehmen, daß keine Generation imstande ist, bedeutsamere seelische Vorgänge vor der nächsten zu verbergen. Die Psychoanalyse hat uns nämlich gelehrt, daß jeder Mensch in seiner unbewußten Geistestätigkeit einen Apparat besitzt, der ihm gestattet, die Reaktionen anderer Menschen zu deuten, das heißt die Entstellungen wieder rückgängig zu machen, welche der andere an dem Ausdruck seiner Gefühlsregungen vorgenommen hat. Auf diesem Wege des unbewußten Verständnisses all der Sitten, Zeremonien und Satzungen, welche das ursprüngliche Verhältnis zum Urvater zurückgelassen hatte, mag auch den späteren Generationen die Übernahme jener Gefühlserbschaft gelungen sein.</w:t>
      </w:r>
    </w:p>
    <w:p w:rsidR="00B6748F" w:rsidRPr="00751AC0" w:rsidRDefault="00B6748F" w:rsidP="00B6748F">
      <w:pPr>
        <w:rPr>
          <w:rFonts w:ascii="Garamond" w:hAnsi="Garamond"/>
          <w:color w:val="000000"/>
          <w:lang w:val="en-GB"/>
        </w:rPr>
      </w:pPr>
      <w:r w:rsidRPr="00751AC0">
        <w:rPr>
          <w:rFonts w:ascii="Garamond" w:hAnsi="Garamond"/>
          <w:color w:val="000000"/>
          <w:lang w:val="en-GB"/>
        </w:rPr>
        <w:t>Ein anderes Bedenken dürfte gerade von seiten der analytischen Denkweise erhoben werden.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Wir haben die ersten Moralvorschriften und sittlichen Beschränkungen der primitiven Gesellschaft als Reaktion auf eine Tat aufgefaßt, welche ihren Urhebern den Begriff des Verbrechens gab. Sie bereuten diese Tat und beschlossen, daß sie nicht mehr wiederholt werden solle und daß ihre Ausführung keinen Gewinn gebracht haben dürfe. Dies schöpferische Schuldbewußtsein ist nun unter uns nicht erloschen. Wir finden es bei den Neurotikern in asozialer Weise wirkend, um neue Moralvorschriften, fortgesetzte Einschränkungen zu produzieren, als Sühne für die begangenen und als Vorsicht gegen neu zu begehende Untaten </w:t>
      </w:r>
      <w:hyperlink r:id="rId692"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Vgl. den zweiten Aufsatz dieser Reihe über das Tabu.</w:t>
        </w:r>
      </w:hyperlink>
      <w:r w:rsidRPr="00751AC0">
        <w:rPr>
          <w:rFonts w:ascii="Garamond" w:hAnsi="Garamond"/>
          <w:color w:val="000000"/>
          <w:lang w:val="en-GB"/>
        </w:rPr>
        <w:t xml:space="preserve">. Wenn wir aber bei diesen Neurotikern nach den Taten forschen, welche solche Reaktionen wachgerufen haben, so werden wir enttäuscht. Wir finden nicht Taten, sondern nur Impulse, Gefühlsregungen, welche nach dem Bösen verlangen, aber von der Ausführung abgehalten worden sind. Dem Schuldbewußtsein der Neurotiker </w:t>
      </w:r>
      <w:r w:rsidRPr="00751AC0">
        <w:rPr>
          <w:rFonts w:ascii="Garamond" w:hAnsi="Garamond"/>
          <w:color w:val="000000"/>
          <w:lang w:val="en-GB"/>
        </w:rPr>
        <w:lastRenderedPageBreak/>
        <w:t>liegen nur psychische Realitäten zugrunde, nicht faktische. Die Neurose ist dadurch charakterisiert, daß sie die psychische Realität über die faktische setzt, auf Gedanken ebenso ernsthaft reagiert wie die Normalen nur auf Wirklichkeiten.</w:t>
      </w:r>
    </w:p>
    <w:p w:rsidR="00B6748F" w:rsidRPr="00751AC0" w:rsidRDefault="00B6748F" w:rsidP="00B6748F">
      <w:pPr>
        <w:rPr>
          <w:rFonts w:ascii="Garamond" w:hAnsi="Garamond"/>
          <w:color w:val="000000"/>
          <w:lang w:val="en-GB"/>
        </w:rPr>
      </w:pPr>
      <w:r w:rsidRPr="00751AC0">
        <w:rPr>
          <w:rFonts w:ascii="Garamond" w:hAnsi="Garamond"/>
          <w:color w:val="000000"/>
          <w:lang w:val="en-GB"/>
        </w:rPr>
        <w:t xml:space="preserve">Kann es sich bei den Primitiven nicht ähnlich verhalten haben? Wir sind berechtigt, ihnen eine außerordentliche Überschätzung ihrer psychischen Akte als Teilerscheinung ihrer narzißtischen Organisation zuzuschreiben </w:t>
      </w:r>
      <w:hyperlink r:id="rId693" w:anchor="#" w:history="1">
        <w:r w:rsidRPr="00751AC0">
          <w:rPr>
            <w:rStyle w:val="fusslink"/>
            <w:rFonts w:ascii="Garamond" w:hAnsi="Garamond" w:cs="Arial"/>
            <w:b/>
            <w:bCs/>
            <w:color w:val="003399"/>
            <w:lang w:val="en-GB"/>
          </w:rPr>
          <w:t>[Fußnote]</w:t>
        </w:r>
        <w:r w:rsidRPr="00751AC0">
          <w:rPr>
            <w:rStyle w:val="innerfusslink3"/>
            <w:rFonts w:ascii="Garamond" w:hAnsi="Garamond" w:cs="Arial"/>
            <w:b/>
            <w:bCs/>
            <w:lang w:val="en-GB"/>
          </w:rPr>
          <w:t>S. den Aufsatz über ›Animismus, Magie und Allmacht der Gedanken‹.</w:t>
        </w:r>
      </w:hyperlink>
      <w:r w:rsidRPr="00751AC0">
        <w:rPr>
          <w:rFonts w:ascii="Garamond" w:hAnsi="Garamond"/>
          <w:color w:val="000000"/>
          <w:lang w:val="en-GB"/>
        </w:rPr>
        <w:t>. Demnach könnten die bloßen Impulse von Feindseligkeit gegen den Vater, die Existenz der Wunschphantasie, ihn zu töten und zu verzehren, hingereicht haben, um jene moralische Reaktion zu erzeugen, die Totemismus und Tabu geschaffen hat. Man würde so der Notwendigkeit entgehen, den Beginn unseres kulturellen Besitzes, auf den wir mit Recht so stolz sind, auf ein gräßliches, alle unsere Gefühle beleidigendes Verbrechen zurückzuführen. Die kausale, von jenem Anfang bis in unsere Gegenwart reichende Verknüpfung litte dabei keinen Schaden, denn die psychische Realität wäre bedeutsam genug, um alle diese Folgen zu tragen. Man wird dagegen einwenden, daß ja eine Veränderung der Gesellschaft von der Form der Vaterhorde zu der des Brüderclan wirklich vorgefallen ist. Dies ist ein starkes Argument, aber doch nicht entscheidend. Die Veränderung könnte auf minder gewaltsame Weise erreicht worden sein und doch die Bedingung für das Hervortreten der moralischen Reaktion enthalten haben. Solange der Druck des Urvaters sich fühlbar machte, waren die feindseligen Gefühle gegen ihn berechtigt, und die Reue über sie mußte einen anderen Zeitpunkt abwarten. Ebensowenig ist der zweite Einwand stichhaltig, daß alles, was sich aus der ambivalenten Relation zum Vater ableitet, Tabu und Opfervorschrift, den Charakter des höchsten Ernstes und der vollsten Realität an sich trägt. Auch das Zeremoniell und die Hemmungen der Zwangsneurotiker zeigen diesen Charakter und gehen doch nur auf psychische Realität, auf Vorsatz und nicht auf Ausführungen zurück. Wir müssen uns hüten, aus unserer nüchternen Welt, die voll ist von materiellen Werten, die Geringschätzung des bloß Gedachten und Gewünschten in die nur innerlich reiche Welt des Primitiven und des Neurotikers einzutragen.</w:t>
      </w:r>
    </w:p>
    <w:p w:rsidR="00B6748F" w:rsidRPr="00751AC0" w:rsidRDefault="00B6748F" w:rsidP="00B6748F">
      <w:pPr>
        <w:rPr>
          <w:rFonts w:ascii="Garamond" w:hAnsi="Garamond"/>
          <w:color w:val="000000"/>
          <w:lang w:val="en-GB"/>
        </w:rPr>
      </w:pPr>
      <w:r w:rsidRPr="00751AC0">
        <w:rPr>
          <w:rFonts w:ascii="Garamond" w:hAnsi="Garamond"/>
          <w:color w:val="000000"/>
          <w:lang w:val="en-GB"/>
        </w:rPr>
        <w:t>Wir stehen hier vor einer Entscheidung, die uns wirklich nicht leicht gemacht ist. Beginnen wir aber mit dem Bekenntnis, daß der Unterschied, der anderen fundamental erscheinen kann, für unser Urteil nicht das Wesentliche des Gegenstandes trifft. Wenn für den Primitiven Wünsche und Impulse den vollen Wert von Tatsachen haben, so ist es an uns, solcher Auffassung verständnisvoll zu folgen, anstatt sie nach unserem Maßstab zu korrigieren. Dann aber wollen wir das Vorbild der Neurose, das uns in diesen Zweifel gebracht hat, selbst schärfer ins Auge fassen. Es ist nicht richtig, daß die Zwangsneurotiker, welche heute unter dem Drucke einer Übermoral stehen, sich nur gegen die psychische Realität von Versuchungen verteidigen und wegen bloß verspürter Impulse bestrafen. Es ist auch ein Stück historischer Realität dabei; in ihrer Kindheit hatten diese Menschen nichts anderes als die bösen Impulse, und insoweit sie in der Ohnmacht des Kindes es konnten, haben sie diese Impulse auch in Handlungen umgesetzt. Jeder von diesen Überguten hatte in der Kindheit seine böse Zeit, eine perverse Phase als Vorläufer und Voraussetzung der späteren übermoralischen. Die Analogie der Primitiven mit den Neurotikern wird also viel gründlicher hergestellt, wenn wir annehmen, daß auch bei den ersteren die psychische Realität, an deren Gestaltung kein Zweifel ist, anfänglich mit der faktischen Realität zusammenfiel, daß die Primitiven das wirklich getan haben, was sie nach allen Zeugnissen zu tun beabsichtigten.</w:t>
      </w:r>
    </w:p>
    <w:p w:rsidR="00B6748F" w:rsidRPr="00751AC0" w:rsidRDefault="00B6748F" w:rsidP="00B6748F">
      <w:pPr>
        <w:rPr>
          <w:rFonts w:ascii="Garamond" w:hAnsi="Garamond"/>
          <w:color w:val="000000"/>
          <w:lang w:val="en-GB"/>
        </w:rPr>
      </w:pPr>
      <w:r w:rsidRPr="00751AC0">
        <w:rPr>
          <w:rFonts w:ascii="Garamond" w:hAnsi="Garamond"/>
          <w:color w:val="000000"/>
          <w:lang w:val="en-GB"/>
        </w:rPr>
        <w:t>Allzuweit dürfen wir unser Urteil über die Primitiven auch nicht durch die Analogie mit den Neurotikern beeinflussen lassen. Es sind auch die Unterschiede in Rechnung zu ziehen. Gewiß sind bei beiden, Wilden wie Neurotikern, die scharfen Scheidungen zwischen Denken und Tun, wie wir sie ziehen, nicht vorhanden. Allein der Neurotiker ist vor allem im Handeln gehemmt, bei ihm ist der Gedanke der volle Ersatz für die Tat. Der Primitive ist ungehemmt, der Gedanke setzt sich ohneweiters in Tat um, die Tat ist ihm sozusagen eher ein Ersatz des Gedankens, und darum meine ich, ohne selbst für die letzte Sicherheit der Entscheidung einzutreten, man darf in dem Falle, den wir diskutieren, wohl annehmen: »Im Anfang war die Tat.«</w:t>
      </w:r>
    </w:p>
    <w:p w:rsidR="008725BE" w:rsidRPr="008725BE" w:rsidRDefault="00B437A1" w:rsidP="008725BE">
      <w:pPr>
        <w:pStyle w:val="Sansinterligne"/>
        <w:rPr>
          <w:rFonts w:ascii="Garamond" w:hAnsi="Garamond"/>
          <w:caps/>
          <w:color w:val="000000"/>
          <w:lang w:val="en-GB"/>
        </w:rPr>
      </w:pPr>
      <w:hyperlink w:anchor="KSinhalt" w:history="1">
        <w:r w:rsidR="008725BE" w:rsidRPr="008725BE">
          <w:rPr>
            <w:rStyle w:val="Lienhypertexte"/>
            <w:rFonts w:ascii="Garamond" w:hAnsi="Garamond" w:cs="Arial"/>
            <w:b/>
            <w:bCs/>
            <w:lang w:val="en-GB"/>
          </w:rPr>
          <w:t>Al</w:t>
        </w:r>
        <w:bookmarkStart w:id="136" w:name="KS1"/>
        <w:bookmarkEnd w:id="136"/>
        <w:r w:rsidR="008725BE" w:rsidRPr="008725BE">
          <w:rPr>
            <w:rStyle w:val="Lienhypertexte"/>
            <w:rFonts w:ascii="Garamond" w:hAnsi="Garamond" w:cs="Arial"/>
            <w:b/>
            <w:bCs/>
            <w:lang w:val="en-GB"/>
          </w:rPr>
          <w:t xml:space="preserve">lgemeines über den hysterischen Anfall   </w:t>
        </w:r>
        <w:r w:rsidR="008725BE" w:rsidRPr="008725BE">
          <w:rPr>
            <w:rStyle w:val="Lienhypertexte"/>
            <w:rFonts w:ascii="Garamond" w:hAnsi="Garamond" w:cs="Arial"/>
            <w:b/>
            <w:bCs/>
            <w:caps/>
            <w:lang w:val="en-GB"/>
          </w:rPr>
          <w:t>(1909)</w:t>
        </w:r>
      </w:hyperlink>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A</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man eine Hysterika, deren Leiden sich in Anfällen äußert, der Psychoanalyse unterzieht, so überzeugt man sich leicht, daß diese Anfälle nichts anderes sind als ins Motorische übersetzte, auf die Motilität projizierte, pantomimisch dargestellte Phantasien. Unbewußte Phantasien zwar, aber sonst von derselben Art, wie man sie in den Tagträumen unmittelbar erfassen, aus den nächtlichen Träumen durch Deutung entwickeln kann. Häufig ersetzt ein Traum einen Anfall, noch häufiger erläutert er ihn, indem die nämliche Phantasie zu verschiedenartigem Ausdruck im Traume wie im Anfalle gelangt. Man sollte nun erwarten, durch die Anschauung des Anfalles zur Kenntnis der in ihm dargestellten Phantasie zu kommen; allein dies gelingt nur selten. In der Regel hat die pantomimische Darstellung der Phantasie unter dem Einflusse der Zensur ganz analoge Entstellungen wie die halluzinatorische des Traumes erfahren, so daß die eine wie die andere zunächst für das eigene Bewußtsein wie für das Verständnis des Zuschauers undurchsichtig geworden ist. Der hysterische Anfall bedarf also der gleichen deutenden Bearbeitung wie wir sie mit den nächtlichen Träumen vornehmen. Aber nicht nur die Mächte, von denen die Entstellung ausgeht, und die Absicht dieser Entstellung, auch die Technik derselben ist die nämliche, die uns durch die Traumdeutung bekannt geworden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1) Der Anfall wird dadurch unverständlich, daß er in demselben Material gleichzeitig mehrere Phantasien zur Darstellung bringt, also durch </w:t>
      </w:r>
      <w:r w:rsidRPr="008725BE">
        <w:rPr>
          <w:rFonts w:ascii="Garamond" w:hAnsi="Garamond"/>
          <w:i/>
          <w:iCs/>
          <w:color w:val="000000"/>
          <w:lang w:val="en-GB"/>
        </w:rPr>
        <w:t>Verdichtung</w:t>
      </w:r>
      <w:r w:rsidRPr="008725BE">
        <w:rPr>
          <w:rFonts w:ascii="Garamond" w:hAnsi="Garamond"/>
          <w:color w:val="000000"/>
          <w:lang w:val="en-GB"/>
        </w:rPr>
        <w:t>. Die Gemeinsamen der beiden (oder mehreren) Phantasien bilden wie im Traume den Kern der Darstellung. Die so zur Deckung gebrachten Phantasien sind oft ganz verschiedener Art, z. B. ein rezenter Wunsch und die Wiederbelebung eines infantilen Eindrucks; dieselben Innervationen dienen dann beiden Absichten, oft in der geschicktesten Weise. Hysteriker, die sich der Verdichtung im großen Ausmaße bedienen, finden etwa mit einer einzigen Anfallsform ihr Auslangen; andere drücken eine Mehrheit von pathogenen Phantasien auch durch Vervielfältigung der Anfallsformen aus.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2) Der Anfall wird dadurch undurchsichtig, daß die Kranke die Tätigkeiten beider in der Phantasie auftretenden Personen auszuführen unternimmt, also durch </w:t>
      </w:r>
      <w:r w:rsidRPr="008725BE">
        <w:rPr>
          <w:rFonts w:ascii="Garamond" w:hAnsi="Garamond"/>
          <w:i/>
          <w:iCs/>
          <w:color w:val="000000"/>
          <w:lang w:val="en-GB"/>
        </w:rPr>
        <w:t>mehrfache Identifizierung</w:t>
      </w:r>
      <w:r w:rsidRPr="008725BE">
        <w:rPr>
          <w:rFonts w:ascii="Garamond" w:hAnsi="Garamond"/>
          <w:color w:val="000000"/>
          <w:lang w:val="en-GB"/>
        </w:rPr>
        <w:t xml:space="preserve">. Vergleiche etwa das Beispiel, welches ich in dem Aufsatze ›Hysterische Phantasien und ihre Beziehung zur Bisexualität‹ in Hirschfelds </w:t>
      </w:r>
      <w:r w:rsidRPr="008725BE">
        <w:rPr>
          <w:rFonts w:ascii="Garamond" w:hAnsi="Garamond"/>
          <w:i/>
          <w:iCs/>
          <w:color w:val="000000"/>
          <w:lang w:val="en-GB"/>
        </w:rPr>
        <w:t>Zeitschrift für Sexualwissenschaft,</w:t>
      </w:r>
      <w:r w:rsidRPr="008725BE">
        <w:rPr>
          <w:rFonts w:ascii="Garamond" w:hAnsi="Garamond"/>
          <w:color w:val="000000"/>
          <w:lang w:val="en-GB"/>
        </w:rPr>
        <w:t xml:space="preserve"> Bd. I, Nr. 1, erwähnt habe, in dem die Kranke mit der einen Hand (als Mann) das Kleid herunterreißt, während sie es mit der anderen (als Weib) an den Leib preßt.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3) Ganz außerordentlich entstellend wirkt die </w:t>
      </w:r>
      <w:r w:rsidRPr="008725BE">
        <w:rPr>
          <w:rFonts w:ascii="Garamond" w:hAnsi="Garamond"/>
          <w:i/>
          <w:iCs/>
          <w:color w:val="000000"/>
          <w:lang w:val="en-GB"/>
        </w:rPr>
        <w:t>antagonistische Verkehrung der Innervationen,</w:t>
      </w:r>
      <w:r w:rsidRPr="008725BE">
        <w:rPr>
          <w:rFonts w:ascii="Garamond" w:hAnsi="Garamond"/>
          <w:color w:val="000000"/>
          <w:lang w:val="en-GB"/>
        </w:rPr>
        <w:t xml:space="preserve"> welche der in der Traumarbeit üblichen Verwandlung eines Elementes in sein Gegenteil analog ist, z. B. wenn im Anfall eine Umarmung dadurch dargestellt wird, daß die Arme krampfhaft nach rückwärts gezogen werden, bis sich die Hände über der Wirbelsäule begegnen. –; Möglicherweise ist der bekannte </w:t>
      </w:r>
      <w:r w:rsidRPr="008725BE">
        <w:rPr>
          <w:rFonts w:ascii="Garamond" w:hAnsi="Garamond"/>
          <w:i/>
          <w:iCs/>
          <w:color w:val="000000"/>
          <w:lang w:val="en-GB"/>
        </w:rPr>
        <w:t>arc de cercle</w:t>
      </w:r>
      <w:r w:rsidRPr="008725BE">
        <w:rPr>
          <w:rFonts w:ascii="Garamond" w:hAnsi="Garamond"/>
          <w:color w:val="000000"/>
          <w:lang w:val="en-GB"/>
        </w:rPr>
        <w:t xml:space="preserve"> der großen hysterischen Attacke nichts anderes als eine solche energische Verleugnung einer für den sexuellen Verkehr geeigneten Körperstellung durch antagonistische Innervation.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4) Kaum minder verwirrend und irreführend wirkt dann die </w:t>
      </w:r>
      <w:r w:rsidRPr="008725BE">
        <w:rPr>
          <w:rFonts w:ascii="Garamond" w:hAnsi="Garamond"/>
          <w:i/>
          <w:iCs/>
          <w:color w:val="000000"/>
          <w:lang w:val="en-GB"/>
        </w:rPr>
        <w:t>Umkehrung in der Zeitfolge</w:t>
      </w:r>
      <w:r w:rsidRPr="008725BE">
        <w:rPr>
          <w:rFonts w:ascii="Garamond" w:hAnsi="Garamond"/>
          <w:color w:val="000000"/>
          <w:lang w:val="en-GB"/>
        </w:rPr>
        <w:t xml:space="preserve"> innerhalb der dargestellten Phantasie, was wiederum sein volles Gegenstück in manchen Träumen findet, die mit dem Ende der Handlung beginnen, um dann mit deren Anfang zu schließen. So z. B. wenn die Verführungsphantasie einer Hysterika zum Inhalte hat, wie sie lesend in einem Park sitzt, das Kleid ein wenig gehoben, so daß der Fuß sichtbar wird, ein Herr sich ihr nähert, der sie anspricht, sie dann mit ihm an einen anderen Ort geht und dort zärtlich mit ihm verkehrt, und sie diese Phantasie im Anfalle derart spielt, daß sie mit dem Krampfstadium beginnt, welches dem Koitus entspricht, dann aufsteht, in ein anderes Zimmer geht, sich dort hinsetzt, um zu lesen, und dann auf eine imaginäre Anrede Antwort gibt.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beiden letztangeführten Entstellungen können uns die Intensität der Widerstände ahnen lassen, denen das Verdrängte noch bei seinem Durchbruche im hysterischen Anfalle Rechnung tragen muß.</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Auftreten der hysterischen Anfälle folgt leichtverständlichen Gesetzen. Da der verdrängte Komplex aus Libidobesetzung und Vorstellungsinhalt (Phantasie) besteht, kann der Anfall wachgerufen werden: 1)  </w:t>
      </w:r>
      <w:r w:rsidRPr="008725BE">
        <w:rPr>
          <w:rFonts w:ascii="Garamond" w:hAnsi="Garamond"/>
          <w:i/>
          <w:iCs/>
          <w:color w:val="000000"/>
          <w:lang w:val="en-GB"/>
        </w:rPr>
        <w:t>assoziativ</w:t>
      </w:r>
      <w:r w:rsidRPr="008725BE">
        <w:rPr>
          <w:rFonts w:ascii="Garamond" w:hAnsi="Garamond"/>
          <w:color w:val="000000"/>
          <w:lang w:val="en-GB"/>
        </w:rPr>
        <w:t xml:space="preserve">, wenn der (genügend besetzte) Komplexinhalt durch eine Anknüpfung des bewußten Lebens angespielt wird, 2)  </w:t>
      </w:r>
      <w:r w:rsidRPr="008725BE">
        <w:rPr>
          <w:rFonts w:ascii="Garamond" w:hAnsi="Garamond"/>
          <w:i/>
          <w:iCs/>
          <w:color w:val="000000"/>
          <w:lang w:val="en-GB"/>
        </w:rPr>
        <w:t>organisch</w:t>
      </w:r>
      <w:r w:rsidRPr="008725BE">
        <w:rPr>
          <w:rFonts w:ascii="Garamond" w:hAnsi="Garamond"/>
          <w:color w:val="000000"/>
          <w:lang w:val="en-GB"/>
        </w:rPr>
        <w:t xml:space="preserve">, wenn aus inneren somatischen Gründen und durch psychische Beeinflussung von außen die Libidobesetzung über ein gewisses Maß steigt, 3) im Dienste der </w:t>
      </w:r>
      <w:r w:rsidRPr="008725BE">
        <w:rPr>
          <w:rFonts w:ascii="Garamond" w:hAnsi="Garamond"/>
          <w:i/>
          <w:iCs/>
          <w:color w:val="000000"/>
          <w:lang w:val="en-GB"/>
        </w:rPr>
        <w:t>primären Tendenz</w:t>
      </w:r>
      <w:r w:rsidRPr="008725BE">
        <w:rPr>
          <w:rFonts w:ascii="Garamond" w:hAnsi="Garamond"/>
          <w:color w:val="000000"/>
          <w:lang w:val="en-GB"/>
        </w:rPr>
        <w:t xml:space="preserve">, als Ausdruck der »Flucht in die Krankheit«, wenn die Wirklichkeit peinlich oder schreckhaft wird, also zur </w:t>
      </w:r>
      <w:r w:rsidRPr="008725BE">
        <w:rPr>
          <w:rFonts w:ascii="Garamond" w:hAnsi="Garamond"/>
          <w:i/>
          <w:iCs/>
          <w:color w:val="000000"/>
          <w:lang w:val="en-GB"/>
        </w:rPr>
        <w:t>Tröstung</w:t>
      </w:r>
      <w:r w:rsidRPr="008725BE">
        <w:rPr>
          <w:rFonts w:ascii="Garamond" w:hAnsi="Garamond"/>
          <w:color w:val="000000"/>
          <w:lang w:val="en-GB"/>
        </w:rPr>
        <w:t xml:space="preserve">, 4) im Dienste der </w:t>
      </w:r>
      <w:r w:rsidRPr="008725BE">
        <w:rPr>
          <w:rFonts w:ascii="Garamond" w:hAnsi="Garamond"/>
          <w:i/>
          <w:iCs/>
          <w:color w:val="000000"/>
          <w:lang w:val="en-GB"/>
        </w:rPr>
        <w:t>sekundären Tendenzen</w:t>
      </w:r>
      <w:r w:rsidRPr="008725BE">
        <w:rPr>
          <w:rFonts w:ascii="Garamond" w:hAnsi="Garamond"/>
          <w:color w:val="000000"/>
          <w:lang w:val="en-GB"/>
        </w:rPr>
        <w:t xml:space="preserve">, mit denen sich das Kranksein verbündet hat, sobald durch die Produktion des Anfalles ein dem Kranken nützlicher Zweck erreicht werden kann. Im letzteren Falle </w:t>
      </w:r>
      <w:r w:rsidRPr="008725BE">
        <w:rPr>
          <w:rFonts w:ascii="Garamond" w:hAnsi="Garamond"/>
          <w:color w:val="000000"/>
          <w:lang w:val="en-GB"/>
        </w:rPr>
        <w:lastRenderedPageBreak/>
        <w:t>ist der Anfall für gewisse Personen berechnet, kann für sie zeitlich verschoben werden und macht den Eindruck bewußter Simulation.</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C</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Erforschung der Kindergeschichte Hysterischer lehrt, daß der hysterische Anfall zum Ersatze einer ehemals geübten und seither aufgegebenen </w:t>
      </w:r>
      <w:r w:rsidRPr="008725BE">
        <w:rPr>
          <w:rFonts w:ascii="Garamond" w:hAnsi="Garamond"/>
          <w:i/>
          <w:iCs/>
          <w:color w:val="000000"/>
          <w:lang w:val="en-GB"/>
        </w:rPr>
        <w:t>autoerotischen</w:t>
      </w:r>
      <w:r w:rsidRPr="008725BE">
        <w:rPr>
          <w:rFonts w:ascii="Garamond" w:hAnsi="Garamond"/>
          <w:color w:val="000000"/>
          <w:lang w:val="en-GB"/>
        </w:rPr>
        <w:t xml:space="preserve"> Befriedigung bestimmt ist. In einer großen Zahl von Fällen kehrt diese Befriedigung (die Masturbation durch Berührung oder Schenkeldruck, die Zungenbewegung u. dgl.) auch im Anfalle selbst unter Abwendung des Bewußtseins wieder. Das Auftreten des Anfalles durch Libidosteigerung und im Dienste der primären Tendenz als Tröstung wiederholt auch genau die Bedingungen, unter denen diese autoerotische Befriedigung seinerzeit vom Kranken mit Absicht aufgesucht wurde. Die Anamnese des Kranken ergibt folgende Stadien: </w:t>
      </w:r>
      <w:r w:rsidRPr="008725BE">
        <w:rPr>
          <w:rFonts w:ascii="Garamond" w:hAnsi="Garamond"/>
          <w:i/>
          <w:iCs/>
          <w:color w:val="000000"/>
          <w:lang w:val="en-GB"/>
        </w:rPr>
        <w:t>a)</w:t>
      </w:r>
      <w:r w:rsidRPr="008725BE">
        <w:rPr>
          <w:rFonts w:ascii="Garamond" w:hAnsi="Garamond"/>
          <w:color w:val="000000"/>
          <w:lang w:val="en-GB"/>
        </w:rPr>
        <w:t xml:space="preserve"> autoerotische Befriedigung ohne Vorstellungsinhalt, </w:t>
      </w:r>
      <w:r w:rsidRPr="008725BE">
        <w:rPr>
          <w:rFonts w:ascii="Garamond" w:hAnsi="Garamond"/>
          <w:i/>
          <w:iCs/>
          <w:color w:val="000000"/>
          <w:lang w:val="en-GB"/>
        </w:rPr>
        <w:t>b)</w:t>
      </w:r>
      <w:r w:rsidRPr="008725BE">
        <w:rPr>
          <w:rFonts w:ascii="Garamond" w:hAnsi="Garamond"/>
          <w:color w:val="000000"/>
          <w:lang w:val="en-GB"/>
        </w:rPr>
        <w:t xml:space="preserve"> die nämliche im Anschlusse an eine Phantasie, welche in die Befriedigungsaktion ausläuft, </w:t>
      </w:r>
      <w:r w:rsidRPr="008725BE">
        <w:rPr>
          <w:rFonts w:ascii="Garamond" w:hAnsi="Garamond"/>
          <w:i/>
          <w:iCs/>
          <w:color w:val="000000"/>
          <w:lang w:val="en-GB"/>
        </w:rPr>
        <w:t>c)</w:t>
      </w:r>
      <w:r w:rsidRPr="008725BE">
        <w:rPr>
          <w:rFonts w:ascii="Garamond" w:hAnsi="Garamond"/>
          <w:color w:val="000000"/>
          <w:lang w:val="en-GB"/>
        </w:rPr>
        <w:t xml:space="preserve"> Verzicht auf die Aktion mit Beibehaltung der Phantasie, </w:t>
      </w:r>
      <w:r w:rsidRPr="008725BE">
        <w:rPr>
          <w:rFonts w:ascii="Garamond" w:hAnsi="Garamond"/>
          <w:i/>
          <w:iCs/>
          <w:color w:val="000000"/>
          <w:lang w:val="en-GB"/>
        </w:rPr>
        <w:t>d)</w:t>
      </w:r>
      <w:r w:rsidRPr="008725BE">
        <w:rPr>
          <w:rFonts w:ascii="Garamond" w:hAnsi="Garamond"/>
          <w:color w:val="000000"/>
          <w:lang w:val="en-GB"/>
        </w:rPr>
        <w:t xml:space="preserve"> Verdrängung dieser Phantasie, die sich dann, entweder unverändert oder modifiziert und neuen Lebenseindrücken angepaßt, im hysterischen Anfalle durchsetzt und </w:t>
      </w:r>
      <w:r w:rsidRPr="008725BE">
        <w:rPr>
          <w:rFonts w:ascii="Garamond" w:hAnsi="Garamond"/>
          <w:i/>
          <w:iCs/>
          <w:color w:val="000000"/>
          <w:lang w:val="en-GB"/>
        </w:rPr>
        <w:t>e)</w:t>
      </w:r>
      <w:r w:rsidRPr="008725BE">
        <w:rPr>
          <w:rFonts w:ascii="Garamond" w:hAnsi="Garamond"/>
          <w:color w:val="000000"/>
          <w:lang w:val="en-GB"/>
        </w:rPr>
        <w:t> eventuell selbst die ihr zugehörige, angeblich abgewöhnte Befriedigungsaktion wiederbringt. Ein typischer Zyklus von infantiler Sexualbetätigung –; Verdrängung –; Mißglücken der Verdrängung und Wiederkehr des Verdrängten.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unwillkürliche Harnabgang darf gewiß nicht für unvereinbar mit der Diagnose des hysterischen Anfalls gehalten werden; er wiederholt bloß die infantile Form der stürmischen Pollution. Übrigens kann man auch den Zungenbiß bei unzweifelhafter Hysterie antreffen; er widerspricht der Hysterie so wenig wie dem Liebesspiele; sein Auftreten im Anfalle wird erleichtert, wenn die Kranke durch ärztliche Erkundigung auf die differentialdiagnostischen Schwierigkeiten aufmerksam gemacht worden ist. Selbstbeschädigung im hysterischen Anfalle kann (häufiger bei Männern) vorkommen, wo sie einen Unfall des kindlichen Lebens (z. B. den Erfolg einer Rauferei) wiederholt.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Bewußtseinsverlust, die Absence des hysterischen Anfalles geht aus jenem flüchtigen, aber unverkennbaren Bewußtseinsentgang hervor, der auf der Höhe einer jeden intensiven Sexualbefriedigung (auch der autoerotischen) zu verspüren ist. Bei der Entstehung hysterischer Absencen aus den Pollutionsanwandlungen junger weiblicher Individuen ist diese Entwicklung am sichersten zu verfolgen. Die sogenannten hypnoiden Zustände, die Absencen während der Träumerei, die bei Hysterischen so häufig sind, lassen die gleiche Herkunft erkennen. Der Mechanismus dieser Absencen ist ein relativ einfacher. Zunächst wird alle Aufmerksamkeit auf den Ablauf des Befriedigungsvorganges eingestellt, und mit dem Eintritte der Befriedigung wird diese ganze Aufmerksamkeitsbesetzung plötzlich aufgehoben, so daß eine momentane Bewußtseinsleere entsteht. Diese sozusagen physiologische Bewußtseinslücke wird dann im Dienste der Verdrängung erweitert, bis sie all das aufnehmen kann, was die verdrängende Instanz von sich weist.</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Einrichtung, welche der verdrängten Libido den Weg zur motorischen Abfuhr im Anfalle weist, ist der bei jedermann, auch beim Weibe, bereitgehaltene Reflexmechanismus der Koitusaktion, den wir bei schrankenloser Hingabe an die Sexualtätigkeit manifest werden sehen. </w:t>
      </w:r>
      <w:r w:rsidRPr="008725BE">
        <w:rPr>
          <w:rFonts w:ascii="Garamond" w:hAnsi="Garamond"/>
          <w:color w:val="000000"/>
        </w:rPr>
        <w:t xml:space="preserve">Schon die Alten sagten, der Koitus sei eine »kleine Epilepsie«. </w:t>
      </w:r>
      <w:r w:rsidRPr="008725BE">
        <w:rPr>
          <w:rFonts w:ascii="Garamond" w:hAnsi="Garamond"/>
          <w:color w:val="000000"/>
          <w:lang w:val="en-GB"/>
        </w:rPr>
        <w:t>Wir dürfen abändern! Der hysterische Krampfanfall ist ein Koitusäquivalent. Die Analogie mit dem epileptischen Anfalle hilft uns wenig, da dessen Genese noch unverstandener ist als die des hysterischen.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Im ganzen setzt der hysterische Anfall, wie die Hysterie überhaupt, beim Weibe ein Stück Sexualbetätigung wieder ein, das in den Kinderjahren bestanden hatte und damals exquisit männlichen Charakter erkennen ließ. Man kann es häufig beobachten, daß gerade Mädchen, die bis in die Jahre der Vorpubertät bubenhaftes Wesen und Neigungen zeigten, von der Pubertät an hysterisch werden. In einer ganzen Reihe von Fällen entspricht die hysterische Neurose nur einer exzessiven Ausprägung jenes typischen Verdrängungsschubes, welcher durch Wegschaffung der männlichen Sexualität das Weib entstehen läßt. (Vgl.: </w:t>
      </w:r>
      <w:r w:rsidRPr="008725BE">
        <w:rPr>
          <w:rFonts w:ascii="Garamond" w:hAnsi="Garamond"/>
          <w:i/>
          <w:iCs/>
          <w:color w:val="000000"/>
          <w:lang w:val="en-GB"/>
        </w:rPr>
        <w:t>Drei Abhandlungen zur Sexualtheorie</w:t>
      </w:r>
      <w:r w:rsidRPr="008725BE">
        <w:rPr>
          <w:rFonts w:ascii="Garamond" w:hAnsi="Garamond"/>
          <w:color w:val="000000"/>
          <w:lang w:val="en-GB"/>
        </w:rPr>
        <w:t xml:space="preserve">, 1905  </w:t>
      </w:r>
      <w:r w:rsidRPr="008725BE">
        <w:rPr>
          <w:rFonts w:ascii="Garamond" w:hAnsi="Garamond"/>
          <w:i/>
          <w:iCs/>
          <w:color w:val="000000"/>
          <w:lang w:val="en-GB"/>
        </w:rPr>
        <w:t>d</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Be</w:t>
        </w:r>
        <w:bookmarkStart w:id="137" w:name="KS2"/>
        <w:bookmarkEnd w:id="137"/>
        <w:r w:rsidRPr="008725BE">
          <w:rPr>
            <w:rStyle w:val="Lienhypertexte"/>
            <w:rFonts w:ascii="Garamond" w:hAnsi="Garamond" w:cs="Arial"/>
            <w:b/>
            <w:bCs/>
            <w:lang w:val="en-GB"/>
          </w:rPr>
          <w:t>merkungen über die Übertragungsliebe</w:t>
        </w:r>
      </w:hyperlink>
      <w:r w:rsidRPr="008725BE">
        <w:rPr>
          <w:rFonts w:ascii="Garamond" w:hAnsi="Garamond"/>
          <w:color w:val="000000"/>
          <w:lang w:val="en-GB"/>
        </w:rPr>
        <w:t xml:space="preserve">  </w:t>
      </w:r>
      <w:r w:rsidRPr="008725BE">
        <w:rPr>
          <w:rFonts w:ascii="Garamond" w:hAnsi="Garamond"/>
          <w:caps/>
          <w:color w:val="000000"/>
          <w:lang w:val="en-GB"/>
        </w:rPr>
        <w:t>(1915)</w:t>
      </w:r>
      <w:r w:rsidRPr="008725BE">
        <w:rPr>
          <w:rFonts w:ascii="Garamond" w:hAnsi="Garamond"/>
          <w:color w:val="000000"/>
          <w:lang w:val="en-GB"/>
        </w:rPr>
        <w:t xml:space="preserve"> </w:t>
      </w:r>
    </w:p>
    <w:p w:rsidR="008725BE" w:rsidRPr="008725BE" w:rsidRDefault="008725BE" w:rsidP="008725BE">
      <w:pPr>
        <w:pStyle w:val="Sansinterligne"/>
        <w:rPr>
          <w:rFonts w:ascii="Garamond" w:hAnsi="Garamond"/>
          <w:color w:val="A9A9A9"/>
        </w:rPr>
      </w:pPr>
      <w:r w:rsidRPr="008725BE">
        <w:rPr>
          <w:rFonts w:ascii="Garamond" w:hAnsi="Garamond"/>
          <w:color w:val="A9A9A9"/>
        </w:rPr>
        <w:t>Weitere Ratschläge zur Technik der Psychoanalyse III</w:t>
      </w:r>
    </w:p>
    <w:p w:rsidR="008725BE" w:rsidRPr="008725BE" w:rsidRDefault="008725BE" w:rsidP="008725BE">
      <w:pPr>
        <w:pStyle w:val="Sansinterligne"/>
        <w:rPr>
          <w:rFonts w:ascii="Garamond" w:hAnsi="Garamond"/>
          <w:caps/>
          <w:color w:val="000000"/>
        </w:rPr>
      </w:pPr>
    </w:p>
    <w:p w:rsidR="008725BE" w:rsidRPr="008725BE" w:rsidRDefault="008725BE" w:rsidP="008725BE">
      <w:pPr>
        <w:pStyle w:val="Sansinterligne"/>
        <w:rPr>
          <w:rFonts w:ascii="Garamond" w:hAnsi="Garamond"/>
          <w:color w:val="000000"/>
        </w:rPr>
      </w:pPr>
      <w:r w:rsidRPr="008725BE">
        <w:rPr>
          <w:rFonts w:ascii="Garamond" w:hAnsi="Garamond"/>
          <w:color w:val="000000"/>
        </w:rPr>
        <w:t> </w:t>
      </w:r>
    </w:p>
    <w:p w:rsidR="008725BE" w:rsidRPr="008725BE" w:rsidRDefault="008725BE" w:rsidP="008725BE">
      <w:pPr>
        <w:pStyle w:val="Sansinterligne"/>
        <w:rPr>
          <w:rFonts w:ascii="Garamond" w:hAnsi="Garamond"/>
          <w:color w:val="000000"/>
        </w:rPr>
      </w:pPr>
      <w:r w:rsidRPr="008725BE">
        <w:rPr>
          <w:rFonts w:ascii="Garamond" w:hAnsi="Garamond"/>
          <w:color w:val="000000"/>
        </w:rPr>
        <w:t>Jeder Anfänger in der Psychoanalyse bangt wohl zuerst vor den Schwierigkeiten, welche ihm die Deutung der Einfälle des Patienten und die Aufgabe der Reproduktion des Verdrängten bereiten werden. Es steht ihm aber bevor, diese Schwierigkeiten bald gering einzuschätzen und dafür die Überzeugung einzutauschen, daß die einzigen wirklich ernsthaften Schwierigkeiten bei der Handhabung der Übertragung anzutreffen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Von den Situationen, die sich hier ergeben, will ich eine einzige, scharf umschriebene, herausgreifen, sowohl wegen ihrer Häufigkeit und realen Bedeutsamkeit als auch wegen ihres theoretischen Interesses. Ich meine den Fall, daß eine weibliche Patientin durch unzweideutige Andeutungen erraten läßt oder es direkt ausspricht, daß sie sich wie ein anderes sterbliches Weib in den sie analysierenden Arzt verliebt hat. Diese Situation hat ihre peinlichen und komischen Seiten wie ihre ernsthaften; sie ist auch so verwickelt und vielseitig bedingt, so unvermeidlich und so schwer lösbar, daß ihre Diskussion längst ein vitales Bedürfnis der analytischen Technik erfüllt hätte. Aber da wir selbst nicht immer frei sind, die wir über die Fehler der anderen spotten, haben wir uns zur Erfüllung dieser Aufgabe bisher nicht eben gedrängt. Immer wieder stoßen wir hier mit der Pflicht der ärztlichen Diskretion zusammen, die im Leben nicht zu entbehren, in unserer Wissenschaft aber nicht zu brauchen ist. Insoferne die Literatur der Psychoanalytik auch dem realen Leben angehört, ergibt sich hier ein unlösbarer Widerspruch. Ich habe mich kürzlich an einer Stelle über die Diskretion hinausgesetzt und angedeutet, daß die nämliche Übertragungssituation die Entwicklung der psychoanalytischen Therapie um ihr erstes Jahrzehnt verzögert hat </w:t>
      </w:r>
      <w:hyperlink r:id="rId69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›Zur Geschichte der psychoanalytischen Bewegung‹ (1914).</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Für den wohlerzogenen Laien –; ein solcher ist wohl der ideale Kulturmensch der Psychoanalyse gegenüber –; sind Liebesbegebenheiten mit allem anderen inkommensurabel; sie stehen gleichsam auf einem besonderen Blatte, das keine andere Beschreibung verträgt. Wenn sich also die Patientin in den Arzt verliebt hat, wird er meinen, dann kann es nur zwei Ausgänge haben, den selteneren, daß alle Umstände die dauernde legitime Vereinigung der beiden gestatten, und den häufigeren, daß Arzt und Patientin auseinandergehen und die begonnene Arbeit, welche der Herstellung dienen sollte, als durch ein Elementarereignis gestört aufgeben. Gewiß ist auch ein dritter Ausgang denkbar, der sich sogar mit der Fortsetzung der Kur zu vertragen scheint, die Anknüpfung illegitimer und nicht für die Ewigkeit bestimmter Liebesbeziehungen; aber dieser ist wohl durch die bürgerliche Moral wie durch die ärztliche Würde unmöglich gemacht. Immerhin würde der Laie bitten, durch eine möglichst deutliche Versicherung des Analytikers über den Ausschluß dieses dritten Falles beruhigt zu werden.</w:t>
      </w:r>
    </w:p>
    <w:p w:rsidR="008725BE" w:rsidRPr="008725BE" w:rsidRDefault="008725BE" w:rsidP="008725BE">
      <w:pPr>
        <w:pStyle w:val="Sansinterligne"/>
        <w:rPr>
          <w:rFonts w:ascii="Garamond" w:hAnsi="Garamond"/>
          <w:color w:val="000000"/>
        </w:rPr>
      </w:pPr>
      <w:r w:rsidRPr="008725BE">
        <w:rPr>
          <w:rFonts w:ascii="Garamond" w:hAnsi="Garamond"/>
          <w:color w:val="000000"/>
        </w:rPr>
        <w:t>Es ist evident, daß der Standpunkt des Psychoanalytikers ein anderer sein muß.</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Setzen wir den Fall des zweiten Ausganges der Situation, die wir besprechen, Arzt und Patientin gehen auseinander, nachdem sich die Patientin in den Arzt verliebt hat; die Kur wird aufgegeben. Aber der Zustand der Patientin macht bald einen zweiten analytischen Versuch bei einem anderen Arzte notwendig; da stellt es sich denn ein, daß sich die Patientin auch in diesen zweiten Arzt verliebt fühlt, und ebenso, wenn sie wieder abbricht und von neuem anfängt, in den dritten usw. Diese mit Sicherheit eintreffende Tatsache, bekanntlich eine der Grundlagen der psychoanalytischen Theorie, gestattet zwei Verwertungen, eine für den analysierenden Arzt, die andere für die der Analyse bedürftige Patientin.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Für den Arzt bedeutet sie eine kostbare Aufklärung und eine gute Warnung vor einer etwa bei ihm bereitliegenden Gegenübertragung. Er muß erkennen, daß das Verlieben der Patientin durch die analytische Situation erzwungen wird und nicht etwa den Vorzügen seiner Person zugeschrieben werden kann, daß er also gar keinen Grund hat, auf eine solche »Eroberung«, wie man sie außerhalb der Analyse heißen würde, stolz zu sein. Und es ist immer gut, daran gemahnt zu werden. Für die Patientin ergibt sich aber eine Alternative: entweder sie muß auf eine psychoanalytische Behandlung verzichten, oder sie muß sich die Verliebtheit in den Arzt als unausweichliches Schicksal gefallen lassen </w:t>
      </w:r>
      <w:hyperlink r:id="rId69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Daß die Übertragung sich in anderen und minder zärtlichen Gefühlen äußern kann, ist bekannt und soll in diesem Aufsatze nicht behandelt werden.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zweifle nicht daran, daß sich die Angehörigen der Patientin mit ebensolcher Entschiedenheit für die erste der beiden Möglichkeiten erklären werden wie der analysierende Arzt für die zweite. Aber ich meine, es ist dies ein Fall, in welchem der zärtlichen –; oder vielmehr egoistisch eifersüchtigen –; Sorge der Angehörigen die Entscheidung nicht überlassen werden kann. Nur das Interesse der Kranken sollte den Ausschlag geben. Die Liebe der Angehörigen kann aber keine Neurose heilen. Der Psychoanalytiker </w:t>
      </w:r>
      <w:r w:rsidRPr="008725BE">
        <w:rPr>
          <w:rFonts w:ascii="Garamond" w:hAnsi="Garamond"/>
          <w:color w:val="000000"/>
          <w:lang w:val="en-GB"/>
        </w:rPr>
        <w:lastRenderedPageBreak/>
        <w:t>braucht sich nicht aufzudrängen, er darf sich aber als unentbehrlich für gewisse Leistungen hinstellen. Wer als Angehöriger die Stellung Tolstois zu diesem Probleme zu der seinigen macht, mag im ungestörten Besitze seiner Frau oder Tochter bleiben und muß es zu ertragen suchen, daß diese auch ihre Neurose und die mit ihr verknüpfte Störung ihrer Liebesfähigkeit beibehält. Es ist schließlich ein ähnlicher Fall wie der der gynäkologischen Behandlung. Der eifersüchtige Vater oder Gatte irrt übrigens groß, wenn er meint, die Patientin werde der Verliebtheit in den Arzt entgehen, wenn er sie zur Bekämpfung ihrer Neurose eine andere als die analytische Behandlung einschlagen läßt. Der Unterschied wird vielmehr nur sein, daß eine solche Verliebtheit, die dazu bestimmt ist, unausgesprochen und unanalysiert zu bleiben, niemals jenen Beitrag zur Herstellung der Kranken leisten wird, den ihr die Analyse abzwingen würde.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mir bekanntgeworden, daß einzelne Ärzte, welche die Analyse ausüben, die Patienten häufig auf das Erscheinen der Liebesübertragung vorbereiten oder sie sogar auffordern, sich »nur in den Arzt zu verlieben, damit die Analyse vorwärtsgehe«. Ich kann mir nicht leicht eine unsinnigere Technik vorstellen. Man raubt damit dem Phänomen den überzeugenden Charakter der Spontaneität und bereitet sich selbst schwer zu beseitigende Hindernisse.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Zunächst hat es allerdings nicht den Anschein, als ob aus der Verliebtheit in der Übertragung etwas für die Kur Förderliches entstehen könnte. Die Patientin, auch die bisher fügsamste, hat plötzlich Verständnis und Interesse für die Behandlung verloren, will von nichts anderem sprechen und hören als von ihrer Liebe, für die sie Entgegnung fordert; sie hat ihre Symptome aufgegeben oder vernachlässigt sie, ja, sie erklärt sich für gesund. Es gibt einen völligen Wechsel der Szene, wie wenn ein Spiel durch eine plötzlich hereinbrechende Wirklichkeit abgelöst würde, etwa wie wenn sich während einer Theatervorstellung Feuerlärm erhebt. Wer dies als Arzt zum erstenmal erlebt, hat es nicht leicht, die analytische Situation festzuhalten und sich der Täuschung zu entziehen, daß die Behandlung wirklich zu Ende sei.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Mit etwas Besinnung findet man sich dann zurecht. Vor allem gedenkt man des Verdachtes, daß alles, was die Fortsetzung der Kur stört, eine Widerstandsäußerung sein mag. An dem Auftreten der stürmischen Liebesforderung hat der Widerstand unzweifelhaft einen großen Anteil. Man hatte ja die Anzeichen einer zärtlichen Übertragung bei der Patientin längst bemerkt und durfte ihre Gefügigkeit, ihr Eingehen auf die Erklärungen der Analyse, ihr ausgezeichnetes Verständnis und die hohe Intelligenz, die sie dabei erwies, gewiß auf Rechnung einer solchen Einstellung gegen den Arzt schreiben. Nun ist das alles wie weggefegt, die Kranke ist ganz einsichtslos geworden, sie scheint in ihrer Verliebtheit aufzugehen, und diese Wandlung ist ganz regelmäßig in einem Zeitpunkte aufgetreten, da man ihr gerade zumuten mußte, ein besonders peinliches und schwer verdrängtes Stück ihrer Lebensgeschichte zuzugestehen oder zu erinnern. Die Verliebtheit ist also längst dagewesen, aber jetzt beginnt der Widerstand sich ihrer zu bedienen, um die Fortsetzung der Kur zu hemmen, um alles Interesse von der Arbeit abzulenken und um den analysierenden Arzt in eine peinliche Verlegenheit zu bringen.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Sieht man näher zu, so kann man in der Situation auch den Einfluß komplizierender Motive erkennen, zum Teile solcher, die sich der Verliebtheit anschließen, zum anderen Teile aber besonderer Äußerungen des Widerstandes. Von der ersteren Art ist das Bestreben der Patientin, sich ihrer Unwiderstehlichkeit zu versichern, die Autorität des Arztes durch seine Herabsetzung zum Geliebten zu brechen und was sonst als Nebengewinn bei der Liebesbefriedigung winkt. Vom Widerstande darf man vermuten, daß er gelegentlich die Liebeserklärung als Mittel benützt, um den gestrengen Analytiker auf die Probe zu stellen, worauf er im Falle seiner Willfährigkeit eine Zurechtweisung zu erwarten hätte. Vor allem aber hat man den Eindruck, daß der Widerstand als </w:t>
      </w:r>
      <w:r w:rsidRPr="008725BE">
        <w:rPr>
          <w:rFonts w:ascii="Garamond" w:hAnsi="Garamond"/>
          <w:i/>
          <w:iCs/>
          <w:color w:val="000000"/>
          <w:lang w:val="en-GB"/>
        </w:rPr>
        <w:t>agent provocateur</w:t>
      </w:r>
      <w:r w:rsidRPr="008725BE">
        <w:rPr>
          <w:rFonts w:ascii="Garamond" w:hAnsi="Garamond"/>
          <w:color w:val="000000"/>
          <w:lang w:val="en-GB"/>
        </w:rPr>
        <w:t xml:space="preserve"> die Verliebtheit steigert und die Bereitwilligkeit zur sexuellen Hingabe übertreibt, um dann desto nachdrücklicher unter Berufung auf die Gefahren einer solchen Zuchtlosigkeit das Wirken der Verdrängung zu rechtfertigen. All dieses Beiwerk, das in reineren Fällen auch wegbleiben kann, ist von Alf. Adler bekanntlich als das Wesentliche des ganzen Vorganges angesehen worden.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Wie muß sich aber der Analytiker benehmen, um nicht an dieser Situation zu scheitern, wenn es für ihn feststeht, daß die Kur trotz dieser Liebesübertragung und durch dieselbe hindurch fortzusetzen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hätte es nun leicht, unter nachdrücklicher Betonung der allgemein gültigen Moral zu postulieren, daß der Analytiker nie und nimmer die ihm angebotene Zärtlichkeit annehmen oder erwidern dürfe. Er müsse vielmehr den Moment für gekommen erachten, um die sittliche Forderung und die Notwendigkeit des Verzichtes vor dem verliebten Weibe zu vertreten und es bei ihr zu erreichen, daß sie von ihrem Verlangen ablasse und mit Überwindung des animalischen Anteils an ihrem Ich die analytische Arbeit fortsetze.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werde aber diese Erwartungen nicht erfüllen, weder den ersten noch den zweiten Teil derselben. Den ersten nicht, weil ich nicht für die Klientel schreibe, sondern für Ärzte, die mit ernsthaften Schwierigkeiten </w:t>
      </w:r>
      <w:r w:rsidRPr="008725BE">
        <w:rPr>
          <w:rFonts w:ascii="Garamond" w:hAnsi="Garamond"/>
          <w:color w:val="000000"/>
          <w:lang w:val="en-GB"/>
        </w:rPr>
        <w:lastRenderedPageBreak/>
        <w:t>zu ringen haben, und weil ich überdies hier die Moralvorschrift auf ihren Ursprung, das heißt auf Zweckmäßigkeit zurückführen kann. Ich bin diesmal in der glücklichen Lage, das moralische Oktroi ohne Veränderung des Ergebnisses durch Rücksichten der analytischen Technik zu ersetzen.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Noch entschiedener werde ich aber dem zweiten Teile der angedeuteten Erwartung absagen. Zur Triebunterdrückung, zum Verzicht und zur Sublimierung auffordern, sobald die Patientin ihre Liebesübertragung eingestanden hat, hieße nicht analytisch, sondern sinnlos handeln. Es wäre nicht anders, als wollte man mit kunstvollen Beschwörungen einen Geist aus der Unterwelt zum Aufsteigen zwingen, um ihn dann ungefragt wieder hinunterzuschicken. Man hätte ja dann das Verdrängte nur zum Bewußtsein gerufen, um es erschreckt von neuem zu verdrängen. Auch über den Erfolg eines solchen Vorgehens braucht man sich nicht zu täuschen. Gegen Leidenschaften richtet man mit sublimen Redensarten bekanntlich wenig aus. Die Patientin wird nur die Verschmähung empfinden und nicht versäumen, sich für sie zu rächen.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Ebensowenig kann ich zu einem Mittelwege raten, der sich manchen als besonders klug empfehlen würde, welcher darin besteht, daß man die zärtlichen Gefühle der Patientin zu erwidern behauptet und dabei allen körperlichen Betätigungen dieser Zärtlichkeit ausweicht, bis man das Verhältnis in ruhigere Bahnen lenken und auf eine höhere Stufe heben kann. Ich habe gegen dieses Auskunftsmittel einzuwenden, daß die psychoanalytische Behandlung auf Wahrhaftigkeit aufgebaut ist. Darin liegt ein gutes Stück ihrer erziehlichen Wirkung und ihres ethischen Wertes. Es ist gefährlich, dieses Fundament zu verlassen. Wer sich in die analytische Technik eingelebt hat, trifft das dem Arzte sonst unentbehrliche Lügen und Vorspiegeln überhaupt nicht mehr und pflegt sich zu verraten, wenn er es in bester Absicht einmal versucht. Da man vom Patienten strengste Wahrhaftigkeit fordert, setzt man seine ganze Autorität aufs Spiel, wenn man sich selbst von ihm bei einer Abweichung von der Wahrheit ertappen läßt. Außerdem ist der Versuch, sich in zärtliche Gefühle gegen die Patientin gleiten zu lassen, nicht ganz ungefährlich. Man beherrscht sich nicht so gut, daß man nicht plötzlich einmal weiter gekommen wäre, als man beabsichtigt hatte. Ich meine also, man darf die Indifferenz, die man sich durch die Niederhaltung der Gegenübertragung erworben hat, nicht verleugnen.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habe auch bereits erraten lassen, daß die analytische Technik es dem Arzte zum Gebote macht, der liebesbedürftigen Patientin die verlangte Befriedigung zu versagen. Die Kur muß in der Abstinenz durchgeführt werden; ich meine dabei nicht allein die körperliche Entbehrung, auch nicht die Entbehrung von allem, was man begehrt, denn dies würde vielleicht kein Kranker vertragen. Sondern ich will den Grundsatz aufstellen, daß man Bedürfnis und Sehnsucht als zur Arbeit und Veränderung treibende Kräfte bei der Kranken bestehen lassen und sich hüten muß, dieselben durch Surrogate zu beschwichtigen. Anderes als Surrogate könnte man ja nicht bieten, da die Kranke infolge ihres Zustandes, solange ihre Verdrängungen nicht behoben sind, einer wirklichen Befriedigung nicht fähig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Gestehen wir zu, daß der Grundsatz, die analytische Kur solle in der Entbehrung durchgeführt werden, weit über den hier betrachteten Einzelfall hinausreicht und einer eingehenden Diskussion bedarf, durch welche die Grenzen seiner Durchführbarkeit abgesteckt werden sollen. Wir wollen es aber vermeiden, dies hier zu tun, und uns möglichst enge an die Situation halten, von der wir ausgegangen sind. Was würde geschehen, wenn der Arzt anders vorginge und die etwa beiderseits gegebene Freiheit ausnützen würde, um die Liebe der Patientin zu erwidern und ihr Bedürfnis nach Zärtlichkeit zu stillen?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ihn dabei die Berechnung leiten sollte, durch solches Entgegenkommen würde er sich die Herrschaft über die Patientin sichern und sie so bewegen, die Aufgaben der Kur zu lösen, also ihre dauernde Befreiung von der Neurose zu erwerben, so müßte ihm die Erfahrung zeigen, daß er sich verrechnet hat. </w:t>
      </w:r>
      <w:r w:rsidRPr="008725BE">
        <w:rPr>
          <w:rFonts w:ascii="Garamond" w:hAnsi="Garamond"/>
          <w:color w:val="000000"/>
        </w:rPr>
        <w:t xml:space="preserve">Die Patientin würde ihr Ziel erreichen, er niemals das seinige. </w:t>
      </w:r>
      <w:r w:rsidRPr="008725BE">
        <w:rPr>
          <w:rFonts w:ascii="Garamond" w:hAnsi="Garamond"/>
          <w:color w:val="000000"/>
          <w:lang w:val="en-GB"/>
        </w:rPr>
        <w:t>Es hätte sich zwischen Arzt und Patientin nur wieder abgespielt, was eine lustige Geschichte vom Pastor und vom Versicherungsagenten erzählt. Zu dem ungläubigen und schwerkranken Versicherungsagenten wird auf Betreiben der Angehörigen ein frommer Mann gebracht, der ihn vor seinem Tode bekehren soll. Die Unterhaltung dauert so lange, daß die Wartenden Hoffnung schöpfen. Endlich öffnet sich die Tür des Krankenzimmers. Der Ungläubige ist nicht bekehrt worden, aber der Pastor geht versichert weg.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wäre ein großer Triumph für die Patientin, wenn ihre Liebeswerbung Erwiderung fände, und eine volle Niederlage für die Kur. Die Kranke hätte erreicht, wonach alle Kranken in der Analyse streben, etwas zu agieren, im Leben zu wiederholen, was sie nur erinnern, als psychisches Material reproduzieren und auf psychischem Gebiete erhalten soll </w:t>
      </w:r>
      <w:hyperlink r:id="rId69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 die vorhergehende Abhandlung über ›Erinnern ...‹ usw., S. 209 f., oben.</w:t>
        </w:r>
      </w:hyperlink>
      <w:r w:rsidRPr="008725BE">
        <w:rPr>
          <w:rFonts w:ascii="Garamond" w:hAnsi="Garamond"/>
          <w:color w:val="000000"/>
          <w:lang w:val="en-GB"/>
        </w:rPr>
        <w:t xml:space="preserve">. Sie würde im weiteren Verlaufe des Liebesverhältnisses alle Hemmungen und pathologischen Reaktionen ihres Liebeslebens zum Vorscheine bringen, ohne daß eine Korrektur derselben möglich wäre, und das peinliche Erlebnis mit Reue und großer Verstärkung ihrer </w:t>
      </w:r>
      <w:r w:rsidRPr="008725BE">
        <w:rPr>
          <w:rFonts w:ascii="Garamond" w:hAnsi="Garamond"/>
          <w:color w:val="000000"/>
          <w:lang w:val="en-GB"/>
        </w:rPr>
        <w:lastRenderedPageBreak/>
        <w:t>Verdrängungsneigung abschließen. Das Liebesverhältnis macht eben der Beeinflußbarkeit durch die analytische Behandlung ein Ende; eine Vereinigung von beiden ist ein Unding.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Gewährung des Liebesverlangens der Patientin ist also ebenso verhängnisvoll für die Analyse wie die Unterdrückung desselben. Der Weg des Analytikers ist ein anderer, ein solcher, für den das reale Leben kein Vorbild liefert. Man hütet sich, von der Liebesübertragung abzulenken, sie zu verscheuchen oder der Patientin zu verleiden; man enthält sich ebenso standhaft jeder Erwiderung derselben. Man hält die Liebesübertragung fest, behandelt sie aber als etwas Unreales, als eine Situation, die in der Kur durchgemacht, auf ihre unbewußten Ursprünge zurückgeleitet werden soll und dazu verhelfen muß, das Verborgenste des Liebeslebens der Kranken dem Bewußtsein und damit der Beherrschung zuzuführen. Je mehr man den Eindruck macht, selbst gegen jede Versuchung gefeit zu sein, desto eher wird man der Situation ihren analytischen Gehalt entziehen können. Die Patientin, deren Sexualverdrängung doch nicht aufgehoben, bloß in den Hintergrund geschoben ist, wird sich dann sicher genug fühlen, um alle Liebesbedingungen, alle Phantasien ihrer Sexualsehnsucht, alle Einzelcharaktere ihrer Verliebtheit zum Vorscheine zu bringen, und von diesen aus dann selbst den Weg zu den infantilen Begründungen ihrer Liebe eröffnen.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Bei einer Klasse von Frauen wird dieser Versuch, die Liebesübertragung für die analytische Arbeit zu erhalten, ohne sie zu befriedigen, allerdings nicht gelingen. Es sind das Frauen von elementarer Leidenschaftlichkeit, welche keine Surrogate verträgt, Naturkinder, die das Psychische nicht für das Materielle nehmen wollen, die nach des Dichters Worten nur zugänglich sind »für Suppenlogik mit Knödelargumenten«. Bei diesen Personen steht man vor der Wahl: entweder Gegenliebe zeigen oder die volle Feindschaft des verschmähten Weibes auf sich laden. In keinem von beiden Fällen kann man die Interessen der Kur wahrnehmen. Man muß sich erfolglos zurückziehen und kann sich etwa das Problem vorhalten, wie sich die Fähigkeit zur Neurose mit so unbeugsamer Liebesbedürftigkeit vereinigt.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Art, wie man andere, minder gewalttätige Verliebte allmählich zur analytischen Auffassung nötigt, dürfte sich vielen Analytikern in gleicher Weise ergeben haben. Man betont vor allem den unverkennbaren Anteil des Widerstandes an dieser »Liebe«. Eine wirkliche Verliebtheit würde die Patientin gefügig machen und ihre Bereitwilligkeit steigern, um die Probleme ihres Falles zu lösen, bloß darum, weil der geliebte Mann es fordert. Eine solche würde gern den Weg über die Vollendung der Kur wählen, um sich dem Arzte wertvoll zu machen und die Realität vorzubereiten, in welcher die Liebesneigung ihren Platz finden könnte. Anstatt dessen zeige sich die Patientin eigensinnig und ungehorsam, habe alles Interesse für die Behandlung von sich geworfen und offenbar auch keine Achtung vor den tief begründeten Überzeugungen des Arztes. Sie produziere also einen Widerstand in der Erscheinungsform der Verliebtheit und trage überdies kein Bedenken, ihn in die Situation der sogenannten »Zwickmühle« zu bringen. Denn wenn er ablehne, wozu seine Pflicht und sein Verständnis ihn nötigen, werde sie die Verschmähte spielen können und sich dann aus Rachsucht und Erbitterung der Heilung durch ihn entziehen, wie jetzt infolge der angeblichen Verliebtheit.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Als zweites Argument gegen die Echtheit dieser Liebe führt man die Behauptung ein, daß dieselbe nicht einen einzigen neuen, aus der gegenwärtigen Situation entspringenden Zug an sich trage, sondern sich durchwegs aus Wiederholungen und Abklatschen früherer, auch infantiler Reaktionen zusammensetze. Man macht sich anheischig, dies durch die detaillierte Analyse des Liebesverhaltens der Patientin zu erweisen.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man zu diesen Argumenten noch das erforderliche Maß von Geduld hinzufügt, gelingt es zumeist, die schwierige Situation zu überwinden und entweder mit einer ermäßigten oder mit der »umgeworfenen« Verliebtheit die Arbeit fortzusetzen, deren Ziel dann die Aufdeckung der infantilen Objektwahl und der sie umspinnenden Phantasien ist. Ich möchte aber die erwähnten Argumente kritisch beleuchten und die Frage aufwerfen, ob wir mit ihnen der Patientin die Wahrheit sagen oder in unserer Notlage zu Verhehlungen und Entstellungen Zuflucht genommen haben. Mit anderen Worten: Ist die in der analytischen Kur manifest werdende Verliebtheit wirklich keine reale zu nennen?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meine, wir haben der Patientin die Wahrheit gesagt, aber doch nicht die ganze, um das Ergebnis unbekümmerte. Von unseren beiden Argumenten ist das erste das stärkere. Der Anteil des Widerstandes an der Übertragungsliebe ist unbestreitbar und sehr beträchtlich. Aber der Widerstand hat diese Liebe doch nicht geschaffen, er findet sie vor, bedient sich ihrer und übertreibt ihre Äußerungen. Die Echtheit des Phänomens wird auch durch den Widerstand nicht entkräftet. Unser zweites Argument ist weit schwächer; es ist wahr, daß diese Verliebtheit aus Neuauflagen alter Züge besteht und infantile Reaktionen wiederholt. Aber dies ist der wesentliche Charakter jeder Verliebtheit. Es gibt keine, die nicht infantile Vorbilder wiederholt. Gerade das, was ihren zwanghaften, ans Pathologische mahnenden Charakter </w:t>
      </w:r>
      <w:r w:rsidRPr="008725BE">
        <w:rPr>
          <w:rFonts w:ascii="Garamond" w:hAnsi="Garamond"/>
          <w:color w:val="000000"/>
          <w:lang w:val="en-GB"/>
        </w:rPr>
        <w:lastRenderedPageBreak/>
        <w:t>ausmacht, rührt von ihrer infantilen Bedingtheit her. Die Übertragungsliebe hat vielleicht einen Grad von Freiheit weniger als die im Leben vorkommende, normal genannte, läßt die Abhängigkeit von der infantilen Vorlage deutlicher erkennen, zeigt sich weniger schmiegsam und modifikationsfähig, aber das ist auch alles und nicht das Wesentliche.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Woran soll man die Echtheit einer Liebe sonst erkennen? An ihrer Leistungsfähigkeit, ihrer Brauchbarkeit zur Durchsetzung des Liebeszieles? In diesem Punkte scheint die Übertragungsliebe hinter keiner anderen zurückzustehen; man hat den Eindruck, daß man alles von ihr erreichen könnte.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Resümieren wir also: Man hat kein Anrecht, der in der analytischen Behandlung zutage tretenden Verliebtheit den Charakter einer »echten« Liebe abzustreiten. Wenn sie sowenig normal erscheint, so erklärt sich dies hinreichend aus dem Umstände, daß auch die sonstige Verliebtheit außerhalb der analytischen Kur eher an die abnormen als an die normalen seelischen Phänomene erinnert. Immerhin ist sie durch einige Züge ausgezeichnet, welche ihr eine besondere Stellung sichern. Sie ist 1. durch die analytische Situation provoziert, 2. durch den diese Situation beherrschenden Widerstand in die Höhe getrieben, und 3., sie entbehrt in hohem Grade der Rücksicht auf die Realität, sie ist unkluger, unbekümmerter um ihre Konsequenzen, verblendeter in der Schätzung der geliebten Person, als wir einer normalen Verliebtheit gerne zugestehen wollen. Wir dürfen aber nicht vergessen, daß gerade diese von der Norm abweichenden Züge das Wesentliche einer Verliebtheit ausmachen.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Für das Handeln des Arztes ist die erste der drei erwähnten Eigenheiten der Übertragungsliebe das Maßgebende. Er hat diese Verliebtheit durch die Einleitung der analytischen Behandlung zur Heilung der Neurose hervorgelockt; sie ist für ihn das unvermeidliche Ergebnis einer ärztlichen Situation, ähnlich wie die körperliche Entblößung eines Kranken oder wie die Mitteilung eines lebenswichtigen Geheimnisses. </w:t>
      </w:r>
      <w:r w:rsidRPr="008725BE">
        <w:rPr>
          <w:rFonts w:ascii="Garamond" w:hAnsi="Garamond"/>
          <w:color w:val="000000"/>
        </w:rPr>
        <w:t>Damit steht es für ihn fest, daß er keinen persönlichen Vorteil aus ihr ziehen darf. Die Bereitwilligkeit der Patientin ändert nichts daran, wälzt nur die ganze Verantwortlichkeit auf seine eigene Person. Die Kranke war ja, wie er wissen muß, auf keinen anderen Mechanismus der Heilung vorbereitet. Nach glücklicher Überwindung aller Schwierigkeiten gesteht sie oft die Erwartungsphantasie ein, mit der sie in die Kur eingetreten war: Wenn sie sich brav benehme, werde sie am Ende durch die Zärtlichkeit des Arztes belohnt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Für den Arzt vereinigen sich nun ethische Motive mit den technischen, um ihn von der Liebesgewährung an die Kranke zurückzuhalten. Er muß das Ziel im Auge behalten, daß das in seiner Liebesfähigkeit durch infantile Fixierungen behinderte Weib zur freien Verfügung über diese für sie unschätzbar wichtige Funktion gelange, aber sie nicht in der Kur verausgabe, sondern sie fürs reale Leben bereithalte, wenn dessen Forderungen nach der Behandlung an sie herantreten. Er darf nicht die Szene des Hundewettrennens mit ihr aufführen, bei dem ein Kranz von Würsten als Preis ausgesetzt ist und das ein Spaßvogel verdirbt, indem er eine einzelne Wurst in die Rennbahn wirft. Über die fallen die Hunde her und vergessen ans Wettrennen und an den in der Ferne winkenden Kranz für den Sieger. Ich will nicht behaupten, daß es dem Arzte immer leicht wird, sich innerhalb der ihm von Ethik und Technik vorgeschriebenen Schranken zu halten. Besonders der jüngere und noch nicht fest gebundene Mann mag die Aufgabe als eine harte empfinden. Unzweifelhaft ist die geschlechtliche Liebe einer der Hauptinhalte des Lebens und die Vereinigung seelischer und körperlicher Befriedigung im Liebesgenusse geradezu einer der Höhepunkte desselben. Alle Menschen bis auf wenige verschrobene Fanatiker wissen das und richten ihr Leben danach ein; nur in der Wissenschaft ziert man sich, es zuzugestehen. Anderseits ist es eine peinliche Rolle für den Mann, den Abweisenden und Versagenden zu spielen, wenn das Weib um Liebe wirbt, und von einer edlen Frau, die sich zu ihrer Leidenschaft bekennt, geht trotz Neurose und Widerstand ein unvergleichbarer Zauber aus. Nicht das grobsinnliche Verlangen der Patientin stellt die Versuchung her. Dies wirkt ja eher abstoßend und ruft alle Toleranz auf, um es als natürliches Phänomen gelten zu lassen. Die feineren und zielgehemmten Wunschregungen des Weibes sind es vielleicht, die die Gefahr mit sich bringen, Technik und ärztliche Aufgabe über ein schönes Erlebnis zu vergessen.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Und doch bleibt für den Analytiker das Nachgeben ausgeschlossen. So hoch er die Liebe schätzen mag, er muß es höher stellen, daß er die Gelegenheit hat, seine Patientin über eine entscheidende Stufe ihres Lebens zu heben. Sie hat von ihm die Überwindung des Lustprinzips zu lernen, den Verzicht auf eine naheliegende, aber sozial nicht eingeordnete Befriedigung zugunsten einer entfernteren, vielleicht überhaupt unsicheren, aber psychologisch wie sozial untadeligen. Zum Zwecke dieser Überwindung soll sie durch die Urzeiten ihrer seelischen Entwicklung durchgeführt werden und auf diesem Wege jenes Mehr von seelischer Freiheit erwerben, durch welches sich die bewußte Seelentätigkeit –; im systematischen Sinne –; von der unbewußten unterscheidet.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Der analytische Psychotherapeut hat so einen dreifachen Kampf zu führen, in seinem Inneren gegen die Mächte, welche ihn von dem analytischen Niveau herabziehen möchten, außerhalb der Analyse gegen die Gegner, die ihm die Bedeutung der sexuellen Triebkräfte bestreiten und es ihm verwehren, sich ihrer in seiner wissenschaftlichen Technik zu bedienen, und in der Analyse gegen seine Patienten, die sich anfangs wie die Gegner gebärden, dann aber die sie beherrschende Überschätzung des Sexuallebens kundgeben und den Arzt mit ihrer sozial ungebändigten Leidenschaftlichkeit gefangennehmen wollen.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Laien, von deren Einstellung zur Psychoanalyse ich eingangs sprach, werden gewiß auch diese Erörterungen über die Übertragungsliebe zum Anlasse nehmen, um die Aufmerksamkeit der Welt auf die Gefährlichkeit dieser therapeutischen Methode zu lenken. Der Psychoanalytiker weiß, daß er mit den explosivsten Kräften arbeitet und derselben Vorsicht und Gewissenhaftigkeit bedarf wie der Chemiker. Aber wann ist dem Chemiker je die Beschäftigung mit den ob ihrer Wirkung unentbehrlichen Explosivstoffen wegen deren Gefährlichkeit untersagt worden? Es ist merkwürdig, daß sich die Psychoanalyse alle Lizenzen erst neu erobern muß, die anderen ärztlichen Tätigkeiten längst zugestanden sind. Ich bin gewiß nicht dafür, daß die harmlosen Behandlungsmethoden aufgegeben werden sollen. Sie reichen für manche Fälle aus, und schließlich kann die menschliche Gesellschaft den </w:t>
      </w:r>
      <w:r w:rsidRPr="008725BE">
        <w:rPr>
          <w:rFonts w:ascii="Garamond" w:hAnsi="Garamond"/>
          <w:i/>
          <w:iCs/>
          <w:color w:val="000000"/>
          <w:lang w:val="en-GB"/>
        </w:rPr>
        <w:t>furor sanandi</w:t>
      </w:r>
      <w:r w:rsidRPr="008725BE">
        <w:rPr>
          <w:rFonts w:ascii="Garamond" w:hAnsi="Garamond"/>
          <w:color w:val="000000"/>
          <w:lang w:val="en-GB"/>
        </w:rPr>
        <w:t xml:space="preserve"> ebensowenig brauchen wie irgendeinen anderen Fanatismus. Aber es heißt die Psychoneurosen nach ihrer Herkunft und ihrer praktischen Bedeutung arg unterschätzen, wenn man glaubt, diese Affektionen müßten durch Operationen mit harmlosen Mittelchen zu besiegen sein. Nein, im ärztlichen Handeln wird neben der </w:t>
      </w:r>
      <w:r w:rsidRPr="008725BE">
        <w:rPr>
          <w:rFonts w:ascii="Garamond" w:hAnsi="Garamond"/>
          <w:i/>
          <w:iCs/>
          <w:color w:val="000000"/>
          <w:lang w:val="en-GB"/>
        </w:rPr>
        <w:t>medicina</w:t>
      </w:r>
      <w:r w:rsidRPr="008725BE">
        <w:rPr>
          <w:rFonts w:ascii="Garamond" w:hAnsi="Garamond"/>
          <w:color w:val="000000"/>
          <w:lang w:val="en-GB"/>
        </w:rPr>
        <w:t xml:space="preserve"> immer ein Raum bleiben für das </w:t>
      </w:r>
      <w:r w:rsidRPr="008725BE">
        <w:rPr>
          <w:rFonts w:ascii="Garamond" w:hAnsi="Garamond"/>
          <w:i/>
          <w:iCs/>
          <w:color w:val="000000"/>
          <w:lang w:val="en-GB"/>
        </w:rPr>
        <w:t>ferrum</w:t>
      </w:r>
      <w:r w:rsidRPr="008725BE">
        <w:rPr>
          <w:rFonts w:ascii="Garamond" w:hAnsi="Garamond"/>
          <w:color w:val="000000"/>
          <w:lang w:val="en-GB"/>
        </w:rPr>
        <w:t xml:space="preserve"> und für das </w:t>
      </w:r>
      <w:r w:rsidRPr="008725BE">
        <w:rPr>
          <w:rFonts w:ascii="Garamond" w:hAnsi="Garamond"/>
          <w:i/>
          <w:iCs/>
          <w:color w:val="000000"/>
          <w:lang w:val="en-GB"/>
        </w:rPr>
        <w:t>ignis</w:t>
      </w:r>
      <w:r w:rsidRPr="008725BE">
        <w:rPr>
          <w:rFonts w:ascii="Garamond" w:hAnsi="Garamond"/>
          <w:color w:val="000000"/>
          <w:lang w:val="en-GB"/>
        </w:rPr>
        <w:t>, und so wird auch die kunstgerechte, unabgeschwächte Psychoanalyse nicht zu entbehren sein, die sich nicht scheut, die gefährlichsten seelischen Regungen zu handhaben und zum Wohle des Kranken zu meistern.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Be</w:t>
        </w:r>
        <w:bookmarkStart w:id="138" w:name="KS3"/>
        <w:bookmarkEnd w:id="138"/>
        <w:r w:rsidRPr="008725BE">
          <w:rPr>
            <w:rStyle w:val="Lienhypertexte"/>
            <w:rFonts w:ascii="Garamond" w:hAnsi="Garamond" w:cs="Arial"/>
            <w:b/>
            <w:bCs/>
            <w:lang w:val="en-GB"/>
          </w:rPr>
          <w:t>merkungen zur Theorie und Praxis der Traumdeutung</w:t>
        </w:r>
      </w:hyperlink>
      <w:r w:rsidRPr="008725BE">
        <w:rPr>
          <w:rFonts w:ascii="Garamond" w:hAnsi="Garamond"/>
          <w:color w:val="000000"/>
          <w:lang w:val="en-GB"/>
        </w:rPr>
        <w:t xml:space="preserve">  </w:t>
      </w:r>
      <w:r w:rsidRPr="008725BE">
        <w:rPr>
          <w:rFonts w:ascii="Garamond" w:hAnsi="Garamond"/>
          <w:caps/>
          <w:color w:val="000000"/>
          <w:lang w:val="en-GB"/>
        </w:rPr>
        <w:t>(1923)</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zufällige Umstand, daß die letzten Auflagen der </w:t>
      </w:r>
      <w:r w:rsidRPr="008725BE">
        <w:rPr>
          <w:rFonts w:ascii="Garamond" w:hAnsi="Garamond"/>
          <w:i/>
          <w:iCs/>
          <w:color w:val="000000"/>
          <w:lang w:val="en-GB"/>
        </w:rPr>
        <w:t>Traumdeutung</w:t>
      </w:r>
      <w:r w:rsidRPr="008725BE">
        <w:rPr>
          <w:rFonts w:ascii="Garamond" w:hAnsi="Garamond"/>
          <w:color w:val="000000"/>
          <w:lang w:val="en-GB"/>
        </w:rPr>
        <w:t xml:space="preserve"> durch Plattendruck hergestellt wurden, veranlaßt mich, nachstehende Bemerkungen selbständig zu machen, die sonst als Abänderungen oder Einschaltungen im Text untergekommen wären.</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Bei der Deutung eines Traumes in der Analyse hat man die Wahl zwischen verschiedenen technischen Verfahren.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Man kann </w:t>
      </w:r>
      <w:r w:rsidRPr="008725BE">
        <w:rPr>
          <w:rFonts w:ascii="Garamond" w:hAnsi="Garamond"/>
          <w:i/>
          <w:iCs/>
          <w:color w:val="000000"/>
          <w:lang w:val="en-GB"/>
        </w:rPr>
        <w:t>(a)</w:t>
      </w:r>
      <w:r w:rsidRPr="008725BE">
        <w:rPr>
          <w:rFonts w:ascii="Garamond" w:hAnsi="Garamond"/>
          <w:color w:val="000000"/>
          <w:lang w:val="en-GB"/>
        </w:rPr>
        <w:t xml:space="preserve"> chronologisch vorgehen und den Träumer seine Einfälle zu den Traumelementen in der Reihenfolge vorbringen lassen, welche diese Elemente in der Erzählung des Traumes einhalten. Dies ist das ursprüngliche, klassische Verhalten, welches ich noch immer für das beste halte, wenn man seine eigenen Träume analysiert.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Oder man kann </w:t>
      </w:r>
      <w:r w:rsidRPr="008725BE">
        <w:rPr>
          <w:rFonts w:ascii="Garamond" w:hAnsi="Garamond"/>
          <w:i/>
          <w:iCs/>
          <w:color w:val="000000"/>
          <w:lang w:val="en-GB"/>
        </w:rPr>
        <w:t>(b)</w:t>
      </w:r>
      <w:r w:rsidRPr="008725BE">
        <w:rPr>
          <w:rFonts w:ascii="Garamond" w:hAnsi="Garamond"/>
          <w:color w:val="000000"/>
          <w:lang w:val="en-GB"/>
        </w:rPr>
        <w:t xml:space="preserve"> die Deutungsarbeit an einem einzelnen, ausgezeichneten Element des Traumes ansetzen lassen, das man mitten aus dem Traum herausgreift, z. B. an dem auffälligsten Stück desselben oder an dem, welches die größte Deutlichkeit oder sinnliche Intensität besitzt, oder etwa an eine im Traum enthaltene Rede anknüpfen, von der man erwartet, daß sie zur Erinnerung an eine Rede aus dem Wachleben führen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Man kann </w:t>
      </w:r>
      <w:r w:rsidRPr="008725BE">
        <w:rPr>
          <w:rFonts w:ascii="Garamond" w:hAnsi="Garamond"/>
          <w:i/>
          <w:iCs/>
          <w:color w:val="000000"/>
          <w:lang w:val="en-GB"/>
        </w:rPr>
        <w:t>(c)</w:t>
      </w:r>
      <w:r w:rsidRPr="008725BE">
        <w:rPr>
          <w:rFonts w:ascii="Garamond" w:hAnsi="Garamond"/>
          <w:color w:val="000000"/>
          <w:lang w:val="en-GB"/>
        </w:rPr>
        <w:t xml:space="preserve"> überhaupt zunächst vom manifesten Inhalt absehen und dafür an den Träumer die Frage stellen, welche Ereignisse des letzten Tages sich in seiner Assoziation zum erzählten Traum gesellen.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Endlich kann man </w:t>
      </w:r>
      <w:r w:rsidRPr="008725BE">
        <w:rPr>
          <w:rFonts w:ascii="Garamond" w:hAnsi="Garamond"/>
          <w:i/>
          <w:iCs/>
          <w:color w:val="000000"/>
          <w:lang w:val="en-GB"/>
        </w:rPr>
        <w:t>(d)</w:t>
      </w:r>
      <w:r w:rsidRPr="008725BE">
        <w:rPr>
          <w:rFonts w:ascii="Garamond" w:hAnsi="Garamond"/>
          <w:color w:val="000000"/>
          <w:lang w:val="en-GB"/>
        </w:rPr>
        <w:t>, wenn der Träumer bereits mit der Technik der Deutung vertraut ist, auf jede Vorschrift verzichten und es ihm anheimstellen, mit welchen Einfällen zum Traum er beginnen will. Ich kann nicht behaupten, daß die eine oder die andere dieser Techniken die vorzüglichere ist und allgemein bessere Ergebnisse liefert.</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Ungleich bedeutsamer ist der Umstand, ob die Deutungsarbeit unter </w:t>
      </w:r>
      <w:r w:rsidRPr="008725BE">
        <w:rPr>
          <w:rFonts w:ascii="Garamond" w:hAnsi="Garamond"/>
          <w:i/>
          <w:iCs/>
          <w:color w:val="000000"/>
          <w:lang w:val="en-GB"/>
        </w:rPr>
        <w:t>hohem</w:t>
      </w:r>
      <w:r w:rsidRPr="008725BE">
        <w:rPr>
          <w:rFonts w:ascii="Garamond" w:hAnsi="Garamond"/>
          <w:color w:val="000000"/>
          <w:lang w:val="en-GB"/>
        </w:rPr>
        <w:t xml:space="preserve"> oder </w:t>
      </w:r>
      <w:r w:rsidRPr="008725BE">
        <w:rPr>
          <w:rFonts w:ascii="Garamond" w:hAnsi="Garamond"/>
          <w:i/>
          <w:iCs/>
          <w:color w:val="000000"/>
          <w:lang w:val="en-GB"/>
        </w:rPr>
        <w:t>niedrigem Widerstandsdruck</w:t>
      </w:r>
      <w:r w:rsidRPr="008725BE">
        <w:rPr>
          <w:rFonts w:ascii="Garamond" w:hAnsi="Garamond"/>
          <w:color w:val="000000"/>
          <w:lang w:val="en-GB"/>
        </w:rPr>
        <w:t xml:space="preserve"> vor sich geht, worüber der Analytiker ja niemals lange im Zweifel bleibt. Bei hohem Druck bringt man es vielleicht dazu, zu erfahren, von welchen Dingen der Traum handelt, aber man kann nicht erraten, was er über diese Dinge aussagt. Es ist, wie wenn man einem entfernten oder leise geführten Gespräch zuhören würde. Man sagt sich dann, daß von einem Zusammenarbeiten mit dem Träumer nicht gut die Rede sein kann, beschließt, sich nicht viel zu plagen und ihm nicht viel zu helfen, und begnügt sich damit, ihm einige Symbolübersetzungen, die man für wahrscheinlich hält, vorzuschlagen.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Mehrzahl der Träume in schwierigen Analysen ist von solcher Art, so daß man aus ihnen nicht viel über Natur und Mechanismus der Traumbildung lernen kann, am wenigsten aber Auskünfte zu der beliebten Frage erhalten wird, wo denn die Wunscherfüllung des Traumes steckt.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ganz extrem hohem Widerstandsdruck ereignet sich das Phänomen, daß die Assoziation des Träumers in die Breite, anstatt in die Tiefe geht. An Stelle der gewünschten Assoziationen zu dem erzählten Traum kommen immer neue Traumstücke zum Vorschein, die selbst assoziationslos bleiben. Nur wenn sich der Widerstand in mäßigen Grenzen hält, kommt das bekannte Bild der Deutungsarbeit zustande, daß die Assoziationen des Träumers von den manifesten Elementen aus zunächst weit </w:t>
      </w:r>
      <w:r w:rsidRPr="008725BE">
        <w:rPr>
          <w:rFonts w:ascii="Garamond" w:hAnsi="Garamond"/>
          <w:i/>
          <w:iCs/>
          <w:color w:val="000000"/>
          <w:lang w:val="en-GB"/>
        </w:rPr>
        <w:t>divergieren</w:t>
      </w:r>
      <w:r w:rsidRPr="008725BE">
        <w:rPr>
          <w:rFonts w:ascii="Garamond" w:hAnsi="Garamond"/>
          <w:color w:val="000000"/>
          <w:lang w:val="en-GB"/>
        </w:rPr>
        <w:t xml:space="preserve">, so daß eine große Anzahl von Themen und Vorstellungskreisen angerührt werden, bis dann eine zweite Reihe von Assoziationen von hier aus rasch zu den gesuchten Traumgedanken </w:t>
      </w:r>
      <w:r w:rsidRPr="008725BE">
        <w:rPr>
          <w:rFonts w:ascii="Garamond" w:hAnsi="Garamond"/>
          <w:i/>
          <w:iCs/>
          <w:color w:val="000000"/>
          <w:lang w:val="en-GB"/>
        </w:rPr>
        <w:t>konvergiert</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Dann wird auch das Zusammenarbeiten des Analytikers mit dem Träumer möglich; bei hohem Widerstandsdruck wäre es nicht einmal zweckmäßig.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Anzahl von Träumen, die während der Analysen vorfallen, sind unübersetzbar, wenngleich sie nicht gerade den Widerstand zur Schau tragen. Sie stellen freie Bearbeitungen der zugrunde liegenden latenten Traumgedanken vor und sind wohlgelungenen, künstlerisch überarbeiteten Dichtwerken vergleichbar, in denen man die Grundmotive zwar noch kenntlich, aber in beliebiger Durchrüttlung und Umwandlung verwendet findet. Solche Träume dienen in der Kur als Einleitung zu Gedanken und Erinnerungen des Träumers, ohne daß ihr Inhalt selbst in Betracht käme.</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III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Man kann Träume </w:t>
      </w:r>
      <w:r w:rsidRPr="008725BE">
        <w:rPr>
          <w:rFonts w:ascii="Garamond" w:hAnsi="Garamond"/>
          <w:i/>
          <w:iCs/>
          <w:color w:val="000000"/>
          <w:lang w:val="en-GB"/>
        </w:rPr>
        <w:t>von oben</w:t>
      </w:r>
      <w:r w:rsidRPr="008725BE">
        <w:rPr>
          <w:rFonts w:ascii="Garamond" w:hAnsi="Garamond"/>
          <w:color w:val="000000"/>
          <w:lang w:val="en-GB"/>
        </w:rPr>
        <w:t xml:space="preserve"> und Träume </w:t>
      </w:r>
      <w:r w:rsidRPr="008725BE">
        <w:rPr>
          <w:rFonts w:ascii="Garamond" w:hAnsi="Garamond"/>
          <w:i/>
          <w:iCs/>
          <w:color w:val="000000"/>
          <w:lang w:val="en-GB"/>
        </w:rPr>
        <w:t>von unten</w:t>
      </w:r>
      <w:r w:rsidRPr="008725BE">
        <w:rPr>
          <w:rFonts w:ascii="Garamond" w:hAnsi="Garamond"/>
          <w:color w:val="000000"/>
          <w:lang w:val="en-GB"/>
        </w:rPr>
        <w:t xml:space="preserve"> unterscheiden, wenn man diesen Unterschied nicht zu scharf fassen will. Träume von unten sind solche, die durch die Stärke eines unbewußten (verdrängten) Wunsches angeregt werden, der sich eine Vertretung in irgendwelchen Tagesresten verschafft hat. Sie entsprechen Einbrüchen des Verdrängten in das Wachleben. Träume von oben sind Tagesgedanken oder Tagesabsichten gleichzustellen, denen es gelungen ist, sich nächtlicherweile eine Verstärkung aus dem vom Ich abgesprengten Verdrängten zu holen. Die Analyse sieht dann in der Regel von diesem unbewußten </w:t>
      </w:r>
      <w:r w:rsidRPr="008725BE">
        <w:rPr>
          <w:rFonts w:ascii="Garamond" w:hAnsi="Garamond"/>
          <w:color w:val="000000"/>
          <w:lang w:val="en-GB"/>
        </w:rPr>
        <w:lastRenderedPageBreak/>
        <w:t>Helfer ab und vollzieht die Einreihung der latenten Traumgedanken in das Gefüge des Wachdenkens. Eine Abänderung der Theorie des Traumes wird durch diese Unterscheidung nicht erforderlich.</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IV</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manchen Analysen oder während gewisser Strecken einer Analyse zeigt sich eine Sonderung des Traumlebens vom Wachleben, ähnlich wie die Absonderung der Phantasietätigkeit, die eine </w:t>
      </w:r>
      <w:r w:rsidRPr="008725BE">
        <w:rPr>
          <w:rFonts w:ascii="Garamond" w:hAnsi="Garamond"/>
          <w:i/>
          <w:iCs/>
          <w:color w:val="000000"/>
          <w:lang w:val="en-GB"/>
        </w:rPr>
        <w:t>continued story</w:t>
      </w:r>
      <w:r w:rsidRPr="008725BE">
        <w:rPr>
          <w:rFonts w:ascii="Garamond" w:hAnsi="Garamond"/>
          <w:color w:val="000000"/>
          <w:lang w:val="en-GB"/>
        </w:rPr>
        <w:t xml:space="preserve"> (einen Tagtraumroman) unterhält, vom Wachdenken. Es knüpft dann ein Traum an den anderen an, nimmt ein Element zum Mittelpunkt, welches im vorhergehenden beiläufig gestreift wurde, u. dgl. Viel häufiger trifft aber der andere Fall zu, daß die Träume nicht aneinanderhängen, sondern sich in aufeinanderfolgende Stücke des Wachdenkens einschalten.</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V</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Deutung eines Traumes zerfällt in zwei Phasen, die Übersetzung und die Beurteilung oder Verwertung desselben. Während der ersten soll man sich durch keinerlei Rücksicht auf die zweite beeinflussen lassen. Es ist, wie wenn man ein Kapitel eines fremdsprachigen Autors vor sich hat, z. B. des Livius. Zuerst will man wissen, was Livius in diesem Kapitel erzählt, erst dann tritt die Diskussion ein, ob das Gelesene ein Geschichtsbericht ist oder eine Sage oder eine Abschweifung des Autors.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Welche Schlüsse darf man aber aus einem richtig übersetzten Traum ziehen? Ich habe den Eindruck, daß die analytische Praxis hierin Irrtümer und Überschätzungen nicht immer vermieden hat, und zwar zum Teil aus übergroßem Respekt vor dem »geheimnisvollen Unbewußten«.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vergißt zu leicht daran, daß ein Traum zumeist nur ein Gedanke ist wie ein anderer, ermöglicht durch den Nachlaß der Zensur und die unbewußte Verstärkung und entstellt durch die Einwirkung der Zensur und die unbewußte Bearbeitung.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Greifen wir das Beispiel der sogenannten Genesungsträume heraus. Wenn ein Patient einen solchen Traum gehabt hat, in dem er sich den Einschränkungen der Neurose zu entziehen scheint, z. B. eine Phobie überwindet oder eine Gefühlsbindung aufgibt, so sind wir geneigt zu glauben, er habe einen großen Fortschritt gemacht, sei bereit, sich in eine neue Lebenslage zu fügen, beginne mit seiner Gesundheit zu rechnen usw. Das mag oftmals richtig sein, aber ebensooft haben solche Genesungsträume nur den Wert von Bequemlichkeitsträumen, sie bedeuten den Wunsch, endlich gesund zu sein, um sich ein weiteres Stück der analytischen Arbeit, das sie als bevorstehend fühlen, zu ersparen. In solchem Sinn ereignen sich Genesungsträume z. B. recht häufig, wenn der Patient in eine neue, ihm peinliche Phase der Übertragung eintreten soll. Er benimmt sich dann ganz ähnlich wie manche Neurotiker, die sich nach wenigen Stunden Analyse für geheilt erklären, weil sie allem Unangenehmen entgehen wollen, das in der Analyse noch zur Sprache kommen soll. Auch die Kriegsneurotiker, die auf ihre Symptome verzichteten, weil ihnen die Therapie der Militärärzte das Kranksein noch unbehaglicher zu machen verstand, als sie den Dienst an der Front gefunden hatten, sind denselben ökonomischen Bedingungen gefolgt, und die Heilungen haben sich in beiden Fällen nicht haltbar erwiesen.</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VI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gar nicht so leicht, allgemeine Entscheidungen über den Wert richtig übersetzter Träume zu fällen. Wenn beim Patienten ein Ambivalenzkonflikt besteht, so bedeutet ein feindseliger Gedanke, der in ihm auftaucht, gewiß nicht eine dauernde Überwindung der zärtlichen Regung, also eine Entscheidung des Konflikts, und ebensowenig hat ein Traum vom gleichen feindseligen Inhalt diese Bedeutung. Während eines solchen Ambivalenzkonflikts bringt oft jede Nacht zwei Träume, von denen jeder eine andere Stellung nimmt. Der Fortschritt besteht dann darin, daß eine gründliche Isolierung der beiden kontrastierenden Regungen gelungen ist und jede von ihnen mit Hilfe der unbewußten Verstärkung bis zu ihrem Extrem verfolgt und eingesehen werden kann. Mitunter ist der eine der beiden ambivalenten Träume vergessen worden, man darf sich dann nicht täuschen lassen und annehmen, daß nun die Entscheidung zugunsten der einen Seite gefallen ist. Das Vergessen des einen Traumes zeigt allerdings, daß für den Augenblick die eine Richtung die Oberhand hat, aber das gilt nur für den einen Tag und kann sich ändern. Die nächste Nacht bringt vielleicht die entgegengesetzte Äußerung in den Vordergrund. Wie der Konflikt wirklich steht, kann nur durch die Berücksichtigung aller anderen Kundgebungen auch des Wachlebens erraten werden.</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VII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Mit der Frage nach der Wertung der Träume hängt die andere nach ihrer Beeinflußbarkeit durch ärztliche »Suggestion« innig zusammen. Der Analytiker wird vielleicht zuerst erschrecken, wenn er an diese Möglichkeit gemahnt wird; bei näherer Überlegung wird dieser Schreck gewiß der Einsicht weichen, die Beeinflussung der Träume des Patienten sei für den Analytiker nicht mehr Mißgeschick oder Schande als die Lenkung seiner bewußten Gedanken.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Daß der manifeste Inhalt der Träume durch die analytische Kur beeinflußt wird, braucht nicht erst bewiesen zu werden. Das folgt ja schon aus der Einsicht, daß der Traum ans Wachleben anknüpft und Anregungen desselben verarbeitet. Was in der analytischen Kur vorgeht, gehört natürlich auch zu den Eindrücken des Wachlebens und bald zu den stärksten desselben. Es ist also kein Wunder, daß der Patient von Dingen träumt, die der Arzt mit ihm besprochen und deren Erwartung er in ihm geweckt hat. Nicht mehr Wunder jedenfalls, als in der bekannten Tatsache der »experimentellen« Träume enthalten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Interesse setzt sich nun dahin fort, ob auch die durch Deutung zu eruierenden latenten Traumgedanken vom Analytiker beeinflußt, suggeriert werden können. Die Antwort darauf muß wiederum lauten: Selbstverständlich ja, denn ein Anteil dieser latenten Traumgedanken entspricht vorbewußten, durchaus bewußtseinsfähigen Gedankenbildungen, mit denen der Träumer eventuell auch im Wachen auf die Anregungen des Arztes hätte reagieren können, mögen die Erwiderungen des Analysierten nun diesen Anregungen gleichgerichtet sein oder ihnen widerstreben. Ersetzt man den Traum durch die in ihm enthaltenen Traumgedanken, so fällt eben die Frage, wieweit man Träume suggerieren kann, mit der allgemeineren, inwieweit der Patient in der Analyse der Suggestion zugänglich ist, zusammen.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Auf den Mechanismus der Traumbildung selbst, auf die eigentliche Traumarbeit gewinnt man nie Einfluß; daran darf man festhalten.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Außer dem besprochenen Anteil der vorbewußten Traumgedanken enthält jeder richtige Traum Hinweise auf die verdrängten Wunschregungen, denen er seine Bildungsmöglichkeit verdankt. Der Zweifler wird zu diesen sagen, sie erscheinen im Traume, weil der Träumer weiß, daß er sie bringen soll, daß sie vom Analytiker erwartet werden. Der Analytiker selbst wird mit gutem Recht anders denken.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der Traum Situationen bringt, die auf Szenen aus der Vergangenheit des Träumers gedeutet werden können, scheint die Frage besonders bedeutsam, ob auch an diesen Trauminhalten der ärztliche Einfluß beteiligt sein kann. Am dringendsten wird diese Frage bei den sogenannten </w:t>
      </w:r>
      <w:r w:rsidRPr="008725BE">
        <w:rPr>
          <w:rFonts w:ascii="Garamond" w:hAnsi="Garamond"/>
          <w:i/>
          <w:iCs/>
          <w:color w:val="000000"/>
          <w:lang w:val="en-GB"/>
        </w:rPr>
        <w:t>bestätigenden</w:t>
      </w:r>
      <w:r w:rsidRPr="008725BE">
        <w:rPr>
          <w:rFonts w:ascii="Garamond" w:hAnsi="Garamond"/>
          <w:color w:val="000000"/>
          <w:lang w:val="en-GB"/>
        </w:rPr>
        <w:t>, der Analyse nachhinkenden Träumen. Bei manchen Patienten bekommt man keine anderen. Sie reproduzieren die vergessenen Erlebnisse ihrer Kindheit erst, nachdem man dieselben aus Symptomen, Einfällen und Andeutungen konstruiert und ihnen dies mitgeteilt hat. Das gibt dann die bestätigenden Träume, gegen welche aber der Zweifel sagt, sie seien ganz ohne Beweiskraft, da sie auf die Anregung des Arztes hin phantasiert sein mögen, anstatt aus dem Unbewußten des Träumers ans Licht gefördert zu sein. Ausweichen kann man in der Analyse dieser mehrdeutigen Situation nicht, denn wenn man bei diesen Patienten nicht deutet, konstruiert und mitteilt, findet man nie den Zugang zu dem bei ihnen Verdrängten.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Sachlage gestaltet sich günstig, wenn sich an die Analyse eines solchen nachhinkenden, bestätigenden Traumes unmittelbar Erinnerungsgefühle für das bisher Vergessene knüpfen.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Skeptiker hat dann den Ausweg, zu sagen, es seien Erinnerungstäuschungen. Meist sind auch solche Erinnerungsgefühle nicht vorhanden. Das Verdrängte wird nur stückweise durchgelassen, und jede Unvollständigkeit hemmt oder verzögert die Bildung einer Überzeugung. Auch kann es sich um die Reproduktion nicht einer wirklichen, vergessenen Begebenheit, sondern um die Förderung einer unbewußten Phantasie handeln, für welche ein Erinnerungsgefühl niemals zu erwarten ist, aber irgendeinmal ein Gefühl subjektiver Überzeugung möglich bleibt.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Können also die Bestätigungsträume wirklich Erfolge der Suggestion, also Gefälligkeitsträume sein? Die Patienten, welche nur Bestätigungsträume bringen, sind dieselben, bei denen der Zweifel die Rolle des hauptsächlichen Widerstandes spielt. Man macht nicht den Versuch, diesen Zweifel durch Autorität zu überschreien oder ihn mit Argumenten zu erschlagen. Er muß bestehenbleiben, bis er im weiteren Fortgang der Analyse zur Erledigung kommt. Auch der Analytiker darf im einzelnen Falle einen solchen Zweifel festhalten. Was ihn endlich sicher macht, ist gerade die Komplikation der ihm gestellten Aufgabe, die der Lösung eines der »Puzzles« genannten Kinderspiele vergleichbar ist. Dort ist eine farbige Zeichnung, die auf ein Holzbrettchen geklebt ist und genau in einen Holzrahmen paßt, in viele Stücke zerschnitten worden, die von den unregelmäßigsten krummen Linien begrenzt werden. Gelingt es, den unordentlichen Haufen von Holzplättchen, deren jedes ein unverständliches Stück Zeichnung trägt, so zu ordnen, daß die Zeichnung sinnvoll wird, daß nirgends eine Lücke zwischen den Fugen bleibt und daß das Ganze den Rahmen ausfüllt, sind alle diese Bedingungen erfüllt, so weiß man, daß man die Lösung des Puzzle gefunden hat und daß es keine andere gibt.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 solcher Vergleich kann natürlich dem Analysierten während der unvollendeten analytischen Arbeit nichts bedeuten. Ich erinnere mich hier an eine Diskussion, die ich mit einem Patienten zu führen hatte, dessen außerordentliche Ambivalenzeinstellung sich im stärksten zwanghaften Zweifel äußerte. Er bestritt die Deutungen seiner Träume nicht und war von deren Übereinstimmung mit den von mir geäußerten </w:t>
      </w:r>
      <w:r w:rsidRPr="008725BE">
        <w:rPr>
          <w:rFonts w:ascii="Garamond" w:hAnsi="Garamond"/>
          <w:color w:val="000000"/>
          <w:lang w:val="en-GB"/>
        </w:rPr>
        <w:lastRenderedPageBreak/>
        <w:t>Mutmaßungen sehr ergriffen. Aber er fragte, ob diese bestätigenden Träume nicht Ausdruck seiner Gefügigkeit gegen mich sein könnten. Als ich geltend machte, daß diese Träume auch eine Summe von Einzelheiten gebracht hätten, die ich nicht ahnen konnte, und daß sein sonstiges Benehmen in der Kur gerade nicht von Gefügigkeit zeugte, wandte er sich zu einer anderen Theorie und fragte, ob nicht sein narzißtischer Wunsch, gesund zu werden, ihn veranlaßt haben könne, solche Träume zu produzieren, da ich ihm doch die Genesung in Aussicht gestellt habe, wenn er meine Konstruktionen annehmen könne. Ich mußte antworten, mir sei von einem solchen Mechanismus der Traumbildung noch nichts bekanntworden, aber die Entscheidung kam auf anderem Wege. Er erinnerte sich an Träume, die er gehabt, ehe er in die Analyse eintrat, ja, ehe er etwas von ihr erfahren hatte, und die Analyse dieser vom Suggestionsverdacht freien Träume ergab dieselben Deutungen wie der späteren. Sein Zwang zum Widerspruch fand zwar noch den Ausweg, die früheren Träume seien minder deutlich gewesen als die während der Kur vorgefallenen, aber mir genügte die Übereinstimmung. Ich meine, es ist überhaupt gut, gelegentlich daran zu denken, daß die Menschen auch schon zu träumen pflegten, ehe es eine Psychoanalyse gab.</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VIII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könnte wohl sein, daß es den Träumen in einer Psychoanalyse in ausgiebigerem Maße gelingt, das Verdrängte zum Vorschein zu bringen, als den Träumen außerhalb dieser Situation. Aber es ist nicht zu erweisen, denn die beiden Situationen sind nicht vergleichbar; die Verwertung in der Analyse ist eine Absicht, die dem Traume ursprünglich ganz ferneliegt. Dagegen kann es nicht zweifelhaft sein, daß innerhalb einer Analyse weit mehr des Verdrängten im Anschluß an Träume zutage gefördert wird als mit Hilfe der anderen Methoden; für solche Mehrleistung muß es einen Motor geben, eine unbewußte Macht, welche während des Schlafzustandes besser als sonst imstande ist, die Absichten der Analyse zu unterstützen. Nun kann man hiefür kaum einen anderen Faktor in Anspruch nehmen als die aus dem Elternkomplex stammende Gefügigkeit des Analysierten gegen den Analytiker, also den positiven Anteil der von uns so genannten Übertragung, und in der Tat läßt sich an vielen Träumen, die Vergessenes und Verdrängtes wiederbringen, kein anderer unbewußter Wunsch entdecken, dem man die Triebkraft für die Traumbildung zuschreiben könnte. Will also jemand behaupten, daß die meisten der in der Analyse verwertbaren Träume Gefälligkeitsträume sind und der Suggestion ihre Entstehung verdanken, so ist vom Standpunkt der analytischen Theorie nichts dagegen einzuwenden. Ich brauche dann nur noch auf die Erörterungen in meinen </w:t>
      </w:r>
      <w:r w:rsidRPr="008725BE">
        <w:rPr>
          <w:rFonts w:ascii="Garamond" w:hAnsi="Garamond"/>
          <w:i/>
          <w:iCs/>
          <w:color w:val="000000"/>
          <w:lang w:val="en-GB"/>
        </w:rPr>
        <w:t>Vorlesungen zur Einführung</w:t>
      </w:r>
      <w:r w:rsidRPr="008725BE">
        <w:rPr>
          <w:rFonts w:ascii="Garamond" w:hAnsi="Garamond"/>
          <w:color w:val="000000"/>
          <w:lang w:val="en-GB"/>
        </w:rPr>
        <w:t xml:space="preserve"> zu verweisen, in denen das Verhältnis der Übertragung zur Suggestion behandelt und dargetan wird, wie wenig die Anerkennung der Suggestionswirkung in unserem Sinne die Zuverlässigkeit unserer Resultate schädigt.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habe mich in der Schrift </w:t>
      </w:r>
      <w:r w:rsidRPr="008725BE">
        <w:rPr>
          <w:rFonts w:ascii="Garamond" w:hAnsi="Garamond"/>
          <w:i/>
          <w:iCs/>
          <w:color w:val="000000"/>
          <w:lang w:val="en-GB"/>
        </w:rPr>
        <w:t>Jenseits des Lustprinzips</w:t>
      </w:r>
      <w:r w:rsidRPr="008725BE">
        <w:rPr>
          <w:rFonts w:ascii="Garamond" w:hAnsi="Garamond"/>
          <w:color w:val="000000"/>
          <w:lang w:val="en-GB"/>
        </w:rPr>
        <w:t xml:space="preserve"> mit dem ökonomischen Problem beschäftigt, wie es den in jeder Hinsicht peinlichen Erlebnissen der frühinfantilen Sexualperiode gelingen kann, sich zu irgendeiner Art von Reproduktion durchzuringen. Ich mußte ihnen im »Wiederholungszwang« einen außerordentlich starken Auftrieb zugestehen, der die im Dienst des Lustprinzips auf ihnen lastende Verdrängung bewältigt, aber doch nicht eher, »als bis die entgegenkommende Arbeit der Kur die Verdrängung gelockert« hat. Hier wäre einzuschalten, daß es die positive Übertragung ist, welche dem Wiederholungszwang diese Hilfe leistet. Es ist dabei zu einem Bündnis der Kur mit dem Wiederholungszwang gekommen, welches sich zunächst gegen das Lustprinzip richtet, aber in letzter Absicht die Herrschaft des Realitätsprinzips aufrichten will. Wie ich dort ausgeführt habe, ereignet es sich nur allzu häufig, daß sich der Wiederholungszwang von den Verpflichtungen dieses Bundes frei macht und sich nicht mit der Wiederkehr des Verdrängten in der Form von Traumbildern begnügt.</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IX</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Soweit ich bis jetzt sehe, ergeben die Träume bei traumatischer Neurose die einzige wirkliche, die Strafträume die einzige scheinbare Ausnahme von der wunscherfüllenden Tendenz des Traumes. Bei diesen letzteren stellt sich der merkwürdige Tatbestand her, daß eigentlich nichts von den latenten Traumgedanken in den manifesten Trauminhalt aufgenommen wird, sondern daß an deren Stelle etwas ganz anderes tritt, was als eine Reaktionsbildung gegen die Traumgedanken, als Ablehnung und voller Widerspruch gegen sie beschrieben werden muß. Ein solches Einschreiten gegen den Traum kann man nur der kritischen Ichinstanz zutrauen und muß daher annehmen, daß diese, durch die unbewußte Wunscherfüllung gereizt, sich zeitweilig auch während des Schlafzustandes wiederhergestellt hat. Sie hätte auf diesen unerwünschten Trauminhalt auch mit Erwachen reagieren können, fand aber in der Bildung des Straftraumes einen Weg, die Schlafstörung zu vermeiden.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So ist also z. B. für die bekannten Träume des Dichters Rosegger, die ich in der </w:t>
      </w:r>
      <w:r w:rsidRPr="008725BE">
        <w:rPr>
          <w:rFonts w:ascii="Garamond" w:hAnsi="Garamond"/>
          <w:i/>
          <w:iCs/>
          <w:color w:val="000000"/>
          <w:lang w:val="en-GB"/>
        </w:rPr>
        <w:t>Traumdeutung</w:t>
      </w:r>
      <w:r w:rsidRPr="008725BE">
        <w:rPr>
          <w:rFonts w:ascii="Garamond" w:hAnsi="Garamond"/>
          <w:color w:val="000000"/>
          <w:lang w:val="en-GB"/>
        </w:rPr>
        <w:t xml:space="preserve"> erwähne, ein unterdrückter Text von hochmütigem, prahlerischem Inhalt zu vermuten, der wirkliche Traum aber hielt </w:t>
      </w:r>
      <w:r w:rsidRPr="008725BE">
        <w:rPr>
          <w:rFonts w:ascii="Garamond" w:hAnsi="Garamond"/>
          <w:color w:val="000000"/>
          <w:lang w:val="en-GB"/>
        </w:rPr>
        <w:lastRenderedPageBreak/>
        <w:t>ihm vor: »Du bist ein unfähiger Schneidergeselle.« Es wäre natürlich unsinnig, nach einer verdrängten Wunschregung als Triebkraft dieses manifesten Traumes zu suchen; man muß sich mit der Wunscherfüllung der Selbstkritik begnügen.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Befremden über einen derartigen Aufbau des Traumes ermäßigt sich, wenn man bedenkt, wie geläufig es der Traumentstellung im Dienste der Zensur ist, für ein einzelnes Element etwas einzusetzen, was in irgendeinem Sinne sein Gegenteil oder Gegensatz ist. Von da ab ist es nur ein kurzer Weg bis zur Ersetzung eines charakteristischen Stückes Trauminhalt durch einen abwehrenden Widerspruch, und ein Schritt weiter führt zur Ersetzung des ganzen anstößigen Trauminhaltes durch den Straftraum. Von dieser mittleren Phase der Verfälschung des manifesten Inhaltes möchte ich ein oder zwei charakteristische Beispiele mitteilen.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Aus dem Traum eines Mädchens mit starker Vaterfixierung, welches sich in der Analyse schwer ausspricht: Sie sitzt im Zimmer mit einer Freundin, nur mit einem Kimono bekleidet. Ein Herr kommt herein, vor dem sie sich geniert. Der Herr sagt aber: »Das ist ja das Mädchen, das wir schon einmal so schön bekleidet gesehen haben.« –; Der Herr bin ich, in weiterer Zurückführung der Vater. Mit dem Traum ist aber nichts zu machen, solange wir uns nicht entschließen, in der Rede des Herrn das wichtigste Element durch seinen Gegensatz zu ersetzen: »Das ist das Mädchen, das ich schon einmal </w:t>
      </w:r>
      <w:r w:rsidRPr="008725BE">
        <w:rPr>
          <w:rFonts w:ascii="Garamond" w:hAnsi="Garamond"/>
          <w:i/>
          <w:iCs/>
          <w:color w:val="000000"/>
          <w:lang w:val="en-GB"/>
        </w:rPr>
        <w:t>unbekleidet</w:t>
      </w:r>
      <w:r w:rsidRPr="008725BE">
        <w:rPr>
          <w:rFonts w:ascii="Garamond" w:hAnsi="Garamond"/>
          <w:color w:val="000000"/>
          <w:lang w:val="en-GB"/>
        </w:rPr>
        <w:t xml:space="preserve"> und dann so schön gesehen habe.« Sie hat als Kind von drei bis vier Jahren eine Zeitlang im selben Zimmer mit dem Vater geschlafen, und alle Anzeichen deuten darauf hin, daß sie sich damals im Schlaf aufzudecken pflegte, um dem Vater zu gefallen. Die seitherige Verdrängung ihrer Exhibitionslust motiviert heute ihre Verschlossenheit in der Kur, ihre Unlust, sich unverhüllt zu zeigen.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Aus einer anderen Szene desselben Traumes: Sie liest ihre eigene, im Druck vorliegende Krankengeschichte. Darin steht, daß ein junger Mann seine Geliebte ermordet –; Kakao –; das gehört zur Analerotik. Das letztere ist ein Gedanke, den sie im Traum bei der Erwähnung des Kakao hat. –; Die Deutung dieses Traumstückes ist noch schwieriger als die des vorigen. Man erfährt endlich, daß sie vor dem Einschlafen die ›Geschichte einer infantilen Neurose‹ (fünfte Folge der </w:t>
      </w:r>
      <w:r w:rsidRPr="008725BE">
        <w:rPr>
          <w:rFonts w:ascii="Garamond" w:hAnsi="Garamond"/>
          <w:i/>
          <w:iCs/>
          <w:color w:val="000000"/>
          <w:lang w:val="en-GB"/>
        </w:rPr>
        <w:t>Sammlung kleiner Schriften</w:t>
      </w:r>
      <w:r w:rsidRPr="008725BE">
        <w:rPr>
          <w:rFonts w:ascii="Garamond" w:hAnsi="Garamond"/>
          <w:color w:val="000000"/>
          <w:lang w:val="en-GB"/>
        </w:rPr>
        <w:t>) gelesen hat, in welcher eine reale oder phantasierte Koitusbeobachtung der Eltern den Mittelpunkt bildet. Diese Krankengeschichte hat sie schon früher einmal auf die eigene Person bezogen, nicht das einzige Anzeichen, daß auch bei ihr eine solche Beobachtung in Betracht kommt. Der junge Mann, der seine Geliebte ermordet, ist nun eine deutliche Anspielung auf die sadistische Auffassung der Koitusszene, aber das nächste Element, der Kakao, geht weit davon ab. Zum Kakao weiß sie nur zu assoziieren, daß ihre Mutter zu sagen pflegt, vom Kakao bekomme man Kopfweh, auch von anderen Frauen will sie das gleiche gehört haben. Übrigens hat sie sich eine Zeitlang durch ebensolche Kopfschmerzen mit der Mutter identifiziert. Ich kann nun keine andere Verknüpfung der beiden Traumelemente finden als durch die Annahme, daß sie von den Folgerungen aus der Koitusbeobachtung ablenken will. Nein, das hat nichts mit der Kinderzeugung zu tun. Die Kinder kommen von etwas, das man ißt (wie im Märchen), und die Erwähnung der Analerotik, die wie ein Deutungsversuch im Traum aussieht, vervollständigt die zu Hilfe gerufene infantile Theorie durch die Hinzufügung der analen Geburt.</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X</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Man hört gelegentlich Verwunderung darüber äußern, daß das Ich des Träumers zwei- oder mehrmals im manifesten Traum erscheint, einmal in eigener Person und die anderen Male hinter anderen Personen versteckt. Die sekundäre Bearbeitung hat während der Traumbildung offenbar das Bestreben gehabt, diese Vielheit des Ichs, welche in keine szenische Situation paßt, auszumerzen, durch die Deutungsarbeit wird sie aber wiederhergestellt. Sie ist an sich nicht merkwürdiger als das mehrfache Vorkommen des Ichs in einem wachen Gedanken, zumal wenn sich dabei das Ich in Subjekt und Objekt zerlegt, sich als beobachtende und kritische Instanz dem anderen Anteil gegenüberstellt oder sein gegenwärtiges Wesen mit einem erinnerten, vergangenen, das auch einmal Ich war, vergleicht. So z. B. in den Sätzen: »Wenn </w:t>
      </w:r>
      <w:r w:rsidRPr="008725BE">
        <w:rPr>
          <w:rFonts w:ascii="Garamond" w:hAnsi="Garamond"/>
          <w:i/>
          <w:iCs/>
          <w:color w:val="000000"/>
          <w:lang w:val="en-GB"/>
        </w:rPr>
        <w:t>ich</w:t>
      </w:r>
      <w:r w:rsidRPr="008725BE">
        <w:rPr>
          <w:rFonts w:ascii="Garamond" w:hAnsi="Garamond"/>
          <w:color w:val="000000"/>
          <w:lang w:val="en-GB"/>
        </w:rPr>
        <w:t xml:space="preserve"> daran denke, was </w:t>
      </w:r>
      <w:r w:rsidRPr="008725BE">
        <w:rPr>
          <w:rFonts w:ascii="Garamond" w:hAnsi="Garamond"/>
          <w:i/>
          <w:iCs/>
          <w:color w:val="000000"/>
          <w:lang w:val="en-GB"/>
        </w:rPr>
        <w:t>ich</w:t>
      </w:r>
      <w:r w:rsidRPr="008725BE">
        <w:rPr>
          <w:rFonts w:ascii="Garamond" w:hAnsi="Garamond"/>
          <w:color w:val="000000"/>
          <w:lang w:val="en-GB"/>
        </w:rPr>
        <w:t xml:space="preserve"> diesem Menschen getan habe« und: »Wenn </w:t>
      </w:r>
      <w:r w:rsidRPr="008725BE">
        <w:rPr>
          <w:rFonts w:ascii="Garamond" w:hAnsi="Garamond"/>
          <w:i/>
          <w:iCs/>
          <w:color w:val="000000"/>
          <w:lang w:val="en-GB"/>
        </w:rPr>
        <w:t>ich</w:t>
      </w:r>
      <w:r w:rsidRPr="008725BE">
        <w:rPr>
          <w:rFonts w:ascii="Garamond" w:hAnsi="Garamond"/>
          <w:color w:val="000000"/>
          <w:lang w:val="en-GB"/>
        </w:rPr>
        <w:t xml:space="preserve"> daran denke, daß </w:t>
      </w:r>
      <w:r w:rsidRPr="008725BE">
        <w:rPr>
          <w:rFonts w:ascii="Garamond" w:hAnsi="Garamond"/>
          <w:i/>
          <w:iCs/>
          <w:color w:val="000000"/>
          <w:lang w:val="en-GB"/>
        </w:rPr>
        <w:t>ich</w:t>
      </w:r>
      <w:r w:rsidRPr="008725BE">
        <w:rPr>
          <w:rFonts w:ascii="Garamond" w:hAnsi="Garamond"/>
          <w:color w:val="000000"/>
          <w:lang w:val="en-GB"/>
        </w:rPr>
        <w:t xml:space="preserve"> auch einmal ein Kind war.« Daß aber alle Personen, die im Traume vorkommen, als Abspaltungen und Vertretungen des eigenen Ichs zu gelten haben, möchte ich als eine inhaltslose und unberechtigte Spekulation zurückweisen. Es genügt uns, daran festzuhalten, daß die Sonderung des Ichs von einer beobachtenden, kritisierenden, strafenden Instanz (Ichideal) auch für die Traumdeutung in Betracht kommt.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Br</w:t>
        </w:r>
        <w:bookmarkStart w:id="139" w:name="KS4"/>
        <w:bookmarkEnd w:id="139"/>
        <w:r w:rsidRPr="008725BE">
          <w:rPr>
            <w:rStyle w:val="Lienhypertexte"/>
            <w:rFonts w:ascii="Garamond" w:hAnsi="Garamond" w:cs="Arial"/>
            <w:b/>
            <w:bCs/>
            <w:lang w:val="en-GB"/>
          </w:rPr>
          <w:t>ief an Romain Rolland</w:t>
        </w:r>
      </w:hyperlink>
      <w:r w:rsidRPr="008725BE">
        <w:rPr>
          <w:rFonts w:ascii="Garamond" w:hAnsi="Garamond"/>
          <w:color w:val="000000"/>
          <w:lang w:val="en-GB"/>
        </w:rPr>
        <w:t xml:space="preserve"> </w:t>
      </w:r>
      <w:r w:rsidRPr="008725BE">
        <w:rPr>
          <w:rFonts w:ascii="Garamond" w:hAnsi="Garamond"/>
          <w:caps/>
          <w:color w:val="000000"/>
          <w:lang w:val="en-GB"/>
        </w:rPr>
        <w:t>(1936)</w:t>
      </w: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 xml:space="preserve">( </w:t>
      </w:r>
      <w:r w:rsidRPr="008725BE">
        <w:rPr>
          <w:rFonts w:ascii="Garamond" w:hAnsi="Garamond"/>
          <w:i/>
          <w:iCs/>
          <w:color w:val="000000"/>
          <w:lang w:val="en-GB"/>
        </w:rPr>
        <w:t>Eine erinnerungsstörung auf der akropolis</w:t>
      </w:r>
      <w:r w:rsidRPr="008725BE">
        <w:rPr>
          <w:rFonts w:ascii="Garamond" w:hAnsi="Garamond"/>
          <w:caps/>
          <w:color w:val="000000"/>
          <w:lang w:val="en-GB"/>
        </w:rPr>
        <w:t>)</w:t>
      </w:r>
    </w:p>
    <w:p w:rsidR="008725BE" w:rsidRPr="008725BE" w:rsidRDefault="008725BE" w:rsidP="008725BE">
      <w:pPr>
        <w:pStyle w:val="Sansinterligne"/>
        <w:rPr>
          <w:rFonts w:ascii="Garamond" w:hAnsi="Garamond"/>
          <w:caps/>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Verehrter Freund!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Dringend aufgefordert, etwas Geschriebenes zur Feier Ihres siebzigsten Geburtstages beizutragen, habe ich mich lange bemüht, etwas zu finden, was Ihrer in irgendeinem Sinne würdig wäre, was meiner Bewunderung Ausdruck geben könnte für Ihre Wahrheitsliebe, Ihren Bekennermut, Ihre Menschenfreundlichkeit und Hilfsbereitschaft. Oder was die Dankbarkeit für den Dichter bezeugen würde, der mir soviel Genuß und Erhebung geschenkt hat. Es war vergeblich; ich bin um ein Jahrzehnt älter als Sie, meine Produktion ist versiegt. Was ich Ihnen schließlich zu bieten habe, ist die Gabe eines Verarmten, der »einst bessere Tage gesehen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Sie wissen, meine wissenschaftliche Arbeit hatte sich das Ziel gesetzt, ungewöhnliche, abnorme, pathologische Erscheinungen des Seelenlebens aufzuklären, das heißt, sie auf die hinter ihnen wirkenden psychischen Kräfte zurückzuführen und die dabei tätigen Mechanismen aufzuzeigen. Ich versuchte dies zunächst an der eigenen Person, dann auch an anderen und endlich in kühnem Übergriff auch am Menschengeschlecht im ganzen. Ein solches Phänomen, das ich vor einem Menschenalter, im Jahre 1904, an mir erlebt und nie verstanden hatte, tauchte in den letzten Jahren in meiner Erinnerung immer wieder auf; ich wußte zunächst nicht warum. Ich entschloß mich endlich, das kleine Erlebnis zu analysieren, und teile Ihnen hier das Ergebnis dieser Studie mit. Dabei muß ich Sie natürlich bitten, den Angaben aus meinem persönlichen Leben mehr Aufmerksamkeit zu schenken, als sie sonst verdienten.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  </w:t>
      </w:r>
      <w:r w:rsidRPr="008725BE">
        <w:rPr>
          <w:rFonts w:ascii="Garamond" w:hAnsi="Garamond"/>
          <w:color w:val="000000"/>
          <w:lang w:val="en-GB"/>
        </w:rPr>
        <w:br/>
      </w:r>
      <w:r w:rsidRPr="008725BE">
        <w:rPr>
          <w:rFonts w:ascii="Garamond" w:hAnsi="Garamond"/>
          <w:i/>
          <w:iCs/>
          <w:color w:val="000000"/>
          <w:lang w:val="en-GB"/>
        </w:rPr>
        <w:t>Eine Erinnerungsstörung auf der Akropolis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pflegte damals alljährlich Ende August oder Anfang September mit meinem jüngeren Bruder eine Ferienreise anzutreten, die mehrere Wochen dauerte und uns nach Rom, irgendeiner Gegend des Landes Italien oder an eine Küste des Mittelmeeres führte. Mein Bruder ist zehn Jahre jünger als ich, also gleichaltrig mit Ihnen –; ein Zusammentreffen, das mir erst jetzt auffällt. In diesem Jahr erklärte mein Bruder, seine Geschäfte erlaubten ihm keine längere Abwesenheit, er könnte höchstens eine Woche ausbleiben, wir müßten unsere Reise abkürzen. So beschlossen wir, über Triest nach der Insel Korfu zu fahren und unsere wenigen Urlaubstage dort zu verbringen. In Triest besuchte er einen dort ansässigen Geschäftsfreund, ich begleitete ihn. Der freundliche Mann erkundigte sich auch nach unseren weiteren Absichten, und als er hörte, daß wir nach Korfu wollten, riet er uns dringend ab. »Was wollen Sie um diese Zeit dort machen? Es ist so heiß, daß Sie nichts unternehmen können. Gehen Sie doch lieber nach Athen. Der Lloyddampfer geht heute nachmittags ab, läßt Ihnen drei Tage Zeit, um die Stadt zu sehen, und holt Sie auf seiner Rückfahrt ab. Das wird lohnender und angenehmer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Als wir den Triestiner verlassen hatten, waren wir beide in merkwürdig übler Stimmung. Wir diskutierten den uns vorgeschlagenen Plan, fanden ihn durchaus unzweckmäßig und sahen nur Hindernisse gegen seine Ausführung, nahmen auch an, daß wir ohne Reisepässe in Griechenland nicht eingelassen würden. Die Stunden bis zur Eröffnung des Lloydbureaus wanderten wir mißvergnügt und unentschlossen in der Stadt herum. Aber als die Zeit gekommen war, gingen wir an den Schalter und lösten Schiffskarten nach Athen, wie selbstverständlich, ohne uns um die vorgeblichen Schwierigkeiten zu kümmern, ja ohne daß wir die Gründe für unsere Entscheidung gegeneinander ausgesprochen hätten. Dies Benehmen war doch sehr sonderbar. Wir anerkannten später, daß wir den Vorschlag, nach Athen anstatt nach Korfu zu gehen, sofort und bereitwilligst angenommen hatten. Warum hatten wir uns also die Zwischenzeit bis zur Öffnung der Schalter durch üble Laune verstört und uns nur Abhaltungen und Schwierigkeiten vorgespiegelt?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Als ich dann am Nachmittag nach der Ankunft auf der Akropolis stand und mein Blick die Landschaft umfaßte, kam mir plötzlich der merkwürdige Gedanke: </w:t>
      </w:r>
      <w:r w:rsidRPr="008725BE">
        <w:rPr>
          <w:rFonts w:ascii="Garamond" w:hAnsi="Garamond"/>
          <w:i/>
          <w:iCs/>
          <w:color w:val="000000"/>
          <w:lang w:val="en-GB"/>
        </w:rPr>
        <w:t>Also existiert das alles wirklich so, wie wir es auf der Schule gelernt haben?!</w:t>
      </w:r>
      <w:r w:rsidRPr="008725BE">
        <w:rPr>
          <w:rFonts w:ascii="Garamond" w:hAnsi="Garamond"/>
          <w:color w:val="000000"/>
          <w:lang w:val="en-GB"/>
        </w:rPr>
        <w:t xml:space="preserve"> Genauer beschrieben, die Person, die eine Äußerung tat, sonderte sich, weit schärfer als sonst merklich, von einer anderen, die diese Äußerung wahrnahm, und beide waren verwundert, wenn auch nicht über das gleiche. Die eine benahm sich so, als müßte sie unter dem Eindruck einer unzweifelhaften Beobachtung an etwas glauben, dessen Realität ihr bis dahin unsicher erschienen war. Mit einer mäßigen Übertreibung: als ob jemand, entlang des schottischen Loch Ness spazierend, plötzlich den ans Land gespülten Leib des vielberedeten Ungeheuers vor sich sähe und sich zum Zugeständnis gezwungen fände: Also existiert sie wirklich, die Seeschlange, an die wir nicht geglaubt haben! Die andere </w:t>
      </w:r>
      <w:r w:rsidRPr="008725BE">
        <w:rPr>
          <w:rFonts w:ascii="Garamond" w:hAnsi="Garamond"/>
          <w:color w:val="000000"/>
          <w:lang w:val="en-GB"/>
        </w:rPr>
        <w:lastRenderedPageBreak/>
        <w:t>Person war aber mit Recht erstaunt, weil sie nicht gewußt hatte, daß die reale Existenz von Athen, der Akropolis und dieser Landschaft jemals ein Gegenstand des Zweifels gewesen war. Sie war eher auf eine Äußerung der Entzückung und Erhebung vorbereitet.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liegt nun nahe zu sagen, der befremdliche Gedanke auf der Akropolis wolle nur betonen, es sei doch etwas ganz anderes, wenn man etwas mit eigenen Augen sehe, als wenn man nur davon höre oder lese. Aber das bliebe eine sehr sonderbare Einkleidung eines uninteressanten Gemeinplatzes. Oder man könnte die Behauptung wagen, man habe als Gymnasiast zwar gemeint, man sei von der historischen Wirklichkeit der Stadt Athen und ihrer Geschichte überzeugt gewesen, aber aus jenem Einfall auf der Akropolis erfahre man eben, daß man damals im Unbewußten nicht daran geglaubt habe; erst jetzt habe man sich auch eine »ins Unbewußte reichende« Überzeugung erworben. Eine solche Erklärung klingt sehr tiefsinnig, aber sie ist leichter aufzustellen als zu erweisen, wird auch theoretisch recht angreifbar sein. Nein, ich meine, die beiden Phänomene, die Verstimmung in Triest und der Einfall auf der Akropolis gehören innig zusammen. Das erstere davon ist leichter verständlich und mag uns zur Erklärung des späteren verhelfen.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Erlebnis in Triest ist, wie ich merke, auch nur der Ausdruck eines Unglaubens. »Wir sollen Athen zu sehen bekommen? Aber das geht ja nicht, es wird zu schwierig sein.« Die begleitende Verstimmung entspricht dann dem Bedauern darüber, daß es nicht geht. Es wäre ja so schön gewesen! Und nun versteht man, woran man ist. Es ist ein Fall von » </w:t>
      </w:r>
      <w:r w:rsidRPr="008725BE">
        <w:rPr>
          <w:rFonts w:ascii="Garamond" w:hAnsi="Garamond"/>
          <w:i/>
          <w:iCs/>
          <w:color w:val="000000"/>
          <w:lang w:val="en-GB"/>
        </w:rPr>
        <w:t>too good to be true</w:t>
      </w:r>
      <w:r w:rsidRPr="008725BE">
        <w:rPr>
          <w:rFonts w:ascii="Garamond" w:hAnsi="Garamond"/>
          <w:color w:val="000000"/>
          <w:lang w:val="en-GB"/>
        </w:rPr>
        <w:t>«, wie er uns so geläufig ist. Ein Fall von jenem Unglauben, der sich so häufig zeigt, wenn man durch eine glückbringende Nachricht überrascht wird, daß man einen Treffer gemacht, einen Preis gewonnen hat, für ein Mädchen, daß der heimlich geliebte Mann bei den Eltern als Bewerber aufgetreten ist, u. dgl.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 Phänomen konstatieren, läßt natürlich sofort die Frage nach seiner Verursachung entstehen. Ein solcher Unglaube ist offenbar ein Versuch, ein Stück der Realität abzulehnen, aber es ist etwas daran befremdend. Wir würden gar nicht erstaunt sein, wenn sich ein solcher Versuch gegen ein Stück Realität richten sollte, das Unlust zu bringen droht; unser psychischer Mechanismus ist darauf sozusagen eingerichtet. Aber warum ein derartiger Unglaube gegen etwas, was im Gegenteil hohe Lust verspricht? Ein wirklich paradoxes Verhalten! Ich erinnere mich aber, daß ich bereits früher einmal den ähnlichen Fall jener Personen behandelt habe, die, wie ich es ausdrückte, »am Erfolge scheitern«. Sonst erkrankt man in der Regel an der Versagung, der Nichterfüllung eines lebenswichtigen Bedürfnisses oder Wunsches; bei diesen Personen ist es aber umgekehrt, sie erkranken, gehen selbst daran zugrunde, daß ihnen ein überwältigend starker Wunsch erfüllt worden ist. Die Gegensätzlichkeit der beiden Situationen ist aber nicht so groß, wie es anfangs scheint. Im paradoxen Falle ist einfach eine innere Versagung an die Stelle der äußeren getreten. Man gönnt sich das Glück nicht, die innere Versagung befiehlt, an der äußeren festzuhalten. Warum aber? Weil, so lautet in einer Reihe von Fällen die Antwort, man sich vom Schicksal etwas so Gutes nicht erwarten kann. Also wiederum das » </w:t>
      </w:r>
      <w:r w:rsidRPr="008725BE">
        <w:rPr>
          <w:rFonts w:ascii="Garamond" w:hAnsi="Garamond"/>
          <w:i/>
          <w:iCs/>
          <w:color w:val="000000"/>
          <w:lang w:val="en-GB"/>
        </w:rPr>
        <w:t>too good to be true</w:t>
      </w:r>
      <w:r w:rsidRPr="008725BE">
        <w:rPr>
          <w:rFonts w:ascii="Garamond" w:hAnsi="Garamond"/>
          <w:color w:val="000000"/>
          <w:lang w:val="en-GB"/>
        </w:rPr>
        <w:t>«, die Äußerung eines Pessimismus, von dem viele von uns ein großes Stück in sich zu beherbergen scheinen. In anderen Fällen ist es ganz so wie bei denen, die am Erfolg scheitern, ein Schuld- oder Minderwertigkeitsgefühl, das man übersetzen kann: Ich bin eines solchen Glückes nicht würdig, ich verdiene es nicht. Aber diese beiden Motivierungen sind im Grunde das nämliche, die eine nur eine Projektion der anderen. Denn, wie längst bekannt, ist das Schicksal, von dem man sich so schlechte Behandlung erwartet, eine Materialisation unseres Gewissens, des strengen Über-Ichs in uns, in dem sich die strafende Instanz unserer Kindheit niedergeschlagen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Damit wäre, meine ich, unser Benehmen in Triest erklärt. </w:t>
      </w:r>
      <w:r w:rsidRPr="008725BE">
        <w:rPr>
          <w:rFonts w:ascii="Garamond" w:hAnsi="Garamond"/>
          <w:color w:val="000000"/>
        </w:rPr>
        <w:t xml:space="preserve">Wir konnten nicht glauben, daß uns die Freude bestimmt sein sollte, Athen zu sehen. Daß das Stück Realität, das wir ablehnen wollten, zunächst nur eine Möglichkeit war, bestimmte die Eigentümlichkeiten unserer damaligen Reaktion. </w:t>
      </w:r>
      <w:r w:rsidRPr="008725BE">
        <w:rPr>
          <w:rFonts w:ascii="Garamond" w:hAnsi="Garamond"/>
          <w:color w:val="000000"/>
          <w:lang w:val="en-GB"/>
        </w:rPr>
        <w:t>Als wir dann auf der Akropolis standen, war die Möglichkeit zur Wirklichkeit geworden, und derselbe Unglaube fand nun einen veränderten, aber weit deutlicheren Ausdruck. Dieser hätte ohne Entstellung lauten sollen: Ich hätte wirklich nicht geglaubt, daß es mir je gegönnt sein würde, Athen mit meinen eigenen Augen zu sehen, wie es doch jetzt unzweifelhaft der Fall ist! Wenn ich mich erinnere, welche glühende Sehnsucht, zu reisen und die Welt zu sehen, mich in der Gymnasialzeit und später beherrscht hatte und wie spät sie sich in Erfüllung umzusetzen begann, verwundere ich mich dieser Nachwirkung auf der Akropolis nicht; ich war damals achtundvierzig Jahre alt. Ich habe meinen jüngeren Bruder nicht befragt, ob er ähnliches wie ich verspürt. Eine gewisse Scheu lag über dem ganzen Erlebnis, sie hatte schon in Triest unseren Gedankenaustausch behindert.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ich aber den Sinn meines Einfalls auf der Akropolis richtig erraten habe, er drücke meine freudige Verwunderung darüber aus, daß ich mich jetzt an diesem Ort befinde, so erhebt sich die weitere Frage, warum dieser Sinn im Einfall eine so entstellte und entstellende Einkleidung erfahren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Der wesentliche Inhalt des Gedankens ist auch in der Entstellung erhalten geblieben, es ist ein Unglaube. »Nach dem Zeugnis meiner Sinne stehe ich jetzt auf der Akropolis, allein ich kann es nicht glauben.« Dieser Unglaube, dieser Zweifel an einem Stück der Realität, wird aber in der Äußerung in zweifacher Weise verschoben, erstens in die Vergangenheit gerückt und zweitens von meiner Beziehung zur Akropolis weg auf die Existenz der Akropolis selbst verlegt. So kommt etwas zustande, was der Behauptung gleichkommt, ich hätte früher einmal an der realen Existenz der Akropolis gezweifelt, was meine Erinnerung aber als unrichtig, ja als unmöglich ablehnt.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beiden Entstellungen bedeuten zwei voneinander unabhängige Probleme. Man kann versuchen, tiefer in den Umsetzungsprozeß einzudringen. Ohne näher anzugeben, wie ich dazu komme, will ich davon ausgehen, das Ursprüngliche müsse eine Empfindung gewesen sein, daß an der damaligen Situation etwas Unglaubwürdiges und Unwirkliches zu verspüren sei. </w:t>
      </w:r>
      <w:r w:rsidRPr="008725BE">
        <w:rPr>
          <w:rFonts w:ascii="Garamond" w:hAnsi="Garamond"/>
          <w:color w:val="000000"/>
        </w:rPr>
        <w:t xml:space="preserve">Die Situation umfaßt meine Person, die Akropolis und meine Wahrnehmung derselben. Ich weiß diesen Zweifel nicht unterzubringen, ich kann ja meine Sinneseindrücke von der Akropolis nicht in Zweifel ziehen. </w:t>
      </w:r>
      <w:r w:rsidRPr="008725BE">
        <w:rPr>
          <w:rFonts w:ascii="Garamond" w:hAnsi="Garamond"/>
          <w:color w:val="000000"/>
          <w:lang w:val="en-GB"/>
        </w:rPr>
        <w:t xml:space="preserve">Ich erinnere mich aber, daß ich in der Vergangenheit an etwas gezweifelt, was mit eben dieser Örtlichkeit zu tun hatte, und finde so die Auskunft, den Zweifel in die Vergangenheit zu versetzen. Aber dabei ändert der Zweifel seinen Inhalt. Ich erinnere mich nicht einfach daran, daß ich in frühen Jahren daran gezweifelt, ob ich je die Akropolis selbst sehen werde, sondern ich behaupte, daß ich damals überhaupt nicht an die Realität der Akropolis geglaubt habe. Grade aus diesem Ergebnis der Entstellung ziehe ich den Schluß, daß die gegenwärtige Situation auf der Akropolis ein Element von Zweifel an der Realität enthalten hat. Es ist mir bisher gewiß nicht gelungen, den Hergang klarzumachen, darum will ich kurz abschließend sagen, die ganze anscheinend verworrene und schwer darstellbare psychische Situation löst sich glatt durch die Annahme, daß ich damals auf der Akropolis einen Moment lang das Gefühl hatte –; oder hätte haben können: </w:t>
      </w:r>
      <w:r w:rsidRPr="008725BE">
        <w:rPr>
          <w:rFonts w:ascii="Garamond" w:hAnsi="Garamond"/>
          <w:i/>
          <w:iCs/>
          <w:color w:val="000000"/>
          <w:lang w:val="en-GB"/>
        </w:rPr>
        <w:t>was ich da sehe, ist nicht wirklich</w:t>
      </w:r>
      <w:r w:rsidRPr="008725BE">
        <w:rPr>
          <w:rFonts w:ascii="Garamond" w:hAnsi="Garamond"/>
          <w:color w:val="000000"/>
          <w:lang w:val="en-GB"/>
        </w:rPr>
        <w:t>. Man nennt das ein »Entfremdungsgefühl«. Ich machte einen Versuch, mich dessen zu erwehren, und es gelang mir auf Kosten einer falschen Aussage über die Vergangenheit.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Diese Entfremdungen sind sehr merkwürdige, noch wenig verstandene Phänomene. Man beschreibt sie als »Empfindungen«, aber es sind offenbar komplizierte Vorgänge, an bestimmte Inhalte geknüpft und mit Entscheidungen über diese Inhalte verbunden. Bei gewissen psychischen Erkrankungen sehr häufig, sind sie doch auch dem normalen Menschen nicht unbekannt, etwa wie die gelegentlichen Halluzinationen der Gesunden. Aber sie sind doch gewiß Fehlleistungen, von abnormem Aufbau wie die Träume, die ungeachtet ihres regelmäßigen Vorkommens beim Gesunden uns als Vorbilder seelischer Störung gelten. Man beobachtet sie in zweierlei Formen; entweder erscheint uns ein Stück der Realität als fremd oder ein Stück des eigenen Ichs. In letzterem Fall spricht man von »Depersonalisation«; Entfremdungen und Depersonalisationen gehören innig zusammen. Es gibt andere Phänomene, in denen wir gleichsam die positiven Gegenstücke zu ihnen erkennen mögen, die sog. » </w:t>
      </w:r>
      <w:r w:rsidRPr="008725BE">
        <w:rPr>
          <w:rFonts w:ascii="Garamond" w:hAnsi="Garamond"/>
          <w:i/>
          <w:iCs/>
          <w:color w:val="000000"/>
          <w:lang w:val="en-GB"/>
        </w:rPr>
        <w:t>fausse reconnaissance</w:t>
      </w:r>
      <w:r w:rsidRPr="008725BE">
        <w:rPr>
          <w:rFonts w:ascii="Garamond" w:hAnsi="Garamond"/>
          <w:color w:val="000000"/>
          <w:lang w:val="en-GB"/>
        </w:rPr>
        <w:t xml:space="preserve">«, das » </w:t>
      </w:r>
      <w:r w:rsidRPr="008725BE">
        <w:rPr>
          <w:rFonts w:ascii="Garamond" w:hAnsi="Garamond"/>
          <w:i/>
          <w:iCs/>
          <w:color w:val="000000"/>
          <w:lang w:val="en-GB"/>
        </w:rPr>
        <w:t>déjà vu</w:t>
      </w:r>
      <w:r w:rsidRPr="008725BE">
        <w:rPr>
          <w:rFonts w:ascii="Garamond" w:hAnsi="Garamond"/>
          <w:color w:val="000000"/>
          <w:lang w:val="en-GB"/>
        </w:rPr>
        <w:t xml:space="preserve">«, » </w:t>
      </w:r>
      <w:r w:rsidRPr="008725BE">
        <w:rPr>
          <w:rFonts w:ascii="Garamond" w:hAnsi="Garamond"/>
          <w:i/>
          <w:iCs/>
          <w:color w:val="000000"/>
          <w:lang w:val="en-GB"/>
        </w:rPr>
        <w:t>déjà raconté</w:t>
      </w:r>
      <w:r w:rsidRPr="008725BE">
        <w:rPr>
          <w:rFonts w:ascii="Garamond" w:hAnsi="Garamond"/>
          <w:color w:val="000000"/>
          <w:lang w:val="en-GB"/>
        </w:rPr>
        <w:t xml:space="preserve">«, Täuschungen, in denen wir etwas als zu unserem Ich gehörig annehmen wollen, wie wir bei den Entfremdungen etwas von uns auszuschließen bemüht sind. Ein naiv-mystischer, unpsychologischer Erklärungsversuch will die Phänomene des </w:t>
      </w:r>
      <w:r w:rsidRPr="008725BE">
        <w:rPr>
          <w:rFonts w:ascii="Garamond" w:hAnsi="Garamond"/>
          <w:i/>
          <w:iCs/>
          <w:color w:val="000000"/>
          <w:lang w:val="en-GB"/>
        </w:rPr>
        <w:t>déjà vu</w:t>
      </w:r>
      <w:r w:rsidRPr="008725BE">
        <w:rPr>
          <w:rFonts w:ascii="Garamond" w:hAnsi="Garamond"/>
          <w:color w:val="000000"/>
          <w:lang w:val="en-GB"/>
        </w:rPr>
        <w:t xml:space="preserve"> als Beweise für frühere Existenzen unseres seelischen Ichs verwerten. Von der Depersonalisation führt der Weg zu der höchst merkwürdigen » </w:t>
      </w:r>
      <w:r w:rsidRPr="008725BE">
        <w:rPr>
          <w:rFonts w:ascii="Garamond" w:hAnsi="Garamond"/>
          <w:i/>
          <w:iCs/>
          <w:color w:val="000000"/>
          <w:lang w:val="en-GB"/>
        </w:rPr>
        <w:t>double conscience</w:t>
      </w:r>
      <w:r w:rsidRPr="008725BE">
        <w:rPr>
          <w:rFonts w:ascii="Garamond" w:hAnsi="Garamond"/>
          <w:color w:val="000000"/>
          <w:lang w:val="en-GB"/>
        </w:rPr>
        <w:t>«, die man richtiger »Persönlichkeitsspaltung« benennt. Das ist alles noch so dunkel, so wenig wissenschaftlich bezwungen, daß ich mir verbieten muß, es vor Ihnen weiter zu erörtern.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Es genügt meiner Absicht, wenn ich auf zwei allgemeine Charaktere der Entfremdungsphänomene zurückkomme. Der erste ist, sie dienen alle der Abwehr, wollen etwas vom Ich fernhalten, verleugnen. Nun kommen von zwei Seiten her neue Elemente an das Ich heran, die zur Abwehr auffordern können, aus der realen Außenwelt und aus der Innenwelt der im Ich auftauchenden Gedanken und Regungen. Vielleicht deckt diese Alternative die Unterscheidung zwischen den eigentlichen Entfremdungen und den Depersonalisationen. Es gibt eine außerordentliche Fülle von Methoden, Mechanismen sagen wir, deren sich unser Ich bei der Erledigung seiner Abwehraufgaben bedient. In meiner nächsten Nähe erwächst jetzt eine Arbeit, die sich mit dem Studium dieser Abwehrmethoden beschäftigt; meine Tochter, die Kinderanalytikerin, schreibt eben ein Buch darüber. Von der primitivsten und gründlichsten dieser Methoden, von der »Verdrängung«, hat unsere Vertiefung in die Psychopathologie überhaupt ihren Ausgang genommen. Zwischen der Verdrängung und der normal zu nennenden Abwehr des Peinlich-Unerträglichen durch Anerkennung, Überlegung, Urteil und zweckmäßiges Handeln liegt eine große Reihe von Verhaltungsweisen des Ichs von mehr oder weniger deutlich pathologischem Charakter. Darf ich bei einem Grenzfall einer solchen Abwehr verweilen? Sie kennen das berühmte Klagelied der spanischen Mauren › </w:t>
      </w:r>
      <w:r w:rsidRPr="008725BE">
        <w:rPr>
          <w:rFonts w:ascii="Garamond" w:hAnsi="Garamond"/>
          <w:i/>
          <w:iCs/>
          <w:color w:val="000000"/>
          <w:lang w:val="en-GB"/>
        </w:rPr>
        <w:t>Ay de mi Alhama</w:t>
      </w:r>
      <w:r w:rsidRPr="008725BE">
        <w:rPr>
          <w:rFonts w:ascii="Garamond" w:hAnsi="Garamond"/>
          <w:color w:val="000000"/>
          <w:lang w:val="en-GB"/>
        </w:rPr>
        <w:t xml:space="preserve">‹, das erzählt, wie der König Boabdil die Nachricht vom Fall seiner Stadt Alhama </w:t>
      </w:r>
      <w:r w:rsidRPr="008725BE">
        <w:rPr>
          <w:rFonts w:ascii="Garamond" w:hAnsi="Garamond"/>
          <w:color w:val="000000"/>
          <w:lang w:val="en-GB"/>
        </w:rPr>
        <w:lastRenderedPageBreak/>
        <w:t xml:space="preserve">aufnimmt. Er ahnt, daß dieser Verlust das Ende seiner Herrschaft bedeutet. Aber er will es nicht »wahr haben«, er beschließt, die Nachricht als » </w:t>
      </w:r>
      <w:r w:rsidRPr="008725BE">
        <w:rPr>
          <w:rFonts w:ascii="Garamond" w:hAnsi="Garamond"/>
          <w:i/>
          <w:iCs/>
          <w:color w:val="000000"/>
          <w:lang w:val="en-GB"/>
        </w:rPr>
        <w:t>non arrivé</w:t>
      </w:r>
      <w:r w:rsidRPr="008725BE">
        <w:rPr>
          <w:rFonts w:ascii="Garamond" w:hAnsi="Garamond"/>
          <w:color w:val="000000"/>
          <w:lang w:val="en-GB"/>
        </w:rPr>
        <w:t xml:space="preserve">« zu behandeln. </w:t>
      </w:r>
      <w:r w:rsidRPr="008725BE">
        <w:rPr>
          <w:rFonts w:ascii="Garamond" w:hAnsi="Garamond"/>
          <w:color w:val="000000"/>
        </w:rPr>
        <w:t>Die Strophe lautet:</w:t>
      </w:r>
    </w:p>
    <w:p w:rsidR="008725BE" w:rsidRPr="008725BE" w:rsidRDefault="008725BE" w:rsidP="008725BE">
      <w:pPr>
        <w:pStyle w:val="Sansinterligne"/>
        <w:rPr>
          <w:rFonts w:ascii="Garamond" w:hAnsi="Garamond"/>
          <w:color w:val="000000"/>
        </w:rPr>
      </w:pPr>
      <w:r w:rsidRPr="008725BE">
        <w:rPr>
          <w:rFonts w:ascii="Garamond" w:hAnsi="Garamond"/>
          <w:i/>
          <w:iCs/>
          <w:color w:val="000000"/>
        </w:rPr>
        <w:t xml:space="preserve">Cartas le fueron venidas </w:t>
      </w:r>
      <w:r w:rsidRPr="008725BE">
        <w:rPr>
          <w:rFonts w:ascii="Garamond" w:hAnsi="Garamond"/>
          <w:i/>
          <w:iCs/>
          <w:color w:val="000000"/>
        </w:rPr>
        <w:br/>
        <w:t xml:space="preserve">que Alhama era ganada: </w:t>
      </w:r>
      <w:r w:rsidRPr="008725BE">
        <w:rPr>
          <w:rFonts w:ascii="Garamond" w:hAnsi="Garamond"/>
          <w:i/>
          <w:iCs/>
          <w:color w:val="000000"/>
        </w:rPr>
        <w:br/>
        <w:t xml:space="preserve">las cartas echo en el fuego </w:t>
      </w:r>
      <w:r w:rsidRPr="008725BE">
        <w:rPr>
          <w:rFonts w:ascii="Garamond" w:hAnsi="Garamond"/>
          <w:i/>
          <w:iCs/>
          <w:color w:val="000000"/>
        </w:rPr>
        <w:br/>
        <w:t>y al mensajero matara</w:t>
      </w:r>
      <w:r w:rsidRPr="008725BE">
        <w:rPr>
          <w:rFonts w:ascii="Garamond" w:hAnsi="Garamond"/>
          <w:color w:val="000000"/>
        </w:rPr>
        <w:t>.</w:t>
      </w:r>
    </w:p>
    <w:p w:rsidR="008725BE" w:rsidRPr="008725BE" w:rsidRDefault="008725BE" w:rsidP="008725BE">
      <w:pPr>
        <w:pStyle w:val="Sansinterligne"/>
        <w:rPr>
          <w:rFonts w:ascii="Garamond" w:hAnsi="Garamond"/>
          <w:color w:val="000000"/>
        </w:rPr>
      </w:pPr>
      <w:r w:rsidRPr="008725BE">
        <w:rPr>
          <w:rFonts w:ascii="Garamond" w:hAnsi="Garamond"/>
          <w:color w:val="000000"/>
        </w:rPr>
        <w:t>Man errät leicht, daß an diesem Benehmen des Königs das Bedürfnis mitbeteiligt ist, dem Gefühl seiner Ohnmacht zu widerstreiten. Indem er die Briefe verbrennt und den Boten töten läßt, sucht er noch seine Machtvollkommenheit zu demonstrieren.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Der andere allgemeine Charakter der Entfremdungen, ihre Abhängigkeit von der Vergangenheit, von dem Erinnerungsschatz des Ichs und früheren peinlichen Erlebnissen, die vielleicht seither der Verdrängung anheimgefallen sind, wird ihnen nicht ohne Einspruch zugestanden. Aber grade mein Erlebnis auf der Akropolis, das ja in eine Erinnerungsstörung, eine Verfälschung der Vergangenheit ausgeht, hilft uns dazu, diesen Einfluß aufzuzeigen. </w:t>
      </w:r>
      <w:r w:rsidRPr="008725BE">
        <w:rPr>
          <w:rFonts w:ascii="Garamond" w:hAnsi="Garamond"/>
          <w:color w:val="000000"/>
          <w:lang w:val="en-GB"/>
        </w:rPr>
        <w:t xml:space="preserve">Es ist nicht wahr, daß ich in den Gymnasialjahren je an der realen Existenz von Athen gezweifelt habe. Ich habe nur daran gezweifelt, daß ich Athen je werde sehen können. So weit zu reisen, es »so weit zu bringen«, erschien mir als außerhalb jeder Möglichkeit. Das hing mit der Enge und Armseligkeit unserer Lebensverhältnisse in meiner Jugend zusammen. Die Sehnsucht zu reisen war gewiß auch ein Ausdruck des Wunsches, jenem Druck zu entkommen, verwandt dem Drang, der so viel halbwüchsige Kinder dazu antreibt, vom Hause durchzugehen. Es war mir längst klar geworden, daß ein großes Stück der Lust am Reisen in der Erfüllung dieser frühen Wünsche besteht, also in der Unzufriedenheit mit Haus und Familie wurzelt. Wenn man zuerst das Meer sieht, den Ozean überquert, Städte und Länder als Wirklichkeiten erlebt, die so lange ferne, unerreichbare Wunschdinge waren, so fühlt man sich wie ein Held, der unwahrscheinlich große Taten vollbracht hat. Ich hätte damals auf der Akropolis meinen Bruder fragen können: Weißt Du noch, wie wir in unserer Jugend Tag für Tag denselben Weg gegangen sind, von der ...straße ins Gymnasium, am Sonntage dann jedesmal in den Prater oder auf eine der Landpartien, die wir schon so gut kannten, und jetzt sind wir in Athen und stehen auf der Akropolis! Wir haben es wirklich weit gebracht! Und wenn man so Kleines mit Größerem vergleichen darf, hat nicht der erste Napoleon während der Kaiserkrönung in Notre-Dame sich zu einem seiner Brüder gewendet –; es wird wohl der älteste, Josef, gewesen sein –; und bemerkt: »Was würde </w:t>
      </w:r>
      <w:r w:rsidRPr="008725BE">
        <w:rPr>
          <w:rFonts w:ascii="Garamond" w:hAnsi="Garamond"/>
          <w:i/>
          <w:iCs/>
          <w:color w:val="000000"/>
          <w:lang w:val="en-GB"/>
        </w:rPr>
        <w:t>Monsieur notre Père</w:t>
      </w:r>
      <w:r w:rsidRPr="008725BE">
        <w:rPr>
          <w:rFonts w:ascii="Garamond" w:hAnsi="Garamond"/>
          <w:color w:val="000000"/>
          <w:lang w:val="en-GB"/>
        </w:rPr>
        <w:t xml:space="preserve"> dazu sagen, wenn er jetzt dabei sein könnte?«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Hier stoßen wir aber auf die Lösung des kleinen Problems, warum wir uns schon in Triest das Vergnügen an der Reise nach Athen verstört hatten. Es muß so sein, daß sich an die Befriedigung, es so weit gebracht zu haben, ein Schuldgefühl knüpft; es ist etwas dabei, was unrecht, was von alters her verboten ist. Das hat mit der kindlichen Kritik am Vater zu tun, mit der Geringschätzung, welche die frühkindliche Überschätzung seiner Person abgelöst hatte. Es sieht aus, als wäre es das Wesentliche am Erfolg, es weiter zu bringen als der Vater, und als wäre es noch immer unerlaubt, den Vater übertreffen zu wollen.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Zu dieser allgemein giltigen Motivierung kommt noch für unseren Fall das besondere Moment hinzu, daß in dem Thema Athen und Akropolis an und für sich ein Hinweis auf die Überlegenheit der Söhne enthalten ist. Unser Vater war Kaufmann gewesen, er besaß keine Gymnasialbildung, Athen konnte ihm nicht viel bedeuten. Was uns im Genuß der Reise nach Athen störte, war also eine Regung der </w:t>
      </w:r>
      <w:r w:rsidRPr="008725BE">
        <w:rPr>
          <w:rFonts w:ascii="Garamond" w:hAnsi="Garamond"/>
          <w:i/>
          <w:iCs/>
          <w:color w:val="000000"/>
          <w:lang w:val="en-GB"/>
        </w:rPr>
        <w:t>Pietät</w:t>
      </w:r>
      <w:r w:rsidRPr="008725BE">
        <w:rPr>
          <w:rFonts w:ascii="Garamond" w:hAnsi="Garamond"/>
          <w:color w:val="000000"/>
          <w:lang w:val="en-GB"/>
        </w:rPr>
        <w:t>. Und jetzt werden Sie sich nicht mehr verwundern, daß mich die Erinnerung an das Erlebnis auf der Akropolis so oft heimsucht, seitdem ich selbst alt, der Nachsicht bedürftig geworden bin und nicht mehr reisen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grüße Sie herzlich, Ihr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Sigm. Freud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Jänner 1936.</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Ch</w:t>
        </w:r>
        <w:bookmarkStart w:id="140" w:name="KS5"/>
        <w:bookmarkEnd w:id="140"/>
        <w:r w:rsidRPr="008725BE">
          <w:rPr>
            <w:rStyle w:val="Lienhypertexte"/>
            <w:rFonts w:ascii="Garamond" w:hAnsi="Garamond" w:cs="Arial"/>
            <w:b/>
            <w:bCs/>
            <w:lang w:val="en-GB"/>
          </w:rPr>
          <w:t>arakter und Analerotik</w:t>
        </w:r>
      </w:hyperlink>
      <w:r w:rsidRPr="008725BE">
        <w:rPr>
          <w:rFonts w:ascii="Garamond" w:hAnsi="Garamond"/>
          <w:color w:val="000000"/>
          <w:lang w:val="en-GB"/>
        </w:rPr>
        <w:t xml:space="preserve">  </w:t>
      </w:r>
      <w:r w:rsidRPr="008725BE">
        <w:rPr>
          <w:rFonts w:ascii="Garamond" w:hAnsi="Garamond"/>
          <w:caps/>
          <w:color w:val="000000"/>
          <w:lang w:val="en-GB"/>
        </w:rPr>
        <w:t>(1908)</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Unter den Personen, denen man durch psychoanalytische Bemühung Hilfe zu leisten sucht, begegnet man eigentlich recht häufig einem Typus, der durch das Zusammentreffen bestimmter Charaktereigenschaften ausgezeichnet ist, während das Verhalten einer gewissen Körperfunktion und der an ihr beteiligten Organe in der Kindheit dieser Personen die Aufmerksamkeit auf sich zieht. Ich weiß heute nicht mehr anzugeben, aus welchen einzelnen Veranlassungen mir der Eindruck erwuchs, daß zwischen jenem Charakter und diesem Organverhalten ein organischer Zusammenhang bestehe, aber ich kann versichern, daß theoretische Erwartung keinen Anteil an diesem Eindrucke hatte.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Infolge gehäufter Erfahrung hat sich der Glaube an solchen Zusammenhang bei mir so sehr verstärkt, daß ich von ihm Mitteilung zu machen wage.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Personen, die ich beschreiben will, fallen dadurch auf, daß sie in regelmäßiger Vereinigung die nachstehenden drei Eigenschaften zeigen: sie sind besonders </w:t>
      </w:r>
      <w:r w:rsidRPr="008725BE">
        <w:rPr>
          <w:rFonts w:ascii="Garamond" w:hAnsi="Garamond"/>
          <w:i/>
          <w:iCs/>
          <w:color w:val="000000"/>
          <w:lang w:val="en-GB"/>
        </w:rPr>
        <w:t>ordentlich, sparsam</w:t>
      </w:r>
      <w:r w:rsidRPr="008725BE">
        <w:rPr>
          <w:rFonts w:ascii="Garamond" w:hAnsi="Garamond"/>
          <w:color w:val="000000"/>
          <w:lang w:val="en-GB"/>
        </w:rPr>
        <w:t xml:space="preserve"> und </w:t>
      </w:r>
      <w:r w:rsidRPr="008725BE">
        <w:rPr>
          <w:rFonts w:ascii="Garamond" w:hAnsi="Garamond"/>
          <w:i/>
          <w:iCs/>
          <w:color w:val="000000"/>
          <w:lang w:val="en-GB"/>
        </w:rPr>
        <w:t>eigensinnig</w:t>
      </w:r>
      <w:r w:rsidRPr="008725BE">
        <w:rPr>
          <w:rFonts w:ascii="Garamond" w:hAnsi="Garamond"/>
          <w:color w:val="000000"/>
          <w:lang w:val="en-GB"/>
        </w:rPr>
        <w:t>. Jedes dieser Worte deckt eigentlich eine kleine Gruppe oder Reihe von miteinander verwandten Charakterzügen. »Ordentlich« begreift sowohl die körperliche Sauberkeit als auch Gewissenhaftigkeit in kleinen Pflichterfüllungen und Verläßlichkeit; das Gegenteil davon wäre: unordentlich, nachlässig. Die Sparsamkeit kann bis zum Geize gesteigert erscheinen; der Eigensinn geht in Trotz über, an den sich leicht Neigung zur Wut und Rachsucht knüpfen. Die beiden letzteren Eigenschaften –; Sparsamkeit und Eigensinn –; hängen fester miteinander als mit dem ersten, dem »ordentlich«, zusammen; sie sind auch das konstantere Stück des ganzen Komplexes, doch erscheint es mir unabweisbar, daß irgendwie alle drei zusammengehören.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Aus der Kleinkindergeschichte dieser Personen erfährt man leicht, daß sie verhältnismäßig lange dazu gebraucht haben, bis sie der infantilen </w:t>
      </w:r>
      <w:r w:rsidRPr="008725BE">
        <w:rPr>
          <w:rFonts w:ascii="Garamond" w:hAnsi="Garamond"/>
          <w:i/>
          <w:iCs/>
          <w:color w:val="000000"/>
          <w:lang w:val="en-GB"/>
        </w:rPr>
        <w:t>incontinentia alvi</w:t>
      </w:r>
      <w:r w:rsidRPr="008725BE">
        <w:rPr>
          <w:rFonts w:ascii="Garamond" w:hAnsi="Garamond"/>
          <w:color w:val="000000"/>
          <w:lang w:val="en-GB"/>
        </w:rPr>
        <w:t xml:space="preserve"> Herr geworden sind, und daß sie vereinzeltes Mißglücken dieser Funktion noch in späteren Kinderjahren zu beklagen hatten. Sie scheinen zu jenen Säuglingen gehört zu haben, die sich weigern, den Darm zu entleeren, wenn sie auf den Topf gesetzt werden, weil sie aus der Defäkation einen Lustnebengewinn beziehen </w:t>
      </w:r>
      <w:hyperlink r:id="rId69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Drei Abhandlungen zur Sexualtheorie</w:t>
        </w:r>
        <w:r w:rsidRPr="008725BE">
          <w:rPr>
            <w:rStyle w:val="innerfusslink3"/>
            <w:rFonts w:ascii="Garamond" w:hAnsi="Garamond" w:cs="Arial"/>
            <w:b/>
            <w:bCs/>
            <w:lang w:val="en-GB"/>
          </w:rPr>
          <w:t xml:space="preserve">, II (1905  </w:t>
        </w:r>
        <w:r w:rsidRPr="008725BE">
          <w:rPr>
            <w:rStyle w:val="innerfusslink3"/>
            <w:rFonts w:ascii="Garamond" w:hAnsi="Garamond" w:cs="Arial"/>
            <w:b/>
            <w:bCs/>
            <w:i/>
            <w:iCs/>
            <w:lang w:val="en-GB"/>
          </w:rPr>
          <w:t>d</w:t>
        </w:r>
        <w:r w:rsidRPr="008725BE">
          <w:rPr>
            <w:rStyle w:val="innerfusslink3"/>
            <w:rFonts w:ascii="Garamond" w:hAnsi="Garamond" w:cs="Arial"/>
            <w:b/>
            <w:bCs/>
            <w:lang w:val="en-GB"/>
          </w:rPr>
          <w:t xml:space="preserve">), </w:t>
        </w:r>
        <w:r w:rsidRPr="008725BE">
          <w:rPr>
            <w:rStyle w:val="innerfusslink3"/>
            <w:rFonts w:ascii="Garamond" w:hAnsi="Garamond" w:cs="Arial"/>
            <w:b/>
            <w:bCs/>
            <w:i/>
            <w:iCs/>
            <w:lang w:val="en-GB"/>
          </w:rPr>
          <w:t>Studienausgabe</w:t>
        </w:r>
        <w:r w:rsidRPr="008725BE">
          <w:rPr>
            <w:rStyle w:val="innerfusslink3"/>
            <w:rFonts w:ascii="Garamond" w:hAnsi="Garamond" w:cs="Arial"/>
            <w:b/>
            <w:bCs/>
            <w:lang w:val="en-GB"/>
          </w:rPr>
          <w:t>, Bd. 5, S. 92 f.</w:t>
        </w:r>
      </w:hyperlink>
      <w:r w:rsidRPr="008725BE">
        <w:rPr>
          <w:rFonts w:ascii="Garamond" w:hAnsi="Garamond"/>
          <w:color w:val="000000"/>
          <w:lang w:val="en-GB"/>
        </w:rPr>
        <w:t>; denn sie geben an, daß es ihnen noch in etwas späteren Jahren Vergnügen bereitet hat, den Stuhl zurückzuhalten, und erinnern, wenngleich eher und leichter von ihren Geschwistern als von der eigenen Person, allerlei unziemliche Beschäftigungen mit dem zutage geförderten Kote. Wir schließen aus diesen Anzeichen auf eine überdeutliche erogene Betonung der Afterzone in der von ihnen mitgebrachten Sexualkonstitution; da sich aber nach abgelaufener Kindheit bei diesen Personen nichts mehr von diesen Schwächen und Eigenheiten auffinden läßt, müssen wir annehmen, daß die Analzone ihre erogene Bedeutung im Laufe der Entwicklung eingebüßt hat, und vermuten dann, daß die Konstanz jener Trias von Eigenschaften in ihrem Charakter mit der Aufzehrung der Analerotik in Verbindung gebracht werden darf.</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Ich weiß, daß man sich nicht getraut, an einen Sachverhalt zu glauben, solange er unbegreiflich erscheint, der Erklärung nicht irgendeine Anknüpfung bietet. Wenigstens das Grundlegende desselben können wir nun unserem Verständnisse mit Hilfe der Voraussetzungen näherbringen, die in den </w:t>
      </w:r>
      <w:r w:rsidRPr="008725BE">
        <w:rPr>
          <w:rFonts w:ascii="Garamond" w:hAnsi="Garamond"/>
          <w:i/>
          <w:iCs/>
          <w:color w:val="000000"/>
          <w:lang w:val="en-GB"/>
        </w:rPr>
        <w:t>Drei Abhandlungen zur Sexualtheorie</w:t>
      </w:r>
      <w:r w:rsidRPr="008725BE">
        <w:rPr>
          <w:rFonts w:ascii="Garamond" w:hAnsi="Garamond"/>
          <w:color w:val="000000"/>
          <w:lang w:val="en-GB"/>
        </w:rPr>
        <w:t xml:space="preserve"> (1905  </w:t>
      </w:r>
      <w:r w:rsidRPr="008725BE">
        <w:rPr>
          <w:rFonts w:ascii="Garamond" w:hAnsi="Garamond"/>
          <w:i/>
          <w:iCs/>
          <w:color w:val="000000"/>
          <w:lang w:val="en-GB"/>
        </w:rPr>
        <w:t>d</w:t>
      </w:r>
      <w:r w:rsidRPr="008725BE">
        <w:rPr>
          <w:rFonts w:ascii="Garamond" w:hAnsi="Garamond"/>
          <w:color w:val="000000"/>
          <w:lang w:val="en-GB"/>
        </w:rPr>
        <w:t xml:space="preserve">) dargelegt sind. Ich suche dort zu zeigen, daß der Sexualtrieb des Menschen hoch zusammengesetzt ist, aus Beiträgen zahlreicher Komponenten und Partialtriebe entsteht. Wesentliche Beiträge zur »Sexualerregung« leisten die peripherischen Erregungen gewisser ausgezeichneter Körperstellen (Genitalien, Mund, After, Blasenausgang), welche den Namen »erogene Zonen« verdienen. Die von diesen Stellen her eintreffenden Erregungsgrößen erfahren aber nicht alle und nicht zu jeder Lebenszeit das gleiche Schicksal. Allgemein gesprochen, kommt nur ein Teil von ihnen dem Sexualleben zugute; ein anderer Teil wird von den sexuellen Zielen abgelenkt und auf andere Ziele gewendet, ein Prozeß, der den Namen »Sublimierung« verdient. Um die Lebenszeit, welche als »sexuelle Latenzperiode« bezeichnet werden darf, vom vollendeten fünften Jahre bis zu den ersten Äußerungen der Pubertät (ums elfte Jahr), werden sogar auf Kosten dieser von erogenen Zonen gelieferten Erregungen im Seelenleben Reaktionsbildungen, Gegenmächte, geschaffen wie Scham, Ekel und Moral, die sich gleichwie Dämme der späteren Betätigung der Sexualtriebe entgegensetzen. Da nun die Analerotik zu jenen Komponenten des Triebes gehört, die im Laufe der Entwicklung und im Sinne unserer heutigen Kulturerziehung für sexuelle Zwecke unverwendbar werden, läge es nahe, in den bei ehemaligen Analerotikern so häufig hervortretenden Charaktereigenschaften –; Ordentlichkeit, Sparsamkeit und Eigensinn –; die nächsten und konstantesten Ergebnisse der Sublimierung der Analerotik zu erkennen </w:t>
      </w:r>
      <w:hyperlink r:id="rId69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Da gerade die Bemerkungen über die Analerotik des Säuglings in den </w:t>
        </w:r>
        <w:r w:rsidRPr="008725BE">
          <w:rPr>
            <w:rStyle w:val="innerfusslink3"/>
            <w:rFonts w:ascii="Garamond" w:hAnsi="Garamond" w:cs="Arial"/>
            <w:b/>
            <w:bCs/>
            <w:i/>
            <w:iCs/>
            <w:lang w:val="en-GB"/>
          </w:rPr>
          <w:t>Drei Abhandlungen zur Sexualtheorie</w:t>
        </w:r>
        <w:r w:rsidRPr="008725BE">
          <w:rPr>
            <w:rStyle w:val="innerfusslink3"/>
            <w:rFonts w:ascii="Garamond" w:hAnsi="Garamond" w:cs="Arial"/>
            <w:b/>
            <w:bCs/>
            <w:lang w:val="en-GB"/>
          </w:rPr>
          <w:t xml:space="preserve"> bei unverständigen Lesern besonderen Anstoß erregt haben, gestatte ich mir an dieser Stelle die </w:t>
        </w:r>
        <w:r w:rsidRPr="008725BE">
          <w:rPr>
            <w:rStyle w:val="innerfusslink3"/>
            <w:rFonts w:ascii="Garamond" w:hAnsi="Garamond" w:cs="Arial"/>
            <w:b/>
            <w:bCs/>
            <w:lang w:val="en-GB"/>
          </w:rPr>
          <w:lastRenderedPageBreak/>
          <w:t xml:space="preserve">Einschaltung einer Beobachtung, die ich einem sehr intelligenten Patienten verdanke: »Ein Bekannter, der die Abhandlung über ›Sexualtheorie‹ gelesen hat, spricht über das Buch, erkennt es vollkommen an, nur </w:t>
        </w:r>
        <w:r w:rsidRPr="008725BE">
          <w:rPr>
            <w:rStyle w:val="innerfusslink3"/>
            <w:rFonts w:ascii="Garamond" w:hAnsi="Garamond" w:cs="Arial"/>
            <w:b/>
            <w:bCs/>
            <w:i/>
            <w:iCs/>
            <w:lang w:val="en-GB"/>
          </w:rPr>
          <w:t>eine</w:t>
        </w:r>
        <w:r w:rsidRPr="008725BE">
          <w:rPr>
            <w:rStyle w:val="innerfusslink3"/>
            <w:rFonts w:ascii="Garamond" w:hAnsi="Garamond" w:cs="Arial"/>
            <w:b/>
            <w:bCs/>
            <w:lang w:val="en-GB"/>
          </w:rPr>
          <w:t xml:space="preserve"> Stelle darin sei ihm –; obwohl er auch diese inhaltlich natürlich billige und begreife –; so grotesk und komisch vorgekommen, daß er sich hingesetzt und eine Viertelstunde darüber gelacht habe. Diese Stelle lautet: ›Es ist eines der besten Vorzeichen späterer Absonderlichkeit oder Nervosität, wenn ein Säugling sich hartnäckig weigert, den Darm zu entleeren, wenn er auf den Topf gesetzt wird, also wenn es dem Pfleger beliebt, sondern diese Funktion seinem eigenen Belieben vorbehält. Es kommt ihm natürlich nicht darauf an, sein Lager schmutzig zu machen; er sorgt nur, daß ihm der Lustnebengewinn bei der Defäkation nicht entgehe.‹ Die Vorstellung dieses auf dem Topfe sitzenden Säuglings, der überlege, ob er sich eine derartige Einschränkung seiner persönlichen Willensfreiheit gefallen lassen solle, und der außerdem sorge, daß ihm der Lustgewinn bei der Defäkation nicht entgehe, habe seine ausgiebige Heiterkeit erregt. –; Etwa zwanzig Minuten später, bei der Jause, beginnt mein Bekannter plötzlich gänzlich unvermittelt: ›Du, mir fällt da gerade, weil ich den Kakao vor mir sehe, eine Idee ein, die ich als Kind immer gehabt habe. Da habe ich mir immer vorgestellt, ich bin der Kakaofabrikant Van Houten‹ (er sprach ›Van Hauten‹ aus), ›und ich habe ein großartiges Geheimnis zur Bereitung dieses Kakaos, und nun bemühen sich alle Leute, mir dieses weltbeglückende Geheimnis zu entreißen, das ich sorgsam hüte. Warum ich gerade auf Van Houten verfallen bin, weiß ich nicht. Wahrscheinlich hat mir seine Reklame am meisten imponiert.‹ Lachend, und ohne noch eigentlich so recht eine tiefere Absicht damit zu verbinden, meinte ich: › </w:t>
        </w:r>
        <w:r w:rsidRPr="008725BE">
          <w:rPr>
            <w:rStyle w:val="innerfusslink3"/>
            <w:rFonts w:ascii="Garamond" w:hAnsi="Garamond" w:cs="Arial"/>
            <w:b/>
            <w:bCs/>
            <w:i/>
            <w:iCs/>
            <w:lang w:val="en-GB"/>
          </w:rPr>
          <w:t>Wann haut'n</w:t>
        </w:r>
        <w:r w:rsidRPr="008725BE">
          <w:rPr>
            <w:rStyle w:val="innerfusslink3"/>
            <w:rFonts w:ascii="Garamond" w:hAnsi="Garamond" w:cs="Arial"/>
            <w:b/>
            <w:bCs/>
            <w:lang w:val="en-GB"/>
          </w:rPr>
          <w:t xml:space="preserve"> die Mutter?!‹ Erst eine Weile später erkannte ich, daß mein Wortwitz tatsächlich den Schlüssel zu dieser ganzen, plötzlich aufgetauchten Kindheitserinnerung enthielt, die ich nun als glänzendes Beispiel einer Deckphantasie begriff, welche unter Beibehaltung des eigentlich Tatsächlichen (Nahrungsprozeß) und auf Grund phonetischer Assoziationen (› </w:t>
        </w:r>
        <w:r w:rsidRPr="008725BE">
          <w:rPr>
            <w:rStyle w:val="innerfusslink3"/>
            <w:rFonts w:ascii="Garamond" w:hAnsi="Garamond" w:cs="Arial"/>
            <w:b/>
            <w:bCs/>
            <w:i/>
            <w:iCs/>
            <w:lang w:val="en-GB"/>
          </w:rPr>
          <w:t>Kakao</w:t>
        </w:r>
        <w:r w:rsidRPr="008725BE">
          <w:rPr>
            <w:rStyle w:val="innerfusslink3"/>
            <w:rFonts w:ascii="Garamond" w:hAnsi="Garamond" w:cs="Arial"/>
            <w:b/>
            <w:bCs/>
            <w:lang w:val="en-GB"/>
          </w:rPr>
          <w:t xml:space="preserve">‹, › </w:t>
        </w:r>
        <w:r w:rsidRPr="008725BE">
          <w:rPr>
            <w:rStyle w:val="innerfusslink3"/>
            <w:rFonts w:ascii="Garamond" w:hAnsi="Garamond" w:cs="Arial"/>
            <w:b/>
            <w:bCs/>
            <w:i/>
            <w:iCs/>
            <w:lang w:val="en-GB"/>
          </w:rPr>
          <w:t>Wann haut'n</w:t>
        </w:r>
        <w:r w:rsidRPr="008725BE">
          <w:rPr>
            <w:rStyle w:val="innerfusslink3"/>
            <w:rFonts w:ascii="Garamond" w:hAnsi="Garamond" w:cs="Arial"/>
            <w:b/>
            <w:bCs/>
            <w:lang w:val="en-GB"/>
          </w:rPr>
          <w:t xml:space="preserve"> –;‹) das Schuldbewußtsein durch eine </w:t>
        </w:r>
        <w:r w:rsidRPr="008725BE">
          <w:rPr>
            <w:rStyle w:val="innerfusslink3"/>
            <w:rFonts w:ascii="Garamond" w:hAnsi="Garamond" w:cs="Arial"/>
            <w:b/>
            <w:bCs/>
            <w:i/>
            <w:iCs/>
            <w:lang w:val="en-GB"/>
          </w:rPr>
          <w:t>komplette Umwertung</w:t>
        </w:r>
        <w:r w:rsidRPr="008725BE">
          <w:rPr>
            <w:rStyle w:val="innerfusslink3"/>
            <w:rFonts w:ascii="Garamond" w:hAnsi="Garamond" w:cs="Arial"/>
            <w:b/>
            <w:bCs/>
            <w:lang w:val="en-GB"/>
          </w:rPr>
          <w:t xml:space="preserve"> des Erinnerungsinhaltes beruhigt. (Verlegung von rückwärts nach vorne, Nahrungsabgabe wird zur Nahrungsaufnahme, der beschämende und zu verdeckende Inhalt zum weltbeglückenden Geheimnisse.) Interessant war mir, wie hier auf eine Abwehr hin, die freilich die mildere Form formaler Beanstandung annahm, dem Betreffenden ohne seinen Willen eine Viertelstunde später der schlagendste Beweis aus dem eigenen Unbewußten heraufgereicht wurde.«</w:t>
        </w:r>
      </w:hyperlink>
      <w:r w:rsidRPr="008725BE">
        <w:rPr>
          <w:rFonts w:ascii="Garamond" w:hAnsi="Garamond"/>
          <w:color w:val="000000"/>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Die innere Notwendigkeit dieses Zusammenhanges ist mir natürlich selbst nicht durchsichtig, doch kann ich einiges anführen, was als Hilfe für ein Verständnis desselben verwertet werden kann. </w:t>
      </w:r>
      <w:r w:rsidRPr="008725BE">
        <w:rPr>
          <w:rFonts w:ascii="Garamond" w:hAnsi="Garamond"/>
          <w:color w:val="000000"/>
          <w:lang w:val="en-GB"/>
        </w:rPr>
        <w:t xml:space="preserve">Die Sauberkeit, Ordentlichkeit, Verläßlichkeit macht ganz den Eindruck einer Reaktionsbildung gegen das Interesse am Unsauberen, Störenden, nicht zum Körper Gehörigen (» </w:t>
      </w:r>
      <w:r w:rsidRPr="008725BE">
        <w:rPr>
          <w:rFonts w:ascii="Garamond" w:hAnsi="Garamond"/>
          <w:i/>
          <w:iCs/>
          <w:color w:val="000000"/>
          <w:lang w:val="en-GB"/>
        </w:rPr>
        <w:t>Dirt is matter in the wrong place</w:t>
      </w:r>
      <w:r w:rsidRPr="008725BE">
        <w:rPr>
          <w:rFonts w:ascii="Garamond" w:hAnsi="Garamond"/>
          <w:color w:val="000000"/>
          <w:lang w:val="en-GB"/>
        </w:rPr>
        <w:t xml:space="preserve">«). Den Eigensinn mit dem Defäkationsinteresse in Beziehung zu bringen, scheint keine leichte Aufgabe, doch mag man sich daran erinnern, daß schon der Säugling sich beim Absetzen des Stuhles eigenwillig benehmen kann (s. oben) und daß schmerzhafte Reize auf die mit der erogenen Afterzone verknüpfte Gesäßhaut allgemein der Erziehung dazu dienen, den Eigensinn des Kindes zu brechen, es gefügig zu machen. Zum Ausdrucke des Trotzes und der trotzenden Verhöhnung wird bei uns immer noch wie in alter Zeit eine Aufforderung verwendet, die die Liebkosung der Afterzone zum Inhalte hat, also eigentlich eine von der Verdrängung betroffene Zärtlichkeit bezeichnet. Die Entblößung des Hintern stellt die Abschwächung dieser Rede zur Geste dar; in Goethes </w:t>
      </w:r>
      <w:r w:rsidRPr="008725BE">
        <w:rPr>
          <w:rFonts w:ascii="Garamond" w:hAnsi="Garamond"/>
          <w:i/>
          <w:iCs/>
          <w:color w:val="000000"/>
          <w:lang w:val="en-GB"/>
        </w:rPr>
        <w:t>Götz von Berlichingen</w:t>
      </w:r>
      <w:r w:rsidRPr="008725BE">
        <w:rPr>
          <w:rFonts w:ascii="Garamond" w:hAnsi="Garamond"/>
          <w:color w:val="000000"/>
          <w:lang w:val="en-GB"/>
        </w:rPr>
        <w:t xml:space="preserve"> finden sich beide, Rede wie Geste, an passendster Stelle als Ausdruck des Trotzes angebracht.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Am ausgiebigsten erscheinen die Beziehungen, welche sich zwischen den anscheinend so disparaten Komplexen des Geldinteresses und der Defäkation ergeben. Jedem Arzte, der die Psychoanalyse geübt hat, ist es wohl bekannt geworden, daß sich auf diesem Wege die hartnäckigsten und langdauerndsten sogenannten habituellen Stuhlverstopfungen Nervöser beseitigen lassen. Das Erstaunen hierüber wird durch die Erinnerung gemäßigt, daß diese Funktion sich ähnlich gefügig auch gegen die hypnotische Suggestion erwiesen hat. In der Psychoanalyse erzielt man diese Wirkung aber nur dann, wenn man den Geldkomplex der Betreffenden berührt und sie veranlaßt, denselben mit all seinen Beziehungen zum Bewußtsein zu bringen. Man könnte meinen, daß die Neurose hierbei nur einem Winke des Sprachgebrauchs folgt, der eine Person, die das Geld allzu ängstlich zurückhält, » </w:t>
      </w:r>
      <w:r w:rsidRPr="008725BE">
        <w:rPr>
          <w:rFonts w:ascii="Garamond" w:hAnsi="Garamond"/>
          <w:i/>
          <w:iCs/>
          <w:color w:val="000000"/>
          <w:lang w:val="en-GB"/>
        </w:rPr>
        <w:t>schmutzig</w:t>
      </w:r>
      <w:r w:rsidRPr="008725BE">
        <w:rPr>
          <w:rFonts w:ascii="Garamond" w:hAnsi="Garamond"/>
          <w:color w:val="000000"/>
          <w:lang w:val="en-GB"/>
        </w:rPr>
        <w:t xml:space="preserve">« oder » </w:t>
      </w:r>
      <w:r w:rsidRPr="008725BE">
        <w:rPr>
          <w:rFonts w:ascii="Garamond" w:hAnsi="Garamond"/>
          <w:i/>
          <w:iCs/>
          <w:color w:val="000000"/>
          <w:lang w:val="en-GB"/>
        </w:rPr>
        <w:t>filzig</w:t>
      </w:r>
      <w:r w:rsidRPr="008725BE">
        <w:rPr>
          <w:rFonts w:ascii="Garamond" w:hAnsi="Garamond"/>
          <w:color w:val="000000"/>
          <w:lang w:val="en-GB"/>
        </w:rPr>
        <w:t xml:space="preserve">« (englisch: </w:t>
      </w:r>
      <w:r w:rsidRPr="008725BE">
        <w:rPr>
          <w:rFonts w:ascii="Garamond" w:hAnsi="Garamond"/>
          <w:i/>
          <w:iCs/>
          <w:color w:val="000000"/>
          <w:lang w:val="en-GB"/>
        </w:rPr>
        <w:t>filthy</w:t>
      </w:r>
      <w:r w:rsidRPr="008725BE">
        <w:rPr>
          <w:rFonts w:ascii="Garamond" w:hAnsi="Garamond"/>
          <w:color w:val="000000"/>
          <w:lang w:val="en-GB"/>
        </w:rPr>
        <w:t xml:space="preserve"> = schmutzig) nennt. Allein dieses wäre eine allzu oberflächliche Würdigung. In Wahrheit ist überall, wo die archaische Denkweise herrschend war oder geblieben ist, in den alten Kulturen, im Mythus, Märchen, Aberglauben, im unbewußten Denken, im Traume und in der Neurose das Geld in innigste Beziehungen zum Drecke gebracht. Es ist bekannt, daß das Gold, welches der Teufel seinen </w:t>
      </w:r>
      <w:r w:rsidRPr="008725BE">
        <w:rPr>
          <w:rFonts w:ascii="Garamond" w:hAnsi="Garamond"/>
          <w:color w:val="000000"/>
          <w:lang w:val="en-GB"/>
        </w:rPr>
        <w:lastRenderedPageBreak/>
        <w:t xml:space="preserve">Buhlen schenkt, sich nach seinem Weggehen in Dreck verwandelt, und der Teufel ist doch gewiß nichts anderes als die Personifikation des verdrängten unbewußten Trieblebens </w:t>
      </w:r>
      <w:hyperlink r:id="rId69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die hysterische Besessenheit und die dämonischen Epidemien.</w:t>
        </w:r>
      </w:hyperlink>
      <w:r w:rsidRPr="008725BE">
        <w:rPr>
          <w:rFonts w:ascii="Garamond" w:hAnsi="Garamond"/>
          <w:color w:val="000000"/>
          <w:lang w:val="en-GB"/>
        </w:rPr>
        <w:t xml:space="preserve">. Bekannt ist ferner der Aberglaube, der die Auffindung von Schätzen mit der Defäkation zusammenbringt, und jedermann vertraut ist die Figur des »Dukatenscheißers«. Ja, schon in der altbabylonischen Lehre ist Gold der Kot der Hölle, </w:t>
      </w:r>
      <w:r w:rsidRPr="008725BE">
        <w:rPr>
          <w:rFonts w:ascii="Garamond" w:hAnsi="Garamond"/>
          <w:i/>
          <w:iCs/>
          <w:color w:val="000000"/>
          <w:lang w:val="en-GB"/>
        </w:rPr>
        <w:t>Mammon = ilu manman</w:t>
      </w:r>
      <w:hyperlink r:id="rId70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Jeremias, </w:t>
        </w:r>
        <w:r w:rsidRPr="008725BE">
          <w:rPr>
            <w:rStyle w:val="innerfusslink3"/>
            <w:rFonts w:ascii="Garamond" w:hAnsi="Garamond" w:cs="Arial"/>
            <w:b/>
            <w:bCs/>
            <w:i/>
            <w:iCs/>
            <w:lang w:val="en-GB"/>
          </w:rPr>
          <w:t>Das Alte Testament im Lichte des alten Orients</w:t>
        </w:r>
        <w:r w:rsidRPr="008725BE">
          <w:rPr>
            <w:rStyle w:val="innerfusslink3"/>
            <w:rFonts w:ascii="Garamond" w:hAnsi="Garamond" w:cs="Arial"/>
            <w:b/>
            <w:bCs/>
            <w:lang w:val="en-GB"/>
          </w:rPr>
          <w:t xml:space="preserve">, 2. Aufl., 1906, S. 216, und </w:t>
        </w:r>
        <w:r w:rsidRPr="008725BE">
          <w:rPr>
            <w:rStyle w:val="innerfusslink3"/>
            <w:rFonts w:ascii="Garamond" w:hAnsi="Garamond" w:cs="Arial"/>
            <w:b/>
            <w:bCs/>
            <w:i/>
            <w:iCs/>
            <w:lang w:val="en-GB"/>
          </w:rPr>
          <w:t>Babylonisches im Neuen Testament</w:t>
        </w:r>
        <w:r w:rsidRPr="008725BE">
          <w:rPr>
            <w:rStyle w:val="innerfusslink3"/>
            <w:rFonts w:ascii="Garamond" w:hAnsi="Garamond" w:cs="Arial"/>
            <w:b/>
            <w:bCs/>
            <w:lang w:val="en-GB"/>
          </w:rPr>
          <w:t xml:space="preserve">, 1905, S. 96, » </w:t>
        </w:r>
        <w:r w:rsidRPr="008725BE">
          <w:rPr>
            <w:rStyle w:val="innerfusslink3"/>
            <w:rFonts w:ascii="Garamond" w:hAnsi="Garamond" w:cs="Arial"/>
            <w:b/>
            <w:bCs/>
            <w:i/>
            <w:iCs/>
            <w:lang w:val="en-GB"/>
          </w:rPr>
          <w:t>Mamon</w:t>
        </w:r>
        <w:r w:rsidRPr="008725BE">
          <w:rPr>
            <w:rStyle w:val="innerfusslink3"/>
            <w:rFonts w:ascii="Garamond" w:hAnsi="Garamond" w:cs="Arial"/>
            <w:b/>
            <w:bCs/>
            <w:lang w:val="en-GB"/>
          </w:rPr>
          <w:t xml:space="preserve"> ( </w:t>
        </w:r>
        <w:r w:rsidRPr="008725BE">
          <w:rPr>
            <w:rStyle w:val="innerfusslink3"/>
            <w:rFonts w:ascii="Garamond" w:hAnsi="Garamond" w:cs="Arial"/>
            <w:b/>
            <w:bCs/>
            <w:i/>
            <w:iCs/>
            <w:lang w:val="en-GB"/>
          </w:rPr>
          <w:t>Mammon</w:t>
        </w:r>
        <w:r w:rsidRPr="008725BE">
          <w:rPr>
            <w:rStyle w:val="innerfusslink3"/>
            <w:rFonts w:ascii="Garamond" w:hAnsi="Garamond" w:cs="Arial"/>
            <w:b/>
            <w:bCs/>
            <w:lang w:val="en-GB"/>
          </w:rPr>
          <w:t xml:space="preserve">) ist babylonisch </w:t>
        </w:r>
        <w:r w:rsidRPr="008725BE">
          <w:rPr>
            <w:rStyle w:val="innerfusslink3"/>
            <w:rFonts w:ascii="Garamond" w:hAnsi="Garamond" w:cs="Arial"/>
            <w:b/>
            <w:bCs/>
            <w:i/>
            <w:iCs/>
            <w:lang w:val="en-GB"/>
          </w:rPr>
          <w:t>man-man,</w:t>
        </w:r>
        <w:r w:rsidRPr="008725BE">
          <w:rPr>
            <w:rStyle w:val="innerfusslink3"/>
            <w:rFonts w:ascii="Garamond" w:hAnsi="Garamond" w:cs="Arial"/>
            <w:b/>
            <w:bCs/>
            <w:lang w:val="en-GB"/>
          </w:rPr>
          <w:t xml:space="preserve"> ein Beiname Nergals, des Gottes der Unterwelt. Das Gold ist nach orientalischem Mythus, der in die Sagen und Märchen der Völker übergegangen ist, Dreck der Hölle; siehe </w:t>
        </w:r>
        <w:r w:rsidRPr="008725BE">
          <w:rPr>
            <w:rStyle w:val="innerfusslink3"/>
            <w:rFonts w:ascii="Garamond" w:hAnsi="Garamond" w:cs="Arial"/>
            <w:b/>
            <w:bCs/>
            <w:i/>
            <w:iCs/>
            <w:lang w:val="en-GB"/>
          </w:rPr>
          <w:t>Monotheistische Strömungen innerhalb der babylonischen Religion</w:t>
        </w:r>
        <w:r w:rsidRPr="008725BE">
          <w:rPr>
            <w:rStyle w:val="innerfusslink3"/>
            <w:rFonts w:ascii="Garamond" w:hAnsi="Garamond" w:cs="Arial"/>
            <w:b/>
            <w:bCs/>
            <w:lang w:val="en-GB"/>
          </w:rPr>
          <w:t>, S. 16, Anm. 1.«</w:t>
        </w:r>
      </w:hyperlink>
      <w:r w:rsidRPr="008725BE">
        <w:rPr>
          <w:rFonts w:ascii="Garamond" w:hAnsi="Garamond"/>
          <w:color w:val="000000"/>
          <w:lang w:val="en-GB"/>
        </w:rPr>
        <w:t>. Wenn also die Neurose dem Sprachgebrauche folgt, so nimmt sie hier wie anderwärts die Worte in ihrem ursprünglichen, bedeutungsvollen Sinne, und wo sie ein Wort bildlich darzustellen scheint, stellt sie in der Regel nur die alte Bedeutung des Wortes wieder her.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ist möglich, daß der Gegensatz zwischen dem Wertvollsten, das der Mensch kennengelernt hat, und dem Wertlosesten, das er als Abfall (» </w:t>
      </w:r>
      <w:r w:rsidRPr="008725BE">
        <w:rPr>
          <w:rFonts w:ascii="Garamond" w:hAnsi="Garamond"/>
          <w:i/>
          <w:iCs/>
          <w:color w:val="000000"/>
          <w:lang w:val="en-GB"/>
        </w:rPr>
        <w:t>refuse</w:t>
      </w:r>
      <w:r w:rsidRPr="008725BE">
        <w:rPr>
          <w:rFonts w:ascii="Garamond" w:hAnsi="Garamond"/>
          <w:color w:val="000000"/>
          <w:lang w:val="en-GB"/>
        </w:rPr>
        <w:t>«) von sich wirft, zu dieser bedingten Identifizierung von Gold und Kot geführt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Im Denken der Neurose kommt dieser Gleichstellung wohl noch ein anderer Umstand zu Hilfe. Das ursprünglich erotische Interesse an der Defäkation ist, wie wir ja wissen, zum Erlöschen in reiferen Jahren bestimmt; in diesen Jahren tritt das Interesse am Gelde als ein neues auf, welches der Kindheit noch gefehlt hat; dadurch wird es erleichtert, daß die frühere Strebung, die ihr Ziel zu verlieren im Begriffe ist, auf das neu auftauchende Ziel übergeleitet werde.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den hier behaupteten Beziehungen zwischen der Analerotik und jener Trias von Charaktereigenschaften etwas Tatsächliches zugrunde liegt, so wird man keine besondere Ausprägung des »Analcharakters« bei Personen erwarten dürfen, die sich die erogene Eignung der Analzone für das reife Leben bewahrt haben, wie z. B. gewisse Homosexuelle. Wenn ich nicht sehr irre, befindet sich die Erfahrung zumeist in guter Übereinstimmung mit diesem Schlusse.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müßte überhaupt in Erwägung ziehen, ob nicht auch andere Charakterkomplexe ihre Zugehörigkeit zu den Erregungen von bestimmten erogenen Zonen erkennen lassen. Ich kenne bis jetzt nur noch den unmäßigen »brennenden« Ehrgeiz der einstigen Enuretiker. Für die Bildung des endgültigen Charakters aus den konstitutiven Trieben läßt sich allerdings eine Formel angeben: Die bleibenden Charakterzüge sind entweder unveränderte Fortsetzungen der ursprünglichen Triebe, Sublimierungen derselben oder Reaktionsbildungen gegen dieselben.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Da</w:t>
        </w:r>
        <w:bookmarkStart w:id="141" w:name="KS6"/>
        <w:bookmarkEnd w:id="141"/>
        <w:r w:rsidRPr="008725BE">
          <w:rPr>
            <w:rStyle w:val="Lienhypertexte"/>
            <w:rFonts w:ascii="Garamond" w:hAnsi="Garamond" w:cs="Arial"/>
            <w:b/>
            <w:bCs/>
            <w:lang w:val="en-GB"/>
          </w:rPr>
          <w:t>s Motiv der Kästchenwahl</w:t>
        </w:r>
      </w:hyperlink>
      <w:r w:rsidRPr="008725BE">
        <w:rPr>
          <w:rFonts w:ascii="Garamond" w:hAnsi="Garamond"/>
          <w:color w:val="000000"/>
          <w:lang w:val="en-GB"/>
        </w:rPr>
        <w:t xml:space="preserve">  </w:t>
      </w:r>
      <w:r w:rsidRPr="008725BE">
        <w:rPr>
          <w:rFonts w:ascii="Garamond" w:hAnsi="Garamond"/>
          <w:caps/>
          <w:color w:val="000000"/>
          <w:lang w:val="en-GB"/>
        </w:rPr>
        <w:t>(1913)</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Zwei Szenen aus Shakespeare, eine heitere und eine tragische, haben mir kürzlich den Anlaß zu einer kleinen Problemstellung und Lösung gegeben.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heitere ist die Wahl des Freiers zwischen drei Kästchen im </w:t>
      </w:r>
      <w:r w:rsidRPr="008725BE">
        <w:rPr>
          <w:rFonts w:ascii="Garamond" w:hAnsi="Garamond"/>
          <w:i/>
          <w:iCs/>
          <w:color w:val="000000"/>
          <w:lang w:val="en-GB"/>
        </w:rPr>
        <w:t>Kaufmann von Venedig</w:t>
      </w:r>
      <w:r w:rsidRPr="008725BE">
        <w:rPr>
          <w:rFonts w:ascii="Garamond" w:hAnsi="Garamond"/>
          <w:color w:val="000000"/>
          <w:lang w:val="en-GB"/>
        </w:rPr>
        <w:t>. Die schöne und kluge Porzia ist durch den Willen ihres Vaters gebunden, nur den von ihren Bewerbern zum Manne zu nehmen, der von drei ihm vorgelegten Kästchen das richtige wählt. Die drei Kästchen sind von Gold, von Silber und von Blei; das richtige ist jenes, welches ihr Bildnis einschließt. Zwei Bewerber sind bereits erfolglos abgezogen, sie hatten Gold und Silber gewählt. Bassanio, der dritte, entscheidet sich für das Blei; er gewinnt damit die Braut, deren Neigung ihm bereits vor der Schicksalsprobe gehört hat. Jeder der Freier hatte seine Entscheidung durch eine Rede motiviert, in welcher er das von ihm bevorzugte Metall anpries, während er die beiden anderen herabsetzte. Die schwerste Aufgabe war dabei dem glücklichen dritten Freier zugefallen; was er zur Verherrlichung des Bleis gegen Gold und Silber sagen kann, ist wenig und klingt gezwungen. Stünden wir in der psychoanalytischen Praxis vor solcher Rede, so würden wir hinter der unbefriedigenden Begründung geheimgehaltene Motive wittern.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Shakespeare hat das Orakel der Kästchenwahl nicht selbst erfunden, er nahm es aus einer Erzählung der </w:t>
      </w:r>
      <w:r w:rsidRPr="008725BE">
        <w:rPr>
          <w:rFonts w:ascii="Garamond" w:hAnsi="Garamond"/>
          <w:i/>
          <w:iCs/>
          <w:color w:val="000000"/>
          <w:lang w:val="en-GB"/>
        </w:rPr>
        <w:t>Gesta Romanorum</w:t>
      </w:r>
      <w:r w:rsidRPr="008725BE">
        <w:rPr>
          <w:rFonts w:ascii="Garamond" w:hAnsi="Garamond"/>
          <w:color w:val="000000"/>
          <w:lang w:val="en-GB"/>
        </w:rPr>
        <w:t xml:space="preserve">, in welcher ein Mädchen dieselbe Wahl vornimmt, um den Sohn des Kaisers zu gewinnen </w:t>
      </w:r>
      <w:hyperlink r:id="rId70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Brandes (1896).</w:t>
        </w:r>
      </w:hyperlink>
      <w:r w:rsidRPr="008725BE">
        <w:rPr>
          <w:rFonts w:ascii="Garamond" w:hAnsi="Garamond"/>
          <w:color w:val="000000"/>
          <w:lang w:val="en-GB"/>
        </w:rPr>
        <w:t xml:space="preserve">. Auch hier ist das dritte Metall, das Blei, das Glückbringende. Es ist nicht schwer zu erraten, daß hier ein altes Motiv vorliegt, welches nach Deutung, Ableitung und Zurückführung verlangt. Eine erste Vermutung, was wohl die Wahl zwischen Gold, Silber und Blei bedeuten möge, findet bald Bestätigung durch eine Äußerung von Ed. Stucken </w:t>
      </w:r>
      <w:hyperlink r:id="rId70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Stucken (1907, 655).</w:t>
        </w:r>
      </w:hyperlink>
      <w:r w:rsidRPr="008725BE">
        <w:rPr>
          <w:rFonts w:ascii="Garamond" w:hAnsi="Garamond"/>
          <w:color w:val="000000"/>
          <w:lang w:val="en-GB"/>
        </w:rPr>
        <w:t>, der sich in weitausgreifendem Zusammenhang mit dem nämlichen Stoff beschäftigt. Er sagt: »Wer die drei Freier Porzias sind, erhellt aus dem, was sie wählen: Der Prinz von Marokko wählt den goldenen Kasten: er ist die Sonne; der Prinz von Arragon wählt den silbernen Kasten: er ist der Mond; Bassanio wählt den bleiernen Kasten: er ist der Sternenknabe.« Zur Unterstützung dieser Deutung zitiert er eine Episode aus dem estnischen Volksepos Kalewipoeg, in welcher die drei Freier unverkleidet als Sonnen-, Mond- und Sternenjüngling (»des Polarsterns ältestes Söhnchen«) auftreten und die Braut wiederum dem Dritten zufällt.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So führte also unser kleines Problem auf einen Astralmythus! Nur schade, daß wir mit dieser Aufklärung nicht zu Ende gekommen sind. Das Fragen setzt sich weiter fort, denn wir glauben nicht mit manchen Mythenforschern, daß die Mythen vom Himmel herabgelesen worden sind, vielmehr urteilen wir mit O. Rank </w:t>
      </w:r>
      <w:hyperlink r:id="rId70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Rank (1909, 8 ff.).</w:t>
        </w:r>
      </w:hyperlink>
      <w:r w:rsidRPr="008725BE">
        <w:rPr>
          <w:rFonts w:ascii="Garamond" w:hAnsi="Garamond"/>
          <w:color w:val="000000"/>
          <w:lang w:val="en-GB"/>
        </w:rPr>
        <w:t>, daß sie auf den Himmel projiziert wurden, nachdem sie anderswo unter rein menschlichen Bedingungen entstanden waren. Diesem menschlichen Inhalt gilt aber unser Interesse.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Fassen wir unseren Stoff nochmals ins Auge. Im estnischen Epos wie in der Erzählung der </w:t>
      </w:r>
      <w:r w:rsidRPr="008725BE">
        <w:rPr>
          <w:rFonts w:ascii="Garamond" w:hAnsi="Garamond"/>
          <w:i/>
          <w:iCs/>
          <w:color w:val="000000"/>
          <w:lang w:val="en-GB"/>
        </w:rPr>
        <w:t>Gesta Romanorum</w:t>
      </w:r>
      <w:r w:rsidRPr="008725BE">
        <w:rPr>
          <w:rFonts w:ascii="Garamond" w:hAnsi="Garamond"/>
          <w:color w:val="000000"/>
          <w:lang w:val="en-GB"/>
        </w:rPr>
        <w:t xml:space="preserve"> handelt es sich um die Wahl eines Mädchens zwischen drei Freiern, in der Szene des </w:t>
      </w:r>
      <w:r w:rsidRPr="008725BE">
        <w:rPr>
          <w:rFonts w:ascii="Garamond" w:hAnsi="Garamond"/>
          <w:i/>
          <w:iCs/>
          <w:color w:val="000000"/>
          <w:lang w:val="en-GB"/>
        </w:rPr>
        <w:t>Kaufmann von Venedig</w:t>
      </w:r>
      <w:r w:rsidRPr="008725BE">
        <w:rPr>
          <w:rFonts w:ascii="Garamond" w:hAnsi="Garamond"/>
          <w:color w:val="000000"/>
          <w:lang w:val="en-GB"/>
        </w:rPr>
        <w:t xml:space="preserve"> anscheinend um das nämliche, aber gleichzeitig tritt an dieser letzten Stelle etwas wie eine Umkehrung des Motivs auf: Ein Mann wählt zwischen drei –; Kästchen. Wenn wir es mit einem Traum zu tun hätten, würden wir sofort daran denken, daß die Kästchen auch Frauen sind, Symbole des Wesentlichen an der Frau und darum der Frau selbst, wie Büchsen, Dosen, Schachteln, Körbe usw. Gestatten wir uns, eine solche symbolische Ersetzung auch beim Mythus anzunehmen, so wird die Kästchenszene im </w:t>
      </w:r>
      <w:r w:rsidRPr="008725BE">
        <w:rPr>
          <w:rFonts w:ascii="Garamond" w:hAnsi="Garamond"/>
          <w:i/>
          <w:iCs/>
          <w:color w:val="000000"/>
          <w:lang w:val="en-GB"/>
        </w:rPr>
        <w:t>Kaufmann von Venedig</w:t>
      </w:r>
      <w:r w:rsidRPr="008725BE">
        <w:rPr>
          <w:rFonts w:ascii="Garamond" w:hAnsi="Garamond"/>
          <w:color w:val="000000"/>
          <w:lang w:val="en-GB"/>
        </w:rPr>
        <w:t xml:space="preserve"> wirklich zur Umkehrung, die wir vermutet haben. Mit einem Ruck, wie er sonst nur im Märchen beschrieben wird, haben wir unserem Thema das astrale Gewand abgestreift und sehen nun, es behandelt ein menschliches Motiv, die </w:t>
      </w:r>
      <w:r w:rsidRPr="008725BE">
        <w:rPr>
          <w:rFonts w:ascii="Garamond" w:hAnsi="Garamond"/>
          <w:i/>
          <w:iCs/>
          <w:color w:val="000000"/>
          <w:lang w:val="en-GB"/>
        </w:rPr>
        <w:t>Wahl eines Mannes zwischen drei Frauen</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Dasselbe ist aber der Inhalt einer anderen Szene Shakespeares in einem der erschütterndsten seiner Dramen, keine Brautwahl diesmal, aber doch durch so viel geheime Ähnlichkeiten mit der Kästchenwahl im </w:t>
      </w:r>
      <w:r w:rsidRPr="008725BE">
        <w:rPr>
          <w:rFonts w:ascii="Garamond" w:hAnsi="Garamond"/>
          <w:i/>
          <w:iCs/>
          <w:color w:val="000000"/>
          <w:lang w:val="en-GB"/>
        </w:rPr>
        <w:t>Kaufmann</w:t>
      </w:r>
      <w:r w:rsidRPr="008725BE">
        <w:rPr>
          <w:rFonts w:ascii="Garamond" w:hAnsi="Garamond"/>
          <w:color w:val="000000"/>
          <w:lang w:val="en-GB"/>
        </w:rPr>
        <w:t xml:space="preserve"> verknüpft. Der alte König Lear beschließt, noch bei Lebzeiten sein Reich unter seine drei Töchter zu verteilen, je nach Maßgabe der Liebe, die sie für ihn äußern. Die beiden älteren, Goneril und Regan, erschöpfen sich in Beteuerungen und Anpreisungen ihrer Liebe, die dritte, Cordelia, weigert sich dessen. Er hätte diese unscheinbare, wortlose Liebe der Dritten erkennen und belohnen sollen, aber er verkennt sie, verstößt Cordelia und teilt das Reich unter die beiden anderen, zu seinem und zu aller Unheil. Ist das nicht wieder eine Szene der Wahl zwischen drei Frauen, von denen die jüngste die beste, die vorzüglichste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Sofort fallen uns nun aus Mythus, Märchen und Dichtung andere Szenen ein, welche die nämliche Situation zum Inhalt haben: Der Hirte Paris hat die Wahl zwischen drei Göttinnen, von denen er die dritte zur Schönsten erklärt. Aschenputtel ist eine ebensolche Jüngste, die der Königssohn den beiden Älteren vorzieht, Psyche im Märchen des Apulejus ist die jüngste und schönste von drei Schwestern, Psyche, die einerseits als menschlich gewordene Aphrodite verehrt wird, anderseits von dieser Göttin behandelt wird wie Aschenputtel von ihrer Stiefmutter, einen vermischten Haufen von Samenkörnern schlichten soll und es mit Hilfe von kleinen Tieren (Tauben bei Aschenputtel, Ameisen bei Psyche) zustande bringt </w:t>
      </w:r>
      <w:hyperlink r:id="rId70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Den Hinweis auf diese Übereinstimmungen verdanke ich Dr. O. Rank.</w:t>
        </w:r>
      </w:hyperlink>
      <w:r w:rsidRPr="008725BE">
        <w:rPr>
          <w:rFonts w:ascii="Garamond" w:hAnsi="Garamond"/>
          <w:color w:val="000000"/>
          <w:lang w:val="en-GB"/>
        </w:rPr>
        <w:t>. Wer sich weiter im Material umsehen wollte, würde gewiß noch andere Gestaltungen desselben Motivs mit Erhaltung derselben wesentlichen Züge auffinden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Begnügen wir uns mit Cordelia, Aphrodite, Aschenputtel und Psyche! Die drei Frauen, von denen die dritte die vorzüglichste ist, sind wohl als irgendwie gleichartig aufzufassen, wenn sie als Schwestern vorgeführt werden. Es soll uns nicht irremachen, wenn es bei Lear die drei Töchter des Wählenden sind, das bedeutet vielleicht nichts anderes, als daß Lear als alter Mann dargestellt werden soll. Den alten Mann kann man nicht leicht anders zwischen drei Frauen wählen lassen; darum werden diese zu seinen Töchtern.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Wer sind aber diese drei Schwestern und warum muß die Wahl auf die dritte fallen? Wenn wir diese Frage beantworten könnten, wären wir im Besitz der gesuchten Deutung. Nun haben wir uns bereits einmal der Anwendung psychoanalytischer Techniken bedient, als wir uns die drei Kästchen symbolisch als drei Frauen aufklärten. Haben wir den Mut, ein solches Verfahren fortzusetzen, so betreten wir einen Weg, der zunächst ins Unvorhergesehene, Unbegreifliche, auf Umwegen vielleicht zu einem Ziele führt.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darf uns auffallen, daß jene vorzügliche Dritte in mehreren Fällen außer ihrer Schönheit noch gewisse Besonderheiten hat. Es sind Eigenschaften, die nach irgendeiner Einheit zu streben scheinen; wir dürfen gewiß nicht erwarten, sie in allen Beispielen gleich gut ausgeprägt zu finden. Cordelia macht sich unkenntlich, unscheinbar wie das Blei, sie bleibt stumm, sie »liebt und schweigt«. Aschenputtel verbirgt sich, so daß sie nicht aufzufinden ist. Wir dürfen vielleicht das Sichverbergen dem Verstummen gleichsetzen. Dies wären allerdings nur zwei Fälle von den fünf, die wir herausgesucht haben. Aber eine Andeutung davon findet sich merkwürdigerweise auch noch bei zwei anderen. Wir haben uns ja entschlossen, die widerspenstig ablehnende Cordelia dem Blei zu vergleichen. Von diesem heißt es in der kurzen Rede des Bassanio während der Kästchenwahl, eigentlich so ganz unvermittelt:</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Thy paleness moves me more than eloquence</w:t>
      </w:r>
      <w:r w:rsidRPr="008725BE">
        <w:rPr>
          <w:rFonts w:ascii="Garamond" w:hAnsi="Garamond"/>
          <w:color w:val="000000"/>
          <w:lang w:val="en-GB"/>
        </w:rPr>
        <w:br/>
        <w:t xml:space="preserve">    ( </w:t>
      </w:r>
      <w:r w:rsidRPr="008725BE">
        <w:rPr>
          <w:rFonts w:ascii="Garamond" w:hAnsi="Garamond"/>
          <w:i/>
          <w:iCs/>
          <w:color w:val="000000"/>
          <w:lang w:val="en-GB"/>
        </w:rPr>
        <w:t>plainness</w:t>
      </w:r>
      <w:r w:rsidRPr="008725BE">
        <w:rPr>
          <w:rFonts w:ascii="Garamond" w:hAnsi="Garamond"/>
          <w:color w:val="000000"/>
          <w:lang w:val="en-GB"/>
        </w:rPr>
        <w:t xml:space="preserve"> nach anderer Leseart).</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Also: Deine Schlichtheit geht mir näher als der beiden anderen schreiendes Wesen. Gold und Silber sind »laut«, das Blei ist stumm, wirklich wie Cordelia, die »liebt und schweigt« </w:t>
      </w:r>
      <w:hyperlink r:id="rId70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In der Schlegelschen Übersetzung gebt diese Anspielung ganz verloren, ja sie wird zur Gegenseite gewendet: »Dein schlichtes Wesen spricht beredt mich an.«</w:t>
        </w:r>
      </w:hyperlink>
      <w:r w:rsidRPr="008725BE">
        <w:rPr>
          <w:rFonts w:ascii="Garamond" w:hAnsi="Garamond"/>
          <w:color w:val="000000"/>
        </w:rPr>
        <w:t>.</w:t>
      </w:r>
    </w:p>
    <w:p w:rsidR="008725BE" w:rsidRPr="008725BE" w:rsidRDefault="008725BE" w:rsidP="008725BE">
      <w:pPr>
        <w:pStyle w:val="Sansinterligne"/>
        <w:rPr>
          <w:rFonts w:ascii="Garamond" w:hAnsi="Garamond"/>
          <w:color w:val="000000"/>
        </w:rPr>
      </w:pPr>
      <w:r w:rsidRPr="008725BE">
        <w:rPr>
          <w:rFonts w:ascii="Garamond" w:hAnsi="Garamond"/>
          <w:color w:val="000000"/>
        </w:rPr>
        <w:t xml:space="preserve">In den altgriechischen Erzählungen des Parisurteils ist von einer solchen Zurückhaltung der Aphrodite nichts enthalten. Jede der drei Göttinnen spricht zu dem Jüngling und sucht ihn durch Verheißungen zu gewinnen. Aber in einer ganz modernen Bearbeitung derselben Szene kommt der uns auffällig gewordene Zug der Dritten sonderbarerweise wieder zum Vorschein. Im Libretto der </w:t>
      </w:r>
      <w:r w:rsidRPr="008725BE">
        <w:rPr>
          <w:rFonts w:ascii="Garamond" w:hAnsi="Garamond"/>
          <w:i/>
          <w:iCs/>
          <w:color w:val="000000"/>
        </w:rPr>
        <w:t>Schönen Helena</w:t>
      </w:r>
      <w:r w:rsidRPr="008725BE">
        <w:rPr>
          <w:rFonts w:ascii="Garamond" w:hAnsi="Garamond"/>
          <w:color w:val="000000"/>
        </w:rPr>
        <w:t xml:space="preserve"> erzählt Paris, nachdem er von den Werbungen der beiden anderen Göttinnen berichtet, wie sich Aphrodite in diesem Wettkampf um den Schönheitspreis benommen: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Und die Dritte –; ja die Dritte –; </w:t>
      </w:r>
      <w:r w:rsidRPr="008725BE">
        <w:rPr>
          <w:rFonts w:ascii="Garamond" w:hAnsi="Garamond"/>
          <w:color w:val="000000"/>
          <w:lang w:val="en-GB"/>
        </w:rPr>
        <w:br/>
        <w:t xml:space="preserve">Stand daneben und blieb </w:t>
      </w:r>
      <w:r w:rsidRPr="008725BE">
        <w:rPr>
          <w:rFonts w:ascii="Garamond" w:hAnsi="Garamond"/>
          <w:i/>
          <w:iCs/>
          <w:color w:val="000000"/>
          <w:lang w:val="en-GB"/>
        </w:rPr>
        <w:t>stumm</w:t>
      </w:r>
      <w:r w:rsidRPr="008725BE">
        <w:rPr>
          <w:rFonts w:ascii="Garamond" w:hAnsi="Garamond"/>
          <w:color w:val="000000"/>
          <w:lang w:val="en-GB"/>
        </w:rPr>
        <w:t xml:space="preserve">. </w:t>
      </w:r>
      <w:r w:rsidRPr="008725BE">
        <w:rPr>
          <w:rFonts w:ascii="Garamond" w:hAnsi="Garamond"/>
          <w:color w:val="000000"/>
          <w:lang w:val="en-GB"/>
        </w:rPr>
        <w:br/>
        <w:t>Ihr mußt' ich den Apfel geben usw.</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Entschließen wir uns, die Eigentümlichkeit unserer Dritten in der »Stummheit« konzentriert zu sehen, so sagt uns die Psychoanalyse: Stummheit ist im Traume eine gebräuchliche Darstellung des Todes </w:t>
      </w:r>
      <w:hyperlink r:id="rId70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Auch in Stekels </w:t>
        </w:r>
        <w:r w:rsidRPr="008725BE">
          <w:rPr>
            <w:rStyle w:val="innerfusslink3"/>
            <w:rFonts w:ascii="Garamond" w:hAnsi="Garamond" w:cs="Arial"/>
            <w:b/>
            <w:bCs/>
            <w:i/>
            <w:iCs/>
            <w:lang w:val="en-GB"/>
          </w:rPr>
          <w:t>Sprache des Traumes</w:t>
        </w:r>
        <w:r w:rsidRPr="008725BE">
          <w:rPr>
            <w:rStyle w:val="innerfusslink3"/>
            <w:rFonts w:ascii="Garamond" w:hAnsi="Garamond" w:cs="Arial"/>
            <w:b/>
            <w:bCs/>
            <w:lang w:val="en-GB"/>
          </w:rPr>
          <w:t xml:space="preserve"> unter den Todessymbolen angeführt (1911, 351).</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Vor mehr als zehn Jahren teilte mir ein hochintelligenter Mann einen Traum mit, den er als Beweis für die telepathische Natur der Träume verwerten wollte. Er sah einen abwesenden Freund, von dem er überlange keine Nachricht erhalten hatte, und machte ihm eindringliche Vorwürfe über sein Stillschweigen. Der Freund gab keine Antwort. Es stellte sich dann heraus, daß er ungefähr um die Zeit des Traumes durch Selbstmord geendet hatte. Lassen wir das Problem der Telepathie beiseite; daß die Stummheit im Traume zur Darstellung des Todes wird, scheint hier nicht zweifelhaft. Auch das Sichverbergen, Unauffindbarsein, wie es der Märchenprinz dreimal beim Aschenputtel erlebt, ist im Traume ein unverkennbares Todessymbol; nicht minder die auffällige Blässe, an welche die </w:t>
      </w:r>
      <w:r w:rsidRPr="008725BE">
        <w:rPr>
          <w:rFonts w:ascii="Garamond" w:hAnsi="Garamond"/>
          <w:i/>
          <w:iCs/>
          <w:color w:val="000000"/>
          <w:lang w:val="en-GB"/>
        </w:rPr>
        <w:t>paleness</w:t>
      </w:r>
      <w:r w:rsidRPr="008725BE">
        <w:rPr>
          <w:rFonts w:ascii="Garamond" w:hAnsi="Garamond"/>
          <w:color w:val="000000"/>
          <w:lang w:val="en-GB"/>
        </w:rPr>
        <w:t xml:space="preserve"> des </w:t>
      </w:r>
      <w:r w:rsidRPr="008725BE">
        <w:rPr>
          <w:rFonts w:ascii="Garamond" w:hAnsi="Garamond"/>
          <w:color w:val="000000"/>
          <w:lang w:val="en-GB"/>
        </w:rPr>
        <w:lastRenderedPageBreak/>
        <w:t xml:space="preserve">Bleis in der einen Leseart des Shakespeareschen Textes erinnert </w:t>
      </w:r>
      <w:hyperlink r:id="rId70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Stekel, l. c.</w:t>
        </w:r>
      </w:hyperlink>
      <w:r w:rsidRPr="008725BE">
        <w:rPr>
          <w:rFonts w:ascii="Garamond" w:hAnsi="Garamond"/>
          <w:color w:val="000000"/>
          <w:lang w:val="en-GB"/>
        </w:rPr>
        <w:t>. Die Übertragung dieser Deutungen aus der Sprache des Traumes auf die Ausdrucksweise des uns beschäftigenden Mythus wird uns aber wesentlich erleichtert, wenn wir wahrscheinlich machen können, daß die Stummheit auch in anderen Produktionen, die nicht Träume sind, als Zeichen des Totseins gedeutet werden muß.</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greife hier das neunte der Grimmschen Volksmärchen heraus, welches die Überschrift hat: ›Die zwölf Brüder‹ </w:t>
      </w:r>
      <w:hyperlink r:id="rId70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 50 der Reclamausgabe, Bd. 1.</w:t>
        </w:r>
      </w:hyperlink>
      <w:r w:rsidRPr="008725BE">
        <w:rPr>
          <w:rFonts w:ascii="Garamond" w:hAnsi="Garamond"/>
          <w:color w:val="000000"/>
          <w:lang w:val="en-GB"/>
        </w:rPr>
        <w:t>. Ein König und eine Königin hatten zwölf Kinder, lauter Buben. Da sagte der König, wenn das dreizehnte Kind ein Mädchen ist, müssen die Buben sterben. In Erwartung dieser Geburt läßt er zwölf Särge machen. Die zwölf Söhne flüchten mit Hilfe der Mutter in einen versteckten Wald und schwören jedem Mädchen den Tod, das sie begegnen sollten.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 Mädchen wird geboren, wächst heran und erfährt einmal von der Mutter, daß es zwölf Brüder gehabt hat. Es beschließt sie aufzusuchen und findet im Walde den Jüngsten, der sie erkennt, aber verbergen möchte wegen des Eides der Brüder. Die Schwester sagt: Ich will gerne sterben, wenn ich damit meine zwölf Brüder erlösen kann. Die Brüder nehmen sie aber herzlich auf, sie bleibt bei ihnen und besorgt ihnen das Haus.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einem kleinen Garten bei dem Haus wachsen zwölf Lilienblumen; die bricht das Mädchen ab, um jedem Bruder eine zu schenken. In diesem Augenblicke werden die Brüder in Raben verwandelt und verschwinden mit Haus und Garten. –; Die Raben sind Seelenvögel, die Tötung der zwölf Brüder durch ihre Schwester wird durch das Abpflücken der Blumen von neuem dargestellt wie zu Eingang durch die Särge und das Verschwinden der Brüder. Das Mädchen, das wiederum bereit ist, seine Brüder vom Tod zu erlösen, erfährt nun als Bedingung, daß sie sieben Jahre stumm sein muß, kein einziges Wort sprechen darf. Sie unterzieht sich dieser Probe, durch die sie selbst in Lebensgefahr gerät, d. h. sie stirbt selbst für die Brüder, wie sie es vor dem Zusammentreffen mit den Brüdern gelobt hat. Durch die Einhaltung der Stummheit gelingt ihr endlich die Erlösung der Raben.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Ganz ähnlich werden im Märchen von den ›sechs Schwänen‹ die in Vögel verwandelten Brüder durch die Stummheit der Schwester erlöst, d. h. wiederbelebt. Das Mädchen hat den festen Entschluß gefaßt, seine Brüder zu erlösen, und »wenn es auch sein Leben kostete«, und bringt als Gemahlin des Königs wiederum ihr eigenes Leben in Gefahr, weil sie gegen böse Anklagen ihre Stummheit nicht aufgeben will.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würden sicherlich aus den Märchen noch andere Beweise erbringen können, daß die Stummheit als Darstellung des Todes verstanden werden muß. Wenn wir diesem Anzeichen folgen dürfen, so wäre die dritte unserer Schwestern, zwischen denen die Wahl stattfindet, eine Tote. Sie kann aber auch etwas anderes sein, nämlich der Tod selbst, die Todesgöttin. Vermöge einer gar nicht seltenen Verschiebung werden die Eigenschaften, die eine Gottheit den Menschen zuteilt, ihr selbst zugeschrieben. Am wenigsten wird uns solche Verschiebung bei der Todesgöttin befremden, denn in der modernen Auffassung und Darstellung, die hier vorweggenommen würde, ist der Tod selbst nur ein Toter.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aber die dritte der Schwestern die Todesgöttin ist, so kennen wir die Schwestern. Es sind die Schicksalsschwestern, die Moiren oder Parzen oder Nornen, deren dritte Atropos heißt: die Unerbittliche.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Stellen wir die Sorge, wie die gefundene Deutung in unseren Mythus einzufügen ist, einstweilen beiseite, und holen wir uns bei den Mythologen Belehrung über Rolle und Herkunft der Schicksalsgöttinnen </w:t>
      </w:r>
      <w:hyperlink r:id="rId70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Das folgende nach Roschers Lexikon der griechischen und römischen Mythologie unter den entsprechenden Titeln.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älteste griechische Mythologie kennt nur eine </w:t>
      </w:r>
      <w:r w:rsidRPr="008725BE">
        <w:rPr>
          <w:rFonts w:ascii="Garamond" w:hAnsi="Garamond"/>
          <w:color w:val="000000"/>
        </w:rPr>
        <w:t>Μοίρα</w:t>
      </w:r>
      <w:r w:rsidRPr="008725BE">
        <w:rPr>
          <w:rFonts w:ascii="Garamond" w:hAnsi="Garamond"/>
          <w:color w:val="000000"/>
          <w:lang w:val="en-GB"/>
        </w:rPr>
        <w:t xml:space="preserve"> als Personifikation des unentrinnbaren Schicksals (bei Homer). Die Fortentwicklung dieser einen Moira zu einem Schwesterverein von drei (seltener zwei) Gottheiten erfolgte wahrscheinlich in Anlehnung an andere Göttergestalten, denen die Moiren nahestehen, die Chariten und die Horen.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Horen sind ursprünglich Gottheiten der himmlischen Gewässer, die Regen und Tau spenden, der Wolken, aus denen der Regen niederfällt, und da diese Wolken als Gespinst erfaßt werden, ergibt sich für diese Göttinnen der Charakter der Spinnerinnen, der dann an den Moiren fixiert wird. In den von der Sonne verwöhnten Mittelmeerländern ist es der Regen, von dem die Fruchtbarkeit des Bodens abhängig wird, und darum wandeln sich die Horen zu Vegetationsgottheiten. Man dankt ihnen die Schönheit der Blumen und den Reichtum der Früchte, stattet sie mit einer Fülle von liebenswürdigen und anmutigen Zügen aus. Sie werden zu den göttlichen Vertreterinnen der Jahreszeiten und erwerben vielleicht durch diese Beziehung ihre Dreizahl, wenn die heilige Natur der Drei zu deren Aufklärung nicht genügen sollte. Denn diese alten Völker unterschieden zuerst nur drei Jahreszeiten: Winter, Frühling und Sommer. Der Herbst kam erst in späten griechisch-römischen Zeiten hinzu; dann bildete die Kunst häufig vier Horen ab.</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lastRenderedPageBreak/>
        <w:t xml:space="preserve">Die Beziehung zur Zeit blieb den Horen erhalten; sie wachten später über die Tageszeiten wie zuerst über die Zeiten des Jahres; endlich sank ihr Name zur Bezeichnung der Stunde ( </w:t>
      </w:r>
      <w:r w:rsidRPr="008725BE">
        <w:rPr>
          <w:rFonts w:ascii="Garamond" w:hAnsi="Garamond"/>
          <w:i/>
          <w:iCs/>
          <w:color w:val="000000"/>
          <w:lang w:val="en-GB"/>
        </w:rPr>
        <w:t>heure, ora</w:t>
      </w:r>
      <w:r w:rsidRPr="008725BE">
        <w:rPr>
          <w:rFonts w:ascii="Garamond" w:hAnsi="Garamond"/>
          <w:color w:val="000000"/>
          <w:lang w:val="en-GB"/>
        </w:rPr>
        <w:t xml:space="preserve">) herab. Die den Horen und Moiren wesensverwandten Nornen der deutschen Mythologie tragen diese Zeitbedeutung in ihren Namen zur Schau </w:t>
      </w:r>
      <w:hyperlink r:id="rId71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[Sie heißen Urd (das Gewordene), Skuld (das Werdensollende) und Verdandi (das Werdende), d. h. Vergangenheit, Gegenwart und Zukunft.]</w:t>
        </w:r>
      </w:hyperlink>
      <w:r w:rsidRPr="008725BE">
        <w:rPr>
          <w:rFonts w:ascii="Garamond" w:hAnsi="Garamond"/>
          <w:color w:val="000000"/>
        </w:rPr>
        <w:t>. Es konnte aber nicht ausbleiben, daß das Wesen dieser Gottheiten tiefer erfaßt und in das Gesetzmäßige im Wandel der Zeiten verlegt wurde; die Horen wurden so zu Hüterinnen des Naturgesetzes und der heiligen Ordnung, welche mit unabänderlicher Reihenfolge in der Natur das gleiche wiederkehren läßt.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Diese Erkenntnis der Natur wirkte zurück auf die Auffassung des menschlichen Lebens. Der Naturmythus wandelte sich zum Menschenmythus; aus den Wettergöttinnen wurden Schicksalsgottheiten. </w:t>
      </w:r>
      <w:r w:rsidRPr="008725BE">
        <w:rPr>
          <w:rFonts w:ascii="Garamond" w:hAnsi="Garamond"/>
          <w:color w:val="000000"/>
          <w:lang w:val="en-GB"/>
        </w:rPr>
        <w:t>Aber diese Seite der Horen kam erst in den Moiren zum Ausdruck, die über die notwendige Ordnung im Menschenleben so unerbittlich wachen wie die Horen über die Gesetzmäßigkeit der Natur. Das unabwendbar Strenge des Gesetzes, die Beziehung zu Tod und Untergang, die an den lieblichen Gestalten der Horen vermieden worden waren, sie prägten sich nun an den Moiren aus, als ob der Mensch den ganzen Ernst des Naturgesetzes erst dann empfände, wenn er die eigene Person ihm unterordnen soll.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Namen der drei Spinnerinnen haben auch bei den Mythologen bedeutsames Verständnis gefunden. Die zweite, Lachesis, scheint das »innerhalb der Gesetzmäßigkeit des Schicksals Zufällige« zu bezeichnen </w:t>
      </w:r>
      <w:hyperlink r:id="rId71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J. Roscher nach Preller-Robert.</w:t>
        </w:r>
      </w:hyperlink>
      <w:r w:rsidRPr="008725BE">
        <w:rPr>
          <w:rFonts w:ascii="Garamond" w:hAnsi="Garamond"/>
          <w:color w:val="000000"/>
          <w:lang w:val="en-GB"/>
        </w:rPr>
        <w:t xml:space="preserve"> –; wir würden sagen: das Erleben –; wie Atropos das Unabwendbare, den Tod, und dann bliebe für Klotho die Bedeutung der verhängnisvollen, mitgebrachten Anlage.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Und nun ist es Zeit, zu dem der Deutung unterliegenden Motiv der Wahl zwischen drei Schwestern zurückzukehren. Mit tiefem Mißvergnügen werden wir bemerken, wie unverständlich die betrachteten Situationen werden, wenn wir in sie die gefundene Deutung einsetzen, und welche Widersprüche zum scheinbaren Inhalt derselben sich dann ergeben. Die dritte der Schwestern soll die Todesgöttin sein, der Tod selbst, und im Parisurteil ist es die Liebesgöttin, im Märchen des Apulejus eine dieser letzteren vergleichbare Schönheit, im </w:t>
      </w:r>
      <w:r w:rsidRPr="008725BE">
        <w:rPr>
          <w:rFonts w:ascii="Garamond" w:hAnsi="Garamond"/>
          <w:i/>
          <w:iCs/>
          <w:color w:val="000000"/>
          <w:lang w:val="en-GB"/>
        </w:rPr>
        <w:t>Kaufmann</w:t>
      </w:r>
      <w:r w:rsidRPr="008725BE">
        <w:rPr>
          <w:rFonts w:ascii="Garamond" w:hAnsi="Garamond"/>
          <w:color w:val="000000"/>
          <w:lang w:val="en-GB"/>
        </w:rPr>
        <w:t xml:space="preserve"> die schönste und klügste Frau, im </w:t>
      </w:r>
      <w:r w:rsidRPr="008725BE">
        <w:rPr>
          <w:rFonts w:ascii="Garamond" w:hAnsi="Garamond"/>
          <w:i/>
          <w:iCs/>
          <w:color w:val="000000"/>
          <w:lang w:val="en-GB"/>
        </w:rPr>
        <w:t>Lear</w:t>
      </w:r>
      <w:r w:rsidRPr="008725BE">
        <w:rPr>
          <w:rFonts w:ascii="Garamond" w:hAnsi="Garamond"/>
          <w:color w:val="000000"/>
          <w:lang w:val="en-GB"/>
        </w:rPr>
        <w:t xml:space="preserve"> die einzig treue Tochter. Kann ein Widerspruch vollkommener gedacht werden? Doch vielleicht ist diese unwahrscheinliche Steigerung ganz in der Nähe. Sie liegt wirklich vor, wenn in unserem Motiv jedesmal zwischen den Frauen frei gewählt wird und wenn die Wahl dabei auf den Tod fallen soll, den doch niemand wählt, dem man durch ein Verhängnis zum Opfer fällt.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Indes Widersprüche von einer gewissen Art, Ersetzungen durch das volle kontradiktorische Gegenteil bereiten der analytischen Deutungsarbeit keine ernste Schwierigkeit. Wir werden uns hier nicht darauf berufen, daß Gegensätze in den Ausdrucksweisen des Unbewußten wie im Traume so häufig durch eines und das nämliche Element dargestellt werden. Aber wir werden daran denken, daß es Motive im Seelenleben gibt, welche die Ersetzung durch das Gegenteil als sogenannte Reaktionsbildung herbeiführen, und können den Gewinn unserer Arbeit gerade in der Aufdeckung solcher verborgener Motive suchen. Die Schöpfung der Moiren ist der Erfolg einer Einsicht, welche den Menschen mahnt, auch er sei ein Stück der Natur und darum dem unabänderlichen Gesetz des Todes unterworfen. Gegen diese Unterwerfung mußte sich etwas im Menschen sträuben, der nur höchst ungern auf seine Ausnahmsstellung verzichtet. Wir wissen, daß der Mensch seine Phantasietätigkeit zur Befriedigung seiner von der Realität unbefriedigten Wünsche verwendet. So lehnte sich denn seine Phantasie gegen die im Moirenmythus verkörperte Einsicht auf und schuf den davon abgeleiteten Mythus, in dem die Todesgöttin durch die Liebesgöttin und was ihr an menschlichen Gestaltungen gleichkommt, ersetzt ist. Die dritte der Schwestern ist nicht mehr der Tod, sie ist die schönste, beste, begehrenswerteste, liebenswerteste der Frauen. Und diese Ersetzung war technisch keineswegs schwer; sie war durch eine alte Ambivalenz vorbereitet, sie vollzog sich längs eines uralten Zusammenhanges, der noch nicht lange vergessen sein konnte. Die Liebesgöttin selbst, die jetzt an die Stelle der Todesgöttin trat, war einst mit ihr identisch gewesen. Noch die griechische Aphrodite entbehrte nicht völlig der Beziehungen zur Unterwelt, obwohl sie ihre chthonische Rolle längst an andere Göttergestalten, an die Persephone, die dreigestaltige Artemis-Hekate, abgegeben hatte. Die großen Muttergottheiten der orientalischen Völker scheinen aber alle ebensowohl Zeugerinnen wie Vernichterinnen, Göttinnen des Lebens und der Befruchtung wie Todesgöttinnen gewesen zu sein. So greift die Ersetzung durch ein Wunschgegenteil bei unserem Motiv auf eine uralte Identität zurück.</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Dieselbe Erwägung beantwortet uns die Frage, woher der Zug der Wahl in den Mythus von den drei Schwestern geraten ist. Es hat hier wiederum eine Wunschverkehrung stattgefunden. Wahl steht an der Stelle von Notwendigkeit, von Verhängnis. So überwindet der Mensch den Tod, den er in seinem Denken </w:t>
      </w:r>
      <w:r w:rsidRPr="008725BE">
        <w:rPr>
          <w:rFonts w:ascii="Garamond" w:hAnsi="Garamond"/>
          <w:color w:val="000000"/>
          <w:lang w:val="en-GB"/>
        </w:rPr>
        <w:lastRenderedPageBreak/>
        <w:t>anerkannt hat. Es ist kein stärkerer Triumph der Wunscherfüllung denkbar. Man wählt dort, wo man in Wirklichkeit dem Zwange gehorcht, und die man wählt, ist nicht die Schreckliche, sondern die Schönste und Begehrenswerteste.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näherem Zusehen merken wir freilich, daß die Entstellungen des ursprünglichen Mythus nicht gründlich genug sind, um sich nicht durch Resterscheinungen zu verraten. Die freie Wahl zwischen den drei Schwestern ist eigentlich keine freie Wahl, denn sie muß notwendigerweise die dritte treffen, wenn nicht, wie im </w:t>
      </w:r>
      <w:r w:rsidRPr="008725BE">
        <w:rPr>
          <w:rFonts w:ascii="Garamond" w:hAnsi="Garamond"/>
          <w:i/>
          <w:iCs/>
          <w:color w:val="000000"/>
          <w:lang w:val="en-GB"/>
        </w:rPr>
        <w:t>Lear</w:t>
      </w:r>
      <w:r w:rsidRPr="008725BE">
        <w:rPr>
          <w:rFonts w:ascii="Garamond" w:hAnsi="Garamond"/>
          <w:color w:val="000000"/>
          <w:lang w:val="en-GB"/>
        </w:rPr>
        <w:t xml:space="preserve">, alles Unheil aus ihr entstehen soll. Die Schönste und Beste, welche anstelle der Todesgöttin getreten ist, hat Züge behalten, die an das Unheimliche streifen, so daß wir aus ihnen das Verborgene erraten konnten </w:t>
      </w:r>
      <w:hyperlink r:id="rId71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Auch die Psyche des Apulejus hat reichlich Züge bewahrt, welche an ihre Beziehung zum Tode mahnen. Ihre Hochzeit wird gerüstet wie eine Leichenfeier, sie muß in die Unterwelt hinabsteigen und versinkt nachher in einen totenähnlichen Schlaf (O. Rank). Über die Bedeutung der Psyche als Frühlingsgottheit und als »Braut des Todes« siehe Zinzow (1881). </w:t>
        </w:r>
        <w:r w:rsidRPr="008725BE">
          <w:rPr>
            <w:rFonts w:ascii="Garamond" w:hAnsi="Garamond"/>
            <w:color w:val="000000"/>
            <w:lang w:val="en-GB"/>
          </w:rPr>
          <w:br/>
        </w:r>
        <w:r w:rsidRPr="008725BE">
          <w:rPr>
            <w:rFonts w:ascii="Garamond" w:hAnsi="Garamond"/>
            <w:color w:val="000000"/>
            <w:lang w:val="en-GB"/>
          </w:rPr>
          <w:br/>
        </w:r>
        <w:r w:rsidRPr="008725BE">
          <w:rPr>
            <w:rStyle w:val="innerfusslink3"/>
            <w:rFonts w:ascii="Garamond" w:hAnsi="Garamond" w:cs="Arial"/>
            <w:b/>
            <w:bCs/>
            <w:lang w:val="en-GB"/>
          </w:rPr>
          <w:t xml:space="preserve">In einem anderen Grimmschen Märchen (Nr. 179, ›Die Gänsehirtin am Brunnen‹) findet sich wie beim Aschenputtel die Abwechslung von schöner und häßlicher Gestalt der dritten Tochter, in der man wohl eine Andeutung von deren Doppelnatur –; vor und nach der Ersetzung –; erblicken darf. Diese dritte wird von ihrem Vater nach einer Probe verstoßen, welche mit der im </w:t>
        </w:r>
        <w:r w:rsidRPr="008725BE">
          <w:rPr>
            <w:rStyle w:val="innerfusslink3"/>
            <w:rFonts w:ascii="Garamond" w:hAnsi="Garamond" w:cs="Arial"/>
            <w:b/>
            <w:bCs/>
            <w:i/>
            <w:iCs/>
            <w:lang w:val="en-GB"/>
          </w:rPr>
          <w:t>König Lear</w:t>
        </w:r>
        <w:r w:rsidRPr="008725BE">
          <w:rPr>
            <w:rStyle w:val="innerfusslink3"/>
            <w:rFonts w:ascii="Garamond" w:hAnsi="Garamond" w:cs="Arial"/>
            <w:b/>
            <w:bCs/>
            <w:lang w:val="en-GB"/>
          </w:rPr>
          <w:t xml:space="preserve"> fast zusammenfällt. Sie soll wie die anderen Schwestern angeben, wie lieb sie den Vater hat, findet aber keinen anderen Ausdruck ihrer Liebe als den Vergleich mit dem Salze. (Freundliche Mitteilung von Dr. Hanns Sachs.)</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haben bisher den Mythus und seine Wandlung verfolgt und hoffen die geheimen Gründe dieser Wandlung aufgezeigt zu haben. Nun darf uns wohl die Verwendung des Motivs beim Dichter interessieren. Wir bekommen den Eindruck, als ginge beim Dichter eine Reduktion des Motivs auf den ursprünglichen Mythus vor sich, so daß der ergreifende, durch die Entstellung abgeschwächte Sinn des letzteren von uns wieder verspürt wird. Durch diese Reduktion der Entstellung, die teilweise Rückkehr zum Ursprünglichen, erziele der Dichter die tiefere Wirkung, die er bei uns erzeugt.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Um Mißverständnissen vorzubeugen, will ich sagen, ich habe nicht die Absicht zu widersprechen, daß das Drama vom König Lear die beiden weisen Lehren einschärfen wolle, man solle auf sein Gut und seine Rechte nicht zu Lebzeiten verzichten und man müsse sich hüten, Schmeichelei für bare Münze zu nehmen. Diese und ähnliche Mahnungen ergeben sich wirklich aus dem Stück, aber es erscheint mir ganz unmöglich, die ungeheure Wirkung des </w:t>
      </w:r>
      <w:r w:rsidRPr="008725BE">
        <w:rPr>
          <w:rFonts w:ascii="Garamond" w:hAnsi="Garamond"/>
          <w:i/>
          <w:iCs/>
          <w:color w:val="000000"/>
          <w:lang w:val="en-GB"/>
        </w:rPr>
        <w:t>Lear</w:t>
      </w:r>
      <w:r w:rsidRPr="008725BE">
        <w:rPr>
          <w:rFonts w:ascii="Garamond" w:hAnsi="Garamond"/>
          <w:color w:val="000000"/>
          <w:lang w:val="en-GB"/>
        </w:rPr>
        <w:t xml:space="preserve"> aus dem Eindruck dieses Gedankeninhaltes zu erklären oder anzunehmen, daß die persönlichen Motive des Dichters mit der Absicht, diese Lehren vorzutragen, erschöpft seien. Auch die Auskunft, der Dichter habe uns die Tragödie der Undankbarkeit vorspielen wollen, deren Bisse er wohl am eigenen Leibe verspürt, und die Wirkung des Spieles beruhe auf dem rein formalen Moment der künstlerischen Einkleidung, scheint mir das Verständnis nicht zu ersetzen, welches uns durch die Würdigung des Motivs der Wahl zwischen den drei Schwestern eröffnet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Lear ist ein alter Mann. Wir sagten schon, darum erscheinen die drei Schwestern als seine Töchter. Das Vaterverhältnis, aus dem so viel fruchtbare dramatische Antriebe erfließen könnten, wird im Drama weiter nicht verwertet. Lear ist aber nicht nur ein Alter, sondern auch ein Sterbender. Die so absonderliche Voraussetzung der Erbteilung verliert dann alles Befremdende. Dieser dem Tode Verfallene will aber auf die Liebe des Weibes nicht verzichten, er will hören, wie sehr er geliebt wird. Nun denke man an die erschütternde letzte Szene, einen der Höhepunkte der Tragik im modernen Drama: Lear trägt den Leichnam der Cordelia auf die Bühne. Cordelia ist der Tod. Wenn man die Situation umkehrt, wird sie uns verständlich und vertraut. Es ist die Todesgöttin, die den verstorbenen Helden vom Kampfplatze wegträgt, wie die Walküre in der deutschen Mythologie. Ewige Weisheit im Gewand des uralten Mythus rät dem alten Manne, der Liebe zu entsagen, den Tod zu wählen, sich mit der Notwendigkeit des Sterbens zu befreunden.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Dichter bringt uns das alte Motiv näher, indem er die Wahl zwischen den drei Schwestern von einem Gealterten und Sterbenden vollziehen läßt. Die regressive Bearbeitung, die er so mit dem durch Wunschverwandlung entstellten Mythus vorgenommen, läßt dessen alten Sinn so weit durchschimmern, daß uns vielleicht auch eine flächenhafte, allegorische Deutung der drei Frauengestalten des Motivs ermöglicht wird. Man könnte sagen, es seien die drei für den Mann unvermeidlichen Beziehungen zum Weibe, die hier dargestellt sind: Die Gebärerin, die Genossin und die Verderberin. Oder die drei Formen, zu denen sich ihm das Bild der Mutter im Lauf des Lebens wandelt: Die Mutter selbst, die Geliebte, die er nach deren Ebenbild gewählt, und zuletzt die Mutter Erde, die ihn wieder aufnimmt. Der alte Mann aber </w:t>
      </w:r>
      <w:r w:rsidRPr="008725BE">
        <w:rPr>
          <w:rFonts w:ascii="Garamond" w:hAnsi="Garamond"/>
          <w:color w:val="000000"/>
          <w:lang w:val="en-GB"/>
        </w:rPr>
        <w:lastRenderedPageBreak/>
        <w:t>hascht vergebens nach der Liebe des Weibes, wie er sie zuerst von der Mutter empfangen; nur die dritte der Schicksalsfrauen, die schweigsame Todesgöttin, wird ihn in ihre Arme nehmen.</w:t>
      </w:r>
    </w:p>
    <w:p w:rsidR="008725BE" w:rsidRPr="008725BE" w:rsidRDefault="008725BE" w:rsidP="008725BE">
      <w:pPr>
        <w:pStyle w:val="Sansinterligne"/>
        <w:rPr>
          <w:rFonts w:ascii="Garamond" w:hAnsi="Garamond"/>
          <w:caps/>
          <w:color w:val="000000"/>
        </w:rPr>
      </w:pPr>
      <w:r w:rsidRPr="005C1841">
        <w:rPr>
          <w:rFonts w:ascii="Garamond" w:hAnsi="Garamond"/>
          <w:color w:val="000000"/>
        </w:rPr>
        <w:br w:type="page"/>
      </w:r>
      <w:hyperlink w:anchor="KSinhalt" w:history="1">
        <w:r w:rsidRPr="008725BE">
          <w:rPr>
            <w:rStyle w:val="Lienhypertexte"/>
            <w:rFonts w:ascii="Garamond" w:hAnsi="Garamond" w:cs="Arial"/>
            <w:b/>
            <w:bCs/>
          </w:rPr>
          <w:t>Da</w:t>
        </w:r>
        <w:bookmarkStart w:id="142" w:name="KS7"/>
        <w:bookmarkEnd w:id="142"/>
        <w:r w:rsidRPr="008725BE">
          <w:rPr>
            <w:rStyle w:val="Lienhypertexte"/>
            <w:rFonts w:ascii="Garamond" w:hAnsi="Garamond" w:cs="Arial"/>
            <w:b/>
            <w:bCs/>
          </w:rPr>
          <w:t xml:space="preserve">s ökonomische Problem des Masochismus  </w:t>
        </w:r>
        <w:r w:rsidRPr="008725BE">
          <w:rPr>
            <w:rStyle w:val="Lienhypertexte"/>
            <w:rFonts w:ascii="Garamond" w:hAnsi="Garamond" w:cs="Arial"/>
            <w:b/>
            <w:bCs/>
            <w:caps/>
          </w:rPr>
          <w:t>(1924)</w:t>
        </w:r>
      </w:hyperlink>
    </w:p>
    <w:p w:rsidR="008725BE" w:rsidRPr="008725BE" w:rsidRDefault="008725BE" w:rsidP="008725BE">
      <w:pPr>
        <w:pStyle w:val="Sansinterligne"/>
        <w:rPr>
          <w:rFonts w:ascii="Garamond" w:hAnsi="Garamond"/>
          <w:color w:val="000000"/>
        </w:rPr>
      </w:pPr>
      <w:r w:rsidRPr="008725BE">
        <w:rPr>
          <w:rFonts w:ascii="Garamond" w:hAnsi="Garamond"/>
          <w:color w:val="000000"/>
        </w:rPr>
        <w:t> </w:t>
      </w:r>
    </w:p>
    <w:p w:rsidR="008725BE" w:rsidRPr="008725BE" w:rsidRDefault="008725BE" w:rsidP="008725BE">
      <w:pPr>
        <w:pStyle w:val="Sansinterligne"/>
        <w:rPr>
          <w:rFonts w:ascii="Garamond" w:hAnsi="Garamond"/>
          <w:color w:val="000000"/>
        </w:rPr>
      </w:pPr>
      <w:r w:rsidRPr="008725BE">
        <w:rPr>
          <w:rFonts w:ascii="Garamond" w:hAnsi="Garamond"/>
          <w:color w:val="000000"/>
        </w:rPr>
        <w:t>Man hat ein Recht dazu, die Existenz der masochistischen Strebung im menschlichen Triebleben als ökonomisch rätselhaft zu bezeichnen. Denn wenn das Lustprinzip die seelischen Vorgänge in solcher Weise beherrscht, daß Vermeidung von Unlust und Gewinnung von Lust deren nächstes Ziel wird, so ist der Masochismus unverständlich. Wenn Schmerz und Unlust nicht mehr Warnungen, sondern selbst Ziele sein können, ist das Lustprinzip lahmgelegt, der Wächter unseres Seelenlebens gleichsam narkotisiert.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Masochismus erscheint uns so im Lichte einer großen Gefahr, was für seinen Widerpart, den Sadismus, in keiner Weise gilt. Wir fühlen uns versucht, das Lustprinzip den Wächter unseres Lebens anstatt nur unseres Seelenlebens zu heißen. Aber dann stellt sich die Aufgabe her, das Verhältnis des Lustprinzips zu den beiden Triebarten, die wir unterschieden haben, den Todestrieben und den erotischen (libidinösen) Lebenstrieben, zu untersuchen, und wir können in der Würdigung des masochistischen Problems nicht weitergehen, ehe wir nicht diesem Rufe gefolgt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haben, wie erinnerlich </w:t>
      </w:r>
      <w:hyperlink r:id="rId71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Jenseits des Lustprinzips</w:t>
        </w:r>
        <w:r w:rsidRPr="008725BE">
          <w:rPr>
            <w:rStyle w:val="innerfusslink3"/>
            <w:rFonts w:ascii="Garamond" w:hAnsi="Garamond" w:cs="Arial"/>
            <w:b/>
            <w:bCs/>
            <w:lang w:val="en-GB"/>
          </w:rPr>
          <w:t xml:space="preserve"> I.</w:t>
        </w:r>
      </w:hyperlink>
      <w:r w:rsidRPr="008725BE">
        <w:rPr>
          <w:rFonts w:ascii="Garamond" w:hAnsi="Garamond"/>
          <w:color w:val="000000"/>
          <w:lang w:val="en-GB"/>
        </w:rPr>
        <w:t xml:space="preserve">, das Prinzip, welches alle seelischen Vorgänge beherrscht, als Spezialfall der Fechnerschen </w:t>
      </w:r>
      <w:r w:rsidRPr="008725BE">
        <w:rPr>
          <w:rFonts w:ascii="Garamond" w:hAnsi="Garamond"/>
          <w:i/>
          <w:iCs/>
          <w:color w:val="000000"/>
          <w:lang w:val="en-GB"/>
        </w:rPr>
        <w:t>Tendenz zur Stabilität</w:t>
      </w:r>
      <w:r w:rsidRPr="008725BE">
        <w:rPr>
          <w:rFonts w:ascii="Garamond" w:hAnsi="Garamond"/>
          <w:color w:val="000000"/>
          <w:lang w:val="en-GB"/>
        </w:rPr>
        <w:t xml:space="preserve"> aufgefaßt und somit dem seelischen Apparat die Absicht zugeschrieben, die ihm zuströmende Erregungssumme zu nichts zu machen oder wenigstens nach Möglichkeit niedrigzuhalten. Barbara Low hat für dies supponierte Bestreben den Namen </w:t>
      </w:r>
      <w:r w:rsidRPr="008725BE">
        <w:rPr>
          <w:rFonts w:ascii="Garamond" w:hAnsi="Garamond"/>
          <w:i/>
          <w:iCs/>
          <w:color w:val="000000"/>
          <w:lang w:val="en-GB"/>
        </w:rPr>
        <w:t>Nirwanaprinzip</w:t>
      </w:r>
      <w:r w:rsidRPr="008725BE">
        <w:rPr>
          <w:rFonts w:ascii="Garamond" w:hAnsi="Garamond"/>
          <w:color w:val="000000"/>
          <w:lang w:val="en-GB"/>
        </w:rPr>
        <w:t xml:space="preserve"> vorgeschlagen, den wir akzeptieren. Aber wir haben das Lust-Unlustprinzip unbedenklich mit diesem Nirwanaprinzip identifiziert. Jede Unlust müßte also mit einer Erhöhung, jede Lust mit einer Erniedrigung der im Seelischen vorhandenen Reizspannung zusammenfallen, das Nirwana- (und das mit ihm angeblich identische Lust-)prinzip würde ganz im Dienst der Todestriebe stehen, deren Ziel die Überführung des unsteten Lebens in die Stabilität des anorganischen Zustandes ist, und würde die Funktion haben, vor den Ansprüchen der Lebenstriebe, der Libido, zu warnen, welche den angestrebten Ablauf des Lebens zu stören versuchen. Allein diese Auffassung kann nicht richtig sein. Es scheint, daß wir Zunahme und Abnahme der Reizgrößen direkt in der Reihe der Spannungsgefühle empfinden, und es ist nicht zu bezweifeln, daß es lustvolle Spannungen und unlustige Entspannungen gibt. Der Zustand der Sexualerregung ist das aufdringlichste Beispiel einer solchen lustvollen Reizvergrößerung, aber gewiß nicht das einzige. Lust und Unlust können also nicht auf Zunahme oder Abnahme einer Quantität, die wir Reizspannung heißen, bezogen werden, wenngleich sie offenbar mit diesem Moment viel zu tun haben. Es scheint, daß sie nicht an diesem quantitativen Faktor hängen, sondern an einem Charakter desselben, den wir nur als qualitativ bezeichnen können. Wir wären viel weiter in der Psychologie, wenn wir anzugeben wüßten, welches dieser qualitative Charakter ist. Vielleicht ist es der </w:t>
      </w:r>
      <w:r w:rsidRPr="008725BE">
        <w:rPr>
          <w:rFonts w:ascii="Garamond" w:hAnsi="Garamond"/>
          <w:i/>
          <w:iCs/>
          <w:color w:val="000000"/>
          <w:lang w:val="en-GB"/>
        </w:rPr>
        <w:t>Rhythmus</w:t>
      </w:r>
      <w:r w:rsidRPr="008725BE">
        <w:rPr>
          <w:rFonts w:ascii="Garamond" w:hAnsi="Garamond"/>
          <w:color w:val="000000"/>
          <w:lang w:val="en-GB"/>
        </w:rPr>
        <w:t>, der zeitliche Ablauf in den Veränderungen, Steigerungen und Senkungen der Reizquantität; wir wissen es nicht.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Auf jeden Fall müssen wir innewerden, daß das dem Todestrieb zugehörige Nirwanaprinzip im Lebewesen eine Modifikation erfahren hat, durch die es zum Lustprinzip wurde, und werden es von nun an vermeiden, die beiden Prinzipien für eines zu halten. Von welcher Macht diese Modifikation ausging, ist, wenn man dieser Überlegung überhaupt folgen will, nicht schwer zu erraten. Es kann nur der Lebenstrieb, die Libido, sein, der sich in solcher Weise seinen Anteil an der Regulierung der Lebensvorgänge neben dem Todestrieb erzwungen hat. Wir erhalten so eine kleine, aber interessante Beziehungsreihe: das </w:t>
      </w:r>
      <w:r w:rsidRPr="008725BE">
        <w:rPr>
          <w:rFonts w:ascii="Garamond" w:hAnsi="Garamond"/>
          <w:i/>
          <w:iCs/>
          <w:color w:val="000000"/>
          <w:lang w:val="en-GB"/>
        </w:rPr>
        <w:t>Nirwanaprinzip</w:t>
      </w:r>
      <w:r w:rsidRPr="008725BE">
        <w:rPr>
          <w:rFonts w:ascii="Garamond" w:hAnsi="Garamond"/>
          <w:color w:val="000000"/>
          <w:lang w:val="en-GB"/>
        </w:rPr>
        <w:t xml:space="preserve"> drückt die Tendenz des Todestriebes aus, das </w:t>
      </w:r>
      <w:r w:rsidRPr="008725BE">
        <w:rPr>
          <w:rFonts w:ascii="Garamond" w:hAnsi="Garamond"/>
          <w:i/>
          <w:iCs/>
          <w:color w:val="000000"/>
          <w:lang w:val="en-GB"/>
        </w:rPr>
        <w:t>Lustprinzip</w:t>
      </w:r>
      <w:r w:rsidRPr="008725BE">
        <w:rPr>
          <w:rFonts w:ascii="Garamond" w:hAnsi="Garamond"/>
          <w:color w:val="000000"/>
          <w:lang w:val="en-GB"/>
        </w:rPr>
        <w:t xml:space="preserve"> vertritt den Anspruch der Libido und dessen Modifikation, das </w:t>
      </w:r>
      <w:r w:rsidRPr="008725BE">
        <w:rPr>
          <w:rFonts w:ascii="Garamond" w:hAnsi="Garamond"/>
          <w:i/>
          <w:iCs/>
          <w:color w:val="000000"/>
          <w:lang w:val="en-GB"/>
        </w:rPr>
        <w:t>Realitätsprinzip</w:t>
      </w:r>
      <w:r w:rsidRPr="008725BE">
        <w:rPr>
          <w:rFonts w:ascii="Garamond" w:hAnsi="Garamond"/>
          <w:color w:val="000000"/>
          <w:lang w:val="en-GB"/>
        </w:rPr>
        <w:t>, den Einfluß der Außenwelt.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Keines dieser drei Prinzipien wird eigentlich vom anderen außer Kraft gesetzt. Sie wissen sich in der Regel miteinander zu vertragen, wenngleich es gelegentlich zu Konflikten führen muß, daß von einer Seite die quantitative Herabminderung der Reizbelastung, von der anderen ein qualitativer Charakter derselben und endlich ein zeitlicher Aufschub der Reizabfuhr und ein zeitweiliges Gewährenlassen der Unlustspannung zum Ziel gesetzt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Schluß aus diesen Erörterungen ist, daß die Bezeichnung des Lustprinzips als Wächter des Lebens nicht abgelehnt werden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Kehren wir zum Masochismus zurück. Er tritt unserer Beobachtung in drei Gestalten entgegen, als eine Bedingtheit der Sexualerregung, als ein Ausdruck des femininen Wesens und als eine Norm des Lebensverhaltens ( </w:t>
      </w:r>
      <w:r w:rsidRPr="008725BE">
        <w:rPr>
          <w:rFonts w:ascii="Garamond" w:hAnsi="Garamond"/>
          <w:i/>
          <w:iCs/>
          <w:color w:val="000000"/>
          <w:lang w:val="en-GB"/>
        </w:rPr>
        <w:t>behaviour</w:t>
      </w:r>
      <w:r w:rsidRPr="008725BE">
        <w:rPr>
          <w:rFonts w:ascii="Garamond" w:hAnsi="Garamond"/>
          <w:color w:val="000000"/>
          <w:lang w:val="en-GB"/>
        </w:rPr>
        <w:t xml:space="preserve">). Man kann dementsprechend einen </w:t>
      </w:r>
      <w:r w:rsidRPr="008725BE">
        <w:rPr>
          <w:rFonts w:ascii="Garamond" w:hAnsi="Garamond"/>
          <w:i/>
          <w:iCs/>
          <w:color w:val="000000"/>
          <w:lang w:val="en-GB"/>
        </w:rPr>
        <w:t>erogenen, femininen</w:t>
      </w:r>
      <w:r w:rsidRPr="008725BE">
        <w:rPr>
          <w:rFonts w:ascii="Garamond" w:hAnsi="Garamond"/>
          <w:color w:val="000000"/>
          <w:lang w:val="en-GB"/>
        </w:rPr>
        <w:t xml:space="preserve"> und </w:t>
      </w:r>
      <w:r w:rsidRPr="008725BE">
        <w:rPr>
          <w:rFonts w:ascii="Garamond" w:hAnsi="Garamond"/>
          <w:i/>
          <w:iCs/>
          <w:color w:val="000000"/>
          <w:lang w:val="en-GB"/>
        </w:rPr>
        <w:t>moralischen</w:t>
      </w:r>
      <w:r w:rsidRPr="008725BE">
        <w:rPr>
          <w:rFonts w:ascii="Garamond" w:hAnsi="Garamond"/>
          <w:color w:val="000000"/>
          <w:lang w:val="en-GB"/>
        </w:rPr>
        <w:t xml:space="preserve"> Masochismus unterscheiden. Der erstere, der erogene Masochismus, die Schmerzlust, liegt auch den beiden anderen Formen zugrunde, er ist biologisch und konstitutionell zu begründen, bleibt </w:t>
      </w:r>
      <w:r w:rsidRPr="008725BE">
        <w:rPr>
          <w:rFonts w:ascii="Garamond" w:hAnsi="Garamond"/>
          <w:color w:val="000000"/>
          <w:lang w:val="en-GB"/>
        </w:rPr>
        <w:lastRenderedPageBreak/>
        <w:t>unverständlich, wenn man sich nicht zu einigen Annahmen über ganz dunkle Verhältnisse entschließt. Die dritte, in gewisser Hinsicht wichtigste Erscheinungsform des Masochismus ist als meist unbewußtes Schuldgefühl erst neuerlich von der Psychoanalyse gewürdigt worden, läßt aber bereits eine volle Aufklärung und Einreihung in unsere sonstige Erkenntnis zu. Der feminine Masochismus dagegen ist unserer Beobachtung am besten zugänglich, am wenigsten rätselhaft und in all seinen Beziehungen zu übersehen. Mit ihm mag unsere Darstellung beginnen.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kennen diese Art des Masochismus beim Manne (auf den ich mich aus Gründen des Materials hier beschränke) in zureichender Weise aus den Phantasien masochistischer (häufig darum impotenter) Personen, die entweder in den onanistischen Akt auslaufen oder für sich allein die Sexualbefriedigung darstellen. Mit den Phantasien stimmen vollkommen überein die realen Veranstaltungen masochistischer Perverser, sei es, daß sie als Selbstzweck durchgeführt werden oder zur Herstellung der Potenz und Einleitung des Geschlechtsakts dienen. In beiden Fällen –; die Veranstaltungen sind ja nur die spielerische Ausführung der Phantasien –; ist der manifeste Inhalt: geknebelt, gebunden, in schmerzhafter Weise geschlagen, gepeitscht, irgendwie mißhandelt, zum unbedingten Gehorsam gezwungen, beschmutzt, erniedrigt zu werden. Weit seltener und nur mit großen Einschränkungen werden auch Verstümmelungen in diesen Inhalt aufgenommen. Die nächste, bequem zu erreichende Deutung ist, daß der Masochist wie ein kleines, hilfloses und abhängiges Kind behandelt werden will, besonders aber wie ein schlimmes Kind. Es ist überflüssig, Kasuistik anzuführen, das Material ist sehr gleichartig, jedem Beobachter, auch dem Nichtanalytiker, zugänglich. Hat man aber Gelegenheit, Fälle zu studieren, in denen die masochistischen Phantasien eine besonders reiche Verarbeitung erfahren haben, so macht man leicht die Entdeckung, daß sie die Person in eine für die Weiblichkeit charakteristische Situation versetzen, also Kastriertwerden, Koitiertwerden oder Gebären bedeuten. Ich habe darum diese Erscheinungsform des Masochismus den femininen, gleichsam </w:t>
      </w:r>
      <w:r w:rsidRPr="008725BE">
        <w:rPr>
          <w:rFonts w:ascii="Garamond" w:hAnsi="Garamond"/>
          <w:i/>
          <w:iCs/>
          <w:color w:val="000000"/>
          <w:lang w:val="en-GB"/>
        </w:rPr>
        <w:t>a potiori</w:t>
      </w:r>
      <w:hyperlink r:id="rId71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vom Stärkeren, Mächtigeren her</w:t>
        </w:r>
      </w:hyperlink>
      <w:r w:rsidRPr="008725BE">
        <w:rPr>
          <w:rFonts w:ascii="Garamond" w:hAnsi="Garamond"/>
          <w:color w:val="000000"/>
          <w:lang w:val="en-GB"/>
        </w:rPr>
        <w:t>, genannt, obwohl so viele seiner Elemente auf das Infantilleben hinweisen. Diese Übereinanderschichtung des Infantilen und des Femininen wird später ihre einfache Aufklärung finden. Die Kastration oder die sie vertretende Blendung hat oft in den Phantasien ihre negative Spur in der Bedingung hinterlassen, daß gerade den Genitalien oder den Augen kein Schaden geschehen darf. (Die masochistischen Quälereien machen übrigens selten einen so ernsthaften Eindruck wie die –; phantasierten oder inszenierten –; Grausamkeiten des Sadismus.) Im manifesten Inhalt der masochistischen Phantasien kommt auch ein Schuldgefühl zum Ausdruck, indem angenommen wird, daß die betreffende Person etwas verbrochen habe (was unbestimmt gelassen wird), was durch alle die schmerzhaften und quälerischen Prozeduren gesühnt werden soll. Das sieht wie eine oberflächliche Rationalisierung der masochistischen Inhalte aus, es steckt aber die Beziehung zur infantilen Masturbation dahinter. Anderseits leitet dieses Schuldmoment zur dritten, moralischen Form des Masochismus über.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beschriebene feminine Masochismus ruht ganz auf dem primären, erogenen, der Schmerzlust, deren Erklärung nicht ohne weit rückgreifende Erwägungen gelingt.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habe in den </w:t>
      </w:r>
      <w:r w:rsidRPr="008725BE">
        <w:rPr>
          <w:rFonts w:ascii="Garamond" w:hAnsi="Garamond"/>
          <w:i/>
          <w:iCs/>
          <w:color w:val="000000"/>
          <w:lang w:val="en-GB"/>
        </w:rPr>
        <w:t>Drei Abhandlungen zur Sexualtheorie</w:t>
      </w:r>
      <w:r w:rsidRPr="008725BE">
        <w:rPr>
          <w:rFonts w:ascii="Garamond" w:hAnsi="Garamond"/>
          <w:color w:val="000000"/>
          <w:lang w:val="en-GB"/>
        </w:rPr>
        <w:t xml:space="preserve"> im Abschnitt über die Quellen der infantilen Sexualität die Behauptung aufgestellt, »daß die Sexualerregung als Nebenwirkung bei einer großen Reihe innerer Vorgänge entsteht, sobald die Intensität dieser Vorgänge nur gewisse quantitative Grenzen überstiegen hat«. Ja, daß vielleicht »nichts Bedeutsameres im Organismus vorfällt, was nicht seine Komponente zur Erregung des Sexualtriebes abzugeben hätte«. Demnach müßte auch die Schmerz- und Unlusterregung diese Folge haben. Diese libidinöse Miterregung bei Schmerz- und Unlustspannung wäre ein infantiler physiologischer Mechanismus, der späterhin versiegt. Sie würde in den verschiedenen Sexualkonstitutionen eine verschieden große Ausbildung erfahren, jedenfalls die physiologische Grundlage abgeben, die dann als erogener Masochismus psychisch überbaut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Unzulänglichkeit dieser Erklärung zeigt sich aber darin, daß in ihr kein Licht auf die regelmäßigen und intimen Beziehungen des Masochismus zu seinem Widerpart im Triebleben, dem Sadismus, geworfen wird. Geht man ein Stück weiter zurück bis zur Annahme der zwei Triebarten, die wir uns im Lebewesen wirksam denken, so kommt man zu einer anderen, aber der obigen nicht widersprechenden Ableitung. Die Libido trifft in (vielzelligen) Lebewesen auf den dort herrschenden Todes- oder Destruktionstrieb, welcher dies Zellenwesen zersetzen und jeden einzelnen Elementarorganismus in den Zustand der anorganischen Stabilität (wenn diese auch nur relativ sein mag) überführen möchte. Sie hat die Aufgabe, diesen destruierenden Trieb unschädlich zu machen, und entledigt sich ihrer, indem sie ihn zum großen Teil und bald mit Hilfe eines besonderen Organsystems, der Muskulatur, nach außen ableitet, gegen die </w:t>
      </w:r>
      <w:r w:rsidRPr="008725BE">
        <w:rPr>
          <w:rFonts w:ascii="Garamond" w:hAnsi="Garamond"/>
          <w:color w:val="000000"/>
          <w:lang w:val="en-GB"/>
        </w:rPr>
        <w:lastRenderedPageBreak/>
        <w:t>Objekte der Außenwelt richtet. Er heiße dann Destruktionstrieb, Bemächtigungstrieb, Wille zur Macht. Ein Anteil dieses Triebes wird direkt in den Dienst der Sexualfunktion gestellt, wo er Wichtiges zu leisten hat. Dies ist der eigentliche Sadismus. Ein anderer Anteil macht diese Verlegung nach außen nicht mit, er verbleibt im Organismus und wird dort mit Hilfe der erwähnten sexuellen Miterregung libidinös gebunden; in ihm haben wir den ursprünglichen, erogenen Masochismus zu erkennen.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fehlt uns jedes physiologische Verständnis dafür, auf welchen Wegen und mit welchen Mitteln sich diese Bändigung des Todestriebes durch die Libido vollziehen mag. Im psychoanalytischen Gedankenkreis können wir nur annehmen, daß eine sehr ausgiebige, in ihren Verhältnissen variable Vermischung und Verquickung der beiden Triebarten zustande kommt, so daß wir überhaupt nicht mit reinen Todes- und Lebenstrieben, sondern nur mit verschiedenwertigen Vermengungen derselben rechnen sollten. Der Triebvermischung mag unter gewissen Einwirkungen eine Entmischung derselben entsprechen. Wie groß die Anteile der Todestriebe sind, welche sich solcher Bändigung durch die Bindung an libidinöse Zusätze entziehen, läßt sich derzeit nicht erraten.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man sich über einige Ungenauigkeit hinaussetzen will, kann man sagen, der im Organismus wirkende Todestrieb –; der Ursadismus –; sei mit dem Masochismus identisch. Nachdem sein Hauptanteil nach außen auf die Objekte verlegt worden ist, verbleibt als sein Residuum im Inneren der eigentliche, erogene Masochismus, der einerseits eine Komponente der Libido geworden ist, anderseits noch immer das eigene Wesen zum Objekt hat. So wäre dieser Masochismus ein Zeuge und Überrest jener Bildungsphase, in der die für das Leben so wichtige Legierung von Todestrieb und Eros geschah. Wir werden nicht erstaunt sein zu hören, daß unter bestimmten Verhältnissen der nach außen gewendete, projizierte Sadismus oder Destruktionstrieb wieder introjiziert, nach innen gewendet werden kann, solcherart in seine frühere Situation regrediert. Er ergibt dann den sekundären Masochismus, der sich zum ursprünglichen hinzuaddiert.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erogene Masochismus macht alle Entwicklungsphasen der Libido mit und entnimmt ihnen seine wechselnden psychischen Umkleidungen. Die Angst, vom Totemtier (Vater) gefressen zu werden, stammt aus der primitiven, oralen Organisation, der Wunsch, vom Vater geschlagen zu werden, aus der darauffolgenden sadistisch-analen Phase; als Niederschlag der phallischen Organisationsstufe </w:t>
      </w:r>
      <w:hyperlink r:id="rId71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 ›Die infantile Genitalorganisation‹ (1923 </w:t>
        </w:r>
        <w:r w:rsidRPr="008725BE">
          <w:rPr>
            <w:rStyle w:val="innerfusslink3"/>
            <w:rFonts w:ascii="Garamond" w:hAnsi="Garamond" w:cs="Arial"/>
            <w:b/>
            <w:bCs/>
            <w:i/>
            <w:iCs/>
            <w:lang w:val="en-GB"/>
          </w:rPr>
          <w:t>e</w:t>
        </w:r>
        <w:r w:rsidRPr="008725BE">
          <w:rPr>
            <w:rStyle w:val="innerfusslink3"/>
            <w:rFonts w:ascii="Garamond" w:hAnsi="Garamond" w:cs="Arial"/>
            <w:b/>
            <w:bCs/>
            <w:lang w:val="en-GB"/>
          </w:rPr>
          <w:t>).</w:t>
        </w:r>
      </w:hyperlink>
      <w:r w:rsidRPr="008725BE">
        <w:rPr>
          <w:rFonts w:ascii="Garamond" w:hAnsi="Garamond"/>
          <w:color w:val="000000"/>
          <w:lang w:val="en-GB"/>
        </w:rPr>
        <w:t xml:space="preserve"> tritt die Kastration, obwohl später verleugnet, in den Inhalt der masochistischen Phantasien ein, von der endgültigen Genitalorganisation leiten sich natürlich die für die Weiblichkeit charakteristischen Situationen des Koitiertwerdens und des Gebärens ab. Auch die Rolle der Nates </w:t>
      </w:r>
      <w:hyperlink r:id="rId71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Hinterbacken</w:t>
        </w:r>
      </w:hyperlink>
      <w:r w:rsidRPr="008725BE">
        <w:rPr>
          <w:rFonts w:ascii="Garamond" w:hAnsi="Garamond"/>
          <w:color w:val="000000"/>
          <w:lang w:val="en-GB"/>
        </w:rPr>
        <w:t xml:space="preserve"> im Masochismus ist, abgesehen von der offenkundigen Realbegründung, leicht zu verstehen. Die Nates sind die erogen bevorzugte Körperpartie der sadistisch-analen Phase wie die Mamma der oralen, der Penis der genitalen.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dritte Form des Masochismus, der moralische Masochismus, ist vor allem dadurch bemerkenswert, daß sie ihre Beziehung zu dem, was wir als Sexualität erkennen, gelockert hat. An allen masochistischen Leiden haftet sonst die Bedingung, daß sie von der geliebten Person ausgehen, auf ihr Geheiß erduldet werden; diese Einschränkung ist beim moralischen Masochismus fallengelassen. Das Leiden selbst ist das, worauf es ankommt; ob es von einer geliebten oder gleichgültigen Person verhängt wird, spielt keine Rolle; es mag auch von unpersönlichen Mächten oder Verhältnissen verursacht sein, der richtige Masochist hält immer seine Wange hin, wo er Aussicht hat, einen Schlag zu bekommen. Es liegt sehr nahe, in der Erklärung dieses Verhaltens die Libido beiseite zu lassen und sich auf die Annahme zu beschränken, daß hier der Destruktionstrieb wieder nach innen gewendet wurde und nun gegen das eigene Selbst wütet, aber es sollte doch einen Sinn haben, daß der Sprachgebrauch die Beziehung dieser Norm des Lebensverhaltens zur Erotik nicht aufgegeben hat und auch solche Selbstbeschädiger Masochisten heißt.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Einer technischen Gewöhnung getreu wollen wir uns zuerst mit der extremen, unzweifelhaft pathologischen Form dieses Masochismus beschäftigen. Ich habe an anderer Stelle </w:t>
      </w:r>
      <w:hyperlink r:id="rId71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Das Ich und das Es</w:t>
        </w:r>
        <w:r w:rsidRPr="008725BE">
          <w:rPr>
            <w:rStyle w:val="innerfusslink3"/>
            <w:rFonts w:ascii="Garamond" w:hAnsi="Garamond" w:cs="Arial"/>
            <w:b/>
            <w:bCs/>
            <w:lang w:val="en-GB"/>
          </w:rPr>
          <w:t>.</w:t>
        </w:r>
      </w:hyperlink>
      <w:r w:rsidRPr="008725BE">
        <w:rPr>
          <w:rFonts w:ascii="Garamond" w:hAnsi="Garamond"/>
          <w:color w:val="000000"/>
          <w:lang w:val="en-GB"/>
        </w:rPr>
        <w:t xml:space="preserve"> ausgeführt, daß wir in der analytischen Behandlung auf Patienten stoßen, deren Benehmen gegen die Einflüsse der Kur uns nötigt, ihnen ein »unbewußtes« Schuldgefühl zuzuschreiben. Ich habe dort angegeben, woran man diese Personen erkennt (»die negative therapeutische Reaktion«), und auch nicht verhehlt, daß die Stärke einer solchen Regung einen der schwersten Widerstände und die größte Gefahr für den Erfolg unserer ärztlichen oder erzieherischen Absichten bedeutet. Die Befriedigung dieses unbewußten Schuldgefühls ist der vielleicht mächtigste Posten des in der Regel zusammengesetzten Krankheitsgewinnes, der Kräftesumme, welche sich gegen die Genesung sträubt und das Kranksein nicht aufgeben will; das Leiden, das die Neurose mit sich bringt, ist gerade das Moment, durch das sie der </w:t>
      </w:r>
      <w:r w:rsidRPr="008725BE">
        <w:rPr>
          <w:rFonts w:ascii="Garamond" w:hAnsi="Garamond"/>
          <w:color w:val="000000"/>
          <w:lang w:val="en-GB"/>
        </w:rPr>
        <w:lastRenderedPageBreak/>
        <w:t>masochistischen Tendenz wertvoll wird. Es ist auch lehrreich zu erfahren, daß gegen alle Theorie und Erwartung eine Neurose, die allen therapeutischen Bemühungen getrotzt hat, verschwinden kann, wenn die Person in das Elend einer unglücklichen Ehe geraten ist, ihr Vermögen verloren oder eine bedrohliche organische Erkrankung erworben hat. Eine Form des Leidens ist dann durch eine andere abgelöst worden, und wir sehen, es kam nur darauf an, ein gewisses Maß von Leiden festhalten zu können.</w:t>
      </w:r>
    </w:p>
    <w:p w:rsidR="008725BE" w:rsidRPr="008725BE" w:rsidRDefault="008725BE" w:rsidP="008725BE">
      <w:pPr>
        <w:pStyle w:val="Sansinterligne"/>
        <w:rPr>
          <w:rFonts w:ascii="Garamond" w:hAnsi="Garamond"/>
          <w:color w:val="000000"/>
        </w:rPr>
      </w:pPr>
      <w:r w:rsidRPr="008725BE">
        <w:rPr>
          <w:rFonts w:ascii="Garamond" w:hAnsi="Garamond"/>
          <w:color w:val="000000"/>
        </w:rPr>
        <w:t>Das unbewußte Schuldgefühl wird uns von den Patienten nicht leicht geglaubt. Sie wissen zu gut, in welchen Qualen (Gewissensbissen) sich ein bewußtes Schuldgefühl, Schuldbewußtsein, äußert, und können darum nicht zugeben, daß sie ganz analoge Regungen in sich beherbergen sollten, von denen sie so gar nichts verspüren. Ich meine, wir tragen ihrem Einspruch in gewissem Maße Rechnung, wenn wir auf die ohnehin psychologisch inkorrekte Benennung »unbewußtes Schuldgefühl« verzichten und dafür »Strafbedürfnis« sagen, womit wir den beobachteten Sachverhalt ebenso treffend decken. Wir können uns aber nicht abhalten lassen, dies unbewußte Schuldgefühl nach dem Muster des bewußten zu beurteilen und zu lokalisieren.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Wir haben dem Über-Ich die Funktion des Gewissens zugeschrieben und im Schuldbewußtsein den Ausdruck einer Spannung zwischen Ich und Über-Ich erkannt. Das Ich reagiert mit Angstgefühlen (Gewissensangst) auf die Wahrnehmung, daß es hinter den von seinem Ideal, dem Über-Ich, gestellten Anforderungen zurückgeblieben ist. </w:t>
      </w:r>
      <w:r w:rsidRPr="008725BE">
        <w:rPr>
          <w:rFonts w:ascii="Garamond" w:hAnsi="Garamond"/>
          <w:color w:val="000000"/>
          <w:lang w:val="en-GB"/>
        </w:rPr>
        <w:t>Nun verlangen wir zu wissen, wie das Über-Ich zu dieser anspruchsvollen Rolle gekommen ist und warum das Ich im Falle einer Differenz mit seinem Ideal sich fürchten muß.</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wir gesagt haben, das Ich finde seine Funktion darin, die Ansprüche der drei Instanzen, denen es dient, miteinander zu vereinbaren, sie zu versöhnen, so können wir hinzufügen, es hat auch dabei sein Vorbild, dem es nachstreben kann, im Über-Ich. </w:t>
      </w:r>
      <w:r w:rsidRPr="008725BE">
        <w:rPr>
          <w:rFonts w:ascii="Garamond" w:hAnsi="Garamond"/>
          <w:color w:val="000000"/>
        </w:rPr>
        <w:t xml:space="preserve">Dies Über-Ich ist nämlich ebensosehr der Vertreter des Es wie der Außenwelt. Es ist dadurch entstanden, daß die ersten Objekte der libidinösen Regungen des Es, das Elternpaar, ins Ich introjiziert wurden, wobei die Beziehung zu ihnen desexualisiert wurde, eine Ablenkung von den direkten Sexualzielen erfuhr. </w:t>
      </w:r>
      <w:r w:rsidRPr="008725BE">
        <w:rPr>
          <w:rFonts w:ascii="Garamond" w:hAnsi="Garamond"/>
          <w:color w:val="000000"/>
          <w:lang w:val="en-GB"/>
        </w:rPr>
        <w:t xml:space="preserve">Auf diese Art wurde erst die Überwindung des Ödipuskomplexes ermöglicht. Das Über-Ich behielt nun wesentliche Charaktere der introjizierten Personen bei, ihre Macht, Strenge, Neigung zur Beaufsichtigung und Bestrafung. Wie an anderer Stelle ausgeführt </w:t>
      </w:r>
      <w:hyperlink r:id="rId71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Das Ich und das Es</w:t>
        </w:r>
        <w:r w:rsidRPr="008725BE">
          <w:rPr>
            <w:rStyle w:val="innerfusslink3"/>
            <w:rFonts w:ascii="Garamond" w:hAnsi="Garamond" w:cs="Arial"/>
            <w:b/>
            <w:bCs/>
            <w:lang w:val="en-GB"/>
          </w:rPr>
          <w:t>.</w:t>
        </w:r>
      </w:hyperlink>
      <w:r w:rsidRPr="008725BE">
        <w:rPr>
          <w:rFonts w:ascii="Garamond" w:hAnsi="Garamond"/>
          <w:color w:val="000000"/>
          <w:lang w:val="en-GB"/>
        </w:rPr>
        <w:t>, ist es leicht denkbar, daß durch die Triebentmischung, welche mit einer solchen Einführung ins Ich einhergeht, die Strenge eine Steigerung erfuhr. Das Über-Ich, das in ihm wirksame Gewissen, kann nun hart, grausam, unerbittlich gegen das von ihm behütete Ich werden. Der kategorische Imperativ Kants ist so der direkte Erbe des Ödipuskomplexes.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nämlichen Personen aber, welche im Über-Ich als Gewissensinstanz weiterwirken, nachdem sie aufgehört haben, Objekte der libidinösen Regungen des Es zu sein, gehören aber auch der realen Außenwelt an. Dieser sind sie entnommen worden; ihre Macht, hinter der sich alle Einflüsse der Vergangenheit und Überlieferung verbergen, war eine der fühlbarsten Äußerungen der Realität. Dank diesem Zusammenfallen wird das Über-Ich, der Ersatz des Ödipuskomplexes, auch zum Repräsentanten der realen Außenwelt und so zum Vorbild für das Streben des Ichs.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Ödipuskomplex erweist sich so, wie bereits historisch gemutmaßt wurde </w:t>
      </w:r>
      <w:hyperlink r:id="rId71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 xml:space="preserve"> (1912–;13), Abschnitt IV.</w:t>
        </w:r>
      </w:hyperlink>
      <w:r w:rsidRPr="008725BE">
        <w:rPr>
          <w:rFonts w:ascii="Garamond" w:hAnsi="Garamond"/>
          <w:color w:val="000000"/>
          <w:lang w:val="en-GB"/>
        </w:rPr>
        <w:t xml:space="preserve">, als die Quelle unserer individuellen Sittlichkeit (Moral). Im Laufe der Kindheitsentwicklung, welche zur fortschreitenden Loslösung von den Eltern führt, tritt deren persönliche Bedeutung für das Über-Ich zurück. An die von ihnen erübrigten Imagines schließen dann die Einflüsse von Lehrern, Autoritäten, selbstgewählten Vorbildern und sozial anerkannten Helden an, deren Personen von dem resistenter gewordenen Ich nicht mehr introjiziert zu werden brauchen. Die letzte Gestalt dieser mit den Eltern beginnenden Reihe ist die dunkle Macht des Schicksals, welches erst die wenigsten von uns unpersönlich zu erfassen vermögen. Wenn der holländische Dichter Multatuli </w:t>
      </w:r>
      <w:hyperlink r:id="rId72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Ed. Douwes Dekker (1820–;1887).</w:t>
        </w:r>
      </w:hyperlink>
      <w:r w:rsidRPr="008725BE">
        <w:rPr>
          <w:rFonts w:ascii="Garamond" w:hAnsi="Garamond"/>
          <w:color w:val="000000"/>
          <w:lang w:val="en-GB"/>
        </w:rPr>
        <w:t xml:space="preserve"> die </w:t>
      </w:r>
      <w:r w:rsidRPr="008725BE">
        <w:rPr>
          <w:rFonts w:ascii="Garamond" w:hAnsi="Garamond"/>
          <w:color w:val="000000"/>
        </w:rPr>
        <w:t>Μοι</w:t>
      </w:r>
      <w:r w:rsidRPr="008725BE">
        <w:rPr>
          <w:rFonts w:ascii="Arial" w:hAnsi="Arial"/>
          <w:color w:val="000000"/>
          <w:lang w:val="en-GB"/>
        </w:rPr>
        <w:t>̃</w:t>
      </w:r>
      <w:r w:rsidRPr="008725BE">
        <w:rPr>
          <w:rFonts w:ascii="Garamond" w:hAnsi="Garamond"/>
          <w:color w:val="000000"/>
        </w:rPr>
        <w:t>ρα</w:t>
      </w:r>
      <w:r w:rsidRPr="008725BE">
        <w:rPr>
          <w:rFonts w:ascii="Garamond" w:hAnsi="Garamond"/>
          <w:color w:val="000000"/>
          <w:lang w:val="en-GB"/>
        </w:rPr>
        <w:t xml:space="preserve"> </w:t>
      </w:r>
      <w:hyperlink r:id="rId72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Schicksal</w:t>
        </w:r>
      </w:hyperlink>
      <w:r w:rsidRPr="008725BE">
        <w:rPr>
          <w:rFonts w:ascii="Garamond" w:hAnsi="Garamond"/>
          <w:color w:val="000000"/>
          <w:lang w:val="en-GB"/>
        </w:rPr>
        <w:t xml:space="preserve"> der Griechen durch das Götterpaar </w:t>
      </w:r>
      <w:r w:rsidRPr="008725BE">
        <w:rPr>
          <w:rFonts w:ascii="Garamond" w:hAnsi="Garamond"/>
          <w:color w:val="000000"/>
        </w:rPr>
        <w:t>Λόγος</w:t>
      </w:r>
      <w:r w:rsidRPr="008725BE">
        <w:rPr>
          <w:rFonts w:ascii="Garamond" w:hAnsi="Garamond"/>
          <w:color w:val="000000"/>
          <w:lang w:val="en-GB"/>
        </w:rPr>
        <w:t xml:space="preserve"> </w:t>
      </w:r>
      <w:r w:rsidRPr="008725BE">
        <w:rPr>
          <w:rFonts w:ascii="Garamond" w:hAnsi="Garamond"/>
          <w:color w:val="000000"/>
        </w:rPr>
        <w:t>και</w:t>
      </w:r>
      <w:r w:rsidRPr="008725BE">
        <w:rPr>
          <w:rFonts w:ascii="Arial" w:hAnsi="Arial"/>
          <w:color w:val="000000"/>
          <w:lang w:val="en-GB"/>
        </w:rPr>
        <w:t>̀</w:t>
      </w:r>
      <w:r w:rsidRPr="008725BE">
        <w:rPr>
          <w:rFonts w:ascii="Garamond" w:hAnsi="Garamond"/>
          <w:color w:val="000000"/>
          <w:lang w:val="en-GB"/>
        </w:rPr>
        <w:t xml:space="preserve"> ’</w:t>
      </w:r>
      <w:r w:rsidRPr="008725BE">
        <w:rPr>
          <w:rFonts w:ascii="Garamond" w:hAnsi="Garamond"/>
          <w:color w:val="000000"/>
        </w:rPr>
        <w:t>Ανάγκη</w:t>
      </w:r>
      <w:r w:rsidRPr="008725BE">
        <w:rPr>
          <w:rFonts w:ascii="Garamond" w:hAnsi="Garamond"/>
          <w:color w:val="000000"/>
          <w:lang w:val="en-GB"/>
        </w:rPr>
        <w:t xml:space="preserve"> </w:t>
      </w:r>
      <w:hyperlink r:id="rId72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Vernunft/Einsicht und Notwendigkeit</w:t>
        </w:r>
      </w:hyperlink>
      <w:r w:rsidRPr="008725BE">
        <w:rPr>
          <w:rFonts w:ascii="Garamond" w:hAnsi="Garamond"/>
          <w:color w:val="000000"/>
          <w:lang w:val="en-GB"/>
        </w:rPr>
        <w:t xml:space="preserve"> ersetzt, so ist dagegen wenig einzuwenden; aber alle, die die Leitung des Weltgeschehens der Vorsehung, Gott oder Gott und der Natur übertragen, erwecken den Verdacht, daß sie diese äußersten und fernsten Gewalten immer noch wie ein Elternpaar –; mythologisch –; empfinden und sich mit ihnen durch libidinöse Bindungen verknüpft glauben. Ich habe im </w:t>
      </w:r>
      <w:r w:rsidRPr="008725BE">
        <w:rPr>
          <w:rFonts w:ascii="Garamond" w:hAnsi="Garamond"/>
          <w:i/>
          <w:iCs/>
          <w:color w:val="000000"/>
          <w:lang w:val="en-GB"/>
        </w:rPr>
        <w:t>Ich und Es</w:t>
      </w:r>
      <w:r w:rsidRPr="008725BE">
        <w:rPr>
          <w:rFonts w:ascii="Garamond" w:hAnsi="Garamond"/>
          <w:color w:val="000000"/>
          <w:lang w:val="en-GB"/>
        </w:rPr>
        <w:t xml:space="preserve"> den Versuch gemacht, auch die reale Todesangst der Menschen von einer solchen elterlichen Auffassung des Schicksals abzuleiten. Es scheint sehr schwer, sich von ihr frei zu machen.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Nach diesen Vorbereitungen können wir zur Würdigung des moralischen Masochismus zurückkehren. Wir sagten, die betreffenden Personen erwecken durch ihr Benehmen –; in der Kur und im Leben –; den Eindruck, als seien sie übermäßig moralisch gehemmt, ständen unter der Herrschaft eines besonders </w:t>
      </w:r>
      <w:r w:rsidRPr="008725BE">
        <w:rPr>
          <w:rFonts w:ascii="Garamond" w:hAnsi="Garamond"/>
          <w:color w:val="000000"/>
          <w:lang w:val="en-GB"/>
        </w:rPr>
        <w:lastRenderedPageBreak/>
        <w:t>empfindlichen Gewissens, obwohl ihnen von solcher Übermoral nichts bewußt ist. Bei näherem Eingehen bemerken wir wohl den Unterschied, der eine solche unbewußte Fortsetzung der Moral vom moralischen Masochismus trennt. Bei der ersteren fällt der Akzent auf den gesteigerten Sadismus des Über-Ichs, dem das Ich sich unterwirft, beim letzteren hingegen auf den eigenen Masochismus des Ichs, der nach Strafe, sei es vom Über-Ich, sei es von den Elternmächten draußen, verlangt. Unsere anfängliche Verwechslung darf entschuldigt werden, denn beide Male handelt es sich um eine Relation zwischen dem Ich und dem Über-Ich oder ihm gleichstehenden Mächten; in beiden Fällen kommt es auf ein Bedürfnis hinaus, das durch Strafe und Leiden befriedigt wird. Es ist dann ein kaum gleichgültiger Nebenumstand, daß der Sadismus des Über-Ichs meist grell bewußt wird, während das masochistische Streben des Ichs in der Regel der Person verborgen bleibt und aus ihrem Verhalten erschlossen werden muß.</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Die Unbewußtheit des moralischen Masochismus leitet uns auf eine naheliegende Spur. Wir konnten den Ausdruck »unbewußtes Schuldgefühl« übersetzen als Strafbedürfnis von Seiten einer elterlichen Macht. </w:t>
      </w:r>
      <w:r w:rsidRPr="008725BE">
        <w:rPr>
          <w:rFonts w:ascii="Garamond" w:hAnsi="Garamond"/>
          <w:color w:val="000000"/>
          <w:lang w:val="en-GB"/>
        </w:rPr>
        <w:t>Nun wissen wir, daß der in Phantasien so häufige Wunsch, vom Vater geschlagen zu werden, dem anderen sehr nahesteht, in passive (feminine) sexuelle Beziehung zu ihm zu treten, und nur eine regressive Entstellung desselben ist. Setzen wir diese Aufklärung in den Inhalt des moralischen Masochismus ein, so wird dessen geheimer Sinn uns offenbar. Gewissen und Moral sind durch die Überwindung, Desexualisierung, des Ödipuskomplexes entstanden; durch den moralischen Masochismus wird die Moral wieder sexualisiert, der Ödipuskomplex neu belebt, eine Regression von der Moral zum Ödipuskomplex angebahnt. Dies geschieht weder zum Vorteil der Moral noch des Individuums. Der einzelne kann zwar neben seinem Masochismus sein volles oder ein gewisses Maß von Sittlichkeit bewahrt haben, es kann aber auch ein gutes Stück seines Gewissens an den Masochismus verlorengegangen sein. Andererseits schafft der Masochismus die Versuchung zum »sündhaften« Tun, welches dann durch die Vorwürfe des sadistischen Gewissens (wie bei so vielen russischen Charaktertypen) oder durch die Züchtigung der großen Elternmacht des Schicksals gesühnt werden muß. Um die Bestrafung durch diese letzte Elternvertretung zu provozieren, muß der Masochist das Unzweckmäßige tun, gegen seinen eigenen Vorteil arbeiten, die Aussichten zerstören, die sich ihm in der realen Welt eröffnen, und eventuell seine eigene reale Existenz vernichten.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Rückwendung des Sadismus gegen die eigene Person ereignet sich regelmäßig bei der </w:t>
      </w:r>
      <w:r w:rsidRPr="008725BE">
        <w:rPr>
          <w:rFonts w:ascii="Garamond" w:hAnsi="Garamond"/>
          <w:i/>
          <w:iCs/>
          <w:color w:val="000000"/>
          <w:lang w:val="en-GB"/>
        </w:rPr>
        <w:t>kulturellen Triebunterdrückung</w:t>
      </w:r>
      <w:r w:rsidRPr="008725BE">
        <w:rPr>
          <w:rFonts w:ascii="Garamond" w:hAnsi="Garamond"/>
          <w:color w:val="000000"/>
          <w:lang w:val="en-GB"/>
        </w:rPr>
        <w:t>, welche einen großen Teil der destruktiven Triebkomponenten der Person von der Verwendung im Leben abhält. Man kann sich vorstellen, daß dieser zurückgetretene Anteil des Destruktionstriebes als eine Steigerung des Masochismus im Ich zum Vorschein kommt. Die Phänomene des Gewissens lassen aber erraten, daß die von der Außenwelt wiederkehrende Destruktion auch ohne solche Verwandlung vom Über-Ich aufgenommen wird und dessen Sadismus gegen das Ich erhöht. Der Sadismus des Über-Ichs und der Masochismus des Ichs ergänzen einander und vereinigen sich zur Hervorrufung derselben Folgen. Ich meine, nur so kann man verstehen, daß aus der Triebunterdrückung –; häufig oder ganz allgemein –; ein Schuldgefühl resultiert und daß das Gewissen um so strenger und empfindlicher wird, je mehr sich die Person der Aggression gegen andere enthält. Man könnte erwarten, daß ein Individuum, welches von sich weiß, daß es kulturell unerwünschte Aggressionen zu vermeiden pflegt, darum ein gutes Gewissen hat und sein Ich minder mißtrauisch überwacht. Man stellt es gewöhnlich so dar, als sei die sittliche Anforderung das Primäre und der Triebverzicht ihre Folge. Dabei bleibt die Herkunft der Sittlichkeit unerklärt. In Wirklichkeit scheint es umgekehrt zuzugehen; der erste Triebverzicht ist ein durch äußere Mächte erzwungener, und er schafft erst die Sittlichkeit, die sich im Gewissen ausdrückt und weiteren Triebverzicht fordert.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 wird der moralische Masochismus zum klassischen Zeugen für die Existenz der Triebvermischung. Seine Gefährlichkeit rührt daher, daß er vom Todestrieb abstammt, jenem Anteil desselben entspricht, welcher der Auswärtswendung als Destruktionstrieb entging. Aber da er anderseits die Bedeutung einer erotischen Komponente hat, kann auch die Selbstzerstörung der Person nicht ohne libidinöse Befriedigung erfolgen.</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Da</w:t>
        </w:r>
        <w:bookmarkStart w:id="143" w:name="KS8"/>
        <w:bookmarkEnd w:id="143"/>
        <w:r w:rsidRPr="008725BE">
          <w:rPr>
            <w:rStyle w:val="Lienhypertexte"/>
            <w:rFonts w:ascii="Garamond" w:hAnsi="Garamond" w:cs="Arial"/>
            <w:b/>
            <w:bCs/>
            <w:lang w:val="en-GB"/>
          </w:rPr>
          <w:t>s Tabu der Virginität</w:t>
        </w:r>
      </w:hyperlink>
      <w:r w:rsidRPr="008725BE">
        <w:rPr>
          <w:rFonts w:ascii="Garamond" w:hAnsi="Garamond"/>
          <w:color w:val="000000"/>
          <w:lang w:val="en-GB"/>
        </w:rPr>
        <w:t xml:space="preserve">  </w:t>
      </w:r>
      <w:r w:rsidRPr="008725BE">
        <w:rPr>
          <w:rFonts w:ascii="Garamond" w:hAnsi="Garamond"/>
          <w:caps/>
          <w:color w:val="000000"/>
          <w:lang w:val="en-GB"/>
        </w:rPr>
        <w:t>(1918)</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Wenige Einzelheiten des Sexuallebens primitiver Völker wirken so befremdend auf unser Gefühl wie deren Einschätzung der Virginität, der weiblichen Unberührtheit. Uns erscheint die Wertschätzung der Virginität von Seiten des werbenden Mannes so feststehend und selbstverständlich, daß wir beinahe in Verlegenheit geraten, wenn wir dieses Urteil begründen sollen. Die Forderung, das Mädchen dürfe in die Ehe mit dem einen Manne nicht die Erinnerung an Sexualverkehr mit einem anderen mitbringen, ist ja nichts anderes als die konsequente Fortführung des ausschließlichen Besitzrechtes auf ein Weib, welches das Wesen der Monogamie ausmacht, die Erstreckung dieses Monopols auf die Vergangenheit.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fällt uns dann nicht schwer, was zuerst ein Vorurteil zu sein schien, aus unseren Meinungen über das Liebesleben des Weibes zu rechtfertigen. Wer zuerst die durch lange Zeit mühselig zurückgehaltene Liebessehnsucht der Jungfrau befriedigt und dabei die Widerstände überwunden hat, die in ihr durch die Einflüsse von Milieu und Erziehung aufgebaut waren, der wird von ihr in ein dauerndes Verhältnis gezogen, dessen Möglichkeit sich keinem anderen mehr eröffnet. Auf Grund dieses Erlebnisses stellt sich bei der Frau ein Zustand von Hörigkeit her, der die ungestörte Fortdauer ihres Besitzes verbürgt und sie widerstandsfähig macht gegen neue Eindrücke und fremde Versuchungen.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Den Ausdruck »geschlechtliche Hörigkeit« hat 1892 v. Krafft-Ebing zur Bezeichnung der Tatsache gewählt, daß eine Person einen ungewöhnlich hohen Grad von Abhängigkeit und Unselbständigkeit gegen eine andere Person erwerben kann, mit welcher sie im Sexualverkehr steht. Diese Hörigkeit kann gelegentlich sehr weit gehen, bis zum Verlust jedes selbständigen Willens und bis zur Erduldung der schwersten Opfer am eigenen Interesse; der Autor hat aber nicht versäumt zu bemerken, daß ein gewisses Maß solcher Abhängigkeit »durchaus notwendig ist, wenn die Verbindung einige Dauer haben soll«. Ein solches Maß von sexueller Hörigkeit ist in der Tat unentbehrlich zur Aufrechterhaltung der kulturellen Ehe und zur Hintanhaltung der sie bedrohenden polygamen Tendenzen, und in unserer sozialen Gemeinschaft wird dieser Faktor regelmäßig in Anrechnung gebracht.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 »ungewöhnlicher Grad von Verliebtheit und Charakterschwäche« einerseits, uneingeschränkter Egoismus beim anderen Teil, aus diesem Zusammentreffen leitet v. Krafft-Ebing die Entstehung der sexuellen Hörigkeit ab. Analytische Erfahrungen gestatten es aber nicht, sich mit diesem einfachen Erklärungsversuch zu begnügen. Man kann vielmehr erkennen, daß die Größe des überwundenen Sexualwiderstandes das entscheidende Moment ist, dazu die Konzentration und Einmaligkeit des Vorganges der Überwindung. Die Hörigkeit ist demgemäß ungleich häufiger und intensiver beim Weibe als beim Manne, bei letzterem aber in unseren Zeiten immerhin häufiger als in der Antike. Wo wir die sexuelle Hörigkeit bei Männern studieren konnten, erwies sie sich als Erfolg der Überwindung einer psychischen Impotenz durch ein bestimmtes Weib, an welches der betreffende Mann von da an gebunden blieb. Viele auffällige Eheschließungen und manches tragische Schicksal –; selbst von weitreichendem Belange –; scheint in diesem Hergange seine Aufklärung zu finden.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nun zu erwähnende Verhalten primitiver Völker beschreibt man nicht richtig, wenn man aussagt, sie legten keinen Wert auf die Virginität, und zum Beweise dafür vorbringt, daß sie die Defloration der Mädchen außerhalb der Ehe und vor dem ersten ehelichen Verkehre vollziehen lassen. </w:t>
      </w:r>
      <w:r w:rsidRPr="008725BE">
        <w:rPr>
          <w:rFonts w:ascii="Garamond" w:hAnsi="Garamond"/>
          <w:color w:val="000000"/>
        </w:rPr>
        <w:t xml:space="preserve">Es scheint im Gegenteile, daß auch für sie die Defloration ein bedeutungsvoller Akt ist, aber sie ist Gegenstand eines Tabu, eines religiös zu nennenden Verbotes, geworden. </w:t>
      </w:r>
      <w:r w:rsidRPr="008725BE">
        <w:rPr>
          <w:rFonts w:ascii="Garamond" w:hAnsi="Garamond"/>
          <w:color w:val="000000"/>
          <w:lang w:val="en-GB"/>
        </w:rPr>
        <w:t xml:space="preserve">Anstatt sie dem Bräutigam und späteren Ehegatten des Mädchens vorzubehalten, fordert die Sitte, daß </w:t>
      </w:r>
      <w:r w:rsidRPr="008725BE">
        <w:rPr>
          <w:rFonts w:ascii="Garamond" w:hAnsi="Garamond"/>
          <w:i/>
          <w:iCs/>
          <w:color w:val="000000"/>
          <w:lang w:val="en-GB"/>
        </w:rPr>
        <w:t>dieser einer solchen Leistung ausweiche</w:t>
      </w:r>
      <w:hyperlink r:id="rId72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Crawley (1902); Bartels-Ploß (1891); verschiedene Stellen in Frazer (1911) und Havelock Ellis.</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liegt nicht in meiner Absicht, die literarischen Zeugnisse für den Bestand dieses Sittenverbotes vollständig zu sammeln, die geographische Verbreitung desselben zu verfolgen und alle Formen, in denen es sich äußert, aufzuzählen. Ich begnüge mich also mit der Feststellung, daß eine solche, außerhalb der späteren Ehe fallende Beseitigung des Hymens bei den heute lebenden primitiven Völkern etwas sehr Verbreitetes ist. So äußert Crawley (1902, 347): » </w:t>
      </w:r>
      <w:r w:rsidRPr="008725BE">
        <w:rPr>
          <w:rFonts w:ascii="Garamond" w:hAnsi="Garamond"/>
          <w:i/>
          <w:iCs/>
          <w:color w:val="000000"/>
          <w:lang w:val="en-GB"/>
        </w:rPr>
        <w:t>This marriage ceremony consists in perforation of the hymen by some appointed person other than the husband; it is most common in the lowest stages of culture, especially in Australia.</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aber die Defloration nicht durch den ersten ehelichen Verkehr erfolgen soll, so muß sie vorher –; auf irgendeine Weise und von irgendwelcher Seite –; vorgenommen worden sein. Ich werde einige Stellen aus Crawleys obenerwähntem Buche anführen, welche über diese Punkte Auskunft geben, die uns aber auch zu einigen kritischen Bemerkungen berechtigen.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Ibid., 191: »Bei den Dieri und einigen Nachbarstämmen (in Australien) ist es allgemeiner Brauch, das Hymen zu zerstören, wenn das Mädchen die Pubertät erreicht hat. Bei den Portland- und Glenelg-</w:t>
      </w:r>
      <w:r w:rsidRPr="008725BE">
        <w:rPr>
          <w:rFonts w:ascii="Garamond" w:hAnsi="Garamond"/>
          <w:color w:val="000000"/>
          <w:lang w:val="en-GB"/>
        </w:rPr>
        <w:lastRenderedPageBreak/>
        <w:t xml:space="preserve">Stämmen fällt es einer alten Frau zu, dies bei der Braut zu tun, und mitunter werden auch weiße Männer in solcher Absicht aufgefordert, Mädchen zu entjungfern.« </w:t>
      </w:r>
      <w:hyperlink r:id="rId72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 </w:t>
        </w:r>
        <w:r w:rsidRPr="008725BE">
          <w:rPr>
            <w:rStyle w:val="innerfusslink3"/>
            <w:rFonts w:ascii="Garamond" w:hAnsi="Garamond" w:cs="Arial"/>
            <w:b/>
            <w:bCs/>
            <w:i/>
            <w:iCs/>
            <w:lang w:val="en-GB"/>
          </w:rPr>
          <w:t>Thus in the Dieri and neighbouring tribes (in Australia) it is the universal custom when a girl reaches puberty to rupture the hymen. (Journ. Anthrop. Inst.,</w:t>
        </w:r>
        <w:r w:rsidRPr="008725BE">
          <w:rPr>
            <w:rStyle w:val="innerfusslink3"/>
            <w:rFonts w:ascii="Garamond" w:hAnsi="Garamond" w:cs="Arial"/>
            <w:b/>
            <w:bCs/>
            <w:lang w:val="en-GB"/>
          </w:rPr>
          <w:t xml:space="preserve"> Bd. 24, 169.) </w:t>
        </w:r>
        <w:r w:rsidRPr="008725BE">
          <w:rPr>
            <w:rStyle w:val="innerfusslink3"/>
            <w:rFonts w:ascii="Garamond" w:hAnsi="Garamond" w:cs="Arial"/>
            <w:b/>
            <w:bCs/>
            <w:i/>
            <w:iCs/>
            <w:lang w:val="en-GB"/>
          </w:rPr>
          <w:t>In the Portland and Glenelg tribes this is done to the bride by an old woman; and sometimes white men are asked for this reason to deflower maidens</w:t>
        </w:r>
        <w:r w:rsidRPr="008725BE">
          <w:rPr>
            <w:rStyle w:val="innerfusslink3"/>
            <w:rFonts w:ascii="Garamond" w:hAnsi="Garamond" w:cs="Arial"/>
            <w:b/>
            <w:bCs/>
            <w:lang w:val="en-GB"/>
          </w:rPr>
          <w:t xml:space="preserve"> (Brough Smith, Bd. 2, 319).«</w:t>
        </w:r>
      </w:hyperlink>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Ibid., 307: »Die absichtliche Zerreißung des Hymens wird manchmal in der Kindheit, gewöhnlich aber zur Zeit der Pubertät ausgeführt... Sie wird oft –; wie in Australien –; mit einem offiziellen Begattungsakte kombiniert.« </w:t>
      </w:r>
      <w:hyperlink r:id="rId72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 </w:t>
        </w:r>
        <w:r w:rsidRPr="008725BE">
          <w:rPr>
            <w:rStyle w:val="innerfusslink3"/>
            <w:rFonts w:ascii="Garamond" w:hAnsi="Garamond" w:cs="Arial"/>
            <w:b/>
            <w:bCs/>
            <w:i/>
            <w:iCs/>
            <w:lang w:val="en-GB"/>
          </w:rPr>
          <w:t>The artificial rupture of the hymen sometimes takes place in infancy, but generally at puberty... It is often combined, as in Australia, with a ceremonial act of intercourse.</w:t>
        </w:r>
        <w:r w:rsidRPr="008725BE">
          <w:rPr>
            <w:rStyle w:val="innerfusslink3"/>
            <w:rFonts w:ascii="Garamond" w:hAnsi="Garamond" w:cs="Arial"/>
            <w:b/>
            <w:bCs/>
            <w:lang w:val="en-GB"/>
          </w:rPr>
          <w:t>«</w:t>
        </w:r>
      </w:hyperlink>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Ibid., 348: (Von australischen Stämmen, bei denen die bekannten exogamischen Heiratsbeschränkungen bestehen, nach Mitteilung von Spencer und Gillen:) »Das Hymen wird künstlich durchbohrt, und die Männer, die bei dieser Operation zugegen waren, führen dann in festgesetzter Reihenfolge einen (wohlgemerkt: zeremoniellen) Koitus mit dem Mädchen aus... Der ganze Vorgang hat sozusagen zwei Akte: Die Zerstörung des Hymens und darauf den Geschlechtsverkehr.« </w:t>
      </w:r>
      <w:hyperlink r:id="rId72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 </w:t>
        </w:r>
        <w:r w:rsidRPr="008725BE">
          <w:rPr>
            <w:rStyle w:val="innerfusslink3"/>
            <w:rFonts w:ascii="Garamond" w:hAnsi="Garamond" w:cs="Arial"/>
            <w:b/>
            <w:bCs/>
            <w:i/>
            <w:iCs/>
            <w:lang w:val="en-GB"/>
          </w:rPr>
          <w:t>The hymen is artificially perforated, and then the assisting men have access (ceremonial, be it observed) to the girl in a stated order... The act is in two parts, perforation and intercourse.</w:t>
        </w:r>
        <w:r w:rsidRPr="008725BE">
          <w:rPr>
            <w:rStyle w:val="innerfusslink3"/>
            <w:rFonts w:ascii="Garamond" w:hAnsi="Garamond" w:cs="Arial"/>
            <w:b/>
            <w:bCs/>
            <w:lang w:val="en-GB"/>
          </w:rPr>
          <w:t>«</w:t>
        </w:r>
      </w:hyperlink>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Ibid., 349: »Bei den Massai (im äquatorialen Afrika) gehört die Vornahme dieser Operation zu den wichtigsten Vorbereitungen für die Ehe. Bei den Sakais (Malaien), den Battas (Sumatra) und den Alfoers auf Celebes wird die Defloration vom Vater der Braut ausgeführt. Auf den Philippinen gab es bestimmte Männer, die den Beruf hatten, Bräute zu deflorieren, falls das Hymen nicht schon in der Kindheit von einer dazu beauftragten alten Frau zerstört worden war. Bei einigen Eskimostämmen wurde die Entjungferung der Braut dem </w:t>
      </w:r>
      <w:r w:rsidRPr="008725BE">
        <w:rPr>
          <w:rFonts w:ascii="Garamond" w:hAnsi="Garamond"/>
          <w:i/>
          <w:iCs/>
          <w:color w:val="000000"/>
          <w:lang w:val="en-GB"/>
        </w:rPr>
        <w:t>Angekok</w:t>
      </w:r>
      <w:r w:rsidRPr="008725BE">
        <w:rPr>
          <w:rFonts w:ascii="Garamond" w:hAnsi="Garamond"/>
          <w:color w:val="000000"/>
          <w:lang w:val="en-GB"/>
        </w:rPr>
        <w:t xml:space="preserve"> oder Priester überlassen.« </w:t>
      </w:r>
      <w:hyperlink r:id="rId72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 </w:t>
        </w:r>
        <w:r w:rsidRPr="008725BE">
          <w:rPr>
            <w:rStyle w:val="innerfusslink3"/>
            <w:rFonts w:ascii="Garamond" w:hAnsi="Garamond" w:cs="Arial"/>
            <w:b/>
            <w:bCs/>
            <w:i/>
            <w:iCs/>
            <w:lang w:val="en-GB"/>
          </w:rPr>
          <w:t>An important preliminary of marriage amongst the Masai (in Equatorial Africa) is the performance of this operation on the girl.</w:t>
        </w:r>
        <w:r w:rsidRPr="008725BE">
          <w:rPr>
            <w:rStyle w:val="innerfusslink3"/>
            <w:rFonts w:ascii="Garamond" w:hAnsi="Garamond" w:cs="Arial"/>
            <w:b/>
            <w:bCs/>
            <w:lang w:val="en-GB"/>
          </w:rPr>
          <w:t xml:space="preserve"> (J.Thomson, 258.) </w:t>
        </w:r>
        <w:r w:rsidRPr="008725BE">
          <w:rPr>
            <w:rStyle w:val="innerfusslink3"/>
            <w:rFonts w:ascii="Garamond" w:hAnsi="Garamond" w:cs="Arial"/>
            <w:b/>
            <w:bCs/>
            <w:i/>
            <w:iCs/>
            <w:lang w:val="en-GB"/>
          </w:rPr>
          <w:t>This defloration is performed by the father of the bride amongst the Sakais (Malay), Battas (Sumatra), and Alfoers of Celebes.</w:t>
        </w:r>
        <w:r w:rsidRPr="008725BE">
          <w:rPr>
            <w:rStyle w:val="innerfusslink3"/>
            <w:rFonts w:ascii="Garamond" w:hAnsi="Garamond" w:cs="Arial"/>
            <w:b/>
            <w:bCs/>
            <w:lang w:val="en-GB"/>
          </w:rPr>
          <w:t xml:space="preserve"> (Ploß und Bartels, Bd. 2, 490.) </w:t>
        </w:r>
        <w:r w:rsidRPr="008725BE">
          <w:rPr>
            <w:rStyle w:val="innerfusslink3"/>
            <w:rFonts w:ascii="Garamond" w:hAnsi="Garamond" w:cs="Arial"/>
            <w:b/>
            <w:bCs/>
            <w:i/>
            <w:iCs/>
            <w:lang w:val="en-GB"/>
          </w:rPr>
          <w:t>In the Philippines there were certain men whose profession it was to deflower brides, in case the hymen had not been ruptured in childhood by an old woman who was sometimes employed for this.</w:t>
        </w:r>
        <w:r w:rsidRPr="008725BE">
          <w:rPr>
            <w:rStyle w:val="innerfusslink3"/>
            <w:rFonts w:ascii="Garamond" w:hAnsi="Garamond" w:cs="Arial"/>
            <w:b/>
            <w:bCs/>
            <w:lang w:val="en-GB"/>
          </w:rPr>
          <w:t xml:space="preserve"> (Featherman, Bd. 2, 474.) </w:t>
        </w:r>
        <w:r w:rsidRPr="008725BE">
          <w:rPr>
            <w:rStyle w:val="innerfusslink3"/>
            <w:rFonts w:ascii="Garamond" w:hAnsi="Garamond" w:cs="Arial"/>
            <w:b/>
            <w:bCs/>
            <w:i/>
            <w:iCs/>
            <w:lang w:val="en-GB"/>
          </w:rPr>
          <w:t>The defloration of the bride was amongst some Eskimo tribes entrusted to the angekok, or priest.</w:t>
        </w:r>
        <w:r w:rsidRPr="008725BE">
          <w:rPr>
            <w:rStyle w:val="innerfusslink3"/>
            <w:rFonts w:ascii="Garamond" w:hAnsi="Garamond" w:cs="Arial"/>
            <w:b/>
            <w:bCs/>
            <w:lang w:val="en-GB"/>
          </w:rPr>
          <w:t xml:space="preserve"> (Ibid., Bd. 3, 406.)</w:t>
        </w:r>
      </w:hyperlink>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Bemerkungen, die ich angekündigt habe, beziehen sich auf zwei Punkte. Es ist erstens zu bedauern, daß in diesen Angaben nicht sorgfältiger zwischen der bloßen Zerstörung des Hymens ohne Koitus und dem Koitus zum Zwecke solcher Zerstörung unterschieden wird. Nur an einer Stelle hörten wir ausdrücklich, daß der Vorgang sich in zwei Akte zerlegt, in die (manuelle oder instrumentale) Defloration und den darauffolgenden Geschlechtsakt. Das sonst sehr reichliche Material bei Bartels-Ploß wird für unsere Zwecke nahezu unbrauchbar, weil in dieser Darstellung die psychologische Bedeutsamkeit des Deflorationsaktes gegen dessen anatomischen Erfolg völlig verschwindet. Zweitens möchte man gerne darüber belehrt werden, wodurch sich der »zeremonielle« (rein formale, feierliche, offizielle) Koitus bei diesen Gelegenheiten vom regelrechten Geschlechtsverkehr unterscheidet. Die Autoren, zu denen ich Zugang hatte, waren entweder zu schämig, sich darüber zu äußern, oder haben wiederum die psychologische Bedeutung solcher sexueller Details unterschätzt. Wir können hoffen, daß die Originalberichte der Reisenden und Missionäre ausführlicher und unzweideutiger sind, aber bei der heutigen Unzugänglichkeit dieser meist fremdländischen Literatur kann ich nichts Sicheres darüber sagen. Übrigens darf man sich über die Zweifel in diesem zweiten Punkte mit der Erwägung hinwegsetzen, daß ein zeremonieller Scheinkoitus doch nur den Ersatz und vielleicht die Ablösung für einen in früheren Zeiten voll ausgeführten darstellen würde </w:t>
      </w:r>
      <w:hyperlink r:id="rId72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Für zahlreiche andere Fälle von Hochzeitszeremoniell leidet es keinen Zweifel, daß anderen Personen als dem Bräutigam, z. B. den Gehilfen und Gefährten desselben (den »Kranzelherren« unserer Sitte), die sexuelle Verfügung über die Braut voll eingeräumt wird.</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Zur Erklärung dieses Tabu der Virginität kann man verschiedenartige Momente heranziehen, die ich in flüchtiger Darstellung würdigen will. Bei der Defloration der Mädchen wird in der Regel Blut vergossen; der erste Erklärungsversuch beruft sich denn auch auf die Blutscheu der Primitiven, die das Blut für den Sitz des Lebens halten. Dieses Bluttabu ist durch vielfache Vorschriften, die mit der Sexualität nichts zu tun haben, erwiesen, es hängt offenbar mit dem Verbote, nicht zu morden, zusammen und bildet eine Schutzwehr gegen den ursprünglichen Blutdurst, die Mordlust des Urmenschen. Bei dieser Auffassung wird das Tabu der Virginität mit dem fast ausnahmslos eingehaltenen Tabu der Menstruation </w:t>
      </w:r>
      <w:r w:rsidRPr="008725BE">
        <w:rPr>
          <w:rFonts w:ascii="Garamond" w:hAnsi="Garamond"/>
          <w:color w:val="000000"/>
          <w:lang w:val="en-GB"/>
        </w:rPr>
        <w:lastRenderedPageBreak/>
        <w:t xml:space="preserve">zusammengebracht. Der Primitive kann das rätselhafte Phänomen des blutigen Monatsflusses nicht von sadistischen Vorstellungen fernehalten. </w:t>
      </w:r>
      <w:r w:rsidRPr="008725BE">
        <w:rPr>
          <w:rFonts w:ascii="Garamond" w:hAnsi="Garamond"/>
          <w:color w:val="000000"/>
        </w:rPr>
        <w:t xml:space="preserve">Die Menstruation, zumal die erste, deutet er als den Biß eines geisterhaften Tieres, vielleicht als Zeichen des sexuellen Verkehrs mit diesem Geist. Gelegentlich gestattet ein Bericht, diesen Geist als den eines Ahnen zu erkennen, und dann verstehen wir in Anlehnung an andere Einsichten </w:t>
      </w:r>
      <w:hyperlink r:id="rId729" w:anchor="#" w:history="1">
        <w:r w:rsidRPr="008725BE">
          <w:rPr>
            <w:rStyle w:val="fusslink"/>
            <w:rFonts w:ascii="Garamond" w:hAnsi="Garamond" w:cs="Arial"/>
            <w:b/>
            <w:bCs/>
            <w:color w:val="003399"/>
          </w:rPr>
          <w:t>[Fußnote]</w:t>
        </w:r>
        <w:r w:rsidRPr="008725BE">
          <w:rPr>
            <w:rStyle w:val="innerfusslink3"/>
            <w:rFonts w:ascii="Garamond" w:hAnsi="Garamond" w:cs="Arial"/>
            <w:b/>
            <w:bCs/>
          </w:rPr>
          <w:t xml:space="preserve">Siehe </w:t>
        </w:r>
        <w:r w:rsidRPr="008725BE">
          <w:rPr>
            <w:rStyle w:val="innerfusslink3"/>
            <w:rFonts w:ascii="Garamond" w:hAnsi="Garamond" w:cs="Arial"/>
            <w:b/>
            <w:bCs/>
            <w:i/>
            <w:iCs/>
          </w:rPr>
          <w:t>Totem und Tabu</w:t>
        </w:r>
        <w:r w:rsidRPr="008725BE">
          <w:rPr>
            <w:rStyle w:val="innerfusslink3"/>
            <w:rFonts w:ascii="Garamond" w:hAnsi="Garamond" w:cs="Arial"/>
            <w:b/>
            <w:bCs/>
          </w:rPr>
          <w:t xml:space="preserve"> (1912-13).</w:t>
        </w:r>
      </w:hyperlink>
      <w:r w:rsidRPr="008725BE">
        <w:rPr>
          <w:rFonts w:ascii="Garamond" w:hAnsi="Garamond"/>
          <w:color w:val="000000"/>
        </w:rPr>
        <w:t>, daß das menstruierende Mädchen als Eigentum dieses Ahnengeistes tabu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Von anderer Seite werden wir aber gewarnt, den Einfluß eines Moments wie die Blutscheu nicht zu überschätzen. Diese hat es doch nicht vermocht, Gebräuche wie die Beschneidung der Knaben und die noch grausamere der Mädchen (Exzision der Klitoris und der kleinen Labien), die zum Teile bei den nämlichen Völkern geübt werden, zu unterdrücken oder die Geltung von anderem Zeremoniell, bei dem Blut vergossen wird, aufzuheben. Es wäre also auch nicht zu verwundern, wenn sie bei der ersten Kohabitation zugunsten des Ehemannes überwunden würde.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zweite Erklärung sieht gleichfalls vom Sexuellen ab, greift aber viel weiter ins Allgemeine aus. Sie führt an, daß der Primitive die Beute einer beständig lauernden Angstbereitschaft ist, ganz ähnlich, wie wir es in der psychoanalytischen Neurosenlehre vom Angstneurotiker behaupten. Diese Angstbereitschaft wird sich am stärksten bei allen Gelegenheiten zeigen, die irgendwie vom Gewohnten abweichen, die etwas Neues, Unerwartetes, Unverstandenes, Unheimliches mit sich bringen. Daher stammt auch das weit in die späteren Religionen hineinreichende Zeremoniell, das mit dem Beginne jeder neuen Verrichtung, dem Anfange jedes Zeitabschnittes, dem Erstlingsertrag von Mensch, Tier und Frucht verknüpft ist. Die Gefahren, von denen sich der Ängstliche bedroht glaubt, treten niemals stärker in seiner Erwartung auf als zu Beginn der gefahrvollen Situation, und dann ist es auch allein zweckmäßig, sich gegen sie zu schützen. Der erste Sexualverkehr in der Ehe hat nach seiner Bedeutung gewiß einen Anspruch darauf, von diesen Vorsichtsmaßregeln eingeleitet zu werden. Die beiden Erklärungsversuche, der aus der Blutscheu und der aus der Erstlingsangst, widersprechen einander nicht, verstärken einander vielmehr. Der erste Sexualverkehr ist gewiß ein bedenklicher Akt, um so mehr, wenn bei ihm Blut fließen muß.</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dritte Erklärung –; es ist die von Crawley bevorzugte –; macht darauf aufmerksam, daß das Tabu der Virginität in einen großen, das ganze Sexualleben umfassenden Zusammenhang gehört. Nicht nur der erste Koitus mit dem Weibe ist tabu, sondern der Sexualverkehr überhaupt; beinahe könnte man sagen, das Weib sei im ganzen tabu. Das Weib ist nicht nur tabu in den besonderen, aus seinem Geschlechtsleben abfolgenden Situationen der Menstruation, der Schwangerschaft, der Entbindung und des Kindbettes, auch außerhalb derselben unterliegt der Verkehr mit dem Weibe so ernsthaften und so reichlichen Einschränkungen, daß wir allen Grund haben, die angebliche Sexualfreiheit der Wilden zu bezweifeln. Es ist richtig, daß die Sexualität der Primitiven bei bestimmten Anlässen sich über alle Hemmungen hinaussetzt; gewöhnlich aber scheint sie stärker durch Verbote eingeschnürt als auf höheren Kulturstufen. Sowie der Mann etwas Besonderes unternimmt, eine Expedition, eine Jagd, einen Kriegszug, muß er sich vom Weibe, zumal vom Sexualverkehr mit dem Weibe fernhalten; es würde sonst seine Kraft lähmen und ihm Mißerfolg bringen. Auch in den Gebräuchen des täglichen Lebens ist ein Streben nach dem Auseinanderhalten der Geschlechter unverkennbar. Weiber leben mit Weibern, Männer mit Männern zusammen; ein Familienleben in unserem Sinne soll es bei vielen primitiven Stämmen kaum geben. Die Trennung geht mitunter so weit, daß das eine Geschlecht die persönlichen Namen des anderen Geschlechts nicht aussprechen darf, daß die Frauen eine Sprache mit besonderem Wortschatze entwickeln. Das sexuelle Bedürfnis darf diese Trennungsschranken immer wieder von neuem durchbrechen, aber bei manchen Stämmen müssen selbst die Zusammenkünfte der Ehegatten außerhalb des Hauses und im Geheimen stattfinden.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Wo der Primitive ein Tabu hingesetzt hat, da fürchtet er eine Gefahr, und es ist nicht abzuweisen, daß sich in all diesen Vermeidungsvorschriften eine prinzipielle Scheu vor dem Weibe äußert. Vielleicht ist diese Scheu darin begründet, daß das Weib anders ist als der Mann, ewig unverständlich und geheimnisvoll, fremdartig und darum feindselig erscheint. Der Mann fürchtet, vom Weibe geschwächt, mit dessen Weiblichkeit angesteckt zu werden und sich dann untüchtig zu zeigen. Die erschlaffende, Spannungen lösende Wirkung des Koitus mag für diese Befürchtung vorbildlich sein und die Wahrnehmung des Einflusses, den das Weib durch den Geschlechtsverkehr auf den Mann gewinnt, die Rücksicht, die es sich dadurch erzwingt, die Ausbreitung dieser Angst rechtfertigen. An all dem ist nichts, was veraltet wäre, was nicht unter uns weiterlebte.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Viele Beobachter der heute lebenden Primitiven haben das Urteil gefällt, daß deren Liebesstreben verhältnismäßig schwach sei und niemals die Intensitäten erreiche, die wir bei der Kulturmenschheit zu finden gewohnt sind. Andere haben dieser Schätzung widersprochen, aber jedenfalls zeugen die </w:t>
      </w:r>
      <w:r w:rsidRPr="008725BE">
        <w:rPr>
          <w:rFonts w:ascii="Garamond" w:hAnsi="Garamond"/>
          <w:color w:val="000000"/>
          <w:lang w:val="en-GB"/>
        </w:rPr>
        <w:lastRenderedPageBreak/>
        <w:t>aufgezählten Tabugebräuche von der Existenz einer Macht, die sich der Liebe widersetzt, indem sie das Weib als fremd und feindselig ablehnt.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Ausdrücken, welche sich nur wenig von der gebräuchlichen Terminologie der Psychoanalyse unterscheiden, legt Crawley dar, daß jedes Individuum sich durch ein » </w:t>
      </w:r>
      <w:r w:rsidRPr="008725BE">
        <w:rPr>
          <w:rFonts w:ascii="Garamond" w:hAnsi="Garamond"/>
          <w:i/>
          <w:iCs/>
          <w:color w:val="000000"/>
          <w:lang w:val="en-GB"/>
        </w:rPr>
        <w:t>taboo of personal isolation</w:t>
      </w:r>
      <w:r w:rsidRPr="008725BE">
        <w:rPr>
          <w:rFonts w:ascii="Garamond" w:hAnsi="Garamond"/>
          <w:color w:val="000000"/>
          <w:lang w:val="en-GB"/>
        </w:rPr>
        <w:t>« von den anderen absondert und daß gerade die kleinen Unterschiede bei sonstiger Ähnlichkeit die Gefühle von Fremdheit und Feindseligkeit zwischen ihnen begründen. Es wäre verlockend, dieser Idee nachzugehen und aus diesem »Narzißmus der kleinen Unterschiede« die Feindseligkeit abzuleiten, die wir in allen menschlichen Beziehungen erfolgreich gegen die Gefühle von Zusammengehörigkeit streiten und das Gebot der allgemeinen Menschenliebe überwältigen sehen. Von der Begründung der narzißtischen, reichlich mit Geringschätzung versetzten Ablehnung des Weibes durch den Mann glaubt die Psychoanalyse ein Hauptstück erraten zu haben, indem sie auf den Kastrationskomplex und dessen Einfluß auf die Beurteilung des Weibes verweist.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merken indes, daß wir mit diesen letzten Erwägungen weit über unser Thema hinausgegriffen haben. Das allgemeine Tabu des Weibes wirft kein Licht auf die besonderen Vorschriften für den ersten Sexualakt mit dem jungfräulichen Individuum. Hier bleiben wir auf die beiden ersten Erklärungen der Blutscheu und der Erstlingsscheu angewiesen, und selbst von diesen müßten wir aussagen, daß sie den Kern des in Rede stehenden Tabugebotes nicht treffen. Diesem liegt ganz offenbar die Absicht zugrunde, </w:t>
      </w:r>
      <w:r w:rsidRPr="008725BE">
        <w:rPr>
          <w:rFonts w:ascii="Garamond" w:hAnsi="Garamond"/>
          <w:i/>
          <w:iCs/>
          <w:color w:val="000000"/>
          <w:lang w:val="en-GB"/>
        </w:rPr>
        <w:t>gerade dem späteren Ehemanne etwas zu versagen oder zu ersparen</w:t>
      </w:r>
      <w:r w:rsidRPr="008725BE">
        <w:rPr>
          <w:rFonts w:ascii="Garamond" w:hAnsi="Garamond"/>
          <w:color w:val="000000"/>
          <w:lang w:val="en-GB"/>
        </w:rPr>
        <w:t>, was von dem ersten Sexualakt nicht loszulösen ist, wiewohl sich nach unserer eingangs gemachten Bemerkung von dieser selben Beziehung eine besondere Bindung des Weibes an diesen einen Mann ableiten müßte.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ist diesmal nicht unsere Aufgabe, die Herkunft und letzte Bedeutung der Tabuvorschriften zu erörtern. Ich habe dies in meinem Buche </w:t>
      </w:r>
      <w:r w:rsidRPr="008725BE">
        <w:rPr>
          <w:rFonts w:ascii="Garamond" w:hAnsi="Garamond"/>
          <w:i/>
          <w:iCs/>
          <w:color w:val="000000"/>
          <w:lang w:val="en-GB"/>
        </w:rPr>
        <w:t>Totem und Tabu</w:t>
      </w:r>
      <w:r w:rsidRPr="008725BE">
        <w:rPr>
          <w:rFonts w:ascii="Garamond" w:hAnsi="Garamond"/>
          <w:color w:val="000000"/>
          <w:lang w:val="en-GB"/>
        </w:rPr>
        <w:t xml:space="preserve"> getan, dort die Bedingung einer ursprünglichen Ambivalenz für das Tabu gewürdigt und die Entstehung desselben aus den vorzeitlichen Vorgängen verfochten, welche zur Gründung der menschlichen Familie geführt haben. Aus den heute beobachteten Tabugebräuchen der Primitiven läßt sich eine solche Vorbedeutung nicht mehr erkennen. Wir vergessen bei solcher Forderung allzu leicht, daß auch die primitivsten Völker in einer von der urzeitlichen weit entfernten Kultur leben, die zeitlich ebenso alt ist wie die unsrige und gleichfalls einer späteren, wenn auch andersartigen Entwicklungsstufe entspricht.</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GB"/>
        </w:rPr>
        <w:t xml:space="preserve">Wir finden heute das Tabu bei den Primitiven bereits zu einem kunstvollen System ausgesponnen, ganz wie es unsere Neurotiker in ihren Phobien entwickeln, und alte Motive durch neuere, harmonisch zusammenstimmende, ersetzt. Mit Hinwegsetzung über jene genetischen Probleme wollen wir darum auf die Einsicht zurückgreifen, daß der Primitive dort ein Tabu anbringt, wo er eine Gefahr befürchtet. Diese Gefahr ist, allgemein gefaßt, eine psychische, denn der Primitive ist nicht dazu gedrängt, hier zwei Unterscheidungen vorzunehmen, die uns als unausweichlich erscheinen. </w:t>
      </w:r>
      <w:r w:rsidRPr="008725BE">
        <w:rPr>
          <w:rFonts w:ascii="Garamond" w:hAnsi="Garamond"/>
          <w:color w:val="000000"/>
        </w:rPr>
        <w:t xml:space="preserve">Er sondert die materielle Gefahr nicht von der psychischen und die reale nicht von der imaginären. In seiner konsequent durchgeführten animistischen Weltauffassung stammt ja jede Gefahr aus der feindseligen Absicht eines gleich ihm beseelten Wesens, sowohl die Gefahr, die von einer Naturkraft droht, wie die von anderen Menschen oder Tieren. </w:t>
      </w:r>
      <w:r w:rsidRPr="008725BE">
        <w:rPr>
          <w:rFonts w:ascii="Garamond" w:hAnsi="Garamond"/>
          <w:color w:val="000000"/>
          <w:lang w:val="en-US"/>
        </w:rPr>
        <w:t>Anderseits aber ist er gewohnt, seine eigenen inneren Regungen von Feindseligkeit in die Außenwelt zu projizieren, sie also den Objekten, die er als unliebsam oder auch nur als fremd empfindet, zuzuschieben. Als Quelle solcher Gefahren wird nun auch das Weib erkannt und der erste Sexualakt mit dem Weibe als eine besonders intensive Gefahr ausgezeichnet.</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US"/>
        </w:rPr>
        <w:t>Ich glaube nun, wir werden einigen Aufschluß darüber erhalten, welches diese gesteigerte Gefahr ist und warum sie gerade den späteren Ehemann bedroht, wenn wir das Verhalten der heute lebenden Frauen unserer Kulturstufe unter den gleichen Verhältnissen genauer untersuchen. Ich stelle als das Ergebnis dieser Untersuchung voran, daß eine solche Gefahr wirklich besteht, so daß der Primitive sich mit dem Tabu der Virginität gegen eine richtig geahnte, wenn auch psychische Gefahr verteidigt.</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US"/>
        </w:rPr>
        <w:t xml:space="preserve">Wir schätzen es als die normale Reaktion ein, daß die Frau nach dem Koitus auf der Höhe der Befriedigung den Mann umarmend an sich preßt, sehen darin einen Ausdruck ihrer Dankbarkeit und eine Zusage dauernder Hörigkeit. Wir wissen aber, es ist keineswegs die Regel, daß auch der erste Verkehr dies Benehmen zur Folge hätte; sehr häufig bedeutet er bloß eine Enttäuschung für das Weib, das kühl und unbefriedigt bleibt, und es bedarf gewöhnlich längerer Zeit und häufigerer Wiederholung des Sexualaktes, bis sich bei diesem die Befriedigung auch für das Weib einstellt. Von diesen Fällen bloß anfänglicher und bald vorübergehender Frigidität führt eine stetige Reihe bis zu dem unerfreulichen Ergebnis einer stetig anhaltenden Frigidität, die durch keine zärtliche Bemühung des Mannes überwunden wird. Ich glaube, diese Frigidität des Weibes ist noch nicht genügend verstanden und fordert bis auf jene Fälle, die man der </w:t>
      </w:r>
      <w:r w:rsidRPr="008725BE">
        <w:rPr>
          <w:rFonts w:ascii="Garamond" w:hAnsi="Garamond"/>
          <w:color w:val="000000"/>
          <w:lang w:val="en-US"/>
        </w:rPr>
        <w:lastRenderedPageBreak/>
        <w:t>ungenügenden Potenz des Mannes zur Last legen muß, die Aufklärung, womöglich durch ihr nahestehende Erscheinungen, heraus.</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US"/>
        </w:rPr>
        <w:t>Die so häufigen Versuche, vor dem ersten Sexualverkehr die Flucht zu ergreifen, möchte ich hier nicht heranziehen, weil sie mehrdeutig und in erster Linie, wenn auch nicht durchaus, als Ausdruck des allgemeinen weiblichen Abwehrbestrebens aufzufassen sind. Dagegen glaube ich, daß gewisse pathologische Fälle ein Licht auf das Rätsel der weiblichen Frigidität werfen, in denen die Frau nach dem ersten, ja nach jedem neuerlichen Verkehr ihre Feindseligkeit gegen den Mann unverhohlen zum Ausdruck bringt, indem sie ihn beschimpft, die Hand gegen ihn erhebt oder ihn tatsächlich schlägt. In einem ausgezeichneten Falle dieser Art, den ich einer eingehenden Analyse unterziehen konnte, geschah dies, obwohl die Frau den Mann sehr liebte, den Koitus selbst zu fordern pflegte und in ihm unverkennbar hohe Befriedigung fand. Ich meine, daß diese sonderbare konträre Reaktion der Erfolg der nämlichen Regungen ist, die sich für gewöhnlich nur als Frigidität äußern können, das heißt imstande sind, die zärtliche Reaktion aufzuhalten, ohne sich dabei selbst zur Geltung zu bringen. In dem pathologischen Falle ist sozusagen in seine beiden Komponenten zerlegt, was sich bei der weit häufigeren Frigidität zu einer Hemmungswirkung vereinigt, ganz ähnlich, wie wir es an den sogenannten »zweizeitigen« Symptomen der Zwangsneurose längst erkannt haben. Die Gefahr, welche so durch die Defloration des Weibes regegemacht wird, bestünde darin, sich die Feindseligkeit desselben zuzuziehen, und gerade der spätere Ehemann hätte allen Grund, sich solcher Feindschaft zu entziehen.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US"/>
        </w:rPr>
        <w:t xml:space="preserve">Die Analyse läßt nun ohne Schwierigkeit erraten, welche Regungen des Weibes am Zustandekommen jenes paradoxen Verhaltens beteiligt sind, in dem ich die Aufklärung der Frigidität zu finden erwarte. Der erste Koitus macht eine Reihe solcher Regungen mobil, die für die erwünschte weibliche Einstellung unverwendbar sind, von denen einige sich auch bei späterem Verkehr nicht zu wiederholen brauchen. </w:t>
      </w:r>
      <w:r w:rsidRPr="008725BE">
        <w:rPr>
          <w:rFonts w:ascii="Garamond" w:hAnsi="Garamond"/>
          <w:color w:val="000000"/>
          <w:lang w:val="en-GB"/>
        </w:rPr>
        <w:t>In erster Linie wird man hier an den Schmerz denken, welcher der Jungfrau bei der Defloration zugefügt wird, ja vielleicht geneigt sein, dies Moment für entscheidend zu halten und von der Suche nach anderen abzustehen. Man kann aber eine solche Bedeutung nicht gut dem Schmerze zuschreiben, muß vielmehr an seine Stelle die narzißtische Kränkung setzen, die aus der Zerstörung eines Organs erwächst und die in dem Wissen um die Herabsetzung des sexuellen Wertes der Deflorierten selbst eine rationelle Vertretung findet. Die Hochzeitsgebräuche der Primitiven enthalten aber eine Warnung vor solcher Überschätzung. Wir haben gehört, daß in manchen Fällen das Zeremoniell ein zweizeitiges ist; nach der (mit Hand oder Instrument) durchgeführten Zerreißung des Hymens folgt noch ein offizieller Koitus oder Scheinverkehr mit den Vertretern des Mannes, und dies beweist uns, daß der Sinn der Tabuvorschrift durch die Vermeidung der anatomischen Defloration nicht erfüllt ist, daß dem Ehemann noch etwas anderes erspart werden soll als die Reaktion der Frau auf die schmerzhafte Verletzung.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finden als weiteren Grund für die Enttäuschung durch den ersten Koitus, daß für ihn, beim Kulturweibe wenigstens, Erwartung und Erfüllung nicht zusammenstimmen können. Der Sexualverkehr war bisher aufs stärkste mit dem Verbot assoziiert, der legale und erlaubte Verkehr wird darum nicht als das nämliche empfunden. Wie innig diese Verknüpfung sein kann, erhellt in beinahe komischer Weise aus dem Bestreben so vieler Bräute, die neuen Liebesbeziehungen vor allen Fremden, ja selbst vor den Eltern geheimzuhalten, wo eine wirkliche Nötigung dazu nicht besteht und ein Einspruch nicht zu erwarten ist. Die Mädchen sagen es offen, daß ihre Liebe an Wert für sie verliert, wenn andere davon wissen. Gelegentlich kann dies Motiv übermächtig werden und die Entwicklung der Liebesfähigkeit in der Ehe überhaupt verhindern. Die Frau findet ihre zärtliche Empfindlichkeit erst in einem unerlaubten, geheimzuhaltenden Verhältnis wieder, wo sie sich allein des eigenen unbeeinflußten Willens sicher weiß.</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Indes, auch dieses Motiv führt nicht tief genug; außerdem läßt es, an Kulturbedingungen gebunden, eine gute Beziehung zu den Zuständen der Primitiven vermissen. Um so bedeutungsvoller ist das nächste, auf der Entwicklungsgeschichte der Libido fußende Moment. Es ist uns durch die Bemühungen der Analyse bekannt geworden, wie regelmäßig und wie mächtig die frühesten Unterbringungen der Libido sind. Es handelt sich dabei um festgehaltene Sexualwünsche der Kindheit, beim Weibe zumeist um Fixierung der Libido an den Vater oder an den ihn ersetzenden Bruder, Wünsche, die häufig genug auf anderes als den Koitus gerichtet waren oder ihn nur als unscharf erkanntes Ziel einschlossen. Der Ehemann ist sozusagen immer nur ein Ersatzmann, niemals der Richtige; den ersten Satz auf die Liebesfähigkeit der Frau hat ein anderer, in typischen Fällen der Vater, er höchstens den zweiten. Es kommt nun darauf an, wie intensiv diese Fixierung ist und wie zähe sie festgehalten wird, damit der Ersatzmann als unbefriedigend abgelehnt werde. Die Frigidität steht somit unter den genetischen Bedingungen der Neurose. Je mächtiger das psychische Element im Sexualleben der Frau ist, desto widerstandsfähiger wird sich ihre Libidoverteilung gegen die Erschütterung des ersten Sexualaktes erweisen, desto weniger überwältigend wird ihre </w:t>
      </w:r>
      <w:r w:rsidRPr="008725BE">
        <w:rPr>
          <w:rFonts w:ascii="Garamond" w:hAnsi="Garamond"/>
          <w:color w:val="000000"/>
          <w:lang w:val="en-GB"/>
        </w:rPr>
        <w:lastRenderedPageBreak/>
        <w:t>körperliche Besitznahme wirken können. Die Frigidität mag sich dann als neurotische Hemmung festsetzen oder den Boden für die Entwicklung anderer Neurosen abgeben, und auch nur mäßige Herabsetzungen der männlichen Potenz kommen dabei als Helfer sehr in Betracht.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Dem Motiv des früheren Sexualwunsches scheint die Sitte der Primitiven Rechnung zu tragen, welche die Defloration einem Ältesten, Priester, heiligen Mann, also einem Vaterersatz (siehe oben), überträgt. Von hier aus scheint mir ein gerader Weg zum vielbestrittenen </w:t>
      </w:r>
      <w:r w:rsidRPr="008725BE">
        <w:rPr>
          <w:rFonts w:ascii="Garamond" w:hAnsi="Garamond"/>
          <w:i/>
          <w:iCs/>
          <w:color w:val="000000"/>
          <w:lang w:val="en-GB"/>
        </w:rPr>
        <w:t>jus primae noctis</w:t>
      </w:r>
      <w:r w:rsidRPr="008725BE">
        <w:rPr>
          <w:rFonts w:ascii="Garamond" w:hAnsi="Garamond"/>
          <w:color w:val="000000"/>
          <w:lang w:val="en-GB"/>
        </w:rPr>
        <w:t xml:space="preserve"> des mittelalterlichen Gutsherrn zu führen. A. J. Storfer (1911) hat dieselbe Auffassung vertreten, überdies die weitverbreitete Institution der »Tobiasehe« (der Sitte der Enthaltsamkeit in den ersten drei Nächten) als eine Anerkennung der Vorrechte des Patriarchen gedeutet, wie vor ihm bereits C. G. Jung (1909). Es entspricht dann nur unserer Erwartung, wenn wir unter den mit der Defloration betrauten Vatersurrogaten auch das Götterbild finden. In manchen Gegenden von Indien mußte die Neuvermählte das Hymen dem hölzernen Lingam opfern, und nach dem Berichte des heiligen Augustinus bestand im römischen Heiratszeremoniell (seiner Zeit?) dieselbe Sitte mit der Abschwächung, daß sich die junge Frau auf den riesigen Steinphallus des Priapus nur zu setzen brauchte </w:t>
      </w:r>
      <w:hyperlink r:id="rId73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Ploß und Bartels (1891, Bd. I, XII) und Dulaure (1905, 142).</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noch tiefere Schichten greift ein anderes Motiv zurück, welches nachweisbar an der paradoxen Reaktion gegen den Mann die Hauptschuld trägt und dessen Einfluß sich nach meiner Meinung noch in der Frigidität der Frau äußert. Durch den ersten Koitus werden beim Weibe noch andere alte Regungen als die beschriebenen aktiviert, die der weiblichen Funktion und Rolle überhaupt widerstreben.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wissen aus der Analyse vieler neurotischer Frauen, daß sie ein frühes Stadium durchmachen, in dem sie den Bruder um das Zeichen der Männlichkeit beneiden und sich wegen seines Fehlens (eigentlich seiner Verkleinerung) benachteiligt und zurückgesetzt fühlen. Wir ordnen diesen »Penisneid« dem »Kastrationskomplex« ein. Wenn man unter »männlich« das Männlichseinwollen mitversteht, so paßt auf dieses Verhalten die Bezeichnung »männlicher Protest«, die Alf. Adler geprägt hat, um diesen Faktor zum Träger der Neurose überhaupt zu proklamieren. In dieser Phase machen die Mädchen aus ihrem Neid und der daraus abgeleiteten Feindseligkeit gegen den begünstigten Bruder oft kein Hehl: sie versuchen es auch, aufrechtstehend wie der Bruder zu urinieren, um ihre angebliche Gleichberechtigung zu vertreten. In dem bereits erwähnten Falle von uneingeschränkter Aggression gegen den sonst geliebten Mann nach dem Koitus konnte ich feststellen, daß diese Phase vor der Objektwahl bestanden hatte. Erst später wandte sich die Libido des kleinen Mädchens dem Vater zu, und dann wünschte sie sich anstatt des Penis –; ein Kind </w:t>
      </w:r>
      <w:hyperlink r:id="rId73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›Über Triebumsetzungen insbesondere der Analerotik‹ (1917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würde nicht überrascht sein, wenn sich in anderen Fällen die Zeitfolge dieser Regungen umgekehrt fände und dies Stück des Kastrationskomplexes erst nach erfolgter Objektwahl zur Wirkung käme. Aber die männliche Phase des Weibes, in der es den Knaben um den Penis beneidet, ist jedenfalls die entwicklungsgeschichtlich frühere und steht dem ursprünglichen Narzißmus näher als der Objektliebe.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Vor einiger Zeit gab mir ein Zufall Gelegenheit, den Traum einer Neuvermählten zu erfassen, der sich als Reaktion auf ihre Entjungferung erkennen ließ. Er verriet ohne Zwang den Wunsch des Weibes, den jungen Ehemann zu kastrieren und seinen Penis bei sich zu behalten. Es war gewiß auch Raum für die harmlosere Deutung, es sei die Verlängerung und Wiederholung des Aktes gewünscht worden, allein manche Einzelheiten des Traumes gingen über diesen Sinn hinaus, und der Charakter wie das spätere Benehmen der Träumerin legten Zeugnis für die ernstere Auffassung ab. Hinter diesem Penisneid kommt nun die feindselige Erbitterung des Weibes gegen den Mann zum Vorschein, die in den Beziehungen der Geschlechter niemals ganz zu verkennen ist und von der in den Bestrebungen und literarischen Produktionen der » Emanzipierten« die deutlichsten Anzeichen vorliegen. Diese Feindseligkeit des Weibes führt Ferenczi –; ich weiß nicht, ob als erster –; in einer paläobiologischen Spekulation bis auf die Epoche der Differenzierung der Geschlechter zurück. Anfänglich, meint er, fand die Kopulation zwischen zwei gleichartigen Individuen statt, von denen sich aber eines zum stärkeren entwickelte und das schwächere zwang, die geschlechtliche Vereinigung zu erdulden. Die Erbitterung über dies Unterlegensein setze sich noch in der heutigen Anlage des Weibes fort. Ich halte es für vorwurfsfrei, sich solcher Spekulationen zu bedienen, solange man es vermeidet, sie zu überwerten.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Nach dieser Aufzählung der Motive für die in der Frigidität spurweise fortgesetzte paradoxe Reaktion des Weibes auf die Defloration darf man es zusammenfassend aussprechen, daß sich die </w:t>
      </w:r>
      <w:r w:rsidRPr="008725BE">
        <w:rPr>
          <w:rFonts w:ascii="Garamond" w:hAnsi="Garamond"/>
          <w:i/>
          <w:iCs/>
          <w:color w:val="000000"/>
          <w:lang w:val="en-GB"/>
        </w:rPr>
        <w:t>unfertige Sexualität</w:t>
      </w:r>
      <w:r w:rsidRPr="008725BE">
        <w:rPr>
          <w:rFonts w:ascii="Garamond" w:hAnsi="Garamond"/>
          <w:color w:val="000000"/>
          <w:lang w:val="en-GB"/>
        </w:rPr>
        <w:t xml:space="preserve"> des Weibes an dem Manne entlädt, der sie zuerst den Sexualakt kennen lehrt. Dann ist aber das Tabu der Virginität sinnreich genug, und wir verstehen die Vorschrift, welche gerade den Mann solche Gefahren vermeiden heißt, der in ein dauerndes Zusammenleben mit dieser Frau eintreten soll. Auf höheren Kulturstufen ist die Schätzung dieser Gefahr gegen die Verheißung der Hörigkeit und gewiß auch gegen </w:t>
      </w:r>
      <w:r w:rsidRPr="008725BE">
        <w:rPr>
          <w:rFonts w:ascii="Garamond" w:hAnsi="Garamond"/>
          <w:color w:val="000000"/>
          <w:lang w:val="en-GB"/>
        </w:rPr>
        <w:lastRenderedPageBreak/>
        <w:t>andere Motive und Verlockungen zurückgetreten; die Virginität wird als ein Gut betrachtet, auf welches der Mann nicht verzichten soll. Aber die Analyse der Ehestörungen lehrt, daß die Motive, welche das Weib dazu nötigen wollen, Rache für ihre Defloration zu nehmen, auch im Seelenleben des Kulturweibes nicht ganz erloschen sind. Ich meine, es muß dem Beobachter auffallen, in einer wie ungewöhnlich großen Anzahl von Fällen das Weib in einer ersten Ehe frigid bleibt und sich unglücklich fühlt, während sie nach Lösung dieser Ehe ihrem zweiten Manne eine zärtliche und beglückende Frau wird. Die archaische Reaktion hat sich sozusagen am ersten Objekt erschöpft.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Tabu der Virginität ist aber auch sonst in unserem Kulturleben nicht untergegangen. Die Volksseele weiß von ihm, und Dichter haben sich gelegentlich dieses Stoff es bedient. Anzengruber stellt in einer Komödie dar, wie sich ein einfältiger Bauernbursche abhalten läßt, die ihm zugedachte Braut zu heiraten, weil sie »a Dirn' is, was ihrem ersten 's Leben kost'«. Er willigt darum ein, daß sie einen anderen heirate, und will sie dann als Wittfrau nehmen, wo sie ungefährlich ist. Der Titel des Stückes: </w:t>
      </w:r>
      <w:r w:rsidRPr="008725BE">
        <w:rPr>
          <w:rFonts w:ascii="Garamond" w:hAnsi="Garamond"/>
          <w:i/>
          <w:iCs/>
          <w:color w:val="000000"/>
          <w:lang w:val="en-GB"/>
        </w:rPr>
        <w:t>Das Jungferngift</w:t>
      </w:r>
      <w:r w:rsidRPr="008725BE">
        <w:rPr>
          <w:rFonts w:ascii="Garamond" w:hAnsi="Garamond"/>
          <w:color w:val="000000"/>
          <w:lang w:val="en-GB"/>
        </w:rPr>
        <w:t xml:space="preserve"> erinnert daran, daß Schlangenbändiger die Giftschlange vorerst in ein Tüchlein beißen lassen, um sie dann ungefährdet zu handhaben </w:t>
      </w:r>
      <w:hyperlink r:id="rId73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Eine meisterhaft knappe Erzählung von A. Schnitzler (›Das Schicksal des Freiherrn v. Leisenbogh‹) verdient trotz der Abweichung in der Situation hier angereiht zu werden. Der durch einen Unfall verunglückte Liebhaber einer in der Liebe vielerfahrenen Schauspielerin hat ihr gleichsam eine neue Virginität geschaffen, indem er den Todesfluch über den Mann ausspricht, der sie zuerst nach ihm besitzen wird. Das mit diesem Tabu belegte Weib getraut sich auch eine Weile des Liebesverkehres nicht. Nachdem sie sich aber in einen Sänger verliebt hat, greift sie zur Auskunft, vorher dem Freiherrn v. Leisenbogh eine Nacht zu schenken, der sich seit Jahren erfolglos um sie bemüht. An ihm erfüllt sich auch der Fluch; er wird vom Schlag getroffen, sobald er das Motiv seines unverhofften Liebesglückes erfährt.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Tabu der Virginität und ein Stück seiner Motivierung hat seine mächtigste Darstellung in einer bekannten dramatischen Gestalt gefunden, in der Judith in Hebbels Tragödie </w:t>
      </w:r>
      <w:r w:rsidRPr="008725BE">
        <w:rPr>
          <w:rFonts w:ascii="Garamond" w:hAnsi="Garamond"/>
          <w:i/>
          <w:iCs/>
          <w:color w:val="000000"/>
          <w:lang w:val="en-GB"/>
        </w:rPr>
        <w:t>Judith und Holofernes</w:t>
      </w:r>
      <w:r w:rsidRPr="008725BE">
        <w:rPr>
          <w:rFonts w:ascii="Garamond" w:hAnsi="Garamond"/>
          <w:color w:val="000000"/>
          <w:lang w:val="en-GB"/>
        </w:rPr>
        <w:t>. Judith ist eine jener Frauen, deren Virginität durch ein Tabu geschützt ist. Ihr erster Mann wurde in der Brautnacht durch eine rätselhafte Angst gelähmt und wagte es nie mehr, sie zu berühren. »Meine Schönheit ist die der Tollkirsche«, sagt sie. »Ihr Genuß bringt Wahnsinn und Tod.« Als der assyrische Feldherr ihre Stadt bedrängt, faßt sie den Plan, ihn durch ihre Schönheit zu verführen und zu verderben, verwendet so ein patriotisches Motiv zur Verdeckung eines sexuellen. Nach der Defloration durch den gewaltigen, sich seiner Stärke und Rücksichtslosigkeit rühmenden Mann findet sie in ihrer Empörung die Kraft, ihm den Kopf abzuschlagen, und wird so zur Befreierin ihres Volkes. Köpfen ist uns als symbolischer Ersatz für Kastrieren wohlbekannt; danach ist Judith das Weib, das den Mann kastriert, von dem sie defloriert wurde, wie es auch der von mir berichtete Traum einer Neuvermählten wollte. Hebbel hat die patriotische Erzählung aus den Apokryphen des Alten Testaments in klarer Absichtlichkeit sexualisiert, denn dort kann Judith nach ihrer Rückkehr rühmen, daß sie nicht verunreinigt worden ist, auch fehlt im Text der Bibel jeder Hinweis auf ihre unheimliche Hochzeitsnacht. Wahrscheinlich hat er aber mit dem Feingefühl des Dichters das uralte Motiv verspürt, das in jene tendenziöse Erzählung eingegangen war, und dem Stoff nur seinen früheren Gehalt wiedergegeben.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 Sadger (1912) hat in einer trefflichen Analyse ausgeführt, wie Hebbel durch seinen eigenen Elternkomplex in seiner Stoffwahl bestimmt wurde und wie er dazu kam, so regelmäßig im Kampfe der Geschlechter für das Weib Partei zu nehmen und sich in dessen verborgenste Seelenregungen einzufühlen. Er zitiert auch die Motivierung, die der Dichter selbst für die von ihm eingeführte Abänderung des Stoffes gegeben hat, und findet sie mit Recht gekünstelt und wie dazu bestimmt, etwas dem Dichter selbst Unbewußtes nur äußerlich zu rechtfertigen und im Grunde zu verdecken. Sadgers Erklärung, warum die nach der biblischen Erzählung verwitwete Judith zur jungfräulichen Witwe werden mußte, will ich nicht antasten. Er weist auf die Absicht der kindlichen Phantasie hin, den sexuellen Verkehr der Eltern zu verleugnen und die Mutter zur unberührten Jungfrau zu machen. Aber ich setze fort: Nachdem der Dichter die Jungfräulichkeit seiner Heldin festgelegt hatte, verweilte seine nachfühlende Phantasie bei der feindseligen Reaktion, die durch die Verletzung der Virginität ausgelöst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dürfen also abschließend sagen: Die Defloration hat nicht nur die eine kulturelle Folge, das Weib dauernd an den Mann zu fesseln; sie entfesselt auch eine archaische Reaktion von Feindseligkeit gegen den Mann, welche pathologische Formen annehmen kann, die sich häufig genug durch Hemmungserscheinungen im Liebesleben der Ehe äußern, und der man es zuschreiben darf, daß zweite Ehen so oft besser geraten als die ersten. Das befremdende Tabu der Virginität, die Scheu, mit welcher bei </w:t>
      </w:r>
      <w:r w:rsidRPr="008725BE">
        <w:rPr>
          <w:rFonts w:ascii="Garamond" w:hAnsi="Garamond"/>
          <w:color w:val="000000"/>
          <w:lang w:val="en-GB"/>
        </w:rPr>
        <w:lastRenderedPageBreak/>
        <w:t>den Primitiven der Ehemann der Defloration aus dem Wege geht, finden in dieser feindseligen Reaktion ihre volle Rechtfertigung.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nun interessant, daß man als Analytiker Frauen begegnen kann, bei denen die entgegengesetzten Reaktionen von Hörigkeit und Feindseligkeit beide zum Ausdruck gekommen und in inniger Verknüpfung miteinander geblieben sind. Es gibt solche Frauen, die mit ihren Männern völlig zerfallen scheinen und doch nur vergebliche Bemühungen machen können, sich von ihnen zu lösen. Sooft sie es versuchen, ihre Liebe einem anderen Manne zuzuwenden, tritt das Bild des ersten, doch nicht mehr geliebten hemmend dazwischen. Die Analyse lehrt dann, daß diese Frauen allerdings noch in Hörigkeit an ihren ersten Männern hängen, aber nicht mehr aus Zärtlichkeit. Sie kommen von ihnen nicht frei, weil sie ihre Rache an ihnen nicht vollendet, in ausgeprägten Fällen die rachsüchtige Regung sich nicht einmal zum Bewußtsein gebracht haben.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Da</w:t>
        </w:r>
        <w:bookmarkStart w:id="144" w:name="KS9"/>
        <w:bookmarkEnd w:id="144"/>
        <w:r w:rsidRPr="008725BE">
          <w:rPr>
            <w:rStyle w:val="Lienhypertexte"/>
            <w:rFonts w:ascii="Garamond" w:hAnsi="Garamond" w:cs="Arial"/>
            <w:b/>
            <w:bCs/>
            <w:lang w:val="en-GB"/>
          </w:rPr>
          <w:t>s Unbewußte</w:t>
        </w:r>
      </w:hyperlink>
      <w:r w:rsidRPr="008725BE">
        <w:rPr>
          <w:rFonts w:ascii="Garamond" w:hAnsi="Garamond"/>
          <w:color w:val="000000"/>
          <w:lang w:val="en-GB"/>
        </w:rPr>
        <w:t xml:space="preserve">  </w:t>
      </w:r>
      <w:r w:rsidRPr="008725BE">
        <w:rPr>
          <w:rFonts w:ascii="Garamond" w:hAnsi="Garamond"/>
          <w:caps/>
          <w:color w:val="000000"/>
          <w:lang w:val="en-GB"/>
        </w:rPr>
        <w:t>(1915)</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haben aus der Psychoanalyse erfahren, das Wesen des Prozesses der Verdrängung bestehe nicht darin, eine den Trieb repräsentierende Vorstellung aufzuheben, zu vernichten, sondern sie vom Bewußtwerden abzuhalten. Wir sagen dann, sie befinde sich im Zustande des »Unbewußten«, und haben gute Beweise dafür vorzubringen, daß sie auch unbewußt Wirkungen äußern kann, auch solche, die endlich das Bewußtsein erreichen. Alles Verdrängte muß unbewußt bleiben, aber wir wollen gleich eingangs feststellen, daß das Verdrängte nicht alles Unbewußte deckt. Das Unbewußte hat den weiteren Umfang; das Verdrängte ist ein Teil des Unbewußten.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Wie sollen wir zur Kenntnis des Unbewußten kommen? Wir kennen es natürlich nur als Bewußtes, nachdem es eine Umsetzung oder Übersetzung in Bewußtes erfahren hat. Die psychoanalytische Arbeit läßt uns alltäglich die Erfahrung machen, daß solche Übersetzung möglich ist. Es wird hiezu erfordert, daß der Analysierte gewisse Widerstände überwinde, die nämlichen, welche es seinerzeit durch Abweisung vom Bewußten zu einem Verdrängten gemacht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 Die Rechtfertigung des Unbewußten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Berechtigung, ein unbewußtes Seelisches anzunehmen und mit dieser Annahme wissenschaftlich zu arbeiten, wird uns von vielen Seiten bestritten. Wir können dagegen anführen, daß die Annahme des Unbewußten </w:t>
      </w:r>
      <w:r w:rsidRPr="008725BE">
        <w:rPr>
          <w:rFonts w:ascii="Garamond" w:hAnsi="Garamond"/>
          <w:i/>
          <w:iCs/>
          <w:color w:val="000000"/>
          <w:lang w:val="en-GB"/>
        </w:rPr>
        <w:t>notwendig</w:t>
      </w:r>
      <w:r w:rsidRPr="008725BE">
        <w:rPr>
          <w:rFonts w:ascii="Garamond" w:hAnsi="Garamond"/>
          <w:color w:val="000000"/>
          <w:lang w:val="en-GB"/>
        </w:rPr>
        <w:t xml:space="preserve"> und </w:t>
      </w:r>
      <w:r w:rsidRPr="008725BE">
        <w:rPr>
          <w:rFonts w:ascii="Garamond" w:hAnsi="Garamond"/>
          <w:i/>
          <w:iCs/>
          <w:color w:val="000000"/>
          <w:lang w:val="en-GB"/>
        </w:rPr>
        <w:t>legitim</w:t>
      </w:r>
      <w:r w:rsidRPr="008725BE">
        <w:rPr>
          <w:rFonts w:ascii="Garamond" w:hAnsi="Garamond"/>
          <w:color w:val="000000"/>
          <w:lang w:val="en-GB"/>
        </w:rPr>
        <w:t xml:space="preserve"> ist und daß wir für die Existenz des Unbewußten mehrfache </w:t>
      </w:r>
      <w:r w:rsidRPr="008725BE">
        <w:rPr>
          <w:rFonts w:ascii="Garamond" w:hAnsi="Garamond"/>
          <w:i/>
          <w:iCs/>
          <w:color w:val="000000"/>
          <w:lang w:val="en-GB"/>
        </w:rPr>
        <w:t>Beweise</w:t>
      </w:r>
      <w:r w:rsidRPr="008725BE">
        <w:rPr>
          <w:rFonts w:ascii="Garamond" w:hAnsi="Garamond"/>
          <w:color w:val="000000"/>
          <w:lang w:val="en-GB"/>
        </w:rPr>
        <w:t xml:space="preserve"> besitzen. Sie ist notwendig, weil die Daten des Bewußtseins in hohem Grade lückenhaft sind; sowohl bei Gesunden als bei Kranken kommen häufig psychische Akte vor, welche zu ihrer Erklärung andere Akte voraussetzen, für die aber das Bewußtsein nicht zeugt. Solche Akte sind nicht nur die Fehlhandlungen und die Träume bei Gesunden, alles, was man psychische Symptome und Zwangserscheinungen heißt, bei Kranken –; unsere persönlichste tägliche Erfahrung macht uns mit Einfällen bekannt, deren Herkunft wir nicht kennen, und mit Denkresultaten, deren Ausarbeitung uns verborgen geblieben ist. Alle diese bewußten Akte blieben zusammenhanglos und unverständlich, wenn wir den Anspruch festhalten wollen, daß wir auch alles durchs Bewußtsein erfahren müssen, was an seelischen Akten in uns vorgeht, und ordnen sich in einen aufzeigbaren Zusammenhang ein, wenn wir die erschlossenen unbewußten Akte interpolieren. Gewinn an Sinn und Zusammenhang ist aber ein vollberechtigtes Motiv, das uns über die unmittelbare Erfahrung hinaus führen darf. Zeigt es sich dann noch, daß wir auf die Annahme des Unbewußten ein erfolgreiches Handeln aufbauen können, durch welches wir den Ablauf der bewußten Vorgänge zweckdienlich beeinflussen, so haben wir in diesem Erfolg einen unanfechtbaren Beweis für die Existenz des Angenommenen gewonnen. Man muß sich dann auf den Standpunkt stellen, es sei nichts anderes als eine </w:t>
      </w:r>
      <w:r w:rsidRPr="008725BE">
        <w:rPr>
          <w:rFonts w:ascii="Garamond" w:hAnsi="Garamond"/>
          <w:i/>
          <w:iCs/>
          <w:color w:val="000000"/>
          <w:lang w:val="en-GB"/>
        </w:rPr>
        <w:t>unhaltbare Anmaßung</w:t>
      </w:r>
      <w:r w:rsidRPr="008725BE">
        <w:rPr>
          <w:rFonts w:ascii="Garamond" w:hAnsi="Garamond"/>
          <w:color w:val="000000"/>
          <w:lang w:val="en-GB"/>
        </w:rPr>
        <w:t>, zu fordern, daß alles, was im Seelischen vorgeht, auch dem Bewußtsein bekannt werden müsse.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Man kann weitergehen und zur Unterstützung eines unbewußten psychischen Zustandes anführen, daß das Bewußtsein in jedem Moment nur einen geringen Inhalt umfaßt, so daß der größte Teil dessen, was wir bewußte Kenntnis heißen, sich ohnedies über die längsten Zeiten im Zustande der Latenz, also in einem Zustande von psychischer Unbewußtheit, befinden muß. Der Widerspruch gegen das Unbewußte würde mit Rücksicht auf alle unsere latenten Erinnerungen völlig unbegreiflich werden. Wir stoßen dann auf den Einwand, daß diese latenten Erinnerungen nicht mehr als psychisch zu bezeichnen seien, sondern den Resten von somatischen Vorgängen entsprechen, aus denen das Psychische wieder hervorgehen kann. Es liegt nahe zu erwidern, die latente Erinnerung sei im Gegenteil ein unzweifelhafter Rückstand eines psychischen Vorganges. Wichtiger ist es aber sich klarzumachen, daß der Einwand auf der nicht ausgesprochenen, aber von vornherein fixierten Gleichstellung des Bewußten mit dem Seelischen ruht. </w:t>
      </w:r>
      <w:r w:rsidRPr="008725BE">
        <w:rPr>
          <w:rFonts w:ascii="Garamond" w:hAnsi="Garamond"/>
          <w:color w:val="000000"/>
        </w:rPr>
        <w:t xml:space="preserve">Diese Gleichstellung ist entweder eine </w:t>
      </w:r>
      <w:r w:rsidRPr="008725BE">
        <w:rPr>
          <w:rFonts w:ascii="Garamond" w:hAnsi="Garamond"/>
          <w:i/>
          <w:iCs/>
          <w:color w:val="000000"/>
        </w:rPr>
        <w:t>petitio principii</w:t>
      </w:r>
      <w:r w:rsidRPr="008725BE">
        <w:rPr>
          <w:rFonts w:ascii="Garamond" w:hAnsi="Garamond"/>
          <w:color w:val="000000"/>
        </w:rPr>
        <w:t xml:space="preserve">, welche die Frage, ob alles Psychische auch bewußt sein müsse, nicht zuläßt, oder eine Sache der Konvention, der Nomenklatur. </w:t>
      </w:r>
      <w:r w:rsidRPr="008725BE">
        <w:rPr>
          <w:rFonts w:ascii="Garamond" w:hAnsi="Garamond"/>
          <w:color w:val="000000"/>
          <w:lang w:val="en-GB"/>
        </w:rPr>
        <w:t>In letzterem Charakter ist sie natürlich wie jede Konvention unwiderlegbar. Es bleibt nur die Frage offen, ob sie sich als so zweckmäßig erweist, daß man sich ihr anschließen muß. Man darf antworten, die konventionelle Gleichstellung des Psychischen mit dem Bewußten ist durchaus unzweckmäßig. Sie zerreißt die psychischen Kontinuitäten, stürzt uns in die unlösbaren Schwierigkeiten des psycho-physischen Parallelismus, unterliegt dem Vorwurf, daß sie ohne einsichtliche Begründung die Rolle des Bewußtseins überschätzt, und nötigt uns, das Gebiet der psychologischen Forschung vorzeitig zu verlassen, ohne uns von anderen Gebieten her Entschädigung bringen zu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Immerhin ist es klar, daß die Frage, ob man die unabweisbaren latenten Zustände des Seelenlebens als unbewußte seelische oder als physische auffassen soll, auf einen Wortstreit hinauszulaufen droht. Es ist darum ratsam, das in den Vordergrund zu rücken, was uns von der Natur dieser fraglichen Zustände mit </w:t>
      </w:r>
      <w:r w:rsidRPr="008725BE">
        <w:rPr>
          <w:rFonts w:ascii="Garamond" w:hAnsi="Garamond"/>
          <w:color w:val="000000"/>
          <w:lang w:val="en-GB"/>
        </w:rPr>
        <w:lastRenderedPageBreak/>
        <w:t>Sicherheit bekannt ist. Nun sind sie uns nach ihren physischen Charakteren vollkommen unzugänglich; keine physiologische Vorstellung, kein chemischer Prozeß kann uns eine Ahnung von ihrem Wesen vermitteln. Auf der anderen Seite steht fest, daß sie mit den bewußten seelischen Vorgängen die ausgiebigste Berührung haben; sie lassen sich mit einer gewissen Arbeitsleistung in sie umsetzen, durch sie ersetzen, und sie können mit all den Kategorien beschrieben werden, die wir auf die bewußten Seelenakte anwenden, als Vorstellungen, Strebungen, Entschließungen u. dgl. Ja, von manchen dieser latenten Zustände müssen wir aussagen, sie unterscheiden sich von den bewußten eben nur durch den Wegfall des Bewußtseins. Wir werden also nicht zögern, sie als Objekte psychologischer Forschung und in innigstem Zusammenhang mit den bewußten seelischen Akten zu behandeln.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Die hartnäckige Ablehnung des psychischen Charakters der latenten seelischen Akte erklärt sich daraus, daß die meisten der in Betracht kommenden Phänomene außerhalb der Psychoanalyse nicht Gegenstand des Studiums geworden sind. Wer die pathologischen Tatsachen nicht kennt, die Fehlhandlungen der Normalen als Zufälligkeiten gelten läßt und sich bei der alten Weisheit bescheidet, Träume seien Schäume, der braucht dann nur noch einige Rätsel der Bewußtseinspsychologie zu vernachlässigen, um sich die Annahme unbewußter seelischer Tätigkeit zu ersparen. </w:t>
      </w:r>
      <w:r w:rsidRPr="008725BE">
        <w:rPr>
          <w:rFonts w:ascii="Garamond" w:hAnsi="Garamond"/>
          <w:color w:val="000000"/>
        </w:rPr>
        <w:t>Übrigens haben die hypnotischen Experimente, besonders die posthypnotische Suggestion, Existenz und Wirkungsweise des seelisch Unbewußten bereits vor der Zeit der Psychoanalyse sinnfällig demonstriert.</w:t>
      </w:r>
    </w:p>
    <w:p w:rsidR="008725BE" w:rsidRPr="008725BE" w:rsidRDefault="008725BE" w:rsidP="008725BE">
      <w:pPr>
        <w:pStyle w:val="Sansinterligne"/>
        <w:rPr>
          <w:rFonts w:ascii="Garamond" w:hAnsi="Garamond"/>
          <w:color w:val="000000"/>
        </w:rPr>
      </w:pPr>
      <w:r w:rsidRPr="008725BE">
        <w:rPr>
          <w:rFonts w:ascii="Garamond" w:hAnsi="Garamond"/>
          <w:color w:val="000000"/>
        </w:rPr>
        <w:t xml:space="preserve">Die Annahme des Unbewußten ist aber auch eine völlig </w:t>
      </w:r>
      <w:r w:rsidRPr="008725BE">
        <w:rPr>
          <w:rFonts w:ascii="Garamond" w:hAnsi="Garamond"/>
          <w:i/>
          <w:iCs/>
          <w:color w:val="000000"/>
        </w:rPr>
        <w:t>legitime</w:t>
      </w:r>
      <w:r w:rsidRPr="008725BE">
        <w:rPr>
          <w:rFonts w:ascii="Garamond" w:hAnsi="Garamond"/>
          <w:color w:val="000000"/>
        </w:rPr>
        <w:t xml:space="preserve">, insofern wir bei ihrer Aufstellung keinen Schritt von unserer gewohnten, für korrekt gehaltenen Denkweise abweichen. Das Bewußtsein vermittelt jedem einzelnen von uns nur die Kenntnis von eigenen Seelenzuständen; daß auch ein anderer Mensch ein Bewußtsein hat, ist ein Schluß, der </w:t>
      </w:r>
      <w:r w:rsidRPr="008725BE">
        <w:rPr>
          <w:rFonts w:ascii="Garamond" w:hAnsi="Garamond"/>
          <w:i/>
          <w:iCs/>
          <w:color w:val="000000"/>
        </w:rPr>
        <w:t>per analogiam</w:t>
      </w:r>
      <w:r w:rsidRPr="008725BE">
        <w:rPr>
          <w:rFonts w:ascii="Garamond" w:hAnsi="Garamond"/>
          <w:color w:val="000000"/>
        </w:rPr>
        <w:t xml:space="preserve"> auf Grund der wahrnehmbaren Äußerungen und Handlungen dieses anderen gezogen wird, um uns dieses Benehmen des anderen verständlich zu machen. (Psychologisch richtiger ist wohl die Beschreibung, daß wir ohne besondere Überlegung jedem anderen außer uns unsere eigene Konstitution, und also auch unser Bewußtsein, beilegen und daß diese Identifizierung die Voraussetzung unseres Verständnisses ist.) Dieser Schluß –; oder diese Identifizierung –; wurde einst vom Ich auf andere Menschen, Tiere, Pflanzen, Unbelebtes und auf das Ganze der Welt ausgedehnt und erwies sich als brauchbar, solange die Ähnlichkeit mit dem Einzel-Ich eine überwältigend große war, wurde aber in dem Maße unverläßlicher, als sich das andere vom Ich entfernte. Unsere heutige Kritik wird bereits beim Bewußtsein der Tiere unsicher, verweigert sich dem Bewußtsein der Pflanzen und weist die Annahme eines Bewußtseins des Unbelebten der Mystik zu. Aber auch, wo die ursprüngliche Identifizierungsneigung die kritische Prüfung bestanden hat, bei dem uns nächsten menschlichen anderen, ruht die Annahme eines Bewußtseins auf einem Schluß und kann nicht die unmittelbare Sicherheit unseres eigenen Bewußtseins teilen.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Die Psychoanalyse fordert nun nichts anderes, als daß dieses Schlußverfahren auch gegen die eigene Person gewendet werde, wozu eine konstitutionelle Neigung allerdings nicht besteht. </w:t>
      </w:r>
      <w:r w:rsidRPr="008725BE">
        <w:rPr>
          <w:rFonts w:ascii="Garamond" w:hAnsi="Garamond"/>
          <w:color w:val="000000"/>
          <w:lang w:val="en-GB"/>
        </w:rPr>
        <w:t>Geht man so vor, so muß man sagen, alle die Akte und Äußerungen, die ich an mir bemerke und mit meinem sonstigen psychischen Leben nicht zu verknüpfen weiß, müssen beurteilt werden, als ob sie einer anderen Person angehörten, und sollen durch ein ihr zugeschriebenes Seelenleben Aufklärung finden. Die Erfahrung zeigt auch, daß man dieselben Akte, denen man bei der eigenen Person die psychische Anerkennung verweigert, bei anderen sehr wohl zu deuten, d. h. in den seelischen Zusammenhang einzureihen versteht. Unsere Forschung wird hier offenbar durch ein besonderes Hindernis von der eigenen Person abgelenkt und an deren richtiger Erkenntnis behindert.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 trotz inneren Widerstrebens gegen die eigene Person gewendete Schlußverfahren führt nun nicht zur Aufdeckung eines Unbewußten, sondern korrekterweise zur Annahme eines anderen, zweiten Bewußtseins, welches mit dem mir bekannten in meiner Person vereinigt ist. Allein hier findet die Kritik berechtigten Anlaß, einiges einzuwerfen. Erstens ist ein Bewußtsein, von dem der eigene Träger nichts weiß, noch etwas anderes als ein fremdes Bewußtsein, und es wird fraglich, ob ein solches Bewußtsein, dem der wichtigste Charakter abgeht, überhaupt noch Diskussion verdient. Wer sich gegen die Annahme eines unbewußten Psychischen gesträubt hat, der wird nicht zufrieden sein können, dafür ein </w:t>
      </w:r>
      <w:r w:rsidRPr="008725BE">
        <w:rPr>
          <w:rFonts w:ascii="Garamond" w:hAnsi="Garamond"/>
          <w:i/>
          <w:iCs/>
          <w:color w:val="000000"/>
          <w:lang w:val="en-GB"/>
        </w:rPr>
        <w:t>unbewußtes Bewußtsein</w:t>
      </w:r>
      <w:r w:rsidRPr="008725BE">
        <w:rPr>
          <w:rFonts w:ascii="Garamond" w:hAnsi="Garamond"/>
          <w:color w:val="000000"/>
          <w:lang w:val="en-GB"/>
        </w:rPr>
        <w:t xml:space="preserve"> einzutauschen. Zweitens weist die Analyse darauf hin, daß die einzelnen latenten Seelenvorgänge, die wir erschließen, sich eines hohen Grades von gegenseitiger Unabhängigkeit erfreuen, so als ob sie miteinander nicht in Verbindung stünden und nichts voneinander wüßten. Wir müssen also bereit sein, nicht nur ein zweites Bewußtsein in uns anzunehmen, sondern auch ein drittes, viertes, vielleicht eine unabschließbare Reihe von Bewußtseinszuständen, die sämtlich uns und miteinander unbekannt sind. Drittens kommt als schwerstes Argument in Betracht, daß wir durch die analytische Untersuchung erfahren, ein Teil dieser latenten Vorgänge besitze Charaktere und Eigentümlichkeiten, </w:t>
      </w:r>
      <w:r w:rsidRPr="008725BE">
        <w:rPr>
          <w:rFonts w:ascii="Garamond" w:hAnsi="Garamond"/>
          <w:color w:val="000000"/>
          <w:lang w:val="en-GB"/>
        </w:rPr>
        <w:lastRenderedPageBreak/>
        <w:t xml:space="preserve">welche uns fremd, selbst unglaublich erscheinen und den uns bekannten Eigenschaften des Bewußtseins direkt zuwiderlaufen. Somit werden wir Grund haben, den gegen die eigene Person gewendeten Schluß dahin abzuändern, er beweise uns nicht ein zweites Bewußtsein in uns, sondern die Existenz von psychischen Akten, welche des Bewußtseins entbehren. Wir werden auch die Bezeichnung eines »Unterbewußtseins« als inkorrekt und irreführend ablehnen dürfen. Die bekannten Fälle von » </w:t>
      </w:r>
      <w:r w:rsidRPr="008725BE">
        <w:rPr>
          <w:rFonts w:ascii="Garamond" w:hAnsi="Garamond"/>
          <w:i/>
          <w:iCs/>
          <w:color w:val="000000"/>
          <w:lang w:val="en-GB"/>
        </w:rPr>
        <w:t>double conscience</w:t>
      </w:r>
      <w:r w:rsidRPr="008725BE">
        <w:rPr>
          <w:rFonts w:ascii="Garamond" w:hAnsi="Garamond"/>
          <w:color w:val="000000"/>
          <w:lang w:val="en-GB"/>
        </w:rPr>
        <w:t>« (Bewußtseinsspaltung) beweisen nichts gegen unsere Auffassung. Sie lassen sich am zutreffendsten beschreiben als Fälle von Spaltung der seelischen Tätigkeiten in zwei Gruppen, wobei sich dann das nämliche Bewußtsein alternierend dem einen oder dem anderen Lager zuwendet.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bleibt uns in der Psychoanalyse gar nichts anderes übrig, als die seelischen Vorgänge für an sich unbewußt zu erklären und ihre Wahrnehmung durch das Bewußtsein mit der Wahrnehmung der Außenwelt durch die Sinnesorgane zu vergleichen. Wir hoffen sogar aus diesem Vergleich einen Gewinn für unsere Erkenntnis zu ziehen. Die psychoanalytische Annahme der unbewußten Seelentätigkeit erscheint uns einerseits als eine weitere Fortbildung des primitiven Animismus, der uns überall Ebenbilder unseres Bewußtseins vorspiegelte, und anderseits als die Fortsetzung der Korrektur, die Kant an unserer Auffassung der äußeren Wahrnehmung vorgenommen hat. Wie Kant uns gewarnt hat, die subjektive Bedingtheit unserer Wahrnehmung nicht zu übersehen und unsere Wahrnehmung nicht für identisch mit dem unerkennbaren Wahrgenommenen zu halten, so mahnt die Psychoanalyse, die Bewußtseinswahrnehmung nicht an die Stelle des unbewußten psychischen Vorganges zu setzen, welcher ihr Objekt ist. Wie das Physische, so braucht auch das Psychische nicht in Wirklichkeit so zu sein, wie es uns erscheint. Wir werden uns aber mit Befriedigung auf die Erfahrung vorbereiten, daß die Korrektur der inneren Wahrnehmung nicht ebenso große Schwierigkeit bietet wie die der äußeren, daß das innere Objekt minder unerkennbar ist als die Außenwelt.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 Die Vieldeutigkeit des Unbewußten und der topische Gesichtspunkt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Ehe wir weitergehen, wollen wir die wichtige, aber auch beschwerliche Tatsache feststellen, daß die Unbewußtheit nur ein Merkmal des Psychischen ist, welches für dessen Charakteristik keineswegs ausreicht. </w:t>
      </w:r>
      <w:r w:rsidRPr="008725BE">
        <w:rPr>
          <w:rFonts w:ascii="Garamond" w:hAnsi="Garamond"/>
          <w:color w:val="000000"/>
        </w:rPr>
        <w:t xml:space="preserve">Es gibt psychische Akte von sehr verschiedener Dignität, die doch in dem Charakter, unbewußt zu sein, übereinstimmen. Das Unbewußte umfaßt einerseits Akte, die bloß latent, zeitweilig unbewußt sind, sich aber sonst von den bewußten in nichts unterscheiden, und anderseits Vorgänge wie die verdrängten, die, wenn sie bewußt würden, sich von den übrigen bewußten aufs grellste abheben müßten. Es würde allen Mißverständnissen ein Ende machen, wenn wir von nun an bei der Beschreibung der verschiedenartigen psychischen Akte ganz davon absehen würden, ob sie bewußt oder unbewußt sind, und sie bloß nach ihrer Beziehung zu den Trieben und Zielen, nach ihrer Zusammensetzung und Angehörigkeit zu den einander übergeordneten psychischen Systemen klassifizieren und in Zusammenhang bringen würden. Dies ist aber aus verschiedenen Gründen undurchführbar, und somit können wir der Zweideutigkeit nicht entgehen, daß wir die Worte bewußt und unbewußt bald im deskriptiven Sinne gebrauchen, bald im systematischen, wo sie dann Zugehörigkeit zu bestimmten Systemen und Begabung mit gewissen Eigenschaften bedeuten. </w:t>
      </w:r>
      <w:r w:rsidRPr="008725BE">
        <w:rPr>
          <w:rFonts w:ascii="Garamond" w:hAnsi="Garamond"/>
          <w:color w:val="000000"/>
          <w:lang w:val="en-GB"/>
        </w:rPr>
        <w:t xml:space="preserve">Man könnte noch den Versuch machen, die Verwirrung dadurch zu vermeiden, daß man die erkannten psychischen Systeme mit willkürlich gewählten Namen bezeichnet, in denen die Bewußtheit nicht gestreift wird. Allein man müßte vorher Rechenschaft ablegen, worauf man die Unterscheidung der Systeme gründet, und könnte dabei die Bewußtheit nicht umgehen, da sie den Ausgangspunkt aller unserer Untersuchungen bildet. Wir können vielleicht einige Abhilfe von dem Vorschlag erwarten, wenigstens in der Schrift Bewußtsein durch die Darstellung </w:t>
      </w:r>
      <w:r w:rsidRPr="008725BE">
        <w:rPr>
          <w:rFonts w:ascii="Garamond" w:hAnsi="Garamond"/>
          <w:i/>
          <w:iCs/>
          <w:color w:val="000000"/>
          <w:lang w:val="en-GB"/>
        </w:rPr>
        <w:t>Bw</w:t>
      </w:r>
      <w:r w:rsidRPr="008725BE">
        <w:rPr>
          <w:rFonts w:ascii="Garamond" w:hAnsi="Garamond"/>
          <w:color w:val="000000"/>
          <w:lang w:val="en-GB"/>
        </w:rPr>
        <w:t xml:space="preserve"> und Unbewußtes durch die entsprechende Abkürzung </w:t>
      </w:r>
      <w:r w:rsidRPr="008725BE">
        <w:rPr>
          <w:rFonts w:ascii="Garamond" w:hAnsi="Garamond"/>
          <w:i/>
          <w:iCs/>
          <w:color w:val="000000"/>
          <w:lang w:val="en-GB"/>
        </w:rPr>
        <w:t>Ubw</w:t>
      </w:r>
      <w:r w:rsidRPr="008725BE">
        <w:rPr>
          <w:rFonts w:ascii="Garamond" w:hAnsi="Garamond"/>
          <w:color w:val="000000"/>
          <w:lang w:val="en-GB"/>
        </w:rPr>
        <w:t xml:space="preserve"> zu ersetzen, wenn wir die beiden Worte im systematischen Sinne gebrauchen.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positiver Darstellung sagen wir nun als Ergebnis der Psychoanalyse aus, daß ein psychischer Akt im allgemeinen zwei Zustandsphasen durchläuft, zwischen welche eine Art Prüfung ( </w:t>
      </w:r>
      <w:r w:rsidRPr="008725BE">
        <w:rPr>
          <w:rFonts w:ascii="Garamond" w:hAnsi="Garamond"/>
          <w:i/>
          <w:iCs/>
          <w:color w:val="000000"/>
          <w:lang w:val="en-GB"/>
        </w:rPr>
        <w:t>Zensur</w:t>
      </w:r>
      <w:r w:rsidRPr="008725BE">
        <w:rPr>
          <w:rFonts w:ascii="Garamond" w:hAnsi="Garamond"/>
          <w:color w:val="000000"/>
          <w:lang w:val="en-GB"/>
        </w:rPr>
        <w:t xml:space="preserve">) eingeschaltet ist. In der ersten Phase ist er unbewußt und gehört dem System </w:t>
      </w:r>
      <w:r w:rsidRPr="008725BE">
        <w:rPr>
          <w:rFonts w:ascii="Garamond" w:hAnsi="Garamond"/>
          <w:i/>
          <w:iCs/>
          <w:color w:val="000000"/>
          <w:lang w:val="en-GB"/>
        </w:rPr>
        <w:t>Ubw</w:t>
      </w:r>
      <w:r w:rsidRPr="008725BE">
        <w:rPr>
          <w:rFonts w:ascii="Garamond" w:hAnsi="Garamond"/>
          <w:color w:val="000000"/>
          <w:lang w:val="en-GB"/>
        </w:rPr>
        <w:t xml:space="preserve"> an; wird er bei der Prüfung von der Zensur abgewiesen, so ist ihm der Übergang in die zweite Phase versagt; er heißt dann »verdrängt« und muß unbewußt bleiben. Besteht er aber diese Prüfung, so tritt er in die zweite Phase ein und wird dem zweiten System zugehörig, welches wir das System </w:t>
      </w:r>
      <w:r w:rsidRPr="008725BE">
        <w:rPr>
          <w:rFonts w:ascii="Garamond" w:hAnsi="Garamond"/>
          <w:i/>
          <w:iCs/>
          <w:color w:val="000000"/>
          <w:lang w:val="en-GB"/>
        </w:rPr>
        <w:t>Bw</w:t>
      </w:r>
      <w:r w:rsidRPr="008725BE">
        <w:rPr>
          <w:rFonts w:ascii="Garamond" w:hAnsi="Garamond"/>
          <w:color w:val="000000"/>
          <w:lang w:val="en-GB"/>
        </w:rPr>
        <w:t xml:space="preserve"> nennen wollen. Sein Verhältnis zum Bewußtsein ist aber durch diese Zugehörigkeit noch nicht eindeutig bestimmt. Er ist noch nicht bewußt, wohl aber </w:t>
      </w:r>
      <w:r w:rsidRPr="008725BE">
        <w:rPr>
          <w:rFonts w:ascii="Garamond" w:hAnsi="Garamond"/>
          <w:i/>
          <w:iCs/>
          <w:color w:val="000000"/>
          <w:lang w:val="en-GB"/>
        </w:rPr>
        <w:t>bewußtseinsfähig</w:t>
      </w:r>
      <w:r w:rsidRPr="008725BE">
        <w:rPr>
          <w:rFonts w:ascii="Garamond" w:hAnsi="Garamond"/>
          <w:color w:val="000000"/>
          <w:lang w:val="en-GB"/>
        </w:rPr>
        <w:t xml:space="preserve"> (nach dem Ausdruck von J. Breuer), d. h., er kann nun ohne besonderen Widerstand beim Zutreffen gewisser Bedingungen Objekt des Bewußtseins werden. Mit Rücksicht auf diese Bewußtseinsfähigkeit heißen wir das System </w:t>
      </w:r>
      <w:r w:rsidRPr="008725BE">
        <w:rPr>
          <w:rFonts w:ascii="Garamond" w:hAnsi="Garamond"/>
          <w:i/>
          <w:iCs/>
          <w:color w:val="000000"/>
          <w:lang w:val="en-GB"/>
        </w:rPr>
        <w:t>Bw</w:t>
      </w:r>
      <w:r w:rsidRPr="008725BE">
        <w:rPr>
          <w:rFonts w:ascii="Garamond" w:hAnsi="Garamond"/>
          <w:color w:val="000000"/>
          <w:lang w:val="en-GB"/>
        </w:rPr>
        <w:t xml:space="preserve"> auch das » </w:t>
      </w:r>
      <w:r w:rsidRPr="008725BE">
        <w:rPr>
          <w:rFonts w:ascii="Garamond" w:hAnsi="Garamond"/>
          <w:i/>
          <w:iCs/>
          <w:color w:val="000000"/>
          <w:lang w:val="en-GB"/>
        </w:rPr>
        <w:t>Vorbewußte</w:t>
      </w:r>
      <w:r w:rsidRPr="008725BE">
        <w:rPr>
          <w:rFonts w:ascii="Garamond" w:hAnsi="Garamond"/>
          <w:color w:val="000000"/>
          <w:lang w:val="en-GB"/>
        </w:rPr>
        <w:t xml:space="preserve">«. Sollte es sich herausstellen, daß auch das Bewußtwerden des Vorbewußten durch eine gewisse Zensur mitbestimmt wird, so werden wir </w:t>
      </w:r>
      <w:r w:rsidRPr="008725BE">
        <w:rPr>
          <w:rFonts w:ascii="Garamond" w:hAnsi="Garamond"/>
          <w:color w:val="000000"/>
          <w:lang w:val="en-GB"/>
        </w:rPr>
        <w:lastRenderedPageBreak/>
        <w:t xml:space="preserve">die Systeme </w:t>
      </w:r>
      <w:r w:rsidRPr="008725BE">
        <w:rPr>
          <w:rFonts w:ascii="Garamond" w:hAnsi="Garamond"/>
          <w:i/>
          <w:iCs/>
          <w:color w:val="000000"/>
          <w:lang w:val="en-GB"/>
        </w:rPr>
        <w:t>Vbw</w:t>
      </w:r>
      <w:r w:rsidRPr="008725BE">
        <w:rPr>
          <w:rFonts w:ascii="Garamond" w:hAnsi="Garamond"/>
          <w:color w:val="000000"/>
          <w:lang w:val="en-GB"/>
        </w:rPr>
        <w:t xml:space="preserve"> und </w:t>
      </w:r>
      <w:r w:rsidRPr="008725BE">
        <w:rPr>
          <w:rFonts w:ascii="Garamond" w:hAnsi="Garamond"/>
          <w:i/>
          <w:iCs/>
          <w:color w:val="000000"/>
          <w:lang w:val="en-GB"/>
        </w:rPr>
        <w:t>Bw</w:t>
      </w:r>
      <w:r w:rsidRPr="008725BE">
        <w:rPr>
          <w:rFonts w:ascii="Garamond" w:hAnsi="Garamond"/>
          <w:color w:val="000000"/>
          <w:lang w:val="en-GB"/>
        </w:rPr>
        <w:t xml:space="preserve"> strenger voneinander sondern. Vorläufig genüge es festzuhalten, daß das System </w:t>
      </w:r>
      <w:r w:rsidRPr="008725BE">
        <w:rPr>
          <w:rFonts w:ascii="Garamond" w:hAnsi="Garamond"/>
          <w:i/>
          <w:iCs/>
          <w:color w:val="000000"/>
          <w:lang w:val="en-GB"/>
        </w:rPr>
        <w:t>Vbw</w:t>
      </w:r>
      <w:r w:rsidRPr="008725BE">
        <w:rPr>
          <w:rFonts w:ascii="Garamond" w:hAnsi="Garamond"/>
          <w:color w:val="000000"/>
          <w:lang w:val="en-GB"/>
        </w:rPr>
        <w:t xml:space="preserve"> die Eigenschaften des Systems </w:t>
      </w:r>
      <w:r w:rsidRPr="008725BE">
        <w:rPr>
          <w:rFonts w:ascii="Garamond" w:hAnsi="Garamond"/>
          <w:i/>
          <w:iCs/>
          <w:color w:val="000000"/>
          <w:lang w:val="en-GB"/>
        </w:rPr>
        <w:t>Bw</w:t>
      </w:r>
      <w:r w:rsidRPr="008725BE">
        <w:rPr>
          <w:rFonts w:ascii="Garamond" w:hAnsi="Garamond"/>
          <w:color w:val="000000"/>
          <w:lang w:val="en-GB"/>
        </w:rPr>
        <w:t xml:space="preserve"> teilt und daß die strenge Zensur am Übergang vom </w:t>
      </w:r>
      <w:r w:rsidRPr="008725BE">
        <w:rPr>
          <w:rFonts w:ascii="Garamond" w:hAnsi="Garamond"/>
          <w:i/>
          <w:iCs/>
          <w:color w:val="000000"/>
          <w:lang w:val="en-GB"/>
        </w:rPr>
        <w:t>Ubw</w:t>
      </w:r>
      <w:r w:rsidRPr="008725BE">
        <w:rPr>
          <w:rFonts w:ascii="Garamond" w:hAnsi="Garamond"/>
          <w:color w:val="000000"/>
          <w:lang w:val="en-GB"/>
        </w:rPr>
        <w:t xml:space="preserve"> zum </w:t>
      </w:r>
      <w:r w:rsidRPr="008725BE">
        <w:rPr>
          <w:rFonts w:ascii="Garamond" w:hAnsi="Garamond"/>
          <w:i/>
          <w:iCs/>
          <w:color w:val="000000"/>
          <w:lang w:val="en-GB"/>
        </w:rPr>
        <w:t>Vbw</w:t>
      </w:r>
      <w:r w:rsidRPr="008725BE">
        <w:rPr>
          <w:rFonts w:ascii="Garamond" w:hAnsi="Garamond"/>
          <w:color w:val="000000"/>
          <w:lang w:val="en-GB"/>
        </w:rPr>
        <w:t xml:space="preserve"> (oder </w:t>
      </w:r>
      <w:r w:rsidRPr="008725BE">
        <w:rPr>
          <w:rFonts w:ascii="Garamond" w:hAnsi="Garamond"/>
          <w:i/>
          <w:iCs/>
          <w:color w:val="000000"/>
          <w:lang w:val="en-GB"/>
        </w:rPr>
        <w:t>Bw</w:t>
      </w:r>
      <w:r w:rsidRPr="008725BE">
        <w:rPr>
          <w:rFonts w:ascii="Garamond" w:hAnsi="Garamond"/>
          <w:color w:val="000000"/>
          <w:lang w:val="en-GB"/>
        </w:rPr>
        <w:t>) ihres Amtes waltet.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Mit der Aufnahme dieser (zwei oder drei) psychischen Systeme hat sich die Psychoanalyse einen Schritt weiter von der deskriptiven Bewußtseinspsychologie entfernt, sich eine neue Fragestellung und einen neuen Inhalt beigelegt. Sie unterschied sich von der Psychologie bisher hauptsächlich durch die </w:t>
      </w:r>
      <w:r w:rsidRPr="008725BE">
        <w:rPr>
          <w:rFonts w:ascii="Garamond" w:hAnsi="Garamond"/>
          <w:i/>
          <w:iCs/>
          <w:color w:val="000000"/>
          <w:lang w:val="en-GB"/>
        </w:rPr>
        <w:t>dynamische</w:t>
      </w:r>
      <w:r w:rsidRPr="008725BE">
        <w:rPr>
          <w:rFonts w:ascii="Garamond" w:hAnsi="Garamond"/>
          <w:color w:val="000000"/>
          <w:lang w:val="en-GB"/>
        </w:rPr>
        <w:t xml:space="preserve"> Auffassung der seelischen Vorgänge; nun kommt hinzu, daß sie auch die psychische </w:t>
      </w:r>
      <w:r w:rsidRPr="008725BE">
        <w:rPr>
          <w:rFonts w:ascii="Garamond" w:hAnsi="Garamond"/>
          <w:i/>
          <w:iCs/>
          <w:color w:val="000000"/>
          <w:lang w:val="en-GB"/>
        </w:rPr>
        <w:t>Topik</w:t>
      </w:r>
      <w:r w:rsidRPr="008725BE">
        <w:rPr>
          <w:rFonts w:ascii="Garamond" w:hAnsi="Garamond"/>
          <w:color w:val="000000"/>
          <w:lang w:val="en-GB"/>
        </w:rPr>
        <w:t xml:space="preserve"> berücksichtigen und von einem beliebigen seelischen Akt angeben will, innerhalb welchen Systems oder zwischen welchen Systemen er sich abspielt. Wegen dieses Bestrebens hat sie auch den Namen einer </w:t>
      </w:r>
      <w:r w:rsidRPr="008725BE">
        <w:rPr>
          <w:rFonts w:ascii="Garamond" w:hAnsi="Garamond"/>
          <w:i/>
          <w:iCs/>
          <w:color w:val="000000"/>
          <w:lang w:val="en-GB"/>
        </w:rPr>
        <w:t>Tiefenpsychologie</w:t>
      </w:r>
      <w:r w:rsidRPr="008725BE">
        <w:rPr>
          <w:rFonts w:ascii="Garamond" w:hAnsi="Garamond"/>
          <w:color w:val="000000"/>
          <w:lang w:val="en-GB"/>
        </w:rPr>
        <w:t xml:space="preserve"> erhalten. Wir werden hören, daß sie auch noch um einen anderen Gesichtspunkt bereichert werden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Wollen wir mit einer Topik der seelischen Akte Ernst machen, so müssen wir unser Interesse einer an dieser Stelle auftauchenden Zweifelsfrage zuwenden. Wenn ein psychischer Akt (beschränken wir uns hier auf einen solchen von der Natur einer Vorstellung) die Umsetzung aus dem System </w:t>
      </w:r>
      <w:r w:rsidRPr="008725BE">
        <w:rPr>
          <w:rFonts w:ascii="Garamond" w:hAnsi="Garamond"/>
          <w:i/>
          <w:iCs/>
          <w:color w:val="000000"/>
          <w:lang w:val="en-GB"/>
        </w:rPr>
        <w:t>Ubw</w:t>
      </w:r>
      <w:r w:rsidRPr="008725BE">
        <w:rPr>
          <w:rFonts w:ascii="Garamond" w:hAnsi="Garamond"/>
          <w:color w:val="000000"/>
          <w:lang w:val="en-GB"/>
        </w:rPr>
        <w:t xml:space="preserve"> in das System </w:t>
      </w:r>
      <w:r w:rsidRPr="008725BE">
        <w:rPr>
          <w:rFonts w:ascii="Garamond" w:hAnsi="Garamond"/>
          <w:i/>
          <w:iCs/>
          <w:color w:val="000000"/>
          <w:lang w:val="en-GB"/>
        </w:rPr>
        <w:t>Bw</w:t>
      </w:r>
      <w:r w:rsidRPr="008725BE">
        <w:rPr>
          <w:rFonts w:ascii="Garamond" w:hAnsi="Garamond"/>
          <w:color w:val="000000"/>
          <w:lang w:val="en-GB"/>
        </w:rPr>
        <w:t xml:space="preserve"> (oder </w:t>
      </w:r>
      <w:r w:rsidRPr="008725BE">
        <w:rPr>
          <w:rFonts w:ascii="Garamond" w:hAnsi="Garamond"/>
          <w:i/>
          <w:iCs/>
          <w:color w:val="000000"/>
          <w:lang w:val="en-GB"/>
        </w:rPr>
        <w:t>Vbw</w:t>
      </w:r>
      <w:r w:rsidRPr="008725BE">
        <w:rPr>
          <w:rFonts w:ascii="Garamond" w:hAnsi="Garamond"/>
          <w:color w:val="000000"/>
          <w:lang w:val="en-GB"/>
        </w:rPr>
        <w:t xml:space="preserve">) erfährt, sollen wir annehmen, daß mit dieser Umsetzung eine neuerliche Fixierung, gleichsam eine zweite Niederschrift der betreffenden Vorstellung verbunden ist, die also auch in einer neuen psychischen Lokalität enthalten sein kann und neben welcher die ursprüngliche, unbewußte Niederschrift fortbesteht? Oder sollen wir eher glauben, daß die Umsetzung in einer Zustandsänderung besteht, welche sich an dem nämlichen Material und an derselben Lokalität vollzieht? Diese Frage kann abstrus erscheinen, muß aber aufgeworfen werden, wenn wir uns von der psychischen Topik, der psychischen Tiefendimension, eine bestimmtere Idee bilden wollen. Sie ist schwierig, weil sie über das rein Psychologische hinausgeht und die Beziehungen des seelischen Apparates zur Anatomie streift. Wir wissen, daß solche Beziehungen im gröbsten existieren. Es ist ein unerschütterliches Resultat der Forschung, daß die seelische Tätigkeit an die Funktion des Gehirns gebunden ist wie an kein anderes Organ. Ein Stück weiter –; es ist nicht bekannt, wie weit –; führt die Entdeckung von der Ungleichwertigkeit der Gehirnteile und deren Sonderbeziehung zu bestimmten Körperteilen und geistigen Tätigkeiten. Aber alle Versuche, von da aus eine Lokalisation der seelischen Vorgänge zu erraten, alle Bemühungen, die Vorstellungen in Nervenzellen aufgespeichert zu denken und die Erregungen auf Nervenfasern wandern zu lassen, sind gründlich gescheitert. Dasselbe Schicksal würde einer Lehre bevorstehen, die etwa den anatomischen Ort des Systems </w:t>
      </w:r>
      <w:r w:rsidRPr="008725BE">
        <w:rPr>
          <w:rFonts w:ascii="Garamond" w:hAnsi="Garamond"/>
          <w:i/>
          <w:iCs/>
          <w:color w:val="000000"/>
          <w:lang w:val="en-GB"/>
        </w:rPr>
        <w:t>Bw</w:t>
      </w:r>
      <w:r w:rsidRPr="008725BE">
        <w:rPr>
          <w:rFonts w:ascii="Garamond" w:hAnsi="Garamond"/>
          <w:color w:val="000000"/>
          <w:lang w:val="en-GB"/>
        </w:rPr>
        <w:t xml:space="preserve">, der bewußten Seelentätigkeit, in der Hirnrinde erkennen und die unbewußten Vorgänge in die subkortikalen Hirnpartien versetzen wollte. Es klafft hier eine Lücke, deren Ausfüllung derzeit nicht möglich ist, auch nicht zu den Aufgaben der Psychologie gehört. Unsere psychische Topik hat </w:t>
      </w:r>
      <w:r w:rsidRPr="008725BE">
        <w:rPr>
          <w:rFonts w:ascii="Garamond" w:hAnsi="Garamond"/>
          <w:i/>
          <w:iCs/>
          <w:color w:val="000000"/>
          <w:lang w:val="en-GB"/>
        </w:rPr>
        <w:t>vorläufig</w:t>
      </w:r>
      <w:r w:rsidRPr="008725BE">
        <w:rPr>
          <w:rFonts w:ascii="Garamond" w:hAnsi="Garamond"/>
          <w:color w:val="000000"/>
          <w:lang w:val="en-GB"/>
        </w:rPr>
        <w:t xml:space="preserve"> nichts mit der Anatomie zu tun; sie bezieht sich auf Regionen des seelischen Apparats, wo immer sie im Körper gelegen sein mögen, und nicht auf anatomische Örtlichkeiten.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Unsere Arbeit ist also in dieser Hinsicht frei und darf nach ihren eigenen Bedürfnissen vorgehen. Es wird auch förderlich sein, wenn wir uns daran mahnen, daß unsere Annahmen zunächst nur den Wert von Veranschaulichungen beanspruchen. Die erstere der beiden in Betracht gezogenen Möglichkeiten, nämlich daß die </w:t>
      </w:r>
      <w:r w:rsidRPr="008725BE">
        <w:rPr>
          <w:rFonts w:ascii="Garamond" w:hAnsi="Garamond"/>
          <w:i/>
          <w:iCs/>
          <w:color w:val="000000"/>
          <w:lang w:val="en-GB"/>
        </w:rPr>
        <w:t>bw</w:t>
      </w:r>
      <w:r w:rsidRPr="008725BE">
        <w:rPr>
          <w:rFonts w:ascii="Garamond" w:hAnsi="Garamond"/>
          <w:color w:val="000000"/>
          <w:lang w:val="en-GB"/>
        </w:rPr>
        <w:t xml:space="preserve"> Phase der Vorstellung eine neue, an anderem Orte befindliche Niederschrift derselben bedeute, ist unzweifelhaft die gröbere, aber auch die bequemere. Die zweite Annahme, die einer bloß </w:t>
      </w:r>
      <w:r w:rsidRPr="008725BE">
        <w:rPr>
          <w:rFonts w:ascii="Garamond" w:hAnsi="Garamond"/>
          <w:i/>
          <w:iCs/>
          <w:color w:val="000000"/>
          <w:lang w:val="en-GB"/>
        </w:rPr>
        <w:t>funktionellen</w:t>
      </w:r>
      <w:r w:rsidRPr="008725BE">
        <w:rPr>
          <w:rFonts w:ascii="Garamond" w:hAnsi="Garamond"/>
          <w:color w:val="000000"/>
          <w:lang w:val="en-GB"/>
        </w:rPr>
        <w:t xml:space="preserve"> Zustandsänderung, ist die von vornherein wahrscheinlichere, aber sie ist minder plastisch, weniger leicht zu handhaben. Mit der ersten, der topischen Annahme ist die einer topischen Trennung der Systeme </w:t>
      </w:r>
      <w:r w:rsidRPr="008725BE">
        <w:rPr>
          <w:rFonts w:ascii="Garamond" w:hAnsi="Garamond"/>
          <w:i/>
          <w:iCs/>
          <w:color w:val="000000"/>
          <w:lang w:val="en-GB"/>
        </w:rPr>
        <w:t>Ubw</w:t>
      </w:r>
      <w:r w:rsidRPr="008725BE">
        <w:rPr>
          <w:rFonts w:ascii="Garamond" w:hAnsi="Garamond"/>
          <w:color w:val="000000"/>
          <w:lang w:val="en-GB"/>
        </w:rPr>
        <w:t xml:space="preserve"> und </w:t>
      </w:r>
      <w:r w:rsidRPr="008725BE">
        <w:rPr>
          <w:rFonts w:ascii="Garamond" w:hAnsi="Garamond"/>
          <w:i/>
          <w:iCs/>
          <w:color w:val="000000"/>
          <w:lang w:val="en-GB"/>
        </w:rPr>
        <w:t>Bw</w:t>
      </w:r>
      <w:r w:rsidRPr="008725BE">
        <w:rPr>
          <w:rFonts w:ascii="Garamond" w:hAnsi="Garamond"/>
          <w:color w:val="000000"/>
          <w:lang w:val="en-GB"/>
        </w:rPr>
        <w:t xml:space="preserve"> und die Möglichkeit verknüpft, daß eine Vorstellung gleichzeitig an zwei Stellen des psychischen Apparats vorhanden sei, ja, daß sie, wenn durch die Zensur ungehemmt, regelmäßig von dem einen Ort an den anderen vorrücke, eventuell ohne ihre erste Niederlassung oder Niederschrift zu verlieren. Das mag befremdlich aussehen, kann sich aber an Eindrücke aus der psychoanalytischen Praxis anlehnen.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man einem Patienten eine seinerzeit von ihm verdrängte Vorstellung, die man erraten hat, mitteilt, so ändert dies zunächst an seinem psychischen Zustand nichts. Es hebt vor allem nicht die Verdrängung auf, macht deren Folgen nicht rückgängig, wie man vielleicht erwarten konnte, weil die früher unbewußte Vorstellung nun bewußt geworden ist. Man wird im Gegenteil zunächst nur eine neuerliche Ablehnung der verdrängten Vorstellung erzielen. Der Patient hat aber jetzt tatsächlich dieselbe Vorstellung in zweifacher Form an verschiedenen Stellen seines seelischen Apparats, erstens hat er die bewußte Erinnerung an die Gehörspur der Vorstellung durch die Mitteilung, zweitens trägt er daneben, wie wir mit Sicherheit wissen, die unbewußte Erinnerung an das Erlebte in der früheren Form in sich. In Wirklichkeit tritt nun eine Aufhebung der Verdrängung nicht eher ein, als bis die bewußte Vorstellung sich nach Überwindung der Widerstände mit der unbewußten Erinnerungsspur in Verbindung gesetzt hat. Erst durch das Bewußtmachen dieser letzteren selbst wird der Erfolg erreicht. Damit schiene ja für </w:t>
      </w:r>
      <w:r w:rsidRPr="008725BE">
        <w:rPr>
          <w:rFonts w:ascii="Garamond" w:hAnsi="Garamond"/>
          <w:color w:val="000000"/>
          <w:lang w:val="en-GB"/>
        </w:rPr>
        <w:lastRenderedPageBreak/>
        <w:t>oberflächliche Erwägung erwiesen, daß bewußte und unbewußte Vorstellungen verschiedene und topisch gesonderte Niederschriften des nämlichen Inhaltes sind. Aber die nächste Überlegung zeigt, daß die Identität der Mitteilung mit der verdrängten Erinnerung des Patienten nur eine scheinbare ist. Das Gehörthaben und das Erlebthaben sind zwei nach ihrer psychologischen Natur ganz verschiedene Dinge, auch wenn sie den nämlichen Inhalt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sind also zunächst nicht imstande, zwischen den beiden erörterten Möglichkeiten zu entscheiden. Vielleicht treffen wir späterhin auf Momente, welche für eine von beiden den Ausschlag geben können. Vielleicht steht uns die Entdeckung bevor, daß unsere Fragestellung unzureichend war und daß die Unterscheidung der unbewußten Vorstellung von der bewußten noch ganz anders zu bestimmen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III. Unbewußte Gefühle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haben die vorstehende Diskussion auf Vorstellungen eingeschränkt und können nun eine neue Frage aufwerfen, deren Beantwortung zur Klärung unserer theoretischen Ansichten beitragen muß. Wir sagten, es gäbe bewußte und unbewußte Vorstellungen; gibt es aber auch unbewußte Triebregungen, Gefühle, Empfindungen, oder ist es diesmal sinnlos, solche Zusammensetzungen zu bilden?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meine wirklich, der Gegensatz von bewußt und unbewußt hat auf den Trieb keine Anwendung. Ein Trieb kann nie Objekt des Bewußtseins werden, nur die Vorstellung, die ihn repräsentiert. Er kann aber auch im Unbewußten nicht anders als durch die Vorstellung repräsentiert sein. Würde der Trieb sich nicht an eine Vorstellung heften oder nicht als ein Affektzustand zum Vorschein kommen, so könnten wir nichts von ihm wissen. Wenn wir aber doch von einer unbewußten Triebregung oder einer verdrängten Triebregung reden, so ist dies eine harmlose Nachlässigkeit des Ausdrucks. Wir können nichts anderes meinen als eine Triebregung, deren Vorstellungsrepräsentanz unbewußt ist, denn etwas anderes kommt nicht in Betracht.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sollte meinen, die Antwort auf die Frage nach den unbewußten Empfindungen, Gefühlen, Affekten sei ebenso leicht zu geben. Zum Wesen eines Gefühls gehört es doch, daß es verspürt, also dem Bewußtsein bekannt wird. Die Möglichkeit einer Unbewußtheit würde also für Gefühle, Empfindungen, Affekte völlig entfallen. Wir sind aber in der psychoanalytischen Praxis gewöhnt, von unbewußter Liebe, Haß, Wut usw. zu sprechen und finden selbst die befremdliche Vereinigung »unbewußtes Schuldbewußtsein« oder eine paradoxe »unbewußte Angst« unvermeidlich. Geht dieser Sprachgebrauch an Bedeutung über den im Falle des »unbewußten Triebes« hinaus?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Sachverhalt ist hier wirklich ein anderer. Es kann zunächst vorkommen, daß eine Affekt- oder Gefühlsregung wahrgenommen, aber verkannt wird. Sie ist durch die Verdrängung ihrer eigentlichen Repräsentanz zur Verknüpfung mit einer anderen Vorstellung genötigt worden und wird nun vom Bewußtsein für die Äußerung dieser letzteren gehalten. Wenn wir den richtigen Zusammenhang wiederherstellen, heißen wir die ursprüngliche Affektregung eine »unbewußte«, obwohl ihr Affekt niemals unbewußt war, nur ihre Vorstellung der Verdrängung erlegen ist. Der Gebrauch der Ausdrücke »unbewußter Affekt« und »unbewußtes Gefühl« weist überhaupt auf die Schicksale des quantitativen Faktors der Triebregung infolge der Verdrängung zurück (s. die Abhandlung über Verdrängung). Wir wissen, daß dies Schicksal ein dreifaches sein kann; der Affekt bleibt entweder –; ganz oder teilweise –; als solcher bestehen, oder er erfährt eine Verwandlung in einen qualitativ anderen Affektbetrag, vor allem in Angst, oder er wird unterdrückt, d. h. seine Entwicklung überhaupt verhindert. (Diese Möglichkeiten sind an der Traumarbeit vielleicht noch leichter zu studieren als bei den Neurosen.) Wir wissen auch, daß die Unterdrückung der Affektentwicklung das eigentliche Ziel der Verdrängung ist und daß deren Arbeit unabgeschlossen bleibt, wenn das Ziel nicht erreicht wird. In allen Fällen, wo der Verdrängung die Hemmung der Affektentwicklung gelingt, heißen wir die Affekte, die wir im Redressement der Verdrängungsarbeit wieder einsetzen, »unbewußte«. Dem Sprachgebrauch ist also die Konsequenz nicht abzustreiten; es besteht aber im Vergleiche mit der unbewußten Vorstellung der bedeutsame Unterschied, daß die unbewußte Vorstellung nach der Verdrängung als reale Bildung im System </w:t>
      </w:r>
      <w:r w:rsidRPr="008725BE">
        <w:rPr>
          <w:rFonts w:ascii="Garamond" w:hAnsi="Garamond"/>
          <w:i/>
          <w:iCs/>
          <w:color w:val="000000"/>
          <w:lang w:val="en-GB"/>
        </w:rPr>
        <w:t>Ubw</w:t>
      </w:r>
      <w:r w:rsidRPr="008725BE">
        <w:rPr>
          <w:rFonts w:ascii="Garamond" w:hAnsi="Garamond"/>
          <w:color w:val="000000"/>
          <w:lang w:val="en-GB"/>
        </w:rPr>
        <w:t xml:space="preserve"> bestehenbleibt, während dem unbewußten Affekt ebendort nur eine Ansatzmöglichkeit, die nicht zur Entfaltung kommen durfte, entspricht. Strenggenommen und obwohl der Sprachgebrauch tadellos bleibt, gibt es also keine unbewußten Affekte, wie es unbewußte Vorstellungen gibt. Es kann aber sehr wohl im System </w:t>
      </w:r>
      <w:r w:rsidRPr="008725BE">
        <w:rPr>
          <w:rFonts w:ascii="Garamond" w:hAnsi="Garamond"/>
          <w:i/>
          <w:iCs/>
          <w:color w:val="000000"/>
          <w:lang w:val="en-GB"/>
        </w:rPr>
        <w:t>Ubw</w:t>
      </w:r>
      <w:r w:rsidRPr="008725BE">
        <w:rPr>
          <w:rFonts w:ascii="Garamond" w:hAnsi="Garamond"/>
          <w:color w:val="000000"/>
          <w:lang w:val="en-GB"/>
        </w:rPr>
        <w:t xml:space="preserve"> Affektbildungen geben, die wie andere bewußt werden. Der ganze Unterschied rührt daher, daß Vorstellungen Besetzungen –; im Grunde von Erinnerungsspuren –; sind, während die Affekte und Gefühle Abfuhrvorgängen entsprechen, deren letzte Äußerungen als Empfindungen wahrgenommen werden. Im gegenwärtigen Zustand unserer Kenntnis von den Affekten und Gefühlen können wir diesen Unterschied nicht klarer ausdrücken.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Die Feststellung, daß es der Verdrängung gelingen kann, die Umsetzung der Triebregung in Affektäußerung zu hemmen, ist für uns von besonderem Interesse. Sie zeigt uns, daß das System </w:t>
      </w:r>
      <w:r w:rsidRPr="008725BE">
        <w:rPr>
          <w:rFonts w:ascii="Garamond" w:hAnsi="Garamond"/>
          <w:i/>
          <w:iCs/>
          <w:color w:val="000000"/>
          <w:lang w:val="en-GB"/>
        </w:rPr>
        <w:t>Bw</w:t>
      </w:r>
      <w:r w:rsidRPr="008725BE">
        <w:rPr>
          <w:rFonts w:ascii="Garamond" w:hAnsi="Garamond"/>
          <w:color w:val="000000"/>
          <w:lang w:val="en-GB"/>
        </w:rPr>
        <w:t xml:space="preserve"> normalerweise die Affektivität wie den Zugang zur Motilität beherrscht, und hebt den Wert der Verdrängung, indem sie als deren Folgen nicht nur die Abhaltung vom Bewußtsein, sondern auch von der Affektentwicklung und von der Motivierung der Muskeltätigkeit aufzeigt. Wir können auch in umgekehrter Darstellung sagen: Solange das System </w:t>
      </w:r>
      <w:r w:rsidRPr="008725BE">
        <w:rPr>
          <w:rFonts w:ascii="Garamond" w:hAnsi="Garamond"/>
          <w:i/>
          <w:iCs/>
          <w:color w:val="000000"/>
          <w:lang w:val="en-GB"/>
        </w:rPr>
        <w:t>Bw</w:t>
      </w:r>
      <w:r w:rsidRPr="008725BE">
        <w:rPr>
          <w:rFonts w:ascii="Garamond" w:hAnsi="Garamond"/>
          <w:color w:val="000000"/>
          <w:lang w:val="en-GB"/>
        </w:rPr>
        <w:t xml:space="preserve"> Affektivität und Motilität beherrscht, heißen wir den psychischen Zustand des Individuums normal. Indes ist ein Unterschied in der Beziehung des herrschenden Systems zu den beiden einander nahestehenden Abfuhraktionen unverkennbar </w:t>
      </w:r>
      <w:hyperlink r:id="rId73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 Affektivität äußert sich wesentlich in motorischer (sekretorischer, gefäßregulierender) Abfuhr zur (inneren) Veränderung des eigenen Körpers ohne Beziehung zur Außenwelt, die Motilität in Aktionen, die zur Veränderung der Außenwelt bestimmt sind.</w:t>
        </w:r>
      </w:hyperlink>
      <w:r w:rsidRPr="008725BE">
        <w:rPr>
          <w:rFonts w:ascii="Garamond" w:hAnsi="Garamond"/>
          <w:color w:val="000000"/>
          <w:lang w:val="en-GB"/>
        </w:rPr>
        <w:t xml:space="preserve">. Während die Herrschaft des </w:t>
      </w:r>
      <w:r w:rsidRPr="008725BE">
        <w:rPr>
          <w:rFonts w:ascii="Garamond" w:hAnsi="Garamond"/>
          <w:i/>
          <w:iCs/>
          <w:color w:val="000000"/>
          <w:lang w:val="en-GB"/>
        </w:rPr>
        <w:t>Bw</w:t>
      </w:r>
      <w:r w:rsidRPr="008725BE">
        <w:rPr>
          <w:rFonts w:ascii="Garamond" w:hAnsi="Garamond"/>
          <w:color w:val="000000"/>
          <w:lang w:val="en-GB"/>
        </w:rPr>
        <w:t xml:space="preserve"> über die willkürliche Motilität fest gegründet ist, dem Ansturm der Neurose regelmäßig widersteht und erst in der Psychose zusammenbricht, ist die Beherrschung der Affektentwicklung durch </w:t>
      </w:r>
      <w:r w:rsidRPr="008725BE">
        <w:rPr>
          <w:rFonts w:ascii="Garamond" w:hAnsi="Garamond"/>
          <w:i/>
          <w:iCs/>
          <w:color w:val="000000"/>
          <w:lang w:val="en-GB"/>
        </w:rPr>
        <w:t>Bw</w:t>
      </w:r>
      <w:r w:rsidRPr="008725BE">
        <w:rPr>
          <w:rFonts w:ascii="Garamond" w:hAnsi="Garamond"/>
          <w:color w:val="000000"/>
          <w:lang w:val="en-GB"/>
        </w:rPr>
        <w:t xml:space="preserve"> minder gefestigt. Noch innerhalb des normalen Lebens läßt sich ein beständiges Ringen der beiden Systeme </w:t>
      </w:r>
      <w:r w:rsidRPr="008725BE">
        <w:rPr>
          <w:rFonts w:ascii="Garamond" w:hAnsi="Garamond"/>
          <w:i/>
          <w:iCs/>
          <w:color w:val="000000"/>
          <w:lang w:val="en-GB"/>
        </w:rPr>
        <w:t>Bw</w:t>
      </w:r>
      <w:r w:rsidRPr="008725BE">
        <w:rPr>
          <w:rFonts w:ascii="Garamond" w:hAnsi="Garamond"/>
          <w:color w:val="000000"/>
          <w:lang w:val="en-GB"/>
        </w:rPr>
        <w:t xml:space="preserve"> und </w:t>
      </w:r>
      <w:r w:rsidRPr="008725BE">
        <w:rPr>
          <w:rFonts w:ascii="Garamond" w:hAnsi="Garamond"/>
          <w:i/>
          <w:iCs/>
          <w:color w:val="000000"/>
          <w:lang w:val="en-GB"/>
        </w:rPr>
        <w:t>Ubw</w:t>
      </w:r>
      <w:r w:rsidRPr="008725BE">
        <w:rPr>
          <w:rFonts w:ascii="Garamond" w:hAnsi="Garamond"/>
          <w:color w:val="000000"/>
          <w:lang w:val="en-GB"/>
        </w:rPr>
        <w:t xml:space="preserve"> um den Primat in der Affektivität erkennen, grenzen sich gewisse Einflußsphären voneinander ab und stellen sich Vermengungen der wirksamen Kräfte her.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Bedeutung des Systems </w:t>
      </w:r>
      <w:r w:rsidRPr="008725BE">
        <w:rPr>
          <w:rFonts w:ascii="Garamond" w:hAnsi="Garamond"/>
          <w:i/>
          <w:iCs/>
          <w:color w:val="000000"/>
          <w:lang w:val="en-GB"/>
        </w:rPr>
        <w:t>Bw</w:t>
      </w:r>
      <w:r w:rsidRPr="008725BE">
        <w:rPr>
          <w:rFonts w:ascii="Garamond" w:hAnsi="Garamond"/>
          <w:color w:val="000000"/>
          <w:lang w:val="en-GB"/>
        </w:rPr>
        <w:t xml:space="preserve"> ( </w:t>
      </w:r>
      <w:r w:rsidRPr="008725BE">
        <w:rPr>
          <w:rFonts w:ascii="Garamond" w:hAnsi="Garamond"/>
          <w:i/>
          <w:iCs/>
          <w:color w:val="000000"/>
          <w:lang w:val="en-GB"/>
        </w:rPr>
        <w:t>Vbw</w:t>
      </w:r>
      <w:r w:rsidRPr="008725BE">
        <w:rPr>
          <w:rFonts w:ascii="Garamond" w:hAnsi="Garamond"/>
          <w:color w:val="000000"/>
          <w:lang w:val="en-GB"/>
        </w:rPr>
        <w:t xml:space="preserve">) für die Zugänge zur Affektentbindung und Aktion macht uns auch die Rolle verständlich, welche in der Krankheitsgestaltung der Ersatzvorstellung zufällt. Es ist möglich, daß die Affektentwicklung direkt vom System </w:t>
      </w:r>
      <w:r w:rsidRPr="008725BE">
        <w:rPr>
          <w:rFonts w:ascii="Garamond" w:hAnsi="Garamond"/>
          <w:i/>
          <w:iCs/>
          <w:color w:val="000000"/>
          <w:lang w:val="en-GB"/>
        </w:rPr>
        <w:t>Ubw</w:t>
      </w:r>
      <w:r w:rsidRPr="008725BE">
        <w:rPr>
          <w:rFonts w:ascii="Garamond" w:hAnsi="Garamond"/>
          <w:color w:val="000000"/>
          <w:lang w:val="en-GB"/>
        </w:rPr>
        <w:t xml:space="preserve"> ausgeht, in diesem Falle hat sie immer den Charakter der Angst, gegen welche alle »verdrängten« Affekte eingetauscht werden. Häufig aber muß die Triebregung warten, bis sie eine Ersatzvorstellung im System </w:t>
      </w:r>
      <w:r w:rsidRPr="008725BE">
        <w:rPr>
          <w:rFonts w:ascii="Garamond" w:hAnsi="Garamond"/>
          <w:i/>
          <w:iCs/>
          <w:color w:val="000000"/>
          <w:lang w:val="en-GB"/>
        </w:rPr>
        <w:t>Bw</w:t>
      </w:r>
      <w:r w:rsidRPr="008725BE">
        <w:rPr>
          <w:rFonts w:ascii="Garamond" w:hAnsi="Garamond"/>
          <w:color w:val="000000"/>
          <w:lang w:val="en-GB"/>
        </w:rPr>
        <w:t xml:space="preserve"> gefunden hat. Dann ist die Affektentwicklung von diesem bewußten Ersatz her ermöglicht und der qualitative Charakter des Affekts durch dessen Natur bestimmt. Wir haben behauptet, daß bei der Verdrängung eine Trennung des Affekts von seiner Vorstellung stattfindet, worauf beide ihren gesonderten Schicksalen entgegengehen. Das ist deskriptiv unbestreitbar; der wirkliche Vorgang aber ist in der Regel, daß ein Affekt so lange nicht zustande kommt, bis nicht der Durchbruch zu einer neuen Vertretung im System </w:t>
      </w:r>
      <w:r w:rsidRPr="008725BE">
        <w:rPr>
          <w:rFonts w:ascii="Garamond" w:hAnsi="Garamond"/>
          <w:i/>
          <w:iCs/>
          <w:color w:val="000000"/>
          <w:lang w:val="en-GB"/>
        </w:rPr>
        <w:t>Bw</w:t>
      </w:r>
      <w:r w:rsidRPr="008725BE">
        <w:rPr>
          <w:rFonts w:ascii="Garamond" w:hAnsi="Garamond"/>
          <w:color w:val="000000"/>
          <w:lang w:val="en-GB"/>
        </w:rPr>
        <w:t xml:space="preserve"> gelungen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IV. Topik und Dynamik der Verdrängung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haben das Resultat erhalten, daß die Verdrängung im wesentlichen ein Vorgang ist, der sich an Vorstellungen an der Grenze der Systeme </w:t>
      </w:r>
      <w:r w:rsidRPr="008725BE">
        <w:rPr>
          <w:rFonts w:ascii="Garamond" w:hAnsi="Garamond"/>
          <w:i/>
          <w:iCs/>
          <w:color w:val="000000"/>
          <w:lang w:val="en-GB"/>
        </w:rPr>
        <w:t>Ubw</w:t>
      </w:r>
      <w:r w:rsidRPr="008725BE">
        <w:rPr>
          <w:rFonts w:ascii="Garamond" w:hAnsi="Garamond"/>
          <w:color w:val="000000"/>
          <w:lang w:val="en-GB"/>
        </w:rPr>
        <w:t xml:space="preserve"> und </w:t>
      </w:r>
      <w:r w:rsidRPr="008725BE">
        <w:rPr>
          <w:rFonts w:ascii="Garamond" w:hAnsi="Garamond"/>
          <w:i/>
          <w:iCs/>
          <w:color w:val="000000"/>
          <w:lang w:val="en-GB"/>
        </w:rPr>
        <w:t>Vbw</w:t>
      </w:r>
      <w:r w:rsidRPr="008725BE">
        <w:rPr>
          <w:rFonts w:ascii="Garamond" w:hAnsi="Garamond"/>
          <w:color w:val="000000"/>
          <w:lang w:val="en-GB"/>
        </w:rPr>
        <w:t xml:space="preserve"> ( </w:t>
      </w:r>
      <w:r w:rsidRPr="008725BE">
        <w:rPr>
          <w:rFonts w:ascii="Garamond" w:hAnsi="Garamond"/>
          <w:i/>
          <w:iCs/>
          <w:color w:val="000000"/>
          <w:lang w:val="en-GB"/>
        </w:rPr>
        <w:t>Bw</w:t>
      </w:r>
      <w:r w:rsidRPr="008725BE">
        <w:rPr>
          <w:rFonts w:ascii="Garamond" w:hAnsi="Garamond"/>
          <w:color w:val="000000"/>
          <w:lang w:val="en-GB"/>
        </w:rPr>
        <w:t xml:space="preserve">) vollzieht, und können nun einen neuerlichen Versuch machen, diesen Vorgang eingehender zu beschreiben. Es muß sich dabei um eine </w:t>
      </w:r>
      <w:r w:rsidRPr="008725BE">
        <w:rPr>
          <w:rFonts w:ascii="Garamond" w:hAnsi="Garamond"/>
          <w:i/>
          <w:iCs/>
          <w:color w:val="000000"/>
          <w:lang w:val="en-GB"/>
        </w:rPr>
        <w:t>Entziehung</w:t>
      </w:r>
      <w:r w:rsidRPr="008725BE">
        <w:rPr>
          <w:rFonts w:ascii="Garamond" w:hAnsi="Garamond"/>
          <w:color w:val="000000"/>
          <w:lang w:val="en-GB"/>
        </w:rPr>
        <w:t xml:space="preserve"> von Besetzung handeln, aber es fragt sich, in welchem System findet die Entziehung statt, und welchem System gehört die entzogene Besetzung an.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verdrängte Vorstellung bleibt im </w:t>
      </w:r>
      <w:r w:rsidRPr="008725BE">
        <w:rPr>
          <w:rFonts w:ascii="Garamond" w:hAnsi="Garamond"/>
          <w:i/>
          <w:iCs/>
          <w:color w:val="000000"/>
          <w:lang w:val="en-GB"/>
        </w:rPr>
        <w:t>Ubw</w:t>
      </w:r>
      <w:r w:rsidRPr="008725BE">
        <w:rPr>
          <w:rFonts w:ascii="Garamond" w:hAnsi="Garamond"/>
          <w:color w:val="000000"/>
          <w:lang w:val="en-GB"/>
        </w:rPr>
        <w:t xml:space="preserve"> aktionsfähig; sie muß also ihre Besetzung behalten haben. Das Entzogene muß etwas anderes sein. Nehmen wir den Fall der eigentlichen Verdrängung vor (des Nachdrängens), wie sie sich an der vorbewußten oder selbst bereits bewußten Vorstellung abspielt, dann kann die Verdrängung nur darin bestehen, daß der Vorstellung die (vor)bewußte Besetzung entzogen wird, die dem System </w:t>
      </w:r>
      <w:r w:rsidRPr="008725BE">
        <w:rPr>
          <w:rFonts w:ascii="Garamond" w:hAnsi="Garamond"/>
          <w:i/>
          <w:iCs/>
          <w:color w:val="000000"/>
          <w:lang w:val="en-GB"/>
        </w:rPr>
        <w:t>Vbw</w:t>
      </w:r>
      <w:r w:rsidRPr="008725BE">
        <w:rPr>
          <w:rFonts w:ascii="Garamond" w:hAnsi="Garamond"/>
          <w:color w:val="000000"/>
          <w:lang w:val="en-GB"/>
        </w:rPr>
        <w:t xml:space="preserve"> angehört. Die Vorstellung bleibt dann unbesetzt, oder sie erhält Besetzung vom </w:t>
      </w:r>
      <w:r w:rsidRPr="008725BE">
        <w:rPr>
          <w:rFonts w:ascii="Garamond" w:hAnsi="Garamond"/>
          <w:i/>
          <w:iCs/>
          <w:color w:val="000000"/>
          <w:lang w:val="en-GB"/>
        </w:rPr>
        <w:t>Ubw</w:t>
      </w:r>
      <w:r w:rsidRPr="008725BE">
        <w:rPr>
          <w:rFonts w:ascii="Garamond" w:hAnsi="Garamond"/>
          <w:color w:val="000000"/>
          <w:lang w:val="en-GB"/>
        </w:rPr>
        <w:t xml:space="preserve"> her, oder sie behält die </w:t>
      </w:r>
      <w:r w:rsidRPr="008725BE">
        <w:rPr>
          <w:rFonts w:ascii="Garamond" w:hAnsi="Garamond"/>
          <w:i/>
          <w:iCs/>
          <w:color w:val="000000"/>
          <w:lang w:val="en-GB"/>
        </w:rPr>
        <w:t>ubw</w:t>
      </w:r>
      <w:r w:rsidRPr="008725BE">
        <w:rPr>
          <w:rFonts w:ascii="Garamond" w:hAnsi="Garamond"/>
          <w:color w:val="000000"/>
          <w:lang w:val="en-GB"/>
        </w:rPr>
        <w:t xml:space="preserve"> Besetzung, die sie schon früher hatte. Also Entziehung der vorbewußten, Erhaltung der unbewußten Besetzung oder Ersatz der vorbewußten Besetzung durch eine unbewußte. Wir bemerken übrigens, daß wir dieser Betrachtung wie unabsichtlich die Annahme zugrunde gelegt haben, der Übergang aus dem System </w:t>
      </w:r>
      <w:r w:rsidRPr="008725BE">
        <w:rPr>
          <w:rFonts w:ascii="Garamond" w:hAnsi="Garamond"/>
          <w:i/>
          <w:iCs/>
          <w:color w:val="000000"/>
          <w:lang w:val="en-GB"/>
        </w:rPr>
        <w:t>Ubw</w:t>
      </w:r>
      <w:r w:rsidRPr="008725BE">
        <w:rPr>
          <w:rFonts w:ascii="Garamond" w:hAnsi="Garamond"/>
          <w:color w:val="000000"/>
          <w:lang w:val="en-GB"/>
        </w:rPr>
        <w:t xml:space="preserve"> in ein nächstes geschehe nicht durch eine neue Niederschrift, sondern durch eine Zustandsänderung, einen Wandel in der Besetzung. Die funktionale Annahme hat hier die topische mit leichter Mühe aus dem Felde geschlagen.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Dieser Vorgang der Libidoentziehung reicht aber nicht aus, um einen anderen Charakter der Verdrängung begreiflich zu machen. Es ist nicht einzusehen, warum die besetzt gebliebene oder vom </w:t>
      </w:r>
      <w:r w:rsidRPr="008725BE">
        <w:rPr>
          <w:rFonts w:ascii="Garamond" w:hAnsi="Garamond"/>
          <w:i/>
          <w:iCs/>
          <w:color w:val="000000"/>
          <w:lang w:val="en-GB"/>
        </w:rPr>
        <w:t>Ubw</w:t>
      </w:r>
      <w:r w:rsidRPr="008725BE">
        <w:rPr>
          <w:rFonts w:ascii="Garamond" w:hAnsi="Garamond"/>
          <w:color w:val="000000"/>
          <w:lang w:val="en-GB"/>
        </w:rPr>
        <w:t xml:space="preserve"> her mit Besetzung versehene Vorstellung nicht den Versuch erneuern sollte, kraft ihrer Besetzung in das System </w:t>
      </w:r>
      <w:r w:rsidRPr="008725BE">
        <w:rPr>
          <w:rFonts w:ascii="Garamond" w:hAnsi="Garamond"/>
          <w:i/>
          <w:iCs/>
          <w:color w:val="000000"/>
          <w:lang w:val="en-GB"/>
        </w:rPr>
        <w:t>Vbw</w:t>
      </w:r>
      <w:r w:rsidRPr="008725BE">
        <w:rPr>
          <w:rFonts w:ascii="Garamond" w:hAnsi="Garamond"/>
          <w:color w:val="000000"/>
          <w:lang w:val="en-GB"/>
        </w:rPr>
        <w:t xml:space="preserve"> einzudringen. Dann müßte sich die Libidoentziehung an ihr wiederholen, und dasselbe Spiel würde sich unabgeschlossen fortsetzen, das Ergebnis aber nicht das der Verdrängung sein. Ebenso würde der besprochene Mechanismus der Entziehung vorbewußter Besetzung versagen, wenn es sich um die Darstellung der Urverdrängung handelt; in diesem Falle liegt ja eine unbewußte Vorstellung vor, die noch keine Besetzung vom </w:t>
      </w:r>
      <w:r w:rsidRPr="008725BE">
        <w:rPr>
          <w:rFonts w:ascii="Garamond" w:hAnsi="Garamond"/>
          <w:i/>
          <w:iCs/>
          <w:color w:val="000000"/>
          <w:lang w:val="en-GB"/>
        </w:rPr>
        <w:t>Vbw</w:t>
      </w:r>
      <w:r w:rsidRPr="008725BE">
        <w:rPr>
          <w:rFonts w:ascii="Garamond" w:hAnsi="Garamond"/>
          <w:color w:val="000000"/>
          <w:lang w:val="en-GB"/>
        </w:rPr>
        <w:t xml:space="preserve"> erhalten hat, der eine solche also auch nicht entzogen werden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bedürfen also hier eines anderen Vorganges, welcher im ersten Falle die Verdrängung unterhält, im zweiten ihre Herstellung und Fortdauer besorgt, und können diesen nur in der Annahme einer </w:t>
      </w:r>
      <w:r w:rsidRPr="008725BE">
        <w:rPr>
          <w:rFonts w:ascii="Garamond" w:hAnsi="Garamond"/>
          <w:i/>
          <w:iCs/>
          <w:color w:val="000000"/>
          <w:lang w:val="en-GB"/>
        </w:rPr>
        <w:t>Gegenbesetzung</w:t>
      </w:r>
      <w:r w:rsidRPr="008725BE">
        <w:rPr>
          <w:rFonts w:ascii="Garamond" w:hAnsi="Garamond"/>
          <w:color w:val="000000"/>
          <w:lang w:val="en-GB"/>
        </w:rPr>
        <w:t xml:space="preserve"> finden, durch welche sich das System </w:t>
      </w:r>
      <w:r w:rsidRPr="008725BE">
        <w:rPr>
          <w:rFonts w:ascii="Garamond" w:hAnsi="Garamond"/>
          <w:i/>
          <w:iCs/>
          <w:color w:val="000000"/>
          <w:lang w:val="en-GB"/>
        </w:rPr>
        <w:t>Vbw</w:t>
      </w:r>
      <w:r w:rsidRPr="008725BE">
        <w:rPr>
          <w:rFonts w:ascii="Garamond" w:hAnsi="Garamond"/>
          <w:color w:val="000000"/>
          <w:lang w:val="en-GB"/>
        </w:rPr>
        <w:t xml:space="preserve"> gegen das Andrängen der unbewußten Vorstellung schützt. Wie sich eine solche Gegenbesetzung, die im System </w:t>
      </w:r>
      <w:r w:rsidRPr="008725BE">
        <w:rPr>
          <w:rFonts w:ascii="Garamond" w:hAnsi="Garamond"/>
          <w:i/>
          <w:iCs/>
          <w:color w:val="000000"/>
          <w:lang w:val="en-GB"/>
        </w:rPr>
        <w:t>Vbw</w:t>
      </w:r>
      <w:r w:rsidRPr="008725BE">
        <w:rPr>
          <w:rFonts w:ascii="Garamond" w:hAnsi="Garamond"/>
          <w:color w:val="000000"/>
          <w:lang w:val="en-GB"/>
        </w:rPr>
        <w:t xml:space="preserve"> vor sich geht, äußert, werden wir an klinischen Beispielen sehen. Sie ist es, welche den Daueraufwand einer Urverdrängung </w:t>
      </w:r>
      <w:r w:rsidRPr="008725BE">
        <w:rPr>
          <w:rFonts w:ascii="Garamond" w:hAnsi="Garamond"/>
          <w:color w:val="000000"/>
          <w:lang w:val="en-GB"/>
        </w:rPr>
        <w:lastRenderedPageBreak/>
        <w:t xml:space="preserve">repräsentiert, aber auch deren Dauerhaftigkeit verbürgt. Die Gegenbesetzung ist der alleinige Mechanismus der Urverdrängung; bei der eigentlichen Verdrängung (dem Nachdrängen) kommt die Entziehung der </w:t>
      </w:r>
      <w:r w:rsidRPr="008725BE">
        <w:rPr>
          <w:rFonts w:ascii="Garamond" w:hAnsi="Garamond"/>
          <w:i/>
          <w:iCs/>
          <w:color w:val="000000"/>
          <w:lang w:val="en-GB"/>
        </w:rPr>
        <w:t>vbw</w:t>
      </w:r>
      <w:r w:rsidRPr="008725BE">
        <w:rPr>
          <w:rFonts w:ascii="Garamond" w:hAnsi="Garamond"/>
          <w:color w:val="000000"/>
          <w:lang w:val="en-GB"/>
        </w:rPr>
        <w:t xml:space="preserve"> Besetzung hinzu. Es ist sehr wohl möglich, daß gerade die der Vorstellung entzogene Besetzung zur Gegenbesetzung verwendet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merken, wie wir allmählich dazu gekommen sind, in der Darstellung psychischer Phänomene einen dritten Gesichtspunkt zur Geltung zu bringen, außer dem dynamischen und dem topischen den </w:t>
      </w:r>
      <w:r w:rsidRPr="008725BE">
        <w:rPr>
          <w:rFonts w:ascii="Garamond" w:hAnsi="Garamond"/>
          <w:i/>
          <w:iCs/>
          <w:color w:val="000000"/>
          <w:lang w:val="en-GB"/>
        </w:rPr>
        <w:t>ökonomischen</w:t>
      </w:r>
      <w:r w:rsidRPr="008725BE">
        <w:rPr>
          <w:rFonts w:ascii="Garamond" w:hAnsi="Garamond"/>
          <w:color w:val="000000"/>
          <w:lang w:val="en-GB"/>
        </w:rPr>
        <w:t xml:space="preserve">, der die Schicksale der Erregungsgrößen zu verfolgen und eine wenigstens relative Schätzung derselben zu gewinnen strebt. Wir werden es nicht unbillig finden, die Betrachtungsweise, welche die Vollendung der psychoanalytischen Forschung ist, durch einen besonderen Namen auszuzeichnen. Ich schlage vor, daß es eine </w:t>
      </w:r>
      <w:r w:rsidRPr="008725BE">
        <w:rPr>
          <w:rFonts w:ascii="Garamond" w:hAnsi="Garamond"/>
          <w:i/>
          <w:iCs/>
          <w:color w:val="000000"/>
          <w:lang w:val="en-GB"/>
        </w:rPr>
        <w:t>metapsychologische</w:t>
      </w:r>
      <w:r w:rsidRPr="008725BE">
        <w:rPr>
          <w:rFonts w:ascii="Garamond" w:hAnsi="Garamond"/>
          <w:color w:val="000000"/>
          <w:lang w:val="en-GB"/>
        </w:rPr>
        <w:t xml:space="preserve"> Darstellung genannt werden soll, wenn es uns gelingt, einen psychischen Vorgang nach seinen </w:t>
      </w:r>
      <w:r w:rsidRPr="008725BE">
        <w:rPr>
          <w:rFonts w:ascii="Garamond" w:hAnsi="Garamond"/>
          <w:i/>
          <w:iCs/>
          <w:color w:val="000000"/>
          <w:lang w:val="en-GB"/>
        </w:rPr>
        <w:t>dynamischen, topischen</w:t>
      </w:r>
      <w:r w:rsidRPr="008725BE">
        <w:rPr>
          <w:rFonts w:ascii="Garamond" w:hAnsi="Garamond"/>
          <w:color w:val="000000"/>
          <w:lang w:val="en-GB"/>
        </w:rPr>
        <w:t xml:space="preserve"> und </w:t>
      </w:r>
      <w:r w:rsidRPr="008725BE">
        <w:rPr>
          <w:rFonts w:ascii="Garamond" w:hAnsi="Garamond"/>
          <w:i/>
          <w:iCs/>
          <w:color w:val="000000"/>
          <w:lang w:val="en-GB"/>
        </w:rPr>
        <w:t>ökonomischen</w:t>
      </w:r>
      <w:r w:rsidRPr="008725BE">
        <w:rPr>
          <w:rFonts w:ascii="Garamond" w:hAnsi="Garamond"/>
          <w:color w:val="000000"/>
          <w:lang w:val="en-GB"/>
        </w:rPr>
        <w:t xml:space="preserve"> Beziehungen zu beschreiben. Es ist vorherzusagen, daß es uns bei dem gegenwärtigen Stand unserer Einsichten nur an vereinzelten Stellen gelingen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Machen wir einen zaghaften Versuch, eine metapsychologische Beschreibung des Verdrängungsvorganges bei den drei bekannten Übertragungsneurosen zu geben. Wir dürfen dabei »Besetzung« durch »Libido« ersetzen, weil es sich ja, wie wir wissen, um die Schicksale von Sexualtrieben handelt.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 erste Phase des Vorganges bei der Angsthysterie wird häufig übersehen, vielleicht auch wirklich übergangen, ist aber bei sorgfältiger Beobachtung gut kenntlich. Sie besteht darin, daß Angst auftritt, ohne daß wahrgenommen würde, wovor. Es ist anzunehmen, daß im </w:t>
      </w:r>
      <w:r w:rsidRPr="008725BE">
        <w:rPr>
          <w:rFonts w:ascii="Garamond" w:hAnsi="Garamond"/>
          <w:i/>
          <w:iCs/>
          <w:color w:val="000000"/>
          <w:lang w:val="en-GB"/>
        </w:rPr>
        <w:t>Ubw</w:t>
      </w:r>
      <w:r w:rsidRPr="008725BE">
        <w:rPr>
          <w:rFonts w:ascii="Garamond" w:hAnsi="Garamond"/>
          <w:color w:val="000000"/>
          <w:lang w:val="en-GB"/>
        </w:rPr>
        <w:t xml:space="preserve"> eine Liebesregung vorhanden war, die nach der Umsetzung ins System </w:t>
      </w:r>
      <w:r w:rsidRPr="008725BE">
        <w:rPr>
          <w:rFonts w:ascii="Garamond" w:hAnsi="Garamond"/>
          <w:i/>
          <w:iCs/>
          <w:color w:val="000000"/>
          <w:lang w:val="en-GB"/>
        </w:rPr>
        <w:t>Vbw</w:t>
      </w:r>
      <w:r w:rsidRPr="008725BE">
        <w:rPr>
          <w:rFonts w:ascii="Garamond" w:hAnsi="Garamond"/>
          <w:color w:val="000000"/>
          <w:lang w:val="en-GB"/>
        </w:rPr>
        <w:t xml:space="preserve"> verlangte; aber die von diesem System her ihr zugewendete Besetzung zog sich nach Art eines Fluchtversuches von ihr zurück, und die unbewußte Libidobesetzung der zurückgewiesenen Vorstellung wurde als Angst abgeführt. Bei einer etwaigen Wiederholung des Vorganges wurde ein erster Schritt zur Bewältigung der unliebsamen Angstentwicklung unternommen. Die fliehende Besetzung wendete sich einer Ersatzvorstellung zu, die einerseits assoziativ mit der abgewiesenen Vorstellung zusammenhing, anderseits durch die Entfernung von ihr der Verdrängung entzogen war ( </w:t>
      </w:r>
      <w:r w:rsidRPr="008725BE">
        <w:rPr>
          <w:rFonts w:ascii="Garamond" w:hAnsi="Garamond"/>
          <w:i/>
          <w:iCs/>
          <w:color w:val="000000"/>
          <w:lang w:val="en-GB"/>
        </w:rPr>
        <w:t>Verschiebungsersatz</w:t>
      </w:r>
      <w:r w:rsidRPr="008725BE">
        <w:rPr>
          <w:rFonts w:ascii="Garamond" w:hAnsi="Garamond"/>
          <w:color w:val="000000"/>
          <w:lang w:val="en-GB"/>
        </w:rPr>
        <w:t xml:space="preserve">) und eine Rationalisierung der noch unhemmbaren Angstentwicklung gestattete. Die Ersatzvorstellung spielt nun für das System </w:t>
      </w:r>
      <w:r w:rsidRPr="008725BE">
        <w:rPr>
          <w:rFonts w:ascii="Garamond" w:hAnsi="Garamond"/>
          <w:i/>
          <w:iCs/>
          <w:color w:val="000000"/>
          <w:lang w:val="en-GB"/>
        </w:rPr>
        <w:t>Bw</w:t>
      </w:r>
      <w:r w:rsidRPr="008725BE">
        <w:rPr>
          <w:rFonts w:ascii="Garamond" w:hAnsi="Garamond"/>
          <w:color w:val="000000"/>
          <w:lang w:val="en-GB"/>
        </w:rPr>
        <w:t xml:space="preserve"> ( </w:t>
      </w:r>
      <w:r w:rsidRPr="008725BE">
        <w:rPr>
          <w:rFonts w:ascii="Garamond" w:hAnsi="Garamond"/>
          <w:i/>
          <w:iCs/>
          <w:color w:val="000000"/>
          <w:lang w:val="en-GB"/>
        </w:rPr>
        <w:t>Vbw</w:t>
      </w:r>
      <w:r w:rsidRPr="008725BE">
        <w:rPr>
          <w:rFonts w:ascii="Garamond" w:hAnsi="Garamond"/>
          <w:color w:val="000000"/>
          <w:lang w:val="en-GB"/>
        </w:rPr>
        <w:t xml:space="preserve">) die Rolle einer Gegenbesetzung, indem sie es gegen das Auftauchen der verdrängten Vorstellung im </w:t>
      </w:r>
      <w:r w:rsidRPr="008725BE">
        <w:rPr>
          <w:rFonts w:ascii="Garamond" w:hAnsi="Garamond"/>
          <w:i/>
          <w:iCs/>
          <w:color w:val="000000"/>
          <w:lang w:val="en-GB"/>
        </w:rPr>
        <w:t>Bw</w:t>
      </w:r>
      <w:r w:rsidRPr="008725BE">
        <w:rPr>
          <w:rFonts w:ascii="Garamond" w:hAnsi="Garamond"/>
          <w:color w:val="000000"/>
          <w:lang w:val="en-GB"/>
        </w:rPr>
        <w:t xml:space="preserve"> versichert, anderseits ist sie die Ausgangsstelle der nun erst recht unhemmbaren Angstaffektentbindung oder benimmt sich als solche. Die klinische Beobachtung zeigt, daß z. B. das an der Tierphobie leidende Kind nun unter zweierlei Bedingungen Angst verspürt, erstens wenn die verdrängte Liebesregung eine Verstärkung erfährt, und zweitens wenn das Angsttier wahrgenommen wird. Die Ersatzvorstellung benimmt sich in dem einen Falle wie die Stelle einer Überleitung aus dem System </w:t>
      </w:r>
      <w:r w:rsidRPr="008725BE">
        <w:rPr>
          <w:rFonts w:ascii="Garamond" w:hAnsi="Garamond"/>
          <w:i/>
          <w:iCs/>
          <w:color w:val="000000"/>
          <w:lang w:val="en-GB"/>
        </w:rPr>
        <w:t>Ubw</w:t>
      </w:r>
      <w:r w:rsidRPr="008725BE">
        <w:rPr>
          <w:rFonts w:ascii="Garamond" w:hAnsi="Garamond"/>
          <w:color w:val="000000"/>
          <w:lang w:val="en-GB"/>
        </w:rPr>
        <w:t xml:space="preserve"> in das System </w:t>
      </w:r>
      <w:r w:rsidRPr="008725BE">
        <w:rPr>
          <w:rFonts w:ascii="Garamond" w:hAnsi="Garamond"/>
          <w:i/>
          <w:iCs/>
          <w:color w:val="000000"/>
          <w:lang w:val="en-GB"/>
        </w:rPr>
        <w:t>Bw</w:t>
      </w:r>
      <w:r w:rsidRPr="008725BE">
        <w:rPr>
          <w:rFonts w:ascii="Garamond" w:hAnsi="Garamond"/>
          <w:color w:val="000000"/>
          <w:lang w:val="en-GB"/>
        </w:rPr>
        <w:t xml:space="preserve">, im anderen wie eine selbständige Quelle der Angstentbindung. Die Ausdehnung der Herrschaft des Systems </w:t>
      </w:r>
      <w:r w:rsidRPr="008725BE">
        <w:rPr>
          <w:rFonts w:ascii="Garamond" w:hAnsi="Garamond"/>
          <w:i/>
          <w:iCs/>
          <w:color w:val="000000"/>
          <w:lang w:val="en-GB"/>
        </w:rPr>
        <w:t>Bw</w:t>
      </w:r>
      <w:r w:rsidRPr="008725BE">
        <w:rPr>
          <w:rFonts w:ascii="Garamond" w:hAnsi="Garamond"/>
          <w:color w:val="000000"/>
          <w:lang w:val="en-GB"/>
        </w:rPr>
        <w:t xml:space="preserve"> pflegt sich darin zu äußern, daß die erste Erregungsweise der Ersatzvorstellung gegen die zweite immer mehr zurücktritt. Vielleicht benimmt sich am Ende das Kind so, als hätte es gar keine Neigung zu dem Vater, wäre ganz von ihm frei geworden, und als hätte es wirklich Angst vor dem Tier. Nur daß diese Tierangst, aus der unbewußten Triebquelle gespeist, sich widerspenstig und übergroß gegen alle Beeinflussungen aus dem System </w:t>
      </w:r>
      <w:r w:rsidRPr="008725BE">
        <w:rPr>
          <w:rFonts w:ascii="Garamond" w:hAnsi="Garamond"/>
          <w:i/>
          <w:iCs/>
          <w:color w:val="000000"/>
          <w:lang w:val="en-GB"/>
        </w:rPr>
        <w:t>Bw</w:t>
      </w:r>
      <w:r w:rsidRPr="008725BE">
        <w:rPr>
          <w:rFonts w:ascii="Garamond" w:hAnsi="Garamond"/>
          <w:color w:val="000000"/>
          <w:lang w:val="en-GB"/>
        </w:rPr>
        <w:t xml:space="preserve"> erweist und dadurch ihre Herkunft aus dem System </w:t>
      </w:r>
      <w:r w:rsidRPr="008725BE">
        <w:rPr>
          <w:rFonts w:ascii="Garamond" w:hAnsi="Garamond"/>
          <w:i/>
          <w:iCs/>
          <w:color w:val="000000"/>
          <w:lang w:val="en-GB"/>
        </w:rPr>
        <w:t>Ubw</w:t>
      </w:r>
      <w:r w:rsidRPr="008725BE">
        <w:rPr>
          <w:rFonts w:ascii="Garamond" w:hAnsi="Garamond"/>
          <w:color w:val="000000"/>
          <w:lang w:val="en-GB"/>
        </w:rPr>
        <w:t xml:space="preserve"> verrät.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Gegenbesetzung aus dem System </w:t>
      </w:r>
      <w:r w:rsidRPr="008725BE">
        <w:rPr>
          <w:rFonts w:ascii="Garamond" w:hAnsi="Garamond"/>
          <w:i/>
          <w:iCs/>
          <w:color w:val="000000"/>
          <w:lang w:val="en-GB"/>
        </w:rPr>
        <w:t>Bw</w:t>
      </w:r>
      <w:r w:rsidRPr="008725BE">
        <w:rPr>
          <w:rFonts w:ascii="Garamond" w:hAnsi="Garamond"/>
          <w:color w:val="000000"/>
          <w:lang w:val="en-GB"/>
        </w:rPr>
        <w:t xml:space="preserve"> hat also in der zweiten Phase der Angsthysterie zur Ersatzbildung geführt. Derselbe Mechanismus findet bald eine neuerliche Anwendung. Der Verdrängungsvorgang ist, wie wir wissen, noch nicht abgeschlossen und findet ein weiteres Ziel in der Aufgabe, die vom Ersatz ausgehende Angstentwicklung zu hemmen. Dies geschieht in der Weise, daß die gesamte assoziierte Umgebung der Ersatzvorstellung mit besonderer Intensität besetzt wird, so daß sie eine hohe Empfindlichkeit gegen Erregung bezeigen kann. Eine Erregung irgendeiner Stelle dieses Vorbaues muß zufolge der Verknüpfung mit der Ersatzvorstellung den Anstoß zu einer geringen Angstentwicklung geben, welche nun als Signal benützt wird, um durch neuerliche Flucht der Besetzung den weiteren Fortgang der Angstentwicklung zu hemmen. Je weiter weg vom gefürchteten Ersatz die empfindlichen und wachsamen Gegenbesetzungen angebracht sind, desto präziser kann der Mechanismus funktionieren, der die Ersatzvorstellung isolieren und neue Erregungen von ihr abhalten soll. Diese Vorsichten schützen natürlich nur gegen Erregungen, die von außen, durch die Wahrnehmung an die Ersatzvorstellung herantreten, aber niemals gegen die Triebregung, die von der Verbindung mit der verdrängten Vorstellung her die Ersatzvorstellung trifft. Sie beginnen also erst zu wirken, wenn der Ersatz die Vertretung des Verdrängten gut übernommen hat, und können niemals ganz verläßlich wirken. Bei jedem Ansteigen der Trieberregung muß der schützende Wall um die Ersatzvorstellung um ein Stück </w:t>
      </w:r>
      <w:r w:rsidRPr="008725BE">
        <w:rPr>
          <w:rFonts w:ascii="Garamond" w:hAnsi="Garamond"/>
          <w:color w:val="000000"/>
          <w:lang w:val="en-GB"/>
        </w:rPr>
        <w:lastRenderedPageBreak/>
        <w:t xml:space="preserve">weiter hinausverlegt werden. Die ganze Konstruktion, die in analoger Weise bei den anderen Neurosen hergestellt wird, trägt den Namen einer </w:t>
      </w:r>
      <w:r w:rsidRPr="008725BE">
        <w:rPr>
          <w:rFonts w:ascii="Garamond" w:hAnsi="Garamond"/>
          <w:i/>
          <w:iCs/>
          <w:color w:val="000000"/>
          <w:lang w:val="en-GB"/>
        </w:rPr>
        <w:t>Phobie</w:t>
      </w:r>
      <w:r w:rsidRPr="008725BE">
        <w:rPr>
          <w:rFonts w:ascii="Garamond" w:hAnsi="Garamond"/>
          <w:color w:val="000000"/>
          <w:lang w:val="en-GB"/>
        </w:rPr>
        <w:t xml:space="preserve">. Der Ausdruck der Flucht vor bewußter Besetzung der Ersatzvorstellung sind die Vermeidungen, Verzichte und Verbote, an denen man die Angsthysterie erkennt. Überschaut man den ganzen Vorgang, so kann man sagen, die dritte Phase hat die Arbeit der zweiten in größerem Ausmaß wiederholt. Das System </w:t>
      </w:r>
      <w:r w:rsidRPr="008725BE">
        <w:rPr>
          <w:rFonts w:ascii="Garamond" w:hAnsi="Garamond"/>
          <w:i/>
          <w:iCs/>
          <w:color w:val="000000"/>
          <w:lang w:val="en-GB"/>
        </w:rPr>
        <w:t>Bw</w:t>
      </w:r>
      <w:r w:rsidRPr="008725BE">
        <w:rPr>
          <w:rFonts w:ascii="Garamond" w:hAnsi="Garamond"/>
          <w:color w:val="000000"/>
          <w:lang w:val="en-GB"/>
        </w:rPr>
        <w:t xml:space="preserve"> schützt sich jetzt gegen die Aktivierung der Ersatzvorstellung durch die Gegenbesetzung der Umgebung, wie es sich vorhin durch die Besetzung der Ersatzvorstellung gegen das Auftauchen der verdrängten Vorstellung gesichert hatte. Die Ersatzbildung durch Verschiebung hat sich in solcher Weise fortgesetzt. Man muß auch hinzufügen, daß das System </w:t>
      </w:r>
      <w:r w:rsidRPr="008725BE">
        <w:rPr>
          <w:rFonts w:ascii="Garamond" w:hAnsi="Garamond"/>
          <w:i/>
          <w:iCs/>
          <w:color w:val="000000"/>
          <w:lang w:val="en-GB"/>
        </w:rPr>
        <w:t>Bw</w:t>
      </w:r>
      <w:r w:rsidRPr="008725BE">
        <w:rPr>
          <w:rFonts w:ascii="Garamond" w:hAnsi="Garamond"/>
          <w:color w:val="000000"/>
          <w:lang w:val="en-GB"/>
        </w:rPr>
        <w:t xml:space="preserve"> früher nur eine kleine Stelle besaß, die eine Einbruchspforte der verdrängten Triebregung war, die Ersatzvorstellung nämlich, daß aber am Ende der ganze phobische Vorbau einer solchen Enklave des unbewußten Einflusses entspricht. Man kann ferner den interessanten Gesichtspunkt hervorheben, daß durch den ganzen ins Werk gesetzten Abwehrmechanismus eine Projektion der Triebgefahr nach außen erreicht worden ist. Das Ich benimmt sich so, als ob ihm die Gefahr der Angstentwicklung nicht von einer Triebregung, sondern von einer Wahrnehmung her drohte, und darf darum gegen diese äußere Gefahr mit den Fluchtversuchen der phobischen Vermeidungen reagieren. Eines gelingt bei diesem Vorgang der Verdrängung: die Entbindung von Angst läßt sich einigermaßen eindämmen, aber nur unter schweren Opfern an persönlicher Freiheit. Fluchtversuche vor Triebansprüchen sind aber im allgemeinen nutzlos, und das Ergebnis der phobischen Flucht bleibt doch unbefriedigend.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Von den Verhältnissen, die wir bei der Angsthysterie erkannt haben, gilt ein großer Anteil auch für die beiden anderen Neurosen, so daß wir die Erörterung auf die Unterschiede und die Rolle der Gegenbesetzung beschränken können. Bei der Konversionshysterie wird die Triebbesetzung der verdrängten Vorstellung in die Innervation des Symptoms umgesetzt. Inwieweit und unter welchen Umständen die unbewußte Vorstellung durch diese Abfuhr zur Innervation drainiert ist, so daß sie ihr Andrängen gegen das System </w:t>
      </w:r>
      <w:r w:rsidRPr="008725BE">
        <w:rPr>
          <w:rFonts w:ascii="Garamond" w:hAnsi="Garamond"/>
          <w:i/>
          <w:iCs/>
          <w:color w:val="000000"/>
          <w:lang w:val="en-GB"/>
        </w:rPr>
        <w:t>Bw</w:t>
      </w:r>
      <w:r w:rsidRPr="008725BE">
        <w:rPr>
          <w:rFonts w:ascii="Garamond" w:hAnsi="Garamond"/>
          <w:color w:val="000000"/>
          <w:lang w:val="en-GB"/>
        </w:rPr>
        <w:t xml:space="preserve"> aufgeben kann, diese und ähnliche Fragen bleiben besser einer speziellen Untersuchung der Hysterie vorbehalten. Die Rolle der Gegenbesetzung, die vom System </w:t>
      </w:r>
      <w:r w:rsidRPr="008725BE">
        <w:rPr>
          <w:rFonts w:ascii="Garamond" w:hAnsi="Garamond"/>
          <w:i/>
          <w:iCs/>
          <w:color w:val="000000"/>
          <w:lang w:val="en-GB"/>
        </w:rPr>
        <w:t>Bw</w:t>
      </w:r>
      <w:r w:rsidRPr="008725BE">
        <w:rPr>
          <w:rFonts w:ascii="Garamond" w:hAnsi="Garamond"/>
          <w:color w:val="000000"/>
          <w:lang w:val="en-GB"/>
        </w:rPr>
        <w:t xml:space="preserve"> ( </w:t>
      </w:r>
      <w:r w:rsidRPr="008725BE">
        <w:rPr>
          <w:rFonts w:ascii="Garamond" w:hAnsi="Garamond"/>
          <w:i/>
          <w:iCs/>
          <w:color w:val="000000"/>
          <w:lang w:val="en-GB"/>
        </w:rPr>
        <w:t>Vbw</w:t>
      </w:r>
      <w:r w:rsidRPr="008725BE">
        <w:rPr>
          <w:rFonts w:ascii="Garamond" w:hAnsi="Garamond"/>
          <w:color w:val="000000"/>
          <w:lang w:val="en-GB"/>
        </w:rPr>
        <w:t xml:space="preserve">) ausgeht, ist bei der Konversionshysterie deutlich und kommt in der Symptombildung zum Vorschein. Die Gegenbesetzung ist es, welche die Auswahl trifft, auf welches Stück der Triebrepräsentanz die ganze Besetzung derselben konzentriert werden darf. Dies zum Symptom erlesene Stück erfüllt die Bedingung, daß es dem Wunschziel der Triebregung ebensosehr Ausdruck gibt wie dem Abwehr- oder Strafbestreben des Systems </w:t>
      </w:r>
      <w:r w:rsidRPr="008725BE">
        <w:rPr>
          <w:rFonts w:ascii="Garamond" w:hAnsi="Garamond"/>
          <w:i/>
          <w:iCs/>
          <w:color w:val="000000"/>
          <w:lang w:val="en-GB"/>
        </w:rPr>
        <w:t>Bw</w:t>
      </w:r>
      <w:r w:rsidRPr="008725BE">
        <w:rPr>
          <w:rFonts w:ascii="Garamond" w:hAnsi="Garamond"/>
          <w:color w:val="000000"/>
          <w:lang w:val="en-GB"/>
        </w:rPr>
        <w:t xml:space="preserve">; es wird also überbesetzt und von beiden Seiten her gehalten wie die Ersatzvorstellung der Angsthysterie. Wir können aus diesem Verhältnis ohne weiteres den Schluß ziehen, daß der Verdrängungsaufwand des Systems </w:t>
      </w:r>
      <w:r w:rsidRPr="008725BE">
        <w:rPr>
          <w:rFonts w:ascii="Garamond" w:hAnsi="Garamond"/>
          <w:i/>
          <w:iCs/>
          <w:color w:val="000000"/>
          <w:lang w:val="en-GB"/>
        </w:rPr>
        <w:t>Bw</w:t>
      </w:r>
      <w:r w:rsidRPr="008725BE">
        <w:rPr>
          <w:rFonts w:ascii="Garamond" w:hAnsi="Garamond"/>
          <w:color w:val="000000"/>
          <w:lang w:val="en-GB"/>
        </w:rPr>
        <w:t xml:space="preserve"> nicht so groß zu sein braucht wie die Besetzungsenergie des Symptoms, denn die Stärke der Verdrängung wird durch die aufgewendete Gegenbesetzung gemessen, und das Symptom stützt sich nicht nur auf die Gegenbesetzung, sondern auch auf die in ihm verdichtete Triebbesetzung aus dem System </w:t>
      </w:r>
      <w:r w:rsidRPr="008725BE">
        <w:rPr>
          <w:rFonts w:ascii="Garamond" w:hAnsi="Garamond"/>
          <w:i/>
          <w:iCs/>
          <w:color w:val="000000"/>
          <w:lang w:val="en-GB"/>
        </w:rPr>
        <w:t>Ubw</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Für die Zwangsneurose hätten wir den in der vorigen Abhandlung enthaltenen Bemerkungen nur hinzuzufügen, daß hier die Gegenbesetzung des Systems </w:t>
      </w:r>
      <w:r w:rsidRPr="008725BE">
        <w:rPr>
          <w:rFonts w:ascii="Garamond" w:hAnsi="Garamond"/>
          <w:i/>
          <w:iCs/>
          <w:color w:val="000000"/>
          <w:lang w:val="en-GB"/>
        </w:rPr>
        <w:t>Bw</w:t>
      </w:r>
      <w:r w:rsidRPr="008725BE">
        <w:rPr>
          <w:rFonts w:ascii="Garamond" w:hAnsi="Garamond"/>
          <w:color w:val="000000"/>
          <w:lang w:val="en-GB"/>
        </w:rPr>
        <w:t xml:space="preserve"> am sinnfälligsten in den Vordergrund tritt. Sie ist es, die als Reaktionsbildung organisiert die erste Verdrängung besorgt und an welcher später der Durchbruch der verdrängten Vorstellung erfolgt. Man darf der Vermutung Raum geben, daß es an dem Vorwiegen der Gegenbesetzung und Ausfallen einer Abfuhr liegt, wenn das Werk der Verdrängung bei Angsthysterie und Zwangsneurose weit weniger geglückt erscheint als bei der Konversionshysterie.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 Die besonderen Eigenschaften des Systems </w:t>
      </w:r>
      <w:r w:rsidRPr="008725BE">
        <w:rPr>
          <w:rFonts w:ascii="Garamond" w:hAnsi="Garamond"/>
          <w:i/>
          <w:iCs/>
          <w:color w:val="000000"/>
          <w:lang w:val="en-GB"/>
        </w:rPr>
        <w:t>Ubw</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 neue Bedeutung erhält die Unterscheidung der beiden psychischen Systeme, wenn wir darauf aufmerksam werden, daß die Vorgänge des einen Systems, des </w:t>
      </w:r>
      <w:r w:rsidRPr="008725BE">
        <w:rPr>
          <w:rFonts w:ascii="Garamond" w:hAnsi="Garamond"/>
          <w:i/>
          <w:iCs/>
          <w:color w:val="000000"/>
          <w:lang w:val="en-GB"/>
        </w:rPr>
        <w:t>Ubw</w:t>
      </w:r>
      <w:r w:rsidRPr="008725BE">
        <w:rPr>
          <w:rFonts w:ascii="Garamond" w:hAnsi="Garamond"/>
          <w:color w:val="000000"/>
          <w:lang w:val="en-GB"/>
        </w:rPr>
        <w:t>, Eigenschaften zeigen, die sich in dem nächst höheren nicht wiederfinden.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Kern des </w:t>
      </w:r>
      <w:r w:rsidRPr="008725BE">
        <w:rPr>
          <w:rFonts w:ascii="Garamond" w:hAnsi="Garamond"/>
          <w:i/>
          <w:iCs/>
          <w:color w:val="000000"/>
          <w:lang w:val="en-GB"/>
        </w:rPr>
        <w:t>Ubw</w:t>
      </w:r>
      <w:r w:rsidRPr="008725BE">
        <w:rPr>
          <w:rFonts w:ascii="Garamond" w:hAnsi="Garamond"/>
          <w:color w:val="000000"/>
          <w:lang w:val="en-GB"/>
        </w:rPr>
        <w:t xml:space="preserve"> besteht aus Triebrepräsentanzen, die ihre Besetzung abführen wollen, also aus Wunschregungen. Diese Triebregungen sind einander koordiniert, bestehen unbeeinflußt nebeneinander, widersprechen einander nicht. Wenn zwei Wunschregungen gleichzeitig aktiviert werden, deren Ziele uns unvereinbar erscheinen müssen, so ziehen sich die beiden Regungen nicht etwa voneinander ab oder heben einander auf, sondern sie treten zur Bildung eines mittleren Zieles, eines Kompromisses, zusammen.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gibt in diesem System keine Negation, keinen Zweifel, keine Grade von Sicherheit. All dies wird erst durch die Arbeit der Zensur zwischen </w:t>
      </w:r>
      <w:r w:rsidRPr="008725BE">
        <w:rPr>
          <w:rFonts w:ascii="Garamond" w:hAnsi="Garamond"/>
          <w:i/>
          <w:iCs/>
          <w:color w:val="000000"/>
          <w:lang w:val="en-GB"/>
        </w:rPr>
        <w:t>Ubw</w:t>
      </w:r>
      <w:r w:rsidRPr="008725BE">
        <w:rPr>
          <w:rFonts w:ascii="Garamond" w:hAnsi="Garamond"/>
          <w:color w:val="000000"/>
          <w:lang w:val="en-GB"/>
        </w:rPr>
        <w:t xml:space="preserve"> und </w:t>
      </w:r>
      <w:r w:rsidRPr="008725BE">
        <w:rPr>
          <w:rFonts w:ascii="Garamond" w:hAnsi="Garamond"/>
          <w:i/>
          <w:iCs/>
          <w:color w:val="000000"/>
          <w:lang w:val="en-GB"/>
        </w:rPr>
        <w:t>Vbw</w:t>
      </w:r>
      <w:r w:rsidRPr="008725BE">
        <w:rPr>
          <w:rFonts w:ascii="Garamond" w:hAnsi="Garamond"/>
          <w:color w:val="000000"/>
          <w:lang w:val="en-GB"/>
        </w:rPr>
        <w:t xml:space="preserve"> eingetragen. Die Negation ist ein Ersatz der Verdrängung von höherer Stufe. Im </w:t>
      </w:r>
      <w:r w:rsidRPr="008725BE">
        <w:rPr>
          <w:rFonts w:ascii="Garamond" w:hAnsi="Garamond"/>
          <w:i/>
          <w:iCs/>
          <w:color w:val="000000"/>
          <w:lang w:val="en-GB"/>
        </w:rPr>
        <w:t>Ubw</w:t>
      </w:r>
      <w:r w:rsidRPr="008725BE">
        <w:rPr>
          <w:rFonts w:ascii="Garamond" w:hAnsi="Garamond"/>
          <w:color w:val="000000"/>
          <w:lang w:val="en-GB"/>
        </w:rPr>
        <w:t xml:space="preserve"> gibt es nur mehr oder weniger stark besetzte Inhalte.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herrscht eine weit größere Beweglichkeit der Besetzungsintensitäten. Durch den Prozeß der </w:t>
      </w:r>
      <w:r w:rsidRPr="008725BE">
        <w:rPr>
          <w:rFonts w:ascii="Garamond" w:hAnsi="Garamond"/>
          <w:i/>
          <w:iCs/>
          <w:color w:val="000000"/>
          <w:lang w:val="en-GB"/>
        </w:rPr>
        <w:t>Verschiebung</w:t>
      </w:r>
      <w:r w:rsidRPr="008725BE">
        <w:rPr>
          <w:rFonts w:ascii="Garamond" w:hAnsi="Garamond"/>
          <w:color w:val="000000"/>
          <w:lang w:val="en-GB"/>
        </w:rPr>
        <w:t xml:space="preserve"> kann eine Vorstellung den ganzen Betrag ihrer Besetzung an eine andere abgeben, durch den </w:t>
      </w:r>
      <w:r w:rsidRPr="008725BE">
        <w:rPr>
          <w:rFonts w:ascii="Garamond" w:hAnsi="Garamond"/>
          <w:color w:val="000000"/>
          <w:lang w:val="en-GB"/>
        </w:rPr>
        <w:lastRenderedPageBreak/>
        <w:t xml:space="preserve">der </w:t>
      </w:r>
      <w:r w:rsidRPr="008725BE">
        <w:rPr>
          <w:rFonts w:ascii="Garamond" w:hAnsi="Garamond"/>
          <w:i/>
          <w:iCs/>
          <w:color w:val="000000"/>
          <w:lang w:val="en-GB"/>
        </w:rPr>
        <w:t>Verdichtung</w:t>
      </w:r>
      <w:r w:rsidRPr="008725BE">
        <w:rPr>
          <w:rFonts w:ascii="Garamond" w:hAnsi="Garamond"/>
          <w:color w:val="000000"/>
          <w:lang w:val="en-GB"/>
        </w:rPr>
        <w:t xml:space="preserve"> die ganze Besetzung mehrerer anderer an sich nehmen. Ich habe vorgeschlagen, diese beiden Prozesse als Anzeichen des sogenannten psychischen </w:t>
      </w:r>
      <w:r w:rsidRPr="008725BE">
        <w:rPr>
          <w:rFonts w:ascii="Garamond" w:hAnsi="Garamond"/>
          <w:i/>
          <w:iCs/>
          <w:color w:val="000000"/>
          <w:lang w:val="en-GB"/>
        </w:rPr>
        <w:t>Primärvorganges</w:t>
      </w:r>
      <w:r w:rsidRPr="008725BE">
        <w:rPr>
          <w:rFonts w:ascii="Garamond" w:hAnsi="Garamond"/>
          <w:color w:val="000000"/>
          <w:lang w:val="en-GB"/>
        </w:rPr>
        <w:t xml:space="preserve"> anzusehen. Im System </w:t>
      </w:r>
      <w:r w:rsidRPr="008725BE">
        <w:rPr>
          <w:rFonts w:ascii="Garamond" w:hAnsi="Garamond"/>
          <w:i/>
          <w:iCs/>
          <w:color w:val="000000"/>
          <w:lang w:val="en-GB"/>
        </w:rPr>
        <w:t>Vbw</w:t>
      </w:r>
      <w:r w:rsidRPr="008725BE">
        <w:rPr>
          <w:rFonts w:ascii="Garamond" w:hAnsi="Garamond"/>
          <w:color w:val="000000"/>
          <w:lang w:val="en-GB"/>
        </w:rPr>
        <w:t xml:space="preserve"> herrscht der </w:t>
      </w:r>
      <w:r w:rsidRPr="008725BE">
        <w:rPr>
          <w:rFonts w:ascii="Garamond" w:hAnsi="Garamond"/>
          <w:i/>
          <w:iCs/>
          <w:color w:val="000000"/>
          <w:lang w:val="en-GB"/>
        </w:rPr>
        <w:t>Sekundärvorgang</w:t>
      </w:r>
      <w:hyperlink r:id="rId73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 die Ausführungen im VII. Abschnitt der </w:t>
        </w:r>
        <w:r w:rsidRPr="008725BE">
          <w:rPr>
            <w:rStyle w:val="innerfusslink3"/>
            <w:rFonts w:ascii="Garamond" w:hAnsi="Garamond" w:cs="Arial"/>
            <w:b/>
            <w:bCs/>
            <w:i/>
            <w:iCs/>
            <w:lang w:val="en-GB"/>
          </w:rPr>
          <w:t>Traumdeutung</w:t>
        </w:r>
        <w:r w:rsidRPr="008725BE">
          <w:rPr>
            <w:rStyle w:val="innerfusslink3"/>
            <w:rFonts w:ascii="Garamond" w:hAnsi="Garamond" w:cs="Arial"/>
            <w:b/>
            <w:bCs/>
            <w:lang w:val="en-GB"/>
          </w:rPr>
          <w:t xml:space="preserve">, welche sich auf die von J. Breuer in den </w:t>
        </w:r>
        <w:r w:rsidRPr="008725BE">
          <w:rPr>
            <w:rStyle w:val="innerfusslink3"/>
            <w:rFonts w:ascii="Garamond" w:hAnsi="Garamond" w:cs="Arial"/>
            <w:b/>
            <w:bCs/>
            <w:i/>
            <w:iCs/>
            <w:lang w:val="en-GB"/>
          </w:rPr>
          <w:t>Studien über Hysterie</w:t>
        </w:r>
        <w:r w:rsidRPr="008725BE">
          <w:rPr>
            <w:rStyle w:val="innerfusslink3"/>
            <w:rFonts w:ascii="Garamond" w:hAnsi="Garamond" w:cs="Arial"/>
            <w:b/>
            <w:bCs/>
            <w:lang w:val="en-GB"/>
          </w:rPr>
          <w:t xml:space="preserve"> entwickelten Ideen stützt.</w:t>
        </w:r>
      </w:hyperlink>
      <w:r w:rsidRPr="008725BE">
        <w:rPr>
          <w:rFonts w:ascii="Garamond" w:hAnsi="Garamond"/>
          <w:color w:val="000000"/>
          <w:lang w:val="en-GB"/>
        </w:rPr>
        <w:t xml:space="preserve">; wo ein solcher Primärvorgang sich an Elementen des Systems </w:t>
      </w:r>
      <w:r w:rsidRPr="008725BE">
        <w:rPr>
          <w:rFonts w:ascii="Garamond" w:hAnsi="Garamond"/>
          <w:i/>
          <w:iCs/>
          <w:color w:val="000000"/>
          <w:lang w:val="en-GB"/>
        </w:rPr>
        <w:t>Vbw</w:t>
      </w:r>
      <w:r w:rsidRPr="008725BE">
        <w:rPr>
          <w:rFonts w:ascii="Garamond" w:hAnsi="Garamond"/>
          <w:color w:val="000000"/>
          <w:lang w:val="en-GB"/>
        </w:rPr>
        <w:t xml:space="preserve"> abspielen darf, erscheint er »komisch« und erregt Lachen.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Vorgänge des Systems </w:t>
      </w:r>
      <w:r w:rsidRPr="008725BE">
        <w:rPr>
          <w:rFonts w:ascii="Garamond" w:hAnsi="Garamond"/>
          <w:i/>
          <w:iCs/>
          <w:color w:val="000000"/>
          <w:lang w:val="en-GB"/>
        </w:rPr>
        <w:t>Ubw</w:t>
      </w:r>
      <w:r w:rsidRPr="008725BE">
        <w:rPr>
          <w:rFonts w:ascii="Garamond" w:hAnsi="Garamond"/>
          <w:color w:val="000000"/>
          <w:lang w:val="en-GB"/>
        </w:rPr>
        <w:t xml:space="preserve"> sind </w:t>
      </w:r>
      <w:r w:rsidRPr="008725BE">
        <w:rPr>
          <w:rFonts w:ascii="Garamond" w:hAnsi="Garamond"/>
          <w:i/>
          <w:iCs/>
          <w:color w:val="000000"/>
          <w:lang w:val="en-GB"/>
        </w:rPr>
        <w:t>zeitlos</w:t>
      </w:r>
      <w:r w:rsidRPr="008725BE">
        <w:rPr>
          <w:rFonts w:ascii="Garamond" w:hAnsi="Garamond"/>
          <w:color w:val="000000"/>
          <w:lang w:val="en-GB"/>
        </w:rPr>
        <w:t xml:space="preserve">, d. h., sie sind nicht zeitlich geordnet, werden durch die verlaufende Zeit nicht abgeändert, haben überhaupt keine Beziehung zur Zeit. Auch die Zeitbeziehung ist an die Arbeit des </w:t>
      </w:r>
      <w:r w:rsidRPr="008725BE">
        <w:rPr>
          <w:rFonts w:ascii="Garamond" w:hAnsi="Garamond"/>
          <w:i/>
          <w:iCs/>
          <w:color w:val="000000"/>
          <w:lang w:val="en-GB"/>
        </w:rPr>
        <w:t>Bw</w:t>
      </w:r>
      <w:r w:rsidRPr="008725BE">
        <w:rPr>
          <w:rFonts w:ascii="Garamond" w:hAnsi="Garamond"/>
          <w:color w:val="000000"/>
          <w:lang w:val="en-GB"/>
        </w:rPr>
        <w:t>-Systems geknüpft.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Ebensowenig kennen die </w:t>
      </w:r>
      <w:r w:rsidRPr="008725BE">
        <w:rPr>
          <w:rFonts w:ascii="Garamond" w:hAnsi="Garamond"/>
          <w:i/>
          <w:iCs/>
          <w:color w:val="000000"/>
          <w:lang w:val="en-GB"/>
        </w:rPr>
        <w:t>Ubw-</w:t>
      </w:r>
      <w:r w:rsidRPr="008725BE">
        <w:rPr>
          <w:rFonts w:ascii="Garamond" w:hAnsi="Garamond"/>
          <w:color w:val="000000"/>
          <w:lang w:val="en-GB"/>
        </w:rPr>
        <w:t xml:space="preserve">Vorgänge eine Rücksicht auf die </w:t>
      </w:r>
      <w:r w:rsidRPr="008725BE">
        <w:rPr>
          <w:rFonts w:ascii="Garamond" w:hAnsi="Garamond"/>
          <w:i/>
          <w:iCs/>
          <w:color w:val="000000"/>
          <w:lang w:val="en-GB"/>
        </w:rPr>
        <w:t>Realität</w:t>
      </w:r>
      <w:r w:rsidRPr="008725BE">
        <w:rPr>
          <w:rFonts w:ascii="Garamond" w:hAnsi="Garamond"/>
          <w:color w:val="000000"/>
          <w:lang w:val="en-GB"/>
        </w:rPr>
        <w:t>. Sie sind dem Lustprinzip unterworfen; ihr Schicksal hängt nur davon ab, wie stark sie sind, und ob sie die Anforderungen der Lust-Unlustregulierung erfüllen.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Fassen wir zusammen: </w:t>
      </w:r>
      <w:r w:rsidRPr="008725BE">
        <w:rPr>
          <w:rFonts w:ascii="Garamond" w:hAnsi="Garamond"/>
          <w:i/>
          <w:iCs/>
          <w:color w:val="000000"/>
          <w:lang w:val="en-GB"/>
        </w:rPr>
        <w:t>Widerspruchslosigkeit, Primärvorgang</w:t>
      </w:r>
      <w:r w:rsidRPr="008725BE">
        <w:rPr>
          <w:rFonts w:ascii="Garamond" w:hAnsi="Garamond"/>
          <w:color w:val="000000"/>
          <w:lang w:val="en-GB"/>
        </w:rPr>
        <w:t xml:space="preserve"> (Beweglichkeit der Besetzungen), </w:t>
      </w:r>
      <w:r w:rsidRPr="008725BE">
        <w:rPr>
          <w:rFonts w:ascii="Garamond" w:hAnsi="Garamond"/>
          <w:i/>
          <w:iCs/>
          <w:color w:val="000000"/>
          <w:lang w:val="en-GB"/>
        </w:rPr>
        <w:t>Zeitlosigkeit</w:t>
      </w:r>
      <w:r w:rsidRPr="008725BE">
        <w:rPr>
          <w:rFonts w:ascii="Garamond" w:hAnsi="Garamond"/>
          <w:color w:val="000000"/>
          <w:lang w:val="en-GB"/>
        </w:rPr>
        <w:t xml:space="preserve"> und </w:t>
      </w:r>
      <w:r w:rsidRPr="008725BE">
        <w:rPr>
          <w:rFonts w:ascii="Garamond" w:hAnsi="Garamond"/>
          <w:i/>
          <w:iCs/>
          <w:color w:val="000000"/>
          <w:lang w:val="en-GB"/>
        </w:rPr>
        <w:t>Ersetzung der äußeren Realität durch die psychische</w:t>
      </w:r>
      <w:r w:rsidRPr="008725BE">
        <w:rPr>
          <w:rFonts w:ascii="Garamond" w:hAnsi="Garamond"/>
          <w:color w:val="000000"/>
          <w:lang w:val="en-GB"/>
        </w:rPr>
        <w:t xml:space="preserve"> sind die Charaktere, die wir an zum System </w:t>
      </w:r>
      <w:r w:rsidRPr="008725BE">
        <w:rPr>
          <w:rFonts w:ascii="Garamond" w:hAnsi="Garamond"/>
          <w:i/>
          <w:iCs/>
          <w:color w:val="000000"/>
          <w:lang w:val="en-GB"/>
        </w:rPr>
        <w:t>Ubw</w:t>
      </w:r>
      <w:r w:rsidRPr="008725BE">
        <w:rPr>
          <w:rFonts w:ascii="Garamond" w:hAnsi="Garamond"/>
          <w:color w:val="000000"/>
          <w:lang w:val="en-GB"/>
        </w:rPr>
        <w:t xml:space="preserve"> gehörigen Vorgängen zu finden erwarten dürfen </w:t>
      </w:r>
      <w:hyperlink r:id="rId73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Die Erwähnung eines anderen bedeutsamen Vorrechtes des </w:t>
        </w:r>
        <w:r w:rsidRPr="008725BE">
          <w:rPr>
            <w:rStyle w:val="innerfusslink3"/>
            <w:rFonts w:ascii="Garamond" w:hAnsi="Garamond" w:cs="Arial"/>
            <w:b/>
            <w:bCs/>
            <w:i/>
            <w:iCs/>
            <w:lang w:val="en-GB"/>
          </w:rPr>
          <w:t>Ubw</w:t>
        </w:r>
        <w:r w:rsidRPr="008725BE">
          <w:rPr>
            <w:rStyle w:val="innerfusslink3"/>
            <w:rFonts w:ascii="Garamond" w:hAnsi="Garamond" w:cs="Arial"/>
            <w:b/>
            <w:bCs/>
            <w:lang w:val="en-GB"/>
          </w:rPr>
          <w:t xml:space="preserve"> sparen wir für einen anderen Zusammenhang auf.</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unbewußten Vorgänge werden für uns nur unter den Bedingungen des Träumens und der Neurosen erkennbar, also dann, wenn Vorgänge des höheren </w:t>
      </w:r>
      <w:r w:rsidRPr="008725BE">
        <w:rPr>
          <w:rFonts w:ascii="Garamond" w:hAnsi="Garamond"/>
          <w:i/>
          <w:iCs/>
          <w:color w:val="000000"/>
          <w:lang w:val="en-GB"/>
        </w:rPr>
        <w:t>Vbw-Systems</w:t>
      </w:r>
      <w:r w:rsidRPr="008725BE">
        <w:rPr>
          <w:rFonts w:ascii="Garamond" w:hAnsi="Garamond"/>
          <w:color w:val="000000"/>
          <w:lang w:val="en-GB"/>
        </w:rPr>
        <w:t xml:space="preserve"> durch eine Erniedrigung (Regression) auf eine frühere Stufe zurückversetzt werden. An und für sich sind sie unerkennbar, auch existenzunfähig, weil das System </w:t>
      </w:r>
      <w:r w:rsidRPr="008725BE">
        <w:rPr>
          <w:rFonts w:ascii="Garamond" w:hAnsi="Garamond"/>
          <w:i/>
          <w:iCs/>
          <w:color w:val="000000"/>
          <w:lang w:val="en-GB"/>
        </w:rPr>
        <w:t>Ubw</w:t>
      </w:r>
      <w:r w:rsidRPr="008725BE">
        <w:rPr>
          <w:rFonts w:ascii="Garamond" w:hAnsi="Garamond"/>
          <w:color w:val="000000"/>
          <w:lang w:val="en-GB"/>
        </w:rPr>
        <w:t xml:space="preserve"> sehr frühzeitig von dem </w:t>
      </w:r>
      <w:r w:rsidRPr="008725BE">
        <w:rPr>
          <w:rFonts w:ascii="Garamond" w:hAnsi="Garamond"/>
          <w:i/>
          <w:iCs/>
          <w:color w:val="000000"/>
          <w:lang w:val="en-GB"/>
        </w:rPr>
        <w:t>Vbw</w:t>
      </w:r>
      <w:r w:rsidRPr="008725BE">
        <w:rPr>
          <w:rFonts w:ascii="Garamond" w:hAnsi="Garamond"/>
          <w:color w:val="000000"/>
          <w:lang w:val="en-GB"/>
        </w:rPr>
        <w:t xml:space="preserve"> überlagert wird, welches den Zugang zum Bewußtsein und zur Motilität an sich gerissen hat. Die Abfuhr des Systems </w:t>
      </w:r>
      <w:r w:rsidRPr="008725BE">
        <w:rPr>
          <w:rFonts w:ascii="Garamond" w:hAnsi="Garamond"/>
          <w:i/>
          <w:iCs/>
          <w:color w:val="000000"/>
          <w:lang w:val="en-GB"/>
        </w:rPr>
        <w:t>Ubw</w:t>
      </w:r>
      <w:r w:rsidRPr="008725BE">
        <w:rPr>
          <w:rFonts w:ascii="Garamond" w:hAnsi="Garamond"/>
          <w:color w:val="000000"/>
          <w:lang w:val="en-GB"/>
        </w:rPr>
        <w:t xml:space="preserve"> geht in die Körperinnervation zur Affektentwicklung, aber auch dieser Entladungsweg wird ihm, wie wir gehört haben, vom </w:t>
      </w:r>
      <w:r w:rsidRPr="008725BE">
        <w:rPr>
          <w:rFonts w:ascii="Garamond" w:hAnsi="Garamond"/>
          <w:i/>
          <w:iCs/>
          <w:color w:val="000000"/>
          <w:lang w:val="en-GB"/>
        </w:rPr>
        <w:t>Vbw</w:t>
      </w:r>
      <w:r w:rsidRPr="008725BE">
        <w:rPr>
          <w:rFonts w:ascii="Garamond" w:hAnsi="Garamond"/>
          <w:color w:val="000000"/>
          <w:lang w:val="en-GB"/>
        </w:rPr>
        <w:t xml:space="preserve"> streitig gemacht. Für sich allein könnte das </w:t>
      </w:r>
      <w:r w:rsidRPr="008725BE">
        <w:rPr>
          <w:rFonts w:ascii="Garamond" w:hAnsi="Garamond"/>
          <w:i/>
          <w:iCs/>
          <w:color w:val="000000"/>
          <w:lang w:val="en-GB"/>
        </w:rPr>
        <w:t>Ubw-System</w:t>
      </w:r>
      <w:r w:rsidRPr="008725BE">
        <w:rPr>
          <w:rFonts w:ascii="Garamond" w:hAnsi="Garamond"/>
          <w:color w:val="000000"/>
          <w:lang w:val="en-GB"/>
        </w:rPr>
        <w:t xml:space="preserve"> unter normalen Verhältnissen keine zweckmäßige Muskelaktion zustande bringen, mit Ausnahme jener, die als Reflexe bereits organisiert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volle Bedeutung der beschriebenen Charaktere des Systems </w:t>
      </w:r>
      <w:r w:rsidRPr="008725BE">
        <w:rPr>
          <w:rFonts w:ascii="Garamond" w:hAnsi="Garamond"/>
          <w:i/>
          <w:iCs/>
          <w:color w:val="000000"/>
          <w:lang w:val="en-GB"/>
        </w:rPr>
        <w:t>Ubw</w:t>
      </w:r>
      <w:r w:rsidRPr="008725BE">
        <w:rPr>
          <w:rFonts w:ascii="Garamond" w:hAnsi="Garamond"/>
          <w:color w:val="000000"/>
          <w:lang w:val="en-GB"/>
        </w:rPr>
        <w:t xml:space="preserve"> könnte uns erst einleuchten, wenn wir sie den Eigenschaften des Systems </w:t>
      </w:r>
      <w:r w:rsidRPr="008725BE">
        <w:rPr>
          <w:rFonts w:ascii="Garamond" w:hAnsi="Garamond"/>
          <w:i/>
          <w:iCs/>
          <w:color w:val="000000"/>
          <w:lang w:val="en-GB"/>
        </w:rPr>
        <w:t>Vbw</w:t>
      </w:r>
      <w:r w:rsidRPr="008725BE">
        <w:rPr>
          <w:rFonts w:ascii="Garamond" w:hAnsi="Garamond"/>
          <w:color w:val="000000"/>
          <w:lang w:val="en-GB"/>
        </w:rPr>
        <w:t xml:space="preserve"> gegenüberstellen und an ihnen messen würden. Allein dies würde uns so weitab führen, daß ich vorschlage, wiederum einen Aufschub gutzuheißen und die Vergleichung der beiden Systeme erst im Anschluß an die Würdigung des höheren Systems vorzunehmen. Nur das Allerdringendste soll schon jetzt seine Erwähnung finden.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Vorgänge des Systems </w:t>
      </w:r>
      <w:r w:rsidRPr="008725BE">
        <w:rPr>
          <w:rFonts w:ascii="Garamond" w:hAnsi="Garamond"/>
          <w:i/>
          <w:iCs/>
          <w:color w:val="000000"/>
          <w:lang w:val="en-GB"/>
        </w:rPr>
        <w:t>Vbw</w:t>
      </w:r>
      <w:r w:rsidRPr="008725BE">
        <w:rPr>
          <w:rFonts w:ascii="Garamond" w:hAnsi="Garamond"/>
          <w:color w:val="000000"/>
          <w:lang w:val="en-GB"/>
        </w:rPr>
        <w:t xml:space="preserve"> zeigen –; und zwar gleichgültig, ob sie bereits bewußt oder nur bewußtseinsfähig sind –; eine Hemmung der Abfuhrneigung von den besetzten Vorstellungen. Wenn der Vorgang von einer Vorstellung auf eine andere übergeht, so hält die erstere einen Teil ihrer Besetzung fest, und nur ein kleiner Anteil erfährt die Verschiebung. Verschiebungen und Verdichtungen wie beim Primärvorgang sind ausgeschlossen oder sehr eingeschränkt. Dieses Verhältnis hat J. Breuer veranlaßt, zwei verschiedene Zustände der Besetzungsenergie im Seelenleben anzunehmen, einen tonisch gebundenen und einen frei beweglichen, der Abfuhr zustrebenden. Ich glaube, daß diese Unterscheidung bis jetzt unsere tiefste Einsicht in das Wesen der nervösen Energie darstellt, und sehe nicht, wie man um sie herumkommen soll. Es wäre ein dringendes Bedürfnis der metapsychologischen Darstellung –; vielleicht aber noch ein allzu gewagtes Unternehmen –;, an dieser Stelle die Diskussion fortzuführen.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Dem System </w:t>
      </w:r>
      <w:r w:rsidRPr="008725BE">
        <w:rPr>
          <w:rFonts w:ascii="Garamond" w:hAnsi="Garamond"/>
          <w:i/>
          <w:iCs/>
          <w:color w:val="000000"/>
          <w:lang w:val="en-GB"/>
        </w:rPr>
        <w:t>Vbw</w:t>
      </w:r>
      <w:r w:rsidRPr="008725BE">
        <w:rPr>
          <w:rFonts w:ascii="Garamond" w:hAnsi="Garamond"/>
          <w:color w:val="000000"/>
          <w:lang w:val="en-GB"/>
        </w:rPr>
        <w:t xml:space="preserve"> fallen ferner zu die Herstellung einer Verkehrsfähigkeit unter den Vorstellungsinhalten, so daß sie einander beeinflussen können, die zeitliche Anordnung derselben, die Einführung der einen Zensur oder mehrerer Zensuren, die Realitätsprüfung und das Realitätsprinzip. Auch das bewußte Gedächtnis scheint ganz am </w:t>
      </w:r>
      <w:r w:rsidRPr="008725BE">
        <w:rPr>
          <w:rFonts w:ascii="Garamond" w:hAnsi="Garamond"/>
          <w:i/>
          <w:iCs/>
          <w:color w:val="000000"/>
          <w:lang w:val="en-GB"/>
        </w:rPr>
        <w:t>Vbw</w:t>
      </w:r>
      <w:r w:rsidRPr="008725BE">
        <w:rPr>
          <w:rFonts w:ascii="Garamond" w:hAnsi="Garamond"/>
          <w:color w:val="000000"/>
          <w:lang w:val="en-GB"/>
        </w:rPr>
        <w:t xml:space="preserve"> zu hängen, es ist scharf von den Erinnerungsspuren zu scheiden, in denen sich die Erlebnisse des </w:t>
      </w:r>
      <w:r w:rsidRPr="008725BE">
        <w:rPr>
          <w:rFonts w:ascii="Garamond" w:hAnsi="Garamond"/>
          <w:i/>
          <w:iCs/>
          <w:color w:val="000000"/>
          <w:lang w:val="en-GB"/>
        </w:rPr>
        <w:t>Ubw</w:t>
      </w:r>
      <w:r w:rsidRPr="008725BE">
        <w:rPr>
          <w:rFonts w:ascii="Garamond" w:hAnsi="Garamond"/>
          <w:color w:val="000000"/>
          <w:lang w:val="en-GB"/>
        </w:rPr>
        <w:t xml:space="preserve"> fixieren, und entspricht wahrscheinlich einer besonderen Niederschrift, wie wir sie für das Verhältnis der bewußten zur unbewußten Vorstellung annehmen wollten, aber bereits verworfen haben. In diesem Zusammenhang werden wir auch die Mittel finden, unserem Schwanken in der Benennung des höheren Systems, das wir jetzt richtungslos bald </w:t>
      </w:r>
      <w:r w:rsidRPr="008725BE">
        <w:rPr>
          <w:rFonts w:ascii="Garamond" w:hAnsi="Garamond"/>
          <w:i/>
          <w:iCs/>
          <w:color w:val="000000"/>
          <w:lang w:val="en-GB"/>
        </w:rPr>
        <w:t>Vbw</w:t>
      </w:r>
      <w:r w:rsidRPr="008725BE">
        <w:rPr>
          <w:rFonts w:ascii="Garamond" w:hAnsi="Garamond"/>
          <w:color w:val="000000"/>
          <w:lang w:val="en-GB"/>
        </w:rPr>
        <w:t xml:space="preserve">, bald </w:t>
      </w:r>
      <w:r w:rsidRPr="008725BE">
        <w:rPr>
          <w:rFonts w:ascii="Garamond" w:hAnsi="Garamond"/>
          <w:i/>
          <w:iCs/>
          <w:color w:val="000000"/>
          <w:lang w:val="en-GB"/>
        </w:rPr>
        <w:t>Bw</w:t>
      </w:r>
      <w:r w:rsidRPr="008725BE">
        <w:rPr>
          <w:rFonts w:ascii="Garamond" w:hAnsi="Garamond"/>
          <w:color w:val="000000"/>
          <w:lang w:val="en-GB"/>
        </w:rPr>
        <w:t xml:space="preserve"> heißen, ein Ende zu machen.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wird auch die Warnung am Platze sein, nicht voreilig zu verallgemeinern, was wir hier über die Verteilung der seelischen Leistungen an die beiden Systeme zutage gefördert haben. Wir beschreiben die Verhältnisse, wie sie sich beim reifen Menschen zeigen, bei dem das System </w:t>
      </w:r>
      <w:r w:rsidRPr="008725BE">
        <w:rPr>
          <w:rFonts w:ascii="Garamond" w:hAnsi="Garamond"/>
          <w:i/>
          <w:iCs/>
          <w:color w:val="000000"/>
          <w:lang w:val="en-GB"/>
        </w:rPr>
        <w:t>Vbw</w:t>
      </w:r>
      <w:r w:rsidRPr="008725BE">
        <w:rPr>
          <w:rFonts w:ascii="Garamond" w:hAnsi="Garamond"/>
          <w:color w:val="000000"/>
          <w:lang w:val="en-GB"/>
        </w:rPr>
        <w:t xml:space="preserve"> strenggenommen nur als Vorstufe der höheren Organisation funktioniert. Welchen Inhalt und welche Beziehungen dies System während der individuellen Entwicklung hat und welche Bedeutung ihm beim Tiere zukommt, das soll nicht aus unserer Beschreibung abgeleitet, sondern selbständig erforscht werden. Wir müssen auch beim Menschen darauf gefaßt sein, etwa krankhafte Bedingungen zu finden, unter denen die beiden Systeme Inhalt wie Charaktere ändern oder selbst miteinander tauschen.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VI. Der Verkehr der beiden Systeme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wäre doch unrecht, sich vorzustellen, daß das </w:t>
      </w:r>
      <w:r w:rsidRPr="008725BE">
        <w:rPr>
          <w:rFonts w:ascii="Garamond" w:hAnsi="Garamond"/>
          <w:i/>
          <w:iCs/>
          <w:color w:val="000000"/>
          <w:lang w:val="en-GB"/>
        </w:rPr>
        <w:t>Ubw</w:t>
      </w:r>
      <w:r w:rsidRPr="008725BE">
        <w:rPr>
          <w:rFonts w:ascii="Garamond" w:hAnsi="Garamond"/>
          <w:color w:val="000000"/>
          <w:lang w:val="en-GB"/>
        </w:rPr>
        <w:t xml:space="preserve"> in Ruhe verbleibt, während die ganze psychische Arbeit vom </w:t>
      </w:r>
      <w:r w:rsidRPr="008725BE">
        <w:rPr>
          <w:rFonts w:ascii="Garamond" w:hAnsi="Garamond"/>
          <w:i/>
          <w:iCs/>
          <w:color w:val="000000"/>
          <w:lang w:val="en-GB"/>
        </w:rPr>
        <w:t>Vbw</w:t>
      </w:r>
      <w:r w:rsidRPr="008725BE">
        <w:rPr>
          <w:rFonts w:ascii="Garamond" w:hAnsi="Garamond"/>
          <w:color w:val="000000"/>
          <w:lang w:val="en-GB"/>
        </w:rPr>
        <w:t xml:space="preserve"> geleistet wird, daß das </w:t>
      </w:r>
      <w:r w:rsidRPr="008725BE">
        <w:rPr>
          <w:rFonts w:ascii="Garamond" w:hAnsi="Garamond"/>
          <w:i/>
          <w:iCs/>
          <w:color w:val="000000"/>
          <w:lang w:val="en-GB"/>
        </w:rPr>
        <w:t>Ubw</w:t>
      </w:r>
      <w:r w:rsidRPr="008725BE">
        <w:rPr>
          <w:rFonts w:ascii="Garamond" w:hAnsi="Garamond"/>
          <w:color w:val="000000"/>
          <w:lang w:val="en-GB"/>
        </w:rPr>
        <w:t xml:space="preserve"> etwas Abgetanes, ein rudimentäres Organ, ein Residuum der Entwicklung sei. Oder anzunehmen, daß sich der Verkehr der beiden Systeme auf den Akt der Verdrängung beschränkt, indem das </w:t>
      </w:r>
      <w:r w:rsidRPr="008725BE">
        <w:rPr>
          <w:rFonts w:ascii="Garamond" w:hAnsi="Garamond"/>
          <w:i/>
          <w:iCs/>
          <w:color w:val="000000"/>
          <w:lang w:val="en-GB"/>
        </w:rPr>
        <w:t>Vbw</w:t>
      </w:r>
      <w:r w:rsidRPr="008725BE">
        <w:rPr>
          <w:rFonts w:ascii="Garamond" w:hAnsi="Garamond"/>
          <w:color w:val="000000"/>
          <w:lang w:val="en-GB"/>
        </w:rPr>
        <w:t xml:space="preserve"> alles, was ihm störend erscheint, in den Abgrund des </w:t>
      </w:r>
      <w:r w:rsidRPr="008725BE">
        <w:rPr>
          <w:rFonts w:ascii="Garamond" w:hAnsi="Garamond"/>
          <w:i/>
          <w:iCs/>
          <w:color w:val="000000"/>
          <w:lang w:val="en-GB"/>
        </w:rPr>
        <w:t>Ubw</w:t>
      </w:r>
      <w:r w:rsidRPr="008725BE">
        <w:rPr>
          <w:rFonts w:ascii="Garamond" w:hAnsi="Garamond"/>
          <w:color w:val="000000"/>
          <w:lang w:val="en-GB"/>
        </w:rPr>
        <w:t xml:space="preserve"> wirft. Das </w:t>
      </w:r>
      <w:r w:rsidRPr="008725BE">
        <w:rPr>
          <w:rFonts w:ascii="Garamond" w:hAnsi="Garamond"/>
          <w:i/>
          <w:iCs/>
          <w:color w:val="000000"/>
          <w:lang w:val="en-GB"/>
        </w:rPr>
        <w:t>Ubw</w:t>
      </w:r>
      <w:r w:rsidRPr="008725BE">
        <w:rPr>
          <w:rFonts w:ascii="Garamond" w:hAnsi="Garamond"/>
          <w:color w:val="000000"/>
          <w:lang w:val="en-GB"/>
        </w:rPr>
        <w:t xml:space="preserve"> ist vielmehr lebend, entwicklungsfähig und unterhält eine Anzahl von anderen Beziehungen zum </w:t>
      </w:r>
      <w:r w:rsidRPr="008725BE">
        <w:rPr>
          <w:rFonts w:ascii="Garamond" w:hAnsi="Garamond"/>
          <w:i/>
          <w:iCs/>
          <w:color w:val="000000"/>
          <w:lang w:val="en-GB"/>
        </w:rPr>
        <w:t>Vbw</w:t>
      </w:r>
      <w:r w:rsidRPr="008725BE">
        <w:rPr>
          <w:rFonts w:ascii="Garamond" w:hAnsi="Garamond"/>
          <w:color w:val="000000"/>
          <w:lang w:val="en-GB"/>
        </w:rPr>
        <w:t xml:space="preserve">, darunter auch die der Kooperation. Man muß zusammenfassend sagen, das </w:t>
      </w:r>
      <w:r w:rsidRPr="008725BE">
        <w:rPr>
          <w:rFonts w:ascii="Garamond" w:hAnsi="Garamond"/>
          <w:i/>
          <w:iCs/>
          <w:color w:val="000000"/>
          <w:lang w:val="en-GB"/>
        </w:rPr>
        <w:t>Ubw</w:t>
      </w:r>
      <w:r w:rsidRPr="008725BE">
        <w:rPr>
          <w:rFonts w:ascii="Garamond" w:hAnsi="Garamond"/>
          <w:color w:val="000000"/>
          <w:lang w:val="en-GB"/>
        </w:rPr>
        <w:t xml:space="preserve"> setzt sich in die sogenannten Abkömmlinge fort, es ist den Einwirkungen des Lebens zugänglich, beeinflußt beständig das </w:t>
      </w:r>
      <w:r w:rsidRPr="008725BE">
        <w:rPr>
          <w:rFonts w:ascii="Garamond" w:hAnsi="Garamond"/>
          <w:i/>
          <w:iCs/>
          <w:color w:val="000000"/>
          <w:lang w:val="en-GB"/>
        </w:rPr>
        <w:t>Vbw</w:t>
      </w:r>
      <w:r w:rsidRPr="008725BE">
        <w:rPr>
          <w:rFonts w:ascii="Garamond" w:hAnsi="Garamond"/>
          <w:color w:val="000000"/>
          <w:lang w:val="en-GB"/>
        </w:rPr>
        <w:t xml:space="preserve"> und ist seinerseits sogar Beeinflussungen von seiten des </w:t>
      </w:r>
      <w:r w:rsidRPr="008725BE">
        <w:rPr>
          <w:rFonts w:ascii="Garamond" w:hAnsi="Garamond"/>
          <w:i/>
          <w:iCs/>
          <w:color w:val="000000"/>
          <w:lang w:val="en-GB"/>
        </w:rPr>
        <w:t>Vbw</w:t>
      </w:r>
      <w:r w:rsidRPr="008725BE">
        <w:rPr>
          <w:rFonts w:ascii="Garamond" w:hAnsi="Garamond"/>
          <w:color w:val="000000"/>
          <w:lang w:val="en-GB"/>
        </w:rPr>
        <w:t xml:space="preserve"> unterworfen.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Studium der Abkömmlinge des </w:t>
      </w:r>
      <w:r w:rsidRPr="008725BE">
        <w:rPr>
          <w:rFonts w:ascii="Garamond" w:hAnsi="Garamond"/>
          <w:i/>
          <w:iCs/>
          <w:color w:val="000000"/>
          <w:lang w:val="en-GB"/>
        </w:rPr>
        <w:t>Ubw</w:t>
      </w:r>
      <w:r w:rsidRPr="008725BE">
        <w:rPr>
          <w:rFonts w:ascii="Garamond" w:hAnsi="Garamond"/>
          <w:color w:val="000000"/>
          <w:lang w:val="en-GB"/>
        </w:rPr>
        <w:t xml:space="preserve"> wird unseren Erwartungen einer schematisch reinlichen Scheidung zwischen den beiden psychischen Systemen eine gründliche Enttäuschung bereiten. Das wird gewiß Unzufriedenheit mit unseren Ergebnissen erwecken und wahrscheinlich dazu benützt werden, den Wert unserer Art der Trennung der psychischen Vorgänge in Zweifel zu ziehen. Allein wir werden geltend machen, daß wir keine andere Aufgabe haben, als die Ergebnisse der Beobachtung in Theorie umzusetzen, und die Verpflichtung von uns weisen, auf den ersten Anlauf eine glatte und durch Einfachheit sich empfehlende Theorie zu erreichen. Wir vertreten deren Komplikationen, solange sie sich der Beobachtung adäquat erweisen, und geben die Erwartung nicht auf, gerade durch sie zur endlichen Erkenntnis eines Sachverhaltes geleitet zu werden, der, an sich einfach, den Komplikationen der Realität gerecht werden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Unter den Abkömmlingen der </w:t>
      </w:r>
      <w:r w:rsidRPr="008725BE">
        <w:rPr>
          <w:rFonts w:ascii="Garamond" w:hAnsi="Garamond"/>
          <w:i/>
          <w:iCs/>
          <w:color w:val="000000"/>
          <w:lang w:val="en-GB"/>
        </w:rPr>
        <w:t>ubw</w:t>
      </w:r>
      <w:r w:rsidRPr="008725BE">
        <w:rPr>
          <w:rFonts w:ascii="Garamond" w:hAnsi="Garamond"/>
          <w:color w:val="000000"/>
          <w:lang w:val="en-GB"/>
        </w:rPr>
        <w:t xml:space="preserve"> Triebregungen vom beschriebenen Charakter gibt es welche, die entgegengesetzte Bestimmungen in sich vereinigen. Sie sind einerseits hochorganisiert, widerspruchsfrei, haben allen Erwerb des Systems </w:t>
      </w:r>
      <w:r w:rsidRPr="008725BE">
        <w:rPr>
          <w:rFonts w:ascii="Garamond" w:hAnsi="Garamond"/>
          <w:i/>
          <w:iCs/>
          <w:color w:val="000000"/>
          <w:lang w:val="en-GB"/>
        </w:rPr>
        <w:t>Bw</w:t>
      </w:r>
      <w:r w:rsidRPr="008725BE">
        <w:rPr>
          <w:rFonts w:ascii="Garamond" w:hAnsi="Garamond"/>
          <w:color w:val="000000"/>
          <w:lang w:val="en-GB"/>
        </w:rPr>
        <w:t xml:space="preserve"> verwertet und würden sich für unser Urteil von den Bildungen dieses Systems kaum unterscheiden. Anderseits sind sie unbewußt und unfähig, bewußt zu werden. Sie gehören also qualitativ zum System </w:t>
      </w:r>
      <w:r w:rsidRPr="008725BE">
        <w:rPr>
          <w:rFonts w:ascii="Garamond" w:hAnsi="Garamond"/>
          <w:i/>
          <w:iCs/>
          <w:color w:val="000000"/>
          <w:lang w:val="en-GB"/>
        </w:rPr>
        <w:t>Vbw</w:t>
      </w:r>
      <w:r w:rsidRPr="008725BE">
        <w:rPr>
          <w:rFonts w:ascii="Garamond" w:hAnsi="Garamond"/>
          <w:color w:val="000000"/>
          <w:lang w:val="en-GB"/>
        </w:rPr>
        <w:t xml:space="preserve">, faktisch aber zum </w:t>
      </w:r>
      <w:r w:rsidRPr="008725BE">
        <w:rPr>
          <w:rFonts w:ascii="Garamond" w:hAnsi="Garamond"/>
          <w:i/>
          <w:iCs/>
          <w:color w:val="000000"/>
          <w:lang w:val="en-GB"/>
        </w:rPr>
        <w:t>Ubw</w:t>
      </w:r>
      <w:r w:rsidRPr="008725BE">
        <w:rPr>
          <w:rFonts w:ascii="Garamond" w:hAnsi="Garamond"/>
          <w:color w:val="000000"/>
          <w:lang w:val="en-GB"/>
        </w:rPr>
        <w:t xml:space="preserve">. Ihre Herkunft bleibt das für ihr Schicksal Entscheidende. Man muß sie mit den Mischlingen menschlicher Rassen vergleichen, die im großen und ganzen bereits den Weißen gleichen, ihre farbige Abkunft aber durch den einen oder anderen auffälligen Zug verraten und darum von der Gesellschaft ausgeschlossen bleiben und keines der Vorrechte der Weißen genießen. Solcher Art sind die Phantasiebildungen der Normalen wie der Neurotiker, die wir als Vorstufen der Traum- wie der Symptombildung erkannt haben und die trotz ihrer hohen Organisation verdrängt bleiben und als solche nicht bewußt werden können. Sie kommen nahe ans Bewußtsein heran, bleiben ungestört, solange sie keine intensive Besetzung haben, werden aber zurückgeworfen, sobald sie eine gewisse Höhe der Besetzung überschreiten. Ebensolche höher organisierte Abkömmlinge des </w:t>
      </w:r>
      <w:r w:rsidRPr="008725BE">
        <w:rPr>
          <w:rFonts w:ascii="Garamond" w:hAnsi="Garamond"/>
          <w:i/>
          <w:iCs/>
          <w:color w:val="000000"/>
          <w:lang w:val="en-GB"/>
        </w:rPr>
        <w:t>Ubw</w:t>
      </w:r>
      <w:r w:rsidRPr="008725BE">
        <w:rPr>
          <w:rFonts w:ascii="Garamond" w:hAnsi="Garamond"/>
          <w:color w:val="000000"/>
          <w:lang w:val="en-GB"/>
        </w:rPr>
        <w:t xml:space="preserve"> sind die Ersatzbildungen, denen aber der Durchbruch zum Bewußtsein dank einer günstigen Relation gelingt, wie z. B. durch das Zusammentreffen mit einer Gegenbesetzung des </w:t>
      </w:r>
      <w:r w:rsidRPr="008725BE">
        <w:rPr>
          <w:rFonts w:ascii="Garamond" w:hAnsi="Garamond"/>
          <w:i/>
          <w:iCs/>
          <w:color w:val="000000"/>
          <w:lang w:val="en-GB"/>
        </w:rPr>
        <w:t>Vbw</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wir an anderer Stelle die Bedingungen des Bewußtwerdens eingehender untersuchen, wird uns ein Teil der hier auftauchenden Schwierigkeiten lösbar werden. Hier mag es uns vorteilhaft erscheinen, der bisherigen vom </w:t>
      </w:r>
      <w:r w:rsidRPr="008725BE">
        <w:rPr>
          <w:rFonts w:ascii="Garamond" w:hAnsi="Garamond"/>
          <w:i/>
          <w:iCs/>
          <w:color w:val="000000"/>
          <w:lang w:val="en-GB"/>
        </w:rPr>
        <w:t>Ubw</w:t>
      </w:r>
      <w:r w:rsidRPr="008725BE">
        <w:rPr>
          <w:rFonts w:ascii="Garamond" w:hAnsi="Garamond"/>
          <w:color w:val="000000"/>
          <w:lang w:val="en-GB"/>
        </w:rPr>
        <w:t xml:space="preserve"> her aufsteigenden Betrachtung eine vom Bewußtsein ausgehende gegenüberzustellen. Dem Bewußtsein tritt die ganze Summe der psychischen Vorgänge als das Reich des Vorbewußten entgegen. Ein sehr großer Anteil dieses Vorbewußten stammt aus dem Unbewußten, hat den Charakter der Abkömmlinge desselben und unterliegt einer Zensur, ehe er bewußt werden kann. Ein anderer Anteil des </w:t>
      </w:r>
      <w:r w:rsidRPr="008725BE">
        <w:rPr>
          <w:rFonts w:ascii="Garamond" w:hAnsi="Garamond"/>
          <w:i/>
          <w:iCs/>
          <w:color w:val="000000"/>
          <w:lang w:val="en-GB"/>
        </w:rPr>
        <w:t>Vbw</w:t>
      </w:r>
      <w:r w:rsidRPr="008725BE">
        <w:rPr>
          <w:rFonts w:ascii="Garamond" w:hAnsi="Garamond"/>
          <w:color w:val="000000"/>
          <w:lang w:val="en-GB"/>
        </w:rPr>
        <w:t xml:space="preserve"> ist ohne Zensur bewußtseinsfähig. Wir gelangen hier zu einem Widerspruch gegen eine frühere Annahme. In der Betrachtung der Verdrängung wurden wir genötigt, die für das Bewußtwerden entscheidende Zensur zwischen die Systeme </w:t>
      </w:r>
      <w:r w:rsidRPr="008725BE">
        <w:rPr>
          <w:rFonts w:ascii="Garamond" w:hAnsi="Garamond"/>
          <w:i/>
          <w:iCs/>
          <w:color w:val="000000"/>
          <w:lang w:val="en-GB"/>
        </w:rPr>
        <w:t>Ubw</w:t>
      </w:r>
      <w:r w:rsidRPr="008725BE">
        <w:rPr>
          <w:rFonts w:ascii="Garamond" w:hAnsi="Garamond"/>
          <w:color w:val="000000"/>
          <w:lang w:val="en-GB"/>
        </w:rPr>
        <w:t xml:space="preserve"> und </w:t>
      </w:r>
      <w:r w:rsidRPr="008725BE">
        <w:rPr>
          <w:rFonts w:ascii="Garamond" w:hAnsi="Garamond"/>
          <w:i/>
          <w:iCs/>
          <w:color w:val="000000"/>
          <w:lang w:val="en-GB"/>
        </w:rPr>
        <w:t>Vbw</w:t>
      </w:r>
      <w:r w:rsidRPr="008725BE">
        <w:rPr>
          <w:rFonts w:ascii="Garamond" w:hAnsi="Garamond"/>
          <w:color w:val="000000"/>
          <w:lang w:val="en-GB"/>
        </w:rPr>
        <w:t xml:space="preserve"> zu verlegen. Jetzt wird uns eine Zensur zwischen </w:t>
      </w:r>
      <w:r w:rsidRPr="008725BE">
        <w:rPr>
          <w:rFonts w:ascii="Garamond" w:hAnsi="Garamond"/>
          <w:i/>
          <w:iCs/>
          <w:color w:val="000000"/>
          <w:lang w:val="en-GB"/>
        </w:rPr>
        <w:t>Vbw</w:t>
      </w:r>
      <w:r w:rsidRPr="008725BE">
        <w:rPr>
          <w:rFonts w:ascii="Garamond" w:hAnsi="Garamond"/>
          <w:color w:val="000000"/>
          <w:lang w:val="en-GB"/>
        </w:rPr>
        <w:t xml:space="preserve"> und </w:t>
      </w:r>
      <w:r w:rsidRPr="008725BE">
        <w:rPr>
          <w:rFonts w:ascii="Garamond" w:hAnsi="Garamond"/>
          <w:i/>
          <w:iCs/>
          <w:color w:val="000000"/>
          <w:lang w:val="en-GB"/>
        </w:rPr>
        <w:t>Bw</w:t>
      </w:r>
      <w:r w:rsidRPr="008725BE">
        <w:rPr>
          <w:rFonts w:ascii="Garamond" w:hAnsi="Garamond"/>
          <w:color w:val="000000"/>
          <w:lang w:val="en-GB"/>
        </w:rPr>
        <w:t xml:space="preserve"> nahegelegt. Wir tun aber gut daran, in dieser Komplikation keine Schwierigkeit zu erblicken, sondern anzunehmen, daß jedem Übergang von einem System zum nächst höheren, also jedem Fortschritt zu einer höheren Stufe psychischer Organisation eine neue Zensur entspreche. Die Annahme einer fortlaufenden Erneuerung der Niederschriften ist damit allerdings abgetan.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Grund all dieser Schwierigkeiten ist darin zu suchen, daß die Bewußtheit, der einzige uns unmittelbar gegebene Charakter der psychischen Vorgänge, sich zur Systemunterscheidung in keiner Weise eignet. Abgesehen davon, daß das Bewußte nicht immer bewußt, sondern zeitweilig auch latent ist, hat uns die Beobachtung gezeigt, daß vieles, was die Eigenschaften des Systems </w:t>
      </w:r>
      <w:r w:rsidRPr="008725BE">
        <w:rPr>
          <w:rFonts w:ascii="Garamond" w:hAnsi="Garamond"/>
          <w:i/>
          <w:iCs/>
          <w:color w:val="000000"/>
          <w:lang w:val="en-GB"/>
        </w:rPr>
        <w:t>Vbw</w:t>
      </w:r>
      <w:r w:rsidRPr="008725BE">
        <w:rPr>
          <w:rFonts w:ascii="Garamond" w:hAnsi="Garamond"/>
          <w:color w:val="000000"/>
          <w:lang w:val="en-GB"/>
        </w:rPr>
        <w:t xml:space="preserve"> teilt, nicht bewußt wird, und haben wir noch zu erfahren, daß das Bewußtwerden durch gewisse Richtungen seiner Aufmerksamkeit eingeschränkt ist. Das Bewußtsein hat so weder zu den Systemen noch zur Verdrängung ein einfaches Verhältnis. Die Wahrheit ist, daß nicht nur das psychisch Verdrängte dem Bewußtsein fremd bleibt, sondern auch ein Teil der unser Ich beherrschenden Regungen, also der stärkste funktionelle Gegensatz des Verdrängten. In dem Maße, als wir uns zu einer metapsychologischen Betrachtung des Seelenlebens </w:t>
      </w:r>
      <w:r w:rsidRPr="008725BE">
        <w:rPr>
          <w:rFonts w:ascii="Garamond" w:hAnsi="Garamond"/>
          <w:color w:val="000000"/>
          <w:lang w:val="en-GB"/>
        </w:rPr>
        <w:lastRenderedPageBreak/>
        <w:t>durchringen wollen, müssen wir lernen, uns von der Bedeutung des Symptoms »Bewußtheit« zu emanzipieren.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Solange wir noch an diesem haften, sehen wir unsere Allgemeinheiten regelmäßig durch Ausnahmen durchbrochen. Wir sehen, daß Abkömmlinge des </w:t>
      </w:r>
      <w:r w:rsidRPr="008725BE">
        <w:rPr>
          <w:rFonts w:ascii="Garamond" w:hAnsi="Garamond"/>
          <w:i/>
          <w:iCs/>
          <w:color w:val="000000"/>
          <w:lang w:val="en-GB"/>
        </w:rPr>
        <w:t>Ubw</w:t>
      </w:r>
      <w:r w:rsidRPr="008725BE">
        <w:rPr>
          <w:rFonts w:ascii="Garamond" w:hAnsi="Garamond"/>
          <w:color w:val="000000"/>
          <w:lang w:val="en-GB"/>
        </w:rPr>
        <w:t xml:space="preserve"> als Ersatzbildungen und als Symptome bewußt werden, in der Regel nach großen Entstellungen gegen das Unbewußte, aber oft mit Erhaltung vieler zur Verdrängung auffordernden Charaktere. Wir finden, daß viele vorbewußte Bildungen unbewußt bleiben, die, sollten wir meinen, ihrer Natur nach sehr wohl bewußt werden dürften. Wahrscheinlich macht sich bei ihnen die stärkere Anziehung des </w:t>
      </w:r>
      <w:r w:rsidRPr="008725BE">
        <w:rPr>
          <w:rFonts w:ascii="Garamond" w:hAnsi="Garamond"/>
          <w:i/>
          <w:iCs/>
          <w:color w:val="000000"/>
          <w:lang w:val="en-GB"/>
        </w:rPr>
        <w:t>Ubw</w:t>
      </w:r>
      <w:r w:rsidRPr="008725BE">
        <w:rPr>
          <w:rFonts w:ascii="Garamond" w:hAnsi="Garamond"/>
          <w:color w:val="000000"/>
          <w:lang w:val="en-GB"/>
        </w:rPr>
        <w:t xml:space="preserve"> geltend. Wir werden darauf hingewiesen, die bedeutsamere Differenz nicht zwischen dem Bewußten und dem Vorbewußten, sondern zwischen dem Vorbewußten und dem Unbewußten zu suchen. Das </w:t>
      </w:r>
      <w:r w:rsidRPr="008725BE">
        <w:rPr>
          <w:rFonts w:ascii="Garamond" w:hAnsi="Garamond"/>
          <w:i/>
          <w:iCs/>
          <w:color w:val="000000"/>
          <w:lang w:val="en-GB"/>
        </w:rPr>
        <w:t>Ubw</w:t>
      </w:r>
      <w:r w:rsidRPr="008725BE">
        <w:rPr>
          <w:rFonts w:ascii="Garamond" w:hAnsi="Garamond"/>
          <w:color w:val="000000"/>
          <w:lang w:val="en-GB"/>
        </w:rPr>
        <w:t xml:space="preserve"> wird an der Grenze des </w:t>
      </w:r>
      <w:r w:rsidRPr="008725BE">
        <w:rPr>
          <w:rFonts w:ascii="Garamond" w:hAnsi="Garamond"/>
          <w:i/>
          <w:iCs/>
          <w:color w:val="000000"/>
          <w:lang w:val="en-GB"/>
        </w:rPr>
        <w:t>Vbw</w:t>
      </w:r>
      <w:r w:rsidRPr="008725BE">
        <w:rPr>
          <w:rFonts w:ascii="Garamond" w:hAnsi="Garamond"/>
          <w:color w:val="000000"/>
          <w:lang w:val="en-GB"/>
        </w:rPr>
        <w:t xml:space="preserve"> durch die Zensur zurückgewiesen, Abkömmlinge desselben können diese Zensur umgehen, sich hoch organisieren, im </w:t>
      </w:r>
      <w:r w:rsidRPr="008725BE">
        <w:rPr>
          <w:rFonts w:ascii="Garamond" w:hAnsi="Garamond"/>
          <w:i/>
          <w:iCs/>
          <w:color w:val="000000"/>
          <w:lang w:val="en-GB"/>
        </w:rPr>
        <w:t>Vbw</w:t>
      </w:r>
      <w:r w:rsidRPr="008725BE">
        <w:rPr>
          <w:rFonts w:ascii="Garamond" w:hAnsi="Garamond"/>
          <w:color w:val="000000"/>
          <w:lang w:val="en-GB"/>
        </w:rPr>
        <w:t xml:space="preserve"> bis zu einer gewissen Intensität der Besetzung heranwachsen, werden aber dann, wenn sie diese überschritten haben und sich dem Bewußtsein aufdrängen wollen, als Abkömmlinge des </w:t>
      </w:r>
      <w:r w:rsidRPr="008725BE">
        <w:rPr>
          <w:rFonts w:ascii="Garamond" w:hAnsi="Garamond"/>
          <w:i/>
          <w:iCs/>
          <w:color w:val="000000"/>
          <w:lang w:val="en-GB"/>
        </w:rPr>
        <w:t>Ubw</w:t>
      </w:r>
      <w:r w:rsidRPr="008725BE">
        <w:rPr>
          <w:rFonts w:ascii="Garamond" w:hAnsi="Garamond"/>
          <w:color w:val="000000"/>
          <w:lang w:val="en-GB"/>
        </w:rPr>
        <w:t xml:space="preserve"> erkannt und an der neuen Zensurgrenze zwischen </w:t>
      </w:r>
      <w:r w:rsidRPr="008725BE">
        <w:rPr>
          <w:rFonts w:ascii="Garamond" w:hAnsi="Garamond"/>
          <w:i/>
          <w:iCs/>
          <w:color w:val="000000"/>
          <w:lang w:val="en-GB"/>
        </w:rPr>
        <w:t>Vbw</w:t>
      </w:r>
      <w:r w:rsidRPr="008725BE">
        <w:rPr>
          <w:rFonts w:ascii="Garamond" w:hAnsi="Garamond"/>
          <w:color w:val="000000"/>
          <w:lang w:val="en-GB"/>
        </w:rPr>
        <w:t xml:space="preserve"> und </w:t>
      </w:r>
      <w:r w:rsidRPr="008725BE">
        <w:rPr>
          <w:rFonts w:ascii="Garamond" w:hAnsi="Garamond"/>
          <w:i/>
          <w:iCs/>
          <w:color w:val="000000"/>
          <w:lang w:val="en-GB"/>
        </w:rPr>
        <w:t>Bw</w:t>
      </w:r>
      <w:r w:rsidRPr="008725BE">
        <w:rPr>
          <w:rFonts w:ascii="Garamond" w:hAnsi="Garamond"/>
          <w:color w:val="000000"/>
          <w:lang w:val="en-GB"/>
        </w:rPr>
        <w:t xml:space="preserve"> neuerlich verdrängt. Die erstere Zensur funktioniert so gegen das </w:t>
      </w:r>
      <w:r w:rsidRPr="008725BE">
        <w:rPr>
          <w:rFonts w:ascii="Garamond" w:hAnsi="Garamond"/>
          <w:i/>
          <w:iCs/>
          <w:color w:val="000000"/>
          <w:lang w:val="en-GB"/>
        </w:rPr>
        <w:t>Ubw</w:t>
      </w:r>
      <w:r w:rsidRPr="008725BE">
        <w:rPr>
          <w:rFonts w:ascii="Garamond" w:hAnsi="Garamond"/>
          <w:color w:val="000000"/>
          <w:lang w:val="en-GB"/>
        </w:rPr>
        <w:t xml:space="preserve"> selbst, die letztere gegen die </w:t>
      </w:r>
      <w:r w:rsidRPr="008725BE">
        <w:rPr>
          <w:rFonts w:ascii="Garamond" w:hAnsi="Garamond"/>
          <w:i/>
          <w:iCs/>
          <w:color w:val="000000"/>
          <w:lang w:val="en-GB"/>
        </w:rPr>
        <w:t>vbw</w:t>
      </w:r>
      <w:r w:rsidRPr="008725BE">
        <w:rPr>
          <w:rFonts w:ascii="Garamond" w:hAnsi="Garamond"/>
          <w:color w:val="000000"/>
          <w:lang w:val="en-GB"/>
        </w:rPr>
        <w:t xml:space="preserve"> Abkömmlinge desselben. Man könnte meinen, die Zensur habe sich im Laufe der individuellen Entwicklung um ein Stück vorgeschoben.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der psychoanalytischen Kur erbringen wir den unanfechtbaren Beweis für die Existenz der zweiten Zensur, der zwischen den Systemen </w:t>
      </w:r>
      <w:r w:rsidRPr="008725BE">
        <w:rPr>
          <w:rFonts w:ascii="Garamond" w:hAnsi="Garamond"/>
          <w:i/>
          <w:iCs/>
          <w:color w:val="000000"/>
          <w:lang w:val="en-GB"/>
        </w:rPr>
        <w:t>Vbw</w:t>
      </w:r>
      <w:r w:rsidRPr="008725BE">
        <w:rPr>
          <w:rFonts w:ascii="Garamond" w:hAnsi="Garamond"/>
          <w:color w:val="000000"/>
          <w:lang w:val="en-GB"/>
        </w:rPr>
        <w:t xml:space="preserve"> und </w:t>
      </w:r>
      <w:r w:rsidRPr="008725BE">
        <w:rPr>
          <w:rFonts w:ascii="Garamond" w:hAnsi="Garamond"/>
          <w:i/>
          <w:iCs/>
          <w:color w:val="000000"/>
          <w:lang w:val="en-GB"/>
        </w:rPr>
        <w:t>Bw</w:t>
      </w:r>
      <w:r w:rsidRPr="008725BE">
        <w:rPr>
          <w:rFonts w:ascii="Garamond" w:hAnsi="Garamond"/>
          <w:color w:val="000000"/>
          <w:lang w:val="en-GB"/>
        </w:rPr>
        <w:t xml:space="preserve">. Wir fordern den Kranken auf, reichlich Abkömmlinge des </w:t>
      </w:r>
      <w:r w:rsidRPr="008725BE">
        <w:rPr>
          <w:rFonts w:ascii="Garamond" w:hAnsi="Garamond"/>
          <w:i/>
          <w:iCs/>
          <w:color w:val="000000"/>
          <w:lang w:val="en-GB"/>
        </w:rPr>
        <w:t>Ubw</w:t>
      </w:r>
      <w:r w:rsidRPr="008725BE">
        <w:rPr>
          <w:rFonts w:ascii="Garamond" w:hAnsi="Garamond"/>
          <w:color w:val="000000"/>
          <w:lang w:val="en-GB"/>
        </w:rPr>
        <w:t xml:space="preserve"> zu bilden, verpflichten ihn dazu, die Einwendungen der Zensur gegen das Bewußtwerden dieser vorbewußten Bildungen zu überwinden, und bahnen uns durch die Besiegung dieser Zensur den Weg zur Aufhebung der Verdrängung, die das Werk der früheren Zensur ist. Fügen wir noch die Bemerkung an, daß die Existenz der Zensur zwischen </w:t>
      </w:r>
      <w:r w:rsidRPr="008725BE">
        <w:rPr>
          <w:rFonts w:ascii="Garamond" w:hAnsi="Garamond"/>
          <w:i/>
          <w:iCs/>
          <w:color w:val="000000"/>
          <w:lang w:val="en-GB"/>
        </w:rPr>
        <w:t>Vbw</w:t>
      </w:r>
      <w:r w:rsidRPr="008725BE">
        <w:rPr>
          <w:rFonts w:ascii="Garamond" w:hAnsi="Garamond"/>
          <w:color w:val="000000"/>
          <w:lang w:val="en-GB"/>
        </w:rPr>
        <w:t xml:space="preserve"> und </w:t>
      </w:r>
      <w:r w:rsidRPr="008725BE">
        <w:rPr>
          <w:rFonts w:ascii="Garamond" w:hAnsi="Garamond"/>
          <w:i/>
          <w:iCs/>
          <w:color w:val="000000"/>
          <w:lang w:val="en-GB"/>
        </w:rPr>
        <w:t>Bw</w:t>
      </w:r>
      <w:r w:rsidRPr="008725BE">
        <w:rPr>
          <w:rFonts w:ascii="Garamond" w:hAnsi="Garamond"/>
          <w:color w:val="000000"/>
          <w:lang w:val="en-GB"/>
        </w:rPr>
        <w:t xml:space="preserve"> uns mahnt, das Bewußtwerden sei kein bloßer Wahrnehmungsakt, sondern wahrscheinlich auch eine </w:t>
      </w:r>
      <w:r w:rsidRPr="008725BE">
        <w:rPr>
          <w:rFonts w:ascii="Garamond" w:hAnsi="Garamond"/>
          <w:i/>
          <w:iCs/>
          <w:color w:val="000000"/>
          <w:lang w:val="en-GB"/>
        </w:rPr>
        <w:t>Überbesetzung</w:t>
      </w:r>
      <w:r w:rsidRPr="008725BE">
        <w:rPr>
          <w:rFonts w:ascii="Garamond" w:hAnsi="Garamond"/>
          <w:color w:val="000000"/>
          <w:lang w:val="en-GB"/>
        </w:rPr>
        <w:t>, ein weiterer Fortschritt der psychischen Organisation.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Wenden wir uns zum Verkehr des </w:t>
      </w:r>
      <w:r w:rsidRPr="008725BE">
        <w:rPr>
          <w:rFonts w:ascii="Garamond" w:hAnsi="Garamond"/>
          <w:i/>
          <w:iCs/>
          <w:color w:val="000000"/>
          <w:lang w:val="en-GB"/>
        </w:rPr>
        <w:t>Ubw</w:t>
      </w:r>
      <w:r w:rsidRPr="008725BE">
        <w:rPr>
          <w:rFonts w:ascii="Garamond" w:hAnsi="Garamond"/>
          <w:color w:val="000000"/>
          <w:lang w:val="en-GB"/>
        </w:rPr>
        <w:t xml:space="preserve"> mit den anderen Systemen, weniger um Neues festzustellen, als um nicht das Sinnfälligste zu übergehen. An den Wurzeln der Triebtätigkeit kommunizieren die Systeme aufs ausgiebigste miteinander. Ein Anteil der hier erregten Vorgänge geht durch das </w:t>
      </w:r>
      <w:r w:rsidRPr="008725BE">
        <w:rPr>
          <w:rFonts w:ascii="Garamond" w:hAnsi="Garamond"/>
          <w:i/>
          <w:iCs/>
          <w:color w:val="000000"/>
          <w:lang w:val="en-GB"/>
        </w:rPr>
        <w:t>Ubw</w:t>
      </w:r>
      <w:r w:rsidRPr="008725BE">
        <w:rPr>
          <w:rFonts w:ascii="Garamond" w:hAnsi="Garamond"/>
          <w:color w:val="000000"/>
          <w:lang w:val="en-GB"/>
        </w:rPr>
        <w:t xml:space="preserve"> wie durch eine Vorbereitungsstufe durch und erreicht die höchste psychische Ausbildung im </w:t>
      </w:r>
      <w:r w:rsidRPr="008725BE">
        <w:rPr>
          <w:rFonts w:ascii="Garamond" w:hAnsi="Garamond"/>
          <w:i/>
          <w:iCs/>
          <w:color w:val="000000"/>
          <w:lang w:val="en-GB"/>
        </w:rPr>
        <w:t>Bw,</w:t>
      </w:r>
      <w:r w:rsidRPr="008725BE">
        <w:rPr>
          <w:rFonts w:ascii="Garamond" w:hAnsi="Garamond"/>
          <w:color w:val="000000"/>
          <w:lang w:val="en-GB"/>
        </w:rPr>
        <w:t xml:space="preserve"> ein anderer wird als </w:t>
      </w:r>
      <w:r w:rsidRPr="008725BE">
        <w:rPr>
          <w:rFonts w:ascii="Garamond" w:hAnsi="Garamond"/>
          <w:i/>
          <w:iCs/>
          <w:color w:val="000000"/>
          <w:lang w:val="en-GB"/>
        </w:rPr>
        <w:t>Ubw</w:t>
      </w:r>
      <w:r w:rsidRPr="008725BE">
        <w:rPr>
          <w:rFonts w:ascii="Garamond" w:hAnsi="Garamond"/>
          <w:color w:val="000000"/>
          <w:lang w:val="en-GB"/>
        </w:rPr>
        <w:t xml:space="preserve"> zurückgehalten. Das </w:t>
      </w:r>
      <w:r w:rsidRPr="008725BE">
        <w:rPr>
          <w:rFonts w:ascii="Garamond" w:hAnsi="Garamond"/>
          <w:i/>
          <w:iCs/>
          <w:color w:val="000000"/>
          <w:lang w:val="en-GB"/>
        </w:rPr>
        <w:t>Ubw</w:t>
      </w:r>
      <w:r w:rsidRPr="008725BE">
        <w:rPr>
          <w:rFonts w:ascii="Garamond" w:hAnsi="Garamond"/>
          <w:color w:val="000000"/>
          <w:lang w:val="en-GB"/>
        </w:rPr>
        <w:t xml:space="preserve"> wird aber auch von den aus der äußeren Wahrnehmung stammenden Erlebnissen getroffen. Alle Wege von der Wahrnehmung zum </w:t>
      </w:r>
      <w:r w:rsidRPr="008725BE">
        <w:rPr>
          <w:rFonts w:ascii="Garamond" w:hAnsi="Garamond"/>
          <w:i/>
          <w:iCs/>
          <w:color w:val="000000"/>
          <w:lang w:val="en-GB"/>
        </w:rPr>
        <w:t>Ubw</w:t>
      </w:r>
      <w:r w:rsidRPr="008725BE">
        <w:rPr>
          <w:rFonts w:ascii="Garamond" w:hAnsi="Garamond"/>
          <w:color w:val="000000"/>
          <w:lang w:val="en-GB"/>
        </w:rPr>
        <w:t xml:space="preserve"> bleiben in der Norm frei; erst die vom </w:t>
      </w:r>
      <w:r w:rsidRPr="008725BE">
        <w:rPr>
          <w:rFonts w:ascii="Garamond" w:hAnsi="Garamond"/>
          <w:i/>
          <w:iCs/>
          <w:color w:val="000000"/>
          <w:lang w:val="en-GB"/>
        </w:rPr>
        <w:t>Ubw</w:t>
      </w:r>
      <w:r w:rsidRPr="008725BE">
        <w:rPr>
          <w:rFonts w:ascii="Garamond" w:hAnsi="Garamond"/>
          <w:color w:val="000000"/>
          <w:lang w:val="en-GB"/>
        </w:rPr>
        <w:t xml:space="preserve"> weiterführenden Wege unterliegen der Sperrung durch die Verdrängung.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ist sehr bemerkenswert, daß das </w:t>
      </w:r>
      <w:r w:rsidRPr="008725BE">
        <w:rPr>
          <w:rFonts w:ascii="Garamond" w:hAnsi="Garamond"/>
          <w:i/>
          <w:iCs/>
          <w:color w:val="000000"/>
          <w:lang w:val="en-GB"/>
        </w:rPr>
        <w:t>Ubw</w:t>
      </w:r>
      <w:r w:rsidRPr="008725BE">
        <w:rPr>
          <w:rFonts w:ascii="Garamond" w:hAnsi="Garamond"/>
          <w:color w:val="000000"/>
          <w:lang w:val="en-GB"/>
        </w:rPr>
        <w:t xml:space="preserve"> eines Menschen mit Umgehung des </w:t>
      </w:r>
      <w:r w:rsidRPr="008725BE">
        <w:rPr>
          <w:rFonts w:ascii="Garamond" w:hAnsi="Garamond"/>
          <w:i/>
          <w:iCs/>
          <w:color w:val="000000"/>
          <w:lang w:val="en-GB"/>
        </w:rPr>
        <w:t>Bw</w:t>
      </w:r>
      <w:r w:rsidRPr="008725BE">
        <w:rPr>
          <w:rFonts w:ascii="Garamond" w:hAnsi="Garamond"/>
          <w:color w:val="000000"/>
          <w:lang w:val="en-GB"/>
        </w:rPr>
        <w:t xml:space="preserve"> auf das </w:t>
      </w:r>
      <w:r w:rsidRPr="008725BE">
        <w:rPr>
          <w:rFonts w:ascii="Garamond" w:hAnsi="Garamond"/>
          <w:i/>
          <w:iCs/>
          <w:color w:val="000000"/>
          <w:lang w:val="en-GB"/>
        </w:rPr>
        <w:t>Ubw</w:t>
      </w:r>
      <w:r w:rsidRPr="008725BE">
        <w:rPr>
          <w:rFonts w:ascii="Garamond" w:hAnsi="Garamond"/>
          <w:color w:val="000000"/>
          <w:lang w:val="en-GB"/>
        </w:rPr>
        <w:t xml:space="preserve"> eines anderen reagieren kann. Die Tatsache verdient eingehendere Untersuchung, besonders nach der Richtung, ob sich vorbewußte Tätigkeit dabei ausschließen läßt, ist aber als Beschreibung unbestreitbar.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Inhalt des Systems </w:t>
      </w:r>
      <w:r w:rsidRPr="008725BE">
        <w:rPr>
          <w:rFonts w:ascii="Garamond" w:hAnsi="Garamond"/>
          <w:i/>
          <w:iCs/>
          <w:color w:val="000000"/>
          <w:lang w:val="en-GB"/>
        </w:rPr>
        <w:t>Vbw</w:t>
      </w:r>
      <w:r w:rsidRPr="008725BE">
        <w:rPr>
          <w:rFonts w:ascii="Garamond" w:hAnsi="Garamond"/>
          <w:color w:val="000000"/>
          <w:lang w:val="en-GB"/>
        </w:rPr>
        <w:t xml:space="preserve"> (oder </w:t>
      </w:r>
      <w:r w:rsidRPr="008725BE">
        <w:rPr>
          <w:rFonts w:ascii="Garamond" w:hAnsi="Garamond"/>
          <w:i/>
          <w:iCs/>
          <w:color w:val="000000"/>
          <w:lang w:val="en-GB"/>
        </w:rPr>
        <w:t>Bw</w:t>
      </w:r>
      <w:r w:rsidRPr="008725BE">
        <w:rPr>
          <w:rFonts w:ascii="Garamond" w:hAnsi="Garamond"/>
          <w:color w:val="000000"/>
          <w:lang w:val="en-GB"/>
        </w:rPr>
        <w:t xml:space="preserve">) entstammt zu einem Teile dem Triebleben (durch Vermittlung des </w:t>
      </w:r>
      <w:r w:rsidRPr="008725BE">
        <w:rPr>
          <w:rFonts w:ascii="Garamond" w:hAnsi="Garamond"/>
          <w:i/>
          <w:iCs/>
          <w:color w:val="000000"/>
          <w:lang w:val="en-GB"/>
        </w:rPr>
        <w:t>Ubw</w:t>
      </w:r>
      <w:r w:rsidRPr="008725BE">
        <w:rPr>
          <w:rFonts w:ascii="Garamond" w:hAnsi="Garamond"/>
          <w:color w:val="000000"/>
          <w:lang w:val="en-GB"/>
        </w:rPr>
        <w:t xml:space="preserve">), zum anderen Teile der Wahrnehmung. Es ist zweifelhaft, inwieweit die Vorgänge dieses Systems eine direkte Einwirkung auf das </w:t>
      </w:r>
      <w:r w:rsidRPr="008725BE">
        <w:rPr>
          <w:rFonts w:ascii="Garamond" w:hAnsi="Garamond"/>
          <w:i/>
          <w:iCs/>
          <w:color w:val="000000"/>
          <w:lang w:val="en-GB"/>
        </w:rPr>
        <w:t>Ubw</w:t>
      </w:r>
      <w:r w:rsidRPr="008725BE">
        <w:rPr>
          <w:rFonts w:ascii="Garamond" w:hAnsi="Garamond"/>
          <w:color w:val="000000"/>
          <w:lang w:val="en-GB"/>
        </w:rPr>
        <w:t xml:space="preserve"> äußern können; die Erforschung pathologischer Fälle zeigt oft eine kaum glaubliche Selbständigkeit und Unbeeinflußbarkeit des </w:t>
      </w:r>
      <w:r w:rsidRPr="008725BE">
        <w:rPr>
          <w:rFonts w:ascii="Garamond" w:hAnsi="Garamond"/>
          <w:i/>
          <w:iCs/>
          <w:color w:val="000000"/>
          <w:lang w:val="en-GB"/>
        </w:rPr>
        <w:t>Ubw</w:t>
      </w:r>
      <w:r w:rsidRPr="008725BE">
        <w:rPr>
          <w:rFonts w:ascii="Garamond" w:hAnsi="Garamond"/>
          <w:color w:val="000000"/>
          <w:lang w:val="en-GB"/>
        </w:rPr>
        <w:t xml:space="preserve">. Ein völliges Auseinandergehen der Strebungen, ein absoluter Zerfall der beiden Systeme, ist überhaupt die Charakteristik des Krankseins. Allein die psychoanalytische Kur ist auf die Beeinflussung des </w:t>
      </w:r>
      <w:r w:rsidRPr="008725BE">
        <w:rPr>
          <w:rFonts w:ascii="Garamond" w:hAnsi="Garamond"/>
          <w:i/>
          <w:iCs/>
          <w:color w:val="000000"/>
          <w:lang w:val="en-GB"/>
        </w:rPr>
        <w:t>Ubw</w:t>
      </w:r>
      <w:r w:rsidRPr="008725BE">
        <w:rPr>
          <w:rFonts w:ascii="Garamond" w:hAnsi="Garamond"/>
          <w:color w:val="000000"/>
          <w:lang w:val="en-GB"/>
        </w:rPr>
        <w:t xml:space="preserve"> vom </w:t>
      </w:r>
      <w:r w:rsidRPr="008725BE">
        <w:rPr>
          <w:rFonts w:ascii="Garamond" w:hAnsi="Garamond"/>
          <w:i/>
          <w:iCs/>
          <w:color w:val="000000"/>
          <w:lang w:val="en-GB"/>
        </w:rPr>
        <w:t>Bw</w:t>
      </w:r>
      <w:r w:rsidRPr="008725BE">
        <w:rPr>
          <w:rFonts w:ascii="Garamond" w:hAnsi="Garamond"/>
          <w:color w:val="000000"/>
          <w:lang w:val="en-GB"/>
        </w:rPr>
        <w:t xml:space="preserve"> her gebaut und zeigt jedenfalls, daß solche, wiewohl mühsam, nicht unmöglich ist. Die zwischen beiden Systemen vermittelnden Abkömmlinge des </w:t>
      </w:r>
      <w:r w:rsidRPr="008725BE">
        <w:rPr>
          <w:rFonts w:ascii="Garamond" w:hAnsi="Garamond"/>
          <w:i/>
          <w:iCs/>
          <w:color w:val="000000"/>
          <w:lang w:val="en-GB"/>
        </w:rPr>
        <w:t>Ubw</w:t>
      </w:r>
      <w:r w:rsidRPr="008725BE">
        <w:rPr>
          <w:rFonts w:ascii="Garamond" w:hAnsi="Garamond"/>
          <w:color w:val="000000"/>
          <w:lang w:val="en-GB"/>
        </w:rPr>
        <w:t xml:space="preserve"> bahnen uns, wie schon erwähnt, den Weg zu dieser Leistung. Wir dürfen aber wohl annehmen, daß die spontan erfolgende Veränderung des </w:t>
      </w:r>
      <w:r w:rsidRPr="008725BE">
        <w:rPr>
          <w:rFonts w:ascii="Garamond" w:hAnsi="Garamond"/>
          <w:i/>
          <w:iCs/>
          <w:color w:val="000000"/>
          <w:lang w:val="en-GB"/>
        </w:rPr>
        <w:t>Ubw</w:t>
      </w:r>
      <w:r w:rsidRPr="008725BE">
        <w:rPr>
          <w:rFonts w:ascii="Garamond" w:hAnsi="Garamond"/>
          <w:color w:val="000000"/>
          <w:lang w:val="en-GB"/>
        </w:rPr>
        <w:t xml:space="preserve"> von Seiten des </w:t>
      </w:r>
      <w:r w:rsidRPr="008725BE">
        <w:rPr>
          <w:rFonts w:ascii="Garamond" w:hAnsi="Garamond"/>
          <w:i/>
          <w:iCs/>
          <w:color w:val="000000"/>
          <w:lang w:val="en-GB"/>
        </w:rPr>
        <w:t>Bw</w:t>
      </w:r>
      <w:r w:rsidRPr="008725BE">
        <w:rPr>
          <w:rFonts w:ascii="Garamond" w:hAnsi="Garamond"/>
          <w:color w:val="000000"/>
          <w:lang w:val="en-GB"/>
        </w:rPr>
        <w:t xml:space="preserve"> ein schwieriger und langsam verlaufender Prozeß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 Kooperation zwischen einer vorbewußten und einer unbewußten, selbst intensiv verdrängten Regung kann zustande kommen, wenn es die Situation ergibt, daß die unbewußte Regung gleichsinnig mit einer der herrschenden Strebungen wirken kann. Die Verdrängung wird für diesen Fall aufgehoben, die verdrängte Aktivität als Verstärkung der vom Ich beabsichtigten zugelassen. Das Unbewußte wird für diese eine Konstellation ichgerecht, ohne daß sonst an seiner Verdrängung etwas abgeändert würde. Der Erfolg des </w:t>
      </w:r>
      <w:r w:rsidRPr="008725BE">
        <w:rPr>
          <w:rFonts w:ascii="Garamond" w:hAnsi="Garamond"/>
          <w:i/>
          <w:iCs/>
          <w:color w:val="000000"/>
          <w:lang w:val="en-GB"/>
        </w:rPr>
        <w:t>Ubw</w:t>
      </w:r>
      <w:r w:rsidRPr="008725BE">
        <w:rPr>
          <w:rFonts w:ascii="Garamond" w:hAnsi="Garamond"/>
          <w:color w:val="000000"/>
          <w:lang w:val="en-GB"/>
        </w:rPr>
        <w:t xml:space="preserve"> ist bei dieser Kooperation unverkennbar; die verstärkten Strebungen benehmen sich doch anders als die normalen, sie befähigen zu besonders vollkommener Leistung, und sie zeigen gegen Widersprüche eine ähnliche Resistenz wie etwa die Zwangssymptome.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Den Inhalt des </w:t>
      </w:r>
      <w:r w:rsidRPr="008725BE">
        <w:rPr>
          <w:rFonts w:ascii="Garamond" w:hAnsi="Garamond"/>
          <w:i/>
          <w:iCs/>
          <w:color w:val="000000"/>
          <w:lang w:val="en-GB"/>
        </w:rPr>
        <w:t>Ubw</w:t>
      </w:r>
      <w:r w:rsidRPr="008725BE">
        <w:rPr>
          <w:rFonts w:ascii="Garamond" w:hAnsi="Garamond"/>
          <w:color w:val="000000"/>
          <w:lang w:val="en-GB"/>
        </w:rPr>
        <w:t xml:space="preserve"> kann man einer psychischen Urbevölkerung vergleichen. Wenn es beim Menschen ererbte psychische Bildungen, etwas dem Instinkt der Tiere Analoges gibt, so macht dies den Kern des </w:t>
      </w:r>
      <w:r w:rsidRPr="008725BE">
        <w:rPr>
          <w:rFonts w:ascii="Garamond" w:hAnsi="Garamond"/>
          <w:i/>
          <w:iCs/>
          <w:color w:val="000000"/>
          <w:lang w:val="en-GB"/>
        </w:rPr>
        <w:t>Ubw</w:t>
      </w:r>
      <w:r w:rsidRPr="008725BE">
        <w:rPr>
          <w:rFonts w:ascii="Garamond" w:hAnsi="Garamond"/>
          <w:color w:val="000000"/>
          <w:lang w:val="en-GB"/>
        </w:rPr>
        <w:t xml:space="preserve"> aus. Dazu kommt später das während der Kindheitsentwicklung als unbrauchbar Beseitigte hinzu, was seiner Natur nach von dem Ererbten nicht verschieden zu sein braucht. Eine scharfe und endgültige </w:t>
      </w:r>
      <w:r w:rsidRPr="008725BE">
        <w:rPr>
          <w:rFonts w:ascii="Garamond" w:hAnsi="Garamond"/>
          <w:color w:val="000000"/>
          <w:lang w:val="en-GB"/>
        </w:rPr>
        <w:lastRenderedPageBreak/>
        <w:t>Scheidung des Inhaltes der beiden Systeme stellt sich in der Regel erst mit dem Zeitpunkte der Pubertät her.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VII. Die Agnoszierung des Unbewußten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Soviel, als wir in den vorstehenden Erörterungen zusammengetragen haben, läßt sich etwa über das </w:t>
      </w:r>
      <w:r w:rsidRPr="008725BE">
        <w:rPr>
          <w:rFonts w:ascii="Garamond" w:hAnsi="Garamond"/>
          <w:i/>
          <w:iCs/>
          <w:color w:val="000000"/>
          <w:lang w:val="en-GB"/>
        </w:rPr>
        <w:t>Ubw</w:t>
      </w:r>
      <w:r w:rsidRPr="008725BE">
        <w:rPr>
          <w:rFonts w:ascii="Garamond" w:hAnsi="Garamond"/>
          <w:color w:val="000000"/>
          <w:lang w:val="en-GB"/>
        </w:rPr>
        <w:t xml:space="preserve"> aussagen, solange man nur aus der Kenntnis des Traumlebens und der Übertragungsneurosen schöpft. Es ist gewiß nicht viel, macht stellenweise den Eindruck des Ungeklärten und Verwirrenden und läßt vor allem die Möglichkeit vermissen, das </w:t>
      </w:r>
      <w:r w:rsidRPr="008725BE">
        <w:rPr>
          <w:rFonts w:ascii="Garamond" w:hAnsi="Garamond"/>
          <w:i/>
          <w:iCs/>
          <w:color w:val="000000"/>
          <w:lang w:val="en-GB"/>
        </w:rPr>
        <w:t>Ubw</w:t>
      </w:r>
      <w:r w:rsidRPr="008725BE">
        <w:rPr>
          <w:rFonts w:ascii="Garamond" w:hAnsi="Garamond"/>
          <w:color w:val="000000"/>
          <w:lang w:val="en-GB"/>
        </w:rPr>
        <w:t xml:space="preserve"> an einen bereits bekannten Zusammenhang anzuordnen oder es in ihn einzureihen. Erst die Analyse einer der Affektionen, die wir narzißtische Psychoneurosen heißen, verspricht uns Auffassungen zu liefern, durch welche uns das rätselvolle </w:t>
      </w:r>
      <w:r w:rsidRPr="008725BE">
        <w:rPr>
          <w:rFonts w:ascii="Garamond" w:hAnsi="Garamond"/>
          <w:i/>
          <w:iCs/>
          <w:color w:val="000000"/>
          <w:lang w:val="en-GB"/>
        </w:rPr>
        <w:t>Ubw</w:t>
      </w:r>
      <w:r w:rsidRPr="008725BE">
        <w:rPr>
          <w:rFonts w:ascii="Garamond" w:hAnsi="Garamond"/>
          <w:color w:val="000000"/>
          <w:lang w:val="en-GB"/>
        </w:rPr>
        <w:t xml:space="preserve"> nähergerückt und gleichsam greifbar gemacht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Seit einer Arbeit von Abraham (1908), welche der gewissenhafte Autor auf meine Anregung zurückgeführt hat, versuchen wir die Dementia praecox Kraepelins (Schizophrenie Bleulers) durch ihr Verhalten zum Gegensatz von Ich und Objekt zu charakterisieren. Bei den Übertragungsneurosen (Angst- und Konversionshysterie, Zwangsneurose) lag nichts vor, was diesen Gegensatz in den Vordergrund gerückt hätte. Man wußte zwar, daß die Versagung des Objekts den Ausbruch der Neurose herbeiführt und daß die Neurose den Verzicht auf das reale Objekt involviert, auch daß die dem realen Objekt entzogene Libido auf ein phantasiertes Objekt und von da aus auf ein verdrängtes zurückgeht (Introversion). Aber die Objektbesetzung überhaupt wird bei ihnen mit großer Energie festgehalten, und die feinere Untersuchung des Verdrängungsvorganges hat uns anzunehmen genötigt, daß die Objektbesetzung im System </w:t>
      </w:r>
      <w:r w:rsidRPr="008725BE">
        <w:rPr>
          <w:rFonts w:ascii="Garamond" w:hAnsi="Garamond"/>
          <w:i/>
          <w:iCs/>
          <w:color w:val="000000"/>
          <w:lang w:val="en-GB"/>
        </w:rPr>
        <w:t>Ubw</w:t>
      </w:r>
      <w:r w:rsidRPr="008725BE">
        <w:rPr>
          <w:rFonts w:ascii="Garamond" w:hAnsi="Garamond"/>
          <w:color w:val="000000"/>
          <w:lang w:val="en-GB"/>
        </w:rPr>
        <w:t xml:space="preserve"> trotz der Verdrängung –; vielmehr infolge derselben –; fortbesteht. Die Fähigkeit zur Übertragung, welche wir bei diesen Affektionen therapeutisch ausnützen, setzt ja die ungestörte Objektbesetzung voraus.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der Schizophrenie hat sich uns dagegen die Annahme aufgedrängt, daß nach dem Prozesse der Verdrängung die abgezogene Libido kein neues Objekt suche, sondern ins Ich zurücktrete, daß also hier die Objektbesetzungen aufgegeben und ein primitiver objektloser Zustand von Narzißmus wiederhergestellt werde. Die Unfähigkeit dieser Patienten zur Übertragung –; soweit der Krankheitsprozeß reicht –;, ihre daraus folgende therapeutische Unzugänglichkeit, die ihnen eigentümliche Ablehnung der Außenwelt, das Auftreten von Zeichen einer Überbesetzung des eigenen Ichs, der Ausgang in völlige Apathie, all diese klinischen Charaktere scheinen zu der Annahme eines Aufgebens der Objektbesetzungen trefflich zu stimmen. Von seiten des Verhältnisses der beiden psychischen Systeme wurde allen Beobachtern auffällig, daß bei der Schizophrenie vieles als bewußt geäußert wird, was wir bei den Übertragungsneurosen erst durch Psychoanalyse im </w:t>
      </w:r>
      <w:r w:rsidRPr="008725BE">
        <w:rPr>
          <w:rFonts w:ascii="Garamond" w:hAnsi="Garamond"/>
          <w:i/>
          <w:iCs/>
          <w:color w:val="000000"/>
          <w:lang w:val="en-GB"/>
        </w:rPr>
        <w:t>Ubw</w:t>
      </w:r>
      <w:r w:rsidRPr="008725BE">
        <w:rPr>
          <w:rFonts w:ascii="Garamond" w:hAnsi="Garamond"/>
          <w:color w:val="000000"/>
          <w:lang w:val="en-GB"/>
        </w:rPr>
        <w:t xml:space="preserve"> nachweisen müssen. Aber es gelang zunächst nicht, zwischen der Ich-Objektbeziehung und den Bewußtseinsrelationen eine verständliche Verknüpfung herzustellen.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Gesuchte scheint sich auf folgendem unvermuteten Wege zu ergeben. Bei den Schizophrenen beobachtet man, zumal in den so lehrreichen Anfangsstadien, eine Anzahl von Veränderungen der </w:t>
      </w:r>
      <w:r w:rsidRPr="008725BE">
        <w:rPr>
          <w:rFonts w:ascii="Garamond" w:hAnsi="Garamond"/>
          <w:i/>
          <w:iCs/>
          <w:color w:val="000000"/>
          <w:lang w:val="en-GB"/>
        </w:rPr>
        <w:t>Sprache</w:t>
      </w:r>
      <w:r w:rsidRPr="008725BE">
        <w:rPr>
          <w:rFonts w:ascii="Garamond" w:hAnsi="Garamond"/>
          <w:color w:val="000000"/>
          <w:lang w:val="en-GB"/>
        </w:rPr>
        <w:t>, von denen einige es verdienen, unter einem bestimmten Gesichtspunkt betrachtet zu werden. Die Ausdrucksweise wird oft Gegenstand einer besonderen Sorgfalt, sie wird »gewählt«, »geziert«. Die Sätze erfahren eine besondere Desorganisation des Aufbaues, durch welche sie uns unverständlich werden, so daß wir die Äußerungen der Kranken für unsinnig halten. Im Inhalt dieser Äußerungen wird oft eine Beziehung zu Körperorganen oder Körperinnervationen in den Vordergrund gerückt. Dem kann man anreihen, daß in solchen Symptomen der Schizophrenie, welche hysterischen oder zwangsneurotischen Ersatzbildungen gleichen, doch die Beziehung zwischen dem Ersatz und dem Verdrängten Eigentümlichkeiten zeigt, welche uns bei den beiden genannten Neurosen befremden würden.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Herr Dr. V. Tausk (Wien) hat mir einige seiner Beobachtungen bei beginnender Schizophrenie zur Verfügung gestellt, die durch den Vorzug ausgezeichnet sind, daß die Kranke selbst noch die Aufklärung ihrer Reden geben wollte. Ich will nun an zweien seiner Beispiele zeigen, welche Auffassung ich zu vertreten beabsichtige, zweifle übrigens nicht daran, daß es jedem Beobachter leicht sein würde, solches Material in Fülle vorzubringen.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der Kranken Tausks, ein Mädchen, das nach einem Zwist mit ihrem Geliebten auf die Klinik gebracht wurde, klagt:</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Die Augen sind nicht richtig, sie sind verdreht</w:t>
      </w:r>
      <w:r w:rsidRPr="008725BE">
        <w:rPr>
          <w:rFonts w:ascii="Garamond" w:hAnsi="Garamond"/>
          <w:color w:val="000000"/>
          <w:lang w:val="en-GB"/>
        </w:rPr>
        <w:t xml:space="preserve">. Das erläutert sie selbst, indem sie in geordneter Sprache eine Reihe von Vorwürfen gegen den Geliebten vorbringt. »Sie kann ihn gar nicht verstehen, er sieht jedesmal anders aus, er ist ein Heuchler, ein </w:t>
      </w:r>
      <w:r w:rsidRPr="008725BE">
        <w:rPr>
          <w:rFonts w:ascii="Garamond" w:hAnsi="Garamond"/>
          <w:i/>
          <w:iCs/>
          <w:color w:val="000000"/>
          <w:lang w:val="en-GB"/>
        </w:rPr>
        <w:t>Augenverdreher</w:t>
      </w:r>
      <w:r w:rsidRPr="008725BE">
        <w:rPr>
          <w:rFonts w:ascii="Garamond" w:hAnsi="Garamond"/>
          <w:color w:val="000000"/>
          <w:lang w:val="en-GB"/>
        </w:rPr>
        <w:t>, er hat ihr die Augen verdreht, jetzt hat sie verdrehte Augen, es sind nicht mehr ihre Augen, sie sieht die Welt jetzt mit anderen Augen.«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Die Äußerungen der Kranken zu ihrer unverständlichen Rede haben den Wert einer Analyse, da sie deren Äquivalent in allgemein verständlicher Ausdrucksweise enthalten; sie geben gleichzeitig Aufschluß über Bedeutung und über Genese der schizophrenen Wortbildung. In Übereinstimmung mit Tausk hebe ich aus diesem Beispiel hervor, daß die Beziehung zum Organ (zum Auge) sich zur Vertretung des ganzen Inhaltes aufgeworfen hat. Die schizophrene Rede hat hier einen hypochondrischen Zug, sie ist </w:t>
      </w:r>
      <w:r w:rsidRPr="008725BE">
        <w:rPr>
          <w:rFonts w:ascii="Garamond" w:hAnsi="Garamond"/>
          <w:i/>
          <w:iCs/>
          <w:color w:val="000000"/>
          <w:lang w:val="en-GB"/>
        </w:rPr>
        <w:t>Organsprache</w:t>
      </w:r>
      <w:r w:rsidRPr="008725BE">
        <w:rPr>
          <w:rFonts w:ascii="Garamond" w:hAnsi="Garamond"/>
          <w:color w:val="000000"/>
          <w:lang w:val="en-GB"/>
        </w:rPr>
        <w:t xml:space="preserve"> geworden.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 zweite Mitteilung derselben Kranken: »Sie steht in der Kirche, plötzlich gibt es ihr einen Ruck, sie </w:t>
      </w:r>
      <w:r w:rsidRPr="008725BE">
        <w:rPr>
          <w:rFonts w:ascii="Garamond" w:hAnsi="Garamond"/>
          <w:i/>
          <w:iCs/>
          <w:color w:val="000000"/>
          <w:lang w:val="en-GB"/>
        </w:rPr>
        <w:t>muß sich anders stellen, als stellte sie jemand, als würde sie gestellt</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Dazu die Analyse durch eine neue Reihe von Vorwürfen gegen den Geliebten, »der ordinär ist, der sie, die vom Hause aus fein war, auch ordinär gemacht hat. Er hat sie sich ähnlich gemacht, indem er sie glauben machte, er sei ihr überlegen; nun sei sie so geworden, wie er ist, weil sie glaubte, sie werde besser sein, wenn sie ihm gleich werde. Er hat sich </w:t>
      </w:r>
      <w:r w:rsidRPr="008725BE">
        <w:rPr>
          <w:rFonts w:ascii="Garamond" w:hAnsi="Garamond"/>
          <w:i/>
          <w:iCs/>
          <w:color w:val="000000"/>
          <w:lang w:val="en-GB"/>
        </w:rPr>
        <w:t>verstellt</w:t>
      </w:r>
      <w:r w:rsidRPr="008725BE">
        <w:rPr>
          <w:rFonts w:ascii="Garamond" w:hAnsi="Garamond"/>
          <w:color w:val="000000"/>
          <w:lang w:val="en-GB"/>
        </w:rPr>
        <w:t xml:space="preserve">, sie ist jetzt so wie er (Identifizierung!), er hat sie </w:t>
      </w:r>
      <w:r w:rsidRPr="008725BE">
        <w:rPr>
          <w:rFonts w:ascii="Garamond" w:hAnsi="Garamond"/>
          <w:i/>
          <w:iCs/>
          <w:color w:val="000000"/>
          <w:lang w:val="en-GB"/>
        </w:rPr>
        <w:t>verstellt</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Bewegung des »Sich-anders-Stellen«, bemerkt Tausk, ist eine Darstellung des Wortes »verstellen« und der Identifizierung mit dem Geliebten. Ich hebe wiederum die Prävalenz jenes Elements des ganzen Gedankenganges hervor, welches eine körperliche Innervation (vielmehr deren Empfindung) zum Inhalt hat. Eine Hysterika hätte übrigens im ersten Falle krampfhaft die Augen verdreht, im zweiten den Ruck wirklich ausgeführt, anstatt den Impuls dazu oder die Sensation davon zu verspüren, und in beiden Fällen hätte sie keinen bewußten Gedanken dabei gehabt und wäre auch nachträglich nicht imstande gewesen, solche zu äußern.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Soweit zeugen diese beiden Beobachtungen für das, was wir hypochondrische oder Organsprache genannt haben. Sie mahnen aber auch, was uns wichtiger erscheint, an einen anderen Sachverhalt, der sich beliebig oft z. B. an den in Bleulers Monographie gesammelten Beispielen nachweisen und in eine bestimmte Formel fassen läßt. Bei der Schizophrenie werden die </w:t>
      </w:r>
      <w:r w:rsidRPr="008725BE">
        <w:rPr>
          <w:rFonts w:ascii="Garamond" w:hAnsi="Garamond"/>
          <w:i/>
          <w:iCs/>
          <w:color w:val="000000"/>
          <w:lang w:val="en-GB"/>
        </w:rPr>
        <w:t>Worte</w:t>
      </w:r>
      <w:r w:rsidRPr="008725BE">
        <w:rPr>
          <w:rFonts w:ascii="Garamond" w:hAnsi="Garamond"/>
          <w:color w:val="000000"/>
          <w:lang w:val="en-GB"/>
        </w:rPr>
        <w:t xml:space="preserve"> demselben Prozeß unterworfen, der aus den latenten Traumgedanken die Traumbilder macht, den wir den </w:t>
      </w:r>
      <w:r w:rsidRPr="008725BE">
        <w:rPr>
          <w:rFonts w:ascii="Garamond" w:hAnsi="Garamond"/>
          <w:i/>
          <w:iCs/>
          <w:color w:val="000000"/>
          <w:lang w:val="en-GB"/>
        </w:rPr>
        <w:t>psychischen Primärvorgang</w:t>
      </w:r>
      <w:r w:rsidRPr="008725BE">
        <w:rPr>
          <w:rFonts w:ascii="Garamond" w:hAnsi="Garamond"/>
          <w:color w:val="000000"/>
          <w:lang w:val="en-GB"/>
        </w:rPr>
        <w:t xml:space="preserve"> geheißen haben. Sie werden verdichtet und übertragen einander ihre Besetzungen restlos durch Verschiebung; der Prozeß kann so weit gehen, daß ein einziges, durch mehrfache Beziehungen dazu geeignetes Wort die Vertretung einer ganzen Gedankenkette übernimmt. Die Arbeiten von Bleuler, Jung und ihren Schülern haben gerade für diese Behauptung reichliches Material ergeben </w:t>
      </w:r>
      <w:hyperlink r:id="rId73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Gelegentlich behandelt die Traumarbeit die Worte wie die Dinge und schafft dann sehr ähnliche »schizophrene« Reden oder Wortneubildungen.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Ehe wir aus solchen Eindrücken einen Schluß ziehen, wollen wir noch der feinen, aber doch befremdlich wirkenden Unterschiede zwischen der schizophrenen und der hysterischen und zwangsneurotischen Ersatzbildung gedenken. Ein Patient, den ich gegenwärtig beobachte, läßt sich durch den schlechten Zustand seiner Gesichtshaut von allen Interessen des Lebens abziehen. Er behauptet, Mitesser zu haben und tiefe Löcher im Gesicht, die ihm jedermann ansieht. </w:t>
      </w:r>
      <w:r w:rsidRPr="008725BE">
        <w:rPr>
          <w:rFonts w:ascii="Garamond" w:hAnsi="Garamond"/>
          <w:color w:val="000000"/>
        </w:rPr>
        <w:t xml:space="preserve">Die Analyse weist nach, daß er seinen Kastrationskomplex an seiner Haut abspielt. Er beschäftigte sich zunächst reuelos mit seinen Mitessern, deren Ausdrücken ihm große Befriedigung bereitete, weil dabei etwas herausspritzte, wie er sagt. Dann begann er zu glauben, daß überall dort, wo er einen Comedo beseitigt hatte, eine tiefe Grube entstanden sei, und er machte sich die heftigsten Vorwürfe, durch sein »beständiges Herumarbeiten mit der Hand« seine Haut für alle Zeiten verdorben zu haben. Es ist evident, daß ihm das Auspressen des Inhaltes der Mitesser ein Ersatz für die Onanie ist. Die Grube, die darauf durch seine Schuld entsteht, ist das weibliche Genitale, d. h. die Erfüllung der durch die Onanie provozierten Kastrationsdrohung (resp. der sie vertretenden Phantasie). Diese Ersatzbildung hat trotz ihres hypochondrischen Charakters viel Ähnlichkeit mit einer hysterischen Konversion, und doch wird man das Gefühl haben, daß hier etwas anderes vorgehen müsse, daß man solche Ersatzbildung einer Hysterie nicht zutrauen dürfe, noch ehe man sagen kann, worin die Verschiedenheit begründet ist. Ein winziges Grübchen wie eine Hautpore wird ein Hysteriker kaum zum Symbol der Vagina nehmen, die er sonst mit allen möglichen Gegenständen vergleicht, welche einen Hohlraum umschließen. Auch meinen wir, daß die Vielheit der Grübchen ihn abhalten wird, sie als Ersatz für das weibliche Genitale zu verwenden. Ähnliches gilt für einen jugendlichen Patienten, über den Tausk vor Jahren der Wiener Psychoanalytischen Gesellschaft berichtet hat. Er benahm sich sonst ganz wie ein Zwangsneurotiker, verbrauchte Stunden für seine Toilette u. dgl. </w:t>
      </w:r>
      <w:r w:rsidRPr="008725BE">
        <w:rPr>
          <w:rFonts w:ascii="Garamond" w:hAnsi="Garamond"/>
          <w:color w:val="000000"/>
          <w:lang w:val="en-GB"/>
        </w:rPr>
        <w:t xml:space="preserve">Es war aber an ihm auffällig, daß er widerstandslos die Bedeutung seiner Hemmungen mitteilen konnte. Beim Anziehen der Strümpfe störte ihn z. B. die Idee, daß er die Maschen des Gewebes, also Löcher, auseinanderziehen müsse, und jedes Loch war ihm Symbol der weiblichen Geschlechtsöffnung. Auch dies ist einem Zwangsneurotiker nicht zuzutrauen; ein solcher, aus der Beobachtung von R. Reitler, der am gleichen Verweilen beim Strumpfanziehen litt, fand nach Überwindung der Widerstände die Erklärung, </w:t>
      </w:r>
      <w:r w:rsidRPr="008725BE">
        <w:rPr>
          <w:rFonts w:ascii="Garamond" w:hAnsi="Garamond"/>
          <w:color w:val="000000"/>
          <w:lang w:val="en-GB"/>
        </w:rPr>
        <w:lastRenderedPageBreak/>
        <w:t>daß der Fuß ein Penissymbol sei, das Überziehen des Strumpfes ein onanistischer Akt, und er mußte den Strumpf fortgesetzt an- und ausziehen, zum Teil, um das Bild der Onanie zu vervollkommnen, zum Teil, um sie ungeschehen zu machen.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Fragen wir uns, was der schizophrenen Ersatzbildung und dem Symptom den befremdlichen Charakter verleiht, so erfassen wir endlich, daß es das Überwiegen der Wortbeziehung über die Sachbeziehung ist. Zwischen dem Ausdrücken eines Mitessers und einer Ejakulation aus dem Penis besteht eine recht geringe Sachähnlichkeit, eine noch geringere zwischen den unzähligen seichten Hautporen und der Vagina; aber im ersten Falle spritzt beide Male etwas heraus, und für den zweiten gilt wörtlich der zynische Satz: »Loch ist Loch.« Die Gleichheit des sprachlichen Ausdruckes, nicht die Ähnlichkeit der bezeichneten Dinge, hat den Ersatz vorgeschrieben. Wo die beiden –; Wort und Ding –; sich nicht decken, weicht die schizophrene Ersatzbildung von der bei den Übertragungsneurosen ab.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Setzen wir diese Einsicht mit der Annahme zusammen, daß bei der Schizophrenie die Objektbesetzungen aufgegeben werden. Wir müssen dann modifizieren: die Besetzung der Wortvorstellungen der Objekte wird festgehalten. Was wir die bewußte Objektvorstellung heißen durften, zerlegt sich uns jetzt in die </w:t>
      </w:r>
      <w:r w:rsidRPr="008725BE">
        <w:rPr>
          <w:rFonts w:ascii="Garamond" w:hAnsi="Garamond"/>
          <w:i/>
          <w:iCs/>
          <w:color w:val="000000"/>
          <w:lang w:val="en-GB"/>
        </w:rPr>
        <w:t>Wortvorstellung</w:t>
      </w:r>
      <w:r w:rsidRPr="008725BE">
        <w:rPr>
          <w:rFonts w:ascii="Garamond" w:hAnsi="Garamond"/>
          <w:color w:val="000000"/>
          <w:lang w:val="en-GB"/>
        </w:rPr>
        <w:t xml:space="preserve"> und in die </w:t>
      </w:r>
      <w:r w:rsidRPr="008725BE">
        <w:rPr>
          <w:rFonts w:ascii="Garamond" w:hAnsi="Garamond"/>
          <w:i/>
          <w:iCs/>
          <w:color w:val="000000"/>
          <w:lang w:val="en-GB"/>
        </w:rPr>
        <w:t>Sachvorstellung</w:t>
      </w:r>
      <w:r w:rsidRPr="008725BE">
        <w:rPr>
          <w:rFonts w:ascii="Garamond" w:hAnsi="Garamond"/>
          <w:color w:val="000000"/>
          <w:lang w:val="en-GB"/>
        </w:rPr>
        <w:t xml:space="preserve">, die in der Besetzung, wenn nicht der direkten Sacherinnerungsbilder, doch entfernterer und von ihnen abgeleiteter Erinnerungsspuren besteht. Mit einem Male glauben wir nun zu wissen, wodurch sich eine bewußte Vorstellung von einer unbewußten unterscheidet. Die beiden sind nicht, wie wir gemeint haben, verschiedene Niederschriften desselben Inhaltes an verschiedenen psychischen Orten, auch nicht verschiedene funktionelle Besetzungszustände an demselben Orte, sondern die bewußte Vorstellung umfaßt die Sachvorstellung plus der zugehörigen Wortvorstellung, die unbewußte ist die Sachvorstellung allein. Das System </w:t>
      </w:r>
      <w:r w:rsidRPr="008725BE">
        <w:rPr>
          <w:rFonts w:ascii="Garamond" w:hAnsi="Garamond"/>
          <w:i/>
          <w:iCs/>
          <w:color w:val="000000"/>
          <w:lang w:val="en-GB"/>
        </w:rPr>
        <w:t>Ubw</w:t>
      </w:r>
      <w:r w:rsidRPr="008725BE">
        <w:rPr>
          <w:rFonts w:ascii="Garamond" w:hAnsi="Garamond"/>
          <w:color w:val="000000"/>
          <w:lang w:val="en-GB"/>
        </w:rPr>
        <w:t xml:space="preserve"> enthält die Sachbesetzungen der Objekte, die ersten und eigentlichen Objektbesetzungen; das System </w:t>
      </w:r>
      <w:r w:rsidRPr="008725BE">
        <w:rPr>
          <w:rFonts w:ascii="Garamond" w:hAnsi="Garamond"/>
          <w:i/>
          <w:iCs/>
          <w:color w:val="000000"/>
          <w:lang w:val="en-GB"/>
        </w:rPr>
        <w:t>Vbw</w:t>
      </w:r>
      <w:r w:rsidRPr="008725BE">
        <w:rPr>
          <w:rFonts w:ascii="Garamond" w:hAnsi="Garamond"/>
          <w:color w:val="000000"/>
          <w:lang w:val="en-GB"/>
        </w:rPr>
        <w:t xml:space="preserve"> entsteht, indem diese Sachvorstellung durch die Verknüpfung mit den ihr entsprechenden Wortvorstellungen überbesetzt wird. Solche Überbesetzungen, können wir vermuten, sind es, welche eine höhere psychische Organisation herbeiführen und die Ablösung des Primärvorganges durch den im </w:t>
      </w:r>
      <w:r w:rsidRPr="008725BE">
        <w:rPr>
          <w:rFonts w:ascii="Garamond" w:hAnsi="Garamond"/>
          <w:i/>
          <w:iCs/>
          <w:color w:val="000000"/>
          <w:lang w:val="en-GB"/>
        </w:rPr>
        <w:t>Vbw</w:t>
      </w:r>
      <w:r w:rsidRPr="008725BE">
        <w:rPr>
          <w:rFonts w:ascii="Garamond" w:hAnsi="Garamond"/>
          <w:color w:val="000000"/>
          <w:lang w:val="en-GB"/>
        </w:rPr>
        <w:t xml:space="preserve"> herrschenden Sekundärvorgang ermöglichen. Wir können jetzt auch präzise ausdrücken, was die Verdrängung bei den Übertragungsneurosen der zurückgewiesenen Vorstellung verweigert: Die Übersetzung in Worte, welche mit dem Objekt verknüpft bleiben sollen. Die nicht in Worte gefaßte Vorstellung oder der nicht überbesetzte psychische Akt bleibt dann im </w:t>
      </w:r>
      <w:r w:rsidRPr="008725BE">
        <w:rPr>
          <w:rFonts w:ascii="Garamond" w:hAnsi="Garamond"/>
          <w:i/>
          <w:iCs/>
          <w:color w:val="000000"/>
          <w:lang w:val="en-GB"/>
        </w:rPr>
        <w:t>Ubw</w:t>
      </w:r>
      <w:r w:rsidRPr="008725BE">
        <w:rPr>
          <w:rFonts w:ascii="Garamond" w:hAnsi="Garamond"/>
          <w:color w:val="000000"/>
          <w:lang w:val="en-GB"/>
        </w:rPr>
        <w:t xml:space="preserve"> als verdrängt zurück.</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darf darauf aufmerksam machen, wie frühzeitig wir bereits die Einsicht besessen haben, die uns heute einen der auffälligsten Charaktere der Schizophrenie verständlich macht. Auf den letzten Seiten der 1900 veröffentlichten </w:t>
      </w:r>
      <w:r w:rsidRPr="008725BE">
        <w:rPr>
          <w:rFonts w:ascii="Garamond" w:hAnsi="Garamond"/>
          <w:i/>
          <w:iCs/>
          <w:color w:val="000000"/>
          <w:lang w:val="en-GB"/>
        </w:rPr>
        <w:t>Traumdeutung</w:t>
      </w:r>
      <w:r w:rsidRPr="008725BE">
        <w:rPr>
          <w:rFonts w:ascii="Garamond" w:hAnsi="Garamond"/>
          <w:color w:val="000000"/>
          <w:lang w:val="en-GB"/>
        </w:rPr>
        <w:t xml:space="preserve"> ist ausgeführt, daß die Denkvorgänge, d. i. die von den Wahrnehmungen entfernteren Besetzungsakte, an sich qualitätslos und unbewußt sind und ihre Fähigkeit, bewußt zu werden, nur durch die Verknüpfung mit den Resten der Wortwahrnehmungen erlangen. Die Wortvorstellungen entstammen ihrerseits der Sinneswahrnehmung in gleicher Weise wie die Sachvorstellungen, so daß man die Frage aufwerfen könnte, warum die Objektvorstellungen nicht mittels ihrer eigenen Wahrnehmungsreste bewußt werden können. Aber wahrscheinlich geht das Denken in Systemen vor sich, die von den ursprünglichen Wahrnehmungsresten so weit entfernt sind, daß sie von deren Qualitäten nichts mehr erhalten haben und zum Bewußtwerden einer Verstärkung durch neue Qualitäten bedürfen. Außerdem können durch die Verknüpfung mit Worten auch solche Besetzungen mit Qualität versehen werden, die aus den Wahrnehmungen selbst keine Qualität mitbringen konnten, weil sie bloß Relationen zwischen den Objektvorstellungen entsprechen. Solche erst durch Worte faßbar gewordene Relationen sind ein Hauptbestandteil unserer Denkvorgänge. Wir verstehen, daß die Verknüpfung mit Wortvorstellungen noch nicht mit dem Bewußtwerden zusammenfällt, sondern bloß die Möglichkeit dazu gibt, daß sie also kein anderes System als das des </w:t>
      </w:r>
      <w:r w:rsidRPr="008725BE">
        <w:rPr>
          <w:rFonts w:ascii="Garamond" w:hAnsi="Garamond"/>
          <w:i/>
          <w:iCs/>
          <w:color w:val="000000"/>
          <w:lang w:val="en-GB"/>
        </w:rPr>
        <w:t>Vbw</w:t>
      </w:r>
      <w:r w:rsidRPr="008725BE">
        <w:rPr>
          <w:rFonts w:ascii="Garamond" w:hAnsi="Garamond"/>
          <w:color w:val="000000"/>
          <w:lang w:val="en-GB"/>
        </w:rPr>
        <w:t xml:space="preserve"> charakterisiert. Nun merken wir aber, daß wir mit diesen Erörterungen unser eigentliches Thema verlassen und mitten in die Probleme des Vorbewußten und Bewußten geraten, die wir zweckmäßigerweise einer gesonderten Behandlung vorbehalten.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der Schizophrenie, die wir ja hier auch nur so weit berühren, als uns zur allgemeinen Erkennung des </w:t>
      </w:r>
      <w:r w:rsidRPr="008725BE">
        <w:rPr>
          <w:rFonts w:ascii="Garamond" w:hAnsi="Garamond"/>
          <w:i/>
          <w:iCs/>
          <w:color w:val="000000"/>
          <w:lang w:val="en-GB"/>
        </w:rPr>
        <w:t>Ubw</w:t>
      </w:r>
      <w:r w:rsidRPr="008725BE">
        <w:rPr>
          <w:rFonts w:ascii="Garamond" w:hAnsi="Garamond"/>
          <w:color w:val="000000"/>
          <w:lang w:val="en-GB"/>
        </w:rPr>
        <w:t xml:space="preserve"> unerläßlich scheint, muß uns der Zweifel auftauchen, ob der hier Verdrängung genannte Vorgang überhaupt noch etwas mit der Verdrängung bei den Übertragungsneurosen gemein hat. Die Formel, die Verdrängung sei ein Vorgang zwischen dem System </w:t>
      </w:r>
      <w:r w:rsidRPr="008725BE">
        <w:rPr>
          <w:rFonts w:ascii="Garamond" w:hAnsi="Garamond"/>
          <w:i/>
          <w:iCs/>
          <w:color w:val="000000"/>
          <w:lang w:val="en-GB"/>
        </w:rPr>
        <w:t>Ubw</w:t>
      </w:r>
      <w:r w:rsidRPr="008725BE">
        <w:rPr>
          <w:rFonts w:ascii="Garamond" w:hAnsi="Garamond"/>
          <w:color w:val="000000"/>
          <w:lang w:val="en-GB"/>
        </w:rPr>
        <w:t xml:space="preserve"> und dem </w:t>
      </w:r>
      <w:r w:rsidRPr="008725BE">
        <w:rPr>
          <w:rFonts w:ascii="Garamond" w:hAnsi="Garamond"/>
          <w:i/>
          <w:iCs/>
          <w:color w:val="000000"/>
          <w:lang w:val="en-GB"/>
        </w:rPr>
        <w:t>Vbw</w:t>
      </w:r>
      <w:r w:rsidRPr="008725BE">
        <w:rPr>
          <w:rFonts w:ascii="Garamond" w:hAnsi="Garamond"/>
          <w:color w:val="000000"/>
          <w:lang w:val="en-GB"/>
        </w:rPr>
        <w:t xml:space="preserve"> (oder </w:t>
      </w:r>
      <w:r w:rsidRPr="008725BE">
        <w:rPr>
          <w:rFonts w:ascii="Garamond" w:hAnsi="Garamond"/>
          <w:i/>
          <w:iCs/>
          <w:color w:val="000000"/>
          <w:lang w:val="en-GB"/>
        </w:rPr>
        <w:t>Bw</w:t>
      </w:r>
      <w:r w:rsidRPr="008725BE">
        <w:rPr>
          <w:rFonts w:ascii="Garamond" w:hAnsi="Garamond"/>
          <w:color w:val="000000"/>
          <w:lang w:val="en-GB"/>
        </w:rPr>
        <w:t xml:space="preserve">) mit dem Erfolg der Fernhaltung vom Bewußtsein, bedarf jedenfalls einer Abänderung, um den Fall der Dementia praecox und anderer narzißtischer Affektionen miteinschließen zu können. Aber der Fluchtversuch des Ichs, der sich in der Abziehung der bewußten Besetzung äußert, bleibt immerhin als das Gemeinsame bestehen. Um wie </w:t>
      </w:r>
      <w:r w:rsidRPr="008725BE">
        <w:rPr>
          <w:rFonts w:ascii="Garamond" w:hAnsi="Garamond"/>
          <w:color w:val="000000"/>
          <w:lang w:val="en-GB"/>
        </w:rPr>
        <w:lastRenderedPageBreak/>
        <w:t>vieles gründlicher und tiefgreifender dieser Fluchtversuch, diese Flucht des Ichs bei den narzißtischen Neurosen ins Werk gesetzt wird, lehrt die oberflächlichste Überlegung.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diese Flucht bei der Schizophrenie in der Einziehung der Triebbesetzung von den Stellen besteht, welche die </w:t>
      </w:r>
      <w:r w:rsidRPr="008725BE">
        <w:rPr>
          <w:rFonts w:ascii="Garamond" w:hAnsi="Garamond"/>
          <w:i/>
          <w:iCs/>
          <w:color w:val="000000"/>
          <w:lang w:val="en-GB"/>
        </w:rPr>
        <w:t>unbewußte</w:t>
      </w:r>
      <w:r w:rsidRPr="008725BE">
        <w:rPr>
          <w:rFonts w:ascii="Garamond" w:hAnsi="Garamond"/>
          <w:color w:val="000000"/>
          <w:lang w:val="en-GB"/>
        </w:rPr>
        <w:t xml:space="preserve"> Objektvorstellung repräsentieren, so mag es befremdlich erscheinen, daß der dem System </w:t>
      </w:r>
      <w:r w:rsidRPr="008725BE">
        <w:rPr>
          <w:rFonts w:ascii="Garamond" w:hAnsi="Garamond"/>
          <w:i/>
          <w:iCs/>
          <w:color w:val="000000"/>
          <w:lang w:val="en-GB"/>
        </w:rPr>
        <w:t>Vbw</w:t>
      </w:r>
      <w:r w:rsidRPr="008725BE">
        <w:rPr>
          <w:rFonts w:ascii="Garamond" w:hAnsi="Garamond"/>
          <w:color w:val="000000"/>
          <w:lang w:val="en-GB"/>
        </w:rPr>
        <w:t xml:space="preserve"> angehörige Teil derselben Objektvorstellung –; die ihr entsprechenden Wortvorstellungen –; vielmehr eine intensivere Besetzung erfahren sollen. Man könnte eher erwarten, daß die Wortvorstellung als der vorbewußte Anteil den ersten Stoß der Verdrängung auszuhalten hat und daß sie ganz und gar unbesetzbar wird, nachdem sich die Verdrängung bis zu den unbewußten Sachvorstellungen fortgesetzt hat. Dies ist allerdings eine Schwierigkeit des Verständnisses. Es ergibt sich die Auskunft, daß die Besetzung der Wortvorstellung nicht zum Verdrängungsakt gehört, sondern den ersten der Herstellungs- oder Heilungsversuche darstellt, welche das klinische Bild der Schizophrenie so auffällig beherrschen. Diese Bemühungen wollen die verlorenen Objekte wiedergewinnen, und es mag wohl sein, daß sie in dieser Absicht den Weg zum Objekt über den Wortanteil desselben einschlagen, wobei sie sich aber dann mit den Worten an Stelle der Dinge begnügen müssen. Unsere seelische Tätigkeit bewegt sich ja ganz allgemein in zwei entgegengesetzten Verlaufsrichtungen, entweder von den Trieben her durch das System </w:t>
      </w:r>
      <w:r w:rsidRPr="008725BE">
        <w:rPr>
          <w:rFonts w:ascii="Garamond" w:hAnsi="Garamond"/>
          <w:i/>
          <w:iCs/>
          <w:color w:val="000000"/>
          <w:lang w:val="en-GB"/>
        </w:rPr>
        <w:t>Ubw</w:t>
      </w:r>
      <w:r w:rsidRPr="008725BE">
        <w:rPr>
          <w:rFonts w:ascii="Garamond" w:hAnsi="Garamond"/>
          <w:color w:val="000000"/>
          <w:lang w:val="en-GB"/>
        </w:rPr>
        <w:t xml:space="preserve"> zur bewußten Denkarbeit oder auf Anregung von außen durch das System des </w:t>
      </w:r>
      <w:r w:rsidRPr="008725BE">
        <w:rPr>
          <w:rFonts w:ascii="Garamond" w:hAnsi="Garamond"/>
          <w:i/>
          <w:iCs/>
          <w:color w:val="000000"/>
          <w:lang w:val="en-GB"/>
        </w:rPr>
        <w:t>Bw</w:t>
      </w:r>
      <w:r w:rsidRPr="008725BE">
        <w:rPr>
          <w:rFonts w:ascii="Garamond" w:hAnsi="Garamond"/>
          <w:color w:val="000000"/>
          <w:lang w:val="en-GB"/>
        </w:rPr>
        <w:t xml:space="preserve"> und </w:t>
      </w:r>
      <w:r w:rsidRPr="008725BE">
        <w:rPr>
          <w:rFonts w:ascii="Garamond" w:hAnsi="Garamond"/>
          <w:i/>
          <w:iCs/>
          <w:color w:val="000000"/>
          <w:lang w:val="en-GB"/>
        </w:rPr>
        <w:t>Vbw</w:t>
      </w:r>
      <w:r w:rsidRPr="008725BE">
        <w:rPr>
          <w:rFonts w:ascii="Garamond" w:hAnsi="Garamond"/>
          <w:color w:val="000000"/>
          <w:lang w:val="en-GB"/>
        </w:rPr>
        <w:t xml:space="preserve"> bis zu den </w:t>
      </w:r>
      <w:r w:rsidRPr="008725BE">
        <w:rPr>
          <w:rFonts w:ascii="Garamond" w:hAnsi="Garamond"/>
          <w:i/>
          <w:iCs/>
          <w:color w:val="000000"/>
          <w:lang w:val="en-GB"/>
        </w:rPr>
        <w:t>ubw</w:t>
      </w:r>
      <w:r w:rsidRPr="008725BE">
        <w:rPr>
          <w:rFonts w:ascii="Garamond" w:hAnsi="Garamond"/>
          <w:color w:val="000000"/>
          <w:lang w:val="en-GB"/>
        </w:rPr>
        <w:t xml:space="preserve"> Besetzungen des Ichs und der Objekte. Dieser zweite Weg muß trotz der vorgefallenen Verdrängung passierbar bleiben und steht den Bemühungen der Neurose, ihre Objekte wiederzugewinnen, ein Stück weit offen. Wenn wir abstrakt denken, sind wir in Gefahr, die Beziehungen der Worte zu den unbewußten Sachvorstellungen zu vernachlässigen, und es ist nicht zu leugnen, daß unser Philosophieren dann eine unerwünschte Ähnlichkeit in Ausdruck und Inhalt mit der Arbeitsweise der Schizophrenen gewinnt. Anderseits kann man von der Denkweise der Schizophrenen die Charakteristik versuchen, sie behandeln konkrete Dinge, als ob sie abstrakte wären.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wir wirklich das </w:t>
      </w:r>
      <w:r w:rsidRPr="008725BE">
        <w:rPr>
          <w:rFonts w:ascii="Garamond" w:hAnsi="Garamond"/>
          <w:i/>
          <w:iCs/>
          <w:color w:val="000000"/>
          <w:lang w:val="en-GB"/>
        </w:rPr>
        <w:t>Ubw</w:t>
      </w:r>
      <w:r w:rsidRPr="008725BE">
        <w:rPr>
          <w:rFonts w:ascii="Garamond" w:hAnsi="Garamond"/>
          <w:color w:val="000000"/>
          <w:lang w:val="en-GB"/>
        </w:rPr>
        <w:t xml:space="preserve"> agnosziert und den Unterschied einer unbewußten Vorstellung von einer vorbewußten richtig bestimmt haben, so werden unsere Untersuchungen von vielen anderen Stellen her zu dieser Einsicht zurückführen müssen.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Da</w:t>
        </w:r>
        <w:bookmarkStart w:id="145" w:name="KS10"/>
        <w:bookmarkEnd w:id="145"/>
        <w:r w:rsidRPr="008725BE">
          <w:rPr>
            <w:rStyle w:val="Lienhypertexte"/>
            <w:rFonts w:ascii="Garamond" w:hAnsi="Garamond" w:cs="Arial"/>
            <w:b/>
            <w:bCs/>
            <w:lang w:val="en-GB"/>
          </w:rPr>
          <w:t>s Unheimliche</w:t>
        </w:r>
      </w:hyperlink>
      <w:r w:rsidRPr="008725BE">
        <w:rPr>
          <w:rFonts w:ascii="Garamond" w:hAnsi="Garamond"/>
          <w:color w:val="000000"/>
          <w:lang w:val="en-GB"/>
        </w:rPr>
        <w:t xml:space="preserve">  </w:t>
      </w:r>
      <w:r w:rsidRPr="008725BE">
        <w:rPr>
          <w:rFonts w:ascii="Garamond" w:hAnsi="Garamond"/>
          <w:caps/>
          <w:color w:val="000000"/>
          <w:lang w:val="en-GB"/>
        </w:rPr>
        <w:t>(1919)</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Psychoanalytiker verspürt nur selten den Antrieb zu ästhetischen Untersuchungen, auch dann nicht, wenn man die Ästhetik nicht auf die Lehre vom Schönen einengt, sondern sie als Lehre von den Qualitäten unseres Fühlens beschreibt. Er arbeitet in anderen Schichten des Seelenlebens und hat mit den zielgehemmten, gedämpften, von so vielen begleitenden Konstellationen abhängigen Gefühlsregungen, die zumeist der Stoff der Ästhetik sind, wenig zu tun. Hie und da trifft es sich doch, daß er sich für ein bestimmtes Gebiet der Ästhetik interessieren muß, und dann ist dies gewöhnlich ein abseits liegendes, von der ästhetischen Fachliteratur vernachlässigtes.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Ein solches ist das »Unheimliche«. Kein Zweifel, daß es zum Schreckhaften, Angst- und Grauenerregenden gehört, und ebenso sicher ist es, daß dies Wort nicht immer in einem scharf zu bestimmenden Sinne gebraucht wird, so daß es eben meist mit dem Angsterregenden überhaupt zusammenfällt. </w:t>
      </w:r>
      <w:r w:rsidRPr="008725BE">
        <w:rPr>
          <w:rFonts w:ascii="Garamond" w:hAnsi="Garamond"/>
          <w:color w:val="000000"/>
          <w:lang w:val="en-GB"/>
        </w:rPr>
        <w:t>Aber man darf doch erwarten, daß ein besonderer Kern vorhanden ist, der die Verwendung eines besonderen Begriffswortes rechtfertigt. Man möchte wissen, was dieser gemeinsame Kern ist, der etwa gestattet, innerhalb des Ängstlichen ein »Unheimliches« zu unterscheiden.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Darüber findet man nun so viel wie nichts in den ausführlichen Darstellungen der Ästhetik, die sich überhaupt lieber mit den schönen, großartigen, anziehenden, also mit den positiven Gefühlsarten, ihren Bedingungen und den Gegenständen, die sie hervorrufen, als mit den gegensätzlichen, abstoßenden, peinlichen beschäftigen. Von Seiten der ärztlich-psychologischen Literatur kenne ich nur die eine, inhaltsreiche, aber nicht erschöpfende Abhandlung von E. Jentsch </w:t>
      </w:r>
      <w:hyperlink r:id="rId73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›Zur Psychologie des Unheimlichen‹ (1906).</w:t>
        </w:r>
      </w:hyperlink>
      <w:r w:rsidRPr="008725BE">
        <w:rPr>
          <w:rFonts w:ascii="Garamond" w:hAnsi="Garamond"/>
          <w:color w:val="000000"/>
          <w:lang w:val="en-GB"/>
        </w:rPr>
        <w:t>. Allerdings muß ich gestehen, daß aus leicht zu erratenden, in der Zeit liegenden Gründen die Literatur zu diesem kleinen Beitrag, insbesondere die fremdsprachige, nicht gründlich herausgesucht wurde, weshalb er denn auch ohne jeden Anspruch auf Priorität vor den Leser tritt. Als Schwierigkeit beim Studium des Unheimlichen betont Jentsch mit vollem Recht, daß die Empfindlichkeit für diese Gefühlsqualität bei verschiedenen Menschen so sehr verschieden angetroffen wird. Ja, der Autor dieser neuen Unternehmung muß sich einer besonderen Stumpfheit in dieser Sache anklagen, wo große Feinfühligkeit eher am Platze wäre. Er hat schon lange nichts erlebt oder kennengelernt, was ihm den Eindruck des Unheimlichen gemacht hätte, muß sich erst in das Gefühl hineinversetzen, die Möglichkeit desselben in sich wachrufen. Indes sind Schwierigkeiten dieser Art auch auf vielen anderen Gebieten der Ästhetik mächtig; man braucht darum die Erwartung nicht aufzugeben, daß sich die Fälle werden herausheben lassen, in denen der fragliche Charakter von den meisten widerspruchslos anerkannt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kann nun zwei Wege einschlagen: nachsuchen, welche Bedeutung die Sprachentwicklung in dem Worte »unheimlich« niedergelegt hat, oder zusammentragen, was an Personen und Dingen, Sinneseindrücken, Erlebnissen und Situationen das Gefühl des Unheimlichen in uns wachruft, und den verhüllten Charakter des Unheimlichen aus einem allen Fällen Gemeinsamen erschließen. Ich will gleich verraten, daß beide Wege zum nämlichen Ergebnis führen, das Unheimliche sei jene Art des Schreckhaften, welche auf das Altbekannte, Längstvertraute zurückgeht. Wie das möglich ist, unter welchen Bedingungen das Vertraute unheimlich, schreckhaft werden kann, das wird aus dem Weiteren ersichtlich werden. Ich bemerke noch, daß diese Untersuchung in Wirklichkeit den Weg über eine Sammlung von Einzelfällen genommen und erst später die Bestätigung durch die Aussage des Sprachgebrauches gefunden hat. In dieser Darstellung werde ich aber den umgekehrten Weg gehen.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deutsche Wort »unheimlich« ist offenbar der Gegensatz zu heimlich, heimisch, vertraut, und der Schluß liegt nahe, es sei etwas eben darum schreckhaft, weil es </w:t>
      </w:r>
      <w:r w:rsidRPr="008725BE">
        <w:rPr>
          <w:rFonts w:ascii="Garamond" w:hAnsi="Garamond"/>
          <w:i/>
          <w:iCs/>
          <w:color w:val="000000"/>
          <w:lang w:val="en-GB"/>
        </w:rPr>
        <w:t>nicht</w:t>
      </w:r>
      <w:r w:rsidRPr="008725BE">
        <w:rPr>
          <w:rFonts w:ascii="Garamond" w:hAnsi="Garamond"/>
          <w:color w:val="000000"/>
          <w:lang w:val="en-GB"/>
        </w:rPr>
        <w:t xml:space="preserve"> bekannt und vertraut ist. Natürlich ist aber nicht alles schreckhaft, was neu und nicht vertraut ist; die Beziehung ist </w:t>
      </w:r>
      <w:r w:rsidRPr="008725BE">
        <w:rPr>
          <w:rFonts w:ascii="Garamond" w:hAnsi="Garamond"/>
          <w:i/>
          <w:iCs/>
          <w:color w:val="000000"/>
          <w:lang w:val="en-GB"/>
        </w:rPr>
        <w:t>nicht</w:t>
      </w:r>
      <w:r w:rsidRPr="008725BE">
        <w:rPr>
          <w:rFonts w:ascii="Garamond" w:hAnsi="Garamond"/>
          <w:color w:val="000000"/>
          <w:lang w:val="en-GB"/>
        </w:rPr>
        <w:t xml:space="preserve"> umkehrbar. Man kann nur sagen, was neuartig ist, wird leicht schreckhaft und unheimlich; einiges Neuartige ist schreckhaft, durchaus nicht alles. Zum Neuen und Nichtvertrauten muß erst etwas hinzukommen, was es zum Unheimlichen macht.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Jentsch ist im ganzen bei dieser Beziehung des Unheimlichen zum Neuartigen, Nichtvertrauten, stehengeblieben. Er findet die wesentliche Bedingung für das Zustandekommen des unheimlichen Gefühls in der intellektuellen Unsicherheit. Das Unheimliche wäre eigentlich immer etwas, worin man sich sozusagen nicht auskennt. Je besser ein Mensch in der Umwelt orientiert ist, desto weniger leicht wird er von den Dingen oder Vorfällen in ihr den Eindruck der Unheimlichkeit empfangen.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haben es leicht zu urteilen, daß diese Kennzeichnung nicht erschöpfend ist, und versuchen darum, über die Gleichung unheimlich = nicht vertraut hinauszugehen. Wir wenden uns zunächst an andere </w:t>
      </w:r>
      <w:r w:rsidRPr="008725BE">
        <w:rPr>
          <w:rFonts w:ascii="Garamond" w:hAnsi="Garamond"/>
          <w:color w:val="000000"/>
          <w:lang w:val="en-GB"/>
        </w:rPr>
        <w:lastRenderedPageBreak/>
        <w:t xml:space="preserve">Sprachen. Aber die Wörterbücher, in denen wir nachschlagen, sagen uns nichts Neues, vielleicht nur darum nicht, weil wir selbst Fremdsprachige sind. Ja, wir gewinnen den Eindruck, daß vielen Sprachen ein Wort für diese besondere Nuance des Schreckhaften abgeht </w:t>
      </w:r>
      <w:hyperlink r:id="rId73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Für die nachstehenden Auszüge bin ich Herrn Dr. Th. Reik zu Dank verpflichtet.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Style w:val="smallcaps"/>
          <w:rFonts w:ascii="Garamond" w:hAnsi="Garamond" w:cs="Arial"/>
          <w:color w:val="000000"/>
          <w:lang w:val="en-GB"/>
        </w:rPr>
        <w:t>Lateinisch</w:t>
      </w:r>
      <w:r w:rsidRPr="008725BE">
        <w:rPr>
          <w:rFonts w:ascii="Garamond" w:hAnsi="Garamond"/>
          <w:color w:val="000000"/>
          <w:lang w:val="en-GB"/>
        </w:rPr>
        <w:t xml:space="preserve"> (nach K. E. Georges, </w:t>
      </w:r>
      <w:r w:rsidRPr="008725BE">
        <w:rPr>
          <w:rFonts w:ascii="Garamond" w:hAnsi="Garamond"/>
          <w:i/>
          <w:iCs/>
          <w:color w:val="000000"/>
          <w:lang w:val="en-GB"/>
        </w:rPr>
        <w:t>Kl. Deutschlatein. Wörterbuch</w:t>
      </w:r>
      <w:r w:rsidRPr="008725BE">
        <w:rPr>
          <w:rFonts w:ascii="Garamond" w:hAnsi="Garamond"/>
          <w:color w:val="000000"/>
          <w:lang w:val="en-GB"/>
        </w:rPr>
        <w:t xml:space="preserve"> 1898): ein unheimlicher Ort –; </w:t>
      </w:r>
      <w:r w:rsidRPr="008725BE">
        <w:rPr>
          <w:rFonts w:ascii="Garamond" w:hAnsi="Garamond"/>
          <w:i/>
          <w:iCs/>
          <w:color w:val="000000"/>
          <w:lang w:val="en-GB"/>
        </w:rPr>
        <w:t>locus suspectus</w:t>
      </w:r>
      <w:r w:rsidRPr="008725BE">
        <w:rPr>
          <w:rFonts w:ascii="Garamond" w:hAnsi="Garamond"/>
          <w:color w:val="000000"/>
          <w:lang w:val="en-GB"/>
        </w:rPr>
        <w:t xml:space="preserve">; in unheimlicher Nachtzeit –; </w:t>
      </w:r>
      <w:r w:rsidRPr="008725BE">
        <w:rPr>
          <w:rFonts w:ascii="Garamond" w:hAnsi="Garamond"/>
          <w:i/>
          <w:iCs/>
          <w:color w:val="000000"/>
          <w:lang w:val="en-GB"/>
        </w:rPr>
        <w:t>intempesta nocte</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Style w:val="smallcaps"/>
          <w:rFonts w:ascii="Garamond" w:hAnsi="Garamond" w:cs="Arial"/>
          <w:color w:val="000000"/>
          <w:lang w:val="en-GB"/>
        </w:rPr>
        <w:t>Griechisch</w:t>
      </w:r>
      <w:r w:rsidRPr="008725BE">
        <w:rPr>
          <w:rFonts w:ascii="Garamond" w:hAnsi="Garamond"/>
          <w:color w:val="000000"/>
          <w:lang w:val="en-GB"/>
        </w:rPr>
        <w:t xml:space="preserve"> (Wörterbücher von Rost und von Schenkl): </w:t>
      </w:r>
      <w:r w:rsidRPr="008725BE">
        <w:rPr>
          <w:rFonts w:ascii="Garamond" w:hAnsi="Garamond"/>
          <w:color w:val="000000"/>
        </w:rPr>
        <w:t>ξένος</w:t>
      </w:r>
      <w:r w:rsidRPr="008725BE">
        <w:rPr>
          <w:rFonts w:ascii="Garamond" w:hAnsi="Garamond"/>
          <w:color w:val="000000"/>
          <w:lang w:val="en-GB"/>
        </w:rPr>
        <w:t>; –; also fremd, fremdartig.</w:t>
      </w:r>
    </w:p>
    <w:p w:rsidR="008725BE" w:rsidRPr="008725BE" w:rsidRDefault="008725BE" w:rsidP="008725BE">
      <w:pPr>
        <w:pStyle w:val="Sansinterligne"/>
        <w:rPr>
          <w:rFonts w:ascii="Garamond" w:hAnsi="Garamond"/>
          <w:color w:val="000000"/>
          <w:lang w:val="en-GB"/>
        </w:rPr>
      </w:pPr>
      <w:r w:rsidRPr="008725BE">
        <w:rPr>
          <w:rStyle w:val="smallcaps"/>
          <w:rFonts w:ascii="Garamond" w:hAnsi="Garamond" w:cs="Arial"/>
          <w:color w:val="000000"/>
          <w:lang w:val="en-GB"/>
        </w:rPr>
        <w:t>Englisch</w:t>
      </w:r>
      <w:r w:rsidRPr="008725BE">
        <w:rPr>
          <w:rFonts w:ascii="Garamond" w:hAnsi="Garamond"/>
          <w:color w:val="000000"/>
          <w:lang w:val="en-GB"/>
        </w:rPr>
        <w:t xml:space="preserve"> (aus den Wörterbüchern von Lucas, Bellows, Flügel, Muret-Sanders): </w:t>
      </w:r>
      <w:r w:rsidRPr="008725BE">
        <w:rPr>
          <w:rFonts w:ascii="Garamond" w:hAnsi="Garamond"/>
          <w:i/>
          <w:iCs/>
          <w:color w:val="000000"/>
          <w:lang w:val="en-GB"/>
        </w:rPr>
        <w:t>uncomfortable, uneasy, gloomy, dismal, uncanny, ghastly</w:t>
      </w:r>
      <w:r w:rsidRPr="008725BE">
        <w:rPr>
          <w:rFonts w:ascii="Garamond" w:hAnsi="Garamond"/>
          <w:color w:val="000000"/>
          <w:lang w:val="en-GB"/>
        </w:rPr>
        <w:t xml:space="preserve">, von einem Hause: </w:t>
      </w:r>
      <w:r w:rsidRPr="008725BE">
        <w:rPr>
          <w:rFonts w:ascii="Garamond" w:hAnsi="Garamond"/>
          <w:i/>
          <w:iCs/>
          <w:color w:val="000000"/>
          <w:lang w:val="en-GB"/>
        </w:rPr>
        <w:t>haunted</w:t>
      </w:r>
      <w:r w:rsidRPr="008725BE">
        <w:rPr>
          <w:rFonts w:ascii="Garamond" w:hAnsi="Garamond"/>
          <w:color w:val="000000"/>
          <w:lang w:val="en-GB"/>
        </w:rPr>
        <w:t xml:space="preserve">, von einem Menschen: </w:t>
      </w:r>
      <w:r w:rsidRPr="008725BE">
        <w:rPr>
          <w:rFonts w:ascii="Garamond" w:hAnsi="Garamond"/>
          <w:i/>
          <w:iCs/>
          <w:color w:val="000000"/>
          <w:lang w:val="en-GB"/>
        </w:rPr>
        <w:t>a repulsive fellow</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rPr>
      </w:pPr>
      <w:r w:rsidRPr="008725BE">
        <w:rPr>
          <w:rStyle w:val="smallcaps"/>
          <w:rFonts w:ascii="Garamond" w:hAnsi="Garamond" w:cs="Arial"/>
          <w:color w:val="000000"/>
        </w:rPr>
        <w:t>Französisch</w:t>
      </w:r>
      <w:r w:rsidRPr="008725BE">
        <w:rPr>
          <w:rFonts w:ascii="Garamond" w:hAnsi="Garamond"/>
          <w:color w:val="000000"/>
        </w:rPr>
        <w:t xml:space="preserve"> (Sachs-Villatte): </w:t>
      </w:r>
      <w:r w:rsidRPr="008725BE">
        <w:rPr>
          <w:rFonts w:ascii="Garamond" w:hAnsi="Garamond"/>
          <w:i/>
          <w:iCs/>
          <w:color w:val="000000"/>
        </w:rPr>
        <w:t>inquiétant, sinistre, lugubre, mal à son aise</w:t>
      </w:r>
      <w:r w:rsidRPr="008725BE">
        <w:rPr>
          <w:rFonts w:ascii="Garamond" w:hAnsi="Garamond"/>
          <w:color w:val="000000"/>
        </w:rPr>
        <w:t>.</w:t>
      </w:r>
    </w:p>
    <w:p w:rsidR="008725BE" w:rsidRPr="008725BE" w:rsidRDefault="008725BE" w:rsidP="008725BE">
      <w:pPr>
        <w:pStyle w:val="Sansinterligne"/>
        <w:rPr>
          <w:rFonts w:ascii="Garamond" w:hAnsi="Garamond"/>
          <w:color w:val="000000"/>
        </w:rPr>
      </w:pPr>
      <w:r w:rsidRPr="008725BE">
        <w:rPr>
          <w:rStyle w:val="smallcaps"/>
          <w:rFonts w:ascii="Garamond" w:hAnsi="Garamond" w:cs="Arial"/>
          <w:color w:val="000000"/>
        </w:rPr>
        <w:t>Spanisch</w:t>
      </w:r>
      <w:r w:rsidRPr="008725BE">
        <w:rPr>
          <w:rFonts w:ascii="Garamond" w:hAnsi="Garamond"/>
          <w:color w:val="000000"/>
        </w:rPr>
        <w:t xml:space="preserve"> (Tollhausen 1889): </w:t>
      </w:r>
      <w:r w:rsidRPr="008725BE">
        <w:rPr>
          <w:rFonts w:ascii="Garamond" w:hAnsi="Garamond"/>
          <w:i/>
          <w:iCs/>
          <w:color w:val="000000"/>
        </w:rPr>
        <w:t>sospechoso, de mal aguëro, lúgubre, siniestro</w:t>
      </w:r>
      <w:r w:rsidRPr="008725BE">
        <w:rPr>
          <w:rFonts w:ascii="Garamond" w:hAnsi="Garamond"/>
          <w:color w:val="000000"/>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Das Italienische und Portugiesische scheinen sich mit Worten zu begnügen, die wir als Umschreibungen bezeichnen würden. </w:t>
      </w:r>
      <w:r w:rsidRPr="008725BE">
        <w:rPr>
          <w:rFonts w:ascii="Garamond" w:hAnsi="Garamond"/>
          <w:color w:val="000000"/>
          <w:lang w:val="en-GB"/>
        </w:rPr>
        <w:t>Im Arabischen und Hebräischen fällt unheimlich mit dämonisch, schaurig zusammen.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Kehren wir darum zur deutschen Sprache zurück.</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Daniel Sanders' </w:t>
      </w:r>
      <w:r w:rsidRPr="008725BE">
        <w:rPr>
          <w:rFonts w:ascii="Garamond" w:hAnsi="Garamond"/>
          <w:i/>
          <w:iCs/>
          <w:color w:val="000000"/>
          <w:lang w:val="en-GB"/>
        </w:rPr>
        <w:t>Wörterbuch der Deutschen Sprache</w:t>
      </w:r>
      <w:r w:rsidRPr="008725BE">
        <w:rPr>
          <w:rFonts w:ascii="Garamond" w:hAnsi="Garamond"/>
          <w:color w:val="000000"/>
          <w:lang w:val="en-GB"/>
        </w:rPr>
        <w:t xml:space="preserve"> 1860 finden sich folgende Angaben zum Worte </w:t>
      </w:r>
      <w:r w:rsidRPr="008725BE">
        <w:rPr>
          <w:rFonts w:ascii="Garamond" w:hAnsi="Garamond"/>
          <w:i/>
          <w:iCs/>
          <w:color w:val="000000"/>
          <w:lang w:val="en-GB"/>
        </w:rPr>
        <w:t>heimlich</w:t>
      </w:r>
      <w:r w:rsidRPr="008725BE">
        <w:rPr>
          <w:rFonts w:ascii="Garamond" w:hAnsi="Garamond"/>
          <w:color w:val="000000"/>
          <w:lang w:val="en-GB"/>
        </w:rPr>
        <w:t>, die ich hier ungekürzt abschreiben und aus denen ich die eine und die andere Stelle durch Unterstreichung hervorheben will (Bd. 1, S. 729):</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Heimlich, a. (-keit, f. -en): 1. auch Heimelich, heimelig, zum Hause gehörig, nicht fremd, vertraut, zahm, traut und traulich, anheimelnd etc. ( </w:t>
      </w:r>
      <w:r w:rsidRPr="008725BE">
        <w:rPr>
          <w:rFonts w:ascii="Garamond" w:hAnsi="Garamond"/>
          <w:i/>
          <w:iCs/>
          <w:color w:val="000000"/>
          <w:lang w:val="en-GB"/>
        </w:rPr>
        <w:t>a</w:t>
      </w:r>
      <w:r w:rsidRPr="008725BE">
        <w:rPr>
          <w:rFonts w:ascii="Garamond" w:hAnsi="Garamond"/>
          <w:color w:val="000000"/>
          <w:lang w:val="en-GB"/>
        </w:rPr>
        <w:t xml:space="preserve">) (veralt.) zum Haus, zur Familie gehörig oder: wie dazu gehörig betrachtet, vgl. lat. familiaris, vertraut: Die Heimlichen, die Hausgenossen; Der heimliche Rath. 1. Mos. 41, 45; 2. Sam. 23, 23. 1 Chr. 12, 25. Weish. 8, 4., wofür jetzt: Geheimer (s.  </w:t>
      </w:r>
      <w:r w:rsidRPr="008725BE">
        <w:rPr>
          <w:rFonts w:ascii="Garamond" w:hAnsi="Garamond"/>
          <w:i/>
          <w:iCs/>
          <w:color w:val="000000"/>
          <w:lang w:val="en-GB"/>
        </w:rPr>
        <w:t>d</w:t>
      </w:r>
      <w:r w:rsidRPr="008725BE">
        <w:rPr>
          <w:rFonts w:ascii="Garamond" w:hAnsi="Garamond"/>
          <w:color w:val="000000"/>
          <w:lang w:val="en-GB"/>
        </w:rPr>
        <w:t xml:space="preserve">  1.) Rath üblich ist, s. Heimlicher –; ( </w:t>
      </w:r>
      <w:r w:rsidRPr="008725BE">
        <w:rPr>
          <w:rFonts w:ascii="Garamond" w:hAnsi="Garamond"/>
          <w:i/>
          <w:iCs/>
          <w:color w:val="000000"/>
          <w:lang w:val="en-GB"/>
        </w:rPr>
        <w:t>b</w:t>
      </w:r>
      <w:r w:rsidRPr="008725BE">
        <w:rPr>
          <w:rFonts w:ascii="Garamond" w:hAnsi="Garamond"/>
          <w:color w:val="000000"/>
          <w:lang w:val="en-GB"/>
        </w:rPr>
        <w:t xml:space="preserve">) von Thieren zahm, sich den Menschen traulich anschließend. Ggstz. wild, z. B.: Thier, die weder wild noch heimlich sind, etc. Eppendorf. 88; Wilde Thier . . . so man sie h. und gewohnsam um die Leute aufzeucht. 92. So diese Thierle von Jugend bei den Menschen erzogen, werden sie ganz h., freundlich etc., Stumpf </w:t>
      </w:r>
      <w:smartTag w:uri="urn:schemas-microsoft-com:office:smarttags" w:element="metricconverter">
        <w:smartTagPr>
          <w:attr w:name="ProductID" w:val="608 a"/>
        </w:smartTagPr>
        <w:r w:rsidRPr="008725BE">
          <w:rPr>
            <w:rFonts w:ascii="Garamond" w:hAnsi="Garamond"/>
            <w:color w:val="000000"/>
            <w:lang w:val="en-GB"/>
          </w:rPr>
          <w:t>608 a</w:t>
        </w:r>
      </w:smartTag>
      <w:r w:rsidRPr="008725BE">
        <w:rPr>
          <w:rFonts w:ascii="Garamond" w:hAnsi="Garamond"/>
          <w:color w:val="000000"/>
          <w:lang w:val="en-GB"/>
        </w:rPr>
        <w:t xml:space="preserve"> etc. –; So noch: So h. ist's (das Lamm) und frißt aus meiner Hand. Hölty; Ein schöner, heimelicher (s.  </w:t>
      </w:r>
      <w:r w:rsidRPr="008725BE">
        <w:rPr>
          <w:rFonts w:ascii="Garamond" w:hAnsi="Garamond"/>
          <w:i/>
          <w:iCs/>
          <w:color w:val="000000"/>
          <w:lang w:val="en-GB"/>
        </w:rPr>
        <w:t>c</w:t>
      </w:r>
      <w:r w:rsidRPr="008725BE">
        <w:rPr>
          <w:rFonts w:ascii="Garamond" w:hAnsi="Garamond"/>
          <w:color w:val="000000"/>
          <w:lang w:val="en-GB"/>
        </w:rPr>
        <w:t xml:space="preserve">) Vogel bleibt der Storch immerhin. Linck, Schi. 146. s. Häuslich 1. etc. –; ( </w:t>
      </w:r>
      <w:r w:rsidRPr="008725BE">
        <w:rPr>
          <w:rFonts w:ascii="Garamond" w:hAnsi="Garamond"/>
          <w:i/>
          <w:iCs/>
          <w:color w:val="000000"/>
          <w:lang w:val="en-GB"/>
        </w:rPr>
        <w:t>c</w:t>
      </w:r>
      <w:r w:rsidRPr="008725BE">
        <w:rPr>
          <w:rFonts w:ascii="Garamond" w:hAnsi="Garamond"/>
          <w:color w:val="000000"/>
          <w:lang w:val="en-GB"/>
        </w:rPr>
        <w:t xml:space="preserve">) traut, traulich anheimelnd; das Wohlgefühl stiller Befriedigung etc., behaglicher Ruhe u. sichern Schutzes, wie das umschlossne, wohnliche Haus erregend (vgl. Geheuer): Ist dir's h. noch im Lande, wo die Fremden deine Wälder roden? Alexis H. 1, 1, 289; Es war ihr nicht allzu h. bei ihm. Brentano Wehm. 92; Auf einem hohen h-en Schattenpfade . . ., längs dem rieselnden rauschenden und plätschernden Waldbach. Forster B. 1, 417. Die H-keit der Heimath zerstören. Gervinus Lit. 5, 375. So vertraulich und h. habe ich nicht leicht ein Plätzchen gefunden. G[oethe], 14, 14; Wir dachten es uns so bequem, so artig, so gemüthlich und h. 15, 9; In stiller H-keit, umzielt von engen Schranken. Haller; Einer sorglichen Hausfrau, die mit dem Wenigsten eine vergnügliche H-keit (Häuslichkeit) zu schaffen versteht. Hartmann Unst. 1, 188; Desto h-er kam ihm jetzt der ihm erst kurz noch so fremde Mann vor. Kerner 540; Die protestantischen Besitzer fühlen sich . . . nicht h. unter ihren katholischen Unterthanen. Kohl. Irl. 1, 172; Wenns h. wird und leise / die Abendstille nur an deiner Zelle lauscht. Tiedge 2, 39; Still und lieb und h., als sie sich / zum Ruhen einen Platz nur wünschen möchten. W[ieland], 11, 144; Es war ihm garnicht h. dabei 27. 170, etc. –; Auch: Der Platz war so still, so einsam, so schatten-h. Scherr Pilg. 1, 170; Die ab- und zuströmenden Fluthwellen, träumend und wiegenlied-h. Körner, Sch. 3, 320, etc. –; Vgl. namentl. Un-h. –; Namentl. bei schwäb., schwzr. Schriftst. oft dreisilbig: Wie 'heimelich' war es dann Ivo Abends wieder, als er zu Hause lag. Auerbach, D. 1, 249; In dem Haus ist mir's so heimelig gewesen. 4. 307; Die warme Stube, der heimelige Nachmittag. Gotthelf, Sch. 127, 148; Das ist das wahre Heimelig, wenn der Mensch so von Herzen fühlt, wie wenig er ist, wie groß der Herr ist. 147; Wurde man nach und nach recht gemüthlich und heimelig mit einander. U. 1, 297; Die trauliche Heimeligkeit. 380, 2, 86; Heimelicher wird es mir wohl nirgends werden als hier. 327; Pestalozzi 4, 240; Was von ferne herkommt . . . lebt gw. nicht ganz heimelig (heimatlich, freundnachbarlich) mit den Leuten. 325; Die Hütte, wo / er sonst so heimelig, so froh / . . . im Kreis der Seinen oft gesessen. Reithard 20; Da klingt das Horn des Wächters so heimelig vom Thurm / da ladet seine Stimme so gastlich. 49; Es schläft sich da so lind und warm / so wunderheim'lig ein. 23, etc. –; </w:t>
      </w:r>
      <w:r w:rsidRPr="008725BE">
        <w:rPr>
          <w:rStyle w:val="wide2"/>
          <w:rFonts w:ascii="Garamond" w:hAnsi="Garamond" w:cs="Arial"/>
          <w:color w:val="000000"/>
          <w:lang w:val="en-GB"/>
        </w:rPr>
        <w:t xml:space="preserve">Diese Weise verdiente allgemein zu werden, um das gute Wort vor dem Veralten wegen nahe liegender Verwechslung mit 2 zu bewahren, vgl.: 'Die Zecks sind alle h. (2)' H.? . . Was verstehen sie unter h.? . . –; 'Nun . . . es kommt mir mit ihnen vor, wie mit einem zugegrabenen Brunnen oder einem ausgetrockneten Teich. Man kann nicht darüber gehen, ohne daß es Einem immer ist, als könnte da wieder einmal </w:t>
      </w:r>
      <w:r w:rsidRPr="008725BE">
        <w:rPr>
          <w:rStyle w:val="wide2"/>
          <w:rFonts w:ascii="Garamond" w:hAnsi="Garamond" w:cs="Arial"/>
          <w:color w:val="000000"/>
          <w:lang w:val="en-GB"/>
        </w:rPr>
        <w:lastRenderedPageBreak/>
        <w:t xml:space="preserve">Wasser zum Vorschein kommen.' </w:t>
      </w:r>
      <w:r w:rsidRPr="008725BE">
        <w:rPr>
          <w:rStyle w:val="wide2"/>
          <w:rFonts w:ascii="Garamond" w:hAnsi="Garamond" w:cs="Arial"/>
          <w:color w:val="000000"/>
        </w:rPr>
        <w:t>Wir nennen das un-h.; Sie nennen's h. Worin finden Sie denn, daß diese Familie etwas Verstecktes und Unzuverlässiges hat?</w:t>
      </w:r>
      <w:r w:rsidRPr="008725BE">
        <w:rPr>
          <w:rFonts w:ascii="Garamond" w:hAnsi="Garamond"/>
          <w:color w:val="000000"/>
        </w:rPr>
        <w:t xml:space="preserve"> etc. </w:t>
      </w:r>
      <w:r w:rsidRPr="008725BE">
        <w:rPr>
          <w:rFonts w:ascii="Garamond" w:hAnsi="Garamond"/>
          <w:color w:val="000000"/>
          <w:lang w:val="en-GB"/>
        </w:rPr>
        <w:t xml:space="preserve">Gutzkow R. 2, 61 </w:t>
      </w:r>
      <w:hyperlink r:id="rId73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Sperrdruck (auch im folgenden) vom Referenten.</w:t>
        </w:r>
      </w:hyperlink>
      <w:r w:rsidRPr="008725BE">
        <w:rPr>
          <w:rFonts w:ascii="Garamond" w:hAnsi="Garamond"/>
          <w:color w:val="000000"/>
          <w:lang w:val="en-GB"/>
        </w:rPr>
        <w:t xml:space="preserve">. –; ( </w:t>
      </w:r>
      <w:r w:rsidRPr="008725BE">
        <w:rPr>
          <w:rFonts w:ascii="Garamond" w:hAnsi="Garamond"/>
          <w:i/>
          <w:iCs/>
          <w:color w:val="000000"/>
          <w:lang w:val="en-GB"/>
        </w:rPr>
        <w:t>d</w:t>
      </w:r>
      <w:r w:rsidRPr="008725BE">
        <w:rPr>
          <w:rFonts w:ascii="Garamond" w:hAnsi="Garamond"/>
          <w:color w:val="000000"/>
          <w:lang w:val="en-GB"/>
        </w:rPr>
        <w:t xml:space="preserve">) (s. </w:t>
      </w:r>
      <w:r w:rsidRPr="008725BE">
        <w:rPr>
          <w:rFonts w:ascii="Garamond" w:hAnsi="Garamond"/>
          <w:i/>
          <w:iCs/>
          <w:color w:val="000000"/>
          <w:lang w:val="en-GB"/>
        </w:rPr>
        <w:t>c</w:t>
      </w:r>
      <w:r w:rsidRPr="008725BE">
        <w:rPr>
          <w:rFonts w:ascii="Garamond" w:hAnsi="Garamond"/>
          <w:color w:val="000000"/>
          <w:lang w:val="en-GB"/>
        </w:rPr>
        <w:t>) namentl. schles.: fröhlich, heiter, auch vom Wetter, s. Adelung und Weinhold.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2. versteckt, verborgen gehalten, so daß man Andre nicht davon oder darum wissen lassen, es ihnen verbergen will, vgl. Geheim ( 2.), von welchem erst nhd. Ew. es doch zumal in der älteren Sprache, z. B. in der Bibel, wie Hiob 11, 6; 15, 8; Weish. 2, 22; 1. Kor. 2, 7 etc., und so auch H-keit statt Geheimnis. Matth. 13, 35 etc., nicht immer genau geschieden wird: H. (hinter Jemandes Rücken) Etwas thun, treiben; Sich h. davon schleichen; H-e Zusammenkünfte, Verabredungen; Mit h-er Schadenfreude zusehen; H. seufzen, weinen; H. thun, als ob man etwas zu verbergen hätte; H-e Liebschaft, Liebe, Sünde; H-e Orte (die der Wohlstand zu verhüllen gebietet). 1. Sam. 5, 6; Das h-e Gemach (Abtritt). 2. Kön. 10, 27; W[ieland], 5, 256 etc., auch: Der h-e Stuhl. Zinkgräf 1, 249; In Graben, in H-keiten werfen. 3, 75; Rollenhagen Fr. 83 etc. –; Führte h. vor Laomedon / die Stuten vor. B[ürger], 161 b etc. –; Ebenso versteckt, h., hinterlistig und boshaft gegen grausame Herren . . . wie offen, frei, theilnehmend und dienstwillig gegen den leidenden Freund. </w:t>
      </w:r>
      <w:r w:rsidRPr="008725BE">
        <w:rPr>
          <w:rFonts w:ascii="Garamond" w:hAnsi="Garamond"/>
          <w:color w:val="000000"/>
        </w:rPr>
        <w:t xml:space="preserve">Burmeister gB 2, 157; Du sollst mein h. Heiligstes noch wissen. Chamisso 4, 56; Die h-e Kunst (der Zauberei). 3, 224; Wo die öffentliche Ventilation aufhören muß, fängt die h-e Machination an. Forster, Br. 2, 135; Freiheit ist die leise Parole h. Verschworener, das laute Feldgeschrei der öffentlich Umwälzenden. </w:t>
      </w:r>
      <w:r w:rsidRPr="008725BE">
        <w:rPr>
          <w:rFonts w:ascii="Garamond" w:hAnsi="Garamond"/>
          <w:color w:val="000000"/>
          <w:lang w:val="en-GB"/>
        </w:rPr>
        <w:t>G[oethe], 4, 222; Ein heilig, h. Wirken. 15; Ich habe Wurzeln / die sind gar h., / im tiefen Boden / bin ich gegründet. 2, 109; Meine h-e Tücke (vgl. Heimtücke). 30, 344; Empfängt er es nicht offenbar und gewissenhaft, so mag er es h. und gewissenlos ergreifen. 39, 33; Ließ h. und geheimnisvoll achromatische Fernröhre zusammensetzen. 375; Von nun an, will ich, sei nichts H-es / mehr unter uns. Sch[iller], 369 b. –; Jemandes H-keiten entdecken, offenbaren, verrathen; H-keiten hinter meinem Rücken zu brauen. Alexis. H. 2, 3, 168; Zu meiner Zeit / befliß man sich der H-keit. Hagedorn 3, 92; Die H-keit und das Gepuschele unter der Hand. Immermann, M. 3, 289; Der H-keit (des verborgnen Golds) unmächtigen Bann / kann nur die Hand der Einsicht lösen. Novalis. 1, 69; / Sag' an, wo du sie . . . verbirgst, in welches Ortes verschwiegener H. Sch[iller], 495 b; Ihr Bienen, die ihr knetet / der H-keiten Schloß (Wachs zum Siegeln). Tieck, Cymb. 3, 2; Erfahren in seltnen H-keiten (Zauberkünsten). Schlegel Sh. 6, 102 etc., vgl. Geheimnis L[essing], 10: 291 ff.</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Zsstzg. s. 1</w:t>
      </w:r>
      <w:r w:rsidRPr="008725BE">
        <w:rPr>
          <w:rFonts w:ascii="Garamond" w:hAnsi="Garamond"/>
          <w:i/>
          <w:iCs/>
          <w:color w:val="000000"/>
        </w:rPr>
        <w:t>c</w:t>
      </w:r>
      <w:r w:rsidRPr="008725BE">
        <w:rPr>
          <w:rFonts w:ascii="Garamond" w:hAnsi="Garamond"/>
          <w:color w:val="000000"/>
        </w:rPr>
        <w:t xml:space="preserve">, so auch nam. der Ggstz.: Un-: unbehagliches, banges Grauen erregend: Der schier ihm un-h., gespenstisch erschien. Chamisso 3, 238; Der Nacht un-h., bange Stunden. 4, 148; Mir war schon lang' un-h., ja graulich zu Muthe. 242; Nun fängts mir an, un-h. zu werden. </w:t>
      </w:r>
      <w:r w:rsidRPr="008725BE">
        <w:rPr>
          <w:rFonts w:ascii="Garamond" w:hAnsi="Garamond"/>
          <w:color w:val="000000"/>
          <w:lang w:val="en-GB"/>
        </w:rPr>
        <w:t xml:space="preserve">G[oethe], 6, 330; . . . Empfindet ein u-es Grauen. Heine, Verm. 1, 51; Un-h. und starr wie ein Steinbild. Reis, 1, 10; Den u-en Nebel, Haarrauch geheißen. Immermann M., 3, 299; Diese blassen Jungen sind un-h. und brauen Gott weiß was Schlimmes. Laube, Band. 1, 119; </w:t>
      </w:r>
      <w:r w:rsidRPr="008725BE">
        <w:rPr>
          <w:rStyle w:val="wide2"/>
          <w:rFonts w:ascii="Garamond" w:hAnsi="Garamond" w:cs="Arial"/>
          <w:color w:val="000000"/>
          <w:lang w:val="en-GB"/>
        </w:rPr>
        <w:t>Un-h. nennt man Alles, was im Geheimnis, im Verborgnen . . . bleiben sollte und hervorgetreten ist. Schelling, 2, 2, 649</w:t>
      </w:r>
      <w:r w:rsidRPr="008725BE">
        <w:rPr>
          <w:rFonts w:ascii="Garamond" w:hAnsi="Garamond"/>
          <w:color w:val="000000"/>
          <w:lang w:val="en-GB"/>
        </w:rPr>
        <w:t xml:space="preserve"> etc. –; Das Göttliche zu verhüllen, mit einer gewissen U-keit zu umgeben 658, etc. –; Unüblich als Ggstz. von (2), wie es Campe ohne Beleg anführt.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Aus diesem langen Zitat ist für uns am interessantesten, daß das Wörtchen heimlich unter den mehrfachen Nuancen seiner Bedeutung auch eine zeigt, in der es mit seinem Gegensatz unheimlich zusammenfällt. Das Heimliche wird dann zum Unheimlichen; vgl. das Beispiel von Gutzkow: »Wir nennen das unheimlich, Sie nennen's heimlich.« Wir werden überhaupt daran gemahnt, daß dies Wort heimlich nicht eindeutig ist, sondern zwei Vorstellungskreisen zugehört, die, ohne gegensätzlich zu sein, einander doch recht fremd sind, dem des Vertrauten, Behaglichen und dem des Versteckten, Verborgengehaltenen. Unheimlich sei nur als Gegensatz zur ersten Bedeutung; nicht auch zur zweiten gebräuchlich. Wir erfahren bei Sanders nichts darüber, ob nicht doch eine genetische Beziehung zwischen diesen zwei Bedeutungen anzunehmen ist. Hingegen werden wir auf eine Bemerkung von Schelling aufmerksam, die vom Inhalt des Begriffes Unheimlich etwas ganz Neues aussagt, auf das unsere Erwartung gewiß nicht eingestellt war. Unheimlich sei alles, was ein Geheimnis, im Verborgenen bleiben sollte und hervorgetreten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 Teil der so angeregten Zweifel wird durch die Angaben in Jacob und Wilhelm Grimm: </w:t>
      </w:r>
      <w:r w:rsidRPr="008725BE">
        <w:rPr>
          <w:rFonts w:ascii="Garamond" w:hAnsi="Garamond"/>
          <w:i/>
          <w:iCs/>
          <w:color w:val="000000"/>
          <w:lang w:val="en-GB"/>
        </w:rPr>
        <w:t>Deutsches Wörterbuch</w:t>
      </w:r>
      <w:r w:rsidRPr="008725BE">
        <w:rPr>
          <w:rFonts w:ascii="Garamond" w:hAnsi="Garamond"/>
          <w:color w:val="000000"/>
          <w:lang w:val="en-GB"/>
        </w:rPr>
        <w:t>, Leipzig 1877 (Bd. 4, 2. Teil, 873 ff.) geklärt: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Heimlich;</w:t>
      </w:r>
      <w:r w:rsidRPr="008725BE">
        <w:rPr>
          <w:rFonts w:ascii="Garamond" w:hAnsi="Garamond"/>
          <w:color w:val="000000"/>
          <w:lang w:val="en-GB"/>
        </w:rPr>
        <w:t xml:space="preserve"> adj. und adv. </w:t>
      </w:r>
      <w:r w:rsidRPr="008725BE">
        <w:rPr>
          <w:rFonts w:ascii="Garamond" w:hAnsi="Garamond"/>
          <w:i/>
          <w:iCs/>
          <w:color w:val="000000"/>
          <w:lang w:val="en-GB"/>
        </w:rPr>
        <w:t>vernaculus, occultus</w:t>
      </w:r>
      <w:r w:rsidRPr="008725BE">
        <w:rPr>
          <w:rFonts w:ascii="Garamond" w:hAnsi="Garamond"/>
          <w:color w:val="000000"/>
          <w:lang w:val="en-GB"/>
        </w:rPr>
        <w:t>; mhd. heimelich, heimlich.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 874: In etwas anderem sinne: es ist mir heimlich, wohl, frei von furcht . .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[3] </w:t>
      </w:r>
      <w:r w:rsidRPr="008725BE">
        <w:rPr>
          <w:rFonts w:ascii="Garamond" w:hAnsi="Garamond"/>
          <w:i/>
          <w:iCs/>
          <w:color w:val="000000"/>
          <w:lang w:val="en-GB"/>
        </w:rPr>
        <w:t>b</w:t>
      </w:r>
      <w:r w:rsidRPr="008725BE">
        <w:rPr>
          <w:rFonts w:ascii="Garamond" w:hAnsi="Garamond"/>
          <w:color w:val="000000"/>
          <w:lang w:val="en-GB"/>
        </w:rPr>
        <w:t>) heimlich ist auch der von gespensterhaften freie ort . .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S. 875: </w:t>
      </w:r>
      <w:r w:rsidRPr="008725BE">
        <w:rPr>
          <w:rFonts w:ascii="Garamond" w:hAnsi="Garamond"/>
          <w:color w:val="000000"/>
        </w:rPr>
        <w:t>β</w:t>
      </w:r>
      <w:r w:rsidRPr="008725BE">
        <w:rPr>
          <w:rFonts w:ascii="Garamond" w:hAnsi="Garamond"/>
          <w:color w:val="000000"/>
          <w:lang w:val="en-GB"/>
        </w:rPr>
        <w:t>) vertraut; freundlich, zutraulich.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4. </w:t>
      </w:r>
      <w:r w:rsidRPr="008725BE">
        <w:rPr>
          <w:rStyle w:val="wide2"/>
          <w:rFonts w:ascii="Garamond" w:hAnsi="Garamond" w:cs="Arial"/>
          <w:color w:val="000000"/>
          <w:lang w:val="en-GB"/>
        </w:rPr>
        <w:t>aus dem heimatlichen, häuslichen entwickelt sich weiter der begriff des fremden augen entzogenen, verborgenen, geheimen, eben auch in mehrfacher beziehung ausgebildet</w:t>
      </w:r>
      <w:r w:rsidRPr="008725BE">
        <w:rPr>
          <w:rFonts w:ascii="Garamond" w:hAnsi="Garamond"/>
          <w:color w:val="000000"/>
          <w:lang w:val="en-GB"/>
        </w:rPr>
        <w:t> . .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 876:</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»links am see </w:t>
      </w:r>
      <w:r w:rsidRPr="008725BE">
        <w:rPr>
          <w:rFonts w:ascii="Garamond" w:hAnsi="Garamond"/>
          <w:color w:val="000000"/>
          <w:lang w:val="en-GB"/>
        </w:rPr>
        <w:br/>
        <w:t xml:space="preserve">liegt eine matte heimlich im gehölz.« </w:t>
      </w:r>
      <w:r w:rsidRPr="008725BE">
        <w:rPr>
          <w:rFonts w:ascii="Garamond" w:hAnsi="Garamond"/>
          <w:color w:val="000000"/>
          <w:lang w:val="en-GB"/>
        </w:rPr>
        <w:br/>
        <w:t xml:space="preserve">                                              Schiller, </w:t>
      </w:r>
      <w:r w:rsidRPr="008725BE">
        <w:rPr>
          <w:rFonts w:ascii="Garamond" w:hAnsi="Garamond"/>
          <w:i/>
          <w:iCs/>
          <w:color w:val="000000"/>
          <w:lang w:val="en-GB"/>
        </w:rPr>
        <w:t>Tell</w:t>
      </w:r>
      <w:r w:rsidRPr="008725BE">
        <w:rPr>
          <w:rFonts w:ascii="Garamond" w:hAnsi="Garamond"/>
          <w:color w:val="000000"/>
          <w:lang w:val="en-GB"/>
        </w:rPr>
        <w:t xml:space="preserve"> I, 4.</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 . frei und für den modernen Sprachgebrauch ungewöhnlich . . . heimlich ist zu einem verbum des verbergens gestellt: er verbirgt mich heimlich in seinem gezelt. ps. 27, 5. (. . . heimliche orte am menschlichen Körper, pudenda . . . welche leute nicht stürben, die wurden geschlagen an heimlichen orten. 1 Samuel 5, 12 . . .)</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c)</w:t>
      </w:r>
      <w:r w:rsidRPr="008725BE">
        <w:rPr>
          <w:rFonts w:ascii="Garamond" w:hAnsi="Garamond"/>
          <w:color w:val="000000"/>
          <w:lang w:val="en-GB"/>
        </w:rPr>
        <w:t xml:space="preserve"> beamtete, die wichtige und geheim zu haltende ratschlage in Staatssachen ertheilen, heiszen heimliche räthe, das adjektiv nach heutigem Sprachgebrauch durch geheim (s. d.) ersetzt: . . . (Pharao) nennet ihn (Joseph) den heimlichen rath. 1. Mos. 41, 45;</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 878: 6. heimlich für die erkenntnis, mystisch, allegorisch: heimliche bedeutung, </w:t>
      </w:r>
      <w:r w:rsidRPr="008725BE">
        <w:rPr>
          <w:rFonts w:ascii="Garamond" w:hAnsi="Garamond"/>
          <w:i/>
          <w:iCs/>
          <w:color w:val="000000"/>
          <w:lang w:val="en-GB"/>
        </w:rPr>
        <w:t>mysticus, divinus, occultus, figuratus</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 878: anders ist heimlich im folgenden, der erkenntnis entzogen, unbewuszt: . .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dann aber ist heimlich auch verschlossen, undurchdringlich in bezug auf erforschung: . .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»merkst du wohl? sie trauen uns nicht, </w:t>
      </w:r>
      <w:r w:rsidRPr="008725BE">
        <w:rPr>
          <w:rFonts w:ascii="Garamond" w:hAnsi="Garamond"/>
          <w:color w:val="000000"/>
          <w:lang w:val="en-GB"/>
        </w:rPr>
        <w:br/>
        <w:t xml:space="preserve">fürchten des Friedländers heimlich gesicht.« </w:t>
      </w:r>
      <w:r w:rsidRPr="008725BE">
        <w:rPr>
          <w:rFonts w:ascii="Garamond" w:hAnsi="Garamond"/>
          <w:color w:val="000000"/>
          <w:lang w:val="en-GB"/>
        </w:rPr>
        <w:br/>
        <w:t xml:space="preserve">                            </w:t>
      </w:r>
      <w:r w:rsidRPr="008725BE">
        <w:rPr>
          <w:rFonts w:ascii="Garamond" w:hAnsi="Garamond"/>
          <w:i/>
          <w:iCs/>
          <w:color w:val="000000"/>
          <w:lang w:val="en-GB"/>
        </w:rPr>
        <w:t>Wallensteins lager, 2.</w:t>
      </w:r>
      <w:r w:rsidRPr="008725BE">
        <w:rPr>
          <w:rFonts w:ascii="Garamond" w:hAnsi="Garamond"/>
          <w:color w:val="000000"/>
          <w:lang w:val="en-GB"/>
        </w:rPr>
        <w:t xml:space="preserve"> aufz. [Szene]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9. </w:t>
      </w:r>
      <w:r w:rsidRPr="008725BE">
        <w:rPr>
          <w:rStyle w:val="wide2"/>
          <w:rFonts w:ascii="Garamond" w:hAnsi="Garamond" w:cs="Arial"/>
          <w:color w:val="000000"/>
          <w:lang w:val="en-GB"/>
        </w:rPr>
        <w:t>die bedeutung des versteckten, gefährlichen, die in der vorigen nummer hervortritt, entwickelt sich noch weiter, so dasz heimlich den sinn empfängt, den sonst unheimlich</w:t>
      </w:r>
      <w:r w:rsidRPr="008725BE">
        <w:rPr>
          <w:rFonts w:ascii="Garamond" w:hAnsi="Garamond"/>
          <w:color w:val="000000"/>
          <w:lang w:val="en-GB"/>
        </w:rPr>
        <w:t xml:space="preserve"> (gebildet nach heimlich, 3 </w:t>
      </w:r>
      <w:r w:rsidRPr="008725BE">
        <w:rPr>
          <w:rFonts w:ascii="Garamond" w:hAnsi="Garamond"/>
          <w:i/>
          <w:iCs/>
          <w:color w:val="000000"/>
          <w:lang w:val="en-GB"/>
        </w:rPr>
        <w:t>b</w:t>
      </w:r>
      <w:r w:rsidRPr="008725BE">
        <w:rPr>
          <w:rFonts w:ascii="Garamond" w:hAnsi="Garamond"/>
          <w:color w:val="000000"/>
          <w:lang w:val="en-GB"/>
        </w:rPr>
        <w:t xml:space="preserve">, sp. 874) hat: »mir ist zu Zeiten wie dem menschen der in nacht wandelt und an gespenster glaubt, jeder winkel ist ihm heimlich und schauerhaft.« Klinger, </w:t>
      </w:r>
      <w:r w:rsidRPr="008725BE">
        <w:rPr>
          <w:rFonts w:ascii="Garamond" w:hAnsi="Garamond"/>
          <w:i/>
          <w:iCs/>
          <w:color w:val="000000"/>
          <w:lang w:val="en-GB"/>
        </w:rPr>
        <w:t>theater</w:t>
      </w:r>
      <w:r w:rsidRPr="008725BE">
        <w:rPr>
          <w:rFonts w:ascii="Garamond" w:hAnsi="Garamond"/>
          <w:color w:val="000000"/>
          <w:lang w:val="en-GB"/>
        </w:rPr>
        <w:t>, 3, 298.</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Also heimlich ist ein Wort, das seine Bedeutung nach einer Ambivalenz hin entwickelt, bis es endlich mit seinem Gegensatz unheimlich zusammenfällt. Unheimlich ist irgendwie eine Art von heimlich. Halten wir dies noch nicht recht geklärte Ergebnis mit der Definition des Unheimlichen von Schelling zusammen. Die Einzeluntersuchung der Fälle des Unheimlichen wird uns diese Andeutungen verständlich machen.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wir jetzt an die Musterung der Personen und Dinge, Eindrücke, Vorgänge und Situationen herangehen, die das Gefühl des Unheimlichen in besonderer Stärke und Deutlichkeit in uns zu erwecken vermögen, so ist die Wahl eines glücklichen ersten Beispiels offenbar das nächste Erfordernis. E. Jentsch hat als ausgezeichneten Fall den »Zweifel an der Beseelung eines anscheinend lebendigen Wesens und umgekehrt darüber, ob ein lebloser Gegenstand nicht etwa beseelt sei« hervorgehoben und sich dabei auf den Eindruck von Wachsfiguren, kunstvollen Puppen und Automaten berufen. Er reiht dem das Unheimliche des epileptischen Anfalls und der Äußerungen des Wahnsinnes an, weil durch sie in dem Zuschauer Ahnungen von automatischen –; mechanischen –; Prozessen geweckt werden, die hinter dem gewohnten Bilde der Beseelung verborgen sein mögen. Ohne nun von dieser Ausführung des Autors voll überzeugt zu sein, wollen wir unsere eigene Untersuchung an ihn anknüpfen, weil er uns im weiteren an einen Dichter mahnt, dem die Erzeugung unheimlicher Wirkungen so gut wie keinem anderen gelungen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»Einer der sichersten Kunstgriffe, leicht unheimliche Wirkungen durch Erzählungen hervorzurufen«, schreibt Jentsch, »beruht nun darauf, daß man den Leser im Ungewissen darüber läßt, ob er in einer bestimmten Figur eine Person oder etwa einen Automaten vor sich habe, und zwar so, daß diese Unsicherheit nicht direkt in den Brennpunkt seiner Aufmerksamkeit tritt, damit er nicht veranlaßt werde, die Sache sofort zu untersuchen und klarzustellen, da hiedurch, wie gesagt, die besondere Gefühlswirkung leicht schwindet. E. T. A. Hoffmann hat in seinen Phantasiestücken dieses psychologische Manöver wiederholt mit Erfolg zur Geltung gebracht.«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Diese gewiß richtige Bemerkung zielt vor allem auf die Erzählung ›Der Sandmann‹ in den </w:t>
      </w:r>
      <w:r w:rsidRPr="008725BE">
        <w:rPr>
          <w:rFonts w:ascii="Garamond" w:hAnsi="Garamond"/>
          <w:i/>
          <w:iCs/>
          <w:color w:val="000000"/>
          <w:lang w:val="en-GB"/>
        </w:rPr>
        <w:t>Nachtstücken</w:t>
      </w:r>
      <w:r w:rsidRPr="008725BE">
        <w:rPr>
          <w:rFonts w:ascii="Garamond" w:hAnsi="Garamond"/>
          <w:color w:val="000000"/>
          <w:lang w:val="en-GB"/>
        </w:rPr>
        <w:t xml:space="preserve"> (dritter Band der Grisebachschen Ausgabe von Hoffmanns sämtlichen Werken), aus welcher die Figur der Puppe Olimpia in den ersten Akt der Offenbachschen Oper </w:t>
      </w:r>
      <w:r w:rsidRPr="008725BE">
        <w:rPr>
          <w:rFonts w:ascii="Garamond" w:hAnsi="Garamond"/>
          <w:i/>
          <w:iCs/>
          <w:color w:val="000000"/>
          <w:lang w:val="en-GB"/>
        </w:rPr>
        <w:t>Hoffmanns Erzählungen</w:t>
      </w:r>
      <w:r w:rsidRPr="008725BE">
        <w:rPr>
          <w:rFonts w:ascii="Garamond" w:hAnsi="Garamond"/>
          <w:color w:val="000000"/>
          <w:lang w:val="en-GB"/>
        </w:rPr>
        <w:t xml:space="preserve"> gelangt ist. Ich muß </w:t>
      </w:r>
      <w:r w:rsidRPr="008725BE">
        <w:rPr>
          <w:rFonts w:ascii="Garamond" w:hAnsi="Garamond"/>
          <w:color w:val="000000"/>
          <w:lang w:val="en-GB"/>
        </w:rPr>
        <w:lastRenderedPageBreak/>
        <w:t xml:space="preserve">aber sagen –; und ich hoffe, die meisten Leser der Geschichte werden mir beistimmen, –; daß das Motiv der belebt scheinenden Puppe Olimpia keineswegs das einzige ist, welches für die unvergleichlich unheimliche Wirkung der Erzählung verantwortlich gemacht werden muß, ja nicht einmal dasjenige, dem diese Wirkung in erster Linie zuzuschreiben wäre. Es kommt dieser Wirkung auch nicht zustatten, daß die Olimpia-Episode vom Dichter selbst eine leise Wendung ins Satirische erfährt und von ihm zum Spott auf die Liebesüberschätzung von seiten des jungen Mannes gebraucht wird. Im Mittelpunkt der Erzählung steht vielmehr ein anderes Moment, nach dem sie auch den Namen trägt und das an den entscheidenden Stellen immer wieder hervorgekehrt wird: das Motiv des </w:t>
      </w:r>
      <w:r w:rsidRPr="008725BE">
        <w:rPr>
          <w:rFonts w:ascii="Garamond" w:hAnsi="Garamond"/>
          <w:i/>
          <w:iCs/>
          <w:color w:val="000000"/>
          <w:lang w:val="en-GB"/>
        </w:rPr>
        <w:t>Sandmannes</w:t>
      </w:r>
      <w:r w:rsidRPr="008725BE">
        <w:rPr>
          <w:rFonts w:ascii="Garamond" w:hAnsi="Garamond"/>
          <w:color w:val="000000"/>
          <w:lang w:val="en-GB"/>
        </w:rPr>
        <w:t>, der den Kindern die Augen ausreißt.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Student Nathaniel, mit dessen Kindheitserinnerungen die phantastische Erzählung anhebt, kann trotz seines Glückes in der Gegenwart die Erinnerungen nicht bannen, die sich ihm an den rätselhaft erschreckenden Tod des geliebten Vaters knüpfen. An gewissen Abenden pflegte die Mutter die Kinder mit der Mahnung zeitig zu Bette zu schicken: Der Sandmann kommt, und wirklich hört das Kind dann jedesmal den schweren Schritt eines Besuchers, der den Vater für diesen Abend in Anspruch nimmt. Die Mutter, nach dem Sandmann befragt, leugnet dann zwar, daß ein solcher anders denn als Redensart existiert, aber eine Kinderfrau weiß greifbarere Auskunft zu geben: »Das ist ein böser Mann, der kommt zu den Kindern, wenn sie nicht zu Bette gehen wollen, und wirft ihnen Hände voll Sand in die Augen, daß sie blutig zum Kopfe herausspringen, die wirft er dann in den Sack und trägt sie in den Halbmond zur Atzung für seine Kinderchen, die sitzen dort im Nest und haben krumme Schnäbel wie die Eulen, damit picken sie der unartigen Menschenkindlein Augen auf.«</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Obwohl der kleine Nathaniel alt und verständig genug war, um so schauerliche Zutaten zur Figur des Sandmannes abzuweisen, so setzte sich doch die Angst vor diesem selbst in ihm fest. Er beschloß zu erkunden, wie der Sandmann aussehe, und verbarg sich eines Abends, als er wieder erwartet wurde, im Arbeitszimmer des Vaters. In dem Besucher erkennt er dann den Advokaten Coppelius, eine abstoßende Persönlichkeit, vor der sich die Kinder zu scheuen pflegten, wenn er gelegentlich als Mittagsgast erschien, und identifiziert nun diesen Coppelius mit dem gefürchteten Sandmann. Für den weiteren Fortgang dieser Szene macht es der Dichter bereits zweifelhaft, ob wir es mit einem ersten Delirium des angstbesessenen Knaben oder mit einem Bericht zu tun haben, der als real in der Darstellungswelt der Erzählung aufzufassen ist. Vater und Gast machen sich an einem Herd mit flammender Glut zu schaffen. Der kleine Lauscher hört Coppelius rufen: »Augen her, Augen her«, verrät sich durch seinen Aufschrei und wird von Coppelius gepackt, der ihm glutrote Körner aus der Flamme in die Augen streuen will, um sie dann auf den Herd zu werfen. Der Vater bittet die Augen des Kindes frei. Eine tiefe Ohnmacht und lange Krankheit beenden das Erlebnis. Wer sich für die rationalistische Deutung des Sandmannes entscheidet, wird in dieser Phantasie des Kindes den fortwirkenden Einfluß jener Erzählung der Kinderfrau nicht verkennen. Anstatt der Sandkörner sind es glutrote Flammenkörner, die dem Kinde in die Augen gestreut werden sollen, in beiden Fällen, damit die Augen herausspringen. Bei einem weiteren Besuche des Sandmannes ein Jahr später wird der Vater durch eine Explosion im Arbeitszimmer getötet; der Advokat Coppelius verschwindet vom Orte, ohne eine Spur zu hinterlassen.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Schreckgestalt seiner Kinderjahre glaubt nun der Student Nathaniel in einem herumziehenden italienischen Optiker Giuseppe Coppola zu erkennen, der ihm in der Universitätsstadt Wettergläser zum Kauf anbietet und nach seiner Ablehnung hinzusetzt: »Ei, nix Wetterglas, nix Wetterglas! –; hab auch sköne Oke –; sköne Oke.« Das Entsetzen des Studenten wird beschwichtigt, da sich die angebotenen Augen als harmlose Brillen herausstellen; er kauft dem Coppola ein Taschenperspektiv ab und späht mit dessen Hilfe in die gegenüberliegende Wohnung des Professors Spalanzani, wo er dessen schöne, aber rätselhaft wortkarge und unbewegte Tochter Olimpia erblickt. In diese verliebt er sich bald so heftig, daß er seine kluge und nüchterne Braut über sie vergißt. Aber Olimpia ist ein Automat, an dem Spalanzani das Räderwerk gemacht und dem Coppola –; der Sandmann –; die Augen eingesetzt hat. Der Student kommt hinzu, wie die beiden Meister sich um ihr Werk streiten; Der Optiker hat die hölzerne, augenlose Puppe davongetragen, und der Mechaniker, Spalanzani, wirft Nathaniel die auf dem Boden liegenden blutigen Augen Olimpias an die Brust, von denen er sagt, daß Coppola sie dem Nathaniel gestohlen. Dieser wird von einem neuerlichen Wahnsinnsanfall ergriffen, in dessen Delirium sich die Reminiszenz an den Tod des Vaters mit dem frischen Eindruck verbindet: »Hui –; hui –; hui! –; Feuerkreis –; Feuerkreis! Dreh' dich, Feuerkreis –; lustig –; lustig! Holzpüppchen hui, schön Holzpüppchen dreh' dich –;.« Damit wirft er sich auf den Professor, den angeblichen Vater Olimpias, und will ihn erwürgen.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Aus langer, schwerer Krankheit erwacht, scheint Nathaniel endlich genesen. Er gedenkt, seine wiedergefundene Braut zu heiraten. Sie ziehen beide eines Tages durch die Stadt, auf deren Markt der hohe Ratsturm seinen Riesenschatten wirft. Das Mädchen schlägt ihrem Bräutigam vor, auf den Turm zu </w:t>
      </w:r>
      <w:r w:rsidRPr="008725BE">
        <w:rPr>
          <w:rFonts w:ascii="Garamond" w:hAnsi="Garamond"/>
          <w:color w:val="000000"/>
          <w:lang w:val="en-GB"/>
        </w:rPr>
        <w:lastRenderedPageBreak/>
        <w:t>steigen, während der das Paar begleitende Bruder der Braut unten verbleibt. Oben zieht eine merkwürdige Erscheinung von etwas, was sich auf der Straße heranbewegt, die Aufmerksamkeit Claras auf sich. Nathaniel betrachtet dasselbe Ding durch Coppolas Perspektiv, das er in seiner Tasche findet, wird neuerlich vom Wahnsinn ergriffen, und mit den Worten: Holzpüppchen, dreh' dich, will er das Mädchen in die Tiefe schleudern. Der durch ihr Geschrei herbeigeholte Bruder rettet sie und eilt mit ihr herab. Oben läuft der Rasende mit dem Ausruf herum: Feuerkreis, dreh' dich, dessen Herkunft wir ja verstehen. Unter den Menschen, die sich unten ansammeln, ragt der Advokat Coppelius hervor, der plötzlich wieder erschienen ist. Wir dürfen annehmen, daß es der Anblick seiner Annäherung war, der den Wahnsinn bei Nathaniel zum Ausbruch brachte. Man will hinauf, um sich des Rasenden zu bemächtigen, aber Coppelius lacht: »Wartet nur, der kommt schon herunter von selbst.« Nathaniel bleibt plötzlich stehen, wird den Coppelius gewahr und wirft sich mit dem gellenden Schrei: »Ja! Sköne Oke –; Sköne Oke« über das Geländer herab. Sowie er mit zerschmettertem Kopf auf dem Straßenpflaster liegt, ist der Sandmann im Gewühl verschwunden.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Diese kurze Nacherzählung wird wohl keinen Zweifel darüber bestehen lassen, daß das Gefühl des Unheimlichen direkt an der Gestalt des Sandmannes, also an der Vorstellung, der Augen beraubt zu werden, haftet und daß eine intellektuelle Unsicherheit im Sinne von Jentsch mit dieser Wirkung nichts zu tun hat. Der Zweifel an der Beseeltheit, den wir bei der Puppe Olimpia gelten lassen mußten, kommt bei diesem stärkeren Beispiel des Unheimlichen überhaupt nicht in Betracht. Der Dichter erzeugt zwar in uns anfänglich eine Art von Unsicherheit, indem er uns, gewiß nicht ohne Absicht, zunächst nicht erraten läßt, ob er uns in die reale Welt oder in eine ihm beliebige phantastische Welt einführen wird. Er hat ja bekanntlich das Recht, das eine oder das andere zu tun, und wenn er z. B. eine Welt, in der Geister, Dämonen und Gespenster agieren, zum Schauplatz seiner Darstellungen gewählt hat, wie Shakespeare im </w:t>
      </w:r>
      <w:r w:rsidRPr="008725BE">
        <w:rPr>
          <w:rFonts w:ascii="Garamond" w:hAnsi="Garamond"/>
          <w:i/>
          <w:iCs/>
          <w:color w:val="000000"/>
          <w:lang w:val="en-GB"/>
        </w:rPr>
        <w:t>Hamlet</w:t>
      </w:r>
      <w:r w:rsidRPr="008725BE">
        <w:rPr>
          <w:rFonts w:ascii="Garamond" w:hAnsi="Garamond"/>
          <w:color w:val="000000"/>
          <w:lang w:val="en-GB"/>
        </w:rPr>
        <w:t xml:space="preserve">, </w:t>
      </w:r>
      <w:r w:rsidRPr="008725BE">
        <w:rPr>
          <w:rFonts w:ascii="Garamond" w:hAnsi="Garamond"/>
          <w:i/>
          <w:iCs/>
          <w:color w:val="000000"/>
          <w:lang w:val="en-GB"/>
        </w:rPr>
        <w:t>Macbeth</w:t>
      </w:r>
      <w:r w:rsidRPr="008725BE">
        <w:rPr>
          <w:rFonts w:ascii="Garamond" w:hAnsi="Garamond"/>
          <w:color w:val="000000"/>
          <w:lang w:val="en-GB"/>
        </w:rPr>
        <w:t xml:space="preserve"> und in anderem Sinne im </w:t>
      </w:r>
      <w:r w:rsidRPr="008725BE">
        <w:rPr>
          <w:rFonts w:ascii="Garamond" w:hAnsi="Garamond"/>
          <w:i/>
          <w:iCs/>
          <w:color w:val="000000"/>
          <w:lang w:val="en-GB"/>
        </w:rPr>
        <w:t>Sturm</w:t>
      </w:r>
      <w:r w:rsidRPr="008725BE">
        <w:rPr>
          <w:rFonts w:ascii="Garamond" w:hAnsi="Garamond"/>
          <w:color w:val="000000"/>
          <w:lang w:val="en-GB"/>
        </w:rPr>
        <w:t xml:space="preserve"> und im </w:t>
      </w:r>
      <w:r w:rsidRPr="008725BE">
        <w:rPr>
          <w:rFonts w:ascii="Garamond" w:hAnsi="Garamond"/>
          <w:i/>
          <w:iCs/>
          <w:color w:val="000000"/>
          <w:lang w:val="en-GB"/>
        </w:rPr>
        <w:t>Sommernachtstraum</w:t>
      </w:r>
      <w:r w:rsidRPr="008725BE">
        <w:rPr>
          <w:rFonts w:ascii="Garamond" w:hAnsi="Garamond"/>
          <w:color w:val="000000"/>
          <w:lang w:val="en-GB"/>
        </w:rPr>
        <w:t xml:space="preserve">, so müssen wir ihm darin nachgeben und diese Welt seiner Voraussetzung für die Dauer unserer Hingegebenheit wie eine Realität behandeln. Aber im Verlaufe der Hoffmannschen Erzählung schwindet dieser Zweifel, wir merken, daß der Dichter uns selbst durch die Brille oder das Perspektiv des dämonischen Optikers schauen lassen will, ja daß er vielleicht in höchsteigener Person durch solch ein Instrument geguckt hat. Der Schluß der Erzählung macht es ja klar, daß der Optiker Coppola wirklich der Advokat Coppelius </w:t>
      </w:r>
      <w:hyperlink r:id="rId74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Zur Ableitung des Namens: </w:t>
        </w:r>
        <w:r w:rsidRPr="008725BE">
          <w:rPr>
            <w:rStyle w:val="innerfusslink3"/>
            <w:rFonts w:ascii="Garamond" w:hAnsi="Garamond" w:cs="Arial"/>
            <w:b/>
            <w:bCs/>
            <w:i/>
            <w:iCs/>
            <w:lang w:val="en-GB"/>
          </w:rPr>
          <w:t>Coppella</w:t>
        </w:r>
        <w:r w:rsidRPr="008725BE">
          <w:rPr>
            <w:rStyle w:val="innerfusslink3"/>
            <w:rFonts w:ascii="Garamond" w:hAnsi="Garamond" w:cs="Arial"/>
            <w:b/>
            <w:bCs/>
            <w:lang w:val="en-GB"/>
          </w:rPr>
          <w:t xml:space="preserve"> = Probiertiegel (die chemischen Operationen, bei denen der Vater verunglückt); </w:t>
        </w:r>
        <w:r w:rsidRPr="008725BE">
          <w:rPr>
            <w:rStyle w:val="innerfusslink3"/>
            <w:rFonts w:ascii="Garamond" w:hAnsi="Garamond" w:cs="Arial"/>
            <w:b/>
            <w:bCs/>
            <w:i/>
            <w:iCs/>
            <w:lang w:val="en-GB"/>
          </w:rPr>
          <w:t>coppo</w:t>
        </w:r>
        <w:r w:rsidRPr="008725BE">
          <w:rPr>
            <w:rStyle w:val="innerfusslink3"/>
            <w:rFonts w:ascii="Garamond" w:hAnsi="Garamond" w:cs="Arial"/>
            <w:b/>
            <w:bCs/>
            <w:lang w:val="en-GB"/>
          </w:rPr>
          <w:t xml:space="preserve"> = Augenhöhle (nach einer Bemerkung von Frau Dr. Rank).</w:t>
        </w:r>
      </w:hyperlink>
      <w:r w:rsidRPr="008725BE">
        <w:rPr>
          <w:rFonts w:ascii="Garamond" w:hAnsi="Garamond"/>
          <w:color w:val="000000"/>
          <w:lang w:val="en-GB"/>
        </w:rPr>
        <w:t xml:space="preserve"> und also auch der Sandmann ist.</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Eine »intellektuelle Unsicherheit« kommt hier nicht mehr in Frage: wir wissen jetzt, daß uns nicht die Phantasiegebilde eines Wahnsinnigen vorgeführt werden sollen, hinter denen wir in rationalistischer Überlegenheit den nüchternen Sachverhalt erkennen mögen, und –; der Eindruck des Unheimlichen hat sich durch diese Aufklärung nicht im mindesten verringert. </w:t>
      </w:r>
      <w:r w:rsidRPr="008725BE">
        <w:rPr>
          <w:rFonts w:ascii="Garamond" w:hAnsi="Garamond"/>
          <w:color w:val="000000"/>
        </w:rPr>
        <w:t>Eine intellektuelle Unsicherheit leistet uns also nichts für das Verständnis dieser unheimlichen Wirkung.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Hingegen mahnt uns die psychoanalytische Erfahrung daran, daß es eine schreckliche Kinderangst ist, die Augen zu beschädigen oder zu verlieren. </w:t>
      </w:r>
      <w:r w:rsidRPr="008725BE">
        <w:rPr>
          <w:rFonts w:ascii="Garamond" w:hAnsi="Garamond"/>
          <w:color w:val="000000"/>
          <w:lang w:val="en-GB"/>
        </w:rPr>
        <w:t xml:space="preserve">Vielen Erwachsenen ist diese Ängstlichkeit verblieben, und sie fürchten keine andere Organverletzung so sehr wie die des Auges. Ist man doch auch gewohnt zu sagen, daß man etwas behüten werde wie seinen Augapfel. Das Studium der Träume, der Phantasien und Mythen hat uns dann gelehrt, daß die Angst um die Augen, die Angst zu erblinden, häufig genug ein Ersatz für die Kastrationsangst ist. Auch die Selbstblendung des mythischen Verbrechers Ödipus ist nur eine Ermäßigung für die Strafe der Kastration, die ihm nach der Regel der Talion </w:t>
      </w:r>
      <w:hyperlink r:id="rId74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Wiedervergeltung</w:t>
        </w:r>
      </w:hyperlink>
      <w:r w:rsidRPr="008725BE">
        <w:rPr>
          <w:rFonts w:ascii="Garamond" w:hAnsi="Garamond"/>
          <w:color w:val="000000"/>
          <w:lang w:val="en-GB"/>
        </w:rPr>
        <w:t xml:space="preserve"> allein angemessen wäre. Man mag es versuchen, in rationalistischer Denkweise die Zurückführung der Augenangst auf die Kastrationsangst abzulehnen; man findet es begreiflich, daß ein so kostbares Organ wie das Auge von einer entsprechend großen Angst bewacht wird, ja man kann weitergehend behaupten, daß kein tieferes Geheimnis und keine andere Bedeutung sich hinter der Kastrationsangst verberge. Aber man wird damit doch nicht der Ersatzbeziehung gerecht, die sich in Traum, Phantasie und Mythus zwischen Auge und männlichem Glied kundgibt, und kann dem Eindruck nicht widersprechen, daß ein besonders starkes und dunkles Gefühl sich gerade gegen die Drohung, das Geschlechtsglied einzubüßen erhebt, und daß dieses Gefühl erst der Vorstellung vom Verlust anderer Organe den Nachhall verleiht. Jeder weitere Zweifel schwindet dann, wenn man aus den Analysen an Neurotikern die Details des »Kastrationskomplexes« erfahren und dessen großartige Rolle in ihrem Seelenleben zur Kenntnis genommen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Auch würde ich keinem Gegner der psychoanalytischen Auffassung raten, sich für die Behauptung, die Augenangst sei etwas vom Kastrationskomplex Unabhängiges, gerade auf die Hoffmannsche Erzählung </w:t>
      </w:r>
      <w:r w:rsidRPr="008725BE">
        <w:rPr>
          <w:rFonts w:ascii="Garamond" w:hAnsi="Garamond"/>
          <w:color w:val="000000"/>
          <w:lang w:val="en-GB"/>
        </w:rPr>
        <w:lastRenderedPageBreak/>
        <w:t xml:space="preserve">vom ›Sandmann‹ zu berufen. Denn warum ist die Augenangst hier mit dem Tode des Vaters in innigste Beziehung gebracht? Warum tritt der Sandmann jedesmal als Störer der Liebe auf? Er entzweit den unglücklichen Studenten mit seiner Braut und ihrem Bruder, der sein bester Freund ist, er vernichtet sein zweites Liebesobjekt, die schöne Puppe Olimpia, und zwingt ihn selbst zum Selbstmord, wie er unmittelbar vor der beglückenden Vereinigung mit seiner wiedergewonnenen Clara steht. Diese sowie viele andere Züge der Erzählung erscheinen willkürlich und bedeutungslos, wenn man die Beziehung der Augenangst zur Kastration ablehnt, und werden sinnreich, sowie man für den Sandmann den gefürchteten Vater einsetzt, von dem man die Kastration erwartet </w:t>
      </w:r>
      <w:hyperlink r:id="rId74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In der Tat hat die Phantasiebearbeitung des Dichters die Elemente des Stoffes nicht so wild herumgewirbelt, daß man ihre ursprüngliche Anordnung nicht wiederherstellen könnte. In der Kindergeschichte stellen der Vater und Coppelius die durch Ambivalenz in zwei Gegensätze zerlegte Vater-Imago dar; der eine droht mit der Blendung (Kastration), der andere, der gute Vater, bittet die Augen des Kindes frei. Das von der Verdrängung am stärksten betroffene Stück des Komplexes, der Todeswunsch gegen den bösen Vater, findet seine Darstellung in dem Tod des guten Vaters, der dem Coppelius zur Last gelegt wird. Diesem Väterpaar entsprechen in der späteren Lebensgeschichte des Studenten der Professor Spalanzani und der Optiker Coppola, der Professor an sich eine Figur der Vaterreihe, Coppola als identisch mit dem Advokaten Coppelius erkannt. Wie sie damals zusammen am geheimnisvollen Herd arbeiteten, so haben sie nun gemeinsam die Puppe Olimpia verfertigt; der Professor heißt auch der Vater Olimpias. Durch diese zweimalige Gemeinsamkeit verraten sie sich als Spaltungen der Vater-Imago, d. h. sowohl der Mechaniker als auch der Optiker sind der Vater der Olimpia wie des Nathaniel. In der Schreckensszene der Kinderzeit hatte Coppelius, nachdem er auf die Blendung des Kleinen verzichtet, ihm probeweise Arme und Beine abgeschraubt, also wie ein Mechaniker an einer Puppe an ihm gearbeitet. Dieser sonderbare Zug, der ganz aus dem Rahmen der Sandmannvorstellung heraustritt, bringt ein neues Äquivalent der Kastration ins Spiel; er weist aber auch auf die innere Identität des Coppelius mit seinem späteren Widerpart, dem Mechaniker Spalanzani, hin und bereitet uns für die Deutung der Olimpia vor. Diese automatische Puppe kann nichts anderes sein als die Materialisation von Nathaniels femininer Einstellung zu seinem Vater in früher Kindheit. Ihre Väter –; Spalanzani und Coppola –; sind ja nur neue Auflagen, Reinkarnationen von Nathaniels Väterpaar; die sonst unverständliche Angabe des Spalanzani, daß der Optiker dem Nathaniel die Augen gestohlen (s. oben), um sie der Puppe einzusetzen, gewinnt so als Beweis für die Identität von Olimpia und Nathaniel ihre Bedeutung. Olimpia ist sozusagen ein von Nathaniel losgelöster Komplex, der ihm als Person entgegentritt; die Beherrschung durch diesen Komplex findet in der unsinnig zwanghaften Liebe zur Olimpia ihren Ausdruck. Wir haben das Recht, diese Liebe eine narzißtische zu heißen, und verstehen, daß der ihr Verfallene sich dem realen Liebesobjekt entfremdet. Wie psychologisch richtig es aber ist, daß der durch den Kastrationskomplex an den Vater fixierte Jüngling der Liebe zum Weibe unfähig wird, zeigen zahlreiche Krankenanalysen, deren Inhalt zwar weniger phantastisch, aber kaum minder traurig ist als die Geschichte des Studenten Nathaniel. </w:t>
        </w:r>
        <w:r w:rsidRPr="008725BE">
          <w:rPr>
            <w:rFonts w:ascii="Garamond" w:hAnsi="Garamond"/>
            <w:color w:val="000000"/>
            <w:lang w:val="en-GB"/>
          </w:rPr>
          <w:br/>
        </w:r>
        <w:r w:rsidRPr="008725BE">
          <w:rPr>
            <w:rFonts w:ascii="Garamond" w:hAnsi="Garamond"/>
            <w:color w:val="000000"/>
            <w:lang w:val="en-GB"/>
          </w:rPr>
          <w:br/>
        </w:r>
        <w:r w:rsidRPr="008725BE">
          <w:rPr>
            <w:rStyle w:val="innerfusslink3"/>
            <w:rFonts w:ascii="Garamond" w:hAnsi="Garamond" w:cs="Arial"/>
            <w:b/>
            <w:bCs/>
            <w:lang w:val="en-GB"/>
          </w:rPr>
          <w:t>E. T. A. Hoffmann war das Kind einer unglücklichen Ehe. Als er drei Jahre war, trennte sich der Vater von seiner kleinen Familie und lebte nie wieder mit ihr vereint. Nach den Belegen, die E. Grisebach in der biographischen Einleitung zu Hoffmanns Werken beibringt, war die Beziehung zum Vater immer eine der wundesten Stellen in des Dichters Gefühlsleben.</w:t>
        </w:r>
      </w:hyperlink>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würden es also wagen, das Unheimliche des Sandmannes auf die Angst des kindlichen Kastrationskomplexes zurückzuführen. Sowie aber die Idee auftaucht, ein solches infantiles Moment für die Entstehung des unheimlichen Gefühls in Anspruch zu nehmen, werden wir auch zum Versuch getrieben, dieselbe Ableitung für andere Beispiele des Unheimlichen in Betracht zu ziehen. Im Sandmann findet sich noch das Motiv der belebt scheinenden Puppe, das Jentsch hervorgehoben hat. Nach diesem Autor ist es eine besonders günstige Bedingung für die Erzeugung unheimlicher Gefühle, wenn eine intellektuelle Unsicherheit geweckt wird, ob etwas belebt oder leblos sei, und wenn das Leblose die Ähnlichkeit mit dem Lebenden zu weit treibt. Natürlich sind wir aber gerade mit den Puppen vom Kindlichen nicht weit entfernt. Wir erinnern uns, daß das Kind im frühen Alter des Spielens überhaupt nicht scharf zwischen Belebtem und Leblosem unterscheidet und daß es besonders gern seine Puppe wie ein lebendes Wesen behandelt. Ja, man hört gelegentlich von einer Patientin erzählen, sie habe noch im Alter von acht Jahren die Überzeugung gehabt, wenn sie ihre Puppen auf eine gewisse Art, möglichst </w:t>
      </w:r>
      <w:r w:rsidRPr="008725BE">
        <w:rPr>
          <w:rFonts w:ascii="Garamond" w:hAnsi="Garamond"/>
          <w:color w:val="000000"/>
          <w:lang w:val="en-GB"/>
        </w:rPr>
        <w:lastRenderedPageBreak/>
        <w:t>eindringlich, anschauen würde, müßten diese lebendig werden. Das infantile Moment ist also auch hier leicht nachzuweisen; aber merkwürdig, im Falle des Sandmannes handelte es sich um die Erweckung einer alten Kinderangst, bei der lebenden Puppe ist von Angst keine Rede, das Kind hat sich vor dem Beleben seiner Puppen nicht gefürchtet, vielleicht es sogar gewünscht. Die Quelle des unheimlichen Gefühls wäre also hier nicht eine Kinderangst, sondern ein Kinderwunsch oder auch nur ein Kinderglaube. Das scheint ein Widerspruch; möglicherweise ist es nur eine Mannigfaltigkeit, die späterhin unserem Verständnis förderlich werden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 T. A. Hoffmann ist der unerreichte Meister des Unheimlichen in der Dichtung. Sein Roman </w:t>
      </w:r>
      <w:r w:rsidRPr="008725BE">
        <w:rPr>
          <w:rFonts w:ascii="Garamond" w:hAnsi="Garamond"/>
          <w:i/>
          <w:iCs/>
          <w:color w:val="000000"/>
          <w:lang w:val="en-GB"/>
        </w:rPr>
        <w:t>Die Elixiere des Teufels</w:t>
      </w:r>
      <w:r w:rsidRPr="008725BE">
        <w:rPr>
          <w:rFonts w:ascii="Garamond" w:hAnsi="Garamond"/>
          <w:color w:val="000000"/>
          <w:lang w:val="en-GB"/>
        </w:rPr>
        <w:t xml:space="preserve"> weist ein ganzes Bündel von Motiven auf, denen man die unheimliche Wirkung der Geschichte zuschreiben möchte. Der Inhalt des Romans ist zu reichhaltig und verschlungen, als daß man einen Auszug daraus wagen könnte. Zu Ende des Buches, wenn die dem Leser bisher vorenthaltenen Voraussetzungen der Handlung nachgetragen werden, ist das Ergebnis nicht die Aufklärung des Lesers, sondern eine volle Verwirrung desselben. Der Dichter hat zu viel Gleichartiges gehäuft; der Eindruck des Ganzen leidet nicht darunter, wohl aber das Verständnis. Man muß sich damit begnügen, die hervorstechendsten unter jenen unheimlich wirkenden Motiven herauszuheben, um zu untersuchen, ob auch für sie eine Ableitung aus infantilen Quellen zulässig ist. Es sind dies das Doppelgängertum in all seinen Abstufungen und Ausbildungen, also das Auftreten von Personen, die wegen ihrer gleichen Erscheinung für identisch gehalten werden müssen, die Steigerung dieses Verhältnisses durch Überspringen seelischer Vorgänge von einer dieser Personen auf die andere –; was wir Telepathie heißen würden –;, so daß der eine das Wissen, Fühlen und Erleben des anderen mitbesitzt, die Identifizierung mit einer anderen Person, so daß man an seinem Ich irre wird oder das fremde Ich an die Stelle des eigenen versetzt, also Ich-Verdopplung, Ich-Teilung, Ich-Vertauschung –; und endlich die beständige Wiederkehr des Gleichen, die Wiederholung der nämlichen Gesichtszüge, Charaktere, Schicksale, verbrecherischen Taten, ja der Namen durch mehrere aufeinanderfolgende Generationen.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Motiv des Doppelgängers hat in einer gleichnamigen Arbeit von O. Rank eine eingehende Würdigung gefunden </w:t>
      </w:r>
      <w:hyperlink r:id="rId74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O. Rank, ›Der Doppelgänger« (1914).</w:t>
        </w:r>
      </w:hyperlink>
      <w:r w:rsidRPr="008725BE">
        <w:rPr>
          <w:rFonts w:ascii="Garamond" w:hAnsi="Garamond"/>
          <w:color w:val="000000"/>
          <w:lang w:val="en-GB"/>
        </w:rPr>
        <w:t>. Dort werden die Beziehungen des Doppelgängers zum Spiegel- und Schattenbild, zum Schutzgeist, zur Seelenlehre und zur Todesfurcht untersucht, es fällt aber auch helles Licht auf die überraschende Entwicklungsgeschichte des Motivs. Denn der Doppelgänger war ursprünglich eine Versicherung gegen den Untergang des Ichs, eine »energische Dementierung der Macht des Todes« (O. Rank), und wahrscheinlich war die »unsterbliche« Seele der erste Doppelgänger des Leibes. Die Schöpfung einer solchen Verdopplung zur Abwehr gegen die Vernichtung hat ihr Gegenstück in einer Darstellung der Traumsprache, welche die Kastration durch Verdopplung oder Vervielfältigung des Genitalsymbols auszudrücken liebt; sie wird in der Kultur der alten Ägypter ein Antrieb für die Kunst, das Bild des Verstorbenen in dauerhaftem Stoff zu formen. Aber diese Vorstellungen sind auf dem Boden der uneingeschränkten Selbstliebe entstanden, des primären Narzißmus, welcher das Seelenleben des Kindes wie des Primitiven beherrscht, und mit der Überwindung dieser Phase ändert sich das Vorzeichen des Doppelgängers, aus einer Versicherung des Fortlebens wird er zum unheimlichen Vorboten des Todes.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Vorstellung des Doppelgängers braucht nicht mit diesem uranfänglichen Narzißmus unterzugehen; denn sie kann aus den späteren Entwicklungsstufen des Ichs neuen Inhalt gewinnen. Im Ich bildet sich langsam eine besondere Instanz heraus, welche sich dem übrigen Ich entgegenstellen kann, die der Selbstbeobachtung und Selbstkritik dient, die Arbeit der psychischen Zensur leistet und unserem Bewußtsein als »Gewissen« bekannt wird. Im pathologischen Falle des Beachtungswahnes wird sie isoliert, vom Ich abgespalten, dem Arzte bemerkbar. Die Tatsache, daß eine solche Instanz vorhanden ist, welche das übrige Ich wie ein Objekt behandeln kann, also daß der Mensch der Selbstbeobachtung fähig ist, macht es möglich, die alte Doppelgängervorstellung mit neuem Inhalt zu erfüllen und ihr mancherlei zuzuweisen, vor allem all das, was der Selbstkritik als zugehörig zum alten überwundenen Narzißmus der Urzeit erscheint </w:t>
      </w:r>
      <w:hyperlink r:id="rId74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Ich glaube, wenn die Dichter klagen, daß zwei Seelen in des Menschen Brust wohnen, und wenn die Populärpsychologen von der Spaltung des Ichs im Menschen reden, so schwebt ihnen diese Entzweiung, der Ich-Psychologie angehörig, zwischen der kritischen Instanz und dem Ich-Rest vor und nicht die von der Psychoanalyse aufgedeckte Gegensätzlichkeit zwischen dem Ich und dem unbewußten Verdrängten. Der Unterschied wird allerdings dadurch verwischt, daß sich unter dem von der Ich-Kritik Verworfenen zunächst die Abkömmlinge des Verdrängten befinden.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Aber nicht nur dieser der Ich-Kritik anstößige Inhalt kann dem Doppelgänger einverleibt werden, sondern ebenso alle unterbliebenen Möglichkeiten der Geschicksgestaltung, an denen die Phantasie noch festhalten will, und alle Ich-Strebungen, die sich infolge äußerer Ungunst nicht durchsetzen konnten, sowie alle die unterdrückten Willensentscheidungen, die die Illusion des freien Willens ergeben haben </w:t>
      </w:r>
      <w:hyperlink r:id="rId74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In der H. H. Ewersschen Dichtung </w:t>
        </w:r>
        <w:r w:rsidRPr="008725BE">
          <w:rPr>
            <w:rStyle w:val="innerfusslink3"/>
            <w:rFonts w:ascii="Garamond" w:hAnsi="Garamond" w:cs="Arial"/>
            <w:b/>
            <w:bCs/>
            <w:i/>
            <w:iCs/>
            <w:lang w:val="en-GB"/>
          </w:rPr>
          <w:t>Der Student von Prag</w:t>
        </w:r>
        <w:r w:rsidRPr="008725BE">
          <w:rPr>
            <w:rStyle w:val="innerfusslink3"/>
            <w:rFonts w:ascii="Garamond" w:hAnsi="Garamond" w:cs="Arial"/>
            <w:b/>
            <w:bCs/>
            <w:lang w:val="en-GB"/>
          </w:rPr>
          <w:t>, von welcher die Ranksche Studie über den Doppelgänger ausgegangen ist, hat der Held der Geliebten versprochen, seinen Duellgegner nicht zu töten. Auf dem Wege zum Duellplatz begegnet ihm aber der Doppelgänger, welcher den Nebenbuhler bereits erledigt hat.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Nachdem wir aber so die manifeste Motivierung der Doppelgängergestalt betrachtet haben, müssen wir uns sagen: Nichts von alledem macht uns den außerordentlich hohen Grad von Unheimlichkeit, der ihr anhaftet, verständlich, und aus unserer Kenntnis der pathologischen Seelenvorgänge dürfen wir hinzusetzen, nichts von diesem Inhalt könnte das Abwehrbestreben erklären, das ihn als etwas Fremdes aus dem Ich hinausprojiziert. Der Charakter des Unheimlichen kann doch nur daher rühren, daß der Doppelgänger eine den überwundenen seelischen Urzeiten angehörige Bildung ist, die damals allerdings einen freundlicheren Sinn hatte. Der Doppelgänger ist zum Schreckbild geworden, wie die Götter nach dem Sturz ihrer Religion zu Dämonen werden (Heine, </w:t>
      </w:r>
      <w:r w:rsidRPr="008725BE">
        <w:rPr>
          <w:rFonts w:ascii="Garamond" w:hAnsi="Garamond"/>
          <w:i/>
          <w:iCs/>
          <w:color w:val="000000"/>
          <w:lang w:val="en-GB"/>
        </w:rPr>
        <w:t>Die Götter im Exil</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anderen bei Hoffmann verwendeten Ich-Störungen sind nach dem Muster des Doppelgängermotivs leicht zu beurteilen. Es handelt sich bei ihnen um ein Rückgreifen auf einzelne Phasen in der Entwicklungsgeschichte des Ich-Gefühls, um eine Regression in Zeiten, da das Ich sich noch nicht scharf von der Außenwelt und vom anderen abgegrenzt hatte. Ich glaube, daß diese Motive den Eindruck des Unheimlichen mitverschulden, wenngleich es nicht leicht ist, ihren Anteil an diesem Eindruck isoliert herauszugreifen.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Moment der Wiederholung des Gleichartigen wird als Quelle des unheimlichen Gefühls vielleicht nicht bei jedermann Anerkennung finden. Nach meinen Beobachtungen ruft es unter gewissen Bedingungen und in Kombination mit bestimmten Umständen unzweifelhaft ein solches Gefühl hervor, das überdies an die Hilflosigkeit mancher Traumzustände mahnt. Als ich einst an einem heißen Sommernachmittag die mir unbekannten, menschenleeren Straßen einer italienischen Kleinstadt durchstreifte, geriet ich in eine Gegend, über deren Charakter ich nicht lange in Zweifel bleiben konnte. Es waren nur geschminkte Frauen an den Fenstern der kleinen Häuser zu sehen, und ich beeilte mich, die enge Straße durch die nächste Einbiegung zu verlassen. Aber nachdem ich eine Weile führerlos herumgewandert war, fand ich mich plötzlich in derselben Straße wieder, in der ich nun Aufsehen zu erregen begann, und meine eilige Entfernung hatte nur die Folge, daß ich auf einem neuen Umwege zum drittenmal dahingeriet. Dann aber erfaßte mich ein Gefühl, das ich nur als unheimlich bezeichnen kann, und ich war froh, als ich unter Verzicht auf weitere Entdeckungsreisen auf die kürzlich von mir verlassene Piazza zurückfand. Andere Situationen, die die unbeabsichtigte Wiederkehr mit der eben beschriebenen gemein haben und sich in den anderen Punkten gründlich von ihr unterscheiden, haben doch dasselbe Gefühl von Hilflosigkeit und Unheimlichkeit zur Folge. Zum Beispiel, wenn man sich im Hochwald, etwa vom Nebel überrascht, verirrt hat und nun trotz aller Bemühungen, einen markierten oder bekannten Weg zu finden, wiederholt zu der einen, durch eine bestimmte Formation gekennzeichneten Stelle zurückkommt. Oder wenn man im unbekannten, dunkeln Zimmer wandert, um die Tür oder den Lichtschalter aufzusuchen und dabei zum xtenmal mit demselben Möbelstück zusammenstößt, eine Situation, die Mark Twain allerdings durch groteske Übertreibung in eine unwiderstehlich komische umgewandelt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An einer anderen Reihe von Erfahrungen erkennen wir auch mühelos, daß es nur das Moment der unbeabsichtigten Wiederholung ist, welches das sonst Harmlose unheimlich macht und uns die Idee des Verhängnisvollen, Unentrinnbaren aufdrängt, wo wir sonst nur von »Zufall« gesprochen hätten. So ist es z. B. gewiß ein gleichgültiges Erlebnis, wenn man für seine in einer Garderobe abgegebenen Kleider einen Schein mit einer gewissen Zahl –; sagen wir: 62 –; erhält oder wenn man findet, daß die zugewiesene Schiffskabine diese Nummer trägt. Aber dieser Eindruck ändert sich, wenn beide an sich indifferenten Begebenheiten nahe aneinanderrücken, so daß einem die Zahl 62 mehrmals an demselben Tage entgegentritt, und wenn man dann etwa gar die Beobachtung machen sollte, daß alles, was eine Zahlenbezeichnung trägt, Adressen, Hotelzimmer, Eisenbahnwagen u. dgl. immer wieder die nämliche Zahl, wenigstens als Bestandteil, wiederbringt. Man findet das »unheimlich«, und wer nicht stich- und hiebfest gegen die Versuchungen des Aberglaubens ist, wird sich geneigt finden, dieser hartnäckigen Wiederkehr der einen Zahl eine geheime Bedeutung zuzuschreiben, etwa einen Hinweis auf das ihm bestimmte Lebensalter darin zu sehen. Oder wenn man eben mit dem Studium der Schriften des großen </w:t>
      </w:r>
      <w:r w:rsidRPr="008725BE">
        <w:rPr>
          <w:rFonts w:ascii="Garamond" w:hAnsi="Garamond"/>
          <w:color w:val="000000"/>
          <w:lang w:val="en-GB"/>
        </w:rPr>
        <w:lastRenderedPageBreak/>
        <w:t xml:space="preserve">Physiologen E. Hering beschäftigt ist und nun wenige Tage auseinander Briefe von zwei Personen dieses Namens aus verschiedenen Ländern empfängt, während man bis dahin niemals mit Leuten, die so heißen, in Beziehung getreten war. Ein geistvoller Naturforscher hat vor kurzem den Versuch unternommen, Vorkommnisse solcher Art gewissen Gesetzen unterzuordnen, wodurch der Eindruck des Unheimlichen aufgehoben werden müßte. Ich getraue mich nicht zu entscheiden, ob es ihm gelungen ist </w:t>
      </w:r>
      <w:hyperlink r:id="rId74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P. Kammerer, </w:t>
        </w:r>
        <w:r w:rsidRPr="008725BE">
          <w:rPr>
            <w:rStyle w:val="innerfusslink3"/>
            <w:rFonts w:ascii="Garamond" w:hAnsi="Garamond" w:cs="Arial"/>
            <w:b/>
            <w:bCs/>
            <w:i/>
            <w:iCs/>
            <w:lang w:val="en-GB"/>
          </w:rPr>
          <w:t>Das Gesetz der Serie</w:t>
        </w:r>
        <w:r w:rsidRPr="008725BE">
          <w:rPr>
            <w:rStyle w:val="innerfusslink3"/>
            <w:rFonts w:ascii="Garamond" w:hAnsi="Garamond" w:cs="Arial"/>
            <w:b/>
            <w:bCs/>
            <w:lang w:val="en-GB"/>
          </w:rPr>
          <w:t xml:space="preserve"> (1919).</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Wie das Unheimliche der gleichartigen Wiederkehr aus dem infantilen Seelenleben abzuleiten ist, kann ich hier nur andeuten und muß dafür auf eine bereitliegende ausführliche Darstellung in anderem Zusammenhange verweisen. Im seelisch Unbewußten läßt sich nämlich die Herrschaft eines von den Triebregungen ausgehenden </w:t>
      </w:r>
      <w:r w:rsidRPr="008725BE">
        <w:rPr>
          <w:rFonts w:ascii="Garamond" w:hAnsi="Garamond"/>
          <w:i/>
          <w:iCs/>
          <w:color w:val="000000"/>
          <w:lang w:val="en-GB"/>
        </w:rPr>
        <w:t>Wiederholungszwanges</w:t>
      </w:r>
      <w:r w:rsidRPr="008725BE">
        <w:rPr>
          <w:rFonts w:ascii="Garamond" w:hAnsi="Garamond"/>
          <w:color w:val="000000"/>
          <w:lang w:val="en-GB"/>
        </w:rPr>
        <w:t xml:space="preserve"> erkennen, der wahrscheinlich von der innersten Natur der Triebe selbst abhängt, stark genug ist, sich über das Lustprinzip hinauszusetzen, gewissen Seiten des Seelenlebens den dämonischen Charakter verleiht, sich in den Strebungen des kleinen Kindes noch sehr deutlich äußert und ein Stück vom Ablauf der Psychoanalyse des Neurotikers beherrscht. Wir sind durch alle vorstehenden Erörterungen darauf vorbereitet, daß dasjenige als unheimlich verspürt werden wird, was an diesen inneren Wiederholungszwang mahnen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Nun, denke ich aber, ist es Zeit, uns von diesen immerhin schwierig zu beurteilenden Verhältnissen abzuwenden und unzweifelhafte Fälle des Unheimlichen aufzusuchen, von deren Analyse wir die endgültige Entscheidung über die Geltung unserer Annahme erwarten dürfen.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Im ›Ring des Polykrates‹ wendet sich der Gast mit Grausen, weil er merkt, daß jeder Wunsch des Freundes sofort in Erfüllung geht, jede seiner Sorgen vom Schicksal unverzüglich aufgehoben wird. Der Gastfreund ist ihm »unheimlich« geworden. Die Auskunft, die er selbst gibt, daß der allzu Glückliche den Neid der Götter zu fürchten habe, erscheint uns noch undurchsichtig, ihr Sinn ist mythologisch verschleiert. Greifen wir darum ein anderes Beispiel aus weit schlichteren Verhältnissen heraus: In der Krankengeschichte eines Zwangsneurotikers </w:t>
      </w:r>
      <w:hyperlink r:id="rId74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›Bemerkungen über einen Fall von Zwangsneurose‹.</w:t>
        </w:r>
      </w:hyperlink>
      <w:r w:rsidRPr="008725BE">
        <w:rPr>
          <w:rFonts w:ascii="Garamond" w:hAnsi="Garamond"/>
          <w:color w:val="000000"/>
          <w:lang w:val="en-GB"/>
        </w:rPr>
        <w:t xml:space="preserve"> habe ich erzählt, daß dieser Kranke einst einen Aufenthalt in einer Wasserheilanstalt genommen hatte, aus dem er sich eine große Besserung holte. Er war aber so klug, diesen Erfolg nicht der Heilkraft des Wassers, sondern der Lage seines Zimmers zuzuschreiben, welches der Kammer einer liebenswürdigen Pflegerin unmittelbar benachbart war. Als er dann zum zweitenmal in diese Anstalt kam, verlangte er dasselbe Zimmer wieder, mußte aber hören, daß es bereits von einem alten Herrn besetzt sei, und gab seinem Unmut darüber in den Worten Ausdruck: Dafür soll ihn aber der Schlag treffen. Vierzehn Tage später erlitt der alte Herr wirklich einen Schlaganfall. Für meinen Patienten war dies ein »unheimliches« Erlebnis. Der Eindruck des Unheimlichen wäre noch stärker gewesen, wenn eine viel kürzere Zeit zwischen jener Äußerung und dem Unfall gelegen wäre oder wenn der Patient über zahlreiche ganz ähnliche Erlebnisse hätte berichten können. In der Tat war er um solche Bestätigungen nicht verlegen, aber nicht er allein, alle Zwangsneurotiker, die ich studiert habe, wußten Analoges von sich zu erzählen. Sie waren gar nicht überrascht, regelmäßig der Person zu begegnen, an die sie eben –; vielleicht nach langer Pause –; gedacht hatten; sie pflegten regelmäßig am Morgen einen Brief von einem Freund zu bekommen, wenn sie am Abend vorher geäußert hatten: Von dem hat man aber jetzt lange nichts gehört, und besonders Unglücks- oder Todesfälle ereigneten sich nur selten, ohne eine Weile vorher durch ihre Gedanken gehuscht zu sein. Sie pflegten diesem Sachverhalt in der bescheidensten Weise Ausdruck zu geben, indem sie behaupteten, »Ahnungen« zu haben, die »meistens« eintreffen.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 der unheimlichsten und verbreitetsten Formen des Aberglaubens ist die Angst vor dem »bösen Blick«, welcher bei dem Hamburger Augenarzt S. Seligmann </w:t>
      </w:r>
      <w:hyperlink r:id="rId74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Der böse Blick und Verwandtes</w:t>
        </w:r>
        <w:r w:rsidRPr="008725BE">
          <w:rPr>
            <w:rStyle w:val="innerfusslink3"/>
            <w:rFonts w:ascii="Garamond" w:hAnsi="Garamond" w:cs="Arial"/>
            <w:b/>
            <w:bCs/>
            <w:lang w:val="en-GB"/>
          </w:rPr>
          <w:t xml:space="preserve"> (1910 u. 1911).</w:t>
        </w:r>
      </w:hyperlink>
      <w:r w:rsidRPr="008725BE">
        <w:rPr>
          <w:rFonts w:ascii="Garamond" w:hAnsi="Garamond"/>
          <w:color w:val="000000"/>
          <w:lang w:val="en-GB"/>
        </w:rPr>
        <w:t xml:space="preserve"> eine gründliche Behandlung gefunden hat. Die Quelle, aus welcher diese Angst schöpft, scheint niemals verkannt worden zu sein. Wer etwas Kostbares und doch Hinfälliges besitzt, fürchtet sich vor dem Neid der anderen, indem er jenen Neid auf sie projiziert, den er im umgekehrten Falle empfunden hätte. Solche Regungen verrät man durch den Blick, auch wenn man ihnen den Ausdruck in Worten versagt, und wenn jemand durch auffällige Kennzeichen, besonders unerwünschter Art, vor den anderen hervorsticht, traut man ihm zu, daß sein Neid eine besondere Stärke erreichen und dann auch diese Stärke in Wirkung umsetzen wird. Man fürchtet also eine geheime Absicht zu schaden, und auf gewisse Anzeichen hin nimmt man an, daß dieser Absicht auch die Kraft zu Gebote steht.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letzterwähnten Beispiele des Unheimlichen hängen von dem Prinzip ab, das ich, der Anregung eines Patienten folgend, die »Allmacht der Gedanken« benannt habe. Wir können nun nicht mehr verkennen, auf welchem Boden wir uns befinden. Die Analyse der Fälle des Unheimlichen hat uns zur alten Weltauffassung des </w:t>
      </w:r>
      <w:r w:rsidRPr="008725BE">
        <w:rPr>
          <w:rFonts w:ascii="Garamond" w:hAnsi="Garamond"/>
          <w:i/>
          <w:iCs/>
          <w:color w:val="000000"/>
          <w:lang w:val="en-GB"/>
        </w:rPr>
        <w:t>Animismus</w:t>
      </w:r>
      <w:r w:rsidRPr="008725BE">
        <w:rPr>
          <w:rFonts w:ascii="Garamond" w:hAnsi="Garamond"/>
          <w:color w:val="000000"/>
          <w:lang w:val="en-GB"/>
        </w:rPr>
        <w:t xml:space="preserve"> zurückgeführt, die ausgezeichnet war durch die Erfüllung der Welt mit </w:t>
      </w:r>
      <w:r w:rsidRPr="008725BE">
        <w:rPr>
          <w:rFonts w:ascii="Garamond" w:hAnsi="Garamond"/>
          <w:color w:val="000000"/>
          <w:lang w:val="en-GB"/>
        </w:rPr>
        <w:lastRenderedPageBreak/>
        <w:t xml:space="preserve">Menschengeistern, durch die narzißtische Überschätzung der eigenen seelischen Vorgänge, die Allmacht der Gedanken und die darauf aufgebaute Technik der Magie, die Zuteilung von sorgfältig abgestuften Zauberkräften an fremde Personen und Dinge ( </w:t>
      </w:r>
      <w:r w:rsidRPr="008725BE">
        <w:rPr>
          <w:rFonts w:ascii="Garamond" w:hAnsi="Garamond"/>
          <w:i/>
          <w:iCs/>
          <w:color w:val="000000"/>
          <w:lang w:val="en-GB"/>
        </w:rPr>
        <w:t>Mana</w:t>
      </w:r>
      <w:r w:rsidRPr="008725BE">
        <w:rPr>
          <w:rFonts w:ascii="Garamond" w:hAnsi="Garamond"/>
          <w:color w:val="000000"/>
          <w:lang w:val="en-GB"/>
        </w:rPr>
        <w:t xml:space="preserve">), sowie durch alle die Schöpfungen, mit denen sich der uneingeschränkte Narzißmus jener Entwicklungsperiode gegen den unverkennbaren Einspruch der Realität zur Wehr setzte. Es scheint, daß wir alle in unserer individuellen Entwicklung eine diesem Animismus der Primitiven entsprechende Phase durchgemacht haben, daß sie bei keinem von uns abgelaufen ist, ohne noch äußerungsfähige Reste und Spuren zu hinterlassen, und daß alles, was uns heute als »unheimlich« erscheint, die Bedingung erfüllt, daß es an diese Reste animistischer Seelentätigkeit rührt und sie zur Äußerung anregt </w:t>
      </w:r>
      <w:hyperlink r:id="rId74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hiezu den Abschnitt III ›Animismus, Magie und Allmacht der Gedanken‹ in des Verf. Buch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 xml:space="preserve"> (1912–;13). Dort auch die Bemerkung: »Es scheint, daß wir den Charakter des ›Unheimlichen‹ solchen Eindrücken verleihen, welche die Allmacht der Gedanken und die animistische Denkweise überhaupt bestätigen wollen, während wir uns bereits im Urteil von ihr abgewendet haben.«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Hier ist nun der Platz für zwei Bemerkungen, in denen ich den wesentlichen Inhalt dieser kleinen Untersuchung niederlegen möchte. Erstens, wenn die psychoanalytische Theorie in der Behauptung recht hat, daß jeder Affekt einer Gefühlsregung, gleichgültig von welcher Art, durch die Verdrängung in Angst verwandelt wird, so muß es unter den Fällen des Ängstlichen eine Gruppe geben, in der sich zeigen läßt, daß dies Ängstliche etwas wiederkehrendes Verdrängtes ist. Diese Art des Ängstlichen wäre eben das Unheimliche, und dabei muß es gleichgültig sein, ob es ursprünglich selbst ängstlich war oder von einem anderen Affekt getragen. Zweitens, wenn dies wirklich die geheime Natur des Unheimlichen ist, so verstehen wir, daß der Sprachgebrauch das Heimliche in seinen Gegensatz, das Unheimliche übergehen läßt (S. 250 f.), denn dies Unheimliche ist wirklich nichts Neues oder Fremdes, sondern etwas dem Seelenleben von alters her Vertrautes, das ihm nur durch den Prozeß der Verdrängung entfremdet worden ist. Die Beziehung auf die Verdrängung erhellt uns jetzt auch die Schellingsche Definition, das Unheimliche sei etwas, was im Verborgenen hätte bleiben sollen und hervorgetreten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erübrigt uns nur noch, die Einsicht, die wir gewonnen haben, an der Erklärung einiger anderer Fälle des Unheimlichen zu erproben.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Im allerhöchsten Grade unheimlich erscheint vielen Menschen, was mit dem Tod, mit Leichen und mit der Wiederkehr der Toten, mit Geistern und Gespenstern, zusammenhängt. Wir haben ja gehört, daß manche moderne Sprachen unseren Ausdruck: ein unheimliches Haus gar nicht anders wiedergeben können als durch die Umschreibung: ein Haus, in dem es spukt. Wir hätten eigentlich unsere Untersuchung mit diesem, vielleicht stärksten Beispiel von Unheimlichkeit beginnen können, aber wir taten es nicht, weil hier das Unheimliche zu sehr mit dem Grauenhaften vermengt und zum Teil von ihm gedeckt ist. Aber auf kaum einem anderen Gebiete hat sich unser Denken und Fühlen seit den Urzeiten so wenig verändert, ist das Alte unter dünner Decke so gut erhalten geblieben, wie in unserer Beziehung zum Tode. Zwei Momente geben für diesen Stillstand gute Auskunft: Die Stärke unserer ursprünglichen Gefühlsreaktionen und die Unsicherheit unserer wissenschaftlichen Erkenntnis. Unsere Biologie hat es noch nicht entscheiden können, ob der Tod das notwendige Schicksal jedes Lebewesens oder nur ein regelmäßiger, vielleicht aber vermeidlicher Zufall innerhalb des Lebens ist. Der Satz: alle Menschen müssen sterben, paradiert zwar in den Lehrbüchern der Logik als Vorbild einer allgemeinen Behauptung, aber keinem Menschen leuchtet er ein, und unser Unbewußtes hat jetzt sowenig Raum wie vormals für die Vorstellung der eigenen Sterblichkeit. Die Religionen bestreiten noch immer der unableugbaren Tatsache des individuellen Todes ihre Bedeutung und setzen die Existenz über das Lebensende hinaus fort; die staatlichen Gewalten meinen die moralische Ordnung unter den Lebenden nicht aufrechterhalten zu können, wenn man auf die Korrektur des Erdenlebens durch ein besseres Jenseits verzichten soll; auf den Anschlagsäulen unserer Großstädte werden Vorträge angekündigt, welche Belehrungen spenden wollen, wie man sich mit den Seelen der Verstorbenen in Verbindung setzen kann, und es ist unleugbar, daß mehrere der feinsten Köpfe und schärfsten Denker unter den Männern der Wissenschaft, zumal gegen das Ende ihrer eigenen Lebenszeit, geurteilt haben, daß es an Möglichkeiten für solchen Verkehr nicht fehle. Da fast alle von uns in diesem Punkt noch so denken wie die Wilden, ist es auch nicht zu verwundern, daß die primitive Angst vor dem Toten bei uns noch so mächtig ist und bereitliegt, sich zu äußern, sowie irgend etwas ihr entgegenkommt. Wahrscheinlich hat sie auch noch den alten Sinn, der Tote sei zum Feind des Überlebenden geworden und beabsichtige, ihn mit sich zu nehmen, als Genossen seiner neuen Existenz. Eher könnte man bei dieser Unveränderlichkeit der Einstellung zum Tode fragen, wo die Bedingung der Verdrängung bleibt, die erfordert wird, damit das Primitive als etwas Unheimliches wiederkehren könne. Aber die besteht doch auch; offiziell glauben die sogenannten Gebildeten nicht mehr </w:t>
      </w:r>
      <w:r w:rsidRPr="008725BE">
        <w:rPr>
          <w:rFonts w:ascii="Garamond" w:hAnsi="Garamond"/>
          <w:color w:val="000000"/>
          <w:lang w:val="en-GB"/>
        </w:rPr>
        <w:lastRenderedPageBreak/>
        <w:t xml:space="preserve">an das Sichtbarwerden der Verstorbenen als Seelen, haben deren Erscheinung an entlegene und selten verwirklichte Bedingungen geknüpft, und die ursprünglich höchst zweideutige, ambivalente Gefühlseinstellung zum Toten ist für die höheren Schichten des Seelenlebens zur eindeutigen der Pietät abgeschwächt worden </w:t>
      </w:r>
      <w:hyperlink r:id="rId75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›Das Tabu und die Ambivalenz‹, in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bedarf jetzt nur noch weniger Ergänzungen, denn mit dem Animismus, der Magie und Zauberei, der Allmacht der Gedanken, der Beziehung zum Tode, der unbeabsichtigten Wiederholung und dem Kastrationskomplex haben wir den Umfang der Momente, die das Ängstliche zum Unheimlichen machen, so ziemlich erschöpft.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heißen auch einen lebenden Menschen unheimlich, und zwar dann, wenn wir ihm böse Absichten zutrauen. Aber das reicht nicht hin, wir müssen noch hinzutun, daß diese seine Absichten, uns zu schaden, sich mit Hilfe besonderer Kräfte verwirklichen werden. Der » </w:t>
      </w:r>
      <w:r w:rsidRPr="008725BE">
        <w:rPr>
          <w:rFonts w:ascii="Garamond" w:hAnsi="Garamond"/>
          <w:i/>
          <w:iCs/>
          <w:color w:val="000000"/>
          <w:lang w:val="en-GB"/>
        </w:rPr>
        <w:t>Gettatore</w:t>
      </w:r>
      <w:r w:rsidRPr="008725BE">
        <w:rPr>
          <w:rFonts w:ascii="Garamond" w:hAnsi="Garamond"/>
          <w:color w:val="000000"/>
          <w:lang w:val="en-GB"/>
        </w:rPr>
        <w:t xml:space="preserve">« ist ein gutes Beispiel hiefür, diese unheimliche Gestalt des romanischen Aberglaubens, die Albrecht Schaeffer in dem Buche </w:t>
      </w:r>
      <w:r w:rsidRPr="008725BE">
        <w:rPr>
          <w:rFonts w:ascii="Garamond" w:hAnsi="Garamond"/>
          <w:i/>
          <w:iCs/>
          <w:color w:val="000000"/>
          <w:lang w:val="en-GB"/>
        </w:rPr>
        <w:t>Josef Montfort</w:t>
      </w:r>
      <w:r w:rsidRPr="008725BE">
        <w:rPr>
          <w:rFonts w:ascii="Garamond" w:hAnsi="Garamond"/>
          <w:color w:val="000000"/>
          <w:lang w:val="en-GB"/>
        </w:rPr>
        <w:t xml:space="preserve"> mit poetischer Intuition und tiefem psychoanalytischen Verständnis zu einer sympathischen Figur umgeschaffen hat. Aber mit diesen geheimen Kräften stehen wir bereits wieder auf dem Boden des Animismus. Die Ahnung solcher Geheimkräfte ist es, die dem frommen Gretchen den Mephisto so unheimlich werden läßt:</w:t>
      </w:r>
    </w:p>
    <w:p w:rsidR="008725BE" w:rsidRPr="008725BE" w:rsidRDefault="008725BE" w:rsidP="008725BE">
      <w:pPr>
        <w:pStyle w:val="Sansinterligne"/>
        <w:rPr>
          <w:rFonts w:ascii="Garamond" w:hAnsi="Garamond"/>
          <w:color w:val="000000"/>
        </w:rPr>
      </w:pPr>
      <w:r w:rsidRPr="008725BE">
        <w:rPr>
          <w:rFonts w:ascii="Garamond" w:hAnsi="Garamond"/>
          <w:color w:val="000000"/>
        </w:rPr>
        <w:t xml:space="preserve">Sie fühlt, daß ich ganz sicher ein Genie, </w:t>
      </w:r>
      <w:r w:rsidRPr="008725BE">
        <w:rPr>
          <w:rFonts w:ascii="Garamond" w:hAnsi="Garamond"/>
          <w:color w:val="000000"/>
        </w:rPr>
        <w:br/>
        <w:t>Vielleicht wohl gar der Teufel bin.</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rPr>
        <w:t xml:space="preserve">Das Unheimliche der Fallsucht, des Wahnsinns, hat denselben Ursprung. Der Laie sieht hier die Äußerung von Kräften vor sich, die er im Nebenmenschen nicht vermutet hat, deren Regung er aber in entlegenen Winkeln der eigenen Persönlichkeit dunkel zu spüren vermag. </w:t>
      </w:r>
      <w:r w:rsidRPr="008725BE">
        <w:rPr>
          <w:rFonts w:ascii="Garamond" w:hAnsi="Garamond"/>
          <w:color w:val="000000"/>
          <w:lang w:val="en-US"/>
        </w:rPr>
        <w:t>Das Mittelalter hatte konsequenterweise und psychologisch beinahe korrekt alle diese Krankheitsäußerungen der Wirkung von Dämonen zugeschrieben. Ja, ich würde mich nicht verwundern zu hören, daß die Psychoanalyse, die sich mit der Aufdeckung dieser geheimen Kräfte beschäftigt, vielen Menschen darum selbst unheimlich geworden ist. In einem Falle, als mir die Herstellung eines seit vielen Jahren siechen Mädchens –; wenn auch nicht sehr rasch –; gelungen war, habe ich's von der Mutter der für lange Zeit Geheilten selbst gehört.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US"/>
        </w:rPr>
        <w:t xml:space="preserve">Abgetrennte Glieder, ein abgehauener Kopf, eine vom Arm gelöste Hand wie in einem Märchen von Hauff, Füße, die für sich allein tanzen wie in dem erwähnten Buche von A. Schaeffer, haben etwas ungemein Unheimliches an sich, besonders wenn ihnen wie im letzten Beispiel noch eine selbständige Tätigkeit zugestanden wird. </w:t>
      </w:r>
      <w:r w:rsidRPr="008725BE">
        <w:rPr>
          <w:rFonts w:ascii="Garamond" w:hAnsi="Garamond"/>
          <w:color w:val="000000"/>
          <w:lang w:val="en-GB"/>
        </w:rPr>
        <w:t>Wir wissen schon, daß diese Unheimlichkeit von der Annäherung an den Kastrationskomplex herrührt. Manche Menschen würden die Krone der Unheimlichkeit der Vorstellung zuweisen, scheintot begraben zu werden. Allein die Psychoanalyse hat uns gelehrt, daß diese schreckende Phantasie nur die Umwandlung einer anderen ist, die ursprünglich nichts Schreckhaftes war, sondern von einer gewissen Lüsternheit getragen wurde, nämlich der Phantasie vom Leben im Mutterleib.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Tragen wir noch etwas Allgemeines nach, was strenggenommen bereits in unseren bisherigen Behauptungen über den Animismus und die überwundenen Arbeitsweisen des seelischen Apparats enthalten ist, aber doch einer besonderen Hervorhebung würdig scheint, daß es nämlich oft und leicht unheimlich wirkt, wenn die Grenze zwischen Phantasie und Wirklichkeit verwischt wird, wenn etwas real vor uns hintritt, was wir bisher für phantastisch gehalten haben, wenn ein Symbol die volle Leistung und Bedeutung des Symbolisierten übernimmt und dergleichen mehr. Hierauf beruht auch ein gutes Stück der Unheimlichkeit, die den magischen Praktiken anhaftet. Das Infantile daran, was auch das Seelenleben der Neurotiker beherrscht, ist die Überbetonung der psychischen Realität im Vergleich zur materiellen, ein Zug, welcher sich der Allmacht der Gedanken anschließt. Mitten in der Absperrung des Weltkrieges kam eine Nummer des englischen Magazins </w:t>
      </w:r>
      <w:r w:rsidRPr="008725BE">
        <w:rPr>
          <w:rFonts w:ascii="Garamond" w:hAnsi="Garamond"/>
          <w:i/>
          <w:iCs/>
          <w:color w:val="000000"/>
          <w:lang w:val="en-GB"/>
        </w:rPr>
        <w:t>Strand</w:t>
      </w:r>
      <w:r w:rsidRPr="008725BE">
        <w:rPr>
          <w:rFonts w:ascii="Garamond" w:hAnsi="Garamond"/>
          <w:color w:val="000000"/>
          <w:lang w:val="en-GB"/>
        </w:rPr>
        <w:t xml:space="preserve"> in meine Hände, in der ich unter anderen ziemlich überflüssigen Produktionen eine Erzählung las, wie ein junges Paar eine möblierte Wohnung bezieht, in der sich ein seltsam geformter Tisch mit holzgeschnitzten Krokodilen befindet. Gegen Abend pflegt sich dann ein unerträglicher, charakteristischer Gestank in der Wohnung zu verbreiten, man stolpert im Dunkeln über irgend etwas, man glaubt zu sehen, wie etwas Undefinierbares über die Treppe huscht, kurz, man soll erraten, daß infolge der Anwesenheit dieses Tisches gespenstische Krokodile im Hause spuken oder daß die hölzernen Scheusale im Dunkeln Leben bekommen oder etwas Ähnliches. Es war eine recht einfältige Geschichte, aber ihre unheimliche Wirkung verspürte man als ganz hervorragend.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Zum Schlusse dieser gewiß noch unvollständigen Beispielsammlung soll eine Erfahrung aus der psychoanalytischen Arbeit erwähnt werden, die, wenn sie nicht auf einem zufälligen Zusammentreffen beruht, die schönste Bekräftigung unserer Auffassung des Unheimlichen mit sich bringt. Es kommt oft vor, daß neurotische Männer erklären, das weibliche Genitale sei ihnen etwas Unheimliches. Dieses </w:t>
      </w:r>
      <w:r w:rsidRPr="008725BE">
        <w:rPr>
          <w:rFonts w:ascii="Garamond" w:hAnsi="Garamond"/>
          <w:color w:val="000000"/>
          <w:lang w:val="en-GB"/>
        </w:rPr>
        <w:lastRenderedPageBreak/>
        <w:t xml:space="preserve">Unheimliche ist aber der Eingang zur alten Heimat des Menschenkindes, zur Örtlichkeit, in der jeder einmal und zuerst geweilt hat. »Liebe ist Heimweh«, behauptet ein Scherzwort, und wenn der Träumer von einer Örtlichkeit oder Landschaft noch im Traume denkt: Das ist mir bekannt, da war ich schon einmal, so darf die Deutung dafür das Genitale oder den Leib der Mutter einsetzen. Das Unheimliche ist also auch in diesem Falle das ehemals Heimische, Altvertraute. Die Vorsilbe » </w:t>
      </w:r>
      <w:r w:rsidRPr="008725BE">
        <w:rPr>
          <w:rFonts w:ascii="Garamond" w:hAnsi="Garamond"/>
          <w:i/>
          <w:iCs/>
          <w:color w:val="000000"/>
          <w:lang w:val="en-GB"/>
        </w:rPr>
        <w:t>un</w:t>
      </w:r>
      <w:r w:rsidRPr="008725BE">
        <w:rPr>
          <w:rFonts w:ascii="Garamond" w:hAnsi="Garamond"/>
          <w:color w:val="000000"/>
          <w:lang w:val="en-GB"/>
        </w:rPr>
        <w:t>« an diesem Worte ist aber die Marke der Verdrängung.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Schon während der Lektüre der vorstehenden Erörterungen werden sich beim Leser Zweifel geregt haben, denen jetzt gestattet werden soll, sich zu sammeln und laut zu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mag zutreffen, daß das Unheimliche das Heimliche-Heimische ist, das eine Verdrängung erfahren hat und aus ihr wiedergekehrt ist, und daß alles Unheimliche diese Bedingung erfüllt. Aber mit dieser Stoffwahl scheint das Rätsel des Unheimlichen nicht gelöst. Unser Satz verträgt offenbar keine Umkehrung. Nicht alles, was an verdrängte Wunschregungen und überwundene Denkweisen der individuellen Vorzeit und der Völkerurzeit mahnt, ist darum auch unheimlich.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Auch wollen wir es nicht verschweigen, daß sich fast zu jedem Beispiel, welches unseren Satz erweisen sollte, ein analoges finden läßt, das ihm widerspricht. Die abgehauene Hand z. B. im Hauffschen Märchen ›Die Geschichte von der abgehauenen Hand‹ wirkt gewiß unheimlich, was wir auf den Kastrationskomplex zurückgeführt haben. Aber in der Erzählung des Herodot vom Schatz des Rhampsenit läßt der Meisterdieb, den die Prinzessin bei der Hand festhalten will, ihr die abgehauene Hand seines Bruders zurück, und andere werden wahrscheinlich ebenso wie ich urteilen, daß dieser Zug keine unheimliche Wirkung hervorruft. Die prompte Wunscherfüllung im ›Ring des Polykrates‹ wirkt auf uns sicherlich ebenso unheimlich wie auf den König von Ägypten selbst. Aber in unseren Märchen wimmelt es von sofortigen Wunscherfüllungen, und das Unheimliche bleibt dabei aus. Im Märchen von den drei Wünschen läßt sich die Frau durch den Wohlgeruch einer Bratwurst verleiten zu sagen, daß sie auch so ein Würstchen haben möchte. Sofort liegt es vor ihr auf dem Teller. Der Mann wünscht im Ärger, daß es der Vorwitzigen an der Nase hängen möge. Flugs baumelt es an ihrer Nase. Das ist sehr eindrucksvoll, aber nicht im geringsten unheimlich. Das Märchen stellt sich überhaupt ganz offen auf den animistischen Standpunkt der Allmacht von Gedanken und Wünschen, und ich wüßte doch kein echtes Märchen zu nennen, in dem irgendetwas Unheimliches vorkäme. Wir haben gehört, daß es in hohem Grade unheimlich wirkt, wenn leblose Dinge, Bilder, Puppen, sich beleben, aber in den Andersenschen Märchen leben die Hausgeräte, die Möbel, der Zinnsoldat, und nichts ist vielleicht vom Unheimlichen entfernter. Auch die Belebung der schönen Statue des Pygmalion wird man kaum als unheimlich empfinden.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Scheintod und Wiederbelebung von Toten haben wir als sehr unheimliche Vorstellungen kennengelernt. Dergleichen ist aber wiederum im Märchen sehr gewöhnlich; wer wagte es unheimlich zu nennen, wenn z. B. Schneewittchen die Augen wieder aufschlägt? Auch die Erweckung von Toten in den Wundergeschichten, z. B. des Neuen Testaments, ruft Gefühle hervor, die nichts mit dem Unheimlichen zu tun haben. Die unbeabsichtigte Wiederkehr des Gleichen, die uns so unzweifelhafte unheimliche Wirkungen ergeben hat, dient doch in einer Reihe von Fällen anderen, und zwar sehr verschiedenen Wirkungen. Wir haben schon einen Fall kennengelernt, in dem sie als Mittel zur Hervorrufung des komischen Gefühls gebraucht wird, und können Beispiele dieser Art häufen. Andere Male wirkt sie als Verstärkung u. dgl., ferner: woher rührt die Unheimlichkeit der Stille, des Alleinseins, der Dunkelheit? Deuten diese Momente nicht auf die Rolle der Gefahr bei der Entstehung des Unheimlichen, wenngleich es dieselben Bedingungen sind, unter denen wir die Kinder am häufigsten Angst äußern sehen? Und können wir wirklich das Moment der intellektuellen Unsicherheit ganz vernachlässigen, da wir doch seine Bedeutung für das Unheimliche des Todes zugegeben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 müssen wir wohl bereit sein anzunehmen, daß für das Auftreten des unheimlichen Gefühls noch andere als die von uns vorangestellten stofflichen Bedingungen maßgebend sind. Man könnte zwar sagen, mit jener ersten Feststellung sei das psychoanalytische Interesse am Problem des Unheimlichen erledigt, der Rest erfordere wahrscheinlich eine ästhetische Untersuchung. Aber damit würden wir dem Zweifel das Tor öffnen, welchen Wert unsere Einsicht in die Herkunft des Unheimlichen vom verdrängten Heimischen eigentlich beanspruchen darf.</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Beobachtung kann uns den Weg zur Lösung dieser Unsicherheiten weisen. Fast alle Beispiele, die unseren Erwartungen widersprechen, sind dem Bereich der Fiktion, der Dichtung, entnommen. Wir erhalten so einen Wink, einen Unterschied zu machen zwischen dem Unheimlichen, das man erlebt, und dem Unheimlichen, das man sich bloß vorstellt oder von dem man liest.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Das Unheimliche des Erlebens hat weit einfachere Bedingungen, umfaßt aber weniger zahlreiche Fälle. Ich glaube, es fügt sich ausnahmslos unserem Lösungsversuch, läßt jedesmal die Zurückführung auf altvertrautes Verdrängtes zu. Doch ist auch hier eine wichtige und psychologisch bedeutsame Scheidung des Materials vorzunehmen, die wir am besten an geeigneten Beispielen erkennen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Greifen wir das Unheimliche der Allmacht der Gedanken, der prompten Wunscherfüllung, der geheimen schädigenden Kräfte, der Wiederkehr der Toten heraus. Die Bedingung, unter der hier das Gefühl des Unheimlichen entsteht, ist nicht zu verkennen. Wir –; oder unsere primitiven Urahnen –; haben dereinst diese Möglichkeiten für Wirklichkeit gehalten, waren von der Realität dieser Vorgänge überzeugt. Heute glauben wir nicht mehr daran, wir haben diese Denkweisen </w:t>
      </w:r>
      <w:r w:rsidRPr="008725BE">
        <w:rPr>
          <w:rFonts w:ascii="Garamond" w:hAnsi="Garamond"/>
          <w:i/>
          <w:iCs/>
          <w:color w:val="000000"/>
          <w:lang w:val="en-GB"/>
        </w:rPr>
        <w:t>überwunden</w:t>
      </w:r>
      <w:r w:rsidRPr="008725BE">
        <w:rPr>
          <w:rFonts w:ascii="Garamond" w:hAnsi="Garamond"/>
          <w:color w:val="000000"/>
          <w:lang w:val="en-GB"/>
        </w:rPr>
        <w:t xml:space="preserve">, aber wir fühlen uns dieser neuen Überzeugungen nicht ganz sicher, die alten leben noch in uns fort und lauern auf Bestätigung. Sowie sich nun etwas in unserem Leben </w:t>
      </w:r>
      <w:r w:rsidRPr="008725BE">
        <w:rPr>
          <w:rFonts w:ascii="Garamond" w:hAnsi="Garamond"/>
          <w:i/>
          <w:iCs/>
          <w:color w:val="000000"/>
          <w:lang w:val="en-GB"/>
        </w:rPr>
        <w:t>ereignet</w:t>
      </w:r>
      <w:r w:rsidRPr="008725BE">
        <w:rPr>
          <w:rFonts w:ascii="Garamond" w:hAnsi="Garamond"/>
          <w:color w:val="000000"/>
          <w:lang w:val="en-GB"/>
        </w:rPr>
        <w:t xml:space="preserve">, was diesen alten abgelegten Überzeugungen eine Bestätigung zuzuführen scheint, haben wir das Gefühl des Unheimlichen, zu dem man das Urteil ergänzen kann: Also ist es doch wahr, daß man einen anderen durch den bloßen Wunsch töten kann, daß die Toten weiterleben und an der Stätte ihrer früheren Tätigkeit sichtbar werden u. dgl.! Wer im Gegenteil diese animistischen Überzeugungen bei sich gründlich und endgültig erledigt hat, für den entfällt das Unheimliche dieser Art. Das merkwürdigste Zusammentreffen von Wunsch und Erfüllung, die rätselhafteste Wiederholung ähnlicher Erlebnisse an demselben Ort oder zum gleichen Datum, die täuschendsten Gesichtswahrnehmungen und verdächtigsten Geräusche werden ihn nicht irremachen, keine Angst in ihm erwecken, die man als Angst vor dem »Unheimlichen« bezeichnen kann. Es handelt sich hier also rein um eine Angelegenheit der Realitätsprüfung, um eine Frage der materiellen Realität </w:t>
      </w:r>
      <w:hyperlink r:id="rId75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Da auch das Unheimliche des Doppelgängers von dieser Gattung ist, wird es interessant, die Wirkung zu erfahren, wenn uns einmal das Bild der eigenen Persönlichkeit ungerufen und unvermutet entgegentritt. E. Mach berichtet zwei solcher Beobachtungen in der </w:t>
        </w:r>
        <w:r w:rsidRPr="008725BE">
          <w:rPr>
            <w:rStyle w:val="innerfusslink3"/>
            <w:rFonts w:ascii="Garamond" w:hAnsi="Garamond" w:cs="Arial"/>
            <w:b/>
            <w:bCs/>
            <w:i/>
            <w:iCs/>
            <w:lang w:val="en-GB"/>
          </w:rPr>
          <w:t>Analyse der Empfindungen</w:t>
        </w:r>
        <w:r w:rsidRPr="008725BE">
          <w:rPr>
            <w:rStyle w:val="innerfusslink3"/>
            <w:rFonts w:ascii="Garamond" w:hAnsi="Garamond" w:cs="Arial"/>
            <w:b/>
            <w:bCs/>
            <w:lang w:val="en-GB"/>
          </w:rPr>
          <w:t xml:space="preserve"> (1900, 3). Er erschrak das eine Mal nicht wenig, als er erkannte, daß das gesehene Gesicht das eigene sei, das andere Mal fällte er ein sehr ungünstiges Urteil über den anscheinend Fremden, der in seinen Omnibus einstieg, »Was steigt doch da für ein herabgekommener Schulmeister ein.« –; Ich kann ein ähnliches Abenteuer erzählen: Ich saß allein im Abteil des Schlafwagens, als bei einem heftigeren Ruck der Fahrtbewegung die zur anstoßenden Toilette führende Tür aufging und ein älterer Herr im Schlafrock, die Reisemütze auf dem Kopfe, bei mir eintrat. Ich nahm an, daß er sich beim Verlassen des zwischen zwei Abteilen befindlichen Kabinetts in der Richtung geirrt hatte und fälschlich in mein Abteil gekommen war, sprang auf, um ihn aufzuklären, erkannte aber bald verdutzt, daß der Eindringling mein eigenes, vom Spiegel in der Verbindungstür entworfenes Bild war. Ich weiß noch, daß mir die Erscheinung gründlich mißfallen hatte. Anstatt also über den Doppelgänger zu erschrecken, hatten beide –; Mach wie ich –; ihn einfach nicht agnosziert. Ob aber das Mißfallen dabei nicht doch ein Rest jener archaischen Reaktion war, die den Doppelgänger als unheimlich empfindet?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Anders verhält es sich mit dem Unheimlichen, das von verdrängten infantilen Komplexen ausgeht, vom Kastrationskomplex, der Mutterleibsphantasie usw., nur daß reale Erlebnisse, welche diese Art von Unheimlichem erwecken, nicht sehr häufig sein können. Das Unheimliche des Erlebens gehört zumeist der früheren Gruppe an, für die Theorie ist aber die Unterscheidung der beiden sehr bedeutsam. Beim Unheimlichen aus infantilen Komplexen kommt die Frage der materiellen Realität gar nicht in Betracht, die psychische Realität tritt an deren Stelle. Es handelt sich um wirkliche Verdrängung eines Inhalts und um die Wiederkehr des Verdrängten, nicht um die Aufhebung des </w:t>
      </w:r>
      <w:r w:rsidRPr="008725BE">
        <w:rPr>
          <w:rFonts w:ascii="Garamond" w:hAnsi="Garamond"/>
          <w:i/>
          <w:iCs/>
          <w:color w:val="000000"/>
          <w:lang w:val="en-GB"/>
        </w:rPr>
        <w:t>Glaubens an die Realität</w:t>
      </w:r>
      <w:r w:rsidRPr="008725BE">
        <w:rPr>
          <w:rFonts w:ascii="Garamond" w:hAnsi="Garamond"/>
          <w:color w:val="000000"/>
          <w:lang w:val="en-GB"/>
        </w:rPr>
        <w:t xml:space="preserve"> dieses Inhalts. Man könnte sagen, in dem einen Falle sei ein gewisser Vorstellungsinhalt, im anderen der Glaube an seine (materielle) Realität verdrängt. Aber die letztere Ausdrucksweise dehnt wahrscheinlich den Gebrauch des Terminus »Verdrängung« über seine rechtmäßigen Grenzen aus. Es ist korrekter, wenn wir einer hier spürbaren psychologischen Differenz Rechnung tragen und den Zustand, in dem sich die animistischen Überzeugungen des Kulturmenschen befinden, als ein –; mehr oder weniger vollkommenes –; </w:t>
      </w:r>
      <w:r w:rsidRPr="008725BE">
        <w:rPr>
          <w:rFonts w:ascii="Garamond" w:hAnsi="Garamond"/>
          <w:i/>
          <w:iCs/>
          <w:color w:val="000000"/>
          <w:lang w:val="en-GB"/>
        </w:rPr>
        <w:t>Überwundensein</w:t>
      </w:r>
      <w:r w:rsidRPr="008725BE">
        <w:rPr>
          <w:rFonts w:ascii="Garamond" w:hAnsi="Garamond"/>
          <w:color w:val="000000"/>
          <w:lang w:val="en-GB"/>
        </w:rPr>
        <w:t xml:space="preserve"> bezeichnen. Unser Ergebnis lautete dann: Das Unheimliche des Erlebens kommt zustande, wenn </w:t>
      </w:r>
      <w:r w:rsidRPr="008725BE">
        <w:rPr>
          <w:rFonts w:ascii="Garamond" w:hAnsi="Garamond"/>
          <w:i/>
          <w:iCs/>
          <w:color w:val="000000"/>
          <w:lang w:val="en-GB"/>
        </w:rPr>
        <w:t>verdrängte</w:t>
      </w:r>
      <w:r w:rsidRPr="008725BE">
        <w:rPr>
          <w:rFonts w:ascii="Garamond" w:hAnsi="Garamond"/>
          <w:color w:val="000000"/>
          <w:lang w:val="en-GB"/>
        </w:rPr>
        <w:t xml:space="preserve"> infantile Komplexe durch einen Eindruck wieder belebt werden oder wenn </w:t>
      </w:r>
      <w:r w:rsidRPr="008725BE">
        <w:rPr>
          <w:rFonts w:ascii="Garamond" w:hAnsi="Garamond"/>
          <w:i/>
          <w:iCs/>
          <w:color w:val="000000"/>
          <w:lang w:val="en-GB"/>
        </w:rPr>
        <w:t>überwundene</w:t>
      </w:r>
      <w:r w:rsidRPr="008725BE">
        <w:rPr>
          <w:rFonts w:ascii="Garamond" w:hAnsi="Garamond"/>
          <w:color w:val="000000"/>
          <w:lang w:val="en-GB"/>
        </w:rPr>
        <w:t xml:space="preserve"> primitive Überzeugungen wieder bestätigt scheinen. Endlich darf man sich durch die Vorliebe für glatte Erledigung und durchsichtige Darstellung nicht vom Bekenntnis abhalten lassen, daß die beiden hier aufgestellten Arten des Unheimlichen im Erleben nicht immer scharf zu sondern sind. Wenn man bedenkt, daß die primitiven Überzeugungen auf das innigste mit den infantilen Komplexen </w:t>
      </w:r>
      <w:r w:rsidRPr="008725BE">
        <w:rPr>
          <w:rFonts w:ascii="Garamond" w:hAnsi="Garamond"/>
          <w:color w:val="000000"/>
          <w:lang w:val="en-GB"/>
        </w:rPr>
        <w:lastRenderedPageBreak/>
        <w:t>zusammenhängen und eigentlich in ihnen wurzeln, wird man sich über diese Verwischung der Abgrenzungen nicht viel verwundern.</w:t>
      </w:r>
    </w:p>
    <w:p w:rsidR="008725BE" w:rsidRPr="008725BE" w:rsidRDefault="008725BE" w:rsidP="008725BE">
      <w:pPr>
        <w:pStyle w:val="Sansinterligne"/>
        <w:rPr>
          <w:rFonts w:ascii="Garamond" w:hAnsi="Garamond"/>
          <w:color w:val="000000"/>
        </w:rPr>
      </w:pPr>
      <w:r w:rsidRPr="008725BE">
        <w:rPr>
          <w:rFonts w:ascii="Garamond" w:hAnsi="Garamond"/>
          <w:color w:val="000000"/>
        </w:rPr>
        <w:t xml:space="preserve">Das Unheimliche der Fiktion –; der Phantasie, der Dichtung –; verdient in der Tat eine gesonderte Betrachtung. Es ist vor allem weit reichhaltiger als das Unheimliche des Erlebens, es umfaßt dieses in seiner Gänze und dann noch anderes, was unter den Bedingungen des Erlebens nicht vorkommt. Der Gegensatz zwischen Verdrängtem und Überwundenem kann nicht ohne tiefgreifende Modifikation auf das Unheimliche der Dichtung übertragen werden, denn das Reich der Phantasie hat ja zur Voraussetzung seiner Geltung, daß sein Inhalt von der Realitätsprüfung enthoben ist. Das paradox klingende Ergebnis ist, </w:t>
      </w:r>
      <w:r w:rsidRPr="008725BE">
        <w:rPr>
          <w:rFonts w:ascii="Garamond" w:hAnsi="Garamond"/>
          <w:i/>
          <w:iCs/>
          <w:color w:val="000000"/>
        </w:rPr>
        <w:t>daß in der Dichtung vieles nicht unheimlich ist, was unheimlich wäre, wenn es sich imLeben ereignete, und daß in der Dichtung viele Möglichkeiten bestehen, unheimliche Wirkungen zu erzielen, die fürs Leben wegfallen.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Zu den vielen Freiheiten des Dichters gehört auch die, seine Darstellungswelt nach Belieben so zu wählen, daß sie mit der uns vertrauten Realität zusammenfällt oder sich irgendwie von ihr entfernt. </w:t>
      </w:r>
      <w:r w:rsidRPr="008725BE">
        <w:rPr>
          <w:rFonts w:ascii="Garamond" w:hAnsi="Garamond"/>
          <w:color w:val="000000"/>
          <w:lang w:val="en-GB"/>
        </w:rPr>
        <w:t>Wir folgen ihm in jedem Falle. Die Welt des Märchens z. B. hat den Boden der Realität von vornherein verlassen und sich offen zur Annahme der animistischen Überzeugungen bekannt. Wunscherfüllungen, geheime Kräfte, Allmacht der Gedanken, Belebung des Leblosen, die im Märchen ganz gewöhnlich sind, können hier keine unheimliche Wirkung äußern, denn für die Entstehung des unheimlichen Gefühls ist, wie wir gehört haben, der Urteilsstreit erforderlich, ob das überwundene Unglaubwürdige nicht doch real möglich ist, eine Frage, die durch die Voraussetzungen der Märchenwelt überhaupt aus dem Wege geräumt ist. So verwirklicht das Märchen, das uns die meisten Beispiele von Widerspruch gegen unsere Lösung des Unheimlichen geliefert hat, den zuerst erwähnten Fall, daß im Reiche der Fiktion vieles nicht unheimlich ist, was unheimlich wirken müßte, wenn es sich im Leben ereignete. Dazu kommen fürs Märchen noch andere Momente, die später kurz berührt werden sollen.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Dichter kann sich auch eine Welt erschaffen haben, die, minder phantastisch als die Märchenwelt, sich von der realen doch durch die Aufnahme von höheren geistigen Wesen, Dämonen oder Geistern Verstorbener scheidet. Alles Unheimliche, was diesen Gestalten anhaften könnte, entfällt dann, soweit die Voraussetzungen dieser poetischen Realität reichen. Die Seelen der Danteschen </w:t>
      </w:r>
      <w:r w:rsidRPr="008725BE">
        <w:rPr>
          <w:rFonts w:ascii="Garamond" w:hAnsi="Garamond"/>
          <w:i/>
          <w:iCs/>
          <w:color w:val="000000"/>
          <w:lang w:val="en-GB"/>
        </w:rPr>
        <w:t>Hölle</w:t>
      </w:r>
      <w:r w:rsidRPr="008725BE">
        <w:rPr>
          <w:rFonts w:ascii="Garamond" w:hAnsi="Garamond"/>
          <w:color w:val="000000"/>
          <w:lang w:val="en-GB"/>
        </w:rPr>
        <w:t xml:space="preserve"> oder die Geistererscheinungen in Shakespeares </w:t>
      </w:r>
      <w:r w:rsidRPr="008725BE">
        <w:rPr>
          <w:rFonts w:ascii="Garamond" w:hAnsi="Garamond"/>
          <w:i/>
          <w:iCs/>
          <w:color w:val="000000"/>
          <w:lang w:val="en-GB"/>
        </w:rPr>
        <w:t>Hamlet, Macbeth, Julius Caesar</w:t>
      </w:r>
      <w:r w:rsidRPr="008725BE">
        <w:rPr>
          <w:rFonts w:ascii="Garamond" w:hAnsi="Garamond"/>
          <w:color w:val="000000"/>
          <w:lang w:val="en-GB"/>
        </w:rPr>
        <w:t xml:space="preserve"> mögen düster und schreckhaft genug sein, aber unheimlich sind sie im Grunde ebensowenig wie etwa die heitere Götterwelt Homers. Wir passen unser Urteil den Bedingungen dieser vom Dichter fingierten Realität an und behandeln Seelen, Geister und Gespenster, als wären sie vollberechtigte Existenzen, wie wir es selbst in der materiellen Realität sind. Auch dies ist ein Fall, in dem Unheimlichkeit erspart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Anders nun, wenn der Dichter sich dem Anscheine nach auf den Boden der gemeinen Realität gestellt hat. Dann übernimmt er auch alle Bedingungen, die im Erleben für die Entstehung des unheimlichen Gefühls gelten, und alles was im Leben unheimlich wirkt, wirkt auch so in der Dichtung. Aber in diesem Falle kann der Dichter auch das Unheimliche weit über das im Erleben mögliche Maß hinaus steigern und vervielfältigen, indem er solche Ereignisse vorfallen läßt, die in der Wirklichkeit nicht oder nur sehr selten zur Erfahrung gekommen wären. Er verrät uns dann gewissermaßen an unseren für überwunden gehaltenen Aberglauben, er betrügt uns, indem er uns die gemeine Wirklichkeit verspricht und dann doch über diese hinausgeht. Wir reagieren auf seine Fiktionen so, wie wir auf eigene Erlebnisse reagiert hätten; wenn wir den Betrug merken, ist es zu spät, der Dichter hat seine Absicht bereits erreicht, aber ich muß behaupten, er hat keine reine Wirkung erzielt. Bei uns bleibt ein Gefühl von Unbefriedigung, eine Art von Groll über die versuchte Täuschung, wie ich es besonders deutlich nach der Lektüre von Schnitzlers Erzählung </w:t>
      </w:r>
      <w:r w:rsidRPr="008725BE">
        <w:rPr>
          <w:rFonts w:ascii="Garamond" w:hAnsi="Garamond"/>
          <w:i/>
          <w:iCs/>
          <w:color w:val="000000"/>
          <w:lang w:val="en-GB"/>
        </w:rPr>
        <w:t>Die Weissagung</w:t>
      </w:r>
      <w:r w:rsidRPr="008725BE">
        <w:rPr>
          <w:rFonts w:ascii="Garamond" w:hAnsi="Garamond"/>
          <w:color w:val="000000"/>
          <w:lang w:val="en-GB"/>
        </w:rPr>
        <w:t xml:space="preserve"> und ähnlichen mit dem Wunderbaren liebäugelnden Produktionen verspürt habe. Der Dichter hat dann noch ein Mittel zur Verfügung, durch welches er sich dieser unserer Auflehnung entziehen und gleichzeitig die Bedingungen für das Erreichen seiner Absichten verbessern kann. Es besteht darin, daß er uns lange Zeit über nicht erraten läßt, welche Voraussetzungen er eigentlich für die von ihm angenommene Welt gewählt hat, oder daß er kunstvoll und arglistig einer solchen entscheidenden Aufklärung bis zum Ende ausweicht. Im ganzen wird aber hier der vorhin angekündigte Fall verwirklicht, daß die Fiktion neue Möglichkeiten des unheimlichen Gefühls erschafft, die im Erleben wegfallen würden.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Alle diese Mannigfaltigkeiten beziehen sich strenggenommen nur auf das Unheimliche, das aus dem Überwundenen entsteht. Das Unheimliche aus verdrängten Komplexen ist resistenter, es bleibt in der Dichtung –; von einer Bedingung abgesehen –; ebenso unheimlich wie im Erleben. Das andere Unheimliche, das aus dem Überwundenen, zeigt diesen Charakter im Erleben und in der Dichtung, die sich auf den Boden der materiellen Realität stellt, kann ihn aber in den fiktiven, vom Dichter geschaffenen Realitäten einbüßen.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Es ist offenkundig, daß die Freiheiten des Dichters und damit die Vorrechte der Fiktion in der Hervorrufung und Hemmung des unheimlichen Gefühls durch die vorstehenden Bemerkungen nicht erschöpft werden. Gegen das Erleben verhalten wir uns im allgemeinen gleichmäßig passiv und unterliegen der Einwirkung des Stofflichen. Für den Dichter sind wir aber in besonderer Weise lenkbar; durch die Stimmung, in die er uns versetzt, durch die Erwartungen, die er in uns erregt, kann er unsere Gefühlsprozesse von dem einen Erfolg ablenken und auf einen anderen einstellen und kann aus demselben Stoff oft sehr verschiedenartige Wirkungen gewinnen. Dies ist alles längst bekannt und wahrscheinlich von den berufenen Ästhetikern eingehend gewürdigt worden. Wir sind auf dieses Gebiet der Forschung ohne rechte Absicht geführt worden, indem wir der Versuchung nachgaben, den Widerspruch gewisser Beispiele gegen unsere Ableitung des Unheimlichen aufzuklären. Zu einzelnen dieser Beispiele wollen wir darum auch zurückkehren.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fragten vorhin, warum die abgehauene Hand im Schatz des Rhampsenit nicht unheimlich wirke wie etwa in der Hauffschen ›Geschichte von der abgehauenen Hand‹. </w:t>
      </w:r>
      <w:r w:rsidRPr="008725BE">
        <w:rPr>
          <w:rFonts w:ascii="Garamond" w:hAnsi="Garamond"/>
          <w:color w:val="000000"/>
        </w:rPr>
        <w:t xml:space="preserve">Die Frage erscheint uns jetzt bedeutsamer, da wir die größere Resistenz des Unheimlichen aus der Quelle verdrängter Komplexe erkannt haben. Die Antwort ist leicht zu geben. Sie lautet, daß wir in dieser Erzählung nicht auf die Gefühle der Prinzessin, sondern auf die überlegene Schlauheit des »Meisterdiebes« eingestellt werden. Der Prinzessin mag das unheimliche Gefühl dabei nicht erspart worden sein, wir wollen es selbst für glaubhaft halten, daß sie in Ohnmacht gefallen ist, aber wir verspüren nichts Unheimliches, denn wir versetzen uns nicht in sie, sondern in den anderen. Durch eine andere Konstellation wird uns der Eindruck des Unheimlichen in der Nestroyschen Posse </w:t>
      </w:r>
      <w:r w:rsidRPr="008725BE">
        <w:rPr>
          <w:rFonts w:ascii="Garamond" w:hAnsi="Garamond"/>
          <w:i/>
          <w:iCs/>
          <w:color w:val="000000"/>
        </w:rPr>
        <w:t>Der Zerrissene</w:t>
      </w:r>
      <w:r w:rsidRPr="008725BE">
        <w:rPr>
          <w:rFonts w:ascii="Garamond" w:hAnsi="Garamond"/>
          <w:color w:val="000000"/>
        </w:rPr>
        <w:t xml:space="preserve"> erspart, wenn der Geflüchtete, der sich für einen Mörder hält, aus jeder Falltür, deren Deckel er aufhebt, das vermeintliche Gespenst des Ermordeten aufsteigen sieht und verzweifelt ausruft: Ich hab' doch nur </w:t>
      </w:r>
      <w:r w:rsidRPr="008725BE">
        <w:rPr>
          <w:rFonts w:ascii="Garamond" w:hAnsi="Garamond"/>
          <w:i/>
          <w:iCs/>
          <w:color w:val="000000"/>
        </w:rPr>
        <w:t>einen</w:t>
      </w:r>
      <w:r w:rsidRPr="008725BE">
        <w:rPr>
          <w:rFonts w:ascii="Garamond" w:hAnsi="Garamond"/>
          <w:color w:val="000000"/>
        </w:rPr>
        <w:t xml:space="preserve"> umgebracht. Zu was diese gräßliche Multiplikation? Wir kennen die Vorbedingungen dieser Szene, teilen den Irrtum des »Zerrissenen« nicht, und darum wirkt, was für ihn unheimlich sein muß, auf uns mit unwiderstehlicher Komik. Sogar ein »wirkliches« </w:t>
      </w:r>
      <w:r w:rsidRPr="008725BE">
        <w:rPr>
          <w:rFonts w:ascii="Garamond" w:hAnsi="Garamond"/>
          <w:i/>
          <w:iCs/>
          <w:color w:val="000000"/>
        </w:rPr>
        <w:t>Gespenst</w:t>
      </w:r>
      <w:r w:rsidRPr="008725BE">
        <w:rPr>
          <w:rFonts w:ascii="Garamond" w:hAnsi="Garamond"/>
          <w:color w:val="000000"/>
        </w:rPr>
        <w:t xml:space="preserve"> wie das in O. Wildes Erzählung </w:t>
      </w:r>
      <w:r w:rsidRPr="008725BE">
        <w:rPr>
          <w:rFonts w:ascii="Garamond" w:hAnsi="Garamond"/>
          <w:i/>
          <w:iCs/>
          <w:color w:val="000000"/>
        </w:rPr>
        <w:t>Der Geist von Canterville</w:t>
      </w:r>
      <w:r w:rsidRPr="008725BE">
        <w:rPr>
          <w:rFonts w:ascii="Garamond" w:hAnsi="Garamond"/>
          <w:color w:val="000000"/>
        </w:rPr>
        <w:t xml:space="preserve"> muß all seiner Ansprüche, wenigstens Grauen zu erregen, verlustig werden, wenn der Dichter sich den Scherz macht, es zu ironisieren und hänseln zu lassen. </w:t>
      </w:r>
      <w:r w:rsidRPr="008725BE">
        <w:rPr>
          <w:rFonts w:ascii="Garamond" w:hAnsi="Garamond"/>
          <w:color w:val="000000"/>
          <w:lang w:val="en-GB"/>
        </w:rPr>
        <w:t>So unabhängig kann in der Welt der Fiktion die Gefühlswirkung von der Stoffwahl sein. In der Welt der Märchen sollen Angstgefühle, also auch unheimliche Gefühle überhaupt nicht erweckt werden. Wir verstehen das und sehen darum auch über die Anlässe hinweg, bei denen etwas Derartiges möglich wäre.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Von der Einsamkeit, Stille und Dunkelheit können wir nichts anderes sagen, als daß dies wirklich die Momente sind, an welche die bei den meisten Menschen nie ganz erlöschende Kinderangst geknüpft ist. Die psychoanalytische Forschung hat sich mit dem Problem derselben an anderer Stelle auseinandergesetzt.</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US"/>
        </w:rPr>
        <w:br w:type="page"/>
      </w:r>
      <w:hyperlink w:anchor="KSinhalt" w:history="1">
        <w:r w:rsidRPr="008725BE">
          <w:rPr>
            <w:rStyle w:val="Lienhypertexte"/>
            <w:rFonts w:ascii="Garamond" w:hAnsi="Garamond" w:cs="Arial"/>
            <w:b/>
            <w:bCs/>
            <w:lang w:val="en-GB"/>
          </w:rPr>
          <w:t>De</w:t>
        </w:r>
        <w:bookmarkStart w:id="146" w:name="KS11"/>
        <w:bookmarkEnd w:id="146"/>
        <w:r w:rsidRPr="008725BE">
          <w:rPr>
            <w:rStyle w:val="Lienhypertexte"/>
            <w:rFonts w:ascii="Garamond" w:hAnsi="Garamond" w:cs="Arial"/>
            <w:b/>
            <w:bCs/>
            <w:lang w:val="en-GB"/>
          </w:rPr>
          <w:t>r Dichter und das Phantasieren</w:t>
        </w:r>
      </w:hyperlink>
      <w:r w:rsidRPr="008725BE">
        <w:rPr>
          <w:rFonts w:ascii="Garamond" w:hAnsi="Garamond"/>
          <w:color w:val="000000"/>
          <w:lang w:val="en-GB"/>
        </w:rPr>
        <w:t xml:space="preserve">  </w:t>
      </w:r>
      <w:r w:rsidRPr="008725BE">
        <w:rPr>
          <w:rFonts w:ascii="Garamond" w:hAnsi="Garamond"/>
          <w:caps/>
          <w:color w:val="000000"/>
          <w:lang w:val="en-GB"/>
        </w:rPr>
        <w:t>(1908)</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Uns Laien hat es immer mächtig gereizt zu wissen, woher diese merkwürdige Persönlichkeit, der Dichter, seine Stoffe nimmt –; etwa im Sinne der Frage, die jener Kardinal an den Ariosto richtete –; und wie er es zustande bringt, uns mit ihnen so zu ergreifen, Erregungen in uns hervorzurufen, deren wir uns vielleicht nicht einmal für fähig gehalten hätten. Unser Interesse hiefür wird nur gesteigert durch den Umstand, daß der Dichter selbst, wenn wir ihn befragen, uns keine oder keine befriedigende Auskunft gibt, und wird gar nicht gestört durch unser Wissen, daß die beste Einsicht in die Bedingungen der dichterischen Stoffwahl und in das Wesen der poetischen Gestaltungskunst nichts dazu beitragen würde, uns selbst zu Dichtern zu machen.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wir wenigstens bei uns oder bei unsersgleichen eine dem Dichten irgendwie verwandte Tätigkeit auffinden könnten! Die Untersuchung derselben ließe uns hoffen, eine erste Aufklärung über das Schaffen des Dichters zu gewinnen. Und wirklich, dafür ist Aussicht vorhanden –; die Dichter selbst lieben es ja, den Abstand zwischen ihrer Eigenart und allgemein menschlichem Wesen zu verringern; sie versichern uns so häufig, daß in jedem Menschen ein Dichter stecke und daß der letzte Dichter erst mit dem letzten Menschen sterben werde.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Sollten wir die ersten Spuren dichterischer Betätigung nicht schon beim Kinde suchen? Die liebste und intensivste Beschäftigung des Kindes ist das Spiel. Vielleicht dürfen wir sagen: Jedes spielende Kind benimmt sich wie ein Dichter, indem es sich eine eigene Welt erschafft oder, richtiger gesagt, die Dinge seiner Welt in eine neue, ihm gefällige Ordnung versetzt. Es wäre dann unrecht zu meinen, es nähme diese Welt nicht ernst; im Gegenteil, es nimmt sein Spiel sehr ernst, es verwendet große Affektbeträge darauf. Der Gegensatz zu Spiel ist nicht Ernst, sondern –; Wirklichkeit. Das Kind unterscheidet seine Spielwelt sehr wohl, trotz aller Affektbesetzung, von der Wirklichkeit und lehnt seine imaginierten Objekte und Verhältnisse gerne an greifbare und sichtbare Dinge der wirklichen Welt an. Nichts anderes als diese Anlehnung unterscheidet das »Spielen« des Kindes noch vom »Phantasieren«.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Dichter tut nun dasselbe wie das spielende Kind; er erschafft eine Phantasiewelt, die er sehr ernst nimmt, d. h. mit großen Affektbeträgen ausstattet, während er sie von der Wirklichkeit scharf sondert. Und die Sprache hat diese Verwandtschaft von Kinderspiel und poetischem Schaffen festgehalten, indem sie solche Veranstaltungen des Dichters, welche der Anlehnung an greifbare Objekte bedürfen, welche der Darstellung fähig sind, als </w:t>
      </w:r>
      <w:r w:rsidRPr="008725BE">
        <w:rPr>
          <w:rFonts w:ascii="Garamond" w:hAnsi="Garamond"/>
          <w:i/>
          <w:iCs/>
          <w:color w:val="000000"/>
          <w:lang w:val="en-GB"/>
        </w:rPr>
        <w:t>Spiele: Lustspiel, Trauerspiel</w:t>
      </w:r>
      <w:r w:rsidRPr="008725BE">
        <w:rPr>
          <w:rFonts w:ascii="Garamond" w:hAnsi="Garamond"/>
          <w:color w:val="000000"/>
          <w:lang w:val="en-GB"/>
        </w:rPr>
        <w:t xml:space="preserve">, und die Person, welche sie darstellt, als </w:t>
      </w:r>
      <w:r w:rsidRPr="008725BE">
        <w:rPr>
          <w:rFonts w:ascii="Garamond" w:hAnsi="Garamond"/>
          <w:i/>
          <w:iCs/>
          <w:color w:val="000000"/>
          <w:lang w:val="en-GB"/>
        </w:rPr>
        <w:t>Schauspieler</w:t>
      </w:r>
      <w:r w:rsidRPr="008725BE">
        <w:rPr>
          <w:rFonts w:ascii="Garamond" w:hAnsi="Garamond"/>
          <w:color w:val="000000"/>
          <w:lang w:val="en-GB"/>
        </w:rPr>
        <w:t xml:space="preserve"> bezeichnet. Aus der Unwirklichkeit der dichterischen Welt ergeben sich aber sehr wichtige Folgen für die künstlerische Technik, denn vieles, was als real nicht Genuß bereiten könnte, kann dies doch im Spiele der Phantasie, viele an sich eigentlich peinliche Erregungen können für den Hörer und Zuschauer des Dichters zur Quelle der Lust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Verweilen wir einer anderen Beziehung wegen noch einen Augenblick bei dem Gegensatze von Wirklichkeit und Spiel! Wenn das Kind herangewachsen ist und aufgehört hat zu spielen, wenn es sich durch Jahrzehnte seelisch bemüht hat, die Wirklichkeiten des Lebens mit dem erforderlichen Ernste zu erfassen, so kann es eines Tages in eine seelische Disposition geraten, welche den Gegensatz zwischen Spiel und Wirklichkeit wieder aufhebt. Der Erwachsene kann sich darauf besinnen, mit welchem hohen Ernst er einst seine Kinderspiele betrieb, und indem er nun seine vorgeblich ernsten Beschäftigungen jenen Kinderspielen gleichstellt, wirft er die allzu schwere Bedrückung durch das Leben ab und erringt sich den hohen Lustgewinn des </w:t>
      </w:r>
      <w:r w:rsidRPr="008725BE">
        <w:rPr>
          <w:rFonts w:ascii="Garamond" w:hAnsi="Garamond"/>
          <w:i/>
          <w:iCs/>
          <w:color w:val="000000"/>
          <w:lang w:val="en-GB"/>
        </w:rPr>
        <w:t>Humors</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Heranwachsende hört also auf zu spielen, er verzichtet scheinbar auf den Lustgewinn, den er aus dem Spiele bezog. Aber wer das Seelenleben des Menschen kennt, der weiß, daß ihm kaum etwas anderes so schwer wird wie der Verzicht auf einmal gekannte Lust. Eigentlich können wir auf nichts verzichten, wir vertauschen nur eines mit dem andern; was ein Verzicht zu sein scheint, ist in Wirklichkeit eine Ersatz- oder Surrogatbildung. So gibt auch der Heranwachsende, wenn er aufhört zu spielen, nichts anderes auf als die Anlehnung an reale Objekte; anstatt zu </w:t>
      </w:r>
      <w:r w:rsidRPr="008725BE">
        <w:rPr>
          <w:rFonts w:ascii="Garamond" w:hAnsi="Garamond"/>
          <w:i/>
          <w:iCs/>
          <w:color w:val="000000"/>
          <w:lang w:val="en-GB"/>
        </w:rPr>
        <w:t>spielen, phantasiert</w:t>
      </w:r>
      <w:r w:rsidRPr="008725BE">
        <w:rPr>
          <w:rFonts w:ascii="Garamond" w:hAnsi="Garamond"/>
          <w:color w:val="000000"/>
          <w:lang w:val="en-GB"/>
        </w:rPr>
        <w:t xml:space="preserve"> er jetzt. Er baut sich Luftschlösser, schafft das, was man Tagträume nennt. Ich glaube, daß die meisten Menschen zu Zeiten ihres Lebens Phantasien bilden. Es ist das eine Tatsache, die man lange Zeit übersehen und deren Bedeutung man darum nicht genug gewürdigt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Phantasieren der Menschen ist weniger leicht zu beobachten als das Spielen der Kinder. Das Kind spielt zwar auch allein oder es bildet mit anderen Kindern ein geschlossenes psychisches System zum Zwecke des Spieles, aber wenn es auch den Erwachsenen nichts vorspielt, so verbirgt es doch sein Spielen nicht vor ihnen. Der Erwachsene aber schämt sich seiner Phantasien und versteckt sie vor anderen, er hegt sie als seine eigensten Intimitäten, er würde in der Regel lieber seine Vergehungen eingestehen als </w:t>
      </w:r>
      <w:r w:rsidRPr="008725BE">
        <w:rPr>
          <w:rFonts w:ascii="Garamond" w:hAnsi="Garamond"/>
          <w:color w:val="000000"/>
          <w:lang w:val="en-GB"/>
        </w:rPr>
        <w:lastRenderedPageBreak/>
        <w:t>seine Phantasien mitteilen. Es mag vorkommen, daß er sich darum für den einzigen hält, der solche Phantasien bildet, und von der allgemeinen Verbreitung ganz ähnlicher Schöpfungen bei anderen nichts ahnt. Dies verschiedene Verhalten des Spielenden und des Phantasierenden findet seine gute Begründung in den Motiven der beiden einander doch fortsetzenden Tätigkeiten.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Spielen des Kindes wurde von Wünschen dirigiert, eigentlich von dem einen Wunsche, der das Kind erziehen hilft, vom Wunsche: groß und erwachsen zu sein. Es spielt immer »groß sein«, imitiert im Spiele, was ihm vom Leben der Großen bekannt geworden ist. Es hat nun keinen Grund, diesen Wunsch zu verbergen. Anders der Erwachsene; dieser weiß einerseits, daß man von ihm erwartet, nicht mehr zu spielen oder zu phantasieren, sondern in der wirklichen Welt zu handeln, und anderseits sind unter den seine Phantasien erzeugenden Wünschen manche, die es überhaupt zu verbergen nottut; darum schämt er sich seines Phantasierens als kindisch und als unerlaubt.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Sie werden fragen, woher man denn über das Phantasieren der Menschen so genau Bescheid wisse, wenn es von ihnen mit soviel Geheimtun verhüllt wird. Nun, es gibt eine Gattung von Menschen, denen zwar nicht ein Gott, aber eine strenge Göttin –; die Notwendigkeit –; den Auftrag erteilt hat zu sagen, was sie leiden und woran sie sich erfreuen. Es sind dies die Nervösen, die dem Arzte, von dem sie Herstellung durch psychische Behandlung erwarten, auch ihre Phantasien eingestehen müssen; aus dieser Quelle stammt unsere beste Kenntnis, und wir sind dann zu der wohl begründeten Vermutung gelangt, daß unsere Kranken uns nichts anderes mitteilen, als was wir auch von den Gesunden erfahren könnten.</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rPr>
        <w:t xml:space="preserve">Gehen wir daran, einige der Charaktere des Phantasierens kennenzulernen. Man darf sagen, der Glückliche phantasiert nie, nur der Unbefriedigte. Unbefriedigte Wünsche sind die Triebkräfte der Phantasien, und jede einzelne Phantasie ist eine Wunscherfüllung, eine Korrektur der unbefriedigenden Wirklichkeit. Die treibenden Wünsche sind verschieden je nach Geschlecht, Charakter und Lebensverhältnissen der phantasierenden Persönlichkeit; sie lassen sich aber ohne Zwang nach zwei Hauptrichtungen gruppieren. Es sind entweder ehrgeizige Wünsche, welche der Erhöhung der Persönlichkeit dienen, oder erotische. Beim jungen Weibe herrschen die erotischen Wünsche fast ausschließend, denn sein Ehrgeiz wird in der Regel vom Liebesstreben aufgezehrt; beim jungen Manne sind neben den erotischen die eigensüchtigen und ehrgeizigen Wünsche vordringlich genug. </w:t>
      </w:r>
      <w:r w:rsidRPr="008725BE">
        <w:rPr>
          <w:rFonts w:ascii="Garamond" w:hAnsi="Garamond"/>
          <w:color w:val="000000"/>
          <w:lang w:val="en-US"/>
        </w:rPr>
        <w:t>Doch wollen wir nicht den Gegensatz beider Richtungen, sondern vielmehr deren häufige Vereinigung betonen; wie in vielen Altarbildern in einer Ecke das Bildnis des Stifters sichtbar ist, so können wir an den meisten ehrgeizigen Phantasien in irgendeinem Winkel die Dame entdecken, für die der Phantast all diese Heldentaten vollführt, der er alle Erfolge zu Füßen legt. Sie sehen, hier liegen genug starke Motive zum Verbergen vor; dem wohlerzogenen Weibe wird ja überhaupt nur ein Minimum von erotischer Bedürftigkeit zugebilligt, und der junge Mann soll das Übermaß von Selbstgefühl, welches er aus der Verwöhnung der Kindheit mitbringt, zum Zwecke der Einordnung in die an ähnlich anspruchsvollen Individuen so reiche Gesellschaft unterdrücken lernen.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US"/>
        </w:rPr>
        <w:t xml:space="preserve">Die Produkte dieser phantasierenden Tätigkeit, die einzelnen Phantasien, Luftschlösser oder Tagträume dürfen wir uns nicht als starr und unveränderlich vorstellen. Sie schmiegen sich vielmehr den wechselnden Lebenseindrücken an, verändern sich mit jeder Schwankung der Lebenslage, empfangen von jedem wirksamen neuen Eindrucke eine sogenannte »Zeitmarke«. Das Verhältnis der Phantasie zur Zeit ist überhaupt sehr bedeutsam. </w:t>
      </w:r>
      <w:r w:rsidRPr="008725BE">
        <w:rPr>
          <w:rFonts w:ascii="Garamond" w:hAnsi="Garamond"/>
          <w:color w:val="000000"/>
          <w:lang w:val="en-GB"/>
        </w:rPr>
        <w:t>Man darf sagen: eine Phantasie schwebt gleichsam zwischen drei Zeiten, den drei Zeitmomenten unseres Vorstellens. Die seelische Arbeit knüpft an einen aktuellen Eindruck, einen Anlaß in der Gegenwart an, der imstande war, einen der großen Wünsche der Person zu wecken, greift von da aus auf die Erinnerung eines früheren, meist infantilen, Erlebnisses zurück, in dem jener Wunsch erfüllt war, und schafft nun eine auf die Zukunft bezogene Situation, welche sich als die Erfüllung jenes Wunsches darstellt, eben den Tagtraum oder die Phantasie, die nun die Spuren ihrer Herkunft vom Anlasse und von der Erinnerung an sich trägt. Also Vergangenes, Gegenwärtiges, Zukünftiges wie an der Schnur des durchlaufenden Wunsches aneinandergereiht.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banalste Beispiel mag Ihnen meine Aufstellung erläutern. Nehmen Sie den Fall eines armen und verwaisten Jünglings an, welchem Sie die Adresse eines Arbeitgebers genannt haben, bei dem er vielleicht eine Anstellung finden kann. Auf dem Wege dahin mag er sich in einem Tagtraum ergehen, wie er angemessen aus seiner Situation entspringt. Der Inhalt dieser Phantasie wird etwa sein, daß er dort angenommen wird, seinem neuen Chef gefällt, sich im Geschäfte unentbehrlich macht, in die Familie des Herrn gezogen wird, das reizende Töchterchen des Hauses heiratet und dann selbst als Mitbesitzer wie später als Nachfolger das Geschäft leitet. Und dabei hat sich der Träumer ersetzt, was er in der glücklichen Kindheit besessen: das schützende Haus, die liebenden Eltern und die ersten Objekte seiner zärtlichen </w:t>
      </w:r>
      <w:r w:rsidRPr="008725BE">
        <w:rPr>
          <w:rFonts w:ascii="Garamond" w:hAnsi="Garamond"/>
          <w:color w:val="000000"/>
          <w:lang w:val="en-GB"/>
        </w:rPr>
        <w:lastRenderedPageBreak/>
        <w:t>Neigung. Sie sehen an solchem Beispiele, wie der Wunsch einen Anlaß der Gegenwart benützt, um sich nach dem Muster der Vergangenheit ein Zukunftsbild zu entwerfen.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wäre noch vielerlei über die Phantasien zu sagen; ich will mich aber auf die knappsten Andeutungen beschränken. Das Überwuchern und Übermächtigwerden der Phantasien stellt die Bedingungen für den Verfall in Neurose oder Psychose her; die Phantasien sind auch die nächsten seelischen Vorstufen der Leidenssymptome, über welche unsere Kranken klagen. Hier zweigt ein breiter Seitenweg zur Pathologie ab.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Nicht übergehen kann ich aber die Beziehung der Phantasien zum Traume. Auch unsere nächtlichen Träume sind nichts anderes als solche Phantasien, wie wir durch die Deutung der Träume evident machen können </w:t>
      </w:r>
      <w:hyperlink r:id="rId75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des Verfassers </w:t>
        </w:r>
        <w:r w:rsidRPr="008725BE">
          <w:rPr>
            <w:rStyle w:val="innerfusslink3"/>
            <w:rFonts w:ascii="Garamond" w:hAnsi="Garamond" w:cs="Arial"/>
            <w:b/>
            <w:bCs/>
            <w:i/>
            <w:iCs/>
            <w:lang w:val="en-GB"/>
          </w:rPr>
          <w:t>Traumdeutung</w:t>
        </w:r>
        <w:r w:rsidRPr="008725BE">
          <w:rPr>
            <w:rStyle w:val="innerfusslink3"/>
            <w:rFonts w:ascii="Garamond" w:hAnsi="Garamond" w:cs="Arial"/>
            <w:b/>
            <w:bCs/>
            <w:lang w:val="en-GB"/>
          </w:rPr>
          <w:t xml:space="preserve"> (1900 </w:t>
        </w:r>
        <w:r w:rsidRPr="008725BE">
          <w:rPr>
            <w:rStyle w:val="innerfusslink3"/>
            <w:rFonts w:ascii="Garamond" w:hAnsi="Garamond" w:cs="Arial"/>
            <w:b/>
            <w:bCs/>
            <w:i/>
            <w:iCs/>
            <w:lang w:val="en-GB"/>
          </w:rPr>
          <w:t>a</w:t>
        </w:r>
        <w:r w:rsidRPr="008725BE">
          <w:rPr>
            <w:rStyle w:val="innerfusslink3"/>
            <w:rFonts w:ascii="Garamond" w:hAnsi="Garamond" w:cs="Arial"/>
            <w:b/>
            <w:bCs/>
            <w:lang w:val="en-GB"/>
          </w:rPr>
          <w:t>).</w:t>
        </w:r>
      </w:hyperlink>
      <w:r w:rsidRPr="008725BE">
        <w:rPr>
          <w:rFonts w:ascii="Garamond" w:hAnsi="Garamond"/>
          <w:color w:val="000000"/>
          <w:lang w:val="en-GB"/>
        </w:rPr>
        <w:t xml:space="preserve">. Die Sprache hat in ihrer unübertrefflichen Weisheit die Frage nach dem Wesen der Träume längst entschieden, indem sie die luftigen Schöpfungen Phantasierender auch » </w:t>
      </w:r>
      <w:r w:rsidRPr="008725BE">
        <w:rPr>
          <w:rFonts w:ascii="Garamond" w:hAnsi="Garamond"/>
          <w:i/>
          <w:iCs/>
          <w:color w:val="000000"/>
          <w:lang w:val="en-GB"/>
        </w:rPr>
        <w:t>Tagträume</w:t>
      </w:r>
      <w:r w:rsidRPr="008725BE">
        <w:rPr>
          <w:rFonts w:ascii="Garamond" w:hAnsi="Garamond"/>
          <w:color w:val="000000"/>
          <w:lang w:val="en-GB"/>
        </w:rPr>
        <w:t xml:space="preserve">« nennen ließ. Wenn trotz dieses Fingerzeiges der Sinn unserer Träume uns zumeist undeutlich bleibt, so rührt dies von dem einen Umstände her, daß nächtlicherweise auch solche Wünsche in uns rege werden, deren wir uns schämen und die wir vor uns selbst verbergen müssen, die eben darum verdrängt, ins Unbewußte geschoben wurden. Solchen verdrängten Wünschen und ihren Abkömmlingen kann nun kein anderer als ein arg entstellter Ausdruck gegönnt werden. Nachdem die Aufklärung der </w:t>
      </w:r>
      <w:r w:rsidRPr="008725BE">
        <w:rPr>
          <w:rFonts w:ascii="Garamond" w:hAnsi="Garamond"/>
          <w:i/>
          <w:iCs/>
          <w:color w:val="000000"/>
          <w:lang w:val="en-GB"/>
        </w:rPr>
        <w:t>Traumentstellung</w:t>
      </w:r>
      <w:r w:rsidRPr="008725BE">
        <w:rPr>
          <w:rFonts w:ascii="Garamond" w:hAnsi="Garamond"/>
          <w:color w:val="000000"/>
          <w:lang w:val="en-GB"/>
        </w:rPr>
        <w:t xml:space="preserve"> der wissenschaftlichen Arbeit gelungen war, fiel es nicht mehr schwer zu erkennen, daß die nächtlichen Träume ebensolche Wunscherfüllungen sind wie die Tagträume, die uns allen so wohlbekannten Phantasien.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Soviel von den Phantasien, und nun zum Dichter! </w:t>
      </w:r>
      <w:r w:rsidRPr="008725BE">
        <w:rPr>
          <w:rFonts w:ascii="Garamond" w:hAnsi="Garamond"/>
          <w:color w:val="000000"/>
          <w:lang w:val="en-GB"/>
        </w:rPr>
        <w:t>Dürfen wir wirklich den Versuch machen, den Dichter mit dem »Träumer am hellichten Tag«, seine Schöpfungen mit Tagträumen zu vergleichen? Da drängt sich wohl eine erste Unterscheidung auf; wir müssen die Dichter, die fertige Stoffe übernehmen wie die alten Epiker und Tragiker, sondern von jenen, die ihre Stoffe frei zu schaffen scheinen. Halten wir uns an die letzteren und suchen wir für unsere Vergleichung nicht gerade jene Dichter aus, die von der Kritik am höchsten geschätzt werden, sondern die anspruchsloseren Erzähler von Romanen, Novellen und Geschichten, die dafür die zahlreichsten und eifrigsten Leser und Leserinnen finden. An den Schöpfungen dieser Erzähler muß uns vor allem ein Zug auffällig werden; sie alle haben einen Helden, der im Mittelpunkt des Interesses steht, für den der Dichter unsere Sympathie mit allen Mitteln zu gewinnen sucht und den er wie mit einer besonderen Vorsehung zu beschützen scheint. Wenn ich am Ende eines Romankapitels den Helden bewußtlos, aus schweren Wunden blutend verlassen habe, so bin ich sicher, ihn zu Beginn des nächsten in sorgsamster Pflege und auf dem Wege der Herstellung zu finden, und wenn der erste Band mit dem Untergange des Schiffes im Seesturme geendigt hat, auf dem unser Held sich befand, so bin ich sicher, zu Anfang des zweiten Bandes von seiner wunderbaren Rettung zu lesen, ohne die der Roman ja keinen Fortgang hätte. Das Gefühl der Sicherheit, mit dem ich den Helden durch seine gefährlichen Schicksale begleite, ist das nämliche, mit dem ein wirklicher Held sich ins Wasser stürzt, um einen Ertrinkenden zu retten, oder sich dem feindlichen Feuer aussetzt, um eine Batterie zu stürmen, jenes eigentliche Heldengefühl, dem einer unserer besten Dichter den köstlichen Ausdruck geschenkt hat: »Es kann dir nix g'schehen.« (Anzengruber.) Ich meine aber, an diesem verräterischen Merkmal der Unverletzlichkeit erkennt man ohne Mühe –; Seine Majestät das Ich, den Helden aller Tagträume wie aller Romane.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Noch andere typische Züge dieser egozentrischen Erzählungen deuten auf die gleiche Verwandtschaft hin. Wenn sich stets alle Frauen des Romans in den Helden verlieben, so ist das kaum als Wirklichkeitsschilderung aufzufassen, aber leicht als notwendiger Bestand des Tagtraumes zu verstehen. Ebenso wenn die anderen Personen des Romans sich scharf in gute und böse scheiden, unter Verzicht auf die in der Realität zu beobachtende Buntheit menschlicher Charaktere; die »guten« sind eben die Helfer, die »bösen« aber die Feinde und Konkurrenten des zum Helden gewordenen Ichs.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verkennen nun keineswegs, daß sehr viele dichterische Schöpfungen sich von dem Vorbilde des naiven Tagtraumes weit entfernt halten, aber ich kann doch die Vermutung nicht unterdrücken, daß auch die extremsten Abweichungen durch eine lückenlose Reihe von Übergängen mit diesem Modelle in Beziehung gesetzt werden könnten. Noch in vielen der sogenannten psychologischen Romane ist mir aufgefallen, daß nur eine Person, wiederum der Held, von innen geschildert wird; in ihrer Seele sitzt gleichsam der Dichter und schaut die anderen Personen von außen an. Der psychologische Roman verdankt im ganzen wohl seine Besonderheit der Neigung des modernen Dichters, sein Ich durch Selbstbeobachtung in Partial-Ichs zu zerspalten und demzufolge die Konfliktströmungen seines Seelenlebens in mehreren Helden zu personifizieren. In einem ganz besonderen Gegensatze zum Typus des Tagtraumes scheinen die Romane zu stehen, die man als »exzentrische« bezeichnen könnte, in denen </w:t>
      </w:r>
      <w:r w:rsidRPr="008725BE">
        <w:rPr>
          <w:rFonts w:ascii="Garamond" w:hAnsi="Garamond"/>
          <w:color w:val="000000"/>
          <w:lang w:val="en-GB"/>
        </w:rPr>
        <w:lastRenderedPageBreak/>
        <w:t>die als Held eingeführte Person die geringste tätige Rolle spielt, vielmehr wie ein Zuschauer die Taten und Leiden der anderen an sich vorüberziehen sieht. Solcher Art sind mehrere der späteren Romane Zolas. Doch muß ich bemerken, daß die psychologische Analyse nicht dichtender, in manchen Stücken von der sogenannten Norm abweichender Individuen uns analoge Variationen der Tagträume kennengelehrt hat, in denen sich das Ich mit der Rolle des Zuschauers bescheidet.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unsere Gleichstellung des Dichters mit dem Tagträumer, der poetischen Schöpfung mit dem Tagtraum, wertvoll werden soll, so muß sie sich vor allem in irgendeiner Art fruchtbar erweisen. Versuchen wir etwa, unseren vorhin aufgestellten Satz von der Beziehung der Phantasie zu den drei Zeiten und zum durchlaufenden Wunsche auf die Werke der Dichter anzuwenden und die Beziehungen zwischen dem Leben des Dichters und seinen Schöpfungen mit dessen Hilfe zu studieren. Man hat in der Regel nicht gewußt, mit welchen Erwartungsvorstellungen man an dieses Problem herangehen soll; häufig hat man sich diese Beziehung viel zu einfach vorgestellt. Von der an den Phantasien gewonnenen Einsicht her müßten wir folgenden Sachverhalt erwarten: Ein starkes aktuelles Erlebnis weckt im Dichter die Erinnerung an ein früheres, meist der Kindheit angehöriges Erlebnis auf, von welchem nun der Wunsch ausgeht, der sich in der Dichtung seine Erfüllung schafft; die Dichtung selbst läßt sowohl Elemente des frischen Anlasses als auch der alten Erinnerung erkennen.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Erschrecken Sie nicht über die Kompliziertheit dieser Formel; ich vermute, daß sie sich in Wirklichkeit als ein zu dürftiges Schema erweisen wird, aber eine erste Annäherung an den realen Sachverhalt könnte doch in ihr enthalten sein, und nach einigen Versuchen, die ich unternommen habe, sollte ich meinen, daß eine solche Betrachtungsweise dichterischer Produktionen nicht unfruchtbar ausfallen kann. Sie vergessen nicht, daß die vielleicht befremdende Betonung der Kindheitserinnerung im Leben des Dichters sich in letzter Linie von der Voraussetzung ableitet, daß die Dichtung wie der Tagtraum Fortsetzung und Ersatz des einstigen kindlichen Spielens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Versäumen wir nicht, auf jene Klasse von Dichtungen zurückzugreifen, in denen wir nicht freie Schöpfungen, sondern Bearbeitungen fertiger und bekannter Stoffe erblicken müssen. Auch dabei verbleibt dem Dichter ein Stück Selbständigkeit, das sich in der Auswahl des Stoffes und in der oft weitgehenden Abänderung desselben äußern darf. Soweit die Stoffe aber gegeben sind, entstammen sie dem Volksschatze an Mythen, Sagen und Märchen. Die Untersuchung dieser völkerpsychologischen Bildungen ist nun keineswegs abgeschlossen, aber es ist z. B. von den Mythen durchaus wahrscheinlich, daß sie den entstellten Überresten von Wunschphantasien ganzer Nationen, den </w:t>
      </w:r>
      <w:r w:rsidRPr="008725BE">
        <w:rPr>
          <w:rFonts w:ascii="Garamond" w:hAnsi="Garamond"/>
          <w:i/>
          <w:iCs/>
          <w:color w:val="000000"/>
          <w:lang w:val="en-GB"/>
        </w:rPr>
        <w:t>Säkularträumen</w:t>
      </w:r>
      <w:r w:rsidRPr="008725BE">
        <w:rPr>
          <w:rFonts w:ascii="Garamond" w:hAnsi="Garamond"/>
          <w:color w:val="000000"/>
          <w:lang w:val="en-GB"/>
        </w:rPr>
        <w:t xml:space="preserve"> der jungen Menschheit, entsprechen.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Sie werden sagen, daß ich Ihnen von den Phantasien weit mehr erzählt habe als vom Dichter, den ich doch im Titel meines Vortrages vorangestellt. Ich weiß das und versuche es durch den Hinweis auf den heutigen Stand unserer Erkenntnis zu entschuldigen. Ich konnte Ihnen nur Anregungen und Aufforderungen bringen, die von dem Studium der Phantasien her auf das Problem der dichterischen Stoffwahl übergreifen. Das andere Problem, mit welchen Mitteln der Dichter bei uns die Affektwirkungen erziele, die er durch seine Schöpfungen hervorruft, haben wir überhaupt noch nicht berührt. Ich möchte Ihnen wenigstens noch zeigen, welcher Weg von unseren Erörterungen über die Phantasien zu den Problemen der poetischen Effekte führt.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Sie erinnern sich, wir sagten, daß der Tagträumer seine Phantasien vor anderen sorgfältig verbirgt, weil er Gründe verspürt, sich ihrer zu schämen. Ich füge nun hinzu, selbst wenn er sie uns mitteilen würde, könnte er uns durch solche Enthüllung keine Lust bereiten. Wir werden von solchen Phantasien, wenn wir sie erfahren, abgestoßen oder bleiben höchstens kühl gegen sie. Wenn aber der Dichter uns seine Spiele vorspielt oder uns das erzählt, was wir für seine persönlichen Tagträume zu erklären geneigt sind, so empfinden wir hohe, wahrscheinlich aus vielen Quellen zusammenfließende Lust. Wie der Dichter das zustande bringt, das ist sein eigenstes Geheimnis; in der Technik der Überwindung jener Abstoßung, die gewiß mit den Schranken zu tun hat, welche sich zwischen jedem einzelnen Ich und den anderen erheben, liegt die eigentliche </w:t>
      </w:r>
      <w:r w:rsidRPr="008725BE">
        <w:rPr>
          <w:rFonts w:ascii="Garamond" w:hAnsi="Garamond"/>
          <w:i/>
          <w:iCs/>
          <w:color w:val="000000"/>
          <w:lang w:val="en-GB"/>
        </w:rPr>
        <w:t>Ars poetica</w:t>
      </w:r>
      <w:r w:rsidRPr="008725BE">
        <w:rPr>
          <w:rFonts w:ascii="Garamond" w:hAnsi="Garamond"/>
          <w:color w:val="000000"/>
          <w:lang w:val="en-GB"/>
        </w:rPr>
        <w:t xml:space="preserve">. Zweierlei Mittel dieser Technik können wir erraten: Der Dichter mildert den Charakter des egoistischen Tagtraumes durch Abänderungen und Verhüllungen und besticht uns durch rein formalen, d. h. ästhetischen Lustgewinn, den er uns in der Darstellung seiner Phantasien bietet. Man nennt einen solchen Lustgewinn, der uns geboten wird, um mit ihm die Entbindung größerer Lust aus tiefer reichenden psychischen Quellen zu ermöglichen, eine </w:t>
      </w:r>
      <w:r w:rsidRPr="008725BE">
        <w:rPr>
          <w:rFonts w:ascii="Garamond" w:hAnsi="Garamond"/>
          <w:i/>
          <w:iCs/>
          <w:color w:val="000000"/>
          <w:lang w:val="en-GB"/>
        </w:rPr>
        <w:t>Verlockungsprämie</w:t>
      </w:r>
      <w:r w:rsidRPr="008725BE">
        <w:rPr>
          <w:rFonts w:ascii="Garamond" w:hAnsi="Garamond"/>
          <w:color w:val="000000"/>
          <w:lang w:val="en-GB"/>
        </w:rPr>
        <w:t xml:space="preserve"> oder eine </w:t>
      </w:r>
      <w:r w:rsidRPr="008725BE">
        <w:rPr>
          <w:rFonts w:ascii="Garamond" w:hAnsi="Garamond"/>
          <w:i/>
          <w:iCs/>
          <w:color w:val="000000"/>
          <w:lang w:val="en-GB"/>
        </w:rPr>
        <w:t>Vorlust</w:t>
      </w:r>
      <w:r w:rsidRPr="008725BE">
        <w:rPr>
          <w:rFonts w:ascii="Garamond" w:hAnsi="Garamond"/>
          <w:color w:val="000000"/>
          <w:lang w:val="en-GB"/>
        </w:rPr>
        <w:t xml:space="preserve">. Ich bin der Meinung, daß alle ästhetische Lust, die uns der Dichter verschafft, den Charakter solcher Vorlust trägt und daß der eigentliche Genuß des Dichtwerkes aus der Befreiung von Spannungen in unserer Seele hervorgeht. Vielleicht trägt es sogar zu diesem Erfolge nicht wenig bei, daß uns der Dichter in den Stand setzt, unsere eigenen Phantasien nunmehr ohne jeden Vorwurf und ohne Schämen zu genießen. Hier </w:t>
      </w:r>
      <w:r w:rsidRPr="008725BE">
        <w:rPr>
          <w:rFonts w:ascii="Garamond" w:hAnsi="Garamond"/>
          <w:color w:val="000000"/>
          <w:lang w:val="en-GB"/>
        </w:rPr>
        <w:lastRenderedPageBreak/>
        <w:t>stünden wir nun am Eingange neuer, interessanter und verwickelter Untersuchungen, aber, wenigstens für diesmal, am Ende unserer Erörterungen.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De</w:t>
        </w:r>
        <w:bookmarkStart w:id="147" w:name="KS12"/>
        <w:bookmarkEnd w:id="147"/>
        <w:r w:rsidRPr="008725BE">
          <w:rPr>
            <w:rStyle w:val="Lienhypertexte"/>
            <w:rFonts w:ascii="Garamond" w:hAnsi="Garamond" w:cs="Arial"/>
            <w:b/>
            <w:bCs/>
            <w:lang w:val="en-GB"/>
          </w:rPr>
          <w:t>r Familienroman der Neurotiker</w:t>
        </w:r>
      </w:hyperlink>
      <w:r w:rsidRPr="008725BE">
        <w:rPr>
          <w:rFonts w:ascii="Garamond" w:hAnsi="Garamond"/>
          <w:color w:val="000000"/>
          <w:lang w:val="en-GB"/>
        </w:rPr>
        <w:t xml:space="preserve">  </w:t>
      </w:r>
      <w:r w:rsidRPr="008725BE">
        <w:rPr>
          <w:rFonts w:ascii="Garamond" w:hAnsi="Garamond"/>
          <w:caps/>
          <w:color w:val="000000"/>
          <w:lang w:val="en-GB"/>
        </w:rPr>
        <w:t>(1909)</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Ablösung des heranwachsenden Individuums von der Autorität der Eltern ist eine der notwendigsten, aber auch schmerzlichsten Leistungen der Entwicklung. Es ist durchaus notwendig, daß sie sich vollziehe, und man darf annehmen, jeder normal gewordene Mensch habe sie in einem gewissen Maß zustande gebracht. Ja, der Fortschritt der Gesellschaft beruht überhaupt auf dieser Gegensätzlichkeit der beiden Generationen. Anderseits gibt es eine Klasse von Neurotikern, in deren Zustand man die Bedingtheit erkennt, daß sie an dieser Aufgabe gescheitert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Für das kleine Kind sind die Eltern zunächst die einzige Autorität und die Quelle alles Glaubens. Ihnen, das heißt dem gleichgeschlechtlichen Teile, gleich zu werden, groß zu werden wie Vater und Mutter, ist der intensivste, folgenschwerste Wunsch dieser Kinderjahre. Mit der zunehmenden intellektuellen Entwicklung kann es aber nicht ausbleiben, daß das Kind allmählich die Kategorien kennenlernt, in die seine Eltern gehören. Es lernt andere Eltern kennen, vergleicht sie mit den seinigen und bekommt so ein Recht, an der ihnen zugeschriebenen Unvergleichlichkeit und Einzigkeit zu zweifeln. Kleine Ereignisse im Leben des Kindes, die eine unzufriedene Stimmung bei ihm hervorrufen, geben ihm den Anlaß, mit der Kritik der Eltern einzusetzen und die gewonnene Kenntnis, daß andere Eltern in mancher Hinsicht vorzuziehen seien, zu dieser Stellungnahme gegen seine Eltern zu verwerten. Aus der Neurosenpsychologie wissen wir, daß dabei unter anderen die intensivsten Regungen sexueller Rivalität mitwirken. Der Gegenstand dieser Anlässe ist offenbar das Gefühl der Zurücksetzung. Nur zu oft ergeben sich Gelegenheiten, bei denen das Kind zurückgesetzt wird oder sich wenigstens zurückgesetzt fühlt, wo es die volle Liebe der Eltern vermißt, besonders aber bedauert, sie mit anderen Geschwistern teilen zu müssen. Die Empfindung, daß die eigenen Neigungen nicht voll erwidert werden, macht sich dann in der aus frühen Kinderjahren oft bewußt erinnerten Idee Luft, man sei ein Stiefkind oder ein angenommenes Kind. Viele nicht neurotisch gewordene Menschen entsinnen sich sehr häufig an solche Gelegenheiten, wo sie –; meist durch Lektüre beeinflußt –; das feindselige Benehmen der Eltern in dieser Weise auffaßten und erwiderten. Es zeigt sich aber hier bereits der Einfluß des Geschlechts, indem der Knabe bei weitem mehr Neigung zu feindseligen Regungen gegen seinen Vater als gegen seine Mutter zeigt und eine viel intensivere Neigung, sich von jenem als von dieser frei zu machen. Die Phantasietätigkeit der Mädchen mag sich in diesem Punkte viel schwächer erweisen. In diesen bewußt erinnerten Seelenregungen der Kinderjahre finden wir das Moment, welches uns das Verständnis des Mythus ermöglicht.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Selten bewußt erinnert, aber fast immer durch die Psychoanalyse nachzuweisen ist dann die weitere Entwicklungsstufe dieser beginnenden Entfremdung von den Eltern, die man mit dem Namen: </w:t>
      </w:r>
      <w:r w:rsidRPr="008725BE">
        <w:rPr>
          <w:rFonts w:ascii="Garamond" w:hAnsi="Garamond"/>
          <w:i/>
          <w:iCs/>
          <w:color w:val="000000"/>
          <w:lang w:val="en-GB"/>
        </w:rPr>
        <w:t>Familienromane der Neurotiker</w:t>
      </w:r>
      <w:r w:rsidRPr="008725BE">
        <w:rPr>
          <w:rFonts w:ascii="Garamond" w:hAnsi="Garamond"/>
          <w:color w:val="000000"/>
          <w:lang w:val="en-GB"/>
        </w:rPr>
        <w:t xml:space="preserve"> bezeichnen kann. Es gehört nämlich durchaus zum Wesen der Neurose und auch jeder höheren Begabung eine ganz besondere Tätigkeit der Phantasie, die sich zunächst in den kindlichen Spielen offenbart und die nun, ungefähr von der Zeit der Vorpubertät angefangen, sich des Themas der Familienbeziehungen bemächtigt. Ein charakteristisches Beispiel dieser besonderen Phantasietätigkeit ist das bekannte </w:t>
      </w:r>
      <w:r w:rsidRPr="008725BE">
        <w:rPr>
          <w:rFonts w:ascii="Garamond" w:hAnsi="Garamond"/>
          <w:i/>
          <w:iCs/>
          <w:color w:val="000000"/>
          <w:lang w:val="en-GB"/>
        </w:rPr>
        <w:t>Tagträumen</w:t>
      </w:r>
      <w:hyperlink r:id="rId75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darüber Freud, ›Hysterische Phantasien und ihre Beziehung zur Bisexualität‹, wo auch auf die Literatur zu diesem Thema verwiesen ist.</w:t>
        </w:r>
      </w:hyperlink>
      <w:r w:rsidRPr="008725BE">
        <w:rPr>
          <w:rFonts w:ascii="Garamond" w:hAnsi="Garamond"/>
          <w:color w:val="000000"/>
          <w:lang w:val="en-GB"/>
        </w:rPr>
        <w:t>, das weit über die Pubertät hinaus fortgesetzt wird. Eine genaue Beobachtung dieser Tagträume lehrt, daß sie der Erfüllung von Wünschen, der Korrektur des Lebens dienen und vornehmlich zwei Ziele kennen: das erotische und das ehrgeizige (hinter dem aber meist auch das erotische steckt). Um die angegebene Zeit beschäftigt sich nun die Phantasie des Kindes mit der Aufgabe, die geringgeschätzten Eltern loszuwerden und durch in der Regel sozial höher stehende zu ersetzen. Dabei wird das zufällige Zusammentreffen mit wirklichen Erlebnissen (die Bekanntschaft des Schloßherrn oder Gutsbesitzers auf dem Lande, der Fürstlichkeit in der Stadt) ausgenützt. Solche zufällige Erlebnisse erwecken den Neid des Kindes, der dann den Ausdruck in einer Phantasie findet, welche beide Eltern durch vornehmere ersetzt. In der Technik der Ausführung solcher Phantasien, die natürlich um diese Zeit bewußt sind, kommt es auf die Geschicklichkeit und das Material an, das dem Kinde zur Verfügung steht. Auch handelt es sich darum, ob die Phantasien mit einem großen oder geringen Bemühen, die Wahrscheinlichkeit zu erreichen, ausgearbeitet sind. Dieses Stadium wird zu einer Zeit erreicht, wo dem Kinde die Kenntnis der sexuellen Bedingungen der Herkunft noch fehlt.</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Kommt dann die Kenntnis der verschiedenartigen sexuellen Beziehungen von Vater und Mutter dazu, begreift das Kind, daß </w:t>
      </w:r>
      <w:r w:rsidRPr="008725BE">
        <w:rPr>
          <w:rFonts w:ascii="Garamond" w:hAnsi="Garamond"/>
          <w:i/>
          <w:iCs/>
          <w:color w:val="000000"/>
          <w:lang w:val="en-GB"/>
        </w:rPr>
        <w:t>pater semper incertus est</w:t>
      </w:r>
      <w:r w:rsidRPr="008725BE">
        <w:rPr>
          <w:rFonts w:ascii="Garamond" w:hAnsi="Garamond"/>
          <w:color w:val="000000"/>
          <w:lang w:val="en-GB"/>
        </w:rPr>
        <w:t xml:space="preserve">, während die Mutter </w:t>
      </w:r>
      <w:r w:rsidRPr="008725BE">
        <w:rPr>
          <w:rFonts w:ascii="Garamond" w:hAnsi="Garamond"/>
          <w:i/>
          <w:iCs/>
          <w:color w:val="000000"/>
          <w:lang w:val="en-GB"/>
        </w:rPr>
        <w:t>certissima</w:t>
      </w:r>
      <w:r w:rsidRPr="008725BE">
        <w:rPr>
          <w:rFonts w:ascii="Garamond" w:hAnsi="Garamond"/>
          <w:color w:val="000000"/>
          <w:lang w:val="en-GB"/>
        </w:rPr>
        <w:t xml:space="preserve"> ist, so erfährt der Familienroman eine eigentümliche Einschränkung: er begnügt sich nämlich damit, den Vater zu erhöhen, die Abkunft von der Mutter aber als etwas Unabänderliches nicht weiter in Zweifel zu ziehen. </w:t>
      </w:r>
      <w:r w:rsidRPr="008725BE">
        <w:rPr>
          <w:rFonts w:ascii="Garamond" w:hAnsi="Garamond"/>
          <w:color w:val="000000"/>
        </w:rPr>
        <w:t xml:space="preserve">Dieses zweite (sexuelle) Stadium des Familienromans wird auch von einem zweiten Motiv getragen, das dem </w:t>
      </w:r>
      <w:r w:rsidRPr="008725BE">
        <w:rPr>
          <w:rFonts w:ascii="Garamond" w:hAnsi="Garamond"/>
          <w:color w:val="000000"/>
        </w:rPr>
        <w:lastRenderedPageBreak/>
        <w:t>ersten (asexuellen) Stadium fehlte. Mit der Kenntnis der geschlechtlichen Vorgänge entsteht die Neigung, sich erotische Situationen und Beziehungen auszumalen, wozu als Triebkraft die Lust tritt, die Mutter, die Gegenstand der höchsten sexuellen Neugierde ist, in die Situation von geheimer Untreue und geheimen Liebesverhältnissen zu bringen. In dieser Weise werden jene ersten gleichsam asexuellen Phantasien auf die Höhe der jetzigen Erkenntnis gebracht.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Übrigens zeigt sich das Motiv der Rache und Vergeltung, das früher im Vordergrunde stand, auch hier. Diese neurotischen Kinder sind es ja auch meist, die bei der Abgewöhnung sexueller Unarten von den Eltern bestraft wurden und die sich nun durch solche Phantasien an ihren Eltern rächen.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Ganz besonders sind es später geborene Kinder, die vor allem ihre Vordermänner durch derartige Dichtungen (ganz wie in historischen Intrigen) ihres Vorzuges berauben, ja die sich oft nicht scheuen, der Mutter ebensoviele Liebesverhältnisse anzudichten, als Konkurrenten vorhanden sind. Eine interessante Variante dieses Familienromans ist es dann, wenn der dichtende Held für sich selbst zur Legitimität zurückkehrt, während er die anderen Geschwister auf diese Art als illegitim beseitigt. Dabei kann noch ein besonderes Interesse den Familienroman dirigieren, der mit seiner Vielseitigkeit und mannigfachen Verwendbarkeit allerlei Bestrebungen entgegenkommt. So beseitigt der kleine Phantast zum Beispiel auf diese Weise die verwandtschaftliche Beziehung zu einer Schwester, die ihn etwa sexuell angezogen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Wer sich von dieser Verderbtheit des kindlichen Gemütes mit Schaudern abwendete, ja selbst die Möglichkeit solcher Dinge bestreiten wollte, dem sei bemerkt, daß alle diese anscheinend so feindseligen Dichtungen eigentlich nicht so böse gemeint sind und unter leichter Verkleidung die erhalten gebliebene ursprüngliche Zärtlichkeit des Kindes für seine Eltern bewahren. Es ist nur scheinbare Treulosigkeit und Undankbarkeit; denn wenn man die häufigste dieser Romanphantasien, den Ersatz beider Eltern oder nur des Vaters durch großartigere Personen, im Detail durchgeht, so macht man die Entdeckung, daß diese neuen und vornehmen Eltern durchwegs mit Zügen ausgestattet sind, die von realen Erinnerungen an die wirklichen niederen Eltern herrühren, so daß das Kind den Vater eigentlich nicht beseitigt, sondern erhöht. Ja, das ganze Bestreben, den wirklichen Vater durch einen vornehmeren zu ersetzen, ist nur der Ausdruck der Sehnsucht des Kindes nach der verlorenen glücklichen Zeit, in der ihm sein Vater als der vornehmste und stärkste Mann, seine Mutter als die liebste und schönste Frau erschienen ist. Er wendet sich vom Vater, den er jetzt erkennt, zurück zu dem, an den er in früheren Kinderjahren geglaubt hat, und die Phantasie ist eigentlich nur der Ausdruck des Bedauerns, daß diese glückliche Zeit entschwunden ist. Die Überschätzung der frühesten Kindheitsjahre tritt also in diesen Phantasien wieder in ihr volles Recht. Ein interessanter Beitrag zu diesem Thema ergibt sich aus dem Studium der Träume. Die Traumdeutung lehrt nämlich, daß auch noch in späteren Jahren in Träumen vom Kaiser oder von der Kaiserin diese erlauchten Persönlichkeiten Vater und Mutter bedeuten </w:t>
      </w:r>
      <w:hyperlink r:id="rId75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Die Traumdeutung</w:t>
        </w:r>
        <w:r w:rsidRPr="008725BE">
          <w:rPr>
            <w:rStyle w:val="innerfusslink3"/>
            <w:rFonts w:ascii="Garamond" w:hAnsi="Garamond" w:cs="Arial"/>
            <w:b/>
            <w:bCs/>
            <w:lang w:val="en-GB"/>
          </w:rPr>
          <w:t>, 8. Aufl., S. 242.</w:t>
        </w:r>
      </w:hyperlink>
      <w:r w:rsidRPr="008725BE">
        <w:rPr>
          <w:rFonts w:ascii="Garamond" w:hAnsi="Garamond"/>
          <w:color w:val="000000"/>
          <w:lang w:val="en-GB"/>
        </w:rPr>
        <w:t>. Die kindliche Überschätzung der Eltern ist also auch im Traum des normalen Erwachsenen erhalten.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De</w:t>
        </w:r>
        <w:bookmarkStart w:id="148" w:name="KS13"/>
        <w:bookmarkEnd w:id="148"/>
        <w:r w:rsidRPr="008725BE">
          <w:rPr>
            <w:rStyle w:val="Lienhypertexte"/>
            <w:rFonts w:ascii="Garamond" w:hAnsi="Garamond" w:cs="Arial"/>
            <w:b/>
            <w:bCs/>
            <w:lang w:val="en-GB"/>
          </w:rPr>
          <w:t>r Humor</w:t>
        </w:r>
      </w:hyperlink>
      <w:r w:rsidRPr="008725BE">
        <w:rPr>
          <w:rFonts w:ascii="Garamond" w:hAnsi="Garamond"/>
          <w:color w:val="000000"/>
          <w:lang w:val="en-GB"/>
        </w:rPr>
        <w:t xml:space="preserve">  </w:t>
      </w:r>
      <w:r w:rsidRPr="008725BE">
        <w:rPr>
          <w:rFonts w:ascii="Garamond" w:hAnsi="Garamond"/>
          <w:caps/>
          <w:color w:val="000000"/>
          <w:lang w:val="en-GB"/>
        </w:rPr>
        <w:t>(1927)</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meiner Schrift über den </w:t>
      </w:r>
      <w:r w:rsidRPr="008725BE">
        <w:rPr>
          <w:rFonts w:ascii="Garamond" w:hAnsi="Garamond"/>
          <w:i/>
          <w:iCs/>
          <w:color w:val="000000"/>
          <w:lang w:val="en-GB"/>
        </w:rPr>
        <w:t>Witz und seine Beziehung zum Unbewußten</w:t>
      </w:r>
      <w:r w:rsidRPr="008725BE">
        <w:rPr>
          <w:rFonts w:ascii="Garamond" w:hAnsi="Garamond"/>
          <w:color w:val="000000"/>
          <w:lang w:val="en-GB"/>
        </w:rPr>
        <w:t xml:space="preserve"> (1905  </w:t>
      </w:r>
      <w:r w:rsidRPr="008725BE">
        <w:rPr>
          <w:rFonts w:ascii="Garamond" w:hAnsi="Garamond"/>
          <w:i/>
          <w:iCs/>
          <w:color w:val="000000"/>
          <w:lang w:val="en-GB"/>
        </w:rPr>
        <w:t>c</w:t>
      </w:r>
      <w:r w:rsidRPr="008725BE">
        <w:rPr>
          <w:rFonts w:ascii="Garamond" w:hAnsi="Garamond"/>
          <w:color w:val="000000"/>
          <w:lang w:val="en-GB"/>
        </w:rPr>
        <w:t>) habe ich den Humor eigentlich nur vom ökonomischen Gesichtspunkt behandelt. Es lag mir daran, die Quelle der Lust am Humor zu finden, und ich meine, ich habe gezeigt, daß der humoristische Lustgewinn aus erspartem Gefühlsaufwand hervorgeht.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humoristische Vorgang kann sich in zweierlei Weisen vollziehen, entweder an einer einzigen Person, die selbst die humoristische Einstellung einnimmt, während der zweiten Person die Rolle des Zuschauers und Nutznießers zufällt, oder zwischen zwei Personen, von denen die eine am humoristischen Vorgang gar keinen Anteil hat, die zweite aber diese Person zum Objekt ihrer humoristischen Betrachtung macht. Wenn, um beim gröbsten Beispiel zu verweilen, der Delinquent, der am Montag zum Galgen geführt wird, die Äußerung tut: »Na, die Woche fängt gut an«, so entwickelt er selbst den Humor, der humoristische Vorgang vollendet sich an seiner Person und trägt ihm offenbar eine gewisse Genugtuung ein. Mich, den unbeteiligten Zuhörer, trifft gewissermaßen eine Fernwirkung der humoristischen Leistung des Verbrechers; ich verspüre, vielleicht ähnlich wie er, den humoristischen Lustgewinn.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zweite Fall liegt vor, wenn z. B. ein Dichter oder Schilderer das Gehaben von realen oder erfundenen Personen in humoristischer Weise beschreibt. Diese Personen brauchen selbst keinen Humor zu zeigen, die humoristische Einstellung ist allein Sache dessen, der sie zum Objekt nimmt, und der Leser oder Zuhörer wird wiederum wie im vorigen Falle des Genusses am Humor teilhaftig. Zusammenfassend kann man also sagen, man kann die humoristische Einstellung –; worin immer diese bestehen mag –; gegen die eigene oder gegen fremde Personen wenden; es ist anzunehmen, daß sie dem, der es tut, einen Lustgewinn bringt; ein ähnlicher Lustgewinn fällt dem –; unbeteiligten –; Zuhörer zu.</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Genese des humoristischen Lustgewinns erfassen wir am besten, wenn wir uns dem Vorgang beim Zuhörer zuwenden, vor dem ein anderer Humor entwickelt. Er sieht diesen anderen in einer Situation, die es erwarten läßt, daß er die Anzeichen eines Affekts produzieren wird; er wird sich ärgern, klagen, Schmerz äußern, sich schrecken, grausen, vielleicht selbst verzweifeln, und der Zuschauer-Zuhörer ist bereit, ihm darin zu folgen, die gleichen Gefühlsregungen bei sich entstehen zu lassen. Aber diese Gefühlsbereitschaft wird enttäuscht, der andere äußert keinen Affekt, sondern macht einen Scherz; aus dem ersparten Gefühlsaufwand wird nun beim Zuhörer die humoristische Lust.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 weit kommt man leicht, aber man sagt sich auch bald, daß es der Vorgang beim anderen, beim »Humoristen« ist, der die größere Aufmerksamkeit verdient. Kein Zweifel, das Wesen des Humors besteht darin, daß man sich die Affekte erspart, zu denen die Situation Anlaß gäbe, und sich mit einem Scherz über die Möglichkeit solcher Gefühlsäußerungen hinaussetzt. Insofern muß der Vorgang beim Humoristen mit dem beim Zuhörer übereinstimmen, richtiger gesagt, der Vorgang beim Zuhörer muß den beim Humoristen kopiert haben. Aber wie bringt der Humorist jene psychische Einstellung zustande, die ihm die Affektentbindung überflüssig macht, was geht bei »der humoristischen Einstellung« dynamisch in ihm vor? Offenbar ist die Lösung des Problems beim Humoristen zu suchen, beim Zuhörer ist nur ein Nachklang, eine Kopie dieses unbekannten Prozesses anzunehmen.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Es ist Zeit, daß wir uns mit einigen Charakteren des Humors vertraut machen. </w:t>
      </w:r>
      <w:r w:rsidRPr="008725BE">
        <w:rPr>
          <w:rFonts w:ascii="Garamond" w:hAnsi="Garamond"/>
          <w:color w:val="000000"/>
          <w:lang w:val="en-GB"/>
        </w:rPr>
        <w:t>Der Humor hat nicht nur etwas Befreiendes wie der Witz und die Komik, sondern auch etwas Großartiges und Erhebendes, welche Züge an den beiden anderen Arten des Lustgewinns aus intellektueller Tätigkeit nicht gefunden werden. Das Großartige liegt offenbar im Triumph des Narzißmus, in der siegreich behaupteten Unverletzlichkeit des Ichs. Das Ich verweigert es, sich durch die Veranlassungen aus der Realität kränken, zum Leiden nötigen zu lassen, es beharrt dabei, daß ihm die Traumen der Außenwelt nicht nahegehen können, ja es zeigt, daß sie ihm nur Anlässe zu Lustgewinn sind. Dieser letzte Zug ist für den Humor durchaus wesentlich. Nehmen wir an, der am Montag zur Hinrichtung geführte Verbrecher hätte gesagt: Ich mach' mir nichts daraus, was liegt denn daran, wenn ein Kerl wie ich aufgehängt wird, die Welt wird darum nicht zugrunde gehen, –; so müßten wir urteilen, diese Rede enthält zwar diese großartige Überlegenheit über die reale Situation, sie ist weise und berechtigt, aber sie verrät auch nicht die Spur von Humor, ja sie ruht auf einer Einschätzung der Realität, die der des Humors direkt zuwiderläuft. Der Humor ist nicht resigniert, er ist trotzig, er bedeutet nicht nur den Triumph des Ichs, sondern auch den des Lustprinzips, das sich hier gegen die Ungunst der realen Verhältnisse zu behaupten vermag.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Durch diese beiden letzten Züge, die Abweisung des Anspruchs der Realität und die Durchsetzung des Lustprinzips nähert sich der Humor den regressiven oder reaktionären Prozessen, die uns in der Psychopathologie so ausgiebig beschäftigen. Mit seiner Abwehr der Leidensmöglichkeit nimmt er einen Platz ein in der großen Reihe jener Methoden, die das menschliche Seelenleben ausgebildet hat, um sich </w:t>
      </w:r>
      <w:r w:rsidRPr="008725BE">
        <w:rPr>
          <w:rFonts w:ascii="Garamond" w:hAnsi="Garamond"/>
          <w:color w:val="000000"/>
          <w:lang w:val="en-GB"/>
        </w:rPr>
        <w:lastRenderedPageBreak/>
        <w:t>dem Zwang des Leidens zu entziehen, einer Reihe, die mit der Neurose anhebt, im Wahnsinn gipfelt und in die der Rausch, die Selbstversenkung, die Ekstase einbezogen sind. Der Humor dankt diesem Zusammenhange eine Würde, die z. B. dem Witze völlig abgeht, denn dieser dient entweder nur dem Lustgewinn, oder er stellt den Lustgewinn in den Dienst der Aggression. Worin besteht nun die humoristische Einstellung, durch die man sich dem Leiden verweigert, die Unüberwindlichkeit des Ichs durch die reale Welt betont, das Lustprinzip siegreich behauptet, all dies aber, ohne wie andere Verfahren gleicher Absicht den Boden seelischer Gesundheit aufzugeben? Die beiden Leistungen scheinen doch unvereinbar miteinander.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wir uns an die Situation wenden, daß sich jemand gegen andere humoristisch einstellt, so liegt die Auffassung nahe, die ich auch bereits im Buch über den Witz zaghaft angedeutet habe, er benehme sich gegen sie wie der Erwachsene gegen das Kind, indem er die Interessen und Leiden, die diesem groß erscheinen, in ihrer Nichtigkeit erkenne und belächle. Der Humorist gewinne also seine Überlegenheit daher, daß er sich in die Rolle des Erwachsenen, gewissermaßen in die Vateridentifizierung begebe und die anderen zu Kindern herabdrücke. Diese Annahme deckt wohl den Sachverhalt, aber sie erscheint kaum zwingend. Man fragt sich, wie kommt der Humorist dazu, sich diese Rolle anzumaßen.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Aber man erinnert sich an die andere, wahrscheinlich ursprünglichere und bedeutsamere Situation des Humors, daß jemand die humoristische Einstellung gegen seine eigene Person richtet, um sich solcherart seiner Leidensmöglichkeiten zu erwehren. Hat es einen Sinn zu sagen, jemand behandle sich selbst wie ein Kind und spiele gleichzeitig gegen dies Kind die Rolle des überlegenen Erwachsenen?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meine, wir geben dieser wenig plausiblen Vorstellung einen starken Rückhalt, wenn wir in Betracht ziehen, was wir aus pathologischen Erfahrungen über die Struktur unseres Ichs gelernt haben. Dieses Ich ist nichts Einfaches, sondern beherbergt als seinen Kern eine besondere Instanz, das Über-Ich, mit dem es manchmal zusammenfließt, so daß wir die beiden nicht zu unterscheiden vermögen, während es sich in anderen Verhältnissen scharf von ihm sondert. Das Über-Ich ist genetisch Erbe der Elterninstanz, es hält das Ich oft in strenger Abhängigkeit, behandelt es wirklich noch, wie einst in frühen Jahren die Eltern –; oder der Vater –; das Kind behandelt haben. Wir erhalten also eine dynamische Aufklärung der humoristischen Einstellung, wenn wir annehmen, sie bestehe darin, daß die Person des Humoristen den psychischen Akzent von ihrem Ich abgezogen und auf ihr Über-Ich verlegt habe. Diesem so geschwellten Über-Ich kann nun das Ich winzig klein erscheinen, alle seine Interessen geringfügig, und es mag dem Über-Ich bei dieser neuen Energieverteilung leicht werden, die Reaktionsmöglichkeiten des Ichs zu unterdrücken.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Unserer gewohnten Ausdrucksweise treu, werden wir anstatt Verlegung des psychischen Akzents zu sagen haben: Verschiebung großer Besetzungsmengen. </w:t>
      </w:r>
      <w:r w:rsidRPr="008725BE">
        <w:rPr>
          <w:rFonts w:ascii="Garamond" w:hAnsi="Garamond"/>
          <w:color w:val="000000"/>
        </w:rPr>
        <w:t xml:space="preserve">Es fragt sich dann, ob wir uns solche ausgiebige Verschiebungen von einer Instanz des seelischen Apparats auf eine andere vorstellen dürfen. Es sieht wie eine neue </w:t>
      </w:r>
      <w:r w:rsidRPr="008725BE">
        <w:rPr>
          <w:rFonts w:ascii="Garamond" w:hAnsi="Garamond"/>
          <w:i/>
          <w:iCs/>
          <w:color w:val="000000"/>
        </w:rPr>
        <w:t>ad hoc</w:t>
      </w:r>
      <w:r w:rsidRPr="008725BE">
        <w:rPr>
          <w:rFonts w:ascii="Garamond" w:hAnsi="Garamond"/>
          <w:color w:val="000000"/>
        </w:rPr>
        <w:t xml:space="preserve"> gemachte Annahme aus, doch dürfen wir uns erinnern, daß wir wiederholt, wenn auch nicht oft genug, bei unseren Versuchen einer metapsychologischen Vorstellung des seelischen Geschehens mit einem solchen Faktor gerechnet haben. So nahmen wir z. B. an, der Unterschied zwischen einer gewöhnlichen erotischen Objektbesetzung und dem Zustand einer Verliebtheit bestehe darin, daß in letzterem Falle ungleich mehr Besetzung auf das Objekt übergeht, das Ich sich gleichsam nach dem Objekt entleert. Beim Studium einiger Fälle von Paranoia konnte ich feststellen, daß die Verfolgungsideen frühzeitig gebildet werden und lange Zeit bestehen, ohne eine merkliche Wirkung zu äußern, bis sie dann auf einen bestimmten Anlaß hin die Besetzungsgrößen erhalten, die sie dominant werden lassen. </w:t>
      </w:r>
      <w:r w:rsidRPr="008725BE">
        <w:rPr>
          <w:rFonts w:ascii="Garamond" w:hAnsi="Garamond"/>
          <w:color w:val="000000"/>
          <w:lang w:val="en-GB"/>
        </w:rPr>
        <w:t>Auch die Heilung solcher paranoischer Anfälle dürfte weniger in einer Auflösung und Korrektur der Wahnideen als in der Entziehung der ihnen verliehenen Besetzung bestehen. Die Abwechslung von Melancholie und Manie, von grausamer Unterdrückung des Ichs durch das Über-Ich und von Befreiung des Ichs nach solchem Druck hat uns den Eindruck eines solchen Besetzungswandels gemacht, den man übrigens auch zur Erklärung einer ganzen Reihe von Erscheinungen des normalen Seelenlebens heranziehen müßte. Wenn dies bisher in so geringem Ausmaß geschehen ist, so liegt der Grund dafür in der von uns geübten, eher lobenswerten Zurückhaltung. Das Gebiet, auf dem wir uns sicher fühlen, ist das der Pathologie des Seelenlebens; hier machen wir unsere Beobachtungen, erwerben wir unsere Überzeugungen. Eines Urteils über das Normale getrauen wir uns vorläufig insoweit, als wir in den Isolierungen und Verzerrungen des Krankhaften das Normale erraten. Wenn diese Scheu einmal überwunden ist, werden wir erkennen, eine wie große Rolle für das Verständnis der seelischen Vorgänge den statischen Verhältnissen wie dem dynamischen Wechsel in der Quantität der Energiebesetzung zukommt.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meine also, die hier vorgeschlagene Möglichkeit, daß die Person in einer bestimmten Lage plötzlich ihr Über-Ich überbesetzt und nun von diesem aus die Reaktionen des Ichs abändert, verdient es, festgehalten </w:t>
      </w:r>
      <w:r w:rsidRPr="008725BE">
        <w:rPr>
          <w:rFonts w:ascii="Garamond" w:hAnsi="Garamond"/>
          <w:color w:val="000000"/>
          <w:lang w:val="en-GB"/>
        </w:rPr>
        <w:lastRenderedPageBreak/>
        <w:t xml:space="preserve">zu werden. Was ich für den Humor vermute, findet auch eine bemerkenswerte Analogie auf dem verwandten Gebiet des Witzes. Als die Entstehung des Witzes mußte ich annehmen, daß ein vorbewußter Gedanke für einen Moment der unbewußten Bearbeitung überlassen wird, der Witz sei also der Beitrag zur Komik, den das Unbewußte leiste. Ganz ähnlich wäre </w:t>
      </w:r>
      <w:r w:rsidRPr="008725BE">
        <w:rPr>
          <w:rFonts w:ascii="Garamond" w:hAnsi="Garamond"/>
          <w:i/>
          <w:iCs/>
          <w:color w:val="000000"/>
          <w:lang w:val="en-GB"/>
        </w:rPr>
        <w:t>der Humor der Beitrag zur Komik durch die Vermittlung des Über-Ichs</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kennen das Über-Ich sonst als einen gestrengen Herrn. Man wird sagen, es stimmt schlecht zu diesem Charakter, daß es sich herbeiläßt, dem Ich einen kleinen Lustgewinn zu ermöglichen. Es ist richtig, daß die humoristische Lust nie die Intensität der Lust am Komischen oder am Witz erreicht, sich niemals im herzhaften Lachen ausgibt; es ist auch wahr, daß das Über-Ich, wenn es die humoristische Einstellung herbeiführt, eigentlich die Realität abweist und einer Illusion dient. Aber dieser wenig intensiven Lust schreiben wir –; ohne recht zu wissen warum –; einen hochwertigen Charakter zu, wir empfinden sie als besonders befreiend und erhebend. Der Scherz, den der Humor macht, ist ja auch nicht das Wesentliche, er hat nur den Wert einer Probe; die Hauptsache ist die Absicht, welche der Humor ausführt, ob er sich nun an der eigenen oder an fremden Personen betätigt. Er will sagen: Sieh' her, das ist nun die Welt, die so gefährlich aussieht. Ein Kinderspiel, gerade gut, einen Scherz darüber zu machen!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es wirklich das Über-Ich ist, das im Humor so liebevoll tröstlich zum eingeschüchterten Ich spricht, so wollen wir daran gemahnt sein, daß wir über das Wesen des Über-Ichs noch allerlei zu lernen haben. Übrigens sind nicht alle Menschen der humoristischen Einstellung fähig, es ist eine köstliche und seltene Begabung, und vielen fehlt selbst die Fähigkeit, die ihnen vermittelte humoristische Lust zu genießen. Und endlich, wenn das Über-Ich durch den Humor das Ich zu trösten und vor Leiden zu bewahren strebt, hat es damit seiner Abkunft von der Elterninstanz nicht widersprochen.</w:t>
      </w:r>
    </w:p>
    <w:p w:rsidR="008725BE" w:rsidRPr="008725BE" w:rsidRDefault="008725BE" w:rsidP="008725BE">
      <w:pPr>
        <w:pStyle w:val="Sansinterligne"/>
        <w:rPr>
          <w:rFonts w:ascii="Garamond" w:hAnsi="Garamond"/>
          <w:caps/>
          <w:color w:val="000000"/>
        </w:rPr>
      </w:pPr>
      <w:r w:rsidRPr="005C1841">
        <w:rPr>
          <w:rFonts w:ascii="Garamond" w:hAnsi="Garamond"/>
          <w:color w:val="000000"/>
        </w:rPr>
        <w:br w:type="page"/>
      </w:r>
      <w:hyperlink w:anchor="KSinhalt" w:history="1">
        <w:r w:rsidRPr="008725BE">
          <w:rPr>
            <w:rStyle w:val="Lienhypertexte"/>
            <w:rFonts w:ascii="Garamond" w:hAnsi="Garamond" w:cs="Arial"/>
            <w:b/>
            <w:bCs/>
          </w:rPr>
          <w:t>De</w:t>
        </w:r>
        <w:bookmarkStart w:id="149" w:name="KS14"/>
        <w:bookmarkEnd w:id="149"/>
        <w:r w:rsidRPr="008725BE">
          <w:rPr>
            <w:rStyle w:val="Lienhypertexte"/>
            <w:rFonts w:ascii="Garamond" w:hAnsi="Garamond" w:cs="Arial"/>
            <w:b/>
            <w:bCs/>
          </w:rPr>
          <w:t>r Moses des Michelangelo</w:t>
        </w:r>
      </w:hyperlink>
      <w:r w:rsidRPr="008725BE">
        <w:rPr>
          <w:rFonts w:ascii="Garamond" w:hAnsi="Garamond"/>
          <w:color w:val="000000"/>
        </w:rPr>
        <w:t xml:space="preserve">  </w:t>
      </w:r>
      <w:r w:rsidRPr="008725BE">
        <w:rPr>
          <w:rFonts w:ascii="Garamond" w:hAnsi="Garamond"/>
          <w:caps/>
          <w:color w:val="000000"/>
        </w:rPr>
        <w:t>(1914)</w:t>
      </w:r>
    </w:p>
    <w:p w:rsidR="008725BE" w:rsidRPr="008725BE" w:rsidRDefault="008725BE" w:rsidP="008725BE">
      <w:pPr>
        <w:pStyle w:val="Sansinterligne"/>
        <w:rPr>
          <w:rFonts w:ascii="Garamond" w:hAnsi="Garamond"/>
          <w:color w:val="000000"/>
        </w:rPr>
      </w:pPr>
      <w:r w:rsidRPr="008725BE">
        <w:rPr>
          <w:rFonts w:ascii="Garamond" w:hAnsi="Garamond"/>
          <w:color w:val="000000"/>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Ich schicke voraus, daß ich kein Kunstkenner bin, sondern Laie. </w:t>
      </w:r>
      <w:r w:rsidRPr="008725BE">
        <w:rPr>
          <w:rFonts w:ascii="Garamond" w:hAnsi="Garamond"/>
          <w:color w:val="000000"/>
          <w:lang w:val="en-GB"/>
        </w:rPr>
        <w:t>Ich habe oft bemerkt, daß mich der Inhalt eines Kunstwerkes stärker anzieht als dessen formale und technische Eigenschaften, auf welche doch der Künstler in erster Linie Wert legt. Für viele Mittel und manche Wirkungen der Kunst fehlt mir eigentlich das richtige Verständnis. Ich muß dies sagen, um mir eine nachsichtige Beurteilung meines Versuches zu sichern.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Aber Kunstwerke üben eine starke Wirkung auf mich aus, insbesondere Dichtungen und Werke der Plastik, seltener Malereien. Ich bin so veranlaßt worden, bei den entsprechenden Gelegenheiten lange vor ihnen zu verweilen, und wollte sie auf meine Weise erfassen, d. h. mir begreiflich machen, wodurch sie wirken. Wo ich das nicht kann, z. B. in der Musik, bin ich fast genußunfähig. Eine rationalistische oder vielleicht analytische Anlage sträubt sich in mir dagegen, daß ich ergriffen sein und dabei nicht wissen solle, warum ich es bin und was mich ergreift.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bin dabei auf die anscheinend paradoxe Tatsache aufmerksam geworden, daß gerade einige der großartigsten und überwältigendsten Kunstschöpfungen unserem Verständnis dunkel geblieben sind. Man bewundert sie, man fühlt sich von ihnen bezwungen, aber man weiß nicht zu sagen, was sie vorstellen. Ich bin nicht belesen genug, um zu wissen, ob dies schon bemerkt worden ist oder ob nicht ein Ästhetiker gefunden hat, solche Ratlosigkeit unseres begreifenden Verstandes sei sogar eine notwendige Bedingung für die höchsten Wirkungen, die ein Kunstwerk hervorrufen soll. Ich könnte mich nur schwer entschließen, an diese Bedingung zu glauben.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Nicht etwa daß die Kunstkenner oder Enthusiasten keine Worte fänden, wenn sie uns ein solches Kunstwerk anpreisen. Sie haben deren genug, sollte ich meinen. Aber vor einer solchen Meisterschöpfung des Künstlers sagt in der Regel jeder etwas anderes und keiner das, was dem schlichten Bewunderer das Rätsel löst. Was uns so mächtig packt, kann nach meiner Auffassung doch nur die Absicht des Künstlers sein, insofern es ihm gelungen ist, sie in dem Werke auszudrücken und von uns erfassen zu lassen. Ich weiß, daß es sich um kein bloß verständnismäßiges Erfassen handeln kann; es soll die Affektlage, die psychische Konstellation, welche beim Künstler die Triebkraft zur Schöpfung abgab, bei uns wieder hervorgerufen werden. Aber warum soll die Absicht des Künstlers nicht angebbar und in Worte zu fassen sein wie irgendeine andere Tatsache des seelischen Lebens? Vielleicht daß dies bei den großen Kunstwerken nicht ohne Anwendung der Analyse gelingen wird. Das Werk selbst muß doch diese Analyse ermöglichen, wenn es der auf uns wirksame Ausdruck der Absichten und Regungen des Künstlers ist. Und um diese Absicht zu erraten, muß ich doch vorerst den </w:t>
      </w:r>
      <w:r w:rsidRPr="008725BE">
        <w:rPr>
          <w:rFonts w:ascii="Garamond" w:hAnsi="Garamond"/>
          <w:i/>
          <w:iCs/>
          <w:color w:val="000000"/>
          <w:lang w:val="en-GB"/>
        </w:rPr>
        <w:t>Sinn</w:t>
      </w:r>
      <w:r w:rsidRPr="008725BE">
        <w:rPr>
          <w:rFonts w:ascii="Garamond" w:hAnsi="Garamond"/>
          <w:color w:val="000000"/>
          <w:lang w:val="en-GB"/>
        </w:rPr>
        <w:t xml:space="preserve"> und </w:t>
      </w:r>
      <w:r w:rsidRPr="008725BE">
        <w:rPr>
          <w:rFonts w:ascii="Garamond" w:hAnsi="Garamond"/>
          <w:i/>
          <w:iCs/>
          <w:color w:val="000000"/>
          <w:lang w:val="en-GB"/>
        </w:rPr>
        <w:t>Inhalt</w:t>
      </w:r>
      <w:r w:rsidRPr="008725BE">
        <w:rPr>
          <w:rFonts w:ascii="Garamond" w:hAnsi="Garamond"/>
          <w:color w:val="000000"/>
          <w:lang w:val="en-GB"/>
        </w:rPr>
        <w:t xml:space="preserve"> des im Kunstwerk Dargestellten herausfinden, also es </w:t>
      </w:r>
      <w:r w:rsidRPr="008725BE">
        <w:rPr>
          <w:rFonts w:ascii="Garamond" w:hAnsi="Garamond"/>
          <w:i/>
          <w:iCs/>
          <w:color w:val="000000"/>
          <w:lang w:val="en-GB"/>
        </w:rPr>
        <w:t>deuten</w:t>
      </w:r>
      <w:r w:rsidRPr="008725BE">
        <w:rPr>
          <w:rFonts w:ascii="Garamond" w:hAnsi="Garamond"/>
          <w:color w:val="000000"/>
          <w:lang w:val="en-GB"/>
        </w:rPr>
        <w:t xml:space="preserve"> können. Es ist also möglich, daß ein solches Kunstwerk der Deutung bedarf und daß ich erst nach Vollziehung derselben erfahren kann, warum ich einem so gewaltigen Eindruck unterlegen bin. Ich hege selbst die Hoffnung, daß dieser Eindruck keine Abschwächung erleiden wird, wenn uns eine solche Analyse geglückt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Nun denke man an den </w:t>
      </w:r>
      <w:r w:rsidRPr="008725BE">
        <w:rPr>
          <w:rFonts w:ascii="Garamond" w:hAnsi="Garamond"/>
          <w:i/>
          <w:iCs/>
          <w:color w:val="000000"/>
          <w:lang w:val="en-GB"/>
        </w:rPr>
        <w:t>Hamlet,</w:t>
      </w:r>
      <w:r w:rsidRPr="008725BE">
        <w:rPr>
          <w:rFonts w:ascii="Garamond" w:hAnsi="Garamond"/>
          <w:color w:val="000000"/>
          <w:lang w:val="en-GB"/>
        </w:rPr>
        <w:t xml:space="preserve"> das über dreihundert Jahre alte Meisterstück Shakespeares </w:t>
      </w:r>
      <w:hyperlink r:id="rId75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Vielleicht 1602 zuerst gespielt.</w:t>
        </w:r>
      </w:hyperlink>
      <w:r w:rsidRPr="008725BE">
        <w:rPr>
          <w:rFonts w:ascii="Garamond" w:hAnsi="Garamond"/>
          <w:color w:val="000000"/>
          <w:lang w:val="en-GB"/>
        </w:rPr>
        <w:t>. Ich verfolge die psychoanalytische Literatur und schließe mich der Behauptung an, daß erst die Psychoanalyse durch die Zurückführung des Stoffes auf das Ödipus-Thema das Rätsel der Wirkung dieser Tragödie gelöst hat. Aber vorher, welche Überfülle von verschiedenen, miteinander unverträglichen Deutungsversuchen, welche Auswahl von Meinungen über den Charakter des Helden und die Absichten des Dichters! Hat Shakespeare unsere Teilnahme für einen Kranken in Anspruch genommen oder für einen unzulänglichen Minderwertigen oder für einen Idealisten, der nur zu gut ist für die reale Welt? Und wie viele dieser Deutungen lassen uns so kalt, daß sie für die Erklärung der Wirkung der Dichtung nichts leisten können und uns eher darauf verweisen, deren Zauber allein auf den Eindruck der Gedanken und den Glanz der Sprache zu begründen! Und doch, sprechen nicht gerade diese Bemühungen dafür, daß ein Bedürfnis verspürt wird, eine weitere Quelle dieser Wirkung aufzufinden?'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 anderes dieser rätselvollen und großartigen Kunstwerke ist die Marmorstatue des Moses, in der Kirche von S. Pietro in Vincoli zu Rom von Michelangelo aufgestellt, bekanntlich nur ein Teilstück jenes riesigen Grabdenkmals, welches der Künstler für den gewaltigen Papstherrn Julius II. errichten sollte </w:t>
      </w:r>
      <w:hyperlink r:id="rId75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Nach Henry Thode ist die Statue in den Jahren 1512 bis 1516 ausgeführt worden.</w:t>
        </w:r>
      </w:hyperlink>
      <w:r w:rsidRPr="008725BE">
        <w:rPr>
          <w:rFonts w:ascii="Garamond" w:hAnsi="Garamond"/>
          <w:color w:val="000000"/>
          <w:lang w:val="en-GB"/>
        </w:rPr>
        <w:t xml:space="preserve">. Ich freue mich jedesmal, wenn ich eine Äußerung über diese Gestalt lese wie: sie sei »die Krone der modernen Skulptur« (Herman Grimm). Denn ich habe von keinem Bildwerk je eine stärkere Wirkung erfahren. Wie oft bin ich die steile Treppe vom unschönen Corso Cavour hinaufgestiegen zu dem einsamen Platz, auf dem die verlassene Kirche steht, habe immer versucht, dem verächtlich-zürnenden Blick des Heros </w:t>
      </w:r>
      <w:r w:rsidRPr="008725BE">
        <w:rPr>
          <w:rFonts w:ascii="Garamond" w:hAnsi="Garamond"/>
          <w:color w:val="000000"/>
          <w:lang w:val="en-GB"/>
        </w:rPr>
        <w:lastRenderedPageBreak/>
        <w:t>standzuhalten, und manchmal habe ich mich dann behutsam aus dem Halbdunkel des Innenraumes geschlichen, als gehörte ich selbst zu dem Gesindel, auf das sein Auge gerichtet ist, das keine Überzeugung festhalten kann, das nicht warten und nicht vertrauen will und jubelt, wenn es die Illusion des Götzenbildes wieder bekommen hat.</w:t>
      </w:r>
    </w:p>
    <w:p w:rsidR="008725BE" w:rsidRPr="008725BE" w:rsidRDefault="008725BE" w:rsidP="008725BE">
      <w:pPr>
        <w:pStyle w:val="Sansinterligne"/>
        <w:rPr>
          <w:rFonts w:ascii="Garamond" w:hAnsi="Garamond"/>
          <w:color w:val="000000"/>
        </w:rPr>
      </w:pPr>
      <w:r w:rsidRPr="008725BE">
        <w:rPr>
          <w:rFonts w:ascii="Garamond" w:hAnsi="Garamond"/>
          <w:noProof/>
          <w:color w:val="000000"/>
          <w:lang w:eastAsia="fr-FR"/>
        </w:rPr>
        <w:drawing>
          <wp:inline distT="0" distB="0" distL="0" distR="0">
            <wp:extent cx="3115945" cy="4522470"/>
            <wp:effectExtent l="19050" t="0" r="8255" b="0"/>
            <wp:docPr id="33" name="Image 14" descr="v10s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10s145"/>
                    <pic:cNvPicPr>
                      <a:picLocks noChangeAspect="1" noChangeArrowheads="1"/>
                    </pic:cNvPicPr>
                  </pic:nvPicPr>
                  <pic:blipFill>
                    <a:blip r:embed="rId757" cstate="print"/>
                    <a:srcRect/>
                    <a:stretch>
                      <a:fillRect/>
                    </a:stretch>
                  </pic:blipFill>
                  <pic:spPr bwMode="auto">
                    <a:xfrm>
                      <a:off x="0" y="0"/>
                      <a:ext cx="3115945" cy="4522470"/>
                    </a:xfrm>
                    <a:prstGeom prst="rect">
                      <a:avLst/>
                    </a:prstGeom>
                    <a:noFill/>
                    <a:ln w="9525">
                      <a:noFill/>
                      <a:miter lim="800000"/>
                      <a:headEnd/>
                      <a:tailEnd/>
                    </a:ln>
                  </pic:spPr>
                </pic:pic>
              </a:graphicData>
            </a:graphic>
          </wp:inline>
        </w:drawing>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Michelangelo: Mosesstatue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Aber warum nenne ich diese Statue rätselvoll? Es besteht nicht der leiseste Zweifel, daß sie Moses darstellt, den Gesetzgeber der Juden, der die Tafeln mit den heiligen Geboten hält. Soviel ist sicher, aber auch nichts darüber hinaus. Ganz kürzlich erst (1912) hat ein Kunstschriftsteller (Max Sauerlandt) den Ausspruch machen können: »Über kein Kunstwerk der Welt sind so widersprechende Urteile gefällt worden wie über diesen panköpfigen Moses. Schon die einfache Interpretation der Figur bewegt sich in vollkommenen Widersprüchen ...« An der Hand einer Zusammenstellung, die nur um fünf Jahre zurückliegt, werde ich darlegen, welche Zweifel sich an die Auffassung der Figur des Moses knüpfen, und es wird nicht schwer sein zu zeigen, daß hinter ihnen das Wesentliche und Beste zum Verständnis dieses Kunstwerkes verhüllt liegt </w:t>
      </w:r>
      <w:hyperlink r:id="rId75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Thode (1908).</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Moses des Michelangelo ist sitzend dargestellt, den Rumpf nach vorne gerichtet, den Kopf mit dem mächtigen Bart und den Blick nach links gewendet, den rechten Fuß auf dem Boden ruhend, den linken aufgestellt, so daß er nur mit den Zehen den Boden berührt, den rechten Arm mit den Tafeln und einem Teil des Bartes in Beziehung; der linke Arm ist in den Schoß gelegt. Wollte ich eine genauere Beschreibung geben, so müßte ich dem vorgreifen, was ich später vorzubringen habe. Die Beschreibungen der Autoren sind mitunter in merkwürdiger Weise unzutreffend. Was nicht verstanden war, wurde auch ungenau wahrgenommen oder wiedergegeben. H. Grimm sagt, daß die rechte Hand, »unter deren Arme die Gesetzestafeln ruhen, in den Bart greife«. Ebenso W. Lübke: »Erschüttert greift er mit der Rechten in den herrlich herabflutenden Bart ...«; Springer: »Die eine (linke) Hand drückt Moses an den Leib, mit der anderen greift er wie unbewußt in den mächtig wallenden Bart.« C. Justi findet, daß die Finger der (rechten) Hand mit dem Bart spielen, »wie der zivilisierte Mensch in der Aufregung mit der Uhrkette«. Das Spielen mit dem Bart hebt auch Müntz hervor. H. Thode spricht von der »ruhig festen Haltung der </w:t>
      </w:r>
      <w:r w:rsidRPr="008725BE">
        <w:rPr>
          <w:rFonts w:ascii="Garamond" w:hAnsi="Garamond"/>
          <w:color w:val="000000"/>
          <w:lang w:val="en-GB"/>
        </w:rPr>
        <w:lastRenderedPageBreak/>
        <w:t>rechten Hand auf den aufgestemmten Tafeln«. Selbst in der rechten Hand erkennt er nicht ein Spiel der Aufregung, wie Justi und ähnlich Boito wollen. »Die Hand verharrt so, wie sie den Bart greifend, gehalten ward, ehe der Titan den Kopf zur Seite wandte.« Jakob Burkhardt stellt aus, »daß der berühmte linke Arm im Grunde nichts anderes zu tun habe, als diesen Bart an den Leib zu drücken«.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Wenn die Beschreibungen nicht übereinstimmen, werden wir uns über die Verschiedenheit in der Auffassung einzelner Züge der Statue nicht verwundern. Ich meine zwar, wir können den Gesichtsausdruck des Moses nicht besser charakterisieren als Thode, der eine »Mischung von Zorn, Schmerz und Verachtung« aus ihm las, »den Zorn in den dräuend zusammengezogenen Augenbrauen, den Schmerz in dem Blick der Augen, die Verachtung in der vorgeschobenen Unterlippe und den herabgezogenen Mundwinkeln«. </w:t>
      </w:r>
      <w:r w:rsidRPr="008725BE">
        <w:rPr>
          <w:rFonts w:ascii="Garamond" w:hAnsi="Garamond"/>
          <w:color w:val="000000"/>
        </w:rPr>
        <w:t xml:space="preserve">Aber andere Bewunderer müssen mit anderen Augen gesehen haben. So hatte Dupaty geurteilt: </w:t>
      </w:r>
      <w:r w:rsidRPr="008725BE">
        <w:rPr>
          <w:rFonts w:ascii="Garamond" w:hAnsi="Garamond"/>
          <w:i/>
          <w:iCs/>
          <w:color w:val="000000"/>
        </w:rPr>
        <w:t>Ce front auguste semble n'être qu'un voile transparent, qui couvre à peine un esprit immense</w:t>
      </w:r>
      <w:hyperlink r:id="rId759" w:anchor="#" w:history="1">
        <w:r w:rsidRPr="008725BE">
          <w:rPr>
            <w:rStyle w:val="fusslink"/>
            <w:rFonts w:ascii="Garamond" w:hAnsi="Garamond" w:cs="Arial"/>
            <w:b/>
            <w:bCs/>
            <w:color w:val="003399"/>
          </w:rPr>
          <w:t>[Fußnote]</w:t>
        </w:r>
        <w:r w:rsidRPr="008725BE">
          <w:rPr>
            <w:rStyle w:val="innerfusslink3"/>
            <w:rFonts w:ascii="Garamond" w:hAnsi="Garamond" w:cs="Arial"/>
            <w:b/>
            <w:bCs/>
          </w:rPr>
          <w:t>Bei Thode, l. c, 197.</w:t>
        </w:r>
      </w:hyperlink>
      <w:r w:rsidRPr="008725BE">
        <w:rPr>
          <w:rFonts w:ascii="Garamond" w:hAnsi="Garamond"/>
          <w:color w:val="000000"/>
        </w:rPr>
        <w:t>. Dagegen meint Lübke: »In dem Kopfe würde man vergebens den Ausdruck höherer Intelligenz suchen; nichts als die Fähigkeit eines ungeheuren Zornes, einer alles durchsetzenden Energie spricht sich in der zusammengedrängten Stirne aus.« Noch weiter entfernt sich in der Deutung des Gesichtsausdruckes Guillaume (1876), der keine Erregung darin fand, »nur stolze Einfachheit, beseelte Würde, Energie des Glaubens. Moses' Blick gehe in die Zukunft, er sehe die Dauer seiner Rasse, die Unveränderlichkeit seines Gesetzes voraus.« Ähnlich läßt Müntz »die Blicke Moses' weit über das Menschengeschlecht hinschweifen; sie seien auf die Mysterien gerichtet, die er als Einziger gewahrt hat«. Ja, für Steinmann ist dieser Moses »nicht mehr der starre Gesetzgeber, nicht mehr der fürchterliche Feind der Sünde mit dem Jehovazorn, sondern der königliche Priester, welchen das Alter nicht berühren darf, der segnend und weissagend, den Abglanz der Ewigkeit auf der Stirne, von seinem Volke den letzten Abschied nimmt«.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hat noch andere gegeben, denen der Moses des Michelangelo überhaupt nichts sagte und die ehrlich genug waren, es zu äußern. So ein Rezensent in der </w:t>
      </w:r>
      <w:r w:rsidRPr="008725BE">
        <w:rPr>
          <w:rFonts w:ascii="Garamond" w:hAnsi="Garamond"/>
          <w:i/>
          <w:iCs/>
          <w:color w:val="000000"/>
          <w:lang w:val="en-GB"/>
        </w:rPr>
        <w:t>Quarterly Review</w:t>
      </w:r>
      <w:r w:rsidRPr="008725BE">
        <w:rPr>
          <w:rFonts w:ascii="Garamond" w:hAnsi="Garamond"/>
          <w:color w:val="000000"/>
          <w:lang w:val="en-GB"/>
        </w:rPr>
        <w:t xml:space="preserve"> 1858: » </w:t>
      </w:r>
      <w:r w:rsidRPr="008725BE">
        <w:rPr>
          <w:rFonts w:ascii="Garamond" w:hAnsi="Garamond"/>
          <w:i/>
          <w:iCs/>
          <w:color w:val="000000"/>
          <w:lang w:val="en-GB"/>
        </w:rPr>
        <w:t>There is an absence of meaning in the general conception, which precludes the idea of a self-sufficing whole ...</w:t>
      </w:r>
      <w:r w:rsidRPr="008725BE">
        <w:rPr>
          <w:rFonts w:ascii="Garamond" w:hAnsi="Garamond"/>
          <w:color w:val="000000"/>
          <w:lang w:val="en-GB"/>
        </w:rPr>
        <w:t>« Und man ist erstaunt zu erfahren, daß noch andere nichts an dem Moses zu bewundern fanden, sondern sich auflehnten gegen ihn, die Brutalität der Gestalt anklagten und die Tierähnlichkeit des Kopfes.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Hat der Meister wirklich so undeutliche oder zweideutige Schrift in den Stein geschrieben, daß so verschiedenartige Lesungen möglich wurden?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erhebt sich aber eine andere Frage, welcher sich die erwähnten Unsicherheiten leicht unterordnen. Hat Michelangelo in diesem Moses ein »zeitloses Charakter- und Stimmungsbild« schaffen wollen, oder hat er den Helden in einem bestimmten, dann aber höchst bedeutsamen Moment seines Lebens dargestellt? Eine Mehrzahl von Beurteilern entscheidet sich für das letztere und weiß auch die Szene aus dem Leben Moses' anzugeben, welche der Künstler für die Ewigkeit festgebannt hat. Es handelt sich hier um die Herabkunft vom Sinai, woselbst er die Gesetzestafeln von Gott in Empfang genommen hat, und um die Wahrnehmung, daß die Juden unterdes ein goldenes Kalb gemacht haben, das sie jubelnd umtanzen. Auf dieses Bild ist sein Blick gerichtet, dieser Anblick ruft die Empfindungen hervor, die in seinen Mienen ausgedrückt sind und die gewaltige Gestalt alsbald in die heftigste Aktion versetzen werden. Michelangelo hat den Moment der letzten Zögerung, der Ruhe vor dem Sturm, zur Darstellung gewählt; im nächsten wird Moses aufspringen –; der linke Fuß ist schon vom Boden abgehoben –; die Tafeln zu Boden schmettern und seinen Grimm über die Abtrünnigen entladen.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Einzelheiten dieser Deutung weichen auch deren Vertreter voneinander ab.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Jak. Burkhardt: »Moses scheint in dem Momente dargestellt, da er die Verehrung des goldenen Kalbes erblickt und aufspringen will. Es lebt in seiner Gestalt die Vorbereitung zu einer gewaltigen Bewegung, wie man sie von der physischen Macht, mit der er ausgestattet ist, nur mit Zittern erwarten mag.«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 Lübke: »Als sähen die blitzenden Augen eben den Frevel der Verehrung des goldenen Kalbes, so gewaltsam durchzuckt eine innere Bewegung die ganze Gestalt. Erschüttert greift er mit der Rechten in den herrlich herabflutenden Bart, als wolle er seiner Bewegung noch einen Augenblick Herr bleiben, um dann um so zerschmetternder loszufahren.«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Springer schließt sich dieser Ansicht an, nicht ohne ein Bedenken vorzutragen, welches weiterhin noch unsere Aufmerksamkeit beanspruchen wird: »Durchglüht von Kraft und Eifer kämpft der Held nur mühsam die innere Erregung nieder ... Man denkt daher unwillkürlich an eine dramatische Szene und meint, Moses sei in dem Augenblick dargestellt, wie er die Verehrung des goldenen Kalbes erblickt und im Zorn aufspringen will. Diese Vermutung trifft zwar schwerlich die wahre Absicht des Künstlers, da ja Moses, wie die übrigen fünf sitzenden Statuen des Oberbaues </w:t>
      </w:r>
      <w:hyperlink r:id="rId76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Vom Grabdenkmal des </w:t>
        </w:r>
        <w:r w:rsidRPr="008725BE">
          <w:rPr>
            <w:rStyle w:val="innerfusslink3"/>
            <w:rFonts w:ascii="Garamond" w:hAnsi="Garamond" w:cs="Arial"/>
            <w:b/>
            <w:bCs/>
            <w:lang w:val="en-GB"/>
          </w:rPr>
          <w:lastRenderedPageBreak/>
          <w:t>Papstes nämlich.</w:t>
        </w:r>
      </w:hyperlink>
      <w:r w:rsidRPr="008725BE">
        <w:rPr>
          <w:rFonts w:ascii="Garamond" w:hAnsi="Garamond"/>
          <w:color w:val="000000"/>
          <w:lang w:val="en-GB"/>
        </w:rPr>
        <w:t xml:space="preserve"> vorwiegend dekorativ wirken sollte; sie darf aber als ein glänzendes Zeugnis für die Lebensfülle und das persönliche Wesen der Mosesgestalt gelten.«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Einige Autoren, die sich nicht gerade für die Szene des goldenen Kalbes entscheiden, treffen doch mit dieser Deutung in dem wesentlichen Punkte zusammen, daß dieser Moses im Begriffe sei aufzuspringen und zur Tat überzugehen.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Herman Grimm: »Eine Hoheit erfüllt sie« (diese Gestalt), »ein Selbstbewußtsein, ein Gefühl, als stünden diesem Manne die Donner des Himmels zu Gebote, doch er bezwänge sich, ehe er sie entfesselte, erwartend, ob die Feinde, die er vernichten will, ihn anzugreifen wagten. Er sitzt da, als wollte er eben aufspringen, das Haupt stolz aus den Schultern in die Höhe gereckt, mit der Hand, unter deren Arme die Gesetzestafeln ruhen, in den Bart greifend, der in schweren Strömen auf die Brust sinkt, mit weit atmenden Nüstern und mit einem Munde, auf dessen Lippen die Worte zu zittern scheinen.«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Heath Wilson sagt, Moses' Aufmerksamkeit sei durch etwas erregt, er sei im Begriffe aufzuspringen, doch zögere er noch. Der Blick, in dem Entrüstung und Verachtung gemischt seien, könne sich noch in Mitleid verändern.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Wölfflin spricht von »gehemmter Bewegung«. Der Hemmungsgrund liegt hier im Willen der Person selbst, es ist der letzte Moment des Ansichhaltens vor dem Losbrechen, d. h. vor dem Aufspringen.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Am eingehendsten hat C. Justi die Deutung auf die Wahrnehmung des goldenen Kalbes begründet und sonst nicht beachtete Einzelheiten der Statue in Zusammenhang mit dieser Auffassung gebracht. Er lenkt unseren Blick auf die in der Tat auffällige Stellung der beiden Gesetzestafeln, welche im Begriffe seien, auf den Steinsitz herabzugleiten: »Er« (Moses) »könnte also entweder in der Richtung des Lärmes schauen mit dem Ausdruck böser Ahnungen, oder es wäre der Anblick des Gräuels selbst, der ihn wie ein betäubender Schlag trifft. Durchbebt von Abscheu und Schmerz hat er sich niedergelassen </w:t>
      </w:r>
      <w:hyperlink r:id="rId76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Es ist zu bemerken, daß die sorgfältige Anordnung des Mantels um die Beine der sitzenden Gestalt dieses erste Stück der Auslegung Justis unhaltbar macht. Man müßte vielmehr annehmen, es sei dargestellt, wie Moses im ruhigen erwartungslosen Dasitzen durch eine plötzliche Wahrnehmung aufgeschreckt werde.</w:t>
        </w:r>
      </w:hyperlink>
      <w:r w:rsidRPr="008725BE">
        <w:rPr>
          <w:rFonts w:ascii="Garamond" w:hAnsi="Garamond"/>
          <w:color w:val="000000"/>
          <w:lang w:val="en-GB"/>
        </w:rPr>
        <w:t>. Er war auf dem Berge vierzig Tage und Nächte geblieben, also ermüdet. Das Ungeheure, ein großes Schicksal, Verbrechen, selbst ein Glück kann zwar in einem Augenblick wahrgenommen, aber nicht gefaßt werden nach Wesen, Tiefe, Folgen. Einen Augenblick scheint ihm sein Werk zerstört, er verzweifelt an diesem Volke. In solchen Augenblicken verrät sich der innere Aufruhr in unwillkürlichen kleinen Bewegungen. Er läßt die beiden Tafeln, die er in der Rechten hielt, auf den Steinsitz herabrutschen, sie sind über Eck zu stehen gekommen, vom Unterarm an die Seite der Brust gedrückt. Die Hand aber fährt an Brust und Bart, bei der Wendung des Halses nach rechts muß sie den Bart nach der linken Seite ziehen und die Symmetrie dieser breiten männlichen Zierde aufheben; es sieht aus, als spielten die Finger mit dem Bart, wie der zivilisierte Mensch in der Aufregung mit der Uhrkette. Die Linke gräbt sich in den Rock am Bauch (im alten Testament sind die Eingeweide Sitz der Affekte). Aber das linke Bein ist bereits zurückgezogen und das rechte vorgesetzt; im nächsten Augenblick wird er auffahren, die psychische Kraft von der Empfindung auf den Willen überspringen, der rechte Arm sich bewegen, die Tafeln werden zu Boden fallen und Ströme Blutes die Schmach des Abfalls sühnen ...« »Es ist hier noch nicht der Spannungsmoment der Tat. Noch waltet der Seelenschmerz fast lähmend.«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Ganz ähnlich äußert sich Fritz Knapp; nur daß er die Eingangssituation dem vorhin geäußerten Bedenken entzieht, auch die angedeutete Bewegung der Tafeln konsequenter weiterführt: »Ihn, der soeben noch mit seinem Gotte allein war, lenken irdische Geräusche ab. Er hört Lärm, das Geschrei von gesungenen Tanzreigen weckt ihn aus dem Traume. Das Auge, der Kopf wenden sich hin zu dem Geräusch. Schrecken, Zorn, die ganze Furie wilder Leidenschaften durchfahren im Moment die Riesengestalt. Die Gesetzestafeln fangen an herabzugleiten, sie werden zur Erde fallen und zerbrechen, wenn die Gestalt auffährt, um die donnernden Zornesworte in die Massen des abtrünnigen Volkes zu schleudern ... Dieser Moment höchster Spannung ist gewählt ...« Knapp betont also die Vorbereitung zur Handlung und bestreitet die Darstellung der anfänglichen Hemmung infolge der übergewaltigen Erregung.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werden nicht in Abrede stellen, daß Deutungsversuche wie die letzterwähnten von Justi und Knapp etwas ungemein Ansprechendes haben. Sie verdanken diese Wirkung dem Umstande, daß sie nicht bei dem Gesamteindruck der Gestalt stehenbleiben, sondern einzelne Charaktere derselben würdigen, welche man sonst, von der Allgemeinwirkung überwältigt und gleichsam gelähmt, zu beachten versäumt. Die entschiedene Seitenwendung von Kopf und Augen der im übrigen nach vorne gerichteten Figur stimmt gut zu der Annahme, daß dort etwas erblickt wird, was plötzlich die Aufmerksamkeit des Ruhenden auf sich zieht. Der vom Boden abgehobene Fuß läßt kaum eine andere Deutung zu als die einer Vorbereitung zum Aufspringen </w:t>
      </w:r>
      <w:hyperlink r:id="rId76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Obwohl der linke Fuß des ruhig sitzenden Giuliano in der </w:t>
        </w:r>
        <w:r w:rsidRPr="008725BE">
          <w:rPr>
            <w:rStyle w:val="innerfusslink3"/>
            <w:rFonts w:ascii="Garamond" w:hAnsi="Garamond" w:cs="Arial"/>
            <w:b/>
            <w:bCs/>
            <w:lang w:val="en-GB"/>
          </w:rPr>
          <w:lastRenderedPageBreak/>
          <w:t>Medicikapelle ähnlich abgehoben ist.</w:t>
        </w:r>
      </w:hyperlink>
      <w:r w:rsidRPr="008725BE">
        <w:rPr>
          <w:rFonts w:ascii="Garamond" w:hAnsi="Garamond"/>
          <w:color w:val="000000"/>
          <w:lang w:val="en-GB"/>
        </w:rPr>
        <w:t>, und die ganz sonderbare Haltung der Tafeln, die doch etwas Hochheiliges sind und nicht wie ein beliebiges Beiwerk irgendwie im Raum untergebracht werden dürfen, findet ihre gute Aufklärung in der Annahme, sie glitten infolge der Erregung ihres Trägers herab und würden dann zu Boden fallen. So wüßten wir also, daß diese Statue des Moses einen bestimmten bedeutsamen Moment aus dem Leben des Mannes darstellt, und wären auch nicht in Gefahr, diesen Moment zu verkennen.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Allein zwei Bemerkungen von Thode entreißen uns wieder, was wir schon zu besitzen glaubten. Dieser Beobachter sagt, er sehe die Tafeln nicht herabgleiten, sondern »fest verharren«. Er konstatiert »die ruhig feste Haltung der rechten Hand auf den aufgestemmten Tafeln«. Blicken wir selbst hin, so müssen wir Thode ohne Rückhalt recht geben. Die Tafeln sind festgestellt und nicht in Gefahr zu gleiten. Die rechte Hand stützt sie oder stützt sich auf sie. Dadurch ist ihre Aufstellung zwar nicht erklärt, aber sie wird für die Deutung von Justi und anderen unverwendbar.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 zweite Bemerkung trifft noch entscheidender. Thode mahnt daran, daß »diese Statue als eine von sechsen gedacht war und daß sie sitzend dargestellt ist. Beides widerspricht der Annahme, Michelangelo habe einen bestimmten historischen Moment fixieren wollen. Denn, was das erste anbetrifft, so schloß die Aufgabe, nebeneinander sitzende Figuren als Typen menschlichen Wesens ( </w:t>
      </w:r>
      <w:r w:rsidRPr="008725BE">
        <w:rPr>
          <w:rFonts w:ascii="Garamond" w:hAnsi="Garamond"/>
          <w:i/>
          <w:iCs/>
          <w:color w:val="000000"/>
          <w:lang w:val="en-GB"/>
        </w:rPr>
        <w:t>Vita activa! Vita contemplativa!</w:t>
      </w:r>
      <w:r w:rsidRPr="008725BE">
        <w:rPr>
          <w:rFonts w:ascii="Garamond" w:hAnsi="Garamond"/>
          <w:color w:val="000000"/>
          <w:lang w:val="en-GB"/>
        </w:rPr>
        <w:t>) zu geben, die Vorstellung einzelner historischer Vorgänge aus. Und bezüglich des zweiten widerspricht die Darstellung des Sitzens, welche durch die gesamte künstlerische Konzeption des Denkmals bedingt war, dem Charakter jenes Vorganges, nämlich dem Herabsteigen vom Berge Sinai zu dem Lager«.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Machen wir uns dies Bedenken Thodes zu eigen; ich meine, wir werden seine Kraft noch steigern können. Der Moses sollte mit fünf (in einem späteren Entwurf drei) anderen Statuen das Postament des Grabmals zieren. Sein nächstes Gegenstück hätte ein Paulus werden sollen. Zwei der anderen, die </w:t>
      </w:r>
      <w:r w:rsidRPr="008725BE">
        <w:rPr>
          <w:rFonts w:ascii="Garamond" w:hAnsi="Garamond"/>
          <w:i/>
          <w:iCs/>
          <w:color w:val="000000"/>
          <w:lang w:val="en-GB"/>
        </w:rPr>
        <w:t>Vita activa</w:t>
      </w:r>
      <w:r w:rsidRPr="008725BE">
        <w:rPr>
          <w:rFonts w:ascii="Garamond" w:hAnsi="Garamond"/>
          <w:color w:val="000000"/>
          <w:lang w:val="en-GB"/>
        </w:rPr>
        <w:t xml:space="preserve"> und </w:t>
      </w:r>
      <w:r w:rsidRPr="008725BE">
        <w:rPr>
          <w:rFonts w:ascii="Garamond" w:hAnsi="Garamond"/>
          <w:i/>
          <w:iCs/>
          <w:color w:val="000000"/>
          <w:lang w:val="en-GB"/>
        </w:rPr>
        <w:t>contemplativa</w:t>
      </w:r>
      <w:r w:rsidRPr="008725BE">
        <w:rPr>
          <w:rFonts w:ascii="Garamond" w:hAnsi="Garamond"/>
          <w:color w:val="000000"/>
          <w:lang w:val="en-GB"/>
        </w:rPr>
        <w:t xml:space="preserve"> sind als Lea und Rahel an dem heute vorhandenen, kläglich verkümmerten Monument ausgeführt worden, allerdings stehend. Diese Zugehörigkeit des Moses zu einem Ensemble macht die Annahme unmöglich, daß die Figur in dem Beschauer die Erwartung erwecken solle, sie werde nun gleich von ihrem Sitze aufspringen, etwa davonstürmen und auf eigene Faust Lärm schlagen. Wenn die anderen Figuren nicht gerade auch in der Vorbereitung zu so heftiger Aktion dargestellt waren –; was sehr unwahrscheinlich ist –;, so würde es den übelsten Eindruck machen, wenn gerade die eine uns die Illusion geben könnte, sie werde ihren Platz und ihre Genossen verlassen, also sich ihrer Aufgabe im Gefüge des Denkmals entziehen. Das ergäbe eine grobe Inkohärenz, die man dem großen Künstler nicht ohne die äußerste Nötigung zumuten dürfte. Eine in solcher Art davonstürmende Figur wäre mit der Stimmung, welche das ganze Grabmonument erwecken soll, aufs äußerste unverträglich.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Also dieser Moses darf nicht aufspringen wollen, er muß in hehrer Ruhe verharren können wie die anderen Figuren, wie das beabsichtigte (dann nicht von Michelangelo ausgeführte) Bild des Papstes selbst. Dann aber kann der Moses, den wir betrachten, nicht die Darstellung des von Zorn erfaßten Mannes sein, der vom Sinai herabkommend, sein Volk abtrünnig findet und die heiligen Tafeln hinwirft, daß sie zerschmettern. Und wirklich, ich weiß mich an meine Enttäuschung zu erinnern, wenn ich bei früheren Besuchen in S. Pietro in Vincoli mich vor die Statue hinsetzte in der Erwartung, ich werde nun sehen, wie sie auf dem aufgestellten Fuß emporschnellen, wie sie die Tafeln zu Boden schleudern und ihren Zorn entladen werde. Nichts davon geschah; anstatt dessen wurde der Stein immer starrer, eine fast erdrückende heilige Stille ging von ihm aus, und ich mußte fühlen, hier sei etwas dargestellt, was unverändert so bleiben könne, dieser Moses werde ewig so dasitzen und so zürnen.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wir aber die Deutung der Statue mit dem Moment vor dem losbrechenden Zorn beim Anblick des Götzenbildes aufgeben müssen, so bleibt uns wenig mehr übrig, als eine der Auffassungen anzunehmen, welche in diesem Moses ein Charakterbild erkennen wollen. Am ehesten von Willkür frei und am besten auf die Analyse der Bewegungsmotive der Gestalt gestützt erscheint dann das Urteil von Thode: »Hier, wie immer, ist es ihm um die Gestaltung eines Charaktertypus zu tun. Er schafft das Bild eines leidenschaftlichen Führers der Menschheit, der, seiner göttlichen gesetzgebenden Aufgabe bewußt, dem unverständigen Widerstand der Menschen begegnet. Einen solchen Mann der Tat zu kennzeichnen, gab es kein anderes Mittel, als die Energie des Willens zu verdeutlichen, und dies war möglich durch die Veranschaulichung einer die scheinbare Ruhe durchdringenden Bewegung, wie sie in der Wendung des Kopfes, der Anspannung der Muskeln, der Stellung des linken Beines sich äußert. Es sind dieselben Erscheinungen wie bei dem </w:t>
      </w:r>
      <w:r w:rsidRPr="008725BE">
        <w:rPr>
          <w:rFonts w:ascii="Garamond" w:hAnsi="Garamond"/>
          <w:i/>
          <w:iCs/>
          <w:color w:val="000000"/>
          <w:lang w:val="en-GB"/>
        </w:rPr>
        <w:t>vir activus</w:t>
      </w:r>
      <w:r w:rsidRPr="008725BE">
        <w:rPr>
          <w:rFonts w:ascii="Garamond" w:hAnsi="Garamond"/>
          <w:color w:val="000000"/>
          <w:lang w:val="en-GB"/>
        </w:rPr>
        <w:t xml:space="preserve"> der Medicikapelle Giuliano. Diese allgemeine Charakteristik wird weiter vertieft durch die Hervorhebung des Konfliktes, in welchen ein solcher die Menschheit gestaltender Genius zu der Allgemeinheit tritt: die Affekte des Zornes, der Verachtung, des Schmerzes gelangen zu typischem Ausdruck. Ohne diesen war das Wesen eines solchen Übermenschen nicht zu verdeutlichen. </w:t>
      </w:r>
      <w:r w:rsidRPr="008725BE">
        <w:rPr>
          <w:rFonts w:ascii="Garamond" w:hAnsi="Garamond"/>
          <w:color w:val="000000"/>
          <w:lang w:val="en-GB"/>
        </w:rPr>
        <w:lastRenderedPageBreak/>
        <w:t>Nicht ein Historienbild, sondern einen Charaktertypus unüberwindlicher Energie, welche die widerstrebende Welt bändigt, hat Michelangelo geschaffen, die in der Bibel gegebenen Züge, die eigenen inneren Erlebnisse, Eindrücke der Persönlichkeit Julius', und wie ich glaube auch solche der Savonarolaschen Kampfestätigkeit gestaltend.«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die Nähe dieser Ausführungen kann man etwa die Bemerkung von Knackfuß rücken: Das Hauptgeheimnis der Wirkung des Moses liege in dem künstlerischen Gegensatz zwischen dem inneren Feuer und der äußerlichen Ruhe der Haltung.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finde nichts in mir, was sich gegen die Erklärung von Thode sträuben würde, aber ich vermisse irgend etwas. Vielleicht, daß sich ein Bedürfnis äußert nach einer innigeren Beziehung zwischen dem Seelenzustand des Helden und dem in seiner Haltung ausgedrückten Gegensatz von »scheinbarer Ruhe« und »innerer Bewegtheit«.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Lange bevor ich etwas von der Psychoanalyse hören konnte, erfuhr ich, daß ein russischer Kunstkenner, Ivan Lermolieff, dessen erste Aufsätze 1874 bis </w:t>
      </w:r>
      <w:smartTag w:uri="urn:schemas-microsoft-com:office:smarttags" w:element="metricconverter">
        <w:smartTagPr>
          <w:attr w:name="ProductID" w:val="1876 in"/>
        </w:smartTagPr>
        <w:r w:rsidRPr="008725BE">
          <w:rPr>
            <w:rFonts w:ascii="Garamond" w:hAnsi="Garamond"/>
            <w:color w:val="000000"/>
            <w:lang w:val="en-GB"/>
          </w:rPr>
          <w:t>1876 in</w:t>
        </w:r>
      </w:smartTag>
      <w:r w:rsidRPr="008725BE">
        <w:rPr>
          <w:rFonts w:ascii="Garamond" w:hAnsi="Garamond"/>
          <w:color w:val="000000"/>
          <w:lang w:val="en-GB"/>
        </w:rPr>
        <w:t xml:space="preserve"> deutscher Sprache veröffentlicht wurden, eine Umwälzung in den Galerien Europas hervorgerufen hatte, indem er die Zuteilung vieler Bilder an die einzelnen Maler revidierte, Kopien von Originalen mit Sicherheit unterscheiden lehrte und aus den von ihren früheren Bezeichnungen frei gewordenen Werken neue Künstlerindividualitäten konstruierte. Er brachte dies zustande, indem er vom Gesamteindruck und von den großen Zügen eines Gemäldes absehen hieß und die charakteristische Bedeutung von untergeordneten Details hervorhob, von solchen Kleinigkeiten wie die Bildung der Fingernägel, der Ohrläppchen, des Heiligenscheines und anderer unbeachteter Dinge, die der Kopist nachzuahmen vernachlässigt und die doch jeder Künstler in einer ihn kennzeichnenden Weise ausführt. Es hat mich dann sehr interessiert zu erfahren, daß sich hinter dem russischen Pseudonym ein italienischer Arzt, namens Morelli, verborgen hatte. Er ist 1891 als Senator des Königreiches Italien gestorben. Ich glaube, sein Verfahren ist mit der Technik der ärztlichen Psychoanalyse nahe verwandt. Auch diese ist gewöhnt, aus geringgeschätzten oder nicht beachteten Zügen, aus dem Abhub –; dem » </w:t>
      </w:r>
      <w:r w:rsidRPr="008725BE">
        <w:rPr>
          <w:rFonts w:ascii="Garamond" w:hAnsi="Garamond"/>
          <w:i/>
          <w:iCs/>
          <w:color w:val="000000"/>
          <w:lang w:val="en-GB"/>
        </w:rPr>
        <w:t>refuse</w:t>
      </w:r>
      <w:r w:rsidRPr="008725BE">
        <w:rPr>
          <w:rFonts w:ascii="Garamond" w:hAnsi="Garamond"/>
          <w:color w:val="000000"/>
          <w:lang w:val="en-GB"/>
        </w:rPr>
        <w:t>« –; der Beobachtung, Geheimes und Verborgenes zu erraten.</w:t>
      </w:r>
    </w:p>
    <w:p w:rsidR="008725BE" w:rsidRPr="008725BE" w:rsidRDefault="008725BE" w:rsidP="008725BE">
      <w:pPr>
        <w:pStyle w:val="Sansinterligne"/>
        <w:rPr>
          <w:rFonts w:ascii="Garamond" w:hAnsi="Garamond"/>
          <w:color w:val="000000"/>
        </w:rPr>
      </w:pPr>
      <w:r w:rsidRPr="008725BE">
        <w:rPr>
          <w:rFonts w:ascii="Garamond" w:hAnsi="Garamond"/>
          <w:noProof/>
          <w:color w:val="000000"/>
          <w:lang w:eastAsia="fr-FR"/>
        </w:rPr>
        <w:lastRenderedPageBreak/>
        <w:drawing>
          <wp:inline distT="0" distB="0" distL="0" distR="0">
            <wp:extent cx="3678555" cy="5922645"/>
            <wp:effectExtent l="19050" t="0" r="0" b="0"/>
            <wp:docPr id="31" name="Image 15" descr="v10s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10s208"/>
                    <pic:cNvPicPr>
                      <a:picLocks noChangeAspect="1" noChangeArrowheads="1"/>
                    </pic:cNvPicPr>
                  </pic:nvPicPr>
                  <pic:blipFill>
                    <a:blip r:embed="rId763" cstate="print"/>
                    <a:srcRect/>
                    <a:stretch>
                      <a:fillRect/>
                    </a:stretch>
                  </pic:blipFill>
                  <pic:spPr bwMode="auto">
                    <a:xfrm>
                      <a:off x="0" y="0"/>
                      <a:ext cx="3678555" cy="5922645"/>
                    </a:xfrm>
                    <a:prstGeom prst="rect">
                      <a:avLst/>
                    </a:prstGeom>
                    <a:noFill/>
                    <a:ln w="9525">
                      <a:noFill/>
                      <a:miter lim="800000"/>
                      <a:headEnd/>
                      <a:tailEnd/>
                    </a:ln>
                  </pic:spPr>
                </pic:pic>
              </a:graphicData>
            </a:graphic>
          </wp:inline>
        </w:drawing>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Michelangelo: Mosesstatue –; Detail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 zwei Stellen der Mosesfigur finden sich nun Details, die bisher nicht beachtet, ja eigentlich noch nicht richtig beschrieben worden sind. Sie betreffen die Haltung der rechten Hand und die Stellung der beiden Tafeln. Man darf sagen, daß diese Hand in sehr eigentümlicher, gezwungener, Erklärung heischender Weise zwischen den Tafeln und dem –; Bart des zürnenden Helden vermittelt. Es ist gesagt worden, daß sie mit den Fingern im Barte wühlt, mit den Strängen desselben spielt, während sie sich mit dem Kleinfingerrand auf die Tafeln stützt. Aber dies trifft offenbar nicht zu. Es verlohnt sich, sorgfältiger ins Auge zu fassen, was die Finger dieser rechten Hand tun, und den mächtigen Bart, zu dem sie in Beziehung treten, genau zu beschreiben.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sieht dann mit aller Deutlichkeit: Der Daumen dieser Hand ist versteckt, der Zeigefinger, und dieser allein, ist mit dem Bart in wirksamer Berührung. Er drückt sich so tief in die weichen Haarmassen ein, daß sie ober und unter ihm (kopfwärts und bauchwärts vom drückenden Finger) über sein Niveau hervorquellen. Die anderen drei Finger stemmen sich, in den kleinen Gelenken gebeugt, an die Brustwand, sie werden von der äußersten rechten Flechte des Bartes, die über sie hinwegsetzt, bloß gestreift. Sie haben sich dem Barte sozusagen entzogen. Man kann also nicht sagen, die rechte Hand spiele mit dem Bart oder wühle in ihm; nichts anderes ist richtig, als daß der eine Zeigefinger über einen Teil des Bartes gelegt ist und eine tiefe Rinne in ihm hervorruft. Mit einem Finger auf seinen Bart drücken, ist gewiß eine sonderbare und schwer verständliche Geste.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Der viel bewunderte Bart des Moses läuft von Wangen, Oberlippe und Kinn in einer Anzahl von Strängen herab, die man noch in ihrem Verlauf voneinander unterscheiden kann. Einer der äußersten rechten Haarsträhne, der von der Wange ausgeht, läuft auf den oberen Rand des lastenden Zeigefingers zu, von dem er aufgehalten wird. Wir können annehmen, er gleitet zwischen diesem und dem verdeckten Daumen weiter herab. Der ihm entsprechende Strang der linken Seite fließt fast ohne Ablenkung bis weit auf die Brust herab. Die dicke Haarmasse nach innen von diesem letzteren Strang, von ihm bis zur Mittellinie reichend, hat das auffälligste Schicksal erfahren. Sie kann der Wendung des Kopfes nach links nicht folgen, sie ist genötigt, einen sich weich aufrollenden Bogen, ein Stück einer Guirlande, zu bilden, welche die inneren rechten Haarmassen überkreuzt. Sie wird nämlich von dem Druck des rechten Zeigefingers festgehalten, obwohl sie links von der Mittellinie entsprungen ist und eigentlich den Hauptanteil der linken Barthälfte darstellt. Der Bart erscheint so in seiner Hauptmasse nach rechts geworfen, obwohl der Kopf scharf nach links gewendet ist. An der Stelle, wo der rechte Zeigefinger sich eindrückt, hat sich etwas wie ein Wirbel von Haaren gebildet; hier liegen Stränge von links über solchen von rechts, beide durch den gewalttätigen Finger komprimiert. Erst jenseits von dieser Stelle brechen die von ihrer Richtung abgelenkten Haarmassen frei hervor, um nun senkrecht herabzulaufen, bis ihre Enden von der im Schoß ruhenden, geöffneten linken Hand aufgenommen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gebe mich keiner Täuschung über die Einsichtlichkeit meiner Beschreibung hin und getraue mich keines Urteils darüber, ob uns der Künstler die Auflösung jenes Knotens im Bart wirklich leicht gemacht hat. Aber über diesen Zweifel hinweg bleibt die Tatsache bestehen, daß der Druck des Zeigefingers der </w:t>
      </w:r>
      <w:r w:rsidRPr="008725BE">
        <w:rPr>
          <w:rFonts w:ascii="Garamond" w:hAnsi="Garamond"/>
          <w:i/>
          <w:iCs/>
          <w:color w:val="000000"/>
          <w:lang w:val="en-GB"/>
        </w:rPr>
        <w:t>rechten</w:t>
      </w:r>
      <w:r w:rsidRPr="008725BE">
        <w:rPr>
          <w:rFonts w:ascii="Garamond" w:hAnsi="Garamond"/>
          <w:color w:val="000000"/>
          <w:lang w:val="en-GB"/>
        </w:rPr>
        <w:t xml:space="preserve"> Hand hauptsächlich Haarstränge der </w:t>
      </w:r>
      <w:r w:rsidRPr="008725BE">
        <w:rPr>
          <w:rFonts w:ascii="Garamond" w:hAnsi="Garamond"/>
          <w:i/>
          <w:iCs/>
          <w:color w:val="000000"/>
          <w:lang w:val="en-GB"/>
        </w:rPr>
        <w:t>linken</w:t>
      </w:r>
      <w:r w:rsidRPr="008725BE">
        <w:rPr>
          <w:rFonts w:ascii="Garamond" w:hAnsi="Garamond"/>
          <w:color w:val="000000"/>
          <w:lang w:val="en-GB"/>
        </w:rPr>
        <w:t xml:space="preserve"> Barthälfte betrifft und daß durch diese übergreifende Einwirkung der Bart zurückgehalten wird, die Wendung des Kopfes und Blickes nach der linken Seite mitzumachen. Nun darf man fragen, was diese Anordnung bedeuten soll und welchen Motiven sie ihr Dasein verdankt. Wenn es wirklich Rücksichten der Linienführung und Raumausfüllung waren, die den Künstler dazu bewogen haben, die herabwallende Bartmasse des nach links schauenden Moses nach rechts herüber zu streichen, wie sonderbar ungeeignet erscheint als Mittel hiefür der Druck des einen Fingers? Und wer, der aus irgendeinem Grund seinen Bart auf die andere Seite gedrängt hat, würde dann darauf verfallen, durch den Druck eines Fingers die eine Barthälfte über der anderen zu fixieren? Vielleicht aber bedeuten diese im Grunde geringfügigen Züge nichts, und wir zerbrechen uns den Kopf über Dinge, die dem Künstler gleichgültig waren?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Setzen wir unter der Voraussetzung fort, daß auch diese Details eine Bedeutung haben. Es gibt dann eine Lösung, welche die Schwierigkeiten aufhebt und uns einen neuen Sinn ahnen läßt. Wenn an der Figur des Moses die </w:t>
      </w:r>
      <w:r w:rsidRPr="008725BE">
        <w:rPr>
          <w:rFonts w:ascii="Garamond" w:hAnsi="Garamond"/>
          <w:i/>
          <w:iCs/>
          <w:color w:val="000000"/>
          <w:lang w:val="en-GB"/>
        </w:rPr>
        <w:t>linken</w:t>
      </w:r>
      <w:r w:rsidRPr="008725BE">
        <w:rPr>
          <w:rFonts w:ascii="Garamond" w:hAnsi="Garamond"/>
          <w:color w:val="000000"/>
          <w:lang w:val="en-GB"/>
        </w:rPr>
        <w:t xml:space="preserve"> Bartstränge unter dem Druck des </w:t>
      </w:r>
      <w:r w:rsidRPr="008725BE">
        <w:rPr>
          <w:rFonts w:ascii="Garamond" w:hAnsi="Garamond"/>
          <w:i/>
          <w:iCs/>
          <w:color w:val="000000"/>
          <w:lang w:val="en-GB"/>
        </w:rPr>
        <w:t>rechten</w:t>
      </w:r>
      <w:r w:rsidRPr="008725BE">
        <w:rPr>
          <w:rFonts w:ascii="Garamond" w:hAnsi="Garamond"/>
          <w:color w:val="000000"/>
          <w:lang w:val="en-GB"/>
        </w:rPr>
        <w:t xml:space="preserve"> Zeigefingers liegen, so läßt sich dies vielleicht als der Rest einer Beziehung zwischen der rechten Hand und der linken Barthälfte verstehen, welche in einem früheren Momente als dem dargestellten eine weit innigere war. Die rechte Hand hatte vielleicht den Bart weit energischer angefaßt, war bis zum linken Rand desselben vorgedrungen, und als sie sich in die Haltung zurückzog, welche wir jetzt an der Statue sehen, folgte ihr ein Teil des Bartes nach und legt nun Zeugnis ab von der Bewegung, die hier abgelaufen ist. Die Bartguirlande wäre die Spur des von dieser Hand zurückgelegten Weges.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 hätten wir also eine Rückbewegung der rechten Hand erschlossen. Die eine Annahme nötigt uns andere wie unvermeidlich auf. Unsere Phantasie vervollständigt den Vorgang, von dem die durch die Bartspur bezeugte Bewegung ein Stück ist, und führt uns zwanglos zur Auffassung zurück, welche den ruhenden Moses durch den Lärm des Volkes und den Anblick des goldenen Kalbes aufschrecken läßt. Er saß ruhig da, den Kopf mit dem herabwallenden Bart nach vorne gerichtet, die Hand hatte wahrscheinlich nichts mit dem Barte zu tun. Da schlägt das Geräusch an sein Ohr, er wendet Kopf und Blick nach der Richtung, aus der die Störung kommt, erschaut die Szene und versteht sie. Nun packen ihn Zorn und Empörung, er möchte aufspringen, die Frevler bestrafen, vernichten. Die Wut, die sich von ihrem Objekt noch entfernt weiß, richtet sich unterdes als Geste gegen den eigenen Leib. Die ungeduldige, zur Tat bereite Hand greift nach vorne in den Bart, welcher der Wendung des Kopfes gefolgt war, preßt ihn mit eisernem Griffe zwischen Daumen und Handfläche mit den zusammenschließenden Fingern, eine Gebärde von einer Kraft und Heftigkeit, die an andere Darstellungen Michelangelos erinnern mag. Dann aber tritt, wir wissen noch nicht wie und warum, eine Änderung ein, die vorgestreckte, in den Bart versenkte Hand wird eilig zurückgezogen, ihr Griff gibt den Bart frei, die Finger lösen sich von ihm, aber so tief waren sie in ihn eingegraben, daß sie bei ihrem Rückzug einen mächtigen Strang von der linken Seite nach rechts herüberziehen, wo er unter dem Druck des einen, längsten und obersten Fingers die rechten Bartflechten überlagern muß. Und diese neue Stellung, die nur durch die Ableitung aus der ihr vorhergehenden verständlich ist, wird jetzt festgehalten.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lastRenderedPageBreak/>
        <w:t xml:space="preserve">Es ist Zeit, uns zu besinnen. Wir haben angenommen, daß die rechte Hand zuerst außerhalb des Bartes war, daß sie sich dann in einem Moment hoher Affektspannung nach links herüberstreckte, um den Bart zu packen, und daß sie endlich wieder zurückfuhr, wobei sie einen Teil des Bartes mitnahm. </w:t>
      </w:r>
      <w:r w:rsidRPr="008725BE">
        <w:rPr>
          <w:rFonts w:ascii="Garamond" w:hAnsi="Garamond"/>
          <w:color w:val="000000"/>
          <w:lang w:val="en-GB"/>
        </w:rPr>
        <w:t>Wir haben mit dieser rechten Hand geschaltet, als ob wir frei über sie verfügen dürften. Aber dürfen wir dies? Ist diese Hand denn frei? Hat sie nicht die heiligen Tafeln zu halten oder zu tragen, sind ihr solche mimische Exkursionen nicht durch ihre wichtige Aufgabe untersagt? Und weiter, was soll sie zu der Rückbewegung veranlassen, wenn sie einem starken Motiv gefolgt war, um ihre anfängliche Lage zu verlassen?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sind nun wirklich neue Schwierigkeiten. Allerdings gehört die rechte Hand zu den Tafeln. Wir können hier auch nicht in Abrede stellen, daß uns ein Motiv fehlt, welches die rechte Hand zu dem erschlossenen Rückzug veranlassen könnte. Aber wie wäre es, wenn sich beide Schwierigkeiten miteinander lösen ließen und erst dann einen ohne Lücke verständlichen Vorgang ergeben würden? Wenn gerade etwas, was an den Tafeln geschieht, uns die Bewegungen der Hand aufklärte?</w:t>
      </w:r>
    </w:p>
    <w:p w:rsidR="008725BE" w:rsidRPr="008725BE" w:rsidRDefault="008725BE" w:rsidP="008725BE">
      <w:pPr>
        <w:pStyle w:val="Sansinterligne"/>
        <w:rPr>
          <w:rFonts w:ascii="Garamond" w:hAnsi="Garamond"/>
          <w:color w:val="000000"/>
        </w:rPr>
      </w:pPr>
      <w:r w:rsidRPr="008725BE">
        <w:rPr>
          <w:rFonts w:ascii="Garamond" w:hAnsi="Garamond"/>
          <w:noProof/>
          <w:color w:val="000000"/>
          <w:lang w:eastAsia="fr-FR"/>
        </w:rPr>
        <w:drawing>
          <wp:inline distT="0" distB="0" distL="0" distR="0">
            <wp:extent cx="2588260" cy="3981450"/>
            <wp:effectExtent l="19050" t="0" r="2540" b="0"/>
            <wp:docPr id="29" name="Image 16" descr="v10s2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10s212a"/>
                    <pic:cNvPicPr>
                      <a:picLocks noChangeAspect="1" noChangeArrowheads="1"/>
                    </pic:cNvPicPr>
                  </pic:nvPicPr>
                  <pic:blipFill>
                    <a:blip r:embed="rId764" cstate="print"/>
                    <a:srcRect/>
                    <a:stretch>
                      <a:fillRect/>
                    </a:stretch>
                  </pic:blipFill>
                  <pic:spPr bwMode="auto">
                    <a:xfrm>
                      <a:off x="0" y="0"/>
                      <a:ext cx="2588260" cy="3981450"/>
                    </a:xfrm>
                    <a:prstGeom prst="rect">
                      <a:avLst/>
                    </a:prstGeom>
                    <a:noFill/>
                    <a:ln w="9525">
                      <a:noFill/>
                      <a:miter lim="800000"/>
                      <a:headEnd/>
                      <a:tailEnd/>
                    </a:ln>
                  </pic:spPr>
                </pic:pic>
              </a:graphicData>
            </a:graphic>
          </wp:inline>
        </w:drawing>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 diesen Tafeln ist einiges zu bemerken, was bisher der Beobachtung nicht wert gefunden wurde. Man sagte: Die Hand stützt sich auf die Tafeln oder: die Hand stützt die Tafeln. Man sieht auch ohneweiters die beiden rechteckigen, aneinander gelegten Tafeln auf der Kante stehen. Schaut man näher zu, so findet man, daß der untere Rand der Tafeln anders gebildet ist als der obere, schräg nach vorne geneigte. Dieser obere ist geradlinig begrenzt, der untere aber zeigt in seinem vordem Anteil einen Vorsprung wie ein Horn, und gerade mit diesem Vorsprung berühren die Tafeln den Steinsitz. Was kann die Bedeutung dieses Details sein, welches übrigens an einem großen Gipsabguß in der Sammlung der Wiener Akademie der bildenden Künste ganz unrichtig wiedergegeben ist? Es ist kaum zweifelhaft, daß dieses Horn den der Schrift nach oberen Rand der Tafeln auszeichnen soll. Nur der obere Rand solcher rechteckigen Tafeln pflegt abgerundet oder ausgeschweift zu sein. Die Tafeln stehen also hier auf dem Kopf. Das ist nun eine sonderbare Behandlung so heiliger Gegenstände. Sie sind auf den Kopf gestellt und werden fast auf einer Spitze balanciert. Welches formale Moment kann bei dieser Gestaltung mitwirken? Oder soll auch dieses Detail dem Künstler gleichgültig gewesen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 stellt sich nun die Auffassung ein, daß auch die Tafeln durch eine abgelaufene Bewegung in diese Position gekommen sind, daß diese Bewegung abhängig war von der erschlossenen Ortsveränderung der rechten Hand und daß sie dann ihrerseits diese Hand zu ihrer späteren Rückbewegung gezwungen hat. Die Vorgänge an der Hand und die an den Tafeln setzen sich zu folgender Einheit zusammen: Anfänglich, als die Gestalt in Ruhe dasaß, trug sie die Tafeln aufrecht unter dem rechten Arm. Die rechte Hand faßte deren untere Ränder und fand dabei eine Stütze an dem nach vorn gerichteten Vorsprung. </w:t>
      </w:r>
      <w:r w:rsidRPr="008725BE">
        <w:rPr>
          <w:rFonts w:ascii="Garamond" w:hAnsi="Garamond"/>
          <w:color w:val="000000"/>
          <w:lang w:val="en-GB"/>
        </w:rPr>
        <w:lastRenderedPageBreak/>
        <w:t xml:space="preserve">Diese Erleichterung des Tragens erklärt ohneweiters, warum die Tafeln umgekehrt gehalten waren. Dann kam der Moment, in dem die Ruhe durch das Geräusch gestört wurde. Moses wendete den Kopf hin, und als er die Szene erschaut hatte, machte sich der Fuß zum Aufspringen bereit, die Hand ließ ihren Griff an den Tafeln los und fuhr nach links und oben in den Bart, wie um ihr Ungestüm am eigenen Leibe zu betätigen. Die Tafeln waren nun dem Druck des Armes anvertraut, der sie an die Brustwand pressen sollte. Aber diese Fixierung reichte nicht aus, sie begannen nach vorn und unten zu gleiten, der früher horizontal gehaltene obere Rand richtete sich nach vorn und abwärts, der seiner Stütze beraubte untere Rand näherte sich mit seiner vorderen Spitze dem Steinsitz. Einen Augenblick weiter, und die Tafeln hätten sich um den neu gefundenen Stützpunkt drehen müssen, mit dem früher oberen Rande zuerst den Boden erreichen und an ihm zerschellen. </w:t>
      </w:r>
      <w:r w:rsidRPr="008725BE">
        <w:rPr>
          <w:rFonts w:ascii="Garamond" w:hAnsi="Garamond"/>
          <w:i/>
          <w:iCs/>
          <w:color w:val="000000"/>
          <w:lang w:val="en-GB"/>
        </w:rPr>
        <w:t>Um dies zu verhüten</w:t>
      </w:r>
      <w:r w:rsidRPr="008725BE">
        <w:rPr>
          <w:rFonts w:ascii="Garamond" w:hAnsi="Garamond"/>
          <w:color w:val="000000"/>
          <w:lang w:val="en-GB"/>
        </w:rPr>
        <w:t>, fährt die rechte Hand zurück und entläßt den Bart, von dem ein Teil ohne Absicht mitgezogen wird, erreicht noch den Rand der Tafeln und stützt sie nahe ihrer hinteren, jetzt zur obersten gewordenen Ecke. So leitet sich das sonderbar gezwungen scheinende Ensemble von Bart, Hand und auf die Spitze gestelltem Tafelpaar aus der einen leidenschaftlichen Bewegung der Hand und deren gut begründeten Folgen ab. Will man die Spuren des abgelaufenen Bewegungssturmes rückgängig machen, so muß man die vordere obere Ecke der Tafeln heben und in die Bildebene zurückschieben, damit die vordere untere Ecke (mit dem Vorsprung) vom Steinsitz entfernen, die Hand senken und sie unter den nun horizontal stehenden unteren Tafelrand führen.</w:t>
      </w:r>
    </w:p>
    <w:p w:rsidR="008725BE" w:rsidRPr="008725BE" w:rsidRDefault="008725BE" w:rsidP="008725BE">
      <w:pPr>
        <w:pStyle w:val="Sansinterligne"/>
        <w:rPr>
          <w:rFonts w:ascii="Garamond" w:hAnsi="Garamond"/>
          <w:color w:val="000000"/>
        </w:rPr>
      </w:pPr>
      <w:r w:rsidRPr="008725BE">
        <w:rPr>
          <w:rFonts w:ascii="Garamond" w:hAnsi="Garamond"/>
          <w:noProof/>
          <w:color w:val="000000"/>
          <w:lang w:eastAsia="fr-FR"/>
        </w:rPr>
        <w:drawing>
          <wp:inline distT="0" distB="0" distL="0" distR="0">
            <wp:extent cx="2792730" cy="4079875"/>
            <wp:effectExtent l="19050" t="0" r="7620" b="0"/>
            <wp:docPr id="28" name="Image 17" descr="v10s2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10s212b"/>
                    <pic:cNvPicPr>
                      <a:picLocks noChangeAspect="1" noChangeArrowheads="1"/>
                    </pic:cNvPicPr>
                  </pic:nvPicPr>
                  <pic:blipFill>
                    <a:blip r:embed="rId765" cstate="print"/>
                    <a:srcRect/>
                    <a:stretch>
                      <a:fillRect/>
                    </a:stretch>
                  </pic:blipFill>
                  <pic:spPr bwMode="auto">
                    <a:xfrm>
                      <a:off x="0" y="0"/>
                      <a:ext cx="2792730" cy="4079875"/>
                    </a:xfrm>
                    <a:prstGeom prst="rect">
                      <a:avLst/>
                    </a:prstGeom>
                    <a:noFill/>
                    <a:ln w="9525">
                      <a:noFill/>
                      <a:miter lim="800000"/>
                      <a:headEnd/>
                      <a:tailEnd/>
                    </a:ln>
                  </pic:spPr>
                </pic:pic>
              </a:graphicData>
            </a:graphic>
          </wp:inline>
        </w:drawing>
      </w:r>
      <w:r w:rsidRPr="008725BE">
        <w:rPr>
          <w:rFonts w:ascii="Garamond" w:hAnsi="Garamond"/>
          <w:color w:val="000000"/>
        </w:rPr>
        <w:br/>
      </w:r>
      <w:r w:rsidRPr="008725BE">
        <w:rPr>
          <w:rFonts w:ascii="Garamond" w:hAnsi="Garamond"/>
          <w:color w:val="000000"/>
        </w:rPr>
        <w:br/>
      </w:r>
      <w:r w:rsidRPr="008725BE">
        <w:rPr>
          <w:rFonts w:ascii="Garamond" w:hAnsi="Garamond"/>
          <w:noProof/>
          <w:color w:val="000000"/>
          <w:lang w:eastAsia="fr-FR"/>
        </w:rPr>
        <w:lastRenderedPageBreak/>
        <w:drawing>
          <wp:inline distT="0" distB="0" distL="0" distR="0">
            <wp:extent cx="2743200" cy="4114800"/>
            <wp:effectExtent l="19050" t="0" r="0" b="0"/>
            <wp:docPr id="27" name="Image 18" descr="v10s2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10s213a"/>
                    <pic:cNvPicPr>
                      <a:picLocks noChangeAspect="1" noChangeArrowheads="1"/>
                    </pic:cNvPicPr>
                  </pic:nvPicPr>
                  <pic:blipFill>
                    <a:blip r:embed="rId766" cstate="print"/>
                    <a:srcRect/>
                    <a:stretch>
                      <a:fillRect/>
                    </a:stretch>
                  </pic:blipFill>
                  <pic:spPr bwMode="auto">
                    <a:xfrm>
                      <a:off x="0" y="0"/>
                      <a:ext cx="2743200" cy="4114800"/>
                    </a:xfrm>
                    <a:prstGeom prst="rect">
                      <a:avLst/>
                    </a:prstGeom>
                    <a:noFill/>
                    <a:ln w="9525">
                      <a:noFill/>
                      <a:miter lim="800000"/>
                      <a:headEnd/>
                      <a:tailEnd/>
                    </a:ln>
                  </pic:spPr>
                </pic:pic>
              </a:graphicData>
            </a:graphic>
          </wp:inline>
        </w:drawing>
      </w:r>
      <w:r w:rsidRPr="008725BE">
        <w:rPr>
          <w:rFonts w:ascii="Garamond" w:hAnsi="Garamond"/>
          <w:color w:val="000000"/>
        </w:rPr>
        <w:br/>
      </w:r>
      <w:r w:rsidRPr="008725BE">
        <w:rPr>
          <w:rFonts w:ascii="Garamond" w:hAnsi="Garamond"/>
          <w:color w:val="000000"/>
        </w:rPr>
        <w:br/>
      </w:r>
      <w:r w:rsidRPr="008725BE">
        <w:rPr>
          <w:rFonts w:ascii="Garamond" w:hAnsi="Garamond"/>
          <w:noProof/>
          <w:color w:val="000000"/>
          <w:lang w:eastAsia="fr-FR"/>
        </w:rPr>
        <w:drawing>
          <wp:inline distT="0" distB="0" distL="0" distR="0">
            <wp:extent cx="2750185" cy="4220210"/>
            <wp:effectExtent l="19050" t="0" r="0" b="0"/>
            <wp:docPr id="19" name="Image 19" descr="v10s2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10s213b"/>
                    <pic:cNvPicPr>
                      <a:picLocks noChangeAspect="1" noChangeArrowheads="1"/>
                    </pic:cNvPicPr>
                  </pic:nvPicPr>
                  <pic:blipFill>
                    <a:blip r:embed="rId767" cstate="print"/>
                    <a:srcRect/>
                    <a:stretch>
                      <a:fillRect/>
                    </a:stretch>
                  </pic:blipFill>
                  <pic:spPr bwMode="auto">
                    <a:xfrm>
                      <a:off x="0" y="0"/>
                      <a:ext cx="2750185" cy="4220210"/>
                    </a:xfrm>
                    <a:prstGeom prst="rect">
                      <a:avLst/>
                    </a:prstGeom>
                    <a:noFill/>
                    <a:ln w="9525">
                      <a:noFill/>
                      <a:miter lim="800000"/>
                      <a:headEnd/>
                      <a:tailEnd/>
                    </a:ln>
                  </pic:spPr>
                </pic:pic>
              </a:graphicData>
            </a:graphic>
          </wp:inline>
        </w:drawing>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habe mir von Künstlerhand drei Zeichnungen machen lassen, welche meine Beschreibung verdeutlichen sollen. Die dritte derselben gibt die Statue wieder, wie wir sie sehen; die beiden anderen </w:t>
      </w:r>
      <w:r w:rsidRPr="008725BE">
        <w:rPr>
          <w:rFonts w:ascii="Garamond" w:hAnsi="Garamond"/>
          <w:color w:val="000000"/>
          <w:lang w:val="en-GB"/>
        </w:rPr>
        <w:lastRenderedPageBreak/>
        <w:t xml:space="preserve">stellen Vorstadien dar, welche meine Deutung postuliert, die erste das der Ruhe, die zweite das der höchsten Spannung, der Bereitschaft zum Aufspringen, der Abwendung der Hand von den Tafeln und des beginnenden Herabgleitens derselben. Es ist nun bemerkenswert, wie die beiden von meinem Zeichner ergänzten Darstellungen die unzutreffenden Beschreibungen früherer Autoren zu Ehren bringen. Ein Zeitgenosse Michelangelos, Condivi, sagte: »Moses, der Herzog und Kapitän der Hebräer, sitzt in der Stellung eines sinnenden Weisen, </w:t>
      </w:r>
      <w:r w:rsidRPr="008725BE">
        <w:rPr>
          <w:rFonts w:ascii="Garamond" w:hAnsi="Garamond"/>
          <w:i/>
          <w:iCs/>
          <w:color w:val="000000"/>
          <w:lang w:val="en-GB"/>
        </w:rPr>
        <w:t>hält unter dem rechten Arm die Gesetzestafeln</w:t>
      </w:r>
      <w:r w:rsidRPr="008725BE">
        <w:rPr>
          <w:rFonts w:ascii="Garamond" w:hAnsi="Garamond"/>
          <w:color w:val="000000"/>
          <w:lang w:val="en-GB"/>
        </w:rPr>
        <w:t xml:space="preserve"> und stützt mit der linken Hand das Kinn (!), wie einer, der müde und voll von Sorgen.« Das ist nun an der Statue Michelangelos nicht zu sehen, aber es deckt sich fast mit der Annahme, welche der ersten Zeichnung zugrunde liegt. W. Lübke hatte wie andere Beobachter geschrieben: »Erschüttert greift er mit der Rechten in den herrlich herabflutenden Bart ...« Das ist nun unrichtig, wenn man es auf die Abbildung der Statue bezieht, trifft aber für unsere zweite Zeichnung zu. Justi und Knapp haben, wie erwähnt, gesehen, daß die Tafeln im Herabgleiten sind und in der Gefahr schweben zu zerbrechen. Sie mußten sich von Thode berichtigen lassen, daß die Tafeln durch die rechte Hand sicher fixiert seien, aber sie hätten recht, wenn sie nicht die Statue, sondern unser mittleres Stadium beschreiben würden. Man könnte fast meinen, diese Autoren hätten sich von dem Gesichtsbild der Statue frei gemacht und hätten unwissentlich eine Analyse der Bewegungsmotive derselben begonnen, durch welche sie zu denselben Anforderungen geführt wurden, wie wir sie bewußter und ausdrücklicher aufgestellt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ich nicht irre, wird es uns jetzt gestattet sein, die Früchte unserer Bemühung zu ernten. Wir haben gehört, wie vielen, die unter dem Eindruck der Statue standen, sich die Deutung aufgedrängt hat, sie stelle Moses dar unter der Einwirkung des Anblicks, daß sein Volk abgefallen sei und um ein Götzenbild tanze. Aber diese Deutung mußte aufgegeben werden, denn sie fand ihre Fortsetzung in der Erwartung, er werde im nächsten Moment aufspringen, die Tafeln zertrümmern und das Werk der Rache vollbringen. Dies widersprach aber der Bestimmung der Statue als Teilstück des Grabdenkmals Julius II. neben drei oder fünf anderen sitzenden Figuren. Wir dürfen nun diese verlassene Deutung wieder aufnehmen, denn unser Moses wird nicht aufspringen und die Tafeln nicht von sich schleudern. Was wir an ihm sehen, ist nicht die Einleitung zu einer gewaltsamen Aktion, sondern der Rest einer abgelaufenen Bewegung. Er wollte es in einem Anfall von Zorn, aufspringen, Rache nehmen, an die Tafeln vergessen, aber er hat die Versuchung überwunden, er wird jetzt so sitzen bleiben in gebändigter Wut, in mit Verachtung gemischtem Schmerz. Er wird auch die Tafeln nicht wegwerfen, daß sie am Stein zerschellen, denn gerade ihretwegen hat er seinen Zorn bezwungen, zu ihrer Rettung seine Leidenschaft beherrscht. Als er sich seiner leidenschaftlichen Empörung überließ, mußte er die Tafeln vernachlässigen, die Hand, die sie trug, von ihnen abziehen. Da begannen sie herabzugleiten, gerieten in Gefahr zu zerbrechen. Das mahnte ihn. Er gedachte seiner Mission und verzichtete für sie auf die Befriedigung seines Affekts. Seine Hand fuhr zurück und rettete die sinkenden Tafeln, noch ehe sie fallen konnten. In dieser Stellung blieb er verharrend, und so hat ihn Michelangelo als Wächter des Grabmals dargestellt.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dreifache Schichtung drückt sich in seiner Figur in vertikaler Richtung aus. In den Mienen des Gesichts spiegeln sich die Affekte, welche die herrschenden geworden sind, in der Mitte der Figur sind die Zeichen der unterdrückten Bewegung sichtbar, der Fuß zeigt noch die Stellung der beabsichtigten Aktion, als wäre die Beherrschung von oben nach unten vorgeschritten. Der linke Arm, von dem noch nicht die Rede war, scheint seinen Anteil an unserer Deutung zu fordern. Seine Hand ist mit weicher Gebärde in den Schoß gelegt und umfängt wie liebkosend die letzten Enden des herabfallenden Bartes. Es macht den Eindruck, als wollte sie die Gewaltsamkeit aufheben, mit der einen Moment vorher die andere Hand den Bart mißhandelt hatte.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Nun wird man uns aber entgegenhalten: Das ist also doch nicht der Moses der Bibel, der wirklich in Zorn geriet und die Tafeln hinwarf, daß sie zerbrachen. Das wäre ein ganz anderer Moses von der Empfindung des Künstlers, der sich dabei herausgenommen hätte, den heiligen Text zu emendieren und den Charakter des göttlichen Mannes zu verfälschen. Dürfen wir Michelangelo diese Freiheit zumuten, die vielleicht nicht weit von einem Frevel am Heiligen liegt?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Stelle der Heiligen Schrift, in welcher das Benehmen Moses' bei der Szene des goldenen Kalbes berichtet wird, lautet folgendermaßen (ich bitte um Verzeihung, daß ich mich in anachronistischer Weise der Übersetzung Luthers bediene):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(II. B. Kap. 32.) »7) Der Herr sprach aber zu Mose: Geh', steig hinab; denn dein Volk, das du aus Ägyptenland geführt hast, hat's verderbt. 8) Sie sind schnell von dem Wege getreten, den ich ihnen geboten habe. Sie haben sich ein gegossen Kalb gemacht, und haben's angebetet, und ihm geopfert, und gesagt: Das sind deine Götter, Israel, die dich aus Ägyptenland geführt haben. 9) Und der Herr sprach zu </w:t>
      </w:r>
      <w:r w:rsidRPr="008725BE">
        <w:rPr>
          <w:rFonts w:ascii="Garamond" w:hAnsi="Garamond"/>
          <w:color w:val="000000"/>
          <w:lang w:val="en-GB"/>
        </w:rPr>
        <w:lastRenderedPageBreak/>
        <w:t>Mose: Ich sehe, daß es ein halsstarrig Volk ist. 10) Und nun laß mich, daß mein Zorn über sie ergrimme, und sie vertilge; so will ich dich zum großen Volk machen. 11) Mose aber flehte vor dem Herrn, seinem Gott und sprach: Ach, Herr, warum will dein Zorn ergrimmen über dein Volk, das du mit großer Kraft und starker Hand hast aus Ägyptenland geführt?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14) Also gereuete den Herrn das Übel, das er dräuete seinem Volk zu tun. 15) Moses wandte sich, und stieg vom Berge, und hatte zwo Tafeln des Zeugnisses in seiner Hand, die waren geschrieben auf beiden Seiten. 16) Und Gott hatte sie selbst gemacht, und selber die Schrift drein gegraben. 17) Da nun Josua hörte des Volkes Geschrei, daß sie jauchzeten, sprach er zu Mose: Es ist ein Geschrei im Lager wie im Streit. 18) Er antwortete: Es ist nicht ein Geschrei gegeneinander derer die obsiegen und unterliegen, sondern ich höre ein Geschrei eines Siegestanzes. 19) Als er aber nahe zum Lager kam, und das Kalb und den Reigen sah, ergrimmte er mit Zorn, und warf die Tafeln aus seiner Hand, und zerbrach sie unten am Berge; 20) und nahm das Kalb, das sie gemacht hatten, und zerschmelzte es mit Feuer, und zermalmte es mit Pulver, und stäubte es aufs Wasser, und gab's den Kindern Israels zu trinken;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30) Des Morgens sprach Mose zum Volk: Ihr habt eine große Sünde getan; nun will ich hinaufsteigen zu dem Herrn, ob ich vielleicht eure Sünde versöhnen möge. 31) Als nun Mose wieder zum Herrn kam, sprach er: Ach, das Volk hat eine große Sünde getan, und haben sich güldene Götter gemacht. 32) Nun vergib ihnen ihre Sünde; wo nicht, so tilge mich auch aus deinem Buch, das du geschrieben hast. 33) Der Herr sprach zu Mose: Was? Ich will den aus meinem Buch tilgen, der an mir sündiget. 34) So gehe nun hin und führe das Volk, dahin ich dir gesagt habe. Siehe, mein Engel soll vor dir hergehen. Ich werde ihre Sünde wohl heimsuchen, wenn meine Zeit kommt heimzusuchen. 35) Also strafte der Herr das Volk, daß sie das Kalb hatten gemacht, welches Aaron gemacht hatte.«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Unter dem Einfluß der modernen Bibelkritik wird es uns unmöglich, diese Stelle zu lesen, ohne in ihr die Anzeichen ungeschickter Zusammensetzung aus mehreren Quellberichten zu finden. In Vers 8 teilt der Herr selbst Moses mit, daß das Volk abgefallen sei und sich ein Götzenbild gemacht habe. Moses bittet für die Sünder. Doch benimmt er sich in Vers 18 gegen Josua, als wüßte er es nicht, und wallt im plötzlichen Zorn auf (Vers 19), wie er die Szene des Götzendienstes erblickt. In Vers 14 hat er die Verzeihung Gottes für sein sündiges Volk bereits erlangt, doch begibt er sich Vers 31 ff. wieder auf den Berg, um diese Verzeihung zu erflehen, berichtet dem Herrn von dem Abfall des Volkes und erhält die Versicherung des Strafaufschubes. Vers 35 bezieht sich auf eine Bestrafung des Volkes durch Gott, von der nichts mitgeteilt wird, während in den Versen zwischen 20 und 30 das Strafgericht, das Moses selbst vollzogen hat, geschildert wurde. Es ist bekannt, daß die historischen Partien des Buches, welches vom Auszug handelt, von noch auffälligeren Inkongruenzen und Widersprüchen durchsetzt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Für die Menschen der Renaissance gab es solche kritische Einstellung zum Bibeltexte natürlich nicht, sie mußten den Bericht als einen zusammenhängenden auffassen und fanden dann wohl, daß er der darstellenden Kunst keine gute Anknüpfung bot. Der Moses der Bibelstelle war von dem Götzendienst des Volkes bereits unterrichtet worden, hatte sich auf die Seite der Milde und Verzeihung gestellt und erlag dann doch einem plötzlichen Wutanfall, als er des goldenen Kalbes und der tanzenden Menge ansichtig wurde. Es wäre also nicht zu verwundern, wenn der Künstler, der die Reaktion des Helden auf diese schmerzliche Überraschung darstellen wollte, sich aus inneren Motiven von dem Bibeltext unabhängig gemacht hätte. Auch war solche Abweichung vom Wortlaut der Heiligen Schrift aus geringeren Motiven keineswegs ungewöhnlich oder dem Künstler versagt. Ein berühmtes Gemälde des Parmigianino in seiner Vaterstadt zeigt uns den Moses, wie er auf der Höhe eines Berges sitzend die Tafeln zu Boden schleudert, obwohl der Bibelvers ausdrücklich besagt: er zerbrach sie am Fuße des Berges. Schon die Darstellung eines sitzenden Moses findet keinen Anhalt am Bibeltext und scheint eher jenen Beurteilern recht zu geben, welche annahmen, daß die Statue Michelangelos kein bestimmtes Moment aus dem Leben des Helden festzuhalten beabsichtige.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Wichtiger als die Untreue gegen den heiligen Text ist wohl die Umwandlung, die Michelangelo nach unserer Deutung mit dem Charakter des Moses vorgenommen hat. Der Mann Moses war nach den Zeugnissen der Tradition jähzornig und Aufwallungen von Leidenschaft unterworfen. In einem solchen Anfalle von heiligem Zorne hatte er den Ägypter erschlagen, [d]er einen Israeliten mißhandelte, und mußte deshalb aus dem Lande in die Wüste fliehen. In einem ähnlichen Affektausbruch zerschmetterte er die beiden Tafeln, die Gott selbst beschrieben hatte. Wenn die Tradition solche Charakterzüge berichtet, ist sie wohl tendenzlos und hat den Eindruck einer großen Persönlichkeit, die einmal gelebt hat, erhalten. Aber Michelangelo hat an das Grabdenkmal des Papstes einen anderen Moses hingesetzt, welcher dem historischen oder traditionellen Moses überlegen ist. Er hat das Motiv der zerbrochenen Gesetzestafeln umgearbeitet, er läßt sie nicht durch den Zorn Moses' zerbrechen, sondern diesen Zorn durch die </w:t>
      </w:r>
      <w:r w:rsidRPr="008725BE">
        <w:rPr>
          <w:rFonts w:ascii="Garamond" w:hAnsi="Garamond"/>
          <w:color w:val="000000"/>
          <w:lang w:val="en-GB"/>
        </w:rPr>
        <w:lastRenderedPageBreak/>
        <w:t>Drohung, daß sie zerbrechen könnten, beschwichtigen oder wenigstens auf dem Wege zur Handlung hemmen. Damit hat er etwas Neues, Übermenschliches in die Figur des Moses gelegt, und die gewaltige Körpermasse und kraftstrotzende Muskulatur der Gestalt wird nur zum leiblichen Ausdrucksmittel für die höchste psychische Leistung, die einem Menschen möglich ist, für das Niederringen der eigenen Leidenschaft zugunsten und im Auftrage einer Bestimmung, der man sich geweiht hat.</w:t>
      </w:r>
    </w:p>
    <w:p w:rsidR="008725BE" w:rsidRPr="008725BE" w:rsidRDefault="008725BE" w:rsidP="008725BE">
      <w:pPr>
        <w:pStyle w:val="Sansinterligne"/>
        <w:rPr>
          <w:rFonts w:ascii="Garamond" w:hAnsi="Garamond"/>
          <w:color w:val="000000"/>
        </w:rPr>
      </w:pPr>
      <w:r w:rsidRPr="008725BE">
        <w:rPr>
          <w:rFonts w:ascii="Garamond" w:hAnsi="Garamond"/>
          <w:color w:val="000000"/>
        </w:rPr>
        <w:t>Hier darf die Deutung der Statue Michelangelos ihr Ende erreichen.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kann noch die Frage aufwerfen, welche Motive in dem Künstler tätig waren, als er den Moses, und zwar einen so umgewandelten Moses, für das Grabdenkmal des Papstes Julius II. bestimmte. Von vielen Seiten wurde übereinstimmend darauf hingewiesen, daß diese Motive in dem Charakter des Papstes und im Verhältnis des Künstlers zu ihm zu suchen seien. Julius II. war Michelangelo darin verwandt, daß er Großes und Gewaltiges zu verwirklichen suchte, vor allem das Große der Dimension. Er war ein Mann der Tat, sein Ziel war angebbar, er strebte nach der Einigung Italiens unter der Herrschaft des Papsttums. Was erst mehrere Jahrhunderte später einem Zusammenwirken von anderen Mächten gelingen sollte, das wollte er allein erreichen, ein Einzelner in der kurzen Spanne Zeit und Herrschaft, die ihm gegönnt war, ungeduldig mit gewalttätigen Mitteln. Er wußte Michelangelo als seinesgleichen zu schätzen, aber er ließ ihn oft leiden unter seinem Jähzorn und seiner Rücksichtslosigkeit. Der Künstler war sich der gleichen Heftigkeit des Strebens bewußt und mag als tiefer blickender Grübler die Erfolglosigkeit geahnt haben, zu der sie beide verurteilt waren. So brachte er seinen Moses an dem Denkmal des Papstes an, nicht ohne Vorwurf gegen den Verstorbenen, zur Mahnung für sich selbst, sich mit dieser Kritik über die eigene Natur erhebend.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IV</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Im Jahre 1863 hat ein Engländer W. Watkiss Lloyd dem Moses von Michelangelo ein kleines Büchlein gewidmet. Als es mir gelang, dieser Schrift von 46 Seiten habhaft zu werden, nahm ich ihren Inhalt mit gemischten Empfindungen zur Kenntnis. Es war eine Gelegenheit, wieder an der eigenen Person zu erfahren, was für unwürdige infantile Motive zu unserer Arbeit im Dienste einer großen Sache beizutragen pflegen. Ich bedauerte, daß Lloyd so vieles vorweggenommen hatte, was mir als Ergebnis meiner eigenen Bemühung wertvoll war, und erst in zweiter Instanz konnte ich mich über die unerwartete Bestätigung freuen. An einem entscheidenden Punkte trennen sich allerdings unsere Wege.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Lloyd hat zuerst bemerkt, daß die gewöhnlichen Beschreibungen der Figur unrichtig sind, daß Moses nicht im Begriffe ist aufzustehen </w:t>
      </w:r>
      <w:hyperlink r:id="rId76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But he is not rising or preparing to rise; the bust is fully uprigbt, not thrown forward for the alteration of balance preparatory for such a movement </w:t>
        </w:r>
        <w:r w:rsidRPr="008725BE">
          <w:rPr>
            <w:rStyle w:val="innerfusslink3"/>
            <w:rFonts w:ascii="Garamond" w:hAnsi="Garamond" w:cs="Arial"/>
            <w:b/>
            <w:bCs/>
            <w:lang w:val="en-GB"/>
          </w:rPr>
          <w:t>... (S. 10).</w:t>
        </w:r>
      </w:hyperlink>
      <w:r w:rsidRPr="008725BE">
        <w:rPr>
          <w:rFonts w:ascii="Garamond" w:hAnsi="Garamond"/>
          <w:color w:val="000000"/>
          <w:lang w:val="en-GB"/>
        </w:rPr>
        <w:t xml:space="preserve">, daß die rechte Hand nicht in den Bart greift, daß nur deren Zeigefinger noch auf dem Barte ruht </w:t>
      </w:r>
      <w:hyperlink r:id="rId76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Such a description is altogether erroneous; the fillets of the beard are detained by the right hand, but they are not held, nor grasped, enclosed or taken hold of. They are even detained but momentarily –; momentarily engaged, they are on the point of being free for disengagement</w:t>
        </w:r>
        <w:r w:rsidRPr="008725BE">
          <w:rPr>
            <w:rStyle w:val="innerfusslink3"/>
            <w:rFonts w:ascii="Garamond" w:hAnsi="Garamond" w:cs="Arial"/>
            <w:b/>
            <w:bCs/>
            <w:lang w:val="en-GB"/>
          </w:rPr>
          <w:t xml:space="preserve"> (S. 11).</w:t>
        </w:r>
      </w:hyperlink>
      <w:r w:rsidRPr="008725BE">
        <w:rPr>
          <w:rFonts w:ascii="Garamond" w:hAnsi="Garamond"/>
          <w:color w:val="000000"/>
          <w:lang w:val="en-GB"/>
        </w:rPr>
        <w:t xml:space="preserve">. Er hat auch, was weit mehr besagen will, eingesehen, daß die dargestellte Haltung der Gestalt nur durch die Rückbeziehung auf einen früheren, nicht dargestellten, Moment aufgeklärt werden kann, und daß das Herüberziehen der linken Bartstränge nach rechts andeuten solle, die rechte Hand und die linke Hälfte des Bartes seien vorher in inniger, natürlich vermittelter Beziehung gewesen. Aber er schlägt einen anderen Weg ein, um diese mit Notwendigkeit erschlossene Nachbarschaft wieder herzustellen, er läßt nicht die Hand in den Bart gefahren, sondern den Bart bei der Hand gewesen sein. Er erklärt, man müsse sich vorstellen, »der Kopf der Statue sei einen Moment vor der plötzlichen Störung voll nach rechts gewendet gewesen über der Hand, welche damals wie jetzt die Gesetztafeln hält«. Der Druck auf die Hohlhand (durch die Tafeln) läßt deren Finger sich natürlich unter den herabwallenden Locken öffnen, und die plötzliche Wendung des Kopfes nach der anderen Seite hat zur Folge, daß ein Teil der Haarstränge für einen Augenblick von der nicht bewegten Hand zurückgehalten wird und jene Haarguirlande bildet, die als Wegspur (» </w:t>
      </w:r>
      <w:r w:rsidRPr="008725BE">
        <w:rPr>
          <w:rFonts w:ascii="Garamond" w:hAnsi="Garamond"/>
          <w:i/>
          <w:iCs/>
          <w:color w:val="000000"/>
          <w:lang w:val="en-GB"/>
        </w:rPr>
        <w:t>wake</w:t>
      </w:r>
      <w:r w:rsidRPr="008725BE">
        <w:rPr>
          <w:rFonts w:ascii="Garamond" w:hAnsi="Garamond"/>
          <w:color w:val="000000"/>
          <w:lang w:val="en-GB"/>
        </w:rPr>
        <w:t>«) verstanden werden soll.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Von der anderen Möglichkeit einer früheren Annäherung von rechter Hand und linker Barthälfte läßt sich Lloyd durch eine Erwägung zurückhalten, welche beweist, wie nahe er an unserer Deutung vorbeigegangen ist. Es sei nicht möglich, daß der Prophet, selbst nicht in höchster Erregung, die Hand vorgestreckt haben könne, um seinen Bart so beiseitezuziehen. In dem Falle wäre die Haltung der Finger eine ganz andere geworden, und überdies hätten infolge dieser Bewegung die Tafeln herabfallen müssen, welche nur vom Druck der rechten Hand gehalten werden, es sei denn, man mute der Gestalt, um die Tafeln auch dann noch zu erhalten, eine sehr ungeschickte Bewegung zu, deren Vorstellung eigentlich eine Entwürdigung enthalte. (» </w:t>
      </w:r>
      <w:r w:rsidRPr="008725BE">
        <w:rPr>
          <w:rFonts w:ascii="Garamond" w:hAnsi="Garamond"/>
          <w:i/>
          <w:iCs/>
          <w:color w:val="000000"/>
          <w:lang w:val="en-GB"/>
        </w:rPr>
        <w:t>Unless clutched by a gesture so awkward, that to imagine it is profanation.</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lastRenderedPageBreak/>
        <w:t xml:space="preserve">Es ist leicht zu sehen, worin die Versäumnis des Autors liegt. Er hat die Auffälligkeiten des Bartes richtig als Anzeichen einer abgelaufenen Bewegung gedeutet, es aber dann unterlassen, denselben Schluß auf die nicht weniger gezwungenen Einzelheiten in der Stellung der Tafeln anzuwenden. </w:t>
      </w:r>
      <w:r w:rsidRPr="008725BE">
        <w:rPr>
          <w:rFonts w:ascii="Garamond" w:hAnsi="Garamond"/>
          <w:color w:val="000000"/>
          <w:lang w:val="en-GB"/>
        </w:rPr>
        <w:t>Er verwertet nur die Anzeichen vom Bart, nicht auch die von den Tafeln, deren Stellung er als die ursprüngliche hinnimmt. So verlegt er sich den Weg zu einer Auffassung wie die unsrige, welche durch die Wertung gewisser unscheinbarer Details zu einer überraschenden Deutung der ganzen Figur und ihrer Absichten gelangt.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Wie nun aber, wenn wir uns beide auf einem Irrwege befänden? Wenn wir Einzelheiten schwer und bedeutungsvoll aufnehmen würden, die dem Künstler gleichgültig waren, die er rein willkürlich oder auf gewisse formale Anlässe hin nur eben so gestaltet hätte, wie sie sind, ohne etwas Geheimes in sie hineinzulegen? Wenn wir dem Los so vieler Interpreten verfallen wären, die deutlich zu sehen glauben, was der Künstler weder bewußt noch unbewußt schaffen gewollt hat? Darüber kann ich nicht entscheiden. Ich weiß nicht zu sagen, ob es angeht, einem Künstler wie Michelangelo, in dessen Werken soviel Gedankeninhalt nach Ausdruck ringt, eine solche naive Unbestimmtheit zuzutrauen, und ob dies gerade für die auffälligen und sonderbaren Züge der Mosesstatue annehmbar ist. Endlich darf man noch in aller Schüchternheit hinzufügen, daß sich in die Verschuldung dieser Unsicherheit der Künstler mit dem Interpreten zu teilen habe. Michelangelo ist oft genug in seinen Schöpfungen bis an die äußerste Grenze dessen, was die Kunst ausdrücken kann, gegangen; vielleicht ist es ihm auch beim Moses nicht völlig geglückt, wenn es seine Absicht war, den Sturm heftiger Erregung aus den Anzeichen erraten zu lassen, die nach seinem Ablauf in der Ruhe zurückblieben.</w:t>
      </w:r>
    </w:p>
    <w:p w:rsidR="008725BE" w:rsidRPr="008725BE" w:rsidRDefault="008725BE" w:rsidP="008725BE">
      <w:pPr>
        <w:pStyle w:val="Sansinterligne"/>
        <w:rPr>
          <w:rFonts w:ascii="Garamond" w:hAnsi="Garamond"/>
          <w:color w:val="000000"/>
        </w:rPr>
      </w:pPr>
      <w:r w:rsidRPr="008725BE">
        <w:rPr>
          <w:rFonts w:ascii="Garamond" w:hAnsi="Garamond"/>
          <w:color w:val="000000"/>
        </w:rPr>
        <w:t>Nachtrag zur Arbeit über den Moses des Michelangelo</w:t>
      </w:r>
    </w:p>
    <w:p w:rsidR="008725BE" w:rsidRPr="008725BE" w:rsidRDefault="008725BE" w:rsidP="008725BE">
      <w:pPr>
        <w:pStyle w:val="Sansinterligne"/>
        <w:rPr>
          <w:rFonts w:ascii="Garamond" w:hAnsi="Garamond"/>
          <w:caps/>
          <w:color w:val="000000"/>
        </w:rPr>
      </w:pPr>
      <w:r w:rsidRPr="008725BE">
        <w:rPr>
          <w:rFonts w:ascii="Garamond" w:hAnsi="Garamond"/>
          <w:caps/>
          <w:color w:val="000000"/>
        </w:rPr>
        <w:t>(1927)</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Mehrere Jahre nach dem Erscheinen meiner Arbeit über den Moses des Michelangelo, die </w:t>
      </w:r>
      <w:smartTag w:uri="urn:schemas-microsoft-com:office:smarttags" w:element="metricconverter">
        <w:smartTagPr>
          <w:attr w:name="ProductID" w:val="1914 in"/>
        </w:smartTagPr>
        <w:r w:rsidRPr="008725BE">
          <w:rPr>
            <w:rFonts w:ascii="Garamond" w:hAnsi="Garamond"/>
            <w:color w:val="000000"/>
          </w:rPr>
          <w:t>1914 in</w:t>
        </w:r>
      </w:smartTag>
      <w:r w:rsidRPr="008725BE">
        <w:rPr>
          <w:rFonts w:ascii="Garamond" w:hAnsi="Garamond"/>
          <w:color w:val="000000"/>
        </w:rPr>
        <w:t xml:space="preserve"> der Zeitschrift </w:t>
      </w:r>
      <w:r w:rsidRPr="008725BE">
        <w:rPr>
          <w:rFonts w:ascii="Garamond" w:hAnsi="Garamond"/>
          <w:i/>
          <w:iCs/>
          <w:color w:val="000000"/>
        </w:rPr>
        <w:t>Imago</w:t>
      </w:r>
      <w:r w:rsidRPr="008725BE">
        <w:rPr>
          <w:rFonts w:ascii="Garamond" w:hAnsi="Garamond"/>
          <w:color w:val="000000"/>
        </w:rPr>
        <w:t xml:space="preserve"> –; ohne Nennung meines Namens –; abgedruckt wurde, geriet durch die Güte von E. Jones eine Nummer des </w:t>
      </w:r>
      <w:r w:rsidRPr="008725BE">
        <w:rPr>
          <w:rFonts w:ascii="Garamond" w:hAnsi="Garamond"/>
          <w:i/>
          <w:iCs/>
          <w:color w:val="000000"/>
        </w:rPr>
        <w:t>Burlington Magazine for Connoisseurs</w:t>
      </w:r>
      <w:r w:rsidRPr="008725BE">
        <w:rPr>
          <w:rFonts w:ascii="Garamond" w:hAnsi="Garamond"/>
          <w:color w:val="000000"/>
        </w:rPr>
        <w:t xml:space="preserve"> in meine Hand (Nr. CCXVII, Vol. XXXVIII., April 1921), durch welche mein Interesse von neuem auf die vorgeschlagene Deutung der Statue gelenkt werden mußte. In dieser Nummer findet sich ein kurzer Artikel von H. P. Mitchell über zwei Bronzen des zwölften Jahrhunderts, gegenwärtig im Ashmolean Museum, Oxford, die einem hervorragenden Künstler jener Zeit, Nicholas von Verdun, zugeschrieben werden. </w:t>
      </w:r>
      <w:r w:rsidRPr="008725BE">
        <w:rPr>
          <w:rFonts w:ascii="Garamond" w:hAnsi="Garamond"/>
          <w:color w:val="000000"/>
          <w:lang w:val="en-GB"/>
        </w:rPr>
        <w:t>Von diesem Manne sind noch andere Werke in Tournay, Arras und Klosterneuburg bei Wien erhalten; als sein Meisterwerk gilt der Schrein der Heiligen Drei Könige in Köln.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der beiden von Mitchell gewürdigten Statuetten ist nun ein Moses (über 23 Zentimeter hoch), über jeden Zweifel gekennzeichnet durch die ihm beigegebenen Gesetzestafeln. Auch dieser Moses ist sitzend dargestellt, von einem faltigen Mantel umhüllt, sein Gesicht zeigt einen leidenschaftlich bewegten, vielleicht bekümmerten Ausdruck, und seine rechte Hand umgreift den langen Kinnbart und preßt dessen Strähne zwischen Hohlhand und Daumen wie in einer Zange zusammen, führt also dieselbe Bewegung aus, die in Figur 2 meiner Abhandlung als Vorstufe jener Stellung supponiert wird, in welcher wir jetzt den Moses des Michelangelo erstarrt sehen.</w:t>
      </w:r>
    </w:p>
    <w:p w:rsidR="008725BE" w:rsidRPr="008725BE" w:rsidRDefault="008725BE" w:rsidP="008725BE">
      <w:pPr>
        <w:pStyle w:val="Sansinterligne"/>
        <w:rPr>
          <w:rFonts w:ascii="Garamond" w:hAnsi="Garamond"/>
          <w:color w:val="000000"/>
        </w:rPr>
      </w:pPr>
      <w:r w:rsidRPr="008725BE">
        <w:rPr>
          <w:rFonts w:ascii="Garamond" w:hAnsi="Garamond"/>
          <w:noProof/>
          <w:color w:val="000000"/>
          <w:lang w:eastAsia="fr-FR"/>
        </w:rPr>
        <w:lastRenderedPageBreak/>
        <w:drawing>
          <wp:inline distT="0" distB="0" distL="0" distR="0">
            <wp:extent cx="3038475" cy="5669280"/>
            <wp:effectExtent l="19050" t="0" r="9525" b="0"/>
            <wp:docPr id="20" name="Image 20" descr="v10s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10s209"/>
                    <pic:cNvPicPr>
                      <a:picLocks noChangeAspect="1" noChangeArrowheads="1"/>
                    </pic:cNvPicPr>
                  </pic:nvPicPr>
                  <pic:blipFill>
                    <a:blip r:embed="rId770" cstate="print"/>
                    <a:srcRect/>
                    <a:stretch>
                      <a:fillRect/>
                    </a:stretch>
                  </pic:blipFill>
                  <pic:spPr bwMode="auto">
                    <a:xfrm>
                      <a:off x="0" y="0"/>
                      <a:ext cx="3038475" cy="5669280"/>
                    </a:xfrm>
                    <a:prstGeom prst="rect">
                      <a:avLst/>
                    </a:prstGeom>
                    <a:noFill/>
                    <a:ln w="9525">
                      <a:noFill/>
                      <a:miter lim="800000"/>
                      <a:headEnd/>
                      <a:tailEnd/>
                    </a:ln>
                  </pic:spPr>
                </pic:pic>
              </a:graphicData>
            </a:graphic>
          </wp:inline>
        </w:drawing>
      </w:r>
    </w:p>
    <w:p w:rsidR="008725BE" w:rsidRPr="008725BE" w:rsidRDefault="008725BE" w:rsidP="008725BE">
      <w:pPr>
        <w:pStyle w:val="Sansinterligne"/>
        <w:rPr>
          <w:rFonts w:ascii="Garamond" w:hAnsi="Garamond"/>
          <w:color w:val="000000"/>
        </w:rPr>
      </w:pPr>
      <w:r w:rsidRPr="008725BE">
        <w:rPr>
          <w:rFonts w:ascii="Garamond" w:hAnsi="Garamond"/>
          <w:color w:val="000000"/>
        </w:rPr>
        <w:t>Mosesstatuette, Nicholas von Verdun zugeschrieben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Ein Blick auf die beistehende Abbildung läßt den Hauptunterschied der beiden, durch mehr als drei Jahrhunderte getrennten Darstellungen erkennen. </w:t>
      </w:r>
      <w:r w:rsidRPr="008725BE">
        <w:rPr>
          <w:rFonts w:ascii="Garamond" w:hAnsi="Garamond"/>
          <w:color w:val="000000"/>
          <w:lang w:val="en-GB"/>
        </w:rPr>
        <w:t>Der Moses des lothringischen Künstlers hält die Tafeln mit seiner linken Hand bei ihrem oberen Rand und stützt sie auf sein Knie; überträgt man die Tafeln auf die andere Seite und vertraut sie dem rechten Arm an, so hat man die Ausgangssituation für den Moses des Michelangelo hergestellt. Wenn meine Auffassung der Geste des In-den-Bart-Greifens zulässig ist, so gibt uns der Moses aus dem Jahre 1180 einen Moment aus dem Sturm der Leidenschaften wieder, die Statue in S. Pietro in Vincoli aber die Ruhe nach dem Sturme.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glaube, daß der hier mitgeteilte Fund die Wahrscheinlichkeit der Deutung erhöht, die ich in meiner Arbeit 1914 versucht habe. Vielleicht ist es einem Kunstkenner möglich, die zeitliche Kluft zwischen dem Moses des Nicholas von Verdun und dem des Meisters der italienischen Renaissance durch den Nachweis von Mosestypen aus der Zwischenzeit auszufüllen.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De</w:t>
        </w:r>
        <w:bookmarkStart w:id="150" w:name="KS15"/>
        <w:bookmarkEnd w:id="150"/>
        <w:r w:rsidRPr="008725BE">
          <w:rPr>
            <w:rStyle w:val="Lienhypertexte"/>
            <w:rFonts w:ascii="Garamond" w:hAnsi="Garamond" w:cs="Arial"/>
            <w:b/>
            <w:bCs/>
            <w:lang w:val="en-GB"/>
          </w:rPr>
          <w:t>r Realitätsverlust bei Neurose und Psychose</w:t>
        </w:r>
      </w:hyperlink>
      <w:r w:rsidRPr="008725BE">
        <w:rPr>
          <w:rFonts w:ascii="Garamond" w:hAnsi="Garamond"/>
          <w:color w:val="000000"/>
          <w:lang w:val="en-GB"/>
        </w:rPr>
        <w:t xml:space="preserve">  </w:t>
      </w:r>
      <w:r w:rsidRPr="008725BE">
        <w:rPr>
          <w:rFonts w:ascii="Garamond" w:hAnsi="Garamond"/>
          <w:caps/>
          <w:color w:val="000000"/>
          <w:lang w:val="en-GB"/>
        </w:rPr>
        <w:t>(1924)</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Ich habe kürzlich </w:t>
      </w:r>
      <w:hyperlink r:id="rId77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›Neurose und Psychose‹ (1924 </w:t>
        </w:r>
        <w:r w:rsidRPr="008725BE">
          <w:rPr>
            <w:rStyle w:val="innerfusslink3"/>
            <w:rFonts w:ascii="Garamond" w:hAnsi="Garamond" w:cs="Arial"/>
            <w:b/>
            <w:bCs/>
            <w:i/>
            <w:iCs/>
            <w:lang w:val="en-GB"/>
          </w:rPr>
          <w:t>b</w:t>
        </w:r>
        <w:r w:rsidRPr="008725BE">
          <w:rPr>
            <w:rStyle w:val="innerfusslink3"/>
            <w:rFonts w:ascii="Garamond" w:hAnsi="Garamond" w:cs="Arial"/>
            <w:b/>
            <w:bCs/>
            <w:lang w:val="en-GB"/>
          </w:rPr>
          <w:t>).</w:t>
        </w:r>
      </w:hyperlink>
      <w:r w:rsidRPr="008725BE">
        <w:rPr>
          <w:rFonts w:ascii="Garamond" w:hAnsi="Garamond"/>
          <w:color w:val="000000"/>
          <w:lang w:val="en-GB"/>
        </w:rPr>
        <w:t xml:space="preserve"> einen der unterscheidenden Züge zwischen Neurose und Psychose dahin bestimmt, daß bei ersterer das Ich in Abhängigkeit von der Realität ein Stück des Es (Trieblebens) unterdrückt, während sich dasselbe Ich bei der Psychose im Dienste des Es von einem Stück der Realität zurückzieht. </w:t>
      </w:r>
      <w:r w:rsidRPr="008725BE">
        <w:rPr>
          <w:rFonts w:ascii="Garamond" w:hAnsi="Garamond"/>
          <w:color w:val="000000"/>
        </w:rPr>
        <w:t>Für die Neurose wäre also die Übermacht des Realeinflusses, für die Psychose die des Es maßgebend. Der Realitätsverlust wäre für die Psychose von vorneherein gegeben; für die Neurose, sollte man meinen, wäre er vermieden.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Das stimmt nun aber gar nicht zur Erfahrung, die wir alle machen können, daß jede Neurose das Verhältnis des Kranken zur Realität irgendwie stört, daß sie ihm ein Mittel ist, sich von ihr zurückzuziehen und in ihren schweren Ausbildungen direkt eine Flucht aus dem realen Leben bedeutet. </w:t>
      </w:r>
      <w:r w:rsidRPr="008725BE">
        <w:rPr>
          <w:rFonts w:ascii="Garamond" w:hAnsi="Garamond"/>
          <w:color w:val="000000"/>
          <w:lang w:val="en-GB"/>
        </w:rPr>
        <w:t>Dieser Widerspruch erscheint bedenklich, allein er ist leicht zu beseitigen, und seine Aufklärung wird unser Verständnis der Neurose nur gefördert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Widerspruch besteht nämlich nur so lange, als wir die Eingangssituation der Neurose ins Auge fassen, in welcher das Ich im Dienst der Realität die Verdrängung einer Triebregung vornimmt. Das ist aber noch nicht die Neurose selbst. Diese besteht vielmehr in den Vorgängen, welche dem geschädigten Anteil des Es eine Entschädigung bringen, also in der Reaktion gegen die Verdrängung und im Mißglücken derselben. Die Lockerung des Verhältnisses zur Realität ist dann die Folge dieses zweiten Schrittes in der Neurosenbildung, und es sollte uns nicht verwundern, wenn die Detailuntersuchung zeigte, daß der Realitätsverlust gerade jenes Stück der Realität betrifft, über dessen Anforderung die Triebverdrängung erfolgte.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Charakteristik der Neurose als Erfolg einer mißglückten Verdrängung ist nichts Neues. Wir haben es immer so gesagt, und nur infolge des neuen Zusammenhanges war es notwendig, es zu wiederholen.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Das nämliche Bedenken wird übrigens in besonders eindrucksvoller Weise wiederauftreten, wenn es sich um einen Fall von Neurose handelt, dessen Veranlassung (»die traumatische Szene«) bekannt ist und an dem man sehen kann, wie sich die Person von einem solchen Erlebnis abwendet und es der Amnesie überantwortet. Ich will zum Beispiel auf einen vor langen Jahren analysierten Fall zurückgreifen </w:t>
      </w:r>
      <w:hyperlink r:id="rId77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In den </w:t>
        </w:r>
        <w:r w:rsidRPr="008725BE">
          <w:rPr>
            <w:rStyle w:val="innerfusslink3"/>
            <w:rFonts w:ascii="Garamond" w:hAnsi="Garamond" w:cs="Arial"/>
            <w:b/>
            <w:bCs/>
            <w:i/>
            <w:iCs/>
            <w:lang w:val="en-GB"/>
          </w:rPr>
          <w:t>Studien über Hysterie</w:t>
        </w:r>
        <w:r w:rsidRPr="008725BE">
          <w:rPr>
            <w:rStyle w:val="innerfusslink3"/>
            <w:rFonts w:ascii="Garamond" w:hAnsi="Garamond" w:cs="Arial"/>
            <w:b/>
            <w:bCs/>
            <w:lang w:val="en-GB"/>
          </w:rPr>
          <w:t xml:space="preserve"> (1895).</w:t>
        </w:r>
      </w:hyperlink>
      <w:r w:rsidRPr="008725BE">
        <w:rPr>
          <w:rFonts w:ascii="Garamond" w:hAnsi="Garamond"/>
          <w:color w:val="000000"/>
          <w:lang w:val="en-GB"/>
        </w:rPr>
        <w:t xml:space="preserve">, in dem das in ihren Schwager verliebte Mädchen am Totenbett der Schwester durch die Idee erschüttert wird: »Nun ist er frei und kann dich heiraten.« Diese Szene wird sofort vergessen und damit der Regressionsvorgang eingeleitet, der zu den hysterischen Schmerzen führt. Es ist aber gerade hier lehrreich, zu sehen, auf welchem Wege die Neurose den Konflikt zu erledigen versucht. Sie entwertet die reale Veränderung, indem sie den in Betracht kommenden Triebanspruch, also die Liebe zum Schwager, verdrängt. </w:t>
      </w:r>
      <w:r w:rsidRPr="008725BE">
        <w:rPr>
          <w:rFonts w:ascii="Garamond" w:hAnsi="Garamond"/>
          <w:color w:val="000000"/>
        </w:rPr>
        <w:t>Die psychotische Reaktion wäre gewesen, die Tatsache des Todes der Schwester zu verleugnen.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Man könnte nun erwarten, daß sich bei der Entstehung der Psychose etwas dem Vorgang bei der Neurose Analoges ereignet, natürlich zwischen anderen Instanzen. Also daß auch bei der Psychose zwei Schritte deutlich werden, von denen der erste das Ich diesmal von der Realität losreißt, der zweite aber den Schaden wiedergutmachen will und nun die Beziehung zur Realität auf Kosten des Es wiederherstellt. Wirklich ist auch etwas Analoges an der Psychose zu beobachten; es gibt auch hier zwei Schritte, von denen der zweite den Charakter der Reparation an sich trägt, aber dann weicht die Analogie einer viel weitergehenden Gleichsinnigkeit der Vorgänge. Der zweite Schritt der Psychose will auch den Realitätsverlust ausgleichen, aber nicht auf Kosten einer Einschränkung des Es wie bei der Neurose auf Kosten der Realbeziehung, sondern auf einem anderen, mehr selbstherrlichen Weg durch Schöpfung einer neuen Realität, welche nicht mehr den nämlichen Anstoß bietet wie die verlassene. </w:t>
      </w:r>
      <w:r w:rsidRPr="008725BE">
        <w:rPr>
          <w:rFonts w:ascii="Garamond" w:hAnsi="Garamond"/>
          <w:color w:val="000000"/>
          <w:lang w:val="en-GB"/>
        </w:rPr>
        <w:t>Der zweite Schritt wird also bei der Neurose wie bei der Psychose von denselben Tendenzen getragen, er dient in beiden Fällen dem Machtbestreben des Es, das sich von der Realität nicht zwingen läßt. Neurose wie Psychose sind also beide Ausdruck der Rebellion des Es gegen die Außenwelt, seiner Unlust oder, wenn man will, seiner Unfähigkeit, sich der realen Not, der ’</w:t>
      </w:r>
      <w:r w:rsidRPr="008725BE">
        <w:rPr>
          <w:rFonts w:ascii="Garamond" w:hAnsi="Garamond"/>
          <w:color w:val="000000"/>
        </w:rPr>
        <w:t>Ανάγκη</w:t>
      </w:r>
      <w:r w:rsidRPr="008725BE">
        <w:rPr>
          <w:rFonts w:ascii="Garamond" w:hAnsi="Garamond"/>
          <w:color w:val="000000"/>
          <w:lang w:val="en-GB"/>
        </w:rPr>
        <w:t>, anzupassen. Neurose und Psychose unterscheiden sich weit mehr voneinander in der ersten, einleitenden Reaktion als in dem auf sie folgenden Reparationsversuch.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anfängliche Unterschied kommt dann im Endergebnis in der Art zum Ausdruck, daß bei der Neurose ein Stück der Realität fluchtartig vermieden, bei der Psychose aber umgebaut wird. Oder: Bei der Psychose folgt auf die anfängliche Flucht eine aktive Phase des Umbaues, bei der Neurose auf den anfänglichen Gehorsam ein nachträglicher Fluchtversuch. Oder noch anders ausgedrückt: Die Neurose verleugnet die Realität nicht, sie will nur nichts von ihr wissen; die Psychose verleugnet sie und sucht sie zu ersetzen. Normal oder »gesund« heißen wir ein Verhalten, welches bestimmte Züge beider Reaktionen vereinigt, die Realität sowenig verleugnet wie die Neurose, sich aber dann wie die Psychose um ihre Abänderung </w:t>
      </w:r>
      <w:r w:rsidRPr="008725BE">
        <w:rPr>
          <w:rFonts w:ascii="Garamond" w:hAnsi="Garamond"/>
          <w:color w:val="000000"/>
          <w:lang w:val="en-GB"/>
        </w:rPr>
        <w:lastRenderedPageBreak/>
        <w:t xml:space="preserve">bemüht. Dies zweckmäßige, normale Verhalten führt natürlich zu einer äußeren Arbeitsleistung an der Außenwelt und begnügt sich nicht wie bei der Psychose mit der Herstellung innerer Veränderungen; es ist nicht mehr </w:t>
      </w:r>
      <w:r w:rsidRPr="008725BE">
        <w:rPr>
          <w:rFonts w:ascii="Garamond" w:hAnsi="Garamond"/>
          <w:i/>
          <w:iCs/>
          <w:color w:val="000000"/>
          <w:lang w:val="en-GB"/>
        </w:rPr>
        <w:t>autoplastisch</w:t>
      </w:r>
      <w:r w:rsidRPr="008725BE">
        <w:rPr>
          <w:rFonts w:ascii="Garamond" w:hAnsi="Garamond"/>
          <w:color w:val="000000"/>
          <w:lang w:val="en-GB"/>
        </w:rPr>
        <w:t xml:space="preserve">, sondern </w:t>
      </w:r>
      <w:r w:rsidRPr="008725BE">
        <w:rPr>
          <w:rFonts w:ascii="Garamond" w:hAnsi="Garamond"/>
          <w:i/>
          <w:iCs/>
          <w:color w:val="000000"/>
          <w:lang w:val="en-GB"/>
        </w:rPr>
        <w:t>alloplastisch</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Umarbeitung der Realität geschieht bei der Psychose an den psychischen Niederschlägen der bisherigen Beziehungen zu ihr, also an den Erinnerungsspuren, Vorstellungen und Urteilen, die man bisher von ihr gewonnen hatte und durch welche sie im Seelenleben vertreten war. Aber diese Beziehung war nie eine abgeschlossene, sie wurde fortlaufend durch neue Wahrnehmungen bereichert und abgeändert. Somit stellt sich auch für die Psychose die Aufgabe her, sich solche Wahrnehmungen zu verschaffen, wie sie der neuen Realität entsprechen würden, was in gründlichster Weise auf dem Wege der Halluzination erreicht wird. Wenn die Erinnerungstäuschungen, Wahnbildungen und Halluzinationen bei so vielen Formen und Fällen von Psychose den peinlichsten Charakter zeigen und mit Angstentwicklung verbunden sind, so ist das wohl ein Anzeichen dafür, daß sich der ganze Umbildungsprozeß gegen heftig widerstrebende Kräfte vollzieht. Man darf sich den Vorgang nach dem uns besser bekannten Vorbild der Neurose konstruieren. Hier sehen wir, daß jedesmal mit Angst reagiert wird, sooft der verdrängte Trieb einen Vorstoß macht, und daß das Ergebnis des Konflikts doch nur ein Kompromiß und als Befriedigung unvollkommen ist. Wahrscheinlich drängt sich bei der Psychose das abgewiesene Stück der Realität immer wieder dem Seelenleben auf, wie bei der Neurose der verdrängte Trieb, und darum sind auch die Folgen in beiden Fällen die gleichen. Die Erörterung der verschiedenen Mechanismen, welche bei den Psychosen die Abwendung von der Realität und den Wiederaufbau einer solchen bewerkstelligen sollen, sowie des Ausmaßes von Erfolg, das sie erzielen können, ist eine noch nicht in Angriff genommene Aufgabe der speziellen Psychiatrie.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also eine weitere Analogie zwischen Neurose und Psychose, daß bei beiden die Aufgabe, die im zweiten Schritt in Angriff genommen wird, teilweise mißlingt, indem sich der verdrängte Trieb keinen vollen Ersatz schaffen kann (Neurose) und die Realitätsvertretung sich nicht in die befriedigenden Formen umgießen läßt. (Wenigstens nicht bei allen Formen der psychischen Erkrankungen.) Aber die Akzente sind in den zwei Fällen anders verteilt. Bei der Psychose ruht der Akzent ganz auf dem ersten Schritt, der an sich krankhaft ist und nur zu Kranksein führen kann, bei der Neurose hingegen auf dem zweiten, dem Mißlingen der Verdrängung, während der erste Schritt gelingen kann und auch im Rahmen der Gesundheit ungezählte Male gelungen ist, wenn auch nicht ganz ohne Kosten zu machen und Anzeichen des erforderten psychischen Aufwandes zu hinterlassen. Diese Differenzen und vielleicht noch viele andere sind die Folge der topischen Verschiedenheit in der Ausgangssituation des pathogenen Konflikts, ob das Ich darin seiner Anhänglichkeit an die reale Welt oder seiner Abhängigkeit vom Es nachgegeben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Neurose begnügt sich in der Regel damit, das betreffende Stück der Realität zu vermeiden und sich gegen das Zusammentreffen mit ihm zu schützen. Der scharfe Unterschied zwischen Neurose und Psychose wird aber dadurch abgeschwächt, daß es auch bei der Neurose an Versuchen nicht fehlt, die unerwünschte Realität durch eine wunschgerechtere zu ersetzen. Die Möglichkeit hiezu gibt die Existenz einer </w:t>
      </w:r>
      <w:r w:rsidRPr="008725BE">
        <w:rPr>
          <w:rFonts w:ascii="Garamond" w:hAnsi="Garamond"/>
          <w:i/>
          <w:iCs/>
          <w:color w:val="000000"/>
          <w:lang w:val="en-GB"/>
        </w:rPr>
        <w:t>Phantasiewelt</w:t>
      </w:r>
      <w:r w:rsidRPr="008725BE">
        <w:rPr>
          <w:rFonts w:ascii="Garamond" w:hAnsi="Garamond"/>
          <w:color w:val="000000"/>
          <w:lang w:val="en-GB"/>
        </w:rPr>
        <w:t>, eines Gebietes, das seinerzeit bei der Einsetzung des Realitätsprinzips von der realen Außenwelt abgesondert wurde, seither nach Art einer »Schonung« von den Anforderungen der Lebensnotwendigkeit freigehalten wird und das dem Ich nicht unzugänglich ist, aber ihm nur lose anhängt. Aus dieser Phantasiewelt entnimmt die Neurose das Material für ihre Wunschneubildungen und findet es dort gewöhnlich auf dem Wege der Regression in eine befriedigendere reale Vorzeit.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ist kaum zweifelhaft, daß die Phantasiewelt bei der Psychose die nämliche Rolle spielt, daß sie auch hier die Vorratskammer darstellt, aus der der Stoff oder die Muster für den Aufbau der neuen Realität geholt werden. Aber die neue, phantastische Außenwelt der Psychose will sich an die Stelle der äußeren Realität setzen, die der Neurose hingegen lehnt sich wie das Kinderspiel gern an ein Stück der Realität an –; ein anderes als das, wogegen sie sich wehren mußte –;, verleiht ihm eine besondere Bedeutung und einen geheimen Sinn, den wir nicht immer ganz zutreffend einen </w:t>
      </w:r>
      <w:r w:rsidRPr="008725BE">
        <w:rPr>
          <w:rFonts w:ascii="Garamond" w:hAnsi="Garamond"/>
          <w:i/>
          <w:iCs/>
          <w:color w:val="000000"/>
          <w:lang w:val="en-GB"/>
        </w:rPr>
        <w:t>symbolischen</w:t>
      </w:r>
      <w:r w:rsidRPr="008725BE">
        <w:rPr>
          <w:rFonts w:ascii="Garamond" w:hAnsi="Garamond"/>
          <w:color w:val="000000"/>
          <w:lang w:val="en-GB"/>
        </w:rPr>
        <w:t xml:space="preserve"> heißen. So kommt für beide, Neurose wie Psychose, nicht nur die Frage des </w:t>
      </w:r>
      <w:r w:rsidRPr="008725BE">
        <w:rPr>
          <w:rFonts w:ascii="Garamond" w:hAnsi="Garamond"/>
          <w:i/>
          <w:iCs/>
          <w:color w:val="000000"/>
          <w:lang w:val="en-GB"/>
        </w:rPr>
        <w:t>Realitätsverlustes</w:t>
      </w:r>
      <w:r w:rsidRPr="008725BE">
        <w:rPr>
          <w:rFonts w:ascii="Garamond" w:hAnsi="Garamond"/>
          <w:color w:val="000000"/>
          <w:lang w:val="en-GB"/>
        </w:rPr>
        <w:t xml:space="preserve">, sondern auch die eines </w:t>
      </w:r>
      <w:r w:rsidRPr="008725BE">
        <w:rPr>
          <w:rFonts w:ascii="Garamond" w:hAnsi="Garamond"/>
          <w:i/>
          <w:iCs/>
          <w:color w:val="000000"/>
          <w:lang w:val="en-GB"/>
        </w:rPr>
        <w:t>Realitätsersatzes</w:t>
      </w:r>
      <w:r w:rsidRPr="008725BE">
        <w:rPr>
          <w:rFonts w:ascii="Garamond" w:hAnsi="Garamond"/>
          <w:color w:val="000000"/>
          <w:lang w:val="en-GB"/>
        </w:rPr>
        <w:t xml:space="preserve"> in Betracht.</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De</w:t>
        </w:r>
        <w:bookmarkStart w:id="151" w:name="KS16"/>
        <w:bookmarkEnd w:id="151"/>
        <w:r w:rsidRPr="008725BE">
          <w:rPr>
            <w:rStyle w:val="Lienhypertexte"/>
            <w:rFonts w:ascii="Garamond" w:hAnsi="Garamond" w:cs="Arial"/>
            <w:b/>
            <w:bCs/>
            <w:lang w:val="en-GB"/>
          </w:rPr>
          <w:t>r Untergang des Ödipuskomplexes</w:t>
        </w:r>
      </w:hyperlink>
      <w:r w:rsidRPr="008725BE">
        <w:rPr>
          <w:rFonts w:ascii="Garamond" w:hAnsi="Garamond"/>
          <w:color w:val="000000"/>
          <w:lang w:val="en-GB"/>
        </w:rPr>
        <w:t xml:space="preserve">  </w:t>
      </w:r>
      <w:r w:rsidRPr="008725BE">
        <w:rPr>
          <w:rFonts w:ascii="Garamond" w:hAnsi="Garamond"/>
          <w:caps/>
          <w:color w:val="000000"/>
          <w:lang w:val="en-GB"/>
        </w:rPr>
        <w:t>(1924)</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Immer mehr enthüllt der Ödipuskomplex seine Bedeutung als das zentrale Phänomen der frühkindlichen Sexualperiode. Dann geht er unter, er erliegt der Verdrängung, wie wir sagen, und ihm folgt die Latenzzeit. Es ist aber noch nicht klar geworden, woran er zugrunde geht; die Analysen scheinen zu lehren: an den vorfallenden schmerzhaften Enttäuschungen. Das kleine Mädchen, das sich für die bevorzugte Geliebte des Vaters halten will, muß einmal eine harte Züchtigung durch den Vater erleben und sieht sich aus allen Himmeln gestürzt. Der Knabe, der die Mutter als sein Eigentum betrachtet, macht die Erfahrung, daß sie Liebe und Sorgfalt von ihm weg auf einen neu Angekommenen richtet. Die Überlegung vertieft den Wert dieser Einwirkungen, indem sie betont, daß solche peinliche Erfahrungen, die dem Inhalt des Komplexes widerstreiten, unvermeidlich sind. Auch wo nicht besondere Ereignisse, wie die als Proben erwähnten, vorfallen, muß das Ausbleiben der erhofften Befriedigung, die fortgesetzte Versagung des gewünschten Kindes, es dahin bringen, daß sich der kleine Verliebte von seiner hoffnungslosen Neigung abwendet. Der Ödipuskomplex ginge so zugrunde an seinem Mißerfolg, dem Ergebnis seiner inneren Unmöglichkeit.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andere Auffassung wird sagen, der Ödipuskomplex muß fallen, weil die Zeit für seine Auflösung gekommen ist, wie die Milchzähne ausfallen, wenn die definitiven nachrücken. Wenn der Ödipuskomplex auch von den meisten Menschenkindern individuell durchlebt wird, so ist er doch ein durch die Heredität bestimmtes, von ihr angelegtes Phänomen, welches programmgemäß vergehen muß, wenn die nächste vorherbestimmte Entwicklungsphase einsetzt. Es ist dann ziemlich gleichgültig, auf welche Anlässe hin das geschieht oder ob solche überhaupt nicht ausfindig zu machen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Beiden Auffassungen kann man ihr Recht nicht abstreiten. Sie vertragen sich aber auch miteinander; es bleibt Raum für die ontogenetische neben der weiter schauenden phylogenetischen. Auch dem ganzen Individuum ist es ja schon bei seiner Geburt bestimmt zu sterben, und seine Organanlage enthält vielleicht bereits den Hinweis, woran. Doch bleibt es von Interesse zu verfolgen, wie dies mitgebrachte Programm ausgeführt wird, in welcher Weise zufällige Schädlichkeiten die Disposition ausnützen.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Unser Sinn ist neuerlich für die Wahrnehmung geschärft worden, daß die Sexualentwicklung des Kindes bis zu einer Phase fortschreitet, in der das Genitale bereits die führende Rolle übernommen hat. Aber dies Genitale ist allein das männliche, genauer bezeichnet, der Penis, das weibliche ist unentdeckt geblieben. Diese phallische Phase, gleichzeitig die des Ödipuskomplexes, entwickelt sich nicht weiter zur endgültigen Genitalorganisation, sondern sie versinkt und wird von der Latenzzeit abgelöst. Ihr Ausgang vollzieht sich aber in typischer Weise und in Anlehnung an regelmäßig wiederkehrende Geschehnisse.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das (männliche) Kind sein Interesse dem Genitale zugewendet hat, so verrät es dies auch durch ausgiebige manuelle Beschäftigung mit demselben und muß dann die Erfahrung machen, daß die Erwachsenen mit diesem Tun nicht einverstanden sind. Es tritt mehr oder minder deutlich, mehr oder weniger brutal, die Drohung auf, daß man ihn dieses von ihm hochgeschätzten Teiles berauben werde. Meist sind es Frauen, von denen die Kastrationsdrohung ausgeht, häufig suchen sie ihre Autorität dadurch zu verstärken, daß sie sich auf den Vater oder den Doktor berufen, der nach ihrer Versicherung die Strafe vollziehen wird. In einer Anzahl von Fällen nehmen die Frauen selbst eine symbolische Milderung der Androhung vor, indem sie nicht die Beseitigung des eigentlich passiven Genitales, sondern die der aktiv sündigenden Hand ankündigen. Ganz besonders häufig geschieht es, daß das Knäblein nicht darum von der Kastrationsdrohung betroffen wird, weil es mit der Hand am Penis spielt, sondern weil es allnächtlich sein Lager näßt und nicht rein zu bekommen ist. Die Pflegepersonen benehmen sich so, als wäre diese nächtliche Inkontinenz Folge von und Beweis für allzueifrige Beschäftigung mit dem Penis, und haben wahrscheinlich recht darin. Jedenfalls ist das andauernde Bettnässen der Pollution des Erwachsenen gleichzustellen, ein Ausdruck der nämlichen Genitalerregung, welche das Kind um diese Zeit zur Masturbation gedrängt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Behauptung ist nun, daß die phallische Genitalorganisation des Kindes an dieser Kastrationsdrohung zugrunde geht. Allerdings nicht sofort und nicht ohne daß weitere Einwirkungen dazukommen. Denn der Knabe schenkt der Drohung zunächst keinen Glauben und keinen Gehorsam. Die Psychoanalyse hat neuerlichen Wert auf zweierlei Erfahrungen gelegt, die keinem Kinde erspart bleiben und durch die es auf den Verlust wertgeschätzter Körperteile vorbereitet sein sollte, auf die zunächst zeitweilige, später einmal endgültige Entziehung der Mutterbrust und auf die täglich erforderte Abtrennung des Darminhaltes. Aber man merkt nichts davon, daß diese Erfahrungen beim Anlaß der Kastrationsdrohung zur Wirkung kommen würden. Erst nachdem eine neue Erfahrung gemacht worden ist, beginnt das Kind mit der Möglichkeit einer Kastration zu rechnen, auch dann nur zögernd, widerwillig und nicht ohne das Bemühen, die Tragweite der eigenen Beobachtung zu verkleinern.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Die Beobachtung, welche den Unglauben des Kindes endlich bricht, ist die des weiblichen Genitales. Irgend einmal bekommt das auf seinen Penisbesitz stolze Kind die Genitalregion eines kleinen Mädchens zu Gesicht und muß sich von dem Mangel eines Penis bei einem ihm so ähnlichen Wesen überzeugen. Damit ist auch der eigene Penisverlust vorstellbar geworden, die Kastrationsdrohung gelangt nachträglich zur Wirkung.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dürfen nicht so kurzsichtig sein wie die mit der Kastration drohende Pflegeperson und sollen nicht übersehen, daß sich das Sexualleben des Kindes um diese Zeit keineswegs in der Masturbation erschöpft. Es steht nachweisbar in der Ödipuseinstellung zu seinen Eltern, die Masturbation ist nur die genitale Abfuhr der zum Komplex gehörigen Sexualerregung und wird dieser Beziehung ihre Bedeutung für alle späteren Zeiten verdanken. Der Ödipuskomplex bot dem Kinde zwei Möglichkeiten der Befriedigung, eine aktive und eine passive. Es konnte sich in männlicher Weise an die Stelle des Vaters setzen und wie er mit der Mutter verkehren, wobei der Vater bald als Hindernis empfunden wurde, oder es wollte die Mutter ersetzen und sich vom Vater lieben lassen, wobei die Mutter überflüssig wurde. Worin der befriedigende Liebesverkehr bestehe, darüber mochte das Kind nur sehr unbestimmte Vorstellungen haben; gewiß spielte aber der Penis dabei eine Rolle, denn dies bezeugten seine Organgefühle. Zum Zweifel am Penis des Weibes war noch kein Anlaß. Die Annahme der Kastrationsmöglichkeit, die Einsicht, daß das Weib kastriert sei, machte nun beiden Möglichkeiten der Befriedigung aus dem Ödipuskomplex ein Ende. Beide brachten ja den Verlust des Penis mit sich, die eine, männliche, als Straffolge, die andere, weibliche, als Voraussetzung. Wenn die Liebesbefriedigung auf dem Boden des Ödipuskomplexes den Penis kosten soll, so muß es zum Konflikt zwischen dem narzißtischen Interesse an diesem Körperteile und der libidinösen Besetzung der elterlichen Objekte kommen. In diesem Konflikt siegt normalerweise die erstere Macht; das Ich des Kindes wendet sich vom Ödipuskomplex ab.</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Ich habe an anderer Stelle ausgeführt, in welcher Weise dies vor sich geht. Die Objektbesetzungen werden aufgegeben und durch Identifizierung ersetzt. Die ins Ich introjizierte Vater- oder Elternautorität bildet dort den Kern des Über-Ichs, welches vom Vater die Strenge entlehnt, sein Inzestverbot perpetuiert und so das Ich gegen die Wiederkehr der libidinösen Objektbesetzung versichert. Die dem Ödipuskomplex zugehörigen libidinösen Strebungen werden zum Teil desexualisiert und sublimiert, was wahrscheinlich bei jeder Umsetzung in Identifizierung geschieht, zum Teil zielgehemmt und in zärtliche Regungen verwandelt. </w:t>
      </w:r>
      <w:r w:rsidRPr="008725BE">
        <w:rPr>
          <w:rFonts w:ascii="Garamond" w:hAnsi="Garamond"/>
          <w:color w:val="000000"/>
        </w:rPr>
        <w:t>Der ganze Prozeß hat einerseits das Genitale gerettet, die Gefahr des Verlustes von ihm abgewendet, anderseits es lahmgelegt, seine Funktion aufgehoben. Mit ihm setzt die Latenzzeit ein, die nun die Sexualentwicklung des Kindes unterbricht.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Ich sehe keinen Grund, der Abwendung des Ichs vom Ödipuskomplex den Namen einer »Verdrängung« zu versagen, obwohl spätere Verdrängungen meist unter der Beteiligung des Über-Ichs zustande kommen werden, welches hier erst gebildet wird. </w:t>
      </w:r>
      <w:r w:rsidRPr="008725BE">
        <w:rPr>
          <w:rFonts w:ascii="Garamond" w:hAnsi="Garamond"/>
          <w:color w:val="000000"/>
          <w:lang w:val="en-US"/>
        </w:rPr>
        <w:t xml:space="preserve">Aber der beschriebene Prozeß ist mehr als eine Verdrängung, er kommt, wenn ideal vollzogen, einer Zerstörung und Aufhebung des Komplexes gleich. </w:t>
      </w:r>
      <w:r w:rsidRPr="008725BE">
        <w:rPr>
          <w:rFonts w:ascii="Garamond" w:hAnsi="Garamond"/>
          <w:color w:val="000000"/>
          <w:lang w:val="en-GB"/>
        </w:rPr>
        <w:t>Es liegt nahe anzunehmen, daß wir hier auf die niemals ganz scharfe Grenzscheide zwischen Normalem und Pathologischem gestoßen sind. Wenn das Ich wirklich nicht viel mehr als eine Verdrängung des Komplexes erreicht hat, dann bleibt dieser im Es unbewußt bestehen und wird später seine pathogene Wirkung äußern.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Solche Zusammenhänge zwischen phallischer Organisation, Ödipuskomplex, Kastrationsdrohung, Über-Ichbildung und Latenzperiode läßt die analytische Beobachtung erkennen oder erraten. Sie rechtfertigen den Satz, daß der Ödipuskomplex an der Kastrationsdrohung zugrunde geht. Aber damit ist das Problem nicht erledigt, es bleibt Raum für eine theoretische Spekulation, welche das gewonnene Resultat umwerfen oder in ein neues Licht rücken kann. Ehe wir aber diesen Weg beschreiten, müssen wir uns einer Frage zuwenden, welche sich während unserer bisherigen Erörterungen erhoben hat und so lange zur Seite gedrängt wurde. Der beschriebene Vorgang bezieht sich, wie ausdrücklich gesagt, nur auf das männliche Kind. Wie vollzieht sich die entsprechende Entwicklung beim kleinen Mädchen?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Unser Material wird hier –; unverständlicherweise –; weit dunkler und lückenhafter. Auch das weibliche Geschlecht entwickelt einen Ödipuskomplex, ein Über-Ich und eine Latenzzeit. Kann man ihm auch eine phallische Organisation und einen Kastrationskomplex zusprechen? Die Antwort lautet bejahend, aber es kann nicht dasselbe sein wie beim Knaben. Die feministische Forderung nach Gleichberechtigung der Geschlechter trägt hier nicht weit, der morphologische Unterschied muß sich in Verschiedenheiten der psychischen Entwicklung äußern. Die Anatomie ist das Schicksal, um ein Wort Napoleons zu variieren. Die Klitoris des Mädchens benimmt sich zunächst ganz wie ein Penis, aber das Kind nimmt durch die Vergleichung mit einem männlichen Gespielen wahr, daß es »zu kurz gekommen« ist, und empfindet diese Tatsache als Benachteiligung und Grund zur Minderwertigkeit. Es tröstet sich noch eine Weile mit der </w:t>
      </w:r>
      <w:r w:rsidRPr="008725BE">
        <w:rPr>
          <w:rFonts w:ascii="Garamond" w:hAnsi="Garamond"/>
          <w:color w:val="000000"/>
          <w:lang w:val="en-GB"/>
        </w:rPr>
        <w:lastRenderedPageBreak/>
        <w:t>Erwartung, später, wenn es heranwächst, ein ebenso großes Anhängsel wie ein Bub zu bekommen. Hier zweigt dann der Männlichkeitskomplex des Weibes ab. Seinen aktuellen Mangel versteht das weibliche Kind aber nicht als Geschlechtscharakter, sondern erklärt ihn durch die Annahme, daß es früher einmal ein ebenso großes Glied besessen und dann durch Kastration verloren hat. Es scheint diesen Schluß nicht von sich auf andere, erwachsene Frauen auszudehnen, sondern diesen, ganz im Sinne der phallischen Phase, ein großes und vollständiges, also männliches Genitale zuzumuten. Es ergibt sich also der wesentliche Unterschied, daß das Mädchen die Kastration als vollzogene Tatsache akzeptiert, während sich der Knabe vor der Möglichkeit ihrer Vollziehung fürchtet.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Mit der Ausschaltung der Kastrationsangst entfällt auch ein mächtiges Motiv zur Aufrichtung des Über-Ichs und zum Abbruch der infantilen Genitalorganisation. Diese Veränderungen scheinen weit eher als beim Knaben Erfolg der Erziehung, der äußeren Einschüchterung zu sein, die mit dem Verlust des Geliebtwerdens droht. Der Ödipuskomplex des Mädchens ist weit eindeutiger als der des kleinen Penisträgers, er geht nach meiner Erfahrung nur selten über die Substituierung der Mutter und die feminine Einstellung zum Vater hinaus. Der Verzicht auf den Penis wird nicht ohne einen Versuch der Entschädigung vertragen. Das Mädchen gleitet –; man möchte sagen: längs einer symbolischen Gleichung –; vom Penis auf das Kind hinüber, sein Ödipuskomplex gipfelt in dem lange festgehaltenen Wunsch, vom Vater ein Kind als Geschenk zu erhalten, ihm ein Kind zu gebären. Man hat den Eindruck, daß der Ödipuskomplex dann langsam verlassen wird, weil dieser Wunsch sich nie erfüllt. Die beiden Wünsche nach dem Besitz eines Penis und eines Kindes bleiben im Unbewußten stark besetzt erhalten und helfen dazu, das weibliche Wesen für seine spätere geschlechtliche Rolle bereitzumachen. Die geringere Stärke des sadistischen Beitrages zum Sexualtrieb, die man wohl mit der Verkümmerung des Penis zusammenbringen darf, erleichtert die Verwandlung der direkt sexuellen Strebungen in zielgehemmte zärtliche. Im ganzen muß man aber zugestehen, daß unsere Einsichten in diese Entwicklungsvorgänge beim Mädchen unbefriedigend, lücken- und schattenhaft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zweifle nicht daran, daß die hier beschriebenen zeitlichen und kausalen Beziehungen zwischen Ödipuskomplex, Sexualeinschüchterung (Kastrationsdrohung), Über-Ichbildung und Eintritt der Latenzzeit von typischer Art sind; ich will aber nicht behaupten, daß dieser Typus der einzig mögliche ist. Abänderungen in der Zeitfolge und in der Verkettung dieser Vorgänge müssen für die Entwicklung des Individuums sehr bedeutungsvoll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Seit der Veröffentlichung von O. Ranks interessanter Studie über das </w:t>
      </w:r>
      <w:r w:rsidRPr="008725BE">
        <w:rPr>
          <w:rFonts w:ascii="Garamond" w:hAnsi="Garamond"/>
          <w:i/>
          <w:iCs/>
          <w:color w:val="000000"/>
          <w:lang w:val="en-GB"/>
        </w:rPr>
        <w:t>Trauma der Geburt</w:t>
      </w:r>
      <w:r w:rsidRPr="008725BE">
        <w:rPr>
          <w:rFonts w:ascii="Garamond" w:hAnsi="Garamond"/>
          <w:color w:val="000000"/>
          <w:lang w:val="en-GB"/>
        </w:rPr>
        <w:t xml:space="preserve"> kann man auch das Resultat dieser kleinen Untersuchung, der Ödipuskomplex des Knaben gehe an der Kastrationsangst zugrunde, nicht ohne weitere Diskussion hinnehmen. Es erscheint mir aber vorzeitig, heute in diese Diskussion einzugehen, vielleicht auch unzweckmäßig, die Kritik oder Würdigung der Rankschen Auffassung an solcher Stelle zu beginnen.</w:t>
      </w:r>
    </w:p>
    <w:p w:rsidR="008725BE" w:rsidRPr="008725BE" w:rsidRDefault="008725BE" w:rsidP="008725BE">
      <w:pPr>
        <w:pStyle w:val="Sansinterligne"/>
        <w:rPr>
          <w:rFonts w:ascii="Garamond" w:hAnsi="Garamond"/>
          <w:caps/>
          <w:color w:val="000000"/>
        </w:rPr>
      </w:pPr>
      <w:r w:rsidRPr="005C1841">
        <w:rPr>
          <w:rFonts w:ascii="Garamond" w:hAnsi="Garamond"/>
          <w:color w:val="000000"/>
        </w:rPr>
        <w:br w:type="page"/>
      </w:r>
      <w:hyperlink w:anchor="KSinhalt" w:history="1">
        <w:r w:rsidRPr="008725BE">
          <w:rPr>
            <w:rStyle w:val="Lienhypertexte"/>
            <w:rFonts w:ascii="Garamond" w:hAnsi="Garamond" w:cs="Arial"/>
            <w:b/>
            <w:bCs/>
          </w:rPr>
          <w:t>Di</w:t>
        </w:r>
        <w:bookmarkStart w:id="152" w:name="KS17"/>
        <w:bookmarkEnd w:id="152"/>
        <w:r w:rsidRPr="008725BE">
          <w:rPr>
            <w:rStyle w:val="Lienhypertexte"/>
            <w:rFonts w:ascii="Garamond" w:hAnsi="Garamond" w:cs="Arial"/>
            <w:b/>
            <w:bCs/>
          </w:rPr>
          <w:t>e « kulturelle » Sexualmoral und die moderne Nervosität</w:t>
        </w:r>
      </w:hyperlink>
      <w:r w:rsidRPr="008725BE">
        <w:rPr>
          <w:rFonts w:ascii="Garamond" w:hAnsi="Garamond"/>
          <w:color w:val="000000"/>
        </w:rPr>
        <w:t xml:space="preserve">  </w:t>
      </w:r>
      <w:r w:rsidRPr="008725BE">
        <w:rPr>
          <w:rFonts w:ascii="Garamond" w:hAnsi="Garamond"/>
          <w:caps/>
          <w:color w:val="000000"/>
        </w:rPr>
        <w:t>(1908)</w:t>
      </w:r>
    </w:p>
    <w:p w:rsidR="008725BE" w:rsidRPr="008725BE" w:rsidRDefault="008725BE" w:rsidP="008725BE">
      <w:pPr>
        <w:pStyle w:val="Sansinterligne"/>
        <w:rPr>
          <w:rFonts w:ascii="Garamond" w:hAnsi="Garamond"/>
          <w:color w:val="000000"/>
        </w:rPr>
      </w:pPr>
      <w:r w:rsidRPr="008725BE">
        <w:rPr>
          <w:rFonts w:ascii="Garamond" w:hAnsi="Garamond"/>
          <w:color w:val="000000"/>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seiner kürzlich veröffentlichten </w:t>
      </w:r>
      <w:r w:rsidRPr="008725BE">
        <w:rPr>
          <w:rFonts w:ascii="Garamond" w:hAnsi="Garamond"/>
          <w:i/>
          <w:iCs/>
          <w:color w:val="000000"/>
          <w:lang w:val="en-GB"/>
        </w:rPr>
        <w:t>Sexualethik</w:t>
      </w:r>
      <w:hyperlink r:id="rId77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(1907).</w:t>
        </w:r>
      </w:hyperlink>
      <w:r w:rsidRPr="008725BE">
        <w:rPr>
          <w:rFonts w:ascii="Garamond" w:hAnsi="Garamond"/>
          <w:color w:val="000000"/>
          <w:lang w:val="en-GB"/>
        </w:rPr>
        <w:t xml:space="preserve"> verweilt v. Ehrenfels bei der Unterscheidung der »natürlichen« und der »kulturellen« Sexualmoral. Als natürliche Sexualmoral sei diejenige zu verstehen, unter deren Herrschaft ein Menschenstamm sich andauernd bei Gesundheit und Lebenstüchtigkeit zu erhalten vermag, als kulturelle diejenige, deren Befolgung die Menschen vielmehr zu intensiver und produktiver Kulturarbeit anspornt. Dieser Gegensatz werde am besten durch die Gegenüberstellung von </w:t>
      </w:r>
      <w:r w:rsidRPr="008725BE">
        <w:rPr>
          <w:rFonts w:ascii="Garamond" w:hAnsi="Garamond"/>
          <w:i/>
          <w:iCs/>
          <w:color w:val="000000"/>
          <w:lang w:val="en-GB"/>
        </w:rPr>
        <w:t>konstitutivem</w:t>
      </w:r>
      <w:r w:rsidRPr="008725BE">
        <w:rPr>
          <w:rFonts w:ascii="Garamond" w:hAnsi="Garamond"/>
          <w:color w:val="000000"/>
          <w:lang w:val="en-GB"/>
        </w:rPr>
        <w:t xml:space="preserve"> und </w:t>
      </w:r>
      <w:r w:rsidRPr="008725BE">
        <w:rPr>
          <w:rFonts w:ascii="Garamond" w:hAnsi="Garamond"/>
          <w:i/>
          <w:iCs/>
          <w:color w:val="000000"/>
          <w:lang w:val="en-GB"/>
        </w:rPr>
        <w:t>kulturellem</w:t>
      </w:r>
      <w:r w:rsidRPr="008725BE">
        <w:rPr>
          <w:rFonts w:ascii="Garamond" w:hAnsi="Garamond"/>
          <w:color w:val="000000"/>
          <w:lang w:val="en-GB"/>
        </w:rPr>
        <w:t xml:space="preserve"> Besitz eines Volkes erläutert. Indem ich für die weitere Würdigung dieses bedeutsamen Gedankenganges auf die Schrift von v. Ehrenfels selbst verweise, will ich aus ihr nur so viel herausheben, als es für die Anknüpfung meines eigenen Beitrages bedarf.</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Vermutung liegt nahe, daß unter der Herrschaft einer kulturellen Sexualmoral Gesundheit und Lebenstüchtigkeit der einzelnen Menschen Beeinträchtigungen ausgesetzt sein können und daß endlich diese Schädigung der Individuen durch die ihnen auferlegten Opfer einen so hohen Grad erreiche, daß auf diesem Umwege auch das kulturelle Endziel in Gefahr geriete. v. Ehrenfels weist auch wirklich der unsere gegenwärtige abendländische Gesellschaft beherrschenden Sexualmoral eine Reihe von Schäden nach, für die er sie verantwortlich machen muß, und obwohl er ihre hohe Eignung zur Förderung der Kultur voll anerkennt, gelangt er dazu, sie als reformbedürftig zu verurteilen. Für die uns beherrschende kulturelle Sexualmoral sei charakteristisch die Übertragung femininer Anforderungen auf das Geschlechtsleben des Mannes und die Verpönung eines jeden Sexualverkehres mit Ausnahme des ehelich-monogamen. Die Rücksicht auf die natürliche Verschiedenheit der Geschlechter nötige dann allerdings dazu, Vergehungen des Mannes minder rigoros zu ahnden und somit tatsächlich eine </w:t>
      </w:r>
      <w:r w:rsidRPr="008725BE">
        <w:rPr>
          <w:rFonts w:ascii="Garamond" w:hAnsi="Garamond"/>
          <w:i/>
          <w:iCs/>
          <w:color w:val="000000"/>
          <w:lang w:val="en-GB"/>
        </w:rPr>
        <w:t>doppelte</w:t>
      </w:r>
      <w:r w:rsidRPr="008725BE">
        <w:rPr>
          <w:rFonts w:ascii="Garamond" w:hAnsi="Garamond"/>
          <w:color w:val="000000"/>
          <w:lang w:val="en-GB"/>
        </w:rPr>
        <w:t xml:space="preserve"> Moral für den Mann zuzulassen. Eine Gesellschaft aber, die sich auf diese doppelte Moral einläßt, kann es in »Wahrheitsliebe, Ehrlichkeit und Humanität« </w:t>
      </w:r>
      <w:hyperlink r:id="rId77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Sexualethik</w:t>
        </w:r>
        <w:r w:rsidRPr="008725BE">
          <w:rPr>
            <w:rStyle w:val="innerfusslink3"/>
            <w:rFonts w:ascii="Garamond" w:hAnsi="Garamond" w:cs="Arial"/>
            <w:b/>
            <w:bCs/>
            <w:lang w:val="en-GB"/>
          </w:rPr>
          <w:t>, S. 32 ff.</w:t>
        </w:r>
      </w:hyperlink>
      <w:r w:rsidRPr="008725BE">
        <w:rPr>
          <w:rFonts w:ascii="Garamond" w:hAnsi="Garamond"/>
          <w:color w:val="000000"/>
          <w:lang w:val="en-GB"/>
        </w:rPr>
        <w:t xml:space="preserve"> nicht über ein bestimmtes, eng begrenztes Maß hinausbringen, muß ihre Mitglieder zur Verhüllung der Wahrheit, zur Schönfärberei, zum Selbstbetruge wie zum Betrügen anderer anleiten. Noch schädlicher wirkt die kulturelle Sexualmoral, indem sie durch die Verherrlichung der Monogamie den Faktor der </w:t>
      </w:r>
      <w:r w:rsidRPr="008725BE">
        <w:rPr>
          <w:rFonts w:ascii="Garamond" w:hAnsi="Garamond"/>
          <w:i/>
          <w:iCs/>
          <w:color w:val="000000"/>
          <w:lang w:val="en-GB"/>
        </w:rPr>
        <w:t>virilen Auslese</w:t>
      </w:r>
      <w:r w:rsidRPr="008725BE">
        <w:rPr>
          <w:rFonts w:ascii="Garamond" w:hAnsi="Garamond"/>
          <w:color w:val="000000"/>
          <w:lang w:val="en-GB"/>
        </w:rPr>
        <w:t xml:space="preserve"> lahmlegt, durch dessen Einfluß allein eine Verbesserung der Konstitution zu gewinnen sei, da die </w:t>
      </w:r>
      <w:r w:rsidRPr="008725BE">
        <w:rPr>
          <w:rFonts w:ascii="Garamond" w:hAnsi="Garamond"/>
          <w:i/>
          <w:iCs/>
          <w:color w:val="000000"/>
          <w:lang w:val="en-GB"/>
        </w:rPr>
        <w:t>vitale Auslese</w:t>
      </w:r>
      <w:r w:rsidRPr="008725BE">
        <w:rPr>
          <w:rFonts w:ascii="Garamond" w:hAnsi="Garamond"/>
          <w:color w:val="000000"/>
          <w:lang w:val="en-GB"/>
        </w:rPr>
        <w:t xml:space="preserve"> bei den Kulturvölkern durch Humanität und Hygiene auf ein Minimum herabgedrückt werde </w:t>
      </w:r>
      <w:hyperlink r:id="rId77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Ibid., S. 35.</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Unter den der kulturellen Sexualmoral zur Last gelegten Schädigungen vermißt nun der Arzt die eine, deren Bedeutung hier ausführlich erörtert werden soll. Ich meine die auf sie zurückzuführende Förderung der modernen, das heißt in unserer gegenwärtigen Gesellschaft sich rasch ausbreitenden Nervosität. Gelegentlich macht ein nervös Kranker selbst den Arzt auf den in der Verursachung des Leidens zu beachtenden Gegensatz von Konstitution und Kulturanforderung aufmerksam, indem er äußert: »Wir in unserer Familie sind alle nervös geworden, weil wir etwas Besseres sein wollten, als wir nach unserer Herkunft sein können.« Auch wird der Arzt häufig genug durch die Beobachtung nachdenklich gemacht, daß gerade die Nachkommen solcher Väter der Nervosität verfallen, die, aus einfachen und gesunden ländlichen Verhältnissen stammend, Abkömmlinge roher aber kräftiger Familien, als Eroberer in die Großstadt kommen und ihre Kinder in einem kurzen Zeitraum auf ein kulturell hohes Niveau sich erheben lassen. Vor allem aber haben die Nervenärzte selbst laut den Zusammenhang der »wachsenden Nervosität« mit dem modernen Kulturleben proklamiert. Worin sie die Begründung dieser Abhängigkeit suchen, soll durch einige Auszüge aus Äußerungen hervorragender Beobachter dargetan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 Erb (1893): »Die ursprünglich gestellte Frage lautet nun dahin, ob die Ihnen vorgeführten Ursachen der Nervosität in unserem modernen Dasein in so gesteigertem Maße gegeben sind, daß sie eine erhebliche Zunahme derselben erklärlich machen –; und diese Frage darf wohl unbedenklich bejaht werden, wie ein flüchtiger Blick auf unser modernes Leben und seine Gestaltung zeigen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»Schon aus einer Reihe allgemeiner Tatsachen geht dies deutlich hervor: die außerordentlichen Errungenschaften der Neuzeit, die Entdeckungen und Erfindungen auf allen Gebieten, die Erhaltung des Fortschrittes gegenüber der wachsenden Konkurrenz sind nur erworben worden durch große geistige Arbeit und können nur mit solcher erhalten werden. Die Ansprüche an die Leistungsfähigkeit des Einzelnen im Kampfe ums Dasein sind erheblich gestiegen, und nur mit Aufbietung all seiner geistigen Kräfte kann er sie befriedigen; zugleich sind die Bedürfnisse des Einzelnen, die Ansprüche an Lebensgenuß in allen Kreisen gewachsen, ein unerhörter Luxus hat sich auf Bevölkerungsschichten ausgebreitet, die früher davon ganz unberührt waren; die Religionslosigkeit, die Unzufriedenheit und Begehrlichkeit haben in weiten Volkskreisen zugenommen; durch den ins Ungemessene gesteigerten Verkehr, durch die weltumspannenden Drahtnetze des Telegraphen und Telephons haben sich die Verhältnisse in Handel und Wandel total verändert: alles geht in Hast und Aufregung vor sich, die Nacht </w:t>
      </w:r>
      <w:r w:rsidRPr="008725BE">
        <w:rPr>
          <w:rFonts w:ascii="Garamond" w:hAnsi="Garamond"/>
          <w:color w:val="000000"/>
          <w:lang w:val="en-GB"/>
        </w:rPr>
        <w:lastRenderedPageBreak/>
        <w:t>wird zum Reisen, der Tag für die Geschäfte benützt, selbst die »Erholungsreisen« werden zu Strapazen für das Nervensystem; große politische, industrielle, finanzielle Krisen tragen ihre Aufregung in viel weitere Bevölkerungskreise als früher; ganz allgemein ist die Anteilnahme am politischen Leben geworden: politische, religiöse, soziale Kämpfe, das Parteitreiben, die Wahlagitationen, das ins Maßlose gesteigerte Vereinswesen erhitzen die Köpfe und zwingen die Geister zu immer neuen Anstrengungen und rauben die Zeit zur Erholung, Schlaf und Ruhe; das Leben in den großen Städten ist immer raffinierter und unruhiger geworden. Die erschlafften Nerven suchen ihre Erholung in gesteigerten Reizen, in stark gewürzten Genüssen, um dadurch noch mehr zu ermüden; die moderne Literatur beschäftigt sich vorwiegend mit den bedenklichsten Problemen, die alle Leidenschaften aufwühlen, die Sinnlichkeit und Genußsucht, die Verachtung aller ethischen Grundsätze und aller Ideale fördern; sie bringt pathologische Gestalten, psychopathisch-sexuelle, revolutionäre und andere Probleme vor den Geist des Lesers; unser Ohr wird von einer in großen Dosen verabreichten, aufdringlichen und lärmenden Musik erregt und überreizt, die Theater nehmen alle Sinne mit ihren aufregenden Darstellungen gefangen; auch die bildenden Künste wenden sich mit Vorliebe dem Abstoßenden, Häßlichen und Aufregenden zu und scheuen sich nicht, auch das Gräßlichste, was die Wirklichkeit bietet, in abstoßender Realität vor unser Auge zu stellen.«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 zeigt dies allgemeine Bild schon eine Reihe von Gefahren in unserer modernen Kulturentwicklung; es mag im einzelnen noch durch einige Züge vervollständigt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Binswanger (1896): »Man hat speziell die Neurasthenie als eine durchaus moderne Krankheit bezeichnet, und Beard, dem wir zuerst eine übersichtliche Darstellung derselben verdanken, glaubte, daß er eine neue, speziell auf amerikanischem Boden erwachsene Nervenkrankheit entdeckt habe. Diese Annahme war natürlich eine irrige; wohl aber kennzeichnet die Tatsache, daß zuerst ein </w:t>
      </w:r>
      <w:r w:rsidRPr="008725BE">
        <w:rPr>
          <w:rFonts w:ascii="Garamond" w:hAnsi="Garamond"/>
          <w:i/>
          <w:iCs/>
          <w:color w:val="000000"/>
          <w:lang w:val="en-GB"/>
        </w:rPr>
        <w:t>amerikanischer</w:t>
      </w:r>
      <w:r w:rsidRPr="008725BE">
        <w:rPr>
          <w:rFonts w:ascii="Garamond" w:hAnsi="Garamond"/>
          <w:color w:val="000000"/>
          <w:lang w:val="en-GB"/>
        </w:rPr>
        <w:t xml:space="preserve"> Arzt die eigenartigen Züge dieser Krankheit auf Grund einer reichen Erfahrung erfassen und festhalten konnte, die nahen Beziehungen, welche das moderne Leben, das ungezügelte Hasten und Jagen nach Geld und Besitz, die ungeheuren Fortschritte auf technischem Gebiete, welche alle zeitlichen und räumlichen Hindernisse des Verkehrslebens illusorisch gemacht haben, zu dieser Krankheit aufweisen.«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 Krafft-Ebing (1895, 11): »Die Lebensweise unzähliger Kulturmenschen weist heutzutage eine Fülle von antihygienischen Momenten auf, die es ohne weiteres begreifen lassen, daß die Nervosität in fataler Weise um sich greift, denn diese schädlichen Momente wirken zunächst und zumeist aufs Gehirn. In den politischen und sozialen, speziell den merkantilen, industriellen, agrarischen Verhältnissen der Kulturnationen haben sich eben im Laufe der letzten Jahrzehnte Änderungen vollzogen, die Beruf, bürgerliche Stellung, Besitz gewaltig umgeändert haben, und zwar auf Kosten des Nervensystems, das gesteigerten sozialen und wirtschaftlichen Anforderungen durch vermehrte Verausgabung an Spannkraft bei vielfach ungenügender Erholung gerecht werden muß.«</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habe an diesen –; und vielen anderen ähnlich klingenden –; Lehren auszusetzen, nicht daß sie irrtümlich sind, sondern daß sie sich unzulänglich erweisen, die Einzelheiten in der Erscheinung der nervösen Störungen aufzuklären, und daß sie gerade das bedeutsamste der ätiologisch wirksamen Momente außer acht lassen. Sieht man von den unbestimmteren Arten, »nervös« zu sein, ab und faßt die eigentlichen Formen des nervösen Krankseins ins Auge, so reduziert sich der schädigende Einfluß der Kultur im wesentlichen auf die schädliche Unterdrückung des Sexuallebens der Kulturvölker (oder Schichten) durch die bei ihnen herrschende »kulturelle« Sexualmoral.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Den Beweis für diese Behauptung habe ich in einer Reihe fachmännischer Arbeiten zu erbringen gesucht </w:t>
      </w:r>
      <w:hyperlink r:id="rId77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Sammlung kleiner Schriften zur Neurosenlehre</w:t>
        </w:r>
        <w:r w:rsidRPr="008725BE">
          <w:rPr>
            <w:rStyle w:val="innerfusslink3"/>
            <w:rFonts w:ascii="Garamond" w:hAnsi="Garamond" w:cs="Arial"/>
            <w:b/>
            <w:bCs/>
            <w:lang w:val="en-GB"/>
          </w:rPr>
          <w:t>. Wien 1906. (4. Aufl., 1922.)</w:t>
        </w:r>
      </w:hyperlink>
      <w:r w:rsidRPr="008725BE">
        <w:rPr>
          <w:rFonts w:ascii="Garamond" w:hAnsi="Garamond"/>
          <w:color w:val="000000"/>
          <w:lang w:val="en-GB"/>
        </w:rPr>
        <w:t>; er kann hier nicht wiederholt werden, doch will ich die wichtigsten Argumente aus meinen Untersuchungen auch an dieser Stelle anführen.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Geschärfte klinische Beobachtung gibt uns das Recht, von den nervösen Krankheitszuständen zwei Gruppen zu unterscheiden, die eigentlichen </w:t>
      </w:r>
      <w:r w:rsidRPr="008725BE">
        <w:rPr>
          <w:rFonts w:ascii="Garamond" w:hAnsi="Garamond"/>
          <w:i/>
          <w:iCs/>
          <w:color w:val="000000"/>
          <w:lang w:val="en-GB"/>
        </w:rPr>
        <w:t>Neurosen</w:t>
      </w:r>
      <w:r w:rsidRPr="008725BE">
        <w:rPr>
          <w:rFonts w:ascii="Garamond" w:hAnsi="Garamond"/>
          <w:color w:val="000000"/>
          <w:lang w:val="en-GB"/>
        </w:rPr>
        <w:t xml:space="preserve"> und die </w:t>
      </w:r>
      <w:r w:rsidRPr="008725BE">
        <w:rPr>
          <w:rFonts w:ascii="Garamond" w:hAnsi="Garamond"/>
          <w:i/>
          <w:iCs/>
          <w:color w:val="000000"/>
          <w:lang w:val="en-GB"/>
        </w:rPr>
        <w:t>Psychoneurosen</w:t>
      </w:r>
      <w:r w:rsidRPr="008725BE">
        <w:rPr>
          <w:rFonts w:ascii="Garamond" w:hAnsi="Garamond"/>
          <w:color w:val="000000"/>
          <w:lang w:val="en-GB"/>
        </w:rPr>
        <w:t xml:space="preserve">. Bei den ersteren scheinen die Störungen (Symptome), mögen sie sich in den körperlichen oder in den seelischen Leistungen äußern, </w:t>
      </w:r>
      <w:r w:rsidRPr="008725BE">
        <w:rPr>
          <w:rFonts w:ascii="Garamond" w:hAnsi="Garamond"/>
          <w:i/>
          <w:iCs/>
          <w:color w:val="000000"/>
          <w:lang w:val="en-GB"/>
        </w:rPr>
        <w:t>toxischer</w:t>
      </w:r>
      <w:r w:rsidRPr="008725BE">
        <w:rPr>
          <w:rFonts w:ascii="Garamond" w:hAnsi="Garamond"/>
          <w:color w:val="000000"/>
          <w:lang w:val="en-GB"/>
        </w:rPr>
        <w:t xml:space="preserve"> Natur zu sein: sie verhalten sich ganz ähnlich wie die Erscheinungen bei übergroßer Zufuhr oder bei Entbehrung gewisser Nervengifte. Diese Neurosen –; meist als Neurasthenie zusammengefaßt –; können nun, ohne daß die Mithilfe einer erblichen Belastung erforderlich wäre, durch gewisse schädliche Einflüsse des Sexuallebens erzeugt werden, und zwar korrespondiert die Form der Erkrankung mit der Art dieser Schädlichkeiten, so daß man oft genug das klinische Bild ohne weiteres zum Rückschluß auf die besondere sexuelle Ätiologie verwenden kann. Eine solche regelmäßige Entsprechung wird aber zwischen der Form der nervösen Erkrankung und den anderen schädigenden Kultureinflüssen, welche die Autoren </w:t>
      </w:r>
      <w:r w:rsidRPr="008725BE">
        <w:rPr>
          <w:rFonts w:ascii="Garamond" w:hAnsi="Garamond"/>
          <w:color w:val="000000"/>
          <w:lang w:val="en-GB"/>
        </w:rPr>
        <w:lastRenderedPageBreak/>
        <w:t>als krankmachend anklagen, durchaus vermißt. Man darf also den sexuellen Faktor für den wesentlichen in der Verursachung der eigentlichen Neurosen erklären.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den Psychoneurosen ist der hereditäre Einfluß bedeutsamer, die Verursachung minder durchsichtig. Ein eigentümliches Untersuchungsverfahren, das als Psychoanalyse bekannt ist, hat aber gestattet zu erkennen, daß die Symptome dieser Leiden (der Hysterie, Zwangsneurose usw.) </w:t>
      </w:r>
      <w:r w:rsidRPr="008725BE">
        <w:rPr>
          <w:rFonts w:ascii="Garamond" w:hAnsi="Garamond"/>
          <w:i/>
          <w:iCs/>
          <w:color w:val="000000"/>
          <w:lang w:val="en-GB"/>
        </w:rPr>
        <w:t>psychogen</w:t>
      </w:r>
      <w:r w:rsidRPr="008725BE">
        <w:rPr>
          <w:rFonts w:ascii="Garamond" w:hAnsi="Garamond"/>
          <w:color w:val="000000"/>
          <w:lang w:val="en-GB"/>
        </w:rPr>
        <w:t xml:space="preserve"> sind, von der Wirksamkeit unbewußter (verdrängter) Vorstellungskomplexe abhängen. Dieselbe Methode hat uns aber auch diese unbewußten Komplexe kennen gelehrt und uns gezeigt, daß sie, ganz allgemein gesprochen, sexuellen Inhalt haben; sie entspringen den Sexualbedürfnissen unbefriedigter Menschen und stellen für sie eine Art von Ersatzbefriedigung dar. Somit müssen wir in allen Momenten, welche das Sexualleben schädigen, seine Betätigung unterdrücken, seine Ziele verschieben, pathogene Faktoren auch der Psychoneurosen erblicken.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Wert der theoretischen Unterscheidung zwischen den toxischen und den psychogenen Neurosen wird natürlich durch die Tatsache nicht beeinträchtigt, daß an den meisten nervösen Personen Störungen von beiderlei Herkunft zu beobachten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Wer nun mit mir bereit ist, die Ätiologie der Nervosität vor allem in schädigenden Einwirkungen auf das Sexualleben zu suchen, der wird auch den nachstehenden Erörterungen folgen wollen, welche das Thema der wachsenden Nervosität in einen allgemeineren Zusammenhang einzufügen bestimmt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Unsere Kultur ist ganz allgemein auf der Unterdrückung von Trieben aufgebaut. Jeder Einzelne hat ein Stück seines Besitzes, seiner Machtvollkommenheit, der aggressiven und vindikativen Neigungen seiner Persönlichkeit abgetreten; aus diesen Beiträgen ist der gemeinsame Kulturbesitz an materiellen und ideellen Gütern entstanden. Außer der Lebensnot sind es wohl die aus der Erotik abgeleiteten Familiengefühle, welche die einzelnen Individuen zu diesem Verzichte bewogen haben. Der Verzicht ist ein im Laufe der Kulturentwicklung progressiver gewesen; die einzelnen Fortschritte desselben wurden von der Religion sanktioniert; das Stück Triebbefriedigung, auf das man verzichtet hatte, wurde der Gottheit zum Opfer gebracht; das so erworbene Gemeingut für »heilig« erklärt. Wer kraft seiner unbeugsamen Konstitution diese Triebunterdrückung nicht mitmachen kann, steht der Gesellschaft als »Verbrecher«, als » </w:t>
      </w:r>
      <w:r w:rsidRPr="008725BE">
        <w:rPr>
          <w:rFonts w:ascii="Garamond" w:hAnsi="Garamond"/>
          <w:i/>
          <w:iCs/>
          <w:color w:val="000000"/>
          <w:lang w:val="en-GB"/>
        </w:rPr>
        <w:t>outlaw</w:t>
      </w:r>
      <w:r w:rsidRPr="008725BE">
        <w:rPr>
          <w:rFonts w:ascii="Garamond" w:hAnsi="Garamond"/>
          <w:color w:val="000000"/>
          <w:lang w:val="en-GB"/>
        </w:rPr>
        <w:t>« gegenüber, insofern nicht seine soziale Position und seine hervorragenden Fähigkeiten ihm gestatten, sich in ihr als großer Mann, als »Held« durchzusetzen.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Sexualtrieb –; oder richtiger gesagt: die Sexualtriebe, denn eine analytische Untersuchung lehrt, daß der Sexualtrieb aus vielen Komponenten, Partialtrieben, zusammengesetzt ist –; ist beim Menschen wahrscheinlich stärker ausgebildet als bei den meisten höheren Tieren und jedenfalls stetiger, da er die Periodizität fast völlig überwunden hat, an die er sich bei den Tieren gebunden zeigt. Er stellt der Kulturarbeit außerordentlich große Kraftmengen zur Verfügung, und dies zwar infolge der bei ihm besonders ausgeprägten Eigentümlichkeit, sein Ziel verschieben zu können, ohne wesentlich an Intensität abzunehmen. Man nennt diese Fähigkeit, das ursprünglich sexuelle Ziel gegen ein anderes, nicht mehr sexuelles, aber psychisch mit ihm verwandtes, zu vertauschen, die Fähigkeit zur </w:t>
      </w:r>
      <w:r w:rsidRPr="008725BE">
        <w:rPr>
          <w:rFonts w:ascii="Garamond" w:hAnsi="Garamond"/>
          <w:i/>
          <w:iCs/>
          <w:color w:val="000000"/>
          <w:lang w:val="en-GB"/>
        </w:rPr>
        <w:t>Sublimierung</w:t>
      </w:r>
      <w:r w:rsidRPr="008725BE">
        <w:rPr>
          <w:rFonts w:ascii="Garamond" w:hAnsi="Garamond"/>
          <w:color w:val="000000"/>
          <w:lang w:val="en-GB"/>
        </w:rPr>
        <w:t>. Im Gegensatze zu dieser Verschiebbarkeit, in welcher sein kultureller Wert besteht, kommt beim Sexualtrieb auch besonders hartnäckige Fixierung vor, durch die er unverwertbar wird und gelegentlich zu den sogenannten Abnormitäten entartet. Die ursprüngliche Stärke des Sexualtriebes ist wahrscheinlich bei den einzelnen Individuen verschieden groß; sicherlich schwankend ist der von ihm zur Sublimierung geeignete Betrag. Wir stellen uns vor, daß es zunächst durch die mitgebrachte Organisation entschieden ist, ein wie großer Anteil des Sexualtriebes sich beim Einzelnen als sublimierbar und verwertbar erweisen wird; außerdem gelingt es den Einflüssen des Lebens und der intellektuellen Beeinflussung des seelischen Apparates, einen weiteren Anteil zur Sublimierung zu bringen. Ins Unbegrenzte fortzusetzen ist dieser Verschiebungsprozeß aber sicherlich nicht, so wenig wie die Umsetzung der Wärme in mechanische Arbeit bei unseren Maschinen. Ein gewisses Maß direkter sexueller Befriedigung scheint für die allermeisten Organisationen unerläßlich, und die Versagung dieses individuell variablen Maßes straft sich durch Erscheinungen, die wir infolge ihrer Funktionsschädlichkeit und ihres subjektiven Unlustcharakters zum Kranksein rechnen müssen.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Weitere Ausblicke eröffnen sich, wenn wir die Tatsache in Betracht ziehen, daß der Sexualtrieb des Menschen ursprünglich gar nicht den Zwecken der Fortpflanzung dient, sondern bestimmte Arten der Lustgewinnung zum Ziele hat </w:t>
      </w:r>
      <w:hyperlink r:id="rId77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Drei Abhandlungen zur Sexualtheorie</w:t>
        </w:r>
        <w:r w:rsidRPr="008725BE">
          <w:rPr>
            <w:rStyle w:val="innerfusslink3"/>
            <w:rFonts w:ascii="Garamond" w:hAnsi="Garamond" w:cs="Arial"/>
            <w:b/>
            <w:bCs/>
            <w:lang w:val="en-GB"/>
          </w:rPr>
          <w:t xml:space="preserve"> (1905 </w:t>
        </w:r>
        <w:r w:rsidRPr="008725BE">
          <w:rPr>
            <w:rStyle w:val="innerfusslink3"/>
            <w:rFonts w:ascii="Garamond" w:hAnsi="Garamond" w:cs="Arial"/>
            <w:b/>
            <w:bCs/>
            <w:i/>
            <w:iCs/>
            <w:lang w:val="en-GB"/>
          </w:rPr>
          <w:t>d</w:t>
        </w:r>
        <w:r w:rsidRPr="008725BE">
          <w:rPr>
            <w:rStyle w:val="innerfusslink3"/>
            <w:rFonts w:ascii="Garamond" w:hAnsi="Garamond" w:cs="Arial"/>
            <w:b/>
            <w:bCs/>
            <w:lang w:val="en-GB"/>
          </w:rPr>
          <w:t>).</w:t>
        </w:r>
      </w:hyperlink>
      <w:r w:rsidRPr="008725BE">
        <w:rPr>
          <w:rFonts w:ascii="Garamond" w:hAnsi="Garamond"/>
          <w:color w:val="000000"/>
          <w:lang w:val="en-GB"/>
        </w:rPr>
        <w:t xml:space="preserve">. Er äußert sich so in der Kindheit des Menschen, wo er sein Ziel der Lustgewinnung nicht nur an den Genitalien, sondern auch an anderen Körperstellen (erogenen Zonen) erreicht und darum von anderen als diesen bequemen Objekten absehen darf. Wir heißen dieses Stadium das des </w:t>
      </w:r>
      <w:r w:rsidRPr="008725BE">
        <w:rPr>
          <w:rFonts w:ascii="Garamond" w:hAnsi="Garamond"/>
          <w:i/>
          <w:iCs/>
          <w:color w:val="000000"/>
          <w:lang w:val="en-GB"/>
        </w:rPr>
        <w:t>Autoerotismus</w:t>
      </w:r>
      <w:r w:rsidRPr="008725BE">
        <w:rPr>
          <w:rFonts w:ascii="Garamond" w:hAnsi="Garamond"/>
          <w:color w:val="000000"/>
          <w:lang w:val="en-GB"/>
        </w:rPr>
        <w:t xml:space="preserve"> und weisen der Erziehung die Aufgabe, es einzuschränken, zu, weil das Verweilen bei demselben den Sexualtrieb für </w:t>
      </w:r>
      <w:r w:rsidRPr="008725BE">
        <w:rPr>
          <w:rFonts w:ascii="Garamond" w:hAnsi="Garamond"/>
          <w:color w:val="000000"/>
          <w:lang w:val="en-GB"/>
        </w:rPr>
        <w:lastRenderedPageBreak/>
        <w:t xml:space="preserve">später unbeherrschbar und unverwertbar machen würde. Die Entwicklung des Sexualtriebes geht dann vom Autoerotismus zur Objektliebe und von der Autonomie der erogenen Zonen zur Unterordnung derselben unter das Primat der in den Dienst der Fortpflanzung gestellten Genitalien. Während dieser Entwicklung wird ein Anteil der vom eigenen Körper gelieferten Sexualerregung als unbrauchbar für die Fortpflanzungsfunktion gehemmt und im günstigen Falle der Sublimierung zugeführt. Die für die Kulturarbeit verwertbaren Kräfte werden so zum großen Teile durch die Unterdrückung der sogenannt </w:t>
      </w:r>
      <w:r w:rsidRPr="008725BE">
        <w:rPr>
          <w:rFonts w:ascii="Garamond" w:hAnsi="Garamond"/>
          <w:i/>
          <w:iCs/>
          <w:color w:val="000000"/>
          <w:lang w:val="en-GB"/>
        </w:rPr>
        <w:t>perversen</w:t>
      </w:r>
      <w:r w:rsidRPr="008725BE">
        <w:rPr>
          <w:rFonts w:ascii="Garamond" w:hAnsi="Garamond"/>
          <w:color w:val="000000"/>
          <w:lang w:val="en-GB"/>
        </w:rPr>
        <w:t xml:space="preserve"> Anteile der Sexualerregung gewonnen.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Mit Bezug auf diese Entwicklungsgeschichte des Sexualtriebes könnte man also drei Kulturstufen unterscheiden: eine erste, auf welcher die Betätigung des Sexualtriebes auch über die Ziele der Fortpflanzung hinaus frei ist; eine zweite, auf welcher alles am Sexualtrieb unterdrückt ist bis auf das, was der Fortpflanzung dient, und eine dritte, auf welcher nur die legitime Fortpflanzung als Sexualziel zugelassen wird. Dieser dritten Stufe entspricht unsere gegenwärtige »kulturelle« Sexualmoral.</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Nimmt man die zweite dieser Stufen zum Niveau, so muß man zunächst konstatieren, daß eine Anzahl von Personen aus Gründen der Organisation den Anforderungen derselben nicht genügt. Bei ganzen Reihen von Individuen hat sich die erwähnte Entwicklung des Sexualtriebes vom Autoerotismus zur Objektliebe mit dem Ziel der Vereinigung der Genitalien nicht korrekt und nicht genug durchgreifend vollzogen, und aus diesen Entwicklungsstörungen ergeben sich zweierlei schädliche Abweichungen von der normalen, das heißt kulturförderlichen Sexualität, die sich zueinander nahezu wie positiv und negativ verhalten. Es sind dies zunächst –; abgesehen von den Personen mit überstarkem und unhemmbarem Sexualtrieb überhaupt –; die verschiedenen Gattungen der </w:t>
      </w:r>
      <w:r w:rsidRPr="008725BE">
        <w:rPr>
          <w:rFonts w:ascii="Garamond" w:hAnsi="Garamond"/>
          <w:i/>
          <w:iCs/>
          <w:color w:val="000000"/>
          <w:lang w:val="en-GB"/>
        </w:rPr>
        <w:t>Perversen</w:t>
      </w:r>
      <w:r w:rsidRPr="008725BE">
        <w:rPr>
          <w:rFonts w:ascii="Garamond" w:hAnsi="Garamond"/>
          <w:color w:val="000000"/>
          <w:lang w:val="en-GB"/>
        </w:rPr>
        <w:t xml:space="preserve">, bei denen eine infantile Fixierung auf ein vorläufiges Sexualziel das Primat der Fortpflanzungsfunktion aufgehalten hat, und die </w:t>
      </w:r>
      <w:r w:rsidRPr="008725BE">
        <w:rPr>
          <w:rFonts w:ascii="Garamond" w:hAnsi="Garamond"/>
          <w:i/>
          <w:iCs/>
          <w:color w:val="000000"/>
          <w:lang w:val="en-GB"/>
        </w:rPr>
        <w:t>Homosexuellen</w:t>
      </w:r>
      <w:r w:rsidRPr="008725BE">
        <w:rPr>
          <w:rFonts w:ascii="Garamond" w:hAnsi="Garamond"/>
          <w:color w:val="000000"/>
          <w:lang w:val="en-GB"/>
        </w:rPr>
        <w:t xml:space="preserve"> oder </w:t>
      </w:r>
      <w:r w:rsidRPr="008725BE">
        <w:rPr>
          <w:rFonts w:ascii="Garamond" w:hAnsi="Garamond"/>
          <w:i/>
          <w:iCs/>
          <w:color w:val="000000"/>
          <w:lang w:val="en-GB"/>
        </w:rPr>
        <w:t>Invertierten</w:t>
      </w:r>
      <w:r w:rsidRPr="008725BE">
        <w:rPr>
          <w:rFonts w:ascii="Garamond" w:hAnsi="Garamond"/>
          <w:color w:val="000000"/>
          <w:lang w:val="en-GB"/>
        </w:rPr>
        <w:t xml:space="preserve">, bei denen auf noch nicht ganz aufgeklärte Weise das Sexualziel vom entgegengesetzten Geschlecht abgelenkt worden ist. Wenn die Schädlichkeit dieser beiden Arten von Entwicklungsstörung geringer ausfällt, als man hätte erwarten können, so ist diese Erleichterung gerade auf die komplexe Zusammensetzung des Sexualtriebes zurückzuführen, welche auch dann noch eine brauchbare Endgestaltung des Sexuallebens ermöglicht, wenn ein oder mehrere Komponenten des Triebes sich von der Entwicklung ausgeschlossen haben. </w:t>
      </w:r>
      <w:r w:rsidRPr="008725BE">
        <w:rPr>
          <w:rFonts w:ascii="Garamond" w:hAnsi="Garamond"/>
          <w:color w:val="000000"/>
        </w:rPr>
        <w:t>Die Konstitution der von der Inversion Betroffenen, der Homosexuellen, zeichnet sich sogar häufig durch eine besondere Eignung des Sexualtriebes zur kulturellen Sublimierung aus.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Stärkere und zumal exklusive Ausbildungen der Perversionen und der Homosexualität machen allerdings deren Träger sozial unbrauchbar und unglücklich, so daß selbst die Kulturanforderungen der zweiten Stufe als eine Quelle des Leidens für einen gewissen Anteil der Menschheit anerkannt werden müssen. Das Schicksal dieser konstitutiv von den anderen abweichenden Personen ist ein mehrfaches, je nachdem sie einen absolut starken oder schwächeren Geschlechtstrieb mitbekommen haben. </w:t>
      </w:r>
      <w:r w:rsidRPr="008725BE">
        <w:rPr>
          <w:rFonts w:ascii="Garamond" w:hAnsi="Garamond"/>
          <w:color w:val="000000"/>
          <w:lang w:val="en-GB"/>
        </w:rPr>
        <w:t>Im letzteren Falle, bei allgemein schwachem Sexualtrieb, gelingt den Perversen die völlige Unterdrückung jener Neigungen, welche sie in Konflikt mit der Moralforderung ihrer Kulturstufe bringen. Aber dies bleibt auch, ideell betrachtet, die einzige Leistung, die ihnen gelingt, denn für diese Unterdrückung ihrer sexuellen Triebe verbrauchen sie die Kräfte, die sie sonst an die Kulturarbeit wenden würden. Sie sind gleichsam in sich gehemmt und nach außen gelähmt. Es trifft für sie zu, was wir später von der Abstinenz der Männer und Frauen, die auf der dritten Kulturstufe gefordert wird, wiederholen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intensiverem, aber perversem Sexualtrieb sind zwei Fälle des Ausganges möglich. Der erste, weiter nicht zu betrachtende, ist der, daß die Betroffenen pervers bleiben und die Konsequenzen ihrer Abweichung vom Kulturniveau zu tragen haben. Der zweite Fall ist bei weitem interessanter –; er besteht darin, daß unter dem Einflusse der Erziehung und der sozialen Anforderungen allerdings eine Unterdrückung der perversen Triebe erreicht wird, aber eine Art von Unterdrückung, die eigentlich keine solche ist, die besser als ein Mißglücken der Unterdrückung bezeichnet werden kann. Die gehemmten Sexualtriebe äußern sich zwar dann nicht als solche: darin besteht der Erfolg –; aber sie äußern sich auf andere Weisen, die für das Individuum genau ebenso schädlich sind und es für die Gesellschaft ebenso unbrauchbar machen wie die unveränderte Befriedigung jener unterdrückten Triebe: darin liegt dann der Mißerfolg des Prozesses, der auf die Dauer den Erfolg mehr als bloß aufwiegt. Die Ersatzerscheinungen, die hier infolge der Triebunterdrückung auftreten, machen das aus, was wir als Nervosität, spezieller als Psychoneurosen (siehe eingangs) beschreiben. Die Neurotiker sind jene Klasse von Menschen, die es bei widerstrebender Organisation unter dem Einflusse der Kulturanforderungen zu einer nur scheinbaren und immer mehr mißglückenden Unterdrückung ihrer Triebe bringen und die darum ihre Mitarbeiterschaft an den Kulturwerken nur mit großem Kräfteaufwand, unter innerer Verarmung, aufrechterhalten oder zeitweise als Kranke aussetzen müssen. Die Neurosen aber habe ich als das »Negativ« der Perversionen </w:t>
      </w:r>
      <w:r w:rsidRPr="008725BE">
        <w:rPr>
          <w:rFonts w:ascii="Garamond" w:hAnsi="Garamond"/>
          <w:color w:val="000000"/>
          <w:lang w:val="en-GB"/>
        </w:rPr>
        <w:lastRenderedPageBreak/>
        <w:t>bezeichnet, weil sich bei ihnen die perversen Regungen nach der Verdrängung aus dem Unbewußten des Seelischen äußern, weil sie dieselben Neigungen wie die positiv Perversen im »verdrängten« Zustand enthalten.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Erfahrung lehrt, daß es für die meisten Menschen eine Grenze gibt, über die hinaus ihre Konstitution der Kulturanforderung nicht folgen kann. Alle, die edler sein wollen, als ihre Konstitution es ihnen gestattet, verfallen der Neurose; sie hätten sich wohler befunden, wenn es ihnen möglich geblieben wäre, schlechter zu sein. Die Einsicht, daß Perversion und Neurose sich wie positiv und negativ zueinander verhalten, findet oft eine unzweideutige Bekräftigung durch Beobachtung innerhalb der nämlichen Generation. Recht häufig ist von Geschwistern der Bruder ein sexuell Perverser, die Schwester, die mit dem schwächeren Sexualtrieb als Weib ausgestattet ist, eine Neurotika, deren Symptome aber dieselben Neigungen ausdrücken wie die Perversionen des sexuell aktiveren Bruders, und dementsprechend sind überhaupt in vielen Familien die Männer gesund, aber in sozial unerwünschtem Maße unmoralisch, die Frauen edel und überverfeinert, aber –; schwer nervös. Es ist eine der offenkundigen sozialen Ungerechtigkeiten, wenn der kulturelle Standard von allen Personen die nämliche Führung des Sexuallebens fordert, die den einen dank ihrer Organisation mühelos gelingt, während sie den anderen die schwersten psychischen Opfer auferlegt, eine Ungerechtigkeit freilich, die zumeist durch Nichtbefolgung der Moralvorschriften vereitelt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haben unseren Betrachtungen bisher die Forderung der zweiten von uns supponierten Kulturstufe zugrunde gelegt, derzufolge jede sogenannte perverse Sexualbetätigung verpönt, der normal genannte Sexualverkehr hingegen freigelassen wird. Wir haben gefunden, daß auch bei dieser Verteilung von sexueller Freiheit und Einschränkung eine Anzahl von Individuen als pervers beiseite geschoben, eine andere, die sich bemühen, nicht pervers zu sein, während sie es konstitutiv sein sollten, in die Nervosität gedrängt wird. Es ist nun leicht, den Erfolg vorherzusagen, der sich einstellen wird, wenn man die Sexualfreiheit weiter einschränkt und die Kulturforderung auf das Niveau der dritten Stufe erhöht, also jede andere Sexualbetätigung als die in legitimer Ehe verpönt. Die Zahl der Starken, die sich in offenen Gegensatz zur Kulturforderung stellen, wird in außerordentlichem Maße vermehrt werden, und ebenso die Zahl der Schwächeren, die sich in ihrem Konflikte zwischen dem Drängen der kulturellen Einflüsse und dem Widerstände ihrer Konstitution in neurotisches Kranksein –; flüchten.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Setzen wir uns vor, drei hier entspringende Fragen zu beantworten: 1.) welche Aufgabe die Kulturforderung der dritten Stufe an den Einzelnen stellt, 2.) ob die zugelassene legitime Sexualbefriedigung eine annehmbare Entschädigung für den sonstigen Verzicht zu bieten vermag, 3.) in welchem Verhältnisse die etwaigen Schädigungen durch diesen Verzicht zu dessen kulturellen Ausnützungen stehen.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Beantwortung der ersten Frage rührt an ein oftmals behandeltes, hier nicht zu erschöpfendes Problem, das der sexuellen Abstinenz. Was unsere dritte Kulturstufe von dem Einzelnen fordert, ist die Abstinenz bis zur Ehe für beide Geschlechter, die lebenslange Abstinenz für alle solche, die keine legitime Ehe eingehen. Die allen Autoritäten genehme Behauptung, die sexuelle Abstinenz sei nicht schädlich und nicht gar schwer durchzuführen, ist vielfach auch von Ärzten vertreten worden. Man darf sagen, die Aufgabe der Bewältigung einer so mächtigen Regung wie des Sexualtriebes anders als auf dem Wege der Befriedigung ist eine, die alle Kräfte eines Menschen in Anspruch nehmen kann. Die Bewältigung durch Sublimierung, durch Ablenkung der sexuellen Triebkräfte vom sexuellen Ziele weg auf höhere kulturelle Ziele gelingt einer Minderzahl, und wohl auch dieser nur zeitweilig, am wenigsten leicht in der Lebenszeit feuriger Jugendkraft. Die meisten anderen werden neurotisch oder kommen sonst zu Schaden. Die Erfahrung zeigt, daß die Mehrzahl der unsere Gesellschaft zusammensetzenden Personen der Aufgabe der Abstinenz konstitutionell nicht gewachsen ist. Wer auch bei milderer Sexualeinschränkung erkrankt wäre, erkrankt unter den Anforderungen unserer heutigen kulturellen Sexualmoral um so eher und um so intensiver, denn gegen die Bedrohung des normalen Sexualstrebens durch fehlerhafte Anlagen und Entwicklungsstörungen kennen wir keine bessere Sicherung als die Sexualbefriedigung selbst. Je mehr jemand zur Neurose disponiert ist, desto schlechter verträgt er die Abstinenz; die Partialtriebe, die sich der normalen Entwicklung im oben niedergelegten Sinne entzogen haben, sind nämlich auch gleichzeitig um soviel unhemmbarer geworden. Aber auch diejenigen, welche bei den Anforderungen der zweiten Kulturstufe gesund geblieben wären, werden nun in großer Anzahl der Neurose zugeführt. Denn der psychische Wert der Sexualbefriedigung erhöht sich mit ihrer Versagung; die gestaute Libido wird nun in den Stand gesetzt, irgendeine der selten fehlenden schwächeren Stellen im Aufbau der </w:t>
      </w:r>
      <w:r w:rsidRPr="008725BE">
        <w:rPr>
          <w:rFonts w:ascii="Garamond" w:hAnsi="Garamond"/>
          <w:i/>
          <w:iCs/>
          <w:color w:val="000000"/>
          <w:lang w:val="en-GB"/>
        </w:rPr>
        <w:t>vita sexualis</w:t>
      </w:r>
      <w:r w:rsidRPr="008725BE">
        <w:rPr>
          <w:rFonts w:ascii="Garamond" w:hAnsi="Garamond"/>
          <w:color w:val="000000"/>
          <w:lang w:val="en-GB"/>
        </w:rPr>
        <w:t xml:space="preserve"> auszuspüren, um dort zur neurotischen Ersatzbefriedigung in Form krankhafter Symptome durchzubrechen. Wer in die Bedingtheit nervöser Erkrankung einzudringen versteht, verschafft sich bald </w:t>
      </w:r>
      <w:r w:rsidRPr="008725BE">
        <w:rPr>
          <w:rFonts w:ascii="Garamond" w:hAnsi="Garamond"/>
          <w:color w:val="000000"/>
          <w:lang w:val="en-GB"/>
        </w:rPr>
        <w:lastRenderedPageBreak/>
        <w:t>die Überzeugung, daß die Zunahme der nervösen Erkrankungen in unserer Gesellschaft von der Steigerung der sexuellen Einschränkung herrührt.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rücken dann der Frage näher, ob nicht der Sexualverkehr in legitimer Ehe eine volle Entschädigung für die Einschränkung vor der Ehe bieten kann. Das Material zur verneinenden Beantwortung dieser Frage drängt sich da so reichlich auf, daß uns die knappste Fassung zur Pflicht wird. Wir erinnern vor allem daran, daß unsere kulturelle Sexualmoral auch den sexuellen Verkehr in der Ehe selbst beschränkt, indem sie den Eheleuten den Zwang auferlegt, sich mit einer meist sehr geringen Anzahl von Kinderzeugungen zu begnügen. Infolge dieser Rücksicht gibt es befriedigenden Sexualverkehr in der Ehe nur durch einige Jahre, natürlich noch mit Abzug der zur Schonung der Frau aus hygienischen Gründen erforderten Zeiten. Nach diesen drei, vier oder fünf Jahren versagt die Ehe, insofern sie die Befriedigung der sexuellen Bedürfnisse versprochen hat; denn alle Mittel, die sich bisher zur Verhütung der Konzeption ergeben haben, verkümmern den sexuellen Genuß, stören die feinere Empfindlichkeit beider Teile oder wirken selbst direkt krankmachend; mit der Angst vor den Folgen des Geschlechtsverkehres schwindet zuerst die körperliche Zärtlichkeit der Ehegatten füreinander, in weiterer Folge meist auch die seelische Zuneigung, die bestimmt war, das Erbe der anfänglichen stürmischen Leidenschaft zu übernehmen. Unter der seelischen Enttäuschung und körperlichen Entbehrung, die so das Schicksal der meisten Ehen wird, finden sich beide Teile auf den früheren Zustand vor der Ehe zurückversetzt, nur um eine Illusion verarmt und von neuem auf ihre Festigkeit, den Sexualtrieb zu beherrschen und abzulenken, angewiesen. Es soll nicht untersucht werden, inwieweit diese Aufgabe nun dem Manne im reiferen Lebensalter gelingt; erfahrungsgemäß bedient er sich nun recht häufig des Stückes Sexualfreiheit, welches ihm auch von der strengsten Sexualordnung, wenngleich nur stillschweigend und widerwillig, eingeräumt wird; die für den Mann in unserer Gesellschaft geltende »doppelte« Sexualmoral ist das beste Eingeständnis, daß die Gesellschaft selbst, welche die Vorschriften erlassen hat, nicht an deren Durchführbarkeit glaubt. Die Erfahrung zeigt aber auch, daß die Frauen, denen als den eigentlichen Trägerinnen der Sexualinteressen des Menschen die Gabe der Sublimierung des Triebes nur in geringem Maße zugeteilt ist, denen als Ersatz des Sexualobjektes zwar der Säugling, aber nicht das heranwachsende Kind genügt, daß die Frauen, sage ich, unter den Enttäuschungen der Ehe an schweren und das Leben dauernd trübenden Neurosen erkranken. Die Ehe hat unter den heutigen kulturellen Bedingungen längst aufgehört, das Allheilmittel gegen die nervösen Leiden des Weibes zu sein; und wenn wir Ärzte auch noch immer in solchen Fällen zu ihr raten, so wissen wir doch, daß im Gegenteil ein Mädchen recht gesund sein muß, um die Ehe zu »vertragen«, und raten unseren männlichen Klienten dringend ab, ein bereits vor der Ehe nervöses Mädchen zur Frau zu nehmen. Das Heilmittel gegen die aus der Ehe entspringende Nervosität wäre vielmehr die eheliche Untreue; je strenger eine Frau erzogen ist, je ernsthafter sie sich der Kulturforderung unterworfen hat, desto mehr fürchtet sie aber diesen Ausweg, und im Konflikte zwischen ihren Begierden und ihrem Pflichtgefühl sucht sie ihre Zuflucht wiederum –; in der Neurose. Nichts anderes schützt ihre Tugend so sicher wie die Krankheit. Der eheliche Zustand, auf den der Sexualtrieb des Kulturmenschen während seiner Jugend vertröstet wurde, kann also die Anforderungen seiner eigenen Lebenszeit nicht decken; es ist keine Rede davon, daß er für den früheren Verzicht entschädigen könnte.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Auch wer diese Schädigungen durch die kulturelle Sexualmoral zugibt, kann zur Beantwortung unserer dritten Frage geltend machen, daß der kulturelle Gewinn aus der soweit getriebenen Sexualeinschränkung diese Leiden, die in schwerer Ausprägung doch nur eine Minderheit betreffen, wahrscheinlich mehr als bloß aufwiegt. Ich erkläre mich für unfähig, Gewinn und Verlust hier richtig gegeneinander abzuwägen, aber zur Einschätzung der Verlustseite könnte ich noch allerlei anführen. Auf das vorhin gestreifte Thema der Abstinenz zurückgreifend, muß ich behaupten, daß die Abstinenz noch andere Schädigungen bringt als die der Neurosen und daß diese Neurosen meist nicht nach ihrer vollen Bedeutung veranschlagt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Verzögerung der Sexualentwicklung und Sexualbetätigung, welche unsere Erziehung und Kultur anstrebt, ist zunächst gewiß unschädlich; sie wird zur Notwendigkeit, wenn man in Betracht zieht, in wie späten Jahren erst die jungen Leute gebildeter Stände zu selbständiger Geltung und zum Erwerb zugelassen werden. Man wird hier übrigens an den intimen Zusammenhang aller unserer kulturellen Institutionen und an die Schwierigkeit gemahnt, ein Stück derselben ohne Rücksicht auf das Ganze abzuändern. Die Abstinenz weit über das zwanzigste Jahr hinaus ist aber für den jungen Mann nicht mehr unbedenklich und führt zu anderen Schädigungen, auch wo sie nicht zur Nervosität führt. Man sagt zwar, der Kampf mit dem mächtigen Triebe und die dabei erforderliche Betonung aller ethischen und ästhetischen Mächte im Seelenleben »stähle« den Charakter, und dies ist für einige besonders günstig organisierte Naturen richtig; zuzugeben ist auch, daß die in unserer Zeit so ausgeprägte Differenzierung </w:t>
      </w:r>
      <w:r w:rsidRPr="008725BE">
        <w:rPr>
          <w:rFonts w:ascii="Garamond" w:hAnsi="Garamond"/>
          <w:color w:val="000000"/>
          <w:lang w:val="en-GB"/>
        </w:rPr>
        <w:lastRenderedPageBreak/>
        <w:t>der individuellen Charaktere erst mit der Sexualeinschränkung möglich geworden ist. Aber in der weitaus größeren Mehrheit der Fälle zehrt der Kampf gegen die Sinnlichkeit die verfügbare Energie des Charakters auf und dies gerade zu einer Zeit, in welcher der junge Mann all seiner Kräfte bedarf, um sich seinen Anteil und Platz in der Gesellschaft zu erobern. Das Verhältnis zwischen möglicher Sublimierung und notwendiger sexueller Betätigung schwankt natürlich sehr für die einzelnen Individuen und sogar für die verschiedenen Berufsarten. Ein abstinenter Künstler ist kaum recht möglich, ein abstinenter junger Gelehrter gewiß keine Seltenheit. Der letztere kann durch Enthaltsamkeit freie Kräfte für sein Studium gewinnen, beim ersteren wird wahrscheinlich seine künstlerische Leistung durch sein sexuelles Erleben mächtig angeregt werden. Im allgemeinen habe ich nicht den Eindruck gewonnen, daß die sexuelle Abstinenz energische, selbständige Männer der Tat oder originelle Denker, kühne Befreier und Reformer heranbilden helfe, weit häufiger brave Schwächlinge, welche später in die große Masse eintauchen, die den von starken Individuen gegebenen Impulsen widerstrebend zu folgen pflegt.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Daß der Sexualtrieb im ganzen sich eigenwillig und ungefügig benimmt, kommt auch in den Ergebnissen der Abstinenzbemühung zum Ausdruck. Die Kulturerziehung strebe etwa nur seine zeitweilige Unterdrückung bis zur Eheschließung an und beabsichtige ihn dann freizulassen, um sich seiner zu bedienen. Aber gegen den Trieb gelingen die extremen Beeinflussungen leichter noch als die Mäßigungen; die Unterdrückung ist sehr oft zu weit gegangen und hat das unerwünschte Resultat ergeben, daß der Sexualtrieb nach seiner Freilassung dauernd geschädigt erscheint. Darum ist oft volle Abstinenz während der Jugendzeit nicht die beste Vorbereitung für die Ehe beim jungen Manne. Die Frauen ahnen dies und ziehen unter ihren Bewerbern diejenigen vor, die sich schon bei anderen Frauen als Männer bewährt haben. Ganz besonders greifbar sind die Schädigungen, welche durch die strenge Forderung der Abstinenz bis zur Ehe am Wesen der Frau hervorgerufen werden. Die Erziehung nimmt die Aufgabe, die Sinnlichkeit des Mädchens bis zu seiner Verehelichung zu unterdrücken, offenbar nicht leicht, denn sie arbeitet mit den schärfsten Mitteln. Sie untersagt nicht nur den sexuellen Verkehr, setzt hohe Prämien auf die Erhaltung der weiblichen Unschuld, sondern sie entzieht das reifende weibliche Individuum auch der Versuchung, indem sie es in Unwissenheit über alles Tatsächliche der ihm bestimmten Rolle erhält und keine Liebesregung, die nicht zur Ehe führen kann, bei ihm duldet. Der Erfolg ist, daß die Mädchen, wenn ihnen das Verlieben plötzlich von den elterlichen Autoritäten gestattet wird, die psychische Leistung nicht zustande bringen und ihrer eigenen Gefühle unsicher in die Ehe gehen. Infolge der künstlichen Verzögerung der Liebesfunktion bereiten sie dem Manne, der all sein Begehren für sie aufgespart hat, nur Enttäuschungen; mit ihren seelischen Gefühlen hängen sie noch den Eltern an, deren Autorität die Sexualunterdrückung bei ihnen geschaffen hat, und im körperlichen Verhalten zeigen sie sich frigid, was jeden höherwertigen Sexualgenuß beim Manne verhindert. Ich weiß nicht, ob der Typus der anästhetischen Frau auch außerhalb der Kulturerziehung vorkommt, halte es aber für wahrscheinlich. Jedenfalls wird er durch die Erziehung geradezu gezüchtet, und diese Frauen, die ohne Lust empfangen, zeigen dann wenig Bereitwilligkeit, des öfteren mit Schmerzen zu gebären. So werden durch die Vorbereitung zur Ehe die Zwecke der Ehe selbst vereitelt; wenn dann die Entwicklungsverzögerung bei der Frau überwunden ist und auf der Höhe ihrer weiblichen Existenz die volle Liebesfähigkeit bei ihr erwacht, ist ihr Verhältnis zum Ehemanne längst verdorben; es bleibt ihr als Lohn für ihre bisherige Gefügigkeit die Wahl zwischen ungestilltem Sehnen, Untreue oder Neurose.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sexuelle Verhalten eines Menschen ist oft </w:t>
      </w:r>
      <w:r w:rsidRPr="008725BE">
        <w:rPr>
          <w:rFonts w:ascii="Garamond" w:hAnsi="Garamond"/>
          <w:i/>
          <w:iCs/>
          <w:color w:val="000000"/>
          <w:lang w:val="en-GB"/>
        </w:rPr>
        <w:t>vorbildlich</w:t>
      </w:r>
      <w:r w:rsidRPr="008725BE">
        <w:rPr>
          <w:rFonts w:ascii="Garamond" w:hAnsi="Garamond"/>
          <w:color w:val="000000"/>
          <w:lang w:val="en-GB"/>
        </w:rPr>
        <w:t xml:space="preserve"> für seine ganze sonstige Reaktionsweise in der Welt. Wer als Mann sein Sexualobjekt energisch erobert, dem trauen wir ähnliche rücksichtslose Energie auch in der Verfolgung anderer Ziele zu. Wer hingegen auf die Befriedigung seiner starken sexuellen Triebe aus allerlei Rücksichten verzichtet, der wird sich auch anderwärts im Leben eher konziliant und resigniert als tatkräftig benehmen. Eine spezielle Anwendung dieses Satzes von der Vorbildlichkeit des Sexuallebens für andere Funktionsausübung kann man leicht am ganzen Geschlechte der Frauen konstatieren. Die Erziehung versagt ihnen die intellektuelle Beschäftigung mit den Sexualproblemen, für die sie doch die größte Wißbegierde mitbringen, schreckt sie mit der Verurteilung, daß solche Wißbegierde unweiblich und Zeichen sündiger Veranlagung sei. Damit sind sie vom Denken überhaupt abgeschreckt, wird das Wissen für sie entwertet. Das Denkverbot greift über die sexuelle Sphäre hinaus, zum Teil infolge der unvermeidlichen Zusammenhänge, zum Teil automatisch, ganz ähnlich wie das religiöse Denkverbot bei Männern, das loyale bei braven Untertanen. Ich glaube nicht, daß der biologische Gegensatz zwischen intellektueller Arbeit und Geschlechtstätigkeit den »physiologischen Schwachsinn« der Frau erklärt, wie Moebius es in seiner vielfach widersprochenen Schrift dargetan hat. Dagegen meine ich, daß die unzweifelhafte Tatsache der intellektuellen Inferiorität so vieler Frauen auf die zur Sexualunterdrückung erforderliche Denkhemmung zurückzuführen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Man unterscheidet viel zu wenig strenge, wenn man die Frage der Abstinenz behandelt, zwei Formen derselben, die Enthaltung von jeder Sexualbetätigung überhaupt und die Enthaltung vom sexuellen Verkehre mit dem anderen Geschlechte. Vielen Personen, die sich der gelungenen Abstinenz rühmen, ist dieselbe nur mit Hilfe der Masturbation und ähnlicher Befriedigungen möglich geworden, die an die autoerotischen Sexualtätigkeiten der frühen Kindheit anknüpfen. Aber gerade dieser Beziehung wegen sind diese Ersatzmittel zur sexuellen Befriedigung keineswegs harmlos; sie disponieren zu den zahlreichen Formen von Neurosen und Psychosen, für welche die Rückbildung des Sexuallebens zu seinen infantilen Formen die Bedingung ist. Die Masturbation entspricht auch keineswegs den idealen Anforderungen der kulturellen Sexualmoral und treibt darum die jungen Menschen in die nämlichen Konflikte mit dem Erziehungsideale, denen sie durch die Abstinenz entgehen wollten. Sie verdirbt ferner den Charakter durch </w:t>
      </w:r>
      <w:r w:rsidRPr="008725BE">
        <w:rPr>
          <w:rFonts w:ascii="Garamond" w:hAnsi="Garamond"/>
          <w:i/>
          <w:iCs/>
          <w:color w:val="000000"/>
          <w:lang w:val="en-GB"/>
        </w:rPr>
        <w:t>Verwöhnung</w:t>
      </w:r>
      <w:r w:rsidRPr="008725BE">
        <w:rPr>
          <w:rFonts w:ascii="Garamond" w:hAnsi="Garamond"/>
          <w:color w:val="000000"/>
          <w:lang w:val="en-GB"/>
        </w:rPr>
        <w:t xml:space="preserve"> auf mehr als eine Weise, erstens, indem sie bedeutsame Ziele mühelos, auf bequemen Wegen, anstatt durch energische Kraftanspannung erreichen lehrt, also nach dem Prinzipe der </w:t>
      </w:r>
      <w:r w:rsidRPr="008725BE">
        <w:rPr>
          <w:rFonts w:ascii="Garamond" w:hAnsi="Garamond"/>
          <w:i/>
          <w:iCs/>
          <w:color w:val="000000"/>
          <w:lang w:val="en-GB"/>
        </w:rPr>
        <w:t>sexuellen Vorbildlichkeit</w:t>
      </w:r>
      <w:r w:rsidRPr="008725BE">
        <w:rPr>
          <w:rFonts w:ascii="Garamond" w:hAnsi="Garamond"/>
          <w:color w:val="000000"/>
          <w:lang w:val="en-GB"/>
        </w:rPr>
        <w:t xml:space="preserve">, und zweitens, indem sie in den die Befriedigung begleitenden Phantasien das Sexualobjekt zu einer Vorzüglichkeit erhebt, die in der Realität nicht leicht wiedergefunden wird. Konnte doch ein geistreicher Schriftsteller (Karl Kraus in der Wiener </w:t>
      </w:r>
      <w:r w:rsidRPr="008725BE">
        <w:rPr>
          <w:rFonts w:ascii="Garamond" w:hAnsi="Garamond"/>
          <w:i/>
          <w:iCs/>
          <w:color w:val="000000"/>
          <w:lang w:val="en-GB"/>
        </w:rPr>
        <w:t>Fackel</w:t>
      </w:r>
      <w:r w:rsidRPr="008725BE">
        <w:rPr>
          <w:rFonts w:ascii="Garamond" w:hAnsi="Garamond"/>
          <w:color w:val="000000"/>
          <w:lang w:val="en-GB"/>
        </w:rPr>
        <w:t>), den Spieß umdrehend, die Wahrheit in dem Zynismus aussprechen: Der Koitus ist nur ein ungenügendes Surrogat für die Onanie!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Strenge der Kulturforderung und die Schwierigkeit der Abstinenzaufgabe haben zusammengewirkt, um die Vermeidung der Vereinigung der Genitalien verschiedener Geschlechter zum Kerne der Abstinenz zu machen und andere Arten der sexuellen Betätigung zu begünstigen, die sozusagen einem Halbgehorsam gleichkommen. Seitdem der normale Sexualverkehr von der Moral –; und wegen der Infektionsmöglichkeiten auch von der Hygiene –; so unerbittlich verfolgt wird, haben die sogenannten perversen Arten des Verkehrs zwischen beiden Geschlechtern, bei denen andere Körperstellen die Rolle der Genitalien übernehmen, an sozialer Bedeutung unzweifelhaft zugenommen. Diese Betätigungen können aber nicht so harmlos beurteilt werden wie analoge Überschreitungen im Liebesverkehre, sie sind ethisch verwerflich, da sie die Liebesbeziehungen zweier Menschen aus einer ernsten Sache zu einem bequemen Spiele ohne Gefahr und ohne seelische Beteiligung herabwürdigen. Als weitere Folge der Erschwerung des normalen Sexuallebens ist die Ausbreitung homosexueller Befriedigung anzuführen; zu all denen, die schon nach ihrer Organisation Homosexuelle sind oder in der Kindheit dazu wurden, kommt noch die große Anzahl jener hinzu, bei denen in reiferen Jahren wegen der Absperrung des Hauptstromes der Libido der homosexuelle Seitenarm breit geöffnet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Alle diese unvermeidlichen und unbeabsichtigten Konsequenzen der Abstinenzforderung treffen in dem einen Gemeinsamen zusammen, daß sie die Vorbereitung für die Ehe gründlich verderben, die doch nach der Absicht der kulturellen Sexualmoral die alleinige Erbin der sexuellen Strebungen werden sollte. Alle die Männer, die infolge masturbatorischer oder perverser Sexualübung ihre Libido auf andere als die normalen Situationen und Bedingungen der Befriedigung eingestellt haben, entwickeln in der Ehe eine verminderte Potenz. Auch die Frauen, denen es nur durch ähnliche Hilfen möglich blieb, ihre Jungfräulichkeit zu bewahren, zeigen sich in der Ehe für den normalen Verkehr anästhetisch. Die mit herabgesetzter Liebesfähigkeit beider Teile begonnene Ehe verfällt dem Auflösungsprozesse nur noch rascher als eine andere. Infolge der geringen Potenz des Mannes wird die Frau nicht befriedigt, bleibt auch dann anästhetisch, wenn ihre aus der Erziehung mitgebrachte Disposition zur Frigidität durch mächtiges sexuelles Erleben überwindbar gewesen wäre. Ein solches Paar findet auch die Kinderverhütung schwieriger als ein gesundes, da die geschwächte Potenz des Mannes die Anwendung der Verhütungsmittel schlecht verträgt. In solcher Ratlosigkeit wird der sexuelle Verkehr als die Quelle aller Verlegenheiten bald aufgegeben und damit die Grundlage des Ehelebens verlassen.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fordere alle Kundigen auf zu bestätigen, daß ich nicht übertreibe, sondern Verhältnisse schildere, die ebenso arg in beliebiger Häufigkeit zu beobachten sind. Es ist wirklich für den Uneingeweihten ganz unglaublich, wie selten sich normale Potenz beim Manne und wie häufig sich Frigidität bei der weiblichen Hälfte der Ehepaare findet, die unter der Herrschaft unserer kulturellen Sexualmoral stehen, mit welchen Entsagungen, oft für beide Teile, die Ehe verbunden ist und worauf das Eheleben, das so sehnsüchtig erstrebte Glück, sich einschränkt. Daß unter diesen Verhältnissen der Ausgang in Nervosität der nächstliegende ist, habe ich schon ausgeführt; ich will aber noch hinzusetzen, in welcher Weise eine solche Ehe auf die in ihr entsprungenen –; einzigen oder wenig zahlreichen –; Kinder fortwirkt. Es kommt da der Anschein einer erblichen Übertragung zustande, der sich bei schärferem Zusehen in die Wirkung mächtiger infantiler Eindrücke auflöst. Die von ihrem Manne unbefriedigte neurotische Frau ist als Mutter überzärtlich und überängstlich gegen das Kind, auf das sie ihr Liebesbedürfnis überträgt, und weckt in demselben die sexuelle Frühreife. Das schlechte Einverständnis zwischen den Eltern reizt dann das </w:t>
      </w:r>
      <w:r w:rsidRPr="008725BE">
        <w:rPr>
          <w:rFonts w:ascii="Garamond" w:hAnsi="Garamond"/>
          <w:color w:val="000000"/>
          <w:lang w:val="en-GB"/>
        </w:rPr>
        <w:lastRenderedPageBreak/>
        <w:t>Gefühlsleben des Kindes auf, läßt es im zartesten Alter Liebe, Haß und Eifersucht intensiv empfinden. Die strenge Erziehung, die keinerlei Betätigung des so früh geweckten Sexuallebens duldet, stellt die unterdrückende Macht bei, und dieser Konflikt in diesem Alter enthält alles, was es zur Verursachung der lebenslangen Nervosität bedarf.</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komme nun auf meine frühere Behauptung zurück, daß man bei der Beurteilung der Neurosen zumeist nicht deren volle Bedeutung in Betracht zieht. Ich meine damit nicht die Unterschätzung dieser Zustände, die sich in leichtsinnigem Beiseiteschieben von Seiten der Angehörigen und in großtuerischen Versicherungen von Seiten der Ärzte äußert, einige Wochen Kaltwasserkur oder einige Monate Ruhe und Erholung könnten den Zustand beseitigen. Das sind nur mehr Meinungen von ganz unwissenden Ärzten und Laien, zumeist nur Reden, dazu bestimmt, den Leidenden einen kurzlebigen Trost zu bieten. Es ist vielmehr bekannt, daß eine chronische Neurose, auch wenn sie die Existenzfähigkeit nicht völlig aufhebt, eine schwere Lebensbelastung des Individuums vorstellt, etwa im Range einer Tuberkulose oder eines Herzfehlers. Auch könnte man sich damit abfinden, wenn die neurotischen Erkrankungen etwa nur eine Anzahl von immerhin schwächeren Individuen von der Kulturarbeit ausschließen und den anderen die Teilnahme daran um den Preis von bloß subjektiven Beschwerden gestatten würden. Ich möchte vielmehr auf den Gesichtspunkt aufmerksam machen, daß die Neurose, soweit sie reicht und bei wem immer sie sich findet, die Kulturabsicht zu vereiteln weiß und somit eigentlich die Arbeit der unterdrückten kulturfeindlichen Seelenkräfte besorgt, so daß die Gesellschaft nicht einen mit Opfern erkauften Gewinn, sondern gar keinen Gewinn verzeichnen darf, wenn sie die Gefügigkeit gegen ihre weitgehenden Vorschriften mit der Zunahme der Nervosität bezahlt. Gehen wir z. B. auf den so häufigen Fall einer Frau ein, die ihren Mann nicht liebt, weil sie nach den Bedingungen ihrer Eheschließung und den Erfahrungen ihres Ehelebens ihn zu lieben keinen Grund hat, die ihren Mann aber durchaus lieben möchte, weil dies allein dem Ideal der Ehe, zu dem sie erzogen wurde, entspricht. Sie wird dann alle Regungen in sich unterdrücken, die der Wahrheit Ausdruck geben wollen und ihrem Idealbestreben widersprechen, und wird besondere Mühe aufwenden, eine liebevolle, zärtliche und sorgsame Gattin zu spielen. Neurotische Erkrankung wird die Folge dieser Selbstunterdrückung sein, und diese Neurose wird binnen kurzer Zeit an dem ungeliebten Manne Rache genommen haben und bei ihm genausoviel Unbefriedigung und Sorge hervorrufen, als sich nur aus dem Eingeständnisse des wahren Sachverhaltes ergeben hätte. Dieses Beispiel ist für die Leistungen der Neurose geradezu typisch. Ein ähnliches Mißlingen der Kompensation beobachtet man auch nach der Unterdrückung anderer, nicht direkt sexueller, kulturfeindlicher Regungen. Wer z. B. in der gewaltsamen Unterdrückung einer konstitutionellen Neigung zur Härte und Grausamkeit ein </w:t>
      </w:r>
      <w:r w:rsidRPr="008725BE">
        <w:rPr>
          <w:rFonts w:ascii="Garamond" w:hAnsi="Garamond"/>
          <w:i/>
          <w:iCs/>
          <w:color w:val="000000"/>
          <w:lang w:val="en-GB"/>
        </w:rPr>
        <w:t>Überguter</w:t>
      </w:r>
      <w:r w:rsidRPr="008725BE">
        <w:rPr>
          <w:rFonts w:ascii="Garamond" w:hAnsi="Garamond"/>
          <w:color w:val="000000"/>
          <w:lang w:val="en-GB"/>
        </w:rPr>
        <w:t xml:space="preserve"> geworden ist, dem wird häufig dabei so viel an Energie entzogen, daß er nicht alles ausführt, was seinen Kompensationsregungen entspricht, und im ganzen doch eher weniger an Gutem leistet, als er ohne Unterdrückung zustande gebracht hätte.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Nehmen wir noch hinzu, daß mit der Einschränkung der sexuellen Betätigung bei einem Volke ganz allgemein eine Zunahme der Lebensängstlichkeit und der Todesangst einhergeht, welche die Genußfähigkeit der Einzelnen stört und ihre Bereitwilligkeit, für irgendwelche Ziele den Tod auf sich zu nehmen, aufhebt, welche sich in der verminderten Neigung zur Kinderzeugung äußert, und dieses Volk oder diese Gruppe von Menschen vom Anteile an der Zukunft ausschließt, so darf man wohl die Frage aufwerfen, ob unsere »kulturelle« Sexualmoral der Opfer wert ist, welche sie uns auferlegt, zumal, wenn man sich vom Hedonismus nicht genug frei gemacht hat, um nicht ein gewisses Maß von individueller Glücksbefriedigung unter die Ziele unserer Kulturentwicklung aufzunehmen. Es ist gewiß nicht Sache des Arztes, selbst mit Reformvorschlägen hervorzutreten; ich meinte aber, ich könnte die Dringlichkeit solcher unterstützen, wenn ich die v. Ehrenfelssche Darstellung der Schädigungen durch unsere »kulturelle« Sexualmoral um den Hinweis auf deren Bedeutung für die Ausbreitung der modernen Nervosität erweitere.</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Di</w:t>
        </w:r>
        <w:bookmarkStart w:id="153" w:name="KS18"/>
        <w:bookmarkEnd w:id="153"/>
        <w:r w:rsidRPr="008725BE">
          <w:rPr>
            <w:rStyle w:val="Lienhypertexte"/>
            <w:rFonts w:ascii="Garamond" w:hAnsi="Garamond" w:cs="Arial"/>
            <w:b/>
            <w:bCs/>
            <w:lang w:val="en-GB"/>
          </w:rPr>
          <w:t>e Disposition zur Zwangsneurose</w:t>
        </w:r>
      </w:hyperlink>
      <w:r w:rsidRPr="008725BE">
        <w:rPr>
          <w:rFonts w:ascii="Garamond" w:hAnsi="Garamond"/>
          <w:color w:val="000000"/>
          <w:lang w:val="en-GB"/>
        </w:rPr>
        <w:t xml:space="preserve">  </w:t>
      </w:r>
      <w:r w:rsidRPr="008725BE">
        <w:rPr>
          <w:rFonts w:ascii="Garamond" w:hAnsi="Garamond"/>
          <w:caps/>
          <w:color w:val="000000"/>
          <w:lang w:val="en-GB"/>
        </w:rPr>
        <w:t>(1913)</w:t>
      </w:r>
    </w:p>
    <w:p w:rsidR="008725BE" w:rsidRPr="008725BE" w:rsidRDefault="008725BE" w:rsidP="008725BE">
      <w:pPr>
        <w:pStyle w:val="Sansinterligne"/>
        <w:rPr>
          <w:rFonts w:ascii="Garamond" w:hAnsi="Garamond"/>
          <w:color w:val="A9A9A9"/>
          <w:lang w:val="en-GB"/>
        </w:rPr>
      </w:pPr>
      <w:r w:rsidRPr="008725BE">
        <w:rPr>
          <w:rFonts w:ascii="Garamond" w:hAnsi="Garamond"/>
          <w:color w:val="A9A9A9"/>
          <w:lang w:val="en-GB"/>
        </w:rPr>
        <w:t>(Ein Beitrag zum Problem der Neurosenwahl)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Problem, warum und wieso ein Mensch an einer Neurose erkranken kann, gehört gewiß zu jenen, die von der Psychoanalyse beantwortet werden sollen. Es ist aber wahrscheinlich, daß diese Antwort erst über ein anderes und spezielleres wird gegeben werden können, über das Problem, warum diese und jene Person gerade an der einen bestimmten Neurose, und an keiner anderen, erkranken muß. Dies ist das Problem der Neurosenwahl.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Was wissen wir bis jetzt zu diesem Problem? Eigentlich ist hier nur ein einziger allgemeiner Satz gesichert. Wir unterscheiden die für die Neurosen in Betracht kommenden Krankheitsursachen in solche, die der Mensch ins Leben mitbringt, und solche, die das Leben an ihn heranbringt, konstitutionelle und akzidentelle, durch deren Zusammenwirken erst in der Regel die Krankheitsverursachung hergestellt wird. Nun besagt der eben angekündigte Satz, daß die Gründe für die Entscheidung der Neurosenwahl durchwegs von der ersteren Art sind, also von der Natur der Dispositionen, und unabhängig von den pathogen wirkenden Erlebnissen.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Worin suchen wir die Herkunft dieser Dispositionen? Wir sind aufmerksam darauf geworden, daß die in Betracht kommenden psychischen Funktionen –; vor allem die Sexualfunktion, aber ebenso verschiedene wichtige Ichfunktionen –; eine lange und komplizierte Entwicklung durchzumachen haben, bis sie zu dem für den normalen Erwachsenen charakteristischen Zustand gelangen. Wir nehmen nun an, daß diese Entwicklungen nicht immer so tadellos vollzogen werden, daß die gesamte Funktion der fortschrittlichen Veränderung unterliege. Wo ein Stück derselben die vorige Stufe festhält, da ergibt sich eine sogenannte »Fixierungsstelle«, zu welcher die Funktion im Falle der Erkrankung durch äußerliche Störung regredieren kann.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Unsere Dispositionen sind also Entwicklungshemmungen. </w:t>
      </w:r>
      <w:r w:rsidRPr="008725BE">
        <w:rPr>
          <w:rFonts w:ascii="Garamond" w:hAnsi="Garamond"/>
          <w:color w:val="000000"/>
        </w:rPr>
        <w:t xml:space="preserve">Die Analogie mit den Tatsachen der allgemeinen Pathologie anderer Krankheiten bestärkt uns in dieser Auffassung. Bei der Frage, welche Faktoren solche Störungen der Entwicklung hervorrufen können, macht aber die psychoanalytische Arbeit halt und überläßt dies Problem der biologischen Forschung </w:t>
      </w:r>
      <w:hyperlink r:id="rId778" w:anchor="#" w:history="1">
        <w:r w:rsidRPr="008725BE">
          <w:rPr>
            <w:rStyle w:val="fusslink"/>
            <w:rFonts w:ascii="Garamond" w:hAnsi="Garamond" w:cs="Arial"/>
            <w:b/>
            <w:bCs/>
            <w:color w:val="003399"/>
          </w:rPr>
          <w:t>[Fußnote]</w:t>
        </w:r>
        <w:r w:rsidRPr="008725BE">
          <w:rPr>
            <w:rStyle w:val="innerfusslink3"/>
            <w:rFonts w:ascii="Garamond" w:hAnsi="Garamond" w:cs="Arial"/>
            <w:b/>
            <w:bCs/>
          </w:rPr>
          <w:t>Seitdem die Arbeiten von W. Fließ die Bedeutung bestimmter Zeitgrößen für die Biologie aufgedeckt haben, ist es denkbar geworden, daß sich Entwicklungsstörung auf zeitliche Abänderung von Entwicklungsschüben zurückführt.</w:t>
        </w:r>
      </w:hyperlink>
      <w:r w:rsidRPr="008725BE">
        <w:rPr>
          <w:rFonts w:ascii="Garamond" w:hAnsi="Garamond"/>
          <w:color w:val="000000"/>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Mit Hilfe dieser Voraussetzungen haben wir uns bereits vor einigen Jahren an das Problem der Neurosenwahl herangewagt. Unsere Arbeitsrichtung, welche dahin geht, die normalen Verhältnisse aus ihren Störungen zu erraten, hat uns dazu geführt, einen ganz besonderen und unerwarteten Angriffspunkt zu wählen. Die Reihenfolge, in welcher die Hauptformen der Psychoneurosen gewöhnlich aufgeführt werden –; Hysterie, Zwangsneurose, Paranoia, Dementia praecox –;, entspricht (wenn auch nicht völlig genau) der Zeitfolge, in der diese Affektionen im Leben hervorbrechen. Die hysterischen Krankheitsformen können schon in der ersten Kindheit beobachtet werden, die Zwangsneurose offenbart ihre ersten Symptome gewöhnlich in der zweiten Periode der Kindheit (von sechs bis acht Jahren an); die beiden anderen, von mir als Paraphrenie zusammengefaßten Psychoneurosen zeigen sich erst nach der Pubertät und im Alter der Reife. Diese zuletzt auftretenden Affektionen haben sich nun unserer Forschung nach den in die Neurosenwahl auslaufenden Dispositionen zuerst zugänglich erwiesen. Die ihnen beiden eigentümlichen Charaktere des Größenwahns, der Abwendung von der Welt der Objekte und der Erschwerung der Übertragung haben uns zum Schlusse genötigt, daß deren disponierende Fixierung in einem Stadium der Libidoentwicklung </w:t>
      </w:r>
      <w:r w:rsidRPr="008725BE">
        <w:rPr>
          <w:rFonts w:ascii="Garamond" w:hAnsi="Garamond"/>
          <w:i/>
          <w:iCs/>
          <w:color w:val="000000"/>
          <w:lang w:val="en-GB"/>
        </w:rPr>
        <w:t>vor</w:t>
      </w:r>
      <w:r w:rsidRPr="008725BE">
        <w:rPr>
          <w:rFonts w:ascii="Garamond" w:hAnsi="Garamond"/>
          <w:color w:val="000000"/>
          <w:lang w:val="en-GB"/>
        </w:rPr>
        <w:t xml:space="preserve"> der Herstellung der Objektwahl, also in der Phase des Autoerotismus und des Narzißmus zu suchen ist. Diese so spät auftretenden Erkrankungsformen gehen also auf sehr frühzeitige Hemmungen und Fixierungen zurück.</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Demnach würden wir darauf hingewiesen, die Disposition für Hysterie und Zwangsneurose, die beiden eigentlichen Übertragungsneurosen mit frühzeitiger Symptombildung, in den jüngeren Phasen der Libidoentwicklung zu vermuten. Allein worin wäre hier die Entwicklungshemmung zu finden und vor allem, welches wäre der Phasenunterschied, der die Disposition zur Zwangsneurose im Gegensatz zur Hysterie begründen sollte? Darüber war lange nichts zu erfahren, und meine früher unternommenen Versuche, diese beiden Dispositionen zu erraten, z. B. daß die Hysterie durch Passivität, die Zwangsneurose durch Aktivität im infantilen Erleben bedingt sein sollte, mußten bald als verfehlt abgewiesen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kehre nun auf den Boden der klinischen Einzelbeobachtung zurück. Ich habe lange Zeit hindurch eine Kranke studiert, deren Neurose eine ungewöhnliche Wandlung durchgemacht hatte. Dieselbe begann </w:t>
      </w:r>
      <w:r w:rsidRPr="008725BE">
        <w:rPr>
          <w:rFonts w:ascii="Garamond" w:hAnsi="Garamond"/>
          <w:color w:val="000000"/>
          <w:lang w:val="en-GB"/>
        </w:rPr>
        <w:lastRenderedPageBreak/>
        <w:t>nach einem traumatischen Erlebnis als glatte Angsthysterie und behielt diesen Charakter durch einige Jahre bei. Eines Tages aber verwandelte sie sich plötzlich in eine Zwangsneurose von der schwersten Art. Ein solcher Fall mußte nach mehr als einer Richtung bedeutsam werden. Einerseits konnte er vielleicht den Wert eines bilinguen Dokuments beanspruchen und zeigen, wie ein identischer Inhalt von den beiden Neurosen in verschiedenen Sprachen ausgedrückt wird. Anderseits drohte er, unserer Theorie der Disposition durch Entwicklungshemmung überhaupt zu widersprechen, wenn man sich nicht zur Annahme entschließen wollte, daß eine Person auch mehr als eine einzige schwache Stelle in ihrer Libidoentwicklung mitbringen könne. Ich sagte mir, daß man kein Recht habe, diese letztere Möglichkeit abzuweisen, war aber auf das Verständnis dieses Krankheitsfalles sehr gespannt.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Als dieses im Laufe der Analyse kam, mußte ich sehen, daß die Sachlage ganz anders war, als ich sie mir vorgestellt hatte. Die Zwangsneurose war nicht eine weitere Reaktion auf das nämliche Trauma, welches zuerst die Angsthysterie hervorgerufen hatte, sondern auf ein zweites Erlebnis, welches das erste völlig entwertet hatte. (Also eine –; allerdings noch diskutierbare –; Ausnahme von unserem Satze, der die Unabhängigkeit der Neurosenwahl vom Erleben behauptet.) Ich kann leider –; aus bekannten Motiven –; auf die Krankengeschichte des Falles nicht so weit eingehen, wie ich gern möchte, sondern muß mich auf nachstehende Mitteilungen beschränken. Die Patientin war bis zu ihrer Erkrankung eine glückliche, fast völlig befriedigte Frau gewesen. Sie wünschte sich Kinder aus Motiven infantiler Wunschfixierung und erkrankte, als sie erfuhr, daß sie von ihrem ausschließend geliebten Manne keine Kinder bekommen könne. Die Angsthysterie, mit welcher sie auf diese Versagung reagierte, entsprach, wie sie bald selbst verstehen lernte, der Abweisung von Versuchungsphantasien, in denen sich der festgehaltene Wunsch nach einem Kinde durchsetzte. </w:t>
      </w:r>
      <w:r w:rsidRPr="008725BE">
        <w:rPr>
          <w:rFonts w:ascii="Garamond" w:hAnsi="Garamond"/>
          <w:color w:val="000000"/>
        </w:rPr>
        <w:t xml:space="preserve">Sie tat nun alles dazu, um ihren Mann nicht erraten zu lassen, daß sie infolge der durch ihn determinierten Versagung erkrankt sei. Aber ich habe nicht ohne gute Gründe behauptet, daß jeder Mensch in seinem eigenen Unbewußten ein Instrument besitzt, mit dem er die Äußerungen des Unbewußten beim anderen zu deuten vermag; der Mann verstand ohne Geständnis oder Erklärung, was die Angst seiner Frau bedeute, kränkte sich darüber, ohne es zu zeigen, und reagierte nun seinerseits neurotisch, indem er –; zum erstenmal –; beim Eheverkehr versagte. </w:t>
      </w:r>
      <w:r w:rsidRPr="008725BE">
        <w:rPr>
          <w:rFonts w:ascii="Garamond" w:hAnsi="Garamond"/>
          <w:color w:val="000000"/>
          <w:lang w:val="en-GB"/>
        </w:rPr>
        <w:t>Unmittelbar darauf reiste er ab, die Frau hielt ihn für dauernd impotent geworden und produzierte die ersten Zwangssymptome an dem Tage vor seiner erwarteten Rückkunft.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Inhalt ihrer Zwangsneurose bestand in einem peinlichen Wasch- und Reinlichkeitszwang und in höchst energischen Schutzmaßregeln gegen böse Schädigungen, welche andere von ihr zu befürchten hätten, also in Reaktionsbildungen gegen </w:t>
      </w:r>
      <w:r w:rsidRPr="008725BE">
        <w:rPr>
          <w:rFonts w:ascii="Garamond" w:hAnsi="Garamond"/>
          <w:i/>
          <w:iCs/>
          <w:color w:val="000000"/>
          <w:lang w:val="en-GB"/>
        </w:rPr>
        <w:t>analerotische</w:t>
      </w:r>
      <w:r w:rsidRPr="008725BE">
        <w:rPr>
          <w:rFonts w:ascii="Garamond" w:hAnsi="Garamond"/>
          <w:color w:val="000000"/>
          <w:lang w:val="en-GB"/>
        </w:rPr>
        <w:t xml:space="preserve"> und </w:t>
      </w:r>
      <w:r w:rsidRPr="008725BE">
        <w:rPr>
          <w:rFonts w:ascii="Garamond" w:hAnsi="Garamond"/>
          <w:i/>
          <w:iCs/>
          <w:color w:val="000000"/>
          <w:lang w:val="en-GB"/>
        </w:rPr>
        <w:t>sadistische</w:t>
      </w:r>
      <w:r w:rsidRPr="008725BE">
        <w:rPr>
          <w:rFonts w:ascii="Garamond" w:hAnsi="Garamond"/>
          <w:color w:val="000000"/>
          <w:lang w:val="en-GB"/>
        </w:rPr>
        <w:t xml:space="preserve"> Regungen. In solchen Formen mußte sich ihr Sexualbedürfnis äußern, nachdem ihr Genitalleben durch die Impotenz des für sie einzigen Mannes eine volle Entwertung erfahren hatte.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An diesen Punkt hat das kleine, von mir neugebildete Stückchen Theorie angeknüpft, welches natürlich nur scheinbar auf dieser einen Beobachtung ruht, in Wirklichkeit eine große Summe früherer Eindrücke zusammenfaßt, die aber erst nach dieser letzten Erfahrung fähig wurden, eine Einsicht zu ergeben. Ich sagte mir, daß mein Entwicklungsschema der libidinösen Funktion einer neuen Einschaltung bedarf. Ich hatte zuerst nur unterschieden die Phase des Autoerotismus, in welcher die einzelnen Partialtriebe, jeder für sich, ihre Lustbefriedigung am eigenen Leibe suchen, und dann die Zusammenfassung aller Partialtriebe zur Objektwahl unter dem Primat der Genitalien im Dienste der Fortpflanzung. Die Analyse der Paraphrenien hat uns, wie bekannt, genötigt, dazwischen ein Stadium des Narzißmus einzuschieben, in dem die Objektwahl bereits erfolgt ist, aber das Objekt noch mit dem eigenen Ich zusammenfällt. Und nun sehen wir die Notwendigkeit ein, ein weiteres Stadium vor der Endgestaltung gelten zu lassen, in dem die Partialtriebe bereits zur Objektwahl zusammengefaßt sind, das Objekt sich der eigenen Person schon als eine fremde gegenüberstellt, aber </w:t>
      </w:r>
      <w:r w:rsidRPr="008725BE">
        <w:rPr>
          <w:rFonts w:ascii="Garamond" w:hAnsi="Garamond"/>
          <w:i/>
          <w:iCs/>
          <w:color w:val="000000"/>
          <w:lang w:val="en-GB"/>
        </w:rPr>
        <w:t>der Primat der Genitalzonen noch nicht aufgerichtet ist</w:t>
      </w:r>
      <w:r w:rsidRPr="008725BE">
        <w:rPr>
          <w:rFonts w:ascii="Garamond" w:hAnsi="Garamond"/>
          <w:color w:val="000000"/>
          <w:lang w:val="en-GB"/>
        </w:rPr>
        <w:t xml:space="preserve">. Die Partialtriebe, welche diese </w:t>
      </w:r>
      <w:r w:rsidRPr="008725BE">
        <w:rPr>
          <w:rFonts w:ascii="Garamond" w:hAnsi="Garamond"/>
          <w:i/>
          <w:iCs/>
          <w:color w:val="000000"/>
          <w:lang w:val="en-GB"/>
        </w:rPr>
        <w:t>prägenitale Organisation</w:t>
      </w:r>
      <w:r w:rsidRPr="008725BE">
        <w:rPr>
          <w:rFonts w:ascii="Garamond" w:hAnsi="Garamond"/>
          <w:color w:val="000000"/>
          <w:lang w:val="en-GB"/>
        </w:rPr>
        <w:t xml:space="preserve"> des Sexuallebens beherrschen, sind vielmehr die analerotischen und die sadistischen.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weiß, daß jede solche Aufstellung zunächst befremdend klingt. Erst durch die Aufdeckung ihrer Beziehungen zu unserem bisherigen Wissen wird sie uns vertraut, und am Ende ist ihr Schicksal häufig, daß sie als eine geringfügige, längst geahnte Neuerung erkannt wird. Wenden wir uns also mit ähnlichen Erwartungen zur Diskussion der »prägenitalen Sexualordnung«.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a)</w:t>
      </w:r>
      <w:r w:rsidRPr="008725BE">
        <w:rPr>
          <w:rFonts w:ascii="Garamond" w:hAnsi="Garamond"/>
          <w:color w:val="000000"/>
          <w:lang w:val="en-GB"/>
        </w:rPr>
        <w:t xml:space="preserve"> Es ist bereits vielen Beobachtern aufgefallen und zuletzt mit besonderer Schärfe von E. Jones hervorgehoben worden, welche außerordentliche Rolle die Regungen von Haß und Analerotik in der Symptomatologie der Zwangsneurose spielen. (Jones, 1913.) Dies leitet sich nun unmittelbar aus unserer </w:t>
      </w:r>
      <w:r w:rsidRPr="008725BE">
        <w:rPr>
          <w:rFonts w:ascii="Garamond" w:hAnsi="Garamond"/>
          <w:color w:val="000000"/>
          <w:lang w:val="en-GB"/>
        </w:rPr>
        <w:lastRenderedPageBreak/>
        <w:t>Aufstellung ab, wenn es diese Partialtriebe sind, welche in der Neurose die Vertretung der Genitaltriebe wieder übernommen haben, deren Vorgänger sie in der Entwicklung waren.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Hier fügt sich nun das bisher zurückgehaltene Stück aus der Krankengeschichte unseres Falles ein. Das Sexualleben der Patientin begann im zartesten Kindesalter mit sadistischen Schlagephantasien. Nach deren Unterdrückung setzte eine ungewöhnlich lange Latenzzeit ein, in welcher das Mädchen eine hochreichende moralische Entwicklung durchmachte, ohne zum weiblichen Sexualempfinden zu erwachen. Mit der in jungen Jahren geschlossenen Ehe begann eine Periode normaler Sexualbetätigung als glückliche Frau, die durch eine Reihe von Jahren anhielt, bis die erste große Versagung die hysterische Neurose brachte. Mit der darauffolgenden Entwertung des Genitallebens sank ihr Sexualleben, wie erwähnt, auf die infantile Stufe des Sadismus zurück.</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nicht schwer, den Charakter zu bestimmen, in welchem sich dieser Fall von Zwangsneurose von den häufigeren anderen unterscheidet, die in jüngeren Jahren beginnen und von da an chronisch mit mehr oder weniger auffälligen Exazerbationen verlaufen. In diesen anderen Fällen wird die Sexualorganisation, welche die Disposition zur Zwangsneurose enthält, einmal hergestellt, nie wieder völlig überwunden; in unserem Falle ist sie zuerst durch die höhere Entwicklungsstufe abgelöst und dann durch Regression von dieser her wieder aktiviert worden.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b)</w:t>
      </w:r>
      <w:r w:rsidRPr="008725BE">
        <w:rPr>
          <w:rFonts w:ascii="Garamond" w:hAnsi="Garamond"/>
          <w:color w:val="000000"/>
          <w:lang w:val="en-GB"/>
        </w:rPr>
        <w:t xml:space="preserve"> Wenn wir von unserer Aufstellung aus den Anschluß an biologische Zusammenhänge suchen, dürfen wir nicht vergessen, daß der Gegensatz von männlich und weiblich, welcher von der Fortpflanzungsfunktion eingeführt wird, auf der Stufe der prägenitalen Objektwahl noch nicht vorhanden sein kann. An seiner Statt finden wir den Gegensatz von Strebungen mit aktivem und passivem Ziel, der sich späterhin mit dem Gegensatz der Geschlechter verlöten wird. Die Aktivität wird vom gemeinen Bemächtigungstrieb beigestellt, den wir eben Sadismus heißen, wenn wir ihn im Dienste der Sexualfunktion finden; er hat auch im vollentwickelten normalen Sexualleben wichtige Helferdienste zu verrichten. Die passive Strömung wird von der Analerotik gespeist, deren erogene Zone der alten, undifferenzierten Kloake entspricht. Die Betonung dieser Analerotik auf der prägenitalen Organisationsstufe wird beim Manne eine bedeutsame Prädisposition zur Homosexualität hinterlassen, wenn die nächste Stufe der Sexualfunktion, die des Primats der Genitalien, erreicht wird. Der Aufbau dieser letzten Phase über der vorigen und die dabei erfolgende Umarbeitung der Libidobesetzungen bietet der analytischen Forschung die interessantesten Aufgaben.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kann der Meinung sein, daß man sich allen hier in Betracht kommenden Schwierigkeiten und Komplikationen entzieht, wenn man eine prägenitale Organisation des Sexuallebens verleugnet und das Sexualleben mit der Genital- und Fortpflanzungsfunktion zusammenfallen, wie auch mit ihr beginnen läßt. Von den Neurosen würde man dann mit Rücksicht auf die nicht mißverständlichen Ergebnisse der analytischen Forschung aussagen, daß sie durch den Prozeß der Sexualverdrängung dazu genötigt werden, sexuelle Strebungen durch andere, nicht sexuelle Triebe auszudrücken, die letzteren also kompensatorisch zu sexualisieren. Wenn man so verfährt, hat man sich aber außerhalb der Psychoanalyse begeben. Man steht wieder dort, wo man sich vor der Psychoanalyse befand, und muß auf das durch sie vermittelte Verständnis des Zusammenhanges zwischen Gesundheit, Perversion und Neurose verzichten. Die Psychoanalyse steht und fällt mit der Anerkennung der sexuellen Partialtriebe, der erogenen Zonen und der so gewonnenen Ausdehnung des Begriffes »Sexualfunktion« im Gegensatz zur engeren »Genitalfunktion«. Übrigens reicht die Beobachtung der normalen Entwicklung des Kindes für sich allein hin, um eine solche Versuchung zurückzuweisen.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c)</w:t>
      </w:r>
      <w:r w:rsidRPr="008725BE">
        <w:rPr>
          <w:rFonts w:ascii="Garamond" w:hAnsi="Garamond"/>
          <w:color w:val="000000"/>
          <w:lang w:val="en-GB"/>
        </w:rPr>
        <w:t xml:space="preserve"> Auf dem Gebiete der Charakterentwicklung müssen wir denselben Triebkräften begegnen, deren Spiel wir in den Neurosen aufgedeckt haben. Eine scharfe theoretische Scheidung der beiden wird aber durch den einen Umstand geboten, daß beim Charakter wegfällt, was dem Neurosenmechanismus eigentümlich ist, das Mißglücken der Verdrängung und die Wiederkehr des Verdrängten. Bei der Charakterbildung tritt die Verdrängung entweder nicht in Aktion oder sie erreicht glatt ihr Ziel, das Verdrängte durch Reaktionsbildungen und Sublimierungen zu ersetzen. Darum sind die Prozesse der Charakterbildung undurchsichtiger und der Analyse unzugänglicher als die neurotischen.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Gerade auf dem Gebiete der Charakterentwicklung begegnet uns aber eine gute Analogie zu dem von uns beschriebenen Krankheitsfalle, also eine Bekräftigung der prägenitalen sadistisch-analerotischen Sexualorganisation. Es ist bekannt und hat den Menschen viel Stoff zur Klage gegeben, daß die Frauen häufig, nachdem sie ihre Genitalfunktionen aufgegeben haben, ihren Charakter in eigentümlicher Weise verändern. Sie werden zänkisch, quälerisch und rechthaberisch, kleinlich und geizig, zeigen also typische </w:t>
      </w:r>
      <w:r w:rsidRPr="008725BE">
        <w:rPr>
          <w:rFonts w:ascii="Garamond" w:hAnsi="Garamond"/>
          <w:color w:val="000000"/>
          <w:lang w:val="en-GB"/>
        </w:rPr>
        <w:lastRenderedPageBreak/>
        <w:t>sadistische und analerotische Züge, die ihnen vorher in der Epoche der Weiblichkeit nicht eigen waren. Lustspieldichter und Satiriker haben zu allen Zeiten ihre Invektiven gegen den »alten Drachen« gerichtet, zu dem das holde Mädchen, die liebende Frau, die zärtliche Mutter geworden ist. Wir verstehen, daß diese Charakterwandlung der Regression des Sexuallebens auf die prägenitale, sadistisch-analerotische Stufe entspricht, in welcher wir die Disposition zur Zwangsneurose gefunden haben. Sie wäre also nicht nur die Vorläuferin der genitalen Phase, sondern oft genug auch ihre Nachfolge und Ablösung, nachdem die Genitalien ihre Funktion erfüllt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Vergleich einer solchen Charakterveränderung mit der Zwangsneurose ist sehr eindrucksvoll. In beiden Fällen das Werk der Regression, aber im ersten Falle volle Regression nach glatt vollzogener Verdrängung (oder Unterdrückung); im Falle der Neurose: Konflikt, Bemühung, die Regression nicht gelten zu lassen, Reaktionsbildungen gegen dieselbe und Symptombildungen durch Kompromisse von beiden Seiten her, Spaltung der psychischen Tätigkeiten in bewußtseinsfähige und unbewußte.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d)</w:t>
      </w:r>
      <w:r w:rsidRPr="008725BE">
        <w:rPr>
          <w:rFonts w:ascii="Garamond" w:hAnsi="Garamond"/>
          <w:color w:val="000000"/>
          <w:lang w:val="en-GB"/>
        </w:rPr>
        <w:t xml:space="preserve"> Unsere Aufstellung einer prägenitalen Sexualorganisation ist nach zwei Richtungen hin unvollständig. Sie nimmt erstens keine Rücksicht auf das Verhalten anderer Partialtriebe, an dem manches der Erforschung und Erwähnung wert wäre, und begnügt sich, das auffällige Primat von Sadismus und Analerotik herauszuheben. Besonders vom Wißtrieb gewinnt man häufig den Eindruck, als ob er im Mechanismus der Zwangsneurose den Sadismus geradezu ersetzen könnte. Er ist ja im Grunde ein sublimierter, ins Intellektuelle gehobener Sprößling des Bemächtigungstriebes, seine Zurückweisung in der Form des Zweifels nimmt im Bilde der Zwangsneurose einen breiten Raum 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 zweiter Mangel ist weit bedeutsamer. Wir wissen, daß die entwicklungsgeschichtliche Disposition für eine Neurose nur dann vollständig ist, wenn sie die Phase der Ichentwicklung, in welcher die Fixierung eintritt, ebenso berücksichtigt wie die der Libidoentwicklung. Unsere Aufstellung hat sich aber nur auf die letztere bezogen, sie enthält also nicht die ganze Kenntnis, die wir fordern dürfen. Die Entwicklungsstadien der Ichtriebe sind uns bis jetzt sehr wenig bekannt; ich weiß nur von einem vielversprechenden Versuch von Ferenczi (1913), sich diesen Fragen zu nähern. Ich weiß nicht, ob es zu gewagt erscheint, wenn ich den vorhandenen Spuren folgend die Annahme ausspreche, daß ein zeitliches Voraneilen der Ichentwicklung vor der Libidoentwicklung in die Disposition zur Zwangsneurose einzutragen ist. Eine solche Voreiligkeit würde von den Ichtrieben her zur Objektwahl nötigen, während die Sexualfunktion ihre letzte Gestaltung noch nicht erreicht hat, und somit eine Fixierung auf der Stufe der prägenitalen Sexualordnung hinterlassen. Erwägt man, daß die Zwangsneurotiker eine Übermoral entwickeln müssen, um ihre Objektliebe gegen die hinter ihr lauernde Feindseligkeit zu verteidigen, so wird man geneigt sein, ein gewisses Maß von diesem Voraneilen der Ichentwicklung als typisch für die menschliche Natur hinzustellen und die Fähigkeit zur Entstehung der Moral in dem Umstand begründet zu finden, daß nach der Entwicklung der Haß der Vorläufer der Liebe ist. Vielleicht ist dies die Bedeutung eines Satzes von W. Stekel, der mir seinerzeit unfaßbar erschien, daß der Haß und nicht die Liebe die primäre Gefühlsbeziehung zwischen den Menschen sei </w:t>
      </w:r>
      <w:hyperlink r:id="rId77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 Stekel (1911. 536).</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e)</w:t>
      </w:r>
      <w:r w:rsidRPr="008725BE">
        <w:rPr>
          <w:rFonts w:ascii="Garamond" w:hAnsi="Garamond"/>
          <w:color w:val="000000"/>
          <w:lang w:val="en-GB"/>
        </w:rPr>
        <w:t xml:space="preserve"> Für die Hysterie erübrigt nach dem Vorstehenden die innige Beziehung zur letzten Phase der Libidoentwicklung, die durch den Primat der Genitalien und die Einführung der Fortpflanzungsfunktion ausgezeichnet ist. Dieser Erwerb unterliegt in der hysterischen Neurose der Verdrängung, mit welcher eine Regression auf die prägenitale Stufe nicht verbunden ist. Die Lücke in der Bestimmung der Disposition infolge unserer Unkenntnis der Ichentwicklung ist hier noch fühlbarer als bei der Zwangsneurose.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Hingegen ist es nicht schwer nachzuweisen, daß eine andere Regression auf ein früheres Niveau auch der Hysterie zukommt. Die Sexualität des weiblichen Kindes steht, wie wir wissen, unter der Herrschaft eines männlichen Leitorgans (der Klitoris) und benimmt sich vielfach wie die des Knaben. Ein letzter Entwicklungsschub zur Zeit der Pubertät muß diese männliche Sexualität wegschaffen und die von der Kloake abgeleitete Vagina zur herrschenden erogenen Zone erheben. Es ist nun sehr gewöhnlich, daß in der hysterischen Neurose der Frauen eine Reaktivierung dieser verdrängten männlichen Sexualität statthat, gegen welche sich dann der Abwehrkampf von Seiten der ichgerechten Triebe richtet. Doch erscheint es mir vorzeitig, an dieser Stelle in die Diskussion der Probleme der hysterischen Disposition einzutreten.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Di</w:t>
        </w:r>
        <w:bookmarkStart w:id="154" w:name="KS19"/>
        <w:bookmarkEnd w:id="154"/>
        <w:r w:rsidRPr="008725BE">
          <w:rPr>
            <w:rStyle w:val="Lienhypertexte"/>
            <w:rFonts w:ascii="Garamond" w:hAnsi="Garamond" w:cs="Arial"/>
            <w:b/>
            <w:bCs/>
            <w:lang w:val="en-GB"/>
          </w:rPr>
          <w:t>e Freudsche psychoanalytische Methode</w:t>
        </w:r>
      </w:hyperlink>
      <w:r w:rsidRPr="008725BE">
        <w:rPr>
          <w:rFonts w:ascii="Garamond" w:hAnsi="Garamond"/>
          <w:color w:val="000000"/>
          <w:lang w:val="en-GB"/>
        </w:rPr>
        <w:t xml:space="preserve">  </w:t>
      </w:r>
      <w:r w:rsidRPr="008725BE">
        <w:rPr>
          <w:rFonts w:ascii="Garamond" w:hAnsi="Garamond"/>
          <w:caps/>
          <w:color w:val="000000"/>
          <w:lang w:val="en-GB"/>
        </w:rPr>
        <w:t>(1904 )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eigentümliche Methode der Psychotherapie, die Freud ausübt und als Psychoanalyse bezeichnet, ist aus dem sogenannten kathartischen Verfahren hervorgegangen, über welches er seinerzeit in den </w:t>
      </w:r>
      <w:r w:rsidRPr="008725BE">
        <w:rPr>
          <w:rFonts w:ascii="Garamond" w:hAnsi="Garamond"/>
          <w:i/>
          <w:iCs/>
          <w:color w:val="000000"/>
          <w:lang w:val="en-GB"/>
        </w:rPr>
        <w:t>Studien über Hysterie</w:t>
      </w:r>
      <w:r w:rsidRPr="008725BE">
        <w:rPr>
          <w:rFonts w:ascii="Garamond" w:hAnsi="Garamond"/>
          <w:color w:val="000000"/>
          <w:lang w:val="en-GB"/>
        </w:rPr>
        <w:t xml:space="preserve"> </w:t>
      </w:r>
      <w:smartTag w:uri="urn:schemas-microsoft-com:office:smarttags" w:element="metricconverter">
        <w:smartTagPr>
          <w:attr w:name="ProductID" w:val="1895 in"/>
        </w:smartTagPr>
        <w:r w:rsidRPr="008725BE">
          <w:rPr>
            <w:rFonts w:ascii="Garamond" w:hAnsi="Garamond"/>
            <w:color w:val="000000"/>
            <w:lang w:val="en-GB"/>
          </w:rPr>
          <w:t>1895 in</w:t>
        </w:r>
      </w:smartTag>
      <w:r w:rsidRPr="008725BE">
        <w:rPr>
          <w:rFonts w:ascii="Garamond" w:hAnsi="Garamond"/>
          <w:color w:val="000000"/>
          <w:lang w:val="en-GB"/>
        </w:rPr>
        <w:t xml:space="preserve"> Gemeinschaft mit J. Breuer berichtet hat. Die kathartische Therapie war eine Erfindung Breuers, der mit ihrer Hilfe zuerst etwa ein Dezennium vorher eine hysterische Kranke hergestellt und dabei Einsicht in die Pathogenese ihrer Symptome gewonnen hatte. Infolge einer persönlichen Anregung Breuers nahm dann Freud das Verfahren wieder auf und erprobte es an einer größeren Anzahl von Kranken.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kathartische Verfahren setzte voraus, daß der Patient hypnotisierbar sei, und beruhte auf der Erweiterung des Bewußtseins, die in der Hypnose eintritt. Es setzte sich die Beseitigung der Krankheitssymptome zum Ziele und erreichte dies, indem es den Patienten sich in den psychischen Zustand zurückversetzen ließ, in welchem das Symptom zum erstenmal aufgetreten war. Es tauchten dann bei dem hypnotisierten Kranken Erinnerungen, Gedanken und Impulse auf, die in seinem Bewußtsein bisher ausgefallen waren, und wenn er diese seine seelischen Vorgänge unter intensiven Affektäußerungen dem Arzte mitgeteilt hatte, war das Symptom überwunden, die Wiederkehr desselben aufgehoben. Diese regelmäßig zu wiederholende Erfahrung erläuterten die beiden Autoren in ihrer gemeinsamen Arbeit dahin, daß das Symptom an Stelle von unterdrückten und nicht zum Bewußtsein gelangten psychischen Vorgängen stehe, also eine Umwandlung (»Konversion«) der letzteren darstelle. Die therapeutische Wirksamkeit ihres Verfahrens erklärten sie sich aus der Abfuhr des bis dahin gleichsam »eingeklemmten« Affektes, der an den unterdrückten seelischen Aktionen gehaftet hatte (»Abreagieren«). Das einfache Schema des therapeutischen Eingriffes komplizierte sich aber nahezu allemal, indem sich zeigte, daß nicht ein einzelner (»traumatischer«) Eindruck, sondern meist eine schwer zu übersehende Reihe von solchen an der Entstehung des Symptoms beteiligt sei.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Hauptcharakter der kathartischen Methode, der sie in Gegensatz zu allen anderen Verfahren der Psychotherapie setzt, liegt also darin, daß bei ihr die therapeutische Wirksamkeit nicht einem suggestiven Verbot des Arztes übertragen wird. Sie erwartet vielmehr, daß die Symptome von selbst verschwinden werden, wenn es dem Eingriff, der sich auf gewisse Voraussetzungen über den psychischen Mechanismus beruft, gelungen ist, seelische Vorgänge zu einem andern als dem bisherigen Verlaufe zu bringen, der in die Symptombildung eingemündet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Abänderungen, welche Freud an dem kathartischen Verfahren Breuers vornahm, waren zunächst Änderungen der Technik; diese brachten aber neue Ergebnisse und haben in weiterer Folge zu einer andersartigen, wiewohl der früheren nicht widersprechenden Auffassung der therapeutischen Arbeit genötigt.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Hatte die kathartische Methode bereits auf die Suggestion verzichtet, so unternahm Freud den weiteren Schritt, auch die Hypnose aufzugeben. Er behandelt gegenwärtig seine Kranken, indem er sie ohne andersartige Beeinflussung eine bequeme Rückenlage auf einem Ruhebett einnehmen läßt, während er selbst, ihrem Anblick entzogen, auf einem Stuhle hinter ihnen sitzt. Auch den Verschluß der Augen fordert er von ihnen nicht und vermeidet jede Berührung sowie jede andere Prozedur, die an Hypnose mahnen könnte. Eine solche Sitzung verläuft also wie ein Gespräch zwischen zwei gleich wachen Personen, von denen die eine sich jede Muskelanstrengung und jeden ablenkenden Sinneseindruck erspart, die sie in der Konzentration ihrer Aufmerksamkeit auf ihre eigene seelische Tätigkeit stören könnten.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 das Hypnotisiertwerden, trotz aller Geschicklichkeit des Arztes, bekanntlich in der Willkür des Patienten liegt und eine große Anzahl neurotischer Personen durch kein Verfahren in Hypnose zu versetzen ist, so war durch den Verzicht auf die Hypnose die Anwendbarkeit des Verfahrens auf eine uneingeschränkte Anzahl von Kranken gesichert. Anderseits fiel die Erweiterung des Bewußtseins weg, welche dem Arzt gerade jenes psychische Material an Erinnerungen und Vorstellungen geliefert hatte, mit dessen Hilfe sich die Umsetzung der Symptome und die Befreiung der Affekte vollziehen ließ. Wenn für diesen Ausfall kein Ersatz zu schaffen war, konnte auch von einer therapeutischen Einwirkung keine Rede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Einen solchen völlig ausreichenden Ersatz fand nun Freud in den Einfällen der Kranken, das heißt in den ungewollten, meist als störend empfundenen und darum unter gewöhnlichen Verhältnissen beseitigten Gedanken, die den Zusammenhang einer beabsichtigten Darstellung zu durchkreuzen pflegen. Um sich dieser Einfälle zu bemächtigen, fordert er die Kranken auf, sich in ihren Mitteilungen gehenzulassen, »wie man es etwa in einem Gespräche tut, bei welchem man aus dem Hundertsten in das Tausendste gerät«. Er schärft ihnen, ehe er sie zur detaillierten Erzählung ihrer Krankengeschichte auffordert, ein, alles mit zu </w:t>
      </w:r>
      <w:r w:rsidRPr="008725BE">
        <w:rPr>
          <w:rFonts w:ascii="Garamond" w:hAnsi="Garamond"/>
          <w:color w:val="000000"/>
          <w:lang w:val="en-GB"/>
        </w:rPr>
        <w:lastRenderedPageBreak/>
        <w:t xml:space="preserve">sagen, was ihnen dabei durch den Kopf geht, auch wenn sie meinen, es sei unwichtig oder es gehöre nicht dazu, oder es sei unsinnig. Mit besonderem Nachdrucke aber wird von ihnen verlangt, daß sie keinen Gedanken oder Einfall darum von der Mitteilung ausschließen, weil ihnen diese Mitteilung beschämend oder peinlich ist. Bei den Bemühungen, dieses Material an sonst vernachlässigten Einfällen zu sammeln, machte nun Freud die Beobachtungen, die für seine ganze Auffassung bestimmend geworden sind. Schon bei der Erzählung der Krankengeschichte stellen sich bei den Kranken Lücken der Erinnerung heraus, sei es, daß tatsächliche Vorgänge vergessen worden, sei es, daß zeitliche Beziehungen verwirrt oder Kausalzusammenhänge zerrissen worden sind, so daß sich unbegreifliche Effekte ergeben. Ohne Amnesie irgendeiner Art gibt es keine neurotische Krankengeschichte. Drängt man den Erzählenden, diese Lücken seines Gedächtnisses durch angestrengte Arbeit der Aufmerksamkeit auszufüllen, so merkt man, daß die hiezu sich einstellenden Einfälle von ihm mit allen Mitteln der Kritik zurückgedrängt werden, bis er endlich das direkte Unbehagen verspürt, wenn sich die Erinnerung wirklich eingestellt hat. Aus dieser Erfahrung schließt Freud, daß die Amnesien das Ergebnis eines Vorganges sind, den er </w:t>
      </w:r>
      <w:r w:rsidRPr="008725BE">
        <w:rPr>
          <w:rFonts w:ascii="Garamond" w:hAnsi="Garamond"/>
          <w:i/>
          <w:iCs/>
          <w:color w:val="000000"/>
          <w:lang w:val="en-GB"/>
        </w:rPr>
        <w:t>Verdrängung</w:t>
      </w:r>
      <w:r w:rsidRPr="008725BE">
        <w:rPr>
          <w:rFonts w:ascii="Garamond" w:hAnsi="Garamond"/>
          <w:color w:val="000000"/>
          <w:lang w:val="en-GB"/>
        </w:rPr>
        <w:t xml:space="preserve"> heißt und als dessen Motiv er Unlustgefühle erkennt. Die psychischen Kräfte, welche diese Verdrängung herbeigeführt haben, meint er in dem </w:t>
      </w:r>
      <w:r w:rsidRPr="008725BE">
        <w:rPr>
          <w:rFonts w:ascii="Garamond" w:hAnsi="Garamond"/>
          <w:i/>
          <w:iCs/>
          <w:color w:val="000000"/>
          <w:lang w:val="en-GB"/>
        </w:rPr>
        <w:t>Widerstand</w:t>
      </w:r>
      <w:r w:rsidRPr="008725BE">
        <w:rPr>
          <w:rFonts w:ascii="Garamond" w:hAnsi="Garamond"/>
          <w:color w:val="000000"/>
          <w:lang w:val="en-GB"/>
        </w:rPr>
        <w:t>, der sich gegen die Wiederherstellung erhebt, zu verspüren.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Moment des Widerstandes ist eines der Fundamente seiner Theorie geworden. Die sonst unter allerlei Vorwänden (wie sie die obige Formel aufzählt) beseitigten Einfälle betrachtet er aber als Abkömmlinge der verdrängten psychischen Gebilde (Gedanken und Regungen), als Entstellungen derselben infolge des gegen ihre Reproduktion bestehenden Widerstandes.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Je größer der Widerstand, desto ausgiebiger diese Entstellung. In dieser Beziehung der unbeabsichtigten Einfälle zum verdrängten psychischen Material ruht nun ihr Wert für die therapeutische Technik. Wenn man ein Verfahren besitzt, welches ermöglicht, von den Einfällen aus zu dem Verdrängten, von den Entstellungen zum Entstellten zu gelangen, so kann man auch ohne Hypnose das früher Unbewußte im Seelenleben dem Bewußtsein zugänglich machen.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Freud hat darauf eine </w:t>
      </w:r>
      <w:r w:rsidRPr="008725BE">
        <w:rPr>
          <w:rFonts w:ascii="Garamond" w:hAnsi="Garamond"/>
          <w:i/>
          <w:iCs/>
          <w:color w:val="000000"/>
          <w:lang w:val="en-GB"/>
        </w:rPr>
        <w:t>Deutungskunst</w:t>
      </w:r>
      <w:r w:rsidRPr="008725BE">
        <w:rPr>
          <w:rFonts w:ascii="Garamond" w:hAnsi="Garamond"/>
          <w:color w:val="000000"/>
          <w:lang w:val="en-GB"/>
        </w:rPr>
        <w:t xml:space="preserve"> ausgebildet, welcher diese Leistung zufällt, die gleichsam aus den Erzen der unbeabsichtigten Einfälle den Metallgehalt an verdrängten Gedanken darstellen soll. Objekt dieser Deutungsarbeit sind nicht allein die Einfälle des Kranken, sondern auch seine Träume, die den direktesten Zugang zur Kenntnis des Unbewußten eröffnen, seine unbeabsichtigten wie planlosen Handlungen (Symptomhandlungen) und die Irrungen seiner Leistungen im Alltagsleben (Versprechen, Vergreifen u. dgl.). Die Details dieser Deutungs- oder Übersetzungstechnik sind von Freud noch nicht veröffentlicht worden. Es sind nach seinen Andeutungen eine Reihe von empirisch gewonnenen Regeln, wie aus den Einfällen das unbewußte Material zu konstruieren ist, Anweisungen, wie man es zu verstehen habe, wenn die Einfälle des Patienten versagen, und Erfahrungen über die wichtigsten typischen Widerstände, die sich im Laufe einer solchen Behandlung einstellen. Ein umfangreiches Buch über </w:t>
      </w:r>
      <w:r w:rsidRPr="008725BE">
        <w:rPr>
          <w:rFonts w:ascii="Garamond" w:hAnsi="Garamond"/>
          <w:i/>
          <w:iCs/>
          <w:color w:val="000000"/>
          <w:lang w:val="en-GB"/>
        </w:rPr>
        <w:t>Traumdeutung,</w:t>
      </w:r>
      <w:r w:rsidRPr="008725BE">
        <w:rPr>
          <w:rFonts w:ascii="Garamond" w:hAnsi="Garamond"/>
          <w:color w:val="000000"/>
          <w:lang w:val="en-GB"/>
        </w:rPr>
        <w:t xml:space="preserve"> 1900 von Freud publiziert, ist als Vorläufer einer solchen Einführung in die Technik anzusehen.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könnte aus diesen Andeutungen über die Technik der psychoanalytischen Methode schließen, daß deren Erfinder sich überflüssige Mühe verursacht und unrecht getan hat, das wenig komplizierte hypnotische Verfahren zu verlassen. Aber einerseits ist die Technik der Psychoanalyse viel leichter auszuüben, wenn man sie einmal erlernt hat, als es bei einer Beschreibung den Anschein hat, anderseits führt kein anderer Weg zum Ziele, und darum ist der mühselige Weg noch der kürzeste. Der Hypnose ist vorzuwerfen, daß sie den Widerstand verdeckt und dadurch dem Arzt den Einblick in das Spiel der psychischen Kräfte verwehrt hat. Sie räumt aber mit dem Widerstande nicht auf, sondern weicht ihm nur aus und ergibt darum nur unvollständige Auskünfte und nur vorübergehende Erfolge.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Aufgabe, welche die psychoanalytische Methode zu lösen bestrebt ist, läßt sich in verschiedenen Formeln ausdrücken, die aber ihrem Wesen nach äquivalent sind. Man kann sagen: Aufgabe der Kur sei, die Amnesien aufzuheben. Wenn alle Erinnerungslücken ausgefüllt, alle rätselhaften Effekte des psychischen Lebens aufgeklärt sind, ist der Fortbestand, ja eine Neubildung des Leidens unmöglich gemacht. Man kann die Bedingung anders fassen: es seien alle Verdrängungen rückgängig zu machen; der psychische Zustand ist dann derselbe, in dem alle Amnesien ausgefüllt sind. Weittragender ist eine andere Fassung: es handle sich darum, das Unbewußte dem Bewußtsein zugänglich zu machen, was durch Überwindung der Widerstände geschieht. Man darf aber dabei nicht vergessen, daß ein solcher Idealzustand auch beim normalen Menschen nicht besteht und daß man nur selten in die Lage kommen kann, die Behandlung annähernd so weit zu treiben. So wie Gesundheit und Krankheit nicht prinzipiell geschieden, sondern nur durch eine praktisch bestimmbare Summationsgrenze gesondert sind, so wird </w:t>
      </w:r>
      <w:r w:rsidRPr="008725BE">
        <w:rPr>
          <w:rFonts w:ascii="Garamond" w:hAnsi="Garamond"/>
          <w:color w:val="000000"/>
          <w:lang w:val="en-GB"/>
        </w:rPr>
        <w:lastRenderedPageBreak/>
        <w:t>man sich auch nie etwas anderes zum Ziel der Behandlung setzen als die praktische Genesung des Kranken, die Herstellung seiner Leistungs- und Genußfähigkeit. Bei unvollständiger Kur oder unvollkommenem Erfolge derselben erreicht man vor allem eine bedeutende Hebung des psychischen Allgemeinzustandes, während die Symptome, aber mit geminderter Bedeutung für den Kranken, fortbestehen können, ohne ihn zu einem Kranken zu stempeln.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therapeutische Verfahren bleibt, von geringen Modifikationen abgesehen, das nämliche für alle Symptombilder der vielgestaltigen Hysterie und ebenso für alle Ausbildungen der Zwangsneurose. Von einer unbeschränkten Anwendbarkeit desselben ist aber keine Rede. Die Natur der psychoanalytischen Methode schafft Indikationen und Gegenanzeigen sowohl von Seiten der zu behandelnden Personen als auch mit Rücksicht auf das Krankheitsbild. Am günstigsten für die Psychoanalyse sind die chronischen Fälle von Psychoneurosen mit wenig stürmischen oder gefahrdrohenden Symptomen, also zunächst alle Arten der Zwangsneurose, Zwangsdenken und Zwangshandeln, und Fälle von Hysterie, in denen Phobien und Abulien die Hauptrolle spielen, weiterhin aber auch alle somatischen Ausprägungen der Hysterie, insoferne nicht, wie bei der Anorexie, rasche Beseitigung der Symptome zur Hauptaufgabe des Arztes wird. Bei akuten Fällen von Hysterie wird man den Eintritt eines ruhigeren Stadiums abzuwarten haben; in allen Fällen, bei denen die nervöse Erschöpfung obenan steht, wird man ein Verfahren vermeiden, welches selbst Anstrengung erfordert, nur langsame Fortschritte zeitigt und auf die Fortdauer der Symptome eine Zeitlang keine Rücksicht nehmen kann.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An die Person, die man mit Vorteil der Psychoanalyse unterziehen soll, sind mehrfache Forderungen zu stellen. Sie muß erstens eines psychischen Normalzustandes fähig sein; in Zeiten der Verworrenheit oder melancholischer Depression ist auch bei einer Hysterie nichts auszurichten. Man darf ferner ein gewisses Maß natürlicher Intelligenz und ethischer Entwicklung fordern; bei wertlosen Personen läßt den Arzt bald das Interesse im Stiche, welches ihn zur Vertiefung in das Seelenleben des Kranken befähigt. Ausgeprägte Charakterverbildungen, Züge von wirklich degenerativer Konstitution äußern sich bei der Kur als Quelle von kaum zu überwindenden Widerständen. </w:t>
      </w:r>
      <w:r w:rsidRPr="008725BE">
        <w:rPr>
          <w:rFonts w:ascii="Garamond" w:hAnsi="Garamond"/>
          <w:color w:val="000000"/>
        </w:rPr>
        <w:t>Insoweit setzt überhaupt die Konstitution eine Grenze für die Heilbarkeit durch Psychotherapie. Auch eine Altersstufe in der Nähe des fünften Dezenniums schafft ungünstige Bedingungen für die Psychoanalyse. Die Masse des psychischen Materials ist dann nicht mehr zu bewältigen, die zur Herstellung erforderliche Zeit wird zu lang, und die Fähigkeit, psychische Vorgänge rückgängig zu machen, beginnt zu erlahmen.</w:t>
      </w:r>
    </w:p>
    <w:p w:rsidR="008725BE" w:rsidRPr="008725BE" w:rsidRDefault="008725BE" w:rsidP="008725BE">
      <w:pPr>
        <w:pStyle w:val="Sansinterligne"/>
        <w:rPr>
          <w:rFonts w:ascii="Garamond" w:hAnsi="Garamond"/>
          <w:color w:val="000000"/>
        </w:rPr>
      </w:pPr>
      <w:r w:rsidRPr="008725BE">
        <w:rPr>
          <w:rFonts w:ascii="Garamond" w:hAnsi="Garamond"/>
          <w:color w:val="000000"/>
        </w:rPr>
        <w:t>Trotz aller dieser Einschränkungen ist die Anzahl der für die Psychoanalyse geeigneten Personen eine außerordentlich große und die Erweiterung unseres therapeutischen Könnens durch dieses Verfahren nach den Behauptungen Freuds eine sehr beträchtliche. Freud beansprucht lange Zeiträume, ein halbes Jahr bis drei Jahre, für eine wirksame Behandlung; er gibt aber die Auskunft, daß er bisher infolge verschiedener leicht zu erratender Umstände meist nur in die Lage gekommen ist, seine Behandlung an sehr schweren Fällen zu erproben, Personen mit vieljähriger Krankheitsdauer und völliger Leistungsunfähigkeit, die, durch alle Behandlungen getäuscht, gleichsam eine letzte Zuflucht bei seinem neuen und viel angezweifelten Verfahren gesucht haben. In Fällen leichterer Erkrankung dürfte sich die Behandlungsdauer sehr verkürzen und ein außerordentlicher Gewinn an Vorbeugung für die Zukunft erzielen lassen.</w:t>
      </w:r>
    </w:p>
    <w:p w:rsidR="008725BE" w:rsidRPr="008725BE" w:rsidRDefault="008725BE" w:rsidP="008725BE">
      <w:pPr>
        <w:pStyle w:val="Sansinterligne"/>
        <w:rPr>
          <w:rFonts w:ascii="Garamond" w:hAnsi="Garamond"/>
          <w:caps/>
          <w:color w:val="000000"/>
        </w:rPr>
      </w:pPr>
      <w:r w:rsidRPr="008725BE">
        <w:rPr>
          <w:rFonts w:ascii="Garamond" w:hAnsi="Garamond"/>
          <w:color w:val="000000"/>
        </w:rPr>
        <w:br w:type="page"/>
      </w:r>
      <w:hyperlink w:anchor="KSinhalt" w:history="1">
        <w:r w:rsidRPr="008725BE">
          <w:rPr>
            <w:rStyle w:val="Lienhypertexte"/>
            <w:rFonts w:ascii="Garamond" w:hAnsi="Garamond" w:cs="Arial"/>
            <w:b/>
            <w:bCs/>
          </w:rPr>
          <w:t>Di</w:t>
        </w:r>
        <w:bookmarkStart w:id="155" w:name="KS20"/>
        <w:bookmarkEnd w:id="155"/>
        <w:r w:rsidRPr="008725BE">
          <w:rPr>
            <w:rStyle w:val="Lienhypertexte"/>
            <w:rFonts w:ascii="Garamond" w:hAnsi="Garamond" w:cs="Arial"/>
            <w:b/>
            <w:bCs/>
          </w:rPr>
          <w:t>e Handhabung der Traumdeutung in der Psychoanalyse</w:t>
        </w:r>
      </w:hyperlink>
      <w:r w:rsidRPr="008725BE">
        <w:rPr>
          <w:rFonts w:ascii="Garamond" w:hAnsi="Garamond"/>
          <w:color w:val="000000"/>
        </w:rPr>
        <w:t xml:space="preserve">  </w:t>
      </w:r>
      <w:r w:rsidRPr="008725BE">
        <w:rPr>
          <w:rFonts w:ascii="Garamond" w:hAnsi="Garamond"/>
          <w:caps/>
          <w:color w:val="000000"/>
        </w:rPr>
        <w:t>(1911)</w:t>
      </w:r>
    </w:p>
    <w:p w:rsidR="008725BE" w:rsidRPr="008725BE" w:rsidRDefault="008725BE" w:rsidP="008725BE">
      <w:pPr>
        <w:pStyle w:val="Sansinterligne"/>
        <w:rPr>
          <w:rFonts w:ascii="Garamond" w:hAnsi="Garamond"/>
          <w:color w:val="000000"/>
        </w:rPr>
      </w:pPr>
      <w:r w:rsidRPr="008725BE">
        <w:rPr>
          <w:rFonts w:ascii="Garamond" w:hAnsi="Garamond"/>
          <w:color w:val="000000"/>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Das </w:t>
      </w:r>
      <w:r w:rsidRPr="008725BE">
        <w:rPr>
          <w:rFonts w:ascii="Garamond" w:hAnsi="Garamond"/>
          <w:i/>
          <w:iCs/>
          <w:color w:val="000000"/>
        </w:rPr>
        <w:t>Zentralblatt für Psychoanalyse</w:t>
      </w:r>
      <w:r w:rsidRPr="008725BE">
        <w:rPr>
          <w:rFonts w:ascii="Garamond" w:hAnsi="Garamond"/>
          <w:color w:val="000000"/>
        </w:rPr>
        <w:t xml:space="preserve"> hat sich nicht nur die eine Aufgabe gesetzt, über die Fortschritte der Psychoanalyse zu orientieren und selbst kleinere Beiträge zur Veröffentlichung zu bringen, sondern möchte auch den anderen Aufgaben genügen, das bereits Erkannte in klarer Fassung dem Lernenden vorzulegen und dem Anfänger in der analytischen Behandlung durch geeignete Anweisungen Aufwand an Zeit und Mühe zu ersparen. </w:t>
      </w:r>
      <w:r w:rsidRPr="008725BE">
        <w:rPr>
          <w:rFonts w:ascii="Garamond" w:hAnsi="Garamond"/>
          <w:color w:val="000000"/>
          <w:lang w:val="en-GB"/>
        </w:rPr>
        <w:t>Es werden darum in dieser Zeitschrift von nun an auch Aufsätze didaktischer Natur und technischen Inhaltes erscheinen, an denen es nicht wesentlich ist, ob sie auch etwas Neues mitteilen.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Frage, die ich heute zu behandeln gedenke, ist nicht die nach der Technik der Traumdeutung. Es soll nicht erörtert werden, wie man Träume zu deuten und deren Deutung zu verwerten habe, sondern nur, welchen Gebrauch man bei der psychoanalytischen Behandlung von Kranken von der Kunst der Traumdeutung machen solle. Man kann dabei gewiß in verschiedener Weise vorgehen, aber die Antwort auf technische Fragen ist in der Psychoanalyse niemals selbstverständlich. Wenn es vielleicht mehr als nur einen guten Weg gibt, so gibt es doch sehr viele schlechte, und eine Vergleichung verschiedener Techniken kann nur aufklärend wirken, auch wenn sie nicht zur Entscheidung für eine bestimmte Methode führen sollte.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Wer von der Traumdeutung her zur analytischen Behandlung kommt, der wird sein Interesse für den Inhalt der Träume festhalten und darum jeden Traum, den ihm der Kranke erzählt, zur möglichst vollständigen Deutung bringen wollen. Er wird aber bald merken können, daß er sich nun unter ganz andersartigen Verhältnissen befindet und daß er mit den nächsten Aufgaben der Therapie in Kollision gerät, wenn er seinen Vorsatz durchführen will. Erwies sich etwa der erste Traum des Patienten als vortrefflich brauchbar für die Anknüpfung der ersten an den Kranken zu richtenden Aufklärungen, so stellen sich alsbald Träume ein, die so lang und so dunkel sind, daß ihre Deutung in der begrenzten Arbeitsstunde eines Tages nicht zu Ende gebracht werden kann. Setzt der Arzt diese Deutungsarbeit durch die nächsten Tage fort, so wird ihm unterdes von neuen Träumen berichtet, die zurückgestellt werden müssen, bis er den ersten Traum für erledigt halten kann. Gelegentlich ist die Traumproduktion so reichlich und der Fortschritt des Kranken im Verständnis der Träume dabei so zögernd, daß der Analytiker sich der Idee nicht erwehren kann, diese Art der Darreichung des Materials sei nur eine Äußerung des Widerstandes, welcher sich der Erfahrung bedient, daß die Kur den ihr so gebotenen Stoff nicht bewältigen kann. Unterdes ist die Kur aber ein ganzes Stück hinter der Gegenwart zurückgeblieben und hat den Kontakt mit der Aktualität eingebüßt. Einer solchen Technik muß man die Regel entgegenhalten, daß es für die Behandlung von größter Bedeutung ist, die jeweilige psychische Oberfläche des Kranken zu kennen, darüber orientiert zu sein, welche Komplexe und welche Widerstände derzeit bei ihm regegemacht sind und welche bewußte Reaktion dagegen sein Benehmen leiten wird. Dieses therapeutische Ziel darf kaum jemals zugunsten des Interesses an der Traumdeutung hintangesetzt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Wie soll man es also mit der Traumdeutung in der Analyse halten, wenn man jener Regel eingedenk bleiben will? Etwa so: Man begnüge sich jedesmal mit dem Ergebnis an Deutung, welches in einer Stunde zu gewinnen ist, und halte es nicht für einen Verlust, daß man den Inhalt des Traumes nicht vollständig erkannt hat. Am nächsten Tage setze man die Deutungsarbeit nicht wie selbstverständlich fort, sondern erst dann, wenn man merkt, daß inzwischen nichts anderes sich beim Kranken in den Vordergrund gedrängt hat. Man mache also von der Regel, immer das zu nehmen, was dem Kranken zunächst in den Sinn kommt, zugunsten einer unterbrochenen Traumdeutung keine Ausnahme. Haben sich neue Träume eingestellt, ehe man die früheren zu Ende gebracht, so wende man sich diesen rezenteren Produktionen zu und mache sich aus der Vernachlässigung der älteren keinen Vorwurf. Sind die Träume gar zu umfänglich und weitschweifig geworden, so verzichte man bei sich von vornherein auf eine vollständige Lösung. Man hüte sich im allgemeinen davor, ein ganz besonderes Interesse für die Deutung der Träume an den Tag zu legen oder im Kranken die Meinung zu erwecken, daß die Arbeit stillestehen müsse, wenn er keine Träume bringe. Man läuft sonst Gefahr, den Widerstand auf die Traumproduktion zu lenken und ein Versiegen der Träume hervorzurufen. Der Analysierte muß vielmehr zur Überzeugung erzogen werden, daß die Analyse in jedem Falle Material zu ihrer Fortsetzung findet, gleichgültig ob er Träume beibringt oder nicht und in welchem Ausmaße man sich mit ihnen beschäftigt.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Man wird nun fragen: Verzichtet man nicht auf zuviel wertvolles Material zur Aufdeckung des Unbewußten, wenn man die Traumdeutung nur unter solchen methodischen Einschränkungen ausübt? Darauf ist folgendes zu erwidern: Der Verlust ist keineswegs so groß, wie es bei geringer Vertiefung in den </w:t>
      </w:r>
      <w:r w:rsidRPr="008725BE">
        <w:rPr>
          <w:rFonts w:ascii="Garamond" w:hAnsi="Garamond"/>
          <w:color w:val="000000"/>
          <w:lang w:val="en-GB"/>
        </w:rPr>
        <w:lastRenderedPageBreak/>
        <w:t xml:space="preserve">Sachverhalt erscheinen wird. Man mache sich einerseits klar, daß irgend ausführliche Traumproduktionen bei schweren Fällen von Neurosen nach allen Voraussetzungen als prinzipiell nicht vollständig lösbar beurteilt werden müssen. Ein solcher Traum baut sich oft über dem gesamten pathogenen Material des Falles auf, welches Arzt und Patient noch nicht kennen (sogenannte Programmträume, biographische Träume); er ist gelegentlich einer Übersetzung des ganzen Inhalts der Neurose in die Traumsprache gleichzustellen. Beim Versuch, einen solchen Traum zu deuten, werden alle noch unangetastet vorhandenen Widerstände zur Wirkung kommen und der Einsicht bald eine Grenze setzen. </w:t>
      </w:r>
      <w:r w:rsidRPr="008725BE">
        <w:rPr>
          <w:rFonts w:ascii="Garamond" w:hAnsi="Garamond"/>
          <w:color w:val="000000"/>
        </w:rPr>
        <w:t xml:space="preserve">Die vollständige Deutung eines solchen Traumes fällt eben zusammen mit der Ausführung der ganzen Analyse. </w:t>
      </w:r>
      <w:r w:rsidRPr="008725BE">
        <w:rPr>
          <w:rFonts w:ascii="Garamond" w:hAnsi="Garamond"/>
          <w:color w:val="000000"/>
          <w:lang w:val="en-GB"/>
        </w:rPr>
        <w:t>Hat man ihn zu Beginn der Analyse notiert, so kann man ihn etwa am Ende derselben, nach vielen Monaten, verstehen. Es ist derselbe Fall wie beim Verständnis eines einzelnen Symptoms (des Hauptsymptoms etwa). Die ganze Analyse dient der Aufklärung desselben; während der Behandlung muß man der Reihe nach bald dies, bald jenes Stück der Symptombedeutung zu erfassen suchen, bis man all diese Stücke zusammensetzen kann. Mehr darf man also auch von einem zu Anfang der Analyse vorfallenden Traume nicht verlangen; man muß sich zufriedengeben, wenn man aus dem Deutungsversuch zunächst eine einzelne pathogene Wunschregung errät.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verzichtet also auf nichts Erreichbares, wenn man die Absicht einer vollständigen Traumdeutung aufgibt. Man verliert aber auch in der Regel nichts, wenn man die Deutung eines älteren Traumes abbricht, um sich einem rezenteren zuzuwenden. Wir haben aus schönen Beispielen voll gedeuteter Träume erfahren, daß mehrere aufeinanderfolgende Szenen desselben Traumes den nämlichen Inhalt haben können, der sich in ihnen etwa mit steigender Deutlichkeit durchsetzt. Wir haben ebenso gelernt, daß mehrere in derselben Nacht vorfallende Träume nichts anderes zu sein brauchen als Versuche, denselben Inhalt in verschiedener Ausdrucksweise darzustellen. Wir können ganz allgemein versichert sein, daß jede Wunschregung, die sich heute einen Traum schafft, in einem anderen Traume wiederkehren wird, solange sie nicht verstanden und der Herrschaft des Unbewußten entzogen ist. So wird auch oft der beste Weg, um die Deutung eines Traumes zu vervollständigen, darin bestehen, daß man ihn verläßt, um sich dem neuen Traume zu widmen, der das nämliche Material in vielleicht zugänglicherer Form wiederaufnimmt. Ich weiß, daß es nicht nur für den Analysierten, sondern auch für den Arzt eine starke Zumutung ist, die bewußten Zielvorstellungen bei der Behandlung aufzugeben und sich ganz einer Leitung zu überlassen, die uns doch immer wieder als »zufällig« erscheint. Aber ich kann versichern, es lohnt sich jedesmal, wenn man sich entschließt, seinen eigenen theoretischen Behauptungen Glauben zu schenken, und sich dazu überwindet, die Herstellung des Zusammenhanges der Führung des Unbewußten nicht streitig zu machen.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plädiere also dafür, daß die Traumdeutung in der analytischen Behandlung nicht als Kunst um ihrer selbst willen betrieben werden soll, sondern daß ihre Handhabung jenen technischen Regeln unterworfen werde, welche die Ausführung der Kur überhaupt beherrschen. Natürlich kann man es gelegentlich auch anders machen und seinem theoretischen Interesse ein Stück weit nachgehen. Man muß dabei aber immer wissen, was man tut. Ein anderer Fall ist noch in Betracht zu ziehen, der sich ergeben hat, seitdem wir zu unserem Verständnis der Traumsymbolik größeres Zutrauen haben und uns von den Einfällen der Patienten unabhängiger wissen. Ein besonders geschickter Traumdeuter kann sich etwa in der Lage befinden, daß er jeden Traum des Patienten durchschaut, ohne diesen zur mühsamen und zeitraubenden Bearbeitung des Traumes anhalten zu müssen. Für einen solchen Analytiker entfallen also alle Konflikte zwischen den Anforderungen der Traumdeutung und jenen der Therapie. Er wird sich auch versucht fühlen, die Traumdeutung jedesmal voll auszunützen und dem Patienten alles mitzuteilen, was er aus seinen Träumen erraten hat. Dabei hat er aber eine Methodik der Behandlung eingeschlagen, die von der regulären nicht unerheblich abweicht, wie ich in anderem Zusammenhange dartun werde. Dem Anfänger in der psychoanalytischen Behandlung ist jedenfalls zu widerraten, daß er sich diesen außergewöhnlichen Fall zum Vorbild nehme.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Gegen die allerersten Träume, die ein Patient in der analytischen Behandlung mitteilt, solange er selbst noch nichts von der Technik der Traumübersetzung gelernt hat, verhält sich jeder Analytiker wie jener von uns angenommene überlegene Traumdeuter. Diese initialen Träume sind sozusagen naiv, sie verraten dem Zuhörer sehr viel, ähnlich wie die Träume sogenannt gesunder Menschen. Es entsteht nun die Frage, soll der Arzt auch sofort dem Kranken alles übersetzen, was er selbst aus dem Traume herausgelesen hat. Diese Frage soll aber hier nicht beantwortet werden, denn sie ist offenbar der umfassenderen Frage untergeordnet, in welchen Phasen der Behandlung und in welchem Tempo der Kranke in die Kenntnis des ihm seelisch Verhüllten vom Arzte eingeführt werden soll. Je mehr dann der Patient von der Übung </w:t>
      </w:r>
      <w:r w:rsidRPr="008725BE">
        <w:rPr>
          <w:rFonts w:ascii="Garamond" w:hAnsi="Garamond"/>
          <w:color w:val="000000"/>
          <w:lang w:val="en-GB"/>
        </w:rPr>
        <w:lastRenderedPageBreak/>
        <w:t>der Traumdeutung erlernt hat, desto dunkler werden in der Regel seine späteren Träume. Alles erworbene Wissen um den Traum dient auch der Traumbildung als Warnung.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den »wissenschaftlichen« Arbeiten über den Traum, die trotz der Ablehnung der Traumdeutung einen neuen Impuls durch die Psychoanalyse empfangen haben, findet man immer wieder eine recht überflüssige Sorgfalt auf die getreue Erhaltung des Traumtextes verlegt, der angeblich vor den Entstellungen und Usuren der nächsten Tagesstunden bewahrt werden muß. Auch manche Psychoanalytiker scheinen sich ihrer Einsicht in die Bedingungen der Traumbildung nicht konsequent genug zu bedienen, wenn sie dem Behandelten den Auftrag geben, jeden Traum unmittelbar nach dem Erwachen schriftlich zu fixieren. Diese Maßregel ist in der Therapie überflüssig; auch bedienen sich die Kranken der Vorschrift gern, um sich im Schlafe zu stören und einen großen Eifer dort anzubringen, wo er nicht von Nutzen sein kann. Hat man nämlich auf solche Weise mühselig einen Traumtext gerettet, der sonst vom Vergessen verzehrt worden wäre, so kann man sich doch leicht überzeugen, daß für den Kranken damit nichts erreicht ist. Zu dem Text stellen sich die Einfälle nicht ein, und der Effekt ist der nämliche, als ob der Traum nicht erhalten geblieben wäre. Der Arzt hat allerdings in dem einen Falle etwas erfahren, was ihm im anderen entgangen wäre. Aber es ist nicht dasselbe, ob der Arzt oder ob der Patient etwas weiß; die Bedeutung dieses Unterschiedes für die Technik der Psychoanalyse soll ein anderes Mal von uns gewürdigt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will endlich noch einen besonderen Typus von Träumen erwähnen, die ihren Bedingungen nach nur in einer psychoanalytischen Kur vorkommen können und die den Anfänger befremden oder irreführen mögen. Es sind dies die sogenannten nachhinkenden oder bestätigenden Träume, die der Deutung leicht zugänglich sind und als Übersetzung nichts anderes ergeben, als was die Kur in den letzten Tagen aus dem Material der Tageseinfälle erschlossen hatte. Es sieht dann so aus, als hätte der Patient die Liebenswürdigkeit gehabt, gerade das in Traumform zu bringen, was man ihm unmittelbar vorher »suggeriert« hat. Der geübtere Analytiker hat allerdings Schwierigkeiten, seinem Patienten solche Liebenswürdigkeiten zuzumuten; er greift solche Träume als erwünschte Bestätigungen auf und konstatiert, daß sie nur unter bestimmten Bedingungen der Beeinflussung durch die Kur beobachtet werden. Die weitaus zahlreichsten Träume eilen ja der Kur voran, so daß sich aus ihnen nach Abzug von allem bereits Bekannten und Verständlichen ein mehr oder minder deutlicher Hinweis auf etwas, was bisher verborgen war, ergibt.</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Di</w:t>
        </w:r>
        <w:bookmarkStart w:id="156" w:name="KS21"/>
        <w:bookmarkEnd w:id="156"/>
        <w:r w:rsidRPr="008725BE">
          <w:rPr>
            <w:rStyle w:val="Lienhypertexte"/>
            <w:rFonts w:ascii="Garamond" w:hAnsi="Garamond" w:cs="Arial"/>
            <w:b/>
            <w:bCs/>
            <w:lang w:val="en-GB"/>
          </w:rPr>
          <w:t>e Ichspaltung im Abwehrvorgang</w:t>
        </w:r>
      </w:hyperlink>
      <w:r w:rsidRPr="008725BE">
        <w:rPr>
          <w:rFonts w:ascii="Garamond" w:hAnsi="Garamond"/>
          <w:color w:val="000000"/>
          <w:lang w:val="en-GB"/>
        </w:rPr>
        <w:t xml:space="preserve">  </w:t>
      </w:r>
      <w:r w:rsidRPr="008725BE">
        <w:rPr>
          <w:rFonts w:ascii="Garamond" w:hAnsi="Garamond"/>
          <w:caps/>
          <w:color w:val="000000"/>
          <w:lang w:val="en-GB"/>
        </w:rPr>
        <w:t>(1940)</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befinde mich einen Moment lang in der interessanten Lage, nicht zu wissen, ob das, was ich mitteilen will, als längst bekannt und selbstverständlich oder als völlig neu und befremdend gewertet werden soll. Ich glaube aber eher das letztere.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mir endlich aufgefallen, daß das jugendliche Ich der Person, die man Jahrzehnte später als analytischen Patienten kennenlernt, sich in bestimmten Situationen der Bedrängnis in merkwürdiger Weise benommen hat. Die Bedingung hiefür kann man allgemein und eher unbestimmt angeben, wenn man sagt, es geschieht unter der Einwirkung eines psychischen Traumas. Ich ziehe es vor, einen scharf umschriebenen Einzelfall hervorzuheben, der gewiß nicht alle Möglichkeiten der Verursachung deckt. Das Ich des Kindes befinde sich also im Dienste eines mächtigen Triebanspruchs, den zu befriedigen es gewohnt ist, und wird plötzlich durch ein Erlebnis geschreckt, das ihn lehrt, die Fortsetzung dieser Befriedigung werde eine schwer erträgliche reale Gefahr zur Folge haben. Es soll sich nun entscheiden: entweder die reale Gefahr anerkennen, sich vor ihr beugen und auf die Triebbefriedigung verzichten, oder die Realität verleugnen, sich glauben machen, daß kein Grund zum Fürchten besteht, damit es an der Befriedigung festhalten kann. Es ist also ein Konflikt zwischen dem Anspruch des Triebes und dem Einspruch der Realität. Das Kind tut aber keines von beiden, oder vielmehr, es tut gleichzeitig beides, was auf dasselbe hinauskommt. Es antwortet auf den Konflikt mit zwei entgegengesetzten Reaktionen, beide giltig und wirksam. Einerseits weist es mit Hilfe bestimmter Mechanismen die Realität ab und läßt sich nichts verbieten, anderseits anerkennt es im gleichen Atem die Gefahr der Realität, nimmt die Angst vor ihr als Leidenssymptom auf sich und sucht sich später ihrer zu erwehren. Man muß zugeben, das ist eine sehr geschickte Lösung der Schwierigkeit. Beide streitende Parteien haben ihr Teil bekommen; der Trieb darf seine Befriedigung behalten, der Realität ist der gebührende Respekt gezollt worden. Aber umsonst ist bekanntlich nur der Tod. Der Erfolg wurde erreicht auf Kosten eines Einrisses im Ich, der nie wieder verheilen, aber sich mit der Zeit vergrößern wird. Die beiden entgegengesetzten Reaktionen auf den Konflikt bleiben als Kern einer Ichspaltung bestehen. Der ganze Vorgang erscheint uns so sonderbar, weil wir die Synthese der Ichvorgänge für etwas Selbstverständliches halten. Aber wir haben offenbar darin unrecht. Die so außerordentlich wichtige synthetische Funktion des Ichs hat ihre besonderen Bedingungen und unterliegt einer ganzen Reihe von Störungen.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kann nur von Vorteil sein, wenn ich in diese schematische Darstellung die Daten einer besonderen Krankengeschichte einsetze. Ein Knabe hat im Alter zwischen drei und vier Jahren das weibliche Genitale kennengelernt durch Verführung von Seiten eines älteren Mädchens. Nach Abbruch dieser Beziehungen setzt er die so empfangene sexuelle Anregung in eifriger manueller Onanie fort, wird aber bald von der energischen Kinderpflegerin ertappt und mit der Kastration bedroht, deren Ausführung, wie gewöhnlich, dem Vater zugeschoben wird. Die Bedingungen für eine ungeheure Schreckwirkung sind in diesem Falle gegeben. Die Kastrationsdrohung für sich allein muß nicht viel Eindruck machen, das Kind verweigert ihr den Glauben, es kann sich nicht leicht vorstellen, daß eine Trennung von dem so hoch eingeschätzten Körperteil möglich ist. Beim Anblick des weiblichen Genitales hätte sich das Kind von einer solchen Möglichkeit überzeugen können, aber das Kind hatte damals den Schluß nicht gezogen, weil die Abneigung dagegen zu groß und kein Motiv vorhanden war, das ihn erzwang. Im Gegenteile, was sich etwa an Unbehagen regte, wurde durch die Auskunft beschwichtigt, was da fehlt, wird noch kommen, es –; das Glied –; wird ihr später wachsen. Wer genug kleine Knaben beobachtet hat, kann sich an eine solche Äußerung beim Anblick des Genitales der kleinen Schwester erinnern. Anders aber, wenn beide Momente zusammengetroffen sind. Dann weckt die Drohung die Erinnerung an die für harmlos gehaltene Wahrnehmung und findet in ihr die gefürchtete Bestätigung. Der Knabe glaubt jetzt zu verstehen, warum das Genitale des Mädchens keinen Penis zeigte, und wagt es nicht mehr zu bezweifeln, daß seinem eigenen Genitale das gleiche widerfahren kann. Er muß fortan an die Realität der Kastrationsgefahr glauben.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gewöhnliche, die als normal geltende Folge des Kastrationsschrecks ist nun, daß der Knabe der Drohung nachgibt, im vollen oder wenigstens im partiellen Gehorsam –; indem er nicht mehr die Hand ans Genitale führt –;, entweder sofort oder nach längerem Kampf, also auf die Befriedigung des Triebes ganz oder teilweise verzichtet. Wir sind aber darauf vorbereitet, daß unser Patient sich anders zu helfen wußte. Er schuf sich einen Ersatz für den vermißten Penis des Weibes, einen Fetisch. Damit hatte er zwar die Realität verleugnet, aber seinen eigenen Penis gerettet. Wenn er nicht anerkennen mußte, daß das Weib ihren Penis verloren hatte, so büßte die ihm erteilte Drohung ihre Glaubwürdigkeit ein, dann brauchte er auch für seinen Penis nicht zu fürchten, konnte ungestört seine Masturbation fortsetzen. Dieser Akt </w:t>
      </w:r>
      <w:r w:rsidRPr="008725BE">
        <w:rPr>
          <w:rFonts w:ascii="Garamond" w:hAnsi="Garamond"/>
          <w:color w:val="000000"/>
          <w:lang w:val="en-GB"/>
        </w:rPr>
        <w:lastRenderedPageBreak/>
        <w:t>unseres Patienten imponiert uns als eine Abwendung von der Realität, als ein Vorgang, den wir gern der Psychose vorbehalten möchten. Er ist auch nicht viel anders, aber wir wollen doch unser Urteil suspendieren, denn bei näherer Betrachtung entdecken wir einen nicht unwichtigen Unterschied. Der Knabe hat nicht einfach seiner Wahrnehmung widersprochen, einen Penis dorthin halluziniert, wo keiner zu sehen war, sondern er hat nur eine Wertverschiebung vorgenommen, die Penisbedeutung einem anderen Körperteil übertragen, wobei ihm –; in hier nicht anzuführender Weise –; der Mechanismus der Regression zu Hilfe kam. Freilich betraf diese Verschiebung nur den Körper des Weibes, für den eigenen Penis änderte sich nichts.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man möchte sagen, kniffige Behandlung der Realität entscheidet über das praktische Benehmen des Knaben. Er betreibt seine Masturbation weiter, als ob sie seinem Penis keine Gefahr bringen könnte, aber gleichzeitig entwickelt er in vollem Widerspruch zu seiner anscheinenden Tapferkeit oder Unbekümmertheit ein Symptom, welches beweist, daß er diese Gefahr doch anerkennt. Es ist ihm angedroht worden, daß der Vater ihn kastrieren wird, und unmittelbar nachher, gleichzeitig mit der Schöpfung des Fetisch, tritt bei ihm eine intensive Angst vor der Bestrafung durch den Vater auf, die ihn lange beschäftigen wird, die er nur mit dem ganzen Aufwand seiner Männlichkeit bewältigen und überkompensieren kann. Auch diese Angst vor dem Vater schweigt von der Kastration. Mit Hilfe der Regression auf eine orale Phase erscheint sie als Angst, vom Vater gefressen zu werden. Es ist unmöglich, hier nicht eines urtümlichen Stücks der griechischen Mythologie zu gedenken, das berichtet, wie der alte Vatergott Kronos seine Kinder verschlingt und auch den jüngsten Sohn Zeus verschlingen will und wie der durch die List der Mutter gerettete Zeus später den Vater entmannt. Um aber zu unserem Fall zurückzukehren, fügen wir hinzu, daß er noch ein anderes, wenn auch geringfügiges Symptom produzierte, das er bis auf den heutigen Tag festgehalten hat, eine ängstliche Empfindlichkeit seiner beiden kleinen Zehen gegen Berührung, als ob in dem sonstigen Hin und Her von Verleugnung und Anerkennung der Kastration doch noch ein deutlicherer Ausdruck zukäme. .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Di</w:t>
        </w:r>
        <w:bookmarkStart w:id="157" w:name="KS22"/>
        <w:bookmarkEnd w:id="157"/>
        <w:r w:rsidRPr="008725BE">
          <w:rPr>
            <w:rStyle w:val="Lienhypertexte"/>
            <w:rFonts w:ascii="Garamond" w:hAnsi="Garamond" w:cs="Arial"/>
            <w:b/>
            <w:bCs/>
            <w:lang w:val="en-GB"/>
          </w:rPr>
          <w:t>e infantile Genitalorganisation</w:t>
        </w:r>
      </w:hyperlink>
      <w:r w:rsidRPr="008725BE">
        <w:rPr>
          <w:rFonts w:ascii="Garamond" w:hAnsi="Garamond"/>
          <w:color w:val="000000"/>
          <w:lang w:val="en-GB"/>
        </w:rPr>
        <w:t xml:space="preserve">  </w:t>
      </w:r>
      <w:r w:rsidRPr="008725BE">
        <w:rPr>
          <w:rFonts w:ascii="Garamond" w:hAnsi="Garamond"/>
          <w:caps/>
          <w:color w:val="000000"/>
          <w:lang w:val="en-GB"/>
        </w:rPr>
        <w:t>(1923)</w:t>
      </w:r>
    </w:p>
    <w:p w:rsidR="008725BE" w:rsidRPr="008725BE" w:rsidRDefault="008725BE" w:rsidP="008725BE">
      <w:pPr>
        <w:pStyle w:val="Sansinterligne"/>
        <w:rPr>
          <w:rFonts w:ascii="Garamond" w:hAnsi="Garamond"/>
          <w:caps/>
          <w:color w:val="000000"/>
          <w:lang w:val="en-GB"/>
        </w:rPr>
      </w:pPr>
    </w:p>
    <w:p w:rsidR="008725BE" w:rsidRPr="008725BE" w:rsidRDefault="008725BE" w:rsidP="008725BE">
      <w:pPr>
        <w:pStyle w:val="Sansinterligne"/>
        <w:rPr>
          <w:rFonts w:ascii="Garamond" w:hAnsi="Garamond"/>
          <w:caps/>
          <w:color w:val="000000"/>
          <w:lang w:val="en-GB"/>
        </w:rPr>
      </w:pPr>
      <w:r w:rsidRPr="008725BE">
        <w:rPr>
          <w:rFonts w:ascii="Garamond" w:hAnsi="Garamond"/>
          <w:caps/>
          <w:color w:val="000000"/>
          <w:lang w:val="en-GB"/>
        </w:rPr>
        <w:t>(</w:t>
      </w:r>
      <w:r w:rsidRPr="008725BE">
        <w:rPr>
          <w:rFonts w:ascii="Garamond" w:hAnsi="Garamond"/>
          <w:i/>
          <w:caps/>
          <w:color w:val="000000"/>
          <w:lang w:val="en-GB"/>
        </w:rPr>
        <w:t>E</w:t>
      </w:r>
      <w:r w:rsidRPr="008725BE">
        <w:rPr>
          <w:rFonts w:ascii="Garamond" w:hAnsi="Garamond"/>
          <w:i/>
          <w:color w:val="000000"/>
          <w:lang w:val="en-GB"/>
        </w:rPr>
        <w:t>ine einschaltung in die sexualtheorie</w:t>
      </w:r>
      <w:r w:rsidRPr="008725BE">
        <w:rPr>
          <w:rFonts w:ascii="Garamond" w:hAnsi="Garamond"/>
          <w:caps/>
          <w:color w:val="000000"/>
          <w:lang w:val="en-GB"/>
        </w:rPr>
        <w:t>)</w:t>
      </w:r>
    </w:p>
    <w:p w:rsidR="008725BE" w:rsidRPr="008725BE" w:rsidRDefault="008725BE" w:rsidP="008725BE">
      <w:pPr>
        <w:pStyle w:val="Sansinterligne"/>
        <w:rPr>
          <w:rFonts w:ascii="Garamond" w:hAnsi="Garamond"/>
          <w:caps/>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recht bezeichnend für die Schwierigkeit der Forschungsarbeit in der Psychoanalyse, daß es möglich ist, allgemeine Züge und charakteristische Verhältnisse trotz unausgesetzter jahrzehntelanger Beobachtung zu übersehen, bis sie einem endlich einmal unverkennbar entgegentreten; eine solche Vernachlässigung auf dem Gebiet der infantilen Sexualentwicklung möchte ich durch die nachstehenden Bemerkungen gutmachen.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Den Lesern meiner </w:t>
      </w:r>
      <w:r w:rsidRPr="008725BE">
        <w:rPr>
          <w:rFonts w:ascii="Garamond" w:hAnsi="Garamond"/>
          <w:i/>
          <w:iCs/>
          <w:color w:val="000000"/>
          <w:lang w:val="en-GB"/>
        </w:rPr>
        <w:t>Drei Abhandlungen zur Sexualtheorie</w:t>
      </w:r>
      <w:r w:rsidRPr="008725BE">
        <w:rPr>
          <w:rFonts w:ascii="Garamond" w:hAnsi="Garamond"/>
          <w:color w:val="000000"/>
          <w:lang w:val="en-GB"/>
        </w:rPr>
        <w:t xml:space="preserve"> (1905  </w:t>
      </w:r>
      <w:r w:rsidRPr="008725BE">
        <w:rPr>
          <w:rFonts w:ascii="Garamond" w:hAnsi="Garamond"/>
          <w:i/>
          <w:iCs/>
          <w:color w:val="000000"/>
          <w:lang w:val="en-GB"/>
        </w:rPr>
        <w:t>d</w:t>
      </w:r>
      <w:r w:rsidRPr="008725BE">
        <w:rPr>
          <w:rFonts w:ascii="Garamond" w:hAnsi="Garamond"/>
          <w:color w:val="000000"/>
          <w:lang w:val="en-GB"/>
        </w:rPr>
        <w:t xml:space="preserve">) wird es bekannt sein, daß ich in den späteren Ausgaben dieser Schrift niemals eine Umarbeitung vorgenommen, sondern die ursprüngliche Anordnung gewahrt habe und den Fortschritten unserer Einsicht durch Einschaltungen und Abänderungen des Textes gerecht geworden bin. Dabei mag es oft vorgekommen sein, daß das Alte und das Neuere sich nicht gut zu einer widerspruchsfreien Einheit verschmelzen ließen. Anfänglich ruhte ja der Akzent auf der Darstellung der fundamentalen Verschiedenheit im Sexualleben der Kinder und der Erwachsenen, später drängten sich die </w:t>
      </w:r>
      <w:r w:rsidRPr="008725BE">
        <w:rPr>
          <w:rFonts w:ascii="Garamond" w:hAnsi="Garamond"/>
          <w:i/>
          <w:iCs/>
          <w:color w:val="000000"/>
          <w:lang w:val="en-GB"/>
        </w:rPr>
        <w:t>prägenitalen Organisationen</w:t>
      </w:r>
      <w:r w:rsidRPr="008725BE">
        <w:rPr>
          <w:rFonts w:ascii="Garamond" w:hAnsi="Garamond"/>
          <w:color w:val="000000"/>
          <w:lang w:val="en-GB"/>
        </w:rPr>
        <w:t xml:space="preserve"> der Libido in den Vordergrund und die merkwürdige und folgenschwere Tatsache des </w:t>
      </w:r>
      <w:r w:rsidRPr="008725BE">
        <w:rPr>
          <w:rFonts w:ascii="Garamond" w:hAnsi="Garamond"/>
          <w:i/>
          <w:iCs/>
          <w:color w:val="000000"/>
          <w:lang w:val="en-GB"/>
        </w:rPr>
        <w:t>zweizeitigen Ansatzes</w:t>
      </w:r>
      <w:r w:rsidRPr="008725BE">
        <w:rPr>
          <w:rFonts w:ascii="Garamond" w:hAnsi="Garamond"/>
          <w:color w:val="000000"/>
          <w:lang w:val="en-GB"/>
        </w:rPr>
        <w:t xml:space="preserve"> der Sexualentwicklung. Endlich nahm die infantile </w:t>
      </w:r>
      <w:r w:rsidRPr="008725BE">
        <w:rPr>
          <w:rFonts w:ascii="Garamond" w:hAnsi="Garamond"/>
          <w:i/>
          <w:iCs/>
          <w:color w:val="000000"/>
          <w:lang w:val="en-GB"/>
        </w:rPr>
        <w:t>Sexualforschung</w:t>
      </w:r>
      <w:r w:rsidRPr="008725BE">
        <w:rPr>
          <w:rFonts w:ascii="Garamond" w:hAnsi="Garamond"/>
          <w:color w:val="000000"/>
          <w:lang w:val="en-GB"/>
        </w:rPr>
        <w:t xml:space="preserve"> unser Interesse in Anspruch, und von ihr aus ließ sich die weitgehende </w:t>
      </w:r>
      <w:r w:rsidRPr="008725BE">
        <w:rPr>
          <w:rFonts w:ascii="Garamond" w:hAnsi="Garamond"/>
          <w:i/>
          <w:iCs/>
          <w:color w:val="000000"/>
          <w:lang w:val="en-GB"/>
        </w:rPr>
        <w:t>Annäherung des Ausganges der kindlichen Sexualität</w:t>
      </w:r>
      <w:r w:rsidRPr="008725BE">
        <w:rPr>
          <w:rFonts w:ascii="Garamond" w:hAnsi="Garamond"/>
          <w:color w:val="000000"/>
          <w:lang w:val="en-GB"/>
        </w:rPr>
        <w:t xml:space="preserve"> (um das fünfte Lebensjahr) an die Endgestaltung beim Erwachsenen erkennen. Dabei bin ich in der letzten Auflage der </w:t>
      </w:r>
      <w:r w:rsidRPr="008725BE">
        <w:rPr>
          <w:rFonts w:ascii="Garamond" w:hAnsi="Garamond"/>
          <w:i/>
          <w:iCs/>
          <w:color w:val="000000"/>
          <w:lang w:val="en-GB"/>
        </w:rPr>
        <w:t>Sexualtheorie</w:t>
      </w:r>
      <w:r w:rsidRPr="008725BE">
        <w:rPr>
          <w:rFonts w:ascii="Garamond" w:hAnsi="Garamond"/>
          <w:color w:val="000000"/>
          <w:lang w:val="en-GB"/>
        </w:rPr>
        <w:t xml:space="preserve"> (1922) stehengeblieben.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Auf Seite 63 derselben erwähne ich, daß »häufig oder regelmäßig bereits in den Kinderjahren eine Objektwahl vollzogen wird, wie wir sie als charakteristisch für die Entwicklungsphase der Pubertät hingestellt haben, in der Weise, daß sämtliche Sexualstrebungen die Richtung auf eine einzige Person nehmen, an der sie ihre Ziele erreichen wollen. Dies ist dann die größte Annäherung an die definitive Gestaltung des Sexuallebens nach der Pubertät, die in den Kinderjahren möglich ist. Der Unterschied von letzterer liegt nur noch darin, daß die Zusammenfassung der Partialtriebe und deren Unterordnung unter das Primat der Genitalien in der Kindheit nicht oder nur sehr unvollkommen durchgesetzt wird. Die Herstellung dieses Primats im Dienste der Fortpflanzung ist also die letzte Phase, welche die Sexualorganisation durchläuft.«</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Mit dem Satz, das Primat der Genitalien sei in der frühinfantilen Periode nicht oder nur sehr unvollkommen durchgeführt, würde ich mich heute nicht mehr zufriedengeben. Die Annäherung des kindlichen Sexuallebens an das der Erwachsenen geht viel weiter und bezieht sich nicht nur auf das Zustandekommen einer Objektwahl. Wenn es auch nicht zu einer richtigen Zusammenfassung der Partialtriebe unter das Primat der Genitalien kommt, so gewinnt doch auf der Höhe des Entwicklungsganges der infantilen Sexualität das Interesse an den Genitalien und die Genitalbetätigung eine dominierende Bedeutung, die hinter der in der Reifezeit wenig zurücksteht. </w:t>
      </w:r>
      <w:r w:rsidRPr="008725BE">
        <w:rPr>
          <w:rFonts w:ascii="Garamond" w:hAnsi="Garamond"/>
          <w:color w:val="000000"/>
        </w:rPr>
        <w:t xml:space="preserve">Der Hauptcharakter dieser » </w:t>
      </w:r>
      <w:r w:rsidRPr="008725BE">
        <w:rPr>
          <w:rFonts w:ascii="Garamond" w:hAnsi="Garamond"/>
          <w:i/>
          <w:iCs/>
          <w:color w:val="000000"/>
        </w:rPr>
        <w:t>infantilen Genitalorganisation</w:t>
      </w:r>
      <w:r w:rsidRPr="008725BE">
        <w:rPr>
          <w:rFonts w:ascii="Garamond" w:hAnsi="Garamond"/>
          <w:color w:val="000000"/>
        </w:rPr>
        <w:t xml:space="preserve">« ist zugleich ihr Unterschied von der endgültigen Genitalorganisation der Erwachsenen. Er liegt darin, daß für beide Geschlechter nur </w:t>
      </w:r>
      <w:r w:rsidRPr="008725BE">
        <w:rPr>
          <w:rFonts w:ascii="Garamond" w:hAnsi="Garamond"/>
          <w:i/>
          <w:iCs/>
          <w:color w:val="000000"/>
        </w:rPr>
        <w:t>ein Genitale</w:t>
      </w:r>
      <w:r w:rsidRPr="008725BE">
        <w:rPr>
          <w:rFonts w:ascii="Garamond" w:hAnsi="Garamond"/>
          <w:color w:val="000000"/>
        </w:rPr>
        <w:t xml:space="preserve">, das männliche, eine Rolle spielt. Es besteht also nicht ein Genitalprimat, sondern ein Primat des </w:t>
      </w:r>
      <w:r w:rsidRPr="008725BE">
        <w:rPr>
          <w:rFonts w:ascii="Garamond" w:hAnsi="Garamond"/>
          <w:i/>
          <w:iCs/>
          <w:color w:val="000000"/>
        </w:rPr>
        <w:t>Phallus</w:t>
      </w:r>
      <w:r w:rsidRPr="008725BE">
        <w:rPr>
          <w:rFonts w:ascii="Garamond" w:hAnsi="Garamond"/>
          <w:color w:val="000000"/>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Leider können wir diese Verhältnisse nur für das männliche Kind beschreiben, in die entsprechenden Vorgänge beim kleinen Mädchen fehlt uns die Einsicht. Der kleine Knabe nimmt sicherlich den Unterschied von Männern und Frauen wahr, aber er hat zunächst keinen Anlaß, ihn mit einer Verschiedenheit ihrer Genitalien zusammenzubringen. Es ist ihm natürlich, ein ähnliches Genitale, wie er es selbst besitzt, bei allen anderen Lebewesen, Menschen und Tieren, vorauszusetzen, ja wir wissen, daß er auch an unbelebten Dingen nach einem seinem Gliede analogen Gebilde forscht </w:t>
      </w:r>
      <w:hyperlink r:id="rId780" w:anchor="#" w:history="1">
        <w:r w:rsidRPr="008725BE">
          <w:rPr>
            <w:rStyle w:val="fusslink"/>
            <w:rFonts w:ascii="Garamond" w:hAnsi="Garamond" w:cs="Arial"/>
            <w:b/>
            <w:bCs/>
            <w:color w:val="003399"/>
          </w:rPr>
          <w:t>[Fußnote]</w:t>
        </w:r>
        <w:r w:rsidRPr="008725BE">
          <w:rPr>
            <w:rStyle w:val="innerfusslink3"/>
            <w:rFonts w:ascii="Garamond" w:hAnsi="Garamond" w:cs="Arial"/>
            <w:b/>
            <w:bCs/>
          </w:rPr>
          <w:t>Es ist übrigens merkwürdig, ein wie geringes Maß von Aufmerksamkeit der andere Teil des männlichen Genitales, das Säckchen mit seinen Einschlüssen, beim Kinde auf sich zieht. Aus den Analysen könnte man nicht erraten, daß noch etwas anderes als der Penis zum Genitale gehört.</w:t>
        </w:r>
      </w:hyperlink>
      <w:r w:rsidRPr="008725BE">
        <w:rPr>
          <w:rFonts w:ascii="Garamond" w:hAnsi="Garamond"/>
          <w:color w:val="000000"/>
        </w:rPr>
        <w:t xml:space="preserve">. Dieser leicht erregte, veränderliche, an Empfindungen so reiche Körperteil beschäftigt das Interesse des Knaben in hohem Grade und stellt seinem Forschertrieb unausgesetzt neue Aufgaben. Er möchte ihn auch bei anderen Personen sehen, um ihn mit seinem eigenen zu vergleichen, er benimmt sich, als ob ihm vorschwebte, daß dieses Glied größer sein könnte und sollte; die treibende Kraft, welche dieser männliche Teil später in der Pubertät entfalten wird, äußert sich um diese Lebenszeit wesentlich als Forschungsdrang, als sexuelle Neugierde. </w:t>
      </w:r>
      <w:r w:rsidRPr="008725BE">
        <w:rPr>
          <w:rFonts w:ascii="Garamond" w:hAnsi="Garamond"/>
          <w:color w:val="000000"/>
          <w:lang w:val="en-GB"/>
        </w:rPr>
        <w:t xml:space="preserve">Viele der Exhibitionen und Aggressionen, welche das Kind </w:t>
      </w:r>
      <w:r w:rsidRPr="008725BE">
        <w:rPr>
          <w:rFonts w:ascii="Garamond" w:hAnsi="Garamond"/>
          <w:color w:val="000000"/>
          <w:lang w:val="en-GB"/>
        </w:rPr>
        <w:lastRenderedPageBreak/>
        <w:t>vornimmt und die man im späteren Alter unbedenklich als Äußerungen von Lüsternheit beurteilen würde, erweisen sich der Analyse als Experimente im Dienste der Sexualforschung angestellt.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Im Laufe dieser Untersuchungen gelangt das Kind zur Entdeckung, daß der Penis nicht ein Gemeingut aller ihm ähnlichen Wesen sei. Der zufällige Anblick der Genitalien einer kleinen Schwester oder Gespielin gibt hiezu den Anstoß; scharfsinnige Kinder haben schon vorher aus ihren Wahrnehmungen beim Urinieren der Mädchen, weil sie eine andere Stellung sehen und ein anderes Geräusch hören, den Verdacht geschöpft, daß hier etwas anders sei, und dann versucht, solche Beobachtungen in aufklärender Weise zu wiederholen. Es ist bekannt, wie sie auf die ersten Eindrücke des Penismangels reagieren. Sie leugnen diesen Mangel, glauben doch ein Glied zu sehen, beschönigen den Widerspruch zwischen Beobachtung und Vorurteil durch die Auskunft, es sei noch klein und werde erst wachsen, und kommen dann langsam zu dem affektiv bedeutsamen Schluß, es sei doch wenigstens vorhanden gewesen und dann weggenommen worden. Der Penismangel wird als Ergebnis einer Kastration erfaßt, und das Kind steht nun vor der Aufgabe, sich mit der Beziehung der Kastration zu seiner eigenen Person auseinanderzusetzen. Die weiteren Entwicklungen sind zu sehr allgemein bekannt, als daß es notwendig wäre, sie hier zu wiederholen. Es scheint mir nur, </w:t>
      </w:r>
      <w:r w:rsidRPr="008725BE">
        <w:rPr>
          <w:rFonts w:ascii="Garamond" w:hAnsi="Garamond"/>
          <w:i/>
          <w:iCs/>
          <w:color w:val="000000"/>
          <w:lang w:val="en-GB"/>
        </w:rPr>
        <w:t>daß man die Bedeutung des Kastrationskomplexes erst richtig würdigen kann, wenn man seine Entstehung in der Phase des Phallusprimats mitberücksichtigt</w:t>
      </w:r>
      <w:hyperlink r:id="rId78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Es ist mit Recht darauf hingewiesen worden, daß das Kind die Vorstellung einer narzißtischen Schädigung durch Körperverlust aus dem Verlieren der Mutterbrust nach dem Saugen, aus der täglichen Abgabe der Fäzes, ja schon aus der Trennung vom Mutterleib bei der Geburt gewinnt. Von einem Kastrationskomplex sollte man aber doch erst sprechen, wenn sich diese Vorstellung eines Verlustes mit dem männlichen Genitale verknüpft hat.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ist auch bekannt, wieviel Herabwürdigung des Weibes, Grauen vor dem Weib, Disposition zur Homosexualität sich aus der endlichen Überzeugung von der Penislosigkeit des Weibes ableitet. Ferenczi hat kürzlich mit vollem Recht das mythologische Symbol des Grausens, das Medusenhaupt, auf den Eindruck des penislosen weiblichen Genitales zurückgeführt </w:t>
      </w:r>
      <w:hyperlink r:id="rId78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Ferenczi (1923). Ich möchte hinzufügen, daß im Mythos das Genitale der Mutter gemeint ist. Athene, die das Medusenhaupt an ihrem Panzer trägt, wird eben dadurch das unnahbare Weib, dessen Anblick jeden Gedanken an sexuelle Annäherung erstickt.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Doch darf man nicht glauben, daß das Kind seine Beobachtung, manche weibliche Personen besitzen keinen Penis, so rasch und bereitwillig verallgemeinert; dem steht schon die Annahme, daß die Penislosigkeit die Folge der Kastration als einer Strafe sei, im Wege. Im Gegenteile, das Kind meint, nur unwürdige weibliche Personen, die sich wahrscheinlich ähnlicher unerlaubter Regungen schuldig gemacht haben wie es selbst, hätten das Genitale eingebüßt. Respektierte Frauen aber wie die Mutter behalten den Penis noch lange. Weibsein fällt eben für das Kind noch nicht mit Penismangel zusammen </w:t>
      </w:r>
      <w:hyperlink r:id="rId78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Aus der Analyse einer jungen Frau erfuhr ich, daß sie, die keinen Vater und mehrere Tanten hatte, bis weit in die Latenzzeit an dem Penis der Mutter und einiger Tanten festhielt. Eine schwachsinnige Tante aber hielt sie für kastriert, wie sie sich selbst empfand.</w:t>
        </w:r>
      </w:hyperlink>
      <w:r w:rsidRPr="008725BE">
        <w:rPr>
          <w:rFonts w:ascii="Garamond" w:hAnsi="Garamond"/>
          <w:color w:val="000000"/>
          <w:lang w:val="en-GB"/>
        </w:rPr>
        <w:t>. Erst später, wenn das Kind die Probleme der Entstehung und Geburt der Kinder angreift und errät, daß nur Frauen Kinder gebären können, wird auch die Mutter des Penis verlustig, und mitunter werden ganz komplizierte Theorien aufgebaut, die den Umtausch des Penis gegen ein Kind erklären sollen. Das weibliche Genitale scheint dabei niemals entdeckt zu werden. Wie wir wissen, lebt das Kind im Leib (Darm) der Mutter und wird durch den Darmausgang geboren. Mit diesen letzten Theorien greifen wir über die Zeitdauer der infantilen Sexualperiode hinaus.</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Es ist nicht unwichtig, sich vorzuhalten, welche Wandlungen die uns geläufige geschlechtliche Polarität während der kindlichen Sexualentwicklung durchmacht. Ein erster Gegensatz wird mit der Objektwahl, die ja Subjekt und Objekt voraussetzt, eingeführt. Auf der Stufe der prägenitalen sadistisch-analen Organisation ist von männlich und weiblich noch nicht zu reden, der Gegensatz von </w:t>
      </w:r>
      <w:r w:rsidRPr="008725BE">
        <w:rPr>
          <w:rFonts w:ascii="Garamond" w:hAnsi="Garamond"/>
          <w:i/>
          <w:iCs/>
          <w:color w:val="000000"/>
          <w:lang w:val="en-GB"/>
        </w:rPr>
        <w:t>aktiv</w:t>
      </w:r>
      <w:r w:rsidRPr="008725BE">
        <w:rPr>
          <w:rFonts w:ascii="Garamond" w:hAnsi="Garamond"/>
          <w:color w:val="000000"/>
          <w:lang w:val="en-GB"/>
        </w:rPr>
        <w:t xml:space="preserve"> und </w:t>
      </w:r>
      <w:r w:rsidRPr="008725BE">
        <w:rPr>
          <w:rFonts w:ascii="Garamond" w:hAnsi="Garamond"/>
          <w:i/>
          <w:iCs/>
          <w:color w:val="000000"/>
          <w:lang w:val="en-GB"/>
        </w:rPr>
        <w:t>passiv</w:t>
      </w:r>
      <w:r w:rsidRPr="008725BE">
        <w:rPr>
          <w:rFonts w:ascii="Garamond" w:hAnsi="Garamond"/>
          <w:color w:val="000000"/>
          <w:lang w:val="en-GB"/>
        </w:rPr>
        <w:t xml:space="preserve"> ist der herrschende </w:t>
      </w:r>
      <w:hyperlink r:id="rId78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w:t>
        </w:r>
        <w:r w:rsidRPr="008725BE">
          <w:rPr>
            <w:rStyle w:val="innerfusslink3"/>
            <w:rFonts w:ascii="Garamond" w:hAnsi="Garamond" w:cs="Arial"/>
            <w:b/>
            <w:bCs/>
            <w:i/>
            <w:iCs/>
            <w:lang w:val="en-GB"/>
          </w:rPr>
          <w:t>Drei Abhandlungen zur Sexualtheorie</w:t>
        </w:r>
        <w:r w:rsidRPr="008725BE">
          <w:rPr>
            <w:rStyle w:val="innerfusslink3"/>
            <w:rFonts w:ascii="Garamond" w:hAnsi="Garamond" w:cs="Arial"/>
            <w:b/>
            <w:bCs/>
            <w:lang w:val="en-GB"/>
          </w:rPr>
          <w:t>.</w:t>
        </w:r>
      </w:hyperlink>
      <w:r w:rsidRPr="008725BE">
        <w:rPr>
          <w:rFonts w:ascii="Garamond" w:hAnsi="Garamond"/>
          <w:color w:val="000000"/>
          <w:lang w:val="en-GB"/>
        </w:rPr>
        <w:t xml:space="preserve">. Auf der nun folgenden Stufe der infantilen Genitalorganisation gibt es zwar ein </w:t>
      </w:r>
      <w:r w:rsidRPr="008725BE">
        <w:rPr>
          <w:rFonts w:ascii="Garamond" w:hAnsi="Garamond"/>
          <w:i/>
          <w:iCs/>
          <w:color w:val="000000"/>
          <w:lang w:val="en-GB"/>
        </w:rPr>
        <w:t>männlich</w:t>
      </w:r>
      <w:r w:rsidRPr="008725BE">
        <w:rPr>
          <w:rFonts w:ascii="Garamond" w:hAnsi="Garamond"/>
          <w:color w:val="000000"/>
          <w:lang w:val="en-GB"/>
        </w:rPr>
        <w:t xml:space="preserve">, aber kein weiblich; der Gegensatz lautet hier: </w:t>
      </w:r>
      <w:r w:rsidRPr="008725BE">
        <w:rPr>
          <w:rFonts w:ascii="Garamond" w:hAnsi="Garamond"/>
          <w:i/>
          <w:iCs/>
          <w:color w:val="000000"/>
          <w:lang w:val="en-GB"/>
        </w:rPr>
        <w:t>männliches Genitale</w:t>
      </w:r>
      <w:r w:rsidRPr="008725BE">
        <w:rPr>
          <w:rFonts w:ascii="Garamond" w:hAnsi="Garamond"/>
          <w:color w:val="000000"/>
          <w:lang w:val="en-GB"/>
        </w:rPr>
        <w:t xml:space="preserve"> oder </w:t>
      </w:r>
      <w:r w:rsidRPr="008725BE">
        <w:rPr>
          <w:rFonts w:ascii="Garamond" w:hAnsi="Garamond"/>
          <w:i/>
          <w:iCs/>
          <w:color w:val="000000"/>
          <w:lang w:val="en-GB"/>
        </w:rPr>
        <w:t>kastriert</w:t>
      </w:r>
      <w:r w:rsidRPr="008725BE">
        <w:rPr>
          <w:rFonts w:ascii="Garamond" w:hAnsi="Garamond"/>
          <w:color w:val="000000"/>
          <w:lang w:val="en-GB"/>
        </w:rPr>
        <w:t xml:space="preserve">. Erst mit der Vollendung der Entwicklung zur Zeit der Pubertät fällt die sexuelle Polarität mit </w:t>
      </w:r>
      <w:r w:rsidRPr="008725BE">
        <w:rPr>
          <w:rFonts w:ascii="Garamond" w:hAnsi="Garamond"/>
          <w:i/>
          <w:iCs/>
          <w:color w:val="000000"/>
          <w:lang w:val="en-GB"/>
        </w:rPr>
        <w:t>männlich</w:t>
      </w:r>
      <w:r w:rsidRPr="008725BE">
        <w:rPr>
          <w:rFonts w:ascii="Garamond" w:hAnsi="Garamond"/>
          <w:color w:val="000000"/>
          <w:lang w:val="en-GB"/>
        </w:rPr>
        <w:t xml:space="preserve"> und </w:t>
      </w:r>
      <w:r w:rsidRPr="008725BE">
        <w:rPr>
          <w:rFonts w:ascii="Garamond" w:hAnsi="Garamond"/>
          <w:i/>
          <w:iCs/>
          <w:color w:val="000000"/>
          <w:lang w:val="en-GB"/>
        </w:rPr>
        <w:t>weiblich</w:t>
      </w:r>
      <w:r w:rsidRPr="008725BE">
        <w:rPr>
          <w:rFonts w:ascii="Garamond" w:hAnsi="Garamond"/>
          <w:color w:val="000000"/>
          <w:lang w:val="en-GB"/>
        </w:rPr>
        <w:t xml:space="preserve"> zusammen. Das Männliche faßt das Subjekt, die Aktivität und den Besitz des Penis zusammen, das Weibliche setzt das Objekt und die Passivität fort. </w:t>
      </w:r>
      <w:r w:rsidRPr="008725BE">
        <w:rPr>
          <w:rFonts w:ascii="Garamond" w:hAnsi="Garamond"/>
          <w:color w:val="000000"/>
        </w:rPr>
        <w:t>Die Vagina wird nun als Herberge des Penis geschätzt, sie tritt das Erbe des Mutterleibes an.</w:t>
      </w:r>
    </w:p>
    <w:p w:rsidR="008725BE" w:rsidRPr="008725BE" w:rsidRDefault="008725BE" w:rsidP="008725BE">
      <w:pPr>
        <w:pStyle w:val="Sansinterligne"/>
        <w:rPr>
          <w:rFonts w:ascii="Garamond" w:hAnsi="Garamond"/>
          <w:color w:val="000000"/>
        </w:rPr>
      </w:pPr>
      <w:r w:rsidRPr="008725BE">
        <w:rPr>
          <w:rFonts w:ascii="Garamond" w:hAnsi="Garamond"/>
          <w:color w:val="000000"/>
        </w:rPr>
        <w:br w:type="page"/>
      </w:r>
      <w:hyperlink w:anchor="KSinhalt" w:history="1">
        <w:r w:rsidRPr="008725BE">
          <w:rPr>
            <w:rStyle w:val="Lienhypertexte"/>
            <w:rFonts w:ascii="Garamond" w:hAnsi="Garamond" w:cs="Arial"/>
            <w:b/>
            <w:bCs/>
          </w:rPr>
          <w:t>Di</w:t>
        </w:r>
        <w:bookmarkStart w:id="158" w:name="KS23"/>
        <w:bookmarkEnd w:id="158"/>
        <w:r w:rsidRPr="008725BE">
          <w:rPr>
            <w:rStyle w:val="Lienhypertexte"/>
            <w:rFonts w:ascii="Garamond" w:hAnsi="Garamond" w:cs="Arial"/>
            <w:b/>
            <w:bCs/>
          </w:rPr>
          <w:t>e psychoanalytische Technik</w:t>
        </w:r>
      </w:hyperlink>
      <w:r w:rsidRPr="008725BE">
        <w:rPr>
          <w:rFonts w:ascii="Garamond" w:hAnsi="Garamond"/>
          <w:color w:val="000000"/>
        </w:rPr>
        <w:t xml:space="preserve">  </w:t>
      </w:r>
      <w:r w:rsidRPr="008725BE">
        <w:rPr>
          <w:rFonts w:ascii="Garamond" w:hAnsi="Garamond"/>
          <w:caps/>
          <w:color w:val="000000"/>
        </w:rPr>
        <w:t>(1940)</w:t>
      </w:r>
    </w:p>
    <w:p w:rsidR="008725BE" w:rsidRPr="008725BE" w:rsidRDefault="008725BE" w:rsidP="008725BE">
      <w:pPr>
        <w:pStyle w:val="Sansinterligne"/>
        <w:rPr>
          <w:rFonts w:ascii="Garamond" w:hAnsi="Garamond"/>
          <w:caps/>
          <w:color w:val="000000"/>
        </w:rPr>
      </w:pPr>
    </w:p>
    <w:p w:rsidR="008725BE" w:rsidRPr="008725BE" w:rsidRDefault="008725BE" w:rsidP="008725BE">
      <w:pPr>
        <w:pStyle w:val="Sansinterligne"/>
        <w:rPr>
          <w:rFonts w:ascii="Garamond" w:hAnsi="Garamond"/>
          <w:caps/>
          <w:color w:val="000000"/>
        </w:rPr>
      </w:pPr>
      <w:r w:rsidRPr="008725BE">
        <w:rPr>
          <w:rFonts w:ascii="Garamond" w:hAnsi="Garamond"/>
          <w:caps/>
          <w:color w:val="000000"/>
        </w:rPr>
        <w:t>[A</w:t>
      </w:r>
      <w:r w:rsidRPr="008725BE">
        <w:rPr>
          <w:rFonts w:ascii="Garamond" w:hAnsi="Garamond"/>
          <w:color w:val="000000"/>
        </w:rPr>
        <w:t>us</w:t>
      </w:r>
      <w:r w:rsidRPr="008725BE">
        <w:rPr>
          <w:rFonts w:ascii="Garamond" w:hAnsi="Garamond"/>
          <w:caps/>
          <w:color w:val="000000"/>
        </w:rPr>
        <w:t xml:space="preserve"> : </w:t>
      </w:r>
      <w:r w:rsidRPr="008725BE">
        <w:rPr>
          <w:rFonts w:ascii="Garamond" w:hAnsi="Garamond"/>
          <w:color w:val="000000"/>
        </w:rPr>
        <w:t>ABRIß der psychoanalyse</w:t>
      </w:r>
      <w:r w:rsidRPr="008725BE">
        <w:rPr>
          <w:rFonts w:ascii="Garamond" w:hAnsi="Garamond"/>
          <w:caps/>
          <w:color w:val="000000"/>
        </w:rPr>
        <w:t>]</w:t>
      </w:r>
    </w:p>
    <w:p w:rsidR="008725BE" w:rsidRPr="008725BE" w:rsidRDefault="008725BE" w:rsidP="008725BE">
      <w:pPr>
        <w:pStyle w:val="Sansinterligne"/>
        <w:rPr>
          <w:rFonts w:ascii="Garamond" w:hAnsi="Garamond"/>
          <w:caps/>
          <w:color w:val="000000"/>
        </w:rPr>
      </w:pPr>
    </w:p>
    <w:p w:rsidR="008725BE" w:rsidRPr="008725BE" w:rsidRDefault="008725BE" w:rsidP="008725BE">
      <w:pPr>
        <w:pStyle w:val="Sansinterligne"/>
        <w:rPr>
          <w:rFonts w:ascii="Garamond" w:hAnsi="Garamond"/>
          <w:color w:val="000000"/>
        </w:rPr>
      </w:pPr>
      <w:r w:rsidRPr="008725BE">
        <w:rPr>
          <w:rFonts w:ascii="Garamond" w:hAnsi="Garamond"/>
          <w:color w:val="000000"/>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Traum ist also eine Psychose, mit allen Ungereimtheiten, Wahnbildungen, Sinnestäuschungen einer solchen. Eine Psychose zwar von kurzer Dauer, harmlos, selbst mit einer nützlichen Funktion betraut, von der Zustimmung der Person eingeleitet, durch einen Willensakt von ihr beendet. Aber doch eine Psychose, und wir lernen an ihr, daß selbst eine so tiefgehende Veränderung des Seelenlebens rückgängig werden, der normalen Funktion Raum geben kann. Ist es dann kühn zu hoffen, daß es möglich sein müßte, auch die gefürchteten spontanen Erkrankungen des Seelenlebens unserem Einfluß zu unterwerfen und sie zur Heilung zu bringen?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wissen schon manches zur Vorbereitung für diese Unternehmung. Nach unserer Voraussetzung hat das Ich die Aufgabe, den Ansprüchen seiner drei Abhängigkeiten von der Realität, dem Es und dem Über-Ich zu genügen und dabei doch seine Organisation aufrechtzuhalten, seine Selbständigkeit zu behaupten. Die Bedingung der in Rede stehenden Krankheitszustände kann nur eine relative oder absolute Schwächung des Ichs sein, die ihm die Erfüllung seiner Aufgaben unmöglich macht. Die schwerste Anforderung an das Ich ist wahrscheinlich die Niederhaltung der Triebansprüche des Es, wofür es große Aufwände an Gegenbesetzungen zu unterhalten hat. Es kann aber auch der Anspruch des Über-Ichs so stark und so unerbittlich werden, daß das Ich seinen anderen Aufgaben wie gelähmt gegenübersteht. Wir ahnen, in den ökonomischen Konflikten, die sich hier ergeben, machen Es und Über-Ich oft gemeinsame Sache gegen das bedrängte Ich, das sich zur Erhaltung seiner Norm an die Realität anklammern will. Werden die beiden ersteren zu stark, so gelingt es ihnen, die Organisation des Ichs aufzulockern und zu verändern, so daß seine richtige Beziehung zur Realität gestört oder selbst aufgehoben wird. Wir haben es am Traum gesehen; wenn sich das Ich von der Realität der Außenwelt ablöst, verfällt es unter dem Einfluß der Innenwelt in die Psychose.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Auf diese Einsichten gründen wir unseren Heilungsplan. Das Ich ist durch den inneren Konflikt geschwächt, wir müssen ihm zur Hilfe kommen. Es ist wie in einem Bürgerkrieg, der durch den Beistand eines Bundesgenossen von außen entschieden werden soll. Der analytische Arzt und das geschwächte Ich des Kranken sollen, an die reale Außenwelt angelehnt, eine Partei bilden gegen die Feinde, die Triebansprüche des Es und die Gewissensansprüche des Über-Ichs. Wir schließen einen Vertrag miteinander. Das kranke Ich verspricht uns vollste Aufrichtigkeit, d. h. die Verfügung über allen Stoff, den ihm seine Selbstwahrnehmung liefert, wir sichern ihm strengste Diskretion zu und stellen unsere Erfahrung in der Deutung des vom Unbewußten beeinflußten Materials in seinen Dienst. Unser Wissen soll sein Unwissen gutmachen, soll seinem Ich die Herrschaft über verlorene Bezirke des Seelenlebens wiedergeben. In diesem Vertrag besteht die analytische Situation.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Schon nach diesem Schritt erwartet uns die erste Enttäuschung, die erste Mahnung zur Bescheidenheit. Soll das Ich des Kranken ein wertvoller Bundesgenosse bei unserer gemeinsamen Arbeit sein, so muß es sich trotz aller Bedrängnis durch die ihm feindlichen Mächte ein gewisses Maß von Zusammenhalt, ein Stück Einsicht für die Anforderungen der Wirklichkeit bewahrt haben. Aber das ist vom Ich des Psychotikers nicht zu erwarten, dieses kann einen solchen Vertrag nicht einhalten, ja kaum ihn eingehen. Es wird sehr bald unsere Person und die Hilfe, die wir ihm anbieten, zu den Anteilen der Außenwelt geworfen haben, die ihm nichts mehr bedeuten. Somit erkennen wir, daß wir darauf verzichten müssen, unseren Heilungsplan beim Psychotiker zu versuchen. Vielleicht für immer verzichten, vielleicht nur zeitweilig, bis wir einen anderen, für ihn tauglicheren Plan gefunden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gibt aber eine andere Klasse von psychisch Kranken, die den Psychotikern offenbar sehr nahestehen, die ungeheure Anzahl der schwer leidenden Neurotiker. Die Krankheitsbedingungen wie die pathogenen Mechanismen müssen bei ihnen dieselben sein oder wenigstens sehr ähnlich. Aber ihr Ich hat sich widerstandsfähiger gezeigt, ist weniger desorganisiert worden. Viele von ihnen konnten sich trotz all ihrer Beschwerden und der von ihnen verursachten Unzulänglichkeiten noch im realen Leben behaupten. Diese Neurotiker mögen sich bereit zeigen, unsere Hilfe anzunehmen. Wir wollen unser Interesse auf sie beschränken und versuchen, wie weit und auf welchen Wegen wir sie »heilen«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Mit den Neurotikern schließen wir also den Vertrag: volle Aufrichtigkeit gegen strenge Diskretion. Das macht den Eindruck, als strebten wir nur die Stellung eines weltlichen Beichtvaters an. Aber der Unterschied ist groß, denn wir wollen von ihm nicht nur hören, was er weiß und vor anderen verbirgt, sondern er soll uns auch erzählen, was er nicht weiß. In dieser Absicht geben wir ihm eine nähere </w:t>
      </w:r>
      <w:r w:rsidRPr="008725BE">
        <w:rPr>
          <w:rFonts w:ascii="Garamond" w:hAnsi="Garamond"/>
          <w:color w:val="000000"/>
          <w:lang w:val="en-GB"/>
        </w:rPr>
        <w:lastRenderedPageBreak/>
        <w:t xml:space="preserve">Bestimmung dessen, was wir unter Aufrichtigkeit verstehen. Wir verpflichten ihn auf die analytische </w:t>
      </w:r>
      <w:r w:rsidRPr="008725BE">
        <w:rPr>
          <w:rFonts w:ascii="Garamond" w:hAnsi="Garamond"/>
          <w:i/>
          <w:iCs/>
          <w:color w:val="000000"/>
          <w:lang w:val="en-GB"/>
        </w:rPr>
        <w:t>Grundregel</w:t>
      </w:r>
      <w:r w:rsidRPr="008725BE">
        <w:rPr>
          <w:rFonts w:ascii="Garamond" w:hAnsi="Garamond"/>
          <w:color w:val="000000"/>
          <w:lang w:val="en-GB"/>
        </w:rPr>
        <w:t xml:space="preserve">, die künftighin sein Verhalten gegen uns beherrschen soll. Er soll uns nicht nur mitteilen, was er absichtlich und gern sagt, was ihm wie in einer Beichte Erleichterung bringt, sondern auch alles andere, was ihm seine Selbstbeobachtung liefert, alles was ihm in den Sinn kommt, auch wenn es ihm </w:t>
      </w:r>
      <w:r w:rsidRPr="008725BE">
        <w:rPr>
          <w:rFonts w:ascii="Garamond" w:hAnsi="Garamond"/>
          <w:i/>
          <w:iCs/>
          <w:color w:val="000000"/>
          <w:lang w:val="en-GB"/>
        </w:rPr>
        <w:t>unangenehm</w:t>
      </w:r>
      <w:r w:rsidRPr="008725BE">
        <w:rPr>
          <w:rFonts w:ascii="Garamond" w:hAnsi="Garamond"/>
          <w:color w:val="000000"/>
          <w:lang w:val="en-GB"/>
        </w:rPr>
        <w:t xml:space="preserve"> zu sagen ist, auch wenn es ihm </w:t>
      </w:r>
      <w:r w:rsidRPr="008725BE">
        <w:rPr>
          <w:rFonts w:ascii="Garamond" w:hAnsi="Garamond"/>
          <w:i/>
          <w:iCs/>
          <w:color w:val="000000"/>
          <w:lang w:val="en-GB"/>
        </w:rPr>
        <w:t>unwichtig</w:t>
      </w:r>
      <w:r w:rsidRPr="008725BE">
        <w:rPr>
          <w:rFonts w:ascii="Garamond" w:hAnsi="Garamond"/>
          <w:color w:val="000000"/>
          <w:lang w:val="en-GB"/>
        </w:rPr>
        <w:t xml:space="preserve"> oder sogar </w:t>
      </w:r>
      <w:r w:rsidRPr="008725BE">
        <w:rPr>
          <w:rFonts w:ascii="Garamond" w:hAnsi="Garamond"/>
          <w:i/>
          <w:iCs/>
          <w:color w:val="000000"/>
          <w:lang w:val="en-GB"/>
        </w:rPr>
        <w:t>unsinnig</w:t>
      </w:r>
      <w:r w:rsidRPr="008725BE">
        <w:rPr>
          <w:rFonts w:ascii="Garamond" w:hAnsi="Garamond"/>
          <w:color w:val="000000"/>
          <w:lang w:val="en-GB"/>
        </w:rPr>
        <w:t xml:space="preserve"> erscheint. Gelingt es ihm, nach dieser Anweisung seine Selbstkritik auszuschalten, so liefert er uns eine Fülle von Material, Gedanken, Einfällen, Erinnerungen, die bereits unter dem Einfluß des Unbewußten stehen, oft direkte Abkömmlinge desselben sind und die uns also in den Stand setzen, das bei ihm verdrängte Unbewußte zu erraten und durch unsere Mitteilung die Kenntnis seines Ichs von seinem Unbewußten zu erweitern.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Aber weit entfernt davon, daß die Rolle seines Ichs sich darauf beschränken würde, in passivem Gehorsam uns das verlangte Material zu bringen und unsere Übersetzung desselben gläubig hinzunehmen. Es ereignet sich manches andere, einiges, was wir voraussehen durften, anderes, was uns überraschen muß. Das Merkwürdigste ist, daß der Patient nicht dabei bleibt, den Analytiker im Lichte der Realität zu betrachten als den Helfer und Berater, den man überdies für seine Mühewaltung entlohnt und der sich selbst gern mit der Rolle etwa eines Bergführers auf einer schwierigen Gebirgstour begnügen würde, sondern daß er in ihm eine Wiederkehr –; Reinkarnation –; einer wichtigen Person aus seiner Kindheit, Vergangenheit erblickt und darum Gefühle und Reaktionen auf ihn überträgt, die sicherlich diesem Vorbild gegolten haben. Diese Tatsache der Übertragung erweist sich bald als ein Moment von ungeahnter Bedeutung, einerseits ein Hilfsmittel von unersetzlichem Wert, anderseits eine Quelle ernster Gefahren. Diese Übertragung ist </w:t>
      </w:r>
      <w:r w:rsidRPr="008725BE">
        <w:rPr>
          <w:rFonts w:ascii="Garamond" w:hAnsi="Garamond"/>
          <w:i/>
          <w:iCs/>
          <w:color w:val="000000"/>
          <w:lang w:val="en-GB"/>
        </w:rPr>
        <w:t>ambivalent</w:t>
      </w:r>
      <w:r w:rsidRPr="008725BE">
        <w:rPr>
          <w:rFonts w:ascii="Garamond" w:hAnsi="Garamond"/>
          <w:color w:val="000000"/>
          <w:lang w:val="en-GB"/>
        </w:rPr>
        <w:t xml:space="preserve">, sie umfaßt positive, zärtliche wie negative, feindselige Einstellungen gegen den Analytiker, der in der Regel an die Stelle eines Elternteils, des Vaters oder der Mutter, gesetzt wird. </w:t>
      </w:r>
      <w:r w:rsidRPr="008725BE">
        <w:rPr>
          <w:rFonts w:ascii="Garamond" w:hAnsi="Garamond"/>
          <w:color w:val="000000"/>
        </w:rPr>
        <w:t>Solange sie positiv ist, leistet sie uns die besten Dienste. Sie verändert die ganze analytische Situation, drängt die rationelle Absicht, gesund und leidensfrei zu werden, zur Seite. An ihre Stelle tritt die Absicht, dem Analytiker zu gefallen, seinen Beifall, seine Liebe zu gewinnen. Sie wird die eigentliche Triebfeder der Mitarbeit des Patienten, das schwache Ich wird stark, unter ihrem Einfluß bringt er Leistungen zustande, die ihm sonst unmöglich wären, stellt seine Symptome ein, wird anscheinend gesund, nur dem Analytiker zuliebe. Der Analytiker mag sich beschämt eingestehen, daß er eine schwierige Unternehmung begonnen, ohne zu ahnen, welch außerordentliche Machtmittel sich ihm zur Verfügung stellen würden.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Das Verhältnis der Übertragung bringt außerdem noch zwei andere Vorteile mit sich. Setzt der Patient den Analytiker an die Stelle seines Vaters (seiner Mutter), so räumt er ihm auch die Macht ein, die sein Über-Ich über sein Ich ausübt, denn diese Eltern sind ja der Ursprung des Über-Ichs gewesen. Das neue Über-Ich hat nun Gelegenheit zu einer Art von </w:t>
      </w:r>
      <w:r w:rsidRPr="008725BE">
        <w:rPr>
          <w:rFonts w:ascii="Garamond" w:hAnsi="Garamond"/>
          <w:i/>
          <w:iCs/>
          <w:color w:val="000000"/>
        </w:rPr>
        <w:t>Nacherziehung</w:t>
      </w:r>
      <w:r w:rsidRPr="008725BE">
        <w:rPr>
          <w:rFonts w:ascii="Garamond" w:hAnsi="Garamond"/>
          <w:color w:val="000000"/>
        </w:rPr>
        <w:t xml:space="preserve"> des Neurotikers, es kann Mißgriffe korrigieren, die sich die Eltern in ihrer Erziehung zuschulden kommen ließen. </w:t>
      </w:r>
      <w:r w:rsidRPr="008725BE">
        <w:rPr>
          <w:rFonts w:ascii="Garamond" w:hAnsi="Garamond"/>
          <w:color w:val="000000"/>
          <w:lang w:val="en-GB"/>
        </w:rPr>
        <w:t>Hier setzt allerdings die Warnung ein, den neuen Einfluß nicht zu mißbrauchen. Sosehr es den Analytiker verlocken mag, Lehrer, Vorbild und Ideal für andere zu werden, Menschen nach seinem Vorbild zu schaffen, er darf nicht vergessen, daß dies nicht seine Aufgabe im analytischen Verhältnis ist, ja daß er seiner Aufgabe untreu wird, wenn er sich von seiner Neigung fortreißen läßt. Er wiederholt dann nur einen Fehler der Eltern, die die Unabhängigkeit des Kindes durch ihren Einfluß erdrückt hatten, ersetzt nur die frühere Abhängigkeit durch eine neuere. Der Analytiker soll aber bei allen Bemühungen zu bessern und zu erziehen die Eigenart des Patienten respektieren. Das Maß von Beeinflussung, dessen er sich legitimerweise getraut, wird durch den Grad der Entwicklungshemmung bestimmt werden, den er bei dem Patienten vorfindet. Manche Neurotiker sind so infantil geblieben, daß sie auch in der Analyse nur wie Kinder behandelt werden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 anderer Vorteil der Übertragung ist noch, daß der Patient uns in ihr mit plastischer Deutlichkeit ein wichtiges Stück seiner Lebensgeschichte vorführt, über das er uns wahrscheinlich sonst nur ungenügende Auskunft gegeben hätte. Er agiert gleichsam vor uns, anstatt uns zu berichten.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Und nun zur anderen Seite des Verhältnisses. Da die Übertragung die Beziehung zu den Eltern reproduziert, übernimmt sie auch deren Ambivalenz. Es ist kaum zu vermeiden, daß die positive Einstellung zum Analytiker eines Tages in die negative, feindselige umschlägt. Auch diese ist gewöhnlich eine Wiederholung der Vergangenheit. Die Gefügigkeit gegen den Vater (wenn es sich um ihn handelte), das Werben um seine Gunst wurzelte in einem erotischen auf seine Person gerichteten Wunsch. Irgendeinmal drängt sich dieser Anspruch auch in der Übertragung hervor und besteht auf Befriedigung. Er kann in der analytischen Situation nur auf Versagung stoßen. Reale sexuelle Beziehungen zwischen Patienten und Analytiker sind ausgeschlossen, auch die feineren Weisen der Befriedigung wie Bevorzugung, Intimität usw. werden vom Analytiker nur in spärlichem Ausmaß gewährt. Solche </w:t>
      </w:r>
      <w:r w:rsidRPr="008725BE">
        <w:rPr>
          <w:rFonts w:ascii="Garamond" w:hAnsi="Garamond"/>
          <w:color w:val="000000"/>
          <w:lang w:val="en-GB"/>
        </w:rPr>
        <w:lastRenderedPageBreak/>
        <w:t>Verschmähung wird zum Anlaß der Umwandlung genommen, wahrscheinlich ging dasselbe in der Kindheit des Patienten vor sich.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Heilerfolge, die unter der Herrschaft der positiven Übertragung zustande kamen, stehen im Verdacht, </w:t>
      </w:r>
      <w:r w:rsidRPr="008725BE">
        <w:rPr>
          <w:rFonts w:ascii="Garamond" w:hAnsi="Garamond"/>
          <w:i/>
          <w:iCs/>
          <w:color w:val="000000"/>
          <w:lang w:val="en-GB"/>
        </w:rPr>
        <w:t>suggestiver</w:t>
      </w:r>
      <w:r w:rsidRPr="008725BE">
        <w:rPr>
          <w:rFonts w:ascii="Garamond" w:hAnsi="Garamond"/>
          <w:color w:val="000000"/>
          <w:lang w:val="en-GB"/>
        </w:rPr>
        <w:t xml:space="preserve"> Natur zu sein. Gewinnt die negative Übertragung die Oberhand, so werden sie wie Spreu vor dem Wind hinweggeweht. Man merkt mit Schrecken, daß alle Mühe und Arbeit bisher vergeblich war. Ja, auch was man für einen bleibenden intellektuellen Gewinn des Patienten halten durfte, sein Verständnis für die Psychoanalyse, sein Vertrauen in deren Wirksamkeit sind plötzlich verschwunden. Er benimmt sich wie das Kind, das kein eigenes Urteil hat, das blind dem glaubt, dem seine Liebe gehört, und keinem Fremden. Offenbar besteht die Gefahr dieser Übertragungszustände darin, daß der Patient ihre Natur verkennt und sie für neue reale Erlebnisse hält anstatt für Spiegelungen der Vergangenheit. Verspürt er (oder sie) das starke erotische Bedürfnis, das sich hinter der positiven Übertragung birgt, so glaubt er, sich leidenschaftlich verliebt zu haben; schlägt die Übertragung um, so hält er sich für beleidigt und vernachlässigt, haßt den Analytiker als seinen Feind und ist bereit, die Analyse aufzugeben. In beiden extremen Fällen hat er den Vertrag vergessen, den er zu Eingang der Behandlung angenommen hatte, ist er für die Fortsetzung der gemeinsamen Arbeit unbrauchbar geworden. Der Analytiker hat die Aufgabe, den Patienten jedesmal aus der gefahrdrohenden Illusion zu reißen, ihm immer wieder zu zeigen, daß es eine Spiegelung der Vergangenheit ist, was er für ein neues reales Leben hält. Und damit er nicht in einen Zustand gerate, der ihn unzugänglich für alle Beweismittel macht, sorgt man dafür, daß weder die Verliebtheit noch die Feindseligkeit eine extreme Höhe erreichen. Man tut dies, indem man ihn frühzeitig auf diese Möglichkeiten vorbereitet und deren erste Anzeichen nicht unbeachtet läßt. Solche Sorgfalt in der Handhabung der Übertragung pflegt sich reichlich zu lohnen. Gelingt es, wie zumeist, den Patienten über die wirkliche Natur der Übertragungsphänomene zu belehren, so hat man seinem Widerstand eine mächtige Waffe aus der Hand geschlagen, Gefahren in Gewinne verwandelt, denn was der Patient in den Formen der Übertragung erlebt hat, das vergißt er nicht wieder, das hat für ihn stärkere Überzeugungskraft als alles auf andere Art Erworbene.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ist uns sehr unerwünscht, wenn der Patient außerhalb der Übertragung </w:t>
      </w:r>
      <w:r w:rsidRPr="008725BE">
        <w:rPr>
          <w:rFonts w:ascii="Garamond" w:hAnsi="Garamond"/>
          <w:i/>
          <w:iCs/>
          <w:color w:val="000000"/>
          <w:lang w:val="en-GB"/>
        </w:rPr>
        <w:t>agiert</w:t>
      </w:r>
      <w:r w:rsidRPr="008725BE">
        <w:rPr>
          <w:rFonts w:ascii="Garamond" w:hAnsi="Garamond"/>
          <w:color w:val="000000"/>
          <w:lang w:val="en-GB"/>
        </w:rPr>
        <w:t>, anstatt zu erinnern; das für unsere Zwecke ideale Verhalten wäre, wenn er sich außerhalb der Behandlung möglichst normal benähme und seine abnormen Reaktionen nur in der Übertragung äußerte.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Unser Weg, das geschwächte Ich zu stärken, geht von der Erweiterung seiner Selbsterkenntnis aus. Wir wissen, dies ist nicht alles, aber es ist der erste Schritt. Der Verlust an solcher Kenntnis bedeutet für das Ich Einbuße an Macht und Einfluß, er ist das nächste greifbare Anzeichen dafür, daß es von den Anforderungen des Es und des Über-Ichs eingeengt und behindert ist. Somit ist das erste Stück unserer Hilfeleistung eine intellektuelle Arbeit von unserer Seite und eine Aufforderung zur Mitarbeit daran für den Patienten; Wir wissen, diese erste Tätigkeit soll uns den Weg bahnen zu einer anderen, schwierigeren Aufgabe. Wir werden den dynamischen Anteil derselben auch während der Einleitung nicht aus den Augen verlieren. Den Stoff für unsere Arbeit gewinnen wir aus verschiedenen Quellen, aus dem, was uns seine Mitteilungen und freien Assoziationen andeuten, was er uns in seinen Übertragungen zeigt, was wir aus der Deutung seiner Träume entnehmen, was er durch seine </w:t>
      </w:r>
      <w:r w:rsidRPr="008725BE">
        <w:rPr>
          <w:rFonts w:ascii="Garamond" w:hAnsi="Garamond"/>
          <w:i/>
          <w:iCs/>
          <w:color w:val="000000"/>
          <w:lang w:val="en-GB"/>
        </w:rPr>
        <w:t>Fehlleistungen</w:t>
      </w:r>
      <w:r w:rsidRPr="008725BE">
        <w:rPr>
          <w:rFonts w:ascii="Garamond" w:hAnsi="Garamond"/>
          <w:color w:val="000000"/>
          <w:lang w:val="en-GB"/>
        </w:rPr>
        <w:t xml:space="preserve"> verrät. All das Material verhilft uns zu Konstruktionen über das, was mit ihm vorgegangen ist und was er vergessen hat, wie über das, was jetzt in ihm vorgeht, ohne daß er es versteht. Wir versäumen dabei aber nie, unser Wissen und sein Wissen strenge auseinanderzuhalten. Wir vermeiden es, ihm, was wir oft sehr frühzeitig erraten haben, sofort mitzuteilen oder ihm alles mitzuteilen, was wir glauben erraten zu haben. Wir überlegen uns sorgfältig, wann wir ihn zum Mitwisser einer unserer Konstruktionen machen sollen, warten einen Moment ab, der uns der geeignete zu sein scheint, was nicht immer leicht zu entscheiden ist. In der Regel verzögern wir die Mitteilung einer Konstruktion, die Aufklärung, bis er sich selbst derselben so weit genähert hat, daß ihm nur ein Schritt, allerdings die entscheidende Synthese, zu tun übrigbleibt. Würden wir anders verfahren, ihn mit unseren Deutungen überfallen, ehe er für sie vorbereitet ist, so bliebe die Mitteilung entweder erfolglos, oder sie würde einen heftigen Ausbruch von </w:t>
      </w:r>
      <w:r w:rsidRPr="008725BE">
        <w:rPr>
          <w:rFonts w:ascii="Garamond" w:hAnsi="Garamond"/>
          <w:i/>
          <w:iCs/>
          <w:color w:val="000000"/>
          <w:lang w:val="en-GB"/>
        </w:rPr>
        <w:t>Widerstand</w:t>
      </w:r>
      <w:r w:rsidRPr="008725BE">
        <w:rPr>
          <w:rFonts w:ascii="Garamond" w:hAnsi="Garamond"/>
          <w:color w:val="000000"/>
          <w:lang w:val="en-GB"/>
        </w:rPr>
        <w:t xml:space="preserve"> hervorrufen, der die Fortsetzung der Arbeit erschweren oder selbst in Frage stellen könnte. Haben wir aber alles richtig vorbereitet, so erreichen wir oft, daß der Patient unsere Konstruktion unmittelbar bestätigt und den vergessenen inneren oder äußeren Vorgang selbst erinnert. Je genauer sich die Konstruktion mit den Einzelheiten des Vergessenen deckt, desto leichter wird ihm seine Zustimmung. Unser Wissen in diesem Stück ist dann auch sein Wissen geworden.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Mit der Erwähnung des Widerstandes sind wir an den zweiten wichtigeren Teil unserer Aufgabe herangekommen. Wir haben schon gehört, daß sich das Ich gegen das Eindringen unerwünschter Elemente aus dem unbewußten und verdrängten Es durch Gegenbesetzungen schützt, deren Intaktheit </w:t>
      </w:r>
      <w:r w:rsidRPr="008725BE">
        <w:rPr>
          <w:rFonts w:ascii="Garamond" w:hAnsi="Garamond"/>
          <w:color w:val="000000"/>
          <w:lang w:val="en-GB"/>
        </w:rPr>
        <w:lastRenderedPageBreak/>
        <w:t xml:space="preserve">eine Bedingung seiner normalen Funktion ist. Je bedrängter sich das Ich nun fühlt, desto krampfhafter beharrt es, gleichsam verängstigt, auf diesen Gegenbesetzungen, um seinen Restbestand vor weiteren Einbrüchen zu beschützen. Diese defensive Tendenz stimmt aber durchaus nicht zu den Absichten unserer Behandlung. Wir wollen im Gegenteil, daß das Ich, durch die Sicherheit unserer Hilfe kühn geworden, den Angriff wage, um das Verlorene wiederzuerobern. Dabei bekommen wir nun die Stärke dieser Gegenbesetzungen als </w:t>
      </w:r>
      <w:r w:rsidRPr="008725BE">
        <w:rPr>
          <w:rFonts w:ascii="Garamond" w:hAnsi="Garamond"/>
          <w:i/>
          <w:iCs/>
          <w:color w:val="000000"/>
          <w:lang w:val="en-GB"/>
        </w:rPr>
        <w:t>Widerstände</w:t>
      </w:r>
      <w:r w:rsidRPr="008725BE">
        <w:rPr>
          <w:rFonts w:ascii="Garamond" w:hAnsi="Garamond"/>
          <w:color w:val="000000"/>
          <w:lang w:val="en-GB"/>
        </w:rPr>
        <w:t xml:space="preserve"> gegen unsere Arbeit zu spüren. Das Ich schreckt vor solchen Unternehmungen zurück, die gefährlich scheinen und mit Unlust drohen, es muß beständig angeeifert und beschwichtigt werden, um sich uns nicht zu verweigern. Diesen Widerstand, der die ganze Behandlung über anhält und sich bei jedem neuen Stück der Arbeit erneuert, heißen wir, nicht ganz korrekt, den </w:t>
      </w:r>
      <w:r w:rsidRPr="008725BE">
        <w:rPr>
          <w:rFonts w:ascii="Garamond" w:hAnsi="Garamond"/>
          <w:i/>
          <w:iCs/>
          <w:color w:val="000000"/>
          <w:lang w:val="en-GB"/>
        </w:rPr>
        <w:t>Verdrängungswiderstand</w:t>
      </w:r>
      <w:r w:rsidRPr="008725BE">
        <w:rPr>
          <w:rFonts w:ascii="Garamond" w:hAnsi="Garamond"/>
          <w:color w:val="000000"/>
          <w:lang w:val="en-GB"/>
        </w:rPr>
        <w:t>. Wir werden hören, daß es nicht der einzige ist, der uns bevorsteht. Es ist interessant, daß sich in dieser Situation die Parteibildung gewissermaßen umkehrt, denn das Ich sträubt sich gegen unsere Anregung, das Unbewußte aber, sonst unser Gegner, leistet uns Hilfe, denn es hat einen natürlichen »Auftrieb«, es verlangt nichts so sehr, als über die ihm gesetzten Grenzen ins Ich und bis zum Bewußtsein vorzudringen. Der Kampf, der sich entspinnt, wenn wir unsere Absicht erreichen und das Ich zur Überwindung seiner Widerstände bewegen können, vollzieht sich unter unserer Leitung und mit unserer Hilfeleistung. Es ist gleichgiltig, welchen Ausgang er nimmt, ob er dazu führt, daß das Ich einen bisher zurückgewiesenen Triebanspruch nach neuerlicher Prüfung annimmt, oder ob es ihn wiederum, diesmal endgültig, verwirft. In beiden Fällen ist eine dauernde Gefahr beseitigt, der Umfang des Ichs erweitert und ein kostspieliger Aufwand überflüssig gemacht worden.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Überwindung der Widerstände ist der Teil unserer Arbeit, der die meiste Zeit und die größte Mühe in Anspruch nimmt. Er lohnt sich aber auch, denn er bringt eine vorteilhafte Ichveränderung zustande, die sich unabhängig vom Erfolg der Übertragung erhalten und im Leben bewähren wird. Gleichzeitig haben wir auch an der Beseitigung jener Ichveränderung gearbeitet, die sich unter dem Einfluß des Unbewußten hergestellt hatte, denn wann immer wir solche Abkömmlinge desselben im Ich nachweisen konnten, haben wir ihre illegitime Herkunft aufgezeigt und das Ich zu ihrer Verwerfung angeregt. Wir erinnern uns, es war eine der Vorbedingungen unserer vertragsmäßigen Hilfeleistung, daß eine solche Ichveränderung durch das Eindringen unbewußter Elemente ein gewisses Ausmaß nicht überstiegen habe.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Je weiter unsere Arbeit fortschreitet und je tiefer sich unsere Einsicht in das Seelenleben des Neurotikers gestaltet, desto deutlicher drängt sich uns die Kenntnis zweier neuer Momente auf, die als Quellen des Widerstandes die größte Beachtung fordern. Beide sind dem Kranken völlig unbekannt, beide konnten beim Abschluß unseres Vertrages nicht berücksichtigt werden; sie gehen auch nicht vom Ich des Patienten aus. Man kann sie unter dem gemeinsamen Namen: Krankheits- oder Leidensbedürfnis zusammenfassen, aber sie sind verschiedener Herkunft, wenn auch sonst verwandter Natur. Das erste dieser beiden Momente ist das Schuldgefühl oder Schuldbewußtsein, wie es mit Hinwegsetzung über die Tatsache genannt wird, daß der Kranke es nicht verspürt und nicht erkennt. Es ist offenbar der Beitrag zum Widerstand, den ein besonders hart und grausam gewordenes Über-Ich leistet. Das Individuum soll nicht gesund werden, sondern krank bleiben, denn es verdient nichts Besseres. Dieser Widerstand stört eigentlich unsere intellektuelle Arbeit nicht, aber er macht sie unwirksam, ja, er gestattet oft, daß wir eine Form des neurotischen Leidens aufheben, ist aber sofort bereit, sie durch eine andere, eventuell durch eine somatische Erkrankung zu ersetzen. Dieses Schuldbewußtsein erklärt auch die gelegentlich beobachtete Heilung oder Besserung schwerer Neurosen durch reale Unglücksfälle; es kommt nämlich nur darauf an, daß man elend sei, gleichgiltig in welcher Weise. Die klaglose Ergebenheit, mit der solche Personen oft ihr schweres Schicksal ertragen, ist sehr merkwürdig, aber auch verräterisch. In der Abwehr dieses Widerstandes müssen wir uns auf das Bewußtmachen desselben und auf den Versuch zum langsamen Abbau des feindseligen Über-Ichs beschränken.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Weniger leicht ist es, die Existenz eines anderen Widerstandes zu erweisen, in dessen Bekämpfung wir uns besonders unzulänglich finden. Es gibt unter den Neurotikern Personen, bei denen, nach all ihren Reaktionen zu urteilen, der Trieb zur Selbsterhaltung geradezu eine Verkehrung erfahren hat. Sie scheinen auf nichts anderes als auf Selbstschädigung und Selbstzerstörung auszugehen. Vielleicht gehören auch die Personen, welche am Ende wirklich Selbstmord begehen, zu dieser Gruppe. Wir nehmen an, daß bei ihnen weitgehende Triebentmischungen stattgefunden haben, in deren Folge übergroße Quantitäten des nach innen gewendeten Destruktionstriebs freigeworden sind. Solche Patienten können die Herstellung durch unsere Behandlung nicht erträglich finden, sie widerstreben ihr mit allen Mitteln. Aber wir gestehen es zu, dies ist ein Fall, dessen Aufklärung uns noch nicht ganz geglückt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Überblicken wir jetzt nochmals die Situation, in die wir uns mit unserem Versuch, dem neurotischen Ich Hilfe zu bringen, begeben haben. Dieses Ich kann die Aufgabe, welche ihm die Außenwelt einschließlich </w:t>
      </w:r>
      <w:r w:rsidRPr="008725BE">
        <w:rPr>
          <w:rFonts w:ascii="Garamond" w:hAnsi="Garamond"/>
          <w:color w:val="000000"/>
          <w:lang w:val="en-GB"/>
        </w:rPr>
        <w:lastRenderedPageBreak/>
        <w:t xml:space="preserve">der menschlichen Gesellschaft stellt, nicht mehr erfüllen. Es verfügt nicht über all seine Erfahrungen, ein großer Teil seines Erinnerungsschatzes ist ihm abhanden gekommen. </w:t>
      </w:r>
      <w:r w:rsidRPr="008725BE">
        <w:rPr>
          <w:rFonts w:ascii="Garamond" w:hAnsi="Garamond"/>
          <w:color w:val="000000"/>
        </w:rPr>
        <w:t xml:space="preserve">Seine Aktivität wird durch strenge Verbote des Über-Ichs gehemmt, seine Energie verzehrt sich in vergeblichen Versuchen zur Abwehr der Ansprüche des Es. Überdies ist es infolge der fortgesetzten Einbrüche des Es in seiner Organisation geschädigt, in sich gespalten, bringt keine ordentliche Synthese mehr zustande, wird von einander widerstrebenden Strebungen, unerledigten Konflikten, ungelösten Zweifeln zerrissen. Wir lassen dies geschwächte Ich des Patienten zunächst an der rein intellektuellen Deutungsarbeit teilnehmen, die eine provisorische Ausfüllung der Lücken in seinem seelischen Besitz anstrebt, lassen uns die Autorität seines Über-Ichs übertragen, feuern es an, den Kampf um jeden einzelnen Anspruch des Es aufzunehmen und die Widerstände zu besiegen, die sich dabei ergeben. </w:t>
      </w:r>
      <w:r w:rsidRPr="008725BE">
        <w:rPr>
          <w:rFonts w:ascii="Garamond" w:hAnsi="Garamond"/>
          <w:color w:val="000000"/>
          <w:lang w:val="en-GB"/>
        </w:rPr>
        <w:t>Gleichzeitig stellen wir die Ordnung in seinem Ich wieder her, indem wir die aus dem Unbewußten eingedrungenen Inhalte und Strebungen aufspüren und durch Rückführung auf ihren Ursprung der Kritik bloßstellen. Wir dienen dem Patienten in verschiedenen Funktionen als Autorität und Elternersatz, als Lehrer und Erzieher, das Beste haben wir für ihn getan, wenn wir als Analytiker die psychischen Vorgänge in seinem Ich aufs normale Niveau heben, unbewußt Gewordenes und Verdrängtes in Vorbewußtes verwandeln und damit dem Ich wieder zu eigen geben. Auf der Seite des Patienten wirken für uns einige rationelle Momente wie das durch sein Leiden motivierte Bedürfnis nach Genesung und das intellektuelle Interesse, das wir bei ihm für die Lehren und Enthüllungen der Psychoanalyse wecken konnten, mit weit stärkeren Kräften aber die positive Übertragung, mit der er uns entgegenkommt. Auf der anderen Seite streiten gegen uns die negative Übertragung, der Verdrängungswiderstand des Ichs, d. h. seine Unlust, sich der ihm aufgetragenen schweren Arbeit auszusetzen, das Schuldgefühl aus dem Verhältnis zum Über-Ich und das Krankheitsbedürfnis aus tiefgreifenden Veränderungen seiner Triebökonomie. Von dem Anteil der beiden letzteren Faktoren hängt es ab, ob wir seinen Fall einen leichten oder schweren nennen werden. Unabhängig von diesen lassen sich einige andere Momente erkennen, die als günstig oder ungünstig in Betracht kommen. Eine gewisse psychische Trägheit, eine Schwerbeweglichkeit der Libido, die ihre Fixierungen nicht verlassen will, kann uns nicht willkommen sein; die Fähigkeit der Person zur Triebsublimierung spielt eine große Rolle und ebenso ihre Fähigkeit zur Erhebung über das grobe Triebleben sowie die relative Macht ihrer intellektuellen Funktionen.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sind nicht enttäuscht, sondern finden es durchaus begreiflich, wenn wir zum Schluß kommen, daß der Endausgang des Kampfes, den wir aufgenommen haben, von quantitativen Relationen abhängt, von dem Energiebetrag, den wir zu unseren Gunsten beim Patienten mobilisieren können, im Vergleich zur Summe der Energien der Mächte, die gegen uns wirken. Gott ist hier wieder einmal mit den stärkeren Bataillonen –; gewiß erreichen wir nicht immer zu siegen, aber wenigstens können wir meistens erkennen, warum wir nicht gesiegt haben. Wer unseren Ausführungen nur aus therapeutischem Interesse gefolgt ist, wird sich vielleicht nach diesem Eingeständnis geringschätzig abwenden. Aber uns beschäftigt die Therapie hier nur insoweit sie mit psychologischen Mitteln arbeitet, derzeit haben wir keine anderen. Die Zukunft mag uns lehren, mit besonderen chemischen Stoffen die Energiemengen und deren Verteilungen im seelischen Apparat direkt zu beeinflussen. Vielleicht ergeben sich noch ungeahnte andere Möglichkeiten der Therapie; vorläufig steht uns nichts Besseres zu Gebote als die psychoanalytische Technik, und darum sollte man sie trotz ihrer Beschränkungen nicht verachten.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Di</w:t>
        </w:r>
        <w:bookmarkStart w:id="159" w:name="KS24"/>
        <w:bookmarkEnd w:id="159"/>
        <w:r w:rsidRPr="008725BE">
          <w:rPr>
            <w:rStyle w:val="Lienhypertexte"/>
            <w:rFonts w:ascii="Garamond" w:hAnsi="Garamond" w:cs="Arial"/>
            <w:b/>
            <w:bCs/>
            <w:lang w:val="en-GB"/>
          </w:rPr>
          <w:t>e psychogene Sehstörung in psychoanalytischer Auffassung</w:t>
        </w:r>
      </w:hyperlink>
      <w:r w:rsidRPr="008725BE">
        <w:rPr>
          <w:rFonts w:ascii="Garamond" w:hAnsi="Garamond"/>
          <w:color w:val="000000"/>
          <w:lang w:val="en-GB"/>
        </w:rPr>
        <w:t xml:space="preserve">   </w:t>
      </w:r>
      <w:r w:rsidRPr="008725BE">
        <w:rPr>
          <w:rFonts w:ascii="Garamond" w:hAnsi="Garamond"/>
          <w:caps/>
          <w:color w:val="000000"/>
          <w:lang w:val="en-GB"/>
        </w:rPr>
        <w:t>(1910)</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Meine Herren Kollegen! Ich möchte Ihnen an dem Beispiel der psychogenen Sehstörung zeigen, welche Veränderungen unsere Auffassung von der Genese solcher Leiden unter dem Einflusse der psychoanalytischen Untersuchungsmethode erfahren hat. Sie wissen, man nimmt die hysterische Blindheit als den Typus einer psychogenen Sehstörung an. Die Genese einer solchen glaubt man nach den Untersuchungen der französischen Schule eines Charcot, Janet, Binet zu kennen. Man ist ja imstande, eine solche Blindheit experimentell zu erzeugen, wenn man eine des Somnambulismus fähige Person zur Verfügung hat. Versetzt man diese in tiefe Hypnose und suggeriert ihr die Vorstellung, sie sehe mit dem einen Auge nichts, so benimmt sie sich tatsächlich wie eine auf diesem Auge Erblindete, wie eine Hysterika mit spontan entwickelter Sehstörung. Man darf also den Mechanismus der spontanen hysterischen Sehstörung nach dem Vorbild der suggerierten hypnotischen konstruieren. Bei der Hysterika entsteht die Vorstellung, blind zu sein, nicht aus der Eingebung des Hypnotiseurs, sondern spontan, wie man sagt, durch Autosuggestion, und diese Vorstellung ist in beiden Fällen so stark, daß sie sich in Wirklichkeit umsetzt, ganz ähnlich wie eine suggerierte Halluzination, Lähmung und dergleichen.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klingt ja vollkommen verläßlich und muß jeden befriedigen, der sich über die vielen, hinter den Begriffen Hypnose, Suggestion und Autosuggestion versteckten Rätselhaftigkeiten hinwegsetzen kann. Insbesondere die Autosuggestion gibt Anlaß zu weiteren Fragen. Wann, unter welchen Bedingungen wird eine Vorstellung so stark, daß sie sich wie eine Suggestion benehmen und ohne weiteres in Wirklichkeit umsetzen kann? Eingehendere Untersuchungen haben da gelehrt, daß man diese Frage nicht beantworten kann, ohne den Begriff des »Unbewußten« zu Hilfe zu nehmen. Viele Philosophen sträuben sich gegen die Annahme eines solchen seelischen Unbewußten, weil sie sich um die Phänomene nicht gekümmert haben, die zu seiner Aufstellung nötigen. Den Psychopathologen ist es unvermeidlich geworden, mit unbewußten seelischen Vorgängen, unbewußten Vorstellungen und dergleichen zu arbeiten.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Sinnreiche Versuche haben gezeigt, daß die hysterisch Blinden doch in gewissem Sinne sehen, wenn auch nicht im vollen Sinne. Die Erregungen des blinden Auges können doch gewisse psychische Folgen haben, z. B. Affekte hervorrufen, obgleich sie nicht bewußt werden. Die hysterisch Blinden sind also nur fürs Bewußtsein blind, im Unbewußten sind sie sehend. Es sind gerade Erfahrungen dieser Art, die uns zur Sonderung von bewußten und unbewußten seelischen Vorgängen nötigen. Wie kommt es, daß sie die unbewußte »Autosuggestion«, blind zu sein, entwickeln, während sie doch im Unbewußten sehen?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Auf diese weitere Frage antwortet die Forschung der Franzosen mit der Erklärung, daß bei den zur Hysterie disponierten Kranken von vornherein eine Neigung zur Dissoziation –; zur Auflösung des Zusammenhanges im seelischen Geschehen –; bestehe, in deren Folge manche unbewußte Vorgänge sich nicht zum Bewußten fortsetzen. Lassen wir nun den Wert dieses Erklärungsversuches für das Verständnis der behandelten Erscheinungen ganz außer Betracht und wenden wir uns einem anderen Gesichtspunkte zu. Sie sehen doch ein, meine Herren, daß die anfänglich betonte Identität der hysterischen Blindheit mit der durch Suggestion hervorgerufenen wieder aufgegeben ist. Die Hysterischen sind nicht infolge der autosuggestiven Vorstellung, daß sie nicht sehen, blind, sondern infolge der Dissoziation zwischen unbewußten und bewußten Prozessen im Sehakt; ihre Vorstellung, nicht zu sehen, ist der berechtigte Ausdruck des psychischen Sachverhalts und nicht die Ursache desselben.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Meine Herren! Wenn Sie der vorstehenden Darstellung Unklarheit zum Vorwurf machen, so wird es mir nicht leicht werden, sie zu verteidigen. Ich habe versucht, Ihnen eine Synthese aus den Ansichten verschiedener Forscher zu geben, und dabei wahrscheinlich die Zusammenhänge zu straff angezogen. Ich wollte die Begriffe, denen man das Verständnis der psychogenen Störungen unterworfen hat: die Entstehung aus übermächtigen Ideen, die Unterscheidung bewußter von unbewußten seelischen Vorgängen und die Annahme der seelischen Dissoziation, zu einer einheitlichen Komposition verdichten, und dies konnte mir ebensowenig gelingen, wie es den französischen Autoren, an ihrer Spitze P. Janet, gelungen ist. Verzeihen Sie mir also nebst der Unklarheit auch die Untreue meiner Darstellung und lassen Sie sich erzählen, wie uns die Psychoanalyse zu einer in sich besser gefestigten und wahrscheinlich lebenswahreren Auffassung der psychogenen Sehstörungen geführt hat.</w:t>
      </w:r>
    </w:p>
    <w:p w:rsidR="008725BE" w:rsidRPr="008725BE" w:rsidRDefault="008725BE" w:rsidP="008725BE">
      <w:pPr>
        <w:pStyle w:val="Sansinterligne"/>
        <w:rPr>
          <w:rFonts w:ascii="Garamond" w:hAnsi="Garamond"/>
          <w:color w:val="000000"/>
        </w:rPr>
      </w:pPr>
      <w:r w:rsidRPr="008725BE">
        <w:rPr>
          <w:rFonts w:ascii="Garamond" w:hAnsi="Garamond"/>
          <w:color w:val="000000"/>
        </w:rPr>
        <w:t xml:space="preserve">Die Psychoanalyse akzeptiert ebenfalls die Annahmen der Dissoziation und des Unbewußten, setzt sie aber in eine andere Beziehung zueinander. Sie ist eine dynamische Auffassung, die das seelische Leben auf ein Spiel von einander fördernden und hemmenden Kräften zurückführt. Wenn in einem Falle eine Gruppe von Vorstellungen im Unbewußten verbleibt, so schließt sie nicht auf eine konstitutionelle Unfähigkeit zur Synthese, die sich gerade in dieser Dissoziation kundgibt, sondern behauptet, daß ein aktives Sträuben anderer Vorstellungsgruppen die Isolierung und Unbewußtheit der einen Gruppe </w:t>
      </w:r>
      <w:r w:rsidRPr="008725BE">
        <w:rPr>
          <w:rFonts w:ascii="Garamond" w:hAnsi="Garamond"/>
          <w:color w:val="000000"/>
        </w:rPr>
        <w:lastRenderedPageBreak/>
        <w:t>verursacht hat. Den Prozeß, der ein solches Schicksal für die eine Gruppe herbeiführt, heißt sie »Verdrängung« und erkennt in ihm etwas Analoges, wie es auf logischem Gebiete die Urteilsverwerfung ist. Sie weist nach, daß solche Verdrängungen eine außerordentlich wichtige Rolle in unserem Seelenleben spielen, daß sie dem Individuum auch häufig mißlingen können und daß das Mißlingen der Verdrängung die Vorbedingung der Symptombildung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Wenn also die psychogene Sehstörung, wie wir gelernt haben, darauf beruht, daß gewisse, an das Sehen geknüpfte Vorstellungen vom Bewußtsein abgetrennt bleiben, so muß die psychoanalytische Denkweise annehmen, diese Vorstellungen seien in einem Gegensatz zu anderen, stärkeren getreten, für die wir den jeweilig anders zusammengesetzten Sammelbegriff des »Ichs« verwenden, und seien darum in die Verdrängung geraten. Woher soll aber ein solcher, zur Verdrängung auffordernder Gegensatz zwischen dem Ich und einzelnen Vorstellungsgruppen rühren? Sie merken wohl, daß diese Fragestellung vor der Psychoanalyse nicht möglich war, denn vorher wußte man nichts vom psychischen Konflikt und von der Verdrängung. </w:t>
      </w:r>
      <w:r w:rsidRPr="008725BE">
        <w:rPr>
          <w:rFonts w:ascii="Garamond" w:hAnsi="Garamond"/>
          <w:color w:val="000000"/>
          <w:lang w:val="en-GB"/>
        </w:rPr>
        <w:t>Unsere Untersuchungen haben uns nun in den Stand gesetzt, die verlangte Antwort zu geben. Wir sind auf die Bedeutung der Triebe für das Vorstellungsleben aufmerksam geworden; wir haben erfahren, daß sich jeder Trieb durch die Belebung der zu seinen Zielen passenden Vorstellungen zur Geltung zu bringen sucht. Diese Triebe vertragen sich nicht immer miteinander; sie geraten häufig in einen Konflikt der Interessen; die Gegensätze der Vorstellungen sind nur der Ausdruck der Kämpfe zwischen den einzelnen Trieben. Von ganz besonderer Bedeutung für unseren Erklärungsversuch ist der unleugbare Gegensatz zwischen den Trieben, welche der Sexualität, der Gewinnung sexueller Lust, dienen, und den anderen, welche die Selbsterhaltung des Individuums zum Ziele haben, den Ichtrieben. Als »Hunger« oder als »Liebe« können wir nach den Worten des Dichters alle in unserer Seele wirkenden organischen Triebe klassifizieren. Wir haben den »Sexualtrieb« von seinen ersten Äußerungen beim Kinde bis zur Erreichung der als »normal« bezeichneten Endgestaltung verfolgt und gefunden, daß er aus zahlreichen »Partialtrieben« zusammengesetzt ist, die an den Erregungen von Körperregionen haften; wir haben eingesehen, daß diese Einzeltriebe eine komplizierte Entwicklung durchmachen müssen, ehe sie sich in zweckmäßiger Weise den Zielen der Fortpflanzung einordnen können. Die psychologische Beleuchtung unserer Kulturentwicklung hat uns gelehrt, daß die Kultur wesentlich auf Kosten der sexuellen Partialtriebe entsteht, daß diese unterdrückt, eingeschränkt, umgebildet, auf höhere Ziele gelenkt werden müssen, um die kulturellen seelischen Konstruktionen herzustellen. Als wertvolles Ergebnis dieser Untersuchungen konnten wir erkennen, was uns die Kollegen noch nicht glauben wollen, daß die als »Neurosen« bezeichneten Leiden der Menschen auf die mannigfachen Weisen des Mißglückens dieser Umbildungsvorgänge an den sexuellen Partialtrieben zurückzuführen sind. Das »Ich« fühlt sich durch die Ansprüche der sexuellen Triebe bedroht und erwehrt sich ihrer durch Verdrängungen, die aber nicht immer den erwünschten Erfolg haben, sondern bedrohliche Ersatzbildungen des Verdrängten und lästige Reaktionsbildungen des Ichs zur Folge haben. Aus diesen beiden Klassen von Phänomenen setzt sich zusammen, was wir die Symptome der Neurosen heißen.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sind von unserer Aufgabe anscheinend weit abgeschweift, haben aber dabei die Verknüpfung der neurotischen Krankheitszustände mit unserem gesamten Geistesleben gestreift. Gehen wir jetzt zu unserem engeren Problem zurück. Den sexuellen wie den Ichtrieben stehen im allgemeinen die nämlichen Organe und Organsysteme zur Verfügung. Die sexuelle Lust ist nicht bloß an die Funktion der Genitalien geknüpft; der Mund dient dem Küssen ebensowohl wie dem Essen und der sprachlichen Mitteilung, die Augen nehmen nicht nur die für die Lebenserhaltung wichtigen Veränderungen der Außenwelt wahr, sondern auch die Eigenschaften der Objekte, durch welche diese zu Objekten der Liebeswahl erhoben werden, ihre »Reize«. Es bewahrheitet sich nun, daß es für niemand leicht wird, zweien Herren zugleich zu dienen. In je innigere Beziehung ein Organ mit solch doppelseitiger Funktion zu dem einen der großen Triebe tritt, desto mehr verweigert es sich dem anderen. Dies Prinzip muß zu pathologischen Konsequenzen führen, wenn sich die beiden Grundtriebe entzweit haben, wenn von Seiten des Ichs eine Verdrängung gegen den betreffenden sexuellen Partialtrieb unterhalten wird. Die Anwendung auf das Auge und das Sehen ergibt sich leicht. Wenn der sexuelle Partialtrieb, der sich des Schauens bedient, die sexuelle Schaulust, wegen seiner übergroßen Ansprüche die Gegenwehr der Ichtriebe auf sich gezogen hat, so daß die Vorstellungen, in denen sich sein Streben ausdrückt, der Verdrängung verfallen und vom Bewußtwerden abgehalten werden, so ist damit die Beziehung des Auges und des Sehens zum Ich und zum Bewußtsein überhaupt gestört. Das Ich hat seine Herrschaft über das Organ verloren, welches sich nun ganz dem verdrängten sexuellen Trieb zur Verfügung stellt. Es macht den Eindruck, als ginge die Verdrängung von seiten des Ichs zu weit, als schüttete sie das Kind mit dem Bade aus, indem das Ich jetzt überhaupt nichts mehr sehen will, seitdem sich die sexuellen Interessen im Sehen so sehr vorgedrängt </w:t>
      </w:r>
      <w:r w:rsidRPr="008725BE">
        <w:rPr>
          <w:rFonts w:ascii="Garamond" w:hAnsi="Garamond"/>
          <w:color w:val="000000"/>
          <w:lang w:val="en-GB"/>
        </w:rPr>
        <w:lastRenderedPageBreak/>
        <w:t>haben. Zutreffender ist aber wohl die andere Darstellung, welche die Aktivität nach der Seite der verdrängten Schaulust verlegt. Es ist die Rache, die Entschädigung des verdrängten Triebes, daß er, von weiterer psychischer Entfaltung abgehalten, seine Herrschaft über das ihm dienende Organ nun zu steigern vermag. Der Verlust der bewußten Herrschaft über das Organ ist die schädliche Ersatzbildung für die mißglückte Verdrängung, die nur um diesen Preis ermöglicht war.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Deutlicher noch als am Auge ist diese Beziehung des zweifach in Anspruch genommenen Organs zum bewußten Ich und zur verdrängten Sexualität an den motorischen Organen ersichtlich, wenn z. B. die Hand hysterisch gelähmt wird, die eine sexuelle Aggression ausführen wollte und nach deren Hemmung nichts anders mehr tun kann, gleichsam als bestünde sie eigensinnig auf der Ausführung der einen verdrängten Innervation, oder wenn die Finger von Personen, welche der Masturbation entsagt haben, sich weigern, das feine Bewegungsspiel, welches am Klavier oder an der Violine erfordert wird, zu erlernen. Für das Auge pflegen wir die dunkeln psychischen Vorgänge bei der Verdrängung der sexuellen Schaulust und bei der Entstehung der psychogenen Sehstörung so zu übersetzen, als erhöbe sich in dem Individuum eine strafende Stimme, welche sagte: »Weil du dein Sehorgan zu böser Sinneslust mißbrauchen wolltest, geschieht es dir ganz recht, wenn du überhaupt nichts mehr siehst«, und die so den Ausgang des Prozesses billigte. Es liegt dann die Idee der Talion darin, und unsere Erklärung der psychogenen Sehstörung ist eigentlich mit jener zusammengefallen, die von der Sage, dem Mythus, der Legende dargeboten wird. In der schönen Sage von der Lady Godiva verbergen sich alle Einwohner des Städtchens hinter ihren verschlossenen Fenstern, um der Dame die Aufgabe, bei hellem Tageslichte nackt durch die Straßen zu reiten, zu erleichtern. Der einzige, der durch die Fensterläden nach der entblößten Schönheit späht, wird gestraft, indem er erblindet. Es ist dies übrigens nicht das einzige Beispiel, welches uns ahnen läßt, daß die Neurotik auch den Schlüssel zur Mythologie in sich birgt.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Meine Herren, man macht der Psychoanalyse mit Unrecht den Vorwurf, daß sie zu rein psychologischen Theorien der krankhaften Vorgänge führe. Schon die Betonung der pathogenen Rolle der Sexualität, die doch gewiß kein ausschließlich psychischer Faktor ist, sollte sie gegen diesen Vorwurf schützen. Die Psychoanalyse vergißt niemals, daß das Seelische auf dem Organischen ruht, wenngleich ihre Arbeit es nur bis zu dieser Grundlage und nicht darüber hinaus verfolgen kann. So ist die Psychoanalyse auch bereit zuzugeben, ja zu postulieren, daß nicht alle funktionellen Sehstörungen psychogen sein können wie die durch Verdrängung der erotischen Schaulust hervorgerufenen. Wenn ein Organ, welches beiderlei Trieben dient, seine erogene Rolle steigert, so ist ganz allgemein zu erwarten, daß dies nicht ohne Veränderungen der Erregbarkeit und der Innervation abgehen wird, die sich bei der Funktion des Organs im Dienste des Ichs als Störungen kundgeben werden. Ja, wenn wir sehen, daß ein Organ, welches sonst der Sinneswahrnehmung dient, sich bei Erhöhung seiner erogenen Rolle geradezu wie ein Genitale gebärdet, werden wir auch toxische Veränderungen in demselben nicht für unwahrscheinlich halten. Für beide Arten von Funktionsstörungen infolge der gesteigerten erogenen Bedeutung, die physiologischen wie die toxischen Ursprunges, wird man, in Ermangelung eines besseren, den alten, unpassenden Namen »neurotische« Störungen beibehalten müssen. Die neurotischen Störungen des Sehens verhalten sich zu den psychogenen wie ganz allgemein die Aktualneurosen zu den Psychoneurosen; psychogene Sehstörungen werden wohl kaum jemals ohne neurotische vorkommen können, wohl aber letztere ohne jene. Leider sind diese »neurotischen« Symptome heute noch sehr wenig gewürdigt und verstanden, denn der Psychoanalyse sind sie nicht unmittelbar zugänglich, und die anderen Untersuchungsweisen haben den Gesichtspunkt der Sexualität außer acht gelassen.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Von der Psychoanalyse zweigt noch ein anderer, in die organische Forschung reichender Gedankengang ab. Man kann sich die Frage vorlegen, ob die durch die Lebenseinflüsse erzeugte Unterdrückung sexueller Partialtriebe für sich allein hinreicht, die Funktionsstörungen der Organe hervorzurufen, oder ob nicht besondere konstitutionelle Verhältnisse vorliegen müssen, welche erst die Organe zur Übertreibung ihrer erogenen Rolle veranlassen und dadurch die Verdrängung der Triebe provozieren. In diesen Verhältnissen müßte man den konstitutionellen Anteil der Disposition zur Erkrankung an psychogenen und neurotischen Störungen erblicken. Es ist dies jenes Moment, welches ich bei der Hysterie vorläufig als »somatisches Entgegenkommen« der Organe bezeichnet habe.</w:t>
      </w:r>
    </w:p>
    <w:p w:rsidR="008725BE" w:rsidRPr="008725BE" w:rsidRDefault="008725BE" w:rsidP="008725BE">
      <w:pPr>
        <w:pStyle w:val="Sansinterligne"/>
        <w:rPr>
          <w:rFonts w:ascii="Garamond" w:hAnsi="Garamond"/>
          <w:caps/>
          <w:color w:val="000000"/>
        </w:rPr>
      </w:pPr>
      <w:r w:rsidRPr="005C1841">
        <w:rPr>
          <w:rFonts w:ascii="Garamond" w:hAnsi="Garamond"/>
          <w:color w:val="000000"/>
        </w:rPr>
        <w:br w:type="page"/>
      </w:r>
      <w:hyperlink w:anchor="KSinhalt" w:history="1">
        <w:r w:rsidRPr="008725BE">
          <w:rPr>
            <w:rStyle w:val="Lienhypertexte"/>
            <w:rFonts w:ascii="Garamond" w:hAnsi="Garamond" w:cs="Arial"/>
            <w:b/>
            <w:bCs/>
          </w:rPr>
          <w:t>Di</w:t>
        </w:r>
        <w:bookmarkStart w:id="160" w:name="KS25"/>
        <w:bookmarkEnd w:id="160"/>
        <w:r w:rsidRPr="008725BE">
          <w:rPr>
            <w:rStyle w:val="Lienhypertexte"/>
            <w:rFonts w:ascii="Garamond" w:hAnsi="Garamond" w:cs="Arial"/>
            <w:b/>
            <w:bCs/>
          </w:rPr>
          <w:t>e Sexualität in der Ätiologie der Neurosen</w:t>
        </w:r>
      </w:hyperlink>
      <w:r w:rsidRPr="008725BE">
        <w:rPr>
          <w:rFonts w:ascii="Garamond" w:hAnsi="Garamond"/>
          <w:color w:val="000000"/>
        </w:rPr>
        <w:t xml:space="preserve">  </w:t>
      </w:r>
      <w:r w:rsidRPr="008725BE">
        <w:rPr>
          <w:rFonts w:ascii="Garamond" w:hAnsi="Garamond"/>
          <w:caps/>
          <w:color w:val="000000"/>
        </w:rPr>
        <w:t>(1898)</w:t>
      </w:r>
    </w:p>
    <w:p w:rsidR="008725BE" w:rsidRPr="008725BE" w:rsidRDefault="008725BE" w:rsidP="008725BE">
      <w:pPr>
        <w:pStyle w:val="Sansinterligne"/>
        <w:rPr>
          <w:rFonts w:ascii="Garamond" w:hAnsi="Garamond"/>
          <w:color w:val="000000"/>
        </w:rPr>
      </w:pPr>
      <w:r w:rsidRPr="008725BE">
        <w:rPr>
          <w:rFonts w:ascii="Garamond" w:hAnsi="Garamond"/>
          <w:color w:val="000000"/>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Durch eingehende Untersuchungen bin ich in den letzten Jahren zur Erkenntnis gelangt, daß Momente aus dem Sexualleben die nächsten und praktisch bedeutsamsten Ursachen eines jeden Falles von neurotischer Erkrankung darstellen. </w:t>
      </w:r>
      <w:r w:rsidRPr="008725BE">
        <w:rPr>
          <w:rFonts w:ascii="Garamond" w:hAnsi="Garamond"/>
          <w:color w:val="000000"/>
          <w:lang w:val="en-GB"/>
        </w:rPr>
        <w:t>Diese Lehre ist nicht völlig neu; eine gewisse Bedeutung ist den sexuellen Momenten in der Ätiologie der Neurosen von jeher und von allen Autoren eingeräumt worden; für manche Unterströmungen in der Medizin ist die Heilung von »Sexualbeschwerden« und von »Nervenschwäche« immer in einem einzigen Versprechen vereint gewesen. Es wird also nicht schwerhalten, dieser Lehre die Originalität zu bestreiten, wenn man einmal darauf verzichtet haben wird, ihre Triftigkeit zu leugnen.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einigen kürzeren Aufsätzen, die in den letzten Jahren im </w:t>
      </w:r>
      <w:r w:rsidRPr="008725BE">
        <w:rPr>
          <w:rFonts w:ascii="Garamond" w:hAnsi="Garamond"/>
          <w:i/>
          <w:iCs/>
          <w:color w:val="000000"/>
          <w:lang w:val="en-GB"/>
        </w:rPr>
        <w:t>Neurologischen Zentralblatt</w:t>
      </w:r>
      <w:r w:rsidRPr="008725BE">
        <w:rPr>
          <w:rFonts w:ascii="Garamond" w:hAnsi="Garamond"/>
          <w:color w:val="000000"/>
          <w:lang w:val="en-GB"/>
        </w:rPr>
        <w:t xml:space="preserve">, in der </w:t>
      </w:r>
      <w:r w:rsidRPr="008725BE">
        <w:rPr>
          <w:rFonts w:ascii="Garamond" w:hAnsi="Garamond"/>
          <w:i/>
          <w:iCs/>
          <w:color w:val="000000"/>
          <w:lang w:val="en-GB"/>
        </w:rPr>
        <w:t>Revue neurologique</w:t>
      </w:r>
      <w:r w:rsidRPr="008725BE">
        <w:rPr>
          <w:rFonts w:ascii="Garamond" w:hAnsi="Garamond"/>
          <w:color w:val="000000"/>
          <w:lang w:val="en-GB"/>
        </w:rPr>
        <w:t xml:space="preserve"> und in der </w:t>
      </w:r>
      <w:r w:rsidRPr="008725BE">
        <w:rPr>
          <w:rFonts w:ascii="Garamond" w:hAnsi="Garamond"/>
          <w:i/>
          <w:iCs/>
          <w:color w:val="000000"/>
          <w:lang w:val="en-GB"/>
        </w:rPr>
        <w:t>Wiener Klinischen Rundschau</w:t>
      </w:r>
      <w:r w:rsidRPr="008725BE">
        <w:rPr>
          <w:rFonts w:ascii="Garamond" w:hAnsi="Garamond"/>
          <w:color w:val="000000"/>
          <w:lang w:val="en-GB"/>
        </w:rPr>
        <w:t xml:space="preserve"> erschienen sind, habe ich versucht, das Material und die Gesichtspunkte anzudeuten, welche der Lehre von der »sexuellen Ätiologie der Neurosen« eine wissenschaftliche Stütze bieten. Eine ausführliche Darstellung steht noch aus, und zwar wesentlich darum, weil man bei der Bemühung, den als tatsächlich erkannten Zusammenhang aufzuklären, zu immer neuen Problemen gelangt, für deren Lösung es an Vorarbeiten fehlt. Keineswegs verfrüht erscheint mir aber der Versuch, das Interesse des praktischen Arztes auf die von mir behaupteten Verhältnisse zu lenken, damit er sich in einem von der Richtigkeit dieser Behauptungen und von den Vorteilen überzeuge, welche er für sein ärztliches Handeln aus ihrer Erkenntnis ableiten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weiß, daß es an Bemühungen nicht fehlen wird, den Arzt durch ethisch gefärbte Argumente von der Verfolgung dieses Gegenstandes abzuhalten. Wer sich bei seinen Kranken überzeugen will, ob ihre Neurosen wirklich mit ihrem Sexualleben zusammenhängen, der kann es nicht vermeiden, sich bei ihnen nach ihrem Sexualleben zu erkundigen und auf wahrheitsgetreue Aufklärung über dasselbe zu dringen. Darin soll aber die Gefahr für den einzelnen wie für die Gesellschaft liegen. Der Arzt, höre ich sagen, hat kein Recht, sich in die sexuellen Geheimnisse seiner Patienten einzudrängen, ihre Schamhaftigkeit –; besonders der weiblichen Personen –; durch solches Examen gröblich zu verletzen. Seine ungeschickte Hand kann nur Familienglück zerstören, bei jugendlichen Personen die Unschuld beleidigen und der Autorität der Eltern vorgreifen; bei Erwachsenen wird er unbequeme Mitwisserschaft erwerben und sein eigenes Verhältnis zu seinen Kranken zerstören. Es sei also seine ethische Pflicht, der ganzen sexuellen Angelegenheit fernezubleiben.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darf wohl antworten: Das ist die Äußerung einer des Arztes unwürdigen Prüderie, die mit schlechten Argumenten ihre Blöße mangelhaft verdeckt. Wenn Momente aus dem Sexualleben wirklich als Krankheitsursachen zu erkennen sind, so fällt die Ermittlung und Besprechung dieser Momente eben hiedurch ohne weiteres Bedenken in den Pflichtenkreis des Arztes. Die Verletzung der Schamhaftigkeit, die er sich dabei zuschulden kommen läßt, ist keine andere und keine ärgere, sollte man meinen, als wenn er, um eine örtliche Affektion zu heilen, auf der Inspektion der weiblichen Genitalien besteht, zu welcher Forderung ihn die Schule selbst verpflichtet. Von älteren Frauen, die ihre Jugendjahre in der Provinz zugebracht haben, hört man oft noch erzählen, daß sie einst durch übermäßige Genitalblutungen bis zur Erschöpfung heruntergekommen waren, weil sie sich nicht entschließen konnten, einem Arzt den Anblick ihrer Nacktheit zu gestatten. Der erziehliche Einfluß, der von den Ärzten auf das Publikum geübt wird, hat es im Lauf einer Generation dahin gebracht, daß bei unseren jungen Frauen solches Sträuben nur höchst selten vorkommt. Wo es sich träfe, würde es als unverständige Prüderie, als Scham am unrechten Orte verdammt werden. Leben wir denn in der Türkei, würde der Ehemann fragen, wo die kranke Frau dem Arzte nur den Arm durch ein Loch in der Mauer zeigen darf?</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nicht richtig, daß das Examen und die Mitwisserschaft in sexuellen Dingen dem Arzt eine gefährliche Machtfülle gegen seine Patienten verschafft. Derselbe Einwand konnte sich mit mehr Berechtigung seinerzeit gegen die Anwendung der Narkose richten, durch welche der Kranke seines Bewußtseins und seiner Willensbestimmung beraubt und es in die Hand des Arztes gelegt wird, ob und wann er sie wiedererlangen soll. Doch ist uns heute die Narkose unentbehrlich geworden, weil sie dem ärztlichen Bestreben zu helfen dienlich ist wie nichts anderes, und der Arzt hat die Verantwortlichkeit für die Narkose unter seine anderen ernsten Verpflichtungen aufgenommen.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Arzt kann in allen Fällen Schaden stiften, wenn er ungeschickt oder gewissenlos ist, in anderen Fällen nicht mehr und nicht minder als bei der Forschung nach dem Sexualleben seiner Patienten. Freilich, wer in einem schätzenswerten Ansatze zur Selbsterkenntnis sich nicht das Taktgefühl, den Ernst und die Verschwiegenheit zutraut, deren er für das Examen der Neurotiker bedarf, wer von sich weiß, daß Enthüllungen aus dem Sexualleben lüsternen Kitzel anstatt wissenschaftlichen Interesses bei ihm </w:t>
      </w:r>
      <w:r w:rsidRPr="008725BE">
        <w:rPr>
          <w:rFonts w:ascii="Garamond" w:hAnsi="Garamond"/>
          <w:color w:val="000000"/>
          <w:lang w:val="en-GB"/>
        </w:rPr>
        <w:lastRenderedPageBreak/>
        <w:t>hervorrufen werden, der tut recht daran, dem Thema der Ätiologie der Neurosen fernzubleiben. Wir verlangen nur noch, daß er sich auch von der Behandlung der Nervösen fernhalte.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auch nicht richtig, daß die Kranken einer Erforschung ihres Sexuallebens unüberwindliche Hindernisse entgegensetzen. Erwachsene pflegen sich nach kurzem Zögern mit den Worten zurechtzurücken: Ich bin doch beim Arzte, dem darf man alles sagen. Zahlreiche Frauen, die an der Aufgabe, ihre sexuellen Gefühle zu verbergen, schwer genug durchs Leben zu tragen haben, finden sich erleichtert, wenn sie beim Arzte merken, daß hier keine andere Rücksicht über die ihrer Heilung gesetzt ist, und danken es ihm, daß sie sich auch einmal in sexuellen Dingen rein menschlich gebärden dürfen. Eine dunkle Kenntnis der vorwaltenden Bedeutung sexueller Momente für die Entstehung der Nervosität, wie ich sie für die Wissenschaft neu zu gewinnen suche, scheint im Bewußtsein der Laien überhaupt nie untergegangen zu sein. Wie oft erlebt man Szenen wie die folgende: Man hat ein Ehepaar vor sich, von dem ein Teil an Neurose leidet. Nach vielen Einleitungen und Entschuldigungen, daß es für den Arzt, der in solchen Fällen helfen will, konventionelle Schranken nicht geben darf u. dgl., teilt man den beiden mit, man vermute, der Grund der Krankheit liege in der unnatürlichen und schädlichen Art des sexuellen Verkehrs, die sie seit der letzten Entbindung der Frau gewählt haben dürften. Die Ärzte pflegen sich um diese Verhältnisse in der Regel nicht zu kümmern, allein das sei nur verwerflich, wenn auch die Kranken nicht gerne davon hören usw. Dann stößt der eine Teil den andern an und sagt: Siehst du, ich habe es dir gleich gesagt, das wird mich krank machen. Und der andere antwortet: Ich hab' mir's ja auch gedacht, aber was soll man tun?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Unter gewissen anderen Umständen, etwa bei jungen Mädchen, die ja systematisch zur Verhehlung ihres Sexuallebens erzogen werden, wird man sich mit einem recht bescheidenen Maße von aufrichtigem Entgegenkommen begnügen müssen. Es fällt aber hier ins Gewicht, daß der kundige Arzt seinen Kranken nicht unvorbereitet entgegentritt und in der Regel nicht Aufklärung, sondern bloß Bestätigung seiner Vermutungen von ihnen zu fordern hat. Wer meinen Anweisungen folgen will, wie man sich die Morphologie der Neurosen zurechtzulegen und ins Ätiologische zu übersetzen hat, dem brauchen die Kranken nur wenig Geständnisse mehr zu machen. In der nur allzu bereitwillig gegebenen Schilderung ihrer Krankheitssymptome haben sie ihm meist die Kenntnis der dahinter verborgenen sexuellen Faktoren mitverraten.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wäre von großem Vorteile, wenn die Kranken besser wüßten, mit welcher Sicherheit dem Arzte die Deutung ihrer neurotischen Beschwerden und der Rückschluß von ihnen auf die wirksame sexuelle Ätiologie nunmehr möglich ist. Es wäre sicherlich ein Antrieb für sie, auf die Heimlichkeit von dem Augenblicke an zu verzichten, da sie sich entschlossen haben, für ihr Leiden um Hilfe zu bitten. Wir haben aber alle ein Interesse daran, daß auch in sexuellen Dingen ein höherer Grad von Aufrichtigkeit unter den Menschen Pflicht werde, als er bis jetzt verlangt wird. Die sexuelle Sittlichkeit kann dabei nur gewinnen. Gegenwärtig sind wir in Sachen der Sexualität samt und sonders Heuchler, Kranke wie Gesunde. Es wird uns nur zugute kommen, wenn im Gefolge der allgemeinen Aufrichtigkeit ein gewisses Maß von Duldung in sexuellen Dingen zur Geltung gelangt.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Arzt hat gewöhnlich ein sehr geringes Interesse an manchen der Fragen, welche unter den Neuropathologen in betreff der Neurosen diskutiert werden, etwa ob man Hysterie und Neurasthenie strenge zu sondern berechtigt ist, ob man eine Hystero-Neurasthenie daneben unterscheiden darf, ob man das Zwangsvorstellen zur Neurasthenie rechnen oder als besondere Neurose anerkennen soll u. dgl. m. Wirklich dürfen auch solche Distinktionen dem Arzte gleichgültig sein, solange sich an die getroffene Entscheidung weiter nichts knüpft, keine tiefere Einsicht und kein Fingerzeig für die Therapie, solange der Kranke in allen Fällen in die Wasserheilanstalt geschickt wird oder zu hören bekommt –; daß ihm nichts fehlt. Anders aber, wenn man unsere Gesichtspunkte über die ursächlichen Beziehungen zwischen der Sexualität und den Neurosen annimmt. Dann erwacht ein neues Interesse für die Symptomatologie der einzelnen neurotischen Fälle, und es gelangt zur praktischen Wichtigkeit, daß man das komplizierte Bild richtig in seine Komponenten zu zerlegen und diese richtig zu benennen verstehe. Die Morphologie der Neurosen ist nämlich mit geringer Mühe in Ätiologie zu übersetzen, und aus der Erkenntnis dieser leiten sich, wie selbstverständlich, neue therapeutische Anweisungen ab.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bedeutsame Entscheidung nun, die jedesmal durch sorgfältige Würdigung der Symptome sicher getroffen werden kann, geht dahin, ob der Fall die Charaktere einer Neurasthenie oder einer Psychoneurose (Hysterie, Zwangsvorstellen) an sich trägt. (Es kommen ungemein häufig Mischfälle vor, in denen Zeichen der Neurasthenie mit denen einer Psychoneurose vereinigt sind; wir wollen aber deren Würdigung für später aufsparen.) Nur bei den Neurasthenien hat das Examen der Kranken den Erfolg, die ätiologischen Momente aus dem Sexualleben aufzudecken; dieselben sind dem Kranken, wie natürlich, </w:t>
      </w:r>
      <w:r w:rsidRPr="008725BE">
        <w:rPr>
          <w:rFonts w:ascii="Garamond" w:hAnsi="Garamond"/>
          <w:color w:val="000000"/>
          <w:lang w:val="en-GB"/>
        </w:rPr>
        <w:lastRenderedPageBreak/>
        <w:t>bekannt und gehören der Gegenwart, richtiger der Lebenszeit seit der Geschlechtsreife an (wenngleich auch diese Abgrenzung nicht alle Fälle einzuschließen gestattet). Bei den Psychoneurosen leistet ein solches Examen wenig; es verschafft uns etwa die Kenntnis von Momenten, die man als Veranlassungen anerkennen muß und die mit dem Sexualleben zusammenhängen oder auch nicht; im ersteren Falle zeigen sie sich dann nicht von anderer Art als die ätiologischen Momente der Neurasthenie, lassen also eine spezifische Beziehung zur Verursachung der Psychoneurose durchaus vermissen. Und doch liegt auch die Ätiologie der Psychoneurosen in jedem Falle wiederum im Sexuellen. Auf einem merkwürdigen Umwege, von dem später die Rede sein wird, kann man zur Kenntnis dieser Ätiologie gelangen und begreiflich finden, daß der Kranke uns von ihr nichts zu sagen wußte. Die Ereignisse und Einwirkungen nämlich, welche jeder Psychoneurose zugrunde liegen, gehören nicht der Aktualität an, sondern einer längst vergangenen, sozusagen prähistorischen Lebensepoche, der frühen Kindheit, und darum sind sie auch dem Kranken nicht bekannt. Er hat sie –; in einem bestimmten Sinne nur –; vergessen.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Sexuelle Ätiologie also in allen Fällen von Neurose; aber bei den Neurasthenien solche von aktueller Art, bei den Psychoneurosen Momente infantiler Natur; dies ist der erste große Gegensatz in der Ätiologie der Neurosen. Ein zweiter ergibt sich, wenn man einem Unterschiede in der Symptomatik der Neurasthenie selbst Rechnung trägt. Hier finden sich einerseits Fälle, in denen sich gewisse für die Neurasthenie charakteristische Beschwerden in den Vordergrund drängen: der Kopfdruck, die Ermüdbarkeit, die Dyspepsie, die Stuhlverstopfung, die Spinalirritation usf. In anderen Fällen treten diese Zeichen zurück, und das Krankheitsbild setzt sich aus anderen Symptomen zusammen, die sämtlich eine Beziehung zum Kernsymptom, der »Angst«, erkennen lassen (freie Ängstlichkeit, Unruhe, Erwartungsangst, komplette, rudimentäre und supplementäre Angstanfälle, lokomotorischer Schwindel, Agoraphobie, Schlaflosigkeit, Schmerzsteigerung usw.). Ich habe dem ersten Typus von Neurasthenie seinen Namen belassen, den zweiten aber als »Angstneurose« ausgezeichnet und diese Scheidung an anderem Orte begründet, woselbst auch der Tatsache des in der Regel gemeinsamen Vorkommens beider Neurosen Rechnung getragen wird. Für unsere Zwecke genügt die Hervorhebung, daß der symptomatischen Verschiedenheit beider Formen ein Unterschied der Ätiologie parallelgeht. Die Neurasthenie läßt sich jedesmal auf einen Zustand des Nervensystems zurückführen, wie er durch exzessive Masturbation erworben wird oder durch gehäufte Pollutionen spontan entsteht; bei der Angstneurose findet man regelmäßig sexuelle Einflüsse, denen das Moment der Zurückhaltung oder der unvollkommenen Befriedigung gemeinsam ist, wie: </w:t>
      </w:r>
      <w:r w:rsidRPr="008725BE">
        <w:rPr>
          <w:rFonts w:ascii="Garamond" w:hAnsi="Garamond"/>
          <w:i/>
          <w:iCs/>
          <w:color w:val="000000"/>
          <w:lang w:val="en-GB"/>
        </w:rPr>
        <w:t>coitus interruptus</w:t>
      </w:r>
      <w:r w:rsidRPr="008725BE">
        <w:rPr>
          <w:rFonts w:ascii="Garamond" w:hAnsi="Garamond"/>
          <w:color w:val="000000"/>
          <w:lang w:val="en-GB"/>
        </w:rPr>
        <w:t>, Abstinenz bei lebhafter Libido, sogenannte frustrane Erregung u. dgl. In dem kleinen Aufsatze, welcher die Angstneurose einzuführen bemüht war, habe ich die Formel ausgesprochen, die Angst sei überhaupt eine von ihrer Verwendung abgelenkte Libido.</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Wo in einem Falle Symptome der Neurasthenie und der Angstneurose vereinigt sind, also ein Mischfall vorliegt, da hält man sich an den empirisch gefundenen Satz, daß einer Vermengung von Neurosen ein Zusammenwirken von mehreren ätiologischen Momenten entspricht, und wird seine Erwartung jedesmal bestätigt finden. Wie oft diese ätiologischen Momente durch den Zusammenhang der sexuellen Vorgänge organisch miteinander verknüpft sind, z. B. </w:t>
      </w:r>
      <w:r w:rsidRPr="008725BE">
        <w:rPr>
          <w:rFonts w:ascii="Garamond" w:hAnsi="Garamond"/>
          <w:i/>
          <w:iCs/>
          <w:color w:val="000000"/>
          <w:lang w:val="en-GB"/>
        </w:rPr>
        <w:t>coitus interruptus</w:t>
      </w:r>
      <w:r w:rsidRPr="008725BE">
        <w:rPr>
          <w:rFonts w:ascii="Garamond" w:hAnsi="Garamond"/>
          <w:color w:val="000000"/>
          <w:lang w:val="en-GB"/>
        </w:rPr>
        <w:t xml:space="preserve"> oder ungenügende Potenz des Mannes mit der Masturbation, dies wäre einer Ausführung im einzelnen wohl würdig.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man den vorliegenden Fall von neurasthenischer Neurose sicher diagnostiziert und dessen Symptome richtig gruppiert hat, so darf man sich die Symptomatik in Ätiologie übersetzen und dann von den Kranken dreist die Bekräftigung seiner Vermutungen verlangen. Anfänglicher Widerspruch darf einen nicht irremachen; man besteht fest auf dem, was man erschlossen hat, und besiegt endlich jeden Widerstand dadurch, daß man die Unerschütterlichkeit seiner Überzeugung betont. Man erfährt dabei allerlei aus dem Sexualleben der Menschen, womit sich ein nützliches und lehrreiches Buch füllen ließe, lernt es auch nach jeder Richtung hin bedauern, daß die Sexualwissenschaft heutzutage noch als unehrlich gilt. Da kleinere Abweichungen von einer normalen </w:t>
      </w:r>
      <w:r w:rsidRPr="008725BE">
        <w:rPr>
          <w:rFonts w:ascii="Garamond" w:hAnsi="Garamond"/>
          <w:i/>
          <w:iCs/>
          <w:color w:val="000000"/>
          <w:lang w:val="en-GB"/>
        </w:rPr>
        <w:t>vita sexualis</w:t>
      </w:r>
      <w:r w:rsidRPr="008725BE">
        <w:rPr>
          <w:rFonts w:ascii="Garamond" w:hAnsi="Garamond"/>
          <w:color w:val="000000"/>
          <w:lang w:val="en-GB"/>
        </w:rPr>
        <w:t xml:space="preserve"> viel zu häufig sind, als daß man ihrer Auffindung Wert beilegen dürfte, wird man bei seinen neurotisch Kranken nur schwere und lange Zeit fortgesetzte Abnormität des Sexuallebens als Aufklärung gelten lassen; daß man aber durch sein Drängen einen Kranken, der psychisch normal ist, veranlassen könnte, sich selbst fälschlich sexueller Vergehen zu bezichtigen, das darf man getrost als eine imaginäre Gefahr vernachlässigen.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Verfährt man in dieser Weise mit seinen Kranken, so erwirbt man sich auch die Überzeugung, daß es für die Lehre von der sexuellen Ätiologie der Neurasthenie negative Fälle nicht gibt. Bei mir wenigstens ist diese Überzeugung so sicher geworden, daß ich auch den negativen Ausfall des Examens diagnostisch verwertet habe, nämlich um mir zu sagen, daß solche Fälle keine Neurasthenie sein können. So kam ich mehrmals dazu, eine progressive Paralyse anstatt einer Neurasthenie anzunehmen, weil es mir nicht gelungen war, die nach meiner Lehre erforderliche ausgiebige Masturbation nachzuweisen, und der </w:t>
      </w:r>
      <w:r w:rsidRPr="008725BE">
        <w:rPr>
          <w:rFonts w:ascii="Garamond" w:hAnsi="Garamond"/>
          <w:color w:val="000000"/>
          <w:lang w:val="en-GB"/>
        </w:rPr>
        <w:lastRenderedPageBreak/>
        <w:t>Verlauf dieser Fälle gab mir nachträglich recht. Ein andermal, wo der Kranke, bei Abwesenheit deutlicher organischer Veränderungen, über Kopfdruck, Kopfschmerzen, Dyspepsie klagte und meinen sexuellen Verdächtigungen mit Aufrichtigkeit und überlegener Sicherheit begegnete, fiel es mir ein, eine latente Eiterung in einer der Nebenhöhlen der Nase zu vermuten, und ein spezialistisch geschulter Kollege bestätigte diesen aus dem sexuell negativen Examen gezogenen Schluß, indem er den Kranken durch Entleerung von fötidem Eiter aus einer Highmorshöhle von seinen Beschwerden befreite.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Anschein, als ob es dennoch »negative Fälle« gäbe, kann auch auf andere Weise entstehen. Das Examen weist mitunter ein normales Sexualleben bei Personen nach, deren Neurose einer Neurasthenie oder einer Angstneurose für oberflächliche Beobachtung wirklich genug ähnlich sieht. Tiefer eindringende Untersuchung deckt aber dann regelmäßig den wahren Sachverhalt auf. Hinter solchen Fällen, die man für Neurasthenie gehalten hat, steckt eine Psychoneurose, eine Hysterie oder Zwangsneurose. Die Hysterie insbesondere, die so viele organische Affektionen nachahmt, kann mit Leichtigkeit eine der aktuellen Neurosen vortäuschen, indem sie deren Symptome zu hysterischen erhebt. Solche Hysterien in der Form der Neurasthenie sind nicht einmal sehr selten. Es ist aber keine wohlfeile Auskunft, wenn man für die Neurasthenien mit sexuell negativer Auskunft auf die Psychoneurosen rekurriert; man kann den Nachweis hiefür führen auf jenem Wege, der allein eine Hysterie untrüglich entlarvt, auf dem Wege der später zu erwähnenden Psychoanalyse.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Vielleicht wird nun mancher, der gerne bereit ist, der sexuellen Ätiologie bei seinen neurasthenisch Kranken Rechnung zu tragen, es doch als eine Einseitigkeit rügen, wenn er nicht aufgefordert wird, auch den anderen Momenten, die als Ursachen der Neurasthenie bei den Autoren allgemein erwähnt sind, seine Aufmerksamkeit zu schenken. Es fällt mir nun nicht ein, die sexuelle Ätiologie bei den Neurosen jeder anderen zu substituieren, so daß ich deren Wirksamkeit für aufgehoben erklären würde. Das wäre ein Mißverständnis. Ich meine vielmehr, zu all den bekannten und wahrscheinlich mit Recht anerkannten ätiologischen Momenten der Autoren für die Entstehung der Neurasthenie kommen die sexuellen, die bisher nicht hinreichend gewürdigt worden sind, noch hinzu. Diese verdienen aber, nach meiner Schätzung, daß man ihnen in der ätiologischen Reihe eine besondere Stellung anweise. Denn sie allein werden in keinem Falle von Neurasthenie vermißt, sie allein vermögen es, die Neurose ohne weitere Beihilfe zu erzeugen, so daß diese anderen Momente zur Rolle einer Hilfs- und Supplementärätiologie herabgedrückt scheinen; sie allein gestatten dem Arzte, sichere Beziehungen zwischen ihrer Mannigfaltigkeit und der Vielheit der Krankheitsbilder zu erkennen. Wenn ich dagegen die Fälle zusammenstelle, die angeblich durch Überarbeitung, Gemütsaufregung, nach einem Typhus u. dgl. neurasthenisch geworden sind, so zeigen sie mir in den Symptomen nichts Gemeinsames, ich wüßte aus der Art der Ätiologie keine Erwartung in betreff der Symptome zu bilden wie umgekehrt aus dem Krankheitsbilde nicht auf die einwirkende Ätiologie zu schließen.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sexuellen Ursachen sind auch jene, welche dem Arzte am ehesten einen Anhalt für sein therapeutisches Wirken bieten. Die Heredität ist unzweifelhaft ein bedeutsamer Faktor, wo sie sich findet; sie gestattet, daß ein großer Krankheitseffekt zustande kommt, wo sich sonst nur ein sehr geringer ergeben hätte. Allein die Heredität ist der Beeinflussung des Arztes unzugänglich; ein jeder bringt seine hereditären Krankheitsneigungen mit sich; wir können nichts mehr daran ändern. Auch dürfen wir nicht vergessen, daß wir gerade in der Ätiologie der Neurasthenien der Heredität den ersten Rang notwendig versagen müssen. Die Neurasthenie (in beiden Formen) gehört zu den Affektionen, die jeder erblich Unbelastete bequem erwerben kann. Wäre es anders, so wäre ja die riesige Zunahme der Neurasthenie undenkbar, über welche alle Autoren klagen. Was die Zivilisation betrifft, zu deren Sündenregister man oft die Verursachung der Neurasthenie zu schreiben pflegt, so mögen auch hierin die Autoren recht haben (wiewohl wahrscheinlich auf ganz anderen Wegen, als sie vermeinen); aber der Zustand unserer Zivilisation ist gleichfalls für den einzelnen etwas Unabänderliches; übrigens erklärt dieses Moment bei seiner Allgemeingültigkeit für die Mitglieder derselben Gesellschaft niemals die Tatsache der Auswahl bei der Erkrankung. Der nicht neurasthenische Arzt steht ja unter demselben Einflüsse der angeblich unheilvollen Zivilisation wie der neurasthenische Kranke, den er behandeln soll. –; Die Bedeutung erschöpfender Einflüsse bleibt mit der oben gegebenen Einschränkung bestehen. Aber mit dem Momente der »Überarbeitung«, das die Ärzte so gerne ihren Patienten als Ursache ihrer Neurose gelten lassen, wird übermäßig viel Mißbrauch getrieben. Es ist ganz richtig, daß jeder, der sich durch sexuelle Schädlichkeiten zur Neurasthenie disponiert hat, die intellektuelle Arbeit und die psychischen Mühen des Lebens schlecht verträgt, aber niemals wird jemand durch Arbeit oder durch Aufregung allein neurotisch. Geistige Arbeit ist eher ein Schutzmittel gegen neurasthenische Erkrankung; gerade die ausdauerndsten intellektuellen Arbeiter bleiben von der Neurasthenie verschont, und was die Neurastheniker als »krank machende </w:t>
      </w:r>
      <w:r w:rsidRPr="008725BE">
        <w:rPr>
          <w:rFonts w:ascii="Garamond" w:hAnsi="Garamond"/>
          <w:color w:val="000000"/>
          <w:lang w:val="en-GB"/>
        </w:rPr>
        <w:lastRenderedPageBreak/>
        <w:t>Überarbeitung« anklagen, das verdient in der Regel weder der Qualität noch dem Ausmaße nach als »geistige Arbeit« anerkannt zu werden. Die Ärzte werden sich wohl gewöhnen müssen, dem Beamten, der sich in seinem Bureau »überangestrengt«, oder der Hausfrau, der ihr Hauswesen zu schwer geworden ist, die Aufklärung zu geben, daß sie nicht erkrankt sind, weil sie versucht haben, ihre für ein zivilisiertes Gehirn eigentlich leichten Pflichten zu erfüllen, sondern weil sie währenddessen ihr Sexualleben gröblich vernachlässigt und verdorben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Nur die sexuelle Ätiologie ermöglicht uns ferner das Verständnis aller Einzelheiten der Krankengeschichten bei Neurasthenikern, der rätselhaften Besserungen mitten im Krankheitsverlaufe und der ebenso unbegreiflichen Verschlimmerungen, die von Ärzten und Kranken dann gewöhnlich mit der eingeschlagenen Therapie in Beziehung gebracht werden. In meiner mehr als zweihundert Fälle umfassenden Sammlung ist z. B. die Geschichte eines Mannes verzeichnet, der, nachdem ihm die hausärztliche Behandlung nichts genützt hatte, zu Pfarrer Kneipp ging und von dieser Kur an ein Jahr von außerordentlicher Besserung mitten in seinen Leiden zu verzeichnen hatte. Als aber ein Jahr später die Beschwerden sich wieder verstärkten und er neuerdings Hilfe in Wörishofen suchte, blieb der Erfolg dieser zweiten Kur aus. Ein Blick in die Familienchronik dieses Patienten löst das zweifache Rätsel auf: sechseinhalb Monate nach der ersten Rückkehr aus Wörishofen wurde dem Kranken von seiner Frau ein Kind geboren; er hatte sie also zu Beginn einer noch unerkannten Gravidität verlassen und durfte nach seiner Wiederkunft natürlichen Verkehr mit ihr pflegen. Als nach Ablauf dieser für ihn heilsamen Zeit seine Neurose durch neuerlichen </w:t>
      </w:r>
      <w:r w:rsidRPr="008725BE">
        <w:rPr>
          <w:rFonts w:ascii="Garamond" w:hAnsi="Garamond"/>
          <w:i/>
          <w:iCs/>
          <w:color w:val="000000"/>
          <w:lang w:val="en-GB"/>
        </w:rPr>
        <w:t>coitus interruptus</w:t>
      </w:r>
      <w:r w:rsidRPr="008725BE">
        <w:rPr>
          <w:rFonts w:ascii="Garamond" w:hAnsi="Garamond"/>
          <w:color w:val="000000"/>
          <w:lang w:val="en-GB"/>
        </w:rPr>
        <w:t xml:space="preserve"> wieder angefacht war, mußte sich die zweite Kur erfolglos erweisen, da jene oben erwähnte Gravidität die letzte blieb.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 ähnlicher Fall, in dem gleichfalls eine unerwartete Einwirkung der Therapie zu erklären war, gestaltete sich noch lehrreicher, indem er eine rätselhafte Abwechslung in den Symptomen der Neurose enthielt. Ein jugendlicher Nervöser war von seinem Arzte in eine wohlgeleitete Wasserheilanstalt wegen typischer Neurasthenie geschickt worden. Dort besserte sich sein Zustand anfänglich immer mehr, so daß alle Aussicht vorhanden war, den Patienten als dankbaren Anhänger der Hydrotherapie zu entlassen. Da trat in der sechsten Woche ein Umschlag ein; der Kranke »vertrug das Wasser nicht mehr«, wurde immer nervöser und verließ endlich nach zwei weiteren Wochen ungeheilt und unzufrieden die Anstalt. Als er sich bei mir über diesen Trug der Therapie beklagte, erkundigte ich mich ein wenig nach den Symptomen, die ihn mitten in der Kur befallen hatten. Merkwürdigerweise hatte sich darin ein Wandel vollzogen. Er war mit Kopfdruck, Müdigkeit und Dyspepsie in die Anstalt gegangen; was ihn in der Behandlung gestört hatte, waren: Aufgeregtheit, Anfälle von Beklemmung, Schwindel im Gehen und Schlafstörung gewesen. Nun konnte ich dem Kranken sagen: »Sie tun der Hydrotherapie unrecht. Sie sind, wie Sie selbst sehr wohl gewußt haben, infolge von lange fortgesetzter Masturbation erkrankt. In der Anstalt haben Sie diese Art der Befriedigung aufgegeben und sich darum rasch erholt. Als Sie sich aber wohl fühlten, haben Sie unklugerweise Beziehungen zu einer Dame, nehmen wir an, einer Mitpatientin, gesucht, die nur zur Aufregung ohne normale Befriedigung führen konnten. Die schönen Spaziergänge in der Nähe der Anstalt gaben Ihnen gute Gelegenheit dazu. An diesem Verhältnisse sind Sie von neuem erkrankt, nicht an einer plötzlich aufgetretenen Intoleranz gegen die Hydrotherapie. Aus Ihrem gegenwärtigen Befinden schließe ich übrigens, daß Sie dasselbe Verhältnis auch in der Stadt fortsetzen.« Ich kann versichern, daß der Kranke mich dann Punkt für Punkt bestätigt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gegenwärtige Therapie der Neurasthenie, wie sie wohl am günstigsten in den Wasserheilanstalten geübt wird, setzt sich das Ziel, die Besserung des nervösen Zustandes durch zwei Momente: Schonung und Stärkung des Patienten zu erreichen. Ich wüßte nichts anderes gegen diese Therapie vorzubringen, als daß sie den sexuellen Bedingungen des Falles keine Rechnung trägt. Nach meiner Erfahrung ist es höchst wünschenswert, daß die ärztlichen Leiter solcher Anstalten sich genügend klarmachen, daß sie es nicht mit Opfern der Zivilisation oder der Heredität, sondern –; </w:t>
      </w:r>
      <w:r w:rsidRPr="008725BE">
        <w:rPr>
          <w:rFonts w:ascii="Garamond" w:hAnsi="Garamond"/>
          <w:i/>
          <w:iCs/>
          <w:color w:val="000000"/>
          <w:lang w:val="en-GB"/>
        </w:rPr>
        <w:t>sit venia verbo</w:t>
      </w:r>
      <w:r w:rsidRPr="008725BE">
        <w:rPr>
          <w:rFonts w:ascii="Garamond" w:hAnsi="Garamond"/>
          <w:color w:val="000000"/>
          <w:lang w:val="en-GB"/>
        </w:rPr>
        <w:t xml:space="preserve"> –; mit Sexualitätskrüppeln zu tun haben. Sie würden sich dann einerseits ihre Erfolge wie ihre Mißerfolge leichter erklären, anderseits aber neue Erfolge erzielen, die bis jetzt dem Zufalle oder dem unbeeinflußten Verhalten des Kranken anheimgegeben sind. Wenn man eine ängstlich-neurasthenische Frau von ihrem Hause weg in die Wasserheilanstalt schickt, sie dort, aller Pflichten ledig, baden, turnen und sich reichlich ernähren läßt, so wird man gewiß geneigt sein, die oft glänzende Besserung, die so in einigen Wochen oder Monaten erreicht wird, auf Rechnung der Ruhe, welche die Kranke genossen hat, und der Stärkung, die ihr die Hydrotherapie gebracht hat, zu setzen. Das mag so sein; man übersieht aber dabei, daß mit der Entfernung vom Hause für die Patientin auch eine Unterbrechung des ehelichen Verkehrs gegeben ist und daß erst diese zeitweilige Ausschaltung der krank machenden Ursache ihr die Möglichkeit gibt, sich bei zweckmäßiger Therapie zu erholen. Die Vernachlässigung dieses ätiologischen Gesichtspunktes rächt sich </w:t>
      </w:r>
      <w:r w:rsidRPr="008725BE">
        <w:rPr>
          <w:rFonts w:ascii="Garamond" w:hAnsi="Garamond"/>
          <w:color w:val="000000"/>
          <w:lang w:val="en-GB"/>
        </w:rPr>
        <w:lastRenderedPageBreak/>
        <w:t>nachträglich, indem der scheinbar so befriedigende Heilerfolg sich als sehr flüchtig erweist. Kurze Zeit nachdem der Patient in seine Lebensverhältnisse zurückgekehrt ist, stellen sich die Symptome des Leidens wieder ein und nötigen ihn, entweder immer von Zeit zu Zeit einen Teil seiner Existenz unproduktiv in solchen Anstalten zu verbringen, oder veranlassen ihn, seine Hoffnungen auf Heilung anderswohin zu richten. Es ist also klar, daß die therapeutischen Aufgaben bei der Neurasthenie nicht in den Wasserheilanstalten, sondern innerhalb der Lebensverhältnisse der Kranken in Angriff zu nehmen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Bei anderen Fällen kann unsere ätiologische Lehre dem Anstaltsarzte Aufklärung über die Quelle von Mißerfolgen geben, die sich noch in der Anstalt selbst ereignen, und ihm nahelegen, wie solche zu vermeiden sind. Die Masturbation ist bei erwachsenen Mädchen und reifen Männern weit häufiger, als man anzunehmen pflegt, und wirkt als Schädlichkeit nicht nur durch die Erzeugung der neurasthenischen Symptome, sondern auch, indem sie die Kranken unter dem Drucke eines als schändlich empfundenen Geheimnisses erhält. Der Arzt, der nicht gewohnt ist, Neurasthenie in Masturbation zu übersetzen, gibt sich für den Krankheitszustand Rechenschaft, indem er sich auf ein Schlagwort wie Anämie, Unterernährung, Überarbeitung usw. bezieht, und erwartet nun bei Anwendung der dagegen ausgearbeiteten Therapie die Heilung seines Kranken. Zu seinem Erstaunen wechseln aber beim Kranken Zeiten von Besserung mit anderen ab, in denen unter schwerer Verstimmung alle Symptome sich verschlimmern. Der Ausgang einer solchen Behandlung ist im allgemeinen zweifelhaft. Wüßte der Arzt, daß der Kranke die ganze Zeit über mit seiner sexuellen Angewöhnung kämpft, daß er in Verzweiflung verfallen ist, weil er ihr wieder einmal unterliegen mußte, verstünde er, dem Kranken sein Geheimnis abzunehmen, dessen Schwere in seinen Augen zu entwerten und ihn bei seinem Abgewöhnungskampfe zu unterstützen, so würde der Erfolg der therapeutischen Bemühung hiedurch wohl gesichert.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Abgewöhnung der Masturbation ist nur eine der neuen therapeutischen Aufgaben, welche dem Arzte aus der Berücksichtigung der sexuellen Ätiologie erwachsen, und diese Aufgabe gerade scheint wie jede andere Abgewöhnung nur in einer Krankenanstalt und unter beständiger Aufsicht des Arztes lösbar. Sich selbst überlassen, pflegt der Masturbant bei jeder verstimmenden Einwirkung auf die ihm bequeme Befriedigung zurückzugreifen. Die ärztliche Behandlung kann sich hier kein anderes Ziel stecken, als den wieder gekräftigten Neurastheniker dem normalen Geschlechtsverkehre zuzuführen, denn das einmal geweckte und durch eine geraume Zeit befriedigte Sexualbedürfnis läßt sich nicht mehr zum Schweigen bringen, sondern bloß auf einen anderen Weg verschieben. Eine ganz analoge Bemerkung gilt übrigens auch für alle anderen Abstinenzkuren, die so lange nur scheinbar gelingen werden, solange sich der Arzt damit begnügt, dem Kranken das narkotische Mittel zu entziehen, ohne sich um die Quelle zu kümmern, aus welcher das imperative Bedürfnis nach einem solchen entspringt. »Gewöhnung« ist eine bloße Redensart ohne aufklärenden Wert; nicht jedermann, der eine Zeitlang Morphium, Kokain, Chloralhydrat u. dgl. zu nehmen Gelegenheit hat, erwirbt hiedurch die »Sucht« nach diesen Dingen. Genauere Untersuchung weist in der Regel nach, daß diese Narkotika zum Ersatze –; direkt oder auf Umwegen –; des mangelnden Sexualgenusses bestimmt sind, und wo sich normales Sexualleben nicht mehr herstellen läßt, da darf man den Rückfall des Entwöhnten mit Sicherheit erwarten.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andere Aufgabe wird dem Arzte durch die Ätiologie der Angstneurose gestellt und besteht darin, den Kranken zum Verlassen aller schädlichen Arten des Sexualverkehrs und zur Aufnahme normaler sexueller Beziehungen zu veranlassen. Wie begreiflich, fällt diese Pflicht vor allem dem ärztlichen Vertrauensmanne des Kranken, dem Hausarzte, zu, der seine Klienten schwer schädigt, wenn er sich zu vornehm hält, um in diese Sphäre einzugreifen.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 es sich hiebei zumeist um Ehepaare handelt, stößt das Bemühen des Arztes alsbald mit den malthusianischen Tendenzen, die Anzahl der Konzeptionen in der Ehe einzuschränken, zusammen. Es scheint mir unzweifelhaft, daß diese Vorsätze in unserem Mittelstande immer mehr an Ausbreitung gewinnen; ich bin Ehepaaren begegnet, die schon nach dem ersten Kinde die Verhütung der Konzeption durchzuführen begannen, und anderen, deren sexueller Verkehr von der Hochzeitsnacht an diesem Vorsatze Rechnung tragen wollte. Das Problem des Malthusianismus ist weitläufig und kompliziert; ich habe nicht die Absicht, es hier erschöpfend zu behandeln, wie es für die Therapie der Neurosen eigentlich erforderlich wäre. Ich gedenke nur zu erörtern, welche Stellung der Arzt, der die sexuelle Ätiologie der Neurosen anerkennt, zu diesem Problem am besten einnehmen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Verkehrteste ist es offenbar, wenn er dasselbe –; unter welchen Vorwänden immer –; ignorieren will. Was notwendig ist, kann nicht unter meiner ärztlichen Würde sein, und es ist notwendig, einem Ehepaare, das an die Einschränkung der Kinderzeugung denkt, mit ärztlichem Rate beizustehen, wenn man nicht einen Teil oder beide der Neurose aussetzen will. Es läßt sich nicht bestreiten, daß malthusianische Vorkehrungen irgend einmal in einer Ehe zur Notwendigkeit werden, und theoretisch wäre es einer der </w:t>
      </w:r>
      <w:r w:rsidRPr="008725BE">
        <w:rPr>
          <w:rFonts w:ascii="Garamond" w:hAnsi="Garamond"/>
          <w:color w:val="000000"/>
          <w:lang w:val="en-GB"/>
        </w:rPr>
        <w:lastRenderedPageBreak/>
        <w:t>größten Triumphe der Menschheit, eine der fühlbarsten Befreiungen vom Naturzwange, dem unser Geschlecht unterworfen ist, wenn es gelänge, den verantwortlichen Akt der Kinderzeugung zu einer willkürlichen und beabsichtigten Handlung zu erheben und ihn von der Verquickung mit der notwendigen Befriedigung eines natürlichen Bedürfnisses loszulösen.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einsichtsvolle Arzt wird es also auf sich nehmen zu entscheiden, unter welchen Verhältnissen die Anwendung von Maßregeln zur Verhütung der Konzeption gerechtfertigt ist, und wird die schädlichen unter diesen Hilfsmitteln von den harmlosen zu sondern haben. Schädlich ist alles, was das Zustandekommen der Befriedigung hindert; bekanntlich besitzen wir aber derzeit kein Schutzmittel gegen die Konzeption, welches allen berechtigten Anforderungen genügen würde, d. h. sicher, bequem ist, der Lustempfindung beim Koitus nicht Eintrag tut und das Feingefühl der Frau nicht verletzt. Hier ist den Ärzten eine praktische Aufgabe gestellt, an deren Lösung sie ihre Kräfte dankbringend setzen können. Wer jene Lücke in unserer ärztlichen Technik ausfüllt, der hat Unzähligen den Lebensgenuß erhalten und die Gesundheit bewahrt, freilich dabei auch eine tief einschneidende Veränderung in unseren gesellschaftlichen Zuständen angebahnt.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Hiemit sind die Anregungen nicht erschöpft, die aus der Erkenntnis einer sexuellen Ätiologie der Neurosen fließen. Die Hauptleistung, die uns zugunsten der Neurastheniker möglich ist, fällt in die Prophylaxis. Wenn die Masturbation die Ursache der Neurasthenie in der Jugend ist und späterhin durch die von ihr geschaffene Verminderung der Potenz auch zu ätiologischer Bedeutung für die Angstneurose gelangt, so ist die Verhütung der Masturbation bei beiden Geschlechtern eine Aufgabe, die mehr Beachtung verdient, als sie bis jetzt gefunden hat. Überdenkt man alle die feineren und gröberen Schädigungen, die von der angeblich immer mehr um sich greifenden Neurasthenie ausgehen, so erkennt man geradezu ein Volksinteresse darin, </w:t>
      </w:r>
      <w:r w:rsidRPr="008725BE">
        <w:rPr>
          <w:rFonts w:ascii="Garamond" w:hAnsi="Garamond"/>
          <w:i/>
          <w:iCs/>
          <w:color w:val="000000"/>
        </w:rPr>
        <w:t>daß die Männer mit voller Potenz in den Sexualverkehr eintreten</w:t>
      </w:r>
      <w:r w:rsidRPr="008725BE">
        <w:rPr>
          <w:rFonts w:ascii="Garamond" w:hAnsi="Garamond"/>
          <w:color w:val="000000"/>
        </w:rPr>
        <w:t xml:space="preserve">. </w:t>
      </w:r>
      <w:r w:rsidRPr="008725BE">
        <w:rPr>
          <w:rFonts w:ascii="Garamond" w:hAnsi="Garamond"/>
          <w:color w:val="000000"/>
          <w:lang w:val="en-GB"/>
        </w:rPr>
        <w:t>In Sachen der Prophylaxis aber ist der einzelne ziemlich ohnmächtig. Die Gesamtheit muß ein Interesse an dem Gegenstande gewinnen und ihre Zustimmung zur Schöpfung von gemeingültigen Einrichtungen geben. Vorläufig sind wir von einem solchen Zustande, der Abhilfe versprechen würde, noch weit entfernt, und darum kann man mit Recht auch unsere Zivilisation für die Verbreitung der Neurasthenie verantwortlich machen. Es müßte sich vieles ändern. Der Widerstand einer Generation von Ärzten muß gebrochen werden, die sich nicht mehr an ihre eigene Jugend erinnern können; der Hochmut der Väter ist zu überwinden, die vor ihren Kindern nicht gerne auf das Niveau der Menschlichkeit herabsteigen wollen, die unverständige Verschämtheit der Mütter ist zu bekämpfen, denen es jetzt regelmäßig als unerforschliche, aber unverdiente Schicksalsfügung erscheint, daß »gerade ihre Kinder nervös geworden sind«. Vor allem aber muß in der öffentlichen Meinung Raum geschaffen werden für die Diskussion der Probleme des Sexuallebens; man muß von diesen reden können, ohne für einen Ruhestörer oder für einen Spekulanten auf niedrige Instinkte erklärt zu werden. Und somit verbliebe auch hier genügend Arbeit für ein nächstes Jahrhundert, in dem unsere Zivilisation es verstehen soll, sich mit den Ansprüchen unserer Sexualität zu vertragen!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Der Wert einer richtigen diagnostischen Scheidung der Psychoneurosen von der Neurasthenie bezeigt sich auch darin, daß die ersteren eine andere praktische Würdigung und besondere therapeutische Maßnahmen erfordern. Die Psychoneurosen treten unter zweierlei Bedingungen auf, entweder selbständig oder im Gefolge der Aktualneurosen (Neurasthenie und Angstneurose). Im letzteren Falle hat man es mit einem neuen, übrigens sehr häufigen Typus von gemischten Neurosen zu tun. Die Ätiologie der Aktualneurose ist zur Hilfsätiologie der Psychoneurose geworden; es ergibt sich ein Krankheitsbild, in dem etwa die Angstneurose vorherrscht, das aber sonst Züge der echten Neurasthenie, der Hysterie und der Zwangsneurose enthält. Man tut nicht gut, angesichts einer solchen Vermengung etwa auf eine Sonderung der einzelnen neurotischen Krankheitsbilder zu verzichten, da es doch nicht schwer ist, sich den Fall in folgender Weise zurechtzulegen: Wie die vorwiegende Ausbildung der Angstneurose beweist, ist hier die Erkrankung unter dem ätiologischen Einfluß einer aktuellen sexuellen Schädlichkeit entstanden. Das betreffende Individuum war aber außerdem zu einer oder mehreren Psychoneurosen durch eine besondere Ätiologie disponiert und wäre irgend einmal spontan oder bei Hinzutritt eines andern schwächenden Moments an Psychoneurose erkrankt. </w:t>
      </w:r>
      <w:r w:rsidRPr="008725BE">
        <w:rPr>
          <w:rFonts w:ascii="Garamond" w:hAnsi="Garamond"/>
          <w:color w:val="000000"/>
        </w:rPr>
        <w:t>Nun ist die noch fehlende Hilfsätiologie für die Psychoneurose durch die aktuelle Ätiologie der Angstneurose hinzugefügt worden.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Für solche Fälle hat sich mit Recht die therapeutische Übung eingebürgert, von der psychoneurotischen Komponente im Krankheitsbilde abzusehen und ausschließlich die Aktualneurose zu behandeln. </w:t>
      </w:r>
      <w:r w:rsidRPr="008725BE">
        <w:rPr>
          <w:rFonts w:ascii="Garamond" w:hAnsi="Garamond"/>
          <w:color w:val="000000"/>
          <w:lang w:val="en-GB"/>
        </w:rPr>
        <w:t xml:space="preserve">Es gelingt in sehr vielen Fällen, auch der mitgerissenen Neurose Herr zu werden, wenn man der Neurasthenie zweckmäßig entgegentritt. Eine andere Beurteilung erfordern aber jene Fälle von Psychoneurose, die, sei es spontan auftreten oder nach dem Ablaufe einer aus Neurasthenie und Psychoneurose gemengten </w:t>
      </w:r>
      <w:r w:rsidRPr="008725BE">
        <w:rPr>
          <w:rFonts w:ascii="Garamond" w:hAnsi="Garamond"/>
          <w:color w:val="000000"/>
          <w:lang w:val="en-GB"/>
        </w:rPr>
        <w:lastRenderedPageBreak/>
        <w:t>Erkrankung als selbständig übrigbleiben. Wenn ich von »spontanem« Auftreten einer Psychoneurose gesprochen habe, so meine ich damit nicht etwa, daß man bei anamnestischer Nachforschung jedes ätiologische Moment vermißt. Dies kann wohl der Fall sein, man kann aber auch auf ein indifferentes Moment, eine Gemütsbewegung, Schwächung durch somatische Erkrankung u. dgl., hingewiesen werden. Doch muß man für alle diese Fälle festhalten, daß die eigentliche Ätiologie der Psychoneurosen nicht in diesen Veranlassungen liegt, sondern der gewöhnlichen Weise anamnestischer Erhebung unfaßbar bleibt.</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Wie bekannt, ist es diese Lücke, welche man versucht hat, durch die Annahme einer besonderen neuropathischen Disposition auszufüllen, deren Existenz einer Therapie solcher Krankheitszustände freilich nicht viel Aussicht auf Erfolg übrigließe. Die neuropathische Disposition selbst wird als Zeichen einer allgemeinen Degeneration aufgefaßt, und somit gelangt dieses bequeme Kunstwort zu einer überreichlichen Verwendung gegen die armen Kranken, denen zu helfen die Ärzte recht ohnmächtig sind. Zum Glück steht es anders. Die neuropathische Disposition existiert wohl, aber ich muß bestreiten, daß sie zur Erzeugung der Psychoneurose hinreicht. </w:t>
      </w:r>
      <w:r w:rsidRPr="008725BE">
        <w:rPr>
          <w:rFonts w:ascii="Garamond" w:hAnsi="Garamond"/>
          <w:color w:val="000000"/>
        </w:rPr>
        <w:t xml:space="preserve">Ich muß ferner bestreiten, daß das Zusammentreffen von neuropathischer Disposition und veranlassenden Ursachen des späteren Lebens eine ausreichende Ätiologie der Psychoneurosen darstellt. Man ist in der Zurückführung der Krankheitsschicksale des einzelnen auf die Erlebnisse seiner Ahnen zu weit gegangen und hat daran vergessen, daß zwischen der Empfängnis und der Reife des Individuums ein langer und bedeutsamer Lebensabschnitt liegt, die Kindheit, in welcher die Keime zu späterer Erkrankung erworben werden können. So ist es tatsächlich bei der Psychoneurose. Ihre wirkliche Ätiologie ist zu finden in Erlebnissen der Kindheit, und zwar wiederum –; und ausschließlich –; in Eindrücken, die das sexuelle Leben betreffen. Man tut unrecht daran, das Sexualleben der Kinder völlig zu vernachlässigen; sie sind, soviel ich erfahren habe, aller psychischen und vieler somatischen Sexualleistungen fähig. Sowenig die äußeren Genitalien und die beiden Keimdrüsen den ganzen Geschlechtsapparat des Menschen darstellen, ebensowenig beginnt sein Geschlechtsleben erst mit der Pubertät, wie es der groben Beobachtung erscheinen mag. Es ist aber richtig, daß die Organisation und Entwicklung der Spezies Mensch eine ausgiebigere sexuelle Betätigung im Kindesalter zu vermeiden strebt; es scheint, daß die sexuellen Triebkräfte beim Menschen aufgespeichert werden sollen, um dann bei ihrer Entfesselung zur Zeit der Pubertät großen kulturellen Zwecken zu dienen. (Wilh. Fließ.) Aus einem derartigen Zusammenhange läßt sich etwa verstehen, warum sexuelle Erlebnisse des Kindesalters pathogen wirken müssen. Sie entfalten ihre Wirkung aber nur zum geringsten Maße zur Zeit, da sie vorfallen; weit bedeutsamer ist ihre </w:t>
      </w:r>
      <w:r w:rsidRPr="008725BE">
        <w:rPr>
          <w:rFonts w:ascii="Garamond" w:hAnsi="Garamond"/>
          <w:i/>
          <w:iCs/>
          <w:color w:val="000000"/>
        </w:rPr>
        <w:t>nachträgliche Wirkung</w:t>
      </w:r>
      <w:r w:rsidRPr="008725BE">
        <w:rPr>
          <w:rFonts w:ascii="Garamond" w:hAnsi="Garamond"/>
          <w:color w:val="000000"/>
        </w:rPr>
        <w:t>, die erst in späteren Perioden der Reifung eintreten kann. Diese nachträgliche Wirkung geht, wie nicht anders möglich, von den psychischen Spuren aus, welche die infantilen Sexualerlebnisse zurückgelassen haben. In dem Intervall zwischen dem Erleben dieser Eindrücke und deren Reproduktion (vielmehr dem Erstarken der von ihnen ausgehenden libidinösen Impulse) hat nicht nur der somatische Sexualapparat, sondern auch der psychische Apparat eine bedeutsame Ausgestaltung erfahren, und darum erfolgt auf die Einwirkung jener früheren sexuellen Erlebnisse nun eine abnorme psychische Reaktion, es entstehen psychopathologische Bildungen.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In diesen Andeutungen konnte ich nur die Hauptmomente anführen, auf welche sich die Theorie der Psychoneurosen stützt: die Nachträglichkeit, den infantilen Zustand des Geschlechtsapparates und des Seeleninstrumentes. Um ein wirkliches Verständnis des Entstehungsmechanismus der Psychoneurosen zu erzielen, brauchte es breiterer Ausführungen; vor allem wäre es unvermeidlich, gewisse Annahmen über die Zusammensetzung und die Arbeitsweise des psychischen Apparates, die mir neu scheinen, als glaubwürdig hinzustellen. In einem Buche über »Traumdeutung«, das ich gegenwärtig vorbereite, werde ich die Gelegenheit finden, jene Fundamente einer Neurosenpsychologie zu berühren. </w:t>
      </w:r>
      <w:r w:rsidRPr="008725BE">
        <w:rPr>
          <w:rFonts w:ascii="Garamond" w:hAnsi="Garamond"/>
          <w:color w:val="000000"/>
          <w:lang w:val="en-GB"/>
        </w:rPr>
        <w:t>Der Traum gehört nämlich in dieselbe Reihe psychopathologischer Bildungen wie die hysterische fixe Idee, die Zwangsvorstellung und die Wahnidee.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 die Erscheinungen der Psychoneurosen vermittels der Nachträglichkeit von unbewußten psychischen Spuren aus entstehen, werden sie der Psychotherapie zugänglich, die allerdings hier andere Wege einschlagen muß als den bis jetzt einzig begangenen der Suggestion mit oder ohne Hypnose. Auf der von J. Breuer angegebenen »kathartischen« Methode fußend, habe ich in den letzten Jahren ein therapeutisches Verfahren nahezu ausgearbeitet, welches ich das » </w:t>
      </w:r>
      <w:r w:rsidRPr="008725BE">
        <w:rPr>
          <w:rFonts w:ascii="Garamond" w:hAnsi="Garamond"/>
          <w:i/>
          <w:iCs/>
          <w:color w:val="000000"/>
          <w:lang w:val="en-GB"/>
        </w:rPr>
        <w:t>psychoanalytische</w:t>
      </w:r>
      <w:r w:rsidRPr="008725BE">
        <w:rPr>
          <w:rFonts w:ascii="Garamond" w:hAnsi="Garamond"/>
          <w:color w:val="000000"/>
          <w:lang w:val="en-GB"/>
        </w:rPr>
        <w:t xml:space="preserve">« heißen will und dem ich zahlreiche Erfolge verdanke, während ich hoffen darf, seine Wirksamkeit noch erheblich zu steigern. In den 1895 veröffentlichten </w:t>
      </w:r>
      <w:r w:rsidRPr="008725BE">
        <w:rPr>
          <w:rFonts w:ascii="Garamond" w:hAnsi="Garamond"/>
          <w:i/>
          <w:iCs/>
          <w:color w:val="000000"/>
          <w:lang w:val="en-GB"/>
        </w:rPr>
        <w:t>Studien über Hysterie</w:t>
      </w:r>
      <w:r w:rsidRPr="008725BE">
        <w:rPr>
          <w:rFonts w:ascii="Garamond" w:hAnsi="Garamond"/>
          <w:color w:val="000000"/>
          <w:lang w:val="en-GB"/>
        </w:rPr>
        <w:t xml:space="preserve"> (mit J. Breuer) sind die ersten Mitteilungen über Technik und Tragweite der Methode gegeben worden. Seither hat sich manches, wie ich behaupten darf, zum Besseren daran geändert. Während wir damals bescheiden aussagten, daß wir nur die Beseitigung von hysterischen Symptomen, nicht die Heilung der Hysterie selbst in Angriff nehmen könnten, hat sich mir seither diese Unterscheidung als inhaltslos herausgestellt, also die Aussicht auf wirkliche Heilung der Hysterie und </w:t>
      </w:r>
      <w:r w:rsidRPr="008725BE">
        <w:rPr>
          <w:rFonts w:ascii="Garamond" w:hAnsi="Garamond"/>
          <w:color w:val="000000"/>
          <w:lang w:val="en-GB"/>
        </w:rPr>
        <w:lastRenderedPageBreak/>
        <w:t xml:space="preserve">Zwangsvorstellungen ergeben. Es hat mich darum recht lebhaft interessiert, in den Publikationen von Fachgenossen zu lesen: In diesem Falle habe das sinnreiche, von Breuer und Freud ersonnene Verfahren versagt, oder: Die Methode habe nicht gehalten, was sie zu versprechen schien. Ich hatte dabei etwa die Empfindungen eines Menschen, der in der Zeitung seine Todesanzeige findet, sich aber dabei in seinem Besserwissen beruhigt fühlen darf. Das Verfahren ist nämlich so schwierig, daß es durchaus erlernt werden muß; und ich kann mich nicht besinnen, daß es einer meiner Kritiker von mir hätte erlernen wollen, glaube auch nicht, daß sie sich, ähnlich wie ich, genug intensiv damit beschäftigt haben, um es selbständig auffinden zu können. Die Bemerkungen in den </w:t>
      </w:r>
      <w:r w:rsidRPr="008725BE">
        <w:rPr>
          <w:rFonts w:ascii="Garamond" w:hAnsi="Garamond"/>
          <w:i/>
          <w:iCs/>
          <w:color w:val="000000"/>
          <w:lang w:val="en-GB"/>
        </w:rPr>
        <w:t>Studien über Hysterie</w:t>
      </w:r>
      <w:r w:rsidRPr="008725BE">
        <w:rPr>
          <w:rFonts w:ascii="Garamond" w:hAnsi="Garamond"/>
          <w:color w:val="000000"/>
          <w:lang w:val="en-GB"/>
        </w:rPr>
        <w:t xml:space="preserve"> sind vollkommen unzureichend, um einem Leser die Beherrschung dieser Technik zu ermöglichen, streben solche vollständige Unterweisung auch keineswegs an.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psychoanalytische Therapie ist derzeit nicht allgemein anwendbar; ich kenne für sie folgende Einschränkungen: Sie erfordert ein gewisses Maß von Reife und Einsicht beim Kranken, taugt daher nicht für kindliche Personen oder für erwachsene Schwachsinnige und Ungebildete. Sie scheitert bei allzu betagten Personen daran, daß sie bei ihnen, dem angehäuften Material entsprechend, allzuviel Zeit in Anspruch nehmen würde, so daß man bis zur Beendigung der Kur in einen Lebensabschnitt geraten würde, für welchen auf nervöse Gesundheit nicht mehr Wert gelegt wird. Endlich ist sie nur dann möglich, wenn der Kranke einen psychischen Normalzustand hat, von dem aus sich das pathologische Material bewältigen läßt. Während einer hysterischen Verworrenheit, einer eingeschalteten Manie oder Melancholie ist mit den Mitteln der Psychoanalyse nichts zu leisten. Man kann solche Fälle dem Verfahren noch unterziehen, nachdem man mit den gewöhnlichen Maßregeln die Beruhigung der stürmischen Erscheinungen herbeigeführt hat. In der Praxis werden überhaupt die chronischen Fälle von Psychoneurosen besser der Methode standhalten als die Fälle von akuten Krisen, bei denen das Hauptgewicht naturgemäß auf die Raschheit der Erledigung fällt. Daher geben auch die hysterischen Phobien und die verschiedenen Formen der Zwangsneurose das günstigste Arbeitsgebiet für diese neue Therapie.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Daß die Methode in diese Schranken gebannt ist, erklärt sich zum guten Teil aus den Verhältnissen, unter denen ich sie ausarbeiten mußte. Mein Material sind eben chronisch Nervöse der gebildeteren Stände. Ich halte es für sehr wohl möglich, daß sich ergänzende Verfahren für kindliche Personen und für das Publikum, welches in den Spitälern Hilfe sucht, ausbilden lassen. Ich muß auch anführen, daß ich meine Therapie bisher ausschließlich an schweren Fällen von Hysterie und Zwangsneurose erprobt habe; wie es sich bei jenen leichten Erkrankungsfällen gestalten würde, die man bei einer indifferenten Behandlung von wenigen Monaten in wenigstens scheinbare Genesung ausgehen sieht, weiß ich nicht anzugeben. Wie begreiflich, durfte eine neue Therapie, die vielfache Opfer erfordert, nur auf solche Kranke rechnen, die bereits die anerkannten Heilmethoden ohne Erfolg versucht hatten oder deren Zustände den Schluß berechtigten, sie hätten von diesen angeblich bequemeren und kürzeren Heilverfahren nichts zu erwarten. So mußte ich mit einem unvollkommenen Instrumente sogleich die schwersten Aufgaben in Angriff nehmen; die Probe ist um so beweiskräftiger ausgefallen.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wesentlichen Schwierigkeiten, die sich jetzt noch der psychoanalytischen Heilmethode entgegensetzen, liegen nicht an ihr selbst, sondern in dem Mangel an Verständnis für das Wesen der Psychoneurosen bei Ärzten und Laien. Es ist nur das notwendige Korrelat zu dieser vollen Unwissenheit, wenn sich die Ärzte für berechtigt halten, den Kranken durch die unzutreffendsten Versicherungen zu trösten oder zu therapeutischen Maßnahmen zu veranlassen. »Kommen Sie für sechs Wochen in meine Anstalt, und Sie werden Ihre Symptome (Reiseangst, Zwangsvorstellungen usw.) verloren haben.« Tatsächlich ist die Anstalt unentbehrlich für die Beruhigung akuter Zufälle im Verlaufe einer Psychoneurose durch Ablenkung, Pflege und Schonung; zur Beseitigung chronischer Zustände leistet sie –; nichts, und zwar die vornehmen, angeblich wissenschaftlich geleiteten Sanatorien ebensowenig wie die gemeinen Wasserheilanstalten.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wäre würdiger und dem Kranken, der sich doch schließlich mit seinen Beschwerden abfinden muß, zuträglicher, wenn der Arzt die Wahrheit sprechen würde, wie er sie alle Tage kennenlernt: Die Psychoneurosen sind als Genus keineswegs leichte Erkrankungen. Wenn eine Hysterie anfängt, kann niemand vorher wissen, wann sie ein Ende nehmen wird. Man tröstet sich meist vergeblich mit der Prophezeiung: Eines Tages wird sie plötzlich vorüber sein. Die Heilung erweist sich häufig genug als ein bloßes Übereinkommen zur gegenseitigen Duldung zwischen dem Gesunden und dem Kranken im Patienten oder erfolgt auf dem Wege der Umwandlung eines Symptoms in eine Phobie. Die mühsam beschwichtigte Hysterie des Mädchens lebt nach kurzer Unterbrechung durch das junge Eheglück in der Hysterie der Ehefrau wieder auf, nur daß jetzt eine andere Person als früher, der Ehemann, durch sein </w:t>
      </w:r>
      <w:r w:rsidRPr="008725BE">
        <w:rPr>
          <w:rFonts w:ascii="Garamond" w:hAnsi="Garamond"/>
          <w:color w:val="000000"/>
          <w:lang w:val="en-GB"/>
        </w:rPr>
        <w:lastRenderedPageBreak/>
        <w:t>Interesse veranlaßt wird, über den Erkrankungsfall zu schweigen. Wo es nicht zu manifester Existenzunfähigkeit infolge von Krankheit kommt, da fehlt doch fast nie die Einbuße an aller freien Entfaltung der Seelenkräfte. Zwangsvorstellungen kehren das ganze Leben hindurch wieder; Phobien und andere Willenseinschränkungen sind für jede Therapie bisher unbeeinflußbar gewesen. Das alles wird dem Laien vorenthalten, und darum ist der Vater einer hysterischen Tochter entsetzt, wenn er z. B. einer einjährigen Behandlung seines Kindes zustimmen soll, wo doch die Krankheit etwa erst einige Monate gedauert hat. Der Laie ist sozusagen von der Überflüssigkeit all dieser Psychoneurosen tief innerlich überzeugt, er bringt darum dem Krankheitsverlaufe keine Geduld und der Therapie keine Opferbereitschaft entgegen. Wenn er sich angesichts eines Typhus, der drei Wochen anhält, eines Beinbruches, der zur Heilung sechs Monate beansprucht, verständiger benimmt, wenn ihm die Fortsetzung orthopädischer Maßnahmen durch mehrere Jahre einsichtlich erscheint, sobald sich die ersten Spuren einer Rückgratsverkrümmung bei seinem Kinde zeigen, so rührt dieser Unterschied von dem besseren Verständnis der Ärzte her, die ihr Wissen in ehrlicher Mitteilung dem Laien übertragen. Die Aufrichtigkeit der Ärzte und die Gefügigkeit der Laien wird sich auch für die Psychoneurosen herstellen, wenn erst die Einsicht in das Wesen dieser Affektionen ärztliches Gemeingut geworden ist. Die psychotherapeutische Radikalbehandlung derselben wird wohl immer eine besondere Schulung erfordern und mit der Ausübung anderer ärztlicher Tätigkeit unverträglich sein. Dafür winkt dieser, in der Zukunft wohl zahlreichen Klasse von Ärzten Gelegenheit zu rühmlichen Leistungen und einer befriedigenden Einsicht in das Seelenleben der Menschen.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br w:type="page"/>
      </w:r>
    </w:p>
    <w:p w:rsidR="008725BE" w:rsidRPr="008725BE" w:rsidRDefault="00B437A1" w:rsidP="008725BE">
      <w:pPr>
        <w:pStyle w:val="Sansinterligne"/>
        <w:rPr>
          <w:rFonts w:ascii="Garamond" w:hAnsi="Garamond"/>
          <w:caps/>
          <w:color w:val="000000"/>
          <w:lang w:val="en-GB"/>
        </w:rPr>
      </w:pPr>
      <w:hyperlink w:anchor="KSinhalt" w:history="1">
        <w:r w:rsidR="008725BE" w:rsidRPr="008725BE">
          <w:rPr>
            <w:rStyle w:val="Lienhypertexte"/>
            <w:rFonts w:ascii="Garamond" w:hAnsi="Garamond" w:cs="Arial"/>
            <w:b/>
            <w:bCs/>
            <w:lang w:val="en-GB"/>
          </w:rPr>
          <w:t>Di</w:t>
        </w:r>
        <w:bookmarkStart w:id="161" w:name="KS26"/>
        <w:bookmarkEnd w:id="161"/>
        <w:r w:rsidR="008725BE" w:rsidRPr="008725BE">
          <w:rPr>
            <w:rStyle w:val="Lienhypertexte"/>
            <w:rFonts w:ascii="Garamond" w:hAnsi="Garamond" w:cs="Arial"/>
            <w:b/>
            <w:bCs/>
            <w:lang w:val="en-GB"/>
          </w:rPr>
          <w:t>e Verdrängung</w:t>
        </w:r>
      </w:hyperlink>
      <w:r w:rsidR="008725BE" w:rsidRPr="008725BE">
        <w:rPr>
          <w:rFonts w:ascii="Garamond" w:hAnsi="Garamond"/>
          <w:color w:val="000000"/>
          <w:lang w:val="en-GB"/>
        </w:rPr>
        <w:t xml:space="preserve">  </w:t>
      </w:r>
      <w:r w:rsidR="008725BE" w:rsidRPr="008725BE">
        <w:rPr>
          <w:rFonts w:ascii="Garamond" w:hAnsi="Garamond"/>
          <w:caps/>
          <w:color w:val="000000"/>
          <w:lang w:val="en-GB"/>
        </w:rPr>
        <w:t>(1915)</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kann das Schicksal einer Triebregung werden, daß sie auf Widerstände stößt, welche sie unwirksam machen wollen. Unter Bedingungen, deren nähere Untersuchung uns bevorsteht, gelangt sie dann in den Zustand der </w:t>
      </w:r>
      <w:r w:rsidRPr="008725BE">
        <w:rPr>
          <w:rFonts w:ascii="Garamond" w:hAnsi="Garamond"/>
          <w:i/>
          <w:iCs/>
          <w:color w:val="000000"/>
          <w:lang w:val="en-GB"/>
        </w:rPr>
        <w:t>Verdrängung</w:t>
      </w:r>
      <w:r w:rsidRPr="008725BE">
        <w:rPr>
          <w:rFonts w:ascii="Garamond" w:hAnsi="Garamond"/>
          <w:color w:val="000000"/>
          <w:lang w:val="en-GB"/>
        </w:rPr>
        <w:t xml:space="preserve">. Handelte es sich um die Wirkung eines äußeren Reizes, so wäre offenbar die Flucht das geeignete Mittel. Im Falle des Triebes kann die Flucht nichts nützen, denn das Ich kann sich nicht selbst entfliehen. Später einmal wird in der Urteilsverwerfung ( </w:t>
      </w:r>
      <w:r w:rsidRPr="008725BE">
        <w:rPr>
          <w:rFonts w:ascii="Garamond" w:hAnsi="Garamond"/>
          <w:i/>
          <w:iCs/>
          <w:color w:val="000000"/>
          <w:lang w:val="en-GB"/>
        </w:rPr>
        <w:t>Verurteilung</w:t>
      </w:r>
      <w:r w:rsidRPr="008725BE">
        <w:rPr>
          <w:rFonts w:ascii="Garamond" w:hAnsi="Garamond"/>
          <w:color w:val="000000"/>
          <w:lang w:val="en-GB"/>
        </w:rPr>
        <w:t>) ein gutes Mittel gegen die Triebregung gefunden werden. Eine Vorstufe der Verurteilung, ein Mittelding zwischen Flucht und Verurteilung ist die Verdrängung, deren Begriff in der Zeit vor den psychoanalytischen Studien nicht aufgestellt werden konnte.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Möglichkeit einer Verdrängung ist theoretisch nicht leicht abzuleiten. Warum sollte eine Triebregung einem solchen Schicksal verfallen? Offenbar muß hier die Bedingung erfüllt sein, daß die Erreichung des Triebzieles Unlust an Stelle von Lust bereitet. Aber dieser Fall ist nicht gut denkbar. Solche Triebe gibt es nicht, eine Triebbefriedigung ist immer lustvoll. Es müßten besondere Verhältnisse anzunehmen sein, irgendein Vorgang, durch den die Befriedigungslust in Unlust verwandelt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können zur besseren Abgrenzung der Verdrängung einige andere Triebsituationen in Erörterung ziehen. Es kann vorkommen, daß sich ein äußerer Reiz, z. B. dadurch, daß er ein Organ anätzt und zerstört, verinnerlicht und so eine neue Quelle beständiger Erregung und Spannungsvermehrung ergibt. Er erwirbt damit eine weitgehende Ähnlichkeit mit einem Trieb. Wir wissen, daß wir diesen Fall als </w:t>
      </w:r>
      <w:r w:rsidRPr="008725BE">
        <w:rPr>
          <w:rFonts w:ascii="Garamond" w:hAnsi="Garamond"/>
          <w:i/>
          <w:iCs/>
          <w:color w:val="000000"/>
          <w:lang w:val="en-GB"/>
        </w:rPr>
        <w:t>Schmerz</w:t>
      </w:r>
      <w:r w:rsidRPr="008725BE">
        <w:rPr>
          <w:rFonts w:ascii="Garamond" w:hAnsi="Garamond"/>
          <w:color w:val="000000"/>
          <w:lang w:val="en-GB"/>
        </w:rPr>
        <w:t xml:space="preserve"> empfinden. Das Ziel dieses Pseudotriebes ist aber nur das Aufhören der Organveränderung und der mit ihr verbundenen Unlust. Andere, direkte Lust kann aus dem Aufhören des Schmerzes nicht gewonnen werden. Der Schmerz ist auch imperativ; er unterliegt nur noch der Einwirkung einer toxischen Aufhebung und der Beeinflussung durch psychische Ablenkung.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Fall des Schmerzes ist zu wenig durchsichtig, um etwas für unsere Absicht zu leisten. Nehmen wir den Fall, daß ein Triebreiz wie der Hunger unbefriedigt bleibt. Er wird dann imperativ, ist durch nichts anderes als durch die Befriedigungsaktion zu beschwichtigen, unterhält eine beständige Bedürfnisspannung. Etwas wie eine Verdrängung scheint hier auf lange hinaus nicht in Betracht zu kommen.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Fall der Verdrängung ist also gewiß nicht gegeben, wenn die Spannung infolge von Unbefriedigung einer Triebregung unerträglich groß wird. Was dem Organismus an Abwehrmitteln gegen diese Situation gegeben ist, muß in anderem Zusammenhang erörtert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Halten wir uns lieber an die klinische Erfahrung, wie sie uns in der psychoanalytischen Praxis entgegentritt. Dann werden wir belehrt, daß die Befriedigung des der Verdrängung unterliegenden Triebes wohl möglich und daß sie auch jedesmal an sich lustvoll wäre, aber sie wäre mit anderen Ansprüchen und Vorsätzen unvereinbar; sie würde also Lust an der einen, Unlust an anderer Stelle erzeugen. Zur Bedingung der Verdrängung ist dann geworden, daß das Unlustmotiv eine stärkere Macht gewinnt als die Befriedigungslust. Wir werden ferner durch die psychoanalytische Erfahrung an den Übertragungsneurosen zu dem Schluß genötigt, daß die Verdrängung kein ursprünglich vorhandener Abwehrmechanismus ist, daß sie nicht eher entstehen kann, als bis sich eine scharfe Sonderung von bewußter und unbewußter Seelentätigkeit hergestellt hat, und daß </w:t>
      </w:r>
      <w:r w:rsidRPr="008725BE">
        <w:rPr>
          <w:rFonts w:ascii="Garamond" w:hAnsi="Garamond"/>
          <w:i/>
          <w:iCs/>
          <w:color w:val="000000"/>
          <w:lang w:val="en-GB"/>
        </w:rPr>
        <w:t>ihr Wesen nur in der Abweisung und Fernhaltung vom Bewußten besteht</w:t>
      </w:r>
      <w:r w:rsidRPr="008725BE">
        <w:rPr>
          <w:rFonts w:ascii="Garamond" w:hAnsi="Garamond"/>
          <w:color w:val="000000"/>
          <w:lang w:val="en-GB"/>
        </w:rPr>
        <w:t>. Diese Auffassung der Verdrängung würde durch die Annahme ergänzt werden, daß vor solcher Stufe der seelischen Organisation die anderen Triebschicksale, wie die Verwandlung ins Gegenteil, die Wendung gegen die eigene Person, die Aufgabe der Abwehr von Triebregungen bewältigen.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meinen jetzt auch, Verdrängung und Unbewußtes seien in so großem Ausmaße korrelativ, daß wir die Vertiefung in das Wesen der Verdrängung aufschieben müssen, bis wir mehr von dem Aufbau des psychischen Instanzenzuges und der Differenzierung von Unbewußt und Bewußt erfahren haben. Vorher können wir nur noch einige klinisch erkannte Charaktere der Verdrängung in rein deskriptiver Weise zusammenstellen, auf die Gefahr hin, vieles anderwärts Gesagte ungeändert zu wiederholen.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haben also Grund, eine </w:t>
      </w:r>
      <w:r w:rsidRPr="008725BE">
        <w:rPr>
          <w:rFonts w:ascii="Garamond" w:hAnsi="Garamond"/>
          <w:i/>
          <w:iCs/>
          <w:color w:val="000000"/>
          <w:lang w:val="en-GB"/>
        </w:rPr>
        <w:t>Urverdrängung</w:t>
      </w:r>
      <w:r w:rsidRPr="008725BE">
        <w:rPr>
          <w:rFonts w:ascii="Garamond" w:hAnsi="Garamond"/>
          <w:color w:val="000000"/>
          <w:lang w:val="en-GB"/>
        </w:rPr>
        <w:t xml:space="preserve"> anzunehmen, eine erste Phase der Verdrängung, die darin besteht, daß der psychischen (Vorstellungs-)Repräsentanz des Triebes die Übernahme ins Bewußte versagt wird. Mit dieser ist eine </w:t>
      </w:r>
      <w:r w:rsidRPr="008725BE">
        <w:rPr>
          <w:rFonts w:ascii="Garamond" w:hAnsi="Garamond"/>
          <w:i/>
          <w:iCs/>
          <w:color w:val="000000"/>
          <w:lang w:val="en-GB"/>
        </w:rPr>
        <w:t>Fixierung</w:t>
      </w:r>
      <w:r w:rsidRPr="008725BE">
        <w:rPr>
          <w:rFonts w:ascii="Garamond" w:hAnsi="Garamond"/>
          <w:color w:val="000000"/>
          <w:lang w:val="en-GB"/>
        </w:rPr>
        <w:t xml:space="preserve"> gegeben; die betreffende Repräsentanz bleibt von da an unveränderlich bestehen und der Trieb an sie gebunden. Dies geschieht infolge der später zu besprechenden Eigenschaften unbewußter Vorgänge.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zweite Stufe der Verdrängung, die </w:t>
      </w:r>
      <w:r w:rsidRPr="008725BE">
        <w:rPr>
          <w:rFonts w:ascii="Garamond" w:hAnsi="Garamond"/>
          <w:i/>
          <w:iCs/>
          <w:color w:val="000000"/>
          <w:lang w:val="en-GB"/>
        </w:rPr>
        <w:t>eigentliche Verdrängung</w:t>
      </w:r>
      <w:r w:rsidRPr="008725BE">
        <w:rPr>
          <w:rFonts w:ascii="Garamond" w:hAnsi="Garamond"/>
          <w:color w:val="000000"/>
          <w:lang w:val="en-GB"/>
        </w:rPr>
        <w:t xml:space="preserve">, betrifft psychische Abkömmlinge der verdrängten Repräsentanz oder solche Gedankenzüge, die, anderswoher stammend, in assoziative </w:t>
      </w:r>
      <w:r w:rsidRPr="008725BE">
        <w:rPr>
          <w:rFonts w:ascii="Garamond" w:hAnsi="Garamond"/>
          <w:color w:val="000000"/>
          <w:lang w:val="en-GB"/>
        </w:rPr>
        <w:lastRenderedPageBreak/>
        <w:t>Beziehung zu ihr geraten sind. Wegen dieser Beziehung erfahren diese Vorstellungen dasselbe Schicksal wie das Urverdrängte. Die eigentliche Verdrängung ist also ein Nachdrängen. Man tut übrigens unrecht, wenn man nur die Abstoßung hervorhebt, die vom Bewußten her auf das zu Verdrängende wirkt. Es kommt ebensosehr die Anziehung in Betracht, welche das Urverdrängte auf alles ausübt, womit es sich in Verbindung setzen kann. Wahrscheinlich würde die Verdrängungstendenz ihre Absicht nicht erreichen, wenn diese Kräfte nicht zusammenwirkten, wenn es nicht ein vorher Verdrängtes gäbe, welches das vom Bewußten Abgestoßene aufzunehmen bereit wäre.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Unter dem Einfluß des Studiums der Psychoneurosen, welches uns die bedeutsamen Wirkungen der Verdrängung vorführt, werden wir geneigt, deren psychologischen Inhalt zu überschätzen, und vergessen zu leicht, daß die Verdrängung die Triebrepräsentanz nicht daran hindert, im Unbewußten fortzubestehen, sich weiter zu organisieren, Abkömmlinge zu bilden und Verbindungen anzuknüpfen. Die Verdrängung stört wirklich nur die Beziehung zu einem psychischen System, dem des Bewußten.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Psychoanalyse kann uns noch anderes zeigen, was für das Verständnis der Wirkungen der Verdrängung bei den Psychoneurosen bedeutsam ist. Z. B., daß die Triebrepräsentanz sich ungestörter und reichhaltiger entwickelt, wenn sie durch die Verdrängung dem bewußten Einfluß entzogen ist. Sie wuchert dann sozusagen im Dunkeln und findet extreme Ausdrucksformen, welche, wenn sie dem Neurotiker übersetzt und vorgehalten werden, ihm nicht nur fremd erscheinen müssen, sondern ihn auch durch die Vorspiegelung einer außerordentlichen und gefährlichen Triebstärke schrecken. Diese täuschende Triebstärke ist das Ergebnis einer ungehemmten Entfaltung in der Phantasie und der Aufstauung infolge versagter Befriedigung. Daß dieser letztere Erfolg an die Verdrängung geknüpft ist, weist darauf hin, worin wir ihre eigentliche Bedeutung zu suchen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Indem wir aber noch zur Gegenansicht zurückkehren, stellen wir fest, es sei nicht einmal richtig, daß die Verdrängung alle Abkömmlinge des Urverdrängten vom Bewußten abhalte. Wenn sich diese weit genug von der verdrängten Repräsentanz entfernt haben, sei es durch Annahme von Entstellungen oder durch die Anzahl der eingeschobenen Mittelglieder, so steht ihnen der Zugang zum Bewußten ohne weiteres frei. Es ist, als ob der Widerstand des Bewußten gegen sie eine Funktion ihrer Entfernung vom ursprünglich Verdrängten wäre. Während der Ausübung der psychoanalytischen Technik fordern wir den Patienten unausgesetzt dazu auf, solche Abkömmlinge des Verdrängten zu produzieren, die infolge ihrer Entfernung oder Entstellung die Zensur des Bewußten passieren können. Nichts anderes sind ja die Einfälle, die wir unter Verzicht auf alle bewußten Zielvorstellungen und alle Kritik von ihm verlangen und aus denen wir eine bewußte Übersetzung der verdrängten Repräsentanz wiederherstellen. Wir beobachten dabei, daß der Patient eine solche Einfallsreihe fortspinnen kann, bis er in ihrem Ablauf auf eine Gedankenbildung stößt, bei welcher die Beziehung zum Verdrängten so intensiv durchwirkt, daß er seinen Verdrängungsversuch wiederholen muß. Auch die neurotischen Symptome müssen der obigen Bedingung genügt haben, denn sie sind Abkömmlinge des Verdrängten, welches sich mittels dieser Bildungen den ihm versagten Zugang zum Bewußtsein endlich erkämpft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Wie weit die Entstellung und Entfernung vom Verdrängten gehen muß, bis der Widerstand des Bewußten aufgehoben ist, läßt sich allgemein nicht angeben. Es findet dabei eine feine Abwägung statt, deren Spiel uns verdeckt ist, deren Wirkungsweise uns aber erraten läßt, es handle sich darum, vor einer bestimmten Intensität der Besetzung des Unbewußten haltzumachen, mit deren Überschreitung es zur Befriedigung durchdringen würde. Die Verdrängung arbeitet also </w:t>
      </w:r>
      <w:r w:rsidRPr="008725BE">
        <w:rPr>
          <w:rFonts w:ascii="Garamond" w:hAnsi="Garamond"/>
          <w:i/>
          <w:iCs/>
          <w:color w:val="000000"/>
          <w:lang w:val="en-GB"/>
        </w:rPr>
        <w:t>höchst individuell</w:t>
      </w:r>
      <w:r w:rsidRPr="008725BE">
        <w:rPr>
          <w:rFonts w:ascii="Garamond" w:hAnsi="Garamond"/>
          <w:color w:val="000000"/>
          <w:lang w:val="en-GB"/>
        </w:rPr>
        <w:t>; jeder einzelne Abkömmling des Verdrängten kann sein besonderes Schicksal haben; ein wenig mehr oder weniger von Entstellung macht, daß der ganze Erfolg umschlägt. In demselben Zusammenhang ist auch zu begreifen, daß die bevorzugten Objekte der Menschen, ihre Ideale, aus denselben Wahrnehmungen und Erlebnissen stammen wie die von ihnen am meisten verabscheuten, und sich ursprünglich nur durch geringe Modifikationen voneinander unterscheiden. Ja, es kann, wie wir's bei der Entstehung des Fetisch gefunden haben, die ursprüngliche Triebrepräsentanz in zwei Stücke zerlegt worden sein, von denen das eine der Verdrängung verfiel, während der Rest, gerade wegen dieser innigen Verknüpftheit, das Schicksal der Idealisierung erfuhr.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Dasselbe, was ein Mehr oder Weniger an Entstellung leistet, kann auch sozusagen am anderen Ende des Apparates durch eine Modifikation in den Bedingungen der Lust-Unlustproduktion erzielt werden. Es sind besondere Techniken ausgebildet worden, deren Absicht dahin geht, solche Veränderungen des psychischen Kräftespieles herbeizuführen, daß dasselbe, was sonst Unlust erzeugt, auch einmal lustbringend wird, und sooft solch ein technisches Mittel in Aktion tritt, wird die Verdrängung für eine sonst abgewiesene Triebrepräsentanz aufgehoben. Diese Techniken sind bisher nur für den </w:t>
      </w:r>
      <w:r w:rsidRPr="008725BE">
        <w:rPr>
          <w:rFonts w:ascii="Garamond" w:hAnsi="Garamond"/>
          <w:i/>
          <w:iCs/>
          <w:color w:val="000000"/>
          <w:lang w:val="en-GB"/>
        </w:rPr>
        <w:t>Witz</w:t>
      </w:r>
      <w:r w:rsidRPr="008725BE">
        <w:rPr>
          <w:rFonts w:ascii="Garamond" w:hAnsi="Garamond"/>
          <w:color w:val="000000"/>
          <w:lang w:val="en-GB"/>
        </w:rPr>
        <w:t xml:space="preserve"> genauer </w:t>
      </w:r>
      <w:r w:rsidRPr="008725BE">
        <w:rPr>
          <w:rFonts w:ascii="Garamond" w:hAnsi="Garamond"/>
          <w:color w:val="000000"/>
          <w:lang w:val="en-GB"/>
        </w:rPr>
        <w:lastRenderedPageBreak/>
        <w:t>verfolgt worden. In der Regel ist die Aufhebung der Verdrängung nur eine vorübergehende; sie wird alsbald wiederhergestellt.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Erfahrungen dieser Art reichen aber hin, uns auf weitere Charaktere der Verdrängung aufmerksam zu machen. Sie ist nicht nur, wie eben ausgeführt, </w:t>
      </w:r>
      <w:r w:rsidRPr="008725BE">
        <w:rPr>
          <w:rFonts w:ascii="Garamond" w:hAnsi="Garamond"/>
          <w:i/>
          <w:iCs/>
          <w:color w:val="000000"/>
          <w:lang w:val="en-GB"/>
        </w:rPr>
        <w:t>individuell</w:t>
      </w:r>
      <w:r w:rsidRPr="008725BE">
        <w:rPr>
          <w:rFonts w:ascii="Garamond" w:hAnsi="Garamond"/>
          <w:color w:val="000000"/>
          <w:lang w:val="en-GB"/>
        </w:rPr>
        <w:t xml:space="preserve">, sondern auch im hohen Grade </w:t>
      </w:r>
      <w:r w:rsidRPr="008725BE">
        <w:rPr>
          <w:rFonts w:ascii="Garamond" w:hAnsi="Garamond"/>
          <w:i/>
          <w:iCs/>
          <w:color w:val="000000"/>
          <w:lang w:val="en-GB"/>
        </w:rPr>
        <w:t>mobil</w:t>
      </w:r>
      <w:r w:rsidRPr="008725BE">
        <w:rPr>
          <w:rFonts w:ascii="Garamond" w:hAnsi="Garamond"/>
          <w:color w:val="000000"/>
          <w:lang w:val="en-GB"/>
        </w:rPr>
        <w:t>. Man darf sich den Verdrängungsvorgang nicht wie ein einmaliges Geschehen mit Dauererfolg vorstellen, etwa wie wenn man etwas Lebendes erschlagen hat, was von da an tot ist; sondern die Verdrängung erfordert einen anhaltenden Kraftaufwand, mit dessen Unterlassung ihr Erfolg in Frage gestellt wäre, so daß ein neuerlicher Verdrängungsakt notwendig würde. Wir dürfen uns vorstellen, daß das Verdrängte einen kontinuierlichen Druck in der Richtung zum Bewußten hin ausübt, dem durch unausgesetzten Gegendruck das Gleichgewicht gehalten werden muß. Die Erhaltung einer Verdrängung setzt also eine beständige Kraftausgabe voraus, und ihre Aufhebung bedeutet ökonomisch eine Ersparung. Die Mobilität der Verdrängung findet übrigens auch einen Ausdruck in den psychischen Charakteren des Schlafzustandes, welcher allein die Traumbildung ermöglicht. Mit dem Erwachen werden die eingezogenen Verdrängungsbesetzungen wieder ausgeschickt.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dürfen endlich nicht vergessen, daß wir von einer Triebregung erst sehr wenig ausgesagt haben, wenn wir feststellen, sie sei eine verdrängte. Sie kann sich unbeschadet der Verdrängung in sehr verschiedenen Zuständen befinden, inaktiv sein, d. h. sehr wenig mit psychischer Energie besetzt, oder in wechselndem Grade besetzt und damit zur Aktivität befähigt. Ihre Aktivierung wird zwar nicht die Folge haben, daß sie die Verdrängung direkt aufhebt, wohl aber alle die Vorgänge anregen, welche mit dem Durchdringen zum Bewußtsein auf Umwegen einen Abschluß finden. Bei unverdrängten Abkömmlingen des Unbewußten entscheidet oft das Ausmaß der Aktivierung oder Besetzung über das Schicksal der einzelnen Vorstellung. Es ist ein alltägliches Vorkommnis, daß ein solcher Abkömmling unverdrängt bleibt, solange er eine geringe Energie repräsentiert, obwohl sein Inhalt geeignet wäre, einen Konflikt mit dem bewußt Herrschenden zu ergeben. Das quantitative Moment zeigt sich aber als entscheidend für den Konflikt; sobald die im Grunde anstößige Vorstellung sich über ein gewisses Maß verstärkt, wird der Konflikt aktuell, und gerade die Aktivierung zieht die Verdrängung nach sich. Zunahme der Energiebesetzung wirkt also in Sachen der Verdrängung gleichsinnig wie Annäherung an das Unbewußte, Abnahme derselben wie Entfernung davon oder Entstellung. Wir verstehen, daß die verdrängenden Tendenzen in der Abschwächung des Unliebsamen einen Ersatz für dessen Verdrängung finden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den bisherigen Erörterungen behandelten wir die Verdrängung einer Triebrepräsentanz und verstanden unter einer solchen eine Vorstellung oder Vorstellungsgruppe, welche vom Trieb her mit einem bestimmten Betrag von psychischer Energie (Libido, Interesse) besetzt ist. Die klinische Beobachtung nötigt uns nun zu zerlegen, was wir bisher einheitlich aufgefaßt hatten, denn sie zeigt uns, daß etwas anderes, was den Trieb repräsentiert, neben der Vorstellung in Betracht kommt und daß dieses andere ein Verdrängungsschicksal erfährt, welches von dem der Vorstellung ganz verschieden sein kann. Für dieses andere Element der psychischen Repräsentanz hat sich der Name </w:t>
      </w:r>
      <w:r w:rsidRPr="008725BE">
        <w:rPr>
          <w:rFonts w:ascii="Garamond" w:hAnsi="Garamond"/>
          <w:i/>
          <w:iCs/>
          <w:color w:val="000000"/>
          <w:lang w:val="en-GB"/>
        </w:rPr>
        <w:t>Affektbetrag</w:t>
      </w:r>
      <w:r w:rsidRPr="008725BE">
        <w:rPr>
          <w:rFonts w:ascii="Garamond" w:hAnsi="Garamond"/>
          <w:color w:val="000000"/>
          <w:lang w:val="en-GB"/>
        </w:rPr>
        <w:t xml:space="preserve"> eingebürgert; es entspricht dem Triebe, insofern er sich von der Vorstellung abgelöst hat und einen seiner Quantität gemäßen Ausdruck in Vorgängen findet, welche als Affekte der Empfindung bemerkbar werden. Wir werden von nun an, wenn wir einen Fall von Verdrängung beschreiben, gesondert verfolgen müssen, was durch die Verdrängung aus der Vorstellung und was aus der an ihr haftenden Triebenergie geworden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Gern würden wir über beiderlei Schicksale etwas Allgemeines aussagen wollen. Dies wird uns auch nach einiger Orientierung möglich. Das allgemeine Schicksal der den Trieb repräsentierenden </w:t>
      </w:r>
      <w:r w:rsidRPr="008725BE">
        <w:rPr>
          <w:rFonts w:ascii="Garamond" w:hAnsi="Garamond"/>
          <w:i/>
          <w:iCs/>
          <w:color w:val="000000"/>
          <w:lang w:val="en-GB"/>
        </w:rPr>
        <w:t>Vorstellung</w:t>
      </w:r>
      <w:r w:rsidRPr="008725BE">
        <w:rPr>
          <w:rFonts w:ascii="Garamond" w:hAnsi="Garamond"/>
          <w:color w:val="000000"/>
          <w:lang w:val="en-GB"/>
        </w:rPr>
        <w:t xml:space="preserve"> kann nicht leicht etwas anderes sein, als daß sie aus dem Bewußten verschwindet, wenn sie früher bewußt war, oder vom Bewußtsein abgehalten wird, wenn sie im Begriffe war, bewußt zu werden. Der Unterschied ist nicht mehr bedeutsam; er kommt etwa darauf hinaus, ob ich einen unliebsamen Gast aus meinem Salon hinausbefördere oder aus meinem Vorzimmer oder ihn, nachdem ich ihn erkannt habe, überhaupt nicht über die Schwelle der Wohnungstür treten lasse </w:t>
      </w:r>
      <w:hyperlink r:id="rId78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Dieses für den Verdrängungsvorgang brauchbare Gleichnis kann auch über einen früher erwähnten Charakter der Verdrängung ausgedehnt werden. Ich brauche nur hinzuzufügen, daß ich die dem Gast verbotene Tür durch einen ständigen Wächter bewachen lassen muß, weil der Abgewiesene sie sonst aufsprengen würde. (S. oben.)</w:t>
        </w:r>
      </w:hyperlink>
      <w:r w:rsidRPr="008725BE">
        <w:rPr>
          <w:rFonts w:ascii="Garamond" w:hAnsi="Garamond"/>
          <w:color w:val="000000"/>
          <w:lang w:val="en-GB"/>
        </w:rPr>
        <w:t xml:space="preserve">. Das Schicksal des </w:t>
      </w:r>
      <w:r w:rsidRPr="008725BE">
        <w:rPr>
          <w:rFonts w:ascii="Garamond" w:hAnsi="Garamond"/>
          <w:i/>
          <w:iCs/>
          <w:color w:val="000000"/>
          <w:lang w:val="en-GB"/>
        </w:rPr>
        <w:t>quantitativen</w:t>
      </w:r>
      <w:r w:rsidRPr="008725BE">
        <w:rPr>
          <w:rFonts w:ascii="Garamond" w:hAnsi="Garamond"/>
          <w:color w:val="000000"/>
          <w:lang w:val="en-GB"/>
        </w:rPr>
        <w:t xml:space="preserve"> Faktors der Triebrepräsentanz kann ein dreifaches sein, wie uns eine flüchtige Übersicht über die in der Psychoanalyse gemachten Erfahrungen lehrt: Der Trieb wird entweder ganz unterdrückt, so daß man nichts von ihm auffindet, oder er kommt als irgendwie qualitativ gefärbter Affekt zum Vorschein, oder er wird in Angst verwandelt. Die beiden letzteren </w:t>
      </w:r>
      <w:r w:rsidRPr="008725BE">
        <w:rPr>
          <w:rFonts w:ascii="Garamond" w:hAnsi="Garamond"/>
          <w:color w:val="000000"/>
          <w:lang w:val="en-GB"/>
        </w:rPr>
        <w:lastRenderedPageBreak/>
        <w:t xml:space="preserve">Möglichkeiten stellen uns die Aufgabe, die </w:t>
      </w:r>
      <w:r w:rsidRPr="008725BE">
        <w:rPr>
          <w:rFonts w:ascii="Garamond" w:hAnsi="Garamond"/>
          <w:i/>
          <w:iCs/>
          <w:color w:val="000000"/>
          <w:lang w:val="en-GB"/>
        </w:rPr>
        <w:t>Umsetzung</w:t>
      </w:r>
      <w:r w:rsidRPr="008725BE">
        <w:rPr>
          <w:rFonts w:ascii="Garamond" w:hAnsi="Garamond"/>
          <w:color w:val="000000"/>
          <w:lang w:val="en-GB"/>
        </w:rPr>
        <w:t xml:space="preserve"> der psychischen Energien der </w:t>
      </w:r>
      <w:r w:rsidRPr="008725BE">
        <w:rPr>
          <w:rFonts w:ascii="Garamond" w:hAnsi="Garamond"/>
          <w:i/>
          <w:iCs/>
          <w:color w:val="000000"/>
          <w:lang w:val="en-GB"/>
        </w:rPr>
        <w:t>Triebe</w:t>
      </w:r>
      <w:r w:rsidRPr="008725BE">
        <w:rPr>
          <w:rFonts w:ascii="Garamond" w:hAnsi="Garamond"/>
          <w:color w:val="000000"/>
          <w:lang w:val="en-GB"/>
        </w:rPr>
        <w:t xml:space="preserve"> in </w:t>
      </w:r>
      <w:r w:rsidRPr="008725BE">
        <w:rPr>
          <w:rFonts w:ascii="Garamond" w:hAnsi="Garamond"/>
          <w:i/>
          <w:iCs/>
          <w:color w:val="000000"/>
          <w:lang w:val="en-GB"/>
        </w:rPr>
        <w:t>Affekte</w:t>
      </w:r>
      <w:r w:rsidRPr="008725BE">
        <w:rPr>
          <w:rFonts w:ascii="Garamond" w:hAnsi="Garamond"/>
          <w:color w:val="000000"/>
          <w:lang w:val="en-GB"/>
        </w:rPr>
        <w:t xml:space="preserve"> und ganz besonders in </w:t>
      </w:r>
      <w:r w:rsidRPr="008725BE">
        <w:rPr>
          <w:rFonts w:ascii="Garamond" w:hAnsi="Garamond"/>
          <w:i/>
          <w:iCs/>
          <w:color w:val="000000"/>
          <w:lang w:val="en-GB"/>
        </w:rPr>
        <w:t>Angst</w:t>
      </w:r>
      <w:r w:rsidRPr="008725BE">
        <w:rPr>
          <w:rFonts w:ascii="Garamond" w:hAnsi="Garamond"/>
          <w:color w:val="000000"/>
          <w:lang w:val="en-GB"/>
        </w:rPr>
        <w:t xml:space="preserve"> als neues Triebschicksal ins Auge zu fassen.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erinnern uns, daß Motiv und Absicht der Verdrängung nichts anderes als die Vermeidung von Unlust war. Daraus folgt, daß das Schicksal des Affektbetrags der Repräsentanz bei weitem wichtiger ist als das der Vorstellung und daß dies über die Beurteilung des Verdrängungsvorganges entscheidet. Gelingt es einer Verdrängung nicht, die Entstehung von Unlustempfindungen oder Angst zu verhüten, so dürfen wir sagen, sie sei mißglückt, wenngleich sie ihr Ziel an dem Vorstellungsanteil erreicht haben mag. Natürlich wird die mißglückte Verdrängung mehr Anspruch auf unser Interesse erheben als die etwa geglückte, die sich zumeist unserem Studium entziehen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wollen nun Einblick in den </w:t>
      </w:r>
      <w:r w:rsidRPr="008725BE">
        <w:rPr>
          <w:rFonts w:ascii="Garamond" w:hAnsi="Garamond"/>
          <w:i/>
          <w:iCs/>
          <w:color w:val="000000"/>
          <w:lang w:val="en-GB"/>
        </w:rPr>
        <w:t>Mechanismus</w:t>
      </w:r>
      <w:r w:rsidRPr="008725BE">
        <w:rPr>
          <w:rFonts w:ascii="Garamond" w:hAnsi="Garamond"/>
          <w:color w:val="000000"/>
          <w:lang w:val="en-GB"/>
        </w:rPr>
        <w:t xml:space="preserve"> des Verdrängungsvorganges gewinnen und vor allem wissen, ob es nur einen einzigen Mechanismus der Verdrängung gibt oder mehrere und ob vielleicht jede der Psychoneurosen durch einen ihr eigentümlichen Mechanismus der Verdrängung ausgezeichnet ist. Zu Beginn dieser Untersuchung stoßen wir aber auf Komplikationen. Der Mechanismus einer Verdrängung wird uns nur zugänglich, wenn wir aus den Erfolgen der Verdrängung auf ihn zurückschließen. Beschränken wir die Beobachtung auf die Erfolge an dem Vorstellungsanteil der Repräsentanz, so erfahren wir, daß die Verdrängung in der Regel eine </w:t>
      </w:r>
      <w:r w:rsidRPr="008725BE">
        <w:rPr>
          <w:rFonts w:ascii="Garamond" w:hAnsi="Garamond"/>
          <w:i/>
          <w:iCs/>
          <w:color w:val="000000"/>
          <w:lang w:val="en-GB"/>
        </w:rPr>
        <w:t>Ersatzbildung</w:t>
      </w:r>
      <w:r w:rsidRPr="008725BE">
        <w:rPr>
          <w:rFonts w:ascii="Garamond" w:hAnsi="Garamond"/>
          <w:color w:val="000000"/>
          <w:lang w:val="en-GB"/>
        </w:rPr>
        <w:t xml:space="preserve"> schafft. Welches ist nun der Mechanismus einer solchen Ersatzbildung, oder gibt es hier auch mehrere Mechanismen zu unterscheiden? Wir wissen auch, daß die Verdrängung </w:t>
      </w:r>
      <w:r w:rsidRPr="008725BE">
        <w:rPr>
          <w:rFonts w:ascii="Garamond" w:hAnsi="Garamond"/>
          <w:i/>
          <w:iCs/>
          <w:color w:val="000000"/>
          <w:lang w:val="en-GB"/>
        </w:rPr>
        <w:t>Symptome</w:t>
      </w:r>
      <w:r w:rsidRPr="008725BE">
        <w:rPr>
          <w:rFonts w:ascii="Garamond" w:hAnsi="Garamond"/>
          <w:color w:val="000000"/>
          <w:lang w:val="en-GB"/>
        </w:rPr>
        <w:t xml:space="preserve"> hinterläßt. Dürfen wir nun Ersatzbildung und Symptombildung zusammenfallen lassen, und wenn dies im ganzen angeht, deckt sich der Mechanismus der Symptombildung mit dem der Verdrängung? Die vorläufige Wahrscheinlichkeit scheint dafür zu sprechen, daß beide weit auseinandergehen, daß es nicht die Verdrängung selbst ist, welche Ersatzbildungen und Symptome schafft, sondern daß diese letzteren als Anzeichen einer </w:t>
      </w:r>
      <w:r w:rsidRPr="008725BE">
        <w:rPr>
          <w:rFonts w:ascii="Garamond" w:hAnsi="Garamond"/>
          <w:i/>
          <w:iCs/>
          <w:color w:val="000000"/>
          <w:lang w:val="en-GB"/>
        </w:rPr>
        <w:t>Wiederkehr des Verdrängten</w:t>
      </w:r>
      <w:r w:rsidRPr="008725BE">
        <w:rPr>
          <w:rFonts w:ascii="Garamond" w:hAnsi="Garamond"/>
          <w:color w:val="000000"/>
          <w:lang w:val="en-GB"/>
        </w:rPr>
        <w:t xml:space="preserve"> ganz anderen Vorgängen ihr Entstehen verdanken. Es scheint sich auch zu empfehlen, daß man die Mechanismen der Ersatz- und Symptombildung vor denen der Verdrängung in Untersuchung ziehe.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ist klar, daß die Spekulation hier weiter nichts zu suchen hat, sondern durch die sorgfältige Analyse der bei den einzelnen Neurosen zu beobachtenden Erfolge der Verdrängung abgelöst werden muß. Ich muß aber den Vorschlag machen, auch diese Arbeit aufzuschieben, bis wir uns verläßliche Vorstellungen über das Verhältnis des Bewußten zum Unbewußten gebildet haben. Nur um die vorliegende Erörterung nicht ganz unfruchtbar ausgehen zu lassen, will ich vorwegnehmen, daß 1. der Mechanismus der Verdrängung tatsächlich nicht mit dem oder den Mechanismen der Ersatzbildung zusammenfällt, 2. daß es sehr verschiedene Mechanismen der Ersatzbildung gibt, und 3. daß den Mechanismen der Verdrängung wenigstens eines gemeinsam ist, die </w:t>
      </w:r>
      <w:r w:rsidRPr="008725BE">
        <w:rPr>
          <w:rFonts w:ascii="Garamond" w:hAnsi="Garamond"/>
          <w:i/>
          <w:iCs/>
          <w:color w:val="000000"/>
          <w:lang w:val="en-GB"/>
        </w:rPr>
        <w:t>Entziehung der Energiebesetzung</w:t>
      </w:r>
      <w:r w:rsidRPr="008725BE">
        <w:rPr>
          <w:rFonts w:ascii="Garamond" w:hAnsi="Garamond"/>
          <w:color w:val="000000"/>
          <w:lang w:val="en-GB"/>
        </w:rPr>
        <w:t xml:space="preserve"> (oder </w:t>
      </w:r>
      <w:r w:rsidRPr="008725BE">
        <w:rPr>
          <w:rFonts w:ascii="Garamond" w:hAnsi="Garamond"/>
          <w:i/>
          <w:iCs/>
          <w:color w:val="000000"/>
          <w:lang w:val="en-GB"/>
        </w:rPr>
        <w:t>Libido</w:t>
      </w:r>
      <w:r w:rsidRPr="008725BE">
        <w:rPr>
          <w:rFonts w:ascii="Garamond" w:hAnsi="Garamond"/>
          <w:color w:val="000000"/>
          <w:lang w:val="en-GB"/>
        </w:rPr>
        <w:t>, wenn wir von Sexualtrieben handeln).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will auch unter Einschränkung auf die drei bekanntesten Psychoneurosen an einigen Beispielen zeigen, wie die hier eingeführten Begriffe auf das Studium der Verdrängung Anwendung finden. </w:t>
      </w:r>
      <w:r w:rsidRPr="008725BE">
        <w:rPr>
          <w:rFonts w:ascii="Garamond" w:hAnsi="Garamond"/>
          <w:color w:val="000000"/>
        </w:rPr>
        <w:t xml:space="preserve">Von der </w:t>
      </w:r>
      <w:r w:rsidRPr="008725BE">
        <w:rPr>
          <w:rFonts w:ascii="Garamond" w:hAnsi="Garamond"/>
          <w:i/>
          <w:iCs/>
          <w:color w:val="000000"/>
        </w:rPr>
        <w:t>Angsthysterie</w:t>
      </w:r>
      <w:r w:rsidRPr="008725BE">
        <w:rPr>
          <w:rFonts w:ascii="Garamond" w:hAnsi="Garamond"/>
          <w:color w:val="000000"/>
        </w:rPr>
        <w:t xml:space="preserve"> werde ich das gut analysierte Beispiel einer Tierphobie wählen. </w:t>
      </w:r>
      <w:r w:rsidRPr="008725BE">
        <w:rPr>
          <w:rFonts w:ascii="Garamond" w:hAnsi="Garamond"/>
          <w:color w:val="000000"/>
          <w:lang w:val="en-GB"/>
        </w:rPr>
        <w:t xml:space="preserve">Die der Verdrängung unterliegende Triebregung ist eine libidinöse Einstellung zum Vater, gepaart mit der Angst vor demselben. Nach der Verdrängung ist diese Regung aus dem Bewußtsein geschwunden, der Vater kommt als Objekt der Libido nicht darin vor. Als Ersatz findet sich an analoger Stelle ein Tier, das sich mehr oder weniger gut zum Angstobjekt eignet. Die Ersatzbildung des Vorstellungsanteiles hat sich auf dem Wege der </w:t>
      </w:r>
      <w:r w:rsidRPr="008725BE">
        <w:rPr>
          <w:rFonts w:ascii="Garamond" w:hAnsi="Garamond"/>
          <w:i/>
          <w:iCs/>
          <w:color w:val="000000"/>
          <w:lang w:val="en-GB"/>
        </w:rPr>
        <w:t>Verschiebung</w:t>
      </w:r>
      <w:r w:rsidRPr="008725BE">
        <w:rPr>
          <w:rFonts w:ascii="Garamond" w:hAnsi="Garamond"/>
          <w:color w:val="000000"/>
          <w:lang w:val="en-GB"/>
        </w:rPr>
        <w:t xml:space="preserve"> längs eines in bestimmter Weise determinierten Zusammenhanges hergestellt. Der quantitative Anteil ist nicht verschwunden, sondern hat sich in Angst umgesetzt. Das Ergebnis ist eine Angst vor dem Wolf an Stelle eines Liebesanspruches an den Vater. Natürlich reichen die hier verwendeten Kategorien nicht aus, um den Erklärungsansprüchen auch nur des einfachsten Falles von Psychoneurose zu genügen. Es kommen immer noch andere Gesichtspunkte in Betracht.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 solche Verdrängung wie im Falle der Tierphobie darf als eine gründlich mißglückte bezeichnet werden. Das Werk der Verdrängung besteht nur in der Beseitigung und Ersetzung der Vorstellung, die Unlustersparnis ist überhaupt nicht gelungen. Deshalb ruht die Arbeit der Neurose auch nicht, sondern setzt sich in einem zweiten Tempo fort, um ihr nächstes, wichtigeres Ziel zu erreichen. Es kommt zur Bildung eines Fluchtversuches, der eigentlichen </w:t>
      </w:r>
      <w:r w:rsidRPr="008725BE">
        <w:rPr>
          <w:rFonts w:ascii="Garamond" w:hAnsi="Garamond"/>
          <w:i/>
          <w:iCs/>
          <w:color w:val="000000"/>
          <w:lang w:val="en-GB"/>
        </w:rPr>
        <w:t>Phobie</w:t>
      </w:r>
      <w:r w:rsidRPr="008725BE">
        <w:rPr>
          <w:rFonts w:ascii="Garamond" w:hAnsi="Garamond"/>
          <w:color w:val="000000"/>
          <w:lang w:val="en-GB"/>
        </w:rPr>
        <w:t>, einer Anzahl von Vermeidungen, welche die Angstentbindung ausschließen sollen. Durch welchen Mechanismus die Phobie ans Ziel gelangt, können wir in einer spezielleren Untersuchung verstehen lernen.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Zu einer ganz anderen Würdigung des Verdrängungsvorganges nötigt uns das Bild der echten </w:t>
      </w:r>
      <w:r w:rsidRPr="008725BE">
        <w:rPr>
          <w:rFonts w:ascii="Garamond" w:hAnsi="Garamond"/>
          <w:i/>
          <w:iCs/>
          <w:color w:val="000000"/>
          <w:lang w:val="en-GB"/>
        </w:rPr>
        <w:t>Konversionshysterie</w:t>
      </w:r>
      <w:r w:rsidRPr="008725BE">
        <w:rPr>
          <w:rFonts w:ascii="Garamond" w:hAnsi="Garamond"/>
          <w:color w:val="000000"/>
          <w:lang w:val="en-GB"/>
        </w:rPr>
        <w:t xml:space="preserve">. Hier ist das Hervorstechende, daß es gelingen kann, den Affektbetrag zum völligen </w:t>
      </w:r>
      <w:r w:rsidRPr="008725BE">
        <w:rPr>
          <w:rFonts w:ascii="Garamond" w:hAnsi="Garamond"/>
          <w:color w:val="000000"/>
          <w:lang w:val="en-GB"/>
        </w:rPr>
        <w:lastRenderedPageBreak/>
        <w:t xml:space="preserve">Verschwinden zu bringen. </w:t>
      </w:r>
      <w:r w:rsidRPr="008725BE">
        <w:rPr>
          <w:rFonts w:ascii="Garamond" w:hAnsi="Garamond"/>
          <w:color w:val="000000"/>
        </w:rPr>
        <w:t xml:space="preserve">Der Kranke zeigt dann gegen seine Symptome das Verhalten, welches Charcot » </w:t>
      </w:r>
      <w:r w:rsidRPr="008725BE">
        <w:rPr>
          <w:rFonts w:ascii="Garamond" w:hAnsi="Garamond"/>
          <w:i/>
          <w:iCs/>
          <w:color w:val="000000"/>
        </w:rPr>
        <w:t>la belle indifférence des hystériques</w:t>
      </w:r>
      <w:r w:rsidRPr="008725BE">
        <w:rPr>
          <w:rFonts w:ascii="Garamond" w:hAnsi="Garamond"/>
          <w:color w:val="000000"/>
        </w:rPr>
        <w:t xml:space="preserve">« genannt hat. Andere Male gelingt diese Unterdrückung nicht so vollständig, ein Anteil peinlicher Sensationen knüpft sich an die Symptome selbst, oder ein Stück Angstentbindung hat sich nicht vermeiden lassen, das seinerseits den Mechanismus der Phobiebildung ins Werk setzt. </w:t>
      </w:r>
      <w:r w:rsidRPr="008725BE">
        <w:rPr>
          <w:rFonts w:ascii="Garamond" w:hAnsi="Garamond"/>
          <w:color w:val="000000"/>
          <w:lang w:val="en-GB"/>
        </w:rPr>
        <w:t xml:space="preserve">Der Vorstellungsinhalt der Triebrepräsentanz ist dem Bewußtsein gründlich entzogen; als Ersatzbildung –; und gleichzeitig als Symptom –; findet sich eine überstarke –; in den vorbildlichen Fällen somatische –; Innervation, bald sensorischer, bald motorischer Natur, entweder als Erregung oder als Hemmung. Die überinnervierte Stelle erweist sich bei näherer Betrachtung als ein Stück der verdrängten Triebrepräsentanz selbst, welches wie durch </w:t>
      </w:r>
      <w:r w:rsidRPr="008725BE">
        <w:rPr>
          <w:rFonts w:ascii="Garamond" w:hAnsi="Garamond"/>
          <w:i/>
          <w:iCs/>
          <w:color w:val="000000"/>
          <w:lang w:val="en-GB"/>
        </w:rPr>
        <w:t>Verdichtung</w:t>
      </w:r>
      <w:r w:rsidRPr="008725BE">
        <w:rPr>
          <w:rFonts w:ascii="Garamond" w:hAnsi="Garamond"/>
          <w:color w:val="000000"/>
          <w:lang w:val="en-GB"/>
        </w:rPr>
        <w:t xml:space="preserve"> die gesamte Besetzung auf sich gezogen hat. Natürlich decken auch diese Bemerkungen den Mechanismus einer Konversionshysterie nicht restlos auf; vor allem ist noch das Moment der </w:t>
      </w:r>
      <w:r w:rsidRPr="008725BE">
        <w:rPr>
          <w:rFonts w:ascii="Garamond" w:hAnsi="Garamond"/>
          <w:i/>
          <w:iCs/>
          <w:color w:val="000000"/>
          <w:lang w:val="en-GB"/>
        </w:rPr>
        <w:t>Regression</w:t>
      </w:r>
      <w:r w:rsidRPr="008725BE">
        <w:rPr>
          <w:rFonts w:ascii="Garamond" w:hAnsi="Garamond"/>
          <w:color w:val="000000"/>
          <w:lang w:val="en-GB"/>
        </w:rPr>
        <w:t xml:space="preserve"> hinzuzufügen, das in anderem Zusammenhang gewürdigt werden soll.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Verdrängung der Hysterie kann als völlig mißglückt beurteilt werden, insofern sie nur durch ausgiebige Ersatzbildungen ermöglicht worden ist; mit Bezug auf die Erledigung des Affektbetrages, die eigentliche Aufgabe der Verdrängung, bedeutet sie aber in der Regel einen vollen Erfolg. Der Verdrängungsvorgang der Konversionshysterie ist dann auch mit der Symptombildung abgeschlossen und braucht sich nicht wie bei Angsthysterie zweizeitig –; oder eigentlich unbegrenzt –; fortzusetzen.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 ganz anderes Ansehen zeigt die Verdrängung wieder bei der dritten Affektion, die wir zu dieser Vergleichung heranziehen, bei der </w:t>
      </w:r>
      <w:r w:rsidRPr="008725BE">
        <w:rPr>
          <w:rFonts w:ascii="Garamond" w:hAnsi="Garamond"/>
          <w:i/>
          <w:iCs/>
          <w:color w:val="000000"/>
          <w:lang w:val="en-GB"/>
        </w:rPr>
        <w:t>Zwangsneurose</w:t>
      </w:r>
      <w:r w:rsidRPr="008725BE">
        <w:rPr>
          <w:rFonts w:ascii="Garamond" w:hAnsi="Garamond"/>
          <w:color w:val="000000"/>
          <w:lang w:val="en-GB"/>
        </w:rPr>
        <w:t xml:space="preserve">. Hier gerät man zuerst in Zweifel, was man als die der Verdrängung unterliegende Repräsentanz anzusehen hat, eine libidinöse oder eine feindselige Strebung. Die Unsicherheit rührt daher, daß die Zwangsneurose auf der Voraussetzung einer Regression ruht, durch welche eine sadistische Strebung an die Stelle der zärtlichen getreten ist. Dieser feindselige Impuls gegen eine geliebte Person ist es, welcher der Verdrängung unterliegt. Der Effekt ist in einer ersten Phase der Verdrängungsarbeit ein ganz anderer als später. Zunächst hat diese vollen Erfolg, der Vorstellungsinhalt wird abgewiesen und der Affekt zum Verschwinden gebracht. Als Ersatzbildung findet sich eine Ichveränderung, die Steigerung der Gewissenhaftigkeit, die man nicht gut ein Symptom heißen kann. Ersatz- und Symptombildung fallen hier auseinander. Hier erfährt man auch etwas über den Mechanismus der Verdrängung. Diese hat wie überall eine Libidoentziehung zustande gebracht, aber sich zu diesem Zwecke der </w:t>
      </w:r>
      <w:r w:rsidRPr="008725BE">
        <w:rPr>
          <w:rFonts w:ascii="Garamond" w:hAnsi="Garamond"/>
          <w:i/>
          <w:iCs/>
          <w:color w:val="000000"/>
          <w:lang w:val="en-GB"/>
        </w:rPr>
        <w:t>Reaktionsbildung</w:t>
      </w:r>
      <w:r w:rsidRPr="008725BE">
        <w:rPr>
          <w:rFonts w:ascii="Garamond" w:hAnsi="Garamond"/>
          <w:color w:val="000000"/>
          <w:lang w:val="en-GB"/>
        </w:rPr>
        <w:t xml:space="preserve"> durch Verstärkung eines Gegensatzes bedient. Die Ersatzbildung hat also hier denselben Mechanismus wie die Verdrängung und fällt im Grunde mit ihr zusammen, sie trennt sich aber zeitlich, wie begrifflich, von der Symptombildung. Es ist sehr wahrscheinlich, daß das Ambivalenzverhältnis, in welches der zu verdrängende sadistische Impuls eingetragen ist, den ganzen Vorgang ermöglicht.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anfänglich gute Verdrängung hält aber nicht stand, im weiteren Verlaufe drängt sich das Mißglücken der Verdrängung immer mehr vor. Die Ambivalenz, welche die Verdrängung durch Reaktionsbildung gestattet hat, ist auch die Stelle, an welcher dem Verdrängten die Wiederkehr gelingt. Der verschwundene Affekt kommt in der Verwandlung zur sozialen Angst, Gewissensangst, Vorwurf ohne Ersparnis wieder, die abgewiesene Vorstellung ersetzt sich durch </w:t>
      </w:r>
      <w:r w:rsidRPr="008725BE">
        <w:rPr>
          <w:rFonts w:ascii="Garamond" w:hAnsi="Garamond"/>
          <w:i/>
          <w:iCs/>
          <w:color w:val="000000"/>
          <w:lang w:val="en-GB"/>
        </w:rPr>
        <w:t>Verschiebungsersatz</w:t>
      </w:r>
      <w:r w:rsidRPr="008725BE">
        <w:rPr>
          <w:rFonts w:ascii="Garamond" w:hAnsi="Garamond"/>
          <w:color w:val="000000"/>
          <w:lang w:val="en-GB"/>
        </w:rPr>
        <w:t>, oft durch Verschiebung auf Kleinstes, Indifferentes, Eine Tendenz zur intakten Herstellung der verdrängten Vorstellung ist meist unverkennbar. Das Mißglücken in der Verdrängung des quantitativen, affektiven Faktors bringt denselben Mechanismus der Flucht durch Vermeidungen und Verbote ins Spiel, den wir bei der Bildung der hysterischen Phobie kennengelernt haben. Die Abweisung der Vorstellung vom Bewußten wird aber hartnäckig festgehalten, weil mit ihr die Abhaltung von der Aktion, die motorische Fesselung des Impulses, gegeben ist. So läuft die Verdrängungsarbeit der Zwangsneurose in ein erfolgloses und unabschließbares Ringen aus.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Aus der kleinen, hier vorgebrachten Vergleichsreihe kann man sich die Überzeugung holen, daß es noch umfassender Untersuchungen bedarf, ehe man hoffen kann, die mit der Verdrängung und neurotischen Symptombildung zusammenhängenden Vorgänge zu durchschauen. </w:t>
      </w:r>
      <w:r w:rsidRPr="008725BE">
        <w:rPr>
          <w:rFonts w:ascii="Garamond" w:hAnsi="Garamond"/>
          <w:color w:val="000000"/>
        </w:rPr>
        <w:t xml:space="preserve">Die außerordentliche Verschlungenheit aller in Betracht kommenden Momente läßt uns nur einen Weg zur Darstellung frei. </w:t>
      </w:r>
      <w:r w:rsidRPr="008725BE">
        <w:rPr>
          <w:rFonts w:ascii="Garamond" w:hAnsi="Garamond"/>
          <w:color w:val="000000"/>
          <w:lang w:val="en-GB"/>
        </w:rPr>
        <w:t>Wir müssen bald den einen, bald den anderen Gesichtspunkt herausgreifen und ihn durch das Material hindurchverfolgen, solange seine Anwendung etwas zu leisten scheint. Jede einzelne dieser Bearbeitungen wird an sich unvollständig sein und dort Unklarheiten nicht vermeiden können, wo sie an das noch nicht Bearbeitete anrührt; wir dürfen aber hoffen, daß sich aus der endlichen Zusammensetzung ein gutes Verständnis ergeben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br w:type="page"/>
      </w:r>
    </w:p>
    <w:p w:rsidR="008725BE" w:rsidRPr="008725BE" w:rsidRDefault="00B437A1" w:rsidP="008725BE">
      <w:pPr>
        <w:pStyle w:val="Sansinterligne"/>
        <w:rPr>
          <w:rFonts w:ascii="Garamond" w:hAnsi="Garamond"/>
          <w:caps/>
          <w:color w:val="000000"/>
          <w:lang w:val="en-GB"/>
        </w:rPr>
      </w:pPr>
      <w:hyperlink w:anchor="KSinhalt" w:history="1">
        <w:r w:rsidR="008725BE" w:rsidRPr="008725BE">
          <w:rPr>
            <w:rStyle w:val="Lienhypertexte"/>
            <w:rFonts w:ascii="Garamond" w:hAnsi="Garamond" w:cs="Arial"/>
            <w:b/>
            <w:bCs/>
            <w:lang w:val="en-GB"/>
          </w:rPr>
          <w:t>Di</w:t>
        </w:r>
        <w:bookmarkStart w:id="162" w:name="KS27"/>
        <w:bookmarkEnd w:id="162"/>
        <w:r w:rsidR="008725BE" w:rsidRPr="008725BE">
          <w:rPr>
            <w:rStyle w:val="Lienhypertexte"/>
            <w:rFonts w:ascii="Garamond" w:hAnsi="Garamond" w:cs="Arial"/>
            <w:b/>
            <w:bCs/>
            <w:lang w:val="en-GB"/>
          </w:rPr>
          <w:t>e Verneinung</w:t>
        </w:r>
      </w:hyperlink>
      <w:r w:rsidR="008725BE" w:rsidRPr="008725BE">
        <w:rPr>
          <w:rFonts w:ascii="Garamond" w:hAnsi="Garamond"/>
          <w:color w:val="000000"/>
          <w:lang w:val="en-GB"/>
        </w:rPr>
        <w:t xml:space="preserve">  </w:t>
      </w:r>
      <w:r w:rsidR="008725BE" w:rsidRPr="008725BE">
        <w:rPr>
          <w:rFonts w:ascii="Garamond" w:hAnsi="Garamond"/>
          <w:caps/>
          <w:color w:val="000000"/>
          <w:lang w:val="en-GB"/>
        </w:rPr>
        <w:t>(1925)</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Art, wie unsere Patienten ihre Einfälle während der analytischen Arbeit vorbringen, gibt uns Anlaß zu einigen interessanten Beobachtungen. »Sie werden jetzt denken, ich will etwas Beleidigendes sagen, aber ich habe wirklich nicht diese Absicht.« Wir verstehen, das ist die Abweisung eines eben auftauchenden Einfalles durch Projektion. Oder: »Sie fragen, wer diese Person im Traum sein kann. Die Mutter ist es </w:t>
      </w:r>
      <w:r w:rsidRPr="008725BE">
        <w:rPr>
          <w:rFonts w:ascii="Garamond" w:hAnsi="Garamond"/>
          <w:i/>
          <w:iCs/>
          <w:color w:val="000000"/>
          <w:lang w:val="en-GB"/>
        </w:rPr>
        <w:t>nicht</w:t>
      </w:r>
      <w:r w:rsidRPr="008725BE">
        <w:rPr>
          <w:rFonts w:ascii="Garamond" w:hAnsi="Garamond"/>
          <w:color w:val="000000"/>
          <w:lang w:val="en-GB"/>
        </w:rPr>
        <w:t>.« Wir berichtigen: »Also ist es die Mutter.« Wir nehmen uns die Freiheit, bei der Deutung von der Verneinung abzusehen und den reinen Inhalt des Einfalls herauszugreifen. Es ist so, als ob der Patient gesagt hätte: »Mir ist zwar die Mutter zu dieser Person eingefallen, aber ich habe keine Lust, diesen Einfall gelten zu lassen.«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Gelegentlich kann man sich eine gesuchte Aufklärung über das unbewußte Verdrängte auf eine sehr bequeme Weise verschaffen. Man fragt: »Was halten Sie wohl für das Allerunwahrscheinlichste in jener Situation? Was, meinen Sie, ist Ihnen damals am fernsten gelegen?« Geht der Patient in die Falle und nennt das, woran er am wenigsten glauben kann, so hat er damit fast immer das Richtige zugestanden. Ein hübsches Gegenstück zu diesem Versuch stellt sich oft beim Zwangsneurotiker her, der bereits in das Verständnis seiner Symptome eingeführt worden ist. »Ich habe eine neue Zwangsvorstellung bekommen. Mir ist sofort dazu eingefallen, sie könnte dies Bestimmte bedeuten. Aber nein, das kann ja nicht wahr sein, sonst hätte es mir nicht einfallen können.« Was er mit dieser der Kur abgelauschten Begründung verwirft, ist natürlich der richtige Sinn der neuen Zwangsvorstellung.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 verdrängter Vorstellungs- oder Gedankeninhalt kann also zum Bewußtsein durchdringen, unter der Bedingung, daß er sich </w:t>
      </w:r>
      <w:r w:rsidRPr="008725BE">
        <w:rPr>
          <w:rFonts w:ascii="Garamond" w:hAnsi="Garamond"/>
          <w:i/>
          <w:iCs/>
          <w:color w:val="000000"/>
          <w:lang w:val="en-GB"/>
        </w:rPr>
        <w:t>verneinen</w:t>
      </w:r>
      <w:r w:rsidRPr="008725BE">
        <w:rPr>
          <w:rFonts w:ascii="Garamond" w:hAnsi="Garamond"/>
          <w:color w:val="000000"/>
          <w:lang w:val="en-GB"/>
        </w:rPr>
        <w:t xml:space="preserve"> läßt. Die Verneinung ist eine Art, das Verdrängte zur Kenntnis zu nehmen, eigentlich schon eine Aufhebung der Verdrängung, aber freilich keine Annahme des Verdrängten. Man sieht, wie sich hier die intellektuelle Funktion vom affektiven Vorgang scheidet. Mit Hilfe der Verneinung wird nur die eine Folge des Verdrängungsvorganges rückgängig gemacht, daß dessen Vorstellungsinhalt nicht zum Bewußtsein gelangt. Es resultiert daraus eine Art von intellektueller Annahme des Verdrängten bei Fortbestand des Wesentlichen an der Verdrängung </w:t>
      </w:r>
      <w:hyperlink r:id="rId78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Derselbe Vorgang liegt dem bekannten Vorgang des »Berufens« zugrunde. »Wie schön, daß ich meine Migräne so lange nicht gehabt habe!« Das ist aber die erste Ankündigung des Anfalls, dessen Herannahen man bereits verspürt, aber noch nicht glauben will.</w:t>
        </w:r>
      </w:hyperlink>
      <w:r w:rsidRPr="008725BE">
        <w:rPr>
          <w:rFonts w:ascii="Garamond" w:hAnsi="Garamond"/>
          <w:color w:val="000000"/>
          <w:lang w:val="en-GB"/>
        </w:rPr>
        <w:t>. Im Verlauf der analytischen Arbeit schaffen wir oft eine andere, sehr wichtige und ziemlich befremdende Abänderung derselben Situation. Es gelingt uns, auch die Verneinung zu besiegen und die volle intellektuelle Annahme des Verdrängten durchzusetzen –; der Verdrängungsvorgang selbst ist damit noch nicht aufgehoben.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 es die Aufgabe der intellektuellen Urteilsfunktion ist, Gedankeninhalte zu bejahen oder zu verneinen, haben uns die vorstehenden Bemerkungen zum psychologischen Ursprung dieser Funktion geführt. Etwas im Urteil verneinen, heißt im Grunde: »Das ist etwas, was ich am liebsten verdrängen möchte.« Die Verurteilung ist der intellektuelle Ersatz der Verdrängung, ihr »Nein« ein Merkzeichen derselben, ein Ursprungszertifikat etwa wie das » </w:t>
      </w:r>
      <w:r w:rsidRPr="008725BE">
        <w:rPr>
          <w:rFonts w:ascii="Garamond" w:hAnsi="Garamond"/>
          <w:i/>
          <w:iCs/>
          <w:color w:val="000000"/>
          <w:lang w:val="en-GB"/>
        </w:rPr>
        <w:t>made in Germany</w:t>
      </w:r>
      <w:r w:rsidRPr="008725BE">
        <w:rPr>
          <w:rFonts w:ascii="Garamond" w:hAnsi="Garamond"/>
          <w:color w:val="000000"/>
          <w:lang w:val="en-GB"/>
        </w:rPr>
        <w:t>«. Vermittels des Verneinungssymbols macht sich das Denken von den Einschränkungen der Verdrängung frei und bereichert sich um Inhalte, deren es für seine Leistung nicht entbehren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Urteilsfunktion hat im wesentlichen zwei Entscheidungen zu treffen. Sie soll einem Ding eine Eigenschaft zu- oder absprechen, und sie soll einer Vorstellung die Existenz in der Realität zugestehen oder bestreiten. Die Eigenschaft, über die entschieden werden soll, könnte ursprünglich gut oder schlecht, nützlich oder schädlich gewesen sein. In der Sprache der ältesten, oralen Triebregungen ausgedrückt: »Das will ich essen oder will es ausspucken«, und in weitergehender Übertragung: »Das will ich in mich einführen und das aus mir ausschließen.« Also: »Es soll in mir oder außer mir sein.« Das ursprüngliche Lust-Ich will, wie ich an anderer Stelle ausgeführt habe, alles Gute sich introjizieren, alles Schlechte von sich werfen. Das Schlechte, das dem Ich Fremde, das Außenbefindliche, ist ihm zunächst identisch </w:t>
      </w:r>
      <w:hyperlink r:id="rId78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hiezu die Ausführungen in ›Triebe und Triebschicksale‹.</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andere der Entscheidungen der Urteilsfunktion, die über die reale Existenz eines vorgestellten Dinges, ist ein Interesse des endgültigen Real-Ichs, das sich aus dem anfänglichen Lust-Ich entwickelt. (Realitätsprüfung.) Nun handelt es sich nicht mehr darum, ob etwas Wahrgenommenes (ein Ding) ins Ich aufgenommen werden soll oder nicht, sondern ob etwas im Ich als Vorstellung Vorhandenes auch in der Wahrnehmung (Realität) wiedergefunden werden kann. </w:t>
      </w:r>
      <w:r w:rsidRPr="008725BE">
        <w:rPr>
          <w:rFonts w:ascii="Garamond" w:hAnsi="Garamond"/>
          <w:color w:val="000000"/>
        </w:rPr>
        <w:t xml:space="preserve">Es ist, wie man sieht, wieder eine Frage des </w:t>
      </w:r>
      <w:r w:rsidRPr="008725BE">
        <w:rPr>
          <w:rFonts w:ascii="Garamond" w:hAnsi="Garamond"/>
          <w:i/>
          <w:iCs/>
          <w:color w:val="000000"/>
        </w:rPr>
        <w:t>Außen und Innen</w:t>
      </w:r>
      <w:r w:rsidRPr="008725BE">
        <w:rPr>
          <w:rFonts w:ascii="Garamond" w:hAnsi="Garamond"/>
          <w:color w:val="000000"/>
        </w:rPr>
        <w:t xml:space="preserve">. </w:t>
      </w:r>
      <w:r w:rsidRPr="008725BE">
        <w:rPr>
          <w:rFonts w:ascii="Garamond" w:hAnsi="Garamond"/>
          <w:color w:val="000000"/>
          <w:lang w:val="en-GB"/>
        </w:rPr>
        <w:t xml:space="preserve">Das Nichtreale, bloß Vorgestellte, Subjektive, ist nur innen; das andere, Reale, auch im </w:t>
      </w:r>
      <w:r w:rsidRPr="008725BE">
        <w:rPr>
          <w:rFonts w:ascii="Garamond" w:hAnsi="Garamond"/>
          <w:i/>
          <w:iCs/>
          <w:color w:val="000000"/>
          <w:lang w:val="en-GB"/>
        </w:rPr>
        <w:t>Draußen</w:t>
      </w:r>
      <w:r w:rsidRPr="008725BE">
        <w:rPr>
          <w:rFonts w:ascii="Garamond" w:hAnsi="Garamond"/>
          <w:color w:val="000000"/>
          <w:lang w:val="en-GB"/>
        </w:rPr>
        <w:t xml:space="preserve"> vorhanden. In dieser Entwicklung ist die Rücksicht auf das Lustprinzip beiseite gesetzt worden. Die Erfahrung hat gelehrt, es ist nicht nur wichtig, ob ein Ding (Befriedigungsobjekt) die »gute« Eigenschaft </w:t>
      </w:r>
      <w:r w:rsidRPr="008725BE">
        <w:rPr>
          <w:rFonts w:ascii="Garamond" w:hAnsi="Garamond"/>
          <w:color w:val="000000"/>
          <w:lang w:val="en-GB"/>
        </w:rPr>
        <w:lastRenderedPageBreak/>
        <w:t xml:space="preserve">besitzt, also die Aufnahme ins Ich verdient, sondern auch, ob es in der Außenwelt da ist, so daß man sich seiner nach Bedürfnis bemächtigen kann. Um diesen Fortschritt zu verstehen, muß man sich daran erinnern, daß alle Vorstellungen von Wahrnehmungen stammen, Wiederholungen derselben sind. Ursprünglich ist also schon die Existenz der Vorstellung eine Bürgschaft für die Realität des Vorgestellten. Der Gegensatz zwischen Subjektivem und Objektivem besteht nicht von Anfang an. Er stellt sich erst dadurch her, daß das Denken die Fähigkeit besitzt, etwas einmal Wahrgenommenes durch Reproduktion in der Vorstellung wieder gegenwärtig zu machen, während das Objekt draußen nicht mehr vorhanden zu sein braucht. Der erste und nächste Zweck der Realitätsprüfung ist also nicht, ein dem Vorgestellten entsprechendes Objekt in der realen Wahrnehmung zu finden, sondern es </w:t>
      </w:r>
      <w:r w:rsidRPr="008725BE">
        <w:rPr>
          <w:rFonts w:ascii="Garamond" w:hAnsi="Garamond"/>
          <w:i/>
          <w:iCs/>
          <w:color w:val="000000"/>
          <w:lang w:val="en-GB"/>
        </w:rPr>
        <w:t>wiederzufinden</w:t>
      </w:r>
      <w:r w:rsidRPr="008725BE">
        <w:rPr>
          <w:rFonts w:ascii="Garamond" w:hAnsi="Garamond"/>
          <w:color w:val="000000"/>
          <w:lang w:val="en-GB"/>
        </w:rPr>
        <w:t>, sich zu überzeugen, daß es noch vorhanden ist. Ein weiterer Beitrag zur Entfremdung zwischen dem Subjektiven und dem Objektiven rührt von einer anderen Fähigkeit des Denkvermögens her. Die Reproduktion der Wahrnehmung in der Vorstellung ist nicht immer deren getreue Wiederholung; sie kann durch Weglassungen modifiziert, durch Verschmelzungen verschiedener Elemente verändert sein. Die Realitätsprüfung hat dann zu kontrollieren, wie weit diese Entstellungen reichen. Man erkennt aber als Bedingung für die Einsetzung der Realitätsprüfung, daß Objekte verlorengegangen sind, die einst reale Befriedigung gebracht hatten.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Urteilen ist die intellektuelle Aktion, die über die Wahl der motorischen Aktion entscheidet, dem Denkaufschub ein Ende setzt und vom Denken zum Handeln überleitet. Auch über den Denkaufschub habe ich bereits an anderer Stelle gehandelt. Er ist als eine Probeaktion zu betrachten, ein motorisches Tasten mit geringen Abfuhraufwänden. Besinnen wir uns: Wo hatte das Ich ein solches Tasten vorher geübt, an welcher Stelle die Technik erlernt, die es jetzt bei den Denkvorgängen anwendet? Dies geschah am sensorischen Ende des seelischen Apparats, bei den Sinneswahrnehmungen. Nach unserer Annahme ist ja die Wahrnehmung kein rein passiver Vorgang, sondern das Ich schickt periodisch kleine Besetzungsmengen in das Wahrnehmungssystem, mittels deren es die äußeren Reize verkostet, um sich nach jedem solchen tastenden Vorstoß wieder zurückzuziehen.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Studium des Urteils eröffnet uns vielleicht zum erstenmal die Einsicht in die Entstehung einer intellektuellen Funktion aus dem Spiel der primären Triebregungen. Das Urteilen ist die zweckmäßige Fortentwicklung der ursprünglich nach dem Lustprinzip erfolgten Einbeziehung ins Ich oder Ausstoßung aus dem Ich. </w:t>
      </w:r>
      <w:r w:rsidRPr="008725BE">
        <w:rPr>
          <w:rFonts w:ascii="Garamond" w:hAnsi="Garamond"/>
          <w:color w:val="000000"/>
        </w:rPr>
        <w:t xml:space="preserve">Seine Polarität scheint der Gegensätzlichkeit der beiden von uns angenommenen Triebgruppen zu entsprechen. </w:t>
      </w:r>
      <w:r w:rsidRPr="008725BE">
        <w:rPr>
          <w:rFonts w:ascii="Garamond" w:hAnsi="Garamond"/>
          <w:color w:val="000000"/>
          <w:lang w:val="en-GB"/>
        </w:rPr>
        <w:t>Die Bejahung –; als Ersatz der Vereinigung –; gehört dem Eros an, die Verneinung –; Nachfolge der Ausstoßung –; dem Destruktionstrieb. Die allgemeine Verneinungslust, der Negativismus mancher Psychotiker ist wahrscheinlich als Anzeichen der Triebentmischung durch Abzug der libidinösen Komponenten zu verstehen. Die Leistung der Urteilsfunktion wird aber erst dadurch ermöglicht, daß die Schöpfung des Verneinungssymbols dem Denken einen ersten Grad von Unabhängigkeit von den Erfolgen der Verdrängung und somit auch vom Zwang des Lustprinzips gestattet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Zu dieser Auffassung der Verneinung stimmt es sehr gut, daß man in der Analyse kein »Nein« aus dem Unbewußten auffindet und daß die Anerkennung des Unbewußten von Seiten des Ichs sich in einer negativen Formel ausdrückt. Kein stärkerer Beweis für die gelungene Aufdeckung des Unbewußten, als wenn der Analysierte mit dem Satze: » </w:t>
      </w:r>
      <w:r w:rsidRPr="008725BE">
        <w:rPr>
          <w:rFonts w:ascii="Garamond" w:hAnsi="Garamond"/>
          <w:i/>
          <w:iCs/>
          <w:color w:val="000000"/>
          <w:lang w:val="en-GB"/>
        </w:rPr>
        <w:t>Das habe ich nicht gedacht</w:t>
      </w:r>
      <w:r w:rsidRPr="008725BE">
        <w:rPr>
          <w:rFonts w:ascii="Garamond" w:hAnsi="Garamond"/>
          <w:color w:val="000000"/>
          <w:lang w:val="en-GB"/>
        </w:rPr>
        <w:t xml:space="preserve">«, oder: » </w:t>
      </w:r>
      <w:r w:rsidRPr="008725BE">
        <w:rPr>
          <w:rFonts w:ascii="Garamond" w:hAnsi="Garamond"/>
          <w:i/>
          <w:iCs/>
          <w:color w:val="000000"/>
          <w:lang w:val="en-GB"/>
        </w:rPr>
        <w:t>Daran habe ich nicht (nie) gedacht</w:t>
      </w:r>
      <w:r w:rsidRPr="008725BE">
        <w:rPr>
          <w:rFonts w:ascii="Garamond" w:hAnsi="Garamond"/>
          <w:color w:val="000000"/>
          <w:lang w:val="en-GB"/>
        </w:rPr>
        <w:t>«, darauf reagiert.</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aps/>
          <w:color w:val="000000"/>
        </w:rPr>
      </w:pPr>
      <w:r w:rsidRPr="005C1841">
        <w:rPr>
          <w:rFonts w:ascii="Garamond" w:hAnsi="Garamond"/>
          <w:color w:val="000000"/>
        </w:rPr>
        <w:br w:type="page"/>
      </w:r>
      <w:hyperlink w:anchor="KSinhalt" w:history="1">
        <w:r w:rsidRPr="008725BE">
          <w:rPr>
            <w:rStyle w:val="Lienhypertexte"/>
            <w:rFonts w:ascii="Garamond" w:hAnsi="Garamond" w:cs="Arial"/>
            <w:b/>
            <w:bCs/>
          </w:rPr>
          <w:t>Di</w:t>
        </w:r>
        <w:bookmarkStart w:id="163" w:name="KS28"/>
        <w:bookmarkEnd w:id="163"/>
        <w:r w:rsidRPr="008725BE">
          <w:rPr>
            <w:rStyle w:val="Lienhypertexte"/>
            <w:rFonts w:ascii="Garamond" w:hAnsi="Garamond" w:cs="Arial"/>
            <w:b/>
            <w:bCs/>
          </w:rPr>
          <w:t>e zukünftigen Chancen der psychoanalytischen Therapie</w:t>
        </w:r>
      </w:hyperlink>
      <w:r w:rsidRPr="008725BE">
        <w:rPr>
          <w:rFonts w:ascii="Garamond" w:hAnsi="Garamond"/>
          <w:color w:val="000000"/>
        </w:rPr>
        <w:t xml:space="preserve">  </w:t>
      </w:r>
      <w:r w:rsidRPr="008725BE">
        <w:rPr>
          <w:rFonts w:ascii="Garamond" w:hAnsi="Garamond"/>
          <w:caps/>
          <w:color w:val="000000"/>
        </w:rPr>
        <w:t>(1910)</w:t>
      </w:r>
    </w:p>
    <w:p w:rsidR="008725BE" w:rsidRPr="008725BE" w:rsidRDefault="008725BE" w:rsidP="008725BE">
      <w:pPr>
        <w:pStyle w:val="Sansinterligne"/>
        <w:rPr>
          <w:rFonts w:ascii="Garamond" w:hAnsi="Garamond"/>
          <w:color w:val="000000"/>
        </w:rPr>
      </w:pPr>
      <w:r w:rsidRPr="008725BE">
        <w:rPr>
          <w:rFonts w:ascii="Garamond" w:hAnsi="Garamond"/>
          <w:color w:val="000000"/>
        </w:rPr>
        <w:t> </w:t>
      </w:r>
    </w:p>
    <w:p w:rsidR="008725BE" w:rsidRPr="008725BE" w:rsidRDefault="008725BE" w:rsidP="008725BE">
      <w:pPr>
        <w:pStyle w:val="Sansinterligne"/>
        <w:rPr>
          <w:rFonts w:ascii="Garamond" w:hAnsi="Garamond"/>
          <w:color w:val="000000"/>
        </w:rPr>
      </w:pPr>
      <w:r w:rsidRPr="008725BE">
        <w:rPr>
          <w:rFonts w:ascii="Garamond" w:hAnsi="Garamond"/>
          <w:color w:val="000000"/>
        </w:rPr>
        <w:t>Meine Herren! Da uns heute vorwiegend praktische Ziele zusammengeführt haben, werde auch ich ein praktisches Thema zum Gegenstand meines einführenden Vortrages wählen, nicht Ihr wissenschaftliches, sondern Ihr ärztliches Interesse anrufen. Ich halte mir vor, wie Sie wohl die Erfolge unserer Therapie beurteilen, und nehme an, daß die meisten von Ihnen die beiden Phasen der Anfängerschaft bereits durchgemacht haben, die des Entzückens über die ungeahnte Steigerung unserer therapeutischen Leistung und die der Depression über die Größe der Schwierigkeiten, die unseren Bemühungen im Wege stehen. Aber an welcher Stelle dieses Entwicklungsganges sich die einzelnen von Ihnen auch befinden mögen, ich habe heute vor, Ihnen zu zeigen, daß wir mit unseren Hilfsmitteln zur Bekämpfung der Neurosen keineswegs zu Ende sind und daß wir von der näheren Zukunft noch eine erhebliche Besserung unserer therapeutischen Chancen erwarten dürfen.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Von drei Seiten her, meine ich, wird uns die Verstärkung kommen: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(1) durch inneren Fortschritt,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(2) durch Zuwachs an Autorität,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(3) durch die Allgemeinwirkung unserer Arbeit.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Ad</w:t>
      </w:r>
      <w:r w:rsidRPr="008725BE">
        <w:rPr>
          <w:rFonts w:ascii="Garamond" w:hAnsi="Garamond"/>
          <w:color w:val="000000"/>
          <w:lang w:val="en-GB"/>
        </w:rPr>
        <w:t xml:space="preserve"> (1) Unter » </w:t>
      </w:r>
      <w:r w:rsidRPr="008725BE">
        <w:rPr>
          <w:rFonts w:ascii="Garamond" w:hAnsi="Garamond"/>
          <w:i/>
          <w:iCs/>
          <w:color w:val="000000"/>
          <w:lang w:val="en-GB"/>
        </w:rPr>
        <w:t>innerem Fortschritt</w:t>
      </w:r>
      <w:r w:rsidRPr="008725BE">
        <w:rPr>
          <w:rFonts w:ascii="Garamond" w:hAnsi="Garamond"/>
          <w:color w:val="000000"/>
          <w:lang w:val="en-GB"/>
        </w:rPr>
        <w:t xml:space="preserve">« verstehe ich den Fortschritt </w:t>
      </w:r>
      <w:r w:rsidRPr="008725BE">
        <w:rPr>
          <w:rFonts w:ascii="Garamond" w:hAnsi="Garamond"/>
          <w:i/>
          <w:iCs/>
          <w:color w:val="000000"/>
          <w:lang w:val="en-GB"/>
        </w:rPr>
        <w:t>(a)</w:t>
      </w:r>
      <w:r w:rsidRPr="008725BE">
        <w:rPr>
          <w:rFonts w:ascii="Garamond" w:hAnsi="Garamond"/>
          <w:color w:val="000000"/>
          <w:lang w:val="en-GB"/>
        </w:rPr>
        <w:t xml:space="preserve"> in unserem analytischen Wissen, </w:t>
      </w:r>
      <w:r w:rsidRPr="008725BE">
        <w:rPr>
          <w:rFonts w:ascii="Garamond" w:hAnsi="Garamond"/>
          <w:i/>
          <w:iCs/>
          <w:color w:val="000000"/>
          <w:lang w:val="en-GB"/>
        </w:rPr>
        <w:t>(b)</w:t>
      </w:r>
      <w:r w:rsidRPr="008725BE">
        <w:rPr>
          <w:rFonts w:ascii="Garamond" w:hAnsi="Garamond"/>
          <w:color w:val="000000"/>
          <w:lang w:val="en-GB"/>
        </w:rPr>
        <w:t> in unserer Technik.</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(a)</w:t>
      </w:r>
      <w:r w:rsidRPr="008725BE">
        <w:rPr>
          <w:rFonts w:ascii="Garamond" w:hAnsi="Garamond"/>
          <w:color w:val="000000"/>
          <w:lang w:val="en-GB"/>
        </w:rPr>
        <w:t xml:space="preserve"> Zum Fortschritt unseres Wissens: Wir wissen natürlich lange noch nicht alles, was wir zum Verständnis des Unbewußten bei unseren Kranken brauchen. Nun ist es klar, daß jeder Fortschritt unseres Wissens einen Machtzuwachs für unsere Therapie bedeutet. Solange wir nichts verstanden haben, haben wir auch nichts ausgerichtet; je mehr wir verstehen lernen, desto mehr werden wir leisten. In ihren Anfängen war die psychoanalytische Kur unerbittlich und erschöpfend. </w:t>
      </w:r>
      <w:r w:rsidRPr="008725BE">
        <w:rPr>
          <w:rFonts w:ascii="Garamond" w:hAnsi="Garamond"/>
          <w:color w:val="000000"/>
        </w:rPr>
        <w:t xml:space="preserve">Der Patient mußte alles selbst sagen, und die Tätigkeit des Arztes bestand darin, ihn unausgesetzt zu drängen. Heute sieht es freundlicher aus. Die Kur besteht aus zwei Stücken, aus dem, was der Arzt errät und dem Kranken sagt, und aus der Verarbeitung dessen, was er gehört hat, von Seiten des Kranken. Der Mechanismus unserer Hilfeleistung ist ja leicht zu verstehen; wir geben dem Kranken die bewußte Erwartungsvorstellung, nach deren Ähnlichkeit er die verdrängte, unbewußte bei sich auffindet. </w:t>
      </w:r>
      <w:r w:rsidRPr="008725BE">
        <w:rPr>
          <w:rFonts w:ascii="Garamond" w:hAnsi="Garamond"/>
          <w:color w:val="000000"/>
          <w:lang w:val="en-GB"/>
        </w:rPr>
        <w:t xml:space="preserve">Das ist die intellektuelle Hilfe, die ihm die Überwindung der Widerstände zwischen Bewußtem und Unbewußtem erleichtert. Ich bemerke Ihnen nebenbei, es ist nicht der einzige Mechanismus, der in der analytischen Kur verwendet wird; Sie kennen ja alle den weit kräftigeren, der in der Verwendung der »Übertragung« liegt. Ich werde mich bemühen, alle diese für das Verständnis der Kur wichtigen Verhältnisse demnächst in einer </w:t>
      </w:r>
      <w:r w:rsidRPr="008725BE">
        <w:rPr>
          <w:rFonts w:ascii="Garamond" w:hAnsi="Garamond"/>
          <w:i/>
          <w:iCs/>
          <w:color w:val="000000"/>
          <w:lang w:val="en-GB"/>
        </w:rPr>
        <w:t>Allgemeinen Methodik der Psychoanalyse</w:t>
      </w:r>
      <w:r w:rsidRPr="008725BE">
        <w:rPr>
          <w:rFonts w:ascii="Garamond" w:hAnsi="Garamond"/>
          <w:color w:val="000000"/>
          <w:lang w:val="en-GB"/>
        </w:rPr>
        <w:t xml:space="preserve"> zu behandeln. Auch brauche ich bei Ihnen den Einwand nicht zurückzuweisen, daß in der heutigen Praxis der Kur die Beweiskraft für die Richtigkeit unserer Voraussetzungen verdunkelt wird; Sie vergessen nicht, daß diese Beweise anderswo zu finden sind und daß ein therapeutischer Eingriff nicht so geführt werden kann wie eine theoretische Untersuchung.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Lassen Sie mich nun einige Gebiete streifen, auf denen wir Neues zu lernen haben und wirklich täglich Neues erfahren. Da ist vor allem das der Symbolik im Traum und im Unbewußten. Ein hart bestrittenes Thema, wie Sie wissen! Es ist kein geringes Verdienst unseres Kollegen W. Stekel, daß er unbekümmert um den Einspruch all der Gegner sich in das Studium der Traumsymbole begeben hat. Da ist wirklich noch viel zu lernen; meine 1899 niedergeschriebene </w:t>
      </w:r>
      <w:r w:rsidRPr="008725BE">
        <w:rPr>
          <w:rFonts w:ascii="Garamond" w:hAnsi="Garamond"/>
          <w:i/>
          <w:iCs/>
          <w:color w:val="000000"/>
          <w:lang w:val="en-GB"/>
        </w:rPr>
        <w:t>Traumdeutung</w:t>
      </w:r>
      <w:r w:rsidRPr="008725BE">
        <w:rPr>
          <w:rFonts w:ascii="Garamond" w:hAnsi="Garamond"/>
          <w:color w:val="000000"/>
          <w:lang w:val="en-GB"/>
        </w:rPr>
        <w:t xml:space="preserve"> erwartet vom Studium der Symbolik wichtige Ergänzungen.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Über eines dieser neuerkannten Symbole möchte ich Ihnen einige Worte sagen: Vor einiger Zeit wurde es mir bekannt, daß ein uns fernerstehender Psychologe sich an einen von uns mit der Bemerkung gewendet, wir überschätzten doch gewiß die geheime sexuelle Bedeutung der Träume. Sein häufigster Traum sei, eine Stiege hinaufzusteigen, und da sei doch gewiß nichts Sexuelles dahinter. Durch diesen Einwand aufmerksam gemacht, haben wir dem Vorkommen von Stiegen, Treppen, Leitern im Traume Aufmerksamkeit geschenkt und konnten bald feststellen, daß die Stiege (und was ihr analog ist) ein sicheres Koitussymbol darstellt. Die Grundlage der Vergleichung ist nicht schwer aufzufinden; in rhythmischen Absätzen, unter zunehmender Atemnot kommt man auf eine Höhe und kann dann in ein paar raschen Sprüngen wieder unten sein. So findet sich der Rhythmus des Koitus im Stiegensteigen wieder. Vergessen wir nicht den Sprachgebrauch heranzuziehen. Er zeigt uns, daß das »Steigen« ohne weiteres als Ersatzbezeichnung der sexuellen Aktion gebraucht wird. </w:t>
      </w:r>
      <w:r w:rsidRPr="008725BE">
        <w:rPr>
          <w:rFonts w:ascii="Garamond" w:hAnsi="Garamond"/>
          <w:color w:val="000000"/>
        </w:rPr>
        <w:t xml:space="preserve">Man pflegt zu sagen, der Mann ist ein »Steiger«, »nachsteigen«. Im Französischen heißt die Stufe der Treppe: </w:t>
      </w:r>
      <w:r w:rsidRPr="008725BE">
        <w:rPr>
          <w:rFonts w:ascii="Garamond" w:hAnsi="Garamond"/>
          <w:i/>
          <w:iCs/>
          <w:color w:val="000000"/>
        </w:rPr>
        <w:t>la marche</w:t>
      </w:r>
      <w:r w:rsidRPr="008725BE">
        <w:rPr>
          <w:rFonts w:ascii="Garamond" w:hAnsi="Garamond"/>
          <w:color w:val="000000"/>
        </w:rPr>
        <w:t xml:space="preserve">; » </w:t>
      </w:r>
      <w:r w:rsidRPr="008725BE">
        <w:rPr>
          <w:rFonts w:ascii="Garamond" w:hAnsi="Garamond"/>
          <w:i/>
          <w:iCs/>
          <w:color w:val="000000"/>
        </w:rPr>
        <w:t>un vieux marcheur</w:t>
      </w:r>
      <w:r w:rsidRPr="008725BE">
        <w:rPr>
          <w:rFonts w:ascii="Garamond" w:hAnsi="Garamond"/>
          <w:color w:val="000000"/>
        </w:rPr>
        <w:t xml:space="preserve">« deckt sich ganz mit unserem »ein alter Steiger«. Das Traummaterial, aus dem diese neu erkannten Symbole </w:t>
      </w:r>
      <w:r w:rsidRPr="008725BE">
        <w:rPr>
          <w:rFonts w:ascii="Garamond" w:hAnsi="Garamond"/>
          <w:color w:val="000000"/>
        </w:rPr>
        <w:lastRenderedPageBreak/>
        <w:t xml:space="preserve">stammen, wird Ihnen seinerzeit von dem Komitee zur Sammelforschung über Symbolik, welches wir einsetzen sollen, vorgelegt werden. Über ein anderes interessantes Symbol, das des »Rettens« und dessen Bedeutungswandel, werden Sie im zweiten Band unseres </w:t>
      </w:r>
      <w:r w:rsidRPr="008725BE">
        <w:rPr>
          <w:rFonts w:ascii="Garamond" w:hAnsi="Garamond"/>
          <w:i/>
          <w:iCs/>
          <w:color w:val="000000"/>
        </w:rPr>
        <w:t>Jahrbuches</w:t>
      </w:r>
      <w:r w:rsidRPr="008725BE">
        <w:rPr>
          <w:rFonts w:ascii="Garamond" w:hAnsi="Garamond"/>
          <w:color w:val="000000"/>
        </w:rPr>
        <w:t xml:space="preserve"> Angaben finden. </w:t>
      </w:r>
      <w:r w:rsidRPr="008725BE">
        <w:rPr>
          <w:rFonts w:ascii="Garamond" w:hAnsi="Garamond"/>
          <w:color w:val="000000"/>
          <w:lang w:val="en-GB"/>
        </w:rPr>
        <w:t>Aber ich muß hier abbrechen, sonst komme ich nicht zu den anderen Punkten.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Jeder einzelne von Ihnen wird sich aus seiner Erfahrung überzeugen, wie ganz anders er einem neuen Falle gegenübersteht, wenn er erst das Gefüge einiger typischer Krankheitsfälle durchschaut hat. Nehmen Sie nun an, daß wir das Gesetzmäßige im Aufbau der verschiedenen Formen von Neurosen in ähnlicher Weise in knappe Formeln gebannt hätten, wie es uns bis jetzt für die hysterische Symptombildung gelungen ist, wie gesichert würde dadurch unser prognostisches Urteil. Ja, wie der Geburtshelfer durch die Inspektion der Placenta erfährt, ob sie vollständig ausgestoßen wurde oder ob noch schädliche Reste zurückgeblieben sind, so würden wir unabhängig vom Erfolg und jeweiligen Befinden des Kranken sagen können, ob uns die Arbeit endgültig gelungen ist oder ob wir auf Rückfälle und neuerliche Erkrankung gefaßt sein müssen.</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(b)</w:t>
      </w:r>
      <w:r w:rsidRPr="008725BE">
        <w:rPr>
          <w:rFonts w:ascii="Garamond" w:hAnsi="Garamond"/>
          <w:color w:val="000000"/>
          <w:lang w:val="en-GB"/>
        </w:rPr>
        <w:t xml:space="preserve"> Ich eile zu den Neuerungen auf dem Gebiete der Technik, wo wirklich das meiste noch seiner definitiven Feststellung harrt und vieles eben jetzt klar zu werden beginnt. Die psychoanalytische Technik setzt sich jetzt zweierlei Ziele, dem Arzt Mühe zu ersparen und dem Kranken den uneingeschränktesten Zugang zu seinem Unbewußten zu eröffnen. Sie wissen, in unserer Technik hat eine prinzipielle Wandlung stattgefunden. Zur Zeit der kathartischen Kur setzten wir uns die Aufklärung der Symptome zum Ziel, dann wandten wir uns von den Symptomen ab und setzten die Aufdeckung der »Komplexe« –; nach dem unentbehrlich gewordenen Wort von Jung –; als Ziel an die Stelle; jetzt richten wir aber die Arbeit direkt auf die Auffindung und Überwindung der »Widerstände« und vertrauen mit Recht darauf, daß die Komplexe sich mühelos ergeben werden, sowie die Widerstände erkannt und beseitigt sind. Bei manchem von Ihnen hat sich seither das Bedürfnis gezeigt, diese Widerstände übersehen und klassifizieren zu können. Ich bitte Sie nun, an Ihrem Material nachzuprüfen, ob Sie folgende Zusammenfassung bestätigen können: Bei männlichen Patienten scheinen die bedeutsamsten Kurwiderstände vom Vaterkomplex auszugehen und sich in Furcht vor dem Vater, Trotz gegen den Vater und Unglauben gegen den Vater aufzulösen.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Andere Neuerungen der Technik betreffen die Person des Arztes selbst. Wir sind auf die »Gegenübertragung« aufmerksam geworden, die sich beim Arzt durch den Einfluß des Patienten auf das unbewußte Fühlen des Arztes einstellt, und sind nicht weit davon, die Forderung zu erheben, daß der Arzt diese Gegenübertragung in sich erkennen und bewältigen müsse. Wir haben, seitdem eine größere Anzahl von Personen die Psychoanalyse üben und ihre Erfahrungen untereinander austauschen, bemerkt, daß jeder Psychoanalytiker nur so weit kommt, als seine eigenen Komplexe und inneren Widerstände es gestatten, und verlangen daher, daß er seine Tätigkeit mit einer Selbstanalyse beginne und diese, während er seine Erfahrungen an Kranken macht, fortlaufend vertiefe. Wer in einer solchen Selbstanalyse nichts zustande bringt, mag sich die Fähigkeit, Kranke analytisch zu behandeln, ohne weiteres absprechen.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nähern uns jetzt auch der Einsicht, daß die analytische Technik je nach der Krankheitsform und je nach den beim Patienten vorherrschenden Trieben gewisse Modifikationen erfahren muß. Von der Therapie der Konversionshysterie sind wir ja ausgegangen; bei der Angsthysterie (den Phobien) müssen wir unser Vorgehen etwas ändern. Diese Kranken können nämlich das für die Auflösung der Phobie entscheidende Material nicht bringen, solange sie sich durch die Einhaltung der phobischen Bedingung geschützt fühlen. Daß sie von Anfang der Kur an auf die Schutzvorrichtung verzichten und unter den Bedingungen der Angst arbeiten, erreicht man natürlich nicht. Man muß ihnen also so lange Hilfe durch Übersetzung ihres Unbewußten zuführen, bis sie sich entschließen können, auf den Schutz der Phobie zu verzichten, und sich einer nun sehr gemäßigten Angst aussetzen. Haben sie das getan, so wird jetzt erst das Material zugänglich, dessen Beherrschung zur Lösung der Phobie führt. Andere Modifikationen der Technik, die mir noch nicht spruchreif scheinen, werden in der Behandlung der Zwangsneurosen erforderlich sein. Ganz bedeutsame, noch nicht geklärte Fragen tauchen in diesem Zusammenhange auf, inwieweit den bekämpften Trieben des Kranken ein Stück Befriedigung während der Kur zu gestatten ist und welchen Unterschied es dabei macht, ob diese Triebe aktiver (sadistischer) oder passiver (masochistischer) Natur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hoffe, Sie werden den Eindruck erhalten haben, daß, wenn wir all das wüßten, was uns jetzt erst ahnt, und alle Verbesserungen der Technik durchgeführt haben werden, zu denen uns die vertiefte Erfahrung an unseren Kranken führen muß, daß unser ärztliches Handeln dann eine Präzision und Erfolgssicherheit erreichen wird, die nicht auf allen ärztlichen Spezialgebieten vorhanden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rPr>
      </w:pPr>
      <w:r w:rsidRPr="008725BE">
        <w:rPr>
          <w:rFonts w:ascii="Garamond" w:hAnsi="Garamond"/>
          <w:i/>
          <w:iCs/>
          <w:color w:val="000000"/>
          <w:lang w:val="en-GB"/>
        </w:rPr>
        <w:lastRenderedPageBreak/>
        <w:t>Ad</w:t>
      </w:r>
      <w:r w:rsidRPr="008725BE">
        <w:rPr>
          <w:rFonts w:ascii="Garamond" w:hAnsi="Garamond"/>
          <w:color w:val="000000"/>
          <w:lang w:val="en-GB"/>
        </w:rPr>
        <w:t xml:space="preserve"> (2) Ich sagte, wir hätten viel zu erwarten durch den Zuwachs an Autorität, der uns im Laufe der Zeit zufallen muß. Über die Bedeutung der Autorität brauche ich Ihnen nicht viel zu sagen. Die wenigsten Kulturmenschen sind fähig, ohne Anlehnung an andere zu existieren oder auch nur ein selbständiges Urteil zu fällen. Die Autoritätssucht und innere Haltlosigkeit der Menschen können Sie sich nicht arg genug vorstellen. </w:t>
      </w:r>
      <w:r w:rsidRPr="008725BE">
        <w:rPr>
          <w:rFonts w:ascii="Garamond" w:hAnsi="Garamond"/>
          <w:color w:val="000000"/>
        </w:rPr>
        <w:t>Die außerordentliche Vermehrung der Neurosen seit der Entkräftung der Religionen mag Ihnen einen Maßstab dafür geben. Die Verarmung des Ichs durch den großen Verdrängungsaufwand, den die Kultur von jedem Individuum fordert, mag eine der hauptsächlichsten Ursachen dieses Zustandes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US"/>
        </w:rPr>
        <w:t xml:space="preserve">Diese Autorität und die enorme von ihr ausgehende Suggestion war bisher gegen uns. Alle unsere therapeutischen Erfolge sind gegen diese Suggestion erzielt worden; es ist zu verwundern, daß unter solchen Verhältnissen überhaupt Erfolge zu gewinnen waren. </w:t>
      </w:r>
      <w:r w:rsidRPr="008725BE">
        <w:rPr>
          <w:rFonts w:ascii="Garamond" w:hAnsi="Garamond"/>
          <w:color w:val="000000"/>
          <w:lang w:val="en-GB"/>
        </w:rPr>
        <w:t>Ich will mich nicht so weit gehen lassen, Ihnen die Annehmlichkeiten jener Zeiten, da ich allein die Psychoanalyse vertrat, zu schildern. Ich weiß, die Kranken, denen ich die Versicherung gab, ich wüßte ihnen dauernde Abhilfe ihrer Leiden zu bringen, sahen sich in meiner bescheidenen Umgebung um, dachten an meinen geringen Ruf und Titel und betrachteten mich wie etwa einen Besitzer eines unfehlbaren Gewinnsystems an dem Orte einer Spielbank, gegen den man einwendet, wenn der Mensch das kann, so muß er selbst anders aussehen. Es war auch wirklich nicht bequem, psychische Operationen auszuführen, während der Kollege, der die Pflicht der Assistenz gehabt hätte, sich ein besonderes Vergnügen daraus machte, ins Operationsfeld zu spucken, und die Angehörigen den Operateur bedrohten, sobald es Blut oder unruhige Bewegungen bei dem Kranken gab. Eine Operation darf doch Reaktionserscheinungen machen; in der Chirurgie sind wir längst daran gewöhnt. Man glaubte mir einfach nicht, wie man heute noch uns allen wenig glaubt; unter solchen Bedingungen mußte mancher Eingriff mißlingen. Um die Vermehrung unserer therapeutischen Chancen zu ermessen, wenn sich das allgemeine Vertrauen uns zuwendet, denken Sie an die Stellung des Frauenarztes in der Türkei und im Abendlande. Alles, was dort der Frauenarzt tun darf, ist, an dem Arm, der ihm durch ein Loch in der Wand entgegengestreckt wird, den Puls zu fühlen. Einer solchen Unzugänglichkeit des Objektes entspricht auch die ärztliche Leistung; unsere Gegner im Abendlande wollen uns eine ungefähr ähnliche Verfügung über das Seelische unserer Kranken gestatten. Seitdem aber die Suggestion der Gesellschaft die kranke Frau zum Gynäkologen drängt, ist dieser der Helfer und Retter der Frau geworden. Sagen Sie nun nicht, wenn uns die Autorität der Gesellschaft zu Hilfe kommt und unsere Erfolge so sehr steigert, so wird dies nichts für die Richtigkeit unserer Voraussetzungen beweisen. Die Suggestion kann angeblich alles, und unsere Erfolge werden dann Erfolge der Suggestion sein und nicht der Psychoanalyse. Die Suggestion der Gesellschaft kommt doch jetzt den Wasser-, Diät- und elektrischen Kuren bei Nervösen entgegen, ohne daß es diesen Maßnahmen gelingt, die Neurosen zu bezwingen. Es wird sich zeigen, ob die psychoanalytischen Behandlungen mehr zu leisten vermögen.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Nun muß ich aber Ihre Erwartungen allerdings wieder dämpfen. Die Gesellschaft wird sich nicht beeilen, uns Autorität einzuräumen. Sie muß sich im Widerstande gegen uns befinden, denn wir verhalten uns kritisch gegen sie; wir weisen ihr nach, daß sie an der Verursachung der Neurosen selbst einen großen Anteil hat. Wie wir den einzelnen durch die Aufdeckung des in ihm Verdrängten zu unserem Feinde machen, so kann auch die Gesellschaft die rücksichtslose Bloßlegung ihrer Schäden und Unzulänglichkeiten nicht mit sympathischem Entgegenkommen beantworten; weil wir Illusionen zerstören, wirft man uns vor, daß wir die Ideale in Gefahr bringen. So scheint es also, daß die Bedingung, von der ich eine so große Förderung unserer therapeutischen Chancen erwarte, niemals eintreten wird. Und doch ist die Situation nicht so trostlos, wie man jetzt meinen sollte. So mächtig auch die Affekte und die Interessen der Menschen sein mögen, das Intellektuelle ist doch auch eine Macht. Nicht gerade diejenige, welche sich zuerst Geltung verschafft, aber um so sicherer am Ende. Die einschneidendsten Wahrheiten werden endlich gehört und anerkannt, nachdem die durch sie verletzten Interessen und die durch sie geweckten Affekte sich ausgetobt haben. Es ist bisher noch immer so gegangen, und die unerwünschten Wahrheiten, die wir Psychoanalytiker der Welt zu sagen haben, werden dasselbe Schicksal finden. Nur wird es nicht sehr rasch geschehen; wir müssen warten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Ad</w:t>
      </w:r>
      <w:r w:rsidRPr="008725BE">
        <w:rPr>
          <w:rFonts w:ascii="Garamond" w:hAnsi="Garamond"/>
          <w:color w:val="000000"/>
          <w:lang w:val="en-GB"/>
        </w:rPr>
        <w:t xml:space="preserve"> (3) Endlich muß ich Ihnen erklären, was ich unter der »Allgemeinwirkung« unserer Arbeit verstehe und wie ich dazu komme, Hoffnungen auf diese zu setzen. Es liegt da eine sehr merkwürdige therapeutische Konstellation vor, die sich in gleicher Weise vielleicht nirgendwo wiederfindet, die Ihnen auch zunächst befremdlich erscheinen wird, bis Sie etwas längst Vertrautes in ihr erkennen werden. Sie wissen doch, die Psychoneurosen sind entstellte Ersatzbefriedigungen von Trieben, deren Existenz man vor sich selbst und vor den anderen verleugnen muß. Ihre Existenzfähigkeit ruht auf dieser Entstellung </w:t>
      </w:r>
      <w:r w:rsidRPr="008725BE">
        <w:rPr>
          <w:rFonts w:ascii="Garamond" w:hAnsi="Garamond"/>
          <w:color w:val="000000"/>
          <w:lang w:val="en-GB"/>
        </w:rPr>
        <w:lastRenderedPageBreak/>
        <w:t>und Verkennung. Mit der Lösung des Rätsels, das sie bieten, und der Annahme dieser Lösung durch die Kranken werden diese Krankheitszustände existenzunfähig. Es gibt kaum etwas Ähnliches in der Medizin; in den Märchen hören Sie von bösen Geistern, deren Macht gebrochen ist, sobald man ihnen ihren geheimgehaltenen Namen sagen kann.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Nun setzen Sie an die Stelle des einzelnen Kranken die ganze an den Neurosen krankende, aus kranken und gesunden Personen bestehende Gesellschaft, an Stelle der Annahme der Lösung dort die allgemeine Anerkennung hier, so wird Ihnen eine kurze Überlegung zeigen, daß diese Ersetzung am Ergebnis nichts zu ändern vermag. </w:t>
      </w:r>
      <w:r w:rsidRPr="008725BE">
        <w:rPr>
          <w:rFonts w:ascii="Garamond" w:hAnsi="Garamond"/>
          <w:color w:val="000000"/>
        </w:rPr>
        <w:t>Der Erfolg, den die Therapie beim einzelnen haben kann, muß auch bei der Masse eintreten. Die Kranken können ihre verschiedenen Neurosen, ihre ängstliche Überzärtlichkeit, die den Haß verbergen soll, ihre Agoraphobie, die von ihrem enttäuschten Ehrgeiz erzählt, ihre Zwangshandlungen, die Vorwürfe wegen und Sicherungen gegen böse Vorsätze darstellen, nicht bekanntwerden lassen, wenn allen Angehörigen und Fremden, vor denen sie ihre Seelenvorgänge verbergen wollen, der allgemeine Sinn der Symptome bekannt ist und wenn sie selbst wissen, daß sie in den Krankheitserscheinungen nichts produzieren, was die anderen nicht sofort zu deuten verstehen. Die Wirkung wird sich aber nicht auf das –; übrigens häufig undurchführbare –; Verbergen der Symptome beschränken; denn durch dieses Verbergenmüssen wird das Kranksein unverwendbar. Die Mitteilung des Geheimnisses hat die »ätiologische Gleichung«, aus welcher die Neurosen hervorgehen, an ihrem heikelsten Punkte angegriffen, sie hat den Krankheitsgewinn illusorisch gemacht, und darum kann nichts anderes als die Einstellung der Krankheitsproduktion die endliche Folge der durch die Indiskretion des Arztes veränderten Sachlage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Erscheint Ihnen diese Hoffnung utopisch, so lassen Sie sich daran erinnern, daß Beseitigung neurotischer Phänomene auf diesem Wege wirklich bereits vorgekommen ist, wenngleich in ganz vereinzelten Fällen. </w:t>
      </w:r>
      <w:r w:rsidRPr="008725BE">
        <w:rPr>
          <w:rFonts w:ascii="Garamond" w:hAnsi="Garamond"/>
          <w:color w:val="000000"/>
          <w:lang w:val="en-GB"/>
        </w:rPr>
        <w:t>Denken Sie daran, wie häufig in früheren Zeiten die Halluzination der heiligen Jungfrau bei Bauernmädchen war. Solange eine solche Erscheinung einen großen Zulauf von Gläubigen, etwa noch die Erbauung einer Kapelle am Gnadenorte zur Folge hatte, war der visionäre Zustand dieser Mädchen einer Beeinflussung unzugänglich. Heute hat selbst die Geistlichkeit ihre Stellung zu diesen Erscheinungen verändert; sie gestattet, daß der Gendarm und der Arzt die Visionärin besuchen, und seitdem erscheint die Jungfrau nur sehr selten. Oder gestatten Sie, daß ich dieselben Vorgänge, die ich vorhin in die Zukunft verlegt habe, an einer analogen, aber erniedrigten und darum leichter übersehbaren Situation mit Ihnen studiere. Nehmen Sie an, ein aus Herren und Damen der guten Gesellschaft bestehender Kreis habe einen Tagesausflug nach einem im Grünen gelegenen Wirtshause verabredet. Die Damen haben miteinander ausgemacht, wenn eine von ihnen ein natürliches Bedürfnis befriedigen wolle, so werde sie laut sagen: sie gehe jetzt Blumen pflücken; ein Boshafter sei aber hinter dieses Geheimnis gekommen und habe auf das gedruckte und an die Teilnehmer verschickte Programm setzen lassen: Wenn die Damen auf die Seite gehen wollen, mögen sie sagen, sie gehen Blumen pflücken. Natürlich wird keine der Damen mehr sich dieser Verblümung bedienen wollen, und ebenso erschwert werden ähnliche, neu verabredete Formeln sein. Was wird die Folge sein? Die Damen werden sich ohne Scheu zu ihren natürlichen Bedürfnissen bekennen, und keiner der Herren wird daran Anstoß nehmen. Kehren wir zu unserem ernsthafteren Falle zurück. Soundso viele Menschen haben sich in Lebenskonflikten, deren Lösung ihnen allzu schwierig wurde, in die Neurose geflüchtet und dabei einen unverkennbaren, wenn auch auf die Dauer allzu kostspieligen Krankheitsgewinn erzielt. Was werden diese Menschen tun müssen, wenn ihnen die Flucht in die Krankheit durch die indiskreten Aufklärungen der Psychoanalyse versperrt wird? Sie werden ehrlich sein müssen, sich zu den in ihnen rege gewordenen Trieben bekennen, im Konflikt standhalten, werden kämpfen oder verzichten, und die Toleranz der Gesellschaft, die sich im Gefolge der psychoanalytischen Aufklärung unabwendbar einstellt, wird ihnen zu Hilfe kommen.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Erinnern wir uns aber, daß man dem Leben nicht als fanatischer Hygieniker oder Therapeut entgegentreten darf. Gestehen wir uns ein, daß diese ideale Verhütung der neurotischen Erkrankungen nicht allen einzelnen zum Vorteil gereichen wird. Eine gute Anzahl derer, die sich heute in die Krankheit flüchten, würde unter den von uns angenommenen Bedingungen den Konflikt nicht bestehen, sondern rasch zugrunde gehen oder ein Unheil anstiften, welches größer ist als ihre eigene neurotische Erkrankung. Die Neurosen haben eben ihre biologische Funktion als Schutzvorrichtung und ihre soziale Berechtigung; ihr »Krankheitsgewinn« ist nicht immer ein rein subjektiver. Wer von Ihnen hat nicht schon einmal hinter die Verursachung einer Neurose geblickt, die er als den mildesten Ausgang unter allen Möglichkeiten der Situation gelten lassen mußte? Und soll man wirklich gerade der Ausrottung der Neurosen so schwere Opfer bringen, wenn doch die Welt voll ist von anderem unabwendbaren Elend?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Sollen wir also unsere Bemühungen zur Aufklärung über den geheimen Sinn der Neurotik als im letzten Grunde gefährlich für den einzelnen und schädlich für den Betrieb der Gesellschaft aufgeben, darauf verzichten, aus einem Stück wissenschaftlicher Erkenntnis die praktische Folgerung zu ziehen? Nein, ich meine, unsere Pflicht geht doch nach der anderen Richtung. Der Krankheitsgewinn der Neurosen ist doch im ganzen und am Ende eine Schädigung für die einzelnen wie für die Gesellschaft. Das Unglück, das sich infolge unserer Aufklärungsarbeit ergeben kann, wird doch nur einzelne betreffen. Die Umkehr zu einem wahrheitsgemäßeren und würdigeren Zustand der Gesellschaft wird mit diesen Opfern nicht zu teuer erkauft sein. Vor allem aber: alle die Energien, die sich heute in der Produktion neurotischer Symptome im Dienste einer von der Wirklichkeit isolierten Phantasiewelt verzehren, werden, wenn sie schon nicht dem Leben zugute kommen können, doch den Schrei nach jenen Veränderungen in unserer Kultur verstärken helfen, in denen wir allein das Heil für die Nachkommenden erblicken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 möchte ich Sie denn mit der Versicherung entlassen, daß Sie in mehr als einem Sinne Ihre Pflicht tun, wenn Sie Ihre Kranken psychoanalytisch behandeln. Sie arbeiten nicht nur im Dienste der Wissenschaft, indem Sie die einzige und nie wiederkehrende Gelegenheit ausnützen, die Geheimnisse der Neurosen zu durchschauen; Sie geben nicht nur Ihrem Kranken die wirksamste Behandlung gegen seine Leiden, die uns heute zu Gebote steht; Sie leisten auch Ihren Beitrag zu jener Aufklärung der Masse, von der wir die gründlichste Prophylaxe der neurotischen Erkrankungen auf dem Umwege über die gesellschaftliche Autorität erwarten.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Do</w:t>
        </w:r>
        <w:bookmarkStart w:id="164" w:name="KS30"/>
        <w:bookmarkEnd w:id="164"/>
        <w:r w:rsidRPr="008725BE">
          <w:rPr>
            <w:rStyle w:val="Lienhypertexte"/>
            <w:rFonts w:ascii="Garamond" w:hAnsi="Garamond" w:cs="Arial"/>
            <w:b/>
            <w:bCs/>
            <w:lang w:val="en-GB"/>
          </w:rPr>
          <w:t>stojewski und die Vatertötung</w:t>
        </w:r>
      </w:hyperlink>
      <w:r w:rsidRPr="008725BE">
        <w:rPr>
          <w:rFonts w:ascii="Garamond" w:hAnsi="Garamond"/>
          <w:color w:val="000000"/>
          <w:lang w:val="en-GB"/>
        </w:rPr>
        <w:t xml:space="preserve">  </w:t>
      </w:r>
      <w:r w:rsidRPr="008725BE">
        <w:rPr>
          <w:rFonts w:ascii="Garamond" w:hAnsi="Garamond"/>
          <w:caps/>
          <w:color w:val="000000"/>
          <w:lang w:val="en-GB"/>
        </w:rPr>
        <w:t>(1928)</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 der reichen Persönlichkeit Dostojewskis möchte man vier Fassaden unterscheiden: Den Dichter, den Neurotiker, den Ethiker und den Sünder. Wie soll man sich in der verwirrenden Komplikation zurechtfinden?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Am Dichter ist am wenigsten Zweifel, er hat seinen Platz nicht weit hinter Shakespeare. </w:t>
      </w:r>
      <w:r w:rsidRPr="008725BE">
        <w:rPr>
          <w:rFonts w:ascii="Garamond" w:hAnsi="Garamond"/>
          <w:i/>
          <w:iCs/>
          <w:color w:val="000000"/>
          <w:lang w:val="en-GB"/>
        </w:rPr>
        <w:t>Die Brüder Karamasoff</w:t>
      </w:r>
      <w:r w:rsidRPr="008725BE">
        <w:rPr>
          <w:rFonts w:ascii="Garamond" w:hAnsi="Garamond"/>
          <w:color w:val="000000"/>
          <w:lang w:val="en-GB"/>
        </w:rPr>
        <w:t xml:space="preserve"> sind der großartigste Roman, der je geschrieben wurde, die Episode des Großinquisitors eine der Höchstleistungen der Weltliteratur, kaum zu überschätzen. Leider muß die Analyse vor dem Problem des Dichters die Waffen strecken.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Am ehesten angreifbar ist der Ethiker in Dostojewski. Wenn man ihn als sittlichen Menschen hochstellen will, mit der Begründung, daß nur der die höchste Stufe der Sittlichkeit erreicht, der durch die tiefste Sündhaftigkeit gegangen ist, so setzt man sich über ein Bedenken hinweg. Sittlich ist jener, der schon auf die innerlich verspürte Versuchung reagiert, ohne ihr nachzugeben. Wer abwechselnd sündigt und dann in seiner Reue hohe sittliche Forderungen aufstellt, der setzt sich dem Vorwurf aus, daß er sich's zu bequem gemacht hat. Er hat das Wesentliche an der Sittlichkeit, den Verzicht, nicht geleistet, denn die sittliche Lebensführung ist ein praktisches Menschheitsinteresse. Er erinnert an die Barbaren der Völkerwanderung, die morden und dafür Buße tun, wo die Buße direkt eine Technik wird, um den Mord zu ermöglichen. Iwan der Schreckliche benimmt sich auch nicht anders; ja dieser Ausgleich mit der Sittlichkeit ist ein charakteristisch russischer Zug. Auch ist das Endergebnis von Dostojewskis sittlichem Ringen kein rühmliches. Nach den heftigsten Kämpfen, die Triebansprüche des Individuums mit den Forderungen der menschlichen Gemeinschaft zu versöhnen, landet er rückläufig bei der Unterwerfung unter die weltliche wie unter die geistliche Autorität, bei der Ehrfurcht vor dem Zaren und dem Christengott und bei einem engherzigen russischen Nationalismus, eine Station, zu der geringere Geister mit weniger Mühe gelangt sind. Hier ist der schwache Punkt der großen Persönlichkeit. Dostojewski hat es versäumt, ein Lehrer und Befreier der Menschen zu werden, er hat sich zu ihren Kerkermeistern gesellt; die kulturelle Zukunft der Menschen wird ihm wenig zu danken haben. Es läßt sich wahrscheinlich zeigen, daß er durch seine Neurose zu solchem Scheitern verdammt wurde. Nach der Höhe seiner Intelligenz und der Stärke seiner Menschenliebe wäre ihm ein anderer, ein apostolischer Lebensweg eröffnet gewesen.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Dostojewski als Sünder oder Verbrecher zu betrachten ruft ein heftiges Sträuben hervor, das nicht in der philiströsen Einschätzung des Verbrechers begründet zu sein braucht. Man wird bald des wirklichen Motivs gewahr; für den Verbrecher sind zwei Züge wesentlich, die grenzenlose Eigensucht und die starke destruktive Tendenz; beiden gemeinsam und Voraussetzung für deren Äußerungen ist die Lieblosigkeit, der Mangel an affektiver Wertung der (menschlichen) Objekte. Man erinnert sich sofort an den Gegensatz hiezu bei Dostojewski, an seine große Liebesbedürftigkeit und seine enorme Liebesfähigkeit, die sich selbst in Erscheinungen der Übergüte äußert und ihn lieben und helfen läßt, wo er selbst das Recht zum Haß und zur Rache hatte, z. B. im Verhältnis zu seiner ersten Frau und ihrem Geliebten. Dann muß man fragen, woher überhaupt die Versuchung rührt, Dostojewski den Verbrechern zuzurechnen. Antwort: Es ist die Stoffwahl des Dichters, die gewalttätige, mörderische, eigensüchtige Charaktere vor allen anderen auszeichnet, was auf die Existenz solcher Neigungen in seinem Inneren hindeutet, ferner einiges Tatsächliche aus seinem Leben, wie seine Spielsucht, vielleicht der sexuelle Mißbrauch eines unreifen Mädchens (Geständnis) </w:t>
      </w:r>
      <w:hyperlink r:id="rId78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Siehe die Diskussion hierüber in Fülöp-Miller und Eckstein (1926). –; Stefan Zweig (1920): »Er macht nicht halt vor den Zäunen der bürgerlichen Moral, und niemand weiß genau zu sagen, wie weit er in seinem Leben die juristische Grenze überschritten, wieviel von den verbrecherischen Instinkten seiner Helden in ihm selbst zur Tat geworden ist.« Über die intimen Beziehungen zwischen Dostojewskis Gestalten und seinen eigenen Erlebnissen siehe die Ausführungen René Fülöp-Millers im einleitenden Abschnitt zu Fülöp-Miller und Eckstein (1925), die an Nikolai Strachoff anknüpfen.</w:t>
        </w:r>
      </w:hyperlink>
      <w:r w:rsidRPr="008725BE">
        <w:rPr>
          <w:rFonts w:ascii="Garamond" w:hAnsi="Garamond"/>
          <w:color w:val="000000"/>
          <w:lang w:val="en-GB"/>
        </w:rPr>
        <w:t>. Der Widerspruch löst sich durch die Einsicht, daß der sehr starke Destruktionstrieb Dostojewskis, der ihn leicht zum Verbrecher gemacht hätte, im Leben hauptsächlich gegen die eigene Person (nach innen anstatt nach außen) gerichtet ist und so als Masochismus und Schuldgefühl zum Ausdruck kommt. Seine Person behält immerhin genug sadistische Züge übrig, die sich in seiner Reizbarkeit, Quälsucht, Intoleranz, auch gegen geliebte Personen, äußern und noch in der Art, wie er als Autor seine Leser behandelt, zum Vorschein kommen, also in kleinen Dingen Sadist nach außen, in größeren Sadist nach innen, also Masochist, das heißt der weichste, gutmütigste, hilfsbereiteste Mensch.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Aus der Komplikation der Person Dostojewskis haben wir drei Faktoren herausgeholt, einen quantitativen und zwei qualitative: Die außerordentliche Höhe seiner Affektivität, die perverse Triebanlage, die ihn zum </w:t>
      </w:r>
      <w:r w:rsidRPr="008725BE">
        <w:rPr>
          <w:rFonts w:ascii="Garamond" w:hAnsi="Garamond"/>
          <w:color w:val="000000"/>
          <w:lang w:val="en-GB"/>
        </w:rPr>
        <w:lastRenderedPageBreak/>
        <w:t>Sado-Masochisten oder zum Verbrecher veranlagen mußte, und die unanalysierbare, künstlerische Begabung. Dies Ensemble wäre sehr wohl ohne Neurose existenzfähig; es gibt ja nicht-neurotische Vollmasochisten. Nach dem Kräfteverhältnis zwischen den Triebansprüchen und den ihnen entgegenstehenden Hemmungen (plus der verfügbaren Sublimierungswege) wäre Dostojewski immer noch als ein sogenannter »triebhafter Charakter« zu klassifizieren. Aber die Situation wird getrübt durch die Mitanwesenheit der Neurose, die, wie gesagt, nicht unter diesen Bedingungen unerläßlich wäre, aber doch um so eher zustande kommt, je reichhaltiger die vom Ich zu bewältigende Komplikation ist. Die Neurose ist doch nur ein Zeichen dafür, daß dem Ich eine solche Synthese nicht gelungen ist, daß es bei solchem Versuch seine Einheitlichkeit eingebüßt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Wodurch wird nun im strengen Sinne die Neurose erwiesen? Dostojewski nannte sich selbst und galt bei den anderen als Epileptiker auf Grund seiner schweren, mit Bewußtseinsverlust, Muskelkrämpfen und nachfolgender Verstimmung einhergehenden Anfälle. Es ist nun überaus wahrscheinlich, daß diese sogenannte Epilepsie nur ein Symptom seiner Neurose war, die demnach als Hysteroepilepsie, das heißt als schwere Hysterie, klassifiziert werden müßte. Volle Sicherheit ist aus zwei Gründen nicht zu erreichen, erstens, weil die anamnestischen Daten über Dostojewskis sogenannte Epilepsie mangelhaft und unzuverlässig sind, zweitens, weil die Auffassung der mit epileptoiden Anfällen verbundenen Krankheitszustände nicht geklärt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Zunächst zum zweiten Punkt. Es ist überflüssig, die ganze Pathologie der Epilepsie hier zu wiederholen, die doch nichts Entscheidendes bringt, doch kann man sagen: Immer hebt sich noch als scheinbare klinische Einheit der alte </w:t>
      </w:r>
      <w:r w:rsidRPr="008725BE">
        <w:rPr>
          <w:rFonts w:ascii="Garamond" w:hAnsi="Garamond"/>
          <w:i/>
          <w:iCs/>
          <w:color w:val="000000"/>
          <w:lang w:val="en-GB"/>
        </w:rPr>
        <w:t>Morbus sacer</w:t>
      </w:r>
      <w:r w:rsidRPr="008725BE">
        <w:rPr>
          <w:rFonts w:ascii="Garamond" w:hAnsi="Garamond"/>
          <w:color w:val="000000"/>
          <w:lang w:val="en-GB"/>
        </w:rPr>
        <w:t xml:space="preserve"> hervor, die unheimliche Krankheit mit ihren unberechenbaren, anscheinend nicht provozierten Krampfanfällen, der Charakterveränderung ins Reizbare und Aggressive und der progressiven Herabsetzung aller geistigen Leistungen. Aber an allen Enden zerflattert dies Bild ins Unbestimmte. Die Anfälle, die brutal auftreten, mit Zungenbiß und Harnentleerung, gehäuft zum lebensbedrohlichen </w:t>
      </w:r>
      <w:r w:rsidRPr="008725BE">
        <w:rPr>
          <w:rFonts w:ascii="Garamond" w:hAnsi="Garamond"/>
          <w:i/>
          <w:iCs/>
          <w:color w:val="000000"/>
          <w:lang w:val="en-GB"/>
        </w:rPr>
        <w:t>Status epilepticus</w:t>
      </w:r>
      <w:r w:rsidRPr="008725BE">
        <w:rPr>
          <w:rFonts w:ascii="Garamond" w:hAnsi="Garamond"/>
          <w:color w:val="000000"/>
          <w:lang w:val="en-GB"/>
        </w:rPr>
        <w:t xml:space="preserve">, der schwere Selbstbeschädigung herbeiführt, können sich doch ermäßigen zu kurzen Absenzen, zu bloßen rasch vorübergehenden Schwindelzuständen, können sich ersetzen durch kurze Zeiten, in denen der Kranke, wie unter der Herrschaft des Unbewußten, etwas ihm Fremdartiges tut. Sonst in unfaßbarer Weise rein körperlich bedingt, können sie doch ihre erste Entstehung einem rein seelischen Einfluß (Schreck) verdankt haben oder weiterhin auf seelische Erregungen reagieren. So charakteristisch die intellektuelle Herabsetzung für die übergroße Mehrzahl der Fälle sein mag, so ist doch wenigstens </w:t>
      </w:r>
      <w:r w:rsidRPr="008725BE">
        <w:rPr>
          <w:rFonts w:ascii="Garamond" w:hAnsi="Garamond"/>
          <w:i/>
          <w:iCs/>
          <w:color w:val="000000"/>
          <w:lang w:val="en-GB"/>
        </w:rPr>
        <w:t>ein</w:t>
      </w:r>
      <w:r w:rsidRPr="008725BE">
        <w:rPr>
          <w:rFonts w:ascii="Garamond" w:hAnsi="Garamond"/>
          <w:color w:val="000000"/>
          <w:lang w:val="en-GB"/>
        </w:rPr>
        <w:t xml:space="preserve"> Fall bekannt, in dem das Leiden intellektuelle Höchstleistung nicht zu stören vermochte (Helmholtz). (Andere Fälle, von denen das gleiche behauptet wurde, sind unsicher oder unterliegen denselben Bedenken wie Dostojewski selbst.) Die Personen, die von der Epilepsie befallen sind, können den Eindruck von Stumpfheit, behinderter Entwicklung machen, wie doch das Leiden oft greifbarste Idiotie und größte Hirndefekte begleitet, wenn auch nicht als notwendiger Bestandteil des Krankheitsbildes; aber diese Anfälle finden sich mit allen ihren Variationen auch bei anderen Personen vor, die eine volle seelische Entwicklung und eher übergroße, meist ungenügend beherrschte Affektivität bekunden. Kein Wunder, daß man es unter diesen Umständen für unmöglich findet, die Einheit einer klinischen Affektion »Epilepsie« festzuhalten. Was in der Gleichartigkeit der geäußerten Symptome zum Vorschein kommt, scheint eine funktionelle Auffassung zu fordern, als ob ein Mechanismus der abnormen Triebabfuhr organisch vorgebildet wäre, der unter ganz verschiedenen Verhältnissen in Anspruch genommen wird, sowohl bei Störungen der Gehirntätigkeit durch schwere gewebliche und toxische Erkrankung als auch bei unzulänglicher Beherrschung der seelischen Ökonomie, krisenhaftem Betrieb der in der Seele wirkenden Energie. Hinter dieser Zweiteilung ahnt man die Identität des zugrunde liegenden Mechanismus der Triebabfuhr. Derselbe kann auch den Sexualvorgängen, die im Grunde toxisch verursacht sind, nicht fernestehen; schon die ältesten Ärzte nannten den Koitus eine kleine Epilepsie, erkannten also im sexuellen Akt die Milderung und Adaptierung der epileptischen Reizabfuhr.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»epileptische Reaktion«, wie man dies Gemeinsame nennen kann, stellt sich ohne Zweifel auch der Neurose zur Verfügung, deren Wesen darin besteht, Erregungsmassen, mit denen sie psychisch nicht fertig wird, auf somatischem Wege zu erledigen. Der epileptische Anfall wird so ein Symptom der Hysterie und von ihr adaptiert und modifiziert, ähnlich wie vom normalen Sexualablauf. Man hat also ganz recht, eine organische von einer »affektiven« Epilepsie zu unterscheiden. Die praktische Bedeutung ist die: wer die eine hat, ist ein Gehirnkranker, wer die andere hat, ein Neurotiker. Im ersteren Fall unterliegt das Seelenleben einer ihm fremden Störung von außen, im anderen ist die Störung ein Ausdruck des Seelenlebens selbst.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Es ist überaus wahrscheinlich, daß Dostojewskis Epilepsie von der zweiten Art ist. Strenge erweisen kann man es nicht, man müßte denn imstande sein, das erste Auftreten und die späteren Schwankungen der Anfälle in den Zusammenhang seines seelischen Lebens einzureihen, und dafür weiß man zu wenig. Die Beschreibungen der Anfälle selbst lehren nichts, die Auskünfte über Beziehungen zwischen Anfällen und Erlebnissen sind mangelhaft und oft widersprechend. Am wahrscheinlichsten ist die Annahme, daß die Anfälle weit in Dostojewskis Kindheit zurückgehen, daß sie zuerst durch mildere Symptome vertreten waren und erst nach dem erschütternden Erlebnis im achtzehnten Jahr, nach der Ermordung des Vaters, die epileptische Form annahmen </w:t>
      </w:r>
      <w:hyperlink r:id="rId78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hiezu Rene Fülöp-Miller (1924). Besonderes Interesse erweckt die Mitteilung, daß sich in des Dichters Kindheit »etwas Furchtbares, Unvergeßliches und Qualvolles« ereignet habe, auf das die ersten Anzeichen seines Leidens zurückzuführen seien (Suworin in einem Artikel der </w:t>
        </w:r>
        <w:r w:rsidRPr="008725BE">
          <w:rPr>
            <w:rStyle w:val="innerfusslink3"/>
            <w:rFonts w:ascii="Garamond" w:hAnsi="Garamond" w:cs="Arial"/>
            <w:b/>
            <w:bCs/>
            <w:i/>
            <w:iCs/>
            <w:lang w:val="en-GB"/>
          </w:rPr>
          <w:t>Nowoje Wremja</w:t>
        </w:r>
        <w:r w:rsidRPr="008725BE">
          <w:rPr>
            <w:rStyle w:val="innerfusslink3"/>
            <w:rFonts w:ascii="Garamond" w:hAnsi="Garamond" w:cs="Arial"/>
            <w:b/>
            <w:bCs/>
            <w:lang w:val="en-GB"/>
          </w:rPr>
          <w:t>, 1881, nach dem Zitat in der Einleitung zu Fülöp-Miller und Eckstein, 1925, XLV). Ferner Orest Miller (1921, 140): »Es gibt über die Krankheit Fjodor Michailowitschs allerdings noch eine besondere Aussage, die sich auf seine früheste Jugend bezieht und die Krankheit mit einem tragischen Fall in dem Familienleben der Eltern Dostojewskis in Verbindung bringt. Doch obgleich mir diese Aussage von einem Menschen, der Fjodor Michailowitsch sehr nahestand, mündlich mitgeteilt worden ist, kann ich mich nicht entschließen, da ich von keiner Seite eine Bestätigung dieses Gerüchts erhalten habe, die erwähnte Angabe hier ausführlich und genau wiederzugeben.« Biographik und Neurosenforschung können dieser Diskretion nicht zu Dank verpflichtet sein.</w:t>
        </w:r>
      </w:hyperlink>
      <w:r w:rsidRPr="008725BE">
        <w:rPr>
          <w:rFonts w:ascii="Garamond" w:hAnsi="Garamond"/>
          <w:color w:val="000000"/>
          <w:lang w:val="en-GB"/>
        </w:rPr>
        <w:t xml:space="preserve">. Es wäre sehr passend, wenn sich bewahrheitete, daß sie während der Strafzeit in Sibirien völlig sistiert hätten, aber andere Angaben widersprechen dem </w:t>
      </w:r>
      <w:hyperlink r:id="rId79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 meisten Angaben, darunter Dostojewskis eigene Auskunft, behaupten vielmehr, daß die Krankheit erst während der sibirischen Strafzeit ihren definitiven, epileptischen Charakter angenommen habe. Leider hat man Grund, den autobiographischen Mitteilungen der Neurotiker zu mißtrauen. Die Erfahrung zeigt, daß ihre Erinnerung Verfälschungen unternimmt, die dazu bestimmt sind, einen unliebsamen Kausalzusammenhang zu zerreißen. Doch scheint es gesichert, daß der Aufenthalt im sibirischen Kerker auch den Krankheitszustand Dostojewskis eingreifend verändert hat. Vgl. hiezu: Fülöp-Miller (1924, 1186).</w:t>
        </w:r>
      </w:hyperlink>
      <w:r w:rsidRPr="008725BE">
        <w:rPr>
          <w:rFonts w:ascii="Garamond" w:hAnsi="Garamond"/>
          <w:color w:val="000000"/>
          <w:lang w:val="en-GB"/>
        </w:rPr>
        <w:t xml:space="preserve">. Die unverkennbare Beziehung zwischen der Vatertötung in den </w:t>
      </w:r>
      <w:r w:rsidRPr="008725BE">
        <w:rPr>
          <w:rFonts w:ascii="Garamond" w:hAnsi="Garamond"/>
          <w:i/>
          <w:iCs/>
          <w:color w:val="000000"/>
          <w:lang w:val="en-GB"/>
        </w:rPr>
        <w:t>Brüdern Karamasoff</w:t>
      </w:r>
      <w:r w:rsidRPr="008725BE">
        <w:rPr>
          <w:rFonts w:ascii="Garamond" w:hAnsi="Garamond"/>
          <w:color w:val="000000"/>
          <w:lang w:val="en-GB"/>
        </w:rPr>
        <w:t xml:space="preserve"> und dem Schicksal von Dostojewskis Vater ist mehr als einem Biographen aufgefallen und hat sie zu einem Hinweis auf eine »gewisse moderne psychologische Richtung« veranlaßt. Die psychoanalytische Betrachtung, denn diese ist gemeint, ist versucht, in diesem Ereignis das schwerste Trauma und in Dostojewskis Reaktion darauf den Angelpunkt seiner Neurose zu erkennen.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ich es aber unternehme, diese Aufstellung psychoanalytisch zu begründen, muß ich befürchten, allen denen unverständlich zu bleiben, die mit den Ausdrucksweisen und Lehren der Psychoanalyse nicht vertraut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haben einen gesicherten Ausgangspunkt. Wir kennen den Sinn der ersten Anfälle Dostojewskis in seinen jungen Jahren lange vor dem Auftreten der »Epilepsie«. Diese Anfälle hatten Todesbedeutung, sie wurden von Todesangst eingeleitet und bestanden in lethargischen Schlafzuständen. Als plötzliche, grundlose Schwermut kam sie (die Krankheit) zuerst über ihn, da er noch ein Knabe war; ein Gefühl, so erzählte er später seinem Freunde Solowjoff, als ob er sogleich sterben müßte; und tatsächlich folgte dann auch ein dem wirklichen Tode vollkommen ähnlicher Zustand ... Sein Bruder Andree hat berichtet, daß Fedor schon in jungen Jahren vor dem Einschlafen Zettelchen hinzulegen pflegte, er fürchte in der Nacht in den scheintodähnlichen Schlaf zu verfallen und bitte darum, man möge ihn erst nach fünf Tagen beerdigen lassen. (Fülöp-Miller und Eckstein, 1925, LX.)</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kennen den Sinn und die Absicht solcher Todesanfälle. Sie bedeuten eine Identifizierung mit einem Toten, einer Person, die wirklich gestorben ist oder die noch lebt und der man den Tod wünscht. Der letztere Fall ist der bedeutsamere. Der Anfall hat dann den Wert einer Bestrafung. Man hat einen anderen tot gewünscht, nun ist man dieser andere und ist selbst tot. Hier setzt die psychoanalytische Lehre die Behauptung ein, daß dieser andere für den Knaben in der Regel der Vater ist, der –; hysterisch genannte –; Anfall also eine Selbstbestrafung für den Todeswunsch gegen den gehaßten Vater.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Vatermord ist nach bekannter Auffassung das Haupt- und Urverbrechen der Menschheit wie des einzelnen </w:t>
      </w:r>
      <w:hyperlink r:id="rId79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des Verfassers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 xml:space="preserve"> (1912–;13).</w:t>
        </w:r>
      </w:hyperlink>
      <w:r w:rsidRPr="008725BE">
        <w:rPr>
          <w:rFonts w:ascii="Garamond" w:hAnsi="Garamond"/>
          <w:color w:val="000000"/>
          <w:lang w:val="en-GB"/>
        </w:rPr>
        <w:t xml:space="preserve">. Er ist jedenfalls die Hauptquelle des Schuldgefühls, wir wissen nicht, ob die einzige; die Untersuchungen konnten den seelischen Ursprung von Schuld und Sühnebedürfnis noch nicht sicherstellen. </w:t>
      </w:r>
      <w:r w:rsidRPr="008725BE">
        <w:rPr>
          <w:rFonts w:ascii="Garamond" w:hAnsi="Garamond"/>
          <w:color w:val="000000"/>
        </w:rPr>
        <w:t xml:space="preserve">Er braucht aber nicht die einzige zu sein. Die psychologische Situation ist kompliziert und bedarf einer Erläuterung. Das Verhältnis des Knaben zum Vater ist ein, wie wir sagen, ambivalentes. Außer dem Haß, der den Vater als Rivalen </w:t>
      </w:r>
      <w:r w:rsidRPr="008725BE">
        <w:rPr>
          <w:rFonts w:ascii="Garamond" w:hAnsi="Garamond"/>
          <w:color w:val="000000"/>
        </w:rPr>
        <w:lastRenderedPageBreak/>
        <w:t xml:space="preserve">beseitigen möchte, ist regelmäßig ein Maß von Zärtlichkeit für ihn vorhanden. </w:t>
      </w:r>
      <w:r w:rsidRPr="008725BE">
        <w:rPr>
          <w:rFonts w:ascii="Garamond" w:hAnsi="Garamond"/>
          <w:color w:val="000000"/>
          <w:lang w:val="en-GB"/>
        </w:rPr>
        <w:t>Beide Einstellungen treten zur Vateridentifizierung zusammen, man möchte an Stelle des Vaters sein, weil man ihn bewundert, so sein möchte wie er und weil man ihn wegschaffen will. Diese ganze Entwicklung stößt nun auf ein mächtiges Hindernis. In einem gewissen Moment lernt das Kind verstehen, daß der Versuch, den Vater als Rivalen zu beseitigen, von ihm durch die Kastration gestraft werden würde. Aus Kastrationsangst, also im Interesse der Bewahrung seiner Männlichkeit, gibt es also den Wunsch nach dem Besitz der Mutter und der Beseitigung des Vaters auf. Soweit er im Unbewußten erhalten bleibt, bildet er die Grundlage des Schuldgefühls. Wir glauben hierin normale Vorgänge beschrieben zu haben, das normale Schicksal des sogenannten Ödipuskomplexes; eine wichtige Ergänzung haben wir allerdings noch nachzutragen.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weitere Komplikation stellt sich her, wenn beim Kinde jener konstitutionelle Faktor, den wir die Bisexualität heißen, stärker ausgebildet ist. Dann wird unter der Bedrohung der Männlichkeit durch die Kastration die Neigung gekräftigt, nach der Richtung der Weiblichkeit auszuweichen, sich vielmehr an die Stelle der Mutter zu setzen und ihre Rolle als Liebesobjekt beim Vater zu übernehmen. Allein die Kastrationsangst macht auch diese Lösung unmöglich. Man versteht, daß man auch die Kastration auf sich nehmen muß, wenn man vom Vater wie ein Weib geliebt werden will. So verfallen beide Regungen, Vaterhaß wie Vaterverliebtheit, der Verdrängung. Ein gewisser psychologischer Unterschied besteht darin, daß der Vaterhaß aufgegeben wird infolge der Angst vor einer äußeren Gefahr (der Kastration); die Vaterverliebtheit aber wird als innere Triebgefahr behandelt, die doch im Grunde wieder auf die nämliche äußere Gefahr zurückgeht.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Was den Vaterhaß unannehmbar macht, ist die Angst vor dem Vater; die Kastration ist schrecklich, sowohl als Strafe wie auch als Preis der Liebe. Von den beiden Faktoren, die den Vaterhaß verdrängen, ist der erste, die direkte Straf- und Kastrationsangst, der normale zu nennen, die pathogene Verstärkung scheint erst durch den anderen Faktor, die Angst vor der femininen Einstellung, hinzuzukommen. Eine stark bisexuelle Anlage wird so zu einer der Bedingungen oder Bekräftigungen der Neurose. Eine solche ist für Dostojewski sicherlich anzunehmen und zeigt sich in existenzmöglicher Form (latente Homosexualität) in der Bedeutung von Männerfreundschaften für sein Leben, in seinem sonderbar zärtlichen Verhalten gegen Liebesrivalen und in seinem ausgezeichneten Verständnis für Situationen, die sich nur durch verdrängte Homosexualität erklären, wie viele Beispiele aus seinen Novellen zeigen.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bedaure es, kann es aber nicht ändern, wenn diese Ausführungen über die Haß- und Liebeseinstellungen zum Vater und deren Wandlungen unter dem Einfluß der Kastrationsdrohung dem der Psychoanalyse unkundigen Leser unschmackhaft und unglaubwürdig erscheinen. Ich würde selbst erwarten, daß gerade der Kastrationskomplex der allgemeinsten Ablehnung sicher ist. Aber ich kann nur beteuern, daß die psychoanalytische Erfahrung gerade diese Verhältnisse über jeden Zweifel hinaushebt und uns in ihnen den Schlüssel zu jeder Neurose erkennen heißt. Den müssen wir also auch an der sogenannten Epilepsie unseres Dichters versuchen. So fremd sind aber unserem Bewußtsein die Dinge, von denen unser unbewußtes Seelenleben beherrscht wird. Mit dem bisher Mitgeteilten sind die Folgen der Verdrängung des Vaterhasses im Ödipuskomplex nicht erschöpft. Es kommt als neu hinzu, daß die Vateridentifizierung sich am Ende doch einen dauernden Platz im Ich erzwingt. Sie wird ins Ich aufgenommen, stellt sich aber darin als eine besondere Instanz dem anderen Inhalt des Ichs entgegen. Wir heißen sie dann das Über-Ich und schreiben ihr, der Erbin des Elterneinflusses, die wichtigsten Funktionen zu.</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War der Vater hart, gewalttätig, grausam, so nimmt das Über-Ich diese Eigenschaften von ihm an, und in seiner Relation zum Ich stellt sich die Passivität wieder her, die gerade verdrängt werden sollte. Das Über-Ich ist sadistisch geworden, das Ich wird masochistisch, d. h. im Grunde weiblich passiv. Es entsteht ein großes Strafbedürfnis im Ich, das teils als solches dem Schicksal bereitliegt, teils in der Mißhandlung durch das Über-Ich (Schuldbewußtsein) Befriedigung findet. Jede Strafe ist ja im Grunde die Kastration und als solche Erfüllung der alten passiven Einstellung zum Vater. Auch das Schicksal ist endlich nur eine spätere Vaterprojektion.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normalen Vorgänge bei der Gewissensbildung müssen so ähnlich sein wie die hier dargestellten abnormen. Es ist uns noch nicht gelungen, die Abgrenzung beider herzustellen. Man bemerkt, daß hier der größte Anteil am Ausgang der passiven Komponente der verdrängten Weiblichkeit zugeschrieben wird. Außerdem muß als akzidenteller Faktor bedeutsam werden, ob der in jedem Fall gefürchtete Vater auch in der Realität besonders gewalttätig ist. Dies trifft für Dostojewski zu, und die Tatsache seines außerordentlichen Schuldgefühls wie seiner masochistischen Lebensführung werden wir auf eine besonders starke feminine Komponente zurückführen. So ist die Formel für Dostojewski: ein besonders stark bisexuell Veranlagter, der sich mit besonderer Intensität gegen die Abhängigkeit von einem </w:t>
      </w:r>
      <w:r w:rsidRPr="008725BE">
        <w:rPr>
          <w:rFonts w:ascii="Garamond" w:hAnsi="Garamond"/>
          <w:color w:val="000000"/>
          <w:lang w:val="en-GB"/>
        </w:rPr>
        <w:lastRenderedPageBreak/>
        <w:t>besonders harten Vater wehren kann. Diesen Charakter der Bisexualität fügen wir zu den früher erkannten Komponenten seines Wesens hinzu. Das frühzeitige Symptom der »Todesanfälle« läßt sich also verstehen als eine vom Über-Ich strafweise zugelassene Vateridentifizierung des Ichs. Du hast den Vater töten wollen, um selbst der Vater zu sein. Nun bist du der Vater, aber der tote Vater; der gewöhnliche Mechanismus hysterischer Symptome. Und dabei: jetzt tötet dich der Vater. Für das Ich ist das Todessymptom Phantasiebefriedigung des männlichen Wunsches und gleichzeitig masochistische Befriedigung; für das Über-Ich Strafbefriedigung, also sadistische Befriedigung. Beide, Ich und Über-Ich, spielen die Vaterrolle weiter. –; Im ganzen hat sich die Relation zwischen Person und Vaterobjekt bei Erhaltung ihres Inhalts in eine Relation zwischen Ich und Über-Ich gewandelt, eine Neuinszenierung auf einer zweiten Bühne. Solche infantile Reaktionen aus dem Ödipuskomplex mögen erlöschen, wenn die Realität ihnen keine weitere Nahrung zuführt. Aber der Charakter des Vaters bleibt derselbe, nein, er verschlechtert sich mit den Jahren, und so bleibt auch der Vaterhaß Dostojewskis erhalten, sein Todeswunsch gegen diesen bösen Vater. Nun ist es gefährlich, wenn die Realität solche verdrängte Wünsche erfüllt. Die Phantasie ist Realität geworden, alle Abwehrmaßregeln werden nun verstärkt. Nun nehmen Dostojewskis Anfälle epileptischen Charakter an, sie bedeuten gewiß noch immer die strafweise Vateridentifizierung, sind aber fürchterlich geworden wie der schreckliche Tod des Vaters selbst. Welchen, insbesondere sexuellen, Inhalt sie dazu noch aufgenommen haben, entzieht sich dem Erraten.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Eines ist merkwürdig: in der Aura des Anfalles wird ein Moment der höchsten Seligkeit erlebt, der sehr wohl den Triumph und die Befreiung bei der Todesnachricht fixiert haben kann, auf den dann sofort die um so grausamere Strafe folgte. So eine Folge von Triumph und Trauer, Festfreude und Trauer, haben wir auch bei den Brüdern der Urhorde, die den Vater erschlugen, erraten und finden ihn in der Zeremonie der Totemmahlzeit wiederholt. Wenn es zutrifft, daß Dostojewski in Sibirien frei von Anfällen war, so bestätigte dies nur, daß seine Anfälle seine Strafe waren. Er brauchte sie nicht mehr, wenn er anders gestraft war. Allein dies ist unerweisbar. Eher erklärt diese Notwendigkeit der Strafe für Dostojewskis seelische Ökonomie, daß er ungebrochen durch diese Jahre des Elends und der Demütigungen hindurchging. Dostojewskis Verurteilung als politischer Verbrecher war ungerecht, er mußte das wissen, aber er akzeptierte die unverdiente Strafe von Väterchen Zar als Ersatz für die Strafe, die seine Sünde gegen den wirklichen Vater verdient hatte. Anstelle der Selbstbestrafung ließ er sich vom Stellvertreter des Vaters bestrafen. Man blickt hier ein Stück in die psychologische Rechtfertigung der von der Gesellschaft verhängten Strafen hinein. Es ist wahr, daß große Gruppen von Verbrechern nach der Strafe verlangen. Ihr Über-Ich fordert sie, erspart sich damit, sie selbst zu verhängen.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Wer den komplizierten Bedeutungswandel hysterischer Symptome kennt, wird verstehen, daß hier kein Versuch unternommen wird, den Sinn der Anfälle Dostojewskis über diesen Anfang hinaus zu ergründen </w:t>
      </w:r>
      <w:hyperlink r:id="rId79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 Die beste Auskunft über den Sinn und Inhalt seiner Anfälle gibt Dostojewski selbst, wenn er seinem Freunde Strachoff mitteilt, daß seine Reizbarkeit und Depression nach einem epileptischen Anfall darin begründet sei, daß er sich als Verbrecher erscheine und das Gefühl nicht loswerden könne, eine ihm unbekannte Schuld auf sich geladen, eine große Missetat verübt zu haben, die ihn bedrücke (Fülöp-Miller, 1924, 1188). In solchen Anklagen erblickt die Psychoanalyse ein Stück Erkenntnis der »psychischen Realität« und bemüht sich, die unbekannte Schuld dem Bewußtsein bekannt zu machen.</w:t>
        </w:r>
      </w:hyperlink>
      <w:r w:rsidRPr="008725BE">
        <w:rPr>
          <w:rFonts w:ascii="Garamond" w:hAnsi="Garamond"/>
          <w:color w:val="000000"/>
          <w:lang w:val="en-GB"/>
        </w:rPr>
        <w:t xml:space="preserve">. Genug, daß man annehmen darf, ihr ursprünglicher Sinn sei hinter allen späteren Überlagerungen unverändert geblieben. Man darf sagen, Dostojewski ist niemals von der Gewissensbelastung durch die Absicht des Vatermordes frei geworden. Sie hat auch sein Verhalten zu den zwei anderen Gebieten bestimmt, auf denen die Vaterrelation maßgebend ist, zur staatlichen Autorität und zum Gottesglauben. Auf ersterem landete er bei der vollen Unterwerfung unter Väterchen Zar, der in der Wirklichkeit die Komödie der Tötung mit ihm einmal aufgeführt hatte, welche ihm sein Anfall so oft vorzuspielen pflegte. Die Buße gewann hier die Oberhand. Auf religiösem Gebiet blieb ihm mehr Freiheit, nach anscheinend guten Berichten soll er bis zum letzten Augenblick seines Lebens zwischen Gläubigkeit und Atheismus geschwankt haben. Sein großer Intellekt machte es ihm unmöglich, irgendeine der Denkschwierigkeiten, zu denen die Gläubigkeit führt, zu übersehen. In individueller Wiederholung einer welthistorischen Entwicklung hoffte er im Christusideal einen Ausweg und eine Schuldbefreiung zu finden, seine Leiden selbst als Anspruch auf eine Christusrolle zu verwenden. Wenn er es im ganzen nicht zur Freiheit brachte und Reaktionär wurde, so kam es daher, daß die allgemein menschliche Sohnesschuld, auf der sich das religiöse Gefühl aufbaut, bei ihm eine überindividuelle Stärke erreicht hatte und selbst seiner großen Intelligenz unüberwindlich blieb. Wir setzen uns hier dem Vorwurf aus, daß wir die Unparteilichkeit der Analyse aufgeben und Dostojewski Wertungen unterziehen, die nur vom Parteistandpunkt einer gewissen Weltanschauung berechtigt sind. </w:t>
      </w:r>
      <w:r w:rsidRPr="008725BE">
        <w:rPr>
          <w:rFonts w:ascii="Garamond" w:hAnsi="Garamond"/>
          <w:color w:val="000000"/>
          <w:lang w:val="en-GB"/>
        </w:rPr>
        <w:lastRenderedPageBreak/>
        <w:t>Ein Konservativer würde die Partei des Großinquisitors nehmen und anders über Dostojewski urteilen. Der Vorwurf ist berechtigt, zu seiner Milderung kann man nur sagen, daß die Entscheidung Dostojewskis durch seine Denkhemmung infolge seiner Neurose bestimmt erscheint.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ist kaum ein Zufall, daß drei Meisterwerke der Literatur aller Zeiten das gleiche Thema, das der Vatertötung, behandeln: Der </w:t>
      </w:r>
      <w:r w:rsidRPr="008725BE">
        <w:rPr>
          <w:rFonts w:ascii="Garamond" w:hAnsi="Garamond"/>
          <w:i/>
          <w:iCs/>
          <w:color w:val="000000"/>
          <w:lang w:val="en-GB"/>
        </w:rPr>
        <w:t>König Ödipus</w:t>
      </w:r>
      <w:r w:rsidRPr="008725BE">
        <w:rPr>
          <w:rFonts w:ascii="Garamond" w:hAnsi="Garamond"/>
          <w:color w:val="000000"/>
          <w:lang w:val="en-GB"/>
        </w:rPr>
        <w:t xml:space="preserve"> des Sophokles, der </w:t>
      </w:r>
      <w:r w:rsidRPr="008725BE">
        <w:rPr>
          <w:rFonts w:ascii="Garamond" w:hAnsi="Garamond"/>
          <w:i/>
          <w:iCs/>
          <w:color w:val="000000"/>
          <w:lang w:val="en-GB"/>
        </w:rPr>
        <w:t>Hamlet</w:t>
      </w:r>
      <w:r w:rsidRPr="008725BE">
        <w:rPr>
          <w:rFonts w:ascii="Garamond" w:hAnsi="Garamond"/>
          <w:color w:val="000000"/>
          <w:lang w:val="en-GB"/>
        </w:rPr>
        <w:t xml:space="preserve"> Shakespeares und Dostojewskis </w:t>
      </w:r>
      <w:r w:rsidRPr="008725BE">
        <w:rPr>
          <w:rFonts w:ascii="Garamond" w:hAnsi="Garamond"/>
          <w:i/>
          <w:iCs/>
          <w:color w:val="000000"/>
          <w:lang w:val="en-GB"/>
        </w:rPr>
        <w:t>Brüder Karamasoff</w:t>
      </w:r>
      <w:r w:rsidRPr="008725BE">
        <w:rPr>
          <w:rFonts w:ascii="Garamond" w:hAnsi="Garamond"/>
          <w:color w:val="000000"/>
          <w:lang w:val="en-GB"/>
        </w:rPr>
        <w:t xml:space="preserve">. In allen dreien ist auch das Motiv der Tat, die sexuale Rivalität um das Weib, bloßgelegt. Am aufrichtigsten ist gewiß die Darstellung im Drama, das sich der griechischen Sage anschließt. Hier hat der Held noch selbst die Tat vollbracht. Aber ohne Milderung und Verhüllung ist die poetische Bearbeitung nicht möglich. Das nackte Geständnis der Absicht zur Vatertötung, wie wir es in der Analyse erzielen, scheint ohne analytische Vorbereitung unerträglich. Im griechischen Drama wird die unerläßliche Abschwächung in meisterhafter Weise bei Erhaltung des Tatbestandes dadurch herbeigeführt, daß das unbewußte Motiv des Helden als ein ihm fremder Schicksalszwang ins Reale projiziert wird. Der Held begeht die Tat unabsichtlich und scheinbar ohne Einfluß des Weibes, doch wird diesem Zusammenhang Rechnung getragen, indem er die Mutter Königin erst nach einer Wiederholung der Tat an dem Ungeheuer, das den Vater symbolisiert, erringen kann. Nachdem seine Schuld aufgedeckt, bewußtgemacht ist, erfolgt kein Versuch, sie mit Berufung auf die Hilfskonstruktion des Schicksalszwanges von sich abzuwälzen, sondern sie wird anerkannt und wie eine bewußte Vollschuld bestraft, was der Überlegung ungerecht erscheinen muß, aber psychologisch vollkommen korrekt ist. Die Darstellung des englischen Dramas ist indirekter, der Held hat die Handlung nicht selbst vollbracht, sondern ein anderer, für den sie keinen Vatermord bedeutet. Das anstößige Motiv der sexualen Rivalität beim Weibe braucht darum nicht verschleiert zu werden. Auch den Ödipuskomplex des Helden erblicken wir gleichsam im reflektierten Licht, indem wir die Wirkung der Tat des anderen auf ihn erfahren. Er sollte die Tat rächen, findet sich in merkwürdiger Weise unfähig dazu. Wir wissen, es ist sein Schuldgefühl, das ihn lähmt; in einer den neurotischen Vorgängen durchaus gemäßen Weise wird das Schuldgefühl auf die Wahrnehmung seiner Unzulänglichkeit zur Erfüllung dieser Aufgabe verschoben. Es ergeben sich Anzeichen, daß der Held diese Schuld als eine überindividuelle empfindet. Er verachtet die anderen nicht minder als sich. »Behandelt jeden Menschen nach seinem Verdienst, und wer ist vor Schlägen sicher?« In dieser Richtung geht der Roman des Russen einen Schritt weiter. Auch hier hat ein anderer den Mord vollbracht, aber einer, der zu dem Ermordeten in derselben Sohnesbeziehung stand wie der Held Dmitri, bei dem das Motiv der sexuellen Rivalität offen zugestanden wird, ein anderer Bruder, dem bemerkenswerterweise Dostojewski seine eigene Krankheit, die vermeintliche Epilepsie, angehängt hat, als ob er gestehen wollte, der Epileptiker, Neurotiker in mir ist ein Vatermörder. Und nun folgt in dem Plädoyer vor dem Gerichtshof der berühmte Spott auf die Psychologie, sie sei ein Stock mit zwei Enden. Eine großartige Verhüllung, denn man braucht sie nur umzukehren, um den tiefsten Sinn der Dostojewskischen Auffassung zu finden. Nicht die Psychologie verdient den Spott, sondern das gerichtliche Ermittlungsverfahren. Es ist ja gleichgültig, wer die Tat wirklich ausgeführt hat, für die Psychologie kommt es nur darauf an, wer sie in seinem Gefühl gewollt und, als sie geschehen, willkommen geheißen hat, und darum sind bis auf die Kontrastfigur des Aljoscha alle Brüder gleich schuldig, der triebhafte Genußmensch, der skeptische Zyniker und der epileptische Verbrecher. In den </w:t>
      </w:r>
      <w:r w:rsidRPr="008725BE">
        <w:rPr>
          <w:rFonts w:ascii="Garamond" w:hAnsi="Garamond"/>
          <w:i/>
          <w:iCs/>
          <w:color w:val="000000"/>
          <w:lang w:val="en-GB"/>
        </w:rPr>
        <w:t>Brüdern Karamasoff</w:t>
      </w:r>
      <w:r w:rsidRPr="008725BE">
        <w:rPr>
          <w:rFonts w:ascii="Garamond" w:hAnsi="Garamond"/>
          <w:color w:val="000000"/>
          <w:lang w:val="en-GB"/>
        </w:rPr>
        <w:t xml:space="preserve"> findet sich eine für Dostojewski höchst bezeichnende Szene. Der Staretz hat im Gespräch mit Dmitri erkannt, daß er die Bereitschaft zum Vatermord in sich trägt, und wirft sich vor ihm nieder. Das kann nicht Ausdruck der Bewunderung sein, es muß heißen, daß der Heilige die Versuchung, den Mörder zu verachten oder zu verabscheuen, von sich weist und sich darum vor ihm demütigt. Dostojewskis Sympathie für den Verbrecher ist in der Tat schrankenlos, sie geht weit über das Mitleid hinaus, auf das der Unglückliche Anspruch hat, erinnert an die heilige Scheu, mit der das Altertum den Epileptiker und den Geistesgestörten betrachtet hat. Der Verbrecher ist ihm fast wie ein Erlöser, der die Schuld auf sich genommen hat, die sonst die anderen hätten tragen müssen. Man braucht nicht mehr zu morden, nachdem er bereits gemordet hat, aber man muß ihm dafür dankbar sein, sonst hätte man selbst morden müssen. Das ist nicht gütiges Mitleid allein, es ist Identifizierung auf Grund der gleichen mörderischen Impulse, eigentlich ein um ein Geringes verschobener Narzißmus. Der ethische Wert dieser Güte soll damit nicht bestritten werden. Vielleicht ist dies überhaupt der Mechanismus der gütigen Teilnahme am anderen Menschen, den man in dem extremen Falle des vom Schuldbewußtsein beherrschten Dichters besonders leicht durchschaut. Kein Zweifel, daß diese Identifizierungssympathie die Stoffwahl Dostojewskis entscheidend bestimmt hat. Er hat aber zuerst den gemeinen Verbrecher –; aus Eigensucht –;, den politischen und religiösen Verbrecher behandelt, ehe er am Ende seines Lebens zum Urverbrecher, zum Vatermörder, zurückkehrte und an ihm sein poetisches Geständnis ablegte.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Die Veröffentlichung seines Nachlasses und der Tagebücher seiner Frau hat eine Episode seines Lebens grell beleuchtet, die Zeit, da Dostojewski in Deutschland von der Spielsucht besessen war. (Fülöp-Miller und Eckstein, 1925.) Ein unverkennbarer Anfall von pathologischer Leidenschaft, der auch von keiner Seite anders gewertet werden konnte. Es fehlte nicht an Rationalisierungen für dies merkwürdige und unwürdige Tun. Das Schuldgefühl hatte sich, wie nicht selten bei Neurotikern, eine greifbare Vertretung durch eine Schuldenlast geschaffen und Dostojewski konnte vorschützen, daß er sich durch den Spielgewinn die Möglichkeit erwerben wolle, nach Rußland zurückzukommen, ohne von seinen Gläubigern eingesperrt zu werden. Aber das war nur Vorwand, Dostojewski war scharfsinnig genug, es zu erkennen, und ehrlich genug, es zu gestehen. Er wußte, die Hauptsache war das Spiel an und für sich, </w:t>
      </w:r>
      <w:r w:rsidRPr="008725BE">
        <w:rPr>
          <w:rFonts w:ascii="Garamond" w:hAnsi="Garamond"/>
          <w:i/>
          <w:iCs/>
          <w:color w:val="000000"/>
          <w:lang w:val="en-GB"/>
        </w:rPr>
        <w:t>le jeu pour le jeu</w:t>
      </w:r>
      <w:hyperlink r:id="rId79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 Hauptsache ist das Spiel selbst«, schrieb er in einem seiner Briefe. »Ich schwöre Ihnen, es handelt sich dabei nicht um Habgier, obwohl ich ja freilich vor allem Geld nötig hatte.«</w:t>
        </w:r>
      </w:hyperlink>
      <w:r w:rsidRPr="008725BE">
        <w:rPr>
          <w:rFonts w:ascii="Garamond" w:hAnsi="Garamond"/>
          <w:color w:val="000000"/>
        </w:rPr>
        <w:t xml:space="preserve">. Alle Einzelheiten seines triebhaft unsinnigen Benehmens beweisen dies und noch etwas anderes. Er ruhte nie, ehe er nicht alles verloren hatte. Das Spiel war ihm auch ein Weg zur Selbstbestrafung. Er hatte ungezählte Male der jungen Frau sein Wort oder sein Ehrenwort gegeben, nicht mehr zu spielen oder an diesem Tag nicht mehr zu spielen, und er brach es, wie sie sagt, fast immer. </w:t>
      </w:r>
      <w:r w:rsidRPr="008725BE">
        <w:rPr>
          <w:rFonts w:ascii="Garamond" w:hAnsi="Garamond"/>
          <w:color w:val="000000"/>
          <w:lang w:val="en-GB"/>
        </w:rPr>
        <w:t xml:space="preserve">Hatte er durch Verluste sich und sie ins äußerste Elend gebracht, so zog er daraus eine zweite pathologische Befriedigung. Er konnte sich vor ihr beschimpfen, demütigen, sie auffordern, ihn zu verachten, zu bedauern, daß sie ihn alten Sünder geheiratet, und nach dieser Entlastung des Gewissens ging dies Spiel am nächsten Tag weiter. Und die junge Frau gewöhnte sich an diesen Zyklus, weil sie bemerkt hatte, daß dasjenige, von dem in Wirklichkeit allein die Rettung zu erwarten war, die literarische Produktion, nie besser vor sich ging, als nachdem sie alles verloren und ihre letzte Habe verpfändet hatten. Sie verstand den Zusammenhang natürlich nicht. Wenn sein Schuldgefühl durch die Bestrafungen befriedigt war, die er selbst über sich verhängt hatte, dann ließ seine Arbeitshemmung nach, dann gestattete er sich, einige Schritte auf dem Wege zum Erfolg zu tun </w:t>
      </w:r>
      <w:hyperlink r:id="rId79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Immer blieb er so lange am Spieltisch, bis er alles verloren hatte, bis er vollständig vernichtet dastand. Nur wenn sich das Unheil ganz erfüllt hatte, wich endlich der Dämon von seiner Seele und überließ dem schöpferischen Genius den Platz. (Fülöp-Miller und Eckstein, 1925, LXXXVI.)</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Welches Stück längst verschütteten Kinderlebens sich im Spielzwang Wiederholung erzwingt, läßt sich unschwer in Anlehnung an eine Novelle eines jüngeren Dichters erraten. Stefan Zweig, der übrigens Dostojewski selbst eine Studie gewidmet hat ( </w:t>
      </w:r>
      <w:r w:rsidRPr="008725BE">
        <w:rPr>
          <w:rFonts w:ascii="Garamond" w:hAnsi="Garamond"/>
          <w:i/>
          <w:iCs/>
          <w:color w:val="000000"/>
          <w:lang w:val="en-GB"/>
        </w:rPr>
        <w:t>Drei Meister</w:t>
      </w:r>
      <w:r w:rsidRPr="008725BE">
        <w:rPr>
          <w:rFonts w:ascii="Garamond" w:hAnsi="Garamond"/>
          <w:color w:val="000000"/>
          <w:lang w:val="en-GB"/>
        </w:rPr>
        <w:t xml:space="preserve">), erzählt in seiner Sammlung von drei Novellen </w:t>
      </w:r>
      <w:r w:rsidRPr="008725BE">
        <w:rPr>
          <w:rFonts w:ascii="Garamond" w:hAnsi="Garamond"/>
          <w:i/>
          <w:iCs/>
          <w:color w:val="000000"/>
          <w:lang w:val="en-GB"/>
        </w:rPr>
        <w:t>Die Verwirrung der Gefühle</w:t>
      </w:r>
      <w:r w:rsidRPr="008725BE">
        <w:rPr>
          <w:rFonts w:ascii="Garamond" w:hAnsi="Garamond"/>
          <w:color w:val="000000"/>
          <w:lang w:val="en-GB"/>
        </w:rPr>
        <w:t xml:space="preserve"> eine Geschichte, die er ›Vierundzwanzig Stunden aus dem Leben einer Frau‹ betitelt. Das kleine Meisterwerk will angeblich nur dartun, ein wie unverantwortliches Wesen das Weib ist, zu welchen es selbst überraschenden Überschreitungen es durch einen unerwarteten Lebenseindruck gedrängt werden kann. Allein die Novelle sagt weit mehr, stellt ohne solche entschuldigende Tendenz etwas ganz anderes, allgemein Menschliches oder vielmehr Männliches dar, wenn man sie einer analytischen Deutung unterzieht, und eine solche Deutung ist so aufdringlich nahegelegt, daß man sie nicht abweisen kann. Es ist bezeichnend für die Natur des künstlerischen Schaffens, daß der mir befreundete Dichter auf Befragen versichern konnte, daß die ihm mitgeteilte Deutung seinem Wissen und seiner Absicht völlig fremd gewesen sei, obwohl in die Erzählung manche Details eingeflochten sind, die geradezu berechnet scheinen, auf die geheime Spur hinzuweisen. In der Novelle Zweigs erzählt eine vornehme ältere Dame dem Dichter ein Erlebnis, das sie vor mehr als zwanzig Jahren betroffen hat. Früh verwitwet, Mutter zweier Söhne, die sie nicht mehr brauchten, von allen Lebenserwartungen abgewendet, geriet sie in ihrem zweiundvierzigsten Jahr auf einer ihrer zwecklosen Reisen in den Spielsaal des Kasinos von Monaco und wurde unter all den merkwürdigen Eindrücken des Orts bald von dem Anblick zweier Hände fasziniert, die alle Empfindungen des unglücklichen Spielers mit erschütternder Aufrichtigkeit und Intensität zu verraten schienen. Diese Hände gehörten einem schönen Jüngling –; der Dichter gibt ihm wie absichtslos das Alter des ersten Sohnes der Zuschauerin –;, der, nachdem er alles verloren, in tiefster Verzweiflung den Saal verläßt, voraussichtlich um im Park sein hoffnungsloses Leben zu beenden. </w:t>
      </w:r>
      <w:r w:rsidRPr="008725BE">
        <w:rPr>
          <w:rFonts w:ascii="Garamond" w:hAnsi="Garamond"/>
          <w:color w:val="000000"/>
        </w:rPr>
        <w:t xml:space="preserve">Eine unerklärliche Sympathie zwingt sie, ihm zu folgen und alle Versuche zu seiner Rettung zu unternehmen. Er hält sie für eine der am Orte so zahlreichen zudringlichen Frauen und will sie abschütteln, aber sie bleibt bei ihm und sieht sich auf die natürlichste Weise genötigt, seine Unterkunft im Hotel und endlich sein Bett zu teilen. Nach dieser improvisierten Liebesnacht läßt sie sich von dem anscheinend beruhigten Jüngling unter den feierlichsten Umständen die Versicherung geben, daß er nie wieder spielen wird, stattet ihn mit Geld für die Heimreise aus und verspricht, ihn vor Abgang des Zuges auf dem Bahnhof zu treffen. Dann aber erwacht in ihr eine große Zärtlichkeit für ihn, sie will alles opfern, um ihn zu behalten, beschließt, mit ihm zu reisen, anstatt von ihm Abschied zu nehmen. Widrige Zufälligkeiten halten sie auf, </w:t>
      </w:r>
      <w:r w:rsidRPr="008725BE">
        <w:rPr>
          <w:rFonts w:ascii="Garamond" w:hAnsi="Garamond"/>
          <w:color w:val="000000"/>
        </w:rPr>
        <w:lastRenderedPageBreak/>
        <w:t xml:space="preserve">so daß sie den Zug versäumt; in der Sehnsucht nach dem Verschwundenen sucht sie den Spielsaal wieder auf und findet dort entsetzt die Hände wieder, die zuerst ihre Sympathie entzündeten; der Pflichtvergessene ist zum Spiel zurückgekehrt. Sie mahnt ihn an sein Versprechen, aber von der Leidenschaft besessen, schilt er sie Spielverderberin, heißt sie gehen und wirft ihr das Geld hin, mit dem sie ihn loskaufen wollte. </w:t>
      </w:r>
      <w:r w:rsidRPr="008725BE">
        <w:rPr>
          <w:rFonts w:ascii="Garamond" w:hAnsi="Garamond"/>
          <w:color w:val="000000"/>
          <w:lang w:val="en-GB"/>
        </w:rPr>
        <w:t>In tiefster Beschämung muß sie fliehen und kann später in Erfahrung bringen, daß es ihr nicht gelungen war, ihn vor dem Selbstmord zu bewahren.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Diese glänzend erzählte, lückenlos motivierte Geschichte ist gewiß für sich allein existenzfähig und einer großen Wirkung auf den Leser sicher. Die Analyse lehrt aber, daß ihre Erfindung auf dem Urgrund einer Wunschphantasie der Pubertätszeit ruht, die bei manchen Personen selbst als bewußt erinnert wird. Die Phantasie lautet, die Mutter möge selbst den Jüngling ins sexuelle Leben einführen, um ihn vor den gefürchteten Schädlichkeiten der Onanie zu retten. Die so häufigen Erlösungsdichtungen haben denselben Ursprung. Das »Laster« der Onanie ist durch das der Spielsucht ersetzt, die Betonung der leidenschaftlichen Tätigkeit der Hände ist für diese Ableitung verräterisch. Wirklich ist die Spielwut ein Äquivalent des alten Onaniezwanges, mit keinem anderen Wort als »Spielen« ist in der Kinderstube die Betätigung der Hände am Genitale benannt worden. Die Unwiderstehlichkeit der Versuchung, die heiligen und doch nie gehaltenen Vorsätze, es nie wieder zu tun, die betäubende Lust und das böse Gewissen, man richte sich zugrunde (Selbstmord), sind bei der Ersetzung unverändert erhalten geblieben. Die Zweigsche Novelle wird zwar von der Mutter, nicht vom Sohne, erzählt. Es muß dem Sohne schmeicheln zu denken: wenn die Mutter wüßte, in welche Gefahren mich die Onanie bringt, würde sie mich gewiß durch die Gestattung aller Zärtlichkeiten an ihrem eigenen Leib vor ihnen retten. Die Gleichstellung der Mutter mit der Dirne, die der Jüngling in der Zweigschen Novelle vollzieht, gehört in den Zusammenhang derselben Phantasie. Sie macht die Unzugängliche leicht erreichbar; das böse Gewissen, das diese Phantasie begleitet, setzt den schlechten Ausgang der Dichtung durch. Es ist auch interessant zu bemerken, wie die der Novelle vom Dichter gegebene Fassade deren analytischen Sinn zu verhüllen sucht. Denn es ist sehr bestreitbar, daß das Liebesleben der Frau von plötzlichen und rätselhaften Impulsen beherrscht wird. Die Analyse deckt vielmehr eine zureichende Motivierung für das überraschende Benehmen der bis dahin von der Liebe abgewandten Frau auf. Dem Andenken ihres verlorenen Ehemannes getreu, hat sie sich gegen alle ihm ähnlichen Ansprüche gewappnet, aber –; darin behält die Phantasie des Sohnes recht –; einer ihr ganz unbewußten Liebesübertragung auf den Sohn war sie als Mutter nicht entgangen, und an dieser unbewachten Stelle kann das Schicksal sie packen. Wenn die Spielsucht mit ihren erfolglosen Abgewöhnungskämpfen und ihren Gelegenheiten zur Selbstbestrafung eine Wiederholung des Onaniezwanges ist, so werden wir nicht verwundert sein, daß sie sich im Leben Dostojewskis einen so großen Raum erobert hat. Wir finden doch keinen Fall von schwerer Neurose, in dem die autoerotische Befriedigung der Frühzeit und der Pubertätszeit nicht ihre Rolle gespielt hätte, und die Beziehungen zwischen den Bemühungen, sie zu unterdrücken, und der Angst vor dem Vater sind zu sehr bekannt, um mehr als einer Erwähnung zu bedürfen </w:t>
      </w:r>
      <w:hyperlink r:id="rId79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Die meisten der hier vorgetragenen Ansichten sind auch in der 1923 erschienenen trefflichen Schrift von Jolan Neufeld, </w:t>
        </w:r>
        <w:r w:rsidRPr="008725BE">
          <w:rPr>
            <w:rStyle w:val="innerfusslink3"/>
            <w:rFonts w:ascii="Garamond" w:hAnsi="Garamond" w:cs="Arial"/>
            <w:b/>
            <w:bCs/>
            <w:i/>
            <w:iCs/>
            <w:lang w:val="en-GB"/>
          </w:rPr>
          <w:t>Dostojewski, Skizze zu seiner Psychoanalyse</w:t>
        </w:r>
        <w:r w:rsidRPr="008725BE">
          <w:rPr>
            <w:rStyle w:val="innerfusslink3"/>
            <w:rFonts w:ascii="Garamond" w:hAnsi="Garamond" w:cs="Arial"/>
            <w:b/>
            <w:bCs/>
            <w:lang w:val="en-GB"/>
          </w:rPr>
          <w:t xml:space="preserve"> (Imago-Bücher, Nr. IV), enthalten.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br w:type="page"/>
      </w:r>
    </w:p>
    <w:p w:rsidR="008725BE" w:rsidRPr="008725BE" w:rsidRDefault="00B437A1" w:rsidP="008725BE">
      <w:pPr>
        <w:pStyle w:val="Sansinterligne"/>
        <w:rPr>
          <w:rFonts w:ascii="Garamond" w:hAnsi="Garamond"/>
          <w:caps/>
          <w:color w:val="000000"/>
          <w:lang w:val="en-GB"/>
        </w:rPr>
      </w:pPr>
      <w:hyperlink w:anchor="KSinhalt" w:history="1">
        <w:r w:rsidR="008725BE" w:rsidRPr="008725BE">
          <w:rPr>
            <w:rStyle w:val="Lienhypertexte"/>
            <w:rFonts w:ascii="Garamond" w:hAnsi="Garamond" w:cs="Arial"/>
            <w:b/>
            <w:bCs/>
            <w:lang w:val="en-GB"/>
          </w:rPr>
          <w:t>“Ei</w:t>
        </w:r>
        <w:bookmarkStart w:id="165" w:name="KS29"/>
        <w:bookmarkEnd w:id="165"/>
        <w:r w:rsidR="008725BE" w:rsidRPr="008725BE">
          <w:rPr>
            <w:rStyle w:val="Lienhypertexte"/>
            <w:rFonts w:ascii="Garamond" w:hAnsi="Garamond" w:cs="Arial"/>
            <w:b/>
            <w:bCs/>
            <w:lang w:val="en-GB"/>
          </w:rPr>
          <w:t>n Kind wird geschlagen”</w:t>
        </w:r>
      </w:hyperlink>
      <w:r w:rsidR="008725BE" w:rsidRPr="008725BE">
        <w:rPr>
          <w:rFonts w:ascii="Garamond" w:hAnsi="Garamond"/>
          <w:color w:val="000000"/>
          <w:lang w:val="en-GB"/>
        </w:rPr>
        <w:t xml:space="preserve">  </w:t>
      </w:r>
      <w:r w:rsidR="008725BE" w:rsidRPr="008725BE">
        <w:rPr>
          <w:rFonts w:ascii="Garamond" w:hAnsi="Garamond"/>
          <w:caps/>
          <w:color w:val="000000"/>
          <w:lang w:val="en-GB"/>
        </w:rPr>
        <w:t>(1919)</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(Beitrag zur Kenntnis der Entstehung sexueller Perversionen)</w:t>
      </w:r>
    </w:p>
    <w:p w:rsidR="008725BE" w:rsidRPr="008725BE" w:rsidRDefault="008725BE" w:rsidP="008725BE">
      <w:pPr>
        <w:pStyle w:val="Sansinterligne"/>
        <w:rPr>
          <w:rFonts w:ascii="Garamond" w:hAnsi="Garamond"/>
          <w:caps/>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Phantasievorstellung: »ein Kind wird geschlagen« wird mit überraschender Häufigkeit von Personen eingestanden, die wegen einer Hysterie oder einer Zwangsneurose die analytische Behandlung aufgesucht haben. Es ist recht wahrscheinlich, daß sie noch öfter bei anderen vorkommt, die nicht durch manifeste Erkrankung zu diesem Entschluß genötigt worden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 diese Phantasie sind Lustgefühle geknüpft, wegen welcher sie ungezählte Male reproduziert worden ist oder noch immer reproduziert wird. Auf der Höhe der vorgestellten Situation setzt sich fast regelmäßig eine onanistische Befriedigung (an den Genitalien also) durch, anfangs mit Willen der Person, aber ebenso späterhin mit Zwangscharakter gegen ihr Widerstreben.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Eingeständnis dieser Phantasie erfolgt nur zögernd, die Erinnerung an ihr erstes Auftreten ist unsicher, der analytischen Behandlung des Gegenstandes tritt ein unzweideutiger Widerstand entgegen, Schämen und Schuldbewußtsein regen sich hiebei vielleicht kräftiger als bei ähnlichen Mitteilungen über die erinnerten Anfänge des Sexuallebens.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läßt sich endlich feststellen, daß die ersten Phantasien dieser Art sehr frühzeitig gepflegt worden sind, gewiß vor dem Schulbesuch, schon im fünften und sechsten Jahr. Wenn das Kind in der Schule mitangesehen hat, wie andere Kinder vom Lehrer geschlagen wurden, so hat dies Erleben die Phantasien wieder hervorgerufen, wenn sie eingeschlafen waren, hat sie verstärkt, wenn sie noch bestanden, und ihren Inhalt in merklicher Weise modifiziert. Es wurden von da an »unbestimmt viele« Kinder geschlagen. Der Einfluß der Schule war so deutlich, daß die betreffenden Patienten zunächst versucht waren, ihre Schlagephantasien ausschließlich auf diese Eindrücke der Schulzeit, nach dem sechsten Jahr, zurückzuführen. Allein dies ließ sich niemals halten; sie waren schon vorher vorhanden gewesen.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Hörte das Schlagen der Kinder in höheren Schulklassen auf, so wurde dessen Einfluß durch die Einwirkung der bald zu Bedeutung kommenden Lektüre mehr als nur ersetzt. In dem Milieu meiner Patienten waren es fast immer die nämlichen, der Jugend zugänglichen Bücher, aus deren Inhalt sich die Schlagephantasien neue Anregungen holten: die sogenannte </w:t>
      </w:r>
      <w:r w:rsidRPr="008725BE">
        <w:rPr>
          <w:rFonts w:ascii="Garamond" w:hAnsi="Garamond"/>
          <w:i/>
          <w:iCs/>
          <w:color w:val="000000"/>
          <w:lang w:val="en-GB"/>
        </w:rPr>
        <w:t>Bibliothèque rose, Onkel Toms Hütte</w:t>
      </w:r>
      <w:r w:rsidRPr="008725BE">
        <w:rPr>
          <w:rFonts w:ascii="Garamond" w:hAnsi="Garamond"/>
          <w:color w:val="000000"/>
          <w:lang w:val="en-GB"/>
        </w:rPr>
        <w:t xml:space="preserve"> und dergleichen. Im Wetteifer mit diesen Dichtungen begann die eigene Phantasietätigkeit des Kindes, einen Reichtum von Situationen und Institutionen zu erfinden, in denen Kinder wegen ihrer Schlimmheit und ihrer Unarten geschlagen oder in anderer Weise bestraft und gezüchtigt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 die Phantasievorstellung, ein Kind wird geschlagen, regelmäßig mit hoher Lust besetzt war und in einen Akt lustvoller autoerotischer Befriedigung auslief, könnte man erwarten, daß auch das Zuschauen, wie ein anderes Kind in der Schule geschlagen wurde, eine Quelle ähnlichen Genusses gewesen sei. Allein dies war nie der Fall. Das Miterleben realer Schlageszenen in der Schule rief beim zuschauenden Kinde ein eigentümlich aufgeregtes, wahrscheinlich gemischtes Gefühl hervor, an dem die Ablehnung einen großen Anteil hatte. In einigen Fällen wurde das reale Erleben der Schlageszenen als unerträglich empfunden. Übrigens wurde auch in den raffinierten Phantasien späterer Jahre an der Bedingung festgehalten, daß den gezüchtigten Kindern kein ernsthafter Schaden zugefügt werde.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mußte die Frage aufwerfen, welche Beziehung zwischen der Bedeutung der Schlagephantasien und der Rolle bestehen möge, die reale körperliche Züchtigungen in der häuslichen Erziehung des Kindes gespielt hätten. Die nächstliegende Vermutung, es werde sich hiebei eine umgekehrte Relation ergeben, ließ sich infolge der Einseitigkeit des Materials nicht erweisen. Die Personen, die den Stoff für diese Analysen hergaben, waren in ihrer Kindheit sehr selten geschlagen, waren jedenfalls nicht mit Hilfe von Prügeln erzogen worden. Jedes dieser Kinder hatte natürlich doch irgendeinmal die überlegene Körperkraft seiner Eltern oder Erzieher zu spüren bekommen; daß es an Schlägereien zwischen den Kindern selbst in keiner Kinderstube gefehlt, bedarf keiner ausdrücklichen Hervorhebung.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Bei jenen frühzeitigen und simplen Phantasien, die nicht offenkundig auf den Einfluß von Schuleindrücken oder Szenen aus der Lektüre hinwiesen, wollte die Forschung gern mehr erfahren. Wer war das geschlagene Kind? Das phantasierende selbst oder ein fremdes? War es immer dasselbe Kind oder beliebig oft ein anderes? Wer war es, der das Kind schlug? Ein Erwachsener? Und wer dann? Oder phantasierte das Kind, daß es selbst ein anderes schlüge? Auf alle diese Fragen kam keine aufklärende Auskunft, immer nur die eine scheue Antwort: »Ich weiß nichts mehr darüber; ein Kind wird geschlagen.«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Erkundigungen nach dem Geschlecht des geschlagenen Kindes hatten mehr Erfolg, brachten aber auch kein Verständnis. Manchmal wurde geantwortet: »Immer nur Buben«, oder: »Nur Mädel«; öfter hieß es: »Das weiß ich nicht«, oder: »Das ist gleichgültig.« Das, worauf es dem Fragenden ankam, eine konstante Beziehung zwischen dem Geschlecht des phantasierenden und dem des geschlagenen Kindes, stellte sich niemals heraus. Gelegentlich einmal kam noch ein charakteristisches Detail aus dem Inhalt der Phantasie zum Vorschein: »Das kleine Kind wird auf den nackten Popo geschlagen.«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Unter diesen Umständen konnte man vorerst nicht einmal entscheiden, ob die an der Schlagephantasie haftende Lust als eine sadistische oder als eine masochistische zu bezeichnen sei.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Auffassung einer solchen, im frühen Kindesalter vielleicht bei zufälligen Anlässen auftauchenden und zur autoerotischen Befriedigung festgehaltenen Phantasie kann nach unseren bisherigen Einsichten nur lauten, daß es sich hiebei um einen primären Zug von Perversion handle. Eine der Komponenten der Sexualfunktion sei den anderen in der Entwicklung vorangeeilt, habe sich vorzeitig selbständig gemacht, sich fixiert und dadurch den späteren Entwicklungsvorgängen entzogen, damit aber ein Zeugnis für eine besondere, anormale Konstitution der Person gegeben. Wir wissen, daß eine solche infantile Perversion nicht fürs Leben zu verbleiben braucht, sie kann noch später der Verdrängung verfallen, durch eine Reaktionsbildung ersetzt oder durch eine Sublimierung umgewandelt werden. (Vielleicht ist es aber so, daß die Sublimierung aus einem besonderen Prozeß hervorgeht, welcher durch die Verdrängung hintangehalten würde.) Wenn aber diese Vorgänge ausbleiben, dann erhält sich die Perversion im reifen Leben, und wo wir beim Erwachsenen eine sexuelle Abirrung –; Perversion, Fetischismus, Inversion –; vorfinden, da erwarten wir mit Recht, ein solches fixierendes Ereignis der Kinderzeit durch anamnestische Erforschung aufzudecken. Ja lange vor der Zeit der Psychoanalyse haben Beobachter wie Binet die sonderbaren sexuellen Abirrungen der Reifezeit auf solche Eindrücke, gerade der nämlichen Kinderjahre von fünf oder sechs an, zurückführen können. Man war hiebei allerdings auf eine Schranke unseres Verständnisses gestoßen, denn den fixierenden Eindrücken fehlte jede traumatische Kraft, sie waren zumeist banal und für andere Individuen nicht aufregend; man konnte nicht sagen, warum sich das Sexualstreben gerade an sie fixiert hatte. Aber man konnte ihre Bedeutung darin suchen, daß sie eben der voreiligen und sprungbereiten Sexualkomponente den, wenn auch zufälligen Anlaß zur Anheftung geboten hatten, und man mußte ja darauf vorbereitet sein, daß die Kette der Kausalverknüpfung irgendwo ein vorläufiges Ende finden werde. Gerade die mitgebrachte Konstitution schien allen Anforderungen an einen solchen Haltepunkt zu entsprechen.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die frühzeitig losgerissene Sexualkomponente die sadistische ist, so bilden wir auf Grund anderswo gewonnener Einsicht die Erwartung, daß durch spätere Verdrängung derselben eine Disposition zur Zwangsneurose geschaffen werde. Man kann nicht sagen, daß dieser Erwartung durch das Ergebnis der Untersuchung widersprochen wird. Unter den sechs Fällen, auf deren eingehendem Studium diese kleine Mitteilung aufgebaut ist (vier Frauen, zwei Männer), befanden sich Fälle von Zwangsneurose, ein allerschwerster, lebenszerstörender, und ein mittelschwerer, der Beeinflussung gut zugänglicher, ferner ein dritter, der wenigstens einzelne deutliche Züge der Zwangsneurose aufwies. Ein vierter Fall war freilich eine glatte Hysterie mit Schmerzen und Hemmungen, und ein fünfter, der die Analyse bloß wegen Unschlüssigkeiten im Leben aufsuchte, wäre von grober klinischer Diagnostik überhaupt nicht klassifiziert oder als »Psychasthenie« abgetan worden. Man darf in dieser Statistik keine Enttäuschung erblicken, denn erstens wissen wir, daß nicht jegliche Disposition sich zur Affektion weiterentwickeln muß, und zweitens darf es uns genügen zu erklären, was vorhanden ist, und dürfen wir uns der Aufgabe, auch verstehen zu lassen, warum etwas nicht zustande gekommen ist, im allgemeinen entziehen.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 weit und nicht weiter würden uns unsere gegenwärtigen Einsichten ins Verständnis der Schlagephantasien eindringen lassen. Eine Ahnung, daß das Problem hiemit nicht erledigt ist, regt sich allerdings beim analysierenden Arzte, wenn er sich eingestehen muß, daß diese Phantasien meist abseits vom übrigen Inhalt der Neurose bleiben und keinen rechten Platz in deren Gefüge einnehmen; aber man pflegt, wie ich aus eigener Erfahrung weiß, über solche Eindrücke gern hinwegzugehen.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Strenggenommen –; und warum sollte man dies nicht so streng als möglich nehmen? –; verdient die Anerkennung als korrekte Psychoanalyse nur die analytische Bemühung, der es gelungen ist, die Amnesie zu beheben, welche dem Erwachsenen die Kenntnis seines Kinderlebens vom Anfang an (das heißt etwa vom zweiten bis zum fünften Jahr) verhüllt. Man kann das unter Analytikern nicht laut genug sagen und nicht oft genug wiederholen. Die Motive, sich über diese Mahnung hinwegzusetzen, sind ja begreiflich. Man möchte brauchbare Erfolge in kürzerer Zeit und mit geringerer Mühe erzielen. Aber gegenwärtig ist </w:t>
      </w:r>
      <w:r w:rsidRPr="008725BE">
        <w:rPr>
          <w:rFonts w:ascii="Garamond" w:hAnsi="Garamond"/>
          <w:color w:val="000000"/>
          <w:lang w:val="en-GB"/>
        </w:rPr>
        <w:lastRenderedPageBreak/>
        <w:t>die theoretische Erkenntnis noch ungleich wichtiger für jeden von uns als der therapeutische Erfolg, und wer die Kindheitsanalyse vernachlässigt, muß notwendig den folgenschwersten Irrtümern verfallen. Eine Unterschätzung des Einflusses späterer Erlebnisse wird durch diese Betonung der Wichtigkeit der frühesten nicht bedingt; aber die späteren Lebenseindrücke sprechen in der Analyse laut genug durch den Mund des Kranken, für das Anrecht der Kindheit muß erst der Arzt die Stimme erheben.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Kinderzeit zwischen zwei und vier oder fünf Jahren ist diejenige, in welcher die mitgebrachten libidinösen Faktoren von den Erlebnissen zuerst geweckt und an gewisse Komplexe gebunden werden. Die hier behandelten Schlagephantasien zeigen sich erst zu Ende oder nach Ablauf dieser Zeit. Es könnte also wohl sein, daß sie eine Vorgeschichte haben, eine Entwicklung durchmachen, einem Endausgang, nicht einer Anfangsäußerung entsprechen.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Vermutung wird durch die Analyse bestätigt. Die konsequente Anwendung derselben lehrt, daß die Schlagephantasien eine gar nicht einfache Entwicklungsgeschichte haben, in deren Verlauf sich das meiste an ihnen mehr als einmal ändert: ihre Beziehung zur phantasierenden Person, ihr Objekt, Inhalt und ihre Bedeutung.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Zur leichteren Verfolgung dieser Wandlungen in den Schlagephantasien werde ich mir nun gestatten, meine Beschreibungen auf die weiblichen Personen einzuschränken, die ohnedies (vier gegen zwei) die Mehrheit meines Materials ausmachen. An die Schlagephantasien der Männer knüpft außerdem ein anderes Thema an, das ich in dieser Mitteilung beiseite lassen will. Ich werde mich dabei bemühen, nicht mehr zu schematisieren, als zur Darstellung eines durchschnittlichen Sachverhaltes unvermeidlich ist. Mag dann weitere Beobachtung auch eine größere Mannigfaltigkeit der Verhältnisse ergeben, so bin ich doch sicher, ein typisches Vorkommnis, und zwar nicht von seltener Art, erfaßt zu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erste Phase der Schlagephantasien bei Mädchen also muß einer sehr frühen Kinderzeit angehören. Einiges an ihnen bleibt in merkwürdiger Weise unbestimmbar, als ob es gleichgültig wäre. Die kärgliche Auskunft, die man von den Patienten bei der ersten Mitteilung erhalten hat: »Ein Kind wird geschlagen«, erscheint für diese Phantasie gerechtfertigt. Allein anderes ist mit Sicherheit bestimmbar und dann allemal im gleichen Sinne. Das geschlagene Kind ist nämlich nie das phantasierende, regelmäßig ein anderes Kind, zumeist ein Geschwisterchen, wo ein solches vorhanden ist. Da dies Bruder oder Schwester sein kann, kann sich hier auch keine konstante Beziehung zwischen dem Geschlecht des phantasierenden und dem des geschlagenen Kindes ergeben. Die Phantasie ist also sicherlich keine masochistische; man möchte sie sadistisch nennen, allein man darf nicht außer acht lassen, daß das phantasierende Kind auch niemals selbst das schlagende ist. Wer in Wirklichkeit die schlagende Person ist, bleibt zunächst unklar. Es läßt sich nur feststellen: kein anderes Kind, sondern ein Erwachsener. Diese unbestimmte erwachsene Person wird dann späterhin klar und eindeutig als der </w:t>
      </w:r>
      <w:r w:rsidRPr="008725BE">
        <w:rPr>
          <w:rFonts w:ascii="Garamond" w:hAnsi="Garamond"/>
          <w:i/>
          <w:iCs/>
          <w:color w:val="000000"/>
          <w:lang w:val="en-GB"/>
        </w:rPr>
        <w:t>Vater</w:t>
      </w:r>
      <w:r w:rsidRPr="008725BE">
        <w:rPr>
          <w:rFonts w:ascii="Garamond" w:hAnsi="Garamond"/>
          <w:color w:val="000000"/>
          <w:lang w:val="en-GB"/>
        </w:rPr>
        <w:t xml:space="preserve"> (des Mädchens) kenntlich.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Diese erste Phase der Schlagephantasie wird also voll wiedergegeben durch den Satz: » </w:t>
      </w:r>
      <w:r w:rsidRPr="008725BE">
        <w:rPr>
          <w:rFonts w:ascii="Garamond" w:hAnsi="Garamond"/>
          <w:i/>
          <w:iCs/>
          <w:color w:val="000000"/>
          <w:lang w:val="en-GB"/>
        </w:rPr>
        <w:t>Der Vater schlägt das Kind.</w:t>
      </w:r>
      <w:r w:rsidRPr="008725BE">
        <w:rPr>
          <w:rFonts w:ascii="Garamond" w:hAnsi="Garamond"/>
          <w:color w:val="000000"/>
          <w:lang w:val="en-GB"/>
        </w:rPr>
        <w:t xml:space="preserve">« Ich verrate viel von dem später aufzuzeigenden Inhalt, wenn ich anstatt dessen sage: »Der Vater schlägt </w:t>
      </w:r>
      <w:r w:rsidRPr="008725BE">
        <w:rPr>
          <w:rFonts w:ascii="Garamond" w:hAnsi="Garamond"/>
          <w:i/>
          <w:iCs/>
          <w:color w:val="000000"/>
          <w:lang w:val="en-GB"/>
        </w:rPr>
        <w:t>das mir verhaßte</w:t>
      </w:r>
      <w:r w:rsidRPr="008725BE">
        <w:rPr>
          <w:rFonts w:ascii="Garamond" w:hAnsi="Garamond"/>
          <w:color w:val="000000"/>
          <w:lang w:val="en-GB"/>
        </w:rPr>
        <w:t xml:space="preserve"> Kind.« Man kann übrigens schwankend werden, ob man dieser Vorstufe der späteren Schlagephantasie auch schon den Charakter einer »Phantasie« zuerkennen soll. Es handelt sich vielleicht eher um Erinnerungen an solche Vorgänge, die man mitangesehen hat, an Wünsche, die bei verschiedenen Anlässen aufgetreten sind, aber diese Zweifel haben keine Wichtigkeit.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Zwischen dieser ersten und der nächsten Phase haben sich große Umwandlungen vollzogen. Die schlagende Person ist zwar die nämliche, die des Vaters, geblieben, aber das geschlagene Kind ist ein anderes geworden, es ist regelmäßig die des phantasierenden Kindes selbst, die Phantasie ist in hohem Grade lustbetont und hat sich mit einem bedeutsamen Inhalt erfüllt, dessen Ableitung uns später beschäftigen wird. Ihr Wortlaut ist jetzt also: » </w:t>
      </w:r>
      <w:r w:rsidRPr="008725BE">
        <w:rPr>
          <w:rFonts w:ascii="Garamond" w:hAnsi="Garamond"/>
          <w:i/>
          <w:iCs/>
          <w:color w:val="000000"/>
          <w:lang w:val="en-GB"/>
        </w:rPr>
        <w:t>Ich werde vom Vater geschlagen.</w:t>
      </w:r>
      <w:r w:rsidRPr="008725BE">
        <w:rPr>
          <w:rFonts w:ascii="Garamond" w:hAnsi="Garamond"/>
          <w:color w:val="000000"/>
          <w:lang w:val="en-GB"/>
        </w:rPr>
        <w:t>« Sie hat unzweifelhaft masochistischen Charakter.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zweite Phase ist die wichtigste und folgenschwerste von allen. Aber man kann in gewissem Sinne von ihr sagen, sie habe niemals eine reale Existenz gehabt. Sie wird in keinem Falle erinnert, sie hat es nie zum Bewußtwerden gebracht. Sie ist eine Konstruktion der Analyse, aber darum nicht minder eine Notwendigkeit.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dritte Phase ähnelt wiederum der ersten. Sie hat den aus der Mitteilung der Patientin bekannten Wortlaut. Die schlagende Person ist niemals die des Vaters, sie wird entweder wie in der ersten Phase unbestimmt gelassen oder in typischer Weise durch einen Vatervertreter (Lehrer) besetzt. </w:t>
      </w:r>
      <w:r w:rsidRPr="008725BE">
        <w:rPr>
          <w:rFonts w:ascii="Garamond" w:hAnsi="Garamond"/>
          <w:color w:val="000000"/>
        </w:rPr>
        <w:t xml:space="preserve">Die eigene Person des phantasierenden Kindes kommt in der Schlagephantasie nicht mehr zum Vorschein. </w:t>
      </w:r>
      <w:r w:rsidRPr="008725BE">
        <w:rPr>
          <w:rFonts w:ascii="Garamond" w:hAnsi="Garamond"/>
          <w:color w:val="000000"/>
          <w:lang w:val="en-GB"/>
        </w:rPr>
        <w:t xml:space="preserve">Auf eindringliches Befragen äußern die Patienten nur: »Ich schaue wahrscheinlich zu.« Anstatt des einen geschlagenen Kindes sind jetzt meistens viele Kinder vorhanden. Überwiegend häufig sind es (in den Phantasien der Mädchen) Buben, die geschlagen werden, aber auch nicht individuell bekannte. Die </w:t>
      </w:r>
      <w:r w:rsidRPr="008725BE">
        <w:rPr>
          <w:rFonts w:ascii="Garamond" w:hAnsi="Garamond"/>
          <w:color w:val="000000"/>
          <w:lang w:val="en-GB"/>
        </w:rPr>
        <w:lastRenderedPageBreak/>
        <w:t>ursprüngliche einfache und monotone Situation des Geschlagenwerdens kann die mannigfaltigsten Abänderungen und Ausschmückungen erfahren, das Schlagen selbst durch Strafen und Demütigungen anderer Art ersetzt werden. Der wesentliche Charakter aber, der auch die einfachsten Phantasien dieser Phase von denen der ersten unterscheidet und der die Beziehung zur mittleren Phase herstellt, ist der folgende: die Phantasie ist jetzt der Träger einer starken, unzweideutig sexuellen Erregung und vermittelt als solcher die onanistische Befriedigung. Gerade das ist aber das Rätselhafte; auf welchem Wege ist die nunmehr sadistische Phantasie, daß fremde und unbekannte Buben geschlagen werden, zu dem von da an dauernden Besitz der libidinösen Strebung des kleinen Mädchens gekommen?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verhehlen uns auch nicht, daß Zusammenhang und Aufeinanderfolge der drei Phasen der Schlagephantasie wie alle ihre anderen Eigentümlichkeiten bisher ganz unverständlich geblieben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IV</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Führt man die Analyse durch jene frühen Zeiten, in die die Schlagephantasie verlegt und aus denen sie erinnert wird, so zeigt sie das Kind in die Erregungen seines Elternkomplexes verstrickt.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kleine Mädchen ist zärtlich an den Vater fixiert, der wahrscheinlich alles getan hat, um seine Liebe zu gewinnen, und legt dabei den Keim zu einer Haß- und Konkurrenzeinstellung gegen die Mutter, die neben einer Strömung von zärtlicher Anhänglichkeit bestehen bleibt und der vorbehalten sein kann, mit den Jahren immer stärker und deutlicher bewußt zu werden oder den Anstoß zu einer übergroßen reaktiven Liebesbindung an sie zu geben. Aber nicht an das Verhältnis zur Mutter knüpft die Schlagephantasie an. Es gibt in der Kinderstube noch andere Kinder, um ganz wenige Jahre älter oder jünger, die man aus allen anderen Gründen, hauptsächlich aber darum nicht mag, weil man die Liebe der Eltern mit ihnen teilen soll, und die man darum mit der ganzen wilden Energie, die dem Gefühlsleben dieser Jahre eigen ist, von sich stößt. Ist es ein jüngeres Geschwisterchen (wie in drei von meinen vier Fällen), so verachtet man es, außerdem daß man es haßt, und muß doch zusehen, wie es jenen Anteil von Zärtlichkeit an sich zieht, den die verblendeten Eltern jedesmal für das Jüngste bereit haben. Man versteht bald, daß Geschlagenwerden, auch wenn es nicht sehr wehe tut, eine Absage der Liebe und eine Demütigung bedeutet. So manches Kind, das sich für sicher thronend in der unerschütterlichen Liebe seiner Eltern hielt, ist durch einen einzigen Schlag aus allen Himmeln seiner eingebildeten Allmacht gestürzt worden. Also ist es eine behagliche Vorstellung, daß der Vater dieses verhaßte Kind schlägt, ganz unabhängig davon, ob man gerade ihn schlagen gesehen hat. Es heißt: »Der Vater liebt dieses andere Kind nicht, </w:t>
      </w:r>
      <w:r w:rsidRPr="008725BE">
        <w:rPr>
          <w:rFonts w:ascii="Garamond" w:hAnsi="Garamond"/>
          <w:i/>
          <w:iCs/>
          <w:color w:val="000000"/>
          <w:lang w:val="en-GB"/>
        </w:rPr>
        <w:t>er liebt nur mich</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 ist also Inhalt und Bedeutung der Schlagephantasie in ihrer ersten Phase. Die Phantasie befriedigt offenbar die Eifersucht des Kindes und hängt von seinem Liebesleben ab, aber sie wird auch von dessen egoistischen Interessen kräftig gestützt. Es bleibt also zweifelhaft, ob man sie als eine rein »sexuelle« bezeichnen darf; auch eine »sadistische« getraut man sich nicht, sie zu nennen. Man weiß ja, daß gegen den Ursprung hin alle die Kennzeichen zu verschwimmen pflegen, auf welche wir unsere Unterscheidungen aufzubauen gewohnt sind. Also vielleicht ähnlich wie die Verheißung der drei Schicksalsschwestern an Banquo lautete: nicht sicher sexuell, nicht selbst sadistisch, aber doch der Stoff, aus dem später beides werden soll. Keinesfalls aber liegt ein Grund zur Vermutung vor, daß schon diese erste Phase der Phantasie einer Erregung dient, welche sich unter Inanspruchnahme der Genitalien Abfuhr in einem onanistischen Akt zu verschaffen lernt.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dieser vorzeitigen Objektwahl der inzestuösen Liebe erreicht das Sexualleben des Kindes offenbar die Stufe der genitalen Organisation. Es ist dies für den Knaben leichter nachzuweisen, aber auch fürs kleine Mädchen nicht zu bezweifeln. Etwas wie eine Ahnung der späteren definitiven und normalen Sexualziele beherrscht das libidinöse Streben des Kindes; man mag sich füglich verwundern, woher es kommt, darf es aber als Beweis dafür nehmen, daß die Genitalien ihre Rolle beim Erregungsvorgang bereits angetreten haben. Der Wunsch, mit der Mutter ein Kind zu haben, fehlt nie beim Knaben, der Wunsch, vom Vater ein Kind zu bekommen, ist beim Mädchen konstant, und dies bei völliger Unfähigkeit, sich Klarheit über den Weg zu schaffen, der zur Erfüllung dieser Wünsche führen kann. Daß die Genitalien etwas damit zu tun haben, scheint beim Kinde festzustehen, wenngleich seine grübelnde Tätigkeit das Wesen der zwischen den Eltern vorausgesetzten Intimität in andersartigen Beziehungen suchen mag, zum Beispiel im Beisammenschlafen, in gemeinsamer Harnentleerung und dergleichen, und solcher Inhalt eher in Wortvorstellungen erfaßt werden kann als das Dunkle, das mit dem Genitalen zusammenhängt.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Allein es kömmt die Zeit, zu der diese frühe Blüte vom Frost geschädigt wird; keine dieser inzestuösen Verliebtheiten kann dem Verhängnis der Verdrängung entgehen. Sie verfallen ihr entweder bei nachweisbaren äußeren Anlässen, die eine Enttäuschung hervorrufen, bei unerwarteten Kränkungen, bei der unerwünschten Geburt eines neuen Geschwisterchens, die als Treulosigkeit empfunden wird usw., oder ohne solche Veranlassungen, von innen heraus, vielleicht nur infolge des Ausbleibens der zu lange </w:t>
      </w:r>
      <w:r w:rsidRPr="008725BE">
        <w:rPr>
          <w:rFonts w:ascii="Garamond" w:hAnsi="Garamond"/>
          <w:color w:val="000000"/>
          <w:lang w:val="en-GB"/>
        </w:rPr>
        <w:lastRenderedPageBreak/>
        <w:t xml:space="preserve">ersehnten Erfüllung. Es ist unverkennbar, daß die Veranlassungen nicht die wirkenden Ursachen sind, sondern daß es diesen Liebesbeziehungen bestimmt ist, irgend einmal unterzugehen, wir können nicht sagen, woran. Am wahrscheinlichsten ist es, daß sie vergehen, weil ihre Zeit um ist, weil die Kinder in eine neue Entwicklungsphase eintreten, in welcher sie genötigt sind, die Verdrängung der inzestuösen Objektwahl aus der Menschheitsgeschichte zu wiederholen, wie sie vorher gedrängt waren, solche Objektwahl vorzunehmen. (Siehe das Schicksal in der Ödipusmythe.) Was als psychisches Ergebnis der inzestuösen Liebesregungen unbewußt vorhanden ist, wird vom Bewußtsein der neuen Phase nicht mehr übernommen, was davon bereits bewußt geworden war, wieder herausgedrängt. Gleichzeitig mit diesem Verdrängungsvorgang erscheint ein Schuldbewußtsein, auch dieses unbekannter Herkunft, aber ganz unzweifelhaft an jene Inzestwünsche geknüpft und durch deren Fortdauer im Unbewußten gerechtfertigt </w:t>
      </w:r>
      <w:hyperlink r:id="rId79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die Fortführung in ›Der Untergang des Ödipuskomplexes‹ (1924  </w:t>
        </w:r>
        <w:r w:rsidRPr="008725BE">
          <w:rPr>
            <w:rStyle w:val="innerfusslink3"/>
            <w:rFonts w:ascii="Garamond" w:hAnsi="Garamond" w:cs="Arial"/>
            <w:b/>
            <w:bCs/>
            <w:i/>
            <w:iCs/>
            <w:lang w:val="en-GB"/>
          </w:rPr>
          <w:t>d</w:t>
        </w:r>
        <w:r w:rsidRPr="008725BE">
          <w:rPr>
            <w:rStyle w:val="innerfusslink3"/>
            <w:rFonts w:ascii="Garamond" w:hAnsi="Garamond" w:cs="Arial"/>
            <w:b/>
            <w:bCs/>
            <w:lang w:val="en-GB"/>
          </w:rPr>
          <w: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Phantasie der inzestuösen Liebeszeit hatte gesagt: »Er (der Vater) liebt nur mich, nicht das andere Kind, denn dieses schlägt er ja.« Das Schuldbewußtsein weiß keine härtere Strafe zu finden als die Umkehrung dieses Triumphes: »Nein, er liebt dich nicht, denn er schlägt dich.« So würde die Phantasie der zweiten Phase, selbst vom Vater geschlagen zu werden, zum direkten Ausdruck des Schuldbewußtseins, dem nun die Liebe zum Vater unterliegt. Sie ist also masochistisch geworden; meines Wissens ist es immer so, jedesmal ist das Schuldbewußtsein das Moment, welches den Sadismus zum Masochismus umwandelt. Dies ist aber gewiß nicht der ganze Inhalt des Masochismus. Das Schuldbewußtsein kann nicht allein das Feld behauptet haben; der Liebesregung muß auch ihr Anteil werden. Erinnern wir uns daran, daß es sich um Kinder handelt, bei denen die sadistische Komponente aus konstitutionellen Gründen vorzeitig und isoliert hervortreten konnte. Wir brauchen diesen Gesichtspunkt nicht aufzugeben. Bei eben diesen Kindern ist ein Rückgreifen auf die prägenitale, sadistisch-anale Organisation des Sexuallebens besonders erleichtert. Wenn die kaum erreichte genitale Organisation von der Verdrängung betroffen wird, so tritt nicht nur die eine Folge auf, daß jegliche psychische Vertretung der inzestuösen Liebe unbewußt wird oder bleibt, sondern es kommt noch als andere Folge hinzu, daß die Genitalorganisation selbst eine regressive Erniedrigung erfährt. Das: »Der Vater liebt mich«, war im genitalen Sinne gemeint; durch die Regression verwandelt es sich in: »Der Vater schlägt mich (ich werde vom Vater geschlagen).« Dies Geschlagenwerden ist nun ein Zusammentreffen von Schuldbewußtsein und Erotik; </w:t>
      </w:r>
      <w:r w:rsidRPr="008725BE">
        <w:rPr>
          <w:rFonts w:ascii="Garamond" w:hAnsi="Garamond"/>
          <w:i/>
          <w:iCs/>
          <w:color w:val="000000"/>
          <w:lang w:val="en-GB"/>
        </w:rPr>
        <w:t>es ist nicht nur die Strafe für die verpönte genitale Beziehung, sondern auch der regressive Ersatz für sie</w:t>
      </w:r>
      <w:r w:rsidRPr="008725BE">
        <w:rPr>
          <w:rFonts w:ascii="Garamond" w:hAnsi="Garamond"/>
          <w:color w:val="000000"/>
          <w:lang w:val="en-GB"/>
        </w:rPr>
        <w:t>, und aus dieser letzteren Quelle bezieht es die libidinöse Erregung, die ihm von nun anhaften und in onanistischen Akten Abfuhr finden wird. Dies ist aber erst das Wesen des Masochismus.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Phantasie der zweiten Phase, selbst vom Vater geschlagen zu werden, bleibt in der Regel unbewußt, wahrscheinlich infolge der Intensität der Verdrängung. Ich kann nicht angeben, warum sie doch in einem meiner sechs Fälle (einem männlichen) bewußt erinnert wurde. Dieser jetzt erwachsene Mann hatte es klar im Gedächtnis bewahrt, daß er die Vorstellung, von der Mutter geschlagen zu werden, zu onanistischen Zwecken zu gebrauchen pflegte; allerdings ersetzte er die eigene Mutter bald durch die Mütter von Schulkollegen oder andere, ihr irgendwie ähnliche Frauen. Es ist nicht zu vergessen, daß bei der Verwandlung der inzestuösen Phantasie des Knaben in die entsprechende masochistische eine Umkehrung mehr vor sich geht als im Falle des Mädchens, nämlich die Ersetzung von Aktivität durch Passivität, und dies Mehr von Entstellung mag die Phantasie vor dem Unbewußtbleiben als Erfolg der Verdrängung schützen. Dem Schuldbewußtsein hätte so die Regression an Stelle der Verdrängung genügt; in den weiblichen Fällen wäre das, vielleicht an sich anspruchsvollere, Schuldbewußtsein erst durch das Zusammenwirken beider begütigt worden.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zweien meiner vier weiblichen Fälle hatte sich über der masochistischen Schlagephantasie ein kunstvoller, für das Leben der Betreffenden sehr bedeutsamer Überbau von Tagträumen entwickelt, dem die Funktion zufiel, das Gefühl der befriedigten Erregung auch bei Verzicht auf den onanistischen Akt möglich zu machen. In einem dieser Fälle durfte der Inhalt, vom Vater geschlagen zu werden, sich wieder ins Bewußtsein wagen, wenn das eigene Ich durch leichte Verkleidung unkenntlich gemacht war. Der Held dieser Geschichten wurde regelmäßig vom Vater geschlagen, später nur gestraft, gedemütigt usw.</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wiederhole aber, in der Regel bleibt die Phantasie unbewußt und muß erst in der Analyse rekonstruiert werden. Dies läßt vielleicht den Patienten recht geben, die sich erinnern wollen, die Onanie sei bei ihnen früher aufgetreten als die –; gleich zu besprechende –; Schlagephantasie der dritten Phase; letztere habe sich erst später hinzugesellt, etwa unter dem Eindruck von Schulszenen. Sooft wir diesen Angaben Glauben schenkten, waren wir immer geneigt anzunehmen, die Onanie sei zunächst unter der Herrschaft unbewußter Phantasien gestanden, die später durch bewußte ersetzt wurden.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Als solchen Ersatz fassen wir dann die bekannte Schlagephantasie der dritten Phase auf, die endgültige Gestaltung derselben, in der das phantasierende Kind höchstens noch als Zuschauer vorkommt, der Vater in der Person eines Lehrers oder sonstigen Vorgesetzten erhalten ist. Die Phantasie, die nun jener der ersten Phase ähnlich ist, scheint sich wieder ins Sadistische gewendet zu haben. Es macht den Eindruck, als wäre in dem Satze: »Der Vater schlägt das andere Kind, er liebt nur mich«, der Akzent auf den ersten Teil zurückgewichen, nachdem der zweite der Verdrängung erlegen ist. Allein nur die Form dieser Phantasie ist sadistisch, die Befriedigung, die aus ihr gewonnen wird, ist eine masochistische, ihre Bedeutung liegt darin, daß sie die libidinöse Besetzung des verdrängten Anteils übernommen hat und mit dieser auch das am Inhalt haftende Schuldbewußtsein. Alle die vielen unbestimmten Kinder, die vom Lehrer geschlagen werden, sind doch nur Ersetzungen der eigenen Person.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Hier zeigt sich auch zum erstenmal etwas wie eine Konstanz des Geschlechtes bei den der Phantasie dienenden Personen. </w:t>
      </w:r>
      <w:r w:rsidRPr="008725BE">
        <w:rPr>
          <w:rFonts w:ascii="Garamond" w:hAnsi="Garamond"/>
          <w:color w:val="000000"/>
          <w:lang w:val="en-GB"/>
        </w:rPr>
        <w:t>Die geschlagenen Kinder sind fast durchwegs Knaben, in den Phantasien der Knaben ebensowohl wie in denen der Mädchen. Dieser Zug erklärt sich greifbarerweise nicht aus einer etwaigen Konkurrenz der Geschlechter, denn sonst müßten ja in den Phantasien der Knaben vielmehr Mädchen geschlagen werden; er hat auch nichts mit dem Geschlecht des gehaßten Kindes der ersten Phase zu tun, sondern er weist auf einen komplizierenden Vorgang bei den Mädchen hin. Wenn sie sich von der genital gemeinten inzestuösen Liebe zum Vater abwenden, brechen sie überhaupt leicht mit ihrer weiblichen Rolle, beleben ihren »Männlichkeitskomplex« (van Ophuijsen) und wollen von da an nur Buben sein. Daher sind auch ihre Prügelknaben, die sie vertreten, Buben. In beiden Fällen von Tagträumen –; der eine erhob sich beinahe zum Niveau einer Dichtung –; waren die Helden immer nur junge Männer, ja Frauen kamen in diesen Schöpfungen überhaupt nicht vor und fanden erst nach vielen Jahren in Nebenrollen Aufnahme.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hoffe, ich habe meine analytischen Erfahrungen detailliert genug vorgetragen, und bitte nur noch in Betracht zu ziehen, daß die oft erwähnten sechs Fälle nicht mein Material erschöpfen, sondern daß ich auch wie andere Analytiker über eine weit größere Anzahl von minder gut untersuchten Fällen verfüge. Diese Beobachtungen können nach mehreren Richtungen verwertet werden, zur Aufklärung über die Genese der Perversionen überhaupt, im besonderen des Masochismus, und zur Würdigung der Rolle, welche der Geschlechtsunterschied in der Dynamik der Neurose spielt.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augenfälligste Ergebnis einer solchen Diskussion betrifft die Entstehung der Perversionen. An der Auffassung, die bei ihnen die konstitutionelle Verstärkung oder Voreiligkeit einer Sexualkomponente in den Vordergrund rückt, wird zwar nicht gerüttelt, aber damit ist nicht alles gesagt. Die Perversion steht nicht mehr isoliert im Sexualleben des Kindes, sondern sie wird in den Zusammenhang der uns bekannten typischen –; um nicht zu sagen: normalen –; Entwicklungsvorgänge aufgenommen. Sie wird in Beziehung zur inzestuösen Objektliebe des Kindes, zum Ödipuskomplex desselben, gebracht, tritt auf dem Boden dieses Komplexes zuerst hervor, und nachdem er zusammengebrochen ist, bleibt sie, oft allein, von ihm übrig, als Erbe seiner libidinösen Ladung und belastet mit dem an ihm haftenden Schuldbewußtsein. Die abnorme Sexualkonstitution hat schließlich ihre Stärke darin gezeigt, daß sie den Ödipuskomplex in eine besondere Richtung gedrängt und ihn zu einer ungewöhnlichen Resterscheinung gezwungen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kindliche Perversion kann, wie bekannt, das Fundament für die Ausbildung einer gleichsinnigen, durchs Leben bestehenden Perversion werden, die das ganze Sexualleben des Menschen aufzehrt, oder sie kann abgebrochen werden und im Hintergrunde einer normalen Sexualentwicklung erhalten bleiben, der sie dann doch immer einen gewissen Energiebetrag entzieht. Der erstere Fall ist der bereits in voranalytischen Zeiten erkannte, aber die Kluft zwischen beiden wird durch die analytische Untersuchung solcher ausgewachsener Perversionen nahezu ausgefüllt. Man findet nämlich häufig genug bei diesen Perversen, daß auch sie, gewöhnlich in der Pubertätszeit, einen Ansatz zur normalen Sexualtätigkeit gebildet haben. Aber der war nicht kräftig genug, wurde vor den ersten, nie ausbleibenden Hindernissen aufgegeben, und dann griff die Person endgültig auf die infantile Fixierung zurück.</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wäre natürlich wichtig zu wissen, ob man die Entstehung der infantilen Perversionen aus dem Ödipuskomplex ganz allgemein behaupten darf. Das kann ja ohne weitere Untersuchungen nicht entschieden werden, aber unmöglich erschiene es nicht. Wenn wir der Anamnesen gedenken, die von den Perversionen Erwachsener gewonnen wurden, so merken wir doch, daß der maßgebende Eindruck, das »erste Erlebnis«, all dieser Perversen, Fetischisten und dergleichen fast niemals in Zeiten früher als das sechste Jahr verlegt wird. Um diese Zeit ist die Herrschaft des Ödipuskomplexes aber bereits abgelaufen; das erinnerte, in so rätselhafter Weise wirksame Erlebnis könnte sehr wohl die Erbschaft desselben vertreten haben. Die Beziehungen zwischen ihm und dem nun verdrängten Komplex müssen dunkle </w:t>
      </w:r>
      <w:r w:rsidRPr="008725BE">
        <w:rPr>
          <w:rFonts w:ascii="Garamond" w:hAnsi="Garamond"/>
          <w:color w:val="000000"/>
          <w:lang w:val="en-GB"/>
        </w:rPr>
        <w:lastRenderedPageBreak/>
        <w:t>bleiben, solange nicht die Analyse in die Zeit hinter dem ersten »pathogenen« Eindruck Licht getragen hat. Man erwäge nun, wie wenig Wert zum Beispiel die Behauptung einer angeborenen Homosexualität hat, die sich auf die Mitteilung stützt, die betreffende Person habe schon vom achten oder vom sechsten Jahre an nur Zuneigung zum gleichen Geschlecht verspürt.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aber die Ableitung der Perversionen aus dem Ödipuskomplex allgemein durchführbar ist, dann hat unsere Würdigung desselben eine neue Bekräftigung erfahren. Wir meinen ja, der Ödipuskomplex sei der eigentliche Kern der Neurose, die infantile Sexualität, die in ihm gipfelt, die wirkliche Bedingung der Neurose, und was von ihm im Unbewußten erübrigt, stelle die Disposition zur späteren neurotischen Erkrankung des Erwachsenen dar. Die Schlagephantasie und andere analoge perverse Fixierungen wären dann auch nur Niederschläge des Ödipuskomplexes, gleichsam Narben nach dem abgelaufenen Prozeß, geradeso wie die berüchtigte »Minderwertigkeit« einer solchen narzißtischen Narbe entspricht. Ich muß in dieser Auffassung Marcinowski, der sie kürzlich in glücklicher Weise vertreten hat (›Erotische Quellen der Minderwertigkeitsgefühle‹, 1918), uneingeschränkt beistimmen. Dieser Kleinheitswahn der Neurotiker ist bekanntlich auch nur ein partieller und mit der Existenz von Selbstüberschätzung aus anderen Quellen vollkommen verträglich. Über die Herkunft des Ödipuskomplexes selbst und über das den Menschen wahrscheinlich allein unter allen Tieren zugemessene Schicksal, das Sexualleben zweimal beginnen zu müssen, zuerst wie alle anderen Geschöpfe von früher Kindheit an und dann nach langer Unterbrechung in der Pubertätszeit von neuem, über all das, was mit seinem »archaischen Erbe« zusammenhängt, habe ich mich an anderer Stelle geäußert, und darauf gedenke ich hier nicht einzugehen.</w:t>
      </w:r>
    </w:p>
    <w:p w:rsidR="008725BE" w:rsidRPr="008725BE" w:rsidRDefault="008725BE" w:rsidP="008725BE">
      <w:pPr>
        <w:pStyle w:val="Sansinterligne"/>
        <w:rPr>
          <w:rFonts w:ascii="Garamond" w:hAnsi="Garamond"/>
          <w:color w:val="000000"/>
        </w:rPr>
      </w:pPr>
      <w:r w:rsidRPr="008725BE">
        <w:rPr>
          <w:rFonts w:ascii="Garamond" w:hAnsi="Garamond"/>
          <w:color w:val="000000"/>
        </w:rPr>
        <w:t>Zur Genese des Masochismus liefert die Diskussion unserer Schlagephantasien nur spärliche Beiträge. Es scheint sich zunächst zu bestätigen, daß der Masochismus keine primäre Triebäußerung ist, sondern aus einer Rückwendung des Sadismus gegen die eigene Person, also durch Regression vom Objekt aufs Ich entsteht. (Vgl. ›Triebe und Triebschicksale‹.) Triebe mit passivem Ziele sind, zumal beim Weibe, von Anfang zuzugeben, aber die Passivität ist noch nicht das Ganze des Masochismus; es gehört noch der Unlustcharakter dazu, der bei einer Trieberfüllung so befremdlich ist. Die Umwandlung des Sadismus in Masochismus scheint durch den Einfluß des am Verdrängungsakt beteiligten Schuldbewußtseins zu geschehen. Die Verdrängung äußert sich also hier in dreierlei Wirkungen; sie macht die Erfolge der Genitalorganisation unbewußt, nötigt diese selbst zur Regression auf die frühere sadistisch-anale Stufe und verwandelt deren Sadismus in den passiven, in gewissem Sinne wiederum narzißtischen Masochismus. Der mittlere dieser drei Erfolge wird durch die in diesen Fällen anzunehmende Schwäche der Genitalorganisation ermöglicht; der dritte wird notwendig, weil das Schuldbewußtsein am Sadismus ähnlichen Anstoß nimmt wie an der genital gefaßten inzestuösen Objektwahl. Woher das Schuldbewußtsein selbst stammt, sagen wiederum die Analysen nicht. Es scheint von der neuen Phase, in die das Kind eintritt, mitgebracht zu werden, und wenn es von da an verbleibt, einer ähnlichen Narbenbildung, wie es das Minderwertigkeitsgefühl ist, zu entsprechen. Nach unserer bisher noch unsicheren Orientierung in der Struktur des Ichs würden wir es jener Instanz zuteilen, die sich als kritisches Gewissen dem übrigen Ich entgegenstellt, im Traum das Silberersche funktionale Phänomen erzeugt und sich im Beachtungswahn vom Ich ablöst.</w:t>
      </w:r>
    </w:p>
    <w:p w:rsidR="008725BE" w:rsidRPr="008725BE" w:rsidRDefault="008725BE" w:rsidP="008725BE">
      <w:pPr>
        <w:pStyle w:val="Sansinterligne"/>
        <w:rPr>
          <w:rFonts w:ascii="Garamond" w:hAnsi="Garamond"/>
          <w:color w:val="000000"/>
        </w:rPr>
      </w:pPr>
      <w:r w:rsidRPr="008725BE">
        <w:rPr>
          <w:rFonts w:ascii="Garamond" w:hAnsi="Garamond"/>
          <w:color w:val="000000"/>
        </w:rPr>
        <w:t>Im Vorbeigehen wollen wir auch zur Kenntnis nehmen, daß die Analyse der hier behandelten kindlichen Perversion auch ein altes Rätsel lösen hilft, welches allerdings die außerhalb der Analyse Stehenden immer mehr gequält hat als die Analytiker selbst. Aber noch kürzlich hat selbst E. Bleuler als merkwürdig und unerklärlich anerkannt, daß von den Neurotikern die Onanie zum Mittelpunkt ihres Schuldbewußtseins gemacht werde. Wir haben von jeher angenommen, daß dies Schuldbewußtsein die frühkindliche und nicht die Pubertätsonanie meine und daß es zum größten Teil nicht auf den onanistischen Akt, sondern auf die ihm zugrunde liegende, wenn auch unbewußte Phantasie –; aus dem Ödipuskomplex also –; zu beziehen sei.</w:t>
      </w:r>
    </w:p>
    <w:p w:rsidR="008725BE" w:rsidRPr="008725BE" w:rsidRDefault="008725BE" w:rsidP="008725BE">
      <w:pPr>
        <w:pStyle w:val="Sansinterligne"/>
        <w:rPr>
          <w:rFonts w:ascii="Garamond" w:hAnsi="Garamond"/>
          <w:color w:val="000000"/>
        </w:rPr>
      </w:pPr>
      <w:r w:rsidRPr="008725BE">
        <w:rPr>
          <w:rFonts w:ascii="Garamond" w:hAnsi="Garamond"/>
          <w:color w:val="000000"/>
        </w:rPr>
        <w:t xml:space="preserve">Ich habe bereits ausgeführt, welche Bedeutung die dritte, scheinbar sadistische Phase der Schlagephantasie als Träger der zur Onanie drängenden Erregung [zu] gewinnen und zu welcher teils gleichsinnig fortsetzenden, teils kompensatorisch aufhebenden Phantasietätigkeit sie anzuregen pflegt. Doch ist die zweite, unbewußte und masochistische Phase, die Phantasie, selbst vom Vater geschlagen zu werden, die ungleich wichtigere. Nicht nur, daß sie ja durch Vermittlung der sie ersetzenden fortwirkt; es sind auch Wirkungen auf den Charakter nachzuweisen, welche sich unmittelbar von ihrer unbewußten Fassung ableiten. Menschen, die eine solche Phantasie bei sich tragen, entwickeln eine besondere Empfindlichkeit und Reizbarkeit gegen Personen, die sie in die Vaterreihe einfügen können; sie lassen sich leicht von ihnen kränken und bringen so die Verwirklichung der phantasierten Situation, daß sie vom Vater geschlagen </w:t>
      </w:r>
      <w:r w:rsidRPr="008725BE">
        <w:rPr>
          <w:rFonts w:ascii="Garamond" w:hAnsi="Garamond"/>
          <w:color w:val="000000"/>
        </w:rPr>
        <w:lastRenderedPageBreak/>
        <w:t>werden, zu ihrem Leid und Schaden zustande. Ich würde nicht verwundert sein, wenn es einmal gelänge, dieselbe Phantasie als Grundlage des paranoischen Querulantenwahns nachzuweisen.</w:t>
      </w:r>
    </w:p>
    <w:p w:rsidR="008725BE" w:rsidRPr="008725BE" w:rsidRDefault="008725BE" w:rsidP="008725BE">
      <w:pPr>
        <w:pStyle w:val="Sansinterligne"/>
        <w:rPr>
          <w:rFonts w:ascii="Garamond" w:hAnsi="Garamond"/>
          <w:color w:val="000000"/>
        </w:rPr>
      </w:pPr>
      <w:r w:rsidRPr="008725BE">
        <w:rPr>
          <w:rFonts w:ascii="Garamond" w:hAnsi="Garamond"/>
          <w:color w:val="000000"/>
        </w:rPr>
        <w:t>VI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Die Beschreibung der infantilen Schlagephantasien wäre völlig unübersichtlich geraten, wenn ich sie nicht, von wenigen Beziehungen abgesehen, auf die Verhältnisse bei weiblichen Personen eingeschränkt hätte. Ich wiederhole kurz die Ergebnisse: Die Schlagephantasie der kleinen Mädchen macht drei Phasen durch, von denen die erste und letzte als bewußt erinnert werden, die mittlere unbewußt bleibt. Die beiden bewußten scheinen sadistisch, die mittlere, unbewußte, ist unzweifelhaft masochistischer Natur; ihr Inhalt ist, vom Vater geschlagen zu werden, an ihr hängt die libidinöse Ladung und das Schuldbewußtsein. </w:t>
      </w:r>
      <w:r w:rsidRPr="008725BE">
        <w:rPr>
          <w:rFonts w:ascii="Garamond" w:hAnsi="Garamond"/>
          <w:color w:val="000000"/>
          <w:lang w:val="en-GB"/>
        </w:rPr>
        <w:t>Das geschlagene Kind ist in den beiden ersteren Phantasien stets ein anderes, in der mittleren Phase nur die eigene Person, in der dritten, bewußten Phase sind es weit überwiegend nur Knaben, die geschlagen werden. Die schlagende Person ist von Anfang an der Vater, später ein Stellvertreter aus der Vaterreihe. Die unbewußte Phantasie der mittleren Phase hatte ursprünglich genitale Bedeutung, ist durch Verdrängung und Regression aus dem inzestuösen Wunsch, vom Vater geliebt zu werden, hervorgegangen. In anscheinend lockerem Zusammenhange schließt sich an, daß die Mädchen zwischen der zweiten und dritten Phase ihr Geschlecht wechseln, indem sie sich zu Knaben phantasieren.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der Kenntnis der Schlagephantasien der Knaben bin ich, vielleicht nur durch die Ungunst des Materials, weniger weit gekommen. Ich habe begreiflicherweise volle Analogie der Verhältnisse bei Knaben und Mädchen erwartet, wobei an die Stelle des Vaters in der Phantasie die Mutter hätte treten müssen. Die Erwartung schien sich auch zu bestätigen, denn die für entsprechend gehaltene Phantasie des Knaben hatte zum Inhalt, von der Mutter (später von einer Ersatzperson) geschlagen zu werden. Allein diese Phantasie, in welcher die eigene Person als Objekt festgehalten war, unterschied sich von der zweiten Phase bei Mädchen dadurch, daß sie bewußt werden konnte. Wollte man sie aber darum eher der dritten Phase beim Mädchen gleichstellen, so blieb als neuer Unterschied, daß die eigene Person des Knaben nicht durch viele, unbestimmte, fremde, am wenigsten durch viele Mädchen ersetzt war. Die Erwartung eines vollen Parallelismus hatte sich also getäuscht.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Mein männliches Material umfaßte nur wenige Fälle mit infantiler Schlagephantasie ohne sonstige grobe Schädigung der Sexualtätigkeit, dagegen eine größere Anzahl von Personen, die als richtige Masochisten im Sinne der sexuellen Perversion bezeichnet werden mußten. Es waren entweder solche, die ihre Sexualbefriedigung ausschließlich in Onanie bei masochistischen Phantasien fanden, oder denen es gelungen war, Masochismus und Genitalbetätigung so zu verkoppeln, daß sie bei masochistischen Veranstaltungen und unter ebensolchen Bedingungen Erektion und Ejakulation erzielten oder zur Ausführung eines normalen Koitus befähigt wurden. Dazu kam der seltenere Fall, daß ein Masochist in seinem perversen Tun durch unerträglich stark auftretende Zwangsvorstellungen gestört wurde. Befriedigte Perverse haben nun selten Grund, die Analyse aufzusuchen; für die drei angeführten Gruppen von Masochisten können sich aber starke Motive ergeben, die sie zum Analytiker führen. Der masochistische Onanist findet sich absolut impotent, wenn er endlich doch den Koitus mit dem Weibe versucht, und wer bisher mit Hilfe einer masochistischen Vorstellung oder Veranstaltung den Koitus zustande gebracht hat, kann plötzlich die Entdeckung machen, daß dies ihm bequeme Bündnis versagt hat, indem das Genitale auf den masochistischen Anreiz nicht mehr reagiert. Wir sind gewohnt, den psychisch Impotenten, die sich in unsere Behandlung begeben, zuversichtlich Herstellung zu versprechen, aber wir sollten auch in dieser Prognose zurückhaltender sein, solange uns die Dynamik der Störung unbekannt ist. Es ist eine böse Überraschung, wenn uns die Analyse als Ursache der »bloß psychischen« Impotenz eine exquisite, vielleicht längst eingewurzelte, masochistische Einstellung enthüllt.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diesen masochistischen Männern macht man nun eine Entdeckung, welche uns mahnt, die Analogie mit den Verhältnissen beim Weibe vorerst nicht weiter zu verfolgen, sondern den Sachverhalt selbständig zu beurteilen. Es stellt sich nämlich heraus, daß sie in den masochistischen Phantasien wie bei den Veranstaltungen zur Realisierung derselben sich regelmäßig in die Rolle von Weibern versetzen, daß also ihr Masochismus mit einer </w:t>
      </w:r>
      <w:r w:rsidRPr="008725BE">
        <w:rPr>
          <w:rFonts w:ascii="Garamond" w:hAnsi="Garamond"/>
          <w:i/>
          <w:iCs/>
          <w:color w:val="000000"/>
          <w:lang w:val="en-GB"/>
        </w:rPr>
        <w:t>femininen</w:t>
      </w:r>
      <w:r w:rsidRPr="008725BE">
        <w:rPr>
          <w:rFonts w:ascii="Garamond" w:hAnsi="Garamond"/>
          <w:color w:val="000000"/>
          <w:lang w:val="en-GB"/>
        </w:rPr>
        <w:t xml:space="preserve"> Einstellung zusammenfällt. Dies ist aus den Einzelheiten der Phantasien leicht nachzuweisen; viele Patienten wissen es aber auch und äußern es als eine subjektive Gewißheit. Daran wird nichts geändert, wenn der spielerische Aufputz der masochistischen Szene an der Fiktion eines unartigen Knaben, Pagen oder Lehrlings, der gestraft werden soll, festhält. Die züchtigenden Personen sind aber in den Phantasien wie in den Veranstaltungen jedesmal Frauen. Das ist verwirrend genug; man möchte auch wissen, ob schon der Masochismus der </w:t>
      </w:r>
      <w:r w:rsidRPr="008725BE">
        <w:rPr>
          <w:rFonts w:ascii="Garamond" w:hAnsi="Garamond"/>
          <w:i/>
          <w:iCs/>
          <w:color w:val="000000"/>
          <w:lang w:val="en-GB"/>
        </w:rPr>
        <w:t>infantilen</w:t>
      </w:r>
      <w:r w:rsidRPr="008725BE">
        <w:rPr>
          <w:rFonts w:ascii="Garamond" w:hAnsi="Garamond"/>
          <w:color w:val="000000"/>
          <w:lang w:val="en-GB"/>
        </w:rPr>
        <w:t xml:space="preserve"> Schlagephantasie auf solcher femininen Einstellung beruht </w:t>
      </w:r>
      <w:hyperlink r:id="rId79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Weiteres darüber in ›Das ökonomische Problem des Masochismus‹ (1924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Lassen wir darum die schwer aufzuklärenden Verhältnisse des Masochismus der Erwachsenen beiseite und wenden uns zu den infantilen Schlagephantasien beim männlichen Geschlecht. Hier gestattet uns die Analyse der frühesten Kinderzeit wiederum, einen überraschenden Fund zu machen: Die bewußte oder bewußtseinsfähige Phantasie des Inhalts, von der Mutter geschlagen zu werden, ist nicht primär. Sie hat ein Vorstadium, das regelmäßig unbewußt ist und das den Inhalt hat: » </w:t>
      </w:r>
      <w:r w:rsidRPr="008725BE">
        <w:rPr>
          <w:rFonts w:ascii="Garamond" w:hAnsi="Garamond"/>
          <w:i/>
          <w:iCs/>
          <w:color w:val="000000"/>
          <w:lang w:val="en-GB"/>
        </w:rPr>
        <w:t>Ich werde vom Vater geschlagen.</w:t>
      </w:r>
      <w:r w:rsidRPr="008725BE">
        <w:rPr>
          <w:rFonts w:ascii="Garamond" w:hAnsi="Garamond"/>
          <w:color w:val="000000"/>
          <w:lang w:val="en-GB"/>
        </w:rPr>
        <w:t>« Dieses Vorstadium entspricht also wirklich der zweiten Phase der Phantasie beim Mädchen. Die bekannte und bewußte Phantasie: Ich werde von der Mutter geschlagen, steht an der Stelle der dritten Phase beim Mädchen, in der, wie erwähnt, unbekannte Knaben die geschlagenen Objekte sind. Ein der ersten Phase beim Mädchen vergleichbares Vorstadium sadistischer Natur konnte ich beim Knaben nicht nachweisen, aber ich will hier keine endgültige Ablehnung aussprechen, denn ich sehe die Möglichkeit komplizierterer Typen wohl 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Geschlagenwerden der männlichen Phantasie, wie ich sie kurz und hoffentlich nicht mißverständlich nennen werde, ist gleichfalls ein durch Regression erniedrigtes Geliebtwerden im genitalen Sinne. Die unbewußte männliche Phantasie hat also ursprünglich nicht gelautet: »Ich werde vom Vater geschlagen«, wie wir es vorhin vorläufig hinstellten, sondern vielmehr: » </w:t>
      </w:r>
      <w:r w:rsidRPr="008725BE">
        <w:rPr>
          <w:rFonts w:ascii="Garamond" w:hAnsi="Garamond"/>
          <w:i/>
          <w:iCs/>
          <w:color w:val="000000"/>
          <w:lang w:val="en-GB"/>
        </w:rPr>
        <w:t>Ich werde vom Vater geliebt.</w:t>
      </w:r>
      <w:r w:rsidRPr="008725BE">
        <w:rPr>
          <w:rFonts w:ascii="Garamond" w:hAnsi="Garamond"/>
          <w:color w:val="000000"/>
          <w:lang w:val="en-GB"/>
        </w:rPr>
        <w:t xml:space="preserve">« Sie ist durch die bekannten Prozesse umgewandelt worden in die bewußte Phantasie: » </w:t>
      </w:r>
      <w:r w:rsidRPr="008725BE">
        <w:rPr>
          <w:rFonts w:ascii="Garamond" w:hAnsi="Garamond"/>
          <w:i/>
          <w:iCs/>
          <w:color w:val="000000"/>
          <w:lang w:val="en-GB"/>
        </w:rPr>
        <w:t>Ich werde von der Mutter geschlagen.</w:t>
      </w:r>
      <w:r w:rsidRPr="008725BE">
        <w:rPr>
          <w:rFonts w:ascii="Garamond" w:hAnsi="Garamond"/>
          <w:color w:val="000000"/>
          <w:lang w:val="en-GB"/>
        </w:rPr>
        <w:t xml:space="preserve">« Die Schlagephantasie des Knaben ist also von Anfang an eine passive, wirklich aus der femininen Einstellung zum Vater hervorgegangen. Sie entspricht auch ebenso wie die weibliche (die des Mädchens) dem Ödipuskomplex, nur ist der von uns erwartete Parallelismus zwischen beiden gegen eine Gemeinsamkeit anderer Art aufzugeben: </w:t>
      </w:r>
      <w:r w:rsidRPr="008725BE">
        <w:rPr>
          <w:rFonts w:ascii="Garamond" w:hAnsi="Garamond"/>
          <w:i/>
          <w:iCs/>
          <w:color w:val="000000"/>
          <w:lang w:val="en-GB"/>
        </w:rPr>
        <w:t>In beiden Fällen leitet sich die Schlagephantasie von der inzestuösen Bindung an den Vater ab</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wird der Übersichtlichkeit dienen, wenn ich hier die anderen Übereinstimmungen und Verschiedenheiten zwischen den Schlagephantasien der beiden Geschlechter anfüge. Beim Mädchen geht die unbewußte masochistische Phantasie von der normalen Ödipuseinstellung aus; beim Knaben von der verkehrten, die den Vater zum Liebesobjekt nimmt. Beim Mädchen hat die Phantasie eine Vorstufe (die erste Phase), in welcher das Schlagen in seiner indifferenten Bedeutung auftritt und eine eifersüchtig gehaßte Person betrifft; beides entfällt beim Knaben, doch könnte gerade diese Differenz durch glücklichere Beobachtung beseitigt werden. Beim Übergang zur ersetzenden bewußten Phantasie hält das Mädchen die Person des Vaters und somit das Geschlecht der schlagenden Person fest; es ändert aber die geschlagene Person und ihr Geschlecht, so daß am Ende ein Mann männliche Kinder schlägt; der Knabe ändert im Gegenteil Person und Geschlecht des Schlagenden, indem er Vater durch Mutter ersetzt, und behält seine Person bei, so daß am Ende der Schlagende und die geschlagene Person verschiedenen Geschlechts sind. Beim Mädchen wird die ursprünglich masochistische (passive) Situation durch die Verdrängung in eine sadistische umgewandelt, deren sexueller Charakter sehr verwischt ist, beim Knaben bleibt sie masochistisch und bewahrt infolge der Geschlechtsdifferenz zwischen schlagender und geschlagener Person mehr Ähnlichkeit mit der ursprünglichen, genital gemeinten Phantasie. Der Knabe entzieht sich durch die Verdrängung und Umarbeitung der unbewußten Phantasie seiner Homosexualität; das Merkwürdige an seiner späteren bewußten Phantasie ist, daß sie feminine Einstellung ohne homosexuelle Objektwahl zum Inhalt hat. Das Mädchen dagegen entläuft bei dem gleichen Vorgang dem Anspruch des Liebeslebens überhaupt, phantasiert sich zum Manne, ohne selbst männlich aktiv zu werden, und wohnt dem Akt, welcher einen sexuellen ersetzt, nur mehr als Zuschauer bei.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sind berechtigt anzunehmen, daß durch die Verdrängung der ursprünglichen unbewußten Phantasie nicht allzuviel geändert wird. Alles fürs Bewußtsein Verdrängte und Ersetzte bleibt im Unbewußten erhalten und wirkungsfähig. </w:t>
      </w:r>
      <w:r w:rsidRPr="008725BE">
        <w:rPr>
          <w:rFonts w:ascii="Garamond" w:hAnsi="Garamond"/>
          <w:color w:val="000000"/>
        </w:rPr>
        <w:t xml:space="preserve">Anders ist es mit dem Effekt der Regression auf eine frühere Stufe der Sexualorganisation. Von dieser dürfen wir glauben, daß sie auch die Verhältnisse im Unbewußten ändert, so daß nach der Verdrängung im Unbewußten bei beiden Geschlechtern zwar nicht die (passive) Phantasie, vom Vater geliebt zu werden, aber doch die masochistische, von ihm geschlagen zu werden, bestehen bleibt. </w:t>
      </w:r>
      <w:r w:rsidRPr="008725BE">
        <w:rPr>
          <w:rFonts w:ascii="Garamond" w:hAnsi="Garamond"/>
          <w:color w:val="000000"/>
          <w:lang w:val="en-GB"/>
        </w:rPr>
        <w:t>Es fehlt auch nicht an Anzeichen dafür, daß die Verdrängung ihre Absicht nur sehr unvollkommen erreicht hat. Der Knabe, der ja der homosexuellen Objektwahl entfliehen wollte und sein Geschlecht nicht gewandelt hat, fühlt sich doch in seinen bewußten Phantasien als Weib und stattet die schlagenden Frauen mit männlichen Attributen und Eigenschaften aus. Das Mädchen, das selbst sein Geschlecht aufgegeben und im ganzen gründlichere Verdrängungsarbeit geleistet hat, wird doch den Vater nicht los, getraut sich nicht selbst zu schlagen, und weil es selbst zum Buben geworden ist, läßt es hauptsächlich Buben geschlagen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Ich weiß, daß die hier beschriebenen Unterschiede im Verhalten der Schlagephantasie bei beiden Geschlechtern nicht genügend aufgeklärt sind, unterlasse aber den Versuch, diese Komplikationen durch Verfolgung ihrer Abhängigkeit von anderen Momenten zu entwirren, weil ich selbst das Material der Beobachtung nicht für erschöpfend halte. Soweit es aber vorliegt, möchte ich es zur Prüfung zweier Theorien benützen, die, einander entgegengesetzt, beide die Beziehung der Verdrängung zum Geschlechtscharakter behandeln und dieselbe, jede in ihrem Sinne, als eine sehr innige darstellen. Ich schicke voraus, daß ich beide immer für unzutreffend und irreführend gehalten habe.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erste dieser Theorien ist anonym; sie wurde mir vor vielen Jahren von einem damals befreundeten Kollegen vorgetragen. Ihre großzügige Einfachheit wirkt so bestechend, daß man sich nur verwundert fragen muß, warum sie sich seither in der Literatur nur durch vereinzelte Andeutungen vertreten findet. Sie lehnt sich an die bisexuelle Konstitution der menschlichen Individuen und behauptet, bei jedem einzelnen sei der Kampf der Geschlechtscharaktere das Motiv der Verdrängung. Das stärker ausgebildete, in der Person vorherrschende Geschlecht habe die seelische Vertretung des unterlegenen Geschlechtes ins Unbewußte verdrängt. Der Kern des Unbewußten, das Verdrängte, sei also bei jedem Menschen das in ihm vorhandene Gegengeschlechtliche. Das kann einen greifbaren Sinn wohl nur dann geben, wenn wir das Geschlecht eines Menschen durch die Ausbildung seiner Genitalien bestimmt sein lassen, sonst wird ja das stärkere Geschlecht eines Menschen unsicher, und wir laufen Gefahr, das, was uns als Anhaltspunkt bei der Untersuchung dienen soll, selbst wieder aus deren Ergebnis abzuleiten. Kurz zusammengefaßt: Beim Manne ist das unbewußte Verdrängte auf weibliche Triebregungen zurückzuführen; umgekehrt so beim Weibe.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zweite Theorie ist neuerer Herkunft; sie stimmt mit der ersten darin überein, daß sie wiederum den Kampf der beiden Geschlechter als entscheidend für die Verdrängung hinstellt. Im übrigen muß sie mit der ersteren in Gegensatz geraten; sie beruft sich auch nicht auf biologische, sondern auf soziologische Stützen. Diese von Alf. Adler ausgesprochene Theorie des »männlichen Protestes« hat zum Inhalt, daß jedes Individuum sich sträubt, auf der minderwertigen »weiblichen Linie« zu verbleiben, und zur allein befriedigenden männlichen Linie hindrängt. Aus diesem männlichen Protest erklärt Adler ganz allgemein die Charakter- wie die Neurosenbildung. Leider sind die beiden doch gewiß auseinanderzuhaltenden Vorgänge bei Adler so wenig scharf geschieden und wird die Tatsache der Verdrängung überhaupt so wenig gewürdigt, daß man sich der Gefahr eines Mißverständnisses aussetzt, wenn man die Lehre vom männlichen Protest auf die Verdrängung anzuwenden versucht. Ich meine, dieser Versuch müßte ergeben, daß der männliche Protest, das Abrückenwollen von der weiblichen Linie, in allen Fällen das Motiv der Verdrängung ist. Das Verdrängende wäre also stets eine männliche, das Verdrängte eine weibliche Triebregung. Aber auch das Symptom wäre Ergebnis einer weiblichen Regung, denn wir können den Charakter des Symptoms, daß es ein Ersatz des Verdrängten sei, der sich der Verdrängung zum Trotze durchgesetzt hat, nicht aufgeben.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Erproben wir nun die beiden Theorien, denen sozusagen die Sexualisierung des Verdrängungsvorganges gemeinsam ist, an dem Beispiel der hier studierten Schlagephantasie. Die ursprüngliche Phantasie: »Ich werde vom Vater geschlagen«, entspricht beim Knaben einer femininen Einstellung, ist also eine Äußerung seiner gegengeschlechtlichen Anlage. Wenn sie der Verdrängung unterliegt, so scheint die erstere Theorie recht behalten zu sollen, die ja die Regel aufgestellt hat, das Gegengeschlechtliche deckt sich mit dem Verdrängten. Es entspricht freilich unseren Erwartungen wenig, wenn das, was sich nach erfolgter Verdrängung herausstellt, die bewußte Phantasie, doch wiederum die feminine Einstellung, nur diesmal zur Mutter, aufweist. Aber wir wollen nicht auf Zweifel eingehen, wo die Entscheidung so nahe bevorsteht. Die ursprüngliche Phantasie der Mädchen: »Ich werde vom Vater geschlagen (das heißt: geliebt)«, entspricht doch gewiß als feminine Einstellung dem bei ihnen vorherrschenden, manifesten Geschlecht, sie sollte also der Theorie zufolge der Verdrängung entgehen, brauchte nicht unbewußt zu werden. In Wirklichkeit wird sie es doch und erfährt eine Ersetzung durch eine bewußte Phantasie, welche den manifesten Geschlechtscharakter verleugnet. Diese Theorie ist also für das Verständnis der Schlagephantasien unbrauchbar und durch sie widerlegt. Man könnte einwenden, es seien eben weibische Knaben und männische Mädchen, bei denen diese Schlagephantasien vorkommen und die diese Schicksale erfahren, oder es sei ein Zug von Weiblichkeit beim Knaben und von Männlichkeit beim Mädchen dafür verantwortlich zu machen, beim Knaben für die Entstehung der passiven Phantasie, beim Mädchen für deren Verdrängung. Wir würden dieser Auffassung wahrscheinlich zustimmen, aber die behauptete Beziehung zwischen manifestem Geschlechtscharakter und Auswahl des zur Verdrängung Bestimmten wären darum nicht minder unhaltbar. Wir sehen im Grunde nur, daß bei männlichen und </w:t>
      </w:r>
      <w:r w:rsidRPr="008725BE">
        <w:rPr>
          <w:rFonts w:ascii="Garamond" w:hAnsi="Garamond"/>
          <w:color w:val="000000"/>
          <w:lang w:val="en-GB"/>
        </w:rPr>
        <w:lastRenderedPageBreak/>
        <w:t>weiblichen Individuen sowohl männliche wie weibliche Triebregungen vorkommen und ebenso durch Verdrängung unbewußt werden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Sehr viel besser scheint sich die Theorie des männlichen Protestes gegen die Probe an den Schlagephantasien zu behaupten. Beim Knaben wie beim Mädchen entspricht die Schlagephantasie einer femininen Einstellung, also einem Verweilen auf der weiblichen Linie, und beide Geschlechter beeilen sich, durch Verdrängung der Phantasie von dieser Einstellung loszukommen. Allerdings scheint der männliche Protest nur beim Mädchen vollen Erfolg zu erzielen, hier stellt sich ein geradezu ideales Beispiel für das Wirken des männlichen Protestes her. Beim Knaben ist der Erfolg nicht voll befriedigend, die weibliche Linie wird nicht aufgegeben, der Knabe ist in seiner bewußten masochistischen Phantasie gewiß nicht »oben«. Es entspricht also der aus der Theorie abgeleiteten Erwartung, wenn wir in dieser Phantasie ein Symptom erkennen, das durch Mißglücken des männlichen Protestes entstanden ist. Es stört uns freilich, daß die aus der Verdrängung hervorgegangene Phantasie des Mädchens ebenfalls Wert und Bedeutung eines Symptoms hat. Hier, wo der männliche Protest seine Absicht voll durchgesetzt hat, müßte doch die Bedingung für die Symptombildung entfallen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Ehe wir noch aus dieser Schwierigkeit die Vermutung schöpfen, daß die ganze Betrachtungsweise des männlichen Protestes den Problemen der Neurosen und Perversionen unangemessen und in ihrer Anwendung auf sie unfruchtbar sei, werden wir unseren Blick von den passiven Schlagephantasien weg zu anderen Triebäußerungen des kindlichen Sexuallebens richten, die gleichfalls der Verdrängung unterliegen. Es kann doch niemand daran zweifeln, daß es auch Wünsche und Phantasien gibt, die von vornherein die männliche Linie einhalten und Ausdruck männlicher Triebregungen sind, z. B. sadistische Impulse oder die aus dem normalen Ödipuskomplex hervorgehenden Gelüste des Knaben gegen seine Mutter. Es ist ebensowenig zweifelhaft, daß auch diese von der Verdrängung befallen werden; wenn der männliche Protest die Verdrängung der passiven, später masochistischen Phantasien gut erklärt haben sollte, so wird er eben dadurch für den entgegengesetzten Fall der aktiven Phantasien völlig unbrauchbar. Das heißt: die Lehre vom männlichen Protest ist mit der Tatsache der Verdrängung überhaupt unvereinbar. Nur wer bereit ist, alle psychologischen Erwerbungen von sich zu werfen, die seit der ersten kathartischen Kur Breuers und durch sie gemacht worden sind, kann erwarten, daß dem Prinzip des männlichen Protestes in der Aufklärung der Neurosen und Perversionen eine Bedeutung zukommen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auf Beobachtung gestützte psychoanalytische Theorie hält fest daran, daß die Motive der Verdrängung nicht sexualisiert werden dürfen. Den Kern des seelisch Unbewußten bildet die archaische Erbschaft des Menschen, und dem Verdrängungsprozeß verfällt, was immer davon beim Fortschritt zu späteren Entwicklungsphasen als unbrauchbar, als mit dem Neuen unvereinbar und ihm schädlich zurückgelassen werden soll. Diese Auswahl gelingt bei einer Gruppe von Trieben besser als bei der anderen. Letztere, die Sexualtriebe, vermögen es, kraft besonderer Verhältnisse, die schon oftmals aufgezeigt worden sind, die Absicht der Verdrängung zu vereiteln und sich die Vertretung durch störende Ersatzbildungen zu erzwingen. Daher ist die der Verdrängung unterliegende infantile Sexualität die Haupttriebkraft der Symptombildung, und das wesentliche Stück ihres Inhalts, der Ödipuskomplex, der Kernkomplex der Neurose. Ich hoffe, in dieser Mitteilung die Erwartung regegemacht zu haben, daß auch die sexuellen Abirrungen des kindlichen wie des reifen Alters von dem nämlichen Komplex abzweigen.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Ei</w:t>
        </w:r>
        <w:bookmarkStart w:id="166" w:name="KS31"/>
        <w:bookmarkEnd w:id="166"/>
        <w:r w:rsidRPr="008725BE">
          <w:rPr>
            <w:rStyle w:val="Lienhypertexte"/>
            <w:rFonts w:ascii="Garamond" w:hAnsi="Garamond" w:cs="Arial"/>
            <w:b/>
            <w:bCs/>
            <w:lang w:val="en-GB"/>
          </w:rPr>
          <w:t xml:space="preserve">ne Kindheitserinnerung aus </w:t>
        </w:r>
        <w:r w:rsidRPr="008725BE">
          <w:rPr>
            <w:rStyle w:val="Lienhypertexte"/>
            <w:rFonts w:ascii="Garamond" w:hAnsi="Garamond" w:cs="Arial"/>
            <w:b/>
            <w:bCs/>
            <w:i/>
            <w:iCs/>
            <w:lang w:val="en-GB"/>
          </w:rPr>
          <w:t>Dichtung und Wahrheit</w:t>
        </w:r>
      </w:hyperlink>
      <w:r w:rsidRPr="008725BE">
        <w:rPr>
          <w:rFonts w:ascii="Garamond" w:hAnsi="Garamond"/>
          <w:i/>
          <w:iCs/>
          <w:color w:val="000000"/>
          <w:lang w:val="en-GB"/>
        </w:rPr>
        <w:t xml:space="preserve">  </w:t>
      </w:r>
      <w:r w:rsidRPr="008725BE">
        <w:rPr>
          <w:rFonts w:ascii="Garamond" w:hAnsi="Garamond"/>
          <w:caps/>
          <w:color w:val="000000"/>
          <w:lang w:val="en-GB"/>
        </w:rPr>
        <w:t>(1917)</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man sich erinnern will, was uns in der frühsten Zeit der Kindheit begegnet ist, so kommt man oft in den Fall, dasjenige, was wir von andern gehört, mit dem zu verwechseln, was wir wirklich aus eigner anschauender Erfahrung besitzen.« Diese Bemerkung macht Goethe auf einem der ersten Blätter der Lebensbeschreibung, die er im Alter von sechzig Jahren aufzuzeichnen begann. Vor ihr stehen nur einige Mitteilungen über seine »am 28. August 1749, mittags mit dem Glockenschlag zwölf« erfolgte Geburt. Die Konstellation der Gestirne war ihm günstig und mag wohl Ursache seiner Erhaltung gewesen sein, denn er kam »für tot« auf die Welt, und nur durch vielfache Bemühungen brachte man es dahin, daß er das Licht erblickte. Nach dieser Bemerkung folgt eine kurze Schilderung des Hauses und der Räumlichkeit, in welcher sich die Kinder –; er und seine jüngere Schwester –; am liebsten aufhielten. Dann aber erzählt Goethe eigentlich nur eine </w:t>
      </w:r>
      <w:r w:rsidRPr="008725BE">
        <w:rPr>
          <w:rFonts w:ascii="Garamond" w:hAnsi="Garamond"/>
          <w:i/>
          <w:iCs/>
          <w:color w:val="000000"/>
          <w:lang w:val="en-GB"/>
        </w:rPr>
        <w:t>einzige</w:t>
      </w:r>
      <w:r w:rsidRPr="008725BE">
        <w:rPr>
          <w:rFonts w:ascii="Garamond" w:hAnsi="Garamond"/>
          <w:color w:val="000000"/>
          <w:lang w:val="en-GB"/>
        </w:rPr>
        <w:t xml:space="preserve"> Begebenheit, die man in die »früheste Zeit der Kindheit« (in die Jahre bis vier?) versetzen kann und an welche er eine eigene Erinnerung bewahrt zu haben scheint.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Bericht hierüber lautet: »und mich gewannen drei gegenüber wohnende Brüder von Ochsenstein, hinterlassene Söhne des verstorbenen Schultheißen, gar lieb, und beschäftigten und neckten sich mit mir auf mancherlei Weise.«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Meinigen erzählten gern allerlei Eulenspiegeleien, zu denen mich jene sonst ernsten und einsamen Männer angereizt. Ich führe nur einen von diesen Streichen an. Es war eben Topfmarkt gewesen, und man hatte nicht allein die Küche für die nächste Zeit mit solchen Waren versorgt, sondern auch uns Kindern dergleichen Geschirr im kleinen zu spielender Beschäftigung eingekauft. An einem schönen Nachmittag, da alles ruhig im Hause war, trieb ich im Geräms« (der erwähnten gegen die Straße gerichteten Örtlichkeit) »mit meinen Schüsseln und Töpfen mein Wesen, und da weiter nichts dabei herauskommen wollte, warf ich ein Geschirr auf die Straße und freute mich, daß es so lustig zerbrach. Die von Ochsenstein, welche sahen, wie ich mich daran ergötzte, daß ich sogar fröhlich in die Händchen patschte, riefen: Noch mehr! Ich säumte nicht, sogleich einen Topf und, auf immer fortwährendes Rufen: Noch mehr! nach und nach sämtliche Schüsselchen, Tiegelchen, Kännchen gegen das Pflaster zu schleudern. Meine Nachbarn fuhren fort, ihren Beifall zu bezeigen, und ich war höchlich froh, ihnen Vergnügen zu machen. Mein Vorrat aber war aufgezehrt, und sie riefen immer: Noch mehr! Ich eilte daher stracks in die Küche und holte die irdenen Teller, welche nun freilich im Zerbrechen ein noch lustigeres Schauspiel gaben; und so lief ich hin und wider, brachte einen Teller nach dem anderen, wie ich sie auf dem Topfbrett der Reihe nach erreichen konnte, und weil sich jene gar nicht zufrieden gaben, so stürzte ich alles, was ich von Geschirr erschleppen konnte, in gleiches Verderben. Nur später erschien jemand, zu hindern und zu wehren. Das Unglück war geschehen, und man hatte für so viel zerbrochene Töpferware wenigstens eine lustige Geschichte, an der sich besonders die schalkischen Urheber bis an ihr Lebensende ergötzten.«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 konnte man in voranalytischen Zeiten ohne Anlaß zum Verweilen und ohne Anstoß lesen; aber später wurde das analytische Gewissen rege. Man hatte sich ja über Erinnerungen aus der frühesten Kindheit bestimmte Meinungen und Erwartungen gebildet, für die man gerne allgemeine Gültigkeit in Anspruch nahm. Es sollte nicht gleichgültig oder bedeutungslos sein, welche Einzelheit des Kindheitslebens sich dem allgemeinen Vergessen der Kindheit entzogen hatte. Vielmehr durfte man vermuten, daß dies im Gedächtnis Erhaltene auch das Bedeutsamste des ganzen Lebensabschnittes sei, und zwar entweder so, daß es solche Wichtigkeit schon zu seiner Zeit besessen, oder anders, daß es sie durch den Einfluß späterer Erlebnisse nachträglich erworben habe.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Allerdings war die hohe Wertigkeit solcher Kindheitserinnerungen nur in seltenen Fällen offensichtlich. Meist erschienen sie gleichgültig, ja nichtig, und es blieb zunächst unverstanden, daß es gerade ihnen gelungen war, der Amnesie zu trotzen; auch wußte derjenige, der sie als sein eigenes Erinnerungsgut seit langen Jahren bewahrt hatte, sie sowenig zu würdigen wie der Fremde, dem er sie erzählte. Um sie in ihrer Bedeutsamkeit zu erkennen, bedurfte es einer gewissen Deutungsarbeit, die entweder nachwies, wie ihr Inhalt durch einen anderen zu ersetzen sei, oder ihre Beziehung zu anderen, unverkennbar wichtigen Erlebnissen aufzeigte, für welche sie als sogenannte </w:t>
      </w:r>
      <w:r w:rsidRPr="008725BE">
        <w:rPr>
          <w:rFonts w:ascii="Garamond" w:hAnsi="Garamond"/>
          <w:i/>
          <w:iCs/>
          <w:color w:val="000000"/>
          <w:lang w:val="en-GB"/>
        </w:rPr>
        <w:t>Deckerinnerungen</w:t>
      </w:r>
      <w:r w:rsidRPr="008725BE">
        <w:rPr>
          <w:rFonts w:ascii="Garamond" w:hAnsi="Garamond"/>
          <w:color w:val="000000"/>
          <w:lang w:val="en-GB"/>
        </w:rPr>
        <w:t xml:space="preserve"> eingetreten waren.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jeder psychoanalytischen Bearbeitung einer Lebensgeschichte gelingt es, die Bedeutung der frühesten Kindheitserinnerungen in solcher Weise aufzuklären. Ja, es ergibt sich in der Regel, daß gerade diejenige Erinnerung, die der Analysierte voranstellt, die er zuerst erzählt, mit der er seine Lebensbeichte einleitet, sich als die wichtigste erweist, als diejenige, welche die Schlüssel zu den Geheimfächern seines Seelenlebens in sich birgt. Aber im Falle jener kleinen Kinderbegebenheit, die in </w:t>
      </w:r>
      <w:r w:rsidRPr="008725BE">
        <w:rPr>
          <w:rFonts w:ascii="Garamond" w:hAnsi="Garamond"/>
          <w:i/>
          <w:iCs/>
          <w:color w:val="000000"/>
          <w:lang w:val="en-GB"/>
        </w:rPr>
        <w:t>Dichtung und Wahrheit</w:t>
      </w:r>
      <w:r w:rsidRPr="008725BE">
        <w:rPr>
          <w:rFonts w:ascii="Garamond" w:hAnsi="Garamond"/>
          <w:color w:val="000000"/>
          <w:lang w:val="en-GB"/>
        </w:rPr>
        <w:t xml:space="preserve"> erzählt wird, kommt unseren Erwartungen zu wenig entgegen. Die Mittel und Wege, die bei unseren </w:t>
      </w:r>
      <w:r w:rsidRPr="008725BE">
        <w:rPr>
          <w:rFonts w:ascii="Garamond" w:hAnsi="Garamond"/>
          <w:color w:val="000000"/>
          <w:lang w:val="en-GB"/>
        </w:rPr>
        <w:lastRenderedPageBreak/>
        <w:t>Patienten zur Deutung führen, sind uns hier natürlich unzugänglich; der Vorfall an sich scheint einer aufspürbaren Beziehung zu wichtigen Lebenseindrücken späterer Zeit nicht fähig zu sein. Ein Schabernack zum Schaden der häuslichen Wirtschaft, unter fremdem Einfluß verübt, ist sicherlich keine passende Vignette für all das, was Goethe aus seinem reichen Leben mitzuteilen hat. Der Eindruck der vollen Harmlosigkeit und Beziehungslosigkeit will sich für diese Kindererinnerung behaupten, und wir mögen die Mahnung mitnehmen, die Anforderungen der Psychoanalyse nicht zu überspannen oder am ungeeigneten Orte vorzubringen.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 hatte ich denn das kleine Problem längst aus meinen Gedanken fallenlassen, als mir der Zufall einen Patienten zuführte, bei dem sich eine ähnliche Kindheitserinnerung in durchsichtigerem Zusammenhange ergab. Es war ein siebenundzwanzigjähriger, hochgebildeter und begabter Mann, dessen Gegenwart durch einen Konflikt mit seiner Mutter ausgefüllt war, der sich so ziemlich auf alle Interessen des Lebens erstreckte, unter dessen Wirkung die Entwicklung seiner Liebesfähigkeit und seiner selbständigen Lebensführung schwer gelitten hatte. Dieser Konflikt ging weit in die Kindheit zurück; man kann wohl sagen, bis in sein viertes Lebensjahr. Vorher war er ein sehr schwächliches, immer kränkelndes Kind gewesen, und doch hatten seine Erinnerungen diese üble Zeit zum Paradies verklärt, denn damals besaß er die uneingeschränkte, mit niemandem geteilte Zärtlichkeit der Mutter. Als er noch nicht vier Jahre war, wurde ein –; heute noch lebender –; Bruder geboren, und in der Reaktion auf diese Störung wandelte er sich zu einem eigensinnigen, unbotmäßigen Jungen, der unausgesetzt die Strenge der Mutter herausforderte. Er kam auch nie mehr in das richtige Geleise.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Als er in meine Behandlung trat –; nicht zum mindesten darum, weil die bigotte Mutter die Psychoanalyse verabscheute –; war die Eifersucht auf den nachgeborenen Bruder, die sich seinerzeit selbst in einem Attentat auf den Säugling in der Wiege geäußert hatte, längst vergessen. Er behandelte jetzt seinen jüngeren Bruder sehr rücksichtsvoll, aber sonderbare Zufallshandlungen, durch die er sonst geliebte Tiere wie seinen Jagdhund oder sorgsam von ihm gepflegte Vögel plötzlich zu schwerem Schaden brachte, waren wohl als Nachklänge jener feindseligen Impulse gegen den kleinen Bruder zu verstehen.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Dieser Patient berichtete nun, daß er um die Zeit des Attentats gegen das ihm verhaßte Kind einmal alles ihm erreichbare Geschirr aus dem Fenster des Landhauses auf die Straße geworfen. </w:t>
      </w:r>
      <w:r w:rsidRPr="008725BE">
        <w:rPr>
          <w:rFonts w:ascii="Garamond" w:hAnsi="Garamond"/>
          <w:color w:val="000000"/>
          <w:lang w:val="en-GB"/>
        </w:rPr>
        <w:t xml:space="preserve">Also dasselbe, was Goethe in </w:t>
      </w:r>
      <w:r w:rsidRPr="008725BE">
        <w:rPr>
          <w:rFonts w:ascii="Garamond" w:hAnsi="Garamond"/>
          <w:i/>
          <w:iCs/>
          <w:color w:val="000000"/>
          <w:lang w:val="en-GB"/>
        </w:rPr>
        <w:t>Dichtung und Wahrheit</w:t>
      </w:r>
      <w:r w:rsidRPr="008725BE">
        <w:rPr>
          <w:rFonts w:ascii="Garamond" w:hAnsi="Garamond"/>
          <w:color w:val="000000"/>
          <w:lang w:val="en-GB"/>
        </w:rPr>
        <w:t xml:space="preserve"> aus seiner Kindheit erzählt! Ich bemerke, daß mein Patient von fremder Nationalität und nicht in deutscher Bildung erzogen war; er hatte Goethes Lebensbeschreibung niemals gelesen.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Mitteilung mußte mir den Versuch nahelegen, die Kindheitserinnerung Goethes in dem Sinne zu deuten, der durch die Geschichte meines Patienten unabweisbar geworden war. Aber waren in der Kindheit des Dichters die für solche Auffassung erforderlichen Bedingungen nachzuweisen? Goethe selbst macht zwar die Aneiferung der Herren von Ochsenstein für seinen Kinderstreich verantwortlich. Aber seine Erzählung selbst läßt erkennen, daß die erwachsenen Nachbarn ihn nur zur Fortsetzung seines Treibens aufgemuntert hatten. Den Anfang dazu hatte er spontan gemacht, und die Motivierung, die er für dies Beginnen gibt: »Da weiter nichts dabei (beim Spiele) herauskommen wollte«, läßt sich wohl ohne Zwang als Geständnis deuten, daß ihm ein wirksames Motiv seines Handelns zur Zeit der Niederschrift und wahrscheinlich auch lange Jahre vorher nicht bekannt war.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bekannt, daß Joh. Wolfgang und seine Schwester Cornelia die ältesten Überlebenden einer größeren, recht hinfälligen Kinderreihe waren. Dr. Hanns Sachs war so freundlich, mir die Daten zu verschaffen, die sich auf diese früh verstorbenen Geschwister Goethes beziehen.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US"/>
        </w:rPr>
        <w:t>Geschwister Goethes:</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GB"/>
        </w:rPr>
        <w:t>Hermann Jakob, getauft Montag, den 27. November 1752, erreichte ein Alter von sechs Jahren und sechs Wochen, beerdigt 13. </w:t>
      </w:r>
      <w:r w:rsidRPr="008725BE">
        <w:rPr>
          <w:rFonts w:ascii="Garamond" w:hAnsi="Garamond"/>
          <w:color w:val="000000"/>
          <w:lang w:val="en-US"/>
        </w:rPr>
        <w:t>Jänner 1759.</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Katharina Elisabetha, getauft Montag, den 9. September 1754, beerdigt Donnerstag, den 22. Dezember 1755 (ein Jahr, vier Monate alt).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Johanna Maria, getauft Dienstag, den 29. März 1757, und beerdigt Samstag, den 11. August 1759 (zwei Jahre, vier Monate alt). (Dies war jedenfalls das von ihrem Bruder gerühmte sehr schöne und angenehme Mädchen.)</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GB"/>
        </w:rPr>
        <w:t>Georg Adolph, getauft Sonntag, den 15. Juni 1760; beerdigt, acht Monate alt, Mittwoch, den 18. </w:t>
      </w:r>
      <w:r w:rsidRPr="008725BE">
        <w:rPr>
          <w:rFonts w:ascii="Garamond" w:hAnsi="Garamond"/>
          <w:color w:val="000000"/>
          <w:lang w:val="en-US"/>
        </w:rPr>
        <w:t>Februar 1761.</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US"/>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Goethes nächste Schwester, Cornelia Friederica Christiana, war am 7. Dezember 1750 geboren, als er fünfviertel Jahre alt war. Durch diese geringe Altersdifferenz ist sie als Objekt der Eifersucht so gut wie </w:t>
      </w:r>
      <w:r w:rsidRPr="008725BE">
        <w:rPr>
          <w:rFonts w:ascii="Garamond" w:hAnsi="Garamond"/>
          <w:color w:val="000000"/>
          <w:lang w:val="en-GB"/>
        </w:rPr>
        <w:lastRenderedPageBreak/>
        <w:t>ausgeschlossen. Man weiß, daß Kinder, wenn ihre Leidenschaften erwachen, niemals so heftige Reaktionen gegen die Geschwister entwickeln, welche sie vorfinden, sondern ihre Abneigung gegen die neu Ankommenden richten. Auch ist die Szene, um deren Deutung wir uns bemühen, mit dem zarten Alter Goethes bei oder bald nach der Geburt Cornelias unvereinbar.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Bei der Geburt des ersten Brüderchens Hermann Jakob war Joh. Wolfgang dreieinviertel Jahre alt. Ungefähr zwei Jahre später, als er etwa fünf Jahre alt war, wurde die zweite Schwester geboren. Beide Altersstufen kommen für die Datierung des Geschirrhinauswerfens in Betracht; die erstere verdient vielleicht den Vorzug, sie würde auch die bessere Übereinstimmung mit dem Falle meines Patienten ergeben, der bei der Geburt seines Bruders etwa dreidreiviertel Jahre zählte.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Bruder Hermann Jakob, auf den unser Deutungsversuch in solcher Art hingelenkt wird, war übrigens kein so flüchtiger Gast in der Goetheschen Kinderstube wie die späteren Geschwister. Man könnte sich verwundern, daß die Lebensgeschichte seines großen Bruders nicht ein Wörtchen des Gedenkens an ihn bringt </w:t>
      </w:r>
      <w:hyperlink r:id="rId79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Ich bediene mich dieser Gelegenheit, um eine unrichtige Behauptung, die nicht hätte vorfallen sollen, zurückzunehmen. An einer späteren Stelle dieses ersten Buches wird der jüngere Bruder doch erwähnt und geschildert. Es geschieht bei der Erinnerung an die lästigen Kinderkrankheiten, unter denen auch dieser Bruder »nicht wenig litt«. »Er war von zarter Natur, still und eigensinnig, und wir hatten niemals ein eigentliches Verhältnis zusammen. Auch überlebte er kaum die Kinderjahre.«</w:t>
        </w:r>
      </w:hyperlink>
      <w:r w:rsidRPr="008725BE">
        <w:rPr>
          <w:rFonts w:ascii="Garamond" w:hAnsi="Garamond"/>
          <w:color w:val="000000"/>
          <w:lang w:val="en-GB"/>
        </w:rPr>
        <w:t>. Er wurde über sechs Jahre alt, und Joh. Wolfgang war nahe an zehn Jahre, als er starb. Dr. Ed. Hitschmann, der so freundlich war, mir seine Notizen über diesen Stoff zur Verfügung zu stellen, meint: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 </w:t>
      </w:r>
      <w:r w:rsidRPr="008725BE">
        <w:rPr>
          <w:rFonts w:ascii="Garamond" w:hAnsi="Garamond"/>
          <w:i/>
          <w:iCs/>
          <w:color w:val="000000"/>
          <w:lang w:val="en-GB"/>
        </w:rPr>
        <w:t>Auch der kleine Goethe hat ein Brüderchen nicht ungern sterben gesehen.</w:t>
      </w:r>
      <w:r w:rsidRPr="008725BE">
        <w:rPr>
          <w:rFonts w:ascii="Garamond" w:hAnsi="Garamond"/>
          <w:color w:val="000000"/>
          <w:lang w:val="en-GB"/>
        </w:rPr>
        <w:t xml:space="preserve"> Wenigstens berichtete seine Mutter nach Bettina Brentanos Wiedererzählung folgendes: ›Sonderbar fiel es der Mutter auf, daß er bei dem Tod seines jüngeren Bruders Jakob, der sein Spielkamerad war, keine Träne vergoß, er schien vielmehr eine Art Ärger über die Klagen der Eltern und Geschwister zu haben; da die Mutter nun später den Trotzigen fragte, ob er den Bruder nicht lieb gehabt habe, lief er in seine Kammer, brachte unter dem Bett hervor eine Menge Papiere, die mit Lektionen und Geschichtchen beschrieben waren, er sagte ihr, daß er dies alles gemacht habe, um es dem Bruder zu lehren.‹ Der ältere Bruder hätte also immerhin gern Vater mit dem Jüngeren gespielt und ihm seine Überlegenheit gezeigt.«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könnten uns also die Meinung bilden, das Geschirrhinauswerfen sei eine symbolische, oder sagen wir es richtiger: eine </w:t>
      </w:r>
      <w:r w:rsidRPr="008725BE">
        <w:rPr>
          <w:rFonts w:ascii="Garamond" w:hAnsi="Garamond"/>
          <w:i/>
          <w:iCs/>
          <w:color w:val="000000"/>
          <w:lang w:val="en-GB"/>
        </w:rPr>
        <w:t>magische</w:t>
      </w:r>
      <w:r w:rsidRPr="008725BE">
        <w:rPr>
          <w:rFonts w:ascii="Garamond" w:hAnsi="Garamond"/>
          <w:color w:val="000000"/>
          <w:lang w:val="en-GB"/>
        </w:rPr>
        <w:t xml:space="preserve"> Handlung, durch welche das Kind (Goethe sowie mein Patient) seinen Wunsch nach Beseitigung des störenden Eindringlings zu kräftigem Ausdruck bringt. Wir brauchen das Vergnügen des Kindes beim Zerschellen der Gegenstände nicht zu bestreiten; wenn eine Handlung bereits an sich lustbringend ist, so ist dies keine Abhaltung, sondern eher eine Verlockung, sie auch im Dienste anderer Absichten zu wiederholen. Aber wir glauben nicht, daß es die Lust am Klirren und Brechen war, welche solchen Kinderstreichen einen dauernden Platz in der Erinnerung des Erwachsenen sichern konnte. Wir sträuben uns auch nicht, die Motivirung der Handlung um einen weiteren Beitrag zu komplizieren. Das Kind, welches das Geschirr zerschlägt, weiß wohl, daß es etwas Schlechtes tut, worüber die Erwachsenen schelten werden, und wenn es sich durch dieses Wissen nicht zurückhalten läßt, so hat es wahrscheinlich einen Groll gegen die Eltern zu befriedigen; es will sich schlimm zeigen.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Lust am Zerbrechen und am Zerbrochenen wäre auch Genüge getan, wenn das Kind die gebrechlichen Gegenstände einfach auf den Boden würfe. Die Hinausbeförderung durch das Fenster auf die Straße bliebe dabei ohne Erklärung. Dies » </w:t>
      </w:r>
      <w:r w:rsidRPr="008725BE">
        <w:rPr>
          <w:rFonts w:ascii="Garamond" w:hAnsi="Garamond"/>
          <w:i/>
          <w:iCs/>
          <w:color w:val="000000"/>
          <w:lang w:val="en-GB"/>
        </w:rPr>
        <w:t>Hinaus</w:t>
      </w:r>
      <w:r w:rsidRPr="008725BE">
        <w:rPr>
          <w:rFonts w:ascii="Garamond" w:hAnsi="Garamond"/>
          <w:color w:val="000000"/>
          <w:lang w:val="en-GB"/>
        </w:rPr>
        <w:t xml:space="preserve">« scheint aber ein wesentliches Stück der magischen Handlung zu sein und dem verborgenen Sinn derselben zu entstammen. Das neue Kind soll </w:t>
      </w:r>
      <w:r w:rsidRPr="008725BE">
        <w:rPr>
          <w:rFonts w:ascii="Garamond" w:hAnsi="Garamond"/>
          <w:i/>
          <w:iCs/>
          <w:color w:val="000000"/>
          <w:lang w:val="en-GB"/>
        </w:rPr>
        <w:t>fortgeschafft</w:t>
      </w:r>
      <w:r w:rsidRPr="008725BE">
        <w:rPr>
          <w:rFonts w:ascii="Garamond" w:hAnsi="Garamond"/>
          <w:color w:val="000000"/>
          <w:lang w:val="en-GB"/>
        </w:rPr>
        <w:t xml:space="preserve"> werden, durchs Fenster möglicherweise darum, weil es durchs Fenster gekommen ist. Die ganze Handlung wäre dann gleichwertig jener uns bekanntgewordenen wörtlichen Reaktion eines Kindes, als man ihm mitteilte, daß der Storch ein Geschwisterchen gebracht. »Er soll es wieder mitnehmen«, lautete sein Bescheid.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Indes, wir verhehlen uns nicht, wie mißlich es –; von allen inneren Unsicherheiten abgesehen –; bleibt, die Deutung einer Kinderhandlung auf eine einzige Analogie zu begründen. Ich hatte darum auch meine Auffassung der kleinen Szene aus </w:t>
      </w:r>
      <w:r w:rsidRPr="008725BE">
        <w:rPr>
          <w:rFonts w:ascii="Garamond" w:hAnsi="Garamond"/>
          <w:i/>
          <w:iCs/>
          <w:color w:val="000000"/>
          <w:lang w:val="en-GB"/>
        </w:rPr>
        <w:t>Dichtung und Wahrheit</w:t>
      </w:r>
      <w:r w:rsidRPr="008725BE">
        <w:rPr>
          <w:rFonts w:ascii="Garamond" w:hAnsi="Garamond"/>
          <w:color w:val="000000"/>
          <w:lang w:val="en-GB"/>
        </w:rPr>
        <w:t xml:space="preserve"> durch Jahre zurückgehalten. Da bekam ich eines Tages einen Patienten, der seine Analyse mit folgenden, wortgetreu fixierten Sätzen einleitete: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bin das älteste von acht oder neun Geschwistern </w:t>
      </w:r>
      <w:hyperlink r:id="rId79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Ein flüchtiger Irrtum auffälliger Natur. Es ist nicht abzuweisen, daß er bereits durch die Beseitigungstendenz gegen den Bruder induziert ist. (Vgl. Ferenczi, ›Über passagere Symptombildung während der Analyse‹, 1912.)</w:t>
        </w:r>
      </w:hyperlink>
      <w:r w:rsidRPr="008725BE">
        <w:rPr>
          <w:rFonts w:ascii="Garamond" w:hAnsi="Garamond"/>
          <w:color w:val="000000"/>
          <w:lang w:val="en-GB"/>
        </w:rPr>
        <w:t xml:space="preserve">. Eine meiner ersten Erinnerungen ist, daß der Vater, in Nachtkleidung auf seinem Bette sitzend, mir lachend erzählt, daß ich einen Bruder bekommen habe. Ich war damals dreidreiviertel Jahre alt; so groß ist der </w:t>
      </w:r>
      <w:r w:rsidRPr="008725BE">
        <w:rPr>
          <w:rFonts w:ascii="Garamond" w:hAnsi="Garamond"/>
          <w:color w:val="000000"/>
          <w:lang w:val="en-GB"/>
        </w:rPr>
        <w:lastRenderedPageBreak/>
        <w:t xml:space="preserve">Altersunterschied zwischen mir und meinem nächsten Bruder. Dann weiß ich, daß ich kurze Zeit nachher (oder war es ein Jahr vorher?) </w:t>
      </w:r>
      <w:hyperlink r:id="rId80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Dieser den wesentlichen Punkt der Mitteilung als Widerstand annagende Zweifel wurde vom Patienten bald nachher selbständig zurückgezogen.</w:t>
        </w:r>
      </w:hyperlink>
      <w:r w:rsidRPr="008725BE">
        <w:rPr>
          <w:rFonts w:ascii="Garamond" w:hAnsi="Garamond"/>
          <w:color w:val="000000"/>
          <w:lang w:val="en-GB"/>
        </w:rPr>
        <w:t xml:space="preserve"> einmal verschiedene Gegenstände, Bürsten –; oder war es nur eine Bürste? –; Schuhe und anderes aus dem Fenster auf die Straße geworfen habe. Ich habe auch noch eine frühere Erinnerung. Als ich zwei Jahre alt war, übernachtete ich mit den Eltern in einem Hotelzimmer in Linz auf der Reise ins Salzkammergut. Ich war damals so unruhig in der Nacht und machte ein solches Geschrei, daß mich der Vater schlagen mußte.«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Vor dieser Aussage ließ ich jeden Zweifel fallen. Wenn bei analytischer Einstellung zwei Dinge unmittelbar nacheinander, wie in einem Atem vorgebracht werden, so sollen wir diese Annäherung auf Zusammenhang umdeuten. Es war also so, als ob der Patient gesagt hätte: </w:t>
      </w:r>
      <w:r w:rsidRPr="008725BE">
        <w:rPr>
          <w:rFonts w:ascii="Garamond" w:hAnsi="Garamond"/>
          <w:i/>
          <w:iCs/>
          <w:color w:val="000000"/>
          <w:lang w:val="en-GB"/>
        </w:rPr>
        <w:t>Weil</w:t>
      </w:r>
      <w:r w:rsidRPr="008725BE">
        <w:rPr>
          <w:rFonts w:ascii="Garamond" w:hAnsi="Garamond"/>
          <w:color w:val="000000"/>
          <w:lang w:val="en-GB"/>
        </w:rPr>
        <w:t xml:space="preserve"> ich erfahren, daß ich einen Bruder bekommen habe, habe ich einige Zeit nachher jene Gegenstände auf die Straße geworfen. Das Hinauswerfen der Bürsten, Schuhe usw. gibt sich als Reaktion auf die Geburt des Bruders zu erkennen. Es ist auch nicht unerwünscht, daß die fortgeschafften Gegenstände in diesem Falle nicht Geschirr, sondern andere Dinge waren, wahrscheinlich solche, wie sie das Kind eben erreichen konnte ... Das Hinausbefördern (durchs Fenster auf die Straße) erweist sich so als das Wesentliche der Handlung, die Lust am Zerbrechen, am Klirren und die Art der Dinge, an denen »die Exekution vollzogen wird«, als inkonstant und unwesentlich.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Natürlich gilt die Forderung des Zusammenhanges auch für die dritte Kindheitserinnerung des Patienten, die, obwohl die früheste, an das Ende der kleinen Reihe gerückt ist. Es ist leicht, sie zu erfüllen. Wir verstehen, daß das zweijährige Kind darum so unruhig war, weil es das Beisammensein von Vater und Mutter im Bette nicht leiden wollte. Auf der Reise war es wohl nicht anders möglich, als das Kind zum Zeugen dieser Gemeinschaft werden zu lassen. Von den Gefühlen, die sich damals in dem kleinen Eifersüchtigen regten, ist ihm die Erbitterung gegen das Weib verblieben, und diese hat eine dauernde Störung seiner Liebesentwicklung zur Folge gehabt.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Als ich nach diesen beiden Erfahrungen im Kreise der psychoanalytischen Gesellschaft die Erwartung äußerte, Vorkommnisse solcher Art dürften bei kleinen Kindern nicht zu den Seltenheiten gehören, stellte mir Frau Dr. v. Hug-Hellmuth zwei weitere Beobachtungen zur Verfügung, die ich hier folgen lasse: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»Mit zirka dreieinhalb Jahren hatte der kleine Erich ›urplötzlich‹ die Gewohnheit angenommen, alles, was ihm nicht paßte, zum Fenster hinauszuwerfen. Aber er tat es auch mit Gegenständen, die ihm nicht im Wege waren und ihn nichts angingen. Gerade am Geburtstag des Vaters –; da zählte er drei Jahre viereinhalb Monate –; warf er eine schwere Teigwalze, die er flugs aus der Küche ins Zimmer geschleppt hatte, aus einem Fenster der im dritten Stockwerk gelegenen Wohnung auf die Straße. Einige Tage später ließ er den Mörserstößel, dann ein Paar schwerer Bergschuhe des Vaters, die er erst aus dem Kasten nehmen mußte, folgen </w:t>
      </w:r>
      <w:hyperlink r:id="rId80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»Immer wählte er schwere Gegenstände.«</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Damals machte die Mutter im siebenten oder achten Monate ihrer Schwangerschaft eine </w:t>
      </w:r>
      <w:r w:rsidRPr="008725BE">
        <w:rPr>
          <w:rFonts w:ascii="Garamond" w:hAnsi="Garamond"/>
          <w:i/>
          <w:iCs/>
          <w:color w:val="000000"/>
          <w:lang w:val="en-GB"/>
        </w:rPr>
        <w:t>fausse couche</w:t>
      </w:r>
      <w:hyperlink r:id="rId80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Fehlgeburt</w:t>
        </w:r>
      </w:hyperlink>
      <w:r w:rsidRPr="008725BE">
        <w:rPr>
          <w:rFonts w:ascii="Garamond" w:hAnsi="Garamond"/>
          <w:color w:val="000000"/>
          <w:lang w:val="en-GB"/>
        </w:rPr>
        <w:t xml:space="preserve">, nach der das Kind ›wie ausgewechselt brav und zärtlich still‹ war. Im fünften oder sechsten Monate sagte er wiederholt zur Mutter: ›Mutti, ich spring' dir auf den Bauch‹ oder ›Mutti, ich drück' dir den Bauch ein‹. Und kurz vor der </w:t>
      </w:r>
      <w:r w:rsidRPr="008725BE">
        <w:rPr>
          <w:rFonts w:ascii="Garamond" w:hAnsi="Garamond"/>
          <w:i/>
          <w:iCs/>
          <w:color w:val="000000"/>
          <w:lang w:val="en-GB"/>
        </w:rPr>
        <w:t>fausse couche</w:t>
      </w:r>
      <w:r w:rsidRPr="008725BE">
        <w:rPr>
          <w:rFonts w:ascii="Garamond" w:hAnsi="Garamond"/>
          <w:color w:val="000000"/>
          <w:lang w:val="en-GB"/>
        </w:rPr>
        <w:t>, im Oktober: ›Wenn ich schon einen Bruder bekommen soll, so wenigstens nach dem Christkindl.‹«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junge Dame von neunzehn Jahren gibt spontan als früheste Kindheitserinnerung folgende: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sehe mich furchtbar ungezogen, zum Hervorkriechen bereit, unter dem Tische im Speisezimmer sitzen. Auf dem Tische steht meine Kaffeeschale –; ich sehe noch jetzt deutlich das Muster des Porzellans vor mir –;, die ich in dem Augenblick, als Großmama ins Zimmer trat, zum Fenster hinauswerfen wollte.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hatte sich nämlich niemand um mich gekümmert, und indessen hatte sich auf dem Kaffee eine ›Haut‹ gebildet, was mir immer fürchterlich war und heute noch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 diesem Tage wurde mein um zweieinhalb Jahre jüngerer Bruder geboren, deshalb hatte niemand Zeit für mich.</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GB"/>
        </w:rPr>
        <w:t xml:space="preserve">Man erzählt mir noch immer, daß ich an diesem Tage unausstehlich war; zu Mittag hatte ich das Lieblingsglas des Papas vom Tische geworfen, tagsüber mehrmals mein Kleidchen beschmutzt und war von früh bis abends übelster Laune. </w:t>
      </w:r>
      <w:r w:rsidRPr="008725BE">
        <w:rPr>
          <w:rFonts w:ascii="Garamond" w:hAnsi="Garamond"/>
          <w:color w:val="000000"/>
          <w:lang w:val="en-US"/>
        </w:rPr>
        <w:t>Auch ein Badepüppchen hatte ich in meinem Zorne zertrümmert.‹«</w:t>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US"/>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Diese beiden Fälle bedürfen kaum eines Kommentars. Sie bestätigen ohne weitere analytische Bemühung, daß die Erbitterung des Kindes über das erwartete oder erfolgte Auftreten eines Konkurrenten sich in dem Hinausbefördern von Gegenständen durch das Fenster wie auch durch andere Akte von Schlimmheit und Zerstörungssucht zum Ausdruck bringt. In der ersten Beobachtung symbolisieren wohl die »schweren Gegenstände« die Mutter selbst, gegen welche sich der Zorn des Kindes richtet, solange das neue Kind noch nicht da ist. Der dreieinhalbjährige Knabe weiß um die Schwangerschaft der Mutter und ist nicht im Zweifel darüber, daß sie das Kind in ihrem Leibe beherbergt. Man muß sich hiebei an den »kleinen Hans« </w:t>
      </w:r>
      <w:hyperlink r:id="rId80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›Analyse der Phobie eines fünfjährigen Knaben‹.</w:t>
        </w:r>
      </w:hyperlink>
      <w:r w:rsidRPr="008725BE">
        <w:rPr>
          <w:rFonts w:ascii="Garamond" w:hAnsi="Garamond"/>
          <w:color w:val="000000"/>
          <w:lang w:val="en-GB"/>
        </w:rPr>
        <w:t xml:space="preserve"> erinnern und an seine besondere Angst vor schwer beladenen Wagen </w:t>
      </w:r>
      <w:hyperlink r:id="rId80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Für diese Symbolik der Schwangerschaft hat mir vor einiger Zeit eine mehr als fünfzigjährige Dame eine weitere Bestätigung erbracht. Es war ihr wiederholt erzählt worden, daß sie als kleines Kind, das kaum sprechen konnte, den Vater aufgeregt zum Fenster zu ziehen pflegte, wenn ein schwerer Möbelwagen auf der Straße vorbeifuhr. Mit Rücksicht auf ihre Wohnungserinnerungen läßt sich feststellen, daß sie damals jünger war als zweidreiviertel Jahre. Um diese Zeit wurde ihr nächster Bruder geboren und infolge dieses Zuwachses die Wohnung gewechselt. Ungefähr gleichzeitig hatte sie oft vor dem Einschlafen die ängstliche Empfindung von etwas unheimlich Großem, das auf sie zukam, und dabei »wurden ihr die Hände so dick«.</w:t>
        </w:r>
      </w:hyperlink>
      <w:r w:rsidRPr="008725BE">
        <w:rPr>
          <w:rFonts w:ascii="Garamond" w:hAnsi="Garamond"/>
          <w:color w:val="000000"/>
          <w:lang w:val="en-GB"/>
        </w:rPr>
        <w:t>. An der zweiten Beobachtung ist das frühe Alter des Kindes, zweieinhalb Jahre, bemerkenswert.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wir nun zur Kindheitserinnerung Goethes zurückkehren und an ihrer Stelle in </w:t>
      </w:r>
      <w:r w:rsidRPr="008725BE">
        <w:rPr>
          <w:rFonts w:ascii="Garamond" w:hAnsi="Garamond"/>
          <w:i/>
          <w:iCs/>
          <w:color w:val="000000"/>
          <w:lang w:val="en-GB"/>
        </w:rPr>
        <w:t>Dichtung und Wahrheit</w:t>
      </w:r>
      <w:r w:rsidRPr="008725BE">
        <w:rPr>
          <w:rFonts w:ascii="Garamond" w:hAnsi="Garamond"/>
          <w:color w:val="000000"/>
          <w:lang w:val="en-GB"/>
        </w:rPr>
        <w:t xml:space="preserve"> einsetzen, was wir aus der Beobachtung anderer Kinder erraten zu haben glauben, so stellt sich ein tadelloser Zusammenhang her, den wir sonst nicht entdeckt hätten. Es heißt dann: Ich bin ein Glückskind gewesen; das Schicksal hat mich am Leben erhalten, obwohl ich für tot zur Welt gekommen bin. Meinen Bruder aber hat es beseitigt, so daß ich die Liebe der Mutter nicht mit ihm zu teilen brauchte. Und dann geht der Gedankenweg weiter, zu einer anderen in jener Frühzeit Verstorbenen, der Großmutter, die wie ein freundlicher, stiller Geist in einem anderen Wohnraum hauste.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habe es aber schon an anderer Stelle ausgesprochen: Wenn man der unbestrittene Liebling der Mutter gewesen ist, so behält man fürs Leben jenes Eroberergefühl, jene Zuversicht des Erfolges, welche nicht selten wirklich den Erfolg nach sich zieht. Und eine Bemerkung solcher Art wie: Meine Stärke wurzelt in meinem Verhältnis zur Mutter, hätte Goethe seiner Lebensgeschichte mit Recht voranstellen dürfen.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Ei</w:t>
        </w:r>
        <w:bookmarkStart w:id="167" w:name="KS32"/>
        <w:bookmarkEnd w:id="167"/>
        <w:r w:rsidRPr="008725BE">
          <w:rPr>
            <w:rStyle w:val="Lienhypertexte"/>
            <w:rFonts w:ascii="Garamond" w:hAnsi="Garamond" w:cs="Arial"/>
            <w:b/>
            <w:bCs/>
            <w:lang w:val="en-GB"/>
          </w:rPr>
          <w:t>ne Teufelsneurose im siebzehnten Jahrhundert</w:t>
        </w:r>
      </w:hyperlink>
      <w:r w:rsidRPr="008725BE">
        <w:rPr>
          <w:rFonts w:ascii="Garamond" w:hAnsi="Garamond"/>
          <w:color w:val="000000"/>
          <w:lang w:val="en-GB"/>
        </w:rPr>
        <w:t xml:space="preserve">  </w:t>
      </w:r>
      <w:r w:rsidRPr="008725BE">
        <w:rPr>
          <w:rFonts w:ascii="Garamond" w:hAnsi="Garamond"/>
          <w:caps/>
          <w:color w:val="000000"/>
          <w:lang w:val="en-GB"/>
        </w:rPr>
        <w:t>(1923)</w:t>
      </w:r>
    </w:p>
    <w:p w:rsidR="008725BE" w:rsidRPr="008725BE" w:rsidRDefault="008725BE" w:rsidP="008725BE">
      <w:pPr>
        <w:pStyle w:val="Sansinterligne"/>
        <w:rPr>
          <w:rFonts w:ascii="Garamond" w:hAnsi="Garamond"/>
          <w:color w:val="000000"/>
          <w:lang w:val="en-GB"/>
        </w:rPr>
      </w:pP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 den Neurosen der Kinderzeit haben wir gelernt, daß manches hier mühelos mit freiem Auge zu sehen ist, was sich späterhin nur gründlicher Forschung zu erkennen gibt. Eine ähnliche Erwartung wird sich für die neurotischen Erkrankungen früherer Jahrhunderte ergeben, wenn wir nur darauf gefaßt sind, dieselben unter anderen Überschriften als unsere heutigen Neurosen zu finden. Wir dürfen nicht erstaunt sein, wenn die Neurosen dieser frühen Zeiten im dämonologischen Gewande auftreten, während die der unpsychologischen Jetztzeit im hypochondrischen, als organische Krankheiten verkleidet, erscheinen. Mehrere Autoren, voran Charcot, haben bekanntlich in den Darstellungen der Besessenheit und Verzückung, wie sie uns die Kunst hinterlassen hat, die Äußerungsformen der Hysterie agnosziert; es wäre nicht schwer gewesen, in den Geschichten dieser Kranken die Inhalte der Neurose wiederzufinden, wenn man ihnen damals mehr Aufmerksamkeit geschenkt hätte.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dämonologische Theorie jener dunkeln Zeiten hat gegen alle somatischen Auffassungen der »exakten« Wissenschaftsperiode recht behalten. Die Besessenheiten entsprechen unseren Neurosen, zu deren Erklärung wir wieder psychische Mächte heranziehen. Die Dämonen sind uns böse, verworfene Wünsche, Abkömmlinge abgewiesener, verdrängter Triebregungen. Wir lehnen bloß die Projektion in die äußere Welt ab, welche das Mittelalter mit diesen seelischen Wesen vornahm; wir lassen sie im Innenleben der Kranken, wo sie hausen, entstanden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 Die Geschichte des Malers Christoph Haitzmann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Einen Einblick in eine solche dämonologische Neurose des siebzehnten Jahrhunderts verdanke ich dem freundlichen Interesse des Herrn Hofrats Dr. R. Payer-Thurn, Direktor der ehemals k. k. Fideikommißbibliothek in Wien. Payer-Thurn hatte in der Bibliothek ein aus dem Gnadenort Mariazell stammendes Manuskript aufgefunden, in dem über eine wunderbare Erlösung von einem Teufelspakt durch die Gnade der heiligen Maria ausführlich berichtet wird. Sein Interesse wurde durch die Beziehung dieses Inhalts zur Faustsage geweckt und wird ihn zu einer eingehenden Darstellung und Bearbeitung des Stoffes veranlassen. Da er aber fand, daß die Person, deren Erlösung beschrieben wird, an Krampfanfällen und Visionen litt, wandte er sich an mich um eine ärztliche Begutachtung des Falles. Wir sind übereingekommen, unsere Arbeiten unabhängig voneinander und gesondert zu veröffentlichen. Ich statte ihm für seine Anregung wie für mancherlei Hilfeleistung beim Studium des Manuskripts meinen Dank ab.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dämonologische Krankengeschichte bringt wirklich einen wertvollen Fund, der ohne viel Deutung klar zutage liegt, wie manche Fundstelle als gediegenes Metall liefert, was anderwärts mühsam aus dem Erz geschmolzen werden muß.</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Manuskript, von dem mir eine genaue Abschrift vorliegt, zerlegt sich uns in zwei Stücke von ganz verschiedener Natur: in den lateinisch abgefaßten Bericht des mönchischen Schreibers oder Kompilators und in ein deutsch geschriebenes Tagebuchbruchstück des Patienten. Der erste Teil enthält den Vorbericht und die eigentliche Wunderheilung; der zweite Teil kann für die geistlichen Herren nicht von Bedeutung gewesen sein, um so wertvoller ist er für uns. Er trägt viel dazu bei, unser sonst schwankendes Urteil über den Krankheitsfall zu festigen, und wir haben guten Grund, den Geistlichen zu danken, daß sie dies Dokument erhalten haben, obgleich es ihrer Tendenz nichts mehr leistet, ja diese eher gestört haben mag.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Ehe ich aber in die Zusammensetzung der kleinen handschriftlichen Broschüre, die den Titel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 </w:t>
      </w:r>
      <w:r w:rsidRPr="008725BE">
        <w:rPr>
          <w:rFonts w:ascii="Garamond" w:hAnsi="Garamond"/>
          <w:i/>
          <w:iCs/>
          <w:color w:val="000000"/>
          <w:lang w:val="en-GB"/>
        </w:rPr>
        <w:t>Trophaeum Mariano-Cellense</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führt, weiter eingehe, muß ich ein Stück ihres Inhalts erzählen, das ich dem Vorbericht entnehme.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Am 5. September 1677 wurde der Maler Christoph Haitzmann, ein Bayer, mit einem Geleitbrief des Pfarrers von Pottenbrunn (in Niederösterreich) nach dem nahen Mariazell gebracht </w:t>
      </w:r>
      <w:hyperlink r:id="rId80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Das Alter des Malers ist nirgends angegeben. Der Zusammenhang läßt einen Mann zwischen 30 und 40, wahrscheinlich der unteren Grenze näher, erraten. Er verstarb, wie wir hören werden, im Jahre 1700.</w:t>
        </w:r>
      </w:hyperlink>
      <w:r w:rsidRPr="008725BE">
        <w:rPr>
          <w:rFonts w:ascii="Garamond" w:hAnsi="Garamond"/>
          <w:color w:val="000000"/>
          <w:lang w:val="en-GB"/>
        </w:rPr>
        <w:t xml:space="preserve">. Er habe sich in Ausübung seiner Kunst mehrere Monate in Pottenbrunn aufgehalten, sei dort am 29. August in der Kirche von schrecklichen Krämpfen befallen worden, und als sich diese in den nächsten Tagen wiederholten, habe ihn der </w:t>
      </w:r>
      <w:r w:rsidRPr="008725BE">
        <w:rPr>
          <w:rFonts w:ascii="Garamond" w:hAnsi="Garamond"/>
          <w:i/>
          <w:iCs/>
          <w:color w:val="000000"/>
          <w:lang w:val="en-GB"/>
        </w:rPr>
        <w:t>Praefectus Dominii Pottenbrunnensis</w:t>
      </w:r>
      <w:r w:rsidRPr="008725BE">
        <w:rPr>
          <w:rFonts w:ascii="Garamond" w:hAnsi="Garamond"/>
          <w:color w:val="000000"/>
          <w:lang w:val="en-GB"/>
        </w:rPr>
        <w:t xml:space="preserve"> examiniert, was ihn wohl bedrücke, ob er sich wohl in unerlaubten Verkehr mit dem bösen Geist eingelassen habe </w:t>
      </w:r>
      <w:hyperlink r:id="rId80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 Möglichkeit, daß diese Fragestellung dem Leidenden die Phantasie seines Teufelspaktes eingegeben, »suggeriert« hat, sei hier nur gestreift.</w:t>
        </w:r>
      </w:hyperlink>
      <w:r w:rsidRPr="008725BE">
        <w:rPr>
          <w:rFonts w:ascii="Garamond" w:hAnsi="Garamond"/>
          <w:color w:val="000000"/>
          <w:lang w:val="en-GB"/>
        </w:rPr>
        <w:t xml:space="preserve">. Worauf er gestanden, daß er wirklich vor neun Jahren zu einer Zeit der Verzagtheit an seiner Kunst und des Zweifels an seiner Selbsterhaltung dem Teufel, der ihn neunmal versucht, nachgegeben und sich schriftlich verpflichtet, ihm nach Ablauf dieser Zeit mit Leib </w:t>
      </w:r>
      <w:r w:rsidRPr="008725BE">
        <w:rPr>
          <w:rFonts w:ascii="Garamond" w:hAnsi="Garamond"/>
          <w:color w:val="000000"/>
          <w:lang w:val="en-GB"/>
        </w:rPr>
        <w:lastRenderedPageBreak/>
        <w:t xml:space="preserve">und Seele anzugehören. </w:t>
      </w:r>
      <w:r w:rsidRPr="008725BE">
        <w:rPr>
          <w:rFonts w:ascii="Garamond" w:hAnsi="Garamond"/>
          <w:color w:val="000000"/>
        </w:rPr>
        <w:t xml:space="preserve">Das Ende des Termins nahe mit dem 24. des laufenden Monats </w:t>
      </w:r>
      <w:hyperlink r:id="rId807" w:anchor="#" w:history="1">
        <w:r w:rsidRPr="008725BE">
          <w:rPr>
            <w:rStyle w:val="fusslink"/>
            <w:rFonts w:ascii="Garamond" w:hAnsi="Garamond" w:cs="Arial"/>
            <w:b/>
            <w:bCs/>
            <w:color w:val="003399"/>
          </w:rPr>
          <w:t>[Fußnote]</w:t>
        </w:r>
        <w:r w:rsidRPr="008725BE">
          <w:rPr>
            <w:rStyle w:val="innerfusslink3"/>
            <w:rFonts w:ascii="Garamond" w:hAnsi="Garamond" w:cs="Arial"/>
            <w:b/>
            <w:bCs/>
            <w:i/>
            <w:iCs/>
          </w:rPr>
          <w:t>quorum et finis 24 mensis hujus futurus appropinquat</w:t>
        </w:r>
        <w:r w:rsidRPr="008725BE">
          <w:rPr>
            <w:rStyle w:val="innerfusslink3"/>
            <w:rFonts w:ascii="Garamond" w:hAnsi="Garamond" w:cs="Arial"/>
            <w:b/>
            <w:bCs/>
          </w:rPr>
          <w:t>.</w:t>
        </w:r>
      </w:hyperlink>
      <w:r w:rsidRPr="008725BE">
        <w:rPr>
          <w:rFonts w:ascii="Garamond" w:hAnsi="Garamond"/>
          <w:color w:val="000000"/>
        </w:rPr>
        <w:t xml:space="preserve">. Der Unglückliche bereue und sei überzeugt, daß nur die Gnade der Mutter Gottes von Mariazell ihn retten könne, indem sie den Bösen zwinge, ihm die mit Blut geschriebene Verschreibung herauszugeben. </w:t>
      </w:r>
      <w:r w:rsidRPr="008725BE">
        <w:rPr>
          <w:rFonts w:ascii="Garamond" w:hAnsi="Garamond"/>
          <w:color w:val="000000"/>
          <w:lang w:val="en-GB"/>
        </w:rPr>
        <w:t xml:space="preserve">Aus diesem Grund erlaube man sich </w:t>
      </w:r>
      <w:r w:rsidRPr="008725BE">
        <w:rPr>
          <w:rFonts w:ascii="Garamond" w:hAnsi="Garamond"/>
          <w:i/>
          <w:iCs/>
          <w:color w:val="000000"/>
          <w:lang w:val="en-GB"/>
        </w:rPr>
        <w:t>miserum hunc hominem omni auxilio destitutum</w:t>
      </w:r>
      <w:r w:rsidRPr="008725BE">
        <w:rPr>
          <w:rFonts w:ascii="Garamond" w:hAnsi="Garamond"/>
          <w:color w:val="000000"/>
          <w:lang w:val="en-GB"/>
        </w:rPr>
        <w:t xml:space="preserve"> dem Wohlwollen der Herren von Mariazell zu empfehlen.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Soweit der Pfarrer von Pottenbrunn, Leopoldus Braun, am 1. September 1677.</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kann nun in der Analyse des Manuskripts fortfahren. Es besteht also aus drei Teilen: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1. einem farbigen Titelblatt, welches die Szene der Verschreibung und die der Erlösung in der Kapelle von Mariazell darstellt; auf dem nächsten Blatt sind acht ebenfalls farbige Zeichnungen der späteren Erscheinungen des Teufels mit kurzen Beischriften in deutscher Sprache. Diese Bilder sind nicht Originale, sondern Kopien –; wie uns feierlich versichert wird: getreue Kopien –; nach den ursprünglichen Malereien des Chr. Haitzmann;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2. aus dem eigentlichen </w:t>
      </w:r>
      <w:r w:rsidRPr="008725BE">
        <w:rPr>
          <w:rFonts w:ascii="Garamond" w:hAnsi="Garamond"/>
          <w:i/>
          <w:iCs/>
          <w:color w:val="000000"/>
          <w:lang w:val="en-GB"/>
        </w:rPr>
        <w:t>Trophaeum Mariano-Cellense</w:t>
      </w:r>
      <w:r w:rsidRPr="008725BE">
        <w:rPr>
          <w:rFonts w:ascii="Garamond" w:hAnsi="Garamond"/>
          <w:color w:val="000000"/>
          <w:lang w:val="en-GB"/>
        </w:rPr>
        <w:t xml:space="preserve"> (lateinisch), dem Werk eines geistlichen Kompilators, der sich am Ende »P. A. E.« unterzeichnet und diesen Buchstaben vier Verszeilen, welche seine Biographie enthalten, beifügt. Den Abschluß bildet ein Zeugnis des Abtes Kilian von St. Lambert vom 9. September 1729, welches in anderer Schrift als der des Kompilators die genaue Übereinstimmung des Manuskripts und der Bilder mit den im Archiv aufbewahrten Originalen bestätigt. Es ist nicht angegeben, in welchem Jahr das </w:t>
      </w:r>
      <w:r w:rsidRPr="008725BE">
        <w:rPr>
          <w:rFonts w:ascii="Garamond" w:hAnsi="Garamond"/>
          <w:i/>
          <w:iCs/>
          <w:color w:val="000000"/>
          <w:lang w:val="en-GB"/>
        </w:rPr>
        <w:t>Trophaeum</w:t>
      </w:r>
      <w:r w:rsidRPr="008725BE">
        <w:rPr>
          <w:rFonts w:ascii="Garamond" w:hAnsi="Garamond"/>
          <w:color w:val="000000"/>
          <w:lang w:val="en-GB"/>
        </w:rPr>
        <w:t xml:space="preserve"> angefertigt wurde. Es steht uns frei anzunehmen, daß es im gleichen Jahr geschah, in dem der Abt Kilian das Zeugnis ausstellte, also 1729 oder, da 1714 die letzte im Text genannte Jahreszahl ist, das Werk des Kompilators in irgendeine Zeit zwischen 1714 und 1729 zu verlegen. Das Wunder, welches durch diese Schrift vor Vergessenheit bewahrt werden sollte, hat sich im Jahr 1677 zugetragen, also 37 bis 52 Jahre vorher;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3. aus dem deutsch abgefaßten Tagebuch des Malers, welches von der Zeit seiner Erlösung in der Kapelle bis zum 13. Januar des nächsten Jahres 1678 reicht. Es ist in den Text des </w:t>
      </w:r>
      <w:r w:rsidRPr="008725BE">
        <w:rPr>
          <w:rFonts w:ascii="Garamond" w:hAnsi="Garamond"/>
          <w:i/>
          <w:iCs/>
          <w:color w:val="000000"/>
          <w:lang w:val="en-GB"/>
        </w:rPr>
        <w:t>Trophaeum</w:t>
      </w:r>
      <w:r w:rsidRPr="008725BE">
        <w:rPr>
          <w:rFonts w:ascii="Garamond" w:hAnsi="Garamond"/>
          <w:color w:val="000000"/>
          <w:lang w:val="en-GB"/>
        </w:rPr>
        <w:t xml:space="preserve"> kurz vor dessen Ende eingeschaltet.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Den Kern des eigentlichen </w:t>
      </w:r>
      <w:r w:rsidRPr="008725BE">
        <w:rPr>
          <w:rFonts w:ascii="Garamond" w:hAnsi="Garamond"/>
          <w:i/>
          <w:iCs/>
          <w:color w:val="000000"/>
          <w:lang w:val="en-GB"/>
        </w:rPr>
        <w:t>Trophaeum</w:t>
      </w:r>
      <w:r w:rsidRPr="008725BE">
        <w:rPr>
          <w:rFonts w:ascii="Garamond" w:hAnsi="Garamond"/>
          <w:color w:val="000000"/>
          <w:lang w:val="en-GB"/>
        </w:rPr>
        <w:t xml:space="preserve"> bilden zwei Schriftstücke, der bereits erwähnte Geleitbrief des Pfarrers Leopold Braun von Pottenbrunn vom 1. September 1677, und der Bericht des Abtes Franciscus von Mariazell und St. Lambert, der die Wunderheilung schildert, vom 12. September 1677, also nur wenige Tage später datiert. Die Tätigkeit des Redakteurs oder Kompilators P. A. E. hat eine Einleitung geliefert, welche die beiden Aktenstücke gleichsam verschmilzt, ferner einige wenig bedeutsame Verbindungsstücke und am Schluß einen Bericht über die weiteren Schicksale des Malers nach einer im Jahre 1714 eingeholten Erkundigung beigefügt </w:t>
      </w:r>
      <w:hyperlink r:id="rId80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Dies würde dafür sprechen, daß 1714 auch das Datum der Abfassung des </w:t>
        </w:r>
        <w:r w:rsidRPr="008725BE">
          <w:rPr>
            <w:rStyle w:val="innerfusslink3"/>
            <w:rFonts w:ascii="Garamond" w:hAnsi="Garamond" w:cs="Arial"/>
            <w:b/>
            <w:bCs/>
            <w:i/>
            <w:iCs/>
            <w:lang w:val="en-GB"/>
          </w:rPr>
          <w:t>Trophaeum</w:t>
        </w:r>
        <w:r w:rsidRPr="008725BE">
          <w:rPr>
            <w:rStyle w:val="innerfusslink3"/>
            <w:rFonts w:ascii="Garamond" w:hAnsi="Garamond" w:cs="Arial"/>
            <w:b/>
            <w:bCs/>
            <w:lang w:val="en-GB"/>
          </w:rPr>
          <w:t xml:space="preserve"> ist.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Vorgeschichte des Malers wird also im </w:t>
      </w:r>
      <w:r w:rsidRPr="008725BE">
        <w:rPr>
          <w:rFonts w:ascii="Garamond" w:hAnsi="Garamond"/>
          <w:i/>
          <w:iCs/>
          <w:color w:val="000000"/>
          <w:lang w:val="en-GB"/>
        </w:rPr>
        <w:t>Trophaeum</w:t>
      </w:r>
      <w:r w:rsidRPr="008725BE">
        <w:rPr>
          <w:rFonts w:ascii="Garamond" w:hAnsi="Garamond"/>
          <w:color w:val="000000"/>
          <w:lang w:val="en-GB"/>
        </w:rPr>
        <w:t xml:space="preserve"> dreimal erzählt,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1. im Geleitbrief des Pfarrers von Pottenbrunn,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2. im feierlichen Bericht des Abtes Franciscus und</w:t>
      </w:r>
    </w:p>
    <w:p w:rsidR="008725BE" w:rsidRPr="008725BE" w:rsidRDefault="008725BE" w:rsidP="008725BE">
      <w:pPr>
        <w:pStyle w:val="Sansinterligne"/>
        <w:rPr>
          <w:rFonts w:ascii="Garamond" w:hAnsi="Garamond"/>
          <w:color w:val="000000"/>
          <w:lang w:val="en-GB"/>
        </w:rPr>
      </w:pPr>
      <w:smartTag w:uri="urn:schemas-microsoft-com:office:smarttags" w:element="metricconverter">
        <w:smartTagPr>
          <w:attr w:name="ProductID" w:val="3. in"/>
        </w:smartTagPr>
        <w:r w:rsidRPr="008725BE">
          <w:rPr>
            <w:rFonts w:ascii="Garamond" w:hAnsi="Garamond"/>
            <w:color w:val="000000"/>
            <w:lang w:val="en-GB"/>
          </w:rPr>
          <w:t>3. in</w:t>
        </w:r>
      </w:smartTag>
      <w:r w:rsidRPr="008725BE">
        <w:rPr>
          <w:rFonts w:ascii="Garamond" w:hAnsi="Garamond"/>
          <w:color w:val="000000"/>
          <w:lang w:val="en-GB"/>
        </w:rPr>
        <w:t xml:space="preserve"> der Einleitung des Redakteurs. Beim Vergleich dieser drei Quellen stellen sich gewisse Unstimmigkeiten heraus, die zu verfolgen nicht unwichtig sein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kann jetzt die Geschichte des Malers fortsetzen. Nachdem er in Mariazell lange gebüßt und gebetet, erhält er am 8. September, dem Tag Maria Geburt, um die zwölfte Nachtstunde vom Teufel, der in der heiligen Kapelle als geflügelter Drache erscheint, den mit Blut geschriebenen Pakt zurück. Wir werden später zu unserem Befremden erfahren, daß in der Geschichte des Malers Chr. Haitzmann zwei Verschreibungen an den Teufel vorkommen, eine frühere, mit schwarzer Tinte und eine spätere, mit Blut geschriebene. In der mitgeteilten Beschwörungsszene handelt es sich, wie auch noch das Bild auf dem Titelblatt erkennen läßt, um die blutige, also um die spätere.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An dieser Stelle könnte sich bei uns ein Bedenken gegen die Glaubwürdigkeit der geistlichen Berichterstatter erheben, das uns mahnen würde, doch nicht unsere Arbeit an ein Produkt mönchischen Aberglaubens zu verschwenden. Es wird erzählt, daß mehrere, mit Namen benannte Geistliche dem Exorzierten während der ganzen Zeit Beistand leisteten und auch während der Teufelserscheinung in der Kapelle anwesend waren. Wenn behauptet würde, daß auch sie den teuflischen Drachen gesehen haben, wie er dem Maler den rot beschriebenen Zettel hinhält ( </w:t>
      </w:r>
      <w:r w:rsidRPr="008725BE">
        <w:rPr>
          <w:rFonts w:ascii="Garamond" w:hAnsi="Garamond"/>
          <w:i/>
          <w:iCs/>
          <w:color w:val="000000"/>
          <w:lang w:val="en-GB"/>
        </w:rPr>
        <w:t>Schedam sibi porrigentem conspexisset</w:t>
      </w:r>
      <w:r w:rsidRPr="008725BE">
        <w:rPr>
          <w:rFonts w:ascii="Garamond" w:hAnsi="Garamond"/>
          <w:color w:val="000000"/>
          <w:lang w:val="en-GB"/>
        </w:rPr>
        <w:t xml:space="preserve">), so stünden wir vor mehreren unangenehmen Möglichkeiten, unter denen die einer kollektiven Halluzination noch die mildeste wäre. Allein der Wortlaut des vom Abt Franciscus ausgestellten Zeugnisses schlägt dieses Bedenken nieder. Es wird darin keineswegs behauptet, daß auch die geistlichen Beistände den Teufel erschaut haben, sondern es heißt ehrlich und nüchtern, daß der Maler sich plötzlich von den Geistlichen, </w:t>
      </w:r>
      <w:r w:rsidRPr="008725BE">
        <w:rPr>
          <w:rFonts w:ascii="Garamond" w:hAnsi="Garamond"/>
          <w:color w:val="000000"/>
          <w:lang w:val="en-GB"/>
        </w:rPr>
        <w:lastRenderedPageBreak/>
        <w:t xml:space="preserve">die ihn hielten, losgerissen, in die Ecke der Kapelle, wo er die Erscheinung sah, gestürmt und dann mit dem Zettel in der Hand zurückgekommen sei </w:t>
      </w:r>
      <w:hyperlink r:id="rId80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 </w:t>
        </w:r>
        <w:r w:rsidRPr="008725BE">
          <w:rPr>
            <w:rStyle w:val="innerfusslink3"/>
            <w:rFonts w:ascii="Garamond" w:hAnsi="Garamond" w:cs="Arial"/>
            <w:b/>
            <w:bCs/>
            <w:i/>
            <w:iCs/>
            <w:lang w:val="en-GB"/>
          </w:rPr>
          <w:t>[poenitens] ipsumque Daemonem ad Aram Sac. Cellae per fenestrellam in cornu Epistolae, Schedam sibi porrigentem conspexisset, eo advolans e Religiosorum manibus, qui eum tenebant, ipsam Schedam ad manum obtinuit, </w:t>
        </w:r>
        <w:r w:rsidRPr="008725BE">
          <w:rPr>
            <w:rStyle w:val="innerfusslink3"/>
            <w:rFonts w:ascii="Garamond" w:hAnsi="Garamond" w:cs="Arial"/>
            <w:b/>
            <w:bCs/>
            <w:lang w:val="en-GB"/>
          </w:rPr>
          <w: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Wunder war groß, der Sieg der heiligen Mutter über Satan unzweifelhaft, die Heilung aber leider nicht beständig. Es sei nochmals zur Ehre der geistlichen Herren hervorgehoben, daß sie diese Tatsache nicht verschweigen. Der Maler verließ Mariazell nach kurzer Zeit im besten Wohlbefinden und begab sich dann nach Wien, wo er bei einer verheirateten Schwester wohnte. Dort fingen am 11. Oktober neuerliche, zum Teil sehr schwere Anfälle an, über die das Tagebuch bis zum 13. Januar berichtet. Es waren Visionen, Abwesenheiten, in denen er die mannigfaltigsten Dinge sah und erlebte, Krampfzustände, begleitet von den schmerzhaftesten Sensationen, einmal ein Zustand von Lähmung der Beine u. dgl. Diesmal plagte ihn aber nicht der Teufel, sondern es waren heilige Gestalten, die ihn heimsuchten, Christus, die heilige Jungfrau selbst. Merkwürdig, daß er unter diesen himmlischen Erscheinungen und den Strafen, die sie über ihn verhängten, nicht minder litt als früher unter dem Verkehr mit dem Teufel. Er faßte auch diese neuen Erlebnisse im Tagebuch als Erscheinungen des Teufels zusammen und beklagte sich über </w:t>
      </w:r>
      <w:r w:rsidRPr="008725BE">
        <w:rPr>
          <w:rFonts w:ascii="Garamond" w:hAnsi="Garamond"/>
          <w:i/>
          <w:iCs/>
          <w:color w:val="000000"/>
          <w:lang w:val="en-GB"/>
        </w:rPr>
        <w:t>maligni Spiritus manifestationes</w:t>
      </w:r>
      <w:r w:rsidRPr="008725BE">
        <w:rPr>
          <w:rFonts w:ascii="Garamond" w:hAnsi="Garamond"/>
          <w:color w:val="000000"/>
          <w:lang w:val="en-GB"/>
        </w:rPr>
        <w:t>, als er im Mai 1678 nach Mariazell zurückkehrte.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Den geistlichen Herren gab er als Motiv seiner Rückkehr an, daß er auch eine andere, frühere, mit Tinte geschriebene Verschreibung vom Teufel zu fordern habe </w:t>
      </w:r>
      <w:hyperlink r:id="rId81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Diese wäre, im September 1668 ausgestellt, 9½ Jahre später, im Mai 1678, längst verfallen gewesen.</w:t>
        </w:r>
      </w:hyperlink>
      <w:r w:rsidRPr="008725BE">
        <w:rPr>
          <w:rFonts w:ascii="Garamond" w:hAnsi="Garamond"/>
          <w:color w:val="000000"/>
          <w:lang w:val="en-GB"/>
        </w:rPr>
        <w:t xml:space="preserve">. Auch diesmal verhalfen ihm die heilige Maria und die frommen Patres zur Erfüllung seiner Bitte. Aber der Bericht, wie das geschah, ist schweigsam. Es heißt nur mit kurzen Worten: </w:t>
      </w:r>
      <w:r w:rsidRPr="008725BE">
        <w:rPr>
          <w:rFonts w:ascii="Garamond" w:hAnsi="Garamond"/>
          <w:i/>
          <w:iCs/>
          <w:color w:val="000000"/>
          <w:lang w:val="en-GB"/>
        </w:rPr>
        <w:t>qua iuxta votum redditâ.</w:t>
      </w:r>
      <w:r w:rsidRPr="008725BE">
        <w:rPr>
          <w:rFonts w:ascii="Garamond" w:hAnsi="Garamond"/>
          <w:color w:val="000000"/>
          <w:lang w:val="en-GB"/>
        </w:rPr>
        <w:t xml:space="preserve"> Er betete wieder, und er erhielt den Vertrag zurück. Dann fühlte er sich ganz frei und trat in den Orden der Barmherzigen Brüder 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Man hat wiederum Anlaß anzuerkennen, daß die offenkundige Tendenz seiner Bemühung den Kompilator nicht dazu verführt hat, die von einer Krankengeschichte zu fordernde Wahrhaftigkeit zu verleugnen. Denn er verschweigt nicht, was die Erkundigung nach dem Ausgang des Malers beim Vorstand des Klosters der Barmherzigen Brüder im Jahre 1714 ergeben. Der R. P </w:t>
      </w:r>
      <w:r w:rsidRPr="008725BE">
        <w:rPr>
          <w:rFonts w:ascii="Garamond" w:hAnsi="Garamond"/>
          <w:color w:val="000000"/>
          <w:vertAlign w:val="superscript"/>
          <w:lang w:val="en-GB"/>
        </w:rPr>
        <w:t>r</w:t>
      </w:r>
      <w:r w:rsidRPr="008725BE">
        <w:rPr>
          <w:rFonts w:ascii="Garamond" w:hAnsi="Garamond"/>
          <w:color w:val="000000"/>
          <w:lang w:val="en-GB"/>
        </w:rPr>
        <w:t xml:space="preserve"> Provincialis berichtet, daß Bruder Chrysostomus noch wiederholt Anfechtungen des bösen Geistes erfahren hat, der ihn zu einem neuen Pakt verleiten wollte, und zwar nur dann, » </w:t>
      </w:r>
      <w:r w:rsidRPr="008725BE">
        <w:rPr>
          <w:rFonts w:ascii="Garamond" w:hAnsi="Garamond"/>
          <w:i/>
          <w:iCs/>
          <w:color w:val="000000"/>
          <w:lang w:val="en-GB"/>
        </w:rPr>
        <w:t>wenn er etwas mehrers von Wein getrunken</w:t>
      </w:r>
      <w:r w:rsidRPr="008725BE">
        <w:rPr>
          <w:rFonts w:ascii="Garamond" w:hAnsi="Garamond"/>
          <w:color w:val="000000"/>
          <w:lang w:val="en-GB"/>
        </w:rPr>
        <w:t xml:space="preserve">«, durch die Gnade Gottes sei es aber immer möglich gewesen, ihn abzuweisen. Bruder Chrysostomus sei dann im Kloster des Ordens Neustatt an der Moldau im Jahre 1700 » </w:t>
      </w:r>
      <w:r w:rsidRPr="008725BE">
        <w:rPr>
          <w:rFonts w:ascii="Garamond" w:hAnsi="Garamond"/>
          <w:i/>
          <w:iCs/>
          <w:color w:val="000000"/>
          <w:lang w:val="en-GB"/>
        </w:rPr>
        <w:t>sanft und trostreich</w:t>
      </w:r>
      <w:r w:rsidRPr="008725BE">
        <w:rPr>
          <w:rFonts w:ascii="Garamond" w:hAnsi="Garamond"/>
          <w:color w:val="000000"/>
          <w:lang w:val="en-GB"/>
        </w:rPr>
        <w:t>« an der Hektica verstorben.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 Das Motiv des Teufelspakts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wir diese Teufelsverschreibung wie eine neurotische Krankengeschichte betrachten, wendet sich unser Interesse zunächst der Frage nach ihrer Motivierung zu, die ja mit der Veranlassung innig zusammenhängt. Warum verschreibt man sich dem Teufel? Dr. Faust fragt zwar verächtlich: »Was willst du armer Teufel geben?« Aber er hat nicht recht, der Teufel hat als Entgelt für die unsterbliche Seele allerlei zu bieten, was die Menschen hoch einschätzen: Reichtum, Sicherheit vor Gefahren, Macht über die Menschen und über die Kräfte der Natur, selbst Zauberkünste und vor allem anderen: Genuß, Genuß bei schönen Frauen. Diese Leistungen oder Verpflichtungen des Teufels pflegen auch im Vertrag mit ihm ausdrücklich erwähnt zu werden </w:t>
      </w:r>
      <w:hyperlink r:id="rId81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in </w:t>
        </w:r>
        <w:r w:rsidRPr="008725BE">
          <w:rPr>
            <w:rStyle w:val="innerfusslink3"/>
            <w:rFonts w:ascii="Garamond" w:hAnsi="Garamond" w:cs="Arial"/>
            <w:b/>
            <w:bCs/>
            <w:i/>
            <w:iCs/>
            <w:lang w:val="en-GB"/>
          </w:rPr>
          <w:t>Faust,</w:t>
        </w:r>
        <w:r w:rsidRPr="008725BE">
          <w:rPr>
            <w:rStyle w:val="innerfusslink3"/>
            <w:rFonts w:ascii="Garamond" w:hAnsi="Garamond" w:cs="Arial"/>
            <w:b/>
            <w:bCs/>
            <w:lang w:val="en-GB"/>
          </w:rPr>
          <w:t xml:space="preserve"> I. Teil, Studierzimmer: </w:t>
        </w:r>
        <w:r w:rsidRPr="008725BE">
          <w:rPr>
            <w:rFonts w:ascii="Garamond" w:hAnsi="Garamond"/>
            <w:color w:val="000000"/>
            <w:lang w:val="en-GB"/>
          </w:rPr>
          <w:br/>
        </w:r>
        <w:r w:rsidRPr="008725BE">
          <w:rPr>
            <w:rFonts w:ascii="Garamond" w:hAnsi="Garamond"/>
            <w:color w:val="000000"/>
            <w:lang w:val="en-GB"/>
          </w:rPr>
          <w:br/>
        </w:r>
        <w:r w:rsidRPr="008725BE">
          <w:rPr>
            <w:rStyle w:val="innerfusslink3"/>
            <w:rFonts w:ascii="Garamond" w:hAnsi="Garamond" w:cs="Arial"/>
            <w:b/>
            <w:bCs/>
            <w:lang w:val="en-GB"/>
          </w:rPr>
          <w:t xml:space="preserve">»Ich will mich </w:t>
        </w:r>
        <w:r w:rsidRPr="008725BE">
          <w:rPr>
            <w:rStyle w:val="innerfusslink3"/>
            <w:rFonts w:ascii="Garamond" w:hAnsi="Garamond" w:cs="Arial"/>
            <w:b/>
            <w:bCs/>
            <w:i/>
            <w:iCs/>
            <w:lang w:val="en-GB"/>
          </w:rPr>
          <w:t>hier</w:t>
        </w:r>
        <w:r w:rsidRPr="008725BE">
          <w:rPr>
            <w:rStyle w:val="innerfusslink3"/>
            <w:rFonts w:ascii="Garamond" w:hAnsi="Garamond" w:cs="Arial"/>
            <w:b/>
            <w:bCs/>
            <w:lang w:val="en-GB"/>
          </w:rPr>
          <w:t xml:space="preserve"> zu deinem Dienst verbinden, </w:t>
        </w:r>
        <w:r w:rsidRPr="008725BE">
          <w:rPr>
            <w:rFonts w:ascii="Garamond" w:hAnsi="Garamond"/>
            <w:color w:val="000000"/>
            <w:lang w:val="en-GB"/>
          </w:rPr>
          <w:br/>
        </w:r>
        <w:r w:rsidRPr="008725BE">
          <w:rPr>
            <w:rStyle w:val="innerfusslink3"/>
            <w:rFonts w:ascii="Garamond" w:hAnsi="Garamond" w:cs="Arial"/>
            <w:b/>
            <w:bCs/>
            <w:lang w:val="en-GB"/>
          </w:rPr>
          <w:t xml:space="preserve">Auf deinen Wink nicht rasten und nicht ruhn; </w:t>
        </w:r>
        <w:r w:rsidRPr="008725BE">
          <w:rPr>
            <w:rFonts w:ascii="Garamond" w:hAnsi="Garamond"/>
            <w:color w:val="000000"/>
            <w:lang w:val="en-GB"/>
          </w:rPr>
          <w:br/>
        </w:r>
        <w:r w:rsidRPr="008725BE">
          <w:rPr>
            <w:rStyle w:val="innerfusslink3"/>
            <w:rFonts w:ascii="Garamond" w:hAnsi="Garamond" w:cs="Arial"/>
            <w:b/>
            <w:bCs/>
            <w:lang w:val="en-GB"/>
          </w:rPr>
          <w:t xml:space="preserve">Wenn wir uns </w:t>
        </w:r>
        <w:r w:rsidRPr="008725BE">
          <w:rPr>
            <w:rStyle w:val="innerfusslink3"/>
            <w:rFonts w:ascii="Garamond" w:hAnsi="Garamond" w:cs="Arial"/>
            <w:b/>
            <w:bCs/>
            <w:i/>
            <w:iCs/>
            <w:lang w:val="en-GB"/>
          </w:rPr>
          <w:t>drüben</w:t>
        </w:r>
        <w:r w:rsidRPr="008725BE">
          <w:rPr>
            <w:rStyle w:val="innerfusslink3"/>
            <w:rFonts w:ascii="Garamond" w:hAnsi="Garamond" w:cs="Arial"/>
            <w:b/>
            <w:bCs/>
            <w:lang w:val="en-GB"/>
          </w:rPr>
          <w:t xml:space="preserve"> wiederfinden, </w:t>
        </w:r>
        <w:r w:rsidRPr="008725BE">
          <w:rPr>
            <w:rFonts w:ascii="Garamond" w:hAnsi="Garamond"/>
            <w:color w:val="000000"/>
            <w:lang w:val="en-GB"/>
          </w:rPr>
          <w:br/>
        </w:r>
        <w:r w:rsidRPr="008725BE">
          <w:rPr>
            <w:rStyle w:val="innerfusslink3"/>
            <w:rFonts w:ascii="Garamond" w:hAnsi="Garamond" w:cs="Arial"/>
            <w:b/>
            <w:bCs/>
            <w:lang w:val="en-GB"/>
          </w:rPr>
          <w:t>So sollst du mir das Gleiche thun.«</w:t>
        </w:r>
      </w:hyperlink>
      <w:r w:rsidRPr="008725BE">
        <w:rPr>
          <w:rFonts w:ascii="Garamond" w:hAnsi="Garamond"/>
          <w:color w:val="000000"/>
          <w:lang w:val="en-GB"/>
        </w:rPr>
        <w:t>. Was ist nun für Christoph Haitzmann das Motiv seines Pakts gewesen?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Merkwürdigerweise keiner von all diesen so natürlichen Wünschen. Um jeden Zweifel daran zu bannen, braucht man nur die kurzen Bemerkungen einzusehen, die der Maler zu den von ihm abgebildeten Teufelserscheinungen hinzusetzt. Zum Beispiel lautet die Note zur dritten Vision: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 </w:t>
      </w:r>
      <w:r w:rsidRPr="008725BE">
        <w:rPr>
          <w:rFonts w:ascii="Garamond" w:hAnsi="Garamond"/>
          <w:i/>
          <w:iCs/>
          <w:color w:val="000000"/>
          <w:lang w:val="en-GB"/>
        </w:rPr>
        <w:t>Zum driten ist er mir in anderthalb Jahren in dißer abscheühlichen Gestalt erschinen, mit einen Buuch in der Handt, darin lauter Zauberey und schwarze Kunst war begrüffen . . .</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Aber aus der Beischrift zu einer späteren Erscheinung erfahren wir, daß der Teufel ihm heftige Vorwürfe macht, warum er » </w:t>
      </w:r>
      <w:r w:rsidRPr="008725BE">
        <w:rPr>
          <w:rFonts w:ascii="Garamond" w:hAnsi="Garamond"/>
          <w:i/>
          <w:iCs/>
          <w:color w:val="000000"/>
          <w:lang w:val="en-GB"/>
        </w:rPr>
        <w:t>sein vorgemeldtes Buuch verbrennt</w:t>
      </w:r>
      <w:r w:rsidRPr="008725BE">
        <w:rPr>
          <w:rFonts w:ascii="Garamond" w:hAnsi="Garamond"/>
          <w:color w:val="000000"/>
          <w:lang w:val="en-GB"/>
        </w:rPr>
        <w:t>«, und ihn zu zerreißen droht, wenn er es ihm nicht wieder beschafft.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der vierten Erscheinung zeigt er ihm einen großen gelben Beutel und einen großen Dukaten und verspricht ihm jederzeit soviel davon, als er nur haben will, » </w:t>
      </w:r>
      <w:r w:rsidRPr="008725BE">
        <w:rPr>
          <w:rFonts w:ascii="Garamond" w:hAnsi="Garamond"/>
          <w:i/>
          <w:iCs/>
          <w:color w:val="000000"/>
          <w:lang w:val="en-GB"/>
        </w:rPr>
        <w:t>aber ich solliches gar nit angenomben</w:t>
      </w:r>
      <w:r w:rsidRPr="008725BE">
        <w:rPr>
          <w:rFonts w:ascii="Garamond" w:hAnsi="Garamond"/>
          <w:color w:val="000000"/>
          <w:lang w:val="en-GB"/>
        </w:rPr>
        <w:t>«, kann sich der Maler rühmen.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Ein anderes Mal verlangt er von ihm, er solle sich amüsieren, unterhalten lassen. Wozu der Maler bemerkt, » </w:t>
      </w:r>
      <w:r w:rsidRPr="008725BE">
        <w:rPr>
          <w:rFonts w:ascii="Garamond" w:hAnsi="Garamond"/>
          <w:i/>
          <w:iCs/>
          <w:color w:val="000000"/>
          <w:lang w:val="en-GB"/>
        </w:rPr>
        <w:t>welliches zwar auch auf sein begehren geschehen aber ich yber drey Tag nit continuirt, und gleich widerumb außgelöst worden</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 er nun Zauberkünste, Geld und Genuß zurückweist, wenn der Teufel sie ihm bietet, geschweige denn, daß er sie zu Bedingungen des Pakts gemacht hätte, wird es wirklich dringlich zu wissen, was dieser Maler eigentlich vom Teufel wollte, als er sich ihm verschrieb. Irgendein Motiv, sich mit dem Teufel einzulassen, muß er doch gehabt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w:t>
      </w:r>
      <w:r w:rsidRPr="008725BE">
        <w:rPr>
          <w:rFonts w:ascii="Garamond" w:hAnsi="Garamond"/>
          <w:i/>
          <w:iCs/>
          <w:color w:val="000000"/>
          <w:lang w:val="en-GB"/>
        </w:rPr>
        <w:t>Trophaeum</w:t>
      </w:r>
      <w:r w:rsidRPr="008725BE">
        <w:rPr>
          <w:rFonts w:ascii="Garamond" w:hAnsi="Garamond"/>
          <w:color w:val="000000"/>
          <w:lang w:val="en-GB"/>
        </w:rPr>
        <w:t xml:space="preserve"> gibt auch sichere Auskunft über diesen Punkt. Er war schwermütig geworden, konnte nicht, oder wollte nicht recht arbeiten und hatte Sorge um die Erhaltung seiner Existenz, also melancholische Depression mit Arbeitshemmung und (berechtigter) Lebenssorge. Wir sehen, daß wir es wirklich mit einer Krankengeschichte zu tun haben, erfahren auch, welches die Veranlassung dieser Erkrankung war, die der Maler selbst in den Bemerkungen zu den Teufelsbildern geradezu eine Melancholie nennt (» </w:t>
      </w:r>
      <w:r w:rsidRPr="008725BE">
        <w:rPr>
          <w:rFonts w:ascii="Garamond" w:hAnsi="Garamond"/>
          <w:i/>
          <w:iCs/>
          <w:color w:val="000000"/>
          <w:lang w:val="en-GB"/>
        </w:rPr>
        <w:t>solte mich darmit belustigen und meläncoley vertreiben</w:t>
      </w:r>
      <w:r w:rsidRPr="008725BE">
        <w:rPr>
          <w:rFonts w:ascii="Garamond" w:hAnsi="Garamond"/>
          <w:color w:val="000000"/>
          <w:lang w:val="en-GB"/>
        </w:rPr>
        <w:t xml:space="preserve">«). Von unseren drei Quellen erwähnt zwar die erste, der Geleitbrief des Pfarrers, nur den Depressionszustand (» </w:t>
      </w:r>
      <w:r w:rsidRPr="008725BE">
        <w:rPr>
          <w:rFonts w:ascii="Garamond" w:hAnsi="Garamond"/>
          <w:i/>
          <w:iCs/>
          <w:color w:val="000000"/>
          <w:lang w:val="en-GB"/>
        </w:rPr>
        <w:t xml:space="preserve">dum artis suae progressum emolumentumque secuturum </w:t>
      </w:r>
      <w:r w:rsidRPr="008725BE">
        <w:rPr>
          <w:rStyle w:val="wide2"/>
          <w:rFonts w:ascii="Garamond" w:hAnsi="Garamond" w:cs="Arial"/>
          <w:i/>
          <w:iCs/>
          <w:color w:val="000000"/>
          <w:lang w:val="en-GB"/>
        </w:rPr>
        <w:t>pusillanimis</w:t>
      </w:r>
      <w:r w:rsidRPr="008725BE">
        <w:rPr>
          <w:rFonts w:ascii="Garamond" w:hAnsi="Garamond"/>
          <w:i/>
          <w:iCs/>
          <w:color w:val="000000"/>
          <w:lang w:val="en-GB"/>
        </w:rPr>
        <w:t xml:space="preserve"> perpenderet</w:t>
      </w:r>
      <w:r w:rsidRPr="008725BE">
        <w:rPr>
          <w:rFonts w:ascii="Garamond" w:hAnsi="Garamond"/>
          <w:color w:val="000000"/>
          <w:lang w:val="en-GB"/>
        </w:rPr>
        <w:t xml:space="preserve">«), aber die zweite, der Bericht des Abtes Franciscus, weiß auch die Quelle dieser Verzagtheit oder Verstimmung zu nennen, denn hier heißt es » </w:t>
      </w:r>
      <w:r w:rsidRPr="008725BE">
        <w:rPr>
          <w:rFonts w:ascii="Garamond" w:hAnsi="Garamond"/>
          <w:i/>
          <w:iCs/>
          <w:color w:val="000000"/>
          <w:lang w:val="en-GB"/>
        </w:rPr>
        <w:t xml:space="preserve">acceptâ aliquâ pusillanimitate </w:t>
      </w:r>
      <w:r w:rsidRPr="008725BE">
        <w:rPr>
          <w:rStyle w:val="wide2"/>
          <w:rFonts w:ascii="Garamond" w:hAnsi="Garamond" w:cs="Arial"/>
          <w:i/>
          <w:iCs/>
          <w:color w:val="000000"/>
          <w:lang w:val="en-GB"/>
        </w:rPr>
        <w:t>ex morte parentis</w:t>
      </w:r>
      <w:r w:rsidRPr="008725BE">
        <w:rPr>
          <w:rFonts w:ascii="Garamond" w:hAnsi="Garamond"/>
          <w:color w:val="000000"/>
          <w:lang w:val="en-GB"/>
        </w:rPr>
        <w:t xml:space="preserve">« und dementsprechend auch in der Einleitung des Kompilators mit den nämlichen, nur umgestellten Worten: » </w:t>
      </w:r>
      <w:r w:rsidRPr="008725BE">
        <w:rPr>
          <w:rFonts w:ascii="Garamond" w:hAnsi="Garamond"/>
          <w:i/>
          <w:iCs/>
          <w:color w:val="000000"/>
          <w:lang w:val="en-GB"/>
        </w:rPr>
        <w:t>ex morte parentis acceptâ aliquâ pusillanimitate</w:t>
      </w:r>
      <w:r w:rsidRPr="008725BE">
        <w:rPr>
          <w:rFonts w:ascii="Garamond" w:hAnsi="Garamond"/>
          <w:color w:val="000000"/>
          <w:lang w:val="en-GB"/>
        </w:rPr>
        <w:t xml:space="preserve">.« Es war also sein Vater gestorben, er darüber in eine Melancholie verfallen, da näherte sich ihm der Teufel, fragte ihn, warum er so bestürzt und traurig sei, und versprach ihm » </w:t>
      </w:r>
      <w:r w:rsidRPr="008725BE">
        <w:rPr>
          <w:rFonts w:ascii="Garamond" w:hAnsi="Garamond"/>
          <w:i/>
          <w:iCs/>
          <w:color w:val="000000"/>
          <w:lang w:val="en-GB"/>
        </w:rPr>
        <w:t>auf alle Weiß zu helfen und an die Handt zu gehen</w:t>
      </w:r>
      <w:r w:rsidRPr="008725BE">
        <w:rPr>
          <w:rFonts w:ascii="Garamond" w:hAnsi="Garamond"/>
          <w:color w:val="000000"/>
          <w:lang w:val="en-GB"/>
        </w:rPr>
        <w:t xml:space="preserve">« </w:t>
      </w:r>
      <w:hyperlink r:id="rId81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Bild 1 und Legende dazu auf dem Titelblatt, der Teufel in Gestalt eines » </w:t>
        </w:r>
        <w:r w:rsidRPr="008725BE">
          <w:rPr>
            <w:rStyle w:val="innerfusslink3"/>
            <w:rFonts w:ascii="Garamond" w:hAnsi="Garamond" w:cs="Arial"/>
            <w:b/>
            <w:bCs/>
            <w:i/>
            <w:iCs/>
            <w:lang w:val="en-GB"/>
          </w:rPr>
          <w:t>Ersamen Bürgers</w:t>
        </w:r>
        <w:r w:rsidRPr="008725BE">
          <w:rPr>
            <w:rStyle w:val="innerfusslink3"/>
            <w:rFonts w:ascii="Garamond" w:hAnsi="Garamond" w:cs="Arial"/>
            <w:b/>
            <w:bCs/>
            <w:lang w:val="en-GB"/>
          </w:rPr>
          <w: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 verschreibt sich also einer dem Teufel, um von einer Gemütsdepression befreit zu werden. Gewiß ein ausgezeichnetes Motiv nach dem Urteil eines jeden, der sich in die Qualen eines solchen Zustandes einfühlen kann und der überdies weiß, wie wenig ärztliche Kunst von diesem Leiden zu lindern versteht. Doch würde keiner, der dieser Erzählung so weit gefolgt ist, erraten können, wie der Wortlaut der Verschreibung an den Teufel (oder vielmehr der beiden Verschreibungen, einer ersten, mit Tinte und einer zweiten, etwa ein Jahr später, mit Blut geschriebenen, beide angeblich noch in der Schatzkammer von Mariazell vorhanden und im </w:t>
      </w:r>
      <w:r w:rsidRPr="008725BE">
        <w:rPr>
          <w:rFonts w:ascii="Garamond" w:hAnsi="Garamond"/>
          <w:i/>
          <w:iCs/>
          <w:color w:val="000000"/>
          <w:lang w:val="en-GB"/>
        </w:rPr>
        <w:t>Trophaeum</w:t>
      </w:r>
      <w:r w:rsidRPr="008725BE">
        <w:rPr>
          <w:rFonts w:ascii="Garamond" w:hAnsi="Garamond"/>
          <w:color w:val="000000"/>
          <w:lang w:val="en-GB"/>
        </w:rPr>
        <w:t xml:space="preserve"> mitgeteilt), wie also der Wortlaut dieser Verschreibungen gelautet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Verschreibungen bringen uns zwei starke Überraschungen. Erstens nennen sie nicht eine Verpflichtung des Teufels, für deren Einhaltung die ewige Seligkeit verpfändet wird, sondern nur eine Forderung des Teufels, die der Maler einhalten soll. Es berührt uns als ganz unlogisch, absurd, daß dieser Mensch seine Seele einsetzt nicht für etwas, was er vom Teufel bekommen, sondern was er dem Teufel leisten soll. Noch sonderbarer klingt die Verpflichtung des Malers. Erste, mit schwarzer Tinte geschriebene »Syngrapha«:</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Ich Christoph Haizmann undterschreibe mich disen Herrn: sein leibeigent Sohn auff 9. Jahr. 1669 Jahr.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Zweite, mit Blut geschrieben:</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Anno 1669</w:t>
      </w:r>
    </w:p>
    <w:p w:rsidR="008725BE" w:rsidRPr="008725BE" w:rsidRDefault="008725BE" w:rsidP="008725BE">
      <w:pPr>
        <w:pStyle w:val="Sansinterligne"/>
        <w:rPr>
          <w:rFonts w:ascii="Garamond" w:hAnsi="Garamond"/>
          <w:color w:val="000000"/>
          <w:lang w:val="en-GB"/>
        </w:rPr>
      </w:pPr>
      <w:r w:rsidRPr="008725BE">
        <w:rPr>
          <w:rFonts w:ascii="Garamond" w:hAnsi="Garamond"/>
          <w:i/>
          <w:iCs/>
          <w:color w:val="000000"/>
          <w:lang w:val="en-GB"/>
        </w:rPr>
        <w:t>Christoph Haizmann. Ich verschreibe mich disen Satan, ich sein leibeigner Sohn zu sein, vnd in 9. Jahr ihm mein Leib vndt Seel zu zugeheren.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Alles Befremden entfällt aber, wenn wir den Text der Verschreibungen so zurechtrücken, daß in ihr als Forderung des Teufels dargestellt wird, was vielmehr seine Leistung, also Forderung des Malers ist. Dann bekäme der unverständliche Pakt einen geraden Sinn und könnte solcherart ausgelegt werden: Der Teufel verpflichtet sich, dem Maler durch neun Jahre den verlorenen Vater zu ersetzen. Nach Ablauf dieser Zeit verfällt der Maler mit Leib und Seele dem Teufel, wie es bei diesen Händeln allgemein üblich war. Der Gedankengang des Malers, der seinen Pakt motiviert, scheint ja der folgende zu sein: Durch den Tod des Vaters hat er Stimmung und Arbeitsfähigkeit eingebüßt; wenn er nun einen Vaterersatz bekommt, hofft er das Verlorene wiederzugewinnen.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Jemand, der durch den Tod seines Vaters melancholisch geworden ist, muß doch diesen Vater liebgehabt haben. Dann ist es aber sehr sonderbar, daß ein solcher Mensch auf die Idee kommen kann, den Teufel zum Ersatz für den geliebten Vater zu nehmen.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III. Der Teufel als Vaterersatz</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Ich besorge, eine nüchterne Kritik wird uns nicht zugeben, daß wir mit jener Umdeutung den Sinn des Teufelspakts bloßgelegt haben. Sie wird zweierlei Einwendungen dagegen erheben. Erstens: es sei nicht notwendig, die Verschreibung als einen Vertrag anzusehen, in dem die Verpflichtungen beider Teile Platz </w:t>
      </w:r>
      <w:r w:rsidRPr="008725BE">
        <w:rPr>
          <w:rFonts w:ascii="Garamond" w:hAnsi="Garamond"/>
          <w:color w:val="000000"/>
          <w:lang w:val="en-GB"/>
        </w:rPr>
        <w:lastRenderedPageBreak/>
        <w:t xml:space="preserve">gefunden haben. </w:t>
      </w:r>
      <w:r w:rsidRPr="008725BE">
        <w:rPr>
          <w:rFonts w:ascii="Garamond" w:hAnsi="Garamond"/>
          <w:color w:val="000000"/>
        </w:rPr>
        <w:t xml:space="preserve">Sie enthalte vielmehr nur die Verpflichtung des Malers, die des Teufels sei außerhalb ihres Textes geblieben, gleichsam » </w:t>
      </w:r>
      <w:r w:rsidRPr="008725BE">
        <w:rPr>
          <w:rFonts w:ascii="Garamond" w:hAnsi="Garamond"/>
          <w:i/>
          <w:iCs/>
          <w:color w:val="000000"/>
        </w:rPr>
        <w:t>sousentendue</w:t>
      </w:r>
      <w:r w:rsidRPr="008725BE">
        <w:rPr>
          <w:rFonts w:ascii="Garamond" w:hAnsi="Garamond"/>
          <w:color w:val="000000"/>
        </w:rPr>
        <w:t>«. Der Maler verpflichtet sich aber zu zweierlei, erstens zur Teufelssohnschaft durch neun Jahre und zweitens dazu, ihm nach dem Tode ganz anheimzufallen. Damit ist eine der Begründungen unseres Schlusses weggeräumt.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Die zweite Einwendung wird sagen, es sei nicht berechtigt, auf den Ausdruck, des Teufels leibeigener Sohn zu sein, besonderes Gewicht zu legen. </w:t>
      </w:r>
      <w:r w:rsidRPr="008725BE">
        <w:rPr>
          <w:rFonts w:ascii="Garamond" w:hAnsi="Garamond"/>
          <w:color w:val="000000"/>
          <w:lang w:val="en-GB"/>
        </w:rPr>
        <w:t xml:space="preserve">Das sei eine geläufige Redensart, die jeder so auffassen könne, wie die geistlichen Herren sie verstanden haben mögen. Diese übersetzen die in den Verschreibungen versprochene Sohnschaft nicht in ihr Latein, sondern sagen nur, daß der Maler sich dem Bösen » </w:t>
      </w:r>
      <w:r w:rsidRPr="008725BE">
        <w:rPr>
          <w:rFonts w:ascii="Garamond" w:hAnsi="Garamond"/>
          <w:i/>
          <w:iCs/>
          <w:color w:val="000000"/>
          <w:lang w:val="en-GB"/>
        </w:rPr>
        <w:t>mancipavit</w:t>
      </w:r>
      <w:r w:rsidRPr="008725BE">
        <w:rPr>
          <w:rFonts w:ascii="Garamond" w:hAnsi="Garamond"/>
          <w:color w:val="000000"/>
          <w:lang w:val="en-GB"/>
        </w:rPr>
        <w:t xml:space="preserve">«, zu eigen gegeben, es auf sich genommen habe, ein sündhaftes Leben zu führen und Gott und die heilige Dreieinigkeit zu verleugnen. Warum sollten wir uns von dieser naheliegenden und ungezwungenen Auffassung entfernen? </w:t>
      </w:r>
      <w:hyperlink r:id="rId813" w:anchor="#" w:history="1">
        <w:r w:rsidRPr="008725BE">
          <w:rPr>
            <w:rStyle w:val="fusslink"/>
            <w:rFonts w:ascii="Garamond" w:hAnsi="Garamond" w:cs="Arial"/>
            <w:b/>
            <w:bCs/>
            <w:color w:val="003399"/>
          </w:rPr>
          <w:t>[Fußnote]</w:t>
        </w:r>
        <w:r w:rsidRPr="008725BE">
          <w:rPr>
            <w:rStyle w:val="innerfusslink3"/>
            <w:rFonts w:ascii="Garamond" w:hAnsi="Garamond" w:cs="Arial"/>
            <w:b/>
            <w:bCs/>
          </w:rPr>
          <w:t xml:space="preserve">In der Tat werden wir später, wenn wir erwägen, wann und für wen diese Verschreibungen abgefaßt wurden, selbst einsehen, daß ihr Text unauffällig und allgemeinverständlich lauten mußte. </w:t>
        </w:r>
        <w:r w:rsidRPr="008725BE">
          <w:rPr>
            <w:rStyle w:val="innerfusslink3"/>
            <w:rFonts w:ascii="Garamond" w:hAnsi="Garamond" w:cs="Arial"/>
            <w:b/>
            <w:bCs/>
            <w:lang w:val="en-GB"/>
          </w:rPr>
          <w:t>Es reicht uns aber hin, wenn er eine Zweideutigkeit bewahrt, an welche auch unsere Auslegung anknüpfen kann.</w:t>
        </w:r>
      </w:hyperlink>
      <w:r w:rsidRPr="008725BE">
        <w:rPr>
          <w:rFonts w:ascii="Garamond" w:hAnsi="Garamond"/>
          <w:color w:val="000000"/>
          <w:lang w:val="en-GB"/>
        </w:rPr>
        <w:t xml:space="preserve"> Der Sachverhalt wäre dann einfach der, daß sich jemand in der Qual und Ratlosigkeit einer melancholischen Depression dem Teufel verschreibt, dem er auch das stärkste therapeutische Können zutraut. Daß diese Verstimmung aus dem Tod des Vaters hervorging, komme nicht weiter in Betracht, es hätte auch ein anderer Anlaß sein können. Das klingt stark und vernünftig. Gegen die Psychoanalyse erhebt sich wieder der Vorwurf, daß sie einfache Verhältnisse in spitzfindiger Weise kompliziert, Geheimnisse und Probleme dort sieht, wo sie nicht existieren, und daß sie dies bewerkstelligt, indem sie kleine und nebensächliche Züge, wie man sie überall finden kann, übermäßig betont und zu Trägern der weitgehendsten und fremdartigsten Schlüsse erhebt. Vergeblich würden wir dagegen geltend machen, daß durch diese Abweisung so viele schlagende Analogien aufgehoben und feine Zusammenhänge zerrissen werden, die wir in diesem Falle aufzeigen können. Die Gegner werden sagen, diese Analogien und Zusammenhänge bestehen eben nicht, sondern werden von uns mit überflüssigem Scharfsinn in den Fall hineingetragen.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Nun, ich werde meine Entgegnung nicht mit den Worten einleiten: seien wir ehrlich oder seien wir aufrichtig, denn das muß man immer sein können, ohne einen besonderen Anlauf dazu zu nehmen, sondern ich werde mit schlichten Worten versichern, daß ich wohl weiß, wenn jemand nicht bereits an die Berechtigung der psychoanalytischen Denkweise glaubt, werde er diese Überzeugung auch nicht aus dem Fall des Malers Chr. Haitzmann im siebzehnten Jahrhundert gewinnen. Es ist auch gar nicht meine Absicht, diesen Fall als Beweismittel für die Gültigkeit der Psychoanalyse zu verwerten; ich setze vielmehr die Psychoanalyse als gültig voraus und verwende sie dazu, um die dämonologische Erkrankung des Malers aufzuklären. Die Berechtigung hiezu nehme ich aus dem Erfolg unserer Forschungen über das Wesen der Neurosen überhaupt. In aller Bescheidenheit darf man es aussprechen, daß heute selbst die Stumpferen unter unseren Zeit- und Fachgenossen einzusehen beginnen, daß ein Verständnis der neurotischen Zustände ohne Hilfe der Psychoanalyse nicht zu erreichen ist.</w:t>
      </w:r>
    </w:p>
    <w:p w:rsidR="008725BE" w:rsidRPr="008725BE" w:rsidRDefault="008725BE" w:rsidP="008725BE">
      <w:pPr>
        <w:pStyle w:val="Sansinterligne"/>
        <w:rPr>
          <w:rFonts w:ascii="Garamond" w:hAnsi="Garamond"/>
          <w:color w:val="000000"/>
        </w:rPr>
      </w:pPr>
      <w:r w:rsidRPr="008725BE">
        <w:rPr>
          <w:rFonts w:ascii="Garamond" w:hAnsi="Garamond"/>
          <w:color w:val="000000"/>
        </w:rPr>
        <w:t>»Die Pfeile nur erobern Troja, sie allein«</w:t>
      </w:r>
    </w:p>
    <w:p w:rsidR="008725BE" w:rsidRPr="008725BE" w:rsidRDefault="008725BE" w:rsidP="008725BE">
      <w:pPr>
        <w:pStyle w:val="Sansinterligne"/>
        <w:rPr>
          <w:rFonts w:ascii="Garamond" w:hAnsi="Garamond"/>
          <w:color w:val="000000"/>
        </w:rPr>
      </w:pPr>
      <w:r w:rsidRPr="008725BE">
        <w:rPr>
          <w:rFonts w:ascii="Garamond" w:hAnsi="Garamond"/>
          <w:color w:val="000000"/>
        </w:rPr>
        <w:t xml:space="preserve">bekennt der Odysseus in Sophokles' </w:t>
      </w:r>
      <w:r w:rsidRPr="008725BE">
        <w:rPr>
          <w:rFonts w:ascii="Garamond" w:hAnsi="Garamond"/>
          <w:i/>
          <w:iCs/>
          <w:color w:val="000000"/>
        </w:rPr>
        <w:t>Philoktet</w:t>
      </w:r>
      <w:r w:rsidRPr="008725BE">
        <w:rPr>
          <w:rFonts w:ascii="Garamond" w:hAnsi="Garamond"/>
          <w:color w:val="000000"/>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Wenn es richtig ist, die Teufelsverschreibung unseres Malers als neurotische Phantasie anzusehen, so bedarf eine psychoanalytische Würdigung derselben keiner weiteren Entschuldigung. </w:t>
      </w:r>
      <w:r w:rsidRPr="008725BE">
        <w:rPr>
          <w:rFonts w:ascii="Garamond" w:hAnsi="Garamond"/>
          <w:color w:val="000000"/>
          <w:lang w:val="en-GB"/>
        </w:rPr>
        <w:t>Auch kleine Anzeichen haben ihren Sinn und Wert, ganz besonders unter den Entstehungsbedingungen der Neurose. Man kann sie freilich ebensowohl überschätzen wie unterschätzen, und es bleibt eine Sache des Takts, wie weit man in ihrer Verwertung gehen will. Wenn aber jemand nicht an die Psychoanalyse und nicht einmal an den Teufel glaubt, muß es ihm überlassen bleiben, was er mit dem Fall des Malers anfangen will, sei es, daß er dessen Erklärung aus eigenen Mitteln bestreiten kann, sei es, daß er nichts der Erklärung Bedürftiges an ihm findet.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kehren also zu unserer Annahme zurück, daß der Teufel, dem unser Maler sich verschreibt, ihm ein direkter Vaterersatz ist. Dazu stimmt auch die Gestalt, in der er ihm zuerst erscheint, als ehrsamer älterer Bürgersmann mit braunem Vollbart, in rotem Mantel, schwarzem Hut, die Rechte auf den Stock gestützt, einen schwarzen Hund neben sich (Bild 1). Später wird seine Erscheinung immer schreckhafter, man möchte sagen mythologischer: Hörner, Adlerklauen, Fledermausflügel werden zu ihrer Ausstattung verwendet. Zum Schluß erscheint er in der Kapelle als fliegender Drache. Auf ein bestimmtes Detail seiner körperlichen Gestaltung werden wir später zurückkommen müssen.</w:t>
      </w:r>
    </w:p>
    <w:p w:rsidR="008725BE" w:rsidRPr="008725BE" w:rsidRDefault="008725BE" w:rsidP="008725BE">
      <w:pPr>
        <w:pStyle w:val="Sansinterligne"/>
        <w:rPr>
          <w:rFonts w:ascii="Garamond" w:hAnsi="Garamond"/>
          <w:color w:val="000000"/>
        </w:rPr>
      </w:pPr>
      <w:r w:rsidRPr="008725BE">
        <w:rPr>
          <w:rFonts w:ascii="Garamond" w:hAnsi="Garamond"/>
          <w:noProof/>
          <w:color w:val="000000"/>
          <w:lang w:eastAsia="fr-FR"/>
        </w:rPr>
        <w:lastRenderedPageBreak/>
        <w:drawing>
          <wp:inline distT="0" distB="0" distL="0" distR="0">
            <wp:extent cx="3735070" cy="5936615"/>
            <wp:effectExtent l="19050" t="0" r="0" b="0"/>
            <wp:docPr id="21" name="Image 21" descr="v7s3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7s304a"/>
                    <pic:cNvPicPr>
                      <a:picLocks noChangeAspect="1" noChangeArrowheads="1"/>
                    </pic:cNvPicPr>
                  </pic:nvPicPr>
                  <pic:blipFill>
                    <a:blip r:embed="rId814" cstate="print"/>
                    <a:srcRect/>
                    <a:stretch>
                      <a:fillRect/>
                    </a:stretch>
                  </pic:blipFill>
                  <pic:spPr bwMode="auto">
                    <a:xfrm>
                      <a:off x="0" y="0"/>
                      <a:ext cx="3735070" cy="5936615"/>
                    </a:xfrm>
                    <a:prstGeom prst="rect">
                      <a:avLst/>
                    </a:prstGeom>
                    <a:noFill/>
                    <a:ln w="9525">
                      <a:noFill/>
                      <a:miter lim="800000"/>
                      <a:headEnd/>
                      <a:tailEnd/>
                    </a:ln>
                  </pic:spPr>
                </pic:pic>
              </a:graphicData>
            </a:graphic>
          </wp:inline>
        </w:drawing>
      </w:r>
    </w:p>
    <w:p w:rsidR="008725BE" w:rsidRPr="008725BE" w:rsidRDefault="008725BE" w:rsidP="008725BE">
      <w:pPr>
        <w:pStyle w:val="Sansinterligne"/>
        <w:rPr>
          <w:rFonts w:ascii="Garamond" w:hAnsi="Garamond"/>
          <w:color w:val="000000"/>
        </w:rPr>
      </w:pPr>
      <w:r w:rsidRPr="008725BE">
        <w:rPr>
          <w:rFonts w:ascii="Garamond" w:hAnsi="Garamond"/>
          <w:color w:val="000000"/>
        </w:rPr>
        <w:t>Bild 1: Erste Erscheinung des Teufels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Daß der Teufel zum Ersatz eines geliebten Vaters gewählt wird, klingt wirklich befremdend, aber doch nur, wenn wir zum erstenmal davon hören, denn wir wissen mancherlei, was die Überraschung mindern kann. </w:t>
      </w:r>
      <w:r w:rsidRPr="008725BE">
        <w:rPr>
          <w:rFonts w:ascii="Garamond" w:hAnsi="Garamond"/>
          <w:color w:val="000000"/>
          <w:lang w:val="en-GB"/>
        </w:rPr>
        <w:t xml:space="preserve">Zunächst, daß Gott ein Vaterersatz ist oder richtiger: ein erhöhter Vater oder noch anders: ein Nachbild des Vaters, wie man ihn in der Kindheit sah und erlebte, der Einzelne in seiner eigenen Kindheit und das Menschengeschlecht in seiner Vorzeit als Vater der primitiven Urhorde. Später sah der Einzelne seinen Vater anders und geringer, aber das kindliche Vorstellungsbild blieb erhalten und verschmolz mit der überlieferten Erinnerungsspur des Urvaters zur Gottesvorstellung des Einzelnen. Wir wissen auch aus der Geheimgeschichte des Individuums, welche die Analyse aufdeckt, daß das Verhältnis zu diesem Vater vielleicht vom Anfang an ein ambivalentes war, jedenfalls bald so wurde, d. h. es umfaßte zwei einander entgegengesetzte Gefühlsregungen, nicht nur eine zärtlich unterwürfige, sondern auch eine feindselig trotzige. Dieselbe Ambivalenz beherrscht nach unserer Auffassung das Verhältnis der Menschenart zu ihrer Gottheit. Aus dem nicht zu Ende gekommenen Widerstreit von Vatersehnsucht einerseits, Angst und Sohnestrotz anderseits haben wir uns wichtige Charaktere und entscheidende Schicksale der Religionen erklärt </w:t>
      </w:r>
      <w:hyperlink r:id="rId81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 xml:space="preserve"> (1912–;13) und im einzelnen Th. Reik (1919).</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Vom bösen Dämon wissen wir, daß er als Widerpart Gottes gedacht ist und doch seiner Natur sehr nahe steht. Seine Geschichte ist allerdings nicht so gut erforscht wie die Gottes, nicht alle Religionen haben den bösen Geist, den Gegner Gottes, aufgenommen, sein Vorbild im individuellen Leben bleibt zunächst im </w:t>
      </w:r>
      <w:r w:rsidRPr="008725BE">
        <w:rPr>
          <w:rFonts w:ascii="Garamond" w:hAnsi="Garamond"/>
          <w:color w:val="000000"/>
          <w:lang w:val="en-GB"/>
        </w:rPr>
        <w:lastRenderedPageBreak/>
        <w:t xml:space="preserve">Dunkeln. Aber eines steht fest, Götter können zu bösen Dämonen werden, wenn neue Götter sie verdrängen. Wenn ein Volk von einem anderen besiegt wird, so wandeln sich die gestürzten Götter der Besiegten nicht selten für das Siegervolk in Dämonen um. Der böse Dämon des christlichen Glaubens, der Teufel des Mittelalters, war nach der christlichen Mythologie selbst ein gefallener Engel und gottgleicher Natur. Es braucht nicht viel analytischen Scharfsinns, um zu erraten, daß Gott und Teufel ursprünglich identisch waren, eine einzige Gestalt, die später in zwei mit entgegengesetzten Eigenschaften zerlegt wurde </w:t>
      </w:r>
      <w:hyperlink r:id="rId81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Siehe Th. Reik (1923) im Kapitel: ›Gott und Teufel‹.</w:t>
        </w:r>
      </w:hyperlink>
      <w:r w:rsidRPr="008725BE">
        <w:rPr>
          <w:rFonts w:ascii="Garamond" w:hAnsi="Garamond"/>
          <w:color w:val="000000"/>
          <w:lang w:val="en-GB"/>
        </w:rPr>
        <w:t>. In den Urzeiten der Religionen trug Gott selbst noch alle die schreckenden Züge, die in der Folge zu einem Gegenstück von ihm vereinigt wurden.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ist der uns wohlbekannte Vorgang der Zerlegung einer Vorstellung mit gegensinnigem –; ambivalentem –; Inhalt in zwei scharf kontrastierende Gegensätze. Die Widersprüche in der ursprünglichen Natur Gottes sind aber eine Spiegelung der Ambivalenz, welche das Verhältnis des Einzelnen zu seinem persönlichen Vater beherrscht. Wenn der gütige und gerechte Gott ein Vaterersatz ist, so darf man sich nicht darüber wundern, daß auch die feindliche Einstellung, die ihn haßt und fürchtet und sich über ihn beklagt, in der Schöpfung des Satans zum Ausdruck gekommen ist. Der Vater wäre also das individuelle Urbild sowohl Gottes wie des Teufels. Die Religionen würden aber unter der untilgbaren Nachwirkung der Tatsache stehen, daß der primitive Urvater ein uneingeschränkt böses Wesen war, Gott weniger ähnlich als dem Teufel.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Freilich, so leicht ist es nicht, die Spur der satanischen Auffassung des Vaters im Seelenleben des Einzelnen aufzuzeigen. Wenn der Knabe Fratzen und Karikaturen zeichnet, so gelingt es etwa nachzuweisen, daß er in ihnen den Vater verhöhnt, und wenn beide Geschlechter sich nächtlicherweise vor Räubern und Einbrechern schrecken, so hat die Erkennung derselben als Abspaltung des Vaters keine Schwierigkeit </w:t>
      </w:r>
      <w:hyperlink r:id="rId81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Als Einbrecher erscheint der Vater Wolf auch in dem bekannten Märchen von den sieben Geißlein.</w:t>
        </w:r>
      </w:hyperlink>
      <w:r w:rsidRPr="008725BE">
        <w:rPr>
          <w:rFonts w:ascii="Garamond" w:hAnsi="Garamond"/>
          <w:color w:val="000000"/>
          <w:lang w:val="en-GB"/>
        </w:rPr>
        <w:t xml:space="preserve">. Auch die in den Tierphobien der Kinder auftretenden Tiere sind am häufigsten Vaterersatz wie in der Urzeit das Totemtier. So deutlich aber wie bei unserem neurotischen Maler des siebzehnten Jahrhunderts hört man sonst nicht, daß der Teufel ein Nachbild des Vaters ist und als Ersatz für ihn eintreten kann. Darum sprach ich eingangs dieser Arbeit die Erwartung aus, eine solche dämonologische Krankengeschichte werde uns als gediegenes Metall zeigen, was in den Neurosen einer späteren, nicht mehr abergläubischen aber dafür hypochondrischen Zeit mühselig durch analytische Arbeit aus dem Erz der Einfälle und Symptome dargestellt werden muß </w:t>
      </w:r>
      <w:hyperlink r:id="rId81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Wenn es uns so selten gelingt, in unseren Analysen den Teufel als Vaterersatz aufzufinden, so mag dies darauf hinweisen, daß diese Figur der mittelalterlichen Mythologie bei den Personen, die sich unserer Analyse unterziehen, ihre Rolle längst ausgespielt hat. Dem frommen Christen früherer Jahrhunderte war der Glaube an den Teufel nicht weniger Pflicht als der Glaube an Gott. In der Tat brauchte er den Teufel, um an Gott festhalten zu können. Der Rückgang der Gläubigkeit hat dann aus verschiedenen Gründen zuerst und zunächst die Person des Teufels betroffen. </w:t>
        </w:r>
        <w:r w:rsidRPr="008725BE">
          <w:rPr>
            <w:rFonts w:ascii="Garamond" w:hAnsi="Garamond"/>
            <w:color w:val="000000"/>
            <w:lang w:val="en-GB"/>
          </w:rPr>
          <w:br/>
        </w:r>
        <w:r w:rsidRPr="008725BE">
          <w:rPr>
            <w:rFonts w:ascii="Garamond" w:hAnsi="Garamond"/>
            <w:color w:val="000000"/>
            <w:lang w:val="en-GB"/>
          </w:rPr>
          <w:br/>
        </w:r>
        <w:r w:rsidRPr="008725BE">
          <w:rPr>
            <w:rStyle w:val="innerfusslink3"/>
            <w:rFonts w:ascii="Garamond" w:hAnsi="Garamond" w:cs="Arial"/>
            <w:b/>
            <w:bCs/>
            <w:lang w:val="en-GB"/>
          </w:rPr>
          <w:t>Wenn man sich getraut, die Idee des Teufels als Vaterersatz kulturgeschichtlich zu verwerten, so kann man auch die Hexenprozesse des Mittelalters in einem neuen Lichte sehen.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Stärkere Überzeugung werden wir wahrscheinlich gewinnen, wenn wir tiefer in die Analyse der Erkrankung bei unserem Maler eindringen. Daß ein Mann durch den Tod seines Vaters eine melancholische Depression und Arbeitshemmung erwirbt, ist nichts Ungewöhnliches. Wir schließen daraus, daß er an diesem Vater mit besonders starker Liebe gehangen hat, und erinnern uns daran, wie oft auch die schwere Melancholie als neurotische Form der Trauer auftritt.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Darin haben wir gewiß recht, nicht aber, wenn wir weiter schließen, daß dies Verhältnis eitel Liebe gewesen sei. Im Gegenteil, eine Trauer nach dem Verlust des Vaters wird sich um so eher in Melancholie umwandeln, je mehr das Verhältnis zu ihm im Zeichen der Ambivalenz stand. Die Hervorhebung dieser Ambivalenz bereitet uns aber auf die Möglichkeit der Erniedrigung des Vaters vor, wie sie in der Teufelsneurose des Malers zum Ausdruck kommt. Könnten wir nun von Chr. Haitzmann so viel erfahren wie von einem Patienten, der sich unserer Analyse unterzieht, so wäre es ein leichtes, diese Ambivalenz zu entwickeln, ihm zur Erinnerung zu bringen, wann und bei welchen Anlässen er Grund bekam, seinen Vater zu fürchten und zu hassen, vor allem aber die akzidentellen Momente aufzudecken, die zu den typischen Motiven des Vaterhasses hinzugekommen sind, welche in der natürlichen Sohn-Vater-Beziehung unvermeidlich wurzeln. Vielleicht fände dann die Arbeitshemmung eine spezielle Aufklärung. Es ist möglich, daß der Vater sich dem Wunsch des Sohnes, Maler zu werden, widersetzt hatte; dessen Unfähigkeit, seine Kunst nach dem Tode des Vaters auszuüben, wäre dann einerseits ein Ausdruck des </w:t>
      </w:r>
      <w:r w:rsidRPr="008725BE">
        <w:rPr>
          <w:rFonts w:ascii="Garamond" w:hAnsi="Garamond"/>
          <w:color w:val="000000"/>
          <w:lang w:val="en-GB"/>
        </w:rPr>
        <w:lastRenderedPageBreak/>
        <w:t>bekannten »nachträglichen Gehorsams«, anderseits würde sie, die den Sohn zur Selbsterhaltung unfähig macht, die Sehnsucht nach dem Vater als Beschützer vor der Lebenssorge steigern müssen. Als nachträglicher Gehorsam wäre sie auch eine Äußerung der Reue und eine erfolgreiche Selbstbestrafung.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Da wir eine solche Analyse mit Chr. Haitzmann, † 1700, nicht anstellen können, müssen wir uns darauf beschränken, diejenigen Züge seiner Krankengeschichte hervorzuheben, welche auf die typischen Anlässe zu einer negativen Vatereinstellung hinweisen können. </w:t>
      </w:r>
      <w:r w:rsidRPr="008725BE">
        <w:rPr>
          <w:rFonts w:ascii="Garamond" w:hAnsi="Garamond"/>
          <w:color w:val="000000"/>
          <w:lang w:val="en-GB"/>
        </w:rPr>
        <w:t>Es sind nur wenige, nicht sehr auffällig, aber recht interessant.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Vorerst die Rolle der Zahl Neun. Der Pakt mit dem Bösen wird auf neun Jahre geschlossen. Der gewiß unverdächtige Bericht des Pfarrers von Pottenbrunn äußert sich klar darüber: </w:t>
      </w:r>
      <w:r w:rsidRPr="008725BE">
        <w:rPr>
          <w:rFonts w:ascii="Garamond" w:hAnsi="Garamond"/>
          <w:i/>
          <w:iCs/>
          <w:color w:val="000000"/>
          <w:lang w:val="en-GB"/>
        </w:rPr>
        <w:t>pro novem annis Syngraphen scriptam tradidit</w:t>
      </w:r>
      <w:r w:rsidRPr="008725BE">
        <w:rPr>
          <w:rFonts w:ascii="Garamond" w:hAnsi="Garamond"/>
          <w:color w:val="000000"/>
          <w:lang w:val="en-GB"/>
        </w:rPr>
        <w:t xml:space="preserve">. Dieser vom 1. September 1677 datierte Geleitbrief weiß auch anzugeben, daß die Frist in wenigen Tagen abgelaufen wäre: </w:t>
      </w:r>
      <w:r w:rsidRPr="008725BE">
        <w:rPr>
          <w:rFonts w:ascii="Garamond" w:hAnsi="Garamond"/>
          <w:i/>
          <w:iCs/>
          <w:color w:val="000000"/>
          <w:lang w:val="en-GB"/>
        </w:rPr>
        <w:t>quorum et finis 24 mensis hujus futurus appropinquat</w:t>
      </w:r>
      <w:r w:rsidRPr="008725BE">
        <w:rPr>
          <w:rFonts w:ascii="Garamond" w:hAnsi="Garamond"/>
          <w:color w:val="000000"/>
          <w:lang w:val="en-GB"/>
        </w:rPr>
        <w:t xml:space="preserve">. Die Verschreibung wäre also am 24. September 1668 erfolgt </w:t>
      </w:r>
      <w:hyperlink r:id="rId81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Der Widerspruch, daß die wiedergegebenen Verschreibungen beide die Jahreszahl 1669 zeigen, wird uns später beschäftigen.</w:t>
        </w:r>
      </w:hyperlink>
      <w:r w:rsidRPr="008725BE">
        <w:rPr>
          <w:rFonts w:ascii="Garamond" w:hAnsi="Garamond"/>
          <w:color w:val="000000"/>
          <w:lang w:val="en-GB"/>
        </w:rPr>
        <w:t xml:space="preserve">. Ja in diesem Bericht hat die Zahl Neun noch eine andere Verwendung. » </w:t>
      </w:r>
      <w:r w:rsidRPr="008725BE">
        <w:rPr>
          <w:rFonts w:ascii="Garamond" w:hAnsi="Garamond"/>
          <w:i/>
          <w:iCs/>
          <w:color w:val="000000"/>
          <w:lang w:val="en-GB"/>
        </w:rPr>
        <w:t>Nonies</w:t>
      </w:r>
      <w:r w:rsidRPr="008725BE">
        <w:rPr>
          <w:rFonts w:ascii="Garamond" w:hAnsi="Garamond"/>
          <w:color w:val="000000"/>
          <w:lang w:val="en-GB"/>
        </w:rPr>
        <w:t xml:space="preserve">« –; neunmal –; will der Maler den Versuchungen des Bösen widerstanden haben, ehe er sich ihm ergab. Dies Detail wird in den späteren Berichten nicht mehr erwähnt; » </w:t>
      </w:r>
      <w:r w:rsidRPr="008725BE">
        <w:rPr>
          <w:rFonts w:ascii="Garamond" w:hAnsi="Garamond"/>
          <w:i/>
          <w:iCs/>
          <w:color w:val="000000"/>
          <w:lang w:val="en-GB"/>
        </w:rPr>
        <w:t>Post annos novem</w:t>
      </w:r>
      <w:r w:rsidRPr="008725BE">
        <w:rPr>
          <w:rFonts w:ascii="Garamond" w:hAnsi="Garamond"/>
          <w:color w:val="000000"/>
          <w:lang w:val="en-GB"/>
        </w:rPr>
        <w:t xml:space="preserve">« heißt es dann auch im Attest des Abtes und » </w:t>
      </w:r>
      <w:r w:rsidRPr="008725BE">
        <w:rPr>
          <w:rFonts w:ascii="Garamond" w:hAnsi="Garamond"/>
          <w:i/>
          <w:iCs/>
          <w:color w:val="000000"/>
          <w:lang w:val="en-GB"/>
        </w:rPr>
        <w:t>ad novem annos</w:t>
      </w:r>
      <w:r w:rsidRPr="008725BE">
        <w:rPr>
          <w:rFonts w:ascii="Garamond" w:hAnsi="Garamond"/>
          <w:color w:val="000000"/>
          <w:lang w:val="en-GB"/>
        </w:rPr>
        <w:t>«, wiederholt der Kompilator in seinem Auszug, ein Beweis, daß diese Zahl nicht als gleichgültig angesehen wurde.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Die Neunzahl ist uns aus neurotischen Phantasien wohlbekannt. Sie ist die Zahl der Schwangerschaftsmonate und lenkt, wo immer sie vorkommt, unsere Aufmerksamkeit auf eine Schwangerschaftsphantasie hin. </w:t>
      </w:r>
      <w:r w:rsidRPr="008725BE">
        <w:rPr>
          <w:rFonts w:ascii="Garamond" w:hAnsi="Garamond"/>
          <w:color w:val="000000"/>
          <w:lang w:val="en-GB"/>
        </w:rPr>
        <w:t>Bei unserem Maler handelt es sich freilich um neun Jahre, nicht um neun Monate, und die Neun, wird man sagen, ist auch sonst eine bedeutungsvolle Zahl. Aber wer weiß, ob die Neun nicht überhaupt ein gutes Teil ihrer Heiligkeit ihrer Rolle in der Schwangerschaft verdankt; und die Wandlung von neun Monaten zu neun Jahren braucht uns nicht zu beirren. Wir wissen vom Traum her, wie die »unbewußte Geistestätigkeit« mit den Zahlen umspringt. Treffen wir z. B. im Traum auf eine Fünf, so ist diese jedesmal auf eine bedeutsame Fünf des Wachlebens zurückzuführen, aber in der Realität waren es fünf Jahre Altersunterschied oder eine Gesellschaft von fünf Personen, im Traum erscheinen sie als fünf Geldscheine oder fünf Stücke Obst. Das heißt die Zahl wird beibehalten, aber ihr Nenner beliebig, je nach den Anforderungen der Verdichtung und Verschiebung vertauscht. Neun Jahre im Traum können also ganz leicht neun Monaten der Wirklichkeit entsprechen. Auch spielt die Traumarbeit noch in anderer Weise mit den Zahlen des Wachlebens, indem sie mit souveräner Gleichgültigkeit sich um die Nullen nicht bekümmert, sie gar nicht wie Zahlen behandelt. Fünf Dollars im Traum können fünfzig, fünfhundert, fünftausend Dollars der Realität vertreten.</w:t>
      </w:r>
    </w:p>
    <w:p w:rsidR="008725BE" w:rsidRPr="008725BE" w:rsidRDefault="008725BE" w:rsidP="008725BE">
      <w:pPr>
        <w:pStyle w:val="Sansinterligne"/>
        <w:rPr>
          <w:rFonts w:ascii="Garamond" w:hAnsi="Garamond"/>
          <w:color w:val="000000"/>
        </w:rPr>
      </w:pPr>
      <w:r w:rsidRPr="008725BE">
        <w:rPr>
          <w:rFonts w:ascii="Garamond" w:hAnsi="Garamond"/>
          <w:noProof/>
          <w:color w:val="000000"/>
          <w:lang w:eastAsia="fr-FR"/>
        </w:rPr>
        <w:lastRenderedPageBreak/>
        <w:drawing>
          <wp:inline distT="0" distB="0" distL="0" distR="0">
            <wp:extent cx="3742055" cy="5915660"/>
            <wp:effectExtent l="19050" t="0" r="0" b="0"/>
            <wp:docPr id="22" name="Image 22" descr="v7s3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7s304b"/>
                    <pic:cNvPicPr>
                      <a:picLocks noChangeAspect="1" noChangeArrowheads="1"/>
                    </pic:cNvPicPr>
                  </pic:nvPicPr>
                  <pic:blipFill>
                    <a:blip r:embed="rId820" cstate="print"/>
                    <a:srcRect/>
                    <a:stretch>
                      <a:fillRect/>
                    </a:stretch>
                  </pic:blipFill>
                  <pic:spPr bwMode="auto">
                    <a:xfrm>
                      <a:off x="0" y="0"/>
                      <a:ext cx="3742055" cy="5915660"/>
                    </a:xfrm>
                    <a:prstGeom prst="rect">
                      <a:avLst/>
                    </a:prstGeom>
                    <a:noFill/>
                    <a:ln w="9525">
                      <a:noFill/>
                      <a:miter lim="800000"/>
                      <a:headEnd/>
                      <a:tailEnd/>
                    </a:ln>
                  </pic:spPr>
                </pic:pic>
              </a:graphicData>
            </a:graphic>
          </wp:inline>
        </w:drawing>
      </w: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US"/>
        </w:rPr>
        <w:t>Bild 2: Zweite Erscheinung des Teufels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US"/>
        </w:rPr>
        <w:t xml:space="preserve">Ein anderes Detail in den Beziehungen des Malers zum Teufel weist uns gleichfalls auf die Sexualität hin. </w:t>
      </w:r>
      <w:r w:rsidRPr="008725BE">
        <w:rPr>
          <w:rFonts w:ascii="Garamond" w:hAnsi="Garamond"/>
          <w:color w:val="000000"/>
          <w:lang w:val="en-GB"/>
        </w:rPr>
        <w:t>Das erstemal sieht er, wie schon erwähnt, den Bösen in der Erscheinung eines ehrsamen Bürgers. Aber schon das nächste Mal ist er nackt, mißgestaltet und hat zwei Paar weiblicher Brüste. Die Brüste, bald einfach, bald mehrfach vorhanden, fehlen nun in keiner der folgenden Erscheinungen. Nur in einer derselben zeigt der Teufel außer den Brüsten einen großen, in eine Schlange auslaufenden Penis. Diese Betonung des weiblichen Geschlechtscharakters durch große, hängende Brüste (nie findet sich eine Andeutung des weiblichen Genitales) muß uns als auffälliger Widerspruch gegen unsere Annahme erscheinen, der Teufel bedeute unserem Maler einen Vaterersatz. Eine solche Darstellung des Teufels ist auch an und für sich ungewöhnlich. Wo Teufel ein Gattungsbegriff ist, also Teufel in der Mehrzahl auftreten, hat auch die Darstellung von weiblichen Teufeln nichts Befremdendes, aber daß der eine Teufel, der eine große Individualität ist, der Herr der Hölle und Widersacher Gottes, anders als männlich, ja übermännlich mit Hörnern, Schweif und großer Penisschlange gebildet werde, scheint mir nicht vorzukommen.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Aus diesen beiden kleinen Anzeichen läßt sich doch erraten, welches typische Moment den negativen Anteil seines Vaterverhältnisses bedingt. Das, wogegen er sich sträubt, ist die feminine Einstellung zum Vater, die in der Phantasie, ihm ein Kind zu gebären (neun Jahre) gipfelt. Wir kennen diesen Widerstand genau aus unseren Analysen, wo er in der Übertragung sehr merkwürdige Formen annimmt und uns viel </w:t>
      </w:r>
      <w:r w:rsidRPr="008725BE">
        <w:rPr>
          <w:rFonts w:ascii="Garamond" w:hAnsi="Garamond"/>
          <w:color w:val="000000"/>
          <w:lang w:val="en-GB"/>
        </w:rPr>
        <w:lastRenderedPageBreak/>
        <w:t>zu schaffen macht. Mit der Trauer um den verlorenen Vater, mit der Steigerung der Sehnsucht nach ihm, wird bei unserem Maler auch die längst verdrängte Schwangerschaftsphantasie reaktiviert, gegen die er sich durch Neurose und Vatererniedrigung wehren muß.</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Warum trägt aber der zum Teufel herabgesetzte Vater das körperliche Merkmal des Weibes an sich? Dieser Zug erscheint anfangs schwer deutbar, bald aber ergeben sich zwei Erklärungen für ihn, die miteinander konkurrieren, ohne einander auszuschließen. Die feminine Einstellung zum Vater unterlag der Verdrängung, sobald der Knabe verstand, daß der Wettbewerb mit dem Weib um die Liebe des Vaters das Aufgeben des eigenen männlichen Genitales, also die Kastration, zur Bedingung hat. Die Ablehnung der femininen Einstellung ist also die Folge des Sträubens gegen die Kastration, sie findet regelmäßig ihren stärksten Ausdruck in der gegensätzlichen Phantasie, den Vater selbst zu kastrieren, ihn zum Weib zu machen. Die Brüste des Teufels entsprächen also einer Projektion der eigenen Weiblichkeit auf den Vaterersatz. Die andere Erklärung dieser Ausstattung des Teufelskörpers hat nicht mehr feindseligen, sondern zärtlichen Sinn; sie erblickt in dieser Gestaltung ein Anzeichen dafür, daß die infantile Zärtlichkeit von der Mutter her auf den Vater verschoben worden ist, und deutet so eine starke, vorgängige Mutterfixierung an, die ihrerseits wieder für ein Stück der Feindseligkeit gegen den Vater verantwortlich ist. Die großen Brüste sind das positive Geschlechtskennzeichen der Mutter, auch zu einer Zeit, wo der negative Charakter des Weibes, der Penismangel, dem Kinde noch nicht bekannt ist </w:t>
      </w:r>
      <w:hyperlink r:id="rId82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w:t>
        </w:r>
        <w:r w:rsidRPr="008725BE">
          <w:rPr>
            <w:rStyle w:val="innerfusslink3"/>
            <w:rFonts w:ascii="Garamond" w:hAnsi="Garamond" w:cs="Arial"/>
            <w:b/>
            <w:bCs/>
            <w:i/>
            <w:iCs/>
            <w:lang w:val="en-GB"/>
          </w:rPr>
          <w:t>Eine Kindheitserinnerung des Leonardo da Vinci</w:t>
        </w:r>
        <w:r w:rsidRPr="008725BE">
          <w:rPr>
            <w:rStyle w:val="innerfusslink3"/>
            <w:rFonts w:ascii="Garamond" w:hAnsi="Garamond" w:cs="Arial"/>
            <w:b/>
            <w:bCs/>
            <w:lang w:val="en-GB"/>
          </w:rPr>
          <w:t xml:space="preserve"> (1910 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das Widerstreben gegen die Annahme der Kastration unserem Maler die Erledigung seiner Vatersehnsucht unmöglich macht, so ist es überaus verständlich, daß er sich um Hilfe und Rettung an das Bild der Mutter wendet. Darum erklärt er, daß nur die heilige Mutter Gottes von Mariazell ihn vom Pakt mit dem Teufel lösen kann, und erhält am Geburtstag der Mutter (8. September) seine Freiheit wieder. Ob der Tag, an dem der Pakt geschlossen wurde, der 24. September, nicht auch ein in ähnlicher Weise ausgezeichneter Tag war, werden wir natürlich nie erfahren.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Kaum ein anderes Stück der psychoanalytischen Ermittlungen aus dem Seelenleben des Kindes klingt dem normalen Erwachsenen so abstoßend und unglaubwürdig wie die feminine Einstellung zum Vater und die aus ihr folgende Schwangerschaftsphantasie des Knaben. Wir können erst ohne Besorgnis und ohne Bedürfnis nach Entschuldigung von ihr reden, seitdem der sächsische Senatspräsident Daniel Paul Schreber die Geschichte seiner psychotischen Erkrankung und weitgehenden Herstellung bekanntgemacht hat </w:t>
      </w:r>
      <w:hyperlink r:id="rId82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 P. Schreber, </w:t>
        </w:r>
        <w:r w:rsidRPr="008725BE">
          <w:rPr>
            <w:rStyle w:val="innerfusslink3"/>
            <w:rFonts w:ascii="Garamond" w:hAnsi="Garamond" w:cs="Arial"/>
            <w:b/>
            <w:bCs/>
            <w:i/>
            <w:iCs/>
            <w:lang w:val="en-GB"/>
          </w:rPr>
          <w:t>Denkwürdigkeiten eines Nervenkranken</w:t>
        </w:r>
        <w:r w:rsidRPr="008725BE">
          <w:rPr>
            <w:rStyle w:val="innerfusslink3"/>
            <w:rFonts w:ascii="Garamond" w:hAnsi="Garamond" w:cs="Arial"/>
            <w:b/>
            <w:bCs/>
            <w:lang w:val="en-GB"/>
          </w:rPr>
          <w:t xml:space="preserve">, Leipzig 1903. Vgl. meine Analyse des Falles Schreber [(1911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color w:val="000000"/>
          <w:lang w:val="en-GB"/>
        </w:rPr>
        <w:t>. Aus dieser unschätzbaren Veröffentlichung erfahren wir, daß der Herr Senatspräsident etwa um das fünfzigste Jahr seines Lebens die sichere Überzeugung bekam, daß Gott –; der übrigens deutliche Züge seines Vaters, des verdienten Arztes Dr. Schreber, an sich trägt –; den Entschluß gefaßt, ihn zu entmannen, als Weib zu gebrauchen und aus ihm neue Menschen von Schreberschem Geist entstehen zu lassen. (Er war selbst in seiner Ehe kinderlos geblieben.) An dem Sträuben gegen diese Absicht Gottes, welche ihm höchst ungerecht und »weltordnungswidrig« vorkam, erkrankte er unter den Erscheinungen einer Paranoia, die sich aber im Laufe der Jahre bis auf einen geringen Rest rückbildete. Der geistvolle Verfasser seiner eigenen Krankengeschichte konnte wohl nicht ahnen, daß er in ihr ein typisches pathogenes Moment aufgedeckt hatte.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Dieses Sträuben gegen die Kastration oder die feminine Einstellung hat Alf. Adler aus seinen organischen Zusammenhängen gerissen, in seichte oder falsche Beziehungen zum Machtstreben gebracht und als »männlichen Protest« selbständig hingestellt. Da eine Neurose immer nur aus dem Konflikt zweier Strebungen hervorgehen kann, ist es ebenso berechtigt, im männlichen Protest die Verursachung »aller« Neurosen zu sehen wie in der femininen Einstellung, gegen welche protestiert wird. Richtig ist, daß dieser männliche Protest einen regelmäßigen Anteil an der Charakterbildung hat, bei manchen Typen einen sehr großen, und daß er uns als scharfer Widerstand bei der Analyse neurotischer Männer entgegentritt. Die Psychoanalyse würdigt den männlichen Protest im Zusammenhang des Kastrationskomplexes, ohne seine Allmacht oder Allgegenwart bei den Neurosen vertreten zu können. Der ausgeprägteste Fall von männlichem Protest in allen manifesten Reaktionen und Charakterzügen, der meine Behandlung aufgesucht hat, bedurfte ihrer wegen einer Zwangsneurose mit Obsessionen, in denen der ungelöste Konflikt zwischen männlicher und weiblicher Einstellung (Kastrationsangst und Kastrationslust) zu deutlichem Ausdruck kam. Überdies hatte der Patient masochistische Phantasien entwickelt, die durchaus auf den Wunsch, die Kastration anzunehmen, zurückgingen, und war selbst von diesen Phantasien zur realen Befriedigung in perversen Situationen vorgeschritten. Das Ganze seines Zustandes beruhte –; wie die Adlersche Theorie überhaupt –; auf der Verdrängung, Verleugnung frühinfantiler Liebesfixierungen.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Der Senatspräsident Schreber fand seine Heilung, als er sich entschloß, den Widerstand gegen die Kastration aufzugeben und sich in die ihm von Gott zugedachte weibliche Rolle zu fügen. Er wurde dann klar und ruhig, konnte seine Entlassung aus der Anstalt selbst durchsetzen und führte ein normales Leben bis auf den einen Punkt, daß er einige Stunden täglich der Pflege seiner Weiblichkeit widmete, von deren langsamem Fortschreiten bis zu dem von Gott bestimmten Ziel er überzeugt blieb.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IV. Die zwei Verschreibungen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 merkwürdiges Detail in der Geschichte unseres Malers ist die Angabe, daß er dem Teufel zwei verschiedene Verschreibungen ausgestellt. Die erste, mit schwarzer Tinte geschriebene, hatte den Wortlaut: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 </w:t>
      </w:r>
      <w:r w:rsidRPr="008725BE">
        <w:rPr>
          <w:rFonts w:ascii="Garamond" w:hAnsi="Garamond"/>
          <w:i/>
          <w:iCs/>
          <w:color w:val="000000"/>
          <w:lang w:val="en-GB"/>
        </w:rPr>
        <w:t>Ich Chr. H. undterschreibe mich disen Herrn: sein leibeigent Sohn auff 9. Jahr.</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zweite, mit Blut geschrieben, lautet: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 </w:t>
      </w:r>
      <w:r w:rsidRPr="008725BE">
        <w:rPr>
          <w:rFonts w:ascii="Garamond" w:hAnsi="Garamond"/>
          <w:i/>
          <w:iCs/>
          <w:color w:val="000000"/>
          <w:lang w:val="en-GB"/>
        </w:rPr>
        <w:t>Ch. H. Ich verschreibe mich disen Satan, ich sein leibeigner Sohn zu sein, vnd in 9. Jahr ihm mein Leib vndt Seel zu zugeheren.</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Beide sollen zur Zeit der Abfassung des </w:t>
      </w:r>
      <w:r w:rsidRPr="008725BE">
        <w:rPr>
          <w:rFonts w:ascii="Garamond" w:hAnsi="Garamond"/>
          <w:i/>
          <w:iCs/>
          <w:color w:val="000000"/>
          <w:lang w:val="en-GB"/>
        </w:rPr>
        <w:t>Trophaeum</w:t>
      </w:r>
      <w:r w:rsidRPr="008725BE">
        <w:rPr>
          <w:rFonts w:ascii="Garamond" w:hAnsi="Garamond"/>
          <w:color w:val="000000"/>
          <w:lang w:val="en-GB"/>
        </w:rPr>
        <w:t xml:space="preserve"> im Archiv von Mariazell im Original vorhanden gewesen sein, beide tragen die nämliche Jahreszahl 1669.</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habe die beiden Verschreibungen bereits mehrmals erwähnt und unternehme es jetzt, mich eingehender mit ihnen zu beschäftigen, obwohl gerade hier die Gefahr, Kleinigkeiten zu überschätzen, besonders drohend erscheint.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Tatsache, daß sich einer dem Teufel zweimal verschreibt, so daß die erste Schrift durch die zweite ersetzt wird, ohne aber ihre eigene Gültigkeit zu verlieren, ist ungewöhnlich. Vielleicht befremdet sie andere weniger, die mit dem Teufelsstoff vertrauter sind. Ich konnte nur eine besondere Eigentümlichkeit unseres Falles darin sehen und wurde mißtrauisch, als ich fand, daß die Berichte gerade in diesem Punkt nicht zusammenstimmen. Die Verfolgung dieser Widersprüche wird uns in unerwarteter Weise zu einem tieferen Verständnis der Krankengeschichte leiten.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Geleitschreiben des Pfarrers von Pottenbrunn weist die einfachsten und klarsten Verhältnisse auf. In ihm ist nur von einer Verschreibung die Rede, die der Maler vor neun Jahren mit Blut gefertigt und die nun in den nächsten Tagen, am 24. September, fällig wird, sie wäre also am 24. September 1668 ausgestellt worden; leider ist diese Jahreszahl, die sich mit Sicherheit ableiten läßt, nicht ausdrücklich genannt.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Attest des Abtes Franciscus, wie wir wissen, wenige Tage später datiert (12. Sept. 1677), erwähnt bereits einen komplizierteren Sachverhalt. Es liegt nahe anzunehmen, daß der Maler inzwischen genauere Mitteilungen gemacht hatte. In diesem Attest wird erzählt, daß der Maler zwei Verschreibungen von sich gegeben, die eine im Jahre 1668 (wie es auch nach dem Geleitbrief sein müßte) mit schwarzer Tinte geschrieben, die andere aber » </w:t>
      </w:r>
      <w:r w:rsidRPr="008725BE">
        <w:rPr>
          <w:rFonts w:ascii="Garamond" w:hAnsi="Garamond"/>
          <w:i/>
          <w:iCs/>
          <w:color w:val="000000"/>
          <w:lang w:val="en-GB"/>
        </w:rPr>
        <w:t>sequenti anno1669</w:t>
      </w:r>
      <w:r w:rsidRPr="008725BE">
        <w:rPr>
          <w:rFonts w:ascii="Garamond" w:hAnsi="Garamond"/>
          <w:color w:val="000000"/>
          <w:lang w:val="en-GB"/>
        </w:rPr>
        <w:t xml:space="preserve">« mit Blut geschrieben. Die Verschreibung, die er am Tage Maria Geburt zurückbekam, war die mit Blut geschriebene, also die spätere, 1669 ausgestellte. Dies geht nicht aus dem Attest des Abtes hervor, denn dort heißt es im weiteren einfach: » </w:t>
      </w:r>
      <w:r w:rsidRPr="008725BE">
        <w:rPr>
          <w:rFonts w:ascii="Garamond" w:hAnsi="Garamond"/>
          <w:i/>
          <w:iCs/>
          <w:color w:val="000000"/>
          <w:lang w:val="en-GB"/>
        </w:rPr>
        <w:t>schedam redderet</w:t>
      </w:r>
      <w:r w:rsidRPr="008725BE">
        <w:rPr>
          <w:rFonts w:ascii="Garamond" w:hAnsi="Garamond"/>
          <w:color w:val="000000"/>
          <w:lang w:val="en-GB"/>
        </w:rPr>
        <w:t xml:space="preserve">« und » </w:t>
      </w:r>
      <w:r w:rsidRPr="008725BE">
        <w:rPr>
          <w:rFonts w:ascii="Garamond" w:hAnsi="Garamond"/>
          <w:i/>
          <w:iCs/>
          <w:color w:val="000000"/>
          <w:lang w:val="en-GB"/>
        </w:rPr>
        <w:t>schedam sibi porrigentem conspexisset</w:t>
      </w:r>
      <w:r w:rsidRPr="008725BE">
        <w:rPr>
          <w:rFonts w:ascii="Garamond" w:hAnsi="Garamond"/>
          <w:color w:val="000000"/>
          <w:lang w:val="en-GB"/>
        </w:rPr>
        <w:t xml:space="preserve">«, als ob es sich nur um ein einziges Schriftstück handeln könnte. Aber wohl folgt es aus dem weiteren Verlauf der Geschichte sowie aus dem farbigen Titelblatt des </w:t>
      </w:r>
      <w:r w:rsidRPr="008725BE">
        <w:rPr>
          <w:rFonts w:ascii="Garamond" w:hAnsi="Garamond"/>
          <w:i/>
          <w:iCs/>
          <w:color w:val="000000"/>
          <w:lang w:val="en-GB"/>
        </w:rPr>
        <w:t>Trophaeum</w:t>
      </w:r>
      <w:r w:rsidRPr="008725BE">
        <w:rPr>
          <w:rFonts w:ascii="Garamond" w:hAnsi="Garamond"/>
          <w:color w:val="000000"/>
          <w:lang w:val="en-GB"/>
        </w:rPr>
        <w:t xml:space="preserve">, wo auf dem Zettel, den der dämonische Drache hält, deutlich </w:t>
      </w:r>
      <w:r w:rsidRPr="008725BE">
        <w:rPr>
          <w:rFonts w:ascii="Garamond" w:hAnsi="Garamond"/>
          <w:i/>
          <w:iCs/>
          <w:color w:val="000000"/>
          <w:lang w:val="en-GB"/>
        </w:rPr>
        <w:t>rote</w:t>
      </w:r>
      <w:r w:rsidRPr="008725BE">
        <w:rPr>
          <w:rFonts w:ascii="Garamond" w:hAnsi="Garamond"/>
          <w:color w:val="000000"/>
          <w:lang w:val="en-GB"/>
        </w:rPr>
        <w:t xml:space="preserve"> Schrift zu sehen ist. Der weitere Verlauf ist, wie bereits erwähnt, der, daß der Maler im Mai 1678 nach Mariazell wiederkehrt, nachdem er in Wien neuerliche Anfechtungen des Bösen erfahren, und das Ansuchen stellt, es möge ihm durch einen neuerlichen Gnadenakt der heiligen Mutter auch dies erste, mit Tinte geschriebene Dokument wiedergegeben werden. Auf welche Weise dies geschieht, wird nicht mehr so ausführlich wie das erstemal beschrieben. Es heißt nur » </w:t>
      </w:r>
      <w:r w:rsidRPr="008725BE">
        <w:rPr>
          <w:rFonts w:ascii="Garamond" w:hAnsi="Garamond"/>
          <w:i/>
          <w:iCs/>
          <w:color w:val="000000"/>
          <w:lang w:val="en-GB"/>
        </w:rPr>
        <w:t>qua iuxta votum redditâ</w:t>
      </w:r>
      <w:r w:rsidRPr="008725BE">
        <w:rPr>
          <w:rFonts w:ascii="Garamond" w:hAnsi="Garamond"/>
          <w:color w:val="000000"/>
          <w:lang w:val="en-GB"/>
        </w:rPr>
        <w:t xml:space="preserve">«, und an anderer Stelle erzählt der Kompilator, daß gerade diese Verschreibung » </w:t>
      </w:r>
      <w:r w:rsidRPr="008725BE">
        <w:rPr>
          <w:rFonts w:ascii="Garamond" w:hAnsi="Garamond"/>
          <w:i/>
          <w:iCs/>
          <w:color w:val="000000"/>
          <w:lang w:val="en-GB"/>
        </w:rPr>
        <w:t>zwsammengeknäult und in vier Stücke zerrissen</w:t>
      </w:r>
      <w:r w:rsidRPr="008725BE">
        <w:rPr>
          <w:rFonts w:ascii="Garamond" w:hAnsi="Garamond"/>
          <w:color w:val="000000"/>
          <w:lang w:val="en-GB"/>
        </w:rPr>
        <w:t>« dem Maler am 9. Mai 1678 um die neunte Abendstunde vom Teufel zugeworfen wurde.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Verschreibungen tragen aber beide dasselbe Datum: Jahr 1669.</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Dieser Widerspruch bedeutet entweder gar nichts, oder er führt auf folgende Spur: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Wenn wir von der Darstellung des Abtes als der ausführlicheren ausgehen, ergeben sich mancherlei Schwierigkeiten. Als Chr. H. dem Pfarrer von Pottenbrunn bekannte, er sei in Teufelsnöten, der Termin laufe bald ab, kann er (im Jahre 1677) nur an die im Jahre 1668 ausgestellte Verschreibung gedacht haben, also an die erste, schwarze (die im Geleitbrief allerdings einzig genannt und als die blutige bezeichnet wird). Wenige Tage später, in Mariazell, bekümmert er sich aber nur darum, die spätere, blutige, zurückzubekommen, die noch gar nicht fällig ist (1669–;1677), und läßt die erste überfällig werden. Diese wird erst 1678, also im zehnten Jahr zurückerbeten. Ferner, warum sind beide Verschreibungen aus dem gleichen Jahr 1669 datiert, wenn die eine ausdrücklich » </w:t>
      </w:r>
      <w:r w:rsidRPr="008725BE">
        <w:rPr>
          <w:rFonts w:ascii="Garamond" w:hAnsi="Garamond"/>
          <w:i/>
          <w:iCs/>
          <w:color w:val="000000"/>
          <w:lang w:val="en-GB"/>
        </w:rPr>
        <w:t>anno subsequenti</w:t>
      </w:r>
      <w:r w:rsidRPr="008725BE">
        <w:rPr>
          <w:rFonts w:ascii="Garamond" w:hAnsi="Garamond"/>
          <w:color w:val="000000"/>
          <w:lang w:val="en-GB"/>
        </w:rPr>
        <w:t>« zugeteilt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Der Kompilator muß diese Schwierigkeiten verspürt haben, denn er macht einen Versuch, sie zu beheben. In seiner Einleitung schließt er sich der Darstellung des Abtes an, modifiziert sie aber in einem Punkte. Der Maler, sagt er, habe sich im Jahre 1669 dem Teufel mit Tinte verschrieben, » </w:t>
      </w:r>
      <w:r w:rsidRPr="008725BE">
        <w:rPr>
          <w:rFonts w:ascii="Garamond" w:hAnsi="Garamond"/>
          <w:i/>
          <w:iCs/>
          <w:color w:val="000000"/>
          <w:lang w:val="en-GB"/>
        </w:rPr>
        <w:t>deinde vero</w:t>
      </w:r>
      <w:r w:rsidRPr="008725BE">
        <w:rPr>
          <w:rFonts w:ascii="Garamond" w:hAnsi="Garamond"/>
          <w:color w:val="000000"/>
          <w:lang w:val="en-GB"/>
        </w:rPr>
        <w:t>«, später aber mit Blut. Er setzt sich also über die ausdrückliche Angabe der beiden Berichte, daß eine Verschreibung ins Jahr 1668 fällt, hinweg und vernachlässigt die Bemerkung im Attest des Abtes, daß sich zwischen beiden Verschreibungen die Jahreszahl geändert, um im Einklang mit der Datierung der beiden, vom Teufel zurückgegebenen Schriftstücke zu bleiben.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Im Attest des Abtes findet sich nach den Worten » </w:t>
      </w:r>
      <w:r w:rsidRPr="008725BE">
        <w:rPr>
          <w:rFonts w:ascii="Garamond" w:hAnsi="Garamond"/>
          <w:i/>
          <w:iCs/>
          <w:color w:val="000000"/>
          <w:lang w:val="en-GB"/>
        </w:rPr>
        <w:t>sequenti vero anno 1669</w:t>
      </w:r>
      <w:r w:rsidRPr="008725BE">
        <w:rPr>
          <w:rFonts w:ascii="Garamond" w:hAnsi="Garamond"/>
          <w:color w:val="000000"/>
          <w:lang w:val="en-GB"/>
        </w:rPr>
        <w:t xml:space="preserve">« eine in Klammern eingeschlossene Stelle, welche lautet: » </w:t>
      </w:r>
      <w:r w:rsidRPr="008725BE">
        <w:rPr>
          <w:rFonts w:ascii="Garamond" w:hAnsi="Garamond"/>
          <w:i/>
          <w:iCs/>
          <w:color w:val="000000"/>
          <w:lang w:val="en-GB"/>
        </w:rPr>
        <w:t>sumitur hic alter annus pro nondum completo, uti saepe in loquendo fieri solet, nam eundem annum indicant Syngraphae, quarum atramento scripta ante praesentem attestationem nondum habita fuit.</w:t>
      </w:r>
      <w:r w:rsidRPr="008725BE">
        <w:rPr>
          <w:rFonts w:ascii="Garamond" w:hAnsi="Garamond"/>
          <w:color w:val="000000"/>
          <w:lang w:val="en-GB"/>
        </w:rPr>
        <w:t>« Diese Stelle ist ein unzweifelhaftes Einschiebsel des Kompilators, denn der Abt, der nur eine Verschreibung gesehen hat, kann doch nicht aussagen, daß beide dasselbe Datum tragen. Sie soll wohl auch durch die Klammern als ein dem Zeugnis fremder Zusatz kenntlich gemacht werden. Was sie enthält, ist ein anderer Versuch des Kompilators, die vorliegenden Widersprüche zu versöhnen. Er meint, es sei zwar richtig, daß die erste Verschreibung im Jahre 1668 gegeben worden ist, aber da das Jahr schon vorgerückt war (September), habe der Maler sie um ein Jahr vordatiert, so daß beide Verschreibungen die gleiche Jahreszahl zeigen konnten. Seine Berufung darauf, man mache es ja im mündlichen Verkehr oft ähnlich, verurteilt wohl diesen ganzen Erklärungsversuch als eine »faule Ausrede«.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weiß nun nicht, ob meine Darstellung dem Leser irgendeinen Eindruck gemacht und ob sie ihn in Stand gesetzt hat, sich für diese Winzigkeiten zu interessieren. Ich fand es unmöglich, den richtigen Sachverhalt in unzweifelhafter Weise festzustellen, bin aber beim Studium dieser verworrenen Angelegenheit auf eine Vermutung gekommen, die den Vorzug hat, den natürlichsten Hergang einzusetzen, wenngleich die schriftlichen Zeugnisse sich auch ihr nicht völlig fügen.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meine, als der Maler zuerst nach Mariazell kam, sprach er nur von </w:t>
      </w:r>
      <w:r w:rsidRPr="008725BE">
        <w:rPr>
          <w:rFonts w:ascii="Garamond" w:hAnsi="Garamond"/>
          <w:i/>
          <w:iCs/>
          <w:color w:val="000000"/>
          <w:lang w:val="en-GB"/>
        </w:rPr>
        <w:t>einer</w:t>
      </w:r>
      <w:r w:rsidRPr="008725BE">
        <w:rPr>
          <w:rFonts w:ascii="Garamond" w:hAnsi="Garamond"/>
          <w:color w:val="000000"/>
          <w:lang w:val="en-GB"/>
        </w:rPr>
        <w:t xml:space="preserve"> regelrecht mit Blut geschriebenen Verschreibung, die bald verfallen sollte, also im September 1668 gegeben war, ganz so, wie es im Geleitbrief des Pfarrers mitgeteilt ist. In Mariazell präsentierte er auch diese blutige Verschreibung als diejenige, die ihm der Dämon unter dem Zwang der heiligen Mutter zurückgegeben hatte. Wir wissen, was weiter geschah. Der Maler verließ bald darauf den Gnadenort und ging nach Wien, wo er sich auch bis Mitte Oktober frei fühlte. Aber dann fingen Leiden und Erscheinungen, in denen er das Werk des bösen Geistes sah, wieder an. Er fühlte sich wieder erlösungsbedürftig, fand sich aber vor der Schwierigkeit aufzuklären, warum ihm die Beschwörung in der heiligen Kapelle keine dauernde Erlösung gebracht hatte. Als ungeheilter Rückfälliger wäre er wohl in Mariazell nicht willkommen gewesen. In dieser Not erfand er eine frühere, erste Verschreibung, die aber mit Tinte geschrieben sein sollte, damit ihr Zurückstehen gegen eine spätere, blutige, plausibel erscheinen konnte. Nach Mariazell zurückgekommen, ließ er sich auch diese angeblich erste Verschreibung zurückgeben. Dann hatte er Ruhe vor dem Bösen, allerdings tat er gleichzeitig etwas anderes, was uns auf den Hintergrund dieser Neurose hinweisen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Zeichnungen fertigte er gewiß erst bei seinem zweiten Aufenthalt in Mariazell an; das einheitlich komponierte Titelblatt enthält die Darstellung beider Verschreibungsszenen. Bei dem Versuch, seine neueren Angaben mit seinen früheren in Einklang zu bringen, mag er wohl in Verlegenheiten geraten sein. Es war für ihn ungünstig, daß er nur eine frühere, nicht eine spätere Verschreibung hinzudichten konnte. So konnte er das ungeschickte Ergebnis nicht vermeiden, daß er die eine, die blutige Verschreibung zu früh (im achten Jahr), die andere, die schwarze, zu spät (im zehnten Jahr) eingelöst hatte. Als verräterisches Anzeichen seiner zweifachen Redaktion ereignete es sich ihm, daß er sich in der Datierung der Verschreibungen irrte und auch die frühere in das Jahr 1669 setzte. Dieser Irrtum hat die Bedeutung einer ungewollten Aufrichtigkeit; er läßt uns erraten, daß die angeblich frühere Verschreibung zu einem späteren Termin hergestellt wurde. Der Kompilator, der den Stoff gewiß nicht früher als 1714, vielleicht erst 1729 zur Bearbeitung übernahm, mußte sich bemühen, die nicht unwesentlichen Widersprüche, so gut er konnte, wegzuschaffen. Da die beiden Verschreibungen, die ihm vorlagen, auf 1669 lauteten, half er sich durch die Ausrede, die er in das Zeugnis des Abtes einschaltete.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Man erkennt leicht, worin die Schwäche dieser sonst ansprechenden Konstruktion gelegen ist. Die Angabe zweier Verschreibungen, einer schwarzen und einer blutigen, findet sich bereits im Zeugnis des Abtes Franciscus. Ich habe also die Wahl, entweder dem Kompilator unterzuschieben, daß er an diesem Zeugnis im engen Anschluß an seine Einschaltung auch etwas geändert hat, oder ich muß bekennen, daß ich die Verwirrung nicht zu lösen vermag </w:t>
      </w:r>
      <w:hyperlink r:id="rId82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Der Kompilator, meine ich, fand sich zwischen zwei fixen Punkten eingeengt. Einerseits fand er sowohl im Geleitbrief des Pfarrers wie im Attest des Abtes die Angabe, daß die Verschreibung (zumindest die erste) im Jahre 1668 ausgestellt worden </w:t>
        </w:r>
        <w:r w:rsidRPr="008725BE">
          <w:rPr>
            <w:rStyle w:val="innerfusslink3"/>
            <w:rFonts w:ascii="Garamond" w:hAnsi="Garamond" w:cs="Arial"/>
            <w:b/>
            <w:bCs/>
            <w:lang w:val="en-GB"/>
          </w:rPr>
          <w:lastRenderedPageBreak/>
          <w:t xml:space="preserve">sei, anderseits zeigten beide im Archiv aufbewahrten Verschreibungen die Jahreszahl 1669; da er zwei Verschreibungen vor sich liegen hatte, stand es für ihn fest, daß zwei Verschreibungen erfolgt waren. Wenn im Zeugnis des Abtes nur von einer die Rede war, wie ich glaube, so mußte er in dieses Zeugnis die Erwähnung der anderen einsetzen und dann den Widerspruch durch die Annahme einer Vordatierung aufheben. Die Abänderung des Textes, die er vornahm, stößt an die Einschaltung, die nur von ihm herrühren kann, unmittelbar an. Er war gezwungen, Einschaltung und Abänderung durch die Worte </w:t>
        </w:r>
        <w:r w:rsidRPr="008725BE">
          <w:rPr>
            <w:rStyle w:val="innerfusslink3"/>
            <w:rFonts w:ascii="Garamond" w:hAnsi="Garamond" w:cs="Arial"/>
            <w:b/>
            <w:bCs/>
            <w:i/>
            <w:iCs/>
            <w:lang w:val="en-GB"/>
          </w:rPr>
          <w:t>sequenti vero anno 1669</w:t>
        </w:r>
        <w:r w:rsidRPr="008725BE">
          <w:rPr>
            <w:rStyle w:val="innerfusslink3"/>
            <w:rFonts w:ascii="Garamond" w:hAnsi="Garamond" w:cs="Arial"/>
            <w:b/>
            <w:bCs/>
            <w:lang w:val="en-GB"/>
          </w:rPr>
          <w:t xml:space="preserve"> zu verbinden, weil der Maler in der (sehr beschädigten) Legende zum Titelbilde ausdrücklich geschrieben hatte: </w:t>
        </w:r>
        <w:r w:rsidRPr="008725BE">
          <w:rPr>
            <w:rFonts w:ascii="Garamond" w:hAnsi="Garamond"/>
            <w:color w:val="000000"/>
            <w:lang w:val="en-GB"/>
          </w:rPr>
          <w:br/>
        </w:r>
        <w:r w:rsidRPr="008725BE">
          <w:rPr>
            <w:rFonts w:ascii="Garamond" w:hAnsi="Garamond"/>
            <w:color w:val="000000"/>
            <w:lang w:val="en-GB"/>
          </w:rPr>
          <w:br/>
        </w:r>
        <w:r w:rsidRPr="008725BE">
          <w:rPr>
            <w:rStyle w:val="innerfusslink3"/>
            <w:rFonts w:ascii="Garamond" w:hAnsi="Garamond" w:cs="Arial"/>
            <w:b/>
            <w:bCs/>
            <w:i/>
            <w:iCs/>
            <w:lang w:val="en-GB"/>
          </w:rPr>
          <w:t xml:space="preserve">                Nach einem Jahr würdt Er </w:t>
        </w:r>
        <w:r w:rsidRPr="008725BE">
          <w:rPr>
            <w:rFonts w:ascii="Garamond" w:hAnsi="Garamond"/>
            <w:i/>
            <w:iCs/>
            <w:color w:val="000000"/>
            <w:lang w:val="en-GB"/>
          </w:rPr>
          <w:br/>
        </w:r>
        <w:r w:rsidRPr="008725BE">
          <w:rPr>
            <w:rStyle w:val="innerfusslink3"/>
            <w:rFonts w:ascii="Garamond" w:hAnsi="Garamond" w:cs="Arial"/>
            <w:b/>
            <w:bCs/>
            <w:i/>
            <w:iCs/>
            <w:lang w:val="en-GB"/>
          </w:rPr>
          <w:t xml:space="preserve">. . . schrökhliche betrohungen in ab- </w:t>
        </w:r>
        <w:r w:rsidRPr="008725BE">
          <w:rPr>
            <w:rFonts w:ascii="Garamond" w:hAnsi="Garamond"/>
            <w:i/>
            <w:iCs/>
            <w:color w:val="000000"/>
            <w:lang w:val="en-GB"/>
          </w:rPr>
          <w:br/>
        </w:r>
        <w:r w:rsidRPr="008725BE">
          <w:rPr>
            <w:rStyle w:val="innerfusslink3"/>
            <w:rFonts w:ascii="Garamond" w:hAnsi="Garamond" w:cs="Arial"/>
            <w:b/>
            <w:bCs/>
            <w:i/>
            <w:iCs/>
            <w:lang w:val="en-GB"/>
          </w:rPr>
          <w:t xml:space="preserve">. . . . . . . gestalt Nr. 2 bezwungen sich, </w:t>
        </w:r>
        <w:r w:rsidRPr="008725BE">
          <w:rPr>
            <w:rFonts w:ascii="Garamond" w:hAnsi="Garamond"/>
            <w:i/>
            <w:iCs/>
            <w:color w:val="000000"/>
            <w:lang w:val="en-GB"/>
          </w:rPr>
          <w:br/>
        </w:r>
        <w:r w:rsidRPr="008725BE">
          <w:rPr>
            <w:rStyle w:val="innerfusslink3"/>
            <w:rFonts w:ascii="Garamond" w:hAnsi="Garamond" w:cs="Arial"/>
            <w:b/>
            <w:bCs/>
            <w:i/>
            <w:iCs/>
            <w:lang w:val="en-GB"/>
          </w:rPr>
          <w:t>. . . . . . . . . . n Bluot zu verschreiben.</w:t>
        </w:r>
        <w:r w:rsidRPr="008725BE">
          <w:rPr>
            <w:rFonts w:ascii="Garamond" w:hAnsi="Garamond"/>
            <w:color w:val="000000"/>
            <w:lang w:val="en-GB"/>
          </w:rPr>
          <w:br/>
        </w:r>
        <w:r w:rsidRPr="008725BE">
          <w:rPr>
            <w:rFonts w:ascii="Garamond" w:hAnsi="Garamond"/>
            <w:color w:val="000000"/>
            <w:lang w:val="en-GB"/>
          </w:rPr>
          <w:br/>
        </w:r>
        <w:r w:rsidRPr="008725BE">
          <w:rPr>
            <w:rStyle w:val="innerfusslink3"/>
            <w:rFonts w:ascii="Garamond" w:hAnsi="Garamond" w:cs="Arial"/>
            <w:b/>
            <w:bCs/>
            <w:lang w:val="en-GB"/>
          </w:rPr>
          <w:t xml:space="preserve">Das »Verschreiben« des Malers, als er die </w:t>
        </w:r>
        <w:r w:rsidRPr="008725BE">
          <w:rPr>
            <w:rStyle w:val="innerfusslink3"/>
            <w:rFonts w:ascii="Garamond" w:hAnsi="Garamond" w:cs="Arial"/>
            <w:b/>
            <w:bCs/>
            <w:i/>
            <w:iCs/>
            <w:lang w:val="en-GB"/>
          </w:rPr>
          <w:t>Syngraphae</w:t>
        </w:r>
        <w:r w:rsidRPr="008725BE">
          <w:rPr>
            <w:rStyle w:val="innerfusslink3"/>
            <w:rFonts w:ascii="Garamond" w:hAnsi="Garamond" w:cs="Arial"/>
            <w:b/>
            <w:bCs/>
            <w:lang w:val="en-GB"/>
          </w:rPr>
          <w:t xml:space="preserve"> anfertigte, durch das ich zu meinem Erklärungsversuch genötigt worden bin, erscheint mir nicht weniger interessant als seine Verschreibungen selbst.</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ganze Diskussion wird den Lesern längst überflüssig und die in ihr behandelten Details zu unwichtig erschienen sein. Aber die Sache gewinnt ein neues Interesse, wenn man sie nach einer bestimmten Richtung hin verfolgt.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habe eben vom Maler ausgesagt, daß er, durch den Verlauf seiner Krankheit unliebsam überrascht, eine frühere Verschreibung (die mit Tinte) erfunden habe, um seine Position gegen die geistlichen Herren in Mariazell behaupten zu können. Nun schreibe ich für Leser, die zwar an die Psychoanalyse glauben, aber nicht an den Teufel, und diese könnten mir vorhalten, es sei unsinnig, dem armen Kerl von Maler –; </w:t>
      </w:r>
      <w:r w:rsidRPr="008725BE">
        <w:rPr>
          <w:rFonts w:ascii="Garamond" w:hAnsi="Garamond"/>
          <w:i/>
          <w:iCs/>
          <w:color w:val="000000"/>
          <w:lang w:val="en-GB"/>
        </w:rPr>
        <w:t>hunc miserum</w:t>
      </w:r>
      <w:r w:rsidRPr="008725BE">
        <w:rPr>
          <w:rFonts w:ascii="Garamond" w:hAnsi="Garamond"/>
          <w:color w:val="000000"/>
          <w:lang w:val="en-GB"/>
        </w:rPr>
        <w:t xml:space="preserve"> nennt ihn der Geleitbrief –; einen solchen Vorwurf zu machen. Die blutige Verschreibung war ja genauso phantasiert wie die angeblich frühere mit Tinte. In Wirklichkeit ist ihm ja überhaupt kein Teufel erschienen, der ganze Pakt mit dem Teufel existierte ja nur in seiner Phantasie. Ich sehe das ein; man kann dem Armen das Recht nicht bestreiten, seine ursprüngliche Phantasie durch eine neue zu ergänzen, wenn die geänderten Verhältnisse es zu erfordern schienen.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Aber auch hier gibt es noch eine Fortsetzung. Die beiden Verschreibungen sind ja nicht Phantasien wie die Teufelsvisionen; sie waren Dokumente, nach der Versicherung des Abschreibers wie nach dem Zeugnis des späteren Abtes Kilian im Archiv von Mariazell für alle sichtbar und greifbar aufbewahrt. Also stehen wir hier vor einem Dilemma. Entweder haben wir anzunehmen, daß der Maler die beiden ihm angeblich durch göttliche Huld zurückgestellten Schedae selbst zur Zeit verfertigt, da er sie brauchte, oder wir müssen den geistlichen Herren von Mariazell und Sankt Lambert trotz aller feierlichen Versicherungen, Bestätigungen durch Zeugen mit beigefügten Siegeln usw. die Glaubwürdigkeit verweigern. Ich gestehe, die Verdächtigung der geistlichen Herren fiele mir nicht leicht. Ich neige zwar zur Annahme, daß der Kompilator im Interesse der Konkordanz einiges am Zeugnis des ersten Abtes verfälscht hat, aber diese »sekundäre Bearbeitung« geht nicht weit über ähnliche Leistungen, auch moderner und weltlicher Geschichtsschreiber, hinaus und geschah jedenfalls im guten Glauben. Nach anderer Richtung haben sich die geistlichen Herren gegründeten Anspruch auf unser Vertrauen erworben. Ich sagte es schon, nichts hätte sie hindern können, die Berichte über die Unvollständigkeit der Heilung und die Fortdauer der Versuchungen zu unterdrücken, und auch die Schilderung der Beschwörungsszene in der Kapelle, der man mit einigem Bangen entgegensehen durfte, ist nüchtern und glaubwürdig geraten. Es bleibt also nichts übrig, als den Maler zu beschuldigen. Die rote Verschreibung hatte er wohl bei sich, als er sich zum Bußgebet in die Kapelle begab, und zog sie dann hervor, als er von seiner Begegnung mit dem Dämon zu den geistlichen Beiständen zurückkehrte. Es muß auch gar nicht derselbe Zettel gewesen sein, der später im Archiv aufbewahrt wurde, sondern nach unserer Konstruktion kann er die Jahreszahl 1668 (neun Jahre vor der Beschwörung) getragen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 Die weitere Neurose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Aber das wäre Betrug und nicht Neurose, der Maler ein Simulant und Fälscher, nicht ein kranker Besessener! Nun, die Übergänge zwischen Neurose und Simulation sind bekanntlich fließende. Ich finde auch keine Schwierigkeit anzunehmen, daß der Maler diesen Zettel ebenso wie die späteren in einem besonderen, seinen Visionen gleichzustellenden Zustand geschrieben und mit sich genommen hat. Wenn er die Phantasie vom Teufelspakt und von der Erlösung durchführen wollte, konnte er ja gar nichts anderes tun.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Den Stempel der Wahrhaftigkeit trägt dagegen das Tagebuch aus Wien an sich, das er bei seinem zweiten Aufenthalt zu Mariazell den Geistlichen übergab. Es läßt uns freilich tief in die Motivierung oder sagen wir lieber Verwertung der Neurose blicken.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Aufzeichnungen reichen von seiner erfolgreichen Beschwörung bis zum 13. Januar des nächsten Jahres 1678. Bis zum 11. Oktober erging es ihm in Wien, wo er bei einer verheirateten Schwester wohnte, recht gut, dann aber fingen neue Zustände mit Visionen und Krämpfen, Bewußtlosigkeit und schmerzhaften Sensationen an, die dann auch zu seiner Rückkehr nach Mariazell im Mai 1678 führten.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Die neue Leidensgeschichte gliedert sich in drei Phasen. Zuerst meldet sich die Versuchung in Gestalt eines schön gekleideten Kavaliers, der ihm zureden will, den Zettel wegzuwerfen, der seine Aufnahme in die Bruderschaft vom heiligen Rosenkranz bescheinigt. Da er widerstand, wiederholte sich dieselbe Erscheinung am nächsten Tag, aber diesmal in einem prächtig geschmückten Saal, in dem vornehme Herren mit schönen Damen tanzten. Derselbe Kavalier, der ihn schon einmal versucht, machte ihm einen auf Malerei bezüglichen Antrag </w:t>
      </w:r>
      <w:hyperlink r:id="rId82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Eine mir unverständliche Stelle.</w:t>
        </w:r>
      </w:hyperlink>
      <w:r w:rsidRPr="008725BE">
        <w:rPr>
          <w:rFonts w:ascii="Garamond" w:hAnsi="Garamond"/>
          <w:color w:val="000000"/>
          <w:lang w:val="en-GB"/>
        </w:rPr>
        <w:t xml:space="preserve"> und versprach ihm dafür ein schönes Stück Geld. Nachdem er diese Vision durch Gebete zum Verschwinden gebracht, wiederholte sie sich einige Tage später in noch eindringlicherer Form. Diesmal schickte der Kavalier eine der schönsten Frauen, die an der Festtafel saßen, zu ihm hin, um ihn zur Gesellschaft zu bringen, und er hatte Mühe, sich der Verführerin zu erwehren. Am erschreckendsten war aber die bald darauf folgende Vision eines noch prunkvolleren Saales, in dem ein von » </w:t>
      </w:r>
      <w:r w:rsidRPr="008725BE">
        <w:rPr>
          <w:rFonts w:ascii="Garamond" w:hAnsi="Garamond"/>
          <w:i/>
          <w:iCs/>
          <w:color w:val="000000"/>
          <w:lang w:val="en-GB"/>
        </w:rPr>
        <w:t>Goldstuckh aufgerichteter Thron</w:t>
      </w:r>
      <w:r w:rsidRPr="008725BE">
        <w:rPr>
          <w:rFonts w:ascii="Garamond" w:hAnsi="Garamond"/>
          <w:color w:val="000000"/>
          <w:lang w:val="en-GB"/>
        </w:rPr>
        <w:t xml:space="preserve">« war. Kavaliere standen herum und erwarteten die Ankunft ihres Königs. Dieselbe Person, die sich schon so oft um ihn bekümmert hatte, ging auf ihn zu und forderte ihn auf, den Thron zu besteigen, sie » </w:t>
      </w:r>
      <w:r w:rsidRPr="008725BE">
        <w:rPr>
          <w:rFonts w:ascii="Garamond" w:hAnsi="Garamond"/>
          <w:i/>
          <w:iCs/>
          <w:color w:val="000000"/>
          <w:lang w:val="en-GB"/>
        </w:rPr>
        <w:t>wollten ihn für ihren König halten und in Ewigkeit verehren</w:t>
      </w:r>
      <w:r w:rsidRPr="008725BE">
        <w:rPr>
          <w:rFonts w:ascii="Garamond" w:hAnsi="Garamond"/>
          <w:color w:val="000000"/>
          <w:lang w:val="en-GB"/>
        </w:rPr>
        <w:t xml:space="preserve">«. </w:t>
      </w:r>
      <w:r w:rsidRPr="008725BE">
        <w:rPr>
          <w:rFonts w:ascii="Garamond" w:hAnsi="Garamond"/>
          <w:color w:val="000000"/>
        </w:rPr>
        <w:t>Mit dieser Ausschweifung seiner Phantasie schließt die erste, recht durchsichtige Phase der Versuchungsgeschichte ab.</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Es mußte jetzt zu einer Gegenwirkung kommen. </w:t>
      </w:r>
      <w:r w:rsidRPr="008725BE">
        <w:rPr>
          <w:rFonts w:ascii="Garamond" w:hAnsi="Garamond"/>
          <w:color w:val="000000"/>
          <w:lang w:val="en-GB"/>
        </w:rPr>
        <w:t xml:space="preserve">Die asketische Reaktion erhob ihr Haupt. Am 20. Oktober erschien ihm ein großer Glanz, eine Stimme daraus gab sich als Christus zu erkennen und forderte von ihm, daß er dieser bösen Welt entsagen und sechs Jahre lang in einer Wüste Gott dienen solle. Der Maler litt unter diesen heiligen Erscheinungen offenbar mehr als unter den früheren dämonischen. Aus diesem Anfall erwachte er erst nach 2½ Stunden. Im nächsten war die von Glanz umgebene heilige Person weit unfreundlicher, drohte ihm, weil er den göttlichen Vorschlag nicht angenommen hatte, und führte ihn in die Hölle, damit er durch das Los der Verdammten geschreckt werde. Offenbar blieb aber die Wirkung aus, denn die Erscheinungen der Person im Glanze, die Christus sein sollte, wiederholten sich noch mehrmals, jedesmal mit stundenlanger Geistesabwesenheit und Verzücktheit für den Maler. In der großartigsten dieser Verzücktheiten führte ihn die Person im Glanze zuerst in eine Stadt, in deren Straßen die Menschen alle Werke der Finsternis übten, und dann zum Gegensatz auf eine schöne Au, in der Einsiedler ihr gottgefälliges Leben führten und greifbare Beweise von Gottes Gnade und Fürsorge erhielten. Dann erschien an Stelle Christi die heilige Mutter selbst, die ihn unter Berufung auf ihre früher geleistete Hilfe mahnte, dem Befehl ihres lieben Sohnes nachzukommen. » </w:t>
      </w:r>
      <w:r w:rsidRPr="008725BE">
        <w:rPr>
          <w:rFonts w:ascii="Garamond" w:hAnsi="Garamond"/>
          <w:i/>
          <w:iCs/>
          <w:color w:val="000000"/>
          <w:lang w:val="en-GB"/>
        </w:rPr>
        <w:t>Da er sich hiezu nicht recht resolviret</w:t>
      </w:r>
      <w:r w:rsidRPr="008725BE">
        <w:rPr>
          <w:rFonts w:ascii="Garamond" w:hAnsi="Garamond"/>
          <w:color w:val="000000"/>
          <w:lang w:val="en-GB"/>
        </w:rPr>
        <w:t>«, kam Christus am nächsten Tage wieder und setzte ihm mit Drohungen und Versprechungen tüchtig zu. Da gab er endlich nach, beschloß aus diesem Leben auszutreten und zu tun, was von ihm verlangt wurde. Mit dieser Entschließung endet die zweite Phase. Der Maler konstatiert, daß er von dieser Zeit an keine Erscheinung oder Anfechtung mehr gehabt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Indes muß dieser Entschluß nicht sehr gefestigt oder seine Ausführung allzulang aufgeschoben worden sein, denn als er am 26. Dezember in St. Stephan seine Andacht verrichtete, konnte er sich beim Anblick einer wackeren Jungfrau, die mit einem wohlaufgeputzten Herrn ging, der Idee nicht erwehren, er könnte selbst an Stelle dieses Herrn sein. Das forderte Strafe, noch am selben Abend traf es ihn wie ein Donnerschlag, er sah sich in hellen Flammen und fiel in Ohnmacht. Man bemühte sich, ihn zu erwecken, aber er wälzte sich in der Stube, bis Blut aus Mund und Nase kam, verspürte, daß er sich in Hitze und Gestank befand, und hörte eine Stimme sagen, daß ihm dieser Zustand als Strafe für seine unnützen und eiteln Gedanken geschickt worden sei. Später wurde er dann von bösen Geistern mit Stricken gegeißelt und ihm versprochen, daß er alle Tage so gepeinigt werden solle, bis er sich entschlossen habe, in den Einsiedlerorden einzutreten. Diese Erlebnisse setzten sich, soweit die Aufzeichnungen reichen (13. Januar) fort.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sehen, wie bei unserem armen Maler die Versuchungsphantasien von asketischen und endlich von Strafphantasien abgelöst werden; das Ende der Leidensgeschichte kennen wir bereits. Er begibt sich im Mai nach Mariazell, bringt dort die Geschichte von einer früheren, mit schwarzer Tinte geschriebenen Verschreibung vor, der er es offenbar zuschreibt, daß er noch vom Teufel geplagt werden kann, erhält auch diese zurück und ist geheilt.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 xml:space="preserve">Während dieses zweiten Aufenthaltes malt er die Bilder, die im </w:t>
      </w:r>
      <w:r w:rsidRPr="008725BE">
        <w:rPr>
          <w:rFonts w:ascii="Garamond" w:hAnsi="Garamond"/>
          <w:i/>
          <w:iCs/>
          <w:color w:val="000000"/>
          <w:lang w:val="en-GB"/>
        </w:rPr>
        <w:t>Trophaeum</w:t>
      </w:r>
      <w:r w:rsidRPr="008725BE">
        <w:rPr>
          <w:rFonts w:ascii="Garamond" w:hAnsi="Garamond"/>
          <w:color w:val="000000"/>
          <w:lang w:val="en-GB"/>
        </w:rPr>
        <w:t xml:space="preserve"> kopiert sind, dann aber tut er etwas, was mit der Forderung der asketischen Phase seines Tagebuches zusammentrifft. Er geht zwar nicht in die Wüste, um Einsiedler zu werden, aber er tritt in den Orden der Barmherzigen Brüder ein: </w:t>
      </w:r>
      <w:r w:rsidRPr="008725BE">
        <w:rPr>
          <w:rFonts w:ascii="Garamond" w:hAnsi="Garamond"/>
          <w:i/>
          <w:iCs/>
          <w:color w:val="000000"/>
          <w:lang w:val="en-GB"/>
        </w:rPr>
        <w:t>religiosus factus est</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der Lektüre des Tagebuches gewinnen wir Verständnis für ein neues Stück des Zusammenhangs. Wir erinnern uns, daß der Maler sich dem Teufel verschrieben, weil er nach dem Tode des Vaters, verstimmt und arbeitsunfähig, Sorge hatte, seine Existenz zu erhalten. Diese Momente, Depression, Arbeitshemmung und Trauer um den Vater, sind irgendwie, auf einfache oder kompliziertere Art miteinander verknüpft. Vielleicht waren die Erscheinungen des Teufels darum so überreichlich mit Brüsten ausgestattet, weil der Böse sein Nährvater werden sollte. Die Hoffnung erfüllte sich nicht, es ging ihm auch weiterhin schlecht, er konnte nicht ordentlich arbeiten, oder er hatte kein Glück und fand nicht genug Arbeit. Der Geleitbrief des Pfarrers spricht von ihm als » </w:t>
      </w:r>
      <w:r w:rsidRPr="008725BE">
        <w:rPr>
          <w:rFonts w:ascii="Garamond" w:hAnsi="Garamond"/>
          <w:i/>
          <w:iCs/>
          <w:color w:val="000000"/>
          <w:lang w:val="en-GB"/>
        </w:rPr>
        <w:t>hunc miserum omni auxilio destitutum</w:t>
      </w:r>
      <w:r w:rsidRPr="008725BE">
        <w:rPr>
          <w:rFonts w:ascii="Garamond" w:hAnsi="Garamond"/>
          <w:color w:val="000000"/>
          <w:lang w:val="en-GB"/>
        </w:rPr>
        <w:t xml:space="preserve">«. Er war also nicht nur in moralischen Nöten, er litt auch materielle Not. In die Wiedergabe seiner späteren Visionen finden sich Bemerkungen eingestreut, die wie die Inhalte der erschauten Szenen zeigen, daß sich auch nach der erfolgreichen ersten Beschwörung daran nichts geändert hatte. Wir lernen einen Menschen kennen, der es zu nichts bringt, dem man auch darum kein Vertrauen schenkt. In der ersten Vision fragt ihn der Kavalier, was er eigentlich anfangen wolle, da sich niemand seiner annehme (» </w:t>
      </w:r>
      <w:r w:rsidRPr="008725BE">
        <w:rPr>
          <w:rFonts w:ascii="Garamond" w:hAnsi="Garamond"/>
          <w:i/>
          <w:iCs/>
          <w:color w:val="000000"/>
          <w:lang w:val="en-GB"/>
        </w:rPr>
        <w:t>dieweillen ich von iedermann izt verlassen, waß ich anfangen würde</w:t>
      </w:r>
      <w:r w:rsidRPr="008725BE">
        <w:rPr>
          <w:rFonts w:ascii="Garamond" w:hAnsi="Garamond"/>
          <w:color w:val="000000"/>
          <w:lang w:val="en-GB"/>
        </w:rPr>
        <w:t>«). Die erste Reihe der Visionen in Wien entspricht durchaus den Wunschphantasien des Armen, nach Genuß Hungernden, Verkommenen: Herrliche Säle, Wohlleben, silbernes Tafelgeschirr und schöne Frauen; hier wird nachgeholt, was wir im Teufelsverhältnis vermißt haben. Damals bestand eine Melancholie, die ihn genußunfähig machte, auf die lockendsten Anerbieten verzichten hieß. Seit der Beschwörung scheint die Melancholie überwunden, alle Gelüste des Weltkindes sind wieder rege.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einer der asketischen Visionen beklagt er sich gegen die ihn führende Person (Christus), daß ihm niemand glauben wolle, so daß er dessentwegen was ihm anbefohlen, nicht vollziehen könne. Die Antwort, die er darauf erhält, bleibt uns leider dunkel (» </w:t>
      </w:r>
      <w:r w:rsidRPr="008725BE">
        <w:rPr>
          <w:rFonts w:ascii="Garamond" w:hAnsi="Garamond"/>
          <w:i/>
          <w:iCs/>
          <w:color w:val="000000"/>
          <w:lang w:val="en-GB"/>
        </w:rPr>
        <w:t>so fer man mir nit glauben, waß aber geschechen, waiß ich wol, ist mir aber selbes auszusprechen vnmöglich</w:t>
      </w:r>
      <w:r w:rsidRPr="008725BE">
        <w:rPr>
          <w:rFonts w:ascii="Garamond" w:hAnsi="Garamond"/>
          <w:color w:val="000000"/>
          <w:lang w:val="en-GB"/>
        </w:rPr>
        <w:t xml:space="preserve">«). Besonders aufklärend ist aber, was ihn sein göttlicher Führer bei den Einsiedlern erleben läßt. Er kommt in eine Höhle, in der ein alter Mann schon seit sechzig Jahren sitzt, und erfährt auf seine Frage, daß dieser Alte täglich von den Engeln Gottes gespeist wird. Und dann sieht er selbst, wie ein Engel dem Alten zu essen bringt: » </w:t>
      </w:r>
      <w:r w:rsidRPr="008725BE">
        <w:rPr>
          <w:rFonts w:ascii="Garamond" w:hAnsi="Garamond"/>
          <w:i/>
          <w:iCs/>
          <w:color w:val="000000"/>
          <w:lang w:val="en-GB"/>
        </w:rPr>
        <w:t>Drei Schüßerl mit Speiß, ein Brot und ein Knödl und Getränk</w:t>
      </w:r>
      <w:r w:rsidRPr="008725BE">
        <w:rPr>
          <w:rFonts w:ascii="Garamond" w:hAnsi="Garamond"/>
          <w:color w:val="000000"/>
          <w:lang w:val="en-GB"/>
        </w:rPr>
        <w:t xml:space="preserve">.« Nachdem der Einsiedler gespeist, nimmt der Engel alles zusammen und trägt es ab. Wir verstehen, welche Versuchung die frommen Visionen zu bieten haben, sie wollen ihn bewegen, eine Form der Existenz zu wählen, in der ihm die Nahrungssorgen abgenommen sind. Beachtenswert sind auch die Reden Christi in der letzten Vision. Nach der Drohung, wenn er sich nicht füge, werde etwas geschehen, daß er und die Leute [daran] glauben müßten, mahnt er direkt: » </w:t>
      </w:r>
      <w:r w:rsidRPr="008725BE">
        <w:rPr>
          <w:rFonts w:ascii="Garamond" w:hAnsi="Garamond"/>
          <w:i/>
          <w:iCs/>
          <w:color w:val="000000"/>
          <w:lang w:val="en-GB"/>
        </w:rPr>
        <w:t>Ich solle die Leith nit achten, obwollen ich von ihnen verfolgt wurdte, oder von ihnen keine hilfflaistung empfienge, Gott würde mich nit verlasßen</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Ch. Haitzmann war so weit Künstler und Weltkind, daß es ihm nicht leichtfiel, dieser sündigen Welt zu entsagen. Aber endlich tat er es doch mit Rücksicht auf seine hilflose Lage. Er trat in einen geistlichen Orden ein; damit war sein innerer Kampf wie seine materielle Not zu Ende. In seiner Neurose spiegelt sich dieser Ausgang darin, daß die Rückstellung einer angeblich ersten Verschreibung seine Anfälle und Visionen beseitigt. Eigentlich hatten beide Abschnitte seiner dämonologischen Erkrankung denselben Sinn gehabt. Er wollte immer nur sein Leben sichern, das erste Mal mit Hilfe des Teufels auf Kosten seiner Seligkeit, und als dieser versagt hatte und aufgegeben werden mußte, mit Hilfe des geistlichen Standes auf Kosten seiner Freiheit und der meisten Genußmöglichkeiten des Lebens. Vielleicht war Chr. Haitzmann nur selbst ein armer Teufel, der eben kein Glück hatte, vielleicht war er zu ungeschickt oder zu unbegabt, um sich selbst zu erhalten, und zählte zu jenen Typen, die als »ewige Säuglinge« bekannt sind, die sich von der beglückenden Situation an der Mutterbrust nicht losreißen können und durchs ganze Leben den Anspruch festhalten, von jemand anderem ernährt zu werden. Und so legte er in dieser Krankengeschichte den Weg vom Vater über den Teufel als Vaterersatz zu den frommen Patres zurück.</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Seine Neurose erscheint oberflächlicher Betrachtung als ein Gaukelspiel, welches ein Stück des ernsthaften, aber banalen Lebenskampfes überdeckt. Dies Verhältnis ist gewiß nicht immer so, aber es kommt auch nicht gar so selten vor. Die Analytiker erleben es oft, wie unvorteilhaft es ist, einen Kaufmann zu behandeln, der »sonst gesund, seit einiger Zeit die Erscheinungen einer Neurose zeigt«. Die geschäftliche Katastrophe, von der sich der Kaufmann bedroht fühlt, wirft als Nebenwirkung diese Neurose auf, von der er auch den Vorteil hat, daß er hinter ihren Symptomen seine realen Lebenssorgen </w:t>
      </w:r>
      <w:r w:rsidRPr="008725BE">
        <w:rPr>
          <w:rFonts w:ascii="Garamond" w:hAnsi="Garamond"/>
          <w:color w:val="000000"/>
          <w:lang w:val="en-GB"/>
        </w:rPr>
        <w:lastRenderedPageBreak/>
        <w:t>verheimlichen kann. Sonst aber ist sie überaus unzweckmäßig, da sie Kräfte in Anspruch nimmt, die vorteilhafter zur besonnenen Erledigung der gefährlichen Lage Verwendung fänden.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weit zahlreicheren Fällen ist die Neurose selbständiger und unabhängiger von den Interessen der Lebenserhaltung und Behauptung. Im Konflikt, der die Neurose schafft, stehen entweder nur libidinöse Interessen auf dem Spiel oder libidinöse in inniger Verknüpfung mit solchen der Lebensbehauptung. Der Dynamismus der Neurose ist in allen drei Fällen der gleiche. Eine nicht real zu befriedigende Libidostauung schafft sich mit Hilfe der Regression zu alten Fixierungen Abfluß durch das verdrängte Unbewußte. Soweit das Ich des Kranken aus diesem Vorgang einen Krankheitsgewinn ziehen kann, läßt es die Neurose gewähren, deren ökonomische Schädlichkeit doch keinem Zweifel unterliegt. Auch die üble Lebenslage unseres Malers hätte keine Teufelsneurose bei ihm hervorgerufen, wenn aus seiner Not nicht eine verstärkte Vatersehnsucht erwachsen wäre. Nachdem aber die Melancholie und der Teufel abgetan waren, kam es bei ihm noch zum Kampf zwischen der libidinösen Lebenslust und der Einsicht, daß das Interesse der Lebenserhaltung gebieterisch Verzicht und Askese fordere. Es ist interessant, daß der Maler die Einheitlichkeit der beiden Stücke seiner Leidensgeschichte sehr wohl verspürt, denn er führt die eine wie die andere auf Verschreibungen, die er dem Teufel gegeben, zurück. Anderseits unterscheidet er nicht scharf zwischen den Einwirkungen des bösen Geistes und jenen der göttlichen Mächte, er hat für beide eine Bezeichnung: Erscheinungen des Teufels.</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Ei</w:t>
        </w:r>
        <w:bookmarkStart w:id="168" w:name="KS33"/>
        <w:bookmarkEnd w:id="168"/>
        <w:r w:rsidRPr="008725BE">
          <w:rPr>
            <w:rStyle w:val="Lienhypertexte"/>
            <w:rFonts w:ascii="Garamond" w:hAnsi="Garamond" w:cs="Arial"/>
            <w:b/>
            <w:bCs/>
            <w:lang w:val="en-GB"/>
          </w:rPr>
          <w:t>nige Bemerkungen über den Begriff des Unbewußten in der Psychoanalyse</w:t>
        </w:r>
      </w:hyperlink>
      <w:r w:rsidRPr="008725BE">
        <w:rPr>
          <w:rFonts w:ascii="Garamond" w:hAnsi="Garamond"/>
          <w:color w:val="000000"/>
          <w:lang w:val="en-GB"/>
        </w:rPr>
        <w:t xml:space="preserve">  </w:t>
      </w:r>
      <w:r w:rsidRPr="008725BE">
        <w:rPr>
          <w:rFonts w:ascii="Garamond" w:hAnsi="Garamond"/>
          <w:caps/>
          <w:color w:val="000000"/>
          <w:lang w:val="en-GB"/>
        </w:rPr>
        <w:t>(1912)</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möchte mit wenigen Worten und so klar als möglich darlegen, welcher Sinn dem Ausdruck »Unbewußtes« in der Psychoanalyse, nur in der Psychoanalyse, zukommt.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 Vorstellung –; oder jedes andere psychische Element –; kann jetzt in meinem Bewußtsein </w:t>
      </w:r>
      <w:r w:rsidRPr="008725BE">
        <w:rPr>
          <w:rFonts w:ascii="Garamond" w:hAnsi="Garamond"/>
          <w:i/>
          <w:iCs/>
          <w:color w:val="000000"/>
          <w:lang w:val="en-GB"/>
        </w:rPr>
        <w:t>gegenwärtig</w:t>
      </w:r>
      <w:r w:rsidRPr="008725BE">
        <w:rPr>
          <w:rFonts w:ascii="Garamond" w:hAnsi="Garamond"/>
          <w:color w:val="000000"/>
          <w:lang w:val="en-GB"/>
        </w:rPr>
        <w:t xml:space="preserve"> sein und im nächsten Augenblick daraus </w:t>
      </w:r>
      <w:r w:rsidRPr="008725BE">
        <w:rPr>
          <w:rFonts w:ascii="Garamond" w:hAnsi="Garamond"/>
          <w:i/>
          <w:iCs/>
          <w:color w:val="000000"/>
          <w:lang w:val="en-GB"/>
        </w:rPr>
        <w:t>verschwinden</w:t>
      </w:r>
      <w:r w:rsidRPr="008725BE">
        <w:rPr>
          <w:rFonts w:ascii="Garamond" w:hAnsi="Garamond"/>
          <w:color w:val="000000"/>
          <w:lang w:val="en-GB"/>
        </w:rPr>
        <w:t xml:space="preserve">; sie kann nach einer Zwischenzeit ganz unverändert wiederum auftauchen, und zwar, wie wir es ausdrücken, aus der Erinnerung, nicht als Folge einer neuen Sinneswahrnehmung. Um dieser Tatsache Rechnung zu tragen, sind wir zu der Annahme genötigt, daß die Vorstellung auch während der Zwischenzeit in unserem Geiste gegenwärtig gewesen sei, wenn sie auch im Bewußtsein latent blieb. In welcher Gestalt sie aber existiert haben kann, während sie im Seelenleben gegenwärtig und im Bewußtsein </w:t>
      </w:r>
      <w:r w:rsidRPr="008725BE">
        <w:rPr>
          <w:rFonts w:ascii="Garamond" w:hAnsi="Garamond"/>
          <w:i/>
          <w:iCs/>
          <w:color w:val="000000"/>
          <w:lang w:val="en-GB"/>
        </w:rPr>
        <w:t>latent</w:t>
      </w:r>
      <w:r w:rsidRPr="008725BE">
        <w:rPr>
          <w:rFonts w:ascii="Garamond" w:hAnsi="Garamond"/>
          <w:color w:val="000000"/>
          <w:lang w:val="en-GB"/>
        </w:rPr>
        <w:t xml:space="preserve"> war, darüber können wir keine Vermutungen aufstellen.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 diesem Punkte müssen wir darauf gefaßt sein, dem philosophischen Einwurf zu begegnen, daß die latente Vorstellung nicht als Objekt der Psychologie vorhanden gewesen sei, sondern nur als physische Disposition für den Wiederablauf desselben psychischen Phänomens, nämlich eben jener Vorstellung. Aber wir können darauf erwidern, daß eine solche Theorie das Gebiet der eigentlichen Psychologie weit überschreitet, daß sie das Problem einfach umgeht, indem sie daran festhält, daß »bewußt« und »psychisch« identische Begriffe sind, und daß sie offenbar im Unrecht ist, wenn sie der Psychologie das Recht bestreitet, eine ihrer gewöhnlichsten Tatsachen, wie das Gedächtnis, durch ihre eigenen Hilfsmittel zu erklären.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wollen nun die Vorstellung, die in unserem Bewußtsein gegenwärtig ist und die wir wahrnehmen, »bewußt« nennen und nur dies als Sinn des Ausdruckes »bewußt« gelten lassen; hingegen sollen latente Vorstellungen, wenn wir Grund zur Annahme haben, daß sie im Seelenleben enthalten sind –; wie es beim Gedächtnis der Fall war –;, mit dem Ausdruck »unbewußt« gekennzeichnet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unbewußte Vorstellung ist dann eine solche, die wir nicht bemerken, deren Existenz wir aber trotzdem auf Grund anderweitiger Anzeichen und Beweise zuzugeben bereit sind.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 könnte als eine recht uninteressante deskriptive oder klassifikatorische Arbeit aufgefaßt werden, wenn keine andere Erfahrung für unser Urteil in Betracht käme als die Tatsachen des Gedächtnisses oder die der Assoziation über unbewußte Mittelglieder. Aber das wohlbekannte Experiment der »posthypnotischen Suggestion« lehrt uns an der Wichtigkeit der Unterscheidung zwischen </w:t>
      </w:r>
      <w:r w:rsidRPr="008725BE">
        <w:rPr>
          <w:rFonts w:ascii="Garamond" w:hAnsi="Garamond"/>
          <w:i/>
          <w:iCs/>
          <w:color w:val="000000"/>
          <w:lang w:val="en-GB"/>
        </w:rPr>
        <w:t>bewußt</w:t>
      </w:r>
      <w:r w:rsidRPr="008725BE">
        <w:rPr>
          <w:rFonts w:ascii="Garamond" w:hAnsi="Garamond"/>
          <w:color w:val="000000"/>
          <w:lang w:val="en-GB"/>
        </w:rPr>
        <w:t xml:space="preserve"> und </w:t>
      </w:r>
      <w:r w:rsidRPr="008725BE">
        <w:rPr>
          <w:rFonts w:ascii="Garamond" w:hAnsi="Garamond"/>
          <w:i/>
          <w:iCs/>
          <w:color w:val="000000"/>
          <w:lang w:val="en-GB"/>
        </w:rPr>
        <w:t>unbewußt</w:t>
      </w:r>
      <w:r w:rsidRPr="008725BE">
        <w:rPr>
          <w:rFonts w:ascii="Garamond" w:hAnsi="Garamond"/>
          <w:color w:val="000000"/>
          <w:lang w:val="en-GB"/>
        </w:rPr>
        <w:t xml:space="preserve"> festhalten und scheint ihren Wert zu erhöhen.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diesem Experiment, wie es Bernheim ausgeführt hat, wird eine Person in einen hypnotischen Zustand versetzt und dann daraus erweckt. Während sie sich in dem hypnotischen Zustande, unter dem Einflusse des Arztes, befand, wurde ihr der Auftrag erteilt, eine bestimmte Handlung zu einem genau bestimmten Zeitpunkt, z. B. eine halbe Stunde später, auszuführen. Nach dem Erwachen ist allem Anscheine nach volles Bewußtsein und die gewöhnliche Geistesverfassung wiederum eingetreten, eine Erinnerung an den hypnotischen Zustand ist nicht vorhanden, und trotzdem drängt sich in dem vorher festgesetzten Augenblick der Impuls, dieses oder jenes zu tun, dem Geiste auf, und die Handlung wird mit Bewußtsein, wenn auch ohne zu wissen weshalb, ausgeführt. Es dürfte kaum möglich sein, eine andere Beschreibung des Phänomens zu geben, als mit den Worten, daß der Vorsatz im Geiste jener Person </w:t>
      </w:r>
      <w:r w:rsidRPr="008725BE">
        <w:rPr>
          <w:rFonts w:ascii="Garamond" w:hAnsi="Garamond"/>
          <w:i/>
          <w:iCs/>
          <w:color w:val="000000"/>
          <w:lang w:val="en-GB"/>
        </w:rPr>
        <w:t>in latenter Form oder unbewußt</w:t>
      </w:r>
      <w:r w:rsidRPr="008725BE">
        <w:rPr>
          <w:rFonts w:ascii="Garamond" w:hAnsi="Garamond"/>
          <w:color w:val="000000"/>
          <w:lang w:val="en-GB"/>
        </w:rPr>
        <w:t xml:space="preserve"> vorhanden war, bis der gegebene Moment kam, in dem er dann bewußt geworden ist. Aber nicht in seiner Gänze ist er im Bewußtsein aufgetaucht, sondern nur die Vorstellung des auszuführenden Aktes. Alle anderen mit dieser Vorstellung assoziierten Ideen –; der Auftrag, der Einfluß des Arztes, die Erinnerung an den hypnotischen Zustand –;, blieben auch dann noch unbewußt.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können aber aus einem solchen Experiment noch mehr lernen. Wir werden von einer rein beschreibenden zu einer </w:t>
      </w:r>
      <w:r w:rsidRPr="008725BE">
        <w:rPr>
          <w:rFonts w:ascii="Garamond" w:hAnsi="Garamond"/>
          <w:i/>
          <w:iCs/>
          <w:color w:val="000000"/>
          <w:lang w:val="en-GB"/>
        </w:rPr>
        <w:t>dynamischen</w:t>
      </w:r>
      <w:r w:rsidRPr="008725BE">
        <w:rPr>
          <w:rFonts w:ascii="Garamond" w:hAnsi="Garamond"/>
          <w:color w:val="000000"/>
          <w:lang w:val="en-GB"/>
        </w:rPr>
        <w:t xml:space="preserve"> Auffassung des Phänomens hinübergeleitet. Die Idee der in der Hypnose aufgetragenen Handlung wurde in einem bestimmten Augenblick nicht bloß ein Objekt des Bewußtseins, sondern sie wurde auch </w:t>
      </w:r>
      <w:r w:rsidRPr="008725BE">
        <w:rPr>
          <w:rFonts w:ascii="Garamond" w:hAnsi="Garamond"/>
          <w:i/>
          <w:iCs/>
          <w:color w:val="000000"/>
          <w:lang w:val="en-GB"/>
        </w:rPr>
        <w:t>wirksam</w:t>
      </w:r>
      <w:r w:rsidRPr="008725BE">
        <w:rPr>
          <w:rFonts w:ascii="Garamond" w:hAnsi="Garamond"/>
          <w:color w:val="000000"/>
          <w:lang w:val="en-GB"/>
        </w:rPr>
        <w:t>, und dies ist die auffallendere Seite des Tatbestandes; sie wurde in Handlung übertragen, sobald das Bewußtsein ihre Gegenwart bemerkt hatte. Da der wirkliche Antrieb zum Handeln der Auftrag des Arztes ist, kann man kaum anders als einräumen, daß auch die Idee des Auftrages wirksam geworden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Dennoch wurde dieser letztere Gedanke nicht ins Bewußtsein aufgenommen, wie es mit seinem Abkömmling, der Idee der Handlung, geschah; er verblieb unbewußt und war daher gleichzeitig </w:t>
      </w:r>
      <w:r w:rsidRPr="008725BE">
        <w:rPr>
          <w:rFonts w:ascii="Garamond" w:hAnsi="Garamond"/>
          <w:i/>
          <w:iCs/>
          <w:color w:val="000000"/>
          <w:lang w:val="en-GB"/>
        </w:rPr>
        <w:t>wirksam</w:t>
      </w:r>
      <w:r w:rsidRPr="008725BE">
        <w:rPr>
          <w:rFonts w:ascii="Garamond" w:hAnsi="Garamond"/>
          <w:color w:val="000000"/>
          <w:lang w:val="en-GB"/>
        </w:rPr>
        <w:t xml:space="preserve"> und </w:t>
      </w:r>
      <w:r w:rsidRPr="008725BE">
        <w:rPr>
          <w:rFonts w:ascii="Garamond" w:hAnsi="Garamond"/>
          <w:i/>
          <w:iCs/>
          <w:color w:val="000000"/>
          <w:lang w:val="en-GB"/>
        </w:rPr>
        <w:t>unbewußt</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posthypnotische Suggestion ist ein Produkt des Laboratoriums, eine künstlich geschaffene Tatsache. Aber wenn wir die Theorie der hysterischen Phänomene, die zuerst durch P. Janet aufgestellt und von Breuer und mir ausgearbeitet wurde, annehmen, so stehen uns natürliche Tatsachen in Fülle zur </w:t>
      </w:r>
      <w:r w:rsidRPr="008725BE">
        <w:rPr>
          <w:rFonts w:ascii="Garamond" w:hAnsi="Garamond"/>
          <w:color w:val="000000"/>
          <w:lang w:val="en-GB"/>
        </w:rPr>
        <w:lastRenderedPageBreak/>
        <w:t>Verfügung, die den psychologischen Charakter der posthypnotischen Suggestion sogar noch klarer und deutlicher zeigen.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Seelenleben des hysterischen Patienten ist erfüllt mit wirksamen, aber unbewußten Gedanken; von ihnen stammen alle Symptome ab. Es ist in der Tat der auffälligste Charakterzug der hysterischen Geistesverfassung, daß sie von unbewußten Vorstellungen beherrscht wird. Wenn eine hysterische Frau erbricht, so kann sie dies wohl infolge der Idee tun, daß sie schwanger sei. Dennoch hat sie von dieser Idee keine Kenntnis, obwohl dieselbe durch eine der technischen Prozeduren der Psychoanalyse leicht in ihrem Seelenleben entdeckt und für sie bewußtgemacht werden kann. Wenn sie die Zuckungen und Gesten ausführt, die ihren »Anfall« ausmachen, so stellt sie sich nicht einmal die von ihr beabsichtigten Aktionen bewußt vor und beobachtet sie vielleicht mit den Gefühlen eines unbeteiligten Zuschauers. Nichtsdestoweniger vermag die Analyse nachzuweisen, daß sie ihre Rolle in der dramatischen Wiedergabe einer Szene aus ihrem Leben spielte, deren Erinnerung während der Attacke unbewußt wirksam war. Dasselbe Vorwalten wirksamer unbewußter Ideen wird durch die Analyse als das Wesentliche in der Psychologie aller anderen Formen von Neurose enthüllt.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lernen also aus der Analyse neurotischer Phänomene, daß ein latenter oder unbewußter Gedanke nicht notwendigerweise schwach sein muß und daß die Anwesenheit eines solchen Gedankens im Seelenleben indirekte Beweise der zwingendsten Art gestattet, die dem direkten, durch das Bewußtsein gelieferten Beweis fast gleichwertig sind. Wir fühlen uns gerechtfertigt, unsere Klassifikation mit dieser Vermehrung unserer Kenntnisse in Übereinstimmung zu bringen, indem wir eine grundlegende Unterscheidung zwischen verschiedenen Arten von latenten und unbewußten Gedanken einführen. Wir waren gewohnt zu denken, daß jeder latente Gedanke dies infolge seiner Schwäche war und daß er bewußt wurde, sowie er Kraft erhielt. Wir haben nun die Überzeugung gewonnen, daß es gewisse latente Gedanken gibt, die nicht ins Bewußtsein eindringen, wie stark sie auch sein mögen. Wir wollen daher die latenten Gedanken der ersten Gruppe </w:t>
      </w:r>
      <w:r w:rsidRPr="008725BE">
        <w:rPr>
          <w:rFonts w:ascii="Garamond" w:hAnsi="Garamond"/>
          <w:i/>
          <w:iCs/>
          <w:color w:val="000000"/>
          <w:lang w:val="en-GB"/>
        </w:rPr>
        <w:t>vorbewußt</w:t>
      </w:r>
      <w:r w:rsidRPr="008725BE">
        <w:rPr>
          <w:rFonts w:ascii="Garamond" w:hAnsi="Garamond"/>
          <w:color w:val="000000"/>
          <w:lang w:val="en-GB"/>
        </w:rPr>
        <w:t xml:space="preserve"> nennen, während wir den Ausdruck </w:t>
      </w:r>
      <w:r w:rsidRPr="008725BE">
        <w:rPr>
          <w:rFonts w:ascii="Garamond" w:hAnsi="Garamond"/>
          <w:i/>
          <w:iCs/>
          <w:color w:val="000000"/>
          <w:lang w:val="en-GB"/>
        </w:rPr>
        <w:t>unbewußt</w:t>
      </w:r>
      <w:r w:rsidRPr="008725BE">
        <w:rPr>
          <w:rFonts w:ascii="Garamond" w:hAnsi="Garamond"/>
          <w:color w:val="000000"/>
          <w:lang w:val="en-GB"/>
        </w:rPr>
        <w:t xml:space="preserve"> (im eigentlichen Sinne) für die zweite Gruppe reservieren, die wir bei den Neurosen betrachtet haben. Der Ausdruck </w:t>
      </w:r>
      <w:r w:rsidRPr="008725BE">
        <w:rPr>
          <w:rFonts w:ascii="Garamond" w:hAnsi="Garamond"/>
          <w:i/>
          <w:iCs/>
          <w:color w:val="000000"/>
          <w:lang w:val="en-GB"/>
        </w:rPr>
        <w:t>unbewußt</w:t>
      </w:r>
      <w:r w:rsidRPr="008725BE">
        <w:rPr>
          <w:rFonts w:ascii="Garamond" w:hAnsi="Garamond"/>
          <w:color w:val="000000"/>
          <w:lang w:val="en-GB"/>
        </w:rPr>
        <w:t>, den wir bisher bloß im beschreibenden Sinne benützt haben, erhält jetzt eine erweiterte Bedeutung. Er bezeichnet nicht bloß latente Gedanken im allgemeinen, sondern besonders solche mit einem bestimmten dynamischen Charakter, nämlich diejenigen, die sich trotz ihrer Intensität und Wirksamkeit dem Bewußtsein fernehalten.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Ehe ich meine Auseinandersetzungen fortführe, will ich auf zwei Einwendungen Bezug nehmen, die sich voraussichtlich an diesem Punkte erheben. Die erste kann folgendermaßen formuliert werden: Anstatt uns die Hypothese der unbewußten Gedanken, von denen wir nichts wissen, anzueignen, täten wir besser anzunehmen, daß das Bewußtsein geteilt werden kann, so daß einzelne Gedanken oder andere Seelenvorgänge ein gesondertes Bewußtsein bilden können, das von der Hauptmasse bewußter psychischer Tätigkeit losgelöst und ihr entfremdet wurde. Wohlbekannte pathologische Fälle, wie jener des Dr. Azam, scheinen sehr geeignet zu sein zu beweisen, daß die Teilung des Bewußtseins keine phantastische Einbildung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gestatte mir, dieser Theorie entgegenzuhalten, daß sie einfach aus dem Mißbrauch mit dem Worte »bewußt« Kapital schlägt. Wir haben kein Recht, den Sinn dieses Wortes so weit auszudehnen, daß damit auch ein Bewußtsein bezeichnet werden kann, von dem sein Besitzer nichts weiß. Wenn Philosophen eine Schwierigkeit darin finden, an die Existenz eines unbewußten Gedankens zu glauben, so scheint mir die Existenz eines unbewußten Bewußtseins noch angreifbarer. Die Fälle, die man als Teilung des Bewußtseins beschreibt, wie der des Dr. Azam, können besser als Wandern des Bewußtseins angesehen werden, wobei diese Funktion –; oder was immer es sein mag –; zwischen zwei verschiedenen psychischen Komplexen hin- und herschwankt, die abwechselnd bewußt und unbewußt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andere Einwand, der voraussichtlich erhoben werden wird, wäre der, daß wir auf die Psychologie der Normalen Folgerungen anwenden, die hauptsächlich aus dem Studium pathologischer Zustände stammen. Wir können ihn durch eine Tatsache erledigen, deren Kenntnis wir der Psychoanalyse verdanken. Gewisse Funktionsstörungen, die sich bei Gesunden höchst häufig ereignen, z. B. </w:t>
      </w:r>
      <w:r w:rsidRPr="008725BE">
        <w:rPr>
          <w:rFonts w:ascii="Garamond" w:hAnsi="Garamond"/>
          <w:i/>
          <w:iCs/>
          <w:color w:val="000000"/>
          <w:lang w:val="en-GB"/>
        </w:rPr>
        <w:t>Lapsus linguae</w:t>
      </w:r>
      <w:r w:rsidRPr="008725BE">
        <w:rPr>
          <w:rFonts w:ascii="Garamond" w:hAnsi="Garamond"/>
          <w:color w:val="000000"/>
          <w:lang w:val="en-GB"/>
        </w:rPr>
        <w:t>, Gedächtnis- und Sprachirrtümer, Namenvergessen usw., können leicht auf die Wirksamkeit starker unbewußter Gedanken zurückgeführt werden, geradeso wie die neurotischen Symptome. Wir werden mit einem zweiten, noch überzeugenderen Argument in einem späteren Abschnitt dieser Erörterung zusammentreffen.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Durch die Auseinanderhaltung vorbewußter und unbewußter Gedanken werden wir dazu veranlaßt, das Gebiet der Klassifikation zu verlassen und uns über die funktionalen und dynamischen Relationen in der Tätigkeit der Psyche eine Meinung zu bilden. Wir fanden ein </w:t>
      </w:r>
      <w:r w:rsidRPr="008725BE">
        <w:rPr>
          <w:rFonts w:ascii="Garamond" w:hAnsi="Garamond"/>
          <w:i/>
          <w:iCs/>
          <w:color w:val="000000"/>
          <w:lang w:val="en-GB"/>
        </w:rPr>
        <w:t>wirksames Vorbewußtes</w:t>
      </w:r>
      <w:r w:rsidRPr="008725BE">
        <w:rPr>
          <w:rFonts w:ascii="Garamond" w:hAnsi="Garamond"/>
          <w:color w:val="000000"/>
          <w:lang w:val="en-GB"/>
        </w:rPr>
        <w:t xml:space="preserve">, das ohne Schwierigkeit </w:t>
      </w:r>
      <w:r w:rsidRPr="008725BE">
        <w:rPr>
          <w:rFonts w:ascii="Garamond" w:hAnsi="Garamond"/>
          <w:color w:val="000000"/>
          <w:lang w:val="en-GB"/>
        </w:rPr>
        <w:lastRenderedPageBreak/>
        <w:t xml:space="preserve">ins Bewußtsein übergeht, und ein </w:t>
      </w:r>
      <w:r w:rsidRPr="008725BE">
        <w:rPr>
          <w:rFonts w:ascii="Garamond" w:hAnsi="Garamond"/>
          <w:i/>
          <w:iCs/>
          <w:color w:val="000000"/>
          <w:lang w:val="en-GB"/>
        </w:rPr>
        <w:t>wirksames Unbewußtes</w:t>
      </w:r>
      <w:r w:rsidRPr="008725BE">
        <w:rPr>
          <w:rFonts w:ascii="Garamond" w:hAnsi="Garamond"/>
          <w:color w:val="000000"/>
          <w:lang w:val="en-GB"/>
        </w:rPr>
        <w:t>, das unbewußt bleibt und vom Bewußtsein abgeschnitten zu sein scheint.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wissen nicht, ob diese zwei Arten psychischer Tätigkeit von Anfang an identisch oder ihrem Wesen nach entgegengesetzt sind, aber wir können uns fragen, warum sie im Verlaufe der psychischen Vorgänge verschieden geworden sein sollten. </w:t>
      </w:r>
      <w:r w:rsidRPr="008725BE">
        <w:rPr>
          <w:rFonts w:ascii="Garamond" w:hAnsi="Garamond"/>
          <w:color w:val="000000"/>
        </w:rPr>
        <w:t xml:space="preserve">Auf diese Frage gibt uns die Psychoanalyse ohne Zögern klare Antwort. Es ist dem Erzeugnis des wirksamen Unbewußten keineswegs unmöglich, ins Bewußtsein einzudringen, aber zu dieser Leistung ist ein gewisser Aufwand von Anstrengung notwendig. Wenn wir es an uns selbst versuchen, erhalten wir das deutliche Gefühl einer </w:t>
      </w:r>
      <w:r w:rsidRPr="008725BE">
        <w:rPr>
          <w:rFonts w:ascii="Garamond" w:hAnsi="Garamond"/>
          <w:i/>
          <w:iCs/>
          <w:color w:val="000000"/>
        </w:rPr>
        <w:t>Abwehr</w:t>
      </w:r>
      <w:r w:rsidRPr="008725BE">
        <w:rPr>
          <w:rFonts w:ascii="Garamond" w:hAnsi="Garamond"/>
          <w:color w:val="000000"/>
        </w:rPr>
        <w:t xml:space="preserve">, die bewältigt werden muß, und wenn wir es bei einem Patienten hervorrufen, so erhalten wir die unzweideutigsten Anzeichen von dem, was wir </w:t>
      </w:r>
      <w:r w:rsidRPr="008725BE">
        <w:rPr>
          <w:rFonts w:ascii="Garamond" w:hAnsi="Garamond"/>
          <w:i/>
          <w:iCs/>
          <w:color w:val="000000"/>
        </w:rPr>
        <w:t>Widerstand</w:t>
      </w:r>
      <w:r w:rsidRPr="008725BE">
        <w:rPr>
          <w:rFonts w:ascii="Garamond" w:hAnsi="Garamond"/>
          <w:color w:val="000000"/>
        </w:rPr>
        <w:t xml:space="preserve"> dagegen nennen. So lernen wir, daß der unbewußte Gedanke vom Bewußtsein durch lebendige Kräfte ausgeschlossen wird, die sich seiner Aufnahme entgegenstellen, während sie anderen Gedanken, den vorbewußten, nichts in den Weg legen. Die Psychoanalyse läßt keine Möglichkeit übrig, daran zu zweifeln, daß die Abweisung unbewußter Gedanken bloß durch die in ihrem Inhalt verkörperten Tendenzen hervorgerufen wird. Die nächstliegende und wahrscheinlichste Theorie, die wir in diesem Stadium unseres Wissens bilden können, ist die folgende: Das Unbewußte ist eine regelmäßige und unvermeidliche Phase in den Vorgängen, die unsere psychische Tätigkeit begründen; jeder psychische Akt beginnt als unbewußter und kann entweder so bleiben oder sich weiterentwickelnd zum Bewußtsein fortschreiten, je nachdem, ob er auf Widerstand trifft oder nicht. Die Unterscheidung zwischen vorbewußter und unbewußter Tätigkeit ist keine primäre, sondern wird erst hergestellt, nachdem die »Abwehr« ins Spiel getreten ist. Erst dann gewinnt der Unterschied zwischen vorbewußten Gedanken, die im Bewußtsein erscheinen und jederzeit dahin zurückkehren können, und unbewußten Gedanken, denen dies versagt bleibt, theoretischen sowie praktischen Wert. Eine grobe, aber ziemlich angemessene Analogie dieses supponierten Verhältnisses der bewußten Tätigkeit zur unbewußten bietet das Gebiet der gewöhnlichen Photographie. </w:t>
      </w:r>
      <w:r w:rsidRPr="008725BE">
        <w:rPr>
          <w:rFonts w:ascii="Garamond" w:hAnsi="Garamond"/>
          <w:color w:val="000000"/>
          <w:lang w:val="en-GB"/>
        </w:rPr>
        <w:t>Das erste Stadium der Photographie ist das Negativ; jedes photographische Bild muß den »Negativprozeß« durchmachen, und einige dieser Negative, die in der Prüfung gut bestanden haben, werden zu dem »Positivprozeß« zugelassen, der mit dem Bilde endigt.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Aber die Unterscheidung zwischen vorbewußter und unbewußter Tätigkeit und die Erkenntnis der sie trennenden Schranke ist weder das letzte noch das bedeutungsvollste Resultat der psychoanalytischen Durchforschung des Seelenlebens. Es gibt ein psychisches Produkt, das bei den normalsten Personen anzutreffen ist und doch eine höchst auffallende Analogie zu den wildesten Erzeugnissen des Wahnsinns bietet und den Philosophen nicht verständlicher war als der Wahnsinn selbst. Ich meine die Träume. Die Psychoanalyse gründet sich auf die Traumanalyse; die Traumdeutung ist das vollständigste Stück Arbeit, das die junge Wissenschaft bis heute geleistet hat. Ein typischer Fall der Traumbildung kann folgendermaßen beschrieben werden: Ein Gedankenzug ist durch die geistige Tätigkeit des Tages wachgerufen worden und hat etwas von seiner Wirkungsfähigkeit zurückbehalten, durch die er dem allgemeinen Absinken des Interesses, welches den Schlaf herbeiführt und die geistige Vorbereitung für das Schlafen bildet, entgangen ist. Während der Nacht gelingt es diesem Gedankenzug, die Verbindung zu einem der unbewußten Wünsche zu finden, die von Kindheit an im Seelenleben des Träumers immer gegenwärtig, aber für gewöhnlich </w:t>
      </w:r>
      <w:r w:rsidRPr="008725BE">
        <w:rPr>
          <w:rFonts w:ascii="Garamond" w:hAnsi="Garamond"/>
          <w:i/>
          <w:iCs/>
          <w:color w:val="000000"/>
          <w:lang w:val="en-GB"/>
        </w:rPr>
        <w:t>verdrängt</w:t>
      </w:r>
      <w:r w:rsidRPr="008725BE">
        <w:rPr>
          <w:rFonts w:ascii="Garamond" w:hAnsi="Garamond"/>
          <w:color w:val="000000"/>
          <w:lang w:val="en-GB"/>
        </w:rPr>
        <w:t xml:space="preserve"> und von seinem bewußten Dasein ausgeschlossen sind. Durch die von dieser unbewußten Unterstützung geliehene Kraft können die Gedanken, die Überbleibsel der Tagesarbeit, nun wiederum wirksam werden und im Bewußtsein in der Gestalt eines Traumes auftauchen. Es haben sich also dreierlei Dinge ereignet: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1) die Gedanken haben eine Verwandlung, Verkleidung und Entstellung durchgemacht, welche den Anteil des unbewußten Bundesgenossen darstellt;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2) den Gedanken ist es gelungen, das Bewußtsein zu einer Zeit zu besetzen, wo es ihnen nicht zugänglich hätte sein sollen;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3) ein Stück des Unbewußten, dem dies sonst unmöglich gewesen wäre, ist im Bewußtsein aufgetaucht.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haben die Kunst gelernt, die » </w:t>
      </w:r>
      <w:r w:rsidRPr="008725BE">
        <w:rPr>
          <w:rFonts w:ascii="Garamond" w:hAnsi="Garamond"/>
          <w:i/>
          <w:iCs/>
          <w:color w:val="000000"/>
          <w:lang w:val="en-GB"/>
        </w:rPr>
        <w:t>Tagesreste</w:t>
      </w:r>
      <w:r w:rsidRPr="008725BE">
        <w:rPr>
          <w:rFonts w:ascii="Garamond" w:hAnsi="Garamond"/>
          <w:color w:val="000000"/>
          <w:lang w:val="en-GB"/>
        </w:rPr>
        <w:t xml:space="preserve">«: und die </w:t>
      </w:r>
      <w:r w:rsidRPr="008725BE">
        <w:rPr>
          <w:rFonts w:ascii="Garamond" w:hAnsi="Garamond"/>
          <w:i/>
          <w:iCs/>
          <w:color w:val="000000"/>
          <w:lang w:val="en-GB"/>
        </w:rPr>
        <w:t>latenten Traumgedanken</w:t>
      </w:r>
      <w:r w:rsidRPr="008725BE">
        <w:rPr>
          <w:rFonts w:ascii="Garamond" w:hAnsi="Garamond"/>
          <w:color w:val="000000"/>
          <w:lang w:val="en-GB"/>
        </w:rPr>
        <w:t xml:space="preserve"> herauszufinden; durch ihren Vergleich mit dem </w:t>
      </w:r>
      <w:r w:rsidRPr="008725BE">
        <w:rPr>
          <w:rFonts w:ascii="Garamond" w:hAnsi="Garamond"/>
          <w:i/>
          <w:iCs/>
          <w:color w:val="000000"/>
          <w:lang w:val="en-GB"/>
        </w:rPr>
        <w:t>manifesten Trauminhalt</w:t>
      </w:r>
      <w:r w:rsidRPr="008725BE">
        <w:rPr>
          <w:rFonts w:ascii="Garamond" w:hAnsi="Garamond"/>
          <w:color w:val="000000"/>
          <w:lang w:val="en-GB"/>
        </w:rPr>
        <w:t xml:space="preserve"> sind wir befähigt, uns ein Urteil über die Wandlungen, die sie durchgemacht haben, und über die Art und Weise, wie diese zustande gekommen sind, zu bilden.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latenten Traumgedanken unterscheiden sich in keiner Weise von den Erzeugnissen unserer gewöhnlichen bewußten Seelentätigkeit. Sie verdienen den Namen von vorbewußten Gedanken und können in der Tat in einem Zeitpunkte des Wachlebens bewußt gewesen sein. Aber durch die Verbindung mit den unbewußten Strebungen, die sie während der Nacht eingegangen sind, wurden sie den letzteren assimiliert, gewissermaßen auf den Zustand unbewußter Gedanken herabgedrückt und den Gesetzen, durch welche die unbewußte Tätigkeit geregelt wird, unterworfen. Hier ergibt sich die Gelegenheit zu </w:t>
      </w:r>
      <w:r w:rsidRPr="008725BE">
        <w:rPr>
          <w:rFonts w:ascii="Garamond" w:hAnsi="Garamond"/>
          <w:color w:val="000000"/>
          <w:lang w:val="en-GB"/>
        </w:rPr>
        <w:lastRenderedPageBreak/>
        <w:t xml:space="preserve">lernen, was wir auf Grund von Überlegungen oder aus irgendeiner anderen Quelle empirischen Wissens nicht hätten erraten können, daß die Gesetze der unbewußten Seelentätigkeit sich im weiten Ausmaß von jenen der bewußten unterscheiden. Wir gewinnen durch Detailarbeit die Kenntnis der Eigentümlichkeiten des </w:t>
      </w:r>
      <w:r w:rsidRPr="008725BE">
        <w:rPr>
          <w:rFonts w:ascii="Garamond" w:hAnsi="Garamond"/>
          <w:i/>
          <w:iCs/>
          <w:color w:val="000000"/>
          <w:lang w:val="en-GB"/>
        </w:rPr>
        <w:t>Unbewußten</w:t>
      </w:r>
      <w:r w:rsidRPr="008725BE">
        <w:rPr>
          <w:rFonts w:ascii="Garamond" w:hAnsi="Garamond"/>
          <w:color w:val="000000"/>
          <w:lang w:val="en-GB"/>
        </w:rPr>
        <w:t xml:space="preserve"> und können hoffen, daß wir durch gründlichere Erforschung der Vorgänge bei der Traumbildung noch mehr lernen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Untersuchung ist noch kaum zur Hälfte beendet, und eine Darlegung der bis jetzt erhaltenen Resultate ist nicht möglich, ohne in die höchst verwickelten Probleme der Traumdeutung einzugehen. Aber ich wollte diese Erörterung nicht abbrechen, ohne auf die Wandlung und den Fortschritt unseres Verständnisses des Unbewußten hinzuweisen, welche wir dem psychoanalytischen Studium der Träume verdanken.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Unbewußte schien uns anfangs bloß ein rätselhafter Charakter eines bestimmten psychischen Vorganges; nun bedeutet es uns mehr, es ist ein Anzeichen dafür, daß dieser Vorgang an der Natur einer gewissen psychischen Kategorie teilnimmt, die uns durch andere, bedeutsamere Charakterzüge bekannt ist, und daß er zu einem System psychischer Tätigkeit gehört, das unsere vollste Aufmerksamkeit verdient. Der Wert des Unbewußten als Index hat seine Bedeutung als Eigenschaft bei weitem hinter sich gelassen. Das System, welches sich uns durch das Kennzeichen kundgibt, daß die einzelnen Vorgänge, die es zusammensetzen, unbewußt sind, belegen wir mit dem Namen »das Unbewußte«, in Ermangelung eines besseren und weniger zweideutigen Ausdruckes. Ich schlage als Bezeichnung dieses Systems die Buchstaben » </w:t>
      </w:r>
      <w:r w:rsidRPr="008725BE">
        <w:rPr>
          <w:rFonts w:ascii="Garamond" w:hAnsi="Garamond"/>
          <w:i/>
          <w:iCs/>
          <w:color w:val="000000"/>
          <w:lang w:val="en-GB"/>
        </w:rPr>
        <w:t>Ubw</w:t>
      </w:r>
      <w:r w:rsidRPr="008725BE">
        <w:rPr>
          <w:rFonts w:ascii="Garamond" w:hAnsi="Garamond"/>
          <w:color w:val="000000"/>
          <w:lang w:val="en-GB"/>
        </w:rPr>
        <w:t>«, eine Abkürzung des Wortes »Unbewußt« vor.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Dies ist der dritte und wichtigste Sinn, den der Ausdruck » </w:t>
      </w:r>
      <w:r w:rsidRPr="008725BE">
        <w:rPr>
          <w:rFonts w:ascii="Garamond" w:hAnsi="Garamond"/>
          <w:i/>
          <w:iCs/>
          <w:color w:val="000000"/>
          <w:lang w:val="en-GB"/>
        </w:rPr>
        <w:t>unbewußt</w:t>
      </w:r>
      <w:r w:rsidRPr="008725BE">
        <w:rPr>
          <w:rFonts w:ascii="Garamond" w:hAnsi="Garamond"/>
          <w:color w:val="000000"/>
          <w:lang w:val="en-GB"/>
        </w:rPr>
        <w:t>« in der Psychoanalyse erworben hat.</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Ei</w:t>
        </w:r>
        <w:bookmarkStart w:id="169" w:name="KS34"/>
        <w:bookmarkEnd w:id="169"/>
        <w:r w:rsidRPr="008725BE">
          <w:rPr>
            <w:rStyle w:val="Lienhypertexte"/>
            <w:rFonts w:ascii="Garamond" w:hAnsi="Garamond" w:cs="Arial"/>
            <w:b/>
            <w:bCs/>
            <w:lang w:val="en-GB"/>
          </w:rPr>
          <w:t>nige Charaktertypen aus der psychoanalytischen Arbeit</w:t>
        </w:r>
      </w:hyperlink>
      <w:r w:rsidRPr="008725BE">
        <w:rPr>
          <w:rFonts w:ascii="Garamond" w:hAnsi="Garamond"/>
          <w:color w:val="000000"/>
          <w:lang w:val="en-GB"/>
        </w:rPr>
        <w:t xml:space="preserve">  </w:t>
      </w:r>
      <w:r w:rsidRPr="008725BE">
        <w:rPr>
          <w:rFonts w:ascii="Garamond" w:hAnsi="Garamond"/>
          <w:caps/>
          <w:color w:val="000000"/>
          <w:lang w:val="en-GB"/>
        </w:rPr>
        <w:t>(1916)</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der Arzt die psychoanalytische Behandlung eines Nervösen durchführt, so ist sein Interesse keineswegs in erster Linie auf dessen Charakter gerichtet. Er möchte viel eher wissen, was seine Symptome bedeuten, welche Triebregungen sich hinter ihnen verbergen und durch sie befriedigen, und über welche Stationen der geheimnisvolle Weg von jenen Triebwünschen zu diesen Symptomen geführt hat. Aber die Technik, der er folgen muß, nötigt den Arzt bald, seine Wißbegierde vorerst auf andere Objekte zu richten. Er bemerkt, daß seine Forschung durch Widerstände bedroht wird, die ihm der Kranke entgegensetzt, und darf diese Widerstände dem Charakter des Kranken zurechnen. Nun hat dieser Charakter den ersten Anspruch an sein Interesse.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Was sich der Bemühung des Arztes widersetzt, sind nicht immer die Charakterzüge, zu denen sich der Kranke bekennt und die ihm von seiner Umgebung zugesprochen werden. Oft zeigen sich Eigenschaften des Kranken bis zu ungeahnten Intensitäten gesteigert, von denen er nur ein bescheidenes Maß zu besitzen schien, oder es kommen Einstellungen bei ihm zum Vorschein, die sich in anderen Beziehungen des Lebens nicht verraten hatten. Mit der Beschreibung und Zurückführung einiger von diesen überraschenden Charakterzügen werden sich die nachstehenden Zeilen beschäftigen.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 Die Ausnahmen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psychoanalytische Arbeit sieht sich immer wieder vor die Aufgabe gestellt, den Kranken zum Verzicht auf einen naheliegenden und unmittelbaren Lustgewinn zu bewegen. Er soll nicht auf Lust überhaupt verzichten; das kann man vielleicht keinem Menschen zumuten, und selbst die Religion muß ihre Forderung, irdische Lust fahrenzulassen, mit dem Versprechen begründen, dafür ein ungleich höheres Maß von wertvollerer Lust in einem Jenseits zu gewähren. Nein, der Kranke soll bloß auf solche Befriedigungen verzichten, denen eine Schädigung unfehlbar nachfolgt, er soll bloß zeitweilig entbehren, nur den unmittelbaren Lustgewinn gegen einen besser gesicherten, wenn auch aufgeschobenen, eintauschen lernen. Oder mit anderen Worten, er soll unter der ärztlichen Leitung </w:t>
      </w:r>
      <w:r w:rsidRPr="008725BE">
        <w:rPr>
          <w:rFonts w:ascii="Garamond" w:hAnsi="Garamond"/>
          <w:i/>
          <w:iCs/>
          <w:color w:val="000000"/>
          <w:lang w:val="en-GB"/>
        </w:rPr>
        <w:t>jenen Fortschritt vom Lustprinzip zum Realitätsprinzip</w:t>
      </w:r>
      <w:r w:rsidRPr="008725BE">
        <w:rPr>
          <w:rFonts w:ascii="Garamond" w:hAnsi="Garamond"/>
          <w:color w:val="000000"/>
          <w:lang w:val="en-GB"/>
        </w:rPr>
        <w:t xml:space="preserve"> machen, durch welchen sich der reife Mann vom Kinde scheidet. Bei diesem Erziehungswerk spielt die bessere Einsicht des Arztes kaum eine entscheidende Rolle; er weiß ja in der Regel dem Kranken nichts anderes zu sagen, als was diesem sein eigener Verstand sagen kann. Aber es ist nicht dasselbe, etwas bei sich zu wissen und dasselbe von anderer Seite zu hören; der Arzt übernimmt die Rolle dieses wirksamen anderen; er bedient sich des Einflusses, den ein Mensch auf den anderen ausübt. Oder: erinnern wir uns daran, daß es in der Psychoanalyse üblich ist, das Ursprüngliche und Wurzelhafte anstelle des Abgeleiteten und Gemilderten einzusetzen, und sagen wir, der Arzt bedient sich bei seinem Erziehungswerk irgendeiner Komponente der </w:t>
      </w:r>
      <w:r w:rsidRPr="008725BE">
        <w:rPr>
          <w:rFonts w:ascii="Garamond" w:hAnsi="Garamond"/>
          <w:i/>
          <w:iCs/>
          <w:color w:val="000000"/>
          <w:lang w:val="en-GB"/>
        </w:rPr>
        <w:t>Liebe</w:t>
      </w:r>
      <w:r w:rsidRPr="008725BE">
        <w:rPr>
          <w:rFonts w:ascii="Garamond" w:hAnsi="Garamond"/>
          <w:color w:val="000000"/>
          <w:lang w:val="en-GB"/>
        </w:rPr>
        <w:t>. Er wiederholt bei solcher Nacherziehung wahrscheinlich nur den Vorgang, der überhaupt die erste Erziehung ermöglicht hat. Neben der Lebensnot ist die Liebe die große Erzieherin, und der unfertige Mensch wird durch die Liebe der ihm Nächsten dazu bewogen, auf die Gebote der Not zu achten und sich die Strafen für deren Übertretung zu ersparen.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Fordert man so von den Kranken einen vorläufigen Verzicht auf irgendeine Lustbefriedigung, ein Opfer, eine Bereitwilligkeit, zeitweilig für ein besseres Ende Leiden auf sich zu nehmen, oder auch nur den Entschluß, sich einer für alle geltenden Notwendigkeit zu unterwerfen, so stößt man auf einzelne Personen, die sich mit einer besonderen Motivierung gegen solche Zumutung sträuben. Sie sagen, sie haben genug gelitten und entbehrt, sie haben Anspruch darauf, von weiteren Anforderungen verschont zu werden, sie unterwerfen sich keiner unliebsamen Notwendigkeit mehr, denn sie seien </w:t>
      </w:r>
      <w:r w:rsidRPr="008725BE">
        <w:rPr>
          <w:rFonts w:ascii="Garamond" w:hAnsi="Garamond"/>
          <w:i/>
          <w:iCs/>
          <w:color w:val="000000"/>
          <w:lang w:val="en-GB"/>
        </w:rPr>
        <w:t>Ausnahmen</w:t>
      </w:r>
      <w:r w:rsidRPr="008725BE">
        <w:rPr>
          <w:rFonts w:ascii="Garamond" w:hAnsi="Garamond"/>
          <w:color w:val="000000"/>
          <w:lang w:val="en-GB"/>
        </w:rPr>
        <w:t xml:space="preserve"> und gedenken es auch zu bleiben. Bei einem Kranken solcher Art war dieser Anspruch zu der Überzeugung gesteigert, daß eine besondere Vorsehung über ihn wache, die ihn vor derartigen schmerzlichen Opfern bewahren werde. Gegen innere Sicherheiten, die sich mit solcher Stärke äußern, richten die Argumente des Arztes nichts aus, aber auch sein Einfluß versagt zunächst, und er wird darauf hingewiesen, den Quellen nachzuspüren, aus welchen das schädliche Vorurteil gespeist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Nun ist es wohl unzweifelhaft, daß ein jeder sich für eine »Ausnahme« ausgeben und Vorrechte vor den anderen beanspruchen möchte. Aber gerade darum bedarf es einer besonderen und nicht überall vorfindlichen Begründung, wenn er sich wirklich als Ausnahme verkündet und benimmt. Es mag mehr als nur eine solche Begründung geben; in den von mir untersuchten Fällen gelang es, eine gemeinsame Eigentümlichkeit der Kranken in deren </w:t>
      </w:r>
      <w:r w:rsidRPr="008725BE">
        <w:rPr>
          <w:rFonts w:ascii="Garamond" w:hAnsi="Garamond"/>
          <w:i/>
          <w:iCs/>
          <w:color w:val="000000"/>
          <w:lang w:val="en-GB"/>
        </w:rPr>
        <w:t>früheren Lebensschicksalen</w:t>
      </w:r>
      <w:r w:rsidRPr="008725BE">
        <w:rPr>
          <w:rFonts w:ascii="Garamond" w:hAnsi="Garamond"/>
          <w:color w:val="000000"/>
          <w:lang w:val="en-GB"/>
        </w:rPr>
        <w:t xml:space="preserve"> nachzuweisen: Ihre Neurose knüpfte an ein Erlebnis oder an ein Leiden an, das sie in den ersten Kinderzeiten betroffen hatte, an dem sie sich unschuldig wußten und das sie als eine ungerechte Benachteiligung ihrer Person bewerten konnten. Die Vorrechte, die sie aus diesem Unrecht ableiteten, und die Unbotmäßigkeit, die sich daraus ergab, hatten nicht wenig dazu beigetragen, um die Konflikte, die später zum Ausbruch der Neurose führten, zu </w:t>
      </w:r>
      <w:r w:rsidRPr="008725BE">
        <w:rPr>
          <w:rFonts w:ascii="Garamond" w:hAnsi="Garamond"/>
          <w:color w:val="000000"/>
          <w:lang w:val="en-GB"/>
        </w:rPr>
        <w:lastRenderedPageBreak/>
        <w:t>verschärfen. Bei einer dieser Patientinnen wurde die besprochene Einstellung zum Leben vollzogen, als sie erfuhr, daß ein schmerzhaftes organisches Leiden, welches sie an der Erreichung ihrer Lebensziele gehindert hatte, kongenitalen Ursprungs war. Solange sie dieses Leiden für eine zufällige spätere Erwerbung hielt, ertrug sie es geduldig; von ihrer Aufklärung an, es sei ein Stück mitgebrachter Erbschaft, wurde sie rebellisch. Der junge Mann, der sich von einer besonderen Vorsehung bewacht glaubte, war als Säugling das Opfer einer zufälligen Infektion durch seine Amme geworden und hatte sein ganzes späteres Leben von seinen Entschädigungsansprüchen wie von einer Unfallsrente gezehrt, ohne zu ahnen, worauf er seine Ansprüche gründete. In seinem Falle wurde die Analyse, welche dieses Ergebnis aus dunklen Erinnerungsresten und Symptomdeutungen konstruierte, durch Mitteilungen der Familie objektiv bestätigt.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Aus leicht verständlichen Gründen kann ich von diesen und anderen Krankengeschichten ein mehreres nicht mitteilen. Ich will auch auf die naheliegende Analogie mit der Charakterverbildung nach langer Kränklichkeit der Kinderjahre und im Benehmen ganzer Völker mit leidenschwerer Vergangenheit nicht eingehen. Dagegen werde ich es mir nicht versagen, auf jene von dem größten Dichter geschaffene Gestalt hinzuweisen, in deren Charakter der Ausnahmsanspruch mit dem Momente der kongenitalen Benachteiligung so innig verknüpft und durch dieses motiviert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Im einleitenden Monolog zu Shakespeares </w:t>
      </w:r>
      <w:r w:rsidRPr="008725BE">
        <w:rPr>
          <w:rFonts w:ascii="Garamond" w:hAnsi="Garamond"/>
          <w:i/>
          <w:iCs/>
          <w:color w:val="000000"/>
          <w:lang w:val="en-GB"/>
        </w:rPr>
        <w:t>Richard III.</w:t>
      </w:r>
      <w:r w:rsidRPr="008725BE">
        <w:rPr>
          <w:rFonts w:ascii="Garamond" w:hAnsi="Garamond"/>
          <w:color w:val="000000"/>
          <w:lang w:val="en-GB"/>
        </w:rPr>
        <w:t xml:space="preserve"> sagt Gloster, der spätere König: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Doch ich, zu Possenspielen nicht gemacht, </w:t>
      </w:r>
      <w:r w:rsidRPr="008725BE">
        <w:rPr>
          <w:rFonts w:ascii="Garamond" w:hAnsi="Garamond"/>
          <w:color w:val="000000"/>
          <w:lang w:val="en-GB"/>
        </w:rPr>
        <w:br/>
        <w:t xml:space="preserve">Noch um zu buhlen mit verliebten Spiegeln; </w:t>
      </w:r>
      <w:r w:rsidRPr="008725BE">
        <w:rPr>
          <w:rFonts w:ascii="Garamond" w:hAnsi="Garamond"/>
          <w:color w:val="000000"/>
          <w:lang w:val="en-GB"/>
        </w:rPr>
        <w:br/>
        <w:t xml:space="preserve">Ich, roh geprägt, entblößt von Liebes-Majestät </w:t>
      </w:r>
      <w:r w:rsidRPr="008725BE">
        <w:rPr>
          <w:rFonts w:ascii="Garamond" w:hAnsi="Garamond"/>
          <w:color w:val="000000"/>
          <w:lang w:val="en-GB"/>
        </w:rPr>
        <w:br/>
        <w:t xml:space="preserve">Vor leicht sich dreh'nden Nymphen sich zu brüsten; </w:t>
      </w:r>
      <w:r w:rsidRPr="008725BE">
        <w:rPr>
          <w:rFonts w:ascii="Garamond" w:hAnsi="Garamond"/>
          <w:color w:val="000000"/>
          <w:lang w:val="en-GB"/>
        </w:rPr>
        <w:br/>
        <w:t xml:space="preserve">Ich, um dies schöne Ebenmaß verkürzt, </w:t>
      </w:r>
      <w:r w:rsidRPr="008725BE">
        <w:rPr>
          <w:rFonts w:ascii="Garamond" w:hAnsi="Garamond"/>
          <w:color w:val="000000"/>
          <w:lang w:val="en-GB"/>
        </w:rPr>
        <w:br/>
        <w:t xml:space="preserve">Von der Natur um Bildung falsch betrogen, </w:t>
      </w:r>
      <w:r w:rsidRPr="008725BE">
        <w:rPr>
          <w:rFonts w:ascii="Garamond" w:hAnsi="Garamond"/>
          <w:color w:val="000000"/>
          <w:lang w:val="en-GB"/>
        </w:rPr>
        <w:br/>
        <w:t xml:space="preserve">Entstellt, verwahrlost, vor der Zeit gesandt </w:t>
      </w:r>
      <w:r w:rsidRPr="008725BE">
        <w:rPr>
          <w:rFonts w:ascii="Garamond" w:hAnsi="Garamond"/>
          <w:color w:val="000000"/>
          <w:lang w:val="en-GB"/>
        </w:rPr>
        <w:br/>
        <w:t xml:space="preserve">In diese Welt des Atmens, halb kaum fertig </w:t>
      </w:r>
      <w:r w:rsidRPr="008725BE">
        <w:rPr>
          <w:rFonts w:ascii="Garamond" w:hAnsi="Garamond"/>
          <w:color w:val="000000"/>
          <w:lang w:val="en-GB"/>
        </w:rPr>
        <w:br/>
        <w:t xml:space="preserve">Gemacht, und zwar so lahm und ungeziemend, </w:t>
      </w:r>
      <w:r w:rsidRPr="008725BE">
        <w:rPr>
          <w:rFonts w:ascii="Garamond" w:hAnsi="Garamond"/>
          <w:color w:val="000000"/>
          <w:lang w:val="en-GB"/>
        </w:rPr>
        <w:br/>
        <w:t xml:space="preserve">Daß Hunde bellen, hink' ich wo vorbei; </w:t>
      </w:r>
      <w:r w:rsidRPr="008725BE">
        <w:rPr>
          <w:rFonts w:ascii="Garamond" w:hAnsi="Garamond"/>
          <w:color w:val="000000"/>
          <w:lang w:val="en-GB"/>
        </w:rPr>
        <w:br/>
        <w:t xml:space="preserve">—   —   —   —   —   —   —   —   — </w:t>
      </w:r>
      <w:r w:rsidRPr="008725BE">
        <w:rPr>
          <w:rFonts w:ascii="Garamond" w:hAnsi="Garamond"/>
          <w:color w:val="000000"/>
          <w:lang w:val="en-GB"/>
        </w:rPr>
        <w:br/>
        <w:t xml:space="preserve">Und darum, weil ich nicht als ein Verliebter </w:t>
      </w:r>
      <w:r w:rsidRPr="008725BE">
        <w:rPr>
          <w:rFonts w:ascii="Garamond" w:hAnsi="Garamond"/>
          <w:color w:val="000000"/>
          <w:lang w:val="en-GB"/>
        </w:rPr>
        <w:br/>
        <w:t xml:space="preserve">Kann kürzen diese fein beredten Tage, </w:t>
      </w:r>
      <w:r w:rsidRPr="008725BE">
        <w:rPr>
          <w:rFonts w:ascii="Garamond" w:hAnsi="Garamond"/>
          <w:color w:val="000000"/>
          <w:lang w:val="en-GB"/>
        </w:rPr>
        <w:br/>
        <w:t xml:space="preserve">Bin ich gewillt ein Bösewicht zu werden </w:t>
      </w:r>
      <w:r w:rsidRPr="008725BE">
        <w:rPr>
          <w:rFonts w:ascii="Garamond" w:hAnsi="Garamond"/>
          <w:color w:val="000000"/>
          <w:lang w:val="en-GB"/>
        </w:rPr>
        <w:br/>
        <w:t>Und Feind den eitlen Freuden dieser Tage.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Unser erster Eindruck von dieser Programmrede wird vielleicht die Beziehung zu unserem Thema vermissen. Richard scheint nichts anderes zu sagen als: Ich langweile mich in dieser müßigen Zeit und ich will mich amüsieren. Weil ich aber wegen meiner Mißgestalt mich nicht als Liebender unterhalten kann, werde ich den Bösewicht spielen, intrigieren, morden und was mir sonst gefällt. Eine so frivole Motivierung müßte jede Spur von Anteilnahme beim Zuschauer ersticken, wenn sich nichts Ernsteres hinter ihr verbärge. Dann wäre aber auch das Stück psychologisch unmöglich, denn der Dichter muß bei uns einen geheimen Hintergrund von Sympathie für seinen Helden zu schaffen verstehen, wenn wir die Bewunderung für seine Kühnheit und Geschicklichkeit ohne inneren Einspruch verspüren sollen, und solche Sympathie kann nur im Verständnis, im Gefühle einer möglichen inneren Gemeinschaft mit ihm, begründet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Ich meine darum, der Monolog Richards sagt nicht alles; er deutet bloß an und überläßt es uns, das Angedeutete auszuführen. Wenn wir aber diese Vervollständigung vornehmen, dann schwindet der Anschein von Frivolität, dann kommt die Bitterkeit und Ausführlichkeit, mit der Richard seine Mißgestalt geschildert hat, zu ihrem Rechte, und uns wird die Gemeinsamkeit klargemacht, die unsere Sympathie auch für den Bösewicht erzwingt. Es heißt dann: Die Natur hat ein schweres Unrecht an mir begangen, indem sie mir die Wohlgestalt versagt hat, welche die Liebe der Menschen gewinnt. </w:t>
      </w:r>
      <w:r w:rsidRPr="008725BE">
        <w:rPr>
          <w:rFonts w:ascii="Garamond" w:hAnsi="Garamond"/>
          <w:color w:val="000000"/>
          <w:lang w:val="en-GB"/>
        </w:rPr>
        <w:t xml:space="preserve">Das Leben ist mir eine Entschädigung dafür schuldig, die ich mir holen werde. Ich habe den Anspruch darauf, eine Ausnahme zu sein, mich über die Bedenken hinwegzusetzen, durch die sich andere hindern lassen. Ich darf selbst Unrecht tun, denn an mir ist Unrecht geschehen –; und nun fühlen wir, daß wir selbst so werden könnten wie Richard, ja daß wir es im kleinen Maßstabe bereits sind. Richard ist eine gigantische Vergrößerung dieser einen Seite, die wir auch in uns finden. Wir glauben alle Grund zu haben, daß wir mit Natur und Schicksal wegen kongenitaler und infantiler Benachteiligung grollen; wir fordern alle Entschädigung für frühzeitige Kränkungen unseres Narzißmus, unserer Eigenliebe. Warum hat uns die Natur nicht die goldenen Locken Balders geschenkt oder die Stärke Siegfrieds oder die hohe Stirne des Genies, den edlen </w:t>
      </w:r>
      <w:r w:rsidRPr="008725BE">
        <w:rPr>
          <w:rFonts w:ascii="Garamond" w:hAnsi="Garamond"/>
          <w:color w:val="000000"/>
          <w:lang w:val="en-GB"/>
        </w:rPr>
        <w:lastRenderedPageBreak/>
        <w:t>Gesichtsschnitt des Aristokraten? Warum sind wir in der Bürgerstube geboren anstatt im Königsschloß? Wir würden es ebensogut treffen, schön und vornehm zu sein wie alle, die wir jetzt darum beneiden müssen.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Es ist aber eine feine ökonomische Kunst des Dichters, daß er seinen Helden nicht alle Geheimnisse seiner Motivierung laut und restlos aussprechen läßt. Dadurch nötigt er uns, sie zu ergänzen, beschäftigt unsere geistige Tätigkeit, lenkt sie vom kritischen Denken ab und hält uns in der Identifizierung mit dem Helden fest. </w:t>
      </w:r>
      <w:r w:rsidRPr="008725BE">
        <w:rPr>
          <w:rFonts w:ascii="Garamond" w:hAnsi="Garamond"/>
          <w:color w:val="000000"/>
          <w:lang w:val="en-GB"/>
        </w:rPr>
        <w:t>Ein Stümper an seiner Stelle würde alles, was er uns mitteilen will, in bewußten Ausdruck fassen und fände sich dann unserer kühlen, frei beweglichen Intelligenz gegenüber, die eine Vertiefung der Illusion unmöglich macht.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wollen aber die »Ausnahmen« nicht verlassen, ohne zu bedenken, daß der Anspruch der Frauen auf Vorrechte und Befreiung von soviel Nötigungen des Lebens auf demselben Grunde ruht. Wie wir aus der psychoanalytischen Arbeit erfahren, betrachten sich die Frauen als infantil geschädigt, ohne ihre Schuld um ein Stück verkürzt und zurückgesetzt, und die Erbitterung so mancher Tochter gegen ihre Mutter hat zur letzten Wurzel den Vorwurf, daß sie sie als Weib anstatt als Mann zur Welt gebracht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 Die am Erfolge scheitern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psychoanalytische Arbeit hat uns den Satz geschenkt: Die Menschen erkranken neurotisch infolge der </w:t>
      </w:r>
      <w:r w:rsidRPr="008725BE">
        <w:rPr>
          <w:rFonts w:ascii="Garamond" w:hAnsi="Garamond"/>
          <w:i/>
          <w:iCs/>
          <w:color w:val="000000"/>
          <w:lang w:val="en-GB"/>
        </w:rPr>
        <w:t>Versagung</w:t>
      </w:r>
      <w:r w:rsidRPr="008725BE">
        <w:rPr>
          <w:rFonts w:ascii="Garamond" w:hAnsi="Garamond"/>
          <w:color w:val="000000"/>
          <w:lang w:val="en-GB"/>
        </w:rPr>
        <w:t>. Die Versagung der Befriedigung für ihre libidinösen Wünsche ist gemeint, und ein längerer Umweg ist nötig, um den Satz zu verstehen. Denn zur Entstehung der Neurose bedarf es eines Konflikts zwischen den libidinösen Wünschen eines Menschen und jenem Anteil seines Wesens, den wir sein Ich heißen, der Ausdruck seiner Selbsterhaltungstriebe ist und seine Ideale von seinem eigenen Wesen einschließt. Ein solcher pathogener Konflikt kommt nur dann zustande, wenn sich die Libido auf Wege und Ziele werfen will, die vom Ich längst überwunden und geächtet sind, die es also auch für alle Zukunft verboten hat, und das tut die Libido erst dann, wenn ihr die Möglichkeit einer ichgerechten idealen Befriedigung benommen ist. Somit wird die Entbehrung, die Versagung einer realen Befriedigung, die erste Bedingung für die Entstehung der Neurose, wenn auch lange nicht die einzige.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Um so mehr muß es überraschend, ja verwirrend wirken, wenn man als Arzt die Erfahrung macht, daß Menschen gelegentlich gerade dann erkranken, wenn ihnen ein tief begründeter und lange gehegter Wunsch in Erfüllung gegangen ist. Es sieht dann so aus, als ob sie ihr Glück nicht vertragen würden, denn an dem ursächlichen Zusammenhange zwischen dem Erfolge und der Erkrankung kann man nicht zweifeln. So hatte ich Gelegenheit, in das Schicksal einer Frau Einsicht zu nehmen, das ich als vorbildlich für solche tragische Wendungen beschreiben will.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Von guter Herkunft und wohlerzogen, konnte sie als ganz junges Mädchen ihre Lebenslust nicht zügeln, riß sich vom Elternhause los und trieb sich abenteuernd in der Welt herum, bis sie die Bekanntschaft eines Künstlers machte, der ihren weiblichen Reiz zu schätzen wußte, aber auch die feinere Anlage an der Herabgewürdigten zu ahnen verstand. Er nahm sie in sein Haus und gewann an ihr eine treue Lebensgefährtin, der zum vollen Glück nur die bürgerliche Rehabilitierung zu fehlen schien. Nach jahrelangem Zusammenleben setzte er es durch, daß seine Familie sich mit ihr befreundete, und war nun bereit, sie zu seiner Frau vor dem Gesetze zu machen. In diesem Moment begann sie zu versagen. Sie vernachlässigte das Haus, dessen rechtmäßige Herrin sie nun werden sollte, hielt sich für verfolgt von den Verwandten, die sie in die Familie aufnehmen wollten, sperrte dem Manne durch sinnlose Eifersucht jeden Verkehr, hinderte ihn an seiner künstlerischen Arbeit und verfiel bald in unheilbare seelische Erkrankung.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andere Beobachtung zeigte mir einen höchst respektablen Mann, der, selbst akademischer Lehrer, durch viele Jahre den begreiflichen Wunsch genährt hatte, der Nachfolger seines Meisters zu werden, der ihn selbst in die Wissenschaft eingeführt hatte. Als nach dem Rücktritte jenes Alten die Kollegen ihm mitteilten, daß kein anderer als er zu dessen Nachfolger ausersehen sei, begann er zaghaft zu werden, verkleinerte seine Verdienste, erklärte sich für unwürdig, die ihm zugedachte Stellung auszufüllen, und verfiel in eine Melancholie, die ihn für die nächsten Jahre von jeder Tätigkeit ausschaltete.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So verschieden diese beiden Fälle sonst sind, so treffen sie doch in dem einen zusammen, daß die Erkrankung auf die Wunscherfüllung hin auftritt und den Genuß derselben zunichte macht.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Widerspruch zwischen solchen Erfahrungen und dem Satze, der Mensch erkranke an Versagung, ist nicht unlösbar. Die Unterscheidung einer </w:t>
      </w:r>
      <w:r w:rsidRPr="008725BE">
        <w:rPr>
          <w:rFonts w:ascii="Garamond" w:hAnsi="Garamond"/>
          <w:i/>
          <w:iCs/>
          <w:color w:val="000000"/>
          <w:lang w:val="en-GB"/>
        </w:rPr>
        <w:t>äußerlichen</w:t>
      </w:r>
      <w:r w:rsidRPr="008725BE">
        <w:rPr>
          <w:rFonts w:ascii="Garamond" w:hAnsi="Garamond"/>
          <w:color w:val="000000"/>
          <w:lang w:val="en-GB"/>
        </w:rPr>
        <w:t xml:space="preserve"> von einer </w:t>
      </w:r>
      <w:r w:rsidRPr="008725BE">
        <w:rPr>
          <w:rFonts w:ascii="Garamond" w:hAnsi="Garamond"/>
          <w:i/>
          <w:iCs/>
          <w:color w:val="000000"/>
          <w:lang w:val="en-GB"/>
        </w:rPr>
        <w:t>inneren</w:t>
      </w:r>
      <w:r w:rsidRPr="008725BE">
        <w:rPr>
          <w:rFonts w:ascii="Garamond" w:hAnsi="Garamond"/>
          <w:color w:val="000000"/>
          <w:lang w:val="en-GB"/>
        </w:rPr>
        <w:t xml:space="preserve"> Versagung hebt ihn auf. Wenn in der Realität das Objekt weggefallen ist, an dem die Libido ihre Befriedigung finden kann, so ist dies eine äußerliche Versagung. Sie ist an sich wirkungslos, noch nicht pathogen, solange sich nicht eine innere Versagung zu ihr gesellt. Diese muß vom Ich ausgehen und der Libido andere Objekte streitig machen, deren sie sich nun bemächtigen will. Erst dann entsteht ein Konflikt und die Möglichkeit einer </w:t>
      </w:r>
      <w:r w:rsidRPr="008725BE">
        <w:rPr>
          <w:rFonts w:ascii="Garamond" w:hAnsi="Garamond"/>
          <w:color w:val="000000"/>
          <w:lang w:val="en-GB"/>
        </w:rPr>
        <w:lastRenderedPageBreak/>
        <w:t>neurotischen Erkrankung, d. h. einer Ersatzbefriedigung auf dem Umwege über das verdrängte Unbewußte. Die innere Versagung kommt also in allen Fällen in Betracht, nur tritt sie nicht eher in Wirkung, als bis die äußerliche reale Versagung die Situation für sie vorbereitet hat. In den Ausnahmsfällen, wenn die Menschen am Erfolge erkranken, hat die innere Versagung für sich allein gewirkt, ja sie ist erst hervorgetreten, nachdem die äußerliche Versagung der Wunscherfüllung Platz gemacht hat. Daran bleibt etwas für den ersten Anschein Auffälliges, aber bei näherer Erwägung besinnen wir uns doch, es sei gar nicht ungewöhnlich, daß das Ich einen Wunsch als harmlos toleriert, solange er ein Dasein als Phantasie führt und ferne von der Erfüllung scheint, während es sich scharf gegen ihn zur Wehr setzt, sobald er sich der Erfüllung nähert und Realität zu werden droht. Der Unterschied gegen wohlbekannte Situationen der Neurosenbildung liegt nur darin, daß sonst innerliche Steigerungen der Libidobesetzung die bisher geringgeschätzte und geduldete Phantasie zum gefürchteten Gegner machen, während in unseren Fällen das Signal zum Ausbruch des Konflikts durch eine reale äußere Wandlung gegeben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analytische Arbeit zeigt uns leicht, daß es </w:t>
      </w:r>
      <w:r w:rsidRPr="008725BE">
        <w:rPr>
          <w:rFonts w:ascii="Garamond" w:hAnsi="Garamond"/>
          <w:i/>
          <w:iCs/>
          <w:color w:val="000000"/>
          <w:lang w:val="en-GB"/>
        </w:rPr>
        <w:t>Gewissensmächte</w:t>
      </w:r>
      <w:r w:rsidRPr="008725BE">
        <w:rPr>
          <w:rFonts w:ascii="Garamond" w:hAnsi="Garamond"/>
          <w:color w:val="000000"/>
          <w:lang w:val="en-GB"/>
        </w:rPr>
        <w:t xml:space="preserve"> sind, welche der Person verbieten, aus der glücklichen realen Veränderung den lange erhofften Gewinn zu ziehen. Eine schwierige Aufgabe aber ist es, Wesen und Herkunft dieser richtenden und strafenden Tendenzen zu erkunden, die uns durch ihre Existenz oft dort überraschen, wo wir sie zu finden nicht erwarteten. Was wir darüber wissen oder vermuten, will ich aus den bekannten Gründen nicht an Fällen der ärztlichen Beobachtung, sondern an Gestalten erörtern, die große Dichter aus der Fülle ihrer Seelenkenntnis erschaffen haben.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Person, die nach erreichtem Erfolge zusammenbricht, nachdem sie mit unbeirrter Energie um ihn gerungen hat, ist Shakespeares Lady Macbeth. Es ist vorher kein Schwanken und kein Anzeichen eines inneren Kampfes in ihr, kein anderes Streben, als die Bedenken ihres ehrgeizigen und doch mildfühlenden Mannes zu besiegen. Dem Mordvorsatz will sie selbst ihre Weiblichkeit opfern, ohne zu erwägen, welche entscheidende Rolle dieser Weiblichkeit zufallen muß, wenn es dann gelten soll, das durch Verbrechen erreichte Ziel ihres Ehrgeizes zu behaupten.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(Akt I, Szene 5):</w:t>
      </w:r>
      <w:r w:rsidRPr="008725BE">
        <w:rPr>
          <w:rFonts w:ascii="Garamond" w:hAnsi="Garamond"/>
          <w:color w:val="000000"/>
          <w:lang w:val="en-GB"/>
        </w:rPr>
        <w:br/>
        <w:t xml:space="preserve">                            »Kommt, ihr Geister, </w:t>
      </w:r>
      <w:r w:rsidRPr="008725BE">
        <w:rPr>
          <w:rFonts w:ascii="Garamond" w:hAnsi="Garamond"/>
          <w:color w:val="000000"/>
          <w:lang w:val="en-GB"/>
        </w:rPr>
        <w:br/>
        <w:t xml:space="preserve">Die ihr auf Mordgedanken lauscht, entweiht mich. </w:t>
      </w:r>
      <w:r w:rsidRPr="008725BE">
        <w:rPr>
          <w:rFonts w:ascii="Garamond" w:hAnsi="Garamond"/>
          <w:color w:val="000000"/>
          <w:lang w:val="en-GB"/>
        </w:rPr>
        <w:br/>
        <w:t xml:space="preserve">—   —   —   —   —   —   —   An meine Brüste, </w:t>
      </w:r>
      <w:r w:rsidRPr="008725BE">
        <w:rPr>
          <w:rFonts w:ascii="Garamond" w:hAnsi="Garamond"/>
          <w:color w:val="000000"/>
          <w:lang w:val="en-GB"/>
        </w:rPr>
        <w:br/>
        <w:t>Ihr Mordhelfer! Saugt mir Milch zu Galle!«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(Akt I, Szene 7):</w:t>
      </w:r>
      <w:r w:rsidRPr="008725BE">
        <w:rPr>
          <w:rFonts w:ascii="Garamond" w:hAnsi="Garamond"/>
          <w:color w:val="000000"/>
          <w:lang w:val="en-GB"/>
        </w:rPr>
        <w:br/>
        <w:t xml:space="preserve">                        »Ich gab die Brust und weiß, </w:t>
      </w:r>
      <w:r w:rsidRPr="008725BE">
        <w:rPr>
          <w:rFonts w:ascii="Garamond" w:hAnsi="Garamond"/>
          <w:color w:val="000000"/>
          <w:lang w:val="en-GB"/>
        </w:rPr>
        <w:br/>
        <w:t xml:space="preserve">Wie zärtlich man das Kind liebt, das man tränkt. </w:t>
      </w:r>
      <w:r w:rsidRPr="008725BE">
        <w:rPr>
          <w:rFonts w:ascii="Garamond" w:hAnsi="Garamond"/>
          <w:color w:val="000000"/>
          <w:lang w:val="en-GB"/>
        </w:rPr>
        <w:br/>
        <w:t xml:space="preserve">Und doch, dieweil es mir ins Antlitz lächelt, </w:t>
      </w:r>
      <w:r w:rsidRPr="008725BE">
        <w:rPr>
          <w:rFonts w:ascii="Garamond" w:hAnsi="Garamond"/>
          <w:color w:val="000000"/>
          <w:lang w:val="en-GB"/>
        </w:rPr>
        <w:br/>
        <w:t xml:space="preserve">Wollt' reißen ich von meinem Mutterbusen </w:t>
      </w:r>
      <w:r w:rsidRPr="008725BE">
        <w:rPr>
          <w:rFonts w:ascii="Garamond" w:hAnsi="Garamond"/>
          <w:color w:val="000000"/>
          <w:lang w:val="en-GB"/>
        </w:rPr>
        <w:br/>
        <w:t xml:space="preserve">Sein zahnlos Mündlein, und sein Hirn ausschmettern, </w:t>
      </w:r>
      <w:r w:rsidRPr="008725BE">
        <w:rPr>
          <w:rFonts w:ascii="Garamond" w:hAnsi="Garamond"/>
          <w:color w:val="000000"/>
          <w:lang w:val="en-GB"/>
        </w:rPr>
        <w:br/>
        <w:t>Hätt' ich's geschworen, wie du jenes schwurst!«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Eine einzige leise Regung des Widerstrebens ergreift sie vor der Tat: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(Akt II, Szene 2):</w:t>
      </w:r>
      <w:r w:rsidRPr="008725BE">
        <w:rPr>
          <w:rFonts w:ascii="Garamond" w:hAnsi="Garamond"/>
          <w:color w:val="000000"/>
          <w:lang w:val="en-GB"/>
        </w:rPr>
        <w:br/>
        <w:t xml:space="preserve">»Hätt' er geglichen meinem Vater nicht </w:t>
      </w:r>
      <w:r w:rsidRPr="008725BE">
        <w:rPr>
          <w:rFonts w:ascii="Garamond" w:hAnsi="Garamond"/>
          <w:color w:val="000000"/>
          <w:lang w:val="en-GB"/>
        </w:rPr>
        <w:br/>
        <w:t>Als er so schlief, ich hätt's getan.«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Nun, da sie Königin geworden durch den Mord an Duncan, meldet sich flüchtig etwas wie eine Enttäuschung, wie ein Überdruß. Wir wissen nicht, woher.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(Akt III, Szene 2):</w:t>
      </w:r>
      <w:r w:rsidRPr="008725BE">
        <w:rPr>
          <w:rFonts w:ascii="Garamond" w:hAnsi="Garamond"/>
          <w:color w:val="000000"/>
          <w:lang w:val="en-GB"/>
        </w:rPr>
        <w:br/>
        <w:t xml:space="preserve">»Nichts hat man, alles Lüge, </w:t>
      </w:r>
      <w:r w:rsidRPr="008725BE">
        <w:rPr>
          <w:rFonts w:ascii="Garamond" w:hAnsi="Garamond"/>
          <w:color w:val="000000"/>
          <w:lang w:val="en-GB"/>
        </w:rPr>
        <w:br/>
        <w:t xml:space="preserve">Gelingt der Wunsch, und fehlt doch die Genüge, </w:t>
      </w:r>
      <w:r w:rsidRPr="008725BE">
        <w:rPr>
          <w:rFonts w:ascii="Garamond" w:hAnsi="Garamond"/>
          <w:color w:val="000000"/>
          <w:lang w:val="en-GB"/>
        </w:rPr>
        <w:br/>
        <w:t xml:space="preserve">'S ist sichrer das zu sein, was wir zerstören, </w:t>
      </w:r>
      <w:r w:rsidRPr="008725BE">
        <w:rPr>
          <w:rFonts w:ascii="Garamond" w:hAnsi="Garamond"/>
          <w:color w:val="000000"/>
          <w:lang w:val="en-GB"/>
        </w:rPr>
        <w:br/>
        <w:t>Als durch Zerstörung ew'ger Angst zu schwören.«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Doch hält sie aus. In der nach diesen Worten folgenden Szene des Banketts bewahrt sie allein die Besinnung, deckt die Verwirrung ihres Mannes, findet einen Vorwand, um die Gäste zu entlassen. Und dann entschwindet sie uns. Wir sehen sie (in der ersten Szene des fünften Aktes) als Somnambule wieder, an die Eindrücke jener Mordnacht fixiert. Sie spricht ihrem Manne wieder Mut zu wie damals: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»Pfui, mein Gemahl, pfui, ein Soldat und furchtsam? –; Was haben wir zu fürchten, wer es weiß? Niemand zieht unsere Macht zur Rechenschaft.« –; –; –;</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Sie hört das Klopfen ans Tor, das ihren Mann nach der Tat erschreckte. Daneben aber bemüht sie sich, »die Tat ungeschehen zu machen, die nicht mehr ungeschehen werden« kann. Sie wäscht ihre Hände, die </w:t>
      </w:r>
      <w:r w:rsidRPr="008725BE">
        <w:rPr>
          <w:rFonts w:ascii="Garamond" w:hAnsi="Garamond"/>
          <w:color w:val="000000"/>
          <w:lang w:val="en-GB"/>
        </w:rPr>
        <w:lastRenderedPageBreak/>
        <w:t xml:space="preserve">mit Blut befleckt sind und nach Blut riechen, und wird der Vergeblichkeit dieser Bemühung bewußt. </w:t>
      </w:r>
      <w:r w:rsidRPr="008725BE">
        <w:rPr>
          <w:rFonts w:ascii="Garamond" w:hAnsi="Garamond"/>
          <w:color w:val="000000"/>
        </w:rPr>
        <w:t>Die Reue scheint sie niedergeworfen zu haben, die so reuelos schien. Als sie stirbt, findet Macbeth, der unterdes so unerbittlich geworden ist, wie sie sich anfänglich zeigte, nur die eine kurze Nachrede für sie: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(Akt V, Szene 5):</w:t>
      </w:r>
      <w:r w:rsidRPr="008725BE">
        <w:rPr>
          <w:rFonts w:ascii="Garamond" w:hAnsi="Garamond"/>
          <w:color w:val="000000"/>
          <w:lang w:val="en-GB"/>
        </w:rPr>
        <w:br/>
        <w:t xml:space="preserve">»Sie konnte später sterben. </w:t>
      </w:r>
      <w:r w:rsidRPr="008725BE">
        <w:rPr>
          <w:rFonts w:ascii="Garamond" w:hAnsi="Garamond"/>
          <w:color w:val="000000"/>
          <w:lang w:val="en-GB"/>
        </w:rPr>
        <w:br/>
        <w:t>Es war noch Zeit genug für solch ein Wort.«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Und nun fragt man sich, was hat diesen Charakter zerbrochen, der aus dem härtesten Metall geschmiedet schien? Ist's nur die Enttäuschung, das andere Gesicht, das die vollzogene Tat zeigt, sollen wir rückschließen, daß auch in der Lady Macbeth ein ursprünglich weiches und weiblich mildes Seelenleben sich zu einer Konzentration und Hochspannung emporgearbeitet hatte, der keine Andauer beschieden sein konnte, oder dürfen wir nach Anzeichen forschen, die uns diesen Zusammenbruch durch eine tiefere Motivierung menschlich näherbringen?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halte es für unmöglich, hier eine Entscheidung zu treffen. Shakespeares </w:t>
      </w:r>
      <w:r w:rsidRPr="008725BE">
        <w:rPr>
          <w:rFonts w:ascii="Garamond" w:hAnsi="Garamond"/>
          <w:i/>
          <w:iCs/>
          <w:color w:val="000000"/>
          <w:lang w:val="en-GB"/>
        </w:rPr>
        <w:t>Macbeth</w:t>
      </w:r>
      <w:r w:rsidRPr="008725BE">
        <w:rPr>
          <w:rFonts w:ascii="Garamond" w:hAnsi="Garamond"/>
          <w:color w:val="000000"/>
          <w:lang w:val="en-GB"/>
        </w:rPr>
        <w:t xml:space="preserve"> ist ein Gelegenheitsstück, zur Thronbesteigung des bisherigen Schottenkönigs James gedichtet. Der Stoff war gegeben und gleichzeitig von anderen Autoren behandelt worden, deren Arbeit Shakespeare wahrscheinlich in gewohnter Weise genützt hat. Er bot merkwürdige Anspielungen an die gegenwärtige Situation. Die »jungfräuliche« Elisabeth, von der ein Gerede wissen wollte, daß sie nie imstande gewesen wäre, ein Kind zu gebären, die sich einst bei der Nachricht von James' Geburt im schmerzlichen Aufschrei als »einen dürren Stamm« bezeichnet hatte </w:t>
      </w:r>
      <w:hyperlink r:id="rId82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w:t>
        </w:r>
        <w:r w:rsidRPr="008725BE">
          <w:rPr>
            <w:rStyle w:val="innerfusslink3"/>
            <w:rFonts w:ascii="Garamond" w:hAnsi="Garamond" w:cs="Arial"/>
            <w:b/>
            <w:bCs/>
            <w:i/>
            <w:iCs/>
            <w:lang w:val="en-GB"/>
          </w:rPr>
          <w:t>Macbeth</w:t>
        </w:r>
        <w:r w:rsidRPr="008725BE">
          <w:rPr>
            <w:rStyle w:val="innerfusslink3"/>
            <w:rFonts w:ascii="Garamond" w:hAnsi="Garamond" w:cs="Arial"/>
            <w:b/>
            <w:bCs/>
            <w:lang w:val="en-GB"/>
          </w:rPr>
          <w:t xml:space="preserve"> (Akt II, Szene 1): </w:t>
        </w:r>
        <w:r w:rsidRPr="008725BE">
          <w:rPr>
            <w:rFonts w:ascii="Garamond" w:hAnsi="Garamond"/>
            <w:color w:val="000000"/>
            <w:lang w:val="en-GB"/>
          </w:rPr>
          <w:br/>
        </w:r>
        <w:r w:rsidRPr="008725BE">
          <w:rPr>
            <w:rFonts w:ascii="Garamond" w:hAnsi="Garamond"/>
            <w:color w:val="000000"/>
            <w:lang w:val="en-GB"/>
          </w:rPr>
          <w:br/>
        </w:r>
        <w:r w:rsidRPr="008725BE">
          <w:rPr>
            <w:rStyle w:val="innerfusslink3"/>
            <w:rFonts w:ascii="Garamond" w:hAnsi="Garamond" w:cs="Arial"/>
            <w:b/>
            <w:bCs/>
            <w:lang w:val="en-GB"/>
          </w:rPr>
          <w:t xml:space="preserve">»Auf mein Haupt setzten sie unfruchtbar Gold, </w:t>
        </w:r>
        <w:r w:rsidRPr="008725BE">
          <w:rPr>
            <w:rFonts w:ascii="Garamond" w:hAnsi="Garamond"/>
            <w:color w:val="000000"/>
            <w:lang w:val="en-GB"/>
          </w:rPr>
          <w:br/>
        </w:r>
        <w:r w:rsidRPr="008725BE">
          <w:rPr>
            <w:rStyle w:val="innerfusslink3"/>
            <w:rFonts w:ascii="Garamond" w:hAnsi="Garamond" w:cs="Arial"/>
            <w:b/>
            <w:bCs/>
            <w:lang w:val="en-GB"/>
          </w:rPr>
          <w:t xml:space="preserve">Ein dürres Zepter reichten sie der Faust, </w:t>
        </w:r>
        <w:r w:rsidRPr="008725BE">
          <w:rPr>
            <w:rFonts w:ascii="Garamond" w:hAnsi="Garamond"/>
            <w:color w:val="000000"/>
            <w:lang w:val="en-GB"/>
          </w:rPr>
          <w:br/>
        </w:r>
        <w:r w:rsidRPr="008725BE">
          <w:rPr>
            <w:rStyle w:val="innerfusslink3"/>
            <w:rFonts w:ascii="Garamond" w:hAnsi="Garamond" w:cs="Arial"/>
            <w:b/>
            <w:bCs/>
            <w:lang w:val="en-GB"/>
          </w:rPr>
          <w:t xml:space="preserve">Daß es entgleite dann in fremde Hand, </w:t>
        </w:r>
        <w:r w:rsidRPr="008725BE">
          <w:rPr>
            <w:rFonts w:ascii="Garamond" w:hAnsi="Garamond"/>
            <w:color w:val="000000"/>
            <w:lang w:val="en-GB"/>
          </w:rPr>
          <w:br/>
        </w:r>
        <w:r w:rsidRPr="008725BE">
          <w:rPr>
            <w:rStyle w:val="innerfusslink3"/>
            <w:rFonts w:ascii="Garamond" w:hAnsi="Garamond" w:cs="Arial"/>
            <w:b/>
            <w:bCs/>
            <w:lang w:val="en-GB"/>
          </w:rPr>
          <w:t xml:space="preserve">Da nicht mein Sohn mir nachfolgt.« –; –; –;, </w:t>
        </w:r>
        <w:r w:rsidRPr="008725BE">
          <w:rPr>
            <w:rFonts w:ascii="Garamond" w:hAnsi="Garamond"/>
            <w:color w:val="000000"/>
            <w:lang w:val="en-GB"/>
          </w:rPr>
          <w:br/>
        </w:r>
        <w:r w:rsidRPr="008725BE">
          <w:rPr>
            <w:rFonts w:ascii="Garamond" w:hAnsi="Garamond"/>
            <w:color w:val="000000"/>
            <w:lang w:val="en-GB"/>
          </w:rPr>
          <w:br/>
        </w:r>
        <w:r w:rsidRPr="008725BE">
          <w:rPr>
            <w:rStyle w:val="innerfusslink3"/>
            <w:rFonts w:ascii="Garamond" w:hAnsi="Garamond" w:cs="Arial"/>
            <w:b/>
            <w:bCs/>
            <w:lang w:val="en-GB"/>
          </w:rPr>
          <w:t>war eben durch ihre Kinderlosigkeit genötigt worden, den Schottenkönig zu ihrem Nachfolger werden zu lassen. Der war aber der Sohn jener Maria, deren Hinrichtung sie, wenn auch widerwillig, angeordnet hatte und die trotz aller Trübung der Beziehungen durch politische Rücksichten doch ihre Blutsverwandte und ihr Gast genannt werden konnte.</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Thronbesteigung Jakobs I. war wie eine Demonstration des Fluches der Unfruchtbarkeit und der Segnungen der fortlaufenden Generation. Und auf diesen nämlichen Gegensatz ist die Entwicklung in Shakespeares Macbeth eingestellt. Die Schicksalsschwestern haben ihm verheißen, daß er selbst König werden, dem Banquo aber, daß seine Kinder die Krone überkommen sollen. Macbeth empört sich gegen diesen Schicksalsspruch, er begnügt sich nicht mit der Befriedigung des eigenen Ehrgeizes, er will Gründer einer Dynastie sein und nicht zum Vorteile Fremder gemordet haben. Man übersieht diesen Punkt, wenn man in Shakespeares Stück nur die Tragödie des Ehrgeizes erblicken will. Es ist klar, da Macbeth selbst nicht ewig leben kann, so gibt es für ihn nur einen Weg, den Teil der Prophezeiung, der ihm widerstrebt, zu entkräften, wenn er nämlich selbst Kinder hat, die ihm nachfolgen können. Er scheint sie auch von seinem starken Weibe zu erwarten: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(Akt I, Szene 7):</w:t>
      </w:r>
      <w:r w:rsidRPr="008725BE">
        <w:rPr>
          <w:rFonts w:ascii="Garamond" w:hAnsi="Garamond"/>
          <w:color w:val="000000"/>
          <w:lang w:val="en-GB"/>
        </w:rPr>
        <w:br/>
        <w:t xml:space="preserve">                     »Du, gebier nur Söhne, </w:t>
      </w:r>
      <w:r w:rsidRPr="008725BE">
        <w:rPr>
          <w:rFonts w:ascii="Garamond" w:hAnsi="Garamond"/>
          <w:color w:val="000000"/>
          <w:lang w:val="en-GB"/>
        </w:rPr>
        <w:br/>
        <w:t xml:space="preserve">Nur Männer sollte dein unschreckbar Mark </w:t>
      </w:r>
      <w:r w:rsidRPr="008725BE">
        <w:rPr>
          <w:rFonts w:ascii="Garamond" w:hAnsi="Garamond"/>
          <w:color w:val="000000"/>
          <w:lang w:val="en-GB"/>
        </w:rPr>
        <w:br/>
        <w:t>Zusammensetzen.«   —   —   —   —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Und ebenso klar ist, wenn er in dieser Erwartung getäuscht wird, dann muß er sich dem Schicksal unterwerfen, oder sein Handeln verliert Ziel und Zweck und verwandelt sich in das blinde Wüten eines zum Untergange Verurteilten, der vorher noch, was ihm erreichbar ist, vernichten will. Wir sehen, daß Macbeth diese Entwicklung durchmacht, und auf der Höhe der Tragödie finden wir jenen erschütternden, so oft schon als vieldeutig erkannten Ausruf, der den Schlüssel für seine Wandlung enthalten könnte, den Ausruf Macduffs: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(Akt IV, Szene 3):</w:t>
      </w:r>
      <w:r w:rsidRPr="008725BE">
        <w:rPr>
          <w:rFonts w:ascii="Garamond" w:hAnsi="Garamond"/>
          <w:color w:val="000000"/>
          <w:lang w:val="en-GB"/>
        </w:rPr>
        <w:br/>
        <w:t>»Er hat keine Kinder.«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heißt gewiß: Nur weil er selbst kinderlos ist, konnte er meine Kinder morden, aber es kann auch mehr in sich fassen, und vor allem könnte es das tiefste Motiv bloßlegen, welches sowohl Macbeth weit über seine Natur hinausdrängt, als auch den Charakter der harten Frau an seiner einzigen schwachen Stelle trifft. Hält man aber Umschau von dem Gipfelpunkt, den diese Worte Macduffs bezeichnen, so sieht man das ganze Stück von Beziehungen auf das Vater-Kinderverhältnis durchsetzt. Der Mord des gütigen </w:t>
      </w:r>
      <w:r w:rsidRPr="008725BE">
        <w:rPr>
          <w:rFonts w:ascii="Garamond" w:hAnsi="Garamond"/>
          <w:color w:val="000000"/>
          <w:lang w:val="en-GB"/>
        </w:rPr>
        <w:lastRenderedPageBreak/>
        <w:t>Duncan ist wenig anders als ein Vatermord; im Falle Banquos hat Macbeth den Vater getötet, während ihm der Sohn entgeht; bei Macduff tötet er die Kinder, weil ihm der Vater entflohen ist. Ein blutiges und gekröntes Kind lassen ihm die Schicksalsschwestern in der Beschwörungsszene erscheinen; das bewaffnete Haupt vorher ist wohl Macbeth selbst. Im Hintergrunde aber erhebt sich die düstere Gestalt des Rächers Macduff, der selbst eine Ausnahme von den Gesetzen der Generation ist, da er nicht von seiner Mutter geboren, sondern aus ihrem Leib geschnitten wurde.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wäre nun durchaus im Sinne der auf Talion aufgebauten poetischen Gerechtigkeit, wenn die Kinderlosigkeit Macbeths und die Unfruchtbarkeit seiner Lady die Strafe wären für ihre Verbrechen gegen die Heiligkeit der Generation, wenn Macbeth nicht Vater werden könnte, weil er den Kindern den Vater und dem Vater die Kinder geraubt, und wenn sich so an der Lady Macbeth die Entweihung vollzogen hatte, zu der sie die Geister des Mordes aufgerufen hat. Ich glaube, man verstünde ohneweiters die Erkrankung der Lady, die Verwandlung ihres Frevelmuts in Reue, als Reaktion auf ihre Kinderlosigkeit, durch die sie von ihrer Ohnmacht gegen die Satzungen der Natur überzeugt und gleichzeitig daran gemahnt wird, daß ihr Verbrechen durch ihr eigenes Verschulden um den besseren Teil seines Ertrags gebracht worden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der Chronik von Holinshed (1577), aus welcher Shakespeare den Stoff des </w:t>
      </w:r>
      <w:r w:rsidRPr="008725BE">
        <w:rPr>
          <w:rFonts w:ascii="Garamond" w:hAnsi="Garamond"/>
          <w:i/>
          <w:iCs/>
          <w:color w:val="000000"/>
          <w:lang w:val="en-GB"/>
        </w:rPr>
        <w:t>Macbeth</w:t>
      </w:r>
      <w:r w:rsidRPr="008725BE">
        <w:rPr>
          <w:rFonts w:ascii="Garamond" w:hAnsi="Garamond"/>
          <w:color w:val="000000"/>
          <w:lang w:val="en-GB"/>
        </w:rPr>
        <w:t xml:space="preserve"> schöpfte, findet die Lady nur eine einzige Erwähnung als Ehrgeizige, die ihren Mann zum Morde aufstachelt, um selbst Königin zu werden. Von ihren weiteren Schicksalen und von einer Entwicklung ihres Charakters ist nicht die Rede. Dagegen scheint es, als ob dort die Wandlung im Charakter Macbeths zum blutigen Wüterich ähnlich motiviert werden sollte, wie wir es eben versucht haben. Denn bei Holinshed liegen zwischen dem Morde an Duncan, durch den Macbeth König wird, und seinen weiteren Missetaten </w:t>
      </w:r>
      <w:r w:rsidRPr="008725BE">
        <w:rPr>
          <w:rFonts w:ascii="Garamond" w:hAnsi="Garamond"/>
          <w:i/>
          <w:iCs/>
          <w:color w:val="000000"/>
          <w:lang w:val="en-GB"/>
        </w:rPr>
        <w:t>zehn Jahre</w:t>
      </w:r>
      <w:r w:rsidRPr="008725BE">
        <w:rPr>
          <w:rFonts w:ascii="Garamond" w:hAnsi="Garamond"/>
          <w:color w:val="000000"/>
          <w:lang w:val="en-GB"/>
        </w:rPr>
        <w:t xml:space="preserve">, in denen er sich als strenger, aber gerechter Herrscher erweist. Erst nach diesem Zeitraume tritt bei ihm die Änderung ein, unter dem Einflusse der quälenden Befürchtung, daß die Banquo erteilte Prophezeiung sich ebenso erfüllen könne wie die seines eigenen Schicksals. Nun erst läßt er Banquo töten und wird wie bei Shakespeare von einem Verbrechen zum andern fortgerissen. Es wird auch bei Holinshed nicht ausdrücklich gesagt, daß es seine Kinderlosigkeit ist, welche ihn auf diesen Weg treibt, aber es bleibt Zeit und Raum für diese naheliegende Motivierung. Anders bei Shakespeare. In atemraubender Hast jagen in der Tragödie die Ereignisse an uns vorüber, so daß sich aus den Angaben der Personen im Stücke etwa </w:t>
      </w:r>
      <w:r w:rsidRPr="008725BE">
        <w:rPr>
          <w:rFonts w:ascii="Garamond" w:hAnsi="Garamond"/>
          <w:i/>
          <w:iCs/>
          <w:color w:val="000000"/>
          <w:lang w:val="en-GB"/>
        </w:rPr>
        <w:t>eine Woche</w:t>
      </w:r>
      <w:r w:rsidRPr="008725BE">
        <w:rPr>
          <w:rFonts w:ascii="Garamond" w:hAnsi="Garamond"/>
          <w:color w:val="000000"/>
          <w:lang w:val="en-GB"/>
        </w:rPr>
        <w:t xml:space="preserve"> als die Zeitdauer ihres Ablaufes berechnen läßt </w:t>
      </w:r>
      <w:hyperlink r:id="rId82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Darmstetter (1881, LXXV).</w:t>
        </w:r>
      </w:hyperlink>
      <w:r w:rsidRPr="008725BE">
        <w:rPr>
          <w:rFonts w:ascii="Garamond" w:hAnsi="Garamond"/>
          <w:color w:val="000000"/>
          <w:lang w:val="en-GB"/>
        </w:rPr>
        <w:t>. Durch diese Beschleunigung wird all unseren Konstruktionen über die Motivierung des Umschwungs im Charakter Macbeths und seiner Lady der Boden entzogen. Es fehlt die Zeit, innerhalb welcher die fortgesetzte Enttäuschung der Kinderhoffnung das Weib zermürben und den Mann in trotzige Raserei treiben könnte, und es bleibt der Widerspruch bestehen, daß so viele feine Zusammenhänge innerhalb des Stückes und zwischen ihm und seinem Anlaß ein Zusammentreffen im Motiv der Kinderlosigkeit anstreben, während die zeitliche Ökonomie der Tragödie eine Charakterentwicklung aus anderen als den innerlichsten Motiven ausdrücklich ablehnt.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Welches aber diese Motive sein können, die in so kurzer Zeit aus dem zaghaften Ehrgeizigen einen hemmungslosen Wüterich und aus der stahlharten Anstifterin eine von Reue zerknirschte Kranke machen, das läßt sich meines Erachtens nicht erraten. Ich meine, wir müssen darauf verzichten, das dreifach geschichtete Dunkel zu durchdringen, zu dem sich die schlechte Erhaltung des Textes, die unbekannte Intention des Dichters und der geheime Sinn der Sage hier verdichtet haben. Ich möchte es auch nicht gelten lassen, daß jemand einwende, solche Untersuchungen seien müßig angesichts der großartigen Wirkung, die die Tragödie auf den Zuschauer ausübt. Der Dichter kann uns zwar durch seine Kunst während der Darstellung überwältigen und unser Denken dabei lähmen, aber er kann uns nicht daran hindern, daß wir uns nachträglich bemühen, diese Wirkung aus ihrem psychologischen Mechanismus zu begreifen. Auch die Bemerkung, es stehe dem Dichter frei, die natürliche Zeitfolge der von ihm vorgeführten Begebenheiten in beliebiger Weise zu verkürzen, wenn er durch das Opfer der gemeinen Wahrscheinlichkeit eine Steigerung des dramatischen Effekts erzielen kann, scheint mir hier nicht an ihrem Platze. Denn ein solches Opfer ist doch nur zu rechtfertigen, wo es bloß die Wahrscheinlichkeit stört </w:t>
      </w:r>
      <w:hyperlink r:id="rId82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Wie in der Werbung Richards III. um Anna an der Bahre des von ihm ermordeten Königs.</w:t>
        </w:r>
      </w:hyperlink>
      <w:r w:rsidRPr="008725BE">
        <w:rPr>
          <w:rFonts w:ascii="Garamond" w:hAnsi="Garamond"/>
          <w:color w:val="000000"/>
          <w:lang w:val="en-GB"/>
        </w:rPr>
        <w:t>, aber nicht, wo es die kausale Verknüpfung aufhebt, und der dramatischen Wirkung wäre kaum Abbruch geschehen, wenn der Zeitablauf unbestimmt gelassen wäre, anstatt durch ausdrückliche Äußerungen auf wenige Tage eingeengt zu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fällt so schwer, ein Problem wie das des </w:t>
      </w:r>
      <w:r w:rsidRPr="008725BE">
        <w:rPr>
          <w:rFonts w:ascii="Garamond" w:hAnsi="Garamond"/>
          <w:i/>
          <w:iCs/>
          <w:color w:val="000000"/>
          <w:lang w:val="en-GB"/>
        </w:rPr>
        <w:t>Macbeth</w:t>
      </w:r>
      <w:r w:rsidRPr="008725BE">
        <w:rPr>
          <w:rFonts w:ascii="Garamond" w:hAnsi="Garamond"/>
          <w:color w:val="000000"/>
          <w:lang w:val="en-GB"/>
        </w:rPr>
        <w:t xml:space="preserve"> als unlösbar zu verlassen, daß ich noch den Versuch wage, eine Bemerkung anzufügen, die nach einem neuen Ausweg weist. Ludwig Jekels hat kürzlich in einer Shakespeare-Studie ein Stück der Technik des Dichters zu erraten geglaubt, welches auch für </w:t>
      </w:r>
      <w:r w:rsidRPr="008725BE">
        <w:rPr>
          <w:rFonts w:ascii="Garamond" w:hAnsi="Garamond"/>
          <w:i/>
          <w:iCs/>
          <w:color w:val="000000"/>
          <w:lang w:val="en-GB"/>
        </w:rPr>
        <w:t>Macbeth</w:t>
      </w:r>
      <w:r w:rsidRPr="008725BE">
        <w:rPr>
          <w:rFonts w:ascii="Garamond" w:hAnsi="Garamond"/>
          <w:color w:val="000000"/>
          <w:lang w:val="en-GB"/>
        </w:rPr>
        <w:t xml:space="preserve"> in </w:t>
      </w:r>
      <w:r w:rsidRPr="008725BE">
        <w:rPr>
          <w:rFonts w:ascii="Garamond" w:hAnsi="Garamond"/>
          <w:color w:val="000000"/>
          <w:lang w:val="en-GB"/>
        </w:rPr>
        <w:lastRenderedPageBreak/>
        <w:t xml:space="preserve">Betracht kommen könnte. Er meint, daß Shakespeare häufig einen Charakter in zwei Personen zerlegt, von denen dann jede unvollkommen begreiflich erscheint, solange man sie nicht mit der anderen wiederum zur Einheit zusammensetzt. So könnte es auch mit Macbeth und der Lady sein, und dann würde es natürlich zu nichts führen, wollte man sie als selbständige Person fassen und nach der Motivierung ihrer Umwandlung forschen, ohne auf den sie ergänzenden Macbeth Rücksicht zu nehmen. Ich folge dieser Spur nicht weiter, aber ich will doch anführen, was in so auffälliger Weise diese Auffassung stützt, daß die Angstkeime, die in der Mordnacht bei Macbeth hervorbrechen, nicht bei ihm, sondern bei der Lady zur Entwicklung gelangen </w:t>
      </w:r>
      <w:hyperlink r:id="rId82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Darmstetter, l. c.</w:t>
        </w:r>
      </w:hyperlink>
      <w:r w:rsidRPr="008725BE">
        <w:rPr>
          <w:rFonts w:ascii="Garamond" w:hAnsi="Garamond"/>
          <w:color w:val="000000"/>
          <w:lang w:val="en-GB"/>
        </w:rPr>
        <w:t>. Er ist es, der vor der Tat die Halluzination des Dolches gehabt hat, aber sie, die später der geistigen Erkrankung verfällt; er hat nach dem Morde im Hause schreien gehört: Schlaft nicht mehr, Macbeth mordet den Schlaf und also soll Macbeth nicht mehr schlafen, aber wir vernehmen nichts davon, daß König Macbeth nicht mehr schläft, während wir sehen, daß die Königin aus ihrem Schlafe aufsteht und nachtwandelnd ihre Schuld verrät; er stand hilflos da mit blutigen Händen und klagte, daß all des Meergottes Flut nicht reinwasche seine Hand; sie tröstete damals: Ein wenig Wasser spült uns ab die Tat, aber dann ist sie es, die eine Viertelstunde lang ihre Hände wäscht und die Befleckung des Blutes nicht beseitigen kann. »Alle Wohlgerüche Arabiens machen nicht süßduftend diese kleine Hand.« (Akt V, Szene 1.) So erfüllt sich an ihr, was er in seiner Gewissensangst gefürchtet; sie wird die Reue nach der Tat, er wird der Trotz, sie erschöpfen miteinander die Möglichkeiten der Reaktion auf das Verbrechen, wie zwei uneinige Anteile einer einzigen psychischen Individualität und vielleicht Nachbilder eines einzigen Vorbildes.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Haben wir an der Gestalt der Lady Macbeth die Frage nicht beantworten können, warum sie nach dem Erfolge als Kranke zusammenbricht, so winkt uns vielleicht eine bessere Aussicht bei der Schöpfung eines anderen großen Dramatikers, der die Aufgabe der psychologischen Rechenschaft mit unnachsichtiger Strenge zu verfolgen liebt.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Rebekka Gamvik, die Tochter einer Hebamme, ist von ihrem Adoptivvater Doktor West zur Freidenkerin und Verächterin jener Fesseln erzogen worden, welche eine auf religiösem Glauben gegründete Sittlichkeit den Lebenswünschen anlegen möchte. Nach dem Tode des Doktors verschafft sie sich Aufnahme in Rosmersholm, dem Stammsitze eines alten Geschlechtes, dessen Mitglieder das Lachen nicht kennen und die Freude einer starren Pflichterfüllung geopfert haben. Auf Rosmersholm hausen der Pastor Johannes Rosmer und seine kränkliche, kinderlose Gattin Beate. »Von wildem, unbezwinglichem Gelüst« nach der Liebe des adeligen Mannes ergriffen, beschließt Rebekka, die Frau, die ihr im Wege steht, wegzuräumen, und bedient sich dabei ihres »mutigen, freigeborenen«, durch keine Rücksichten gehemmten Willens. Sie spielt ihr ein ärztliches Buch in die Hand, in dem die Kindererzeugung als der Zweck der Ehe hingestellt wird, so daß die Arme an der Berechtigung ihrer Ehe irrewird, sie läßt sie erraten, daß Rosmer, dessen Lektüre und Gedankengänge sie teilt, im Begriffe ist, sich vom alten Glauben loszumachen und die Partei der Aufklärung zu nehmen, und nachdem sie so das Vertrauen der Frau in die sittliche Verläßlichkeit ihres Mannes erschüttert hat, gibt sie ihr endlich zu verstehen, daß sie selbst, Rebekka, bald das Haus verlassen wird, um die Folgen eines unerlaubten Verkehrs mit Rosmer zu verheimlichen. Der verbrecherische Plan gelingt. Die arme Frau, die für schwermütig und unzurechnungsfähig gegolten hat, stürzt sich vom Mühlensteg herab ins Wasser, im Gefühle des eigenen Unwertes und um dem Glücke des geliebten Mannes nicht im Wege zu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Seit Jahr und Tag leben nun Rebekka und Rosmer allein auf Rosmersholm in einem Verhältnis, welches er für eine rein geistige und ideelle Freundschaft halten will. Als aber von außen her die ersten Schatten der Nachrede auf dieses Verhältnis fallen und gleichzeitig quälende Zweifel in Rosmer rege gemacht werden, aus welchen Motiven seine Frau in den Tod gegangen ist, bittet er Rebekka, seine zweite Frau zu werden, um der traurigen Vergangenheit eine neue lebendige Wirklichkeit entgegenstellen zu können. (Akt II.) Sie jubelt bei diesem Antrage einen Augenblick lang auf, aber schon im nächsten erklärt sie, es sei unmöglich, und wenn er weiter in sie dringe, werde sie »den Weg gehen, den Beate gegangen ist«. Verständnislos nimmt Rosmer die Abweisung entgegen; noch unverständlicher aber ist sie für uns, die wir mehr von Rebekkas Tun und Absichten wissen. Wir dürfen bloß nicht daran zweifeln, daß ihr Nein ernst gemeint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Wie konnte es kommen, daß die Abenteurerin mit dem mutigen, freigeborenen Willen, die sich ohne jede Rücksicht den Weg zur Verwirklichung ihrer Wünsche gebahnt, nun nicht zugreifen will, da ihr angeboten wird, die Frucht des Erfolges zu pflücken? Sie gibt uns selbst die Aufklärung im vierten Akt: »Das ist doch eben das Furchtbare, jetzt, da alles Glück der Welt mir mit vollen Händen geboten wird –; jetzt bin ich eine solche geworden, daß meine eigene Vergangenheit mir den Weg zum Glück versperrt.« Sie ist also </w:t>
      </w:r>
      <w:r w:rsidRPr="008725BE">
        <w:rPr>
          <w:rFonts w:ascii="Garamond" w:hAnsi="Garamond"/>
          <w:color w:val="000000"/>
          <w:lang w:val="en-GB"/>
        </w:rPr>
        <w:lastRenderedPageBreak/>
        <w:t>eine andere geworden unterdes, ihr Gewissen ist erwacht, sie hat ein Schuldbewußtsein bekommen, welches ihr den Genuß versagt.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Und wodurch wurde ihr Gewissen geweckt? Hören wir sie selbst und überlegen wir dann, ob wir ihr voll Glauben schenken dürfen: »Es ist die Lebensanschauung des Hauses Rosmer –; oder wenigstens deine Lebensanschauung –;, die meinen Willen angesteckt hat ... Und ihn krank gemacht hat. Ihn geknechtet hat mit Gesetzen, die früher für mich nicht gegolten haben. Das Zusammenleben mit dir –; du, das hat meinen Sinn geadelt.«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Dieser Einfluß, ist hinzuzunehmen, hat sich erst geltend gemacht, als sie mit Rosmer allein zusammenleben durfte: »–; in Stille –; in Einsamkeit –; als du mir deine Gedanken alle ohne Vorbehalt gabst –; eine jegliche Stimmung, so weich und so fein wie du sie fühltest –;, da trat die große Umwandlung 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Kurz vorher hatte sie die andere Seite dieser Wandlung beklagt: »Weil Rosmersholm mir die Kraft genommen hat, hier ist mein mutiger Wille gelähmt worden. Und verschandelt! Für mich ist die Zeit vorbei, da ich alles und jedes wagen durfte. Ich habe die Energie zum Handeln verloren, Rosmer.«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Erklärung gibt Rebekka, nachdem sie sich durch ein freiwilliges Geständnis vor Rosmer und dem Rektor Kroll, dem Bruder der von ihr beseitigten Frau, als Verbrecherin bloßgestellt hat. Ibsen hat durch kleine Züge von meisterhafter Feinheit festgelegt, daß diese Rebekka nicht lügt, aber auch nie ganz aufrichtig ist. Wie sie trotz aller Freiheit von Vorurteilen ihr Alter um ein Jahr herabgesetzt hat, so ist auch ihr Geständnis vor den beiden Männern unvollständig und wird durch das Drängen Krolls in einigen wesentlichen Punkten ergänzt. Auch uns bleibt die Freiheit anzunehmen, daß die Aufklärung ihres Verzichts das eine nur preisgibt, um ein anderes zu verschweigen.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Gewiß, wir haben keinen Grund, ihrer Aussage zu mißtrauen, daß die Luft auf Rosmersholm, ihr Umgang mit dem edlen Rosmer, veredelnd und –; lähmend auf sie gewirkt hat. Sie sagt damit, was sie weiß und empfunden hat. Aber es brauchte nicht alles zu sein, was in ihr vorgegangen ist; auch ist es nicht notwendig, daß sie sich über alles Rechenschaft geben konnte. Der Einfluß Rosmers konnte auch nur ein Deckmantel sein, hinter dem sich eine andere Wirkung verbirgt, und nach dieser anderen Richtung weist ein bemerkenswerter Zug.</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Noch nach ihrem Geständnis, in der letzten Unterredung, die das Stück beendet, bittet sie Rosmer nochmals, seine Frau zu werden. Er verzeiht ihr, was sie aus Liebe zu ihm verbrochen hat. Und nun antwortet sie nicht, was sie sollte, daß keine Verzeihung ihr das Schuldgefühl nehmen könne, das sie durch den tückischen Betrug an der armen Beate erworben, sondern sie belastet sich mit einem anderen Vorwurf, der uns bei der Freidenkerin fremdartig berühren muß, keinesfalls die Stelle verdient, an die er von Rebekka gesetzt wird: »Ach, mein Freund –; komm nie wieder darauf! </w:t>
      </w:r>
      <w:r w:rsidRPr="008725BE">
        <w:rPr>
          <w:rFonts w:ascii="Garamond" w:hAnsi="Garamond"/>
          <w:color w:val="000000"/>
        </w:rPr>
        <w:t>Es ist ein Ding der Unmöglichkeit –;! Denn du mußt wissen, Rosmer, ich habe eine Vergangenheit.« Sie will natürlich andeuten, daß sie sexuelle Beziehungen zu einem anderen Manne gehabt hat, und wir wollen uns merken, daß ihr diese Beziehungen zu einer Zeit, da sie frei und niemandem verantwortlich war, ein stärkeres Hindernis der Vereinigung mit Rosmer dünken als ihr wirklich verbrecherisches Benehmen gegen seine Frau.</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Rosmer lehnt es ab, von dieser Vergangenheit zu hören. </w:t>
      </w:r>
      <w:r w:rsidRPr="008725BE">
        <w:rPr>
          <w:rFonts w:ascii="Garamond" w:hAnsi="Garamond"/>
          <w:color w:val="000000"/>
          <w:lang w:val="en-GB"/>
        </w:rPr>
        <w:t>Wir können sie erraten, obwohl alles, was dahin weist, im Stücke sozusagen unterirdisch bleibt und aus Andeutungen erschlossen werden muß. Aus Andeutungen freilich, die mit solcher Kunst eingefügt sind, daß ein Mißverständnis derselben unmöglich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Zwischen Rebekkas erster Ablehnung und ihrem Geständnis geht etwas vor, was von entscheidender Bedeutung für ihr weiteres Schicksal ist. Der Rektor Kroll besucht sie, um sie durch die Mitteilung zu demütigen, er wisse, daß sie ein illegitimes Kind sei, die Tochter eben jenes Doktors West, der sie nach dem Tode ihrer Mutter adoptiert hat. Der Haß hat seinen Spürsinn geschärft, aber er meint nicht, ihr damit etwas Neues zu sagen. »In der Tat, ich meinte, Sie wüßten ganz genau Bescheid. Es wäre doch sonst recht merkwürdig gewesen, daß Sie sich von Dr. West adoptieren ließen –;.« »Und da nimmt er Sie zu sich –; gleich nach dem Tode Ihrer Mutter. Er behandelt Sie hart. Und doch bleiben Sie bei ihm. Sie wissen, daß er Ihnen nicht einen Pfennig hinterlassen wird. Sie haben ja auch nur eine Kiste Bücher bekommen. Und doch halten Sie bei ihm aus. Ertragen seine Launen. Pflegen ihn bis zum letzten Augenblick.« –; »Was Sie für ihn getan haben, das leite ich aus dem natürlichen Instinkt der Tochter her. Ihr ganzes übriges Auftreten halte ich für ein natürliches Ergebnis Ihrer Herkunft.«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Aber Kroll war im Irrtum. </w:t>
      </w:r>
      <w:r w:rsidRPr="008725BE">
        <w:rPr>
          <w:rFonts w:ascii="Garamond" w:hAnsi="Garamond"/>
          <w:color w:val="000000"/>
        </w:rPr>
        <w:t xml:space="preserve">Rebekka hatte nichts davon gewußt, daß sie die Tochter des Dr. West sein sollte. Als Kroll mit dunklen Anspielungen auf ihre Vergangenheit begann, mußte sie annehmen, er meine etwas anderes. Nachdem sie begriffen hat, worauf er sich bezieht, kann sie noch eine Weile ihre Fassung </w:t>
      </w:r>
      <w:r w:rsidRPr="008725BE">
        <w:rPr>
          <w:rFonts w:ascii="Garamond" w:hAnsi="Garamond"/>
          <w:color w:val="000000"/>
        </w:rPr>
        <w:lastRenderedPageBreak/>
        <w:t xml:space="preserve">bewahren, denn sie darf glauben, daß ihr Feind seiner Berechnung jenes Alter zugrunde gelegt hat, das sie ihm bei einem früheren Besuche fälschlich angegeben. Aber nachdem Kroll diese Einwendung siegreich zurückgewiesen: »Mag sein. Aber die Rechnung mag dennoch richtig sein, denn ein Jahr, ehe er angestellt wurde, ist West dort oben vorübergehend zu Besuch gewesen«, nach dieser neuen Mitteilung verliert sie jeden Halt. »Das ist nicht wahr.« –; Sie geht umher und ringt die Hände: »Es ist unmöglich. </w:t>
      </w:r>
      <w:r w:rsidRPr="008725BE">
        <w:rPr>
          <w:rFonts w:ascii="Garamond" w:hAnsi="Garamond"/>
          <w:color w:val="000000"/>
          <w:lang w:val="en-GB"/>
        </w:rPr>
        <w:t>Sie wollen mir das bloß einreden. Das kann ja nun und nimmermehr wahr sein. Kann nicht wahr sein! Nun und nimmermehr –;!« Ihre Ergriffenheit ist so arg, daß Kroll sie nicht auf seine Mitteilung zurückzuführen vermag.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Kroll: »Aber, meine Liebe –; warum um Gottes willen, werden Sie denn so heftig? Sie machen mir geradezu Angst? Was soll ich glauben und denken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Rebekka: »Nichts. Sie sollen weder etwas glauben noch etwas denken.« Kroll: »Dann müßten Sie mir aber wirklich erklären, warum Sie sich diese Sache –; diese Möglichkeit so zu Herzen nehmen.«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Rebekka (faßt sich wieder): »Das ist doch sehr einfach, Herr Rektor. Ich habe doch keine Lust, für ein uneheliches Kind zu gelten.«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Rätsel im Benehmen Rebekkas läßt nur eine Lösung zu. Die Mitteilung, daß Dr. West ihr Vater sein kann, ist der schwerste Schlag, der sie betreffen konnte, denn sie war nicht nur die Adoptivtochter, sondern auch die Geliebte dieses Mannes. Als Kroll seine Reden begann, meinte sie, er wolle auf diese Beziehungen anspielen, die sie wahrscheinlich unter Berufung auf ihre Freiheit einbekannt hätte. Aber das lag dem Rektor ferne; er wußte nichts von dem Liebesverhältnis mit Dr. West, wie sie nichts von dessen Vaterschaft. Nichts anderes als dieses Liebesverhältnis </w:t>
      </w:r>
      <w:r w:rsidRPr="008725BE">
        <w:rPr>
          <w:rFonts w:ascii="Garamond" w:hAnsi="Garamond"/>
          <w:i/>
          <w:iCs/>
          <w:color w:val="000000"/>
          <w:lang w:val="en-GB"/>
        </w:rPr>
        <w:t>kann</w:t>
      </w:r>
      <w:r w:rsidRPr="008725BE">
        <w:rPr>
          <w:rFonts w:ascii="Garamond" w:hAnsi="Garamond"/>
          <w:color w:val="000000"/>
          <w:lang w:val="en-GB"/>
        </w:rPr>
        <w:t xml:space="preserve"> sie im Sinne haben, wenn sie bei der letzten Weigerung gegen Rosmer vorschützt, sie habe eine Vergangenheit, die sie unwürdig mache, seine Frau zu werden. Wahrscheinlich hätte sie Rosmer, wenn er gewollt hätte, auch nur die eine Hälfte ihres Geheimnisses mitgeteilt und den schwereren Anteil desselben verschwiegen.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Aber nun verstehen wir freilich, daß diese Vergangenheit ihr als das schwerere Hindernis der Eheschließung erscheint, als das schwerere –; Verbrechen.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Nachdem sie erfahren hat, daß sie die Geliebte ihres eigenen Vaters gewesen ist, unterwirft sie sich ihrem jetzt übermächtig hervorbrechenden Schuldgefühl. Sie legt vor Rosmer und Kroll das Geständnis ab, durch das sie sich zur Mörderin stempelt, verzichtet endgültig auf das Glück, zu dem sie sich durch Verbrechen den Weg gebahnt hatte, und rüstet zur Abreise. Aber das eigentliche Motiv ihres Schuldbewußtseins, welches sie am Erfolge scheitern läßt, bleibt geheim. Wir haben gesehen, es ist noch etwas ganz anderes als die Atmosphäre von Rosmersholm und der sittigende Einfluß Rosmers.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Wer uns so weit gefolgt ist, wird jetzt nicht versäumen, einen Einwand vorzubringen, der dann manchen Zweifel rechtfertigen kann. Die erste Abweisung Rosmers durch Rebekka erfolgt ja vor dem zweiten Besuch Krolls, also vor seiner Aufdeckung ihrer unehelichen Geburt, und zu einer Zeit, da sie um ihren Inzest noch nicht weiß –; wenn wir den Dichter richtig verstanden haben. Doch ist diese Abweisung energisch und ernst gemeint. Das Schuldbewußtsein, das sie auf den Gewinn aus ihren Taten verzichten heißt, ist also schon vor ihrer Kenntnis um ihr Kapitalverbrechen wirksam, und wenn wir so viel zugeben, dann ist der Inzest als Quelle des Schuldbewußtseins vielleicht überhaupt zu streichen.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haben bisher Rebekka West behandelt, als wäre sie eine lebende Person und nicht eine Schöpfung der von dem kritischesten Verstand geleiteten Phantasie des Dichters Ibsen. Wir dürfen versuchen, bei der Erledigung dieses Einwandes denselben Standpunkt festzuhalten. Der Einwand ist gut, ein Stück Gewissen war auch vor der Kenntnis des Inzests bei Rebekka erwacht. Es steht nichts im Wege, für diese Wandlung den Einfluß verantwortlich zu machen, den Rebekka selbst anerkennt und anklagt. Aber damit kommen wir von der Anerkennung des zweiten Motivs nicht frei. Das Benehmen Rebekkas bei der Mitteilung des Rektors, ihre unmittelbar darauffolgende Reaktion durch das Geständnis lassen keinen Zweifel daran, daß erst jetzt das stärkere und das entscheidende Motiv des Verzichts in Wirkung tritt. Es liegt eben ein Fall von mehrfacher Motivierung vor, bei dem hinter dem oberflächlicheren Motiv ein tieferes zum Vorschein kommt. Gebote der poetischen Ökonomie hießen den Fall so gestalten, denn dies tiefere Motiv sollte nicht laut erörtert werden, es mußte gedeckt bleiben, der bequemen Wahrnehmung des Zuhörers im Theater oder des Lesers entzogen, sonst hätten sich bei diesem schwere Widerstände erhoben, auf die peinlichsten Gefühle begründet, welche die Wirkung des Schauspiels in Frage stellen könnten.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Mit Recht dürfen wir aber verlangen, daß das vorgeschobene Motiv nicht ohne inneren Zusammenhang mit dem von ihm gedeckten sei, sondern sich als eine Milderung und Ableitung aus dem letzteren erweise. Und wenn wir dem Dichter zutrauen dürfen, daß seine bewußte poetische Kombination folgerichtig aus unbewußten Voraussetzungen hervorgegangen ist, so können wir auch den Versuch machen zu zeigen, </w:t>
      </w:r>
      <w:r w:rsidRPr="008725BE">
        <w:rPr>
          <w:rFonts w:ascii="Garamond" w:hAnsi="Garamond"/>
          <w:color w:val="000000"/>
          <w:lang w:val="en-GB"/>
        </w:rPr>
        <w:lastRenderedPageBreak/>
        <w:t>daß er diese Forderung erfüllt hat. Rebekkas Schuldbewußtsein entspringt aus der Quelle des Inzestvorwurfs, noch ehe der Rektor ihr diesen mit analytischer Schärfe zum Bewußtsein gebracht hat. Wenn wir ausführend und ergänzend ihre vom Dichter angedeutete Vergangenheit rekonstruieren, so werden wir sagen, sie kann nicht ohne Ahnung der intimen Beziehung zwischen ihrer Mutter und dem Doktor West gewesen sein. Es muß ihr einen großen Eindruck gemacht haben, als sie die Nachfolgerin der Mutter bei diesem Manne wurde, und sie stand unter der Herrschaft des Ödipus-Komplexes, auch wenn sie nicht wußte, daß diese allgemeine Phantasie in ihrem Falle zur Wirklichkeit geworden war. Als sie nach Rosmersholm kam, trieb sie die innere Gewalt jenes ersten Erlebnisses dazu an, durch tatkräftiges Handeln dieselbe Situation herbeizuführen, die sich das erstemal ohne ihr Dazutun verwirklicht hatte, die Frau und Mutter zu beseitigen, um beim Manne und Vater ihre Stelle einzunehmen. Sie schildert mit überzeugender Eindringlichkeit, wie sie gegen ihren Willen genötigt wurde, Schritt um Schritt zur Beseitigung Beatens zu tun.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»Aber glaubt Ihr denn, ich ging und handelte mit kühler Überlegung! Damals war ich doch nicht, was ich heute bin, wo ich vor Euch stehe und erzähle. Und dann gibt es doch auch, sollte ich meinen, zwei Arten Willen in einem Menschen. Ich wollte Beate weg haben! Auf irgendeine Art. Aber ich glaubte doch nicht, es würde jemals dahin kommen. Bei jedem Schritt, den es mich reizte, vorwärts zu wagen, war es mir, als schrie etwas in mir: Nun nicht weiter! Keinen Schritt mehr! –; Und doch konnte ich es nicht lassen. Ich mußte noch ein winziges Spürchen weiter. Und noch ein einziges Spürchen. Und dann noch eins –; und immer noch eins –;. Und so ist es geschehen. Auf diese Weise geht so etwas vor sich.«</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ist nicht Beschönigung, sondern wahrhafte Rechenschaft. Alles, was auf Rosmersholm mit ihr vorging, die Verliebtheit in Rosmer und die Feindseligkeit gegen seine Frau, war bereits Erfolg des Ödipus-Komplexes, erzwungene Nachbildung ihres Verhältnisses zu ihrer Mutter und zu Dr. West.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Und darum ist das Schuldgefühl, das sie zuerst die Werbung Rosmers abweisen läßt, im Grunde nicht verschieden von jenem größeren, das sie nach der Mitteilung Krolls zum Geständnis zwingt. Wie sie aber unter dem Einfluß des Dr. West zur Freidenkerin und Verächterin der religiösen Moral geworden war, so wandelte sie sich durch die neue Liebe zu Rosmer zum Gewissens- und Adelsmenschen. Soviel verstand sie selbst von ihren inneren Vorgängen, und darum durfte sie mit Recht den Einfluß Rosmers als das ihr zugänglich gewordene Motiv ihrer Änderung bezeichnen.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psychoanalytisch arbeitende Arzt weiß, wie häufig oder wie regelmäßig das Mädchen, welches als Dienerin, Gesellschafterin, Erzieherin in ein Haus eintritt, dort bewußt oder unbewußt am Tagtraum spinnt, dessen Inhalt dem Ödipus-Komplex entnommen ist, daß die Frau des Hauses irgendwie wegfallen und der Herr an deren Stelle sie zur Frau nehmen wird. </w:t>
      </w:r>
      <w:r w:rsidRPr="008725BE">
        <w:rPr>
          <w:rFonts w:ascii="Garamond" w:hAnsi="Garamond"/>
          <w:i/>
          <w:iCs/>
          <w:color w:val="000000"/>
          <w:lang w:val="en-GB"/>
        </w:rPr>
        <w:t>Rosmersholm</w:t>
      </w:r>
      <w:r w:rsidRPr="008725BE">
        <w:rPr>
          <w:rFonts w:ascii="Garamond" w:hAnsi="Garamond"/>
          <w:color w:val="000000"/>
          <w:lang w:val="en-GB"/>
        </w:rPr>
        <w:t xml:space="preserve"> ist das höchste Kunstwerk der Gattung, welche diese alltägliche Phantasie der Mädchen behandelt. Es wird eine tragische Dichtung durch den Zusatz, daß dem Tagtraum der Heldin die ganz entsprechende Wirklichkeit in ihrer Vorgeschichte vorausgegangen ist </w:t>
      </w:r>
      <w:hyperlink r:id="rId82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Der Nachweis des Inzestthemas in </w:t>
        </w:r>
        <w:r w:rsidRPr="008725BE">
          <w:rPr>
            <w:rStyle w:val="innerfusslink3"/>
            <w:rFonts w:ascii="Garamond" w:hAnsi="Garamond" w:cs="Arial"/>
            <w:b/>
            <w:bCs/>
            <w:i/>
            <w:iCs/>
            <w:lang w:val="en-GB"/>
          </w:rPr>
          <w:t>Rosmersholm</w:t>
        </w:r>
        <w:r w:rsidRPr="008725BE">
          <w:rPr>
            <w:rStyle w:val="innerfusslink3"/>
            <w:rFonts w:ascii="Garamond" w:hAnsi="Garamond" w:cs="Arial"/>
            <w:b/>
            <w:bCs/>
            <w:lang w:val="en-GB"/>
          </w:rPr>
          <w:t xml:space="preserve"> ist bereits mit denselben Mitteln wie hier in dem überaus reichhaltigen Werke von O. Rank, </w:t>
        </w:r>
        <w:r w:rsidRPr="008725BE">
          <w:rPr>
            <w:rStyle w:val="innerfusslink3"/>
            <w:rFonts w:ascii="Garamond" w:hAnsi="Garamond" w:cs="Arial"/>
            <w:b/>
            <w:bCs/>
            <w:i/>
            <w:iCs/>
            <w:lang w:val="en-GB"/>
          </w:rPr>
          <w:t>Das Inzestmotiv in Dichtung und Sage</w:t>
        </w:r>
        <w:r w:rsidRPr="008725BE">
          <w:rPr>
            <w:rStyle w:val="innerfusslink3"/>
            <w:rFonts w:ascii="Garamond" w:hAnsi="Garamond" w:cs="Arial"/>
            <w:b/>
            <w:bCs/>
            <w:lang w:val="en-GB"/>
          </w:rPr>
          <w:t>, 1912, erbracht worden.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Nach langem Aufenthalte bei der Dichtung kehren wir nun zur ärztlichen Erfahrung zurück. Aber nur, um mit wenigen Worten die volle Übereinstimmung beider festzustellen. Die psychoanalytische Arbeit lehrt, daß die Gewissenskräfte, welche am Erfolg erkranken lassen anstatt wie sonst an der Versagung, in intimer Weise mit dem Ödipus-Komplex zusammenhängen, mit dem Verhältnis zu Vater und Mutter, wie vielleicht unser Schuldbewußtsein überhaupt.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III. Die Verbrecher aus Schuldbewußtsein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den Mitteilungen über ihre Jugend, besonders über die Jahre der Vorpubertät, haben mir oft später sehr anständige Personen von unerlaubten Handlungen berichtet, die sie sich damals hatten zuschulden kommen lassen, von Diebstählen, Betrügereien und selbst Brandstiftungen. Ich pflegte über diese Angaben mit der Auskunft hinwegzugehen, daß die Schwäche der moralischen Hemmungen in dieser Lebenszeit bekannt sei, und versuchte nicht, sie in einen bedeutsameren Zusammenhang einzureihen. Aber endlich wurde ich durch grelle und günstigere Fälle, bei denen solche Vergehen begangen wurden, während die Kranken sich in meiner Behandlung befanden, und wo es sich um Personen jenseits jener jungen Jahre handelte, zum gründlicheren Studium solcher Vorfälle aufgefordert. Die analytische Arbeit brachte dann das überraschende Ergebnis, daß solche Taten vor allem darum vollzogen wurden, weil sie verboten und weil mit ihrer Ausführung eine seelische Erleichterung für den Täter verbunden war. Er litt an einem drückenden Schuldbewußtsein unbekannter Herkunft, und nachdem er ein Vergehen begangen hatte, war der Druck gemildert. Das Schuldbewußtsein war wenigstens irgendwie untergebracht.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So paradox es klingen mag, ich muß behaupten, daß das Schuldbewußtsein früher da war als das Vergehen, daß es nicht aus diesem hervorging, sondern umgekehrt das Vergehen aus dem Schuldbewußtsein. Diese Personen durfte man mit gutem Recht als Verbrecher aus Schuldbewußtsein bezeichnen. Die Präexistenz des Schuldgefühls hatte sich natürlich durch eine ganze Reihe von anderen Äußerungen und Wirkungen nachweisen lassen.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Feststellung eines Kuriosums setzt der wissenschaftlichen Arbeit aber kein Ziel. Es sind zwei weitere Fragen zu beantworten, woher das dunkle Schuldgefühl vor der Tat stammt und ob es wahrscheinlich ist, daß eine solche Art der Verursachung an den Verbrechen der Menschen einen größeren Anteil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Die Verfolgung der ersten Frage versprach eine Auskunft über die Quelle des menschlichen Schuldgefühls überhaupt. Das regelmäßige Ergebnis der analytischen Arbeit lautete, daß dieses dunkle Schuldgefühl aus dem Ödipus-Komplex stamme, eine Reaktion sei auf die beiden großen verbrecherischen Absichten, den Vater zu töten und mit der Mutter sexuell zu verkehren. </w:t>
      </w:r>
      <w:r w:rsidRPr="008725BE">
        <w:rPr>
          <w:rFonts w:ascii="Garamond" w:hAnsi="Garamond"/>
          <w:color w:val="000000"/>
          <w:lang w:val="en-GB"/>
        </w:rPr>
        <w:t xml:space="preserve">Im Vergleich mit diesen beiden waren allerdings die zur Fixierung des Schuldgefühls begangenen Verbrechen Erleichterungen für den Gequälten. Man muß sich hier daran erinnern, daß Vatermord und Mutterinzest die beiden großen Verbrechen der Menschen sind, die einzigen, die in primitiven Gesellschaften als solche verfolgt und verabscheut werden. Auch daran, wie nahe wir durch andere Untersuchungen der Annahme gekommen sind, daß die Menschheit ihr Gewissen, das nun als vererbte Seelenmacht auftritt, am </w:t>
      </w:r>
      <w:r w:rsidRPr="008725BE">
        <w:rPr>
          <w:rFonts w:ascii="Garamond" w:hAnsi="Garamond"/>
          <w:i/>
          <w:iCs/>
          <w:color w:val="000000"/>
          <w:lang w:val="en-GB"/>
        </w:rPr>
        <w:t>Ödipus-Komplex</w:t>
      </w:r>
      <w:r w:rsidRPr="008725BE">
        <w:rPr>
          <w:rFonts w:ascii="Garamond" w:hAnsi="Garamond"/>
          <w:color w:val="000000"/>
          <w:lang w:val="en-GB"/>
        </w:rPr>
        <w:t xml:space="preserve"> erworben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Beantwortung der zweiten Frage geht über die psychoanalytische Arbeit hinaus. Bei Kindern kann man ohneweiters beobachten, daß sie »schlimm« werden, um Strafe zu provozieren, und nach der Bestrafung beruhigt und zufrieden sind. Eine spätere analytische Untersuchung führt oft auf die Spur des Schuldgefühls, welches sie die Strafe suchen hieß. Von den erwachsenen Verbrechern muß man wohl alle die abziehen, die ohne Schuldgefühl Verbrechen begehen, die entweder keine moralischen Hemmungen entwickelt haben oder sich im Kampf mit der Gesellschaft zu ihrem Tun berechtigt glauben. Aber bei der Mehrzahl der anderen Verbrecher, bei denen, für die die Strafsatzungen eigentlich gemacht sind, könnte eine solche Motivierung des Verbrechens sehr wohl in Betracht kommen, manche dunkle Punkte in der Psychologie des Verbrechers erhellen und der Strafe eine neue psychologische Fundierung geben.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 Freund hat mich dann darauf aufmerksam gemacht, daß der »Verbrecher aus Schuldgefühl« auch Nietzsche bekannt war. Die Präexistenz des Schuldgefühls und die Verwendung der Tat zur Rationalisierung desselben schimmern uns aus den Reden Zarathustras »Über den bleichen Verbrecher« entgegen. Überlassen wir es zukünftiger Forschung zu entscheiden, wieviele von den Verbrechern zu diesen »bleichen« zu rechnen sind.</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Ei</w:t>
        </w:r>
        <w:bookmarkStart w:id="170" w:name="KS35"/>
        <w:bookmarkEnd w:id="170"/>
        <w:r w:rsidRPr="008725BE">
          <w:rPr>
            <w:rStyle w:val="Lienhypertexte"/>
            <w:rFonts w:ascii="Garamond" w:hAnsi="Garamond" w:cs="Arial"/>
            <w:b/>
            <w:bCs/>
            <w:lang w:val="en-GB"/>
          </w:rPr>
          <w:t>nige psychische Folgen des anatomischen Geschlechtsunterschieds</w:t>
        </w:r>
      </w:hyperlink>
      <w:r w:rsidRPr="008725BE">
        <w:rPr>
          <w:rFonts w:ascii="Garamond" w:hAnsi="Garamond"/>
          <w:color w:val="000000"/>
          <w:lang w:val="en-GB"/>
        </w:rPr>
        <w:t xml:space="preserve">  </w:t>
      </w:r>
      <w:r w:rsidRPr="008725BE">
        <w:rPr>
          <w:rFonts w:ascii="Garamond" w:hAnsi="Garamond"/>
          <w:caps/>
          <w:color w:val="000000"/>
          <w:lang w:val="en-GB"/>
        </w:rPr>
        <w:t>(1925)</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Meine und meiner Schüler Arbeiten vertreten mit stetig wachsender Entschiedenheit die Forderung, daß die Analyse der Neurotiker auch die erste Kindheitsperiode, die Zeit der Frühblüte des Sexuallebens, durchdringen müsse. Nur wenn man die ersten Äußerungen der mitgebrachten Triebkonstitution und die Wirkungen der frühesten Lebenseindrücke erforscht, kann man die Triebkräfte der späteren Neurose richtig erkennen und ist gesichert gegen die Irrtümer, zu denen man durch die Umbildungen und Überlagerungen der Reifezeit verlockt würde. Diese Forderung ist nicht nur theoretisch bedeutsam, sie hat auch praktische Wichtigkeit, denn sie scheidet unsere Bemühungen von der Arbeit solcher Ärzte, die, nur therapeutisch orientiert, sich eine Strecke weit analytischer Methoden bedienen. Solch eine Frühzeitanalyse ist langwierig, mühselig und stellt Ansprüche an Arzt und Patient, deren Erfüllung die Praxis nicht immer entgegenkommt. Sie führt ferner in Dunkelheiten, durch welche uns noch immer die Wegweiser fehlen. Ja, ich meine, man darf den Analytikern die Versicherung geben, daß ihrer wissenschaftlichen Arbeit die Gefahr, mechanisiert und damit uninteressant zu werden, auch für die nächsten Jahrzehnte nicht droht.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Im folgenden teile ich ein Ergebnis der analytischen Forschung mit, das sehr wichtig wäre, wenn es sich als allgemein gültig erweisen ließe. Warum schiebe ich die Veröffentlichung nicht auf, bis mir eine reichere Erfahrung diesen Nachweis, wenn er zu erbringen ist, geliefert hat? Weil in meinen Arbeitsbedingungen eine Veränderung eingetreten ist, deren Folgen ich nicht verleugnen kann. Früher einmal gehörte ich nicht zu denen, die eine vermeintliche Neuheit nicht eine Weile bei sich behalten können, bis sie Bekräftigung oder Berichtigung gefunden hat. Die </w:t>
      </w:r>
      <w:r w:rsidRPr="008725BE">
        <w:rPr>
          <w:rFonts w:ascii="Garamond" w:hAnsi="Garamond"/>
          <w:i/>
          <w:iCs/>
          <w:color w:val="000000"/>
          <w:lang w:val="en-GB"/>
        </w:rPr>
        <w:t>Traumdeutung</w:t>
      </w:r>
      <w:r w:rsidRPr="008725BE">
        <w:rPr>
          <w:rFonts w:ascii="Garamond" w:hAnsi="Garamond"/>
          <w:color w:val="000000"/>
          <w:lang w:val="en-GB"/>
        </w:rPr>
        <w:t xml:space="preserve"> und das ›Bruchstück einer Hysterie-Analyse‹ (der Fall Dora) sind, wenn nicht durch neun Jahre nach dem Horazischen Rezept, so doch durch vier bis fünf Jahre von mir unterdrückt worden, ehe ich sie der Öffentlichkeit preisgab. Aber damals dehnte sich die Zeit unabsehbar vor mir aus –; </w:t>
      </w:r>
      <w:r w:rsidRPr="008725BE">
        <w:rPr>
          <w:rFonts w:ascii="Garamond" w:hAnsi="Garamond"/>
          <w:i/>
          <w:iCs/>
          <w:color w:val="000000"/>
          <w:lang w:val="en-GB"/>
        </w:rPr>
        <w:t>oceans of time</w:t>
      </w:r>
      <w:r w:rsidRPr="008725BE">
        <w:rPr>
          <w:rFonts w:ascii="Garamond" w:hAnsi="Garamond"/>
          <w:color w:val="000000"/>
          <w:lang w:val="en-GB"/>
        </w:rPr>
        <w:t>, wie ein liebenswürdiger Dichter sagt –;, und das Material strömte mir so reichlich zu, daß ich mich der Erfahrungen kaum erwehren konnte. Auch war ich der einzige Arbeiter auf einem neuen Gebiet, meine Zurückhaltung brachte mir keine Gefahr und anderen keinen Schaden.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ist nun alles anders geworden. Die Zeit vor mir ist begrenzt, sie wird nicht mehr vollständig von der Arbeit ausgenützt; die Gelegenheiten, neue Erfahrungen zu machen, kommen also nicht so reichlich. Wenn ich etwas Neues zu sehen glaube, bleibt es mir unsicher, ob ich die Bestätigung abwarten kann. Auch ist alles bereits abgeschöpft, was an der Oberfläche dahintrieb; das übrige muß in langsamer Bemühung aus der Tiefe geholt werden. Endlich bin ich nicht mehr allein, eine Schar von eifrigen Mitarbeitern ist bereit, sich auch das Unfertige, unsicher Erkannte zunutze zu machen, ich darf ihnen den Anteil der Arbeit überlassen, den ich sonst selbst besorgt hätte. So fühle ich mich gerechtfertigt, diesmal etwas mitzuteilen, was dringend der Nachprüfung bedarf, ehe es in seinem Wert oder Unwert erkannt werden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wir die ersten psychischen Gestaltungen des Sexuallebens beim Kinde untersuchten, nahmen wir regelmäßig das männliche Kind, den kleinen Knaben, zum Objekt. Beim kleinen Mädchen, meinten wir, müsse es ähnlich zugehen, aber doch in irgendeiner Weise anders. An welcher Stelle des Entwicklungsganges diese Verschiedenheit zu finden ist, das wollte sich nicht klar ergeben.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Situation des Ödipuskomplexes ist die erste Station, die wir beim Knaben mit Sicherheit erkennen. Sie ist uns leicht verständlich, weil in ihr das Kind an demselben Objekt festhält, das es bereits in der vorhergehenden Säuglings- und Pflegeperiode mit seiner noch nicht genitalen Libido besetzt hatte. Auch daß es dabei den Vater als störenden Rivalen empfindet, den es beseitigen und ersetzen möchte, leitet sich glatt aus den realen Verhältnissen ab. Daß die Ödipus-Einstellung des Knaben der phallischen Phase angehört und an der Kastrationsangst, also am narzißtischen Interesse für das Genitale, zugrunde geht, habe ich an anderer Stelle </w:t>
      </w:r>
      <w:hyperlink r:id="rId83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›Der Untergang des Ödipuskomplexes‹.</w:t>
        </w:r>
      </w:hyperlink>
      <w:r w:rsidRPr="008725BE">
        <w:rPr>
          <w:rFonts w:ascii="Garamond" w:hAnsi="Garamond"/>
          <w:color w:val="000000"/>
          <w:lang w:val="en-GB"/>
        </w:rPr>
        <w:t xml:space="preserve"> ausgeführt. Eine Erschwerung des Verständnisses ergibt sich aus der Komplikation, daß der Ödipuskomplex selbst beim Knaben doppelsinnig angelegt ist, aktiv und passiv, der bisexuellen Anlage entsprechend. Der Knabe will auch als Liebesobjekt des Vaters die Mutter ersetzen, was wir als feminine Einstellung bezeichnen.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An der Vorgeschichte des Ödipuskomplexes beim Knaben ist uns noch lange nicht alles klar. Wir kennen aus ihr eine Identifizierung mit dem Vater zärtlicher Natur, welcher der Sinn der Rivalität bei der Mutter noch abgeht. Ein anderes Element dieser Vorzeit ist die, wie ich meine, nie ausbleibende masturbatorische Betätigung am Genitale, die frühkindliche Onanie, deren mehr oder minder gewalttätige Unterdrückung von seiten der Pflegepersonen den Kastrationskomplex aktiviert. Wir nehmen an, daß diese Onanie am Ödipuskomplex hängt und die Abfuhr seiner Sexualerregung bedeutet. Ob sie von Anfang an diese </w:t>
      </w:r>
      <w:r w:rsidRPr="008725BE">
        <w:rPr>
          <w:rFonts w:ascii="Garamond" w:hAnsi="Garamond"/>
          <w:color w:val="000000"/>
          <w:lang w:val="en-GB"/>
        </w:rPr>
        <w:lastRenderedPageBreak/>
        <w:t>Beziehung hat oder nicht vielmehr spontan als Organbetätigung auftritt und erst später den Anschluß an den Ödipuskomplex gewinnt, ist unsicher; die letztere Möglichkeit ist die weitaus wahrscheinlichere. Fraglich ist auch noch die Rolle des Bettnässens und seiner Abgewöhnung durch die Eingriffe der Erziehung. Wir bevorzugen die einfache Synthese, das fortgesetzte Bettnässen sei der Erfolg der Onanie, seine Unterdrückung werde vom Knaben wie eine Hemmung der Genitaltätigkeit, also im Sinne einer Kastrationsdrohung gewertet, aber ob wir damit jedesmal recht haben, steht dahin. Endlich läßt uns die Analyse schattenhaft erkennen, wie eine Belauschung des elterlichen Koitus in sehr früher Kinderzeit die erste sexuelle Erregung setzen und durch ihre nachträglichen Wirkungen der Ausgangspunkt für die ganze Sexualentwicklung werden kann. Die Onanie sowie die beiden Einstellungen des Ödipuskomplexes knüpfen späterhin an den in der Folge gedeuteten Eindruck an. Allein wir können nicht annehmen, daß solche Koitusbeobachtungen ein regelmäßiges Vorkommnis sind, und stoßen hier mit dem Problem der »Urphantasien« zusammen. So vieles ist also auch in der Vorgeschichte des Ödipuskomplexes beim Knaben noch ungeklärt, harrt der Sichtung und der Entscheidung, ob immer der nämliche Hergang anzunehmen ist oder ob nicht sehr verschiedenartige Vorstadien zum Treffpunkt der gleichen Endsituation führen.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Der Ödipuskomplex des kleinen Mädchens birgt ein Problem mehr als der des Knaben. Die Mutter war anfänglich beiden das erste Objekt, wir haben uns nicht zu verwundern, wenn der Knabe es für den Ödipuskomplex beibehält. Aber wie kommt das Mädchen dazu, es aufzugeben und dafür den Vater zum Objekt zu nehmen? </w:t>
      </w:r>
      <w:r w:rsidRPr="008725BE">
        <w:rPr>
          <w:rFonts w:ascii="Garamond" w:hAnsi="Garamond"/>
          <w:color w:val="000000"/>
          <w:lang w:val="en-GB"/>
        </w:rPr>
        <w:t>In der Verfolgung dieser Frage habe ich einige Feststellungen machen können, die gerade auf die Vorgeschichte der Ödipus-Relation beim Mädchen Licht werfen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Jeder Analytiker hat die Frauen kennengelernt, die mit besonderer Intensität und Zähigkeit an ihrer Vaterbindung festhalten und an dem Wunsch, vom Vater ein Kind zu bekommen, in dem diese gipfelt. Man hat guten Grund anzunehmen, daß diese Wunschphantasie auch die Triebkraft ihrer infantilen Onanie war, und gewinnt leicht den Eindruck, hier vor einer elementaren, nicht weiter auflösbaren Tatsache des kindlichen Sexuallebens zu stehen. Eingehende Analyse gerade dieser Fälle zeigt aber etwas anderes, nämlich daß der Ödipuskomplex hier eine lange Vorgeschichte hat und eine gewissermaßen sekundäre Bildung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Nach einer Bemerkung des alten Kinderarztes Lindner </w:t>
      </w:r>
      <w:hyperlink r:id="rId83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w:t>
        </w:r>
        <w:r w:rsidRPr="008725BE">
          <w:rPr>
            <w:rStyle w:val="innerfusslink3"/>
            <w:rFonts w:ascii="Garamond" w:hAnsi="Garamond" w:cs="Arial"/>
            <w:b/>
            <w:bCs/>
            <w:i/>
            <w:iCs/>
            <w:lang w:val="en-GB"/>
          </w:rPr>
          <w:t>Drei Abhandlungen zur Sexualtheorie</w:t>
        </w:r>
        <w:r w:rsidRPr="008725BE">
          <w:rPr>
            <w:rStyle w:val="innerfusslink3"/>
            <w:rFonts w:ascii="Garamond" w:hAnsi="Garamond" w:cs="Arial"/>
            <w:b/>
            <w:bCs/>
            <w:lang w:val="en-GB"/>
          </w:rPr>
          <w:t>.</w:t>
        </w:r>
      </w:hyperlink>
      <w:r w:rsidRPr="008725BE">
        <w:rPr>
          <w:rFonts w:ascii="Garamond" w:hAnsi="Garamond"/>
          <w:color w:val="000000"/>
          <w:lang w:val="en-GB"/>
        </w:rPr>
        <w:t xml:space="preserve"> entdeckt das Kind die lustspendende Genitalzone –; Penis oder Klitoris –; während des Wonnesaugens (Lutschens). Ich will es dahingestellt sein lassen, ob das Kind diese neugewonnene Lustquelle wirklich zum Ersatz für die kürzlich verlorene Brustwarze der Mutter nimmt, worauf spätere Phantasien ( </w:t>
      </w:r>
      <w:r w:rsidRPr="008725BE">
        <w:rPr>
          <w:rFonts w:ascii="Garamond" w:hAnsi="Garamond"/>
          <w:i/>
          <w:iCs/>
          <w:color w:val="000000"/>
          <w:lang w:val="en-GB"/>
        </w:rPr>
        <w:t>fellatio</w:t>
      </w:r>
      <w:r w:rsidRPr="008725BE">
        <w:rPr>
          <w:rFonts w:ascii="Garamond" w:hAnsi="Garamond"/>
          <w:color w:val="000000"/>
          <w:lang w:val="en-GB"/>
        </w:rPr>
        <w:t>) deuten mögen. Kurz, die Genitalzone wird irgendeinmal entdeckt, und es scheint unberechtigt, den ersten Betätigungen an ihr einen psychischen Inhalt unterzulegen. Der nächste Schritt in der so beginnenden phallischen Phase ist aber nicht die Verknüpfung dieser Onanie mit den Objektbesetzungen des Ödipuskomplexes, sondern eine folgenschwere Entdeckung, die dem kleinen Mädchen beschieden ist. Es bemerkt den auffällig sichtbaren, groß angelegten Penis eines Bruders oder Gespielen, erkennt ihn sofort als überlegenes Gegenstück seines eigenen, kleinen und versteckten Organs und ist von da an dem Penisneid verfallen.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Ein interessanter Gegensatz im Verhalten der beiden Geschlechter: Im analogen Falle, wenn der kleine Knabe die Genitalgegend des Mädchens zuerst erblickt, benimmt er sich unschlüssig, zunächst wenig interessiert; er sieht nichts, oder er verleugnet seine Wahrnehmung, schwächt sie ab, sucht nach Auskünften, um sie mit seiner Erwartung in Einklang zu bringen. Erst später, wenn eine Kastrationsdrohung auf ihn Einfluß gewonnen hat, wird diese Beobachtung für ihn bedeutungsvoll werden; ihre Erinnerung oder Erneuerung regt einen fürchterlichen Affektsturm in ihm an und unterwirft ihn dem Glauben an die Wirklichkeit der bisher verlachten Androhung. Zwei Reaktionen werden aus diesem Zusammentreffen hervorgehen, die sich fixieren können und dann jede einzeln oder beide vereint oder zusammen mit anderen Momenten sein Verhältnis zum Weib dauernd bestimmen werden: Abscheu vor dem verstümmelten Geschöpf oder triumphierende Geringschätzung desselben. Aber diese Entwicklungen gehören einer, wenn auch nicht weit entfernten Zukunft an.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Anders das kleine Mädchen. Sie ist im Nu fertig mit ihrem Urteil und ihrem Entschluß. Sie hat es gesehen, weiß, daß sie es nicht hat, und will es haben </w:t>
      </w:r>
      <w:hyperlink r:id="rId83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Hier ist der Anlaß, eine Behauptung zu berichtigen, die ich vor Jahren aufgestellt habe. Ich meinte, das Sexualinteresse der Kinder werde nicht wie das der Heranreifenden durch den Geschlechtsunterschied geweckt, sondern entzünde sich an dem Problem, woher die Kinder kommen. Das trifft also wenigstens für das Mädchen gewiß nicht zu. Beim Knaben wird es wohl das eine Mal so, das andere Mal anders zugehen </w:t>
        </w:r>
        <w:r w:rsidRPr="008725BE">
          <w:rPr>
            <w:rStyle w:val="innerfusslink3"/>
            <w:rFonts w:ascii="Garamond" w:hAnsi="Garamond" w:cs="Arial"/>
            <w:b/>
            <w:bCs/>
            <w:lang w:val="en-GB"/>
          </w:rPr>
          <w:lastRenderedPageBreak/>
          <w:t>können, oder bei beiden Geschlechtern werden die zufälligen Anlässe des Lebens darüber entscheiden.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An dieser Stelle zweigt der sogenannte Männlichkeitskomplex des Weibes ab, welcher der vorgezeichneten Entwicklung zur Weiblichkeit eventuell große Schwierigkeiten bereiten wird, wenn es nicht gelingt, ihn bald zu überwinden. Die Hoffnung, doch noch einmal einen Penis zu bekommen und dadurch dem Manne gleich zu werden, kann sich bis in unwahrscheinlich späte Zeiten erhalten und zum Motiv für sonderbare, sonst unverständliche Handlungen werden. Oder es tritt der Vorgang ein, den ich als </w:t>
      </w:r>
      <w:r w:rsidRPr="008725BE">
        <w:rPr>
          <w:rFonts w:ascii="Garamond" w:hAnsi="Garamond"/>
          <w:i/>
          <w:iCs/>
          <w:color w:val="000000"/>
          <w:lang w:val="en-GB"/>
        </w:rPr>
        <w:t>Verleugnung</w:t>
      </w:r>
      <w:r w:rsidRPr="008725BE">
        <w:rPr>
          <w:rFonts w:ascii="Garamond" w:hAnsi="Garamond"/>
          <w:color w:val="000000"/>
          <w:lang w:val="en-GB"/>
        </w:rPr>
        <w:t xml:space="preserve"> bezeichnen möchte, der im kindlichen Seelenleben weder selten noch sehr gefährlich zu sein scheint, der aber beim Erwachsenen eine Psychose einleiten würde. Das Mädchen verweigert es, die Tatsache ihrer Kastration anzunehmen, versteift sich in der Überzeugung, daß sie doch einen Penis besitzt, und ist gezwungen, sich in der Folge so zu benehmen, als ob sie ein Mann wäre.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psychischen Folgen des Penisneides, soweit er nicht in der Reaktionsbildung des Männlichkeitskomplexes aufgeht, sind vielfältige und weittragende. Mit der Anerkennung seiner narzißtischen Wunde stellt sich –; gleichsam als Narbe –; ein Minderwertigkeitsgefühl beim Weibe her. Nachdem es den ersten Versuch, seinen Penismangel als persönliche Strafe zu erklären, überwunden und die Allgemeinheit dieses Geschlechtscharakters erfaßt hat, beginnt es, die Geringschätzung des Mannes für das in einem entscheidenden Punkt verkürzte Geschlecht zu teilen, und hält wenigstens in diesem Urteil an der eigenen Gleichstellung mit dem Manne fest </w:t>
      </w:r>
      <w:hyperlink r:id="rId83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Ich habe schon in meiner ersten kritischen Äußerung ›Zur Geschichte der psychoanalytischen Bewegung‹ (1914  </w:t>
        </w:r>
        <w:r w:rsidRPr="008725BE">
          <w:rPr>
            <w:rStyle w:val="innerfusslink3"/>
            <w:rFonts w:ascii="Garamond" w:hAnsi="Garamond" w:cs="Arial"/>
            <w:b/>
            <w:bCs/>
            <w:i/>
            <w:iCs/>
            <w:lang w:val="en-GB"/>
          </w:rPr>
          <w:t>d</w:t>
        </w:r>
        <w:r w:rsidRPr="008725BE">
          <w:rPr>
            <w:rStyle w:val="innerfusslink3"/>
            <w:rFonts w:ascii="Garamond" w:hAnsi="Garamond" w:cs="Arial"/>
            <w:b/>
            <w:bCs/>
            <w:lang w:val="en-GB"/>
          </w:rPr>
          <w:t>) erkannt, daß dies der Wahrheitskern der Adlerschen Lehre ist, die kein Bedenken trägt, die ganze Welt aus diesem einen Punkte (Organminderwertigkeit –; männlicher Protest –; Abrücken von der weiblichen Linie) zu erklären, und sich dabei rühmt, die Sexualität zugunsten des Machtstrebens ihrer Bedeutung beraubt zu haben! Das einzige »minderwertige« Organ, das ohne Zweideutigkeit diesen Namen verdient, wäre also die Klitoris. Anderseits hört man, daß Analytiker sich rühmen, trotz jahrzehntelanger Bemühung nichts von der Existenz eines Kastrationskomplexes wahrgenommen zu haben. Man muß sich vor der Größe dieser Leistung in Bewunderung beugen, wenn es auch nur eine negative Leistung, ein Kunststück im Übersehen und Verkennen ist. Die beiden Lehren ergeben ein interessantes Gegensatzpaar: Hier keine Spur von einem Kastrationskomplex, dort nichts anderes als Folgen desselben.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Auch wenn der Penisneid auf sein eigentliches Objekt verzichtet hat, hört er nicht auf zu existieren, er lebt in der Charaktereigenschaft der </w:t>
      </w:r>
      <w:r w:rsidRPr="008725BE">
        <w:rPr>
          <w:rFonts w:ascii="Garamond" w:hAnsi="Garamond"/>
          <w:i/>
          <w:iCs/>
          <w:color w:val="000000"/>
          <w:lang w:val="en-GB"/>
        </w:rPr>
        <w:t>Eifersucht</w:t>
      </w:r>
      <w:r w:rsidRPr="008725BE">
        <w:rPr>
          <w:rFonts w:ascii="Garamond" w:hAnsi="Garamond"/>
          <w:color w:val="000000"/>
          <w:lang w:val="en-GB"/>
        </w:rPr>
        <w:t xml:space="preserve"> mit leichter Verschiebung fort. Gewiß ist die Eifersucht nicht allein einem Geschlecht eigen und begründet sich auf einer breiteren Basis, aber ich meine, daß sie doch im Seelenleben des Weibes eine weitaus größere Rolle spielt, weil sie aus der Quelle des abgelenkten Penisneides eine ungeheure Verstärkung bezieht. Ehe ich noch diese Ableitung der Eifersucht kannte, hatte ich für die bei Mädchen so häufige Onaniephantasie »Ein Kind wird geschlagen« eine erste Phase konstruiert, in der sie die Bedeutung hat, ein anderes Kind, auf das man als Rivalen eifersüchtig ist, soll geschlagen werden </w:t>
      </w:r>
      <w:hyperlink r:id="rId83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›»Ein Kind wird geschlagen«‹.</w:t>
        </w:r>
      </w:hyperlink>
      <w:r w:rsidRPr="008725BE">
        <w:rPr>
          <w:rFonts w:ascii="Garamond" w:hAnsi="Garamond"/>
          <w:color w:val="000000"/>
          <w:lang w:val="en-GB"/>
        </w:rPr>
        <w:t>. Diese Phantasie scheint ein Relikt aus der phallischen Periode der Mädchen; die eigentümliche Starrheit, die mir an der monotonen Formel: Ein Kind wird geschlagen, auffiel, läßt wahrscheinlich noch eine besondere Deutung zu. Das Kind, das da geschlagen –; geliebkost wird, mag im Grunde nichts anderes sein als die Klitoris selbst, so daß die Aussage zu allertiefst das Eingeständnis der Masturbation enthält, die sich vom Anfang in der phallischen Phase bis in späte Zeiten an den Inhalt der Formel knüpft.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Eine dritte Abfolge des Penisneides scheint die Lockerung des zärtlichen Verhältnisses zum Mutterobjekt. </w:t>
      </w:r>
      <w:r w:rsidRPr="008725BE">
        <w:rPr>
          <w:rFonts w:ascii="Garamond" w:hAnsi="Garamond"/>
          <w:color w:val="000000"/>
          <w:lang w:val="en-GB"/>
        </w:rPr>
        <w:t>Man versteht den Zusammenhang nicht sehr gut, überzeugt sich aber, daß am Ende fast immer die Mutter für den Penismangel verantwortlich gemacht wird, die das Kind mit so ungenügender Ausrüstung in die Welt geschickt hat. Der historische Hergang ist oft der, daß bald nach der Entdeckung der Benachteiligung am Genitale Eifersucht gegen ein anderes Kind auftritt, das von der Mutter angeblich mehr geliebt wird, wodurch eine Motivierung für die Lösung von der Mutterbindung gewonnen ist. Dazu stimmt es dann, wenn dies von der Mutter bevorzugte Kind das erste Objekt der in Masturbation auslaufenden Schlagephantasie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Eine andere überraschende Wirkung des Penisneides –; oder der Entdeckung der Minderwertigkeit der Klitoris –; ist gewiß die wichtigste von allen. Ich hatte oftmals vorher den Eindruck gewonnen, daß das Weib im allgemeinen die Masturbation schlechter verträgt als der Mann, sich öfter gegen sie sträubt und außerstande ist, sich ihrer zu bedienen, wo der Mann unter gleichen Verhältnissen unbedenklich zu diesem Auskunftsmittel gegriffen hätte. Es ist begreiflich, daß die Erfahrung ungezählte Ausnahmen von diesem Satz aufweisen würde, wenn man ihn als Regel aufstellen wollte. Die Reaktionen der menschlichen </w:t>
      </w:r>
      <w:r w:rsidRPr="008725BE">
        <w:rPr>
          <w:rFonts w:ascii="Garamond" w:hAnsi="Garamond"/>
          <w:color w:val="000000"/>
          <w:lang w:val="en-GB"/>
        </w:rPr>
        <w:lastRenderedPageBreak/>
        <w:t>Individuen beiderlei Geschlechts sind ja aus männlichen und weiblichen Zügen gemengt. Aber es blieb doch der Anschein übrig, daß der Natur des Weibes die Masturbation ferner liege, und man konnte zur Lösung des angenommenen Problems die Erwägung heranziehen, daß wenigstens die Masturbation an der Klitoris eine männliche Betätigung sei und daß die Entfaltung der Weiblichkeit die Wegschaffung der Klitorissexualität zur Bedingung habe. Die Analysen der phallischen Vorzeit haben mich nun gelehrt, daß beim Mädchen bald nach den Anzeichen des Penisneides eine intensive Gegenströmung gegen die Onanie auftritt, die nicht allein auf den Einfluß der erziehenden Pflegeperson zurückgeführt werden kann. Diese Regung ist offenbar ein Vorbote jenes Verdrängungsschubes, der zur Zeit der Pubertät ein großes Stück der männlichen Sexualität beseitigen wird, um Raum für die Entwicklung der Weiblichkeit zu schaffen. Es mag sein, daß diese erste Opposition gegen die autoerotische Betätigung ihr Ziel nicht erreicht. So war es auch in den von mir analysierten Fällen. Der Konflikt setzte sich dann fort, und das Mädchen tat damals wie später alles, um sich vom Zwang zur Onanie zu befreien. Manche späteren Äußerungen des Sexuallebens beim Weibe bleiben unverständlich, wenn man dies starke Motiv nicht erkennt.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kann mir diese Auflehnung des kleinen Mädchens gegen die phallische Onanie nicht anders als durch die Annahme erklären, daß ihm diese lustbringende Betätigung durch ein nebenhergehendes Moment arg verleidet wird. Dieses Moment brauchte man dann nicht weit weg zu suchen; es müßte die mit dem Penisneid verknüpfte narzißtische Kränkung sein, die Mahnung, daß man es in diesem Punkte doch nicht mit dem Knaben aufnehmen kann und darum die Konkurrenz mit ihm am besten unterläßt. In solcher Weise drängt die Erkenntnis des anatomischen Geschlechtsunterschieds das kleine Mädchen von der Männlichkeit und von der männlichen Onanie weg in neue Bahnen, die zur Entfaltung der Weiblichkeit führen.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Vom Ödipuskomplex war bisher nicht die Rede, er hatte auch soweit keine Rolle gespielt. Nun aber gleitet die Libido des Mädchens –; man kann nur sagen: längs der vorgezeichneten symbolischen Gleichung Penis = Kind –; in eine neue Position. Es gibt den Wunsch nach dem Penis auf, um den Wunsch nach einem Kinde an die Stelle zu setzen, und nimmt </w:t>
      </w:r>
      <w:r w:rsidRPr="008725BE">
        <w:rPr>
          <w:rFonts w:ascii="Garamond" w:hAnsi="Garamond"/>
          <w:i/>
          <w:iCs/>
          <w:color w:val="000000"/>
          <w:lang w:val="en-GB"/>
        </w:rPr>
        <w:t>in dieser Absicht</w:t>
      </w:r>
      <w:r w:rsidRPr="008725BE">
        <w:rPr>
          <w:rFonts w:ascii="Garamond" w:hAnsi="Garamond"/>
          <w:color w:val="000000"/>
          <w:lang w:val="en-GB"/>
        </w:rPr>
        <w:t xml:space="preserve"> den Vater zum Liebesobjekt. Die Mutter wird zum Objekt der Eifersucht, aus dem Mädchen ist ein kleines Weib geworden. Wenn ich einer vereinzelten analytischen Erhebung glauben darf, kann es in dieser neuen Situation zu körperlichen Sensationen kommen, die als vorzeitiges Erwachen des weiblichen Genitalapparates zu beurteilen sind. Wenn diese Vaterbindung später als verunglückt aufgegeben werden muß, kann sie einer Vateridentifizierung weichen, mit der das Mädchen zum Männlichkeitskomplex zurückkehrt und sich eventuell an ihm fixiert.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habe nun das Wesentliche gesagt, das ich zu sagen hatte, und mache halt, um das Ergebnis zu überblicken. Wir haben Einsicht in die Vorgeschichte des Ödipuskomplexes beim Mädchen bekommen. Das Entsprechende beim Knaben ist ziemlich unbekannt. Beim Mädchen ist der Ödipuskomplex eine sekundäre Bildung. Die Auswirkungen des Kastrationskomplexes gehen ihm vorher und bereiten ihn vor. Für das Verhältnis zwischen Ödipus- und Kastrationskomplex stellt sich ein fundamentaler Gegensatz der beiden Geschlechter her. </w:t>
      </w:r>
      <w:r w:rsidRPr="008725BE">
        <w:rPr>
          <w:rFonts w:ascii="Garamond" w:hAnsi="Garamond"/>
          <w:i/>
          <w:iCs/>
          <w:color w:val="000000"/>
          <w:lang w:val="en-GB"/>
        </w:rPr>
        <w:t>Während der Ödipuskomplex des Knaben am Kastrationskomplex zugrunde geht</w:t>
      </w:r>
      <w:hyperlink r:id="rId83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Siehe ›Der Untergang des Ödipuskomplexes‹.</w:t>
        </w:r>
      </w:hyperlink>
      <w:r w:rsidRPr="008725BE">
        <w:rPr>
          <w:rFonts w:ascii="Garamond" w:hAnsi="Garamond"/>
          <w:i/>
          <w:iCs/>
          <w:color w:val="000000"/>
          <w:lang w:val="en-GB"/>
        </w:rPr>
        <w:t>, wird der des Mädchens durch den Kastrationskomplex ermöglicht und eingeleitet.</w:t>
      </w:r>
      <w:r w:rsidRPr="008725BE">
        <w:rPr>
          <w:rFonts w:ascii="Garamond" w:hAnsi="Garamond"/>
          <w:color w:val="000000"/>
          <w:lang w:val="en-GB"/>
        </w:rPr>
        <w:t xml:space="preserve"> Dieser Widerspruch erhält seine Aufklärung, wenn man erwägt, daß der Kastrationskomplex dabei immer im Sinne seines Inhaltes wirkt, hemmend und einschränkend für die Männlichkeit, befördernd auf die Weiblichkeit. Die Differenz in diesem Stück der Sexualentwicklung beim Mann und Weib ist eine begreifliche Folge der anatomischen Verschiedenheit der Genitalien und der damit verknüpften psychischen Situation, sie entspricht dem Unterschied von vollzogener und bloß angedrohter Kastration. Unser Ergebnis ist also im Grunde eine Selbstverständlichkeit, die man hätte vorhersehen können.</w:t>
      </w:r>
    </w:p>
    <w:p w:rsidR="008725BE" w:rsidRPr="008725BE" w:rsidRDefault="008725BE" w:rsidP="008725BE">
      <w:pPr>
        <w:pStyle w:val="Sansinterligne"/>
        <w:rPr>
          <w:rFonts w:ascii="Garamond" w:hAnsi="Garamond"/>
          <w:color w:val="000000"/>
        </w:rPr>
      </w:pPr>
      <w:r w:rsidRPr="008725BE">
        <w:rPr>
          <w:rFonts w:ascii="Garamond" w:hAnsi="Garamond"/>
          <w:color w:val="000000"/>
          <w:lang w:val="en-GB"/>
        </w:rPr>
        <w:t xml:space="preserve">Indes der Ödipuskomplex ist etwas so Bedeutsames, daß es auch nicht folgenlos bleiben kann, auf welche Weise man in ihn hineingeraten und von ihm losgekommen ist. Beim Knaben –; so habe ich in der letzterwähnten Publikation ausgeführt, an die ich hier überhaupt anknüpfe –; wird der Komplex nicht einfach verdrängt, er zerschellt förmlich unter dem Schock der Kastrationsdrohung. Seine libidinösen Besetzungen werden aufgegeben, desexualisiert und zum Teil sublimiert, seine Objekte dem Ich einverleibt, wo sie den Kern des Über-Ichs bilden und dieser Neuformation charakteristische Eigenschaften verleihen. Im normalen, besser gesagt: im idealen Falle besteht dann auch im Unbewußten kein Ödipuskomplex mehr, das Über-Ich ist sein Erbe geworden. Da der Penis –; im Sinne Ferenczis –; seine außerordentlich hohe narzißtische Besetzung seiner organischen Bedeutung für die Fortsetzung der Art verdankt, kann man die Katastrophe des Ödipuskomplexes –; die Abwendung vom Inzest, die </w:t>
      </w:r>
      <w:r w:rsidRPr="008725BE">
        <w:rPr>
          <w:rFonts w:ascii="Garamond" w:hAnsi="Garamond"/>
          <w:color w:val="000000"/>
          <w:lang w:val="en-GB"/>
        </w:rPr>
        <w:lastRenderedPageBreak/>
        <w:t xml:space="preserve">Einsetzung von Gewissen und Moral –; als einen Sieg der Generation über das Individuum auffassen. Ein interessanter Gesichtspunkt, wenn man erwägt, daß die Neurose auf einem Sträuben des Ichs gegen den Anspruch der Sexualfunktion beruht. </w:t>
      </w:r>
      <w:r w:rsidRPr="008725BE">
        <w:rPr>
          <w:rFonts w:ascii="Garamond" w:hAnsi="Garamond"/>
          <w:color w:val="000000"/>
        </w:rPr>
        <w:t>Aber das Verlassen des Standpunktes der individuellen Psychologie führt zunächst nicht zur Klärung der verschlungenen Beziehungen.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rPr>
        <w:t xml:space="preserve">Beim Mädchen entfällt das Motiv für die Zertrümmerung des Ödipuskomplexes. </w:t>
      </w:r>
      <w:r w:rsidRPr="008725BE">
        <w:rPr>
          <w:rFonts w:ascii="Garamond" w:hAnsi="Garamond"/>
          <w:color w:val="000000"/>
          <w:lang w:val="en-GB"/>
        </w:rPr>
        <w:t>Die Kastration hat ihre Wirkung bereits früher getan, und diese bestand darin, das Kind in die Situation des Ödipuskomplexes zu drängen. Dieser entgeht darum dem Schicksal, das ihm beim Knaben bereitet wird, er kann langsam verlassen, durch Verdrängung erledigt werden, seine Wirkungen weit in das für das Weib normale Seelenleben verschieben. Man zögert es auszusprechen, kann sich aber doch der Idee nicht erwehren, daß das Niveau des sittlich Normalen für das Weib ein anderes wird. Das Über-Ich wird niemals so unerbittlich, so unpersönlich, so unabhängig von seinen affektiven Ursprüngen, wie wir es vom Manne fordern. Charakterzüge, die die Kritik seit jeher dem Weibe vorgehalten hat, daß es weniger Rechtsgefühl zeigt als der Mann, weniger Neigung zur Unterwerfung unter die großen Notwendigkeiten des Lebens, sich öfter in seinen Entscheidungen von zärtlichen und feindseligen Gefühlen leiten läßt, fänden in der oben abgeleiteten Modifikation der Über-Ichbildung eine ausreichende Begründung. Durch den Widerspruch der Feministen, die uns eine völlige Gleichstellung und Gleichschätzung der Geschlechter aufdrängen wollen, wird man sich in solchen Urteilen nicht beirren lassen, wohl aber bereitwillig zugestehen, daß auch die Mehrzahl der Männer weit hinter dem männlichen Ideal zurückbleibt und daß alle menschlichen Individuen infolge ihrer bisexuellen Anlage und der gekreuzten Vererbung männliche und weibliche Charaktere in sich vereinigen, so daß die reine Männlichkeit und Weiblichkeit theoretische Konstruktionen bleiben mit ungesichertem Inhalt.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bin geneigt, den hier vorgebrachten Ausführungen über die psychischen Folgen des anatomischen Geschlechtsunterschieds Wert beizulegen, aber ich weiß, daß diese Schätzung nur aufrechtzuhalten ist, wenn sich die an einer Handvoll Fällen gemachten Funde allgemein bestätigen und als typisch herausstellen. Sonst bliebe es eben ein Beitrag zur Kenntnis der mannigfaltigen Wege in der Entwicklung des Sexuallebens.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den schätzenswerten und inhaltreichen Arbeiten über den Männlichkeits- und Kastrationskomplex des Weibes von Abraham (1921), Horney (1923), Helene Deutsch (1925) findet sich vieles, was nahe an meine Darstellung rührt, nichts, was sich ganz mit ihr deckt, so daß ich diese Veröffentlichung auch in dieser Hinsicht rechtfertigen möchte.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Er</w:t>
        </w:r>
        <w:bookmarkStart w:id="171" w:name="KS36"/>
        <w:bookmarkEnd w:id="171"/>
        <w:r w:rsidRPr="008725BE">
          <w:rPr>
            <w:rStyle w:val="Lienhypertexte"/>
            <w:rFonts w:ascii="Garamond" w:hAnsi="Garamond" w:cs="Arial"/>
            <w:b/>
            <w:bCs/>
            <w:lang w:val="en-GB"/>
          </w:rPr>
          <w:t>innern, Wiederholen und Durcharbeiten</w:t>
        </w:r>
      </w:hyperlink>
      <w:r w:rsidRPr="008725BE">
        <w:rPr>
          <w:rFonts w:ascii="Garamond" w:hAnsi="Garamond"/>
          <w:color w:val="000000"/>
          <w:lang w:val="en-GB"/>
        </w:rPr>
        <w:t xml:space="preserve">   </w:t>
      </w:r>
      <w:r w:rsidRPr="008725BE">
        <w:rPr>
          <w:rFonts w:ascii="Garamond" w:hAnsi="Garamond"/>
          <w:caps/>
          <w:color w:val="000000"/>
          <w:lang w:val="en-GB"/>
        </w:rPr>
        <w:t>(1914)</w:t>
      </w:r>
    </w:p>
    <w:p w:rsidR="008725BE" w:rsidRPr="008725BE" w:rsidRDefault="008725BE" w:rsidP="008725BE">
      <w:pPr>
        <w:pStyle w:val="Sansinterligne"/>
        <w:rPr>
          <w:rFonts w:ascii="Garamond" w:hAnsi="Garamond"/>
          <w:color w:val="A9A9A9"/>
          <w:lang w:val="en-GB"/>
        </w:rPr>
      </w:pPr>
    </w:p>
    <w:p w:rsidR="008725BE" w:rsidRPr="008725BE" w:rsidRDefault="008725BE" w:rsidP="008725BE">
      <w:pPr>
        <w:pStyle w:val="Sansinterligne"/>
        <w:rPr>
          <w:rFonts w:ascii="Garamond" w:hAnsi="Garamond"/>
          <w:color w:val="A9A9A9"/>
          <w:lang w:val="en-US"/>
        </w:rPr>
      </w:pPr>
      <w:r w:rsidRPr="008725BE">
        <w:rPr>
          <w:rFonts w:ascii="Garamond" w:hAnsi="Garamond"/>
          <w:color w:val="A9A9A9"/>
          <w:lang w:val="en-US"/>
        </w:rPr>
        <w:t>Weitere Ratschläge zur Technik der Psychoanalyse II</w:t>
      </w:r>
    </w:p>
    <w:p w:rsidR="008725BE" w:rsidRPr="008725BE" w:rsidRDefault="008725BE" w:rsidP="008725BE">
      <w:pPr>
        <w:pStyle w:val="Sansinterligne"/>
        <w:rPr>
          <w:rFonts w:ascii="Garamond" w:hAnsi="Garamond"/>
          <w:caps/>
          <w:color w:val="000000"/>
          <w:lang w:val="en-US"/>
        </w:rPr>
      </w:pPr>
    </w:p>
    <w:p w:rsidR="008725BE" w:rsidRPr="008725BE" w:rsidRDefault="008725BE" w:rsidP="008725BE">
      <w:pPr>
        <w:pStyle w:val="Sansinterligne"/>
        <w:rPr>
          <w:rFonts w:ascii="Garamond" w:hAnsi="Garamond"/>
          <w:color w:val="000000"/>
          <w:lang w:val="en-US"/>
        </w:rPr>
      </w:pPr>
      <w:r w:rsidRPr="008725BE">
        <w:rPr>
          <w:rFonts w:ascii="Garamond" w:hAnsi="Garamond"/>
          <w:color w:val="000000"/>
          <w:lang w:val="en-US"/>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scheint mir nicht überflüssig, den Lernenden immer wieder daran zu mahnen, welche tiefgreifenden Veränderungen die psychoanalytische Technik seit ihren ersten Anfängen erfahren hat. Zuerst, in der Phase der Breuerschen Katharsis, die direkte Einstellung des Moments der Symptombildung und das konsequent festgehaltene Bemühen, die psychischen Vorgänge jener Situation reproduzieren zu lassen, um sie zu einem Ablauf durch bewußte Tätigkeit zu leiten. Erinnern und Abreagieren waren damals die mit Hilfe des hypnotischen Zustandes zu erreichenden Ziele. Sodann, nach dem Verzicht auf die Hypnose, drängte sich die Aufgabe vor, aus den freien Einfällen des Analysierten zu erraten, was er zu erinnern versagte. Durch die Deutungsarbeit und die Mitteilung ihrer Ergebnisse an den Kranken sollte der Widerstand umgangen werden; die Einstellung auf die Situationen der Symptombildung und jene anderen, die sich hinter dem Momente der Erkrankung ergaben, blieb erhalten, das Abreagieren trat zurück und schien durch den Arbeitsaufwand ersetzt, den der Analysierte bei der ihm aufgedrängten Überwindung der Kritik gegen seine Einfälle (bei der Befolgung der </w:t>
      </w:r>
      <w:r w:rsidRPr="008725BE">
        <w:rPr>
          <w:rFonts w:ascii="Garamond" w:hAnsi="Garamond"/>
          <w:color w:val="000000"/>
        </w:rPr>
        <w:t>ψα</w:t>
      </w:r>
      <w:r w:rsidRPr="008725BE">
        <w:rPr>
          <w:rFonts w:ascii="Garamond" w:hAnsi="Garamond"/>
          <w:color w:val="000000"/>
          <w:lang w:val="en-GB"/>
        </w:rPr>
        <w:t xml:space="preserve"> Grundregel) zu leisten hatte. Endlich hat sich die konsequente heutige Technik herausgebildet, bei welcher der Arzt auf die Einstellung eines bestimmten Moments oder Problems verzichtet, sich damit begnügt, die jeweilige psychische Oberfläche des Analysierten zu studieren, und die Deutungskunst wesentlich dazu benützt, um die an dieser hervortretenden Widerstände zu erkennen und dem Kranken bewußtzumachen. Es stellt sich dann eine neue Art von Arbeitsteilung her: Der Arzt deckt die dem Kranken unbekannten Widerstände auf; sind diese erst bewältigt, so erzählt der Kranke oft ohne alle Mühe die vergessenen Situationen und Zusammenhänge. Das Ziel dieser Techniken ist natürlich unverändert geblieben. Deskriptiv: die Ausfüllung der Lücken der Erinnerung, dynamisch: die Überwindung der Verdrängungswiderstände.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Man muß der alten hypnotischen Technik dankbar dafür bleiben, daß sie uns einzelne psychische Vorgänge der Analyse in Isolierung und Schematisierung vorgeführt hat. Nur dadurch konnten wir den Mut gewinnen, komplizierte Situationen in der analytischen Kur selbst zu schaffen und durchsichtig zu erhalten.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Erinnern gestaltete sich nun in jenen hypnotischen Behandlungen sehr einfach. Der Patient versetzte sich in eine frühere Situation, die er mit der gegenwärtigen niemals zu verwechseln schien, teilte die psychischen Vorgänge derselben mit, soweit sie normal geblieben waren, und fügte daran, was sich durch die Umsetzung der damals unbewußten Vorgänge in bewußte ergeben konnte.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schließe hier einige Bemerkungen an, die jeder Analytiker in seiner Erfahrung bestätigt gefunden hat. Das Vergessen von Eindrücken, Szenen, Erlebnissen reduziert sich zumeist auf eine »Absperrung« derselben. Wenn der Patient von diesem »Vergessenen« spricht, versäumt er selten hinzuzufügen: »Das habe ich eigentlich immer gewußt, nur nicht daran gedacht.« Er äußert nicht selten seine Enttäuschung darüber, daß ihm nicht genug Dinge einfallen wollen, die er als »vergessen« anerkennen kann, an die er nie wieder gedacht, seitdem sie vorgefallen sind. Indes findet auch diese Sehnsucht, zumal bei Konversionshysterien, ihre Befriedigung. Das »Vergessen« erfährt eine weitere Einschränkung durch die Würdigung der so allgemein vorhandenen Deckerinnerungen. In manchen Fällen habe ich den Eindruck empfangen, daß die bekannte, für uns theoretisch so bedeutsame Kindheitsamnesie durch die Deckerinnerungen vollkommen aufgewogen wird. In diesen ist nicht nur einiges Wesentliche aus dem Kindheitsleben erhalten, sondern eigentlich alles Wesentliche. Man muß nur verstehen, es durch die Analyse aus ihnen zu entwickeln. Sie repräsentieren die vergessenen Kinderjahre so zureichend wie der manifeste Trauminhalt die Traumgedanken.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andere Gruppe von psychischen Vorgängen, die man als rein interne Akte den Eindrücken und Ergebnissen entgegenstellen kann, Phantasien, Beziehungsvorgänge, Gefühlsregungen, Zusammenhänge, muß in ihrem Verhältnis zum Vergessen und Erinnern gesondert betrachtet werden. Hier ereignet es sich besonders häufig, daß etwas »erinnert« wird, was nie »vergessen« werden konnte, weil es zu keiner Zeit gemerkt wurde, niemals bewußt war, und es scheint überdies völlig gleichgültig für den psychischen Ablauf, ob ein solcher »Zusammenhang« bewußt war und dann vergessen wurde oder ob er es niemals zum Bewußtsein gebracht hat. Die Überzeugung, die der Kranke im Laufe der Analyse erwirbt, ist von einer solchen Erinnerung ganz unabhängig.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Besonders bei den mannigfachen Formen der Zwangsneurose schränkt sich das Vergessene meist auf die Auflösung von Zusammenhängen, Verkennung von Abfolgen, Isolierung von Erinnerungen 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Für eine besondere Art von überaus wichtigen Erlebnissen, die in sehr frühe Zeiten der Kindheit fallen und seinerzeit ohne Verständnis erlebt worden sind, </w:t>
      </w:r>
      <w:r w:rsidRPr="008725BE">
        <w:rPr>
          <w:rFonts w:ascii="Garamond" w:hAnsi="Garamond"/>
          <w:i/>
          <w:iCs/>
          <w:color w:val="000000"/>
          <w:lang w:val="en-GB"/>
        </w:rPr>
        <w:t>nachträglich</w:t>
      </w:r>
      <w:r w:rsidRPr="008725BE">
        <w:rPr>
          <w:rFonts w:ascii="Garamond" w:hAnsi="Garamond"/>
          <w:color w:val="000000"/>
          <w:lang w:val="en-GB"/>
        </w:rPr>
        <w:t xml:space="preserve"> aber Verständnis und Deutung gefunden haben, läßt sich eine Erinnerung meist nicht erwecken. Man gelangt durch Träume zu ihrer Kenntnis und wird durch die zwingendsten Motive aus dem Gefüge der Neurose genötigt, an sie zu glauben, kann sich auch überzeugen, daß der Analysierte nach Überwindung seiner Widerstände das Ausbleiben des Erinnerungsgefühles (Bekanntschaftsempfindung) nicht gegen deren Annahme verwertet. Immerhin erfordert dieser Gegenstand so viel kritische Vorsicht und bringt so viel Neues und Befremdendes, daß ich ihn einer gesonderten Behandlung an geeignetem Materiale vorbehalte.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Von diesem erfreulich glatten Ablauf ist nun bei Anwendung der neuen Technik sehr wenig, oft nichts übriggeblieben. Es kommen auch hier Fälle vor, die sich ein Stück weit verhalten wie bei der hypnotischen Technik und erst später versagen; andere Fälle benehmen sich aber von vornherein anders. Halten wir uns zur Kennzeichnung des Unterschiedes an den letzteren Typus, so dürfen wir sagen, der Analysierte </w:t>
      </w:r>
      <w:r w:rsidRPr="008725BE">
        <w:rPr>
          <w:rFonts w:ascii="Garamond" w:hAnsi="Garamond"/>
          <w:i/>
          <w:iCs/>
          <w:color w:val="000000"/>
          <w:lang w:val="en-GB"/>
        </w:rPr>
        <w:t>erinnere</w:t>
      </w:r>
      <w:r w:rsidRPr="008725BE">
        <w:rPr>
          <w:rFonts w:ascii="Garamond" w:hAnsi="Garamond"/>
          <w:color w:val="000000"/>
          <w:lang w:val="en-GB"/>
        </w:rPr>
        <w:t xml:space="preserve"> überhaupt nichts von dem Vergessenen und Verdrängten, sondern er </w:t>
      </w:r>
      <w:r w:rsidRPr="008725BE">
        <w:rPr>
          <w:rFonts w:ascii="Garamond" w:hAnsi="Garamond"/>
          <w:i/>
          <w:iCs/>
          <w:color w:val="000000"/>
          <w:lang w:val="en-GB"/>
        </w:rPr>
        <w:t>agiere</w:t>
      </w:r>
      <w:r w:rsidRPr="008725BE">
        <w:rPr>
          <w:rFonts w:ascii="Garamond" w:hAnsi="Garamond"/>
          <w:color w:val="000000"/>
          <w:lang w:val="en-GB"/>
        </w:rPr>
        <w:t xml:space="preserve"> es. Er reproduziert es nicht als Erinnerung, sondern als Tat, er </w:t>
      </w:r>
      <w:r w:rsidRPr="008725BE">
        <w:rPr>
          <w:rFonts w:ascii="Garamond" w:hAnsi="Garamond"/>
          <w:i/>
          <w:iCs/>
          <w:color w:val="000000"/>
          <w:lang w:val="en-GB"/>
        </w:rPr>
        <w:t>wiederholt</w:t>
      </w:r>
      <w:r w:rsidRPr="008725BE">
        <w:rPr>
          <w:rFonts w:ascii="Garamond" w:hAnsi="Garamond"/>
          <w:color w:val="000000"/>
          <w:lang w:val="en-GB"/>
        </w:rPr>
        <w:t xml:space="preserve"> es, ohne natürlich zu wissen, daß er es wiederholt.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Zum Beispiel: Der Analysierte erzählt nicht, er erinnere sich, daß er trotzig und ungläubig gegen die Autorität der Eltern gewesen sei, sondern er benimmt sich in solcher Weise gegen den Arzt. Er erinnert nicht, daß er in seiner infantilen Sexualforschung rat- und hilflos steckengeblieben ist, sondern er bringt einen Haufen verworrener Träume und Einfälle vor, jammert, daß ihm nichts gelinge, und stellt es als sein Schicksal hin, niemals eine Unternehmung zu Ende zu führen. Er erinnert nicht, daß er sich gewisser Sexualbetätigungen intensiv geschämt und ihre Entdeckung gefürchtet hat, sondern er zeigt, daß er sich der Behandlung schämt, der er sich jetzt unterzogen hat, und sucht diese vor allen geheimzuhalten usw.</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Vor allem beginnt er die Kur mit einer solchen Wiederholung. Oft, wenn man einem Patienten mit wechselvoller Lebensgeschichte und langer Krankheitsgeschichte die psychoanalytische Grundregel mitgeteilt und ihn dann aufgefordert hat zu sagen, was ihm einfalle, und nun erwartet, daß sich seine Mitteilungen im Strom ergießen werden, erfährt man zunächst, daß er nichts zu sagen weiß. Er schweigt und behauptet, daß ihm nichts einfallen will. Das ist natürlich nichts anderes als die Wiederholung einer homosexuellen Einstellung, die sich als Widerstand gegen jedes Erinnern vordrängt. Solange er in Behandlung verbleibt, wird er von diesem Zwange zur Wiederholung nicht mehr frei; man versteht endlich, dies ist seine Art zu erinnern.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Natürlich wird uns das Verhältnis dieses Wiederholungszwanges zur Übertragung und zum Widerstande in erster Linie interessieren. Wir merken bald, die Übertragung ist selbst nur ein Stück Wiederholung und die Wiederholung ist die Übertragung der vergessenen Vergangenheit nicht nur auf den Arzt, sondern auch auf alle anderen Gebiete der gegenwärtigen Situation. Wir müssen also darauf gefaßt sein, daß der Analysierte sich dem Zwange zur Wiederholung, der nun den Impuls zur Erinnerung ersetzt, nicht nur im persönlichen Verhältnis zum Arzte hingibt, sondern auch in allen anderen gleichzeitigen Tätigkeiten und Beziehungen seines Lebens, zum Beispiel wenn er während der Kur ein Liebesobjekt wählt, eine Aufgabe auf sich nimmt, eine Unternehmung eingeht. Auch der Anteil des Widerstandes ist leicht zu erkennen. Je größer der Widerstand ist, desto ausgiebiger wird das Erinnern durch das Agieren (Wiederholen) ersetzt sein. Entspricht doch das ideale Erinnern des Vergessenen in der Hypnose einem Zustande, in welchem der Widerstand völlig beiseite geschoben ist. Beginnt die Kur unter der Patronanz einer milden und unausgesprochenen positiven Übertragung, so gestattet sie zunächst ein Vertiefen in die Erinnerung wie bei der Hypnose, währenddessen selbst die Krankheitssymptome schweigen; wird aber im weiteren Verlaufe diese Übertragung feindselig oder überstark und darum verdrängungsbedürftig, so tritt sofort das Erinnern dem Agieren den Platz ab. Von da an bestimmen dann die Widerstände die Reihenfolge des zu Wiederholenden. Der Kranke holt aus dem Arsenale der Vergangenheit die Waffen hervor, mit denen er sich der Fortsetzung der Kur erwehrt und die wir ihm Stück für Stück entwinden müssen.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Wir haben nun gehört, der Analysierte wiederholt, anstatt zu erinnern, er wiederholt unter den Bedingungen des Widerstandes; wir dürfen jetzt fragen, was wiederholt oder agiert er eigentlich? Die Antwort lautet, er wiederholt alles, was sich aus den Quellen seines Verdrängten bereits in seinem offenkundigen Wesen durchgesetzt hat, seine Hemmungen und unbrauchbaren Einstellungen, seine pathologischen Charakterzüge. Er wiederholt ja auch während der Behandlung alle seine Symptome. Und nun können wir merken, daß wir mit der Hervorhebung des Zwanges zur Wiederholung keine neue Tatsache, sondern nur eine einheitlichere Auffassung gewonnen haben. Wir machen uns nun klar, daß das </w:t>
      </w:r>
      <w:r w:rsidRPr="008725BE">
        <w:rPr>
          <w:rFonts w:ascii="Garamond" w:hAnsi="Garamond"/>
          <w:color w:val="000000"/>
          <w:lang w:val="en-GB"/>
        </w:rPr>
        <w:lastRenderedPageBreak/>
        <w:t>Kranksein des Analysierten nicht mit dem Beginne seiner Analyse aufhören kann, daß wir seine Krankheit nicht als eine historische Angelegenheit, sondern als eine aktuelle Macht zu behandeln haben. Stück für Stück dieses Krankseins wird nun in den Horizont und in den Wirkungsbereich der Kur gerückt, und während der Kranke es als etwas Reales und Aktuelles erlebt, haben wir daran die therapeutische Arbeit zu leisten, die zum guten Teile in der Zurückführung auf die Vergangenheit besteht.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Erinnernlassen in der Hypnose mußte den Eindruck eines Experiments im Laboratorium machen. Das Wiederholenlassen während der analytischen Behandlung nach der neueren Technik heißt ein Stück realen Lebens heraufbeschwören und kann darum nicht in allen Fällen harmlos und unbedenklich sein. Das ganze Problem der oft unausweichlichen »Verschlimmerung während der Kur« schließt hier an.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Vor allem bringt es schon die Einleitung der Behandlung mit sich, daß der Kranke seine bewußte Einstellung zur Krankheit ändere. Er hat sich gewöhnlich damit begnügt, sie zu bejammern, sie als Unsinn zu verachten, in ihrer Bedeutung zu unterschätzen, hat aber sonst das verdrängende Verhalten, die Vogel-Strauß-Politik, die er gegen ihre Ursprünge übte, auf ihre Äußerungen fortgesetzt. So kann es kommen, daß er die Bedingungen seiner Phobie nicht ordentlich kennt, den richtigen Wortlaut seiner Zwangsideen nicht anhört oder die eigentliche Absicht seines Zwangsimpulses nicht erfaßt. Das kann die Kur natürlich nicht brauchen. Er muß den Mut erwerben, seine Aufmerksamkeit mit den Erscheinungen seiner Krankheit zu beschäftigen. Die Krankheit selbst darf ihm nichts Verächtliches mehr sein, vielmehr ein würdiger Gegner werden, ein Stück seines Wesens, das sich auf gute Motive stützt, aus dem es Wertvolles für sein späteres Leben zu holen gilt. Die Versöhnung mit dem Verdrängten, welches sich in den Symptomen äußert, wird so von Anfang an vorbereitet, aber es wird auch eine gewisse Toleranz fürs Kranksein eingeräumt. Werden nun durch dies neue Verhältnis zur Krankheit Konflikte verschärft und Symptome hervorgedrängt, die früher noch undeutlich waren, so kann man den Patienten darüber leicht durch die Bemerkung trösten, daß dies nur notwendige, aber vorübergehende Verschlechterungen sind und daß man keinen Feind umbringen kann, der abwesend oder nicht nahe genug ist. Der Widerstand kann aber die Situation für seine Absichten ausbeuten und die Erlaubnis, krank zu sein, mißbrauchen wollen. Er scheint dann zu demonstrieren: Schau her, was dabei herauskommt, wenn ich mich wirklich auf diese Dinge einlasse. Hab' ich nicht recht getan, sie der Verdrängung zu überlassen? Besonders jugendliche und kindliche Personen pflegen die in der Kur erforderliche Einlenkung auf das Kranksein gern zu einem Schwelgen in den Krankheitssymptomen zu benützen.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Weitere Gefahren entstehen dadurch, daß im Fortgange der Kur auch neue, tieferliegende Triebregungen, die sich noch nicht durchgesetzt hatten, zur Wiederholung gelangen können. Endlich können die Aktionen des Patienten außerhalb der Übertragung vorübergehende Lebensschädigungen mit sich bringen oder sogar so gewählt sein, daß sie die zu erreichende Gesundheit dauernd entwerten.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Taktik, welche der Arzt in dieser Situation einzuschlagen hat, ist leicht zu rechtfertigen. Für ihn bleibt das Erinnern nach alter Manier, das Reproduzieren auf psychischem Gebiete, das Ziel, an welchem er festhält, wenn er auch weiß, daß es bei der neuen Technik nicht zu erreichen ist. Er richtet sich auf einen beständigen Kampf mit dem Patienten ein, um alle Impulse auf psychischem Gebiete zurückzuhalten, welche dieser aufs Motorische lenken möchte, und feiert es als einen Triumph der Kur, wenn es gelingt, etwas durch die Erinnerungsarbeit zu erledigen, was der Patient durch eine Aktion abführen möchte. Wenn die Bindung durch die Übertragung eine irgend brauchbare geworden ist, so bringt es die Behandlung zustande, den Kranken an allen bedeutungsvolleren Wiederholungsaktionen zu hindern und den Vorsatz dazu </w:t>
      </w:r>
      <w:r w:rsidRPr="008725BE">
        <w:rPr>
          <w:rFonts w:ascii="Garamond" w:hAnsi="Garamond"/>
          <w:i/>
          <w:iCs/>
          <w:color w:val="000000"/>
          <w:lang w:val="en-GB"/>
        </w:rPr>
        <w:t>in statu nascendi</w:t>
      </w:r>
      <w:r w:rsidRPr="008725BE">
        <w:rPr>
          <w:rFonts w:ascii="Garamond" w:hAnsi="Garamond"/>
          <w:color w:val="000000"/>
          <w:lang w:val="en-GB"/>
        </w:rPr>
        <w:t xml:space="preserve"> als Material für die therapeutische Arbeit zu verwenden. Vor der Schädigung durch die Ausführung seiner Impulse behütet man den Kranken am besten, wenn man ihn dazu verpflichtet, während der Dauer der Kur keine lebenswichtigen Entscheidungen zu treffen, etwa keinen Beruf, kein definitives Liebesobjekt zu wählen, sondern für alle diese Absichten den Zeitpunkt der Genesung abzuwarten.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Man schont dabei gern, was von der persönlichen Freiheit des Analysierten mit diesen Vorsichten vereinbar ist, hindert ihn nicht an der Durchsetzung belangloser, wenn auch törichter Absichten und vergißt nicht daran, daß der Mensch eigentlich nur durch Schaden und eigene Erfahrung klug werden kann. Es gibt wohl auch Fälle, die man nicht abhalten kann, sich während der Behandlung in irgendeine ganz unzweckmäßige Unternehmung einzulassen, und die erst nachher mürbe und für die analytische Bearbeitung zugänglich werden. Gelegentlich muß es auch vorkommen, daß man nicht die Zeit hat, den wilden Trieben den Zügel der Übertragung anzulegen, oder daß der Patient in einer Wiederholungsaktion das Band zerreißt, das ihn an die Behandlung knüpft. Ich kann als extremes Beispiel den Fall einer älteren Dame wählen, die wiederholt in Dämmerzuständen ihr Haus und ihren Mann verlassen hatte und irgendwohin geflüchtet war, ohne sich je eines Motives für dieses »Durchgehen« bewußt zu werden. Sie </w:t>
      </w:r>
      <w:r w:rsidRPr="008725BE">
        <w:rPr>
          <w:rFonts w:ascii="Garamond" w:hAnsi="Garamond"/>
          <w:color w:val="000000"/>
          <w:lang w:val="en-GB"/>
        </w:rPr>
        <w:lastRenderedPageBreak/>
        <w:t>kam mit einer gut ausgebildeten zärtlichen Übertragung in meine Behandlung, steigerte dieselbe in unheimlich rascher Weise in den ersten Tagen und war am Ende einer Woche auch von mir »durchgegangen«, ehe ich noch Zeit gehabt hatte, ihr etwas zu sagen, was sie an dieser Wiederholung hätte hindern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Das Hauptmittel aber, den Wiederholungszwang des Patienten zu bändigen und ihn zu einem Motiv fürs Erinnern umzuschaffen, liegt in der Handhabung der Übertragung. Wir machen ihn unschädlich, ja vielmehr nutzbar, indem wir ihm sein Recht einräumen, ihn auf einem bestimmten Gebiete gewähren lassen. Wir eröffnen ihm die Übertragung als den Tummelplatz, auf dem ihm gestattet wird, sich in fast völliger Freiheit zu entfalten, und auferlegt ist, uns alles vorzuführen, was sich an pathogenen Trieben im Seelenleben des Analysierten verborgen hat. Wenn der Patient nur so viel Entgegenkommen zeigt, daß er die Existenzbedingungen der Behandlung respektiert, gelingt es uns regelmäßig, allen Symptomen der Krankheit eine neue Übertragungsbedeutung zu geben, seine gemeine Neurose durch eine Übertragungsneurose zu ersetzen, von der er durch die therapeutische Arbeit geheilt werden kann. Die Übertragung schafft so ein Zwischenreich zwischen der Krankheit und dem Leben, durch welches sich der Übergang von der ersteren zum letzteren vollzieht. Der neue Zustand hat alle Charaktere der Krankheit übernommen, aber er stellt eine artifizielle Krankheit dar, die überall unseren Eingriffen zugänglich ist. Er ist gleichzeitig ein Stück des realen Erlebens, aber durch besonders günstige Bedingungen ermöglicht und von der Natur eines Provisoriums. Von den Wiederholungsreaktionen, die sich in der Übertragung zeigen, führen dann die bekannten Wege zur Erweckung der Erinnerungen, die sich nach Überwindung der Widerstände wie mühelos einstellen.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könnte hier abbrechen, wenn nicht die Überschrift dieses Aufsatzes mich verpflichten würde, ein weiteres Stück der analytischen Technik in die Darstellung zu ziehen. Die Überwindung der Widerstände wird bekanntlich dadurch eingeleitet, daß der Arzt den vom Analysierten niemals erkannten Widerstand aufdeckt und ihn dem Patienten mitteilt. Es scheint nun, daß Anfänger in der Analyse geneigt sind, diese Einleitung für die ganze Arbeit zu halten. Ich bin oft in Fällen zu Rate gezogen worden, in denen der Arzt darüber klagte, er habe dem Kranken seinen Widerstand vorgestellt, und doch habe sich nichts geändert, ja, der Widerstand sei erst recht erstarkt und die ganze Situation sei noch undurchsichtiger geworden. Die Kur scheine nicht weiterzugehen. Diese trübe Erwartung erwies sich dann immer als irrig. Die Kur war in der Regel im besten Fortgange; der Arzt hatte nur vergessen, daß das Benennen des Widerstandes nicht das unmittelbare Aufhören desselben zur Folge haben kann. Man muß dem Kranken die Zeit lassen, sich in den ihm nun bekannten Widerstand zu vertiefen, ihn </w:t>
      </w:r>
      <w:r w:rsidRPr="008725BE">
        <w:rPr>
          <w:rFonts w:ascii="Garamond" w:hAnsi="Garamond"/>
          <w:i/>
          <w:iCs/>
          <w:color w:val="000000"/>
          <w:lang w:val="en-GB"/>
        </w:rPr>
        <w:t>durchzuarbeiten</w:t>
      </w:r>
      <w:r w:rsidRPr="008725BE">
        <w:rPr>
          <w:rFonts w:ascii="Garamond" w:hAnsi="Garamond"/>
          <w:color w:val="000000"/>
          <w:lang w:val="en-GB"/>
        </w:rPr>
        <w:t>, ihn zu überwinden, indem er ihm zum Trotze die Arbeit nach der analytischen Grundregel fortsetzt. Erst auf der Höhe desselben findet man dann in gemeinsamer Arbeit mit dem Analysierten die verdrängten Triebregungen auf, welche den Widerstand speisen und von deren Existenz und Mächtigkeit sich der Patient durch solches Erleben überzeugt. Der Arzt hat dabei nichts anderes zu tun, als zuzuwarten und einen Ablauf zuzulassen, der nicht vermieden, auch nicht immer beschleunigt werden kann. Hält er an dieser Einsicht fest, so wird er sich oftmals die Täuschung, gescheitert zu sein, ersparen, wo er doch die Behandlung längs der richtigen Linie fortführt.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Dieses Durcharbeiten der Widerstände mag in der Praxis zu einer beschwerlichen Aufgabe für den Analysierten und zu einer Geduldsprobe für den Arzt werden. Es ist aber jenes Stück der Arbeit, welches die größte verändernde Einwirkung auf den Patienten hat und das die analytische Behandlung von jeder Suggestionsbeeinflussung unterscheidet. Theoretisch kann man es dem »Abreagieren« der durch die Verdrängung eingeklemmten Affektbeträge gleichstellen, ohne welches die hypnotische Behandlung einflußlos blieb.</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Fe</w:t>
        </w:r>
        <w:bookmarkStart w:id="172" w:name="KS37"/>
        <w:bookmarkEnd w:id="172"/>
        <w:r w:rsidRPr="008725BE">
          <w:rPr>
            <w:rStyle w:val="Lienhypertexte"/>
            <w:rFonts w:ascii="Garamond" w:hAnsi="Garamond" w:cs="Arial"/>
            <w:b/>
            <w:bCs/>
            <w:lang w:val="en-GB"/>
          </w:rPr>
          <w:t>tischismus</w:t>
        </w:r>
      </w:hyperlink>
      <w:r w:rsidRPr="008725BE">
        <w:rPr>
          <w:rFonts w:ascii="Garamond" w:hAnsi="Garamond"/>
          <w:color w:val="000000"/>
          <w:lang w:val="en-GB"/>
        </w:rPr>
        <w:t xml:space="preserve">  </w:t>
      </w:r>
      <w:r w:rsidRPr="008725BE">
        <w:rPr>
          <w:rFonts w:ascii="Garamond" w:hAnsi="Garamond"/>
          <w:caps/>
          <w:color w:val="000000"/>
          <w:lang w:val="en-GB"/>
        </w:rPr>
        <w:t>(1927)</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In den letzten Jahren hatte ich Gelegenheit, eine Anzahl von Männern, deren Objektwahl von einem Fetisch beherrscht war, analytisch zu studieren. Man braucht nicht zu erwarten, daß diese Personen des Fetisch wegen die Analyse aufgesucht hatten, denn der Fetisch wird wohl von seinen Anhängern als eine Abnormität erkannt, aber nur selten als ein Leidenssymptom empfunden; meist sind sie mit ihm recht zufrieden oder loben sogar die Erleichterungen, die er ihrem Liebesleben bietet. Der Fetisch spielte also in der Regel die Rolle eines Nebenbefundes.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Einzelheiten dieser Fälle entziehen sich aus naheliegenden Gründen der Veröffentlichung. Ich kann darum auch nicht zeigen, in welcher Weise zufällige Umstände zur Auswahl des Fetisch beigetragen haben. Am merkwürdigsten erschien ein Fall, in dem ein junger Mann einen gewissen »Glanz auf der Nase« zur fetischistischen Bedingung erhoben hatte. Das fand seine überraschende Aufklärung durch die Tatsache, daß der Patient eine englische Kinderstube gehabt hatte, dann aber nach Deutschland gekommen war, wo er seine Muttersprache fast vollkommen vergaß. Der aus den ersten Kinderzeiten stammende Fetisch war nicht deutsch, sondern englisch zu lesen, der »Glanz auf der Nase« war eigentlich ein »Blick auf die Nase« ( </w:t>
      </w:r>
      <w:r w:rsidRPr="008725BE">
        <w:rPr>
          <w:rFonts w:ascii="Garamond" w:hAnsi="Garamond"/>
          <w:i/>
          <w:iCs/>
          <w:color w:val="000000"/>
          <w:lang w:val="en-GB"/>
        </w:rPr>
        <w:t>glance</w:t>
      </w:r>
      <w:r w:rsidRPr="008725BE">
        <w:rPr>
          <w:rFonts w:ascii="Garamond" w:hAnsi="Garamond"/>
          <w:color w:val="000000"/>
          <w:lang w:val="en-GB"/>
        </w:rPr>
        <w:t xml:space="preserve"> = Blick), die Nase war also der Fetisch, dem er übrigens nach seinem Belieben jenes besondere Glanzlicht verlieh, das andere nicht wahrnehmen konnten.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Auskunft, welche die Analyse über Sinn und Absicht des Fetisch gab, war in allen Fällen die nämliche. Sie ergab sich so ungezwungen und erschien mir so zwingend, daß ich bereit bin, dieselbe Lösung allgemein für alle Fälle von Fetischismus zu erwarten. Wenn ich nun mitteile, der Fetisch ist ein Penisersatz, so werde ich gewiß Enttäuschung hervorrufen. Ich beeile mich darum hinzuzufügen, nicht der Ersatz eines beliebigen, sondern eines bestimmten, ganz besonderen Penis, der in frühen Kinderjahren eine große Bedeutung hat, aber später verlorengeht. Das heißt: er sollte normalerweise aufgegeben werden, aber gerade der Fetisch ist dazu bestimmt, ihn vor dem Untergang zu behüten. Um es klarer zu sagen, der Fetisch ist der Ersatz für den Phallus des Weibes (der Mutter), an den das Knäblein geglaubt hat und auf den es –; wir wissen warum –; nicht verzichten will </w:t>
      </w:r>
      <w:hyperlink r:id="rId83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Diese Deutung ist bereits 1910 in meiner Schrift </w:t>
        </w:r>
        <w:r w:rsidRPr="008725BE">
          <w:rPr>
            <w:rStyle w:val="innerfusslink3"/>
            <w:rFonts w:ascii="Garamond" w:hAnsi="Garamond" w:cs="Arial"/>
            <w:b/>
            <w:bCs/>
            <w:i/>
            <w:iCs/>
            <w:lang w:val="en-GB"/>
          </w:rPr>
          <w:t>Eine Kindheitserinnerung des Leonardo da Vinci</w:t>
        </w:r>
        <w:r w:rsidRPr="008725BE">
          <w:rPr>
            <w:rStyle w:val="innerfusslink3"/>
            <w:rFonts w:ascii="Garamond" w:hAnsi="Garamond" w:cs="Arial"/>
            <w:b/>
            <w:bCs/>
            <w:lang w:val="en-GB"/>
          </w:rPr>
          <w:t xml:space="preserve"> ohne Begründung mitgeteilt worden.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Der Hergang war also der, daß der Knabe sich geweigert hat, die Tatsache seiner Wahrnehmung, daß das Weib keinen Penis besitzt, zur Kenntnis zu nehmen. Nein, das kann nicht wahr sein, denn wenn das Weib kastriert ist, ist sein eigener Penisbesitz bedroht, und dagegen sträubt sich das Stück Narzißmus, mit dem die Natur vorsorglich gerade dieses Organ ausgestattet hat. Eine ähnliche Panik wird vielleicht der Erwachsene später erleben, wenn der Schrei ausgegeben wird, Thron und Altar sind in Gefahr, und sie wird zu ähnlich unlogischen Konsequenzen führen. Wenn ich nicht irre, würde Laforgue in diesem Falle sagen, der Knabe »skotomisiert« die Wahrnehmung des Penismangels beim Weibe </w:t>
      </w:r>
      <w:hyperlink r:id="rId83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Ich berichtige mich aber selbst, indem ich hinzufüge, daß ich die besten Gründe habe anzunehmen, Laforgue würde dies überhaupt nicht sagen. Nach seinen eigenen Ausführungen ist »Skotomisation« ein Terminus, der aus der Deskription der Dementia praecox stammt, nicht durch die Übertragung psychoanalytischer Auffassung auf die Psychosen entstanden ist und auf die Vorgänge der Entwicklung und Neurosenbildung keine Anwendung hat. Die Darstellung im Text bemüht sich, diese Unverträglichkeit deutlich zu machen.</w:t>
        </w:r>
      </w:hyperlink>
      <w:r w:rsidRPr="008725BE">
        <w:rPr>
          <w:rFonts w:ascii="Garamond" w:hAnsi="Garamond"/>
          <w:color w:val="000000"/>
          <w:lang w:val="en-GB"/>
        </w:rPr>
        <w:t xml:space="preserve">. Ein neuer Terminus ist dann berechtigt, wenn er einen neuen Tatbestand beschreibt oder heraushebt. Das liegt hier nicht vor; das älteste Stück unserer psychoanalytischen Terminologie, das Wort »Verdrängung«, bezieht sich bereits auf diesen pathologischen Vorgang. Will man in ihm das Schicksal der Vorstellung von dem des Affekts schärfer trennen, den Ausdruck »Verdrängung« für den Affekt reservieren, so wäre für das Schicksal der Vorstellung »Verleugnung« die richtige deutsche Bezeichnung. »Skotomisation« scheint mir besonders ungeeignet, denn es weckt die Idee, als wäre die Wahrnehmung glatt weggewischt worden, so daß das Ergebnis dasselbe wäre, wie wenn ein Gesichtseindruck auf den blinden Fleck der Netzhaut fiele. Aber unsere Situation zeigt im Gegenteil, daß die Wahrnehmung geblieben ist und daß eine sehr energische Aktion unternommen wurde, ihre Verleugnung aufrechtzuhalten. Es ist nicht richtig, daß das Kind sich nach seiner Beobachtung am Weibe den Glauben an den Phallus des Weibes unverändert gerettet hat. Es hat ihn bewahrt, aber auch aufgegeben; im Konflikt zwischen dem Gewicht der unerwünschten Wahrnehmung und der Stärke des Gegenwunsches ist es zu einem Kompromiß gekommen, wie es nur unter der Herrschaft der unbewußten Denkgesetze –; der Primärvorgänge –; möglich ist. Ja, das Weib hat im Psychischen dennoch einen Penis, aber dieser Penis ist nicht mehr dasselbe, das er früher war. Etwas anderes ist an seine Stelle getreten, ist sozusagen zu seinem Ersatz ernannt worden und ist nun der Erbe </w:t>
      </w:r>
      <w:r w:rsidRPr="008725BE">
        <w:rPr>
          <w:rFonts w:ascii="Garamond" w:hAnsi="Garamond"/>
          <w:color w:val="000000"/>
          <w:lang w:val="en-GB"/>
        </w:rPr>
        <w:lastRenderedPageBreak/>
        <w:t xml:space="preserve">des Interesses, das sich dem früheren zugewendet hatte. Dies Interesse erfährt aber noch eine außerordentliche Steigerung, weil der Abscheu vor der Kastration sich in der Schaffung dieses Ersatzes ein Denkmal gesetzt hat. Als </w:t>
      </w:r>
      <w:r w:rsidRPr="008725BE">
        <w:rPr>
          <w:rFonts w:ascii="Garamond" w:hAnsi="Garamond"/>
          <w:i/>
          <w:iCs/>
          <w:color w:val="000000"/>
          <w:lang w:val="en-GB"/>
        </w:rPr>
        <w:t>Stigma indelebile</w:t>
      </w:r>
      <w:r w:rsidRPr="008725BE">
        <w:rPr>
          <w:rFonts w:ascii="Garamond" w:hAnsi="Garamond"/>
          <w:color w:val="000000"/>
          <w:lang w:val="en-GB"/>
        </w:rPr>
        <w:t xml:space="preserve"> der stattgehabten Verdrängung bleibt auch die Entfremdung gegen das wirkliche weibliche Genitale, die man bei keinem Fetischisten vermißt. Man überblickt jetzt, was der Fetisch leistet und wodurch er gehalten wird. Er bleibt das Zeichen des Triumphes über die Kastrationsdrohung und der Schutz gegen sie, er erspart es dem Fetischisten auch, ein Homosexueller zu werden, indem er dem Weib jenen Charakter verleiht, durch den es als Sexualobjekt erträglich wird. Im späteren Leben glaubt der Fetischist noch einen anderen Vorteil seines Genitalersatzes zu genießen. Der Fetisch wird von anderen nicht in seiner Bedeutung erkannt, darum auch nicht verweigert, er ist leicht zugänglich, die an ihn gebundene sexuelle Befriedigung ist bequem zu haben. Um was andere Männer werben und sich mühen müssen, das macht dem Fetischisten keine Beschwerde.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Der Kastrationsschreck beim Anblick des weiblichen Genitales bleibt wahrscheinlich keinem männlichen Wesen erspart. Warum die einen infolge dieses Eindruckes homosexuell werden, die anderen ihn durch die Schöpfung eines Fetisch abwehren und die übergroße Mehrzahl ihn überwindet, das wissen wir freilich nicht zu erklären. Möglich, daß wir unter der Anzahl der zusammenwirkenden Bedingungen diejenigen noch nicht kennen, welche für die seltenen pathologischen Ausgänge maßgebend sind; im übrigen müssen wir zufrieden sein, wenn wir erklären können, was geschehen ist, und dürfen die Aufgabe, zu erklären, warum etwas nicht geschehen ist, vorläufig von uns weisen.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Es liegt nahe zu erwarten, daß zum Ersatz des vermißten weiblichen Phallus solche Organe oder Objekte gewählt werden, die auch sonst als Symbole den Penis vertreten. Das mag oft genug stattfinden, ist aber gewiß nicht entscheidend. Bei der Einsetzung des Fetisch scheint vielmehr ein Vorgang eingehalten zu werden, der an das Haltmachen der Erinnerung bei traumatischer Amnesie gemahnt. Auch hier bleibt das Interesse wie unterwegs stehen, wird etwa der letzte Eindruck vor dem unheimlichen, traumatischen, als Fetisch festgehalten. So verdankt der Fuß oder Schuh seine Bevorzugung als Fetisch –; oder ein Stück derselben –; dem Umstand, daß die Neugierde des Knaben von unten, von den Beinen her nach dem weiblichen Genitale gespäht hat; Pelz und Samt fixieren –; wie längst vermutet wurde –; den Anblick der Genitalbehaarung, auf den der ersehnte des weiblichen Gliedes hätte folgen sollen; die so häufig zum Fetisch erkorenen Wäschestücke halten den Moment der Entkleidung fest, den letzten, in dem man das Weib noch für phallisch halten durfte. Ich will aber nicht behaupten, daß man die Determinierung des Fetisch jedesmal mit Sicherheit durchschaut. Die Untersuchung des Fetischismus ist all denen dringend zu empfehlen, die noch an der Existenz des Kastrationskomplexes zweifeln oder die meinen können, der Schreck vor dem weiblichen Genitale habe einen anderen Grund, leite sich z. B. von der supponierten Erinnerung an das Trauma der Geburt ab. Für mich hatte die Aufklärung des Fetisch noch ein anderes theoretisches Interesse.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habe kürzlich auf rein spekulativem Wege den Satz gefunden, der wesentliche Unterschied zwischen Neurose und Psychose liege darin, daß bei ersterer das Ich im Dienste der Realität ein Stück des Es unterdrücke, während es sich bei der Psychose vom Es fortreißen lasse, sich von einem Stück der Realität zu lösen; ich bin auch später noch einmal auf dasselbe Thema zurückgekommen </w:t>
      </w:r>
      <w:hyperlink r:id="rId83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›Neurose und Psychose‹ (1924 </w:t>
        </w:r>
        <w:r w:rsidRPr="008725BE">
          <w:rPr>
            <w:rStyle w:val="innerfusslink3"/>
            <w:rFonts w:ascii="Garamond" w:hAnsi="Garamond" w:cs="Arial"/>
            <w:b/>
            <w:bCs/>
            <w:i/>
            <w:iCs/>
            <w:lang w:val="en-GB"/>
          </w:rPr>
          <w:t>b</w:t>
        </w:r>
        <w:r w:rsidRPr="008725BE">
          <w:rPr>
            <w:rStyle w:val="innerfusslink3"/>
            <w:rFonts w:ascii="Garamond" w:hAnsi="Garamond" w:cs="Arial"/>
            <w:b/>
            <w:bCs/>
            <w:lang w:val="en-GB"/>
          </w:rPr>
          <w:t xml:space="preserve">) und ›Der Realitätsverlust bei Neurose und Psychose‹ (1924  </w:t>
        </w:r>
        <w:r w:rsidRPr="008725BE">
          <w:rPr>
            <w:rStyle w:val="innerfusslink3"/>
            <w:rFonts w:ascii="Garamond" w:hAnsi="Garamond" w:cs="Arial"/>
            <w:b/>
            <w:bCs/>
            <w:i/>
            <w:iCs/>
            <w:lang w:val="en-GB"/>
          </w:rPr>
          <w:t>e</w:t>
        </w:r>
        <w:r w:rsidRPr="008725BE">
          <w:rPr>
            <w:rStyle w:val="innerfusslink3"/>
            <w:rFonts w:ascii="Garamond" w:hAnsi="Garamond" w:cs="Arial"/>
            <w:b/>
            <w:bCs/>
            <w:lang w:val="en-GB"/>
          </w:rPr>
          <w:t>).</w:t>
        </w:r>
      </w:hyperlink>
      <w:r w:rsidRPr="008725BE">
        <w:rPr>
          <w:rFonts w:ascii="Garamond" w:hAnsi="Garamond"/>
          <w:color w:val="000000"/>
          <w:lang w:val="en-GB"/>
        </w:rPr>
        <w:t>. Aber bald darauf bekam ich Anlaß zu bedauern, daß ich mich so weit vorgewagt hatte. Aus der Analyse zweier junger Männer erfuhr ich, daß sie beide den Tod des geliebten Vaters im zweiten und im zehnten Jahr nicht zur Kenntnis genommen, »skotomisiert« hatten –; und doch hatte keiner von beiden eine Psychose entwickelt. Da war also ein gewiß bedeutsames Stück der Realität vom Ich verleugnet worden, ähnlich wie beim Fetischisten die unliebsame Tatsache der Kastration des Weibes. Ich begann auch zu ahnen, daß analoge Vorkommnisse im Kinderleben keineswegs selten sind, und konnte mich des Irrtums in der Charakteristik von Neurose und Psychose für überführt halten. Es blieb zwar eine Auskunft offen; meine Formel brauchte sich erst bei einem höheren Grad von Differenzierung im psychischen Apparat zu bewähren; dem Kind konnte gestattet sein, was sich beim Erwachsenen durch schwere Schädigung strafen mußte. Aber weitere Untersuchungen führten zu einer anderen Lösung des Widerspruchs.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Es stellte sich nämlich heraus, daß die beiden jungen Männer den Tod des Vaters ebensowenig »skotomisiert« hatten wie die Fetischisten die Kastration des Weibes. Es war nur eine Strömung in ihrem Seelenleben, welche den Tod des Vaters nicht anerkannt hatte; es gab auch eine andere, die dieser Tatsache vollkommen Rechnung trug; die wunschgerechte wie die realitätsgerechte Einstellung bestanden nebeneinander. Bei dem einen meiner beiden Fälle war diese Spaltung die Grundlage einer mittelschweren Zwangsneurose geworden; in allen Lebenslagen schwankte er zwischen zwei Voraussetzungen, der einen, daß der Vater noch am Leben sei und seine Tätigkeit behindere, und der entgegengesetzten, daß er das </w:t>
      </w:r>
      <w:r w:rsidRPr="008725BE">
        <w:rPr>
          <w:rFonts w:ascii="Garamond" w:hAnsi="Garamond"/>
          <w:color w:val="000000"/>
          <w:lang w:val="en-GB"/>
        </w:rPr>
        <w:lastRenderedPageBreak/>
        <w:t>Recht habe, sich als den Nachfolger des verstorbenen Vaters zu betrachten. Ich kann also die Erwartung festhalten, daß im Fall der Psychose die eine, die realitätsgerechte Strömung, wirklich vermißt werden würde.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ich zur Beschreibung des Fetischismus zurückkehre, habe ich anzuführen, daß es noch zahlreiche und gewichtige Beweise für die zwiespältige Einstellung des Fetischisten zur Frage der Kastration des Weibes gibt. In ganz raffinierten Fällen ist es der Fetisch selbst, in dessen Aufbau sowohl die Verleugnung wie die Behauptung der Kastration Eingang gefunden haben. So war es bei einem Manne, dessen Fetisch in einem Schamgürtel bestand, wie er auch als Schwimmhose getragen werden kann. Dieses Gewandstück verdeckte überhaupt die Genitalien und den Unterschied der Genitalien. Nach dem Ausweis der Analyse bedeutete es sowohl, daß das Weib kastriert sei, als auch, daß es nicht kastriert sei, und ließ überdies die Annahme der Kastration des Mannes zu, denn alle diese Möglichkeiten konnten sich hinter dem Gürtel, dessen erster Ansatz in der Kindheit das Feigenblatt einer Statue gewesen war, gleich gut verbergen. Ein solcher Fetisch, aus Gegensätzen doppelt geknüpft, hält natürlich besonders gut. In anderen zeigt sich die Zwiespältigkeit an dem, was der Fetischist –; in der Wirklichkeit oder in der Phantasie –; an seinem Fetisch vornimmt. Es ist nicht erschöpfend, wenn man hervorhebt, daß er den Fetisch verehrt; in vielen Fällen behandelt er ihn in einer Weise, die offenbar einer Darstellung der Kastration gleichkommt. Dies geschieht besonders dann, wenn sich eine starke Vateridentifizierung entwickelt hat, in der Rolle des Vaters, denn diesem hatte das Kind die Kastration des Weibes zugeschrieben. Die Zärtlichkeit und die Feindseligkeit in der Behandlung des Fetisch, die der Verleugnung und der Anerkennung der Kastration gleichlaufen, vermengen sich bei verschiedenen Fällen in ungleichem Maße, so daß das eine oder das andere deutlicher kenntlich wird. Von hier aus glaubt man, wenn auch aus der Ferne, das Benehmen des Zopfabschneiders zu verstehen, bei dem sich das Bedürfnis, die geleugnete Kastration auszuführen, vorgedrängt hat. Seine Handlung vereinigt in sich die beiden miteinander unverträglichen Behauptungen: das Weib hat seinen Penis behalten, und der Vater hat das Weib kastriert. Eine andere Variante, aber auch eine völkerpsychologische Parallele zum Fetischismus möchte man in der Sitte der Chinesen erblicken, den weiblichen Fuß zuerst zu verstümmeln und den verstümmelten dann wie einen Fetisch zu verehren. Man könnte meinen, der chinesische Mann will es dem Weibe danken, daß es sich der Kastration unterworfen hat.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Schließlich darf man es aussprechen, das Normalvorbild des Fetisch ist der Penis des Mannes, wie das des minderwertigen Organs der reale kleine Penis des Weibes, die Klitoris.</w:t>
      </w:r>
    </w:p>
    <w:p w:rsidR="008725BE" w:rsidRPr="008725BE" w:rsidRDefault="008725BE" w:rsidP="008725BE">
      <w:pPr>
        <w:pStyle w:val="Sansinterligne"/>
        <w:rPr>
          <w:rFonts w:ascii="Garamond" w:hAnsi="Garamond"/>
          <w:caps/>
          <w:color w:val="000000"/>
        </w:rPr>
      </w:pPr>
      <w:r w:rsidRPr="005C1841">
        <w:rPr>
          <w:rFonts w:ascii="Garamond" w:hAnsi="Garamond"/>
          <w:color w:val="000000"/>
        </w:rPr>
        <w:br w:type="page"/>
      </w:r>
      <w:hyperlink w:anchor="KSinhalt" w:history="1">
        <w:r w:rsidRPr="008725BE">
          <w:rPr>
            <w:rStyle w:val="Lienhypertexte"/>
            <w:rFonts w:ascii="Garamond" w:hAnsi="Garamond" w:cs="Arial"/>
            <w:b/>
            <w:bCs/>
          </w:rPr>
          <w:t>Fo</w:t>
        </w:r>
        <w:bookmarkStart w:id="173" w:name="KS38"/>
        <w:bookmarkEnd w:id="173"/>
        <w:r w:rsidRPr="008725BE">
          <w:rPr>
            <w:rStyle w:val="Lienhypertexte"/>
            <w:rFonts w:ascii="Garamond" w:hAnsi="Garamond" w:cs="Arial"/>
            <w:b/>
            <w:bCs/>
          </w:rPr>
          <w:t>rmulierungen über die zwei Prinzipien des psychischen Geschehens</w:t>
        </w:r>
      </w:hyperlink>
      <w:r w:rsidRPr="008725BE">
        <w:rPr>
          <w:rFonts w:ascii="Garamond" w:hAnsi="Garamond"/>
          <w:color w:val="000000"/>
        </w:rPr>
        <w:t xml:space="preserve">  </w:t>
      </w:r>
      <w:r w:rsidRPr="008725BE">
        <w:rPr>
          <w:rFonts w:ascii="Garamond" w:hAnsi="Garamond"/>
          <w:caps/>
          <w:color w:val="000000"/>
        </w:rPr>
        <w:t>(1911)</w:t>
      </w:r>
    </w:p>
    <w:p w:rsidR="008725BE" w:rsidRPr="008725BE" w:rsidRDefault="008725BE" w:rsidP="008725BE">
      <w:pPr>
        <w:pStyle w:val="Sansinterligne"/>
        <w:rPr>
          <w:rFonts w:ascii="Garamond" w:hAnsi="Garamond"/>
          <w:color w:val="000000"/>
        </w:rPr>
      </w:pPr>
      <w:r w:rsidRPr="008725BE">
        <w:rPr>
          <w:rFonts w:ascii="Garamond" w:hAnsi="Garamond"/>
          <w:color w:val="000000"/>
        </w:rPr>
        <w:t> </w:t>
      </w:r>
    </w:p>
    <w:p w:rsidR="008725BE" w:rsidRPr="008725BE" w:rsidRDefault="008725BE" w:rsidP="008725BE">
      <w:pPr>
        <w:pStyle w:val="Sansinterligne"/>
        <w:rPr>
          <w:rFonts w:ascii="Garamond" w:hAnsi="Garamond"/>
          <w:color w:val="000000"/>
        </w:rPr>
      </w:pPr>
      <w:r w:rsidRPr="008725BE">
        <w:rPr>
          <w:rFonts w:ascii="Garamond" w:hAnsi="Garamond"/>
          <w:color w:val="000000"/>
        </w:rPr>
        <w:t xml:space="preserve">Wir haben seit langem gemerkt, daß jede Neurose die Folge, also wahrscheinlich die Tendenz habe, den Kranken aus dem realen Leben herauszudrängen, ihn der Wirklichkeit zu entfremden. Eine derartige Tatsache konnte auch der Beobachtung P. Janets nicht entgehen; er sprach von einem Verluste » </w:t>
      </w:r>
      <w:r w:rsidRPr="008725BE">
        <w:rPr>
          <w:rFonts w:ascii="Garamond" w:hAnsi="Garamond"/>
          <w:i/>
          <w:iCs/>
          <w:color w:val="000000"/>
        </w:rPr>
        <w:t>de la fonction du réel</w:t>
      </w:r>
      <w:r w:rsidRPr="008725BE">
        <w:rPr>
          <w:rFonts w:ascii="Garamond" w:hAnsi="Garamond"/>
          <w:color w:val="000000"/>
        </w:rPr>
        <w:t xml:space="preserve">« als von einem besonderen Charakter der Neurotiker, ohne aber den Zusammenhang dieser Störung mit den Grundbedingungen der Neurose aufzudecken </w:t>
      </w:r>
      <w:hyperlink r:id="rId839" w:anchor="#" w:history="1">
        <w:r w:rsidRPr="008725BE">
          <w:rPr>
            <w:rStyle w:val="fusslink"/>
            <w:rFonts w:ascii="Garamond" w:hAnsi="Garamond" w:cs="Arial"/>
            <w:b/>
            <w:bCs/>
            <w:color w:val="003399"/>
          </w:rPr>
          <w:t>[Fußnote]</w:t>
        </w:r>
        <w:r w:rsidRPr="008725BE">
          <w:rPr>
            <w:rStyle w:val="innerfusslink3"/>
            <w:rFonts w:ascii="Garamond" w:hAnsi="Garamond" w:cs="Arial"/>
            <w:b/>
            <w:bCs/>
          </w:rPr>
          <w:t>Janet (1909).</w:t>
        </w:r>
      </w:hyperlink>
      <w:r w:rsidRPr="008725BE">
        <w:rPr>
          <w:rFonts w:ascii="Garamond" w:hAnsi="Garamond"/>
          <w:color w:val="000000"/>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Einführung des Verdrängungsprozesses in die Genese der Neurose hat uns gestattet, in diesen Zusammenhang Einsicht zu nehmen. Der Neurotiker wendet sich von der Wirklichkeit ab, weil er sie –; ihr Ganzes oder Stücke derselben –; unerträglich findet. Den extremsten Typus dieser Abwendung von der Realität zeigen uns gewisse Fälle von halluzinatorischer Psychose, in denen jenes Ereignis verleugnet werden soll, welches den Wahnsinn hervorgerufen hat (Griesinger). Eigentlich tut aber jeder Neurotiker mit einem Stückchen der Realität das gleiche </w:t>
      </w:r>
      <w:hyperlink r:id="rId84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Eine merkwürdig klare Ahnung dieser Verursachung hat kürzlich Otto Rank in einer Stelle Schopenhauers aufgezeigt. ( </w:t>
        </w:r>
        <w:r w:rsidRPr="008725BE">
          <w:rPr>
            <w:rStyle w:val="innerfusslink3"/>
            <w:rFonts w:ascii="Garamond" w:hAnsi="Garamond" w:cs="Arial"/>
            <w:b/>
            <w:bCs/>
            <w:i/>
            <w:iCs/>
            <w:lang w:val="en-GB"/>
          </w:rPr>
          <w:t>Die Welt als Wille und Vorstellung</w:t>
        </w:r>
        <w:r w:rsidRPr="008725BE">
          <w:rPr>
            <w:rStyle w:val="innerfusslink3"/>
            <w:rFonts w:ascii="Garamond" w:hAnsi="Garamond" w:cs="Arial"/>
            <w:b/>
            <w:bCs/>
            <w:lang w:val="en-GB"/>
          </w:rPr>
          <w:t>, Bd. 2. S. Rank, 1910.)</w:t>
        </w:r>
      </w:hyperlink>
      <w:r w:rsidRPr="008725BE">
        <w:rPr>
          <w:rFonts w:ascii="Garamond" w:hAnsi="Garamond"/>
          <w:color w:val="000000"/>
          <w:lang w:val="en-GB"/>
        </w:rPr>
        <w:t>. Es erwächst uns nun die Aufgabe, die Beziehung des Neurotikers und des Menschen überhaupt zur Realität auf ihre Entwicklung zu untersuchen und so die psychologische Bedeutung der realen Außenwelt in das Gefüge unserer Lehren aufzunehmen.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haben uns in der auf Psychoanalyse begründeten Psychologie gewöhnt, die unbewußten seelischen Vorgänge zum Ausgange zu nehmen, deren Eigentümlichkeiten uns durch die Analyse bekannt worden sind. Wir halten diese für die älteren, primären, für Überreste aus einer Entwicklungsphase, in welcher sie die einzige Art von seelischen Vorgängen waren. Die oberste Tendenz, welcher diese primären Vorgänge gehorchen, ist leicht zu erkennen; sie wird als das Lust-Unlust-Prinzip (oder kürzer als das Lustprinzip) bezeichnet. Diese Vorgänge streben danach, Lust zu gewinnen; von solchen Akten, welche Unlust erregen können, zieht sich die psychische Tätigkeit zurück (Verdrängung). Unser nächtliches Träumen, unsere Wachtendenz, uns von peinlichen Eindrücken loszureißen, sind Reste von der Herrschaft dieses Prinzips und Beweise für dessen Mächtigkeit.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greife auf Gedankengänge zurück, die ich an anderer Stelle (im allgemeinen Abschnitt der </w:t>
      </w:r>
      <w:r w:rsidRPr="008725BE">
        <w:rPr>
          <w:rFonts w:ascii="Garamond" w:hAnsi="Garamond"/>
          <w:i/>
          <w:iCs/>
          <w:color w:val="000000"/>
          <w:lang w:val="en-GB"/>
        </w:rPr>
        <w:t>Traumdeutung</w:t>
      </w:r>
      <w:r w:rsidRPr="008725BE">
        <w:rPr>
          <w:rFonts w:ascii="Garamond" w:hAnsi="Garamond"/>
          <w:color w:val="000000"/>
          <w:lang w:val="en-GB"/>
        </w:rPr>
        <w:t xml:space="preserve">) entwickelt habe, wenn ich supponiere, daß der psychische Ruhezustand anfänglich durch die gebieterischen Forderungen der inneren Bedürfnisse gestört wurde. In diesem Falle wurde das Gedachte (Gewünschte) einfach halluzinatorisch gesetzt, wie es heute noch allnächtlich mit unseren Traumgedanken geschieht </w:t>
      </w:r>
      <w:hyperlink r:id="rId84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Der Schlafzustand kann das Ebenbild des Seelenlebens vor der Anerkennung der Realität wiederbringen, weil er die absichtliche Verleugnung derselben (Schlafwunsch) zur Voraussetzung nimmt.</w:t>
        </w:r>
      </w:hyperlink>
      <w:r w:rsidRPr="008725BE">
        <w:rPr>
          <w:rFonts w:ascii="Garamond" w:hAnsi="Garamond"/>
          <w:color w:val="000000"/>
          <w:lang w:val="en-GB"/>
        </w:rPr>
        <w:t xml:space="preserve">. Erst das Ausbleiben der erwarteten Befriedigung, die Enttäuschung, hatte zur Folge, daß dieser Versuch der Befriedigung auf halluzinatorischem Wege aufgegeben wurde. </w:t>
      </w:r>
      <w:r w:rsidRPr="008725BE">
        <w:rPr>
          <w:rFonts w:ascii="Garamond" w:hAnsi="Garamond"/>
          <w:color w:val="000000"/>
        </w:rPr>
        <w:t xml:space="preserve">Anstatt seiner mußte sich der psychische Apparat entschließen, die realen Verhältnisse der Außenwelt vorzustellen und die reale Veränderung anzustreben. Damit war ein neues Prinzip der seelischen Tätigkeit eingeführt; es wurde nicht mehr vorgestellt, was angenehm, sondern was real war, auch wenn es unangenehm sein sollte </w:t>
      </w:r>
      <w:hyperlink r:id="rId842" w:anchor="#" w:history="1">
        <w:r w:rsidRPr="008725BE">
          <w:rPr>
            <w:rStyle w:val="fusslink"/>
            <w:rFonts w:ascii="Garamond" w:hAnsi="Garamond" w:cs="Arial"/>
            <w:b/>
            <w:bCs/>
            <w:color w:val="003399"/>
          </w:rPr>
          <w:t>[Fußnote]</w:t>
        </w:r>
        <w:r w:rsidRPr="008725BE">
          <w:rPr>
            <w:rStyle w:val="innerfusslink3"/>
            <w:rFonts w:ascii="Garamond" w:hAnsi="Garamond" w:cs="Arial"/>
            <w:b/>
            <w:bCs/>
          </w:rPr>
          <w:t xml:space="preserve">Ich will versuchen, die obige schematische Darstellung durch einige Ausführungen zu ergänzen: Es wird mit Recht eingewendet werden, daß eine solche Organisation, die dem Lustprinzip frönt und die Realität der Außenwelt vernachlässigt, sich nicht die kürzeste Zeit am Leben erhalten könnte, so daß sie überhaupt nicht hätte entstehen können. Die Verwendung einer derartigen Fiktion rechtfertigt sich aber durch die Bemerkung, daß der Säugling, wenn man nur die Mutterpflege hinzunimmt, ein solches psychisches System nahezu realisiert. Er halluziniert wahrscheinlich die Erfüllung seiner inneren Bedürfnisse, verrät seine Unlust bei steigendem Reiz und ausbleibender Befriedigung durch die motorische Abfuhr des Schreiens und Zappelns und erlebt darauf die halluzinierte Befriedigung. </w:t>
        </w:r>
        <w:r w:rsidRPr="008725BE">
          <w:rPr>
            <w:rStyle w:val="innerfusslink3"/>
            <w:rFonts w:ascii="Garamond" w:hAnsi="Garamond" w:cs="Arial"/>
            <w:b/>
            <w:bCs/>
            <w:lang w:val="en-GB"/>
          </w:rPr>
          <w:t xml:space="preserve">Er erlernt es später als Kind, diese Abfuhräußerungen absichtlich als Ausdrucksmittel zu gebrauchen. Da die Säuglingspflege das Vorbild der späteren Kinderfürsorge ist, kann die Herrschaft des Lustprinzips eigentlich erst mit der vollen psychischen Ablösung von den Eltern ein Ende nehmen. –; Ein schönes Beispiel eines von den Reizen der Außenwelt abgeschlossenen psychischen Systems, welches selbst seine Ernährungsbedürfnisse autistisch (nach einem Worte Bleulers) befriedigen kann, gibt das mit seinem Nahrungsvorrat in die Eischale eingeschlossene Vogelei, für das sich die Mutterpflege auf die Wärmezufuhr einschränkt. –; Ich werde es nicht als Korrektur, sondern nur als Erweiterung des in Rede stehenden Schemas ansehen, wenn man für das nach dem Lustprinzip lebende System Einrichtungen fordert, mittels deren es sich den Reizen der Realität entziehen kann. Diese Einrichtungen sind nur das Korrelat der </w:t>
        </w:r>
        <w:r w:rsidRPr="008725BE">
          <w:rPr>
            <w:rStyle w:val="innerfusslink3"/>
            <w:rFonts w:ascii="Garamond" w:hAnsi="Garamond" w:cs="Arial"/>
            <w:b/>
            <w:bCs/>
            <w:lang w:val="en-GB"/>
          </w:rPr>
          <w:lastRenderedPageBreak/>
          <w:t>»Verdrängung«, welche innere Unlustreize so behandelt, als ob sie äußere wären, sie also zur Außenwelt schlägt.</w:t>
        </w:r>
      </w:hyperlink>
      <w:r w:rsidRPr="008725BE">
        <w:rPr>
          <w:rFonts w:ascii="Garamond" w:hAnsi="Garamond"/>
          <w:color w:val="000000"/>
          <w:lang w:val="en-GB"/>
        </w:rPr>
        <w:t xml:space="preserve">. Diese Einsetzung des </w:t>
      </w:r>
      <w:r w:rsidRPr="008725BE">
        <w:rPr>
          <w:rFonts w:ascii="Garamond" w:hAnsi="Garamond"/>
          <w:i/>
          <w:iCs/>
          <w:color w:val="000000"/>
          <w:lang w:val="en-GB"/>
        </w:rPr>
        <w:t>Realitätsprinzips</w:t>
      </w:r>
      <w:r w:rsidRPr="008725BE">
        <w:rPr>
          <w:rFonts w:ascii="Garamond" w:hAnsi="Garamond"/>
          <w:color w:val="000000"/>
          <w:lang w:val="en-GB"/>
        </w:rPr>
        <w:t xml:space="preserve"> erwies sich als ein folgenschwerer Schritt.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1) Zunächst machten die neuen Anforderungen eine Reihe von Adaptierungen des psychischen Apparats nötig, die wir infolge von ungenügender oder unsicherer Einsicht nur ganz beiläufig aufführen können.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erhöhte Bedeutung der äußeren Realität hob auch die Bedeutung der jener Außenwelt zugewendeten Sinnesorgane und des an sie geknüpften </w:t>
      </w:r>
      <w:r w:rsidRPr="008725BE">
        <w:rPr>
          <w:rFonts w:ascii="Garamond" w:hAnsi="Garamond"/>
          <w:i/>
          <w:iCs/>
          <w:color w:val="000000"/>
          <w:lang w:val="en-GB"/>
        </w:rPr>
        <w:t>Bewußtseins</w:t>
      </w:r>
      <w:r w:rsidRPr="008725BE">
        <w:rPr>
          <w:rFonts w:ascii="Garamond" w:hAnsi="Garamond"/>
          <w:color w:val="000000"/>
          <w:lang w:val="en-GB"/>
        </w:rPr>
        <w:t xml:space="preserve">, welches außer den bisher allein interessanten Lust- und Unlustqualitäten die Sinnesqualitäten auffassen lernte. Es wurde eine besondere Funktion eingerichtet, welche die Außenwelt periodisch abzusuchen hatte, damit die Daten derselben im vorhinein bekannt wären, wenn sich ein unaufschiebbares inneres Bedürfnis einstellte, die </w:t>
      </w:r>
      <w:r w:rsidRPr="008725BE">
        <w:rPr>
          <w:rFonts w:ascii="Garamond" w:hAnsi="Garamond"/>
          <w:i/>
          <w:iCs/>
          <w:color w:val="000000"/>
          <w:lang w:val="en-GB"/>
        </w:rPr>
        <w:t>Aufmerksamkeit</w:t>
      </w:r>
      <w:r w:rsidRPr="008725BE">
        <w:rPr>
          <w:rFonts w:ascii="Garamond" w:hAnsi="Garamond"/>
          <w:color w:val="000000"/>
          <w:lang w:val="en-GB"/>
        </w:rPr>
        <w:t xml:space="preserve">. Diese Tätigkeit geht den Sinneseindrücken entgegen, anstatt ihr Auftreten abzuwarten. Wahrscheinlich wurde gleichzeitig damit ein System von </w:t>
      </w:r>
      <w:r w:rsidRPr="008725BE">
        <w:rPr>
          <w:rFonts w:ascii="Garamond" w:hAnsi="Garamond"/>
          <w:i/>
          <w:iCs/>
          <w:color w:val="000000"/>
          <w:lang w:val="en-GB"/>
        </w:rPr>
        <w:t>Merken</w:t>
      </w:r>
      <w:r w:rsidRPr="008725BE">
        <w:rPr>
          <w:rFonts w:ascii="Garamond" w:hAnsi="Garamond"/>
          <w:color w:val="000000"/>
          <w:lang w:val="en-GB"/>
        </w:rPr>
        <w:t xml:space="preserve"> eingesetzt, welches die Ergebnisse dieser periodischen Bewußtseinstätigkeit zu deponieren hatte, ein Teil von dem, was wir </w:t>
      </w:r>
      <w:r w:rsidRPr="008725BE">
        <w:rPr>
          <w:rFonts w:ascii="Garamond" w:hAnsi="Garamond"/>
          <w:i/>
          <w:iCs/>
          <w:color w:val="000000"/>
          <w:lang w:val="en-GB"/>
        </w:rPr>
        <w:t>Gedächtnis</w:t>
      </w:r>
      <w:r w:rsidRPr="008725BE">
        <w:rPr>
          <w:rFonts w:ascii="Garamond" w:hAnsi="Garamond"/>
          <w:color w:val="000000"/>
          <w:lang w:val="en-GB"/>
        </w:rPr>
        <w:t xml:space="preserve"> heißen.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An Stelle der Verdrängung, welche einen Teil der auftauchenden Vorstellungen als unlusterzeugend von der Besetzung ausschloß, trat die unparteiische </w:t>
      </w:r>
      <w:r w:rsidRPr="008725BE">
        <w:rPr>
          <w:rFonts w:ascii="Garamond" w:hAnsi="Garamond"/>
          <w:i/>
          <w:iCs/>
          <w:color w:val="000000"/>
          <w:lang w:val="en-GB"/>
        </w:rPr>
        <w:t>Urteilsfällung</w:t>
      </w:r>
      <w:r w:rsidRPr="008725BE">
        <w:rPr>
          <w:rFonts w:ascii="Garamond" w:hAnsi="Garamond"/>
          <w:color w:val="000000"/>
          <w:lang w:val="en-GB"/>
        </w:rPr>
        <w:t>, welche entscheiden sollte, ob eine bestimmte Vorstellung wahr oder falsch, das heißt im Einklang mit der Realität sei oder nicht, und durch Vergleichung mit den Erinnerungsspuren der Realität darüber entschied.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motorische Abfuhr, die während der Herrschaft des Lustprinzips zur Entlastung des seelischen Apparats von Reizzuwächsen gedient hatte und dieser Aufgabe durch ins Innere des Körpers gesandte Innervationen (Mimik, Affektäußerungen) nachgekommen war, erhielt jetzt eine neue Funktion, indem sie zur zweckmäßigen Veränderung der Realität verwendet wurde. Sie wandelte sich zum </w:t>
      </w:r>
      <w:r w:rsidRPr="008725BE">
        <w:rPr>
          <w:rFonts w:ascii="Garamond" w:hAnsi="Garamond"/>
          <w:i/>
          <w:iCs/>
          <w:color w:val="000000"/>
          <w:lang w:val="en-GB"/>
        </w:rPr>
        <w:t>Handeln</w:t>
      </w:r>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notwendig gewordene Aufhaltung der motorischen Abfuhr (des Handelns) wurde durch den </w:t>
      </w:r>
      <w:r w:rsidRPr="008725BE">
        <w:rPr>
          <w:rFonts w:ascii="Garamond" w:hAnsi="Garamond"/>
          <w:i/>
          <w:iCs/>
          <w:color w:val="000000"/>
          <w:lang w:val="en-GB"/>
        </w:rPr>
        <w:t>Denkprozeß</w:t>
      </w:r>
      <w:r w:rsidRPr="008725BE">
        <w:rPr>
          <w:rFonts w:ascii="Garamond" w:hAnsi="Garamond"/>
          <w:color w:val="000000"/>
          <w:lang w:val="en-GB"/>
        </w:rPr>
        <w:t xml:space="preserve"> besorgt, welcher sich aus dem Vorstellen herausbildete. Das Denken wurde mit Eigenschaften ausgestattet, welche dem seelischen Apparat das Ertragen der erhöhten Reizspannung während des Aufschubs der Abfuhr ermöglichten. Es ist im wesentlichen ein Probehandeln mit Verschiebung kleinerer Besetzungsquantitäten, unter geringer Verausgabung (Abfuhr) derselben. Dazu war eine Überführung der frei verschiebbaren Besetzungen in gebundene erforderlich, und eine solche wurde mittels einer Niveauerhöhung des ganzen Besetzungsvorganges erreicht. Das Denken war wahrscheinlich ursprünglich unbewußt, insoweit es sich über das bloße Vorstellen erhob und sich den Relationen der Objekteindrücke zuwendete, und erhielt weitere für das Bewußtsein wahrnehmbare Qualitäten erst durch die Bindung an die Wortreste.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2) Eine allgemeine Tendenz unseres seelischen Apparats, die man auf das ökonomische Prinzip der Aufwandersparnis zurückführen kann, scheint sich in der Zähigkeit des Festhaltens an den zur Verfügung stehenden Lustquellen und in der Schwierigkeit des Verzichts auf dieselben zu äußern. Mit der Einsetzung des Realitätsprinzips wurde eine Art Denktätigkeit abgespalten, die von der Realitätsprüfung frei gehalten und allein dem Lustprinzip unterworfen blieb </w:t>
      </w:r>
      <w:hyperlink r:id="rId84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Ähnlich wie eine Nation, deren Reichtum auf der Ausbeutung ihrer Bodenschätze beruht, doch ein bestimmtes Gebiet reserviert, das im Urzustande belassen und von den Veränderungen der Kultur verschont werden soll (Yellowstonepark).</w:t>
        </w:r>
      </w:hyperlink>
      <w:r w:rsidRPr="008725BE">
        <w:rPr>
          <w:rFonts w:ascii="Garamond" w:hAnsi="Garamond"/>
          <w:color w:val="000000"/>
          <w:lang w:val="en-GB"/>
        </w:rPr>
        <w:t xml:space="preserve">. Es ist dies das </w:t>
      </w:r>
      <w:r w:rsidRPr="008725BE">
        <w:rPr>
          <w:rFonts w:ascii="Garamond" w:hAnsi="Garamond"/>
          <w:i/>
          <w:iCs/>
          <w:color w:val="000000"/>
          <w:lang w:val="en-GB"/>
        </w:rPr>
        <w:t>Phantasieren,</w:t>
      </w:r>
      <w:r w:rsidRPr="008725BE">
        <w:rPr>
          <w:rFonts w:ascii="Garamond" w:hAnsi="Garamond"/>
          <w:color w:val="000000"/>
          <w:lang w:val="en-GB"/>
        </w:rPr>
        <w:t xml:space="preserve"> welches bereits mit dem Spielen der Kinder beginnt und später als </w:t>
      </w:r>
      <w:r w:rsidRPr="008725BE">
        <w:rPr>
          <w:rFonts w:ascii="Garamond" w:hAnsi="Garamond"/>
          <w:i/>
          <w:iCs/>
          <w:color w:val="000000"/>
          <w:lang w:val="en-GB"/>
        </w:rPr>
        <w:t>Tagträumen</w:t>
      </w:r>
      <w:r w:rsidRPr="008725BE">
        <w:rPr>
          <w:rFonts w:ascii="Garamond" w:hAnsi="Garamond"/>
          <w:color w:val="000000"/>
          <w:lang w:val="en-GB"/>
        </w:rPr>
        <w:t xml:space="preserve"> fortgesetzt die Anlehnung an reale Objekte aufgibt.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3) Die Ablösung des Lustprinzips durch das Realitätsprinzip mit den aus ihr hervorgehenden psychischen Folgen, die hier in einer schematisierenden Darstellung in einen einzigen Satz gebannt ist, vollzieht sich in Wirklichkeit nicht auf einmal und nicht gleichzeitig auf der ganzen Linie. Während aber diese Entwicklung an den Ichtrieben vor sich geht, lösen sich die Sexualtriebe in sehr bedeutsamer Weise von ihnen ab. Die Sexualtriebe benehmen sich zunächst autoerotisch, sie finden ihre Befriedigung am eigenen Leib und gelangen daher nicht in die Situation der Versagung, welche die Einsetzung des Realitätsprinzips erzwungen hat. Wenn dann später bei ihnen der Prozeß der Objektfindung beginnt, erfährt er alsbald eine lange Unterbrechung durch die Latenzzeit, welche die Sexualentwicklung bis zur Pubertät verzögert. Diese beiden Momente –; Autoerotismus und Latenzperiode –; haben zur Folge, daß der Sexualtrieb in seiner psychischen Ausbildung aufgehalten wird und weit länger unter der Herrschaft des Lustprinzips verbleibt, welcher er sich bei vielen Personen überhaupt niemals zu entziehen vermag.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Infolge dieser Verhältnisse stellt sich eine nähere Beziehung her zwischen dem Sexualtrieb und der Phantasie einerseits, den Ichtrieben und den Bewußtseinstätigkeiten anderseits. Diese Beziehung tritt uns bei Gesunden wie Neurotikern als eine sehr innige entgegen, wenngleich sie durch diese Erwägungen aus der genetischen Psychologie als eine </w:t>
      </w:r>
      <w:r w:rsidRPr="008725BE">
        <w:rPr>
          <w:rFonts w:ascii="Garamond" w:hAnsi="Garamond"/>
          <w:i/>
          <w:iCs/>
          <w:color w:val="000000"/>
          <w:lang w:val="en-GB"/>
        </w:rPr>
        <w:t>sekundäre</w:t>
      </w:r>
      <w:r w:rsidRPr="008725BE">
        <w:rPr>
          <w:rFonts w:ascii="Garamond" w:hAnsi="Garamond"/>
          <w:color w:val="000000"/>
          <w:lang w:val="en-GB"/>
        </w:rPr>
        <w:t xml:space="preserve"> erkannt wird. Der fortwirkende Autoerotismus macht es möglich, daß die leichtere momentane und phantastische Befriedigung am Sexualobjekte so lange an Stelle der realen, aber Mühe und Aufschub erfordernden festgehalten wird. Die Verdrängung bleibt im Reiche </w:t>
      </w:r>
      <w:r w:rsidRPr="008725BE">
        <w:rPr>
          <w:rFonts w:ascii="Garamond" w:hAnsi="Garamond"/>
          <w:color w:val="000000"/>
          <w:lang w:val="en-GB"/>
        </w:rPr>
        <w:lastRenderedPageBreak/>
        <w:t xml:space="preserve">des Phantasierens allmächtig; sie bringt es zustande, Vorstellungen </w:t>
      </w:r>
      <w:r w:rsidRPr="008725BE">
        <w:rPr>
          <w:rFonts w:ascii="Garamond" w:hAnsi="Garamond"/>
          <w:i/>
          <w:iCs/>
          <w:color w:val="000000"/>
          <w:lang w:val="en-GB"/>
        </w:rPr>
        <w:t>in statu nascendi</w:t>
      </w:r>
      <w:r w:rsidRPr="008725BE">
        <w:rPr>
          <w:rFonts w:ascii="Garamond" w:hAnsi="Garamond"/>
          <w:color w:val="000000"/>
          <w:lang w:val="en-GB"/>
        </w:rPr>
        <w:t>, ehe sie dem Bewußtsein auffallen können, zu hemmen, wenn deren Besetzung zur Unlustentbindung Anlaß geben kann. Dies ist die schwache Stelle unserer psychischen Organisation, die dazu benutzt werden kann, um bereits rationell gewordene Denkvorgänge wieder unter die Herrschaft des Lustprinzips zu bringen. Ein wesentliches Stück der psychischen Disposition zur Neurose ist demnach durch die verspätete Erziehung des Sexualtriebs zur Beachtung der Realität und des weiteren durch die Bedingungen, welche diese Verspätung ermöglichen, gegeben.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4) Wie das Lust-Ich nichts anderes kann als </w:t>
      </w:r>
      <w:r w:rsidRPr="008725BE">
        <w:rPr>
          <w:rFonts w:ascii="Garamond" w:hAnsi="Garamond"/>
          <w:i/>
          <w:iCs/>
          <w:color w:val="000000"/>
          <w:lang w:val="en-GB"/>
        </w:rPr>
        <w:t>wünschen</w:t>
      </w:r>
      <w:r w:rsidRPr="008725BE">
        <w:rPr>
          <w:rFonts w:ascii="Garamond" w:hAnsi="Garamond"/>
          <w:color w:val="000000"/>
          <w:lang w:val="en-GB"/>
        </w:rPr>
        <w:t xml:space="preserve">, nach Lustgewinn arbeiten und der Unlust ausweichen, so braucht das Real-Ich nichts anderes zu tun, als nach </w:t>
      </w:r>
      <w:r w:rsidRPr="008725BE">
        <w:rPr>
          <w:rFonts w:ascii="Garamond" w:hAnsi="Garamond"/>
          <w:i/>
          <w:iCs/>
          <w:color w:val="000000"/>
          <w:lang w:val="en-GB"/>
        </w:rPr>
        <w:t>Nutzen</w:t>
      </w:r>
      <w:r w:rsidRPr="008725BE">
        <w:rPr>
          <w:rFonts w:ascii="Garamond" w:hAnsi="Garamond"/>
          <w:color w:val="000000"/>
          <w:lang w:val="en-GB"/>
        </w:rPr>
        <w:t xml:space="preserve"> zu streben und sich gegen Schaden zu sichern </w:t>
      </w:r>
      <w:hyperlink r:id="rId84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Den Vorzug des Real-Ichs vor dem Lust-Ich drückt Bernard Shaw treffend in den Worten aus: » </w:t>
        </w:r>
        <w:r w:rsidRPr="008725BE">
          <w:rPr>
            <w:rStyle w:val="innerfusslink3"/>
            <w:rFonts w:ascii="Garamond" w:hAnsi="Garamond" w:cs="Arial"/>
            <w:b/>
            <w:bCs/>
            <w:i/>
            <w:iCs/>
            <w:lang w:val="en-GB"/>
          </w:rPr>
          <w:t>To be able to choose the line of greatest advantage instead of yielding in the direction of least resistance</w:t>
        </w:r>
        <w:r w:rsidRPr="008725BE">
          <w:rPr>
            <w:rStyle w:val="innerfusslink3"/>
            <w:rFonts w:ascii="Garamond" w:hAnsi="Garamond" w:cs="Arial"/>
            <w:b/>
            <w:bCs/>
            <w:lang w:val="en-GB"/>
          </w:rPr>
          <w:t xml:space="preserve">.« ( </w:t>
        </w:r>
        <w:r w:rsidRPr="008725BE">
          <w:rPr>
            <w:rStyle w:val="innerfusslink3"/>
            <w:rFonts w:ascii="Garamond" w:hAnsi="Garamond" w:cs="Arial"/>
            <w:b/>
            <w:bCs/>
            <w:i/>
            <w:iCs/>
            <w:lang w:val="en-GB"/>
          </w:rPr>
          <w:t>Man and Superman; A Comedy and a Philosophy.</w:t>
        </w:r>
        <w:r w:rsidRPr="008725BE">
          <w:rPr>
            <w:rStyle w:val="innerfusslink3"/>
            <w:rFonts w:ascii="Garamond" w:hAnsi="Garamond" w:cs="Arial"/>
            <w:b/>
            <w:bCs/>
            <w:lang w:val="en-GB"/>
          </w:rPr>
          <w:t>)</w:t>
        </w:r>
      </w:hyperlink>
      <w:r w:rsidRPr="008725BE">
        <w:rPr>
          <w:rFonts w:ascii="Garamond" w:hAnsi="Garamond"/>
          <w:color w:val="000000"/>
          <w:lang w:val="en-GB"/>
        </w:rPr>
        <w:t xml:space="preserve">. In Wirklichkeit bedeutet die Ersetzung des Lustprinzips durch das Realitätsprinzip keine Absetzung des Lustprinzips, sondern nur eine Sicherung desselben. Eine momentane, in ihren Folgen unsichere Lust wird aufgegeben, aber nur darum, um auf dem neuen Wege eine später kommende, gesicherte zu gewinnen. Doch ist der endopsychische Eindruck dieser Ersetzung ein so mächtiger gewesen, daß er sich in einem besonderen religiösen Mythus spiegelt. Die Lehre von der Belohnung im Jenseits für den –; freiwilligen oder aufgezwungenen –; Verzicht auf irdische Lüste ist nichts anderes als die mythische Projektion dieser psychischen Umwälzung. Die </w:t>
      </w:r>
      <w:r w:rsidRPr="008725BE">
        <w:rPr>
          <w:rFonts w:ascii="Garamond" w:hAnsi="Garamond"/>
          <w:i/>
          <w:iCs/>
          <w:color w:val="000000"/>
          <w:lang w:val="en-GB"/>
        </w:rPr>
        <w:t>Religionen</w:t>
      </w:r>
      <w:r w:rsidRPr="008725BE">
        <w:rPr>
          <w:rFonts w:ascii="Garamond" w:hAnsi="Garamond"/>
          <w:color w:val="000000"/>
          <w:lang w:val="en-GB"/>
        </w:rPr>
        <w:t xml:space="preserve"> haben in konsequenter Verfolgung dieses Vorbildes den absoluten Lustverzicht im Leben gegen Versprechen einer Entschädigung in einem künftigen Dasein durchsetzen können; eine Überwindung des Lustprinzips haben sie auf diesem Wege nicht erreicht. Am ehesten gelingt diese Überwindung der </w:t>
      </w:r>
      <w:r w:rsidRPr="008725BE">
        <w:rPr>
          <w:rFonts w:ascii="Garamond" w:hAnsi="Garamond"/>
          <w:i/>
          <w:iCs/>
          <w:color w:val="000000"/>
          <w:lang w:val="en-GB"/>
        </w:rPr>
        <w:t>Wissenschaft</w:t>
      </w:r>
      <w:r w:rsidRPr="008725BE">
        <w:rPr>
          <w:rFonts w:ascii="Garamond" w:hAnsi="Garamond"/>
          <w:color w:val="000000"/>
          <w:lang w:val="en-GB"/>
        </w:rPr>
        <w:t>, die aber auch intellektuelle Lust während der Arbeit bietet und endlichen praktischen Gewinn verspricht.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5) Die </w:t>
      </w:r>
      <w:r w:rsidRPr="008725BE">
        <w:rPr>
          <w:rFonts w:ascii="Garamond" w:hAnsi="Garamond"/>
          <w:i/>
          <w:iCs/>
          <w:color w:val="000000"/>
          <w:lang w:val="en-GB"/>
        </w:rPr>
        <w:t>Erziehung</w:t>
      </w:r>
      <w:r w:rsidRPr="008725BE">
        <w:rPr>
          <w:rFonts w:ascii="Garamond" w:hAnsi="Garamond"/>
          <w:color w:val="000000"/>
          <w:lang w:val="en-GB"/>
        </w:rPr>
        <w:t xml:space="preserve"> kann ohne weitere Bedenken als Anregung zur Überwindung des Lustprinzips, zur Ersetzung desselben durch das Realitätsprinzip beschrieben werden; sie will also jenem das Ich betreffenden Entwicklungsprozeß eine Nachhilfe bieten, bedient sich zu diesem Zwecke der Liebesprämien von Seiten der Erzieher und schlägt darum fehl, wenn das verwöhnte Kind glaubt, daß es diese Liebe ohnedies besitzt und ihrer unter keinen Umständen verlustig werden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6) Die </w:t>
      </w:r>
      <w:r w:rsidRPr="008725BE">
        <w:rPr>
          <w:rFonts w:ascii="Garamond" w:hAnsi="Garamond"/>
          <w:i/>
          <w:iCs/>
          <w:color w:val="000000"/>
          <w:lang w:val="en-GB"/>
        </w:rPr>
        <w:t>Kunst</w:t>
      </w:r>
      <w:r w:rsidRPr="008725BE">
        <w:rPr>
          <w:rFonts w:ascii="Garamond" w:hAnsi="Garamond"/>
          <w:color w:val="000000"/>
          <w:lang w:val="en-GB"/>
        </w:rPr>
        <w:t xml:space="preserve"> bringt auf einem eigentümlichen Weg eine Versöhnung der beiden Prinzipien zustande. Der Künstler ist ursprünglich ein Mensch, welcher sich von der Realität abwendet, weil er sich mit dem von ihr zunächst geforderten Verzicht auf Triebbefriedigung nicht befreunden kann und seine erotischen und ehrgeizigen Wünsche im Phantasieleben gewähren läßt. Er findet aber den Rückweg aus dieser Phantasiewelt zur Realität, indem er dank besonderer Begabungen seine Phantasien zu einer neuen Art von Wirklichkeiten gestaltet, die von den Menschen als wertvolle Abbilder der Realität zur Geltung zugelassen werden. Er wird so auf eine gewisse Weise wirklich der Held, König, Schöpfer, Liebling, der er werden wollte, ohne den gewaltigen Umweg über die wirkliche Veränderung der Außenwelt einzuschlagen. Er kann dies aber nur darum erreichen, weil die anderen Menschen die nämliche Unzufriedenheit mit dem real erforderlichen Verzicht verspüren wie er selbst, weil diese bei der Ersetzung des Lustprinzips durch das Realitätsprinzip resultierende Unzufriedenheit selbst ein Stück der Realität ist </w:t>
      </w:r>
      <w:hyperlink r:id="rId84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Ähnliches bei O. Rank (1907).</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7) Während das Ich die Umwandlung vom </w:t>
      </w:r>
      <w:r w:rsidRPr="008725BE">
        <w:rPr>
          <w:rFonts w:ascii="Garamond" w:hAnsi="Garamond"/>
          <w:i/>
          <w:iCs/>
          <w:color w:val="000000"/>
          <w:lang w:val="en-GB"/>
        </w:rPr>
        <w:t>Lust-Ich</w:t>
      </w:r>
      <w:r w:rsidRPr="008725BE">
        <w:rPr>
          <w:rFonts w:ascii="Garamond" w:hAnsi="Garamond"/>
          <w:color w:val="000000"/>
          <w:lang w:val="en-GB"/>
        </w:rPr>
        <w:t xml:space="preserve"> zum </w:t>
      </w:r>
      <w:r w:rsidRPr="008725BE">
        <w:rPr>
          <w:rFonts w:ascii="Garamond" w:hAnsi="Garamond"/>
          <w:i/>
          <w:iCs/>
          <w:color w:val="000000"/>
          <w:lang w:val="en-GB"/>
        </w:rPr>
        <w:t>Real-Ich</w:t>
      </w:r>
      <w:r w:rsidRPr="008725BE">
        <w:rPr>
          <w:rFonts w:ascii="Garamond" w:hAnsi="Garamond"/>
          <w:color w:val="000000"/>
          <w:lang w:val="en-GB"/>
        </w:rPr>
        <w:t xml:space="preserve"> durchmacht, erfahren die Sexualtriebe jene Veränderungen, die sie vom anfänglichen Autoerotismus durch verschiedene Zwischenphasen zur Objektliebe im Dienste der Fortpflanzungsfunktion führen. Wenn es richtig ist, daß jede Stufe dieser beiden Entwicklungsgänge zum Sitz einer Disposition für spätere neurotische Erkrankung werden kann, liegt es nahe, die Entscheidung über die Form der späteren Erkrankung (die </w:t>
      </w:r>
      <w:r w:rsidRPr="008725BE">
        <w:rPr>
          <w:rFonts w:ascii="Garamond" w:hAnsi="Garamond"/>
          <w:i/>
          <w:iCs/>
          <w:color w:val="000000"/>
          <w:lang w:val="en-GB"/>
        </w:rPr>
        <w:t>Neurosenwahl</w:t>
      </w:r>
      <w:r w:rsidRPr="008725BE">
        <w:rPr>
          <w:rFonts w:ascii="Garamond" w:hAnsi="Garamond"/>
          <w:color w:val="000000"/>
          <w:lang w:val="en-GB"/>
        </w:rPr>
        <w:t>) davon abhängig zu machen, in welcher Phase der Ich- und der Libidoentwicklung die disponierende Entwicklungshemmung eingetroffen ist. Die noch nicht studierten zeitlichen Charaktere der beiden Entwicklungen, deren mögliche Verschiebung gegeneinander, kommen so zu unvermuteter Bedeutung.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8) Der befremdendste Charakter der unbewußten (verdrängten) Vorgänge, an den sich jeder Untersucher nur mit großer Selbstüberwindung gewöhnt, ergibt sich daraus, daß bei ihnen die Realitätsprüfung nichts gilt, die Denkrealität gleichgesetzt wird der äußeren Wirklichkeit, der Wunsch der Erfüllung, dem Ereignis, wie es sich aus der Herrschaft des alten Lustprinzips ohneweiters ableitet. Darum wird es auch so schwer, unbewußte Phantasien von unbewußt gewordenen Erinnerungen zu unterscheiden. Man lasse sich aber nie dazu verleiten, die Realitätswertung in die verdrängten psychischen Bildungen einzutragen und etwa Phantasien darum für die Symptombildung geringzuschätzen, weil sie eben keine Wirklichkeiten sind, oder ein neurotisches Schuldgefühl anderswoher abzuleiten, weil sich kein wirklich ausgeführtes Verbrechen </w:t>
      </w:r>
      <w:r w:rsidRPr="008725BE">
        <w:rPr>
          <w:rFonts w:ascii="Garamond" w:hAnsi="Garamond"/>
          <w:color w:val="000000"/>
          <w:lang w:val="en-GB"/>
        </w:rPr>
        <w:lastRenderedPageBreak/>
        <w:t xml:space="preserve">nachweisen läßt. Man hat die Verpflichtung, sich jener Währung zu bedienen, die in dem Lande, das man durchforscht, eben die herrschende ist, in unserem Falle der </w:t>
      </w:r>
      <w:r w:rsidRPr="008725BE">
        <w:rPr>
          <w:rFonts w:ascii="Garamond" w:hAnsi="Garamond"/>
          <w:i/>
          <w:iCs/>
          <w:color w:val="000000"/>
          <w:lang w:val="en-GB"/>
        </w:rPr>
        <w:t>neurotischen Währung</w:t>
      </w:r>
      <w:r w:rsidRPr="008725BE">
        <w:rPr>
          <w:rFonts w:ascii="Garamond" w:hAnsi="Garamond"/>
          <w:color w:val="000000"/>
          <w:lang w:val="en-GB"/>
        </w:rPr>
        <w:t xml:space="preserve">. Man versuche z. B., einen Traum wie den folgenden zu lösen. Ein Mann, der einst seinen Vater während seiner langen und qualvollen Todeskrankheit gepflegt, berichtet, daß er in den nächsten Monaten nach dessen Ableben wiederholt geträumt habe: </w:t>
      </w:r>
      <w:r w:rsidRPr="008725BE">
        <w:rPr>
          <w:rFonts w:ascii="Garamond" w:hAnsi="Garamond"/>
          <w:i/>
          <w:iCs/>
          <w:color w:val="000000"/>
          <w:lang w:val="en-GB"/>
        </w:rPr>
        <w:t>der Vater sei wieder am Leben und er spreche mit ihm wie sonst. Dabei habe er es aber äußerst schmerzlich empfunden, daß der Vater doch schon gestorben war und es nur nicht wußte.</w:t>
      </w:r>
      <w:r w:rsidRPr="008725BE">
        <w:rPr>
          <w:rFonts w:ascii="Garamond" w:hAnsi="Garamond"/>
          <w:color w:val="000000"/>
          <w:lang w:val="en-GB"/>
        </w:rPr>
        <w:t xml:space="preserve"> Kein anderer Weg führt zum Verständnis des widersinnig klingenden Traumes als die Anfügung »nach seinem Wunsch« oder »infolge seines Wunsches« nach den Worten »daß der Vater doch gestorben war« und der Zusatz »daß er es wünschte« zu den letzten Worten. Der Traumgedanke lautet dann: Es sei eine schmerzliche Erinnerung für ihn, daß er dem Vater den Tod (als Erlösung) wünschen mußte, als er noch lebte, und wie schrecklich, wenn der Vater dies geahnt hätte. Es handelt sich dann um den bekannten Fall der Selbstvorwürfe nach dem Verlust einer geliebten Person, und der Vorwurf greift in diesem Beispiel auf die infantile Bedeutung des Todeswunsches gegen den Vater zurück.</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 Mängel dieses kleinen, mehr vorbereitenden als ausführenden Aufsatzes sind vielleicht nur zum geringen Anteil entschuldigt, wenn ich sie für unvermeidlich ausgebe. In den wenigen Sätzen über die psychischen Folgen der Adaptierung an das Realitätsprinzip mußte ich Meinungen andeuten, die ich lieber noch zurückgehalten hätte und deren Rechtfertigung gewiß keine kleine Mühe kosten wird. Doch will ich hoffen, daß es wohlwollenden Lesern nicht entgehen wird, wo auch in dieser Arbeit die Herrschaft des Realitätsprinzips beginnt.</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Go</w:t>
        </w:r>
        <w:bookmarkStart w:id="174" w:name="KS39"/>
        <w:bookmarkEnd w:id="174"/>
        <w:r w:rsidRPr="008725BE">
          <w:rPr>
            <w:rStyle w:val="Lienhypertexte"/>
            <w:rFonts w:ascii="Garamond" w:hAnsi="Garamond" w:cs="Arial"/>
            <w:b/>
            <w:bCs/>
            <w:lang w:val="en-GB"/>
          </w:rPr>
          <w:t>ethe-Preis</w:t>
        </w:r>
      </w:hyperlink>
      <w:r w:rsidRPr="008725BE">
        <w:rPr>
          <w:rFonts w:ascii="Garamond" w:hAnsi="Garamond"/>
          <w:color w:val="000000"/>
          <w:lang w:val="en-GB"/>
        </w:rPr>
        <w:t xml:space="preserve">  </w:t>
      </w:r>
      <w:r w:rsidRPr="008725BE">
        <w:rPr>
          <w:rFonts w:ascii="Garamond" w:hAnsi="Garamond"/>
          <w:caps/>
          <w:color w:val="000000"/>
          <w:lang w:val="en-GB"/>
        </w:rPr>
        <w:t>(1930)</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Brief an Dr. Alfons Paquet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bin durch öffentliche Ehrungen nicht verwöhnt worden und habe mich darum so eingerichtet, daß ich solche entbehren konnte. Ich mag aber nicht bestreiten, daß mich die Verleihung des Goethe-Preises der Stadt Frankfurt sehr erfreut hat. Es ist etwas an ihm, was die Phantasie besonders erwärmt und eine seiner Bestimmungen räumt die Demütigung weg, die sonst durch solche Auszeichnungen mitbedingt wird.</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Für Ihren Brief habe ich Ihnen besonderen Dank zu sagen, er hat mich ergriffen und verwundert. Von der liebenswürdigen Vertiefung in den Charakter meiner Arbeit abzusehen, habe ich doch nie zuvor die geheimen persönlichen Absichten derselben mit solcher Klarheit erkannt gefunden wie von Ihnen und hätte Sie gern gefragt, woher Sie es wissen.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Leider erfahre ich aus Ihrem Brief an meine Tochter, daß ich Sie in nächster Zeit nicht sehen soll, und Aufschub ist in meinen Lebenszeiten immerhin bedenklich. Natürlich bin ich gern bereit, den von Ihnen angekündigten Herrn (Dr. Michel) zu empfangen.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Zur Feier nach Frankfurt kann ich leider nicht kommen, ich bin zu gebrechlich für diese Unternehmung. Die Festgesellschaft wird nichts dadurch verlieren, meine Tochter Anna ist gewiß angenehmer anzusehen und anzuhören als ich. Sie soll einige Sätze vorlesen, die Goethes Beziehungen zur Psychoanalyse behandeln und die Analytiker selbst gegen den Vorwurf in Schutz nehmen, daß sie durch analytische Versuche an ihm die dem Großen schuldige Ehrfurcht verletzt haben. Ich hoffe, daß es angeht, das mir gestellte Thema: »Die inneren Beziehungen des Menschen und Forschers zu Goethe« in solcher Weise umzubeugen, oder Sie würden noch so liebenswürdig sein, mir davon abzuraten.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Ansprache im Frankfurter Goethe-Haus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Meine Lebensarbeit war auf ein einziges Ziel eingestellt. Ich beobachtete die feineren Störungen der seelischen Leistung bei Gesunden und Kranken und wollte aus solchen Anzeichen erschließen –; oder, wenn Sie es lieber hören: erraten –;, wie der Apparat gebaut ist, der diesen Leistungen dient, und welche Kräfte in ihm zusammen- und gegeneinanderwirken. Was wir, ich, meine Freunde und Mitarbeiter, auf diesem Wege lernen konnten, erschien uns bedeutsam für den Aufbau einer Seelenkunde, die normale wie pathologische Vorgänge als Teile des nämlichen natürlichen Geschehens verstehen läßt.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Von solcher Einengung ruft mich Ihre mich überraschende Auszeichnung zurück. Indem sie die Gestalt des großen Universellen heraufbeschwört, der in diesem Hause geboren wurde, in diesen Räumen seine Kindheit erlebte, mahnt sie, sich gleichsam vor ihm zu rechtfertigen, wirft sie die Frage auf, wie </w:t>
      </w:r>
      <w:r w:rsidRPr="008725BE">
        <w:rPr>
          <w:rFonts w:ascii="Garamond" w:hAnsi="Garamond"/>
          <w:i/>
          <w:iCs/>
          <w:color w:val="000000"/>
          <w:lang w:val="en-GB"/>
        </w:rPr>
        <w:t>er</w:t>
      </w:r>
      <w:r w:rsidRPr="008725BE">
        <w:rPr>
          <w:rFonts w:ascii="Garamond" w:hAnsi="Garamond"/>
          <w:color w:val="000000"/>
          <w:lang w:val="en-GB"/>
        </w:rPr>
        <w:t xml:space="preserve"> sich verhalten hätte, wenn sein für jede Neuerung der Wissenschaft aufmerksamer Blick auch auf die Psychoanalyse gefallen wäre.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An Vielseitigkeit kommt Goethe ja Leonardo da Vinci, dem Meister der Renaissance, nahe, der Künstler und Forscher war wie er. Aber Menschenbilder können sich nie wiederholen, es fehlt auch nicht an tiefgehenden Unterschieden zwischen den beiden Großen. In Leonardos Natur vertrug sich der Forscher nicht mit dem Künstler, er störte ihn und erdrückte ihn vielleicht am Ende. In Goethes Leben fanden beide Persönlichkeiten Raum nebeneinander, sie lösten einander zeitweise in der Vorherrschaft ab. Es liegt nahe, die Störung bei Leonardo mit jener Entwicklungshemmung zusammenzubringen, die alles Erotische und damit die Psychologie seinem Interesse entrückte. In diesem Punkt durfte Goethes Wesen sich freier entfalten.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denke, Goethe hätte nicht, wie so viele unserer Zeitgenossen, die Psychoanalyse unfreundlichen Sinnes abgelehnt. Er war ihr selbst in manchen Stücken nahegekommen, hatte in eigener Einsicht vieles erkannt, was wir seither bestätigen konnten, und manche Auffassungen, die uns Kritik und Spott eingetragen haben, werden von ihm wie selbstverständlich vertreten. So war ihm z. B. die unvergleichliche Stärke der ersten affektiven Bindungen des Menschenkindes vertraut. Er feierte sie in der Zueignung der </w:t>
      </w:r>
      <w:r w:rsidRPr="008725BE">
        <w:rPr>
          <w:rFonts w:ascii="Garamond" w:hAnsi="Garamond"/>
          <w:i/>
          <w:iCs/>
          <w:color w:val="000000"/>
          <w:lang w:val="en-GB"/>
        </w:rPr>
        <w:t>Faust-Dichtung</w:t>
      </w:r>
      <w:r w:rsidRPr="008725BE">
        <w:rPr>
          <w:rFonts w:ascii="Garamond" w:hAnsi="Garamond"/>
          <w:color w:val="000000"/>
          <w:lang w:val="en-GB"/>
        </w:rPr>
        <w:t xml:space="preserve"> in Worten, die wir für jede unserer Analysen wiederholen könnten: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»Ihr naht euch wieder, schwankende Gestalten, </w:t>
      </w:r>
      <w:r w:rsidRPr="008725BE">
        <w:rPr>
          <w:rFonts w:ascii="Garamond" w:hAnsi="Garamond"/>
          <w:color w:val="000000"/>
          <w:lang w:val="en-GB"/>
        </w:rPr>
        <w:br/>
        <w:t xml:space="preserve">Die früh sich einst dem trüben Blick gezeigt. </w:t>
      </w:r>
      <w:r w:rsidRPr="008725BE">
        <w:rPr>
          <w:rFonts w:ascii="Garamond" w:hAnsi="Garamond"/>
          <w:color w:val="000000"/>
          <w:lang w:val="en-GB"/>
        </w:rPr>
        <w:br/>
        <w:t xml:space="preserve">Versuch' ich wohl, euch diesmal festzuhalten?« </w:t>
      </w:r>
      <w:r w:rsidRPr="008725BE">
        <w:rPr>
          <w:rFonts w:ascii="Garamond" w:hAnsi="Garamond"/>
          <w:color w:val="000000"/>
          <w:lang w:val="en-GB"/>
        </w:rPr>
        <w:br/>
        <w:t xml:space="preserve">—   —   —   —   —   —   — </w:t>
      </w:r>
      <w:r w:rsidRPr="008725BE">
        <w:rPr>
          <w:rFonts w:ascii="Garamond" w:hAnsi="Garamond"/>
          <w:color w:val="000000"/>
          <w:lang w:val="en-GB"/>
        </w:rPr>
        <w:br/>
        <w:t xml:space="preserve">»Gleich einer alten, halbverklungnen Sage </w:t>
      </w:r>
      <w:r w:rsidRPr="008725BE">
        <w:rPr>
          <w:rFonts w:ascii="Garamond" w:hAnsi="Garamond"/>
          <w:color w:val="000000"/>
          <w:lang w:val="en-GB"/>
        </w:rPr>
        <w:br/>
        <w:t>Kommt erste Lieb' und Freundschaft mit herauf.«</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Von der stärksten Liebesanziehung, die er als reifer Mann erfuhr, gab er sich Rechenschaft, indem er der Geliebten zurief: »Ach, du warst in abgelebten Zeiten meine Schwester oder meine Frau.«</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Er stellte somit nicht in Abrede, daß diese unvergänglichen ersten Neigungen Personen des eigenen Familienkreises zum Objekt nehmen.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Den Inhalt des Traumlebens umschreibt Goethe mit den so stimmungsvollen Worten: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»Was von Menschen nicht gewußt </w:t>
      </w:r>
      <w:r w:rsidRPr="008725BE">
        <w:rPr>
          <w:rFonts w:ascii="Garamond" w:hAnsi="Garamond"/>
          <w:color w:val="000000"/>
          <w:lang w:val="en-GB"/>
        </w:rPr>
        <w:br/>
        <w:t xml:space="preserve">Oder nicht bedacht, </w:t>
      </w:r>
      <w:r w:rsidRPr="008725BE">
        <w:rPr>
          <w:rFonts w:ascii="Garamond" w:hAnsi="Garamond"/>
          <w:color w:val="000000"/>
          <w:lang w:val="en-GB"/>
        </w:rPr>
        <w:br/>
        <w:t xml:space="preserve">Durch das Labyrinth der Brust </w:t>
      </w:r>
      <w:r w:rsidRPr="008725BE">
        <w:rPr>
          <w:rFonts w:ascii="Garamond" w:hAnsi="Garamond"/>
          <w:color w:val="000000"/>
          <w:lang w:val="en-GB"/>
        </w:rPr>
        <w:br/>
        <w:t>Wandelt in der Nacht.«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Hinter diesem Zauber erkennen wir die altehrwürdige, unbestreitbar richtige Aussage des Aristoteles, das Träumen sei die Fortsetzung unserer Seelentätigkeit in den Schlafzustand, vereint mit der Anerkennung des Unbewußten, die erst die Psychoanalyse hinzugefügt hat. Nur das Rätsel der Traumentstellung findet dabei keine Auflösung.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 seiner vielleicht erhabensten Dichtung, der </w:t>
      </w:r>
      <w:r w:rsidRPr="008725BE">
        <w:rPr>
          <w:rFonts w:ascii="Garamond" w:hAnsi="Garamond"/>
          <w:i/>
          <w:iCs/>
          <w:color w:val="000000"/>
          <w:lang w:val="en-GB"/>
        </w:rPr>
        <w:t>Iphigenie</w:t>
      </w:r>
      <w:r w:rsidRPr="008725BE">
        <w:rPr>
          <w:rFonts w:ascii="Garamond" w:hAnsi="Garamond"/>
          <w:color w:val="000000"/>
          <w:lang w:val="en-GB"/>
        </w:rPr>
        <w:t xml:space="preserve">, zeigt uns Goethe ein ergreifendes Beispiel einer Entsühnung, einer Befreiung der leidenden Seele von dem Druck der Schuld, und er läßt diese Katharsis sich vollziehen durch einen leidenschaftlichen Gefühlsausbruch unter dem wohltätigen Einfluß einer liebevollen Teilnahme. Ja, er hat sich selbst wiederholt in psychischer Hilfeleistung versucht, so an jenem Unglücklichen, der in den Briefen Kraft genannt wird, an dem Professor Plessing, von dem er in der </w:t>
      </w:r>
      <w:r w:rsidRPr="008725BE">
        <w:rPr>
          <w:rFonts w:ascii="Garamond" w:hAnsi="Garamond"/>
          <w:i/>
          <w:iCs/>
          <w:color w:val="000000"/>
          <w:lang w:val="en-GB"/>
        </w:rPr>
        <w:t>Campagne in Frankreich</w:t>
      </w:r>
      <w:r w:rsidRPr="008725BE">
        <w:rPr>
          <w:rFonts w:ascii="Garamond" w:hAnsi="Garamond"/>
          <w:color w:val="000000"/>
          <w:lang w:val="en-GB"/>
        </w:rPr>
        <w:t xml:space="preserve"> erzählt, und das Verfahren, das er anwendete, geht über das Vorgehen der katholischen Beichte hinaus und berührt sich in merkwürdigen Einzelheiten mit der Technik unserer Psychoanalyse. Ein von Goethe als scherzhaft bezeichnetes Beispiel einer psychotherapeutischen Beeinflussung möchte ich hier ausführlich mitteilen, weil es vielleicht weniger bekannt und doch sehr charakteristisch ist. Aus einem Brief an Frau v. Stein (Nr. 1444 vom 5. September 1785):</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»Gestern Abend habe ich ein psychologisches Kunststück gemacht. Die Herder war immer noch auf das Hypochondrischste gespannt über alles, was ihr im Carlsbad unangenehmes begegnet war. Besonders von ihrer Hausgenossin. Ich ließ mir alles erzählen und beichten, fremde Untaten und eigene Fehler mit den kleinsten Umständen und Folgen, und zuletzt absolvirte ich sie und machte ihr scherzhaft unter dieser Formel begreiflich, daß diese Dinge nun abgethan und in die Tiefe des Meeres geworfen seyen. Sie ward selbst lustig darüber und ist würklich kurirt.«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Den Eros hat Goethe immer hochgehalten, seine Macht nie zu verkleinern versucht, ist seinen primitiven oder selbst mutwilligen Äußerungen nicht minder achtungsvoll gefolgt wie seinen hochsublimierten und hat, wie mir scheint, seine Wesenseinheit durch alle seine Erscheinungsformen nicht weniger entschieden vertreten als vor Zeiten Plato. Ja, vielleicht ist es mehr als zufälliges Zusammentreffen, wenn er in den </w:t>
      </w:r>
      <w:r w:rsidRPr="008725BE">
        <w:rPr>
          <w:rFonts w:ascii="Garamond" w:hAnsi="Garamond"/>
          <w:i/>
          <w:iCs/>
          <w:color w:val="000000"/>
          <w:lang w:val="en-GB"/>
        </w:rPr>
        <w:t>Wahlverwandtschaften</w:t>
      </w:r>
      <w:r w:rsidRPr="008725BE">
        <w:rPr>
          <w:rFonts w:ascii="Garamond" w:hAnsi="Garamond"/>
          <w:color w:val="000000"/>
          <w:lang w:val="en-GB"/>
        </w:rPr>
        <w:t xml:space="preserve"> eine Idee aus dem Vorstellungskreis der Chemie auf das Liebesleben anwendete, eine Beziehung, von der der Name selbst der Psychoanalyse zeugt.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bin auf den Vorwurf vorbereitet, wir Analytiker hätten das Recht verwirkt, uns unter die Patronanz Goethes zu stellen, weil wir die ihm schuldige Ehrfurcht verletzt haben, indem wir die Analyse auf ihn selbst anzuwenden versuchten, den großen Mann zum Objekt der analytischen Forschung erniedrigten. Ich aber bestreite zunächst, daß dies eine Erniedrigung beabsichtigt oder bedeutet.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Wir alle, die wir Goethe verehren, lassen uns doch ohne viel Sträuben die Bemühungen der Biographen gefallen, die sein Leben aus den vorhandenen Berichten und Aufzeichnungen wiederherstellen wollen. Was aber sollen uns diese Biographien leisten? Auch die beste und vollständigste könnte die beiden Fragen nicht beantworten, die allein wissenswert scheinen.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Sie würde das Rätsel der wunderbaren Begabung nicht aufklären, die den Künstler macht, und sie könnte uns nicht helfen, den Wert und die Wirkung seiner Werke besser zu erfassen. Und doch ist es unzweifelhaft, daß eine solche Biographie ein starkes Bedürfnis bei uns befriedigt. Wir verspüren dies so deutlich, wenn die Ungunst der historischen Überlieferung diesem Bedürfnis die Befriedigung versagt hat, z. B. im Falle Shakespeares. Es ist uns allen unleugbar peinlich, daß wir noch immer nicht wissen, wer die Komödien, Trauerspiele und Sonette Shakespeares verfaßt hat, ob wirklich der ungelehrte Sohn des Stratforder Kleinbürgers, der in London eine bescheidene Stellung als Schauspieler erreicht, oder doch eher der hochgeborene und feingebildete, leidenschaftlich unordentliche, einigermaßen deklassierte Aristokrat Edward de Vere, siebzehnter Earl of Oxford, erblicher Lord Great Chamberlain von England. Wie rechtfertigt sich aber ein solches Bedürfnis, von den Lebensumständen eines Mannes Kunde zu erhalten, wenn dessen Werke für uns so bedeutungsvoll geworden sind? Man sagt allgemein, es sei das Verlangen, uns einen solchen Mann auch menschlich näherzubringen. Lassen wir das gelten; es ist also das Bedürfnis, affektive Beziehungen zu solchen Menschen zu gewinnen, sie den Vätern, Lehrern, Vorbildern anzureihen, die wir gekannt oder deren Einfluß wir bereits erfahren haben, unter der Erwartung, daß ihre </w:t>
      </w:r>
      <w:r w:rsidRPr="008725BE">
        <w:rPr>
          <w:rFonts w:ascii="Garamond" w:hAnsi="Garamond"/>
          <w:color w:val="000000"/>
          <w:lang w:val="en-GB"/>
        </w:rPr>
        <w:lastRenderedPageBreak/>
        <w:t>Persönlichkeiten ebenso großartig und bewundernswert sein werden wie die Werke, die wir von ihnen besitzen.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Immerhin wollen wir zugestehen, daß noch ein anderes Motiv im Spiele ist. Die Rechtfertigung des Biographen enthält auch ein Bekenntnis. Nicht herabsetzen zwar will der Biograph den Heros, sondern ihn uns näherbringen. Aber das heißt doch die Distanz, die uns von ihm trennt, verringern, wirkt doch in der Richtung einer Erniedrigung. Und es ist unvermeidlich, wenn wir vom Leben eines Großen mehr erfahren, werden wir auch von Gelegenheiten hören, in denen er es wirklich nicht besser gemacht hat als wir, uns menschlich wirklich nahegekommen ist. Dennoch meine ich, wir erklären die Bemühungen der Biographik für legitim. Unsere Einstellung zu Vätern und Lehrern ist nun einmal eine ambivalente, denn unsere Verehrung für sie deckt regelmäßig eine Komponente von feindseliger Auflehnung. Das ist ein psychologisches Verhängnis, läßt sich ohne gewaltsame Unterdrückung der Wahrheit nicht ändern und muß sich auf unser Verhältnis zu den großen Männern, deren Lebensgeschichte wir erforschen wollen, fortsetzen.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Wenn die Psychoanalyse sich in den Dienst der Biographik begibt, hat sie natürlich das Recht, nicht härter behandelt zu werden als diese selbst. Die Psychoanalyse kann manche Aufschlüsse bringen, die auf anderen Wegen nicht zu erhalten sind, und so neue Zusammenhänge aufzeigen in dem Webermeisterstück, das sich zwischen den Triebanlagen, den Erlebnissen und den Werken eines Künstlers ausbreitet. Da es eine der hauptsächlichsten Funktionen unseres Denkens ist, den Stoff der Außenwelt psychisch zu bewältigen, meine ich, man müßte der Psychoanalyse danken, wenn sie auf den großen Mann angewendet zum Verständnis seiner großen Leistung beiträgt. Aber ich gestehe, im Falle von Goethe haben wir es noch nicht weit gebracht. Das rührt daher, daß Goethe nicht nur als Dichter ein großer Bekenner war, sondern auch trotz der Fülle autobiographischer Aufzeichnungen ein sorgsamer Verhüller. Wir können nicht umhin, hier der Worte Mephistos zu gedenken: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Beste, was du wissen kannst, </w:t>
      </w:r>
      <w:r w:rsidRPr="008725BE">
        <w:rPr>
          <w:rFonts w:ascii="Garamond" w:hAnsi="Garamond"/>
          <w:color w:val="000000"/>
          <w:lang w:val="en-GB"/>
        </w:rPr>
        <w:br/>
        <w:t>Darfst du den Buben doch nicht sagen.«</w:t>
      </w:r>
    </w:p>
    <w:p w:rsidR="008725BE" w:rsidRPr="008725BE" w:rsidRDefault="008725BE" w:rsidP="008725BE">
      <w:pPr>
        <w:pStyle w:val="Sansinterligne"/>
        <w:rPr>
          <w:rFonts w:ascii="Garamond" w:hAnsi="Garamond"/>
          <w:caps/>
          <w:color w:val="000000"/>
          <w:lang w:val="en-GB"/>
        </w:rPr>
      </w:pPr>
      <w:r w:rsidRPr="008725BE">
        <w:rPr>
          <w:rFonts w:ascii="Garamond" w:hAnsi="Garamond"/>
          <w:color w:val="000000"/>
          <w:lang w:val="en-GB"/>
        </w:rPr>
        <w:br w:type="page"/>
      </w:r>
      <w:hyperlink w:anchor="KSinhalt" w:history="1">
        <w:r w:rsidRPr="008725BE">
          <w:rPr>
            <w:rStyle w:val="Lienhypertexte"/>
            <w:rFonts w:ascii="Garamond" w:hAnsi="Garamond" w:cs="Arial"/>
            <w:b/>
            <w:bCs/>
            <w:lang w:val="en-GB"/>
          </w:rPr>
          <w:t>Hy</w:t>
        </w:r>
        <w:bookmarkStart w:id="175" w:name="KS40"/>
        <w:bookmarkEnd w:id="175"/>
        <w:r w:rsidRPr="008725BE">
          <w:rPr>
            <w:rStyle w:val="Lienhypertexte"/>
            <w:rFonts w:ascii="Garamond" w:hAnsi="Garamond" w:cs="Arial"/>
            <w:b/>
            <w:bCs/>
            <w:lang w:val="en-GB"/>
          </w:rPr>
          <w:t>sterische Phantasien und ihre Beziehung zur Bisexualität</w:t>
        </w:r>
      </w:hyperlink>
      <w:r w:rsidRPr="008725BE">
        <w:rPr>
          <w:rFonts w:ascii="Garamond" w:hAnsi="Garamond"/>
          <w:color w:val="000000"/>
          <w:lang w:val="en-GB"/>
        </w:rPr>
        <w:t xml:space="preserve">  </w:t>
      </w:r>
      <w:r w:rsidRPr="008725BE">
        <w:rPr>
          <w:rFonts w:ascii="Garamond" w:hAnsi="Garamond"/>
          <w:caps/>
          <w:color w:val="000000"/>
          <w:lang w:val="en-GB"/>
        </w:rPr>
        <w:t>(1908)</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Allgemein bekannt sind die Wahndichtungen der Paranoiker, welche die Größe und die Leiden des eigenen Ichs zum Inhalt haben und in ganz typischen, fast monotonen Formen auftreten. Durch zahlreiche Mitteilungen sind uns ferner die sonderbaren Veranstaltungen bekannt geworden, unter denen gewisse Perverse ihre sexuelle Befriedigung –; in der Idee oder Realität –; in Szene setzen. Dagegen dürfte es manchen wie eine Neuheit klingen, zu erfahren, daß ganz analoge psychische Bildungen bei allen Psychoneurosen, speziell bei Hysterie, regelmäßig vorkommen, und daß diese –; die sogenannten hysterischen Phantasien –; wichtige Beziehungen zur Verursachung der neurotischen Symptome erkennen lassen.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Gemeinsame Quelle und normales Vorbild all dieser phantastischen Schöpfungen sind die sogenannten Tagträume der Jugend, die in der Literatur bereits eine gewisse, obwohl noch nicht zureichende, Beachtung gefunden haben </w:t>
      </w:r>
      <w:hyperlink r:id="rId84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Breuer und Freud (1895), P. Janet (1898, Bd. 1), Havelock Ellis (deutsch von Kölscher, 1900), Freud (1900  </w:t>
        </w:r>
        <w:r w:rsidRPr="008725BE">
          <w:rPr>
            <w:rStyle w:val="innerfusslink3"/>
            <w:rFonts w:ascii="Garamond" w:hAnsi="Garamond" w:cs="Arial"/>
            <w:b/>
            <w:bCs/>
            <w:i/>
            <w:iCs/>
            <w:lang w:val="en-GB"/>
          </w:rPr>
          <w:t>a</w:t>
        </w:r>
        <w:r w:rsidRPr="008725BE">
          <w:rPr>
            <w:rStyle w:val="innerfusslink3"/>
            <w:rFonts w:ascii="Garamond" w:hAnsi="Garamond" w:cs="Arial"/>
            <w:b/>
            <w:bCs/>
            <w:lang w:val="en-GB"/>
          </w:rPr>
          <w:t>), Pick (1896).</w:t>
        </w:r>
      </w:hyperlink>
      <w:r w:rsidRPr="008725BE">
        <w:rPr>
          <w:rFonts w:ascii="Garamond" w:hAnsi="Garamond"/>
          <w:color w:val="000000"/>
          <w:lang w:val="en-GB"/>
        </w:rPr>
        <w:t xml:space="preserve">. Bei beiden Geschlechtern vielleicht gleich häufig, scheinen sie bei Mädchen und Frauen durchweg erotischer, bei Männern erotischer oder ehrgeiziger Natur zu sein. Doch darf man die Bedeutung des erotischen Moments auch bei Männern nicht in die zweite Linie rücken wollen; bei näherem Eingehen in den Tagtraum des Mannes ergibt sich gewöhnlich, daß all diese Heldentaten nur verrichtet, alle Erfolge nur errungen werden, um einem Weib zu gefallen und von ihr anderen Männern vorgezogen zu werden </w:t>
      </w:r>
      <w:hyperlink r:id="rId84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Ähnlich urteilt hierüber H. Ellis, loc. cit., S. 185 f.</w:t>
        </w:r>
      </w:hyperlink>
      <w:r w:rsidRPr="008725BE">
        <w:rPr>
          <w:rFonts w:ascii="Garamond" w:hAnsi="Garamond"/>
          <w:color w:val="000000"/>
          <w:lang w:val="en-GB"/>
        </w:rPr>
        <w:t xml:space="preserve">. Diese Phantasien sind Wunschbefriedigungen, aus der Entbehrung und der Sehnsucht hervorgegangen; sie führen den Namen »Tagträume« mit Recht, denn sie geben den Schlüssel zum Verständnis der nächtlichen Träume, in denen nichts anderes als solche komplizierte, entstellte und von der bewußten psychischen Instanz mißverstandene Tagesphantasien den Kern der Traumbildung herstellen </w:t>
      </w:r>
      <w:hyperlink r:id="rId84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Freud: </w:t>
        </w:r>
        <w:r w:rsidRPr="008725BE">
          <w:rPr>
            <w:rStyle w:val="innerfusslink3"/>
            <w:rFonts w:ascii="Garamond" w:hAnsi="Garamond" w:cs="Arial"/>
            <w:b/>
            <w:bCs/>
            <w:i/>
            <w:iCs/>
            <w:lang w:val="en-GB"/>
          </w:rPr>
          <w:t>Traumdeutung</w:t>
        </w:r>
        <w:r w:rsidRPr="008725BE">
          <w:rPr>
            <w:rStyle w:val="innerfusslink3"/>
            <w:rFonts w:ascii="Garamond" w:hAnsi="Garamond" w:cs="Arial"/>
            <w:b/>
            <w:bCs/>
            <w:lang w:val="en-GB"/>
          </w:rPr>
          <w:t xml:space="preserve"> (1900 </w:t>
        </w:r>
        <w:r w:rsidRPr="008725BE">
          <w:rPr>
            <w:rStyle w:val="innerfusslink3"/>
            <w:rFonts w:ascii="Garamond" w:hAnsi="Garamond" w:cs="Arial"/>
            <w:b/>
            <w:bCs/>
            <w:i/>
            <w:iCs/>
            <w:lang w:val="en-GB"/>
          </w:rPr>
          <w:t>a</w:t>
        </w:r>
        <w:r w:rsidRPr="008725BE">
          <w:rPr>
            <w:rStyle w:val="innerfusslink3"/>
            <w:rFonts w:ascii="Garamond" w:hAnsi="Garamond" w:cs="Arial"/>
            <w:b/>
            <w:bCs/>
            <w:lang w:val="en-GB"/>
          </w:rPr>
          <w:t>), Kapitel VI.</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Diese Tagträume werden mit großem Interesse besetzt, sorgfältig gepflegt und meist sehr schamhaft behütet, als ob sie zu den intimsten Gütern der Persönlichkeit zählten. Auf der Straße erkennt man aber leicht den im Tagtraum Begriffenen an einem plötzlichen, wie abwesenden Lächeln, am Selbstgespräch oder an der laufartigen Beschleunigung des Ganges, womit er den Höhepunkt der erträumten Situation bezeichnet. –; Alle hysterischen Anfälle, die ich bisher untersuchen konnte, erwiesen sich nun als solche unwillkürlich hereinbrechende Tagträume. Die Beobachtung läßt nämlich keinen Zweifel darüber, daß es solche Phantasien ebensowohl unbewußt gibt wie bewußt, und sobald dieselben zu unbewußten geworden sind, können sie auch pathogen werden, d. h. sich in Symptomen und Anfällen ausdrücken. Unter günstigen Umständen kann man eine solche unbewußte Phantasie noch mit dem Bewußtsein erhaschen. Eine meiner Patientinnen, die ich auf ihre Phantasien aufmerksam gemacht hatte, erzählte mir, sie habe sich einmal auf der Straße plötzlich in Tränen gefunden, und bei raschem Besinnen, worüber sie eigentlich weine, sei sie der Phantasie habhaft geworden, daß sie mit einem stadtbekannten (ihr aber persönlich unbekannten) Klaviervirtuosen ein zärtliches Verhältnis eingegangen sei, ein Kind von ihm bekommen habe (sie war kinderlos) und dann mit dem Kinde von ihm im Elend verlassen worden sei. An dieser Stelle des Romanes brachen ihre Tränen hervor.</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unbewußten Phantasien sind entweder von jeher unbewußt gewesen, im Unbewußten gebildet worden oder, was der häufigere Fall ist, sie waren einmal bewußte Phantasien, Tagträume, und sind dann mit Absicht vergessen worden, durch die »Verdrängung« ins Unbewußte geraten. Ihr Inhalt ist dann entweder der nämliche geblieben, oder er hat Abänderungen erfahren, so daß die jetzt unbewußte Phantasie einen Abkömmling der einst bewußten darstellt. Die unbewußte Phantasie steht nun in einer sehr wichtigen Beziehung zum Sexualleben der Person; sie ist nämlich identisch mit der Phantasie, welche derselben während einer Periode von Masturbation zur sexuellen Befriedigung gedient hat. Der masturbatorische (im weitesten Sinne: onanistische) Akt setzte sich damals aus zwei Stücken zusammen, aus der Hervorrufung der Phantasie und aus der aktiven Leistung zur Selbstbefriedigung auf der Höhe derselben. Diese Zusammensetzung ist bekanntlich selbst eine Verlötung </w:t>
      </w:r>
      <w:hyperlink r:id="rId84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Freud: </w:t>
        </w:r>
        <w:r w:rsidRPr="008725BE">
          <w:rPr>
            <w:rStyle w:val="innerfusslink3"/>
            <w:rFonts w:ascii="Garamond" w:hAnsi="Garamond" w:cs="Arial"/>
            <w:b/>
            <w:bCs/>
            <w:i/>
            <w:iCs/>
            <w:lang w:val="en-GB"/>
          </w:rPr>
          <w:t>Drei Abhandlungen zur Sexualtheorie</w:t>
        </w:r>
        <w:r w:rsidRPr="008725BE">
          <w:rPr>
            <w:rStyle w:val="innerfusslink3"/>
            <w:rFonts w:ascii="Garamond" w:hAnsi="Garamond" w:cs="Arial"/>
            <w:b/>
            <w:bCs/>
            <w:lang w:val="en-GB"/>
          </w:rPr>
          <w:t xml:space="preserve"> (1905  </w:t>
        </w:r>
        <w:r w:rsidRPr="008725BE">
          <w:rPr>
            <w:rStyle w:val="innerfusslink3"/>
            <w:rFonts w:ascii="Garamond" w:hAnsi="Garamond" w:cs="Arial"/>
            <w:b/>
            <w:bCs/>
            <w:i/>
            <w:iCs/>
            <w:lang w:val="en-GB"/>
          </w:rPr>
          <w:t>d</w:t>
        </w:r>
        <w:r w:rsidRPr="008725BE">
          <w:rPr>
            <w:rStyle w:val="innerfusslink3"/>
            <w:rFonts w:ascii="Garamond" w:hAnsi="Garamond" w:cs="Arial"/>
            <w:b/>
            <w:bCs/>
            <w:lang w:val="en-GB"/>
          </w:rPr>
          <w:t>).</w:t>
        </w:r>
      </w:hyperlink>
      <w:r w:rsidRPr="008725BE">
        <w:rPr>
          <w:rFonts w:ascii="Garamond" w:hAnsi="Garamond"/>
          <w:color w:val="000000"/>
          <w:lang w:val="en-GB"/>
        </w:rPr>
        <w:t xml:space="preserve">. Ursprünglich war die Aktion eine rein autoerotische Vornahme zur Lustgewinnung von einer bestimmten, erogen zu nennenden Körperstelle. Später verschmolz diese Aktion mit einer Wunschvorstellung aus dem Kreise der Objektliebe und diente zur teilweisen Realisierung der Situation, in welcher diese Phantasie gipfelte. Wenn dann die Person auf diese Art der masturbatorisch-phantastischen Befriedigung verzichtet, so wird die Aktion unterlassen, die Phantasie aber wird aus einer bewußten zu einer unbewußten. Tritt keine andere Weise der sexuellen Befriedigung ein, verbleibt die Person in der Abstinenz und gelingt es ihr nicht, ihre Libido zu </w:t>
      </w:r>
      <w:r w:rsidRPr="008725BE">
        <w:rPr>
          <w:rFonts w:ascii="Garamond" w:hAnsi="Garamond"/>
          <w:color w:val="000000"/>
          <w:lang w:val="en-GB"/>
        </w:rPr>
        <w:lastRenderedPageBreak/>
        <w:t>sublimieren, das heißt die sexuelle Erregung auf ein höheres Ziel abzulenken, so ist jetzt die Bedingung dafür gegeben, daß die unbewußte Phantasie aufgefrischt werde, wuchere und sich mit der ganzen Macht des Liebesbedürfnisses wenigstens in einem Stück ihres Inhalts als Krankheitssymptom durchsetze.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Für eine ganze Reihe von hysterischen Symptomen sind solcher Art die unbewußten Phantasien die nächsten psychischen Vorstufen. Die hysterischen Symptome sind nichts anderes als die durch »Konversion« zur Darstellung gebrachten unbewußten Phantasien, und insofern es somatische Symptome sind, werden sie häufig genug aus dem Kreise der nämlichen Sexualempfindungen und motorischen Innervationen entnommen, welche ursprünglich die damals noch bewußte Phantasie begleitet hatten. Auf diese Weise wird die Onanieentwöhnung eigentlich rückgängig gemacht und das Endziel des ganzen pathologischen Vorganges, die Herstellung der seinerzeitigen primären Sexualbefriedigung, wird dabei zwar niemals vollkommen, aber immer in einer Art von Annäherung erreicht.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Das Interesse desjenigen, der die Hysterie studiert, wendet sich alsbald von den Symptomen derselben ab und den Phantasien zu, aus welchen erstere hervorgehen. </w:t>
      </w:r>
      <w:r w:rsidRPr="008725BE">
        <w:rPr>
          <w:rFonts w:ascii="Garamond" w:hAnsi="Garamond"/>
          <w:color w:val="000000"/>
        </w:rPr>
        <w:t xml:space="preserve">Die Technik der Psychoanalyse gestattet es, von den Symptomen aus diese unbewußten Phantasien zunächst zu erraten und dann im Kranken bewußt werden zu lassen. </w:t>
      </w:r>
      <w:r w:rsidRPr="008725BE">
        <w:rPr>
          <w:rFonts w:ascii="Garamond" w:hAnsi="Garamond"/>
          <w:color w:val="000000"/>
          <w:lang w:val="en-GB"/>
        </w:rPr>
        <w:t>Auf diesem Wege ist nun gefunden worden, daß die unbewußten Phantasien der Hysteriker den bewußt durchgeführten Befriedigungssituationen der Perversen inhaltlich völlig entsprechen, und wenn man um Beispiele solcher Art verlegen ist, braucht man sich nur an die welthistorischen Veranstaltungen der römischen Cäsaren zu erinnern, deren Tollheit natürlich nur durch die uneingeschränkte Machtfülle der Phantasiebildner bedingt ist. Die Wahnbildungen der Paranoiker sind ebensolche, aber unmittelbar bewußt gewordene Phantasien, die von der masochistisch-sadistischen Komponente des Sexualtriebes getragen werden und gleichfalls in gewissen unbewußten Phantasien der Hysterischen ihre vollen Gegenstücke finden können. Bekannt ist übrigens der auch praktisch bedeutsame Fall, daß Hysteriker ihre Phantasien nicht als Symptome, sondern in bewußter Realisierung zum Ausdrucke bringen und somit Attentate, Mißhandlungen, sexuelle Aggressionen fingieren und in Szene setzen.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Alles, was man über die Sexualität der Psychoneurotiker erfahren kann, wird auf diesem Wege der psychoanalytischen Untersuchung, der von den aufdringlichen Symptomen zu den verborgenen unbewußten Phantasien führt, ermittelt, darunter also auch das Faktum, dessen Mitteilung in den Vordergrund dieser kleinen vorläufigen Veröffentlichung gerückt werden soll.</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Wahrscheinlich infolge der Schwierigkeiten, die dem Bestreben der unbewußten Phantasien, sich Ausdruck zu verschaffen, im Wege stehen, ist das Verhältnis der Phantasien zu den Symptomen kein einfaches, sondern ein mehrfach kompliziertes </w:t>
      </w:r>
      <w:hyperlink r:id="rId85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Das nämliche gilt für die Beziehung zwischen den »latenten« Traumgedanken und den Elementen des »manifesten« Trauminhaltes. Siehe den Abschnitt über die »Traumarbeit« in des Verfassers </w:t>
        </w:r>
        <w:r w:rsidRPr="008725BE">
          <w:rPr>
            <w:rStyle w:val="innerfusslink3"/>
            <w:rFonts w:ascii="Garamond" w:hAnsi="Garamond" w:cs="Arial"/>
            <w:b/>
            <w:bCs/>
            <w:i/>
            <w:iCs/>
            <w:lang w:val="en-GB"/>
          </w:rPr>
          <w:t>Traumdeutung</w:t>
        </w:r>
        <w:r w:rsidRPr="008725BE">
          <w:rPr>
            <w:rStyle w:val="innerfusslink3"/>
            <w:rFonts w:ascii="Garamond" w:hAnsi="Garamond" w:cs="Arial"/>
            <w:b/>
            <w:bCs/>
            <w:lang w:val="en-GB"/>
          </w:rPr>
          <w:t>.</w:t>
        </w:r>
      </w:hyperlink>
      <w:r w:rsidRPr="008725BE">
        <w:rPr>
          <w:rFonts w:ascii="Garamond" w:hAnsi="Garamond"/>
          <w:color w:val="000000"/>
          <w:lang w:val="en-GB"/>
        </w:rPr>
        <w:t>. In der Regel, das heißt bei voller Entwicklung und nach längerem Bestände der Neurose, entspricht ein Symptom nicht einer einzigen unbewußten Phantasie, sondern einer Mehrzahl von solchen, und zwar nicht in willkürlicher Weise, sondern in gesetzmäßiger Zusammensetzung. Zu Beginn des Krankheitsfalles werden wohl nicht alle diese Komplikationen entwickelt sein.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Dem allgemeinen Interesse zuliebe überschreite ich hier den Zusammenhang dieser Mitteilung und füge eine Reihe von Formeln ein, die sich bemühen, das Wesen der hysterischen Symptome fortschreitend zu erschöpfen. Sie widersprechen einander nicht, sondern entsprechen teils vollständigeren und schärferen Fassungen, teils der Anwendung verschiedener Gesichtspunkte.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1) Das hysterische Symptom ist das Erinnerungssymbol gewisser wirksamer (traumatischer) Eindrücke und Erlebnisse.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2) Das hysterische Symptom ist der durch »Konversion« erzeugte Ersatz für die assoziative Wiederkehr dieser traumatischen Erlebnisse.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3) Das hysterische Symptom ist –; wie auch andere psychische Bildungen –; Ausdruck einer Wunscherfüllung.</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4) Das hysterische Symptom ist die Realisierung einer der Wunscherfüllung dienenden, unbewußten Phantasie.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5) Das hysterische Symptom dient der sexuellen Befriedigung und stellt einen Teil des Sexuallebens der Person dar (entsprechend einer der Komponenten ihres Sexualtriebs).</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6) Das hysterische Symptom entspricht der Wiederkehr einer Weise der Sexualbefriedigung, die im infantilen Leben real gewesen und seither verdrängt worden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lastRenderedPageBreak/>
        <w:t>7) Das hysterische Symptom entsteht als Kompromiß aus zwei gegensätzlichen Affekt- oder Triebregungen, von denen die eine einen Partialtrieb oder eine Komponente der Sexualkonstitution zum Ausdrucke zu bringen, die andere dieselbe zu unterdrücken bemüht ist.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8) Das hysterische Symptom kann die Vertretung verschiedener unbewußter, nicht sexueller Regungen übernehmen, einer sexuellen Bedeutung aber nicht entbehren.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Unter diesen verschiedenen Bestimmungen ist es die siebente, welche das Wesen des hysterischen Symptoms als Realisierung einer unbewußten Phantasie am erschöpfendsten zum Ausdrucke bringt und mit der achten die Bedeutung des sexuellen Moments in richtiger Weise würdigt. Manche der vorhergehenden Formeln sind als Vorstufen in dieser Formel enthalten.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Infolge dieses Verhältnisses zwischen Symptomen und Phantasien gelingt es unschwer, von der Psychoanalyse der Symptome zur Kenntnis der das Individuum beherrschenden Komponenten des Sexualtriebes zu gelangen, wie ich es in den </w:t>
      </w:r>
      <w:r w:rsidRPr="008725BE">
        <w:rPr>
          <w:rFonts w:ascii="Garamond" w:hAnsi="Garamond"/>
          <w:i/>
          <w:iCs/>
          <w:color w:val="000000"/>
          <w:lang w:val="en-GB"/>
        </w:rPr>
        <w:t>Drei Abhandlungen zur Sexualtheorie</w:t>
      </w:r>
      <w:r w:rsidRPr="008725BE">
        <w:rPr>
          <w:rFonts w:ascii="Garamond" w:hAnsi="Garamond"/>
          <w:color w:val="000000"/>
          <w:lang w:val="en-GB"/>
        </w:rPr>
        <w:t xml:space="preserve"> ausgeführt habe. Diese Untersuchung ergibt aber für manche Fälle ein unerwartetes Resultat. Sie zeigt, daß für viele Symptome die Auflösung durch eine unbewußte sexuelle Phantasie oder durch eine Reihe von Phantasien, von denen eine, die bedeutsamste und ursprünglichste, sexueller Natur ist, nicht genügt, sondern daß man zur Lösung des Symptoms zweier sexueller Phantasien bedarf, von denen die eine männlichen, die andere weiblichen Charakter hat, so daß eine dieser Phantasien einer homosexuellen Regung entspringt. Der in Formel 7 ausgesprochene Satz wird durch diese Neuheit nicht berührt, so daß ein hysterisches Symptom notwendigerweise einem Kompromiß zwischen einer libidinösen und einer Verdrängungsregung entspricht, nebstbei aber einer Vereinigung zweier libidinöser Phantasien von entgegengesetztem Geschlechtscharakter entsprechen kann.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enthalte mich, Beispiele für diesen Satz zu geben. Die Erfahrung hat mich gelehrt, daß kurze, zu einem Extrakt zusammengedrängte Analysen niemals den beweisenden Eindruck machen können, wegen dessen man sie herangezogen hat. Die Mitteilung voll analysierter Krankheitsfälle muß aber für einen anderen Ort aufgespart werden.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Ich begnüge mich also damit, den Satz aufzustellen und seine Bedeutung zu erläutern:</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9) Ein hysterisches Symptom ist der Ausdruck einerseits einer männlichen, anderseits einer weiblichen unbewußten sexuellen Phantasie.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Ich bemerke ausdrücklich, daß ich diesem Satze eine ähnliche Allgemeingültigkeit nicht zusprechen kann, wie ich sie für die anderen Formeln in Anspruch genommen habe. Er trifft, soviel ich sehen kann, weder für alle Symptome eines Falles, noch für alle Fälle zu. Es ist im Gegenteile nicht schwer, Fälle aufzuzeigen, bei denen die entgegengesetztgeschlechtlichen Regungen gesonderten symptomatischen Ausdruck gefunden haben, so daß sich die Symptome der Hetero- und der Homosexualität so scharf voneinander scheiden lassen, wie die hinter ihnen verborgenen Phantasien. Doch ist das in der neunten Formel behauptete Verhältnis häufig genug, und wo es sich findet, bedeutsam genug, um eine besondere Hervorhebung zu verdienen. Es scheint mir die höchste Stufe der Kompliziertheit, zu der sich die Determinierung eines hysterischen Symptoms erheben kann, zu bedeuten, und ist also nur bei langem Bestände einer Neurose und bei großer Organisationsarbeit innerhalb derselben zu erwarten </w:t>
      </w:r>
      <w:hyperlink r:id="rId85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 Sadger, der kürzlich den in Rede stehenden Satz durch eigene Psychoanalysen selbständig aufgefunden hat (1907), tritt allerdings für dessen allgemeine Gültigkeit ein.</w:t>
        </w:r>
      </w:hyperlink>
      <w:r w:rsidRPr="008725BE">
        <w:rPr>
          <w:rFonts w:ascii="Garamond" w:hAnsi="Garamond"/>
          <w:color w:val="000000"/>
          <w:lang w:val="en-GB"/>
        </w:rPr>
        <w:t>.</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Die in immerhin zahlreichen Fällen nachweisbare bisexuelle Bedeutung hysterischer Symptome ist gewiß ein interessanter Beleg für die von mir aufgestellte Behauptung </w:t>
      </w:r>
      <w:hyperlink r:id="rId85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Drei Abhandlungen zur Sexualtheorie</w:t>
        </w:r>
        <w:r w:rsidRPr="008725BE">
          <w:rPr>
            <w:rStyle w:val="innerfusslink3"/>
            <w:rFonts w:ascii="Garamond" w:hAnsi="Garamond" w:cs="Arial"/>
            <w:b/>
            <w:bCs/>
            <w:lang w:val="en-GB"/>
          </w:rPr>
          <w:t>.</w:t>
        </w:r>
      </w:hyperlink>
      <w:r w:rsidRPr="008725BE">
        <w:rPr>
          <w:rFonts w:ascii="Garamond" w:hAnsi="Garamond"/>
          <w:color w:val="000000"/>
          <w:lang w:val="en-GB"/>
        </w:rPr>
        <w:t>, daß die supponierte bisexuelle Anlage des Menschen sich bei den Psychoneurotikern durch Psychoanalyse besonders deutlich erkennen läßt. Ein durchaus analoger Vorgang aus dem nämlichen Gebiete ist es, wenn der Masturbant in seinen bewußten Phantasien sich sowohl in den Mann als auch in das Weib der vorgestellten Situation einzufühlen versucht, und weitere Gegenstücke zeigen gewisse hysterische Anfälle, in denen die Kranke gleichzeitig beide Rollen der zugrunde liegenden sexuellen Phantasie spielt, also zum Beispiel wie in einem Falle meiner Beobachtung, mit der einen Hand das Gewand an den Leib preßt (als Weib), mit der anderen es abzureißen sucht (als Mann). Diese widerspruchsvolle Gleichzeitigkeit bedingt zum guten Teile die Unverständlichkeit der doch sonst im Anfalle so plastisch dargestellten Situation und eignet sich also vortrefflich zur Verhüllung der wirksamen unbewußten Phantasie.</w:t>
      </w:r>
    </w:p>
    <w:p w:rsidR="008725BE" w:rsidRPr="008725BE" w:rsidRDefault="008725BE" w:rsidP="008725BE">
      <w:pPr>
        <w:pStyle w:val="Sansinterligne"/>
        <w:rPr>
          <w:rFonts w:ascii="Garamond" w:hAnsi="Garamond"/>
          <w:color w:val="000000"/>
          <w:lang w:val="en-GB"/>
        </w:rPr>
      </w:pPr>
      <w:r w:rsidRPr="008725BE">
        <w:rPr>
          <w:rFonts w:ascii="Garamond" w:hAnsi="Garamond"/>
          <w:color w:val="000000"/>
          <w:lang w:val="en-GB"/>
        </w:rPr>
        <w:t xml:space="preserve">Bei der psychoanalytischen Behandlung ist es sehr wichtig, daß man auf die bisexuelle Bedeutung eines Symptomes vorbereitet sei. Man braucht sich dann nicht zu verwundern und nicht irre zu werden, wenn ein Symptom anscheinend ungemindert fortbesteht, obwohl man die eine seiner sexuellen Bedeutungen bereits gelöst hat. Es stützt sich dann noch auf die vielleicht nicht vermutete </w:t>
      </w:r>
      <w:r w:rsidRPr="008725BE">
        <w:rPr>
          <w:rFonts w:ascii="Garamond" w:hAnsi="Garamond"/>
          <w:color w:val="000000"/>
          <w:lang w:val="en-GB"/>
        </w:rPr>
        <w:lastRenderedPageBreak/>
        <w:t>entgegengesetztgeschlechtliche. Auch kann man bei der Behandlung solcher Fälle beobachten, wie der Kranke sich der Bequemlichkeit bedient, während der Analyse der einen sexuellen Bedeutung mit seinen Einfällen fortwährend in das Gebiet der konträren Bedeutung, wie auf ein benachbartes Geleise, auszuweichen.</w:t>
      </w:r>
    </w:p>
    <w:p w:rsidR="008725BE" w:rsidRPr="008725BE" w:rsidRDefault="008725BE" w:rsidP="008725BE">
      <w:pPr>
        <w:pStyle w:val="Sansinterligne"/>
        <w:rPr>
          <w:rFonts w:ascii="Garamond" w:hAnsi="Garamond"/>
          <w:lang w:val="en-GB"/>
        </w:rPr>
      </w:pPr>
      <w:r w:rsidRPr="008725BE">
        <w:rPr>
          <w:rFonts w:ascii="Garamond" w:hAnsi="Garamond"/>
          <w:lang w:val="en-GB"/>
        </w:rPr>
        <w:br w:type="page"/>
      </w:r>
      <w:r w:rsidRPr="008725BE">
        <w:rPr>
          <w:rFonts w:ascii="Garamond" w:hAnsi="Garamond"/>
          <w:lang w:val="en-GB"/>
        </w:rPr>
        <w:lastRenderedPageBreak/>
        <w:t>Konstruktionen in der Analyse</w:t>
      </w:r>
    </w:p>
    <w:p w:rsidR="008725BE" w:rsidRPr="008725BE" w:rsidRDefault="008725BE" w:rsidP="008725BE">
      <w:pPr>
        <w:pStyle w:val="Sansinterligne"/>
        <w:rPr>
          <w:rFonts w:ascii="Garamond" w:hAnsi="Garamond"/>
          <w:caps/>
          <w:lang w:val="en-GB"/>
        </w:rPr>
      </w:pPr>
      <w:r w:rsidRPr="008725BE">
        <w:rPr>
          <w:rFonts w:ascii="Garamond" w:hAnsi="Garamond"/>
          <w:caps/>
          <w:lang w:val="en-GB"/>
        </w:rPr>
        <w:t>(1937)</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I</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 sehr verdienter Forscher, dem ich es immer hoch angerechnet, daß er der Psychoanalyse Gerechtigkeit erwiesen zu einer Zeit, da die meisten anderen sich über diese Verpflichtung hinaussetzten, hat doch einmal eine ebenso kränkende wie ungerechte Äußerung über unsere analytische Technik getan. Er sagte, wenn wir einem Patienten unsere Deutungen vortragen, verfahren wir gegen ihn nach dem berüchtigten Prinzip: </w:t>
      </w:r>
      <w:r w:rsidRPr="008725BE">
        <w:rPr>
          <w:rFonts w:ascii="Garamond" w:hAnsi="Garamond"/>
          <w:i/>
          <w:iCs/>
          <w:lang w:val="en-GB"/>
        </w:rPr>
        <w:t>Heads I win, tails you lose.</w:t>
      </w:r>
      <w:r w:rsidRPr="008725BE">
        <w:rPr>
          <w:rFonts w:ascii="Garamond" w:hAnsi="Garamond"/>
          <w:lang w:val="en-GB"/>
        </w:rPr>
        <w:t xml:space="preserve"> Das heißt, wenn er uns zustimmt, dann ist es eben recht; wenn er aber widerspricht, dann ist es nur ein Zeichen seines Widerstandes, gibt uns also auch recht. Auf diese Weise behalten wir immer recht gegen die hilflose arme Person, die wir analysieren, gleichgiltig wie sie sich gegen unsere Zumutungen verhalten mag. Da es nun richtig ist, daß ein »Nein« unseres Patienten uns im allgemeinen nicht bestimmt, unsere Deutung als unrichtig aufzugeben, ist eine solche Entlarvung unserer Technik den Gegnern der Analyse sehr willkommen gewesen. Es verlohnt sich darum, eingehend darzustellen, wie wir das »Ja« und das »Nein« des Patienten während der analytischen Behandlung, den Ausdruck seiner Zustimmung und seines Widerspruchs, einzuschätzen pflegen. Freilich wird bei dieser Rechtfertigung kein ausübender Analytiker etwas erfahren, was er nicht schon weiß.</w:t>
      </w:r>
    </w:p>
    <w:p w:rsidR="008725BE" w:rsidRPr="008725BE" w:rsidRDefault="008725BE" w:rsidP="008725BE">
      <w:pPr>
        <w:pStyle w:val="Sansinterligne"/>
        <w:rPr>
          <w:rFonts w:ascii="Garamond" w:hAnsi="Garamond"/>
          <w:lang w:val="en-GB"/>
        </w:rPr>
      </w:pPr>
      <w:r w:rsidRPr="008725BE">
        <w:rPr>
          <w:rFonts w:ascii="Garamond" w:hAnsi="Garamond"/>
          <w:lang w:val="en-GB"/>
        </w:rPr>
        <w:t>Es ist bekanntlich die Absicht der analytischen Arbeit, den Patienten dahin zu bringen, daß er die Verdrängungen – im weitesten Sinne verstanden – seiner Frühentwicklung wieder aufhebe, um sie durch Reaktionen zu ersetzen, wie sie einem Zustand von psychischer Gereiftheit entsprechen würden. Zu diesem Zwecke soll er bestimmte Erlebnisse und die durch sie hervorgerufenen Affektregungen wieder erinnern, die derzeit bei ihm vergessen sind. Wir wissen, daß seine gegenwärtigen Symptome und Hemmungen die Folgen solcher Verdrängungen, also der Ersatz für jenes Vergessene sind. Was für Materialien stellt er uns zur Verfügung, durch deren Ausnützung wir ihn auf den Weg führen können, die verlorenen Erinnerungen wiederzugewinnen? Mancherlei, Bruchstücke dieser Erinnerungen in seinen Träumen, an sich von unvergleichlichem Wert, aber in der Regel schwer entstellt durch alle die Faktoren, die an der Traumbildung Anteil haben; Einfälle, die er produziert, wenn er sich der »freien Assoziation« überläßt, aus denen wir Anspielungen auf die verdrängten Erlebnisse und Abkömmlinge der unterdrückten Affektregungen sowie der Reaktionen gegen sie herauszufinden vermögen; endlich Andeutung von Wiederholungen der dem Verdrängten zugehörigen Affekte in wichtigeren oder geringfügigen Handlungen des Patienten innerhalb wie außerhalb der analytischen Situation. Wir haben die Erfahrung gemacht, daß das Verhältnis der Übertragung, das sich zum Analytiker herstellt, besonders geeignet ist, um die Wiederkehr solcher Affektbeziehungen zu begünstigen. Aus diesem Rohstoff – sozusagen – sollen wir das Gewünschte herstellen.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Gewünschte ist ein zuverlässiges und in allen wesentlichen Stücken vollständiges Bild der vergessenen Lebensjahre des Patienten. Hier werden wir aber daran gemahnt, daß die analytische Arbeit aus zwei ganz verschiedenen Stücken besteht, daß sie sich auf zwei gesonderten Schauplätzen vollzieht, an zwei Personen vor sich geht, von denen jedem eine andere Aufgabe zugewiesen ist. Man fragt sich einen Augenblick lang, warum man auf diese grundlegende Tatsache nicht längst aufmerksam gemacht wurde, aber man sagt sich sofort, daß einem hier nichts vorenthalten wurde, daß es sich um ein allgemein bekanntes, sozusagen selbstverständliches Faktum handelt, das nur hier in einer besonderen Absicht herausgehoben und für sich gewürdigt wird. Wir wissen alle, der Analysierte soll dazu gebracht werden, etwas von ihm Erlebtes und Verdrängtes zu erinnern, und die dynamischen Bedingungen dieses Vorgangs sind so interessant, daß das andere Stück der Arbeit, die Leistung des Analytikers, dagegen in den Hintergrund rückt. Der Analytiker hat von dem, worauf es ankommt, nichts erlebt und nichts verdrängt; seine Aufgabe kann es nicht sein, etwas zu erinnern. Was ist also seine Aufgabe? Er hat das Vergessene aus den Anzeichen, die es hinterlassen, zu erraten oder, richtiger ausgedrückt, zu </w:t>
      </w:r>
      <w:r w:rsidRPr="008725BE">
        <w:rPr>
          <w:rFonts w:ascii="Garamond" w:hAnsi="Garamond"/>
          <w:i/>
          <w:iCs/>
          <w:lang w:val="en-GB"/>
        </w:rPr>
        <w:t>konstruieren</w:t>
      </w:r>
      <w:r w:rsidRPr="008725BE">
        <w:rPr>
          <w:rFonts w:ascii="Garamond" w:hAnsi="Garamond"/>
          <w:lang w:val="en-GB"/>
        </w:rPr>
        <w:t>. Wie, wann und mit welchen Erläuterungen er seine Konstruktionen dem Analysierten mitteilt, das stellt die Verbindung her zwischen beiden Stücken der analytischen Arbeit, zwischen seinem Anteil und dem des Analysierten.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Seine Arbeit der Konstruktion oder, wenn man es so lieber hört, der Rekonstruktion, zeigt eine weitgehende Übereinstimmung mit der des Archäologen, der eine zerstörte und verschüttete Wohnstätte oder ein Bauwerk der Vergangenheit ausgräbt. Sie ist eigentlich damit identisch, nur daß der Analytiker unter besseren Bedingungen arbeitet, über mehr Hilfsmaterial verfügt, weil er sich um etwas noch Lebendes bemüht, nicht um ein zerstörtes Objekt, und vielleicht auch noch aus einem anderen Grunde. Aber wie der Archäologe aus stehengebliebenen Mauerresten die Wandungen des Gebäudes aufbaut, aus </w:t>
      </w:r>
      <w:r w:rsidRPr="008725BE">
        <w:rPr>
          <w:rFonts w:ascii="Garamond" w:hAnsi="Garamond"/>
          <w:lang w:val="en-GB"/>
        </w:rPr>
        <w:lastRenderedPageBreak/>
        <w:t>Vertiefungen im Boden die Anzahl und Stellung von Säulen bestimmt, aus den im Schutt gefundenen Resten die einstigen Wandverzierungen und Wandgemälde wiederherstellt, genauso geht der Analytiker vor, wenn er seine Schlüsse aus Erinnerungsbrocken, Assoziationen und aktiven Äußerungen des Analysierten zieht. Beiden bleibt das Recht zur Rekonstruktion durch Ergänzung und Zusammenfügung der erhaltenen Reste unbestritten. Auch manche Schwierigkeiten und Fehlerquellen sind für beide Fälle die nämlichen. Eine der heikelsten Aufgaben der Archäologie ist bekanntlich die Bestimmung des relativen Alters eines Fundes, und wenn ein Objekt in einer bestimmten Schicht zum Vorschein kommt, bleibt es oft zu entscheiden, ob es dieser Schicht angehört oder durch eine spätere Störung in die Tiefe geraten ist. Es ist leicht zu erraten, was bei den analytischen Konstruktionen diesem Zweifel entspricht.</w:t>
      </w:r>
    </w:p>
    <w:p w:rsidR="008725BE" w:rsidRPr="008725BE" w:rsidRDefault="008725BE" w:rsidP="008725BE">
      <w:pPr>
        <w:pStyle w:val="Sansinterligne"/>
        <w:rPr>
          <w:rFonts w:ascii="Garamond" w:hAnsi="Garamond"/>
          <w:lang w:val="en-GB"/>
        </w:rPr>
      </w:pPr>
      <w:r w:rsidRPr="008725BE">
        <w:rPr>
          <w:rFonts w:ascii="Garamond" w:hAnsi="Garamond"/>
          <w:lang w:val="en-GB"/>
        </w:rPr>
        <w:t>Wir haben gesagt, der Analytiker arbeite unter günstigeren Verhältnissen als der Archäolog, weil er auch über Material verfügt, zu dem die Ausgrabungen kein Gegenstück bringen können, z. B. die Wiederholungen von aus der Frühzeit stammenden Reaktionen und alles, was durch die Übertragung an solchen Wiederholungen aufgezeigt wird. Außerdem kommt aber in Betracht, daß der Ausgräber es mit zerstörten Objekten zu tun hat, von denen große und wichtige Stücke ganz gewiß verlorengegangen sind, durch mechanische Gewalt, Feuer und Plünderung. Keiner Bemühung kann es gelingen, sie aufzufinden, um sie mit den erhaltenen Resten zusammenzusetzen. Man ist einzig und allein auf die Rekonstruktion angewiesen, die sich darum oft genug nicht über eine gewisse Wahrscheinlichkeit erheben kann. Anders ist es mit dem psychischen Objekt, dessen Vorgeschichte der Analytiker erheben will. Hier trifft regelmäßig zu, was sich beim archäologischen Objekt nur in glücklichen Ausnahmsfällen ereignet hat wie in Pompeji und mit dem Grab des Tutankhamen. Alles Wesentliche ist erhalten, selbst was vollkommen vergessen scheint, ist noch irgendwie und irgendwo vorhanden, nur verschüttet, der Verfügung des Individuums unzugänglich gemacht. Man darf ja bekanntlich bezweifeln, ob irgendeine psychische Bildung wirklich voller Zerstörung anheimfällt. Es ist nur eine Frage der analytischen Technik, ob es gelingen wird, das Verborgene vollständig zum Vorschein zu bringen. Dieser außerordentlichen Bevorzugung der analytischen Arbeit stehen nur zwei andere Tatsachen entgegen, nämlich daß das psychische Objekt unvergleichlich komplizierter ist als das materielle des Ausgräbers und daß unsere Kenntnis nicht genügend vorbereitet ist auf das, was wir finden sollen, da dessen intime Struktur noch soviel Geheimnisvolles birgt. Und nun kommt unser Vergleich der beiden Arbeiten auch zu seinem Ende, denn der Hauptunterschied der beiden liegt darin, daß für die Archäologie die Rekonstruktion das Ziel und das Ende der Bemühung ist, für die Analyse aber ist die Konstruktion nur eine Vorarbeit.</w:t>
      </w:r>
    </w:p>
    <w:p w:rsidR="008725BE" w:rsidRPr="008725BE" w:rsidRDefault="008725BE" w:rsidP="008725BE">
      <w:pPr>
        <w:pStyle w:val="Sansinterligne"/>
        <w:rPr>
          <w:rFonts w:ascii="Garamond" w:hAnsi="Garamond"/>
          <w:lang w:val="en-GB"/>
        </w:rPr>
      </w:pPr>
      <w:r w:rsidRPr="008725BE">
        <w:rPr>
          <w:rFonts w:ascii="Garamond" w:hAnsi="Garamond"/>
          <w:lang w:val="en-GB"/>
        </w:rPr>
        <w:t>II</w:t>
      </w:r>
    </w:p>
    <w:p w:rsidR="008725BE" w:rsidRPr="008725BE" w:rsidRDefault="008725BE" w:rsidP="008725BE">
      <w:pPr>
        <w:pStyle w:val="Sansinterligne"/>
        <w:rPr>
          <w:rFonts w:ascii="Garamond" w:hAnsi="Garamond"/>
          <w:lang w:val="en-GB"/>
        </w:rPr>
      </w:pPr>
      <w:r w:rsidRPr="008725BE">
        <w:rPr>
          <w:rFonts w:ascii="Garamond" w:hAnsi="Garamond"/>
          <w:lang w:val="en-GB"/>
        </w:rPr>
        <w:t>Vorarbeit allerdings nicht in dem Sinne, daß sie zuerst als Ganzes erledigt werden müßte, bevor man das nächste beginnt, etwa wie bei einem Hausbau, wo alle Mauern aufgerichtet und alle Fenster eingesetzt sein müssen, ehe man sich mit der inneren Dekoration der Gemächer beschäftigen kann. Jeder Analytiker weiß, daß es in der analytischen Behandlung anders zugeht, daß beide Arten von Arbeit nebeneinander herlaufen, die eine immer voran, die andere an sie anschließend. Der Analytiker bringt ein Stück Konstruktion fertig, teilt es dem Analysierten mit, damit es auf ihn wirke; dann konstruiert er ein weiteres Stück aus dem neu zuströmenden Material, verfährt damit auf dieselbe Weise, und in solcher Abwechslung weiter bis zum Ende. Wenn man in den Darstellungen der analytischen Technik so wenig von »Konstruktionen« hört, so hat dies seinen Grund darin, daß man anstatt dessen von »Deutungen« und deren Wirkung spricht. Aber ich meine, Konstruktion ist die weitaus angemessenere Bezeichnung. Deutung bezieht sich auf das, was man mit einem einzelnen Element des Materials, einem Einfall, einer Fehlleistung u. dgl., vornimmt. Eine Konstruktion ist es aber, wenn man dem Analysierten ein Stück seiner vergessenen Vorgeschichte etwa in folgender Art vorführt: »Bis zu Ihrem nten Jahr haben Sie sich als alleinigen und unbeschränkten Besitzer der Mutter betrachtet, dann kam ein zweites Kind und mit ihm eine schwere Enttäuschung. Die Mutter hat Sie für eine Weile verlassen, sich auch später Ihnen nicht mehr ausschließlich gewidmet. Ihre Empfindungen für die Mutter wurden ambivalent, der Vater gewann eine neue Bedeutung für Sie« und so weiter.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unserem Aufsatz ist unsere Aufmerksamkeit ausschließlich dieser Vorarbeit der Konstruktionen zugewendet. Und da erhebt sich zuallererst die Frage, welche Garantien haben wir während der Arbeit an den Konstruktionen, daß wir nicht irregehen und den Erfolg der Behandlung durch die Vertretung einer unrichtigen Konstruktion aufs Spiel setzen? Es mag uns scheinen, daß diese Frage eine allgemeine Beantwortung überhaupt nicht zuläßt, aber noch vor dieser Erörterung wollen wir einer trostreichen Auskunft lauschen, die uns die analytische Erfahrung gibt. Die lehrt uns nämlich, es bringt keinen Schaden, wenn wir uns einmal geirrt und dem Patienten eine unrichtige Konstruktion als die wahrscheinliche historische Wahrheit vorgetragen haben. Es bedeutet natürlich einen Zeitverlust, und wer </w:t>
      </w:r>
      <w:r w:rsidRPr="008725BE">
        <w:rPr>
          <w:rFonts w:ascii="Garamond" w:hAnsi="Garamond"/>
          <w:lang w:val="en-GB"/>
        </w:rPr>
        <w:lastRenderedPageBreak/>
        <w:t>dem Patienten immer nur irrige Kombinationen zu erzählen weiß, wird ihm keinen guten Eindruck machen und es in seiner Behandlung nicht weit bringen, aber ein einzelner solcher Irrtum ist harmlos. Was in solchem Falle geschieht, ist vielmehr, daß der Patient wie unberührt bleibt, weder mit »Ja« noch mit »Nein« darauf reagiert. Das kann möglicherweise nur ein Aufschub seiner Reaktion sein; bleibt es aber so, dann dürfen wir den Schluß ziehen, daß wir uns geirrt haben, und werden dies ohne Einbuße an unserer Autorität bei passender Gelegenheit dem Patienten eingestehen. Diese Gelegenheit ist gegeben, wenn neues Material zum Vorschein gekommen ist, das eine bessere Konstruktion und somit die Korrektur des Irrtums gestattet. Die falsche Konstruktion fällt in solcher Art heraus, als ob sie nie gemacht worden wäre, ja in manchen Fällen gewinnt man den Eindruck, als hätte man, mit Polonius zu reden, den Wahrheitskarpfen grade mit Hilfe des Lügenköders gefangen. Die Gefahr, den Patienten durch Suggestion irrezuführen, indem man ihm Dinge »einredet«, an die man selbst glaubt, die er aber nicht annehmen sollte, ist sicherlich maßlos übertrieben worden. Der Analytiker müßte sich sehr inkorrekt benommen haben, wenn ihm ein solches Mißgeschick zustoßen könnte; vor allem hätte er sich vorzuwerfen, daß er den Patienten nicht zu Wort kommen ließ. Ich kann ohne Ruhmredigkeit behaupten, daß ein solcher Mißbrauch der »Suggestion« in meiner Tätigkeit sich niemals ereignet hat.</w:t>
      </w:r>
    </w:p>
    <w:p w:rsidR="008725BE" w:rsidRPr="008725BE" w:rsidRDefault="008725BE" w:rsidP="008725BE">
      <w:pPr>
        <w:pStyle w:val="Sansinterligne"/>
        <w:rPr>
          <w:rFonts w:ascii="Garamond" w:hAnsi="Garamond"/>
          <w:lang w:val="en-GB"/>
        </w:rPr>
      </w:pPr>
      <w:r w:rsidRPr="008725BE">
        <w:rPr>
          <w:rFonts w:ascii="Garamond" w:hAnsi="Garamond"/>
          <w:lang w:val="en-GB"/>
        </w:rPr>
        <w:t>Aus dem Vorstehenden geht bereits hervor, daß wir keineswegs geneigt sind, die Anzeichen zu vernachlässigen, die sich aus der Reaktion des Patienten auf die Mitteilung einer unserer Konstruktionen ableiten. Wir wollen diesen Punkt eingehend behandeln. Es ist richtig, daß wir ein »Nein« des Analysierten nicht als vollwertig hinnehmen, aber ebensowenig lassen wir sein »Ja« gelten; es ist ganz ungerechtfertigt, uns zu beschuldigen, daß wir seine Äußerung in allen Fällen in eine Bestätigung umdeuten. In Wirklichkeit geht es nicht so einfach zu, machen wir uns die Entscheidung nicht so leicht.</w:t>
      </w:r>
    </w:p>
    <w:p w:rsidR="008725BE" w:rsidRPr="008725BE" w:rsidRDefault="008725BE" w:rsidP="008725BE">
      <w:pPr>
        <w:pStyle w:val="Sansinterligne"/>
        <w:rPr>
          <w:rFonts w:ascii="Garamond" w:hAnsi="Garamond"/>
          <w:lang w:val="en-GB"/>
        </w:rPr>
      </w:pPr>
      <w:r w:rsidRPr="008725BE">
        <w:rPr>
          <w:rFonts w:ascii="Garamond" w:hAnsi="Garamond"/>
        </w:rPr>
        <w:t xml:space="preserve">Das direkte »Ja« des Analysierten ist vieldeutig. Es kann in der Tat anzeigen, daß er die vernommene Konstruktion als richtig anerkennt, es kann aber auch bedeutungslos sein oder selbst was wir »heuchlerisch« heißen können, indem es seinem Widerstand bequem ist, die nicht aufgedeckte Wahrheit durch eine solche Zustimmung weiterhin zu verbergen. </w:t>
      </w:r>
      <w:r w:rsidRPr="008725BE">
        <w:rPr>
          <w:rFonts w:ascii="Garamond" w:hAnsi="Garamond"/>
          <w:lang w:val="en-US"/>
        </w:rPr>
        <w:t xml:space="preserve">Einen Wert hat dies »Ja« nur, wenn es von indirekten Bestätigungen gefolgt wird, wenn der Patient in unmittelbarem Anschluß an sein »Ja« neue Erinnerungen produziert, welche die Konstruktion ergänzen und erweitern. </w:t>
      </w:r>
      <w:r w:rsidRPr="008725BE">
        <w:rPr>
          <w:rFonts w:ascii="Garamond" w:hAnsi="Garamond"/>
          <w:lang w:val="en-GB"/>
        </w:rPr>
        <w:t>Nur in diesem Falle anerkennen wir das »Ja« als die volle Erledigung des betreffenden Punktes.</w:t>
      </w:r>
    </w:p>
    <w:p w:rsidR="008725BE" w:rsidRPr="008725BE" w:rsidRDefault="008725BE" w:rsidP="008725BE">
      <w:pPr>
        <w:pStyle w:val="Sansinterligne"/>
        <w:rPr>
          <w:rFonts w:ascii="Garamond" w:hAnsi="Garamond"/>
          <w:lang w:val="en-GB"/>
        </w:rPr>
      </w:pPr>
      <w:r w:rsidRPr="008725BE">
        <w:rPr>
          <w:rFonts w:ascii="Garamond" w:hAnsi="Garamond"/>
          <w:lang w:val="en-GB"/>
        </w:rPr>
        <w:t>Das »Nein« des Analysierten ist ebenso vieldeutig und eigentlich noch weniger verwendbar als sein »Ja«. In seltenen Fällen erweist es sich als Ausdruck berechtigter Ablehnung; ungleich häufiger ist es Äußerung eines Widerstandes, der durch den Inhalt der mitgeteilten Konstruktion hervorgerufen wird, aber ebensowohl von einem anderen Faktor der komplexen analytischen Situation herrühren kann. Das »Nein« des Patienten beweist also nichts für die Richtigkeit der Konstruktion, es verträgt sich aber sehr gut mit dieser Möglichkeit. Da jede solche Konstruktion unvollständig ist, nur ein Stückchen des vergessenen Geschehens erfaßt, steht es uns frei anzunehmen, daß der Analysierte nicht eigentlich das ihm Mitgeteilte leugnet, sondern seinen Widerspruch von dem noch nicht aufgedeckten Anteil her aufrechthält. Er wird in der Regel seine Zustimmung erst dann äußern, wenn er die ganze Wahrheit erfahren hat, und die ist oft recht weitläufig. Die einzig sichere Deutung seines »Nein« ist also die auf Unvollständigkeit; die Konstruktion hat ihm gewiß nicht alles gesagt.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ergibt sich also, daß man aus den direkten Äußerungen des Patienten nach der Mitteilung einer Konstruktion wenig Anhaltspunkte gewinnen kann, ob man richtig oder unrichtig geraten hat. Um so interessanter ist es, daß es indirekte Arten der Bestätigung gibt, die durchaus zuverlässig sind. Eine derselben ist eine Redensart, die man in wenig abgeänderten Worten von den verschiedensten Personen wie über Verabredung zu hören bekommt. Sie lautet: » </w:t>
      </w:r>
      <w:r w:rsidRPr="008725BE">
        <w:rPr>
          <w:rFonts w:ascii="Garamond" w:hAnsi="Garamond"/>
          <w:i/>
          <w:iCs/>
          <w:lang w:val="en-GB"/>
        </w:rPr>
        <w:t>Das (daran) habe ich</w:t>
      </w:r>
      <w:r w:rsidRPr="008725BE">
        <w:rPr>
          <w:rFonts w:ascii="Garamond" w:hAnsi="Garamond"/>
          <w:lang w:val="en-GB"/>
        </w:rPr>
        <w:t xml:space="preserve"> (oder: hätte ich) </w:t>
      </w:r>
      <w:r w:rsidRPr="008725BE">
        <w:rPr>
          <w:rFonts w:ascii="Garamond" w:hAnsi="Garamond"/>
          <w:i/>
          <w:iCs/>
          <w:lang w:val="en-GB"/>
        </w:rPr>
        <w:t>nie gedacht.</w:t>
      </w:r>
      <w:r w:rsidRPr="008725BE">
        <w:rPr>
          <w:rFonts w:ascii="Garamond" w:hAnsi="Garamond"/>
          <w:lang w:val="en-GB"/>
        </w:rPr>
        <w:t xml:space="preserve">« Man kann diese Äußerung unbedenklich übersetzen: »Ja, Sie haben das </w:t>
      </w:r>
      <w:r w:rsidRPr="008725BE">
        <w:rPr>
          <w:rFonts w:ascii="Garamond" w:hAnsi="Garamond"/>
          <w:i/>
          <w:iCs/>
          <w:lang w:val="en-GB"/>
        </w:rPr>
        <w:t>Unbewußte</w:t>
      </w:r>
      <w:r w:rsidRPr="008725BE">
        <w:rPr>
          <w:rFonts w:ascii="Garamond" w:hAnsi="Garamond"/>
          <w:lang w:val="en-GB"/>
        </w:rPr>
        <w:t xml:space="preserve"> in diesem Falle richtig getroffen.« Leider hört man die dem Analytiker so erwünschte Formel häufiger nach Einzeldeutungen als nach der Mitteilung umfangreicher Konstruktionen. Eine ebenso wertvolle Bestätigung, diesmal positiv ausgedrückt, ist es, wenn der Analysierte mit einer Assoziation antwortet, die etwas dem Inhalt der Konstruktion Ähnliches oder Analoges enthält. Anstatt eines Beispieles hiefür aus einer Analyse, das leicht aufzufinden, aber weitläufig darzustellen wäre, möchte ich hier ein kleines außeranalytisches Erlebnis erzählen, das einen solchen Sachverhalt mit beinahe komisch wirkender Eindringlichkeit darstellt. Es handelte sich um einen Kollegen, der mich – es ist lange her – zum Konsiliarius in seiner ärztlichen Tätigkeit gewählt hatte. Eines Tages aber brachte er mir seine junge Frau, die ihm Ungelegenheiten bereitete. Sie verweigerte ihm unter allerlei Vorwänden den sexuellen Verkehr, und er erwartete offenbar von mir, daß ich sie über die Folgen ihres unzweckmäßigen Benehmens aufklären sollte. Ich ging darauf ein und setzte ihr auseinander, daß ihre Weigerung bei ihrem Mann wahrscheinlich bedauerliche </w:t>
      </w:r>
      <w:r w:rsidRPr="008725BE">
        <w:rPr>
          <w:rFonts w:ascii="Garamond" w:hAnsi="Garamond"/>
          <w:lang w:val="en-GB"/>
        </w:rPr>
        <w:lastRenderedPageBreak/>
        <w:t xml:space="preserve">Gesundheitsstörungen oder Versuchungen hervorrufen würde, die zum Verfall ihrer Ehe führen könnten. Dabei unterbrach er mich plötzlich, um mir zu sagen: »Der Engländer, bei dem Sie einen Hirntumor diagnostiziert haben, ist </w:t>
      </w:r>
      <w:r w:rsidRPr="008725BE">
        <w:rPr>
          <w:rFonts w:ascii="Garamond" w:hAnsi="Garamond"/>
          <w:i/>
          <w:iCs/>
          <w:lang w:val="en-GB"/>
        </w:rPr>
        <w:t>auch</w:t>
      </w:r>
      <w:r w:rsidRPr="008725BE">
        <w:rPr>
          <w:rFonts w:ascii="Garamond" w:hAnsi="Garamond"/>
          <w:lang w:val="en-GB"/>
        </w:rPr>
        <w:t xml:space="preserve"> schon gestorben.« Die Rede schien zuerst unverständlich, das </w:t>
      </w:r>
      <w:r w:rsidRPr="008725BE">
        <w:rPr>
          <w:rFonts w:ascii="Garamond" w:hAnsi="Garamond"/>
          <w:i/>
          <w:iCs/>
          <w:lang w:val="en-GB"/>
        </w:rPr>
        <w:t>auch</w:t>
      </w:r>
      <w:r w:rsidRPr="008725BE">
        <w:rPr>
          <w:rFonts w:ascii="Garamond" w:hAnsi="Garamond"/>
          <w:lang w:val="en-GB"/>
        </w:rPr>
        <w:t xml:space="preserve"> im Satze rätselhaft, es war von keinem anderen Gestorbenen gesprochen worden. Eine kurze Weile später verstand ich. Der Mann wollte mich offenbar bekräftigen, er wollte sagen: »Ja, Sie haben ganz gewiß recht, Ihre Diagnose bei dem Patienten hat sich </w:t>
      </w:r>
      <w:r w:rsidRPr="008725BE">
        <w:rPr>
          <w:rFonts w:ascii="Garamond" w:hAnsi="Garamond"/>
          <w:i/>
          <w:iCs/>
          <w:lang w:val="en-GB"/>
        </w:rPr>
        <w:t>auch</w:t>
      </w:r>
      <w:r w:rsidRPr="008725BE">
        <w:rPr>
          <w:rFonts w:ascii="Garamond" w:hAnsi="Garamond"/>
          <w:lang w:val="en-GB"/>
        </w:rPr>
        <w:t xml:space="preserve"> bestätigt.« Es war ein volles Gegenstück zu den indirekten Bestätigungen durch Assoziationen, die wir in den Analysen erhalten. Daß an der Äußerung des Kollegen auch andere, von ihm beiseite geschobene Gedanken einen Anteil gehabt haben, will ich nicht bestreiten.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indirekte Bestätigung durch Assoziationen, die zum Inhalt der Konstruktion passen, die ein solches » </w:t>
      </w:r>
      <w:r w:rsidRPr="008725BE">
        <w:rPr>
          <w:rFonts w:ascii="Garamond" w:hAnsi="Garamond"/>
          <w:i/>
          <w:iCs/>
          <w:lang w:val="en-GB"/>
        </w:rPr>
        <w:t>auch</w:t>
      </w:r>
      <w:r w:rsidRPr="008725BE">
        <w:rPr>
          <w:rFonts w:ascii="Garamond" w:hAnsi="Garamond"/>
          <w:lang w:val="en-GB"/>
        </w:rPr>
        <w:t xml:space="preserve">« mit sich bringen, gibt unserem Urteil wertvolle Anhaltspunkte, um zu erraten, ob sich diese Konstruktion in der Fortsetzung der Analyse bewahrheiten wird. Besonders eindrucksvoll ist auch der Fall, wenn sich die Bestätigung mit Hilfe einer Fehlleistung in den direkten Widerspruch einschleicht. Ein schönes Beispiel dieser Art habe ich früher einmal an anderer Stelle veröffentlicht. In den Träumen des Patienten tauchte wiederholt der in Wien wohlbekannte Name </w:t>
      </w:r>
      <w:r w:rsidRPr="008725BE">
        <w:rPr>
          <w:rFonts w:ascii="Garamond" w:hAnsi="Garamond"/>
          <w:i/>
          <w:iCs/>
          <w:lang w:val="en-GB"/>
        </w:rPr>
        <w:t>Jauner</w:t>
      </w:r>
      <w:r w:rsidRPr="008725BE">
        <w:rPr>
          <w:rFonts w:ascii="Garamond" w:hAnsi="Garamond"/>
          <w:lang w:val="en-GB"/>
        </w:rPr>
        <w:t xml:space="preserve"> auf, ohne in seinen Assoziationen genügende Aufklärung zu finden. Ich versuchte dann die Deutung, er meine wohl </w:t>
      </w:r>
      <w:r w:rsidRPr="008725BE">
        <w:rPr>
          <w:rFonts w:ascii="Garamond" w:hAnsi="Garamond"/>
          <w:i/>
          <w:iCs/>
          <w:lang w:val="en-GB"/>
        </w:rPr>
        <w:t>Gauner</w:t>
      </w:r>
      <w:r w:rsidRPr="008725BE">
        <w:rPr>
          <w:rFonts w:ascii="Garamond" w:hAnsi="Garamond"/>
          <w:lang w:val="en-GB"/>
        </w:rPr>
        <w:t xml:space="preserve">, wenn er </w:t>
      </w:r>
      <w:r w:rsidRPr="008725BE">
        <w:rPr>
          <w:rFonts w:ascii="Garamond" w:hAnsi="Garamond"/>
          <w:i/>
          <w:iCs/>
          <w:lang w:val="en-GB"/>
        </w:rPr>
        <w:t>Jauner</w:t>
      </w:r>
      <w:r w:rsidRPr="008725BE">
        <w:rPr>
          <w:rFonts w:ascii="Garamond" w:hAnsi="Garamond"/>
          <w:lang w:val="en-GB"/>
        </w:rPr>
        <w:t xml:space="preserve"> sage, und der Patient antwortet prompt: »Das scheint mir doch zu </w:t>
      </w:r>
      <w:r w:rsidRPr="008725BE">
        <w:rPr>
          <w:rFonts w:ascii="Garamond" w:hAnsi="Garamond"/>
          <w:i/>
          <w:iCs/>
          <w:lang w:val="en-GB"/>
        </w:rPr>
        <w:t>jewagt.</w:t>
      </w:r>
      <w:r w:rsidRPr="008725BE">
        <w:rPr>
          <w:rFonts w:ascii="Garamond" w:hAnsi="Garamond"/>
          <w:lang w:val="en-GB"/>
        </w:rPr>
        <w:t>« Oder der Patient will die Zumutung, daß ihm eine bestimmte Zahlung zu hoch erscheine, mit den Worten zurückweisen: »Zehn Dollars spielen bei mir keine Rolle«, setzt aber anstatt Dollars die niedrigere Geldsorte ein und sagt: »Zehn Schilling.«</w:t>
      </w:r>
    </w:p>
    <w:p w:rsidR="008725BE" w:rsidRPr="008725BE" w:rsidRDefault="008725BE" w:rsidP="008725BE">
      <w:pPr>
        <w:pStyle w:val="Sansinterligne"/>
        <w:rPr>
          <w:rFonts w:ascii="Garamond" w:hAnsi="Garamond"/>
          <w:lang w:val="en-GB"/>
        </w:rPr>
      </w:pPr>
      <w:r w:rsidRPr="008725BE">
        <w:rPr>
          <w:rFonts w:ascii="Garamond" w:hAnsi="Garamond"/>
          <w:lang w:val="en-GB"/>
        </w:rPr>
        <w:t>Wenn die Analyse unter dem Druck starker Momente steht, die eine negative therapeutische Reaktion erzwingen, wie Schuldbewußtsein, masochistisches Leidensbedürfnis, Sträuben gegen die Hilfeleistung des Analytikers, macht das Verhalten des Patienten nach der Mitteilung der Konstruktion uns oft die gesuchte Entscheidung sehr leicht. Ist die Konstruktion falsch, so ändert sich nichts beim Patienten; wenn sie aber richtig ist oder eine Annäherung an die Wahrheit bringt, so reagiert er auf sie mit einer unverkennbaren Verschlimmerung seiner Symptome und seines Allgemeinbefindens.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Zusammenfassend werden wir feststellen, wir verdienen nicht den Vorwurf, daß wir die Stellungnahme des Analysierten zu unseren Konstruktionen geringschätzig zur Seite drängen. Wir achten auf sie und entnehmen ihr oft wertvolle Anhaltspunkte. Aber diese Reaktionen des Patienten sind zumeist vieldeutig und gestatten keine endgültige Entscheidung. Nur die Fortsetzung der Analyse kann die Entscheidung über Richtigkeit oder Unbrauchbarkeit unserer Konstruktion bringen. Wir geben die einzelne Konstruktion für nichts anderes aus als für eine Vermutung, die auf Prüfung, Bestätigung oder Verwerfung wartet. Wir beanspruchen keine Autorität für sie, fordern vom Patienten keine unmittelbare Zustimmung, diskutieren nicht mit ihm, wenn er ihr zunächst widerspricht. Kurz, wir benehmen uns nach dem Vorbild einer bekannten Nestroyschen Figur, des Hausknechts, der für alle Fragen und Einwendungen die einzige Antwort bereit hat: » </w:t>
      </w:r>
      <w:r w:rsidRPr="008725BE">
        <w:rPr>
          <w:rFonts w:ascii="Garamond" w:hAnsi="Garamond"/>
          <w:i/>
          <w:iCs/>
          <w:lang w:val="en-GB"/>
        </w:rPr>
        <w:t>Im Laufe der Begebenheiten wird alles klar werden.</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III</w:t>
      </w:r>
    </w:p>
    <w:p w:rsidR="008725BE" w:rsidRPr="008725BE" w:rsidRDefault="008725BE" w:rsidP="008725BE">
      <w:pPr>
        <w:pStyle w:val="Sansinterligne"/>
        <w:rPr>
          <w:rFonts w:ascii="Garamond" w:hAnsi="Garamond"/>
          <w:lang w:val="en-GB"/>
        </w:rPr>
      </w:pPr>
      <w:r w:rsidRPr="008725BE">
        <w:rPr>
          <w:rFonts w:ascii="Garamond" w:hAnsi="Garamond"/>
          <w:lang w:val="en-GB"/>
        </w:rPr>
        <w:t>Wie dies in der Fortsetzung der Analyse vor sich geht, auf welchen Wegen sich unsere Vermutung in die Überzeugung des Patienten verwandelt, das darzustellen lohnt kaum der Mühe; es ist aus täglicher Erfahrung jedem Analytiker bekannt und bietet dem Verständnis keine Schwierigkeit. Nur ein Punkt daran verlangt nach Untersuchung und Aufklärung. Der Weg, der von der Konstruktion des Analytikers ausgeht, sollte in der Erinnerung des Analysierten enden; er führt nicht immer so weit. Oft genug gelingt es nicht, den Patienten zur Erinnerung des Verdrängten zu bringen. Anstatt dessen erreicht man bei ihm durch korrekte Ausführung der Analyse eine sichere Überzeugung von der Wahrheit der Konstruktion, die therapeutisch dasselbe leistet wie eine wiedergewonnene Erinnerung. Unter welchen Umständen dies geschieht und wie es möglich wird, daß ein scheinbar unvollkommener Ersatz doch die volle Wirkung tut, das bleibt ein Stoff für spätere Forschung.</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werde diese kleine Mitteilung mit einigen Bemerkungen beschließen, die eine weitere Perspektive eröffnen. Es ist mir in einigen Analysen aufgefallen, daß die Mitteilung einer offenbar zutreffenden Konstruktion ein überraschendes und zunächst unverständliches Phänomen bei den Analysierten zum Vorschein brachte. Sie bekamen lebhafte Erinnerungen, von ihnen selbst als »überdeutlich« bezeichnet, aber sie erinnerten nicht etwa die Begebenheit, die der Inhalt der Konstruktion war, sondern Details, die diesem Inhalt nahestanden, z. B. die Gesichter der darin genannten Personen überscharf oder die Räume, in denen sich Ähnliches hätte zutragen können, oder, ein Stück weiter weg, die Einrichtungsgegenstände dieser Räumlichkeiten, von denen die Konstruktion natürlich nichts hatte wissen können. Dies geschah ebensowohl in Träumen unmittelbar nach der Mitteilung als auch im Wachen in phantasieartigen Zuständen. An diese Erinnerungen selbst schloß weiter nichts an; es lag dann nahe, sie als Ergebnis eines </w:t>
      </w:r>
      <w:r w:rsidRPr="008725BE">
        <w:rPr>
          <w:rFonts w:ascii="Garamond" w:hAnsi="Garamond"/>
          <w:lang w:val="en-GB"/>
        </w:rPr>
        <w:lastRenderedPageBreak/>
        <w:t>Kompromisses aufzufassen. Der »Auftrieb« des Verdrängten, durch die Mitteilung der Konstruktion rege geworden, hatte jene bedeutsamen Erinnerungsspuren zum Bewußtsein tragen wollen; einem Widerstand war es gelungen, zwar nicht die Bewegung aufzuhalten, aber wohl sie auf benachbarte, nebensächliche Objekte zu verschieben.</w:t>
      </w:r>
    </w:p>
    <w:p w:rsidR="008725BE" w:rsidRPr="008725BE" w:rsidRDefault="008725BE" w:rsidP="008725BE">
      <w:pPr>
        <w:pStyle w:val="Sansinterligne"/>
        <w:rPr>
          <w:rFonts w:ascii="Garamond" w:hAnsi="Garamond"/>
          <w:lang w:val="en-GB"/>
        </w:rPr>
      </w:pPr>
      <w:r w:rsidRPr="008725BE">
        <w:rPr>
          <w:rFonts w:ascii="Garamond" w:hAnsi="Garamond"/>
          <w:lang w:val="en-GB"/>
        </w:rPr>
        <w:t>Diese Erinnerungen hätte man Halluzinationen nennen können, wenn zu ihrer Deutlichkeit der Glaube an ihre Aktualität hinzugekommen wäre. Aber die Analogie gewann an Bedeutung, als ich auf das gelegentliche Vorkommen wirklicher Halluzinationen bei anderen, gewiß nicht psychotischen Fällen aufmerksam wurde. Der Gedankengang ging dann weiter: Vielleicht ist es ein allgemeiner Charakter der Halluzination, bisher nicht genug gewürdigt, daß in ihr etwas in der Frühzeit Erlebtes und dann Vergessenes wiederkehrt, etwas, was das Kind gesehen oder gehört zur Zeit, da es noch kaum sprachfähig war, und was sich nun dem Bewußtsein aufdrängt, wahrscheinlich entstellt und verschoben in Wirkung der Kräfte, die sich einer solchen Wiederkehr widersetzen. Und bei der nahen Beziehung der Halluzination zu bestimmten Formen von Psychose darf unser Gedankengang noch weiter greifen. Vielleicht sind die Wahnbildungen, in denen wir diese Halluzinationen so regelmäßig eingefügt finden, selbst nicht so unabhängig vom Auftrieb des Unbewußten und von der Wiederkehr des Verdrängten, wie wir gemeinhin annehmen. Wir betonen im Mechanismus einer Wahnbildung in der Regel nur zwei Momente, die Abwendung von der Realwelt und deren Motive einerseits und den Einfluß der Wunscherfüllung auf den Inhalt des Wahns anderseits. Aber kann der dynamische Vorgang nicht eher der sein, daß die Abwendung von der Realität vom Auftrieb des Verdrängten ausgenützt wird, um seinen Inhalt dem Bewußtsein aufzudrängen, wobei die bei diesem Vorgang erregten Widerstände und die Tendenz zur Wunscherfüllung sich in die Verantwortlichkeit für die Entstellung und Verschiebung des Wiedererinnerten teilen? Das ist doch auch der uns bekannte Mechanismus des Traumes, den schon uralte Ahnung dem Wahnsinn gleichgesetzt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glaube nicht, daß diese Auffassung des Wahns vollkommen neu ist, aber sie betont doch einen Gesichtspunkt, der für gewöhnlich nicht in den Vordergrund gerückt wird. Wesentlich an ihr ist die Behauptung, daß der Wahnsinn nicht nur Methode hat, wie schon der Dichter erkannte, sondern daß auch ein Stück </w:t>
      </w:r>
      <w:r w:rsidRPr="008725BE">
        <w:rPr>
          <w:rFonts w:ascii="Garamond" w:hAnsi="Garamond"/>
          <w:i/>
          <w:iCs/>
          <w:lang w:val="en-GB"/>
        </w:rPr>
        <w:t>historischer Wahrheit</w:t>
      </w:r>
      <w:r w:rsidRPr="008725BE">
        <w:rPr>
          <w:rFonts w:ascii="Garamond" w:hAnsi="Garamond"/>
          <w:lang w:val="en-GB"/>
        </w:rPr>
        <w:t xml:space="preserve"> in ihm enthalten ist, und es liegt uns nahe anzunehmen, daß der zwanghafte Glaube, den der Wahn findet, gerade aus solch infantiler Quelle seine Stärke bezieht. Mir stehen heute, um diese Theorie zu erweisen, nur Reminiszenzen zu Gebote, nicht frische Eindrücke. Es würde wahrscheinlich die Mühe lohnen, wenn man versuchte, entsprechende Krankheitsfälle nach den hier entwickelten Voraussetzungen zu studieren und auch ihre Behandlung danach einzurichten. Man würde die vergebliche Bemühung aufgeben, den Kranken von dem Irrsinn seines Wahns, von seinem Widerspruch zur Realität, zu überzeugen, und vielmehr in der Anerkennung des Wahrheitskerns einen gemeinsamen Boden finden, auf dem sich die therapeutische Arbeit entwickeln kann. Diese Arbeit bestünde darin, das Stück historischer Wahrheit von seinen Entstellungen und Anlehnungen an die reale Gegenwart zu befreien und es zurechtzurücken an die Stelle der Vergangenheit, der es zugehört. Die Verrückung aus der vergessenen Vorzeit in die Gegenwart oder in die Erwartung der Zukunft ist ja ein regelmäßiges Vorkommnis auch beim Neurotiker. Oft genug, wenn ihn ein Angstzustand erwarten läßt, daß sich etwas Schreckliches ereignen wird, steht er bloß unter dem Einfluß einer verdrängten Erinnerung, die zum Bewußtsein kommen möchte und nicht bewußt werden kann, daß etwas damals Schreckhaftes sich wirklich ereignet hat. Ich meine, man wird aus solchen Bemühungen an Psychotikern sehr viel Wertvolles erfahren, auch wenn ihnen der therapeutische Erfolg versagt bleibt.</w:t>
      </w:r>
    </w:p>
    <w:p w:rsidR="008725BE" w:rsidRPr="008725BE" w:rsidRDefault="008725BE" w:rsidP="008725BE">
      <w:pPr>
        <w:pStyle w:val="Sansinterligne"/>
        <w:rPr>
          <w:rFonts w:ascii="Garamond" w:hAnsi="Garamond"/>
          <w:lang w:val="en-GB"/>
        </w:rPr>
      </w:pPr>
      <w:r w:rsidRPr="008725BE">
        <w:rPr>
          <w:rFonts w:ascii="Garamond" w:hAnsi="Garamond"/>
          <w:lang w:val="en-GB"/>
        </w:rPr>
        <w:t>Ich weiß, daß es nicht verdienstlich ist, ein so wichtiges Thema so beiläufig zu behandeln, wie es hier geschieht. Ich bin dabei der Verlockung einer Analogie gefolgt. Die Wahnbildungen der Kranken erscheinen mir als Äquivalente der Konstruktionen, die wir in den analytischen Behandlungen aufbauen, Versuche zur Erklärung und Wiederherstellung, die unter den Bedingungen der Psychose allerdings nur dazu führen können, das Stück Realität, das man in der Gegenwart verleugnet, durch ein anderes Stück zu ersetzen, das man in früher Vorzeit gleichfalls verleugnet hatte. Die intimen Beziehungen zwischen dem Stoff der gegenwärtigen Verleugnung und dem der damaligen Verdrängung aufzudecken wird die Aufgabe der Einzeluntersuchung. Wie unsere Konstruktion nur dadurch wirkt, daß sie ein Stück verlorengegangener Lebensgeschichte wiederbringt, so dankt auch der Wahn seine überzeugende Kraft dem Anteil historischer Wahrheit, den er an die Stelle der abgewiesenen Realität einsetzt. In solcher Art würde auch der Wahn sich dem Satze unterwerfen, den ich früher einmal nur für die Hysterie ausgesprochen habe, der Kranke leide an seinen Reminiszenzen. Diese kurze Formel wollte auch damals nicht die Komplikation der Krankheitsverursachung bestreiten und die Wirkung so vieler anderer Momente ausschließen.</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Erfaßt man die Menschheit als ein Ganzes und setzt sie an die Stelle des einzelnen menschlichen Individuums, so findet man, daß auch sie Wahnbildungen entwickelt hat, die der logischen Kritik unzugänglich sind und der Wirklichkeit widersprechen. Wenn sie trotzdem eine außerordentliche Gewalt über die Menschen äußern können, so führt die Untersuchung zum gleichen Schluß wie beim einzelnen Individuum. Sie danken ihre Macht dem Gehalt an </w:t>
      </w:r>
      <w:r w:rsidRPr="008725BE">
        <w:rPr>
          <w:rFonts w:ascii="Garamond" w:hAnsi="Garamond"/>
          <w:i/>
          <w:iCs/>
          <w:lang w:val="en-GB"/>
        </w:rPr>
        <w:t>historischer Wahrheit,</w:t>
      </w:r>
      <w:r w:rsidRPr="008725BE">
        <w:rPr>
          <w:rFonts w:ascii="Garamond" w:hAnsi="Garamond"/>
          <w:lang w:val="en-GB"/>
        </w:rPr>
        <w:t xml:space="preserve"> die sie aus der Verdrängung vergessener Urzeiten heraufgeholt haben.</w:t>
      </w:r>
    </w:p>
    <w:p w:rsidR="008725BE" w:rsidRPr="008725BE" w:rsidRDefault="008725BE" w:rsidP="008725BE">
      <w:pPr>
        <w:pStyle w:val="Sansinterligne"/>
        <w:rPr>
          <w:rFonts w:ascii="Garamond" w:hAnsi="Garamond"/>
          <w:caps/>
        </w:rPr>
      </w:pPr>
      <w:r w:rsidRPr="005C1841">
        <w:rPr>
          <w:rFonts w:ascii="Garamond" w:hAnsi="Garamond"/>
        </w:rPr>
        <w:br w:type="page"/>
      </w:r>
      <w:hyperlink w:anchor="KSinhalt" w:history="1">
        <w:r w:rsidRPr="008725BE">
          <w:rPr>
            <w:rStyle w:val="Lienhypertexte"/>
            <w:rFonts w:ascii="Garamond" w:hAnsi="Garamond"/>
            <w:b/>
          </w:rPr>
          <w:t>Me</w:t>
        </w:r>
        <w:bookmarkStart w:id="176" w:name="KS41"/>
        <w:bookmarkEnd w:id="176"/>
        <w:r w:rsidRPr="008725BE">
          <w:rPr>
            <w:rStyle w:val="Lienhypertexte"/>
            <w:rFonts w:ascii="Garamond" w:hAnsi="Garamond"/>
            <w:b/>
          </w:rPr>
          <w:t>ine Ansichten über die Rolle der Sexualität in der Ätiologie der Neurosen</w:t>
        </w:r>
      </w:hyperlink>
      <w:r w:rsidRPr="008725BE">
        <w:rPr>
          <w:rFonts w:ascii="Garamond" w:hAnsi="Garamond"/>
        </w:rPr>
        <w:t xml:space="preserve">  </w:t>
      </w:r>
      <w:r w:rsidRPr="008725BE">
        <w:rPr>
          <w:rFonts w:ascii="Garamond" w:hAnsi="Garamond"/>
          <w:caps/>
        </w:rPr>
        <w:t>(1906)</w:t>
      </w:r>
    </w:p>
    <w:p w:rsidR="008725BE" w:rsidRPr="008725BE" w:rsidRDefault="008725BE" w:rsidP="008725BE">
      <w:pPr>
        <w:pStyle w:val="Sansinterligne"/>
        <w:rPr>
          <w:rFonts w:ascii="Garamond" w:hAnsi="Garamond"/>
        </w:rPr>
      </w:pPr>
      <w:r w:rsidRPr="008725BE">
        <w:rPr>
          <w:rFonts w:ascii="Garamond" w:hAnsi="Garamond"/>
        </w:rPr>
        <w:t> </w:t>
      </w:r>
    </w:p>
    <w:p w:rsidR="008725BE" w:rsidRPr="008725BE" w:rsidRDefault="008725BE" w:rsidP="008725BE">
      <w:pPr>
        <w:pStyle w:val="Sansinterligne"/>
        <w:rPr>
          <w:rFonts w:ascii="Garamond" w:hAnsi="Garamond"/>
          <w:lang w:val="en-GB"/>
        </w:rPr>
      </w:pPr>
      <w:r w:rsidRPr="008725BE">
        <w:rPr>
          <w:rFonts w:ascii="Garamond" w:hAnsi="Garamond"/>
          <w:lang w:val="en-GB"/>
        </w:rPr>
        <w:t>Ich bin der Meinung, daß man meine Theorie über die ätiologische Bedeutung des sexuellen Momentes für die Neurosen am besten würdigt, wenn man ihrer Entwicklung nachgeht. Ich habe nämlich keineswegs das Bestreben abzuleugnen, daß sie eine Entwicklung durchgemacht und sich während derselben verändert hat. Die Fachgenossen könnten in diesem Zugeständnis die Gewähr finden, daß diese Theorie nichts anderes ist als der Niederschlag fortgesetzter und vertiefter Erfahrungen. Was im Gegensatze hierzu der Spekulation entsprungen ist, das kann allerdings leicht mit einem Schlage vollständig und dann unveränderlich auftreten.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Theorie bezog sich ursprünglich bloß auf die als »Neurasthenie« zusammengefaßten Krankheitsbilder, unter denen mir zwei gelegentlich auch rein auftretende Typen auffielen, die ich als » </w:t>
      </w:r>
      <w:r w:rsidRPr="008725BE">
        <w:rPr>
          <w:rFonts w:ascii="Garamond" w:hAnsi="Garamond"/>
          <w:i/>
          <w:iCs/>
          <w:lang w:val="en-GB"/>
        </w:rPr>
        <w:t>eigentliche Neurasthenie</w:t>
      </w:r>
      <w:r w:rsidRPr="008725BE">
        <w:rPr>
          <w:rFonts w:ascii="Garamond" w:hAnsi="Garamond"/>
          <w:lang w:val="en-GB"/>
        </w:rPr>
        <w:t xml:space="preserve">« und als » </w:t>
      </w:r>
      <w:r w:rsidRPr="008725BE">
        <w:rPr>
          <w:rFonts w:ascii="Garamond" w:hAnsi="Garamond"/>
          <w:i/>
          <w:iCs/>
          <w:lang w:val="en-GB"/>
        </w:rPr>
        <w:t>Angstneurose</w:t>
      </w:r>
      <w:r w:rsidRPr="008725BE">
        <w:rPr>
          <w:rFonts w:ascii="Garamond" w:hAnsi="Garamond"/>
          <w:lang w:val="en-GB"/>
        </w:rPr>
        <w:t xml:space="preserve">« beschrieben habe. Es war ja immer bekannt, daß sexuelle Momente in der Verursachung dieser Formen eine Rolle spielen können, aber man fand dieselben weder regelmäßig wirksam, noch dachte man daran, ihnen einen Vorrang vor anderen ätiologischen Einflüssen einzuräumen. Ich wurde zunächst von der Häufigkeit grober Störungen in der </w:t>
      </w:r>
      <w:r w:rsidRPr="008725BE">
        <w:rPr>
          <w:rFonts w:ascii="Garamond" w:hAnsi="Garamond"/>
          <w:i/>
          <w:iCs/>
          <w:lang w:val="en-GB"/>
        </w:rPr>
        <w:t>vita sexualis</w:t>
      </w:r>
      <w:r w:rsidRPr="008725BE">
        <w:rPr>
          <w:rFonts w:ascii="Garamond" w:hAnsi="Garamond"/>
          <w:lang w:val="en-GB"/>
        </w:rPr>
        <w:t xml:space="preserve"> der Nervösen überrascht; je mehr ich darauf ausging, solche Störungen zu suchen, wobei ich mir vorhielt, daß die Menschen alle in sexuellen Dingen die Wahrheit verhehlen, und je geschickter ich wurde, das Examen trotz einer anfänglichen Verneinung fortzusetzen, desto regelmäßiger ließen sich solche krank machende Momente aus dem Sexualleben auffinden, bis mir zu deren Allgemeinheit wenig zu fehlen schien. Man mußte aber von vornherein auf ein ähnlich häufiges Vorkommen sexueller Unregelmäßigkeiten unter dem Drucke der sozialen Verhältnisse in unserer Gesellschaft gefaßt sein und konnte im Zweifel bleiben, welches Maß von Abweichung von der normalen Sexualfunktion als Krankheitsursache betrachtet werden dürfe. Ich konnte daher auf den regelmäßigen Nachweis sexueller Noxen nur weniger Wert legen als auf eine zweite Erfahrung, die mir eindeutiger erschien. Es ergab sich, daß die Form der Erkrankung, ob Neurasthenie oder Angstneurose, eine konstante Beziehung zur Art der sexuellen Schädlichkeit zeige. In den typischen Fällen der Neurasthenie war regelmäßig Masturbation oder gehäufte Pollutionen, bei der Angstneurose waren Faktoren wie der </w:t>
      </w:r>
      <w:r w:rsidRPr="008725BE">
        <w:rPr>
          <w:rFonts w:ascii="Garamond" w:hAnsi="Garamond"/>
          <w:i/>
          <w:iCs/>
          <w:lang w:val="en-GB"/>
        </w:rPr>
        <w:t>coitus interruptus</w:t>
      </w:r>
      <w:r w:rsidRPr="008725BE">
        <w:rPr>
          <w:rFonts w:ascii="Garamond" w:hAnsi="Garamond"/>
          <w:lang w:val="en-GB"/>
        </w:rPr>
        <w:t>, die »frustrane Erregung« und andere nachweisbar, an denen das Moment der ungenügenden Abfuhr der erzeugten Libido das Gemeinsame schien. Erst seit dieser leicht zu machenden und beliebig oft zu bestätigenden Erfahrung hatte ich den Mut, für die sexuellen Einflüsse eine bevorzugte Stellung in der Ätiologie der Neurosen zu beanspruchen. Es kam hinzu, daß bei den so häufigen Mischformen von Neurasthenie und Angstneurose auch die Vermengung der für die beiden Formen angenommenen Ätiologien aufzuzeigen war und daß eine solche Zweiteilung in der Erscheinungsform der Neurose zu dem polaren Charakter der Sexualität (männlich und weiblich) gut zu stimmen schien.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Zur gleichen Zeit, während ich der Sexualität diese Bedeutung für die Entstehung der einfachen Neurosen zuwies </w:t>
      </w:r>
      <w:hyperlink r:id="rId85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›Über die Berechtigung, von der Neurasthenie einen bestimmten Symptomenkomplex als »Angstneurose« abzutrennen‹ (1895  </w:t>
        </w:r>
        <w:r w:rsidRPr="008725BE">
          <w:rPr>
            <w:rStyle w:val="innerfusslink3"/>
            <w:rFonts w:ascii="Garamond" w:hAnsi="Garamond" w:cs="Arial"/>
            <w:b/>
            <w:bCs/>
            <w:i/>
            <w:iCs/>
            <w:lang w:val="en-GB"/>
          </w:rPr>
          <w:t>b</w:t>
        </w:r>
        <w:r w:rsidRPr="008725BE">
          <w:rPr>
            <w:rStyle w:val="innerfusslink3"/>
            <w:rFonts w:ascii="Garamond" w:hAnsi="Garamond" w:cs="Arial"/>
            <w:b/>
            <w:bCs/>
            <w:lang w:val="en-GB"/>
          </w:rPr>
          <w:t>).</w:t>
        </w:r>
      </w:hyperlink>
      <w:r w:rsidRPr="008725BE">
        <w:rPr>
          <w:rFonts w:ascii="Garamond" w:hAnsi="Garamond"/>
          <w:lang w:val="en-GB"/>
        </w:rPr>
        <w:t xml:space="preserve">, huldigte ich noch in betreff der Psychoneurosen (Hysterie und Zwangsvorstellungen) einer rein psychologischen Theorie, in welcher das sexuelle Moment nicht anders als andere emotionelle Quellen in Betracht kam. Ich hatte im Verein mit J. Breuer und im Anschluß an Beobachtungen, die er gut ein Dezennium vorher an einer hysterischen Kranken gemacht hatte, den Mechanismus der Entstehung hysterischer Symptome mittels des Erweckens von Erinnerungen im hypnotischen Zustande studiert, und wir waren zu Aufschlüssen gelangt, welche gestatteten, die Brücke von der traumatischen Hysterie Charcots zur gemeinen, nicht traumatischen, zu schlagen </w:t>
      </w:r>
      <w:hyperlink r:id="rId85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Studien über Hysterie</w:t>
        </w:r>
        <w:r w:rsidRPr="008725BE">
          <w:rPr>
            <w:rStyle w:val="innerfusslink3"/>
            <w:rFonts w:ascii="Garamond" w:hAnsi="Garamond" w:cs="Arial"/>
            <w:b/>
            <w:bCs/>
            <w:lang w:val="en-GB"/>
          </w:rPr>
          <w:t xml:space="preserve"> (1895).</w:t>
        </w:r>
      </w:hyperlink>
      <w:r w:rsidRPr="008725BE">
        <w:rPr>
          <w:rFonts w:ascii="Garamond" w:hAnsi="Garamond"/>
          <w:lang w:val="en-GB"/>
        </w:rPr>
        <w:t xml:space="preserve">. Wir waren zur Auffassung gelangt, daß die hysterischen Symptome Dauerwirkungen von psychischen Traumen sind, deren zugehörige Affektgröße durch besondere Bedingungen von bewußter Bearbeitung abgedrängt worden ist und sich darum einen abnormen Weg in die Körperinnervation gebahnt hat. Die Termini » </w:t>
      </w:r>
      <w:r w:rsidRPr="008725BE">
        <w:rPr>
          <w:rFonts w:ascii="Garamond" w:hAnsi="Garamond"/>
          <w:i/>
          <w:iCs/>
          <w:lang w:val="en-GB"/>
        </w:rPr>
        <w:t>eingeklemmter Affekt</w:t>
      </w:r>
      <w:r w:rsidRPr="008725BE">
        <w:rPr>
          <w:rFonts w:ascii="Garamond" w:hAnsi="Garamond"/>
          <w:lang w:val="en-GB"/>
        </w:rPr>
        <w:t xml:space="preserve">«, » </w:t>
      </w:r>
      <w:r w:rsidRPr="008725BE">
        <w:rPr>
          <w:rFonts w:ascii="Garamond" w:hAnsi="Garamond"/>
          <w:i/>
          <w:iCs/>
          <w:lang w:val="en-GB"/>
        </w:rPr>
        <w:t>Konversion</w:t>
      </w:r>
      <w:r w:rsidRPr="008725BE">
        <w:rPr>
          <w:rFonts w:ascii="Garamond" w:hAnsi="Garamond"/>
          <w:lang w:val="en-GB"/>
        </w:rPr>
        <w:t xml:space="preserve">« und » </w:t>
      </w:r>
      <w:r w:rsidRPr="008725BE">
        <w:rPr>
          <w:rFonts w:ascii="Garamond" w:hAnsi="Garamond"/>
          <w:i/>
          <w:iCs/>
          <w:lang w:val="en-GB"/>
        </w:rPr>
        <w:t>Abreagieren</w:t>
      </w:r>
      <w:r w:rsidRPr="008725BE">
        <w:rPr>
          <w:rFonts w:ascii="Garamond" w:hAnsi="Garamond"/>
          <w:lang w:val="en-GB"/>
        </w:rPr>
        <w:t>« fassen das Kennzeichnende dieser Anschauung zusammen.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 den nahen Beziehungen der Psychoneurosen zu den einfachen Neurosen, die ja so weit gehen, daß dem Ungeübten die diagnostische Unterscheidung nicht immer leichtfällt, konnte es aber nicht ausbleiben, daß die für das eine Gebiet gewonnene Erkenntnis auch für das andere Platz griff. Überdies führte, von solcher Beeinflussung abgesehen, auch die Vertiefung in den psychischen Mechanismus der hysterischen Symptome zu dem gleichen Ergebnis. Wenn man nämlich bei dem von Breuer und mir eingesetzten »kathartischen« Verfahren den psychischen Traumen, von denen sich die hysterischen Symptome ableiteten, immer weiter nachspürte, gelangte man endlich zu Erlebnissen, welche der Kindheit des Kranken angehörten und sein Sexualleben betrafen, und zwar auch in solchen Fällen, in denen eine banale </w:t>
      </w:r>
      <w:r w:rsidRPr="008725BE">
        <w:rPr>
          <w:rFonts w:ascii="Garamond" w:hAnsi="Garamond"/>
          <w:lang w:val="en-GB"/>
        </w:rPr>
        <w:lastRenderedPageBreak/>
        <w:t>Emotion nicht sexueller Natur den Ausbruch der Krankheit veranlaßt hatte. Ohne diese sexuellen Traumen der Kinderzeit in Betracht zu ziehen, konnte man weder die Symptome aufklären, deren Determinierung verständlich finden, noch deren Wiederkehr verhüten. Somit schien die unvergleichliche Bedeutung sexueller Erlebnisse für die Ätiologie der Psychoneurosen als unzweifelhaft festgestellt, und diese Tatsache ist auch bis heute einer der Grundpfeiler der Theorie geblieben.</w:t>
      </w:r>
    </w:p>
    <w:p w:rsidR="008725BE" w:rsidRPr="008725BE" w:rsidRDefault="008725BE" w:rsidP="008725BE">
      <w:pPr>
        <w:pStyle w:val="Sansinterligne"/>
        <w:rPr>
          <w:rFonts w:ascii="Garamond" w:hAnsi="Garamond"/>
          <w:lang w:val="en-GB"/>
        </w:rPr>
      </w:pPr>
      <w:r w:rsidRPr="008725BE">
        <w:rPr>
          <w:rFonts w:ascii="Garamond" w:hAnsi="Garamond"/>
          <w:lang w:val="en-GB"/>
        </w:rPr>
        <w:t>Wenn man diese Theorie so darstellt, die Ursache der lebenslangen hysterischen Neurose liege in den meist an sich geringfügigen sexuellen Erlebnissen der frühen Kinderzeit, so mag sie allerdings befremdend genug klingen. Nimmt man aber auf die historische Entwicklung der Lehre Rücksicht, verlegt den Hauptinhalt derselben in den Satz, die Hysterie sei der Ausdruck eines besonderen Verhaltens der Sexualfunktion des Individuums und dieses Verhalten werde bereits durch die ersten in der Kindheit einwirkenden Einflüsse und Erlebnisse maßgebend bestimmt, so sind wir zwar um ein Paradoxon ärmer, aber um ein Motiv bereichert worden, den bisher arg vernachlässigten, höchst bedeutsamen Nachwirkungen der Kindheitseindrücke überhaupt unsere Aufmerksamkeit zu schenken.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Indem ich mir vorbehalte, die Frage, ob man in den sexuellen Kindererlebnissen die Ätiologie der Hysterie (und Zwangsneurose) sehen dürfe, weiter unten gründlicher zu behandeln, kehre ich zu der Gestaltung der Theorie zurück, welche diese in einigen kleinen, vorläufigen Publikationen der Jahre 1895 und 1896 angenommen hat </w:t>
      </w:r>
      <w:hyperlink r:id="rId85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›Weitere Bemerkungen über die Abwehr-Neuropsychosen‹ (1896  </w:t>
        </w:r>
        <w:r w:rsidRPr="008725BE">
          <w:rPr>
            <w:rStyle w:val="innerfusslink3"/>
            <w:rFonts w:ascii="Garamond" w:hAnsi="Garamond" w:cs="Arial"/>
            <w:b/>
            <w:bCs/>
            <w:i/>
            <w:iCs/>
            <w:lang w:val="en-GB"/>
          </w:rPr>
          <w:t>b</w:t>
        </w:r>
        <w:r w:rsidRPr="008725BE">
          <w:rPr>
            <w:rStyle w:val="innerfusslink3"/>
            <w:rFonts w:ascii="Garamond" w:hAnsi="Garamond" w:cs="Arial"/>
            <w:b/>
            <w:bCs/>
            <w:lang w:val="en-GB"/>
          </w:rPr>
          <w:t xml:space="preserve">). – ›Zur Ätiologie der Hysterie‹ (1896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lang w:val="en-GB"/>
        </w:rPr>
        <w:t xml:space="preserve">. Die Hervorhebung der angenommenen ätiologischen Momente gestattete damals, die gemeinen Neurosen als Erkrankungen mit aktueller Ätiologie den Psychoneurosen gegenüberzustellen, deren Ätiologie vor allem in den sexuellen Erlebnissen der Vorzeit zu suchen war. Die Lehre gipfelte in dem Satze: Bei normaler </w:t>
      </w:r>
      <w:r w:rsidRPr="008725BE">
        <w:rPr>
          <w:rFonts w:ascii="Garamond" w:hAnsi="Garamond"/>
          <w:i/>
          <w:iCs/>
          <w:lang w:val="en-GB"/>
        </w:rPr>
        <w:t>vita sexualis</w:t>
      </w:r>
      <w:r w:rsidRPr="008725BE">
        <w:rPr>
          <w:rFonts w:ascii="Garamond" w:hAnsi="Garamond"/>
          <w:lang w:val="en-GB"/>
        </w:rPr>
        <w:t xml:space="preserve"> ist eine Neurose unmöglich.</w:t>
      </w:r>
    </w:p>
    <w:p w:rsidR="008725BE" w:rsidRPr="008725BE" w:rsidRDefault="008725BE" w:rsidP="008725BE">
      <w:pPr>
        <w:pStyle w:val="Sansinterligne"/>
        <w:rPr>
          <w:rFonts w:ascii="Garamond" w:hAnsi="Garamond"/>
          <w:lang w:val="en-GB"/>
        </w:rPr>
      </w:pPr>
      <w:r w:rsidRPr="008725BE">
        <w:rPr>
          <w:rFonts w:ascii="Garamond" w:hAnsi="Garamond"/>
          <w:lang w:val="en-GB"/>
        </w:rPr>
        <w:t>Wenn ich auch diese Sätze noch heute nicht für unrichtig halte, so ist es doch nicht zu verwundern, daß ich in zehn Jahren fortgesetzter Bemühung um die Erkenntnis dieser Verhältnisse über meinen damaligen Standpunkt ein gutes Stück weit hinausgekommen bin und mich heute in der Lage glaube, die Unvollständigkeit, die Verschiebungen und die Mißverständnisse, an denen die Lehre damals litt, durch eingehendere Erfahrung zu korrigieren. Ein Zufall des damals noch spärlichen Materials hatte mir eine unverhältnismäßig große Anzahl von Fällen zugeführt, in deren Kindergeschichte die sexuelle Verführung durch Erwachsene oder andere ältere Kinder die Hauptrolle spielte. Ich überschätzte die Häufigkeit dieser (sonst nicht anzuzweifelnden) Vorkommnisse, da ich überdies zu jener Zeit nicht imstande war, die Erinnerungstäuschungen der Hysterischen über ihre Kindheit von den Spuren der wirklichen Vorgänge sicher zu unterscheiden, während ich seitdem gelernt habe, so manche Verführungsphantasie als Abwehrversuch gegen die Erinnerung der eigenen sexuellen Betätigung (Kindermasturbation) aufzulösen. Mit dieser Aufklärung entfiel die Betonung des »traumatischen« Elementes an den sexuellen Kindererlebnissen, und es blieb die Einsicht übrig, daß die infantile Sexualbetätigung (ob spontan oder provoziert) dem späteren Sexualleben nach der Reife die Richtung vorschreibt. Dieselbe Aufklärung, die ja den bedeutsamsten meiner anfänglichen Irrtümer korrigierte, mußte auch die Auffassung vom Mechanismus der hysterischen Symptome verändern. Dieselben erschienen nun nicht mehr als direkte Abkömmlinge der verdrängten Erinnerungen an sexuelle Kindheitserlebnisse, sondern zwischen die Symptome und die infantilen Eindrücke schoben sich nun die (meist in den Pubertätsjahren produzierten) Phantasien (Erinnerungsdichtungen) der Kranken ein, die auf der einen Seite sich aus und über den Kindheitserinnerungen aufbauten, auf der anderen sich unmittelbar in die Symptome umsetzten. Erst mit der Einführung des Elements der hysterischen Phantasien wurde das Gefüge der Neurose und deren Beziehung zum Leben der Kranken durchsichtig; auch ergab sich eine wirklich überraschende Analogie zwischen diesen unbewußten Phantasien der Hysteriker und den als Wahn bewußtgewordenen Dichtungen bei der Paranoia.</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Nach dieser Korrektur waren die »infantilen Sexualtraumen« in gewissem Sinne durch den »Infantilismus der Sexualität« ersetzt. Eine zweite Abänderung der ursprünglichen Theorie lag nicht ferne. Mit der angenommenen Häufigkeit der Verführung in der Kindheit entfiel auch die übergroße Betonung der </w:t>
      </w:r>
      <w:r w:rsidRPr="008725BE">
        <w:rPr>
          <w:rFonts w:ascii="Garamond" w:hAnsi="Garamond"/>
          <w:i/>
          <w:iCs/>
          <w:lang w:val="en-GB"/>
        </w:rPr>
        <w:t>akzidentellen</w:t>
      </w:r>
      <w:r w:rsidRPr="008725BE">
        <w:rPr>
          <w:rFonts w:ascii="Garamond" w:hAnsi="Garamond"/>
          <w:lang w:val="en-GB"/>
        </w:rPr>
        <w:t xml:space="preserve"> Beeinflussung der Sexualität, welcher ich bei der Verursachung des Krankseins die Hauptrolle zuschieben wollte, ohne darum konstitutionelle und hereditäre Momente zu leugnen. Ich hatte sogar gehofft, das Problem der Neurosenwahl, die Entscheidung darüber, welcher Form von Psychoneurose der Kranke verfallen solle, durch die Einzelheiten der sexuellen Kindererlebnisse zu lösen, und damals – wenn auch mit Zurückhaltung – gemeint, daß passives Verhalten bei diesen Szenen die spezifische Disposition zur Hysterie, aktives dagegen die für die Zwangsneurose ergebe. Auf diese Auffassung mußte ich später völlig Verzicht leisten, wenngleich manches Tatsächliche den geahnten Zusammenhang zwischen Passivität und Hysterie, Aktivität und Zwangsneurose in irgendeiner Weise aufrechtzuhalten gebietet. Mit </w:t>
      </w:r>
      <w:r w:rsidRPr="008725BE">
        <w:rPr>
          <w:rFonts w:ascii="Garamond" w:hAnsi="Garamond"/>
          <w:lang w:val="en-GB"/>
        </w:rPr>
        <w:lastRenderedPageBreak/>
        <w:t xml:space="preserve">dem Rücktritt der akzidentellen Einflüsse des Erlebens mußten die Momente der Konstitution und Heredität wieder die Oberhand behaupten, aber mit dem Unterschiede gegen die sonst herrschende Anschauung, daß bei mir die »sexuelle Konstitution« an die Stelle der allgemeinen neuropathischen Disposition trat. In meinen jüngst erschienenen </w:t>
      </w:r>
      <w:r w:rsidRPr="008725BE">
        <w:rPr>
          <w:rFonts w:ascii="Garamond" w:hAnsi="Garamond"/>
          <w:i/>
          <w:iCs/>
          <w:lang w:val="en-GB"/>
        </w:rPr>
        <w:t>Drei Abhandlungen zur Sexualtheorie</w:t>
      </w:r>
      <w:r w:rsidRPr="008725BE">
        <w:rPr>
          <w:rFonts w:ascii="Garamond" w:hAnsi="Garamond"/>
          <w:lang w:val="en-GB"/>
        </w:rPr>
        <w:t xml:space="preserve"> (1905  </w:t>
      </w:r>
      <w:r w:rsidRPr="008725BE">
        <w:rPr>
          <w:rFonts w:ascii="Garamond" w:hAnsi="Garamond"/>
          <w:i/>
          <w:iCs/>
          <w:lang w:val="en-GB"/>
        </w:rPr>
        <w:t>d</w:t>
      </w:r>
      <w:r w:rsidRPr="008725BE">
        <w:rPr>
          <w:rFonts w:ascii="Garamond" w:hAnsi="Garamond"/>
          <w:lang w:val="en-GB"/>
        </w:rPr>
        <w:t>) habe ich den Versuch gemacht, die Mannigfaltigkeiten dieser sexuellen Konstitution sowie die Zusammengesetztheit des Sexualtriebes überhaupt und dessen Herkunft aus verschiedenen Beitragsquellen im Organismus zu schildern.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Immer noch im Zusammenhange mit der veränderten Auffassung der »sexuellen Kindertraumen« entwickelte sich nun die Theorie nach einer Richtung weiter, die schon in den Veröffentlichungen der Jahre 1894 bis 1896 angezeigt worden war. Ich hatte bereits damals, und noch ehe die Sexualität in die ihr gebührende Stellung in der Ätiologie eingesetzt war, als Bedingung für die pathogene Wirksamkeit eines Erlebnisses angegeben, daß dieses dem Ich unerträglich erscheinen und ein Bestreben zur Abwehr hervorrufen müsse </w:t>
      </w:r>
      <w:hyperlink r:id="rId85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›Die Abwehr-Neuropsychosen: Versuch einer psychologischen Theorie der akquirierten Hysterie, vieler Phobien und Zwangsvorstellungen und gewisser halluzinatorischer Psychosen‹ (1894  </w:t>
        </w:r>
        <w:r w:rsidRPr="008725BE">
          <w:rPr>
            <w:rStyle w:val="innerfusslink3"/>
            <w:rFonts w:ascii="Garamond" w:hAnsi="Garamond" w:cs="Arial"/>
            <w:b/>
            <w:bCs/>
            <w:i/>
            <w:iCs/>
            <w:lang w:val="en-GB"/>
          </w:rPr>
          <w:t>a</w:t>
        </w:r>
        <w:r w:rsidRPr="008725BE">
          <w:rPr>
            <w:rStyle w:val="innerfusslink3"/>
            <w:rFonts w:ascii="Garamond" w:hAnsi="Garamond" w:cs="Arial"/>
            <w:b/>
            <w:bCs/>
            <w:lang w:val="en-GB"/>
          </w:rPr>
          <w:t>).</w:t>
        </w:r>
      </w:hyperlink>
      <w:r w:rsidRPr="008725BE">
        <w:rPr>
          <w:rFonts w:ascii="Garamond" w:hAnsi="Garamond"/>
          <w:lang w:val="en-GB"/>
        </w:rPr>
        <w:t>. Auf diese Abwehr hatte ich die psychische Spaltung – oder wie man damals sagte: die Bewußtseinsspaltung – der Hysterie zurückgeführt. Gelang die Abwehr, so war das unerträgliche Erlebnis mit seinen Affektfolgen aus dem Bewußtsein und der Erinnerung des Ichs vertrieben; unter gewissen Verhältnissen entfaltete aber das Vertriebene als ein nun Unbewußtes seine Wirksamkeit und kehrte mittels der Symptome und der an ihnen haftenden Affekte ins Bewußtsein zurück, so daß die Erkrankung einem Mißglücken der Abwehr entsprach. Diese Auffassung hatte das Verdienst, auf das Spiel der psychischen Kräfte einzugehen und somit die seelischen Vorgänge der Hysterie den normalen anzunähern, anstatt die Charakteristik der Neurose in eine rätselhafte und weiter nicht analysierbare Störung zu verlegen.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Als nun weitere Erkundigungen bei normal gebliebenen Personen das unerwartete Ergebnis lieferten, daß deren sexuelle Kindergeschichte sich nicht wesentlich von dem Kinderleben der Neurotiker zu unterscheiden brauche, daß speziell die Rolle der Verführung bei ersteren die gleiche sei, traten die akzidentellen Einflüsse noch mehr gegen den der » </w:t>
      </w:r>
      <w:r w:rsidRPr="008725BE">
        <w:rPr>
          <w:rFonts w:ascii="Garamond" w:hAnsi="Garamond"/>
          <w:i/>
          <w:iCs/>
          <w:lang w:val="en-GB"/>
        </w:rPr>
        <w:t>Verdrängung</w:t>
      </w:r>
      <w:r w:rsidRPr="008725BE">
        <w:rPr>
          <w:rFonts w:ascii="Garamond" w:hAnsi="Garamond"/>
          <w:lang w:val="en-GB"/>
        </w:rPr>
        <w:t>« (wie ich anstatt »Abwehr« zu sagen begann) zurück. Es kam also nicht darauf an, was ein Individuum in seiner Kindheit an sexuellen Erregungen erfahren hatte, sondern vor allem auf seine Reaktion gegen diese Erlebnisse, ob es diese Eindrücke mit der »Verdrängung« beantwortet habe oder nicht. Bei spontaner infantiler Sexualbetätigung ließ sich zeigen, daß dieselbe häufig im Laufe der Entwicklung durch einen Akt der Verdrängung abgebrochen wurde. Das geschlechtsreife neurotische Individuum brachte so ein Stück »Sexualverdrängung« regelmäßig aus seiner Kindheit mit, das bei den Anforderungen des realen Lebens zur Äußerung kam, und die Psychoanalysen Hysterischer zeigten, daß ihre Erkrankung ein Erfolg des Konflikts zwischen der Libido und der Sexualverdrängung sei und daß ihre Symptome den Wert von Kompromissen zwischen beiden seelischen Strömungen haben.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Ohne eine ausführliche Erörterung meiner Vorstellungen von der Verdrängung könnte ich diesen Teil der Theorie nicht weiter aufklären. Es genüge, hier auf meine </w:t>
      </w:r>
      <w:r w:rsidRPr="008725BE">
        <w:rPr>
          <w:rFonts w:ascii="Garamond" w:hAnsi="Garamond"/>
          <w:i/>
          <w:iCs/>
          <w:lang w:val="en-GB"/>
        </w:rPr>
        <w:t>Drei Abhandlungen zur Sexualtheorie</w:t>
      </w:r>
      <w:r w:rsidRPr="008725BE">
        <w:rPr>
          <w:rFonts w:ascii="Garamond" w:hAnsi="Garamond"/>
          <w:lang w:val="en-GB"/>
        </w:rPr>
        <w:t xml:space="preserve"> (1905  </w:t>
      </w:r>
      <w:r w:rsidRPr="008725BE">
        <w:rPr>
          <w:rFonts w:ascii="Garamond" w:hAnsi="Garamond"/>
          <w:i/>
          <w:iCs/>
          <w:lang w:val="en-GB"/>
        </w:rPr>
        <w:t>d</w:t>
      </w:r>
      <w:r w:rsidRPr="008725BE">
        <w:rPr>
          <w:rFonts w:ascii="Garamond" w:hAnsi="Garamond"/>
          <w:lang w:val="en-GB"/>
        </w:rPr>
        <w:t xml:space="preserve">) hinzuweisen, wo ich auf die somatischen Vorgänge, in denen das Wesen der Sexualität zu suchen ist, ein allerdings erst spärliches Licht zu werfen versucht habe. Ich habe dort ausgeführt, daß die konstitutionelle sexuelle Anlage des Kindes eine ungleich buntere ist, als man erwarten konnte, daß sie »polymorph pervers« genannt zu werden verdient und daß aus dieser Anlage durch Verdrängung gewisser Komponenten das sogenannte normale Verhalten der Sexualfunktion hervorgeht. Ich konnte durch den Hinweis auf die infantilen Charaktere der Sexualität eine einfache Verknüpfung zwischen Gesundheit, Perversion und Neurose herstellen. </w:t>
      </w:r>
      <w:r w:rsidRPr="008725BE">
        <w:rPr>
          <w:rFonts w:ascii="Garamond" w:hAnsi="Garamond"/>
          <w:i/>
          <w:iCs/>
          <w:lang w:val="en-GB"/>
        </w:rPr>
        <w:t>Die Norm</w:t>
      </w:r>
      <w:r w:rsidRPr="008725BE">
        <w:rPr>
          <w:rFonts w:ascii="Garamond" w:hAnsi="Garamond"/>
          <w:lang w:val="en-GB"/>
        </w:rPr>
        <w:t xml:space="preserve"> ergab sich aus der Verdrängung gewisser Partialtriebe und Komponenten der infantilen Anlagen und der Unterordnung der übrigen unter das Primat der Genitalzonen im Dienste der Fortpflanzungsfunktion; </w:t>
      </w:r>
      <w:r w:rsidRPr="008725BE">
        <w:rPr>
          <w:rFonts w:ascii="Garamond" w:hAnsi="Garamond"/>
          <w:i/>
          <w:iCs/>
          <w:lang w:val="en-GB"/>
        </w:rPr>
        <w:t>die Perversionen</w:t>
      </w:r>
      <w:r w:rsidRPr="008725BE">
        <w:rPr>
          <w:rFonts w:ascii="Garamond" w:hAnsi="Garamond"/>
          <w:lang w:val="en-GB"/>
        </w:rPr>
        <w:t xml:space="preserve"> entsprachen Störungen dieser Zusammenfassung durch die übermächtige zwangsartige Entwicklung einzelner dieser Partialtriebe, und </w:t>
      </w:r>
      <w:r w:rsidRPr="008725BE">
        <w:rPr>
          <w:rFonts w:ascii="Garamond" w:hAnsi="Garamond"/>
          <w:i/>
          <w:iCs/>
          <w:lang w:val="en-GB"/>
        </w:rPr>
        <w:t>die Neurose</w:t>
      </w:r>
      <w:r w:rsidRPr="008725BE">
        <w:rPr>
          <w:rFonts w:ascii="Garamond" w:hAnsi="Garamond"/>
          <w:lang w:val="en-GB"/>
        </w:rPr>
        <w:t xml:space="preserve"> führte sich auf eine zu weitgehende Verdrängung der libidinösen Strebungen zurück. Da fast alle perversen Triebe der infantilen Anlage als symptombildende Kräfte bei der Neurose nachweisbar sind, sich aber bei ihr im Zustande der Verdrängung befinden, konnte ich die Neurose als das »Negativ« der Perversion bezeichnen.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halte es der Hervorhebung wert, daß meine Anschauungen über die Ätiologie der Psychoneurosen bei allen Wandlungen doch zwei Gesichtspunkte nie verleugnet oder verlassen haben, die Schätzung der </w:t>
      </w:r>
      <w:r w:rsidRPr="008725BE">
        <w:rPr>
          <w:rFonts w:ascii="Garamond" w:hAnsi="Garamond"/>
          <w:i/>
          <w:iCs/>
          <w:lang w:val="en-GB"/>
        </w:rPr>
        <w:t>Sexualität</w:t>
      </w:r>
      <w:r w:rsidRPr="008725BE">
        <w:rPr>
          <w:rFonts w:ascii="Garamond" w:hAnsi="Garamond"/>
          <w:lang w:val="en-GB"/>
        </w:rPr>
        <w:t xml:space="preserve"> und des </w:t>
      </w:r>
      <w:r w:rsidRPr="008725BE">
        <w:rPr>
          <w:rFonts w:ascii="Garamond" w:hAnsi="Garamond"/>
          <w:i/>
          <w:iCs/>
          <w:lang w:val="en-GB"/>
        </w:rPr>
        <w:t>Infantilismus</w:t>
      </w:r>
      <w:r w:rsidRPr="008725BE">
        <w:rPr>
          <w:rFonts w:ascii="Garamond" w:hAnsi="Garamond"/>
          <w:lang w:val="en-GB"/>
        </w:rPr>
        <w:t xml:space="preserve">. Sonst sind an die Stelle akzidenteller Einflüsse konstitutionelle Momente, für die rein psychologisch gemeinte »Abwehr« ist die organische »Sexualverdrängung« eingetreten. Sollte </w:t>
      </w:r>
      <w:r w:rsidRPr="008725BE">
        <w:rPr>
          <w:rFonts w:ascii="Garamond" w:hAnsi="Garamond"/>
          <w:lang w:val="en-GB"/>
        </w:rPr>
        <w:lastRenderedPageBreak/>
        <w:t xml:space="preserve">nun jemand fragen, wo ein zwingender Beweis für die behauptete ätiologische Bedeutung sexueller Faktoren bei den Psychoneurosen zu finden sei, da man doch diese Erkrankungen auf die banalsten Gemütsbewegungen und selbst auf somatische Anlässe hin ausbrechen sieht, auf eine spezifische Ätiologie in Gestalt besonderer Kindererlebnisse verzichten muß, so nenne ich die psychoanalytische Erforschung der Neurotiker als die Quelle, aus welcher die bestrittene Überzeugung zufließt. Man erfährt, wenn man sich dieser unersetzlichen Untersuchungsmethode bedient, </w:t>
      </w:r>
      <w:r w:rsidRPr="008725BE">
        <w:rPr>
          <w:rFonts w:ascii="Garamond" w:hAnsi="Garamond"/>
          <w:i/>
          <w:iCs/>
          <w:lang w:val="en-GB"/>
        </w:rPr>
        <w:t>daß die Symptome die Sexualbetätigung der Kranken darstellen</w:t>
      </w:r>
      <w:r w:rsidRPr="008725BE">
        <w:rPr>
          <w:rFonts w:ascii="Garamond" w:hAnsi="Garamond"/>
          <w:lang w:val="en-GB"/>
        </w:rPr>
        <w:t>, die ganze oder eine partielle, aus den Quellen normaler oder perverser Partialtriebe der Sexualität. Nicht nur, daß ein guter Teil der hysterischen Symptomatologie direkt aus den Äußerungen der sexuellen Erregtheit herstammt, nicht nur, daß eine Reihe von erogenen Zonen in der Neurose in Verstärkung infantiler Eigenschaften sich zur Bedeutung von Genitalien erhebt; die kompliziertesten Symptome selbst enthüllen sich als die konvertierten Darstellungen von Phantasien, welche eine sexuelle Situation zum Inhalte haben. Wer die Sprache der Hysterie zu deuten versteht, kann vernehmen, daß die Neurose nur von der verdrängten Sexualität der Kranken handelt. Man wolle nur die Sexualfunktion in ihrem richtigen, durch die infantile Anlage umschriebenen Umfange verstehen. Wo eine banale Emotion zur Verursachung der Erkrankung gerechnet werden muß, weist die Analyse regelmäßig nach, daß die nicht fehlende sexuelle Komponente des traumatischen Erlebnisses die pathogene Wirkung ausgeübt hat.</w:t>
      </w:r>
    </w:p>
    <w:p w:rsidR="008725BE" w:rsidRPr="008725BE" w:rsidRDefault="008725BE" w:rsidP="008725BE">
      <w:pPr>
        <w:pStyle w:val="Sansinterligne"/>
        <w:rPr>
          <w:rFonts w:ascii="Garamond" w:hAnsi="Garamond"/>
          <w:lang w:val="en-GB"/>
        </w:rPr>
      </w:pPr>
      <w:r w:rsidRPr="008725BE">
        <w:rPr>
          <w:rFonts w:ascii="Garamond" w:hAnsi="Garamond"/>
          <w:lang w:val="en-GB"/>
        </w:rPr>
        <w:t>Wir sind unversehens von der Frage nach der Verursachung der Psychoneurosen zum Problem ihres Wesens vorgedrungen. Will man dem Rechnung tragen, was man durch die Psychoanalyse erfahren hat, so kann man nur sagen, das Wesen dieser Erkrankungen liege in Störungen der Sexualvorgänge, jener Vorgänge im Organismus, welche die Bildung und Verwendung der geschlechtlichen Libido bestimmen. Es ist kaum zu vermeiden, daß man sich diese Vorgänge in letzter Linie als chemische vorstelle, so daß man in den sogenannten aktuellen Neurosen die somatischen, in den Psychoneurosen außerdem noch die psychischen Wirkungen der Störungen im Sexualstoffwechsel erkennen dürfte. Die Ähnlichkeit der Neurosen mit den Intoxikations- und Abstinenzerscheinungen nach gewissen Alkaloiden, mit dem Morbus Basedowi und Morbus Addisoni drängt sich ohne weiteres klinisch auf, und so wie man diese beiden letzteren Erkrankungen nicht mehr als »Nervenkrankheiten« beschreiben darf, so werden wohl auch bald die echten »Neurosen« ihrer Namengebung zum Trotze aus dieser Klasse entfernt werden müssen.</w:t>
      </w:r>
    </w:p>
    <w:p w:rsidR="008725BE" w:rsidRPr="008725BE" w:rsidRDefault="008725BE" w:rsidP="008725BE">
      <w:pPr>
        <w:pStyle w:val="Sansinterligne"/>
        <w:rPr>
          <w:rFonts w:ascii="Garamond" w:hAnsi="Garamond"/>
          <w:lang w:val="en-GB"/>
        </w:rPr>
      </w:pPr>
      <w:r w:rsidRPr="008725BE">
        <w:rPr>
          <w:rFonts w:ascii="Garamond" w:hAnsi="Garamond"/>
          <w:lang w:val="en-GB"/>
        </w:rPr>
        <w:t>Zur Ätiologie der Neurosen gehört dann alles, was schädigend auf die der Sexualfunktion dienenden Vorgänge einwirken kann. In erster Linie also die Noxen, welche die Sexualfunktion selbst betreffen, insoferne diese von der mit Kultur und Erziehung veränderlichen Sexualkonstitution als Schädlichkeiten angenommen werden. In zweiter Linie stehen alle andersartigen Noxen und Traumen, welche sekundär durch Allgemeinschädigung des Organismus die Sexualvorgänge in demselben zu schädigen vermögen. Man vergesse aber nicht, daß das ätiologische Problem bei den Neurosen mindestens ebenso kompliziert ist wie sonst bei der Krankheitsverursachung. Eine einzige pathogene Einwirkung ist fast niemals hinreichend; zu allermeist wird eine Mehrheit von ätiologischen Momenten erfordert, die einander unterstützen, die man also nicht in Gegensatz zueinander bringen darf. Dafür ist auch der Zustand des neurotischen Krankseins von dem der Gesundheit nicht scharf geschieden. Die Erkrankung ist das Ergebnis einer Summation, und das Maß der ätiologischen Bedingungen kann von irgendeiner Seite her vollgemacht werden. Die Ätiologie der Neurosen ausschließlich in der Heredität oder in der Konstitution zu suchen, wäre keine geringere Einseitigkeit, als wenn man einzig die akzidentellen Beeinflussungen der Sexualität im Leben zur Ätiologie erheben wollte, wenn sich doch die Aufklärung ergibt, daß das Wesen dieser Erkrankungen nur in einer Störung der Sexualvorgänge im Organismus gelegen ist.</w:t>
      </w:r>
    </w:p>
    <w:p w:rsidR="008725BE" w:rsidRPr="008725BE" w:rsidRDefault="008725BE" w:rsidP="008725BE">
      <w:pPr>
        <w:pStyle w:val="Sansinterligne"/>
        <w:rPr>
          <w:rFonts w:ascii="Garamond" w:hAnsi="Garamond"/>
          <w:lang w:val="en-GB"/>
        </w:rPr>
      </w:pPr>
      <w:r w:rsidRPr="008725BE">
        <w:rPr>
          <w:rFonts w:ascii="Garamond" w:hAnsi="Garamond"/>
          <w:lang w:val="en-GB"/>
        </w:rPr>
        <w:t>Wien, im Juni 1905</w:t>
      </w:r>
    </w:p>
    <w:p w:rsidR="008725BE" w:rsidRPr="008725BE" w:rsidRDefault="008725BE" w:rsidP="008725BE">
      <w:pPr>
        <w:pStyle w:val="Sansinterligne"/>
        <w:rPr>
          <w:rFonts w:ascii="Garamond" w:hAnsi="Garamond"/>
          <w:lang w:val="en-GB"/>
        </w:rPr>
      </w:pPr>
      <w:r w:rsidRPr="008725BE">
        <w:rPr>
          <w:rFonts w:ascii="Garamond" w:hAnsi="Garamond"/>
          <w:lang w:val="en-GB"/>
        </w:rPr>
        <w:br w:type="page"/>
      </w:r>
      <w:hyperlink w:anchor="KSinhalt" w:history="1">
        <w:r w:rsidRPr="008725BE">
          <w:rPr>
            <w:rStyle w:val="Lienhypertexte"/>
            <w:rFonts w:ascii="Garamond" w:hAnsi="Garamond"/>
            <w:b/>
            <w:lang w:val="en-GB"/>
          </w:rPr>
          <w:t>Me</w:t>
        </w:r>
        <w:bookmarkStart w:id="177" w:name="KS42"/>
        <w:bookmarkEnd w:id="177"/>
        <w:r w:rsidRPr="008725BE">
          <w:rPr>
            <w:rStyle w:val="Lienhypertexte"/>
            <w:rFonts w:ascii="Garamond" w:hAnsi="Garamond"/>
            <w:b/>
            <w:lang w:val="en-GB"/>
          </w:rPr>
          <w:t>tapsychologische Ergänzung zur Traumlehre</w:t>
        </w:r>
      </w:hyperlink>
      <w:r w:rsidRPr="008725BE">
        <w:rPr>
          <w:rFonts w:ascii="Garamond" w:hAnsi="Garamond"/>
          <w:lang w:val="en-GB"/>
        </w:rPr>
        <w:t xml:space="preserve">  </w:t>
      </w:r>
      <w:r w:rsidRPr="008725BE">
        <w:rPr>
          <w:rFonts w:ascii="Garamond" w:hAnsi="Garamond"/>
          <w:caps/>
          <w:lang w:val="en-GB"/>
        </w:rPr>
        <w:t>(1915)</w:t>
      </w:r>
    </w:p>
    <w:p w:rsidR="008725BE" w:rsidRPr="008725BE" w:rsidRDefault="008725BE" w:rsidP="008725BE">
      <w:pPr>
        <w:pStyle w:val="Sansinterligne"/>
        <w:rPr>
          <w:rFonts w:ascii="Garamond" w:hAnsi="Garamond"/>
          <w:lang w:val="en-GB"/>
        </w:rPr>
      </w:pPr>
    </w:p>
    <w:p w:rsidR="008725BE" w:rsidRPr="008725BE" w:rsidRDefault="00B437A1" w:rsidP="008725BE">
      <w:pPr>
        <w:pStyle w:val="Sansinterligne"/>
        <w:rPr>
          <w:rFonts w:ascii="Garamond" w:hAnsi="Garamond"/>
          <w:lang w:val="en-GB"/>
        </w:rPr>
      </w:pPr>
      <w:hyperlink r:id="rId857" w:anchor="#" w:history="1">
        <w:r w:rsidR="008725BE" w:rsidRPr="008725BE">
          <w:rPr>
            <w:rStyle w:val="fusslink"/>
            <w:rFonts w:ascii="Garamond" w:hAnsi="Garamond" w:cs="Arial"/>
            <w:b/>
            <w:bCs/>
            <w:color w:val="003399"/>
            <w:lang w:val="en-GB"/>
          </w:rPr>
          <w:t>[Fußnote]</w:t>
        </w:r>
        <w:r w:rsidR="008725BE" w:rsidRPr="008725BE">
          <w:rPr>
            <w:rStyle w:val="innerfusslink3"/>
            <w:rFonts w:ascii="Garamond" w:hAnsi="Garamond" w:cs="Arial"/>
            <w:b/>
            <w:bCs/>
            <w:lang w:val="en-GB"/>
          </w:rPr>
          <w:t xml:space="preserve">Die beiden nachstehenden Abhandlungen [die vorliegende sowie ›Trauer und Melancholie‹] stammen aus einer Sammlung, die ich ursprünglich unter dem Titel ›Zur Vorbereitung einer Metapsychologie‹ in Buchform veröffentlichen wollte. Sie schließen an Arbeiten an, welche im III. Jahrgang der </w:t>
        </w:r>
        <w:r w:rsidR="008725BE" w:rsidRPr="008725BE">
          <w:rPr>
            <w:rStyle w:val="innerfusslink3"/>
            <w:rFonts w:ascii="Garamond" w:hAnsi="Garamond" w:cs="Arial"/>
            <w:b/>
            <w:bCs/>
            <w:i/>
            <w:iCs/>
            <w:lang w:val="en-GB"/>
          </w:rPr>
          <w:t>Intern. Zeitschrift für ärztl. Psychoanalyse</w:t>
        </w:r>
        <w:r w:rsidR="008725BE" w:rsidRPr="008725BE">
          <w:rPr>
            <w:rStyle w:val="innerfusslink3"/>
            <w:rFonts w:ascii="Garamond" w:hAnsi="Garamond" w:cs="Arial"/>
            <w:b/>
            <w:bCs/>
            <w:lang w:val="en-GB"/>
          </w:rPr>
          <w:t xml:space="preserve"> abgedruckt worden sind. (›Triebe und Triebschicksale‹ – ›Die Verdrängung‹ – ›Das Unbewußte‹). Absicht dieser Reihe ist die Klärung und Vertiefung der theoretischen Annahmen, die man einem psychoanalytischen System zugrunde legen könnte.</w:t>
        </w:r>
      </w:hyperlink>
    </w:p>
    <w:p w:rsidR="008725BE" w:rsidRPr="008725BE" w:rsidRDefault="008725BE" w:rsidP="008725BE">
      <w:pPr>
        <w:pStyle w:val="Sansinterligne"/>
        <w:rPr>
          <w:rFonts w:ascii="Garamond" w:hAnsi="Garamond"/>
          <w:caps/>
          <w:lang w:val="en-GB"/>
        </w:rPr>
      </w:pP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werden bei verschiedenen Anlässen die Erfahrung machen können, wie vorteilhaft es für unsere Forschung ist, wenn wir gewisse Zustände und Phänomene zur Vergleichung heranziehen, die man als </w:t>
      </w:r>
      <w:r w:rsidRPr="008725BE">
        <w:rPr>
          <w:rFonts w:ascii="Garamond" w:hAnsi="Garamond"/>
          <w:i/>
          <w:iCs/>
          <w:lang w:val="en-GB"/>
        </w:rPr>
        <w:t>Normalvorbilder</w:t>
      </w:r>
      <w:r w:rsidRPr="008725BE">
        <w:rPr>
          <w:rFonts w:ascii="Garamond" w:hAnsi="Garamond"/>
          <w:lang w:val="en-GB"/>
        </w:rPr>
        <w:t xml:space="preserve"> krankhafter Affektionen auffassen kann. Dahin gehören Affektzustände wie Trauer und Verliebtheit, aber auch der Zustand des Schlafes und das Phänomen des Träumens.</w:t>
      </w:r>
    </w:p>
    <w:p w:rsidR="008725BE" w:rsidRPr="008725BE" w:rsidRDefault="008725BE" w:rsidP="008725BE">
      <w:pPr>
        <w:pStyle w:val="Sansinterligne"/>
        <w:rPr>
          <w:rFonts w:ascii="Garamond" w:hAnsi="Garamond"/>
          <w:lang w:val="en-GB"/>
        </w:rPr>
      </w:pPr>
      <w:r w:rsidRPr="008725BE">
        <w:rPr>
          <w:rFonts w:ascii="Garamond" w:hAnsi="Garamond"/>
          <w:lang w:val="en-GB"/>
        </w:rPr>
        <w:t>Wir sind nicht gewöhnt, viele Gedanken daran zu knüpfen, daß der Mensch allnächtlich die Hüllen ablegt, die er über seine Haut gezogen hat, und etwa noch die Ergänzungsstücke seiner Körperorgane, soweit es ihm gelungen ist, deren Mängel durch Ersatz zu decken, also die Brille, falschen Haare, Zähne usw. Man darf hinzufügen, daß er beim Schlafengehen eine ganz analoge Entkleidung seines Psychischen vornimmt, auf die meisten seiner psychischen Erwerbungen verzichtet und so von beiden Seiten her eine außerordentliche Annäherung an die Situation herstellt, welche der Ausgang seiner Lebensentwicklung war. Das Schlafen ist somatisch eine Reaktivierung des Aufenthalts im Mutterleibe mit der Erfüllung der Bedingungen von Ruhelage, Wärme und Reizabhaltung; ja viele Menschen nehmen im Schlafe die fötale Körperhaltung wieder ein. Der psychische Zustand der Schlafenden charakterisiert sich durch nahezu völlige Zurückziehung aus der Welt der Umgebung und Einstellung alles Interesses für sie.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man die psychoneurotischen Zustände untersucht, wird man veranlaßt, in jedem derselben die sogenannten </w:t>
      </w:r>
      <w:r w:rsidRPr="008725BE">
        <w:rPr>
          <w:rFonts w:ascii="Garamond" w:hAnsi="Garamond"/>
          <w:i/>
          <w:iCs/>
          <w:lang w:val="en-GB"/>
        </w:rPr>
        <w:t>zeitlichen Regressionen</w:t>
      </w:r>
      <w:r w:rsidRPr="008725BE">
        <w:rPr>
          <w:rFonts w:ascii="Garamond" w:hAnsi="Garamond"/>
          <w:lang w:val="en-GB"/>
        </w:rPr>
        <w:t xml:space="preserve"> hervorzuheben, den Betrag des ihm eigentümlichen Rückgreifens in der Entwicklung. Man unterscheidet zwei solcher Regressionen, die der Ich- und die der Libidoentwicklung. Die letztere reicht beim Schlafzustand bis zur Herstellung des </w:t>
      </w:r>
      <w:r w:rsidRPr="008725BE">
        <w:rPr>
          <w:rFonts w:ascii="Garamond" w:hAnsi="Garamond"/>
          <w:i/>
          <w:iCs/>
          <w:lang w:val="en-GB"/>
        </w:rPr>
        <w:t>primitiven Narzißmus</w:t>
      </w:r>
      <w:r w:rsidRPr="008725BE">
        <w:rPr>
          <w:rFonts w:ascii="Garamond" w:hAnsi="Garamond"/>
          <w:lang w:val="en-GB"/>
        </w:rPr>
        <w:t xml:space="preserve">, die erstere bis zur Stufe der </w:t>
      </w:r>
      <w:r w:rsidRPr="008725BE">
        <w:rPr>
          <w:rFonts w:ascii="Garamond" w:hAnsi="Garamond"/>
          <w:i/>
          <w:iCs/>
          <w:lang w:val="en-GB"/>
        </w:rPr>
        <w:t>halluzinatorischen Wunschbefriedigung</w:t>
      </w:r>
      <w:r w:rsidRPr="008725BE">
        <w:rPr>
          <w:rFonts w:ascii="Garamond" w:hAnsi="Garamond"/>
          <w:lang w:val="en-GB"/>
        </w:rPr>
        <w:t>.</w:t>
      </w:r>
    </w:p>
    <w:p w:rsidR="008725BE" w:rsidRPr="008725BE" w:rsidRDefault="008725BE" w:rsidP="008725BE">
      <w:pPr>
        <w:pStyle w:val="Sansinterligne"/>
        <w:rPr>
          <w:rFonts w:ascii="Garamond" w:hAnsi="Garamond"/>
        </w:rPr>
      </w:pPr>
      <w:r w:rsidRPr="008725BE">
        <w:rPr>
          <w:rFonts w:ascii="Garamond" w:hAnsi="Garamond"/>
          <w:lang w:val="en-GB"/>
        </w:rPr>
        <w:t xml:space="preserve">Was man von den psychischen Charakteren des Schlafzustandes weiß, hat man natürlich durch das Studium des Traumes erfahren. Zwar zeigt uns der Traum den Menschen, insofern er nicht schläft, aber er kann doch nicht umhin, uns dabei auch Charaktere des Schlafes selbst zu verraten. Wir haben aus der Beobachtung einige Eigentümlichkeiten des Traumes kennengelernt, die wir zunächst nicht verstehen konnten und nun mit leichter Mühe einreihen können. So wissen wir, der Traum sei absolut egoistisch, und die Person, die in seinen Szenen die Hauptrolle spiele, sei immer als die eigene zu agnoszieren. </w:t>
      </w:r>
      <w:r w:rsidRPr="008725BE">
        <w:rPr>
          <w:rFonts w:ascii="Garamond" w:hAnsi="Garamond"/>
        </w:rPr>
        <w:t>Das leitet sich nun leicht begreiflicherweise von dem Narzißmus des Schlafzustandes ab. Narzißmus und Egoismus fallen ja zusammen; das Wort »Narzißmus« will nur betonen, daß der Egoismus auch ein libidinöses Phänomen sei, oder, um es anders auszudrücken, der Narzißmus kann als die libidinöse Ergänzung des Egoismus bezeichnet werden. Ebenso verständlich wird auch die allgemein anerkannte und für rätselhaft gehaltene »diagnostische« Fähigkeit des Traumes, in welchem beginnende Körperleiden oft früher und deutlicher als im Wachen verspürt werden und alle gerade aktuellen Körperempfindungen ins Riesenhafte vergrößert auftreten. Diese Vergrößerung ist hypochondrischer Natur, sie hat zur Voraussetzung, daß alle psychische Besetzung von der Außenwelt auf das eigene Ich zurückgezogen wurde, und sie ermöglicht nun die frühzeitige Erkennung von körperlichen Veränderungen, die im Wachleben noch eine Weile unbemerkt geblieben wären.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 Traum zeigt uns an, daß etwas vorging, was den Schlaf stören wollte, und gestattet uns Einsicht in die Art, wie diese Störung abgewehrt werden konnte. Am Ende hat der Schlafende geträumt und kann seinen Schlaf fortsetzen; an Stelle des inneren Anspruches, der ihn beschäftigen wollte, ist ein äußeres Erlebnis getreten, dessen Anspruch erledigt worden ist. Ein Traum ist also auch eine </w:t>
      </w:r>
      <w:r w:rsidRPr="008725BE">
        <w:rPr>
          <w:rFonts w:ascii="Garamond" w:hAnsi="Garamond"/>
          <w:i/>
          <w:iCs/>
          <w:lang w:val="en-GB"/>
        </w:rPr>
        <w:t>Projektion</w:t>
      </w:r>
      <w:r w:rsidRPr="008725BE">
        <w:rPr>
          <w:rFonts w:ascii="Garamond" w:hAnsi="Garamond"/>
          <w:lang w:val="en-GB"/>
        </w:rPr>
        <w:t>, eine Veräußerlichung eines inneren Vorganges. Wir erinnern uns, daß wir die Projektion bereits an anderer Stelle unter den Mitteln der Abwehr begegnet haben. Auch der Mechanismus der hysterischen Phobie gipfelte darin, daß das Individuum sich durch Fluchtversuche vor einer äußeren Gefahr schützen durfte, welche an die Stelle eines inneren Triebanspruches getreten war. Eine gründliche Erörterung der Projektion sparen wir uns aber auf, bis wir zur Zergliederung jener narzißtischen Affektion gekommen sind, bei welcher dieser Mechanismus die auffälligste Rolle spielt.</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Auf welche Weise kann aber der Fall herbeigeführt werden, daß die Absicht zu schlafen eine Störung erfährt? Die Störung kann von innerer Erregung oder von äußerem Reiz ausgehen. Wir wollen den minder durchsichtigen und interessanteren Fall der Störung von innen zuerst in Betracht ziehen; die Erfahrung zeigt uns als Erreger des Traumes Tagesreste, Denkbesetzungen, welche sich der allgemeinen Abziehung der Besetzungen nicht gefügt und ihr zum Trotz ein gewisses Maß von libidinösem oder anderem Interesse behalten haben. Der Narzißmus des Schlafes hat also hier von vornherein eine Ausnahme zulassen müssen, und mit dieser hebt die Traumbildung an. Diese Tagesreste lernen wir in der Analyse als latente Traumgedanken kennen und müssen sie nach ihrer Natur wie zufolge der ganzen Situation als vorbewußte Vorstellungen, als Angehörige des Systems </w:t>
      </w:r>
      <w:r w:rsidRPr="008725BE">
        <w:rPr>
          <w:rFonts w:ascii="Garamond" w:hAnsi="Garamond"/>
          <w:i/>
          <w:iCs/>
          <w:lang w:val="en-GB"/>
        </w:rPr>
        <w:t>Vbw</w:t>
      </w:r>
      <w:r w:rsidRPr="008725BE">
        <w:rPr>
          <w:rFonts w:ascii="Garamond" w:hAnsi="Garamond"/>
          <w:lang w:val="en-GB"/>
        </w:rPr>
        <w:t xml:space="preserve"> gelten lassen.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weitere Aufklärung der Traumbildung gelingt nicht ohne Überwindung gewisser Schwierigkeiten. Der Narzißmus des Schlafzustandes bedeutet ja die Abziehung der Besetzung von allen Objektvorstellungen, sowohl der unbewußten wie der vorbewußten Anteile derselben. Wenn also gewisse »Tagesreste« besetzt geblieben sind, so hat es Bedenken anzunehmen, daß diese zur Nachtzeit soviel Energie erwerben, um sich die Beachtung des Bewußtseins zu erzwingen; man ist eher geneigt anzunehmen, daß die ihnen verbliebene Besetzung um vieles schwächer ist, als die ihnen tagsüber eigen war. Die Analyse überhebt uns hier weiterer Spekulationen, indem sie uns nachweist, daß diese Tagesreste eine Verstärkung aus den Quellen unbewußter Triebregungen bekommen müssen, wenn sie als Traumbildner auftreten sollen. Diese Annahme hat zunächst keine Schwierigkeiten, denn wir müssen glauben, daß die Zensur zwischen </w:t>
      </w:r>
      <w:r w:rsidRPr="008725BE">
        <w:rPr>
          <w:rFonts w:ascii="Garamond" w:hAnsi="Garamond"/>
          <w:i/>
          <w:iCs/>
          <w:lang w:val="en-GB"/>
        </w:rPr>
        <w:t>Vbw</w:t>
      </w:r>
      <w:r w:rsidRPr="008725BE">
        <w:rPr>
          <w:rFonts w:ascii="Garamond" w:hAnsi="Garamond"/>
          <w:lang w:val="en-GB"/>
        </w:rPr>
        <w:t xml:space="preserve"> und </w:t>
      </w:r>
      <w:r w:rsidRPr="008725BE">
        <w:rPr>
          <w:rFonts w:ascii="Garamond" w:hAnsi="Garamond"/>
          <w:i/>
          <w:iCs/>
          <w:lang w:val="en-GB"/>
        </w:rPr>
        <w:t>Vbw</w:t>
      </w:r>
      <w:r w:rsidRPr="008725BE">
        <w:rPr>
          <w:rFonts w:ascii="Garamond" w:hAnsi="Garamond"/>
          <w:lang w:val="en-GB"/>
        </w:rPr>
        <w:t xml:space="preserve"> im Schlafe sehr herabgesetzt, der Verkehr zwischen beiden Systemen also eher erleichtert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Aber ein anderes Bedenken darf nicht verschwiegen werden. Wenn der narzißtische Schlafzustand die Einziehung aller Besetzungen der Systeme </w:t>
      </w:r>
      <w:r w:rsidRPr="008725BE">
        <w:rPr>
          <w:rFonts w:ascii="Garamond" w:hAnsi="Garamond"/>
          <w:i/>
          <w:iCs/>
          <w:lang w:val="en-GB"/>
        </w:rPr>
        <w:t>Ubw</w:t>
      </w:r>
      <w:r w:rsidRPr="008725BE">
        <w:rPr>
          <w:rFonts w:ascii="Garamond" w:hAnsi="Garamond"/>
          <w:lang w:val="en-GB"/>
        </w:rPr>
        <w:t xml:space="preserve"> und </w:t>
      </w:r>
      <w:r w:rsidRPr="008725BE">
        <w:rPr>
          <w:rFonts w:ascii="Garamond" w:hAnsi="Garamond"/>
          <w:i/>
          <w:iCs/>
          <w:lang w:val="en-GB"/>
        </w:rPr>
        <w:t>Vbw</w:t>
      </w:r>
      <w:r w:rsidRPr="008725BE">
        <w:rPr>
          <w:rFonts w:ascii="Garamond" w:hAnsi="Garamond"/>
          <w:lang w:val="en-GB"/>
        </w:rPr>
        <w:t xml:space="preserve"> zur Folge gehabt hat, so entfällt ja auch die Möglichkeit, daß die vorbewußten Tagesreste eine Verstärkung aus den unbewußten Triebregungen beziehen, die selbst ihre Besetzungen an das Ich abgegeben haben. Die Theorie der Traumbildung läuft hier in einen Widerspruch aus, oder sie muß durch eine Modifikation der Annahme über den Schlafnarzißmus gerettet werden.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solche einschränkende Annahme wird, wie sich später ergeben soll, auch in der Theorie der Dementia praecox unabweisbar. Sie kann nur lauten, daß der verdrängte Anteil des Systems </w:t>
      </w:r>
      <w:r w:rsidRPr="008725BE">
        <w:rPr>
          <w:rFonts w:ascii="Garamond" w:hAnsi="Garamond"/>
          <w:i/>
          <w:iCs/>
          <w:lang w:val="en-GB"/>
        </w:rPr>
        <w:t>Ubw</w:t>
      </w:r>
      <w:r w:rsidRPr="008725BE">
        <w:rPr>
          <w:rFonts w:ascii="Garamond" w:hAnsi="Garamond"/>
          <w:lang w:val="en-GB"/>
        </w:rPr>
        <w:t xml:space="preserve"> dem vom Ich ausgehenden Schlafwunsche nicht gehorcht, seine Besetzung ganz oder teilweise behält und sich überhaupt infolge der Verdrängung ein gewisses Maß von Unabhängigkeit vom Ich geschaffen hat. In weiterer Entsprechung müßte auch ein gewisser Betrag des Verdrängungsaufwandes (der </w:t>
      </w:r>
      <w:r w:rsidRPr="008725BE">
        <w:rPr>
          <w:rFonts w:ascii="Garamond" w:hAnsi="Garamond"/>
          <w:i/>
          <w:iCs/>
          <w:lang w:val="en-GB"/>
        </w:rPr>
        <w:t>Gegenbesetzung</w:t>
      </w:r>
      <w:r w:rsidRPr="008725BE">
        <w:rPr>
          <w:rFonts w:ascii="Garamond" w:hAnsi="Garamond"/>
          <w:lang w:val="en-GB"/>
        </w:rPr>
        <w:t xml:space="preserve">) die Nacht über aufrechterhalten werden, um der Triebgefahr zu begegnen, obwohl die Unzugänglichkeit aller Wege zur Affektentbindung und zur Motilität die Höhe der notwendigen Gegenbesetzung erheblich herabsetzen mag. Wir würden uns also die zur Traumbildung führende Situation folgenderart ausmalen: Der Schlafwunsch versucht alle vom Ich ausgeschickten Besetzungen einzuziehen und einen absoluten Narzißmus herzustellen. Das kann nur teilweise gelingen, denn das Verdrängte des Systems </w:t>
      </w:r>
      <w:r w:rsidRPr="008725BE">
        <w:rPr>
          <w:rFonts w:ascii="Garamond" w:hAnsi="Garamond"/>
          <w:i/>
          <w:iCs/>
          <w:lang w:val="en-GB"/>
        </w:rPr>
        <w:t>Ubw</w:t>
      </w:r>
      <w:r w:rsidRPr="008725BE">
        <w:rPr>
          <w:rFonts w:ascii="Garamond" w:hAnsi="Garamond"/>
          <w:lang w:val="en-GB"/>
        </w:rPr>
        <w:t xml:space="preserve"> folgt dem Schlafwunsche nicht. Es muß also auch ein Teil der Gegenbesetzungen aufrechterhalten werden und die Zensur zwischen </w:t>
      </w:r>
      <w:r w:rsidRPr="008725BE">
        <w:rPr>
          <w:rFonts w:ascii="Garamond" w:hAnsi="Garamond"/>
          <w:i/>
          <w:iCs/>
          <w:lang w:val="en-GB"/>
        </w:rPr>
        <w:t>Ubw</w:t>
      </w:r>
      <w:r w:rsidRPr="008725BE">
        <w:rPr>
          <w:rFonts w:ascii="Garamond" w:hAnsi="Garamond"/>
          <w:lang w:val="en-GB"/>
        </w:rPr>
        <w:t xml:space="preserve"> und </w:t>
      </w:r>
      <w:r w:rsidRPr="008725BE">
        <w:rPr>
          <w:rFonts w:ascii="Garamond" w:hAnsi="Garamond"/>
          <w:i/>
          <w:iCs/>
          <w:lang w:val="en-GB"/>
        </w:rPr>
        <w:t>Vbw</w:t>
      </w:r>
      <w:r w:rsidRPr="008725BE">
        <w:rPr>
          <w:rFonts w:ascii="Garamond" w:hAnsi="Garamond"/>
          <w:lang w:val="en-GB"/>
        </w:rPr>
        <w:t xml:space="preserve">, wenngleich nicht in voller Stärke, verbleiben. Soweit die Herrschaft des Ichs reicht, sind alle Systeme von Besetzungen entleert. Je stärker die </w:t>
      </w:r>
      <w:r w:rsidRPr="008725BE">
        <w:rPr>
          <w:rFonts w:ascii="Garamond" w:hAnsi="Garamond"/>
          <w:i/>
          <w:iCs/>
          <w:lang w:val="en-GB"/>
        </w:rPr>
        <w:t>ubw</w:t>
      </w:r>
      <w:r w:rsidRPr="008725BE">
        <w:rPr>
          <w:rFonts w:ascii="Garamond" w:hAnsi="Garamond"/>
          <w:lang w:val="en-GB"/>
        </w:rPr>
        <w:t xml:space="preserve"> Triebbesetzungen sind, desto labiler ist der Schlaf. Wir kennen auch den extremen Fall, daß das Ich den Schlafwunsch aufgibt, weil es sich unfähig fühlt, die während des Schlafes frei gewordenen verdrängten Regungen zu hemmen, mit anderen Worten, daß es auf den Schlaf verzichtet, weil es sich vor seinen Träumen fürchtet.</w:t>
      </w:r>
    </w:p>
    <w:p w:rsidR="008725BE" w:rsidRPr="008725BE" w:rsidRDefault="008725BE" w:rsidP="008725BE">
      <w:pPr>
        <w:pStyle w:val="Sansinterligne"/>
        <w:rPr>
          <w:rFonts w:ascii="Garamond" w:hAnsi="Garamond"/>
          <w:lang w:val="en-GB"/>
        </w:rPr>
      </w:pPr>
      <w:r w:rsidRPr="008725BE">
        <w:rPr>
          <w:rFonts w:ascii="Garamond" w:hAnsi="Garamond"/>
          <w:lang w:val="en-GB"/>
        </w:rPr>
        <w:t>Wir werden später die Annahme von der Widersetzlichkeit der verdrängten Regungen als eine folgenschwere schätzen lernen. Verfolgen wir nun die Situation der Traumbildung weiter.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Als zweiten Einbruch in den Narzißmus müssen wir die vorhin erwähnte Möglichkeit würdigen, daß auch einige der vorbewußten Tagesgedanken sich resistent erweisen und einen Teil ihrer Besetzung festhalten. Die beiden Fälle können im Grunde identisch sein; die Resistenz der Tagesreste mag sich auf die bereits im Wachleben bestehende Verknüpfung mit unbewußten Regungen zurückführen, oder es geht etwas weniger einfach zu, und die nicht ganz entleerten Tagesreste setzen sich erst im Schlafzustand, dank der erleichterten Kommunikation zwischen </w:t>
      </w:r>
      <w:r w:rsidRPr="008725BE">
        <w:rPr>
          <w:rFonts w:ascii="Garamond" w:hAnsi="Garamond"/>
          <w:i/>
          <w:iCs/>
          <w:lang w:val="en-GB"/>
        </w:rPr>
        <w:t>Vbw</w:t>
      </w:r>
      <w:r w:rsidRPr="008725BE">
        <w:rPr>
          <w:rFonts w:ascii="Garamond" w:hAnsi="Garamond"/>
          <w:lang w:val="en-GB"/>
        </w:rPr>
        <w:t xml:space="preserve"> und </w:t>
      </w:r>
      <w:r w:rsidRPr="008725BE">
        <w:rPr>
          <w:rFonts w:ascii="Garamond" w:hAnsi="Garamond"/>
          <w:i/>
          <w:iCs/>
          <w:lang w:val="en-GB"/>
        </w:rPr>
        <w:t>Ubw</w:t>
      </w:r>
      <w:r w:rsidRPr="008725BE">
        <w:rPr>
          <w:rFonts w:ascii="Garamond" w:hAnsi="Garamond"/>
          <w:lang w:val="en-GB"/>
        </w:rPr>
        <w:t xml:space="preserve">, mit dem Verdrängten in Beziehung. In beiden Fällen erfolgt nun der nämliche entscheidende Fortschritt der Traumbildung: Es wird der vorbewußte Traumwunsch geformt, welcher </w:t>
      </w:r>
      <w:r w:rsidRPr="008725BE">
        <w:rPr>
          <w:rFonts w:ascii="Garamond" w:hAnsi="Garamond"/>
          <w:i/>
          <w:iCs/>
          <w:lang w:val="en-GB"/>
        </w:rPr>
        <w:t>der unbewußten Regung Ausdruck gibt in dem Material der vorbewußten Tagesreste</w:t>
      </w:r>
      <w:r w:rsidRPr="008725BE">
        <w:rPr>
          <w:rFonts w:ascii="Garamond" w:hAnsi="Garamond"/>
          <w:lang w:val="en-GB"/>
        </w:rPr>
        <w:t xml:space="preserve">. Diesen Traumwunsch sollte man von den Tagesresten scharf unterscheiden; er muß im Wachleben nicht bestanden haben, er kann bereits den irrationalen Charakter zeigen, den alles Unbewußte an sich trägt, wenn man es ins Bewußte übersetzt. Der Traumwunsch darf auch nicht mit den Wunschregungen verwechselt werden, die sich möglicherweise, aber gewiß nicht notwendigerweise, unter den vorbewußten </w:t>
      </w:r>
      <w:r w:rsidRPr="008725BE">
        <w:rPr>
          <w:rFonts w:ascii="Garamond" w:hAnsi="Garamond"/>
          <w:lang w:val="en-GB"/>
        </w:rPr>
        <w:lastRenderedPageBreak/>
        <w:t>(latenten) Traumgedanken befunden haben. Hat es aber solche vorbewußte Wünsche gegeben, so gesellt sich ihnen der Traumwunsch als wirksamste Verstärkung hinzu.</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handelt sich nun um die weiteren Schicksale dieser in ihrem Wesen einen unbewußten Triebanspruch vertretenden Wunschregung, die sich im </w:t>
      </w:r>
      <w:r w:rsidRPr="008725BE">
        <w:rPr>
          <w:rFonts w:ascii="Garamond" w:hAnsi="Garamond"/>
          <w:i/>
          <w:iCs/>
          <w:lang w:val="en-GB"/>
        </w:rPr>
        <w:t>Vbw</w:t>
      </w:r>
      <w:r w:rsidRPr="008725BE">
        <w:rPr>
          <w:rFonts w:ascii="Garamond" w:hAnsi="Garamond"/>
          <w:lang w:val="en-GB"/>
        </w:rPr>
        <w:t xml:space="preserve"> als Traumwunsch (wunscherfüllende Phantasie) gebildet hat. Sie könnte ihre Erledigung auf drei verschiedenen Wegen finden, sagt uns die Überlegung. Entweder auf dem Wege, der im Wachleben der normale wäre, aus dem </w:t>
      </w:r>
      <w:r w:rsidRPr="008725BE">
        <w:rPr>
          <w:rFonts w:ascii="Garamond" w:hAnsi="Garamond"/>
          <w:i/>
          <w:iCs/>
          <w:lang w:val="en-GB"/>
        </w:rPr>
        <w:t>Vbw</w:t>
      </w:r>
      <w:r w:rsidRPr="008725BE">
        <w:rPr>
          <w:rFonts w:ascii="Garamond" w:hAnsi="Garamond"/>
          <w:lang w:val="en-GB"/>
        </w:rPr>
        <w:t xml:space="preserve"> zum Bewußtsein drängen oder sich mit Umgehung des </w:t>
      </w:r>
      <w:r w:rsidRPr="008725BE">
        <w:rPr>
          <w:rFonts w:ascii="Garamond" w:hAnsi="Garamond"/>
          <w:i/>
          <w:iCs/>
          <w:lang w:val="en-GB"/>
        </w:rPr>
        <w:t>Bw</w:t>
      </w:r>
      <w:r w:rsidRPr="008725BE">
        <w:rPr>
          <w:rFonts w:ascii="Garamond" w:hAnsi="Garamond"/>
          <w:lang w:val="en-GB"/>
        </w:rPr>
        <w:t xml:space="preserve"> direkte motorische Abfuhr schaffen, oder den unvermuteten Weg nehmen, den uns die Beobachtung wirklich verfolgen läßt. Im ersteren Falle würde sie zu einer </w:t>
      </w:r>
      <w:r w:rsidRPr="008725BE">
        <w:rPr>
          <w:rFonts w:ascii="Garamond" w:hAnsi="Garamond"/>
          <w:i/>
          <w:iCs/>
          <w:lang w:val="en-GB"/>
        </w:rPr>
        <w:t>Wahnidee</w:t>
      </w:r>
      <w:r w:rsidRPr="008725BE">
        <w:rPr>
          <w:rFonts w:ascii="Garamond" w:hAnsi="Garamond"/>
          <w:lang w:val="en-GB"/>
        </w:rPr>
        <w:t xml:space="preserve"> mit dem Inhalt der Wunscherfüllung, aber das geschieht im Schlafzustande nie. (Mit den metapsychologischen Bedingungen der seelischen Prozesse so wenig vertraut, können wir aus dieser Tatsache vielleicht den Wink entnehmen, daß die völlige Entleerung eines Systems es für Anregungen wenig ansprechbar macht.) Der zweite Fall, die direkte motorische Abfuhr, sollte durch das nämliche Prinzip ausgeschlossen sein, denn der Zugang zur Motilität liegt normalerweise noch ein Stück weiter weg von der Bewußtseinszensur, aber er kommt ausnahmsweise als </w:t>
      </w:r>
      <w:r w:rsidRPr="008725BE">
        <w:rPr>
          <w:rFonts w:ascii="Garamond" w:hAnsi="Garamond"/>
          <w:i/>
          <w:iCs/>
          <w:lang w:val="en-GB"/>
        </w:rPr>
        <w:t>Somnambulismus</w:t>
      </w:r>
      <w:r w:rsidRPr="008725BE">
        <w:rPr>
          <w:rFonts w:ascii="Garamond" w:hAnsi="Garamond"/>
          <w:lang w:val="en-GB"/>
        </w:rPr>
        <w:t xml:space="preserve"> zur Beobachtung. Wir wissen nicht, welche Bedingungen dies ermöglichen und warum er sich nicht häufiger ereignet. Was bei der Traumbildung wirklich geschieht, ist eine sehr merkwürdige und ganz unvorhergesehene Entscheidung. Der im </w:t>
      </w:r>
      <w:r w:rsidRPr="008725BE">
        <w:rPr>
          <w:rFonts w:ascii="Garamond" w:hAnsi="Garamond"/>
          <w:i/>
          <w:iCs/>
          <w:lang w:val="en-GB"/>
        </w:rPr>
        <w:t>Vbw</w:t>
      </w:r>
      <w:r w:rsidRPr="008725BE">
        <w:rPr>
          <w:rFonts w:ascii="Garamond" w:hAnsi="Garamond"/>
          <w:lang w:val="en-GB"/>
        </w:rPr>
        <w:t xml:space="preserve"> angesponnene und durch das </w:t>
      </w:r>
      <w:r w:rsidRPr="008725BE">
        <w:rPr>
          <w:rFonts w:ascii="Garamond" w:hAnsi="Garamond"/>
          <w:i/>
          <w:iCs/>
          <w:lang w:val="en-GB"/>
        </w:rPr>
        <w:t>Ubw</w:t>
      </w:r>
      <w:r w:rsidRPr="008725BE">
        <w:rPr>
          <w:rFonts w:ascii="Garamond" w:hAnsi="Garamond"/>
          <w:lang w:val="en-GB"/>
        </w:rPr>
        <w:t xml:space="preserve"> verstärkte Vorgang nimmt einen rückläufigen Weg durch das </w:t>
      </w:r>
      <w:r w:rsidRPr="008725BE">
        <w:rPr>
          <w:rFonts w:ascii="Garamond" w:hAnsi="Garamond"/>
          <w:i/>
          <w:iCs/>
          <w:lang w:val="en-GB"/>
        </w:rPr>
        <w:t>Ubw</w:t>
      </w:r>
      <w:r w:rsidRPr="008725BE">
        <w:rPr>
          <w:rFonts w:ascii="Garamond" w:hAnsi="Garamond"/>
          <w:lang w:val="en-GB"/>
        </w:rPr>
        <w:t xml:space="preserve"> zu der dem Bewußtsein sich aufdrängenden Wahrnehmung. Diese </w:t>
      </w:r>
      <w:r w:rsidRPr="008725BE">
        <w:rPr>
          <w:rFonts w:ascii="Garamond" w:hAnsi="Garamond"/>
          <w:i/>
          <w:iCs/>
          <w:lang w:val="en-GB"/>
        </w:rPr>
        <w:t>Regression</w:t>
      </w:r>
      <w:r w:rsidRPr="008725BE">
        <w:rPr>
          <w:rFonts w:ascii="Garamond" w:hAnsi="Garamond"/>
          <w:lang w:val="en-GB"/>
        </w:rPr>
        <w:t xml:space="preserve"> ist die dritte Phase der Traumbildung. Wir wiederholen hier zur Übersicht die früheren: Verstärkung der </w:t>
      </w:r>
      <w:r w:rsidRPr="008725BE">
        <w:rPr>
          <w:rFonts w:ascii="Garamond" w:hAnsi="Garamond"/>
          <w:i/>
          <w:iCs/>
          <w:lang w:val="en-GB"/>
        </w:rPr>
        <w:t>vbw</w:t>
      </w:r>
      <w:r w:rsidRPr="008725BE">
        <w:rPr>
          <w:rFonts w:ascii="Garamond" w:hAnsi="Garamond"/>
          <w:lang w:val="en-GB"/>
        </w:rPr>
        <w:t xml:space="preserve"> Tagesreste durch das </w:t>
      </w:r>
      <w:r w:rsidRPr="008725BE">
        <w:rPr>
          <w:rFonts w:ascii="Garamond" w:hAnsi="Garamond"/>
          <w:i/>
          <w:iCs/>
          <w:lang w:val="en-GB"/>
        </w:rPr>
        <w:t>Ubw</w:t>
      </w:r>
      <w:r w:rsidRPr="008725BE">
        <w:rPr>
          <w:rFonts w:ascii="Garamond" w:hAnsi="Garamond"/>
          <w:lang w:val="en-GB"/>
        </w:rPr>
        <w:t xml:space="preserve"> – Herstellung des Traumwunsches.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heißen eine solche Regression eine </w:t>
      </w:r>
      <w:r w:rsidRPr="008725BE">
        <w:rPr>
          <w:rFonts w:ascii="Garamond" w:hAnsi="Garamond"/>
          <w:i/>
          <w:iCs/>
          <w:lang w:val="en-GB"/>
        </w:rPr>
        <w:t>topische</w:t>
      </w:r>
      <w:r w:rsidRPr="008725BE">
        <w:rPr>
          <w:rFonts w:ascii="Garamond" w:hAnsi="Garamond"/>
          <w:lang w:val="en-GB"/>
        </w:rPr>
        <w:t xml:space="preserve"> zum Unterschied von der vorhin erwähnten </w:t>
      </w:r>
      <w:r w:rsidRPr="008725BE">
        <w:rPr>
          <w:rFonts w:ascii="Garamond" w:hAnsi="Garamond"/>
          <w:i/>
          <w:iCs/>
          <w:lang w:val="en-GB"/>
        </w:rPr>
        <w:t>zeitlichen</w:t>
      </w:r>
      <w:r w:rsidRPr="008725BE">
        <w:rPr>
          <w:rFonts w:ascii="Garamond" w:hAnsi="Garamond"/>
          <w:lang w:val="en-GB"/>
        </w:rPr>
        <w:t xml:space="preserve"> oder entwicklungsgeschichtlichen. Die beiden müssen nicht immer zusammenfallen, tun es aber gerade in dem uns vorliegenden Beispiele. Die Rückwendung des Ablaufes der Erregung vom </w:t>
      </w:r>
      <w:r w:rsidRPr="008725BE">
        <w:rPr>
          <w:rFonts w:ascii="Garamond" w:hAnsi="Garamond"/>
          <w:i/>
          <w:iCs/>
          <w:lang w:val="en-GB"/>
        </w:rPr>
        <w:t>Vbw</w:t>
      </w:r>
      <w:r w:rsidRPr="008725BE">
        <w:rPr>
          <w:rFonts w:ascii="Garamond" w:hAnsi="Garamond"/>
          <w:lang w:val="en-GB"/>
        </w:rPr>
        <w:t xml:space="preserve"> durch das </w:t>
      </w:r>
      <w:r w:rsidRPr="008725BE">
        <w:rPr>
          <w:rFonts w:ascii="Garamond" w:hAnsi="Garamond"/>
          <w:i/>
          <w:iCs/>
          <w:lang w:val="en-GB"/>
        </w:rPr>
        <w:t>Ubw</w:t>
      </w:r>
      <w:r w:rsidRPr="008725BE">
        <w:rPr>
          <w:rFonts w:ascii="Garamond" w:hAnsi="Garamond"/>
          <w:lang w:val="en-GB"/>
        </w:rPr>
        <w:t xml:space="preserve"> zur Wahrnehmung ist gleichzeitig die Rückkehr zu der frühen Stufe der halluzinatorischen Wunscherfüllung.</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aus der </w:t>
      </w:r>
      <w:r w:rsidRPr="008725BE">
        <w:rPr>
          <w:rFonts w:ascii="Garamond" w:hAnsi="Garamond"/>
          <w:i/>
          <w:iCs/>
          <w:lang w:val="en-GB"/>
        </w:rPr>
        <w:t>Traumdeutung</w:t>
      </w:r>
      <w:r w:rsidRPr="008725BE">
        <w:rPr>
          <w:rFonts w:ascii="Garamond" w:hAnsi="Garamond"/>
          <w:lang w:val="en-GB"/>
        </w:rPr>
        <w:t xml:space="preserve"> bekannt, in welcher Weise die Regression der vorbewußten Tagesreste bei der Traumbildung vor sich geht. Gedanken werden dabei in – vorwiegend visuelle – Bilder umgesetzt, also Wortvorstellungen auf die ihnen entsprechenden Sachvorstellungen zurückgeführt, im ganzen so, als ob eine Rücksicht auf </w:t>
      </w:r>
      <w:r w:rsidRPr="008725BE">
        <w:rPr>
          <w:rFonts w:ascii="Garamond" w:hAnsi="Garamond"/>
          <w:i/>
          <w:iCs/>
          <w:lang w:val="en-GB"/>
        </w:rPr>
        <w:t>Darstellbarkeit</w:t>
      </w:r>
      <w:r w:rsidRPr="008725BE">
        <w:rPr>
          <w:rFonts w:ascii="Garamond" w:hAnsi="Garamond"/>
          <w:lang w:val="en-GB"/>
        </w:rPr>
        <w:t xml:space="preserve"> den Prozeß beherrschen würde. Nach vollzogener Regression erübrigt eine Reihe von Besetzungen im System </w:t>
      </w:r>
      <w:r w:rsidRPr="008725BE">
        <w:rPr>
          <w:rFonts w:ascii="Garamond" w:hAnsi="Garamond"/>
          <w:i/>
          <w:iCs/>
          <w:lang w:val="en-GB"/>
        </w:rPr>
        <w:t>Ubw</w:t>
      </w:r>
      <w:r w:rsidRPr="008725BE">
        <w:rPr>
          <w:rFonts w:ascii="Garamond" w:hAnsi="Garamond"/>
          <w:lang w:val="en-GB"/>
        </w:rPr>
        <w:t xml:space="preserve">, Besetzungen von Sacherinnerungen, auf welche der psychische Primärvorgang einwirkt, bis er durch deren Verdichtung und Verschiebung der Besetzungen zwischen ihnen den manifesten Trauminhalt gestaltet hat. Nur wo die Wortvorstellungen in den Tagesresten frische, aktuelle Reste von Wahrnehmungen sind, nicht Gedankenausdruck, werden sie wie Sachvorstellungen behandelt und unterliegen an sich den Einflüssen der Verdichtung und Verschiebung. Daher die in der </w:t>
      </w:r>
      <w:r w:rsidRPr="008725BE">
        <w:rPr>
          <w:rFonts w:ascii="Garamond" w:hAnsi="Garamond"/>
          <w:i/>
          <w:iCs/>
          <w:lang w:val="en-GB"/>
        </w:rPr>
        <w:t>Traumdeutung</w:t>
      </w:r>
      <w:r w:rsidRPr="008725BE">
        <w:rPr>
          <w:rFonts w:ascii="Garamond" w:hAnsi="Garamond"/>
          <w:lang w:val="en-GB"/>
        </w:rPr>
        <w:t xml:space="preserve"> gegebene, seither zur Evidenz bestätigte Regel, daß Worte und Reden im Trauminhalt nicht neugebildet, sondern Reden des Traumtages (oder sonstigen frischen Eindrücken, auch aus Gelesenem) nachgebildet werden. Es ist sehr bemerkenswert, wie wenig die Traumarbeit an den Wortvorstellungen festhält; sie ist jederzeit bereit, die Worte miteinander zu vertauschen, bis sie jenen Ausdruck findet, welcher der plastischen Darstellung die günstigste Handhabe bietet </w:t>
      </w:r>
      <w:hyperlink r:id="rId85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Der Rücksicht auf Darstellbarkeit schreibe ich auch die von Silberer betonte und vielleicht von ihm überschätzte Tatsache zu, daß manche Träume zwei gleichzeitig zutreffende und doch wesensverschiedene Deutungen gestatten, von denen Silberer die eine die </w:t>
        </w:r>
        <w:r w:rsidRPr="008725BE">
          <w:rPr>
            <w:rStyle w:val="innerfusslink3"/>
            <w:rFonts w:ascii="Garamond" w:hAnsi="Garamond" w:cs="Arial"/>
            <w:b/>
            <w:bCs/>
            <w:i/>
            <w:iCs/>
            <w:lang w:val="en-GB"/>
          </w:rPr>
          <w:t>analytische</w:t>
        </w:r>
        <w:r w:rsidRPr="008725BE">
          <w:rPr>
            <w:rStyle w:val="innerfusslink3"/>
            <w:rFonts w:ascii="Garamond" w:hAnsi="Garamond" w:cs="Arial"/>
            <w:b/>
            <w:bCs/>
            <w:lang w:val="en-GB"/>
          </w:rPr>
          <w:t xml:space="preserve">, die andere die </w:t>
        </w:r>
        <w:r w:rsidRPr="008725BE">
          <w:rPr>
            <w:rStyle w:val="innerfusslink3"/>
            <w:rFonts w:ascii="Garamond" w:hAnsi="Garamond" w:cs="Arial"/>
            <w:b/>
            <w:bCs/>
            <w:i/>
            <w:iCs/>
            <w:lang w:val="en-GB"/>
          </w:rPr>
          <w:t>anagogische</w:t>
        </w:r>
        <w:r w:rsidRPr="008725BE">
          <w:rPr>
            <w:rStyle w:val="innerfusslink3"/>
            <w:rFonts w:ascii="Garamond" w:hAnsi="Garamond" w:cs="Arial"/>
            <w:b/>
            <w:bCs/>
            <w:lang w:val="en-GB"/>
          </w:rPr>
          <w:t xml:space="preserve"> heißt. Es handelt sich dann immer um Gedanken von sehr abstrakter Natur, die der Darstellung im Traume große Schwierigkeiten bereiten mußten. Man halte sich zum Vergleiche etwa die Aufgabe vor, den Leitartikel einer politischen Zeitung durch Illustrationen zu ersetzen! In solchen Fällen muß die Traumarbeit den abstrakten Gedankentext erst durch einen konkreteren ersetzen, welcher mit ihm irgendwie durch Vergleich, Symbolik, allegorische Anspielung, am besten aber genetisch verknüpft ist und der nun an seiner Stelle Material der Traumarbeit wird. Die abstrakten Gedanken ergeben die sogenannte anagogische Deutung, die wir bei der Deutungsarbeit leichter erraten als die eigentlich analytische. Nach einer richtigen Bemerkung von O. Rank sind gewisse Kurträume von analytisch behandelten Patienten die besten Vorbilder für die Auffassung solcher Träume mit mehrfacher Deutung.</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diesem Punkte zeigt sich nun der entscheidende Unterschied zwischen der Traumarbeit und der Schizophrenie. Bei letzterer werden die Worte selbst, in denen der vorbewußte Gedanke ausgedrückt war, Gegenstand der Bearbeitung durch den Primärvorgang; im Traume sind es nicht die Worte, sondern die Sachvorstellungen, auf welche die Worte zurückgeführt wurden. Der Traum kennt eine topische Regression, die Schizophrenie nicht; beim Traume ist der Verkehr zwischen ( </w:t>
      </w:r>
      <w:r w:rsidRPr="008725BE">
        <w:rPr>
          <w:rFonts w:ascii="Garamond" w:hAnsi="Garamond"/>
          <w:i/>
          <w:iCs/>
          <w:lang w:val="en-GB"/>
        </w:rPr>
        <w:t>vbw</w:t>
      </w:r>
      <w:r w:rsidRPr="008725BE">
        <w:rPr>
          <w:rFonts w:ascii="Garamond" w:hAnsi="Garamond"/>
          <w:lang w:val="en-GB"/>
        </w:rPr>
        <w:t xml:space="preserve">) Wortbesetzungen und ( </w:t>
      </w:r>
      <w:r w:rsidRPr="008725BE">
        <w:rPr>
          <w:rFonts w:ascii="Garamond" w:hAnsi="Garamond"/>
          <w:i/>
          <w:iCs/>
          <w:lang w:val="en-GB"/>
        </w:rPr>
        <w:lastRenderedPageBreak/>
        <w:t>ubw</w:t>
      </w:r>
      <w:r w:rsidRPr="008725BE">
        <w:rPr>
          <w:rFonts w:ascii="Garamond" w:hAnsi="Garamond"/>
          <w:lang w:val="en-GB"/>
        </w:rPr>
        <w:t>) Sachbesetzungen frei; für die Schizophrenie bleibt charakteristisch, daß er abgesperrt ist. Der Eindruck dieser Verschiedenheit wird gerade durch die Traumdeutungen, die wir in der psychoanalytischen Praxis vornehmen, abgeschwächt. Indem die Traumdeutung den Verlauf der Traumarbeit aufspürt, die Wege verfolgt, die von den latenten Gedanken zu den Traumelementen führen, die Ausbeutung der Wortzweideutigkeiten aufdeckt und die Wortbrücken zwischen verschiedenen Materialkreisen nachweist, macht sie einen bald witzigen, bald schizophrenen Eindruck und läßt uns daran vergessen, daß alle Operationen an Worten für den Traum nur Vorbereitung zur Sachregression sind.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Vollendung des Traumvorganges liegt darin, daß der regressiv verwandelte, zu einer Wunschphantasie umgearbeitete Gedankeninhalt als sinnliche Wahrnehmung bewußt wird, wobei er die sekundäre Bearbeitung erfährt, welcher jeder Wahrnehmungsinhalt unterliegt. Wir sagen, der Traumwunsch wird </w:t>
      </w:r>
      <w:r w:rsidRPr="008725BE">
        <w:rPr>
          <w:rFonts w:ascii="Garamond" w:hAnsi="Garamond"/>
          <w:i/>
          <w:iCs/>
          <w:lang w:val="en-GB"/>
        </w:rPr>
        <w:t>halluziniert</w:t>
      </w:r>
      <w:r w:rsidRPr="008725BE">
        <w:rPr>
          <w:rFonts w:ascii="Garamond" w:hAnsi="Garamond"/>
          <w:lang w:val="en-GB"/>
        </w:rPr>
        <w:t xml:space="preserve"> und findet als Halluzination den Glauben an die Realität seiner Erfüllung. Gerade an dieses abschließende Stück der Traumbildung knüpfen sich die stärksten Unsicherheiten, zu deren Klärung wir den Traum in Vergleich mit ihm verwandten pathologischen Zuständen bringen wollen.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Bildung der Wunschphantasie und deren Regression zur Halluzination sind die wesentlichsten Stücke der Traumarbeit, doch kommen sie ihm nicht ausschließend zu. Vielmehr finden sie sich ebenso bei zwei krankhaften Zuständen, bei der akuten halluzinatorischen Verworrenheit, der </w:t>
      </w:r>
      <w:r w:rsidRPr="008725BE">
        <w:rPr>
          <w:rFonts w:ascii="Garamond" w:hAnsi="Garamond"/>
          <w:i/>
          <w:iCs/>
          <w:lang w:val="en-GB"/>
        </w:rPr>
        <w:t>Amentia</w:t>
      </w:r>
      <w:r w:rsidRPr="008725BE">
        <w:rPr>
          <w:rFonts w:ascii="Garamond" w:hAnsi="Garamond"/>
          <w:lang w:val="en-GB"/>
        </w:rPr>
        <w:t xml:space="preserve"> (Meynerts), und in der halluzinatorischen Phase der Schizophrenie. Das halluzinatorische Delir der Amentia ist eine deutlich kennbare Wunschphantasie, oft völlig geordnet wie ein schöner Tagtraum. Man könnte ganz allgemein von einer </w:t>
      </w:r>
      <w:r w:rsidRPr="008725BE">
        <w:rPr>
          <w:rFonts w:ascii="Garamond" w:hAnsi="Garamond"/>
          <w:i/>
          <w:iCs/>
          <w:lang w:val="en-GB"/>
        </w:rPr>
        <w:t>halluzinatorischen Wunschpsychose</w:t>
      </w:r>
      <w:r w:rsidRPr="008725BE">
        <w:rPr>
          <w:rFonts w:ascii="Garamond" w:hAnsi="Garamond"/>
          <w:lang w:val="en-GB"/>
        </w:rPr>
        <w:t xml:space="preserve"> sprechen und sie dem Traume wie der Amentia in gleicher Weise zuerkennen. Es kommen auch Träume vor, welche aus nichts anderem als aus sehr reichhaltigen, unentstellten Wunschphantasien bestehen. Die halluzinatorische Phase der Schizophrenie ist minder gut studiert; sie scheint in der Regel zusammengesetzter Natur zu sein, dürfte aber im wesentlichen einem neuen Restitutionsversuch entsprechen, der die libidinöse Besetzung zu den Objektvorstellungen zurückbringen will </w:t>
      </w:r>
      <w:hyperlink r:id="rId85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Als ersten solchen Versuch haben wir in der Abhandlung über das ›Unbewußte‹ die Überbesetzung der Wortvorstellungen kennengelernt.</w:t>
        </w:r>
      </w:hyperlink>
      <w:r w:rsidRPr="008725BE">
        <w:rPr>
          <w:rFonts w:ascii="Garamond" w:hAnsi="Garamond"/>
          <w:lang w:val="en-GB"/>
        </w:rPr>
        <w:t>. Die anderen halluzinatorischen Zustände bei mannigfaltigen pathologischen Affektionen kann ich nicht zum Vergleich heranziehen, weil ich hier weder über eigene Erfahrung verfüge noch die anderer verwerten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Machen wir uns klar, daß die halluzinatorische Wunschpsychose – im Traume oder anderwärts – zwei keineswegs ineinanderfallende Leistungen vollzieht. Sie bringt nicht nur verborgene oder verdrängte Wünsche zum Bewußtsein, sondern stellt sie auch unter vollem Glauben als erfüllt dar. Es gilt dieses Zusammentreffen zu verstehen. Man kann keineswegs behaupten, die unbewußten Wünsche müßten für Realitäten gehalten werden, nachdem sie einmal bewußt geworden sind, denn unser Urteil ist bekanntermaßen sehr wohl imstande, Wirklichkeiten von noch so intensiven Vorstellungen und Wünschen zu unterscheiden. Dagegen scheint es gerechtfertigt anzunehmen, daß der Realitätsglaube an die Wahrnehmung durch die Sinne geknüpft ist. Wenn einmal ein Gedanke den Weg zur Regression bis zu den unbewußten Objekterinnerungsspuren und von da bis zur Wahrnehmung gefunden hat, so anerkennen wir seine Wahrnehmung als real. Die Halluzination bringt also den Realitätsglauben mit sich. Es fragt sich nun, welches die Bedingung für das Zustandekommen einer Halluzination ist. Die erste Antwort würde lauten: Die Regression, und somit die Frage nach der Entstehung der Halluzination durch die nach dem Mechanismus der Regression ersetzen. Die Antwort darauf brauchten wir für den Traum nicht lange schuldig zu bleiben. Die Regression der </w:t>
      </w:r>
      <w:r w:rsidRPr="008725BE">
        <w:rPr>
          <w:rFonts w:ascii="Garamond" w:hAnsi="Garamond"/>
          <w:i/>
          <w:iCs/>
          <w:lang w:val="en-GB"/>
        </w:rPr>
        <w:t>vbw</w:t>
      </w:r>
      <w:r w:rsidRPr="008725BE">
        <w:rPr>
          <w:rFonts w:ascii="Garamond" w:hAnsi="Garamond"/>
          <w:lang w:val="en-GB"/>
        </w:rPr>
        <w:t xml:space="preserve"> Traumgedanken zu den Sacherinnerungsbildern ist offenbar die Folge der Anziehung, welche diese </w:t>
      </w:r>
      <w:r w:rsidRPr="008725BE">
        <w:rPr>
          <w:rFonts w:ascii="Garamond" w:hAnsi="Garamond"/>
          <w:i/>
          <w:iCs/>
          <w:lang w:val="en-GB"/>
        </w:rPr>
        <w:t>ubw</w:t>
      </w:r>
      <w:r w:rsidRPr="008725BE">
        <w:rPr>
          <w:rFonts w:ascii="Garamond" w:hAnsi="Garamond"/>
          <w:lang w:val="en-GB"/>
        </w:rPr>
        <w:t xml:space="preserve"> Triebrepräsentanzen – z. B. verdrängte Erlebniserinnerungen – auf die in Worte gefaßten Gedanken ausüben. Allein wir merken bald, daß wir auf falsche Fährte geraten sind. Wäre das Geheimnis der Halluzination kein anderes als das der Regression, so müßte jede genug intensive Regression eine Halluzination mit Realitätsglauben ergeben. Wir kennen aber sehr wohl die Fälle, in denen ein regressives Nachdenken sehr deutliche visuelle Erinnerungsbilder zum Bewußtsein bringt, die wir darum keinen Augenblick für reale Wahrnehmung halten. Wir könnten uns auch sehr wohl vorstellen, daß die Traumarbeit bis zu solchen Erinnerungsbildern vordringt, uns die bisher unbewußten bewußtmacht und uns eine Wunschphantasie vorspiegelt, die wir sehnsüchtig empfinden, aber nicht als die reale Erfüllung des Wunsches anerkennen würden. Die Halluzination muß also mehr sein als die regressive Belebung der an sich </w:t>
      </w:r>
      <w:r w:rsidRPr="008725BE">
        <w:rPr>
          <w:rFonts w:ascii="Garamond" w:hAnsi="Garamond"/>
          <w:i/>
          <w:iCs/>
          <w:lang w:val="en-GB"/>
        </w:rPr>
        <w:t>ubw</w:t>
      </w:r>
      <w:r w:rsidRPr="008725BE">
        <w:rPr>
          <w:rFonts w:ascii="Garamond" w:hAnsi="Garamond"/>
          <w:lang w:val="en-GB"/>
        </w:rPr>
        <w:t xml:space="preserve"> Erinnerungsbilder.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Halten wir uns noch vor, daß es von großer praktischer Bedeutung ist, Wahrnehmungen von noch so intensiv erinnerten Vorstellungen zu unterscheiden. Unser ganzes Verhältnis zur Außenwelt, zur Realität, hängt von dieser Fähigkeit ab. Wir haben die Fiktion aufgestellt, daß wir diese Fähigkeit nicht immer besaßen und daß wir zu Anfang unseres Seelenlebens wirklich das befriedigende Objekt halluzinierten, wenn wir das Bedürfnis nach ihm verspürten. Aber die Befriedigung blieb in solchem Falle aus, und der </w:t>
      </w:r>
      <w:r w:rsidRPr="008725BE">
        <w:rPr>
          <w:rFonts w:ascii="Garamond" w:hAnsi="Garamond"/>
          <w:lang w:val="en-GB"/>
        </w:rPr>
        <w:lastRenderedPageBreak/>
        <w:t xml:space="preserve">Mißerfolg muß uns sehr bald bewogen haben, eine Einrichtung zu schaffen, mit deren Hilfe eine solche Wunschwahrnehmung von einer realen Erfüllung unterschieden und im weiteren vermieden werden konnte. Wir haben mit anderen Worten sehr frühzeitig die halluzinatorische Wunschbefriedigung aufgegeben und eine Art der </w:t>
      </w:r>
      <w:r w:rsidRPr="008725BE">
        <w:rPr>
          <w:rFonts w:ascii="Garamond" w:hAnsi="Garamond"/>
          <w:i/>
          <w:iCs/>
          <w:lang w:val="en-GB"/>
        </w:rPr>
        <w:t>Realitätsprüfung</w:t>
      </w:r>
      <w:r w:rsidRPr="008725BE">
        <w:rPr>
          <w:rFonts w:ascii="Garamond" w:hAnsi="Garamond"/>
          <w:lang w:val="en-GB"/>
        </w:rPr>
        <w:t xml:space="preserve"> eingerichtet. Die Frage erhebt sich nun, worin bestand diese Realitätsprüfung, und wie bringt es die halluzinatorische Wunschpsychose des Traumes und der Amentia u. dgl. zustande, sie aufzuheben und den alten Modus der Befriedigung wiederherzustellen.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Antwort läßt sich geben, wenn wir nun darangehen, das dritte unserer psychischen Systeme, das System </w:t>
      </w:r>
      <w:r w:rsidRPr="008725BE">
        <w:rPr>
          <w:rFonts w:ascii="Garamond" w:hAnsi="Garamond"/>
          <w:i/>
          <w:iCs/>
          <w:lang w:val="en-GB"/>
        </w:rPr>
        <w:t>Bw,</w:t>
      </w:r>
      <w:r w:rsidRPr="008725BE">
        <w:rPr>
          <w:rFonts w:ascii="Garamond" w:hAnsi="Garamond"/>
          <w:lang w:val="en-GB"/>
        </w:rPr>
        <w:t xml:space="preserve"> welches wir bisher vom </w:t>
      </w:r>
      <w:r w:rsidRPr="008725BE">
        <w:rPr>
          <w:rFonts w:ascii="Garamond" w:hAnsi="Garamond"/>
          <w:i/>
          <w:iCs/>
          <w:lang w:val="en-GB"/>
        </w:rPr>
        <w:t>Vbw</w:t>
      </w:r>
      <w:r w:rsidRPr="008725BE">
        <w:rPr>
          <w:rFonts w:ascii="Garamond" w:hAnsi="Garamond"/>
          <w:lang w:val="en-GB"/>
        </w:rPr>
        <w:t xml:space="preserve"> nicht scharf gesondert haben, näher zu bestimmen. Wir haben uns schon in der </w:t>
      </w:r>
      <w:r w:rsidRPr="008725BE">
        <w:rPr>
          <w:rFonts w:ascii="Garamond" w:hAnsi="Garamond"/>
          <w:i/>
          <w:iCs/>
          <w:lang w:val="en-GB"/>
        </w:rPr>
        <w:t>Traumdeutung</w:t>
      </w:r>
      <w:r w:rsidRPr="008725BE">
        <w:rPr>
          <w:rFonts w:ascii="Garamond" w:hAnsi="Garamond"/>
          <w:lang w:val="en-GB"/>
        </w:rPr>
        <w:t xml:space="preserve"> entschließen müssen, die bewußte Wahrnehmung als die Leistung eines besonderen Systems in Anspruch zu nehmen, dem wir gewisse merkwürdige Eigenschaften zugeschrieben haben und mit guten Gründen noch weitere Charaktere beilegen werden. Dieses dort </w:t>
      </w:r>
      <w:r w:rsidRPr="008725BE">
        <w:rPr>
          <w:rFonts w:ascii="Garamond" w:hAnsi="Garamond"/>
          <w:i/>
          <w:iCs/>
          <w:lang w:val="en-GB"/>
        </w:rPr>
        <w:t>W</w:t>
      </w:r>
      <w:r w:rsidRPr="008725BE">
        <w:rPr>
          <w:rFonts w:ascii="Garamond" w:hAnsi="Garamond"/>
          <w:lang w:val="en-GB"/>
        </w:rPr>
        <w:t xml:space="preserve"> genannte System bringen wir zur Deckung mit dem System </w:t>
      </w:r>
      <w:r w:rsidRPr="008725BE">
        <w:rPr>
          <w:rFonts w:ascii="Garamond" w:hAnsi="Garamond"/>
          <w:i/>
          <w:iCs/>
          <w:lang w:val="en-GB"/>
        </w:rPr>
        <w:t>Bw</w:t>
      </w:r>
      <w:r w:rsidRPr="008725BE">
        <w:rPr>
          <w:rFonts w:ascii="Garamond" w:hAnsi="Garamond"/>
          <w:lang w:val="en-GB"/>
        </w:rPr>
        <w:t xml:space="preserve">, an dessen Arbeit in der Regel das Bewußtwerden hängt. Noch immer aber deckt sich die Tatsache des Bewußtwerdens nicht völlig mit der Systemzugehörigkeit, denn wir haben ja erfahren, daß sinnliche Erinnerungsbilder bemerkt werden können, denen wir unmöglich einen psychischen Ort im System </w:t>
      </w:r>
      <w:r w:rsidRPr="008725BE">
        <w:rPr>
          <w:rFonts w:ascii="Garamond" w:hAnsi="Garamond"/>
          <w:i/>
          <w:iCs/>
          <w:lang w:val="en-GB"/>
        </w:rPr>
        <w:t>Bw</w:t>
      </w:r>
      <w:r w:rsidRPr="008725BE">
        <w:rPr>
          <w:rFonts w:ascii="Garamond" w:hAnsi="Garamond"/>
          <w:lang w:val="en-GB"/>
        </w:rPr>
        <w:t xml:space="preserve"> oder </w:t>
      </w:r>
      <w:r w:rsidRPr="008725BE">
        <w:rPr>
          <w:rFonts w:ascii="Garamond" w:hAnsi="Garamond"/>
          <w:i/>
          <w:iCs/>
          <w:lang w:val="en-GB"/>
        </w:rPr>
        <w:t>W</w:t>
      </w:r>
      <w:r w:rsidRPr="008725BE">
        <w:rPr>
          <w:rFonts w:ascii="Garamond" w:hAnsi="Garamond"/>
          <w:lang w:val="en-GB"/>
        </w:rPr>
        <w:t xml:space="preserve"> zugestehen können. Allein die Behandlung dieser Schwierigkeit darf wiederum aufgeschoben werden, bis wir das System </w:t>
      </w:r>
      <w:r w:rsidRPr="008725BE">
        <w:rPr>
          <w:rFonts w:ascii="Garamond" w:hAnsi="Garamond"/>
          <w:i/>
          <w:iCs/>
          <w:lang w:val="en-GB"/>
        </w:rPr>
        <w:t>Bw</w:t>
      </w:r>
      <w:r w:rsidRPr="008725BE">
        <w:rPr>
          <w:rFonts w:ascii="Garamond" w:hAnsi="Garamond"/>
          <w:lang w:val="en-GB"/>
        </w:rPr>
        <w:t xml:space="preserve"> selbst als Mittelpunkt unseres Interesses einstellen können. Für unseren gegenwärtigen Zusammenhang darf uns die Annahme gestattet werden, daß die Halluzination in einer Besetzung des Systems </w:t>
      </w:r>
      <w:r w:rsidRPr="008725BE">
        <w:rPr>
          <w:rFonts w:ascii="Garamond" w:hAnsi="Garamond"/>
          <w:i/>
          <w:iCs/>
          <w:lang w:val="en-GB"/>
        </w:rPr>
        <w:t>Bw</w:t>
      </w:r>
      <w:r w:rsidRPr="008725BE">
        <w:rPr>
          <w:rFonts w:ascii="Garamond" w:hAnsi="Garamond"/>
          <w:lang w:val="en-GB"/>
        </w:rPr>
        <w:t xml:space="preserve"> ( </w:t>
      </w:r>
      <w:r w:rsidRPr="008725BE">
        <w:rPr>
          <w:rFonts w:ascii="Garamond" w:hAnsi="Garamond"/>
          <w:i/>
          <w:iCs/>
          <w:lang w:val="en-GB"/>
        </w:rPr>
        <w:t>W</w:t>
      </w:r>
      <w:r w:rsidRPr="008725BE">
        <w:rPr>
          <w:rFonts w:ascii="Garamond" w:hAnsi="Garamond"/>
          <w:lang w:val="en-GB"/>
        </w:rPr>
        <w:t>) besteht, die aber nicht wie normal von außen, sondern von innen her erfolgt, und daß sie zur Bedingung hat, die Regression müsse so weit gehen, daß sie dies System selbst erreicht und sich dabei über die Realitätsprüfung hinaussetzen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haben in einem früheren Zusammenhang (›Triebe und Triebschicksale‹) für den noch hilflosen Organismus die Fähigkeit in Anspruch genommen, mittels seiner Wahrnehmungen eine erste Orientierung in der Welt zu schaffen, indem er »außen« und »innen« nach der Beziehung zu einer Muskelaktion unterscheidet. Eine Wahrnehmung, die durch eine Aktion zum Verschwinden gebracht wird, ist als eine äußere, als Realität erkannt; wo solche Aktion nichts ändert, kommt die Wahrnehmung aus dem eigenen Körperinnern, sie ist nicht real. Es ist dem Individuum wertvoll, daß es ein solches Kennzeichen der Realität besitzt, welches gleichzeitig eine Abhilfe gegen sie bedeutet, und es wollte gern mit ähnlicher Macht gegen seine oft unerbittlichen Triebansprüche ausgestattet sein. Darum wendet es solche Mühe daran, was ihm von innen her beschwerlich wird, nach außen zu versetzen, zu </w:t>
      </w:r>
      <w:r w:rsidRPr="008725BE">
        <w:rPr>
          <w:rFonts w:ascii="Garamond" w:hAnsi="Garamond"/>
          <w:i/>
          <w:iCs/>
          <w:lang w:val="en-GB"/>
        </w:rPr>
        <w:t>projizieren</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 Leistung der Orientierung in der Welt durch Unterscheidung von innen und außen müssen wir nun nach einer eingehenden Zergliederung des seelischen Apparates dem System </w:t>
      </w:r>
      <w:r w:rsidRPr="008725BE">
        <w:rPr>
          <w:rFonts w:ascii="Garamond" w:hAnsi="Garamond"/>
          <w:i/>
          <w:iCs/>
          <w:lang w:val="en-GB"/>
        </w:rPr>
        <w:t>Bw</w:t>
      </w:r>
      <w:r w:rsidRPr="008725BE">
        <w:rPr>
          <w:rFonts w:ascii="Garamond" w:hAnsi="Garamond"/>
          <w:lang w:val="en-GB"/>
        </w:rPr>
        <w:t xml:space="preserve"> ( </w:t>
      </w:r>
      <w:r w:rsidRPr="008725BE">
        <w:rPr>
          <w:rFonts w:ascii="Garamond" w:hAnsi="Garamond"/>
          <w:i/>
          <w:iCs/>
          <w:lang w:val="en-GB"/>
        </w:rPr>
        <w:t>W</w:t>
      </w:r>
      <w:r w:rsidRPr="008725BE">
        <w:rPr>
          <w:rFonts w:ascii="Garamond" w:hAnsi="Garamond"/>
          <w:lang w:val="en-GB"/>
        </w:rPr>
        <w:t xml:space="preserve">) allein zuschreiben. </w:t>
      </w:r>
      <w:r w:rsidRPr="008725BE">
        <w:rPr>
          <w:rFonts w:ascii="Garamond" w:hAnsi="Garamond"/>
          <w:i/>
          <w:iCs/>
          <w:lang w:val="en-GB"/>
        </w:rPr>
        <w:t>Bw</w:t>
      </w:r>
      <w:r w:rsidRPr="008725BE">
        <w:rPr>
          <w:rFonts w:ascii="Garamond" w:hAnsi="Garamond"/>
          <w:lang w:val="en-GB"/>
        </w:rPr>
        <w:t xml:space="preserve"> muß über eine motorische Innervation verfügen, durch welche festgestellt wird, ob die Wahrnehmung zum Verschwinden zu bringen ist oder sich resistent verhält. Nichts anderes als diese Einrichtung braucht die </w:t>
      </w:r>
      <w:r w:rsidRPr="008725BE">
        <w:rPr>
          <w:rFonts w:ascii="Garamond" w:hAnsi="Garamond"/>
          <w:i/>
          <w:iCs/>
          <w:lang w:val="en-GB"/>
        </w:rPr>
        <w:t>Realitätsprüfung</w:t>
      </w:r>
      <w:r w:rsidRPr="008725BE">
        <w:rPr>
          <w:rFonts w:ascii="Garamond" w:hAnsi="Garamond"/>
          <w:lang w:val="en-GB"/>
        </w:rPr>
        <w:t xml:space="preserve"> zu sein </w:t>
      </w:r>
      <w:hyperlink r:id="rId86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Über die Unterscheidung einer Aktualitäts- von einer Realitätsprüfung siehe an späterer Stelle.</w:t>
        </w:r>
      </w:hyperlink>
      <w:r w:rsidRPr="008725BE">
        <w:rPr>
          <w:rFonts w:ascii="Garamond" w:hAnsi="Garamond"/>
          <w:lang w:val="en-GB"/>
        </w:rPr>
        <w:t xml:space="preserve">. Näheres darüber können wir nicht aussagen, da Natur und Arbeitsweise des Systems </w:t>
      </w:r>
      <w:r w:rsidRPr="008725BE">
        <w:rPr>
          <w:rFonts w:ascii="Garamond" w:hAnsi="Garamond"/>
          <w:i/>
          <w:iCs/>
          <w:lang w:val="en-GB"/>
        </w:rPr>
        <w:t>Bw</w:t>
      </w:r>
      <w:r w:rsidRPr="008725BE">
        <w:rPr>
          <w:rFonts w:ascii="Garamond" w:hAnsi="Garamond"/>
          <w:lang w:val="en-GB"/>
        </w:rPr>
        <w:t xml:space="preserve"> noch zuwenig bekannt sind. Die Realitätsprüfung werden wir als eine der großen </w:t>
      </w:r>
      <w:r w:rsidRPr="008725BE">
        <w:rPr>
          <w:rFonts w:ascii="Garamond" w:hAnsi="Garamond"/>
          <w:i/>
          <w:iCs/>
          <w:lang w:val="en-GB"/>
        </w:rPr>
        <w:t>Institutionen des Ichs</w:t>
      </w:r>
      <w:r w:rsidRPr="008725BE">
        <w:rPr>
          <w:rFonts w:ascii="Garamond" w:hAnsi="Garamond"/>
          <w:lang w:val="en-GB"/>
        </w:rPr>
        <w:t xml:space="preserve"> neben die uns bekannt gewordenen </w:t>
      </w:r>
      <w:r w:rsidRPr="008725BE">
        <w:rPr>
          <w:rFonts w:ascii="Garamond" w:hAnsi="Garamond"/>
          <w:i/>
          <w:iCs/>
          <w:lang w:val="en-GB"/>
        </w:rPr>
        <w:t>Zensuren</w:t>
      </w:r>
      <w:r w:rsidRPr="008725BE">
        <w:rPr>
          <w:rFonts w:ascii="Garamond" w:hAnsi="Garamond"/>
          <w:lang w:val="en-GB"/>
        </w:rPr>
        <w:t xml:space="preserve"> zwischen den psychischen Systemen hinstellen und erwarten, daß uns die Analyse der narzißtischen Affektionen andere solcher Institutionen aufzudecken verhilft.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Hingegen können wir schon jetzt aus der Pathologie erfahren, auf welche Weise die Realitätsprüfung aufgehoben oder außer Tätigkeit gesetzt werden kann, und zwar werden wir es in der Wunschpsychose, der Amentia, unzweideutiger erkennen als am Traum: Die Amentia ist die Reaktion auf einen Verlust, den die Realität behauptet, der aber vom Ich als unerträglich verleugnet werden soll. Darauf bricht das Ich die Beziehung zur Realität ab, es entzieht dem System der Wahrnehmungen </w:t>
      </w:r>
      <w:r w:rsidRPr="008725BE">
        <w:rPr>
          <w:rFonts w:ascii="Garamond" w:hAnsi="Garamond"/>
          <w:i/>
          <w:iCs/>
          <w:lang w:val="en-GB"/>
        </w:rPr>
        <w:t>Bw</w:t>
      </w:r>
      <w:r w:rsidRPr="008725BE">
        <w:rPr>
          <w:rFonts w:ascii="Garamond" w:hAnsi="Garamond"/>
          <w:lang w:val="en-GB"/>
        </w:rPr>
        <w:t xml:space="preserve"> die Besetzung oder vielleicht besser eine Besetzung, deren besondere Natur noch Gegenstand einer Untersuchung werden kann. Mit dieser Abwendung von der Realität ist die Realitätsprüfung beseitigt, die – unverdrängten, durchaus bewußten – Wunschphantasien können ins System vordringen und werden von dort aus als bessere Realität anerkannt. Eine solche Entziehung darf den Verdrängungsvorgängen beigeordnet werden; die Amentia bietet uns das interessante Schauspiel einer Entzweiung des Ichs mit einem seiner Organe, welches ihm vielleicht am getreuesten diente und am innigsten verbunden war </w:t>
      </w:r>
      <w:hyperlink r:id="rId86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Man kann von hier aus die Vermutung wagen, daß auch die toxischen Halluzinosen, z. B. das Alkoholdelirium, in analoger Weise zu verstehen sind. Der unerträgliche Verlust, der von der Realität auferlegt wird, wäre eben der des Alkohols, Zuführung desselben hebt die Halluzinationen auf.</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Was bei der Amentia die »Verdrängung« leistet, das macht beim Traum der freiwillige Verzicht. Der Schlafzustand will nichts von der Außenwelt wissen, interessiert sich nicht für die Realität oder nur insoweit, als das Verlassen des Schlafzustandes, das Erwachen, in Betracht kommt. Er zieht also auch die </w:t>
      </w:r>
      <w:r w:rsidRPr="008725BE">
        <w:rPr>
          <w:rFonts w:ascii="Garamond" w:hAnsi="Garamond"/>
          <w:lang w:val="en-GB"/>
        </w:rPr>
        <w:lastRenderedPageBreak/>
        <w:t xml:space="preserve">Besetzung vom System </w:t>
      </w:r>
      <w:r w:rsidRPr="008725BE">
        <w:rPr>
          <w:rFonts w:ascii="Garamond" w:hAnsi="Garamond"/>
          <w:i/>
          <w:iCs/>
          <w:lang w:val="en-GB"/>
        </w:rPr>
        <w:t>Bw</w:t>
      </w:r>
      <w:r w:rsidRPr="008725BE">
        <w:rPr>
          <w:rFonts w:ascii="Garamond" w:hAnsi="Garamond"/>
          <w:lang w:val="en-GB"/>
        </w:rPr>
        <w:t xml:space="preserve"> ab, wie von den anderen Systemen, dem </w:t>
      </w:r>
      <w:r w:rsidRPr="008725BE">
        <w:rPr>
          <w:rFonts w:ascii="Garamond" w:hAnsi="Garamond"/>
          <w:i/>
          <w:iCs/>
          <w:lang w:val="en-GB"/>
        </w:rPr>
        <w:t>Vbw</w:t>
      </w:r>
      <w:r w:rsidRPr="008725BE">
        <w:rPr>
          <w:rFonts w:ascii="Garamond" w:hAnsi="Garamond"/>
          <w:lang w:val="en-GB"/>
        </w:rPr>
        <w:t xml:space="preserve"> und dem </w:t>
      </w:r>
      <w:r w:rsidRPr="008725BE">
        <w:rPr>
          <w:rFonts w:ascii="Garamond" w:hAnsi="Garamond"/>
          <w:i/>
          <w:iCs/>
          <w:lang w:val="en-GB"/>
        </w:rPr>
        <w:t>Ubw</w:t>
      </w:r>
      <w:r w:rsidRPr="008725BE">
        <w:rPr>
          <w:rFonts w:ascii="Garamond" w:hAnsi="Garamond"/>
          <w:lang w:val="en-GB"/>
        </w:rPr>
        <w:t xml:space="preserve">, soweit die in ihnen vorhandenen Positionen dem Schlafwunsch gehorchen. Mit dieser Unbesetztheit des Systems </w:t>
      </w:r>
      <w:r w:rsidRPr="008725BE">
        <w:rPr>
          <w:rFonts w:ascii="Garamond" w:hAnsi="Garamond"/>
          <w:i/>
          <w:iCs/>
          <w:lang w:val="en-GB"/>
        </w:rPr>
        <w:t>Bw</w:t>
      </w:r>
      <w:r w:rsidRPr="008725BE">
        <w:rPr>
          <w:rFonts w:ascii="Garamond" w:hAnsi="Garamond"/>
          <w:lang w:val="en-GB"/>
        </w:rPr>
        <w:t xml:space="preserve"> ist die Möglichkeit einer Realitätsprüfung aufgegeben, und die Erregungen, welche vom Schlafzustand unabhängig den Weg der Regression eingeschlagen haben, werden ihn frei finden bis zum System </w:t>
      </w:r>
      <w:r w:rsidRPr="008725BE">
        <w:rPr>
          <w:rFonts w:ascii="Garamond" w:hAnsi="Garamond"/>
          <w:i/>
          <w:iCs/>
          <w:lang w:val="en-GB"/>
        </w:rPr>
        <w:t>Bw</w:t>
      </w:r>
      <w:r w:rsidRPr="008725BE">
        <w:rPr>
          <w:rFonts w:ascii="Garamond" w:hAnsi="Garamond"/>
          <w:lang w:val="en-GB"/>
        </w:rPr>
        <w:t xml:space="preserve">, in welchem sie als unbestrittene Realität gelten werden </w:t>
      </w:r>
      <w:hyperlink r:id="rId86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Das Prinzip der Unerregbarkeit unbesetzter Systeme erscheint hier für das </w:t>
        </w:r>
        <w:r w:rsidRPr="008725BE">
          <w:rPr>
            <w:rStyle w:val="innerfusslink3"/>
            <w:rFonts w:ascii="Garamond" w:hAnsi="Garamond" w:cs="Arial"/>
            <w:b/>
            <w:bCs/>
            <w:i/>
            <w:iCs/>
            <w:lang w:val="en-GB"/>
          </w:rPr>
          <w:t>Bw</w:t>
        </w:r>
        <w:r w:rsidRPr="008725BE">
          <w:rPr>
            <w:rStyle w:val="innerfusslink3"/>
            <w:rFonts w:ascii="Garamond" w:hAnsi="Garamond" w:cs="Arial"/>
            <w:b/>
            <w:bCs/>
            <w:lang w:val="en-GB"/>
          </w:rPr>
          <w:t xml:space="preserve"> ( </w:t>
        </w:r>
        <w:r w:rsidRPr="008725BE">
          <w:rPr>
            <w:rStyle w:val="innerfusslink3"/>
            <w:rFonts w:ascii="Garamond" w:hAnsi="Garamond" w:cs="Arial"/>
            <w:b/>
            <w:bCs/>
            <w:i/>
            <w:iCs/>
            <w:lang w:val="en-GB"/>
          </w:rPr>
          <w:t>W</w:t>
        </w:r>
        <w:r w:rsidRPr="008725BE">
          <w:rPr>
            <w:rStyle w:val="innerfusslink3"/>
            <w:rFonts w:ascii="Garamond" w:hAnsi="Garamond" w:cs="Arial"/>
            <w:b/>
            <w:bCs/>
            <w:lang w:val="en-GB"/>
          </w:rPr>
          <w:t>) außer Kraft gesetzt. Aber es kann sich um nur teilweise Aufhebung der Besetzung handeln, und gerade für das Wahrnehmungssystem werden wir eine Anzahl von Erregungsbedingungen annehmen müssen, die von denen anderer Systeme weit abweichen. – Der unsicher tastende Charakter dieser metapsychologischen Erörterungen soll natürlich in keiner Weise verschleiert oder beschönigt werden. Erst weitere Vertiefung kann zu einem gewissen Grade von Wahrscheinlichkeit führen.</w:t>
        </w:r>
      </w:hyperlink>
      <w:r w:rsidRPr="008725BE">
        <w:rPr>
          <w:rFonts w:ascii="Garamond" w:hAnsi="Garamond"/>
          <w:lang w:val="en-GB"/>
        </w:rPr>
        <w:t>. Für die halluzinatorische Psychose der Dementia praecox werden wir aus unseren Erwägungen ableiten, daß sie nicht zu den Eingangssymptomen der Affektion gehören kann. Sie wird erst ermöglicht, wenn das Ich des Kranken so weit zerfallen ist, daß die Realitätsprüfung nicht mehr die Halluzination verhindert.</w:t>
      </w:r>
    </w:p>
    <w:p w:rsidR="008725BE" w:rsidRPr="008725BE" w:rsidRDefault="008725BE" w:rsidP="008725BE">
      <w:pPr>
        <w:pStyle w:val="Sansinterligne"/>
        <w:rPr>
          <w:rFonts w:ascii="Garamond" w:hAnsi="Garamond"/>
          <w:lang w:val="en-GB"/>
        </w:rPr>
      </w:pPr>
      <w:r w:rsidRPr="008725BE">
        <w:rPr>
          <w:rFonts w:ascii="Garamond" w:hAnsi="Garamond"/>
          <w:lang w:val="en-GB"/>
        </w:rPr>
        <w:t>Zur Psychologie der Traumvorgänge erhalten wir das Resultat, daß alle wesentlichen Charaktere des Traumes durch die Bedingung des Schlafzustandes determiniert werden. Der alte Aristoteles behält mit seiner unscheinbaren Aussage, der Traum sei die seelische Tätigkeit des Schlafenden, in allen Stücken recht. Wir konnten ausführen: ein Rest von seelischer Tätigkeit, dadurch ermöglicht, daß sich der narzißtische Schlafzustand nicht ausnahmslos durchsetzen ließ. Das lautet ja nicht viel anders, als was Psychologen und Philosophen von jeher gesagt haben, ruht aber auf ganz abweichenden Ansichten über den Bau und die Leistung des seelischen Apparates, die den Vorzug vor den früheren haben, daß sie auch alle Einzelheiten des Traumes unserem Verständnis nahebringen konnten.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Werfen wir am Ende noch einen Blick auf die Bedeutung, welche eine </w:t>
      </w:r>
      <w:r w:rsidRPr="008725BE">
        <w:rPr>
          <w:rFonts w:ascii="Garamond" w:hAnsi="Garamond"/>
          <w:i/>
          <w:iCs/>
          <w:lang w:val="en-GB"/>
        </w:rPr>
        <w:t>Topik</w:t>
      </w:r>
      <w:r w:rsidRPr="008725BE">
        <w:rPr>
          <w:rFonts w:ascii="Garamond" w:hAnsi="Garamond"/>
          <w:lang w:val="en-GB"/>
        </w:rPr>
        <w:t xml:space="preserve"> des Verdrängungsvorganges für unsere Einsicht in den Mechanismus der seelischen Störungen gewinnt. Beim Traum betrifft die Entziehung der Besetzung (Libido, Interesse) alle Systeme gleichmäßig, bei den Übertragungsneurosen wird die </w:t>
      </w:r>
      <w:r w:rsidRPr="008725BE">
        <w:rPr>
          <w:rFonts w:ascii="Garamond" w:hAnsi="Garamond"/>
          <w:i/>
          <w:iCs/>
          <w:lang w:val="en-GB"/>
        </w:rPr>
        <w:t>vbw</w:t>
      </w:r>
      <w:r w:rsidRPr="008725BE">
        <w:rPr>
          <w:rFonts w:ascii="Garamond" w:hAnsi="Garamond"/>
          <w:lang w:val="en-GB"/>
        </w:rPr>
        <w:t xml:space="preserve"> Besetzung zurückgezogen, bei der Schizophrenie die des </w:t>
      </w:r>
      <w:r w:rsidRPr="008725BE">
        <w:rPr>
          <w:rFonts w:ascii="Garamond" w:hAnsi="Garamond"/>
          <w:i/>
          <w:iCs/>
          <w:lang w:val="en-GB"/>
        </w:rPr>
        <w:t>Ubw</w:t>
      </w:r>
      <w:r w:rsidRPr="008725BE">
        <w:rPr>
          <w:rFonts w:ascii="Garamond" w:hAnsi="Garamond"/>
          <w:lang w:val="en-GB"/>
        </w:rPr>
        <w:t xml:space="preserve">, bei der Amentia die des </w:t>
      </w:r>
      <w:r w:rsidRPr="008725BE">
        <w:rPr>
          <w:rFonts w:ascii="Garamond" w:hAnsi="Garamond"/>
          <w:i/>
          <w:iCs/>
          <w:lang w:val="en-GB"/>
        </w:rPr>
        <w:t>Bw</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  </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Mi</w:t>
        </w:r>
        <w:bookmarkStart w:id="178" w:name="KS43"/>
        <w:bookmarkEnd w:id="178"/>
        <w:r w:rsidRPr="008725BE">
          <w:rPr>
            <w:rStyle w:val="Lienhypertexte"/>
            <w:rFonts w:ascii="Garamond" w:hAnsi="Garamond"/>
            <w:b/>
            <w:lang w:val="en-GB"/>
          </w:rPr>
          <w:t>tteilung eines der psychoanalytischen Theorie widersprechenden Falles von Paranoia</w:t>
        </w:r>
      </w:hyperlink>
      <w:r w:rsidRPr="008725BE">
        <w:rPr>
          <w:rFonts w:ascii="Garamond" w:hAnsi="Garamond"/>
          <w:lang w:val="en-GB"/>
        </w:rPr>
        <w:t xml:space="preserve">  </w:t>
      </w:r>
      <w:r w:rsidRPr="008725BE">
        <w:rPr>
          <w:rFonts w:ascii="Garamond" w:hAnsi="Garamond"/>
          <w:caps/>
          <w:lang w:val="en-GB"/>
        </w:rPr>
        <w:t>(1915)</w:t>
      </w:r>
    </w:p>
    <w:p w:rsidR="008725BE" w:rsidRPr="008725BE" w:rsidRDefault="008725BE" w:rsidP="008725BE">
      <w:pPr>
        <w:pStyle w:val="Sansinterligne"/>
        <w:rPr>
          <w:rFonts w:ascii="Garamond" w:hAnsi="Garamond"/>
          <w:lang w:val="en-GB"/>
        </w:rPr>
      </w:pPr>
    </w:p>
    <w:p w:rsidR="008725BE" w:rsidRPr="008725BE" w:rsidRDefault="008725BE" w:rsidP="008725BE">
      <w:pPr>
        <w:pStyle w:val="Sansinterligne"/>
        <w:rPr>
          <w:rFonts w:ascii="Garamond" w:hAnsi="Garamond"/>
          <w:lang w:val="en-GB"/>
        </w:rPr>
      </w:pPr>
      <w:r w:rsidRPr="008725BE">
        <w:rPr>
          <w:rFonts w:ascii="Garamond" w:hAnsi="Garamond"/>
          <w:lang w:val="en-GB"/>
        </w:rPr>
        <w:t>Vor Jahren ersuchte mich ein bekannter Rechtsanwalt um Begutachtung eines Falles, dessen Auffassung ihm zweifelhaft erschien. Eine junge Dame hatte sich an ihn gewendet, um Schutz gegen die Verfolgungen eines Mannes zu finden, der sie zu einem Liebesverhältnis bewogen hatte. Sie behauptete, daß dieser Mann ihre Gefügigkeit mißbraucht hatte, um von ungesehenen Zuschauern photographische Aufnahmen ihres zärtlichen Beisammenseins herstellen zu lassen; nun läge es in seiner Hand, sie durch das Zeigen dieser Bilder zu beschämen und zum Aufgeben ihrer Stellung zu zwingen. Der Rechtsfreund war erfahren genug, das krankhafte Gepräge dieser Anklage zu erkennen, meinte aber, es komme so viel im Leben vor, was man für unglaubwürdig halten möchte, daß ihm das Urteil eines Psychiaters über die Sache wertvoll wäre. Er versprach, mich ein nächstes Mal in Gesellschaft der Klägerin zu besuchen.</w:t>
      </w:r>
    </w:p>
    <w:p w:rsidR="008725BE" w:rsidRPr="008725BE" w:rsidRDefault="008725BE" w:rsidP="008725BE">
      <w:pPr>
        <w:pStyle w:val="Sansinterligne"/>
        <w:rPr>
          <w:rFonts w:ascii="Garamond" w:hAnsi="Garamond"/>
          <w:lang w:val="en-GB"/>
        </w:rPr>
      </w:pPr>
      <w:r w:rsidRPr="008725BE">
        <w:rPr>
          <w:rFonts w:ascii="Garamond" w:hAnsi="Garamond"/>
          <w:lang w:val="en-GB"/>
        </w:rPr>
        <w:t>Ehe ich meinen Bericht fortsetze, will ich bekennen, daß ich das Milieu der zu untersuchenden Begebenheit zur Unkenntlichkeit verändert habe, aber auch nichts anderes als dies. Ich halte es sonst für einen Mißbrauch, aus irgendwelchen, wenn auch aus den besten Motiven, Züge einer Krankengeschichte in der Mitteilung zu entstellen, da man unmöglich wissen kann, welche Seite des Falles ein selbständig urteilender Leser herausgreifen wird, und somit Gefahr läuft, diesen letzteren in die Irre zu führen.</w:t>
      </w:r>
    </w:p>
    <w:p w:rsidR="008725BE" w:rsidRPr="008725BE" w:rsidRDefault="008725BE" w:rsidP="008725BE">
      <w:pPr>
        <w:pStyle w:val="Sansinterligne"/>
        <w:rPr>
          <w:rFonts w:ascii="Garamond" w:hAnsi="Garamond"/>
          <w:lang w:val="en-GB"/>
        </w:rPr>
      </w:pPr>
      <w:r w:rsidRPr="008725BE">
        <w:rPr>
          <w:rFonts w:ascii="Garamond" w:hAnsi="Garamond"/>
          <w:lang w:val="en-GB"/>
        </w:rPr>
        <w:t>Die Patientin, die ich nun bald darauf kennenlernte, war ein dreißigjähriges Mädchen von ungewöhnlicher Anmut und Schönheit; sie schien viel jünger zu sein, als sie angab, und machte einen echt weiblichen Eindruck. Gegen den Arzt benahm sie sich voll ablehnend und gab sich keine Mühe, ihr Mißtrauen zu verbergen. Offenbar nur unter dem Drucke des mitanwesenden Rechtsfreundes erzählte sie die folgende Geschichte, die mir ein später zu erwähnendes Problem aufgab. Ihre Mienen und Affektäußerungen verrieten dabei nichts von einer schamhaften Befangenheit, wie sie der Einstellung zu dem fremden Zuhörer entsprochen hätte. Sie stand ausschließlich unter dem Banne der Besorgnis, die sich aus ihrem Erlebnis ergeben hatte.</w:t>
      </w:r>
    </w:p>
    <w:p w:rsidR="008725BE" w:rsidRPr="008725BE" w:rsidRDefault="008725BE" w:rsidP="008725BE">
      <w:pPr>
        <w:pStyle w:val="Sansinterligne"/>
        <w:rPr>
          <w:rFonts w:ascii="Garamond" w:hAnsi="Garamond"/>
          <w:lang w:val="en-GB"/>
        </w:rPr>
      </w:pPr>
      <w:r w:rsidRPr="008725BE">
        <w:rPr>
          <w:rFonts w:ascii="Garamond" w:hAnsi="Garamond"/>
          <w:lang w:val="en-GB"/>
        </w:rPr>
        <w:t>Sie war jahrelang Angestellte in einem großen Institut gewesen, in dem sie einen verantwortlichen Posten zur eigenen Befriedigung und zur Zufriedenheit der Vorgesetzten innehatte. Liebesbeziehungen zu Männern hatte sie nie gesucht; sie lebte ruhig neben einer alten Mutter, deren einzige Stütze sie war. Geschwister fehlten, der Vater war vor vielen Jahren gestorben. In der letzten Zeit hatte sich ein männlicher Beamter desselben Bureaus ihr genähert, ein sehr gebildeter, einnehmender Mann, dem auch sie ihre Sympathie nicht versagen konnte. Eine Heirat zwischen ihnen war durch äußere Verhältnisse ausgeschlossen, aber der Mann wollte nichts davon wissen, dieser Unmöglichkeit wegen den Verkehr aufzugeben. Er hielt ihr vor, wie unsinnig es sei, wegen sozialer Konventionen auf alles zu verzichten, was sie sich beide wünschten, worauf sie ein unzweifelhaftes Anrecht hätten und was wie nichts anderes zur Erhöhung des Lebens beitrüge. Da er versprochen hatte, sie nicht in Gefahr zu bringen, willigte sie endlich ein, ihn in seiner Junggesellenwohnung bei Tage zu besuchen. Dort kam es nun zu Küssen und Umarmungen, sie lagerten sich nebeneinander, er bewunderte ihre zum Teil enthüllte Schönheit. Mitten in dieser Schäferstunde wurde sie durch ein einmaliges Geräusch wie ein Pochen oder Ticken erschreckt. Es kam von der Gegend des Schreibtisches her, welcher schräg vor dem Fenster stand; der Zwischenraum zwischen Tisch und Fenster war zum Teil von einem schweren Vorhang eingenommen. Sie erzählte, daß sie den Freund sofort nach der Bedeutung des Geräusches gefragt und von ihm die Auskunft bekommen hatte, es rühre wahrscheinlich von der kleinen, auf dem Schreibtisch befindlichen Stehuhr her; ich werde mir aber die Freiheit nehmen, zu diesem Teil ihres Berichts später eine Bemerkung zu machen.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Als sie das Haus verließ, traf sie noch auf der Treppe mit zwei Männern zusammen, die bei ihrem Anblick einander etwas zuflüsterten. Einer der beiden Unbekannten trug einen verhüllten Gegenstand wie ein Kästchen. Die Begegnung beschäftigte ihre Gedanken; noch auf dem Heimwege bildete sie die Kombination, dies Kästchen könnte leicht ein photographischer Apparat gewesen sein, der Mann, der es trug, ein Photograph, der während ihrer Anwesenheit im Zimmer hinter dem Vorhang versteckt geblieben war, und das Ticken, das sie gehört, das Geräusch des Abdrückens, nachdem der Mann die besonders verfängliche Situation herausgefunden, die er im Bilde festhalten wollte. Ihr Argwohn gegen den Geliebten war von da an nicht mehr zum Schweigen zu bringen; sie verfolgte ihn mündlich und schriftlich mit der Anforderung, ihr Aufklärung und Beruhigung zu geben, und mit Vorwürfen, erwies sich aber unzugänglich gegen die Versicherungen, die er ihr machte, mit denen er die Aufrichtigkeit seiner Gefühle und die Grundlosigkeit ihrer Verdächtigung vertrat. Endlich wandte sie sich an den Advokaten, erzählte ihm ihr Erlebnis und übergab ihm die Briefe, die sie in dieser Angelegenheit von dem Verdächtigten erhalten hatte. Ich konnte später in einige dieser Briefe Einsicht nehmen; sie machten mir den besten </w:t>
      </w:r>
      <w:r w:rsidRPr="008725BE">
        <w:rPr>
          <w:rFonts w:ascii="Garamond" w:hAnsi="Garamond"/>
          <w:lang w:val="en-GB"/>
        </w:rPr>
        <w:lastRenderedPageBreak/>
        <w:t>Eindruck; ihr Hauptinhalt war das Bedauern, daß ein so schönes, zärtliches Einvernehmen durch diese »unglückselige krankhafte Idee« zerstört worden sei.</w:t>
      </w:r>
    </w:p>
    <w:p w:rsidR="008725BE" w:rsidRPr="008725BE" w:rsidRDefault="008725BE" w:rsidP="008725BE">
      <w:pPr>
        <w:pStyle w:val="Sansinterligne"/>
        <w:rPr>
          <w:rFonts w:ascii="Garamond" w:hAnsi="Garamond"/>
          <w:lang w:val="en-GB"/>
        </w:rPr>
      </w:pPr>
      <w:r w:rsidRPr="008725BE">
        <w:rPr>
          <w:rFonts w:ascii="Garamond" w:hAnsi="Garamond"/>
          <w:lang w:val="en-GB"/>
        </w:rPr>
        <w:t>Es bedarf wohl keiner Rechtfertigung, daß ich das Urteil des Beschuldigten auch zu dem meinigen machte. Aber der Fall hatte für mich ein anderes als bloß diagnostisches Interesse. Es war in der psychoanalytischen Literatur behauptet worden, daß der Paranoiker gegen eine Verstärkung seiner homosexuellen Strebungen ankämpft, was im Grunde auf eine narzißtische Objektwahl zurückweist. Es war ferner gedeutet worden, daß der Verfolger im Grunde der Geliebte oder der ehemals Geliebte sei. Aus der Zusammensetzung beider Aufstellungen ergibt sich die Forderung, der Verfolger müsse von demselben Geschlecht sein wie der Verfolgte. Den Satz von der Bedingtheit der Paranoia durch die Homosexualität hatten wir allerdings nicht als allgemein und ausnahmslos gültig hingestellt, aber nur darum nicht, weil unsere Beobachtungen nicht genug zahlreich waren. Er gehörte sonst zu jenen, die infolge gewisser Zusammenhänge nur dann bedeutungsvoll sind, wenn sie Allgemeinheit beanspruchen können. In der psychiatrischen Literatur fehlte es gewiß nicht an Fällen, in denen sich der Kranke von Angehörigen des anderen Geschlechtes verfolgt glaubte, aber es blieb ein anderer Eindruck, von solchen Fällen zu lesen, als einen derselben selbst vor sich zu sehen. Was ich und meine Freunde hatten beobachten und analysieren können, hatte bisher die Beziehung der Paranoia zur Homosexualität ohne Schwierigkeit bestätigt. Der hier vorgeführte Fall sprach mit aller Entschiedenheit dagegen. Das Mädchen schien die Liebe zu einem Mann abzuwehren, indem sie den Geliebten unmittelbar in den Verfolger verwandelte; vom Einfluß des Weibes, von einem Sträuben gegen eine homosexuelle Bindung war nichts zu finden.</w:t>
      </w:r>
    </w:p>
    <w:p w:rsidR="008725BE" w:rsidRPr="008725BE" w:rsidRDefault="008725BE" w:rsidP="008725BE">
      <w:pPr>
        <w:pStyle w:val="Sansinterligne"/>
        <w:rPr>
          <w:rFonts w:ascii="Garamond" w:hAnsi="Garamond"/>
          <w:lang w:val="en-GB"/>
        </w:rPr>
      </w:pPr>
      <w:r w:rsidRPr="008725BE">
        <w:rPr>
          <w:rFonts w:ascii="Garamond" w:hAnsi="Garamond"/>
          <w:lang w:val="en-GB"/>
        </w:rPr>
        <w:t>Bei dieser Sachlage war es wohl das Einfachste, die Parteinahme für eine allgemein gültige Abhängigkeit des Verfolgungswahnes von der Homosexualität und alles, was sich weiter daran knüpfte, wieder aufzugeben. Man mußte wohl auf diese Erkenntnis verzichten, wenn man sich nicht etwa durch diese Abweichung von der Erwartung bestimmen ließ, sich auf die Seite des Rechtsfreundes zu schlagen und wie er ein richtig gedeutetes Erlebnis anstatt einer paranoischen Kombination anzuerkennen. Ich sah aber einen anderen Ausweg, welcher die Entscheidung zunächst hinausschob. Ich erinnerte mich daran, wie oft man in die Lage gekommen war, psychisch Kranke falsch zu beurteilen, weil man sich nicht eindringlich genug mit ihnen beschäftigt und so zu wenig von ihnen erfahren hatte. Ich erklärte also, es sei mir unmöglich, heute ein Urteil zu äußern, und bitte sie vielmehr, mich ein zweites Mal zu besuchen, um mir die Geschichte ausführlicher und mit allen, diesmal vielleicht übergangenen, Nebenumständen zu erzählen. Durch die Vermittlung des Advokaten erreichte ich dies Zugeständnis von der sonst unwilligen Patientin; er kam mir auch durch die Erklärung zu Hilfe, daß bei dieser zweiten Unterredung seine Anwesenheit überflüssig sei.</w:t>
      </w:r>
    </w:p>
    <w:p w:rsidR="008725BE" w:rsidRPr="008725BE" w:rsidRDefault="008725BE" w:rsidP="008725BE">
      <w:pPr>
        <w:pStyle w:val="Sansinterligne"/>
        <w:rPr>
          <w:rFonts w:ascii="Garamond" w:hAnsi="Garamond"/>
          <w:lang w:val="en-GB"/>
        </w:rPr>
      </w:pPr>
      <w:r w:rsidRPr="008725BE">
        <w:rPr>
          <w:rFonts w:ascii="Garamond" w:hAnsi="Garamond"/>
          <w:lang w:val="en-GB"/>
        </w:rPr>
        <w:t>Die zweite Erzählung der Patientin hob die frühere nicht auf, brachte aber solche Ergänzungen, daß alle Zweifel und Schwierigkeiten wegfielen. Vor allem, sie hatte den jungen Mann nicht einmal, sondern zweimal in seiner Wohnung besucht. Beim zweiten Zusammensein ereignete sich die Störung durch das Geräusch, an welches sie ihren Verdacht angeknüpft hatte; den ersten Besuch hatte sie bei der ersten Mitteilung unterschlagen, ausgelassen, weil er ihr nicht mehr bedeutsam vorkam. Bei diesem ersten Besuch hatte sich nichts Auffälliges zugetragen, wohl aber am Tage nachher. Die Abteilung des großen Unternehmens, bei welcher sie tätig war, stand unter der Leitung einer alten Dame, die sie mit den Worten beschrieb: »Sie hat weiße Haare wie meine Mutter.« Sie war es gewöhnt, von dieser alten Vorgesetzten sehr zärtlich behandelt, auch wohl manchmal geneckt zu werden, und hielt sich für ihren besonderen Liebling. Am Tage nach ihrem ersten Besuch bei dem jungen Beamten erschien dieser in den Geschäftsräumen, um der alten Dame etwas dienstlich mitzuteilen, und während er leise mit dieser sprach, entstand in ihr plötzlich die Gewißheit, er mache ihr Mitteilung von dem gestrigen Abenteuer, ja, er unterhalte längst ein Verhältnis mit ihr, von dem sie selbst nur bisher nichts gemerkt habe. Die weißhaarige, mütterliche Alte wisse nun alles. Im weiteren Verlaufe des Tages konnte sie aus dem Benehmen und den Äußerungen der Alten diesen ihren Verdacht bekräftigen. Sie ergriff die nächste Gelegenheit, den Geliebten wegen seines Verrates zur Rede zu stellen. Der sträubte sich natürlich energisch gegen das, was er eine unsinnige Zumutung hieß, und es gelang ihm in der Tat, sie für diesmal von ihrem Wahn abzubringen, so daß sie einige Zeit – ich glaube einige Wochen – später vertrauensvoll genug war, den Besuch in seiner Wohnung zu wiederholen. Das Weitere ist uns aus der ersten Erzählung der Patientin bekannt.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Was wir neu erfahren haben, macht zunächst dem Zweifel an der krankhaften Natur der Verdächtigung ein Ende. Unschwer erkennt man, daß die weißhaarige Vorsteherin ein Mutterersatz ist, daß der geliebte Mann trotz seiner Jugend an die Stelle des Vaters gerückt wird und daß es die Macht des Mutterkomplexes </w:t>
      </w:r>
      <w:r w:rsidRPr="008725BE">
        <w:rPr>
          <w:rFonts w:ascii="Garamond" w:hAnsi="Garamond"/>
          <w:lang w:val="en-GB"/>
        </w:rPr>
        <w:lastRenderedPageBreak/>
        <w:t>ist, welche die Kranke zwingt, ein Liebesverhältnis zwischen den beiden ungleichen Partnern, aller Unwahrscheinlichkeit zum Trotze, anzunehmen. Damit verflüchtigt sich aber auch der anscheinende Widerspruch gegen die von der psychoanalytischen Lehre genährte Erwartung, eine überstarke homosexuelle Bindung werde sich als die Bedingung zur Entwicklung eines Verfolgungswahnes herausstellen. Der ursprüngliche Verfolger, die Instanz, deren Einfluß man sich entziehen will, ist auch in diesem Falle nicht der Mann, sondern das Weib. Die Vorsteherin weiß von den Liebesbeziehungen des Mädchens, mißbilligt sie und gibt ihr diese Verurteilung durch geheimnisvolle Andeutungen zu erkennen. Die Bindung an das gleiche Geschlecht widersetzt sich den Bemühungen, ein Mitglied des anderen Geschlechts zum Liebesobjekt zu gewinnen. Die Liebe zur Mutter wird zur Wortführerin all der Strebungen, welche in der Rolle eines »Gewissens« das Mädchen bei dem ersten Schritt auf dem neuen, in vielen Hinsichten gefährlichen Weg zur normalen Sexualbefriedigung zurückhalten wollen, und sie erreicht es auch, die Beziehung zum Manne zu stören.</w:t>
      </w:r>
    </w:p>
    <w:p w:rsidR="008725BE" w:rsidRPr="008725BE" w:rsidRDefault="008725BE" w:rsidP="008725BE">
      <w:pPr>
        <w:pStyle w:val="Sansinterligne"/>
        <w:rPr>
          <w:rFonts w:ascii="Garamond" w:hAnsi="Garamond"/>
          <w:lang w:val="en-GB"/>
        </w:rPr>
      </w:pPr>
      <w:r w:rsidRPr="008725BE">
        <w:rPr>
          <w:rFonts w:ascii="Garamond" w:hAnsi="Garamond"/>
          <w:lang w:val="en-GB"/>
        </w:rPr>
        <w:t>Wenn die Mutter die Sexualbetätigung der Tochter hemmt oder aufhält, so erfüllt sie eine normale Funktion, welche durch Kindheitsbeziehungen vorgezeichnet ist, starke, unbewußte Motivierungen besitzt und die Sanktion der Gesellschaft gefunden hat. Sache der Tochter ist es, sich von diesem Einfluß abzulösen und sich auf Grund breiter, rationeller Motivierung für ein Maß von Gestattung oder Versagung des Sexualgenusses zu entscheiden. Verfällt sie bei dem Versuch dieser Befreiung in neurotische Erkrankung, so liegt ein in der Regel überstarker, sicherlich aber unbeherrschter Mutterkomplex vor, dessen Konflikt mit der neuen libidinösen Strömung je nach der verwendbaren Disposition in der Form dieser oder jener Neurose erledigt wird. In allen Fällen werden die Erscheinungen der neurotischen Reaktion nicht durch die gegenwärtige Beziehung zur aktuellen Mutter, sondern durch die infantilen Beziehungen zum urzeitlichen Mutterbild bestimmt werden.</w:t>
      </w:r>
    </w:p>
    <w:p w:rsidR="008725BE" w:rsidRPr="008725BE" w:rsidRDefault="008725BE" w:rsidP="008725BE">
      <w:pPr>
        <w:pStyle w:val="Sansinterligne"/>
        <w:rPr>
          <w:rFonts w:ascii="Garamond" w:hAnsi="Garamond"/>
          <w:lang w:val="en-GB"/>
        </w:rPr>
      </w:pPr>
      <w:r w:rsidRPr="008725BE">
        <w:rPr>
          <w:rFonts w:ascii="Garamond" w:hAnsi="Garamond"/>
          <w:lang w:val="en-GB"/>
        </w:rPr>
        <w:t>Von unserer Patientin wissen wir, daß sie seit langen Jahren vaterlos war, wir dürfen auch annehmen, daß sie nicht bis zum Alter von dreißig Jahren frei vom Manne geblieben wäre, wenn ihr nicht eine starke Gefühlsbindung an die Mutter eine Stütze geboten hätte. Diese Stütze wird ihr zur lästigen Fessel, da ihre Libido auf den Anruf einer eindringlichen Werbung zum Manne zu streben beginnt. Sie sucht sie abzustreifen, sich ihrer homosexuellen Bindung zu entledigen. Ihre Disposition – von der hier nicht die Rede zu sein braucht – gestattet, daß dies in der Form der paranoischen Wahnbildung vor sich gehe. Die Mutter wird also zur feindseligen, mißgünstigen Beobachterin und Verfolgerin. Sie könnte als solche überwunden werden, wenn nicht der Mutterkomplex die Macht behielte, die in seiner Absicht liegende Fernhaltung vom Manne durchzusetzen. Am Ende dieser ersten Phase des Konflikts hat sie sich also der Mutter entfremdet und dem Manne nicht angeschlossen. Beide konspirieren ja gegen sie. Da gelingt es der kräftigen Bemühung des Mannes, sie entscheidend an sich zu ziehen. Sie überwindet den Einspruch der Mutter und ist bereit, dem Geliebten eine neue Zusammenkunft zu gewähren. Die Mutter kommt in den weiteren Geschehnissen nicht mehr vor; wir dürfen aber daran festhalten, daß in dieser Phase der geliebte Mann nicht direkt zum Verfolger geworden war, sondern auf dem Wege über die Mutter und kraft seiner Beziehung zur Mutter, welcher in der ersten Wahnbildung die Hauptrolle zugefallen war.</w:t>
      </w:r>
    </w:p>
    <w:p w:rsidR="008725BE" w:rsidRPr="008725BE" w:rsidRDefault="008725BE" w:rsidP="008725BE">
      <w:pPr>
        <w:pStyle w:val="Sansinterligne"/>
        <w:rPr>
          <w:rFonts w:ascii="Garamond" w:hAnsi="Garamond"/>
          <w:lang w:val="en-GB"/>
        </w:rPr>
      </w:pPr>
      <w:r w:rsidRPr="008725BE">
        <w:rPr>
          <w:rFonts w:ascii="Garamond" w:hAnsi="Garamond"/>
          <w:lang w:val="en-GB"/>
        </w:rPr>
        <w:t>Man sollte nun glauben, der Widerstand sei endgültig überwunden und das bisher an die Mutter gebundene Mädchen habe es erreicht, einen Mann zu lieben. Aber nach dem zweiten Beisammensein erfolgt eine neue Wahnbildung, welche es durch geschickte, Benützung einiger Zufälligkeiten durchsetzt, diese Liebe zu verderben, und somit die Absicht des Mutterkomplexes erfolgreich fortführt. Es erscheint uns noch immer befremdlich, daß das Weib sich der Liebe zum Manne mit Hilfe eines paranoischen Wahnes erwehren sollte. Ehe wir aber dieses Verhältnis näher beleuchten, wollen wir den Zufälligkeiten einen Blick schenken, auf welche sich die zweite Wahnbildung, die allein gegen den Mann gerichtete, stützt.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Halb entkleidet auf dem Diwan neben dem Geliebten liegend, hört sie ein Geräusch wie ein Ticken, Klopfen, Pochen, dessen Ursache sie nicht kennt, das sie aber später deutet, nachdem sie auf der Treppe des Hauses zwei Männern begegnet ist, von denen einer etwas wie ein verdecktes Kästchen trägt. </w:t>
      </w:r>
      <w:r w:rsidRPr="008725BE">
        <w:rPr>
          <w:rFonts w:ascii="Garamond" w:hAnsi="Garamond"/>
        </w:rPr>
        <w:t xml:space="preserve">Sie gewinnt die Überzeugung, daß sie im Auftrage des Geliebten während des intimen Beisammenseins belauscht und photographiert wurde. Es liegt uns natürlich fern zu denken, wenn dies unglückselige Geräusch sich nicht ereignet hätte, wäre auch die Wahnbildung nicht zustande gekommen. Wir erkennen vielmehr hinter dieser Zufälligkeit etwas Notwendiges, was sich ebenso zwanghaft durchsetzen mußte wie die Annahme eines Liebesverhältnisses zwischen dem geliebten Manne und der alten, zum Mutterersatz erkorenen Vorsteherin. Die Beobachtung des Liebesverkehres der Eltern ist ein selten vermißtes Stück aus dem Schatze unbewußter Phantasien, die man bei allen Neurotikern, wahrscheinlich bei allen Menschenkindern, durch die Analyse auffinden kann. Ich heiße diese Phantasiebildungen, die der </w:t>
      </w:r>
      <w:r w:rsidRPr="008725BE">
        <w:rPr>
          <w:rFonts w:ascii="Garamond" w:hAnsi="Garamond"/>
        </w:rPr>
        <w:lastRenderedPageBreak/>
        <w:t xml:space="preserve">Beobachtung des elterlichen Geschlechtsverkehres, die der Verführung, der Kastration und andere, </w:t>
      </w:r>
      <w:r w:rsidRPr="008725BE">
        <w:rPr>
          <w:rFonts w:ascii="Garamond" w:hAnsi="Garamond"/>
          <w:i/>
          <w:iCs/>
        </w:rPr>
        <w:t>Urphantasien</w:t>
      </w:r>
      <w:r w:rsidRPr="008725BE">
        <w:rPr>
          <w:rFonts w:ascii="Garamond" w:hAnsi="Garamond"/>
        </w:rPr>
        <w:t xml:space="preserve"> und werde an anderer Stelle deren Herkunft sowie ihr Verhältnis zum individuellen Erleben eingehend untersuchen. Das zufällige Geräusch spielt also nur die Rolle einer Provokation, welche die typische, im Elternkomplex enthaltene Phantasie von der Belauschung aktiviert. Ja, es ist fraglich, ob wir es als ein »zufälliges« bezeichnen sollen. Wie O. Rank mir bemerkt hat, ist es vielmehr ein notwendiges Requisit der Belauschungsphantasie und wiederholt entweder das Geräusch, durch welches sich der Verkehr der Eltern verrät, oder auch das, wodurch sich das lauschende Kind zu verraten fürchtet. </w:t>
      </w:r>
      <w:r w:rsidRPr="008725BE">
        <w:rPr>
          <w:rFonts w:ascii="Garamond" w:hAnsi="Garamond"/>
          <w:lang w:val="en-GB"/>
        </w:rPr>
        <w:t>Nun erkennen wir aber mit einem Male, auf welchem Boden wir uns befinden. Der Geliebte ist noch immer der Vater, an Stelle der Mutter ist sie selbst getreten. Die Belauschung muß dann einer fremden Person zugeteilt werden. Es wird uns ersichtlich, auf welche Weise sie sich von der homosexuellen Abhängigkeit von der Mutter frei gemacht hat. Durch ein Stückchen Regression; anstatt die Mutter zum Liebesobjekt zu nehmen, hat sie sich mit ihr identifiziert, ist sie selbst zur Mutter geworden. Die Möglichkeit dieser Regression weist auf den narzißtischen Ursprung ihrer homosexuellen Objektwahl und somit auf die bei ihr vorhandene Disposition zur paranoischen Erkrankung hin. Man könnte einen Gedankengang entwerfen, der zu demselben Ergebnis führt wie diese Identifizierung: »Wenn die Mutter das tut, darf ich es auch; ich habe dasselbe Recht wie die Mutter.«</w:t>
      </w:r>
    </w:p>
    <w:p w:rsidR="008725BE" w:rsidRPr="008725BE" w:rsidRDefault="008725BE" w:rsidP="008725BE">
      <w:pPr>
        <w:pStyle w:val="Sansinterligne"/>
        <w:rPr>
          <w:rFonts w:ascii="Garamond" w:hAnsi="Garamond"/>
          <w:lang w:val="en-GB"/>
        </w:rPr>
      </w:pPr>
      <w:r w:rsidRPr="008725BE">
        <w:rPr>
          <w:rFonts w:ascii="Garamond" w:hAnsi="Garamond"/>
          <w:lang w:val="en-GB"/>
        </w:rPr>
        <w:t>Man kann in der Aufhebung der Zufälligkeiten einen Schritt weiter gehen, ohne zu fordern, daß ihn der Leser mitmache, denn das Unterbleiben einer tieferen analytischen Untersuchung macht es in unserem Falle unmöglich, hier über eine gewisse Wahrscheinlichkeit hinauszukommen. Die Kranke hatte in unserer ersten Besprechung angegeben, daß sie sich sofort nach der Ursache des Geräusches erkundigt und die Auskunft erhalten habe, wahrscheinlich habe die auf dem Schreibtisch befindliche kleine Standuhr getickt. Ich nehme mir die Freiheit, diese Mitteilung als eine Erinnerungstäuschung aufzulösen. Es ist mir viel glaubhafter, daß sie zunächst jede Reaktion auf das Geräusch unterlassen und daß ihr dies erst nach dem Zusammentreffen mit den beiden Männern auf der Treppe bedeutungsvoll erschienen ist. Den Erklärungsversuch aus dem Ticken der Uhr wird der Mann, der das Geräusch vielleicht überhaupt nicht gehört hatte, später einmal gewagt haben, als ihn der Argwohn des Mädchens bestürmte. »Ich weiß nicht, was du da gehört haben kannst; vielleicht hat gerade die Standuhr getickt, wie sie es manchmal tut.« Solche Nachträglichkeit in der Verwertung von Eindrücken und solche Verschiebung in der Erinnerung sind gerade bei der Paranoia häufig und für sie charakteristisch. Da ich aber den Mann nie gesprochen habe und die Analyse des Mädchens nicht fortsetzen konnte, bleibt meine Annahme unbeweisbar.</w:t>
      </w:r>
    </w:p>
    <w:p w:rsidR="008725BE" w:rsidRPr="008725BE" w:rsidRDefault="008725BE" w:rsidP="008725BE">
      <w:pPr>
        <w:pStyle w:val="Sansinterligne"/>
        <w:rPr>
          <w:rFonts w:ascii="Garamond" w:hAnsi="Garamond"/>
          <w:lang w:val="en-GB"/>
        </w:rPr>
      </w:pPr>
      <w:r w:rsidRPr="008725BE">
        <w:rPr>
          <w:rFonts w:ascii="Garamond" w:hAnsi="Garamond"/>
          <w:lang w:val="en-GB"/>
        </w:rPr>
        <w:t>Ich könnte es wagen, in der Zersetzung der angeblich realen »Zufälligkeit« noch weiter zu gehen. Ich glaube überhaupt nicht, daß die Standuhr getickt hat oder daß ein Geräusch zu hören war. Die Situation, in der sie sich befand, rechtfertigte eine Empfindung von Pochen oder Klopfen an der Klitoris. Dies war es dann, was sie nachträglich als Wahrnehmung von einem äußeren Objekt hinausprojizierte. Ganz Ähnliches ist im Traume möglich. Eine meiner hysterischen Patientinnen berichtete einmal einen kurzen Wecktraum, zu dem sich kein Material von Einfällen ergeben wollte. Der Traum hieß: Es klopft, und sie wachte auf. Es hatte niemand an die Tür geklopft, aber sie war in den Nächten vorher durch die peinlichen Sensationen von Pollutionen geweckt worden und hatte nun ein Interesse daran zu erwachen, sobald sich die ersten Zeichen der Genitalerregung einstellten. Es hatte an der Klitoris geklopft. Den nämlichen Projektionsvorgang möchte ich bei unserer Paranoika an die Stelle des zufälligen Geräusches setzen. Ich werde selbstverständlich nicht dafür einstehen, daß mir die Kranke bei einer flüchtigen Bekanntschaft unter allen Anzeichen eines ihr unliebsamen Zwanges einen aufrichtigen Bericht über die Vorgänge bei den beiden zärtlichen Zusammenkünften gegeben, aber die vereinzelte Klitoriskontraktion stimmt wohl zu ihrer Behauptung, daß eine Vereinigung der Genitalien dabei nicht stattgefunden habe. An der resultierenden Ablehnung des Mannes hat sicherlich neben dem »Gewissen« auch die Unbefriedigung ihren Anteil.</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kehren nun zu der auffälligen Tatsache zurück, daß sich die Kranke der Liebe zum Manne mit Hilfe einer paranoischen Wahnbildung erwehrt. Den Schlüssel zum Verständnis gibt die Entwicklungsgeschichte dieses Wahnes. Dieser richtete sich ursprünglich, wie wir erwarten durften, gegen das Weib, aber nun </w:t>
      </w:r>
      <w:r w:rsidRPr="008725BE">
        <w:rPr>
          <w:rFonts w:ascii="Garamond" w:hAnsi="Garamond"/>
          <w:i/>
          <w:iCs/>
          <w:lang w:val="en-GB"/>
        </w:rPr>
        <w:t>wurde auf dem Boden der Paranoia der Fortschritt vom Weibe zum Manne als Objekt vollzogen</w:t>
      </w:r>
      <w:r w:rsidRPr="008725BE">
        <w:rPr>
          <w:rFonts w:ascii="Garamond" w:hAnsi="Garamond"/>
          <w:lang w:val="en-GB"/>
        </w:rPr>
        <w:t xml:space="preserve">. Ein solcher Fortschritt ist bei der Paranoia nicht gewöhnlich; wir finden in der Regel, daß der Verfolgte an denselben Personen, also auch an demselben Geschlecht, fixiert bleibt, dem seine Liebeswahl vor der paranoischen Umwandlung galt. Aber er wird durch die neurotische Affektion nicht ausgeschlossen; unsere Beobachtung dürfte für viele andere vorbildlich sein. Es gibt außerhalb der Paranoia viele ähnliche Vorgänge, welche bisher nicht unter diesem Gesichtspunkte zusammengefaßt worden sind, darunter sehr allgemein bekannte. So wird z. B. der sogenannte Neurastheniker durch seine unbewußte Bindung an </w:t>
      </w:r>
      <w:r w:rsidRPr="008725BE">
        <w:rPr>
          <w:rFonts w:ascii="Garamond" w:hAnsi="Garamond"/>
          <w:lang w:val="en-GB"/>
        </w:rPr>
        <w:lastRenderedPageBreak/>
        <w:t>inzestuöse Liebesobjekte davon abgehalten, ein fremdes Weib zum Objekt zu nehmen, und in seiner Sexualbetätigung auf die Phantasie eingeschränkt. Auf dem Boden der Phantasie bringt er aber den ihm versagten Fortschritt zustande und kann Mutter und Schwester durch fremde Objekte ersetzen. Da bei diesen der Einspruch der Zensur entfällt, wird ihm die Wahl dieser Ersatzpersonen in seinen Phantasien bewußt.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Phänomene des versuchten Fortschrittes, von dem neuen meist regressiv erworbenen Boden her, stellen sich den Bemühungen zur Seite, welche bei manchen Neurosen unternommen werden, um eine bereits innegehabte, aber verlorene Position der Libido wiederzugewinnen. Die beiden Reihen von Erscheinungen sind begrifflich kaum voneinander zu trennen. Wir neigen allzusehr zu der Auffassung, daß der Konflikt, welcher der Neurose zugrunde liegt, mit der Symptombildung abgeschlossen sei. In Wirklichkeit geht der Kampf vielfach auch nach der Symptombildung weiter. Auf beiden Seiten tauchen neue Triebanteile auf, welche ihn fortführen. Das Symptom selbst wird zum Objekt dieses Kampfes; Strebungen, die es behaupten wollen, messen sich mit anderen, die seine Aufhebung und die Herstellung des früheren Zustandes durchzusetzen bemüht sind. Häufig werden Wege gesucht, um das Symptom zu entwerten, indem man das Verlorene und durch das Symptom Versagte von anderen Zugängen her zu gewinnen trachtet. Diese Verhältnisse werfen ein klärendes Licht auf eine Aufstellung von C. G. Jung, demzufolge eine eigentümliche psychische Trägheit, die sich der Veränderung und dem Fortschritt widersetzt, die Grundbedingung der Neurose ist. Diese Trägheit ist in der Tat sehr eigentümlich; sie ist keine allgemeine, sondern eine höchst spezialisierte, sie ist auch auf ihrem Gebiete nicht Alleinherrscherin, sondern kämpft mit Fortschritts- und Wiederherstellungstendenzen, die sich selbst nach der Symptombildung der Neurose nicht beruhigen. Spürt man dem Ausgangspunkte dieser speziellen Trägheit nach, so enthüllt sie sich als die Äußerung von sehr frühzeitig erfolgten, sehr schwer lösbaren Verknüpfungen von Trieben mit Eindrücken und den in ihnen gegebenen Objekten, durch welche die Weiterentwicklung dieser Triebanteile zum Stillstand gebracht wurde. Oder, um es anders zu sagen, diese spezialisierte »psychische Trägheit« ist nur ein anderer, kaum ein besserer Ausdruck für das, was wir in der Psychoanalyse eine </w:t>
      </w:r>
      <w:r w:rsidRPr="008725BE">
        <w:rPr>
          <w:rFonts w:ascii="Garamond" w:hAnsi="Garamond"/>
          <w:i/>
          <w:iCs/>
          <w:lang w:val="en-GB"/>
        </w:rPr>
        <w:t>Fixierung</w:t>
      </w:r>
      <w:r w:rsidRPr="008725BE">
        <w:rPr>
          <w:rFonts w:ascii="Garamond" w:hAnsi="Garamond"/>
          <w:lang w:val="en-GB"/>
        </w:rPr>
        <w:t xml:space="preserve"> zu nennen gewohnt sind.</w:t>
      </w:r>
    </w:p>
    <w:p w:rsidR="008725BE" w:rsidRPr="008725BE" w:rsidRDefault="008725BE" w:rsidP="008725BE">
      <w:pPr>
        <w:pStyle w:val="Sansinterligne"/>
        <w:rPr>
          <w:rFonts w:ascii="Garamond" w:hAnsi="Garamond"/>
          <w:lang w:val="en-GB"/>
        </w:rPr>
      </w:pPr>
      <w:r w:rsidRPr="008725BE">
        <w:rPr>
          <w:rFonts w:ascii="Garamond" w:hAnsi="Garamond"/>
          <w:lang w:val="en-GB"/>
        </w:rPr>
        <w:br w:type="page"/>
      </w:r>
    </w:p>
    <w:p w:rsidR="008725BE" w:rsidRPr="008725BE" w:rsidRDefault="00B437A1" w:rsidP="008725BE">
      <w:pPr>
        <w:pStyle w:val="Sansinterligne"/>
        <w:rPr>
          <w:rFonts w:ascii="Garamond" w:hAnsi="Garamond"/>
          <w:caps/>
          <w:lang w:val="en-GB"/>
        </w:rPr>
      </w:pPr>
      <w:hyperlink w:anchor="KSinhalt" w:history="1">
        <w:r w:rsidR="008725BE" w:rsidRPr="008725BE">
          <w:rPr>
            <w:rStyle w:val="Lienhypertexte"/>
            <w:rFonts w:ascii="Garamond" w:hAnsi="Garamond"/>
            <w:b/>
            <w:lang w:val="en-GB"/>
          </w:rPr>
          <w:t>My</w:t>
        </w:r>
        <w:bookmarkStart w:id="179" w:name="KS44"/>
        <w:bookmarkEnd w:id="179"/>
        <w:r w:rsidR="008725BE" w:rsidRPr="008725BE">
          <w:rPr>
            <w:rStyle w:val="Lienhypertexte"/>
            <w:rFonts w:ascii="Garamond" w:hAnsi="Garamond"/>
            <w:b/>
            <w:lang w:val="en-GB"/>
          </w:rPr>
          <w:t>thologische Parallele zu einer plastischen Zwangsvorstellung</w:t>
        </w:r>
      </w:hyperlink>
      <w:r w:rsidR="008725BE" w:rsidRPr="008725BE">
        <w:rPr>
          <w:rFonts w:ascii="Garamond" w:hAnsi="Garamond"/>
          <w:lang w:val="en-GB"/>
        </w:rPr>
        <w:t xml:space="preserve">  </w:t>
      </w:r>
      <w:r w:rsidR="008725BE" w:rsidRPr="008725BE">
        <w:rPr>
          <w:rFonts w:ascii="Garamond" w:hAnsi="Garamond"/>
          <w:caps/>
          <w:lang w:val="en-GB"/>
        </w:rPr>
        <w:t>(1916)</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 einem etwa 21jährigen Kranken werden die Produkte der unbewußten Geistesarbeit nicht nur als Zwangsgedanken, sondern auch als </w:t>
      </w:r>
      <w:r w:rsidRPr="008725BE">
        <w:rPr>
          <w:rFonts w:ascii="Garamond" w:hAnsi="Garamond"/>
          <w:i/>
          <w:iCs/>
          <w:lang w:val="en-GB"/>
        </w:rPr>
        <w:t>Zwangsbilder</w:t>
      </w:r>
      <w:r w:rsidRPr="008725BE">
        <w:rPr>
          <w:rFonts w:ascii="Garamond" w:hAnsi="Garamond"/>
          <w:lang w:val="en-GB"/>
        </w:rPr>
        <w:t xml:space="preserve"> bewußt. Die beiden können einander begleiten oder unabhängig voneinander auftreten. Zu einer gewissen Zeit traten bei ihm innig verknüpft ein Zwangswort und ein Zwangsbild auf, wenn er seinen Vater ins Zimmer kommen sah. Das Wort lautete: »Vaterarsch«, das begleitende Bild stellte den Vater als einen nackten, mit Armen und Beinen versehenen Unterkörper dar, dem Kopf und Oberkörper fehlten. Die Genitalien waren nicht angezeigt, die Gesichtszüge auf dem Bauch aufgemalt.</w:t>
      </w:r>
    </w:p>
    <w:p w:rsidR="008725BE" w:rsidRPr="008725BE" w:rsidRDefault="008725BE" w:rsidP="008725BE">
      <w:pPr>
        <w:pStyle w:val="Sansinterligne"/>
        <w:rPr>
          <w:rFonts w:ascii="Garamond" w:hAnsi="Garamond"/>
          <w:lang w:val="en-GB"/>
        </w:rPr>
      </w:pPr>
      <w:r w:rsidRPr="008725BE">
        <w:rPr>
          <w:rFonts w:ascii="Garamond" w:hAnsi="Garamond"/>
          <w:lang w:val="en-GB"/>
        </w:rPr>
        <w:t>Zur Erläuterung dieser mehr als gewöhnlich tollen Symptombildung ist zu bemerken, daß der intellektuell vollentwickelte und ethisch hochstrebende Mann bis über sein zehntes Jahr eine sehr lebhafte Analerotik in den verschiedensten Formen betätigt hatte. Nachdem sie überwunden war, wurde sein Sexualleben durch den späteren Kampf gegen die Genitalerotik auf die anale Vorstufe zurückgedrängt. Seinen Vater liebte und respektierte er sehr, fürchtete ihn auch nicht wenig; vom Standpunkte seiner hohen Ansprüche an Triebunterdrückung und Askese erschien ihm der Vater aber als der Vertreter der »Völlerei«, der aufs Materielle gerichteten Genußsucht.</w:t>
      </w:r>
    </w:p>
    <w:p w:rsidR="008725BE" w:rsidRPr="008725BE" w:rsidRDefault="008725BE" w:rsidP="008725BE">
      <w:pPr>
        <w:pStyle w:val="Sansinterligne"/>
        <w:rPr>
          <w:rFonts w:ascii="Garamond" w:hAnsi="Garamond"/>
          <w:lang w:val="en-GB"/>
        </w:rPr>
      </w:pPr>
      <w:r w:rsidRPr="008725BE">
        <w:rPr>
          <w:rFonts w:ascii="Garamond" w:hAnsi="Garamond"/>
          <w:lang w:val="en-GB"/>
        </w:rPr>
        <w:t>»Vaterarsch« erklärte sich bald als mutwillige Verdeutschung des Ehrentitels »Patriarch«. Das Zwangsbild ist eine offenkundige Karikatur. Es erinnert an andere Darstellungen, die in herabsetzender Absicht die ganze Person durch ein einziges Organ, z. B. ihr Genitale ersetzen, an unbewußte Phantasien, welche zur Identifizierung des Genitales mit dem ganzen Menschen führen, und an scherzhafte Redensarten wie: »Ich bin ganz Ohr.«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Anbringung der Gesichtszüge auf dem Bauche der Spottfigur erschien mir zunächst sehr sonderbar. Ich erinnerte mich aber bald, ähnliches an französischen Karikaturen gesehen zu haben </w:t>
      </w:r>
      <w:hyperlink r:id="rId86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›Das unanständige Albion‹, Karikatur von Jean Véber aus dem Jahre 1901 auf England in Eduard Fuchs: </w:t>
        </w:r>
        <w:r w:rsidRPr="008725BE">
          <w:rPr>
            <w:rStyle w:val="innerfusslink3"/>
            <w:rFonts w:ascii="Garamond" w:hAnsi="Garamond" w:cs="Arial"/>
            <w:b/>
            <w:bCs/>
            <w:i/>
            <w:iCs/>
            <w:lang w:val="en-GB"/>
          </w:rPr>
          <w:t>Das erotische Element in der Karikatur</w:t>
        </w:r>
        <w:r w:rsidRPr="008725BE">
          <w:rPr>
            <w:rStyle w:val="innerfusslink3"/>
            <w:rFonts w:ascii="Garamond" w:hAnsi="Garamond" w:cs="Arial"/>
            <w:b/>
            <w:bCs/>
            <w:lang w:val="en-GB"/>
          </w:rPr>
          <w:t>, 1904</w:t>
        </w:r>
      </w:hyperlink>
      <w:r w:rsidRPr="008725BE">
        <w:rPr>
          <w:rFonts w:ascii="Garamond" w:hAnsi="Garamond"/>
          <w:lang w:val="en-GB"/>
        </w:rPr>
        <w:t>. Der Zufall hat mich dann mit einer antiken Darstellung bekanntgemacht, die volle Übereinstimmung mit dem Zwangsbild meines Patienten zeigt.</w:t>
      </w:r>
    </w:p>
    <w:p w:rsidR="008725BE" w:rsidRPr="008725BE" w:rsidRDefault="008725BE" w:rsidP="008725BE">
      <w:pPr>
        <w:pStyle w:val="Sansinterligne"/>
        <w:rPr>
          <w:rFonts w:ascii="Garamond" w:hAnsi="Garamond"/>
          <w:lang w:val="en-GB"/>
        </w:rPr>
      </w:pPr>
      <w:r w:rsidRPr="008725BE">
        <w:rPr>
          <w:rFonts w:ascii="Garamond" w:hAnsi="Garamond"/>
          <w:noProof/>
          <w:lang w:eastAsia="fr-FR"/>
        </w:rPr>
        <w:drawing>
          <wp:anchor distT="0" distB="0" distL="47625" distR="47625" simplePos="0" relativeHeight="251661312" behindDoc="0" locked="0" layoutInCell="1" allowOverlap="0">
            <wp:simplePos x="0" y="0"/>
            <wp:positionH relativeFrom="column">
              <wp:posOffset>-899795</wp:posOffset>
            </wp:positionH>
            <wp:positionV relativeFrom="line">
              <wp:posOffset>-5293995</wp:posOffset>
            </wp:positionV>
            <wp:extent cx="695325" cy="1009650"/>
            <wp:effectExtent l="19050" t="0" r="9525" b="0"/>
            <wp:wrapSquare wrapText="bothSides"/>
            <wp:docPr id="35" name="Image 12" descr="v7s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7s122"/>
                    <pic:cNvPicPr>
                      <a:picLocks noChangeAspect="1" noChangeArrowheads="1"/>
                    </pic:cNvPicPr>
                  </pic:nvPicPr>
                  <pic:blipFill>
                    <a:blip r:embed="rId864" cstate="print"/>
                    <a:srcRect/>
                    <a:stretch>
                      <a:fillRect/>
                    </a:stretch>
                  </pic:blipFill>
                  <pic:spPr bwMode="auto">
                    <a:xfrm>
                      <a:off x="0" y="0"/>
                      <a:ext cx="695325" cy="1009650"/>
                    </a:xfrm>
                    <a:prstGeom prst="rect">
                      <a:avLst/>
                    </a:prstGeom>
                    <a:noFill/>
                    <a:ln w="9525">
                      <a:noFill/>
                      <a:miter lim="800000"/>
                      <a:headEnd/>
                      <a:tailEnd/>
                    </a:ln>
                  </pic:spPr>
                </pic:pic>
              </a:graphicData>
            </a:graphic>
          </wp:anchor>
        </w:drawing>
      </w:r>
      <w:r w:rsidRPr="008725BE">
        <w:rPr>
          <w:rFonts w:ascii="Garamond" w:hAnsi="Garamond"/>
          <w:lang w:val="en-GB"/>
        </w:rPr>
        <w:t xml:space="preserve">Nach der griechischen Sage war Demeter auf der Suche nach ihrer geraubten Tochter nach Eleusis gekommen, fand Aufnahme bei Dysaules und seiner Frau Baubo, verweigerte aber in ihrer tiefen Trauer, Speise und Trank zu berühren. Da brachte sie die Wirtin Baubo zum Lachen, indem sie plötzlich ihr Kleid aufhob und ihren Leib enthüllte. Die Diskussion dieser Anekdote, die wahrscheinlich ein nicht mehr verstandenes magisches Zeremoniell erklären soll, findet sich im vierten Bande des Werkes </w:t>
      </w:r>
      <w:r w:rsidRPr="008725BE">
        <w:rPr>
          <w:rFonts w:ascii="Garamond" w:hAnsi="Garamond"/>
          <w:i/>
          <w:iCs/>
          <w:lang w:val="en-GB"/>
        </w:rPr>
        <w:t>Cultes, mythes et religions</w:t>
      </w:r>
      <w:r w:rsidRPr="008725BE">
        <w:rPr>
          <w:rFonts w:ascii="Garamond" w:hAnsi="Garamond"/>
          <w:lang w:val="en-GB"/>
        </w:rPr>
        <w:t>, 1912, von Salomon Reinach. Ebendort wird auch erwähnt, daß sich bei den Ausgrabungen des kleinasiatischen Priene Terrakotten gefunden haben, welche diese Baubo darstellen. Sie zeigen einen Frauenleib ohne Kopf und Brust, auf dessen Bauch ein Gesicht gebildet ist; der aufgehobene Rock umrahmt dieses Gesicht wie eine Haarkrone. (S. Reinach, ibid., S. 117.)</w:t>
      </w:r>
    </w:p>
    <w:p w:rsidR="008725BE" w:rsidRPr="008725BE" w:rsidRDefault="008725BE" w:rsidP="008725BE">
      <w:pPr>
        <w:pStyle w:val="Sansinterligne"/>
        <w:rPr>
          <w:rFonts w:ascii="Garamond" w:hAnsi="Garamond"/>
          <w:lang w:val="en-GB"/>
        </w:rPr>
      </w:pP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Ne</w:t>
        </w:r>
        <w:bookmarkStart w:id="180" w:name="KS45"/>
        <w:bookmarkEnd w:id="180"/>
        <w:r w:rsidRPr="008725BE">
          <w:rPr>
            <w:rStyle w:val="Lienhypertexte"/>
            <w:rFonts w:ascii="Garamond" w:hAnsi="Garamond"/>
            <w:b/>
            <w:lang w:val="en-GB"/>
          </w:rPr>
          <w:t>urose und Psychose</w:t>
        </w:r>
      </w:hyperlink>
      <w:r w:rsidRPr="008725BE">
        <w:rPr>
          <w:rFonts w:ascii="Garamond" w:hAnsi="Garamond"/>
          <w:lang w:val="en-GB"/>
        </w:rPr>
        <w:t xml:space="preserve">  </w:t>
      </w:r>
      <w:r w:rsidRPr="008725BE">
        <w:rPr>
          <w:rFonts w:ascii="Garamond" w:hAnsi="Garamond"/>
          <w:caps/>
          <w:lang w:val="en-GB"/>
        </w:rPr>
        <w:t>(1924)</w:t>
      </w:r>
    </w:p>
    <w:p w:rsidR="008725BE" w:rsidRPr="008725BE" w:rsidRDefault="008725BE" w:rsidP="008725BE">
      <w:pPr>
        <w:pStyle w:val="Sansinterligne"/>
        <w:rPr>
          <w:rFonts w:ascii="Garamond" w:hAnsi="Garamond"/>
          <w:lang w:val="en-GB"/>
        </w:rPr>
      </w:pP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meiner kürzlich erschienenen Schrift </w:t>
      </w:r>
      <w:r w:rsidRPr="008725BE">
        <w:rPr>
          <w:rFonts w:ascii="Garamond" w:hAnsi="Garamond"/>
          <w:i/>
          <w:iCs/>
          <w:lang w:val="en-GB"/>
        </w:rPr>
        <w:t>Das Ich und das Es</w:t>
      </w:r>
      <w:r w:rsidRPr="008725BE">
        <w:rPr>
          <w:rFonts w:ascii="Garamond" w:hAnsi="Garamond"/>
          <w:lang w:val="en-GB"/>
        </w:rPr>
        <w:t xml:space="preserve"> habe ich eine Gliederung des seelischen Apparates angegeben, auf deren Grund sich eine Reihe von Beziehungen in einfacher und übersichtlicher Weise darstellen läßt. In anderen Punkten, zum Beispiel was die Herkunft und Rolle des Über-Ichs betrifft, bleibt genug des Dunkeln und Unerledigten. Man darf nun fordern, daß eine solche Aufstellung sich auch für andere Dinge als brauchbar und förderlich erweise, wäre es auch nur, um bereits Bekanntes in neuer Auffassung zu sehen, es anders zu gruppieren und überzeugender zu beschreiben. Mit solcher Anwendung könnte auch eine vorteilhafte Rückkehr von der grauen Theorie zur ewig grünenden Erfahrung verbunden sein.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Am genannten Orte sind die vielfältigen Abhängigkeiten des Ichs geschildert, seine Mittelstellung zwischen Außenwelt und Es und sein Bestreben, all seinen Herren gleichzeitig zu Willen zu sein. Im Zusammenhange eines von anderer Seite angeregten Gedankenganges, der sich mit der Entstehung und Verhütung der Psychosen beschäftigte, ergab sich mir nun eine einfache Formel, welche die vielleicht wichtigste genetische Differenz zwischen Neurose und Psychose behandelt: </w:t>
      </w:r>
      <w:r w:rsidRPr="008725BE">
        <w:rPr>
          <w:rFonts w:ascii="Garamond" w:hAnsi="Garamond"/>
          <w:i/>
          <w:iCs/>
          <w:lang w:val="en-GB"/>
        </w:rPr>
        <w:t>die Neurose sei der Erfolg eines Konflikts zwischen dem Ich und seinem Es, die Psychose aber der analoge Ausgang einer solchen Störung in den Beziehungen zwischen Ich und Außenwelt.</w:t>
      </w:r>
    </w:p>
    <w:p w:rsidR="008725BE" w:rsidRPr="008725BE" w:rsidRDefault="008725BE" w:rsidP="008725BE">
      <w:pPr>
        <w:pStyle w:val="Sansinterligne"/>
        <w:rPr>
          <w:rFonts w:ascii="Garamond" w:hAnsi="Garamond"/>
          <w:lang w:val="en-GB"/>
        </w:rPr>
      </w:pPr>
      <w:r w:rsidRPr="008725BE">
        <w:rPr>
          <w:rFonts w:ascii="Garamond" w:hAnsi="Garamond"/>
          <w:lang w:val="en-GB"/>
        </w:rPr>
        <w:t>Es ist sicherlich eine berechtigte Mahnung, daß man gegen so einfache Problemlösungen mißtrauisch sein soll. Auch wird unsere äußerste Erwartung nicht weiter gehen, als daß diese Formel sich im gröbsten als richtig erweise. Aber auch das wäre schon etwas. Man besinnt sich auch sofort an eine ganze Reihe von Einsichten und Funden, welche unseren Satz zu bekräftigen scheinen. Die Übertragungsneurosen entstehen nach dem Ergebnis aller unserer Analysen dadurch, daß das Ich eine im Es mächtige Triebregung nicht aufnehmen und nicht zur motorischen Erledigung befördern will oder ihr das Objekt bestreitet, auf das sie zielt. Das Ich erwehrt sich ihrer dann durch den Mechanismus der Verdrängung; das Verdrängte sträubt sich gegen dieses Schicksal, schafft sich auf Wegen, über die das Ich keine Macht hat, eine Ersatzvertretung, die sich dem Ich auf dem Wege des Kompromisses aufdrängt, das Symptom; das Ich findet seine Einheitlichkeit durch diesen Eindringling bedroht und geschädigt, setzt den Kampf gegen das Symptom fort, wie es sich gegen die ursprüngliche Triebregung gewehrt hatte, und dies alles ergibt das Bild der Neurose. Es ist kein Einwand, daß das Ich, wenn es die Verdrängung vornimmt, im Grunde den Geboten seines Über-Ichs folgt, die wiederum solchen Einflüssen der realen Außenwelt entstammen, welche im Über-Ich ihre Vertretung gefunden haben. Es bleibt doch dabei, daß das Ich sich auf die Seite dieser Mächte geschlagen hat, daß in ihm deren Anforderungen stärker sind als die Triebansprüche des Es und daß das Ich die Macht ist, welche die Verdrängung gegen jenen Anteil des Es ins Werk setzt und durch die Gegenbesetzung des Widerstandes befestigt. Im Dienste des Über-Ichs und der Realität ist das Ich in Konflikt mit dem Es geraten, und dies ist der Sachverhalt bei allen Übertragungsneurosen.</w:t>
      </w:r>
    </w:p>
    <w:p w:rsidR="008725BE" w:rsidRPr="008725BE" w:rsidRDefault="008725BE" w:rsidP="008725BE">
      <w:pPr>
        <w:pStyle w:val="Sansinterligne"/>
        <w:rPr>
          <w:rFonts w:ascii="Garamond" w:hAnsi="Garamond"/>
          <w:lang w:val="en-GB"/>
        </w:rPr>
      </w:pPr>
      <w:r w:rsidRPr="008725BE">
        <w:rPr>
          <w:rFonts w:ascii="Garamond" w:hAnsi="Garamond"/>
          <w:lang w:val="en-GB"/>
        </w:rPr>
        <w:t>Auf der anderen Seite wird es uns ebenso leicht, aus unserer bisherigen Einsicht in den Mechanismus der Psychosen Beispiele anzuführen, welche auf die Störung des Verhältnisses zwischen Ich und Außenwelt hinweisen. Bei der Amentia Meynerts, der akuten halluzinatorischen Verworrenheit, der vielleicht extremsten und frappantesten Form von Psychose, wird die Außenwelt entweder gar nicht wahrgenommen, oder ihre Wahrnehmung bleibt völlig unwirksam. Normalerweise beherrscht ja die Außenwelt das Ich auf zwei Wegen: erstens durch die immer von neuem möglichen aktuellen Wahrnehmungen, zweitens durch den Erinnerungsschatz früherer Wahrnehmungen, die als »Innenwelt« einen Besitz und Bestandteil des Ichs bilden. In der Amentia wird nun nicht nur die Annahme neuer Wahrnehmungen verweigert, es wird auch der Innenwelt, welche die Außenwelt als ihr Abbild bisher vertrat, die Bedeutung (Besetzung) entzogen; das Ich schafft sich selbstherrlich eine neue Außen- und Innenwelt, und es ist kein Zweifel an zwei Tatsachen, daß diese neue Welt im Sinne der Wunschregungen des Es aufgebaut ist und daß eine schwere, unerträglich erscheinende Wunschversagung der Realität das Motiv dieses Zerfalles mit der Außenwelt ist. Die innere Verwandtschaft dieser Psychose mit dem normalen Traum ist nicht zu verkennen. Die Bedingung des Träumens ist aber der Schlafzustand, zu dessen Charakteren die volle Abwendung von Wahrnehmung und Außenwelt gehört.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Von anderen Formen von Psychose, den Schizophrenien, weiß man, daß sie zum Ausgang in affektiven Stumpfsinn, das heißt zum Verlust alles Anteiles an der Außenwelt tendieren. Über die Genese der Wahnbildungen haben uns einige Analysen gelehrt, daß der Wahn wie ein aufgesetzter Fleck dort gefunden wird, wo ursprünglich ein Einriß in der Beziehung des Ichs zur Außenwelt entstanden war. Wenn die Bedingung des Konflikts mit der Außenwelt nicht noch weit auffälliger ist, als wir sie jetzt erkennen, so hat dies seinen Grund in der Tatsache, daß im Krankheitsbild der Psychose die </w:t>
      </w:r>
      <w:r w:rsidRPr="008725BE">
        <w:rPr>
          <w:rFonts w:ascii="Garamond" w:hAnsi="Garamond"/>
          <w:lang w:val="en-GB"/>
        </w:rPr>
        <w:lastRenderedPageBreak/>
        <w:t>Erscheinungen des pathogenen Vorganges oft von denen eines Heilungs- oder Rekonstruktionsversuches überdeckt werden.</w:t>
      </w:r>
    </w:p>
    <w:p w:rsidR="008725BE" w:rsidRPr="008725BE" w:rsidRDefault="008725BE" w:rsidP="008725BE">
      <w:pPr>
        <w:pStyle w:val="Sansinterligne"/>
        <w:rPr>
          <w:rFonts w:ascii="Garamond" w:hAnsi="Garamond"/>
          <w:lang w:val="en-GB"/>
        </w:rPr>
      </w:pPr>
      <w:r w:rsidRPr="008725BE">
        <w:rPr>
          <w:rFonts w:ascii="Garamond" w:hAnsi="Garamond"/>
          <w:lang w:val="en-GB"/>
        </w:rPr>
        <w:t>Die gemeinsame Ätiologie für den Ausbruch einer Psychoneurose oder Psychose bleibt immer die Versagung, die Nichterfüllung eines jener ewig unbezwungenen Kindheitswünsche, die so tief in unserer phylogenetisch bestimmten Organisation wurzeln. Diese Versagung ist im letzten Grunde immer eine äußere; im einzelnen Fall kann sie von jener inneren Instanz (im Über-Ich) ausgehen, welche die Vertretung der Realitätsforderung übernommen hat. Der pathogene Effekt hängt nun davon ab, ob das Ich in solcher Konfliktspannung seiner Abhängigkeit von der Außenwelt treu bleibt und das Es zu knebeln versucht oder ob es sich vom Es überwältigen und damit von der Realität losreißen läßt. Eine Komplikation wird in diese anscheinend einfache Lage aber durch die Existenz des Über-Ichs eingetragen, welches in noch nicht durchschauter Verknüpfung Einflüsse aus dem Es wie aus der Außenwelt in sich vereinigt, gewissermaßen ein Idealvorbild für das ist, worauf alles Streben des Ichs abzielt, die Versöhnung seiner mehrfachen Abhängigkeiten. Das Verhalten des Über-Ichs wäre, was bisher nicht geschehen ist, bei allen Formen psychischer Erkrankung in Betracht zu ziehen. Wir können aber vorläufig postulieren, es muß auch Affektionen geben, denen ein Konflikt zwischen Ich und Über-Ich zugrunde liegt. Die Analyse gibt uns ein Recht anzunehmen, daß die Melancholie ein Muster dieser Gruppe ist, und dann würden wir für solche Störungen den Namen »narzißtische Psychoneurosen« in Anspruch nehmen. Es stimmt ja nicht übel zu unseren Eindrücken, wenn wir Motive finden, Zustände wie die Melancholie von den anderen Psychosen zu sondern. Dann merken wir aber, daß wir unsere einfache genetische Formel vervollständigen konnten, ohne sie fallenzulassen. Die Übertragungsneurose entspricht dem Konflikt zwischen Ich und Es, die narzißtische Neurose dem zwischen Ich und Über-Ich, die Psychose dem zwischen Ich und Außenwelt. Wir wissen freilich zunächst nicht zu sagen, ob wir wirklich neue Einsichten gewonnen oder nur unseren Formelschatz bereichert haben, aber ich meine, diese Anwendungsmöglichkeit muß uns doch Mut machen, die vorgeschlagene Gliederung des seelischen Apparates in Ich, Über-Ich und Es weiter im Auge zu behalten.</w:t>
      </w:r>
    </w:p>
    <w:p w:rsidR="008725BE" w:rsidRPr="008725BE" w:rsidRDefault="008725BE" w:rsidP="008725BE">
      <w:pPr>
        <w:pStyle w:val="Sansinterligne"/>
        <w:rPr>
          <w:rFonts w:ascii="Garamond" w:hAnsi="Garamond"/>
          <w:lang w:val="en-GB"/>
        </w:rPr>
      </w:pPr>
      <w:r w:rsidRPr="008725BE">
        <w:rPr>
          <w:rFonts w:ascii="Garamond" w:hAnsi="Garamond"/>
          <w:lang w:val="en-GB"/>
        </w:rPr>
        <w:t>Die Behauptung, daß Neurosen und Psychosen durch die Konflikte des Ichs mit seinen verschiedenen herrschenden Instanzen entstehen, also einem Fehlschlagen in der Funktion des Ichs entsprechen, das doch das Bemühen zeigt, all die verschiedenen Ansprüche miteinander zu versöhnen, fordert eine andere Erörterung zu ihrer Ergänzung heraus. Man möchte wissen, unter welchen Umständen und durch welche Mittel es dem Ich gelingt, aus solchen gewiß immer vorhandenen Konflikten ohne Erkrankung zu entkommen. Dies ist nun ein neues Forschungsgebiet, auf dem sich gewiß die verschiedensten Faktoren zur Berücksichtigung einfinden werden. Zwei Momente lassen sich aber sofort herausheben. Der Ausgang aller solchen Situationen wird unzweifelhaft von ökonomischen Verhältnissen, von den relativen Größen der miteinander ringenden Strebungen abhängen. Und ferner: es wird dem Ich möglich sein, den Bruch nach irgendeiner Seite dadurch zu vermeiden, daß es sich selbst deformiert, sich Einbußen an seiner Einheitlichkeit gefallen läßt, eventuell sogar sich zerklüftet oder zerteilt. Damit rückten die Inkonsequenzen, Verschrobenheiten und Narrheiten der Menschen in ein ähnliches Licht wie ihre sexuellen Perversionen, durch deren Annahme sie sich ja Verdrängungen ersparen.</w:t>
      </w:r>
    </w:p>
    <w:p w:rsidR="008725BE" w:rsidRPr="008725BE" w:rsidRDefault="008725BE" w:rsidP="008725BE">
      <w:pPr>
        <w:pStyle w:val="Sansinterligne"/>
        <w:rPr>
          <w:rFonts w:ascii="Garamond" w:hAnsi="Garamond"/>
          <w:lang w:val="en-GB"/>
        </w:rPr>
      </w:pPr>
      <w:r w:rsidRPr="008725BE">
        <w:rPr>
          <w:rFonts w:ascii="Garamond" w:hAnsi="Garamond"/>
          <w:lang w:val="en-GB"/>
        </w:rPr>
        <w:t>Zum Schlusse ist der Frage zu gedenken, welches der einer Verdrängung analoge Mechanismus sein mag, durch den das Ich sich von der Außenwelt ablöst. Ich meine, dies ist ohne neue Untersuchungen nicht zu beantworten, aber er müßte, wie die Verdrängung, eine Abziehung der vom Ich ausgeschickten Besetzung zum Inhalt haben.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No</w:t>
        </w:r>
        <w:bookmarkStart w:id="181" w:name="KS46"/>
        <w:bookmarkEnd w:id="181"/>
        <w:r w:rsidRPr="008725BE">
          <w:rPr>
            <w:rStyle w:val="Lienhypertexte"/>
            <w:rFonts w:ascii="Garamond" w:hAnsi="Garamond"/>
            <w:b/>
            <w:lang w:val="en-GB"/>
          </w:rPr>
          <w:t>tiz über den “Wunderblock”</w:t>
        </w:r>
      </w:hyperlink>
      <w:r w:rsidRPr="008725BE">
        <w:rPr>
          <w:rFonts w:ascii="Garamond" w:hAnsi="Garamond"/>
          <w:lang w:val="en-GB"/>
        </w:rPr>
        <w:t xml:space="preserve">  </w:t>
      </w:r>
      <w:r w:rsidRPr="008725BE">
        <w:rPr>
          <w:rFonts w:ascii="Garamond" w:hAnsi="Garamond"/>
          <w:caps/>
          <w:lang w:val="en-GB"/>
        </w:rPr>
        <w:t>(1925)</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Wenn ich meinem Gedächtnis mißtraue – der Neurotiker tut dies bekanntlich in auffälligem Ausmaße, aber auch der Normale hat allen Grund dazu –, so kann ich dessen Funktion ergänzen und versichern, indem ich mir eine schriftliche Aufzeichnung mache. Die Fläche, welche diese Aufzeichnung bewahrt, die Schreibtafel oder das Blatt Papier, ist dann gleichsam ein materialisiertes Stück des Erinnerungsapparates, den ich sonst unsichtbar in mir trage. Wenn ich mir nur den Ort merke, an dem die so fixierte »Erinnerung« untergebracht ist, so kann ich sie jederzeit nach Belieben »reproduzieren« und bin sicher, daß sie unverändert geblieben, also den Entstellungen entgangen ist, die sie vielleicht in meinem Gedächtnis erfahren hätte.</w:t>
      </w:r>
    </w:p>
    <w:p w:rsidR="008725BE" w:rsidRPr="008725BE" w:rsidRDefault="008725BE" w:rsidP="008725BE">
      <w:pPr>
        <w:pStyle w:val="Sansinterligne"/>
        <w:rPr>
          <w:rFonts w:ascii="Garamond" w:hAnsi="Garamond"/>
          <w:lang w:val="en-GB"/>
        </w:rPr>
      </w:pPr>
      <w:r w:rsidRPr="008725BE">
        <w:rPr>
          <w:rFonts w:ascii="Garamond" w:hAnsi="Garamond"/>
          <w:lang w:val="en-GB"/>
        </w:rPr>
        <w:t>Wenn ich mich dieser Technik zur Verbesserung meiner Gedächtnisfunktion in ausgiebiger Weise bedienen will, bemerke ich, daß mir zwei verschiedene Verfahren zu Gebote stehen. Ich kann erstens eine Schreibfläche wählen, welche die ihr anvertraute Notiz unbestimmt lange unversehrt bewahrt, also ein Blatt Papier, das ich mit Tinte beschreibe. Ich erhalte dann eine »dauerhafte Erinnerungsspur«. Der Nachteil dieses Verfahrens besteht darin, daß die Aufnahmsfähigkeit der Schreibfläche sich bald erschöpft. Das Blatt ist vollgeschrieben, hat keinen Raum für neue Aufzeichnungen, und ich sehe mich genötigt, ein anderes, noch unbeschriebenes Blatt in Verwendung zu nehmen. Auch kann der Vorzug dieses Verfahrens, das eine »Dauerspur« liefert, seinen Wert für mich verlieren, nämlich wenn mein Interesse an der Notiz nach einiger Zeit erloschen ist und ich sie nicht mehr »im Gedächtnis behalten« will. Das andere Verfahren ist von beiden Mängeln frei. Wenn ich zum Beispiel mit Kreide auf eine Schiefertafel schreibe, so habe ich eine Aufnahmsfläche, die unbegrenzt lange aufnahmsfähig bleibt und deren Aufzeichnungen ich zerstören kann, sobald sie mich nicht mehr interessieren, ohne die Schreibfläche selbst verwerfen zu müssen. Der Nachteil ist hier, daß ich eine Dauerspur nicht erhalten kann. Will ich neue Notizen auf die Tafel bringen, so muß ich die, mit denen sie bereits bedeckt ist, wegwischen. Unbegrenzte Aufnahmsfähigkeit und Erhaltung von Dauerspuren scheinen sich also für die Vorrichtungen, mit denen wir unser Gedächtnis substituieren, auszuschließen, es muß entweder die aufnehmende Fläche erneut oder die Aufzeichnung vernichtet werden.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Hilfsapparate, welche wir zur Verbesserung oder Verstärkung unserer Sinnesfunktionen erfunden haben, sind alle so gebaut wie das Sinnesorgan selbst oder Teile desselben (Brille, photographische Kamera, Hörrohr usw.). An diesem Maß gemessen, scheinen die Hilfsvorrichtungen für unser Gedächtnis besonders mangelhaft zu sein, denn unser seelischer Apparat leistet gerade das, was diese nicht können; er ist in unbegrenzter Weise aufnahmsfähig für immer neue Wahrnehmungen und schafft doch dauerhafte – wenn auch nicht unveränderliche – Erinnerungsspuren von ihnen. Ich habe schon in der </w:t>
      </w:r>
      <w:r w:rsidRPr="008725BE">
        <w:rPr>
          <w:rFonts w:ascii="Garamond" w:hAnsi="Garamond"/>
          <w:i/>
          <w:iCs/>
          <w:lang w:val="en-GB"/>
        </w:rPr>
        <w:t>Traumdeutung</w:t>
      </w:r>
      <w:r w:rsidRPr="008725BE">
        <w:rPr>
          <w:rFonts w:ascii="Garamond" w:hAnsi="Garamond"/>
          <w:lang w:val="en-GB"/>
        </w:rPr>
        <w:t xml:space="preserve"> 1900 die Vermutung ausgesprochen, daß diese ungewöhnliche Fähigkeit auf die Leistung zweier verschiedener Systeme (Organe des seelischen Apparates) aufzuteilen sei. Wir besäßen ein System </w:t>
      </w:r>
      <w:r w:rsidRPr="008725BE">
        <w:rPr>
          <w:rFonts w:ascii="Garamond" w:hAnsi="Garamond"/>
          <w:i/>
          <w:iCs/>
          <w:lang w:val="en-GB"/>
        </w:rPr>
        <w:t>W-Bw</w:t>
      </w:r>
      <w:r w:rsidRPr="008725BE">
        <w:rPr>
          <w:rFonts w:ascii="Garamond" w:hAnsi="Garamond"/>
          <w:lang w:val="en-GB"/>
        </w:rPr>
        <w:t xml:space="preserve">, welches die Wahrnehmungen aufnimmt, aber keine Dauerspur von ihnen bewahrt, so daß es sich gegen jede neue Wahrnehmung wie ein unbeschriebenes Blatt verhalten kann. Die Dauerspuren der auf genommenen Erregungen kämen in dahinter gelegenen »Erinnerungssystemen« zustande. Später ( </w:t>
      </w:r>
      <w:r w:rsidRPr="008725BE">
        <w:rPr>
          <w:rFonts w:ascii="Garamond" w:hAnsi="Garamond"/>
          <w:i/>
          <w:iCs/>
          <w:lang w:val="en-GB"/>
        </w:rPr>
        <w:t>Jenseits des Lustprinzips</w:t>
      </w:r>
      <w:r w:rsidRPr="008725BE">
        <w:rPr>
          <w:rFonts w:ascii="Garamond" w:hAnsi="Garamond"/>
          <w:lang w:val="en-GB"/>
        </w:rPr>
        <w:t xml:space="preserve">) habe ich die Bemerkung hinzugefügt, das unerklärliche Phänomen des Bewußtseins entstehe im Wahrnehmungssystem </w:t>
      </w:r>
      <w:r w:rsidRPr="008725BE">
        <w:rPr>
          <w:rFonts w:ascii="Garamond" w:hAnsi="Garamond"/>
          <w:i/>
          <w:iCs/>
          <w:lang w:val="en-GB"/>
        </w:rPr>
        <w:t>an Stelle</w:t>
      </w:r>
      <w:r w:rsidRPr="008725BE">
        <w:rPr>
          <w:rFonts w:ascii="Garamond" w:hAnsi="Garamond"/>
          <w:lang w:val="en-GB"/>
        </w:rPr>
        <w:t xml:space="preserve"> der Dauerspuren.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Vor einiger Zeit ist nun unter dem Namen </w:t>
      </w:r>
      <w:r w:rsidRPr="008725BE">
        <w:rPr>
          <w:rFonts w:ascii="Garamond" w:hAnsi="Garamond"/>
          <w:i/>
          <w:iCs/>
          <w:lang w:val="en-GB"/>
        </w:rPr>
        <w:t>Wunderblock</w:t>
      </w:r>
      <w:r w:rsidRPr="008725BE">
        <w:rPr>
          <w:rFonts w:ascii="Garamond" w:hAnsi="Garamond"/>
          <w:lang w:val="en-GB"/>
        </w:rPr>
        <w:t xml:space="preserve"> ein kleines Gerät in den Handel gekommen, das mehr zu leisten verspricht als das Blatt Papier oder die Schiefertafel. Es will nicht mehr sein als eine Schreibtafel, von der man die Aufzeichnungen mit einer bequemen Hantierung entfernen kann. Untersucht man es aber näher, so findet man in seiner Konstruktion eine bemerkenswerte Übereinstimmung mit dem von mir supponierten Bau unseres Wahrnehmungsapparats und überzeugt sich, daß es wirklich beides liefern kann, eine immer bereite Aufnahmsfläche und Dauerspuren der aufgenommenen Aufzeichnungen.</w:t>
      </w:r>
    </w:p>
    <w:p w:rsidR="008725BE" w:rsidRPr="008725BE" w:rsidRDefault="008725BE" w:rsidP="008725BE">
      <w:pPr>
        <w:pStyle w:val="Sansinterligne"/>
        <w:rPr>
          <w:rFonts w:ascii="Garamond" w:hAnsi="Garamond"/>
          <w:lang w:val="en-GB"/>
        </w:rPr>
      </w:pPr>
      <w:r w:rsidRPr="008725BE">
        <w:rPr>
          <w:rFonts w:ascii="Garamond" w:hAnsi="Garamond"/>
          <w:lang w:val="en-GB"/>
        </w:rPr>
        <w:t>Der Wunderblock ist eine in einen Papierrand gefaßte Tafel aus dunkelbräunlicher Harz- oder Wachsmasse, über welche ein dünnes, durchscheinendes Blatt gelegt ist, am oberen Ende an der Wachstafel fest haftend, am unteren ihr frei anliegend. Dieses Blatt ist der interessantere Anteil des kleinen Apparats. Es besteht selbst aus zwei Schichten, die außer an den beiden queren Rändern voneinander abgehoben werden können. Die obere Schicht ist eine durchsichtige Zelluloidplatte, die untere ein dünnes, also durchscheinendes Wachspapier. Wenn der Apparat nicht gebraucht wird, klebt die untere Fläche des Wachspapiers der oberen Fläche der Wachstafel leicht an.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 gebraucht diesen Wunderblock, indem man die Aufschreibung auf der Zelluloidplatte des die Wachstafel deckenden Blattes ausführt. Dazu bedarf es keines Bleistifts oder einer Kreide, denn das </w:t>
      </w:r>
      <w:r w:rsidRPr="008725BE">
        <w:rPr>
          <w:rFonts w:ascii="Garamond" w:hAnsi="Garamond"/>
          <w:lang w:val="en-GB"/>
        </w:rPr>
        <w:lastRenderedPageBreak/>
        <w:t>Schreiben beruht nicht darauf, daß Material an die aufnehmende Fläche abgegeben wird. Es ist eine Rückkehr zur Art, wie die Alten auf Ton- und Wachstäfelchen schrieben. Ein spitzer Stilus ritzt die Oberfläche, deren Vertiefungen die »Schrift« ergeben. Beim Wunderblock geschieht dieses Ritzen nicht direkt, sondern unter Vermittlung des darüberliegenden Deckblattes. Der Stilus drückt an den von ihm berührten Stellen die Unterfläche des Wachspapiers an die Wachstafel an, und diese Furchen werden an der sonst glatten weißlichgrauen Oberfläche des Zelluloids als dunkle Schrift sichtbar. Will man die Aufschreibung zerstören, so genügt es, das zusammengesetzte Deckblatt von seinem freien, unteren Rand her mit leichtem Griff von der Wachstafel abzuheben. Der innige Kontakt zwischen Wachspapier und Wachstafel an den geritzten Stellen, auf dem das Sichtbarwerden der Schrift beruhte, wird damit gelöst und stellt sich auch nicht her, wenn die beiden einander wieder berühren. Der Wunderblock ist nun schriftfrei und bereit, neue Aufzeichnungen aufzunehmen.</w:t>
      </w:r>
    </w:p>
    <w:p w:rsidR="008725BE" w:rsidRPr="008725BE" w:rsidRDefault="008725BE" w:rsidP="008725BE">
      <w:pPr>
        <w:pStyle w:val="Sansinterligne"/>
        <w:rPr>
          <w:rFonts w:ascii="Garamond" w:hAnsi="Garamond"/>
          <w:lang w:val="en-GB"/>
        </w:rPr>
      </w:pPr>
      <w:r w:rsidRPr="008725BE">
        <w:rPr>
          <w:rFonts w:ascii="Garamond" w:hAnsi="Garamond"/>
          <w:lang w:val="en-GB"/>
        </w:rPr>
        <w:t>Die kleinen Unvollkommenheiten des Geräts haben für uns natürlich kein Interesse, da wir nur dessen Annäherung an die Struktur des seelischen Wahrnehmungsapparats verfolgen wollen.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man, während der Wunderblock beschrieben ist, die Zelluloidplatte vorsichtig vom Wachspapier abhebt, so sieht man die Schrift ebenso deutlich auf der Oberfläche des letzteren und kann die Frage stellen, wozu die Zelluloidplatte des Deckblattes überhaupt notwendig ist. Der Versuch zeigt dann, daß das dünne Papier sehr leicht in Falten gezogen oder zerrissen werden würde, wenn man es direkt mit dem Stilus beschriebe. Das Zelluloidblatt ist also eine schützende Hülle für das Wachspapier, die schädigende Einwirkungen von außen abhalten soll. Das Zelluloid ist ein »Reizschutz«; die eigentlich reizaufnehmende Schicht ist das Papier. Ich darf nun darauf hinweisen, daß ich im </w:t>
      </w:r>
      <w:r w:rsidRPr="008725BE">
        <w:rPr>
          <w:rFonts w:ascii="Garamond" w:hAnsi="Garamond"/>
          <w:i/>
          <w:iCs/>
          <w:lang w:val="en-GB"/>
        </w:rPr>
        <w:t>Jenseits des Lustprinzips</w:t>
      </w:r>
      <w:r w:rsidRPr="008725BE">
        <w:rPr>
          <w:rFonts w:ascii="Garamond" w:hAnsi="Garamond"/>
          <w:lang w:val="en-GB"/>
        </w:rPr>
        <w:t xml:space="preserve"> ausgeführt habe, unser seelischer Wahrnehmungsapparat bestehe aus zwei Schichten, einem äußeren Reizschutz, der die Größe der ankommenden Erregungen herabsetzen soll, und aus der reizaufnehmenden Oberfläche dahinter, dem System </w:t>
      </w:r>
      <w:r w:rsidRPr="008725BE">
        <w:rPr>
          <w:rFonts w:ascii="Garamond" w:hAnsi="Garamond"/>
          <w:i/>
          <w:iCs/>
          <w:lang w:val="en-GB"/>
        </w:rPr>
        <w:t>W-Bw</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Analogie hätte nicht viel Wert, wenn sie sich nicht weiter verfolgen ließe. Hebt man das ganze Deckblatt – Zelluloid und Wachspapier – von der Wachstafel ab, so verschwindet die Schrift und stellt sich, wie erwähnt, auch später nicht wieder her. Die Oberfläche des Wunderblocks ist schriftfrei und von neuem aufnahmsfähig. Es ist aber leicht festzustellen, daß die Dauerspur des Geschriebenen auf der Wachstafel selbst erhalten bleibt und bei geeigneter Belichtung lesbar ist. Der Block liefert also nicht nur eine immer von neuem verwendbare Aufnahmsfläche wie die Schiefertafel, sondern auch Dauerspuren der Aufschreibung wie der gewöhnliche Papierblock; er löst das Problem, die beiden Leistungen zu vereinigen, indem er sie </w:t>
      </w:r>
      <w:r w:rsidRPr="008725BE">
        <w:rPr>
          <w:rFonts w:ascii="Garamond" w:hAnsi="Garamond"/>
          <w:i/>
          <w:iCs/>
          <w:lang w:val="en-GB"/>
        </w:rPr>
        <w:t>auf zwei gesonderte, miteinander verbundene Bestandteile – Systeme – verteilt</w:t>
      </w:r>
      <w:r w:rsidRPr="008725BE">
        <w:rPr>
          <w:rFonts w:ascii="Garamond" w:hAnsi="Garamond"/>
          <w:lang w:val="en-GB"/>
        </w:rPr>
        <w:t xml:space="preserve">. Das ist aber ganz die gleiche Art, wie nach meiner oben erwähnten Annahme unser seelischer Apparat die Wahrnehmungsfunktion erledigt. Die reizaufnehmende Schicht – das System </w:t>
      </w:r>
      <w:r w:rsidRPr="008725BE">
        <w:rPr>
          <w:rFonts w:ascii="Garamond" w:hAnsi="Garamond"/>
          <w:i/>
          <w:iCs/>
          <w:lang w:val="en-GB"/>
        </w:rPr>
        <w:t>W-Bw</w:t>
      </w:r>
      <w:r w:rsidRPr="008725BE">
        <w:rPr>
          <w:rFonts w:ascii="Garamond" w:hAnsi="Garamond"/>
          <w:lang w:val="en-GB"/>
        </w:rPr>
        <w:t xml:space="preserve"> – bildet keine Dauerspuren, die Grundlagen der Erinnerung kommen in anderen, anstoßenden Systemen zustande.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braucht uns dabei nicht zu stören, daß die Dauerspuren der empfangenen Aufzeichnungen beim Wunderblock nicht verwertet werden; es genügt, daß sie vorhanden sind. Irgendwo muß ja die Analogie eines solchen Hilfsapparats mit dem vorbildlichen Organ ein Ende finden. Der Wunderblock kann ja auch nicht die einmal verlöschte Schrift von innen her wieder »reproduzieren«; er wäre wirklich ein Wunderblock, wenn er das wie unser Gedächtnis vollbringen könnte. Immerhin erscheint es mir jetzt nicht allzu gewagt, das aus Zelluloid und Wachspapier bestehende Deckblatt mit dem System </w:t>
      </w:r>
      <w:r w:rsidRPr="008725BE">
        <w:rPr>
          <w:rFonts w:ascii="Garamond" w:hAnsi="Garamond"/>
          <w:i/>
          <w:iCs/>
          <w:lang w:val="en-GB"/>
        </w:rPr>
        <w:t>W-Bw</w:t>
      </w:r>
      <w:r w:rsidRPr="008725BE">
        <w:rPr>
          <w:rFonts w:ascii="Garamond" w:hAnsi="Garamond"/>
          <w:lang w:val="en-GB"/>
        </w:rPr>
        <w:t xml:space="preserve"> und seinem Reizschutz, die Wachstafel mit dem Unbewußten dahinter, das Sichtbarwerden der Schrift und ihr Verschwinden mir dem Aufleuchten und Vergehen des Bewußtseins bei der Wahrnehmung gleichzustellen. Ich gestehe aber, daß ich geneigt bin, die Vergleichung noch weiter zu treiben.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Beim Wunderblock verschwindet die Schrift jedesmal, wenn der innige Kontakt zwischen dem den Reiz empfangenden Papier und der den Eindruck bewahrenden Wachstafel aufgehoben wird. Das trifft mit einer Vorstellung zusammen, die ich mir längst über die Funktionsweise des seelischen Wahrnehmungsapparats gemacht, aber bisher für mich behalten habe. Ich habe angenommen, daß Besetzungsinnervationen in raschen periodischen Stößen aus dem Inneren in das völlig durchlässige System </w:t>
      </w:r>
      <w:r w:rsidRPr="008725BE">
        <w:rPr>
          <w:rFonts w:ascii="Garamond" w:hAnsi="Garamond"/>
          <w:i/>
          <w:iCs/>
          <w:lang w:val="en-GB"/>
        </w:rPr>
        <w:t>W-Bw</w:t>
      </w:r>
      <w:r w:rsidRPr="008725BE">
        <w:rPr>
          <w:rFonts w:ascii="Garamond" w:hAnsi="Garamond"/>
          <w:lang w:val="en-GB"/>
        </w:rPr>
        <w:t xml:space="preserve"> geschickt und wieder zurückgezogen werden. Solange das System in solcher Weise besetzt ist, empfängt es die von Bewußtsein begleiteten Wahrnehmungen und leitet die Erregung weiter in die unbewußten Erinnerungssysteme; sobald die Besetzung zurückgezogen wird, erlischt das Bewußtsein, und die Leistung des Systems ist sistiert. Es wäre so, als ob das Unbewußte mittels des Systems </w:t>
      </w:r>
      <w:r w:rsidRPr="008725BE">
        <w:rPr>
          <w:rFonts w:ascii="Garamond" w:hAnsi="Garamond"/>
          <w:i/>
          <w:iCs/>
          <w:lang w:val="en-GB"/>
        </w:rPr>
        <w:t>W-Bw</w:t>
      </w:r>
      <w:r w:rsidRPr="008725BE">
        <w:rPr>
          <w:rFonts w:ascii="Garamond" w:hAnsi="Garamond"/>
          <w:lang w:val="en-GB"/>
        </w:rPr>
        <w:t xml:space="preserve"> der Außenwelt Fühler entgegenstrecken würde, die rasch zurückgezogen werden, nachdem sie deren Erregungen verkostet haben. Ich ließ also die Unterbrechungen, die beim Wunderblock von außen her geschehen, durch die Diskontinuität der Innervationsströmung zustande kommen, und an Stelle einer wirklichen Kontaktaufhebung stand in meiner Annahme die periodisch eintretende Unerregbarkeit des </w:t>
      </w:r>
      <w:r w:rsidRPr="008725BE">
        <w:rPr>
          <w:rFonts w:ascii="Garamond" w:hAnsi="Garamond"/>
          <w:lang w:val="en-GB"/>
        </w:rPr>
        <w:lastRenderedPageBreak/>
        <w:t xml:space="preserve">Wahrnehmungssystems. Ich vermutete ferner, daß diese diskontinuierliche Arbeitsweise des Systems </w:t>
      </w:r>
      <w:r w:rsidRPr="008725BE">
        <w:rPr>
          <w:rFonts w:ascii="Garamond" w:hAnsi="Garamond"/>
          <w:i/>
          <w:iCs/>
          <w:lang w:val="en-GB"/>
        </w:rPr>
        <w:t>W-Bw</w:t>
      </w:r>
      <w:r w:rsidRPr="008725BE">
        <w:rPr>
          <w:rFonts w:ascii="Garamond" w:hAnsi="Garamond"/>
          <w:lang w:val="en-GB"/>
        </w:rPr>
        <w:t xml:space="preserve"> der Entstehung der Zeitvorstellung zugrunde liegt.</w:t>
      </w:r>
    </w:p>
    <w:p w:rsidR="008725BE" w:rsidRPr="008725BE" w:rsidRDefault="008725BE" w:rsidP="008725BE">
      <w:pPr>
        <w:pStyle w:val="Sansinterligne"/>
        <w:rPr>
          <w:rFonts w:ascii="Garamond" w:hAnsi="Garamond"/>
          <w:lang w:val="en-GB"/>
        </w:rPr>
      </w:pPr>
      <w:r w:rsidRPr="008725BE">
        <w:rPr>
          <w:rFonts w:ascii="Garamond" w:hAnsi="Garamond"/>
          <w:lang w:val="en-GB"/>
        </w:rPr>
        <w:t>Denkt man sich, daß während eine Hand die Oberfläche des Wunderblocks beschreibt, eine andere periodisch das Deckblatt desselben von der Wachstafel abhebt, so wäre das eine Versinnlichung der Art, wie ich mir die Funktion unseres seelischen Wahrnehmungsapparats vorstellen wollte.</w:t>
      </w:r>
    </w:p>
    <w:p w:rsidR="008725BE" w:rsidRPr="008725BE" w:rsidRDefault="008725BE" w:rsidP="008725BE">
      <w:pPr>
        <w:pStyle w:val="Sansinterligne"/>
        <w:rPr>
          <w:rFonts w:ascii="Garamond" w:hAnsi="Garamond"/>
          <w:lang w:val="en-GB"/>
        </w:rPr>
      </w:pPr>
      <w:r w:rsidRPr="008725BE">
        <w:rPr>
          <w:rFonts w:ascii="Garamond" w:hAnsi="Garamond"/>
          <w:lang w:val="en-GB"/>
        </w:rPr>
        <w:br w:type="page"/>
      </w:r>
      <w:hyperlink w:anchor="KSinhalt" w:history="1">
        <w:r w:rsidRPr="008725BE">
          <w:rPr>
            <w:rStyle w:val="Lienhypertexte"/>
            <w:rFonts w:ascii="Garamond" w:hAnsi="Garamond"/>
            <w:b/>
            <w:lang w:val="en-GB"/>
          </w:rPr>
          <w:t>Ps</w:t>
        </w:r>
        <w:bookmarkStart w:id="182" w:name="KS47"/>
        <w:bookmarkEnd w:id="182"/>
        <w:r w:rsidRPr="008725BE">
          <w:rPr>
            <w:rStyle w:val="Lienhypertexte"/>
            <w:rFonts w:ascii="Garamond" w:hAnsi="Garamond"/>
            <w:b/>
            <w:lang w:val="en-GB"/>
          </w:rPr>
          <w:t>ychische Behandlung</w:t>
        </w:r>
      </w:hyperlink>
      <w:r w:rsidRPr="008725BE">
        <w:rPr>
          <w:rFonts w:ascii="Garamond" w:hAnsi="Garamond"/>
          <w:lang w:val="en-GB"/>
        </w:rPr>
        <w:t xml:space="preserve">   </w:t>
      </w:r>
      <w:r w:rsidRPr="008725BE">
        <w:rPr>
          <w:rFonts w:ascii="Garamond" w:hAnsi="Garamond"/>
          <w:caps/>
          <w:lang w:val="en-GB"/>
        </w:rPr>
        <w:t>(1890)</w:t>
      </w:r>
      <w:r w:rsidRPr="008725BE">
        <w:rPr>
          <w:rFonts w:ascii="Garamond" w:hAnsi="Garamond"/>
          <w:lang w:val="en-GB"/>
        </w:rPr>
        <w:br/>
      </w:r>
    </w:p>
    <w:p w:rsidR="008725BE" w:rsidRPr="008725BE" w:rsidRDefault="008725BE" w:rsidP="008725BE">
      <w:pPr>
        <w:pStyle w:val="Sansinterligne"/>
        <w:rPr>
          <w:rFonts w:ascii="Garamond" w:hAnsi="Garamond"/>
          <w:lang w:val="en-GB"/>
        </w:rPr>
      </w:pPr>
      <w:r w:rsidRPr="008725BE">
        <w:rPr>
          <w:rFonts w:ascii="Garamond" w:hAnsi="Garamond"/>
          <w:lang w:val="en-GB"/>
        </w:rPr>
        <w:t>(Seelenbehandlung)</w:t>
      </w:r>
    </w:p>
    <w:p w:rsidR="008725BE" w:rsidRPr="008725BE" w:rsidRDefault="008725BE" w:rsidP="008725BE">
      <w:pPr>
        <w:pStyle w:val="Sansinterligne"/>
        <w:rPr>
          <w:rFonts w:ascii="Garamond" w:hAnsi="Garamond"/>
          <w:caps/>
          <w:lang w:val="en-GB"/>
        </w:rPr>
      </w:pP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Psyche ist ein griechisches Wort und lautet in deutscher Übersetzung </w:t>
      </w:r>
      <w:r w:rsidRPr="008725BE">
        <w:rPr>
          <w:rFonts w:ascii="Garamond" w:hAnsi="Garamond"/>
          <w:i/>
          <w:iCs/>
          <w:lang w:val="en-GB"/>
        </w:rPr>
        <w:t>Seele</w:t>
      </w:r>
      <w:r w:rsidRPr="008725BE">
        <w:rPr>
          <w:rFonts w:ascii="Garamond" w:hAnsi="Garamond"/>
          <w:lang w:val="en-GB"/>
        </w:rPr>
        <w:t xml:space="preserve">. Psychische Behandlung heißt demnach </w:t>
      </w:r>
      <w:r w:rsidRPr="008725BE">
        <w:rPr>
          <w:rFonts w:ascii="Garamond" w:hAnsi="Garamond"/>
          <w:i/>
          <w:iCs/>
          <w:lang w:val="en-GB"/>
        </w:rPr>
        <w:t>Seelenbehandlung</w:t>
      </w:r>
      <w:r w:rsidRPr="008725BE">
        <w:rPr>
          <w:rFonts w:ascii="Garamond" w:hAnsi="Garamond"/>
          <w:lang w:val="en-GB"/>
        </w:rPr>
        <w:t>. Man könnte also meinen, daß darunter verstanden wird: Behandlung der krankhaften Erscheinungen des Seelenlebens. Dies ist aber nicht die Bedeutung dieses Wortes. Psychische Behandlung will vielmehr besagen: Behandlung von der Seele aus, Behandlung – seelischer oder körperlicher Störungen – mit Mitteln, welche zunächst und unmittelbar auf das Seelische des Menschen einwirken.</w:t>
      </w:r>
    </w:p>
    <w:p w:rsidR="008725BE" w:rsidRPr="008725BE" w:rsidRDefault="008725BE" w:rsidP="008725BE">
      <w:pPr>
        <w:pStyle w:val="Sansinterligne"/>
        <w:rPr>
          <w:rFonts w:ascii="Garamond" w:hAnsi="Garamond"/>
          <w:lang w:val="en-GB"/>
        </w:rPr>
      </w:pPr>
      <w:r w:rsidRPr="008725BE">
        <w:rPr>
          <w:rFonts w:ascii="Garamond" w:hAnsi="Garamond"/>
          <w:lang w:val="en-GB"/>
        </w:rPr>
        <w:t>Ein solches Mittel ist vor allem das Wort, und Worte sind auch das wesentliche Handwerkszeug der Seelenbehandlung. Der Laie wird es wohl schwer begreiflich finden, daß krankhafte Störungen des Leibes und der Seele durch »bloße« Worte des Arztes beseitigt werden sollen. Er wird meinen, man mute ihm zu, an Zauberei zu glauben. Er hat damit nicht so unrecht; die Worte unserer täglichen Reden sind nichts anderes als abgeblaßter Zauber. Es wird aber notwendig sein, einen weiteren Umweg einzuschlagen, um verständlich zu machen, wie die Wissenschaft es anstellt, dem Worte wenigstens einen Teil seiner früheren Zauberkraft wiederzugeben.</w:t>
      </w:r>
    </w:p>
    <w:p w:rsidR="008725BE" w:rsidRPr="008725BE" w:rsidRDefault="008725BE" w:rsidP="008725BE">
      <w:pPr>
        <w:pStyle w:val="Sansinterligne"/>
        <w:rPr>
          <w:rFonts w:ascii="Garamond" w:hAnsi="Garamond"/>
          <w:lang w:val="en-GB"/>
        </w:rPr>
      </w:pPr>
      <w:r w:rsidRPr="008725BE">
        <w:rPr>
          <w:rFonts w:ascii="Garamond" w:hAnsi="Garamond"/>
          <w:lang w:val="en-GB"/>
        </w:rPr>
        <w:t>Auch die wissenschaftlich geschulten Ärzte haben den Wert der Seelenbehandlung erst in neuerer Zeit schätzen gelernt. Dies erklärt sich leicht, wenn man an den Entwicklungsgang der Medizin im letzten Halbjahrhundert denkt. Nach einer ziemlich unfruchtbaren Zeit der Abhängigkeit von der sogenannten Naturphilosophie hat die Medizin unter dem glücklichen Einfluß der Naturwissenschaften die größten Fortschritte als Wissenschaft wie als Kunst gemacht, den Aufbau des Organismus aus mikroskopisch kleinen Einheiten (den Zellen) ergründet, die einzelnen Lebensverrichtungen (Funktionen) physikalisch und chemisch verstehen gelernt, die sichtbaren und greifbaren Veränderungen der Körperteile, welche Folgen der verschiedenen Krankheitsprozesse sind, unterschieden, anderseits auch die Zeichen gefunden, durch welche sich tiefliegende Krankheitsvorgänge noch an Lebenden verraten, hat ferner eine große Anzahl der belebten Krankheitserreger entdeckt und mit Hilfe der neugewonnenen Einsichten die Gefahren schwerer operativer Eingriffe ganz außerordentlich herabgesetzt. Alle diese Fortschritte und Entdeckungen betrafen das Leibliche des Menschen, und so kam es infolge einer nicht richtigen, aber leicht begreiflichen Urteilsrichtung dazu, daß die Ärzte ihr Interesse auf das Körperliche einschränkten und die Beschäftigung mit dem Seelischen den von ihnen mißachteten Philosophen gerne überließen.</w:t>
      </w:r>
    </w:p>
    <w:p w:rsidR="008725BE" w:rsidRPr="008725BE" w:rsidRDefault="008725BE" w:rsidP="008725BE">
      <w:pPr>
        <w:pStyle w:val="Sansinterligne"/>
        <w:rPr>
          <w:rFonts w:ascii="Garamond" w:hAnsi="Garamond"/>
          <w:lang w:val="en-GB"/>
        </w:rPr>
      </w:pPr>
      <w:r w:rsidRPr="008725BE">
        <w:rPr>
          <w:rFonts w:ascii="Garamond" w:hAnsi="Garamond"/>
          <w:lang w:val="en-GB"/>
        </w:rPr>
        <w:t>Zwar hatte die moderne Medizin genug Anlaß, den unleugbar vorhandenen Zusammenhang zwischen Körperlichem und Seelischem zu studieren, aber dann versäumte sie niemals, das Seelische als bestimmt durch das Körperliche und abhängig von diesem darzustellen. So wurde hervorgehoben, daß die geistigen Leistungen an das Vorhandensein eines normal entwickelten und hinreichend ernährten Gehirns gebunden sind und bei jeder Erkrankung dieses Organs in Störungen verfallen; daß die Einführung von Giftstoffen in den Kreislauf gewisse Zustände von Geisteskrankheit zu erzeugen gestattet, oder im kleinen, daß die Träume des Schlafenden je nach den Reizen verändert werden, welche man zum Zwecke des Versuches auf ihn einwirken läßt.</w:t>
      </w:r>
    </w:p>
    <w:p w:rsidR="008725BE" w:rsidRPr="008725BE" w:rsidRDefault="008725BE" w:rsidP="008725BE">
      <w:pPr>
        <w:pStyle w:val="Sansinterligne"/>
        <w:rPr>
          <w:rFonts w:ascii="Garamond" w:hAnsi="Garamond"/>
          <w:lang w:val="en-GB"/>
        </w:rPr>
      </w:pPr>
      <w:r w:rsidRPr="008725BE">
        <w:rPr>
          <w:rFonts w:ascii="Garamond" w:hAnsi="Garamond"/>
          <w:lang w:val="en-GB"/>
        </w:rPr>
        <w:t>Das Verhältnis zwischen Leiblichem und Seelischem (beim Tier wie beim Menschen) ist eines der Wechselwirkung, aber die andere Seite dieses Verhältnisses, die Wirkung des Seelischen auf den Körper, fand in früheren Zeiten wenig Gnade vor den Augen der Ärzte. Sie schienen es zu scheuen, dem Seelenleben eine gewisse Selbständigkeit einzuräumen, als ob sie damit den Boden der Wissenschaftlichkeit verlassen würden.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 einseitige Richtung der Medizin auf das Körperliche hat in den letzten anderthalb Jahrzehnten allmählich eine Änderung erfahren, welche unmittelbar von der ärztlichen Tätigkeit ausgegangen ist. Es gibt nämlich eine große Anzahl von leichter und schwerer Kranken, welche durch ihre Störungen und Klagen große Anforderungen an die Kunst der Ärzte stellen, bei denen aber sichtbare und greifbare Zeichen des Krankheitsprozesses weder im Leben noch nach dem Tode aufzufinden sind, trotz aller Fortschritte in den Untersuchungsmethoden der wissenschaftlichen Medizin. Eine Gruppe dieser Kranken wird durch die Reichhaltigkeit und Vielgestaltigkeit des Krankheitsbildes auffällig; sie können nicht geistig arbeiten infolge von Kopfschmerz oder von Versagen der Aufmerksamkeit, ihre Augen schmerzen beim Lesen, ihre Beine ermüden beim Gehen, sind dumpf schmerzhaft oder eingeschlafen, ihre Verdauung ist gestört durch peinliche Empfindungen, Aufstoßen oder Magenkrämpfe, der Stuhlgang </w:t>
      </w:r>
      <w:r w:rsidRPr="008725BE">
        <w:rPr>
          <w:rFonts w:ascii="Garamond" w:hAnsi="Garamond"/>
          <w:lang w:val="en-GB"/>
        </w:rPr>
        <w:lastRenderedPageBreak/>
        <w:t>erfolgt nicht ohne Nachhilfe, der Schlaf ist aufgehoben usw. Sie können alle diese Leiden gleichzeitig haben oder nacheinander, oder nur eine Auswahl derselben; es ist offenbar in allen Fällen dieselbe Krankheit. Dabei sind die Zeichen der Krankheit oftmals veränderlicher Art, sie lösen einander ab und ersetzen einander; derselbe Kranke, der bisher leistungsunfähig war wegen Kopfschmerzen, aber eine ziemlich gute Verdauung hatte, kann am nächsten Tag sich eines freien Kopfes erfreuen, aber von da an die meisten Speisen schlecht vertragen. Auch verlassen ihn seine Leiden plötzlich bei einer eingreifenden Veränderung seiner Lebensverhältnisse; auf einer Reise kann er sich ganz wohl fühlen und die verschiedenartigste Kost ohne Schaden genießen, nach Hause zurückgekehrt, muß er sich vielleicht wieder auf Sauermilch einschränken. Bei einigen dieser Kranken kann die Störung – ein Schmerz oder eine lähmungsartige Schwäche – sogar plötzlich die Körperseite wechseln, von rechts auf das entsprechende Körpergebiet links überspringen. Bei allen aber kann man die Beobachtung machen, daß die Leidenszeichen sehr deutlich unter dem Einfluß von Aufregungen, Gemütsbewegungen, Sorgen usw. stehen, sowie daß sie verschwinden, der vollen Gesundheit Platz machen können, ohne selbst nach langem Bestand Spuren zu hinterlassen.</w:t>
      </w:r>
    </w:p>
    <w:p w:rsidR="008725BE" w:rsidRPr="008725BE" w:rsidRDefault="008725BE" w:rsidP="008725BE">
      <w:pPr>
        <w:pStyle w:val="Sansinterligne"/>
        <w:rPr>
          <w:rFonts w:ascii="Garamond" w:hAnsi="Garamond"/>
          <w:lang w:val="en-GB"/>
        </w:rPr>
      </w:pPr>
      <w:r w:rsidRPr="008725BE">
        <w:rPr>
          <w:rFonts w:ascii="Garamond" w:hAnsi="Garamond"/>
          <w:lang w:val="en-GB"/>
        </w:rPr>
        <w:t>Die ärztliche Forschung hat endlich ergeben, daß solche Personen nicht als Magenkranke oder Augenkranke u. dgl. zu betrachten und zu behandeln sind, sondern daß es sich bei ihnen um ein Leiden des gesamten Nervensystems handeln muß. Die Untersuchung des Gehirnes und der Nerven solcher Kranker hat aber bisher keine greifbare Veränderung auffinden lassen, und manche Züge des Krankheitsbildes verbieten sogar die Erwartung, daß man solche Veränderungen, wie sie imstande wären, die Krankheit zu erklären, einst mit feineren Untersuchungsmitteln werde nachweisen können. Man hat diese Zustände Nervosität (Neurasthenie, Hysterie) genannt und bezeichnet sie als bloß »funktionelle« Leiden des Nervensystems'. Übrigens ist auch bei vielen beständigeren nervösen Leiden und bei solchen, die nur seelische Krankheitszeichen ergeben (sogenannte Zwangsideen, Wahnideen, Verrücktheit), die eingehende Untersuchung des Gehirns (nach dem Tode des Kranken) ergebnislos geblieben.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trat die Aufgabe an die Ärzte heran, die Natur und Herkunft der Krankheitsäußerungen bei diesen Nervösen oder Neurotikern zu untersuchen. Dabei wurde dann die Entdeckung gemacht, daß wenigstens bei einem Teil dieser Kranken die Zeichen des Leidens von nichts anderem herrühren als von einem </w:t>
      </w:r>
      <w:r w:rsidRPr="008725BE">
        <w:rPr>
          <w:rFonts w:ascii="Garamond" w:hAnsi="Garamond"/>
          <w:i/>
          <w:iCs/>
          <w:lang w:val="en-GB"/>
        </w:rPr>
        <w:t>veränderten Einfluß ihres Seelenlebens auf ihren Körper</w:t>
      </w:r>
      <w:r w:rsidRPr="008725BE">
        <w:rPr>
          <w:rFonts w:ascii="Garamond" w:hAnsi="Garamond"/>
          <w:lang w:val="en-GB"/>
        </w:rPr>
        <w:t>, daß also die nächste Ursache der Störung im Seelischen zu suchen ist. Welches die entfernteren Ursachen jener Störung sind, von der das Seelische betroffen wurde, das nun seinerseits auf das Körperliche störend einwirkt, das ist eine andere Frage und kann hier füglich außer Betracht gelassen werden. Aber die ärztliche Wissenschaft hatte hier die Anknüpfung gefunden, um der bisher vernachlässigten Seite in der Wechselbeziehung zwischen Leib und Seele ihre Aufmerksamkeit im vollen Maße zuzuwenden.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Erst wenn man das Krankhafte studiert, lernt man das Normale verstehen. Über den Einfluß des Seelischen auf den Körper war vieles immer bekannt gewesen, was erst jetzt in die richtige Beleuchtung rückte. Das alltäglichste, regelmäßig und bei jedermann zu beobachtende Beispiel von seelischer Einwirkung auf den Körper bietet der sogenannte » </w:t>
      </w:r>
      <w:r w:rsidRPr="008725BE">
        <w:rPr>
          <w:rFonts w:ascii="Garamond" w:hAnsi="Garamond"/>
          <w:i/>
          <w:iCs/>
          <w:lang w:val="en-GB"/>
        </w:rPr>
        <w:t>Ausdruck der Gemütsbewegungen</w:t>
      </w:r>
      <w:r w:rsidRPr="008725BE">
        <w:rPr>
          <w:rFonts w:ascii="Garamond" w:hAnsi="Garamond"/>
          <w:lang w:val="en-GB"/>
        </w:rPr>
        <w:t>«. Fast alle seelischen Zustände eines Menschen äußern sich in den Spannungen und Erschlaffungen seiner Gesichtsmuskeln, in der Einstellung seiner Augen, der Blutfüllung seiner Haut, der Inanspruchnahme seines Stimmapparates und in den Haltungen seiner Glieder, vor allem der Hände. Diese begleitenden körperlichen Veränderungen bringen dem Betreffenden meist keinen Nutzen, sie sind im Gegenteil oft seinen Absichten im Wege, wenn er seine Seelenvorgänge vor anderen verheimlichen will, aber sie dienen den anderen als verläßliche Zeichen, aus denen man auf die seelischen Vorgänge schließen kann und denen man mehr vertraut als den etwa gleichzeitigen absichtlichen Äußerungen in Worten. Kann man einen Menschen während gewisser seelischer Tätigkeiten einer genaueren Untersuchung unterziehen, so findet man weitere körperliche Folgen derselben in den Veränderungen seiner Herztätigkeit, in dem Wechsel der Blutverteilung in seinem Körper u. dgl.</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 gewissen Seelenzuständen, die man » </w:t>
      </w:r>
      <w:r w:rsidRPr="008725BE">
        <w:rPr>
          <w:rFonts w:ascii="Garamond" w:hAnsi="Garamond"/>
          <w:i/>
          <w:iCs/>
          <w:lang w:val="en-GB"/>
        </w:rPr>
        <w:t>Affekte</w:t>
      </w:r>
      <w:r w:rsidRPr="008725BE">
        <w:rPr>
          <w:rFonts w:ascii="Garamond" w:hAnsi="Garamond"/>
          <w:lang w:val="en-GB"/>
        </w:rPr>
        <w:t xml:space="preserve">« heißt, ist die Mitbeteiligung des Körpers so augenfällig und so großartig, daß manche Seelenforscher sogar gemeint haben, das Wesen der Affekte bestehe nur in diesen ihren körperlichen Äußerungen. Es ist allgemein bekannt, welch außerordentliche Veränderungen im Gesichtsausdruck, im Blutumlauf, in den Absonderungen, in den Erregungszuständen der willkürlichen Muskeln, unter dem Einfluß z. B. der Furcht, des Zornes, des Seelenschmerzes, des geschlechtlichen Entzückens zustande kommen. Minder bekannt, aber vollkommen sichergestellt sind andere körperliche Wirkungen der Affekte, die nicht mehr zum Ausdruck derselben gehören. Anhaltende Affektzustände von peinlicher oder, wie man sagt, »depressiver« Natur, wie Kummer, Sorge und Trauer, setzen die Ernährung </w:t>
      </w:r>
      <w:r w:rsidRPr="008725BE">
        <w:rPr>
          <w:rFonts w:ascii="Garamond" w:hAnsi="Garamond"/>
          <w:lang w:val="en-GB"/>
        </w:rPr>
        <w:lastRenderedPageBreak/>
        <w:t>des Körpers im ganzen herab, verursachen, daß die Haare bleichen, das Fett schwindet und die Wandungen der Blutgefäße krankhaft verändert werden. Umgekehrt sieht man unter dem Einfluß freudiger Erregungen, des »Glückes«, den ganzen Körper aufblühen und die Person manche Kennzeichen der Jugend wiedergewinnen. Die großen Affekte haben offenbar viel mit der Widerstandsfähigkeit gegen Erkrankung an Ansteckungen zu tun; es ist ein gutes Beispiel davon, wenn ärztliche Beobachter angeben, daß die Geneigtheit zu den Lagererkrankungen und zur Ruhr (Dysenterie) bei den Angehörigen einer geschlagenen Armee sehr viel bedeutender ist als unter den Siegern. Die Affekte, und zwar fast ausschließlich die depressiven, werden aber auch häufig genug selbst zu Krankheitsursachen sowohl für Krankheiten des Nervensystems mit anatomisch nachweisbaren Veränderungen als auch für Krankheiten anderer Organe, wobei man anzunehmen hat, daß die betreffende Person eine bis dahin unwirksame Eignung zu dieser Krankheit schon vorher besessen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Bereits ausgebildete Krankheitszustände können durch stürmische Affekte sehr erheblich beeinflußt werden, meistens im Sinne einer Verschlechterung, aber es fehlt auch nicht an Beispielen dafür, daß ein großer Schreck, ein plötzlicher Kummer durch eine eigentümliche Umstimmung des Organismus einen gut begründeten Krankheitszustand heilsam beeinflußt oder selbst aufgehoben hat. Daß endlich die Dauer des Lebens durch depressive Affekte erheblich abgekürzt werden kann sowie daß ein heftiger Schreck, eine brennende » </w:t>
      </w:r>
      <w:r w:rsidRPr="008725BE">
        <w:rPr>
          <w:rFonts w:ascii="Garamond" w:hAnsi="Garamond"/>
          <w:i/>
          <w:iCs/>
          <w:lang w:val="en-GB"/>
        </w:rPr>
        <w:t>Kränkung</w:t>
      </w:r>
      <w:r w:rsidRPr="008725BE">
        <w:rPr>
          <w:rFonts w:ascii="Garamond" w:hAnsi="Garamond"/>
          <w:lang w:val="en-GB"/>
        </w:rPr>
        <w:t>« oder Beschämung dem Leben ein plötzliches Ende setzen kann, unterliegt keinem Zweifel; merkwürdigerweise wird letztere Wirkung auch mitunter als Folge einer unerwarteten großen Freude beobachtet.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Affekte im engeren Sinne sind durch eine ganz besondere Beziehung zu den körperlichen Vorgängen ausgezeichnet, aber strenggenommen sind alle Seelenzustände, auch diejenigen, welche wir als »Denkvorgänge« zu betrachten gewohnt sind, in gewissem Maße » </w:t>
      </w:r>
      <w:r w:rsidRPr="008725BE">
        <w:rPr>
          <w:rFonts w:ascii="Garamond" w:hAnsi="Garamond"/>
          <w:i/>
          <w:iCs/>
          <w:lang w:val="en-GB"/>
        </w:rPr>
        <w:t>affektiv</w:t>
      </w:r>
      <w:r w:rsidRPr="008725BE">
        <w:rPr>
          <w:rFonts w:ascii="Garamond" w:hAnsi="Garamond"/>
          <w:lang w:val="en-GB"/>
        </w:rPr>
        <w:t xml:space="preserve">«, und kein einziger von ihnen entbehrt der körperlichen Äußerungen und der Fähigkeit, körperliche Vorgänge zu verändern. Selbst beim ruhigen Denken in »Vorstellungen« werden dem Inhalt dieser Vorstellungen entsprechend beständig Erregungen zu den glatten und gestreiften Muskeln abgeleitet, welche durch geeignete Verstärkung deutlich gemacht werden können und die Erklärung für manche auffällige, ja vermeintlich »übernatürliche« Erscheinungen geben. So z. B. erklärt sich das sogenannte » </w:t>
      </w:r>
      <w:r w:rsidRPr="008725BE">
        <w:rPr>
          <w:rFonts w:ascii="Garamond" w:hAnsi="Garamond"/>
          <w:i/>
          <w:iCs/>
          <w:lang w:val="en-GB"/>
        </w:rPr>
        <w:t>Gedankenerraten</w:t>
      </w:r>
      <w:r w:rsidRPr="008725BE">
        <w:rPr>
          <w:rFonts w:ascii="Garamond" w:hAnsi="Garamond"/>
          <w:lang w:val="en-GB"/>
        </w:rPr>
        <w:t xml:space="preserve">«: durch die kleinen, unwillkürlichen Muskelbewegungen, die das »Medium« ausführt, wenn man mit ihm Versuche anstellt, etwa sich von ihm leiten läßt, um einen versteckten Gegenstand aufzufinden. Die ganze Erscheinung verdient eher den Namen eines </w:t>
      </w:r>
      <w:r w:rsidRPr="008725BE">
        <w:rPr>
          <w:rFonts w:ascii="Garamond" w:hAnsi="Garamond"/>
          <w:i/>
          <w:iCs/>
          <w:lang w:val="en-GB"/>
        </w:rPr>
        <w:t>Gedankenverratens</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Die Vorgänge des Willens und der Aufmerksamkeit sind gleichfalls imstande, die leiblichen Vorgänge tief zu beeinflussen und bei körperlichen Krankheiten als Förderer oder als Hemmungen eine große Rolle zu spielen. Ein großer englischer Arzt hat von sich berichtet, daß es ihm gelingt, an jeder Körperstelle, auf die er seine Aufmerksamkeit lenken will, mannigfache Empfindungen und Schmerzen hervorzurufen, und die Mehrzahl der Menschen scheint sich ähnlich wie er zu verhalten. Bei der Beurteilung von Schmerzen, die man sonst zu den körperlichen Erscheinungen rechnet, ist überhaupt deren überaus deutliche Abhängigkeit von seelischen Bedingungen in Betracht zu ziehen. Die Laien, welche solche seelische Einflüsse gerne unter dem Namen der »Einbildung« zusammenfassen, pflegen vor Schmerzen infolge von Einbildung im Gegensatz zu den durch Verletzung, Krankheit oder Entzündung verursachten wenig Respekt zu haben. Aber das ist ein offenbares Unrecht; mag die Ursache von Schmerzen welche immer sein, auch die Einbildung, die Schmerzen selbst sind darum nicht weniger wirklich und nicht weniger heftig.</w:t>
      </w:r>
    </w:p>
    <w:p w:rsidR="008725BE" w:rsidRPr="008725BE" w:rsidRDefault="008725BE" w:rsidP="008725BE">
      <w:pPr>
        <w:pStyle w:val="Sansinterligne"/>
        <w:rPr>
          <w:rFonts w:ascii="Garamond" w:hAnsi="Garamond"/>
          <w:lang w:val="en-GB"/>
        </w:rPr>
      </w:pPr>
      <w:r w:rsidRPr="008725BE">
        <w:rPr>
          <w:rFonts w:ascii="Garamond" w:hAnsi="Garamond"/>
          <w:lang w:val="en-GB"/>
        </w:rPr>
        <w:t>Wie Schmerzen durch Zuwendung der Aufmerksamkeit erzeugt oder gesteigert werden, so schwinden sie auch bei Ablenkung der Aufmerksamkeit. Bei jedem Kind kann man diese Erfahrung zur Beschwichtigung verwerten; der erwachsene Krieger verspürt den Schmerz der Verletzung nicht im fieberhaften Eifer des Kampfes; der Märtyrer wird sehr wahrscheinlich in der Überhitzung seines religiösen Gefühls, in der Hinwendung all seiner Gedanken auf den ihm winkenden himmlischen Lohn vollkommen unempfindlich gegen den Schmerz seiner Qualen. Der Einfluß des Willens auf Krankheitsvorgänge des Körpers ist weniger leicht durch Beispiele zu belegen, es ist aber sehr wohl möglich, daß der Vorsatz, gesund zu werden, oder der Wille zu sterben selbst für den Ausgang schwerer und zweifelhafter Erkrankungsfälle nicht ohne Bedeutung ist.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Den größten Anspruch an unser Interesse hat der seelische Zustand der </w:t>
      </w:r>
      <w:r w:rsidRPr="008725BE">
        <w:rPr>
          <w:rFonts w:ascii="Garamond" w:hAnsi="Garamond"/>
          <w:i/>
          <w:iCs/>
          <w:lang w:val="en-GB"/>
        </w:rPr>
        <w:t>Erwartung</w:t>
      </w:r>
      <w:r w:rsidRPr="008725BE">
        <w:rPr>
          <w:rFonts w:ascii="Garamond" w:hAnsi="Garamond"/>
          <w:lang w:val="en-GB"/>
        </w:rPr>
        <w:t xml:space="preserve">, mittels dessen eine Reihe der wirksamsten seelischen Kräfte für Erkrankung und Genesung von körperlichen Leiden regegemacht werden können. Die </w:t>
      </w:r>
      <w:r w:rsidRPr="008725BE">
        <w:rPr>
          <w:rFonts w:ascii="Garamond" w:hAnsi="Garamond"/>
          <w:i/>
          <w:iCs/>
          <w:lang w:val="en-GB"/>
        </w:rPr>
        <w:t>ängstliche</w:t>
      </w:r>
      <w:r w:rsidRPr="008725BE">
        <w:rPr>
          <w:rFonts w:ascii="Garamond" w:hAnsi="Garamond"/>
          <w:lang w:val="en-GB"/>
        </w:rPr>
        <w:t xml:space="preserve"> Erwartung ist gewiß nichts Gleichgültiges für den Erfolg; es wäre wichtig, mit Sicherheit zu wissen, ob sie so viel für das Krankwerden leistet, als man ihr zutraut, ob </w:t>
      </w:r>
      <w:r w:rsidRPr="008725BE">
        <w:rPr>
          <w:rFonts w:ascii="Garamond" w:hAnsi="Garamond"/>
          <w:lang w:val="en-GB"/>
        </w:rPr>
        <w:lastRenderedPageBreak/>
        <w:t xml:space="preserve">es z. B. auf Wahrheit beruht, daß während der Herrschaft einer Epidemie diejenigen am ehesten gefährdet sind, die zu erkranken fürchten. Der gegenteilige Zustand, die hoffnungsvolle und </w:t>
      </w:r>
      <w:r w:rsidRPr="008725BE">
        <w:rPr>
          <w:rFonts w:ascii="Garamond" w:hAnsi="Garamond"/>
          <w:i/>
          <w:iCs/>
          <w:lang w:val="en-GB"/>
        </w:rPr>
        <w:t>gläubige Erwartung</w:t>
      </w:r>
      <w:r w:rsidRPr="008725BE">
        <w:rPr>
          <w:rFonts w:ascii="Garamond" w:hAnsi="Garamond"/>
          <w:lang w:val="en-GB"/>
        </w:rPr>
        <w:t xml:space="preserve">, ist eine wirkende Kraft, mit der wir strenggenommen bei allen unseren Behandlungs- und Heilungsversuchen zu rechnen haben. Wir könnten uns sonst die Eigentümlichkeiten der Wirkungen, die wir an den Medikamenten und Heileingriffen beobachten, nicht erklären. Am greifbarsten wird aber der Einfluß der </w:t>
      </w:r>
      <w:r w:rsidRPr="008725BE">
        <w:rPr>
          <w:rFonts w:ascii="Garamond" w:hAnsi="Garamond"/>
          <w:i/>
          <w:iCs/>
          <w:lang w:val="en-GB"/>
        </w:rPr>
        <w:t>gläubigen Erwartung</w:t>
      </w:r>
      <w:r w:rsidRPr="008725BE">
        <w:rPr>
          <w:rFonts w:ascii="Garamond" w:hAnsi="Garamond"/>
          <w:lang w:val="en-GB"/>
        </w:rPr>
        <w:t xml:space="preserve"> bei den sogenannten Wunderheilungen, die sich noch heute unter unseren Augen ohne Mitwirkung ärztlicher Kunst vollziehen. Die richtigen Wunderheilungen erfolgen bei Gläubigen unter dem Einfluß von Veranstaltungen, welche geeignet sind, die religiösen Gefühle zu steigern, also an Orten, wo ein wundertätiges Gnadenbild verehrt wird, wo eine heilige oder göttliche Person sich den Menschenkindern gezeigt und ihnen Linderung als Entgelt für Anbetung versprochen hat oder wo die Reliquien eines Heiligen als Schatz aufbewahrt werden. Es scheint dem religiösen Glauben allein nicht leicht zu werden, auf dem Wege der Erwartung die Krankheit zu verdrängen, denn bei den Wunderheilungen sind meist noch andere Veranstaltungen mit im Spiele. Die Zeiten, zu denen man die göttliche Gnade sucht, müssen durch besondere Beziehungen ausgezeichnet sein; körperliche Mühsal, die sich der Kranke auferlegt, die Beschwerden und Opfer der Pilgerfahrt müssen ihn für diese Gnade besonders würdigen.</w:t>
      </w:r>
    </w:p>
    <w:p w:rsidR="008725BE" w:rsidRPr="008725BE" w:rsidRDefault="008725BE" w:rsidP="008725BE">
      <w:pPr>
        <w:pStyle w:val="Sansinterligne"/>
        <w:rPr>
          <w:rFonts w:ascii="Garamond" w:hAnsi="Garamond"/>
          <w:lang w:val="en-GB"/>
        </w:rPr>
      </w:pPr>
      <w:r w:rsidRPr="008725BE">
        <w:rPr>
          <w:rFonts w:ascii="Garamond" w:hAnsi="Garamond"/>
          <w:lang w:val="en-GB"/>
        </w:rPr>
        <w:t>Es wäre bequem, aber sehr unrichtig, wenn man diesen Wunderheilungen einfach den Glauben verweigern und die Berichte über sie durch Zusammentreffen von frommem Betrug und ungenauer Beobachtung aufklären wollte. Sooft dieser Erklärungsversuch auch recht haben mag, er hat doch nicht die Kraft, die Tatsache der Wunderheilungen überhaupt wegzuräumen. Diese kommen wirklich vor, haben sich zu allen Zeiten ereignet und betreffen nicht nur Leiden seelischer Herkunft, die also ihre Gründe in der »Einbildung« haben, auf welche gerade die Umstände der Wallfahrt besonders wirken können, sondern auch »organisch« begründete Krankheitszustände, die vorher allen ärztlichen Bemühungen widerstanden hatten.</w:t>
      </w:r>
    </w:p>
    <w:p w:rsidR="008725BE" w:rsidRPr="008725BE" w:rsidRDefault="008725BE" w:rsidP="008725BE">
      <w:pPr>
        <w:pStyle w:val="Sansinterligne"/>
        <w:rPr>
          <w:rFonts w:ascii="Garamond" w:hAnsi="Garamond"/>
          <w:lang w:val="en-GB"/>
        </w:rPr>
      </w:pPr>
      <w:r w:rsidRPr="008725BE">
        <w:rPr>
          <w:rFonts w:ascii="Garamond" w:hAnsi="Garamond"/>
          <w:lang w:val="en-GB"/>
        </w:rPr>
        <w:t>Doch liegt keine Nötigung vor, zur Erklärung der Wunderheilungen andere als seelische Mächte heranzuziehen. Wirkungen, die für unsere Erkenntnis als unbegreiflich gelten könnten, kommen auch unter solchen Bedingungen nicht zum Vorschein. Es geht alles natürlich zu; ja die Macht der religiösen Gläubigkeit erfährt hier eine Verstärkung durch mehrere echt menschliche Triebkräfte. Der fromme Glaube des einzelnen wird durch die Begeisterung der Menschenmenge gesteigert, in deren Mitte er sich dem heiligen Ort zu nähern pflegt. Durch solche Massenwirkung können alle seelischen Regungen des einzelnen Menschen ins Maßlose gehoben werden. Wo ein einzelner die Heilung am Gnadenorte sucht, da ist es der Ruf, das Ansehen des Ortes, welche den Einfluß der Menschenmenge ersetzt, da kommt also doch wieder nur die Macht der Menge zur Wirkung. Dieser Einfluß macht sich auch noch auf anderem Wege geltend. Da es bekannt ist, daß die göttliche Gnade sich stets nur einigen wenigen unter den vielen um sie Werbenden zuwendet, möchte jeder unter diesen Ausgezeichneten und Ausgewählten sein; der in jedem einzelnen schlummernde Ehrgeiz kommt der frommen Gläubigkeit zu Hilfe. Wo so viel starke Kräfte zusammenwirken, dürfen wir uns nicht wundern, wenn gelegentlich das Ziel wirklich erreicht wird.</w:t>
      </w:r>
    </w:p>
    <w:p w:rsidR="008725BE" w:rsidRPr="008725BE" w:rsidRDefault="008725BE" w:rsidP="008725BE">
      <w:pPr>
        <w:pStyle w:val="Sansinterligne"/>
        <w:rPr>
          <w:rFonts w:ascii="Garamond" w:hAnsi="Garamond"/>
          <w:lang w:val="en-GB"/>
        </w:rPr>
      </w:pPr>
      <w:r w:rsidRPr="008725BE">
        <w:rPr>
          <w:rFonts w:ascii="Garamond" w:hAnsi="Garamond"/>
          <w:lang w:val="en-GB"/>
        </w:rPr>
        <w:t>Auch die religiös Ungläubigen brauchen auf Wunderheilungen nicht zu verzichten. Das Ansehen und die Massenwirkung ersetzen ihnen vollauf den religiösen Glauben. Es gibt jederzeit Modekuren und Modeärzte, die besonders die vornehme Gesellschaft beherrschen, in welcher das Bestreben, es einander zuvorzutun und es den Vornehmsten gleichzutun, die mächtigsten seelischen Triebkräfte darstellen. Solche Modekuren entfalten Heilwirkungen, die nicht in ihrem Machtbereich gelegen sind, und die nämlichen Mittel leisten in der Hand des Modearztes, der etwa als der Helfer einer hervorragenden Persönlichkeit bekannt geworden ist, weit mehr, als sie anderen Ärzten leisten können. So gibt es menschliche Wundertäter ebenso wie göttliche; nur nützen sich diese von der Gunst der Mode und der Nachahmung zu Ansehen erhobenen Menschen rasch ab, wie es der Natur der für sie wirkenden Mächte entspricht.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begreifliche Unzufriedenheit mit der oft unzulänglichen Hilfe der ärztlichen Kunst, vielleicht auch die innere Auflehnung gegen den Zwang des wissenschaftlichen Denkens, welcher dem Menschen die Unerbittlichkeit der Natur widerspiegelt, haben zu allen Zeiten und in unseren Tagen von neuem eine merkwürdige Bedingung für die Heilkraft von Personen und Mitteln geschaffen. Die gläubige Erwartung will sich nur herstellen, wenn der Helfer kein Arzt ist und sich rühmen kann, von der wissenschaftlichen Begründung der Heilkunst nichts zu verstehen, wenn das Mittel nicht durch genaue Prüfung erprobt, sondern etwa durch eine volkstümliche Vorliebe empfohlen ist. Daher die Überfülle von Naturheilkünsten und Naturheilkünstlern, die auch jetzt wieder den Ärzten die Ausübung ihres Berufes streitig machen und von denen wir wenigstens mit einiger Sicherheit aussagen können, daß sie den Heilungsuchenden weit </w:t>
      </w:r>
      <w:r w:rsidRPr="008725BE">
        <w:rPr>
          <w:rFonts w:ascii="Garamond" w:hAnsi="Garamond"/>
          <w:lang w:val="en-GB"/>
        </w:rPr>
        <w:lastRenderedPageBreak/>
        <w:t>öfter schaden als nützen. Haben wir hier Grund, auf die gläubige Erwartung der Kranken zu schelten, so dürfen wir doch nicht so undankbar sein zu vergessen, daß die nämliche Macht unausgesetzt auch unsere eigenen ärztlichen Bemühungen unterstützt. Die Wirkung wahrscheinlich eines jeden Mittels, das der Arzt verordnet, eines jeden Eingriffes, den er vornimmt, setzt sich aus zwei Anteilen zusammen. Den einen, der bald größer, bald kleiner, niemals ganz zu vernachlässigen ist, stellt das seelische Verhalten des Kranken bei. Die gläubige Erwartung, mit welcher er dem unmittelbaren Einfluß der ärztlichen Maßregel entgegenkommt, hängt einerseits von der Größe seines eigenen Strebens nach Genesung ab, anderseits von seinem Zutrauen, daß er die richtigen Schritte dazu getan, also von seiner Achtung vor der ärztlichen Kunst überhaupt, ferner von der Macht, die er der Person seines Arztes zugesteht, und selbst von der rein menschlichen Zuneigung, welche der Arzt in ihm erweckt hat. Es gibt Ärzte, denen die Fähigkeit, das Zutrauen der Kranken zu gewinnen, in höherem Grade eignet als anderen; der Kranke verspürt die Erleichterung dann oft bereits, wenn er den Arzt in sein Zimmer kommen sieht.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Die Ärzte haben von jeher, in alten Zeiten noch viel ausgiebiger als heute, Seelenbehandlung ausgeübt. Wenn wir unter Seelenbehandlung verstehen die Bemühung, beim Kranken die der Heilung günstigsten seelischen Zustände und Bedingungen hervorzurufen, so ist diese Art ärztlicher Behandlung die geschichtlich älteste. Den alten Völkern stand kaum etwas anderes als psychische Behandlung zu Gebote; sie versäumten auch nie, die Wirkung von Heiltränken und Heilmaßnahmen durch eindringliche Seelenbehandlung zu unterstützen. Die bekannten Anwendungen von Zauberformeln, die Reinigungsbäder, die Hervorlockung von Orakelträumen durch den Schlaf im Tempelraum u. a. können nur auf seelischem Wege heilend gewirkt haben. Die Persönlichkeit des Arztes selbst schuf sich ein Ansehen, das sich direkt von der göttlichen Macht ableitete, da die Heilkunst in ihren Anfängen in den Händen der Priester war. So war die Person des Arztes damals wie heute einer der Hauptumstände zur Erzielung des für die Heilung günstigen Seelenzustandes beim Kranken.</w:t>
      </w:r>
    </w:p>
    <w:p w:rsidR="008725BE" w:rsidRPr="008725BE" w:rsidRDefault="008725BE" w:rsidP="008725BE">
      <w:pPr>
        <w:pStyle w:val="Sansinterligne"/>
        <w:rPr>
          <w:rFonts w:ascii="Garamond" w:hAnsi="Garamond"/>
          <w:lang w:val="en-GB"/>
        </w:rPr>
      </w:pPr>
      <w:r w:rsidRPr="008725BE">
        <w:rPr>
          <w:rFonts w:ascii="Garamond" w:hAnsi="Garamond"/>
          <w:lang w:val="en-GB"/>
        </w:rPr>
        <w:t>Wir beginnen nun auch den »Zauber« des Wortes zu verstehen. Worte sind ja die wichtigsten Vermittler für den Einfluß, den ein Mensch auf den anderen ausüben will; Worte sind gute Mittel, um seelische Veränderungen bei dem hervorzurufen, an den sie gerichtet werden, und darum klingt es nicht länger rätselhaft, wenn behauptet wird, daß der Zauber des Wortes Krankheitserscheinungen beseitigen kann, zumal solche, die selbst in seelischen Zuständen begründet sind.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Allen seelischen Einflüssen, welche sich als wirksam zur Beseitigung von Krankheiten erwiesen haben, haftet etwas Unberechenbares an. Affekte, Zuwendung des Willens, Ablenkung der Aufmerksamkeit, gläubige Erwartung, alle diese Mächte, welche gelegentlich die Erkrankung aufheben, versäumen in anderen Fällen, dies zu leisten, ohne daß man die Natur der Krankheit für den verschiedenen Erfolg verantwortlich machen könnte. Es ist offenbar die Selbstherrlichkeit der seelisch so verschiedenen Persönlichkeiten, welche der Regelmäßigkeit des Heilerfolges im Wege steht. Seitdem nun die Ärzte die Bedeutung des seelischen Zustandes für die Heilung klar erkannt haben, ist ihnen der Versuch nahegelegt, es nicht mehr dem Kranken zu überlassen, welcher Betrag von seelischem Entgegenkommen sich in ihm herstellen mag, sondern den günstigen Seelenzustand zielbewußt mit geeigneten Mitteln zu erzwingen. Mit dieser Bemühung nimmt die moderne </w:t>
      </w:r>
      <w:r w:rsidRPr="008725BE">
        <w:rPr>
          <w:rFonts w:ascii="Garamond" w:hAnsi="Garamond"/>
          <w:i/>
          <w:iCs/>
          <w:lang w:val="en-GB"/>
        </w:rPr>
        <w:t>Seelenbehandlung</w:t>
      </w:r>
      <w:r w:rsidRPr="008725BE">
        <w:rPr>
          <w:rFonts w:ascii="Garamond" w:hAnsi="Garamond"/>
          <w:lang w:val="en-GB"/>
        </w:rPr>
        <w:t xml:space="preserve"> ihren Anfang.</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ergeben sich so eine ganze Anzahl von Behandlungsweisen, einzelne von ihnen selbstverständlich, andere erst nach verwickelten Voraussetzungen dem Verständnis zugänglich. Selbstverständlich ist es etwa, daß der Arzt, der heute nicht mehr als Priester oder als Besitzer geheimer Wissenschaft Bewunderung einflößen kann, seine Persönlichkeit so hält, daß er das Zutrauen und ein Stück der Neigung seines Kranken erwerben kann. Es dient dann einer zweckmäßigen Verteilung, wenn ihm solcher Erfolg nur bei einer beschränkten Anzahl von Kranken gelingt, während andere durch ihren Bildungsgrad und ihre Zuneigung zu anderen ärztlichen Personen hingezogen werden. </w:t>
      </w:r>
      <w:r w:rsidRPr="008725BE">
        <w:rPr>
          <w:rFonts w:ascii="Garamond" w:hAnsi="Garamond"/>
          <w:i/>
          <w:iCs/>
          <w:lang w:val="en-GB"/>
        </w:rPr>
        <w:t>Mit der Aufhebung der freien Ärztewahl aber wird eine wichtige Bedingung für die seelische Beeinflussung der Kranken vernichtet.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ganze Reihe sehr wirksamer seelischer Mittel muß sich der Arzt entgehen lassen. Er hat entweder nicht die Macht, oder er darf sich das Recht nicht anmaßen, sie anzuwenden. Dies gilt vor allem für die Hervorrufung starker Affekte, also für die wichtigsten Mittel, mit denen das Seelische aufs Körperliche wirkt. Das Schicksal heilt Krankheiten oft durch große freudige Erregungen, durch Befriedigung von Bedürfnissen, Erfüllung von Wünschen; damit kann der Arzt, der außerhalb seiner Kunst oft selbst ein Ohnmächtiger ist, nicht wetteifern. Furcht und Schrecken zu Heilzwecken zu erzeugen, wird etwa eher in seiner Macht stehen, aber er wird sich außer bei Kindern sehr bedenken müssen, zu solchen zweischneidigen Maßregeln zu greifen. Anderseits schließen sich alle Beziehungen zum Kranken, die mit </w:t>
      </w:r>
      <w:r w:rsidRPr="008725BE">
        <w:rPr>
          <w:rFonts w:ascii="Garamond" w:hAnsi="Garamond"/>
          <w:lang w:val="en-GB"/>
        </w:rPr>
        <w:lastRenderedPageBreak/>
        <w:t>zärtlichen Gefühlen verknüpft sind, für den Arzt wegen der Lebensbedeutung dieser Seelenlagen aus. Und somit erschiene seine Machtfülle zur seelischen Veränderung seiner Kranken von vornherein so sehr eingeschränkt, daß die absichtlich betriebene Seelenbehandlung keinen Vorteil gegen die frühere Art verspräche.</w:t>
      </w:r>
    </w:p>
    <w:p w:rsidR="008725BE" w:rsidRPr="008725BE" w:rsidRDefault="008725BE" w:rsidP="008725BE">
      <w:pPr>
        <w:pStyle w:val="Sansinterligne"/>
        <w:rPr>
          <w:rFonts w:ascii="Garamond" w:hAnsi="Garamond"/>
          <w:lang w:val="en-GB"/>
        </w:rPr>
      </w:pPr>
      <w:r w:rsidRPr="008725BE">
        <w:rPr>
          <w:rFonts w:ascii="Garamond" w:hAnsi="Garamond"/>
          <w:lang w:val="en-GB"/>
        </w:rPr>
        <w:t>Der Arzt kann etwa Willenstätigkeit und Aufmerksamkeit des Kranken zu lenken versuchen und hat bei verschiedenen Krankheitszuständen guten Anlaß dazu. Wenn er den, der sich gelähmt glaubt, beharrlich dazu nötigt, die Bewegungen auszuführen, die der Kranke angeblich nicht kann, oder bei dem Ängstlichen, der wegen einer sicherlich nicht vorhandenen Krankheit untersucht zu werden verlangt, die Untersuchung verweigert, wird er die richtige Behandlung eingeschlagen haben; aber diese vereinzelten Gelegenheiten geben kaum ein Recht, die Seelenbehandlung als ein besonderes Heilverfahren aufzustellen. Dagegen hat sich dem Arzt auf einem eigentümlichen und nicht vorherzusehenden Wege die Möglichkeit geboten, einen tiefen, wenn auch vorübergehenden Einfluß auf das Seelenleben seiner Kranken zu nehmen und diesen zu Heilzwecken auszunützen.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seit langer Zeit bekannt gewesen, aber erst in den letzten Jahrzehnten über jede Anzweiflung erhoben worden, daß es möglich ist, Menschen durch gewisse sanfte Einwirkungen in einen ganz eigentümlichen seelischen Zustand zu versetzen, der mit dem Schlaf viel Ähnlichkeit hat und darum als </w:t>
      </w:r>
      <w:r w:rsidRPr="008725BE">
        <w:rPr>
          <w:rFonts w:ascii="Garamond" w:hAnsi="Garamond"/>
          <w:i/>
          <w:iCs/>
          <w:lang w:val="en-GB"/>
        </w:rPr>
        <w:t>Hypnose</w:t>
      </w:r>
      <w:r w:rsidRPr="008725BE">
        <w:rPr>
          <w:rFonts w:ascii="Garamond" w:hAnsi="Garamond"/>
          <w:lang w:val="en-GB"/>
        </w:rPr>
        <w:t xml:space="preserve"> bezeichnet wird. Die Verfahren zur Herbeiführung der Hypnose haben auf den ersten Blick nicht viel untereinander gemein. Man kann hypnotisieren, indem man einen glänzenden Gegenstand durch einige Minuten unverwandt ins Auge fassen läßt oder indem man eine Taschenuhr durch dieselbe Zeit an das Ohr der Versuchsperson hält, oder dadurch, daß man wiederholt über Gesicht und Glieder derselben mit seinen eigenen, flach gehaltenen Händen aus geringer Entfernung streicht. Man kann aber dasselbe erreichen, wenn man der Person, die man hypnotisieren will, das Eintreten des hypnotischen Zustandes und seiner Besonderheiten mit ruhiger Sicherheit ankündigt, ihr die Hypnose also »einredet«. Man kann auch beide Verfahren miteinander verbinden. Man läßt etwa die Person Platz nehmen, hält ihr einen Finger vor die Augen, trägt ihr auf, denselben starr anzusehen, und sagt ihr dann: »Sie fühlen sich müde. Ihre Augen fallen schon zu, Sie können sie nicht offenhalten. Ihre Glieder sind schwer, Sie können sich nicht mehr rühren. Sie schlafen ein« usw. Man merkt doch, daß diesen Verfahren allen eine Fesselung der Aufmerksamkeit gemeinsam ist; bei den erstangeführten handelt es sich um Ermüdung der Aufmerksamkeit durch schwache und gleichmäßige Sinnesreize. Wie es zugeht, daß das bloße Einreden genau den nämlichen Zustand hervorruft wie die anderen Verfahren, das ist noch nicht befriedigend aufgeklärt. Geübte Hypnotiseure geben an, daß man auf solche Weise bei etwa 80 Prozent der Versuchspersonen eine deutliche hypnotische Veränderung erzielt. Man hat aber keine Anzeichen, aus denen man im vorhinein erraten könnte, welche Personen hypnotisierbar sind und welche nicht. Ein Krankheitszustand gehört keineswegs zu den Bedingungen der Hypnose, normale Menschen sollen sich besonders leicht hypnotisieren lassen, und von den Nervösen ist ein Teil sehr schwer hypnotisierbar, während Geisteskranke ganz und gar widerspenstig sind. Der hypnotische Zustand hat sehr verschiedene Abstufungen; in seinem leichtesten Grade verspürt der Hypnotisierte nur etwas wie eine geringe Betäubung, der höchste und durch besondere Merkwürdigkeiten ausgezeichnete Grad wird </w:t>
      </w:r>
      <w:r w:rsidRPr="008725BE">
        <w:rPr>
          <w:rFonts w:ascii="Garamond" w:hAnsi="Garamond"/>
          <w:i/>
          <w:iCs/>
          <w:lang w:val="en-GB"/>
        </w:rPr>
        <w:t>Somnambulismus</w:t>
      </w:r>
      <w:r w:rsidRPr="008725BE">
        <w:rPr>
          <w:rFonts w:ascii="Garamond" w:hAnsi="Garamond"/>
          <w:lang w:val="en-GB"/>
        </w:rPr>
        <w:t xml:space="preserve"> genannt wegen seiner Ähnlichkeit mit dem als natürliche Erscheinung beobachteten </w:t>
      </w:r>
      <w:r w:rsidRPr="008725BE">
        <w:rPr>
          <w:rFonts w:ascii="Garamond" w:hAnsi="Garamond"/>
          <w:i/>
          <w:iCs/>
          <w:lang w:val="en-GB"/>
        </w:rPr>
        <w:t>Schlafwandeln</w:t>
      </w:r>
      <w:r w:rsidRPr="008725BE">
        <w:rPr>
          <w:rFonts w:ascii="Garamond" w:hAnsi="Garamond"/>
          <w:lang w:val="en-GB"/>
        </w:rPr>
        <w:t>. Die Hypnose ist aber keineswegs ein Schlaf wie unser nächtliches Schlafen oder wie der künstliche, durch Schlafmittel erzeugte. Es treten Veränderungen in ihr auf, und es zeigen sich seelische Leistungen bei ihr erhalten, die dem normalen Schlafe fehlen.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Manche Erscheinungen der Hypnose, z. B. die Veränderungen der Muskeltätigkeit, haben nur wissenschaftliches Interesse. Das bedeutsamste aber und das für uns wichtigste Zeichen der Hypnose liegt in dem Benehmen des Hypnotisierten gegen seinen Hypnotiseur. Während der Hypnotisierte sich gegen die Außenwelt sonst verhält wie ein Schlafender, also sich mit all seinen Sinnen von ihr abgewendet hat, ist er </w:t>
      </w:r>
      <w:r w:rsidRPr="008725BE">
        <w:rPr>
          <w:rFonts w:ascii="Garamond" w:hAnsi="Garamond"/>
          <w:i/>
          <w:iCs/>
          <w:lang w:val="en-GB"/>
        </w:rPr>
        <w:t>wach</w:t>
      </w:r>
      <w:r w:rsidRPr="008725BE">
        <w:rPr>
          <w:rFonts w:ascii="Garamond" w:hAnsi="Garamond"/>
          <w:lang w:val="en-GB"/>
        </w:rPr>
        <w:t xml:space="preserve"> für die Person, die ihn in Hypnose versetzt hat, hört und sieht nur diese, versteht sie und gibt ihr Antwort. Diese Erscheinung, die man den </w:t>
      </w:r>
      <w:r w:rsidRPr="008725BE">
        <w:rPr>
          <w:rFonts w:ascii="Garamond" w:hAnsi="Garamond"/>
          <w:i/>
          <w:iCs/>
          <w:lang w:val="en-GB"/>
        </w:rPr>
        <w:t>Rapport</w:t>
      </w:r>
      <w:r w:rsidRPr="008725BE">
        <w:rPr>
          <w:rFonts w:ascii="Garamond" w:hAnsi="Garamond"/>
          <w:lang w:val="en-GB"/>
        </w:rPr>
        <w:t xml:space="preserve"> in der Hypnose heißt, findet ein Gegenstück in der Art, wie manche Menschen, z. B. die Mutter, die ihr Kind nährt, schlafen. Sie ist so auffällig, daß sie uns das Verständnis des Verhältnisses zwischen Hypnotisiertem und Hypnotiseur vermitteln sollte.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Daß sich die Welt des Hypnotisierten sozusagen auf den Hypnotiseur einschränkt, ist aber nicht das einzige. Es kommt dazu, daß der erstere vollkommen gefügig gegen den letzteren wird, </w:t>
      </w:r>
      <w:r w:rsidRPr="008725BE">
        <w:rPr>
          <w:rFonts w:ascii="Garamond" w:hAnsi="Garamond"/>
          <w:i/>
          <w:iCs/>
          <w:lang w:val="en-GB"/>
        </w:rPr>
        <w:t>gehorsam und gläubig</w:t>
      </w:r>
      <w:r w:rsidRPr="008725BE">
        <w:rPr>
          <w:rFonts w:ascii="Garamond" w:hAnsi="Garamond"/>
          <w:lang w:val="en-GB"/>
        </w:rPr>
        <w:t xml:space="preserve">, und zwar bei tiefer Hypnose in fast schrankenloser Weise. Und in der Ausführung dieses Gehorsams und dieser Gläubigkeit zeigt es sich nun als Charakter des hypnotischen Zustandes, daß der Einfluß des Seelenlebens auf das Körperliche beim Hypnotisierten außerordentlich erhöht ist. Wenn der Hypnotiseur sagt: »Sie können Ihren Arm nicht bewegen«, so fällt der Arm wie unbeweglich herab; der Hypnotisierte </w:t>
      </w:r>
      <w:r w:rsidRPr="008725BE">
        <w:rPr>
          <w:rFonts w:ascii="Garamond" w:hAnsi="Garamond"/>
          <w:lang w:val="en-GB"/>
        </w:rPr>
        <w:lastRenderedPageBreak/>
        <w:t>strengt offenbar alle seine Kraft an und kann ihn nicht bewegen. Wenn der Hypnotiseur sagt: »Ihr Arm bewegt sich von selbst, Sie können ihn nicht aufhalten«, so bewegt sich dieser Arm, und man sieht den Hypnotisierten vergebliche Anstrengungen machen, ihn ruhigzustellen. Die Vorstellung, die der Hypnotiseur dem Hypnotisierten durch das Wort gegeben hat, hat genau jenes seelisch-körperliche Verhalten bei ihm hervorgerufen, das ihrem Inhalt entspricht. Darin liegt einerseits Gehorsam, anderseits aber Steigerung des körperlichen Einflusses einer Idee. Das Wort ist hier wirklich wieder zum Zauber geworden.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Dasselbe auf dem Gebiete der Sinneswahrnehmungen. Der Hypnotiseur sagt: »Sie sehen eine Schlange, Sie riechen eine Rose, Sie hören die schönste Musik«, und der Hypnotisierte sieht, riecht, hört, wie die ihm eingegebene Vorstellung es von ihm verlangt. Woher weiß man, daß der Hypnotisierte diese Wahrnehmungen wirklich hat? Man könnte meinen, er stelle sich nur so an; aber es ist doch kein Grund, daran zu zweifeln, denn er benimmt sich ganz so, als ob er sie wirklich hätte, äußert alle dazugehörigen Affekte, kann auch unter Umständen nach der Hypnose von seinen eingebildeten Wahrnehmungen und Erlebnissen berichten. Man merkt dann, daß er gesehen und gehört hat, wie wir im Traum sehen und hören, d. h., er hat </w:t>
      </w:r>
      <w:r w:rsidRPr="008725BE">
        <w:rPr>
          <w:rFonts w:ascii="Garamond" w:hAnsi="Garamond"/>
          <w:i/>
          <w:iCs/>
          <w:lang w:val="en-GB"/>
        </w:rPr>
        <w:t>halluziniert</w:t>
      </w:r>
      <w:r w:rsidRPr="008725BE">
        <w:rPr>
          <w:rFonts w:ascii="Garamond" w:hAnsi="Garamond"/>
          <w:lang w:val="en-GB"/>
        </w:rPr>
        <w:t xml:space="preserve">. Er ist offenbar so sehr gläubig gegen den Hypnotiseur, daß er </w:t>
      </w:r>
      <w:r w:rsidRPr="008725BE">
        <w:rPr>
          <w:rFonts w:ascii="Garamond" w:hAnsi="Garamond"/>
          <w:i/>
          <w:iCs/>
          <w:lang w:val="en-GB"/>
        </w:rPr>
        <w:t>überzeugt</w:t>
      </w:r>
      <w:r w:rsidRPr="008725BE">
        <w:rPr>
          <w:rFonts w:ascii="Garamond" w:hAnsi="Garamond"/>
          <w:lang w:val="en-GB"/>
        </w:rPr>
        <w:t xml:space="preserve"> ist, eine Schlange müsse zu sehen sein, wenn der Hypnotiseur sie ihm ankündigt, und diese Überzeugung wirkt so stark auf das Körperliche, daß er die Schlange wirklich sieht, wie es übrigens gelegentlich auch bei nicht hypnotisierten Personen geschehen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Nebenbei bemerkt, eine solche Gläubigkeit, wie sie der Hypnotisierte für seinen Hypnotiseur bereit hat, findet sich außer der Hypnose im wirklichen Leben nur </w:t>
      </w:r>
      <w:r w:rsidRPr="008725BE">
        <w:rPr>
          <w:rFonts w:ascii="Garamond" w:hAnsi="Garamond"/>
          <w:i/>
          <w:iCs/>
          <w:lang w:val="en-GB"/>
        </w:rPr>
        <w:t>beim Kinde gegen die geliebten Eltern</w:t>
      </w:r>
      <w:r w:rsidRPr="008725BE">
        <w:rPr>
          <w:rFonts w:ascii="Garamond" w:hAnsi="Garamond"/>
          <w:lang w:val="en-GB"/>
        </w:rPr>
        <w:t xml:space="preserve">, und eine derartige Einstellung des eigenen Seelenlebens auf das einer anderen Person mit ähnlicher Unterwerfung hat ein einziges, aber dann vollwertiges Gegenstück in manchen </w:t>
      </w:r>
      <w:r w:rsidRPr="008725BE">
        <w:rPr>
          <w:rFonts w:ascii="Garamond" w:hAnsi="Garamond"/>
          <w:i/>
          <w:iCs/>
          <w:lang w:val="en-GB"/>
        </w:rPr>
        <w:t>Liebesverhältnissen</w:t>
      </w:r>
      <w:r w:rsidRPr="008725BE">
        <w:rPr>
          <w:rFonts w:ascii="Garamond" w:hAnsi="Garamond"/>
          <w:lang w:val="en-GB"/>
        </w:rPr>
        <w:t xml:space="preserve"> mit voller Hingebung. Das Zusammentreffen von Alleinschätzung und gläubigem Gehorsam gehört überhaupt zur Kennzeichnung des Liebens.</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Über den hypnotischen Zustand ist noch einiges zu berichten. Die Rede des Hypnotiseurs, welche die beschriebenen zauberhaften Wirkungen äußert, heißt man die Suggestion, und man hat sich gewöhnt, diesen Namen auch dort anzuwenden, wo zunächst bloß die Absicht vorliegt, eine ähnliche Wirkung hervorzubringen. Wie Bewegung und Empfindung, gehorchen auch alle anderen Seelentätigkeiten des Hypnotisierten dieser Suggestion, während er aus eigenem Antriebe nichts zu unternehmen pflegt. Man kann den hypnotischen Gehorsam für eine Reihe von höchst merkwürdigen Versuchen ausnützen, die tiefe Einblicke in das seelische Getriebe gestatten und dem Zuschauer eine unvertilgbare Überzeugung von der nicht geahnten Macht des Seelischen über das Körperliche schaffen. Wie man den Hypnotisierten nötigen kann zu sehen, was nicht da ist, so kann man ihm auch verbieten, etwas, was da ist und sich seinen Sinnen aufdrängen will, z. B. eine bestimmte Person, zu sehen (die sogenannte negative Halluzination), und diese Person findet es dann unmöglich, sich dem Hypnotisierten durch irgendwelche Reizungen bemerklich zu machen; sie wird von ihm »wie Luft« behandelt. Man kann dem Hypnotisierten die Suggestion erteilen, eine gewisse Handlung erst eine bestimmte Zeit nach dem Aufwachen aus der Hypnose auszuführen (die posthypnotische Suggestion), und der Hypnotisierte hält die Zeit ein und führt mitten in seinem wachen Zustand die suggerierte Handlung aus, ohne einen Grund für sie angeben zu können. Fragt man ihn dann, warum er dies jetzt getan hat, so beruft er sich entweder auf einen dunklen Drang, dem er nicht widerstehen konnte, oder er erfindet einen halbwegs einleuchtenden Vorwand, während er den wahren Grund, die ihm erteilte Suggestion, nicht erinnert.</w:t>
      </w:r>
    </w:p>
    <w:p w:rsidR="008725BE" w:rsidRPr="008725BE" w:rsidRDefault="008725BE" w:rsidP="008725BE">
      <w:pPr>
        <w:pStyle w:val="Sansinterligne"/>
        <w:rPr>
          <w:rFonts w:ascii="Garamond" w:hAnsi="Garamond"/>
          <w:lang w:val="en-US"/>
        </w:rPr>
      </w:pPr>
      <w:r w:rsidRPr="008725BE">
        <w:rPr>
          <w:rFonts w:ascii="Garamond" w:hAnsi="Garamond"/>
        </w:rPr>
        <w:t xml:space="preserve">Das Erwachen aus der Hypnose erfolgt mühelos durch das Machtwort des Hypnotiseurs: »Wachen Sie auf.« Bei den tiefsten Hypnosen fehlt dann die Erinnerung für alles, was während der Hypnose unter dem Einfluß des Hypnotiseurs erlebt wurde. </w:t>
      </w:r>
      <w:r w:rsidRPr="008725BE">
        <w:rPr>
          <w:rFonts w:ascii="Garamond" w:hAnsi="Garamond"/>
          <w:lang w:val="en-US"/>
        </w:rPr>
        <w:t>Dieses Stück Seelenleben bleibt gleichsam abgesondert von dem sonstigen. Andere Hypnotisierte haben eine traumhafte Erinnerung, und noch andere erinnern sich zwar an alles, berichten aber, daß sie unter einem seelischen Zwang gestanden hatten, gegen den es keinen Widerstand gab.</w:t>
      </w:r>
    </w:p>
    <w:p w:rsidR="008725BE" w:rsidRPr="008725BE" w:rsidRDefault="008725BE" w:rsidP="008725BE">
      <w:pPr>
        <w:pStyle w:val="Sansinterligne"/>
        <w:rPr>
          <w:rFonts w:ascii="Garamond" w:hAnsi="Garamond"/>
          <w:lang w:val="en-US"/>
        </w:rPr>
      </w:pPr>
      <w:r w:rsidRPr="008725BE">
        <w:rPr>
          <w:rFonts w:ascii="Garamond" w:hAnsi="Garamond"/>
          <w:lang w:val="en-US"/>
        </w:rPr>
        <w:t> </w:t>
      </w:r>
    </w:p>
    <w:p w:rsidR="008725BE" w:rsidRPr="008725BE" w:rsidRDefault="008725BE" w:rsidP="008725BE">
      <w:pPr>
        <w:pStyle w:val="Sansinterligne"/>
        <w:rPr>
          <w:rFonts w:ascii="Garamond" w:hAnsi="Garamond"/>
          <w:lang w:val="en-GB"/>
        </w:rPr>
      </w:pPr>
      <w:r w:rsidRPr="008725BE">
        <w:rPr>
          <w:rFonts w:ascii="Garamond" w:hAnsi="Garamond"/>
          <w:lang w:val="en-US"/>
        </w:rPr>
        <w:t xml:space="preserve">Der wissenschaftliche Gewinn, den die Bekanntschaft mit den hypnotischen Tatsachen Ärzten und Seelenforschern gebracht hat, kann nicht leicht überschätzt werden. Um nun aber die praktische Bedeutung der neuen Erkenntnisse zu würdigen, wolle man an Stelle des Hypnotiseurs den Arzt, an Stelle des Hypnotisierten den Kranken setzen. </w:t>
      </w:r>
      <w:r w:rsidRPr="008725BE">
        <w:rPr>
          <w:rFonts w:ascii="Garamond" w:hAnsi="Garamond"/>
          <w:lang w:val="en-GB"/>
        </w:rPr>
        <w:t xml:space="preserve">Scheint da die Hypnose nicht berufen, alle Bedürfnisse des Arztes, insoferne er als »Seelenarzt« gegen den Kranken auftreten will, zu befriedigen? Die Hypnose schenkt dem Arzt eine Autorität, wie sie wahrscheinlich niemals ein Priester oder Wundermann besessen </w:t>
      </w:r>
      <w:r w:rsidRPr="008725BE">
        <w:rPr>
          <w:rFonts w:ascii="Garamond" w:hAnsi="Garamond"/>
          <w:lang w:val="en-GB"/>
        </w:rPr>
        <w:lastRenderedPageBreak/>
        <w:t>hat, indem sie alles seelische Interesse des Hypnotisierten auf die Person des Arztes vereinigt; sie schafft die Eigenmächtigkeit des Seelenlebens beim Kranken ab, in der wir das launenhafte Hemmnis für die Äußerung seelischer Einflüsse auf den Körper erkannt haben; sie stellt an und für sich eine Steigerung der Seelenherrschaft über das Körperliche her, die sonst nur unter den stärksten Affekteinwirkungen beobachtet wird, und durch die Möglichkeit, das in der Hypnose dem Kranken Eingegebene erst nachher im Normalzustand zum Vorschein kommen zu lassen (posthypnotische Suggestion), gibt sie dem Arzt die Mittel in die Hand, seine große Macht während der Hypnose zur Veränderung des Kranken im wachen Zustande zu verwenden. So ergäbe sich ein einfaches Muster für die Art der Heilung durch Seelenbehandlung. Der Arzt versetzt den Kranken in den Zustand der Hypnose, erteilt ihm die nach den jeweiligen Umständen abgeänderte Suggestion, daß er nicht krank ist, daß er nach dem Erwachen von seinen Leidenszeichen nichts verspüren wird, weckt ihn dann auf und darf sich der Erwartung hingeben, daß die Suggestion ihre Schuldigkeit gegen die Krankheit getan hat. Dieses Verfahren wäre etwa, wenn eine einzige Anwendung nicht genug genützt hat, die nötige Anzahl von Malen zu wiederholen.</w:t>
      </w:r>
    </w:p>
    <w:p w:rsidR="008725BE" w:rsidRPr="008725BE" w:rsidRDefault="008725BE" w:rsidP="008725BE">
      <w:pPr>
        <w:pStyle w:val="Sansinterligne"/>
        <w:rPr>
          <w:rFonts w:ascii="Garamond" w:hAnsi="Garamond"/>
          <w:lang w:val="en-GB"/>
        </w:rPr>
      </w:pPr>
      <w:r w:rsidRPr="008725BE">
        <w:rPr>
          <w:rFonts w:ascii="Garamond" w:hAnsi="Garamond"/>
          <w:lang w:val="en-GB"/>
        </w:rPr>
        <w:t>Ein einziges Bedenken könnte Arzt und Patienten von der Anwendung selbst eines so vielversprechenden Heilverfahrens abhalten. Wenn sich nämlich ergeben sollte, daß die Versetzung in Hypnose ihren Nutzen durch einen Schaden auf anderer Seite wettmacht, z. B. eine dauernde Störung oder Schwächung im Seelenleben des Hypnotisierten hinterläßt. Die bisher gemachten Erfahrungen reichen nun bereits aus, um dieses Bedenken zu beseitigen; einzelne Hypnotisierungen sind völlig harmlos, selbst häufig wiederholte Hypnosen im ganzen unschädlich. Nur eines ist hervorzuheben: wo die Verhältnisse eine fortdauernde Anwendung der Hypnose notwendig machen, da stellt sich eine Gewöhnung an die Hypnose und eine Abhängigkeit vom hypnotisierenden Arzt her, die nicht in der Absicht des Heilverfahrens gelegen sein kann.</w:t>
      </w:r>
    </w:p>
    <w:p w:rsidR="008725BE" w:rsidRPr="008725BE" w:rsidRDefault="008725BE" w:rsidP="008725BE">
      <w:pPr>
        <w:pStyle w:val="Sansinterligne"/>
        <w:rPr>
          <w:rFonts w:ascii="Garamond" w:hAnsi="Garamond"/>
          <w:lang w:val="en-GB"/>
        </w:rPr>
      </w:pPr>
      <w:r w:rsidRPr="008725BE">
        <w:rPr>
          <w:rFonts w:ascii="Garamond" w:hAnsi="Garamond"/>
          <w:lang w:val="en-GB"/>
        </w:rPr>
        <w:t>Die hypnotische Behandlung bedeutet nun wirklich eine große Erweiterung des ärztlichen Machtbereiches und somit einen Fortschritt der Heilkunst. Man kann jedem Leidenden den Rat geben, sich ihr anzuvertrauen, wenn sie von einem kundigen und vertrauenswürdigen Arzte ausgeübt wird. Aber man sollte sich der Hypnose in anderer Weise bedienen, als es heute zumeist geschieht. Gewöhnlich greift man zu dieser Behandlungsart erst, wenn alle anderen Mittel im Stiche gelassen haben, der Leidende bereits verzagt und unmutig geworden ist. Dann verläßt man seinen Arzt, der nicht hypnotisieren kann oder es nicht ausübt, und wendet sich an einen fremden Arzt, der meist nichts anderes übt und nichts anderes kann als hypnotisieren. Beides ist unvorteilhaft für den Kranken. Der Hausarzt sollte selbst mit der hypnotischen Heilmethode vertraut sein und diese von Anfang an anwenden, wenn er den Fall und die Person dafür geeignet hält. Die Hypnose sollte dort, wo sie überhaupt brauchbar ist, gleichwertig neben den anderen Heilverfahren stehen, nicht eine letzte Zuflucht oder gar einen Abfall von der Wissenschaftlichkeit zur Kurpfuscherei bedeuten. Brauchbar aber ist das hypnotische Heilverfahren nicht nur bei allen nervösen Zuständen und den durch »Einbildung« entstandenen Störungen, sowie zur Entwöhnung von krankhaften Gewohnheiten (Trunksucht, Morphinsucht, geschlechtliche Verirrungen), sondern auch bei vielen Organkrankheiten, selbst entzündlichen, wo man die Aussicht hat, bei Fortbestand des Grundleidens die den Kranken zunächst belästigenden Zeichen desselben, wie die Schmerzen, Bewegungshemmung u. dgl., zu beseitigen. Die Auswahl der Fälle für die Verwendung des hypnotischen Verfahrens ist durchwegs von der Entscheidung des Arztes abhängig.</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Nun ist es aber an der Zeit, den Eindruck zu zerstreuen, als wäre mit dem Hilfsmittel der Hypnose für den Arzt eine Zeit bequemer Wundertäterei angebrochen. Es sind noch mannigfache Umstände in Betracht zu ziehen, die geeignet sind, unsere Ansprüche an das hypnotische Heilverfahren erheblich herabzusetzen und die beim Kranken etwa rege gewordenen Hoffnungen auf ihr berechtigtes Maß zurückzuführen. Vor allem stellt sich die eine Grundvoraussetzung als unhaltbar heraus, daß es gelungen wäre, durch die Hypnose den Kranken die störende Eigenmächtigkeit in ihrem seelischen Verhalten zu benehmen. Sie bewahren dieselbe und beweisen sie bereits in ihrer Stellungnahme gegen den Versuch, sie zu hypnotisieren. Wenn oben gesagt wurde, daß etwa 80 Prozent der Menschen hypnotisierbar sind, so ist diese große Zahl nur dadurch zustande gekommen, daß man alle Fälle, die irgendeine Spur von Beeinflussung zeigen, zu den positiven Fällen gerechnet hat. Wirklich tiefe Hypnosen mit vollkommener Gefügigkeit, wie man sie bei der Beschreibung zum Muster wählt, sind eigentlich selten, jedenfalls nicht so häufig, wie es im Interesse der Heilung erwünscht wäre. Man kann den Eindruck dieser Tatsache wieder abschwächen, indem man hervorhebt, daß die Tiefe der Hypnose und die Gefügigkeit gegen die Suggestionen nicht gleichen Schritt miteinander halten, so daß man oft bei leichter hypnotischer Betäubung doch gute Wirkung der Suggestion beobachten kann. Aber auch, wenn man die hypnotische </w:t>
      </w:r>
      <w:r w:rsidRPr="008725BE">
        <w:rPr>
          <w:rFonts w:ascii="Garamond" w:hAnsi="Garamond"/>
          <w:lang w:val="en-GB"/>
        </w:rPr>
        <w:lastRenderedPageBreak/>
        <w:t>Gefügigkeit als das Wesentlichere des Zustandes selbständig nimmt, muß man zugestehen, daß die einzelnen Menschen ihre Eigenart darin zeigen, daß sie sich nur bis zu einem bestimmten Grad von Gefügigkeit beeinflussen lassen, bei dem sie dann haltmachen. Die einzelnen Personen zeigen also sehr verschiedene Grade von Brauchbarkeit für das hypnotische Heilverfahren. Gelänge es, Mittel aufzufinden, durch welche man alle diese besonderen Stufen des hypnotischen Zustandes bis zur vollkommenen Hypnose steigern könnte, so wäre die Eigenart der Kranken wieder aufgehoben, das Ideal der Seelenbehandlung verwirklicht. Aber dieser Fortschritt ist bisher nicht geglückt; es hängt noch immer weit mehr vom Kranken als vom Arzt ab, welcher Grad von Gefügigkeit sich der Suggestion zur Verfügung stellen wird, d. h., es liegt wiederum im Belieben des Kranken.</w:t>
      </w:r>
    </w:p>
    <w:p w:rsidR="008725BE" w:rsidRPr="008725BE" w:rsidRDefault="008725BE" w:rsidP="008725BE">
      <w:pPr>
        <w:pStyle w:val="Sansinterligne"/>
        <w:rPr>
          <w:rFonts w:ascii="Garamond" w:hAnsi="Garamond"/>
          <w:lang w:val="en-GB"/>
        </w:rPr>
      </w:pPr>
      <w:r w:rsidRPr="008725BE">
        <w:rPr>
          <w:rFonts w:ascii="Garamond" w:hAnsi="Garamond"/>
          <w:lang w:val="en-GB"/>
        </w:rPr>
        <w:t>Noch bedeutsamer ist ein anderer Gesichtspunkt. Wenn man die höchst merkwürdigen Erfolge der Suggestion im hypnotischen Zustand schildert, vergißt man gerne daran, daß es sich hierbei wie bei allen seelischen Wirkungen auch um Größen- oder Stärkenverhältnisse handelt. Wenn man einen gesunden Menschen in tiefe Hypnose versetzt hat und ihm nun aufträgt, in eine Kartoffel zu beißen, die man ihm als Birne vorstellt, oder ihm einredet, er sehe einen Bekannten, den er grüßen müsse, so wird man leicht volle Gefügigkeit sehen, weil kein ernster Grund beim Hypnotisierten vorhanden ist, welcher sich gegen die Suggestion sträuben könnte. Aber schon bei anderen Aufträgen, wenn man z. B. von einem sonst schamhaften Mädchen verlangt, sich zu entblößen, oder von einem ehrlichen Mann, sich einen wertvollen Gegenstand durch Diebstahl anzueignen, kann man einen Widerstand bei dem Hypnotisierten bemerken, der selbst so weit gehen kann, daß er der Suggestion den Gehorsam verweigert. Man lernt daraus, daß in der besten Hypnose die Suggestion nicht eine unbegrenzte Macht ausübt, sondern nur eine Macht von bestimmter Stärke. Kleine Opfer bringt der Hypnotisierte, mit großen hält er, ganz wie im Wachen, zurück. Hat man es nun mit einem Kranken zu tun und drängt ihn durch die Suggestion zum Verzicht auf die Krankheit, so merkt man, daß dies für ihn ein großes und nicht ein kleines Opfer bedeutet. Die Macht der Suggestion mißt sich zwar auch dann mit der Kraft, welche die Krankheitserscheinungen geschaffen hat und sie festhält, aber die Erfahrung zeigt, daß letztere von einer ganz anderen Größenordnung ist als der hypnotische Einfluß. Derselbe Kranke, der sich in jede – nicht gerade anstößige – Traumlage, die man ihm eingibt, voll gefügig hineinfindet, kann vollkommen widerspenstig gegen die Suggestion bleiben, welche ihm etwa seine eingebildete Lähmung abspricht. Dazu kommt noch in der Praxis, daß gerade nervöse Kranke meist schlecht hypnotisierbar sind, so daß nicht der volle hypnotische Einfluß, sondern nur ein Bruchteil desselben den Kampf gegen die starken Kräfte aufzunehmen hat, mit denen die Krankheit im Seelenleben verankert ist.</w:t>
      </w:r>
    </w:p>
    <w:p w:rsidR="008725BE" w:rsidRPr="008725BE" w:rsidRDefault="008725BE" w:rsidP="008725BE">
      <w:pPr>
        <w:pStyle w:val="Sansinterligne"/>
        <w:rPr>
          <w:rFonts w:ascii="Garamond" w:hAnsi="Garamond"/>
          <w:lang w:val="en-GB"/>
        </w:rPr>
      </w:pPr>
      <w:r w:rsidRPr="008725BE">
        <w:rPr>
          <w:rFonts w:ascii="Garamond" w:hAnsi="Garamond"/>
          <w:lang w:val="en-GB"/>
        </w:rPr>
        <w:t>Der Suggestion ist also nicht von vornherein der Sieg über die Krankheit sicher, wenn einmal die Hypnose und selbst eine tiefe Hypnose gelungen ist. Es bedarf dann noch immer eines Kampfes, und der Ausgang ist sehr häufig ungewiß. Gegen ernstliche Störungen seelischer Herkunft richtet man daher mit einmaliger Hypnose nichts aus. Mit der Wiederholung der Hypnose fällt aber der Eindruck des Wunders, auf das sich der Kranke vielleicht gefaßt gemacht hat. Man kann es dann erzielen, daß bei wiederholten Hypnosen die anfänglich mangelnde Beeinflussung der Krankheit immer deutlicher wird, bis sich ein befriedigender Erfolg herstellt. Aber eine solche hypnotische Behandlung kann ebenso mühselig und zeitraubend verlaufen wie nur irgendeine andere.</w:t>
      </w:r>
    </w:p>
    <w:p w:rsidR="008725BE" w:rsidRPr="008725BE" w:rsidRDefault="008725BE" w:rsidP="008725BE">
      <w:pPr>
        <w:pStyle w:val="Sansinterligne"/>
        <w:rPr>
          <w:rFonts w:ascii="Garamond" w:hAnsi="Garamond"/>
          <w:lang w:val="en-GB"/>
        </w:rPr>
      </w:pPr>
      <w:r w:rsidRPr="008725BE">
        <w:rPr>
          <w:rFonts w:ascii="Garamond" w:hAnsi="Garamond"/>
          <w:lang w:val="en-GB"/>
        </w:rPr>
        <w:t>Eine andere Art, wie sich die relative Schwäche der Suggestion im Vergleich mit dem zu bekämpfenden Leiden verrät, ist die, daß die Suggestion zwar die Aufhebung der Krankheitserscheinungen zustande bringt, aber nur für kurze Zeit. Nach Ablauf dieser Zeit sind die Leidenszeichen wieder da und müssen durch neuerliche Hypnose mit Suggestion wieder vertrieben werden. Wiederholt sich dieser Ablauf oft genug, so erschöpft er gewöhnlich die Geduld des Kranken wie die des Arztes und hat das Aufgeben der hypnotischen Behandlung zur Folge. Auch sind dies die Fälle, in denen sich bei dem Kranken die Abhängigkeit vom Arzt und eine Art Sucht nach der Hypnose herzustellen pflegen.</w:t>
      </w:r>
    </w:p>
    <w:p w:rsidR="008725BE" w:rsidRPr="008725BE" w:rsidRDefault="008725BE" w:rsidP="008725BE">
      <w:pPr>
        <w:pStyle w:val="Sansinterligne"/>
        <w:rPr>
          <w:rFonts w:ascii="Garamond" w:hAnsi="Garamond"/>
          <w:lang w:val="en-GB"/>
        </w:rPr>
      </w:pPr>
      <w:r w:rsidRPr="008725BE">
        <w:rPr>
          <w:rFonts w:ascii="Garamond" w:hAnsi="Garamond"/>
          <w:lang w:val="en-GB"/>
        </w:rPr>
        <w:t>Es ist gut, wenn der Kranke diese Mängel der hypnotischen Heilmethode und die Möglichkeiten der Enttäuschung bei ihrer Anwendung kennt. Die Heilkraft der hypnotischen Suggestion ist ja etwas Tatsächliches, sie bedarf der übertreibenden Anpreisung nicht. Anderseits ist es leicht verständlich, wenn die Ärzte, denen die hypnotische Seelenbehandlung soviel mehr versprochen hatte, als sie halten konnte, nicht müde werden, nach anderen Verfahren zu suchen, welche eine eingreifendere oder minder unberechenbare Einwirkung auf die Seele des Kranken ermöglichen. Man darf sich der sicheren Erwartung hingeben, daß die zielbewußte moderne Seelenbehandlung, welche ja eine ganz junge Wiederbelebung alter Heilmethoden darstellt, den Ärzten noch weit kräftigere Waffen zum Kampfe gegen die Krankheit in die Hände geben wird. Eine tiefere Einsicht in die Vorgänge des Seelenlebens, deren erste Anfänge gerade auf den hypnotischen Erfahrungen ruhen, wird Mittel und Wege dazu weisen.</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br w:type="page"/>
      </w:r>
    </w:p>
    <w:p w:rsidR="008725BE" w:rsidRPr="008725BE" w:rsidRDefault="00B437A1" w:rsidP="008725BE">
      <w:pPr>
        <w:pStyle w:val="Sansinterligne"/>
        <w:rPr>
          <w:rFonts w:ascii="Garamond" w:hAnsi="Garamond"/>
          <w:caps/>
        </w:rPr>
      </w:pPr>
      <w:hyperlink w:anchor="KSinhalt" w:history="1">
        <w:r w:rsidR="008725BE" w:rsidRPr="008725BE">
          <w:rPr>
            <w:rStyle w:val="Lienhypertexte"/>
            <w:rFonts w:ascii="Garamond" w:hAnsi="Garamond"/>
            <w:b/>
          </w:rPr>
          <w:t>Ps</w:t>
        </w:r>
        <w:bookmarkStart w:id="183" w:name="KS48"/>
        <w:bookmarkEnd w:id="183"/>
        <w:r w:rsidR="008725BE" w:rsidRPr="008725BE">
          <w:rPr>
            <w:rStyle w:val="Lienhypertexte"/>
            <w:rFonts w:ascii="Garamond" w:hAnsi="Garamond"/>
            <w:b/>
          </w:rPr>
          <w:t>ychopathische Personen auf der Bühne</w:t>
        </w:r>
      </w:hyperlink>
      <w:r w:rsidR="008725BE" w:rsidRPr="008725BE">
        <w:rPr>
          <w:rFonts w:ascii="Garamond" w:hAnsi="Garamond"/>
        </w:rPr>
        <w:t xml:space="preserve">  </w:t>
      </w:r>
      <w:r w:rsidR="008725BE" w:rsidRPr="008725BE">
        <w:rPr>
          <w:rFonts w:ascii="Garamond" w:hAnsi="Garamond"/>
          <w:caps/>
        </w:rPr>
        <w:t>(1942)</w:t>
      </w:r>
    </w:p>
    <w:p w:rsidR="008725BE" w:rsidRPr="008725BE" w:rsidRDefault="008725BE" w:rsidP="008725BE">
      <w:pPr>
        <w:pStyle w:val="Sansinterligne"/>
        <w:rPr>
          <w:rFonts w:ascii="Garamond" w:hAnsi="Garamond"/>
        </w:rPr>
      </w:pPr>
      <w:r w:rsidRPr="008725BE">
        <w:rPr>
          <w:rFonts w:ascii="Garamond" w:hAnsi="Garamond"/>
        </w:rPr>
        <w:t> </w:t>
      </w:r>
    </w:p>
    <w:p w:rsidR="008725BE" w:rsidRPr="008725BE" w:rsidRDefault="008725BE" w:rsidP="008725BE">
      <w:pPr>
        <w:pStyle w:val="Sansinterligne"/>
        <w:rPr>
          <w:rFonts w:ascii="Garamond" w:hAnsi="Garamond"/>
        </w:rPr>
      </w:pPr>
      <w:r w:rsidRPr="008725BE">
        <w:rPr>
          <w:rFonts w:ascii="Garamond" w:hAnsi="Garamond"/>
        </w:rPr>
        <w:t xml:space="preserve">Wenn der Zweck des Schauspiels dahin geht, »Furcht und Mitleid« zu erwecken, eine »Reinigung der Affekte« herbeizuführen, wie seit Aristoteles angenommen wird, so kann man dieselbe Absicht etwas ausführlicher beschreiben, indem man sagt, es handle sich um die Eröffnung von Lust- oder Genußquellen aus unserem Affektleben wie beim Komischen, Witz usw. aus unserer Intelligenzarbeit, durch welche viele solcher Quellen unzugänglich gemacht worden sind. Gewiß ist das </w:t>
      </w:r>
      <w:r w:rsidRPr="008725BE">
        <w:rPr>
          <w:rFonts w:ascii="Garamond" w:hAnsi="Garamond"/>
          <w:i/>
          <w:iCs/>
        </w:rPr>
        <w:t>Austoben</w:t>
      </w:r>
      <w:r w:rsidRPr="008725BE">
        <w:rPr>
          <w:rFonts w:ascii="Garamond" w:hAnsi="Garamond"/>
        </w:rPr>
        <w:t xml:space="preserve"> der eigenen Affekte dabei in erster Linie anzuführen, und der daraus resultierende Genuß entspricht einerseits der Erleichterung durch ausgiebige Abfuhr, andererseits wohl der sexuellen Miterregung, die, darf man annehmen, als Nebengewinn bei jeder Affekterweckung abfällt und dem Menschen das so sehr gewünschte Gefühl der Höherspannung seines psychischen Niveaus liefert. Das teilnehmende Zuschauen beim Schau-Spiel leistet dem Erwachsenen dasselbe wie das Spiel dem Kinde, dessen tastende Erwartung, es dem Erwachsenen gleichtun zu können, so befriedigt wird. Der Zuschauer erlebt zu wenig, er fühlt sich als »Misero, dem nichts Großes passieren kann«, er hat seinen Ehrgeiz, als Ich im Mittelpunkt des Weltgetriebes zu stehen, längst dämpfen, besser verschieben müssen, er will fühlen, wirken, alles so gestalten, wie er möchte, kurz Held sein, und die Dichter-Schauspieler ermöglichen ihm das, indem sie ihm die </w:t>
      </w:r>
      <w:r w:rsidRPr="008725BE">
        <w:rPr>
          <w:rFonts w:ascii="Garamond" w:hAnsi="Garamond"/>
          <w:i/>
          <w:iCs/>
        </w:rPr>
        <w:t>Identifizierung</w:t>
      </w:r>
      <w:r w:rsidRPr="008725BE">
        <w:rPr>
          <w:rFonts w:ascii="Garamond" w:hAnsi="Garamond"/>
        </w:rPr>
        <w:t xml:space="preserve"> mit einem Helden gestatten. Sie ersparen ihm auch etwas dabei, denn der Zuschauer weiß wohl, daß solches Betätigen seiner Person im Heldentum nicht ohne Schmerzen, Leiden und schwere Befürchtungen, die fast den Genuß aufheben, möglich ist; er weiß auch, daß er nur </w:t>
      </w:r>
      <w:r w:rsidRPr="008725BE">
        <w:rPr>
          <w:rFonts w:ascii="Garamond" w:hAnsi="Garamond"/>
          <w:i/>
          <w:iCs/>
        </w:rPr>
        <w:t>ein</w:t>
      </w:r>
      <w:r w:rsidRPr="008725BE">
        <w:rPr>
          <w:rFonts w:ascii="Garamond" w:hAnsi="Garamond"/>
        </w:rPr>
        <w:t xml:space="preserve"> Leben hat und vielleicht in </w:t>
      </w:r>
      <w:r w:rsidRPr="008725BE">
        <w:rPr>
          <w:rFonts w:ascii="Garamond" w:hAnsi="Garamond"/>
          <w:i/>
          <w:iCs/>
        </w:rPr>
        <w:t>einem</w:t>
      </w:r>
      <w:r w:rsidRPr="008725BE">
        <w:rPr>
          <w:rFonts w:ascii="Garamond" w:hAnsi="Garamond"/>
        </w:rPr>
        <w:t xml:space="preserve"> solchen Kampf gegen die Widerstände erliegen wird. Daher hat sein Genuß die Illusion zur Voraussetzung, das heißt die Milderung des Leidens durch die Sicherheit, daß es erstens ein anderer ist, der dort auf der Bühne handelt und leidet, und zweitens doch nur ein Spiel, aus dem seiner persönlichen Sicherheit kein Schaden erwachsen kann. Unter solchen Umständen darf er sich als »Großen« genießen, unterdrückten Regungen wie dem Freiheitsbedürfnis in religiöser, politischer, sozialer und sexueller Hinsicht ungescheut nachgeben und sich in den einzelnen großen Szenen des dargestellten Lebens nach allen Richtungen austoben.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 sind aber Genußbedingungen, die mehreren Formen der Dichtung gemeinsam sind. Die Lyrik dient vor allem dem Austoben intensiver vielfacher Empfindungen, wie seinerzeit der Tanz, das Epos soll hauptsächlich den Genuß der großen heldenhaften Persönlichkeit in ihren Siegen ermöglichen, das Drama aber tiefer in die Affektmöglichkeiten herabsteigen, die Unglückserwartungen noch zum Genuß gestalten, und zeigt daher den Helden im Kampf vielmehr mit einer masochistischen Befriedigung im Unterliegen. Man könnte das Drama geradezu durch diese Relation zum Leiden und Unglück charakterisieren, sei es, daß wie im Schauspiel nur die </w:t>
      </w:r>
      <w:r w:rsidRPr="008725BE">
        <w:rPr>
          <w:rFonts w:ascii="Garamond" w:hAnsi="Garamond"/>
          <w:i/>
          <w:iCs/>
          <w:lang w:val="en-GB"/>
        </w:rPr>
        <w:t>Sorge</w:t>
      </w:r>
      <w:r w:rsidRPr="008725BE">
        <w:rPr>
          <w:rFonts w:ascii="Garamond" w:hAnsi="Garamond"/>
          <w:lang w:val="en-GB"/>
        </w:rPr>
        <w:t xml:space="preserve"> geweckt und dann beschwichtigt oder wie in der Tragödie das Leiden verwirklicht wird. Die Entstehung des Dramas aus Opferhandlungen (Bock und Sündenbock) im Kult der Götter kann nicht ohne Beziehung zu diesem Sinn des Dramas sein, es beschwichtigt gleichsam die beginnende Auflehnung gegen die göttliche Weltordnung, die das Leiden festgesetzt hat. Die Helden sind zunächst Aufrührer gegen Gott oder ein Göttliches, und aus dem Elendsgefühl des Schwächeren gegen die Gottesgewalt soll durch masochistische Befriedigung und direkten Genuß der doch als groß betonten Persönlichkeit Lust gezogen werden. Es ist dies die Prometheusstimmung des Menschen, aber mit der kleinlichen Bereitwilligkeit versetzt, sich doch durch eine momentane Befriedigung zeitweilig beschwichtigen zu lassen.</w:t>
      </w:r>
    </w:p>
    <w:p w:rsidR="008725BE" w:rsidRPr="008725BE" w:rsidRDefault="008725BE" w:rsidP="008725BE">
      <w:pPr>
        <w:pStyle w:val="Sansinterligne"/>
        <w:rPr>
          <w:rFonts w:ascii="Garamond" w:hAnsi="Garamond"/>
          <w:lang w:val="en-GB"/>
        </w:rPr>
      </w:pPr>
      <w:r w:rsidRPr="008725BE">
        <w:rPr>
          <w:rFonts w:ascii="Garamond" w:hAnsi="Garamond"/>
          <w:lang w:val="en-GB"/>
        </w:rPr>
        <w:t>Alle Arten von Leiden sind also das Thema des Dramas, aus denen es dem Zuhörer Lust zu verschaffen verspricht, und daraus ergibt sich als erste Kunstformbedingung, daß es den Zuhörer nicht leiden mache, daß es das erregte Mitleiden durch die dabei möglichen Befriedigungen zu kompensieren verstehe, gegen welche Regel von neueren Dichtern besonders oft gefehlt wird.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Doch schränkt sich dieses Leiden bald auf </w:t>
      </w:r>
      <w:r w:rsidRPr="008725BE">
        <w:rPr>
          <w:rFonts w:ascii="Garamond" w:hAnsi="Garamond"/>
          <w:i/>
          <w:iCs/>
          <w:lang w:val="en-GB"/>
        </w:rPr>
        <w:t>seelisches</w:t>
      </w:r>
      <w:r w:rsidRPr="008725BE">
        <w:rPr>
          <w:rFonts w:ascii="Garamond" w:hAnsi="Garamond"/>
          <w:lang w:val="en-GB"/>
        </w:rPr>
        <w:t xml:space="preserve"> Leiden ein, denn </w:t>
      </w:r>
      <w:r w:rsidRPr="008725BE">
        <w:rPr>
          <w:rFonts w:ascii="Garamond" w:hAnsi="Garamond"/>
          <w:i/>
          <w:iCs/>
          <w:lang w:val="en-GB"/>
        </w:rPr>
        <w:t>körperlich</w:t>
      </w:r>
      <w:r w:rsidRPr="008725BE">
        <w:rPr>
          <w:rFonts w:ascii="Garamond" w:hAnsi="Garamond"/>
          <w:lang w:val="en-GB"/>
        </w:rPr>
        <w:t xml:space="preserve"> leiden will niemand, der weiß, wie bald das dabei veränderte Körpergefühl allem seelischen Genießen ein Ende macht. Wer krank ist, hat nur einen Wunsch: gesund zu werden, den Zustand zu verlassen, der Arzt soll kommen, das Medikament, die Hemmung des Phantasiespiels aufhören, das uns selbst aus unseren Leiden Genuß zu schöpfen verwöhnt hat. Wenn sich der Zuschauer in den körperlich Kranken versetzt, findet er nichts von Genuß und psychischer Leistungsfähigkeit in sich vor, und darum ist der körperlich Kranke nur als Requisit, nicht als Held auf der Bühne möglich, insofern nicht besondere psychische Seiten des Krankseins doch die psychische Arbeit ermöglichen, zum Beispiel die Verlassenheit des Kranken im </w:t>
      </w:r>
      <w:r w:rsidRPr="008725BE">
        <w:rPr>
          <w:rFonts w:ascii="Garamond" w:hAnsi="Garamond"/>
          <w:i/>
          <w:iCs/>
          <w:lang w:val="en-GB"/>
        </w:rPr>
        <w:t>Philoktet</w:t>
      </w:r>
      <w:r w:rsidRPr="008725BE">
        <w:rPr>
          <w:rFonts w:ascii="Garamond" w:hAnsi="Garamond"/>
          <w:lang w:val="en-GB"/>
        </w:rPr>
        <w:t xml:space="preserve"> oder die Hoffnungslosigkeit des Kranken in den Schwindsuchtstücken.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Seelische Leiden kennt der Mensch aber wesentlich im Zusammenhang mit den Verhältnissen, unter denen sie erworben werden, und daher braucht das Drama eine Handlung, aus der solche Leiden </w:t>
      </w:r>
      <w:r w:rsidRPr="008725BE">
        <w:rPr>
          <w:rFonts w:ascii="Garamond" w:hAnsi="Garamond"/>
          <w:lang w:val="en-GB"/>
        </w:rPr>
        <w:lastRenderedPageBreak/>
        <w:t xml:space="preserve">stammen, und fängt mit der Einführung in diese Handlung an. Scheinbare Ausnahme, wenn manche Stücke fertige seelische Leiden bringen wie </w:t>
      </w:r>
      <w:r w:rsidRPr="008725BE">
        <w:rPr>
          <w:rFonts w:ascii="Garamond" w:hAnsi="Garamond"/>
          <w:i/>
          <w:iCs/>
          <w:lang w:val="en-GB"/>
        </w:rPr>
        <w:t>Ajax, Philoktet</w:t>
      </w:r>
      <w:r w:rsidRPr="008725BE">
        <w:rPr>
          <w:rFonts w:ascii="Garamond" w:hAnsi="Garamond"/>
          <w:lang w:val="en-GB"/>
        </w:rPr>
        <w:t xml:space="preserve">, denn infolge der Bekanntheit der Stoffe hebt sich der Vorhang im griechischen Drama immer gleichsam mitten im Stück. Es ist nun leicht, die Bedingungen dieser Handlung erschöpfend darzustellen, es muß eine Handlung von Konflikt sein, Anstrengung des Willens und Widerstand enthalten. Die erste und großartigste Erfüllung dieser Bedingung geschah durch den Kampf gegen das Göttliche. Es ist schon gesagt worden, daß diese Tragödie auflehnerisch ist, während Dichter und Zuhörer für den Rebellen Partei nehmen. Je weniger man dann dem Göttlichen zutraut, desto mehr gewinnt die </w:t>
      </w:r>
      <w:r w:rsidRPr="008725BE">
        <w:rPr>
          <w:rFonts w:ascii="Garamond" w:hAnsi="Garamond"/>
          <w:i/>
          <w:iCs/>
          <w:lang w:val="en-GB"/>
        </w:rPr>
        <w:t>menschliche</w:t>
      </w:r>
      <w:r w:rsidRPr="008725BE">
        <w:rPr>
          <w:rFonts w:ascii="Garamond" w:hAnsi="Garamond"/>
          <w:lang w:val="en-GB"/>
        </w:rPr>
        <w:t xml:space="preserve"> Ordnung, die man für die Leiden mit immer mehr Einsicht verantwortlich macht, und so ist der nächste Kampf der des Helden gegen die menschliche soziale Gemeinschaft, die </w:t>
      </w:r>
      <w:r w:rsidRPr="008725BE">
        <w:rPr>
          <w:rFonts w:ascii="Garamond" w:hAnsi="Garamond"/>
          <w:i/>
          <w:iCs/>
          <w:lang w:val="en-GB"/>
        </w:rPr>
        <w:t>bürgerliche Tragödie</w:t>
      </w:r>
      <w:r w:rsidRPr="008725BE">
        <w:rPr>
          <w:rFonts w:ascii="Garamond" w:hAnsi="Garamond"/>
          <w:lang w:val="en-GB"/>
        </w:rPr>
        <w:t xml:space="preserve">. Eine andere Erfüllung ist die des Kampfes zwischen Menschen selbst, die </w:t>
      </w:r>
      <w:r w:rsidRPr="008725BE">
        <w:rPr>
          <w:rFonts w:ascii="Garamond" w:hAnsi="Garamond"/>
          <w:i/>
          <w:iCs/>
          <w:lang w:val="en-GB"/>
        </w:rPr>
        <w:t>Charaktertragödie</w:t>
      </w:r>
      <w:r w:rsidRPr="008725BE">
        <w:rPr>
          <w:rFonts w:ascii="Garamond" w:hAnsi="Garamond"/>
          <w:lang w:val="en-GB"/>
        </w:rPr>
        <w:t>, die alle Erregungen des Agons für sich hat und mit Gewinn sich zwischen hervorragenden von den Einschränkungen menschlicher Institutionen befreiten Personen abspielt, eigentlich mehr als einen Helden haben muß. Verquickungen zwischen beiden Fällen, Kampf des Helden gegen Institutionen, die sich in starken Charakteren verkörpern, sind natürlich ohne weiteres zulässig. Die reine Charaktertragödie entbehrt der Genußquelle der Auflehnung, die im sozialen Stück zum Beispiel bei Ibsen wieder so mächtig hervortritt wie in den Königsdramen der griechischen Klassiker.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sich </w:t>
      </w:r>
      <w:r w:rsidRPr="008725BE">
        <w:rPr>
          <w:rFonts w:ascii="Garamond" w:hAnsi="Garamond"/>
          <w:i/>
          <w:iCs/>
          <w:lang w:val="en-GB"/>
        </w:rPr>
        <w:t>religiöses, Charakter-</w:t>
      </w:r>
      <w:r w:rsidRPr="008725BE">
        <w:rPr>
          <w:rFonts w:ascii="Garamond" w:hAnsi="Garamond"/>
          <w:lang w:val="en-GB"/>
        </w:rPr>
        <w:t xml:space="preserve"> und </w:t>
      </w:r>
      <w:r w:rsidRPr="008725BE">
        <w:rPr>
          <w:rFonts w:ascii="Garamond" w:hAnsi="Garamond"/>
          <w:i/>
          <w:iCs/>
          <w:lang w:val="en-GB"/>
        </w:rPr>
        <w:t>soziales</w:t>
      </w:r>
      <w:r w:rsidRPr="008725BE">
        <w:rPr>
          <w:rFonts w:ascii="Garamond" w:hAnsi="Garamond"/>
          <w:lang w:val="en-GB"/>
        </w:rPr>
        <w:t xml:space="preserve"> Drama wesentlich durch den Kampfplatz unterscheiden, auf dem die Handlung vor sich geht, aus der das Leiden stammt, so folgen wir nun dem Drama auf einen weiteren Kampfplatz, auf dem es ganz </w:t>
      </w:r>
      <w:r w:rsidRPr="008725BE">
        <w:rPr>
          <w:rFonts w:ascii="Garamond" w:hAnsi="Garamond"/>
          <w:i/>
          <w:iCs/>
          <w:lang w:val="en-GB"/>
        </w:rPr>
        <w:t>psychologisches</w:t>
      </w:r>
      <w:r w:rsidRPr="008725BE">
        <w:rPr>
          <w:rFonts w:ascii="Garamond" w:hAnsi="Garamond"/>
          <w:lang w:val="en-GB"/>
        </w:rPr>
        <w:t xml:space="preserve"> Drama wird. Im Seelenleben des Helden selbst kommt es zum Leiden schaffenden Kampf zwischen verschiedenen Regungen, ein Kampf, der nicht mit dem Untergang des Helden, sondern mit dem einer Regung, also mit Verzicht enden muß. Jede Vereinigung dieser Bedingung mit früheren, also denen beim sozialen und Charakter-Drama, ist natürlich möglich, insofern die Institution gerade jenen inneren Konflikt hervorruft. Hier ist die Stelle für die Liebestragödien, insofern die Unterdrückung der Liebe durch die soziale Kultur, durch menschliche Einrichtungen oder den aus der Oper bekannten Kampf zwischen »Liebe und Pflicht« den Ausgangspunkt von fast ins Unendliche variierenden Konfliktsituationen bildet. Ebenso unendlich wie die erotischen Tagträume der Menschen.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Reihe der Möglichkeiten erweitert sich aber, und das psychologische Drama wird zum psychopathologischen, wenn nicht mehr der Konflikt zweier annähernd gleich bewußten Regungen, sondern der zwischen einer bewußten und einer verdrängten Quelle des Leidens ist, an dem wir teilnehmen und aus dem wir Lust ziehen sollen. </w:t>
      </w:r>
      <w:r w:rsidRPr="008725BE">
        <w:rPr>
          <w:rFonts w:ascii="Garamond" w:hAnsi="Garamond"/>
        </w:rPr>
        <w:t xml:space="preserve">Bedingung des Genusses ist hier, daß der Zuschauer auch ein Neurotiker sei. Denn nur ihm wird die Freilegung und gewissermaßen bewußte Anerkennung der verdrängten Regung Lust bereiten können anstatt bloß Abneigung; beim Nichtneurotiker wird solche bloß auf Abneigung stoßen und die Bereitschaft hervorrufen, den Akt der Verdrängung zu wiederholen, denn diese ist hier gelungen – der verdrängten Regung ist durch den einmaligen Verdrängungsaufwand voll das Gleichgewicht gehalten. </w:t>
      </w:r>
      <w:r w:rsidRPr="008725BE">
        <w:rPr>
          <w:rFonts w:ascii="Garamond" w:hAnsi="Garamond"/>
          <w:lang w:val="en-GB"/>
        </w:rPr>
        <w:t xml:space="preserve">Beim Neurotiker ist die Verdrängung im Mißlingen begriffen, labil und bedarf beständig neuen Aufwandes, der durch die Anerkennung erspart wird. Nur bei ihm besteht ein solcher Kampf, der Gegenstand des Dramas sein kann, aber auch bei ihm wird der Dichter nicht bloß Befreiungs </w:t>
      </w:r>
      <w:r w:rsidRPr="008725BE">
        <w:rPr>
          <w:rFonts w:ascii="Garamond" w:hAnsi="Garamond"/>
          <w:i/>
          <w:iCs/>
          <w:lang w:val="en-GB"/>
        </w:rPr>
        <w:t>genuß</w:t>
      </w:r>
      <w:r w:rsidRPr="008725BE">
        <w:rPr>
          <w:rFonts w:ascii="Garamond" w:hAnsi="Garamond"/>
          <w:lang w:val="en-GB"/>
        </w:rPr>
        <w:t xml:space="preserve">, sondern auch </w:t>
      </w:r>
      <w:r w:rsidRPr="008725BE">
        <w:rPr>
          <w:rFonts w:ascii="Garamond" w:hAnsi="Garamond"/>
          <w:i/>
          <w:iCs/>
          <w:lang w:val="en-GB"/>
        </w:rPr>
        <w:t>Widerstand</w:t>
      </w:r>
      <w:r w:rsidRPr="008725BE">
        <w:rPr>
          <w:rFonts w:ascii="Garamond" w:hAnsi="Garamond"/>
          <w:lang w:val="en-GB"/>
        </w:rPr>
        <w:t xml:space="preserve"> erzeugen.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erste dieser modernen Dramen ist der </w:t>
      </w:r>
      <w:r w:rsidRPr="008725BE">
        <w:rPr>
          <w:rFonts w:ascii="Garamond" w:hAnsi="Garamond"/>
          <w:i/>
          <w:iCs/>
          <w:lang w:val="en-GB"/>
        </w:rPr>
        <w:t>Hamlet</w:t>
      </w:r>
      <w:r w:rsidRPr="008725BE">
        <w:rPr>
          <w:rFonts w:ascii="Garamond" w:hAnsi="Garamond"/>
          <w:lang w:val="en-GB"/>
        </w:rPr>
        <w:t xml:space="preserve">. Es behandelt das Thema, wie ein bisher normaler Mensch durch die besondere Natur der ihm gestellten Aufgabe zum Neurotiker wird, in dem eine bisher glücklich verdrängte Regung sich zur Geltung zu bringen sucht. Der </w:t>
      </w:r>
      <w:r w:rsidRPr="008725BE">
        <w:rPr>
          <w:rFonts w:ascii="Garamond" w:hAnsi="Garamond"/>
          <w:i/>
          <w:iCs/>
          <w:lang w:val="en-GB"/>
        </w:rPr>
        <w:t>Hamlet</w:t>
      </w:r>
      <w:r w:rsidRPr="008725BE">
        <w:rPr>
          <w:rFonts w:ascii="Garamond" w:hAnsi="Garamond"/>
          <w:lang w:val="en-GB"/>
        </w:rPr>
        <w:t xml:space="preserve"> zeichnet sich durch drei Charaktere aus, die für unsere Frage wichtig scheinen. 1. Daß der Held nicht psychopathisch ist, sondern es in der uns beschäftigenden Handlung erst wird. 2. Daß die verdrängte Regung zu jenen gehört, die bei uns allen in gleicher Weise verdrängt ist, deren Verdrängung zu den Grundlagen unserer persönlichen Entwicklung gehört, während die Situation gerade an dieser Verdrängung rüttelt. Durch diese beiden Bedingungen wird es uns leicht, uns im Helden wiederzufinden; wir sind desselben Konflikts fähig wie er, denn »wer unter gewissen Umständen seinen Verstand nicht verliert, hat keinen zu verlieren«. 3. Aber es scheint als Bedingung der Kunstform, daß die zum Bewußtsein ringende Regung, so sicher sie kenntlich ist, so wenig mit deutlichem Namen genannt wird, so daß sich der Vorgang im Hörer wieder mit abgewandter Aufmerksamkeit vollzieht und er von Gefühlen ergriffen wird, anstatt sich Rechenschaft zu geben. Dadurch wird gewiß ein Stück des Widerstandes erspart, wie man es in der analytischen Arbeit sieht, wo die Abkömmlinge des Verdrängten infolge des geringeren Widerstandes zum Bewußtsein kommen, das sich dem Verdrängten selbst versagt. Ist doch der Konflikt im </w:t>
      </w:r>
      <w:r w:rsidRPr="008725BE">
        <w:rPr>
          <w:rFonts w:ascii="Garamond" w:hAnsi="Garamond"/>
          <w:i/>
          <w:iCs/>
          <w:lang w:val="en-GB"/>
        </w:rPr>
        <w:t>Hamlet</w:t>
      </w:r>
      <w:r w:rsidRPr="008725BE">
        <w:rPr>
          <w:rFonts w:ascii="Garamond" w:hAnsi="Garamond"/>
          <w:lang w:val="en-GB"/>
        </w:rPr>
        <w:t xml:space="preserve"> so sehr versteckt, daß ich ihn erst erraten mußte.</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Es ist möglich, daß infolge der Nichtbeachtung dieser drei Bedingungen so viele andere psychopathische Figuren für die Bühne ebenso unbrauchbar werden, wie sie es fürs Leben sind. Denn der kranke Neurotiker ist für uns ein Mensch, in dessen Konflikt wir keine Einsicht gewinnen können, wenn er ihn fertig mitbringt. Umgekehrt, wenn wir diesen Konflikt kennen, vergessen wir, daß er ein Kranker ist, so wie er bei Kenntnis desselben aufhört, selbst krank zu sein. Aufgabe des Dichters wäre es, uns in dieselbe Krankheit zu versetzen, was am besten geschieht, wenn wir die Entwicklung mit ihm mitmachen. Besonders wird dies dort notwendig sein, wo die Verdrängung nicht bereits bei uns besteht, also erst hergestellt werden muß, was einen Schritt in der Verwendung der Neurose auf der Bühne über </w:t>
      </w:r>
      <w:r w:rsidRPr="008725BE">
        <w:rPr>
          <w:rFonts w:ascii="Garamond" w:hAnsi="Garamond"/>
          <w:i/>
          <w:iCs/>
          <w:lang w:val="en-GB"/>
        </w:rPr>
        <w:t>Hamlet</w:t>
      </w:r>
      <w:r w:rsidRPr="008725BE">
        <w:rPr>
          <w:rFonts w:ascii="Garamond" w:hAnsi="Garamond"/>
          <w:lang w:val="en-GB"/>
        </w:rPr>
        <w:t xml:space="preserve"> hinaus darstellt. Wo uns die fremde und fertige Neurose entgegentritt, werden wir im Leben nach dem Arzt rufen und die Figur für bühnenunfähig halten.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Dieser Fehler scheint bei </w:t>
      </w:r>
      <w:r w:rsidRPr="008725BE">
        <w:rPr>
          <w:rFonts w:ascii="Garamond" w:hAnsi="Garamond"/>
          <w:i/>
          <w:iCs/>
          <w:lang w:val="en-GB"/>
        </w:rPr>
        <w:t>Der Anderen</w:t>
      </w:r>
      <w:r w:rsidRPr="008725BE">
        <w:rPr>
          <w:rFonts w:ascii="Garamond" w:hAnsi="Garamond"/>
          <w:lang w:val="en-GB"/>
        </w:rPr>
        <w:t xml:space="preserve"> von Bahr vorzuliegen, außerdem der andere im Problem liegende, daß es uns nicht möglich ist, von dem Vorrecht des einen, das Mädchen voll zu befriedigen, eine nachfühlende Überzeugung zu gewinnen. Ihr Fall kann also nicht der unsere werden. Außerdem der dritte, daß nichts zu erraten bleibt und der volle Widerstand gegen diese Bedingtheit der Liebe, die wir nicht mögen, in uns wachgerufen wird. Die Bedingung der abgelenkten Aufmerksamkeit scheint die wichtigste der hier geltenden Formbedingungen zu sein.</w:t>
      </w:r>
    </w:p>
    <w:p w:rsidR="008725BE" w:rsidRPr="008725BE" w:rsidRDefault="008725BE" w:rsidP="008725BE">
      <w:pPr>
        <w:pStyle w:val="Sansinterligne"/>
        <w:rPr>
          <w:rFonts w:ascii="Garamond" w:hAnsi="Garamond"/>
          <w:lang w:val="en-GB"/>
        </w:rPr>
      </w:pPr>
      <w:r w:rsidRPr="008725BE">
        <w:rPr>
          <w:rFonts w:ascii="Garamond" w:hAnsi="Garamond"/>
          <w:lang w:val="en-GB"/>
        </w:rPr>
        <w:t>Im allgemeinen wird sich etwa sagen lassen, daß die neurotische Labilität des Publikums und die Kunst des Dichters, Widerstände zu vermeiden und Vorlust zu geben, allein die Grenze der Verwendung abnormer Charaktere bestimmen kann.</w:t>
      </w:r>
    </w:p>
    <w:p w:rsidR="008725BE" w:rsidRPr="008725BE" w:rsidRDefault="008725BE" w:rsidP="008725BE">
      <w:pPr>
        <w:pStyle w:val="Sansinterligne"/>
        <w:rPr>
          <w:rFonts w:ascii="Garamond" w:hAnsi="Garamond"/>
          <w:lang w:val="en-GB"/>
        </w:rPr>
      </w:pPr>
      <w:r w:rsidRPr="008725BE">
        <w:rPr>
          <w:rFonts w:ascii="Garamond" w:hAnsi="Garamond"/>
          <w:lang w:val="en-GB"/>
        </w:rPr>
        <w:br w:type="page"/>
      </w:r>
    </w:p>
    <w:p w:rsidR="008725BE" w:rsidRPr="008725BE" w:rsidRDefault="00B437A1" w:rsidP="008725BE">
      <w:pPr>
        <w:pStyle w:val="Sansinterligne"/>
        <w:rPr>
          <w:rFonts w:ascii="Garamond" w:hAnsi="Garamond"/>
          <w:caps/>
          <w:lang w:val="en-GB"/>
        </w:rPr>
      </w:pPr>
      <w:hyperlink w:anchor="KSinhalt" w:history="1">
        <w:r w:rsidR="008725BE" w:rsidRPr="008725BE">
          <w:rPr>
            <w:rStyle w:val="Lienhypertexte"/>
            <w:rFonts w:ascii="Garamond" w:hAnsi="Garamond"/>
            <w:b/>
            <w:lang w:val="en-GB"/>
          </w:rPr>
          <w:t>Ra</w:t>
        </w:r>
        <w:bookmarkStart w:id="184" w:name="KS49"/>
        <w:bookmarkEnd w:id="184"/>
        <w:r w:rsidR="008725BE" w:rsidRPr="008725BE">
          <w:rPr>
            <w:rStyle w:val="Lienhypertexte"/>
            <w:rFonts w:ascii="Garamond" w:hAnsi="Garamond"/>
            <w:b/>
            <w:lang w:val="en-GB"/>
          </w:rPr>
          <w:t>tschläge für den Arzt bei der psychoanalytischen Behandlung</w:t>
        </w:r>
      </w:hyperlink>
      <w:r w:rsidR="008725BE" w:rsidRPr="008725BE">
        <w:rPr>
          <w:rFonts w:ascii="Garamond" w:hAnsi="Garamond"/>
          <w:lang w:val="en-GB"/>
        </w:rPr>
        <w:t xml:space="preserve">  </w:t>
      </w:r>
      <w:r w:rsidR="008725BE" w:rsidRPr="008725BE">
        <w:rPr>
          <w:rFonts w:ascii="Garamond" w:hAnsi="Garamond"/>
          <w:caps/>
          <w:lang w:val="en-GB"/>
        </w:rPr>
        <w:t>(1912)</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Die technischen Regeln, die ich hier in Vorschlag bringe, haben sich mir aus der langjährigen eigenen Erfahrung ergeben, nachdem ich durch eigenen Schaden von der Verfolgung anderer Wege zurückgekommen war. Man wird leicht bemerken, daß sie sich, wenigstens viele von ihnen, zu einer einzigen Vorschrift zusammensetzen. Ich hoffe, daß ihre Berücksichtigung den analytisch tätigen Ärzten viel unnützen Aufwand ersparen und sie vor manchem Übersehen behüten wird; aber ich muß ausdrücklich sagen, diese Technik hat sich als die einzig zweckmäßige für meine Individualität ergeben; ich wage es nicht in Abrede zu stellen, daß eine ganz anders konstituierte ärztliche Persönlichkeit dazu gedrängt werden kann, eine andere Einstellung gegen den Kranken und gegen die zu lösende Aufgabe zu bevorzugen.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(a)</w:t>
      </w:r>
      <w:r w:rsidRPr="008725BE">
        <w:rPr>
          <w:rFonts w:ascii="Garamond" w:hAnsi="Garamond"/>
          <w:lang w:val="en-GB"/>
        </w:rPr>
        <w:t xml:space="preserve"> Die nächste Aufgabe, vor die sich der Analytiker gestellt sieht, der mehr als einen Kranken im Tage so behandelt, wird ihm auch als die schwierigste erscheinen. Sie besteht ja darin, alle die unzähligen Namen, Daten, Einzelheiten der Erinnerung, Einfälle und Krankheitsproduktionen während der Kur, die ein Patient im Laufe von Monaten und Jahren vorbringt, im Gedächtnis zu behalten und sie nicht mit ähnlichem Material zu verwechseln, das von anderen gleichzeitig oder früher analysierten Patienten herrührt. Ist man gar genötigt, täglich sechs, acht Kranke oder selbst mehr zu analysieren, so wird eine Gedächtnisleistung, der solches gelingt, bei Außenstehenden Unglauben, Bewunderung oder selbst Bedauern wecken. In jedem Falle wird man auf die Technik neugierig sein, welche die Bewältigung einer solchen Fülle gestattet, und wird erwarten, daß dieselbe sich besonderer Hilfsmittel bediene.</w:t>
      </w:r>
    </w:p>
    <w:p w:rsidR="008725BE" w:rsidRPr="008725BE" w:rsidRDefault="008725BE" w:rsidP="008725BE">
      <w:pPr>
        <w:pStyle w:val="Sansinterligne"/>
        <w:rPr>
          <w:rFonts w:ascii="Garamond" w:hAnsi="Garamond"/>
          <w:lang w:val="en-GB"/>
        </w:rPr>
      </w:pPr>
      <w:r w:rsidRPr="008725BE">
        <w:rPr>
          <w:rFonts w:ascii="Garamond" w:hAnsi="Garamond"/>
        </w:rPr>
        <w:t xml:space="preserve">Indes ist diese Technik eine sehr einfache. Sie lehnt alle Hilfsmittel, wie wir hören werden, selbst das Niederschreiben ab und besteht einfach darin, sich nichts besonders merken zu wollen und allem, was man zu hören bekommt, die nämliche »gleichschwebende Aufmerksamkeit«, wie ich es schon einmal genannt habe, entgegenzubringen. Man erspart sich auf diese Weise eine Anstrengung der Aufmerksamkeit, die man doch nicht durch viele Stunden täglich festhalten könnte, und vermeidet eine Gefahr, die von dem absichtlichen Aufmerken unzertrennlich ist. Sowie man nämlich seine Aufmerksamkeit absichtlich bis zu einer gewissen Höhe anspannt, beginnt man auch unter dem dargebotenen Materiale auszuwählen; man fixiert das eine Stück besonders scharf, eliminiert dafür ein anderes und folgt bei dieser Auswahl seinen Erwartungen oder seinen Neigungen. </w:t>
      </w:r>
      <w:r w:rsidRPr="008725BE">
        <w:rPr>
          <w:rFonts w:ascii="Garamond" w:hAnsi="Garamond"/>
          <w:lang w:val="en-GB"/>
        </w:rPr>
        <w:t>Gerade dies darf man aber nicht; folgt man bei der Auswahl seinen Erwartungen, so ist man in Gefahr, niemals etwas anderes zu finden, als was man bereits weiß; folgt man seinen Neigungen, so wird man sicherlich die mögliche Wahrnehmung fälschen. Man darf nicht darauf vergessen, daß man ja zumeist Dinge zu hören bekommt, deren Bedeutung erst nachträglich erkannt wird.</w:t>
      </w:r>
    </w:p>
    <w:p w:rsidR="008725BE" w:rsidRPr="008725BE" w:rsidRDefault="008725BE" w:rsidP="008725BE">
      <w:pPr>
        <w:pStyle w:val="Sansinterligne"/>
        <w:rPr>
          <w:rFonts w:ascii="Garamond" w:hAnsi="Garamond"/>
          <w:lang w:val="en-GB"/>
        </w:rPr>
      </w:pPr>
      <w:r w:rsidRPr="008725BE">
        <w:rPr>
          <w:rFonts w:ascii="Garamond" w:hAnsi="Garamond"/>
          <w:lang w:val="en-GB"/>
        </w:rPr>
        <w:t>Wie man sieht, ist die Vorschrift, sich alles gleichmäßig zu merken, das notwendige Gegenstück zu der Anforderung an den Analysierten, ohne Kritik und Auswahl alles zu erzählen, was ihm einfällt. Benimmt sich der Arzt anders, so macht er zum großen Teile den Gewinn zunichte, der aus der Befolgung der »psychoanalytischen Grundregel« von seiten des Patienten resultiert. Die Regel für den Arzt läßt sich so aussprechen: Man halte alle bewußten Einwirkungen von seiner Merkfähigkeit ferne und überlasse sich völlig seinem »unbewußten Gedächtnisse«, oder rein technisch ausgedrückt: Man höre zu und kümmere sich nicht darum, ob man sich etwas merke.</w:t>
      </w:r>
    </w:p>
    <w:p w:rsidR="008725BE" w:rsidRPr="008725BE" w:rsidRDefault="008725BE" w:rsidP="008725BE">
      <w:pPr>
        <w:pStyle w:val="Sansinterligne"/>
        <w:rPr>
          <w:rFonts w:ascii="Garamond" w:hAnsi="Garamond"/>
          <w:lang w:val="en-GB"/>
        </w:rPr>
      </w:pPr>
      <w:r w:rsidRPr="008725BE">
        <w:rPr>
          <w:rFonts w:ascii="Garamond" w:hAnsi="Garamond"/>
          <w:lang w:val="en-GB"/>
        </w:rPr>
        <w:t>Was man auf diese Weise bei sich erreicht, genügt allen Anforderungen während der Behandlung. Jene Bestandteile des Materials, die sich bereits zu einem Zusammenhange fügen, werden für den Arzt auch bewußt verfügbar; das andere, noch zusammenhanglose, chaotisch ungeordnete, scheint zunächst versunken, taucht aber bereitwillig im Gedächtnisse auf, sobald der Analysierte etwas Neues vorbringt, womit es sich in Beziehung bringen und wodurch es sich fortsetzen kann. Man nimmt dann lächelnd das unverdiente Kompliment des Analysierten wegen eines »besonders guten Gedächtnisses« entgegen, wenn man nach Jahr und Tag eine Einzelheit reproduziert, die der bewußten Absicht, sie im Gedächtnisse zu fixieren, wahrscheinlich entgangen wäre.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Irrtümer in diesem Erinnern ereignen sich nur zu Zeiten und an Stellen, wo man durch die Eigenbeziehung gestört wird (s. unten), hinter dem Ideale des Analytikers also in arger Weise zurückbleibt. Verwechslungen mit dem Materiale anderer Patienten kommen recht selten zustande. In einem Streite mit dem Analysierten, ob und wie er etwas einzelnes gesagt habe, bleibt der Arzt zumeist im Rechte </w:t>
      </w:r>
      <w:hyperlink r:id="rId86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Der Analysierte behauptet oft, eine gewisse Mitteilung bereits früher gemacht zu haben, während man ihm mit ruhiger Überlegenheit versichern kann, sie erfolge jetzt zum erstenmal. Es stellt sich dann heraus, daß der Analysierte früher einmal die Intention zu dieser </w:t>
        </w:r>
        <w:r w:rsidRPr="008725BE">
          <w:rPr>
            <w:rStyle w:val="innerfusslink3"/>
            <w:rFonts w:ascii="Garamond" w:hAnsi="Garamond" w:cs="Arial"/>
            <w:b/>
            <w:bCs/>
            <w:lang w:val="en-GB"/>
          </w:rPr>
          <w:lastRenderedPageBreak/>
          <w:t>Mitteilung gehabt hat, an ihrer Ausführung aber durch einen noch bestehenden Widerstand gehindert wurde. Die Erinnerung an diese Intention ist für ihn ununterscheidbar von der Erinnerung an deren Ausführung.</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(b)</w:t>
      </w:r>
      <w:r w:rsidRPr="008725BE">
        <w:rPr>
          <w:rFonts w:ascii="Garamond" w:hAnsi="Garamond"/>
          <w:lang w:val="en-GB"/>
        </w:rPr>
        <w:t xml:space="preserve"> Ich kann es nicht empfehlen, während der Sitzungen mit dem Analysierten Notizen in größerem Umfange zu machen, Protokolle anzulegen u. dgl. Abgesehen von dem ungünstigen Eindruck, den dies bei manchen Patienten hervorruft, gelten dagegen die nämlichen Gesichtspunkte, die wir beim Merken gewürdigt haben. Man trifft notgedrungen eine schädliche Auswahl aus dem Stoffe, während man nachschreibt oder stenographiert, und man bindet ein Stück seiner eigenen Geistestätigkeit, das in der Deutung des Angehörten eine bessere Verwendung finden soll. Man kann ohne Vorwurf Ausnahmen von dieser Regel zulassen für Daten, Traumtexte oder einzelne bemerkenswerte Ergebnisse, die sich leicht aus dem Zusammenhange lösen lassen und für eine selbständige Verwendung als Beispiele geeignet sind. Aber ich pflege auch dies nicht zu tun. Beispiele schreibe ich am Abend nach Abschluß der Arbeit aus dem Gedächtnis nieder; Traumtexte, an denen mir gelegen ist, lasse ich von den Patienten nach der Erzählung des Traumes fixieren.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(c)</w:t>
      </w:r>
      <w:r w:rsidRPr="008725BE">
        <w:rPr>
          <w:rFonts w:ascii="Garamond" w:hAnsi="Garamond"/>
          <w:lang w:val="en-GB"/>
        </w:rPr>
        <w:t xml:space="preserve"> Die Niederschrift während der Sitzung mit dem Patienten könnte durch den Vorsatz gerechtfertigt werden, den behandelten Fall zum Gegenstande einer wissenschaftlichen Publikation zu machen. Das kann man ja prinzipiell kaum versagen. Aber man muß doch im Auge behalten, daß genaue Protokolle in einer analytischen Krankengeschichte weniger leisten, als man von ihnen erwarten sollte. Sie gehören, strenggenommen, jener Scheinexaktheit an, für welche uns die »moderne« Psychiatrie manche auffällige Beispiele zur Verfügung stellt. Sie sind in der Regel ermüdend für den Leser und bringen es doch nicht dazu, ihm die Anwesenheit bei der Analyse zu ersetzen. Wir haben überhaupt die Erfahrung gemacht, daß der Leser, wenn er dem Analytiker glauben will, ihm auch Kredit für das bißchen Bearbeitung einräumt, das er an seinem Material vorgenommen hat; wenn er die Analyse und den Analytiker aber nicht ernst nehmen will, so setzt er sich auch über getreue Behandlungsprotokolle hinweg. Dies scheint nicht der Weg, um dem Mangel an Evidenz abzuhelfen, der an den psychoanalytischen Darstellungen gefunden wird.</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(d)</w:t>
      </w:r>
      <w:r w:rsidRPr="008725BE">
        <w:rPr>
          <w:rFonts w:ascii="Garamond" w:hAnsi="Garamond"/>
          <w:lang w:val="en-GB"/>
        </w:rPr>
        <w:t xml:space="preserve"> Es ist zwar einer der Ruhmestitel der analytischen Arbeit, daß Forschung und Behandlung bei ihr zusammenfallen, aber die Technik, die der einen dient, widersetzt sich von einem gewissen Punkte an doch der anderen. Es ist nicht gut, einen Fall wissenschaftlich zu bearbeiten, solange seine Behandlung noch nicht abgeschlossen ist, seinen Aufbau zusammenzusetzen, seinen Fortgang erraten zu wollen, von Zeit zu Zeit Aufnahmen des gegenwärtigen Status zu machen, wie das wissenschaftliche Interesse es fordern würde. Der Erfolg leidet in solchen Fällen, die man von vornherein der wissenschaftlichen Verwertung bestimmt und nach deren Bedürfnissen behandelt; dagegen gelingen jene Fälle am besten, bei denen man wie absichtslos verfährt, sich von jeder Wendung überraschen läßt, und denen man immer wieder unbefangen und voraussetzungslos entgegentritt. Das richtige Verhalten für den Analytiker wird darin bestehen, sich aus der einen psychischen Einstellung nach Bedarf in die andere zu schwingen, nicht zu spekulieren und zu grübeln, solange er analysiert, und erst dann das gewonnene Material der synthetischen Denkarbeit zu unterziehen, nachdem die Analyse abgeschlossen ist. Die Unterscheidung der beiden Einstellungen würde bedeutungslos, wenn wir bereits im Besitze aller oder doch der wesentlichen Erkenntnisse über die Psychologie des Unbewußten und über die Struktur der Neurosen wären, die wir aus der psychoanalytischen Arbeit gewinnen können. Gegenwärtig sind wir von diesem Ziele noch weit entfernt und dürfen uns die Wege nicht verschließen, um das bisher Erkannte nachzuprüfen und Neues dazu zu finden.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rPr>
      </w:pPr>
      <w:r w:rsidRPr="008725BE">
        <w:rPr>
          <w:rFonts w:ascii="Garamond" w:hAnsi="Garamond"/>
          <w:i/>
          <w:iCs/>
          <w:lang w:val="en-GB"/>
        </w:rPr>
        <w:t>(e)</w:t>
      </w:r>
      <w:r w:rsidRPr="008725BE">
        <w:rPr>
          <w:rFonts w:ascii="Garamond" w:hAnsi="Garamond"/>
          <w:lang w:val="en-GB"/>
        </w:rPr>
        <w:t xml:space="preserve"> Ich kann den Kollegen nicht dringend genug empfehlen, sich während der psychoanalytischen Behandlung den Chirurgen zum Vorbild zu nehmen, der alle seine Affekte und selbst sein menschliches Mitleid beiseite drängt und seinen geistigen Kräften ein einziges Ziel setzt: die Operation so kunstgerecht als möglich zu vollziehen. Für den Psychoanalytiker wird unter den heute waltenden Umständen eine Affektstrebung am gefährlichsten, der therapeutische Ehrgeiz, mit seinem neuen und viel angefochtenen Mittel etwas zu leisten, was überzeugend auf andere wirken kann. Damit bringt er nicht nur sich selbst in eine für die Arbeit ungünstige Verfassung, er setzt sich auch wehrlos gewissen Widerständen des Patienten aus, von dessen Kräftespiel ja die Genesung in erster Linie abhängt. Die Rechtfertigung dieser vom Analytiker zu fordernden Gefühlskälte liegt darin, daß sie für beide Teile die vorteilhaftesten Bedingungen </w:t>
      </w:r>
      <w:r w:rsidRPr="008725BE">
        <w:rPr>
          <w:rFonts w:ascii="Garamond" w:hAnsi="Garamond"/>
          <w:lang w:val="en-GB"/>
        </w:rPr>
        <w:lastRenderedPageBreak/>
        <w:t xml:space="preserve">schafft, für den Arzt die wünschenswerte Schonung seines eigenen Affektlebens, für den Kranken das größte Ausmaß von Hilfeleistung, das uns heute möglich ist. </w:t>
      </w:r>
      <w:r w:rsidRPr="008725BE">
        <w:rPr>
          <w:rFonts w:ascii="Garamond" w:hAnsi="Garamond"/>
        </w:rPr>
        <w:t xml:space="preserve">Ein alter Chirurg hatte zu seinem Wahlspruch die Worte genommen: </w:t>
      </w:r>
      <w:r w:rsidRPr="008725BE">
        <w:rPr>
          <w:rFonts w:ascii="Garamond" w:hAnsi="Garamond"/>
          <w:i/>
          <w:iCs/>
        </w:rPr>
        <w:t>Je le pansai, Dieu le guérit</w:t>
      </w:r>
      <w:hyperlink r:id="rId866" w:anchor="#" w:history="1">
        <w:r w:rsidRPr="008725BE">
          <w:rPr>
            <w:rStyle w:val="fusslink"/>
            <w:rFonts w:ascii="Garamond" w:hAnsi="Garamond" w:cs="Arial"/>
            <w:b/>
            <w:bCs/>
            <w:color w:val="003399"/>
          </w:rPr>
          <w:t>[Fußnote]</w:t>
        </w:r>
        <w:r w:rsidRPr="008725BE">
          <w:rPr>
            <w:rStyle w:val="innerfusslink3"/>
            <w:rFonts w:ascii="Garamond" w:hAnsi="Garamond" w:cs="Arial"/>
            <w:b/>
            <w:bCs/>
          </w:rPr>
          <w:t>Ich verband ihn, Gott heilte ihn</w:t>
        </w:r>
      </w:hyperlink>
      <w:r w:rsidRPr="008725BE">
        <w:rPr>
          <w:rFonts w:ascii="Garamond" w:hAnsi="Garamond"/>
        </w:rPr>
        <w:t>. Mit etwas Ähnlichem sollte sich der Analytiker zufriedengeben.</w:t>
      </w:r>
    </w:p>
    <w:p w:rsidR="008725BE" w:rsidRPr="008725BE" w:rsidRDefault="008725BE" w:rsidP="008725BE">
      <w:pPr>
        <w:pStyle w:val="Sansinterligne"/>
        <w:rPr>
          <w:rFonts w:ascii="Garamond" w:hAnsi="Garamond"/>
        </w:rPr>
      </w:pPr>
      <w:r w:rsidRPr="008725BE">
        <w:rPr>
          <w:rFonts w:ascii="Garamond" w:hAnsi="Garamond"/>
        </w:rPr>
        <w:t> </w:t>
      </w:r>
    </w:p>
    <w:p w:rsidR="008725BE" w:rsidRPr="008725BE" w:rsidRDefault="008725BE" w:rsidP="008725BE">
      <w:pPr>
        <w:pStyle w:val="Sansinterligne"/>
        <w:rPr>
          <w:rFonts w:ascii="Garamond" w:hAnsi="Garamond"/>
        </w:rPr>
      </w:pPr>
      <w:r w:rsidRPr="008725BE">
        <w:rPr>
          <w:rFonts w:ascii="Garamond" w:hAnsi="Garamond"/>
          <w:i/>
          <w:iCs/>
        </w:rPr>
        <w:t>(f)</w:t>
      </w:r>
      <w:r w:rsidRPr="008725BE">
        <w:rPr>
          <w:rFonts w:ascii="Garamond" w:hAnsi="Garamond"/>
        </w:rPr>
        <w:t xml:space="preserve"> Es ist leicht zu erraten, in welchem Ziele diese einzeln vorgebrachten Regeln zusammentreffen. Sie wollen alle beim Arzte das Gegenstück zu der für den Analysierten aufgestellten »psychoanalytischen Grundregel« schaffen. Wie der Analysierte alles mitteilen soll, was er in seiner Selbstbeobachtung erhascht, mit Hintanhaltung aller logischen und affektiven Einwendungen, die ihn bewegen wollen, eine Auswahl zu treffen, so soll sich der Arzt in den Stand setzen, alles ihm Mitgeteilte für die Zwecke der Deutung, der Erkennung des verborgenen Unbewußten zu verwerten, ohne die vom Kranken aufgegebene Auswahl durch eine eigene Zensur zu ersetzen, in eine Formel gefaßt: er soll dem gebenden Unbewußten des Kranken sein eigenes Unbewußtes als empfangendes Organ zuwenden, sich auf den Analysierten einstellen wie der Receiver des Telephons zum Teller eingestellt ist. Wie der Receiver die von Schallwellen angeregten elektrischen Schwankungen der Leitung wieder in Schallwellen verwandelt, so ist das Unbewußte des Arztes befähigt, aus den ihm mitgeteilten Abkömmlingen des Unbewußten dieses Unbewußte, welches die Einfälle des Kranken determiniert hat, wiederherzustellen.</w:t>
      </w:r>
    </w:p>
    <w:p w:rsidR="008725BE" w:rsidRPr="008725BE" w:rsidRDefault="008725BE" w:rsidP="008725BE">
      <w:pPr>
        <w:pStyle w:val="Sansinterligne"/>
        <w:rPr>
          <w:rFonts w:ascii="Garamond" w:hAnsi="Garamond"/>
          <w:lang w:val="en-GB"/>
        </w:rPr>
      </w:pPr>
      <w:r w:rsidRPr="008725BE">
        <w:rPr>
          <w:rFonts w:ascii="Garamond" w:hAnsi="Garamond"/>
          <w:lang w:val="en-GB"/>
        </w:rPr>
        <w:t>Wenn der Arzt aber imstande sein soll, sich seines Unbewußten in solcher Weise als Instrument bei der Analyse zu bedienen, so muß er selbst eine psychologische Bedingung in weitem Ausmaße erfüllen. Er darf in sich selbst keine Widerstände dulden, welche das von seinem Unbewußten Erkannte von seinem Bewußtsein abhalten, sonst würde er eine neue Art von Auswahl und Entstellung in die Analyse einführen, welche weit schädlicher wäre als die durch Anspannung seiner bewußten Aufmerksamkeit hervorgerufene. Es genügt nicht hiefür, daß er selbst ein annähernd normaler Mensch sei, man darf vielmehr die Forderung aufstellen, daß er sich einer psychoanalytischen Purifizierung unterzogen und von jenen Eigenkomplexen Kenntnis genommen habe, die geeignet wären, ihn in der Erfassung des vom Analysierten Dargebotenen zu stören. An der disqualifizierenden Wirkung solcher eigener Defekte kann billigerweise nicht gezweifelt werden; jede ungelöste Verdrängung beim Arzte entspricht nach einem treffenden Worte von W. Stekel] einem »blinden Fleck« in seiner analytischen Wahrnehmung.</w:t>
      </w:r>
    </w:p>
    <w:p w:rsidR="008725BE" w:rsidRPr="008725BE" w:rsidRDefault="008725BE" w:rsidP="008725BE">
      <w:pPr>
        <w:pStyle w:val="Sansinterligne"/>
        <w:rPr>
          <w:rFonts w:ascii="Garamond" w:hAnsi="Garamond"/>
          <w:lang w:val="en-GB"/>
        </w:rPr>
      </w:pPr>
      <w:r w:rsidRPr="008725BE">
        <w:rPr>
          <w:rFonts w:ascii="Garamond" w:hAnsi="Garamond"/>
          <w:lang w:val="en-GB"/>
        </w:rPr>
        <w:t>Vor Jahren erwiderte ich auf die Frage, wie man ein Analytiker werden könne: Durch die Analyse seiner eigenen Träume. Gewiß reicht diese Vorbereitung für viele Personen aus, aber nicht für alle, die die Analyse erlernen möchten. Auch gelingt es nicht allen, die eigenen Träume ohne fremde Hilfe zu deuten. Ich rechne es zu den vielen Verdiensten der Züricher analytischen Schule, daß sie die Bedingung verschärft und in der Forderung niedergelegt hat, es solle sich jeder, der Analysen an anderen ausführen will, vorher selbst einer Analyse bei einem Sachkundigen unterziehen. Wer es mit der Aufgabe ernst meint, sollte diesen Weg wählen, der mehr als einen Vorteil verspricht; das Opfer, sich ohne Krankheitszwang einer fremden Person eröffnet zu haben, wird reichlich gelohnt. Man wird nicht nur seine Absicht, das Verborgene der eigenen Person kennenzulernen, in weit kürzerer Zeit und mit geringerem affektiven Aufwand verwirklichen, sondern auch Eindrücke und Überzeugungen am eigenen Leibe gewinnen, die man durch das Studium von Büchern und Anhören von Vorträgen vergeblich anstrebt. Endlich ist auch der Gewinn aus der dauernden seelischen Beziehung nicht gering anzuschlagen, die sich zwischen dem Analysierten und seinem Einführenden herzustellen pflegt.</w:t>
      </w:r>
    </w:p>
    <w:p w:rsidR="008725BE" w:rsidRPr="008725BE" w:rsidRDefault="008725BE" w:rsidP="008725BE">
      <w:pPr>
        <w:pStyle w:val="Sansinterligne"/>
        <w:rPr>
          <w:rFonts w:ascii="Garamond" w:hAnsi="Garamond"/>
          <w:lang w:val="en-GB"/>
        </w:rPr>
      </w:pPr>
      <w:r w:rsidRPr="008725BE">
        <w:rPr>
          <w:rFonts w:ascii="Garamond" w:hAnsi="Garamond"/>
          <w:lang w:val="en-GB"/>
        </w:rPr>
        <w:t>Eine solche Analyse eines praktisch Gesunden wird begreiflicherweise unabgeschlossen bleiben. Wer den hohen Wert der durch sie erworbenen Selbsterkenntnis und Steigerung der Selbstbeherrschung zu würdigen weiß, wird die analytische Erforschung seiner eigenen Person nachher als Selbstanalyse fortsetzen und sich gerne damit bescheiden, daß er in sich wie außerhalb seiner immer Neues zu finden erwarten muß. Wer aber als Analytiker die Vorsicht der Eigenanalyse verschmäht hat, der wird nicht nur durch die Unfähigkeit bestraft, über ein gewisses Maß an seinen Kranken zu lernen, er unterliegt auch einer ernsthafteren Gefahr, die zur Gefahr für andere werden kann. Er wird leicht in die Versuchung geraten, was er in dumpfer Selbstwahrnehmung von den Eigentümlichkeiten seiner eigenen Person erkennt, als allgemeingültige Theorie in die Wissenschaft hinauszuprojizieren, er wird die psychoanalytische Methode in Mißkredit bringen und Unerfahrene irreleiten.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(g)</w:t>
      </w:r>
      <w:r w:rsidRPr="008725BE">
        <w:rPr>
          <w:rFonts w:ascii="Garamond" w:hAnsi="Garamond"/>
          <w:lang w:val="en-GB"/>
        </w:rPr>
        <w:t xml:space="preserve"> Ich füge noch einige andere Regeln an, in welchen der Übergang gemacht wird von der Einstellung des Arztes zur Behandlung des Analysierten.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gewiß verlockend für den jungen und eifrigen Psychoanalytiker, daß er viel von der eigenen Individualität einsetze, um den Patienten mit sich fortzureißen und ihn im Schwung über die Schranken </w:t>
      </w:r>
      <w:r w:rsidRPr="008725BE">
        <w:rPr>
          <w:rFonts w:ascii="Garamond" w:hAnsi="Garamond"/>
          <w:lang w:val="en-GB"/>
        </w:rPr>
        <w:lastRenderedPageBreak/>
        <w:t>seiner engen Persönlichkeit zu erheben. Man sollte meinen, es sei durchaus zulässig, ja zweckmäßig für die Überwindung der beim Kranken bestehenden Widerstände, wenn der Arzt ihm Einblick in die eigenen seelischen Defekte und Konflikte gestattet, ihm durch vertrauliche Mitteilungen aus seinem Leben die Gleichstellung ermöglicht. Ein Vertrauen ist doch das andere wert, und wer Intimität vom anderen fordert, muß ihm doch auch solche bezeugen.</w:t>
      </w:r>
    </w:p>
    <w:p w:rsidR="008725BE" w:rsidRPr="008725BE" w:rsidRDefault="008725BE" w:rsidP="008725BE">
      <w:pPr>
        <w:pStyle w:val="Sansinterligne"/>
        <w:rPr>
          <w:rFonts w:ascii="Garamond" w:hAnsi="Garamond"/>
          <w:lang w:val="en-GB"/>
        </w:rPr>
      </w:pPr>
      <w:r w:rsidRPr="008725BE">
        <w:rPr>
          <w:rFonts w:ascii="Garamond" w:hAnsi="Garamond"/>
          <w:lang w:val="en-GB"/>
        </w:rPr>
        <w:t>Allein, im psychoanalytischen Verkehre läuft manches anders ab, als wir es nach den Voraussetzungen der Bewußtseinspsychologie erwarten dürfen. Die Erfahrung spricht nicht für die Vorzüglichkeit einer solchen affektiven Technik. Es ist auch nicht schwer einzusehen, daß man mit ihr den psychoanalytischen Boden verläßt und sich den Suggestionsbehandlungen annähert. Man erreicht so etwa, daß der Patient eher und leichter mitteilt, was ihm selbst bekannt ist und was er aus konventionellen Widerständen noch eine Weile zurückgehalten hätte. Für die Aufdeckung des dem Kranken Unbewußten leistet diese Technik nichts, sie macht ihn nur noch unfähiger, tiefere Widerstände zu überwinden, und sie versagt in schwereren Fällen regelmäßig an der regegemachten Unersättlichkeit des Kranken, der dann gerne das Verhältnis umkehren möchte und die Analyse des Arztes interessanter findet als die eigene. Auch die Lösung der Übertragung, eine der Hauptaufgaben der Kur, wird durch die intime Einstellung des Arztes erschwert, so daß der etwaige Gewinn zu Anfang schließlich mehr als wettgemacht wird. Ich stehe darum nicht an, diese Art der Technik als eine fehlerhafte zu verwerfen. Der Arzt soll undurchsichtig für den Analysierten sein und wie eine Spiegelplatte nichts anderes zeigen, als was ihm gezeigt wird. Es ist allerdings praktisch nichts dagegen zu sagen, wenn ein Psychotherapeut ein Stück Analyse mit einer Portion Suggestivbeeinflussung vermengt, um in kürzerer Zeit sichtbare Erfolge zu erzielen, wie es zum Beispiel in Anstalten notwendig wird, aber man darf verlangen, daß er selbst nicht im Zweifel darüber sei, was er vornehme, und daß er wisse, seine Methode sei nicht die der richtigen Psychoanalyse.</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(h)</w:t>
      </w:r>
      <w:r w:rsidRPr="008725BE">
        <w:rPr>
          <w:rFonts w:ascii="Garamond" w:hAnsi="Garamond"/>
          <w:lang w:val="en-GB"/>
        </w:rPr>
        <w:t xml:space="preserve"> Eine andere Versuchung ergibt sich aus der erzieherischen Tätigkeit, die dem Arzte bei der psychoanalytischen Behandlung ohne besonderen Vorsatz zufällt. Bei der Lösung von Entwicklungshemmungen macht es sich von selbst, daß der Arzt in die Lage kommt, den frei gewordenen Strebungen neue Ziele anzuweisen. Es ist dann nur ein begreiflicher Ehrgeiz, wenn er sich bemüht, die Person, auf deren Befreiung von der Neurose er soviel Mühe aufgewendet hat, auch zu etwas besonders Vortrefflichem zu machen, und ihren Wünschen hohe Ziele vorschreibt. Aber auch hiebei sollte der Arzt sich in der Gewalt haben und weniger die eigenen Wünsche als die Eignung des Analysierten zur Richtschnur nehmen. Nicht alle Neurotiker bringen viel Talent zur Sublimierung mit; von vielen unter ihnen kann man annehmen, daß sie überhaupt nicht erkrankt wären, wenn sie die Kunst, ihre Triebe zu sublimieren, besessen hätten. Drängt man sie übermäßig zur Sublimierung und schneidet ihnen die nächsten und bequemsten Triebbefriedigungen ab, so macht man ihnen das Leben meist noch schwieriger, als sie es ohnedies empfinden. Als Arzt muß man vor allem tolerant sein gegen die Schwäche des Kranken, muß sich bescheiden, auch einem nicht Vollwertigen ein Stück Leistungs- und Genußfähigkeit wiedergewonnen zu haben. Der erzieherische Ehrgeiz ist sowenig zweckmäßig wie der therapeutische. Es kommt außerdem in Betracht, daß viele Personen gerade an dem Versuche erkrankt sind, ihre Triebe über das von ihrer Organisation gestattete Maß hinaus zu sublimieren, und daß sich bei den zur Sublimierung Befähigten dieser Prozeß von selbst zu vollziehen pflegt, sobald ihre Hemmungen durch die Analyse überwunden sind. Ich meine also, das Bestreben, die analytische Behandlung regelmäßig zur Triebsublimierung zu verwenden, ist zwar immer lobenswert, aber keineswegs in allen Fällen empfehlenswert.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(i)</w:t>
      </w:r>
      <w:r w:rsidRPr="008725BE">
        <w:rPr>
          <w:rFonts w:ascii="Garamond" w:hAnsi="Garamond"/>
          <w:lang w:val="en-GB"/>
        </w:rPr>
        <w:t xml:space="preserve"> In welchen Grenzen soll man die intellektuelle Mitarbeit des Analysierten bei der Behandlung in Anspruch nehmen? Es ist schwer, hierüber etwas allgemein Gültiges auszusagen. Die Persönlichkeit des Patienten entscheidet in erster Linie. Aber Vorsicht und Zurückhaltung sind hiebei jedenfalls zu beobachten. Es ist unrichtig, dem Analysierten Aufgaben zu stellen, er solle seine Erinnerung sammeln, über eine gewisse Zeit seines Lebens nachdenken u. dgl. Er hat vielmehr vor allem zu lernen, was keinem leichtfällt anzunehmen, daß durch geistige Tätigkeit von der Art des Nachdenkens, daß durch Willens- und Aufmerksamkeitsanstrengung keines der Rätsel der Neurose gelöst wird, sondern nur durch die geduldige Befolgung der psychoanalytischen Regel, welche die Kritik gegen das Unbewußte und dessen Abkömmlinge auszuschalten gebietet. Besonders unerbittlich sollte man auf der Befolgung dieser Regel bei jenen Kranken bestehen, die die Kunst üben, bei der Behandlung ins Intellektuelle auszuweichen, dann viel und oft sehr weise über ihren Zustand reflektieren und es sich so ersparen, etwas zu seiner Bewältigung zu tun. Ich nehme darum bei meinen Patienten auch die Lektüre analytischer Schriften nicht </w:t>
      </w:r>
      <w:r w:rsidRPr="008725BE">
        <w:rPr>
          <w:rFonts w:ascii="Garamond" w:hAnsi="Garamond"/>
          <w:lang w:val="en-GB"/>
        </w:rPr>
        <w:lastRenderedPageBreak/>
        <w:t>gerne zu Hilfe; ich verlange, daß sie an der eigenen Person lernen sollen, und versichere ihnen, daß sie dadurch mehr und Wertvolleres erfahren werden, als ihnen die gesamte psychoanalytische Literatur sagen könnte. Ich sehe aber ein, daß es unter den Bedingungen eines Anstaltsaufenthaltes sehr vorteilhaft werden kann, sich der Lektüre zur Vorbereitung der Analysierten und zur Herstellung einer Atmosphäre von Beeinflussung zu bedienen.</w:t>
      </w:r>
    </w:p>
    <w:p w:rsidR="008725BE" w:rsidRPr="008725BE" w:rsidRDefault="008725BE" w:rsidP="008725BE">
      <w:pPr>
        <w:pStyle w:val="Sansinterligne"/>
        <w:rPr>
          <w:rFonts w:ascii="Garamond" w:hAnsi="Garamond"/>
          <w:lang w:val="en-GB"/>
        </w:rPr>
      </w:pPr>
      <w:r w:rsidRPr="008725BE">
        <w:rPr>
          <w:rFonts w:ascii="Garamond" w:hAnsi="Garamond"/>
          <w:lang w:val="en-GB"/>
        </w:rPr>
        <w:t>Am dringendsten möchte ich davor warnen, um die Zustimmung und Unterstützung von Eltern oder Angehörigen zu werben, indem man ihnen ein – einführendes oder tiefergehendes – Werk unserer Literatur zu lesen gibt. Meist reicht dieser wohlgemeinte Schritt hin, um die naturgemäße, irgendeinmal unvermeidliche Gegnerschaft der Angehörigen gegen die psychoanalytische Behandlung der Ihrigen vorzeitig losbrechen zu lassen, so daß es überhaupt nicht zum Beginne der Behandlung kommt.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Ich gebe der Hoffnung Ausdruck, daß die fortschreitende Erfahrung der Psychoanalytiker bald zu einer Einigung über die Fragen der Technik führen wird, wie man am zweckmäßigsten die Neurotiker behandeln solle. Was die Behandlung der »Angehörigen« betrifft, so gestehe ich meine völlige Ratlosigkeit ein und setze auf deren individuelle Behandlung überhaupt wenig Zutrauen.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Tr</w:t>
        </w:r>
        <w:bookmarkStart w:id="185" w:name="KS50"/>
        <w:bookmarkEnd w:id="185"/>
        <w:r w:rsidRPr="008725BE">
          <w:rPr>
            <w:rStyle w:val="Lienhypertexte"/>
            <w:rFonts w:ascii="Garamond" w:hAnsi="Garamond"/>
            <w:b/>
            <w:lang w:val="en-GB"/>
          </w:rPr>
          <w:t>auer und Melancholie</w:t>
        </w:r>
      </w:hyperlink>
      <w:r w:rsidRPr="008725BE">
        <w:rPr>
          <w:rFonts w:ascii="Garamond" w:hAnsi="Garamond"/>
          <w:lang w:val="en-GB"/>
        </w:rPr>
        <w:t xml:space="preserve">  </w:t>
      </w:r>
      <w:r w:rsidRPr="008725BE">
        <w:rPr>
          <w:rFonts w:ascii="Garamond" w:hAnsi="Garamond"/>
          <w:caps/>
          <w:lang w:val="en-GB"/>
        </w:rPr>
        <w:t>(1917)</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Nachdem uns der Traum als Normalvorbild der narzißtischen Seelenstörungen gedient hat, wollen wir den Versuch machen, das Wesen der Melancholie durch ihre Vergleichung mit dem Normalaffekt der Trauer zu erhellen. Wir müssen aber diesmal ein Bekenntnis vorausschicken, welches vor Überschätzung des Ergebnisses warnen soll. Die Melancholie, deren Begriffsbestimmung auch in der deskriptiven Psychiatrie schwankend ist, tritt in verschiedenartigen klinischen Formen auf, deren Zusammenfassung zur Einheit nicht gesichert scheint, von denen einige eher an somatische als an psychogene Affektionen mahnen. Unser Material beschränkt sich, abgesehen von den Eindrücken, die jedem Beobachter zu Gebote stehen, auf eine kleine Anzahl von Fällen, deren psychogene Natur keinem Zweifel unterlag. So werden wir den Anspruch auf allgemeine Gültigkeit unserer Ergebnisse von vornherein fallenlassen und uns mit der Erwägung trösten, daß wir mit unseren gegenwärtigen Forschungsmitteln kaum etwas finden können, was nicht </w:t>
      </w:r>
      <w:r w:rsidRPr="008725BE">
        <w:rPr>
          <w:rFonts w:ascii="Garamond" w:hAnsi="Garamond"/>
          <w:i/>
          <w:iCs/>
          <w:lang w:val="en-GB"/>
        </w:rPr>
        <w:t>typisch</w:t>
      </w:r>
      <w:r w:rsidRPr="008725BE">
        <w:rPr>
          <w:rFonts w:ascii="Garamond" w:hAnsi="Garamond"/>
          <w:lang w:val="en-GB"/>
        </w:rPr>
        <w:t xml:space="preserve"> wäre, wenn nicht für eine ganze Klasse von Affektionen, so doch für eine kleinere Gruppe.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Zusammenstellung von Melancholie und Trauer erscheint durch das Gesamtbild der beiden Zustände gerechtfertigt </w:t>
      </w:r>
      <w:hyperlink r:id="rId86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Auch Abraham, dem wir die bedeutsamste unter den wenigen analytischen Studien über den Gegenstand verdanken, ist von dieser Vergleichung ausgegangen (1912).</w:t>
        </w:r>
      </w:hyperlink>
      <w:r w:rsidRPr="008725BE">
        <w:rPr>
          <w:rFonts w:ascii="Garamond" w:hAnsi="Garamond"/>
          <w:lang w:val="en-GB"/>
        </w:rPr>
        <w:t>. Auch die Anlässe zu beiden aus den Lebenseinwirkungen fallen dort, wo sie überhaupt durchsichtig sind, zusammen. Trauer ist regelmäßig die Reaktion auf den Verlust einer geliebten Person oder einer an ihre Stelle gerückten Abstraktion wie Vaterland, Freiheit, ein Ideal usw. Unter den nämlichen Einwirkungen zeigt sich bei manchen Personen, die wir darum unter den Verdacht einer krankhaften Disposition setzen, an Stelle der Trauer eine Melancholie. Es ist auch sehr bemerkenswert, daß es uns niemals einfällt, die Trauer als einen krankhaften Zustand zu betrachten und dem Arzt zur Behandlung zu übergeben, obwohl sie schwere Abweichungen vom normalen Lebensverhalten mit sich bringt. Wir vertrauen darauf, daß sie nach einem gewissen Zeitraum überwunden sein wird, und halten eine Störung derselben für unzweckmäßig, selbst für schädlich.</w:t>
      </w:r>
    </w:p>
    <w:p w:rsidR="008725BE" w:rsidRPr="008725BE" w:rsidRDefault="008725BE" w:rsidP="008725BE">
      <w:pPr>
        <w:pStyle w:val="Sansinterligne"/>
        <w:rPr>
          <w:rFonts w:ascii="Garamond" w:hAnsi="Garamond"/>
          <w:lang w:val="en-GB"/>
        </w:rPr>
      </w:pPr>
      <w:r w:rsidRPr="008725BE">
        <w:rPr>
          <w:rFonts w:ascii="Garamond" w:hAnsi="Garamond"/>
          <w:lang w:val="en-GB"/>
        </w:rPr>
        <w:t>Die Melancholie ist seelisch ausgezeichnet durch eine tief schmerzliche Verstimmung, eine Aufhebung des Interesses für die Außenwelt, durch den Verlust der Liebesfähigkeit, durch die Hemmung jeder Leistung und die Herabsetzung des Selbstgefühls, die sich in Selbstvorwürfen und Selbstbeschimpfungen äußert und bis zur wahnhaften Erwartung von Strafe steigert. Dies Bild wird unserem Verständnis nähergerückt, wenn wir erwägen, daß die Trauer dieselben Züge aufweist, bis auf einen einzigen; die Störung des Selbstgefühls fällt bei ihr weg. Sonst aber ist es dasselbe. Die schwere Trauer, die Reaktion auf den Verlust einer geliebten Person, enthält die nämliche schmerzliche Stimmung, den Verlust des Interesses für die Außenwelt – soweit sie nicht an den Verstorbenen mahnt –, den Verlust der Fähigkeit, irgendein neues Liebesobjekt zu wählen – was den Betrauerten ersetzen hieße –, die Abwendung von jeder Leistung, die nicht mit dem Andenken des Verstorbenen in Beziehung steht. Wir fassen es leicht, daß diese Hemmung und Einschränkung des Ichs der Ausdruck der ausschließlichen Hingabe an die Trauer ist, wobei für andere Absichten und Interessen nichts übrigbleibt. Eigentlich erscheint uns dieses Verhalten nur darum nicht pathologisch, weil wir es so gut zu erklären wissen.</w:t>
      </w:r>
    </w:p>
    <w:p w:rsidR="008725BE" w:rsidRPr="008725BE" w:rsidRDefault="008725BE" w:rsidP="008725BE">
      <w:pPr>
        <w:pStyle w:val="Sansinterligne"/>
        <w:rPr>
          <w:rFonts w:ascii="Garamond" w:hAnsi="Garamond"/>
          <w:lang w:val="en-GB"/>
        </w:rPr>
      </w:pPr>
      <w:r w:rsidRPr="008725BE">
        <w:rPr>
          <w:rFonts w:ascii="Garamond" w:hAnsi="Garamond"/>
          <w:lang w:val="en-GB"/>
        </w:rPr>
        <w:t>Wir werden auch den Vergleich gutheißen, der die Stimmung der Trauer eine »schmerzliche« nennt. Seine Berechtigung wird uns wahrscheinlich einleuchten, wenn wir imstande sind, den Schmerz ökonomisch zu charakterisieren.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Worin besteht nun die Arbeit, welche die Trauer leistet? Ich glaube, daß es nichts Gezwungenes enthalten wird, sie in folgender Art darzustellen: Die Realitätsprüfung hat gezeigt, daß das geliebte Objekt nicht mehr besteht, und erläßt nun die Aufforderung, alle Libido aus ihren Verknüpfungen mit diesem Objekt abzuziehen. Dagegen erhebt sich ein begreifliches Sträuben – es ist allgemein zu beobachten, daß der Mensch eine Libidoposition nicht gern verläßt, selbst dann nicht, wenn ihm Ersatz bereits winkt. Dies Sträuben kann so intensiv sein, daß eine Abwendung von der Realität und ein Festhalten des Objekts durch eine halluzinatorische Wunschpsychose (siehe die vorige Abhandlung) zustande kommt. Das Normale ist, daß der Respekt vor der Realität den Sieg behält. Doch kann ihr Auftrag nicht sofort erfüllt werden. Er wird nun im einzelnen unter großem Aufwand von Zeit und Besetzungsenergie durchgeführt und unterdes die Existenz des verlorenen Objekts psychisch fortgesetzt. Jede einzelne der Erinnerungen und Erwartungen, in denen die Libido an das Objekt geknüpft war, wird eingestellt, überbesetzt und an ihr die Lösung der Libido vollzogen. Warum diese Kompromißleistung der Einzeldurchführung des Realitätsgebotes so außerordentlich schmerzhaft ist, läßt sich in ökonomischer Begründung gar nicht </w:t>
      </w:r>
      <w:r w:rsidRPr="008725BE">
        <w:rPr>
          <w:rFonts w:ascii="Garamond" w:hAnsi="Garamond"/>
          <w:lang w:val="en-GB"/>
        </w:rPr>
        <w:lastRenderedPageBreak/>
        <w:t>leicht angeben. Es ist merkwürdig, daß uns diese Schmerzunlust selbstverständlich erscheint. Tatsächlich wird aber das Ich nach der Vollendung der Trauerarbeit wieder frei und ungehemmt.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Wenden wir nun auf die Melancholie an, was wir von der Trauer erfahren haben. In einer Reihe von Fällen ist es offenbar, daß auch sie Reaktion auf den Verlust eines geliebten Objekts sein kann; bei anderen Veranlassungen kann man erkennen, daß der Verlust von mehr ideeller Natur ist. Das Objekt ist nicht etwa real gestorben, aber es ist als Liebesobjekt verlorengegangen (z. B. der Fall einer verlassenen Braut). In noch anderen Fällen glaubt man an der Annahme eines solchen Verlustes festhalten zu sollen, aber man kann nicht deutlich erkennen, was verloren wurde, und darf um so eher annehmen, daß auch der Kranke nicht bewußt erfassen kann, was er verloren hat. Ja, dieser Fall könnte auch dann noch vorliegen, wenn der die Melancholie veranlassende Verlust dem Kranken bekannt ist, indem er zwar weiß </w:t>
      </w:r>
      <w:r w:rsidRPr="008725BE">
        <w:rPr>
          <w:rFonts w:ascii="Garamond" w:hAnsi="Garamond"/>
          <w:i/>
          <w:iCs/>
          <w:lang w:val="en-GB"/>
        </w:rPr>
        <w:t>wen</w:t>
      </w:r>
      <w:r w:rsidRPr="008725BE">
        <w:rPr>
          <w:rFonts w:ascii="Garamond" w:hAnsi="Garamond"/>
          <w:lang w:val="en-GB"/>
        </w:rPr>
        <w:t xml:space="preserve">, aber nicht, </w:t>
      </w:r>
      <w:r w:rsidRPr="008725BE">
        <w:rPr>
          <w:rFonts w:ascii="Garamond" w:hAnsi="Garamond"/>
          <w:i/>
          <w:iCs/>
          <w:lang w:val="en-GB"/>
        </w:rPr>
        <w:t>was</w:t>
      </w:r>
      <w:r w:rsidRPr="008725BE">
        <w:rPr>
          <w:rFonts w:ascii="Garamond" w:hAnsi="Garamond"/>
          <w:lang w:val="en-GB"/>
        </w:rPr>
        <w:t xml:space="preserve"> er an ihm verloren hat. So würde uns nahegelegt, die Melancholie irgendwie auf einen dem Bewußtsein entzogenen Objektverlust zu beziehen, zum Unterschied von der Trauer, bei welcher nichts an dem Verluste unbewußt ist.</w:t>
      </w:r>
    </w:p>
    <w:p w:rsidR="008725BE" w:rsidRPr="008725BE" w:rsidRDefault="008725BE" w:rsidP="008725BE">
      <w:pPr>
        <w:pStyle w:val="Sansinterligne"/>
        <w:rPr>
          <w:rFonts w:ascii="Garamond" w:hAnsi="Garamond"/>
          <w:lang w:val="en-GB"/>
        </w:rPr>
      </w:pPr>
      <w:r w:rsidRPr="008725BE">
        <w:rPr>
          <w:rFonts w:ascii="Garamond" w:hAnsi="Garamond"/>
          <w:lang w:val="en-GB"/>
        </w:rPr>
        <w:t>Bei der Trauer fanden wir Hemmung und Interesselosigkeit durch die das Ich absorbierende Trauerarbeit restlos aufgeklärt. Eine ähnliche innere Arbeit wird auch der unbekannte Verlust bei der Melancholie zur Folge haben und darum für die Hemmung der Melancholie verantwortlich werden. Nur daß uns die melancholische Hemmung einen rätselhaften Eindruck macht, weil wir nicht sehen können, was die Kranken so vollständig absorbiert. Der Melancholiker zeigt uns noch eines, was bei der Trauer entfällt, eine außerordentliche Herabsetzung seines Ichgefühls, eine großartige Ichverarmung. Bei der Trauer ist die Welt arm und leer geworden, bei der Melancholie ist es das Ich selbst. Der Kranke schildert uns sein Ich als nichtswürdig, leistungsunfähig und moralisch verwerflich, er macht sich Vorwürfe, beschimpft sich und erwartet Ausstoßung und Strafe. Er erniedrigt sich vor jedem anderen, bedauert jeden der Seinigen, daß er an seine so unwürdige Person gebunden sei. Er hat nicht das Urteil einer Veränderung, die an ihm vorgefallen ist, sondern streckt seine Selbstkritik über die Vergangenheit aus; er behauptet, niemals besser gewesen zu sein. Das Bild dieses – vorwiegend moralischen – Kleinheitswahnes vervollständigt sich durch Schlaflosigkeit, Ablehnung der Nahrung und eine psychologisch höchst merkwürdige Überwindung des Triebes, der alles Lebende am Leben festzuhalten zwingt.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wäre wissenschaftlich wie therapeutisch gleich unfruchtbar, dem Kranken zu widersprechen, der solche Anklagen gegen sein Ich vorbringt. Er muß wohl irgendwie recht haben und etwas schildern, was sich so verhält, wie es ihm erscheint. Einige seiner Angaben müssen wir ja ohne Einschränkung sofort bestätigen. Er ist wirklich so interesselos, so unfähig zur Liebe und zur Leistung, wie er sagt. Aber das ist, wie wir wissen, sekundär, ist die Folge der inneren, uns unbekannten, der Trauer vergleichbaren Arbeit, welche sein Ich aufzehrt. In einigen anderen Selbstanklagen scheint er uns gleichfalls recht zu haben und die Wahrheit nur schärfer zu erfassen als andere, die nicht melancholisch sind. Wenn er sich in gesteigerter Selbstkritik als kleinlichen, egoistischen, unaufrichtigen, unselbständigen Menschen schildert, der nur immer bestrebt war, die Schwächen seines Wesens zu verbergen, so mag er sich unseres Wissens der Selbsterkenntnis ziemlich angenähert haben, und wir fragen uns nur, warum man erst krank werden muß, um solcher Wahrheit zugänglich zu sein. Denn es leidet keinen Zweifel, wer eine solche Selbsteinschätzung gefunden hat und sie vor anderen äußert – eine Schätzung, wie sie Prinz Hamlet für sich und alle anderen bereit hat </w:t>
      </w:r>
      <w:hyperlink r:id="rId86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 </w:t>
        </w:r>
        <w:r w:rsidRPr="008725BE">
          <w:rPr>
            <w:rStyle w:val="innerfusslink3"/>
            <w:rFonts w:ascii="Garamond" w:hAnsi="Garamond" w:cs="Arial"/>
            <w:b/>
            <w:bCs/>
            <w:i/>
            <w:iCs/>
            <w:lang w:val="en-GB"/>
          </w:rPr>
          <w:t>Use every man after his desert, and who shall 'scape whipping?</w:t>
        </w:r>
        <w:r w:rsidRPr="008725BE">
          <w:rPr>
            <w:rStyle w:val="innerfusslink3"/>
            <w:rFonts w:ascii="Garamond" w:hAnsi="Garamond" w:cs="Arial"/>
            <w:b/>
            <w:bCs/>
            <w:lang w:val="en-GB"/>
          </w:rPr>
          <w:t xml:space="preserve">‹, </w:t>
        </w:r>
        <w:r w:rsidRPr="008725BE">
          <w:rPr>
            <w:rStyle w:val="innerfusslink3"/>
            <w:rFonts w:ascii="Garamond" w:hAnsi="Garamond" w:cs="Arial"/>
            <w:b/>
            <w:bCs/>
            <w:i/>
            <w:iCs/>
            <w:lang w:val="en-GB"/>
          </w:rPr>
          <w:t>Hamlet</w:t>
        </w:r>
        <w:r w:rsidRPr="008725BE">
          <w:rPr>
            <w:rStyle w:val="innerfusslink3"/>
            <w:rFonts w:ascii="Garamond" w:hAnsi="Garamond" w:cs="Arial"/>
            <w:b/>
            <w:bCs/>
            <w:lang w:val="en-GB"/>
          </w:rPr>
          <w:t>, II. Akt, 2. Szene.</w:t>
        </w:r>
      </w:hyperlink>
      <w:r w:rsidRPr="008725BE">
        <w:rPr>
          <w:rFonts w:ascii="Garamond" w:hAnsi="Garamond"/>
          <w:lang w:val="en-GB"/>
        </w:rPr>
        <w:t> –, der ist krank, ob er nun die Wahrheit sagt oder sich mehr oder weniger unrecht tut. Es ist auch nicht schwer zu bemerken, daß zwischen dem Ausmaß der Selbsterniedrigung und ihrer realen Berechtigung nach unserem Urteil keine Entsprechung besteht. Die früher brave, tüchtige und pflichttreue Frau wird in der Melancholie nicht besser von sich sprechen als die in Wahrheit nichtsnutzige, ja vielleicht hat die erstere mehr Aussicht, an Melancholie zu erkranken, als die andere, von der auch wir nichts Gutes zu sagen wüßten. Endlich muß uns auffallen, daß der Melancholiker sich doch nicht ganz so benimmt wie ein normalerweise von Reue und Selbstvorwurf Zerknirschter. Es fehlt das Schämen vor anderen, welches diesen letzteren Zustand vor allem charakterisieren würde, oder es tritt wenigstens nicht auffällig hervor. Man könnte am Melancholiker beinahe den gegenteiligen Zug einer aufdringlichen Mitteilsamkeit hervorheben, die an der eigenen Bloßstellung eine Befriedigung findet.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also nicht wesentlich, ob der Melancholiker mit seiner peinlichen Selbstherabsetzung insofern recht hat, als diese Kritik mit dem Urteil der anderen zusammentrifft. </w:t>
      </w:r>
      <w:r w:rsidRPr="008725BE">
        <w:rPr>
          <w:rFonts w:ascii="Garamond" w:hAnsi="Garamond"/>
        </w:rPr>
        <w:t xml:space="preserve">Es muß sich vielmehr darum handeln, daß er seine psychologische Situation richtig beschreibt. </w:t>
      </w:r>
      <w:r w:rsidRPr="008725BE">
        <w:rPr>
          <w:rFonts w:ascii="Garamond" w:hAnsi="Garamond"/>
          <w:lang w:val="en-GB"/>
        </w:rPr>
        <w:t xml:space="preserve">Er hat seine Selbstachtung verloren und muß guten Grund dazu haben. Wir stehen dann allerdings vor einem Widerspruch, der uns ein schwer lösbares Rätsel </w:t>
      </w:r>
      <w:r w:rsidRPr="008725BE">
        <w:rPr>
          <w:rFonts w:ascii="Garamond" w:hAnsi="Garamond"/>
          <w:lang w:val="en-GB"/>
        </w:rPr>
        <w:lastRenderedPageBreak/>
        <w:t>aufgibt. Nach der Analogie mit der Trauer mußten wir schließen, daß er einen Verlust am Objekte erlitten hat; aus seinen Aussagen geht ein Verlust an seinem Ich hervor.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Ehe wir uns mit diesem Widerspruch beschäftigen, verweilen wir einen Moment lang bei dem Einblick, den uns die Affektion des Melancholikers in die Konstitution des menschlichen Ichs gewährt. Wir sehen bei ihm, wie sich ein Teil des Ichs dem anderen gegenüberstellt, es kritisch wertet, es gleichsam zum Objekt nimmt. Unser Verdacht, daß die hier vom Ich abgespaltene kritische Instanz auch unter anderen Verhältnissen ihre Selbständigkeit erweisen könne, wird durch alle weiteren Beobachtungen bestätigt werden. Wir werden wirklich Grund finden, diese Instanz vom übrigen Ich zu sondern. Was wir hier kennenlernen, ist die gewöhnlich </w:t>
      </w:r>
      <w:r w:rsidRPr="008725BE">
        <w:rPr>
          <w:rFonts w:ascii="Garamond" w:hAnsi="Garamond"/>
          <w:i/>
          <w:iCs/>
          <w:lang w:val="en-GB"/>
        </w:rPr>
        <w:t>Gewissen</w:t>
      </w:r>
      <w:r w:rsidRPr="008725BE">
        <w:rPr>
          <w:rFonts w:ascii="Garamond" w:hAnsi="Garamond"/>
          <w:lang w:val="en-GB"/>
        </w:rPr>
        <w:t xml:space="preserve"> genannte Instanz; wir werden sie mit der Bewußtseinszensur und der Realitätsprüfung zu den großen Ichinstitutionen rechnen und irgendwo auch die Beweise dafür finden, daß sie für sich allein erkranken kann. Das Krankheitsbild der Melancholie läßt das moralische Mißfallen am eigenen Ich vor anderen Ausstellungen hervortreten: körperliche Gebrechen, Häßlichkeit, Schwäche, soziale Minderwertigkeit sind weit seltener Gegenstand der Selbsteinschätzung; nur die Verarmung nimmt unter den Befürchtungen oder Behauptungen des Kranken eine bevorzugte Stelle ein.</w:t>
      </w:r>
    </w:p>
    <w:p w:rsidR="008725BE" w:rsidRPr="008725BE" w:rsidRDefault="008725BE" w:rsidP="008725BE">
      <w:pPr>
        <w:pStyle w:val="Sansinterligne"/>
        <w:rPr>
          <w:rFonts w:ascii="Garamond" w:hAnsi="Garamond"/>
          <w:lang w:val="en-GB"/>
        </w:rPr>
      </w:pPr>
      <w:r w:rsidRPr="008725BE">
        <w:rPr>
          <w:rFonts w:ascii="Garamond" w:hAnsi="Garamond"/>
          <w:lang w:val="en-GB"/>
        </w:rPr>
        <w:t>Zur Aufklärung des vorhin aufgestellten Widerspruches führt dann eine Beobachtung, die nicht einmal schwer anzustellen ist. Hört man die mannigfachen Selbstanklagen des Melancholikers geduldig an, so kann man sich endlich des Eindruckes nicht erwehren, daß die stärksten unter ihnen zur eigenen Person oft sehr wenig passen, aber mit geringfügigen Modifikationen einer anderen Person anzupassen sind, die der Kranke liebt, geliebt hat oder lieben sollte. Sooft man den Sachverhalt untersucht, bestätigt er diese Vermutung. So hat man denn den Schlüssel des Krankheitsbildes in der Hand, indem man die Selbstvorwürfe als Vorwürfe gegen ein Liebesobjekt erkennt, die von diesem weg auf das eigene Ich gewälzt sind.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Frau, die laut ihren Mann bedauert, daß er an eine so untüchtige Frau gebunden ist, will eigentlich die Untüchtigkeit des Mannes anklagen, in welchem Sinne diese auch gemeint sein mag. Man braucht sich nicht so sehr zu verwundern, daß einige echte Selbstvorwürfe unter die rückgewendeten eingestreut sind; sie dürfen sich vordrängen, weil sie dazu verhelfen, die anderen zu verdecken und die Erkenntnis des Sachverhaltes unmöglich zu machen, sie stammen ja auch aus dem Für und Wider des Liebesstreites, der zum Liebesverlust geführt hat. Auch das Benehmen der Kranken wird jetzt um vieles verständlicher. Ihre </w:t>
      </w:r>
      <w:r w:rsidRPr="008725BE">
        <w:rPr>
          <w:rFonts w:ascii="Garamond" w:hAnsi="Garamond"/>
          <w:i/>
          <w:iCs/>
          <w:lang w:val="en-GB"/>
        </w:rPr>
        <w:t>Klagen</w:t>
      </w:r>
      <w:r w:rsidRPr="008725BE">
        <w:rPr>
          <w:rFonts w:ascii="Garamond" w:hAnsi="Garamond"/>
          <w:lang w:val="en-GB"/>
        </w:rPr>
        <w:t xml:space="preserve"> sind </w:t>
      </w:r>
      <w:r w:rsidRPr="008725BE">
        <w:rPr>
          <w:rFonts w:ascii="Garamond" w:hAnsi="Garamond"/>
          <w:i/>
          <w:iCs/>
          <w:lang w:val="en-GB"/>
        </w:rPr>
        <w:t>Anklagen</w:t>
      </w:r>
      <w:r w:rsidRPr="008725BE">
        <w:rPr>
          <w:rFonts w:ascii="Garamond" w:hAnsi="Garamond"/>
          <w:lang w:val="en-GB"/>
        </w:rPr>
        <w:t>, gemäß dem alten Sinne des Wortes; sie schämen und verbergen sich nicht, weil alles Herabsetzende, was sie von sich aussagen, im Grunde von einem anderen gesagt wird; und sie sind weit davon entfernt, gegen ihre Umgebung die Demut und Unterwürfigkeit zu bezeugen, die allein so unwürdigen Personen geziemen würde, sie sind vielmehr im höchsten Grade quälerisch, immer wie gekränkt und als ob ihnen ein großes Unrecht widerfahren wäre. Dies ist alles nur möglich, weil die Reaktionen ihres Benehmens noch von der seelischen Konstellation der Auflehnung ausgehen, welche dann durch einen gewissen Vorgang in die melancholische Zerknirschung übergeführt worden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hat dann keine Schwierigkeit, diesen Vorgang zu rekonstruieren. Es hatte eine Objektwahl, eine Bindung der Libido an eine bestimmte Person bestanden; durch den Einfluß einer </w:t>
      </w:r>
      <w:r w:rsidRPr="008725BE">
        <w:rPr>
          <w:rFonts w:ascii="Garamond" w:hAnsi="Garamond"/>
          <w:i/>
          <w:iCs/>
          <w:lang w:val="en-GB"/>
        </w:rPr>
        <w:t>realen« Kränkung oder Enttäuschung</w:t>
      </w:r>
      <w:r w:rsidRPr="008725BE">
        <w:rPr>
          <w:rFonts w:ascii="Garamond" w:hAnsi="Garamond"/>
          <w:lang w:val="en-GB"/>
        </w:rPr>
        <w:t xml:space="preserve"> von Seiten der geliebten Person trat eine Erschütterung dieser Objektbeziehung ein. Der Erfolg war nicht der normale einer Abziehung der Libido von diesem Objekt und Verschiebung derselben auf ein neues, sondern ein anderer, der mehrere Bedingungen für sein Zustandekommen zu erfordern scheint. Die Objektbesetzung erwies sich als wenig resistent, sie wurde aufgehoben, aber die freie Libido nicht auf ein anderes Objekt verschoben, sondern ins Ich zurückgezogen. Dort fand sie aber nicht eine beliebige Verwendung, sondern diente dazu, eine </w:t>
      </w:r>
      <w:r w:rsidRPr="008725BE">
        <w:rPr>
          <w:rFonts w:ascii="Garamond" w:hAnsi="Garamond"/>
          <w:i/>
          <w:iCs/>
          <w:lang w:val="en-GB"/>
        </w:rPr>
        <w:t>Identifizierung</w:t>
      </w:r>
      <w:r w:rsidRPr="008725BE">
        <w:rPr>
          <w:rFonts w:ascii="Garamond" w:hAnsi="Garamond"/>
          <w:lang w:val="en-GB"/>
        </w:rPr>
        <w:t xml:space="preserve"> des Ichs mit dem aufgegebenen Objekt herzustellen. Der Schatten des Objekts fiel so auf das Ich, welches nun von einer besonderen Instanz wie ein Objekt, wie das verlassene Objekt, beurteilt werden konnte. Auf diese Weise hatte sich der Objektverlust in einen Ichverlust verwandelt, der Konflikt zwischen dem Ich und der geliebten Person in einen Zwiespalt zwischen der Ichkritik und dem durch Identifizierung veränderten Ich.</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Von den Voraussetzungen und Ergebnissen eines solchen Vorganges läßt sich einiges unmittelbar erraten. Es muß einerseits eine starke Fixierung an das Liebesobjekt vorhanden sein, anderseits aber im Widerspruch dazu eine geringe Resistenz der Objektbesetzung. Dieser Widerspruch scheint nach einer treffenden Bemerkung von O. Rank zu fordern, daß die Objektwahl auf narzißtischer Grundlage erfolgt sei, so daß die Objektbesetzung, wenn sich Schwierigkeiten gegen sie erheben, auf den Narzißmus regredieren kann. Die narzißtische Identifizierung mit dem Objekt wird dann zum Ersatz der Liebesbesetzung, was den Erfolg hat, daß die Liebesbeziehung trotz des Konflikts mit der geliebten Person nicht aufgegeben werden muß. Ein solcher Ersatz der Objektliebe durch Identifizierung ist ein für die narzißtischen Affektionen bedeutsamer Mechanismus; K. Landauer hat ihn kürzlich in dem </w:t>
      </w:r>
      <w:r w:rsidRPr="008725BE">
        <w:rPr>
          <w:rFonts w:ascii="Garamond" w:hAnsi="Garamond"/>
          <w:lang w:val="en-GB"/>
        </w:rPr>
        <w:lastRenderedPageBreak/>
        <w:t xml:space="preserve">Heilungsvorgang einer Schizophrenie aufdecken können (1914). Er entspricht natürlich der </w:t>
      </w:r>
      <w:r w:rsidRPr="008725BE">
        <w:rPr>
          <w:rFonts w:ascii="Garamond" w:hAnsi="Garamond"/>
          <w:i/>
          <w:iCs/>
          <w:lang w:val="en-GB"/>
        </w:rPr>
        <w:t>Regression</w:t>
      </w:r>
      <w:r w:rsidRPr="008725BE">
        <w:rPr>
          <w:rFonts w:ascii="Garamond" w:hAnsi="Garamond"/>
          <w:lang w:val="en-GB"/>
        </w:rPr>
        <w:t xml:space="preserve"> von einem Typus der Objektwahl auf den ursprünglichen Narzißmus. Wir haben an anderer Stelle ausgeführt, daß die Identifizierung die Vorstufe der Objektwahl ist und die erste, in ihrem Ausdruck ambivalente Art, wie das Ich ein Objekt auszeichnet. Es möchte sich dieses Objekt einverleiben, und zwar der oralen oder kannibalischen Phase der Libidoentwicklung entsprechend, auf dem Wege des Fressens. Auf diesen Zusammenhang führt Abraham wohl mit Recht die Ablehnung der Nahrungsaufnahme zurück, welche sich bei schwerer Ausbildung des melancholischen Zustandes kundgibt.</w:t>
      </w:r>
    </w:p>
    <w:p w:rsidR="008725BE" w:rsidRPr="008725BE" w:rsidRDefault="008725BE" w:rsidP="008725BE">
      <w:pPr>
        <w:pStyle w:val="Sansinterligne"/>
        <w:rPr>
          <w:rFonts w:ascii="Garamond" w:hAnsi="Garamond"/>
          <w:lang w:val="en-GB"/>
        </w:rPr>
      </w:pPr>
      <w:r w:rsidRPr="008725BE">
        <w:rPr>
          <w:rFonts w:ascii="Garamond" w:hAnsi="Garamond"/>
          <w:lang w:val="en-GB"/>
        </w:rPr>
        <w:t>Der von der Theorie geforderte Schluß, welcher die Disposition zur melancholischen Erkrankung oder eines Stückes von ihr in die Vorherrschaft des narzißtischen Typus der Objektwahl verlegt, entbehrt leider noch der Bestätigung durch die Untersuchung. Ich habe in den einleitenden Sätzen dieser Abhandlung bekannt, daß das empirische Material, auf welches diese Studie gebaut ist, für unsere Ansprüche nicht zureicht. Dürfen wir eine Übereinstimmung der Beobachtung mit unseren Ableitungen annehmen, so würden wir nicht zögern, die Regression von der Objektbesetzung auf die noch dem Narzißmus angehörige orale Libidophase in die Charakteristik der Melancholie aufzunehmen. Identifizierungen mit dem Objekt sind auch bei den Übertragungsneurosen keineswegs selten, vielmehr ein bekannter Mechanismus der Symptombildung, zumal bei der Hysterie. Wir dürfen aber den Unterschied der narzißtischen Identifizierung von der hysterischen darin erblicken, daß bei ersterer die Objektbesetzung aufgelassen wird, während sie bei letzterer bestehenbleibt und eine Wirkung äußert, die sich gewöhnlich auf gewisse einzelne Aktionen und Innervationen beschränkt. Immerhin ist die Identifizierung auch bei den Übertragungsneurosen der Ausdruck einer Gemeinschaft, welche Liebe bedeuten kann. Die narzißtische Identifizierung ist die ursprünglichere und eröffnet uns den Zugang zum Verständnis der weniger gut studierten hysterischen.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Melancholie entlehnt also einen Teil ihrer Charaktere der Trauer, den anderen Teil dem Vorgang der Regression von der narzißtischen Objektwahl zum Narzißmus. Sie ist einerseits wie die Trauer Reaktion auf den realen Verlust des Liebesobjekts, aber sie ist überdies mit einer Bedingung behaftet, welche der normalen Trauer abgeht oder dieselbe, wo sie hinzutritt, in eine pathologische verwandelt. Der Verlust des Liebesobjekts ist ein ausgezeichneter Anlaß, um die Ambivalenz der Liebesbeziehungen zur Geltung und zum Vorschein zu bringen. Wo die Disposition zur Zwangsneurose vorhanden ist, verleiht darum der Ambivalenzkonflikt der Trauer eine pathologische Gestaltung und zwingt sie, sich in der Form von Selbstvorwürfen, daß man den Verlust des Liebesobjekts selbst verschuldet, d. h. gewollt habe, zu äußern. In solchen zwangsneurotischen Depressionen nach dem Tode geliebter Personen wird uns vorgeführt, was der Ambivalenzkonflikt für sich allein leistet, wenn die regressive Einziehung der Libido nicht mit dabei ist. Die Anlässe der Melancholie gehen meist über den klaren Fall des Verlustes durch den Tod hinaus und umfassen alle die Situationen von Kränkung, Zurücksetzung und Enttäuschung, durch welche ein Gegensatz von Lieben und Hassen in die Beziehung eingetragen oder eine vorhandene Ambivalenz verstärkt werden kann. Dieser Ambivalenzkonflikt, bald mehr realer, bald mehr konstitutiver Herkunft, ist unter den Voraussetzungen der Melancholie nicht zu vernachlässigen. Hat sich die Liebe zum Objekt, die nicht aufgegeben werden kann, während das Objekt selbst aufgegeben wird, in die narzißtische Identifizierung geflüchtet, so betätigt sich an diesem Ersatzobjekt der Haß, indem er es beschimpft, erniedrigt, leiden macht und an diesem Leiden eine sadistische Befriedigung gewinnt. Die unzweifelhaft genußreiche Selbstquälerei der Melancholie bedeutet ganz wie das entsprechende Phänomen der Zwangsneurose die Befriedigung von sadistischen und Haßtendenzen </w:t>
      </w:r>
      <w:hyperlink r:id="rId86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Über deren Unterscheidung siehe den Aufsatz über ›Triebe und Triebschicksale‹.</w:t>
        </w:r>
      </w:hyperlink>
      <w:r w:rsidRPr="008725BE">
        <w:rPr>
          <w:rFonts w:ascii="Garamond" w:hAnsi="Garamond"/>
          <w:lang w:val="en-GB"/>
        </w:rPr>
        <w:t xml:space="preserve"> die einem Objekt gelten und auf diesem Wege eine Wendung gegen die eigene Person erfahren haben. Bei beiden Affektionen pflegt es den Kranken noch zu gelingen, auf dem Umwege über die Selbstbestrafung Rache an den ursprünglichen Objekten zu nehmen und ihre Lieben durch Vermittlung des Krankseins zu quälen, nachdem sie sich in die Krankheit begeben haben, um ihnen ihre Feindseligkeit nicht direkt zeigen zu müssen. Die Person, welche die Gefühlsstörung des Kranken hervorgerufen, nach welcher sein Kranksein orientiert ist, ist doch gewöhnlich in der nächsten Umgebung des Kranken zu finden. So hat die Liebesbesetzung des Melancholischen für sein Objekt ein zweifaches Schicksal erfahren; sie ist zum Teil auf die Identifizierung regrediert, zum anderen Teil aber unter dem Einfluß des Ambivalenzkonflikts auf die ihm nähere Stufe des Sadismus zurückversetzt worden.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Erst dieser Sadismus löst uns das Rätsel der Selbstmordneigung, durch welche die Melancholie so interessant und so – gefährlich wird. Wir haben als den Urzustand, von dem das Triebleben ausgeht, eine so großartige Selbstliebe des Ichs erkannt, wir sehen in der Angst, die bei Lebensbedrohung auftritt, einen so riesigen Betrag der narzißtischen Libido frei werden, daß wir es nicht erfassen, wie dies Ich seiner </w:t>
      </w:r>
      <w:r w:rsidRPr="008725BE">
        <w:rPr>
          <w:rFonts w:ascii="Garamond" w:hAnsi="Garamond"/>
          <w:lang w:val="en-GB"/>
        </w:rPr>
        <w:lastRenderedPageBreak/>
        <w:t>Selbstzerstörung zustimmen könne. Wir wußten zwar längst, daß kein Neurotiker Selbstmordabsichten verspürt, der solche nicht von einem Mordimpuls gegen andere auf sich zurückwendet, aber es blieb unverständlich, durch welches Kräftespiel eine solche Absicht sich zur Tat durchsetzen kann. Nun lehrt uns die Analyse der Melancholie, daß das Ich sich nur dann töten kann, wenn es durch die Rückkehr der Objektbesetzung sich selbst wie ein Objekt behandeln kann, wenn es die Feindseligkeit gegen sich richten darf, die einem Objekt gilt und die die ursprüngliche Reaktion des Ichs gegen Objekte der Außenwelt vertritt. (Siehe ›Triebe und Triebschicksale‹.) So ist bei der Regression von der narzißtischen Objektwahl das Objekt zwar aufgehoben worden, aber es hat sich doch mächtiger erwiesen als das Ich selbst. In den zwei entgegengesetzten Situationen der äußersten Verliebtheit und des Selbstmordes wird das Ich, wenn auch auf gänzlich verschiedenen Wegen, vom Objekt überwältigt.</w:t>
      </w:r>
    </w:p>
    <w:p w:rsidR="008725BE" w:rsidRPr="008725BE" w:rsidRDefault="008725BE" w:rsidP="008725BE">
      <w:pPr>
        <w:pStyle w:val="Sansinterligne"/>
        <w:rPr>
          <w:rFonts w:ascii="Garamond" w:hAnsi="Garamond"/>
          <w:lang w:val="en-GB"/>
        </w:rPr>
      </w:pPr>
      <w:r w:rsidRPr="008725BE">
        <w:rPr>
          <w:rFonts w:ascii="Garamond" w:hAnsi="Garamond"/>
          <w:lang w:val="en-GB"/>
        </w:rPr>
        <w:t>Es liegt dann noch nahe, für den einen auffälligen Charakter der Melancholie, das Hervortreten der Verarmungsangst, die Ableitung der aus ihren Verbindungen gerissenen und regressiv verwandelten Analerotik zuzulassen.</w:t>
      </w:r>
    </w:p>
    <w:p w:rsidR="008725BE" w:rsidRPr="008725BE" w:rsidRDefault="008725BE" w:rsidP="008725BE">
      <w:pPr>
        <w:pStyle w:val="Sansinterligne"/>
        <w:rPr>
          <w:rFonts w:ascii="Garamond" w:hAnsi="Garamond"/>
          <w:lang w:val="en-GB"/>
        </w:rPr>
      </w:pPr>
      <w:r w:rsidRPr="008725BE">
        <w:rPr>
          <w:rFonts w:ascii="Garamond" w:hAnsi="Garamond"/>
          <w:lang w:val="en-GB"/>
        </w:rPr>
        <w:t>Die Melancholie stellt uns noch vor andere Fragen, deren Beantwortung uns zum Teil entgeht. Daß sie nach einem gewissen Zeitraum abgelaufen ist, ohne nachweisbare grobe Veränderungen zu hinterlassen, diesen Charakter teilt sie mit der Trauer. Dort fanden wir die Auskunft, die Zeit werde für die Detaildurchführung des Gebotes der Realitätsprüfung benötigt, nach welcher Arbeit das Ich seine Libido vom verlorenen Objekt freibekommen habe. Mit einer analogen Arbeit können wir das Ich während der Melancholie beschäftigt denken; das ökonomische Verständnis des Herganges bleibt hier wie dort aus. Die Schlaflosigkeit der Melancholie bezeugt wohl die Starrheit des Zustandes, die Unmöglichkeit, die für den Schlaf erforderliche allgemeine Einziehung der Besetzungen durchzuführen. Der melancholische Komplex verhält sich wie eine offene Wunde, zieht von allen Seiten Besetzungsenergien an sich (die wir bei den Übertragungsneurosen »Gegenbesetzungen« geheißen haben) und entleert das Ich bis zur völligen Verarmung; er kann sich leicht resistent gegen den Schlafwunsch des Ichs erweisen. – Ein wahrscheinlich somatisches, psychogen nicht aufzuklärendes Moment kommt in der regelmäßigen Linderung des Zustandes zur Abendzeit zum Vorschein. An diese Erörterungen schließt die Frage an, ob nicht Ichverlust ohne Rücksicht auf das Objekt (rein narzißtische Ichkränkung) hinreicht, das Bild der Melancholie zu erzeugen, und ob nicht direkt toxische Verarmung an Ichlibido gewisse Formen der Affektion ergeben kann.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Die merkwürdigste und aufklärungsbedürftigste Eigentümlichkeit der Melancholie ist durch ihre Neigung gegeben, in den symptomatisch gegensätzlichen Zustand der Manie umzuschlagen. Bekanntlich hat nicht jede Melancholie dieses Schicksal. Manche Fälle verlaufen in periodischen Rezidiven, deren Intervalle entweder keine oder eine nur sehr geringfügige Tönung von Manie erkennen lassen. Andere zeigen jene regelmäßige Abwechslung von melancholischen und manischen Phasen, die in der Aufstellung des zyklischen Irreseins Ausdruck gefunden hat. Man wäre versucht, diese Fälle von der psychogenen Auffassung auszuschließen, wenn nicht die psychoanalytische Arbeit gerade für mehrere dieser Erkrankungen Auflösung wie therapeutische Beeinflussung zustande gebracht hätte. Es ist also nicht nur gestattet, sondern sogar geboten, eine analytische Aufklärung der Melancholie auch auf die Manie auszudehnen.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kann nicht versprechen, daß dieser Versuch voll befriedigend ausfallen wird. Er reicht vielmehr nicht weit über die Möglichkeit einer ersten Orientierung hinaus. Es stehen uns hier zwei Anhaltspunkte zu Gebote, der erste ein psychoanalytischer Eindruck, der andere eine, man darf wohl sagen, allgemeine ökonomische Erfahrung. Der Eindruck, dem bereits mehrere psychoanalytische Forscher Worte geliehen haben, geht dahin, daß die Manie keinen anderen Inhalt hat als die Melancholie, daß beide Affektionen mit demselben »Komplex« ringen, dem das Ich wahrscheinlich in der Melancholie erlegen ist, während es ihn in der Manie bewältigt oder beiseite geschoben hat. Den anderen Anhalt gibt die Erfahrung, daß alle Zustände von Freude, Jubel, Triumph, die uns das Normalvorbild der Manie zeigen, die nämliche ökonomische Bedingtheit erkennen lassen. Es handelt sich bei ihnen um eine Einwirkung, durch welche ein großer, lange unterhaltener oder gewohnheitsmäßig hergestellter psychischer Aufwand endlich überflüssig wird, so daß er für mannigfache Verwendungen und Abfuhrmöglichkeiten bereitsteht. Also zum Beispiel: Wenn ein armer Teufel durch einen großen Geldgewinn plötzlich der chronischen Sorge um das tägliche Brot enthoben wird, wenn ein langes und mühseliges Ringen sich am Ende durch den Erfolg gekrönt sieht, wenn man in die Lage kommt, einen drückenden Zwang, eine lange fortgesetzte Verstellung mit einem Schlage aufzugeben u. dgl. Alle solche Situationen zeichnen sich durch die gehobene Stimmung, die Abfuhrzeichen des freudigen Affekts, und durch die gesteigerte Bereitwilligkeit zu allerlei </w:t>
      </w:r>
      <w:r w:rsidRPr="008725BE">
        <w:rPr>
          <w:rFonts w:ascii="Garamond" w:hAnsi="Garamond"/>
          <w:lang w:val="en-GB"/>
        </w:rPr>
        <w:lastRenderedPageBreak/>
        <w:t>Aktionen aus, ganz wie die Manie und im vollen Gegensatz zur Depression und Hemmung der Melancholie. Man kann wagen, es auszusprechen, daß die Manie nichts anderes ist als ein solcher Triumph, nur daß es wiederum dem Ich verdeckt bleibt, was es überwunden hat und worüber es triumphiert. Den in dieselbe Reihe von Zuständen gehörigen Alkoholrausch wird man – insofern er ein heiterer ist – ebenso zurechtlegen dürfen; es handelt sich bei ihm wahrscheinlich um die toxisch erzielte Aufhebung von Verdrängungsaufwänden. Die Laienmeinung nimmt gern an, daß man in solcher maniakalischer Verfassung darum so bewegungs- und unternehmungslustig ist, weil man so »gut aufgelegt« ist. Diese falsche Verknüpfung wird man natürlich auflösen müssen. Es ist jene erwähnte ökonomische Bedingung im Seelenleben erfüllt worden, und darum ist man einerseits in so heiterer Stimmung und anderseits so ungehemmt im Tun.</w:t>
      </w:r>
    </w:p>
    <w:p w:rsidR="008725BE" w:rsidRPr="008725BE" w:rsidRDefault="008725BE" w:rsidP="008725BE">
      <w:pPr>
        <w:pStyle w:val="Sansinterligne"/>
        <w:rPr>
          <w:rFonts w:ascii="Garamond" w:hAnsi="Garamond"/>
          <w:lang w:val="en-GB"/>
        </w:rPr>
      </w:pPr>
      <w:r w:rsidRPr="008725BE">
        <w:rPr>
          <w:rFonts w:ascii="Garamond" w:hAnsi="Garamond"/>
          <w:lang w:val="en-GB"/>
        </w:rPr>
        <w:t>Setzen wir die beiden Andeutungen zusammen, so ergibt sich: In der Manie muß das Ich den Verlust des Objekts (oder die Trauer über den Verlust oder vielleicht das Objekt selbst) überwunden haben, und nun ist der ganze Betrag von Gegenbesetzung, den das schmerzhafte Leiden der Melancholie aus dem Ich an sich gezogen und gebunden hatte, verfügbar geworden. Der Manische demonstriert uns auch unverkennbar seine Befreiung von dem Objekt, an dem er gelitten hatte, indem er wie ein Heißhungriger auf neue Objektbesetzungen ausgeht. Diese Aufklärung klingt ja plausibel, aber sie ist erstens noch zu wenig bestimmt und läßt zweitens mehr neue Fragen und Zweifel auftauchen, als wir beantworten können. Wir wollen uns der Diskussion derselben nicht entziehen, wenn wir auch nicht erwarten können, durch sie hindurch den Weg zur Klarheit zu finden.</w:t>
      </w:r>
    </w:p>
    <w:p w:rsidR="008725BE" w:rsidRPr="008725BE" w:rsidRDefault="008725BE" w:rsidP="008725BE">
      <w:pPr>
        <w:pStyle w:val="Sansinterligne"/>
        <w:rPr>
          <w:rFonts w:ascii="Garamond" w:hAnsi="Garamond"/>
          <w:lang w:val="en-GB"/>
        </w:rPr>
      </w:pPr>
      <w:r w:rsidRPr="008725BE">
        <w:rPr>
          <w:rFonts w:ascii="Garamond" w:hAnsi="Garamond"/>
        </w:rPr>
        <w:t xml:space="preserve">Zunächst: Die normale Trauer überwindet ja auch den Verlust des Objekts und absorbiert gleichfalls während ihres Bestandes alle Energien des Ichs. </w:t>
      </w:r>
      <w:r w:rsidRPr="008725BE">
        <w:rPr>
          <w:rFonts w:ascii="Garamond" w:hAnsi="Garamond"/>
          <w:lang w:val="en-GB"/>
        </w:rPr>
        <w:t xml:space="preserve">Warum stellt sich bei ihr die ökonomische Bedingung für eine Phase des Triumphes nach ihrem Ablaufe auch nicht andeutungsweise her? Ich finde es unmöglich, auf diesen Einwand kurzerhand zu antworten. Er macht uns auch darauf aufmerksam, daß wir nicht einmal sagen können, durch welche ökonomischen Mittel die Trauer ihre Aufgabe löst; aber vielleicht kann hier eine Vermutung aushelfen. An jede einzelne der Erinnerungen und Erwartungssituationen, welche die Libido an das verlorene Objekt geknüpft zeigen, bringt die Realität ihr Verdikt heran, daß das Objekt nicht mehr existiere, und das Ich, gleichsam vor die Frage gestellt, ob es dieses Schicksal teilen will, läßt sich durch die Summe der narzißtischen Befriedigungen, am Leben zu sein, bestimmen, seine Bindung an das vernichtete Objekt zu lösen. Man kann sich etwa vorstellen, diese Lösung gehe so langsam und schrittweise vor sich, daß mit der Beendigung der Arbeit auch der für sie erforderliche Aufwand zerstreut ist </w:t>
      </w:r>
      <w:hyperlink r:id="rId87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Der ökonomische Gesichtspunkt ist bisher in psychoanalytischen Arbeiten wenig berücksichtigt worden. Als Ausnahme sei der Aufsatz von V. Tausk, ›Entwertung des Verdrängungsmotivs durch Rekompense‹ (1913) hervorgehoben.</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Es ist verlockend, von der Mutmaßung über die Arbeit der Trauer den Weg zu einer Darstellung der melancholischen Arbeit zu suchen. Da kommt uns zuerst eine Unsicherheit in den Weg. Wir haben bisher den topischen Gesichtspunkt bei der Melancholie noch kaum berücksichtigt und die Frage nicht aufgeworfen, in und zwischen welchen psychischen Systemen die Arbeit der Melancholie vor sich geht. Was von den psychischen Vorgängen der Affektion spielt sich noch an den aufgelassenen unbewußten Objektbesetzungen, was an deren Identifizierungsersatz im Ich ab?</w:t>
      </w:r>
    </w:p>
    <w:p w:rsidR="008725BE" w:rsidRPr="008725BE" w:rsidRDefault="008725BE" w:rsidP="008725BE">
      <w:pPr>
        <w:pStyle w:val="Sansinterligne"/>
        <w:rPr>
          <w:rFonts w:ascii="Garamond" w:hAnsi="Garamond"/>
          <w:lang w:val="en-GB"/>
        </w:rPr>
      </w:pPr>
      <w:r w:rsidRPr="008725BE">
        <w:rPr>
          <w:rFonts w:ascii="Garamond" w:hAnsi="Garamond"/>
          <w:lang w:val="en-GB"/>
        </w:rPr>
        <w:t>Es spricht sich nun rasch aus und schreibt sich leicht nieder, daß die »unbewußte (Ding-) Vorstellung des Objekts von der Libido verlassen wird«. Aber in Wirklichkeit ist diese Vorstellung durch ungezählte Einzeleindrücke (unbewußte Spuren derselben) vertreten, und die Durchführung dieser Libidoabziehung kann nicht ein momentaner Vorgang sein, sondern gewiß wie bei der Trauer ein langwieriger, allmählich fortschreitender Prozeß. Ob er an vielen Stellen gleichzeitig beginnt oder eine irgendwie bestimmte Reihenfolge enthält, läßt sich ja nicht leicht unterscheiden; in den Analysen kann man oft feststellen, daß bald diese, bald jene Erinnerung aktiviert ist und daß die gleichlautenden, durch ihre Monotonie ermüdenden Klagen doch jedesmal von einer anderen unbewußten Begründung herrühren. Wenn das Objekt keine so große, durch tausendfältige Verknüpfung verstärkte Bedeutung für das Ich hat, so ist sein Verlust auch nicht geeignet, eine Trauer oder eine Melancholie zu verursachen. Der Charakter der Einzeldurchführung der Libidoablösung ist also der Melancholie wie der Trauer in gleicher Weise zuzuschreiben, stützt sich wahrscheinlich auf die gleichen ökonomischen Verhältnisse und dient denselben Tendenzen.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Melancholie hat aber, wie wir gehört haben, etwas mehr zum Inhalt als die normale Trauer. Das Verhältnis zum Objekt ist bei ihr kein einfaches, es wird durch den Ambivalenzkonflikt kompliziert. Die Ambivalenz ist entweder konstitutionell, d. h. sie hängt jeder Liebesbeziehung dieses Ichs an, oder sie geht gerade aus den Erlebnissen hervor, welche die Drohung des Objektverlustes mit sich bringen. Die </w:t>
      </w:r>
      <w:r w:rsidRPr="008725BE">
        <w:rPr>
          <w:rFonts w:ascii="Garamond" w:hAnsi="Garamond"/>
          <w:lang w:val="en-GB"/>
        </w:rPr>
        <w:lastRenderedPageBreak/>
        <w:t xml:space="preserve">Melancholie kann darum in ihren Veranlassungen weit über die Trauer hinausgehen, welche in der Regel nur durch den Realverlust, den Tod des Objekts, ausgelöst wird. Es spinnt sich also bei der Melancholie eine Unzahl von Einzelkämpfen um das Objekt an, in denen Haß und Liebe miteinander ringen, die eine, um die Libido vom Objekt zu lösen, die andere, um diese Libidoposition gegen den Ansturm zu behaupten. Diese Einzelkämpfe können wir in kein anderes System verlegen als in das </w:t>
      </w:r>
      <w:r w:rsidRPr="008725BE">
        <w:rPr>
          <w:rFonts w:ascii="Garamond" w:hAnsi="Garamond"/>
          <w:i/>
          <w:iCs/>
          <w:lang w:val="en-GB"/>
        </w:rPr>
        <w:t>Ubw</w:t>
      </w:r>
      <w:r w:rsidRPr="008725BE">
        <w:rPr>
          <w:rFonts w:ascii="Garamond" w:hAnsi="Garamond"/>
          <w:lang w:val="en-GB"/>
        </w:rPr>
        <w:t xml:space="preserve">, in das Reich der sachlichen Erinnerungsspuren (im Gegensatz zu den Wortbesetzungen). Ebendort spielen sich auch die Lösungsversuche bei der Trauer ab, aber bei dieser letzteren besteht kein Hindernis dagegen, daß sich diese Vorgänge auf dem normalen Wege durch das </w:t>
      </w:r>
      <w:r w:rsidRPr="008725BE">
        <w:rPr>
          <w:rFonts w:ascii="Garamond" w:hAnsi="Garamond"/>
          <w:i/>
          <w:iCs/>
          <w:lang w:val="en-GB"/>
        </w:rPr>
        <w:t>Vbw</w:t>
      </w:r>
      <w:r w:rsidRPr="008725BE">
        <w:rPr>
          <w:rFonts w:ascii="Garamond" w:hAnsi="Garamond"/>
          <w:lang w:val="en-GB"/>
        </w:rPr>
        <w:t xml:space="preserve"> zum Bewußtsein fortsetzen. Dieser Weg ist für die melancholische Arbeit gesperrt, vielleicht infolge einer Mehrzahl von Ursachen oder des Zusammenwirkens derselben. Die konstitutive Ambivalenz gehört an und für sich dem Verdrängten an, die traumatischen Erlebnisse mit dem Objekt mögen anderes Verdrängte aktiviert haben. So bleibt alles an diesen Ambivalenzkämpfen dem Bewußtsein entzogen, bis nicht der für die Melancholie charakteristische Ausgang eingetreten ist. Er besteht, wie wir wissen, darin, daß die bedrohte Libidobesetzung endlich das Objekt verläßt, aber nur, um sich auf die Stelle des Ichs, von der sie ausgegangen war, zurückzuziehen. Die Liebe hat sich so durch ihre Flucht ins Ich der Aufhebung entzogen. Nach dieser Regression der Libido kann der Vorgang bewußt werden und repräsentiert sich dem Bewußtsein als ein Konflikt zwischen einem Teil des Ichs und der kritischen Instanz.</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Was das Bewußtsein von der melancholischen Arbeit erfährt, ist also nicht das wesentliche Stück derselben, auch nicht jenes, dem wir einen Einfluß auf die Lösung des Leidens zutrauen können. Wir sehen, daß das Ich sich herabwürdigt und gegen sich wütet, und verstehen sowenig wie der Kranke, wozu das führen und wie sich das ändern kann. Dem unbewußten Stück der Arbeit können wir eine solche Leistung eher zuschreiben, weil es nicht schwerfällt, eine wesentliche Analogie zwischen der Arbeit der Melancholie und jener der Trauer herauszufinden. Wie die Trauer das Ich dazu bewegt, auf das Objekt zu verzichten, indem es das Objekt für tot erklärt und dem Ich die Prämie des Amlebenbleibens bietet, so lockert auch jeder einzelne Ambivalenzkampf die Fixierung der Libido an das Objekt, indem er dieses entwertet, herabsetzt, gleichsam auch erschlägt. Es ist die Möglichkeit gegeben, daß der Prozeß im </w:t>
      </w:r>
      <w:r w:rsidRPr="008725BE">
        <w:rPr>
          <w:rFonts w:ascii="Garamond" w:hAnsi="Garamond"/>
          <w:i/>
          <w:iCs/>
          <w:lang w:val="en-GB"/>
        </w:rPr>
        <w:t>Ubw</w:t>
      </w:r>
      <w:r w:rsidRPr="008725BE">
        <w:rPr>
          <w:rFonts w:ascii="Garamond" w:hAnsi="Garamond"/>
          <w:lang w:val="en-GB"/>
        </w:rPr>
        <w:t xml:space="preserve"> zu Ende komme, sei es nachdem die Wut sich ausgetobt hat, sei es nachdem das Objekt als wertlos aufgegeben wurde. Es fehlt uns der Einblick, welche dieser beiden Möglichkeiten regelmäßig oder vorwiegend häufig der Melancholie ein Ende bereitet und wie diese Beendigung den weiteren Verlauf des Falles beeinflußt. Das Ich mag dabei die Befriedigung genießen, daß es sich als das Bessere, als dem Objekt überlegen anerkennen darf.</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Mögen wir diese Auffassung der melancholischen Arbeit auch annehmen, sie kann uns doch das eine nicht leisten, auf dessen Erklärung wir ausgegangen sind. Unsere Erwartung, die ökonomische Bedingung für das Zustandekommen der Manie nach abgelaufener Melancholie aus der Ambivalenz abzuleiten, welche diese Affektion beherrscht, könnte sich auf Analogien aus verschiedenen anderen Gebieten stützen; aber es gibt eine Tatsache, vor welcher sie sich beugen muß. Von den drei Voraussetzungen der Melancholie: Verlust des Objekts, Ambivalenz und Regression der Libido ins Ich, finden wir die beiden ersten bei den Zwangsvorwürfen nach Todesfällen wieder. Dort ist es die Ambivalenz, die unzweifelhaft die Triebfeder des Konflikts darstellt, und die Beobachtung zeigt, daß nach Ablauf desselben nichts von einem Triumph einer manischen Verfassung erübrigt. Wir werden so auf das dritte Moment als das einzig wirksame hingewiesen. Jene Anhäufung von zunächst gebundener Besetzung, welche nach Beendigung der melancholischen Arbeit frei wird und die Manie ermöglicht, muß mit der Regression der Libido auf den Narzißmus zusammenhängen. Der Konflikt im Ich, den die Melancholie für den Kampf um das Objekt eintauscht, muß ähnlich wie eine schmerzhafte Wunde wirken, die eine außerordentlich hohe Gegenbesetzung in Anspruch nimmt. Aber hier wird es wiederum zweckmäßig sein, haltzumachen und die weitere Aufklärung der Manie zu verschieben, bis wir Einsicht in die ökonomische Natur zunächst des körperlichen und dann des ihm analogen seelischen </w:t>
      </w:r>
      <w:r w:rsidRPr="008725BE">
        <w:rPr>
          <w:rFonts w:ascii="Garamond" w:hAnsi="Garamond"/>
          <w:i/>
          <w:iCs/>
          <w:lang w:val="en-GB"/>
        </w:rPr>
        <w:t>Schmerzes</w:t>
      </w:r>
      <w:r w:rsidRPr="008725BE">
        <w:rPr>
          <w:rFonts w:ascii="Garamond" w:hAnsi="Garamond"/>
          <w:lang w:val="en-GB"/>
        </w:rPr>
        <w:t xml:space="preserve"> gewonnen haben. Wir wissen es ja schon, daß der Zusammenhang der verwickelten seelischen Probleme uns nötigt, jede Untersuchung unvollendet abzubrechen, bis ihr die Ergebnisse einer anderen zu Hilfe kommen können </w:t>
      </w:r>
      <w:hyperlink r:id="rId87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 die weitere Fortsetzung des Problems der Manie in </w:t>
        </w:r>
        <w:r w:rsidRPr="008725BE">
          <w:rPr>
            <w:rStyle w:val="innerfusslink3"/>
            <w:rFonts w:ascii="Garamond" w:hAnsi="Garamond" w:cs="Arial"/>
            <w:b/>
            <w:bCs/>
            <w:i/>
            <w:iCs/>
            <w:lang w:val="en-GB"/>
          </w:rPr>
          <w:t>Massenpsychologie und Ich-Analyse</w:t>
        </w:r>
        <w:r w:rsidRPr="008725BE">
          <w:rPr>
            <w:rStyle w:val="innerfusslink3"/>
            <w:rFonts w:ascii="Garamond" w:hAnsi="Garamond" w:cs="Arial"/>
            <w:b/>
            <w:bCs/>
            <w:lang w:val="en-GB"/>
          </w:rPr>
          <w:t xml:space="preserve"> (1921 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lang w:val="en-GB"/>
        </w:rPr>
        <w:t>.</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Tr</w:t>
        </w:r>
        <w:bookmarkStart w:id="186" w:name="KS51"/>
        <w:bookmarkEnd w:id="186"/>
        <w:r w:rsidRPr="008725BE">
          <w:rPr>
            <w:rStyle w:val="Lienhypertexte"/>
            <w:rFonts w:ascii="Garamond" w:hAnsi="Garamond"/>
            <w:b/>
            <w:lang w:val="en-GB"/>
          </w:rPr>
          <w:t>iebe und Triebschicksale</w:t>
        </w:r>
      </w:hyperlink>
      <w:r w:rsidRPr="008725BE">
        <w:rPr>
          <w:rFonts w:ascii="Garamond" w:hAnsi="Garamond"/>
          <w:lang w:val="en-GB"/>
        </w:rPr>
        <w:t xml:space="preserve">  </w:t>
      </w:r>
      <w:r w:rsidRPr="008725BE">
        <w:rPr>
          <w:rFonts w:ascii="Garamond" w:hAnsi="Garamond"/>
          <w:caps/>
          <w:lang w:val="en-GB"/>
        </w:rPr>
        <w:t>(1915)</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Wir haben oftmals die Forderung vertreten gehört, daß eine Wissenschaft über klaren und scharf definierten Grundbegriffen aufgebaut sein soll. In Wirklichkeit beginnt keine Wissenschaft mit solchen Definitionen, auch die exaktesten nicht. Der richtige Anfang der wissenschaftlichen Tätigkeit besteht vielmehr in der Beschreibung von Erscheinungen, die dann weiterhin gruppiert, angeordnet und in Zusammenhänge eingetragen werden. Schon bei der Beschreibung kann man es nicht vermeiden, gewisse abstrakte Ideen auf das Material anzuwenden, die man irgendwoher, gewiß nicht aus der neuen Erfahrung allein, herbeiholt. Noch unentbehrlicher sind solche Ideen – die späteren Grundbegriffe der Wissenschaft – bei der weiteren Verarbeitung des Stoffes. Sie müssen zunächst ein gewisses Maß von Unbestimmtheit an sich tragen; von einer klaren Umzeichnung ihres Inhaltes kann keine Rede sein. Solange sie sich in diesem Zustande befinden, verständigt man sich über ihre Bedeutung durch den wiederholten Hinweis auf das Erfahrungsmaterial, dem sie entnommen scheinen, das aber in Wirklichkeit ihnen unterworfen wird. Sie haben also strenge genommen den Charakter von Konventionen, wobei aber alles darauf ankommt, daß sie doch nicht willkürlich gewählt werden, sondern durch bedeutsame Beziehungen zum empirischen Stoffe bestimmt sind, die man zu erraten vermeint, noch ehe man sie erkennen und nachweisen kann. Erst nach gründlicherer Erforschung des betreffenden Erscheinungsgebietes kann man auch dessen wissenschaftliche Grundbegriffe schärfer erfassen und sie fortschreitend so abändern, daß sie in großem Umfange brauchbar und dabei durchaus widerspruchsfrei werden. Dann mag es auch an der Zeit sein, sie in Definitionen zu bannen. Der Fortschritt der Erkenntnis duldet aber auch keine Starrheit der Definitionen. Wie das Beispiel der Physik in glänzender Weise lehrt, erfahren auch die in Definitionen festgelegten »Grundbegriffe« einen stetigen Inhaltswandel.</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 solcher konventioneller, vorläufig noch ziemlich dunkler Grundbegriff, den wir aber in der Psychologie nicht entbehren können, ist der des </w:t>
      </w:r>
      <w:r w:rsidRPr="008725BE">
        <w:rPr>
          <w:rFonts w:ascii="Garamond" w:hAnsi="Garamond"/>
          <w:i/>
          <w:iCs/>
          <w:lang w:val="en-GB"/>
        </w:rPr>
        <w:t>Triebes</w:t>
      </w:r>
      <w:r w:rsidRPr="008725BE">
        <w:rPr>
          <w:rFonts w:ascii="Garamond" w:hAnsi="Garamond"/>
          <w:lang w:val="en-GB"/>
        </w:rPr>
        <w:t>. Versuchen wir es, ihn von verschiedenen Seiten her mit Inhalt zu erfüllen.</w:t>
      </w:r>
    </w:p>
    <w:p w:rsidR="008725BE" w:rsidRPr="008725BE" w:rsidRDefault="008725BE" w:rsidP="008725BE">
      <w:pPr>
        <w:pStyle w:val="Sansinterligne"/>
        <w:rPr>
          <w:rFonts w:ascii="Garamond" w:hAnsi="Garamond"/>
        </w:rPr>
      </w:pPr>
      <w:r w:rsidRPr="008725BE">
        <w:rPr>
          <w:rFonts w:ascii="Garamond" w:hAnsi="Garamond"/>
        </w:rPr>
        <w:t xml:space="preserve">Zunächst von Seiten der Physiologie. Diese hat uns den Begriff des </w:t>
      </w:r>
      <w:r w:rsidRPr="008725BE">
        <w:rPr>
          <w:rFonts w:ascii="Garamond" w:hAnsi="Garamond"/>
          <w:i/>
          <w:iCs/>
        </w:rPr>
        <w:t>Reizes</w:t>
      </w:r>
      <w:r w:rsidRPr="008725BE">
        <w:rPr>
          <w:rFonts w:ascii="Garamond" w:hAnsi="Garamond"/>
        </w:rPr>
        <w:t xml:space="preserve"> und das Reflexschema gegeben, demzufolge ein </w:t>
      </w:r>
      <w:r w:rsidRPr="008725BE">
        <w:rPr>
          <w:rFonts w:ascii="Garamond" w:hAnsi="Garamond"/>
          <w:i/>
          <w:iCs/>
        </w:rPr>
        <w:t>von</w:t>
      </w:r>
      <w:r w:rsidRPr="008725BE">
        <w:rPr>
          <w:rFonts w:ascii="Garamond" w:hAnsi="Garamond"/>
        </w:rPr>
        <w:t xml:space="preserve"> außen her an das lebende Gewebe (der Nervensubstanz) gebrachter Reiz durch Aktion </w:t>
      </w:r>
      <w:r w:rsidRPr="008725BE">
        <w:rPr>
          <w:rFonts w:ascii="Garamond" w:hAnsi="Garamond"/>
          <w:i/>
          <w:iCs/>
        </w:rPr>
        <w:t>nach</w:t>
      </w:r>
      <w:r w:rsidRPr="008725BE">
        <w:rPr>
          <w:rFonts w:ascii="Garamond" w:hAnsi="Garamond"/>
        </w:rPr>
        <w:t xml:space="preserve"> außen abgeführt wird. Diese Aktion wird dadurch zweckmäßig, daß sie die gereizte Substanz der Einwirkung des Reizes entzieht, aus dem Bereich der Reizwirkung entrückt.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Wie verhält sich nun der »Trieb« zum »Reiz«? </w:t>
      </w:r>
      <w:r w:rsidRPr="008725BE">
        <w:rPr>
          <w:rFonts w:ascii="Garamond" w:hAnsi="Garamond"/>
        </w:rPr>
        <w:t xml:space="preserve">Es hindert uns nichts, den Begriff des Triebes unter den des Reizes zu subsumieren: der Trieb sei ein Reiz für das Psychische. </w:t>
      </w:r>
      <w:r w:rsidRPr="008725BE">
        <w:rPr>
          <w:rFonts w:ascii="Garamond" w:hAnsi="Garamond"/>
          <w:lang w:val="en-GB"/>
        </w:rPr>
        <w:t xml:space="preserve">Aber wir werden sofort davor gewarnt, Trieb und psychischen Reiz gleichzusetzen. Es gibt offenbar für das Psychische noch andere Reize als die Triebreize, solche, die sich den physiologischen Reizen weit ähnlicher benehmen. Wenn z. B. ein starkes Licht auf das Auge fällt, so ist das kein Triebreiz; wohl aber, wenn sich die Austrocknung der Schlundschleimhaut fühlbar macht oder die Anätzung der Magenschleimhaut </w:t>
      </w:r>
      <w:hyperlink r:id="rId87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Vorausgesetzt nämlich, daß diese inneren Vorgänge die organischen Grundlagen der Bedürfnisse Durst und Hunger sind.</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haben nun Material für die Unterscheidung von Triebreiz und anderem (physiologischem) Reiz, der auf das Seelische einwirkt, gewonnen. </w:t>
      </w:r>
      <w:r w:rsidRPr="008725BE">
        <w:rPr>
          <w:rFonts w:ascii="Garamond" w:hAnsi="Garamond"/>
        </w:rPr>
        <w:t xml:space="preserve">Erstens: Der Triebreiz stammt nicht aus der Außenwelt, sondern aus dem Innern des Organismus selbst. </w:t>
      </w:r>
      <w:r w:rsidRPr="008725BE">
        <w:rPr>
          <w:rFonts w:ascii="Garamond" w:hAnsi="Garamond"/>
          <w:lang w:val="en-GB"/>
        </w:rPr>
        <w:t xml:space="preserve">Er wirkt darum auch anders auf das Seelische und erfordert zu seiner Beseitigung andere Aktionen. Ferner: Alles für den Reiz Wesentliche ist gegeben, wenn wir annehmen, er wirke wie ein einmaliger Stoß; er kann dann auch durch eine einmalige zweckmäßige Aktion erledigt werden, als deren Typus die motorische Flucht vor der Reizquelle hinzustellen ist. Natürlich können sich diese Stöße auch wiederholen und summieren, aber das ändert nichts an der Auffassung des Vorganges und an den Bedingungen der Reizaufhebung. Der Trieb hingegen wirkt nie wie eine </w:t>
      </w:r>
      <w:r w:rsidRPr="008725BE">
        <w:rPr>
          <w:rFonts w:ascii="Garamond" w:hAnsi="Garamond"/>
          <w:i/>
          <w:iCs/>
          <w:lang w:val="en-GB"/>
        </w:rPr>
        <w:t>momentane Stoßkraft</w:t>
      </w:r>
      <w:r w:rsidRPr="008725BE">
        <w:rPr>
          <w:rFonts w:ascii="Garamond" w:hAnsi="Garamond"/>
          <w:lang w:val="en-GB"/>
        </w:rPr>
        <w:t xml:space="preserve">, sondern immer wie eine </w:t>
      </w:r>
      <w:r w:rsidRPr="008725BE">
        <w:rPr>
          <w:rFonts w:ascii="Garamond" w:hAnsi="Garamond"/>
          <w:i/>
          <w:iCs/>
          <w:lang w:val="en-GB"/>
        </w:rPr>
        <w:t>konstante</w:t>
      </w:r>
      <w:r w:rsidRPr="008725BE">
        <w:rPr>
          <w:rFonts w:ascii="Garamond" w:hAnsi="Garamond"/>
          <w:lang w:val="en-GB"/>
        </w:rPr>
        <w:t xml:space="preserve"> Kraft. Da er nicht von außen, sondern vom Körperinnern her angreift, kann auch keine Flucht gegen ihn nützen. Wir heißen den Triebreiz besser »Bedürfnis«; was dieses Bedürfnis aufhebt, ist die » </w:t>
      </w:r>
      <w:r w:rsidRPr="008725BE">
        <w:rPr>
          <w:rFonts w:ascii="Garamond" w:hAnsi="Garamond"/>
          <w:i/>
          <w:iCs/>
          <w:lang w:val="en-GB"/>
        </w:rPr>
        <w:t>Befriedigung</w:t>
      </w:r>
      <w:r w:rsidRPr="008725BE">
        <w:rPr>
          <w:rFonts w:ascii="Garamond" w:hAnsi="Garamond"/>
          <w:lang w:val="en-GB"/>
        </w:rPr>
        <w:t>«. Sie kann nur durch eine zielgerechte (adäquate) Veränderung der inneren Reizquelle gewonnen werden.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Stellen wir uns auf den Standpunkt eines fast völlig hilflosen, in der Welt noch unorientierten Lebewesens, welches Reize in seiner Nervensubstanz auffängt. Dies Wesen wird sehr bald in die Lage kommen, eine erste Unterscheidung zu machen und eine erste Orientierung zu gewinnen. Es wird einerseits Reize verspüren, denen es sich durch eine Muskelaktion (Flucht) entziehen kann, diese Reize rechnet es zu einer Außenwelt; anderseits aber auch noch Reize, gegen welche eine solche Aktion nutzlos bleibt, die trotzdem ihren konstant drängenden Charakter behalten; diese Reize sind das Kennzeichen einer Innenwelt, der Beweis für Triebbedürfnisse. Die wahrnehmende Substanz des Lebewesens wird so an der Wirksamkeit </w:t>
      </w:r>
      <w:r w:rsidRPr="008725BE">
        <w:rPr>
          <w:rFonts w:ascii="Garamond" w:hAnsi="Garamond"/>
          <w:lang w:val="en-GB"/>
        </w:rPr>
        <w:lastRenderedPageBreak/>
        <w:t>ihrer Muskeltätigkeit einen Anhaltspunkt gewonnen haben, um ein »Außen« von einem »Innen« zu scheiden.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finden also das Wesen des Triebes zunächst in seinen Hauptcharakteren, der Herkunft von Reizquellen im Innern des Organismus, dem Auftreten als konstante Kraft, und leiten davon eines seiner weiteren Merkmale, seine Unbezwingbarkeit durch Fluchtaktionen ab. Während dieser Erörterungen mußte uns aber etwas auffallen, was uns ein weiteres Eingeständnis abnötigt. Wir bringen nicht nur gewisse Konventionen als Grundbegriffe an unser Erfahrungsmaterial heran, sondern bedienen uns auch mancher komplizierter </w:t>
      </w:r>
      <w:r w:rsidRPr="008725BE">
        <w:rPr>
          <w:rFonts w:ascii="Garamond" w:hAnsi="Garamond"/>
          <w:i/>
          <w:iCs/>
          <w:lang w:val="en-GB"/>
        </w:rPr>
        <w:t>Voraussetzungen</w:t>
      </w:r>
      <w:r w:rsidRPr="008725BE">
        <w:rPr>
          <w:rFonts w:ascii="Garamond" w:hAnsi="Garamond"/>
          <w:lang w:val="en-GB"/>
        </w:rPr>
        <w:t xml:space="preserve">, um uns bei der Bearbeitung der psychologischen Erscheinungswelt leiten zu lassen. Die wichtigste dieser Voraussetzungen haben wir bereits angeführt; es erübrigt uns nur noch, sie ausdrücklich hervorzuheben. Sie ist </w:t>
      </w:r>
      <w:r w:rsidRPr="008725BE">
        <w:rPr>
          <w:rFonts w:ascii="Garamond" w:hAnsi="Garamond"/>
          <w:i/>
          <w:iCs/>
          <w:lang w:val="en-GB"/>
        </w:rPr>
        <w:t>biologischer</w:t>
      </w:r>
      <w:r w:rsidRPr="008725BE">
        <w:rPr>
          <w:rFonts w:ascii="Garamond" w:hAnsi="Garamond"/>
          <w:lang w:val="en-GB"/>
        </w:rPr>
        <w:t xml:space="preserve"> Natur, arbeitet mit dem Begriff der Tendenz (eventuell der Zweckmäßigkeit) und lautet: Das Nervensystem ist ein Apparat, dem die Funktion erteilt ist, die anlangenden Reize wieder zu beseitigen, auf möglichst niedriges Niveau herabzusetzen, oder der, wenn es nur möglich wäre, sich überhaupt reizlos erhalten wollte. Nehmen wir an der Unbestimmtheit dieser Idee vorläufig keinen Anstoß und geben wir dem Nervensystem die Aufgabe – allgemein gesprochen: der </w:t>
      </w:r>
      <w:r w:rsidRPr="008725BE">
        <w:rPr>
          <w:rFonts w:ascii="Garamond" w:hAnsi="Garamond"/>
          <w:i/>
          <w:iCs/>
          <w:lang w:val="en-GB"/>
        </w:rPr>
        <w:t>Reizbewältigung</w:t>
      </w:r>
      <w:r w:rsidRPr="008725BE">
        <w:rPr>
          <w:rFonts w:ascii="Garamond" w:hAnsi="Garamond"/>
          <w:lang w:val="en-GB"/>
        </w:rPr>
        <w:t>. Wir sehen dann, wie sehr die Einführung der Triebe das einfache physiologische Reflexschema kompliziert. Die äußeren Reize stellen nur die eine Aufgabe, sich ihnen zu entziehen, dies geschieht dann durch Muskelbewegungen, von denen endlich eine das Ziel erreicht und dann als die zweckmäßige zur erblichen Disposition wird. Die im Innern des Organismus entstehenden Triebreize sind durch diesen Mechanismus nicht zu erledigen. Sie stellen also weit höhere Anforderungen an das Nervensystem, veranlassen es zu verwickelten, ineinandergreifenden Tätigkeiten, welche die Außenwelt so weit verändern, daß sie der inneren Reizquelle die Befriedigung bietet, und nötigen es vor allem, auf seine ideale Absicht der Reizfernhaltung zu verzichten, da sie eine unvermeidliche kontinuierliche Reizzufuhr unterhalten. Wir dürfen also wohl schließen, daß sie, die Triebe, und nicht die äußeren Reize, die eigentlichen Motoren der Fortschritte sind, welche das so unendlich leistungsfähige Nervensystem auf seine gegenwärtige Entwicklungshöhe gebracht haben. Natürlich steht nichts der Annahme im Wege, daß die Triebe selbst, wenigstens zum Teil, Niederschläge äußerer Reizwirkungen sind, welche im Laufe der Phylogenese auf die lebende Substanz verändernd einwirkten.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wir dann finden, daß die Tätigkeit auch der höchstentwickelten Seelenapparate dem </w:t>
      </w:r>
      <w:r w:rsidRPr="008725BE">
        <w:rPr>
          <w:rFonts w:ascii="Garamond" w:hAnsi="Garamond"/>
          <w:i/>
          <w:iCs/>
          <w:lang w:val="en-GB"/>
        </w:rPr>
        <w:t>Lustprinzip</w:t>
      </w:r>
      <w:r w:rsidRPr="008725BE">
        <w:rPr>
          <w:rFonts w:ascii="Garamond" w:hAnsi="Garamond"/>
          <w:lang w:val="en-GB"/>
        </w:rPr>
        <w:t xml:space="preserve"> unterliegt, d. h. durch Empfindungen der Lust-Unlustreihe automatisch reguliert wird, so können wir die weitere Voraussetzung schwerlich abweisen, daß diese Empfindungen die Art, wie die Reizbewältigung vor sich geht, wiedergeben. Sicherlich in dem Sinne, daß die Unlustempfindung mit Steigerung, die Lustempfindung mit Herabsetzung des Reizes zu tun hat. Die weitgehende Unbestimmtheit dieser Annahme wollen wir aber sorgfältig festhalten, bis es uns etwa gelingt, die Art der Beziehung zwischen Lust-Unlust und den Schwankungen der auf das Seelenleben wirkenden Reizgrößen zu erraten. Es sind gewiß sehr mannigfache und nicht sehr einfache solcher Beziehungen möglich.</w:t>
      </w:r>
    </w:p>
    <w:p w:rsidR="008725BE" w:rsidRPr="008725BE" w:rsidRDefault="008725BE" w:rsidP="008725BE">
      <w:pPr>
        <w:pStyle w:val="Sansinterligne"/>
        <w:rPr>
          <w:rFonts w:ascii="Garamond" w:hAnsi="Garamond"/>
          <w:lang w:val="en-GB"/>
        </w:rPr>
      </w:pPr>
      <w:r w:rsidRPr="008725BE">
        <w:rPr>
          <w:rFonts w:ascii="Garamond" w:hAnsi="Garamond"/>
          <w:lang w:val="en-GB"/>
        </w:rPr>
        <w:t>Wenden wir uns nun von der biologischen Seite her der Betrachtung des Seelenlebens zu, so erscheint uns der »Trieb« als ein Grenzbegriff zwischen Seelischem und Somatischem, als psychischer Repräsentant der aus dem Körperinnern stammenden, in die Seele gelangenden Reize, als ein Maß der Arbeitsanforderung, die dem Seelischen infolge seines Zusammenhanges mit dem Körperlichen auferlegt ist.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Wir können nun einige Termini diskutieren, welche im Zusammenhang mit dem Begriffe Trieb gebraucht werden, wie: Drang, Ziel, Objekt, Quelle des Triebes.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Unter dem </w:t>
      </w:r>
      <w:r w:rsidRPr="008725BE">
        <w:rPr>
          <w:rFonts w:ascii="Garamond" w:hAnsi="Garamond"/>
          <w:i/>
          <w:iCs/>
          <w:lang w:val="en-GB"/>
        </w:rPr>
        <w:t>Drange</w:t>
      </w:r>
      <w:r w:rsidRPr="008725BE">
        <w:rPr>
          <w:rFonts w:ascii="Garamond" w:hAnsi="Garamond"/>
          <w:lang w:val="en-GB"/>
        </w:rPr>
        <w:t xml:space="preserve"> eines Triebes versteht man dessen motorisches Moment, die Summe von Kraft oder das Maß von Arbeitsanforderung, das er repräsentiert. Der Charakter des Drängenden ist eine allgemeine Eigenschaft der Triebe, ja das Wesen derselben. Jeder Trieb ist ein Stück Aktivität; wenn man lässigerweise von passiven Trieben spricht, kann man nichts anderes meinen als Triebe mit passivem Ziele.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w:t>
      </w:r>
      <w:r w:rsidRPr="008725BE">
        <w:rPr>
          <w:rFonts w:ascii="Garamond" w:hAnsi="Garamond"/>
          <w:i/>
          <w:iCs/>
          <w:lang w:val="en-GB"/>
        </w:rPr>
        <w:t>Ziel</w:t>
      </w:r>
      <w:r w:rsidRPr="008725BE">
        <w:rPr>
          <w:rFonts w:ascii="Garamond" w:hAnsi="Garamond"/>
          <w:lang w:val="en-GB"/>
        </w:rPr>
        <w:t xml:space="preserve"> eines Triebes ist allemal die Befriedigung, die nur durch Aufhebung des Reizzustandes an der Triebquelle erreicht werden kann. Aber wenn auch dies Endziel für jeden Trieb unveränderlich bleibt, so können doch verschiedene Wege zum gleichen Endziel führen, so daß sich mannigfache nähere oder intermediäre Ziele für einen Trieb ergeben können, die miteinander kombiniert oder gegeneinander vertauscht werden. Die Erfahrung gestattet uns auch, von » </w:t>
      </w:r>
      <w:r w:rsidRPr="008725BE">
        <w:rPr>
          <w:rFonts w:ascii="Garamond" w:hAnsi="Garamond"/>
          <w:i/>
          <w:iCs/>
          <w:lang w:val="en-GB"/>
        </w:rPr>
        <w:t>zielgehemmten</w:t>
      </w:r>
      <w:r w:rsidRPr="008725BE">
        <w:rPr>
          <w:rFonts w:ascii="Garamond" w:hAnsi="Garamond"/>
          <w:lang w:val="en-GB"/>
        </w:rPr>
        <w:t>« Trieben zu sprechen bei Vorgängen, die ein Stück weit in der Richtung der Triebbefriedigung zugelassen werden, dann aber eine Hemmung oder Ablenkung erfahren. Es ist anzunehmen, daß auch mit solchen Vorgängen eine partielle Befriedigung verbunden ist.</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Das </w:t>
      </w:r>
      <w:r w:rsidRPr="008725BE">
        <w:rPr>
          <w:rFonts w:ascii="Garamond" w:hAnsi="Garamond"/>
          <w:i/>
          <w:iCs/>
          <w:lang w:val="en-GB"/>
        </w:rPr>
        <w:t>Objekt</w:t>
      </w:r>
      <w:r w:rsidRPr="008725BE">
        <w:rPr>
          <w:rFonts w:ascii="Garamond" w:hAnsi="Garamond"/>
          <w:lang w:val="en-GB"/>
        </w:rPr>
        <w:t xml:space="preserve"> des Triebes ist dasjenige, an welchem oder durch welches der Trieb sein Ziel erreichen kann. Es ist das variabelste am Triebe, nicht ursprünglich mit ihm verknüpft, sondern ihm nur infolge seiner Eignung zur Ermöglichung der Befriedigung zugeordnet. Es ist nicht notwendig ein fremder Gegenstand, sondern ebensowohl ein Teil des eigenen Körpers. Es kann im Laufe der Lebensschicksale des Triebes beliebig oft gewechselt werden; dieser Verschiebung des Triebes fallen die bedeutsamsten Rollen zu. Es kann der Fall vorkommen, daß dasselbe Objekt gleichzeitig mehreren Trieben zur Befriedigung dient, nach Alfred Adler der Fall der </w:t>
      </w:r>
      <w:r w:rsidRPr="008725BE">
        <w:rPr>
          <w:rFonts w:ascii="Garamond" w:hAnsi="Garamond"/>
          <w:i/>
          <w:iCs/>
          <w:lang w:val="en-GB"/>
        </w:rPr>
        <w:t>Triebverschränkung</w:t>
      </w:r>
      <w:r w:rsidRPr="008725BE">
        <w:rPr>
          <w:rFonts w:ascii="Garamond" w:hAnsi="Garamond"/>
          <w:lang w:val="en-GB"/>
        </w:rPr>
        <w:t xml:space="preserve">. Eine besonders innige Bindung des Triebes an das Objekt wird als </w:t>
      </w:r>
      <w:r w:rsidRPr="008725BE">
        <w:rPr>
          <w:rFonts w:ascii="Garamond" w:hAnsi="Garamond"/>
          <w:i/>
          <w:iCs/>
          <w:lang w:val="en-GB"/>
        </w:rPr>
        <w:t>Fixierung</w:t>
      </w:r>
      <w:r w:rsidRPr="008725BE">
        <w:rPr>
          <w:rFonts w:ascii="Garamond" w:hAnsi="Garamond"/>
          <w:lang w:val="en-GB"/>
        </w:rPr>
        <w:t xml:space="preserve"> desselben hervorgehoben. Sie vollzieht sich oft in sehr frühen Perioden der Triebentwicklung und macht der Beweglichkeit des Triebes ein Ende, indem sie der Lösung intensiv widerstrebt.</w:t>
      </w:r>
    </w:p>
    <w:p w:rsidR="008725BE" w:rsidRPr="008725BE" w:rsidRDefault="008725BE" w:rsidP="008725BE">
      <w:pPr>
        <w:pStyle w:val="Sansinterligne"/>
        <w:rPr>
          <w:rFonts w:ascii="Garamond" w:hAnsi="Garamond"/>
        </w:rPr>
      </w:pPr>
      <w:r w:rsidRPr="008725BE">
        <w:rPr>
          <w:rFonts w:ascii="Garamond" w:hAnsi="Garamond"/>
          <w:lang w:val="en-GB"/>
        </w:rPr>
        <w:t xml:space="preserve">Unter der </w:t>
      </w:r>
      <w:r w:rsidRPr="008725BE">
        <w:rPr>
          <w:rFonts w:ascii="Garamond" w:hAnsi="Garamond"/>
          <w:i/>
          <w:iCs/>
          <w:lang w:val="en-GB"/>
        </w:rPr>
        <w:t>Quelle</w:t>
      </w:r>
      <w:r w:rsidRPr="008725BE">
        <w:rPr>
          <w:rFonts w:ascii="Garamond" w:hAnsi="Garamond"/>
          <w:lang w:val="en-GB"/>
        </w:rPr>
        <w:t xml:space="preserve"> des Triebes versteht man jenen somatischen Vorgang in einem Organ oder Körperteil, dessen Reiz im Seelenleben durch den Trieb repräsentiert ist. Es ist unbekannt, ob dieser Vorgang regelmäßig chemischer Natur ist oder auch der Entbindung anderer, z. B. mechanischer Kräfte entsprechen kann. Das Studium der Triebquellen gehört der Psychologie nicht mehr an; obwohl die Herkunft aus der somatischen Quelle das schlechtweg Entscheidende für den Trieb ist, wird er uns im Seelenleben doch nicht anders als durch seine Ziele bekannt. Die genauere Erkenntnis der Triebquellen ist für die Zwecke der psychologischen Forschung nicht durchwegs erforderlich. </w:t>
      </w:r>
      <w:r w:rsidRPr="008725BE">
        <w:rPr>
          <w:rFonts w:ascii="Garamond" w:hAnsi="Garamond"/>
        </w:rPr>
        <w:t>Manchmal ist der Rückschluß aus den Zielen des Triebes auf dessen Quellen gesichert.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Soll man annehmen, daß die verschiedenen aus dem Körperlichen stammenden, auf das Seelische wirkenden Triebe auch durch verschiedene </w:t>
      </w:r>
      <w:r w:rsidRPr="008725BE">
        <w:rPr>
          <w:rFonts w:ascii="Garamond" w:hAnsi="Garamond"/>
          <w:i/>
          <w:iCs/>
          <w:lang w:val="en-GB"/>
        </w:rPr>
        <w:t>Qualitäten</w:t>
      </w:r>
      <w:r w:rsidRPr="008725BE">
        <w:rPr>
          <w:rFonts w:ascii="Garamond" w:hAnsi="Garamond"/>
          <w:lang w:val="en-GB"/>
        </w:rPr>
        <w:t xml:space="preserve"> ausgezeichnet sind und darum in qualitativ verschiedener Art sich im Seelenleben benehmen? Es scheint nicht gerechtfertigt; man reicht vielmehr mit der einfacheren Annahme aus, daß die Triebe alle qualitativ gleichartig sind und ihre Wirkung nur den Erregungsgrößen, die sie führen, verdanken, vielleicht noch gewissen Funktionen dieser Quantität. Was die psychischen Leistungen der einzelnen Triebe voneinander unterscheidet, läßt sich auf die Verschiedenheit der Triebquellen zurückführen. Es kann allerdings erst in einem späteren Zusammenhange klargelegt werden, was das Problem der Triebqualität bedeutet.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Welche Triebe darf man aufstellen und wie viele? Dabei ist offenbar der Willkür ein weiter Spielraum gelassen. Man kann nichts dagegen einwenden, wenn jemand den Begriff eines Spieltriebes, Destruktionstriebes, Geselligkeitstriebes in Anwendung bringt, wo der Gegenstand es fordert und die Beschränkung der psychologischen Analyse es zuläßt. Man sollte aber die Frage nicht außer acht lassen, ob diese einerseits so sehr spezialisierten Triebmotive nicht eine weitere Zerlegung in der Richtung nach den Triebquellen gestatten, so daß nur die weiter nicht zerlegbaren Urtriebe eine Bedeutung beanspruchen können.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habe vorgeschlagen, von solchen Urtrieben zwei Gruppen zu unterscheiden, die der </w:t>
      </w:r>
      <w:r w:rsidRPr="008725BE">
        <w:rPr>
          <w:rFonts w:ascii="Garamond" w:hAnsi="Garamond"/>
          <w:i/>
          <w:iCs/>
          <w:lang w:val="en-GB"/>
        </w:rPr>
        <w:t>Ich-</w:t>
      </w:r>
      <w:r w:rsidRPr="008725BE">
        <w:rPr>
          <w:rFonts w:ascii="Garamond" w:hAnsi="Garamond"/>
          <w:lang w:val="en-GB"/>
        </w:rPr>
        <w:t xml:space="preserve"> oder </w:t>
      </w:r>
      <w:r w:rsidRPr="008725BE">
        <w:rPr>
          <w:rFonts w:ascii="Garamond" w:hAnsi="Garamond"/>
          <w:i/>
          <w:iCs/>
          <w:lang w:val="en-GB"/>
        </w:rPr>
        <w:t>Selbsterhaltungstriebe</w:t>
      </w:r>
      <w:r w:rsidRPr="008725BE">
        <w:rPr>
          <w:rFonts w:ascii="Garamond" w:hAnsi="Garamond"/>
          <w:lang w:val="en-GB"/>
        </w:rPr>
        <w:t xml:space="preserve"> und die der </w:t>
      </w:r>
      <w:r w:rsidRPr="008725BE">
        <w:rPr>
          <w:rFonts w:ascii="Garamond" w:hAnsi="Garamond"/>
          <w:i/>
          <w:iCs/>
          <w:lang w:val="en-GB"/>
        </w:rPr>
        <w:t>Sexualtriebe</w:t>
      </w:r>
      <w:r w:rsidRPr="008725BE">
        <w:rPr>
          <w:rFonts w:ascii="Garamond" w:hAnsi="Garamond"/>
          <w:lang w:val="en-GB"/>
        </w:rPr>
        <w:t>. Dieser Aufstellung kommt aber nicht die Bedeutung einer notwendigen Voraussetzung zu, wie z. B. der Annahme über die biologische Tendenz des seelischen Apparates (s. oben); sie ist eine bloße Hilfskonstruktion, die nicht länger festgehalten werden soll, als sie sich nützlich erweist, und deren Ersetzung durch eine andere an den Ergebnissen unserer beschreibenden und ordnenden Arbeit wenig ändern wird. Der Anlaß zu dieser Aufstellung hat sich aus der Entwicklungsgeschichte der Psychoanalyse ergeben, welche die Psychoneurosen, und zwar die als »Übertragungsneurosen« zu bezeichnende Gruppe derselben (Hysterie und Zwangsneurose), zum ersten Objekt nahm und an ihnen zur Einsicht gelangte, daß ein Konflikt zwischen den Ansprüchen der Sexualität und denen des Ichs an der Wurzel jeder solchen Affektion zu finden sei. Es ist immerhin möglich, daß ein eindringendes Studium der anderen neurotischen Affektionen (vor allem der narzißtischen Psychoneurosen: der Schizophrenien) zu einer Abänderung dieser Formel und somit zu einer anderen Gruppierung der Urtriebe nötigen wird. Aber gegenwärtig kennen wir diese neue Formel nicht und haben auch noch kein Argument gefunden, welches der Gegenüberstellung von Ich- und Sexualtrieben ungünstig wäre.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mir überhaupt zweifelhaft, ob es möglich sein wird, auf Grund der Bearbeitung des psychologischen Materials entscheidende Winke zur Scheidung und Klassifizierung der Triebe zu gewinnen. Es erscheint vielmehr notwendig, zum Zwecke dieser Bearbeitung bestimmte Annahmen über das Triebleben an das Material heranzubringen, und es wäre wünschenswert, daß man diese Annahmen einem anderen Gebiete entnehmen könnte, um sie auf die Psychologie zu übertragen. Was die Biologie hiefür leistet, läuft der Sonderung von Ich- und Sexualtrieben gewiß nicht zuwider. Die Biologie lehrt, daß die Sexualität nicht gleichzustellen ist den anderen Funktionen des Individuums, da ihre Tendenzen über das Individuum </w:t>
      </w:r>
      <w:r w:rsidRPr="008725BE">
        <w:rPr>
          <w:rFonts w:ascii="Garamond" w:hAnsi="Garamond"/>
          <w:lang w:val="en-GB"/>
        </w:rPr>
        <w:lastRenderedPageBreak/>
        <w:t>hinausgehen und die Produktion neuer Individuen, also die Erhaltung der Art, zum Inhalt haben. Sie zeigt uns ferner, daß zwei Auffassungen des Verhältnisses zwischen Ich und Sexualität wie gleichberechtigt nebeneinanderstehen, die eine, nach welcher das Individuum die Hauptsache ist und die Sexualität als eine seiner Betätigungen, die Sexualbefriedigung als eines seiner Bedürfnisse wertet, und eine andere, derzufolge das Individuum ein zeitweiliger und vergänglicher Anhang an das quasi unsterbliche Keimplasma ist, welches ihm von der Generation anvertraut wurde. Die Annahme, daß sich die Sexualfunktion durch einen besonderen Chemismus von den anderen Körpervorgängen scheidet, bildet, soviel ich weiß, auch eine Voraussetzung der Ehrlichschen biologischen Forschung.</w:t>
      </w:r>
    </w:p>
    <w:p w:rsidR="008725BE" w:rsidRPr="008725BE" w:rsidRDefault="008725BE" w:rsidP="008725BE">
      <w:pPr>
        <w:pStyle w:val="Sansinterligne"/>
        <w:rPr>
          <w:rFonts w:ascii="Garamond" w:hAnsi="Garamond"/>
          <w:lang w:val="en-GB"/>
        </w:rPr>
      </w:pPr>
      <w:r w:rsidRPr="008725BE">
        <w:rPr>
          <w:rFonts w:ascii="Garamond" w:hAnsi="Garamond"/>
          <w:lang w:val="en-GB"/>
        </w:rPr>
        <w:t>Da das Studium des Trieblebens vom Bewußtsein her kaum übersteigbare Schwierigkeiten bietet, bleibt die psychoanalytische Erforschung der Seelenstörungen die Hauptquelle unserer Kenntnis. Ihrem Entwicklungsgang entsprechend hat uns aber die Psychoanalyse bisher nur über die Sexualtriebe einigermaßen befriedigende Auskünfte bringen können, weil sie gerade nur diese Triebgruppe an den Psychoneurosen wie isoliert beobachten konnte. Mit der Ausdehnung der Psychoanalyse auf die anderen neurotischen Affektionen wird gewiß auch unsere Kenntnis der Ichtriebe begründet werden, obwohl es vermessen erscheint, auf diesem weiteren Forschungsgebiete ähnlich günstige Bedingungen für die Beobachtung zu erwarten.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Zu einer allgemeinen Charakteristik der Sexualtriebe kann man folgendes aussagen: Sie sind zahlreich, entstammen vielfältigen organischen Quellen, betätigen sich zunächst unabhängig voneinander und werden erst spät zu einer mehr oder minder vollkommenen Synthese zusammengefaßt. Das Ziel, das jeder von ihnen anstrebt, ist die Erreichung der </w:t>
      </w:r>
      <w:r w:rsidRPr="008725BE">
        <w:rPr>
          <w:rFonts w:ascii="Garamond" w:hAnsi="Garamond"/>
          <w:i/>
          <w:iCs/>
          <w:lang w:val="en-GB"/>
        </w:rPr>
        <w:t>Organlust</w:t>
      </w:r>
      <w:r w:rsidRPr="008725BE">
        <w:rPr>
          <w:rFonts w:ascii="Garamond" w:hAnsi="Garamond"/>
          <w:lang w:val="en-GB"/>
        </w:rPr>
        <w:t xml:space="preserve">; erst nach vollzogener Synthese treten sie in den Dienst der </w:t>
      </w:r>
      <w:r w:rsidRPr="008725BE">
        <w:rPr>
          <w:rFonts w:ascii="Garamond" w:hAnsi="Garamond"/>
          <w:i/>
          <w:iCs/>
          <w:lang w:val="en-GB"/>
        </w:rPr>
        <w:t>Fortpflanzungsfunktion</w:t>
      </w:r>
      <w:r w:rsidRPr="008725BE">
        <w:rPr>
          <w:rFonts w:ascii="Garamond" w:hAnsi="Garamond"/>
          <w:lang w:val="en-GB"/>
        </w:rPr>
        <w:t xml:space="preserve">, womit sie dann als Sexualtriebe allgemein kenntlich werden. Bei ihrem ersten Auftreten lehnen sie sich zuerst an die Erhaltungstriebe an, von denen sie sich erst allmählich ablösen, folgen auch bei der Objektfindung den Wegen, die ihnen die Ichtriebe weisen. Ein Anteil von ihnen bleibt den Ichtrieben zeitlebens gesellt und stattet diese mit </w:t>
      </w:r>
      <w:r w:rsidRPr="008725BE">
        <w:rPr>
          <w:rFonts w:ascii="Garamond" w:hAnsi="Garamond"/>
          <w:i/>
          <w:iCs/>
          <w:lang w:val="en-GB"/>
        </w:rPr>
        <w:t>libidinösen</w:t>
      </w:r>
      <w:r w:rsidRPr="008725BE">
        <w:rPr>
          <w:rFonts w:ascii="Garamond" w:hAnsi="Garamond"/>
          <w:lang w:val="en-GB"/>
        </w:rPr>
        <w:t xml:space="preserve"> Komponenten aus, welche während der normalen Funktion leicht übersehen und erst durch die Erkrankung klargelegt werden. Sie sind dadurch ausgezeichnet, daß sie in großem Ausmaße vikariierend füreinander eintreten und leicht ihre Objekte wechseln können. Infolge der letztgenannten Eigenschaften sind sie zu Leistungen befähigt, die weitab von ihren ursprünglichen Zielhandlungen liegen. ( </w:t>
      </w:r>
      <w:r w:rsidRPr="008725BE">
        <w:rPr>
          <w:rFonts w:ascii="Garamond" w:hAnsi="Garamond"/>
          <w:i/>
          <w:iCs/>
          <w:lang w:val="en-GB"/>
        </w:rPr>
        <w:t>Sublimierung</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Die Untersuchung, welche Schicksale Triebe im Laufe der Entwicklung und des Lebens erfahren können, werden wir auf die uns besser bekannten Sexualtriebe einschränken müssen. Die Beobachtung lehrt uns als solche Triebschicksale folgende kennen:</w:t>
      </w:r>
    </w:p>
    <w:p w:rsidR="008725BE" w:rsidRPr="008725BE" w:rsidRDefault="008725BE" w:rsidP="008725BE">
      <w:pPr>
        <w:pStyle w:val="Sansinterligne"/>
        <w:rPr>
          <w:rFonts w:ascii="Garamond" w:hAnsi="Garamond"/>
          <w:lang w:val="en-GB"/>
        </w:rPr>
      </w:pPr>
      <w:r w:rsidRPr="008725BE">
        <w:rPr>
          <w:rFonts w:ascii="Garamond" w:hAnsi="Garamond"/>
          <w:lang w:val="en-GB"/>
        </w:rPr>
        <w:t>Die Verkehrung ins Gegenteil.</w:t>
      </w:r>
    </w:p>
    <w:p w:rsidR="008725BE" w:rsidRPr="008725BE" w:rsidRDefault="008725BE" w:rsidP="008725BE">
      <w:pPr>
        <w:pStyle w:val="Sansinterligne"/>
        <w:rPr>
          <w:rFonts w:ascii="Garamond" w:hAnsi="Garamond"/>
          <w:lang w:val="en-GB"/>
        </w:rPr>
      </w:pPr>
      <w:r w:rsidRPr="008725BE">
        <w:rPr>
          <w:rFonts w:ascii="Garamond" w:hAnsi="Garamond"/>
          <w:lang w:val="en-GB"/>
        </w:rPr>
        <w:t>Die Wendung gegen die eigene Person.</w:t>
      </w:r>
    </w:p>
    <w:p w:rsidR="008725BE" w:rsidRPr="008725BE" w:rsidRDefault="008725BE" w:rsidP="008725BE">
      <w:pPr>
        <w:pStyle w:val="Sansinterligne"/>
        <w:rPr>
          <w:rFonts w:ascii="Garamond" w:hAnsi="Garamond"/>
          <w:lang w:val="en-GB"/>
        </w:rPr>
      </w:pPr>
      <w:r w:rsidRPr="008725BE">
        <w:rPr>
          <w:rFonts w:ascii="Garamond" w:hAnsi="Garamond"/>
          <w:lang w:val="en-GB"/>
        </w:rPr>
        <w:t>Die Verdrängung.</w:t>
      </w:r>
    </w:p>
    <w:p w:rsidR="008725BE" w:rsidRPr="008725BE" w:rsidRDefault="008725BE" w:rsidP="008725BE">
      <w:pPr>
        <w:pStyle w:val="Sansinterligne"/>
        <w:rPr>
          <w:rFonts w:ascii="Garamond" w:hAnsi="Garamond"/>
          <w:lang w:val="en-GB"/>
        </w:rPr>
      </w:pPr>
      <w:r w:rsidRPr="008725BE">
        <w:rPr>
          <w:rFonts w:ascii="Garamond" w:hAnsi="Garamond"/>
          <w:lang w:val="en-GB"/>
        </w:rPr>
        <w:t>Die Sublimierung.</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 ich die Sublimierung hier nicht zu behandeln gedenke, die Verdrängung aber ein besonderes Kapitel beansprucht, erübrigt uns nur Beschreibung und Diskussion der beiden ersten Punkte. Mit Rücksicht auf Motive, welche einer direkten Fortsetzung der Triebe entgegenwirken, kann man die Triebschicksale auch als Arten der </w:t>
      </w:r>
      <w:r w:rsidRPr="008725BE">
        <w:rPr>
          <w:rFonts w:ascii="Garamond" w:hAnsi="Garamond"/>
          <w:i/>
          <w:iCs/>
          <w:lang w:val="en-GB"/>
        </w:rPr>
        <w:t>Abwehr</w:t>
      </w:r>
      <w:r w:rsidRPr="008725BE">
        <w:rPr>
          <w:rFonts w:ascii="Garamond" w:hAnsi="Garamond"/>
          <w:lang w:val="en-GB"/>
        </w:rPr>
        <w:t xml:space="preserve"> gegen die Triebe darstellen.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w:t>
      </w:r>
      <w:r w:rsidRPr="008725BE">
        <w:rPr>
          <w:rFonts w:ascii="Garamond" w:hAnsi="Garamond"/>
          <w:i/>
          <w:iCs/>
          <w:lang w:val="en-GB"/>
        </w:rPr>
        <w:t>Verkehrung ins Gegenteil</w:t>
      </w:r>
      <w:r w:rsidRPr="008725BE">
        <w:rPr>
          <w:rFonts w:ascii="Garamond" w:hAnsi="Garamond"/>
          <w:lang w:val="en-GB"/>
        </w:rPr>
        <w:t xml:space="preserve"> löst sich bei näherem Zusehen in zwei verschiedene Vorgänge auf, in die </w:t>
      </w:r>
      <w:r w:rsidRPr="008725BE">
        <w:rPr>
          <w:rFonts w:ascii="Garamond" w:hAnsi="Garamond"/>
          <w:i/>
          <w:iCs/>
          <w:lang w:val="en-GB"/>
        </w:rPr>
        <w:t>Wendung</w:t>
      </w:r>
      <w:r w:rsidRPr="008725BE">
        <w:rPr>
          <w:rFonts w:ascii="Garamond" w:hAnsi="Garamond"/>
          <w:lang w:val="en-GB"/>
        </w:rPr>
        <w:t xml:space="preserve"> eines Triebes </w:t>
      </w:r>
      <w:r w:rsidRPr="008725BE">
        <w:rPr>
          <w:rFonts w:ascii="Garamond" w:hAnsi="Garamond"/>
          <w:i/>
          <w:iCs/>
          <w:lang w:val="en-GB"/>
        </w:rPr>
        <w:t>von der Aktivität zur Passivität</w:t>
      </w:r>
      <w:r w:rsidRPr="008725BE">
        <w:rPr>
          <w:rFonts w:ascii="Garamond" w:hAnsi="Garamond"/>
          <w:lang w:val="en-GB"/>
        </w:rPr>
        <w:t xml:space="preserve"> und in die </w:t>
      </w:r>
      <w:r w:rsidRPr="008725BE">
        <w:rPr>
          <w:rFonts w:ascii="Garamond" w:hAnsi="Garamond"/>
          <w:i/>
          <w:iCs/>
          <w:lang w:val="en-GB"/>
        </w:rPr>
        <w:t>inhaltliche Verkehrung</w:t>
      </w:r>
      <w:r w:rsidRPr="008725BE">
        <w:rPr>
          <w:rFonts w:ascii="Garamond" w:hAnsi="Garamond"/>
          <w:lang w:val="en-GB"/>
        </w:rPr>
        <w:t>. Beide Vorgänge sind, weil wesensverschieden, auch gesondert zu behandeln.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Beispiele für den ersteren Vorgang ergeben die Gegensatzpaare Sadismus–Masochismus und Schaulust–Exhibition. Die Verkehrung betrifft nur die </w:t>
      </w:r>
      <w:r w:rsidRPr="008725BE">
        <w:rPr>
          <w:rFonts w:ascii="Garamond" w:hAnsi="Garamond"/>
          <w:i/>
          <w:iCs/>
          <w:lang w:val="en-GB"/>
        </w:rPr>
        <w:t>Ziele</w:t>
      </w:r>
      <w:r w:rsidRPr="008725BE">
        <w:rPr>
          <w:rFonts w:ascii="Garamond" w:hAnsi="Garamond"/>
          <w:lang w:val="en-GB"/>
        </w:rPr>
        <w:t xml:space="preserve"> des Triebes; für das aktive Ziel: quälen, beschauen, wird das passive: gequält werden, beschaut werden eingesetzt. Die inhaltliche Verkehrung findet sich in dem einen Falle der Verwandlung des Liebens in ein Hassen.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w:t>
      </w:r>
      <w:r w:rsidRPr="008725BE">
        <w:rPr>
          <w:rFonts w:ascii="Garamond" w:hAnsi="Garamond"/>
          <w:i/>
          <w:iCs/>
          <w:lang w:val="en-GB"/>
        </w:rPr>
        <w:t>Wendung gegen die eigene Person</w:t>
      </w:r>
      <w:r w:rsidRPr="008725BE">
        <w:rPr>
          <w:rFonts w:ascii="Garamond" w:hAnsi="Garamond"/>
          <w:lang w:val="en-GB"/>
        </w:rPr>
        <w:t xml:space="preserve"> wird uns durch die Erwägung nahegelegt, daß der Masochismus ja ein gegen das eigene Ich gewendeter Sadismus ist, die Exhibition das Beschauen des eigenen Körpers mit einschließt. Die analytische Beobachtung läßt auch keinen Zweifel daran bestehen, daß der Masochist das Wüten gegen seine Person, der Exhibitionist das Entblößen derselben mitgenießt. Das Wesentliche an dem Vorgang ist also der Wechsel des </w:t>
      </w:r>
      <w:r w:rsidRPr="008725BE">
        <w:rPr>
          <w:rFonts w:ascii="Garamond" w:hAnsi="Garamond"/>
          <w:i/>
          <w:iCs/>
          <w:lang w:val="en-GB"/>
        </w:rPr>
        <w:t>Objektes</w:t>
      </w:r>
      <w:r w:rsidRPr="008725BE">
        <w:rPr>
          <w:rFonts w:ascii="Garamond" w:hAnsi="Garamond"/>
          <w:lang w:val="en-GB"/>
        </w:rPr>
        <w:t xml:space="preserve"> bei ungeändertem Ziel.</w:t>
      </w:r>
    </w:p>
    <w:p w:rsidR="008725BE" w:rsidRPr="008725BE" w:rsidRDefault="008725BE" w:rsidP="008725BE">
      <w:pPr>
        <w:pStyle w:val="Sansinterligne"/>
        <w:rPr>
          <w:rFonts w:ascii="Garamond" w:hAnsi="Garamond"/>
          <w:lang w:val="en-GB"/>
        </w:rPr>
      </w:pPr>
      <w:r w:rsidRPr="008725BE">
        <w:rPr>
          <w:rFonts w:ascii="Garamond" w:hAnsi="Garamond"/>
          <w:lang w:val="en-GB"/>
        </w:rPr>
        <w:t>Es kann uns indes nicht entgehen, daß Wendung gegen die eigene Person und Wendung von der Aktivität zur Passivität in diesen Beispielen zusammentreffen oder zusammenfallen. Zur Klarstellung der Beziehungen wird eine gründlichere Untersuchung unerläßlich. Beim Gegensatzpaar Sadismus–Masochismus kann man den Vorgang folgendermaßen darstellen:</w:t>
      </w:r>
    </w:p>
    <w:p w:rsidR="008725BE" w:rsidRPr="008725BE" w:rsidRDefault="008725BE" w:rsidP="008725BE">
      <w:pPr>
        <w:pStyle w:val="Sansinterligne"/>
        <w:rPr>
          <w:rFonts w:ascii="Garamond" w:hAnsi="Garamond"/>
          <w:lang w:val="en-GB"/>
        </w:rPr>
      </w:pPr>
      <w:r w:rsidRPr="008725BE">
        <w:rPr>
          <w:rFonts w:ascii="Garamond" w:hAnsi="Garamond"/>
          <w:i/>
          <w:iCs/>
          <w:lang w:val="en-GB"/>
        </w:rPr>
        <w:lastRenderedPageBreak/>
        <w:t>a)</w:t>
      </w:r>
      <w:r w:rsidRPr="008725BE">
        <w:rPr>
          <w:rFonts w:ascii="Garamond" w:hAnsi="Garamond"/>
          <w:lang w:val="en-GB"/>
        </w:rPr>
        <w:t xml:space="preserve"> Der Sadismus besteht in Gewalttätigkeit, Machtbetätigung gegen eine andere Person als Objekt.</w:t>
      </w:r>
    </w:p>
    <w:p w:rsidR="008725BE" w:rsidRPr="008725BE" w:rsidRDefault="008725BE" w:rsidP="008725BE">
      <w:pPr>
        <w:pStyle w:val="Sansinterligne"/>
        <w:rPr>
          <w:rFonts w:ascii="Garamond" w:hAnsi="Garamond"/>
          <w:lang w:val="en-GB"/>
        </w:rPr>
      </w:pPr>
      <w:r w:rsidRPr="008725BE">
        <w:rPr>
          <w:rFonts w:ascii="Garamond" w:hAnsi="Garamond"/>
          <w:i/>
          <w:iCs/>
          <w:lang w:val="en-GB"/>
        </w:rPr>
        <w:t>b</w:t>
      </w:r>
      <w:r w:rsidRPr="008725BE">
        <w:rPr>
          <w:rFonts w:ascii="Garamond" w:hAnsi="Garamond"/>
          <w:lang w:val="en-GB"/>
        </w:rPr>
        <w:t>) Dieses Objekt wird aufgegeben und durch die eigene Person ersetzt. Mit der Wendung gegen die eigene Person ist auch die Verwandlung des aktiven Triebzieles in ein passives vollzogen.</w:t>
      </w:r>
    </w:p>
    <w:p w:rsidR="008725BE" w:rsidRPr="008725BE" w:rsidRDefault="008725BE" w:rsidP="008725BE">
      <w:pPr>
        <w:pStyle w:val="Sansinterligne"/>
        <w:rPr>
          <w:rFonts w:ascii="Garamond" w:hAnsi="Garamond"/>
          <w:lang w:val="en-GB"/>
        </w:rPr>
      </w:pPr>
      <w:r w:rsidRPr="008725BE">
        <w:rPr>
          <w:rFonts w:ascii="Garamond" w:hAnsi="Garamond"/>
          <w:i/>
          <w:iCs/>
          <w:lang w:val="en-GB"/>
        </w:rPr>
        <w:t>c)</w:t>
      </w:r>
      <w:r w:rsidRPr="008725BE">
        <w:rPr>
          <w:rFonts w:ascii="Garamond" w:hAnsi="Garamond"/>
          <w:lang w:val="en-GB"/>
        </w:rPr>
        <w:t xml:space="preserve"> Es wird neuerdings eine fremde Person als Objekt gesucht, welche infolge der eingetretenen Zielverwandlung die Rolle des Subjekts übernehmen muß.</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Fall </w:t>
      </w:r>
      <w:r w:rsidRPr="008725BE">
        <w:rPr>
          <w:rFonts w:ascii="Garamond" w:hAnsi="Garamond"/>
          <w:i/>
          <w:iCs/>
          <w:lang w:val="en-GB"/>
        </w:rPr>
        <w:t>c</w:t>
      </w:r>
      <w:r w:rsidRPr="008725BE">
        <w:rPr>
          <w:rFonts w:ascii="Garamond" w:hAnsi="Garamond"/>
          <w:lang w:val="en-GB"/>
        </w:rPr>
        <w:t xml:space="preserve"> ist der des gemeinhin so genannten Masochismus. Die Befriedigung erfolgt auch bei ihm auf dem Wege des ursprünglichen Sadismus, indem sich das passive Ich phantastisch in seine frühere Stelle versetzt, die jetzt dem fremden Subjekt überlassen ist. Ob es auch eine direktere masochistische Befriedigung gibt, ist durchaus zweifelhaft. Ein ursprünglicher Masochismus, der nicht auf die beschriebene Art aus dem Sadismus entstanden wäre, scheint nicht vorzukommen </w:t>
      </w:r>
      <w:hyperlink r:id="rId87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In späteren Arbeiten (siehe: ›Das ökonomische Problem des Masochismus‹, 1924) habe ich im Zusammenhang mit Problemen des Trieblebens mich zu einer gegenteiligen Auffassung bekannt.</w:t>
        </w:r>
      </w:hyperlink>
      <w:r w:rsidRPr="008725BE">
        <w:rPr>
          <w:rFonts w:ascii="Garamond" w:hAnsi="Garamond"/>
          <w:lang w:val="en-GB"/>
        </w:rPr>
        <w:t xml:space="preserve">. Daß die Annahme der Stufe  </w:t>
      </w:r>
      <w:r w:rsidRPr="008725BE">
        <w:rPr>
          <w:rFonts w:ascii="Garamond" w:hAnsi="Garamond"/>
          <w:i/>
          <w:iCs/>
          <w:lang w:val="en-GB"/>
        </w:rPr>
        <w:t>b</w:t>
      </w:r>
      <w:r w:rsidRPr="008725BE">
        <w:rPr>
          <w:rFonts w:ascii="Garamond" w:hAnsi="Garamond"/>
          <w:lang w:val="en-GB"/>
        </w:rPr>
        <w:t xml:space="preserve"> nicht überflüssig ist, geht wohl aus dem Verhalten des sadistischen Triebes bei der Zwangsneurose hervor. Hier findet sich die Wendung gegen die eigene Person ohne die Passivität gegen eine neue. Die Verwandlung geht nur bis zur Stufe  </w:t>
      </w:r>
      <w:r w:rsidRPr="008725BE">
        <w:rPr>
          <w:rFonts w:ascii="Garamond" w:hAnsi="Garamond"/>
          <w:i/>
          <w:iCs/>
          <w:lang w:val="en-GB"/>
        </w:rPr>
        <w:t>b</w:t>
      </w:r>
      <w:r w:rsidRPr="008725BE">
        <w:rPr>
          <w:rFonts w:ascii="Garamond" w:hAnsi="Garamond"/>
          <w:lang w:val="en-GB"/>
        </w:rPr>
        <w:t>. Aus der Quälsucht wird Selbstquälerei, Selbstbestrafung, nicht Masochismus. Das aktive Verbum wandelt sich nicht in das Passivum, sondern in ein reflexives Medium.</w:t>
      </w:r>
    </w:p>
    <w:p w:rsidR="008725BE" w:rsidRPr="008725BE" w:rsidRDefault="008725BE" w:rsidP="008725BE">
      <w:pPr>
        <w:pStyle w:val="Sansinterligne"/>
        <w:rPr>
          <w:rFonts w:ascii="Garamond" w:hAnsi="Garamond"/>
          <w:lang w:val="en-GB"/>
        </w:rPr>
      </w:pPr>
      <w:r w:rsidRPr="008725BE">
        <w:rPr>
          <w:rFonts w:ascii="Garamond" w:hAnsi="Garamond"/>
          <w:lang w:val="en-GB"/>
        </w:rPr>
        <w:t>Die Auffassung des Sadismus wird auch durch den Umstand beeinträchtigt, daß dieser Trieb neben seinem allgemeinen Ziel (vielleicht besser: innerhalb desselben) eine ganz spezielle Zielhandlung anzustreben scheint. Neben der Demütigung, Überwältigung, die Zufügung von Schmerzen. Nun scheint die Psychoanalyse zu zeigen, daß das Schmerzzufügen unter den ursprünglichen Zielhandlungen des Triebes keine Rolle spielt. Das sadistische Kind zieht die Zufügung von Schmerzen nicht in Betracht und beabsichtigt sie nicht. Wenn sich aber einmal die Umwandlung in Masochismus vollzogen hat, eignen sich die Schmerzen sehr wohl, ein passives masochistisches Ziel abzugeben, denn wir haben allen Grund anzunehmen, daß auch die Schmerz- wie andere Unlustempfindungen auf die Sexualerregung übergreifen und einen lustvollen Zustand erzeugen, um dessentwillen man sich auch die Unlust des Schmerzes gefallen lassen kann. Ist das Empfinden von Schmerzen einmal ein masochistisches Ziel geworden, so kann sich rückgreifend auch das sadistische Ziel, Schmerzen zuzufügen, ergeben, die man, während man sie anderen erzeugt, selbst masochistisch in der Identifizierung mit dem leidenden Objekt genießt. Natürlich genießt man in beiden Fällen nicht den Schmerz selbst, sondern die ihn begleitende Sexualerregung, und dies dann als Sadist besonders bequem. Das Schmerzgenießen wäre also ein ursprünglich masochistisches Ziel, das aber nur beim ursprünglich Sadistischen zum Triebziele werden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Vollständigkeit zuliebe füge ich an, daß das </w:t>
      </w:r>
      <w:r w:rsidRPr="008725BE">
        <w:rPr>
          <w:rFonts w:ascii="Garamond" w:hAnsi="Garamond"/>
          <w:i/>
          <w:iCs/>
          <w:lang w:val="en-GB"/>
        </w:rPr>
        <w:t>Mitleid</w:t>
      </w:r>
      <w:r w:rsidRPr="008725BE">
        <w:rPr>
          <w:rFonts w:ascii="Garamond" w:hAnsi="Garamond"/>
          <w:lang w:val="en-GB"/>
        </w:rPr>
        <w:t xml:space="preserve"> nicht als ein Ergebnis der Triebverwandlung beim Sadismus beschrieben werden kann, sondern die Auffassung einer </w:t>
      </w:r>
      <w:r w:rsidRPr="008725BE">
        <w:rPr>
          <w:rFonts w:ascii="Garamond" w:hAnsi="Garamond"/>
          <w:i/>
          <w:iCs/>
          <w:lang w:val="en-GB"/>
        </w:rPr>
        <w:t>Reaktionsbildung</w:t>
      </w:r>
      <w:r w:rsidRPr="008725BE">
        <w:rPr>
          <w:rFonts w:ascii="Garamond" w:hAnsi="Garamond"/>
          <w:lang w:val="en-GB"/>
        </w:rPr>
        <w:t xml:space="preserve"> gegen den Trieb (über den Unterschied s. später) erfordert.</w:t>
      </w:r>
    </w:p>
    <w:p w:rsidR="008725BE" w:rsidRPr="008725BE" w:rsidRDefault="008725BE" w:rsidP="008725BE">
      <w:pPr>
        <w:pStyle w:val="Sansinterligne"/>
        <w:rPr>
          <w:rFonts w:ascii="Garamond" w:hAnsi="Garamond"/>
        </w:rPr>
      </w:pPr>
      <w:r w:rsidRPr="008725BE">
        <w:rPr>
          <w:rFonts w:ascii="Garamond" w:hAnsi="Garamond"/>
          <w:lang w:val="en-GB"/>
        </w:rPr>
        <w:t xml:space="preserve">Etwas andere und einfachere Ergebnisse liefert die Untersuchung eines anderen Gegensatzpaares, der Triebe, die das Schauen und Sichzeigen zum Ziele haben. (Voyeur und Exhibitionist in der Sprache der Perversionen.) Auch hier kann man die nämlichen Stufen aufstellen wie im vorigen Falle: </w:t>
      </w:r>
      <w:r w:rsidRPr="008725BE">
        <w:rPr>
          <w:rFonts w:ascii="Garamond" w:hAnsi="Garamond"/>
          <w:i/>
          <w:iCs/>
          <w:lang w:val="en-GB"/>
        </w:rPr>
        <w:t>a)</w:t>
      </w:r>
      <w:r w:rsidRPr="008725BE">
        <w:rPr>
          <w:rFonts w:ascii="Garamond" w:hAnsi="Garamond"/>
          <w:lang w:val="en-GB"/>
        </w:rPr>
        <w:t xml:space="preserve"> Das Schauen als </w:t>
      </w:r>
      <w:r w:rsidRPr="008725BE">
        <w:rPr>
          <w:rFonts w:ascii="Garamond" w:hAnsi="Garamond"/>
          <w:i/>
          <w:iCs/>
          <w:lang w:val="en-GB"/>
        </w:rPr>
        <w:t>Aktivität</w:t>
      </w:r>
      <w:r w:rsidRPr="008725BE">
        <w:rPr>
          <w:rFonts w:ascii="Garamond" w:hAnsi="Garamond"/>
          <w:lang w:val="en-GB"/>
        </w:rPr>
        <w:t xml:space="preserve"> gegen ein fremdes Objekt gerichtet; </w:t>
      </w:r>
      <w:r w:rsidRPr="008725BE">
        <w:rPr>
          <w:rFonts w:ascii="Garamond" w:hAnsi="Garamond"/>
          <w:i/>
          <w:iCs/>
          <w:lang w:val="en-GB"/>
        </w:rPr>
        <w:t>b)</w:t>
      </w:r>
      <w:r w:rsidRPr="008725BE">
        <w:rPr>
          <w:rFonts w:ascii="Garamond" w:hAnsi="Garamond"/>
          <w:lang w:val="en-GB"/>
        </w:rPr>
        <w:t xml:space="preserve"> das Aufgeben des Objektes, die Wendung des Schautriebes gegen einen Teil des eigenen Körpers, damit die Verkehrung in Passivität und die Aufstellung des neuen Zieles: beschaut zu werden; </w:t>
      </w:r>
      <w:r w:rsidRPr="008725BE">
        <w:rPr>
          <w:rFonts w:ascii="Garamond" w:hAnsi="Garamond"/>
          <w:i/>
          <w:iCs/>
          <w:lang w:val="en-GB"/>
        </w:rPr>
        <w:t>c)</w:t>
      </w:r>
      <w:r w:rsidRPr="008725BE">
        <w:rPr>
          <w:rFonts w:ascii="Garamond" w:hAnsi="Garamond"/>
          <w:lang w:val="en-GB"/>
        </w:rPr>
        <w:t xml:space="preserve"> die Einsetzung eines neuen Subjektes, dem man sich zeigt, um von ihm beschaut zu werden. Es ist auch kaum zweifelhaft, daß das aktive Ziel früher auftritt als das passive, das Schauen dem Beschautwerden vorangeht. Aber eine bedeutsame Abweichung vom Falle des Sadismus liegt darin, daß beim Schautrieb eine noch frühere Stufe als die mit </w:t>
      </w:r>
      <w:r w:rsidRPr="008725BE">
        <w:rPr>
          <w:rFonts w:ascii="Garamond" w:hAnsi="Garamond"/>
          <w:i/>
          <w:iCs/>
          <w:lang w:val="en-GB"/>
        </w:rPr>
        <w:t>a</w:t>
      </w:r>
      <w:r w:rsidRPr="008725BE">
        <w:rPr>
          <w:rFonts w:ascii="Garamond" w:hAnsi="Garamond"/>
          <w:lang w:val="en-GB"/>
        </w:rPr>
        <w:t xml:space="preserve"> bezeichnete zu erkennen ist. Der Schautrieb ist nämlich zu Anfang seiner Betätigung autoerotisch, er hat wohl ein Objekt, aber er findet es am eigenen Körper. Erst späterhin wird er dazu geleitet (auf dem Wege der Vergleichung), dies Objekt mit einem analogen des fremden Körpers zu vertauschen (Stufe  </w:t>
      </w:r>
      <w:r w:rsidRPr="008725BE">
        <w:rPr>
          <w:rFonts w:ascii="Garamond" w:hAnsi="Garamond"/>
          <w:i/>
          <w:iCs/>
          <w:lang w:val="en-GB"/>
        </w:rPr>
        <w:t>a</w:t>
      </w:r>
      <w:r w:rsidRPr="008725BE">
        <w:rPr>
          <w:rFonts w:ascii="Garamond" w:hAnsi="Garamond"/>
          <w:lang w:val="en-GB"/>
        </w:rPr>
        <w:t xml:space="preserve">). Diese Vorstufe ist nun dadurch interessant, daß aus ihr die beiden Situationen des resultierenden Gegensatzpaares hervorgehen, je nachdem der Wechsel an der einen oder anderen Stelle vorgenommen wird. </w:t>
      </w:r>
      <w:r w:rsidRPr="008725BE">
        <w:rPr>
          <w:rFonts w:ascii="Garamond" w:hAnsi="Garamond"/>
        </w:rPr>
        <w:t>Das Schema für den Schautrieb könnte lauten:</w:t>
      </w:r>
    </w:p>
    <w:tbl>
      <w:tblPr>
        <w:tblW w:w="0" w:type="auto"/>
        <w:tblCellSpacing w:w="15" w:type="dxa"/>
        <w:tblInd w:w="360" w:type="dxa"/>
        <w:tblCellMar>
          <w:top w:w="15" w:type="dxa"/>
          <w:left w:w="15" w:type="dxa"/>
          <w:bottom w:w="15" w:type="dxa"/>
          <w:right w:w="15" w:type="dxa"/>
        </w:tblCellMar>
        <w:tblLook w:val="0000"/>
      </w:tblPr>
      <w:tblGrid>
        <w:gridCol w:w="3182"/>
        <w:gridCol w:w="467"/>
        <w:gridCol w:w="2761"/>
      </w:tblGrid>
      <w:tr w:rsidR="008725BE" w:rsidRPr="008725BE" w:rsidTr="005E1D01">
        <w:trPr>
          <w:tblCellSpacing w:w="15" w:type="dxa"/>
        </w:trPr>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α) Selbst ein Sexualglied beschauen</w:t>
            </w: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  =  </w:t>
            </w: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 xml:space="preserve">Sexualglied von eigener Person </w:t>
            </w:r>
            <w:r w:rsidRPr="008725BE">
              <w:rPr>
                <w:rFonts w:ascii="Garamond" w:hAnsi="Garamond"/>
              </w:rPr>
              <w:br/>
              <w:t>beschaut werden</w:t>
            </w:r>
          </w:p>
        </w:tc>
      </w:tr>
      <w:tr w:rsidR="008725BE" w:rsidRPr="008725BE" w:rsidTr="005E1D01">
        <w:trPr>
          <w:tblCellSpacing w:w="15" w:type="dxa"/>
        </w:trPr>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w:t>
            </w: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w:t>
            </w:r>
          </w:p>
        </w:tc>
      </w:tr>
      <w:tr w:rsidR="008725BE" w:rsidRPr="008725BE" w:rsidTr="005E1D01">
        <w:trPr>
          <w:tblCellSpacing w:w="15" w:type="dxa"/>
        </w:trPr>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 xml:space="preserve">β) Selbst fremdes Objekt beschauen </w:t>
            </w:r>
            <w:r w:rsidRPr="008725BE">
              <w:rPr>
                <w:rFonts w:ascii="Garamond" w:hAnsi="Garamond"/>
              </w:rPr>
              <w:br/>
            </w:r>
            <w:r w:rsidRPr="008725BE">
              <w:rPr>
                <w:rFonts w:ascii="Garamond" w:hAnsi="Garamond"/>
              </w:rPr>
              <w:lastRenderedPageBreak/>
              <w:t>(aktive Schaulust)</w:t>
            </w: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 xml:space="preserve">γ) Eigenes Objekt von fremder </w:t>
            </w:r>
            <w:r w:rsidRPr="008725BE">
              <w:rPr>
                <w:rFonts w:ascii="Garamond" w:hAnsi="Garamond"/>
              </w:rPr>
              <w:br/>
            </w:r>
            <w:r w:rsidRPr="008725BE">
              <w:rPr>
                <w:rFonts w:ascii="Garamond" w:hAnsi="Garamond"/>
              </w:rPr>
              <w:lastRenderedPageBreak/>
              <w:t xml:space="preserve">Person beschaut werden. </w:t>
            </w:r>
            <w:r w:rsidRPr="008725BE">
              <w:rPr>
                <w:rFonts w:ascii="Garamond" w:hAnsi="Garamond"/>
              </w:rPr>
              <w:br/>
              <w:t>(Zeigelust, Exhibition).</w:t>
            </w:r>
          </w:p>
        </w:tc>
      </w:tr>
    </w:tbl>
    <w:p w:rsidR="008725BE" w:rsidRPr="008725BE" w:rsidRDefault="008725BE" w:rsidP="008725BE">
      <w:pPr>
        <w:pStyle w:val="Sansinterligne"/>
        <w:rPr>
          <w:rFonts w:ascii="Garamond" w:hAnsi="Garamond"/>
        </w:rPr>
      </w:pPr>
      <w:r w:rsidRPr="008725BE">
        <w:rPr>
          <w:rFonts w:ascii="Garamond" w:hAnsi="Garamond"/>
        </w:rPr>
        <w:lastRenderedPageBreak/>
        <w:t xml:space="preserve">Eine solche Vorstufe fehlt dem Sadismus, der sich von vornherein auf ein fremdes Objekt richtet, obwohl es nicht gerade widersinnig wäre, sie aus den Bemühungen des Kindes, das seiner eigenen Glieder Herr werden will, zu konstruieren </w:t>
      </w:r>
      <w:hyperlink r:id="rId874" w:anchor="#" w:history="1">
        <w:r w:rsidRPr="008725BE">
          <w:rPr>
            <w:rStyle w:val="fusslink"/>
            <w:rFonts w:ascii="Garamond" w:hAnsi="Garamond" w:cs="Arial"/>
            <w:b/>
            <w:bCs/>
            <w:color w:val="003399"/>
          </w:rPr>
          <w:t>[Fußnote]</w:t>
        </w:r>
        <w:r w:rsidRPr="008725BE">
          <w:rPr>
            <w:rStyle w:val="innerfusslink3"/>
            <w:rFonts w:ascii="Garamond" w:hAnsi="Garamond" w:cs="Arial"/>
            <w:b/>
            <w:bCs/>
          </w:rPr>
          <w:t>Siehe Anmerkung 2 auf Seite 91.</w:t>
        </w:r>
      </w:hyperlink>
      <w:r w:rsidRPr="008725BE">
        <w:rPr>
          <w:rFonts w:ascii="Garamond" w:hAnsi="Garamond"/>
        </w:rPr>
        <w:t>.</w:t>
      </w:r>
    </w:p>
    <w:p w:rsidR="008725BE" w:rsidRPr="008725BE" w:rsidRDefault="008725BE" w:rsidP="008725BE">
      <w:pPr>
        <w:pStyle w:val="Sansinterligne"/>
        <w:rPr>
          <w:rFonts w:ascii="Garamond" w:hAnsi="Garamond"/>
          <w:lang w:val="en-US"/>
        </w:rPr>
      </w:pPr>
      <w:r w:rsidRPr="008725BE">
        <w:rPr>
          <w:rFonts w:ascii="Garamond" w:hAnsi="Garamond"/>
        </w:rPr>
        <w:t xml:space="preserve">Für beide hier betrachteten Triebbeispiele gilt die Bemerkung, daß die Triebverwandlung durch Verkehrung der Aktivität in Passivität und Wendung gegen die eigene Person eigentlich niemals am ganzen Betrag der Triebregung vorgenommen wird. </w:t>
      </w:r>
      <w:r w:rsidRPr="008725BE">
        <w:rPr>
          <w:rFonts w:ascii="Garamond" w:hAnsi="Garamond"/>
          <w:lang w:val="en-US"/>
        </w:rPr>
        <w:t>Die ältere, aktive Triebrichtung bleibt in gewissem Ausmaße neben der jüngeren, passiven bestehen, auch wenn der Prozeß der Triebumwandlung sehr ausgiebig ausgefallen ist. Die einzig richtige Aussage über den Schautrieb müßte lauten, daß alle Entwicklungsstufen des Triebes, die autoerotische Vorstufe wie die aktive und passive Endgestaltung nebeneinander bestehenbleiben, und diese Behauptung wird evident, wenn man anstatt der Triebhandlungen den Mechanismus der Befriedigung zur Grundlage seines Urteiles nimmt. Vielleicht ist übrigens noch eine andere Auffassungs- und Darlegungsweise gerechtfertigt. Man kann sich jedes Triebleben in einzelne zeitlich geschiedene und innerhalb der (beliebigen) Zeiteinheit gleichartige Schübe zerlegen, die sich etwa zueinander verhalten wie sukzessive Lavaeruptionen. Dann kann man sich etwa vorstellen, die erste und ursprünglichste Trieberuption setze sich ungeändert fort und erfahre überhaupt keine Entwicklung. Ein nächster Schub unterliege von Anfang an einer Veränderung, etwa der Wendung zur Passivität, und addiere sich nun mit diesem neuen Charakter zum früheren hinzu usw. Überblickt man dann die Triebregung von ihrem Anfang an bis zu einem gewissen Haltepunkt, so muß die beschriebene Sukzession der Schübe das Bild einer bestimmten Entwicklung des Triebes ergeben.</w:t>
      </w:r>
    </w:p>
    <w:p w:rsidR="008725BE" w:rsidRPr="008725BE" w:rsidRDefault="008725BE" w:rsidP="008725BE">
      <w:pPr>
        <w:pStyle w:val="Sansinterligne"/>
        <w:rPr>
          <w:rFonts w:ascii="Garamond" w:hAnsi="Garamond"/>
          <w:lang w:val="en-US"/>
        </w:rPr>
      </w:pPr>
      <w:r w:rsidRPr="008725BE">
        <w:rPr>
          <w:rFonts w:ascii="Garamond" w:hAnsi="Garamond"/>
          <w:lang w:val="en-US"/>
        </w:rPr>
        <w:t xml:space="preserve">Die Tatsache, daß zu jener späteren Zeit der Entwicklung neben einer Triebregung ihr (passiver) Gegensatz zu beobachten ist, verdient die Hervorhebung durch den trefflichen, von Bleuler eingeführten Namen: </w:t>
      </w:r>
      <w:r w:rsidRPr="008725BE">
        <w:rPr>
          <w:rFonts w:ascii="Garamond" w:hAnsi="Garamond"/>
          <w:i/>
          <w:iCs/>
          <w:lang w:val="en-US"/>
        </w:rPr>
        <w:t>Ambivalenz</w:t>
      </w:r>
      <w:r w:rsidRPr="008725BE">
        <w:rPr>
          <w:rFonts w:ascii="Garamond" w:hAnsi="Garamond"/>
          <w:lang w:val="en-US"/>
        </w:rPr>
        <w:t>.</w:t>
      </w:r>
    </w:p>
    <w:p w:rsidR="008725BE" w:rsidRPr="008725BE" w:rsidRDefault="008725BE" w:rsidP="008725BE">
      <w:pPr>
        <w:pStyle w:val="Sansinterligne"/>
        <w:rPr>
          <w:rFonts w:ascii="Garamond" w:hAnsi="Garamond"/>
          <w:lang w:val="en-GB"/>
        </w:rPr>
      </w:pPr>
      <w:r w:rsidRPr="008725BE">
        <w:rPr>
          <w:rFonts w:ascii="Garamond" w:hAnsi="Garamond"/>
          <w:lang w:val="en-US"/>
        </w:rPr>
        <w:t xml:space="preserve">Die Triebentwicklung wäre unserem Verständnis durch den Hinweis auf die Entwicklungsgeschichte des Triebes und die Permanenz der Zwischenstufen nahegerückt. </w:t>
      </w:r>
      <w:r w:rsidRPr="008725BE">
        <w:rPr>
          <w:rFonts w:ascii="Garamond" w:hAnsi="Garamond"/>
          <w:lang w:val="en-GB"/>
        </w:rPr>
        <w:t>Das Ausmaß der nachweisbaren Ambivalenz wechselt erfahrungsgemäß in hohem Grade bei Individuen, Menschengruppen oder Rassen. Eine ausgiebige Triebambivalenz bei einem heute Lebenden kann als archaisches Erbteil aufgefaßt werden, da wir Grund zur Annahme haben, der Anteil der unverwandelten aktiven Regungen am Triebleben sei in Urzeiten größer gewesen als durchschnittlich heute.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haben uns daran gewöhnt, die frühe Entwicklungsphase des Ichs, während welcher dessen Sexualtriebe sich autoerotisch befriedigen, </w:t>
      </w:r>
      <w:r w:rsidRPr="008725BE">
        <w:rPr>
          <w:rFonts w:ascii="Garamond" w:hAnsi="Garamond"/>
          <w:i/>
          <w:iCs/>
          <w:lang w:val="en-GB"/>
        </w:rPr>
        <w:t>Narzißmus</w:t>
      </w:r>
      <w:r w:rsidRPr="008725BE">
        <w:rPr>
          <w:rFonts w:ascii="Garamond" w:hAnsi="Garamond"/>
          <w:lang w:val="en-GB"/>
        </w:rPr>
        <w:t xml:space="preserve"> zu heißen, ohne zunächst die Beziehung zwischen Autoerotismus und Narzißmus in Diskussion zu ziehen. Dann müssen wir von der Vorstufe des Schautriebes, auf der die Schaulust den eigenen Körper zum Objekt hat, sagen, sie gehöre dem Narzißmus an, sei eine narzißtische Bildung. </w:t>
      </w:r>
      <w:r w:rsidRPr="008725BE">
        <w:rPr>
          <w:rFonts w:ascii="Garamond" w:hAnsi="Garamond"/>
        </w:rPr>
        <w:t xml:space="preserve">Aus ihr entwickle sich der aktive Schautrieb, indem er den Narzißmus verläßt, der passive Schautrieb halte aber das narzißtische Objekt fest. Ebenso bedeute die Umwandlung des Sadismus in Masochismus eine Rückkehr zum narzißtischen Objekt, während in beiden Fällen das narzißtische Subjekt durch Identifizierung mit einem anderen, fremden Ich vertauscht wird. Mit Rücksichtnahme auf die konstruierte narzißtische Vorstufe des Sadismus nähern wir uns so der allgemeineren Einsicht, daß die Triebschicksale der Wendung gegen das eigene Ich und der Verkehrung von Aktivität in Passivität von der narzißtischen Organisation des Ichs abhängig sind und den Stempel dieser Phase an sich tragen. </w:t>
      </w:r>
      <w:r w:rsidRPr="008725BE">
        <w:rPr>
          <w:rFonts w:ascii="Garamond" w:hAnsi="Garamond"/>
          <w:lang w:val="en-GB"/>
        </w:rPr>
        <w:t>Sie entsprechen vielleicht den Abwehrversuchen, die auf höheren Stufen der Ichentwicklung mit anderen Mitteln durchgeführt werden.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besinnen uns hier, daß wir bisher nur die zwei Triebgegensatzpaare: Sadismus–Masochismus und Schaulust–Zeigelust in Erörterung gezogen haben. Es sind dies die bestbekannten ambivalent auftretenden Sexualtriebe. Die anderen Komponenten der späteren Sexualfunktion sind der Analyse noch nicht genug zugänglich geworden, um sie in ähnlicher Weise diskutieren zu können. Wir können von ihnen allgemein aussagen, daß sie sich </w:t>
      </w:r>
      <w:r w:rsidRPr="008725BE">
        <w:rPr>
          <w:rFonts w:ascii="Garamond" w:hAnsi="Garamond"/>
          <w:i/>
          <w:iCs/>
          <w:lang w:val="en-GB"/>
        </w:rPr>
        <w:t>autoerotisch</w:t>
      </w:r>
      <w:r w:rsidRPr="008725BE">
        <w:rPr>
          <w:rFonts w:ascii="Garamond" w:hAnsi="Garamond"/>
          <w:lang w:val="en-GB"/>
        </w:rPr>
        <w:t xml:space="preserve"> betätigen, d. h., ihr Objekt verschwindet gegen das Organ, das ihre Quelle ist, und fällt in der Regel mit diesem zusammen. Das Objekt des Schautriebes, obwohl auch zuerst ein Teil des eigenen Körpers, ist doch nicht das Auge selbst, und beim Sadismus weist die Organquelle, wahrscheinlich die aktionsfähige Muskulatur, direkt auf ein anderes Objekt, sei es auch am eigenen Körper, hin. Bei den autoerotischen Trieben ist die Rolle der Organquelle so ausschlaggebend, daß nach einer ansprechenden Vermutung von P. Federn (1913) und L. Jekels (1913) Form und Funktion des Organs über die Aktivität und Passivität des Triebzieles entscheiden.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Die Verwandlung eines Triebes in sein (materielles) Gegenteil wird nur in einem Falle beobachtet, bei der </w:t>
      </w:r>
      <w:r w:rsidRPr="008725BE">
        <w:rPr>
          <w:rFonts w:ascii="Garamond" w:hAnsi="Garamond"/>
          <w:i/>
          <w:iCs/>
          <w:lang w:val="en-GB"/>
        </w:rPr>
        <w:t>Umsetzung von Liebe in Haß</w:t>
      </w:r>
      <w:r w:rsidRPr="008725BE">
        <w:rPr>
          <w:rFonts w:ascii="Garamond" w:hAnsi="Garamond"/>
          <w:lang w:val="en-GB"/>
        </w:rPr>
        <w:t>. Da diese beiden besonders häufig gleichzeitig auf dasselbe Objekt gerichtet vorkommen, ergibt diese Koexistenz auch das bedeutsamste Beispiel einer Gefühlsambivalenz.</w:t>
      </w:r>
    </w:p>
    <w:p w:rsidR="008725BE" w:rsidRPr="008725BE" w:rsidRDefault="008725BE" w:rsidP="008725BE">
      <w:pPr>
        <w:pStyle w:val="Sansinterligne"/>
        <w:rPr>
          <w:rFonts w:ascii="Garamond" w:hAnsi="Garamond"/>
          <w:lang w:val="en-GB"/>
        </w:rPr>
      </w:pPr>
      <w:r w:rsidRPr="008725BE">
        <w:rPr>
          <w:rFonts w:ascii="Garamond" w:hAnsi="Garamond"/>
          <w:lang w:val="en-GB"/>
        </w:rPr>
        <w:t>Der Fall von Liebe und Haß erwirbt ein besonderes Interesse durch den Umstand, daß er der Einreihung in unsere Darstellung der Triebe widerstrebt. Man kann an der innigsten Beziehung zwischen diesen beiden Gefühlsgegensätzen und dem Sexualleben nicht zweifeln, muß sich aber natürlich dagegen sträuben, das Lieben etwa als einen besonderen Partialtrieb der Sexualität wie die anderen aufzufassen. Man möchte eher das Lieben als den Ausdruck der ganzen Sexualstrebung ansehen, kommt aber auch damit nicht zurecht und weiß nicht, wie man ein materielles Gegenteil dieser Strebung verstehen soll.</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Lieben ist nicht nur eines, sondern dreier Gegensätze fähig. Außer dem Gegensatz: lieben–hassen gibt es den anderen: lieben–geliebt werden, und überdies setzen sich lieben und hassen zusammengenommen dem Zustande der Indifferenz oder Gleichgültigkeit entgegen. Von diesen drei Gegensätzen entspricht der zweite, der von lieben–geliebt werden, durchaus der Wendung von der Aktivität zur Passivität und läßt auch die nämliche Zurückführung auf eine Grundsituation wie beim Schautrieb zu. Diese heißt: </w:t>
      </w:r>
      <w:r w:rsidRPr="008725BE">
        <w:rPr>
          <w:rFonts w:ascii="Garamond" w:hAnsi="Garamond"/>
          <w:i/>
          <w:iCs/>
          <w:lang w:val="en-GB"/>
        </w:rPr>
        <w:t>sich selbst lieben</w:t>
      </w:r>
      <w:r w:rsidRPr="008725BE">
        <w:rPr>
          <w:rFonts w:ascii="Garamond" w:hAnsi="Garamond"/>
          <w:lang w:val="en-GB"/>
        </w:rPr>
        <w:t>, was für uns die Charakteristik des Narzißmus ist. Je nachdem nun das Objekt oder das Subjekt gegen ein fremdes vertauscht wird, ergibt sich die aktive Zielstrebung des Liebens oder die passive des Geliebtwerdens, von denen die letztere dem Narzißmus nahe verbleibt.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Vielleicht kommt man dem Verständnis der mehrfachen Gegenteile des Liebens näher, wenn man sich besinnt, daß das seelische Leben überhaupt von </w:t>
      </w:r>
      <w:r w:rsidRPr="008725BE">
        <w:rPr>
          <w:rFonts w:ascii="Garamond" w:hAnsi="Garamond"/>
          <w:i/>
          <w:iCs/>
          <w:lang w:val="en-GB"/>
        </w:rPr>
        <w:t>drei Polaritäten</w:t>
      </w:r>
      <w:r w:rsidRPr="008725BE">
        <w:rPr>
          <w:rFonts w:ascii="Garamond" w:hAnsi="Garamond"/>
          <w:lang w:val="en-GB"/>
        </w:rPr>
        <w:t xml:space="preserve"> beherrscht wird, den Gegensätzen von:</w:t>
      </w:r>
    </w:p>
    <w:p w:rsidR="008725BE" w:rsidRPr="008725BE" w:rsidRDefault="008725BE" w:rsidP="008725BE">
      <w:pPr>
        <w:pStyle w:val="Sansinterligne"/>
        <w:rPr>
          <w:rFonts w:ascii="Garamond" w:hAnsi="Garamond"/>
          <w:lang w:val="en-GB"/>
        </w:rPr>
      </w:pPr>
      <w:r w:rsidRPr="008725BE">
        <w:rPr>
          <w:rFonts w:ascii="Garamond" w:hAnsi="Garamond"/>
          <w:i/>
          <w:iCs/>
          <w:lang w:val="en-GB"/>
        </w:rPr>
        <w:t>Subjekt (Ich)–Objekt (Außenwelt)</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i/>
          <w:iCs/>
          <w:lang w:val="en-GB"/>
        </w:rPr>
        <w:t>Lust–Unlust</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i/>
          <w:iCs/>
          <w:lang w:val="en-GB"/>
        </w:rPr>
        <w:t>Aktiv–Passiv</w:t>
      </w:r>
      <w:r w:rsidRPr="008725BE">
        <w:rPr>
          <w:rFonts w:ascii="Garamond" w:hAnsi="Garamond"/>
          <w:lang w:val="en-GB"/>
        </w:rPr>
        <w:t>.</w:t>
      </w:r>
    </w:p>
    <w:p w:rsidR="008725BE" w:rsidRPr="008725BE" w:rsidRDefault="008725BE" w:rsidP="008725BE">
      <w:pPr>
        <w:pStyle w:val="Sansinterligne"/>
        <w:rPr>
          <w:rFonts w:ascii="Garamond" w:hAnsi="Garamond"/>
        </w:rPr>
      </w:pPr>
      <w:r w:rsidRPr="008725BE">
        <w:rPr>
          <w:rFonts w:ascii="Garamond" w:hAnsi="Garamond"/>
          <w:lang w:val="en-GB"/>
        </w:rPr>
        <w:t xml:space="preserve">Der Gegensatz von Ich–Nicht-Ich (Außen), (Subjekt–Objekt), wird dem Einzelwesen, wie wir bereits erwähnt haben, frühzeitig aufgedrängt durch die Erfahrung, daß es Außenreize durch seine Muskelaktion zum Schweigen bringen kann, gegen Triebreize aber wehrlos ist. Er bleibt vor allem in der intellektuellen Betätigung souverän und schafft die Grundsituation für die Forschung, die durch kein Bemühen abgeändert werden kann. Die Polarität von Lust–Unlust haftet an einer Empfindungsreihe, deren unübertroffene Bedeutung für die Entscheidung unserer Aktionen (Wille) bereits betont worden ist. </w:t>
      </w:r>
      <w:r w:rsidRPr="008725BE">
        <w:rPr>
          <w:rFonts w:ascii="Garamond" w:hAnsi="Garamond"/>
        </w:rPr>
        <w:t xml:space="preserve">Der Gegensatz von Aktiv–Passiv ist nicht mit dem von Ich-Subjekt–Außen-Objekt zu verwechseln. Das Ich verhält sich passiv gegen die Außenwelt, insoweit es Reize von ihr empfängt, aktiv, wenn es auf dieselben reagiert. Zu ganz besonderer </w:t>
      </w:r>
      <w:r w:rsidRPr="008725BE">
        <w:rPr>
          <w:rFonts w:ascii="Garamond" w:hAnsi="Garamond"/>
          <w:i/>
          <w:iCs/>
        </w:rPr>
        <w:t>Aktivität</w:t>
      </w:r>
      <w:r w:rsidRPr="008725BE">
        <w:rPr>
          <w:rFonts w:ascii="Garamond" w:hAnsi="Garamond"/>
        </w:rPr>
        <w:t xml:space="preserve"> gegen die Außenwelt wird es durch seine Triebe gezwungen, so daß man unter Hervorhebung des Wesentlichen sagen könnte: Das Ich-Subjekt sei passiv gegen die äußeren Reize, aktiv durch seine eigenen Triebe. Der Gegensatz Aktiv–Passiv verschmilzt späterhin mit dem von Männlich–Weiblich, der, ehe dies geschehen ist, keine psychologische Bedeutung hat. Die Verlötung der Aktivität mit der Männlichkeit, der Passivität mit der Weiblichkeit tritt uns nämlich als biologische Tatsache entgegen; sie ist aber keineswegs so regelmäßig durchgreifend und ausschließlich, wie wir anzunehmen geneigt sind.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drei seelischen Polaritäten gehen die bedeutsamsten Verknüpfungen miteinander ein. Es gibt eine psychische Ursituation, in welcher zwei derselben zusammentreffen. Das Ich findet sich ursprünglich, zu allem Anfang des Seelenlebens, triebbesetzt und zum Teil fähig, seine Triebe an sich selbst zu befriedigen. Wir heißen diesen Zustand den des Narzißmus, die Befriedigungsmöglichkeit die autoerotische </w:t>
      </w:r>
      <w:hyperlink r:id="rId87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Ein Anteil der Sexualtriebe ist, wie wir wissen, dieser autoerotischen Befriedigung fähig, eignet sich also zum Träger der nachstehend geschilderten Entwicklung unter der Herrschaft des Lustprinzips. Die Sexualtriebe, welche von vornherein ein Objekt fordern, und die autoerotisch niemals zu befriedigenden Bedürfnisse der Ichtriebe stören natürlich diesen Zustand und bereiten die Fortschritte vor. Ja, der narzißtische Urzustand könnte nicht jene Entwicklung nehmen, wenn nicht jedes Einzelwesen eine Periode von </w:t>
        </w:r>
        <w:r w:rsidRPr="008725BE">
          <w:rPr>
            <w:rStyle w:val="innerfusslink3"/>
            <w:rFonts w:ascii="Garamond" w:hAnsi="Garamond" w:cs="Arial"/>
            <w:b/>
            <w:bCs/>
            <w:i/>
            <w:iCs/>
            <w:lang w:val="en-GB"/>
          </w:rPr>
          <w:t>Hilflosigkeit</w:t>
        </w:r>
        <w:r w:rsidRPr="008725BE">
          <w:rPr>
            <w:rStyle w:val="innerfusslink3"/>
            <w:rFonts w:ascii="Garamond" w:hAnsi="Garamond" w:cs="Arial"/>
            <w:b/>
            <w:bCs/>
            <w:lang w:val="en-GB"/>
          </w:rPr>
          <w:t xml:space="preserve"> und </w:t>
        </w:r>
        <w:r w:rsidRPr="008725BE">
          <w:rPr>
            <w:rStyle w:val="innerfusslink3"/>
            <w:rFonts w:ascii="Garamond" w:hAnsi="Garamond" w:cs="Arial"/>
            <w:b/>
            <w:bCs/>
            <w:i/>
            <w:iCs/>
            <w:lang w:val="en-GB"/>
          </w:rPr>
          <w:t>Pflege</w:t>
        </w:r>
        <w:r w:rsidRPr="008725BE">
          <w:rPr>
            <w:rStyle w:val="innerfusslink3"/>
            <w:rFonts w:ascii="Garamond" w:hAnsi="Garamond" w:cs="Arial"/>
            <w:b/>
            <w:bCs/>
            <w:lang w:val="en-GB"/>
          </w:rPr>
          <w:t xml:space="preserve"> durchmachte, währenddessen seine drängenden Bedürfnisse durch Dazutun von außen befriedigt und somit von der Entwicklung abgehalten würden.</w:t>
        </w:r>
      </w:hyperlink>
      <w:r w:rsidRPr="008725BE">
        <w:rPr>
          <w:rFonts w:ascii="Garamond" w:hAnsi="Garamond"/>
          <w:lang w:val="en-GB"/>
        </w:rPr>
        <w:t>. Die Außenwelt ist derzeit nicht mit Interesse (allgemein gesprochen) besetzt und für die Befriedigung gleichgültig. Es fällt also um diese Zeit das Ich-Subjekt mit dem Lustvollen, die Außenwelt mit dem Gleichgültigen (eventuell als Reizquelle Unlustvollen) zusammen. Definieren wir zunächst das Lieben als die Relation des Ichs zu seinen Lustquellen, so erläutert die Situation, in der es nur sich selbst liebt und gegen die Welt gleichgültig ist, die erste der Gegensatzbeziehungen, in denen wir das »Lieben« gefunden haben.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Ich bedarf der Außenwelt nicht, insofern es autoerotisch ist, es bekommt aber Objekte aus ihr infolge der Erlebnisse der Icherhaltungstriebe und kann doch nicht umhin, innere Triebreize als unlustvoll für </w:t>
      </w:r>
      <w:r w:rsidRPr="008725BE">
        <w:rPr>
          <w:rFonts w:ascii="Garamond" w:hAnsi="Garamond"/>
          <w:lang w:val="en-GB"/>
        </w:rPr>
        <w:lastRenderedPageBreak/>
        <w:t>eine Zeit zu verspüren. Unter der Herrschaft des Lustprinzips vollzieht sich nun in ihm eine weitere Entwicklung. Es nimmt die dargebotenen Objekte, insofern sie Lustquellen sind, in sein Ich auf, introjiziert sich dieselben (nach dem Ausdrucke Ferenczis) und stößt anderseits von sich aus, was ihm im eigenen Innern Unlustanlaß wird. (Siehe später den Mechanismus der Projektion.)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wandelt sich so aus dem anfänglichen Real-Ich, welches Innen und Außen nach einem guten objektiven Kennzeichen unterschieden hat, in ein purifiziertes </w:t>
      </w:r>
      <w:r w:rsidRPr="008725BE">
        <w:rPr>
          <w:rFonts w:ascii="Garamond" w:hAnsi="Garamond"/>
          <w:i/>
          <w:iCs/>
          <w:lang w:val="en-GB"/>
        </w:rPr>
        <w:t>Lust-Ich</w:t>
      </w:r>
      <w:r w:rsidRPr="008725BE">
        <w:rPr>
          <w:rFonts w:ascii="Garamond" w:hAnsi="Garamond"/>
          <w:lang w:val="en-GB"/>
        </w:rPr>
        <w:t>, welches den Lustcharakter über jeden anderen setzt. Die Außenwelt zerfällt ihm in einen Lustanteil, den es sich einverleibt hat, und einen Rest, der ihm fremd ist. Aus dem eigenen Ich hat es einen Bestandteil ausgesondert, den es in die Außenwelt wirft und als feindlich empfindet. Nach dieser Umordnung ist die Deckung der beiden Polaritäten</w:t>
      </w:r>
    </w:p>
    <w:p w:rsidR="008725BE" w:rsidRPr="008725BE" w:rsidRDefault="008725BE" w:rsidP="008725BE">
      <w:pPr>
        <w:pStyle w:val="Sansinterligne"/>
        <w:rPr>
          <w:rFonts w:ascii="Garamond" w:hAnsi="Garamond"/>
          <w:lang w:val="en-GB"/>
        </w:rPr>
      </w:pPr>
      <w:r w:rsidRPr="008725BE">
        <w:rPr>
          <w:rFonts w:ascii="Garamond" w:hAnsi="Garamond"/>
          <w:lang w:val="en-GB"/>
        </w:rPr>
        <w:t>Ich-Subjekt – mit Lust</w:t>
      </w:r>
    </w:p>
    <w:p w:rsidR="008725BE" w:rsidRPr="008725BE" w:rsidRDefault="008725BE" w:rsidP="008725BE">
      <w:pPr>
        <w:pStyle w:val="Sansinterligne"/>
        <w:rPr>
          <w:rFonts w:ascii="Garamond" w:hAnsi="Garamond"/>
          <w:lang w:val="en-GB"/>
        </w:rPr>
      </w:pPr>
      <w:r w:rsidRPr="008725BE">
        <w:rPr>
          <w:rFonts w:ascii="Garamond" w:hAnsi="Garamond"/>
          <w:lang w:val="en-GB"/>
        </w:rPr>
        <w:t>Außenwelt – mit Unlust (von früher her Indifferenz)</w:t>
      </w:r>
    </w:p>
    <w:p w:rsidR="008725BE" w:rsidRPr="008725BE" w:rsidRDefault="008725BE" w:rsidP="008725BE">
      <w:pPr>
        <w:pStyle w:val="Sansinterligne"/>
        <w:rPr>
          <w:rFonts w:ascii="Garamond" w:hAnsi="Garamond"/>
        </w:rPr>
      </w:pPr>
      <w:r w:rsidRPr="008725BE">
        <w:rPr>
          <w:rFonts w:ascii="Garamond" w:hAnsi="Garamond"/>
        </w:rPr>
        <w:t>wiederhergestellt.</w:t>
      </w:r>
    </w:p>
    <w:p w:rsidR="008725BE" w:rsidRPr="008725BE" w:rsidRDefault="008725BE" w:rsidP="008725BE">
      <w:pPr>
        <w:pStyle w:val="Sansinterligne"/>
        <w:rPr>
          <w:rFonts w:ascii="Garamond" w:hAnsi="Garamond"/>
        </w:rPr>
      </w:pPr>
      <w:r w:rsidRPr="008725BE">
        <w:rPr>
          <w:rFonts w:ascii="Garamond" w:hAnsi="Garamond"/>
        </w:rPr>
        <w:t>Mit dem Eintreten des Objekts in die Stufe des primären Narzißmus erreicht auch der zweite Gegensinn des Liebens, das Hassen, seine Ausbildung.</w:t>
      </w:r>
    </w:p>
    <w:p w:rsidR="008725BE" w:rsidRPr="008725BE" w:rsidRDefault="008725BE" w:rsidP="008725BE">
      <w:pPr>
        <w:pStyle w:val="Sansinterligne"/>
        <w:rPr>
          <w:rFonts w:ascii="Garamond" w:hAnsi="Garamond"/>
          <w:lang w:val="en-GB"/>
        </w:rPr>
      </w:pPr>
      <w:r w:rsidRPr="008725BE">
        <w:rPr>
          <w:rFonts w:ascii="Garamond" w:hAnsi="Garamond"/>
        </w:rPr>
        <w:t xml:space="preserve">Das Objekt wird dem Ich, wie wir gehört haben, zuerst von den Selbsterhaltungstrieben aus der Außenwelt gebracht, und es ist nicht abzuweisen, daß auch der ursprüngliche Sinn des Hassens die Relation gegen die fremde und reizzuführende Außenwelt bedeutet. </w:t>
      </w:r>
      <w:r w:rsidRPr="008725BE">
        <w:rPr>
          <w:rFonts w:ascii="Garamond" w:hAnsi="Garamond"/>
          <w:lang w:val="en-GB"/>
        </w:rPr>
        <w:t>Die Indifferenz ordnet sich dem Haß, der Abneigung, als Spezialfall ein, nachdem sie zuerst als dessen Vorläufer aufgetreten ist. Das Äußere, das Objekt, das Gehaßte wären zu allem Anfang identisch. Erweist sich späterhin das Objekt als Lustquelle, so wird es geliebt, aber auch dem Ich einverleibt, so daß für das purifizierte Lust-Ich das Objekt doch wiederum mit dem Fremden und Gehaßten zusammenfällt.</w:t>
      </w:r>
    </w:p>
    <w:p w:rsidR="008725BE" w:rsidRPr="008725BE" w:rsidRDefault="008725BE" w:rsidP="008725BE">
      <w:pPr>
        <w:pStyle w:val="Sansinterligne"/>
        <w:rPr>
          <w:rFonts w:ascii="Garamond" w:hAnsi="Garamond"/>
          <w:lang w:val="en-GB"/>
        </w:rPr>
      </w:pPr>
      <w:r w:rsidRPr="008725BE">
        <w:rPr>
          <w:rFonts w:ascii="Garamond" w:hAnsi="Garamond"/>
          <w:lang w:val="en-GB"/>
        </w:rPr>
        <w:t>Wir merken aber jetzt auch, wie das Gegensatzpaar Liebe–Indifferenz die Polarität Ich–Außenwelt spiegelt, so reproduziert der zweite Gegensatz Liebe–Haß die mit der ersteren verknüpfte Polarität von Lust–Unlust. Nach der Ablösung der rein narzißtischen Stufe durch die Objektstufe bedeuten Lust und Unlust Relationen des Ichs zum Objekt. Wenn das Objekt die Quelle von Lustempfindungen wird, so stellt sich eine motorische Tendenz heraus, welche dasselbe dem Ich annähern, ins Ich einverleiben will; wir sprechen dann auch von der »Anziehung«, die das lustspendende Objekt ausübt, und sagen, daß wir das Objekt »lieben«. Umgekehrt, wenn das Objekt Quelle von Unlustempfindungen ist, bestrebt sich eine Tendenz, die Distanz zwischen ihm und dem Ich zu vergrößern, den ursprünglichen Fluchtversuch vor der reizausschickenden Außenwelt an ihm zu wiederholen. Wir empfinden die »Abstoßung« des Objekts und hassen es; dieser Haß kann sich dann zur Aggressionsneigung gegen das Objekt, zur Absicht, es zu vernichten, steigern.</w:t>
      </w:r>
    </w:p>
    <w:p w:rsidR="008725BE" w:rsidRPr="008725BE" w:rsidRDefault="008725BE" w:rsidP="008725BE">
      <w:pPr>
        <w:pStyle w:val="Sansinterligne"/>
        <w:rPr>
          <w:rFonts w:ascii="Garamond" w:hAnsi="Garamond"/>
          <w:lang w:val="en-GB"/>
        </w:rPr>
      </w:pPr>
      <w:r w:rsidRPr="008725BE">
        <w:rPr>
          <w:rFonts w:ascii="Garamond" w:hAnsi="Garamond"/>
          <w:lang w:val="en-GB"/>
        </w:rPr>
        <w:t>Man könnte zur Not von einem Trieb aussagen, daß er das Objekt »liebt«, nach dem er zu seiner Befriedigung strebt. Daß ein Trieb ein Objekt »haßt«, klingt uns aber befremdend, so daß wir aufmerksam werden, die Beziehungen Liebe und Haß seien nicht für die Relationen der Triebe zu ihren Objekten verwendbar, sondern für die Relation des Gesamt-Ichs zu den Objekten reserviert. Die Beobachtung des gewiß sinnvollen Sprachgebrauches zeigt uns aber eine weitere Einschränkung in der Bedeutung von Liebe und Haß. Von den Objekten, welche der Icherhaltung dienen, sagt man nicht aus, daß man sie liebt, sondern betont, daß man ihrer bedarf, und gibt etwa einem Zusatz von andersartiger Relation Ausdruck, indem man Worte gebraucht, die ein sehr abgeschwächtes Lieben andeuten, wie: gerne haben, gerne sehen, angenehm finden.</w:t>
      </w:r>
    </w:p>
    <w:p w:rsidR="008725BE" w:rsidRPr="008725BE" w:rsidRDefault="008725BE" w:rsidP="008725BE">
      <w:pPr>
        <w:pStyle w:val="Sansinterligne"/>
        <w:rPr>
          <w:rFonts w:ascii="Garamond" w:hAnsi="Garamond"/>
          <w:lang w:val="en-GB"/>
        </w:rPr>
      </w:pPr>
      <w:r w:rsidRPr="008725BE">
        <w:rPr>
          <w:rFonts w:ascii="Garamond" w:hAnsi="Garamond"/>
          <w:lang w:val="en-GB"/>
        </w:rPr>
        <w:t>Das Wort »lieben« rückt also immer mehr in die Sphäre der reinen Lustbeziehung des Ichs zum Objekt und fixiert sich schließlich an die Sexualobjekte im engeren Sinne und an solche Objekte, welche die Bedürfnisse sublimierter Sexualtriebe befriedigen. Die Scheidung der Ichtriebe von den Sexualtrieben, welche wir unserer Psychologie aufgedrängt haben, erweist sich so als konform mit dem Geiste unserer Sprache. Wenn wir nicht gewohnt sind zu sagen, der einzelne Sexualtrieb liebe sein Objekt, aber die adäquateste Verwendung des Wortes »lieben« in der Beziehung des Ichs zu seinem Sexualobjekt finden, so lehrt uns diese Beobachtung, daß dessen Verwendbarkeit in dieser Relation erst mit der Synthese aller Partialtriebe der Sexualität unter dem Primat der Genitalien und im Dienste der Fortpflanzungsfunktion beginnt.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bemerkenswert, daß im Gebrauche des Wortes »hassen« keine so innige Beziehung zur Sexuallust und Sexualfunktion zum Vorschein kommt, sondern die Unlustrelation die einzig entscheidende scheint. Das Ich haßt, verabscheut, verfolgt mit Zerstörungsabsichten alle Objekte, die ihm zur Quelle von Unlustempfindungen werden, gleichgültig ob sie ihm eine Versagung sexueller Befriedigung oder der Befriedigung von Erhaltungsbedürfnissen bedeuten. Ja, man kann behaupten, daß die richtigen Vorbilder </w:t>
      </w:r>
      <w:r w:rsidRPr="008725BE">
        <w:rPr>
          <w:rFonts w:ascii="Garamond" w:hAnsi="Garamond"/>
          <w:lang w:val="en-GB"/>
        </w:rPr>
        <w:lastRenderedPageBreak/>
        <w:t>für die Haßrelation nicht aus dem Sexualleben, sondern aus dem Ringen des Ichs um seine Erhaltung und Behauptung stammen.</w:t>
      </w:r>
    </w:p>
    <w:p w:rsidR="008725BE" w:rsidRPr="008725BE" w:rsidRDefault="008725BE" w:rsidP="008725BE">
      <w:pPr>
        <w:pStyle w:val="Sansinterligne"/>
        <w:rPr>
          <w:rFonts w:ascii="Garamond" w:hAnsi="Garamond"/>
          <w:lang w:val="en-GB"/>
        </w:rPr>
      </w:pPr>
      <w:r w:rsidRPr="008725BE">
        <w:rPr>
          <w:rFonts w:ascii="Garamond" w:hAnsi="Garamond"/>
          <w:lang w:val="en-GB"/>
        </w:rPr>
        <w:t>Liebe und Haß, die sich uns als volle materielle Gegensätze vorstellen, stehen also doch in keiner einfachen Beziehung zueinander. Sie sind nicht aus der Spaltung eines Urgemeinsamen hervorgegangen, sondern haben verschiedene Ursprünge und haben ein jedes seine eigene Entwicklung durchgemacht, bevor sie sich unter dem Einfluß der Lust-Unlustrelation zu Gegensätzen formiert haben. Es erwächst uns hier die Aufgabe zusammenzustellen, was wir von der Genese von Liebe und Haß wissen.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Liebe stammt von der Fähigkeit des Ichs, einen Anteil seiner Triebregungen autoerotisch, durch die Gewinnung von Organlust zu befriedigen. Sie ist ursprünglich narzißtisch, übergeht dann auf die Objekte, die dem erweiterten Ich einverleibt worden sind, und drückt das motorische Streben des Ichs nach diesen Objekten als Lustquellen aus. Sie verknüpft sich innig mit der Betätigung der späteren Sexualtriebe und fällt, wenn deren Synthese vollzogen ist, mit dem Ganzen der Sexualstrebung zusammen. Vorstufen des Liebens ergeben sich als vorläufige Sexualziele, während die Sexualtriebe ihre komplizierte Entwicklung durchlaufen. Als erste derselben erkennen wir das </w:t>
      </w:r>
      <w:r w:rsidRPr="008725BE">
        <w:rPr>
          <w:rFonts w:ascii="Garamond" w:hAnsi="Garamond"/>
          <w:i/>
          <w:iCs/>
          <w:lang w:val="en-GB"/>
        </w:rPr>
        <w:t>Sicheinverleiben</w:t>
      </w:r>
      <w:r w:rsidRPr="008725BE">
        <w:rPr>
          <w:rFonts w:ascii="Garamond" w:hAnsi="Garamond"/>
          <w:lang w:val="en-GB"/>
        </w:rPr>
        <w:t xml:space="preserve"> oder </w:t>
      </w:r>
      <w:r w:rsidRPr="008725BE">
        <w:rPr>
          <w:rFonts w:ascii="Garamond" w:hAnsi="Garamond"/>
          <w:i/>
          <w:iCs/>
          <w:lang w:val="en-GB"/>
        </w:rPr>
        <w:t>Fressen</w:t>
      </w:r>
      <w:r w:rsidRPr="008725BE">
        <w:rPr>
          <w:rFonts w:ascii="Garamond" w:hAnsi="Garamond"/>
          <w:lang w:val="en-GB"/>
        </w:rPr>
        <w:t>, eine Art der Liebe, welche mit der Aufhebung der Sonderexistenz des Objekts vereinbar ist, also als ambivalent bezeichnet werden kann. Auf der höheren Stufe der prägenitalen sadistisch-analen Organisation tritt das Streben nach dem Objekt in der Form des Bemächtigungsdranges auf, dem die Schädigung oder Vernichtung des Objekts gleichgültig ist. Diese Form und Vorstufe der Liebe ist in ihrem Verhalten gegen das Objekt vom Haß kaum zu unterscheiden. Erst mit der Herstellung der Genitalorganisation ist die Liebe zum Gegensatz vom Haß geworden.</w:t>
      </w:r>
    </w:p>
    <w:p w:rsidR="008725BE" w:rsidRPr="008725BE" w:rsidRDefault="008725BE" w:rsidP="008725BE">
      <w:pPr>
        <w:pStyle w:val="Sansinterligne"/>
        <w:rPr>
          <w:rFonts w:ascii="Garamond" w:hAnsi="Garamond"/>
          <w:lang w:val="en-GB"/>
        </w:rPr>
      </w:pPr>
      <w:r w:rsidRPr="008725BE">
        <w:rPr>
          <w:rFonts w:ascii="Garamond" w:hAnsi="Garamond"/>
          <w:lang w:val="en-GB"/>
        </w:rPr>
        <w:t>Der Haß ist als Relation zum Objekt älter als die Liebe, er entspringt der uranfänglichen Ablehnung der reizspendenden Außenwelt von Seiten des narzißtischen Ichs. Als Äußerung der durch Objekte hervorgerufenen Unlustreaktion bleibt er immer in inniger Beziehung zu den Trieben der Icherhaltung, so daß Ichtriebe und Sexualtriebe leicht in einen Gegensatz geraten können, der den von Hassen und Lieben wiederholt. Wenn die Ichtriebe die Sexualfunktion beherrschen wie auf der Stufe der sadistisch-analen Organisation, so leihen sie auch dem Triebziel die Charaktere des Hasses.</w:t>
      </w:r>
    </w:p>
    <w:p w:rsidR="008725BE" w:rsidRPr="008725BE" w:rsidRDefault="008725BE" w:rsidP="008725BE">
      <w:pPr>
        <w:pStyle w:val="Sansinterligne"/>
        <w:rPr>
          <w:rFonts w:ascii="Garamond" w:hAnsi="Garamond"/>
          <w:lang w:val="en-GB"/>
        </w:rPr>
      </w:pPr>
      <w:r w:rsidRPr="008725BE">
        <w:rPr>
          <w:rFonts w:ascii="Garamond" w:hAnsi="Garamond"/>
          <w:lang w:val="en-GB"/>
        </w:rPr>
        <w:t>Die Entstehungs- und Beziehungsgeschichte der Liebe macht es uns verständlich, daß sie so häufig »ambivalent«, d. h. in Begleitung von Haßregungen gegen das nämliche Objekt auftritt. Der der Liebe beigemengte Haß rührt zum Teil von den nicht völlig überwundenen Vorstufen des Liebens her, zum anderen Teil begründet er sich durch Ablehnungsreaktionen der Ichtriebe, die sich bei den häufigen Konflikten zwischen Ich- und Liebesinteressen auf reale und aktuelle Motive berufen können. In beiden Fällen geht also der beigemengte Haß auf die Quelle der Icherhaltungstriebe zurück. Wenn die Liebesbeziehung zu einem bestimmten Objekt abgebrochen wird, so tritt nicht selten Haß an deren Stelle, woraus wir den Eindruck einer Verwandlung der Liebe in Haß empfangen. Über diese Deskription hinaus führt dann die Auffassung, daß dabei der real motivierte Haß durch die Regression des Liebens auf die sadistische Vorstufe verstärkt wird, so daß das Hassen einen erotischen Charakter erhält und die Kontinuität einer Liebesbeziehung gewährleistet wird.</w:t>
      </w:r>
    </w:p>
    <w:p w:rsidR="008725BE" w:rsidRPr="008725BE" w:rsidRDefault="008725BE" w:rsidP="008725BE">
      <w:pPr>
        <w:pStyle w:val="Sansinterligne"/>
        <w:rPr>
          <w:rFonts w:ascii="Garamond" w:hAnsi="Garamond"/>
          <w:lang w:val="en-GB"/>
        </w:rPr>
      </w:pPr>
      <w:r w:rsidRPr="008725BE">
        <w:rPr>
          <w:rFonts w:ascii="Garamond" w:hAnsi="Garamond"/>
          <w:lang w:val="en-GB"/>
        </w:rPr>
        <w:t>Die dritte Gegensätzlichkeit des Liebens, die Verwandlung des Liebens in ein Geliebtwerden, entspricht der Einwirkung der Polarität von Aktivität und Passivität und unterliegt derselben Beurteilung wie die Fälle des Schautriebes und des Sadismus.</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dürfen zusammenfassend hervorheben, die Triebschicksale bestehen im wesentlichen darin, daß die </w:t>
      </w:r>
      <w:r w:rsidRPr="008725BE">
        <w:rPr>
          <w:rFonts w:ascii="Garamond" w:hAnsi="Garamond"/>
          <w:i/>
          <w:iCs/>
          <w:lang w:val="en-GB"/>
        </w:rPr>
        <w:t>Triebregungen den Einflüssen der drei großen das Seelenleben beherrschenden Polaritäten unterzogen werden</w:t>
      </w:r>
      <w:r w:rsidRPr="008725BE">
        <w:rPr>
          <w:rFonts w:ascii="Garamond" w:hAnsi="Garamond"/>
          <w:lang w:val="en-GB"/>
        </w:rPr>
        <w:t xml:space="preserve">. Von diesen drei Polaritäten könnte man die der Aktivität–Passivität als die </w:t>
      </w:r>
      <w:r w:rsidRPr="008725BE">
        <w:rPr>
          <w:rFonts w:ascii="Garamond" w:hAnsi="Garamond"/>
          <w:i/>
          <w:iCs/>
          <w:lang w:val="en-GB"/>
        </w:rPr>
        <w:t>biologische,</w:t>
      </w:r>
      <w:r w:rsidRPr="008725BE">
        <w:rPr>
          <w:rFonts w:ascii="Garamond" w:hAnsi="Garamond"/>
          <w:lang w:val="en-GB"/>
        </w:rPr>
        <w:t xml:space="preserve"> die von Ich–Außenwelt als die </w:t>
      </w:r>
      <w:r w:rsidRPr="008725BE">
        <w:rPr>
          <w:rFonts w:ascii="Garamond" w:hAnsi="Garamond"/>
          <w:i/>
          <w:iCs/>
          <w:lang w:val="en-GB"/>
        </w:rPr>
        <w:t>reale</w:t>
      </w:r>
      <w:r w:rsidRPr="008725BE">
        <w:rPr>
          <w:rFonts w:ascii="Garamond" w:hAnsi="Garamond"/>
          <w:lang w:val="en-GB"/>
        </w:rPr>
        <w:t xml:space="preserve">, endlich die von Lust–Unlust als die </w:t>
      </w:r>
      <w:r w:rsidRPr="008725BE">
        <w:rPr>
          <w:rFonts w:ascii="Garamond" w:hAnsi="Garamond"/>
          <w:i/>
          <w:iCs/>
          <w:lang w:val="en-GB"/>
        </w:rPr>
        <w:t>ökonomische</w:t>
      </w:r>
      <w:r w:rsidRPr="008725BE">
        <w:rPr>
          <w:rFonts w:ascii="Garamond" w:hAnsi="Garamond"/>
          <w:lang w:val="en-GB"/>
        </w:rPr>
        <w:t xml:space="preserve"> bezeichnen.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Triebschicksal der </w:t>
      </w:r>
      <w:r w:rsidRPr="008725BE">
        <w:rPr>
          <w:rFonts w:ascii="Garamond" w:hAnsi="Garamond"/>
          <w:i/>
          <w:iCs/>
          <w:lang w:val="en-GB"/>
        </w:rPr>
        <w:t>Verdrängung</w:t>
      </w:r>
      <w:r w:rsidRPr="008725BE">
        <w:rPr>
          <w:rFonts w:ascii="Garamond" w:hAnsi="Garamond"/>
          <w:lang w:val="en-GB"/>
        </w:rPr>
        <w:t xml:space="preserve"> wird den Gegenstand einer anschließenden Untersuchung bilden.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87" w:name="KS52"/>
        <w:bookmarkEnd w:id="187"/>
        <w:r w:rsidRPr="008725BE">
          <w:rPr>
            <w:rStyle w:val="Lienhypertexte"/>
            <w:rFonts w:ascii="Garamond" w:hAnsi="Garamond"/>
            <w:b/>
            <w:lang w:val="en-GB"/>
          </w:rPr>
          <w:t>er den Gegensinn der Urworte</w:t>
        </w:r>
      </w:hyperlink>
      <w:r w:rsidRPr="008725BE">
        <w:rPr>
          <w:rFonts w:ascii="Garamond" w:hAnsi="Garamond"/>
          <w:lang w:val="en-GB"/>
        </w:rPr>
        <w:t xml:space="preserve">  </w:t>
      </w:r>
      <w:r w:rsidRPr="008725BE">
        <w:rPr>
          <w:rFonts w:ascii="Garamond" w:hAnsi="Garamond"/>
          <w:caps/>
          <w:lang w:val="en-GB"/>
        </w:rPr>
        <w:t>(1910)</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meiner </w:t>
      </w:r>
      <w:r w:rsidRPr="008725BE">
        <w:rPr>
          <w:rFonts w:ascii="Garamond" w:hAnsi="Garamond"/>
          <w:i/>
          <w:iCs/>
          <w:lang w:val="en-GB"/>
        </w:rPr>
        <w:t>Traumdeutung</w:t>
      </w:r>
      <w:r w:rsidRPr="008725BE">
        <w:rPr>
          <w:rFonts w:ascii="Garamond" w:hAnsi="Garamond"/>
          <w:lang w:val="en-GB"/>
        </w:rPr>
        <w:t xml:space="preserve"> habe ich als unverstandenes Ergebnis der analytischen Bemühung eine Behauptung aufgestellt, die ich nun zu Eingang dieses Referates wiederholen werde </w:t>
      </w:r>
      <w:hyperlink r:id="rId87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Die Traumdeutung</w:t>
        </w:r>
        <w:r w:rsidRPr="008725BE">
          <w:rPr>
            <w:rStyle w:val="innerfusslink3"/>
            <w:rFonts w:ascii="Garamond" w:hAnsi="Garamond" w:cs="Arial"/>
            <w:b/>
            <w:bCs/>
            <w:lang w:val="en-GB"/>
          </w:rPr>
          <w:t>, Kapitel VI: ›Die Traumarbeit‹.</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»Höchst auffällig ist das Verhalten des Traumes gegen die Kategorie von Gegensatz und Widerspruch. Dieser wird schlechtweg vernachlässigt. Das ›Nein‹ scheint für den Traum nicht zu existieren. Gegensätze werden mit besonderer Vorliebe zu einer Einheit zusammengezogen oder in einem dargestellt. Der Traum nimmt sich ja auch die Freiheit, ein beliebiges Element durch seinen Wunschgegensatz darzustellen, so daß man zunächst von keinem eines Gegenteils fähigen Elemente weiß, ob es in den Traumgedanken positiv oder negativ enthalten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Traumdeuter des Altertums scheinen von der Voraussetzung, daß ein Ding im Traume sein Gegenteil bedeuten könne, den ausgiebigsten Gebrauch gemacht zu haben. Gelegentlich ist diese Möglichkeit auch von modernen Traumforschern, insofern sie dem Traume überhaupt Sinn und Deutbarkeit zugestanden haben, erkannt </w:t>
      </w:r>
      <w:hyperlink r:id="rId87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 z. B. G. H. v. Schubert, </w:t>
        </w:r>
        <w:r w:rsidRPr="008725BE">
          <w:rPr>
            <w:rStyle w:val="innerfusslink3"/>
            <w:rFonts w:ascii="Garamond" w:hAnsi="Garamond" w:cs="Arial"/>
            <w:b/>
            <w:bCs/>
            <w:i/>
            <w:iCs/>
            <w:lang w:val="en-GB"/>
          </w:rPr>
          <w:t>Die Symbolik des Traumes</w:t>
        </w:r>
        <w:r w:rsidRPr="008725BE">
          <w:rPr>
            <w:rStyle w:val="innerfusslink3"/>
            <w:rFonts w:ascii="Garamond" w:hAnsi="Garamond" w:cs="Arial"/>
            <w:b/>
            <w:bCs/>
            <w:lang w:val="en-GB"/>
          </w:rPr>
          <w:t>, 4. Aufl. 1862, II. Kapitel: ›Die Sprache des Traumes‹.</w:t>
        </w:r>
      </w:hyperlink>
      <w:r w:rsidRPr="008725BE">
        <w:rPr>
          <w:rFonts w:ascii="Garamond" w:hAnsi="Garamond"/>
          <w:lang w:val="en-GB"/>
        </w:rPr>
        <w:t>. Ich glaube auch keinen Widerspruch hervorzurufen, wenn ich annehme, daß alle diejenigen die oben zitierte Behauptung bestätigt gefunden haben, welche mir auf den Weg einer wissenschaftlichen Traumdeutung gefolgt sind.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Zum Verständnisse der sonderbaren Neigung der Traumarbeit, von der Verneinung abzusehen und durch dasselbe Darstellungsmittel Gegensätzliches zum Ausdrucke zu bringen, bin ich erst durch die zufällige Lektüre einer Arbeit des Sprachforschers K. Abel gelangt, welche, 1884 als selbständige Broschüre veröffentlicht, im nächsten Jahre auch unter die </w:t>
      </w:r>
      <w:r w:rsidRPr="008725BE">
        <w:rPr>
          <w:rFonts w:ascii="Garamond" w:hAnsi="Garamond"/>
          <w:i/>
          <w:iCs/>
          <w:lang w:val="en-GB"/>
        </w:rPr>
        <w:t>Sprachwissenschaftlichen Abhandlungen</w:t>
      </w:r>
      <w:r w:rsidRPr="008725BE">
        <w:rPr>
          <w:rFonts w:ascii="Garamond" w:hAnsi="Garamond"/>
          <w:lang w:val="en-GB"/>
        </w:rPr>
        <w:t xml:space="preserve"> des Verfassers aufgenommen worden ist. Das Interesse des Gegenstandes wird es rechtfertigen, wenn ich die entscheidenden Stellen der Abelschen Abhandlung nach ihrem vollen Wortlaute (wenn auch mit Weglassung der meisten Beispiele) hier anführe. Wir erhalten nämlich die erstaunliche Aufklärung, daß die angegebene Praxis der Traumarbeit sich mit einer Eigentümlichkeit der ältesten uns bekannten Sprachen deckt.</w:t>
      </w:r>
    </w:p>
    <w:p w:rsidR="008725BE" w:rsidRPr="008725BE" w:rsidRDefault="008725BE" w:rsidP="008725BE">
      <w:pPr>
        <w:pStyle w:val="Sansinterligne"/>
        <w:rPr>
          <w:rFonts w:ascii="Garamond" w:hAnsi="Garamond"/>
          <w:lang w:val="en-GB"/>
        </w:rPr>
      </w:pPr>
      <w:r w:rsidRPr="008725BE">
        <w:rPr>
          <w:rFonts w:ascii="Garamond" w:hAnsi="Garamond"/>
          <w:lang w:val="en-GB"/>
        </w:rPr>
        <w:t>Nachdem Abel das Alter der ägyptischen Sprache hervorgehoben, die lange Zeiten vor den ersten hieroglyphischen Inschriften entwickelt worden sein muß, fährt er fort (S. 4):</w:t>
      </w:r>
    </w:p>
    <w:p w:rsidR="008725BE" w:rsidRPr="008725BE" w:rsidRDefault="008725BE" w:rsidP="008725BE">
      <w:pPr>
        <w:pStyle w:val="Sansinterligne"/>
        <w:rPr>
          <w:rFonts w:ascii="Garamond" w:hAnsi="Garamond"/>
          <w:lang w:val="en-GB"/>
        </w:rPr>
      </w:pPr>
      <w:r w:rsidRPr="008725BE">
        <w:rPr>
          <w:rFonts w:ascii="Garamond" w:hAnsi="Garamond"/>
          <w:lang w:val="en-GB"/>
        </w:rPr>
        <w:t>»In der ägyptischen Sprache nun, dieser einzigen Reliquie einer primitiven Welt, findet sich eine ziemliche Anzahl von Worten mit zwei Bedeutungen, deren eine das gerade Gegenteil der andern besagt. Man denke sich, wenn man solch augenscheinlichen Unsinn zu denken vermag, daß das Wort ›stark‹ in der deutschen Sprache sowohl ›stark‹ als ›schwach‹ bedeute; daß das Nomen ›Licht‹ in Berlin gebraucht werde, um sowohl ›Licht‹ als ›Dunkelheit‹ zu bezeichnen; daß ein Münchener Bürger das Bier ›Bier‹ nennte, während ein anderer dasselbe Wort anwendete, wenn er vom Wasser spräche, und man hat die erstaunliche Praxis, welcher sich die alten Ägypter in ihrer Sprache gewohnheitsmäßig hinzugeben pflegten. Wem kann man es verargen, wenn er dazu ungläubig den Kopf schüttelt? . . .« (Beispiele.)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(Ibid., S. 7): »Angesichts dieser und vieler ähnlicher Fälle antithetischer Bedeutung (siehe Anhang) kann es keinem Zweifel unterliegen, daß es in </w:t>
      </w:r>
      <w:r w:rsidRPr="008725BE">
        <w:rPr>
          <w:rFonts w:ascii="Garamond" w:hAnsi="Garamond"/>
          <w:i/>
          <w:iCs/>
          <w:lang w:val="en-GB"/>
        </w:rPr>
        <w:t>einer</w:t>
      </w:r>
      <w:r w:rsidRPr="008725BE">
        <w:rPr>
          <w:rFonts w:ascii="Garamond" w:hAnsi="Garamond"/>
          <w:lang w:val="en-GB"/>
        </w:rPr>
        <w:t xml:space="preserve"> Sprache wenigstens eine Fülle von Worten gegeben hat, welche ein Ding und das Gegenteil dieses Dinges gleichzeitig bezeichneten. Wie erstaunlich es sei, wir stehen vor der Tatsache und haben damit zu rechnen.«</w:t>
      </w:r>
    </w:p>
    <w:p w:rsidR="008725BE" w:rsidRPr="008725BE" w:rsidRDefault="008725BE" w:rsidP="008725BE">
      <w:pPr>
        <w:pStyle w:val="Sansinterligne"/>
        <w:rPr>
          <w:rFonts w:ascii="Garamond" w:hAnsi="Garamond"/>
          <w:lang w:val="en-GB"/>
        </w:rPr>
      </w:pPr>
      <w:r w:rsidRPr="008725BE">
        <w:rPr>
          <w:rFonts w:ascii="Garamond" w:hAnsi="Garamond"/>
          <w:lang w:val="en-GB"/>
        </w:rPr>
        <w:t>Der Autor weist nun die Erklärung dieses Sachverhaltes durch zufälligen Gleichlaut ab und verwahrt sich mit gleicher Entschiedenheit gegen die Zurückführung desselben auf den Tiefstand der ägyptischen Geistesentwicklung:</w:t>
      </w:r>
    </w:p>
    <w:p w:rsidR="008725BE" w:rsidRPr="008725BE" w:rsidRDefault="008725BE" w:rsidP="008725BE">
      <w:pPr>
        <w:pStyle w:val="Sansinterligne"/>
        <w:rPr>
          <w:rFonts w:ascii="Garamond" w:hAnsi="Garamond"/>
          <w:lang w:val="en-GB"/>
        </w:rPr>
      </w:pPr>
      <w:r w:rsidRPr="008725BE">
        <w:rPr>
          <w:rFonts w:ascii="Garamond" w:hAnsi="Garamond"/>
          <w:lang w:val="en-GB"/>
        </w:rPr>
        <w:t>(Ibid., S. 9): »Nun war aber Ägypten nichts weniger als eine Heimat des Unsinnes. Es war im Gegenteil eine der frühesten Entwicklungsstätten der menschlichen Vernunft . . . Es kannte eine reine und würdevolle Moral und hatte einen großen Teil der zehn Gebote formuliert, als diejenigen Völker, welchen die heutige Zivilisation gehört, blutdürstigen Idolen Menschenopfer zu schlachten pflegten. Ein Volk, welches die Fackel der Gerechtigkeit und Kultur in so dunklen Zeiten entzündete, kann doch in seinem alltäglichen Reden und Denken nicht geradezu stupid gewesen sein . . . Wer Glas zu machen und ungeheure Blöcke maschinenmäßig zu heben und zu bewegen vermochte, muß doch mindestens Vernunft genug gehabt haben, um ein Ding nicht für sich selbst und gleichzeitig für sein Gegenteil anzusehen. Wie vereinen wir es nun damit, daß die Ägypter sich eine so sonderbare kontradiktorische Sprache gestatteten? . . . daß sie überhaupt den feindlichsten Gedanken ein und denselben lautlichen Träger zu geben und das, was sich gegenseitig am stärksten opponierte, in einer Art unlöslicher Union zu verbinden pflegten?«</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Vor jedem Versuche einer Erklärung muß noch einer Steigerung dieses unbegreiflichen Verfahrens der ägyptischen Sprache gedacht werden. »Von allen Exzentrizitäten des ägyptischen Lexikons ist es vielleicht die außerordentlichste, daß es, außer den Worten, die entgegengesetzte Bedeutungen in sich vereinen, andere zusammengesetzte Worte besitzt, in denen zwei Vokabeln von entgegengesetzter Bedeutung zu einem Kompositum vereint werden, welches die Bedeutung nur eines von seinen beiden konstituierenden Gliedern besitzt. Es gibt also in dieser außerordentlichen Sprache nicht allein Worte, die sowohl ›stark‹ als ›schwach‹ oder sowohl ›befehlen‹ als ›gehorchen‹ besagen; es gibt auch Komposita wie ›altjung‹, ›fernnah‹, ›bindentrennen‹, ›außeninnen‹ . . ., die trotz ihrer das Verschiedenste einschließenden Zusammensetzung das erste nur ›jung‹, das zweite nur ›nah‹, das dritte nur ›verbinden‹, das vierte nur ›innen‹ bedeuten . . . Man hat also bei diesen zusammengesetzten Worten begriffliche Widersprüche geradezu absichtlich vereint, nicht um einen dritten Begriff zu schaffen, wie im Chinesischen mitunter geschieht, sondern nur, um durch das Kompositum die Bedeutung eines seiner kontradiktorischen Glieder, das allein dasselbe bedeutet haben würde, auszudrücken . . .«</w:t>
      </w:r>
    </w:p>
    <w:p w:rsidR="008725BE" w:rsidRPr="008725BE" w:rsidRDefault="008725BE" w:rsidP="008725BE">
      <w:pPr>
        <w:pStyle w:val="Sansinterligne"/>
        <w:rPr>
          <w:rFonts w:ascii="Garamond" w:hAnsi="Garamond"/>
          <w:lang w:val="en-GB"/>
        </w:rPr>
      </w:pPr>
      <w:r w:rsidRPr="008725BE">
        <w:rPr>
          <w:rFonts w:ascii="Garamond" w:hAnsi="Garamond"/>
          <w:lang w:val="en-GB"/>
        </w:rPr>
        <w:t>Indes ist das Rätsel leichter gelöst, als es scheinen will. Unsere Begriffe entstehen durch Vergleichung. »Wäre es immer hell, so würden wir zwischen hell und dunkel nicht unterscheiden und demgemäß weder den Begriff noch das Wort der Helligkeit haben können . . .« »Es ist offenbar, alles auf diesem Planeten ist relativ und hat unabhängige Existenz, nur insofern es in seinen Beziehungen zu und von anderen Dingen unterschieden wird . . .« »Da jeder Begriff somit der Zwilling seines Gegensatzes ist, wie konnte er zuerst gedacht, wie konnte er anderen, die ihn zu denken versuchten, mitgeteilt werden, wenn nicht durch die Messung an seinem Gegensatz? . . .« (Ibid., S. 15): »Da man den Begriff der Stärke nicht konzipieren konnte, außer im Gegensatze zur Schwäche, so enthielt das Wort, welches ›stark‹ besagte, eine gleichzeitige Erinnerung an ›schwach‹, als durch welche es erst zum Dasein gelangte. Dieses Wort bezeichnete in Wahrheit weder ›stark‹ noch ›schwach‹, sondern das Verhältnis zwischen beiden und den Unterschied beider, welcher beide gleichmäßig erschuf . . .« »Der Mensch hat eben seine ältesten und einfachsten Begriffe nicht anders erringen können als im Gegensatze zu ihrem Gegensatz und erst allmählich die beiden Seiten der Antithese sondern und die eine ohne bewußte Messung an der andern denken gelernt.«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 die Sprache nicht nur zum Ausdruck der eigenen Gedanken, sondern wesentlich zur Mitteilung derselben an andere dient, kann man die Frage aufwerfen, auf welche Weise hat der »Urägypter« dem Nebenmenschen zu erkennen gegeben, »welche Seite des Zwitterbegriffes er jedesmal meinte«? In der Schrift geschah dies mit Hilfe der sogenannten »determinativen« Bilder, welche, hinter die Buchstabenzeichen gesetzt, den Sinn derselben angeben und selbst nicht zur Aussprache bestimmt sind. (Ibid., S. 18): »Wenn das ägyptische Wort </w:t>
      </w:r>
      <w:r w:rsidRPr="008725BE">
        <w:rPr>
          <w:rFonts w:ascii="Garamond" w:hAnsi="Garamond"/>
          <w:i/>
          <w:iCs/>
          <w:lang w:val="en-GB"/>
        </w:rPr>
        <w:t>ken</w:t>
      </w:r>
      <w:r w:rsidRPr="008725BE">
        <w:rPr>
          <w:rFonts w:ascii="Garamond" w:hAnsi="Garamond"/>
          <w:lang w:val="en-GB"/>
        </w:rPr>
        <w:t xml:space="preserve"> ›stark‹ bedeuten soll, steht hinter seinem alphabetisch geschriebenen Laut das Bild eines aufrechten, bewaffneten Mannes; wenn dasselbe Wort ›schwach‹ auszudrücken hat, folgt den Buchstaben, die den Laut darstellen, das Bild eines hockenden, lässigen Menschen. In ähnlicher Weise werden die meisten anderen zweideutigen Worte von erklärenden Bildern begleitet.« In der Sprache diente nach Abels Meinung die Geste dazu, dem gesprochenen Worte das gewünschte Vorzeichen zu geben.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»ältesten Wurzeln« sind es, nach Abel, an denen die Erscheinung des antithetischen Doppelsinnes beobachtet wird. Im weiteren Verlaufe der Sprachentwicklung schwand nun diese Zweideutigkeit, und im Altägyptischen wenigstens lassen sich alle Übergänge bis zur Eindeutigkeit des modernen Sprachschatzes verfolgen. »Die ursprünglich doppelsinnigen Worte legen sich in der späteren Sprache in je zwei einsinnige auseinander, indem jeder der beiden entgegengesetzten Sinne je eine lautliche ›Ermäßigung‹ (Modifikation) derselben Wurzel für sich allein okkupiert.« So z. B. spaltet sich schon im Hieroglyphischen selbst </w:t>
      </w:r>
      <w:r w:rsidRPr="008725BE">
        <w:rPr>
          <w:rFonts w:ascii="Garamond" w:hAnsi="Garamond"/>
          <w:i/>
          <w:iCs/>
          <w:lang w:val="en-GB"/>
        </w:rPr>
        <w:t>ken</w:t>
      </w:r>
      <w:r w:rsidRPr="008725BE">
        <w:rPr>
          <w:rFonts w:ascii="Garamond" w:hAnsi="Garamond"/>
          <w:lang w:val="en-GB"/>
        </w:rPr>
        <w:t xml:space="preserve"> »starkschwach« in </w:t>
      </w:r>
      <w:r w:rsidRPr="008725BE">
        <w:rPr>
          <w:rFonts w:ascii="Garamond" w:hAnsi="Garamond"/>
          <w:i/>
          <w:iCs/>
          <w:lang w:val="en-GB"/>
        </w:rPr>
        <w:t>ken</w:t>
      </w:r>
      <w:r w:rsidRPr="008725BE">
        <w:rPr>
          <w:rFonts w:ascii="Garamond" w:hAnsi="Garamond"/>
          <w:lang w:val="en-GB"/>
        </w:rPr>
        <w:t xml:space="preserve"> »stark« und </w:t>
      </w:r>
      <w:r w:rsidRPr="008725BE">
        <w:rPr>
          <w:rFonts w:ascii="Garamond" w:hAnsi="Garamond"/>
          <w:i/>
          <w:iCs/>
          <w:lang w:val="en-GB"/>
        </w:rPr>
        <w:t>kan</w:t>
      </w:r>
      <w:r w:rsidRPr="008725BE">
        <w:rPr>
          <w:rFonts w:ascii="Garamond" w:hAnsi="Garamond"/>
          <w:lang w:val="en-GB"/>
        </w:rPr>
        <w:t xml:space="preserve"> »schwach«. »Mit anderen Worten, die Begriffe, die nur antithetisch gefunden werden konnten, werden dem menschlichen Geiste im Laufe der Zeit genügend angeübt, um jedem ihrer beiden Teile eine selbständige Existenz zu ermöglichen und jedem somit seinen separaten lautlichen Vertreter zu verschaffen.«</w:t>
      </w:r>
    </w:p>
    <w:p w:rsidR="008725BE" w:rsidRPr="008725BE" w:rsidRDefault="008725BE" w:rsidP="008725BE">
      <w:pPr>
        <w:pStyle w:val="Sansinterligne"/>
        <w:rPr>
          <w:rFonts w:ascii="Garamond" w:hAnsi="Garamond"/>
          <w:lang w:val="en-GB"/>
        </w:rPr>
      </w:pPr>
      <w:r w:rsidRPr="008725BE">
        <w:rPr>
          <w:rFonts w:ascii="Garamond" w:hAnsi="Garamond"/>
          <w:lang w:val="en-GB"/>
        </w:rPr>
        <w:t>Der fürs Ägyptische leicht zu führende Nachweis kontradiktorischer Urbedeutungen läßt sich nach Abel auch auf die semitischen und indoeuropäischen Sprachen ausdehnen. »Wie weit dieses in anderen Sprachfamilien geschehen kann, bleibt abzuwarten; denn obschon der Gegensinn ursprünglich den Denkenden jeder Rasse gegenwärtig gewesen sein muß, so braucht derselbe nicht überall in den Bedeutungen erkennbar geworden oder erhalten zu sein.«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Abel hebt ferner hervor, daß der Philosoph Bain diesen Doppelsinn der Worte, wie es scheint, ohne Kenntnis der tatsächlichen Phänomene aus rein theoretischen Gründen als eine logische Notwendigkeit gefordert hat. Die betreffende Stelle ( </w:t>
      </w:r>
      <w:r w:rsidRPr="008725BE">
        <w:rPr>
          <w:rFonts w:ascii="Garamond" w:hAnsi="Garamond"/>
          <w:i/>
          <w:iCs/>
          <w:lang w:val="en-GB"/>
        </w:rPr>
        <w:t>Logic</w:t>
      </w:r>
      <w:r w:rsidRPr="008725BE">
        <w:rPr>
          <w:rFonts w:ascii="Garamond" w:hAnsi="Garamond"/>
          <w:lang w:val="en-GB"/>
        </w:rPr>
        <w:t>, Bd. 1, 54) beginnt mit den Sätzen:</w:t>
      </w:r>
    </w:p>
    <w:p w:rsidR="008725BE" w:rsidRPr="008725BE" w:rsidRDefault="008725BE" w:rsidP="008725BE">
      <w:pPr>
        <w:pStyle w:val="Sansinterligne"/>
        <w:rPr>
          <w:rFonts w:ascii="Garamond" w:hAnsi="Garamond"/>
          <w:lang w:val="en-GB"/>
        </w:rPr>
      </w:pPr>
      <w:r w:rsidRPr="008725BE">
        <w:rPr>
          <w:rFonts w:ascii="Garamond" w:hAnsi="Garamond"/>
          <w:i/>
          <w:iCs/>
          <w:lang w:val="en-GB"/>
        </w:rPr>
        <w:lastRenderedPageBreak/>
        <w:t>»The essential relativity of all knowledge, thought or consciousness cannot but show itself in language. If everything that we can know is viewed as a transition from something else, every experience must have two sides; and either every name must have a double meaning, or else for every meaning there must be two names.«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Aus dem »Anhang von Beispielen des ägyptischen, indogermanischen und arabischen Gegensinnes« hebe ich einige Fälle hervor, die auch uns Sprachunkundigen Eindruck machen können: Im Lateinischen heißt </w:t>
      </w:r>
      <w:r w:rsidRPr="008725BE">
        <w:rPr>
          <w:rFonts w:ascii="Garamond" w:hAnsi="Garamond"/>
          <w:i/>
          <w:iCs/>
          <w:lang w:val="en-GB"/>
        </w:rPr>
        <w:t>altus</w:t>
      </w:r>
      <w:r w:rsidRPr="008725BE">
        <w:rPr>
          <w:rFonts w:ascii="Garamond" w:hAnsi="Garamond"/>
          <w:lang w:val="en-GB"/>
        </w:rPr>
        <w:t xml:space="preserve"> hoch und tief, </w:t>
      </w:r>
      <w:r w:rsidRPr="008725BE">
        <w:rPr>
          <w:rFonts w:ascii="Garamond" w:hAnsi="Garamond"/>
          <w:i/>
          <w:iCs/>
          <w:lang w:val="en-GB"/>
        </w:rPr>
        <w:t>sacer</w:t>
      </w:r>
      <w:r w:rsidRPr="008725BE">
        <w:rPr>
          <w:rFonts w:ascii="Garamond" w:hAnsi="Garamond"/>
          <w:lang w:val="en-GB"/>
        </w:rPr>
        <w:t xml:space="preserve"> heilig und verflucht, wo also noch der volle Gegensinn ohne Modifikation des Wortlautes besteht. Die phonetische Abänderung zur Sonderung der Gegensätze wird belegt durch Beispiele wie </w:t>
      </w:r>
      <w:r w:rsidRPr="008725BE">
        <w:rPr>
          <w:rFonts w:ascii="Garamond" w:hAnsi="Garamond"/>
          <w:i/>
          <w:iCs/>
          <w:lang w:val="en-GB"/>
        </w:rPr>
        <w:t>clamare</w:t>
      </w:r>
      <w:r w:rsidRPr="008725BE">
        <w:rPr>
          <w:rFonts w:ascii="Garamond" w:hAnsi="Garamond"/>
          <w:lang w:val="en-GB"/>
        </w:rPr>
        <w:t xml:space="preserve"> schreien – </w:t>
      </w:r>
      <w:r w:rsidRPr="008725BE">
        <w:rPr>
          <w:rFonts w:ascii="Garamond" w:hAnsi="Garamond"/>
          <w:i/>
          <w:iCs/>
          <w:lang w:val="en-GB"/>
        </w:rPr>
        <w:t>clam</w:t>
      </w:r>
      <w:r w:rsidRPr="008725BE">
        <w:rPr>
          <w:rFonts w:ascii="Garamond" w:hAnsi="Garamond"/>
          <w:lang w:val="en-GB"/>
        </w:rPr>
        <w:t xml:space="preserve"> leise, still; </w:t>
      </w:r>
      <w:r w:rsidRPr="008725BE">
        <w:rPr>
          <w:rFonts w:ascii="Garamond" w:hAnsi="Garamond"/>
          <w:i/>
          <w:iCs/>
          <w:lang w:val="en-GB"/>
        </w:rPr>
        <w:t>siccus</w:t>
      </w:r>
      <w:r w:rsidRPr="008725BE">
        <w:rPr>
          <w:rFonts w:ascii="Garamond" w:hAnsi="Garamond"/>
          <w:lang w:val="en-GB"/>
        </w:rPr>
        <w:t xml:space="preserve"> trocken – </w:t>
      </w:r>
      <w:r w:rsidRPr="008725BE">
        <w:rPr>
          <w:rFonts w:ascii="Garamond" w:hAnsi="Garamond"/>
          <w:i/>
          <w:iCs/>
          <w:lang w:val="en-GB"/>
        </w:rPr>
        <w:t>succus</w:t>
      </w:r>
      <w:r w:rsidRPr="008725BE">
        <w:rPr>
          <w:rFonts w:ascii="Garamond" w:hAnsi="Garamond"/>
          <w:lang w:val="en-GB"/>
        </w:rPr>
        <w:t xml:space="preserve"> Saft. Im Deutschen bedeutet </w:t>
      </w:r>
      <w:r w:rsidRPr="008725BE">
        <w:rPr>
          <w:rFonts w:ascii="Garamond" w:hAnsi="Garamond"/>
          <w:i/>
          <w:iCs/>
          <w:lang w:val="en-GB"/>
        </w:rPr>
        <w:t>Boden</w:t>
      </w:r>
      <w:r w:rsidRPr="008725BE">
        <w:rPr>
          <w:rFonts w:ascii="Garamond" w:hAnsi="Garamond"/>
          <w:lang w:val="en-GB"/>
        </w:rPr>
        <w:t xml:space="preserve"> heute noch das Oberste wie das Unterste im Haus. Unserem </w:t>
      </w:r>
      <w:r w:rsidRPr="008725BE">
        <w:rPr>
          <w:rFonts w:ascii="Garamond" w:hAnsi="Garamond"/>
          <w:i/>
          <w:iCs/>
          <w:lang w:val="en-GB"/>
        </w:rPr>
        <w:t>bös</w:t>
      </w:r>
      <w:r w:rsidRPr="008725BE">
        <w:rPr>
          <w:rFonts w:ascii="Garamond" w:hAnsi="Garamond"/>
          <w:lang w:val="en-GB"/>
        </w:rPr>
        <w:t xml:space="preserve"> (schlecht) entspricht ein </w:t>
      </w:r>
      <w:r w:rsidRPr="008725BE">
        <w:rPr>
          <w:rFonts w:ascii="Garamond" w:hAnsi="Garamond"/>
          <w:i/>
          <w:iCs/>
          <w:lang w:val="en-GB"/>
        </w:rPr>
        <w:t>bass</w:t>
      </w:r>
      <w:r w:rsidRPr="008725BE">
        <w:rPr>
          <w:rFonts w:ascii="Garamond" w:hAnsi="Garamond"/>
          <w:lang w:val="en-GB"/>
        </w:rPr>
        <w:t xml:space="preserve"> (gut), im Altsächsischen </w:t>
      </w:r>
      <w:r w:rsidRPr="008725BE">
        <w:rPr>
          <w:rFonts w:ascii="Garamond" w:hAnsi="Garamond"/>
          <w:i/>
          <w:iCs/>
          <w:lang w:val="en-GB"/>
        </w:rPr>
        <w:t>bat</w:t>
      </w:r>
      <w:r w:rsidRPr="008725BE">
        <w:rPr>
          <w:rFonts w:ascii="Garamond" w:hAnsi="Garamond"/>
          <w:lang w:val="en-GB"/>
        </w:rPr>
        <w:t xml:space="preserve"> (gut) gegen englisch </w:t>
      </w:r>
      <w:r w:rsidRPr="008725BE">
        <w:rPr>
          <w:rFonts w:ascii="Garamond" w:hAnsi="Garamond"/>
          <w:i/>
          <w:iCs/>
          <w:lang w:val="en-GB"/>
        </w:rPr>
        <w:t>bad</w:t>
      </w:r>
      <w:r w:rsidRPr="008725BE">
        <w:rPr>
          <w:rFonts w:ascii="Garamond" w:hAnsi="Garamond"/>
          <w:lang w:val="en-GB"/>
        </w:rPr>
        <w:t xml:space="preserve"> (schlecht); im Englischen </w:t>
      </w:r>
      <w:r w:rsidRPr="008725BE">
        <w:rPr>
          <w:rFonts w:ascii="Garamond" w:hAnsi="Garamond"/>
          <w:i/>
          <w:iCs/>
          <w:lang w:val="en-GB"/>
        </w:rPr>
        <w:t>to lock</w:t>
      </w:r>
      <w:r w:rsidRPr="008725BE">
        <w:rPr>
          <w:rFonts w:ascii="Garamond" w:hAnsi="Garamond"/>
          <w:lang w:val="en-GB"/>
        </w:rPr>
        <w:t xml:space="preserve"> (schließen) gegen deutsch </w:t>
      </w:r>
      <w:r w:rsidRPr="008725BE">
        <w:rPr>
          <w:rFonts w:ascii="Garamond" w:hAnsi="Garamond"/>
          <w:i/>
          <w:iCs/>
          <w:lang w:val="en-GB"/>
        </w:rPr>
        <w:t>Lücke, Loch.</w:t>
      </w:r>
      <w:r w:rsidRPr="008725BE">
        <w:rPr>
          <w:rFonts w:ascii="Garamond" w:hAnsi="Garamond"/>
          <w:lang w:val="en-GB"/>
        </w:rPr>
        <w:t xml:space="preserve"> Deutsch </w:t>
      </w:r>
      <w:r w:rsidRPr="008725BE">
        <w:rPr>
          <w:rFonts w:ascii="Garamond" w:hAnsi="Garamond"/>
          <w:i/>
          <w:iCs/>
          <w:lang w:val="en-GB"/>
        </w:rPr>
        <w:t>kleben</w:t>
      </w:r>
      <w:r w:rsidRPr="008725BE">
        <w:rPr>
          <w:rFonts w:ascii="Garamond" w:hAnsi="Garamond"/>
          <w:lang w:val="en-GB"/>
        </w:rPr>
        <w:t xml:space="preserve"> – englisch </w:t>
      </w:r>
      <w:r w:rsidRPr="008725BE">
        <w:rPr>
          <w:rFonts w:ascii="Garamond" w:hAnsi="Garamond"/>
          <w:i/>
          <w:iCs/>
          <w:lang w:val="en-GB"/>
        </w:rPr>
        <w:t>to cleave</w:t>
      </w:r>
      <w:r w:rsidRPr="008725BE">
        <w:rPr>
          <w:rFonts w:ascii="Garamond" w:hAnsi="Garamond"/>
          <w:lang w:val="en-GB"/>
        </w:rPr>
        <w:t xml:space="preserve"> (spalten); deutsch </w:t>
      </w:r>
      <w:r w:rsidRPr="008725BE">
        <w:rPr>
          <w:rFonts w:ascii="Garamond" w:hAnsi="Garamond"/>
          <w:i/>
          <w:iCs/>
          <w:lang w:val="en-GB"/>
        </w:rPr>
        <w:t>Stumm – Stimme</w:t>
      </w:r>
      <w:r w:rsidRPr="008725BE">
        <w:rPr>
          <w:rFonts w:ascii="Garamond" w:hAnsi="Garamond"/>
          <w:lang w:val="en-GB"/>
        </w:rPr>
        <w:t xml:space="preserve"> usw. So käme vielleicht noch die vielbelachte Ableitung </w:t>
      </w:r>
      <w:r w:rsidRPr="008725BE">
        <w:rPr>
          <w:rFonts w:ascii="Garamond" w:hAnsi="Garamond"/>
          <w:i/>
          <w:iCs/>
          <w:lang w:val="en-GB"/>
        </w:rPr>
        <w:t>lucus a non lucendo</w:t>
      </w:r>
      <w:r w:rsidRPr="008725BE">
        <w:rPr>
          <w:rFonts w:ascii="Garamond" w:hAnsi="Garamond"/>
          <w:lang w:val="en-GB"/>
        </w:rPr>
        <w:t xml:space="preserve"> zu einem guten Sinn.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seiner Abhandlung über den ›Ursprung der Sprache‹ (1885, S. 305) macht Abel noch auf andere Spuren alter Denkmühen aufmerksam. Der Engländer sagt noch heute, um »ohne« auszudrücken, </w:t>
      </w:r>
      <w:r w:rsidRPr="008725BE">
        <w:rPr>
          <w:rFonts w:ascii="Garamond" w:hAnsi="Garamond"/>
          <w:i/>
          <w:iCs/>
          <w:lang w:val="en-GB"/>
        </w:rPr>
        <w:t>without</w:t>
      </w:r>
      <w:r w:rsidRPr="008725BE">
        <w:rPr>
          <w:rFonts w:ascii="Garamond" w:hAnsi="Garamond"/>
          <w:lang w:val="en-GB"/>
        </w:rPr>
        <w:t xml:space="preserve">, also »mitohne« und ebenso der Ostpreuße. </w:t>
      </w:r>
      <w:r w:rsidRPr="008725BE">
        <w:rPr>
          <w:rFonts w:ascii="Garamond" w:hAnsi="Garamond"/>
          <w:i/>
          <w:iCs/>
          <w:lang w:val="en-GB"/>
        </w:rPr>
        <w:t>With</w:t>
      </w:r>
      <w:r w:rsidRPr="008725BE">
        <w:rPr>
          <w:rFonts w:ascii="Garamond" w:hAnsi="Garamond"/>
          <w:lang w:val="en-GB"/>
        </w:rPr>
        <w:t xml:space="preserve"> selbst, das heute unserem »mit« entspricht, hat ursprünglich sowohl »mit« als auch »ohne« geheißen, wie noch aus </w:t>
      </w:r>
      <w:r w:rsidRPr="008725BE">
        <w:rPr>
          <w:rFonts w:ascii="Garamond" w:hAnsi="Garamond"/>
          <w:i/>
          <w:iCs/>
          <w:lang w:val="en-GB"/>
        </w:rPr>
        <w:t>withdraw</w:t>
      </w:r>
      <w:r w:rsidRPr="008725BE">
        <w:rPr>
          <w:rFonts w:ascii="Garamond" w:hAnsi="Garamond"/>
          <w:lang w:val="en-GB"/>
        </w:rPr>
        <w:t xml:space="preserve"> (fortgehen), </w:t>
      </w:r>
      <w:r w:rsidRPr="008725BE">
        <w:rPr>
          <w:rFonts w:ascii="Garamond" w:hAnsi="Garamond"/>
          <w:i/>
          <w:iCs/>
          <w:lang w:val="en-GB"/>
        </w:rPr>
        <w:t>withhold</w:t>
      </w:r>
      <w:r w:rsidRPr="008725BE">
        <w:rPr>
          <w:rFonts w:ascii="Garamond" w:hAnsi="Garamond"/>
          <w:lang w:val="en-GB"/>
        </w:rPr>
        <w:t xml:space="preserve"> (entziehen) zu erkennen ist. Dieselbe Wandlung erkennen wir im deutschen </w:t>
      </w:r>
      <w:r w:rsidRPr="008725BE">
        <w:rPr>
          <w:rFonts w:ascii="Garamond" w:hAnsi="Garamond"/>
          <w:i/>
          <w:iCs/>
          <w:lang w:val="en-GB"/>
        </w:rPr>
        <w:t>wider</w:t>
      </w:r>
      <w:r w:rsidRPr="008725BE">
        <w:rPr>
          <w:rFonts w:ascii="Garamond" w:hAnsi="Garamond"/>
          <w:lang w:val="en-GB"/>
        </w:rPr>
        <w:t xml:space="preserve"> (gegen) und </w:t>
      </w:r>
      <w:r w:rsidRPr="008725BE">
        <w:rPr>
          <w:rFonts w:ascii="Garamond" w:hAnsi="Garamond"/>
          <w:i/>
          <w:iCs/>
          <w:lang w:val="en-GB"/>
        </w:rPr>
        <w:t>wieder</w:t>
      </w:r>
      <w:r w:rsidRPr="008725BE">
        <w:rPr>
          <w:rFonts w:ascii="Garamond" w:hAnsi="Garamond"/>
          <w:lang w:val="en-GB"/>
        </w:rPr>
        <w:t xml:space="preserve"> (zusammen mit).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Für den Vergleich mit der Traumarbeit hat noch eine andere, höchst sonderbare Eigentümlichkeit der altägyptischen Sprache Bedeutung. »Im Ägyptischen können die Worte – wir wollen zunächst sagen, scheinbar – </w:t>
      </w:r>
      <w:r w:rsidRPr="008725BE">
        <w:rPr>
          <w:rFonts w:ascii="Garamond" w:hAnsi="Garamond"/>
          <w:i/>
          <w:iCs/>
          <w:lang w:val="en-GB"/>
        </w:rPr>
        <w:t>sowohl Laut wie Sinn umdrehen</w:t>
      </w:r>
      <w:r w:rsidRPr="008725BE">
        <w:rPr>
          <w:rFonts w:ascii="Garamond" w:hAnsi="Garamond"/>
          <w:lang w:val="en-GB"/>
        </w:rPr>
        <w:t xml:space="preserve">. Angenommen, das deutsche Wort </w:t>
      </w:r>
      <w:r w:rsidRPr="008725BE">
        <w:rPr>
          <w:rFonts w:ascii="Garamond" w:hAnsi="Garamond"/>
          <w:i/>
          <w:iCs/>
          <w:lang w:val="en-GB"/>
        </w:rPr>
        <w:t>gut</w:t>
      </w:r>
      <w:r w:rsidRPr="008725BE">
        <w:rPr>
          <w:rFonts w:ascii="Garamond" w:hAnsi="Garamond"/>
          <w:lang w:val="en-GB"/>
        </w:rPr>
        <w:t xml:space="preserve"> wäre ägyptisch, so könnte es neben gut auch schlecht bedeuten, neben </w:t>
      </w:r>
      <w:r w:rsidRPr="008725BE">
        <w:rPr>
          <w:rFonts w:ascii="Garamond" w:hAnsi="Garamond"/>
          <w:i/>
          <w:iCs/>
          <w:lang w:val="en-GB"/>
        </w:rPr>
        <w:t>gut</w:t>
      </w:r>
      <w:r w:rsidRPr="008725BE">
        <w:rPr>
          <w:rFonts w:ascii="Garamond" w:hAnsi="Garamond"/>
          <w:lang w:val="en-GB"/>
        </w:rPr>
        <w:t xml:space="preserve"> auch </w:t>
      </w:r>
      <w:r w:rsidRPr="008725BE">
        <w:rPr>
          <w:rFonts w:ascii="Garamond" w:hAnsi="Garamond"/>
          <w:i/>
          <w:iCs/>
          <w:lang w:val="en-GB"/>
        </w:rPr>
        <w:t>tug</w:t>
      </w:r>
      <w:r w:rsidRPr="008725BE">
        <w:rPr>
          <w:rFonts w:ascii="Garamond" w:hAnsi="Garamond"/>
          <w:lang w:val="en-GB"/>
        </w:rPr>
        <w:t xml:space="preserve"> lauten. Von solchen Lautumdrehungen, die zu zahlreich sind, um durch Zufälligkeit erklärt zu werden, kann man auch reichliche Beispiele aus den arischen und semitischen Sprachen beibringen. Wenn man sich zunächst aufs Germanische beschränkt, merke man: </w:t>
      </w:r>
      <w:r w:rsidRPr="008725BE">
        <w:rPr>
          <w:rFonts w:ascii="Garamond" w:hAnsi="Garamond"/>
          <w:i/>
          <w:iCs/>
          <w:lang w:val="en-GB"/>
        </w:rPr>
        <w:t>Topf – pot; hoat – tub; wait – täuwen; hurry – Ruhe; care – reck; Balken – Klobe, club</w:t>
      </w:r>
      <w:r w:rsidRPr="008725BE">
        <w:rPr>
          <w:rFonts w:ascii="Garamond" w:hAnsi="Garamond"/>
          <w:lang w:val="en-GB"/>
        </w:rPr>
        <w:t xml:space="preserve">. Zieht man die anderen indogermanischen Sprachen mit in Betracht, so wächst die Zahl der dazugehörigen Fälle entsprechend, z. B.: </w:t>
      </w:r>
      <w:r w:rsidRPr="008725BE">
        <w:rPr>
          <w:rFonts w:ascii="Garamond" w:hAnsi="Garamond"/>
          <w:i/>
          <w:iCs/>
          <w:lang w:val="en-GB"/>
        </w:rPr>
        <w:t>capere – packen; ren – Niere; the leaf</w:t>
      </w:r>
      <w:r w:rsidRPr="008725BE">
        <w:rPr>
          <w:rFonts w:ascii="Garamond" w:hAnsi="Garamond"/>
          <w:lang w:val="en-GB"/>
        </w:rPr>
        <w:t xml:space="preserve"> (Blatt) – </w:t>
      </w:r>
      <w:r w:rsidRPr="008725BE">
        <w:rPr>
          <w:rFonts w:ascii="Garamond" w:hAnsi="Garamond"/>
          <w:i/>
          <w:iCs/>
          <w:lang w:val="en-GB"/>
        </w:rPr>
        <w:t>folium;dum-a</w:t>
      </w:r>
      <w:hyperlink r:id="rId87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russisch: denken</w:t>
        </w:r>
      </w:hyperlink>
      <w:r w:rsidRPr="008725BE">
        <w:rPr>
          <w:rFonts w:ascii="Garamond" w:hAnsi="Garamond"/>
          <w:lang w:val="en-GB"/>
        </w:rPr>
        <w:t xml:space="preserve">, </w:t>
      </w:r>
      <w:r w:rsidRPr="008725BE">
        <w:rPr>
          <w:rFonts w:ascii="Garamond" w:hAnsi="Garamond"/>
        </w:rPr>
        <w:t>θυμός</w:t>
      </w:r>
      <w:r w:rsidRPr="008725BE">
        <w:rPr>
          <w:rFonts w:ascii="Garamond" w:hAnsi="Garamond"/>
          <w:lang w:val="en-GB"/>
        </w:rPr>
        <w:t xml:space="preserve"> – sanskrit </w:t>
      </w:r>
      <w:r w:rsidRPr="008725BE">
        <w:rPr>
          <w:rFonts w:ascii="Garamond" w:hAnsi="Garamond"/>
          <w:i/>
          <w:iCs/>
          <w:lang w:val="en-GB"/>
        </w:rPr>
        <w:t>mêdh, mûdha</w:t>
      </w:r>
      <w:r w:rsidRPr="008725BE">
        <w:rPr>
          <w:rFonts w:ascii="Garamond" w:hAnsi="Garamond"/>
          <w:lang w:val="en-GB"/>
        </w:rPr>
        <w:t xml:space="preserve">, </w:t>
      </w:r>
      <w:r w:rsidRPr="008725BE">
        <w:rPr>
          <w:rFonts w:ascii="Garamond" w:hAnsi="Garamond"/>
          <w:i/>
          <w:iCs/>
          <w:lang w:val="en-GB"/>
        </w:rPr>
        <w:t>Mut; Rauchen –</w:t>
      </w:r>
      <w:r w:rsidRPr="008725BE">
        <w:rPr>
          <w:rFonts w:ascii="Garamond" w:hAnsi="Garamond"/>
          <w:lang w:val="en-GB"/>
        </w:rPr>
        <w:t xml:space="preserve"> russisch </w:t>
      </w:r>
      <w:r w:rsidRPr="008725BE">
        <w:rPr>
          <w:rFonts w:ascii="Garamond" w:hAnsi="Garamond"/>
          <w:i/>
          <w:iCs/>
          <w:lang w:val="en-GB"/>
        </w:rPr>
        <w:t>Kur-ít; kreischen – to shriek</w:t>
      </w:r>
      <w:r w:rsidRPr="008725BE">
        <w:rPr>
          <w:rFonts w:ascii="Garamond" w:hAnsi="Garamond"/>
          <w:lang w:val="en-GB"/>
        </w:rPr>
        <w:t xml:space="preserve"> usw.«</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Phänomen der </w:t>
      </w:r>
      <w:r w:rsidRPr="008725BE">
        <w:rPr>
          <w:rFonts w:ascii="Garamond" w:hAnsi="Garamond"/>
          <w:i/>
          <w:iCs/>
          <w:lang w:val="en-GB"/>
        </w:rPr>
        <w:t>Lautumdrehung</w:t>
      </w:r>
      <w:r w:rsidRPr="008725BE">
        <w:rPr>
          <w:rFonts w:ascii="Garamond" w:hAnsi="Garamond"/>
          <w:lang w:val="en-GB"/>
        </w:rPr>
        <w:t xml:space="preserve"> sucht Abel aus einer Doppelung, Reduplikation der Wurzel zu erklären. Hier würden wir eine Schwierigkeit empfinden, dem Sprachforscher zu folgen. Wir erinnern uns daran, wie gerne die Kinder mit der Umkehrung des Wortlautes spielen und wie häufig sich die Traumarbeit der Umkehrung ihres Darstellungsmaterials zu verschiedenen Zwecken bedient. (Hier sind es nicht mehr Buchstaben, sondern Bilder, deren Reihenfolge verkehrt wird.) Wir würden also eher geneigt sein, die Lautumdrehung auf ein tiefergreifendes Moment zurückzuführen </w:t>
      </w:r>
      <w:hyperlink r:id="rId87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Über das Phänomen der Lautumdrehung (Metathesis), welches zur Traumarbeit vielleicht noch innigere Beziehungen hat als der Gegensinn (Antithese), vgl. noch W. Meyer-Rinteln, in: </w:t>
        </w:r>
        <w:r w:rsidRPr="008725BE">
          <w:rPr>
            <w:rStyle w:val="innerfusslink3"/>
            <w:rFonts w:ascii="Garamond" w:hAnsi="Garamond" w:cs="Arial"/>
            <w:b/>
            <w:bCs/>
            <w:i/>
            <w:iCs/>
            <w:lang w:val="en-GB"/>
          </w:rPr>
          <w:t>Kölnische Zeitung</w:t>
        </w:r>
        <w:r w:rsidRPr="008725BE">
          <w:rPr>
            <w:rStyle w:val="innerfusslink3"/>
            <w:rFonts w:ascii="Garamond" w:hAnsi="Garamond" w:cs="Arial"/>
            <w:b/>
            <w:bCs/>
            <w:lang w:val="en-GB"/>
          </w:rPr>
          <w:t xml:space="preserve"> vom 7. März 1909.</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der Übereinstimmung zwischen der eingangs hervorgehobenen Eigentümlichkeit der Traumarbeit und der von dem Sprachforscher aufgedeckten Praxis der ältesten Sprachen dürfen wir eine Bestätigung unserer Auffassung vom regressiven, archaischen Charakter des Gedankenausdruckes im Traume erblicken. Und als unabweisbare Vermutung drängt sich uns Psychiatern auf, daß wir die Sprache des Traumes besser verstehen und leichter übersetzen würden, wenn wir von der Entwicklung der Sprache mehr wüßten </w:t>
      </w:r>
      <w:hyperlink r:id="rId88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Es liegt auch nahe anzunehmen, daß der ursprüngliche Gegensinn der Worte den vorgebildeten Mechanismus darstellt, der von dem Versprechen zum Gegenteile im Dienste mannigfacher Tendenzen ausgenützt wird.</w:t>
        </w:r>
      </w:hyperlink>
      <w:r w:rsidRPr="008725BE">
        <w:rPr>
          <w:rFonts w:ascii="Garamond" w:hAnsi="Garamond"/>
          <w:lang w:val="en-GB"/>
        </w:rPr>
        <w:t>.</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88" w:name="KS53"/>
        <w:bookmarkEnd w:id="188"/>
        <w:r w:rsidRPr="008725BE">
          <w:rPr>
            <w:rStyle w:val="Lienhypertexte"/>
            <w:rFonts w:ascii="Garamond" w:hAnsi="Garamond"/>
            <w:b/>
            <w:lang w:val="en-GB"/>
          </w:rPr>
          <w:t>er den psychischen Mechanismus hysterischer Phänomene</w:t>
        </w:r>
      </w:hyperlink>
      <w:r w:rsidRPr="008725BE">
        <w:rPr>
          <w:rFonts w:ascii="Garamond" w:hAnsi="Garamond"/>
          <w:lang w:val="en-GB"/>
        </w:rPr>
        <w:t xml:space="preserve">  </w:t>
      </w:r>
      <w:r w:rsidRPr="008725BE">
        <w:rPr>
          <w:rFonts w:ascii="Garamond" w:hAnsi="Garamond"/>
          <w:caps/>
          <w:lang w:val="en-GB"/>
        </w:rPr>
        <w:t>(1893)</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Meine Herren! </w:t>
      </w:r>
      <w:hyperlink r:id="rId88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Vortrag, gehalten von Dr. Sigm. Freud in der Sitzung des »Wiener med. Club« am 11. Januar 1893. Vom Vortr. revidiertes Original-Stenogramm der </w:t>
        </w:r>
        <w:r w:rsidRPr="008725BE">
          <w:rPr>
            <w:rStyle w:val="innerfusslink3"/>
            <w:rFonts w:ascii="Garamond" w:hAnsi="Garamond" w:cs="Arial"/>
            <w:b/>
            <w:bCs/>
            <w:i/>
            <w:iCs/>
            <w:lang w:val="en-GB"/>
          </w:rPr>
          <w:t>Wiener Med. Presse</w:t>
        </w:r>
        <w:r w:rsidRPr="008725BE">
          <w:rPr>
            <w:rStyle w:val="innerfusslink3"/>
            <w:rFonts w:ascii="Garamond" w:hAnsi="Garamond" w:cs="Arial"/>
            <w:b/>
            <w:bCs/>
            <w:lang w:val="en-GB"/>
          </w:rPr>
          <w:t>.</w:t>
        </w:r>
      </w:hyperlink>
      <w:r w:rsidRPr="008725BE">
        <w:rPr>
          <w:rFonts w:ascii="Garamond" w:hAnsi="Garamond"/>
          <w:lang w:val="en-GB"/>
        </w:rPr>
        <w:t xml:space="preserve"> Ich trete heute vor Sie hin mit der Absicht, Ihnen das Referat über eine Arbeit zu erstatten, deren erster Teil unter dem Namen Josef Breuers und dem meinigen bereits im </w:t>
      </w:r>
      <w:r w:rsidRPr="008725BE">
        <w:rPr>
          <w:rFonts w:ascii="Garamond" w:hAnsi="Garamond"/>
          <w:i/>
          <w:iCs/>
          <w:lang w:val="en-GB"/>
        </w:rPr>
        <w:t>Zentralblatt für Neurologie</w:t>
      </w:r>
      <w:r w:rsidRPr="008725BE">
        <w:rPr>
          <w:rFonts w:ascii="Garamond" w:hAnsi="Garamond"/>
          <w:lang w:val="en-GB"/>
        </w:rPr>
        <w:t xml:space="preserve"> publiziert wurde. Wie Sie aus dem Titel der Arbeit ersehen, handelt sie von der Pathogenese der hysterischen Symptome und läßt erraten, daß die nächsten Gründe für die Entstehung hysterischer Symptome auf dem Gebiete des psychischen Lebens zu suchen sind.</w:t>
      </w:r>
    </w:p>
    <w:p w:rsidR="008725BE" w:rsidRPr="008725BE" w:rsidRDefault="008725BE" w:rsidP="008725BE">
      <w:pPr>
        <w:pStyle w:val="Sansinterligne"/>
        <w:rPr>
          <w:rFonts w:ascii="Garamond" w:hAnsi="Garamond"/>
          <w:lang w:val="en-GB"/>
        </w:rPr>
      </w:pPr>
      <w:r w:rsidRPr="008725BE">
        <w:rPr>
          <w:rFonts w:ascii="Garamond" w:hAnsi="Garamond"/>
          <w:lang w:val="en-GB"/>
        </w:rPr>
        <w:t>Ehe ich aber weiter auf den Inhalt dieser gemeinsamen Arbeit eingehe, muß ich Ihnen sagen, an welche Stelle sie gehört, und muß Ihnen den Autor und Fund nennen, an den wir, wenigstens der Sache nach, angeknüpft haben, wenngleich die Entwicklung unseres Beitrages eine durchaus selbständige war.</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Sie wissen, meine Herren, alle unsere neuen Fortschritte im Verständnis und in der Erkenntnis der Hysterie knüpfen an die Arbeiten von Charcot an. Charcot hat in der ersten Hälfte der achtziger Jahre angefangen, seine Aufmerksamkeit der »großen Neurose«, wie die Franzosen sagen, der Hysterie zu schenken. In einer Reihe von Forschungen hat er es dahin gebracht, Regelmäßigkeit und Gesetz dort nachzuweisen, wo unzulängliche oder verdrossene klinische Beobachtung anderer nur Simulation oder rätselhafte Willkür gesehen. Man kann sagen, direkt oder indirekt geht auf seine Anregung alles zurück, was wir in der letzten Zeit Neues von der Hysterie erfahren haben. Unter den vielfachen Arbeiten Charcots steht aber meiner Schätzung nach keine höher als jene, in welcher er uns die traumatischen Lähmungen, welche bei Hysterie auftreten, verstehen lehrte, und da es gerade diese Arbeit ist, als deren Fortsetzung die unsere erscheint, bitte ich Sie zu gestatten, daß ich dieses Thema nochmals ausführlicher vor Ihnen behandle.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Nehmen Sie den Fall an, ein Individuum, welches vorher nicht krank gewesen, vielleicht nicht einmal hereditär belastet sei, werde von einem Trauma betroffen. Dieses Trauma muß gewisse Bedingungen erfüllen; es muß schwer sein, d. h. von der Art, daß die Vorstellung einer Lebensgefahr, der Bedrohung der Existenz damit verbunden ist; es darf aber nicht schwer sein in dem Sinne, daß die psychische Tätigkeit dabei aufhört; sonst entfällt der Effekt, den wir davon erwarten; es darf also z. B. nicht mit einer Gehirnerschütterung, mit einer wirklichen schweren Verletzung einhergehen. </w:t>
      </w:r>
      <w:r w:rsidRPr="008725BE">
        <w:rPr>
          <w:rFonts w:ascii="Garamond" w:hAnsi="Garamond"/>
        </w:rPr>
        <w:t xml:space="preserve">Ferner muß dieses Trauma eine besondere Beziehung zu einem Körperteil haben. </w:t>
      </w:r>
      <w:r w:rsidRPr="008725BE">
        <w:rPr>
          <w:rFonts w:ascii="Garamond" w:hAnsi="Garamond"/>
          <w:lang w:val="en-GB"/>
        </w:rPr>
        <w:t>Nehmen Sie an, ein schweres Scheit Holz trifft einen Arbeiter auf die Schulter. Dieser Stoß wirft ihn nieder, doch überzeugt er sich bald, daß nichts geschehen sei, und er geht mit einer leichten Quetschung nach Hause. Nach einigen Wochen oder nach Monaten erwacht er eines morgens und bemerkt, daß der Arm, den das Trauma getroffen hat, schlaff, gelähmt herabhängt, nachdem er ihn in der Zwischenzeit, gewissermaßen in der Inkubationszeit, vollkommen gut gebraucht hat. Wenn es ein typischer Fall war, so kann es vorkommen, daß sich eigentümliche Anfälle einstellen, daß das Individuum nach einer Aura plötzlich zusammenfällt, tobt, deliriert, und wenn es in diesem Delirium spricht, ist daraus zu entnehmen, daß sich in ihm die Szene des Unfalles, etwa mit verschiedenen Phantasmen ausgeschmückt, wiederholt. Was ist hier vorgegangen, wie ist dieses Phänomen zu erklären?</w:t>
      </w:r>
    </w:p>
    <w:p w:rsidR="008725BE" w:rsidRPr="008725BE" w:rsidRDefault="008725BE" w:rsidP="008725BE">
      <w:pPr>
        <w:pStyle w:val="Sansinterligne"/>
        <w:rPr>
          <w:rFonts w:ascii="Garamond" w:hAnsi="Garamond"/>
          <w:lang w:val="en-GB"/>
        </w:rPr>
      </w:pPr>
      <w:r w:rsidRPr="008725BE">
        <w:rPr>
          <w:rFonts w:ascii="Garamond" w:hAnsi="Garamond"/>
          <w:lang w:val="en-GB"/>
        </w:rPr>
        <w:t>Charcot erklärt diesen Vorgang, indem er ihn reproduziert, indem er die Lähmung künstlich an einem Kranken erzeugt. Er bedarf dazu eines Kranken, der sich schon in einem hysterischen Zustand befindet, des Zustandes der Hypnose und des Mittels der Suggestion. Einen solchen Kranken versetzt er in tiefe Hypnose, gibt ihm einen leichten Schlag auf den Arm, dieser Arm fällt herab, ist gelähmt und zeigt genau dieselben Symptome wie bei spontaner traumatischer Lähmung. Dieser Schlag kann auch ersetzt werden durch direkte verbale Suggestion: »Du, dein Arm ist gelähmt«; auch da zeigt die Lähmung den nämlichen Charakter.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Versuchen wir, diese beiden Fälle miteinander zu analogisieren. Hier das Trauma, dort die traumatische Suggestion; der Endeffekt, die Lähmung, ist in beiden Fällen ganz der nämliche. Wenn das Trauma des einen Falles im anderen Falle ersetzt werden kann durch die verbale Suggestion, so liegt es nahe anzunehmen, daß auch bei der spontanen traumatischen Lähmung eine solche Vorstellung an der Entstehung der Lähmung schuld war, und in der Tat berichtet eine Anzahl von Kranken, daß sie im Moment des Traumas wirklich die Empfindung hatten, daß ihr Arm zerschmettert sei. Dann wäre das Trauma wirklich durchaus gleichzusetzen der verbalen Suggestion. Dann fehlt aber noch ein Drittes, um die Analogie zu vervollständigen. Damit die Vorstellung »der Arm ist gelähmt« bei dem Kranken wirklich eine Lähmung hervorrufen konnte, war notwendig, daß sich der Kranke im Zustand der Hypnose befinde. </w:t>
      </w:r>
      <w:r w:rsidRPr="008725BE">
        <w:rPr>
          <w:rFonts w:ascii="Garamond" w:hAnsi="Garamond"/>
          <w:lang w:val="en-GB"/>
        </w:rPr>
        <w:lastRenderedPageBreak/>
        <w:t>Der Arbeiter befand sich aber nicht in Hypnose, wir können jedoch annehmen, daß er sich während des Traumas in einem besonderen Geisteszustand befand, und Charcot ist geneigt, diesen Affekt gleichzustellen dem künstlich hervorgerufenen Zustand der Hypnose. Damit ist die traumatische spontane Lähmung vollständig erklärt und in Analogie gebracht mit der durch Suggestion erzeugten Lähmung, und das Entstehen des Symptoms ist durch die Umstände des Traumas eindeutig determiniert.</w:t>
      </w:r>
    </w:p>
    <w:p w:rsidR="008725BE" w:rsidRPr="008725BE" w:rsidRDefault="008725BE" w:rsidP="008725BE">
      <w:pPr>
        <w:pStyle w:val="Sansinterligne"/>
        <w:rPr>
          <w:rFonts w:ascii="Garamond" w:hAnsi="Garamond"/>
          <w:lang w:val="en-GB"/>
        </w:rPr>
      </w:pPr>
      <w:r w:rsidRPr="008725BE">
        <w:rPr>
          <w:rFonts w:ascii="Garamond" w:hAnsi="Garamond"/>
          <w:lang w:val="en-GB"/>
        </w:rPr>
        <w:t>Dasselbe Experiment hat Charcot aber auch zur Erklärung der Kontrakturen und Schmerzen, welche bei traumatischer Hysterie auftreten, wiederholt, und ich möchte sagen, daß Charcot selbst kaum in irgendeinem anderen Punkte so tief in das Verständnis der Hysterie eingedrungen ist wie gerade in dieser Frage. Aber hier endet seine Analyse, wir erfahren nicht, wie andere Symptome entstehen, und vor allem nicht, wie die hysterischen Symptome bei der gemeinen, nicht traumatischen Hysterie zustande kommen.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Meine Herren! Ungefähr gleichzeitig, als Charcot die hystero-traumatischen Lähmungen auf diese Weise durchleuchtete, hat Dr. Breuer 1880–1882 einer jungen Dame seinen ärztlichen Beistand geschenkt, welche sich – durch nicht traumatische Ätiologie – bei der Pflege ihres kranken Vaters eine schwere und komplizierte Hysterie mit Lähmungen, Kontrakturen, Sprach- und Sehstörungen und allen möglichen psychischen Besonderheiten zugezogen hatte. Dieser Fall wird seine Bedeutung für die Geschichte der Hysterie behalten, denn er war der erste Fall, wo es dem Arzte gelang, alle Symptome des hysterischen Zustandes zu durchleuchten, von jedem Symptom die Herkunft zu erfahren und gleichzeitig den Weg zu finden, dieses Symptom wieder zum Verschwinden zu bringen; es war sozusagen der erste durchsichtig gemachte Fall von Hysterie. Dr. Breuer bewahrte die Schlußfolgerungen, welche dieser Fall ziehen ließ, bei sich, bis er die Gewißheit erlangt hatte, daß er nicht vereinzelt dastehe. Nachdem ich im Jahre 1886 von einem Studienaufenthalt bei Charcot zurückgekehrt war, begann ich, in stetem Einvernehmen mit Breuer, eine größere Reihe von hysterischen Kranken genau zu beobachten und nach dieser Richtung hin zu untersuchen, und fand, daß das Verhalten jener ersten Patientin in der Tat ein typisches war und daß die Schlüsse, zu welchen dieser Fall berechtigte, auf eine größere Reihe, wenn nicht auf die Gesamtzahl der Hysterischen übertragen werden dürfen.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Unser Material bestand aus Fällen von gemeiner, also nicht traumatischer Hysterie; wir gingen so vor, daß wir uns bei jedem einzelnen Symptom nach den Umständen erkundigten, unter denen dieses Symptom zuerst aufgetreten war, und uns auf diese Art auch über die Veranlassung Klarheit zu verschaffen suchten, welche möglicherweise für dieses Symptom maßgebend sein konnte. </w:t>
      </w:r>
      <w:r w:rsidRPr="008725BE">
        <w:rPr>
          <w:rFonts w:ascii="Garamond" w:hAnsi="Garamond"/>
        </w:rPr>
        <w:t xml:space="preserve">Nun meinen Sie ja nicht, daß das eine einfache Arbeit ist. Wenn Sie Patienten in dieser Beziehung ausfragen, so bekommen sie meist zunächst gar keine Antwort; in einer kleinen Reihe von Fällen haben die Kranken ihre Gründe, das, was sie wissen, nicht zu sagen, in einer größeren Anzahl haben die Patienten tatsächlich keine Ahnung von dem Zusammenhange der Symptome. Der Weg, auf welchem etwas zu erfahren ist, ist schwierig und folgendermaßen: Man muß die Kranken in Hypnose versetzen und sie dann nach der Herkunft eines gewissen Symptomes ausfragen, wann dasselbe zum ersten Male aufgetreten und an was sie sich dabei erinnern. </w:t>
      </w:r>
      <w:r w:rsidRPr="008725BE">
        <w:rPr>
          <w:rFonts w:ascii="Garamond" w:hAnsi="Garamond"/>
          <w:lang w:val="en-GB"/>
        </w:rPr>
        <w:t xml:space="preserve">In diesem Zustande kehrt die Erinnerung, über welche sie im wachen Zustande nicht verfügen, zurück. Auf diese Art haben wir erfahren, daß, um es grob zu sagen, hinter den meisten, wenn nicht hinter allen Phänomenen der Hysterie ein mit Affekt betontes Erlebnis steckt und daß ferner dieses Erlebnis von solcher Art ist, daß es das Symptom, welches sich darauf bezieht, unmittelbar verstehen läßt, daß also dieses Symptom wieder eindeutig determiniert ist. Jetzt kann ich bereits den ersten Satz formulieren, zu welchem wir gelangt sind, wenn Sie mir gestatten, dieses mit Affekt betonte Erlebnis gleichzustellen jenem großen traumatischen Erlebnis, welches der traumatischen Hysterie zugrunde liegt: </w:t>
      </w:r>
      <w:r w:rsidRPr="008725BE">
        <w:rPr>
          <w:rFonts w:ascii="Garamond" w:hAnsi="Garamond"/>
          <w:i/>
          <w:iCs/>
          <w:lang w:val="en-GB"/>
        </w:rPr>
        <w:t>Es besteht eine volle Analogie zwischen der traumatischen Lähmung und der gemeinen, nicht traumatischen Hysterie.</w:t>
      </w:r>
      <w:r w:rsidRPr="008725BE">
        <w:rPr>
          <w:rFonts w:ascii="Garamond" w:hAnsi="Garamond"/>
          <w:lang w:val="en-GB"/>
        </w:rPr>
        <w:t xml:space="preserve"> Der Unterschied ist nur der, daß dort ein großes Trauma eingewirkt hat, während hier selten ein einziges großes Ereignis zu konstatieren ist, sondern eine Reihe von affektvollen Eindrücken; eine ganze Leidensgeschichte. Es hat aber nichts Gezwungenes, diese Leidensgeschichte, welche sich bei Hysterischen als veranlassendes Moment ergibt, mit jenem Unfall bei der traumatischen Hysterie gleichzustellen, denn es zweifelt heute niemand mehr, daß auch bei dem großen mechanischen Trauma der traumatischen Hysterie es nicht das mechanische Moment ist, welches zur Wirkung kommt, sondern der Schreckaffekt, das psychische Trauma. Es ergibt sich also daraus als erstes, daß das Schema der traumatischen Hysterie, wie es Charcot für die hysterischen Lähmungen gegeben hat, ganz allgemein für alle hysterischen Phänomene oder wenigstens für die größte Zahl derselben gilt; überall handelt es sich um die Wirkung psychischer Traumen, welche die Natur der so entstehenden Symptome eindeutig bestimmen.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Gestatten Sie mir nun, Ihnen hierfür einige Beispiele vorzuführen. Zunächst ein Beispiel für das Auftreten von Kontrakturen. </w:t>
      </w:r>
      <w:r w:rsidRPr="008725BE">
        <w:rPr>
          <w:rFonts w:ascii="Garamond" w:hAnsi="Garamond"/>
        </w:rPr>
        <w:t xml:space="preserve">Die bereits erwähnte Patientin Breuers wies während der ganzen Zeit ihrer Krankheit eine Kontraktur des rechten Armes auf. In der Hypnose stellte sich heraus, daß sie zur Zeit, als sie noch nicht erkrankt war, einmal folgendes Trauma erlitten hatte: Sie saß halbschlummernd am Bette des kranken Vaters und hatte den rechten Arm über die Sessellehne hängen, wobei ihr derselbe einschlief. </w:t>
      </w:r>
      <w:r w:rsidRPr="008725BE">
        <w:rPr>
          <w:rFonts w:ascii="Garamond" w:hAnsi="Garamond"/>
          <w:lang w:val="en-GB"/>
        </w:rPr>
        <w:t>In diesem Momente hatte sie eine schreckhafte Halluzination, welche sie mit ihrem Arm abwehren wollte, was aber nicht gelang. Darüber erschrak sie heftig, und damit war die Sache vorläufig auch abgetan. Erst mit dem Ausbruch der Hysterie kam es zur Kontraktur dieses Armes. Bei einer anderen Kranken beobachtete ich ein eigenartiges Schnalzen mit der Zunge mitten in der Rede, ähnlich dem Balzen des Auerhahns. Ich kannte dieses Symptom an ihr bereits monatelang und hielt es für einen Tic. Erst als ich zufällig einmal in der Hypnose mich nach dem Ursprung desselben erkundigte, stellte sich heraus, daß das Geräusch bei zwei Gelegenheiten zum ersten Male aufgetreten war, wo sie beide Male den festen Vorsatz hatte, sich absolut ruhig zu verhalten, einmal als sie ihr schwerkrankes Kind pflegte – Krankenpflege kommt oft in der Ätiologie der Hysterie vor – und sich vornahm, dasselbe, das eben eingeschlafen war, durch kein Geräusch zu wecken. Aber die Furcht vor der Tat schlug in die Aktion um (hysterischer Gegenwille!) und, die Lippen aufeinander pressend, machte sie jenes schnalzende Geräusch mit der Zunge. Dasselbe Symptom entstand viele Jahre später ein zweites Mal, als sie sich gleichfalls vorgenommen hatte, sich absolut ruhig zu verhalten, und verblieb von da an. Oft reicht eine einzige Veranlassung nicht hin, um ein Symptom zu fixieren, wenn aber dieses selbe Symptom mehrere Male mit einem gewissen Affekt auftritt, dann fixiert es sich und bleibt.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Eines der häufigsten Symptome der Hysterie ist Anorexie und Erbrechen. Ich kenne eine ganze Reihe von Fällen, welche das Zustandekommen dieses Symptomes in einfacher Weise erklären. So persistierte bei einer Kranken das Erbrechen, nachdem sie einen sie kränkenden Brief unmittelbar vor dem Essen gelesen und nach demselben alles wieder erbrochen hatte. In anderen Fällen läßt sich der Ekel vor dem Essen mit aller Bestimmtheit darauf beziehen, daß Personen durch die Institution des gemeinsamen Tisches genötigt sind, mit Personen zusammen zu essen, die sie verabscheuen. </w:t>
      </w:r>
      <w:r w:rsidRPr="008725BE">
        <w:rPr>
          <w:rFonts w:ascii="Garamond" w:hAnsi="Garamond"/>
        </w:rPr>
        <w:t xml:space="preserve">Der Ekel überträgt sich dann von der Person auf das Essen. </w:t>
      </w:r>
      <w:r w:rsidRPr="008725BE">
        <w:rPr>
          <w:rFonts w:ascii="Garamond" w:hAnsi="Garamond"/>
          <w:lang w:val="en-GB"/>
        </w:rPr>
        <w:t>Besonders interessant in dieser Beziehung war jene erwähnte Frau mit dem Tic; diese Frau aß ungemein wenig und nur gezwungen; in der Hypnose erfuhr ich, daß eine Reihe von psychischen Traumen schließlich dieses Symptom, den Ekel vor dem Essen, hervorgebracht hatte. Schon als Kind wurde sie von der sehr strengen Mutter angehalten, das Fleisch, welches sie zu Mittag nicht gegessen hatte, zwei Stunden nach Tisch kalt und mit dem erstarrten Fett zu essen; sie tat dies mit großem Ekel und behielt die Erinnerung daran, so daß sie, auch als sie später nicht mehr zu dieser Strafe gezwungen war, stets mit Ekel zu Tisch ging. 10 Jahre später teilte sie den Tisch mit einem Verwandten, welcher tuberkulös war und während des Essens stets über den Tisch hinüber in die Spuckschale spuckte; einige Zeit später war sie gezwungen, mit einem Verwandten zu essen, von welchem sie wußte, daß er an einer ansteckenden Krankheit leide. Die Patientin Breuers benahm sich eine Zeitlang wie eine Hydrophobische; in der Hypnose stellte sich als Grund hierfür heraus, daß sie einmal unvermutet einen Hund aus einem ihrer Wassergläser hatte trinken gesehen.</w:t>
      </w:r>
    </w:p>
    <w:p w:rsidR="008725BE" w:rsidRPr="008725BE" w:rsidRDefault="008725BE" w:rsidP="008725BE">
      <w:pPr>
        <w:pStyle w:val="Sansinterligne"/>
        <w:rPr>
          <w:rFonts w:ascii="Garamond" w:hAnsi="Garamond"/>
          <w:lang w:val="en-GB"/>
        </w:rPr>
      </w:pPr>
      <w:r w:rsidRPr="008725BE">
        <w:rPr>
          <w:rFonts w:ascii="Garamond" w:hAnsi="Garamond"/>
          <w:lang w:val="en-GB"/>
        </w:rPr>
        <w:t>Auch das Symptom der Schlaflosigkeit und Schlafstörung findet meist die präziseste Erklärung. Eine Frau konnte z. B. durch Jahre erst um 6 Uhr früh einschlafen. Sie hatte lange Zeit Tür an Tür mit ihrem kranken Mann geschlafen, welcher morgens um 6 Uhr aufstand. Von dieser Zeit an fand sie Ruhe zu schlafen, und so benahm sie sich auch dann viele Jahre später während einer hysterischen Erkrankung. Ein anderer Fall betraf einen Mann. Ein Hysteriker schläft seit 12 Jahren sehr schlecht; aber seine Schlaflosigkeit ist von ganz eigener Art. Während er im Sommer ausgezeichnet schläft, schläft er im Winter recht schlecht, und ganz besonders schlecht im November. Womit dies zusammenhängt, davon hat er keine Ahnung. Das Examen ergibt, daß er vor 12 Jahren im November bei seinem an Diphtheritis erkrankten Kind viele Nächte hindurch gewacht hatte.</w:t>
      </w:r>
    </w:p>
    <w:p w:rsidR="008725BE" w:rsidRPr="008725BE" w:rsidRDefault="008725BE" w:rsidP="008725BE">
      <w:pPr>
        <w:pStyle w:val="Sansinterligne"/>
        <w:rPr>
          <w:rFonts w:ascii="Garamond" w:hAnsi="Garamond"/>
          <w:lang w:val="en-GB"/>
        </w:rPr>
      </w:pPr>
      <w:r w:rsidRPr="008725BE">
        <w:rPr>
          <w:rFonts w:ascii="Garamond" w:hAnsi="Garamond"/>
          <w:lang w:val="en-GB"/>
        </w:rPr>
        <w:t>Ein Beispiel von Sprachstörung liefert die wiederholt erwähnte Patientin Breuers. Diese sprach während einer langen Periode ihrer Krankheit nur englisch; weder sprach, noch verstand sie das Deutsche. Dieses Symptom ließ sich auf ein Ereignis noch vor Ausbruch ihrer Krankheit zurückführen. In einem Zustande großer Angst versuchte sie zu beten, fand aber keine Worte. Endlich fielen ihr ein paar Worte eines englischen Kindergebetes ein. Als sie später erkrankte, stand ihr nur das Englische zur Verfügung.</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Nicht in allen Fällen ist die Determination des Symptoms durch das psychische Trauma so durchsichtig. Es besteht oft nur eine sozusagen symbolische Beziehung zwischen der Veranlassung und dem hysterischen Symptom. Das bezieht sich besonders auf Schmerzen. So litt eine Kranke an bohrenden Schmerzen zwischen den Augenbrauen. Der Grund dafür lag darin, daß sie einmal als Kind von ihrer </w:t>
      </w:r>
      <w:r w:rsidRPr="008725BE">
        <w:rPr>
          <w:rFonts w:ascii="Garamond" w:hAnsi="Garamond"/>
          <w:lang w:val="en-GB"/>
        </w:rPr>
        <w:lastRenderedPageBreak/>
        <w:t>Großmutter prüfend, »durchbohrend« angeschaut worden war. Dieselbe Patientin litt eine Zeitlang an ganz unmotivierten, heftigen Schmerzen in der rechten Ferse. Diese Schmerzen hatten, wie sich herausstellte, Beziehung zu einer Vorstellung, welche die Patientin hatte, als sie zuerst in die Welt eingeführt wurde; es überkam sie damals die Angst, daß sie das »richtige« oder »rechte Auftreten« nicht finden könnte. Solche Symbolisierungen werden von vielen Kranken für eine ganze Reihe von sogenannten Neuralgien und Schmerzen in Anspruch genommen. Es besteht gleichsam eine Absicht, den psychischen Zustand durch einen körperlichen auszudrücken, und der Sprachgebrauch bietet hierfür die Brücke. Gerade für die typischen hysterischen Symptome, wie Hemianästhesie, Gesichtsfeldeinengung, epileptiforme Konvulsionen etc., ist es aber nicht möglich, einen derartigen psychischen Mechanismus nachzuweisen. Für die hysterogenen Zonen hingegen ist es uns oftmals gelungen.</w:t>
      </w:r>
    </w:p>
    <w:p w:rsidR="008725BE" w:rsidRPr="008725BE" w:rsidRDefault="008725BE" w:rsidP="008725BE">
      <w:pPr>
        <w:pStyle w:val="Sansinterligne"/>
        <w:rPr>
          <w:rFonts w:ascii="Garamond" w:hAnsi="Garamond"/>
          <w:lang w:val="en-GB"/>
        </w:rPr>
      </w:pPr>
      <w:r w:rsidRPr="008725BE">
        <w:rPr>
          <w:rFonts w:ascii="Garamond" w:hAnsi="Garamond"/>
          <w:lang w:val="en-GB"/>
        </w:rPr>
        <w:t>Mit diesen Beispielen, welche ich aus einer Reihe von Beobachtungen herausgegriffen habe, wäre der Beweis geliefert, daß man die Phänomene der gemeinen Hysterie ruhig nach demselben Schema auffassen darf wie die der traumatischen Hysterie, daß somit jede Hysterie als traumatische Hysterie aufgefaßt werden kann im Sinne des psychischen Traumas und daß jedes Phänomen nach der Art des Traumas determiniert ist.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weitere Frage, welche zu beantworten wäre, ist nun, welches ist die Art des ursächlichen Zusammenhanges zwischen jenem Anlaß, den wir in der Hypnose erfahren haben, und dem Phänomen, welches später als hysterisches Dauersymptom bleibt? Ein solcher Zusammenhang könnte ein mannigfacher sein. Er könnte etwa von der Art sein, wie wir ihn als Typus der Auslösung anführen. Wenn beispielsweise jemand, der zu Tuberkulose disponiert ist, einen Schlag aufs Knie bekommt, in dessen Gefolge sich eine tuberkulöse Gelenkentzündung entwickelt, so ist das eine einfache Auslösung. Aber so verhält es sich bei der Hysterie nicht. Es gibt noch eine andere Art der Verursachung, und das ist die direkte. Wollen wir uns dieselbe durch das Bild des Fremdkörpers veranschaulichen. Ein solcher wirkt als reizende Krankheitsursache fort und fort, bis er entfernt ist. </w:t>
      </w:r>
      <w:r w:rsidRPr="008725BE">
        <w:rPr>
          <w:rFonts w:ascii="Garamond" w:hAnsi="Garamond"/>
          <w:i/>
          <w:iCs/>
          <w:lang w:val="en-GB"/>
        </w:rPr>
        <w:t>Cessante causa cessat effectus</w:t>
      </w:r>
      <w:hyperlink r:id="rId88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Fällt die Ursache weg, entfällt auch die Wirkung</w:t>
        </w:r>
      </w:hyperlink>
      <w:r w:rsidRPr="008725BE">
        <w:rPr>
          <w:rFonts w:ascii="Garamond" w:hAnsi="Garamond"/>
          <w:lang w:val="en-GB"/>
        </w:rPr>
        <w:t>. Die Beobachtung Breuers lehrt, daß zwischen dem psychischen Trauma und dem hysterischen Phänomen ein Zusammenhang der letzten Art besteht. Breuer hat nämlich bei seiner ersten Patientin folgende Erfahrung gemacht: Der Versuch, die Veranlassung eines Symptomes zu erfahren, ist gleichzeitig ein therapeutisches Manöver. Der Moment, in welchem der Arzt erfährt, bei welcher Gelegenheit ein Symptom zum ersten Male aufgetreten ist und wodurch es bedingt war, ist auch derjenige, in dem dieses Symptom verschwindet. Wenn ein Kranker beispielsweise das Symptom der Schmerzen bietet und wir forschen in der Hypnose nach, woher er diese Schmerzen habe, so kommt eine Reihe von Erinnerungen über ihn. Wenn es gelingt, den Kranken zu einer recht lebhaften Erinnerung zu bringen, so sieht er die Dinge mit ursprünglicher Wirklichkeit vor sich, man merkt, daß der Kranke unter der vollen Herrschaft eines Affektes steht, und wenn man ihn dann nötigt, diesem Affekte Worte zu leihen, so sieht man, daß unter Erzeugung eines heftigen Affektes diese Erscheinung der Schmerzen noch einmal mit großem Ausdruck auftritt und daß von da an dieses Symptom als Dauersymptom verschwunden ist. So gestaltete sich der Vorgang in all den angeführten Beispielen. Es hat sich dabei die interessante Tatsache ergeben, daß die Erinnerung an dieses Ereignis außerordentlich viel lebhafter war als an andere und daß der damit verbundene Affekt so groß war, als er etwa bei dem wirklichen Erlebnis gewesen war. Man muß annehmen, daß jenes psychische Trauma in der Tat in dem betreffenden Individuum noch fortwirkt und das hysterische Phänomen unterhält und daß es zu Ende ist, sowie sich der Patient darüber ausgesprochen hat.</w:t>
      </w:r>
    </w:p>
    <w:p w:rsidR="008725BE" w:rsidRPr="008725BE" w:rsidRDefault="008725BE" w:rsidP="008725BE">
      <w:pPr>
        <w:pStyle w:val="Sansinterligne"/>
        <w:rPr>
          <w:rFonts w:ascii="Garamond" w:hAnsi="Garamond"/>
          <w:lang w:val="en-GB"/>
        </w:rPr>
      </w:pPr>
      <w:r w:rsidRPr="008725BE">
        <w:rPr>
          <w:rFonts w:ascii="Garamond" w:hAnsi="Garamond"/>
          <w:lang w:val="en-GB"/>
        </w:rPr>
        <w:t>Ich habe soeben bemerkt, daß, wenn man nach unserem Verfahren durch Ausforschung in der Hypnose auf das psychische Trauma gekommen ist, man dabei findet, daß die Erinnerung, um die es sich handelt, ganz ungewöhnlich stark ist und ihren vollen Affekt bewahrt hat. Es entsteht nun die Frage, woher kommt es, daß ein Ereignis, das vor so langer Zeit, etwa vor 10 oder 20 Jahren, vorgefallen ist, fortwährend seine Gewalt über das Individuum äußert, warum diese Erinnerungen nicht der Abnützung, der Usur, dem Vergessen verfallen.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Zur Beantwortung dieser Frage möchte ich einige Erwägungen über die Bedingungen der Abnützung des Inhalts unseres Vorstellungslebens vorausschicken. Man kann hier von einem Satze ausgehen, welcher folgendermaßen lautet: Wenn ein Mensch einen psychischen Eindruck erfährt, so wird etwas in seinem Nervensystem gesteigert, was wir momentan die Erregungssumme nennen wollen. Nun besteht in jedem Individuum, um seine Gesundheit zu erhalten, das Bestreben, diese Erregungssumme wieder zu verkleinern. Die Steigerung der Erregungssumme geschieht auf sensiblen Bahnen, die Verkleinerung auf motorischen Bahnen. Man kann also sagen, wenn jemandem etwas zustößt, so reagiert er darauf </w:t>
      </w:r>
      <w:r w:rsidRPr="008725BE">
        <w:rPr>
          <w:rFonts w:ascii="Garamond" w:hAnsi="Garamond"/>
          <w:lang w:val="en-GB"/>
        </w:rPr>
        <w:lastRenderedPageBreak/>
        <w:t>motorisch. Man kann nun ruhig behaupten, daß es von dieser Reaktion abhängt, wieviel von dem anfänglichen psychischen Eindruck zurückbleibt. Erörtern wir das an einem besonderen Beispiele. Ein Mensch erfahre eine Beleidigung, einen Schlag oder dergleichen, so ist das psychische Trauma mit einer Steigerung der Erregungssumme des Nervensystemes verbunden. Es entsteht dann instinktiv die Neigung, diese gesteigerte Erregung sofort zu vermindern, er schlägt zurück, und nun ist ihm leichter, er hat vielleicht adäquat reagiert, d. h. er hat so viel abgeführt, als ihm zugeführt wurde. Nun gibt es verschiedene Arten dieser Reaktion. Für ganz leichte Erregungssteigerungen genügen vielleicht Veränderungen des eigenen Körpers, Weinen, Schimpfen, Toben und dergleichen. Je intensiver das psychische Trauma, desto größer ist die adäquate Reaktion. Die adäquateste Reaktion ist aber immer die Tat. Aber, wie ein englischer Autor geistreich bemerkte, derjenige, welcher dem Feinde statt des Pfeiles ein Schimpfwort entgegenschleuderte, war der Begründer der Zivilisation, so ist das Wort der Ersatz für die Tat und unter Umständen der einzige Ersatz (Beichte). Es gibt also neben der adäquaten Reaktion eine minder adäquate. Wenn nun die Reaktion auf ein psychisches Trauma gänzlich unterblieben ist, dann behält die Erinnerung daran den Affekt, den sie ursprünglich hatte. Wenn also jemand, der beleidigt worden ist, die Beleidigung nicht vergelten kann, weder durch einen Gegenschlag noch durch ein Schimpfwort, dann ist die Möglichkeit gegeben, daß die Erinnerung an diesen Vorgang bei ihm wieder denselben Affekt hervorruft, wie er zu Anfang vorhanden war. Eine Beleidigung, die vergolten ist, wenn auch nur durch Worte, wird anders erinnert als eine, die hingenommen werden mußte, und der Sprachgebrauch bezeichnet auch charakteristischerweise eben das schweigend erduldete Leiden als »Kränkung«. Wenn also die Reaktion auf das psychische Trauma aus irgendeinem Grunde unterbleiben mußte, behält dasselbe seinen ursprünglichen Affekt, und wo sich der Mensch des Reizzuwachses nicht durch »Abreagieren« entledigen kann, ist die Möglichkeit gegeben, daß das betreffende Ereignis für ihn zu einem psychischen Trauma wird. Der gesunde psychische Mechanismus hat allerdings andere Mittel, den Affekt eines psychischen Traumas zu erledigen, auch wenn die motorische Reaktion und die Reaktion durch Worte versagt ist, nämlich die assoziative Verarbeitung, die Erledigung durch kontrastierende Vorstellungen. Wenn der Beleidigte nicht zurückschlägt, auch nicht schimpft, so kann er doch den Affekt der Beleidigung dadurch vermindern, daß er in sich kontrastierende Vorstellungen von der eigenen Würde, von der Würdelosigkeit des Beleidigers u.s.w. wachruft. Ob nun der Gesunde in der einen oder in der anderen Weise eine Beleidigung erledigt, gelangt er immer zu dem Ende, daß der Affekt, welcher ursprünglich stark in der Erinnerung haftete, endlich an Intensität verliert und daß die schließlich affektlose Erinnerung mit der Zeit dem Vergessen, der Usur anheimfällt.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Nun haben wir gefunden, daß sich bei Hysterischen lauter Eindrücke finden, welche nicht affektlos geworden sind und deren Erinnerung eine lebhafte geblieben ist. Wir kommen also darauf, daß diese pathogen gewordenen Erinnerungen bei Hysterischen eine besondere Ausnahmsstellung zur Usur einnehmen, und die Beobachtung zeigt, daß es sich bei allen Anlässen, welche zu Ursachen hysterischer Phänomene geworden sind, um psychische Traumen handelt, die nicht vollständig abreagiert, nicht vollständig erledigt worden sind. Wir können also sagen, </w:t>
      </w:r>
      <w:r w:rsidRPr="008725BE">
        <w:rPr>
          <w:rFonts w:ascii="Garamond" w:hAnsi="Garamond"/>
          <w:i/>
          <w:iCs/>
          <w:lang w:val="en-GB"/>
        </w:rPr>
        <w:t>der Hysterische leidet an unvollständig abreagierten psychischen Traumen</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 findet zwei Gruppen von Bedingungen, unter welchen Erinnerungen pathogen werden. In der einen Gruppe findet man als Inhalt der Erinnerungen, auf welche hysterische Phänomene zurückgehen, solche Vorstellungen, bei denen das Trauma ein allzu großes war, so daß es dem Nervensystem an Macht gebrach, um sich dessen auf irgendeine Art zu entledigen, ferner Vorstellungen, bei welchen soziale Gründe eine Reaktion unmöglich machen (so häufig im Eheleben), endlich ist es möglich, daß der Betreffende die Reaktion einfach verweigert, auf ein psychisches Trauma überhaupt nicht reagieren </w:t>
      </w:r>
      <w:r w:rsidRPr="008725BE">
        <w:rPr>
          <w:rFonts w:ascii="Garamond" w:hAnsi="Garamond"/>
          <w:i/>
          <w:iCs/>
          <w:lang w:val="en-GB"/>
        </w:rPr>
        <w:t>will</w:t>
      </w:r>
      <w:r w:rsidRPr="008725BE">
        <w:rPr>
          <w:rFonts w:ascii="Garamond" w:hAnsi="Garamond"/>
          <w:lang w:val="en-GB"/>
        </w:rPr>
        <w:t xml:space="preserve">. Da findet sich häufig als Inhalt der hysterischen Delirien gerade jener Vorstellungskreis, welchen die Kranken im normalen Zustand mit aller Gewalt von sich gewiesen, gehemmt und unterdrückt haben (z. B. Gotteslästerung und Erotismen in den hysterischen Delirien der Nonnen). In einer anderen Reihe von Fällen liegt aber der Grund, warum die motorische Reaktion ausfiel, nicht an dem Inhalt des psychischen Traumas, sondern an anderen Umständen. Man findet sehr häufig als Inhalt und Ursache hysterischer Phänomene Erlebnisse, welche an und für sich ganz geringfügig sind, aber dadurch eine hohe Bedeutung gewonnen haben, daß sie in ganz besonders wichtige Momente krankhaft gesteigerter Disposition gefallen sind. Es hat sich etwa der Affekt des Schreckens in einem anderen schweren Affekt ereignet und ist dadurch zu solcher Bedeutung gekommen. Derartige Zustände sind kurzdauernd und sozusagen außer Verkehr mit dem sonstigen geistigen Leben des Individuums. In einem solchen Zustand der Autohypnose kann das Individuum eine Vorstellung, welche in ihm auftrat, nicht derartig assoziativ erledigen, wie im wachen Zustande. Die längere Beschäftigung mit diesen Phänomenen machte es uns wahrscheinlich, daß </w:t>
      </w:r>
      <w:r w:rsidRPr="008725BE">
        <w:rPr>
          <w:rFonts w:ascii="Garamond" w:hAnsi="Garamond"/>
          <w:lang w:val="en-GB"/>
        </w:rPr>
        <w:lastRenderedPageBreak/>
        <w:t xml:space="preserve">es sich bei jeder Hysterie um ein Rudiment der sogenannten </w:t>
      </w:r>
      <w:r w:rsidRPr="008725BE">
        <w:rPr>
          <w:rFonts w:ascii="Garamond" w:hAnsi="Garamond"/>
          <w:i/>
          <w:iCs/>
          <w:lang w:val="en-GB"/>
        </w:rPr>
        <w:t>double conscience</w:t>
      </w:r>
      <w:r w:rsidRPr="008725BE">
        <w:rPr>
          <w:rFonts w:ascii="Garamond" w:hAnsi="Garamond"/>
          <w:lang w:val="en-GB"/>
        </w:rPr>
        <w:t>, des doppelten Bewußtseins handele und daß die Neigung zu dieser Dissoziation und damit zum Auftreten abnormer Bewußtseinszustände, die wir als »hypnoide« bezeichnen wollen, das Grundphänomen der Hysterie sei.</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Sehen wir uns nun um, in welcher Weise unsere Therapie wirkt. Dieselbe kommt einem der heißesten Wünsche der Menschheit entgegen, nämlich dem Wunsche, etwas zweimal tun zu dürfen. Es hat jemand ein psychisches Trauma erfahren, ohne darauf genügend zu reagieren; man läßt ihn dasselbe ein zweites Mal erleben, aber in der Hypnose und nötigt ihn jetzt, die Reaktion zu vervollständigen. Er entledigt sich nun des Affekts der Vorstellung, der früher sozusagen eingeklemmt war, und damit ist die Wirkung dieser Vorstellung aufgehoben. Also wir heilen nicht die Hysterie, aber einzelne Symptome derselben dadurch, daß wir die unerledigte Reaktion vollziehen lassen.</w:t>
      </w:r>
    </w:p>
    <w:p w:rsidR="008725BE" w:rsidRPr="008725BE" w:rsidRDefault="008725BE" w:rsidP="008725BE">
      <w:pPr>
        <w:pStyle w:val="Sansinterligne"/>
        <w:rPr>
          <w:rFonts w:ascii="Garamond" w:hAnsi="Garamond"/>
          <w:lang w:val="en-GB"/>
        </w:rPr>
      </w:pPr>
      <w:r w:rsidRPr="008725BE">
        <w:rPr>
          <w:rFonts w:ascii="Garamond" w:hAnsi="Garamond"/>
        </w:rPr>
        <w:t xml:space="preserve">Meinen Sie nun nicht, daß damit für die Therapie der Hysterie sehr viel gewonnen wäre. </w:t>
      </w:r>
      <w:r w:rsidRPr="008725BE">
        <w:rPr>
          <w:rFonts w:ascii="Garamond" w:hAnsi="Garamond"/>
          <w:lang w:val="en-GB"/>
        </w:rPr>
        <w:t>So wie die Neurosen hat auch die Hysterie ihre tieferen Gründe, und diese sind es, welche der Therapie eine gewisse, oft sehr fühlbare Schranke setzen.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89" w:name="KS54"/>
        <w:bookmarkEnd w:id="189"/>
        <w:r w:rsidRPr="008725BE">
          <w:rPr>
            <w:rStyle w:val="Lienhypertexte"/>
            <w:rFonts w:ascii="Garamond" w:hAnsi="Garamond"/>
            <w:b/>
            <w:lang w:val="en-GB"/>
          </w:rPr>
          <w:t>er die allgemeinste Erniedrigung des Liebeslebens</w:t>
        </w:r>
      </w:hyperlink>
      <w:r w:rsidRPr="008725BE">
        <w:rPr>
          <w:rFonts w:ascii="Garamond" w:hAnsi="Garamond"/>
          <w:lang w:val="en-GB"/>
        </w:rPr>
        <w:t xml:space="preserve">  </w:t>
      </w:r>
      <w:r w:rsidRPr="008725BE">
        <w:rPr>
          <w:rFonts w:ascii="Garamond" w:hAnsi="Garamond"/>
          <w:caps/>
          <w:lang w:val="en-GB"/>
        </w:rPr>
        <w:t>(1912)</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caps/>
          <w:lang w:val="en-GB"/>
        </w:rPr>
      </w:pPr>
      <w:r w:rsidRPr="008725BE">
        <w:rPr>
          <w:rFonts w:ascii="Garamond" w:hAnsi="Garamond"/>
          <w:caps/>
          <w:lang w:val="en-GB"/>
        </w:rPr>
        <w:t>1</w:t>
      </w:r>
    </w:p>
    <w:p w:rsidR="008725BE" w:rsidRPr="008725BE" w:rsidRDefault="008725BE" w:rsidP="008725BE">
      <w:pPr>
        <w:pStyle w:val="Sansinterligne"/>
        <w:rPr>
          <w:rFonts w:ascii="Garamond" w:hAnsi="Garamond"/>
          <w:lang w:val="en-GB"/>
        </w:rPr>
      </w:pPr>
      <w:r w:rsidRPr="008725BE">
        <w:rPr>
          <w:rFonts w:ascii="Garamond" w:hAnsi="Garamond"/>
          <w:lang w:val="en-GB"/>
        </w:rPr>
        <w:t>Wenn der psychoanalytische Praktiker sich fragt, wegen welches Leidens er am häufigsten um Hilfe angegangen wird, so muß er – absehend von der vielgestaltigen Angst – antworten: wegen psychischer Impotenz. Diese sonderbare Störung betrifft Männer von stark libidinösem Wesen und äußert sich darin, daß die Exekutivorgane der Sexualität die Ausführung des geschlechtlichen Aktes verweigern, obwohl sie sich vorher und nachher als intakt und leistungsfähig erweisen können und obwohl eine starke psychische Geneigtheit zur Ausführung des Aktes besteht. Die erste Anleitung zum Verständnis seines Zustandes erhält der Kranke selbst, wenn er die Erfahrung macht, daß ein solches Versagen nur beim Versuch mit gewissen Personen auftritt, während es bei anderen niemals in Frage kommt. Er weiß dann, daß es eine Eigenschaft des Sexualobjekts ist, von welcher die Hemmung seiner männlichen Potenz ausgeht, und berichtet manchmal, er habe die Empfindung eines Hindernisses in seinem Innern, die Wahrnehmung eines Gegenwillens, der die bewußte Absicht mit Erfolg störe. Er kann aber nicht erraten, was dies innere Hindernis ist und welche Eigenschaft des Sexualobjekts es zur Wirkung bringt. Hat er solches Versagen wiederholt erlebt, so urteilt er wohl in bekannter fehlerhafter Verknüpfung, die Erinnerung an das erste Mal habe als störende Angstvorstellung die Wiederholungen erzwungen; das erste Mal selbst führt er aber auf einen »zufälligen« Eindruck zurück.</w:t>
      </w:r>
    </w:p>
    <w:p w:rsidR="008725BE" w:rsidRPr="008725BE" w:rsidRDefault="008725BE" w:rsidP="008725BE">
      <w:pPr>
        <w:pStyle w:val="Sansinterligne"/>
        <w:rPr>
          <w:rFonts w:ascii="Garamond" w:hAnsi="Garamond"/>
        </w:rPr>
      </w:pPr>
      <w:r w:rsidRPr="008725BE">
        <w:rPr>
          <w:rFonts w:ascii="Garamond" w:hAnsi="Garamond"/>
          <w:lang w:val="en-GB"/>
        </w:rPr>
        <w:t xml:space="preserve">Psychoanalytische Studien über die psychische Impotenz sind bereits von mehreren Autoren angestellt und veröffentlicht worden </w:t>
      </w:r>
      <w:hyperlink r:id="rId88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M. Steiner (1907) – W. Stekel (1908) – Ferenczi (1908).</w:t>
        </w:r>
      </w:hyperlink>
      <w:r w:rsidRPr="008725BE">
        <w:rPr>
          <w:rFonts w:ascii="Garamond" w:hAnsi="Garamond"/>
          <w:lang w:val="en-GB"/>
        </w:rPr>
        <w:t xml:space="preserve">. Jeder Analytiker kann die dort gebotenen Aufklärungen aus eigener ärztlicher Erfahrung bestätigen. Es handelt sich wirklich um die hemmende Einwirkung gewisser psychischer Komplexe, die sich der Kenntnis des Individuums entziehen. Als allgemeinster Inhalt dieses pathogenen Materials hebt sich die nicht überwundene inzestuöse Fixierung an Mutter und Schwester hervor. Außerdem ist der Einfluß von akzidentellen peinlichen Eindrücken, die sich an die infantile Sexualbetätigung knüpfen, zu berücksichtigen und jene Momente, die ganz allgemein die auf das weibliche Sexualobjekt zu richtende Libido verringern </w:t>
      </w:r>
      <w:hyperlink r:id="rId88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 Stekel (1908, 191 ff.).</w:t>
        </w:r>
      </w:hyperlink>
      <w:r w:rsidRPr="008725BE">
        <w:rPr>
          <w:rFonts w:ascii="Garamond" w:hAnsi="Garamond"/>
        </w:rPr>
        <w:t>.</w:t>
      </w:r>
    </w:p>
    <w:p w:rsidR="008725BE" w:rsidRPr="008725BE" w:rsidRDefault="008725BE" w:rsidP="008725BE">
      <w:pPr>
        <w:pStyle w:val="Sansinterligne"/>
        <w:rPr>
          <w:rFonts w:ascii="Garamond" w:hAnsi="Garamond"/>
        </w:rPr>
      </w:pPr>
      <w:r w:rsidRPr="008725BE">
        <w:rPr>
          <w:rFonts w:ascii="Garamond" w:hAnsi="Garamond"/>
        </w:rPr>
        <w:t xml:space="preserve">Unterzieht man Fälle von greller psychischer Impotenz einem eindringlichen Studium mittels der Psychoanalyse, so gewinnt man folgende Auskunft über die dabei wirksamen psychosexuellen Vorgänge. Die Grundlage des Leidens ist hier wiederum – wie sehr wahrscheinlich bei allen neurotischen Störungen – eine Hemmung in der Entwicklungsgeschichte der Libido bis zu ihrer normal zu nennenden Endgestaltung. Es sind hier zwei Strömungen nicht zusammengetroffen, deren Vereinigung erst ein völlig normales Liebesverhalten sichert, zwei Strömungen, die wir als die </w:t>
      </w:r>
      <w:r w:rsidRPr="008725BE">
        <w:rPr>
          <w:rFonts w:ascii="Garamond" w:hAnsi="Garamond"/>
          <w:i/>
          <w:iCs/>
        </w:rPr>
        <w:t>zärtliche</w:t>
      </w:r>
      <w:r w:rsidRPr="008725BE">
        <w:rPr>
          <w:rFonts w:ascii="Garamond" w:hAnsi="Garamond"/>
        </w:rPr>
        <w:t xml:space="preserve"> und die </w:t>
      </w:r>
      <w:r w:rsidRPr="008725BE">
        <w:rPr>
          <w:rFonts w:ascii="Garamond" w:hAnsi="Garamond"/>
          <w:i/>
          <w:iCs/>
        </w:rPr>
        <w:t>sinnliche</w:t>
      </w:r>
      <w:r w:rsidRPr="008725BE">
        <w:rPr>
          <w:rFonts w:ascii="Garamond" w:hAnsi="Garamond"/>
        </w:rPr>
        <w:t xml:space="preserve"> voneinander unterscheiden können.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Von diesen beiden Strömungen ist die zärtliche die ältere. Sie stammt aus den frühesten Kinderjahren, hat sich auf Grund der Interessen des Selbsterhaltungstriebes gebildet und richtet sich auf die Personen der Familie und die Vollzieher der Kinderpflege. Sie hat von Anfang an Beiträge von den Sexualtrieben, Komponenten von erotischem Interesse mitgenommen, die schon in der Kindheit mehr oder minder deutlich sind, beim Neurotiker in allen Fällen durch die spätere Psychoanalyse aufgedeckt werden. Sie entspricht der </w:t>
      </w:r>
      <w:r w:rsidRPr="008725BE">
        <w:rPr>
          <w:rFonts w:ascii="Garamond" w:hAnsi="Garamond"/>
          <w:i/>
          <w:iCs/>
          <w:lang w:val="en-GB"/>
        </w:rPr>
        <w:t>primären kindlichen Objektwahl</w:t>
      </w:r>
      <w:r w:rsidRPr="008725BE">
        <w:rPr>
          <w:rFonts w:ascii="Garamond" w:hAnsi="Garamond"/>
          <w:lang w:val="en-GB"/>
        </w:rPr>
        <w:t>. Wir ersehen aus ihr, daß die Sexualtriebe ihre ersten Objekte in der Anlehnung an die Schätzungen der Ichtriebe finden, geradeso, wie die ersten Sexualbefriedigungen in Anlehnung an die zur Lebenserhaltung notwendigen Körperfunktionen erfahren werden. Die »Zärtlichkeit« der Eltern und Pflegepersonen, die ihren erotischen Charakter selten verleugnet (»das Kind ein erotisches Spielzeug«), tut sehr viel dazu, die Beiträge der Erotik zu den Besetzungen der Ichtriebe beim Kinde zu erhöhen und sie auf ein Maß zu bringen, welches in der späteren Entwicklung in Betracht kommen muß, besonders wenn gewisse andere Verhältnisse dazu ihren Beistand leihen.</w:t>
      </w:r>
    </w:p>
    <w:p w:rsidR="008725BE" w:rsidRPr="008725BE" w:rsidRDefault="008725BE" w:rsidP="008725BE">
      <w:pPr>
        <w:pStyle w:val="Sansinterligne"/>
        <w:rPr>
          <w:rFonts w:ascii="Garamond" w:hAnsi="Garamond"/>
        </w:rPr>
      </w:pPr>
      <w:r w:rsidRPr="008725BE">
        <w:rPr>
          <w:rFonts w:ascii="Garamond" w:hAnsi="Garamond"/>
          <w:lang w:val="en-GB"/>
        </w:rPr>
        <w:t xml:space="preserve">Diese zärtlichen Fixierungen des Kindes setzen sich durch die Kindheit fort und nehmen immer wieder Erotik mit sich, welche dadurch von ihren sexuellen Zielen abgelenkt wird. Im Lebensalter der Pubertät tritt nun die mächtige »sinnliche« Strömung hinzu, die ihre Ziele nicht mehr verkennt. Sie versäumt es anscheinend niemals, die früheren Wege zu gehen und nun mit weit stärkeren Libidobeträgen die Objekte der primären infantilen Wahl zu besetzen. Aber da sie dort auf die unterdessen aufgerichteten Hindernisse der Inzestschranke stößt, wird sie das Bestreben äußern, von diesen real ungeeigneten Objekten möglichst bald den Übergang zu anderen, fremden Objekten zu finden, mit denen sich ein reales Sexualleben durchführen läßt. Diese fremden Objekte werden immer noch nach dem Vorbild (der Imago) der infantilen gewählt werden, aber sie werden mit der Zeit die Zärtlichkeit an sich ziehen, die an die früheren gekettet war. Der Mann wird Vater und Mutter verlassen – nach der biblischen Vorschrift – und seinem </w:t>
      </w:r>
      <w:r w:rsidRPr="008725BE">
        <w:rPr>
          <w:rFonts w:ascii="Garamond" w:hAnsi="Garamond"/>
          <w:lang w:val="en-GB"/>
        </w:rPr>
        <w:lastRenderedPageBreak/>
        <w:t xml:space="preserve">Weibe nachgehen, Zärtlichkeit und Sinnlichkeit sind dann beisammen. Die höchsten Grade von sinnlicher Verliebtheit werden die höchste psychische Wertschätzung mit sich bringen. </w:t>
      </w:r>
      <w:r w:rsidRPr="008725BE">
        <w:rPr>
          <w:rFonts w:ascii="Garamond" w:hAnsi="Garamond"/>
        </w:rPr>
        <w:t>(Die normale Überschätzung des Sexualobjekts von Seiten des Mannes.)</w:t>
      </w:r>
    </w:p>
    <w:p w:rsidR="008725BE" w:rsidRPr="008725BE" w:rsidRDefault="008725BE" w:rsidP="008725BE">
      <w:pPr>
        <w:pStyle w:val="Sansinterligne"/>
        <w:rPr>
          <w:rFonts w:ascii="Garamond" w:hAnsi="Garamond"/>
          <w:lang w:val="en-GB"/>
        </w:rPr>
      </w:pPr>
      <w:r w:rsidRPr="008725BE">
        <w:rPr>
          <w:rFonts w:ascii="Garamond" w:hAnsi="Garamond"/>
        </w:rPr>
        <w:t xml:space="preserve">Für das Mißlingen dieses Fortschrittes im Entwicklungsgang der Libido werden zwei Momente maßgebend sein. </w:t>
      </w:r>
      <w:r w:rsidRPr="008725BE">
        <w:rPr>
          <w:rFonts w:ascii="Garamond" w:hAnsi="Garamond"/>
          <w:lang w:val="en-GB"/>
        </w:rPr>
        <w:t xml:space="preserve">Erstens das Maß von </w:t>
      </w:r>
      <w:r w:rsidRPr="008725BE">
        <w:rPr>
          <w:rFonts w:ascii="Garamond" w:hAnsi="Garamond"/>
          <w:i/>
          <w:iCs/>
          <w:lang w:val="en-GB"/>
        </w:rPr>
        <w:t>realer Versagung</w:t>
      </w:r>
      <w:r w:rsidRPr="008725BE">
        <w:rPr>
          <w:rFonts w:ascii="Garamond" w:hAnsi="Garamond"/>
          <w:lang w:val="en-GB"/>
        </w:rPr>
        <w:t xml:space="preserve">, welches sich der neuen Objektwahl entgegensetzen und sie für das Individuum entwerten wird. Es hat ja keinen Sinn, sich der Objektwahl zuzuwenden, wenn man überhaupt nicht wählen darf oder keine Aussicht hat, etwas Ordentliches wählen zu können. Zweitens das Maß der </w:t>
      </w:r>
      <w:r w:rsidRPr="008725BE">
        <w:rPr>
          <w:rFonts w:ascii="Garamond" w:hAnsi="Garamond"/>
          <w:i/>
          <w:iCs/>
          <w:lang w:val="en-GB"/>
        </w:rPr>
        <w:t>Anziehung</w:t>
      </w:r>
      <w:r w:rsidRPr="008725BE">
        <w:rPr>
          <w:rFonts w:ascii="Garamond" w:hAnsi="Garamond"/>
          <w:lang w:val="en-GB"/>
        </w:rPr>
        <w:t>, welches die zu verlassenden infantilen Objekte äußern können und das proportional ist der erotischen Besetzung, die ihnen noch in der Kindheit zuteil wurde. Sind diese beiden Faktoren stark genug, so tritt der allgemeine Mechanismus der Neurosenbildung in Wirksamkeit. Die Libido wendet sich von der Realität ab, wird von der Phantasietätigkeit aufgenommen (Introversion), verstärkt die Bilder der ersten Sexualobjekte, fixiert sich an dieselben. Das Inzesthindernis nötigt aber die diesen Objekten zugewendete Libido, im Unbewußten zu verbleiben. Die Betätigung der jetzt dem Unbewußten angehörigen sinnlichen Strömung in onanistischen Akten tut das Ihrige dazu, um diese Fixierung zu verstärken. Es ändert nichts an diesem Sachverhalt, wenn der Fortschritt nun in der Phantasie vollzogen wird, der in der Realität mißglückt ist, wenn in den zur onanistischen Befriedigung führenden Phantasiesituationen die ursprünglichen Sexualobjekte durch fremde ersetzt werden. Die Phantasien werden durch diesen Ersatz bewußtseinsfähig, an der realen Unterbringung der Libido wird ein Fortschritt nicht vollzogen.</w:t>
      </w:r>
    </w:p>
    <w:p w:rsidR="008725BE" w:rsidRPr="008725BE" w:rsidRDefault="008725BE" w:rsidP="008725BE">
      <w:pPr>
        <w:pStyle w:val="Sansinterligne"/>
        <w:rPr>
          <w:rFonts w:ascii="Garamond" w:hAnsi="Garamond"/>
          <w:lang w:val="en-GB"/>
        </w:rPr>
      </w:pPr>
      <w:r w:rsidRPr="008725BE">
        <w:rPr>
          <w:rFonts w:ascii="Garamond" w:hAnsi="Garamond"/>
          <w:lang w:val="en-GB"/>
        </w:rPr>
        <w:t>Es kann auf diese Weise geschehen, daß die ganze Sinnlichkeit eines jungen Menschen im Unbewußten an inzestuöse Objekte gebunden oder, wie wir auch sagen können, an unbewußte inzestuöse Phantasien fixiert wird. Das Ergebnis ist dann eine absolute Impotenz, die etwa noch durch die gleichzeitig erworbene wirkliche Schwächung der den Sexualakt ausführenden Organe versichert wird.</w:t>
      </w:r>
    </w:p>
    <w:p w:rsidR="008725BE" w:rsidRPr="008725BE" w:rsidRDefault="008725BE" w:rsidP="008725BE">
      <w:pPr>
        <w:pStyle w:val="Sansinterligne"/>
        <w:rPr>
          <w:rFonts w:ascii="Garamond" w:hAnsi="Garamond"/>
          <w:lang w:val="en-GB"/>
        </w:rPr>
      </w:pPr>
      <w:r w:rsidRPr="008725BE">
        <w:rPr>
          <w:rFonts w:ascii="Garamond" w:hAnsi="Garamond"/>
          <w:lang w:val="en-GB"/>
        </w:rPr>
        <w:t>Für das Zustandekommen der eigentlich sogenannten psychischen Impotenz werden mildere Bedingungen erfordert. Die sinnliche Strömung darf nicht in ihrem ganzen Betrag dem Schicksal verfallen, sich hinter der zärtlichen verbergen zu müssen, sie muß stark oder ungehemmt genug geblieben sein, um sich zum Teil den Ausweg in die Realität zu erzwingen. Die Sexualbetätigung solcher Personen läßt aber an den deutlichsten Anzeichen erkennen, daß nicht die volle psychische Triebkraft hinter ihr steht. Sie ist launenhaft, leicht zu stören, oft in der Ausführung inkorrekt, wenig genußreich. Vor allem aber muß sie der zärtlichen Strömung ausweichen. Es ist also eine Beschränkung in der Objektwahl hergestellt worden. Die aktiv gebliebene sinnliche Strömung sucht nur nach Objekten, die nicht an die ihr verpönten inzestuösen Personen mahnen; wenn von einer Person ein Eindruck ausgeht, der zu hoher psychischer Wertschätzung führen könnte, so läuft er nicht in Erregung der Sinnlichkeit, sondern in erotisch unwirksame Zärtlichkeit aus. Das Liebesleben solcher Menschen bleibt in die zwei Richtungen gespalten, die von der Kunst als himmlische und irdische (oder tierische) Liebe personifiziert werden. Wo sie lieben, begehren sie nicht, und wo sie begehren, können sie nicht lieben. Sie suchen nach Objekten, die sie nicht zu lieben brauchen, um ihre Sinnlichkeit von ihren geliebten Objekten fernzuhalten, und das sonderbare Versagen der psychischen Impotenz tritt nach den Gesetzen der »Komplexempfindlichkeit« und der »Rückkehr des Verdrängten« dann auf; wenn an dem zur Vermeidung des Inzests gewählten Objekt ein oft unscheinbarer Zug an das zu vermeidende Objekt erinnert.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Hauptschutzmittel gegen solche Störung, dessen sich der Mensch in dieser Liebesspaltung bedient, besteht in der psychischen </w:t>
      </w:r>
      <w:r w:rsidRPr="008725BE">
        <w:rPr>
          <w:rFonts w:ascii="Garamond" w:hAnsi="Garamond"/>
          <w:i/>
          <w:iCs/>
          <w:lang w:val="en-GB"/>
        </w:rPr>
        <w:t>Erniedrigung</w:t>
      </w:r>
      <w:r w:rsidRPr="008725BE">
        <w:rPr>
          <w:rFonts w:ascii="Garamond" w:hAnsi="Garamond"/>
          <w:lang w:val="en-GB"/>
        </w:rPr>
        <w:t xml:space="preserve"> des Sexualobjektes, während die dem Sexualobjekt normalerweise zustehende Überschätzung dem inzestuösen Objekt und dessen Vertretungen reserviert wird. Sowie die Bedingung der Erniedrigung erfüllt ist, kann sich die Sinnlichkeit frei äußern, bedeutende sexuelle Leistungen und hohe Lust entwickeln. Zu diesem Ergebnis trägt noch ein anderer Zusammenhang bei. Personen, bei denen die zärtliche und die sinnliche Strömung nicht ordentlich zusammengeflossen sind, haben auch meist ein wenig verfeinertes Liebesleben; perverse Sexualziele sind bei ihnen erhalten geblieben, deren Nichterfüllung als empfindliche Lusteinbuße verspürt wird, deren Erfüllung aber nur am erniedrigten, geringgeschätzten Sexualobjekt möglich erscheint.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in dem ersten Beitrag </w:t>
      </w:r>
      <w:hyperlink r:id="rId88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›Über einen besonderen Typus der Objektwahl beim Manne‹, S. 193, oben.</w:t>
        </w:r>
      </w:hyperlink>
      <w:r w:rsidRPr="008725BE">
        <w:rPr>
          <w:rFonts w:ascii="Garamond" w:hAnsi="Garamond"/>
          <w:lang w:val="en-GB"/>
        </w:rPr>
        <w:t xml:space="preserve"> erwähnten Phantasien des Knaben, welche die Mutter zur Dirne herabsetzen, werden nun nach ihren Motiven verständlich. Es sind Bemühungen, die Kluft zwischen den beiden Strömungen des Liebeslebens wenigstens in der Phantasie zu überbrücken, die Mutter durch Erniedrigung zum Objekt für die Sinnlichkeit zu gewinnen.</w:t>
      </w:r>
    </w:p>
    <w:p w:rsidR="008725BE" w:rsidRPr="008725BE" w:rsidRDefault="008725BE" w:rsidP="008725BE">
      <w:pPr>
        <w:pStyle w:val="Sansinterligne"/>
        <w:rPr>
          <w:rFonts w:ascii="Garamond" w:hAnsi="Garamond"/>
          <w:caps/>
          <w:lang w:val="en-GB"/>
        </w:rPr>
      </w:pPr>
      <w:r w:rsidRPr="008725BE">
        <w:rPr>
          <w:rFonts w:ascii="Garamond" w:hAnsi="Garamond"/>
          <w:caps/>
          <w:lang w:val="en-GB"/>
        </w:rPr>
        <w:t>2</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Wir haben uns bisher mit einer ärztlich-psychologischen Untersuchung der psychischen Impotenz beschäftigt, welche in der Überschrift dieser Abhandlung keine Rechtfertigung findet. Es wird sich aber zeigen, daß wir dieser Einleitung bedurft haben, um den Zugang zu unserem eigentlichen Thema zu gewinnen.</w:t>
      </w:r>
    </w:p>
    <w:p w:rsidR="008725BE" w:rsidRPr="008725BE" w:rsidRDefault="008725BE" w:rsidP="008725BE">
      <w:pPr>
        <w:pStyle w:val="Sansinterligne"/>
        <w:rPr>
          <w:rFonts w:ascii="Garamond" w:hAnsi="Garamond"/>
          <w:lang w:val="en-GB"/>
        </w:rPr>
      </w:pPr>
      <w:r w:rsidRPr="008725BE">
        <w:rPr>
          <w:rFonts w:ascii="Garamond" w:hAnsi="Garamond"/>
          <w:lang w:val="en-GB"/>
        </w:rPr>
        <w:t>Wir haben die psychische Impotenz reduziert auf das Nichtzusammentreffen der zärtlichen und der sinnlichen Strömung im Liebesleben und diese Entwicklungshemmung selbst erklärt durch die Einflüsse der starken Kindheitsfixierungen und der späteren Versagung in der Realität bei Dazwischenkunft der Inzestschranke. Gegen diese Lehre ist vor allem eines einzuwenden: sie gibt uns zu viel, sie erklärt uns, warum gewisse Personen an psychischer Impotenz leiden, läßt uns aber rätselhaft erscheinen, daß andere diesem Leiden entgehen konnten. Da alle in Betracht kommenden ersichtlichen Momente, die starke Kindheitsfixierung, die Inzestschranke und die Versagung in den Jahren der Entwicklung nach der Pubertät, bei so ziemlich allen Kulturmenschen als vorhanden anzuerkennen sind, wäre die Erwartung berechtigt, daß die psychische Impotenz ein allgemeines Kulturleiden und nicht die Krankheit einzelner sei.</w:t>
      </w:r>
    </w:p>
    <w:p w:rsidR="008725BE" w:rsidRPr="008725BE" w:rsidRDefault="008725BE" w:rsidP="008725BE">
      <w:pPr>
        <w:pStyle w:val="Sansinterligne"/>
        <w:rPr>
          <w:rFonts w:ascii="Garamond" w:hAnsi="Garamond"/>
          <w:lang w:val="en-GB"/>
        </w:rPr>
      </w:pPr>
      <w:r w:rsidRPr="008725BE">
        <w:rPr>
          <w:rFonts w:ascii="Garamond" w:hAnsi="Garamond"/>
          <w:lang w:val="en-GB"/>
        </w:rPr>
        <w:t>Es läge nahe, sich dieser Folgerung dadurch zu entziehen, daß man auf den quantitativen Faktor der Krankheitsverursachung hinweist, auf jenes Mehr oder Minder im Beitrag der einzelnen Momente, von dem es abhängt, ob ein kenntlicher Krankheitserfolg zustande kommt oder nicht. Aber obwohl ich diese Antwort als richtig anerkennen möchte, habe ich doch nicht die Absicht, die Folgerung selbst hiemit abzuweisen. Ich will im Gegenteil die Behauptung aufstellen, daß die psychische Impotenz weit verbreiteter ist, als man glaubt, und daß ein gewisses Maß dieses Verhaltens tatsächlich das Liebesleben des Kulturmenschen charakterisiert.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man den Begriff der psychischen Impotenz weiter faßt und ihn nicht mehr auf das Versagen der Koitusaktion bei vorhandener Lustabsicht und bei intaktem Genitalapparat einschränkt, so kommen zunächst alle jene Männer hinzu, die man als Psychanästhetiker bezeichnet, denen die Aktion nie versagt, die sie aber ohne besonderen Lustgewinn vollziehen; Vorkommnisse, die häufiger sind, als man glauben möchte. Die psychoanalytische Untersuchung solcher Fälle deckt die nämlichen ätiologischen Momente auf, welche wir bei der psychischen Impotenz im engeren Sinne gefunden haben, ohne daß die symptomatischen Unterschiede zunächst eine Erklärung finden. Von den anästhetischen Männern führt eine leicht zu rechtfertigende Analogie zur ungeheuren Anzahl der frigiden Frauen, deren Liebesverhalten tatsächlich nicht besser beschrieben oder verstanden werden kann als durch die Gleichstellung mit der geräuschvolleren psychischen Impotenz des Mannes </w:t>
      </w:r>
      <w:hyperlink r:id="rId88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Wobei gerne zugestanden sein soll, daß die Frigidität der Frau ein komplexes, auch von anderer Seite her zugängliches Thema ist.</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Wenn wir aber nicht nach einer Erweiterung des Begriffes der psychischen Impotenz, sondern nach den Abschattungen ihrer. Symptomatologie ausschauen, dann können wir uns der Einsicht nicht verschließen, daß das Liebesverhalten des Mannes in unserer heutigen Kulturwelt überhaupt den Typus der psychischen Impotenz an sich trägt. Die zärtliche und die sinnliche Strömung sind bei den wenigsten unter den Gebildeten gehörig miteinander verschmolzen; fast immer fühlt sich der Mann in seiner sexuellen Betätigung durch den Respekt vor dem Weibe beengt und entwickelt seine volle Potenz erst, wenn er ein erniedrigtes Sexualobjekt vor sich hat, was wiederum durch den Umstand mitbegründet ist, daß in seine Sexualziele perverse Komponenten eingehen, die er am geachteten Weibe zu befriedigen sich nicht getraut. Einen vollen sexuellen Genuß gewährt es ihm nur, wenn er sich ohne Rücksicht der Befriedigung hingeben darf, was er zum Beispiel bei seinem gesitteten Weibe nicht wagt. Daher rührt dann sein Bedürfnis nach einem erniedrigten Sexualobjekt, einem Weibe, das ethisch minderwertig ist, dem er ästhetische Bedenken nicht zuzutrauen braucht, das ihn nicht in seinen anderen Lebensbeziehungen kennt und beurteilen kann. Einem solchen Weibe widmet er am liebsten seine sexuelle Kraft, auch wenn seine Zärtlichkeit durchaus einem höherstehenden gehört. Möglicherweise ist auch die so häufig zu beobachtende Neigung von Männern der höchsten Gesellschaftsklassen, ein Weib aus niederem Stande zur dauernden Geliebten oder selbst zur Ehefrau zu wählen, nichts anderes als die Folge des Bedürfnisses nach dem erniedrigten Sexualobjekt, mit welchem psychologisch die Möglichkeit der vollen Befriedigung verknüpft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stehe nicht an, die beiden bei der echten psychischen Impotenz wirksamen Momente, die intensive inzestuöse Fixierung der Kindheit und die reale Versagung der Jünglingszeit, auch für dies so häufige Verhalten der kulturellen Männer im Liebesleben verantwortlich zu machen. Es klingt wenig anmutend und überdies paradox, aber es muß doch gesagt werden, daß, wer im Liebesleben wirklich frei und damit auch glücklich werden soll, den Respekt vor dem Weibe überwunden, sich mit der Vorstellung des Inzests mit Mutter oder Schwester befreundet haben muß. Wer sich dieser Anforderung gegenüber einer </w:t>
      </w:r>
      <w:r w:rsidRPr="008725BE">
        <w:rPr>
          <w:rFonts w:ascii="Garamond" w:hAnsi="Garamond"/>
          <w:lang w:val="en-GB"/>
        </w:rPr>
        <w:lastRenderedPageBreak/>
        <w:t>ernsthaften Selbstprüfung unterwirft, wird ohne Zweifel in sich finden, daß er den Sexualakt im Grunde doch als etwas Erniedrigendes beurteilt, was nicht nur leiblich befleckt und verunreinigt. Die Entstehung dieser Wertung, die er sich gewiß nicht gerne bekennt, wird er nur in jener Zeit seiner Jugend suchen können, in welcher seine sinnliche Strömung bereits stark entwickelt, ihre Befriedigung aber am fremden Objekt fast ebenso verboten war wie die am inzestuösen.</w:t>
      </w:r>
    </w:p>
    <w:p w:rsidR="008725BE" w:rsidRPr="008725BE" w:rsidRDefault="008725BE" w:rsidP="008725BE">
      <w:pPr>
        <w:pStyle w:val="Sansinterligne"/>
        <w:rPr>
          <w:rFonts w:ascii="Garamond" w:hAnsi="Garamond"/>
          <w:lang w:val="en-GB"/>
        </w:rPr>
      </w:pPr>
      <w:r w:rsidRPr="008725BE">
        <w:rPr>
          <w:rFonts w:ascii="Garamond" w:hAnsi="Garamond"/>
          <w:lang w:val="en-GB"/>
        </w:rPr>
        <w:t>Die Frauen stehen in unserer Kulturwelt unter einer ähnlichen Nachwirkung ihrer Erziehung und überdies unter der Rückwirkung des Verhaltens der Männer. Es ist für sie natürlich ebensowenig günstig, wenn ihnen der Mann nicht mit seiner vollen Potenz entgegentritt, wie wenn die anfängliche Überschätzung der Verliebtheit nach der Besitzergreifung von Geringschätzung abgelöst wird. Von einem Bedürfnis nach Erniedrigung des Sexualobjekts ist bei der Frau wenig zu bemerken; im Zusammenhange damit steht es gewiß, wenn sie auch etwas der Sexualüberschätzung beim Manne Ähnliches in der Regel nicht zustande bringt. Die lange Abhaltung von der Sexualität und das Verweilen der Sinnlichkeit in der Phantasie hat für sie aber eine andere bedeutsame Folge. Sie kann dann oft die Verknüpfung der sinnlichen Betätigung mit dem Verbot nicht mehr auflösen und erweist sich als psychisch impotent, d. h. frigid, wenn ihr solche Betätigung endlich gestattet wird. Daher rührt bei vielen Frauen das Bestreben, das Geheimnis noch bei erlaubten Beziehungen eine Weile festzuhalten, bei anderen die Fähigkeit, normal zu empfinden, sobald die Bedingung des Verbots in einem geheimen Liebesverhältnis wiederhergestellt ist; dem Manne untreu, sind sie imstande, dem Liebhaber eine Treue zweiter Ordnung zu bewahren.</w:t>
      </w:r>
    </w:p>
    <w:p w:rsidR="008725BE" w:rsidRPr="008725BE" w:rsidRDefault="008725BE" w:rsidP="008725BE">
      <w:pPr>
        <w:pStyle w:val="Sansinterligne"/>
        <w:rPr>
          <w:rFonts w:ascii="Garamond" w:hAnsi="Garamond"/>
          <w:lang w:val="en-GB"/>
        </w:rPr>
      </w:pPr>
      <w:r w:rsidRPr="008725BE">
        <w:rPr>
          <w:rFonts w:ascii="Garamond" w:hAnsi="Garamond"/>
          <w:lang w:val="en-GB"/>
        </w:rPr>
        <w:t>Ich meine, die Bedingung des Verbotenen im weiblichen Liebesleben ist dem Bedürfnis nach Erniedrigung des Sexualobjekts beim Manne gleichzustellen. Beide sind Folgen des langen Aufschubes zwischen Geschlechtsreife und Sexualbetätigung, den die Erziehung aus kulturellen Gründen fordert. Beide suchen die psychische Impotenz aufzuheben, welche aus dem Nichzusammentreffen zärtlicher und sinnlicher Regungen resultiert. Wenn der Erfolg der nämlichen Ursachen beim Weibe so sehr verschieden von dem beim Manne ausfällt, so läßt sich dies vielleicht auf einen anderen Unterschied im Verhalten der beiden Geschlechter zurückführen. Das kulturelle Weib pflegt das Verbot der Sexualbetätigung während der Wartezeit nicht zu überschreiten und erwirbt so die innige Verknüpfung zwischen Verbot und Sexualität. Der Mann durchbricht zumeist dieses Verbot unter der Bedingung der Erniedrigung des Objekts und nimmt daher diese Bedingung in sein späteres Liebesleben mit.</w:t>
      </w:r>
    </w:p>
    <w:p w:rsidR="008725BE" w:rsidRPr="008725BE" w:rsidRDefault="008725BE" w:rsidP="008725BE">
      <w:pPr>
        <w:pStyle w:val="Sansinterligne"/>
        <w:rPr>
          <w:rFonts w:ascii="Garamond" w:hAnsi="Garamond"/>
          <w:lang w:val="en-GB"/>
        </w:rPr>
      </w:pPr>
      <w:r w:rsidRPr="008725BE">
        <w:rPr>
          <w:rFonts w:ascii="Garamond" w:hAnsi="Garamond"/>
          <w:lang w:val="en-GB"/>
        </w:rPr>
        <w:t>Angesichts der in der heutigen Kulturwelt so lebhaften Bestrebungen nach einer Reform des Sexuallebens ist es nicht überflüssig, daran zu erinnern, daß die psychoanalytische Forschung Tendenzen so wenig kennt wie irgendeine andere. Sie will nichts anderes als Zusammenhänge aufdecken, indem sie Offenkundiges auf Verborgenes zurückführt. Es soll ihr dann recht sein, wenn die Reformen sich ihrer Ermittlungen bedienen, um Vorteilhafteres an Stelle des Schädlichen zu setzen. Sie kann aber nicht vorhersagen, ob andere Institutionen nicht andere, vielleicht schwerere Opfer zur Folge haben müßten.</w:t>
      </w:r>
    </w:p>
    <w:p w:rsidR="008725BE" w:rsidRPr="008725BE" w:rsidRDefault="008725BE" w:rsidP="008725BE">
      <w:pPr>
        <w:pStyle w:val="Sansinterligne"/>
        <w:rPr>
          <w:rFonts w:ascii="Garamond" w:hAnsi="Garamond"/>
          <w:caps/>
          <w:lang w:val="en-GB"/>
        </w:rPr>
      </w:pPr>
      <w:r w:rsidRPr="008725BE">
        <w:rPr>
          <w:rFonts w:ascii="Garamond" w:hAnsi="Garamond"/>
          <w:caps/>
          <w:lang w:val="en-GB"/>
        </w:rPr>
        <w:t>3</w:t>
      </w:r>
    </w:p>
    <w:p w:rsidR="008725BE" w:rsidRPr="008725BE" w:rsidRDefault="008725BE" w:rsidP="008725BE">
      <w:pPr>
        <w:pStyle w:val="Sansinterligne"/>
        <w:rPr>
          <w:rFonts w:ascii="Garamond" w:hAnsi="Garamond"/>
          <w:lang w:val="en-GB"/>
        </w:rPr>
      </w:pPr>
      <w:r w:rsidRPr="008725BE">
        <w:rPr>
          <w:rFonts w:ascii="Garamond" w:hAnsi="Garamond"/>
          <w:lang w:val="en-GB"/>
        </w:rPr>
        <w:t>Die Tatsache, daß die kulturelle Zügelung des Liebeslebens eine allgemeinste Erniedrigung der Sexualobjekte mit sich bringt, mag uns veranlassen, unseren Blick von den Objekten weg auf die Triebe selbst zu lenken. Der Schaden der anfänglichen Versagung des Sexualgenusses äußert sich darin, daß dessen spätere Freigebung in der Ehe nicht mehr voll befriedigend wirkt. Aber auch die uneingeschränkte Sexualfreiheit von Anfang an führt zu keinem besseren Ergebnis. Es ist leicht festzustellen, daß der psychische Wert des Liebesbedürfnisses sofort sinkt, sobald ihm die Befriedigung bequem gemacht wird. Es bedarf eines Hindernisses, um die Libido in die Höhe zu treiben, und wo die natürlichen Widerstände gegen die Befriedigung nicht ausreichen, haben die Menschen zu allen Zeiten konventionelle eingeschaltet, um die Liebe genießen zu können. Dies gilt für Individuen wie für Völker. In Zeiten, in denen die Liebesbefriedigung keine Schwierigkeiten fand, wie etwa während des Niederganges der antiken Kultur, wurde die Liebe wertlos, das Leben leer, und es bedurfte starker Reaktionsbildungen, um die unentbehrlichen Affektwerte wiederherzustellen. In diesem Zusammenhange kann man behaupten, daß die asketische Strömung des Christentums für die Liebe psychische Wertungen geschaffen hat, die ihr das heidnische Altertum nie verleihen konnte. Zur höchsten Bedeutung gelangte sie bei den asketischen Mönchen, deren Leben fast allein von dem Kampfe gegen die libidinöse Versuchung ausgefüllt war.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 ist gewiß zunächst geneigt, die Schwierigkeiten, die sich hier ergeben, auf allgemeine Eigenschaften unserer organischen Triebe zurückzuführen. Es ist gewiß auch allgemein richtig, daß die psychische Bedeutung eines Triebes mit seiner Versagung steigt. Man versuche es, eine Anzahl der allerdifferenziertesten Menschen gleichmäßig dem Hungern auszusetzen. Mit der Zunahme des gebieterischen Nahrungsbedürfnisses werden alle individuellen Differenzen sich verwischen und an ihrer Statt die uniformen Äußerungen des einen ungestillten Triebes auftreten. Aber trifft es auch zu, daß mit </w:t>
      </w:r>
      <w:r w:rsidRPr="008725BE">
        <w:rPr>
          <w:rFonts w:ascii="Garamond" w:hAnsi="Garamond"/>
          <w:lang w:val="en-GB"/>
        </w:rPr>
        <w:lastRenderedPageBreak/>
        <w:t xml:space="preserve">der Befriedigung eines Triebes sein psychischer Wert allgemein so sehr herabsinkt? Man denke z. B. an das Verhältnis des Trinkers zum Wein. Ist es nicht richtig, daß dem Trinker der Wein immer die gleiche toxische Befriedigung bietet, die man mit der erotischen so oft in der Poesie verglichen hat und auch vom Standpunkte der wissenschaftlichen Auffassung vergleichen darf? Hat man je davon gehört, daß der Trinker genötigt ist, sein Getränk beständig zu wechseln, weil ihm das gleichbleibende bald nicht mehr schmeckt? Im Gegenteil, die Gewöhnung knüpft das Band zwischen dem Manne und der Sorte Wein, die er trinkt, immer enger. Kennt man beim Trinker ein Bedürfnis, in ein Land zu gehen, in dem der Wein teurer oder der Weingenuß verboten ist, um seiner sinkenden Befriedigung durch die Einschiebung solcher Erschwerungen aufzuhelfen? Nichts von alldem. Wenn man die Äußerungen unserer großen Alkoholiker, z. B. Böcklins, über ihr Verhältnis zum Wein anhört </w:t>
      </w:r>
      <w:hyperlink r:id="rId88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G. Floerke (1902, 16).</w:t>
        </w:r>
      </w:hyperlink>
      <w:r w:rsidRPr="008725BE">
        <w:rPr>
          <w:rFonts w:ascii="Garamond" w:hAnsi="Garamond"/>
          <w:lang w:val="en-GB"/>
        </w:rPr>
        <w:t>, es klingt wie die reinste Harmonie, ein Vorbild einer glücklichen Ehe. Warum ist das Verhältnis des Liebenden zu seinem Sexualobjekt so sehr anders?</w:t>
      </w:r>
    </w:p>
    <w:p w:rsidR="008725BE" w:rsidRPr="008725BE" w:rsidRDefault="008725BE" w:rsidP="008725BE">
      <w:pPr>
        <w:pStyle w:val="Sansinterligne"/>
        <w:rPr>
          <w:rFonts w:ascii="Garamond" w:hAnsi="Garamond"/>
          <w:lang w:val="en-GB"/>
        </w:rPr>
      </w:pPr>
      <w:r w:rsidRPr="008725BE">
        <w:rPr>
          <w:rFonts w:ascii="Garamond" w:hAnsi="Garamond"/>
          <w:lang w:val="en-GB"/>
        </w:rPr>
        <w:t>Ich glaube, man müßte sich, so befremdend es auch klingt, mit der Möglichkeit beschäftigen, daß etwas in der Natur des Sexualtriebes selbst dem Zustandekommen der vollen Befriedigung nicht günstig ist. Aus der langen und schwierigen Entwicklungsgeschichte des Triebes heben sich sofort zwei Momente hervor, die man für solche Schwierigkeit verantwortlich machen könnte. Erstens ist infolge des zweimaligen Ansatzes zur Objektwahl mit Dazwischenkunft der Inzestschranke das endgültige Objekt des Sexualtriebes nie mehr das ursprüngliche, sondern nur ein Surrogat dafür. Die Psychoanalyse hat uns aber gelehrt: wenn das ursprüngliche Objekt einer Wunschregung infolge von Verdrängung verlorengegangen ist, so wird es häufig durch eine unendliche Reihe von Ersatzobjekten vertreten, von denen doch keines voll genügt. Dies mag uns die Unbeständigkeit in der Objektwahl, den »Reizhunger« erklären, der dem Liebesleben der Erwachsenen so häufig eignet.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Zweitens wissen wir, daß der Sexualtrieb anfänglich in eine große Reihe von Komponenten zerfällt – vielmehr aus einer solchen hervorgeht –, von denen nicht alle in dessen spätere Gestaltung aufgenommen werden können, sondern vorher unterdrückt oder anders verwendet werden müssen. Es sind vor allem die koprophilen Triebanteile, die sich als unverträglich mit unserer ästhetischen Kultur erwiesen, wahrscheinlich, seitdem wir durch den aufrechten Gang unser Riechorgan von der Erde abgehoben haben; ferner ein gutes Stück der sadistischen Antriebe, die zum Liebesleben gehören. Aber alle solche Entwicklungsvorgänge betreffen nur die oberen Schichten der komplizierten Struktur. Die fundamentellen Vorgänge, welche die Liebeserregung liefern, bleiben ungeändert. Das Exkrementelle ist allzu innig und untrennbar mit dem Sexuellen verwachsen, die Lage der Genitalien – </w:t>
      </w:r>
      <w:r w:rsidRPr="008725BE">
        <w:rPr>
          <w:rFonts w:ascii="Garamond" w:hAnsi="Garamond"/>
          <w:i/>
          <w:iCs/>
          <w:lang w:val="en-GB"/>
        </w:rPr>
        <w:t>inter urinas et faeces</w:t>
      </w:r>
      <w:r w:rsidRPr="008725BE">
        <w:rPr>
          <w:rFonts w:ascii="Garamond" w:hAnsi="Garamond"/>
          <w:lang w:val="en-GB"/>
        </w:rPr>
        <w:t xml:space="preserve"> – bleibt das bestimmende unveränderliche Moment. Man könnte hier, ein bekanntes Wort des großen Napoleon variierend, sagen: die Anatomie ist das Schicksal. Die Genitalien selbst haben die Entwicklung der menschlichen Körperformen zur Schönheit nicht mitgemacht, sie sind tierisch geblieben, und so ist auch die Liebe im Grunde heute ebenso animalisch, wie sie es von jeher war. Die Liebestriebe sind schwer erziehbar, ihre Erziehung ergibt bald zuviel, bald zuwenig. Das, was die Kultur aus ihnen machen will, scheint ohne fühlbare Einbuße an Lust nicht erreichbar, die Fortdauer der unverwerteten Regungen gibt sich bei der Sexualtätigkeit als Unbefriedigung zu erkennen.</w:t>
      </w:r>
    </w:p>
    <w:p w:rsidR="008725BE" w:rsidRPr="008725BE" w:rsidRDefault="008725BE" w:rsidP="008725BE">
      <w:pPr>
        <w:pStyle w:val="Sansinterligne"/>
        <w:rPr>
          <w:rFonts w:ascii="Garamond" w:hAnsi="Garamond"/>
          <w:lang w:val="en-GB"/>
        </w:rPr>
      </w:pPr>
      <w:r w:rsidRPr="008725BE">
        <w:rPr>
          <w:rFonts w:ascii="Garamond" w:hAnsi="Garamond"/>
          <w:lang w:val="en-GB"/>
        </w:rPr>
        <w:t>So müßte man sich denn vielleicht mit dem Gedanken befreunden, daß eine Ausgleichung der Ansprüche des Sexualtriebes mit den Anforderungen der Kultur überhaupt nicht möglich ist, daß Verzicht und Leiden sowie in weitester Ferne die Gefahr des Erlöschens des Menschengeschlechts infolge seiner Kulturentwicklung nicht abgewendet werden können. Diese trübe Prognose ruht allerdings auf der einzigen Vermutung, daß die kulturelle Unbefriedigung die notwendige Folge gewisser Besonderheiten ist, welche der Sexualtrieb unter dem Drucke der Kultur angenommen hat. Die nämliche Unfähigkeit des Sexualtriebes, volle Befriedigung zu ergeben, sobald er den ersten Anforderungen der Kultur unterlegen ist, wird aber zur Quelle der großartigsten Kulturleistungen, welche durch immer weitergehende Sublimierung seiner Triebkomponenten bewerkstelligt werden. Denn welches Motiv hätten die Menschen, sexuelle Triebkräfte anderen Verwendungen zuzuführen, wenn sich aus denselben bei irgendeiner Verteilung volle Lustbefriedigung ergeben hätte? Sie kämen von dieser Lust nicht wieder los und brächten keinen weiteren Fortschritt zustande. So scheint es, daß sie durch die unausgleichbare Differenz zwischen den Anforderungen der beiden Triebe – des sexuellen und des egoistischen – zu immer höheren Leistungen befähigt werden, allerdings unter einer beständigen Gefährdung, welcher die Schwächeren gegenwärtig in der Form der Neurose erliegen.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Wissenschaft hat weder die Absicht zu schrecken noch zu trösten. Aber ich bin selbst gern bereit zuzugeben, daß so weittragende Schlußfolgerungen wie die obenstehenden auf breiterer Basis aufgebaut </w:t>
      </w:r>
      <w:r w:rsidRPr="008725BE">
        <w:rPr>
          <w:rFonts w:ascii="Garamond" w:hAnsi="Garamond"/>
          <w:lang w:val="en-GB"/>
        </w:rPr>
        <w:lastRenderedPageBreak/>
        <w:t>sein sollten und daß vielleicht andere Entwicklungseinrichtungen der Menschheit das Ergebnis der hier isoliert behandelten zu korrigieren vermögen.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90" w:name="KS55"/>
        <w:bookmarkEnd w:id="190"/>
        <w:r w:rsidRPr="008725BE">
          <w:rPr>
            <w:rStyle w:val="Lienhypertexte"/>
            <w:rFonts w:ascii="Garamond" w:hAnsi="Garamond"/>
            <w:b/>
            <w:lang w:val="en-GB"/>
          </w:rPr>
          <w:t>er die Berechtigung, von der Neurasthenie einen bestimmten Symptomenkomplex als “Angstneurose” abzutrennen</w:t>
        </w:r>
      </w:hyperlink>
      <w:r w:rsidRPr="008725BE">
        <w:rPr>
          <w:rFonts w:ascii="Garamond" w:hAnsi="Garamond"/>
          <w:lang w:val="en-GB"/>
        </w:rPr>
        <w:t xml:space="preserve">  </w:t>
      </w:r>
      <w:r w:rsidRPr="008725BE">
        <w:rPr>
          <w:rFonts w:ascii="Garamond" w:hAnsi="Garamond"/>
          <w:caps/>
          <w:lang w:val="en-GB"/>
        </w:rPr>
        <w:t>(1895)</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schwierig, etwas Allgemeingültiges von der Neurasthenie auszusagen, solange man diesen Krankheitsnamen all das bedeuten läßt, wofür Beard ihn gebraucht hat. Die Neuropathologie, meine ich, kann nur dabei gewinnen, wenn man den Versuch macht, von der eigentlichen Neurasthenie alle jene neurotischen Störungen abzusondern, deren Symptome einerseits untereinander fester verknüpft sind als mit den typischen neurasthenischen Symptomen (dem Kopfdruck, der Spinalirritation, der Dyspepsie mit Flatulenz und Obstipation), und die anderseits in ihrer Ätiologie und ihrem Mechanismus wesentliche Verschiedenheiten von der typischen neurasthenischen Neurose erkennen lassen. Nimmt man diese Absicht an, so wird man bald ein ziemlich einförmiges Bild der Neurasthenie gewonnen haben. Man wird es dann dahin bringen, schärfer, als es bisher gelungen ist, verschiedene Pseudoneurasthenien (das Bild der organisch vermittelten nasalen Reflexneurose, die nervösen Störungen der Kachexien und der Arteriosklerose, die Vorstadien der progressiven Paralyse und mancher Psychosen) von echter Neurasthenie zu unterscheiden, ferner werden sich – nach Möbius' Vorschlag – manche </w:t>
      </w:r>
      <w:r w:rsidRPr="008725BE">
        <w:rPr>
          <w:rFonts w:ascii="Garamond" w:hAnsi="Garamond"/>
          <w:i/>
          <w:iCs/>
          <w:lang w:val="en-GB"/>
        </w:rPr>
        <w:t>Status nervosi</w:t>
      </w:r>
      <w:r w:rsidRPr="008725BE">
        <w:rPr>
          <w:rFonts w:ascii="Garamond" w:hAnsi="Garamond"/>
          <w:lang w:val="en-GB"/>
        </w:rPr>
        <w:t xml:space="preserve"> der hereditär Degenerierten abseits stellen lassen, und man wird auch Gründe finden, manche Neurosen, die man heute Neurasthenie heißt, besonders intermittierender oder periodischer Natur, vielmehr der Melancholie zuzurechnen. Die einschneidendste Veränderung bahnt man aber an, wenn man sich entschließt, von der Neurasthenie jenen Symptomenkomplex abzutrennen, den ich im folgenden beschreiben werde und der die oben aufgestellten Bedingungen in besonders zureichender Weise erfüllt. Die Symptome dieses Komplexes stehen klinisch einander weit näher als den echt neurasthenischen (d. h. sie kommen häufig zusammen vor, vertreten einander im Krankheitsverlauf), und Ätiologie wie Mechanismus dieser Neurose sind grundverschieden von der Ätiologie und dem Mechanismus der echten Neurasthenie, wie sie uns nach solcher Sonderung erübrigt.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nenne diesen Symptomenkomplex »Angstneurose«, weil dessen sämtliche Bestandteile sich um das Hauptsymptom der Angst gruppieren lassen, weil jeder einzelne von ihnen eine bestimmte Beziehung zur Angst besitzt. Ich glaubte, mit dieser Auffassung der Symptome der Angstneurose originell zu sein, bis mir ein interessanter Vortrag von E. Hecker </w:t>
      </w:r>
      <w:hyperlink r:id="rId88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 Hecker (1893). – Die Angst wird geradezu unter den Hauptsymptomen der Neurasthenie angeführt in der Studie von Kaan (1893).</w:t>
        </w:r>
      </w:hyperlink>
      <w:r w:rsidRPr="008725BE">
        <w:rPr>
          <w:rFonts w:ascii="Garamond" w:hAnsi="Garamond"/>
          <w:lang w:val="en-GB"/>
        </w:rPr>
        <w:t xml:space="preserve"> in die Hände fiel, in welchem ich die nämliche Deutung mit aller wünschenswerten Klarheit und Vollständigkeit dargelegt fand. Hecker löst die von ihm als Äquivalente oder Rudimente des Angstanfalles erkannten Symptome allerdings nicht aus dem Zusammenhange der Neurasthenie, wie ich es beabsichtige; allein dies rührt offenbar daher, daß er auf die Verschiedenheit der ätiologischen Bedingungen hier und dort keine Rücksicht genommen hat. Mit der Kenntnis dieser letzteren Differenz entfällt jeder Zwang, die Angstsymptome mit demselben Namen wie die echt neurasthenischen zu bezeichnen, denn die sonst willkürliche Namengebung hat vor allem den Zweck, uns die Aufstellung allgemeiner Behauptungen zu erleichtern.</w:t>
      </w:r>
    </w:p>
    <w:p w:rsidR="008725BE" w:rsidRPr="008725BE" w:rsidRDefault="008725BE" w:rsidP="008725BE">
      <w:pPr>
        <w:pStyle w:val="Sansinterligne"/>
        <w:rPr>
          <w:rFonts w:ascii="Garamond" w:hAnsi="Garamond"/>
        </w:rPr>
      </w:pPr>
      <w:r w:rsidRPr="008725BE">
        <w:rPr>
          <w:rFonts w:ascii="Garamond" w:hAnsi="Garamond"/>
        </w:rPr>
        <w:t>I. Die klinische Symptomatologie der Angstneurose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Was ich »Angstneurose« nenne, kommt in vollständiger oder rudimentärer Ausbildung, isoliert oder in Kombination mit anderen Neurosen zur Beobachtung. Die einigermaßen vollständigen und dabei isolierten Fälle sind natürlich diejenigen, welche den Eindruck, daß die Angstneurose klinische Selbständigkeit besitze, besonders unterstützen. In anderen Fällen steht man vor der Aufgabe, aus einem Symptomenkomplex, welcher einer » </w:t>
      </w:r>
      <w:r w:rsidRPr="008725BE">
        <w:rPr>
          <w:rFonts w:ascii="Garamond" w:hAnsi="Garamond"/>
          <w:i/>
          <w:iCs/>
          <w:lang w:val="en-GB"/>
        </w:rPr>
        <w:t>gemischten</w:t>
      </w:r>
      <w:r w:rsidRPr="008725BE">
        <w:rPr>
          <w:rFonts w:ascii="Garamond" w:hAnsi="Garamond"/>
          <w:lang w:val="en-GB"/>
        </w:rPr>
        <w:t xml:space="preserve"> Neurose« entspricht, diejenigen herauszuklauben und zu sondern, die nicht der Neurasthenie, Hysterie u. dgl., sondern der Angstneurose zugehören.</w:t>
      </w:r>
    </w:p>
    <w:p w:rsidR="008725BE" w:rsidRPr="008725BE" w:rsidRDefault="008725BE" w:rsidP="008725BE">
      <w:pPr>
        <w:pStyle w:val="Sansinterligne"/>
        <w:rPr>
          <w:rFonts w:ascii="Garamond" w:hAnsi="Garamond"/>
        </w:rPr>
      </w:pPr>
      <w:r w:rsidRPr="008725BE">
        <w:rPr>
          <w:rFonts w:ascii="Garamond" w:hAnsi="Garamond"/>
        </w:rPr>
        <w:t>Das klinische Bild der Angstneurose umfaßt folgende Symptome:</w:t>
      </w:r>
    </w:p>
    <w:p w:rsidR="008725BE" w:rsidRPr="008725BE" w:rsidRDefault="008725BE" w:rsidP="008725BE">
      <w:pPr>
        <w:pStyle w:val="Sansinterligne"/>
        <w:rPr>
          <w:rFonts w:ascii="Garamond" w:hAnsi="Garamond"/>
          <w:lang w:val="en-GB"/>
        </w:rPr>
      </w:pPr>
      <w:r w:rsidRPr="008725BE">
        <w:rPr>
          <w:rFonts w:ascii="Garamond" w:hAnsi="Garamond"/>
        </w:rPr>
        <w:t xml:space="preserve">1) </w:t>
      </w:r>
      <w:r w:rsidRPr="008725BE">
        <w:rPr>
          <w:rFonts w:ascii="Garamond" w:hAnsi="Garamond"/>
          <w:i/>
          <w:iCs/>
        </w:rPr>
        <w:t>Die allgemeine Reizbarkeit.</w:t>
      </w:r>
      <w:r w:rsidRPr="008725BE">
        <w:rPr>
          <w:rFonts w:ascii="Garamond" w:hAnsi="Garamond"/>
        </w:rPr>
        <w:t xml:space="preserve"> </w:t>
      </w:r>
      <w:r w:rsidRPr="008725BE">
        <w:rPr>
          <w:rFonts w:ascii="Garamond" w:hAnsi="Garamond"/>
          <w:lang w:val="en-GB"/>
        </w:rPr>
        <w:t xml:space="preserve">Diese ist ein häufiges nervöses Symptom, als solches vielen </w:t>
      </w:r>
      <w:r w:rsidRPr="008725BE">
        <w:rPr>
          <w:rFonts w:ascii="Garamond" w:hAnsi="Garamond"/>
          <w:i/>
          <w:iCs/>
          <w:lang w:val="en-GB"/>
        </w:rPr>
        <w:t>Status nervosi</w:t>
      </w:r>
      <w:r w:rsidRPr="008725BE">
        <w:rPr>
          <w:rFonts w:ascii="Garamond" w:hAnsi="Garamond"/>
          <w:lang w:val="en-GB"/>
        </w:rPr>
        <w:t xml:space="preserve"> eigen. Ich führe sie hier an, weil sie bei der Angstneurose konstant vorkommt und theoretisch bedeutsam ist. Gesteigerte Reizbarkeit deutet ja stets auf Anhäufung von Erregung oder auf Unfähigkeit, Anhäufung zu ertragen, also auf </w:t>
      </w:r>
      <w:r w:rsidRPr="008725BE">
        <w:rPr>
          <w:rFonts w:ascii="Garamond" w:hAnsi="Garamond"/>
          <w:i/>
          <w:iCs/>
          <w:lang w:val="en-GB"/>
        </w:rPr>
        <w:t>absolute</w:t>
      </w:r>
      <w:r w:rsidRPr="008725BE">
        <w:rPr>
          <w:rFonts w:ascii="Garamond" w:hAnsi="Garamond"/>
          <w:lang w:val="en-GB"/>
        </w:rPr>
        <w:t xml:space="preserve"> oder </w:t>
      </w:r>
      <w:r w:rsidRPr="008725BE">
        <w:rPr>
          <w:rFonts w:ascii="Garamond" w:hAnsi="Garamond"/>
          <w:i/>
          <w:iCs/>
          <w:lang w:val="en-GB"/>
        </w:rPr>
        <w:t>relative</w:t>
      </w:r>
      <w:r w:rsidRPr="008725BE">
        <w:rPr>
          <w:rFonts w:ascii="Garamond" w:hAnsi="Garamond"/>
          <w:lang w:val="en-GB"/>
        </w:rPr>
        <w:t xml:space="preserve"> Reizanhäufung. Einer besonderen Hervorhebung wert finde ich den Ausdruck dieser gesteigerten Reizbarkeit durch eine </w:t>
      </w:r>
      <w:r w:rsidRPr="008725BE">
        <w:rPr>
          <w:rFonts w:ascii="Garamond" w:hAnsi="Garamond"/>
          <w:i/>
          <w:iCs/>
          <w:lang w:val="en-GB"/>
        </w:rPr>
        <w:t>Gehörshyperästhesie</w:t>
      </w:r>
      <w:r w:rsidRPr="008725BE">
        <w:rPr>
          <w:rFonts w:ascii="Garamond" w:hAnsi="Garamond"/>
          <w:lang w:val="en-GB"/>
        </w:rPr>
        <w:t xml:space="preserve">, eine Überempfindlichkeit gegen Geräusche, welches Symptom sicherlich durch die mitgeborene innige Beziehung zwischen Gehörseindrücken und Erschrecken zu erklären ist. Die Gehörshyperästhesie findet sich häufig als Ursache der </w:t>
      </w:r>
      <w:r w:rsidRPr="008725BE">
        <w:rPr>
          <w:rFonts w:ascii="Garamond" w:hAnsi="Garamond"/>
          <w:i/>
          <w:iCs/>
          <w:lang w:val="en-GB"/>
        </w:rPr>
        <w:t>Schlaflosigkeit</w:t>
      </w:r>
      <w:r w:rsidRPr="008725BE">
        <w:rPr>
          <w:rFonts w:ascii="Garamond" w:hAnsi="Garamond"/>
          <w:lang w:val="en-GB"/>
        </w:rPr>
        <w:t>, von welcher mehr als eine Form zur Angstneurose gehört.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2) </w:t>
      </w:r>
      <w:r w:rsidRPr="008725BE">
        <w:rPr>
          <w:rFonts w:ascii="Garamond" w:hAnsi="Garamond"/>
          <w:i/>
          <w:iCs/>
          <w:lang w:val="en-GB"/>
        </w:rPr>
        <w:t>Die ängstliche Erwartung.</w:t>
      </w:r>
      <w:r w:rsidRPr="008725BE">
        <w:rPr>
          <w:rFonts w:ascii="Garamond" w:hAnsi="Garamond"/>
          <w:lang w:val="en-GB"/>
        </w:rPr>
        <w:t xml:space="preserve"> Ich kann den Zustand, den ich meine, nicht besser erläutern als durch diesen Namen und einige beigefügte Beispiele. Eine Frau z. B., die an ängstlicher Erwartung leidet, denkt bei jedem Hustenstoße ihres katarrhalisch affizierten Mannes an Influenzapneumonie und sieht im Geiste </w:t>
      </w:r>
      <w:r w:rsidRPr="008725BE">
        <w:rPr>
          <w:rFonts w:ascii="Garamond" w:hAnsi="Garamond"/>
          <w:lang w:val="en-GB"/>
        </w:rPr>
        <w:lastRenderedPageBreak/>
        <w:t>seinen Leichenzug vorüberziehen. Wenn sie auf dem Wege nach Hause zwei Personen vor ihrem Haustor beisammenstehend sieht, kann sie sich des Gedankens nicht erwehren, daß eines ihrer Kinder aus dem Fenster gestürzt sei; wenn sie die Glocke läuten hört, so bringt man ihr eine Trauerbotschaft u. dgl., während doch in allen diesen Fällen kein besonderer Anlaß zur Verstärkung einer bloßen Möglichkeit vorliegt.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ängstliche Erwartung klingt natürlich stetig ins Normale ab, umfaßt alles, was man gemeinhin als »Ängstlichkeit, Neigung zu pessimistischer Auffassung der Dinge« bezeichnet, geht aber so oft als möglich über solche plausible Ängstlichkeit hinaus und ist häufig selbst für den Kranken als eine Art von Zwang erkenntlich. Für eine Form der ängstlichen Erwartung, nämlich für die in bezug auf die eigene Gesundheit, kann man den alten Krankheitsnamen </w:t>
      </w:r>
      <w:r w:rsidRPr="008725BE">
        <w:rPr>
          <w:rFonts w:ascii="Garamond" w:hAnsi="Garamond"/>
          <w:i/>
          <w:iCs/>
          <w:lang w:val="en-GB"/>
        </w:rPr>
        <w:t>Hypochondrie</w:t>
      </w:r>
      <w:r w:rsidRPr="008725BE">
        <w:rPr>
          <w:rFonts w:ascii="Garamond" w:hAnsi="Garamond"/>
          <w:lang w:val="en-GB"/>
        </w:rPr>
        <w:t xml:space="preserve"> reservieren. Die Hypochondrie geht nicht immer der Höhe der allgemeinen ängstlichen Erwartung parallel, sie verlangt als Vorbedingung die Existenz von Parästhesien und peinlichen Körperempfindungen, und so wird die Hypochondrie die Form, welche die echten Neurastheniker bevorzugen, sobald sie, was häufig geschieht, der Angstneurose verfallen.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weitere Äußerung der ängstlichen Erwartung dürfte die bei moralisch empfindlicheren Personen so häufige Neigung zur </w:t>
      </w:r>
      <w:r w:rsidRPr="008725BE">
        <w:rPr>
          <w:rFonts w:ascii="Garamond" w:hAnsi="Garamond"/>
          <w:i/>
          <w:iCs/>
          <w:lang w:val="en-GB"/>
        </w:rPr>
        <w:t>Gewissensangst</w:t>
      </w:r>
      <w:r w:rsidRPr="008725BE">
        <w:rPr>
          <w:rFonts w:ascii="Garamond" w:hAnsi="Garamond"/>
          <w:lang w:val="en-GB"/>
        </w:rPr>
        <w:t xml:space="preserve">, zur Skrupulosität und Pedanterie sein, die gleichfalls vom Normalen bis zur Steigerung als </w:t>
      </w:r>
      <w:r w:rsidRPr="008725BE">
        <w:rPr>
          <w:rFonts w:ascii="Garamond" w:hAnsi="Garamond"/>
          <w:i/>
          <w:iCs/>
          <w:lang w:val="en-GB"/>
        </w:rPr>
        <w:t>Zweifelsucht</w:t>
      </w:r>
      <w:r w:rsidRPr="008725BE">
        <w:rPr>
          <w:rFonts w:ascii="Garamond" w:hAnsi="Garamond"/>
          <w:lang w:val="en-GB"/>
        </w:rPr>
        <w:t xml:space="preserve"> variiert.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ängstliche Erwartung ist das Kernsymptom der Neurose; in ihr liegt auch ein Stück von der Theorie derselben frei zutage. Man kann etwa sagen, daß hier ein </w:t>
      </w:r>
      <w:r w:rsidRPr="008725BE">
        <w:rPr>
          <w:rFonts w:ascii="Garamond" w:hAnsi="Garamond"/>
          <w:i/>
          <w:iCs/>
          <w:lang w:val="en-GB"/>
        </w:rPr>
        <w:t>Quantum Angst frei flottierend</w:t>
      </w:r>
      <w:r w:rsidRPr="008725BE">
        <w:rPr>
          <w:rFonts w:ascii="Garamond" w:hAnsi="Garamond"/>
          <w:lang w:val="en-GB"/>
        </w:rPr>
        <w:t xml:space="preserve"> vorhanden ist, welches bei der Erwartung die Auswahl der Vorstellungen beherrscht und jederzeit bereit ist, sich mit irgendeinem passenden Vorstellungsinhalt zu verbinden.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3) Es ist dies nicht die einzige Art, wie die fürs Bewußtsein meist latente, aber konstant lauernde Ängstlichkeit sich äußern kann. Diese kann vielmehr auch plötzlich ins Bewußtsein hereinbrechen, ohne vom Vorstellungsablauf geweckt zu werden, und so einen </w:t>
      </w:r>
      <w:r w:rsidRPr="008725BE">
        <w:rPr>
          <w:rFonts w:ascii="Garamond" w:hAnsi="Garamond"/>
          <w:i/>
          <w:iCs/>
          <w:lang w:val="en-GB"/>
        </w:rPr>
        <w:t>Angstanfall</w:t>
      </w:r>
      <w:r w:rsidRPr="008725BE">
        <w:rPr>
          <w:rFonts w:ascii="Garamond" w:hAnsi="Garamond"/>
          <w:lang w:val="en-GB"/>
        </w:rPr>
        <w:t xml:space="preserve"> hervorrufen. Ein solcher Angstanfall besteht entweder einzig aus dem Angstgefühle ohne jede assoziierte Vorstellung oder mit der naheliegenden Deutung der Lebensvernichtung, des »Schlagtreffens«, des drohenden Wahnsinns, oder aber dem Angstgefühle ist irgendwelche Parästhesie beigemengt (ähnlich der hysterischen Aura), oder endlich mit der Angstempfindung ist eine Störung irgend einer oder mehrerer Körperfunktionen, der Atmung, Herztätigkeit, der vasomotorischen Innervation, der Drüsentätigkeit verbunden. Aus dieser Kombination hebt der Patient bald das eine, bald das andere Moment besonders hervor, er klagt über »Herzkrampf«, »Atemnot«, »Schweißausbrüche«, »Heißhunger« u. dgl., und in seiner Darstellung tritt das Angstgefühl häufig ganz zurück oder wird recht unkenntlich als ein »Schlechtwerden«, »Unbehagen« usw. bezeichnet.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4) Interessant und diagnostisch bedeutsam ist nun, daß das Maß der Mischung dieser Elemente im Angstanfalle ungemein variiert und daß nahezu jedes begleitende Symptom den Anfall ebensowohl allein konstituieren kann wie die Angst selbst. Es gibt demnach </w:t>
      </w:r>
      <w:r w:rsidRPr="008725BE">
        <w:rPr>
          <w:rFonts w:ascii="Garamond" w:hAnsi="Garamond"/>
          <w:i/>
          <w:iCs/>
          <w:lang w:val="en-GB"/>
        </w:rPr>
        <w:t>rudimentäre Angstanfälle</w:t>
      </w:r>
      <w:r w:rsidRPr="008725BE">
        <w:rPr>
          <w:rFonts w:ascii="Garamond" w:hAnsi="Garamond"/>
          <w:lang w:val="en-GB"/>
        </w:rPr>
        <w:t xml:space="preserve"> und </w:t>
      </w:r>
      <w:r w:rsidRPr="008725BE">
        <w:rPr>
          <w:rFonts w:ascii="Garamond" w:hAnsi="Garamond"/>
          <w:i/>
          <w:iCs/>
          <w:lang w:val="en-GB"/>
        </w:rPr>
        <w:t>Äquivalente des Angstanfalles</w:t>
      </w:r>
      <w:r w:rsidRPr="008725BE">
        <w:rPr>
          <w:rFonts w:ascii="Garamond" w:hAnsi="Garamond"/>
          <w:lang w:val="en-GB"/>
        </w:rPr>
        <w:t>, wahrscheinlich alle von der gleichen Bedeutung, die einen großen und bis jetzt wenig gewürdigten Reichtum an Formen zeigen. Das genauere Studium dieser larvierten Angstzustände (Hecker) und ihre diagnostische Trennung von anderen Anfällen dürfte bald zur notwendigen Arbeit für den Neuropathologen werden.</w:t>
      </w:r>
    </w:p>
    <w:p w:rsidR="008725BE" w:rsidRPr="008725BE" w:rsidRDefault="008725BE" w:rsidP="008725BE">
      <w:pPr>
        <w:pStyle w:val="Sansinterligne"/>
        <w:rPr>
          <w:rFonts w:ascii="Garamond" w:hAnsi="Garamond"/>
          <w:lang w:val="en-GB"/>
        </w:rPr>
      </w:pPr>
      <w:r w:rsidRPr="008725BE">
        <w:rPr>
          <w:rFonts w:ascii="Garamond" w:hAnsi="Garamond"/>
          <w:lang w:val="en-GB"/>
        </w:rPr>
        <w:t>Ich füge hier nur die Liste der mir bekannten Formen des Angstanfalles an:</w:t>
      </w:r>
    </w:p>
    <w:p w:rsidR="008725BE" w:rsidRPr="008725BE" w:rsidRDefault="008725BE" w:rsidP="008725BE">
      <w:pPr>
        <w:pStyle w:val="Sansinterligne"/>
        <w:rPr>
          <w:rFonts w:ascii="Garamond" w:hAnsi="Garamond"/>
          <w:lang w:val="en-GB"/>
        </w:rPr>
      </w:pPr>
      <w:r w:rsidRPr="008725BE">
        <w:rPr>
          <w:rFonts w:ascii="Garamond" w:hAnsi="Garamond"/>
          <w:i/>
          <w:iCs/>
          <w:lang w:val="en-GB"/>
        </w:rPr>
        <w:t>a)</w:t>
      </w:r>
      <w:r w:rsidRPr="008725BE">
        <w:rPr>
          <w:rFonts w:ascii="Garamond" w:hAnsi="Garamond"/>
          <w:lang w:val="en-GB"/>
        </w:rPr>
        <w:t xml:space="preserve"> Mit Störungen der </w:t>
      </w:r>
      <w:r w:rsidRPr="008725BE">
        <w:rPr>
          <w:rFonts w:ascii="Garamond" w:hAnsi="Garamond"/>
          <w:i/>
          <w:iCs/>
          <w:lang w:val="en-GB"/>
        </w:rPr>
        <w:t>Herztätigkeit</w:t>
      </w:r>
      <w:r w:rsidRPr="008725BE">
        <w:rPr>
          <w:rFonts w:ascii="Garamond" w:hAnsi="Garamond"/>
          <w:lang w:val="en-GB"/>
        </w:rPr>
        <w:t>, Herzklopfen, mit kurzer Arrhythmie, mit länger anhaltender Tachykardie bis zu schweren Schwächezuständen des Herzens, deren Unterscheidung von organischer Herzaffektion nicht immer leicht ist; Pseudoangina pectoris, ein diagnostisch heikles Gebiet!</w:t>
      </w:r>
    </w:p>
    <w:p w:rsidR="008725BE" w:rsidRPr="008725BE" w:rsidRDefault="008725BE" w:rsidP="008725BE">
      <w:pPr>
        <w:pStyle w:val="Sansinterligne"/>
        <w:rPr>
          <w:rFonts w:ascii="Garamond" w:hAnsi="Garamond"/>
          <w:lang w:val="en-GB"/>
        </w:rPr>
      </w:pPr>
      <w:r w:rsidRPr="008725BE">
        <w:rPr>
          <w:rFonts w:ascii="Garamond" w:hAnsi="Garamond"/>
          <w:i/>
          <w:iCs/>
          <w:lang w:val="en-GB"/>
        </w:rPr>
        <w:t>b)</w:t>
      </w:r>
      <w:r w:rsidRPr="008725BE">
        <w:rPr>
          <w:rFonts w:ascii="Garamond" w:hAnsi="Garamond"/>
          <w:lang w:val="en-GB"/>
        </w:rPr>
        <w:t xml:space="preserve"> Mit Störungen der </w:t>
      </w:r>
      <w:r w:rsidRPr="008725BE">
        <w:rPr>
          <w:rFonts w:ascii="Garamond" w:hAnsi="Garamond"/>
          <w:i/>
          <w:iCs/>
          <w:lang w:val="en-GB"/>
        </w:rPr>
        <w:t>Atmung</w:t>
      </w:r>
      <w:r w:rsidRPr="008725BE">
        <w:rPr>
          <w:rFonts w:ascii="Garamond" w:hAnsi="Garamond"/>
          <w:lang w:val="en-GB"/>
        </w:rPr>
        <w:t>, mehrere Formen von nervöser Dyspnoe, asthmaartigem Anfalle u. dgl. Ich hebe hervor, daß selbst diese Anfälle nicht immer von kenntlicher Angst begleitet sind.</w:t>
      </w:r>
    </w:p>
    <w:p w:rsidR="008725BE" w:rsidRPr="008725BE" w:rsidRDefault="008725BE" w:rsidP="008725BE">
      <w:pPr>
        <w:pStyle w:val="Sansinterligne"/>
        <w:rPr>
          <w:rFonts w:ascii="Garamond" w:hAnsi="Garamond"/>
          <w:lang w:val="en-GB"/>
        </w:rPr>
      </w:pPr>
      <w:r w:rsidRPr="008725BE">
        <w:rPr>
          <w:rFonts w:ascii="Garamond" w:hAnsi="Garamond"/>
          <w:i/>
          <w:iCs/>
          <w:lang w:val="en-GB"/>
        </w:rPr>
        <w:t>c)</w:t>
      </w:r>
      <w:r w:rsidRPr="008725BE">
        <w:rPr>
          <w:rFonts w:ascii="Garamond" w:hAnsi="Garamond"/>
          <w:lang w:val="en-GB"/>
        </w:rPr>
        <w:t xml:space="preserve"> Anfälle von </w:t>
      </w:r>
      <w:r w:rsidRPr="008725BE">
        <w:rPr>
          <w:rFonts w:ascii="Garamond" w:hAnsi="Garamond"/>
          <w:i/>
          <w:iCs/>
          <w:lang w:val="en-GB"/>
        </w:rPr>
        <w:t>Schweißausbrüchen</w:t>
      </w:r>
      <w:r w:rsidRPr="008725BE">
        <w:rPr>
          <w:rFonts w:ascii="Garamond" w:hAnsi="Garamond"/>
          <w:lang w:val="en-GB"/>
        </w:rPr>
        <w:t>, oft nächtlich.</w:t>
      </w:r>
    </w:p>
    <w:p w:rsidR="008725BE" w:rsidRPr="008725BE" w:rsidRDefault="008725BE" w:rsidP="008725BE">
      <w:pPr>
        <w:pStyle w:val="Sansinterligne"/>
        <w:rPr>
          <w:rFonts w:ascii="Garamond" w:hAnsi="Garamond"/>
          <w:lang w:val="en-GB"/>
        </w:rPr>
      </w:pPr>
      <w:r w:rsidRPr="008725BE">
        <w:rPr>
          <w:rFonts w:ascii="Garamond" w:hAnsi="Garamond"/>
          <w:i/>
          <w:iCs/>
          <w:lang w:val="en-GB"/>
        </w:rPr>
        <w:t>d)</w:t>
      </w:r>
      <w:r w:rsidRPr="008725BE">
        <w:rPr>
          <w:rFonts w:ascii="Garamond" w:hAnsi="Garamond"/>
          <w:lang w:val="en-GB"/>
        </w:rPr>
        <w:t xml:space="preserve"> Anfälle von </w:t>
      </w:r>
      <w:r w:rsidRPr="008725BE">
        <w:rPr>
          <w:rFonts w:ascii="Garamond" w:hAnsi="Garamond"/>
          <w:i/>
          <w:iCs/>
          <w:lang w:val="en-GB"/>
        </w:rPr>
        <w:t>Zittern</w:t>
      </w:r>
      <w:r w:rsidRPr="008725BE">
        <w:rPr>
          <w:rFonts w:ascii="Garamond" w:hAnsi="Garamond"/>
          <w:lang w:val="en-GB"/>
        </w:rPr>
        <w:t xml:space="preserve"> und </w:t>
      </w:r>
      <w:r w:rsidRPr="008725BE">
        <w:rPr>
          <w:rFonts w:ascii="Garamond" w:hAnsi="Garamond"/>
          <w:i/>
          <w:iCs/>
          <w:lang w:val="en-GB"/>
        </w:rPr>
        <w:t>Schütteln</w:t>
      </w:r>
      <w:r w:rsidRPr="008725BE">
        <w:rPr>
          <w:rFonts w:ascii="Garamond" w:hAnsi="Garamond"/>
          <w:lang w:val="en-GB"/>
        </w:rPr>
        <w:t>, die nur zu leicht mit hysterischen verwechselt werden.</w:t>
      </w:r>
    </w:p>
    <w:p w:rsidR="008725BE" w:rsidRPr="008725BE" w:rsidRDefault="008725BE" w:rsidP="008725BE">
      <w:pPr>
        <w:pStyle w:val="Sansinterligne"/>
        <w:rPr>
          <w:rFonts w:ascii="Garamond" w:hAnsi="Garamond"/>
          <w:lang w:val="en-GB"/>
        </w:rPr>
      </w:pPr>
      <w:r w:rsidRPr="008725BE">
        <w:rPr>
          <w:rFonts w:ascii="Garamond" w:hAnsi="Garamond"/>
          <w:i/>
          <w:iCs/>
          <w:lang w:val="en-GB"/>
        </w:rPr>
        <w:t>e)</w:t>
      </w:r>
      <w:r w:rsidRPr="008725BE">
        <w:rPr>
          <w:rFonts w:ascii="Garamond" w:hAnsi="Garamond"/>
          <w:lang w:val="en-GB"/>
        </w:rPr>
        <w:t xml:space="preserve"> Anfälle von </w:t>
      </w:r>
      <w:r w:rsidRPr="008725BE">
        <w:rPr>
          <w:rFonts w:ascii="Garamond" w:hAnsi="Garamond"/>
          <w:i/>
          <w:iCs/>
          <w:lang w:val="en-GB"/>
        </w:rPr>
        <w:t>Heißhunger</w:t>
      </w:r>
      <w:r w:rsidRPr="008725BE">
        <w:rPr>
          <w:rFonts w:ascii="Garamond" w:hAnsi="Garamond"/>
          <w:lang w:val="en-GB"/>
        </w:rPr>
        <w:t>, oft mit Schwindel verbunden.</w:t>
      </w:r>
    </w:p>
    <w:p w:rsidR="008725BE" w:rsidRPr="008725BE" w:rsidRDefault="008725BE" w:rsidP="008725BE">
      <w:pPr>
        <w:pStyle w:val="Sansinterligne"/>
        <w:rPr>
          <w:rFonts w:ascii="Garamond" w:hAnsi="Garamond"/>
          <w:lang w:val="en-GB"/>
        </w:rPr>
      </w:pPr>
      <w:r w:rsidRPr="008725BE">
        <w:rPr>
          <w:rFonts w:ascii="Garamond" w:hAnsi="Garamond"/>
          <w:i/>
          <w:iCs/>
          <w:lang w:val="en-GB"/>
        </w:rPr>
        <w:t>f)</w:t>
      </w:r>
      <w:r w:rsidRPr="008725BE">
        <w:rPr>
          <w:rFonts w:ascii="Garamond" w:hAnsi="Garamond"/>
          <w:lang w:val="en-GB"/>
        </w:rPr>
        <w:t xml:space="preserve"> Anfallsweise auftretende </w:t>
      </w:r>
      <w:r w:rsidRPr="008725BE">
        <w:rPr>
          <w:rFonts w:ascii="Garamond" w:hAnsi="Garamond"/>
          <w:i/>
          <w:iCs/>
          <w:lang w:val="en-GB"/>
        </w:rPr>
        <w:t>Diarrhöen</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i/>
          <w:iCs/>
          <w:lang w:val="en-GB"/>
        </w:rPr>
        <w:t>g)</w:t>
      </w:r>
      <w:r w:rsidRPr="008725BE">
        <w:rPr>
          <w:rFonts w:ascii="Garamond" w:hAnsi="Garamond"/>
          <w:lang w:val="en-GB"/>
        </w:rPr>
        <w:t xml:space="preserve"> Anfälle von lokomotorischem </w:t>
      </w:r>
      <w:r w:rsidRPr="008725BE">
        <w:rPr>
          <w:rFonts w:ascii="Garamond" w:hAnsi="Garamond"/>
          <w:i/>
          <w:iCs/>
          <w:lang w:val="en-GB"/>
        </w:rPr>
        <w:t>Schwindel</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i/>
          <w:iCs/>
          <w:lang w:val="en-GB"/>
        </w:rPr>
        <w:t>h)</w:t>
      </w:r>
      <w:r w:rsidRPr="008725BE">
        <w:rPr>
          <w:rFonts w:ascii="Garamond" w:hAnsi="Garamond"/>
          <w:lang w:val="en-GB"/>
        </w:rPr>
        <w:t xml:space="preserve"> Anfälle von sogenannten </w:t>
      </w:r>
      <w:r w:rsidRPr="008725BE">
        <w:rPr>
          <w:rFonts w:ascii="Garamond" w:hAnsi="Garamond"/>
          <w:i/>
          <w:iCs/>
          <w:lang w:val="en-GB"/>
        </w:rPr>
        <w:t>Kongestionen</w:t>
      </w:r>
      <w:r w:rsidRPr="008725BE">
        <w:rPr>
          <w:rFonts w:ascii="Garamond" w:hAnsi="Garamond"/>
          <w:lang w:val="en-GB"/>
        </w:rPr>
        <w:t>, so ziemlich alles, was man vasomotorische Neurasthenie genannt hat.</w:t>
      </w:r>
    </w:p>
    <w:p w:rsidR="008725BE" w:rsidRPr="008725BE" w:rsidRDefault="008725BE" w:rsidP="008725BE">
      <w:pPr>
        <w:pStyle w:val="Sansinterligne"/>
        <w:rPr>
          <w:rFonts w:ascii="Garamond" w:hAnsi="Garamond"/>
          <w:lang w:val="en-GB"/>
        </w:rPr>
      </w:pPr>
      <w:r w:rsidRPr="008725BE">
        <w:rPr>
          <w:rFonts w:ascii="Garamond" w:hAnsi="Garamond"/>
          <w:i/>
          <w:iCs/>
          <w:lang w:val="en-GB"/>
        </w:rPr>
        <w:t>i)</w:t>
      </w:r>
      <w:r w:rsidRPr="008725BE">
        <w:rPr>
          <w:rFonts w:ascii="Garamond" w:hAnsi="Garamond"/>
          <w:lang w:val="en-GB"/>
        </w:rPr>
        <w:t xml:space="preserve"> Anfälle von </w:t>
      </w:r>
      <w:r w:rsidRPr="008725BE">
        <w:rPr>
          <w:rFonts w:ascii="Garamond" w:hAnsi="Garamond"/>
          <w:i/>
          <w:iCs/>
          <w:lang w:val="en-GB"/>
        </w:rPr>
        <w:t>Parästhesien</w:t>
      </w:r>
      <w:r w:rsidRPr="008725BE">
        <w:rPr>
          <w:rFonts w:ascii="Garamond" w:hAnsi="Garamond"/>
          <w:lang w:val="en-GB"/>
        </w:rPr>
        <w:t xml:space="preserve"> (diese aber selten ohne Angst oder ein ähnliches Unbehagen).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5) Nichts als eine Abart des Angstanfalles ist sehr häufig das </w:t>
      </w:r>
      <w:r w:rsidRPr="008725BE">
        <w:rPr>
          <w:rFonts w:ascii="Garamond" w:hAnsi="Garamond"/>
          <w:i/>
          <w:iCs/>
          <w:lang w:val="en-GB"/>
        </w:rPr>
        <w:t>nächtliche Aufschrecken</w:t>
      </w:r>
      <w:r w:rsidRPr="008725BE">
        <w:rPr>
          <w:rFonts w:ascii="Garamond" w:hAnsi="Garamond"/>
          <w:lang w:val="en-GB"/>
        </w:rPr>
        <w:t xml:space="preserve"> ( </w:t>
      </w:r>
      <w:r w:rsidRPr="008725BE">
        <w:rPr>
          <w:rFonts w:ascii="Garamond" w:hAnsi="Garamond"/>
          <w:i/>
          <w:iCs/>
          <w:lang w:val="en-GB"/>
        </w:rPr>
        <w:t>pavor nocturnus</w:t>
      </w:r>
      <w:r w:rsidRPr="008725BE">
        <w:rPr>
          <w:rFonts w:ascii="Garamond" w:hAnsi="Garamond"/>
          <w:lang w:val="en-GB"/>
        </w:rPr>
        <w:t xml:space="preserve"> der Erwachsenen), gewöhnlich mit Angst, mit Dyspnoe, Schweiß u. dgl. verbunden. Diese Störung bedingt </w:t>
      </w:r>
      <w:r w:rsidRPr="008725BE">
        <w:rPr>
          <w:rFonts w:ascii="Garamond" w:hAnsi="Garamond"/>
          <w:lang w:val="en-GB"/>
        </w:rPr>
        <w:lastRenderedPageBreak/>
        <w:t xml:space="preserve">eine zweite Form von Schlaflosigkeit im Rahmen der Angstneurose. – Es ist mir übrigens unzweifelhaft geworden, daß auch der </w:t>
      </w:r>
      <w:r w:rsidRPr="008725BE">
        <w:rPr>
          <w:rFonts w:ascii="Garamond" w:hAnsi="Garamond"/>
          <w:i/>
          <w:iCs/>
          <w:lang w:val="en-GB"/>
        </w:rPr>
        <w:t>pavor nocturnus</w:t>
      </w:r>
      <w:r w:rsidRPr="008725BE">
        <w:rPr>
          <w:rFonts w:ascii="Garamond" w:hAnsi="Garamond"/>
          <w:lang w:val="en-GB"/>
        </w:rPr>
        <w:t xml:space="preserve"> der Kinder eine Form zeigt, die zur Angstneurose gehört. Der hysterische Anstrich, die Verknüpfung der Angst mit der Reproduktion eines hiezu geeigneten Erlebnisses oder Traumes, lassen den </w:t>
      </w:r>
      <w:r w:rsidRPr="008725BE">
        <w:rPr>
          <w:rFonts w:ascii="Garamond" w:hAnsi="Garamond"/>
          <w:i/>
          <w:iCs/>
          <w:lang w:val="en-GB"/>
        </w:rPr>
        <w:t>pavor nocturnus</w:t>
      </w:r>
      <w:r w:rsidRPr="008725BE">
        <w:rPr>
          <w:rFonts w:ascii="Garamond" w:hAnsi="Garamond"/>
          <w:lang w:val="en-GB"/>
        </w:rPr>
        <w:t xml:space="preserve"> der Kinder als etwas Besonderes erscheinen; er kommt aber auch rein vor, ohne Traum oder wiederkehrende Halluzination.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6) Eine hervorragende Stellung in der Symptomengruppe der Angstneurose nimmt der » </w:t>
      </w:r>
      <w:r w:rsidRPr="008725BE">
        <w:rPr>
          <w:rFonts w:ascii="Garamond" w:hAnsi="Garamond"/>
          <w:i/>
          <w:iCs/>
          <w:lang w:val="en-GB"/>
        </w:rPr>
        <w:t>Schwindel</w:t>
      </w:r>
      <w:r w:rsidRPr="008725BE">
        <w:rPr>
          <w:rFonts w:ascii="Garamond" w:hAnsi="Garamond"/>
          <w:lang w:val="en-GB"/>
        </w:rPr>
        <w:t xml:space="preserve">« ein, der in seinen leichtesten Formen besser als »Taumel« zu bezeichnen ist, in schwererer Ausbildung als »Schwindelanfall« mit oder ohne Angst zu den folgenschwersten Symptomen der Neurose gehört. Der Schwindel der Angstneurose ist weder ein Drehschwindel, noch läßt er, wie der Ménièresche Schwindel, einzelne Ebenen und Richtungen hervorheben. Er gehört dem lokomotorischen oder koordinatorischen Schwindel an wie der Schwindel bei Augenmuskellähmung; er besteht in einem spezifischen Mißbehagen, begleitet von den Empfindungen, daß der Boden wogt, die Beine versinken, daß es unmöglich ist, sich weiter aufrecht zu halten, und dabei sind die Beine bleischwer, zittern oder knicken ein. Zum Hinstürzen führt dieser Schwindel nie. Dagegen möchte ich behaupten, daß ein solcher Schwindelanfall auch durch einen Anfall von tiefer </w:t>
      </w:r>
      <w:r w:rsidRPr="008725BE">
        <w:rPr>
          <w:rFonts w:ascii="Garamond" w:hAnsi="Garamond"/>
          <w:i/>
          <w:iCs/>
          <w:lang w:val="en-GB"/>
        </w:rPr>
        <w:t>Ohnmacht</w:t>
      </w:r>
      <w:r w:rsidRPr="008725BE">
        <w:rPr>
          <w:rFonts w:ascii="Garamond" w:hAnsi="Garamond"/>
          <w:lang w:val="en-GB"/>
        </w:rPr>
        <w:t xml:space="preserve"> vertreten werden kann. Andere ohnmachtartige Zustände bei der Angstneurose scheinen von einem </w:t>
      </w:r>
      <w:r w:rsidRPr="008725BE">
        <w:rPr>
          <w:rFonts w:ascii="Garamond" w:hAnsi="Garamond"/>
          <w:i/>
          <w:iCs/>
          <w:lang w:val="en-GB"/>
        </w:rPr>
        <w:t>Herzkollaps</w:t>
      </w:r>
      <w:r w:rsidRPr="008725BE">
        <w:rPr>
          <w:rFonts w:ascii="Garamond" w:hAnsi="Garamond"/>
          <w:lang w:val="en-GB"/>
        </w:rPr>
        <w:t xml:space="preserve"> abzuhängen.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Schwindelanfall ist nicht selten von der schlimmsten Art von Angst begleitet, häufig mit Herz- und Atemstörungen kombiniert. Höhenschwindel, Berg- und Abgrundschwindel finden sich nach meinen Beobachtungen gleichfalls bei der Angstneurose häufig vor; auch weiß ich nicht, ob man noch berechtigt ist, nebenher einen </w:t>
      </w:r>
      <w:r w:rsidRPr="008725BE">
        <w:rPr>
          <w:rFonts w:ascii="Garamond" w:hAnsi="Garamond"/>
          <w:i/>
          <w:iCs/>
          <w:lang w:val="en-GB"/>
        </w:rPr>
        <w:t>vertigo a stomacho laeso</w:t>
      </w:r>
      <w:r w:rsidRPr="008725BE">
        <w:rPr>
          <w:rFonts w:ascii="Garamond" w:hAnsi="Garamond"/>
          <w:lang w:val="en-GB"/>
        </w:rPr>
        <w:t xml:space="preserve"> anzuerkennen.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7) Auf Grund der chronischen Ängstlichkeit (ängstliche Erwartung) einerseits, der Neigung zum Schwindelangstanfalle anderseits entwickeln sich zwei Gruppen von typischen Phobien, die erste auf die allgemein physiologischen Bedrohungen, die andere auf die Lokomotion bezüglich. Zur ersten Gruppe gehören die Angst vor Schlangen, Gewitter, Dunkelheit, Ungeziefer u. dgl., sowie die typische moralische Überbedenklichkeit, Formen der Zweifelsucht; hier wird die disponible Angst einfach zur Verstärkung von Abneigungen verwendet, die jedem Menschen instinktiv eingepflanzt sind. Gewöhnlich bildet sich eine zwangsartig wirkende Phobie aber erst dann, wenn eine Reminiszenz an ein Erlebnis hinzukommt, bei welchem diese Angst sich äußern konnte, z. B. nachdem der Kranke ein Gewitter im Freien mitgemacht hat. Man tut unrecht, solche Fälle einfach als </w:t>
      </w:r>
      <w:r w:rsidRPr="008725BE">
        <w:rPr>
          <w:rFonts w:ascii="Garamond" w:hAnsi="Garamond"/>
          <w:i/>
          <w:iCs/>
          <w:lang w:val="en-GB"/>
        </w:rPr>
        <w:t>Fortdauer starker Eindrücke</w:t>
      </w:r>
      <w:r w:rsidRPr="008725BE">
        <w:rPr>
          <w:rFonts w:ascii="Garamond" w:hAnsi="Garamond"/>
          <w:lang w:val="en-GB"/>
        </w:rPr>
        <w:t xml:space="preserve"> erklären zu wollen; was diese Erlebnisse bedeutsam und ihre Erinnerung dauerhaft macht, ist doch nur die Angst, die damals hervortreten konnte und heute ebenso hervortreten kann. Mit anderen Worten, solche Eindrücke bleiben kräftig nur bei Personen mit »ängstlicher Erwartung«.</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andere Gruppe enthält die </w:t>
      </w:r>
      <w:r w:rsidRPr="008725BE">
        <w:rPr>
          <w:rFonts w:ascii="Garamond" w:hAnsi="Garamond"/>
          <w:i/>
          <w:iCs/>
          <w:lang w:val="en-GB"/>
        </w:rPr>
        <w:t>Agoraphobie</w:t>
      </w:r>
      <w:r w:rsidRPr="008725BE">
        <w:rPr>
          <w:rFonts w:ascii="Garamond" w:hAnsi="Garamond"/>
          <w:lang w:val="en-GB"/>
        </w:rPr>
        <w:t xml:space="preserve"> mit allen ihren Nebenarten, sämtliche charakterisiert durch die Beziehung auf die Lokomotion. Ein vorausgegangener Schwindelanfall findet sich hiebei häufig als Begründung der Phobie; ich glaube nicht, daß man ihn jedesmal postulieren darf. Gelegentlich sieht man, daß nach einem ersten Schwindelanfall ohne Angst die Lokomotion zwar beständig von der Sensation des Schwindels begleitet wird, aber ohne Einschränkung möglich bleibt, daß dieselbe aber unter den Bedingungen des Alleinseins, der engen Straße u. dgl. versagt, wenn einmal sich zum Schwindelanfalle Angst hinzugesellt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Verhältnis dieser Phobien zu den Phobien der Zwangsneurose, deren Mechanismus ich in einem früheren Aufsatze </w:t>
      </w:r>
      <w:hyperlink r:id="rId88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›Die Abwehr-Neuropsychosen‹ (1894 </w:t>
        </w:r>
        <w:r w:rsidRPr="008725BE">
          <w:rPr>
            <w:rStyle w:val="innerfusslink3"/>
            <w:rFonts w:ascii="Garamond" w:hAnsi="Garamond" w:cs="Arial"/>
            <w:b/>
            <w:bCs/>
            <w:i/>
            <w:iCs/>
            <w:lang w:val="en-GB"/>
          </w:rPr>
          <w:t>a</w:t>
        </w:r>
        <w:r w:rsidRPr="008725BE">
          <w:rPr>
            <w:rStyle w:val="innerfusslink3"/>
            <w:rFonts w:ascii="Garamond" w:hAnsi="Garamond" w:cs="Arial"/>
            <w:b/>
            <w:bCs/>
            <w:lang w:val="en-GB"/>
          </w:rPr>
          <w:t>).</w:t>
        </w:r>
      </w:hyperlink>
      <w:r w:rsidRPr="008725BE">
        <w:rPr>
          <w:rFonts w:ascii="Garamond" w:hAnsi="Garamond"/>
          <w:lang w:val="en-GB"/>
        </w:rPr>
        <w:t xml:space="preserve"> in diesem Blatte aufgedeckt habe, ist folgender Art: Die Übereinstimmung liegt darin, daß hier wie dort eine Vorstellung zwangsartig wird durch die Verknüpfung mit einem disponiblen Affekt. Der Mechanismus der </w:t>
      </w:r>
      <w:r w:rsidRPr="008725BE">
        <w:rPr>
          <w:rFonts w:ascii="Garamond" w:hAnsi="Garamond"/>
          <w:i/>
          <w:iCs/>
          <w:lang w:val="en-GB"/>
        </w:rPr>
        <w:t>Affektversetzung</w:t>
      </w:r>
      <w:r w:rsidRPr="008725BE">
        <w:rPr>
          <w:rFonts w:ascii="Garamond" w:hAnsi="Garamond"/>
          <w:lang w:val="en-GB"/>
        </w:rPr>
        <w:t xml:space="preserve"> gilt also für beide Arten von Phobien. Bei den Phobien der Angstneurose ist aber 1) dieser Affekt ein monotoner, stets der der Angst; 2) stammt er nicht von einer verdrängten Vorstellung her, sondern erweist sich bei psychologischer Analyse als </w:t>
      </w:r>
      <w:r w:rsidRPr="008725BE">
        <w:rPr>
          <w:rFonts w:ascii="Garamond" w:hAnsi="Garamond"/>
          <w:i/>
          <w:iCs/>
          <w:lang w:val="en-GB"/>
        </w:rPr>
        <w:t>nicht weiter reduzierbar, wie er auch durch Psychotherapie nicht anfechtbar ist</w:t>
      </w:r>
      <w:r w:rsidRPr="008725BE">
        <w:rPr>
          <w:rFonts w:ascii="Garamond" w:hAnsi="Garamond"/>
          <w:lang w:val="en-GB"/>
        </w:rPr>
        <w:t xml:space="preserve">. Der Mechanismus der </w:t>
      </w:r>
      <w:r w:rsidRPr="008725BE">
        <w:rPr>
          <w:rFonts w:ascii="Garamond" w:hAnsi="Garamond"/>
          <w:i/>
          <w:iCs/>
          <w:lang w:val="en-GB"/>
        </w:rPr>
        <w:t>Substitution</w:t>
      </w:r>
      <w:r w:rsidRPr="008725BE">
        <w:rPr>
          <w:rFonts w:ascii="Garamond" w:hAnsi="Garamond"/>
          <w:lang w:val="en-GB"/>
        </w:rPr>
        <w:t xml:space="preserve"> gilt also für die Phobien der Angstneurose nicht.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Beiderlei Arten von Phobien (oder Zwangsvorstellungen) kommen häufig nebeneinander vor, obwohl die </w:t>
      </w:r>
      <w:r w:rsidRPr="008725BE">
        <w:rPr>
          <w:rFonts w:ascii="Garamond" w:hAnsi="Garamond"/>
          <w:i/>
          <w:iCs/>
          <w:lang w:val="en-GB"/>
        </w:rPr>
        <w:t>atypischen</w:t>
      </w:r>
      <w:r w:rsidRPr="008725BE">
        <w:rPr>
          <w:rFonts w:ascii="Garamond" w:hAnsi="Garamond"/>
          <w:lang w:val="en-GB"/>
        </w:rPr>
        <w:t xml:space="preserve"> Phobien, die auf Zwangsvorstellungen beruhen, nicht notwendig auf dem Boden der Angstneurose erwachsen müssen. Ein sehr häufiger, anscheinend komplizierter Mechanismus stellt sich heraus, wenn bei einer ursprünglich einfachen Phobie der Angstneurose der Inhalt der Phobie durch eine andere Vorstellung substituiert wird, die Substitution also nachträglich zur Phobie hinzukommt. Zur Substitution werden am häufigsten die » </w:t>
      </w:r>
      <w:r w:rsidRPr="008725BE">
        <w:rPr>
          <w:rFonts w:ascii="Garamond" w:hAnsi="Garamond"/>
          <w:i/>
          <w:iCs/>
          <w:lang w:val="en-GB"/>
        </w:rPr>
        <w:t>Schutzmaßregeln</w:t>
      </w:r>
      <w:r w:rsidRPr="008725BE">
        <w:rPr>
          <w:rFonts w:ascii="Garamond" w:hAnsi="Garamond"/>
          <w:lang w:val="en-GB"/>
        </w:rPr>
        <w:t xml:space="preserve">« benützt, die ursprünglich zur Bekämpfung der Phobie versucht worden sind. So entsteht z. B. die Grübelsucht aus dem Bestreben, sich den Gegenbeweis zu liefern, daß man nicht verrückt ist, wie die hypochondrische Phobie behauptet: das Zaudern und Zweifeln, noch vielmehr das Repetieren der </w:t>
      </w:r>
      <w:r w:rsidRPr="008725BE">
        <w:rPr>
          <w:rFonts w:ascii="Garamond" w:hAnsi="Garamond"/>
          <w:i/>
          <w:iCs/>
          <w:lang w:val="en-GB"/>
        </w:rPr>
        <w:t>folie du doute</w:t>
      </w:r>
      <w:r w:rsidRPr="008725BE">
        <w:rPr>
          <w:rFonts w:ascii="Garamond" w:hAnsi="Garamond"/>
          <w:lang w:val="en-GB"/>
        </w:rPr>
        <w:t xml:space="preserve"> entspringt dem berechtigten Zweifel in die </w:t>
      </w:r>
      <w:r w:rsidRPr="008725BE">
        <w:rPr>
          <w:rFonts w:ascii="Garamond" w:hAnsi="Garamond"/>
          <w:lang w:val="en-GB"/>
        </w:rPr>
        <w:lastRenderedPageBreak/>
        <w:t xml:space="preserve">Sicherheit des eigenen Gedankenablaufes, da man sich doch so hartnäckiger Störung durch die zwangsartige Vorstellung bewußt ist u. dgl. Man kann daher behaupten, daß auch viele Syndrome der Zwangsneurose, wie die </w:t>
      </w:r>
      <w:r w:rsidRPr="008725BE">
        <w:rPr>
          <w:rFonts w:ascii="Garamond" w:hAnsi="Garamond"/>
          <w:i/>
          <w:iCs/>
          <w:lang w:val="en-GB"/>
        </w:rPr>
        <w:t>folie du doute</w:t>
      </w:r>
      <w:r w:rsidRPr="008725BE">
        <w:rPr>
          <w:rFonts w:ascii="Garamond" w:hAnsi="Garamond"/>
          <w:lang w:val="en-GB"/>
        </w:rPr>
        <w:t xml:space="preserve"> und Ähnliches, klinisch, wenn auch nicht begrifflich, der Angstneurose zuzurechnen sind </w:t>
      </w:r>
      <w:hyperlink r:id="rId89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›Obsessions et phobies‹ (1895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8) Die Verdauungstätigkeit erfährt bei der Angstneurose nur wenige, aber charakteristische Störungen. Sensationen wie Brechneigung und Übligkeiten sind nichts Seltenes, und das Symptom des Heißhungers kann allein oder mit anderen (Kongestionen) einen rudimentären Angstanfall abgeben; als chronische Veränderung, analog der ängstlichen Erwartung, findet man eine Neigung zur Diarrhöe, die zu den seltsamsten diagnostischen Irrtümern Anlaß gegeben hat. Wenn ich nicht irre, ist es diese Diarrhöe, auf welche Möbius (1894) unlängst in einem kleinen Aufsatze die Aufmerksamkeit gelenkt hat. Ich vermute ferner, Peyers reflektorische Diarrhöe, die er von Erkrankungen der Prostata ableitet (Peyer, 1893), ist nichts anderes als diese Diarrhöe der Angstneurose. Eine reflektorische Beziehung wird dadurch vorgetäuscht, daß in der Ätiologie der Angstneurose dieselben Faktoren ins Spiel kommen, die bei der Entstehung von solchen Prostataaffektionen u. dgl. tätig sind.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Verhalten der Magendarmtätigkeit bei der Angstneurose zeigt einen scharfen Gegensatz zu der Beeinflussung derselben Funktion bei der Neurasthenie. Mischfälle zeigen oft die bekannte »Abwechslung von Diarrhöe und Verstopfung«. Der Diarrhöe analog ist der </w:t>
      </w:r>
      <w:r w:rsidRPr="008725BE">
        <w:rPr>
          <w:rFonts w:ascii="Garamond" w:hAnsi="Garamond"/>
          <w:i/>
          <w:iCs/>
          <w:lang w:val="en-GB"/>
        </w:rPr>
        <w:t>Harndrang</w:t>
      </w:r>
      <w:r w:rsidRPr="008725BE">
        <w:rPr>
          <w:rFonts w:ascii="Garamond" w:hAnsi="Garamond"/>
          <w:lang w:val="en-GB"/>
        </w:rPr>
        <w:t xml:space="preserve"> der Angstneurose.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9) Die </w:t>
      </w:r>
      <w:r w:rsidRPr="008725BE">
        <w:rPr>
          <w:rFonts w:ascii="Garamond" w:hAnsi="Garamond"/>
          <w:i/>
          <w:iCs/>
          <w:lang w:val="en-GB"/>
        </w:rPr>
        <w:t>Parästhesien</w:t>
      </w:r>
      <w:r w:rsidRPr="008725BE">
        <w:rPr>
          <w:rFonts w:ascii="Garamond" w:hAnsi="Garamond"/>
          <w:lang w:val="en-GB"/>
        </w:rPr>
        <w:t xml:space="preserve">, die den Schwindel- oder Angstanfall begleiten können, werden dadurch interessant, daß sie sich, ähnlich wie die Sensationen der hysterischen Aura, zu einer festen Reihenfolge assoziieren; doch finde ich diese assoziierten Empfindungen im Gegensatze zu den hysterischen atypisch und wechselnd. Eine weitere Ähnlichkeit mit der Hysterie wird dadurch erzeugt, daß bei der Angstneurose eine Art von </w:t>
      </w:r>
      <w:r w:rsidRPr="008725BE">
        <w:rPr>
          <w:rFonts w:ascii="Garamond" w:hAnsi="Garamond"/>
          <w:i/>
          <w:iCs/>
          <w:lang w:val="en-GB"/>
        </w:rPr>
        <w:t>Konversion</w:t>
      </w:r>
      <w:hyperlink r:id="rId89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Freud: ›Abwehr-Neuropsychosen‹ (1894 </w:t>
        </w:r>
        <w:r w:rsidRPr="008725BE">
          <w:rPr>
            <w:rStyle w:val="innerfusslink3"/>
            <w:rFonts w:ascii="Garamond" w:hAnsi="Garamond" w:cs="Arial"/>
            <w:b/>
            <w:bCs/>
            <w:i/>
            <w:iCs/>
            <w:lang w:val="en-GB"/>
          </w:rPr>
          <w:t>a</w:t>
        </w:r>
        <w:r w:rsidRPr="008725BE">
          <w:rPr>
            <w:rStyle w:val="innerfusslink3"/>
            <w:rFonts w:ascii="Garamond" w:hAnsi="Garamond" w:cs="Arial"/>
            <w:b/>
            <w:bCs/>
            <w:lang w:val="en-GB"/>
          </w:rPr>
          <w:t>).</w:t>
        </w:r>
      </w:hyperlink>
      <w:r w:rsidRPr="008725BE">
        <w:rPr>
          <w:rFonts w:ascii="Garamond" w:hAnsi="Garamond"/>
          <w:lang w:val="en-GB"/>
        </w:rPr>
        <w:t xml:space="preserve"> auf körperliche Sensationen stattfindet, die sonst nach Belieben übersehen werden können, z. B. auf die rheumatischen Muskeln. Eine ganze Anzahl sogenannter Rheumatiker, die übrigens auch als solche nachweisbar sind, leidet eigentlich an – Angstneurose. Neben dieser Steigerung der Schmerzempfindlichkeit habe ich bei einer Anzahl von Fällen der Angstneurose eine Neigung zu </w:t>
      </w:r>
      <w:r w:rsidRPr="008725BE">
        <w:rPr>
          <w:rFonts w:ascii="Garamond" w:hAnsi="Garamond"/>
          <w:i/>
          <w:iCs/>
          <w:lang w:val="en-GB"/>
        </w:rPr>
        <w:t>Halluzinationen</w:t>
      </w:r>
      <w:r w:rsidRPr="008725BE">
        <w:rPr>
          <w:rFonts w:ascii="Garamond" w:hAnsi="Garamond"/>
          <w:lang w:val="en-GB"/>
        </w:rPr>
        <w:t xml:space="preserve"> beobachtet, welch letztere sich nicht als hysterische deuten ließen.</w:t>
      </w:r>
    </w:p>
    <w:p w:rsidR="008725BE" w:rsidRPr="008725BE" w:rsidRDefault="008725BE" w:rsidP="008725BE">
      <w:pPr>
        <w:pStyle w:val="Sansinterligne"/>
        <w:rPr>
          <w:rFonts w:ascii="Garamond" w:hAnsi="Garamond"/>
          <w:lang w:val="en-GB"/>
        </w:rPr>
      </w:pPr>
      <w:r w:rsidRPr="008725BE">
        <w:rPr>
          <w:rFonts w:ascii="Garamond" w:hAnsi="Garamond"/>
          <w:lang w:val="en-GB"/>
        </w:rPr>
        <w:t>10) Mehrere der genannten Symptome, welche den Angstanfall begleiten oder vertreten, kommen auch in chronischer Weise vor. Sie sind dann noch weniger leicht kenntlich, da die sie begleitende ängstliche Empfindung undeutlicher ausfällt als beim Angstanfall. Dies gilt besonders für die Diarrhöe, den Schwindel und die Parästhesien. Wie der Schwindelanfall durch einen Ohnmachtsanfall, so kann der chronische Schwindel durch die andauernde Empfindung großer Hinfälligkeit, Mattigkeit u. dgl. vertreten werden.</w:t>
      </w:r>
    </w:p>
    <w:p w:rsidR="008725BE" w:rsidRPr="008725BE" w:rsidRDefault="008725BE" w:rsidP="008725BE">
      <w:pPr>
        <w:pStyle w:val="Sansinterligne"/>
        <w:rPr>
          <w:rFonts w:ascii="Garamond" w:hAnsi="Garamond"/>
        </w:rPr>
      </w:pPr>
      <w:r w:rsidRPr="008725BE">
        <w:rPr>
          <w:rFonts w:ascii="Garamond" w:hAnsi="Garamond"/>
        </w:rPr>
        <w:t>II. Vorkommen und Ätiologie der Angstneurose</w:t>
      </w:r>
    </w:p>
    <w:p w:rsidR="008725BE" w:rsidRPr="008725BE" w:rsidRDefault="008725BE" w:rsidP="008725BE">
      <w:pPr>
        <w:pStyle w:val="Sansinterligne"/>
        <w:rPr>
          <w:rFonts w:ascii="Garamond" w:hAnsi="Garamond"/>
        </w:rPr>
      </w:pPr>
      <w:r w:rsidRPr="008725BE">
        <w:rPr>
          <w:rFonts w:ascii="Garamond" w:hAnsi="Garamond"/>
        </w:rPr>
        <w:t>In manchen Fällen von Angstneurose läßt sich eine Ätiologie überhaupt nicht erkennen. Es ist bemerkenswert, daß in solchen Fällen der Nachweis einer schweren hereditären Belastung selten auf Schwierigkeiten stößt.</w:t>
      </w:r>
    </w:p>
    <w:p w:rsidR="008725BE" w:rsidRPr="008725BE" w:rsidRDefault="008725BE" w:rsidP="008725BE">
      <w:pPr>
        <w:pStyle w:val="Sansinterligne"/>
        <w:rPr>
          <w:rFonts w:ascii="Garamond" w:hAnsi="Garamond"/>
        </w:rPr>
      </w:pPr>
      <w:r w:rsidRPr="008725BE">
        <w:rPr>
          <w:rFonts w:ascii="Garamond" w:hAnsi="Garamond"/>
        </w:rPr>
        <w:t xml:space="preserve">Wo man aber Grund hat, die Neurose für eine </w:t>
      </w:r>
      <w:r w:rsidRPr="008725BE">
        <w:rPr>
          <w:rFonts w:ascii="Garamond" w:hAnsi="Garamond"/>
          <w:i/>
          <w:iCs/>
        </w:rPr>
        <w:t>erworbene</w:t>
      </w:r>
      <w:r w:rsidRPr="008725BE">
        <w:rPr>
          <w:rFonts w:ascii="Garamond" w:hAnsi="Garamond"/>
        </w:rPr>
        <w:t xml:space="preserve"> zu halten, da findet man bei sorgfältigem, dahin zielendem Examen als ätiologisch wirksame Momente eine Reihe von Schädlichkeiten und Einflüssen aus dem </w:t>
      </w:r>
      <w:r w:rsidRPr="008725BE">
        <w:rPr>
          <w:rFonts w:ascii="Garamond" w:hAnsi="Garamond"/>
          <w:i/>
          <w:iCs/>
        </w:rPr>
        <w:t>Sexualleben</w:t>
      </w:r>
      <w:r w:rsidRPr="008725BE">
        <w:rPr>
          <w:rFonts w:ascii="Garamond" w:hAnsi="Garamond"/>
        </w:rPr>
        <w:t xml:space="preserve">. Dieselben scheinen zunächst mannigfaltiger Natur, lassen aber leicht den gemeinsamen Charakter herausfinden, der ihre gleichartige Wirkung auf das Nervensystem erklärt; sie finden sich ferner entweder allein oder neben anderen </w:t>
      </w:r>
      <w:r w:rsidRPr="008725BE">
        <w:rPr>
          <w:rFonts w:ascii="Garamond" w:hAnsi="Garamond"/>
          <w:i/>
          <w:iCs/>
        </w:rPr>
        <w:t>banalen</w:t>
      </w:r>
      <w:r w:rsidRPr="008725BE">
        <w:rPr>
          <w:rFonts w:ascii="Garamond" w:hAnsi="Garamond"/>
        </w:rPr>
        <w:t xml:space="preserve"> Schädlichkeiten, denen man eine unterstützende Wirkung zuschreiben darf. Diese sexuelle Ätiologie der Angstneurose ist so überwiegend häufig nachzuweisen, daß ich mich getraue, </w:t>
      </w:r>
      <w:r w:rsidRPr="008725BE">
        <w:rPr>
          <w:rFonts w:ascii="Garamond" w:hAnsi="Garamond"/>
          <w:i/>
          <w:iCs/>
        </w:rPr>
        <w:t>für die Zwecke dieser kurzen Mitteilung</w:t>
      </w:r>
      <w:r w:rsidRPr="008725BE">
        <w:rPr>
          <w:rFonts w:ascii="Garamond" w:hAnsi="Garamond"/>
        </w:rPr>
        <w:t xml:space="preserve"> die Fälle mit zweifelhafter oder andersartiger Ätiologie beiseite zu lassen.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Für die genauere Darstellung der ätiologischen Bedingungen, unter denen die Angstneurose vorkommt, wird es sich empfehlen, Männer und Frauen gesondert zu behandeln. Die Angstneurose stellt sich bei </w:t>
      </w:r>
      <w:r w:rsidRPr="008725BE">
        <w:rPr>
          <w:rFonts w:ascii="Garamond" w:hAnsi="Garamond"/>
          <w:i/>
          <w:iCs/>
          <w:lang w:val="en-GB"/>
        </w:rPr>
        <w:t>weiblichen</w:t>
      </w:r>
      <w:r w:rsidRPr="008725BE">
        <w:rPr>
          <w:rFonts w:ascii="Garamond" w:hAnsi="Garamond"/>
          <w:lang w:val="en-GB"/>
        </w:rPr>
        <w:t xml:space="preserve"> Individuen – nun abgesehen von deren Disposition – in folgenden Fällen ein: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a)</w:t>
      </w:r>
      <w:r w:rsidRPr="008725BE">
        <w:rPr>
          <w:rFonts w:ascii="Garamond" w:hAnsi="Garamond"/>
          <w:lang w:val="en-GB"/>
        </w:rPr>
        <w:t xml:space="preserve"> als </w:t>
      </w:r>
      <w:r w:rsidRPr="008725BE">
        <w:rPr>
          <w:rFonts w:ascii="Garamond" w:hAnsi="Garamond"/>
          <w:i/>
          <w:iCs/>
          <w:lang w:val="en-GB"/>
        </w:rPr>
        <w:t>virginale Angst</w:t>
      </w:r>
      <w:r w:rsidRPr="008725BE">
        <w:rPr>
          <w:rFonts w:ascii="Garamond" w:hAnsi="Garamond"/>
          <w:lang w:val="en-GB"/>
        </w:rPr>
        <w:t xml:space="preserve"> oder </w:t>
      </w:r>
      <w:r w:rsidRPr="008725BE">
        <w:rPr>
          <w:rFonts w:ascii="Garamond" w:hAnsi="Garamond"/>
          <w:i/>
          <w:iCs/>
          <w:lang w:val="en-GB"/>
        </w:rPr>
        <w:t>Angst der Adoleszenten</w:t>
      </w:r>
      <w:r w:rsidRPr="008725BE">
        <w:rPr>
          <w:rFonts w:ascii="Garamond" w:hAnsi="Garamond"/>
          <w:lang w:val="en-GB"/>
        </w:rPr>
        <w:t>. Eine Anzahl von unzweideutigen Beobachtungen hat mir gezeigt, daß ein erstes Zusammentreffen mit dem sexuellen Problem, eine einigermaßen plötzliche Enthüllung des bisher Verschleierten, z. B. durch den Anblick eines sexuellen Aktes, eine Mitteilung oder Lektüre, bei heranreifenden Mädchen eine Angstneurose hervorrufen kann, die fast in typischer Weise mit Hysterie kombiniert ist;</w:t>
      </w:r>
    </w:p>
    <w:p w:rsidR="008725BE" w:rsidRPr="008725BE" w:rsidRDefault="008725BE" w:rsidP="008725BE">
      <w:pPr>
        <w:pStyle w:val="Sansinterligne"/>
        <w:rPr>
          <w:rFonts w:ascii="Garamond" w:hAnsi="Garamond"/>
          <w:lang w:val="en-GB"/>
        </w:rPr>
      </w:pPr>
      <w:r w:rsidRPr="008725BE">
        <w:rPr>
          <w:rFonts w:ascii="Garamond" w:hAnsi="Garamond"/>
          <w:i/>
          <w:iCs/>
          <w:lang w:val="en-GB"/>
        </w:rPr>
        <w:t>b)</w:t>
      </w:r>
      <w:r w:rsidRPr="008725BE">
        <w:rPr>
          <w:rFonts w:ascii="Garamond" w:hAnsi="Garamond"/>
          <w:lang w:val="en-GB"/>
        </w:rPr>
        <w:t xml:space="preserve"> als </w:t>
      </w:r>
      <w:r w:rsidRPr="008725BE">
        <w:rPr>
          <w:rFonts w:ascii="Garamond" w:hAnsi="Garamond"/>
          <w:i/>
          <w:iCs/>
          <w:lang w:val="en-GB"/>
        </w:rPr>
        <w:t>Angst der Neuvermählten</w:t>
      </w:r>
      <w:r w:rsidRPr="008725BE">
        <w:rPr>
          <w:rFonts w:ascii="Garamond" w:hAnsi="Garamond"/>
          <w:lang w:val="en-GB"/>
        </w:rPr>
        <w:t xml:space="preserve">. Junge Frauen, die bei den ersten Kohabitationen anästhetisch geblieben sind, verfallen nicht selten der Angstneurose, die wieder verschwindet, nachdem die Anästhesie normaler </w:t>
      </w:r>
      <w:r w:rsidRPr="008725BE">
        <w:rPr>
          <w:rFonts w:ascii="Garamond" w:hAnsi="Garamond"/>
          <w:lang w:val="en-GB"/>
        </w:rPr>
        <w:lastRenderedPageBreak/>
        <w:t>Empfindlichkeit Platz gemacht hat. Da die meisten jungen Frauen bei solcher anfänglicher Anästhesie gesund bleiben, bedarf es für das Zustandekommen dieser Angst Bedingungen, die ich auch angeben werde;</w:t>
      </w:r>
    </w:p>
    <w:p w:rsidR="008725BE" w:rsidRPr="008725BE" w:rsidRDefault="008725BE" w:rsidP="008725BE">
      <w:pPr>
        <w:pStyle w:val="Sansinterligne"/>
        <w:rPr>
          <w:rFonts w:ascii="Garamond" w:hAnsi="Garamond"/>
          <w:lang w:val="en-GB"/>
        </w:rPr>
      </w:pPr>
      <w:r w:rsidRPr="008725BE">
        <w:rPr>
          <w:rFonts w:ascii="Garamond" w:hAnsi="Garamond"/>
          <w:i/>
          <w:iCs/>
          <w:lang w:val="en-GB"/>
        </w:rPr>
        <w:t>c)</w:t>
      </w:r>
      <w:r w:rsidRPr="008725BE">
        <w:rPr>
          <w:rFonts w:ascii="Garamond" w:hAnsi="Garamond"/>
          <w:lang w:val="en-GB"/>
        </w:rPr>
        <w:t xml:space="preserve"> als Angst der Frauen, deren Männer </w:t>
      </w:r>
      <w:r w:rsidRPr="008725BE">
        <w:rPr>
          <w:rFonts w:ascii="Garamond" w:hAnsi="Garamond"/>
          <w:i/>
          <w:iCs/>
          <w:lang w:val="en-GB"/>
        </w:rPr>
        <w:t>ejaculatio praecox</w:t>
      </w:r>
      <w:r w:rsidRPr="008725BE">
        <w:rPr>
          <w:rFonts w:ascii="Garamond" w:hAnsi="Garamond"/>
          <w:lang w:val="en-GB"/>
        </w:rPr>
        <w:t xml:space="preserve"> oder sehr herabgesetzte Potenz zeigen; und</w:t>
      </w:r>
    </w:p>
    <w:p w:rsidR="008725BE" w:rsidRPr="008725BE" w:rsidRDefault="008725BE" w:rsidP="008725BE">
      <w:pPr>
        <w:pStyle w:val="Sansinterligne"/>
        <w:rPr>
          <w:rFonts w:ascii="Garamond" w:hAnsi="Garamond"/>
          <w:lang w:val="en-GB"/>
        </w:rPr>
      </w:pPr>
      <w:r w:rsidRPr="008725BE">
        <w:rPr>
          <w:rFonts w:ascii="Garamond" w:hAnsi="Garamond"/>
          <w:i/>
          <w:iCs/>
          <w:lang w:val="en-GB"/>
        </w:rPr>
        <w:t>d)</w:t>
      </w:r>
      <w:r w:rsidRPr="008725BE">
        <w:rPr>
          <w:rFonts w:ascii="Garamond" w:hAnsi="Garamond"/>
          <w:lang w:val="en-GB"/>
        </w:rPr>
        <w:t xml:space="preserve"> deren Männer den </w:t>
      </w:r>
      <w:r w:rsidRPr="008725BE">
        <w:rPr>
          <w:rFonts w:ascii="Garamond" w:hAnsi="Garamond"/>
          <w:i/>
          <w:iCs/>
          <w:lang w:val="en-GB"/>
        </w:rPr>
        <w:t>coitus interruptus</w:t>
      </w:r>
      <w:r w:rsidRPr="008725BE">
        <w:rPr>
          <w:rFonts w:ascii="Garamond" w:hAnsi="Garamond"/>
          <w:lang w:val="en-GB"/>
        </w:rPr>
        <w:t xml:space="preserve"> oder </w:t>
      </w:r>
      <w:r w:rsidRPr="008725BE">
        <w:rPr>
          <w:rFonts w:ascii="Garamond" w:hAnsi="Garamond"/>
          <w:i/>
          <w:iCs/>
          <w:lang w:val="en-GB"/>
        </w:rPr>
        <w:t>reservatus</w:t>
      </w:r>
      <w:r w:rsidRPr="008725BE">
        <w:rPr>
          <w:rFonts w:ascii="Garamond" w:hAnsi="Garamond"/>
          <w:lang w:val="en-GB"/>
        </w:rPr>
        <w:t xml:space="preserve"> üben. </w:t>
      </w:r>
      <w:r w:rsidRPr="008725BE">
        <w:rPr>
          <w:rFonts w:ascii="Garamond" w:hAnsi="Garamond"/>
          <w:i/>
          <w:iCs/>
          <w:lang w:val="en-GB"/>
        </w:rPr>
        <w:t>Diese</w:t>
      </w:r>
      <w:r w:rsidRPr="008725BE">
        <w:rPr>
          <w:rFonts w:ascii="Garamond" w:hAnsi="Garamond"/>
          <w:lang w:val="en-GB"/>
        </w:rPr>
        <w:t xml:space="preserve"> Fälle gehören zusammen, denn man kann sich bei der Analyse einer großen Anzahl von Beispielen leicht überzeugen, daß es nur darauf ankommt, ob die Frau beim Koitus zur Befriedigung gelangt oder nicht. Im letzteren Falle ist die Bedingung für die Entstehung der Angstneurose gegeben. Dagegen bleibt die Frau von der Neurose verschont, wenn der mit </w:t>
      </w:r>
      <w:r w:rsidRPr="008725BE">
        <w:rPr>
          <w:rFonts w:ascii="Garamond" w:hAnsi="Garamond"/>
          <w:i/>
          <w:iCs/>
          <w:lang w:val="en-GB"/>
        </w:rPr>
        <w:t>ejaculatio praecox</w:t>
      </w:r>
      <w:r w:rsidRPr="008725BE">
        <w:rPr>
          <w:rFonts w:ascii="Garamond" w:hAnsi="Garamond"/>
          <w:lang w:val="en-GB"/>
        </w:rPr>
        <w:t xml:space="preserve"> behaftete Mann den </w:t>
      </w:r>
      <w:r w:rsidRPr="008725BE">
        <w:rPr>
          <w:rFonts w:ascii="Garamond" w:hAnsi="Garamond"/>
          <w:i/>
          <w:iCs/>
          <w:lang w:val="en-GB"/>
        </w:rPr>
        <w:t>congressus</w:t>
      </w:r>
      <w:r w:rsidRPr="008725BE">
        <w:rPr>
          <w:rFonts w:ascii="Garamond" w:hAnsi="Garamond"/>
          <w:lang w:val="en-GB"/>
        </w:rPr>
        <w:t xml:space="preserve"> unmittelbar darauf mit besserem Erfolge wiederholen kann. Der </w:t>
      </w:r>
      <w:r w:rsidRPr="008725BE">
        <w:rPr>
          <w:rFonts w:ascii="Garamond" w:hAnsi="Garamond"/>
          <w:i/>
          <w:iCs/>
          <w:lang w:val="en-GB"/>
        </w:rPr>
        <w:t>congressus reservatus</w:t>
      </w:r>
      <w:r w:rsidRPr="008725BE">
        <w:rPr>
          <w:rFonts w:ascii="Garamond" w:hAnsi="Garamond"/>
          <w:lang w:val="en-GB"/>
        </w:rPr>
        <w:t xml:space="preserve"> mittels des Kondoms stellt für die Frau keine Schädlichkeit dar, wenn sie sehr rasch erregbar und der Mann sehr potent ist; im andern Falle steht diese Art des Präventivverkehrs den andern an Schädlichkeit nicht nach. Der </w:t>
      </w:r>
      <w:r w:rsidRPr="008725BE">
        <w:rPr>
          <w:rFonts w:ascii="Garamond" w:hAnsi="Garamond"/>
          <w:i/>
          <w:iCs/>
          <w:lang w:val="en-GB"/>
        </w:rPr>
        <w:t>coitus interruptus</w:t>
      </w:r>
      <w:r w:rsidRPr="008725BE">
        <w:rPr>
          <w:rFonts w:ascii="Garamond" w:hAnsi="Garamond"/>
          <w:lang w:val="en-GB"/>
        </w:rPr>
        <w:t xml:space="preserve"> ist fast regelmäßig eine Schädlichkeit; für die Frau wird er es aber nur dann, wenn der Mann ihn rücksichtslos übt, d. h. den Koitus unterbricht, sobald </w:t>
      </w:r>
      <w:r w:rsidRPr="008725BE">
        <w:rPr>
          <w:rFonts w:ascii="Garamond" w:hAnsi="Garamond"/>
          <w:i/>
          <w:iCs/>
          <w:lang w:val="en-GB"/>
        </w:rPr>
        <w:t>er</w:t>
      </w:r>
      <w:r w:rsidRPr="008725BE">
        <w:rPr>
          <w:rFonts w:ascii="Garamond" w:hAnsi="Garamond"/>
          <w:lang w:val="en-GB"/>
        </w:rPr>
        <w:t xml:space="preserve"> der Ejakulation nahe ist, ohne sich um den Ablauf der Erregung der Frau zu kümmern. Wartet der Mann im Gegenteile die Befriedigung der </w:t>
      </w:r>
      <w:r w:rsidRPr="008725BE">
        <w:rPr>
          <w:rFonts w:ascii="Garamond" w:hAnsi="Garamond"/>
          <w:i/>
          <w:iCs/>
          <w:lang w:val="en-GB"/>
        </w:rPr>
        <w:t>Frau</w:t>
      </w:r>
      <w:r w:rsidRPr="008725BE">
        <w:rPr>
          <w:rFonts w:ascii="Garamond" w:hAnsi="Garamond"/>
          <w:lang w:val="en-GB"/>
        </w:rPr>
        <w:t xml:space="preserve"> ab, so hat ein solcher Koitus für letztere die Bedeutung eines normalen; es erkrankt aber dann der Mann an Angstneurose. Ich habe eine große Anzahl von Beobachtungen gesammelt und analysiert, aus denen obige Sätze hervorgehen;</w:t>
      </w:r>
    </w:p>
    <w:p w:rsidR="008725BE" w:rsidRPr="008725BE" w:rsidRDefault="008725BE" w:rsidP="008725BE">
      <w:pPr>
        <w:pStyle w:val="Sansinterligne"/>
        <w:rPr>
          <w:rFonts w:ascii="Garamond" w:hAnsi="Garamond"/>
          <w:lang w:val="en-GB"/>
        </w:rPr>
      </w:pPr>
      <w:r w:rsidRPr="008725BE">
        <w:rPr>
          <w:rFonts w:ascii="Garamond" w:hAnsi="Garamond"/>
          <w:i/>
          <w:iCs/>
          <w:lang w:val="en-GB"/>
        </w:rPr>
        <w:t>e)</w:t>
      </w:r>
      <w:r w:rsidRPr="008725BE">
        <w:rPr>
          <w:rFonts w:ascii="Garamond" w:hAnsi="Garamond"/>
          <w:lang w:val="en-GB"/>
        </w:rPr>
        <w:t xml:space="preserve"> als Angst der </w:t>
      </w:r>
      <w:r w:rsidRPr="008725BE">
        <w:rPr>
          <w:rFonts w:ascii="Garamond" w:hAnsi="Garamond"/>
          <w:i/>
          <w:iCs/>
          <w:lang w:val="en-GB"/>
        </w:rPr>
        <w:t>Witwen</w:t>
      </w:r>
      <w:r w:rsidRPr="008725BE">
        <w:rPr>
          <w:rFonts w:ascii="Garamond" w:hAnsi="Garamond"/>
          <w:lang w:val="en-GB"/>
        </w:rPr>
        <w:t xml:space="preserve"> und </w:t>
      </w:r>
      <w:r w:rsidRPr="008725BE">
        <w:rPr>
          <w:rFonts w:ascii="Garamond" w:hAnsi="Garamond"/>
          <w:i/>
          <w:iCs/>
          <w:lang w:val="en-GB"/>
        </w:rPr>
        <w:t>absichtlich Abstinenten</w:t>
      </w:r>
      <w:r w:rsidRPr="008725BE">
        <w:rPr>
          <w:rFonts w:ascii="Garamond" w:hAnsi="Garamond"/>
          <w:lang w:val="en-GB"/>
        </w:rPr>
        <w:t>, nicht selten in typischer Kombination mit Zwangsvorstellungen;</w:t>
      </w:r>
    </w:p>
    <w:p w:rsidR="008725BE" w:rsidRPr="008725BE" w:rsidRDefault="008725BE" w:rsidP="008725BE">
      <w:pPr>
        <w:pStyle w:val="Sansinterligne"/>
        <w:rPr>
          <w:rFonts w:ascii="Garamond" w:hAnsi="Garamond"/>
          <w:lang w:val="en-GB"/>
        </w:rPr>
      </w:pPr>
      <w:r w:rsidRPr="008725BE">
        <w:rPr>
          <w:rFonts w:ascii="Garamond" w:hAnsi="Garamond"/>
          <w:i/>
          <w:iCs/>
          <w:lang w:val="en-GB"/>
        </w:rPr>
        <w:t>f)</w:t>
      </w:r>
      <w:r w:rsidRPr="008725BE">
        <w:rPr>
          <w:rFonts w:ascii="Garamond" w:hAnsi="Garamond"/>
          <w:lang w:val="en-GB"/>
        </w:rPr>
        <w:t xml:space="preserve"> als Angst im </w:t>
      </w:r>
      <w:r w:rsidRPr="008725BE">
        <w:rPr>
          <w:rFonts w:ascii="Garamond" w:hAnsi="Garamond"/>
          <w:i/>
          <w:iCs/>
          <w:lang w:val="en-GB"/>
        </w:rPr>
        <w:t>Klimakterium</w:t>
      </w:r>
      <w:r w:rsidRPr="008725BE">
        <w:rPr>
          <w:rFonts w:ascii="Garamond" w:hAnsi="Garamond"/>
          <w:lang w:val="en-GB"/>
        </w:rPr>
        <w:t xml:space="preserve"> während der letzten großen Steigerung der sexuellen Bedürftigkeit.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Fälle </w:t>
      </w:r>
      <w:r w:rsidRPr="008725BE">
        <w:rPr>
          <w:rFonts w:ascii="Garamond" w:hAnsi="Garamond"/>
          <w:i/>
          <w:iCs/>
          <w:lang w:val="en-GB"/>
        </w:rPr>
        <w:t>c</w:t>
      </w:r>
      <w:r w:rsidRPr="008725BE">
        <w:rPr>
          <w:rFonts w:ascii="Garamond" w:hAnsi="Garamond"/>
          <w:lang w:val="en-GB"/>
        </w:rPr>
        <w:t xml:space="preserve">, </w:t>
      </w:r>
      <w:r w:rsidRPr="008725BE">
        <w:rPr>
          <w:rFonts w:ascii="Garamond" w:hAnsi="Garamond"/>
          <w:i/>
          <w:iCs/>
          <w:lang w:val="en-GB"/>
        </w:rPr>
        <w:t>d</w:t>
      </w:r>
      <w:r w:rsidRPr="008725BE">
        <w:rPr>
          <w:rFonts w:ascii="Garamond" w:hAnsi="Garamond"/>
          <w:lang w:val="en-GB"/>
        </w:rPr>
        <w:t xml:space="preserve"> und </w:t>
      </w:r>
      <w:r w:rsidRPr="008725BE">
        <w:rPr>
          <w:rFonts w:ascii="Garamond" w:hAnsi="Garamond"/>
          <w:i/>
          <w:iCs/>
          <w:lang w:val="en-GB"/>
        </w:rPr>
        <w:t>e</w:t>
      </w:r>
      <w:r w:rsidRPr="008725BE">
        <w:rPr>
          <w:rFonts w:ascii="Garamond" w:hAnsi="Garamond"/>
          <w:lang w:val="en-GB"/>
        </w:rPr>
        <w:t xml:space="preserve"> enthalten die Bedingungen, unter denen die Angstneurose beim weiblichen Geschlecht am häufigsten und am ehesten unabhängig von hereditärer Disposition entsteht. An diesen – heilbaren, erworbenen – Fällen von Angstneurose werde ich den Nachweis zu führen versuchen, daß die aufgefundene sexuelle Schädlichkeit wirklich das ätiologische Moment der Neurose darstellt. Ich will nur vorher auf die sexuellen Bedingungen der Angstneurose bei </w:t>
      </w:r>
      <w:r w:rsidRPr="008725BE">
        <w:rPr>
          <w:rFonts w:ascii="Garamond" w:hAnsi="Garamond"/>
          <w:i/>
          <w:iCs/>
          <w:lang w:val="en-GB"/>
        </w:rPr>
        <w:t>Männern</w:t>
      </w:r>
      <w:r w:rsidRPr="008725BE">
        <w:rPr>
          <w:rFonts w:ascii="Garamond" w:hAnsi="Garamond"/>
          <w:lang w:val="en-GB"/>
        </w:rPr>
        <w:t xml:space="preserve"> eingehen. Hier möchte ich folgende Gruppen aufstellen, die sämtlich ihre Analogien bei den Frauen finden.</w:t>
      </w:r>
    </w:p>
    <w:p w:rsidR="008725BE" w:rsidRPr="008725BE" w:rsidRDefault="008725BE" w:rsidP="008725BE">
      <w:pPr>
        <w:pStyle w:val="Sansinterligne"/>
        <w:rPr>
          <w:rFonts w:ascii="Garamond" w:hAnsi="Garamond"/>
          <w:lang w:val="en-GB"/>
        </w:rPr>
      </w:pPr>
      <w:r w:rsidRPr="008725BE">
        <w:rPr>
          <w:rFonts w:ascii="Garamond" w:hAnsi="Garamond"/>
          <w:i/>
          <w:iCs/>
          <w:lang w:val="en-GB"/>
        </w:rPr>
        <w:t>a)</w:t>
      </w:r>
      <w:r w:rsidRPr="008725BE">
        <w:rPr>
          <w:rFonts w:ascii="Garamond" w:hAnsi="Garamond"/>
          <w:lang w:val="en-GB"/>
        </w:rPr>
        <w:t xml:space="preserve"> Angst der absichtlich </w:t>
      </w:r>
      <w:r w:rsidRPr="008725BE">
        <w:rPr>
          <w:rFonts w:ascii="Garamond" w:hAnsi="Garamond"/>
          <w:i/>
          <w:iCs/>
          <w:lang w:val="en-GB"/>
        </w:rPr>
        <w:t>Abstinenten</w:t>
      </w:r>
      <w:r w:rsidRPr="008725BE">
        <w:rPr>
          <w:rFonts w:ascii="Garamond" w:hAnsi="Garamond"/>
          <w:lang w:val="en-GB"/>
        </w:rPr>
        <w:t xml:space="preserve">, häufig mit Symptomen der </w:t>
      </w:r>
      <w:r w:rsidRPr="008725BE">
        <w:rPr>
          <w:rFonts w:ascii="Garamond" w:hAnsi="Garamond"/>
          <w:i/>
          <w:iCs/>
          <w:lang w:val="en-GB"/>
        </w:rPr>
        <w:t>Abwehr</w:t>
      </w:r>
      <w:r w:rsidRPr="008725BE">
        <w:rPr>
          <w:rFonts w:ascii="Garamond" w:hAnsi="Garamond"/>
          <w:lang w:val="en-GB"/>
        </w:rPr>
        <w:t xml:space="preserve"> (Zwangsvorstellungen, Hysterie) kombiniert. Die Motive, die für absichtliche Abstinenz maßgebend sind, bringen es mit sich, daß eine Anzahl von hereditär Veranlagten, Sonderlingen u. dgl. zu dieser Kategorie zählt.</w:t>
      </w:r>
    </w:p>
    <w:p w:rsidR="008725BE" w:rsidRPr="008725BE" w:rsidRDefault="008725BE" w:rsidP="008725BE">
      <w:pPr>
        <w:pStyle w:val="Sansinterligne"/>
        <w:rPr>
          <w:rFonts w:ascii="Garamond" w:hAnsi="Garamond"/>
          <w:lang w:val="en-GB"/>
        </w:rPr>
      </w:pPr>
      <w:r w:rsidRPr="008725BE">
        <w:rPr>
          <w:rFonts w:ascii="Garamond" w:hAnsi="Garamond"/>
          <w:i/>
          <w:iCs/>
          <w:lang w:val="en-GB"/>
        </w:rPr>
        <w:t>b)</w:t>
      </w:r>
      <w:r w:rsidRPr="008725BE">
        <w:rPr>
          <w:rFonts w:ascii="Garamond" w:hAnsi="Garamond"/>
          <w:lang w:val="en-GB"/>
        </w:rPr>
        <w:t xml:space="preserve"> Angst der Männer mit </w:t>
      </w:r>
      <w:r w:rsidRPr="008725BE">
        <w:rPr>
          <w:rFonts w:ascii="Garamond" w:hAnsi="Garamond"/>
          <w:i/>
          <w:iCs/>
          <w:lang w:val="en-GB"/>
        </w:rPr>
        <w:t>frustraner</w:t>
      </w:r>
      <w:r w:rsidRPr="008725BE">
        <w:rPr>
          <w:rFonts w:ascii="Garamond" w:hAnsi="Garamond"/>
          <w:lang w:val="en-GB"/>
        </w:rPr>
        <w:t xml:space="preserve"> Erregung (während des Brautstandes), Personen, die (aus Furcht vor den Folgen des sexuellen Verkehrs) sich mit Betasten oder Beschauen des Weibes begnügen. Diese Gruppe von Bedingungen (die übrigens unverändert auf das andere Geschlecht zu übertragen ist – Brautschaft, Verhältnisse mit sexueller Schonung) liefert die reinsten Fälle der Neurose.</w:t>
      </w:r>
    </w:p>
    <w:p w:rsidR="008725BE" w:rsidRPr="008725BE" w:rsidRDefault="008725BE" w:rsidP="008725BE">
      <w:pPr>
        <w:pStyle w:val="Sansinterligne"/>
        <w:rPr>
          <w:rFonts w:ascii="Garamond" w:hAnsi="Garamond"/>
        </w:rPr>
      </w:pPr>
      <w:r w:rsidRPr="008725BE">
        <w:rPr>
          <w:rFonts w:ascii="Garamond" w:hAnsi="Garamond"/>
          <w:i/>
          <w:iCs/>
        </w:rPr>
        <w:t>c)</w:t>
      </w:r>
      <w:r w:rsidRPr="008725BE">
        <w:rPr>
          <w:rFonts w:ascii="Garamond" w:hAnsi="Garamond"/>
        </w:rPr>
        <w:t xml:space="preserve"> Angst der Männer, die </w:t>
      </w:r>
      <w:r w:rsidRPr="008725BE">
        <w:rPr>
          <w:rFonts w:ascii="Garamond" w:hAnsi="Garamond"/>
          <w:i/>
          <w:iCs/>
        </w:rPr>
        <w:t>coitus interruptus</w:t>
      </w:r>
      <w:r w:rsidRPr="008725BE">
        <w:rPr>
          <w:rFonts w:ascii="Garamond" w:hAnsi="Garamond"/>
        </w:rPr>
        <w:t xml:space="preserve"> üben. Wie schon bemerkt, schädigt der </w:t>
      </w:r>
      <w:r w:rsidRPr="008725BE">
        <w:rPr>
          <w:rFonts w:ascii="Garamond" w:hAnsi="Garamond"/>
          <w:i/>
          <w:iCs/>
        </w:rPr>
        <w:t>coitus interruptus</w:t>
      </w:r>
      <w:r w:rsidRPr="008725BE">
        <w:rPr>
          <w:rFonts w:ascii="Garamond" w:hAnsi="Garamond"/>
        </w:rPr>
        <w:t xml:space="preserve"> die Frau, wenn er ohne Rücksicht auf die Befriedigung der Frau geübt wird; er wird aber zur Schädlichkeit für den Mann, wenn dieser, um die Befriedigung der Frau zu erzielen, den Koitus willkürlich dirigiert, die Ejakulation aufschiebt. Auf solche Weise läßt sich verstehen, daß von den Ehepaaren, die im </w:t>
      </w:r>
      <w:r w:rsidRPr="008725BE">
        <w:rPr>
          <w:rFonts w:ascii="Garamond" w:hAnsi="Garamond"/>
          <w:i/>
          <w:iCs/>
        </w:rPr>
        <w:t>coitus interruptus</w:t>
      </w:r>
      <w:r w:rsidRPr="008725BE">
        <w:rPr>
          <w:rFonts w:ascii="Garamond" w:hAnsi="Garamond"/>
        </w:rPr>
        <w:t xml:space="preserve"> leben, gewöhnlich nur </w:t>
      </w:r>
      <w:r w:rsidRPr="008725BE">
        <w:rPr>
          <w:rFonts w:ascii="Garamond" w:hAnsi="Garamond"/>
          <w:i/>
          <w:iCs/>
        </w:rPr>
        <w:t>ein</w:t>
      </w:r>
      <w:r w:rsidRPr="008725BE">
        <w:rPr>
          <w:rFonts w:ascii="Garamond" w:hAnsi="Garamond"/>
        </w:rPr>
        <w:t xml:space="preserve"> Teil erkrankt. Bei Männern erzeugt der </w:t>
      </w:r>
      <w:r w:rsidRPr="008725BE">
        <w:rPr>
          <w:rFonts w:ascii="Garamond" w:hAnsi="Garamond"/>
          <w:i/>
          <w:iCs/>
        </w:rPr>
        <w:t>coitus interruptus</w:t>
      </w:r>
      <w:r w:rsidRPr="008725BE">
        <w:rPr>
          <w:rFonts w:ascii="Garamond" w:hAnsi="Garamond"/>
        </w:rPr>
        <w:t xml:space="preserve"> übrigens nur selten reine Angstneurose, meist eine Vermengung derselben mit Neurasthenie.</w:t>
      </w:r>
    </w:p>
    <w:p w:rsidR="008725BE" w:rsidRPr="008725BE" w:rsidRDefault="008725BE" w:rsidP="008725BE">
      <w:pPr>
        <w:pStyle w:val="Sansinterligne"/>
        <w:rPr>
          <w:rFonts w:ascii="Garamond" w:hAnsi="Garamond"/>
          <w:lang w:val="en-US"/>
        </w:rPr>
      </w:pPr>
      <w:r w:rsidRPr="008725BE">
        <w:rPr>
          <w:rFonts w:ascii="Garamond" w:hAnsi="Garamond"/>
          <w:i/>
          <w:iCs/>
          <w:lang w:val="en-US"/>
        </w:rPr>
        <w:t>d)</w:t>
      </w:r>
      <w:r w:rsidRPr="008725BE">
        <w:rPr>
          <w:rFonts w:ascii="Garamond" w:hAnsi="Garamond"/>
          <w:lang w:val="en-US"/>
        </w:rPr>
        <w:t xml:space="preserve"> Angst der Männer im </w:t>
      </w:r>
      <w:r w:rsidRPr="008725BE">
        <w:rPr>
          <w:rFonts w:ascii="Garamond" w:hAnsi="Garamond"/>
          <w:i/>
          <w:iCs/>
          <w:lang w:val="en-US"/>
        </w:rPr>
        <w:t>Senium</w:t>
      </w:r>
      <w:r w:rsidRPr="008725BE">
        <w:rPr>
          <w:rFonts w:ascii="Garamond" w:hAnsi="Garamond"/>
          <w:lang w:val="en-US"/>
        </w:rPr>
        <w:t>. Es gibt Männer, die wie die Frauen ein Klimakterium zeigen und zur Zeit ihrer abnehmenden Potenz und steigenden Libido Angstneurose produzieren.</w:t>
      </w:r>
    </w:p>
    <w:p w:rsidR="008725BE" w:rsidRPr="008725BE" w:rsidRDefault="008725BE" w:rsidP="008725BE">
      <w:pPr>
        <w:pStyle w:val="Sansinterligne"/>
        <w:rPr>
          <w:rFonts w:ascii="Garamond" w:hAnsi="Garamond"/>
          <w:lang w:val="en-US"/>
        </w:rPr>
      </w:pPr>
      <w:r w:rsidRPr="008725BE">
        <w:rPr>
          <w:rFonts w:ascii="Garamond" w:hAnsi="Garamond"/>
          <w:lang w:val="en-US"/>
        </w:rPr>
        <w:t>Endlich muß ich noch zwei Fälle anschließen, die für beide Geschlechter gelten:</w:t>
      </w:r>
    </w:p>
    <w:p w:rsidR="008725BE" w:rsidRPr="008725BE" w:rsidRDefault="008725BE" w:rsidP="008725BE">
      <w:pPr>
        <w:pStyle w:val="Sansinterligne"/>
        <w:rPr>
          <w:rFonts w:ascii="Garamond" w:hAnsi="Garamond"/>
          <w:lang w:val="en-US"/>
        </w:rPr>
      </w:pPr>
      <w:r w:rsidRPr="008725BE">
        <w:rPr>
          <w:rFonts w:ascii="Garamond" w:hAnsi="Garamond"/>
        </w:rPr>
        <w:t>α</w:t>
      </w:r>
      <w:r w:rsidRPr="008725BE">
        <w:rPr>
          <w:rFonts w:ascii="Garamond" w:hAnsi="Garamond"/>
          <w:lang w:val="en-US"/>
        </w:rPr>
        <w:t>) Die Neurastheniker infolge von Masturbation verfallen in Angstneurose, sobald sie von ihrer Art der sexuellen Befriedigung ablassen. Diese Personen haben sich besonders unfähig gemacht, die Abstinenz zu ertragen.</w:t>
      </w:r>
    </w:p>
    <w:p w:rsidR="008725BE" w:rsidRPr="008725BE" w:rsidRDefault="008725BE" w:rsidP="008725BE">
      <w:pPr>
        <w:pStyle w:val="Sansinterligne"/>
        <w:rPr>
          <w:rFonts w:ascii="Garamond" w:hAnsi="Garamond"/>
          <w:lang w:val="en-US"/>
        </w:rPr>
      </w:pPr>
      <w:r w:rsidRPr="008725BE">
        <w:rPr>
          <w:rFonts w:ascii="Garamond" w:hAnsi="Garamond"/>
          <w:lang w:val="en-US"/>
        </w:rPr>
        <w:t>Ich bemerke hier als wichtig für das Verständnis der Angstneurose, daß eine irgend bemerkenswerte Ausbildung derselben nur bei potent gebliebenen Männern und bei nicht anästhetischen Frauen zustande kommt. Bei Neurasthenikern, die durch Masturbation bereits schwere Schädigung ihrer Potenz erworben haben, fällt die Angstneurose im Falle der Abstinenz recht dürftig aus und beschränkt sich meist auf Hypochondrie und leichten chronischen Schwindel. Die Frauen sind ja in ihrer Mehrheit als »potent« zu nehmen; eine wirklich impotente, d. h. wirklich anästhetische Frau ist gleichfalls der Angstneurose wenig zugänglich und erträgt die angeführten Schädlichkeiten auffällig gut.</w:t>
      </w:r>
    </w:p>
    <w:p w:rsidR="008725BE" w:rsidRPr="008725BE" w:rsidRDefault="008725BE" w:rsidP="008725BE">
      <w:pPr>
        <w:pStyle w:val="Sansinterligne"/>
        <w:rPr>
          <w:rFonts w:ascii="Garamond" w:hAnsi="Garamond"/>
          <w:lang w:val="en-US"/>
        </w:rPr>
      </w:pPr>
      <w:r w:rsidRPr="008725BE">
        <w:rPr>
          <w:rFonts w:ascii="Garamond" w:hAnsi="Garamond"/>
          <w:lang w:val="en-US"/>
        </w:rPr>
        <w:t>Wieweit man etwa sonst berechtigt ist, konstante Beziehungen zwischen einzelnen ätiologischen Momenten und einzelnen Symptomen aus dem Komplex der Angstneurose anzunehmen, möchte ich hier noch nicht erörtern.</w:t>
      </w:r>
    </w:p>
    <w:p w:rsidR="008725BE" w:rsidRPr="008725BE" w:rsidRDefault="008725BE" w:rsidP="008725BE">
      <w:pPr>
        <w:pStyle w:val="Sansinterligne"/>
        <w:rPr>
          <w:rFonts w:ascii="Garamond" w:hAnsi="Garamond"/>
          <w:lang w:val="en-GB"/>
        </w:rPr>
      </w:pPr>
      <w:r w:rsidRPr="008725BE">
        <w:rPr>
          <w:rFonts w:ascii="Garamond" w:hAnsi="Garamond"/>
        </w:rPr>
        <w:lastRenderedPageBreak/>
        <w:t>β</w:t>
      </w:r>
      <w:r w:rsidRPr="008725BE">
        <w:rPr>
          <w:rFonts w:ascii="Garamond" w:hAnsi="Garamond"/>
          <w:lang w:val="en-US"/>
        </w:rPr>
        <w:t xml:space="preserve">) Die letzte der anzuführenden ätiologischen Bedingungen scheint zunächst überhaupt nicht sexueller Natur zu sein. </w:t>
      </w:r>
      <w:r w:rsidRPr="008725BE">
        <w:rPr>
          <w:rFonts w:ascii="Garamond" w:hAnsi="Garamond"/>
          <w:lang w:val="en-GB"/>
        </w:rPr>
        <w:t>Die Angstneurose entsteht, und zwar bei beiden Geschlechtern, auch durch das Moment der Überarbeitung, erschöpfender Anstrengung, z. B. nach Nachtwachen, Krankenpflegen und selbst nach schweren Krankheiten.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Haupteinwand gegen meine Aufstellung einer sexuellen Ätiologie der Angstneurose wird wohl dahin lauten: derartige abnorme Verhältnisse des Sexuallebens fänden sich so überaus häufig, daß sie überall zur Hand sein müssen, wo man nach ihnen sucht. Ihr Vorkommen in den angeführten Fällen von Angstneurose beweise also nicht, daß in ihnen die Ätiologie der Neurose aufgedeckt sei. Übrigens sei die Anzahl der Personen, die </w:t>
      </w:r>
      <w:r w:rsidRPr="008725BE">
        <w:rPr>
          <w:rFonts w:ascii="Garamond" w:hAnsi="Garamond"/>
          <w:i/>
          <w:iCs/>
          <w:lang w:val="en-GB"/>
        </w:rPr>
        <w:t>coitus interruptus</w:t>
      </w:r>
      <w:r w:rsidRPr="008725BE">
        <w:rPr>
          <w:rFonts w:ascii="Garamond" w:hAnsi="Garamond"/>
          <w:lang w:val="en-GB"/>
        </w:rPr>
        <w:t xml:space="preserve"> u. dgl. treiben, unvergleichlich größer als die Anzahl der mit Angstneurose Behafteten, und die überwiegende Menge der ersteren befände sich bei dieser Schädlichkeit recht wohl.</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habe darauf zu erwidern, daß man bei der anerkannt übergroßen Häufigkeit der Neurosen und der Angstneurose speziell ein </w:t>
      </w:r>
      <w:r w:rsidRPr="008725BE">
        <w:rPr>
          <w:rFonts w:ascii="Garamond" w:hAnsi="Garamond"/>
          <w:i/>
          <w:iCs/>
          <w:lang w:val="en-GB"/>
        </w:rPr>
        <w:t>selten</w:t>
      </w:r>
      <w:r w:rsidRPr="008725BE">
        <w:rPr>
          <w:rFonts w:ascii="Garamond" w:hAnsi="Garamond"/>
          <w:lang w:val="en-GB"/>
        </w:rPr>
        <w:t xml:space="preserve"> vorkommendes ätiologisches Moment gewiß nicht erwarten dürfe; ferner daß damit geradezu ein Postulat der Pathologie erfüllt sei, wenn sich bei einer ätiologischen Untersuchung das ätiologische Moment noch häufiger nachweisen lasse als dessen Wirkung, da ja für letztere noch andere Bedingungen (Disposition, Summation der spezifischen Ätiologie, Unterstützung durch andere, banale Schädlichkeiten) erfordert werden können; ferner, daß die detaillierte Zergliederung geeigneter Fälle von Angstneurose die Bedeutung des sexuellen Moments ganz unzweideutig erweist. Ich will mich hier aber nur auf das ätiologische Moment des </w:t>
      </w:r>
      <w:r w:rsidRPr="008725BE">
        <w:rPr>
          <w:rFonts w:ascii="Garamond" w:hAnsi="Garamond"/>
          <w:i/>
          <w:iCs/>
          <w:lang w:val="en-GB"/>
        </w:rPr>
        <w:t>coitus interruptus</w:t>
      </w:r>
      <w:r w:rsidRPr="008725BE">
        <w:rPr>
          <w:rFonts w:ascii="Garamond" w:hAnsi="Garamond"/>
          <w:lang w:val="en-GB"/>
        </w:rPr>
        <w:t xml:space="preserve"> und auf die Hervorhebung einzelner beweisender Erfahrungen beschränken.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1) Solange die Angstneurose bei jungen Frauen noch nicht konstituiert ist, sondern in Ansätzen hervortritt, die immer wieder spontan verschwinden, läßt sich nachweisen, daß jeder solche Schub der Neurose auf einen Koitus mit mangelnder Befriedigung zurückgeht. Zwei Tage nach dieser Einwirkung, bei wenig resistenten Personen am Tage nachher, tritt regelmäßig der Angst- oder Schwindelanfall auf, an den sich andere Symptome der Neurose schließen, um – bei seltenerem ehelichen Verkehr – wieder miteinander abzuklingen. Eine zufällige Reise des Mannes, ein Aufenthalt im Gebirge, der mit Trennung des Ehepaares verbunden ist, tun gut; die zumeist in erster Linie eingeleitete gynäkologische Behandlung nützt dadurch, daß während ihrer Dauer der eheliche Verkehr aufgehoben ist. Merkwürdigerweise ist der Erfolg der lokalen Behandlung ein vorübergehender, stellt sich die Neurose noch im Gebirge wieder ein, sobald der Mann seinerseits in die Ferien tritt u. dgl. Läßt man als ein dieser Ätiologie kundiger Arzt bei noch nicht konstituierter Neurose den </w:t>
      </w:r>
      <w:r w:rsidRPr="008725BE">
        <w:rPr>
          <w:rFonts w:ascii="Garamond" w:hAnsi="Garamond"/>
          <w:i/>
          <w:iCs/>
          <w:lang w:val="en-GB"/>
        </w:rPr>
        <w:t>coitus interruptus</w:t>
      </w:r>
      <w:r w:rsidRPr="008725BE">
        <w:rPr>
          <w:rFonts w:ascii="Garamond" w:hAnsi="Garamond"/>
          <w:lang w:val="en-GB"/>
        </w:rPr>
        <w:t xml:space="preserve"> durch normalen Verkehr ersetzen, so ergibt sich die </w:t>
      </w:r>
      <w:r w:rsidRPr="008725BE">
        <w:rPr>
          <w:rFonts w:ascii="Garamond" w:hAnsi="Garamond"/>
          <w:i/>
          <w:iCs/>
          <w:lang w:val="en-GB"/>
        </w:rPr>
        <w:t>therapeutische</w:t>
      </w:r>
      <w:r w:rsidRPr="008725BE">
        <w:rPr>
          <w:rFonts w:ascii="Garamond" w:hAnsi="Garamond"/>
          <w:lang w:val="en-GB"/>
        </w:rPr>
        <w:t xml:space="preserve"> Probe auf die hier aufgestellte Behauptung. Die Angst ist behoben und kehrt ohne neuen, ähnlichen Anlaß nicht wieder.</w:t>
      </w:r>
    </w:p>
    <w:p w:rsidR="008725BE" w:rsidRPr="008725BE" w:rsidRDefault="008725BE" w:rsidP="008725BE">
      <w:pPr>
        <w:pStyle w:val="Sansinterligne"/>
        <w:rPr>
          <w:rFonts w:ascii="Garamond" w:hAnsi="Garamond"/>
          <w:lang w:val="en-GB"/>
        </w:rPr>
      </w:pPr>
      <w:r w:rsidRPr="008725BE">
        <w:rPr>
          <w:rFonts w:ascii="Garamond" w:hAnsi="Garamond"/>
          <w:lang w:val="en-GB"/>
        </w:rPr>
        <w:t>2) In der Anamnese vieler Fälle von Angstneurose findet man bei Männern wie bei Frauen ein auffälliges Schwanken in der Intensität der Erscheinungen, ja im Kommen und Gehen des ganzen Zustandes. Dieses Jahr war fast ganz gut, das nächstfolgende gräßlich u. dgl., einmal fällt die Besserung zugunsten einer bestimmten Kur aus, die aber beim nächsten Anfalle ganz im Stich gelassen hat u. dgl. m. Erkundigt man sich nun nach Anzahl und Reihenfolge der Kinder und stellt diese Ehechronik dem eigentümlichen Verlauf der Neurose gegenüber, so ergibt sich als einfache Lösung, daß die Perioden von Besserung oder Wohlbefinden mit den Graviditäten der Frau zusammenfallen, während welcher natürlich der Anlaß für den Präventivverkehr entfallen war. Dem Manne aber hatte jene Kur, sei es beim Pfarrer Kneipp oder in der hydrotherapeutischen Anstalt, genützt, nach welcher er seine Frau gravid antraf.</w:t>
      </w:r>
    </w:p>
    <w:p w:rsidR="008725BE" w:rsidRPr="008725BE" w:rsidRDefault="008725BE" w:rsidP="008725BE">
      <w:pPr>
        <w:pStyle w:val="Sansinterligne"/>
        <w:rPr>
          <w:rFonts w:ascii="Garamond" w:hAnsi="Garamond"/>
          <w:lang w:val="en-GB"/>
        </w:rPr>
      </w:pPr>
      <w:r w:rsidRPr="008725BE">
        <w:rPr>
          <w:rFonts w:ascii="Garamond" w:hAnsi="Garamond"/>
          <w:lang w:val="en-GB"/>
        </w:rPr>
        <w:t>3) Aus der Anamnese der Kranken ergibt sich häufig, daß die Symptome der Angstneurose zu einer bestimmten Zeit die einer andern Neurose, etwa der Neurasthenie, abgelöst und sich an deren Stelle gesetzt haben. Es läßt sich dann ganz regelmäßig nachweisen, daß kurz vor diesem Wechsel des Bildes ein entsprechender Wechsel in der Art der sexuellen Schädigung stattgefunden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Während derartige, nach Belieben zu vermehrende Erfahrungen dem Arzte für eine gewisse Kategorie von Fällen die sexuelle Ätiologie geradezu aufdrängen, lassen sich andere Fälle, die sonst unverständlich blieben, mittels des Schlüssels der sexuellen Ätiologie wenigstens widerspruchslos verstehen und einreihen. Es sind dies jene sehr zahlreichen Fälle, in denen zwar alles vorhanden ist, was wir bei der vorigen Kategorie gefunden haben, die Erscheinungen der Angstneurose einerseits, das spezifische Moment des </w:t>
      </w:r>
      <w:r w:rsidRPr="008725BE">
        <w:rPr>
          <w:rFonts w:ascii="Garamond" w:hAnsi="Garamond"/>
          <w:i/>
          <w:iCs/>
          <w:lang w:val="en-GB"/>
        </w:rPr>
        <w:t>coitus interruptus</w:t>
      </w:r>
      <w:r w:rsidRPr="008725BE">
        <w:rPr>
          <w:rFonts w:ascii="Garamond" w:hAnsi="Garamond"/>
          <w:lang w:val="en-GB"/>
        </w:rPr>
        <w:t xml:space="preserve"> anderseits, wo aber noch etwas anderes sich einschiebt, nämlich ein langes Intervall zwischen der vermeintlichen Ätiologie und deren Wirkung und etwa noch ätiologische Momente nicht sexueller Natur. Da ist z. B. ein Mann, der auf die Nachricht vom Tode seines Vaters einen Herzanfall bekommt und von da an der Angstneurose verfallen ist. Der Fall ist nicht zu verstehen, denn </w:t>
      </w:r>
      <w:r w:rsidRPr="008725BE">
        <w:rPr>
          <w:rFonts w:ascii="Garamond" w:hAnsi="Garamond"/>
          <w:lang w:val="en-GB"/>
        </w:rPr>
        <w:lastRenderedPageBreak/>
        <w:t xml:space="preserve">der Mann war bisher nicht nervös; der Tod des hochbejahrten Vaters erfolgte keineswegs unter besonderen Umständen, und man wird zugeben, daß das normale, erwartete Ableben eines alten Vaters nicht zu den Erlebnissen gehört, die einen gesunden Erwachsenen krank zu machen pflegen. Vielleicht wird die ätiologische Analyse durchsichtiger, wenn ich hinzunehme, daß dieser Mann seit elf Jahren den </w:t>
      </w:r>
      <w:r w:rsidRPr="008725BE">
        <w:rPr>
          <w:rFonts w:ascii="Garamond" w:hAnsi="Garamond"/>
          <w:i/>
          <w:iCs/>
          <w:lang w:val="en-GB"/>
        </w:rPr>
        <w:t>coitus interruptus</w:t>
      </w:r>
      <w:r w:rsidRPr="008725BE">
        <w:rPr>
          <w:rFonts w:ascii="Garamond" w:hAnsi="Garamond"/>
          <w:lang w:val="en-GB"/>
        </w:rPr>
        <w:t xml:space="preserve"> mit Rücksicht auf seine Frau ausübt. Die Erscheinungen sind wenigstens genau die nämlichen, wie sie bei anderen Personen nach kurzer derartiger sexueller Schädigung und ohne Dazwischenkunft eines anderen Traumas auftreten. Ähnlich zu beurteilen ist der Fall einer Frau, deren Angstneurose nach dem Verlust eines Kindes ausbricht, oder des Studenten, der in der Vorbereitung zu seiner letzten Staatsprüfung durch die Angstneurose gestört wird. Ich finde die Wirkung hier wie dort nicht durch die angegebene Ätiologie erklärt. Man muß sich nicht beim Studieren »überarbeiten«, und eine gesunde Mutter pflegt auf den Verlust eines Kindes nur mit normaler Trauer zu reagieren. Vor allem aber würde ich erwarten, daß der Student durch Überarbeitung eine Kephalasthenie, die Mutter in unserem Beispiele eine Hysterie akquirieren sollte. Daß sie beide Angstneurose bekommen, veranlaßt mich, Wert darauf zu legen, daß die Mutter seit acht Jahren im ehelichen </w:t>
      </w:r>
      <w:r w:rsidRPr="008725BE">
        <w:rPr>
          <w:rFonts w:ascii="Garamond" w:hAnsi="Garamond"/>
          <w:i/>
          <w:iCs/>
          <w:lang w:val="en-GB"/>
        </w:rPr>
        <w:t>coitus interruptus</w:t>
      </w:r>
      <w:r w:rsidRPr="008725BE">
        <w:rPr>
          <w:rFonts w:ascii="Garamond" w:hAnsi="Garamond"/>
          <w:lang w:val="en-GB"/>
        </w:rPr>
        <w:t xml:space="preserve"> lebt, der Student aber seit drei Jahren ein warmes Liebesverhältnis mit einem »anständigen« Mädchen unterhält, das er nicht schwängern darf.</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 Ausführungen laufen auf die Behauptung hinaus, daß die spezifische sexuelle Schädlichkeit des </w:t>
      </w:r>
      <w:r w:rsidRPr="008725BE">
        <w:rPr>
          <w:rFonts w:ascii="Garamond" w:hAnsi="Garamond"/>
          <w:i/>
          <w:iCs/>
          <w:lang w:val="en-GB"/>
        </w:rPr>
        <w:t>coitus interruptus</w:t>
      </w:r>
      <w:r w:rsidRPr="008725BE">
        <w:rPr>
          <w:rFonts w:ascii="Garamond" w:hAnsi="Garamond"/>
          <w:lang w:val="en-GB"/>
        </w:rPr>
        <w:t xml:space="preserve"> dort, wo sie nicht imstande ist, für sich allein die Angstneurose hervorzurufen, doch wenigstens zu ihrer Erwerbung disponiert. Die Angstneurose bricht dann aus, sobald zur latenten Wirkung des spezifischen Moments die Wirkung einer anderen, banalen Schädlichkeit hinzutritt. Letztere kann das spezifische Moment quantitativ vertreten, aber nicht qualitativ ersetzen. Das spezifische Moment bleibt stets dasjenige, welches die Form der Neurose bestimmt. Ich hoffe, diesen Satz für die Ätiologie der Neurosen auch in größerem Umfang erweisen zu können.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Ferner ist in den letzten Erörterungen die an sich nicht unwahrscheinliche Annahme enthalten, daß eine sexuelle Schädlichkeit wie der </w:t>
      </w:r>
      <w:r w:rsidRPr="008725BE">
        <w:rPr>
          <w:rFonts w:ascii="Garamond" w:hAnsi="Garamond"/>
          <w:i/>
          <w:iCs/>
          <w:lang w:val="en-GB"/>
        </w:rPr>
        <w:t>coitus interruptus</w:t>
      </w:r>
      <w:r w:rsidRPr="008725BE">
        <w:rPr>
          <w:rFonts w:ascii="Garamond" w:hAnsi="Garamond"/>
          <w:lang w:val="en-GB"/>
        </w:rPr>
        <w:t xml:space="preserve"> sich durch Summation zur Geltung bringt. Je nach der Disposition des Individuums und der sonstigen Belastung von dessen Nervensystem wird es kürzere oder längere Zeit brauchen, ehe der Effekt dieser Summation sichtbar wird. Die Individuen, welche den </w:t>
      </w:r>
      <w:r w:rsidRPr="008725BE">
        <w:rPr>
          <w:rFonts w:ascii="Garamond" w:hAnsi="Garamond"/>
          <w:i/>
          <w:iCs/>
          <w:lang w:val="en-GB"/>
        </w:rPr>
        <w:t>coitus interruptus</w:t>
      </w:r>
      <w:r w:rsidRPr="008725BE">
        <w:rPr>
          <w:rFonts w:ascii="Garamond" w:hAnsi="Garamond"/>
          <w:lang w:val="en-GB"/>
        </w:rPr>
        <w:t xml:space="preserve"> scheinbar ohne Nachteil ertragen, werden in Wirklichkeit durch denselben zu Störungen der Angstneurose disponiert, die irgend einmal spontan oder nach einem banalen, sonst unangemessenen Trauma losbrechen können, gerade wie der chronische Alkoholiker auf dem Wege der Summation endlich eine Zirrhose oder andere Erkrankung entwickelt oder unter dem Einfluß eines Fiebers in ein Delirium verfällt.</w:t>
      </w:r>
    </w:p>
    <w:p w:rsidR="008725BE" w:rsidRPr="008725BE" w:rsidRDefault="008725BE" w:rsidP="008725BE">
      <w:pPr>
        <w:pStyle w:val="Sansinterligne"/>
        <w:rPr>
          <w:rFonts w:ascii="Garamond" w:hAnsi="Garamond"/>
          <w:lang w:val="en-GB"/>
        </w:rPr>
      </w:pPr>
      <w:r w:rsidRPr="008725BE">
        <w:rPr>
          <w:rFonts w:ascii="Garamond" w:hAnsi="Garamond"/>
          <w:lang w:val="en-GB"/>
        </w:rPr>
        <w:t>III. Ansätze zu einer Theorie der Angstneurose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nachstehenden Ausführungen beanspruchen nichts als den Wert eines ersten, tastenden Versuches, dessen Beurteilung die Aufnahme der im vorigen enthaltenen </w:t>
      </w:r>
      <w:r w:rsidRPr="008725BE">
        <w:rPr>
          <w:rFonts w:ascii="Garamond" w:hAnsi="Garamond"/>
          <w:i/>
          <w:iCs/>
          <w:lang w:val="en-GB"/>
        </w:rPr>
        <w:t>Tatsachen</w:t>
      </w:r>
      <w:r w:rsidRPr="008725BE">
        <w:rPr>
          <w:rFonts w:ascii="Garamond" w:hAnsi="Garamond"/>
          <w:lang w:val="en-GB"/>
        </w:rPr>
        <w:t xml:space="preserve"> nicht beeinflussen sollte. Die Würdigung dieser »Theorie der Angstneurose« wird ferner noch dadurch erschwert, daß sie bloß einem Bruchstücke aus einer umfassenderen Darstellung der Neurosen entspricht.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dem bisher über die Angstneurose Vorgebrachten sind bereits einige Anhaltspunkte für einen Einblick in den Mechanismus dieser Neurose enthalten. Zunächst die Vermutung, es dürfte sich um eine Anhäufung von Erregung handeln, sodann die überaus wichtige Tatsache, daß die </w:t>
      </w:r>
      <w:r w:rsidRPr="008725BE">
        <w:rPr>
          <w:rFonts w:ascii="Garamond" w:hAnsi="Garamond"/>
          <w:i/>
          <w:iCs/>
          <w:lang w:val="en-GB"/>
        </w:rPr>
        <w:t>Angst</w:t>
      </w:r>
      <w:r w:rsidRPr="008725BE">
        <w:rPr>
          <w:rFonts w:ascii="Garamond" w:hAnsi="Garamond"/>
          <w:lang w:val="en-GB"/>
        </w:rPr>
        <w:t xml:space="preserve">, die den Erscheinungen der Neurose zugrunde liegt, </w:t>
      </w:r>
      <w:r w:rsidRPr="008725BE">
        <w:rPr>
          <w:rFonts w:ascii="Garamond" w:hAnsi="Garamond"/>
          <w:i/>
          <w:iCs/>
          <w:lang w:val="en-GB"/>
        </w:rPr>
        <w:t>keine psychische Ableitung</w:t>
      </w:r>
      <w:r w:rsidRPr="008725BE">
        <w:rPr>
          <w:rFonts w:ascii="Garamond" w:hAnsi="Garamond"/>
          <w:lang w:val="en-GB"/>
        </w:rPr>
        <w:t xml:space="preserve"> zuläßt. Eine solche wäre z. B. vorhanden, wenn sich als Grundlage der Angstneurose ein einmaliger oder wiederholter, berechtigter Schreck fände, der seither die Quelle der Bereitschaft zur Angst abgäbe. Allein dies ist nicht der Fall; durch einen einmaligen Schreck kann zwar eine Hysterie oder eine traumatische Neurose erworben werden, </w:t>
      </w:r>
      <w:r w:rsidRPr="008725BE">
        <w:rPr>
          <w:rFonts w:ascii="Garamond" w:hAnsi="Garamond"/>
          <w:i/>
          <w:iCs/>
          <w:lang w:val="en-GB"/>
        </w:rPr>
        <w:t>nie aber</w:t>
      </w:r>
      <w:r w:rsidRPr="008725BE">
        <w:rPr>
          <w:rFonts w:ascii="Garamond" w:hAnsi="Garamond"/>
          <w:lang w:val="en-GB"/>
        </w:rPr>
        <w:t xml:space="preserve"> eine Angstneurose. Ich habe, da sich unter den Ursachen der Angstneurose der </w:t>
      </w:r>
      <w:r w:rsidRPr="008725BE">
        <w:rPr>
          <w:rFonts w:ascii="Garamond" w:hAnsi="Garamond"/>
          <w:i/>
          <w:iCs/>
          <w:lang w:val="en-GB"/>
        </w:rPr>
        <w:t>coitus interruptus</w:t>
      </w:r>
      <w:r w:rsidRPr="008725BE">
        <w:rPr>
          <w:rFonts w:ascii="Garamond" w:hAnsi="Garamond"/>
          <w:lang w:val="en-GB"/>
        </w:rPr>
        <w:t xml:space="preserve"> so sehr in den Vordergrund drängt, anfangs gemeint, die Quelle der kontinuierlichen Angst könnte in der beim Akte jedesmal sich wiederholenden Furcht liegen, die Technik könnte mißglücken und demnach Konzeption erfolgen. Ich habe aber gefunden, daß dieser Gemütszustand der Frau oder des Mannes während des </w:t>
      </w:r>
      <w:r w:rsidRPr="008725BE">
        <w:rPr>
          <w:rFonts w:ascii="Garamond" w:hAnsi="Garamond"/>
          <w:i/>
          <w:iCs/>
          <w:lang w:val="en-GB"/>
        </w:rPr>
        <w:t>coitus interruptus</w:t>
      </w:r>
      <w:r w:rsidRPr="008725BE">
        <w:rPr>
          <w:rFonts w:ascii="Garamond" w:hAnsi="Garamond"/>
          <w:lang w:val="en-GB"/>
        </w:rPr>
        <w:t xml:space="preserve"> für die Entstehung der Angstneurose gleichgültig ist, daß die gegen die Folgen einer möglichen Konzeption im Grunde gleichgültigen Frauen der Neurose ebenso ausgesetzt sind wie die vor dieser Möglichkeit Schaudernden und daß es nur darauf ankam, welcher Teil bei dieser sexuellen Technik seine Befriedigung einbüßte.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Einen weiteren Anhaltspunkt bietet die noch nicht erwähnte Beobachtung, daß in ganzen Reihen von Fällen die Angstneurose mit der deutlichsten Verminderung der sexuellen Libido, der </w:t>
      </w:r>
      <w:r w:rsidRPr="008725BE">
        <w:rPr>
          <w:rFonts w:ascii="Garamond" w:hAnsi="Garamond"/>
          <w:i/>
          <w:iCs/>
          <w:lang w:val="en-GB"/>
        </w:rPr>
        <w:t>psychischen Lust</w:t>
      </w:r>
      <w:r w:rsidRPr="008725BE">
        <w:rPr>
          <w:rFonts w:ascii="Garamond" w:hAnsi="Garamond"/>
          <w:lang w:val="en-GB"/>
        </w:rPr>
        <w:t xml:space="preserve"> einhergeht, so daß die Kranken auf die Eröffnung, ihr Leiden rühre von »ungenügender Befriedigung«, regelmäßig antworten: Das sei unmöglich, gerade jetzt sei alles Bedürfnis bei ihnen erloschen. Aus all </w:t>
      </w:r>
      <w:r w:rsidRPr="008725BE">
        <w:rPr>
          <w:rFonts w:ascii="Garamond" w:hAnsi="Garamond"/>
          <w:lang w:val="en-GB"/>
        </w:rPr>
        <w:lastRenderedPageBreak/>
        <w:t xml:space="preserve">diesen Andeutungen, daß es sich um Anhäufung von Erregung handle, daß die Angst, welche solcher angehäuften Erregung wahrscheinlich entspricht, somatischer Herkunft sei, so daß also somatische Erregung angehäuft werde, ferner daß diese somatische Erregung sexueller Natur sei und daß eine Abnahme der psychischen Beteiligung an den Sexualvorgängen nebenher gehe – alle diese Andeutungen, sage ich, begünstigen die Erwartung, </w:t>
      </w:r>
      <w:r w:rsidRPr="008725BE">
        <w:rPr>
          <w:rFonts w:ascii="Garamond" w:hAnsi="Garamond"/>
          <w:i/>
          <w:iCs/>
          <w:lang w:val="en-GB"/>
        </w:rPr>
        <w:t>der Mechanismus der Angstneurose sei in der Ablenkung der somatischen Sexualerregung vom Psychischen und einer dadurch verursachten abnormen Verwendung dieser Erregung zu suchen</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 kann sich diese Vorstellung vom Mechanismus der Angstneurose klarer machen, wenn man folgende Betrachtung über den Sexualvorgang akzeptiert, die sich zunächst auf den Mann bezieht. Im geschlechtsreifen männlichen Organismus wird – wahrscheinlich kontinuierlich – die somatische Sexualerregung produziert, die periodisch zu einem Reiz für das psychische Leben wird. Schalten wir, um unsere Vorstellungen darüber besser zu fixieren, ein, daß diese somatische Sexualerregung sich als Druck auf die mit Nervenendigungen versehene Wandung der Samenbläschen äußert, so wird diese viszerale Erregung zwar kontinuierlich anwachsen, aber erst von einer gewissen Höhe an imstande sein, den Widerstand der eingeschalteten Leitung bis zur Hirnrinde zu überwinden und sich als psychischer Reiz zu äußern. Dann aber wird die in der Psyche vorhandene sexuelle Vorstellungsgruppe mit Energie ausgestattet, und es entsteht der psychische Zustand libidinöser Spannung, welcher den Drang nach Aufhebung dieser Spannung mit sich bringt. Eine solche psychische Entlastung ist nur auf dem Wege möglich, den ich als </w:t>
      </w:r>
      <w:r w:rsidRPr="008725BE">
        <w:rPr>
          <w:rFonts w:ascii="Garamond" w:hAnsi="Garamond"/>
          <w:i/>
          <w:iCs/>
          <w:lang w:val="en-GB"/>
        </w:rPr>
        <w:t>spezifische</w:t>
      </w:r>
      <w:r w:rsidRPr="008725BE">
        <w:rPr>
          <w:rFonts w:ascii="Garamond" w:hAnsi="Garamond"/>
          <w:lang w:val="en-GB"/>
        </w:rPr>
        <w:t xml:space="preserve"> oder </w:t>
      </w:r>
      <w:r w:rsidRPr="008725BE">
        <w:rPr>
          <w:rFonts w:ascii="Garamond" w:hAnsi="Garamond"/>
          <w:i/>
          <w:iCs/>
          <w:lang w:val="en-GB"/>
        </w:rPr>
        <w:t>adäquate</w:t>
      </w:r>
      <w:r w:rsidRPr="008725BE">
        <w:rPr>
          <w:rFonts w:ascii="Garamond" w:hAnsi="Garamond"/>
          <w:lang w:val="en-GB"/>
        </w:rPr>
        <w:t xml:space="preserve"> Aktion bezeichnen will. Diese adäquate Aktion besteht für den männlichen Sexualtrieb in einem komplizierten spinalen Reflexakt, der die Entlastung jener Nervenendigungen zur Folge hat, und in allen psychisch zu leistenden Vorbereitungen für die Auslösung dieses Reflexes. Etwas anderes als die adäquate Aktion würde nichts fruchten, denn die somatische Sexualerregung setzt sich, nachdem sie einmal den Schwellenwert erreicht hat, kontinuierlich in psychische Erregung um; es muß durchaus dasjenige geschehen, was die Nervenendigungen von dem auf ihnen lastenden Druck befreit, somit die ganze derzeit vorhandene somatische Erregung aufhebt und der subkortikalen Leitung gestattet, ihren Widerstand herzustellen.</w:t>
      </w:r>
    </w:p>
    <w:p w:rsidR="008725BE" w:rsidRPr="008725BE" w:rsidRDefault="008725BE" w:rsidP="008725BE">
      <w:pPr>
        <w:pStyle w:val="Sansinterligne"/>
        <w:rPr>
          <w:rFonts w:ascii="Garamond" w:hAnsi="Garamond"/>
          <w:lang w:val="en-GB"/>
        </w:rPr>
      </w:pPr>
      <w:r w:rsidRPr="008725BE">
        <w:rPr>
          <w:rFonts w:ascii="Garamond" w:hAnsi="Garamond"/>
          <w:lang w:val="en-GB"/>
        </w:rPr>
        <w:t>Ich werde es mir versagen, kompliziertere Fälle des Sexualvorganges in ähnlicher Weise darzustellen. Ich will nur noch die Behauptung aufstellen, daß dieses Schema im wesentlichen auch auf die Frau zu übertragen ist, trotz aller das Problem verwirrenden, artifiziellen Verzögerung und Verkümmerung des weiblichen Geschlechtstriebes. Es ist auch bei der Frau eine somatische Sexualerregung anzunehmen und ein Zustand, in dem diese Erregung psychischer Reiz wird, Libido, und den Drang nach der spezifischen Aktion hervorruft, an welche sich das Wollustgefühl knüpft. Nur ist man bei der Frau nicht imstande anzugeben, was etwa der Entspannung der Samenbläschen hier analog wäre.</w:t>
      </w:r>
    </w:p>
    <w:p w:rsidR="008725BE" w:rsidRPr="008725BE" w:rsidRDefault="008725BE" w:rsidP="008725BE">
      <w:pPr>
        <w:pStyle w:val="Sansinterligne"/>
        <w:rPr>
          <w:rFonts w:ascii="Garamond" w:hAnsi="Garamond"/>
          <w:lang w:val="en-GB"/>
        </w:rPr>
      </w:pPr>
      <w:r w:rsidRPr="008725BE">
        <w:rPr>
          <w:rFonts w:ascii="Garamond" w:hAnsi="Garamond"/>
          <w:lang w:val="en-GB"/>
        </w:rPr>
        <w:t>In den Rahmen dieser Darstellung des Sexualvorganges läßt sich nun sowohl die Ätiologie der echten Neurasthenie als die der Angstneurose eintragen. Neurasthenie entsteht jedesmal, wenn die adäquate (Aktion) Entlastung durch eine minder adäquate ersetzt wird, der normale Koitus unter den günstigsten Bedingungen also durch eine Masturbation oder spontane Pollution; zur Angstneurose aber führen alle Momente, welche die psychische Verarbeitung der somatischen Sexualerregung verhindern. Die Erscheinungen der Angstneurose kommen zustande, indem die von der Psyche abgelenkte somatische Sexualerregung sich subkortikal, in ganz und gar nicht adäquaten Reaktionen ausgibt.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will es nun versuchen, die vorhin angegebenen ätiologischen Bedingungen der Angstneurose daraufhin zu prüfen, ob sie den von mir aufgestellten gemeinsamen Charakter erkennen lassen. Als erstes ätiologisches Moment habe ich für den Mann die absichtliche Abstinenz angeführt. Abstinenz besteht in der Versagung der spezifischen Aktion, die sonst auf die Libido erfolgt. Eine solche Versagung wird zwei Konsequenzen haben können, nämlich, daß die somatische Erregung sich anhäuft, und dann zunächst, daß sie auf andere Wege abgelenkt wird, auf denen ihr eher Entladung winkt als auf dem Wege über die Psyche. Es wird also die Libido endlich sinken und die Erregung subkortikal als Angst sich äußern. Wo die Libido nicht verringert wird oder die somatische Erregung auf kurzem Wege in Pollutionen verausgabt wird oder infolge der Zurückdrängung wirklich versiegt, da entsteht eben alles andere als Angstneurose. Auf solche Weise führt die Abstinenz zur Angstneurose. Die Abstinenz ist aber auch das Wirksame an der zweiten ätiologischen Gruppe, der frustranen Erregung. Der dritte Fall, der des rücksichtsvollen </w:t>
      </w:r>
      <w:r w:rsidRPr="008725BE">
        <w:rPr>
          <w:rFonts w:ascii="Garamond" w:hAnsi="Garamond"/>
          <w:i/>
          <w:iCs/>
          <w:lang w:val="en-GB"/>
        </w:rPr>
        <w:t>coitus reservatus</w:t>
      </w:r>
      <w:r w:rsidRPr="008725BE">
        <w:rPr>
          <w:rFonts w:ascii="Garamond" w:hAnsi="Garamond"/>
          <w:lang w:val="en-GB"/>
        </w:rPr>
        <w:t xml:space="preserve">, wirkt dadurch, daß er die psychische Bereitschaft für den Sexualablauf stört, indem er neben der Bewältigung des Sexualaffekts eine andere, ablenkende, psychische Aufgabe einführt. Auch durch diese psychische Ablenkung schwindet allmählich die Libido, der weitere Verlauf ist dann derselbe wie im Falle der Abstinenz. Die Angst im Senium (Klimakterium der Männer) erfordert eine andere Erklärung. Hier läßt die Libido nicht nach; es findet aber, wie während des Klimakteriums der Weiber, eine solche </w:t>
      </w:r>
      <w:r w:rsidRPr="008725BE">
        <w:rPr>
          <w:rFonts w:ascii="Garamond" w:hAnsi="Garamond"/>
          <w:lang w:val="en-GB"/>
        </w:rPr>
        <w:lastRenderedPageBreak/>
        <w:t>Steigerung in der Produktion der somatischen Erregung statt, daß die Psyche für die Bewältigung derselben sich als relativ insuffizient erweist.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Keine größeren Schwierigkeiten bereitet die Subsumierung der ätiologischen Bedingungen bei der Frau unter den angeführten Gesichtspunkt. Der Fall der virginalen Angst ist besonders klar. Hier sind eben die Vorstellungsgruppen noch nicht genug entwickelt, mit denen sich die somatische Sexualerregung verknüpfen soll. Bei der anästhetischen Neuvermählten tritt die Angst nur dann auf, wenn die ersten Kohabitationen ein genügendes Maß von somatischer Erregung wecken. Wo die lokalen Zeichen solcher Erregtheit (wie spontane Reizempfindung, Harndrang u. dgl.) fehlen, da bleibt auch die Angst aus. Der Fall der </w:t>
      </w:r>
      <w:r w:rsidRPr="008725BE">
        <w:rPr>
          <w:rFonts w:ascii="Garamond" w:hAnsi="Garamond"/>
          <w:i/>
          <w:iCs/>
          <w:lang w:val="en-GB"/>
        </w:rPr>
        <w:t>ejaculatio praecox</w:t>
      </w:r>
      <w:r w:rsidRPr="008725BE">
        <w:rPr>
          <w:rFonts w:ascii="Garamond" w:hAnsi="Garamond"/>
          <w:lang w:val="en-GB"/>
        </w:rPr>
        <w:t xml:space="preserve">, des </w:t>
      </w:r>
      <w:r w:rsidRPr="008725BE">
        <w:rPr>
          <w:rFonts w:ascii="Garamond" w:hAnsi="Garamond"/>
          <w:i/>
          <w:iCs/>
          <w:lang w:val="en-GB"/>
        </w:rPr>
        <w:t>coitus interruptus</w:t>
      </w:r>
      <w:r w:rsidRPr="008725BE">
        <w:rPr>
          <w:rFonts w:ascii="Garamond" w:hAnsi="Garamond"/>
          <w:lang w:val="en-GB"/>
        </w:rPr>
        <w:t xml:space="preserve"> erklärt sich ähnlich wie beim Manne dadurch, daß für den psychisch unbefriedigenden Akt allmählich die Libido schwindet, während die dabei wachgerufene Erregung subkortikal ausgegeben wird. Die Herstellung einer </w:t>
      </w:r>
      <w:r w:rsidRPr="008725BE">
        <w:rPr>
          <w:rFonts w:ascii="Garamond" w:hAnsi="Garamond"/>
          <w:i/>
          <w:iCs/>
          <w:lang w:val="en-GB"/>
        </w:rPr>
        <w:t>Entfremdung</w:t>
      </w:r>
      <w:r w:rsidRPr="008725BE">
        <w:rPr>
          <w:rFonts w:ascii="Garamond" w:hAnsi="Garamond"/>
          <w:lang w:val="en-GB"/>
        </w:rPr>
        <w:t xml:space="preserve"> zwischen dem Somatischen und dem Psychischen im Ablauf der Sexualerregung erfolgt beim Weibe rascher und ist schwerer zu beseitigen als beim Manne. Der Fall der Witwenschaft und der gewollten Abstinenz sowie der Fall des Klimakteriums erledigt sich beim Weibe wohl ebenso wie beim Manne, doch kommt für den Fall der Abstinenz gewiß noch die absichtliche Verdrängung des sexuellen Vorstellungskreises hinzu, zu welcher die mit der Versuchung kämpfende abstinente Frau sich häufig entschließen muß, und ähnlich mag in der Zeit der Menopause der Abscheu wirken, den die alternde Frau gegen die übergroß gewordene Libido empfindet.</w:t>
      </w:r>
    </w:p>
    <w:p w:rsidR="008725BE" w:rsidRPr="008725BE" w:rsidRDefault="008725BE" w:rsidP="008725BE">
      <w:pPr>
        <w:pStyle w:val="Sansinterligne"/>
        <w:rPr>
          <w:rFonts w:ascii="Garamond" w:hAnsi="Garamond"/>
          <w:lang w:val="en-GB"/>
        </w:rPr>
      </w:pPr>
      <w:r w:rsidRPr="008725BE">
        <w:rPr>
          <w:rFonts w:ascii="Garamond" w:hAnsi="Garamond"/>
          <w:lang w:val="en-GB"/>
        </w:rPr>
        <w:t>Auch die beiden zuletzt angeführten ätiologischen Bedingungen scheinen sich ohne Schwierigkeit einzuordnen.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Angstneigung der neurasthenisch gewordenen Masturbanten erklärt sich daraus, daß diese Personen so leicht in den Zustand der »Abstinenz« geraten, nachdem sie sich so lange gewöhnt hatten, jeder kleinen Quantität somatischer Erregung eine allerdings fehlerhafte Abfuhr zu schaffen. Endlich läßt der letzte Fall, die Entstehung der Angstneurose durch schwere Krankheit, Überarbeitung, erschöpfende Krankenpflege u. dgl., in Anlehnung an die Wirkungsweise des </w:t>
      </w:r>
      <w:r w:rsidRPr="008725BE">
        <w:rPr>
          <w:rFonts w:ascii="Garamond" w:hAnsi="Garamond"/>
          <w:i/>
          <w:iCs/>
          <w:lang w:val="en-GB"/>
        </w:rPr>
        <w:t>coitus interruptus</w:t>
      </w:r>
      <w:r w:rsidRPr="008725BE">
        <w:rPr>
          <w:rFonts w:ascii="Garamond" w:hAnsi="Garamond"/>
          <w:lang w:val="en-GB"/>
        </w:rPr>
        <w:t xml:space="preserve"> die zwanglose Deutung zu, die Psyche werde hier durch Ablenkung insuffizient zur Bewältigung der somatischen Sexualerregung, einer Aufgabe, die ihr ja kontinuierlich obliegt. Man weiß, wie tief unter solchen Bedingungen die Libido sinken kann, und man hat hier ein schönes Beispiel einer Neurose, die zwar </w:t>
      </w:r>
      <w:r w:rsidRPr="008725BE">
        <w:rPr>
          <w:rFonts w:ascii="Garamond" w:hAnsi="Garamond"/>
          <w:i/>
          <w:iCs/>
          <w:lang w:val="en-GB"/>
        </w:rPr>
        <w:t>keine sexuelle Ätiologie, aber doch einen sexuellen Mechanismus erkennen läßt</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hier entwickelte Auffassung stellt die Symptome der Angstneurose gewissermaßen als </w:t>
      </w:r>
      <w:r w:rsidRPr="008725BE">
        <w:rPr>
          <w:rFonts w:ascii="Garamond" w:hAnsi="Garamond"/>
          <w:i/>
          <w:iCs/>
          <w:lang w:val="en-GB"/>
        </w:rPr>
        <w:t>Surrogate</w:t>
      </w:r>
      <w:r w:rsidRPr="008725BE">
        <w:rPr>
          <w:rFonts w:ascii="Garamond" w:hAnsi="Garamond"/>
          <w:lang w:val="en-GB"/>
        </w:rPr>
        <w:t xml:space="preserve"> der unterlassenen spezifischen Aktion auf die Sexualerregung dar. Ich erinnere zur weiteren Unterstützung derselben daran, daß auch beim normalen Koitus die Erregung sich nebstbei als Atembeschleunigung, Herzklopfen, Schweißausbruch, Kongestion u. dgl. ausgibt. Im entsprechenden Angstanfalle unserer Neurose hat man die Dyspnoe, das Herzklopfen u. dgl. des Koitus isoliert und gesteigert vor sich.</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könnte noch gefragt werden: Warum gerät denn das Nervensystem unter solchen Umständen, bei psychischer Unzulänglichkeit zur Bewältigung der Sexualerregung, in den eigentümlichen Affektzustand der </w:t>
      </w:r>
      <w:r w:rsidRPr="008725BE">
        <w:rPr>
          <w:rFonts w:ascii="Garamond" w:hAnsi="Garamond"/>
          <w:i/>
          <w:iCs/>
          <w:lang w:val="en-GB"/>
        </w:rPr>
        <w:t>Angst?</w:t>
      </w:r>
      <w:r w:rsidRPr="008725BE">
        <w:rPr>
          <w:rFonts w:ascii="Garamond" w:hAnsi="Garamond"/>
          <w:lang w:val="en-GB"/>
        </w:rPr>
        <w:t xml:space="preserve"> Darauf ist andeutungsweise zu erwidern: Die Psyche gerät in den </w:t>
      </w:r>
      <w:r w:rsidRPr="008725BE">
        <w:rPr>
          <w:rFonts w:ascii="Garamond" w:hAnsi="Garamond"/>
          <w:i/>
          <w:iCs/>
          <w:lang w:val="en-GB"/>
        </w:rPr>
        <w:t>Affekt</w:t>
      </w:r>
      <w:r w:rsidRPr="008725BE">
        <w:rPr>
          <w:rFonts w:ascii="Garamond" w:hAnsi="Garamond"/>
          <w:lang w:val="en-GB"/>
        </w:rPr>
        <w:t xml:space="preserve"> der Angst, wenn sie sich unfähig fühlt, eine von </w:t>
      </w:r>
      <w:r w:rsidRPr="008725BE">
        <w:rPr>
          <w:rFonts w:ascii="Garamond" w:hAnsi="Garamond"/>
          <w:i/>
          <w:iCs/>
          <w:lang w:val="en-GB"/>
        </w:rPr>
        <w:t>außen nahende</w:t>
      </w:r>
      <w:r w:rsidRPr="008725BE">
        <w:rPr>
          <w:rFonts w:ascii="Garamond" w:hAnsi="Garamond"/>
          <w:lang w:val="en-GB"/>
        </w:rPr>
        <w:t xml:space="preserve"> Aufgabe (Gefahr) durch entsprechende Reaktion zu erledigen; sie gerät in die </w:t>
      </w:r>
      <w:r w:rsidRPr="008725BE">
        <w:rPr>
          <w:rFonts w:ascii="Garamond" w:hAnsi="Garamond"/>
          <w:i/>
          <w:iCs/>
          <w:lang w:val="en-GB"/>
        </w:rPr>
        <w:t>Neurose</w:t>
      </w:r>
      <w:r w:rsidRPr="008725BE">
        <w:rPr>
          <w:rFonts w:ascii="Garamond" w:hAnsi="Garamond"/>
          <w:lang w:val="en-GB"/>
        </w:rPr>
        <w:t xml:space="preserve"> der Angst, wenn sie sich unfähig merkt, die </w:t>
      </w:r>
      <w:r w:rsidRPr="008725BE">
        <w:rPr>
          <w:rFonts w:ascii="Garamond" w:hAnsi="Garamond"/>
          <w:i/>
          <w:iCs/>
          <w:lang w:val="en-GB"/>
        </w:rPr>
        <w:t>endogen</w:t>
      </w:r>
      <w:r w:rsidRPr="008725BE">
        <w:rPr>
          <w:rFonts w:ascii="Garamond" w:hAnsi="Garamond"/>
          <w:lang w:val="en-GB"/>
        </w:rPr>
        <w:t xml:space="preserve"> entstandene (Sexual-) Erregung auszugleichen. </w:t>
      </w:r>
      <w:r w:rsidRPr="008725BE">
        <w:rPr>
          <w:rFonts w:ascii="Garamond" w:hAnsi="Garamond"/>
          <w:i/>
          <w:iCs/>
          <w:lang w:val="en-GB"/>
        </w:rPr>
        <w:t>Sie benimmt sich also, als projizierte sie diese Erregung nach außen.</w:t>
      </w:r>
      <w:r w:rsidRPr="008725BE">
        <w:rPr>
          <w:rFonts w:ascii="Garamond" w:hAnsi="Garamond"/>
          <w:lang w:val="en-GB"/>
        </w:rPr>
        <w:t xml:space="preserve"> Der Affekt und die ihm entsprechende Neurose stehen in fester Beziehung zueinander, der erstere ist die Reaktion auf eine exogene, die letztere die Reaktion auf die analoge endogene Erregung. Der Affekt ist ein rasch vorübergehender Zustand, die Neurose ein chronischer, weil die exogene Erregung wie ein einmaliger Stoß, die endogene wie eine konstante Kraft wirkt. </w:t>
      </w:r>
      <w:r w:rsidRPr="008725BE">
        <w:rPr>
          <w:rFonts w:ascii="Garamond" w:hAnsi="Garamond"/>
          <w:i/>
          <w:iCs/>
          <w:lang w:val="en-GB"/>
        </w:rPr>
        <w:t>Das Nervensystem reagiert in der Neurose gegen eine innere Erregungsquelle wie in dem entsprechenden Affekt gegen eine analoge äußere.</w:t>
      </w:r>
    </w:p>
    <w:p w:rsidR="008725BE" w:rsidRPr="008725BE" w:rsidRDefault="008725BE" w:rsidP="008725BE">
      <w:pPr>
        <w:pStyle w:val="Sansinterligne"/>
        <w:rPr>
          <w:rFonts w:ascii="Garamond" w:hAnsi="Garamond"/>
          <w:lang w:val="en-GB"/>
        </w:rPr>
      </w:pPr>
      <w:r w:rsidRPr="008725BE">
        <w:rPr>
          <w:rFonts w:ascii="Garamond" w:hAnsi="Garamond"/>
          <w:lang w:val="en-GB"/>
        </w:rPr>
        <w:t>IV. Beziehung zu anderen Neurosen</w:t>
      </w:r>
    </w:p>
    <w:p w:rsidR="008725BE" w:rsidRPr="008725BE" w:rsidRDefault="008725BE" w:rsidP="008725BE">
      <w:pPr>
        <w:pStyle w:val="Sansinterligne"/>
        <w:rPr>
          <w:rFonts w:ascii="Garamond" w:hAnsi="Garamond"/>
          <w:lang w:val="en-GB"/>
        </w:rPr>
      </w:pPr>
      <w:r w:rsidRPr="008725BE">
        <w:rPr>
          <w:rFonts w:ascii="Garamond" w:hAnsi="Garamond"/>
          <w:lang w:val="en-GB"/>
        </w:rPr>
        <w:t>Es erübrigen noch einige Bemerkungen über die Beziehungen der Angstneurose zu den anderen Neurosen nach Vorkommen und innerer Verwandtschaft.</w:t>
      </w:r>
    </w:p>
    <w:p w:rsidR="008725BE" w:rsidRPr="008725BE" w:rsidRDefault="008725BE" w:rsidP="008725BE">
      <w:pPr>
        <w:pStyle w:val="Sansinterligne"/>
        <w:rPr>
          <w:rFonts w:ascii="Garamond" w:hAnsi="Garamond"/>
          <w:lang w:val="en-GB"/>
        </w:rPr>
      </w:pPr>
      <w:r w:rsidRPr="008725BE">
        <w:rPr>
          <w:rFonts w:ascii="Garamond" w:hAnsi="Garamond"/>
          <w:lang w:val="en-GB"/>
        </w:rPr>
        <w:t>Die reinsten Fälle von Angstneurose sind auch meist die ausgeprägtesten. Sie finden sich bei potenten jugendlichen Individuen, bei einheitlicher Ätiologie und nicht zu langem Bestande des Krankseins.</w:t>
      </w:r>
    </w:p>
    <w:p w:rsidR="008725BE" w:rsidRPr="008725BE" w:rsidRDefault="008725BE" w:rsidP="008725BE">
      <w:pPr>
        <w:pStyle w:val="Sansinterligne"/>
        <w:rPr>
          <w:rFonts w:ascii="Garamond" w:hAnsi="Garamond"/>
          <w:lang w:val="en-GB"/>
        </w:rPr>
      </w:pPr>
      <w:r w:rsidRPr="008725BE">
        <w:rPr>
          <w:rFonts w:ascii="Garamond" w:hAnsi="Garamond"/>
          <w:lang w:val="en-GB"/>
        </w:rPr>
        <w:t>Häufiger ist allerdings das gleichzeitige und gemeinsame Vorkommen von Angstsymptomen mit solchen der Neurasthenie, Hysterie, der Zwangsvorstellungen, der Melancholie. Wollte man sich durch solche klinische Vermengung abhalten lassen, die Angstneurose als eine selbständige Einheit anzuerkennen, so müßte man konsequenterweise auch auf die mühsam erworbene Trennung von Hysterie und Neurasthenie wieder verzichten.</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Für die Analyse der »gemischten Neurosen« kann ich den wichtigen Satz vertreten: </w:t>
      </w:r>
      <w:r w:rsidRPr="008725BE">
        <w:rPr>
          <w:rFonts w:ascii="Garamond" w:hAnsi="Garamond"/>
          <w:i/>
          <w:iCs/>
          <w:lang w:val="en-GB"/>
        </w:rPr>
        <w:t>Wo sich eine gemischte Neurose vorfindet, da läßt sich eine Vermengung mehrerer spezifischer Ätiologien nachweisen.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solche Vielheit ätiologischer Momente, die eine gemischte Neurose bedingt, kann bloß zufällig zustande kommen, etwa indem eine neu hinzutretende Schädlichkeit ihre Wirkungen zu denen einer früher vorhandenen addiert; z. B. eine Frau, die von jeher Hysterika war, tritt zu einer gewissen Zeit ihrer Ehe in den </w:t>
      </w:r>
      <w:r w:rsidRPr="008725BE">
        <w:rPr>
          <w:rFonts w:ascii="Garamond" w:hAnsi="Garamond"/>
          <w:i/>
          <w:iCs/>
          <w:lang w:val="en-GB"/>
        </w:rPr>
        <w:t>coitus reservatus</w:t>
      </w:r>
      <w:r w:rsidRPr="008725BE">
        <w:rPr>
          <w:rFonts w:ascii="Garamond" w:hAnsi="Garamond"/>
          <w:lang w:val="en-GB"/>
        </w:rPr>
        <w:t xml:space="preserve"> ein und erwirbt jetzt zu ihrer Hysterie eine Angstneurose; ein Mann, der bisher masturbiert hatte und neurasthenisch wurde, wird Bräutigam, erregt sich bei seiner Braut, und jetzt gesellt sich zur Neurasthenie eine frische Angstneurose hinzu.</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anderen Fällen ist die Mehrheit ätiologischer Momente keine zufällige, sondern das eine derselben hat das andere mit zur Wirkung gebracht; z. B. eine Frau, mit welcher ihr Mann </w:t>
      </w:r>
      <w:r w:rsidRPr="008725BE">
        <w:rPr>
          <w:rFonts w:ascii="Garamond" w:hAnsi="Garamond"/>
          <w:i/>
          <w:iCs/>
          <w:lang w:val="en-GB"/>
        </w:rPr>
        <w:t>coitus reservatus</w:t>
      </w:r>
      <w:r w:rsidRPr="008725BE">
        <w:rPr>
          <w:rFonts w:ascii="Garamond" w:hAnsi="Garamond"/>
          <w:lang w:val="en-GB"/>
        </w:rPr>
        <w:t xml:space="preserve"> ohne Rücksicht auf ihre Befriedigung übt, sieht sich genötigt, die peinliche Erregung nach einem solchen Akt durch Masturbation zu beenden; sie zeigt infolgedessen nicht reine Angstneurose, sondern daneben Symptome von Neurasthenie; eine zweite Frau wird unter derselben Schädlichkeit mit lüsternen Bildern zu kämpfen haben, deren sie sich erwehren will, und wird auf solche Weise durch den </w:t>
      </w:r>
      <w:r w:rsidRPr="008725BE">
        <w:rPr>
          <w:rFonts w:ascii="Garamond" w:hAnsi="Garamond"/>
          <w:i/>
          <w:iCs/>
          <w:lang w:val="en-GB"/>
        </w:rPr>
        <w:t>coitus interruptus</w:t>
      </w:r>
      <w:r w:rsidRPr="008725BE">
        <w:rPr>
          <w:rFonts w:ascii="Garamond" w:hAnsi="Garamond"/>
          <w:lang w:val="en-GB"/>
        </w:rPr>
        <w:t xml:space="preserve"> nebst der Angstneurose Zwangsvorstellungen erwerben; eine dritte Frau endlich wird infolge des </w:t>
      </w:r>
      <w:r w:rsidRPr="008725BE">
        <w:rPr>
          <w:rFonts w:ascii="Garamond" w:hAnsi="Garamond"/>
          <w:i/>
          <w:iCs/>
          <w:lang w:val="en-GB"/>
        </w:rPr>
        <w:t>coitus interruptus</w:t>
      </w:r>
      <w:r w:rsidRPr="008725BE">
        <w:rPr>
          <w:rFonts w:ascii="Garamond" w:hAnsi="Garamond"/>
          <w:lang w:val="en-GB"/>
        </w:rPr>
        <w:t xml:space="preserve"> die Neigung zu ihrem Manne einbüßen, eine andere Neigung erwerben, welche sie sorgfältig geheimhält, und wird infolgedessen ein Gemenge von Angstneurose und Hysterie zeigen.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einer dritten Kategorie von gemischten Neurosen ist der Zusammenhang der Symptome ein noch innigerer, indem die nämliche ätiologische Bedingung gesetzmäßig und gleichzeitig beide Neurosen hervorruft. So z. B. erzeugt die plötzliche sexuelle Aufklärung, die wir bei der virginalen Angst gefunden haben, immer auch Hysterie; die allermeisten Fälle von absichtlicher Abstinenz verknüpfen sich von Anfang an mit echten Zwangsvorstellungen; der </w:t>
      </w:r>
      <w:r w:rsidRPr="008725BE">
        <w:rPr>
          <w:rFonts w:ascii="Garamond" w:hAnsi="Garamond"/>
          <w:i/>
          <w:iCs/>
          <w:lang w:val="en-GB"/>
        </w:rPr>
        <w:t>coitus interruptus</w:t>
      </w:r>
      <w:r w:rsidRPr="008725BE">
        <w:rPr>
          <w:rFonts w:ascii="Garamond" w:hAnsi="Garamond"/>
          <w:lang w:val="en-GB"/>
        </w:rPr>
        <w:t xml:space="preserve"> der Männer scheint mir niemals reine Angstneurose provozieren zu können, sondern stets eine Vermengung derselben mit Neurasthenie u. dgl.</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geht aus diesen Erörterungen hervor, daß man die ätiologischen Bedingungen des Vorkommens noch unterscheiden muß von den spezifischen ätiologischen Momenten der Neurosen. Erstere, z. B. der </w:t>
      </w:r>
      <w:r w:rsidRPr="008725BE">
        <w:rPr>
          <w:rFonts w:ascii="Garamond" w:hAnsi="Garamond"/>
          <w:i/>
          <w:iCs/>
          <w:lang w:val="en-GB"/>
        </w:rPr>
        <w:t>coitus interruptus</w:t>
      </w:r>
      <w:r w:rsidRPr="008725BE">
        <w:rPr>
          <w:rFonts w:ascii="Garamond" w:hAnsi="Garamond"/>
          <w:lang w:val="en-GB"/>
        </w:rPr>
        <w:t xml:space="preserve">, die Masturbation, die Abstinenz, sind noch vieldeutig und können ein jedes verschiedene Neurosen produzieren; erst die aus ihnen abstrahierten ätiologischen Momente, wie </w:t>
      </w:r>
      <w:r w:rsidRPr="008725BE">
        <w:rPr>
          <w:rFonts w:ascii="Garamond" w:hAnsi="Garamond"/>
          <w:i/>
          <w:iCs/>
          <w:lang w:val="en-GB"/>
        </w:rPr>
        <w:t>inadäquate Entlastung, psychische Unzulänglichkeit, Abwehr mit Substitution</w:t>
      </w:r>
      <w:r w:rsidRPr="008725BE">
        <w:rPr>
          <w:rFonts w:ascii="Garamond" w:hAnsi="Garamond"/>
          <w:lang w:val="en-GB"/>
        </w:rPr>
        <w:t>, haben eine unzweideutige und spezifische Beziehung zur Ätiologie der einzelnen großen Neurosen.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Ihrem inneren Wesen nach zeigt die Angstneurose die interessantesten Übereinstimmungen und Verschiedenheiten gegen die anderen großen Neurosen, besonders gegen Neurasthenie und Hysterie. Mit der Neurasthenie teilt sie den einen Hauptcharakter, daß die Erregungsquelle, der Anlaß zur Störung, auf somatischem Gebiete liegt, anstatt wie bei Hysterie und Zwangsneurose auf psychischem. Im übrigen läßt sich eher eine Art von Gegensätzlichkeit zwischen den Symptomen der Neurasthenie und denen der Angstneurose erkennen, die etwa in den Schlagworten: Anhäufung – Verarmung an Erregung ihren Ausdruck fände. Diese Gegensätzlichkeit hindert nicht, daß sich die beiden Neurosen miteinander vermengen, zeigt sich aber doch darin, daß die extremsten Formen in beiden Fällen auch die reinsten sind.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Mit der Hysterie zeigt die Angstneurose zunächst eine Reihe von Übereinstimmungen in der Symptomatologie, deren genauere Würdigung noch aussteht. Das Auftreten der Erscheinungen als Dauersymptome oder in Anfällen, die auraartig gruppierten Parästhesien, die Hyperästhesien und Druckpunkte, die sich bei gewissen Surrogaten des Angstanfalles, bei der Dyspnoe und dem Herzanfalle finden, die Steigerung der etwa organisch berechtigten Schmerzen (durch Konversion): – diese und andere gemeinschaftliche Züge lassen sogar vermuten, daß manches, was man der Hysterie zurechnet, mit mehr Fug und Recht zur Angstneurose geschlagen werden dürfte. Geht man auf den Mechanismus der beiden Neurosen ein, soweit er sich bis jetzt hat durchschauen lassen, so ergeben sich Gesichtspunkte, welche die Angstneurose geradezu als das somatische Seitenstück zur Hysterie erscheinen lassen. Hier wie dort Anhäufung von Erregung – worin vielleicht die vorhin geschilderte Ähnlichkeit der Symptome gegründet ist; – hier wie dort eine </w:t>
      </w:r>
      <w:r w:rsidRPr="008725BE">
        <w:rPr>
          <w:rFonts w:ascii="Garamond" w:hAnsi="Garamond"/>
          <w:i/>
          <w:iCs/>
          <w:lang w:val="en-GB"/>
        </w:rPr>
        <w:t>psychische Unzulänglichkeit, der zufolge abnorme somatische Vorgänge zustande kommen</w:t>
      </w:r>
      <w:r w:rsidRPr="008725BE">
        <w:rPr>
          <w:rFonts w:ascii="Garamond" w:hAnsi="Garamond"/>
          <w:lang w:val="en-GB"/>
        </w:rPr>
        <w:t xml:space="preserve">. Hier wie dort tritt an Stelle einer psychischen Verarbeitung eine Ablenkung der Erregung in das Somatische ein; der Unterschied liegt bloß darin, daß die Erregung, in deren Verschiebung sich die Neurose äußert, bei der Angstneurose eine rein somatische (die somatische Sexualerregung), bei der Hysterie eine psychische (durch Konflikt hervorgerufene) ist. Es kann daher nicht wundernehmen, daß Hysterie und Angstneurose sich gesetzmäßig miteinander kombinieren wie bei der » </w:t>
      </w:r>
      <w:r w:rsidRPr="008725BE">
        <w:rPr>
          <w:rFonts w:ascii="Garamond" w:hAnsi="Garamond"/>
          <w:i/>
          <w:iCs/>
          <w:lang w:val="en-GB"/>
        </w:rPr>
        <w:t>virginalen Angst</w:t>
      </w:r>
      <w:r w:rsidRPr="008725BE">
        <w:rPr>
          <w:rFonts w:ascii="Garamond" w:hAnsi="Garamond"/>
          <w:lang w:val="en-GB"/>
        </w:rPr>
        <w:t xml:space="preserve">« oder der » </w:t>
      </w:r>
      <w:r w:rsidRPr="008725BE">
        <w:rPr>
          <w:rFonts w:ascii="Garamond" w:hAnsi="Garamond"/>
          <w:i/>
          <w:iCs/>
          <w:lang w:val="en-GB"/>
        </w:rPr>
        <w:t>sexuellen Hysterie</w:t>
      </w:r>
      <w:r w:rsidRPr="008725BE">
        <w:rPr>
          <w:rFonts w:ascii="Garamond" w:hAnsi="Garamond"/>
          <w:lang w:val="en-GB"/>
        </w:rPr>
        <w:t xml:space="preserve">«, daß die Hysterie eine Anzahl von Symptomen einfach der Angstneurose entlehnt u. dgl. Diese innigen Beziehungen der Angstneurose zur Hysterie geben auch ein neues Argument ab, um die Trennung </w:t>
      </w:r>
      <w:r w:rsidRPr="008725BE">
        <w:rPr>
          <w:rFonts w:ascii="Garamond" w:hAnsi="Garamond"/>
          <w:lang w:val="en-GB"/>
        </w:rPr>
        <w:lastRenderedPageBreak/>
        <w:t>der Angstneurose von der Neurasthenie zu fordern; denn verweigert man diese, so kann man auch die so mühsam erworbene und für die Theorie der Neurosen so unentbehrliche Unterscheidung von Neurasthenie und Hysterie nicht mehr aufrechterhalten.</w:t>
      </w:r>
    </w:p>
    <w:p w:rsidR="008725BE" w:rsidRPr="008725BE" w:rsidRDefault="008725BE" w:rsidP="008725BE">
      <w:pPr>
        <w:pStyle w:val="Sansinterligne"/>
        <w:rPr>
          <w:rFonts w:ascii="Garamond" w:hAnsi="Garamond"/>
        </w:rPr>
      </w:pPr>
      <w:r w:rsidRPr="008725BE">
        <w:rPr>
          <w:rFonts w:ascii="Garamond" w:hAnsi="Garamond"/>
        </w:rPr>
        <w:t>Wien, im Dezember 1894</w:t>
      </w:r>
    </w:p>
    <w:p w:rsidR="008725BE" w:rsidRPr="008725BE" w:rsidRDefault="008725BE" w:rsidP="008725BE">
      <w:pPr>
        <w:pStyle w:val="Sansinterligne"/>
        <w:rPr>
          <w:rFonts w:ascii="Garamond" w:hAnsi="Garamond"/>
          <w:caps/>
        </w:rPr>
      </w:pPr>
      <w:r w:rsidRPr="008725BE">
        <w:rPr>
          <w:rFonts w:ascii="Garamond" w:hAnsi="Garamond"/>
        </w:rPr>
        <w:br w:type="page"/>
      </w:r>
      <w:hyperlink w:anchor="KSinhalt" w:history="1">
        <w:r w:rsidRPr="008725BE">
          <w:rPr>
            <w:rStyle w:val="Lienhypertexte"/>
            <w:rFonts w:ascii="Garamond" w:hAnsi="Garamond"/>
            <w:b/>
          </w:rPr>
          <w:t>Üb</w:t>
        </w:r>
        <w:bookmarkStart w:id="191" w:name="KS56"/>
        <w:bookmarkEnd w:id="191"/>
        <w:r w:rsidRPr="008725BE">
          <w:rPr>
            <w:rStyle w:val="Lienhypertexte"/>
            <w:rFonts w:ascii="Garamond" w:hAnsi="Garamond"/>
            <w:b/>
          </w:rPr>
          <w:t>er die Psychogenese eines Falles von weiblicher Homosexualität</w:t>
        </w:r>
      </w:hyperlink>
      <w:r w:rsidRPr="008725BE">
        <w:rPr>
          <w:rFonts w:ascii="Garamond" w:hAnsi="Garamond"/>
        </w:rPr>
        <w:t xml:space="preserve">  </w:t>
      </w:r>
      <w:r w:rsidRPr="008725BE">
        <w:rPr>
          <w:rFonts w:ascii="Garamond" w:hAnsi="Garamond"/>
          <w:caps/>
        </w:rPr>
        <w:t>(1920)</w:t>
      </w:r>
    </w:p>
    <w:p w:rsidR="008725BE" w:rsidRPr="008725BE" w:rsidRDefault="008725BE" w:rsidP="008725BE">
      <w:pPr>
        <w:pStyle w:val="Sansinterligne"/>
        <w:rPr>
          <w:rFonts w:ascii="Garamond" w:hAnsi="Garamond"/>
        </w:rPr>
      </w:pPr>
      <w:r w:rsidRPr="008725BE">
        <w:rPr>
          <w:rFonts w:ascii="Garamond" w:hAnsi="Garamond"/>
        </w:rPr>
        <w:t> </w:t>
      </w:r>
    </w:p>
    <w:p w:rsidR="008725BE" w:rsidRPr="008725BE" w:rsidRDefault="008725BE" w:rsidP="008725BE">
      <w:pPr>
        <w:pStyle w:val="Sansinterligne"/>
        <w:rPr>
          <w:rFonts w:ascii="Garamond" w:hAnsi="Garamond"/>
        </w:rPr>
      </w:pPr>
      <w:r w:rsidRPr="008725BE">
        <w:rPr>
          <w:rFonts w:ascii="Garamond" w:hAnsi="Garamond"/>
        </w:rPr>
        <w:t>I</w:t>
      </w:r>
    </w:p>
    <w:p w:rsidR="008725BE" w:rsidRPr="008725BE" w:rsidRDefault="008725BE" w:rsidP="008725BE">
      <w:pPr>
        <w:pStyle w:val="Sansinterligne"/>
        <w:rPr>
          <w:rFonts w:ascii="Garamond" w:hAnsi="Garamond"/>
        </w:rPr>
      </w:pPr>
      <w:r w:rsidRPr="008725BE">
        <w:rPr>
          <w:rFonts w:ascii="Garamond" w:hAnsi="Garamond"/>
        </w:rPr>
        <w:t>Die weibliche Homosexualität, gewiß nicht weniger häufig als die männliche, aber doch weit weniger lärmend als diese, ist nicht nur vom Strafgesetz übergangen, sondern auch von der psychoanalytischen Forschung vernachlässigt worden. Die Mitteilung eines einzelnen, nicht allzu grellen Falles, in dem es möglich wurde, dessen psychische Entstehungsgeschichte fast lückenlos und mit voller Sicherheit zu erkennen, mag daher einen gewissen Anspruch auf Beachtung erheben. Wenn die Darstellung nur die allgemeinsten Umrisse der Geschehnisse und die aus dem Falle gewonnenen Einsichten bringt und alle charakteristischen Einzelheiten unterschlägt, auf denen die Deutung ruht, so ist diese Einschränkung durch die von einem frischen Fall geforderte ärztliche Diskretion leicht erklärlich.</w:t>
      </w:r>
    </w:p>
    <w:p w:rsidR="008725BE" w:rsidRPr="008725BE" w:rsidRDefault="008725BE" w:rsidP="008725BE">
      <w:pPr>
        <w:pStyle w:val="Sansinterligne"/>
        <w:rPr>
          <w:rFonts w:ascii="Garamond" w:hAnsi="Garamond"/>
          <w:lang w:val="en-GB"/>
        </w:rPr>
      </w:pPr>
      <w:r w:rsidRPr="008725BE">
        <w:rPr>
          <w:rFonts w:ascii="Garamond" w:hAnsi="Garamond"/>
        </w:rPr>
        <w:t xml:space="preserve">Ein achtzehnjähriges, schönes und kluges Mädchen aus sozial hochstehender Familie hat das Mißfallen und die Sorge seiner Eltern durch die Zärtlichkeit erweckt, mit der sie eine etwa zehn Jahr ältere Dame »aus der Gesellschaft« verfolgt. Die Eltern behaupten, daß diese Dame trotz ihres vornehmen Namens nichts anderes sei als eine Kokotte. Es sei von ihr bekannt, daß sie bei einer verheirateten Freundin lebt, mit der sie intime Beziehungen unterhält, während sie gleichzeitig in lockeren Liebesverhältnissen zu einer Anzahl von Männern steht. Das Mädchen bestreitet diese üble Nachrede nicht, läßt sich aber durch sie in der Verehrung der Dame nicht beirren, obwohl es ihr an Sinn für das Schickliche und Reinliche keineswegs gebricht. Kein Verbot und keine Überwachung hält sie ab, jede der spärlichen Gelegenheiten zum Beisammensein mit der Geliebten auszunützen, alle ihre Lebensgewohnheiten auszukundschaften, stundenlang vor ihrem Haustor oder an Trambahnhaltestellen auf sie zu warten, ihr Blumen zu schicken u. dgl. </w:t>
      </w:r>
      <w:r w:rsidRPr="008725BE">
        <w:rPr>
          <w:rFonts w:ascii="Garamond" w:hAnsi="Garamond"/>
          <w:lang w:val="en-GB"/>
        </w:rPr>
        <w:t>Es ist offenkundig, daß dies eine Interesse bei dem Mädchen alle anderen verschlungen hat. Sie kümmert sich nicht um ihre weitere Ausbildung, legt keinen Wert auf gesellschaftlichen Verkehr und mädchenhafte Vergnügungen und hält nur den Umgang mit einigen Freundinnen aufrecht, die ihr als Vertraute oder als Helferinnen dienen können. Wie weit es zwischen ihrer Tochter und jener zweifelhaften Dame gekommen ist, ob die Grenzen einer zärtlichen Schwärmerei bereits überschritten worden sind, wissen die Eltern nicht. Ein Interesse für junge Männer und Wohlgefallen an deren Huldigungen haben sie an dem Mädchen nie bemerkt; dagegen sind sie sich klar darüber, daß diese gegenwärtige Neigung für eine Frau nur in erhöhtem Maße fortsetzt, was sich in den letzten Jahren für andere weibliche Personen angezeigt und den Argwohn sowie die Strenge des Vaters wachgerufen hatte.</w:t>
      </w:r>
    </w:p>
    <w:p w:rsidR="008725BE" w:rsidRPr="008725BE" w:rsidRDefault="008725BE" w:rsidP="008725BE">
      <w:pPr>
        <w:pStyle w:val="Sansinterligne"/>
        <w:rPr>
          <w:rFonts w:ascii="Garamond" w:hAnsi="Garamond"/>
          <w:lang w:val="en-GB"/>
        </w:rPr>
      </w:pPr>
      <w:r w:rsidRPr="008725BE">
        <w:rPr>
          <w:rFonts w:ascii="Garamond" w:hAnsi="Garamond"/>
          <w:lang w:val="en-GB"/>
        </w:rPr>
        <w:t>Zwei Stücke ihres Benehmens, scheinbar einander gegensätzlich, wurden dem Mädchen von den Eltern am stärksten verübelt. Daß sie keine Bedenken trug, sich öffentlich in belebten Straßen mit der anrüchigen Geliebten zu zeigen, und also die Rücksicht auf ihren eigenen Ruf vernachlässigte und daß sie kein Mittel der Täuschung, keine Ausrede und keine Lüge verschmähte, um die Zusammenkünfte mit ihr zu ermöglichen und zu decken. Also zuviel Offenheit in dem einen, vollste Verstellung im anderen Falle. Eines Tages traf es sich, was ja unter diesen Umständen einmal geschehen mußte, daß der Vater seiner Tochter in Begleitung jener ihm bekannt gewordenen Dame auf der Straße begegnete. Er ging mit einem zornigen Blick, der nichts Gutes ankündigte, an den beiden vorüber. Unmittelbar darauf riß sich das Mädchen los und stürzte sich über die Mauer in den dort nahen Einschnitt der Stadtbahn. Sie büßte diesen unzweifelhaft ernst gemeinten Selbstmordversuch mit einem langen Krankenlager, aber zum Glück mit nur geringer dauernder Schädigung. Nach ihrer Herstellung fand sie die Situation für ihre Wünsche günstiger als zuvor. Die Eltern wagten es nicht mehr, ihr ebenso entschieden entgegenzutreten, und die Dame, die sich bis dahin gegen ihre Werbung spröde ablehnend verhalten hatte, war durch einen so unzweideutigen Beweis ernster Leidenschaft gerührt und begann sie freundlicher zu behandeln.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Etwa ein halbes Jahr nach diesem Unfall wendeten sich die Eltern an den Arzt und stellten ihm die Aufgabe, ihre Tochter zur Norm zurückzubringen. Der Selbstmordversuch des Mädchens hatte ihnen wohl gezeigt, daß die Machtmittel der häuslichen Disziplin nicht imstande waren, die vorliegende Störung zu bewältigen. Es ist aber gut, hier die Stellung des Vaters und die der Mutter gesondert zu behandeln. Der Vater war ein ernsthafter, respektabler Mann, im Grunde sehr zärtlich, durch seine angenommene Strenge den Kindern etwas entfremdet. Sein Benehmen gegen die einzige Tochter wurde allzusehr durch Rücksichten auf seine Frau, ihre Mutter, bestimmt. Als er zuerst von den homosexuellen Neigungen der Tochter Kenntnis bekam, wallte er zornig auf und wollte sie durch Drohungen unterdrücken; er mag damals zwischen verschiedenen, gleich peinlichen Auffassungen geschwankt haben, ob er ein lasterhaftes, ein entartetes oder ein geisteskrankes Wesen in ihr sehen sollte. Auch nach dem Unfall brachte er es nicht zur Höhe jener überlegenen Resignation, welcher einer unserer ärztlichen Kollegen bei einer irgendwie ähnlichen Entgleisung in seiner Familie durch die Rede Ausdruck gab: »Es ist eben ein Malheur wie ein </w:t>
      </w:r>
      <w:r w:rsidRPr="008725BE">
        <w:rPr>
          <w:rFonts w:ascii="Garamond" w:hAnsi="Garamond"/>
          <w:lang w:val="en-GB"/>
        </w:rPr>
        <w:lastRenderedPageBreak/>
        <w:t>anderes!« Die Homosexualität seiner Tochter hatte etwas, was seine vollste Erbitterung weckte. Er war entschlossen, sie mit allen Mitteln zu bekämpfen; die in Wien so allgemein verbreitete Geringschätzung der Psychoanalyse hielt ihn nicht ab, sich an sie um Hilfe zu wenden. Wenn dieser Weg versagte, hatte er noch immer das stärkste Gegenmittel im Rückhalt; eine rasche Verheiratung sollte die natürlichen Instinkte des Mädchens wachrufen und dessen unnatürliche Neigungen ersticken.</w:t>
      </w:r>
    </w:p>
    <w:p w:rsidR="008725BE" w:rsidRPr="008725BE" w:rsidRDefault="008725BE" w:rsidP="008725BE">
      <w:pPr>
        <w:pStyle w:val="Sansinterligne"/>
        <w:rPr>
          <w:rFonts w:ascii="Garamond" w:hAnsi="Garamond"/>
          <w:lang w:val="en-GB"/>
        </w:rPr>
      </w:pPr>
      <w:r w:rsidRPr="008725BE">
        <w:rPr>
          <w:rFonts w:ascii="Garamond" w:hAnsi="Garamond"/>
          <w:lang w:val="en-GB"/>
        </w:rPr>
        <w:t>Die Einstellung der Mutter des Mädchens war nicht so leicht zu durchschauen. Sie war eine noch jugendliche Frau, die dem Anspruch, selbst durch Schönheit zu gefallen, offenbar nicht entsagen wollte. Es war nur klar, daß sie die Schwärmerei ihrer Tochter nicht so tragisch nahm und sich keineswegs so sehr darüber entrüstete wie der Vater. Sie hatte sogar durch längere Zeit das Vertrauen des Mädchens in betreff ihrer Verliebtheit in jene Dame genossen; ihre Parteinahme dagegen schien wesentlich durch die schädliche Offenheit bestimmt, mit der die Tochter ihre Gefühle vor aller Welt kundgab. Sie war selbst durch mehrere Jahre neurotisch gewesen, erfreute sich großer Schonung von Seiten ihres Mannes, behandelte ihre Kinder recht ungleichmäßig, war eigentlich hart gegen die Tochter und überzärtlich mit ihren drei Knaben, von denen der jüngste ein Spätling war, gegenwärtig noch nicht drei Jahre alt. Bestimmteres über ihren Charakter zu erfahren war nicht leicht, denn infolge von Motiven, die erst später verstanden werden können, hielten die Angaben der Patientin über ihre Mutter stets eine Reserve ein, von der im Falle des Vaters keine Rede war.</w:t>
      </w:r>
    </w:p>
    <w:p w:rsidR="008725BE" w:rsidRPr="008725BE" w:rsidRDefault="008725BE" w:rsidP="008725BE">
      <w:pPr>
        <w:pStyle w:val="Sansinterligne"/>
        <w:rPr>
          <w:rFonts w:ascii="Garamond" w:hAnsi="Garamond"/>
          <w:lang w:val="en-GB"/>
        </w:rPr>
      </w:pPr>
      <w:r w:rsidRPr="008725BE">
        <w:rPr>
          <w:rFonts w:ascii="Garamond" w:hAnsi="Garamond"/>
          <w:lang w:val="en-GB"/>
        </w:rPr>
        <w:t>Der Arzt, der die analytische Behandlung des Mädchens übernehmen sollte, hatte mehrere Gründe, sich unbehaglich zu fühlen. Er fand nicht die Situation vor, welche die Analyse anfordert und in der sie allein ihre Wirksamkeit erproben kann. Diese Situation sieht in ihrer idealen Ausprägung bekanntlich so aus, daß jemand, der sonst sein eigener Herr ist, an einem inneren Konflikt leidet, den er allein nicht zu Ende bringen kann, daß er dann zum Analytiker kommt, es ihm klagt und ihn um seine Hilfeleistung bittet. Der Arzt arbeitet dann Hand in Hand mit dem einen Anteil der krankhaft entzweiten Persönlichkeit gegen den anderen Partner des Konflikts. Andere Situationen als diese sind für die Analyse mehr oder minder ungünstig, fügen zu den inneren Schwierigkeiten des Falles neue hinzu. Situationen wie die des Bauherrn, der beim Architekten eine Villa nach seinem Geschmack und Bedürfnis bestellt, oder des frommen Stifters, der sich vom Künstler ein Heiligenbild malen läßt, in dessen Ecke dann sein eigenes Porträt als Anbetender Platz findet, sind mit den Bedingungen der Psychoanalyse im Grunde nicht vereinbar. Es kommt zwar alle Tage vor, daß sich ein Ehemann an den Arzt mit der Information wendet: »Meine Frau ist nervös, sie verträgt sich darum schlecht mit mir; machen Sie sie gesund, so daß wir wieder eine glückliche Ehe führen können.« Aber es stellt sich oft genug heraus, daß ein solcher Auftrag unausführbar ist, das heißt, daß der Arzt nicht das Ergebnis herstellen kann, wegen dessen der Mann die Behandlung wünschte. Sowie die Frau von ihren neurotischen Hemmungen befreit ist, setzt sie die Trennung der Ehe durch, deren Erhaltung nur unter der Voraussetzung ihrer Neurose möglich war. Oder Eltern verlangen, daß man ihr Kind gesund mache, welches nervös und unfügsam ist. Sie verstehen unter einem gesunden Kind ein solches, das den Eltern keine Schwierigkeiten bereitet, an dem sie ihre Freude haben können. Die Herstellung des Kindes mag dem Arzt gelingen, aber es geht nach der Genesung um so entschiedener seine eigenen Wege, und die Eltern sind jetzt weit mehr unzufrieden als vorher. Kurz, es ist nicht gleichgültig, ob ein Mensch aus eigenem Streben in die Analyse kommt oder darum, weil andere ihn dahin bringen, ob er selbst seine Veränderung wünscht oder nur seine Angehörigen, die ihn lieben oder von denen man solche Liebe erwarten sollte.</w:t>
      </w:r>
    </w:p>
    <w:p w:rsidR="008725BE" w:rsidRPr="008725BE" w:rsidRDefault="008725BE" w:rsidP="008725BE">
      <w:pPr>
        <w:pStyle w:val="Sansinterligne"/>
        <w:rPr>
          <w:rFonts w:ascii="Garamond" w:hAnsi="Garamond"/>
          <w:lang w:val="en-GB"/>
        </w:rPr>
      </w:pPr>
      <w:r w:rsidRPr="008725BE">
        <w:rPr>
          <w:rFonts w:ascii="Garamond" w:hAnsi="Garamond"/>
          <w:lang w:val="en-GB"/>
        </w:rPr>
        <w:t>Als weitere ungünstige Momente waren die Tatsachen zu bewerten, daß das Mädchen ja keine Kranke war – sie litt nicht aus inneren Gründen, beklagte sich nicht über ihren Zustand – und daß die gestellte Aufgabe nicht darin bestand, einen neurotischen Konflikt zu lösen, sondern die eine Variante der genitalen Sexualorganisation in die andere überzuführen. Diese Leistung, die Beseitigung der genitalen Inversion oder Homosexualität, ist meiner Erfahrung niemals leicht erschienen. Ich habe vielmehr gefunden, daß sie nur unter besonders günstigen Umständen gelingt, und auch dann bestand der Erfolg wesentlich darin, daß man der homosexuell eingeengten Person den bis dahin versperrten Weg zum anderen Geschlechte frei machen konnte, also ihre volle bisexuelle Funktion wiederherstellte. Es lag dann in ihrem Belieben, ob sie den anderen, von der Gesellschaft geächteten Weg veröden lassen wollte, und in einzelnen Fällen hat sie es auch so getan. Man muß sich sagen, daß auch die normale Sexualität auf einer Einschränkung der Objektwahl beruht, und im allgemeinen ist das Unternehmen, einen vollentwickelten Homosexuellen in einen Heterosexuellen zu verwandeln, nicht viel aussichtsreicher als das umgekehrte, nur daß man dies letztere aus guten praktischen Gründen niemals versucht.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Erfolge der psychoanalytischen Therapie in der Behandlung der allerdings sehr vielgestaltigen Homosexualität sind der Zahl nach wirklich nicht bedeutsam. In der Regel vermag der Homosexuelle sein </w:t>
      </w:r>
      <w:r w:rsidRPr="008725BE">
        <w:rPr>
          <w:rFonts w:ascii="Garamond" w:hAnsi="Garamond"/>
          <w:lang w:val="en-GB"/>
        </w:rPr>
        <w:lastRenderedPageBreak/>
        <w:t>Lustobjekt nicht aufzugeben; es gelingt nicht, ihn zu überzeugen, daß er die Lust, auf die er hier verzichtet, im Falle der Umwandlung am anderen Objekt wiederfinden würde. Wenn er sich überhaupt in Behandlung begibt, so haben ihn zumeist äußere Motive dazu gedrängt, die sozialen Nachteile und Gefahren seiner Objektwahl, und solche Komponenten des Selbsterhaltungstriebes erweisen sich als zu schwach im Kampfe gegen die Sexualstrebungen. Man kann dann bald seinen geheimen Plan aufdecken, sich durch den eklatanten Mißerfolg dieses Versuches die Beruhigung zu schaffen, daß er das Möglichste gegen seine Sonderartung getan habe und sich ihr nun mit gutem Gewissen überlassen könne. Wo die Rücksicht auf geliebte Eltern und Angehörige den Versuch zur Heilung motiviert hat, da liegt der Fall etwas anders. Es sind dann wirklich libidinöse Strebungen vorhanden, die zur homosexuellen Objektwahl gegensätzliche Energien entwickeln können, aber deren Kraft reicht selten aus. Nur wo die Fixierung an das gleichgeschlechtliche Objekt noch nicht stark genug geworden ist oder wo sich erhebliche Ansätze und Reste der heterosexuellen Objektwahl vorfinden, also bei noch schwankender oder bei deutlich bisexueller Organisation, darf die Prognose der psychoanalytischen Therapie günstiger gestellt werden.</w:t>
      </w:r>
    </w:p>
    <w:p w:rsidR="008725BE" w:rsidRPr="008725BE" w:rsidRDefault="008725BE" w:rsidP="008725BE">
      <w:pPr>
        <w:pStyle w:val="Sansinterligne"/>
        <w:rPr>
          <w:rFonts w:ascii="Garamond" w:hAnsi="Garamond"/>
          <w:lang w:val="en-GB"/>
        </w:rPr>
      </w:pPr>
      <w:r w:rsidRPr="008725BE">
        <w:rPr>
          <w:rFonts w:ascii="Garamond" w:hAnsi="Garamond"/>
          <w:lang w:val="en-GB"/>
        </w:rPr>
        <w:t>Aus diesen Gründen vermied ich es durchaus, den Eltern die Erfüllung ihres Wunsches in Aussicht zu stellen. Ich erklärte mich bloß bereit dazu, das Mädchen durch einige Wochen oder Monate sorgfältig zu studieren, um mich danach über die Aussichten einer Beeinflussung durch Fortsetzung der Analyse äußern zu können. In einer ganzen Anzahl von Fällen zerlegt sich ja die Analyse in zwei deutlich gesonderte Phasen; in einer ersten verschafft sich der Arzt die notwendigen Kenntnisse vom Patienten, macht ihn mit den Voraussetzungen und Postulaten der Analyse bekannt und entwickelt vor ihm die Konstruktion der Entstehung seines Leidens, zu welcher er sich auf Grund des von der Analyse gelieferten Materials berechtigt glaubt. In einer zweiten Phase bemächtigt sich der Patient selbst des ihm vorgelegten Stoffes, arbeitet an ihm, erinnert von dem bei ihm angeblich Verdrängten, was er erinnern kann, und trachtet, das andere in einer Art von Neubelebung zu wiederholen. Dabei kann er die Aufstellungen des Arztes bestätigen, ergänzen und richtigstellen. Erst während dieser Arbeit erfährt er durch die Überwindung von Widerständen die innere Veränderung, die man erzielen will, und gewinnt die Überzeugungen, die ihn von der ärztlichen Autorität unabhängig machen. Nicht immer sind diese beiden Phasen im Ablauf der analytischen Kur scharf voneinander geschieden; es kann dies nur geschehen, wenn der Widerstand bestimmte Bedingungen einhält. Aber wo es der Fall ist, kann man den Vergleich mit zwei entsprechenden Abschnitten einer Reise heranziehen. Der erste umfaßt alle notwendigen, heute so komplizierten und schwer zu erfüllenden Vorbereitungen, bis man endlich die Fahrkarte gelöst, den Perron betreten und seinen Platz im Wagen erobert hat. Man hat jetzt das Recht und die Möglichkeit, in das ferne Land zu reisen, aber man ist nach all diesen Vorarbeiten noch nicht dort, eigentlich dem Ziele um keinen Kilometer näher gerückt. Es gehört noch dazu, daß man die Reise selbst von einer Station zur anderen zurücklege, und dieses Stück der Reise ist mit der zweiten Phase gut vergleichbar.</w:t>
      </w:r>
    </w:p>
    <w:p w:rsidR="008725BE" w:rsidRPr="008725BE" w:rsidRDefault="008725BE" w:rsidP="008725BE">
      <w:pPr>
        <w:pStyle w:val="Sansinterligne"/>
        <w:rPr>
          <w:rFonts w:ascii="Garamond" w:hAnsi="Garamond"/>
          <w:lang w:val="en-GB"/>
        </w:rPr>
      </w:pPr>
      <w:r w:rsidRPr="008725BE">
        <w:rPr>
          <w:rFonts w:ascii="Garamond" w:hAnsi="Garamond"/>
          <w:lang w:val="en-GB"/>
        </w:rPr>
        <w:t>Die Analyse bei meiner nunmehrigen Patientin verlief nach diesem Zweiphasenschema, wurde aber nicht über den Beginn der zweiten Phase hinaus fortgeführt. Eine besondere Konstellation des Widerstandes ermöglichte es trotzdem, die volle Bestätigung meiner Konstruktionen und eine im großen und ganzen zureichende Einsicht in den Entwicklungsgang ihrer Inversion zu gewinnen. Ehe ich aber die Ergebnisse der Analyse bei ihr darlege, muß ich einige Punkte erledigen, die ich entweder schon selbst gestreift oder die sich dem Leser als die ersten Gegenstände seines Interesses aufgedrängt haben.</w:t>
      </w:r>
    </w:p>
    <w:p w:rsidR="008725BE" w:rsidRPr="008725BE" w:rsidRDefault="008725BE" w:rsidP="008725BE">
      <w:pPr>
        <w:pStyle w:val="Sansinterligne"/>
        <w:rPr>
          <w:rFonts w:ascii="Garamond" w:hAnsi="Garamond"/>
          <w:lang w:val="en-GB"/>
        </w:rPr>
      </w:pPr>
      <w:r w:rsidRPr="008725BE">
        <w:rPr>
          <w:rFonts w:ascii="Garamond" w:hAnsi="Garamond"/>
          <w:lang w:val="en-GB"/>
        </w:rPr>
        <w:t>Ich hatte die Prognose zum Teil davon abhängig gemacht, wie weit das Mädchen in der Befriedigung seiner Leidenschaft gekommen war. Die Auskunft, die ich während der Analyse erhielt, schien in dieser Hinsicht günstig. Bei keinem der Objekte ihrer Schwärmerei hatte sie mehr als einzelne Küsse und Umarmungen genossen, ihre Genitalkeuschheit, wenn man so sagen darf, war unversehrt geblieben. Die Halbweltdame gar, die die jüngsten und weitaus stärksten Gefühle bei ihr erweckt hatte, war spröde gegen sie geblieben, hatte ihr nie eine höhere Gunst gegönnt als die, ihr die Hand küssen zu dürfen. Das Mädchen machte wahrscheinlich eine Tugend aus ihrer Not, wenn sie immer wieder die Reinheit ihrer Liebe und ihre physische Abneigung gegen einen Sexualverkehr betonte. Vielleicht hatte sie aber nicht ganz unrecht, wenn sie von ihrer hehren Geliebten rühmte, daß sie, von vornehmer Herkunft und nur durch widrige Familienverhältnisse in ihre gegenwärtige Position gedrängt, sich auch hier noch ein ganzes Stück Würde bewahrt habe. Denn diese Dame pflegte ihr bei jedem Zusammentreffen zuzureden, ihre Neigung von ihr und von den Frauen überhaupt abzuwenden, und hatte sich bis zum Selbstmordversuch immer nur streng abweisend gegen sie benommen.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 zweiter Punkt, den ich alsbald aufzuklären versuchte, betraf die eigenen Motive des Mädchens, auf welche die analytische Behandlung sich etwa stützen konnte. Sie versuchte mich nicht durch die Behauptung zu täuschen, daß es ihr ein dringendes Bedürfnis sei, von ihrer Homosexualität befreit zu </w:t>
      </w:r>
      <w:r w:rsidRPr="008725BE">
        <w:rPr>
          <w:rFonts w:ascii="Garamond" w:hAnsi="Garamond"/>
          <w:lang w:val="en-GB"/>
        </w:rPr>
        <w:lastRenderedPageBreak/>
        <w:t>werden. Sie könne sich im Gegenteil gar keine andere Verliebtheit vorstellen, aber, setzte sie hinzu, der Eltern wegen wolle sie den therapeutischen Versuch ehrlich unterstützen, denn sie empfinde es sehr schwer, den Eltern solchen Kummer zu bereiten. Auch diese Äußerung mußte ich zunächst als günstig auffassen; ich konnte nicht ahnen, welche unbewußte Affekteinstellung sich hinter ihr verbarg. Was hier dann später zum Vorschein kam, hat die Gestaltung der Kur und deren vorzeitigen Abbruch entscheidend beeinflußt.</w:t>
      </w:r>
    </w:p>
    <w:p w:rsidR="008725BE" w:rsidRPr="008725BE" w:rsidRDefault="008725BE" w:rsidP="008725BE">
      <w:pPr>
        <w:pStyle w:val="Sansinterligne"/>
        <w:rPr>
          <w:rFonts w:ascii="Garamond" w:hAnsi="Garamond"/>
          <w:lang w:val="en-GB"/>
        </w:rPr>
      </w:pPr>
      <w:r w:rsidRPr="008725BE">
        <w:rPr>
          <w:rFonts w:ascii="Garamond" w:hAnsi="Garamond"/>
          <w:lang w:val="en-GB"/>
        </w:rPr>
        <w:t>Nichtanalytische Leser werden längst die Beantwortung zweier anderer Fragen ungeduldig erwarten. Zeigte dieses homosexuelle Mädchen deutliche somatische Charaktere des anderen Geschlechts, und erwies sie sich als ein Fall von angeborener oder von erworbener (später entwickelter) Homosexualität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verkenne die Bedeutung nicht, welche der ersteren Frage zukommt. Nur möge man diese Bedeutung nicht übertreiben und zu ihren Gunsten die Tatsachen verdunkeln, daß vereinzelte sekundäre Merkmale des anderen Geschlechts bei normalen menschlichen Individuen überhaupt sehr häufig vorkommen und daß sehr gut ausgeprägte somatische Charaktere des anderen Geschlechtes sich an Personen finden können, deren Objektwahl keine Abänderung im Sinne einer Inversion erfahren hat. Daß also, anders ausgedrückt, bei beiden Geschlechtern </w:t>
      </w:r>
      <w:r w:rsidRPr="008725BE">
        <w:rPr>
          <w:rFonts w:ascii="Garamond" w:hAnsi="Garamond"/>
          <w:i/>
          <w:iCs/>
          <w:lang w:val="en-GB"/>
        </w:rPr>
        <w:t>das Maß des physischen Hermaphroditismus von dem des psychischen in hohem Grade unabhängig ist</w:t>
      </w:r>
      <w:r w:rsidRPr="008725BE">
        <w:rPr>
          <w:rFonts w:ascii="Garamond" w:hAnsi="Garamond"/>
          <w:lang w:val="en-GB"/>
        </w:rPr>
        <w:t>. Als Einschränkung der beiden Sätze ist hinzuzufügen, daß diese Unabhängigkeit beim Manne deutlicher ist als beim Weibe, wo die körperliche und die seelische Ausprägung des entgegengesetzten Geschlechtscharakters eher regelmäßig zusammentreffen. Ich bin aber doch nicht in der Lage, die erste der hier gestellten Fragen für meinen Fall befriedigend zu beantworten. Der Psychoanalytiker pflegt sich ja eine eingehende körperliche Untersuchung seiner Patienten in bestimmten Fällen zu versagen. Eine auffällige Abweichung vom körperlichen Typus des Weibes bestand jedenfalls nicht, auch keine menstruale Störung. Wenn das schöne und wohlgebildete Mädchen den hohen Wuchs des Vaters und eher scharfe als mädchenhaft weiche Gesichtszüge zeigte, so mag man darin Andeutungen einer somatischen Männlichkeit erblicken. Auf männliches Wesen konnte man auch einige ihrer intellektuellen Eigenschaften beziehen, so die Schärfe ihres Verständnisses und die kühle Klarheit ihres Denkens, insoweit sie nicht unter der Herrschaft ihrer Leidenschaft stand. Doch sind diese Unterscheidungen eher konventionell als wissenschaftlich berechtigt. Bedeutsamer ist gewiß, daß sie in ihrem Verhalten zu ihrem Liebesobjekt durchaus den männlichen Typus angenommen hatte, also die Demut und großartige Sexualüberschätzung des liebenden Mannes zeigte, den Verzicht auf jede narzißtische Befriedigung, die Bevorzugung des Liebens vor dem Geliebtwerden. Sie hatte also nicht nur ein weibliches Objekt gewählt, sondern auch eine männliche Einstellung zu ihm gewonnen.</w:t>
      </w:r>
    </w:p>
    <w:p w:rsidR="008725BE" w:rsidRPr="008725BE" w:rsidRDefault="008725BE" w:rsidP="008725BE">
      <w:pPr>
        <w:pStyle w:val="Sansinterligne"/>
        <w:rPr>
          <w:rFonts w:ascii="Garamond" w:hAnsi="Garamond"/>
          <w:lang w:val="en-GB"/>
        </w:rPr>
      </w:pPr>
      <w:r w:rsidRPr="008725BE">
        <w:rPr>
          <w:rFonts w:ascii="Garamond" w:hAnsi="Garamond"/>
          <w:lang w:val="en-GB"/>
        </w:rPr>
        <w:t>Die andere Frage, ob ihr Fall einer angeborenen oder einer erworbenen Homosexualität entsprach, soll durch die ganze Entwicklungsgeschichte ihrer Störung beantwortet werden. Dabei wird sich ergeben, inwieweit diese Fragestellung selbst unfruchtbar und unangemessen ist.</w:t>
      </w:r>
    </w:p>
    <w:p w:rsidR="008725BE" w:rsidRPr="008725BE" w:rsidRDefault="008725BE" w:rsidP="008725BE">
      <w:pPr>
        <w:pStyle w:val="Sansinterligne"/>
        <w:rPr>
          <w:rFonts w:ascii="Garamond" w:hAnsi="Garamond"/>
          <w:lang w:val="en-GB"/>
        </w:rPr>
      </w:pPr>
      <w:r w:rsidRPr="008725BE">
        <w:rPr>
          <w:rFonts w:ascii="Garamond" w:hAnsi="Garamond"/>
          <w:lang w:val="en-GB"/>
        </w:rPr>
        <w:t>II</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Auf eine so weitschweifige Einleitung kann ich nur eine ganz knappe und übersichtliche Darstellung der Libidogeschichte dieses Falles folgen lassen. Das Mädchen hatte in den Kinderjahren die normale Einstellung des weiblichen Ödipuskomplexes </w:t>
      </w:r>
      <w:hyperlink r:id="rId89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Ich sehe in der Einführung des Terminus »Elektrakomplex« keinen Fortschritt oder Vorteil und möchte denselben nicht befürworten</w:t>
        </w:r>
      </w:hyperlink>
      <w:r w:rsidRPr="008725BE">
        <w:rPr>
          <w:rFonts w:ascii="Garamond" w:hAnsi="Garamond"/>
          <w:lang w:val="en-GB"/>
        </w:rPr>
        <w:t xml:space="preserve"> in wenig auffälliger Weise durchgemacht, später auch begonnen, den Vater durch den um wenig älteren Bruder zu ersetzen. Sexuelle Traumen in früher Jugend wurden weder erinnert noch durch die Analyse aufgedeckt. Die Vergleichung der Genitalien des Bruders mit den eigenen, die etwa zu Beginn der Latenzzeit (zu fünf Jahren oder etwas früher) vorfiel, hinterließ ihr einen starken Eindruck und war in ihren Nachwirkungen weit zu verfolgen. Auf frühinfantile Onanie deutete sehr wenig, oder die Analyse kam nicht so weit, um diesen Punkt aufzuklären. Die Geburt eines zweiten Bruders, als sie zwischen fünf und sechs Jahren alt war, äußerte keinen besonderen Einfluß auf ihre Entwicklung. In den Schul- und Vorpubertätsjahren wurde sie allmählich mit den Tatsachen des Sexuallebens bekannt und empfing dieselben mit dem normal zu nennenden, auch im Ausmaße nicht übertriebenen Gemenge von Lüsternheit und erschreckter Ablehnung. Alle diese Auskünfte erscheinen recht mager, ich kann auch nicht dafür einstehen, daß sie vollständig sind. Vielleicht war die Jugendgeschichte doch weit reichhaltiger; ich weiß es nicht. Die Analyse brach, wie gesagt, nach kurzer Zeit ab und lieferte darum eine Anamnese, die nicht viel verläßlicher ist als die anderen, mit gutem Recht beanstandeten Anamnesen von Homosexuellen. Das Mädchen war auch niemals neurotisch gewesen, brachte nicht ein hysterisches Symptom in die Analyse mit, so daß sich die Anlässe zur Durchforschung ihrer Kindergeschichte nicht so bald ergeben konnten.</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Mit dreizehn und vierzehn Jahren zeigte sie eine nach dem Urteil aller übertrieben starke, zärtliche Vorliebe für einen kleinen, noch nicht dreijährigen Jungen, den sie in einem Kinderpark regelmäßig sehen konnte. Sie nahm sich des Kindes so herzlich an, daß daraus eine langdauernde freundschaftliche Beziehung zu den Eltern des Kleinen entstand. Man darf aus diesem Vorfall schließen, daß sie damals von einem starken Wunsche, selbst Mutter zu sein und ein Kind zu haben, beherrscht war. Aber kurze Zeit nachher wurde ihr der Knabe gleichgültig, und sie begann ein Interesse für reife, doch noch jugendliche Frauen zu zeigen, dessen Äußerungen ihr bald eine empfindliche Züchtigung von seiten des Vaters zuzogen.</w:t>
      </w:r>
    </w:p>
    <w:p w:rsidR="008725BE" w:rsidRPr="008725BE" w:rsidRDefault="008725BE" w:rsidP="008725BE">
      <w:pPr>
        <w:pStyle w:val="Sansinterligne"/>
        <w:rPr>
          <w:rFonts w:ascii="Garamond" w:hAnsi="Garamond"/>
          <w:lang w:val="en-GB"/>
        </w:rPr>
      </w:pPr>
      <w:r w:rsidRPr="008725BE">
        <w:rPr>
          <w:rFonts w:ascii="Garamond" w:hAnsi="Garamond"/>
          <w:lang w:val="en-GB"/>
        </w:rPr>
        <w:t>Es wurde über jeden Zweifel sichergestellt, daß diese Wandlung zeitlich mit einem Ereignis in der Familie zusammenfällt, von dem wir demnach die Aufklärung der Wandlung erwarten dürfen. Vorher war ihre Libido auf Mütterlichkeit eingestellt gewesen, nachher war sie eine in reifere Frauen verliebte Homosexuelle, was sie seitdem geblieben ist. Dies für unser Verständnis so bedeutsame Ereignis war eine neue Gravidität der Mutter und die Geburt eines dritten Bruders, als sie etwa sechzehn Jahre alt war.</w:t>
      </w:r>
    </w:p>
    <w:p w:rsidR="008725BE" w:rsidRPr="008725BE" w:rsidRDefault="008725BE" w:rsidP="008725BE">
      <w:pPr>
        <w:pStyle w:val="Sansinterligne"/>
        <w:rPr>
          <w:rFonts w:ascii="Garamond" w:hAnsi="Garamond"/>
          <w:lang w:val="en-GB"/>
        </w:rPr>
      </w:pPr>
      <w:r w:rsidRPr="008725BE">
        <w:rPr>
          <w:rFonts w:ascii="Garamond" w:hAnsi="Garamond"/>
          <w:lang w:val="en-GB"/>
        </w:rPr>
        <w:t>Der Zusammenhang, den ich nun im folgenden aufdecken werde, ist kein Produkt meiner Kombinationsgabe; er ist mir durch so vertrauenswürdiges analytisches Material nahegelegt worden, daß ich objektive Sicherheit für ihn beanspruchen kann. Insbesondere hat eine Reihe von ineinandergreifenden, leicht deutbaren Träumen für ihn entschieden.</w:t>
      </w:r>
    </w:p>
    <w:p w:rsidR="008725BE" w:rsidRPr="008725BE" w:rsidRDefault="008725BE" w:rsidP="008725BE">
      <w:pPr>
        <w:pStyle w:val="Sansinterligne"/>
        <w:rPr>
          <w:rFonts w:ascii="Garamond" w:hAnsi="Garamond"/>
          <w:lang w:val="en-GB"/>
        </w:rPr>
      </w:pPr>
      <w:r w:rsidRPr="008725BE">
        <w:rPr>
          <w:rFonts w:ascii="Garamond" w:hAnsi="Garamond"/>
        </w:rPr>
        <w:t xml:space="preserve">Die Analyse ließ unzweideutig erkennen, daß die geliebte Dame ein Ersatz für die – Mutter war. </w:t>
      </w:r>
      <w:r w:rsidRPr="008725BE">
        <w:rPr>
          <w:rFonts w:ascii="Garamond" w:hAnsi="Garamond"/>
          <w:lang w:val="en-GB"/>
        </w:rPr>
        <w:t xml:space="preserve">Nun war diese selbst allerdings keine Mutter, aber sie war auch nicht die erste Liebe des Mädchens gewesen. Die ersten Objekte ihrer Neigung seit der Geburt des letzten Bruders waren wirklich Mütter, Frauen zwischen dreißig und fünfunddreißig Jahren, die sie mit ihren Kindern in der Sommerfrische oder im Familienverkehr der Großstadt kennenlernte. Die Bedingung der Mütterlichkeit wurde später fallengelassen, weil sie sich mit einer anderen, die immer gewichtiger wurde, in der Realität nicht gut vertrug. Die besonders intensive Bindung an die letzte Geliebte, die »Dame«, hatte noch einen anderen Grund, den das Mädchen eines Tages ohne Mühe auffand. Sie wurde durch die schlanke Erscheinung, die strenge Schönheit und das rauhe Wesen der Dame an ihren eigenen, etwas älteren Bruder gemahnt. Das endlich gewählte Objekt entsprach also nicht nur ihrem Frauen-, sondern auch ihrem Männerideal, es vereinigte die Befriedigung der homosexuellen Wunschrichtung mit jener der heterosexuellen. Bekanntlich hat die Analyse männlicher Homosexueller in zahlreichen Fällen das nämliche Zusammentreffen gezeigt, ein Wink, sich Wesen und Entstehung der Inversion nicht allzu einfach vorzustellen und die durchgängige Bisexualität des Menschen nicht aus dem Auge zu verlieren </w:t>
      </w:r>
      <w:hyperlink r:id="rId89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I. Sadger (1914).</w:t>
        </w:r>
      </w:hyperlink>
    </w:p>
    <w:p w:rsidR="008725BE" w:rsidRPr="008725BE" w:rsidRDefault="008725BE" w:rsidP="008725BE">
      <w:pPr>
        <w:pStyle w:val="Sansinterligne"/>
        <w:rPr>
          <w:rFonts w:ascii="Garamond" w:hAnsi="Garamond"/>
          <w:lang w:val="en-GB"/>
        </w:rPr>
      </w:pPr>
      <w:r w:rsidRPr="008725BE">
        <w:rPr>
          <w:rFonts w:ascii="Garamond" w:hAnsi="Garamond"/>
          <w:lang w:val="en-GB"/>
        </w:rPr>
        <w:t>Wie soll man es aber verstehen, daß das Mädchen gerade durch die Geburt eines späten Kindes, als sie selbst schon reif geworden war und eigene starke Wünsche hatte, bewogen wurde, ihre leidenschaftliche Zärtlichkeit der Gebärerin dieses Kindes, ihrer eigenen Mutter, zuzuwenden und an einer Vertreterin der Mutter zum Ausdruck zu bringen? Nach allem, was man sonst weiß, hätte man das Gegenteil erwarten sollen. Die Mütter pflegen sich unter solchen Umständen vor ihren beinahe heiratsfähigen Töchtern zu genieren, die Töchter haben für die Mutter ein aus Mitleid, Verachtung und Neid gemischtes Gefühl bereit, das nichts dazu beiträgt, die Zärtlichkeit für die Mutter zu steigern. Das Mädchen unserer Beobachtung hatte überhaupt wenig Grund, für ihre Mutter zärtlich zu empfinden. Der selbst noch jugendlichen Frau war diese rasch erblühte Tochter eine unbequeme Konkurrentin, sie setzte sie hinter den Knaben zurück, schränkte ihre Selbständigkeit möglichst ein und wachte besonders eifrig darüber, daß sie dem Vater ferne blieb. Ein Bedürfnis nach einer liebenswürdigeren Mutter mag also bei dem Mädchen von jeher gerechtfertigt gewesen sein; warum es aber damals und in Gestalt einer verzehrenden Leidenschaft aufflackerte, ist nicht begreiflich.</w:t>
      </w:r>
    </w:p>
    <w:p w:rsidR="008725BE" w:rsidRPr="008725BE" w:rsidRDefault="008725BE" w:rsidP="008725BE">
      <w:pPr>
        <w:pStyle w:val="Sansinterligne"/>
        <w:rPr>
          <w:rFonts w:ascii="Garamond" w:hAnsi="Garamond"/>
          <w:lang w:val="en-GB"/>
        </w:rPr>
      </w:pPr>
      <w:r w:rsidRPr="008725BE">
        <w:rPr>
          <w:rFonts w:ascii="Garamond" w:hAnsi="Garamond"/>
          <w:lang w:val="en-GB"/>
        </w:rPr>
        <w:t>Die Erklärung ist die folgende: Das Mädchen befand sich in der Phase der Pubertätsauffrischung des infantilen Ödipuskomplexes, als die Enttäuschung über sie kam. Hell bewußt wurde ihr der Wunsch, ein Kind zu haben, und zwar ein männliches; daß es ein Kind vom Vater und dessen Ebenbild sein sollte, durfte ihr Bewußtes nicht erfahren. Aber da geschah es, daß nicht sie das Kind bekam, sondern die im Unbewußten gehaßte Konkurrentin, die Mutter. Empört und erbittert wendete sie sich vom Vater, ja vom Manne überhaupt ab. Nach diesem ersten großen Mißerfolg verwarf sie ihre Weiblichkeit und strebte nach einer anderen Unterbringung ihrer Libido.</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Sie benahm sich dabei ganz ähnlich wie viele Männer, die nach einer ersten peinlichen Erfahrung dauernd mit dem treulosen Geschlecht der Frauen zerfallen und Weiberfeinde werden. Von einer der anziehendsten und unglücklichsten fürstlichen Persönlichkeiten unserer Lebenszeit wird erzählt, daß er darum homosexuell geworden, weil ihn die verlobte Braut mit einem fremden Gesellen hintergangen hatte. Ich weiß nicht, ob dies historische Wahrheit ist, aber ein Stück psychologischer Wahrheit steckt </w:t>
      </w:r>
      <w:r w:rsidRPr="008725BE">
        <w:rPr>
          <w:rFonts w:ascii="Garamond" w:hAnsi="Garamond"/>
          <w:lang w:val="en-GB"/>
        </w:rPr>
        <w:lastRenderedPageBreak/>
        <w:t>hinter diesem Gerücht. Unser aller Libido schwankt normalerweise lebenslang zwischen dem männlichen und dem weiblichen Objekt; der Junggeselle gibt seine Freundschaften auf, wenn er heiratet, und kehrt zum Stammtisch zurück, wenn seine Ehe schal geworden ist. Freilich, wo die Schwankung so gründlich und so endgültig ist, da richtet sich unsere Vermutung auf ein besonderes Moment, welches die eine oder die andere Seite entscheidend begünstigt, vielleicht nur auf den geeigneten Zeitpunkt gewartet hat, um die Objektwahl nach seinem Sinne durchzusetzen.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Unser Mädchen hatte also nach jener Enttäuschung den Wunsch nach dem Kinde, die Liebe zum Manne und die weibliche Rolle überhaupt von sich gewiesen. Und nun hätte offenbar sehr Verschiedenartiges geschehen können; was wirklich geschah, war das Extremste. Sie wandelte sich zum Manne um und nahm die Mutter an Stelle des Vaters zum Liebesobjekt </w:t>
      </w:r>
      <w:hyperlink r:id="rId89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Es ist gar nicht so selten, daß man eine Liebesbeziehung dadurch abbricht, daß man sich selbst mit dem Objekt derselben identifiziert, was einer Art von Regression zum Narzißmus entspricht. Nachdem dies erfolgt ist, kann man bei neuerlicher Objektwahl leicht das dem früheren entgegengesetzte Geschlecht mit seiner Libido besetzen.</w:t>
        </w:r>
      </w:hyperlink>
      <w:r w:rsidRPr="008725BE">
        <w:rPr>
          <w:rFonts w:ascii="Garamond" w:hAnsi="Garamond"/>
          <w:lang w:val="en-GB"/>
        </w:rPr>
        <w:t xml:space="preserve">. Ihre Beziehung zur Mutter war sicherlich von Anfang an ambivalent gewesen, es gelang leicht, die frühere Liebe zur Mutter wiederzubeleben und mit ihrer Hilfe die gegenwärtige Feindseligkeit gegen die Mutter zur Überkompensation zu bringen. Da mit der realen Mutter wenig anzufangen war, ergab sich aus der geschilderten Gefühlsumsetzung das Suchen nach einem Mutterersatz, an dem man mit leidenschaftlicher Zärtlichkeit hängen konnte </w:t>
      </w:r>
      <w:hyperlink r:id="rId89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 hier beschriebenen Verschiebungen der Libido sind gewiß jedem Analytiker aus der Erforschung der Anamnesen von Neurotikern bekannt. Nur fallen sie bei diesen letzteren im zarten Kindesalter, zur Zeit der Frühblüte des Liebeslebens vor, bei unserem ganz und gar nicht neurotischen Mädchen vollziehen sie sich in den ersten Jahren nach der Pubertät, übrigens gleichfalls völlig unbewußt. Ob dieses zeitliche Moment sich nicht einstmals als sehr bedeutsam herausstellen wird?</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 praktisches Motiv aus ihren realen Beziehungen zur Mutter kam als »Krankheitsgewinn« noch hinzu. Die Mutter legte selbst noch Wert darauf, von Männern hofiert und gefeiert zu werden. Wenn sie also homosexuell wurde, der Mutter die Männer überließ, ihr sozusagen »auswich«, räumte sie etwas aus dem Wege, was bisher an der Mißgunst der Mutter Schuld getragen hatte </w:t>
      </w:r>
      <w:hyperlink r:id="rId89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Da ein solches Ausweichen bisher unter den Ursachen der Homosexualität wie im Mechanismus der Libidofixierung überhaupt keine Erwähnung gefunden hat, will ich eine ähnliche analytische Beobachtung hier anschließen, die durch einen besonderen Umstand interessant ist. Ich habe einst zwei Zwillingsbrüder kennengelernt, die beide mit starken libidinösen Impulsen begabt waren. Der eine von ihnen hatte viel Glück bei Frauen und ließ sich in ungezählte Verhältnisse mit Frauen und Mädchen ein. Der andere war zuerst auf demselben Wege, aber dann wurde es ihm unangenehm, dem Bruder ins Gehege zu kommen, infolge seiner Ähnlichkeit bei intimen Anlässen mit ihm verwechselt zu werden, und er half sich dadurch, daß er homosexuell wurde. Er überließ dem Bruder die Frauen und war ihm so »ausgewichen«. Ein andermal behandelte ich einen jüngeren Mann, Künstler und unverkennbar bisexuell angelegt, bei dem sich die Homosexualität gleichzeitig mit einer Arbeitsstörung durchgesetzt hatte. Er floh in einem die Frauen und sein Werk. Die Analyse, die ihn zu beiden zurückführen konnte, wies die Scheu vor dem Vater als das mächtigste psychische Motiv für beide Störungen, eigentlich Entsagungen, nach. In seiner Vorstellung gehörten alle Frauen dem Vater, und er flüchtete zu den Männern aus Ergebenheit, um dem Konflikt mit dem Vater auszuweichen. Solche Motivierung der homosexuellen Objektwahl muß sich häufiger finden lassen; in den Urzeiten des Menschengeschlechts war es wohl so, daß alle Frauen dem Vater und Oberhaupt der Urhorde gehörten. – Bei Geschwistern, die nicht Zwillinge sind, spielt solches Ausweichen auch auf anderen Gebieten als dem der Liebeswahl eine große Rolle. Der ältere Bruder pflegt z. B. Musik und findet dafür Anerkennung, der jüngere, musikalisch weit begabter, bricht trotz seiner Sehnsucht danach das Musikstudium bald ab und ist nicht mehr zu bewegen, ein Instrument zu berühren. Es ist dies ein einzelnes Beispiel für ein sehr häufiges Vorkommen, und die Untersuchung der Motive, die zum Ausweichen anstatt zur Aufnahme der Konkurrenz führen, deckt sehr komplizierte psychische Bedingungen auf.</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so gewonnene Libidoeinstellung wurde nun gefestigt, als das Mädchen merkte, wie unangenehm sie dem Vater war. Seit jener ersten Züchtigung wegen einer allzu zärtlichen Annäherung an eine Frau wußte sie, womit sie den Vater kränken und wie sie sich an ihm rächen konnte. Sie blieb jetzt homosexuell aus Trotz gegen den Vater. Sie machte sich auch kein Gewissen daraus, ihn auf jede Weise zu hintergehen und zu belügen. Gegen die Mutter war sie ja nur so weit unaufrichtig, als es nötig war, damit der Vater nichts </w:t>
      </w:r>
      <w:r w:rsidRPr="008725BE">
        <w:rPr>
          <w:rFonts w:ascii="Garamond" w:hAnsi="Garamond"/>
          <w:lang w:val="en-GB"/>
        </w:rPr>
        <w:lastRenderedPageBreak/>
        <w:t xml:space="preserve">erfahre. Ich hatte den Eindruck, daß sie nach dem Grundsatz der Talion handelte: »Hast du mich betrogen, so mußt du es dir gefallen lassen, daß ich auch dich betrüge.« </w:t>
      </w:r>
      <w:r w:rsidRPr="008725BE">
        <w:rPr>
          <w:rFonts w:ascii="Garamond" w:hAnsi="Garamond"/>
        </w:rPr>
        <w:t xml:space="preserve">Auch die auffälligen Unvorsichtigkeiten des sonst raffiniert klugen Mädchens kann ich nicht anders beurteilen. </w:t>
      </w:r>
      <w:r w:rsidRPr="008725BE">
        <w:rPr>
          <w:rFonts w:ascii="Garamond" w:hAnsi="Garamond"/>
          <w:lang w:val="en-GB"/>
        </w:rPr>
        <w:t>Der Vater mußte doch gelegentlich von ihrem Umgang mit der Dame erfahren, sonst wäre ihr die Rachebefriedigung, die ihr die dringendste war, entgangen. So sorgte sie dafür, indem sie sich mit der Angebeteten öffentlich zeigte, in den Straßen nahe dem Geschäftslokal des Vaters spazierenging und dergleichen. Auch diese Ungeschicklichkeiten geschahen nicht absichtslos. Es ist übrigens merkwürdig, daß beide Eltern sich so benahmen, als ob sie die geheime Psychologie der Tochter verstünden. Die Mutter zeigte sich tolerant, als ob sie das Ausweichen der Tochter als Gefälligkeit würdigte, der Vater raste, als fühlte er die gegen seine Person gerichtete Racheabsicht.</w:t>
      </w:r>
    </w:p>
    <w:p w:rsidR="008725BE" w:rsidRPr="008725BE" w:rsidRDefault="008725BE" w:rsidP="008725BE">
      <w:pPr>
        <w:pStyle w:val="Sansinterligne"/>
        <w:rPr>
          <w:rFonts w:ascii="Garamond" w:hAnsi="Garamond"/>
          <w:lang w:val="en-GB"/>
        </w:rPr>
      </w:pPr>
      <w:r w:rsidRPr="008725BE">
        <w:rPr>
          <w:rFonts w:ascii="Garamond" w:hAnsi="Garamond"/>
          <w:lang w:val="en-GB"/>
        </w:rPr>
        <w:t>Die letzte Kräftigung erfuhr aber die Inversion des Mädchens, als sie in der »Dame« auf ein Objekt stieß, welches gleichzeitig dem noch am Bruder haftenden Anteil ihrer heterosexuellen Libido Befriedigung bot.</w:t>
      </w:r>
    </w:p>
    <w:p w:rsidR="008725BE" w:rsidRPr="008725BE" w:rsidRDefault="008725BE" w:rsidP="008725BE">
      <w:pPr>
        <w:pStyle w:val="Sansinterligne"/>
        <w:rPr>
          <w:rFonts w:ascii="Garamond" w:hAnsi="Garamond"/>
          <w:lang w:val="en-GB"/>
        </w:rPr>
      </w:pPr>
      <w:r w:rsidRPr="008725BE">
        <w:rPr>
          <w:rFonts w:ascii="Garamond" w:hAnsi="Garamond"/>
          <w:lang w:val="en-GB"/>
        </w:rPr>
        <w:t>III</w:t>
      </w:r>
    </w:p>
    <w:p w:rsidR="008725BE" w:rsidRPr="008725BE" w:rsidRDefault="008725BE" w:rsidP="008725BE">
      <w:pPr>
        <w:pStyle w:val="Sansinterligne"/>
        <w:rPr>
          <w:rFonts w:ascii="Garamond" w:hAnsi="Garamond"/>
          <w:lang w:val="en-GB"/>
        </w:rPr>
      </w:pPr>
      <w:r w:rsidRPr="008725BE">
        <w:rPr>
          <w:rFonts w:ascii="Garamond" w:hAnsi="Garamond"/>
          <w:lang w:val="en-GB"/>
        </w:rPr>
        <w:t>Die lineare Darstellung eignet sich wenig zur Beschreibung der verschlungenen und in verschiedenen seelischen Schichten ablaufenden seelischen Vorgänge. Ich bin genötigt, in der Diskussion des Falles innezuhalten und einiges von dem Mitgeteilten zu erweitern und zu vertiefen.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habe erwähnt, daß das Mädchen in ihrem Verhältnis zur verehrten Dame den männlichen Typus der Liebe annahm. Ihre Demut und zärtliche Anspruchslosigkeit, » </w:t>
      </w:r>
      <w:r w:rsidRPr="008725BE">
        <w:rPr>
          <w:rFonts w:ascii="Garamond" w:hAnsi="Garamond"/>
          <w:i/>
          <w:iCs/>
          <w:lang w:val="en-GB"/>
        </w:rPr>
        <w:t>che poco spera e nulla chiede</w:t>
      </w:r>
      <w:r w:rsidRPr="008725BE">
        <w:rPr>
          <w:rFonts w:ascii="Garamond" w:hAnsi="Garamond"/>
          <w:lang w:val="en-GB"/>
        </w:rPr>
        <w:t xml:space="preserve">«, die Seligkeit, wenn ihr gestattet wurde, die Dame ein Stück weit zu begleiten und ihr beim Abschied die Hand zu küssen, die Freude, wenn sie sie als schön rühmen hörte, während die Anerkennung ihrer eigenen Schönheit von fremder Seite ihr gar nichts bedeutete, ihre Pilgerbesuche nach Örtlichkeiten, wo die Geliebte sich vorher einmal aufgehalten hatte, das Verstummen aller weiterreichenden sinnlichen Wünsche: alle diese kleinen Züge entsprachen etwa der ersten schwärmerischen Leidenschaft eines Jünglings für eine gefeierte Künstlerin, die er hoch über sich stehend glaubt und zu der er seinen Blick nur schüchtern zu erheben wagt. Die Übereinstimmung mit einem von mir beschriebenen »Typus der männlichen Objektwahl«, dessen Besonderheiten ich auf die Bindung an die Mutter zurückgeführt habe (1910  </w:t>
      </w:r>
      <w:r w:rsidRPr="008725BE">
        <w:rPr>
          <w:rFonts w:ascii="Garamond" w:hAnsi="Garamond"/>
          <w:i/>
          <w:iCs/>
          <w:lang w:val="en-GB"/>
        </w:rPr>
        <w:t>h</w:t>
      </w:r>
      <w:r w:rsidRPr="008725BE">
        <w:rPr>
          <w:rFonts w:ascii="Garamond" w:hAnsi="Garamond"/>
          <w:lang w:val="en-GB"/>
        </w:rPr>
        <w:t>), ging bis in die Einzelheiten. Es konnte auffällig erscheinen, daß sie durch den schlechten Leumund der Geliebten nicht im mindesten abgeschreckt wurde, obwohl ihre eigenen Beobachtungen sie von der Berechtigung dieser Nachrede genügend überzeugten. Sie war doch eigentlich ein wohlerzogenes und keusches Mädchen, das für ihre eigene Person sexuellen Abenteuern aus dem Wege gegangen war und grobsinnliche Befriedigungen als unästhetisch empfand. Aber bereits ihre ersten Schwärmereien hatten Frauen gegolten, denen man keine Neigung zu besonders strenger Sittlichkeit nachrühmte. Den ersten Protest des Vaters gegen ihre Liebeswahl hatte sie durch die Hartnäckigkeit hervorgerufen, mit der sie sich um den Verkehr mit einer Kinoschauspielerin an jenem Sommerorte bemühte. Dabei hatte es sich keineswegs um Frauen gehandelt, die etwa im Rufe der Homosexualität standen und ihr somit Aussicht auf solche Befriedigung geboten hätten; vielmehr warb sie unlogischerweise um kokette Frauen im gewöhnlichen Sinne des Wortes; eine homosexuelle, ihr gleichaltrige Freundin, die sich ihr bereitwilligst zur Verfügung stellte, wies sie ohne Bedenken ab. Der schlechte Ruf der »Dame« aber war geradezu eine Liebesbedingung für sie, und alles Rätselhafte dieses Verhaltens verschwindet, wenn wir uns erinnern, daß auch für jenen von der Mutter abgeleiteten männlichen Typus der Objektwahl die Bedingung besteht, daß die Geliebte irgendwie »sexuell anrüchig« sei, eigentlich eine Kokotte genannt werden dürfe. Als sie später erfuhr, in welchem Ausmaß diese Kennzeichnung für ihre verehrte Dame zutraf und daß diese einfach von der Preisgabe ihres Körpers lebte, bestand ihre Reaktion in einem großen Mitleid und in der Entwicklung von Phantasien und Vorsätzen, wie sie die Geliebte aus diesen unwürdigen Verhältnissen »retten« könne. Dieselben Rettungsbestrebungen sind uns bei den Männern jenes von mir beschriebenen Typus aufgefallen, und ich habe an der erwähnten Stelle die analytische Ableitung dieses Strebens zu geben versucht.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ganz andere Regionen der Erklärung führt die Analyse des Selbstmordversuches, den ich als einen ernstgemeinten gelten lassen muß, der übrigens ihre Position sowohl bei den Eltern als auch bei der geliebten Dame beträchtlich verbesserte. Sie ging eines Tages mit ihr in einer Gegend und zu einer Stunde spazieren, wo eine Begegnung mit dem vom Bureau kommenden Vater nicht unwahrscheinlich war. Der Vater ging auch an ihnen vorüber und warf einen wütenden Blick auf sie und die ihm bereits bekannte Begleiterin. Kurz darauf stürzte sie sich in den Stadtbahngraben. Ihre Rechenschaft von der näheren Verursachung ihres Entschlusses klingt nun ganz plausibel. Sie hatte der Dame eingestanden, daß der Herr, der sie beide so böse angeschaut hatte, ihr Vater sei, der von diesem Verkehr absolut nichts wissen wolle. Die Dame war nun aufgebraust, hatte ihr befohlen, sie sofort zu verlassen und nie mehr zu </w:t>
      </w:r>
      <w:r w:rsidRPr="008725BE">
        <w:rPr>
          <w:rFonts w:ascii="Garamond" w:hAnsi="Garamond"/>
          <w:lang w:val="en-GB"/>
        </w:rPr>
        <w:lastRenderedPageBreak/>
        <w:t xml:space="preserve">erwarten oder anzureden, diese Geschichte müsse nun ein Ende haben. In der Verzweiflung darüber, daß sie so die Geliebte für immer verloren habe, wollte sie sich den Tod geben. Die Analyse gestattete aber eine andere und tiefer greifende Deutung hinter der ihrigen aufzudecken und durch ihre eigenen Träume zu stützen. Der Selbstmordversuch war, wie man erwarten durfte, außerdem noch zweierlei: eine Straferfüllung (Selbstbestrafung) und eine Wunscherfüllung. Als letztere bedeutete er die Durchsetzung jenes Wunsches, dessen Enttäuschung sie in die Homosexualität getrieben hatte, nämlich vom Vater ein Kind zu bekommen, denn nun kam sie durch die Schuld des Vaters nieder </w:t>
      </w:r>
      <w:hyperlink r:id="rId89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Diese Deutungen der Wege des Selbstmordes durch sexuelle Wunscherfüllungen sind längst allen Analytikern vertraut. (Vergiften = schwanger werden, ertränken = gebären, von einer Höhe herabstürzen = niederkommen.)</w:t>
        </w:r>
      </w:hyperlink>
      <w:r w:rsidRPr="008725BE">
        <w:rPr>
          <w:rFonts w:ascii="Garamond" w:hAnsi="Garamond"/>
          <w:lang w:val="en-GB"/>
        </w:rPr>
        <w:t xml:space="preserve">. Es stellt die Verbindung dieser Tiefendeutung mit der dem Mädchen bewußten, oberflächlichen her, daß in diesem Moment die Dame genauso gesprochen hatte wie der Vater und das nämliche Verbot hatte ergehen lassen. Als Selbstbestrafung bürgt uns die Handlung des Mädchens dafür, daß sie starke Todeswünsche gegen den einen oder den anderen Elternteil in ihrem Unbewußten entwickelt hatte. Vielleicht aus Rachsucht gegen den ihre Liebe störenden Vater, noch wahrscheinlicher aber auch gegen die Mutter, als sie mit dem kleinen Bruder schwanger ging. Denn die Analyse hat uns zum Rätsel des Selbstmordes die Aufklärung gebracht, daß vielleicht niemand die psychische Energie, sich zu töten, findet, der nicht erstens dabei ein Objekt mittötet, mit dem er sich identifiziert hat, und der nicht zweitens dadurch einen Todeswunsch gegen sich selbst wendet, welcher gegen eine andere Person gerichtet war. Die regelmäßige Aufdeckung solcher unbewußter Todeswünsche beim Selbstmörder braucht übrigens weder zu befremden noch als Bestätigung unserer Ableitungen zu imponieren, denn das Unbewußte aller Lebenden ist von solchen Todeswünschen, selbst gegen sonst geliebte Personen, übervoll </w:t>
      </w:r>
      <w:hyperlink r:id="rId89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›Zeitgemäßes über Krieg und Tod‹ (1915  </w:t>
        </w:r>
        <w:r w:rsidRPr="008725BE">
          <w:rPr>
            <w:rStyle w:val="innerfusslink3"/>
            <w:rFonts w:ascii="Garamond" w:hAnsi="Garamond" w:cs="Arial"/>
            <w:b/>
            <w:bCs/>
            <w:i/>
            <w:iCs/>
            <w:lang w:val="en-GB"/>
          </w:rPr>
          <w:t>b</w:t>
        </w:r>
        <w:r w:rsidRPr="008725BE">
          <w:rPr>
            <w:rStyle w:val="innerfusslink3"/>
            <w:rFonts w:ascii="Garamond" w:hAnsi="Garamond" w:cs="Arial"/>
            <w:b/>
            <w:bCs/>
            <w:lang w:val="en-GB"/>
          </w:rPr>
          <w:t>).</w:t>
        </w:r>
      </w:hyperlink>
      <w:r w:rsidRPr="008725BE">
        <w:rPr>
          <w:rFonts w:ascii="Garamond" w:hAnsi="Garamond"/>
          <w:lang w:val="en-GB"/>
        </w:rPr>
        <w:t>. In der Identifizierung mit der Mutter, die an der Niederkunft mit diesem, ihr (der Tochter) vorenthaltenen, Kinde hätte sterben sollen, ist aber diese Straferfüllung selbst wieder eine Wunscherfüllung. Endlich, daß die verschiedensten starken Motive zusammenwirken mußten, um eine Tat wie die unseres Mädchens zu ermöglichen, wird unserer Erwartung nicht widersprechen.</w:t>
      </w:r>
    </w:p>
    <w:p w:rsidR="008725BE" w:rsidRPr="008725BE" w:rsidRDefault="008725BE" w:rsidP="008725BE">
      <w:pPr>
        <w:pStyle w:val="Sansinterligne"/>
        <w:rPr>
          <w:rFonts w:ascii="Garamond" w:hAnsi="Garamond"/>
          <w:lang w:val="en-GB"/>
        </w:rPr>
      </w:pPr>
      <w:r w:rsidRPr="008725BE">
        <w:rPr>
          <w:rFonts w:ascii="Garamond" w:hAnsi="Garamond"/>
          <w:lang w:val="en-GB"/>
        </w:rPr>
        <w:t>In der Motivierung des Mädchens kommt der Vater nicht vor, nicht einmal die Angst vor seinem Zorne wird erwähnt. In der von der Analyse erratenen Motivierung fällt ihm die Hauptrolle zu. Dieselbe entscheidende Bedeutung hatte das Verhältnis zum Vater auch für den Verlauf und den Ausgang der analytischen Behandlung oder vielmehr Exploration. Hinter der vorgeschützten Rücksicht auf die Eltern, denen zuliebe sie den Versuch einer Umwandlung unterstützen wollte, verbarg sich die Trotz- und Racheeinstellung gegen den Vater, welche sie in der Homosexualität festhielt. Durch solche Deckung gesichert, gab der Widerstand ein großes Gebiet der analytischen Erforschung frei. Die Analyse vollzog sich fast ohne Anzeichen von Widerstand, unter reger intellektueller Beteiligung der Analysierten, aber auch bei völliger Gemütsruhe derselben. Als ich ihr einmal ein besonders wichtiges und sie nahe betreffendes Stück der Theorie auseinandersetzte, äußerte sie mit unnachahmlicher Betonung: »Ach, das ist ja sehr interessant«, wie eine Weltdame, die durch ein Museum geführt wird und Gegenstände, die ihr vollkommen gleichgültig sind, durch ein Lorgnon in Augenschein nimmt. Der Eindruck von ihrer Analyse näherte sich dem einer hypnotischen Behandlung, in welcher sich der Widerstand gleichfalls bis zu einer bestimmten Grenze zurückgezogen hat, an der er sich dann als unbesiegbar erweist. Dieselbe – russische – Taktik, könnte man sie nennen, befolgt der Widerstand sehr oft in Fällen von Zwangsneurose, die darum eine Zeitlang die klarsten Ergebnisse liefern und einen tiefen Einblick in die Verursachung der Symptome gestatten. Man beginnt dann sich zu wundern, warum so große Fortschritte im analytischen Verständnis auch nicht die leiseste Änderung in den Zwängen und Hemmungen des Kranken mit sich bringen, bis man endlich bemerkt, daß alles, was man zustande gebracht hat, mit dem Vorbehalt des Zweifels behaftet war, hinter welchem Schutzwall sich die Neurose sicher fühlen durfte. »Es wäre ja alles recht schön«, heißt es im Kranken, oft auch bewußterweise, »wenn ich dem Manne Glauben schenken müßte, aber davon ist ja keine Rede, und solange das nicht der Fall ist, brauche ich auch nichts zu ändern.« Nähert man sich dann der Motivierung dieses Zweifels, so bricht der Kampf mit den Widerständen ernsthaft los.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 unserem Mädchen war es nicht der Zweifel, sondern das affektive Moment der Rache am Vater, das ihre kühle Reserve ermöglichte, die Analyse deutlich in zwei Phasen zerlegte und die Ergebnisse der ersten Phase so vollständig und übersichtlich werden ließ. Es hatte auch den Anschein, als ob bei dem Mädchen nichts einer Übertragung auf den Arzt Ähnliches zustande gekommen wäre. Aber das ist natürlich ein Widersinn oder eine ungenaue Ausdrucksweise; irgendein Verhältnis zum Arzt muß sich doch herstellen, und dies wird zu allermeist aus einer infantilen Relation übertragen sein. In Wirklichkeit übertrug sie auf mich die gründliche Ablehnung des Mannes, von der sie seit ihrer Enttäuschung durch den Vater </w:t>
      </w:r>
      <w:r w:rsidRPr="008725BE">
        <w:rPr>
          <w:rFonts w:ascii="Garamond" w:hAnsi="Garamond"/>
          <w:lang w:val="en-GB"/>
        </w:rPr>
        <w:lastRenderedPageBreak/>
        <w:t>beherrscht war. Die Erbitterung gegen den Mann hat es in der Regel leicht, sich am Arzt zu befriedigen, sie braucht keine stürmischen Gefühlsäußerungen hervorzurufen, sie äußert sich einfach in der Vereitlung all seiner Bemühungen und im Festhalten am Kranksein. Ich weiß aus Erfahrung, wie schwierig es ist, den Analysierten zum Verständnis gerade dieser stummen Symptomatik zu bringen und solche latente, oft exzessiv große Feindseligkeit ohne Gefährdung der Kur bewußtzumachen. Ich brach also ab, sobald ich die Einstellung des Mädchens zum Vater erkannt hatte, und gab den Rat, den therapeutischen Versuch, wenn man Wert auf ihn legte, bei einer Ärztin fortführen zu lassen. Das Mädchen hatte unterdes dem Vater das Versprechen abgegeben, wenigstens den Verkehr mit der »Dame« zu unterlassen, und ich weiß nicht, ob mein Rat, dessen Motivierung ja durchsichtig ist, befolgt werden wird.</w:t>
      </w:r>
    </w:p>
    <w:p w:rsidR="008725BE" w:rsidRPr="008725BE" w:rsidRDefault="008725BE" w:rsidP="008725BE">
      <w:pPr>
        <w:pStyle w:val="Sansinterligne"/>
        <w:rPr>
          <w:rFonts w:ascii="Garamond" w:hAnsi="Garamond"/>
          <w:lang w:val="en-GB"/>
        </w:rPr>
      </w:pPr>
      <w:r w:rsidRPr="008725BE">
        <w:rPr>
          <w:rFonts w:ascii="Garamond" w:hAnsi="Garamond"/>
          <w:lang w:val="en-GB"/>
        </w:rPr>
        <w:t>Ein einziges Mal kam auch in dieser Analyse etwas vor, was ich als positive Übertragung, als außerordentlich abgeschwächte Erneuerung der ursprünglichen leidenschaftlichen Verliebtheit in den Vater auffassen konnte. Auch diese Äußerung war vom Zusatz eines anderen Motivs nicht frei, ich erwähne sie aber, weil sie nach anderer Richtung ein interessantes Problem der analytischen Technik zur Frage bringt. Zu einer gewissen Zeit, nicht lange nach dem Beginne der Kur, brachte das Mädchen eine Reihe von Träumen vor, die, gebührend entstellt und in korrekter Traumsprache abgefaßt, doch leicht und sicher zu übersetzen waren. Ihr gedeuteter Inhalt war aber auffällig. Sie antizipierten die Heilung der Inversion durch die Behandlung, drückten ihre Freude über die ihr nun eröffneten Lebensaussichten aus, gestanden die Sehnsucht nach der Liebe eines Mannes und nach Kindern ein und konnten somit als erfreuliche Vorbereitung zur erwünschten Wandlung begrüßt werden. Der Widerspruch gegen ihre gleichzeitigen Äußerungen im Wachen war sehr groß. Sie machte mir kein Hehl daraus, daß sie zwar zu heiraten gedenke, aber nur um sich der Tyrannei des Vaters zu entziehen und ungestört ihren wirklichen Neigungen zu leben. Mit dem Manne, meinte sie etwas verächtlich, würde sie schon fertig werden, und endlich könne man ja, wie das Beispiel der verehrten Dame zeige, auch gleichzeitig sexuelle Beziehungen mit einem Manne und mit einer Frau haben. Durch irgendeinen leisen Eindruck gewarnt, erklärte ich ihr eines Tages, ich glaube diesen Träumen nicht, sie seien lügnerisch oder heuchlerisch, und ihre Absicht sei, mich zu betrügen, wie sie den Vater zu betrügen pflegte. Ich hatte recht, diese Art von Träumen blieb von dieser Aufklärung an aus. Ich glaube aber doch, neben der Absicht der Irreführung lag auch ein Stück Werbung in diesen Träumen; es war auch ein Versuch, mein Interesse und meine gute Meinung zu gewinnen, vielleicht um mich später desto gründlicher zu enttäuschen.</w:t>
      </w:r>
    </w:p>
    <w:p w:rsidR="008725BE" w:rsidRPr="008725BE" w:rsidRDefault="008725BE" w:rsidP="008725BE">
      <w:pPr>
        <w:pStyle w:val="Sansinterligne"/>
        <w:rPr>
          <w:rFonts w:ascii="Garamond" w:hAnsi="Garamond"/>
        </w:rPr>
      </w:pPr>
      <w:r w:rsidRPr="008725BE">
        <w:rPr>
          <w:rFonts w:ascii="Garamond" w:hAnsi="Garamond"/>
          <w:lang w:val="en-GB"/>
        </w:rPr>
        <w:t xml:space="preserve">Ich kann mir vorstellen, daß der Hinweis auf die Existenz solch lügnerischer Gefälligkeitsträume bei manchen, die sich Analytiker nennen, einen wahren Sturm von hilfloser Entrüstung entfesseln wird. »Also kann auch das Unbewußte lügen, der wirkliche Kern unseres Seelenlebens, dasjenige in uns, was dem Göttlichen so viel näher ist als unser armseliges Bewußtsein! Wie kann man dann noch auf die Deutungen der Analyse und die Sicherheit unserer Erkenntnisse bauen?« Dagegen muß gesagt werden, daß die Anerkennung solch lügenhafter Träume eine erschütternde Neuheit nicht bedeutet. Ich weiß zwar, daß das Bedürfnis der Menschen nach Mystik unausrottbar ist und daß es unablässige Versuche macht, das durch die »Traumdeutung« der Mystik entrissene Gebiet für sie wiederzugewinnen, aber in dem Falle, der uns beschäftigt, liegt doch alles einfach genug. Der Traum ist nicht das »Unbewußte«, er ist die Form, in welche ein aus dem Vorbewußten oder selbst aus dem Bewußten des Wachlebens erübrigter Gedanke dank der Begünstigungen des Schlafzustandes umgegossen werden konnte. Im Schlafzustand hat er die Unterstützung unbewußter Wunschregungen gewonnen und dabei die Entstellung durch die »Traumarbeit« erfahren, welche durch die fürs Unbewußte geltenden Mechanismen bestimmt wird. Bei unserer Träumerin stammte die Absicht, mich irrezuführen, wie sie es beim Vater zu tun pflegte, gewiß aus dem Vorbewußten, wenn sie nicht etwa gar bewußt war; sie konnte sich nun durchsetzen, indem sie mit der unbewußten Wunschregung, dem Vater (oder Vaterersatz) zu gefallen, in Verbindung trat, und schuf so einen lügnerischen Traum. Die beiden Absichten, den Vater zu betrügen und dem Vater zu gefallen, stammen aus demselben Komplex; die erstere ist aus der Verdrängung der letzteren erwachsen, die spätere wird durch die Traumarbeit auf die frühere zurückgeführt. </w:t>
      </w:r>
      <w:r w:rsidRPr="008725BE">
        <w:rPr>
          <w:rFonts w:ascii="Garamond" w:hAnsi="Garamond"/>
        </w:rPr>
        <w:t>Von einer Entwürdigung des Unbewußten, von einer Erschütterung des Zutrauens in die Ergebnisse unserer Analyse kann also nicht die Rede sein.</w:t>
      </w:r>
    </w:p>
    <w:p w:rsidR="008725BE" w:rsidRPr="008725BE" w:rsidRDefault="008725BE" w:rsidP="008725BE">
      <w:pPr>
        <w:pStyle w:val="Sansinterligne"/>
        <w:rPr>
          <w:rFonts w:ascii="Garamond" w:hAnsi="Garamond"/>
          <w:lang w:val="en-GB"/>
        </w:rPr>
      </w:pPr>
      <w:r w:rsidRPr="008725BE">
        <w:rPr>
          <w:rFonts w:ascii="Garamond" w:hAnsi="Garamond"/>
        </w:rPr>
        <w:t xml:space="preserve">Ich will die Gelegenheit nicht versäumen, auch einmal das Erstaunen darüber zu Worte kommen zu lassen, daß die Menschen so große und bedeutungsvolle Stücke ihres Liebeslebens durchmachen können, ohne viel davon zu bemerken, ja mitunter, ohne das mindeste davon zu ahnen, oder daß sie, wenn es zu ihrem Bewußtsein kommt, sich mit dem Urteil so gründlich darüber täuschen. Das geschieht nicht nur unter den Bedingungen der Neurose, wo wir mit dem Phänomen vertraut sind, sondern scheint auch sonst recht gewöhnlich zu sein. In unserem Falle entwickelt ein Mädchen eine Schwärmerei für Frauen, </w:t>
      </w:r>
      <w:r w:rsidRPr="008725BE">
        <w:rPr>
          <w:rFonts w:ascii="Garamond" w:hAnsi="Garamond"/>
        </w:rPr>
        <w:lastRenderedPageBreak/>
        <w:t xml:space="preserve">die von den Eltern zuerst nur als ärgerlich empfunden, aber kaum ernst genommen wird; sie selbst weiß wohl, wie sehr sie davon in Anspruch genommen wird, fühlt aber doch nur wenig von den Sensationen einer intensiven Verliebtheit, bis sich bei einer bestimmten Versagung eine ganz exzessive Reaktion ergibt, die allen Teilen zeigt, daß man es mit einer verzehrenden Leidenschaft von elementarer Stärke zu tun hat. </w:t>
      </w:r>
      <w:r w:rsidRPr="008725BE">
        <w:rPr>
          <w:rFonts w:ascii="Garamond" w:hAnsi="Garamond"/>
          <w:lang w:val="en-US"/>
        </w:rPr>
        <w:t xml:space="preserve">Von den Voraussetzungen, die für das Hervorbrechen eines solchen seelischen Sturmes erforderlich sind, hat auch das Mädchen niemals etwas bemerkt. Andere Male trifft man auf Mädchen oder Frauen in schweren Depressionen, die, nach der möglichen Verursachung ihres Zustandes befragt, die Auskunft geben, sie haben wohl ein gewisses Interesse für eine bestimmte Person verspürt, aber es sei ihnen nicht tief gegangen und sie seien sehr bald damit fertig geworden, nachdem es aufgegeben werden mußte. </w:t>
      </w:r>
      <w:r w:rsidRPr="008725BE">
        <w:rPr>
          <w:rFonts w:ascii="Garamond" w:hAnsi="Garamond"/>
          <w:lang w:val="en-GB"/>
        </w:rPr>
        <w:t>Und doch ist dieser anscheinend so leicht ertragene Verzicht die Ursache der schweren Störung geworden. Oder man hat es mit Männern zu tun, die oberflächliche Liebesbeziehungen zu Frauen erledigt haben und erst aus den Folgeerscheinungen erfahren müssen, daß sie in das angeblich geringgeschätzte Objekt leidenschaftlich verliebt waren. Man erstaunt auch über die ungeahnten Wirkungen, die von einem künstlichen Abortus, der Tötung einer Leibesfrucht, ausgehen können, zu der man sich ohne Reue und Bedenken entschlossen hatte. Man sieht sich so genötigt, den Dichtern recht zu geben, die uns mit Vorliebe Personen schildern, welche lieben, ohne es zu wissen, oder die es nicht wissen, ob sie lieben, oder die zu hassen glauben, während sie lieben. Es scheint, daß gerade die Kunde, die unser Bewußtsein von unserem Liebesleben erhält, besonders leicht unvollständig, lückenhaft oder gefälscht sein kann. In diesen Erörterungen habe ich es natürlich nicht versäumt, den Anteil eines nachträglichen Vergessens in Abzug zu bringen.</w:t>
      </w:r>
    </w:p>
    <w:p w:rsidR="008725BE" w:rsidRPr="008725BE" w:rsidRDefault="008725BE" w:rsidP="008725BE">
      <w:pPr>
        <w:pStyle w:val="Sansinterligne"/>
        <w:rPr>
          <w:rFonts w:ascii="Garamond" w:hAnsi="Garamond"/>
        </w:rPr>
      </w:pPr>
      <w:r w:rsidRPr="008725BE">
        <w:rPr>
          <w:rFonts w:ascii="Garamond" w:hAnsi="Garamond"/>
        </w:rPr>
        <w:t>IV</w:t>
      </w:r>
    </w:p>
    <w:p w:rsidR="008725BE" w:rsidRPr="008725BE" w:rsidRDefault="008725BE" w:rsidP="008725BE">
      <w:pPr>
        <w:pStyle w:val="Sansinterligne"/>
        <w:rPr>
          <w:rFonts w:ascii="Garamond" w:hAnsi="Garamond"/>
          <w:lang w:val="en-GB"/>
        </w:rPr>
      </w:pPr>
      <w:r w:rsidRPr="008725BE">
        <w:rPr>
          <w:rFonts w:ascii="Garamond" w:hAnsi="Garamond"/>
        </w:rPr>
        <w:t xml:space="preserve">Ich kehre nun zu der vorhin abgebrochenen Diskussion des Falles zurück. Wir haben uns einen Überblick über die Kräfte verschafft, welche die Libido des Mädchens aus der normalen Ödipuseinstellung in die der Homosexualität überführt haben, und über die psychischen Wege, die dabei beschritten worden sind. </w:t>
      </w:r>
      <w:r w:rsidRPr="008725BE">
        <w:rPr>
          <w:rFonts w:ascii="Garamond" w:hAnsi="Garamond"/>
          <w:lang w:val="en-GB"/>
        </w:rPr>
        <w:t>Obenan unter diesen bewegenden Kräften stand der Eindruck der Geburt ihres kleinen Bruders, und somit ist uns nahegelegt, den Fall als einen von spät erworbener Inversion zu klassifizieren.</w:t>
      </w:r>
    </w:p>
    <w:p w:rsidR="008725BE" w:rsidRPr="008725BE" w:rsidRDefault="008725BE" w:rsidP="008725BE">
      <w:pPr>
        <w:pStyle w:val="Sansinterligne"/>
        <w:rPr>
          <w:rFonts w:ascii="Garamond" w:hAnsi="Garamond"/>
          <w:lang w:val="en-GB"/>
        </w:rPr>
      </w:pPr>
      <w:r w:rsidRPr="008725BE">
        <w:rPr>
          <w:rFonts w:ascii="Garamond" w:hAnsi="Garamond"/>
          <w:lang w:val="en-GB"/>
        </w:rPr>
        <w:t>Allein hier werden wir auf ein Verhältnis aufmerksam, welches uns auch bei vielen anderen Beispielen von psychoanalytischer Aufklärung eines seelischen Vorganges entgegentritt. Solange wir die Entwicklung von ihrem Endergebnis aus nach rückwärts verfolgen, stellt sich uns ein lückenloser Zusammenhang her, und wir halten unsere Einsicht für vollkommen befriedigend, vielleicht für erschöpfend. Nehmen wir aber den umgekehrten Weg, gehen wir von den durch die Analyse gefundenen Voraussetzungen aus und suchen diese bis zum Resultat zu verfolgen, so kommt uns der Eindruck einer notwendigen und auf keine andere Weise zu bestimmenden Verkettung ganz abhanden. Wir merken sofort, es hätte sich auch etwas anderes ergeben können, und dies andere Ergebnis hätten wir ebensogut verstanden und aufklären können. Die Synthese ist also nicht so befriedigend wie die Analyse; mit anderen Worten, wir wären nicht imstande, aus der Kenntnis der Voraussetzungen die Natur des Ergebnisses vorherzusagen.</w:t>
      </w:r>
    </w:p>
    <w:p w:rsidR="008725BE" w:rsidRPr="008725BE" w:rsidRDefault="008725BE" w:rsidP="008725BE">
      <w:pPr>
        <w:pStyle w:val="Sansinterligne"/>
        <w:rPr>
          <w:rFonts w:ascii="Garamond" w:hAnsi="Garamond"/>
          <w:lang w:val="en-GB"/>
        </w:rPr>
      </w:pPr>
      <w:r w:rsidRPr="008725BE">
        <w:rPr>
          <w:rFonts w:ascii="Garamond" w:hAnsi="Garamond"/>
          <w:lang w:val="en-GB"/>
        </w:rPr>
        <w:t>Es ist sehr leicht, diese betrübliche Erkenntnis auf ihre Ursachen zurückzuführen. Mögen uns auch die ätiologischen Faktoren, welche für einen bestimmten Erfolg maßgebend sind, vollständig bekannt sein, wir kennen sie doch nur nach ihrer qualitativen Eigenart und nicht nach ihrer relativen Stärke. Einige von ihnen werden als zu schwach von anderen unterdrückt werden und für das Endergebnis nicht in Betracht kommen. Wir wissen aber niemals vorher, welche der bestimmenden Momente sich als die schwächeren oder stärkeren erweisen werden. Wir sagen nur am Ende, die sich durchgesetzt haben, das waren die stärkeren. Somit ist die Verursachung in der Richtung der Analyse jedesmal sicher zu erkennen, deren Vorhersage in der Richtung der Synthese aber unmöglich.</w:t>
      </w:r>
    </w:p>
    <w:p w:rsidR="008725BE" w:rsidRPr="008725BE" w:rsidRDefault="008725BE" w:rsidP="008725BE">
      <w:pPr>
        <w:pStyle w:val="Sansinterligne"/>
        <w:rPr>
          <w:rFonts w:ascii="Garamond" w:hAnsi="Garamond"/>
          <w:lang w:val="en-GB"/>
        </w:rPr>
      </w:pPr>
      <w:r w:rsidRPr="008725BE">
        <w:rPr>
          <w:rFonts w:ascii="Garamond" w:hAnsi="Garamond"/>
          <w:lang w:val="en-GB"/>
        </w:rPr>
        <w:t>Wir wollen also nicht behaupten, daß jedes Mädchen, dessen aus der Ödipuseinstellung der Pubertätsjahre herrührende Liebessehnsucht eine solche Enttäuschung erfährt, darum notwendigerweise der Homosexualität verfallen wird. Andersartige Reaktionen auf dieses Trauma werden im Gegenteil häufiger sein. Dann müssen aber bei diesem Mädchen besondere Momente den Ausschlag gegeben haben, solche außerhalb des Traumas, wahrscheinlich innerer Natur. Es hat auch keine Schwierigkeit, sie aufzuzeigen.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Bekanntlich braucht es auch beim Normalen eine gewisse Zeit, bis sich die Entscheidung über das Geschlecht des Liebesobjekts endgültig durchgesetzt hat. Homosexuelle Schwärmereien, übermäßig starke, sinnlich betonte Freundschaften sind bei beiden Geschlechtern in den ersten Jahren nach der Pubertät recht gewöhnlich. So war es auch bei unserem Mädchen, aber diese Neigungen zeigten sich bei ihr unzweifelhaft stärker und hielten länger an als bei anderen. Dazu kommt, daß diese Vorboten der späteren Homosexualität immer ihr bewußtes Leben eingenommen hatten, während die dem Ödipuskomplex entspringende Einstellung unbewußt geblieben war und nur in solchen Anzeichen wie </w:t>
      </w:r>
      <w:r w:rsidRPr="008725BE">
        <w:rPr>
          <w:rFonts w:ascii="Garamond" w:hAnsi="Garamond"/>
          <w:lang w:val="en-GB"/>
        </w:rPr>
        <w:lastRenderedPageBreak/>
        <w:t>jener Verzärtelung des kleinen Knaben zum Vorschein kam. Als Schulmädchen war sie lange Zeit verliebt in eine unnahbar strenge Lehrerin, einen offenkundigen Mutterersatz. Ein besonders lebhaftes Interesse für manche jungmütterliche Frauen hatte sie lange vor der Geburt des Bruders und um so sicherer lange Zeit vor jener ersten Zurechtweisung durch den Vater gezeigt. Ihre Libido lief also von sehr früher Zeit her in zwei Strömungen, von denen die oberflächlichere unbedenklich eine homosexuelle genannt werden darf. Diese war wahrscheinlich die direkte, unverwandelte Fortsetzung einer infantilen Fixierung an die Mutter. Möglicherweise haben wir durch unsere Analyse auch nichts anderes aufgedeckt als den Prozeß, der bei einem geeigneten Anlaß auch die tiefere heterosexuelle Libidoströmung in die manifeste homosexuelle überführte.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Ferner lehrte die Analyse, daß das Mädchen aus ihren Kinderjahren einen stark betonten »Männlichkeitskomplex« mitgebracht hatte. Lebhaft, rauflustig, durchaus nicht gewillt, hinter dem wenig älteren Bruder zurückzustehen, hatte sie seit jener Inspektion der Genitalien einen mächtigen Penisneid entwickelt, dessen Abkömmlinge immer noch ihr Denken erfüllten. Sie war eigentlich eine Frauenrechtlerin, fand es ungerecht, daß die Mädchen nicht dieselben Freiheiten genießen sollten wie die Burschen, und sträubte sich überhaupt gegen das Los der Frau. Zur Zeit der Analyse waren ihr Schwangerschaft und Kindergebären unliebsame Vorstellungen, wie ich vermute, auch wegen der damit verbundenen körperlichen Entstellung. Auf diese Abwehr hatte sich ihr mädchenhafter Narzißmus zurückgezogen </w:t>
      </w:r>
      <w:hyperlink r:id="rId89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Kriemhildes Bekenntnis im </w:t>
        </w:r>
        <w:r w:rsidRPr="008725BE">
          <w:rPr>
            <w:rStyle w:val="innerfusslink3"/>
            <w:rFonts w:ascii="Garamond" w:hAnsi="Garamond" w:cs="Arial"/>
            <w:b/>
            <w:bCs/>
            <w:i/>
            <w:iCs/>
            <w:lang w:val="en-GB"/>
          </w:rPr>
          <w:t>Nibelungenlied</w:t>
        </w:r>
        <w:r w:rsidRPr="008725BE">
          <w:rPr>
            <w:rStyle w:val="innerfusslink3"/>
            <w:rFonts w:ascii="Garamond" w:hAnsi="Garamond" w:cs="Arial"/>
            <w:b/>
            <w:bCs/>
            <w:lang w:val="en-GB"/>
          </w:rPr>
          <w:t>.</w:t>
        </w:r>
      </w:hyperlink>
      <w:r w:rsidRPr="008725BE">
        <w:rPr>
          <w:rFonts w:ascii="Garamond" w:hAnsi="Garamond"/>
          <w:lang w:val="en-GB"/>
        </w:rPr>
        <w:t>, der sich nicht mehr als Stolz auf ihre Schönheit äußerte. Verschiedene Anzeichen wiesen auf eine ehemals sehr starke Schau- und Exhibitionslust hin. Wer das Recht der Erwerbung in der Ätiologie nicht verkürzt sehen will, wird aufmerksam machen, daß das geschilderte Verhalten des Mädchens gerade so war, wie es durch die vereinte Wirkung der mütterlichen Zurücksetzung und der Vergleichung ihrer Genitalien mit denen des Bruders bei starker Mutterfixierung bestimmt werden mußte. Auch hier besteht eine Möglichkeit, etwas auf Prägung durch frühzeitig wirksamen äußeren Einfluß zurückzuführen, was man gern als konstitutionelle Eigenart aufgefaßt hätte. Und auch von dieser Erwerbung – wenn sie wirklich stattgefunden hat – wird ein Anteil auf Rechnung der mitgebrachten Konstitution zu setzen sein. So vermengt und vereinigt sich in der Beobachtung beständig, was wir in der Theorie zu einem Paar von Gegensätzen – Vererbung und Erwerbung – auseinanderlegen möchten.</w:t>
      </w:r>
    </w:p>
    <w:p w:rsidR="008725BE" w:rsidRPr="008725BE" w:rsidRDefault="008725BE" w:rsidP="008725BE">
      <w:pPr>
        <w:pStyle w:val="Sansinterligne"/>
        <w:rPr>
          <w:rFonts w:ascii="Garamond" w:hAnsi="Garamond"/>
          <w:lang w:val="en-GB"/>
        </w:rPr>
      </w:pPr>
      <w:r w:rsidRPr="008725BE">
        <w:rPr>
          <w:rFonts w:ascii="Garamond" w:hAnsi="Garamond"/>
          <w:lang w:val="en-GB"/>
        </w:rPr>
        <w:t>Hatte ein früherer, vorläufiger Abschluß der Analyse zum Ausspruch geführt, es handle sich um einen Fall von später Erwerbung der Homosexualität, so drängt die jetzt vorgenommene Überprüfung des Materials vielmehr zum Schluß, es liege angeborene Homosexualität vor, die sich wie gewöhnlich erst in der Zeit nach der Pubertät fixiert und unverkennbar gezeigt habe. Jede dieser Klassifizierungen wird nur einem Anteil des durch Beobachtung festzustellenden Sachverhaltes gerecht, vernachlässigt den anderen. Wir treffen das Richtige, wenn wir den Wert dieser Fragestellung überhaupt gering veranschlagen.</w:t>
      </w:r>
    </w:p>
    <w:p w:rsidR="008725BE" w:rsidRPr="008725BE" w:rsidRDefault="008725BE" w:rsidP="008725BE">
      <w:pPr>
        <w:pStyle w:val="Sansinterligne"/>
        <w:rPr>
          <w:rFonts w:ascii="Garamond" w:hAnsi="Garamond"/>
        </w:rPr>
      </w:pPr>
      <w:r w:rsidRPr="008725BE">
        <w:rPr>
          <w:rFonts w:ascii="Garamond" w:hAnsi="Garamond"/>
          <w:lang w:val="en-GB"/>
        </w:rPr>
        <w:t xml:space="preserve">Die Literatur der Homosexualität pflegt die Frage der Objektwahl einerseits und des Geschlechtscharakters und der geschlechtlichen Einstellung anderseits nicht scharf genug zu trennen, als ob die Entscheidung über den einen Punkt notwendigerweise mit der des anderen verknüpft wäre. Die Erfahrung zeigt jedoch das Gegenteil: Ein Mann mit überwiegend männlichen Eigenschaften, der auch den männlichen Typus des Liebeslebens zeigt, kann doch in bezug aufs Objekt invertiert sein, nur Männer anstatt Frauen lieben. Ein Mann, in dessen Charakter die weiblichen Eigenschaften augenfällig vorwiegen, ja, der sich in der Liebe wie ein Weib benimmt, sollte durch diese weibliche Einstellung auf den Mann als Liebesobjekt hingewiesen werden; er kann aber trotzdem heterosexuell sein, nicht mehr Inversion in bezug aufs Objekt zeigen als durchschnittlich ein Normaler. Dasselbe gilt für Frauen, auch bei ihnen treffen psychischer Geschlechtscharakter und Objektwahl nicht zu fester Relation zusammen. Das Geheimnis der Homosexualität ist also keineswegs so einfach, wie man es zum populären Gebrauch gern darstellt: Eine weibliche Seele, die darum den Mann lieben muß, zum Unglück in einen männlichen Körper geraten, oder eine männliche Seele, die unwiderstehlich vom Weib angezogen wird, leider in einen weiblichen Leib gebannt. </w:t>
      </w:r>
      <w:r w:rsidRPr="008725BE">
        <w:rPr>
          <w:rFonts w:ascii="Garamond" w:hAnsi="Garamond"/>
        </w:rPr>
        <w:t>Vielmehr handelt es sich um drei Reihen von Charakteren</w:t>
      </w:r>
    </w:p>
    <w:tbl>
      <w:tblPr>
        <w:tblW w:w="0" w:type="auto"/>
        <w:jc w:val="center"/>
        <w:tblCellSpacing w:w="15" w:type="dxa"/>
        <w:tblCellMar>
          <w:top w:w="15" w:type="dxa"/>
          <w:left w:w="15" w:type="dxa"/>
          <w:bottom w:w="15" w:type="dxa"/>
          <w:right w:w="15" w:type="dxa"/>
        </w:tblCellMar>
        <w:tblLook w:val="0000"/>
      </w:tblPr>
      <w:tblGrid>
        <w:gridCol w:w="3053"/>
        <w:gridCol w:w="320"/>
        <w:gridCol w:w="2993"/>
      </w:tblGrid>
      <w:tr w:rsidR="008725BE" w:rsidRPr="008725BE" w:rsidTr="005E1D01">
        <w:trPr>
          <w:tblCellSpacing w:w="15" w:type="dxa"/>
          <w:jc w:val="center"/>
        </w:trPr>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Somatische Geschlechtscharaktere</w:t>
            </w: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 – </w:t>
            </w: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Psychischer Geschlechtscharakter</w:t>
            </w:r>
          </w:p>
        </w:tc>
      </w:tr>
      <w:tr w:rsidR="008725BE" w:rsidRPr="008725BE" w:rsidTr="005E1D01">
        <w:trPr>
          <w:tblCellSpacing w:w="15" w:type="dxa"/>
          <w:jc w:val="center"/>
        </w:trPr>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(Physischer Hermaphroditismus)</w:t>
            </w: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p>
        </w:tc>
        <w:tc>
          <w:tcPr>
            <w:tcW w:w="0" w:type="auto"/>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 xml:space="preserve">(männl. Einstellung) </w:t>
            </w:r>
            <w:r w:rsidRPr="008725BE">
              <w:rPr>
                <w:rFonts w:ascii="Garamond" w:hAnsi="Garamond"/>
              </w:rPr>
              <w:br/>
              <w:t>(weibl. Einstellung)</w:t>
            </w:r>
          </w:p>
        </w:tc>
      </w:tr>
      <w:tr w:rsidR="008725BE" w:rsidRPr="008725BE" w:rsidTr="005E1D01">
        <w:trPr>
          <w:tblCellSpacing w:w="15" w:type="dxa"/>
          <w:jc w:val="center"/>
        </w:trPr>
        <w:tc>
          <w:tcPr>
            <w:tcW w:w="0" w:type="auto"/>
            <w:gridSpan w:val="3"/>
            <w:tcMar>
              <w:top w:w="35" w:type="dxa"/>
              <w:left w:w="35" w:type="dxa"/>
              <w:bottom w:w="35" w:type="dxa"/>
              <w:right w:w="35" w:type="dxa"/>
            </w:tcMar>
          </w:tcPr>
          <w:p w:rsidR="008725BE" w:rsidRPr="008725BE" w:rsidRDefault="008725BE" w:rsidP="008725BE">
            <w:pPr>
              <w:pStyle w:val="Sansinterligne"/>
              <w:rPr>
                <w:rFonts w:ascii="Garamond" w:hAnsi="Garamond"/>
              </w:rPr>
            </w:pPr>
            <w:r w:rsidRPr="008725BE">
              <w:rPr>
                <w:rFonts w:ascii="Garamond" w:hAnsi="Garamond"/>
              </w:rPr>
              <w:t>– Art der Objektwahl,</w:t>
            </w:r>
          </w:p>
        </w:tc>
      </w:tr>
    </w:tbl>
    <w:p w:rsidR="008725BE" w:rsidRPr="008725BE" w:rsidRDefault="008725BE" w:rsidP="008725BE">
      <w:pPr>
        <w:pStyle w:val="Sansinterligne"/>
        <w:rPr>
          <w:rFonts w:ascii="Garamond" w:hAnsi="Garamond"/>
          <w:lang w:val="en-GB"/>
        </w:rPr>
      </w:pPr>
      <w:r w:rsidRPr="008725BE">
        <w:rPr>
          <w:rFonts w:ascii="Garamond" w:hAnsi="Garamond"/>
          <w:lang w:val="en-GB"/>
        </w:rPr>
        <w:t xml:space="preserve">die bis zu einem gewissen Grade voneinander unabhängig variieren und sich bei den einzelnen Individuen in mannigfachen Permutationen vorfinden. Die tendenziöse Literatur hat den Einblick in diese Verhältnisse erschwert, indem sie aus praktischen Motiven das dem Laien allein auffällige Verhalten im </w:t>
      </w:r>
      <w:r w:rsidRPr="008725BE">
        <w:rPr>
          <w:rFonts w:ascii="Garamond" w:hAnsi="Garamond"/>
          <w:lang w:val="en-GB"/>
        </w:rPr>
        <w:lastRenderedPageBreak/>
        <w:t>dritten Punkt, dem der Objektwahl, in den Vordergrund rückt und außerdem die Festigkeit der Beziehung zwischen diesem und dem ersten Punkt übertreibt. Sie versperrt sich auch den Weg, der zur tieferen Einsicht in all das führt, was man uniform als Homosexualität bezeichnet, indem sie sich gegen zwei Grundtatsachen sträubt, welche die psychoanalytische Forschung aufgedeckt hat. Die erste, daß die homosexuellen Männer eine besonders starke Fixierung an die Mutter erfahren haben; die zweite, daß alle Normalen neben ihrer manifesten Heterosexualität ein sehr erhebliches Ausmaß von latenter oder unbewußter Homosexualität erkennen lassen. Trägt man diesen Funden Rechnung, so ist es allerdings um die Annahme eines von der Natur in besonderer Laune geschaffenen »dritten Geschlechts« geschehen.</w:t>
      </w:r>
    </w:p>
    <w:p w:rsidR="008725BE" w:rsidRPr="008725BE" w:rsidRDefault="008725BE" w:rsidP="008725BE">
      <w:pPr>
        <w:pStyle w:val="Sansinterligne"/>
        <w:rPr>
          <w:rFonts w:ascii="Garamond" w:hAnsi="Garamond"/>
          <w:lang w:val="en-GB"/>
        </w:rPr>
      </w:pPr>
      <w:r w:rsidRPr="008725BE">
        <w:rPr>
          <w:rFonts w:ascii="Garamond" w:hAnsi="Garamond"/>
        </w:rPr>
        <w:t xml:space="preserve">Die Psychoanalyse ist nicht dazu berufen, das Problem der Homosexualität zu lösen. Sie muß sich damit begnügen, die psychischen Mechanismen zu enthüllen, die zur Entscheidung in der Objektwahl geführt haben, und die Wege von ihnen zu den Triebanlagen zu verfolgen. Dann bricht sie ab und überläßt das übrige der biologischen Forschung, die gerade jetzt in den Versuchen von Steinach </w:t>
      </w:r>
      <w:hyperlink r:id="rId900" w:anchor="#" w:history="1">
        <w:r w:rsidRPr="008725BE">
          <w:rPr>
            <w:rStyle w:val="fusslink"/>
            <w:rFonts w:ascii="Garamond" w:hAnsi="Garamond" w:cs="Arial"/>
            <w:b/>
            <w:bCs/>
            <w:color w:val="003399"/>
          </w:rPr>
          <w:t>[Fußnote]</w:t>
        </w:r>
        <w:r w:rsidRPr="008725BE">
          <w:rPr>
            <w:rStyle w:val="innerfusslink3"/>
            <w:rFonts w:ascii="Garamond" w:hAnsi="Garamond" w:cs="Arial"/>
            <w:b/>
            <w:bCs/>
          </w:rPr>
          <w:t>Siehe A. Lipschütz (1919).</w:t>
        </w:r>
      </w:hyperlink>
      <w:r w:rsidRPr="008725BE">
        <w:rPr>
          <w:rFonts w:ascii="Garamond" w:hAnsi="Garamond"/>
        </w:rPr>
        <w:t xml:space="preserve"> </w:t>
      </w:r>
      <w:r w:rsidRPr="008725BE">
        <w:rPr>
          <w:rFonts w:ascii="Garamond" w:hAnsi="Garamond"/>
          <w:lang w:val="en-GB"/>
        </w:rPr>
        <w:t>so bedeutungsvolle Aufschlüsse über die Beeinflussung der obigen zweiten und dritten Reihe durch die erste zutage fördert. Sie steht auf gemeinsamem Boden mit der Biologie, indem sie eine ursprüngliche Bisexualität des menschlichen (wie des tierischen) Individuums zur Voraussetzung nimmt. Aber das Wesen dessen, was man im konventionellen oder im biologischen Sinne »männlich« und »weiblich« nennt, kann die Psychoanalyse nicht aufklären, sie übernimmt die beiden Begriffe und legt sie ihren Arbeiten zugrunde. Beim Versuche einer weiteren Zurückführung verflüchtigt sich ihr die Männlichkeit zur Aktivität, die Weiblichkeit zur Passivität, und das ist zu wenig. Inwieweit die Erwartung zulässig oder bereits durch Erfahrung bestätigt ist, es werde sich auch aus dem Stück Aufklärungsarbeit, welches in den Bereich der Analyse fällt, eine Handhabe zur Abänderung der Inversion ergeben, habe ich vorhin auszuführen versucht. Vergleicht man dieses Ausmaß von Beeinflussung mit den großartigen Umwälzungen, die Steinach in einzelnen Fällen durch operative Eingriffe erzielt hat, so macht es wohl keinen imposanten Eindruck. Indes wäre es Voreiligkeit oder schädliche Übertreibung, wenn wir uns jetzt schon Hoffnung auf eine allgemein brauchbare »Therapie« der Inversion machten. Die Fälle von männlicher Homosexualität, in denen Steinach Erfolg gehabt hat, erfüllten die nicht immer vorhandene Bedingung eines überdeutlichen somatischen »Hermaphroditismus«. Die Therapie einer weiblichen Homosexualität auf analogem Wege ist zunächst ganz unklar. Sollte sie in der Entfernung der wahrscheinlich hermaphroditischen Ovarien und Einpflanzung anderer, hoffentlich eingeschlechtiger, bestehen, so würde sie praktisch wenig Aussicht auf Anwendung haben. Ein weibliches Individuum, das sich männlich gefühlt und auf männliche Weise geliebt hat, wird sich kaum in die weibliche Rolle drängen lassen, wenn es diese nicht durchaus vorteilhafte Umwandlung mit dem Verzicht auf die Mutterschaft bezahlen muß.</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92" w:name="KS57"/>
        <w:bookmarkEnd w:id="192"/>
        <w:r w:rsidRPr="008725BE">
          <w:rPr>
            <w:rStyle w:val="Lienhypertexte"/>
            <w:rFonts w:ascii="Garamond" w:hAnsi="Garamond"/>
            <w:b/>
            <w:lang w:val="en-GB"/>
          </w:rPr>
          <w:t>er die weibliche Sexualität</w:t>
        </w:r>
      </w:hyperlink>
      <w:r w:rsidRPr="008725BE">
        <w:rPr>
          <w:rFonts w:ascii="Garamond" w:hAnsi="Garamond"/>
          <w:lang w:val="en-GB"/>
        </w:rPr>
        <w:t xml:space="preserve">  </w:t>
      </w:r>
      <w:r w:rsidRPr="008725BE">
        <w:rPr>
          <w:rFonts w:ascii="Garamond" w:hAnsi="Garamond"/>
          <w:caps/>
          <w:lang w:val="en-GB"/>
        </w:rPr>
        <w:t>(1931)</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caps/>
          <w:lang w:val="en-GB"/>
        </w:rPr>
      </w:pPr>
      <w:r w:rsidRPr="008725BE">
        <w:rPr>
          <w:rFonts w:ascii="Garamond" w:hAnsi="Garamond"/>
          <w:caps/>
          <w:lang w:val="en-GB"/>
        </w:rPr>
        <w:t>I</w:t>
      </w:r>
    </w:p>
    <w:p w:rsidR="008725BE" w:rsidRPr="008725BE" w:rsidRDefault="008725BE" w:rsidP="008725BE">
      <w:pPr>
        <w:pStyle w:val="Sansinterligne"/>
        <w:rPr>
          <w:rFonts w:ascii="Garamond" w:hAnsi="Garamond"/>
          <w:lang w:val="en-GB"/>
        </w:rPr>
      </w:pPr>
      <w:r w:rsidRPr="008725BE">
        <w:rPr>
          <w:rFonts w:ascii="Garamond" w:hAnsi="Garamond"/>
          <w:lang w:val="en-GB"/>
        </w:rPr>
        <w:t>In der Phase des normalen Ödipuskomplexes finden wir das Kind an den gegengeschlechtlichen Elternteil zärtlich gebunden, während im Verhältnis zum gleichgeschlechtlichen die Feindseligkeit vorwiegt. Es macht uns keine Schwierigkeiten, dieses Ergebnis für den Knaben abzuleiten. Die Mutter war sein erstes Liebesobjekt; sie bleibt es, mit der Verstärkung seiner verliebten Strebungen und der tieferen Einsicht in die Beziehung zwischen Vater und Mutter muß der Vater zum Rivalen werden. Anders für das kleine Mädchen. Ihr erstes Objekt war doch auch die Mutter; wie findet sie den Weg zum Vater? Wie, wann und warum macht sie sich von der Mutter los? Wir haben längst verstanden, die Entwicklung der weiblichen Sexualität werde durch die Aufgabe kompliziert, die ursprünglich leitende genitale Zone, die Klitoris, gegen eine neue, die Vagina, aufzugeben. Nun erscheint uns eine zweite solche Wandlung, der Umtausch des ursprünglichen Mutterobjekts gegen den Vater, nicht weniger charakteristisch und bedeutungsvoll für die Entwicklung des Weibes. In welcher Art die beiden Aufgaben miteinander verknüpft sind, können wir noch nicht erkennen.</w:t>
      </w:r>
    </w:p>
    <w:p w:rsidR="008725BE" w:rsidRPr="008725BE" w:rsidRDefault="008725BE" w:rsidP="008725BE">
      <w:pPr>
        <w:pStyle w:val="Sansinterligne"/>
        <w:rPr>
          <w:rFonts w:ascii="Garamond" w:hAnsi="Garamond"/>
          <w:lang w:val="en-GB"/>
        </w:rPr>
      </w:pPr>
      <w:r w:rsidRPr="008725BE">
        <w:rPr>
          <w:rFonts w:ascii="Garamond" w:hAnsi="Garamond"/>
          <w:lang w:val="en-GB"/>
        </w:rPr>
        <w:t>Frauen mit starker Vaterbindung sind bekanntlich sehr häufig; sie brauchen auch keineswegs neurotisch zu sein. An solchen Frauen habe ich die Beobachtungen gemacht, über die ich hier berichte und die mich zu einer gewissen Auffassung der weiblichen Sexualität veranlaßt haben. Zwei Tatsachen sind mir da vor allem aufgefallen. Die erste war: wo eine besonders intensive Vaterbindung bestand, da hatte es nach dem Zeugnis der Analyse vorher eine Phase von ausschließlicher Mutterbindung gegeben von gleicher Intensität und Leidenschaftlichkeit. Die zweite Phase hatte bis auf den Wechsel des Objekts dem Liebesleben kaum einen neuen Zug hinzugefügt. Die primäre Mutterbeziehung war sehr reich und vielseitig ausgebaut gewesen.</w:t>
      </w:r>
    </w:p>
    <w:p w:rsidR="008725BE" w:rsidRPr="008725BE" w:rsidRDefault="008725BE" w:rsidP="008725BE">
      <w:pPr>
        <w:pStyle w:val="Sansinterligne"/>
        <w:rPr>
          <w:rFonts w:ascii="Garamond" w:hAnsi="Garamond"/>
          <w:lang w:val="en-GB"/>
        </w:rPr>
      </w:pPr>
      <w:r w:rsidRPr="008725BE">
        <w:rPr>
          <w:rFonts w:ascii="Garamond" w:hAnsi="Garamond"/>
          <w:lang w:val="en-GB"/>
        </w:rPr>
        <w:t>Die zweite Tatsache lehrte, daß man auch die Zeitdauer dieser Mutterbindung stark unterschätzt hatte. Sie reichte in mehreren Fällen bis weit ins vierte, in einem bis ins fünfte Jahr, nahm also den bei weitem längeren Anteil der sexuellen Frühblüte ein. Ja, man mußte die Möglichkeit gelten lassen, daß eine Anzahl von weiblichen Wesen in der ursprünglichen Mutterbindung steckenbleibt und es niemals zu einer richtigen Wendung zum Manne bringt.</w:t>
      </w:r>
    </w:p>
    <w:p w:rsidR="008725BE" w:rsidRPr="008725BE" w:rsidRDefault="008725BE" w:rsidP="008725BE">
      <w:pPr>
        <w:pStyle w:val="Sansinterligne"/>
        <w:rPr>
          <w:rFonts w:ascii="Garamond" w:hAnsi="Garamond"/>
          <w:lang w:val="en-GB"/>
        </w:rPr>
      </w:pPr>
      <w:r w:rsidRPr="008725BE">
        <w:rPr>
          <w:rFonts w:ascii="Garamond" w:hAnsi="Garamond"/>
          <w:lang w:val="en-GB"/>
        </w:rPr>
        <w:t>Die präödipale Phase des Weibes rückt hiemit zu einer Bedeutung auf, die wir ihr bisher nicht zugeschrieben haben.</w:t>
      </w:r>
    </w:p>
    <w:p w:rsidR="008725BE" w:rsidRPr="008725BE" w:rsidRDefault="008725BE" w:rsidP="008725BE">
      <w:pPr>
        <w:pStyle w:val="Sansinterligne"/>
        <w:rPr>
          <w:rFonts w:ascii="Garamond" w:hAnsi="Garamond"/>
          <w:lang w:val="en-GB"/>
        </w:rPr>
      </w:pPr>
      <w:r w:rsidRPr="008725BE">
        <w:rPr>
          <w:rFonts w:ascii="Garamond" w:hAnsi="Garamond"/>
          <w:lang w:val="en-GB"/>
        </w:rPr>
        <w:t>Da sie für alle Fixierungen und Verdrängungen Raum hat, auf die wir die Entstehung der Neurosen zurückführen, scheint es erforderlich, die Allgemeinheit des Satzes, der Ödipuskomplex sei der Kern der Neurose, zurückzunehmen. Aber wer ein Sträuben gegen diese Korrektur verspürt, ist nicht genötigt, sie zu machen. Einerseits kann man dem Ödipuskomplex den weiteren Inhalt geben, daß er alle Beziehungen des Kindes zu beiden Eltern umfaßt, anderseits kann man den neuen Erfahrungen auch Rechnung tragen, indem man sagt, das Weib gelange zur normalen positiven Ödipussituation erst, nachdem es eine vom negativen Komplex beherrschte Vorzeit überwunden. Wirklich ist während dieser Phase der Vater für das Mädchen nicht viel anderes als ein lästiger Rivale, wenngleich die Feindseligkeit gegen ihn nie die für den Knaben charakteristische Höhe erreicht. Alle Erwartungen eines glatten Parallelismus zwischen männlicher und weiblicher Sexualentwicklung haben wir ja längst aufgegeben.</w:t>
      </w:r>
    </w:p>
    <w:p w:rsidR="008725BE" w:rsidRPr="008725BE" w:rsidRDefault="008725BE" w:rsidP="008725BE">
      <w:pPr>
        <w:pStyle w:val="Sansinterligne"/>
        <w:rPr>
          <w:rFonts w:ascii="Garamond" w:hAnsi="Garamond"/>
          <w:lang w:val="en-GB"/>
        </w:rPr>
      </w:pPr>
      <w:r w:rsidRPr="008725BE">
        <w:rPr>
          <w:rFonts w:ascii="Garamond" w:hAnsi="Garamond"/>
          <w:lang w:val="en-GB"/>
        </w:rPr>
        <w:t>Die Einsicht in die präödipale Vorzeit des Mädchens wirkt als Überraschung, ähnlich wie auf anderem Gebiet die Aufdeckung der minoisch-mykenischen Kultur hinter der griechischen.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Alles auf dem Gebiet dieser ersten Mutterbindung erschien mir so schwer analytisch zu erfassen, so altersgrau, schattenhaft, kaum wiederbelebbar, als ob es einer besonders unerbittlichen Verdrängung erlegen wäre. Vielleicht kam dieser Eindruck aber davon, daß die Frauen in der Analyse bei mir an der nämlichen Vaterbindung festhalten konnten, zu der sie sich aus der in Rede stehenden Vorzeit geflüchtet hatten. Es scheint wirklich, daß weibliche Analytiker, wie Jeanne Lampl-de Groot und Helene Deutsch, diese Tatbestände leichter und deutlicher wahrnehmen konnten, weil ihnen bei ihren Gewährspersonen die Übertragung auf einen geeigneten Mutterersatz zu Hilfe kam. Ich habe es auch nicht dahin gebracht, einen Fall vollkommen zu durchschauen, beschränke mich daher auf die Mitteilung der allgemeinsten Ergebnisse und führe nur wenige Proben aus meinen neuen Einsichten an. Dahin gehört, daß diese Phase der Mutterbindung eine besonders intime Beziehung zur Ätiologie der Hysterie vermuten läßt, was nicht überraschen kann, wenn man erwägt, daß beide, die Phase wie die Neurose, zu den besonderen Charakteren der Weiblichkeit gehören, ferner auch, daß man in dieser Mutterabhängigkeit den Keim der späteren Paranoia des Weibes findet </w:t>
      </w:r>
      <w:hyperlink r:id="rId90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In dem bekannten Fall von Ruth Mack Brunswick (›Die Analyse eines Eifersuchtswahnes‹, 1928) geht die Affektion direkt aus der präödipalen </w:t>
        </w:r>
        <w:r w:rsidRPr="008725BE">
          <w:rPr>
            <w:rStyle w:val="innerfusslink3"/>
            <w:rFonts w:ascii="Garamond" w:hAnsi="Garamond" w:cs="Arial"/>
            <w:b/>
            <w:bCs/>
            <w:lang w:val="en-GB"/>
          </w:rPr>
          <w:lastRenderedPageBreak/>
          <w:t>(Schwester-) Fixierung hervor.</w:t>
        </w:r>
      </w:hyperlink>
      <w:r w:rsidRPr="008725BE">
        <w:rPr>
          <w:rFonts w:ascii="Garamond" w:hAnsi="Garamond"/>
          <w:lang w:val="en-GB"/>
        </w:rPr>
        <w:t>. Denn dies scheint die überraschende, aber regelmäßig angetroffene Angst, von der Mutter umgebracht (aufgefressen?) zu werden, wohl zu sein. Es liegt nahe anzunehmen, daß diese Angst einer Feindseligkeit entspricht, die sich im Kind gegen die Mutter infolge der vielfachen Einschränkungen der Erziehung und Körperpflege entwickelt, und daß der Mechanismus der Projektion durch die Frühzeit der psychischen Organisation begünstigt wird.</w:t>
      </w:r>
    </w:p>
    <w:p w:rsidR="008725BE" w:rsidRPr="008725BE" w:rsidRDefault="008725BE" w:rsidP="008725BE">
      <w:pPr>
        <w:pStyle w:val="Sansinterligne"/>
        <w:rPr>
          <w:rFonts w:ascii="Garamond" w:hAnsi="Garamond"/>
          <w:caps/>
          <w:lang w:val="en-GB"/>
        </w:rPr>
      </w:pPr>
      <w:r w:rsidRPr="008725BE">
        <w:rPr>
          <w:rFonts w:ascii="Garamond" w:hAnsi="Garamond"/>
          <w:caps/>
          <w:lang w:val="en-GB"/>
        </w:rPr>
        <w:t>II</w:t>
      </w:r>
    </w:p>
    <w:p w:rsidR="008725BE" w:rsidRPr="008725BE" w:rsidRDefault="008725BE" w:rsidP="008725BE">
      <w:pPr>
        <w:pStyle w:val="Sansinterligne"/>
        <w:rPr>
          <w:rFonts w:ascii="Garamond" w:hAnsi="Garamond"/>
          <w:lang w:val="en-GB"/>
        </w:rPr>
      </w:pPr>
      <w:r w:rsidRPr="008725BE">
        <w:rPr>
          <w:rFonts w:ascii="Garamond" w:hAnsi="Garamond"/>
          <w:lang w:val="en-GB"/>
        </w:rPr>
        <w:t>Ich habe die beiden Tatsachen vorangestellt, die mir als neu aufgefallen sind, daß die starke Vaterabhängigkeit des Weibes nur das Erbe einer ebenso starken Mutterbindung antritt und daß diese frühere Phase durch eine unerwartet lange Zeitdauer angehalten hat. Nun will ich zurückgreifen, um diese Ergebnisse in das uns bekanntgewordene Bild der weiblichen Sexualentwicklung einzureihen, wobei Wiederholungen nicht zu vermeiden sein werden. Die fortlaufende Vergleichung mit den Verhältnissen beim Manne kann unserer Darstellung nur förderlich sein.</w:t>
      </w:r>
    </w:p>
    <w:p w:rsidR="008725BE" w:rsidRPr="008725BE" w:rsidRDefault="008725BE" w:rsidP="008725BE">
      <w:pPr>
        <w:pStyle w:val="Sansinterligne"/>
        <w:rPr>
          <w:rFonts w:ascii="Garamond" w:hAnsi="Garamond"/>
          <w:lang w:val="en-GB"/>
        </w:rPr>
      </w:pPr>
      <w:r w:rsidRPr="008725BE">
        <w:rPr>
          <w:rFonts w:ascii="Garamond" w:hAnsi="Garamond"/>
          <w:lang w:val="en-GB"/>
        </w:rPr>
        <w:t>Zunächst ist unverkennbar, daß die für die menschliche Anlage behauptete Bisexualität beim Weib viel deutlicher hervortritt als beim Mann. Der Mann hat doch nur eine leitende Geschlechtszone, ein Geschlechtsorgan, während das Weib deren zwei besitzt: die eigentlich weibliche Vagina und die dem männlichen Glied analoge Klitoris. Wir halten uns für berechtigt anzunehmen, daß die Vagina durch lange Jahre so gut wie nicht vorhanden ist, vielleicht erst zur Zeit der Pubertät Empfindungen liefert. In letzter Zeit mehren sich allerdings die Stimmen der Beobachter, die vaginale Regungen auch in diese frühen Jahre verlegen. Das Wesentliche, was also an Genitalität in der Kindheit vorgeht, muß sich beim Weibe an der Klitoris abspielen. Das Geschlechtsleben des Weibes zerfällt regelmäßig in zwei Phasen, von denen die erste männlichen Charakter hat; erst die zweite ist die spezifisch weibliche. In der weiblichen Entwicklung gibt es so einen Prozeß der Überführung der einen Phase in die andere, dem beim Manne nichts analog ist. Eine weitere Komplikation entsteht daraus, daß sich die Funktion der virilen Klitoris in das spätere weibliche Geschlechtsleben fortsetzt in einer sehr wechselnden und gewiß nicht befriedigend verstandenen Weise. Natürlich wissen wir nicht, wie sich diese Besonderheiten des Weibes biologisch begründen; noch weniger können wir ihnen teleologische Absicht unterlegen.</w:t>
      </w:r>
    </w:p>
    <w:p w:rsidR="008725BE" w:rsidRPr="008725BE" w:rsidRDefault="008725BE" w:rsidP="008725BE">
      <w:pPr>
        <w:pStyle w:val="Sansinterligne"/>
        <w:rPr>
          <w:rFonts w:ascii="Garamond" w:hAnsi="Garamond"/>
          <w:lang w:val="en-GB"/>
        </w:rPr>
      </w:pPr>
      <w:r w:rsidRPr="008725BE">
        <w:rPr>
          <w:rFonts w:ascii="Garamond" w:hAnsi="Garamond"/>
          <w:lang w:val="en-GB"/>
        </w:rPr>
        <w:t>Parallel dieser ersten großen Differenz läuft die andere auf dem Gebiet der Objektfindung. Beim Manne wird die Mutter zum ersten Liebesobjekt infolge des Einflusses von Nahrungszufuhr und Körperpflege, und sie bleibt es, bis sie durch ein ihr wesensähnliches oder von ihr abgeleitetes ersetzt wird. Auch beim Weib muß die Mutter das erste Objekt sein. Die Urbedingungen der Objektwahl sind ja für alle Kinder gleich. Aber am Ende der Entwicklung soll der Mann-Vater das neue Liebesobjekt geworden sein, d. h. dem Geschlechtswechsel des Weibes muß ein Wechsel im Geschlecht des Objekts entsprechen. Als neue Aufgaben der Forschung entstehen hier die Fragen, auf welchen Wegen diese Wandlung vor sich geht, wie gründlich oder unvollkommen sie vollzogen wird, welche verschiedenen Möglichkeiten sich bei dieser Entwicklung ergeben.</w:t>
      </w:r>
    </w:p>
    <w:p w:rsidR="008725BE" w:rsidRPr="008725BE" w:rsidRDefault="008725BE" w:rsidP="008725BE">
      <w:pPr>
        <w:pStyle w:val="Sansinterligne"/>
        <w:rPr>
          <w:rFonts w:ascii="Garamond" w:hAnsi="Garamond"/>
          <w:lang w:val="en-GB"/>
        </w:rPr>
      </w:pPr>
      <w:r w:rsidRPr="008725BE">
        <w:rPr>
          <w:rFonts w:ascii="Garamond" w:hAnsi="Garamond"/>
          <w:lang w:val="en-GB"/>
        </w:rPr>
        <w:t>Wir haben auch bereits erkannt, daß eine weitere Differenz der Geschlechter sich auf das Verhältnis zum Ödipuskomplex bezieht. Unser Eindruck ist hier, daß unsere Aussagen über den Ödipuskomplex in voller Strenge nur für das männliche Kind passen und daß wir recht daran haben, den Namen Elektrakomplex abzulehnen, der die Analogie im Verhalten beider Geschlechter betonen will. Die schicksalhafte Beziehung von gleichzeitiger Liebe zu dem einen und Rivalitätshaß gegen den anderen Elternteil stellt sich nur für das männliche Kind her. Bei diesem ist es dann die Entdeckung der Kastrationsmöglichkeit, wie sie durch den Anblick des weiblichen Genitales erwiesen wird, die die Umbildung des Ödipuskomplexes erzwingt, die Schaffung des Über-Ichs herbeiführt und so all die Vorgänge einleitet, die auf die Einreihung des Einzelwesens in die Kulturgemeinschaft abzielen. Nach der Verinnerlichung der Vaterinstanz zum Über-Ich ist die weitere Aufgabe zu lösen, dies letztere von den Personen abzulösen, die es ursprünglich seelisch vertreten hat. Auf diesem merkwürdigen Entwicklungsweg ist gerade das narzißtische Genitalinteresse, das an der Erhaltung des Penis, zur Einschränkung der infantilen Sexualität gewendet worden.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Beim Manne erübrigt vom Einfluß des Kastrationskomplexes auch ein Maß von Geringschätzung für das als kastriert erkannte Weib. Aus dieser entwickelt sich im Extrem eine Hemmung der Objektwahl und bei Unterstützung durch organische Faktoren ausschließliche Homosexualität. Ganz andere sind die Wirkungen des Kastrationskomplexes beim Weib. Das Weib anerkennt die Tatsache seiner Kastration und damit auch die Überlegenheit des Mannes und seine eigene Minderwertigkeit, aber es sträubt sich auch gegen diesen unliebsamen Sachverhalt. Aus dieser zwiespältigen Einstellung leiten sich drei Entwicklungsrichtungen ab. Die erste führt zur allgemeinen Abwendung von der Sexualität. Das kleine Weib, durch den Vergleich mit dem Knaben geschreckt, wird mit seiner Klitoris unzufrieden, verzichtet </w:t>
      </w:r>
      <w:r w:rsidRPr="008725BE">
        <w:rPr>
          <w:rFonts w:ascii="Garamond" w:hAnsi="Garamond"/>
          <w:lang w:val="en-GB"/>
        </w:rPr>
        <w:lastRenderedPageBreak/>
        <w:t xml:space="preserve">auf seine phallische Betätigung und damit auf die Sexualität überhaupt wie auf ein gutes Stück seiner Männlichkeit auf anderen Gebieten. Die zweite Richtung hält in trotziger Selbstbehauptung an der bedrohten Männlichkeit fest; die Hoffnung, noch einmal einen Penis zu bekommen, bleibt bis in unglaublich späte Zeiten aufrecht, wird zum Lebenszweck erhoben, und die Phantasie, trotz alledem ein Mann zu sein, bleibt oft gestaltend für lange Lebensperioden. Auch dieser »Männlichkeitskomplex« des Weibes kann in manifest homosexuelle Objektwahl ausgehen. Erst eine dritte, recht umwegige Entwicklung mündet in die normal weibliche Endgestaltung aus, die den Vater als Objekt nimmt und so die weibliche Form des Ödipuskomplexes findet. Der Ödipuskomplex ist also beim Weib das Endergebnis einer längeren Entwicklung, er wird durch den Einfluß der Kastration nicht zerstört, sondern durch ihn geschaffen, er entgeht den starken feindlichen Einflüssen, die beim Mann zerstörend auf ihn einwirken, ja er wird allzuhäufig vom Weib überhaupt nicht überwunden. Darum sind auch die kulturellen Ergebnisse seines Zerfalls geringfügiger und weniger belangreich. Man geht wahrscheinlich nicht fehl, wenn man aussagt, daß dieser Unterschied in der gegenseitigen Beziehung von Ödipus- und Kastrationskomplex den Charakter des Weibes als soziales Wesen prägt </w:t>
      </w:r>
      <w:hyperlink r:id="rId90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Man kann vorhersehen, daß die Feministen unter den Männern, aber auch unsere weiblichen Analytiker mit diesen Ausführungen nicht einverstanden sein werden. Sie dürften kaum die Einwendung zurückhalten, solche Lehren stammen aus dem »Männlichkeitskomplex« des Mannes und sollen dazu dienen, seiner angeborenen Neigung zur Herabsetzung und Unterdrückung des Weibes eine theoretische Rechtfertigung zu schaffen. Allein eine solche psychoanalytische Argumentation mahnt in diesem Falle, wie so häufig, an den berühmten »Stock mit zwei Enden« Dostojewskis. Die Gegner werden es ihrerseits begreiflich finden, daß das Geschlecht der Frauen nicht annehmen will, was der heiß begehrten Gleichstellung mit dem Manne zu widersprechen scheint. Die agonale Verwendung der Analyse führt offenbar nicht zur Entscheidung.</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Phase der ausschließlichen Mutterbindung, die </w:t>
      </w:r>
      <w:r w:rsidRPr="008725BE">
        <w:rPr>
          <w:rFonts w:ascii="Garamond" w:hAnsi="Garamond"/>
          <w:i/>
          <w:iCs/>
          <w:lang w:val="en-GB"/>
        </w:rPr>
        <w:t>präödipal</w:t>
      </w:r>
      <w:r w:rsidRPr="008725BE">
        <w:rPr>
          <w:rFonts w:ascii="Garamond" w:hAnsi="Garamond"/>
          <w:lang w:val="en-GB"/>
        </w:rPr>
        <w:t xml:space="preserve"> genannt werden kann, beansprucht also beim Weib eine weitaus größere Bedeutung, als ihr beim Mann zukommen kann. Viele Erscheinungen des weiblichen Sexuallebens, die früher dem Verständnis nicht recht zugänglich waren, finden in der Zurückführung auf sie ihre volle Aufklärung. Wir haben z. B. längst bemerkt, daß viele Frauen, die ihren Mann nach dem Vatervorbild gewählt oder ihn an die Vaterstelle gesetzt haben, doch in der Ehe an ihm ihr schlechtes Verhältnis zur Mutter wiederholen. Er sollte die Vaterbeziehung erben, und in Wirklichkeit erbt er die Mutterbeziehung. Das versteht man leicht als einen naheliegenden Fall von Regression. Die Mutterbeziehung war die ursprüngliche, auf sie war die Vaterbindung aufgebaut, und nun kommt in der Ehe das Ursprüngliche aus der Verdrängung zum Vorschein. Die Überschreibung affektiver Bindungen vom Mutter- auf das Vaterobjekt bildete ja den Hauptinhalt der zum Weibtum führenden Entwicklung.</w:t>
      </w:r>
    </w:p>
    <w:p w:rsidR="008725BE" w:rsidRPr="008725BE" w:rsidRDefault="008725BE" w:rsidP="008725BE">
      <w:pPr>
        <w:pStyle w:val="Sansinterligne"/>
        <w:rPr>
          <w:rFonts w:ascii="Garamond" w:hAnsi="Garamond"/>
          <w:lang w:val="en-GB"/>
        </w:rPr>
      </w:pPr>
      <w:r w:rsidRPr="008725BE">
        <w:rPr>
          <w:rFonts w:ascii="Garamond" w:hAnsi="Garamond"/>
          <w:lang w:val="en-GB"/>
        </w:rPr>
        <w:t>Wenn wir bei so vielen Frauen den Eindruck bekommen, daß ihre Reifezeit vom Kampf mit dem Ehemann ausgefüllt wird, wie ihre Jugend im Kampf mit der Mutter verbracht wurde, so werden wir im Licht der vorstehenden Bemerkungen den Schluß ziehen, daß deren feindselige Einstellung zur Mutter nicht eine Folge der Rivalität des Ödipuskomplexes ist, sondern aus der Phase vorher stammt und in der Ödipussituation nur Verstärkung und Verwendung erfahren hat. So wird es auch durch direkte analytische Untersuchung bestätigt. Unser Interesse muß sich den Mechanismen zuwenden, die bei der Abwendung von dem so intensiv und ausschließlich geliebten Mutterobjekt wirksam geworden sind. Wir sind darauf vorbereitet, nicht ein einziges solches Moment, sondern eine ganze Reihe von solchen Momenten zu finden, die zum gleichen Endziel zusammenwirken.</w:t>
      </w:r>
    </w:p>
    <w:p w:rsidR="008725BE" w:rsidRPr="008725BE" w:rsidRDefault="008725BE" w:rsidP="008725BE">
      <w:pPr>
        <w:pStyle w:val="Sansinterligne"/>
        <w:rPr>
          <w:rFonts w:ascii="Garamond" w:hAnsi="Garamond"/>
          <w:lang w:val="en-GB"/>
        </w:rPr>
      </w:pPr>
      <w:r w:rsidRPr="008725BE">
        <w:rPr>
          <w:rFonts w:ascii="Garamond" w:hAnsi="Garamond"/>
          <w:lang w:val="en-GB"/>
        </w:rPr>
        <w:t>Unter ihnen treten einige hervor, die durch die Verhältnisse der infantilen Sexualität überhaupt bedingt sind, also in gleicher Weise für das Liebesleben des Knaben gelten. In erster Linie ist hier die Eifersucht auf andere Personen zu nennen, auf Geschwister, Rivalen, neben denen auch der Vater Platz findet. Die kindliche Liebe ist maßlos, verlangt Ausschließlichkeit, gibt sich nicht mit Anteilen zufrieden. Ein zweiter Charakter ist aber, daß diese Liebe auch eigentlich ziellos, einer vollen Befriedigung unfähig ist, und wesentlich darum ist sie dazu verurteilt, in Enttäuschung auszugehen und einer feindlichen Einstellung Platz zu machen. In späteren Lebenszeiten kann das Ausbleiben einer Endbefriedigung einen anderen Ausgang begünstigen. Dies Moment mag wie bei den zielgehemmten Liebesbeziehungen die ungestörte Fortdauer der Libidobesetzung versichern, aber im Drang der Entwicklungsvorgänge ereignet es sich regelmäßig, daß die Libido die unbefriedigende Position verläßt, um eine neue aufzusuchen.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 anderes weit mehr spezifisches Motiv zur Abwendung von der Mutter ergibt sich aus der Wirkung des Kastrationskomplexes auf das penislose Geschöpf. Irgendeinmal macht das kleine Mädchen die Entdeckung seiner organischen Minderwertigkeit, natürlich früher und leichter, wenn es Brüder hat oder andere Knaben in der Nähe sind. Wir haben schon gehört, welche drei Richtungen sich dann voneinander </w:t>
      </w:r>
      <w:r w:rsidRPr="008725BE">
        <w:rPr>
          <w:rFonts w:ascii="Garamond" w:hAnsi="Garamond"/>
          <w:lang w:val="en-GB"/>
        </w:rPr>
        <w:lastRenderedPageBreak/>
        <w:t xml:space="preserve">scheiden: </w:t>
      </w:r>
      <w:r w:rsidRPr="008725BE">
        <w:rPr>
          <w:rFonts w:ascii="Garamond" w:hAnsi="Garamond"/>
          <w:i/>
          <w:iCs/>
          <w:lang w:val="en-GB"/>
        </w:rPr>
        <w:t>a)</w:t>
      </w:r>
      <w:r w:rsidRPr="008725BE">
        <w:rPr>
          <w:rFonts w:ascii="Garamond" w:hAnsi="Garamond"/>
          <w:lang w:val="en-GB"/>
        </w:rPr>
        <w:t xml:space="preserve"> die zur Einstellung des ganzen Sexuallebens; </w:t>
      </w:r>
      <w:r w:rsidRPr="008725BE">
        <w:rPr>
          <w:rFonts w:ascii="Garamond" w:hAnsi="Garamond"/>
          <w:i/>
          <w:iCs/>
          <w:lang w:val="en-GB"/>
        </w:rPr>
        <w:t>b)</w:t>
      </w:r>
      <w:r w:rsidRPr="008725BE">
        <w:rPr>
          <w:rFonts w:ascii="Garamond" w:hAnsi="Garamond"/>
          <w:lang w:val="en-GB"/>
        </w:rPr>
        <w:t xml:space="preserve"> die zur trotzigen Überbetonung der Männlichkeit; </w:t>
      </w:r>
      <w:r w:rsidRPr="008725BE">
        <w:rPr>
          <w:rFonts w:ascii="Garamond" w:hAnsi="Garamond"/>
          <w:i/>
          <w:iCs/>
          <w:lang w:val="en-GB"/>
        </w:rPr>
        <w:t>c)</w:t>
      </w:r>
      <w:r w:rsidRPr="008725BE">
        <w:rPr>
          <w:rFonts w:ascii="Garamond" w:hAnsi="Garamond"/>
          <w:lang w:val="en-GB"/>
        </w:rPr>
        <w:t> die Ansätze zur endgültigen Weiblichkeit. Genauere Zeitangaben zu machen und typische Verlaufsweisen festzulegen ist hier nicht leicht. Schon der Zeitpunkt der Entdeckung der Kastration ist wechselnd, manche andere Momente scheinen inkonstant und vom Zufall abhängig. Der Zustand der eigenen phallischen Betätigung kommt in Betracht, ebenso ob diese entdeckt wird oder nicht und welches Maß von Verhinderung nach der Entdeckung erlebt wird.</w:t>
      </w:r>
    </w:p>
    <w:p w:rsidR="008725BE" w:rsidRPr="008725BE" w:rsidRDefault="008725BE" w:rsidP="008725BE">
      <w:pPr>
        <w:pStyle w:val="Sansinterligne"/>
        <w:rPr>
          <w:rFonts w:ascii="Garamond" w:hAnsi="Garamond"/>
          <w:lang w:val="en-GB"/>
        </w:rPr>
      </w:pPr>
      <w:r w:rsidRPr="008725BE">
        <w:rPr>
          <w:rFonts w:ascii="Garamond" w:hAnsi="Garamond"/>
          <w:lang w:val="en-GB"/>
        </w:rPr>
        <w:t>Die eigene phallische Betätigung, Masturbation an der Klitoris, wird vom kleinen Mädchen meist spontan gefunden, ist gewiß zunächst phantasielos. Dem Einfluß der Körperpflege an ihrer Erweckung wird durch die so häufige Phantasie Rechnung getragen, die Mutter, Amme oder Kinderfrau zur Verführerin macht. Ob die Onanie der Mädchen seltener und von Anfang an weniger energisch ist als die der Knaben, bleibt dahingestellt; es wäre wohl möglich. Auch wirkliche Verführung ist häufig genug, sie geht entweder von anderen Kindern oder von Pflegepersonen aus, die das Kind beschwichtigen, einschläfern oder von sich abhängig machen wollen. Wo Verführung einwirkt, stört sie regelmäßig den natürlichen Ablauf der Entwicklungsvorgänge; oft hinterläßt sie weitgehende und andauernde Konsequenzen.</w:t>
      </w:r>
    </w:p>
    <w:p w:rsidR="008725BE" w:rsidRPr="008725BE" w:rsidRDefault="008725BE" w:rsidP="008725BE">
      <w:pPr>
        <w:pStyle w:val="Sansinterligne"/>
        <w:rPr>
          <w:rFonts w:ascii="Garamond" w:hAnsi="Garamond"/>
          <w:lang w:val="en-GB"/>
        </w:rPr>
      </w:pPr>
      <w:r w:rsidRPr="008725BE">
        <w:rPr>
          <w:rFonts w:ascii="Garamond" w:hAnsi="Garamond"/>
          <w:lang w:val="en-GB"/>
        </w:rPr>
        <w:t>Das Verbot der Masturbation wird, wie wir gehört haben, zum Anlaß, sie aufzugeben, aber auch zum Motiv der Auflehnung gegen die verbietende Person, also die Mutter oder den Mutterersatz, der später regelmäßig mit ihr verschmilzt. Die trotzige Behauptung der Masturbation scheint den Weg zur Männlichkeit zu eröffnen. Auch wo es dem Kind nicht gelungen ist, die Masturbation zu unterdrücken, zeigt sich die Wirkung des anscheinend machtlosen Verbots in seinem späteren Bestreben, sich mit allen Opfern von der ihm verleideten Befriedigung frei zu machen. Noch die Objektwahl des reifen Mädchens kann von dieser festgehaltenen Absicht beeinflußt werden. Der Groll wegen der Behinderung in der freien sexuellen Betätigung spielt eine große Rolle in der Ablösung von der Mutter. Dasselbe Motiv wird auch nach der Pubertät wieder zur Wirkung kommen, wenn die Mutter ihre Pflicht erkennt, die Keuschheit der Tochter zu behüten. Wir werden natürlich nicht daran vergessen, daß die Mutter der Masturbation des Knaben in gleicher Weise entgegentritt und somit auch ihm ein starkes Motiv zur Auflehnung schafft.</w:t>
      </w:r>
    </w:p>
    <w:p w:rsidR="008725BE" w:rsidRPr="008725BE" w:rsidRDefault="008725BE" w:rsidP="008725BE">
      <w:pPr>
        <w:pStyle w:val="Sansinterligne"/>
        <w:rPr>
          <w:rFonts w:ascii="Garamond" w:hAnsi="Garamond"/>
          <w:lang w:val="en-GB"/>
        </w:rPr>
      </w:pPr>
      <w:r w:rsidRPr="008725BE">
        <w:rPr>
          <w:rFonts w:ascii="Garamond" w:hAnsi="Garamond"/>
          <w:lang w:val="en-GB"/>
        </w:rPr>
        <w:t>Wenn das kleine Mädchen durch den Anblick eines männlichen Genitales seinen eigenen Defekt erfährt, nimmt sie die unerwünschte Belehrung nicht ohne Zögern und ohne Sträuben an. Wie wir gehört haben, wird die Erwartung, auch einmal ein solches Genitale zu bekommen, hartnäckig festgehalten, und der Wunsch danach überlebt die Hoffnung noch um lange Zeit. In allen Fällen hält das Kind die Kastration zunächst nur für ein individuelles Mißgeschick, erst später dehnt es dieselbe auch auf einzelne Kinder, endlich auf einzelne Erwachsene aus. Mit der Einsicht in die Allgemeinheit dieses negativen Charakters stellt sich eine große Entwertung der Weiblichkeit, also auch der Mutter, her.</w:t>
      </w:r>
    </w:p>
    <w:p w:rsidR="008725BE" w:rsidRPr="008725BE" w:rsidRDefault="008725BE" w:rsidP="008725BE">
      <w:pPr>
        <w:pStyle w:val="Sansinterligne"/>
        <w:rPr>
          <w:rFonts w:ascii="Garamond" w:hAnsi="Garamond"/>
          <w:lang w:val="en-GB"/>
        </w:rPr>
      </w:pPr>
      <w:r w:rsidRPr="008725BE">
        <w:rPr>
          <w:rFonts w:ascii="Garamond" w:hAnsi="Garamond"/>
          <w:lang w:val="en-GB"/>
        </w:rPr>
        <w:t>Es ist sehr wohl möglich, daß die vorstehende Schilderung, wie sich das kleine Mädchen gegen den Eindruck der Kastration und das Verbot der Onanie verhält, dem Leser einen verworrenen und widerspruchsvollen Eindruck macht. Das ist nicht ganz die Schuld des Autors. In Wirklichkeit ist eine allgemein zutreffende Darstellung kaum möglich. Bei verschiedenen Individuen findet man die verschiedensten Reaktionen, bei demselben Individuum bestehen die entgegengesetzten Einstellungen nebeneinander. Mit dem ersten Eingreifen des Verbots ist der Konflikt da, der von nun an die Entwicklung der Sexualfunktion begleiten wird. Es bedeutet auch eine besondere Erschwerung der Einsicht, daß man so große Mühe hat, die seelischen Vorgänge dieser ersten Phase von späteren zu unterscheiden, durch die sie überdeckt und für die Erinnerung entstellt werden. So wird z. B. später einmal die Tatsache der Kastration als Strafe für die onanistische Betätigung aufgefaßt, deren Ausführung aber dem Vater zugeschoben, was beides gewiß nicht ursprünglich sein kann. Auch der Knabe befürchtet die Kastration regelmäßig von Seiten des Vaters, obwohl auch bei ihm die Drohung zumeist von der Mutter ausgeht.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Wie dem auch sein mag, am Ende dieser ersten Phase der Mutterbindung taucht als das stärkste Motiv zur Abwendung von der Mutter der Vorwurf auf, daß sie dem Kind kein richtiges Genitale mitgegeben, d. h. es als Weib geboren hat. Nicht ohne Überraschung vernimmt man einen anderen Vorwurf, der etwas weniger weit zurückgreift: die Mutter hat dem Kind zu wenig Milch gegeben, es nicht lange genug genährt. Das mag in unseren kulturellen Verhältnissen recht oft zutreffen, aber gewiß nicht so oft, als es in der Analyse behauptet wird. Es scheint vielmehr, als sei diese Anklage ein Ausdruck der allgemeinen Unzufriedenheit der Kinder, die unter den kulturellen Bedingungen der Monogamie nach sechs bis neun Monaten der Mutterbrust entwöhnt werden, während die primitive Mutter sich zwei bis drei Jahre lang ausschließlich ihrem Kinde widmet, als wären unsere Kinder für immer ungesättigt geblieben, als hätten sie nie lang genug an der Mutterbrust gesogen. Ich bin aber nicht sicher, ob man nicht bei der Analyse von Kindern, die so lange gesäugt worden sind wie die Kinder der Primitiven, auf dieselbe Klage stoßen </w:t>
      </w:r>
      <w:r w:rsidRPr="008725BE">
        <w:rPr>
          <w:rFonts w:ascii="Garamond" w:hAnsi="Garamond"/>
          <w:lang w:val="en-GB"/>
        </w:rPr>
        <w:lastRenderedPageBreak/>
        <w:t>würde. So groß ist die Gier der kindlichen Libido! Überblickt man die ganze Reihe der Motivierungen, welche die Analyse für die Abwendung von der Mutter aufdeckt, daß sie es unterlassen hat, das Mädchen mit dem einzig richtigen Genitale auszustatten, daß sie es ungenügend ernährt hat, es gezwungen hat, die Mutterliebe mit anderen zu teilen, daß sie nie alle Liebeserwartungen erfüllt, und endlich, daß sie die eigene Sexualbetätigung zuerst angeregt und dann verboten hat, so scheinen sie alle zur Rechtfertigung der endlichen Feindseligkeit unzureichend. Die einen von ihnen sind unvermeidliche Abfolgen aus der Natur der infantilen Sexualität, die anderen nehmen sich aus wie später zurechtgemachte Rationalisierungen der unverstandenen Gefühlswandlung. Vielleicht geht es eher so zu, daß die Mutterbindung zugrunde gehen muß, gerade darum, weil sie die erste und so intensiv ist, ähnlich wie man es so oft an den ersten, in stärkster Verliebtheit geschlossenen Ehen der jungen Frauen beobachten kann. Hier wie dort würde die Liebeseinstellung an den unausweichlichen Enttäuschungen und an der Anhäufung der Anlässe zur Aggression scheitern. Zweite Ehen gehen in der Regel weit besser aus.</w:t>
      </w:r>
    </w:p>
    <w:p w:rsidR="008725BE" w:rsidRPr="008725BE" w:rsidRDefault="008725BE" w:rsidP="008725BE">
      <w:pPr>
        <w:pStyle w:val="Sansinterligne"/>
        <w:rPr>
          <w:rFonts w:ascii="Garamond" w:hAnsi="Garamond"/>
          <w:lang w:val="en-GB"/>
        </w:rPr>
      </w:pPr>
      <w:r w:rsidRPr="008725BE">
        <w:rPr>
          <w:rFonts w:ascii="Garamond" w:hAnsi="Garamond"/>
          <w:lang w:val="en-GB"/>
        </w:rPr>
        <w:t>Wir können nicht so weit gehen zu behaupten, daß die Ambivalenz der Gefühlsbesetzungen ein allgemeingültiges psychologisches Gesetz ist, daß es überhaupt unmöglich ist, große Liebe für eine Person zu empfinden, ohne daß sich ein vielleicht ebenso großer Haß hinzugesellt oder umgekehrt. Dem Normalen und Erwachsenen gelingt es ohne Zweifel, beide Einstellungen voneinander zu sondern, sein Liebesobjekt nicht zu hassen und seinen Feind nicht auch lieben zu müssen. Aber das scheint das Ergebnis späterer Entwicklungen. In den ersten Phasen des Liebeslebens ist offenbar die Ambivalenz das Regelrechte. Bei vielen Menschen bleibt dieser archaische Zug über das ganze Leben erhalten, für die Zwangsneurotiker ist es charakteristisch, daß in ihren Objektbeziehungen Liebe und Haß einander die Waage halten. Auch für die Primitiven dürfen wir das Vorwiegen der Ambivalenz behaupten. Die intensive Bindung des kleinen Mädchens an seine Mutter müßte also eine stark ambivalente sein und unter der Mithilfe der anderen Momente gerade durch diese Ambivalenz zur Abwendung von ihr gedrängt werden, also wiederum infolge eines allgemeinen Charakters der infantilen Sexualität.</w:t>
      </w:r>
    </w:p>
    <w:p w:rsidR="008725BE" w:rsidRPr="008725BE" w:rsidRDefault="008725BE" w:rsidP="008725BE">
      <w:pPr>
        <w:pStyle w:val="Sansinterligne"/>
        <w:rPr>
          <w:rFonts w:ascii="Garamond" w:hAnsi="Garamond"/>
          <w:lang w:val="en-GB"/>
        </w:rPr>
      </w:pPr>
      <w:r w:rsidRPr="008725BE">
        <w:rPr>
          <w:rFonts w:ascii="Garamond" w:hAnsi="Garamond"/>
          <w:lang w:val="en-GB"/>
        </w:rPr>
        <w:t>Gegen diesen Erklärungsversuch erhebt sich sofort die Frage: Wie wird es aber den Knaben möglich, ihre gewiß nicht weniger intensive Mutterbindung unangefochten festzuhalten? Ebenso rasch ist die Antwort bereit: Weil es ihnen ermöglicht ist, ihre Ambivalenz gegen die Mutter zu erledigen, indem sie all ihre feindseligen Gefühle beim Vater unterbringen. Aber erstens soll man diese Antwort nicht geben, ehe man die präödipale Phase der Knaben eingehend studiert hat, und zweitens ist es wahrscheinlich überhaupt vorsichtiger, sich einzugestehen, daß man diese Vorgänge, die man eben kennengelernt hat, noch gar nicht gut durchschaut.</w:t>
      </w:r>
    </w:p>
    <w:p w:rsidR="008725BE" w:rsidRPr="008725BE" w:rsidRDefault="008725BE" w:rsidP="008725BE">
      <w:pPr>
        <w:pStyle w:val="Sansinterligne"/>
        <w:rPr>
          <w:rFonts w:ascii="Garamond" w:hAnsi="Garamond"/>
          <w:caps/>
          <w:lang w:val="en-GB"/>
        </w:rPr>
      </w:pPr>
      <w:r w:rsidRPr="008725BE">
        <w:rPr>
          <w:rFonts w:ascii="Garamond" w:hAnsi="Garamond"/>
          <w:caps/>
          <w:lang w:val="en-GB"/>
        </w:rPr>
        <w:t>III</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weitere Frage lautet: Was verlangt das kleine Mädchen von der Mutter? Welcher Art sind seine Sexualziele in jener Zeit der ausschließlichen Mutterbindung? Die Antwort, die man aus dem analytischen Material entnimmt, stimmt ganz mit unseren Erwartungen überein. Die Sexualziele des Mädchens bei der Mutter sind aktiver wie passiver Natur, und sie werden durch die Libidophasen bestimmt, die das Kind durchläuft. </w:t>
      </w:r>
      <w:r w:rsidRPr="008725BE">
        <w:rPr>
          <w:rFonts w:ascii="Garamond" w:hAnsi="Garamond"/>
        </w:rPr>
        <w:t xml:space="preserve">Das Verhältnis der Aktivität zur Passivität verdient hier unser besonderes Interesse. Es ist leicht zu beobachten, daß auf jedem Gebiet des seelischen Erlebens, nicht nur auf dem der Sexualität, ein passiv empfangener Eindruck beim Kind die Tendenz zu einer aktiven Reaktion hervorruft. </w:t>
      </w:r>
      <w:r w:rsidRPr="008725BE">
        <w:rPr>
          <w:rFonts w:ascii="Garamond" w:hAnsi="Garamond"/>
          <w:lang w:val="en-GB"/>
        </w:rPr>
        <w:t>Es versucht, das selbst zu machen, was vorhin an oder mit ihm gemacht worden ist. Es ist das ein Stück der Bewältigungsarbeit an der Außenwelt, die ihm auferlegt ist, und kann selbst dazu führen, daß es sich um die Wiederholung solcher Eindrücke bemüht, die es wegen ihres peinlichen Inhalts zu vermeiden Anlaß hätte. Auch das Kinderspiel wird in den Dienst dieser Absicht gestellt, ein passives Erlebnis durch eine aktive Handlung zu ergänzen und es gleichsam auf diese Art aufzuheben. Wenn der Doktor dem sich sträubenden Kind den Mund geöffnet hat, um ihm in den Hals zu schauen, so wird nach seinem Fortgehen das Kind den Doktor spielen und die gewalttätige Prozedur an einem kleinen Geschwisterchen wiederholen, das ebenso hilflos gegen es ist, wie es selbst gegen den Doktor war. Eine Auflehnung gegen die Passivität und eine Bevorzugung der aktiven Rolle ist dabei unverkennbar. Nicht bei allen Kindern wird diese Schwenkung von der Passivität zur Aktivität gleich regelmäßig und energisch ausfallen, bei manchen mag sie ausbleiben. Aus diesem Verhalten des Kindes mag man einen Schluß auf die relative Stärke der Männlichkeit und Weiblichkeit ziehen, die das Kind in seiner Sexualität an den Tag legen wird.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ersten sexuellen und sexuell mitbetonten Erlebnisse des Kindes bei der Mutter sind natürlich passiver Natur. Es wird von ihr gesäugt, gefüttert, gereinigt, gekleidet und zu allen Verrichtungen angewiesen. Ein Teil der Libido des Kindes bleibt an diesen Erfahrungen haften und genießt die mit ihnen verbundenen Befriedigungen, ein anderer Teil versucht sich an ihrer Umwendung zur Aktivität. An der Mutterbrust wird zuerst das Gesäugtwerden durch das aktive Saugen abgelöst. In den anderen Beziehungen begnügt </w:t>
      </w:r>
      <w:r w:rsidRPr="008725BE">
        <w:rPr>
          <w:rFonts w:ascii="Garamond" w:hAnsi="Garamond"/>
          <w:lang w:val="en-GB"/>
        </w:rPr>
        <w:lastRenderedPageBreak/>
        <w:t>sich das Kind entweder mit der Selbständigkeit, d. h. mit dem Erfolg, daß es selbst ausführt, was bisher mit ihm geschehen ist, oder mit aktiver Wiederholung seiner passiven Erlebnisse im Spiel, oder es macht wirklich die Mutter zum Objekt, gegen das es als tätiges Subjekt auftritt. Das letztere, was auf dem Gebiet der eigentlichen Betätigung vor sich geht, erschien mir lange Zeit hindurch unglaublich, bis die Erfahrung jeden Zweifel daran widerlegte.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 hört selten davon, daß das kleine Mädchen die Mutter waschen, ankleiden oder zur Verrichtung ihrer exkrementellen Bedürfnisse mahnen will. Es sagt zwar gelegentlich: jetzt wollen wir spielen, daß ich die Mutter bin und du das Kind – aber zumeist erfüllt es sich diese aktiven Wünsche in indirekter Weise im Spiel mit der Puppe, in dem es selbst die Mutter darstellt wie die Puppe das Kind. Die Bevorzugung des Spiels mit der Puppe beim Mädchen im Gegensatz zum Knaben wird gewöhnlich als Zeichen der früh erwachten Weiblichkeit aufgefaßt. Nicht mit Unrecht, allein man soll nicht übersehen, daß es die </w:t>
      </w:r>
      <w:r w:rsidRPr="008725BE">
        <w:rPr>
          <w:rFonts w:ascii="Garamond" w:hAnsi="Garamond"/>
          <w:i/>
          <w:iCs/>
          <w:lang w:val="en-GB"/>
        </w:rPr>
        <w:t>Aktivität</w:t>
      </w:r>
      <w:r w:rsidRPr="008725BE">
        <w:rPr>
          <w:rFonts w:ascii="Garamond" w:hAnsi="Garamond"/>
          <w:lang w:val="en-GB"/>
        </w:rPr>
        <w:t xml:space="preserve"> der Weiblichkeit ist, die sich hier äußert, und daß diese Vorliebe des Mädchens wahrscheinlich die Ausschließlichkeit der Bindung an die Mutter bei voller Vernachlässigung des Vaterobjekts bezeugt.</w:t>
      </w:r>
    </w:p>
    <w:p w:rsidR="008725BE" w:rsidRPr="008725BE" w:rsidRDefault="008725BE" w:rsidP="008725BE">
      <w:pPr>
        <w:pStyle w:val="Sansinterligne"/>
        <w:rPr>
          <w:rFonts w:ascii="Garamond" w:hAnsi="Garamond"/>
          <w:lang w:val="en-GB"/>
        </w:rPr>
      </w:pPr>
      <w:r w:rsidRPr="008725BE">
        <w:rPr>
          <w:rFonts w:ascii="Garamond" w:hAnsi="Garamond"/>
          <w:lang w:val="en-GB"/>
        </w:rPr>
        <w:t>Die so überraschende sexuelle Aktivität des Mädchens gegen die Mutter äußert sich der Zeitfolge nach in oralen, sadistischen und endlich selbst phallischen, auf die Mutter gerichteten Strebungen. Die Einzelheiten sind hier schwer zu berichten, denn es handelt sich häufig um dunkle Triebregungen, die das Kind nicht psychisch erfassen konnte zur Zeit, da sie vorfielen, die darum erst eine nachträgliche Interpretation erfahren haben und dann in der Analyse in Ausdrucksweisen auftreten, die ihnen ursprünglich gewiß nicht zukamen. Mitunter begegnen sie uns als Übertragungen auf das spätere Vaterobjekt, wo sie nicht hingehören und das Verständnis empfindlich stören. Die aggressiven oralen und sadistischen Wünsche findet man in der Form, in welche sie durch frühzeitige Verdrängung genötigt werden, als Angst, von der Mutter umgebracht zu werden, die ihrerseits den Todeswunsch gegen die Mutter, wenn er bewußt wird, rechtfertigt. Wie oft diese Angst vor der Mutter sich an eine unbewußte Feindseligkeit der Mutter anlehnt, die das Kind errät, läßt sich nicht angeben. (Die Angst, gefressen zu werden, habe ich bisher nur bei Männern gefunden, sie wird auf den Vater bezogen, ist aber wahrscheinlich das Verwandlungsprodukt der auf die Mutter gerichteten oralen Aggression. Man will die Mutter auffressen, von der man sich genährt hat; beim Vater fehlt für diesen Wunsch der nächste Anlaß.)</w:t>
      </w:r>
    </w:p>
    <w:p w:rsidR="008725BE" w:rsidRPr="008725BE" w:rsidRDefault="008725BE" w:rsidP="008725BE">
      <w:pPr>
        <w:pStyle w:val="Sansinterligne"/>
        <w:rPr>
          <w:rFonts w:ascii="Garamond" w:hAnsi="Garamond"/>
          <w:lang w:val="en-GB"/>
        </w:rPr>
      </w:pPr>
      <w:r w:rsidRPr="008725BE">
        <w:rPr>
          <w:rFonts w:ascii="Garamond" w:hAnsi="Garamond"/>
          <w:lang w:val="en-GB"/>
        </w:rPr>
        <w:t>Die weiblichen Personen mit starker Mutterbindung, an denen ich die präödipale Phase studieren konnte, haben übereinstimmend berichtet, daß sie den Klystieren und Darmeingießungen, die die Mutter bei ihnen vornahm, größten Widerstand entgegenzusetzen und mit Angst und Wutgeschrei darauf zu reagieren pflegten. Dies kann wohl ein sehr häufiges oder selbst regelmäßiges Verhalten der Kinder sein. Die Einsicht in die Begründung dieses besonders heftigen Sträubens gewann ich erst durch eine Bemerkung von Ruth Mack Brunswick, die sich gleichzeitig mit den nämlichen Problemen beschäftigte, sie möchte den Wutausbruch nach dem Klysma dem Orgasmus nach genitaler Reizung vergleichen. Die Angst dabei wäre als Umsetzung der regegemachten Aggressionslust zu verstehen. Ich meine, daß es wirklich so ist und daß auf der sadistisch-analen Stufe die intensive passive Reizung der Darmzone durch einen Ausbruch von Aggressionslust beantwortet wird, die sich direkt als Wut oder infolge ihrer Unterdrückung als Angst kundgibt. Diese Reaktion scheint in späteren Jahren zu versiegen.</w:t>
      </w:r>
    </w:p>
    <w:p w:rsidR="008725BE" w:rsidRPr="008725BE" w:rsidRDefault="008725BE" w:rsidP="008725BE">
      <w:pPr>
        <w:pStyle w:val="Sansinterligne"/>
        <w:rPr>
          <w:rFonts w:ascii="Garamond" w:hAnsi="Garamond"/>
          <w:lang w:val="en-GB"/>
        </w:rPr>
      </w:pPr>
      <w:r w:rsidRPr="008725BE">
        <w:rPr>
          <w:rFonts w:ascii="Garamond" w:hAnsi="Garamond"/>
          <w:lang w:val="en-GB"/>
        </w:rPr>
        <w:t>Unter den passiven Regungen der phallischen Phase hebt sich hervor, daß das Mädchen regelmäßig die Mutter als Verführerin beschuldigt, weil sie die ersten oder doch die stärksten genitalen Empfindungen bei den Vornahmen der Reinigung und Körperpflege durch die Mutter (oder die sie vertretende Pflegeperson) verspüren mußte. Daß das Kind diese Empfindungen gerne mag und die Mutter auffordert, sie durch wiederholte Berührung und Reibung zu verstärken, ist mir oft von Müttern als Beobachtung an ihren zwei- bis dreijährigen Töchterchen mitgeteilt worden. Ich mache die Tatsache, daß die Mutter dem Kind so unvermeidlich die phallische Phase eröffnet, dafür verantwortlich, daß in den Phantasien späterer Jahre so regelmäßig der Vater als der sexuelle Verführer erscheint. Mit der Abwendung von der Mutter ist auch die Einführung ins Geschlechtsleben auf den Vater überschrieben worden.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der phallischen Phase kommen endlich auch intensive </w:t>
      </w:r>
      <w:r w:rsidRPr="008725BE">
        <w:rPr>
          <w:rFonts w:ascii="Garamond" w:hAnsi="Garamond"/>
          <w:i/>
          <w:iCs/>
          <w:lang w:val="en-GB"/>
        </w:rPr>
        <w:t>aktive</w:t>
      </w:r>
      <w:r w:rsidRPr="008725BE">
        <w:rPr>
          <w:rFonts w:ascii="Garamond" w:hAnsi="Garamond"/>
          <w:lang w:val="en-GB"/>
        </w:rPr>
        <w:t xml:space="preserve"> Wunschregungen gegen die Mutter zustande. Die Sexualbetätigung dieser Zeit gipfelt in der Masturbation an der Klitoris, dabei wird wahrscheinlich die Mutter vorgestellt, aber ob es das Kind zur Vorstellung eines Sexualziels bringt und welches dies Ziel ist, ist aus meiner Erfahrung nicht zu erraten. Erst wenn alle Interessen des Kindes durch die Ankunft eines Geschwisterchens einen neuen Antrieb erhalten haben, läßt sich ein solches Ziel klar erkennen. Das kleine Mädchen will der Mutter dies neue Kind gemacht haben, ganz so wie der Knabe, und auch seine Reaktion auf dies Ereignis und sein Benehmen gegen das Kind ist dasselbe. Das klingt ja absurd genug, aber vielleicht nur darum, weil es uns so ungewohnt klingt.</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Die Abwendung von der Mutter ist ein höchst bedeutsamer Schritt auf dem Entwicklungsweg des Mädchens, sie ist mehr als ein bloßer Objektwechsel. Wir haben ihren Hergang und die Häufung ihrer vorgeblichen Motivierungen bereits beschrieben, nun fügen wir hinzu, daß Hand in Hand mit ihr ein starkes Absinken der aktiven und ein Anstieg der passiven Sexualregungen zu beobachten ist. Gewiß sind die aktiven Strebungen stärker von der Versagung betroffen worden, sie haben sich als durchaus unausführbar erwiesen und werden darum auch leichter von der Libido verlassen, aber auch auf Seite der passiven Strebungen hat es an Enttäuschungen nicht gefehlt. Häufig wird mit der Abwendung von der Mutter auch die klitoridische Masturbation eingestellt, oft genug wird mit der Verdrängung der bisherigen Männlichkeit des kleinen Mädchens ein gutes Stück ihres Sexualstrebens überhaupt dauernd geschädigt. Der Übergang zum Vaterobjekt wird mit Hilfe der passiven Strebungen vollzogen, soweit diese dem Umsturz entgangen sind. Der Weg zur Entwicklung der Weiblichkeit ist nun dem Mädchen freigegeben, insoferne er nicht durch die Reste der überwundenen präödipalen Mutterbindung eingeengt ist.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Überblickt man nun das hier beschriebene Stück der weiblichen Sexualentwicklung, so kann man ein bestimmtes Urteil über das Ganze der Weiblichkeit nicht zurückdrängen. Man hat die nämlichen libidinösen Kräfte wirksam gefunden wie beim männlichen Kind, konnte sich überzeugen, daß sie eine Zeitlang hier wie dort dieselben Wege einschlagen und zu den gleichen Ergebnissen kommen.</w:t>
      </w:r>
    </w:p>
    <w:p w:rsidR="008725BE" w:rsidRPr="008725BE" w:rsidRDefault="008725BE" w:rsidP="008725BE">
      <w:pPr>
        <w:pStyle w:val="Sansinterligne"/>
        <w:rPr>
          <w:rFonts w:ascii="Garamond" w:hAnsi="Garamond"/>
          <w:lang w:val="en-GB"/>
        </w:rPr>
      </w:pPr>
      <w:r w:rsidRPr="008725BE">
        <w:rPr>
          <w:rFonts w:ascii="Garamond" w:hAnsi="Garamond"/>
          <w:lang w:val="en-GB"/>
        </w:rPr>
        <w:t>Es sind dann biologische Faktoren, die sie von ihren anfänglichen Zielen ablenken und selbst aktive, in jedem Sinne männliche Strebungen in die Bahnen der Weiblichkeit leiten. Da wir die Zurückführung der Sexualerregung auf die Wirkung bestimmter chemischer Stoffe nicht abweisen können, liegt zuerst die Erwartung nahe, daß uns die Biochemie eines Tages einen Stoff darstellen wird, dessen Gegenwart die männliche, und einen, der die weibliche Sexualerregung hervorruft. Aber diese Hoffnung scheint nicht weniger naiv als die andere, heute glücklich überwundene, unter dem Mikroskop die Erreger von Hysterie, Zwangsneurose, Melancholie usw. gesondert aufzufinden.</w:t>
      </w:r>
    </w:p>
    <w:p w:rsidR="008725BE" w:rsidRPr="008725BE" w:rsidRDefault="008725BE" w:rsidP="008725BE">
      <w:pPr>
        <w:pStyle w:val="Sansinterligne"/>
        <w:rPr>
          <w:rFonts w:ascii="Garamond" w:hAnsi="Garamond"/>
          <w:lang w:val="en-GB"/>
        </w:rPr>
      </w:pPr>
      <w:r w:rsidRPr="008725BE">
        <w:rPr>
          <w:rFonts w:ascii="Garamond" w:hAnsi="Garamond"/>
          <w:lang w:val="en-GB"/>
        </w:rPr>
        <w:t>Es muß auch in der Sexualchemie etwas komplizierter zugehen. Für die Psychologie ist es aber gleichgültig, ob es einen einzigen sexuell erregenden Stoff im Körper gibt oder deren zwei oder eine Unzahl davon. Die Psychoanalyse lehrt uns, mit einer einzigen Libido auszukommen, die allerdings aktive und passive Ziele, also Befriedigungsarten, kennt. In diesem Gegensatz, vor allem in der Existenz von Libidostrebungen mit passiven Zielen, ist der Rest des Problems enthalten.</w:t>
      </w:r>
    </w:p>
    <w:p w:rsidR="008725BE" w:rsidRPr="008725BE" w:rsidRDefault="008725BE" w:rsidP="008725BE">
      <w:pPr>
        <w:pStyle w:val="Sansinterligne"/>
        <w:rPr>
          <w:rFonts w:ascii="Garamond" w:hAnsi="Garamond"/>
          <w:caps/>
          <w:lang w:val="en-GB"/>
        </w:rPr>
      </w:pPr>
      <w:r w:rsidRPr="008725BE">
        <w:rPr>
          <w:rFonts w:ascii="Garamond" w:hAnsi="Garamond"/>
          <w:caps/>
          <w:lang w:val="en-GB"/>
        </w:rPr>
        <w:t>IV</w:t>
      </w:r>
    </w:p>
    <w:p w:rsidR="008725BE" w:rsidRPr="008725BE" w:rsidRDefault="008725BE" w:rsidP="008725BE">
      <w:pPr>
        <w:pStyle w:val="Sansinterligne"/>
        <w:rPr>
          <w:rFonts w:ascii="Garamond" w:hAnsi="Garamond"/>
          <w:lang w:val="en-GB"/>
        </w:rPr>
      </w:pPr>
      <w:r w:rsidRPr="008725BE">
        <w:rPr>
          <w:rFonts w:ascii="Garamond" w:hAnsi="Garamond"/>
          <w:lang w:val="en-GB"/>
        </w:rPr>
        <w:t>Wenn man die analytische Literatur unseres Gegenstandes einsieht, überzeugt man sich, daß alles, was ich hier ausgeführt habe, dort bereits gegeben ist. Es wäre unnötig gewesen, diese Arbeit zu veröffentlichen, wenn nicht auf einem so schwer zugänglichen Gebiet jeder Bericht über eigene Erfahrungen und persönliche Auffassungen wertvoll sein könnte. Auch habe ich manches schärfer gefaßt und sorgfältiger isoliert. In einigen der anderen Abhandlungen wird die Darstellung unübersichtlich infolge der gleichzeitigen Erörterung der Probleme des Über-Ichs und des Schuldgefühls. Dem bin ich ausgewichen, ich habe bei der Beschreibung der verschiedenen Ausgänge dieser Entwicklungsphase auch nicht die Komplikationen behandelt, die sich ergeben, wenn das Kind infolge der Enttäuschung am Vater zur aufgelassenen Mutterbindung zurückkehrt oder nun im Laufe des Lebens wiederholt von einer Einstellung zur anderen herüberwechselt. Aber gerade weil meine Arbeit nur ein Beitrag ist unter anderen, darf ich mir eine eingehende Würdigung der Literatur ersparen und kann mich darauf beschränken, bedeutsamere Übereinstimmungen mit einigen und wichtigere Abweichungen von anderen dieser Arbeiten hervorzuheben.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die eigentlich noch unübertroffene Schilderung Abrahams der ›Äußerungsformen des weiblichen Kastrationskomplexes‹ (1921) möchte man gerne das Moment der anfänglich ausschließlichen Mutterbindung eingefügt wissen. Der wichtigen Arbeit von Jeanne </w:t>
      </w:r>
      <w:hyperlink r:id="rId90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Nach dem Wunsch der Autorin korrigiere ich so ihren Namen, der in der </w:t>
        </w:r>
        <w:r w:rsidRPr="008725BE">
          <w:rPr>
            <w:rStyle w:val="innerfusslink3"/>
            <w:rFonts w:ascii="Garamond" w:hAnsi="Garamond" w:cs="Arial"/>
            <w:b/>
            <w:bCs/>
            <w:i/>
            <w:iCs/>
            <w:lang w:val="en-GB"/>
          </w:rPr>
          <w:t>Zeitschrift</w:t>
        </w:r>
        <w:r w:rsidRPr="008725BE">
          <w:rPr>
            <w:rStyle w:val="innerfusslink3"/>
            <w:rFonts w:ascii="Garamond" w:hAnsi="Garamond" w:cs="Arial"/>
            <w:b/>
            <w:bCs/>
            <w:lang w:val="en-GB"/>
          </w:rPr>
          <w:t xml:space="preserve"> als A. L. de Gr. angeführt ist.</w:t>
        </w:r>
      </w:hyperlink>
      <w:r w:rsidRPr="008725BE">
        <w:rPr>
          <w:rFonts w:ascii="Garamond" w:hAnsi="Garamond"/>
          <w:lang w:val="en-GB"/>
        </w:rPr>
        <w:t xml:space="preserve"> Lampl-de Groot (1927) muß ich in den wesentlichen Punkten zustimmen. Hier wird die volle Identität der präödipalen Phase bei Knaben und Mädchen erkannt, die sexuelle (phallische) Aktivität des Mädchens gegen die Mutter behauptet und durch Beobachtungen erwiesen. Die Abwendung von der Mutter wird auf den Einfluß der zur Kenntnis genommenen Kastration zurückgeführt, die das Kind dazu nötigt, das Sexualobjekt und damit auch oft die Onanie aufzugeben, für die ganze Entwicklung die Formel geprägt, daß das Mädchen eine Phase des »negativen« Ödipuskomplexes durchmacht, ehe sie in den positiven eintreten kann. Eine Unzulänglichkeit dieser Arbeit finde ich darin, daß sie die Abwendung von der Mutter als bloßen Objektwechsel darstellt und nicht darauf eingeht, daß sie sich unter den deutlichsten Zeichen von Feindseligkeit vollzieht. Diese Feindseligkeit findet volle Würdigung in der letzten Arbeit von </w:t>
      </w:r>
      <w:r w:rsidRPr="008725BE">
        <w:rPr>
          <w:rFonts w:ascii="Garamond" w:hAnsi="Garamond"/>
          <w:lang w:val="en-GB"/>
        </w:rPr>
        <w:lastRenderedPageBreak/>
        <w:t xml:space="preserve">Helene Deutsch (1930), woselbst auch die phallische Aktivität des Mädchens und die Intensität seiner Mutterbindung anerkannt werden. H. Deutsch gibt auch an, daß die Wendung zum Vater auf dem Weg der (bereits bei der Mutter rege gewordenen) passiven Strebungen geschieht. In ihrem früher (1925) veröffentlichten Buch </w:t>
      </w:r>
      <w:r w:rsidRPr="008725BE">
        <w:rPr>
          <w:rFonts w:ascii="Garamond" w:hAnsi="Garamond"/>
          <w:i/>
          <w:iCs/>
          <w:lang w:val="en-GB"/>
        </w:rPr>
        <w:t>Psychoanalyse der weiblichen Sexualfunktionen</w:t>
      </w:r>
      <w:r w:rsidRPr="008725BE">
        <w:rPr>
          <w:rFonts w:ascii="Garamond" w:hAnsi="Garamond"/>
          <w:lang w:val="en-GB"/>
        </w:rPr>
        <w:t xml:space="preserve"> hatte die Autorin sich von der Anwendung des Ödipusschemas auch auf die präödipale Phase noch nicht frei gemacht und darum die phallische Aktivität des Mädchens als Identifizierung mit dem Vater gedeutet.</w:t>
      </w:r>
    </w:p>
    <w:p w:rsidR="008725BE" w:rsidRPr="008725BE" w:rsidRDefault="008725BE" w:rsidP="008725BE">
      <w:pPr>
        <w:pStyle w:val="Sansinterligne"/>
        <w:rPr>
          <w:rFonts w:ascii="Garamond" w:hAnsi="Garamond"/>
          <w:lang w:val="en-GB"/>
        </w:rPr>
      </w:pPr>
      <w:r w:rsidRPr="008725BE">
        <w:rPr>
          <w:rFonts w:ascii="Garamond" w:hAnsi="Garamond"/>
          <w:lang w:val="en-GB"/>
        </w:rPr>
        <w:t>Fenichel (1930) betont mit Recht die Schwierigkeit zu erkennen, was von dem in der Analyse erhobenen Material unveränderter Inhalt der präödipalen Phase und was daran regressiv (oder anders) entstellt ist. Er anerkennt die phallische Aktivität des Mädchens nach Jeanne Lampl-de Groot nicht, verwahrt sich auch gegen die von Melanie Klein (1928) vorgenommene »Vorverlegung« des Ödipuskomplexes, dessen Beginn sie schon in den Anfang des zweiten Lebensjahres versetzt. Diese Zeitbestimmung, die notwendigerweise auch die Auffassung aller anderen Verhältnisse der Entwicklung verändert, deckt sich in der Tat nicht mit den Ergebnissen der Analyse an Erwachsenen und ist besonders unvereinbar mit meinen Befunden von der langen Andauer der präödipalen Mutterbindung der Mädchen. Einen Weg zur Milderung dieses Widerspruches weist die Bemerkung, daß wir auf diesem Gebiet noch nicht zu unterscheiden vermögen, was durch biologische Gesetze starr festgelegt und was unter dem Einfluß akzidentellen Erlebens beweglich und veränderlich ist. Wie es von der Wirkung der Verführung längst bekannt ist, können auch andere Momente, der Zeitpunkt der Geburt von Geschwistern, der Zeitpunkt der Entdeckung des Geschlechtsunterschieds, die direkte Beobachtung des Geschlechtsverkehrs, das werbende oder abweisende Benehmen der Eltern u. a., eine Beschleunigung und Reifung der kindlichen Sexualentwicklung herbeiführen.</w:t>
      </w:r>
    </w:p>
    <w:p w:rsidR="008725BE" w:rsidRPr="008725BE" w:rsidRDefault="008725BE" w:rsidP="008725BE">
      <w:pPr>
        <w:pStyle w:val="Sansinterligne"/>
        <w:rPr>
          <w:rFonts w:ascii="Garamond" w:hAnsi="Garamond"/>
          <w:lang w:val="en-GB"/>
        </w:rPr>
      </w:pPr>
      <w:r w:rsidRPr="008725BE">
        <w:rPr>
          <w:rFonts w:ascii="Garamond" w:hAnsi="Garamond"/>
          <w:lang w:val="en-GB"/>
        </w:rPr>
        <w:t>Bei manchen Autoren zeigt sich die Neigung, die Bedeutung der ersten ursprünglichsten Libidoregungen des Kindes zugunsten späterer Entwicklungsvorgänge herabzudrücken, so daß jenen – extrem ausgedrückt – die Rolle verbliebe, nur gewisse Richtungen anzugeben, während die Intensitäten, welche diese Wege einschlagen, von späteren Regressionen und Reaktionsbildungen bestritten werden. So z. B. wenn K. Horney (1926) meint, daß der primäre Penisneid des Mädchens von uns weit überschätzt wird, während die Intensität des später entfalteten Männlichkeitsstrebens einem sekundären Penisneid zuzuschreiben ist, der zur Abwehr der weiblichen Regungen, speziell der weiblichen Bindung an den Vater, gebraucht wird. Das entspricht nicht meinen Eindrücken. So sicher die Tatsache späterer Verstärkungen durch Regression und Reaktionsbildung ist, so schwierig es auch sein mag, die relative Abschätzung der zusammenströmenden Libidokomponenten vorzunehmen, so meine ich doch, wir sollen nicht übersehen, daß jenen ersten Libidoregungen eine Intensität eigen ist, die allen späteren überlegen bleibt, eigentlich inkommensurabel genannt werden darf. Es ist gewiß richtig, daß zwischen der Vaterbindung und dem Männlichkeitskomplex eine Gegensätzlichkeit besteht – es ist der allgemeine Gegensatz zwischen Aktivität und Passivität, Männlichkeit und Weiblichkeit –, aber es gibt uns kein Recht anzunehmen, nur das eine sei primär, das andere verdanke seine Stärke nur der Abwehr. Und wenn die Abwehr gegen die Weiblichkeit so energisch ausfällt, woher kann sie sonst ihre Kraft beziehen als aus dem Männlichkeitsstreben, das seinen ersten Ausdruck im Penisneid des Kindes gefunden hat und darum nach ihm benannt zu werden verdient?</w:t>
      </w:r>
    </w:p>
    <w:p w:rsidR="008725BE" w:rsidRPr="008725BE" w:rsidRDefault="008725BE" w:rsidP="008725BE">
      <w:pPr>
        <w:pStyle w:val="Sansinterligne"/>
        <w:rPr>
          <w:rFonts w:ascii="Garamond" w:hAnsi="Garamond"/>
          <w:lang w:val="en-GB"/>
        </w:rPr>
      </w:pPr>
      <w:r w:rsidRPr="008725BE">
        <w:rPr>
          <w:rFonts w:ascii="Garamond" w:hAnsi="Garamond"/>
          <w:lang w:val="en-GB"/>
        </w:rPr>
        <w:t>Ein ähnlicher Einwand ergibt sich gegen die Auffassung von Jones (1928), nach der das phallische Stadium bei Mädchen eher eine sekundäre Schutzreaktion sein soll als ein wirkliches Entwicklungsstadium. Das entspricht weder den dynamischen noch den zeitlichen Verhältnissen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93" w:name="KS58"/>
        <w:bookmarkEnd w:id="193"/>
        <w:r w:rsidRPr="008725BE">
          <w:rPr>
            <w:rStyle w:val="Lienhypertexte"/>
            <w:rFonts w:ascii="Garamond" w:hAnsi="Garamond"/>
            <w:b/>
            <w:lang w:val="en-GB"/>
          </w:rPr>
          <w:t>er einen besonderen Typus der Objektwahl beim Manne</w:t>
        </w:r>
      </w:hyperlink>
      <w:r w:rsidRPr="008725BE">
        <w:rPr>
          <w:rFonts w:ascii="Garamond" w:hAnsi="Garamond"/>
          <w:lang w:val="en-GB"/>
        </w:rPr>
        <w:t xml:space="preserve">  </w:t>
      </w:r>
      <w:r w:rsidRPr="008725BE">
        <w:rPr>
          <w:rFonts w:ascii="Garamond" w:hAnsi="Garamond"/>
          <w:caps/>
          <w:lang w:val="en-GB"/>
        </w:rPr>
        <w:t>(1910)</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Wir haben es bisher den Dichtern überlassen, uns zu schildern, nach welchen »Liebesbedingungen« die Menschen ihre Objektwahl treffen und wie sie die Anforderungen ihrer Phantasie mit der Wirklichkeit in Einklang bringen. Die Dichter verfügen auch über manche Eigenschaften, welche sie zur Lösung einer solchen Aufgabe befähigen, vor allem über die Feinfühligkeit für die Wahrnehmung verborgener Seelenregungen bei anderen und den Mut, ihr eigenes Unbewußtes laut werden zu lassen. Aber der Erkenntniswert ihrer Mitteilungen wird durch einen Umstand herabgesetzt. Die Dichter sind an die Bedingung gebunden, intellektuelle und ästhetische Lust sowie bestimmte Gefühlswirkungen zu erzielen, und darum können sie den Stoff der Realität nicht unverändert darstellen, sondern müssen Teilstücke desselben isolieren, störende Zusammenhänge auflösen, das Ganze mildern und Fehlendes ersetzen. Es sind dies Vorrechte der sogenannten »poetischen Freiheit«. Auch können sie nur wenig Interesse für die Herkunft und Entwicklung solcher seelischer Zustände äußern, die sie als fertige beschreiben. Somit wird es doch unvermeidlich, daß die Wissenschaft mit plumperen Händen und zu geringerem Lustgewinne sich mit denselben Materien beschäftige, an deren dichterischer Bearbeitung sich die Menschen seit Tausenden von Jahren erfreuen. Diese Bemerkungen mögen zur Rechtfertigung einer streng wissenschaftlichen Bearbeitung auch des menschlichen Liebeslebens dienen. Die Wissenschaft ist eben die vollkommenste Lossagung vom Lustprinzip, die unserer psychischen Arbeit möglich ist.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Während der psychoanalytischen Behandlungen hat man reichlich Gelegenheit, sich Eindrücke aus dem Liebesleben der Neurotiker zu holen, und kann sich dabei erinnern, daß man ähnliches Verhalten auch bei durchschnittlich Gesunden oder selbst bei hervorragenden Menschen beobachtet oder erfahren hat. Durch Häufung der Eindrücke infolge zufälliger Gunst des Materials treten dann einzelne Typen deutlicher hervor. Einen solchen Typus der männlichen Objektwahl will ich hier zuerst beschreiben, weil er sich durch eine Reihe von »Liebesbedingungen« auszeichnet, deren Zusammentreffen nicht verständlich, ja eigentlich befremdend ist, und weil er eine einfache psychoanalytische Aufklärung zuläßt.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(1) Die erste dieser Liebesbedingungen ist als geradezu spezifisch zu bezeichnen; sobald man sie vorfindet, darf man nach dem Vorhandensein der anderen Charaktere dieses Typus suchen. Man kann sie die Bedingung des » </w:t>
      </w:r>
      <w:r w:rsidRPr="008725BE">
        <w:rPr>
          <w:rFonts w:ascii="Garamond" w:hAnsi="Garamond"/>
          <w:i/>
          <w:iCs/>
          <w:lang w:val="en-GB"/>
        </w:rPr>
        <w:t>geschädigten Dritten</w:t>
      </w:r>
      <w:r w:rsidRPr="008725BE">
        <w:rPr>
          <w:rFonts w:ascii="Garamond" w:hAnsi="Garamond"/>
          <w:lang w:val="en-GB"/>
        </w:rPr>
        <w:t>« nennen; ihr Inhalt geht dahin, daß der Betreffende niemals ein Weib zum Liebesobjekt wählt, welches noch frei ist, also ein Mädchen oder eine alleinstehende Frau, sondern nur ein solches Weib, auf das ein anderer Mann als Ehegatte, Verlobter, Freund Eigentumsrechte geltend machen kann. Diese Bedingung zeigt sich in manchen Fällen so unerbittlich, daß dasselbe Weib zuerst übersehen oder selbst verschmäht werden kann, solange es niemandem angehört, während es sofort Gegenstand der Verliebtheit wird, sobald es in eine der genannten Beziehungen zu einem anderen Manne tritt.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(2) Die zweite Bedingung ist vielleicht minder konstant, aber nicht weniger auffällig. Der Typus wird erst durch ihr Zusammentreffen mit der ersten erfüllt, während die erste auch für sich allein in großer Häufigkeit vorzukommen scheint. Diese zweite Bedingung besagt, daß das keusche und unverdächtige Weib niemals den Reiz ausübt, der es zum Liebesobjekt erhebt, sondern nur das irgendwie sexuell anrüchige, an dessen Treue und Verläßlichkeit ein Zweifel gestattet ist. Dieser letztere Charakter mag in einer bedeutungsvollen Reihe variieren, von dem leisen Schatten auf dem Ruf einer dem Flirt nicht abgeneigten Ehefrau bis zur offenkundig polygamen Lebensführung einer Kokotte oder Liebeskünstlerin, aber auf irgend etwas dieser Art wird von den zu unserem Typus Gehörigen nicht verzichtet. Man mag diese Bedingung mit etwas Vergröberung die der » </w:t>
      </w:r>
      <w:r w:rsidRPr="008725BE">
        <w:rPr>
          <w:rFonts w:ascii="Garamond" w:hAnsi="Garamond"/>
          <w:i/>
          <w:iCs/>
          <w:lang w:val="en-GB"/>
        </w:rPr>
        <w:t>Dirnenliebe</w:t>
      </w:r>
      <w:r w:rsidRPr="008725BE">
        <w:rPr>
          <w:rFonts w:ascii="Garamond" w:hAnsi="Garamond"/>
          <w:lang w:val="en-GB"/>
        </w:rPr>
        <w:t>« heißen.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Wie die erste Bedingung Anlaß zur Befriedigung von agonalen, feindseligen Regungen gegen den Mann gibt, dem man das geliebte Weib entreißt, so steht die zweite Bedingung, die der Dirnenhaftigkeit des Weibes, in Beziehung zur Betätigung der </w:t>
      </w:r>
      <w:r w:rsidRPr="008725BE">
        <w:rPr>
          <w:rFonts w:ascii="Garamond" w:hAnsi="Garamond"/>
          <w:i/>
          <w:iCs/>
          <w:lang w:val="en-GB"/>
        </w:rPr>
        <w:t>Eifersucht</w:t>
      </w:r>
      <w:r w:rsidRPr="008725BE">
        <w:rPr>
          <w:rFonts w:ascii="Garamond" w:hAnsi="Garamond"/>
          <w:lang w:val="en-GB"/>
        </w:rPr>
        <w:t xml:space="preserve">, die für Liebende dieses Typus ein Bedürfnis zu sein scheint. Erst wenn sie eifersüchtig sein können, erreicht die Leidenschaft ihre Höhe, gewinnt das Weib seinen vollen Wert, und sie versäumen nie, sich eines Anlasses zu bemächtigen, der ihnen das Erleben dieser stärksten Empfindungen gestattet. Merkwürdigerweise ist es nicht der rechtmäßige Besitzer der Geliebten, gegen den sich diese Eifersucht richtet, sondern neu auftauchende Fremde, mit denen man die Geliebte in Verdacht bringen kann. In grellen Fällen zeigt der Liebende keinen Wunsch, das Weib für sich allein zu besitzen, und scheint sich in dem dreieckigen Verhältnis durchaus wohl zu fühlen. Einer meiner Patienten, der unter den Seitensprüngen seiner Dame entsetzlich gelitten hatte, hatte doch gegen ihre Verheiratung nichts einzuwenden, sondern förderte diese mit allen Mitteln; gegen den Mann zeigte er dann durch Jahre niemals eine Spur von Eifersucht. Ein anderer typischer Fall war in seinen ersten </w:t>
      </w:r>
      <w:r w:rsidRPr="008725BE">
        <w:rPr>
          <w:rFonts w:ascii="Garamond" w:hAnsi="Garamond"/>
          <w:lang w:val="en-GB"/>
        </w:rPr>
        <w:lastRenderedPageBreak/>
        <w:t>Liebesbeziehungen allerdings sehr eifersüchtig gegen den Ehegatten gewesen und hatte die Dame genötigt, den ehelichen Verkehr mit diesem einzustellen; in seinen zahlreichen späteren Verhältnissen benahm er sich aber wie die anderen und faßte den legitimen Mann nicht mehr als Störung auf.</w:t>
      </w:r>
    </w:p>
    <w:p w:rsidR="008725BE" w:rsidRPr="008725BE" w:rsidRDefault="008725BE" w:rsidP="008725BE">
      <w:pPr>
        <w:pStyle w:val="Sansinterligne"/>
        <w:rPr>
          <w:rFonts w:ascii="Garamond" w:hAnsi="Garamond"/>
          <w:lang w:val="en-GB"/>
        </w:rPr>
      </w:pPr>
      <w:r w:rsidRPr="008725BE">
        <w:rPr>
          <w:rFonts w:ascii="Garamond" w:hAnsi="Garamond"/>
          <w:lang w:val="en-GB"/>
        </w:rPr>
        <w:t>Die folgenden Punkte schildern nicht mehr die vom Liebesobjekt geforderten Bedingungen, sondern das Verhalten des Liebenden gegen das Objekt seiner Wahl.</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(3) Im normalen Liebesleben wird der Wert des Weibes durch seine sexuelle Integrität bestimmt und durch die Annäherung an den Charakter der Dirnenhaftigkeit herabgesetzt. Es erscheint daher als eine auffällige Abweichung vom Normalen, daß von den Liebenden unseres Typus die mit diesem Charakter behafteten Frauen als </w:t>
      </w:r>
      <w:r w:rsidRPr="008725BE">
        <w:rPr>
          <w:rFonts w:ascii="Garamond" w:hAnsi="Garamond"/>
          <w:i/>
          <w:iCs/>
          <w:lang w:val="en-GB"/>
        </w:rPr>
        <w:t>höchstwertige Liebesobjekte</w:t>
      </w:r>
      <w:r w:rsidRPr="008725BE">
        <w:rPr>
          <w:rFonts w:ascii="Garamond" w:hAnsi="Garamond"/>
          <w:lang w:val="en-GB"/>
        </w:rPr>
        <w:t xml:space="preserve"> behandelt werden. Die Liebesbeziehungen zu diesen Frauen werden mit dem höchsten psychischen Aufwand bis zur Aufzehrung aller anderen Interessen betrieben; sie sind die einzigen Personen, die man lieben kann, und die Selbstanforderung der Treue wird jedesmal wieder erhoben, sooft sie auch in der Wirklichkeit durchbrochen werden mag. In diesen Zügen der beschriebenen Liebesbeziehungen prägt sich überdeutlich der </w:t>
      </w:r>
      <w:r w:rsidRPr="008725BE">
        <w:rPr>
          <w:rFonts w:ascii="Garamond" w:hAnsi="Garamond"/>
          <w:i/>
          <w:iCs/>
          <w:lang w:val="en-GB"/>
        </w:rPr>
        <w:t>zwanghafte</w:t>
      </w:r>
      <w:r w:rsidRPr="008725BE">
        <w:rPr>
          <w:rFonts w:ascii="Garamond" w:hAnsi="Garamond"/>
          <w:lang w:val="en-GB"/>
        </w:rPr>
        <w:t xml:space="preserve"> Charakter aus, welcher ja in gewissem Grade jedem Falle von Verliebtheit eignet. Man darf aber aus der Treue und Intensität der Bindung nicht die Erwartung ableiten, daß ein einziges solches Liebesverhältnis das Liebesleben der Betreffenden ausfülle oder sich nur einmal innerhalb desselben abspiele. Vielmehr wiederholen sich Leidenschaften dieser Art mit den gleichen Eigentümlichkeiten – die eine das genaue Abbild der anderen – mehrmals im Leben der diesem Typus Angehörigen, ja die Liebesobjekte können nach äußeren Bedingungen, z. B. Wechsel von Aufenthalt und Umgebung, einander so häufig ersetzen, daß es zur </w:t>
      </w:r>
      <w:r w:rsidRPr="008725BE">
        <w:rPr>
          <w:rFonts w:ascii="Garamond" w:hAnsi="Garamond"/>
          <w:i/>
          <w:iCs/>
          <w:lang w:val="en-GB"/>
        </w:rPr>
        <w:t>Bildung einer langen Reihe</w:t>
      </w:r>
      <w:r w:rsidRPr="008725BE">
        <w:rPr>
          <w:rFonts w:ascii="Garamond" w:hAnsi="Garamond"/>
          <w:lang w:val="en-GB"/>
        </w:rPr>
        <w:t xml:space="preserve"> kommt.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(4) Am überraschendsten wirkt auf den Beobachter die bei den Liebenden dieses Typus sich äußernde Tendenz, die Geliebte zu » </w:t>
      </w:r>
      <w:r w:rsidRPr="008725BE">
        <w:rPr>
          <w:rFonts w:ascii="Garamond" w:hAnsi="Garamond"/>
          <w:i/>
          <w:iCs/>
          <w:lang w:val="en-GB"/>
        </w:rPr>
        <w:t>retten</w:t>
      </w:r>
      <w:r w:rsidRPr="008725BE">
        <w:rPr>
          <w:rFonts w:ascii="Garamond" w:hAnsi="Garamond"/>
          <w:lang w:val="en-GB"/>
        </w:rPr>
        <w:t>«. Der Mann ist überzeugt, daß die Geliebte seiner bedarf, daß sie ohne ihn jeden sittlichen Halt verlieren und rasch auf ein bedauernswertes Niveau herabsinken würde. Er rettet sie also, indem er nicht von ihr läßt. Die Rettungsabsicht kann sich in einzelnen Fällen durch die Berufung auf die sexuelle Unverläßlichkeit und die sozial gefährdete Position der Geliebten rechtfertigen; sie tritt aber nicht minder deutlich hervor, wo solche Anlehnungen an die Wirklichkeit fehlen. Einer der zum beschriebenen Typus gehörigen Männer, der seine Damen durch kunstvolle Verführung und spitzfindige Dialektik zu gewinnen verstand, scheute dann im Liebesverhältnis keine Anstrengung, um die jeweilige Geliebte durch selbstverfaßte Traktate auf dem Wege der »Tugend« zu erhalten.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Überblickt man die einzelnen Züge des hier geschilderten Bildes, die Bedingungen der Unfreiheit und der Dirnenhaftigkeit der Geliebten, die hohe Wertung derselben, das Bedürfnis nach Eifersucht, die Treue, die sich doch mit der Auflösung in eine lange Reihe verträgt, und die Rettungsabsicht, so wird man eine Ableitung derselben aus einer einzigen Quelle für wenig wahrscheinlich halten. Und doch ergibt sich eine solche leicht bei psychoanalytischer Vertiefung in die Lebensgeschichte der in Betracht kommenden Personen. Diese eigentümlich bestimmte Objektwahl und das so sonderbare Liebesverhalten haben dieselbe psychische Abkunft wie im Liebesleben des Normalen, sie entspringen aus der infantilen Fixierung der Zärtlichkeit an die Mutter und stellen einen der Ausgänge dieser Fixierung dar. Im normalen Liebesleben erübrigen nur wenige Züge, welche das mütterliche Vorbild der Objektwahl unverkennbar verraten, so zum Beispiel die Vorliebe junger Männer für gereiftere Frauen; die Ablösung der Libido von der Mutter hat sich verhältnismäßig rasch vollzogen. Bei unserem Typus hingegen hat die Libido auch nach dem Eintritt der Pubertät so lange bei der Mutter verweilt, daß den später gewählten Liebesobjekten die mütterlichen Charaktere eingeprägt bleiben, daß diese alle zu leicht kenntlichen Muttersurrogaten werden. Es drängt sich hier der Vergleich mit der Schädelformation des Neugeborenen auf; nach protrahierter Geburt muß der Schädel des Kindes den Ausguß der mütterlichen Beckenenge darstellen.</w:t>
      </w:r>
    </w:p>
    <w:p w:rsidR="008725BE" w:rsidRPr="008725BE" w:rsidRDefault="008725BE" w:rsidP="008725BE">
      <w:pPr>
        <w:pStyle w:val="Sansinterligne"/>
        <w:rPr>
          <w:rFonts w:ascii="Garamond" w:hAnsi="Garamond"/>
          <w:lang w:val="en-GB"/>
        </w:rPr>
      </w:pPr>
      <w:r w:rsidRPr="008725BE">
        <w:rPr>
          <w:rFonts w:ascii="Garamond" w:hAnsi="Garamond"/>
          <w:lang w:val="en-GB"/>
        </w:rPr>
        <w:t>Es obliegt uns nun, wahrscheinlich zu machen, daß die charakteristischen Züge unseres Typus, Liebesbedingungen wie Liebesverhalten, wirklich der mütterlichen Konstellation entspringen. Am leichtesten dürfte dies für die erste Bedingung, die der Unfreiheit des Weibes oder des geschädigten Dritten, gelingen. Man sieht ohne weiteres ein, daß bei dem in der Familie aufwachsenden Kinde die Tatsache, daß die Mutter dem Vater gehört, zum unabtrennbaren Stück des mütterlichen Wesens wird und daß kein anderer als der Vater selbst der geschädigte Dritte ist. Ebenso ungezwungen fügt sich der überschätzende Zug, daß die Geliebte die Einzige, Unersetzliche ist, in den infantilen Zusammenhang ein, denn niemand besitzt mehr als eine Mutter, und die Beziehung zu ihr ruht auf dem Fundament eines jedem Zweifel entzogenen und nicht zu wiederholenden Ereignisses.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die Liebesobjekte bei unserem Typus vor allem Muttersurrogate sein sollen, so wird auch die Reihenbildung verständlich, welche der Bedingung der Treue so direkt zu widersprechen scheint. Die </w:t>
      </w:r>
      <w:r w:rsidRPr="008725BE">
        <w:rPr>
          <w:rFonts w:ascii="Garamond" w:hAnsi="Garamond"/>
          <w:lang w:val="en-GB"/>
        </w:rPr>
        <w:lastRenderedPageBreak/>
        <w:t>Psychoanalyse belehrt uns auch durch andere Beispiele, daß das im Unbewußten wirksame Unersetzliche sich häufig durch die Auflösung in eine unendliche Reihe kundgibt, unendlich darum, weil jedes Surrogat doch die erstrebte Befriedigung vermissen läßt. So erklärt sich die unstillbare Fragelust der Kinder in gewissem Alter daraus, daß sie eine einzige Frage zu stellen haben, die sie nicht über ihre Lippen bringen, die Geschwätzigkeit mancher neurotisch geschädigter Personen aus dem Drucke eines Geheimnisses, das zur Mitteilung drängt und das sie aller Versuchung zum Trotze doch nicht verraten.</w:t>
      </w:r>
    </w:p>
    <w:p w:rsidR="008725BE" w:rsidRPr="008725BE" w:rsidRDefault="008725BE" w:rsidP="008725BE">
      <w:pPr>
        <w:pStyle w:val="Sansinterligne"/>
        <w:rPr>
          <w:rFonts w:ascii="Garamond" w:hAnsi="Garamond"/>
          <w:lang w:val="en-GB"/>
        </w:rPr>
      </w:pPr>
      <w:r w:rsidRPr="008725BE">
        <w:rPr>
          <w:rFonts w:ascii="Garamond" w:hAnsi="Garamond"/>
          <w:lang w:val="en-GB"/>
        </w:rPr>
        <w:t>Dagegen scheint die zweite Liebesbedingung, die der Dirnenhaftigkeit des gewählten Objekts, einer Ableitung aus dem Mutterkomplex energisch zu widerstreben. Dem bewußten Denken des Erwachsenen erscheint die Mutter gern als Persönlichkeit von unantastbarer sittlicher Reinheit, und wenig anderes wirkt, wenn es von außen kommt, so beleidigend oder wird, wenn es von innen aufsteigt, so peinigend empfunden wie ein Zweifel an diesem Charakter der Mutter. Gerade dieses Verhältnis von schärfstem Gegensatze zwischen der »Mutter« und der »Dirne« wird uns aber anregen, die Entwicklungsgeschichte und das unbewußte Verhältnis dieser beiden Komplexe zu erforschen, wenn wir längst erfahren haben, daß im Unbewußten häufig in Eines zusammenfällt, was im Bewußtsein in zwei Gegensätze gespalten vorliegt. Die Untersuchung führt uns dann in die Lebenszeit zurück, in welcher der Knabe zuerst eine vollständigere Kenntnis von den sexuellen Beziehungen zwischen den Erwachsenen gewinnt, etwa in die Jahre der Vorpubertät. Brutale Mitteilungen von unverhüllt herabsetzender und aufrührerischer Tendenz machen ihn da mit dem Geheimnis des Geschlechtslebens bekannt, zerstören die Autorität der Erwachsenen, die sich als unvereinbar mit der Enthüllung ihrer Sexualbetätigung erweist. Was in diesen Eröffnungen den stärksten Einfluß auf den Neueingeweihten nimmt, das ist deren Beziehung zu den eigenen Eltern. Dieselbe wird oft direkt von dem Hörer abgelehnt, etwa mit den Worten: Es ist möglich, daß deine Eltern und andere Leute so etwas miteinander tun, aber von meinen Eltern ist es ganz unmöglich.</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Als selten fehlendes Korollar zur »sexuellen Aufklärung« gewinnt der Knabe auch gleichzeitig die Kenntnis von der Existenz gewisser Frauen, die den geschlechtlichen Akt erwerbsmäßig ausüben und darum allgemein verachtet werden. Ihm selbst muß diese Verachtung ferne sein; er bringt für diese Unglücklichen nur eine Mischung von Sehnsucht und Grausen auf, sobald er weiß, daß auch er von ihnen in das Geschlechtsleben eingeführt werden kann, welches ihm bisher als der ausschließliche Vorbehalt der »Großen« galt. Wenn er dann den Zweifel nicht mehr festhalten kann, der für seine Eltern eine Ausnahme von den häßlichen Normen der Geschlechtsbetätigung fordert, so sagt er sich mit zynischer Korrektheit, daß der Unterschied zwischen der Mutter und der Hure doch nicht so groß sei, daß sie im Grunde das nämliche tun. Die aufklärenden Mitteilungen haben nämlich die Erinnerungsspuren seiner frühinfantilen Eindrücke und Wünsche in ihm geweckt und von diesen aus gewisse seelische Regungen bei ihm wieder zur Aktivität gebracht. Er beginnt die Mutter selbst in dem neugewonnenen Sinne zu begehren und den Vater als Nebenbuhler, der diesem Wunsche im Wege steht, von neuem zu hassen; er gerät, wie wir sagen, unter die Herrschaft des Ödipuskomplexes. </w:t>
      </w:r>
      <w:r w:rsidRPr="008725BE">
        <w:rPr>
          <w:rFonts w:ascii="Garamond" w:hAnsi="Garamond"/>
        </w:rPr>
        <w:t xml:space="preserve">Er vergißt es der Mutter nicht und betrachtet es im Lichte einer Untreue, daß sie die Gunst des sexuellen Verkehres nicht ihm, sondern dem Vater geschenkt hat. Diese Regungen haben, wenn sie nicht rasch vorüberziehen, keinen anderen Ausweg, als sich in Phantasien auszuleben, welche die Sexualbetätigung der Mutter unter den mannigfachsten Verhältnissen zum Inhalte haben, deren Spannung auch besonders leicht zur Lösung im onanistischen Akte führt. Infolge des beständigen Zusammenwirkens der beiden treibenden Motive, der Begehrlichkeit und der Rachsucht, sind Phantasien von der Untreue der Mutter die bei weitem bevorzugten; der Liebhaber, mit dem die Mutter die Untreue begeht, trägt fast immer die Züge des eigenen Ichs, richtiger gesagt, der eigenen, idealisierten, durch Altersreifung auf das Niveau des Vaters gehobenen Persönlichkeit. </w:t>
      </w:r>
      <w:r w:rsidRPr="008725BE">
        <w:rPr>
          <w:rFonts w:ascii="Garamond" w:hAnsi="Garamond"/>
          <w:lang w:val="en-GB"/>
        </w:rPr>
        <w:t>Was ich an anderer Stelle als »Familienroman« geschildert habe, umfaßt die vielfältigen Ausbildungen dieser Phantasietätigkeit und deren Verwebung mit verschiedenen egoistischen Interessen dieser Lebenszeit. Nach Einsicht in dieses Stück seelischer Entwicklung können wir es aber nicht mehr widerspruchsvoll und unbegreiflich finden, daß die Bedingung der Dirnenhaftigkeit der Geliebten sich direkt aus dem Mutterkomplex ableitet. Der von uns beschriebene Typus des männlichen Liebeslebens trägt die Spuren dieser Entwicklungsgeschichte an sich und läßt sich einfach verstehen als Fixierung an die Pubertätsphantasien des Knaben, die späterhin den Ausweg in die Realität des Lebens doch noch gefunden haben. Es macht keine Schwierigkeiten anzunehmen, daß die eifrig geübte Onanie der Pubertätsjahre ihren Beitrag zur Fixierung jener Phantasien geleistet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Mit diesen Phantasien, welche sich zur Beherrschung des realen Liebeslebens aufgeschwungen haben, scheint die Tendenz, die Geliebte zu </w:t>
      </w:r>
      <w:r w:rsidRPr="008725BE">
        <w:rPr>
          <w:rFonts w:ascii="Garamond" w:hAnsi="Garamond"/>
          <w:i/>
          <w:iCs/>
          <w:lang w:val="en-GB"/>
        </w:rPr>
        <w:t>retten</w:t>
      </w:r>
      <w:r w:rsidRPr="008725BE">
        <w:rPr>
          <w:rFonts w:ascii="Garamond" w:hAnsi="Garamond"/>
          <w:lang w:val="en-GB"/>
        </w:rPr>
        <w:t xml:space="preserve">, nur in lockerer, oberflächlicher und durch bewußte Begründung erschöpfbarer Verbindung zu stehen. Die Geliebte bringt sich durch ihre Neigung zur </w:t>
      </w:r>
      <w:r w:rsidRPr="008725BE">
        <w:rPr>
          <w:rFonts w:ascii="Garamond" w:hAnsi="Garamond"/>
          <w:lang w:val="en-GB"/>
        </w:rPr>
        <w:lastRenderedPageBreak/>
        <w:t xml:space="preserve">Unbeständigkeit und Untreue in Gefahren, also ist es begreiflich, daß der Liebende sich bemüht, sie vor diesen Gefahren zu behüten, indem er ihre Tugend überwacht und ihren schlechten Neigungen entgegenarbeitet. Indes zeigt das Studium der Deckerinnerungen, Phantasien und nächtlichen Träume der Menschen, daß hier eine vortrefflich gelungene »Rationalisierung« eines unbewußten Motivs vorliegt, die einer gut geratenen sekundären Bearbeitung im Traume gleichzusetzen ist. In Wirklichkeit hat das </w:t>
      </w:r>
      <w:r w:rsidRPr="008725BE">
        <w:rPr>
          <w:rFonts w:ascii="Garamond" w:hAnsi="Garamond"/>
          <w:i/>
          <w:iCs/>
          <w:lang w:val="en-GB"/>
        </w:rPr>
        <w:t>Rettungsmotiv</w:t>
      </w:r>
      <w:r w:rsidRPr="008725BE">
        <w:rPr>
          <w:rFonts w:ascii="Garamond" w:hAnsi="Garamond"/>
          <w:lang w:val="en-GB"/>
        </w:rPr>
        <w:t xml:space="preserve"> seine eigene Bedeutung und Geschichte und ist ein selbständiger Abkömmling des Mutter- oder, richtiger gesagt, des Elternkomplexes. Wenn das Kind hört, daß es </w:t>
      </w:r>
      <w:r w:rsidRPr="008725BE">
        <w:rPr>
          <w:rFonts w:ascii="Garamond" w:hAnsi="Garamond"/>
          <w:i/>
          <w:iCs/>
          <w:lang w:val="en-GB"/>
        </w:rPr>
        <w:t>sein Leben</w:t>
      </w:r>
      <w:r w:rsidRPr="008725BE">
        <w:rPr>
          <w:rFonts w:ascii="Garamond" w:hAnsi="Garamond"/>
          <w:lang w:val="en-GB"/>
        </w:rPr>
        <w:t xml:space="preserve"> den Eltern </w:t>
      </w:r>
      <w:r w:rsidRPr="008725BE">
        <w:rPr>
          <w:rFonts w:ascii="Garamond" w:hAnsi="Garamond"/>
          <w:i/>
          <w:iCs/>
          <w:lang w:val="en-GB"/>
        </w:rPr>
        <w:t>verdankt</w:t>
      </w:r>
      <w:r w:rsidRPr="008725BE">
        <w:rPr>
          <w:rFonts w:ascii="Garamond" w:hAnsi="Garamond"/>
          <w:lang w:val="en-GB"/>
        </w:rPr>
        <w:t xml:space="preserve">, daß ihm die Mutter » </w:t>
      </w:r>
      <w:r w:rsidRPr="008725BE">
        <w:rPr>
          <w:rFonts w:ascii="Garamond" w:hAnsi="Garamond"/>
          <w:i/>
          <w:iCs/>
          <w:lang w:val="en-GB"/>
        </w:rPr>
        <w:t>das Leben geschenkt</w:t>
      </w:r>
      <w:r w:rsidRPr="008725BE">
        <w:rPr>
          <w:rFonts w:ascii="Garamond" w:hAnsi="Garamond"/>
          <w:lang w:val="en-GB"/>
        </w:rPr>
        <w:t xml:space="preserve">« hat, so vereinen sich bei ihm zärtliche mit großmannssüchtigen, nach Selbständigkeit ringenden Regungen, um den Wunsch entstehen zu lassen, den Eltern dieses Geschenk zurückzuerstatten, es ihnen durch ein gleichwertiges zu vergelten. Es ist, wie wenn der Trotz des Knaben sagen wollte: Ich brauche nichts vom Vater, ich will ihm alles zurückgeben, was ich ihn gekostet habe. Er bildet dann die Phantasie, </w:t>
      </w:r>
      <w:r w:rsidRPr="008725BE">
        <w:rPr>
          <w:rFonts w:ascii="Garamond" w:hAnsi="Garamond"/>
          <w:i/>
          <w:iCs/>
          <w:lang w:val="en-GB"/>
        </w:rPr>
        <w:t>den Vater aus einer Lebensgefahr zu retten</w:t>
      </w:r>
      <w:r w:rsidRPr="008725BE">
        <w:rPr>
          <w:rFonts w:ascii="Garamond" w:hAnsi="Garamond"/>
          <w:lang w:val="en-GB"/>
        </w:rPr>
        <w:t xml:space="preserve">, wodurch er mit ihm quitt wird, und diese Phantasie verschiebt sich häufig genug auf den Kaiser, König oder sonst einen großen Herrn und wird nach dieser Entstellung bewußtseinsfähig und selbst für den Dichter verwertbar. In der Anwendung auf den Vater überwiegt bei weitem der trotzige Sinn der Rettungsphantasie, der Mutter wendet sie meist ihre zärtliche Bedeutung zu. Die Mutter hat dem Kinde das Leben geschenkt, und es ist nicht leicht, dies eigenartige Geschenk durch etwas Gleichwertiges zu ersetzen. Bei geringem Bedeutungswandel, wie er im Unbewußten erleichtert ist – was man etwa dem bewußten Ineinanderfließen der Begriffe gleichstellen kann –, gewinnt das Retten der Mutter die Bedeutung von: ihr ein Kind schenken oder machen, natürlich ein Kind, wie man selbst ist. Die Entfernung vom ursprünglichen Sinne der Rettung ist keine allzu große, der Bedeutungswandel kein willkürlicher. Die Mutter hat einem ein Leben geschenkt, das eigene, und man schenkt ihr dafür ein anderes Leben, das eines Kindes, das mit dem eigenen Selbst die größte Ähnlichkeit hat. Der Sohn erweist sich dankbar, indem er sich wünscht, von der Mutter einen Sohn zu haben, der ihm selbst gleich ist, das heißt, in der Rettungsphantasie identifiziert er sich völlig mit dem Vater. Alle Triebe, die zärtlichen, dankbaren, lüsternen, trotzigen, selbstherrlichen, sind durch den einen Wunsch befriedigt, </w:t>
      </w:r>
      <w:r w:rsidRPr="008725BE">
        <w:rPr>
          <w:rFonts w:ascii="Garamond" w:hAnsi="Garamond"/>
          <w:i/>
          <w:iCs/>
          <w:lang w:val="en-GB"/>
        </w:rPr>
        <w:t>sein eigener Vater zu sein</w:t>
      </w:r>
      <w:r w:rsidRPr="008725BE">
        <w:rPr>
          <w:rFonts w:ascii="Garamond" w:hAnsi="Garamond"/>
          <w:lang w:val="en-GB"/>
        </w:rPr>
        <w:t>. Auch das Moment der Gefahr ist bei dem Bedeutungswandel nicht verlorengegangen; der Geburtsakt selbst ist nämlich die Gefahr, aus der man durch die Anstrengung der Mutter gerettet wurde. Die Geburt ist ebenso die allererste Lebensgefahr wie das Vorbild aller späteren, vor denen wir Angst empfinden, und das Erleben der Geburt hat uns wahrscheinlich den Affektausdruck, den wir Angst heißen, hinterlassen. Der Macduff der schottischen Sage, den seine Mutter nicht geboren hatte, der aus seiner Mutter Leib geschnitten wurde, hat darum auch die Angst nicht gekannt.</w:t>
      </w:r>
    </w:p>
    <w:p w:rsidR="008725BE" w:rsidRPr="008725BE" w:rsidRDefault="008725BE" w:rsidP="008725BE">
      <w:pPr>
        <w:pStyle w:val="Sansinterligne"/>
        <w:rPr>
          <w:rFonts w:ascii="Garamond" w:hAnsi="Garamond"/>
          <w:lang w:val="en-GB"/>
        </w:rPr>
      </w:pPr>
      <w:r w:rsidRPr="008725BE">
        <w:rPr>
          <w:rFonts w:ascii="Garamond" w:hAnsi="Garamond"/>
          <w:lang w:val="en-GB"/>
        </w:rPr>
        <w:t>Der alte Traumdeuter Artemidoros hatte sicherlich recht mit der Behauptung, der Traum wandle seinen Sinn je nach der Person des Träumers. Nach den für den Ausdruck unbewußter Gedanken geltenden Gesetzen kann das »Retten« seine Bedeutung variieren, je nachdem es von einer Frau oder von einem Manne phantasiert wird. Es kann ebensowohl bedeuten: ein Kind machen = zur Geburt bringen (für den Mann) wie: selbst ein Kind gebären (für die Frau).</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Insbesondere in der Zusammensetzung mit dem Wasser lassen sich diese verschiedenen Bedeutungen des Rettens in Träumen und Phantasien deutlich erkennen. Wenn ein Mann im Traume eine Frau aus dem Wasser rettet, so heißt das: er macht sie zur Mutter, was nach den vorstehenden Erörterungen gleichsinnig ist dem Inhalte: er macht sie zu seiner Mutter. Wenn eine Frau einen anderen (ein Kind) aus dem Wasser rettet, so bekennt sie sich damit wie die Königstochter in der Mosessage </w:t>
      </w:r>
      <w:hyperlink r:id="rId90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Rank (1909).</w:t>
        </w:r>
      </w:hyperlink>
      <w:r w:rsidRPr="008725BE">
        <w:rPr>
          <w:rFonts w:ascii="Garamond" w:hAnsi="Garamond"/>
          <w:lang w:val="en-GB"/>
        </w:rPr>
        <w:t xml:space="preserve"> als seine Mutter, die ihn geboren hat.</w:t>
      </w:r>
    </w:p>
    <w:p w:rsidR="008725BE" w:rsidRPr="008725BE" w:rsidRDefault="008725BE" w:rsidP="008725BE">
      <w:pPr>
        <w:pStyle w:val="Sansinterligne"/>
        <w:rPr>
          <w:rFonts w:ascii="Garamond" w:hAnsi="Garamond"/>
          <w:lang w:val="en-GB"/>
        </w:rPr>
      </w:pPr>
      <w:r w:rsidRPr="008725BE">
        <w:rPr>
          <w:rFonts w:ascii="Garamond" w:hAnsi="Garamond"/>
          <w:lang w:val="en-GB"/>
        </w:rPr>
        <w:t>Gelegentlich enthält auch die auf den Vater gerichtete Rettungsphantasie einen zärtlichen Sinn. Sie will dann den Wunsch ausdrücken, den Vater zum Sohne zu haben, das heißt einen Sohn zu haben, der so ist wie der Vater. Wegen all dieser Beziehungen des Rettungsmotivs zum Elternkomplex bildet die Tendenz, die Geliebte zu retten, einen wesentlichen Zug des hier beschriebenen Liebestypus.</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halte es nicht für notwendig, meine Arbeitsweise zu rechtfertigen, die hier wie bei der Aufstellung der </w:t>
      </w:r>
      <w:r w:rsidRPr="008725BE">
        <w:rPr>
          <w:rFonts w:ascii="Garamond" w:hAnsi="Garamond"/>
          <w:i/>
          <w:iCs/>
          <w:lang w:val="en-GB"/>
        </w:rPr>
        <w:t>Analerotik</w:t>
      </w:r>
      <w:r w:rsidRPr="008725BE">
        <w:rPr>
          <w:rFonts w:ascii="Garamond" w:hAnsi="Garamond"/>
          <w:lang w:val="en-GB"/>
        </w:rPr>
        <w:t xml:space="preserve"> darauf hinausgeht, aus dem Beobachtungsmaterial zunächst extreme und scharf umschriebene Typen herauszuheben. Es gibt in beiden Fällen weit zahlreichere Individuen, in denen nur einzelne Züge dieses Typus oder diese nur in unscharfer Ausprägung festzustellen sind, und es ist selbstverständlich, daß erst die Darlegung des ganzen Zusammenhanges, in den diese Typen aufgenommen sind, deren richtige Würdigung ermöglicht.</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94" w:name="KS59"/>
        <w:bookmarkEnd w:id="194"/>
        <w:r w:rsidRPr="008725BE">
          <w:rPr>
            <w:rStyle w:val="Lienhypertexte"/>
            <w:rFonts w:ascii="Garamond" w:hAnsi="Garamond"/>
            <w:b/>
            <w:lang w:val="en-GB"/>
          </w:rPr>
          <w:t>er einige neurotische Mechanismen bei Eifersucht, Paranoia und Homosexualität</w:t>
        </w:r>
      </w:hyperlink>
      <w:r w:rsidRPr="008725BE">
        <w:rPr>
          <w:rFonts w:ascii="Garamond" w:hAnsi="Garamond"/>
          <w:lang w:val="en-GB"/>
        </w:rPr>
        <w:t xml:space="preserve">  </w:t>
      </w:r>
      <w:r w:rsidRPr="008725BE">
        <w:rPr>
          <w:rFonts w:ascii="Garamond" w:hAnsi="Garamond"/>
          <w:caps/>
          <w:lang w:val="en-GB"/>
        </w:rPr>
        <w:t>(1922)</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A</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Eifersucht gehört zu den Affektzuständen, die man ähnlich wie die Trauer als normal bezeichnen darf. Wo sie im Charakter und Benehmen eines Menschen zu fehlen scheint, ist der Schluß gerechtfertigt, daß sie einer starken Verdrängung erlegen ist und darum im unbewußten Seelenleben eine um so größere Rolle spielt. Die Fälle von abnorm verstärkter Eifersucht, mit denen die Analyse zu tun bekommt, erweisen sich als dreifach geschichtet. Die drei Schichten oder Stufen der Eifersucht verdienen die Namen der 1.  </w:t>
      </w:r>
      <w:r w:rsidRPr="008725BE">
        <w:rPr>
          <w:rFonts w:ascii="Garamond" w:hAnsi="Garamond"/>
          <w:i/>
          <w:iCs/>
          <w:lang w:val="en-GB"/>
        </w:rPr>
        <w:t>konkurrierenden</w:t>
      </w:r>
      <w:r w:rsidRPr="008725BE">
        <w:rPr>
          <w:rFonts w:ascii="Garamond" w:hAnsi="Garamond"/>
          <w:lang w:val="en-GB"/>
        </w:rPr>
        <w:t xml:space="preserve"> oder normalen, 2. der </w:t>
      </w:r>
      <w:r w:rsidRPr="008725BE">
        <w:rPr>
          <w:rFonts w:ascii="Garamond" w:hAnsi="Garamond"/>
          <w:i/>
          <w:iCs/>
          <w:lang w:val="en-GB"/>
        </w:rPr>
        <w:t>projizierten</w:t>
      </w:r>
      <w:r w:rsidRPr="008725BE">
        <w:rPr>
          <w:rFonts w:ascii="Garamond" w:hAnsi="Garamond"/>
          <w:lang w:val="en-GB"/>
        </w:rPr>
        <w:t xml:space="preserve">, 3. der </w:t>
      </w:r>
      <w:r w:rsidRPr="008725BE">
        <w:rPr>
          <w:rFonts w:ascii="Garamond" w:hAnsi="Garamond"/>
          <w:i/>
          <w:iCs/>
          <w:lang w:val="en-GB"/>
        </w:rPr>
        <w:t>wahnhaften</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Über die </w:t>
      </w:r>
      <w:r w:rsidRPr="008725BE">
        <w:rPr>
          <w:rFonts w:ascii="Garamond" w:hAnsi="Garamond"/>
          <w:i/>
          <w:iCs/>
          <w:lang w:val="en-GB"/>
        </w:rPr>
        <w:t>normale</w:t>
      </w:r>
      <w:r w:rsidRPr="008725BE">
        <w:rPr>
          <w:rFonts w:ascii="Garamond" w:hAnsi="Garamond"/>
          <w:lang w:val="en-GB"/>
        </w:rPr>
        <w:t xml:space="preserve"> Eifersucht ist analytisch wenig zu sagen. Es ist leicht zu sehen, daß sie sich wesentlich zusammensetzt aus der Trauer, dem Schmerz um das verlorengeglaubte Liebesobjekt, und der narzißtischen Kränkung, soweit sich diese vom anderen sondern läßt, ferner aus feindseligen Gefühlen gegen den bevorzugten Rivalen und aus einem mehr oder minder großen Beitrag von Selbstkritik, die das eigene Ich für den Liebesverlust verantwortlich machen will. Diese Eifersucht ist, wenn wir sie auch normal heißen, keineswegs durchaus rationell, das heißt aus aktuellen Beziehungen entsprungen, den wirklichen Verhältnissen proportional und restlos vom bewußten Ich beherrscht, denn sie wurzelt tief im Unbewußten, setzt früheste Regungen der kindlichen Affektivität fort und stammt aus dem Ödipus- oder aus dem Geschwisterkomplex der ersten Sexualperiode. Es ist immerhin bemerkenswert, daß sie von manchen Personen bisexuell erlebt wird, das heißt beim Manne wird außer dem Schmerz um das geliebte Weib und dem Haß gegen den männlichen Rivalen auch Trauer um den unbewußt geliebten Mann und Haß gegen das Weib als Rivalin bei ihm zur Verstärkung wirksam. Ich weiß auch von einem Manne, der sehr arg unter seinen Eifersuchtsanfällen litt und die nach seinen Angaben ärgsten Qualen in der bewußten Versetzung in das ungetreue Weib durchmachte. Die Empfindung der Hilflosigkeit, die er dann verspürte, die Bilder, die er für seinen Zustand fand, als ob er wie Prometheus dem Geierfraß preisgegeben oder gefesselt in ein Schlangennest geworfen worden wäre, bezog er selbst auf den Eindruck mehrerer homosexueller Angriffe, die er als Knabe erlebt hatte.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Eifersucht der zweiten Schicht oder die </w:t>
      </w:r>
      <w:r w:rsidRPr="008725BE">
        <w:rPr>
          <w:rFonts w:ascii="Garamond" w:hAnsi="Garamond"/>
          <w:i/>
          <w:iCs/>
          <w:lang w:val="en-GB"/>
        </w:rPr>
        <w:t>projizierte</w:t>
      </w:r>
      <w:r w:rsidRPr="008725BE">
        <w:rPr>
          <w:rFonts w:ascii="Garamond" w:hAnsi="Garamond"/>
          <w:lang w:val="en-GB"/>
        </w:rPr>
        <w:t xml:space="preserve"> geht beim Manne wie beim Weibe aus der eigenen, im Leben betätigten Untreue oder aus Antrieben zur Untreue hervor, die der Verdrängung verfallen sind. Es ist eine alltägliche Erfahrung, daß die Treue, zumal die in der Ehe geforderte, nur gegen beständige Versuchungen aufrechterhalten werden kann. »Wer dieselben in sich verleugnet, verspürt deren Andrängen doch so stark, daß er gerne einen unbewußten Mechanismus zu seiner Erleichterung in Anspruch nimmt. Eine solche Erleichterung, ja einen Freispruch vor seinem Gewissen erreicht er, wenn er die eigenen Antriebe zur Untreue auf die andere Partei, welcher er die Treue schuldig ist, projiziert. Dieses starke Motiv kann sich dann des Wahrnehmungsmaterials bedienen, welches die gleichartigen unbewußten Regungen des anderen Teiles verrät, und könnte sich durch die Überlegung rechtfertigen, daß der Partner oder die Partnerin wahrscheinlich auch nicht viel besser ist als man selbst </w:t>
      </w:r>
      <w:hyperlink r:id="rId90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die Strophe im Liede der Desdemona: </w:t>
        </w:r>
        <w:r w:rsidRPr="008725BE">
          <w:rPr>
            <w:rFonts w:ascii="Garamond" w:hAnsi="Garamond"/>
            <w:lang w:val="en-GB"/>
          </w:rPr>
          <w:br/>
        </w:r>
        <w:r w:rsidRPr="008725BE">
          <w:rPr>
            <w:rFonts w:ascii="Garamond" w:hAnsi="Garamond"/>
            <w:lang w:val="en-GB"/>
          </w:rPr>
          <w:br/>
        </w:r>
        <w:r w:rsidRPr="008725BE">
          <w:rPr>
            <w:rStyle w:val="innerfusslink3"/>
            <w:rFonts w:ascii="Garamond" w:hAnsi="Garamond" w:cs="Arial"/>
            <w:b/>
            <w:bCs/>
            <w:i/>
            <w:iCs/>
            <w:lang w:val="en-GB"/>
          </w:rPr>
          <w:t>Icalled my love false love; but what said he then?</w:t>
        </w:r>
        <w:r w:rsidRPr="008725BE">
          <w:rPr>
            <w:rFonts w:ascii="Garamond" w:hAnsi="Garamond"/>
            <w:lang w:val="en-GB"/>
          </w:rPr>
          <w:br/>
        </w:r>
        <w:r w:rsidRPr="008725BE">
          <w:rPr>
            <w:rStyle w:val="innerfusslink3"/>
            <w:rFonts w:ascii="Garamond" w:hAnsi="Garamond" w:cs="Arial"/>
            <w:b/>
            <w:bCs/>
            <w:i/>
            <w:iCs/>
            <w:lang w:val="en-GB"/>
          </w:rPr>
          <w:t>If I court moe women, you'll couch with moe men.</w:t>
        </w:r>
        <w:r w:rsidRPr="008725BE">
          <w:rPr>
            <w:rFonts w:ascii="Garamond" w:hAnsi="Garamond"/>
            <w:lang w:val="en-GB"/>
          </w:rPr>
          <w:br/>
        </w:r>
        <w:r w:rsidRPr="008725BE">
          <w:rPr>
            <w:rStyle w:val="innerfusslink3"/>
            <w:rFonts w:ascii="Garamond" w:hAnsi="Garamond" w:cs="Arial"/>
            <w:b/>
            <w:bCs/>
            <w:lang w:val="en-GB"/>
          </w:rPr>
          <w:t xml:space="preserve">(Ich nannt' ihn: Du Falscher. Was sagt er dazu? </w:t>
        </w:r>
        <w:r w:rsidRPr="008725BE">
          <w:rPr>
            <w:rFonts w:ascii="Garamond" w:hAnsi="Garamond"/>
            <w:lang w:val="en-GB"/>
          </w:rPr>
          <w:br/>
        </w:r>
        <w:r w:rsidRPr="008725BE">
          <w:rPr>
            <w:rStyle w:val="innerfusslink3"/>
            <w:rFonts w:ascii="Garamond" w:hAnsi="Garamond" w:cs="Arial"/>
            <w:b/>
            <w:bCs/>
            <w:lang w:val="en-GB"/>
          </w:rPr>
          <w:t>Schau ich nach den Mägdlein, nach den Büblein schielst du.)</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Die gesellschaftlichen Sitten haben diesem allgemeinen Sachverhalt in kluger Weise Rechnung getragen, indem sie der Gefallsucht der verheirateten Frau und der Eroberungssucht des Ehemannes einen gewissen Spielraum gestatten in der Erwartung, die unabweisbare Neigung zur Untreue dadurch zu drainieren und unschädlich zu machen. Die Konvention setzt fest, daß beide Teile diese kleinen Schrittchen in der Richtung der Untreue einander nicht anzurechnen haben, und erreicht zumeist, daß die am fremden Objekt entzündete Begierde in einer gewissen Rückkehr zur Treue am eigenen Objekt befriedigt wird. Der Eifersüchtige will aber diese konventionelle Toleranz nicht anerkennen, er glaubt nicht, daß es ein Stillhalten oder Umkehren auf dem einmal betretenen Weg gibt, daß der gesellschaftliche »Flirt« auch eine Versicherung gegen wirkliche Untreue sein kann. In der Behandlung eines solchen Eifersüchtigen muß man es vermeiden, ihm das Material, auf das er sich stützt, zu bestreiten, man kann ihn nur zu einer anderen Einschätzung desselben bestimmen wollen.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durch solche Projektion entstandene Eifersucht hat zwar fast wahnhaften Charakter, sie widersteht aber nicht der analytischen Arbeit, welche die unbewußten Phantasien der eigenen Untreue aufdeckt. Schlimmer ist es mit der Eifersucht der dritten Schicht, der eigentlich </w:t>
      </w:r>
      <w:r w:rsidRPr="008725BE">
        <w:rPr>
          <w:rFonts w:ascii="Garamond" w:hAnsi="Garamond"/>
          <w:i/>
          <w:iCs/>
          <w:lang w:val="en-GB"/>
        </w:rPr>
        <w:t>wahnhaften</w:t>
      </w:r>
      <w:r w:rsidRPr="008725BE">
        <w:rPr>
          <w:rFonts w:ascii="Garamond" w:hAnsi="Garamond"/>
          <w:lang w:val="en-GB"/>
        </w:rPr>
        <w:t xml:space="preserve">. Auch diese geht aus </w:t>
      </w:r>
      <w:r w:rsidRPr="008725BE">
        <w:rPr>
          <w:rFonts w:ascii="Garamond" w:hAnsi="Garamond"/>
          <w:lang w:val="en-GB"/>
        </w:rPr>
        <w:lastRenderedPageBreak/>
        <w:t xml:space="preserve">verdrängten Untreuestrebungen hervor, aber die Objekte dieser Phantasien sind gleichgeschlechtlicher Art. Die wahnhafte Eifersucht entspricht einer vergorenen Homosexualität und behauptet mit Recht ihren Platz unter den klassischen Formen der Paranoia. Als Versuch zur Abwehr einer überstarken homosexuellen Regung wäre sie (beim Manne) durch die Formel zu umschreiben: </w:t>
      </w:r>
      <w:r w:rsidRPr="008725BE">
        <w:rPr>
          <w:rFonts w:ascii="Garamond" w:hAnsi="Garamond"/>
          <w:i/>
          <w:iCs/>
          <w:lang w:val="en-GB"/>
        </w:rPr>
        <w:t>Ich</w:t>
      </w:r>
      <w:r w:rsidRPr="008725BE">
        <w:rPr>
          <w:rFonts w:ascii="Garamond" w:hAnsi="Garamond"/>
          <w:lang w:val="en-GB"/>
        </w:rPr>
        <w:t xml:space="preserve"> liebe ihn ja nicht, </w:t>
      </w:r>
      <w:r w:rsidRPr="008725BE">
        <w:rPr>
          <w:rFonts w:ascii="Garamond" w:hAnsi="Garamond"/>
          <w:i/>
          <w:iCs/>
          <w:lang w:val="en-GB"/>
        </w:rPr>
        <w:t>sie</w:t>
      </w:r>
      <w:r w:rsidRPr="008725BE">
        <w:rPr>
          <w:rFonts w:ascii="Garamond" w:hAnsi="Garamond"/>
          <w:lang w:val="en-GB"/>
        </w:rPr>
        <w:t xml:space="preserve"> liebt ihn </w:t>
      </w:r>
      <w:hyperlink r:id="rId90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die Ausführungen zum Falle Schreber (1911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In einem Falle von Eifersuchtswahn wird man darauf vorbereitet sein, die Eifersucht aus allen drei Schichten zu finden, niemals die aus der dritten allein.</w:t>
      </w:r>
    </w:p>
    <w:p w:rsidR="008725BE" w:rsidRPr="008725BE" w:rsidRDefault="008725BE" w:rsidP="008725BE">
      <w:pPr>
        <w:pStyle w:val="Sansinterligne"/>
        <w:rPr>
          <w:rFonts w:ascii="Garamond" w:hAnsi="Garamond"/>
          <w:lang w:val="en-GB"/>
        </w:rPr>
      </w:pPr>
      <w:r w:rsidRPr="008725BE">
        <w:rPr>
          <w:rFonts w:ascii="Garamond" w:hAnsi="Garamond"/>
          <w:lang w:val="en-GB"/>
        </w:rPr>
        <w:t>B</w:t>
      </w:r>
    </w:p>
    <w:p w:rsidR="008725BE" w:rsidRPr="008725BE" w:rsidRDefault="008725BE" w:rsidP="008725BE">
      <w:pPr>
        <w:pStyle w:val="Sansinterligne"/>
        <w:rPr>
          <w:rFonts w:ascii="Garamond" w:hAnsi="Garamond"/>
          <w:lang w:val="en-GB"/>
        </w:rPr>
      </w:pPr>
      <w:r w:rsidRPr="008725BE">
        <w:rPr>
          <w:rFonts w:ascii="Garamond" w:hAnsi="Garamond"/>
          <w:i/>
          <w:iCs/>
          <w:lang w:val="en-GB"/>
        </w:rPr>
        <w:t>Paranoia</w:t>
      </w:r>
      <w:r w:rsidRPr="008725BE">
        <w:rPr>
          <w:rFonts w:ascii="Garamond" w:hAnsi="Garamond"/>
          <w:lang w:val="en-GB"/>
        </w:rPr>
        <w:t>. Aus bekannten Gründen entziehen sich Fälle von Paranoia zumeist der analytischen Untersuchung. Indes konnte ich doch in letzter Zeit aus dem intensiven Studium zweier Paranoiker einiges, was mir neu war, entnehmen.</w:t>
      </w:r>
    </w:p>
    <w:p w:rsidR="008725BE" w:rsidRPr="008725BE" w:rsidRDefault="008725BE" w:rsidP="008725BE">
      <w:pPr>
        <w:pStyle w:val="Sansinterligne"/>
        <w:rPr>
          <w:rFonts w:ascii="Garamond" w:hAnsi="Garamond"/>
          <w:lang w:val="en-GB"/>
        </w:rPr>
      </w:pPr>
      <w:r w:rsidRPr="008725BE">
        <w:rPr>
          <w:rFonts w:ascii="Garamond" w:hAnsi="Garamond"/>
          <w:lang w:val="en-GB"/>
        </w:rPr>
        <w:t>Der erste Fall betraf einen jugendlichen Mann mit voll ausgebildeter Eifersuchtsparanoia, deren Objekt seine tadellos getreue Frau war. Eine stürmische Periode, in der ihn der Wahn ohne Unterbrechung beherrscht hatte, lag bereits hinter ihm. Als ich ihn sah, produzierte er nur noch gut gesonderte Anfälle, die über mehrere Tage anhielten und interessanterweise regelmäßig am Tage nach einem, übrigens für beide Teile befriedigenden, Sexualakt auftraten. Es ist der Schluß berechtigt, daß jedesmal nach der Sättigung der heterosexuellen Libido die mitgereizte homosexuelle Komponente sich ihren Ausdruck im Eifersuchtsanfall erzwang.</w:t>
      </w:r>
    </w:p>
    <w:p w:rsidR="008725BE" w:rsidRPr="008725BE" w:rsidRDefault="008725BE" w:rsidP="008725BE">
      <w:pPr>
        <w:pStyle w:val="Sansinterligne"/>
        <w:rPr>
          <w:rFonts w:ascii="Garamond" w:hAnsi="Garamond"/>
          <w:lang w:val="en-GB"/>
        </w:rPr>
      </w:pPr>
      <w:r w:rsidRPr="008725BE">
        <w:rPr>
          <w:rFonts w:ascii="Garamond" w:hAnsi="Garamond"/>
          <w:lang w:val="en-GB"/>
        </w:rPr>
        <w:t>Sein Material bezog der Anfall aus der Beobachtung der kleinsten Anzeichen, durch welche sich die völlig unbewußte Koketterie der Frau, einem anderen unmerklich, ihm verraten hatte. Bald hatte sie den Herrn, der neben ihr saß, unabsichtlich mit ihrer Hand gestreift, bald ihr Gesicht zu sehr gegen ihn geneigt oder ein freundlicheres Lächeln aufgesetzt, als wenn sie mit ihrem Mann allein war. Für all diese Äußerungen ihres Unbewußten zeigte er eine außerordentliche Aufmerksamkeit und verstand sie immer richtig zu deuten, so daß er eigentlich immer recht hatte und die Analyse noch zur Rechtfertigung seiner Eifersucht anrufen konnte. Eigentlich reduzierte sich seine Abnormität darauf, daß er das Unbewußte seiner Frau schärfer beobachtete und dann weit höher einschätzte, als einem anderen eingefallen wäre.</w:t>
      </w:r>
    </w:p>
    <w:p w:rsidR="008725BE" w:rsidRPr="008725BE" w:rsidRDefault="008725BE" w:rsidP="008725BE">
      <w:pPr>
        <w:pStyle w:val="Sansinterligne"/>
        <w:rPr>
          <w:rFonts w:ascii="Garamond" w:hAnsi="Garamond"/>
          <w:lang w:val="en-GB"/>
        </w:rPr>
      </w:pPr>
      <w:r w:rsidRPr="008725BE">
        <w:rPr>
          <w:rFonts w:ascii="Garamond" w:hAnsi="Garamond"/>
          <w:lang w:val="en-GB"/>
        </w:rPr>
        <w:t>Wir erinnern uns daran, daß auch die verfolgten Paranoiker sich ganz ähnlich benehmen. Auch sie anerkennen bei anderen nichts Indifferentes und verwerten in ihrem »Beziehungswahn« die kleinsten Anzeichen, die ihnen diese anderen, Fremden geben. Der Sinn ihres Beziehungswahnes ist nämlich, daß sie von allen Fremden etwas wie Liebe erwarten; diese anderen zeigen ihnen aber nichts dergleichen, sie lachen vor sich hin, fuchteln mit ihren Stöcken oder spucken sogar auf den Boden, wenn sie vorbeigehen, und das tut man wirklich nicht, wenn man an der Person, die in der Nähe ist, irgendein freundliches Interesse nimmt. Man tut es nur dann, wenn einem diese Person ganz gleichgültig ist, wenn man sie als Luft behandeln kann, und der Paranoiker hat bei der Grundverwandtschaft der Begriffe »fremd« und »feindlich« nicht so unrecht, wenn er solche Indifferenz im Verhältnis zu seiner Liebesforderung als Feindseligkeit empfindet.</w:t>
      </w:r>
    </w:p>
    <w:p w:rsidR="008725BE" w:rsidRPr="008725BE" w:rsidRDefault="008725BE" w:rsidP="008725BE">
      <w:pPr>
        <w:pStyle w:val="Sansinterligne"/>
        <w:rPr>
          <w:rFonts w:ascii="Garamond" w:hAnsi="Garamond"/>
          <w:lang w:val="en-GB"/>
        </w:rPr>
      </w:pPr>
      <w:r w:rsidRPr="008725BE">
        <w:rPr>
          <w:rFonts w:ascii="Garamond" w:hAnsi="Garamond"/>
          <w:lang w:val="en-GB"/>
        </w:rPr>
        <w:t>Es ahnt uns nun, daß wir das Verhalten des eifersüchtigen wie des verfolgten Paranoikers sehr ungenügend beschreiben, wenn wir sagen, sie projizieren nach außen auf andere hin, was sie im eigenen Innern nicht wahrnehmen wollen.</w:t>
      </w:r>
    </w:p>
    <w:p w:rsidR="008725BE" w:rsidRPr="008725BE" w:rsidRDefault="008725BE" w:rsidP="008725BE">
      <w:pPr>
        <w:pStyle w:val="Sansinterligne"/>
        <w:rPr>
          <w:rFonts w:ascii="Garamond" w:hAnsi="Garamond"/>
          <w:lang w:val="en-GB"/>
        </w:rPr>
      </w:pPr>
      <w:r w:rsidRPr="008725BE">
        <w:rPr>
          <w:rFonts w:ascii="Garamond" w:hAnsi="Garamond"/>
          <w:lang w:val="en-GB"/>
        </w:rPr>
        <w:t>Gewiß tun sie das, aber sie projizieren sozusagen nicht ins Blaue hinaus, nicht dorthin, wo sich nichts Ähnliches findet, sondern sie lassen sich von ihrer Kenntnis des Unbewußten leiten und verschieben auf das Unbewußte der anderen die Aufmerksamkeit, die sie dem eigenen Unbewußten entziehen. Unser Eifersüchtiger erkennt die Untreue seiner Frau an Stelle seiner eigenen; indem er die seiner Frau sich in riesiger Vergrößerung bewußtmacht, gelingt es ihm, die eigene unbewußt zu erhalten. Wenn wir sein Beispiel für maßgebend erachten, dürfen wir schließen, daß auch die Feindseligkeit, die der Verfolgte bei anderen findet, der Widerschein der eigenen feindseligen Gefühle gegen diese anderen ist. Da wir wissen, daß beim Paranoiker gerade die geliebteste Person des gleichen Geschlechts zum Verfolger wird, entsteht die Frage, woher diese Affektumkehrung rührt, und die naheliegende Antwort wäre, daß die stets vorhandene Gefühlsambivalenz die Grundlage für den Haß abgibt und die Nichterfüllung der Liebesansprüche ihn verstärkt. So leistet die Gefühlsambivalenz dem Verfolgten denselben Dienst zur Abwehr der Homosexualität wie unserem Patienten die Eifersucht.</w:t>
      </w:r>
    </w:p>
    <w:p w:rsidR="008725BE" w:rsidRPr="008725BE" w:rsidRDefault="008725BE" w:rsidP="008725BE">
      <w:pPr>
        <w:pStyle w:val="Sansinterligne"/>
        <w:rPr>
          <w:rFonts w:ascii="Garamond" w:hAnsi="Garamond"/>
          <w:lang w:val="en-GB"/>
        </w:rPr>
      </w:pPr>
      <w:r w:rsidRPr="008725BE">
        <w:rPr>
          <w:rFonts w:ascii="Garamond" w:hAnsi="Garamond"/>
          <w:lang w:val="en-GB"/>
        </w:rPr>
        <w:t>Die Träume meines Eifersüchtigen bereiteten mir eine große Überraschung. Sie zeigten sich zwar nicht gleichzeitig mit dem Ausbruch des Anfalls, aber doch noch unter der Herrschaft des Wahns, waren vollkommen wahnfrei und ließen die zugrundeliegenden homosexuellen Regungen in nicht stärkerer Verkleidung als sonst gewöhnlich erkennen. Bei meiner geringen Erfahrung über die Träume von Paranoikern lag es mir damals nahe, allgemein anzunehmen, die Paranoia dringe nicht in den Traum.</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Der Zustand der Homosexualität war bei diesem Patienten leicht zu überblicken. Er hatte keine Freundschaft und keine sozialen Interessen gebildet; man mußte den Eindruck bekommen, als ob erst der Wahn die weitere Entwicklung seiner Beziehungen zum Manne übernommen hätte, wie um ein Stück des Versäumten nachzuholen. Die geringe Bedeutung des Vaters in seiner Familie und ein beschämendes homosexuelles Trauma in frühen Knabenjahren hatten zusammengewirkt, um seine Homosexualität in die Verdrängung zu treiben und ihr den Weg zur Sublimierung zu verlegen. Seine ganze Jugendzeit war von einer starken Mutterbindung beherrscht. Unter vielen Söhnen war er der erklärte Liebling der Mutter und entwickelte auf sie bezüglich eine starke Eifersucht von normalem Typus. Als er später eine Ehewahl traf, wesentlich unter der Herrschaft des Motivs, die Mutter reich zu machen, äußerte sich sein Bedürfnis nach einer virginalen Mutter in zwanghaften Zweifeln an der Virginität seiner Braut. Die ersten Jahre seiner Ehe waren von Eifersucht frei. Er wurde dann seiner Frau untreu und ging ein langdauerndes Verhältnis mit einer anderen ein. Erst als er diese Liebesbeziehung, durch einen bestimmten Verdacht geschreckt, aufgegeben hatte, brach bei ihm eine Eifersucht vom zweiten, vom Projektionstypus, los, mit welcher er die Vorwürfe wegen seiner Untreue beschwichtigen konnte. Sie komplizierte sich bald durch das Hinzutreten der homosexuellen Regungen, deren Objekt der Schwiegervater war, zur vollen Eifersuchtsparanoia.</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Mein zweiter Fall wäre wahrscheinlich ohne Analyse nicht als </w:t>
      </w:r>
      <w:r w:rsidRPr="008725BE">
        <w:rPr>
          <w:rFonts w:ascii="Garamond" w:hAnsi="Garamond"/>
          <w:i/>
          <w:iCs/>
          <w:lang w:val="en-GB"/>
        </w:rPr>
        <w:t>Paranoia persecutoria</w:t>
      </w:r>
      <w:r w:rsidRPr="008725BE">
        <w:rPr>
          <w:rFonts w:ascii="Garamond" w:hAnsi="Garamond"/>
          <w:lang w:val="en-GB"/>
        </w:rPr>
        <w:t xml:space="preserve"> klassifiziert worden, aber ich mußte den jungen Mann als einen Kandidaten für diesen Krankheitsausgang auffassen. Es bestand bei ihm eine Ambivalenz im Verhältnis zum Vater von ganz außerordentlicher Spannweite. Er war einerseits der ausgesprochenste Rebell, der sich manifest in allen Stücken von den Wünschen und Idealen des Vaters weg entwickelt hatte, anderseits in tieferer Schicht noch immer der unterwürfigste Sohn, der nach dem Tode des Vaters sich in zärtlichem Schuldbewußtsein den Genuß des Weibes versagte. Seine realen Beziehungen zu Männern standen offenbar unter dem Zeichen des Mißtrauens; mit seinem starken Intellekte wußte er diese Einstellung zu rationalisieren und verstand es so einzurichten, daß er von Bekannten und Freunden betrogen und ausgebeutet wurde. Was ich Neues an ihm lernte, war, daß klassische Verfolgungsgedanken vorhanden sein können, ohne Glauben und Anwert zu finden. Sie blitzten während seiner Analyse gelegentlich auf, aber er legte ihnen keine Bedeutung bei und bespöttelte sie regelmäßig. Dies mag in vielen Fällen von Paranoia ähnlich vorkommen, und wenn eine solche Erkrankung losbricht, halten wir vielleicht die geäußerten Wahnideen für Neuproduktionen, während sie längst bestanden haben mögen.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scheint mir eine wichtige Einsicht, daß ein qualitatives Moment, das Vorhandensein gewisser neurotischer Bildungen, praktisch weniger bedeutet als das quantitative Moment, welchen Grad von Aufmerksamkeit, richtiger, welches Maß von Besetzung diese Gebilde an sich ziehen können. Die Erörterung unseres ersten Falles, der Eifersuchtsparanoia, hatte uns zur gleichen Wertschätzung des quantitativen Moments aufgefordert, indem sie uns zeigte, daß dort die Abnormität wesentlich in der Überbesetzung der Deutungen des fremden Unbewußten bestand. </w:t>
      </w:r>
      <w:r w:rsidRPr="008725BE">
        <w:rPr>
          <w:rFonts w:ascii="Garamond" w:hAnsi="Garamond"/>
        </w:rPr>
        <w:t xml:space="preserve">Aus der Analyse der Hysterie kennen wir längst eine analoge Tatsache. Die pathogenen Phantasien, Abkömmlinge verdrängter Triebregungen, werden lange Zeit neben dem normalen Seelenleben geduldet und wirken nicht eher pathogen, als bis sie aus einem Umschwung der Libidoökonomie eine Überbesetzung erhalten; erst dann bricht der Konflikt los, der zur Symptombildung führt. </w:t>
      </w:r>
      <w:r w:rsidRPr="008725BE">
        <w:rPr>
          <w:rFonts w:ascii="Garamond" w:hAnsi="Garamond"/>
          <w:lang w:val="en-GB"/>
        </w:rPr>
        <w:t xml:space="preserve">Wir werden so im Fortschritt unserer Erkenntnis immer mehr dazu gedrängt, den </w:t>
      </w:r>
      <w:r w:rsidRPr="008725BE">
        <w:rPr>
          <w:rFonts w:ascii="Garamond" w:hAnsi="Garamond"/>
          <w:i/>
          <w:iCs/>
          <w:lang w:val="en-GB"/>
        </w:rPr>
        <w:t>ökonomischen</w:t>
      </w:r>
      <w:r w:rsidRPr="008725BE">
        <w:rPr>
          <w:rFonts w:ascii="Garamond" w:hAnsi="Garamond"/>
          <w:lang w:val="en-GB"/>
        </w:rPr>
        <w:t xml:space="preserve"> Gesichtspunkt in den Vordergrund zu rücken. Ich möchte auch die Frage aufwerfen, ob das hier betonte quantitative Moment nicht hinreicht, um die Phänomene zu decken, für die Bleuler und andere neuerdings den Begriff der »Schaltung« einführen wollen. Man müßte nur annehmen, daß eine Widerstandssteigerung in einer Richtung des psychischen Ablaufs eine Überbesetzung eines anderen Weges und damit die Einschaltung desselben in den Ablauf zur Folge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 lehrreicher Gegensatz zeigte sich bei meinen zwei Fällen von Paranoia im Verhalten der Träume. Während im ersten Fall die Träume, wie erwähnt, wahnfrei waren, produzierte der andere Patient in großer Zahl Verfolgungsträume, die man als Vorläufer oder Ersatzbildungen für die Wahnideen gleichen Inhalts ansehen kann. Das Verfolgende, dem er sich nur mit großer Angst entziehen konnte, war in der Regel ein starker Stier oder ein anderes Symbol der Männlichkeit, das er manchmal noch im Traum selbst als Vatervertretung erkannte. Einmal berichtete er einen sehr charakteristischen paranoischen Übertragungstraum. Er sah, daß ich mich in seiner Gegenwart rasierte, und merkte am Geruche, daß ich dabei dieselbe Seife wie sein Vater gebrauchte. Das tat ich, um ihn zur Vaterübertragung auf meine Person zu nötigen. In der Wahl der geträumten Situation erwies sich unverkennbar die Geringschätzung des Patienten für seine paranoischen Phantasien und sein Unglaube gegen sie, denn der tägliche Augenschein </w:t>
      </w:r>
      <w:r w:rsidRPr="008725BE">
        <w:rPr>
          <w:rFonts w:ascii="Garamond" w:hAnsi="Garamond"/>
          <w:lang w:val="en-GB"/>
        </w:rPr>
        <w:lastRenderedPageBreak/>
        <w:t>konnte ihn belehren, daß ich überhaupt nicht in die Lage komme, mich einer Rasierseife zu bedienen, und also in diesem Punkte der Vaterübertragung keinen Anhalt biete.</w:t>
      </w:r>
    </w:p>
    <w:p w:rsidR="008725BE" w:rsidRPr="008725BE" w:rsidRDefault="008725BE" w:rsidP="008725BE">
      <w:pPr>
        <w:pStyle w:val="Sansinterligne"/>
        <w:rPr>
          <w:rFonts w:ascii="Garamond" w:hAnsi="Garamond"/>
        </w:rPr>
      </w:pPr>
      <w:r w:rsidRPr="008725BE">
        <w:rPr>
          <w:rFonts w:ascii="Garamond" w:hAnsi="Garamond"/>
          <w:lang w:val="en-GB"/>
        </w:rPr>
        <w:t xml:space="preserve">Der Vergleich der Träume bei unseren beiden Patienten belehrt uns aber, daß unsere Fragestellung, ob die Paranoia (oder eine andere Psychoneurose) auch in den Traum dringen könne, nur auf einer unrichtigen Auffassung des Traumes beruht. Der Traum unterscheidet sich vom Wachdenken darin, daß er Inhalte (aus dem Bereich des Verdrängten) aufnehmen kann, die im Wachdenken nicht vorkommen dürfen. Davon abgesehen, ist er nur eine </w:t>
      </w:r>
      <w:r w:rsidRPr="008725BE">
        <w:rPr>
          <w:rFonts w:ascii="Garamond" w:hAnsi="Garamond"/>
          <w:i/>
          <w:iCs/>
          <w:lang w:val="en-GB"/>
        </w:rPr>
        <w:t>Form des Denkens</w:t>
      </w:r>
      <w:r w:rsidRPr="008725BE">
        <w:rPr>
          <w:rFonts w:ascii="Garamond" w:hAnsi="Garamond"/>
          <w:lang w:val="en-GB"/>
        </w:rPr>
        <w:t xml:space="preserve">, eine Umformung des vorbewußten Denkstoffes durch die Traumarbeit und ihre Bedingungen. Auf das Verdrängte ist unsere Terminologie der Neurosen nicht anwendbar, es kann weder hysterisch noch zwangsneurotisch, noch paranoisch genannt werden. Dagegen kann der andere Anteil des Stoffes, welcher der Traumbildung unterliegt, die vorbewußten Gedanken, normal sein oder den Charakter irgendeiner Neurose an sich tragen. Die vorbewußten Gedanken mögen Ergebnisse all jener pathogenen Prozesse sein, in denen wir das Wesen einer Neurose erkennen. Es ist nicht einzusehen, warum nicht jede solche krankhafte Idee die Umformung in einen Traum erfahren sollte. Ein Traum kann also ohne weiteres einer hysterischen Phantasie, einer Zwangsvorstellung, einer Wahnidee entsprechen, das heißt bei seiner Deutung eine solche ergeben. In unserer Beobachtung an zwei Paranoikern finden wir, daß der Traum des einen normal ist, während sich der Mann im Anfall befindet, und daß der des anderen einen paranoischen Inhalt hat, während der Mann noch über seine Wahnideen spottet. Der Traum hat also in beiden Fällen aufgenommen, was im Wachleben derzeit zurückgedrängt war. </w:t>
      </w:r>
      <w:r w:rsidRPr="008725BE">
        <w:rPr>
          <w:rFonts w:ascii="Garamond" w:hAnsi="Garamond"/>
        </w:rPr>
        <w:t>Aber auch das braucht nicht die Regel zu sein.</w:t>
      </w:r>
    </w:p>
    <w:p w:rsidR="008725BE" w:rsidRPr="008725BE" w:rsidRDefault="008725BE" w:rsidP="008725BE">
      <w:pPr>
        <w:pStyle w:val="Sansinterligne"/>
        <w:rPr>
          <w:rFonts w:ascii="Garamond" w:hAnsi="Garamond"/>
        </w:rPr>
      </w:pPr>
      <w:r w:rsidRPr="008725BE">
        <w:rPr>
          <w:rFonts w:ascii="Garamond" w:hAnsi="Garamond"/>
        </w:rPr>
        <w:t>C</w:t>
      </w:r>
    </w:p>
    <w:p w:rsidR="008725BE" w:rsidRPr="008725BE" w:rsidRDefault="008725BE" w:rsidP="008725BE">
      <w:pPr>
        <w:pStyle w:val="Sansinterligne"/>
        <w:rPr>
          <w:rFonts w:ascii="Garamond" w:hAnsi="Garamond"/>
          <w:lang w:val="en-GB"/>
        </w:rPr>
      </w:pPr>
      <w:r w:rsidRPr="008725BE">
        <w:rPr>
          <w:rFonts w:ascii="Garamond" w:hAnsi="Garamond"/>
          <w:i/>
          <w:iCs/>
        </w:rPr>
        <w:t>Homosexualität</w:t>
      </w:r>
      <w:r w:rsidRPr="008725BE">
        <w:rPr>
          <w:rFonts w:ascii="Garamond" w:hAnsi="Garamond"/>
        </w:rPr>
        <w:t xml:space="preserve">. Die Anerkennung des organischen Faktors der Homosexualität überhebt uns nicht der Verpflichtung, die psychischen Vorgänge bei ihrer Entstehung zu studieren. Der typische, bereits bei einer Unzahl von Fällen festgestellte Vorgang besteht darin, daß der bis dahin intensiv an die Mutter fixierte junge Mann einige Jahre nach abgelaufener Pubertät eine Wendung vornimmt, sich selbst mit der Mutter identifiziert und nach Liebesobjekten ausschaut, in denen er sich selbst wiederfinden kann, die er dann lieben möchte, wie die Mutter ihn geliebt hat. Als Merkzeichen dieses Prozesses stellt sich gewöhnlich für viele Jahre die Liebesbedingung her, daß die männlichen Objekte das Alter haben müssen, in dem bei ihm die Umwandlung erfolgt ist. </w:t>
      </w:r>
      <w:r w:rsidRPr="008725BE">
        <w:rPr>
          <w:rFonts w:ascii="Garamond" w:hAnsi="Garamond"/>
          <w:lang w:val="en-GB"/>
        </w:rPr>
        <w:t>Wir haben verschiedene Faktoren kennengelernt, die wahrscheinlich in wechselnder Stärke zu diesem Ergebnis beitragen. Zunächst die Mutterfixierung, die den Übergang zu einem anderen Weibobjekt erschwert. Die Identifizierung mit der Mutter ist ein Ausgang dieser Objektbindung und ermöglicht es gleichzeitig, diesem ersten Objekt in gewissem Sinne treu zu bleiben. Sodann die Neigung zur narzißtischen Objektwahl, die im allgemeinen näherliegt und leichter auszuführen ist als die Wendung zum anderen Geschlecht. Hinter diesem Moment verbirgt sich ein anderes von ganz besonderer Stärke, oder es fällt vielleicht mit ihm zusammen: die Hochschätzung des männlichen Organs und die Unfähigkeit, auf dessen Vorhandensein beim Liebesobjekt zu verzichten. Die Geringschätzung des Weibes, die Abneigung gegen dasselbe, ja der Abscheu vor ihm, leiten sich in der Regel von der früh gemachten Entdeckung ab, daß das Weib keinen Penis besitzt. Später haben wir noch als mächtiges Motiv für die homosexuelle Objektwahl die Rücksicht auf den Vater oder die Angst vor ihm kennengelernt, da der Verzicht auf das Weib die Bedeutung hat, daß man der Konkurrenz mit ihm (oder allen männlichen Personen, die für ihn eintreten) ausweicht. Die beiden letzten Motive, das Festhalten an der Penisbedingung sowie das Ausweichen, können dem Kastrationskomplex zugezählt werden. Mutterbindung – Narzißmus – Kastrationsangst, diese übrigens in keiner Weise spezifischen Momente hatten wir bisher in der psychischen Ätiologie der Homosexualität aufgefunden, und zu ihnen gesellten sich noch der Einfluß der Verführung, welche eine frühzeitige Fixierung der Libido verschuldet, sowie der des organischen Faktors, der die passive Rolle im Liebesleben begünstigt.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haben aber niemals geglaubt, daß diese Analyse der Entstehung der Homosexualität vollständig ist. Ich kann heute auf einen neuen Mechanismus hinweisen, der zur homosexuellen Objektwahl führt, wenngleich ich nicht angeben kann, wie groß seine Rolle bei der Gestaltung der extremen, der manifesten und ausschließlichen Homosexualität anzuschlagen ist. Die Beobachtung machte mich auf mehrere Fälle aufmerksam, bei denen in früher Kindheit besonders starke eifersüchtige Regungen aus dem Mutterkomplex gegen Rivalen, meist ältere Brüder, aufgetreten waren. Diese Eifersucht führte zu intensiv feindseligen und aggressiven Einstellungen gegen die Geschwister, die sich bis zum Todeswunsch steigern konnten, aber der Entwicklung nicht standhielten. Unter den Einflüssen der Erziehung, gewiß auch infolge der anhaltenden Ohnmacht dieser Regungen, kam es zur Verdrängung derselben und zu einer Gefühlsumwandlung, so daß die früheren Rivalen nun die ersten homosexuellen Liebesobjekte wurden. Ein solcher Ausgang der Mutterbindung zeigt mehrfache interessante Beziehungen zu anderen uns </w:t>
      </w:r>
      <w:r w:rsidRPr="008725BE">
        <w:rPr>
          <w:rFonts w:ascii="Garamond" w:hAnsi="Garamond"/>
          <w:lang w:val="en-GB"/>
        </w:rPr>
        <w:lastRenderedPageBreak/>
        <w:t xml:space="preserve">bekannten Prozessen. Er ist zunächst das volle Gegenstück zur Entwicklung der </w:t>
      </w:r>
      <w:r w:rsidRPr="008725BE">
        <w:rPr>
          <w:rFonts w:ascii="Garamond" w:hAnsi="Garamond"/>
          <w:i/>
          <w:iCs/>
          <w:lang w:val="en-GB"/>
        </w:rPr>
        <w:t>Paranoia persecutoria</w:t>
      </w:r>
      <w:r w:rsidRPr="008725BE">
        <w:rPr>
          <w:rFonts w:ascii="Garamond" w:hAnsi="Garamond"/>
          <w:lang w:val="en-GB"/>
        </w:rPr>
        <w:t xml:space="preserve">, bei welcher die zuerst geliebten Personen zu den gehaßten Verfolgern werden, während hier die gehaßten Rivalen sich in Liebesobjekte umwandeln. Er stellt sich ferner als eine Übertreibung des Vorganges dar, welcher nach meiner Anschauung zur individuellen Genese der sozialen Triebe führt </w:t>
      </w:r>
      <w:hyperlink r:id="rId90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w:t>
        </w:r>
        <w:r w:rsidRPr="008725BE">
          <w:rPr>
            <w:rStyle w:val="innerfusslink3"/>
            <w:rFonts w:ascii="Garamond" w:hAnsi="Garamond" w:cs="Arial"/>
            <w:b/>
            <w:bCs/>
            <w:i/>
            <w:iCs/>
            <w:lang w:val="en-GB"/>
          </w:rPr>
          <w:t>Massenpsychologie und Ich-Analyse</w:t>
        </w:r>
        <w:r w:rsidRPr="008725BE">
          <w:rPr>
            <w:rStyle w:val="innerfusslink3"/>
            <w:rFonts w:ascii="Garamond" w:hAnsi="Garamond" w:cs="Arial"/>
            <w:b/>
            <w:bCs/>
            <w:lang w:val="en-GB"/>
          </w:rPr>
          <w:t xml:space="preserve"> (1921 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lang w:val="en-GB"/>
        </w:rPr>
        <w:t>. Hier wie dort sind zunächst eifersüchtige und feindselige Regungen vorhanden, die es nicht zur Befriedigung bringen können, und die zärtlichen wie die sozialen Identifizierungsgefühle entstehen als Reaktionsbildungen gegen die verdrängten Aggressionsimpulse.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Dieser neue Mechanismus der homosexuellen Objektwahl, die Entstehung aus überwundener Rivalität und verdrängter Aggressionsneigung, mengt sich in manchen Fällen den uns bekannten typischen Bedingungen bei. Man erfährt nicht selten aus der Lebensgeschichte Homosexueller, daß ihre Wendung eintrat, nachdem die Mutter einen anderen Knaben gelobt und als Vorbild angepriesen hatte. Dadurch wurde die Tendenz zur narzißtischen Objektwahl gereizt, und nach einer kurzen Phase scharfer Eifersucht war der Rivale zum Liebesobjekt geworden. Sonst aber sondert sich der neue Mechanismus dadurch ab, daß bei ihm die Umwandlung in viel früheren Jahren vor sich geht und die Mutteridentifizierung in den Hintergrund tritt. Auch führte er in den von mir beobachteten Fällen nur zu homosexuellen Einstellungen, welche die Heterosexualität nicht ausschlossen und keinen </w:t>
      </w:r>
      <w:r w:rsidRPr="008725BE">
        <w:rPr>
          <w:rFonts w:ascii="Garamond" w:hAnsi="Garamond"/>
          <w:i/>
          <w:iCs/>
          <w:lang w:val="en-GB"/>
        </w:rPr>
        <w:t>horror feminae</w:t>
      </w:r>
      <w:r w:rsidRPr="008725BE">
        <w:rPr>
          <w:rFonts w:ascii="Garamond" w:hAnsi="Garamond"/>
          <w:lang w:val="en-GB"/>
        </w:rPr>
        <w:t xml:space="preserve"> mit sich brachten.</w:t>
      </w:r>
    </w:p>
    <w:p w:rsidR="008725BE" w:rsidRPr="008725BE" w:rsidRDefault="008725BE" w:rsidP="008725BE">
      <w:pPr>
        <w:pStyle w:val="Sansinterligne"/>
        <w:rPr>
          <w:rFonts w:ascii="Garamond" w:hAnsi="Garamond"/>
          <w:lang w:val="en-GB"/>
        </w:rPr>
      </w:pPr>
      <w:r w:rsidRPr="008725BE">
        <w:rPr>
          <w:rFonts w:ascii="Garamond" w:hAnsi="Garamond"/>
          <w:lang w:val="en-GB"/>
        </w:rPr>
        <w:t>Es ist bekannt, daß eine ziemliche Anzahl homosexueller Personen sich durch besondere Entwicklung der sozialen Triebregungen und durch Hingabe an gemeinnützige Interessen auszeichnet. Man wäre versucht, dafür die theoretische Erklärung zu geben, daß ein Mann, der in anderen Männern mögliche Liebesobjekte sieht, sich gegen die Gemeinschaft der Männer anders benehmen muß als ein anderer, der genötigt ist, im Mann zunächst den Rivalen beim Weibe zu erblicken. Dem steht nur die Erwägung entgegen, daß es auch bei homosexueller Liebe Eifersucht und Rivalität gibt und daß die Gemeinschaft der Männer auch diese möglichen Rivalen umschließt. Aber auch, wenn man von dieser spekulativen Begründung absieht, kann die Tatsache für den Zusammenhang von Homosexualität und sozialem Empfinden nicht gleichgültig sein, daß die homosexuelle Objektwahl nicht selten aus frühzeitiger Überwindung der Rivalität mit dem Manne hervorgeht.</w:t>
      </w:r>
    </w:p>
    <w:p w:rsidR="008725BE" w:rsidRPr="008725BE" w:rsidRDefault="008725BE" w:rsidP="008725BE">
      <w:pPr>
        <w:pStyle w:val="Sansinterligne"/>
        <w:rPr>
          <w:rFonts w:ascii="Garamond" w:hAnsi="Garamond"/>
          <w:lang w:val="en-GB"/>
        </w:rPr>
      </w:pPr>
      <w:r w:rsidRPr="008725BE">
        <w:rPr>
          <w:rFonts w:ascii="Garamond" w:hAnsi="Garamond"/>
          <w:lang w:val="en-GB"/>
        </w:rPr>
        <w:t>In der psychoanalytischen Betrachtung sind wir gewöhnt, die sozialen Gefühle als Sublimierungen homosexueller Objekteinstellungen aufzufassen. Bei den sozial gesinnten Homosexuellen wäre die Ablösung der sozialen Gefühle von der Objektwahl nicht voll geglückt.</w:t>
      </w:r>
    </w:p>
    <w:p w:rsidR="008725BE" w:rsidRPr="008725BE" w:rsidRDefault="008725BE" w:rsidP="008725BE">
      <w:pPr>
        <w:pStyle w:val="Sansinterligne"/>
        <w:rPr>
          <w:rFonts w:ascii="Garamond" w:hAnsi="Garamond"/>
          <w:caps/>
        </w:rPr>
      </w:pPr>
      <w:r w:rsidRPr="005C1841">
        <w:rPr>
          <w:rFonts w:ascii="Garamond" w:hAnsi="Garamond"/>
        </w:rPr>
        <w:br w:type="page"/>
      </w:r>
      <w:hyperlink w:anchor="KSinhalt" w:history="1">
        <w:r w:rsidRPr="008725BE">
          <w:rPr>
            <w:rStyle w:val="Lienhypertexte"/>
            <w:rFonts w:ascii="Garamond" w:hAnsi="Garamond"/>
            <w:b/>
          </w:rPr>
          <w:t>Über « fausse reconnaissance » (« déjà raconté ») während der psychoanalytischen Arbeit</w:t>
        </w:r>
      </w:hyperlink>
      <w:r w:rsidRPr="008725BE">
        <w:rPr>
          <w:rFonts w:ascii="Garamond" w:hAnsi="Garamond"/>
        </w:rPr>
        <w:t xml:space="preserve">  </w:t>
      </w:r>
      <w:r w:rsidRPr="008725BE">
        <w:rPr>
          <w:rFonts w:ascii="Garamond" w:hAnsi="Garamond"/>
          <w:caps/>
        </w:rPr>
        <w:t>(1914)</w:t>
      </w:r>
    </w:p>
    <w:p w:rsidR="008725BE" w:rsidRPr="008725BE" w:rsidRDefault="008725BE" w:rsidP="008725BE">
      <w:pPr>
        <w:pStyle w:val="Sansinterligne"/>
        <w:rPr>
          <w:rFonts w:ascii="Garamond" w:hAnsi="Garamond"/>
        </w:rPr>
      </w:pPr>
      <w:r w:rsidRPr="008725BE">
        <w:rPr>
          <w:rFonts w:ascii="Garamond" w:hAnsi="Garamond"/>
        </w:rPr>
        <w:t> </w:t>
      </w:r>
    </w:p>
    <w:p w:rsidR="008725BE" w:rsidRPr="008725BE" w:rsidRDefault="008725BE" w:rsidP="008725BE">
      <w:pPr>
        <w:pStyle w:val="Sansinterligne"/>
        <w:rPr>
          <w:rFonts w:ascii="Garamond" w:hAnsi="Garamond"/>
          <w:lang w:val="en-GB"/>
        </w:rPr>
      </w:pPr>
      <w:r w:rsidRPr="008725BE">
        <w:rPr>
          <w:rFonts w:ascii="Garamond" w:hAnsi="Garamond"/>
        </w:rPr>
        <w:t xml:space="preserve">Es ereignet sich nicht selten während der Arbeit der Analyse, daß der Patient die Mitteilung eines von ihm erinnerten Faktums mit der Bemerkung begleitet, » </w:t>
      </w:r>
      <w:r w:rsidRPr="008725BE">
        <w:rPr>
          <w:rFonts w:ascii="Garamond" w:hAnsi="Garamond"/>
          <w:i/>
          <w:iCs/>
        </w:rPr>
        <w:t>das habe ich Ihnen aber schon erzählt</w:t>
      </w:r>
      <w:r w:rsidRPr="008725BE">
        <w:rPr>
          <w:rFonts w:ascii="Garamond" w:hAnsi="Garamond"/>
        </w:rPr>
        <w:t xml:space="preserve">«, während man selbst sicher zu sein glaubt, diese Erzählung von ihm noch niemals vernommen zu haben. Äußert man diesen Widerspruch gegen den Patienten, so wird er häufig energisch versichern, er wisse es ganz gewiß, er sei bereit, es zu beschwören, usw.; in demselben Maße wird aber die eigene Überzeugung von der Neuheit des Gehörten stärker. Es wäre nun ganz unpsychologisch, einen solchen Streit durch Überschreien oder Überbieten mit Beteuerungen entscheiden zu wollen. Ein solches Überzeugungsgefühl von der Treue seines Gedächtnisses hat bekanntlich keinen objektiven Wert, und da einer von beiden sich notwendigerweise irren muß, kann es ebensowohl der Arzt wie der Analysierte sein, welcher der Paramnesie verfallen ist. </w:t>
      </w:r>
      <w:r w:rsidRPr="008725BE">
        <w:rPr>
          <w:rFonts w:ascii="Garamond" w:hAnsi="Garamond"/>
          <w:lang w:val="en-GB"/>
        </w:rPr>
        <w:t>Man gesteht dies dem Patienten zu, bricht den Streit ab und verschiebt dessen Erledigung auf eine spätere Gelegenheit.</w:t>
      </w:r>
    </w:p>
    <w:p w:rsidR="008725BE" w:rsidRPr="008725BE" w:rsidRDefault="008725BE" w:rsidP="008725BE">
      <w:pPr>
        <w:pStyle w:val="Sansinterligne"/>
        <w:rPr>
          <w:rFonts w:ascii="Garamond" w:hAnsi="Garamond"/>
          <w:lang w:val="en-GB"/>
        </w:rPr>
      </w:pPr>
      <w:r w:rsidRPr="008725BE">
        <w:rPr>
          <w:rFonts w:ascii="Garamond" w:hAnsi="Garamond"/>
          <w:lang w:val="en-GB"/>
        </w:rPr>
        <w:t>In einer Minderzahl von Fällen erinnert man sich dann selbst, die fragliche Mitteilung bereits gehört zu haben, und findet gleichzeitig das subjektive, oft weit hergeholte Motiv für deren zeitweilige Beseitigung. In der großen Mehrzahl aber ist es der Analysierte, der geirrt hat und auch dazu bewogen werden kann, es einzusehen. Die Erklärung für dieses häufige Vorkommnis scheint zu sein, daß er wirklich bereits die Absicht gehabt hat, diese Mitteilung zu machen, daß er eine vorbereitende Äußerung wirklich ein oder mehrere Male getan hat, dann aber durch den Widerstand abgehalten wurde, seine Absicht auszuführen, und nun die Erinnerung an die Intention mit der an die Ausführung derselben verwechselt.</w:t>
      </w:r>
    </w:p>
    <w:p w:rsidR="008725BE" w:rsidRPr="008725BE" w:rsidRDefault="008725BE" w:rsidP="008725BE">
      <w:pPr>
        <w:pStyle w:val="Sansinterligne"/>
        <w:rPr>
          <w:rFonts w:ascii="Garamond" w:hAnsi="Garamond"/>
          <w:lang w:val="en-GB"/>
        </w:rPr>
      </w:pPr>
      <w:r w:rsidRPr="008725BE">
        <w:rPr>
          <w:rFonts w:ascii="Garamond" w:hAnsi="Garamond"/>
          <w:lang w:val="en-GB"/>
        </w:rPr>
        <w:t>Ich lasse nun alle die Fälle beiseite, in denen der Sachverhalt irgendwie zweifelhaft bleiben kann, und hebe einige andere hervor, die ein besonderes theoretisches Interesse haben. Es ereignet sich nämlich bei einzelnen Personen, und zwar wiederholt, daß sie die Behauptung, sie hätten dies oder jenes schon erzählt, besonders hartnäckig bei Mitteilungen vertreten, wo die Sachlage es ganz unmöglich macht, daß sie recht haben können. Was sie bereits früher einmal erzählt haben wollen und jetzt als etwas Altes, was auch der Arzt wissen müßte, wiedererkennen, sind dann Erinnerungen von höchstem Wert für die Analyse, Bestätigungen, auf welche man lange Zeit gewartet, Lösungen, die einem Teilstück der Arbeit ein Ende machen, an die der analysierende Arzt sicherlich eingehende Erörterungen geknüpft hätte. Angesichts dieser Verhältnisse gibt der Patient auch bald zu, daß ihn seine Erinnerung getäuscht haben muß, obwohl er sich die Bestimmtheit derselben nicht erklären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Phänomen, welches der Analysierte in solchen Fällen bietet, hat Anspruch darauf, eine » </w:t>
      </w:r>
      <w:r w:rsidRPr="008725BE">
        <w:rPr>
          <w:rFonts w:ascii="Garamond" w:hAnsi="Garamond"/>
          <w:i/>
          <w:iCs/>
          <w:lang w:val="en-GB"/>
        </w:rPr>
        <w:t>fausse reconnaissance</w:t>
      </w:r>
      <w:r w:rsidRPr="008725BE">
        <w:rPr>
          <w:rFonts w:ascii="Garamond" w:hAnsi="Garamond"/>
          <w:lang w:val="en-GB"/>
        </w:rPr>
        <w:t xml:space="preserve">« genannt zu werden, und ist durchaus analog den anderen Fällen, in denen man spontan die Empfindung hat: In dieser Situation war ich schon einmal, das habe ich schon einmal erlebt (das » </w:t>
      </w:r>
      <w:r w:rsidRPr="008725BE">
        <w:rPr>
          <w:rFonts w:ascii="Garamond" w:hAnsi="Garamond"/>
          <w:i/>
          <w:iCs/>
          <w:lang w:val="en-GB"/>
        </w:rPr>
        <w:t>déjà vu</w:t>
      </w:r>
      <w:r w:rsidRPr="008725BE">
        <w:rPr>
          <w:rFonts w:ascii="Garamond" w:hAnsi="Garamond"/>
          <w:lang w:val="en-GB"/>
        </w:rPr>
        <w:t xml:space="preserve">«), ohne daß man je in die Lage käme, diese Überzeugung durch das Wiederauffinden jenes früheren Males im Gedächtnisse zu bewahrheiten. Es ist bekannt, daß dies Phänomen eine Fülle von Erklärungsversuchen hervorgerufen hat, die sich im allgemeinen in zwei Gruppen bringen lassen </w:t>
      </w:r>
      <w:hyperlink r:id="rId90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 eine der letzten Zusammenstellungen der betreffenden Literatur in H. Ellis, </w:t>
        </w:r>
        <w:r w:rsidRPr="008725BE">
          <w:rPr>
            <w:rStyle w:val="innerfusslink3"/>
            <w:rFonts w:ascii="Garamond" w:hAnsi="Garamond" w:cs="Arial"/>
            <w:b/>
            <w:bCs/>
            <w:i/>
            <w:iCs/>
            <w:lang w:val="en-GB"/>
          </w:rPr>
          <w:t>World of Dreams</w:t>
        </w:r>
        <w:r w:rsidRPr="008725BE">
          <w:rPr>
            <w:rStyle w:val="innerfusslink3"/>
            <w:rFonts w:ascii="Garamond" w:hAnsi="Garamond" w:cs="Arial"/>
            <w:b/>
            <w:bCs/>
            <w:lang w:val="en-GB"/>
          </w:rPr>
          <w:t xml:space="preserve"> (1911).</w:t>
        </w:r>
      </w:hyperlink>
      <w:r w:rsidRPr="008725BE">
        <w:rPr>
          <w:rFonts w:ascii="Garamond" w:hAnsi="Garamond"/>
          <w:lang w:val="en-GB"/>
        </w:rPr>
        <w:t xml:space="preserve">. In der einen wird der im Phänomen enthaltenen Empfindung Glauben geschenkt und angenommen, es handle sich wirklich darum, daß etwas erinnert werde; die Frage bleibt nur, was. Zu einer bei weitem zahlreicheren Gruppe treten jene Erklärungen zusammen, die vielmehr behaupten, daß hier eine Täuschung der Erinnerung vorliege, und die nun die Aufgabe haben nachzuspüren, wie es zu dieser paramnestischen Fehlleistung kommen könne. Im übrigen umfassen diese Versuche einen weiten Umkreis von Motiven, beginnend mit der uralten, dem Pythagoras zugeschriebenen Auffassung, daß das Phänomen des </w:t>
      </w:r>
      <w:r w:rsidRPr="008725BE">
        <w:rPr>
          <w:rFonts w:ascii="Garamond" w:hAnsi="Garamond"/>
          <w:i/>
          <w:iCs/>
          <w:lang w:val="en-GB"/>
        </w:rPr>
        <w:t>déjà vu</w:t>
      </w:r>
      <w:r w:rsidRPr="008725BE">
        <w:rPr>
          <w:rFonts w:ascii="Garamond" w:hAnsi="Garamond"/>
          <w:lang w:val="en-GB"/>
        </w:rPr>
        <w:t xml:space="preserve"> einen Beweis für eine frühere individuelle Existenz enthalte, fortgesetzt über die auf die Anatomie gestützte Hypothese, daß ein zeitliches Auseinanderweichen in der Tätigkeit der beiden Hirnhemisphären das Phänomen begründe (Wigan, 1860), bis auf die rein psychologischen Theorien der meisten neueren Autoren, welche im </w:t>
      </w:r>
      <w:r w:rsidRPr="008725BE">
        <w:rPr>
          <w:rFonts w:ascii="Garamond" w:hAnsi="Garamond"/>
          <w:i/>
          <w:iCs/>
          <w:lang w:val="en-GB"/>
        </w:rPr>
        <w:t>déjà vu</w:t>
      </w:r>
      <w:r w:rsidRPr="008725BE">
        <w:rPr>
          <w:rFonts w:ascii="Garamond" w:hAnsi="Garamond"/>
          <w:lang w:val="en-GB"/>
        </w:rPr>
        <w:t xml:space="preserve"> eine Äußerung einer Apperzeptionsschwäche erblicken und Ermüdung, Erschöpfung, Zerstreutheit für dasselbe verantwortlich machen.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Grasset hat im Jahre 1904 eine Erklärung des </w:t>
      </w:r>
      <w:r w:rsidRPr="008725BE">
        <w:rPr>
          <w:rFonts w:ascii="Garamond" w:hAnsi="Garamond"/>
          <w:i/>
          <w:iCs/>
          <w:lang w:val="en-GB"/>
        </w:rPr>
        <w:t>déjà vu</w:t>
      </w:r>
      <w:r w:rsidRPr="008725BE">
        <w:rPr>
          <w:rFonts w:ascii="Garamond" w:hAnsi="Garamond"/>
          <w:lang w:val="en-GB"/>
        </w:rPr>
        <w:t xml:space="preserve"> gegeben, welche zu den »gläubigen« gerechnet werden muß. Er meinte, das Phänomen weise darauf hin, daß früher einmal eine </w:t>
      </w:r>
      <w:r w:rsidRPr="008725BE">
        <w:rPr>
          <w:rFonts w:ascii="Garamond" w:hAnsi="Garamond"/>
          <w:i/>
          <w:iCs/>
          <w:lang w:val="en-GB"/>
        </w:rPr>
        <w:t>unbewußte</w:t>
      </w:r>
      <w:r w:rsidRPr="008725BE">
        <w:rPr>
          <w:rFonts w:ascii="Garamond" w:hAnsi="Garamond"/>
          <w:lang w:val="en-GB"/>
        </w:rPr>
        <w:t xml:space="preserve"> Wahrnehmung gemacht worden sei, welche erst jetzt unter dem Einfluß eines neuen und ähnlichen Eindruckes das Bewußtsein erreiche. Mehrere andere Autoren haben sich ihm angeschlossen und die Erinnerung an vergessenes Geträumtes zur Grundlage des Phänomens gemacht. In beiden Fällen würde es sich um die Belebung eines unbewußten Eindruckes handeln.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habe im Jahre </w:t>
      </w:r>
      <w:smartTag w:uri="urn:schemas-microsoft-com:office:smarttags" w:element="metricconverter">
        <w:smartTagPr>
          <w:attr w:name="ProductID" w:val="1907, in"/>
        </w:smartTagPr>
        <w:r w:rsidRPr="008725BE">
          <w:rPr>
            <w:rFonts w:ascii="Garamond" w:hAnsi="Garamond"/>
            <w:lang w:val="en-GB"/>
          </w:rPr>
          <w:t>1907, in</w:t>
        </w:r>
      </w:smartTag>
      <w:r w:rsidRPr="008725BE">
        <w:rPr>
          <w:rFonts w:ascii="Garamond" w:hAnsi="Garamond"/>
          <w:lang w:val="en-GB"/>
        </w:rPr>
        <w:t xml:space="preserve"> der zweiten Auflage meiner </w:t>
      </w:r>
      <w:r w:rsidRPr="008725BE">
        <w:rPr>
          <w:rFonts w:ascii="Garamond" w:hAnsi="Garamond"/>
          <w:i/>
          <w:iCs/>
          <w:lang w:val="en-GB"/>
        </w:rPr>
        <w:t>Psychopathologie des Alltagslebens</w:t>
      </w:r>
      <w:r w:rsidRPr="008725BE">
        <w:rPr>
          <w:rFonts w:ascii="Garamond" w:hAnsi="Garamond"/>
          <w:lang w:val="en-GB"/>
        </w:rPr>
        <w:t xml:space="preserve"> eine ganz ähnliche Erklärung der angeblichen Paramnesie vertreten, ohne die Arbeit von Grasset zu kennen oder zu </w:t>
      </w:r>
      <w:r w:rsidRPr="008725BE">
        <w:rPr>
          <w:rFonts w:ascii="Garamond" w:hAnsi="Garamond"/>
          <w:lang w:val="en-GB"/>
        </w:rPr>
        <w:lastRenderedPageBreak/>
        <w:t xml:space="preserve">erwähnen. Zu meiner Entschuldigung mag dienen, daß ich meine Theorie als Ergebnis einer psychoanalytischen Untersuchung gewann, die ich an einem sehr deutlichen, aber etwa 28 Jahre zurückliegenden Falle von </w:t>
      </w:r>
      <w:r w:rsidRPr="008725BE">
        <w:rPr>
          <w:rFonts w:ascii="Garamond" w:hAnsi="Garamond"/>
          <w:i/>
          <w:iCs/>
          <w:lang w:val="en-GB"/>
        </w:rPr>
        <w:t>déjà vu</w:t>
      </w:r>
      <w:r w:rsidRPr="008725BE">
        <w:rPr>
          <w:rFonts w:ascii="Garamond" w:hAnsi="Garamond"/>
          <w:lang w:val="en-GB"/>
        </w:rPr>
        <w:t xml:space="preserve"> bei einer Patientin vornehmen konnte. Ich will die kleine Analyse hier nicht wiederholen. Sie ergab, daß die Situation, in welcher das </w:t>
      </w:r>
      <w:r w:rsidRPr="008725BE">
        <w:rPr>
          <w:rFonts w:ascii="Garamond" w:hAnsi="Garamond"/>
          <w:i/>
          <w:iCs/>
          <w:lang w:val="en-GB"/>
        </w:rPr>
        <w:t>déjà vu</w:t>
      </w:r>
      <w:r w:rsidRPr="008725BE">
        <w:rPr>
          <w:rFonts w:ascii="Garamond" w:hAnsi="Garamond"/>
          <w:lang w:val="en-GB"/>
        </w:rPr>
        <w:t xml:space="preserve"> auftrat, wirklich geeignet war, die Erinnerung an ein früheres Erlebnis der Analysierten zu wecken. In der Familie, welche das damals zwölfjährige Kind besuchte, befand sich ein schwerkranker, dem Tode verfallener Bruder, und ihr eigener Bruder war einige Monate vorher in derselben Gefahr gewesen. An dies Gemeinsame hatte sich aber im Falle des ersteren Erlebnisses eine bewußtseinsunfähige Phantasie geknüpft – der Wunsch, der Bruder solle sterben –, und darum konnte die Analogie der beiden Fälle nicht bewußt werden. Die Empfindung derselben ersetzte sich durch das Phänomen des Schon-einmal-erlebt-Habens, indem sich die Identität von dem Gemeinsamen auf die Lokalität verschob.</w:t>
      </w:r>
    </w:p>
    <w:p w:rsidR="008725BE" w:rsidRPr="008725BE" w:rsidRDefault="008725BE" w:rsidP="008725BE">
      <w:pPr>
        <w:pStyle w:val="Sansinterligne"/>
        <w:rPr>
          <w:rFonts w:ascii="Garamond" w:hAnsi="Garamond"/>
        </w:rPr>
      </w:pPr>
      <w:r w:rsidRPr="008725BE">
        <w:rPr>
          <w:rFonts w:ascii="Garamond" w:hAnsi="Garamond"/>
        </w:rPr>
        <w:t xml:space="preserve">Man weiß, daß der Name » </w:t>
      </w:r>
      <w:r w:rsidRPr="008725BE">
        <w:rPr>
          <w:rFonts w:ascii="Garamond" w:hAnsi="Garamond"/>
          <w:i/>
          <w:iCs/>
        </w:rPr>
        <w:t>déjà vu</w:t>
      </w:r>
      <w:r w:rsidRPr="008725BE">
        <w:rPr>
          <w:rFonts w:ascii="Garamond" w:hAnsi="Garamond"/>
        </w:rPr>
        <w:t xml:space="preserve">« für eine ganze Reihe analoger Phänomene steht, für ein » </w:t>
      </w:r>
      <w:r w:rsidRPr="008725BE">
        <w:rPr>
          <w:rFonts w:ascii="Garamond" w:hAnsi="Garamond"/>
          <w:i/>
          <w:iCs/>
        </w:rPr>
        <w:t>déjà entendu</w:t>
      </w:r>
      <w:r w:rsidRPr="008725BE">
        <w:rPr>
          <w:rFonts w:ascii="Garamond" w:hAnsi="Garamond"/>
        </w:rPr>
        <w:t xml:space="preserve">«, ein » </w:t>
      </w:r>
      <w:r w:rsidRPr="008725BE">
        <w:rPr>
          <w:rFonts w:ascii="Garamond" w:hAnsi="Garamond"/>
          <w:i/>
          <w:iCs/>
        </w:rPr>
        <w:t>déjà éprouvé</w:t>
      </w:r>
      <w:r w:rsidRPr="008725BE">
        <w:rPr>
          <w:rFonts w:ascii="Garamond" w:hAnsi="Garamond"/>
        </w:rPr>
        <w:t xml:space="preserve">«, ein » </w:t>
      </w:r>
      <w:r w:rsidRPr="008725BE">
        <w:rPr>
          <w:rFonts w:ascii="Garamond" w:hAnsi="Garamond"/>
          <w:i/>
          <w:iCs/>
        </w:rPr>
        <w:t>déjà senti</w:t>
      </w:r>
      <w:r w:rsidRPr="008725BE">
        <w:rPr>
          <w:rFonts w:ascii="Garamond" w:hAnsi="Garamond"/>
        </w:rPr>
        <w:t xml:space="preserve">«. Der Fall, den ich an Stelle vieler ähnlicher nun berichten werde, enthält ein » </w:t>
      </w:r>
      <w:r w:rsidRPr="008725BE">
        <w:rPr>
          <w:rFonts w:ascii="Garamond" w:hAnsi="Garamond"/>
          <w:i/>
          <w:iCs/>
        </w:rPr>
        <w:t>déjà raconté</w:t>
      </w:r>
      <w:r w:rsidRPr="008725BE">
        <w:rPr>
          <w:rFonts w:ascii="Garamond" w:hAnsi="Garamond"/>
        </w:rPr>
        <w:t>«, welches also von einem unbewußten, unausgeführt gebliebenen Vorsatz abzuleiten wäre.</w:t>
      </w:r>
    </w:p>
    <w:p w:rsidR="008725BE" w:rsidRPr="008725BE" w:rsidRDefault="008725BE" w:rsidP="008725BE">
      <w:pPr>
        <w:pStyle w:val="Sansinterligne"/>
        <w:rPr>
          <w:rFonts w:ascii="Garamond" w:hAnsi="Garamond"/>
        </w:rPr>
      </w:pPr>
      <w:r w:rsidRPr="008725BE">
        <w:rPr>
          <w:rFonts w:ascii="Garamond" w:hAnsi="Garamond"/>
        </w:rPr>
        <w:t>Ein Patient erzählt im Laufe seiner Assoziationen: »Wie ich damals im Alter von fünf Jahren im Garten mit einem Messer gespielt und mir dabei den kleinen Finger durchgeschnitten habe – oh, ich habe nur geglaubt, daß er durchgeschnitten ist –, aber das habe ich Ihnen ja schon erzählt.«</w:t>
      </w:r>
    </w:p>
    <w:p w:rsidR="008725BE" w:rsidRPr="008725BE" w:rsidRDefault="008725BE" w:rsidP="008725BE">
      <w:pPr>
        <w:pStyle w:val="Sansinterligne"/>
        <w:rPr>
          <w:rFonts w:ascii="Garamond" w:hAnsi="Garamond"/>
          <w:lang w:val="en-GB"/>
        </w:rPr>
      </w:pPr>
      <w:r w:rsidRPr="008725BE">
        <w:rPr>
          <w:rFonts w:ascii="Garamond" w:hAnsi="Garamond"/>
          <w:lang w:val="en-GB"/>
        </w:rPr>
        <w:t>Ich versichere, daß ich mich an nichts Ähnliches zu erinnern weiß. Er beteuert immer überzeugter, daß er sich darin nicht täuschen kann. Endlich mache ich dem Streit in der eingangs angegebenen Weise ein Ende und bitte ihn, die Geschichte auf alle Fälle zu wiederholen. Wir würden ja dann sehen.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»Als ich fünf Jahre alt war, spielte ich im Garten neben meiner Kinderfrau und schnitzelte mit meinem Taschenmesser an der Rinde eines jener Nußbäume, die auch in meinem Traum </w:t>
      </w:r>
      <w:hyperlink r:id="rId90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›Märchenstoffe in Träumen‹</w:t>
        </w:r>
      </w:hyperlink>
      <w:r w:rsidRPr="008725BE">
        <w:rPr>
          <w:rFonts w:ascii="Garamond" w:hAnsi="Garamond"/>
          <w:lang w:val="en-GB"/>
        </w:rPr>
        <w:t xml:space="preserve"> eine Rolle spielen </w:t>
      </w:r>
      <w:hyperlink r:id="rId91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Korrektur bei späterer Erzählung: »Ich glaube, ich schnitt nicht in den Baum. Das ist eine Verschmelzung mit einer anderen Erinnerung, die auch halluzinatorisch gefälscht sein muß, daß ich in einen Baum einen Schnitt mit dem Messer machte und daß dabei </w:t>
        </w:r>
        <w:r w:rsidRPr="008725BE">
          <w:rPr>
            <w:rStyle w:val="innerfusslink3"/>
            <w:rFonts w:ascii="Garamond" w:hAnsi="Garamond" w:cs="Arial"/>
            <w:b/>
            <w:bCs/>
            <w:i/>
            <w:iCs/>
            <w:lang w:val="en-GB"/>
          </w:rPr>
          <w:t>Blut</w:t>
        </w:r>
        <w:r w:rsidRPr="008725BE">
          <w:rPr>
            <w:rStyle w:val="innerfusslink3"/>
            <w:rFonts w:ascii="Garamond" w:hAnsi="Garamond" w:cs="Arial"/>
            <w:b/>
            <w:bCs/>
            <w:lang w:val="en-GB"/>
          </w:rPr>
          <w:t xml:space="preserve"> aus dem Baume kam.«</w:t>
        </w:r>
      </w:hyperlink>
      <w:r w:rsidRPr="008725BE">
        <w:rPr>
          <w:rFonts w:ascii="Garamond" w:hAnsi="Garamond"/>
          <w:lang w:val="en-GB"/>
        </w:rPr>
        <w:t>. Plötzlich bemerkte ich mit unaussprechlichem Schrecken, daß ich mir den kleinen Finger der (rechten oder linken?) Hand so durchgeschnitten hatte, daß er nur noch an der Haut hing. Schmerz spürte ich keinen, aber eine große Angst. Ich getraute mich nicht, der wenige Schritte entfernten Kinderfrau etwas zu sagen, sank auf die nächste Bank und blieb da sitzen, unfähig, noch einen Blick auf den Finger zu werfen. Endlich wurde ich ruhig, faßte den Finger ins Auge, und siehe da, er war ganz unverletzt.«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einigten uns bald darüber, daß er mir diese Vision oder Halluzination doch nicht erzählt haben könne. Er verstand sehr wohl, daß ich einen solchen Beweis für die Existenz der </w:t>
      </w:r>
      <w:r w:rsidRPr="008725BE">
        <w:rPr>
          <w:rFonts w:ascii="Garamond" w:hAnsi="Garamond"/>
          <w:i/>
          <w:iCs/>
          <w:lang w:val="en-GB"/>
        </w:rPr>
        <w:t>Kastrationsangst</w:t>
      </w:r>
      <w:r w:rsidRPr="008725BE">
        <w:rPr>
          <w:rFonts w:ascii="Garamond" w:hAnsi="Garamond"/>
          <w:lang w:val="en-GB"/>
        </w:rPr>
        <w:t xml:space="preserve"> in seinem fünften Jahr doch nicht unverwertet gelassen hätte. Sein Widerstand gegen die Annahme des Kastrationskomplexes war damit gebrochen, aber er warf die Frage auf: »Warum habe ich so sicher geglaubt, daß ich diese Erinnerung schon erzählt habe?«</w:t>
      </w:r>
    </w:p>
    <w:p w:rsidR="008725BE" w:rsidRPr="008725BE" w:rsidRDefault="008725BE" w:rsidP="008725BE">
      <w:pPr>
        <w:pStyle w:val="Sansinterligne"/>
        <w:rPr>
          <w:rFonts w:ascii="Garamond" w:hAnsi="Garamond"/>
          <w:lang w:val="en-GB"/>
        </w:rPr>
      </w:pPr>
      <w:r w:rsidRPr="008725BE">
        <w:rPr>
          <w:rFonts w:ascii="Garamond" w:hAnsi="Garamond"/>
          <w:lang w:val="en-GB"/>
        </w:rPr>
        <w:t>Dann fiel uns beiden ein, daß er wiederholt, bei verschiedenen Anlässen, aber jedesmal ohne Vorteil, folgende kleine Erinnerung vorgetragen hatte:</w:t>
      </w:r>
    </w:p>
    <w:p w:rsidR="008725BE" w:rsidRPr="008725BE" w:rsidRDefault="008725BE" w:rsidP="008725BE">
      <w:pPr>
        <w:pStyle w:val="Sansinterligne"/>
        <w:rPr>
          <w:rFonts w:ascii="Garamond" w:hAnsi="Garamond"/>
          <w:lang w:val="en-GB"/>
        </w:rPr>
      </w:pPr>
      <w:r w:rsidRPr="008725BE">
        <w:rPr>
          <w:rFonts w:ascii="Garamond" w:hAnsi="Garamond"/>
          <w:lang w:val="en-GB"/>
        </w:rPr>
        <w:t>»Als der Onkel einmal verreiste, fragte er mich und die Schwester, was er uns mitbringen solle. Die Schwester wünschte sich ein Buch, ich ein Taschenmesser.« Nun verstanden wir diesen Monate vorher aufgetauchten Einfall als Deckerinnerung für die verdrängte Erinnerung und als Ansatz zu der infolge des Widerstandes unterbliebenen Erzählung vom vermeintlichen Verlust des kleinen Fingers (eines unverkennbaren Penisäquivalents). Das Messer, welches ihm der Onkel auch wirklich mitgebracht hatte, war nach seiner sicheren Erinnerung das nämliche, welches in der lange unterdrückten Mitteilung vorkam.</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glaube, es ist überflüssig, zur Deutung dieser kleinen Erfahrung, soweit sie auf das Phänomen der » </w:t>
      </w:r>
      <w:r w:rsidRPr="008725BE">
        <w:rPr>
          <w:rFonts w:ascii="Garamond" w:hAnsi="Garamond"/>
          <w:i/>
          <w:iCs/>
          <w:lang w:val="en-GB"/>
        </w:rPr>
        <w:t>fausse reconnaissance</w:t>
      </w:r>
      <w:r w:rsidRPr="008725BE">
        <w:rPr>
          <w:rFonts w:ascii="Garamond" w:hAnsi="Garamond"/>
          <w:lang w:val="en-GB"/>
        </w:rPr>
        <w:t>« Licht wirft, weiteres hinzuzufügen. Zum Inhalt der Vision des Patienten will ich bemerken, daß solche halluzinatorische Täuschungen gerade im Gefüge des Kastrationskomplexes nicht vereinzelt sind und daß sie ebensowohl zur Korrektur unerwünschter Wahrnehmungen dienen können.</w:t>
      </w:r>
    </w:p>
    <w:p w:rsidR="008725BE" w:rsidRPr="008725BE" w:rsidRDefault="008725BE" w:rsidP="008725BE">
      <w:pPr>
        <w:pStyle w:val="Sansinterligne"/>
        <w:rPr>
          <w:rFonts w:ascii="Garamond" w:hAnsi="Garamond"/>
          <w:lang w:val="en-GB"/>
        </w:rPr>
      </w:pPr>
      <w:r w:rsidRPr="008725BE">
        <w:rPr>
          <w:rFonts w:ascii="Garamond" w:hAnsi="Garamond"/>
          <w:lang w:val="en-GB"/>
        </w:rPr>
        <w:t>Im Jahre 1911 stellte mir ein akademisch Gebildeter aus einer deutschen Universitätsstadt, den ich nicht kenne, dessen Alter mir unbekannt ist, folgende Mitteilung aus seiner Kindheit zur freien Verfügung:</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 der Lektüre Ihrer </w:t>
      </w:r>
      <w:r w:rsidRPr="008725BE">
        <w:rPr>
          <w:rFonts w:ascii="Garamond" w:hAnsi="Garamond"/>
          <w:i/>
          <w:iCs/>
          <w:lang w:val="en-GB"/>
        </w:rPr>
        <w:t>Kindheitserinnerung des Leonardo</w:t>
      </w:r>
      <w:r w:rsidRPr="008725BE">
        <w:rPr>
          <w:rFonts w:ascii="Garamond" w:hAnsi="Garamond"/>
          <w:lang w:val="en-GB"/>
        </w:rPr>
        <w:t xml:space="preserve"> haben mich die Ausführungen auf S. 29 bis 31 zu innerem Widerspruch gereizt. Ihre Bemerkung, daß das männliche Kind von dem Interesse für sein eigenes Genitale beherrscht ist, weckte in mir eine Gegenbemerkung von der Art: ›Wenn das ein allgemeines Gesetz ist, so bin ich jedenfalls eine Ausnahme.‹ Die nun folgenden Zeilen (S. 31 bis 32 oben) las ich mit dem größten Staunen, jenem Staunen, von dem man bei Kenntnisnahme einer ganz neuartigen Tatsache erfaßt wird. Mitten in meinem Staunen kommt mir eine Erinnerung, die mich – zu meiner </w:t>
      </w:r>
      <w:r w:rsidRPr="008725BE">
        <w:rPr>
          <w:rFonts w:ascii="Garamond" w:hAnsi="Garamond"/>
          <w:lang w:val="en-GB"/>
        </w:rPr>
        <w:lastRenderedPageBreak/>
        <w:t xml:space="preserve">eigenen Überraschung – lehrt, daß mir jene Tatsache gar nicht so neu sein dürfte. Ich hatte nämlich zur Zeit, da ich mich mitten in der ›infantilen Sexualforschung‹ befand, durch einen glücklichen Zufall Gelegenheit, ein weibliches Genitale an einer kleinen Altersgenossin zu betrachten und </w:t>
      </w:r>
      <w:r w:rsidRPr="008725BE">
        <w:rPr>
          <w:rFonts w:ascii="Garamond" w:hAnsi="Garamond"/>
          <w:i/>
          <w:iCs/>
          <w:lang w:val="en-GB"/>
        </w:rPr>
        <w:t>habe hiebei ganz klar einen Penis von der Art meines eigenen bemerkt</w:t>
      </w:r>
      <w:r w:rsidRPr="008725BE">
        <w:rPr>
          <w:rFonts w:ascii="Garamond" w:hAnsi="Garamond"/>
          <w:lang w:val="en-GB"/>
        </w:rPr>
        <w:t>. Bald darauf hat mich aber der Anblick weiblicher Statuen und Akte in neue Verwirrung gestürzt, und ich habe, um diesem wissenschaftlichem Zwiespalt zu entrinnen, das folgende Experiment ersonnen: Ich brachte mein Genitale durch Aneinanderpressen der Oberschenkel zwischen diesen zum Verschwinden und konstatierte mit Befriedigung, daß hiedurch jeder Unterschied gegen den weiblichen Akt beseitigt sei. Offenbar, so dachte ich mir, war auch beim weiblichen Akt das Genitale auf gleiche Weise zum Verschwinden gebracht.«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»Hier nun kommt mir eine andere Erinnerung, die mir insofern schon von jeher von größter Wichtigkeit war, als sie die </w:t>
      </w:r>
      <w:r w:rsidRPr="008725BE">
        <w:rPr>
          <w:rFonts w:ascii="Garamond" w:hAnsi="Garamond"/>
          <w:i/>
          <w:iCs/>
          <w:lang w:val="en-GB"/>
        </w:rPr>
        <w:t>eine</w:t>
      </w:r>
      <w:r w:rsidRPr="008725BE">
        <w:rPr>
          <w:rFonts w:ascii="Garamond" w:hAnsi="Garamond"/>
          <w:lang w:val="en-GB"/>
        </w:rPr>
        <w:t xml:space="preserve"> von den drei Erinnerungen ist, aus welchen meine Gesamterinnerung an meine früh verstorbene Mutter besteht. Meine Mutter steht vor dem Waschtisch und reinigt die Gläser und Waschbecken, während ich im selben Zimmer spiele und irgendeinen Unfug mache. Zur Strafe wird mir die Hand durchgeklopft: da sehe ich zu meinem größten Entsetzen, daß mein kleiner Finger herabfällt, und zwar gerade in den Wasserkübel fällt. Da ich meine Mutter erzürnt weiß, getraue ich mich nichts zu sagen und sehe mit noch gesteigertem Entsetzen, wie bald darauf der Wasserkübel vom Dienstmädchen hinausgetragen wird. Ich war lange überzeugt, daß ich einen Finger verloren habe, vermutlich bis in die Zeit, wo ich das Zählen lernte.«</w:t>
      </w:r>
    </w:p>
    <w:p w:rsidR="008725BE" w:rsidRPr="008725BE" w:rsidRDefault="008725BE" w:rsidP="008725BE">
      <w:pPr>
        <w:pStyle w:val="Sansinterligne"/>
        <w:rPr>
          <w:rFonts w:ascii="Garamond" w:hAnsi="Garamond"/>
          <w:lang w:val="en-GB"/>
        </w:rPr>
      </w:pPr>
      <w:r w:rsidRPr="008725BE">
        <w:rPr>
          <w:rFonts w:ascii="Garamond" w:hAnsi="Garamond"/>
          <w:lang w:val="en-GB"/>
        </w:rPr>
        <w:t>»Diese Erinnerung, die mir – wie bereits erwähnt – durch ihre Beziehung zu meiner Mutter immer von größter Wichtigkeit war, habe ich oft zu deuten versucht: keine dieser Deutungen hat mich aber befriedigt. Erst jetzt – nach Lektüre Ihrer Schrift – ahne ich eine einfache, befriedigende Lösung des Rätsels.«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andere Art der </w:t>
      </w:r>
      <w:r w:rsidRPr="008725BE">
        <w:rPr>
          <w:rFonts w:ascii="Garamond" w:hAnsi="Garamond"/>
          <w:i/>
          <w:iCs/>
          <w:lang w:val="en-GB"/>
        </w:rPr>
        <w:t>fausse reconnaissance</w:t>
      </w:r>
      <w:r w:rsidRPr="008725BE">
        <w:rPr>
          <w:rFonts w:ascii="Garamond" w:hAnsi="Garamond"/>
          <w:lang w:val="en-GB"/>
        </w:rPr>
        <w:t xml:space="preserve"> kommt zur Befriedigung des Therapeuten nicht selten beim Abschluß einer Behandlung vor. Nachdem es gelungen ist, das verdrängte Ereignis realer oder psychischer Natur gegen alle Widerstände zur Annahme durchzusetzen, es gewissermaßen zu rehabilitieren, sagt der Patient: » </w:t>
      </w:r>
      <w:r w:rsidRPr="008725BE">
        <w:rPr>
          <w:rFonts w:ascii="Garamond" w:hAnsi="Garamond"/>
          <w:i/>
          <w:iCs/>
          <w:lang w:val="en-GB"/>
        </w:rPr>
        <w:t>Jetzt habe ich die Empfindung, ich habe es immer gewußt.</w:t>
      </w:r>
      <w:r w:rsidRPr="008725BE">
        <w:rPr>
          <w:rFonts w:ascii="Garamond" w:hAnsi="Garamond"/>
          <w:lang w:val="en-GB"/>
        </w:rPr>
        <w:t>« Damit ist die analytische Aufgabe gelöst.</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95" w:name="KS60"/>
        <w:bookmarkEnd w:id="195"/>
        <w:r w:rsidRPr="008725BE">
          <w:rPr>
            <w:rStyle w:val="Lienhypertexte"/>
            <w:rFonts w:ascii="Garamond" w:hAnsi="Garamond"/>
            <w:b/>
            <w:lang w:val="en-GB"/>
          </w:rPr>
          <w:t>er infantile Sexualtheorien</w:t>
        </w:r>
      </w:hyperlink>
      <w:r w:rsidRPr="008725BE">
        <w:rPr>
          <w:rFonts w:ascii="Garamond" w:hAnsi="Garamond"/>
          <w:lang w:val="en-GB"/>
        </w:rPr>
        <w:t xml:space="preserve">  </w:t>
      </w:r>
      <w:r w:rsidRPr="008725BE">
        <w:rPr>
          <w:rFonts w:ascii="Garamond" w:hAnsi="Garamond"/>
          <w:caps/>
          <w:lang w:val="en-GB"/>
        </w:rPr>
        <w:t>(1908)</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Das Material, auf welches die nachstehende Zusammenstellung sich stützt, stammt aus mehreren Quellen. Erstens aus der unmittelbaren Beobachtung der Äußerungen und des Treibens der Kinder, zweitens aus den Mitteilungen erwachsener Neurotiker, die während einer psychoanalytischen Behandlung erzählen, was sie von ihrer Kinderzeit bewußt in Erinnerung haben, und zum dritten Anteile aus den Schlüssen, Konstruktionen und ins Bewußte übersetzten unbewußten Erinnerungen, die sich aus den Psychoanalysen mit Neurotikern ergeben.</w:t>
      </w:r>
    </w:p>
    <w:p w:rsidR="008725BE" w:rsidRPr="008725BE" w:rsidRDefault="008725BE" w:rsidP="008725BE">
      <w:pPr>
        <w:pStyle w:val="Sansinterligne"/>
        <w:rPr>
          <w:rFonts w:ascii="Garamond" w:hAnsi="Garamond"/>
          <w:lang w:val="en-GB"/>
        </w:rPr>
      </w:pPr>
      <w:r w:rsidRPr="008725BE">
        <w:rPr>
          <w:rFonts w:ascii="Garamond" w:hAnsi="Garamond"/>
          <w:lang w:val="en-GB"/>
        </w:rPr>
        <w:t>Daß die erste dieser drei Quellen nicht für sich allein alles Wissenswerte geliefert hat, begründet sich durch das Verhalten der Erwachsenen gegen das kindliche Sexualleben. Man mutet den Kindern keine Sexualtätigkeit zu, gibt sich darum keine Mühe, eine solche zu beobachten, und unterdrückt anderseits die Äußerungen derselben, die der Aufmerksamkeit würdig wären. Die Gelegenheit, aus dieser lautersten und ergiebigsten Quelle zu schöpfen, ist daher eine recht eingeschränkte. Was aus den unbeeinflußten Mitteilungen Erwachsener über ihre bewußten Kindheitserinnerungen stammt, unterliegt höchstens der Einwendung der möglichen Verfälschung in der Rückschau, wird aber außerdem nach dem Gesichtspunkte zu werten sein, daß die Gewährspersonen später neurotisch geworden sind. Das Material der dritten Herkunft wird allen Anfechtungen unterliegen, die man gegen die Verläßlichkeit der Psychoanalyse und die Sicherheit der aus ihr gezogenen Schlüsse ins Feld zu führen pflegt; die Rechtfertigung dieses Urteils kann also hier nicht versucht werden; ich will nur versichern, daß derjenige, welcher die psychoanalytische Technik kennt und ausübt, ein weitgehendes Zutrauen zu ihren Ergebnissen gewinnt.</w:t>
      </w:r>
    </w:p>
    <w:p w:rsidR="008725BE" w:rsidRPr="008725BE" w:rsidRDefault="008725BE" w:rsidP="008725BE">
      <w:pPr>
        <w:pStyle w:val="Sansinterligne"/>
        <w:rPr>
          <w:rFonts w:ascii="Garamond" w:hAnsi="Garamond"/>
          <w:lang w:val="en-GB"/>
        </w:rPr>
      </w:pPr>
      <w:r w:rsidRPr="008725BE">
        <w:rPr>
          <w:rFonts w:ascii="Garamond" w:hAnsi="Garamond"/>
          <w:lang w:val="en-GB"/>
        </w:rPr>
        <w:t>Für die Vollständigkeit meiner Resultate kann ich nicht einstehen, bloß für die Sorgfalt, mit der ich mich um ihre Gewinnung bemüht habe.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schwierige Frage bleibt es zu entscheiden, inwieweit man das, was hier von den Kindern im allgemeinen berichtet wird, von allen Kindern, das heißt von jedem einzelnen Kinde, voraussetzen darf. Erziehungsdruck und verschiedene Intensität des Sexualtriebes werden gewiß große individuelle Schwankungen im Sexualverhalten des Kindes ermöglichen, vor allem das zeitliche Auftreten des kindlichen Sexualinteresses beeinflussen. Ich habe darum meine Darstellung nicht nach aufeinanderfolgenden Kindheitsepochen gegliedert, sondern in einem zusammengefaßt, was bei verschiedenen Kindern bald früher, bald später zur Geltung kommt. Es ist meine Überzeugung, daß sich doch kein Kind – kein vollsinniges wenigstens oder gar geistig begabtes – der Beschäftigung mit den sexuellen Problemen in den Jahren </w:t>
      </w:r>
      <w:r w:rsidRPr="008725BE">
        <w:rPr>
          <w:rFonts w:ascii="Garamond" w:hAnsi="Garamond"/>
          <w:i/>
          <w:iCs/>
          <w:lang w:val="en-GB"/>
        </w:rPr>
        <w:t>vor</w:t>
      </w:r>
      <w:r w:rsidRPr="008725BE">
        <w:rPr>
          <w:rFonts w:ascii="Garamond" w:hAnsi="Garamond"/>
          <w:lang w:val="en-GB"/>
        </w:rPr>
        <w:t xml:space="preserve"> der Pubertät entziehen kann.</w:t>
      </w:r>
    </w:p>
    <w:p w:rsidR="008725BE" w:rsidRPr="008725BE" w:rsidRDefault="008725BE" w:rsidP="008725BE">
      <w:pPr>
        <w:pStyle w:val="Sansinterligne"/>
        <w:rPr>
          <w:rFonts w:ascii="Garamond" w:hAnsi="Garamond"/>
          <w:lang w:val="en-GB"/>
        </w:rPr>
      </w:pPr>
      <w:r w:rsidRPr="008725BE">
        <w:rPr>
          <w:rFonts w:ascii="Garamond" w:hAnsi="Garamond"/>
          <w:lang w:val="en-GB"/>
        </w:rPr>
        <w:t>Ich denke nicht groß von dem Einwurfe, daß die Neurotiker eine besondere, durch degenerative Anlage ausgezeichnete Menschenklasse sind, aus deren Kinderleben auf die Kindheit anderer zu schließen untersagt sein müßte. Die Neurotiker sind Menschen wie andere auch, von den normalen nicht scharf abzugrenzen, in ihrer Kindheit nicht immer leicht von denjenigen, die später gesund bleiben, zu unterscheiden. Es ist eines der wertvollsten Ergebnisse unserer psychoanalytischen Untersuchungen, daß ihre Neurosen keinen besonderen, ihnen eigentümlich und allein zukommenden psychischen Inhalt haben, sondern daß sie, wie C. G. Jung es ausdrückt, an denselben Komplexen erkranken, mit denen auch wir Gesunde kämpfen. Der Unterschied ist nur der, daß die Gesunden diese Komplexe zu bewältigen wissen ohne groben, praktisch nachweisbaren Schaden, während den Nervösen die Unterdrückung dieser Komplexe nur um den Preis von kostspieligen Ersatzbildungen gelingt, also praktisch mißlingt. Nervöse und Normale stehen einander in der Kindheit natürlich noch viel näher als im späteren Leben, so daß ich einen methodischen Fehler nicht darin erblicken kann, die Mitteilungen von Neurotikern über ihre Kindheit zu Analogieschlüssen über das normale Kindheitsleben zu verwerten. Da aber die späteren Neurotiker sehr häufig einen besonders starken Geschlechtstrieb und eine Neigung zur Frühreife, vorzeitiger Äußerung desselben, in ihrer Konstitution mitbringen, werden sie uns vieles von der infantilen Sexualbetätigung greller und deutlicher erkennen lassen, als unserer ohnedies stumpfen Beobachtungsgabe an anderen Kindern möglich wäre. Der wirkliche Wert dieser von erwachsenen Neurotikern herrührenden Mitteilungen wird sich allerdings erst abschätzen lassen, wenn man nach dem Vorgange von Havelock Ellis auch die Kindheitserinnerungen erwachsener Gesunder der Sammlung gewürdigt haben wird.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Infolge der Ungunst äußerer wie innerer Verhältnisse haben die nachstehenden Mitteilungen vorwiegend nur auf die Sexualentwicklung des einen Geschlechtes, des männlichen nämlich, Bezug. Der Wert einer Sammlung aber, wie ich sie hier versuche, braucht kein bloß deskriptiver zu sein. Die Kenntnis der infantilen Sexualtheorien, wie sie sich im kindlichen Denken gestalten, kann nach verschiedenen Richtungen interessant sein, überraschenderweise auch für das Verständnis der Mythen und Märchen. </w:t>
      </w:r>
      <w:r w:rsidRPr="008725BE">
        <w:rPr>
          <w:rFonts w:ascii="Garamond" w:hAnsi="Garamond"/>
          <w:lang w:val="en-GB"/>
        </w:rPr>
        <w:lastRenderedPageBreak/>
        <w:t>Unentbehrlich bleibt sie aber für die Auffassung der Neurosen selbst, innerhalb deren diese kindlichen Theorien noch in Geltung sind und einen bestimmenden Einfluß auf die Gestaltung der Symptome gewinnen.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wir unter Verzicht auf unsere Leiblichkeit als bloß denkende Wesen, etwa von einem anderen Planeten her, die Dinge dieser Erde frisch ins Auge fassen könnten, so würde vielleicht nichts anderes unserer Aufmerksamkeit mehr auffallen als die Existenz zweier Geschlechter unter den Menschen, die, einander sonst so </w:t>
      </w:r>
      <w:r w:rsidRPr="008725BE">
        <w:rPr>
          <w:rFonts w:ascii="Garamond" w:hAnsi="Garamond"/>
          <w:i/>
          <w:iCs/>
          <w:lang w:val="en-GB"/>
        </w:rPr>
        <w:t>ähnlich</w:t>
      </w:r>
      <w:r w:rsidRPr="008725BE">
        <w:rPr>
          <w:rFonts w:ascii="Garamond" w:hAnsi="Garamond"/>
          <w:lang w:val="en-GB"/>
        </w:rPr>
        <w:t>, doch durch die äußerlichsten Anzeichen ihre Verschiedenheit betonen. Es scheint nun nicht, daß auch die Kinder diese Grundtatsache zum Ausgange ihrer Forschungen über sexuelle Probleme wählen. Da sie Vater und Mutter kennen, soweit sie sich ihres Lebens erinnern, nehmen sie deren Vorhandensein als eine weiter nicht zu untersuchende Realität hin, und ebenso verhält sich der Knabe gegen ein Schwesterchen, von dem er nur durch eine geringe Altersdifferenz von ein oder zwei Jahren getrennt ist. Der Wissensdrang der Kinder erwacht hier überhaupt nicht spontan, etwa infolge eines eingeborenen Kausalitätsbedürfnisses, sondern unter dem Stachel der sie beherrschenden eigensüchtigen Triebe, wenn sie – etwa nach Vollendung des zweiten Lebensjahres – von der Ankunft eines neuen Kindes betroffen werden. Diejenigen Kinder, deren Kinderstube nicht im Hause selbst eine solche Einquartierung empfängt, sind dann noch imstande, sich nach ihren Beobachtungen in anderen Häusern in diese Situation zu versetzen. Der selbst erfahrene oder mit Recht befürchtete Entgang an Fürsorge von Seiten der Eltern, die Ahnung, allen Besitz von nun an für alle Zeiten mit dem Neuankömmlinge teilen zu müssen, wirken erweckend auf das Gefühlsleben des Kindes und verschärfend auf seine Denkfähigkeit. Das ältere Kind äußert unverhohlene Feindseligkeit gegen den Konkurrenten, die sich in unliebenswürdiger Beurteilung desselben, in Wünschen, daß »der Storch ihn wieder mitnehmen möge«, und dergleichen Luft macht und gelegentlich selbst zu kleinen Attentaten auf das hilflos in der Wiege Daliegende führt. Eine größere Altersdifferenz schwächt den Ausdruck dieser primären Feindseligkeit in der Regel ab; ebenso kann in etwas späteren Jahren, wenn Geschwister ausbleiben, der Wunsch nach einem Gespielen, wie das Kind ihn anderswo beobachten konnte, die Oberhand erhalten.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Unter der Anregung dieser Gefühle und Sorgen kommt das Kind nun zur Beschäftigung mit dem ersten, großartigen Problem des Lebens und stellt sich die Frage, </w:t>
      </w:r>
      <w:r w:rsidRPr="008725BE">
        <w:rPr>
          <w:rFonts w:ascii="Garamond" w:hAnsi="Garamond"/>
          <w:i/>
          <w:iCs/>
          <w:lang w:val="en-GB"/>
        </w:rPr>
        <w:t>woher die Kinder kommen</w:t>
      </w:r>
      <w:r w:rsidRPr="008725BE">
        <w:rPr>
          <w:rFonts w:ascii="Garamond" w:hAnsi="Garamond"/>
          <w:lang w:val="en-GB"/>
        </w:rPr>
        <w:t>, die wohl zuerst lautet, woher dieses einzelne störende Kind gekommen ist. Den Nachklang dieser ersten Rätselfrage glaubt man in unbestimmt vielen Rätseln des Mythus und der Sage zu vernehmen; die Frage selbst ist, wie alles Forschen, ein Produkt der Lebensnot, als ob dem Denken die Aufgabe gestellt würde, das Wiedereintreffen so gefürchteter Ereignisse zu verhüten. Nehmen wir indes an, daß sich das Denken des Kindes alsbald von seiner Anregung frei macht und als selbständiger Forschertrieb weiterarbeitet. Wo das Kind nicht bereits zu sehr eingeschüchtert ist, schlägt es früher oder später den nächsten Weg ein, Antwort von seinen Eltern und Pflegepersonen, die ihm die Quelle des Wissens bedeuten, zu verlangen. Dieser Weg geht aber fehl. Das Kind erhält entweder ausweichende Antwort oder einen Verweis für seine Wißbegierde oder wird mit jener mythologisch bedeutsamen Auskunft abgefertigt, die in deutschen Landen lautet: Der Storch bringe die Kinder, die er aus dem Wasser hole. Ich habe Grund anzunehmen, daß weit mehr Kinder, als die Eltern ahnen, mit dieser Lösung unzufrieden sind und ihr energische Zweifel entgegensetzen, die nur nicht immer offen eingestanden werden. Ich weiß von einem dreijährigen Knaben, der nach erhaltener Aufklärung zum Schrecken seiner Kinderfrau vermißt wurde und sich am Ufer des großen Schloßteiches wiederfand, wohin er geeilt war, um die Kinder im Wasser zu beobachten, von einem anderen, der seinem Unglauben keine andere als die zaghafte Aussprache gestatten konnte, er wisse es besser, nicht der Storch bringe die Kinder, sondern der – Fischreiher. Es scheint mir aus vielen Mitteilungen hervorzugehen, daß die Kinder der Storchtheorie den Glauben verweigern, von dieser ersten Täuschung und Abweisung an aber ein Mißtrauen gegen die Erwachsenen in sich nähren, die Ahnung von etwas Verbotenem gewinnen, das ihnen von den »Großen« vorenthalten wird, und darum ihre weiteren Forschungen mit Geheimnis verhüllen. Sie haben dabei aber auch den ersten Anlaß eines »psychischen Konflikts« erlebt, indem Meinungen, für die sie eine triebartige Bevorzugung empfinden, die aber den Großen nicht »recht« sind, in Gegensatz zu anderen geraten, die durch die Autorität der »Großen« gehalten werden, ohne ihnen selbst genehm zu sein. Aus diesem psychischen Konflikte kann bald eine »psychische Spaltung« werden; die eine Meinung, mit der die Bravheit, aber auch die Sistierung des Nachdenkens verbunden ist, wird zur herrschenden bewußten; die andere, für die die Forscherarbeit unterdes neue Beweise erbracht hat, die nicht gelten sollen, zur unterdrückten, »unbewußten«. Der Kernkomplex der Neurose findet sich auf diese Weise konstituiert.</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Ich habe kürzlich durch die Analyse eines fünfjährigen Knaben, die dessen Vater mit ihm angestellt und mir dann zur Veröffentlichung überlassen hat, den unwiderleglichen Nachweis für eine Einsicht erhalten, auf deren Spur mich die Psychoanalysen Erwachsener längst geführt hatten. Ich weiß jetzt, daß die Graviditätsveränderung der Mutter den scharfen Augen des Kindes nicht entgeht und daß dieses sehr wohl imstande ist, eine Weile nachher den richtigen Zusammenhang zwischen der Leibeszunahme der Mutter und dem Erscheinen des Kindes herzustellen. In dem erwähnten Falle war der Knabe dreieinhalb Jahre alt, als seine Schwester geboren wurde, und vierdreiviertel, als er sein besseres Wissen durch die unverkennbarsten Anspielungen erraten ließ. Diese frühzeitige Erkenntnis wird aber immer geheimgehalten und später im Zusammenhange mit den weiteren Schicksalen der kindlichen Sexualforschung verdrängt und vergessen.</w:t>
      </w:r>
    </w:p>
    <w:p w:rsidR="008725BE" w:rsidRPr="008725BE" w:rsidRDefault="008725BE" w:rsidP="008725BE">
      <w:pPr>
        <w:pStyle w:val="Sansinterligne"/>
        <w:rPr>
          <w:rFonts w:ascii="Garamond" w:hAnsi="Garamond"/>
          <w:lang w:val="en-GB"/>
        </w:rPr>
      </w:pPr>
      <w:r w:rsidRPr="008725BE">
        <w:rPr>
          <w:rFonts w:ascii="Garamond" w:hAnsi="Garamond"/>
          <w:lang w:val="en-GB"/>
        </w:rPr>
        <w:t>Die »Storchfabel« gehört also nicht zu den infantilen Sexualtheorien; es ist im Gegenteile die Beobachtung der Tiere, die ihr Sexualleben so wenig verhüllen und denen sich das Kind so verwandt fühlt, die den Unglauben des Kindes bestärkt. Mit der Erkenntnis, das Kind wachse im Leibe der Mutter, die das Kind noch selbständig erwirbt, wäre es auf dem richtigen Wege, das Problem, an dem es zuerst seine Denkkraft erprobt, zu lösen. Im weiteren Fortschreiten wird es aber gehemmt durch eine Unwissenheit, die sich nicht ersetzen läßt, und durch falsche Theorien, welche der Zustand der eigenen Sexualität ihm aufdrängt.</w:t>
      </w:r>
    </w:p>
    <w:p w:rsidR="008725BE" w:rsidRPr="008725BE" w:rsidRDefault="008725BE" w:rsidP="008725BE">
      <w:pPr>
        <w:pStyle w:val="Sansinterligne"/>
        <w:rPr>
          <w:rFonts w:ascii="Garamond" w:hAnsi="Garamond"/>
          <w:lang w:val="en-GB"/>
        </w:rPr>
      </w:pPr>
      <w:r w:rsidRPr="008725BE">
        <w:rPr>
          <w:rFonts w:ascii="Garamond" w:hAnsi="Garamond"/>
          <w:lang w:val="en-GB"/>
        </w:rPr>
        <w:t>Diese falschen Sexualtheorien, die ich nun erörtern werde, haben alle einen sehr merkwürdigen Charakter. Obwohl sie in grotesker Weise fehlgehen, enthalten sie doch, jede von ihnen, ein Stück echter Wahrheit, in dieser Zusammensetzung analog den »genial« geheißenen Lösungsversuchen Erwachsener an den für den Menschenverstand überschwierigen Weltproblemen. Das Richtige und Triftige an diesen Theorien erklärt sich durch deren Abkunft von den Komponenten des Sexualtriebes, die sich bereits im kindlichen Organismus regen; denn nicht psychische Willkür oder zufällige Eindrücke haben diese Annahmen entstehen lassen, sondern die Notwendigkeiten der psychosexuellen Konstitution, und darum können wir von typischen Sexualtheorien der Kinder sprechen, darum finden wir die nämlichen irrigen Meinungen bei allen Kindern, deren Sexualleben uns zugänglich wird.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erste dieser Theorien knüpft an die Vernachlässigung der Geschlechtsunterschiede an, die wir eingangs als kennzeichnend für das Kind hervorgehoben haben. Sie besteht darin, </w:t>
      </w:r>
      <w:r w:rsidRPr="008725BE">
        <w:rPr>
          <w:rFonts w:ascii="Garamond" w:hAnsi="Garamond"/>
          <w:i/>
          <w:iCs/>
          <w:lang w:val="en-GB"/>
        </w:rPr>
        <w:t>allen Menschen, auch den weiblichen Personen, einen Penis zuzusprechen</w:t>
      </w:r>
      <w:r w:rsidRPr="008725BE">
        <w:rPr>
          <w:rFonts w:ascii="Garamond" w:hAnsi="Garamond"/>
          <w:lang w:val="en-GB"/>
        </w:rPr>
        <w:t xml:space="preserve">, wie ihn der Knabe vom eigenen Körper kennt. Gerade in jener Sexualkonstitution, die wir als die »normale« anerkennen müssen, ist der Penis schon in der Kindheit die leitende erogene Zone, das hauptsächlichste autoerotische Sexualobjekt, und seine Wertschätzung spiegelt sich logisch in dem Unvermögen, eine dem Ich ähnliche Persönlichkeit ohne diesen wesentlichen Bestandteil vorzustellen. Wenn der kleine Knabe das Genitale eines Schwesterchens zu Gesicht bekommt, so zeigen seine Äußerungen, daß sein Vorurteil bereits stark genug ist, um die Wahrnehmung zu beugen; er konstatiert nicht etwa das Fehlen des Gliedes, sondern sagt </w:t>
      </w:r>
      <w:r w:rsidRPr="008725BE">
        <w:rPr>
          <w:rFonts w:ascii="Garamond" w:hAnsi="Garamond"/>
          <w:i/>
          <w:iCs/>
          <w:lang w:val="en-GB"/>
        </w:rPr>
        <w:t>regelmäßig</w:t>
      </w:r>
      <w:r w:rsidRPr="008725BE">
        <w:rPr>
          <w:rFonts w:ascii="Garamond" w:hAnsi="Garamond"/>
          <w:lang w:val="en-GB"/>
        </w:rPr>
        <w:t>, wie tröstend und vermittelnd: der ... ist aber noch klein; nun, wenn sie größer wird, wird er schon wachsen. Die Vorstellung des Weibes mit dem Penis kehrt noch spät in den Träumen des Erwachsenen wieder; in nächtlicher sexueller Erregung wirft er ein Weib nieder, entblößt es und bereitet sich zum Koitus, um dann beim Anblick des wohlausgebildeten Gliedes an Stelle der weiblichen Genitalien den Traum und die Erregung abzubrechen. Die zahlreichen Hermaphroditen des klassischen Altertums geben diese einst allgemeine infantile Vorstellung getreulich wieder; man kann beobachten, daß sie auf die meisten normalen Menschen nicht verletzend wirkt, während die wirklich von der Natur zugelassenen hermaphroditischen Bildungen der Genitalien fast immer den größten Abscheu erregen.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sich diese Vorstellung des Weibes mit dem Penis bei dem Kinde »fixiert«, allen Einflüssen des späteren Lebens widersteht und den Mann unfähig macht, bei seinem Sexualobjekt auf den Penis zu verzichten, so muß ein solches Individuum bei sonst normalem Sexualleben ein Homosexueller werden, seine Sexualobjekte unter den Männern suchen, die durch andere somatische und seelische Charaktere an das Weib erinnern. Das wirkliche Weib, wie es später erkannt wird, bleibt als Sexualobjekt unmöglich für ihn, da es des wesentlichen sexuellen Reizes entbehrt, ja im Zusammenhange mit einem anderen Eindruck des Kinderlebens kann es zum Abscheu für ihn werden. Das hauptsächlich von der Peniserregung beherrschte Kind hat sich gewöhnlich durch Reizung desselben mit der Hand Lust geschafft, ist von den Eltern oder Wartepersonen dabei ertappt und mit der Drohung, man werde ihm das Glied abschneiden, geschreckt worden. Die Wirkung dieser »Kastrationsdrohung« ist im richtigen Verhältnisse zur Schätzung dieses Körperteiles eine ganz außerordentlich tiefgreifende und nachhaltige. Sagen und Mythen zeugen von dem Aufruhr des kindlichen Gefühlslebens, von dem Entsetzen, das sich an den Kastrationskomplex knüpft, der dann später auch entsprechend widerwillig vom Bewußtsein erinnert wird. An diese Drohung mahnt nun das später wahrgenommene, als verstümmelt aufgefaßte Genitale des Weibes, und darum </w:t>
      </w:r>
      <w:r w:rsidRPr="008725BE">
        <w:rPr>
          <w:rFonts w:ascii="Garamond" w:hAnsi="Garamond"/>
          <w:lang w:val="en-GB"/>
        </w:rPr>
        <w:lastRenderedPageBreak/>
        <w:t>erweckt es beim Homosexuellen Grausen anstatt Lust. An dieser Reaktion kann nichts mehr geändert werden, wenn der Homosexuelle von der Wissenschaft erfährt, daß die kindliche Annahme, auch die Frau besitze einen Penis, doch nicht so irregeht. Die Anatomie hat die Klitoris innerhalb der weiblichen Schamspalte als das dem Penis homologe Organ erkannt, und die Physiologie der Sexualvorgänge hat hinzufügen können, daß dieser kleine und nicht mehr wachsende Penis sich in der Kindheit des Weibes tatsächlich wie ein echter und rechter Penis benimmt, daß er zum Sitz von Erregungen wird, die zu seiner Berührung veranlassen, daß seine Reizbarkeit der Sexualbetätigung des kleinen Mädchens männlichen Charakter verleiht und daß es eines Verdrängungsschubes in den Pubertätsjahren bedarf, um durch Hinwegräumung dieser männlichen Sexualität das Weib entstehen zu lassen. Wie nun viele Frauen in ihrer Sexualfunktion daran verkümmern, daß diese Klitoriserregbarkeit hartnäckig festgehalten wird, so daß sie im Koitusverkehr anästhetisch bleiben, oder daß die Verdrängung zu übermäßig erfolgt, so daß ihre Wirkung durch hysterische Ersatzbildung teilweise aufgehoben wird; dies alles gibt der infantilen Sexualtheorie, das Weib besitze wie der Mann einen Penis, nicht unrecht.</w:t>
      </w:r>
    </w:p>
    <w:p w:rsidR="008725BE" w:rsidRPr="008725BE" w:rsidRDefault="008725BE" w:rsidP="008725BE">
      <w:pPr>
        <w:pStyle w:val="Sansinterligne"/>
        <w:rPr>
          <w:rFonts w:ascii="Garamond" w:hAnsi="Garamond"/>
          <w:lang w:val="en-GB"/>
        </w:rPr>
      </w:pPr>
      <w:r w:rsidRPr="008725BE">
        <w:rPr>
          <w:rFonts w:ascii="Garamond" w:hAnsi="Garamond"/>
          <w:lang w:val="en-GB"/>
        </w:rPr>
        <w:t>An dem kleinen Mädchen kann man mit Leichtigkeit beobachten, daß es die Schätzung des Bruders durchaus teilt. Es entwickelt ein großes Interesse für diesen Körperteil beim Knaben, das aber alsbald vom Neide kommandiert wird. Es fühlt sich benachteiligt, es macht Versuche, in solcher Stellung zu urinieren, wie es dem Knaben durch den Besitz des großen Penis ermöglicht wird, und wenn es den Wunsch äußert: Ich möchte lieber ein Bub sein, so wissen wir, welchem Mangel dieser Wunsch abhelfen soll.</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das Kind den Andeutungen folgen könnte, die von der Erregung des Penis ausgehen, so würde es der Lösung seines Problems um ein Stück näher rücken. Daß das Kind im Leibe der Mutter wächst, ist offenbar nicht genug Erklärung. Wie kommt es hinein? Was gibt den Anstoß zu seiner Entwicklung? Daß der Vater etwas damit zu tun hat, ist wahrscheinlich; er erklärt ja, das Kind sei auch sein Kind </w:t>
      </w:r>
      <w:hyperlink r:id="rId91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hiezu die Analyse des fünfjährigen Knaben.</w:t>
        </w:r>
      </w:hyperlink>
      <w:r w:rsidRPr="008725BE">
        <w:rPr>
          <w:rFonts w:ascii="Garamond" w:hAnsi="Garamond"/>
          <w:lang w:val="en-GB"/>
        </w:rPr>
        <w:t>. Anderseits hat der Penis gewiß auch seinen Anteil an diesen nicht zu erratenden Vorgängen, er bezeugt es durch seine Miterregung bei all dieser Gedankenarbeit. Mit dieser Erregung sind Antriebe verbunden, die das Kind sich nicht zu deuten weiß, dunkle Impulse zu gewaltsamem Tun, zum Eindringen, Zerschlagen, irgendwo ein Loch aufreißen. Aber wenn das Kind so auf dem besten Wege scheint, die Existenz der Scheide zu postulieren und dem Penis des Vaters ein solches Eindringen bei der Mutter zuzuschreiben als jenen Akt, durch den das Kind im Leibe der Mutter entsteht, so bricht an dieser Stelle doch die Forschung ratlos ab, denn ihr steht die Theorie im Wege, daß die Mutter einen Penis besitzt wie ein Mann, und die Existenz des Hohlraumes, der den Penis aufnimmt, bleibt für das Kind unentdeckt. Daß die Erfolglosigkeit der Denkbemühung dann ihre Verwerfung und ihr Vergessen erleichtert, wird man gern annehmen. Dieses Grübeln und Zweifeln wird aber vorbildlich für alle spätere Denkarbeit an Problemen, und der erste Mißerfolg wirkt für alle Zeiten lähmend fort.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Unkenntnis der Vagina ermöglicht dem Kinde auch die Überzeugung von der zweiten seiner Sexualtheorien. Wenn das Kind im Leibe der Mutter wächst und aus diesem entfernt wird, so kann dies nur auf dem einzig möglichen Wege der Darmöffnung geschehen. </w:t>
      </w:r>
      <w:r w:rsidRPr="008725BE">
        <w:rPr>
          <w:rFonts w:ascii="Garamond" w:hAnsi="Garamond"/>
          <w:i/>
          <w:iCs/>
          <w:lang w:val="en-GB"/>
        </w:rPr>
        <w:t>Das Kind muß entleert werden wie ein Exkrement, ein Stuhlgang.</w:t>
      </w:r>
      <w:r w:rsidRPr="008725BE">
        <w:rPr>
          <w:rFonts w:ascii="Garamond" w:hAnsi="Garamond"/>
          <w:lang w:val="en-GB"/>
        </w:rPr>
        <w:t xml:space="preserve"> Wenn dieselbe Frage in späteren Kinderjahren Gegenstand des einsamen Nachdenkens oder der Besprechung zwischen zwei Kindern wird, so stellen sich wohl die Auskünfte ein, das Kind komme aus dem sich öffnenden Nabel oder der Bauch werde aufgeschnitten und das Kind herausgenommen, wie es dem Wolfe im Märchen von Rotkäppchen geschieht. Diese Theorien werden laut ausgesprochen und später auch bewußt erinnert; sie enthalten nichts Anstößiges mehr. Dieselben Kinder haben dann völlig vergessen, daß sie in früheren Jahren an eine andere Geburtstheorie glaubten, welcher gegenwärtig die seither eingetretene Verdrängung der analen Sexualkomponente im Wege steht. Damals war der Stuhlgang etwas, wovon in der Kinderstube ohne Scheu gesprochen werden durfte, das Kind stand seinen konstitutionellen koprophilen Neigungen noch nicht so ferne; es war keine Degradation, so zur Welt zu kommen wie ein Haufen Kot, den der Ekel noch nicht verdammt hatte. Die Kloakentheorie, die für so viele Tiere ja zu Recht besteht, war die natürlichste und die einzige, die sich dem Kinde als wahrscheinlich aufdrängen konnte.</w:t>
      </w:r>
    </w:p>
    <w:p w:rsidR="008725BE" w:rsidRPr="008725BE" w:rsidRDefault="008725BE" w:rsidP="008725BE">
      <w:pPr>
        <w:pStyle w:val="Sansinterligne"/>
        <w:rPr>
          <w:rFonts w:ascii="Garamond" w:hAnsi="Garamond"/>
          <w:lang w:val="en-GB"/>
        </w:rPr>
      </w:pPr>
      <w:r w:rsidRPr="008725BE">
        <w:rPr>
          <w:rFonts w:ascii="Garamond" w:hAnsi="Garamond"/>
          <w:lang w:val="en-GB"/>
        </w:rPr>
        <w:t>Dann war es aber nur konsequent, daß das Kind das schmerzliche Vorrecht des Weibes, Kinder zu gebären, nicht gelten ließ. Wenn die Kinder durch den After geboren werden, so kann der Mann ebensogut gebären wie das Weib. Der Knabe kann also auch phantasieren, daß er selbst Kinder bekommt, ohne daß wir ihn darum femininer Neigungen zu beschuldigen brauchen. Er betätigt dabei nur seine noch regsame Analerotik.</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Wenn sich die Kloakentheorie der Geburt im Bewußtsein späterer Kinderjahre erhält, was gelegentlich vorkommt, so bringt sie auch eine allerdings nicht mehr ursprüngliche Lösung der Frage nach der Entstehung der Kinder mit sich. Es ist dann wie im Märchen. Man ißt etwas Bestimmtes, und davon bekommt man ein Kind. Die Geisteskranke belebt diese infantile Geburtstheorie dann wieder. Die Maniaka etwa führt den besuchenden Arzt zu einem Häufchen Kot, das sie in einer Ecke ihrer Zelle abgesetzt hat, und sagt ihm lachend: Das ist das Kind, das ich heute geboren habe.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dritte der typischen Sexualtheorien ergibt sich den Kindern, wenn sie durch irgendeine der häuslichen Zufälligkeiten zu Zeugen des elterlichen Sexualverkehrs werden, über den sie dann doch nur sehr unvollständige Wahrnehmungen machen können. Welches Stück desselben dann immer in ihre Beobachtung fällt, ob die gegenseitige Lage der beiden Personen oder die Geräusche oder gewisse Nebenumstände, sie gelangen in allen Fällen zur nämlichen, wir können sagen </w:t>
      </w:r>
      <w:r w:rsidRPr="008725BE">
        <w:rPr>
          <w:rFonts w:ascii="Garamond" w:hAnsi="Garamond"/>
          <w:i/>
          <w:iCs/>
          <w:lang w:val="en-GB"/>
        </w:rPr>
        <w:t>sadistischen Auffassung des Koitus</w:t>
      </w:r>
      <w:r w:rsidRPr="008725BE">
        <w:rPr>
          <w:rFonts w:ascii="Garamond" w:hAnsi="Garamond"/>
          <w:lang w:val="en-GB"/>
        </w:rPr>
        <w:t xml:space="preserve">, sehen in ihm etwas, was der stärkere Teil dem schwächeren mit Gewalt antut, und vergleichen ihn, zumal die Knaben, mit einer Rauferei, wie sie sie aus ihrem Kinderverkehr kennen und die ja auch der Beimengung sexueller Erregung nicht ermangelt. Ich habe nicht feststellen können, daß die Kinder diesen von ihnen beobachteten Vorgang zwischen den Eltern als das zur Lösung des Kinderproblems erforderliche Stück agnoszieren würden; öfter hatte es den Anschein, als würde diese Beziehung von den Kindern gerade darum verkannt, weil sie dem Liebesakte solche Deutung ins Gewalttätige gegeben haben. Aber diese Auffassung macht selbst den Eindruck einer Wiederkehr jenes dunkeln Impulses zur grausamen Betätigung, der sich beim ersten Nachdenken über das Rätsel, woher die Kinder kommen, an die Peniserregung knüpfte. Es ist auch die Möglichkeit nicht abzuleugnen, daß jener frühzeitige sadistische Impuls, der den Koitus beinahe hätte erraten lassen, selbst unter dem Einflusse dunkelster Erinnerungen an den Verkehr der Eltern aufgetreten ist, für die das Kind, als es noch in den ersten Lebensjahren das Schlafzimmer der Eltern teilte, das Material aufgenommen hatte, ohne es damals zu verwerten </w:t>
      </w:r>
      <w:hyperlink r:id="rId91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In dem 1794 veröffentlichten, autobiographischen Buche </w:t>
        </w:r>
        <w:r w:rsidRPr="008725BE">
          <w:rPr>
            <w:rStyle w:val="innerfusslink3"/>
            <w:rFonts w:ascii="Garamond" w:hAnsi="Garamond" w:cs="Arial"/>
            <w:b/>
            <w:bCs/>
            <w:i/>
            <w:iCs/>
            <w:lang w:val="en-GB"/>
          </w:rPr>
          <w:t>Monsieur Nicolas</w:t>
        </w:r>
        <w:r w:rsidRPr="008725BE">
          <w:rPr>
            <w:rStyle w:val="innerfusslink3"/>
            <w:rFonts w:ascii="Garamond" w:hAnsi="Garamond" w:cs="Arial"/>
            <w:b/>
            <w:bCs/>
            <w:lang w:val="en-GB"/>
          </w:rPr>
          <w:t xml:space="preserve"> bestätigt Restif de la Bretonne dieses sadistische Mißverständnis des Koitus in der Erzählung eines Eindruckes aus seinem vierten Lebensjahre.</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Die sadistische Theorie des Koitus, die in ihrer Isoliertheit zur Irreführung wird, wo sie hätte Bestätigung bringen können, ist wiederum der Ausdruck einer der angeborenen sexuellen Komponenten, die bei dem einzelnen Kinde mehr oder minder stark ausgeprägt sein mag, und sie hat daher ein Stück weit recht, errät zum Teil das Wesen des Geschlechtsaktes und den »Kampf der Geschlechter«, der ihm vorhergeht. Nicht selten ist das Kind auch in der Lage, diese seine Auffassung durch akzidentelle Wahrnehmungen zu stützen, die es zum Teil richtig, zum anderen wieder falsch, ja gegensätzlich erfaßt. In vielen Ehen sträubt sich die Frau wirklich regelmäßig gegen die eheliche Umarmung, die ihr keine Lust und die Gefahr neuer Schwangerschaft bringt, und so mag die Mutter dem für schlafend gehaltenen (oder sich schlafend stellenden) Kinde einen Eindruck bieten, der gar nicht anders denn als ein Wehren gegen eine Gewalttat gedeutet werden kann. Andere Male noch gibt die ganze Ehe dem aufmerksamen Kinde das Schauspiel eines unausgesetzten, in lauten Worten und unfreundlichen Gebärden sich äußernden Streites, wo dann das Kind sich nicht zu wundern braucht, daß dieser Streit sich auch in die Nacht fortsetzt und endlich durch dieselben Methoden ausgetragen wird, die das Kind im Verkehre mit seinen Geschwistern oder Spielgenossen zu gebrauchen gewöhnt ist.</w:t>
      </w:r>
    </w:p>
    <w:p w:rsidR="008725BE" w:rsidRPr="008725BE" w:rsidRDefault="008725BE" w:rsidP="008725BE">
      <w:pPr>
        <w:pStyle w:val="Sansinterligne"/>
        <w:rPr>
          <w:rFonts w:ascii="Garamond" w:hAnsi="Garamond"/>
          <w:lang w:val="en-GB"/>
        </w:rPr>
      </w:pPr>
      <w:r w:rsidRPr="008725BE">
        <w:rPr>
          <w:rFonts w:ascii="Garamond" w:hAnsi="Garamond"/>
          <w:lang w:val="en-GB"/>
        </w:rPr>
        <w:t>Als eine Bestätigung seiner Auffassung sieht das Kind es aber auch an, wenn es Blutspuren im Bett oder an der Wäsche der Mutter entdeckt. Diese sind ihm ein Beweis dafür, daß in der Nacht wieder ein solcher Überfall des Vaters auf die Mutter stattgefunden hat, während wir dieselbe frische Blutspur lieber als Anzeichen einer Pause im sexuellen Verkehre deuten werden. Manche sonst unerklärliche »Blutscheu« der Nervösen findet durch diesen Zusammenhang ihre Aufklärung. Der Irrtum des Kindes deckt wiederum ein Stückchen Wahrheit; unter gewissen, bekannten Verhältnissen wird die Blutspur allerdings als Zeichen des eingeleiteten sexuellen Verkehres gewürdigt.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loserem Zusammenhange mit dem unlösbaren Problem, woher die Kinder kommen, beschäftigt sich das Kind mit der Frage, was das Wesen und der Inhalt des Zustandes sei, den man »Verheiratetsein« heißt, und beantwortet diese Frage verschieden, je nach dem Zusammentreffen von zufälligen Wahrnehmungen bei den Eltern mit den eigenen noch lustbetonten Trieben. Nur daß es sich vom Verheiratetsein Lustbefriedigung verspricht und ein Hinwegsetzen über die Scham vermutet, scheint allen diesen Beantwortungen gemeinsam. Die Auffassung, die ich am häufigsten gefunden habe, lautet, daß » </w:t>
      </w:r>
      <w:r w:rsidRPr="008725BE">
        <w:rPr>
          <w:rFonts w:ascii="Garamond" w:hAnsi="Garamond"/>
          <w:i/>
          <w:iCs/>
          <w:lang w:val="en-GB"/>
        </w:rPr>
        <w:t>man voreinanderuriniert</w:t>
      </w:r>
      <w:r w:rsidRPr="008725BE">
        <w:rPr>
          <w:rFonts w:ascii="Garamond" w:hAnsi="Garamond"/>
          <w:lang w:val="en-GB"/>
        </w:rPr>
        <w:t xml:space="preserve">«; eine Abänderung, die so klingt, als ob sie symbolisch ein Mehrwissen andeuten wollte: daß </w:t>
      </w:r>
      <w:r w:rsidRPr="008725BE">
        <w:rPr>
          <w:rFonts w:ascii="Garamond" w:hAnsi="Garamond"/>
          <w:i/>
          <w:iCs/>
          <w:lang w:val="en-GB"/>
        </w:rPr>
        <w:t>der Mann in den Topf der Frau uriniert</w:t>
      </w:r>
      <w:r w:rsidRPr="008725BE">
        <w:rPr>
          <w:rFonts w:ascii="Garamond" w:hAnsi="Garamond"/>
          <w:lang w:val="en-GB"/>
        </w:rPr>
        <w:t xml:space="preserve">. Andere Male wird der Sinn des Heiratens darin verlegt: </w:t>
      </w:r>
      <w:r w:rsidRPr="008725BE">
        <w:rPr>
          <w:rFonts w:ascii="Garamond" w:hAnsi="Garamond"/>
          <w:i/>
          <w:iCs/>
          <w:lang w:val="en-GB"/>
        </w:rPr>
        <w:t>daß man einander den Popo zeigt</w:t>
      </w:r>
      <w:r w:rsidRPr="008725BE">
        <w:rPr>
          <w:rFonts w:ascii="Garamond" w:hAnsi="Garamond"/>
          <w:lang w:val="en-GB"/>
        </w:rPr>
        <w:t xml:space="preserve"> (ohne sich zu schämen). In einem Falle, in dem es der Erziehung gelungen war, die </w:t>
      </w:r>
      <w:r w:rsidRPr="008725BE">
        <w:rPr>
          <w:rFonts w:ascii="Garamond" w:hAnsi="Garamond"/>
          <w:lang w:val="en-GB"/>
        </w:rPr>
        <w:lastRenderedPageBreak/>
        <w:t xml:space="preserve">Sexualerfahrung besonders lange aufzuschieben, kam das vierzehnjährige und bereits menstruierte Mädchen über Anregung der Lektüre auf die Idee, das Verheiratetsein bestehe in einer » </w:t>
      </w:r>
      <w:r w:rsidRPr="008725BE">
        <w:rPr>
          <w:rFonts w:ascii="Garamond" w:hAnsi="Garamond"/>
          <w:i/>
          <w:iCs/>
          <w:lang w:val="en-GB"/>
        </w:rPr>
        <w:t>Mischung des Blutes</w:t>
      </w:r>
      <w:r w:rsidRPr="008725BE">
        <w:rPr>
          <w:rFonts w:ascii="Garamond" w:hAnsi="Garamond"/>
          <w:lang w:val="en-GB"/>
        </w:rPr>
        <w:t>«, und da die eigene Schwester noch nicht die Periode hatte, versuchte die Lüsterne ein Attentat auf eine Besucherin, welche gestanden hatte, eben zu menstruieren, um sie zu dieser »Blutvermischung« zu nötigen.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infantilen Meinungen über das Wesen der Ehe, die nicht selten von der bewußten Erinnerung festgehalten werden, haben für die Symptomatik späterer neurotischer Erkrankung große Bedeutung. Sie schaffen sich zunächst Ausdruck in Kinderspielen, in denen man das miteinander tut, was das Verheiratetsein ausmacht, und dann später einmal kann sich der Wunsch, verheiratet zu sein, die infantile Ausdrucksform wählen, um in einer zunächst unkenntlichen Phobie oder einem entsprechenden Symptom aufzutreten </w:t>
      </w:r>
      <w:hyperlink r:id="rId91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 für die spätere Neurose bedeutsamsten Kinderspiele sind das »Doktorspiel« und »Papa- und Mama«-Spielen.</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wären dies die wichtigsten der typischen, in frühen Kindheitsjahren und spontan, nur unter dem Einflüsse der sexuellen Triebkomponenten produzierten Sexualtheorien des Kindes. Ich weiß, daß ich weder die Vollständigkeit des Materials noch die Herstellung des lückenlosen Zusammenhanges mit dem sonstigen Kinderleben erreicht habe. Einzelne Nachträge kann ich hier noch anfügen, die sonst jeder Kundige vermißt hätte. So zum Beispiel die bedeutsame Theorie, daß man ein Kind durch einen Kuß bekommt, die wie selbstverständlich die Vorherrschaft der erogenen Mundzone verrät. Nach meiner Erfahrung ist diese Theorie ausschließlich feminin und wird als pathogen manchmal bei Mädchen angetroffen, bei denen die Sexualforschung in der Kindheit die stärksten Hemmungen erfahren hat. Eine meiner Patientinnen gelangte durch eine zufällige Wahrnehmung zur Theorie der » </w:t>
      </w:r>
      <w:r w:rsidRPr="008725BE">
        <w:rPr>
          <w:rFonts w:ascii="Garamond" w:hAnsi="Garamond"/>
          <w:i/>
          <w:iCs/>
          <w:lang w:val="en-GB"/>
        </w:rPr>
        <w:t>Couvade</w:t>
      </w:r>
      <w:r w:rsidRPr="008725BE">
        <w:rPr>
          <w:rFonts w:ascii="Garamond" w:hAnsi="Garamond"/>
          <w:lang w:val="en-GB"/>
        </w:rPr>
        <w:t>«, die bekanntlich bei manchen Völkern allgemeine Sitte ist und wahrscheinlich die Absicht hat, dem nie völlig zu besiegenden Zweifel an der Paternität zu widersprechen. Da ein etwas sonderbarer Onkel nach der Geburt seines Kindes tagelang zu Hause blieb und die Besucher im Schlafrock empfing, schloß sie, daß bei einer Geburt beide Eltern beteiligt seien und zu Bette gehen müßten.</w:t>
      </w:r>
    </w:p>
    <w:p w:rsidR="008725BE" w:rsidRPr="008725BE" w:rsidRDefault="008725BE" w:rsidP="008725BE">
      <w:pPr>
        <w:pStyle w:val="Sansinterligne"/>
        <w:rPr>
          <w:rFonts w:ascii="Garamond" w:hAnsi="Garamond"/>
          <w:lang w:val="en-GB"/>
        </w:rPr>
      </w:pPr>
      <w:r w:rsidRPr="008725BE">
        <w:rPr>
          <w:rFonts w:ascii="Garamond" w:hAnsi="Garamond"/>
          <w:lang w:val="en-GB"/>
        </w:rPr>
        <w:t>Um das zehnte oder elfte Lebensjahr tritt die sexuelle Mitteilung an die Kinder heran. Ein Kind, welches in ungehemmteren sozialen Verhältnissen aufgewachsen ist oder sonst glücklichere Gelegenheit zur Beobachtung gefunden hat, teilt anderen mit, was es weiß, weil es sich dabei reif und überlegen empfinden kann. Was die Kinder so erfahren, ist meist das Richtige, das heißt, es wird ihnen die Existenz der Vagina und deren Bestimmung verraten, aber sonst sind diese Aufklärungen, die sie voneinander entlehnen, nicht selten mit Falschem vermengt, mit Überresten der älteren infantilen Sexualtheorien behaftet. Vollständig und zur Lösung des uralten Problems ausreichend sind sie fast nie. Wie früher die Unkenntnis der Vagina, so hindert jetzt die des Samens die Einsicht in den Zusammenhang. Das Kind kann nicht erraten, daß aus dem männlichen Geschlechtsglied noch eine andere Substanz entleert wird als der Harn, und gelegentlich zeigt sich ein »unschuldiges Mädchen« noch in der Brautnacht entrüstet darüber, daß der Mann »in sie hineinuriniere«. An diese Mitteilungen in den Jahren der Vorpubertät schließt sich nun ein neuer Aufschwung der kindlichen Sexualforschung; aber die Theorien, welche die Kinder jetzt schaffen, haben nicht mehr das typische und ursprüngliche Gepräge, das für die frühkindlichen, primären, charakteristisch war, solange die infantilen Sexualkomponenten ungehemmt und unverwandelt ihren Ausdruck in Theorien durchsetzen konnten. Die späteren Denkbemühungen zur Lösung der sexuellen Rätsel schienen mir die Sammlung nicht zu verlohnen, sie können auch auf pathogene Bedeutung wenig Anspruch mehr erheben. Ihre Mannigfaltigkeit ist natürlich in erster Linie von der Natur der erhaltenen Aufklärung abhängig; ihre Bedeutung liegt vielmehr darin, daß sie die unbewußtgewordenen Spuren jener ersten Periode des sexuellen Interesses wieder erwecken, so daß nicht selten masturbatorische Sexualbetätigung und ein Stück der Gefühlsablösung von den Eltern an sie anknüpft. Daher das verdammende Urteil der Erzieher, daß solche Aufklärung in diesen Jahren die Kinder »verderbe«.</w:t>
      </w:r>
    </w:p>
    <w:p w:rsidR="008725BE" w:rsidRPr="008725BE" w:rsidRDefault="008725BE" w:rsidP="008725BE">
      <w:pPr>
        <w:pStyle w:val="Sansinterligne"/>
        <w:rPr>
          <w:rFonts w:ascii="Garamond" w:hAnsi="Garamond"/>
        </w:rPr>
      </w:pPr>
      <w:r w:rsidRPr="008725BE">
        <w:rPr>
          <w:rFonts w:ascii="Garamond" w:hAnsi="Garamond"/>
          <w:lang w:val="en-GB"/>
        </w:rPr>
        <w:t xml:space="preserve">Einige wenige Beispiele mögen zeigen, welche Elemente oft in diese späten Grübeleien der Kinder über das Sexualleben eingehen. Ein Mädchen hat von den Schulkolleginnen gehört, daß der Mann der Frau ein Ei gibt, welches sie in ihrem Leibe ausbrütet. Ein Knabe, der auch vom Ei gehört hat, identifiziert dieses »Ei« mit dem vulgär ebenso benannten Hoden und zerbricht sich den Kopf darüber, wie denn der Inhalt des Hodensackes sich immer wieder erneuern kann. Die Aufklärungen reichen selten so weit, um wesentliche Unsicherheiten über die Geschlechtsvorgänge zu verhüten. So können Mädchen zur Erwartung kommen, der Geschlechtsverkehr finde nur ein einziges Mal statt, dauere aber da sehr lange, vierundzwanzig Stunden, und von diesem einen Male kämen der Reihe nach alle Kinder. Man sollte meinen, dieses Kind habe Kenntnis von dem Fortpflanzungsvorgang bei gewissen Insekten gewonnen; aber diese Vermutung bestätigt sich nicht, die Theorie erscheint als eine selbständige Schöpfung. Andere </w:t>
      </w:r>
      <w:r w:rsidRPr="008725BE">
        <w:rPr>
          <w:rFonts w:ascii="Garamond" w:hAnsi="Garamond"/>
          <w:lang w:val="en-GB"/>
        </w:rPr>
        <w:lastRenderedPageBreak/>
        <w:t xml:space="preserve">Mädchen übersehen die Tragzeit, das Leben im Mutterleibe, und nehmen an, daß das Kind unmittelbar nach der Nacht des ersten Verkehrs zum Vorschein komme. </w:t>
      </w:r>
      <w:r w:rsidRPr="008725BE">
        <w:rPr>
          <w:rFonts w:ascii="Garamond" w:hAnsi="Garamond"/>
        </w:rPr>
        <w:t xml:space="preserve">Marcel Prevost hat diesen Jungmädchenirrtum in einer der </w:t>
      </w:r>
      <w:r w:rsidRPr="008725BE">
        <w:rPr>
          <w:rFonts w:ascii="Garamond" w:hAnsi="Garamond"/>
          <w:i/>
          <w:iCs/>
        </w:rPr>
        <w:t>Lettres de femmes</w:t>
      </w:r>
      <w:r w:rsidRPr="008725BE">
        <w:rPr>
          <w:rFonts w:ascii="Garamond" w:hAnsi="Garamond"/>
        </w:rPr>
        <w:t xml:space="preserve"> zu einer lustigen Geschichte verarbeitet. Schwer zu erschöpfen und vielleicht im allgemeinen nicht uninteressant ist das Thema dieser späten Sexualforschung der Kinder oder auf der kindlichen Stufe zurückgehaltenen Adoleszenten, aber es liegt meinem Interesse ferner, und ich muß nur noch hervorheben, daß dabei von den Kindern viel Unrechtes zutage gefördert wird, was dazu bestimmt ist, älterer, besserer, aber unbewußtgewordener und verdrängter Erkenntnis zu widersprechen.</w:t>
      </w:r>
    </w:p>
    <w:p w:rsidR="008725BE" w:rsidRPr="008725BE" w:rsidRDefault="008725BE" w:rsidP="008725BE">
      <w:pPr>
        <w:pStyle w:val="Sansinterligne"/>
        <w:rPr>
          <w:rFonts w:ascii="Garamond" w:hAnsi="Garamond"/>
          <w:lang w:val="en-GB"/>
        </w:rPr>
      </w:pPr>
      <w:r w:rsidRPr="008725BE">
        <w:rPr>
          <w:rFonts w:ascii="Garamond" w:hAnsi="Garamond"/>
          <w:lang w:val="en-GB"/>
        </w:rPr>
        <w:t>Auch die Art, wie die Kinder sich gegen die ihnen zugehenden Mitteilungen verhalten, hat ihre Bedeutung. Bei manchen ist die Sexualverdrängung so weit gediehen, daß sie nichts anhören wollen, und diesen gelingt es auch, bis in späte Jahre unwissend zu bleiben, scheinbar unwissend wenigstens, bis in der Psychoanalyse der Neurotischen das aus früher Kindheit stammende Wissen zum Vorschein kommt. Ich weiß auch von zwei Knaben zwischen zehn und dreizehn Jahren, welche die sexuelle Aufklärung zwar anhörten, aber dem Gewährsmanne die ablehnende Antwort gaben: Es ist möglich, daß dein Vater und andere Leute so etwas tun, aber von meinem Vater weiß ich es gewiß, daß er es nie tun würde. Wie mannigfaltig immer dieses spätere Benehmen der Kinder gegen die Befriedigung der sexuellen Wißbegierde sein mag, für ihre ersten Kinderjahre dürfen wir ein durchaus gleichförmiges Verhalten annehmen und glauben, daß sie damals alle aufs eifrigste bestrebt waren zu erfahren, was die Eltern miteinander tun, woraus dann die Kinder werden.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96" w:name="KS61"/>
        <w:bookmarkEnd w:id="196"/>
        <w:r w:rsidRPr="008725BE">
          <w:rPr>
            <w:rStyle w:val="Lienhypertexte"/>
            <w:rFonts w:ascii="Garamond" w:hAnsi="Garamond"/>
            <w:b/>
            <w:lang w:val="en-GB"/>
          </w:rPr>
          <w:t>er libidinöse Typen</w:t>
        </w:r>
      </w:hyperlink>
      <w:r w:rsidRPr="008725BE">
        <w:rPr>
          <w:rFonts w:ascii="Garamond" w:hAnsi="Garamond"/>
          <w:lang w:val="en-GB"/>
        </w:rPr>
        <w:t xml:space="preserve">  </w:t>
      </w:r>
      <w:r w:rsidRPr="008725BE">
        <w:rPr>
          <w:rFonts w:ascii="Garamond" w:hAnsi="Garamond"/>
          <w:caps/>
          <w:lang w:val="en-GB"/>
        </w:rPr>
        <w:t>(1931)</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Unsere Beobachtung zeigt uns, daß die einzelnen menschlichen Personen das allgemeine Bild des Menschen in einer kaum übersehbaren Mannigfaltigkeit verwirklichen. Wenn man dem berechtigten Bedürfnis nachgibt, in dieser Menge einzelne Typen zu unterscheiden, so wird man von vorneherein die Wahl haben, nach welchen Merkmalen und von welchen Gesichtspunkten man diese Sonderung vornehmen soll. Körperliche Eigenschaften werden für diesen Zweck gewiß nicht weniger brauchbar sein als psychische; am wertvollsten werden solche Unterscheidungen sein, die ein regelmäßiges Beisammensein von körperlichen und seelischen Merkmalen versprechen.</w:t>
      </w:r>
    </w:p>
    <w:p w:rsidR="008725BE" w:rsidRPr="008725BE" w:rsidRDefault="008725BE" w:rsidP="008725BE">
      <w:pPr>
        <w:pStyle w:val="Sansinterligne"/>
        <w:rPr>
          <w:rFonts w:ascii="Garamond" w:hAnsi="Garamond"/>
          <w:lang w:val="en-GB"/>
        </w:rPr>
      </w:pPr>
      <w:r w:rsidRPr="008725BE">
        <w:rPr>
          <w:rFonts w:ascii="Garamond" w:hAnsi="Garamond"/>
          <w:lang w:val="en-GB"/>
        </w:rPr>
        <w:t>Es ist fraglich, ob es uns bereits jetzt möglich ist, Typen von solcher Leistung herauszufinden, wie es später einmal auf einer noch unbekannten Basis gewiß gelingen wird. Beschränkt man sich auf die Bemühung, bloß psychologische Typen aufzustellen, so haben die Verhältnisse der Libido den ersten Anspruch, der Einteilung als Grundlage zu dienen. Man darf fordern, daß diese Einteilung nicht bloß aus unserem Wissen oder unseren Annahmen über die Libido abgeleitet sei, sondern daß sie sich auch in der Erfahrung leicht wiederfinden lasse und daß sie ihr Teil dazu beitrage, die Masse unserer Beobachtungen für unsere Auffassung zu klären. Es ist ohne weiteres zuzugeben, daß diese libidinösen Typen auch auf psychischem Gebiet nicht die einzig möglichen zu sein brauchen und daß man, von anderen Eigenschaften ausgehend, vielleicht eine ganze Reihe anderer psychologischer Typen aufstellen kann. Für alle solche Typen muß gelten, daß sie nicht mit Krankheitsbildern zusammenfallen dürfen. Sie sollen im Gegenteil alle die Variationen umfassen, die nach unserer praktisch gerichteten Schätzung in die Breite des Normalen fallen. Wohl aber können sie sich in ihren extremen Ausbildungen den Krankheitsbildern annähern und solcherart die vermeintliche Kluft zwischen dem Normalen und dem Pathologischen ausfüllen helfen.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Nun lassen sich je nach der vorwiegenden Unterbringung der Libido in den Provinzen des seelischen Apparats drei libidinöse Haupttypen unterscheiden. Deren Namengebung ist nicht ganz leicht; in Anlehnung an unsere Tiefenpsychologie möchte ich sie als den </w:t>
      </w:r>
      <w:r w:rsidRPr="008725BE">
        <w:rPr>
          <w:rFonts w:ascii="Garamond" w:hAnsi="Garamond"/>
          <w:i/>
          <w:iCs/>
          <w:lang w:val="en-GB"/>
        </w:rPr>
        <w:t>erotischen</w:t>
      </w:r>
      <w:r w:rsidRPr="008725BE">
        <w:rPr>
          <w:rFonts w:ascii="Garamond" w:hAnsi="Garamond"/>
          <w:lang w:val="en-GB"/>
        </w:rPr>
        <w:t xml:space="preserve">, den </w:t>
      </w:r>
      <w:r w:rsidRPr="008725BE">
        <w:rPr>
          <w:rFonts w:ascii="Garamond" w:hAnsi="Garamond"/>
          <w:i/>
          <w:iCs/>
          <w:lang w:val="en-GB"/>
        </w:rPr>
        <w:t>narzißtischen</w:t>
      </w:r>
      <w:r w:rsidRPr="008725BE">
        <w:rPr>
          <w:rFonts w:ascii="Garamond" w:hAnsi="Garamond"/>
          <w:lang w:val="en-GB"/>
        </w:rPr>
        <w:t xml:space="preserve"> und den </w:t>
      </w:r>
      <w:r w:rsidRPr="008725BE">
        <w:rPr>
          <w:rFonts w:ascii="Garamond" w:hAnsi="Garamond"/>
          <w:i/>
          <w:iCs/>
          <w:lang w:val="en-GB"/>
        </w:rPr>
        <w:t>Zwangstypus</w:t>
      </w:r>
      <w:r w:rsidRPr="008725BE">
        <w:rPr>
          <w:rFonts w:ascii="Garamond" w:hAnsi="Garamond"/>
          <w:lang w:val="en-GB"/>
        </w:rPr>
        <w:t xml:space="preserve"> bezeichnen.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w:t>
      </w:r>
      <w:r w:rsidRPr="008725BE">
        <w:rPr>
          <w:rFonts w:ascii="Garamond" w:hAnsi="Garamond"/>
          <w:i/>
          <w:iCs/>
          <w:lang w:val="en-GB"/>
        </w:rPr>
        <w:t>erotische</w:t>
      </w:r>
      <w:r w:rsidRPr="008725BE">
        <w:rPr>
          <w:rFonts w:ascii="Garamond" w:hAnsi="Garamond"/>
          <w:lang w:val="en-GB"/>
        </w:rPr>
        <w:t xml:space="preserve"> Typus ist leicht zu charakterisieren. Die Erotiker sind Personen, deren Hauptinteresse – der relativ größte Betrag ihrer Libido – dem Liebesleben zugewendet ist. Lieben, besonders aber Geliebtwerden, ist ihnen das Wichtigste. Sie werden von der Angst vor dem Liebesverlust beherrscht und sind darum besonders abhängig von den anderen, die ihnen die Liebe versagen können. Dieser Typus ist auch in seiner reinen Form recht häufig. Variationen desselben ergeben sich je nach der Vermengung mit einem andern Typus und dem gleichzeitigen Ausmaß von Aggression. Sozial wie kulturell vertritt dieser Typus die elementaren Triebansprüche des Es, dem die andern psychischen Instanzen gefügig geworden sind.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zweite Typus, dem ich den zunächst befremdlichen Namen </w:t>
      </w:r>
      <w:r w:rsidRPr="008725BE">
        <w:rPr>
          <w:rFonts w:ascii="Garamond" w:hAnsi="Garamond"/>
          <w:i/>
          <w:iCs/>
          <w:lang w:val="en-GB"/>
        </w:rPr>
        <w:t>Zwangstypus</w:t>
      </w:r>
      <w:r w:rsidRPr="008725BE">
        <w:rPr>
          <w:rFonts w:ascii="Garamond" w:hAnsi="Garamond"/>
          <w:lang w:val="en-GB"/>
        </w:rPr>
        <w:t xml:space="preserve"> gegeben habe, zeichnet sich durch die Vorherrschaft des Über-Ichs aus, das sich unter hoher Spannung vom Ich absondert. Er wird von der Gewissensangst beherrscht an Stelle der Angst vor dem Liebesverlust, zeigt eine sozusagen innere Abhängigkeit anstatt der äußeren, entfaltet ein hohes Maß von Selbständigkeit und wird sozial zum eigentlichen, vorwiegend konservativen Träger der Kultur.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dritte, mit gutem Recht </w:t>
      </w:r>
      <w:r w:rsidRPr="008725BE">
        <w:rPr>
          <w:rFonts w:ascii="Garamond" w:hAnsi="Garamond"/>
          <w:i/>
          <w:iCs/>
          <w:lang w:val="en-GB"/>
        </w:rPr>
        <w:t>narzißtisch</w:t>
      </w:r>
      <w:r w:rsidRPr="008725BE">
        <w:rPr>
          <w:rFonts w:ascii="Garamond" w:hAnsi="Garamond"/>
          <w:lang w:val="en-GB"/>
        </w:rPr>
        <w:t xml:space="preserve"> geheißene Typus ist wesentlich negativ charakterisiert. Keine Spannung zwischen Ich und Über-Ich – man würde von diesem Typus her kaum zur Aufstellung eines Über-Ichs gekommen sein –, keine Übermacht der erotischen Bedürfnisse, das Hauptinteresse auf die Selbsterhaltung gerichtet, unabhängig und wenig eingeschüchtert. Dem Ich ist ein großes Maß von Aggression verfügbar, das sich auch in Bereitschaft zur Aktivität kundgibt; im Liebesleben wird das Lieben vor dem Geliebtwerden bevorzugt. Menschen dieses Typus imponieren den andern als »Persönlichkeiten«, sind besonders geeignet, anderen als Anhalt zu dienen, die Rolle von Führern zu übernehmen, der Kulturentwicklung neue Anregungen zu geben oder das Bestehende zu schädigen.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 reinen Typen werden dem Verdacht der Ableitung aus der Theorie der Libido kaum entgehen. Man fühlt sich aber auf dem sicheren Boden der Erfahrung, wenn man sich nun den gemischten Typen zuwendet, die um so viel häufiger zur Beobachtung kommen als die reinen. Diese neuen Typen, der </w:t>
      </w:r>
      <w:r w:rsidRPr="008725BE">
        <w:rPr>
          <w:rFonts w:ascii="Garamond" w:hAnsi="Garamond"/>
          <w:i/>
          <w:iCs/>
          <w:lang w:val="en-GB"/>
        </w:rPr>
        <w:t>erotisch-zwanghafte</w:t>
      </w:r>
      <w:r w:rsidRPr="008725BE">
        <w:rPr>
          <w:rFonts w:ascii="Garamond" w:hAnsi="Garamond"/>
          <w:lang w:val="en-GB"/>
        </w:rPr>
        <w:t xml:space="preserve">, der </w:t>
      </w:r>
      <w:r w:rsidRPr="008725BE">
        <w:rPr>
          <w:rFonts w:ascii="Garamond" w:hAnsi="Garamond"/>
          <w:i/>
          <w:iCs/>
          <w:lang w:val="en-GB"/>
        </w:rPr>
        <w:t>erotisch-narzißtische</w:t>
      </w:r>
      <w:r w:rsidRPr="008725BE">
        <w:rPr>
          <w:rFonts w:ascii="Garamond" w:hAnsi="Garamond"/>
          <w:lang w:val="en-GB"/>
        </w:rPr>
        <w:t xml:space="preserve"> und der </w:t>
      </w:r>
      <w:r w:rsidRPr="008725BE">
        <w:rPr>
          <w:rFonts w:ascii="Garamond" w:hAnsi="Garamond"/>
          <w:i/>
          <w:iCs/>
          <w:lang w:val="en-GB"/>
        </w:rPr>
        <w:t>narzißtische Zwangstypus</w:t>
      </w:r>
      <w:r w:rsidRPr="008725BE">
        <w:rPr>
          <w:rFonts w:ascii="Garamond" w:hAnsi="Garamond"/>
          <w:lang w:val="en-GB"/>
        </w:rPr>
        <w:t xml:space="preserve">, scheinen in der Tat eine gute Unterbringung der individuellen psychischen Strukturen, wie wir sie durch die Analyse kennengelernt haben, zu gestatten. Es sind längst vertraute Charakterbilder, auf die man bei der Verfolgung dieser Mischtypen gerät. Beim </w:t>
      </w:r>
      <w:r w:rsidRPr="008725BE">
        <w:rPr>
          <w:rFonts w:ascii="Garamond" w:hAnsi="Garamond"/>
          <w:i/>
          <w:iCs/>
          <w:lang w:val="en-GB"/>
        </w:rPr>
        <w:t>erotischen Zwangstypus</w:t>
      </w:r>
      <w:r w:rsidRPr="008725BE">
        <w:rPr>
          <w:rFonts w:ascii="Garamond" w:hAnsi="Garamond"/>
          <w:lang w:val="en-GB"/>
        </w:rPr>
        <w:t xml:space="preserve"> scheint die Übermacht des Trieblebens durch den Einfluß des Über-Ichs eingeschränkt; die Abhängigkeit gleichzeitig von rezenten menschlichen Objekten und von </w:t>
      </w:r>
      <w:r w:rsidRPr="008725BE">
        <w:rPr>
          <w:rFonts w:ascii="Garamond" w:hAnsi="Garamond"/>
          <w:lang w:val="en-GB"/>
        </w:rPr>
        <w:lastRenderedPageBreak/>
        <w:t xml:space="preserve">den Relikten der Eltern, Erzieher und Vorbilder erreicht bei diesem Typus den höchsten Grad. Der </w:t>
      </w:r>
      <w:r w:rsidRPr="008725BE">
        <w:rPr>
          <w:rFonts w:ascii="Garamond" w:hAnsi="Garamond"/>
          <w:i/>
          <w:iCs/>
          <w:lang w:val="en-GB"/>
        </w:rPr>
        <w:t>erotisch-narzißtische</w:t>
      </w:r>
      <w:r w:rsidRPr="008725BE">
        <w:rPr>
          <w:rFonts w:ascii="Garamond" w:hAnsi="Garamond"/>
          <w:lang w:val="en-GB"/>
        </w:rPr>
        <w:t xml:space="preserve"> ist vielleicht jener, dem man die größte Häufigkeit zusprechen muß. Er vereinigt Gegensätze, die sich in ihm gegenseitig ermäßigen können; man kann an ihm im Vergleich mit den beiden anderen erotischen Typen lernen, daß Aggression und Aktivität mit der Vorherrschaft des Narzißmus zusammengehen. Der </w:t>
      </w:r>
      <w:r w:rsidRPr="008725BE">
        <w:rPr>
          <w:rFonts w:ascii="Garamond" w:hAnsi="Garamond"/>
          <w:i/>
          <w:iCs/>
          <w:lang w:val="en-GB"/>
        </w:rPr>
        <w:t>narzißtische Zwangstypus</w:t>
      </w:r>
      <w:r w:rsidRPr="008725BE">
        <w:rPr>
          <w:rFonts w:ascii="Garamond" w:hAnsi="Garamond"/>
          <w:lang w:val="en-GB"/>
        </w:rPr>
        <w:t xml:space="preserve"> endlich ergibt die kulturell wertvollste Variation, indem er zur äußeren Unabhängigkeit und Beachtung der Gewissensforderung die Fähigkeit zur kraftvollen Betätigung hinzufügt und das Ich gegen das Über-Ich verstärkt.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 könnte meinen, einen Scherz zu machen, wenn man die Frage aufwirft, warum ein anderer theoretisch möglicher Mischtypus hier keine Erwähnung findet, nämlich der </w:t>
      </w:r>
      <w:r w:rsidRPr="008725BE">
        <w:rPr>
          <w:rFonts w:ascii="Garamond" w:hAnsi="Garamond"/>
          <w:i/>
          <w:iCs/>
          <w:lang w:val="en-GB"/>
        </w:rPr>
        <w:t>erotisch-zwanghaft-narzißtische</w:t>
      </w:r>
      <w:r w:rsidRPr="008725BE">
        <w:rPr>
          <w:rFonts w:ascii="Garamond" w:hAnsi="Garamond"/>
          <w:lang w:val="en-GB"/>
        </w:rPr>
        <w:t>. Aber die Antwort auf diesen Scherz ist ernsthaft: weil ein solcher Typus kein Typus mehr wäre, sondern die absolute Norm, die ideale Harmonie bedeuten würde. Man wird dabei inne, daß das Phänomen des Typus eben dadurch entsteht, daß von den drei Hauptverwendungen der Libido im seelischen Haushalt eine oder zwei auf Kosten der anderen begünstigt worden sind.</w:t>
      </w:r>
    </w:p>
    <w:p w:rsidR="008725BE" w:rsidRPr="008725BE" w:rsidRDefault="008725BE" w:rsidP="008725BE">
      <w:pPr>
        <w:pStyle w:val="Sansinterligne"/>
        <w:rPr>
          <w:rFonts w:ascii="Garamond" w:hAnsi="Garamond"/>
          <w:lang w:val="en-GB"/>
        </w:rPr>
      </w:pPr>
      <w:r w:rsidRPr="008725BE">
        <w:rPr>
          <w:rFonts w:ascii="Garamond" w:hAnsi="Garamond"/>
          <w:lang w:val="en-GB"/>
        </w:rPr>
        <w:t>Man kann sich auch die Frage vorlegen, welches das Verhältnis dieser libidinösen Typen zur Pathologie ist, ob einige von ihnen zum Übergang in die Neurose besonders disponiert sind, und dann, welche Typen zu welchen Formen führen. Die Antwort wird lauten, daß die Aufstellung dieser libidinösen Typen kein neues Licht auf die Genese der Neurosen wirft. Nach dem Zeugnis der Erfahrung sind alle diese Typen ohne Neurose lebensfähig. Die reinen Typen mit dem unbestrittenen Übergewicht einer einzelnen seelischen Instanz scheinen die größere Aussicht zu haben, als reine Charakterbilder aufzutreten, während man von den gemischten Typen erwarten könnte, daß sie für die Bedingungen der Neurose einen günstigeren Boden bieten. Doch meine ich, man sollte über diese Verhältnisse nicht ohne besonders gerichtete, sorgfältige Nachprüfung entscheiden.</w:t>
      </w:r>
    </w:p>
    <w:p w:rsidR="008725BE" w:rsidRPr="008725BE" w:rsidRDefault="008725BE" w:rsidP="008725BE">
      <w:pPr>
        <w:pStyle w:val="Sansinterligne"/>
        <w:rPr>
          <w:rFonts w:ascii="Garamond" w:hAnsi="Garamond"/>
          <w:lang w:val="en-GB"/>
        </w:rPr>
      </w:pPr>
      <w:r w:rsidRPr="008725BE">
        <w:rPr>
          <w:rFonts w:ascii="Garamond" w:hAnsi="Garamond"/>
          <w:lang w:val="en-GB"/>
        </w:rPr>
        <w:t>Daß die erotischen Typen im Falle der Erkrankung Hysterie ergeben, wie die Zwangstypen Zwangsneurose, scheint ja leicht zu erraten, ist aber auch an der zuletzt betonten Unsicherheit beteiligt. Die narzißtischen Typen, die bei ihrer sonstigen Unabhängigkeit der Versagung von seiten der Außenwelt ausgesetzt sind, enthalten eine besondere Disposition zur Psychose, wie sie auch wesentliche Bedingungen des Verbrechertums beistellen.</w:t>
      </w:r>
    </w:p>
    <w:p w:rsidR="008725BE" w:rsidRPr="008725BE" w:rsidRDefault="008725BE" w:rsidP="008725BE">
      <w:pPr>
        <w:pStyle w:val="Sansinterligne"/>
        <w:rPr>
          <w:rFonts w:ascii="Garamond" w:hAnsi="Garamond"/>
          <w:lang w:val="en-GB"/>
        </w:rPr>
      </w:pPr>
      <w:r w:rsidRPr="008725BE">
        <w:rPr>
          <w:rFonts w:ascii="Garamond" w:hAnsi="Garamond"/>
          <w:lang w:val="en-GB"/>
        </w:rPr>
        <w:t>Die ätiologischen Bedingungen der Neurose sind bekanntlich noch nicht sicher erkannt. Die Veranlassungen der Neurose sind Versagungen und innere Konflikte, Konflikte zwischen den drei großen psychischen Instanzen, Konflikte innerhalb des Libidohaushalts infolge der bisexuellen Anlage, zwischen den erotischen und aggressiven Triebkomponenten. Was diese dem normalen psychischen Ablauf zugehörigen Vorgänge pathogen macht, bemüht sich die Neurosenpsychologie zu ergründen.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97" w:name="KS62"/>
        <w:bookmarkEnd w:id="197"/>
        <w:r w:rsidRPr="008725BE">
          <w:rPr>
            <w:rStyle w:val="Lienhypertexte"/>
            <w:rFonts w:ascii="Garamond" w:hAnsi="Garamond"/>
            <w:b/>
            <w:lang w:val="en-GB"/>
          </w:rPr>
          <w:t>er neurotische Erkrankungstypen</w:t>
        </w:r>
      </w:hyperlink>
      <w:r w:rsidRPr="008725BE">
        <w:rPr>
          <w:rFonts w:ascii="Garamond" w:hAnsi="Garamond"/>
          <w:lang w:val="en-GB"/>
        </w:rPr>
        <w:t xml:space="preserve">  </w:t>
      </w:r>
      <w:r w:rsidRPr="008725BE">
        <w:rPr>
          <w:rFonts w:ascii="Garamond" w:hAnsi="Garamond"/>
          <w:caps/>
          <w:lang w:val="en-GB"/>
        </w:rPr>
        <w:t>(1912)</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In den nachstehenden Sätzen soll auf Grund empirisch gewonnener Eindrücke dargestellt werden, welche Veränderungen der Bedingungen dafür maßgebend sind, daß bei den hiezu Disponierten eine neurotische Erkrankung zum Ausbruch komme. Es handelt sich also um die Frage der Krankheitsveranlassungen; von den Krankheitsformen wird wenig die Rede sein. Von anderen Zusammenstellungen der Erkrankungsanlässe wird sich diese durch den einen Charakter unterscheiden, daß sie die aufzuzählenden Veränderungen sämtlich auf die Libido des Individuums bezieht. Die Schicksale der Libido erkannten wir ja durch die Psychoanalyse als entscheidend für nervöse Gesundheit oder Krankheit. Auch über den Begriff der Disposition ist in diesem Zusammenhange kein Wort zu verlieren. Gerade die psychoanalytische Forschung hat uns ermöglicht, die neurotische Disposition in der Entwicklungsgeschichte der Libido nachzuweisen und die in ihr wirksamen Faktoren auf mitgeborene Varietäten der sexuellen Konstitution und in der frühen Kindheit erlebte Einwirkungen der Außenwelt zurückzuführen.</w:t>
      </w:r>
    </w:p>
    <w:p w:rsidR="008725BE" w:rsidRPr="008725BE" w:rsidRDefault="008725BE" w:rsidP="008725BE">
      <w:pPr>
        <w:pStyle w:val="Sansinterligne"/>
        <w:rPr>
          <w:rFonts w:ascii="Garamond" w:hAnsi="Garamond"/>
          <w:lang w:val="en-GB"/>
        </w:rPr>
      </w:pPr>
      <w:r w:rsidRPr="008725BE">
        <w:rPr>
          <w:rFonts w:ascii="Garamond" w:hAnsi="Garamond"/>
          <w:i/>
          <w:iCs/>
          <w:lang w:val="en-GB"/>
        </w:rPr>
        <w:t>a)</w:t>
      </w:r>
      <w:r w:rsidRPr="008725BE">
        <w:rPr>
          <w:rFonts w:ascii="Garamond" w:hAnsi="Garamond"/>
          <w:lang w:val="en-GB"/>
        </w:rPr>
        <w:t xml:space="preserve"> Der nächstliegende, am leichtesten auffindbare und am besten verständliche Anlaß zur neurotischen Erkrankung liegt in jenem äußeren Moment vor, welches allgemein als die </w:t>
      </w:r>
      <w:r w:rsidRPr="008725BE">
        <w:rPr>
          <w:rFonts w:ascii="Garamond" w:hAnsi="Garamond"/>
          <w:i/>
          <w:iCs/>
          <w:lang w:val="en-GB"/>
        </w:rPr>
        <w:t>Versagung</w:t>
      </w:r>
      <w:r w:rsidRPr="008725BE">
        <w:rPr>
          <w:rFonts w:ascii="Garamond" w:hAnsi="Garamond"/>
          <w:lang w:val="en-GB"/>
        </w:rPr>
        <w:t xml:space="preserve"> beschrieben werden kann. Das Individuum war gesund, solange seine Liebesbedürftigkeit durch ein reales Objekt der Außenwelt befriedigt wurde; es wird neurotisch, sobald ihm dieses Objekt entzogen wird, ohne daß sich ein Ersatz dafür findet. Glück fällt hier mit Gesundheit, Unglück mit Neurose zusammen. Die Heilung fällt dem Schicksal, welches für die verlorene Befriedigungsmöglichkeit einen Ersatz schenken kann, leichter als dem Arzte.</w:t>
      </w:r>
    </w:p>
    <w:p w:rsidR="008725BE" w:rsidRPr="008725BE" w:rsidRDefault="008725BE" w:rsidP="008725BE">
      <w:pPr>
        <w:pStyle w:val="Sansinterligne"/>
        <w:rPr>
          <w:rFonts w:ascii="Garamond" w:hAnsi="Garamond"/>
          <w:lang w:val="en-GB"/>
        </w:rPr>
      </w:pPr>
      <w:r w:rsidRPr="008725BE">
        <w:rPr>
          <w:rFonts w:ascii="Garamond" w:hAnsi="Garamond"/>
          <w:lang w:val="en-GB"/>
        </w:rPr>
        <w:t>Für diesen Typus, an dem wohl die Mehrzahl der Menschen Anteil hat, beginnt die Erkrankungsmöglichkeit also erst mit der Abstinenz, woraus man ermessen kann, wie bedeutungsvoll die kulturellen Einschränkungen der zugänglichen Befriedigung für die Veranlassung der Neurosen sein mögen. Die Versagung wirkt dadurch pathogen, daß sie die Libido aufstaut und nun das Individuum auf die Probe stellt, wie lange es diese Steigerung der psychischen Spannung ertragen und welche Wege es einschlagen wird, sich ihrer zu entledigen. Es gibt nur zwei Möglichkeiten, sich bei anhaltender realer Versagung der Befriedigung gesund zu erhalten, erstens, indem man die psychische Spannung in tatkräftige Energie umsetzt, welche der Außenwelt zugewendet bleibt und endlich eine reale Befriedigung der Libido von ihr erzwingt, und zweitens, indem man auf die libidinöse Befriedigung verzichtet, die aufgestaute Libido sublimiert und zur Erreichung von Zielen verwendet, die nicht mehr erotische sind und der Versagung entgehen. Daß beide Möglichkeiten in den Schicksalen der Menschen zur Verwirklichung kommen, beweist uns, daß Unglück nicht mit Neurose zusammenfällt und daß die Versagung nicht allein über Gesundheit oder Erkrankung der Betroffenen entscheidet. Die Wirkung der Versagung liegt zunächst darin, daß sie die bis dahin unwirksamen dispositionellen Momente zur Geltung bringt.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Wo diese in genügend starker Ausbildung vorhanden sind, besteht die Gefahr, daß die Libido </w:t>
      </w:r>
      <w:r w:rsidRPr="008725BE">
        <w:rPr>
          <w:rFonts w:ascii="Garamond" w:hAnsi="Garamond"/>
          <w:i/>
          <w:iCs/>
          <w:lang w:val="en-GB"/>
        </w:rPr>
        <w:t>introvertiert</w:t>
      </w:r>
      <w:r w:rsidRPr="008725BE">
        <w:rPr>
          <w:rFonts w:ascii="Garamond" w:hAnsi="Garamond"/>
          <w:lang w:val="en-GB"/>
        </w:rPr>
        <w:t xml:space="preserve"> werde </w:t>
      </w:r>
      <w:hyperlink r:id="rId91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Nach einem von C. G. Jung eingeführten Terminus.</w:t>
        </w:r>
      </w:hyperlink>
      <w:r w:rsidRPr="008725BE">
        <w:rPr>
          <w:rFonts w:ascii="Garamond" w:hAnsi="Garamond"/>
          <w:lang w:val="en-GB"/>
        </w:rPr>
        <w:t xml:space="preserve">. Sie wendet sich von der Realität ab, welche durch die hartnäckige Versagung an Wert für das Individuum verloren hat, wendet sich dem Phantasieleben zu, in welchem sie neue Wunschbildungen schafft und die Spuren früherer, vergessener Wunschbildungen wiederbelebt. Infolge des innigen Zusammenhanges der Phantasietätigkeit mit dem in jedem Individuum vorhandenen infantilen, verdrängten und unbewußt gewordenen Material und dank der Ausnahmsstellung gegen die Realitätsprüfung, die dem Phantasieleben eingeräumt ist </w:t>
      </w:r>
      <w:hyperlink r:id="rId91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meine ›Formulierungen über die zwei Prinzipien des psychischen Geschehens‹.</w:t>
        </w:r>
      </w:hyperlink>
      <w:r w:rsidRPr="008725BE">
        <w:rPr>
          <w:rFonts w:ascii="Garamond" w:hAnsi="Garamond"/>
          <w:lang w:val="en-GB"/>
        </w:rPr>
        <w:t xml:space="preserve">, kann die Libido nun weiter rückläufig werden, auf dem Wege der </w:t>
      </w:r>
      <w:r w:rsidRPr="008725BE">
        <w:rPr>
          <w:rFonts w:ascii="Garamond" w:hAnsi="Garamond"/>
          <w:i/>
          <w:iCs/>
          <w:lang w:val="en-GB"/>
        </w:rPr>
        <w:t>Regression</w:t>
      </w:r>
      <w:r w:rsidRPr="008725BE">
        <w:rPr>
          <w:rFonts w:ascii="Garamond" w:hAnsi="Garamond"/>
          <w:lang w:val="en-GB"/>
        </w:rPr>
        <w:t xml:space="preserve"> infantile Bahnen auffinden und ihnen entsprechende Ziele anstreben. Wenn diese Strebungen, die mit dem aktuellen Zustand der Individualität unverträglich sind, genug Intensität erworben haben, muß es zum Konflikt zwischen ihnen und dem andern Anteil der Persönlichkeit kommen, welcher in Relation zur Realität geblieben ist. Dieser Konflikt wird durch Symptombildungen gelöst und geht in manifeste Erkrankung aus. Daß der ganze Prozeß von der realen Versagung ausgegangen ist, spiegelt sich in dem Ergebnis wider, daß die Symptome, mit denen der Boden der Realität wieder erreicht wird, Ersatzbefriedigungen darstellen.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b)</w:t>
      </w:r>
      <w:r w:rsidRPr="008725BE">
        <w:rPr>
          <w:rFonts w:ascii="Garamond" w:hAnsi="Garamond"/>
          <w:lang w:val="en-GB"/>
        </w:rPr>
        <w:t xml:space="preserve"> Der zweite Typus der Erkrankungsveranlassung ist keineswegs so augenfällig wie der erste und konnte wirklich erst durch eindringende analytische Studien im Anschluß an die Komplexlehre der Züricher Schule aufgedeckt werden </w:t>
      </w:r>
      <w:hyperlink r:id="rId91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Jung (1909).</w:t>
        </w:r>
      </w:hyperlink>
      <w:r w:rsidRPr="008725BE">
        <w:rPr>
          <w:rFonts w:ascii="Garamond" w:hAnsi="Garamond"/>
          <w:lang w:val="en-GB"/>
        </w:rPr>
        <w:t xml:space="preserve">. Das Individuum erkrankt hier nicht infolge einer Veränderung in der Außenwelt, welche an die Stelle der Befriedigung die Versagung gesetzt hat, sondern </w:t>
      </w:r>
      <w:r w:rsidRPr="008725BE">
        <w:rPr>
          <w:rFonts w:ascii="Garamond" w:hAnsi="Garamond"/>
          <w:lang w:val="en-GB"/>
        </w:rPr>
        <w:lastRenderedPageBreak/>
        <w:t xml:space="preserve">infolge einer inneren Bemühung, um sich die in der Realität zugängliche Befriedigung zu holen. Es erkrankt an dem Versuch, sich der Realität anzupassen und die </w:t>
      </w:r>
      <w:r w:rsidRPr="008725BE">
        <w:rPr>
          <w:rFonts w:ascii="Garamond" w:hAnsi="Garamond"/>
          <w:i/>
          <w:iCs/>
          <w:lang w:val="en-GB"/>
        </w:rPr>
        <w:t>Realforderung</w:t>
      </w:r>
      <w:r w:rsidRPr="008725BE">
        <w:rPr>
          <w:rFonts w:ascii="Garamond" w:hAnsi="Garamond"/>
          <w:lang w:val="en-GB"/>
        </w:rPr>
        <w:t xml:space="preserve"> zu erfüllen, wobei es auf unüberwindliche innere Schwierigkeiten stößt.</w:t>
      </w:r>
    </w:p>
    <w:p w:rsidR="008725BE" w:rsidRPr="008725BE" w:rsidRDefault="008725BE" w:rsidP="008725BE">
      <w:pPr>
        <w:pStyle w:val="Sansinterligne"/>
        <w:rPr>
          <w:rFonts w:ascii="Garamond" w:hAnsi="Garamond"/>
          <w:lang w:val="en-GB"/>
        </w:rPr>
      </w:pPr>
      <w:r w:rsidRPr="008725BE">
        <w:rPr>
          <w:rFonts w:ascii="Garamond" w:hAnsi="Garamond"/>
          <w:lang w:val="en-GB"/>
        </w:rPr>
        <w:t>Es empfiehlt sich, die beiden Erkrankungstypen scharf gegeneinander abzusetzen, schärfer, als es die Beobachtung zumeist gestattet. Beim ersten Typus drängt sich eine Veränderung in der Außenwelt vor, beim zweiten fällt der Akzent auf eine innere Veränderung. Nach dem ersten Typus erkrankt man an einem Erlebnis, nach dem zweiten an einem Entwicklungsvorgang. Im ersten Falle wird die Aufgabe gestellt, auf Befriedigung zu verzichten, und das Individuum erkrankt an seiner Widerstandsunfähigkeit; im zweiten Falle lautet die Aufgabe, eine Art der Befriedigung gegen eine andere zu vertauschen, und die Person scheitert an ihrer Starrheit. Im zweiten Falle ist der Konflikt zwischen dem Bestreben, so zu verharren, wie man ist, und dem anderen, sich nach neuen Absichten und neuen Realforderungen zu verändern, von vornherein gegeben; im früheren Falle stellt er sich erst her, nachdem die gestaute Libido andere, und zwar unverträgliche Befriedigungsmöglichkeiten erwählt hat. Die Rolle des Konflikts und der vorherigen Fixierung der Libido sind beim zweiten Typus ungleich augenfälliger als beim ersten, bei dem sich solche unbrauchbare Fixierungen eventuell erst infolge der äußeren Versagung herstellen mögen.</w:t>
      </w:r>
    </w:p>
    <w:p w:rsidR="008725BE" w:rsidRPr="008725BE" w:rsidRDefault="008725BE" w:rsidP="008725BE">
      <w:pPr>
        <w:pStyle w:val="Sansinterligne"/>
        <w:rPr>
          <w:rFonts w:ascii="Garamond" w:hAnsi="Garamond"/>
          <w:lang w:val="en-GB"/>
        </w:rPr>
      </w:pPr>
      <w:r w:rsidRPr="008725BE">
        <w:rPr>
          <w:rFonts w:ascii="Garamond" w:hAnsi="Garamond"/>
          <w:lang w:val="en-GB"/>
        </w:rPr>
        <w:t>Ein junger Mann, der seine Libido bisher durch Phantasien mit Ausgang in Masturbation befriedigt hatte und nun dieses dem Autoerotismus nahestehende Regime mit der realen Objektwahl vertauschen will, ein Mädchen, das seine ganze Zärtlichkeit dem Vater oder Bruder geschenkt hatte und nun für einen um sie werbenden Mann die bisher unbewußten, inzestuösen, Libidowünsche bewußt werden lassen soll, eine Frau, die auf ihre polygamen Neigungen und Prostitutionsphantasien verzichten möchte, um ihrem Mann eine treue Gefährtin und ihrem Kind eine tadellose Mutter zu werden: diese alle erkranken an den lobenswertesten Bestrebungen, wenn die früheren Fixierungen ihrer Libido stark genug sind, um sich einer Verschiebung zu widersetzen, wofür wiederum die Faktoren der Disposition, konstitutionelle Anlage und infantiles Erleben, entscheidend werden. Sie erleben alle sozusagen das Schicksal des Bäumleins im Grimmschen Märchen, das andere Blätter hat gewollt; vom hygienischen Standpunkt, der hier freilich nicht allein in Betracht kommt, könnte man ihnen nur wünschen, daß sie weiterhin so unentwickelt, so minderwertig und nichtsnutzig geblieben wären, wie sie es vor ihrer Erkrankung waren. Die Veränderung, welche die Kranken anstreben, aber nur unvollkommen oder gar nicht zustande bringen, hat regelmäßig den Wert eines Fortschrittes im Sinne des realen Lebens. Anders, wenn man mit ethischem Maßstabe mißt; man sieht die Menschen ebensooft erkranken, wenn sie ein Ideal abstreifen, als wenn sie es erreichen wollen.</w:t>
      </w:r>
    </w:p>
    <w:p w:rsidR="008725BE" w:rsidRPr="008725BE" w:rsidRDefault="008725BE" w:rsidP="008725BE">
      <w:pPr>
        <w:pStyle w:val="Sansinterligne"/>
        <w:rPr>
          <w:rFonts w:ascii="Garamond" w:hAnsi="Garamond"/>
          <w:lang w:val="en-GB"/>
        </w:rPr>
      </w:pPr>
      <w:r w:rsidRPr="008725BE">
        <w:rPr>
          <w:rFonts w:ascii="Garamond" w:hAnsi="Garamond"/>
          <w:lang w:val="en-GB"/>
        </w:rPr>
        <w:t>Ungeachtet der sehr deutlichen Verschiedenheiten der beiden beschriebenen Erkrankungstypen, treffen sie doch im wesentlichen zusammen und lassen sich unschwer zu einer Einheit zusammenfassen. Die Erkrankung an Versagung fällt auch unter den Gesichtspunkt der Unfähigkeit zur Anpassung an die Realität, nämlich an den einen Fall, daß die Realität die Befriedigung der Libido versagt. Die Erkrankung unter den Bedingungen des zweiten Typus führt ohne weiteres zu einem Sonderfall der Versagung. Es ist hiebei zwar nicht jede Art der Befriedigung von der Realität versagt, wohl aber gerade die eine, welche das Individuum für die ihm einzig mögliche erklärt, und die Versagung geht nicht direkt von der Außenwelt, sondern primär von gewissen Strebungen des Ichs aus, aber die Versagung bleibt das Gemeinsame und Übergeordnete. Infolge des Konflikts, der beim zweiten Typus sofort einsetzt, werden beide Arten der Befriedigung, die gewohnte wie die angestrebte, gleichmäßig gehemmt; es kommt zur Libidostauung mit den von ihr ablaufenden Folgen wie im ersten Falle. Die psychischen Vorgänge auf dem Wege zur Symptombildung sind beim zweiten Typus eher übersichtlicher als beim ersten, da die pathogenen Fixierungen der Libido hier nicht erst herzustellen waren, sondern während der Gesundheit in Kraft bestanden hatten. Ein gewisses Maß von Introversion der Libido war meist schon vorhanden; ein Stück der Regression zum Infantilen wird dadurch erspart, daß die Entwicklung noch nicht den ganzen Weg zurückgelegt hatte.</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c)</w:t>
      </w:r>
      <w:r w:rsidRPr="008725BE">
        <w:rPr>
          <w:rFonts w:ascii="Garamond" w:hAnsi="Garamond"/>
          <w:lang w:val="en-GB"/>
        </w:rPr>
        <w:t xml:space="preserve"> Wie eine Übertreibung des zweiten Typus, der Erkrankung an der </w:t>
      </w:r>
      <w:r w:rsidRPr="008725BE">
        <w:rPr>
          <w:rFonts w:ascii="Garamond" w:hAnsi="Garamond"/>
          <w:i/>
          <w:iCs/>
          <w:lang w:val="en-GB"/>
        </w:rPr>
        <w:t>Realforderung</w:t>
      </w:r>
      <w:r w:rsidRPr="008725BE">
        <w:rPr>
          <w:rFonts w:ascii="Garamond" w:hAnsi="Garamond"/>
          <w:lang w:val="en-GB"/>
        </w:rPr>
        <w:t xml:space="preserve">, erscheint der nächste Typus, den ich als Erkrankung durch </w:t>
      </w:r>
      <w:r w:rsidRPr="008725BE">
        <w:rPr>
          <w:rFonts w:ascii="Garamond" w:hAnsi="Garamond"/>
          <w:i/>
          <w:iCs/>
          <w:lang w:val="en-GB"/>
        </w:rPr>
        <w:t>Entwicklungshemmung</w:t>
      </w:r>
      <w:r w:rsidRPr="008725BE">
        <w:rPr>
          <w:rFonts w:ascii="Garamond" w:hAnsi="Garamond"/>
          <w:lang w:val="en-GB"/>
        </w:rPr>
        <w:t xml:space="preserve"> beschreiben will. Ein theoretischer Anspruch, ihn abzusondern, läge nicht vor, wohl aber ein praktischer, da es sich um Personen handelt, die erkranken, sobald sie das unverantwortliche Kindesalter überschreiten, und somit niemals eine Phase von Gesundheit, das heißt von im ganzen uneingeschränkter Leistungs- und Genußfähigkeit erreicht haben. Das Wesentliche des disponierenden Prozesses liegt in diesen Fällen klar zutage. Die Libido hat die infantilen Fixierungen niemals verlassen, die Realforderung tritt nicht plötzlich einmal an das ganz oder zum Teil gereifte Individuum heran, sondern wird durch den Tatbestand des Älterwerdens selbst gegeben, </w:t>
      </w:r>
      <w:r w:rsidRPr="008725BE">
        <w:rPr>
          <w:rFonts w:ascii="Garamond" w:hAnsi="Garamond"/>
          <w:lang w:val="en-GB"/>
        </w:rPr>
        <w:lastRenderedPageBreak/>
        <w:t>indem sie sich selbstverständlicherweise mit dem Alter des Individuums kontinuierlich ändert. Der Konflikt tritt gegen die Unzulänglichkeit zurück, doch müssen wir nach allen unseren sonstigen Einsichten ein Bestreben, die Kindheitsfixierungen zu überwinden, auch hier statuieren, sonst könnte niemals Neurose, sondern nur stationärer Infantilismus der Ausgang des Prozesses sein.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d)</w:t>
      </w:r>
      <w:r w:rsidRPr="008725BE">
        <w:rPr>
          <w:rFonts w:ascii="Garamond" w:hAnsi="Garamond"/>
          <w:lang w:val="en-GB"/>
        </w:rPr>
        <w:t xml:space="preserve"> Wie der dritte Typus uns die disponierende Bedingung fast isoliert vorgeführt hatte, so macht uns der nun folgende vierte auf ein anderes Moment aufmerksam, dessen Wirksamkeit in allen Fällen in Betracht kommt und gerade darum leicht in einer theoretischen Erörterung übersehen werden könnte. Wir sehen nämlich Individuen erkranken, die bisher gesund gewesen waren, an die kein neues Erlebnis herangetreten ist, deren Relation zur Außenwelt keine Änderung erfahren hat, so daß ihre Erkrankung den Eindruck des Spontanen machen muß. Nähere Betrachtung solcher Fälle zeigt uns indes, daß sich in ihnen doch eine Veränderung vollzogen hat, die wir als höchst bedeutsam für die Krankheitsverursachung einschätzen müssen. Infolge des Erreichens eines gewissen Lebensabschnittes und im Anschlüsse an gesetzmäßige biologische Vorgänge hat die </w:t>
      </w:r>
      <w:r w:rsidRPr="008725BE">
        <w:rPr>
          <w:rFonts w:ascii="Garamond" w:hAnsi="Garamond"/>
          <w:i/>
          <w:iCs/>
          <w:lang w:val="en-GB"/>
        </w:rPr>
        <w:t>Quantität</w:t>
      </w:r>
      <w:r w:rsidRPr="008725BE">
        <w:rPr>
          <w:rFonts w:ascii="Garamond" w:hAnsi="Garamond"/>
          <w:lang w:val="en-GB"/>
        </w:rPr>
        <w:t xml:space="preserve"> der Libido in ihrem seelischen Haushalt eine Steigerung erfahren, welche für sich allein hinreicht, das Gleichgewicht der Gesundheit umzuwerfen und die Bedingungen der Neurose herzustellen. Wie bekannt, sind solche eher plötzliche Libidosteigerungen mit der Pubertät und der Menopause, mit dem Erreichen gewisser Jahreszahlen bei Frauen, regelmäßig verbunden; bei manchen Menschen mögen sie sich überdies in noch unbekannten Periodizitäten äußern. Die Libidostauung ist hier das primäre Moment, sie wird pathogen infolge der </w:t>
      </w:r>
      <w:r w:rsidRPr="008725BE">
        <w:rPr>
          <w:rFonts w:ascii="Garamond" w:hAnsi="Garamond"/>
          <w:i/>
          <w:iCs/>
          <w:lang w:val="en-GB"/>
        </w:rPr>
        <w:t>relativen</w:t>
      </w:r>
      <w:r w:rsidRPr="008725BE">
        <w:rPr>
          <w:rFonts w:ascii="Garamond" w:hAnsi="Garamond"/>
          <w:lang w:val="en-GB"/>
        </w:rPr>
        <w:t xml:space="preserve"> Versagung von Seiten der Außenwelt, die einem geringeren Libidoanspruch die Befriedigung noch gestattet hätte. Die unbefriedigte und gestaute Libido kann wieder die Wege zur Regression eröffnen und dieselben Konflikte anfachen, die wir für den Fall der absoluten äußeren Versagung festgestellt haben. Wir werden auf solche Weise daran gemahnt, daß wir das quantitative Moment bei keiner Überlegung über Krankheitsveranlassung außer acht lassen dürfen. Alle anderen Faktoren, die Versagung, Fixierung, Entwicklungshemmung, bleiben wirkungslos, insofern sie nicht ein gewisses Maß der Libido betreffen und eine Libidostauung von bestimmter Höhe hervorrufen. Dieses Maß von Libido, das uns für eine pathogene Wirkung unentbehrlich dünkt, ist für uns freilich nicht meßbar; wir können es nur postulieren, nachdem der Krankheitserfolg eingetreten ist. Nur nach einer Richtung dürfen wir es enger bestimmen; wir dürfen annehmen, daß es sich nicht um eine </w:t>
      </w:r>
      <w:r w:rsidRPr="008725BE">
        <w:rPr>
          <w:rFonts w:ascii="Garamond" w:hAnsi="Garamond"/>
          <w:i/>
          <w:iCs/>
          <w:lang w:val="en-GB"/>
        </w:rPr>
        <w:t>absolute</w:t>
      </w:r>
      <w:r w:rsidRPr="008725BE">
        <w:rPr>
          <w:rFonts w:ascii="Garamond" w:hAnsi="Garamond"/>
          <w:lang w:val="en-GB"/>
        </w:rPr>
        <w:t xml:space="preserve"> Quantität handelt, sondern um das Verhältnis des wirksamen Libidobetrages zu jener Quantität von Libido, welche das einzelne Ich bewältigen, das heißt in Spannung erhalten, sublimieren oder direkt verwenden kann. Daher wird eine relative Steigerung der Libidoquantität dieselben Wirkungen haben können wie eine absolute. Eine Schwächung des Ichs durch organische Krankheit oder durch besondere Inanspruchnahme seiner Energie wird imstande sein, Neurosen zum Vorschein kommen zu lassen, die sonst trotz aller Disposition latent geblieben wären.</w:t>
      </w:r>
    </w:p>
    <w:p w:rsidR="008725BE" w:rsidRPr="008725BE" w:rsidRDefault="008725BE" w:rsidP="008725BE">
      <w:pPr>
        <w:pStyle w:val="Sansinterligne"/>
        <w:rPr>
          <w:rFonts w:ascii="Garamond" w:hAnsi="Garamond"/>
          <w:lang w:val="en-GB"/>
        </w:rPr>
      </w:pPr>
      <w:r w:rsidRPr="008725BE">
        <w:rPr>
          <w:rFonts w:ascii="Garamond" w:hAnsi="Garamond"/>
          <w:lang w:val="en-GB"/>
        </w:rPr>
        <w:t>Die Bedeutung, welche wir der Libidoquantität für die Krankheitsverursachung zugestehen müssen, stimmt in wünschenswerter Weise zu zwei Hauptsätzen der Neurosenlehre, die sich aus der Psychoanalyse ergeben haben. Erstens zu dem Satze, daß die Neurosen aus dem Konflikt zwischen dem Ich und der Libido entspringen, zweitens zu der Einsicht, daß keine qualitative Verschiedenheit zwischen den Bedingungen der Gesundheit und denen der Neurose bestehe, daß die Gesunden vielmehr mit denselben Aufgaben der Bewältigung der Libido zu kämpfen haben, nur daß es ihnen besser gelungen ist.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Es erübrigt noch, einige Worte über das Verhältnis dieser Typen zur Erfahrung zu sagen. Wenn ich die Anzahl von Kranken überblicke, mit deren Analyse ich gerade jetzt beschäftigt bin, so muß ich feststellen, daß keiner von ihnen einen der vier Erkrankungstypen rein realisiert. Ich finde vielmehr bei jedem ein Stück der Versagung wirksam neben einem Anteil von Unfähigkeit, sich der Realforderung anzupassen; der Gesichtspunkt der Entwicklungshemmung, die ja mit der Starrheit der Fixierungen zusammenfällt, kommt bei allen in Betracht, und die Bedeutung der Libidoquantität dürfen wir, wie oben ausgeführt, niemals vernachlässigen. Ja, ich erfahre, daß bei mehreren unter diesen Kranken die Krankheit in Schüben zum Vorschein gekommen ist, zwischen welchen Intervalle von Gesundheit lagen, und daß jeder dieser Schübe sich auf einen anderen Typus von Veranlassung zurückführen läßt. Die Aufstellung dieser vier Typen hat also keinen hohen theoretischen Wert; es sind bloß verschiedene Wege zur Herstellung einer gewissen pathogenen Konstellation im seelischen Haushalt, nämlich der Libidostauung, welcher sich das Ich mit seinen Mitteln nicht ohne Schaden erwehren kann. Die Situation selbst wird aber nur pathogen infolge eines quantitativen Momentes; sie ist nicht etwa eine Neuheit für das Seelenleben und durch das Eindringen einer sogenannten »Krankheitsursache« geschaffen.</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Eine gewisse praktische Bedeutung werden wir den Erkrankungstypen gerne zugestehen. Sie sind in einzelnen Fällen auch rein zu beobachten; auf den dritten und vierten Typus wären wir nicht aufmerksam geworden, wenn sie nicht die einzigen Veranlassungen der Erkrankung für manche Individuen enthielten. Der erste Typus hält uns den außerordentlich mächtigen Einfluß der Außenwelt vor Augen, der zweite den nicht minder bedeutsamen der Eigenart des Individuums, welche sich diesem Einflüsse widersetzt. Die Pathologie konnte dem Problem der Krankheitsveranlassung bei den Neurosen nicht gerecht werden, solange sie sich bloß um die Entscheidung bemühte, ob diese Affektionen </w:t>
      </w:r>
      <w:r w:rsidRPr="008725BE">
        <w:rPr>
          <w:rFonts w:ascii="Garamond" w:hAnsi="Garamond"/>
          <w:i/>
          <w:iCs/>
          <w:lang w:val="en-GB"/>
        </w:rPr>
        <w:t>endogener</w:t>
      </w:r>
      <w:r w:rsidRPr="008725BE">
        <w:rPr>
          <w:rFonts w:ascii="Garamond" w:hAnsi="Garamond"/>
          <w:lang w:val="en-GB"/>
        </w:rPr>
        <w:t xml:space="preserve"> oder </w:t>
      </w:r>
      <w:r w:rsidRPr="008725BE">
        <w:rPr>
          <w:rFonts w:ascii="Garamond" w:hAnsi="Garamond"/>
          <w:i/>
          <w:iCs/>
          <w:lang w:val="en-GB"/>
        </w:rPr>
        <w:t>exogener</w:t>
      </w:r>
      <w:r w:rsidRPr="008725BE">
        <w:rPr>
          <w:rFonts w:ascii="Garamond" w:hAnsi="Garamond"/>
          <w:lang w:val="en-GB"/>
        </w:rPr>
        <w:t xml:space="preserve"> Natur seien. Allen Erfahrungen, welche auf die Bedeutung der Abstinenz (im weitesten Sinne) als Veranlassung hinweisen, mußte sie immer den Einwand entgegensetzen, andere Personen vertrügen dieselben Schicksale, ohne zu erkranken. Wollte sie aber die Eigenart des Individuums als das für Krankheit und Gesundheit Wesentliche betonen, so mußte sie sich die Vorhaltung gefallen lassen, daß Personen mit solcher Eigenart die längste Zeit über gesund bleiben können, solange ihnen nur gestattet ist, diese Eigenart zu bewahren. Die Psychoanalyse hat uns gemahnt, den unfruchtbaren Gegensatz von äußeren und inneren Momenten, von Schicksal und Konstitution, aufzugeben, und hat uns gelehrt, die Verursachung der neurotischen Erkrankung regelmäßig in einer bestimmten psychischen Situation zu finden, welche auf verschiedenen Wegen hergestellt werden kann.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98" w:name="KS63"/>
        <w:bookmarkEnd w:id="198"/>
        <w:r w:rsidRPr="008725BE">
          <w:rPr>
            <w:rStyle w:val="Lienhypertexte"/>
            <w:rFonts w:ascii="Garamond" w:hAnsi="Garamond"/>
            <w:b/>
            <w:lang w:val="en-GB"/>
          </w:rPr>
          <w:t>er Psychotherapie</w:t>
        </w:r>
      </w:hyperlink>
      <w:r w:rsidRPr="008725BE">
        <w:rPr>
          <w:rFonts w:ascii="Garamond" w:hAnsi="Garamond"/>
          <w:lang w:val="en-GB"/>
        </w:rPr>
        <w:t xml:space="preserve">  </w:t>
      </w:r>
      <w:r w:rsidRPr="008725BE">
        <w:rPr>
          <w:rFonts w:ascii="Garamond" w:hAnsi="Garamond"/>
          <w:caps/>
          <w:lang w:val="en-GB"/>
        </w:rPr>
        <w:t>(1905)</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Meine Herren! Es sind ungefähr acht Jahre her, seitdem ich über Aufforderung Ihres betrauerten Vorsitzenden Professor von Reder in Ihrem Kreise über das Thema der Hysterie sprechen durfte. Ich hatte kurz zuvor (1895) in Gemeinschaft mit Doktor Josef Breuer die </w:t>
      </w:r>
      <w:r w:rsidRPr="008725BE">
        <w:rPr>
          <w:rFonts w:ascii="Garamond" w:hAnsi="Garamond"/>
          <w:i/>
          <w:iCs/>
          <w:lang w:val="en-GB"/>
        </w:rPr>
        <w:t>Studien über Hysterie</w:t>
      </w:r>
      <w:r w:rsidRPr="008725BE">
        <w:rPr>
          <w:rFonts w:ascii="Garamond" w:hAnsi="Garamond"/>
          <w:lang w:val="en-GB"/>
        </w:rPr>
        <w:t xml:space="preserve"> veröffentlicht und den Versuch unternommen, auf Grund der neuen Erkenntnis, welche wir diesem Forscher verdanken, eine neuartige Behandlungsweise der Neurose einzuführen. Erfreulicherweise darf ich sagen, haben die Bemühungen unserer </w:t>
      </w:r>
      <w:r w:rsidRPr="008725BE">
        <w:rPr>
          <w:rFonts w:ascii="Garamond" w:hAnsi="Garamond"/>
          <w:i/>
          <w:iCs/>
          <w:lang w:val="en-GB"/>
        </w:rPr>
        <w:t>Studien</w:t>
      </w:r>
      <w:r w:rsidRPr="008725BE">
        <w:rPr>
          <w:rFonts w:ascii="Garamond" w:hAnsi="Garamond"/>
          <w:lang w:val="en-GB"/>
        </w:rPr>
        <w:t xml:space="preserve"> Erfolg gehabt; die in ihnen vertretenen Ideen von der Wirkungsweise psychischer Traumen durch Zurückhaltung von Affekt und die Auffassung der hysterischen Symptome als Erfolge einer aus dem Seelischen ins Körperliche versetzten Erregung, Ideen, für welche wir die Termini »Abreagieren« und »Konversion« geschaffen hatten, sind heute allgemein bekannt und verstanden. Es gibt – wenigstens in deutschen Landen – keine Darstellung der Hysterie, die ihnen nicht bis zu einem gewissen Grade Rechnung tragen würde, und keinen Fachgenossen, der nicht zum mindesten ein Stück weit mit dieser Lehre ginge. Und doch mögen diese Sätze und diese Termini, solange sie noch frisch waren, befremdend genug geklungen haben!</w:t>
      </w:r>
    </w:p>
    <w:p w:rsidR="008725BE" w:rsidRPr="008725BE" w:rsidRDefault="008725BE" w:rsidP="008725BE">
      <w:pPr>
        <w:pStyle w:val="Sansinterligne"/>
        <w:rPr>
          <w:rFonts w:ascii="Garamond" w:hAnsi="Garamond"/>
          <w:lang w:val="en-GB"/>
        </w:rPr>
      </w:pPr>
      <w:r w:rsidRPr="008725BE">
        <w:rPr>
          <w:rFonts w:ascii="Garamond" w:hAnsi="Garamond"/>
          <w:lang w:val="en-GB"/>
        </w:rPr>
        <w:t>Ich kann nicht dasselbe von dem therapeutischen Verfahren sagen, das gleichzeitig mit unserer Lehre den Fachgenossen vorgeschlagen wurde. Dasselbe kämpft noch heute um seine Anerkennung. Man mag spezielle Gründe dafür anrufen. Die Technik des Verfahrens war damals noch unausgebildet; ich vermochte es nicht, dem ärztlichen Leser des Buches jene Anweisungen zu geben, welche ihn befähigt hätten, eine derartige Behandlung vollständig durchzuführen. Aber gewiß wirken auch Gründe allgemeiner Natur mit. Vielen Ärzten erscheint noch heute die Psychotherapie als ein Produkt des modernen Mystizismus und im Vergleiche mit unseren physikalisch-chemischen Heilmitteln, deren Anwendung auf physiologische Einsichten gegründet ist, als geradezu unwissenschaftlich, des Interesses eines Naturforschers unwürdig. Gestatten Sie mir nun, vor Ihnen die Sache der Psychotherapie zu führen und hervorzuheben, was an dieser Verurteilung als unrecht oder Irrtum bezeichnet werden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Lassen Sie mich also fürs erste daran mahnen, daß die Psychotherapie kein modernes Heilverfahren ist. Im Gegenteil, sie ist die älteste Therapie, deren sich die Medizin bedient hat. In dem lehrreichen Werke von Löwenfeld ( </w:t>
      </w:r>
      <w:r w:rsidRPr="008725BE">
        <w:rPr>
          <w:rFonts w:ascii="Garamond" w:hAnsi="Garamond"/>
          <w:i/>
          <w:iCs/>
          <w:lang w:val="en-GB"/>
        </w:rPr>
        <w:t>Lehrbuch der gesamten Psychotherapie</w:t>
      </w:r>
      <w:r w:rsidRPr="008725BE">
        <w:rPr>
          <w:rFonts w:ascii="Garamond" w:hAnsi="Garamond"/>
          <w:lang w:val="en-GB"/>
        </w:rPr>
        <w:t>) können Sie nachlesen, welche die Methoden der primitiven und der antiken Medizin waren. Sie werden dieselben zum größten Teil der Psychotherapie zuordnen müssen; man versetzte die Kranken zum Zwecke der Heilung in den Zustand der »gläubigen Erwartung«, der uns heute noch das nämliche leistet. Auch nachdem die Ärzte andere Heilmittel aufgefunden haben, sind psychotherapeutische Bestrebungen der einen oder der anderen Art in der Medizin niemals untergegangen.</w:t>
      </w:r>
    </w:p>
    <w:p w:rsidR="008725BE" w:rsidRPr="008725BE" w:rsidRDefault="008725BE" w:rsidP="008725BE">
      <w:pPr>
        <w:pStyle w:val="Sansinterligne"/>
        <w:rPr>
          <w:rFonts w:ascii="Garamond" w:hAnsi="Garamond"/>
          <w:lang w:val="en-GB"/>
        </w:rPr>
      </w:pPr>
      <w:r w:rsidRPr="008725BE">
        <w:rPr>
          <w:rFonts w:ascii="Garamond" w:hAnsi="Garamond"/>
          <w:lang w:val="en-GB"/>
        </w:rPr>
        <w:t>Fürs zweite mache ich Sie darauf aufmerksam, daß wir Ärzte auf die Psychotherapie schon darum nicht verzichten können, weil eine andere, beim Heilungsvorgang sehr in Betracht kommende Partei – nämlich die Kranken – nicht die Absicht hat, auf sie zu verzichten. Sie wissen, welche Aufklärungen wir hierüber der Schule von Nancy (Liébeault, Bernheim) verdanken. Ein von der psychischen Disposition der Kranken abhängiger Faktor tritt, ohne daß wir es beabsichtigen, zur Wirkung eines jeden vom Arzte eingeleiteten Heilverfahrens hinzu, meist im begünstigenden, oft auch im hemmenden Sinne. Wir haben für diese Tatsache das Wort »Suggestion« anzuwenden gelernt, und Moebius hat uns gelehrt, daß die Unverläßlichkeit, die wir an so manchen unserer Heilmethoden beklagen, gerade auf die störende Einwirkung dieses übermächtigen Moments zurückzuführen ist. Wir Ärzte, Sie alle, treiben also beständig Psychotherapie, auch wo Sie es nicht wissen und nicht beabsichtigen; nur hat es einen Nachteil, daß Sie den psychischen Faktor in Ihrer Einwirkung auf den Kranken so ganz dem Kranken überlassen. Er wird auf diese Weise unkontrollierbar, undosierbar, der Steigerung unfähig. Ist es dann nicht ein berechtigtes Streben des Arztes, sich dieses Faktors zu bemächtigen, sich seiner mit Absicht zu bedienen, ihn zu lenken und zu verstärken? Nichts anderes als dies ist es, was die wissenschaftliche Psychotherapie Ihnen zumutet.</w:t>
      </w:r>
    </w:p>
    <w:p w:rsidR="008725BE" w:rsidRPr="008725BE" w:rsidRDefault="008725BE" w:rsidP="008725BE">
      <w:pPr>
        <w:pStyle w:val="Sansinterligne"/>
        <w:rPr>
          <w:rFonts w:ascii="Garamond" w:hAnsi="Garamond"/>
          <w:lang w:val="en-GB"/>
        </w:rPr>
      </w:pPr>
      <w:r w:rsidRPr="008725BE">
        <w:rPr>
          <w:rFonts w:ascii="Garamond" w:hAnsi="Garamond"/>
          <w:lang w:val="en-GB"/>
        </w:rPr>
        <w:t>Zu dritt, meine Herren Kollegen, will ich Sie auf die altbekannte Erfahrung verweisen, daß gewisse Leiden, und ganz besonders die Psychoneurosen, seelischen Einflüssen weit zugänglicher sind als jeder anderen Medikation. Es ist keine moderne Rede, sondern ein Ausspruch alter Ärzte, daß diese Krankheiten nicht das Medikament heilt, sondern der Arzt, das heißt wohl die Persönlichkeit des Arztes, insofern er psychischen Einfluß durch sie ausübt. Ich weiß wohl, meine Herren Kollegen, daß bei Ihnen jene Anschauung sehr beliebt ist, welcher der Ästhetiker Vischer in seiner Faustparodie klassischen Ausdruck geliehen hat:</w:t>
      </w:r>
    </w:p>
    <w:p w:rsidR="008725BE" w:rsidRPr="008725BE" w:rsidRDefault="008725BE" w:rsidP="008725BE">
      <w:pPr>
        <w:pStyle w:val="Sansinterligne"/>
        <w:rPr>
          <w:rFonts w:ascii="Garamond" w:hAnsi="Garamond"/>
        </w:rPr>
      </w:pPr>
      <w:r w:rsidRPr="008725BE">
        <w:rPr>
          <w:rFonts w:ascii="Garamond" w:hAnsi="Garamond"/>
          <w:lang w:val="en-GB"/>
        </w:rPr>
        <w:t xml:space="preserve">»Ich weiß, das Physikalische </w:t>
      </w:r>
      <w:r w:rsidRPr="008725BE">
        <w:rPr>
          <w:rFonts w:ascii="Garamond" w:hAnsi="Garamond"/>
          <w:lang w:val="en-GB"/>
        </w:rPr>
        <w:br/>
        <w:t xml:space="preserve">Wirkt öfters aufs Moralische.« </w:t>
      </w:r>
      <w:hyperlink r:id="rId917" w:anchor="#" w:history="1">
        <w:r w:rsidRPr="008725BE">
          <w:rPr>
            <w:rStyle w:val="fusslink"/>
            <w:rFonts w:ascii="Garamond" w:hAnsi="Garamond" w:cs="Arial"/>
            <w:b/>
            <w:bCs/>
            <w:color w:val="003399"/>
          </w:rPr>
          <w:t>[Fußnote]</w:t>
        </w:r>
        <w:r w:rsidRPr="008725BE">
          <w:rPr>
            <w:rStyle w:val="innerfusslink3"/>
            <w:rFonts w:ascii="Garamond" w:hAnsi="Garamond" w:cs="Arial"/>
            <w:b/>
            <w:bCs/>
          </w:rPr>
          <w:t xml:space="preserve">F. T. Vischer, </w:t>
        </w:r>
        <w:r w:rsidRPr="008725BE">
          <w:rPr>
            <w:rStyle w:val="innerfusslink3"/>
            <w:rFonts w:ascii="Garamond" w:hAnsi="Garamond" w:cs="Arial"/>
            <w:b/>
            <w:bCs/>
            <w:i/>
            <w:iCs/>
          </w:rPr>
          <w:t>Faust: der Tragödie III. Teil</w:t>
        </w:r>
        <w:r w:rsidRPr="008725BE">
          <w:rPr>
            <w:rStyle w:val="innerfusslink3"/>
            <w:rFonts w:ascii="Garamond" w:hAnsi="Garamond" w:cs="Arial"/>
            <w:b/>
            <w:bCs/>
          </w:rPr>
          <w:t>.</w:t>
        </w:r>
      </w:hyperlink>
    </w:p>
    <w:p w:rsidR="008725BE" w:rsidRPr="008725BE" w:rsidRDefault="008725BE" w:rsidP="008725BE">
      <w:pPr>
        <w:pStyle w:val="Sansinterligne"/>
        <w:rPr>
          <w:rFonts w:ascii="Garamond" w:hAnsi="Garamond"/>
        </w:rPr>
      </w:pPr>
      <w:r w:rsidRPr="008725BE">
        <w:rPr>
          <w:rFonts w:ascii="Garamond" w:hAnsi="Garamond"/>
        </w:rPr>
        <w:lastRenderedPageBreak/>
        <w:t>Aber sollte es nicht adäquater sein und häufiger zutreffen, daß man aufs Moralische eines Menschen mit moralischen, das heißt psychischen Mitteln einwirken kann?</w:t>
      </w:r>
    </w:p>
    <w:p w:rsidR="008725BE" w:rsidRPr="008725BE" w:rsidRDefault="008725BE" w:rsidP="008725BE">
      <w:pPr>
        <w:pStyle w:val="Sansinterligne"/>
        <w:rPr>
          <w:rFonts w:ascii="Garamond" w:hAnsi="Garamond"/>
          <w:lang w:val="en-GB"/>
        </w:rPr>
      </w:pPr>
      <w:r w:rsidRPr="008725BE">
        <w:rPr>
          <w:rFonts w:ascii="Garamond" w:hAnsi="Garamond"/>
        </w:rPr>
        <w:t xml:space="preserve">Es gibt viele Arten und Wege der Psychotherapie. Alle sind gut, die zum Ziel der Heilung führen. Unsere gewöhnliche Tröstung: Es wird schon wieder gut werden!, mit der wir den Kranken gegenüber so freigebig sind, entspricht einer der psychotherapeutischen Methoden; nur sind wir bei tieferer Einsicht in das Wesen der Neurosen nicht genötigt gewesen, uns auf die Tröstung einzuschränken. Wir haben die Technik der hypnotischen Suggestion, der Psychotherapie durch Ablenkung, durch Übung, durch Hervorrufung zweckdienlicher Affekte entwickelt. </w:t>
      </w:r>
      <w:r w:rsidRPr="008725BE">
        <w:rPr>
          <w:rFonts w:ascii="Garamond" w:hAnsi="Garamond"/>
          <w:lang w:val="en-GB"/>
        </w:rPr>
        <w:t xml:space="preserve">Ich verachte keine derselben und würde sie alle unter geeigneten Bedingungen ausüben. Wenn ich mich in Wirklichkeit auf ein einziges Heilverfahren beschränkt habe, auf die von Breuer » </w:t>
      </w:r>
      <w:r w:rsidRPr="008725BE">
        <w:rPr>
          <w:rFonts w:ascii="Garamond" w:hAnsi="Garamond"/>
          <w:i/>
          <w:iCs/>
          <w:lang w:val="en-GB"/>
        </w:rPr>
        <w:t>kathartisch</w:t>
      </w:r>
      <w:r w:rsidRPr="008725BE">
        <w:rPr>
          <w:rFonts w:ascii="Garamond" w:hAnsi="Garamond"/>
          <w:lang w:val="en-GB"/>
        </w:rPr>
        <w:t xml:space="preserve">« genannte Methode, die ich lieber die » </w:t>
      </w:r>
      <w:r w:rsidRPr="008725BE">
        <w:rPr>
          <w:rFonts w:ascii="Garamond" w:hAnsi="Garamond"/>
          <w:i/>
          <w:iCs/>
          <w:lang w:val="en-GB"/>
        </w:rPr>
        <w:t>analytische</w:t>
      </w:r>
      <w:r w:rsidRPr="008725BE">
        <w:rPr>
          <w:rFonts w:ascii="Garamond" w:hAnsi="Garamond"/>
          <w:lang w:val="en-GB"/>
        </w:rPr>
        <w:t>« heiße, so sind bloß subjektive Motive für mich maßgebend gewesen. Infolge meines Anteiles an der Aufstellung dieser Therapie fühle ich die persönliche Verpflichtung, mich ihrer Erforschung und dem Ausbau ihrer Technik zu widmen. Ich darf behaupten, die analytische Methode der Psychotherapie ist diejenige, welche am eindringlichsten wirkt, am weitesten trägt, durch welche man die ausgiebigste Veränderung des Kranken erzielt. Wenn ich für einen Moment den therapeutischen Standpunkt verlasse, kann ich für sie geltend machen, daß sie die interessanteste ist, uns allein etwas über die Entstehung und den Zusammenhang der Krankheitserscheinungen lehrt. Infolge der Einsichten in den Mechanismus des seelischen Krankseins, die sie uns eröffnet, könnte sie allein imstande sein, über sich selbst hinauszuführen und uns den Weg zu noch anderen Arten therapeutischer Beeinflussung zu weisen.</w:t>
      </w:r>
    </w:p>
    <w:p w:rsidR="008725BE" w:rsidRPr="008725BE" w:rsidRDefault="008725BE" w:rsidP="008725BE">
      <w:pPr>
        <w:pStyle w:val="Sansinterligne"/>
        <w:rPr>
          <w:rFonts w:ascii="Garamond" w:hAnsi="Garamond"/>
          <w:lang w:val="en-GB"/>
        </w:rPr>
      </w:pPr>
      <w:r w:rsidRPr="008725BE">
        <w:rPr>
          <w:rFonts w:ascii="Garamond" w:hAnsi="Garamond"/>
          <w:lang w:val="en-GB"/>
        </w:rPr>
        <w:t>In bezug auf diese kathartische oder analytische Methode der Psychotherapie gestatten Sie mir nun, einige Irrtümer zu verbessern und einige Aufklärungen zu geben.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(a)</w:t>
      </w:r>
      <w:r w:rsidRPr="008725BE">
        <w:rPr>
          <w:rFonts w:ascii="Garamond" w:hAnsi="Garamond"/>
          <w:lang w:val="en-GB"/>
        </w:rPr>
        <w:t xml:space="preserve"> Ich merke, daß diese Methode sehr häufig mit der hypnotischen Suggestivbehandlung verwechselt wird, merke es daran, daß verhältnismäßig häufig auch Kollegen, deren Vertrauensmann ich sonst nicht bin, Kranke zu mir schicken, refraktäre Kranke natürlich, mit dem Auftrage, ich solle sie hypnotisieren. Nun habe ich seit etwa acht Jahren keine Hypnose mehr zu Zwecken der Therapie ausgeübt (vereinzelte Versuche ausgenommen) und pflege solche Sendungen mit dem Rate, wer auf die Hypnose baut, möge sie selbst machen, zu retournieren. In Wahrheit besteht zwischen der suggestiven Technik und der analytischen der größtmögliche Gegensatz, jener Gegensatz, den der große Leonardo da Vinci für die Künste in die Formeln </w:t>
      </w:r>
      <w:r w:rsidRPr="008725BE">
        <w:rPr>
          <w:rFonts w:ascii="Garamond" w:hAnsi="Garamond"/>
          <w:i/>
          <w:iCs/>
          <w:lang w:val="en-GB"/>
        </w:rPr>
        <w:t>per via di porre</w:t>
      </w:r>
      <w:r w:rsidRPr="008725BE">
        <w:rPr>
          <w:rFonts w:ascii="Garamond" w:hAnsi="Garamond"/>
          <w:lang w:val="en-GB"/>
        </w:rPr>
        <w:t xml:space="preserve"> und </w:t>
      </w:r>
      <w:r w:rsidRPr="008725BE">
        <w:rPr>
          <w:rFonts w:ascii="Garamond" w:hAnsi="Garamond"/>
          <w:i/>
          <w:iCs/>
          <w:lang w:val="en-GB"/>
        </w:rPr>
        <w:t>per via di levare</w:t>
      </w:r>
      <w:r w:rsidRPr="008725BE">
        <w:rPr>
          <w:rFonts w:ascii="Garamond" w:hAnsi="Garamond"/>
          <w:lang w:val="en-GB"/>
        </w:rPr>
        <w:t xml:space="preserve"> gefaßt hat. Die Malerei, sagt Leonardo, arbeitet </w:t>
      </w:r>
      <w:r w:rsidRPr="008725BE">
        <w:rPr>
          <w:rFonts w:ascii="Garamond" w:hAnsi="Garamond"/>
          <w:i/>
          <w:iCs/>
          <w:lang w:val="en-GB"/>
        </w:rPr>
        <w:t>per via di porre</w:t>
      </w:r>
      <w:r w:rsidRPr="008725BE">
        <w:rPr>
          <w:rFonts w:ascii="Garamond" w:hAnsi="Garamond"/>
          <w:lang w:val="en-GB"/>
        </w:rPr>
        <w:t xml:space="preserve">; sie setzt nämlich Farbenhäufchen hin, wo sie früher nicht waren, auf die nichtfarbige Leinwand; die Skulptur dagegen geht </w:t>
      </w:r>
      <w:r w:rsidRPr="008725BE">
        <w:rPr>
          <w:rFonts w:ascii="Garamond" w:hAnsi="Garamond"/>
          <w:i/>
          <w:iCs/>
          <w:lang w:val="en-GB"/>
        </w:rPr>
        <w:t>per via di levare</w:t>
      </w:r>
      <w:r w:rsidRPr="008725BE">
        <w:rPr>
          <w:rFonts w:ascii="Garamond" w:hAnsi="Garamond"/>
          <w:lang w:val="en-GB"/>
        </w:rPr>
        <w:t xml:space="preserve"> vor, sie nimmt nämlich vom Stein so viel weg, als die Oberfläche der in ihm enthaltenen Statue noch bedeckt. Ganz ähnlich, meine Herren, sucht die Suggestivtechnik </w:t>
      </w:r>
      <w:r w:rsidRPr="008725BE">
        <w:rPr>
          <w:rFonts w:ascii="Garamond" w:hAnsi="Garamond"/>
          <w:i/>
          <w:iCs/>
          <w:lang w:val="en-GB"/>
        </w:rPr>
        <w:t>per via di porre</w:t>
      </w:r>
      <w:r w:rsidRPr="008725BE">
        <w:rPr>
          <w:rFonts w:ascii="Garamond" w:hAnsi="Garamond"/>
          <w:lang w:val="en-GB"/>
        </w:rPr>
        <w:t xml:space="preserve"> zu wirken, sie kümmert sich nicht um Herkunft, Kraft und Bedeutung der Krankheitssymptome, sondern legt etwas auf, die Suggestion nämlich, wovon sie erwartet, daß es stark genug sein wird, die pathogene Idee an der Äußerung zu hindern. Die analytische Therapie dagegen will nicht auflegen, nichts Neues einführen, sondern wegnehmen, herausschaffen, und zu diesem Zwecke bekümmert sie sich um die Genese der krankhaften Symptome und den psychischen Zusammenhang der pathogenen Idee, deren Wegschaffung ihr Ziel ist. Auf diesem Wege der Forschung hat sie unserem Verständnis sehr bedeutende Förderung gebracht. Ich habe die Suggestionstechnik und mit ihr die Hypnose so frühzeitig aufgegeben, weil ich daran verzweifelte, die Suggestion so stark und so haltbar zu machen, wie es für die dauernde Heilung notwendig wäre. In allen schweren Fällen sah ich die daraufgelegte Suggestion wieder abbröckeln, und dann war das Kranksein oder ein dasselbe Ersetzendes wieder da. Außerdem mache ich dieser Technik den Vorwurf, daß sie uns die Einsicht in das psychische Kräftespiel verhüllt, z. B. uns den </w:t>
      </w:r>
      <w:r w:rsidRPr="008725BE">
        <w:rPr>
          <w:rFonts w:ascii="Garamond" w:hAnsi="Garamond"/>
          <w:i/>
          <w:iCs/>
          <w:lang w:val="en-GB"/>
        </w:rPr>
        <w:t>Widerstand</w:t>
      </w:r>
      <w:r w:rsidRPr="008725BE">
        <w:rPr>
          <w:rFonts w:ascii="Garamond" w:hAnsi="Garamond"/>
          <w:lang w:val="en-GB"/>
        </w:rPr>
        <w:t xml:space="preserve"> nicht erkennen läßt, mit dem die Kranken an ihrer Krankheit festhalten, mit dem sie sich also auch gegen die Genesung sträuben und der doch allein das Verständnis ihres Benehmens im Leben ermöglicht.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(b)</w:t>
      </w:r>
      <w:r w:rsidRPr="008725BE">
        <w:rPr>
          <w:rFonts w:ascii="Garamond" w:hAnsi="Garamond"/>
          <w:lang w:val="en-GB"/>
        </w:rPr>
        <w:t xml:space="preserve"> Es scheint mir der Irrtum unter den Kollegen weit verbreitet zu sein, daß die Technik der Forschung nach den Krankheitsanlässen und die Beseitigung der Erscheinungen durch diese Erforschung leicht und selbstverständlich sei. Ich schließe dies daraus, daß noch keiner von den vielen, die sich für meine Therapie interessieren und sichere Urteile über dieselbe von sich geben, mich je gefragt hat, wie ich es eigentlich mache. Das kann doch nur den einzigen Grund haben, daß sie meinen, es sei nichts zu fragen, es verstehe sich ganz von selbst. Auch höre ich mitunter mit Erstaunen, daß auf dieser oder jener Abteilung eines Spitals ein junger Arzt von seinem Chef den Auftrag erhalten hat, bei einer Hysterischen eine »Psychoanalyse« zu unternehmen. Ich bin überzeugt, man würde ihm nicht einen exstirpierten Tumor </w:t>
      </w:r>
      <w:r w:rsidRPr="008725BE">
        <w:rPr>
          <w:rFonts w:ascii="Garamond" w:hAnsi="Garamond"/>
          <w:lang w:val="en-GB"/>
        </w:rPr>
        <w:lastRenderedPageBreak/>
        <w:t xml:space="preserve">zur Untersuchung überlassen, ohne sich vorher versichert zu haben, daß er mit der histologischen Technik vertraut ist. Ebenso erreicht mich die Nachricht, dieser oder jener Kollege richte sich Sprechstunden mit einem Patienten ein, um eine psychische Kur mit ihm zu machen, während ich sicher bin, daß er die Technik einer solchen Kur nicht kennt. Er muß also erwarten, daß ihm der Kranke seine Geheimnisse entgegenbringen wird, oder sucht das Heil in irgendeiner Art von Beichte oder Anvertrauen. Es würde mich nicht wundern, wenn der so behandelte Kranke dabei eher zu Schaden als zum Vorteil käme. Das seelische Instrument ist nämlich nicht gar leicht zu spielen. Ich muß bei solchen Anlässen an die Rede eines weltberühmten Neurotikers denken, der freilich nie in der Behandlung eines Arztes gestanden, der nur in der Phantasie eines Dichters gelebt hat. Ich meine den Prinzen Hamlet von Dänemark. Der König hat die beiden Höflinge Rosenkranz und Güldenstern über ihn geschickt, um ihn auszuforschen, ihm das Geheimnis seiner Verstimmung zu entreißen. Er wehrt sie ab; da werden Flöten auf die Bühne gebracht. Hamlet nimmt eine Flöte und bittet den einen seiner Quäler, auf ihr zu spielen, es sei so leicht wie lügen. Der Höfling weigert sich, denn er kennt keinen Griff, und da er zu dem Versuch des Flötenspiels nicht zu bewegen ist, bricht Hamlet endlich los: »Nun seht ihr, welch ein nichtswürdiges Ding ihr aus mir macht? Ihr wollt auf mir spielen; ihr wollt in das Herz meines Geheimnisses dringen; ihr wollt mich von meiner tiefsten Note bis zum Gipfel meiner Stimme hinauf prüfen, und in diesem kleinen Instrument hier ist viel Musik, eine vortreffliche Stimme, dennoch könnt ihr es nicht zum Sprechen bringen. </w:t>
      </w:r>
      <w:r w:rsidRPr="008725BE">
        <w:rPr>
          <w:rFonts w:ascii="Garamond" w:hAnsi="Garamond"/>
          <w:i/>
          <w:iCs/>
          <w:lang w:val="en-GB"/>
        </w:rPr>
        <w:t>Wetter, denkt ihr, daß ich leichter zu spielen bin als eine Flöte? Nennt mich was für ein Instrument ihr wollt, ihr könnt mich zwar verstimmen, aber nicht auf mir spielen.«</w:t>
      </w:r>
      <w:r w:rsidRPr="008725BE">
        <w:rPr>
          <w:rFonts w:ascii="Garamond" w:hAnsi="Garamond"/>
          <w:lang w:val="en-GB"/>
        </w:rPr>
        <w:t xml:space="preserve"> (III. Akt, 2.)</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(c)</w:t>
      </w:r>
      <w:r w:rsidRPr="008725BE">
        <w:rPr>
          <w:rFonts w:ascii="Garamond" w:hAnsi="Garamond"/>
          <w:lang w:val="en-GB"/>
        </w:rPr>
        <w:t xml:space="preserve"> Sie werden aus gewissen meiner Bemerkungen erraten haben, daß der analytischen Kur manche Eigenschaften anhaften, die sie von dem Ideal einer Therapie fernehalten. </w:t>
      </w:r>
      <w:r w:rsidRPr="008725BE">
        <w:rPr>
          <w:rFonts w:ascii="Garamond" w:hAnsi="Garamond"/>
          <w:i/>
          <w:iCs/>
          <w:lang w:val="en-GB"/>
        </w:rPr>
        <w:t>Tuto, cito, iucunde</w:t>
      </w:r>
      <w:r w:rsidRPr="008725BE">
        <w:rPr>
          <w:rFonts w:ascii="Garamond" w:hAnsi="Garamond"/>
          <w:lang w:val="en-GB"/>
        </w:rPr>
        <w:t>; das Forschen und Suchen deutet nicht eben auf Raschheit des Erfolges, und die Erwähnung des Widerstandes bereitet Sie auf die Erwartung von Unannehmlichkeiten vor. Gewiß, die psychoanalytische Behandlung stellt an den Kranken wie an den Arzt hohe Ansprüche; von ersterem verlangt sie das Opfer voller Aufrichtigkeit, gestaltet sich für ihn zeitraubend und daher auch kostspielig; für den Arzt ist sie gleichfalls zeitraubend und wegen der Technik, die er zu erlernen und auszuüben hat, ziemlich mühselig. Ich finde es auch selbst ganz berechtigt, daß man bequemere Heilmethoden in Anwendung bringt, solange man eben die Aussicht hat, mit diesen letzteren etwas zu erreichen. Auf diesen Punkt kommt es allein an; erzielt man mit dem mühevolleren und langwierigeren Verfahren erheblich mehr als mit dem kurzen und leichten, so ist das erstere trotz alledem gerechtfertigt. Denken Sie, meine Herren, um wieviel die Finsentherapie des Lupus unbequemer und kostspieliger ist als das früher gebräuchliche Ätzen und Schaben, und doch bedeutet es einen großen Fortschritt, bloß weil es mehr leistet; es heilt nämlich den Lupus radikal. Nun will ich den Vergleich nicht gerade durchsetzen; aber ein ähnliches Vorrecht darf doch die psychoanalytische Methode für sich in Anspruch nehmen. In Wirklichkeit habe ich meine therapeutische Methode nur an schweren und schwersten Fällen ausarbeiten und versuchen können; mein Material waren zuerst nur Kranke, die alles erfolglos versucht und durch Jahre in Anstalten geweilt hatten. Ich habe kaum Erfahrung genug gesammelt, um Ihnen sagen zu können, wie sich meine Therapie bei jenen leichteren, episodisch auftretenden Erkrankungen verhält, die wir unter den verschiedenartigsten Einflüssen und auch spontan abheilen sehen. Die psychoanalytische Therapie ist an dauernd existenzunfähigen Kranken und für solche geschaffen worden, und ihr Triumph ist es, daß sie eine befriedigende Anzahl von solchen dauernd existenzfähig macht. Gegen diesen Erfolg erscheint dann aller Aufwand geringfügig. Wir können uns nicht verhehlen, daß wir vor dem Kranken zu verleugnen pflegen, daß eine schwere Neurose in ihrer Bedeutung für das ihr unterworfene Individuum hinter keiner Kachexie, keinem der gefürchteten Allgemeinleiden zurücksteht.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(d)</w:t>
      </w:r>
      <w:r w:rsidRPr="008725BE">
        <w:rPr>
          <w:rFonts w:ascii="Garamond" w:hAnsi="Garamond"/>
          <w:lang w:val="en-GB"/>
        </w:rPr>
        <w:t xml:space="preserve"> Die Indikationen und Gegenanzeigen dieser Behandlung sind infolge der vielen praktischen Beschränkungen, die meine Tätigkeit betroffen haben, kaum endgültig anzugeben. Indes will ich versuchen, einige Punkte mit Ihnen zu erörtern: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(1) Man übersehe nicht über die Krankheit den sonstigen Wert einer Person und weise Kranke zurück, welche nicht einen gewissen Bildungsgrad und einen einigermaßen verläßlichen Charakter besitzen. Man darf nicht vergessen, daß es auch Gesunde gibt, die nichts taugen, und daß man nur allzu leicht geneigt ist, bei solchen minderwertigen Personen alles, was sie existenzunfähig macht, auf die Krankheit zu schieben, wenn sie irgendeinen Anflug von Neurose zeigen. Ich stehe auf dem Standpunkt, daß die Neurose ihren Träger keineswegs zum </w:t>
      </w:r>
      <w:r w:rsidRPr="008725BE">
        <w:rPr>
          <w:rFonts w:ascii="Garamond" w:hAnsi="Garamond"/>
          <w:i/>
          <w:iCs/>
          <w:lang w:val="en-GB"/>
        </w:rPr>
        <w:t>dégéneré</w:t>
      </w:r>
      <w:r w:rsidRPr="008725BE">
        <w:rPr>
          <w:rFonts w:ascii="Garamond" w:hAnsi="Garamond"/>
          <w:lang w:val="en-GB"/>
        </w:rPr>
        <w:t xml:space="preserve"> stempelt, daß sie sich aber häufig genug mit den Erscheinungen der Degeneration vergesellschaftet an demselben Individuum findet. Die analytische Psychotherapie ist nun </w:t>
      </w:r>
      <w:r w:rsidRPr="008725BE">
        <w:rPr>
          <w:rFonts w:ascii="Garamond" w:hAnsi="Garamond"/>
          <w:lang w:val="en-GB"/>
        </w:rPr>
        <w:lastRenderedPageBreak/>
        <w:t>kein Verfahren zur Behandlung der neuropathischen Degeneration, sie findet im Gegenteil an derselben ihre Schranke. Sie ist auch bei Personen nicht anwendbar, die sich nicht selbst durch ihre Leiden zur Therapie gedrängt fühlen, sondern sich einer solchen nur infolge des Machtgebotes ihrer Angehörigen unterziehen. Die Eigenschaft, auf die es für die Brauchbarkeit zur psychoanalytischen Behandlung ankommt, die Erziehbarkeit, werden wir noch von einem anderen Gesichtspunkte würdigen müssen.</w:t>
      </w:r>
    </w:p>
    <w:p w:rsidR="008725BE" w:rsidRPr="008725BE" w:rsidRDefault="008725BE" w:rsidP="008725BE">
      <w:pPr>
        <w:pStyle w:val="Sansinterligne"/>
        <w:rPr>
          <w:rFonts w:ascii="Garamond" w:hAnsi="Garamond"/>
          <w:lang w:val="en-GB"/>
        </w:rPr>
      </w:pPr>
      <w:r w:rsidRPr="008725BE">
        <w:rPr>
          <w:rFonts w:ascii="Garamond" w:hAnsi="Garamond"/>
          <w:lang w:val="en-GB"/>
        </w:rPr>
        <w:t>(2) Wenn man sichergehen will, beschränke man seine Auswahl auf Personen, die einen Normalzustand haben, da man sich im psychoanalytischen Verfahren von diesem aus des Krankhaften bemächtigt. Psychosen, Zustände von Verworrenheit und tiefgreifender (ich möchte sagen: toxischer) Verstimmung sind also für die Psychoanalyse, wenigstens wie sie bis jetzt ausgeübt wird, ungeeignet. Ich halte es für durchaus nicht ausgeschlossen, daß man bei geeigneter Abänderung des Verfahrens sich über diese Gegenindikation hinaussetzen und so eine Psychotherapie der Psychosen in Angriff nehmen könne.</w:t>
      </w:r>
    </w:p>
    <w:p w:rsidR="008725BE" w:rsidRPr="008725BE" w:rsidRDefault="008725BE" w:rsidP="008725BE">
      <w:pPr>
        <w:pStyle w:val="Sansinterligne"/>
        <w:rPr>
          <w:rFonts w:ascii="Garamond" w:hAnsi="Garamond"/>
          <w:lang w:val="en-GB"/>
        </w:rPr>
      </w:pPr>
      <w:r w:rsidRPr="008725BE">
        <w:rPr>
          <w:rFonts w:ascii="Garamond" w:hAnsi="Garamond"/>
          <w:lang w:val="en-GB"/>
        </w:rPr>
        <w:t>(3) Das Alter der Kranken spielt bei der Auswahl zur psychoanalytischen Behandlung insofern eine Rolle, als bei Personen nahe an oder über fünfzig Jahre einerseits die Plastizität der seelischen Vorgänge zu fehlen pflegt, auf welche die Therapie rechnet – alte Leute sind nicht mehr erziehbar –, und als anderseits das Material, welches durchzuarbeiten ist, die Behandlungsdauer ins Unabsehbare verlängert. Die Altersgrenze nach unten ist nur individuell zu bestimmen; jugendliche Personen noch vor der Pubertät sind oft ausgezeichnet zu beeinflussen.</w:t>
      </w:r>
    </w:p>
    <w:p w:rsidR="008725BE" w:rsidRPr="008725BE" w:rsidRDefault="008725BE" w:rsidP="008725BE">
      <w:pPr>
        <w:pStyle w:val="Sansinterligne"/>
        <w:rPr>
          <w:rFonts w:ascii="Garamond" w:hAnsi="Garamond"/>
          <w:lang w:val="en-GB"/>
        </w:rPr>
      </w:pPr>
      <w:r w:rsidRPr="008725BE">
        <w:rPr>
          <w:rFonts w:ascii="Garamond" w:hAnsi="Garamond"/>
          <w:lang w:val="en-GB"/>
        </w:rPr>
        <w:t>(4) Man wird nicht zur Psychoanalyse greifen, wenn es sich um die rasche Beseitigung drohender Erscheinungen handelt, also zum Beispiel bei einer hysterischen Anorexie.</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Sie werden nun den Eindruck gewonnen haben, daß das Anwendungsgebiet der analytischen Psychotherapie ein sehr beschränktes ist, da Sie eigentlich nichts anderes als Gegenanzeigen von mir gehört haben. Nichtsdestoweniger bleiben Fälle und Krankheitsformen genug übrig, an denen diese Therapie sich erproben kann, alle chronischen Formen von Hysterie mit Resterscheinungen, das große Gebiet der Zwangszustände und Abulien und dergleichen.</w:t>
      </w:r>
    </w:p>
    <w:p w:rsidR="008725BE" w:rsidRPr="008725BE" w:rsidRDefault="008725BE" w:rsidP="008725BE">
      <w:pPr>
        <w:pStyle w:val="Sansinterligne"/>
        <w:rPr>
          <w:rFonts w:ascii="Garamond" w:hAnsi="Garamond"/>
          <w:lang w:val="en-GB"/>
        </w:rPr>
      </w:pPr>
      <w:r w:rsidRPr="008725BE">
        <w:rPr>
          <w:rFonts w:ascii="Garamond" w:hAnsi="Garamond"/>
          <w:lang w:val="en-GB"/>
        </w:rPr>
        <w:t>Erfreulich ist es, daß man gerade den wertvollsten und sonst höchstentwickelten Personen auf solche Weise am ehesten Hilfe bringen kann. Wo aber mit der analytischen Psychotherapie nur wenig auszurichten war, da, darf man getrost behaupten, hätte irgendwelche andere Behandlung sicherlich gar nichts zustande gebracht.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(e)</w:t>
      </w:r>
      <w:r w:rsidRPr="008725BE">
        <w:rPr>
          <w:rFonts w:ascii="Garamond" w:hAnsi="Garamond"/>
          <w:lang w:val="en-GB"/>
        </w:rPr>
        <w:t xml:space="preserve"> Sie werden mich gewiß fragen wollen, wie es bei Anwendung der Psychoanalyse mit der Möglichkeit, Schaden zu stiften, bestellt ist. Ich kann Ihnen darauf erwidern, wenn Sie nur billig urteilen wollen, diesem Verfahren dasselbe kritische Wohlwollen entgegenbringen, das Sie für unsere anderen therapeutischen Methoden bereit haben, so werden Sie meiner Meinung zustimmen müssen, daß bei einer mit Verständnis geleiteten analytischen Kur ein Schaden für den Kranken nicht zu befürchten ist. Anders wird vielleicht urteilen, wer als Laie gewohnt ist, alles, was sich in einem Krankheitsfalle begibt, der Behandlung zur Last zu legen. Es ist ja nicht lange her, daß unseren Wasserheilanstalten ein ähnliches Vorurteil entgegenstand. So mancher, dem man riet, eine solche Anstalt aufzusuchen, wurde bedenklich, weil er einen Bekannten gehabt hatte, der als Nervöser in die Anstalt kam und dort verrückt wurde. Es handelte sich, wie Sie erraten, um Fälle von beginnender allgemeiner Paralyse, die man im Anfangsstadium noch in einer Wasserheilanstalt unterbringen konnte und die dort ihren unaufhaltsamen Verlauf bis zur manifesten Geistesstörung genommen hatten; für die Laien war das Wasser schuld und Urheber dieser traurigen Veränderung. Wo es sich um neuartige Beeinflussungen handelt, halten sich auch Ärzte nicht immer von solchen Urteilsfehlern frei. Ich erinnere mich, einmal bei einer Frau den Versuch mit Psychotherapie gemacht zu haben, bei der ein gutes Stück ihrer Existenz in der Abwechslung von Manie und Melancholie verflossen war. Ich übernahm sie zu Ende einer Melancholie; es schien zwei Wochen lang gut zu gehen; in der dritten standen wir bereits zu Beginn der neuen Manie. Es war dies sicherlich eine spontane Veränderung des Krankheitsbildes, denn zwei Wochen sind keine Zeit, in welcher die analytische Psychotherapie irgend etwas zu leisten unternehmen kann, aber der hervorragende – jetzt schon verstorbene – Arzt, der mit mir die Kranke zu sehen bekam, konnte sich doch nicht der Bemerkung enthalten, daß an dieser »Verschlechterung« die Psychotherapie schuld sein dürfte. Ich bin ganz überzeugt, daß er sich unter anderen Bedingungen kritischer erwiesen hätte.</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(f)</w:t>
      </w:r>
      <w:r w:rsidRPr="008725BE">
        <w:rPr>
          <w:rFonts w:ascii="Garamond" w:hAnsi="Garamond"/>
          <w:lang w:val="en-GB"/>
        </w:rPr>
        <w:t xml:space="preserve"> Zum Schlusse, meine Herren Kollegen, muß ich mir sagen, es geht doch nicht an, Ihre Aufmerksamkeit so lange zugunsten der analytischen Psychotherapie in Anspruch zu nehmen, ohne Ihnen zu sagen, worin diese Behandlung besteht und worauf sie sich gründet. Ich kann es zwar, da ich kurz sein muß, nur mit </w:t>
      </w:r>
      <w:r w:rsidRPr="008725BE">
        <w:rPr>
          <w:rFonts w:ascii="Garamond" w:hAnsi="Garamond"/>
          <w:lang w:val="en-GB"/>
        </w:rPr>
        <w:lastRenderedPageBreak/>
        <w:t xml:space="preserve">einer Andeutung tun. Diese Therapie ist also auf die Einsicht gegründet, daß unbewußte Vorstellungen – besser: die Unbewußtheit gewisser seelischer Vorgänge – die nächste Ursache der krankhaften Symptome ist. Eine solche Überzeugung vertreten wir gemeinsam mit der französischen Schule (Janet), die übrigens in arger Schematisierung das hysterische Symptom auf die unbewußte </w:t>
      </w:r>
      <w:r w:rsidRPr="008725BE">
        <w:rPr>
          <w:rFonts w:ascii="Garamond" w:hAnsi="Garamond"/>
          <w:i/>
          <w:iCs/>
          <w:lang w:val="en-GB"/>
        </w:rPr>
        <w:t>idée fixe</w:t>
      </w:r>
      <w:r w:rsidRPr="008725BE">
        <w:rPr>
          <w:rFonts w:ascii="Garamond" w:hAnsi="Garamond"/>
          <w:lang w:val="en-GB"/>
        </w:rPr>
        <w:t xml:space="preserve"> zurückführt. Fürchten Sie nun nicht, daß wir dabei zu tief in die dunkelste Philosophie hineingeraten werden. Unser Unbewußtes ist nicht ganz dasselbe wie das der Philosophen, und überdies wollen die meisten Philosophen vom »unbewußten Psychischen« nichts wissen. Stellen Sie sich aber auf unseren Standpunkt, so werden Sie einsehen, daß die Übersetzung dieses Unbewußten im Seelenleben der Kranken in ein Bewußtes den Erfolg haben muß, deren Abweichung vom Normalen zu korrigieren und den Zwang aufzuheben, unter dem ihr Seelenleben steht. Denn der bewußte Wille reicht soweit als die bewußten psychischen Vorgänge, und jeder psychische Zwang ist durch das Unbewußte begründet. Sie brauchen auch niemals zu fürchten, daß der Kranke unter der Erschütterung Schaden nehme, welche der Eintritt des Unbewußten in sein Bewußtsein mit sich bringt, denn Sie können es sich theoretisch zurechtlegen, daß die somatische und affektive Wirkung der bewußt gewordenen Regung niemals so groß werden kann wie die der unbewußten. Wir beherrschen alle unsere Regungen doch nur dadurch, daß wir unsere höchsten, mit Bewußtsein verbundenen Seelenleistungen auf sie wenden.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Sie können aber auch einen anderen Gesichtspunkt für das Verständnis der psychoanalytischen Behandlung wählen. Die Aufdeckung und Übersetzung des Unbewußten geht unter beständigem </w:t>
      </w:r>
      <w:r w:rsidRPr="008725BE">
        <w:rPr>
          <w:rFonts w:ascii="Garamond" w:hAnsi="Garamond"/>
          <w:i/>
          <w:iCs/>
          <w:lang w:val="en-GB"/>
        </w:rPr>
        <w:t>Widerstand</w:t>
      </w:r>
      <w:r w:rsidRPr="008725BE">
        <w:rPr>
          <w:rFonts w:ascii="Garamond" w:hAnsi="Garamond"/>
          <w:lang w:val="en-GB"/>
        </w:rPr>
        <w:t xml:space="preserve"> von Seiten des Kranken vor sich. Das Auftauchen dieses Unbewußten ist mit Unlust verbunden, und wegen dieser Unlust wird es von ihm immer wieder zurückgewiesen. In diesen Konflikt im Seelenleben des Kranken greifen Sie nun ein; gelingt es Ihnen, den Kranken dazu zu bringen, daß er aus Motiven besserer Einsicht etwas akzeptiert, was er zufolge der automatischen Unlustregulierung bisher zurückgewiesen (verdrängt) hat, so haben Sie ein Stück Erziehungsarbeit an ihm geleistet. Es ist ja schon Erziehung, wenn Sie einen Menschen, der nicht gern frühmorgens das Bett verläßt, dazu bewegen, es doch zu tun. Als eine solche </w:t>
      </w:r>
      <w:r w:rsidRPr="008725BE">
        <w:rPr>
          <w:rFonts w:ascii="Garamond" w:hAnsi="Garamond"/>
          <w:i/>
          <w:iCs/>
          <w:lang w:val="en-GB"/>
        </w:rPr>
        <w:t>Nacherziehung zur Überwindung innerer Widerstände</w:t>
      </w:r>
      <w:r w:rsidRPr="008725BE">
        <w:rPr>
          <w:rFonts w:ascii="Garamond" w:hAnsi="Garamond"/>
          <w:lang w:val="en-GB"/>
        </w:rPr>
        <w:t xml:space="preserve"> können Sie nun die psychoanalytische Behandlung ganz allgemein auffassen. In keinem Punkte aber ist solche Nacherziehung bei den Nervösen mehr vonnöten als betreffs des seelischen Elements in ihrem Sexualleben. Nirgends haben ja Kultur und Erziehung so großen Schaden gestiftet wie gerade hier, und hier sind auch, wie Ihnen die Erfahrung zeigen wird, die beherrschbaren Ätiologien der Neurosen zu finden; das andere ätiologische Element, der konstitutionelle Beitrag, ist uns ja als etwas Unabänderliches gegeben. Hieraus erwächst aber eine wichtige an den Arzt zu stellende Anforderung. Er muß nicht nur selbst ein integrer Charakter sein – »das Moralische versteht sich ja von selbst«, wie die Hauptperson in Th. Vischers </w:t>
      </w:r>
      <w:r w:rsidRPr="008725BE">
        <w:rPr>
          <w:rFonts w:ascii="Garamond" w:hAnsi="Garamond"/>
          <w:i/>
          <w:iCs/>
          <w:lang w:val="en-GB"/>
        </w:rPr>
        <w:t>Auch Einer</w:t>
      </w:r>
      <w:r w:rsidRPr="008725BE">
        <w:rPr>
          <w:rFonts w:ascii="Garamond" w:hAnsi="Garamond"/>
          <w:lang w:val="en-GB"/>
        </w:rPr>
        <w:t xml:space="preserve"> zu sagen pflegt –; er muß auch für seine eigene Person die Mischung von Lüsternheit und Prüderie überwunden haben, mit welcher leider so viele andere den sexuellen Problemen entgegenzutreten gewohnt sind.</w:t>
      </w:r>
    </w:p>
    <w:p w:rsidR="008725BE" w:rsidRPr="008725BE" w:rsidRDefault="008725BE" w:rsidP="008725BE">
      <w:pPr>
        <w:pStyle w:val="Sansinterligne"/>
        <w:rPr>
          <w:rFonts w:ascii="Garamond" w:hAnsi="Garamond"/>
          <w:lang w:val="en-GB"/>
        </w:rPr>
      </w:pPr>
      <w:r w:rsidRPr="008725BE">
        <w:rPr>
          <w:rFonts w:ascii="Garamond" w:hAnsi="Garamond"/>
          <w:lang w:val="en-GB"/>
        </w:rPr>
        <w:t>Hier ist vielleicht der Platz für eine weitere Bemerkung. Ich weiß, daß meine Betonung der Rolle des Sexuellen für die Entstehung der Psychoneurosen in weiteren Kreisen bekanntgeworden ist. Ich weiß aber auch, daß Einschränkungen und nähere Bestimmungen beim großen Publikum wenig nützen; die Menge hat für wenig Raum in ihrem Gedächtnis und behält von einer Behauptung doch nur den rohen Kern, schafft sich ein leicht zu merkendes Extrem. Es mag auch manchen Ärzten so ergangen sein, daß ihnen als Inhalt meiner Lehre vorschwebt, ich führe die Neurosen in letzter Linie auf sexuelle Entbehrung zurück. An dieser fehlt es nicht unter den Lebensbedingungen unserer Gesellschaft. Wie nahe mag es nun bei solcher Voraussetzung liegen, den mühseligen Umweg über die psychische Kur zu vermeiden und direkt die Heilung anzustreben, indem man die sexuelle Betätigung als Heilmittel empfiehlt! Ich weiß nun nicht, was mich bewegen könnte, diese Folgerung zu unterdrücken, wenn sie berechtigt wäre. Die Sache liegt aber anders. Die sexuelle Bedürftigkeit und Entbehrung, das ist bloß der eine Faktor, der beim Mechanismus der Neurose ins Spiel tritt; bestünde er allein, so würde nicht Krankheit, sondern Ausschweifung die Folge sein. Der andere, ebenso unerläßliche Faktor, an den man allzu bereitwillig vergißt, ist die Sexualabneigung der Neurotiker, ihre Unfähigkeit zum Lieben, jener psychische Zug, den ich »Verdrängung« genannt habe. Erst aus dem Konflikt zwischen beiden Strebungen geht die neurotische Erkrankung hervor, und darum kann der Rat der sexuellen Betätigung bei den Psychoneurosen eigentlich nur selten als guter Rat bezeichnet werden.</w:t>
      </w:r>
    </w:p>
    <w:p w:rsidR="008725BE" w:rsidRPr="008725BE" w:rsidRDefault="008725BE" w:rsidP="008725BE">
      <w:pPr>
        <w:pStyle w:val="Sansinterligne"/>
        <w:rPr>
          <w:rFonts w:ascii="Garamond" w:hAnsi="Garamond"/>
          <w:lang w:val="en-GB"/>
        </w:rPr>
      </w:pPr>
      <w:r w:rsidRPr="008725BE">
        <w:rPr>
          <w:rFonts w:ascii="Garamond" w:hAnsi="Garamond"/>
          <w:lang w:val="en-GB"/>
        </w:rPr>
        <w:t>Lassen Sie mich mit dieser abwehrenden Bemerkung schließen. Wir wollen hoffen, daß Ihr von jedem feindseligen Vorurteil gereinigtes Interesse für die Psychotherapie uns darin unterstützen wird, auch in der Behandlung der schweren Fälle von Psychoneurosen Erfreuliches zu leisten.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199" w:name="KS64"/>
        <w:bookmarkEnd w:id="199"/>
        <w:r w:rsidRPr="008725BE">
          <w:rPr>
            <w:rStyle w:val="Lienhypertexte"/>
            <w:rFonts w:ascii="Garamond" w:hAnsi="Garamond"/>
            <w:b/>
            <w:lang w:val="en-GB"/>
          </w:rPr>
          <w:t>er Triebumsetzungen, insbesondere der Analerotik</w:t>
        </w:r>
      </w:hyperlink>
      <w:r w:rsidRPr="008725BE">
        <w:rPr>
          <w:rFonts w:ascii="Garamond" w:hAnsi="Garamond"/>
          <w:lang w:val="en-GB"/>
        </w:rPr>
        <w:t xml:space="preserve">  </w:t>
      </w:r>
      <w:r w:rsidRPr="008725BE">
        <w:rPr>
          <w:rFonts w:ascii="Garamond" w:hAnsi="Garamond"/>
          <w:caps/>
          <w:lang w:val="en-GB"/>
        </w:rPr>
        <w:t>(1917)</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Vor einer Reihe von Jahren habe ich aus der psychoanalytischen Beobachtung die Vermutung geschöpft, daß das konstante Zusammentreffen der drei Charaktereigenschaften: </w:t>
      </w:r>
      <w:r w:rsidRPr="008725BE">
        <w:rPr>
          <w:rFonts w:ascii="Garamond" w:hAnsi="Garamond"/>
          <w:i/>
          <w:iCs/>
          <w:lang w:val="en-GB"/>
        </w:rPr>
        <w:t>ordentlich, sparsam und eigensinnig</w:t>
      </w:r>
      <w:r w:rsidRPr="008725BE">
        <w:rPr>
          <w:rFonts w:ascii="Garamond" w:hAnsi="Garamond"/>
          <w:lang w:val="en-GB"/>
        </w:rPr>
        <w:t xml:space="preserve"> auf eine Verstärkung der analerotischen Komponente in der Sexualkonstitution solcher Personen hindeute, bei denen es aber im Laufe der Entwicklung durch Aufzehrung ihrer Analerotik zur Ausbildung solcher bevorzugter Reaktionsweisen des Ichs gekommen ist </w:t>
      </w:r>
      <w:hyperlink r:id="rId91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›Charakter und Analerotik‹ (1908  </w:t>
        </w:r>
        <w:r w:rsidRPr="008725BE">
          <w:rPr>
            <w:rStyle w:val="innerfusslink3"/>
            <w:rFonts w:ascii="Garamond" w:hAnsi="Garamond" w:cs="Arial"/>
            <w:b/>
            <w:bCs/>
            <w:i/>
            <w:iCs/>
            <w:lang w:val="en-GB"/>
          </w:rPr>
          <w:t>b</w:t>
        </w:r>
        <w:r w:rsidRPr="008725BE">
          <w:rPr>
            <w:rStyle w:val="innerfusslink3"/>
            <w:rFonts w:ascii="Garamond" w:hAnsi="Garamond" w:cs="Arial"/>
            <w:b/>
            <w:bCs/>
            <w:lang w:val="en-GB"/>
          </w:rPr>
          <w:t>).</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Es lag mir damals daran, eine als tatsächlich erkannte Beziehung bekanntzugeben; um ihre theoretische Würdigung bekümmerte ich mich wenig. Seither hat sich wohl allgemein die Auffassung durchgesetzt, daß jede einzelne der drei Eigenschaften: Geiz, Pedanterie und Eigensinn aus den Triebquellen der Analerotik hervorgeht oder – vorsichtiger und vollständiger ausgedrückt – mächtige Zuschüsse aus diesen Quellen bezieht. Die Fälle, denen die Vereinigung der erwähnten drei Charakterfehler ein besonderes Gepräge aufdrückte (Analcharakter), waren eben nur die Extreme, an denen sich der uns interessierende Zusammenhang auch einer stumpfen Beobachtung verraten mußte.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Einige Jahre später habe ich aus einer Fülle von Eindrücken, geleitet durch eine besonders zwingende analytische Erfahrung, den Schluß gezogen, daß in der Entwicklung der menschlichen Libido vor der Phase des Genitalprimats eine »prägenitale Organisation« anzunehmen ist, in welcher der Sadismus und die Analerotik die leitenden Rollen spielen </w:t>
      </w:r>
      <w:hyperlink r:id="rId91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›Die Disposition zur Zwangsneurose‹ (1913  </w:t>
        </w:r>
        <w:r w:rsidRPr="008725BE">
          <w:rPr>
            <w:rStyle w:val="innerfusslink3"/>
            <w:rFonts w:ascii="Garamond" w:hAnsi="Garamond" w:cs="Arial"/>
            <w:b/>
            <w:bCs/>
            <w:i/>
            <w:iCs/>
            <w:lang w:val="en-GB"/>
          </w:rPr>
          <w:t>i</w:t>
        </w:r>
        <w:r w:rsidRPr="008725BE">
          <w:rPr>
            <w:rStyle w:val="innerfusslink3"/>
            <w:rFonts w:ascii="Garamond" w:hAnsi="Garamond" w:cs="Arial"/>
            <w:b/>
            <w:bCs/>
            <w:lang w:val="en-GB"/>
          </w:rPr>
          <w:t>).</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Die Frage nach dem weiteren Verbleib der analerotischen Triebregungen war von da an unabweisbar. Welches wurde ihr Schicksal, nachdem sie durch die Herstellung der endgültigen Genitalorganisation ihre Bedeutung für das Sexualleben eingebüßt hatten? Blieben sie als solche, aber nun im Zustande der Verdrängung, fortbestehen, unterlagen sie der Sublimierung oder der Aufzehrung unter Umsetzung in Eigenschaften des Charakters, oder fanden sie Aufnahme in die neue, vom Primat der Genitalien bestimmte Gestaltung der Sexualität? Oder besser, da wahrscheinlich keines dieser Schicksale der Analerotik das ausschließliche sein dürfte, in welchem Ausmaß und in welcher Weise teilen sich diese verschiedenen Möglichkeiten in die Entscheidung über die Schicksale der Analerotik, deren organische Quellen ja durch das Auftreten der Genitalorganisation nicht verschüttet werden konnten?</w:t>
      </w:r>
    </w:p>
    <w:p w:rsidR="008725BE" w:rsidRPr="008725BE" w:rsidRDefault="008725BE" w:rsidP="008725BE">
      <w:pPr>
        <w:pStyle w:val="Sansinterligne"/>
        <w:rPr>
          <w:rFonts w:ascii="Garamond" w:hAnsi="Garamond"/>
          <w:lang w:val="en-GB"/>
        </w:rPr>
      </w:pPr>
      <w:r w:rsidRPr="008725BE">
        <w:rPr>
          <w:rFonts w:ascii="Garamond" w:hAnsi="Garamond"/>
          <w:lang w:val="en-GB"/>
        </w:rPr>
        <w:t>Man sollte meinen, es könnte an Material für die Beantwortung dieser Fragen nicht fehlen, da die betreffenden Vorgänge von Entwicklung und Umsetzung sich bei allen Personen vollzogen haben müssen, die Gegenstand der psychoanalytischen Untersuchung werden. Allein dies Material ist so undurchsichtig, die Fülle von immer wiederkehrenden Eindrücken wirkt so verwirrend, daß ich auch heute keine vollständige Lösung des Problems, bloß Beiträge zur Lösung zu geben vermag. Ich brauche dabei der Gelegenheit nicht aus dem Wege zu gehen, wenn der Zusammenhang es gestattet, einige andere Triebumsetzungen zu erwähnen, welche nicht die Analerotik betreffen. Es bedarf endlich kaum der Hervorhebung, daß die beschriebenen Entwicklungsvorgänge – hier wie anderwärts in der Psychoanalyse – aus den Regressionen erschlossen worden sind, zu welchen sie durch die neurotischen Prozesse genötigt wurden.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Ausgangspunkt dieser Erörterungen kann der Anschein werden, daß in den Produktionen des Unbewußten – Einfällen, Phantasien und Symptomen – die Begriffe </w:t>
      </w:r>
      <w:r w:rsidRPr="008725BE">
        <w:rPr>
          <w:rFonts w:ascii="Garamond" w:hAnsi="Garamond"/>
          <w:i/>
          <w:iCs/>
          <w:lang w:val="en-GB"/>
        </w:rPr>
        <w:t>Kot</w:t>
      </w:r>
      <w:r w:rsidRPr="008725BE">
        <w:rPr>
          <w:rFonts w:ascii="Garamond" w:hAnsi="Garamond"/>
          <w:lang w:val="en-GB"/>
        </w:rPr>
        <w:t xml:space="preserve"> (Geld, Geschenk), </w:t>
      </w:r>
      <w:r w:rsidRPr="008725BE">
        <w:rPr>
          <w:rFonts w:ascii="Garamond" w:hAnsi="Garamond"/>
          <w:i/>
          <w:iCs/>
          <w:lang w:val="en-GB"/>
        </w:rPr>
        <w:t>Kind</w:t>
      </w:r>
      <w:r w:rsidRPr="008725BE">
        <w:rPr>
          <w:rFonts w:ascii="Garamond" w:hAnsi="Garamond"/>
          <w:lang w:val="en-GB"/>
        </w:rPr>
        <w:t xml:space="preserve"> und </w:t>
      </w:r>
      <w:r w:rsidRPr="008725BE">
        <w:rPr>
          <w:rFonts w:ascii="Garamond" w:hAnsi="Garamond"/>
          <w:i/>
          <w:iCs/>
          <w:lang w:val="en-GB"/>
        </w:rPr>
        <w:t>Penis</w:t>
      </w:r>
      <w:r w:rsidRPr="008725BE">
        <w:rPr>
          <w:rFonts w:ascii="Garamond" w:hAnsi="Garamond"/>
          <w:lang w:val="en-GB"/>
        </w:rPr>
        <w:t xml:space="preserve"> schlecht auseinandergehalten und leicht miteinander vertauscht werden. Wenn wir uns so ausdrücken, wissen wir natürlich, daß wir Bezeichnungen, die für andere Gebiete des Seelenlebens gebräuchlich sind, mit Unrecht auf das Unbewußte übertragen und uns durch den Vorteil, welchen ein Vergleich mit sich bringt, verleiten lassen. Wiederholen wir also in einwandfreierer Form, daß diese Elemente im Unbewußten häufig behandelt werden, als wären sie einander äquivalent und dürften einander unbedenklich ersetzen.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Für die Beziehungen von »Kind« und »Penis« ist dies am leichtesten zu sehen. Es kann nicht gleichgültig sein, daß beide in der Symbolsprache des Traumes wie in der des täglichen Lebens durch ein gemeinsames Symbol ersetzt werden können. Das Kind heißt wie der Penis das » </w:t>
      </w:r>
      <w:r w:rsidRPr="008725BE">
        <w:rPr>
          <w:rFonts w:ascii="Garamond" w:hAnsi="Garamond"/>
          <w:i/>
          <w:iCs/>
          <w:lang w:val="en-GB"/>
        </w:rPr>
        <w:t>Kleine</w:t>
      </w:r>
      <w:r w:rsidRPr="008725BE">
        <w:rPr>
          <w:rFonts w:ascii="Garamond" w:hAnsi="Garamond"/>
          <w:lang w:val="en-GB"/>
        </w:rPr>
        <w:t>«. Es ist bekannt, daß die Symbolsprache sich oft über den Geschlechtsunterschied hinaussetzt. Das »Kleine«, das ursprünglich das männliche Glied meinte, mag also sekundär zur Bezeichnung des weiblichen Genitales gelangt sein.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Forscht man tief genug in der Neurose einer Frau, so stößt man nicht selten auf den verdrängten Wunsch, einen Penis wie der Mann zu besitzen. Akzidentelles Mißgeschick im Frauenleben, oft genug selbst Folge einer stark männlichen Anlage, hat diesen Kinderwunsch, den wir als »Penisneid« dem Kastrationskomplex einordnen, wieder aktiviert und ihn durch die Rückströmung der Libido zum Hauptträger der neurotischen Symptome werden lassen. Bei anderen Frauen läßt sich von diesem Wunsch nach dem Penis nichts nachweisen; seine Stelle nimmt der Wunsch nach dem Kind ein, dessen Versagung </w:t>
      </w:r>
      <w:r w:rsidRPr="008725BE">
        <w:rPr>
          <w:rFonts w:ascii="Garamond" w:hAnsi="Garamond"/>
          <w:lang w:val="en-GB"/>
        </w:rPr>
        <w:lastRenderedPageBreak/>
        <w:t>im Leben dann die Neurose auslösen kann. Es ist so, als ob diese Frauen begriffen hätten – was als Motiv doch unmöglich gewesen sein kann –, daß die Natur dem Weibe das Kind zum Ersatz für das andere gegeben hat, was sie ihm versagen mußte. Bei noch anderen Frauen erfährt man, daß beide Wünsche in der Kindheit vorhanden waren und einander abgelöst haben. Zuerst wollten sie einen Penis haben wie der Mann, und in einer späteren, immer noch infantilen Epoche trat der Wunsch nach einem Kind an die Stelle. Man kann den Eindruck nicht abweisen, daß akzidentelle Momente des Kinderlebens, die Anwesenheit oder das Fehlen von Brüdern, das Erleben der Geburt eines neuen Kindes zu günstiger Lebenszeit, die Schuld an dieser Mannigfaltigkeit tragen, so daß der Wunsch nach dem Penis doch im Grunde identisch wäre mit dem nach dem Kinde.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können angeben, welches Schicksal der infantile Wunsch nach dem Penis erfährt, wenn die Bedingungen der Neurose im späteren Leben ausbleiben. Er verwandelt sich dann in den Wunsch nach dem </w:t>
      </w:r>
      <w:r w:rsidRPr="008725BE">
        <w:rPr>
          <w:rFonts w:ascii="Garamond" w:hAnsi="Garamond"/>
          <w:i/>
          <w:iCs/>
          <w:lang w:val="en-GB"/>
        </w:rPr>
        <w:t>Mann</w:t>
      </w:r>
      <w:r w:rsidRPr="008725BE">
        <w:rPr>
          <w:rFonts w:ascii="Garamond" w:hAnsi="Garamond"/>
          <w:lang w:val="en-GB"/>
        </w:rPr>
        <w:t>, er läßt sich also den Mann als Anhängsel an den Penis gefallen. Durch diese Wandlung wird eine gegen die weibliche Sexualfunktion gerichtete Regung zu einer ihr günstigen. Diesen Frauen wird hiemit ein Liebesleben nach dem männlichen Typus der Objektliebe ermöglicht, welches sich neben dem eigentlich weiblichen, vom Narzißmus abgeleiteten, behaupten kann. Wir haben schon gehört, daß es in anderen Fällen erst das Kind ist, welches den Übergang von der narzißtischen Selbstliebe zur Objektliebe herbeiführt. Es kann also auch in diesem Punkte das Kind durch den Penis vertreten werden.</w:t>
      </w:r>
    </w:p>
    <w:p w:rsidR="008725BE" w:rsidRPr="008725BE" w:rsidRDefault="008725BE" w:rsidP="008725BE">
      <w:pPr>
        <w:pStyle w:val="Sansinterligne"/>
        <w:rPr>
          <w:rFonts w:ascii="Garamond" w:hAnsi="Garamond"/>
          <w:lang w:val="en-GB"/>
        </w:rPr>
      </w:pPr>
      <w:r w:rsidRPr="008725BE">
        <w:rPr>
          <w:rFonts w:ascii="Garamond" w:hAnsi="Garamond"/>
          <w:lang w:val="en-GB"/>
        </w:rPr>
        <w:t>Ich hatte einigemal Gelegenheit, Träume von Frauen nach den ersten Kohabitationen zu erfahren. Diese deckten unverkennbar den Wunsch auf, den Penis, den sie verspürt hatten, bei sich zu behalten, entsprachen also, von der libidinösen Begründung abgesehen, einer flüchtigen Regression vom Manne auf den Penis als Wunschobjekt. Man wird gewiß geneigt sein, den Wunsch nach dem Manne in rein rationalistischer Weise auf den Wunsch nach dem Kinde zurückzuführen, da ja irgend einmal verstanden wird, daß man ohne Dazutun des Mannes ein Kind nicht bekommen kann. Es dürfte aber eher so zugehen, daß der Wunsch nach dem Manne unabhängig vom Kindwunsch entsteht und daß, wenn er aus begreiflichen Motiven, die durchaus der Ichpsychologie angehören, auftaucht, der alte Wunsch nach dem Penis sich ihm als unbewußte libidinöse Verstärkung beigesellt.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Bedeutung des beschriebenen Vorganges liegt darin, daß er ein Stück der narzißtischen Männlichkeit des jungen Weibes in Weiblichkeit überführt und somit für die weibliche Sexualfunktion unschädlich macht. Auf einem anderen Wege wird nun auch ein Anteil der Erotik der prägenitalen Phase für die Verwendung in der Phase des Genitalprimats tauglich. Das Kind wird doch als »Lumpf« betrachtet (siehe die Analyse des kleinen Hans), als etwas, was sich durch den Darm vom Körper löst; somit kann ein Betrag libidinöser Besetzung, welcher dem Darminhalt gegolten hat, auf das durch den Darm geborene Kind ausgedehnt werden. Ein sprachliches Zeugnis dieser Identität von Kind und Kot ist in der Redensart: ein Kind </w:t>
      </w:r>
      <w:r w:rsidRPr="008725BE">
        <w:rPr>
          <w:rFonts w:ascii="Garamond" w:hAnsi="Garamond"/>
          <w:i/>
          <w:iCs/>
          <w:lang w:val="en-GB"/>
        </w:rPr>
        <w:t>schenken</w:t>
      </w:r>
      <w:r w:rsidRPr="008725BE">
        <w:rPr>
          <w:rFonts w:ascii="Garamond" w:hAnsi="Garamond"/>
          <w:lang w:val="en-GB"/>
        </w:rPr>
        <w:t xml:space="preserve"> erhalten. Der Kot ist nämlich das erste </w:t>
      </w:r>
      <w:r w:rsidRPr="008725BE">
        <w:rPr>
          <w:rFonts w:ascii="Garamond" w:hAnsi="Garamond"/>
          <w:i/>
          <w:iCs/>
          <w:lang w:val="en-GB"/>
        </w:rPr>
        <w:t>Geschenk</w:t>
      </w:r>
      <w:r w:rsidRPr="008725BE">
        <w:rPr>
          <w:rFonts w:ascii="Garamond" w:hAnsi="Garamond"/>
          <w:lang w:val="en-GB"/>
        </w:rPr>
        <w:t xml:space="preserve">, ein Teil seines Körpers, von dem sich der Säugling nur auf Zureden der geliebten Person trennt, mit dem er ihr auch unaufgefordert seine Zärtlichkeit bezeigt, da er fremde Personen in der Regel nicht beschmutzt. (Ähnliche, wenn auch nicht so intensive Reaktionen mit dem Urin.) Bei der Defäkation ergibt sich für das Kind eine erste Entscheidung zwischen narzißtischer und objektliebender Einstellung. Es gibt entweder den Kot gefügig ab, »opfert« ihn der Liebe, oder hält ihn zur autoerotischen Befriedigung, später zur Behauptung seines eigenen Willens, zurück. Mit letzterer Entscheidung ist der </w:t>
      </w:r>
      <w:r w:rsidRPr="008725BE">
        <w:rPr>
          <w:rFonts w:ascii="Garamond" w:hAnsi="Garamond"/>
          <w:i/>
          <w:iCs/>
          <w:lang w:val="en-GB"/>
        </w:rPr>
        <w:t>Trotz</w:t>
      </w:r>
      <w:r w:rsidRPr="008725BE">
        <w:rPr>
          <w:rFonts w:ascii="Garamond" w:hAnsi="Garamond"/>
          <w:lang w:val="en-GB"/>
        </w:rPr>
        <w:t xml:space="preserve"> (Eigensinn) konstituiert, der also einem narzißtischen Beharren bei der Analerotik entspringt.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wahrscheinlich, daß nicht </w:t>
      </w:r>
      <w:r w:rsidRPr="008725BE">
        <w:rPr>
          <w:rFonts w:ascii="Garamond" w:hAnsi="Garamond"/>
          <w:i/>
          <w:iCs/>
          <w:lang w:val="en-GB"/>
        </w:rPr>
        <w:t>Gold-Geld</w:t>
      </w:r>
      <w:r w:rsidRPr="008725BE">
        <w:rPr>
          <w:rFonts w:ascii="Garamond" w:hAnsi="Garamond"/>
          <w:lang w:val="en-GB"/>
        </w:rPr>
        <w:t xml:space="preserve">, sondern </w:t>
      </w:r>
      <w:r w:rsidRPr="008725BE">
        <w:rPr>
          <w:rFonts w:ascii="Garamond" w:hAnsi="Garamond"/>
          <w:i/>
          <w:iCs/>
          <w:lang w:val="en-GB"/>
        </w:rPr>
        <w:t>Geschenk</w:t>
      </w:r>
      <w:r w:rsidRPr="008725BE">
        <w:rPr>
          <w:rFonts w:ascii="Garamond" w:hAnsi="Garamond"/>
          <w:lang w:val="en-GB"/>
        </w:rPr>
        <w:t xml:space="preserve"> die nächste Bedeutung ist, zu welcher das Kotinteresse fortschreitet. Das Kind kennt kein anderes Geld, als was ihm geschenkt wird, kein erworbenes und auch kein eigenes, ererbtes. Da Kot sein erstes Geschenk ist, überträgt es leicht sein Interesse von diesem Stoff auf jenen neuen, der ihm als wichtigstes Geschenk im Leben entgegentritt. Wer an dieser Herleitung des Geschenkes zweifelt, möge seine Erfahrung in der psychoanalytischen Behandlung zu Rate ziehen, die Geschenke studieren, die er als Arzt vom Kranken erhält, und die Übertragungsstürme beachten, welche er durch ein Geschenk an den Patienten hervorrufen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Kotinteresse wird also zum Teil als Geldinteresse fortgesetzt, zum anderen Teil in den Wunsch nach dem Kinde übergeführt. In diesem Kindwunsch treffen nun eine analerotische und eine genitale Regung (Penisneid) zusammen. Der Penis hat aber auch eine vom Kindinteresse unabhängige analerotische Bedeutung. Das Verhältnis zwischen dem Penis und dem von ihm ausgefüllten und erregten Schleimhautrohr findet sich nämlich schon in der prägenitalen, sadistisch-analen Phase vorgebildet. Der Kotballen – oder die »Kotstange« nach dem Ausdruck eines Patienten – ist sozusagen der erste Penis, die von ihm gereizte Schleimhaut die des Enddarmes. Es gibt Personen, deren Analerotik bis zur Zeit der Vorpubertät (zehn bis zwölf Jahre) stark und unverändert geblieben ist; von ihnen erfährt man, daß sie </w:t>
      </w:r>
      <w:r w:rsidRPr="008725BE">
        <w:rPr>
          <w:rFonts w:ascii="Garamond" w:hAnsi="Garamond"/>
          <w:lang w:val="en-GB"/>
        </w:rPr>
        <w:lastRenderedPageBreak/>
        <w:t>schon während dieser prägenitalen Phase in Phantasien und perversen Spielereien eine der genitalen analoge Organisation entwickelt hatten, in welcher Penis und Vagina durch die Kotstange und den Darm vertreten waren. Bei anderen – Zwangsneurotikern – kann man das Ergebnis einer regressiven Erniedrigung der Genitalorganisation kennenlernen. Es äußert sich darin, daß alle ursprünglich genital konzipierten Phantasien ins Anale versetzt, der Penis durch die Kotstange, die Vagina durch den Darm ersetzt werden.</w:t>
      </w:r>
    </w:p>
    <w:p w:rsidR="008725BE" w:rsidRPr="008725BE" w:rsidRDefault="008725BE" w:rsidP="008725BE">
      <w:pPr>
        <w:pStyle w:val="Sansinterligne"/>
        <w:rPr>
          <w:rFonts w:ascii="Garamond" w:hAnsi="Garamond"/>
          <w:lang w:val="en-GB"/>
        </w:rPr>
      </w:pPr>
      <w:r w:rsidRPr="008725BE">
        <w:rPr>
          <w:rFonts w:ascii="Garamond" w:hAnsi="Garamond"/>
          <w:lang w:val="en-GB"/>
        </w:rPr>
        <w:t>Wenn das Kotinteresse in normaler Weise zurückgeht, so wirkt die hier dargelegte organische Analogie dahin, daß es sich auf den Penis überträgt. Erfährt man später in der Sexualforschung, daß das Kind aus dem Darm geboren wird, so wird dieses zum Haupterben der Analerotik, aber der Vorgänger des Kindes war der Penis gewesen, in diesem wie in einem anderen Sinne.</w:t>
      </w:r>
    </w:p>
    <w:p w:rsidR="008725BE" w:rsidRPr="008725BE" w:rsidRDefault="008725BE" w:rsidP="008725BE">
      <w:pPr>
        <w:pStyle w:val="Sansinterligne"/>
        <w:rPr>
          <w:rFonts w:ascii="Garamond" w:hAnsi="Garamond"/>
          <w:lang w:val="en-GB"/>
        </w:rPr>
      </w:pPr>
      <w:r w:rsidRPr="008725BE">
        <w:rPr>
          <w:rFonts w:ascii="Garamond" w:hAnsi="Garamond"/>
          <w:lang w:val="en-GB"/>
        </w:rPr>
        <w:t>Ich bin überzeugt, daß die vielfältigen Beziehungen in der Reihe Kot-Penis-Kind nun völlig unübersichtlich geworden sind, und will darum versuchen, dem Mangel durch eine graphische Darstellung abzuhelfen, in deren Diskussion dasselbe Material nochmals, aber in anderer Folge, gewürdigt werden kann. Leider ist dieses technische Mittel nicht schmiegsam genug für unsere Absichten, oder wir haben noch nicht gelernt, es in geeigneter Weise zu gebrauchen. Ich bitte jedenfalls, an das beistehende Schema keine strengen Anforderungen zu stellen.</w:t>
      </w:r>
    </w:p>
    <w:p w:rsidR="008725BE" w:rsidRPr="008725BE" w:rsidRDefault="008725BE" w:rsidP="008725BE">
      <w:pPr>
        <w:pStyle w:val="Sansinterligne"/>
        <w:rPr>
          <w:rFonts w:ascii="Garamond" w:hAnsi="Garamond"/>
        </w:rPr>
      </w:pPr>
      <w:r w:rsidRPr="008725BE">
        <w:rPr>
          <w:rFonts w:ascii="Garamond" w:hAnsi="Garamond"/>
          <w:noProof/>
          <w:lang w:eastAsia="fr-FR"/>
        </w:rPr>
        <w:drawing>
          <wp:inline distT="0" distB="0" distL="0" distR="0">
            <wp:extent cx="4382135" cy="2532380"/>
            <wp:effectExtent l="19050" t="0" r="0" b="0"/>
            <wp:docPr id="23" name="Image 23" descr="v7s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7s130"/>
                    <pic:cNvPicPr>
                      <a:picLocks noChangeAspect="1" noChangeArrowheads="1"/>
                    </pic:cNvPicPr>
                  </pic:nvPicPr>
                  <pic:blipFill>
                    <a:blip r:embed="rId920" cstate="print"/>
                    <a:srcRect/>
                    <a:stretch>
                      <a:fillRect/>
                    </a:stretch>
                  </pic:blipFill>
                  <pic:spPr bwMode="auto">
                    <a:xfrm>
                      <a:off x="0" y="0"/>
                      <a:ext cx="4382135" cy="2532380"/>
                    </a:xfrm>
                    <a:prstGeom prst="rect">
                      <a:avLst/>
                    </a:prstGeom>
                    <a:noFill/>
                    <a:ln w="9525">
                      <a:noFill/>
                      <a:miter lim="800000"/>
                      <a:headEnd/>
                      <a:tailEnd/>
                    </a:ln>
                  </pic:spPr>
                </pic:pic>
              </a:graphicData>
            </a:graphic>
          </wp:inline>
        </w:drawing>
      </w:r>
    </w:p>
    <w:p w:rsidR="008725BE" w:rsidRPr="008725BE" w:rsidRDefault="008725BE" w:rsidP="008725BE">
      <w:pPr>
        <w:pStyle w:val="Sansinterligne"/>
        <w:rPr>
          <w:rFonts w:ascii="Garamond" w:hAnsi="Garamond"/>
          <w:lang w:val="en-GB"/>
        </w:rPr>
      </w:pPr>
      <w:r w:rsidRPr="008725BE">
        <w:rPr>
          <w:rFonts w:ascii="Garamond" w:hAnsi="Garamond"/>
        </w:rPr>
        <w:t xml:space="preserve">Aus der Analerotik geht in narzißtischer Verwendung der Trotz hervor als eine bedeutsame Reaktion des Ichs gegen Anforderungen der anderen; das dem Kot zugewendete Interesse übergeht in Interesse für das Geschenk und dann für das Geld. </w:t>
      </w:r>
      <w:r w:rsidRPr="008725BE">
        <w:rPr>
          <w:rFonts w:ascii="Garamond" w:hAnsi="Garamond"/>
          <w:lang w:val="en-GB"/>
        </w:rPr>
        <w:t>Mit dem Auftreten des Penis entsteht beim Mädchen der Penisneid, der sich später in den Wunsch nach dem Mann als Träger eines Penis umsetzt. Vorher noch hat sich der Wunsch nach dem Penis in den Wunsch nach dem Kind verwandelt, oder der Kindwunsch ist an die Stelle des Peniswunsches getreten. Eine organische Analogie zwischen Penis und Kind (punktierte Linie) drückt sich durch den Besitz eines beiden gemeinsamen Symbols aus (»das Kleine«). Vom Kindwunsch führt dann ein rationeller Weg (doppelte Linie) zum Wunsch nach dem Mann. Die Bedeutung dieser Triebumsetzung haben wir bereits gewürdigt.</w:t>
      </w:r>
    </w:p>
    <w:p w:rsidR="008725BE" w:rsidRPr="008725BE" w:rsidRDefault="008725BE" w:rsidP="008725BE">
      <w:pPr>
        <w:pStyle w:val="Sansinterligne"/>
        <w:rPr>
          <w:rFonts w:ascii="Garamond" w:hAnsi="Garamond"/>
          <w:lang w:val="en-GB"/>
        </w:rPr>
      </w:pPr>
      <w:r w:rsidRPr="008725BE">
        <w:rPr>
          <w:rFonts w:ascii="Garamond" w:hAnsi="Garamond"/>
          <w:lang w:val="en-GB"/>
        </w:rPr>
        <w:t>Ein anderes Stück des Zusammenhanges ist weit deutlicher beim Manne zu erkennen. Es stellt sich her, wenn die Sexualforschung des Kindes das Fehlen des Penis beim Weibe in Erfahrung gebracht hat. Der Penis wird somit als etwas vom Körper Ablösbares erkannt und tritt in Analogie zum Kot, welcher das erste Stück Leiblichkeit war, auf das man verzichten mußte. Der alte Analtrotz tritt so in die Konstitution des Kastrationskomplexes ein. Die organische Analogie, derzufolge der Darminhalt den Vorläufer des Penis während der prägenitalen Phase darstellte, kann als Motiv nicht in Betracht kommen; sie findet aber durch die Sexualforschung einen psychischen Ersatz.</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das Kind auftritt, wird es durch die Sexualforschung als »Lumpf« erkannt und mit mächtigem, analerotischem Interesse besetzt. Einen zweiten Zuzug aus gleicher Quelle erhält der Kindwunsch, wenn die soziale Erfahrung lehrt, daß das Kind als Liebesbeweis, als Geschenk, aufgefaßt werden kann. Alle drei, Kotsäule, Penis und Kind, sind feste Körper, welche ein Schleimhautrohr (den Enddarm und die ihm nach einem guten Worte von Lou Andreas-Salomé gleichsam abgemietete Vagina) </w:t>
      </w:r>
      <w:hyperlink r:id="rId92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›»Anal« und »Sexual«‹ (1916).</w:t>
        </w:r>
      </w:hyperlink>
      <w:r w:rsidRPr="008725BE">
        <w:rPr>
          <w:rFonts w:ascii="Garamond" w:hAnsi="Garamond"/>
          <w:lang w:val="en-GB"/>
        </w:rPr>
        <w:t xml:space="preserve"> bei ihrem Eindringen oder Herausdringen erregen. Der infantilen Sexualforschung kann von diesem Sachverhalt nur bekanntwerden, daß das Kind denselben Weg nimmt wie die Kotsäule; die Funktion des Penis wird von der kindlichen Forschung in der Regel nicht aufgedeckt. Doch ist es </w:t>
      </w:r>
      <w:r w:rsidRPr="008725BE">
        <w:rPr>
          <w:rFonts w:ascii="Garamond" w:hAnsi="Garamond"/>
          <w:lang w:val="en-GB"/>
        </w:rPr>
        <w:lastRenderedPageBreak/>
        <w:t>interessant zu sehen, daß eine organische Übereinstimmung nach so vielen Umwegen wieder im Psychischen als eine unbewußte Identität zum Vorschein kommt.</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Üb</w:t>
        </w:r>
        <w:bookmarkStart w:id="200" w:name="KS65"/>
        <w:bookmarkEnd w:id="200"/>
        <w:r w:rsidRPr="008725BE">
          <w:rPr>
            <w:rStyle w:val="Lienhypertexte"/>
            <w:rFonts w:ascii="Garamond" w:hAnsi="Garamond"/>
            <w:b/>
            <w:lang w:val="en-GB"/>
          </w:rPr>
          <w:t>er “wilde” Psychoanalyse</w:t>
        </w:r>
      </w:hyperlink>
      <w:r w:rsidRPr="008725BE">
        <w:rPr>
          <w:rFonts w:ascii="Garamond" w:hAnsi="Garamond"/>
          <w:lang w:val="en-GB"/>
        </w:rPr>
        <w:t xml:space="preserve">   </w:t>
      </w:r>
      <w:r w:rsidRPr="008725BE">
        <w:rPr>
          <w:rFonts w:ascii="Garamond" w:hAnsi="Garamond"/>
          <w:caps/>
          <w:lang w:val="en-GB"/>
        </w:rPr>
        <w:t>(1910)</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Vor einigen Tagen erschien in meiner Sprechstunde in Begleitung einer schützenden Freundin eine ältere Dame, die über Angstzustände klagte. Sie war in der zweiten Hälfte der Vierzigerjahre, ziemlich gut erhalten, hatte offenbar mit ihrer Weiblichkeit noch nicht abgeschlossen. Anlaß des Ausbruches der Zustände war die Scheidung von ihrem letzten Manne; die Angst hatte aber nach ihrer Angabe eine erhebliche Steigerung erfahren, seitdem sie einen jungen Arzt in ihrer Vorstadt konsultiert hatte; denn dieser hatte ihr auseinandergesetzt, daß die Ursache ihrer Angst ihre sexuelle Bedürftigkeit sei. Sie könne den Verkehr mit dem Manne nicht entbehren, und darum gebe es für sie nur drei Wege zur Gesundheit, entweder sie kehre zu ihrem Manne zurück, oder sie nehme einen Liebhaber, oder sie befriedige sich selbst. Seitdem sei sie überzeugt, daß sie unheilbar sei, denn zu ihrem Manne zurück wolle sie nicht, und die beiden anderen Mittel widerstrebten ihrer Moral und ihrer Religiosität. Zu mir aber sei sie gekommen, weil der Arzt ihr gesagt habe, das sei eine neue Einsicht, die man mir verdanke, und sie solle sich nur von mir die Bestätigung holen, daß es so sei und nicht anders. Die Freundin, eine noch ältere, verkümmert und ungesund aussehende Frau, beschwor mich dann, der Patientin zu versichern, daß sich der Arzt geirrt habe. Es könne doch nicht so sein, denn sie selbst sei seit langen Jahren Witwe und doch anständig geblieben, ohne an Angst zu leiden.</w:t>
      </w:r>
    </w:p>
    <w:p w:rsidR="008725BE" w:rsidRPr="008725BE" w:rsidRDefault="008725BE" w:rsidP="008725BE">
      <w:pPr>
        <w:pStyle w:val="Sansinterligne"/>
        <w:rPr>
          <w:rFonts w:ascii="Garamond" w:hAnsi="Garamond"/>
          <w:lang w:val="en-GB"/>
        </w:rPr>
      </w:pPr>
      <w:r w:rsidRPr="008725BE">
        <w:rPr>
          <w:rFonts w:ascii="Garamond" w:hAnsi="Garamond"/>
          <w:lang w:val="en-GB"/>
        </w:rPr>
        <w:t>Ich will nicht bei der schwierigen Situation verweilen, in die ich durch diesen Besuch versetzt wurde, sondern das Verhalten des Kollegen beleuchten, der diese Kranke zu mir geschickt hatte. Vorher will ich einer Verwahrung gedenken, die vielleicht – oder hoffentlich – nicht überflüssig ist. Langjährige Erfahrung hat mich gelehrt – wie sie's auch jeden anderen lehren könnte –, nicht leichthin als wahr anzunehmen, was Patienten, insbesondere Nervöse, von ihrem Arzt erzählen. Der Nervenarzt wird nicht nur bei jeder Art von Behandlung leicht das Objekt, nach dem mannigfache feindselige Regungen des Patienten zielen; er muß es sich auch manchmal gefallen lassen, durch eine Art von Projektion die Verantwortung für die geheimen, verdrängten Wünsche der Nervösen zu übernehmen. Es ist dann eine traurige, aber bezeichnende Tatsache, daß solche Anwürfe nirgendwo leichter Glauben finden als bei anderen Ärzten.</w:t>
      </w:r>
    </w:p>
    <w:p w:rsidR="008725BE" w:rsidRPr="008725BE" w:rsidRDefault="008725BE" w:rsidP="008725BE">
      <w:pPr>
        <w:pStyle w:val="Sansinterligne"/>
        <w:rPr>
          <w:rFonts w:ascii="Garamond" w:hAnsi="Garamond"/>
          <w:lang w:val="en-GB"/>
        </w:rPr>
      </w:pPr>
      <w:r w:rsidRPr="008725BE">
        <w:rPr>
          <w:rFonts w:ascii="Garamond" w:hAnsi="Garamond"/>
          <w:lang w:val="en-GB"/>
        </w:rPr>
        <w:t>Ich habe also das Recht zu hoffen, daß die Dame in meiner Sprechstunde mir einen tendenziös entstellten Bericht von den Äußerungen ihres Arztes gegeben hat und daß ich ein Unrecht an ihm, der mir persönlich unbekannt ist, begehe, wenn ich meine Bemerkungen über »wilde« Psychoanalyse gerade an diesen Fall anknüpfe. Aber ich halte dadurch vielleicht andere ab, an ihren Kranken unrecht zu tun.</w:t>
      </w:r>
    </w:p>
    <w:p w:rsidR="008725BE" w:rsidRPr="008725BE" w:rsidRDefault="008725BE" w:rsidP="008725BE">
      <w:pPr>
        <w:pStyle w:val="Sansinterligne"/>
        <w:rPr>
          <w:rFonts w:ascii="Garamond" w:hAnsi="Garamond"/>
          <w:lang w:val="en-GB"/>
        </w:rPr>
      </w:pPr>
      <w:r w:rsidRPr="008725BE">
        <w:rPr>
          <w:rFonts w:ascii="Garamond" w:hAnsi="Garamond"/>
          <w:lang w:val="en-GB"/>
        </w:rPr>
        <w:t>Nehmen wir also an, daß der Arzt genauso gesprochen hat, wie mir die Patientin berichtete.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wird dann jeder leicht zu seiner Kritik vorbringen, daß ein Arzt, wenn er es für notwendig hält, mit einer Frau über das Thema der Sexualität zu verhandeln, dies mit Takt und Schonung tun müsse. Aber diese Anforderungen fallen mit der Befolgung gewisser </w:t>
      </w:r>
      <w:r w:rsidRPr="008725BE">
        <w:rPr>
          <w:rFonts w:ascii="Garamond" w:hAnsi="Garamond"/>
          <w:i/>
          <w:iCs/>
          <w:lang w:val="en-GB"/>
        </w:rPr>
        <w:t>technischer</w:t>
      </w:r>
      <w:r w:rsidRPr="008725BE">
        <w:rPr>
          <w:rFonts w:ascii="Garamond" w:hAnsi="Garamond"/>
          <w:lang w:val="en-GB"/>
        </w:rPr>
        <w:t xml:space="preserve"> Vorschriften der Psychoanalyse zusammen, und überdies hätte der Arzt eine Reihe von </w:t>
      </w:r>
      <w:r w:rsidRPr="008725BE">
        <w:rPr>
          <w:rFonts w:ascii="Garamond" w:hAnsi="Garamond"/>
          <w:i/>
          <w:iCs/>
          <w:lang w:val="en-GB"/>
        </w:rPr>
        <w:t>wissenschaftlichen</w:t>
      </w:r>
      <w:r w:rsidRPr="008725BE">
        <w:rPr>
          <w:rFonts w:ascii="Garamond" w:hAnsi="Garamond"/>
          <w:lang w:val="en-GB"/>
        </w:rPr>
        <w:t xml:space="preserve"> Lehren der Psychoanalyse verkannt oder mißverstanden und dadurch gezeigt, wie wenig weit er zum Verständnis von deren Wesen und Absichten vorgedrungen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Beginnen wir mit den letzteren, den wissenschaftlichen Irrtümern. Die Ratschläge des Arztes lassen klar erkennen, in welchem Sinne er das »Sexualleben« erfaßt. Im populären nämlich, wobei unter sexuellen Bedürfnissen nichts anderes verstanden wird als das Bedürfnis nach dem Koitus oder analogen, den Orgasmus und die Entleerung der Geschlechtsstoffe bewirkenden Vornahmen. Es kann aber dem Arzt nicht unbekannt geblieben sein, daß man der Psychoanalyse den Vorwurf zu machen pflegt, sie dehne den Begriff des Sexuellen weit über den gebräuchlichen Umfang aus. Die Tatsache ist richtig; ob sie als Vorwurf verwendet werden darf, soll hier nicht erörtert werden. Der Begriff des Sexuellen umfaßt in der Psychoanalyse weit mehr; er geht nach unten wie nach oben über den populären Sinn hinaus. Diese Erweiterung rechtfertigt sich genetisch; wir rechnen zum »Sexualleben« auch alle Betätigungen zärtlicher Gefühle, die aus der Quelle der primitiven sexuellen Regungen hervorgegangen sind, auch wenn diese Regungen eine Hemmung ihres ursprünglich sexuellen Zieles erfahren oder dieses Ziel gegen ein anderes, nicht mehr sexuelles, vertauscht haben. Wir sprechen darum auch lieber von </w:t>
      </w:r>
      <w:r w:rsidRPr="008725BE">
        <w:rPr>
          <w:rFonts w:ascii="Garamond" w:hAnsi="Garamond"/>
          <w:i/>
          <w:iCs/>
          <w:lang w:val="en-GB"/>
        </w:rPr>
        <w:t>Psychosexualität</w:t>
      </w:r>
      <w:r w:rsidRPr="008725BE">
        <w:rPr>
          <w:rFonts w:ascii="Garamond" w:hAnsi="Garamond"/>
          <w:lang w:val="en-GB"/>
        </w:rPr>
        <w:t>, legen so Wert darauf, daß man den seelischen Faktor des Sexuallebens nicht übersehe und nicht unterschätze. Wir gebrauchen das Wort Sexualität in demselben umfassenden Sinne wie die deutsche Sprache das Wort »lieben«. Wir wissen auch längst, daß seelische Unbefriedigung mit allen ihren Folgen bestehen kann, wo es an normalem Sexualverkehr nicht mangelt, und halten uns als Therapeuten immer vor, daß von den unbefriedigten Sexualstrebungen, deren Ersatzbefriedigungen in der Form nervöser Symptome wir bekämpfen, oft nur ein geringes Maß durch den Koitus oder andere Sexualakte abzuführen ist.</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Wer diese Auffassung der Psychosexualität nicht teilt, hat kein Recht, sich auf die Lehrsätze der Psychoanalyse zu berufen, in denen von der ätiologischen Bedeutung der Sexualität gehandelt wird. Er hat sich durch die ausschließliche Betonung des somatischen Faktors am Sexuellen das Problem gewiß sehr vereinfacht, aber er mag für sein Vorgehen allein die Verantwortung tragen.</w:t>
      </w:r>
    </w:p>
    <w:p w:rsidR="008725BE" w:rsidRPr="008725BE" w:rsidRDefault="008725BE" w:rsidP="008725BE">
      <w:pPr>
        <w:pStyle w:val="Sansinterligne"/>
        <w:rPr>
          <w:rFonts w:ascii="Garamond" w:hAnsi="Garamond"/>
          <w:lang w:val="en-GB"/>
        </w:rPr>
      </w:pPr>
      <w:r w:rsidRPr="008725BE">
        <w:rPr>
          <w:rFonts w:ascii="Garamond" w:hAnsi="Garamond"/>
          <w:lang w:val="en-GB"/>
        </w:rPr>
        <w:t>Aus den Ratschlägen des Arztes leuchtet noch ein zweites und ebenso arges Mißverständnis hervor.</w:t>
      </w:r>
    </w:p>
    <w:p w:rsidR="008725BE" w:rsidRPr="008725BE" w:rsidRDefault="008725BE" w:rsidP="008725BE">
      <w:pPr>
        <w:pStyle w:val="Sansinterligne"/>
        <w:rPr>
          <w:rFonts w:ascii="Garamond" w:hAnsi="Garamond"/>
          <w:lang w:val="en-GB"/>
        </w:rPr>
      </w:pPr>
      <w:r w:rsidRPr="008725BE">
        <w:rPr>
          <w:rFonts w:ascii="Garamond" w:hAnsi="Garamond"/>
        </w:rPr>
        <w:t xml:space="preserve">Es ist richtig, daß die Psychoanalyse angibt, sexuelle Unbefriedigung sei die Ursache der nervösen Leiden. Aber sagt sie nicht noch mehr? Will man als zu kompliziert beiseite lassen, daß sie lehrt, die nervösen Symptome entspringen aus einem Konflikt zwischen zwei Mächten, einer (meist übergroß gewordenen) Libido und einer allzu strengen Sexualablehnung oder Verdrängung? Wer auf diesen zweiten Faktor, dem wirklich nicht der zweite Rang angewiesen wurde, nicht vergißt, wird nie glauben können, daß Sexualbefriedigung an sich ein allgemein verläßliches Heilmittel gegen die Beschwerden der Nervösen sei. </w:t>
      </w:r>
      <w:r w:rsidRPr="008725BE">
        <w:rPr>
          <w:rFonts w:ascii="Garamond" w:hAnsi="Garamond"/>
          <w:lang w:val="en-GB"/>
        </w:rPr>
        <w:t>Ein guter Teil dieser Menschen ist ja der Befriedigung unter den gegebenen Umständen oder überhaupt nicht fähig. Wären sie dazu fähig, hätten sie nicht ihre inneren Widerstände, so würde die Stärke des Triebes ihnen den Weg zur Befriedigung weisen, auch wenn der Arzt nicht dazu raten würde. Was soll also ein solcher Rat, wie ihn der Arzt angeblich jener Dame erteilt hat?</w:t>
      </w:r>
    </w:p>
    <w:p w:rsidR="008725BE" w:rsidRPr="008725BE" w:rsidRDefault="008725BE" w:rsidP="008725BE">
      <w:pPr>
        <w:pStyle w:val="Sansinterligne"/>
        <w:rPr>
          <w:rFonts w:ascii="Garamond" w:hAnsi="Garamond"/>
          <w:lang w:val="en-GB"/>
        </w:rPr>
      </w:pPr>
      <w:r w:rsidRPr="008725BE">
        <w:rPr>
          <w:rFonts w:ascii="Garamond" w:hAnsi="Garamond"/>
          <w:lang w:val="en-GB"/>
        </w:rPr>
        <w:t>Selbst wenn er sich wissenschaftlich rechtfertigen läßt, ist er unausführbar für sie. Wenn sie keine inneren Widerstände gegen die Onanie oder gegen ein Liebesverhältnis hätte, würde sie ja längst zu einem von diesen Mitteln gegriffen haben. Oder meint der Arzt, eine Frau von über vierzig Jahren wisse nichts davon, daß man sich einen Liebhaber nehmen kann, oder überschätzt er seinen Einfluß so sehr, daß er meint, ohne ärztliches Gutheißen würde sie sich nie zu einem solchen Schritt entschließen können?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scheint alles sehr klar, und doch ist zuzugeben, daß es ein Moment gibt, welches die Urteilsfällung oft erschwert. Manche der nervösen Zustände, die sogenannten </w:t>
      </w:r>
      <w:r w:rsidRPr="008725BE">
        <w:rPr>
          <w:rFonts w:ascii="Garamond" w:hAnsi="Garamond"/>
          <w:i/>
          <w:iCs/>
          <w:lang w:val="en-GB"/>
        </w:rPr>
        <w:t>Aktualneurosen</w:t>
      </w:r>
      <w:r w:rsidRPr="008725BE">
        <w:rPr>
          <w:rFonts w:ascii="Garamond" w:hAnsi="Garamond"/>
          <w:lang w:val="en-GB"/>
        </w:rPr>
        <w:t xml:space="preserve"> wie die typische Neurasthenie und die reine Angstneurose, hängen offenbar von dem somatischen Faktor des Sexuallebens ab, während wir über die Rolle des psychischen Faktors und der Verdrängung bei ihnen noch keine gesicherte Vorstellung haben. In solchen Fällen ist es dem Arzte nahegelegt, eine aktuelle Therapie, eine Veränderung der somatischen sexuellen Betätigung, zunächst ins Auge zu fassen, und er tut dies mit vollem Recht, wenn seine Diagnose richtig war. Die Dame, die den jungen Arzt konsultierte, klagte vor allem über Angstzustände, und da nahm er wahrscheinlich an, sie leide an Angstneurose, und hielt sich für berechtigt, ihr eine somatische Therapie zu empfehlen. Wiederum ein bequemes Mißverständnis! Wer an Angst leidet, hat darum nicht notwendig eine Angstneurose; diese Diagnose ist nicht aus dem Namen abzuleiten; man muß wissen, welche Erscheinungen eine Angstneurose ausmachen, und sie von anderen, auch durch Angst manifestierten Krankheitszuständen unterscheiden. Die in Rede stehende Dame litt nach meinem Eindruck an einer </w:t>
      </w:r>
      <w:r w:rsidRPr="008725BE">
        <w:rPr>
          <w:rFonts w:ascii="Garamond" w:hAnsi="Garamond"/>
          <w:i/>
          <w:iCs/>
          <w:lang w:val="en-GB"/>
        </w:rPr>
        <w:t>Angsthysterie</w:t>
      </w:r>
      <w:r w:rsidRPr="008725BE">
        <w:rPr>
          <w:rFonts w:ascii="Garamond" w:hAnsi="Garamond"/>
          <w:lang w:val="en-GB"/>
        </w:rPr>
        <w:t>, und der ganze, aber auch voll zureichende Wert solcher nosographischer Unterscheidungen liegt darin, daß sie auf eine andere Ätiologie und andere Therapie hinweisen. Wer die Möglichkeit einer solchen Angsthysterie ins Auge gefaßt hätte, der wäre der Vernachlässigung der psychischen Faktoren, wie sie in den Alternativratschlägen des Arztes hervortritt, nicht verfallen.</w:t>
      </w:r>
    </w:p>
    <w:p w:rsidR="008725BE" w:rsidRPr="008725BE" w:rsidRDefault="008725BE" w:rsidP="008725BE">
      <w:pPr>
        <w:pStyle w:val="Sansinterligne"/>
        <w:rPr>
          <w:rFonts w:ascii="Garamond" w:hAnsi="Garamond"/>
          <w:lang w:val="en-GB"/>
        </w:rPr>
      </w:pPr>
      <w:r w:rsidRPr="008725BE">
        <w:rPr>
          <w:rFonts w:ascii="Garamond" w:hAnsi="Garamond"/>
          <w:lang w:val="en-GB"/>
        </w:rPr>
        <w:t>Merkwürdig genug, in dieser therapeutischen Alternative des angeblichen Psychoanalytikers bleibt kein Raum – für die Psychoanalyse. Diese Frau soll von ihrer Angst nur genesen können, wenn sie zu ihrem Manne zurückkehrt oder sich auf dem Wege der Onanie oder bei einem Liebhaber befriedigt. Und wo hätte die analytische Behandlung einzutreten, in der wir das Hauptmittel bei Angstzuständen erblicken?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Somit wären wir zu den technischen Verfehlungen gelangt, die wir in dem Vorgehen des Arztes im angenommenen Falle erkennen. Es ist eine längst überwundene, am oberflächlichen Anschein haftende Auffassung, daß der Kranke infolge einer Art von Unwissenheit leide, und wenn man diese Unwissenheit durch Mitteilung (über die ursächlichen Zusammenhänge seiner Krankheit mit seinem Leben, über seine Kindheitserlebnisse usw.) aufhebe, müsse er gesund werden. Nicht dies Nichtwissen an sich ist das pathogene Moment, sondern die Begründung des Nichtwissens in </w:t>
      </w:r>
      <w:r w:rsidRPr="008725BE">
        <w:rPr>
          <w:rFonts w:ascii="Garamond" w:hAnsi="Garamond"/>
          <w:i/>
          <w:iCs/>
          <w:lang w:val="en-GB"/>
        </w:rPr>
        <w:t>inneren Widerständen</w:t>
      </w:r>
      <w:r w:rsidRPr="008725BE">
        <w:rPr>
          <w:rFonts w:ascii="Garamond" w:hAnsi="Garamond"/>
          <w:lang w:val="en-GB"/>
        </w:rPr>
        <w:t>, welche das Nichtwissen zuerst hervorgerufen haben und es jetzt noch unterhalten. In der Bekämpfung dieser Widerstände liegt die Aufgabe der Therapie. Die Mitteilung dessen, was der Kranke nicht weiß, weil er es verdrängt hat, ist nur eine der notwendigen Vorbereitungen für die Therapie. Wäre das Wissen des Unbewußten für den Kranken so wichtig, wie der in der Psychoanalyse Unerfahrene glaubt, so müßte es zur Heilung hinreichen, wenn der Kranke Vorlesungen anhört oder Bücher liest. Diese Maßnahmen haben aber ebensoviel Einfluß auf die nervösen Leidenssymptome wie die Verteilung von Menükarten zur Zeit einer Hungersnot auf den Hunger. Der Vergleich ist sogar über seine erste Verwendung hinaus brauchbar, denn die Mitteilung des Unbewußten an den Kranken hat regelmäßig die Folge, daß der Konflikt in ihm verschärft wird und die Beschwerden sich steigern.</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Da die Psychoanalyse aber eine solche Mitteilung nicht entbehren kann, schreibt sie vor, daß sie nicht eher zu erfolgen habe, als bis zwei Bedingungen erfüllt sind. Erstens bis der Kranke durch Vorbereitung selbst in die Nähe des von ihm Verdrängten gekommen ist, und zweitens, bis er sich so weit an den Arzt attachiert hat ( </w:t>
      </w:r>
      <w:r w:rsidRPr="008725BE">
        <w:rPr>
          <w:rFonts w:ascii="Garamond" w:hAnsi="Garamond"/>
          <w:i/>
          <w:iCs/>
          <w:lang w:val="en-GB"/>
        </w:rPr>
        <w:t>Übertragung</w:t>
      </w:r>
      <w:r w:rsidRPr="008725BE">
        <w:rPr>
          <w:rFonts w:ascii="Garamond" w:hAnsi="Garamond"/>
          <w:lang w:val="en-GB"/>
        </w:rPr>
        <w:t>), daß ihm die Gefühlsbeziehung zum Arzt die neuerliche Flucht unmöglich macht.</w:t>
      </w:r>
    </w:p>
    <w:p w:rsidR="008725BE" w:rsidRPr="008725BE" w:rsidRDefault="008725BE" w:rsidP="008725BE">
      <w:pPr>
        <w:pStyle w:val="Sansinterligne"/>
        <w:rPr>
          <w:rFonts w:ascii="Garamond" w:hAnsi="Garamond"/>
          <w:lang w:val="en-GB"/>
        </w:rPr>
      </w:pPr>
      <w:r w:rsidRPr="008725BE">
        <w:rPr>
          <w:rFonts w:ascii="Garamond" w:hAnsi="Garamond"/>
          <w:lang w:val="en-GB"/>
        </w:rPr>
        <w:t>Erst durch die Erfüllung dieser Bedingungen wird es möglich, die Widerstände, welche zur Verdrängung und zum Nichtwissen geführt haben, zu erkennen und ihrer Herr zu werden. Ein psychoanalytischer Eingriff setzt also durchaus einen längeren Kontakt mit dem Kranken voraus, und Versuche, den Kranken durch die brüske Mitteilung seiner vom Arzt erratenen Geheimnisse beim ersten Besuch in der Sprechstunde zu überrumpeln, sind technisch verwerflich und strafen sich meist dadurch, daß sie dem Arzt die herzliche Feindschaft des Kranken zuziehen und jede weitere Beeinflussung abschneiden.</w:t>
      </w:r>
    </w:p>
    <w:p w:rsidR="008725BE" w:rsidRPr="008725BE" w:rsidRDefault="008725BE" w:rsidP="008725BE">
      <w:pPr>
        <w:pStyle w:val="Sansinterligne"/>
        <w:rPr>
          <w:rFonts w:ascii="Garamond" w:hAnsi="Garamond"/>
          <w:lang w:val="en-GB"/>
        </w:rPr>
      </w:pPr>
      <w:r w:rsidRPr="008725BE">
        <w:rPr>
          <w:rFonts w:ascii="Garamond" w:hAnsi="Garamond"/>
          <w:lang w:val="en-GB"/>
        </w:rPr>
        <w:t>Ganz abgesehen davon, daß man manchmal falsch rät und niemals imstande ist, alles zu erraten. Durch diese bestimmten technischen Vorschriften ersetzt die Psychoanalyse die Forderung des unfaßbaren »ärztlichen Taktes«, in dem eine besondere Begabung gesucht wird.</w:t>
      </w:r>
    </w:p>
    <w:p w:rsidR="008725BE" w:rsidRPr="008725BE" w:rsidRDefault="008725BE" w:rsidP="008725BE">
      <w:pPr>
        <w:pStyle w:val="Sansinterligne"/>
        <w:rPr>
          <w:rFonts w:ascii="Garamond" w:hAnsi="Garamond"/>
          <w:lang w:val="en-GB"/>
        </w:rPr>
      </w:pPr>
      <w:r w:rsidRPr="008725BE">
        <w:rPr>
          <w:rFonts w:ascii="Garamond" w:hAnsi="Garamond"/>
          <w:lang w:val="en-GB"/>
        </w:rPr>
        <w:t>Es reicht also für den Arzt nicht hin, einige der Ergebnisse der Psychoanalyse zu kennen; man muß sich auch mit ihrer Technik vertraut gemacht haben, wenn man sein ärztliches Handeln durch die psychoanalytischen Gesichtspunkte leiten lassen will. Diese Technik ist heute noch nicht aus Büchern zu erlernen und gewiß nur mit großen Opfern an Zeit, Mühe und Erfolg selbst zu finden. Man erlernt sie wie andere ärztliche Techniken bei denen, die sie bereits beherrschen. Es ist darum gewiß für die Beurteilung des Falles, an den ich diese Bemerkungen knüpfe, nicht gleichgültig, daß ich den Arzt, der solche Ratschläge gegeben haben soll, nicht kenne und seinen Namen nie gehört habe.</w:t>
      </w:r>
    </w:p>
    <w:p w:rsidR="008725BE" w:rsidRPr="008725BE" w:rsidRDefault="008725BE" w:rsidP="008725BE">
      <w:pPr>
        <w:pStyle w:val="Sansinterligne"/>
        <w:rPr>
          <w:rFonts w:ascii="Garamond" w:hAnsi="Garamond"/>
          <w:lang w:val="en-GB"/>
        </w:rPr>
      </w:pPr>
      <w:r w:rsidRPr="008725BE">
        <w:rPr>
          <w:rFonts w:ascii="Garamond" w:hAnsi="Garamond"/>
          <w:lang w:val="en-GB"/>
        </w:rPr>
        <w:t>Es ist weder mir noch meinen Freunden und Mitarbeitern angenehm, in solcher Weise den Anspruch auf die Ausübung einer ärztlichen Technik zu monopolisieren. Aber angesichts der Gefahren, die die vorherzusehende Übung einer »wilden« Psychoanalyse für die Kranken und für die Sache der Psychoanalyse mit sich bringt, blieb uns nichts anderes übrig. Wir haben im Frühjahr 1910 einen internationalen psychoanalytischen Verein gegründet, dessen Mitglieder sich durch Namensveröffentlichung zu ihm bekennen, um die Verantwortung für das Tun aller jener ablehnen zu können, die nicht zu uns gehören und ihr ärztliches Vorgehen »Psychoanalyse« heißen. Denn in Wahrheit schaden solche wilde Analytiker doch der Sache mehr als dem einzelnen Kranken. Ich habe es häufig erlebt, daß ein so ungeschicktes Vorgehen, wenn es zuerst eine Verschlimmerung im Befinden des Kranken machte, ihm am Ende doch zum Heile gereicht hat. Nicht immer, aber doch oftmals. Nachdem er lange genug auf den Arzt geschimpft hat und sich weit genug von seiner Beeinflussung weiß, lassen dann seine Symptome nach, oder er entschließt sich zu einem Schritt, welcher auf dem Wege zur Heilung liegt. Die endliche Besserung ist dann »von selbst« eingetreten oder wird der höchst indifferenten Behandlung eines Arztes zugeschrieben, an den sich der Kranke später gewendet hat. Für den Fall der Dame, deren Anklage gegen den Arzt wir gehört haben, möchte ich meinen, der wilde Psychoanalytiker habe doch mehr für seine Patientin getan als irgendeine hochangesehene Autorität, die ihr erzählt hätte, daß sie an einer »vasomotorischen Neurose« leide. Er hat ihren Blick auf die wirkliche Begründung ihres Leidens oder in dessen Nähe gezwungen, und dieser Eingriff wird trotz alles Sträubens der Patientin nicht ohne günstige Folgen bleiben. Aber er hat sich selbst geschädigt und die Vorurteile steigern geholfen, welche sich infolge begreiflicher Affektwiderstände bei den Kranken gegen die Tätigkeit des Psychoanalytikers erheben. Und dies kann vermieden werden.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Ve</w:t>
        </w:r>
        <w:bookmarkStart w:id="201" w:name="KS66"/>
        <w:bookmarkEnd w:id="201"/>
        <w:r w:rsidRPr="008725BE">
          <w:rPr>
            <w:rStyle w:val="Lienhypertexte"/>
            <w:rFonts w:ascii="Garamond" w:hAnsi="Garamond"/>
            <w:b/>
            <w:lang w:val="en-GB"/>
          </w:rPr>
          <w:t>rgänglichkeit</w:t>
        </w:r>
      </w:hyperlink>
      <w:r w:rsidRPr="008725BE">
        <w:rPr>
          <w:rFonts w:ascii="Garamond" w:hAnsi="Garamond"/>
          <w:lang w:val="en-GB"/>
        </w:rPr>
        <w:t xml:space="preserve">  </w:t>
      </w:r>
      <w:r w:rsidRPr="008725BE">
        <w:rPr>
          <w:rFonts w:ascii="Garamond" w:hAnsi="Garamond"/>
          <w:caps/>
          <w:lang w:val="en-GB"/>
        </w:rPr>
        <w:t>(1916)</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Vor einiger Zeit machte ich in Gesellschaft eines schweigsamen Freundes und eines jungen, bereits rühmlich bekannten Dichters einen Spaziergang durch eine blühende Sommerlandschaft. Der Dichter bewunderte die Schönheit der Natur um uns, aber ohne sich ihrer zu erfreuen. Ihn störte der Gedanke, daß all diese Schönheit dem Vergehen geweiht war, daß sie im Winter dahingeschwunden sein werde, aber ebenso jede menschliche Schönheit und alles Schöne und Edle, was Menschen geschaffen haben und schaffen könnten. Alles, was er sonst geliebt und bewundert hätte, schien ihm entwertet durch das Schicksal der Vergänglichkeit, zu dem es bestimmt war.</w:t>
      </w:r>
    </w:p>
    <w:p w:rsidR="008725BE" w:rsidRPr="008725BE" w:rsidRDefault="008725BE" w:rsidP="008725BE">
      <w:pPr>
        <w:pStyle w:val="Sansinterligne"/>
        <w:rPr>
          <w:rFonts w:ascii="Garamond" w:hAnsi="Garamond"/>
          <w:lang w:val="en-GB"/>
        </w:rPr>
      </w:pPr>
      <w:r w:rsidRPr="008725BE">
        <w:rPr>
          <w:rFonts w:ascii="Garamond" w:hAnsi="Garamond"/>
          <w:lang w:val="en-GB"/>
        </w:rPr>
        <w:t>Wir wissen, daß von solcher Versenkung in die Hinfälligkeit alles Schönen und Vollkommenen zwei verschiedene seelische Regungen ausgehen können. Die eine führt zu dem schmerzlichen Weltüberdruß des jungen Dichters, die andere zur Auflehnung gegen die behauptete Tatsächlichkeit. Nein, es ist unmöglich, daß all diese Herrlichkeiten der Natur und der Kunst, unserer Empfindungswelt und der Welt draußen, wirklich in Nichts zergehen sollten. Es wäre zu unsinnig und zu frevelhaft, daran zu glauben. Sie müssen in irgendeiner Weise fortbestehen können, allen zerstörenden Einflüssen entrückt.</w:t>
      </w:r>
    </w:p>
    <w:p w:rsidR="008725BE" w:rsidRPr="008725BE" w:rsidRDefault="008725BE" w:rsidP="008725BE">
      <w:pPr>
        <w:pStyle w:val="Sansinterligne"/>
        <w:rPr>
          <w:rFonts w:ascii="Garamond" w:hAnsi="Garamond"/>
          <w:lang w:val="en-GB"/>
        </w:rPr>
      </w:pPr>
      <w:r w:rsidRPr="008725BE">
        <w:rPr>
          <w:rFonts w:ascii="Garamond" w:hAnsi="Garamond"/>
          <w:lang w:val="en-GB"/>
        </w:rPr>
        <w:t>Allein diese Ewigkeitsforderung ist zu deutlich ein Erfolg unseres Wunschlebens, als daß sie auf einen Realitätswert Anspruch erheben könnte. Auch das Schmerzliche kann wahr sein. Ich konnte mich weder entschließen, die allgemeine Vergänglichkeit zu bestreiten, noch für das Schöne und Vollkommene eine Ausnahme zu erzwingen. Aber ich bestritt dem pessimistischen Dichter, daß die Vergänglichkeit des Schönen eine Entwertung desselben mit sich bringe.</w:t>
      </w:r>
    </w:p>
    <w:p w:rsidR="008725BE" w:rsidRPr="008725BE" w:rsidRDefault="008725BE" w:rsidP="008725BE">
      <w:pPr>
        <w:pStyle w:val="Sansinterligne"/>
        <w:rPr>
          <w:rFonts w:ascii="Garamond" w:hAnsi="Garamond"/>
          <w:lang w:val="en-GB"/>
        </w:rPr>
      </w:pPr>
      <w:r w:rsidRPr="008725BE">
        <w:rPr>
          <w:rFonts w:ascii="Garamond" w:hAnsi="Garamond"/>
          <w:lang w:val="en-GB"/>
        </w:rPr>
        <w:t>Im Gegenteil, eine Wertsteigerung! Der Vergänglichkeitswert ist ein Seltenheitswert in der Zeit. Die Beschränkung in der Möglichkeit des Genusses erhöht dessen Kostbarkeit. Ich erklärte es für unverständlich, wie der Gedanke an die Vergänglichkeit des Schönen uns die Freude an demselben trüben sollte. Was die Schönheit der Natur betrifft, so kommt sie nach jeder Zerstörung durch den Winter im nächsten Jahre wieder, und diese Wiederkehr darf im Verhältnis zu unserer Lebensdauer als eine ewige bezeichnet werden. Die Schönheit des menschlichen Körpers und Angesichts sehen wir innerhalb unseres eigenen Lebens für immer schwinden, aber diese Kurzlebigkeit fügt zu ihren Reizen einen neuen hinzu. Wenn es eine Blume gibt, welche nur eine einzige Nacht blüht, so erscheint uns ihre Blüte darum nicht minder prächtig. Wie die Schönheit und Vollkommenheit des Kunstwerks und der intellektuellen Leistung durch deren zeitliche Beschränkung entwertet werden sollte, vermochte ich ebensowenig einzusehen. Mag eine Zeit kommen, wenn die Bilder und Statuen, die wir heute bewundern, zerfallen sind, oder ein Menschengeschlecht nach uns, welches die Werke unserer Dichter und Denker nicht mehr versteht, oder selbst eine geologische Epoche, in der alles Lebende auf der Erde verstummt ist, der Wert all dieses Schönen und Vollkommenen wird nur durch seine Bedeutung für unser Empfindungsleben bestimmt, braucht dieses selbst nicht zu überdauern und ist darum von der absoluten Zeitdauer unabhängig.</w:t>
      </w:r>
    </w:p>
    <w:p w:rsidR="008725BE" w:rsidRPr="008725BE" w:rsidRDefault="008725BE" w:rsidP="008725BE">
      <w:pPr>
        <w:pStyle w:val="Sansinterligne"/>
        <w:rPr>
          <w:rFonts w:ascii="Garamond" w:hAnsi="Garamond"/>
          <w:lang w:val="en-GB"/>
        </w:rPr>
      </w:pPr>
      <w:r w:rsidRPr="008725BE">
        <w:rPr>
          <w:rFonts w:ascii="Garamond" w:hAnsi="Garamond"/>
          <w:lang w:val="en-GB"/>
        </w:rPr>
        <w:t>Ich hielt diese Erwägungen für unanfechtbar, bemerkte aber, daß ich dem Dichter und dem Freunde keinen Eindruck gemacht hatte. Ich schloß aus diesem Mißerfolg auf die Einmengung eines starken affektiven Moments, welches ihr Urteil trübte, und glaubte dies auch später gefunden zu haben. Es muß die seelische Auflehnung gegen die Trauer gewesen sein, welche ihnen den Genuß des Schönen entwertete. Die Vorstellung, daß dieses Schöne vergänglich sei, gab den beiden Empfindsamen einen Vorgeschmack der Trauer um seinen Untergang, und da die Seele von allem Schmerzlichen instinktiv zurückweicht, fühlten sie ihren Genuß am Schönen durch den Gedanken an dessen Vergänglichkeit beeinträchtigt.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Trauer über den Verlust von etwas, das wir geliebt oder bewundert haben, erscheint dem Laien so natürlich, daß er sie für selbstverständlich erklärt. Dem Psychologen aber ist die Trauer ein großes Rätsel, eines jener Phänomene, die man selbst nicht klärt, auf die man aber anderes Dunkle zurückführt. </w:t>
      </w:r>
      <w:r w:rsidRPr="008725BE">
        <w:rPr>
          <w:rFonts w:ascii="Garamond" w:hAnsi="Garamond"/>
          <w:lang w:val="en-US"/>
        </w:rPr>
        <w:t xml:space="preserve">Wir stellen uns vor, daß wir ein gewisses Maß von Liebesfähigkeit, genannt Libido, besitzen, welches sich in den Anfängen der Entwicklung dem eigenen Ich zugewendet hatte. </w:t>
      </w:r>
      <w:r w:rsidRPr="008725BE">
        <w:rPr>
          <w:rFonts w:ascii="Garamond" w:hAnsi="Garamond"/>
          <w:lang w:val="en-GB"/>
        </w:rPr>
        <w:t>Später, aber eigentlich von sehr frühe an, wendet es sich vom Ich ab und den Objekten zu, die wir solcherart gewissermaßen in unser Ich hineinnehmen. Werden die Objekte zerstört oder gehen sie uns verloren, so wird unsere Liebesfähigkeit (Libido) wieder frei. Sie kann sich andere Objekte zum Ersatz nehmen oder zeitweise zum Ich zurückkehren. Warum aber diese Ablösung der Libido von ihren Objekten ein so schmerzhafter Vorgang sein sollte, das verstehen wir nicht und können es derzeit aus keiner Annahme ableiten. Wir sehen nur, daß sich die Libido an ihre Objekte klammert und die verlorenen auch dann nicht aufgeben will, wenn der Ersatz bereitliegt. Das also ist die Trauer.</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Die Unterhaltung mit dem Dichter fand im Sommer vor dem Kriege statt. Ein Jahr später brach der Krieg herein und raubte der Welt ihre Schönheiten. Er zerstörte nicht nur die Schönheit der Landschaften, die er durchzog, und die Kunstwerke, an die er auf seinem Wege streifte, er brach auch unseren Stolz auf die Errungenschaften unserer Kultur, unseren Respekt vor so vielen Denkern und Künstlern, unsere Hoffnungen auf eine endliche Überwindung der Verschiedenheiten unter Völkern und Rassen. Er beschmutzte die erhabene Unparteilichkeit unserer Wissenschaft, stellte unser Triebleben in seiner Nacktheit bloß, entfesselte die bösen Geister in uns, die wir durch die Jahrhunderte währende Erziehung von Seiten unserer Edelsten dauernd gebändigt glaubten. Er machte unser Vaterland wieder klein und die andere Erde wieder fern und weit. Er raubte uns so vieles, was wir geliebt hatten, und zeigte uns die Hinfälligkeit von manchem, was wir für beständig gehalten hatten.</w:t>
      </w:r>
    </w:p>
    <w:p w:rsidR="008725BE" w:rsidRPr="008725BE" w:rsidRDefault="008725BE" w:rsidP="008725BE">
      <w:pPr>
        <w:pStyle w:val="Sansinterligne"/>
        <w:rPr>
          <w:rFonts w:ascii="Garamond" w:hAnsi="Garamond"/>
          <w:lang w:val="en-GB"/>
        </w:rPr>
      </w:pPr>
      <w:r w:rsidRPr="008725BE">
        <w:rPr>
          <w:rFonts w:ascii="Garamond" w:hAnsi="Garamond"/>
          <w:lang w:val="en-GB"/>
        </w:rPr>
        <w:t>Es ist nicht zu verwundern, daß unsere an Objekten so verarmte Libido mit um so größerer Intensität besetzt hat, was uns verblieben ist, daß die Liebe zum Vaterland, die Zärtlichkeit für unsere Nächsten und der Stolz auf unsere Gemeinsamkeiten jäh verstärkt worden sind. Aber jene anderen, jetzt verlorenen Güter, sind sie uns wirklich entwertet worden, weil sie sich als so hinfällig und widerstandsunfähig erwiesen haben? Vielen unter uns scheint es so, aber ich meine wiederum, mit Unrecht. Ich glaube, die so denken und zu einem dauernden Verzicht bereit scheinen, weil das Kostbare sich nicht als haltbar bewährt hat, befinden sich nur in der Trauer über den Verlust. Wir wissen, die Trauer, so schmerzhaft sie sein mag, läuft spontan ab. Wenn sie auf alles Verlorene verzichtet hat, hat sie sich auch selbst aufgezehrt, und dann wird unsere Libido wiederum frei, um sich, insofern wir noch jung und lebenskräftig sind, die verlorenen Objekte durch möglichst gleich kostbare oder kostbarere neue zu ersetzen. Es steht zu hoffen, daß es mit den Verlusten dieses Krieges nicht anders gehen wird. Wenn erst die Trauer überwunden ist, wird es sich zeigen, daß unsere Hochschätzung der Kulturgüter unter der Erfahrung von ihrer Gebrechlichkeit nicht gelitten hat. Wir werden alles wieder aufbauen, was der Krieg zerstört hat, vielleicht auf festerem Grund und dauerhafter als vorher.</w:t>
      </w:r>
    </w:p>
    <w:p w:rsidR="008725BE" w:rsidRPr="008725BE" w:rsidRDefault="008725BE" w:rsidP="008725BE">
      <w:pPr>
        <w:pStyle w:val="Sansinterligne"/>
        <w:rPr>
          <w:rFonts w:ascii="Garamond" w:hAnsi="Garamond"/>
          <w:lang w:val="en-GB"/>
        </w:rPr>
      </w:pP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Wa</w:t>
        </w:r>
        <w:bookmarkStart w:id="202" w:name="KS67"/>
        <w:bookmarkEnd w:id="202"/>
        <w:r w:rsidRPr="008725BE">
          <w:rPr>
            <w:rStyle w:val="Lienhypertexte"/>
            <w:rFonts w:ascii="Garamond" w:hAnsi="Garamond"/>
            <w:b/>
            <w:lang w:val="en-GB"/>
          </w:rPr>
          <w:t>rum Krieg ?</w:t>
        </w:r>
      </w:hyperlink>
      <w:r w:rsidRPr="008725BE">
        <w:rPr>
          <w:rFonts w:ascii="Garamond" w:hAnsi="Garamond"/>
          <w:lang w:val="en-GB"/>
        </w:rPr>
        <w:t xml:space="preserve">   </w:t>
      </w:r>
      <w:r w:rsidRPr="008725BE">
        <w:rPr>
          <w:rFonts w:ascii="Garamond" w:hAnsi="Garamond"/>
          <w:caps/>
          <w:lang w:val="en-GB"/>
        </w:rPr>
        <w:t>(1933)</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Wien, im September 1932</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  </w:t>
      </w:r>
      <w:r w:rsidRPr="008725BE">
        <w:rPr>
          <w:rFonts w:ascii="Garamond" w:hAnsi="Garamond"/>
          <w:lang w:val="en-GB"/>
        </w:rPr>
        <w:br/>
        <w:t xml:space="preserve">Lieber Herr Einstein! </w:t>
      </w:r>
      <w:r w:rsidRPr="008725BE">
        <w:rPr>
          <w:rFonts w:ascii="Garamond" w:hAnsi="Garamond"/>
          <w:lang w:val="en-GB"/>
        </w:rPr>
        <w:br/>
        <w:t> </w:t>
      </w:r>
    </w:p>
    <w:p w:rsidR="008725BE" w:rsidRPr="008725BE" w:rsidRDefault="008725BE" w:rsidP="008725BE">
      <w:pPr>
        <w:pStyle w:val="Sansinterligne"/>
        <w:rPr>
          <w:rFonts w:ascii="Garamond" w:hAnsi="Garamond"/>
          <w:lang w:val="en-GB"/>
        </w:rPr>
      </w:pPr>
      <w:r w:rsidRPr="008725BE">
        <w:rPr>
          <w:rFonts w:ascii="Garamond" w:hAnsi="Garamond"/>
          <w:lang w:val="en-GB"/>
        </w:rPr>
        <w:t>Als ich hörte, daß Sie die Absicht haben, mich zum Gedankenaustausch über ein Thema aufzufordern, dem Sie Ihr Interesse schenken und das Ihnen auch des Interesses anderer würdig erscheint, stimmte ich bereitwillig zu. Ich erwartete, Sie würden ein Problem an der Grenze des heute Wißbaren wählen, zu dem ein jeder von uns, der Physiker wie der Psycholog, sich seinen besonderen Zugang bahnen könnte, so daß sie sich von verschiedenen Seiten her auf demselben Boden träfen. Sie haben mich dann durch die Fragestellung überrascht, was man tun könne, um das Verhängnis des Krieges von den Menschen abzuwehren. Ich erschrak zunächst unter dem Eindruck meiner – fast hätte ich gesagt: unserer – Inkompetenz, denn das erschien mir als eine praktische Aufgabe, die den Staatsmännern zufällt. Ich verstand dann aber, daß Sie die Frage nicht als Naturforscher und Physiker erhoben haben, sondern als Menschenfreund, der den Anregungen des Völkerbunds gefolgt war, ähnlich wie der Polarforscher Fridtjof Nansen es auf sich genommen hatte, den Hungernden und den heimatlosen Opfern des Weltkrieges Hilfe zu bringen. Ich besann mich auch, daß mir nicht zugemutet wird, praktische Vorschläge zu machen, sondern daß ich nur angeben soll, wie sich das Problem der Kriegsverhütung einer psychologischen Betrachtung darstellt.</w:t>
      </w:r>
    </w:p>
    <w:p w:rsidR="008725BE" w:rsidRPr="008725BE" w:rsidRDefault="008725BE" w:rsidP="008725BE">
      <w:pPr>
        <w:pStyle w:val="Sansinterligne"/>
        <w:rPr>
          <w:rFonts w:ascii="Garamond" w:hAnsi="Garamond"/>
          <w:lang w:val="en-GB"/>
        </w:rPr>
      </w:pPr>
      <w:r w:rsidRPr="008725BE">
        <w:rPr>
          <w:rFonts w:ascii="Garamond" w:hAnsi="Garamond"/>
          <w:lang w:val="en-GB"/>
        </w:rPr>
        <w:t>Aber auch hierüber haben Sie in Ihrem Schreiben das meiste gesagt. Sie haben mir gleichsam den Wind aus den Segeln genommen, aber ich fahre gern in Ihrem Kielwasser und bescheide mich damit, alles zu bestätigen, was Sie vorbringen, indem ich es nach meinem besten Wissen – oder Vermuten – breiter ausführe.</w:t>
      </w:r>
    </w:p>
    <w:p w:rsidR="008725BE" w:rsidRPr="008725BE" w:rsidRDefault="008725BE" w:rsidP="008725BE">
      <w:pPr>
        <w:pStyle w:val="Sansinterligne"/>
        <w:rPr>
          <w:rFonts w:ascii="Garamond" w:hAnsi="Garamond"/>
          <w:lang w:val="en-GB"/>
        </w:rPr>
      </w:pPr>
      <w:r w:rsidRPr="008725BE">
        <w:rPr>
          <w:rFonts w:ascii="Garamond" w:hAnsi="Garamond"/>
          <w:lang w:val="en-GB"/>
        </w:rPr>
        <w:t>Sie beginnen mit dem Verhältnis von Recht und Macht. Das ist gewiß der richtige Ausgangspunkt für unsere Untersuchung. Darf ich das Wort »Macht« durch das grellere, härtere Wort »Gewalt« ersetzen? Recht und Gewalt sind uns heute Gegensätze. Es ist leicht zu zeigen, daß sich das eine aus dem anderen entwickelt hat, und wenn wir auf die Uranfänge zurückgehen und nachsehen, wie das zuerst geschehen ist, so fällt uns die Lösung des Problems mühelos zu. Entschuldigen Sie mich aber, wenn ich im folgenden allgemein Bekanntes und Anerkanntes erzähle, als ob es neu wäre; der Zusammenhang nötigt mich dazu.</w:t>
      </w:r>
    </w:p>
    <w:p w:rsidR="008725BE" w:rsidRPr="008725BE" w:rsidRDefault="008725BE" w:rsidP="008725BE">
      <w:pPr>
        <w:pStyle w:val="Sansinterligne"/>
        <w:rPr>
          <w:rFonts w:ascii="Garamond" w:hAnsi="Garamond"/>
          <w:lang w:val="en-GB"/>
        </w:rPr>
      </w:pPr>
      <w:r w:rsidRPr="008725BE">
        <w:rPr>
          <w:rFonts w:ascii="Garamond" w:hAnsi="Garamond"/>
          <w:lang w:val="en-GB"/>
        </w:rPr>
        <w:t>Interessenkonflikte unter den Menschen werden also prinzipiell durch die Anwendung von Gewalt entschieden. So ist es im ganzen Tierreich, von dem der Mensch sich nicht ausschließen sollte; für den Menschen kommen allerdings noch Meinungskonflikte hinzu, die bis zu den höchsten Höhen der Abstraktion reichen und eine andere Technik der Entscheidung zu fordern scheinen. Aber das ist eine spätere Komplikation. Anfänglich, in einer kleinen Menschenhorde, entschied die stärkere Muskelkraft darüber, wem etwas gehören oder wessen Wille zur Ausführung gebracht werden sollte. Muskelkraft verstärkt und ersetzt sich bald durch den Gebrauch von Werkzeugen; es siegt, wer die besseren Waffen hat oder sie geschickter verwendet. Mit der Einführung der Waffe beginnt bereits die geistige Überlegenheit die Stelle der rohen Muskelkraft einzunehmen; die Endabsicht des Kampfes bleibt die nämliche, der eine Teil soll durch die Schädigung, die er erfährt, und durch die Lähmung seiner Kräfte gezwungen werden, seinen Anspruch oder Widerspruch aufzugeben. Dies wird am gründlichsten erreicht, wenn die Gewalt den Gegner dauernd beseitigt, also tötet. Es hat zwei Vorteile, daß er seine Gegnerschaft nicht ein andermal wiederaufnehmen kann und daß sein Schicksal andere abschreckt, seinem Beispiel zu folgen. Außerdem befriedigt die Tötung des Feindes eine triebhafte Neigung, die später erwähnt werden muß. Der Tötungsabsicht kann sich die Erwägung widersetzen, daß der Feind zu nützlichen Dienstleistungen verwendet werden kann, wenn man ihn eingeschüchtert am Leben läßt. Dann begnügt sich also die Gewalt damit, ihn zu unterwerfen, anstatt ihn zu töten. Es ist der Anfang der Schonung des Feindes, aber der Sieger hat von nun an mit der lauernden Rachsucht des Besiegten zu rechnen, gibt ein Stück seiner eigenen Sicherheit auf.</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ist also der ursprüngliche Zustand, die Herrschaft der größeren Macht, der rohen oder intellektuell gestützten Gewalt. Wir wissen, dies Regime ist im Laufe der Entwicklung abgeändert worden, es führte ein Weg von der Gewalt zum Recht, aber welcher? Nur ein einziger, meine ich. Er führte über die Tatsache, daß die größere Stärke des einen wettgemacht werden konnte durch die Vereinigung mehrerer Schwachen. » </w:t>
      </w:r>
      <w:r w:rsidRPr="008725BE">
        <w:rPr>
          <w:rFonts w:ascii="Garamond" w:hAnsi="Garamond"/>
          <w:i/>
          <w:iCs/>
          <w:lang w:val="en-GB"/>
        </w:rPr>
        <w:t>L'union fait la force.</w:t>
      </w:r>
      <w:r w:rsidRPr="008725BE">
        <w:rPr>
          <w:rFonts w:ascii="Garamond" w:hAnsi="Garamond"/>
          <w:lang w:val="en-GB"/>
        </w:rPr>
        <w:t xml:space="preserve">« Gewalt wird gebrochen durch Einigung, die Macht dieser Geeinigten stellt nun das Recht dar im Gegensatz zur Gewalt des Einzelnen. Wir sehen, das Recht ist die Macht einer Gemeinschaft. Es ist noch immer Gewalt, bereit, sich gegen jeden Einzelnen zu wenden, der sich ihr </w:t>
      </w:r>
      <w:r w:rsidRPr="008725BE">
        <w:rPr>
          <w:rFonts w:ascii="Garamond" w:hAnsi="Garamond"/>
          <w:lang w:val="en-GB"/>
        </w:rPr>
        <w:lastRenderedPageBreak/>
        <w:t>widersetzt, arbeitet mit denselben Mitteln, verfolgt dieselben Zwecke; der Unterschied liegt wirklich nur darin, daß es nicht mehr die Gewalt eines Einzelnen ist, die sich durchsetzt, sondern die der Gemeinschaft. Aber damit sich dieser Übergang von der Gewalt zum neuen Recht vollziehe, muß eine psychologische Bedingung erfüllt werden. Die Einigung der mehreren muß eine beständige, dauerhafte sein. Stellte sie sich nur zum Zweck der Bekämpfung des einen Übermächtigen her und zerfiele nach seiner Überwältigung, so wäre nichts erreicht. Der nächste, der sich für stärker hält, würde wiederum eine Gewaltherrschaft anstreben, und das Spiel würde sich endlos wiederholen. Die Gemeinschaft muß permanent erhalten werden, sich organisieren, Vorschriften schaffen, die den gefürchteten Auflehnungen vorbeugen, Organe bestimmen, die über die Einhaltung der Vorschriften – Gesetze – wachen und die Ausführung der rechtmäßigen Gewaltakte besorgen. In der Anerkennung einer solchen Interessengemeinschaft stellen sich unter den Mitgliedern einer geeinigten Menschengruppe Gefühlsbindungen her, Gemeinschaftsgefühle, in denen ihre eigentliche Stärke beruht.</w:t>
      </w:r>
    </w:p>
    <w:p w:rsidR="008725BE" w:rsidRPr="008725BE" w:rsidRDefault="008725BE" w:rsidP="008725BE">
      <w:pPr>
        <w:pStyle w:val="Sansinterligne"/>
        <w:rPr>
          <w:rFonts w:ascii="Garamond" w:hAnsi="Garamond"/>
          <w:lang w:val="en-GB"/>
        </w:rPr>
      </w:pPr>
      <w:r w:rsidRPr="008725BE">
        <w:rPr>
          <w:rFonts w:ascii="Garamond" w:hAnsi="Garamond"/>
          <w:lang w:val="en-GB"/>
        </w:rPr>
        <w:t>Damit, denke ich, ist alles Wesentliche bereits gegeben: die Überwindung der Gewalt durch Übertragung der Macht an eine größere Einheit, die durch Gefühlsbindungen ihrer Mitglieder zusammengehalten wird. Alles Weitere sind Ausführungen und Wiederholungen. Die Verhältnisse sind einfach, solange die Gemeinschaft nur aus einer Anzahl gleich starker Individuen besteht. Die Gesetze dieser Vereinigung bestimmen dann, auf welches Maß von persönlicher Freiheit, seine Kraft als Gewalt anzuwenden, der Einzelne verzichten muß, um ein gesichertes Zusammenleben zu ermöglichen. Aber ein solcher Ruhezustand ist nur theoretisch denkbar, in Wirklichkeit kompliziert sich der Sachverhalt dadurch, daß die Gemeinschaft von Anfang an ungleich mächtige Elemente umfaßt, Männer und Frauen, Eltern und Kinder, und bald infolge von Krieg und Unterwerfung Siegreiche und Besiegte, die sich in Herren und Sklaven umsetzen. Das Recht der Gemeinschaft wird dann zum Ausdruck der ungleichen Machtverhältnisse in ihrer Mitte, die Gesetze werden von und für die Herrschenden gemacht werden und den Unterworfenen wenig Rechte einräumen. Von da an gibt es in der Gemeinschaft zwei Quellen von Rechtsunruhe, aber auch von Rechtsfortbildung. Erstens die Versuche Einzelner unter den Herren, sich über die für alle gültigen Einschränkungen zu erheben, also von der Rechtsherrschaft auf die Gewaltherrschaft zurückzugreifen, zweitens die ständigen Bestrebungen der Unterdrückten, sich mehr Macht zu verschaffen und diese Änderungen im Gesetz anerkannt zu sehen, also im Gegenteil vom ungleichen Recht zum gleichen Recht für alle vorzudringen. Diese letztere Strömung wird besonders bedeutsam werden, wenn sich im Inneren des Gemeinwesens wirklich Verschiebungen der Machtverhältnisse ergeben, wie es infolge mannigfacher historischer Momente geschehen kann. Das Recht kann sich dann allmählich den neuen Machtverhältnissen anpassen, oder, was häufiger geschieht, die herrschende Klasse ist nicht bereit, dieser Änderung Rechnung zu tragen, es kommt zu Auflehnung, Bürgerkrieg, also zur zeitweiligen Aufhebung des Rechts und zu neuen Gewaltproben, nach deren Ausgang eine neue Rechtsordnung eingesetzt wird. Es gibt noch eine andere Quelle der Rechtsänderung, die sich nur in friedlicher Weise äußert, das ist die kulturelle Wandlung der Mitglieder des Gemeinwesens, aber die gehört in einen Zusammenhang, der erst später berücksichtigt werden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sehen also, auch innerhalb eines Gemeinwesens ist die gewaltsame Erledigung von Interessenkonflikten nicht vermieden worden. Aber die Notwendigkeiten und Gemeinsamkeiten, die sich aus dem Zusammenleben auf demselben Boden ableiten, sind einer raschen Beendigung solcher Kämpfe günstig, und die Wahrscheinlichkeit friedlicher Lösungen unter diesen Bedingungen nimmt stetig zu. Ein Blick in die Menschheitsgeschichte zeigt uns aber eine unaufhörliche Reihe von Konflikten zwischen einem Gemeinwesen und einem oder mehreren anderen, zwischen größeren und kleineren Einheiten, Stadtgebieten, Landschaften, Stämmen, Völkern, Reichen, die fast immer durch die Kraftprobe des Krieges entschieden werden. Solche Kriege gehen entweder in Beraubung oder in volle Unterwerfung, Eroberung des einen Teils aus. Man kann die Eroberungskriege nicht einheitlich beurteilen. Manche, wie die der Mongolen und Türken, haben nur Unheil gebracht, andere im Gegenteil zur Umwandlung von Gewalt in Recht beigetragen, indem sie größere Einheiten herstellten, innerhalb deren nun die Möglichkeit der Gewaltanwendung aufgehört hatte und eine neue Rechtsordnung die Konflikte schlichtete. So haben die Eroberungen der Römer den Mittelmeerländern die kostbare </w:t>
      </w:r>
      <w:r w:rsidRPr="008725BE">
        <w:rPr>
          <w:rFonts w:ascii="Garamond" w:hAnsi="Garamond"/>
          <w:i/>
          <w:iCs/>
          <w:lang w:val="en-GB"/>
        </w:rPr>
        <w:t>pax romana</w:t>
      </w:r>
      <w:r w:rsidRPr="008725BE">
        <w:rPr>
          <w:rFonts w:ascii="Garamond" w:hAnsi="Garamond"/>
          <w:lang w:val="en-GB"/>
        </w:rPr>
        <w:t xml:space="preserve"> gegeben. Die Vergrößerungslust der französischen Könige hat ein friedlich geeinigtes, blühendes Frankreich geschaffen. So paradox es klingt, man muß doch zugestehen, der Krieg wäre kein ungeeignetes Mittel zur Herstellung des ersehnten »ewigen« Friedens, weil er imstande ist, jene großen Einheiten zu schaffen, innerhalb deren eine starke Zentralgewalt weitere Kriege unmöglich macht. Aber er taugt doch nicht dazu, denn die Erfolge der Eroberung sind in der Regel nicht dauerhaft; die neu geschaffenen Einheiten zerfallen wieder, meist infolge des mangelnden Zusammenhalts der gewaltsam geeinigten Teile. Und außerdem konnte die </w:t>
      </w:r>
      <w:r w:rsidRPr="008725BE">
        <w:rPr>
          <w:rFonts w:ascii="Garamond" w:hAnsi="Garamond"/>
          <w:lang w:val="en-GB"/>
        </w:rPr>
        <w:lastRenderedPageBreak/>
        <w:t>Eroberung bisher nur partielle Einigungen, wenn auch von größerem Umfang, schaffen, deren Konflikte die gewaltsame Entscheidung erst recht herausforderten. So ergab sich als die Folge all dieser kriegerischen Anstrengungen nur, daß die Menschheit zahlreiche, ja unaufhörliche Kleinkriege gegen seltene, aber um so mehr verheerende Großkriege eintauschte.</w:t>
      </w:r>
    </w:p>
    <w:p w:rsidR="008725BE" w:rsidRPr="008725BE" w:rsidRDefault="008725BE" w:rsidP="008725BE">
      <w:pPr>
        <w:pStyle w:val="Sansinterligne"/>
        <w:rPr>
          <w:rFonts w:ascii="Garamond" w:hAnsi="Garamond"/>
          <w:lang w:val="en-GB"/>
        </w:rPr>
      </w:pPr>
      <w:r w:rsidRPr="008725BE">
        <w:rPr>
          <w:rFonts w:ascii="Garamond" w:hAnsi="Garamond"/>
          <w:lang w:val="en-GB"/>
        </w:rPr>
        <w:t>Auf unsere Gegenwart angewendet, ergibt sich das gleiche Resultat, zu dem Sie auf kürzerem Weg gelangt sind. Eine sichere Verhütung der Kriege ist nur möglich, wenn sich die Menschen zur Einsetzung einer Zentralgewalt einigen, welcher der Richtspruch in allen Interessenkonflikten übertragen wird. Hier sind offenbar zwei Forderungen vereinigt, daß eine solche übergeordnete Instanz geschaffen und daß ihr die erforderliche Macht gegeben werde. Das eine allein würde nicht nützen. Nun ist der Völkerbund als solche Instanz gedacht, aber die andere Bedingung ist nicht erfüllt; der Völkerbund hat keine eigene Macht und kann sie nur bekommen, wenn die Mitglieder der neuen Einigung, die einzelnen Staaten, sie ihm abtreten. Dazu scheint aber derzeit wenig Aussicht vorhanden. Man stünde der Institution des Völkerbundes nun ganz ohne Verständnis gegenüber, wenn man nicht wüßte, daß hier ein Versuch vorliegt, der in der Geschichte der Menschheit nicht oft – vielleicht noch nie in diesem Maß – gewagt worden ist. Es ist der Versuch, die Autorität – d. i. den zwingenden Einfluß –, die sonst auf dem Besitz der Macht ruht, durch die Berufung auf bestimmte ideelle Einstellungen zu erwerben. Wir haben gehört, was eine Gemeinschaft zusammenhält, sind zwei Dinge: der Zwang der Gewalt und die Gefühlsbindungen – Identifizierungen heißt man sie technisch – der Mitglieder. Fällt das eine Moment weg, so kann möglicherweise das andere die Gemeinschaft aufrechthalten. Jene Ideen haben natürlich nur dann eine Bedeutung, wenn sie wichtigen Gemeinsamkeiten der Mitglieder Ausdruck geben. Es fragt sich dann, wie stark sie sind. Die Geschichte lehrt, daß sie in der Tat ihre Wirkung geübt haben. Die panhellenische Idee z. B., das Bewußtsein, daß man etwas Besseres sei als die umwohnenden Barbaren, das in den Amphiktyonien, den Orakeln und Festspielen so kräftigen Ausdruck fand, war stark genug, um die Sitten der Kriegsführung unter Griechen zu mildern, aber selbstverständlich nicht imstande, kriegerische Streitigkeiten zwischen den Partikeln des Griechenvolkes zu verhüten, ja nicht einmal, um eine Stadt oder einen Städtebund abzuhalten, sich zum Schaden eines Rivalen mit dem Perserfeind zu verbünden. Ebensowenig hat das christliche Gemeingefühl, das doch mächtig genug war, im Renaissancezeitalter christliche Klein- und Großstaaten daran gehindert, in ihren Kriegen miteinander um die Hilfe des Sultans zu werben. Auch in unserer Zeit gibt es keine Idee, der man eine solche einigende Autorität zumuten könnte. Daß die heute die Völker beherrschenden nationalen Ideale zu einer gegenteiligen Wirkung drängen, ist ja allzu deutlich. Es gibt Personen, die vorhersagen, erst das allgemeine Durchdringen der bolschewistischen Denkungsart werde den Kriegen ein Ende machen können, aber von solchem Ziel sind wir heute jedenfalls weit entfernt, und vielleicht wäre es nur nach schrecklichen Bürgerkriegen erreichbar. So scheint es also, daß der Versuch, reale Macht durch die Macht der Ideen zu ersetzen, heute noch zum Fehlschlagen verurteilt ist. Es ist ein Fehler in der Rechnung, wenn man nicht berücksichtigt, daß Recht ursprünglich rohe Gewalt war und noch heute der Stützung durch die Gewalt nicht entbehren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kann nun daran gehen, einen anderen Ihrer Sätze zu glossieren. Sie verwundern sich darüber, daß es so leicht ist, die Menschen für den Krieg zu begeistern, und vermuten, daß etwas in ihnen wirksam ist, ein Trieb zum Hassen und Vernichten, der solcher Verhetzung entgegenkommt. Wiederum kann ich Ihnen nur uneingeschränkt beistimmen. Wir glauben an die Existenz eines solchen Triebes und haben uns gerade in den letzten Jahren bemüht, seine Äußerungen zu studieren. Darf ich Ihnen aus diesem Anlaß ein Stück der Trieblehre vortragen, zu der wir in der Psychoanalyse nach vielem Tasten und Schwanken gekommen sind? Wir nehmen an, daß die Triebe des Menschen nur von zweierlei Art sind, entweder solche, die erhalten und vereinigen wollen – wir heißen sie erotische, ganz im Sinne des Eros im </w:t>
      </w:r>
      <w:r w:rsidRPr="008725BE">
        <w:rPr>
          <w:rFonts w:ascii="Garamond" w:hAnsi="Garamond"/>
          <w:i/>
          <w:iCs/>
          <w:lang w:val="en-GB"/>
        </w:rPr>
        <w:t>Symposion</w:t>
      </w:r>
      <w:r w:rsidRPr="008725BE">
        <w:rPr>
          <w:rFonts w:ascii="Garamond" w:hAnsi="Garamond"/>
          <w:lang w:val="en-GB"/>
        </w:rPr>
        <w:t xml:space="preserve"> Platos, oder sexuelle mit bewußter Überdehnung des populären Begriffs von Sexualität –, und andere, die zerstören und töten wollen; wir fassen diese als Aggressionstrieb oder Destruktionstrieb zusammen. Sie sehen, das ist eigentlich nur die theoretische Verklärung des weltbekannten Gegensatzes von Lieben und Hassen, der vielleicht zu der Polarität von Anziehung und Abstoßung eine Urbeziehung unterhält, die auf Ihrem Gebiet eine Rolle spielt. Nun lassen Sie uns nicht zu rasch mit den Wertungen von Gut und Böse einsetzen. Der eine dieser Triebe ist ebenso unerläßlich wie der andere, aus dem Zusammen- und Gegeneinanderwirken der beiden gehen die Erscheinungen des Lebens hervor. Nun scheint es, daß kaum jemals ein Trieb der einen Art sich isoliert betätigen kann, er ist immer mit einem gewissen Betrag von der anderen Seite verbunden, wie wir sagen: legiert, der sein Ziel modifiziert oder ihm unter Umständen dessen Erreichung erst möglich macht. So ist z. B. der Selbsterhaltungstrieb gewiß erotischer Natur, aber gerade er bedarf der Verfügung über die Aggression, wenn er seine Absicht durchsetzen soll. Ebenso </w:t>
      </w:r>
      <w:r w:rsidRPr="008725BE">
        <w:rPr>
          <w:rFonts w:ascii="Garamond" w:hAnsi="Garamond"/>
          <w:lang w:val="en-GB"/>
        </w:rPr>
        <w:lastRenderedPageBreak/>
        <w:t>benötigt der auf Objekte gerichtete Liebestrieb eines Zusatzes vom Bemächtigungstrieb, wenn er seines Objekts überhaupt habhaft werden soll. Die Schwierigkeit, die beiden Triebarten in ihren Äußerungen zu isolieren, hat uns ja so lange in ihrer Erkenntnis behindert.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Sie mit mir ein Stück weitergehen wollen, so hören Sie, daß die menschlichen Handlungen noch eine Komplikation von anderer Art erkennen lassen. Ganz selten ist die Handlung das Werk einer einzigen Triebregung, die an und für sich bereits aus Eros und Destruktion zusammengesetzt sein muß. In der Regel müssen mehrere in der gleichen Weise aufgebaute Motive zusammentreffen, um die Handlung zu ermöglichen. Einer Ihrer Fachgenossen hat das bereits gewußt, ein Prof. G. Ch. Lichtenberg, der zur Zeit unserer Klassiker in Göttingen Physik lehrte; aber vielleicht war er als Psycholog noch bedeutender denn als Physiker. Er erfand die Motivenrose, indem er sagte: »Die Bewegungsgründe </w:t>
      </w:r>
      <w:hyperlink r:id="rId92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Wir sagen heute: Beweggründe.</w:t>
        </w:r>
      </w:hyperlink>
      <w:r w:rsidRPr="008725BE">
        <w:rPr>
          <w:rFonts w:ascii="Garamond" w:hAnsi="Garamond"/>
          <w:lang w:val="en-GB"/>
        </w:rPr>
        <w:t>, woraus man etwas tut, könnten so wie die 32 Winde geordnet und ihre Namen auf eine ähnliche Art formiert werden, z. B. Brot – Brot – Ruhm oder Ruhm – Ruhm – Brot.« Wenn also die Menschen zum Krieg aufgefordert werden, so mögen eine ganze Anzahl von Motiven in ihnen zustimmend antworten, edle und gemeine, solche, von denen man laut spricht, und andere, die man beschweigt. Wir haben keinen Anlaß, sie alle bloßzulegen. Die Lust an der Aggression und Destruktion ist gewiß darunter; ungezählte Grausamkeiten der Geschichte und des Alltags bekräftigen ihre Existenz und ihre Stärke. Die Verquickung dieser destruktiven Strebungen mit anderen, erotischen und ideellen, erleichtert natürlich deren Befriedigung. Manchmal haben wir, wenn wir von den Greueltaten der Geschichte hören, den Eindruck, die ideellen Motive hätten den destruktiven Gelüsten nur als Vorwände gedient, andere Male, z. B. bei den Grausamkeiten der heiligen Inquisition, meinen wir, die ideellen Motive hätten sich im Bewußtsein vorgedrängt, die destruktiven ihnen eine unbewußte Verstärkung gebracht. Beides ist möglich.</w:t>
      </w:r>
    </w:p>
    <w:p w:rsidR="008725BE" w:rsidRPr="008725BE" w:rsidRDefault="008725BE" w:rsidP="008725BE">
      <w:pPr>
        <w:pStyle w:val="Sansinterligne"/>
        <w:rPr>
          <w:rFonts w:ascii="Garamond" w:hAnsi="Garamond"/>
          <w:lang w:val="en-GB"/>
        </w:rPr>
      </w:pPr>
      <w:r w:rsidRPr="008725BE">
        <w:rPr>
          <w:rFonts w:ascii="Garamond" w:hAnsi="Garamond"/>
          <w:lang w:val="en-GB"/>
        </w:rPr>
        <w:t>Ich habe Bedenken, Ihr Interesse zu mißbrauchen, das ja der Kriegsverhütung gilt, nicht unseren Theorien. Doch möchte ich noch einen Augenblick bei unserem Destruktionstrieb verweilen, dessen Beliebtheit keineswegs Schritt hält mit seiner Bedeutung. Mit etwas Aufwand von Spekulation sind wir nämlich zu der Auffassung gelangt, daß dieser Trieb innerhalb jedes lebenden Wesens arbeitet und dann das Bestreben hat, es zum Zerfall zu bringen, das Leben zum Zustand der unbelebten Materie zurückzuführen. Er verdiente in allem Ernst den Namen eines Todestriebes, während die erotischen Triebe die Bestrebungen zum Leben repräsentieren. Der Todestrieb wird zum Destruktionstrieb, indem er mit Hilfe besonderer Organe nach außen, gegen die Objekte, gewendet wird. Das Lebewesen bewahrt sozusagen sein eigenes Leben dadurch, daß es fremdes zerstört. Ein Anteil des Todestriebes verbleibt aber im Innern des Lebewesens tätig, und wir haben versucht, eine ganze Anzahl von normalen und pathologischen Phänomenen von dieser Verinnerlichung des Destruktionstriebes abzuleiten. Wir haben sogar die Ketzerei begangen, die Entstehung unseres Gewissens durch eine solche Wendung der Aggression nach innen zu erklären. Sie merken, es ist gar nicht so unbedenklich, wenn sich dieser Vorgang in allzu großem Ausmaß vollzieht, es ist direkt ungesund, während die Wendung dieser Triebkräfte zur Destruktion in der Außenwelt das Lebewesen entlastet, wohltuend wirken muß. Das diene zur biologischen Entschuldigung all der häßlichen und gefährlichen Strebungen, gegen die wir ankämpfen. Man muß zugeben, sie sind der Natur näher als unser Widerstand dagegen, für den wir auch noch eine Erklärung finden müssen. Vielleicht haben Sie den Eindruck, unsere Theorien seien eine Art von Mythologie, nicht einmal eine erfreuliche in diesem Fall. Aber läuft nicht jede Naturwissenschaft auf eine solche Art von Mythologie hinaus? Geht es Ihnen heute in der Physik anders?</w:t>
      </w:r>
    </w:p>
    <w:p w:rsidR="008725BE" w:rsidRPr="008725BE" w:rsidRDefault="008725BE" w:rsidP="008725BE">
      <w:pPr>
        <w:pStyle w:val="Sansinterligne"/>
        <w:rPr>
          <w:rFonts w:ascii="Garamond" w:hAnsi="Garamond"/>
          <w:lang w:val="en-GB"/>
        </w:rPr>
      </w:pPr>
      <w:r w:rsidRPr="008725BE">
        <w:rPr>
          <w:rFonts w:ascii="Garamond" w:hAnsi="Garamond"/>
          <w:lang w:val="en-GB"/>
        </w:rPr>
        <w:t>Aus dem Vorstehenden entnehmen wir für unsere nächsten Zwecke soviel, daß es keine Aussicht hat, die aggressiven Neigungen der Menschen abschaffen zu wollen. Es soll in glücklichen Gegenden der Erde, wo die Natur alles, was der Mensch braucht, überreichlich zur Verfügung stellt, Völkerstämme geben, deren Leben in Sanftmut verläuft, bei denen Zwang und Aggression unbekannt sind. Ich kann es kaum glauben, möchte gern mehr über diese Glücklichen erfahren. Auch die Bolschewisten hoffen, daß sie die menschliche Aggression zum Verschwinden bringen können dadurch, daß sie die Befriedigung der materiellen Bedürfnisse verbürgen und sonst Gleichheit unter den Teilnehmern an der Gemeinschaft herstellen. Ich halte das für eine Illusion. Vorläufig sind sie auf das sorgfältigste bewaffnet und halten ihre Anhänger nicht zum mindesten durch den Haß gegen alle Außenstehenden zusammen. Übrigens handelt es sich, wie Sie selbst bemerken, nicht darum, die menschliche Aggressionsneigung völlig zu beseitigen; man kann versuchen, sie so weit abzulenken, daß sie nicht ihren Ausdruck im Kriege finden muß.</w:t>
      </w:r>
    </w:p>
    <w:p w:rsidR="008725BE" w:rsidRPr="008725BE" w:rsidRDefault="008725BE" w:rsidP="008725BE">
      <w:pPr>
        <w:pStyle w:val="Sansinterligne"/>
        <w:rPr>
          <w:rFonts w:ascii="Garamond" w:hAnsi="Garamond"/>
        </w:rPr>
      </w:pPr>
      <w:r w:rsidRPr="008725BE">
        <w:rPr>
          <w:rFonts w:ascii="Garamond" w:hAnsi="Garamond"/>
          <w:lang w:val="en-GB"/>
        </w:rPr>
        <w:t xml:space="preserve">Von unserer mythologischen Trieblehre her finden wir leicht eine Formel für die indirekten Wege zur Bekämpfung des Krieges. Wenn die Bereitwilligkeit zum Krieg ein Ausfluß des Destruktionstriebs ist, so liegt es nahe, gegen sie den Gegenspieler dieses Triebes, den Eros, anzurufen. Alles, was </w:t>
      </w:r>
      <w:r w:rsidRPr="008725BE">
        <w:rPr>
          <w:rFonts w:ascii="Garamond" w:hAnsi="Garamond"/>
          <w:lang w:val="en-GB"/>
        </w:rPr>
        <w:lastRenderedPageBreak/>
        <w:t xml:space="preserve">Gefühlsbindungen unter den Menschen herstellt, muß dem Krieg entgegenwirken. Diese Bindungen können von zweierlei Art sein. Erstens Beziehungen wie zu einem Liebesobjekt, wenn auch ohne sexuelle Ziele. Die Psychoanalyse braucht sich nicht zu schämen, wenn sie hier von Liebe spricht, denn die Religion sagt dasselbe: »Liebe deinen Nächsten wie dich selbst.« Das ist nun leicht gefordert, aber schwer zu erfüllen. Die andere Art von Gefühlsbindung ist die durch Identifizierung. Alles, was bedeutsame Gemeinsamkeiten unter den Menschen herstellt, ruft solche Gemeingefühle, Identifizierungen, hervor. </w:t>
      </w:r>
      <w:r w:rsidRPr="008725BE">
        <w:rPr>
          <w:rFonts w:ascii="Garamond" w:hAnsi="Garamond"/>
        </w:rPr>
        <w:t>Auf ihnen ruht zum guten Teil der Aufbau der menschlichen Gesellschaft.</w:t>
      </w:r>
    </w:p>
    <w:p w:rsidR="008725BE" w:rsidRPr="008725BE" w:rsidRDefault="008725BE" w:rsidP="008725BE">
      <w:pPr>
        <w:pStyle w:val="Sansinterligne"/>
        <w:rPr>
          <w:rFonts w:ascii="Garamond" w:hAnsi="Garamond"/>
          <w:lang w:val="en-GB"/>
        </w:rPr>
      </w:pPr>
      <w:r w:rsidRPr="008725BE">
        <w:rPr>
          <w:rFonts w:ascii="Garamond" w:hAnsi="Garamond"/>
        </w:rPr>
        <w:t xml:space="preserve">Einer Klage von Ihnen über den Mißbrauch der Autorität entnehme ich einen zweiten Wink zur indirekten Bekämpfung der Kriegsneigung. </w:t>
      </w:r>
      <w:r w:rsidRPr="008725BE">
        <w:rPr>
          <w:rFonts w:ascii="Garamond" w:hAnsi="Garamond"/>
          <w:lang w:val="en-GB"/>
        </w:rPr>
        <w:t>Es ist ein Stück der angeborenen und nicht zu beseitigenden Ungleichheit der Menschen, daß sie in Führer und in Abhängige zerfallen. Die letzteren sind die übergroße Mehrheit, sie bedürfen einer Autorität, welche für sie Entscheidungen fällt, denen sie sich meist bedingungslos unterwerfen. Hier wäre anzuknüpfen, man müßte mehr Sorge als bisher aufwenden, um eine Oberschicht selbständig denkender, der Einschüchterung unzugänglicher, nach Wahrheit ringender Menschen zu erziehen, denen die Lenkung der unselbständigen Massen zufallen würde. Daß die Übergriffe der Staatsgewalten und das Denkverbot der Kirche einer solchen Aufzucht nicht günstig sind, bedarf keines Beweises. Der ideale Zustand wäre natürlich eine Gemeinschaft von Menschen, die ihr Triebleben der Diktatur der Vernunft unterworfen haben. Nichts anderes könnte eine so vollkommene und widerstandsfähige Einigung der Menschen hervorrufen, selbst unter Verzicht auf die Gefühlsbindungen zwischen ihnen. Aber das ist höchst wahrscheinlich eine utopische Hoffnung. Die anderen Wege einer indirekten Verhinderung des Krieges sind gewiß eher gangbar, aber sie versprechen keinen raschen Erfolg. Ungern denkt man an Mühlen, die so langsam mahlen, daß man verhungern könnte, ehe man das Mehl bekommt.</w:t>
      </w:r>
    </w:p>
    <w:p w:rsidR="008725BE" w:rsidRPr="008725BE" w:rsidRDefault="008725BE" w:rsidP="008725BE">
      <w:pPr>
        <w:pStyle w:val="Sansinterligne"/>
        <w:rPr>
          <w:rFonts w:ascii="Garamond" w:hAnsi="Garamond"/>
          <w:lang w:val="en-GB"/>
        </w:rPr>
      </w:pPr>
      <w:r w:rsidRPr="008725BE">
        <w:rPr>
          <w:rFonts w:ascii="Garamond" w:hAnsi="Garamond"/>
          <w:lang w:val="en-GB"/>
        </w:rPr>
        <w:t>Sie sehen, es kommt nicht viel dabei heraus, wenn man bei dringenden praktischen Aufgaben den weltfremden Theoretiker zu Rate zieht. Besser, man bemüht sich in jedem einzelnen Fall, der Gefahr zu begegnen mit den Mitteln, die eben zur Hand sind. Ich möchte aber noch eine Frage behandeln, die Sie in Ihrem Schreiben nicht aufwerfen und die mich besonders interessiert. Warum empören wir uns so sehr gegen den Krieg, Sie und ich und so viele andere, warum nehmen wir ihn nicht hin wie eine andere der vielen peinlichen Notlagen des Lebens? Er scheint doch naturgemäß, biologisch wohlbegründet, praktisch kaum vermeidbar. Entsetzen Sie sich nicht über meine Fragestellung. Zum Zweck einer Untersuchung darf man vielleicht die Maske einer Überlegenheit vornehmen, über die man in Wirklichkeit nicht verfügt. Die Antwort wird lauten, weil jeder Mensch ein Recht auf sein eigenes Leben hat, weil der Krieg hoffnungsvolle Menschenleben vernichtet, den einzelnen Menschen in Lagen bringt, die ihn entwürdigen, ihn zwingt, andere zu morden, was er nicht will, kostbare materielle Werte, Ergebnis von Menschenarbeit, zerstört und anderes mehr. Auch daß der Krieg in seiner gegenwärtigen Gestaltung keine Gelegenheit mehr gibt, das alte heldische Ideal zu erfüllen, und daß ein zukünftiger Krieg infolge der Vervollkommnung der Zerstörungsmittel die Ausrottung eines oder vielleicht beider Gegner bedeuten würde. Das ist alles wahr und scheint so unbestreitbar, daß man sich nur verwundert, wenn das Kriegführen noch nicht durch allgemeine menschliche Übereinkunft verworfen worden ist. Man kann zwar über einzelne dieser Punkte diskutieren. Es ist fraglich, ob die Gemeinschaft nicht auch ein Recht auf das Leben des Einzelnen haben soll; man kann nicht alle Arten von Krieg in gleichem Maß verdammen; solange es Reiche und Nationen gibt, die zur rücksichtslosen Vernichtung anderer bereit sind, müssen diese anderen zum Krieg gerüstet sein. Aber wir wollen über all das rasch hinweggehen, das ist nicht die Diskussion, zu der Sie mich aufgefordert haben. Ich ziele auf etwas anderes hin; ich glaube, der Hauptgrund, weshalb wir uns gegen den Krieg empören, ist, daß wir nicht anders können. Wir sind Pazifisten, weil wir es aus organischen Gründen sein müssen. Wir haben es dann leicht, unsere Einstellung durch Argumente zu rechtfertigen.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ist wohl ohne Erklärung nicht zu verstehen. Ich meine das Folgende: Seit unvordenklichen Zeiten zieht sich über die Menschheit der Prozeß der Kulturentwicklung hin. (Ich weiß, andere heißen ihn lieber: Zivilisation.) Diesem Prozeß verdanken wir das Beste, was wir geworden sind, und ein gut Teil von dem, woran wir leiden. Seine Anlässe und Anfänge sind dunkel, sein Ausgang ungewiß, einige seiner Charaktere leicht ersichtlich. Vielleicht führt er zum Erlöschen der Menschenart, denn er beeinträchtigt die Sexualfunktion in mehr als einer Weise, und schon heute vermehren sich unkultivierte Rassen und zurückgebliebene Schichten der Bevölkerung stärker als hochkultivierte. Vielleicht ist dieser Prozeß mit der Domestikation gewisser Tierarten vergleichbar; ohne Zweifel bringt er körperliche Veränderungen mit sich; man hat sich noch nicht mit der Vorstellung vertraut gemacht, daß die Kulturentwicklung ein solcher organischer Prozeß sei. Die mit dem Kulturprozeß einhergehenden psychischen Veränderungen sind </w:t>
      </w:r>
      <w:r w:rsidRPr="008725BE">
        <w:rPr>
          <w:rFonts w:ascii="Garamond" w:hAnsi="Garamond"/>
          <w:lang w:val="en-GB"/>
        </w:rPr>
        <w:lastRenderedPageBreak/>
        <w:t>auffällig und unzweideutig. Sie bestehen in einer fortschreitenden Verschiebung der Triebziele und Einschränkung der Triebregungen. Sensationen, die unseren Vorahnen lustvoll waren, sind für uns indifferent oder selbst unleidlich geworden; es hat organische Begründungen, wenn unsere ethischen und ästhetischen Idealforderungen sich geändert haben. Von den psychologischen Charakteren der Kultur scheinen zwei die wichtigsten: die Erstarkung des Intellekts, der das Triebleben zu beherrschen beginnt, und die Verinnerlichung der Aggressionsneigung mit all ihren vorteilhaften und gefährlichen Folgen. Den psychischen Einstellungen, die uns der Kulturprozeß aufnötigt, widerspricht nun der Krieg in der grellsten Weise, darum müssen wir uns gegen ihn empören, wir vertragen ihn einfach nicht mehr, es ist nicht bloß eine intellektuelle und affektive Ablehnung, es ist bei uns Pazifisten eine konstitutionelle Intoleranz, eine Idiosynkrasie gleichsam in äußerster Vergrößerung. Und zwar scheint es, daß die ästhetischen Erniedrigungen des Krieges nicht viel weniger Anteil an unserer Auflehnung haben als seine Grausamkeiten.</w:t>
      </w:r>
    </w:p>
    <w:p w:rsidR="008725BE" w:rsidRPr="008725BE" w:rsidRDefault="008725BE" w:rsidP="008725BE">
      <w:pPr>
        <w:pStyle w:val="Sansinterligne"/>
        <w:rPr>
          <w:rFonts w:ascii="Garamond" w:hAnsi="Garamond"/>
          <w:lang w:val="en-GB"/>
        </w:rPr>
      </w:pPr>
      <w:r w:rsidRPr="008725BE">
        <w:rPr>
          <w:rFonts w:ascii="Garamond" w:hAnsi="Garamond"/>
          <w:lang w:val="en-GB"/>
        </w:rPr>
        <w:t>Wie lange müssen wir nun warten, bis auch die anderen Pazifisten werden? Es ist nicht zu sagen, aber vielleicht ist es keine utopische Hoffnung, daß der Einfluß dieser beiden Momente, der kulturellen Einstellung und der berechtigten Angst vor den Wirkungen eines Zukunftskrieges, dem Kriegführen in absehbarer Zeit ein Ende setzen wird. Auf welchen Wegen oder Umwegen, können wir nicht erraten. Unterdes dürfen wir uns sagen: Alles, was die Kulturentwicklung fördert, arbeitet auch gegen den Krieg.</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Ich grüße Sie herzlich und bitte Sie um Verzeihung, wenn meine Ausführungen Sie enttäuscht haben.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Ihr </w:t>
      </w:r>
      <w:r w:rsidRPr="008725BE">
        <w:rPr>
          <w:rFonts w:ascii="Garamond" w:hAnsi="Garamond"/>
          <w:lang w:val="en-GB"/>
        </w:rPr>
        <w:br/>
        <w:t>Sigm. Freud</w:t>
      </w:r>
    </w:p>
    <w:p w:rsidR="008725BE" w:rsidRPr="008725BE" w:rsidRDefault="008725BE" w:rsidP="008725BE">
      <w:pPr>
        <w:pStyle w:val="Sansinterligne"/>
        <w:rPr>
          <w:rFonts w:ascii="Garamond" w:hAnsi="Garamond"/>
          <w:lang w:val="en-GB"/>
        </w:rPr>
      </w:pPr>
    </w:p>
    <w:p w:rsidR="008725BE" w:rsidRPr="008725BE" w:rsidRDefault="008725BE" w:rsidP="008725BE">
      <w:pPr>
        <w:pStyle w:val="Sansinterligne"/>
        <w:rPr>
          <w:rFonts w:ascii="Garamond" w:hAnsi="Garamond"/>
          <w:lang w:val="en-GB"/>
        </w:rPr>
      </w:pP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We</w:t>
        </w:r>
        <w:bookmarkStart w:id="203" w:name="KS68"/>
        <w:bookmarkEnd w:id="203"/>
        <w:r w:rsidRPr="008725BE">
          <w:rPr>
            <w:rStyle w:val="Lienhypertexte"/>
            <w:rFonts w:ascii="Garamond" w:hAnsi="Garamond"/>
            <w:b/>
            <w:lang w:val="en-GB"/>
          </w:rPr>
          <w:t>ge der psychoanalytischen Therapie</w:t>
        </w:r>
      </w:hyperlink>
      <w:r w:rsidRPr="008725BE">
        <w:rPr>
          <w:rFonts w:ascii="Garamond" w:hAnsi="Garamond"/>
          <w:lang w:val="en-GB"/>
        </w:rPr>
        <w:t xml:space="preserve">  </w:t>
      </w:r>
      <w:r w:rsidRPr="008725BE">
        <w:rPr>
          <w:rFonts w:ascii="Garamond" w:hAnsi="Garamond"/>
          <w:caps/>
          <w:lang w:val="en-GB"/>
        </w:rPr>
        <w:t>(1919)</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Meine Herren Kollegen!</w:t>
      </w:r>
    </w:p>
    <w:p w:rsidR="008725BE" w:rsidRPr="008725BE" w:rsidRDefault="008725BE" w:rsidP="008725BE">
      <w:pPr>
        <w:pStyle w:val="Sansinterligne"/>
        <w:rPr>
          <w:rFonts w:ascii="Garamond" w:hAnsi="Garamond"/>
          <w:lang w:val="en-GB"/>
        </w:rPr>
      </w:pPr>
      <w:r w:rsidRPr="008725BE">
        <w:rPr>
          <w:rFonts w:ascii="Garamond" w:hAnsi="Garamond"/>
          <w:lang w:val="en-GB"/>
        </w:rPr>
        <w:t>Sie wissen, wir waren nie stolz auf die Vollständigkeit und Abgeschlossenheit unseres Wissens und Könnens; wir sind, wie früher so auch jetzt, immer bereit, die Unvollkommenheiten unserer Erkenntnis zuzugeben, Neues dazuzulernen und an unserem Vorgehen abzuändern, was sich durch Besseres ersetzen läßt.</w:t>
      </w:r>
    </w:p>
    <w:p w:rsidR="008725BE" w:rsidRPr="008725BE" w:rsidRDefault="008725BE" w:rsidP="008725BE">
      <w:pPr>
        <w:pStyle w:val="Sansinterligne"/>
        <w:rPr>
          <w:rFonts w:ascii="Garamond" w:hAnsi="Garamond"/>
          <w:lang w:val="en-GB"/>
        </w:rPr>
      </w:pPr>
      <w:r w:rsidRPr="008725BE">
        <w:rPr>
          <w:rFonts w:ascii="Garamond" w:hAnsi="Garamond"/>
          <w:lang w:val="en-GB"/>
        </w:rPr>
        <w:t>Da wir nun nach langen, schwer durchlebten Jahren der Trennung wieder einmal zusammengetroffen sind, reizt es mich, den Stand unserer Therapie zu revidieren, der wir ja unsere Stellung in der menschlichen Gesellschaft danken, und Ausschau zu halten, nach welchen neuen Richtungen sie sich entwickeln könnte.</w:t>
      </w:r>
    </w:p>
    <w:p w:rsidR="008725BE" w:rsidRPr="008725BE" w:rsidRDefault="008725BE" w:rsidP="008725BE">
      <w:pPr>
        <w:pStyle w:val="Sansinterligne"/>
        <w:rPr>
          <w:rFonts w:ascii="Garamond" w:hAnsi="Garamond"/>
          <w:lang w:val="en-GB"/>
        </w:rPr>
      </w:pPr>
      <w:r w:rsidRPr="008725BE">
        <w:rPr>
          <w:rFonts w:ascii="Garamond" w:hAnsi="Garamond"/>
          <w:lang w:val="en-GB"/>
        </w:rPr>
        <w:t>Wir haben als unsere ärztliche Aufgabe formuliert, den neurotisch Kranken zur Kenntnis der in ihm bestehenden unbewußten, verdrängten Regungen zu bringen und zu diesem Zwecke die Widerstände aufzudecken, die sich in ihm gegen solche Erweiterungen seines Wissens von der eigenen Person sträuben. Wird mit der Aufdeckung dieser Widerstände auch deren Überwindung gewährleistet? Gewiß nicht immer, aber wir hoffen, dieses Ziel zu erreichen, indem wir seine Übertragung auf die Person des Arztes ausnützen, um unsere Überzeugung von der Unzweckmäßigkeit der in der Kindheit vorgefallenen Verdrängungsvorgänge und von der Undurchführbarkeit eines Lebens nach dem Lustprinzip zu der seinigen werden zu lassen. Die dynamischen Verhältnisse des neuen Konflikts, durch den wir den Kranken führen, den wir an die Stelle des früheren Krankheitskonflikts bei ihm gesetzt haben, sind von mir an anderer Stelle klargelegt worden. Daran weiß ich derzeit nichts zu ändern.</w:t>
      </w:r>
    </w:p>
    <w:p w:rsidR="008725BE" w:rsidRPr="008725BE" w:rsidRDefault="008725BE" w:rsidP="008725BE">
      <w:pPr>
        <w:pStyle w:val="Sansinterligne"/>
        <w:rPr>
          <w:rFonts w:ascii="Garamond" w:hAnsi="Garamond"/>
          <w:lang w:val="en-GB"/>
        </w:rPr>
      </w:pPr>
      <w:r w:rsidRPr="008725BE">
        <w:rPr>
          <w:rFonts w:ascii="Garamond" w:hAnsi="Garamond"/>
          <w:lang w:val="en-GB"/>
        </w:rPr>
        <w:t>Die Arbeit, durch welche wir dem Kranken das verdrängte Seelische in ihm zum Bewußtsein bringen, haben wir Psychoanalyse genannt. Warum »Analyse«, was Zerlegung, Zersetzung bedeutet und an eine Analogie mit der Arbeit des Chemikers an den Stoffen denken läßt, die er in der Natur vorfindet und in sein Laboratorium bringt? Weil eine solche Analogie in einem wichtigen Punkte wirklich besteht. Die Symptome und krankhaften Äußerungen des Patienten sind wie alle seine seelischen Tätigkeiten hochzusammengesetzter Natur; die Elemente dieser Zusammensetzung sind im letzten Grunde Motive, Triebregungen. Aber der Kranke weiß von diesen elementaren Motiven nichts oder nur sehr Ungenügendes. Wir lehren ihn nun die Zusammensetzung dieser hochkomplizierten seelischen Bildungen verstehen, führen die Symptome auf die sie motivierenden Triebregungen zurück, weisen diese dem Kranken bisher unbekannten Triebmotive in den Symptomen nach, wie der Chemiker den Grundstoff, das chemische Element, aus dem Salz ausscheidet, in dem es in Verbindung mit anderen Elementen unkenntlich geworden war. Und ebenso zeigen wir dem Kranken an seinen nicht für krankhaft gehaltenen seelischen Äußerungen, daß ihm deren Motivierung nur unvollkommen bewußt war, daß andere Triebmotive bei ihnen mitgewirkt haben, die ihm unerkannt geblieben sind.</w:t>
      </w:r>
    </w:p>
    <w:p w:rsidR="008725BE" w:rsidRPr="008725BE" w:rsidRDefault="008725BE" w:rsidP="008725BE">
      <w:pPr>
        <w:pStyle w:val="Sansinterligne"/>
        <w:rPr>
          <w:rFonts w:ascii="Garamond" w:hAnsi="Garamond"/>
          <w:lang w:val="en-GB"/>
        </w:rPr>
      </w:pPr>
      <w:r w:rsidRPr="008725BE">
        <w:rPr>
          <w:rFonts w:ascii="Garamond" w:hAnsi="Garamond"/>
          <w:lang w:val="en-GB"/>
        </w:rPr>
        <w:t>Auch das Sexualstreben der Menschen haben wir erklärt, indem wir es in seine Komponenten zerlegten, und wenn wir einen Traum deuten, gehen wir so vor, daß wir den Traum als Ganzes vernachlässigen und die Assoziation an seine einzelnen Elemente anknüpfen.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Aus diesem berechtigten Vergleich der ärztlichen psychoanalytischen Tätigkeit mit einer chemischen Arbeit könnte sich nun eine Anregung zu einer neuen Richtung unserer Therapie ergeben. Wir haben den Kranken </w:t>
      </w:r>
      <w:r w:rsidRPr="008725BE">
        <w:rPr>
          <w:rFonts w:ascii="Garamond" w:hAnsi="Garamond"/>
          <w:i/>
          <w:iCs/>
          <w:lang w:val="en-GB"/>
        </w:rPr>
        <w:t>analysiert</w:t>
      </w:r>
      <w:r w:rsidRPr="008725BE">
        <w:rPr>
          <w:rFonts w:ascii="Garamond" w:hAnsi="Garamond"/>
          <w:lang w:val="en-GB"/>
        </w:rPr>
        <w:t>, das heißt seine Seelentätigkeit in ihre elementaren Bestandteile zerlegt, diese Triebelemente einzeln und isoliert in ihm aufgezeigt; was läge nun näher als zu fordern, daß wir ihm auch bei einer neuen und besseren Zusammensetzung derselben behilflich sein müssen? Sie wissen, diese Forderung ist auch wirklich erhoben worden. Wir haben gehört: Nach der Analyse des kranken Seelenlebens muß die Synthese desselben folgen! Und bald hat sich daran auch die Besorgnis geknüpft, man könnte zuviel Analyse und zuwenig Synthese geben, und das Bestreben, das Hauptgewicht der psychotherapeutischen Einwirkung auf diese Synthese, eine Art Wiederherstellung des gleichsam durch die Vivisektion Zerstörten, zu verlegen.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kann aber nicht glauben, meine Herren, daß uns in dieser Psychosynthese eine neue Aufgabe zuwächst. Wollte ich mir gestatten, aufrichtig und unhöflich zu sein, so würde ich sagen, es handelt sich da um eine gedankenlose Phrase. Ich bescheide mich zu bemerken, daß nur eine inhaltsleere Überdehnung eines Vergleiches oder, wenn Sie wollen, eine unberechtigte Ausbeutung einer Namengebung vorliegt. Aber ein Name ist nur eine Etikette, zur Unterscheidung von anderem, ähnlichem, angebracht, kein Programm, keine Inhaltsangabe oder Definition. Und ein Vergleich braucht das Verglichene nur an einem Punkte zu tangieren und kann sich in allen anderen weit von ihm entfernen. Das Psychische ist etwas so einzig Besonderes, daß kein vereinzelter Vergleich seine Natur wiedergeben kann. Die psychoanalytische </w:t>
      </w:r>
      <w:r w:rsidRPr="008725BE">
        <w:rPr>
          <w:rFonts w:ascii="Garamond" w:hAnsi="Garamond"/>
          <w:lang w:val="en-GB"/>
        </w:rPr>
        <w:lastRenderedPageBreak/>
        <w:t xml:space="preserve">Arbeit bietet Analogien mit der chemischen Analyse, aber ebensolche mit dem Eingreifen des Chirurgen oder der Einwirkung des Orthopäden oder der Beeinflussung des Erziehers. Der Vergleich mit der chemischen Analyse findet seine Begrenzung darin, daß wir es im Seelenleben mit Strebungen zu tun haben, die einem Zwang zur Vereinheitlichung und Zusammenfassung unterliegen. Ist es uns gelungen, ein Symptom zu zersetzen, eine Triebregung aus einem Zusammenhange zu befreien, so bleibt sie nicht isoliert, sondern tritt sofort in einen neuen ein </w:t>
      </w:r>
      <w:hyperlink r:id="rId92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Ereignet sich doch während der chemischen Analyse etwas ganz Ähnliches. Gleichzeitig mit den Isolierungen, die der Chemiker erzwingt, vollziehen sich von ihm ungewollte Synthesen dank der freigewordenen Affinitäten und der Wahlverwandtschaft der Stoffe.</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Ja, im Gegenteil! Der neurotisch Kranke bringt uns ein zerrissenes, durch Widerstände zerklüftetes Seelenleben entgegen, und während wir daran analysieren, die Widerstände beseitigen, wächst dieses Seelenleben zusammen, fügt die große Einheit, die wir sein Ich heißen, sich alle die Triebregungen ein, die bisher von ihm abgespalten und abseits gebunden waren. So vollzieht sich bei dem analytisch Behandelten die Psychosynthese ohne unser Eingreifen, automatisch und unausweichlich. Durch die Zersetzung der Symptome und die Aufhebung der Widerstände haben wir die Bedingungen für sie geschaffen. Es ist nicht wahr, daß etwas in dem Kranken in seine Bestandteile zerlegt ist, was nun ruhig darauf wartet, bis wir es irgendwie zusammensetzen.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Entwicklung unserer Therapie wird also wohl andere Wege einschlagen, vor allem jenen, den kürzlich Ferenczi in seiner Arbeit über ›Technische Schwierigkeiten einer Hysterieanalyse‹ (1919) als die » </w:t>
      </w:r>
      <w:r w:rsidRPr="008725BE">
        <w:rPr>
          <w:rFonts w:ascii="Garamond" w:hAnsi="Garamond"/>
          <w:i/>
          <w:iCs/>
          <w:lang w:val="en-GB"/>
        </w:rPr>
        <w:t>Aktivität</w:t>
      </w:r>
      <w:r w:rsidRPr="008725BE">
        <w:rPr>
          <w:rFonts w:ascii="Garamond" w:hAnsi="Garamond"/>
          <w:lang w:val="en-GB"/>
        </w:rPr>
        <w:t>« des Analytikers gekennzeichnet hat.</w:t>
      </w:r>
    </w:p>
    <w:p w:rsidR="008725BE" w:rsidRPr="008725BE" w:rsidRDefault="008725BE" w:rsidP="008725BE">
      <w:pPr>
        <w:pStyle w:val="Sansinterligne"/>
        <w:rPr>
          <w:rFonts w:ascii="Garamond" w:hAnsi="Garamond"/>
          <w:lang w:val="en-GB"/>
        </w:rPr>
      </w:pPr>
      <w:r w:rsidRPr="008725BE">
        <w:rPr>
          <w:rFonts w:ascii="Garamond" w:hAnsi="Garamond"/>
          <w:lang w:val="en-GB"/>
        </w:rPr>
        <w:t>Einigen wir uns rasch, was unter dieser Aktivität zu verstehen ist. Wir umschrieben unsere therapeutische Aufgabe durch die zwei Inhalte: Bewußtmachen des Verdrängten und Aufdeckung der Widerstände. Dabei sind wir allerdings aktiv genug. Aber sollen wir es dem Kranken überlassen, allein mit den ihm aufgezeigten Widerständen fertig zu werden? Können wir ihm dabei keine andere Hilfe leisten, als er durch den Antrieb der Übertragung erfährt? Liegt es nicht vielmehr sehr nahe, ihm auch dadurch zu helfen, daß wir ihn in jene psychische Situation versetzen, welche für die erwünschte Erledigung des Konflikts die günstigste ist? Seine Leistung ist doch auch abhängig von einer Anzahl von äußerlich konstellierenden Umständen. Sollen wir uns da bedenken, diese Konstellation durch unser Eingreifen in geeigneter Weise zu verändern? Ich meine, eine solche Aktivität des analytisch behandelnden Arztes ist einwandfrei und durchaus gerechtfertigt.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Sie bemerken, daß sich hier für uns ein neues Gebiet der analytischen Technik eröffnet, dessen Bearbeitung eingehende Bemühung erfordern und ganz bestimmte Vorschriften ergeben wird. Ich werde heute nicht versuchen, Sie in diese noch in Entwicklung begriffene Technik einzuführen, sondern mich damit begnügen, einen Grundsatz hervorzuheben, dem wahrscheinlich die Herrschaft auf diesem Gebiete zufallen wird. Er lautet: </w:t>
      </w:r>
      <w:r w:rsidRPr="008725BE">
        <w:rPr>
          <w:rFonts w:ascii="Garamond" w:hAnsi="Garamond"/>
          <w:i/>
          <w:iCs/>
          <w:lang w:val="en-GB"/>
        </w:rPr>
        <w:t>Die analytische Kur soll, soweit es möglich ist, in der Entbehrung – Abstinenz – durchgeführt werden.</w:t>
      </w:r>
    </w:p>
    <w:p w:rsidR="008725BE" w:rsidRPr="008725BE" w:rsidRDefault="008725BE" w:rsidP="008725BE">
      <w:pPr>
        <w:pStyle w:val="Sansinterligne"/>
        <w:rPr>
          <w:rFonts w:ascii="Garamond" w:hAnsi="Garamond"/>
          <w:lang w:val="en-GB"/>
        </w:rPr>
      </w:pPr>
      <w:r w:rsidRPr="008725BE">
        <w:rPr>
          <w:rFonts w:ascii="Garamond" w:hAnsi="Garamond"/>
          <w:lang w:val="en-GB"/>
        </w:rPr>
        <w:t>Wieweit es möglich ist, dies festzustellen, bleibe einer detaillierten Diskussion überlassen. Unter Abstinenz ist aber nicht die Entbehrung einer jeglichen Befriedigung zu verstehen – das wäre natürlich undurchführbar –, auch nicht, was man im populären Sinne darunter versteht, die Enthaltung vom sexuellen Verkehr, sondern etwas anderes, was mit der Dynamik der Erkrankung und der Herstellung weit mehr zu tun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Sie erinnern sich daran, daß es eine </w:t>
      </w:r>
      <w:r w:rsidRPr="008725BE">
        <w:rPr>
          <w:rFonts w:ascii="Garamond" w:hAnsi="Garamond"/>
          <w:i/>
          <w:iCs/>
          <w:lang w:val="en-GB"/>
        </w:rPr>
        <w:t>Versagung</w:t>
      </w:r>
      <w:r w:rsidRPr="008725BE">
        <w:rPr>
          <w:rFonts w:ascii="Garamond" w:hAnsi="Garamond"/>
          <w:lang w:val="en-GB"/>
        </w:rPr>
        <w:t xml:space="preserve"> war, die den Patienten krank gemacht hat, daß seine Symptome ihm den Dienst von Ersatzbefriedigungen leisten. Sie können während der Kur beobachten, daß jede Besserung seines Leidenszustandes das Tempo der Herstellung verzögert und die Triebkraft verringert, die zur Heilung drängt. Auf diese Triebkraft können wir aber nicht verzichten; eine Verringerung derselben ist für unsere Heilungsabsicht gefährlich. Welche Folgerung drängt sich uns also unabweisbar auf? Wir müssen, so grausam es klingt, dafür sorgen, daß das Leiden des Kranken in irgendeinem wirksamen Maße kein vorzeitiges Ende finde. Wenn es durch die Zersetzung und Entwertung der Symptome ermäßigt worden ist, müssen wir es irgendwo anders als eine empfindliche Entbehrung wieder aufrichten, sonst laufen wir Gefahr, niemals mehr als bescheidene und nicht haltbare Besserungen zu erreichen.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Gefahr droht, soviel ich sehe, besonders von zwei Seiten. Einerseits ist der Patient, dessen Kranksein durch die Analyse erschüttert worden ist, aufs emsigste bemüht, sich an Stelle seiner Symptome neue Ersatzbefriedigungen zu schaffen, denen nun der Leidenscharakter abgeht. Er bedient sich der großartigen Verschiebbarkeit der zum Teil freigewordenen Libido, um die mannigfachsten Tätigkeiten, Vorlieben, Gewohnheiten, auch solche, die bereits früher bestanden haben, mit Libido zu besetzen und sie zu </w:t>
      </w:r>
      <w:r w:rsidRPr="008725BE">
        <w:rPr>
          <w:rFonts w:ascii="Garamond" w:hAnsi="Garamond"/>
          <w:lang w:val="en-GB"/>
        </w:rPr>
        <w:lastRenderedPageBreak/>
        <w:t>Ersatzbefriedigungen zu erheben. Er findet immer wieder neue solche Ablenkungen, durch welche die zum Betrieb der Kur erforderte Energie versickert, und weiß sie eine Zeitlang geheimzuhalten. Man hat die Aufgabe, alle diese Abwege aufzuspüren und jedesmal von ihm den Verzicht zu verlangen, so harmlos die zur Befriedigung führende Tätigkeit auch an sich erscheinen mag. Der Halbgeheilte kann aber auch minder harmlose Wege einschlagen, zum Beispiel indem er, wenn ein Mann, eine voreilige Bindung an ein Weib aufsucht. Nebenbei bemerkt, unglückliche Ehe und körperliches Siechtum sind die gebräuchlichsten Ablösungen der Neurose. Sie befriedigen insbesondere das Schuldbewußtsein (Strafbedürfnis), welches viele Kranke so zähe an ihrer Neurose festhalten läßt. Durch eine ungeschickte Ehewahl bestrafen sie sich selbst; langes organisches Kranksein nehmen sie als eine Strafe des Schicksals an und verzichten dann häufig auf eine Fortführung der Neurose.</w:t>
      </w:r>
    </w:p>
    <w:p w:rsidR="008725BE" w:rsidRPr="008725BE" w:rsidRDefault="008725BE" w:rsidP="008725BE">
      <w:pPr>
        <w:pStyle w:val="Sansinterligne"/>
        <w:rPr>
          <w:rFonts w:ascii="Garamond" w:hAnsi="Garamond"/>
          <w:lang w:val="en-GB"/>
        </w:rPr>
      </w:pPr>
      <w:r w:rsidRPr="008725BE">
        <w:rPr>
          <w:rFonts w:ascii="Garamond" w:hAnsi="Garamond"/>
          <w:lang w:val="en-GB"/>
        </w:rPr>
        <w:t>Die Aktivität des Arztes muß sich in all solchen Situationen als energisches Einschreiten gegen die voreiligen Ersatzbefriedigungen äußern. Leichter wird ihm aber die Verwahrung gegen die zweite, nicht zu unterschätzende Gefahr, von der die Triebkraft der Analyse bedroht wird. Der Kranke sucht vor allem die Ersatzbefriedigung in der Kur selbst im Übertragungsverhältnis zum Arzt und kann sogar danach streben, sich auf diesem Wege für allen ihm sonst auferlegten Verzicht zu entschädigen. Einiges muß man ihm ja wohl gewähren, mehr oder weniger, je nach der Natur des Falles und der Eigenart des Kranken. Aber es ist nicht gut, wenn es zuviel wird. Wer als Analytiker etwa aus der Fülle seines hilfsbereiten Herzens dem Kranken alles spendet, was ein Mensch vom anderen erhoffen kann, der begeht denselben ökonomischen Fehler, dessen sich unsere nicht analytischen Nervenheilanstalten schuldig machen. Diese streben nichts anderes an, als es dem Kranken möglichst angenehm zu machen, damit er sich dort wohlfühle und gerne wieder aus den Schwierigkeiten des Lebens seine Zuflucht dorthin nehme. Dabei verzichten sie darauf, ihn für das Leben stärker, für seine eigentlichen Aufgaben leistungsfähiger zu machen. In der analytischen Kur muß jede solche Verwöhnung vermieden werden. Der Kranke soll, was sein Verhältnis zum Arzt betrifft, unerfüllte Wünsche reichlich übrigbehalten. Es ist zweckmäßig, ihm gerade die Befriedigungen zu versagen, die er am intensivsten wünscht und am dringendsten äußert.</w:t>
      </w:r>
    </w:p>
    <w:p w:rsidR="008725BE" w:rsidRPr="008725BE" w:rsidRDefault="008725BE" w:rsidP="008725BE">
      <w:pPr>
        <w:pStyle w:val="Sansinterligne"/>
        <w:rPr>
          <w:rFonts w:ascii="Garamond" w:hAnsi="Garamond"/>
          <w:lang w:val="en-GB"/>
        </w:rPr>
      </w:pPr>
      <w:r w:rsidRPr="008725BE">
        <w:rPr>
          <w:rFonts w:ascii="Garamond" w:hAnsi="Garamond"/>
          <w:lang w:val="en-GB"/>
        </w:rPr>
        <w:t>Ich glaube nicht, daß ich den Umfang der erwünschten Aktivität des Arztes mit dem Satze: In der Kur sei die Entbehrung aufrechtzuhalten, erschöpft habe. Eine andere Richtung der analytischen Aktivität ist, wie Sie sich erinnern werden, bereits einmal ein Streitpunkt zwischen uns und der Schweizer Schule gewesen. Wir haben es entschieden abgelehnt, den Patienten, der sich hilfesuchend in unsere Hand begibt, zu unserem Leibgut zu machen, sein Schicksal für ihn zu formen, ihm unsere Ideale aufzudrängen und ihn im Hochmut des Schöpfers zu unserem Ebenbild, an dem wir Wohlgefallen haben sollen, zu gestalten. Ich halte an dieser Ablehnung auch heute noch fest und meine, daß hier die Stelle für die ärztliche Diskretion ist, über die wir uns in anderen Beziehungen hinwegsetzen müssen, habe auch erfahren, daß eine so weit gehende Aktivität gegen den Patienten für die therapeutische Absicht gar nicht erforderlich ist. Denn ich habe Leuten helfen können, mit denen mich keinerlei Gemeinsamkeit der Rasse, Erziehung, sozialen Stellung und Weltanschauung verband, ohne sie in ihrer Eigenart zu stören. Ich habe damals, zur Zeit jener Streitigkeiten, allerdings den Eindruck empfangen, daß der Einspruch unserer Vertreter – ich glaube, es war in erster Linie E. Jones – allzu schroff und unbedingt ausgefallen ist. Wir können es nicht vermeiden, auch Patienten anzunehmen, die so haltlos und existenzunfähig sind, daß man bei ihnen die analytische Beeinflussung mit der erzieherischen vereinigen muß, und auch bei den meisten anderen wird sich hie und da eine Gelegenheit ergeben, wo der Arzt als Erzieher und Ratgeber aufzutreten genötigt ist. Aber dies soll jedesmal mit großer Schonung geschehen, und der Kranke soll nicht zur Ähnlichkeit mit uns, sondern zur Befreiung und Vollendung seines eigenen Wesens erzogen werden.</w:t>
      </w:r>
    </w:p>
    <w:p w:rsidR="008725BE" w:rsidRPr="008725BE" w:rsidRDefault="008725BE" w:rsidP="008725BE">
      <w:pPr>
        <w:pStyle w:val="Sansinterligne"/>
        <w:rPr>
          <w:rFonts w:ascii="Garamond" w:hAnsi="Garamond"/>
          <w:lang w:val="en-GB"/>
        </w:rPr>
      </w:pPr>
      <w:r w:rsidRPr="008725BE">
        <w:rPr>
          <w:rFonts w:ascii="Garamond" w:hAnsi="Garamond"/>
          <w:lang w:val="en-GB"/>
        </w:rPr>
        <w:t>Unser verehrter Freund J. Putnam in dem uns jetzt so feindlichen Amerika muß es uns verzeihen, wenn wir auch seine Forderung nicht annehmen können, die Psychoanalyse möge sich in den Dienst einer bestimmten philosophischen Weltanschauung stellen und diese dem Patienten zum Zwecke seiner Veredlung aufdrängen. Ich möchte sagen, dies ist doch nur Gewaltsamkeit, wenn auch durch die edelsten Absichten gedeckt.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letzte, ganz anders geartete Aktivität wird uns durch die allmählich wachsende Einsicht aufgenötigt, daß die verschiedenen Krankheitsformen, die wir behandeln, nicht durch die nämliche Technik erledigt werden können. Es wäre voreilig, hierüber ausführlich zu handeln, aber an zwei Beispielen kann ich erläutern, inwiefern dabei eine neue Aktivität in Betracht kommt. Unsere Technik ist an der Behandlung der Hysterie erwachsen und noch immer auf diese Affektion eingerichtet. Aber schon die Phobien nötigen uns, über unser bisheriges Verhalten hinauszugehen. Man wird kaum einer Phobie Herr, wenn man abwartet, bis sich der Kranke durch die Analyse bewegen läßt, sie aufzugeben. Er bringt dann niemals jenes Material in die Analyse, das zur überzeugenden Lösung der Phobie unentbehrlich ist. Man muß </w:t>
      </w:r>
      <w:r w:rsidRPr="008725BE">
        <w:rPr>
          <w:rFonts w:ascii="Garamond" w:hAnsi="Garamond"/>
          <w:lang w:val="en-GB"/>
        </w:rPr>
        <w:lastRenderedPageBreak/>
        <w:t>anders vorgehen. Nehmen Sie das Beispiel eines Agoraphoben; es gibt zwei Klassen von solchen, eine leichtere und eine schwerere. Die ersteren haben zwar jedesmal unter der Angst zu leiden, wenn sie allein auf die Straße gehen, aber sie haben darum das Alleingehen noch nicht aufgegeben; die anderen schützen sich vor der Angst, indem sie auf das Alleingehen verzichten. Bei diesen letzteren hat man nur dann Erfolg, wenn man sie durch den Einfluß der Analyse bewegen kann, sich wieder wie Phobiker des ersten Grades zu benehmen, also auf die Straße zu gehen und während dieses Versuches mit der Angst zu kämpfen. Man bringt es also zunächst dahin, die Phobie so weit zu ermäßigen, und erst wenn dies durch die Forderung des Arztes erreicht ist, wird der Kranke jener Einfälle und Erinnerungen habhaft, welche die Lösung der Phobie ermöglichen.</w:t>
      </w:r>
    </w:p>
    <w:p w:rsidR="008725BE" w:rsidRPr="008725BE" w:rsidRDefault="008725BE" w:rsidP="008725BE">
      <w:pPr>
        <w:pStyle w:val="Sansinterligne"/>
        <w:rPr>
          <w:rFonts w:ascii="Garamond" w:hAnsi="Garamond"/>
          <w:lang w:val="en-GB"/>
        </w:rPr>
      </w:pPr>
      <w:r w:rsidRPr="008725BE">
        <w:rPr>
          <w:rFonts w:ascii="Garamond" w:hAnsi="Garamond"/>
          <w:lang w:val="en-GB"/>
        </w:rPr>
        <w:t>Noch weniger angezeigt scheint ein passives Zuwarten bei den schweren Fällen von Zwangshandlungen, die ja im allgemeinen zu einem »asymptotischen« Heilungsvorgang, zu einer unendlichen Behandlungsdauer neigen, deren Analyse immer in Gefahr ist, sehr viel zutage zu fördern und nichts zu ändern. Es scheint mir wenig zweifelhaft, daß die richtige Technik hier nur darin bestehen kann abzuwarten, bis die Kur selbst zum Zwang geworden ist, und dann mit diesem Gegenzwang den Krankheitszwang gewaltsam zu unterdrücken. Sie verstehen aber, daß ich Ihnen in diesen zwei Fällen nur Proben der neuen Entwicklungen vorgelegt habe, denen unsere Therapie entgegengeht.</w:t>
      </w:r>
    </w:p>
    <w:p w:rsidR="008725BE" w:rsidRPr="008725BE" w:rsidRDefault="008725BE" w:rsidP="008725BE">
      <w:pPr>
        <w:pStyle w:val="Sansinterligne"/>
        <w:rPr>
          <w:rFonts w:ascii="Garamond" w:hAnsi="Garamond"/>
          <w:lang w:val="en-GB"/>
        </w:rPr>
      </w:pPr>
      <w:r w:rsidRPr="008725BE">
        <w:rPr>
          <w:rFonts w:ascii="Garamond" w:hAnsi="Garamond"/>
          <w:lang w:val="en-GB"/>
        </w:rPr>
        <w:t>Und nun möchte ich zum Schlusse eine Situation ins Auge fassen, die der Zukunft angehört, die vielen von Ihnen phantastisch erscheinen wird, die aber doch verdient, sollte ich meinen, daß man sich auf sie in Gedanken vorbereitet. Sie wissen, daß unsere therapeutische Wirksamkeit keine sehr intensive ist. Wir sind nur eine Handvoll Leute, und jeder von uns kann auch bei angestrengter Arbeit sich in einem Jahr nur einer kleinen Anzahl von Kranken widmen. Gegen das Übermaß von neurotischem Elend, das es in der Welt gibt und vielleicht nicht zu geben braucht, kommt das, was wir davon wegschaffen können, quantitativ kaum in Betracht. Außerdem sind wir durch die Bedingungen unserer Existenz auf die wohlhabenden Oberschichten der Gesellschaft eingeschränkt, die ihre Ärzte selbst zu wählen pflegen und bei dieser Wahl durch alle Vorurteile von der Psychoanalyse abgelenkt werden. Für die breiten Volksschichten, die ungeheuer schwer unter den Neurosen leiden, können wir derzeit nichts tun.</w:t>
      </w:r>
    </w:p>
    <w:p w:rsidR="008725BE" w:rsidRPr="008725BE" w:rsidRDefault="008725BE" w:rsidP="008725BE">
      <w:pPr>
        <w:pStyle w:val="Sansinterligne"/>
        <w:rPr>
          <w:rFonts w:ascii="Garamond" w:hAnsi="Garamond"/>
          <w:lang w:val="en-GB"/>
        </w:rPr>
      </w:pPr>
      <w:r w:rsidRPr="008725BE">
        <w:rPr>
          <w:rFonts w:ascii="Garamond" w:hAnsi="Garamond"/>
          <w:lang w:val="en-GB"/>
        </w:rPr>
        <w:t>Nun lassen Sie uns annehmen, durch irgendeine Organisation gelänge es uns, unsere Zahl so weit zu vermehren, daß wir zur Behandlung von größeren Menschenmassen ausreichen. Anderseits läßt sich vorhersehen: Irgendeinmal wird das Gewissen der Gesellschaft erwachen und sie mahnen, daß der Arme ein ebensolches Anrecht auf seelische Hilfeleistung hat wie bereits jetzt auf lebensrettende chirurgische. Und daß die Neurosen die Volksgesundheit nicht minder bedrohen als die Tuberkulose und ebensowenig wie diese der ohnmächtigen Fürsorge des einzelnen aus dem Volke überlassen werden können. Dann werden also Anstalten oder Ordinationsinstitute errichtet werden, an denen psychoanalytisch ausgebildete Ärzte angestellt sind, um die Männer, die sich sonst dem Trunk ergeben würden, die Frauen, die unter der Last der Entsagungen zusammenzubrechen drohen, die Kinder, denen nur die Wahl zwischen Verwilderung und Neurose bevorsteht, durch Analyse widerstands- und leistungsfähig zu erhalten. Diese Behandlungen werden unentgeltliche sein. Es mag lange dauern, bis der Staat diese Pflichten als dringende empfindet. Die gegenwärtigen Verhältnisse mögen den Termin noch länger hinausschieben, es ist wahrscheinlich, daß private Wohltätigkeit mit solchen Instituten den Anfang machen wird; aber irgendeinmal wird es dazu kommen müssen.</w:t>
      </w:r>
    </w:p>
    <w:p w:rsidR="008725BE" w:rsidRPr="008725BE" w:rsidRDefault="008725BE" w:rsidP="008725BE">
      <w:pPr>
        <w:pStyle w:val="Sansinterligne"/>
        <w:rPr>
          <w:rFonts w:ascii="Garamond" w:hAnsi="Garamond"/>
          <w:lang w:val="en-GB"/>
        </w:rPr>
      </w:pPr>
      <w:r w:rsidRPr="008725BE">
        <w:rPr>
          <w:rFonts w:ascii="Garamond" w:hAnsi="Garamond"/>
          <w:lang w:val="en-GB"/>
        </w:rPr>
        <w:t>Dann wird sich für uns die Aufgabe ergeben, unsere Technik den neuen Bedingungen anzupassen. Ich zweifle nicht daran, daß die Triftigkeit unserer psychologischen Annahmen auch auf den Ungebildeten Eindruck machen wird, aber wir werden den einfachsten und greifbarsten Ausdruck unserer theoretischen Lehren suchen müssen. Wir werden wahrscheinlich die Erfahrung machen, daß der Arme noch weniger zum Verzicht auf seine Neurose bereit ist als der Reiche, weil das schwere Leben, das auf ihn wartet, ihn nicht lockt, und das Kranksein ihm einen Anspruch mehr auf soziale Hilfe bedeutet. Möglicherweise werden wir oft nur dann etwas leisten können, wenn wir die seelische Hilfeleistung mit materieller Unterstützung nach Art des Kaisers Josef vereinigen können. Wir werden auch sehr wahrscheinlich genötigt sein, in der Massenanwendung unserer Therapie das reine Gold der Analyse reichlich mit dem Kupfer der direkten Suggestion zu legieren, und auch die hypnotische Beeinflussung könnte dort wie bei der Behandlung der Kriegsneurotiker wieder eine Stelle finden. Aber wie immer sich auch diese Psychotherapie fürs Volk gestalten, aus welchen Elementen sie sich zusammensetzen mag, ihre wirksamsten und wichtigsten Bestandteile werden gewiß die bleiben, die von der strengen, der tendenzlosen Psychoanalyse entlehnt worden sind.</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Ze</w:t>
        </w:r>
        <w:bookmarkStart w:id="204" w:name="KS69"/>
        <w:bookmarkEnd w:id="204"/>
        <w:r w:rsidRPr="008725BE">
          <w:rPr>
            <w:rStyle w:val="Lienhypertexte"/>
            <w:rFonts w:ascii="Garamond" w:hAnsi="Garamond"/>
            <w:b/>
            <w:lang w:val="en-GB"/>
          </w:rPr>
          <w:t>itgemäßes über Krieg und Tod</w:t>
        </w:r>
      </w:hyperlink>
      <w:r w:rsidRPr="008725BE">
        <w:rPr>
          <w:rFonts w:ascii="Garamond" w:hAnsi="Garamond"/>
          <w:lang w:val="en-GB"/>
        </w:rPr>
        <w:t xml:space="preserve">  </w:t>
      </w:r>
      <w:r w:rsidRPr="008725BE">
        <w:rPr>
          <w:rFonts w:ascii="Garamond" w:hAnsi="Garamond"/>
          <w:caps/>
          <w:lang w:val="en-GB"/>
        </w:rPr>
        <w:t>(1915)</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I. Die Enttäuschung des Krieges</w:t>
      </w:r>
    </w:p>
    <w:p w:rsidR="008725BE" w:rsidRPr="008725BE" w:rsidRDefault="008725BE" w:rsidP="008725BE">
      <w:pPr>
        <w:pStyle w:val="Sansinterligne"/>
        <w:rPr>
          <w:rFonts w:ascii="Garamond" w:hAnsi="Garamond"/>
          <w:lang w:val="en-GB"/>
        </w:rPr>
      </w:pPr>
      <w:r w:rsidRPr="008725BE">
        <w:rPr>
          <w:rFonts w:ascii="Garamond" w:hAnsi="Garamond"/>
          <w:lang w:val="en-GB"/>
        </w:rPr>
        <w:t>Von dem Wirbel dieser Kriegszeit gepackt, einseitig unterrichtet, ohne Distanz von den großen Veränderungen, die sich bereits vollzogen haben oder zu vollziehen beginnen, und ohne Witterung der sich gestaltenden Zukunft, werden wir selbst irre an der Bedeutung der Eindrücke, die sich uns aufdrängen, und an dem Werte der Urteile, die wir bilden. Es will uns scheinen, als hätte noch niemals ein Ereignis so viel kostbares Gemeingut der Menschheit zerstört, so viele der klarsten Intelligenzen verwirrt, so gründlich das Hohe erniedrigt. Selbst die Wissenschaft hat ihre leidenschaftslose Unparteilichkeit verloren; ihre aufs tiefste erbitterten Diener suchen ihr Waffen zu entnehmen, um einen Beitrag zur Bekämpfung des Feindes zu leisten. Der Anthropologe muß den Gegner für minderwertig und degeneriert erklären, der Psychiater die Diagnose seiner Geistes- oder Seelenstörung verkünden. Aber wahrscheinlich empfinden wir das Böse dieser Zeit unmäßig stark und haben kein Recht, es mit dem Bösen anderer Zeiten zu vergleichen, die wir nicht erlebt haben.</w:t>
      </w:r>
    </w:p>
    <w:p w:rsidR="008725BE" w:rsidRPr="008725BE" w:rsidRDefault="008725BE" w:rsidP="008725BE">
      <w:pPr>
        <w:pStyle w:val="Sansinterligne"/>
        <w:rPr>
          <w:rFonts w:ascii="Garamond" w:hAnsi="Garamond"/>
          <w:lang w:val="en-GB"/>
        </w:rPr>
      </w:pPr>
      <w:r w:rsidRPr="008725BE">
        <w:rPr>
          <w:rFonts w:ascii="Garamond" w:hAnsi="Garamond"/>
          <w:lang w:val="en-GB"/>
        </w:rPr>
        <w:t>Der Einzelne, der nicht selbst ein Kämpfer und somit ein Partikelchen der riesigen Kriegsmaschinerie geworden ist, fühlt sich in seiner Orientierung verwirrt und in seiner Leistungsfähigkeit gehemmt. Ich meine, ihm wird jeder kleine Wink willkommen sein, der es ihm erleichtert, sich wenigstens in seinem eigenen Innern zurechtzufinden. Unter den Momenten, welche das seelische Elend der Daheimgebliebenen verschuldet haben und deren Bewältigung ihnen so schwierige Aufgaben stellt, möchte ich zwei hervorheben und an dieser Stelle behandeln: die Enttäuschung, die dieser Krieg hervorgerufen hat, und die veränderte Einstellung zum Tode, zu der er uns – wie alle anderen Kriege – nötigt. Wenn ich von Enttäuschung rede, weiß jedermann sofort, was damit gemeint ist. Man braucht kein Mitleidsschwärmer zu sein, man kann die biologische und psychologische Notwendigkeit des Leidens für die Ökonomie des Menschenlebens einsehen und darf doch den Krieg in seinen Mitteln und Zielen verurteilen und das Aufhören der Kriege herbeisehnen. Man sagte sich zwar, die Kriege könnten nicht aufhören, solange die Völker unter so verschiedenartigen Existenzbedingungen leben, solange die Wertungen des Einzellebens bei ihnen weit auseinandergehen und solange die Gehässigkeiten, welche sie trennen, so starke seelische Triebkräfte repräsentieren. Man war also darauf vorbereitet, daß Kriege zwischen den primitiven und den zivilisierten Völkern, zwischen den Menschenrassen, die durch die Hautfarbe voneinander geschieden werden, ja Kriege mit und unter den wenig entwickelten oder verwilderten Völkerindividuen Europas die Menschheit noch durch geraume Zeit in Anspruch nehmen werden. Aber man getraute sich etwas anderes zu hoffen. Von den großen weltbeherrschenden Nationen weißer Rasse, denen die Führung des Menschengeschlechtes zugefallen ist, die man mit der Pflege weltumspannender Interessen beschäftigt wußte, deren Schöpfungen die technischen Fortschritte in der Beherrschung der Natur wie die künstlerischen und wissenschaftlichen Kulturwerte sind, von diesen Völkern hatte man erwartet, daß sie es verstehen würden, Mißhelligkeiten und Interessenkonflikte auf anderem Wege zum Austrage zu bringen. Innerhalb jeder dieser Nationen waren hohe sittliche Normen für den Einzelnen aufgestellt worden, nach denen er seine Lebensführung einzurichten hatte, wenn er an der Kulturgemeinschaft teilnehmen wollte. Diese oft überstrengen Vorschriften forderten viel von ihm, eine ausgiebige Selbstbeschränkung, einen weitgehenden Verzicht auf Triebbefriedigung. Es war ihm vor allem versagt, sich der außerordentlichen Vorteile zu bedienen, die der Gebrauch von Lüge und Betrug im Wettkampfe mit den Nebenmenschen schafft. Der Kulturstaat hielt diese sittlichen Normen für die Grundlage seines Bestandes, er schritt ernsthaft ein, wenn man sie anzutasten wagte, erklärte es oft für untunlich, sie auch nur einer Prüfung durch den kritischen Verstand zu unterziehen. Es war also anzunehmen, daß er sie selbst respektieren wolle und nichts gegen sie zu unternehmen gedenke, wodurch er der Begründung seiner eigenen Existenz widersprochen hätte. Endlich konnte man zwar die Wahrnehmung machen, daß es innerhalb dieser Kulturnationen gewisse eingesprengte Völkerreste gäbe, die ganz allgemein unliebsam wären und darum nur widerwillig, auch nicht im vollen Umfange, zur Teilnahme an der gemeinsamen Kulturarbeit zugelassen würden, für die sie sich als genug geeignet erwiesen hatten. Aber die großen Völker selbst, konnte man meinen, hätten so viel Verständnis für ihre Gemeinsamkeiten und so viel Toleranz für ihre Verschiedenheiten erworben, daß »fremd« und »feindlich« nicht mehr wie noch im klassischen Altertume für sie zu einem Begriffe verschmelzen durften.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Vertrauend auf diese Einigung der Kulturvölker haben ungezählte Menschen ihren Wohnort in der Heimat gegen den Aufenthalt in der Fremde eingetauscht und ihre Existenz an die Verkehrsbeziehungen zwischen den befreundeten Völkern geknüpft. Wen aber die Not des Lebens nicht ständig an die nämliche Stelle bannte, der konnte sich aus allen Vorzügen und Reizen der Kulturländer ein neues, größeres </w:t>
      </w:r>
      <w:r w:rsidRPr="008725BE">
        <w:rPr>
          <w:rFonts w:ascii="Garamond" w:hAnsi="Garamond"/>
          <w:lang w:val="en-GB"/>
        </w:rPr>
        <w:lastRenderedPageBreak/>
        <w:t>Vaterland zusammensetzen, in dem er sich ungehemmt und unverdächtigt erging. Er genoß so das blaue und das graue Meer, die Schönheit der Schneeberge und die der grünen Wiesenflächen, den Zauber des nordischen Waldes und die Pracht der südlichen Vegetation, die Stimmung der Landschaften, auf denen große historische Erinnerungen ruhen, und die Stille der unberührten Natur. Dies neue Vaterland war für ihn auch ein Museum, erfüllt mit allen Schätzen, welche die Künstler der Kulturmenschheit seit vielen Jahrhunderten geschaffen und hinterlassen hatten. Während er von einem Saale dieses Museums in einen andern wanderte, konnte er in parteiloser Anerkennung feststellen, was für verschiedene Typen von Vollkommenheit Blutmischung, Geschichte und die Eigenart der Mutter Erde an seinen weiteren Kompatrioten ausgebildet hatten. Hier war die kühle unbeugsame Energie aufs höchste entwickelt, dort die graziöse Kunst, das Leben zu verschönern, anderswo der Sinn für Ordnung und Gesetz oder andere der Eigenschaften, die den Menschen zum Herrn der Erde gemacht haben.</w:t>
      </w:r>
    </w:p>
    <w:p w:rsidR="008725BE" w:rsidRPr="008725BE" w:rsidRDefault="008725BE" w:rsidP="008725BE">
      <w:pPr>
        <w:pStyle w:val="Sansinterligne"/>
        <w:rPr>
          <w:rFonts w:ascii="Garamond" w:hAnsi="Garamond"/>
          <w:lang w:val="en-GB"/>
        </w:rPr>
      </w:pPr>
      <w:r w:rsidRPr="008725BE">
        <w:rPr>
          <w:rFonts w:ascii="Garamond" w:hAnsi="Garamond"/>
          <w:lang w:val="en-GB"/>
        </w:rPr>
        <w:t>Vergessen wir auch nicht, daß jeder Kulturweltbürger sich einen besonderen »Parnaß« und eine »Schule von Athen« geschaffen hatte. Unter den großen Denkern, Dichtern, Künstlern aller Nationen hatte er die ausgewählt, denen er das Beste zu schulden vermeinte, was ihm an Lebensgenuß und Lebensverständnis zugänglich geworden war, und sie den unsterblichen Alten in seiner Verehrung zugesellt wie den vertrauten Meistern seiner eigenen Zunge. Keiner von diesen Großen war ihm darum fremd erschienen, weil er in anderer Sprache geredet hatte, weder der unvergleichliche Ergründer der menschlichen Leidenschaften noch der schönheitstrunkene Schwärmer oder der gewaltig drohende Prophet, der feinsinnige Spötter, und niemals warf er sich dabei vor, abtrünnig geworden zu sein der eigenen Nation und der geliebten Muttersprache.</w:t>
      </w:r>
    </w:p>
    <w:p w:rsidR="008725BE" w:rsidRPr="008725BE" w:rsidRDefault="008725BE" w:rsidP="008725BE">
      <w:pPr>
        <w:pStyle w:val="Sansinterligne"/>
        <w:rPr>
          <w:rFonts w:ascii="Garamond" w:hAnsi="Garamond"/>
          <w:lang w:val="en-GB"/>
        </w:rPr>
      </w:pPr>
      <w:r w:rsidRPr="008725BE">
        <w:rPr>
          <w:rFonts w:ascii="Garamond" w:hAnsi="Garamond"/>
          <w:lang w:val="en-GB"/>
        </w:rPr>
        <w:t>Der Genuß der Kulturgemeinschaft wurde gelegentlich durch Stimmen gestört, welche warnten, daß infolge altüberkommener Differenzen Kriege auch unter den Mitgliedern derselben unvermeidlich wären. Man wollte nicht daran glauben, aber wie stellte man sich einen solchen Krieg vor, wenn es dazu kommen sollte? Als eine Gelegenheit, die Fortschritte im Gemeingefühle der Menschen aufzuzeigen seit jener Zeit, da die griechischen Amphiktyonien verboten hatten, eine dem Bündnisse angehörige Stadt zu zerstören, ihre Ölbäume umzuhauen und ihr das Wasser abzuschneiden. Als einen ritterlichen Waffengang, der sich darauf beschränken wollte, die Überlegenheit des einen Teiles festzustellen, unter möglichster Vermeidung schwerer Leiden, die zu dieser Entscheidung nichts beitragen könnten, mit voller Schonung für den Verwundeten, der aus dem Kampfe ausscheiden muß, und für den Arzt und Pfleger, der sich seiner Herstellung widmet. Natürlich mit allen Rücksichten für den nicht kriegführenden Teil der Bevölkerung, für die Frauen, die dem Kriegshandwerk ferne bleiben, und für die Kinder, die, herangewachsen, einander von beiden Seiten Freunde und Mithelfer werden sollen. Auch mit Erhaltung all der internationalen Unternehmungen und Institutionen, in denen sich die Kulturgemeinschaft der Friedenszeit verkörpert hatte.</w:t>
      </w:r>
    </w:p>
    <w:p w:rsidR="008725BE" w:rsidRPr="008725BE" w:rsidRDefault="008725BE" w:rsidP="008725BE">
      <w:pPr>
        <w:pStyle w:val="Sansinterligne"/>
        <w:rPr>
          <w:rFonts w:ascii="Garamond" w:hAnsi="Garamond"/>
          <w:lang w:val="en-GB"/>
        </w:rPr>
      </w:pPr>
      <w:r w:rsidRPr="008725BE">
        <w:rPr>
          <w:rFonts w:ascii="Garamond" w:hAnsi="Garamond"/>
          <w:lang w:val="en-GB"/>
        </w:rPr>
        <w:t>Ein solcher Krieg hätte immer noch genug des Schrecklichen und schwer zu Ertragenden enthalten, aber er hätte die Entwicklung ethischer Beziehungen zwischen den Großindividuen der Menschheit, den Völkern und Staaten, nicht unterbrochen.</w:t>
      </w:r>
    </w:p>
    <w:p w:rsidR="008725BE" w:rsidRPr="008725BE" w:rsidRDefault="008725BE" w:rsidP="008725BE">
      <w:pPr>
        <w:pStyle w:val="Sansinterligne"/>
        <w:rPr>
          <w:rFonts w:ascii="Garamond" w:hAnsi="Garamond"/>
          <w:lang w:val="en-GB"/>
        </w:rPr>
      </w:pPr>
      <w:r w:rsidRPr="008725BE">
        <w:rPr>
          <w:rFonts w:ascii="Garamond" w:hAnsi="Garamond"/>
          <w:lang w:val="en-GB"/>
        </w:rPr>
        <w:t>Der Krieg, an den wir nicht glauben wollten, brach nun aus, und er brachte die – Enttäuschung. Er ist nicht nur blutiger und verlustreicher als einer der Kriege vorher, infolge der mächtig vervollkommneten Waffen des Angriffes und der Verteidigung, sondern mindestens ebenso grausam, erbittert, schonungslos wie irgendein früherer. Er setzt sich über alle Einschränkungen hinaus, zu denen man sich in friedlichen Zeiten verpflichtet, die man das Völkerrecht genannt hatte, anerkennt nicht die Vorrechte des Verwundeten und des Arztes, die Unterscheidung des friedlichen und des kämpfenden Teiles der Bevölkerung, die Ansprüche des Privateigentums. Er wirft nieder, was ihm im Wege steht, in blinder Wut, als sollte es keine Zukunft und keinen Frieden unter den Menschen nach ihm geben. Er zerreißt alle Bande der Gemeinschaft unter den miteinander ringenden Völkern und droht eine Erbitterung zu hinterlassen, welche eine Wiederanknüpfung derselben für lange Zeit unmöglich machen wird.</w:t>
      </w:r>
    </w:p>
    <w:p w:rsidR="008725BE" w:rsidRPr="008725BE" w:rsidRDefault="008725BE" w:rsidP="008725BE">
      <w:pPr>
        <w:pStyle w:val="Sansinterligne"/>
        <w:rPr>
          <w:rFonts w:ascii="Garamond" w:hAnsi="Garamond"/>
          <w:lang w:val="en-GB"/>
        </w:rPr>
      </w:pPr>
      <w:r w:rsidRPr="008725BE">
        <w:rPr>
          <w:rFonts w:ascii="Garamond" w:hAnsi="Garamond"/>
          <w:lang w:val="en-GB"/>
        </w:rPr>
        <w:t>Er brachte auch das kaum begreifliche Phänomen zum Vorscheine, daß die Kulturvölker einander so wenig kennen und verstehen, daß sich das eine mit Haß und Abscheu gegen das andere wenden kann. Ja, daß eine der großen Kulturnationen so allgemein mißliebig ist, daß der Versuch gewagt werden kann, sie als »barbarisch« von der Kulturgemeinschaft: auszuschließen, obwohl sie ihre Eignung durch die großartigsten Beitragsleistungen längst erwiesen hat. Wir leben der Hoffnung, eine unparteiische Geschichtsschreibung werde den Nachweis erbringen, daß gerade diese Nation, die, in deren Sprache wir schreiben, für deren Sieg unsere Lieben kämpfen, sich am wenigsten gegen die Gesetze der menschlichen Gesittung vergangen habe, aber wer darf in solcher Zeit als Richter auftreten in eigener Sache?</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Völker werden ungefähr durch die Staaten, die sie bilden, repräsentiert; diese Staaten durch die Regierungen, die sie leiten. Der einzelne Volksangehörige kann in diesem Kriege mit Schrecken feststellen, was sich ihm gelegentlich schon in Friedenszeiten aufdrängen wollte, daß der Staat dem Einzelnen den Gebrauch des Unrechts untersagt hat, nicht weil er es abschaffen, sondern weil er es monopolisieren will wie Salz und Tabak. Der kriegführende Staat gibt sich jedes Unrecht, jede Gewalttätigkeit frei, die den Einzelnen entehren würde. Er bedient sich nicht nur der erlaubten List, sondern auch der bewußten Lüge und des absichtlichen Betruges gegen den Feind, und dies zwar in einem Maße, welches das in früheren Kriegen Gebräuchliche zu übersteigen scheint. Der Staat fordert das Äußerste an Gehorsam und Aufopferung von seinen Bürgern, entmündigt sie aber dabei durch ein Übermaß von Verheimlichung und eine Zensur der Mitteilung und Meinungsäußerung, welche die Stimmung der so intellektuell Unterdrückten wehrlos macht gegen jede ungünstige Situation und jedes wüste Gerücht. Er löst sich los von Zusicherungen und Verträgen, durch die er sich gegen andere Staaten gebunden hatte, bekennt sich ungescheut zu seiner Habgier und seinem Machtstreben, die dann der Einzelne aus Patriotismus gutheißen soll.</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 wende nicht ein, daß der Staat auf den Gebrauch des Unrechts nicht verzichten kann, weil er sich dadurch in Nachteil setzte. Auch für den Einzelnen ist die Befolgung der sittlichen Normen, der Verzicht auf brutale Machtbetätigung in der Regel sehr unvorteilhaft, und der Staat zeigt sich nur selten dazu fähig, den Einzelnen für das Opfer zu entschädigen, das er von ihm gefordert hat. Man darf sich auch nicht darüber verwundern, daß die Lockerung aller sittlichen Beziehungen zwischen den Großindividuen der Menschheit eine Rückwirkung auf die Sittlichkeit der Einzelnen geäußert hat, denn unser Gewissen ist nicht der unbeugsame Richter, für den die Ethiker es ausgeben, es ist in seinem Ursprünge » </w:t>
      </w:r>
      <w:r w:rsidRPr="008725BE">
        <w:rPr>
          <w:rFonts w:ascii="Garamond" w:hAnsi="Garamond"/>
          <w:i/>
          <w:iCs/>
          <w:lang w:val="en-GB"/>
        </w:rPr>
        <w:t>soziale Angst</w:t>
      </w:r>
      <w:r w:rsidRPr="008725BE">
        <w:rPr>
          <w:rFonts w:ascii="Garamond" w:hAnsi="Garamond"/>
          <w:lang w:val="en-GB"/>
        </w:rPr>
        <w:t>« und nichts anderes. Wo die Gemeinschaft den Vorwurf aufhebt, hört auch die Unterdrückung der bösen Gelüste auf, und die Menschen begehen Taten von Grausamkeit, Tücke, Verrat und Roheit, deren Möglichkeit man mit ihrem kulturellen Niveau für unvereinbar gehalten hätte.</w:t>
      </w:r>
    </w:p>
    <w:p w:rsidR="008725BE" w:rsidRPr="008725BE" w:rsidRDefault="008725BE" w:rsidP="008725BE">
      <w:pPr>
        <w:pStyle w:val="Sansinterligne"/>
        <w:rPr>
          <w:rFonts w:ascii="Garamond" w:hAnsi="Garamond"/>
          <w:lang w:val="en-GB"/>
        </w:rPr>
      </w:pPr>
      <w:r w:rsidRPr="008725BE">
        <w:rPr>
          <w:rFonts w:ascii="Garamond" w:hAnsi="Garamond"/>
          <w:lang w:val="en-GB"/>
        </w:rPr>
        <w:t>So mag der Kulturweltbürger, den ich vorhin eingeführt habe, ratlos dastehen in der ihm fremd gewordenen Welt, sein großes Vaterland zerfallen, die gemeinsamen Besitztümer verwüstet, die Mitbürger entzweit und erniedrigt!</w:t>
      </w:r>
    </w:p>
    <w:p w:rsidR="008725BE" w:rsidRPr="008725BE" w:rsidRDefault="008725BE" w:rsidP="008725BE">
      <w:pPr>
        <w:pStyle w:val="Sansinterligne"/>
        <w:rPr>
          <w:rFonts w:ascii="Garamond" w:hAnsi="Garamond"/>
          <w:lang w:val="en-GB"/>
        </w:rPr>
      </w:pPr>
      <w:r w:rsidRPr="008725BE">
        <w:rPr>
          <w:rFonts w:ascii="Garamond" w:hAnsi="Garamond"/>
          <w:lang w:val="en-GB"/>
        </w:rPr>
        <w:t>Zur Kritik seiner Enttäuschung wäre einiges zu bemerken. Sie ist, strengegenommen, nicht berechtigt, denn sie besteht in der Zerstörung einer Illusion. Illusionen empfehlen sich uns dadurch, daß sie Unlustgefühle ersparen und uns an ihrer Statt Befriedigungen genießen lassen. Wir müssen es dann ohne Klage hinnehmen, daß sie irgend einmal mit einem Stücke der Wirklichkeit zusammenstoßen, an dem sie zerschellen.</w:t>
      </w:r>
    </w:p>
    <w:p w:rsidR="008725BE" w:rsidRPr="008725BE" w:rsidRDefault="008725BE" w:rsidP="008725BE">
      <w:pPr>
        <w:pStyle w:val="Sansinterligne"/>
        <w:rPr>
          <w:rFonts w:ascii="Garamond" w:hAnsi="Garamond"/>
          <w:lang w:val="en-GB"/>
        </w:rPr>
      </w:pPr>
      <w:r w:rsidRPr="008725BE">
        <w:rPr>
          <w:rFonts w:ascii="Garamond" w:hAnsi="Garamond"/>
          <w:lang w:val="en-GB"/>
        </w:rPr>
        <w:t>Zweierlei in diesem Kriege hat unsere Enttäuschung regegemacht: die geringe Sittlichkeit der Staaten nach außen, die sich nach innen als die Wächter der sittlichen Normen gebärden, und die Brutalität im Benehmen der Einzelnen, denen man als Teilnehmer an der höchsten menschlichen Kultur ähnliches nicht zugetraut hat.</w:t>
      </w:r>
    </w:p>
    <w:p w:rsidR="008725BE" w:rsidRPr="008725BE" w:rsidRDefault="008725BE" w:rsidP="008725BE">
      <w:pPr>
        <w:pStyle w:val="Sansinterligne"/>
        <w:rPr>
          <w:rFonts w:ascii="Garamond" w:hAnsi="Garamond"/>
          <w:lang w:val="en-GB"/>
        </w:rPr>
      </w:pPr>
      <w:r w:rsidRPr="008725BE">
        <w:rPr>
          <w:rFonts w:ascii="Garamond" w:hAnsi="Garamond"/>
          <w:lang w:val="en-GB"/>
        </w:rPr>
        <w:t>Beginnen wir mit dem zweiten Punkte und versuchen wir es, die Anschauung, die wir kritisieren wollen, in einen einzigen knappen Satz zu fassen. Wie stellt man sich denn eigentlich den Vorgang vor, durch welchen ein einzelner Mensch zu einer höheren Stufe von Sittlichkeit gelangt? Die erste Antwort wird wohl lauten: Er ist eben von Geburt und von Anfang an gut und edel. Sie soll hier weiter nicht berücksichtigt werden. Eine zweite Antwort wird auf die Anregung eingehen, daß hier ein Entwicklungsvorgang vorliegen müsse, und wird wohl annehmen, diese Entwicklung bestehe darin, daß die bösen Neigungen des Menschen in ihm ausgerottet und unter dem Einflusse von Erziehung und Kulturumgebung durch Neigungen zum Guten ersetzt werden. Dann darf man sich allerdings verwundern, daß bei dem so Erzogenen das Böse wieder so tatkräftig zum Vorschein kommt.</w:t>
      </w:r>
    </w:p>
    <w:p w:rsidR="008725BE" w:rsidRPr="008725BE" w:rsidRDefault="008725BE" w:rsidP="008725BE">
      <w:pPr>
        <w:pStyle w:val="Sansinterligne"/>
        <w:rPr>
          <w:rFonts w:ascii="Garamond" w:hAnsi="Garamond"/>
          <w:lang w:val="en-GB"/>
        </w:rPr>
      </w:pPr>
      <w:r w:rsidRPr="008725BE">
        <w:rPr>
          <w:rFonts w:ascii="Garamond" w:hAnsi="Garamond"/>
          <w:lang w:val="en-GB"/>
        </w:rPr>
        <w:t>Aber diese Antwort enthält auch den Satz, dem wir widersprechen wollen. In Wirklichkeit gibt es keine »Ausrottung« des Bösen. Die psychologische – im strengeren Sinne die psychoanalytische – Untersuchung zeigt vielmehr, daß das tiefste Wesen des Menschen in Triebregungen besteht, die elementarer Natur, bei allen Menschen gleichartig sind und auf die Befriedigung gewisser ursprünglicher Bedürfnisse zielen. Diese Triebregungen sind an sich weder gut noch böse. Wir klassifizieren sie und ihre Äußerungen in solcher Weise, je nach ihrer Beziehung zu den Bedürfnissen und Anforderungen der menschlichen Gemeinschaft. Zuzugeben ist, daß alle die Regungen, welche von der Gesellschaft als böse verpönt werden – nehmen wir als Vertretung derselben die eigensüchtigen und die grausamen – sich unter diesen primitiven befinden.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 primitiven Regungen legen einen langen Entwicklungsweg zurück, bis sie zur Betätigung beim Erwachsenen zugelassen werden. Sie werden gehemmt, auf andere Ziele und Gebiete gelenkt, gehen Verschmelzungen miteinander ein, wechseln ihre Objekte, wenden sich zum Teil gegen die eigene Person. </w:t>
      </w:r>
      <w:r w:rsidRPr="008725BE">
        <w:rPr>
          <w:rFonts w:ascii="Garamond" w:hAnsi="Garamond"/>
          <w:lang w:val="en-GB"/>
        </w:rPr>
        <w:lastRenderedPageBreak/>
        <w:t>Reaktionsbildungen gegen gewisse Triebe täuschen die inhaltliche Verwandlung derselben vor, als ob aus Egoismus – Altruismus, aus Grausamkeit – Mitleid geworden wäre. Diesen Reaktionsbildungen kommt zugute, daß manche Triebregungen fast von Anfang an in Gegensatzpaaren auftreten, ein sehr merkwürdiges und der populären Kenntnis fremdes Verhältnis, das man die »Gefühlsambivalenz« benannt hat. Am leichtesten zu beobachten und vom Verständnis zu bewältigen ist die Tatsache, daß starkes Lieben und starkes Hassen so häufig miteinander bei derselben Person vereint vorkommen. Die Psychoanalyse fügt dem zu, daß die beiden entgegengesetzten Gefühlsregungen nicht selten auch die nämliche Person zum Objekte nehmen.</w:t>
      </w:r>
    </w:p>
    <w:p w:rsidR="008725BE" w:rsidRPr="008725BE" w:rsidRDefault="008725BE" w:rsidP="008725BE">
      <w:pPr>
        <w:pStyle w:val="Sansinterligne"/>
        <w:rPr>
          <w:rFonts w:ascii="Garamond" w:hAnsi="Garamond"/>
          <w:lang w:val="en-GB"/>
        </w:rPr>
      </w:pPr>
      <w:r w:rsidRPr="008725BE">
        <w:rPr>
          <w:rFonts w:ascii="Garamond" w:hAnsi="Garamond"/>
          <w:lang w:val="en-GB"/>
        </w:rPr>
        <w:t>Erst nach Überwindung all solcher »Triebschicksale« stellt sich das heraus, was man den Charakter eines Menschen nennt und was mit »gut« oder »böse« bekanntlich nur sehr unzureichend klassifiziert werden kann. Der Mensch ist selten im ganzen gut oder böse, meist »gut« in dieser Relation, »böse« in einer anderen oder »gut« unter solchen äußeren Bedingungen, unter anderen entschieden »böse«. Interessant ist die Erfahrung, daß die kindliche Präexistenz starker »böser« Regungen oft geradezu die Bedingung wird für eine besonders deutliche Wendung des Erwachsenen zum »Guten«. Die stärksten kindlichen Egoisten können die hilfreichsten und aufopferungsfähigsten Bürger werden; die meisten Mitleidsschwärmer, Menschenfreunde, Tierschützer haben sich aus kleinen Sadisten und Tierquälern entwickelt.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Umbildung der »bösen« Triebe ist das Werk zweier im gleichen Sinne wirkenden Faktoren, eines inneren und eines äußeren. Der innere Faktor besteht in der Beeinflussung der bösen – sagen wir: eigensüchtigen – Triebe durch die Erotik, das Liebesbedürfnis des Menschen im weitesten Sinne genommen. Durch die Zumischung der </w:t>
      </w:r>
      <w:r w:rsidRPr="008725BE">
        <w:rPr>
          <w:rFonts w:ascii="Garamond" w:hAnsi="Garamond"/>
          <w:i/>
          <w:iCs/>
          <w:lang w:val="en-GB"/>
        </w:rPr>
        <w:t>erotischen</w:t>
      </w:r>
      <w:r w:rsidRPr="008725BE">
        <w:rPr>
          <w:rFonts w:ascii="Garamond" w:hAnsi="Garamond"/>
          <w:lang w:val="en-GB"/>
        </w:rPr>
        <w:t xml:space="preserve"> Komponenten werden die eigensüchtigen Triebe in </w:t>
      </w:r>
      <w:r w:rsidRPr="008725BE">
        <w:rPr>
          <w:rFonts w:ascii="Garamond" w:hAnsi="Garamond"/>
          <w:i/>
          <w:iCs/>
          <w:lang w:val="en-GB"/>
        </w:rPr>
        <w:t>soziale</w:t>
      </w:r>
      <w:r w:rsidRPr="008725BE">
        <w:rPr>
          <w:rFonts w:ascii="Garamond" w:hAnsi="Garamond"/>
          <w:lang w:val="en-GB"/>
        </w:rPr>
        <w:t xml:space="preserve"> umgewandelt. Man lernt das Geliebtwerden als einen Vorteil schätzen, wegen dessen man auf andere Vorteile verzichten darf. Der äußere Faktor ist der Zwang der Erziehung, welche die Ansprüche der kulturellen Umgebung vertritt und die dann durch die direkte Einwirkung des Kulturmilieus fortgesetzt wird. Kultur ist durch Verzicht auf Triebbefriedigung gewonnen worden und fordert von jedem neu Ankommenden, daß er denselben Triebverzicht leiste. Während des individuellen Lebens findet eine beständige Umsetzung von äußerem Zwange in inneren Zwang statt. Die Kultureinflüsse leiten dazu an, daß immer mehr von den eigensüchtigen Strebungen durch erotische Zusätze in altruistische, soziale verwandelt werden. Man darf endlich annehmen, daß aller innere Zwang, der sich in der Entwicklung des Menschen geltend macht, ursprünglich, d. h. in der </w:t>
      </w:r>
      <w:r w:rsidRPr="008725BE">
        <w:rPr>
          <w:rFonts w:ascii="Garamond" w:hAnsi="Garamond"/>
          <w:i/>
          <w:iCs/>
          <w:lang w:val="en-GB"/>
        </w:rPr>
        <w:t>Menschheitsgeschichte</w:t>
      </w:r>
      <w:r w:rsidRPr="008725BE">
        <w:rPr>
          <w:rFonts w:ascii="Garamond" w:hAnsi="Garamond"/>
          <w:lang w:val="en-GB"/>
        </w:rPr>
        <w:t xml:space="preserve"> nur äußerer Zwang war. Die Menschen, die heute geboren werden, bringen ein Stück Neigung (Disposition) zur Umwandlung der egoistischen in soziale Triebe als ererbte Organisation mit, die auf leichte Anstöße hin diese Umwandlung durchführt. Ein anderes Stück dieser Triebumwandlung muß im Leben selbst geleistet werden. In solcher Art steht der einzelne Mensch nicht nur unter der Einwirkung seines gegenwärtigen Kulturmilieus, sondern unterliegt auch dem Einflusse der Kulturgeschichte seiner Vorfahren.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Heißen wir die einem Menschen zukommende Fähigkeit zur Umbildung der egoistischen Triebe unter dem Einflüsse der Erotik seine </w:t>
      </w:r>
      <w:r w:rsidRPr="008725BE">
        <w:rPr>
          <w:rFonts w:ascii="Garamond" w:hAnsi="Garamond"/>
          <w:i/>
          <w:iCs/>
          <w:lang w:val="en-GB"/>
        </w:rPr>
        <w:t>Kultureignung</w:t>
      </w:r>
      <w:r w:rsidRPr="008725BE">
        <w:rPr>
          <w:rFonts w:ascii="Garamond" w:hAnsi="Garamond"/>
          <w:lang w:val="en-GB"/>
        </w:rPr>
        <w:t>, so können wir aussagen, daß dieselbe aus zwei Anteilen besteht, einem angeborenen und einem im Leben erworbenen, und daß das Verhältnis der beiden zueinander und zu dem unverwandelt gebliebenen Anteile des Trieblebens ein sehr variables ist.</w:t>
      </w:r>
    </w:p>
    <w:p w:rsidR="008725BE" w:rsidRPr="008725BE" w:rsidRDefault="008725BE" w:rsidP="008725BE">
      <w:pPr>
        <w:pStyle w:val="Sansinterligne"/>
        <w:rPr>
          <w:rFonts w:ascii="Garamond" w:hAnsi="Garamond"/>
          <w:lang w:val="en-GB"/>
        </w:rPr>
      </w:pPr>
      <w:r w:rsidRPr="008725BE">
        <w:rPr>
          <w:rFonts w:ascii="Garamond" w:hAnsi="Garamond"/>
          <w:lang w:val="en-GB"/>
        </w:rPr>
        <w:t>Im allgemeinen sind wir geneigt, den angeborenen Anteil zu hoch zu veranschlagen, und überdies laufen wir Gefahr, die gesamte Kultureignung in ihrem Verhältnisse zum primitiv gebliebenen Triebleben zu überschätzen, d. h. wir werden dazu verleitet, die Menschen »besser« zu beurteilen, als sie in Wirklichkeit sind. Es besteht nämlich noch ein anderes Moment, welches unser Urteil trübt und das Ergebnis im günstigen Sinne verfälscht.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Triebregungen eines anderen Menschen sind unserer Wahrnehmung natürlich entrückt. Wir schließen auf sie aus seinen Handlungen und seinem Benehmen, welche wir auf </w:t>
      </w:r>
      <w:r w:rsidRPr="008725BE">
        <w:rPr>
          <w:rFonts w:ascii="Garamond" w:hAnsi="Garamond"/>
          <w:i/>
          <w:iCs/>
          <w:lang w:val="en-GB"/>
        </w:rPr>
        <w:t>Motive</w:t>
      </w:r>
      <w:r w:rsidRPr="008725BE">
        <w:rPr>
          <w:rFonts w:ascii="Garamond" w:hAnsi="Garamond"/>
          <w:lang w:val="en-GB"/>
        </w:rPr>
        <w:t xml:space="preserve"> aus seinem Triebleben zurückführen. Ein solcher Schluß geht notwendigerweise in einer Anzahl von Fällen irre. Die nämlichen, kulturell »guten« Handlungen können das einemal von »edlen« Motiven herstammen, das anderemal nicht. Die theoretischen Ethiker heißen nur solche Handlungen »gut«, welche der Ausdruck guter Triebregungen sind, den anderen versagen sie ihre Anerkennung. Die von praktischen Absichten geleitete Gesellschaft kümmert sich aber im ganzen um diese Unterscheidung nicht; sie begnügt sich damit, daß ein Mensch sein Benehmen und seine Handlungen nach den kulturellen Vorschriften richte, und fragt wenig nach seinen Motiven.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haben gehört, daß der </w:t>
      </w:r>
      <w:r w:rsidRPr="008725BE">
        <w:rPr>
          <w:rFonts w:ascii="Garamond" w:hAnsi="Garamond"/>
          <w:i/>
          <w:iCs/>
          <w:lang w:val="en-GB"/>
        </w:rPr>
        <w:t>äußere Zwang</w:t>
      </w:r>
      <w:r w:rsidRPr="008725BE">
        <w:rPr>
          <w:rFonts w:ascii="Garamond" w:hAnsi="Garamond"/>
          <w:lang w:val="en-GB"/>
        </w:rPr>
        <w:t xml:space="preserve">, den Erziehung und Umgebung auf den Menschen üben, eine weitere Umbildung seines Trieblebens zum Guten, eine Wendung vom Egoismus zum Altruismus herbeiführt. Aber dies ist nicht die notwendige oder regelmäßige Wirkung des äußeren Zwanges. Erziehung und Umgebung haben nicht nur Liebesprämien anzubieten, sondern arbeiten auch mit </w:t>
      </w:r>
      <w:r w:rsidRPr="008725BE">
        <w:rPr>
          <w:rFonts w:ascii="Garamond" w:hAnsi="Garamond"/>
          <w:lang w:val="en-GB"/>
        </w:rPr>
        <w:lastRenderedPageBreak/>
        <w:t>Vorteilsprämien anderer Art, mit Lohn und Strafen. Sie können also die Wirkung äußern, daß der ihrem Einflüsse Unterliegende sich zum guten Handeln im kulturellen Sinne entschließt, ohne daß sich eine Triebveredlung, eine Umsetzung egoistischer in soziale Neigungen, in ihm vollzogen hat. Der Erfolg wird im groben derselbe sein; erst unter besonderen Verhältnissen wird es sich zeigen, daß der eine immer gut handelt, weil ihn seine Triebneigungen dazu nötigen, der andere nur gut ist, weil, insolange und insoweit dies kulturelle Verhalten seinen eigensüchtigen Absichten Vorteile bringt. Wir aber werden bei oberflächlicher Bekanntschaft mit den Einzelnen kein Mittel haben, die beiden Fälle zu unterscheiden, und gewiß durch unseren Optimismus verführt werden, die Anzahl der kulturell veränderten Menschen arg zu überschätzen.</w:t>
      </w:r>
    </w:p>
    <w:p w:rsidR="008725BE" w:rsidRPr="008725BE" w:rsidRDefault="008725BE" w:rsidP="008725BE">
      <w:pPr>
        <w:pStyle w:val="Sansinterligne"/>
        <w:rPr>
          <w:rFonts w:ascii="Garamond" w:hAnsi="Garamond"/>
          <w:lang w:val="en-GB"/>
        </w:rPr>
      </w:pPr>
      <w:r w:rsidRPr="008725BE">
        <w:rPr>
          <w:rFonts w:ascii="Garamond" w:hAnsi="Garamond"/>
          <w:lang w:val="en-GB"/>
        </w:rPr>
        <w:t>Die Kulturgesellschaft, die die gute Handlung fordert und sich um die Triebbegründung derselben nicht kümmert, hat also eine große Zahl von Menschen zum Kulturgehorsam gewonnen, die dabei nicht ihrer Natur folgen. Durch diesen Erfolg ermutigt, hat sie sich verleiten lassen, die sittlichen Anforderungen möglichst hoch zu spannen, und so ihre Teilnehmer zu noch weiterer Entfernung von ihrer Triebveranlagung gezwungen. Diesen ist nun eine fortgesetzte Triebunterdrückung auferlegt, deren Spannung sich in den merkwürdigsten Reaktions- und Kompensationserscheinungen kundgibt. Auf dem Gebiete der Sexualität, wo solche Unterdrückung am wenigsten durchzuführen ist, kommt es so zu den Reaktionserscheinungen der neurotischen Erkrankungen. Der sonstige Druck der Kultur zeitigt zwar keine pathologischen Folgen, äußert sich aber in Charakterverbildungen und in der steten Bereitschaft der gehemmten Triebe, bei passender Gelegenheit zur Befriedigung durchzubrechen. Wer so genötigt wird, dauernd im Sinne von Vorschriften zu reagieren, die nicht der Ausdruck seiner Triebneigungen sind, der lebt, psychologisch verstanden, über seine Mittel und darf objektiv als Heuchler bezeichnet werden, gleichgültig ob ihm diese Differenz klar bewußt worden ist oder nicht. Es ist unleugbar, daß unsere gegenwärtige Kultur die Ausbildung dieser Art von Heuchelei in außerordentlichem Umfange begünstigt. Man könnte die Behauptung wagen, sie sei auf solcher Heuchelei aufgebaut und müßte sich tiefgreifende Abänderungen gefallen lassen, wenn es die Menschen unternehmen würden, der psychologischen Wahrheit nachzuleben. Es gibt also ungleich mehr Kulturheuchler als wirklich kulturelle Menschen, ja man kann den Standpunkt diskutieren, ob ein gewisses Maß von Kulturheuchelei nicht zur Aufrechterhaltung der Kultur unerläßlich sei, weil die bereits organisierte Kultureignung der heute lebenden Menschen vielleicht für diese Leistung nicht zureichen würde. Anderseits bietet die Aufrechterhaltung der Kultur auch auf so bedenklicher Grundlage die Aussicht, bei jeder neuen Generation eine weitergehende Triebumbildung als Trägerin einer besseren Kultur anzubahnen.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Den bisherigen Erörterungen entnehmen wir bereits den einen Trost, daß unsere Kränkung und schmerzliche Enttäuschung wegen des unkulturellen Benehmens unserer Weltmitbürger, in diesem Kriege unberechtigt waren. </w:t>
      </w:r>
      <w:r w:rsidRPr="008725BE">
        <w:rPr>
          <w:rFonts w:ascii="Garamond" w:hAnsi="Garamond"/>
        </w:rPr>
        <w:t xml:space="preserve">Sie beruhten auf einer Illusion, der wir uns gefangen gaben. </w:t>
      </w:r>
      <w:r w:rsidRPr="008725BE">
        <w:rPr>
          <w:rFonts w:ascii="Garamond" w:hAnsi="Garamond"/>
          <w:lang w:val="en-GB"/>
        </w:rPr>
        <w:t>In Wirklichkeit sind sie nicht so tief gesunken, wie wir fürchten, weil sie gar nicht so hoch gestiegen waren, wie wir's von ihnen glaubten. Daß die menschlichen Großindividuen, die Völker und Staaten, die sittlichen Beschränkungen gegeneinander fallenließen, wurde ihnen zur begreiflichen Anregung, sich für eine Weile dem bestehenden Drucke der Kultur zu entziehen und ihren zurückgehaltenen Trieben vorübergehend Befriedigung zu gönnen. Dabei geschah ihrer relativen Sittlichkeit innerhalb ihres Volkstumes wahrscheinlich kein Abbruch.</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können uns aber das Verständnis der Veränderung, die der Krieg an unseren früheren Kompatrioten zeigt, noch vertiefen und empfangen dabei eine Warnung, kein Unrecht an ihnen zu begehen. Seelische Entwicklungen besitzen nämlich eine Eigentümlichkeit, welche sich bei keinem anderen Entwicklungsvorgang mehr vorfindet. Wenn ein Dorf zur Stadt, ein Kind zum Manne heranwächst, so gehen dabei Dorf und Kind in Stadt und Mann unter. Nur die Erinnerung kann die alten Züge in das neue Bild einzeichnen; in Wirklichkeit sind die alten Materialien oder Formen beseitigt und durch neue ersetzt worden. Anders geht es bei einer seelischen Entwicklung zu. Man kann den nicht zu vergleichenden Sachverhalt nicht anders beschreiben als durch die Behauptung, daß jede frühere Entwicklungsstufe neben der späteren, die aus ihr geworden ist, erhalten bleibt; die Sukzession bedingt eine Koexistenz mit, obwohl es doch dieselben Materialien sind, an denen die ganze Reihenfolge von Veränderungen abgelaufen ist. Der frühere seelische Zustand mag sich jahrelang nicht geäußert haben, er bleibt doch so weit bestehen, daß er eines Tages wiederum die Äußerungsform der seelischen Kräfte werden kann, und zwar die einzige, als ob alle späteren Entwicklungen annulliert, rückgängig gemacht worden wären. Diese außerordentliche Plastizität der seelischen Entwicklungen ist in ihrer Richtung nicht unbeschränkt; man kann sie als eine besondere Fähigkeit zur Rückbildung – Regression – bezeichnen, denn es kommt wohl vor, daß eine spätere und höhere Entwicklungsstufe, die verlassen wurde, nicht wieder erreicht werden kann. Aber die </w:t>
      </w:r>
      <w:r w:rsidRPr="008725BE">
        <w:rPr>
          <w:rFonts w:ascii="Garamond" w:hAnsi="Garamond"/>
          <w:lang w:val="en-GB"/>
        </w:rPr>
        <w:lastRenderedPageBreak/>
        <w:t>primitiven Zustände können immer wiederhergestellt werden; das primitive Seelische ist im vollsten Sinne unvergänglich.</w:t>
      </w:r>
    </w:p>
    <w:p w:rsidR="008725BE" w:rsidRPr="008725BE" w:rsidRDefault="008725BE" w:rsidP="008725BE">
      <w:pPr>
        <w:pStyle w:val="Sansinterligne"/>
        <w:rPr>
          <w:rFonts w:ascii="Garamond" w:hAnsi="Garamond"/>
          <w:lang w:val="en-GB"/>
        </w:rPr>
      </w:pPr>
      <w:r w:rsidRPr="008725BE">
        <w:rPr>
          <w:rFonts w:ascii="Garamond" w:hAnsi="Garamond"/>
          <w:lang w:val="en-GB"/>
        </w:rPr>
        <w:t>Die sogenannten Geisteskrankheiten müssen beim Laien den Eindruck hervorrufen, daß das Geistes- und Seelenleben der Zerstörung anheimgefallen sei. In Wirklichkeit betrifft die Zerstörung nur spätere Erwerbungen und Entwicklungen. Das Wesen der Geisteskrankheit besteht in der Rückkehr zu früheren Zuständen des Affektlebens und der Funktion. Ein ausgezeichnetes Beispiel für die Plastizität des Seelenlebens gibt der Schlafzustand, den wir allnächtlich anstreben. Seitdem wir auch tolle und verworrene Träume zu übersetzen verstehen, wissen wir, daß wir mit jedem Einschlafen unsere mühsam erworbene Sittlichkeit wie ein Gewand von uns werfen – um es am Morgen wieder anzutun. Diese Entblößung ist natürlich ungefährlich, weil wir durch den Schlafzustand gelähmt, zur Inaktivität verurteilt sind. Nur der Traum kann von der Regression unseres Gefühlslebens auf eine der frühesten Entwicklungsstufen Kunde geben. So ist es z. B. bemerkenswert, daß alle unsere Träume von rein egoistischen Motiven beherrscht werden. Einer meiner englischen Freunde vertrat diesen Satz vor einer wissenschaftlichen Versammlung in Amerika, worauf ihm eine anwesende Dame die Bemerkung machte, das möge vielleicht für Österreich richtig sein, aber sie dürfe von sich und ihren Freunden behaupten, daß sie auch noch im Traume altruistisch fühlen. Mein Freund, obwohl selbst ein Angehöriger der englischen Rasse, mußte auf Grund seiner eigenen Erfahrungen in der Traumanalyse der Dame energisch widersprechen: Im Traume sei auch die edle Amerikanerin ebenso egoistisch wie der Österreicher.</w:t>
      </w:r>
    </w:p>
    <w:p w:rsidR="008725BE" w:rsidRPr="008725BE" w:rsidRDefault="008725BE" w:rsidP="008725BE">
      <w:pPr>
        <w:pStyle w:val="Sansinterligne"/>
        <w:rPr>
          <w:rFonts w:ascii="Garamond" w:hAnsi="Garamond"/>
          <w:lang w:val="en-GB"/>
        </w:rPr>
      </w:pPr>
      <w:r w:rsidRPr="008725BE">
        <w:rPr>
          <w:rFonts w:ascii="Garamond" w:hAnsi="Garamond"/>
          <w:lang w:val="en-GB"/>
        </w:rPr>
        <w:t>Es kann also auch die Triebumbildung, auf welcher unsere Kultureignung beruht, durch Einwirkungen des Lebens – dauernd oder zeitweilig – rückgängig gemacht werden. Ohne Zweifel gehören die Einflüsse des Krieges zu den Mächten, welche solche Rückbildung erzeugen können, und darum brauchen wir nicht allen jenen, die sich gegenwärtig unkulturell benehmen, die Kultureignung abzusprechen, und dürfen erwarten, daß sich ihre Triebveredlung in ruhigeren Zeiten wiederherstellen wird.</w:t>
      </w:r>
    </w:p>
    <w:p w:rsidR="008725BE" w:rsidRPr="008725BE" w:rsidRDefault="008725BE" w:rsidP="008725BE">
      <w:pPr>
        <w:pStyle w:val="Sansinterligne"/>
        <w:rPr>
          <w:rFonts w:ascii="Garamond" w:hAnsi="Garamond"/>
          <w:lang w:val="en-GB"/>
        </w:rPr>
      </w:pPr>
      <w:r w:rsidRPr="008725BE">
        <w:rPr>
          <w:rFonts w:ascii="Garamond" w:hAnsi="Garamond"/>
          <w:lang w:val="en-GB"/>
        </w:rPr>
        <w:t>Vielleicht hat uns aber ein anderes Symptom bei unseren Weltmitbürgern nicht weniger überrascht und geschreckt als das so schmerzlich empfundene Herabsinken von ihrer ethischen Höhe. Ich meine die Einsichtslosigkeit, die sich bei den besten Köpfen zeigt, ihre Verstocktheit, Unzugänglichkeit gegen die eindringlichsten Argumente, ihre kritiklose Leichtgläubigkeit für die anfechtbarsten Behauptungen. Dies ergibt freilich ein trauriges Bild, und ich will ausdrücklich betonen, daß ich keineswegs als verblendeter Parteigänger alle intellektuellen Verfehlungen nur auf einer der beiden Seiten finde. Allein diese Erscheinung ist noch leichter zu erklären und weit weniger bedenklich als die vorhin gewürdigte. Menschenkenner und Philosophen haben uns längst belehrt, daß wir Unrecht daran tun, unsere Intelligenz als selbständige Macht zu schätzen und ihre Abhängigkeit vom Gefühlsleben zu übersehen. Unser Intellekt könne nur verläßlich arbeiten, wenn er den Einwirkungen starker Gefühlsregungen entrückt sei; im gegenteiligen Falle benehme er sich einfach wie ein Instrument zuhanden eines Willens und liefere das Resultat, das ihm von diesem aufgetragen sei. Logische Argumente seien also ohnmächtig gegen affektive Interessen, und darum sei das Streiten mit Gründen, die nach Falstaffs Wort so gemein sind wie Brombeeren, in der Welt der Interessen so unfruchtbar. Die psychoanalytische Erfahrung hat diese Behauptung womöglich noch unterstrichen. Sie kann alle Tage zeigen, daß sich die scharfsinnigsten Menschen plötzlich einsichtslos wie Schwachsinnige benehmen, sobald die verlangte Einsicht einem Gefühlswiderstand bei ihnen begegnet, aber auch alles Verständnis wiedererlangen, wenn dieser Widerstand überwunden ist. Die logische Verblendung, die dieser Krieg oft gerade bei den besten unserer Mitbürger hervorgezaubert hat, ist also ein sekundäres Phänomen, eine Folge der Gefühlserregung, und hoffentlich dazu bestimmt, mit ihr zu verschwinden.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wir solcher Art unsere uns entfremdeten Mitbürger wieder verstehen, werden wir die Enttäuschung, die uns die Großindividuen der Menschheit, die Völker, bereitet haben, um vieles leichter ertragen, denn an diese dürfen wir nur weit bescheidenere Ansprüche stellen. Dieselben wiederholen vielleicht die Entwicklung der Individuen und treten uns heute noch auf sehr primitiven Stufen der Organisation, der Bildung höherer Einheiten, entgegen. Dementsprechend ist das erziehliche Moment des äußeren Zwanges zur Sittlichkeit, welches wir beim Einzelnen so wirksam fanden, bei ihnen noch kaum nachweisbar. Wir hatten zwar gehofft, daß die großartige, durch Verkehr und Produktion hergestellte Interessengemeinschaft den Anfang eines solchen Zwanges ergeben werde, allein es scheint, die Völker gehorchen ihren Leidenschaften derzeit weit mehr als ihren Interessen. Sie bedienen sich höchstens der Interessen, um die Leidenschaften zu </w:t>
      </w:r>
      <w:r w:rsidRPr="008725BE">
        <w:rPr>
          <w:rFonts w:ascii="Garamond" w:hAnsi="Garamond"/>
          <w:i/>
          <w:iCs/>
          <w:lang w:val="en-GB"/>
        </w:rPr>
        <w:t>rationalisieren</w:t>
      </w:r>
      <w:r w:rsidRPr="008725BE">
        <w:rPr>
          <w:rFonts w:ascii="Garamond" w:hAnsi="Garamond"/>
          <w:lang w:val="en-GB"/>
        </w:rPr>
        <w:t xml:space="preserve">; sie schieben ihre Interessen vor, um die Befriedigung ihrer Leidenschaften begründen zu können. Warum die Völkerindividuen einander eigentlich geringschätzen, hassen, verabscheuen, und zwar auch in Friedenszeiten, und jede Nation die andere, das ist freilich rätselhaft. Ich weiß es nicht zu sagen. Es ist in diesem Falle geradeso, als ob sich alle sittlichen </w:t>
      </w:r>
      <w:r w:rsidRPr="008725BE">
        <w:rPr>
          <w:rFonts w:ascii="Garamond" w:hAnsi="Garamond"/>
          <w:lang w:val="en-GB"/>
        </w:rPr>
        <w:lastRenderedPageBreak/>
        <w:t>Erwerbungen der Einzelnen auslöschten, wenn man eine Mehrheit oder gar Millionen Menschen zusammennimmt, und nur die primitivsten, ältesten und rohesten seelischen Einstellungen übrigblieben. An diesen bedauerlichen Verhältnissen werden vielleicht erst späte Entwicklungen etwas ändern können. Aber etwas mehr Wahrhaftigkeit und Aufrichtigkeit allerseits, in den Beziehungen der Menschen zueinander und zwischen ihnen und den sie Regierenden, dürfte auch für diese Umwandlung die Wege ebnen.</w:t>
      </w:r>
    </w:p>
    <w:p w:rsidR="008725BE" w:rsidRPr="008725BE" w:rsidRDefault="008725BE" w:rsidP="008725BE">
      <w:pPr>
        <w:pStyle w:val="Sansinterligne"/>
        <w:rPr>
          <w:rFonts w:ascii="Garamond" w:hAnsi="Garamond"/>
          <w:lang w:val="en-GB"/>
        </w:rPr>
      </w:pPr>
      <w:r w:rsidRPr="008725BE">
        <w:rPr>
          <w:rFonts w:ascii="Garamond" w:hAnsi="Garamond"/>
          <w:lang w:val="en-GB"/>
        </w:rPr>
        <w:t>II. Unser Verhältnis zum Tode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zweite Moment, von dem ich es ableite, daß wir uns so befremdet fühlen in dieser einst so schönen und trauten Welt, ist die Störung des bisher von uns festgehaltenen Verhältnisses zum Tode. Dies Verhältnis war kein aufrichtiges. Wenn man uns anhörte, so waren wir natürlich bereit zu vertreten, daß der Tod der notwendige Ausgang alles Lebens sei, daß jeder von uns der Natur einen Tod schulde und vorbereitet sein müsse, die Schuld zu bezahlen, kurz, daß der Tod natürlich sei, unableugbar und unvermeidlich. In Wirklichkeit pflegten wir uns aber zu benehmen, als ob es anders wäre. Wir haben die unverkennbare Tendenz gezeigt, den Tod beiseite zu schieben, ihn aus dem Leben zu eliminieren. Wir haben versucht, ihn totzuschweigen; wir besitzen ja auch das Sprichwort: man denke an etwas wie an den Tod. Wie an den eigenen natürlich. Der eigene Tod ist ja auch unvorstellbar, und sooft wir den Versuch dazu machen, können wir bemerken, daß wir eigentlich als Zuschauer weiter dabeibleiben. So konnte in der psychoanalytischen Schule der Ausspruch gewagt werden: im Grunde glaube niemand an seinen eigenen Tod oder, was dasselbe ist: im Unbewußten sei jeder von uns von seiner Unsterblichkeit überzeugt. Was den Tod eines anderen betrifft, so wird der Kulturmensch es sorgfältig vermeiden, von dieser Möglichkeit zu sprechen, wenn der zum Tode Bestimmte es hören kann. Nur Kinder setzen sich über diese Beschränkung hinweg; sie drohen einander ungescheut mit den Chancen des Sterbens und bringen es auch zustande, einer geliebten Person dergleichen ins Gesicht zu sagen, wie z. B.: »Liebe Mama, wenn du leider gestorben sein wirst, werde ich dies oder jenes.« Der erwachsene Kultivierte wird den Tod eines anderen auch nicht gern in seine Gedanken einsetzen, ohne sich hart oder böse zu erscheinen; es sei denn, daß er berufsmäßig als Arzt, Advokat u. dgl. mit dem Tode zu tun habe. Am wenigsten wird er sich gestatten, an den Tod des anderen zu denken, wenn mit diesem Ereignis ein Gewinn an Freiheit, Besitz, Stellung verbunden ist. Natürlich lassen sich Todesfälle durch dies unser Zartgefühl nicht zurückhalten; wenn sie sich ereignet haben, sind wir jedesmal tief ergriffen und wie in unseren Erwartungen erschüttert. Wir betonen regelmäßig die zufällige Veranlassung des Todes, den Unfall, die Erkrankung, die Infektion, das hohe Alter, und verraten so unser Bestreben, den Tod von einer Notwendigkeit zu einer Zufälligkeit herabzudrücken. Eine Häufung von Todesfällen erscheint uns als etwas überaus Schreckliches. Dem Verstorbenen selbst bringen wir ein besonderes Verhalten entgegen, fast wie eine Bewunderung für einen, der etwas sehr Schwieriges zustande gebracht hat. Wir stellen die Kritik gegen ihn ein, sehen ihm sein etwaiges Unrecht nach, geben den Befehl aus: </w:t>
      </w:r>
      <w:r w:rsidRPr="008725BE">
        <w:rPr>
          <w:rFonts w:ascii="Garamond" w:hAnsi="Garamond"/>
          <w:i/>
          <w:iCs/>
          <w:lang w:val="en-GB"/>
        </w:rPr>
        <w:t>De mortuis nil nisi bene</w:t>
      </w:r>
      <w:r w:rsidRPr="008725BE">
        <w:rPr>
          <w:rFonts w:ascii="Garamond" w:hAnsi="Garamond"/>
          <w:lang w:val="en-GB"/>
        </w:rPr>
        <w:t>, und finden es gerechtfertigt, daß man ihm in der Leichenrede und auf dem Grabsteine das Vorteilhafteste nachrühmt. Die Rücksicht auf den Toten, deren er doch nicht mehr bedarf, steht uns über der Wahrheit, den meisten von uns gewiß auch über der Rücksicht für den Lebenden.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 kulturell-konventionelle Einstellung gegen den Tod ergänzt sich nun durch unseren völligen Zusammenbruch, wenn das Sterben eine der uns nahestehenden Personen, einen Eltern- oder Gattenteil, ein Geschwister, Kind oder teuren Freund getroffen hat. Wir begraben mit ihm unsere Hoffnungen, Ansprüche, Genüsse, lassen uns nicht trösten und weigern uns, den Verlorenen zu ersetzen. Wir benehmen uns dann wie eine Art von Asra, welche </w:t>
      </w:r>
      <w:r w:rsidRPr="008725BE">
        <w:rPr>
          <w:rFonts w:ascii="Garamond" w:hAnsi="Garamond"/>
          <w:i/>
          <w:iCs/>
          <w:lang w:val="en-GB"/>
        </w:rPr>
        <w:t>mitsterben, wenn die sterben, die sie lieben</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 unser Verhältnis zum Tode hat aber eine starke Wirkung auf unser Leben. Das Leben verarmt, es verliert an Interesse, wenn der höchste Einsatz in den Lebensspielen, eben das Leben selbst, nicht gewagt werden darf. Es wird so schal, gehaltlos wie etwa ein amerikanischer Flirt, bei dem es von vornherein feststeht, daß nichts vorfallen darf, zum Unterschied von einer kontinentalen Liebesbeziehung, bei welcher beide Partner stets der ernsten Konsequenzen eingedenk bleiben müssen. Unsere Gefühlsbindungen, die unerträgliche Intensität unserer Trauer, machen uns abgeneigt, für uns und die unserigen Gefahren aufzusuchen. Wir getrauen uns nicht, eine Anzahl von Unternehmungen in Betracht zu ziehen, die gefährlich, aber eigentlich unerläßlich sind wie Flugversuche, Expeditionen in ferne Länder, Experimente mit explodierbaren Substanzen. Uns lähmt dabei das Bedenken, wer der Mutter den Sohn, der Gattin den Mann, den Kindern den Vater ersetzen soll, wenn ein Unglück geschieht. Die Neigung, den Tod aus der Lebensrechnung auszuschließen, hat so viele andere Verzichte und Ausschließungen im Gefolge. Und doch hat der Wahlspruch der Hansa gelautet: </w:t>
      </w:r>
      <w:r w:rsidRPr="008725BE">
        <w:rPr>
          <w:rFonts w:ascii="Garamond" w:hAnsi="Garamond"/>
          <w:i/>
          <w:iCs/>
          <w:lang w:val="en-GB"/>
        </w:rPr>
        <w:t>Navigare necesse est, vivere non necesse!</w:t>
      </w:r>
      <w:r w:rsidRPr="008725BE">
        <w:rPr>
          <w:rFonts w:ascii="Garamond" w:hAnsi="Garamond"/>
          <w:lang w:val="en-GB"/>
        </w:rPr>
        <w:t xml:space="preserve"> Seefahren muß man, leben muß man nicht.</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Es kann dann nicht anders kommen, als daß wir in der Welt der Fiktion, in der Literatur, im Theater Ersatz suchen für die Einbuße des Lebens. Dort finden wir noch Menschen, die zu sterben verstehen, ja, die es auch zustande bringen, einen anderen zu töten. Dort allein erfüllt sich uns auch die Bedingung, unter welcher wir uns mit dem Tode versöhnen könnten, wenn wir nämlich hinter allen Wechselfällen des Lebens noch ein unantastbares Leben übrigbehielten. Es ist doch zu traurig, daß es im Leben zugehen kann wie im Schachspiel, wo ein falscher Zug uns zwingen kann, die Partie verloren zu geben, mit dem Unterschiede aber, daß wir keine zweite, keine Revanchepartie beginnen können. Auf dem Gebiete der Fiktion finden wir jene Mehrheit von Leben, deren wir bedürfen. Wir sterben in der Identifizierung mit dem einen Helden, überleben ihn aber doch und sind bereit, ebenso ungeschädigt ein zweites Mal mit einem anderen Helden zu sterben.</w:t>
      </w:r>
    </w:p>
    <w:p w:rsidR="008725BE" w:rsidRPr="008725BE" w:rsidRDefault="008725BE" w:rsidP="008725BE">
      <w:pPr>
        <w:pStyle w:val="Sansinterligne"/>
        <w:rPr>
          <w:rFonts w:ascii="Garamond" w:hAnsi="Garamond"/>
          <w:lang w:val="en-GB"/>
        </w:rPr>
      </w:pPr>
      <w:r w:rsidRPr="008725BE">
        <w:rPr>
          <w:rFonts w:ascii="Garamond" w:hAnsi="Garamond"/>
          <w:lang w:val="en-GB"/>
        </w:rPr>
        <w:t>Es ist evident, daß der Krieg diese konventionelle Behandlung des Todes hinwegfegen muß. Der Tod läßt sich jetzt nicht mehr verleugnen; man muß an ihn glauben. Die Menschen sterben wirklich, auch nicht mehr einzeln, sondern viele, oft Zehntausende an einem Tage. Es ist auch kein Zufall mehr. Es scheint freilich noch zufällig, ob diese Kugel den einen trifft oder den anderen; aber diesen anderen mag leicht eine zweite Kugel treffen, die Häufung macht dem Eindruck des Zufälligen ein Ende. Das Leben ist freilich wieder interessant geworden, es hat seinen vollen Inhalt wiederbekommen.</w:t>
      </w:r>
    </w:p>
    <w:p w:rsidR="008725BE" w:rsidRPr="008725BE" w:rsidRDefault="008725BE" w:rsidP="008725BE">
      <w:pPr>
        <w:pStyle w:val="Sansinterligne"/>
        <w:rPr>
          <w:rFonts w:ascii="Garamond" w:hAnsi="Garamond"/>
          <w:lang w:val="en-GB"/>
        </w:rPr>
      </w:pPr>
      <w:r w:rsidRPr="008725BE">
        <w:rPr>
          <w:rFonts w:ascii="Garamond" w:hAnsi="Garamond"/>
          <w:lang w:val="en-GB"/>
        </w:rPr>
        <w:t>Man müßte hier eine Scheidung in zwei Gruppen vornehmen, diejenigen, die selbst im Kampfe ihr Leben preisgeben, trennen von den anderen, die zu Hause geblieben sind und nur zu erwarten haben, einen ihrer Lieben an den Tod durch Verletzung, Krankheit oder Infektion zu verlieren. Es wäre gewiß sehr interessant, die Veränderungen in der Psychologie der Kämpfer zu studieren, aber ich weiß zu wenig darüber. Wir müssen uns an die zweite Gruppe halten, zu der wir selbst gehören. Ich sagte schon, daß ich meine, die Verwirrung und die Lähmung unserer Leistungsfähigkeit, unter denen wir leiden, seien wesentlich mitbestimmt durch den Umstand, daß wir unser bisheriges Verhältnis zum Tode nicht aufrechthalten können und ein neues noch nicht gefunden haben. Vielleicht hilft es uns dazu, wenn wir unsere psychologische Untersuchung auf zwei andere Beziehungen zum Tode richten, auf jene, die wir dem Urmenschen, dem Menschen der Vorzeit, zuschreiben dürfen, und jene andere, die in jedem von uns noch erhalten ist, aber sich unsichtbar für unser Bewußtsein in tieferen Schichten unseres Seelenlebens verbirgt.</w:t>
      </w:r>
    </w:p>
    <w:p w:rsidR="008725BE" w:rsidRPr="008725BE" w:rsidRDefault="008725BE" w:rsidP="008725BE">
      <w:pPr>
        <w:pStyle w:val="Sansinterligne"/>
        <w:rPr>
          <w:rFonts w:ascii="Garamond" w:hAnsi="Garamond"/>
          <w:lang w:val="en-GB"/>
        </w:rPr>
      </w:pPr>
      <w:r w:rsidRPr="008725BE">
        <w:rPr>
          <w:rFonts w:ascii="Garamond" w:hAnsi="Garamond"/>
          <w:lang w:val="en-GB"/>
        </w:rPr>
        <w:t>Wie sich der Mensch der Vorzeit gegen den Tod verhalten, wissen wir natürlich nur durch Rückschlüsse und Konstruktionen, aber ich meine, daß diese Mittel uns ziemlich vertrauenswürdige Auskünfte ergeben haben.</w:t>
      </w:r>
    </w:p>
    <w:p w:rsidR="008725BE" w:rsidRPr="008725BE" w:rsidRDefault="008725BE" w:rsidP="008725BE">
      <w:pPr>
        <w:pStyle w:val="Sansinterligne"/>
        <w:rPr>
          <w:rFonts w:ascii="Garamond" w:hAnsi="Garamond"/>
          <w:lang w:val="en-GB"/>
        </w:rPr>
      </w:pPr>
      <w:r w:rsidRPr="008725BE">
        <w:rPr>
          <w:rFonts w:ascii="Garamond" w:hAnsi="Garamond"/>
          <w:lang w:val="en-GB"/>
        </w:rPr>
        <w:t>Der Urmensch hat sich in sehr merkwürdiger Weise zum Tode eingestellt. Gar nicht einheitlich, vielmehr recht widerspruchsvoll. Er hat einerseits den Tod ernst genommen, ihn als Aufhebung des Lebens anerkannt und sich seiner in diesem Sinne bedient, anderseits aber auch den Tod geleugnet, ihn zu nichts herabgedrückt. Dieser Widerspruch wurde durch den Umstand ermöglicht, daß er zum Tode des anderen, des Fremden, des Feindes, eine radikal andere Stellung einnahm als zu seinem eigenen. Der Tod des anderen war ihm recht, galt ihm als Vernichtung des Verhaßten, und der Urmensch kannte kein Bedenken, ihn herbeizuführen. Er war gewiß ein sehr leidenschaftliches Wesen, grausamer und bösartiger als andere Tiere. Er mordete gerne und wie selbstverständlich. Den Instinkt, der andere Tiere davon abhalten soll, Wesen der gleichen Art zu töten und zu verzehren, brauchen wir ihm nicht zuzuschreiben.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Urgeschichte der Menschheit ist denn auch vom Morde erfüllt. Noch heute ist das, was unsere Kinder in der Schule als Weltgeschichte lernen, im wesentlichen eine Reihenfolge von Völkermorden. Das dunkle Schuldgefühl, unter dem die Menschheit seit Urzeiten steht, das sich in manchen Religionen zur Annahme einer </w:t>
      </w:r>
      <w:r w:rsidRPr="008725BE">
        <w:rPr>
          <w:rFonts w:ascii="Garamond" w:hAnsi="Garamond"/>
          <w:i/>
          <w:iCs/>
          <w:lang w:val="en-GB"/>
        </w:rPr>
        <w:t>Urschuld</w:t>
      </w:r>
      <w:r w:rsidRPr="008725BE">
        <w:rPr>
          <w:rFonts w:ascii="Garamond" w:hAnsi="Garamond"/>
          <w:lang w:val="en-GB"/>
        </w:rPr>
        <w:t xml:space="preserve">, einer Erbsünde, verdichtet hat, ist wahrscheinlich der Ausdruck einer Blutschuld, mit welcher sich die urzeitliche Menschheit beladen hat. Ich habe in meinem Buche </w:t>
      </w:r>
      <w:r w:rsidRPr="008725BE">
        <w:rPr>
          <w:rFonts w:ascii="Garamond" w:hAnsi="Garamond"/>
          <w:i/>
          <w:iCs/>
          <w:lang w:val="en-GB"/>
        </w:rPr>
        <w:t>Totem und Tabu</w:t>
      </w:r>
      <w:r w:rsidRPr="008725BE">
        <w:rPr>
          <w:rFonts w:ascii="Garamond" w:hAnsi="Garamond"/>
          <w:lang w:val="en-GB"/>
        </w:rPr>
        <w:t xml:space="preserve"> (1912–13), den Winken von W. Robertson Smith, Atkinson und Ch. Darwin folgend, die Natur dieser alten Schuld erraten wollen und meine, daß noch die heutige christliche Lehre uns den Rückschluß auf sie ermöglicht. Wenn Gottes Sohn sein Leben opfern mußte, um die Menschheit von der Erbsünde zu erlösen, so muß nach der Regel der Talion, der Vergeltung durch Gleiches, diese Sünde eine Tötung, ein Mord gewesen sein. </w:t>
      </w:r>
      <w:r w:rsidRPr="008725BE">
        <w:rPr>
          <w:rFonts w:ascii="Garamond" w:hAnsi="Garamond"/>
        </w:rPr>
        <w:t xml:space="preserve">Nur dies konnte zu seiner Sühne das Opfer eines Lebens erfordern. Und wenn die Erbsünde ein Verschulden gegen Gott-Vater war, so muß das älteste Verbrechen der Menschheit ein Vatermord gewesen sein, die Tötung des Urvaters der primitiven Menschenhorde, dessen Erinnerungsbild später zur Gottheit verklärt wurde </w:t>
      </w:r>
      <w:hyperlink r:id="rId924" w:anchor="#" w:history="1">
        <w:r w:rsidRPr="008725BE">
          <w:rPr>
            <w:rStyle w:val="fusslink"/>
            <w:rFonts w:ascii="Garamond" w:hAnsi="Garamond" w:cs="Arial"/>
            <w:b/>
            <w:bCs/>
            <w:color w:val="003399"/>
          </w:rPr>
          <w:t>[Fußnote]</w:t>
        </w:r>
        <w:r w:rsidRPr="008725BE">
          <w:rPr>
            <w:rStyle w:val="innerfusslink3"/>
            <w:rFonts w:ascii="Garamond" w:hAnsi="Garamond" w:cs="Arial"/>
            <w:b/>
            <w:bCs/>
          </w:rPr>
          <w:t xml:space="preserve">Vgl. </w:t>
        </w:r>
        <w:r w:rsidRPr="008725BE">
          <w:rPr>
            <w:rStyle w:val="innerfusslink3"/>
            <w:rFonts w:ascii="Garamond" w:hAnsi="Garamond" w:cs="Arial"/>
            <w:b/>
            <w:bCs/>
            <w:lang w:val="en-GB"/>
          </w:rPr>
          <w:t xml:space="preserve">›Die infantile Wiederkehr des Totemismus‹ (die letzte Abhandlung in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eigene Tod war dem Urmenschen gewiß ebenso unvorstellbar und unwirklich wie heute noch jedem von uns. Es ergab sich aber für ihn ein Fall, in dem die beiden gegensätzlichen Einstellungen zum Tode </w:t>
      </w:r>
      <w:r w:rsidRPr="008725BE">
        <w:rPr>
          <w:rFonts w:ascii="Garamond" w:hAnsi="Garamond"/>
          <w:lang w:val="en-GB"/>
        </w:rPr>
        <w:lastRenderedPageBreak/>
        <w:t xml:space="preserve">zusammenstießen und in Konflikt miteinander gerieten, und dieser Fall wurde sehr bedeutsam und reich an fernwirkenden Folgen. Er ereignete sich, wenn der Urmensch einen seiner Angehörigen sterben sah, sein Weib, sein Kind, seinen Freund, die er sicherlich ähnlich liebte wie wir die unseren, denn die Liebe kann nicht um vieles jünger sein als die Mordlust. Da mußte er in seinem Schmerz die Erfahrung machen, daß man auch selbst sterben könne, und sein ganzes Wesen empörte sich gegen dieses Zugeständnis; jeder dieser Lieben war ja doch ein Stück seines eigenen geliebten Ichs. Anderseits war ihm ein solcher Tod doch auch recht, denn in jeder der geliebten Personen stak auch ein Stück Fremdheit. Das Gesetz der Gefühlsambivalenz, das heute noch unsere Gefühlsbeziehungen zu den von uns geliebtesten Personen beherrscht, galt in Urzeiten gewiß noch uneingeschränkter. Somit waren diese geliebten Verstorbenen doch auch Fremde und Feinde gewesen, die einen Anteil von feindseligen Gefühlen bei ihm hervorgerufen hatten </w:t>
      </w:r>
      <w:hyperlink r:id="rId92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Siehe ›Tabu und Ambivalenz‹ (die zweite Abhandlung in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Die Philosophen haben behauptet, das intellektuelle Rätsel, welches das Bild des Todes dem Urmenschen aufgab, habe sein Nachdenken erzwungen und sei der Ausgang jeder Spekulation geworden. Ich glaube, die Philosophen denken da zu – philosophisch, nehmen zu wenig Rücksicht auf die primär wirksamen Motive. Ich möchte darum die obige Behauptung einschränken und korrigieren: An der Leiche des erschlagenen Feindes wird der Urmensch triumphiert haben, ohne einen Anlaß zu finden, sich den Kopf über die Rätsel des Lebens und Todes zu zerbrechen. Nicht das intellektuelle Rätsel und nicht jeder Todesfall, sondern der Gefühlskonflikt beim Tode geliebter und dabei doch auch fremder und gehaßter Personen hat die Forschung der Menschen entbunden. Aus diesem Gefühlskonflikt wurde zunächst die Psychologie geboren. Der Mensch konnte den Tod nicht mehr von sich fernehalten, da er ihn in dem Schmerz um den Verstorbenen verkostet hatte, aber er wollte ihn doch nicht zugestehen, da er sich selbst nicht tot vorstellen konnte. So ließ er sich auf Kompromisse ein, gab den Tod auch für sich zu, bestritt ihm aber die Bedeutung der Lebensvernichtung, wofür ihm beim Tode des Feindes jedes Motiv gefehlt hatte. An der Leiche der geliebten Person ersann er die Geister, und sein Schuldbewußtsein ob der Befriedigung, die der Trauer beigemengt war, bewirkte, daß diese erstgeschaffenen Geister böse Dämonen wurden, vor denen man sich ängstigen mußte. Die Veränderungen des Todes legten ihm die Zerlegung des Individuums in einen Leib und in eine – ursprünglich mehrere – Seelen nahe; in solcher Weise ging sein Gedankengang dem Zersetzungsprozeß, den der Tod einleitet, parallel. Die fortdauernde Erinnerung an den Verstorbenen wurde die Grundlage der Annahme anderer Existenzformen, gab ihm die Idee eines Fortlebens nach dem anscheinenden Tode.</w:t>
      </w:r>
    </w:p>
    <w:p w:rsidR="008725BE" w:rsidRPr="008725BE" w:rsidRDefault="008725BE" w:rsidP="008725BE">
      <w:pPr>
        <w:pStyle w:val="Sansinterligne"/>
        <w:rPr>
          <w:rFonts w:ascii="Garamond" w:hAnsi="Garamond"/>
          <w:lang w:val="en-GB"/>
        </w:rPr>
      </w:pPr>
      <w:r w:rsidRPr="008725BE">
        <w:rPr>
          <w:rFonts w:ascii="Garamond" w:hAnsi="Garamond"/>
          <w:lang w:val="en-GB"/>
        </w:rPr>
        <w:t>Diese späteren Existenzen waren anfänglich nur Anhängsel an die durch den Tod abgeschlossene, schattenhaft, inhaltsleer und bis in späte Zeiten hinauf geringgeschätzt; sie trugen noch den Charakter kümmerlicher Auskünfte. Wir erinnern, was die Seele des Achilleus dem Odysseus erwidert: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»Denn dich Lebenden einst verehrten wir, gleich den Göttern, </w:t>
      </w:r>
      <w:r w:rsidRPr="008725BE">
        <w:rPr>
          <w:rFonts w:ascii="Garamond" w:hAnsi="Garamond"/>
          <w:lang w:val="en-GB"/>
        </w:rPr>
        <w:br/>
        <w:t xml:space="preserve">Argos Söhn'; und jetzo gebietest du mächtig den Geistern, </w:t>
      </w:r>
      <w:r w:rsidRPr="008725BE">
        <w:rPr>
          <w:rFonts w:ascii="Garamond" w:hAnsi="Garamond"/>
          <w:lang w:val="en-GB"/>
        </w:rPr>
        <w:br/>
        <w:t xml:space="preserve">Wohnend allhier. Drum laß dich den Tod nicht reuen, Achilleus.« </w:t>
      </w:r>
      <w:r w:rsidRPr="008725BE">
        <w:rPr>
          <w:rFonts w:ascii="Garamond" w:hAnsi="Garamond"/>
          <w:lang w:val="en-GB"/>
        </w:rPr>
        <w:br/>
        <w:t xml:space="preserve">Also ich selbst; und sogleich antwortet' er, solches erwidernd: </w:t>
      </w:r>
      <w:r w:rsidRPr="008725BE">
        <w:rPr>
          <w:rFonts w:ascii="Garamond" w:hAnsi="Garamond"/>
          <w:lang w:val="en-GB"/>
        </w:rPr>
        <w:br/>
        <w:t xml:space="preserve">»Nicht mir rede vom Tod ein Trostwort, edler Odysseus! </w:t>
      </w:r>
      <w:r w:rsidRPr="008725BE">
        <w:rPr>
          <w:rFonts w:ascii="Garamond" w:hAnsi="Garamond"/>
          <w:lang w:val="en-GB"/>
        </w:rPr>
        <w:br/>
        <w:t xml:space="preserve">Lieber ja wollt' ich das Feld als Tagelöhner bestellen </w:t>
      </w:r>
      <w:r w:rsidRPr="008725BE">
        <w:rPr>
          <w:rFonts w:ascii="Garamond" w:hAnsi="Garamond"/>
          <w:lang w:val="en-GB"/>
        </w:rPr>
        <w:br/>
        <w:t xml:space="preserve">Einem dürftigen Mann, ohn' Erb' und eigenen Wohlstand, </w:t>
      </w:r>
      <w:r w:rsidRPr="008725BE">
        <w:rPr>
          <w:rFonts w:ascii="Garamond" w:hAnsi="Garamond"/>
          <w:lang w:val="en-GB"/>
        </w:rPr>
        <w:br/>
        <w:t xml:space="preserve">Als die sämtliche Schar der geschwundenen Toten beherrschen.« </w:t>
      </w:r>
      <w:r w:rsidRPr="008725BE">
        <w:rPr>
          <w:rFonts w:ascii="Garamond" w:hAnsi="Garamond"/>
          <w:lang w:val="en-GB"/>
        </w:rPr>
        <w:br/>
        <w:t xml:space="preserve">                                                        ( </w:t>
      </w:r>
      <w:r w:rsidRPr="008725BE">
        <w:rPr>
          <w:rFonts w:ascii="Garamond" w:hAnsi="Garamond"/>
          <w:i/>
          <w:iCs/>
          <w:lang w:val="en-GB"/>
        </w:rPr>
        <w:t>Odyssee</w:t>
      </w:r>
      <w:r w:rsidRPr="008725BE">
        <w:rPr>
          <w:rFonts w:ascii="Garamond" w:hAnsi="Garamond"/>
          <w:lang w:val="en-GB"/>
        </w:rPr>
        <w:t xml:space="preserve"> XI, Verse 484–491.)</w:t>
      </w:r>
    </w:p>
    <w:p w:rsidR="008725BE" w:rsidRPr="008725BE" w:rsidRDefault="008725BE" w:rsidP="008725BE">
      <w:pPr>
        <w:pStyle w:val="Sansinterligne"/>
        <w:rPr>
          <w:rFonts w:ascii="Garamond" w:hAnsi="Garamond"/>
          <w:lang w:val="en-GB"/>
        </w:rPr>
      </w:pPr>
      <w:r w:rsidRPr="008725BE">
        <w:rPr>
          <w:rFonts w:ascii="Garamond" w:hAnsi="Garamond"/>
          <w:lang w:val="en-GB"/>
        </w:rPr>
        <w:t>Oder in der kraftvollen, bitter-parodistischen Fassung von H. Heine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kleinste lebendige Philister </w:t>
      </w:r>
      <w:r w:rsidRPr="008725BE">
        <w:rPr>
          <w:rFonts w:ascii="Garamond" w:hAnsi="Garamond"/>
          <w:lang w:val="en-GB"/>
        </w:rPr>
        <w:br/>
        <w:t xml:space="preserve">Zu Stuckert am Neckar, viel glücklicher ist er, </w:t>
      </w:r>
      <w:r w:rsidRPr="008725BE">
        <w:rPr>
          <w:rFonts w:ascii="Garamond" w:hAnsi="Garamond"/>
          <w:lang w:val="en-GB"/>
        </w:rPr>
        <w:br/>
        <w:t xml:space="preserve">Als ich, der Pelide, der tote Held, </w:t>
      </w:r>
      <w:r w:rsidRPr="008725BE">
        <w:rPr>
          <w:rFonts w:ascii="Garamond" w:hAnsi="Garamond"/>
          <w:lang w:val="en-GB"/>
        </w:rPr>
        <w:br/>
        <w:t>Der Schattenfürst in der Unterwelt.</w:t>
      </w:r>
    </w:p>
    <w:p w:rsidR="008725BE" w:rsidRPr="008725BE" w:rsidRDefault="008725BE" w:rsidP="008725BE">
      <w:pPr>
        <w:pStyle w:val="Sansinterligne"/>
        <w:rPr>
          <w:rFonts w:ascii="Garamond" w:hAnsi="Garamond"/>
          <w:lang w:val="en-GB"/>
        </w:rPr>
      </w:pPr>
      <w:r w:rsidRPr="008725BE">
        <w:rPr>
          <w:rFonts w:ascii="Garamond" w:hAnsi="Garamond"/>
          <w:lang w:val="en-GB"/>
        </w:rPr>
        <w:t>Erst später brachten es die Religionen zustande, diese Nachexistenz für die wertvollere, vollgültige auszugeben und das durch den Tod abgeschlossene Leben zu einer bloßen Vorbereitung herabzudrücken. Es war dann nur konsequent, wenn man auch das Leben in die Vergangenheit verlängerte, die früheren Existenzen, die Seelenwanderung und Wiedergeburt ersann, alles in der Absicht, dem Tode seine Bedeutung als Aufhebung des Lebens zu rauben. So frühzeitig hat die Verleugnung des Todes, die wir als konventionell-kulturell bezeichnet haben, ihren Anfang genommen.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An der Leiche der geliebten Person entstanden nicht nur die Seelenlehre, der Unsterblichkeitsglaube und eine mächtige Wurzel des menschlichen Schuldbewußtseins, sondern auch die ersten ethischen Gebote. </w:t>
      </w:r>
      <w:r w:rsidRPr="008725BE">
        <w:rPr>
          <w:rFonts w:ascii="Garamond" w:hAnsi="Garamond"/>
          <w:lang w:val="en-GB"/>
        </w:rPr>
        <w:lastRenderedPageBreak/>
        <w:t xml:space="preserve">Das erste und bedeutsamste Verbot des erwachenden Gewissens lautete: </w:t>
      </w:r>
      <w:r w:rsidRPr="008725BE">
        <w:rPr>
          <w:rFonts w:ascii="Garamond" w:hAnsi="Garamond"/>
          <w:i/>
          <w:iCs/>
          <w:lang w:val="en-GB"/>
        </w:rPr>
        <w:t>Du sollst nicht töten</w:t>
      </w:r>
      <w:r w:rsidRPr="008725BE">
        <w:rPr>
          <w:rFonts w:ascii="Garamond" w:hAnsi="Garamond"/>
          <w:lang w:val="en-GB"/>
        </w:rPr>
        <w:t>. Es war als Reaktion gegen die hinter der Trauer versteckte Haßbefriedigung am geliebten Toten gewonnen worden und wurde allmählich auf den ungeliebten Fremden und endlich auch auf den Feind ausgedehnt.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An letzterer Stelle wird es vom Kulturmenschen nicht mehr verspürt. Wenn das wilde Ringen dieses Krieges seine Entscheidung gefunden hat, wird jeder der siegreichen Kämpfer froh in sein Heim zurückkehren, zu seinem Weibe und Kindern, unverweilt und ungestört durch Gedanken an die Feinde, die er im Nahkampfe oder durch die fernwirkende Waffe getötet hat. Es ist bemerkenswert, daß sich die primitiven Völker, die noch auf der Erde leben und dem Urmenschen gewiß näher stehen als wir, in diesem Punkte anders verhalten – oder verhalten haben, solange sie noch nicht den Einfluß unserer Kultur erfahren hatten. Der Wilde – Australier, Buschmann, Feuerländer – ist keineswegs ein reueloser Mörder; wenn er als Sieger vom Kriegspfade heimkehrt, darf er sein Dorf nicht betreten und sein Weib nicht berühren, ehe er seine kriegerischen Mordtaten durch oft langwierige und mühselige Bußen gesühnt hat. Natürlich liegt die Erklärung aus seinem Aberglauben nahe; der Wilde fürchtet noch die Geisterrache der Erschlagenen. Aber die Geister der erschlagenen Feinde sind nichts anderes als der Ausdruck seines bösen Gewissens ob seiner Blutschuld; hinter diesem Aberglauben verbirgt sich ein Stück ethischer Feinfühligkeit, welches uns Kulturmenschen verlorengegangen ist </w:t>
      </w:r>
      <w:hyperlink r:id="rId92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Fromme Seelen, welche unser Wesen gerne von der Berührung mit Bösem und Gemeinem ferne wissen möchten, werden gewiß nicht versäumen, aus der Frühzeitigkeit und Eindringlichkeit des Mordverbotes befriedigende Schlüsse zu ziehen auf die Stärke ethischer Regungen, welche uns eingepflanzt sein müssen. Leider beweist dieses Argument noch mehr für das Gegenteil. Ein so starkes Verbot kann sich nur gegen einen ebenso starken Impuls richten. Was keines Menschen Seele begehrt, braucht man nicht zu verbieten </w:t>
      </w:r>
      <w:hyperlink r:id="rId92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die glänzende Argumentation von Frazer (Freud,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w:t>
        </w:r>
      </w:hyperlink>
      <w:r w:rsidRPr="008725BE">
        <w:rPr>
          <w:rFonts w:ascii="Garamond" w:hAnsi="Garamond"/>
          <w:lang w:val="en-GB"/>
        </w:rPr>
        <w:t>, es schließt sich von selbst aus. Gerade die Betonung des Gebotes: Du sollst nicht töten, macht uns sicher, daß wir von einer unendlich langen Generationsreihe von Mördern abstammen, denen die Mordlust, wie vielleicht noch uns selbst, im Blute lag. Die ethischen Strebungen der Menschheit, an deren Stärke und Bedeutsamkeit man nicht zu nörgeln braucht, sind ein Erwerb der Menschengeschichte; in leider sehr wechselndem Ausmaße sind sie dann zum ererbten Besitze der heute lebenden Menschheit geworden.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Verlassen wir nun den Urmenschen und wenden wir uns dem Unbewußten im eigenen Seelenleben zu. </w:t>
      </w:r>
      <w:r w:rsidRPr="008725BE">
        <w:rPr>
          <w:rFonts w:ascii="Garamond" w:hAnsi="Garamond"/>
        </w:rPr>
        <w:t xml:space="preserve">Wir fußen hier ganz auf der Untersuchungsmethode der Psychoanalyse, der einzigen, die in solche Tiefen reicht. Wir fragen: Wie verhält sich unser Unbewußtes zum Problem des Todes? Die Antwort muß lauten: fast genauso wie der Urmensch. </w:t>
      </w:r>
      <w:r w:rsidRPr="008725BE">
        <w:rPr>
          <w:rFonts w:ascii="Garamond" w:hAnsi="Garamond"/>
          <w:lang w:val="en-GB"/>
        </w:rPr>
        <w:t xml:space="preserve">In dieser wie in vielen anderen Hinsichten lebt der Mensch der Vorzeit ungeändert in unserem Unbewußten fort. Also unser Unbewußtes glaubt nicht an den eigenen Tod, es gebärdet sich wie unsterblich. Was wir unser »Unbewußtes« heißen, die tiefsten, aus Triebregungen bestehenden Schichten unserer Seele, kennt überhaupt nichts Negatives, keine Verneinung – Gegensätze fallen in ihm zusammen – und kennt darum auch nicht den eigenen Tod, dem wir nur einen negativen Inhalt geben können. Dem Todesglauben kommt also nichts Triebhaftes in uns entgegen. Vielleicht ist dies sogar das Geheimnis des Heldentums. Die rationelle Begründung des Heldentums ruht auf dem Urteile, daß das eigene Leben nicht so wertvoll sein kann wie gewisse abstrakte und allgemeine Güter. Aber ich meine, häufiger dürfte das instinktive und impulsive Heldentum sein, welches von solcher Motivierung absieht und einfach nach der Zusicherung des Anzengruberschen Steinklopferhanns: » </w:t>
      </w:r>
      <w:r w:rsidRPr="008725BE">
        <w:rPr>
          <w:rFonts w:ascii="Garamond" w:hAnsi="Garamond"/>
          <w:i/>
          <w:iCs/>
          <w:lang w:val="en-GB"/>
        </w:rPr>
        <w:t>Es kann dir nix g'scheh'n</w:t>
      </w:r>
      <w:r w:rsidRPr="008725BE">
        <w:rPr>
          <w:rFonts w:ascii="Garamond" w:hAnsi="Garamond"/>
          <w:lang w:val="en-GB"/>
        </w:rPr>
        <w:t>«, den Gefahren trotzt. Oder jene Motivierung dient nur dazu, die Bedenken wegzuräumen, welche die dem Unbewußten entsprechende heldenhafte Reaktion hintanhalten können. Die Todesangst, unter deren Herrschaft wir häufiger stehen, als wir selbst wissen, ist dagegen etwas Sekundäres und meist aus Schuldbewußtsein hervorgegangen.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Anderseits anerkennen wir den Tod für Fremde und Feinde und verhängen ihn über sie ebenso bereitwillig und unbedenklich wie der Urmensch. Hier zeigt sich freilich ein Unterschied, den man in der Wirklichkeit für entscheidend erklären wird. Unser Unbewußtes führt die Tötung nicht aus, es denkt und wünscht sie bloß. Aber es wäre unrecht, diese </w:t>
      </w:r>
      <w:r w:rsidRPr="008725BE">
        <w:rPr>
          <w:rFonts w:ascii="Garamond" w:hAnsi="Garamond"/>
          <w:i/>
          <w:iCs/>
          <w:lang w:val="en-GB"/>
        </w:rPr>
        <w:t>psychische</w:t>
      </w:r>
      <w:r w:rsidRPr="008725BE">
        <w:rPr>
          <w:rFonts w:ascii="Garamond" w:hAnsi="Garamond"/>
          <w:lang w:val="en-GB"/>
        </w:rPr>
        <w:t xml:space="preserve"> Realität im Vergleiche zur </w:t>
      </w:r>
      <w:r w:rsidRPr="008725BE">
        <w:rPr>
          <w:rFonts w:ascii="Garamond" w:hAnsi="Garamond"/>
          <w:i/>
          <w:iCs/>
          <w:lang w:val="en-GB"/>
        </w:rPr>
        <w:t>faktischen</w:t>
      </w:r>
      <w:r w:rsidRPr="008725BE">
        <w:rPr>
          <w:rFonts w:ascii="Garamond" w:hAnsi="Garamond"/>
          <w:lang w:val="en-GB"/>
        </w:rPr>
        <w:t xml:space="preserve"> so ganz zu unterschätzen. Sie ist bedeutsam und folgenschwer genug. Wir beseitigen in unseren unbewußten Regungen täglich und stündlich alle, die uns im Wege stehen, die uns beleidigt und geschädigt haben. Das »Hol' ihn der Teufel«, das sich so häufig in scherzendem Unmute über unsere Lippen drängt und das eigentlich sagen will: »Hol' ihn der Tod«, in unserem Unbewußten ist es ernsthafter, kraftvoller Todeswunsch. Ja, unser Unbewußtes mordet selbst für Kleinigkeiten; wie die alte athenische Gesetzgebung des Drakon kennt es für Verbrechen keine andere Strafe als den Tod, und dies mit einer gewissen Konsequenz, denn jede Schädigung unseres allmächtigen und selbstherrlichen Ichs ist im Grunde ein </w:t>
      </w:r>
      <w:r w:rsidRPr="008725BE">
        <w:rPr>
          <w:rFonts w:ascii="Garamond" w:hAnsi="Garamond"/>
          <w:i/>
          <w:iCs/>
          <w:lang w:val="en-GB"/>
        </w:rPr>
        <w:t>crimen laesae majestatis</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xml:space="preserve">So sind wir auch selbst, wenn man uns nach unseren unbewußten Wunschregungen beurteilt, wie die Urmenschen eine Rotte von Mördern. Es ist ein Glück, daß alle diese Wünsche nicht die Kraft besitzen, die ihnen die Menschen in Urzeiten noch zutrauten </w:t>
      </w:r>
      <w:hyperlink r:id="rId92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über »Allmacht der Gedanken« in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w:t>
        </w:r>
      </w:hyperlink>
      <w:r w:rsidRPr="008725BE">
        <w:rPr>
          <w:rFonts w:ascii="Garamond" w:hAnsi="Garamond"/>
          <w:lang w:val="en-GB"/>
        </w:rPr>
        <w:t>; in dem Kreuzfeuer der gegenseitigen Verwünschungen wäre die Menschheit längst zugrunde gegangen, die besten und weisesten der Männer darunter wie die schönsten und holdesten der Frauen.</w:t>
      </w:r>
    </w:p>
    <w:p w:rsidR="008725BE" w:rsidRPr="008725BE" w:rsidRDefault="008725BE" w:rsidP="008725BE">
      <w:pPr>
        <w:pStyle w:val="Sansinterligne"/>
        <w:rPr>
          <w:rFonts w:ascii="Garamond" w:hAnsi="Garamond"/>
          <w:lang w:val="en-GB"/>
        </w:rPr>
      </w:pPr>
      <w:r w:rsidRPr="008725BE">
        <w:rPr>
          <w:rFonts w:ascii="Garamond" w:hAnsi="Garamond"/>
        </w:rPr>
        <w:t xml:space="preserve">Mit Aufstellungen wie diesen findet die Psychoanalyse bei den Laien meist keinen Glauben. Man weist sie als Verleumdungen zurück, welche gegen die Versicherungen des Bewußtseins nicht in Betracht kommen, und übersieht geschickt die geringen Anzeichen, durch welche sich auch das Unbewußte dem Bewußtsein zu verraten pflegt. Es ist darum am Platze, daraufhinzuweisen, daß viele Denker, die nicht von der Psychoanalyse beeinflußt sein konnten, die Bereitschaft unserer stillen Gedanken, mit Hinwegsetzung über das Mordverbot zu beseitigen, was uns im Wege steht, deutlich genug angeklagt haben. </w:t>
      </w:r>
      <w:r w:rsidRPr="008725BE">
        <w:rPr>
          <w:rFonts w:ascii="Garamond" w:hAnsi="Garamond"/>
          <w:lang w:val="en-GB"/>
        </w:rPr>
        <w:t>Ich wähle hiefür ein einziges berühmt gewordenes Beispiel an Stelle vieler anderer: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Im </w:t>
      </w:r>
      <w:r w:rsidRPr="008725BE">
        <w:rPr>
          <w:rFonts w:ascii="Garamond" w:hAnsi="Garamond"/>
          <w:i/>
          <w:iCs/>
          <w:lang w:val="en-GB"/>
        </w:rPr>
        <w:t>Père Goriot</w:t>
      </w:r>
      <w:r w:rsidRPr="008725BE">
        <w:rPr>
          <w:rFonts w:ascii="Garamond" w:hAnsi="Garamond"/>
          <w:lang w:val="en-GB"/>
        </w:rPr>
        <w:t xml:space="preserve"> spielt Balzac auf eine Stelle in den Werken J. J. Rousseaus an, in welcher dieser Autor den Leser fragt, was er wohl tun würde, wenn er – ohne Paris zu verlassen und natürlich ohne entdeckt zu werden – einen alten Mandarin in Peking durch einen bloßen Willensakt töten könnte, dessen Ableben ihm einen großen Vorteil einbringen müßte. Er läßt erraten, daß er das Leben dieses Würdenträgers für nicht sehr gesichert hält. » </w:t>
      </w:r>
      <w:r w:rsidRPr="008725BE">
        <w:rPr>
          <w:rFonts w:ascii="Garamond" w:hAnsi="Garamond"/>
          <w:i/>
          <w:iCs/>
          <w:lang w:val="en-GB"/>
        </w:rPr>
        <w:t>Tuer son mandarin</w:t>
      </w:r>
      <w:r w:rsidRPr="008725BE">
        <w:rPr>
          <w:rFonts w:ascii="Garamond" w:hAnsi="Garamond"/>
          <w:lang w:val="en-GB"/>
        </w:rPr>
        <w:t>« ist dann sprichwörtlich geworden für diese geheime Bereitschaft auch der heutigen Menschen.</w:t>
      </w:r>
    </w:p>
    <w:p w:rsidR="008725BE" w:rsidRPr="008725BE" w:rsidRDefault="008725BE" w:rsidP="008725BE">
      <w:pPr>
        <w:pStyle w:val="Sansinterligne"/>
        <w:rPr>
          <w:rFonts w:ascii="Garamond" w:hAnsi="Garamond"/>
          <w:lang w:val="en-GB"/>
        </w:rPr>
      </w:pPr>
      <w:r w:rsidRPr="008725BE">
        <w:rPr>
          <w:rFonts w:ascii="Garamond" w:hAnsi="Garamond"/>
          <w:lang w:val="en-GB"/>
        </w:rPr>
        <w:t>Es gibt auch eine ganze Anzahl von zynischen Witzen und Anekdoten, welche nach derselben Richtung Zeugnis ablegen, wie z. B. die dem Ehemanne zugeschriebene Äußerung: »Wenn einer von uns beiden stirbt, übersiedle ich nach Paris.« Solche zynische Witze wären nicht möglich, wenn sie nicht eine verleugnete Wahrheit mitzuteilen hätten, zu der man sich nicht bekennen darf, wenn sie ernsthaft und unverhüllt ausgesprochen wird. Im Scherz darf man bekanntlich sogar die Wahrheit sagen.</w:t>
      </w:r>
    </w:p>
    <w:p w:rsidR="008725BE" w:rsidRPr="008725BE" w:rsidRDefault="008725BE" w:rsidP="008725BE">
      <w:pPr>
        <w:pStyle w:val="Sansinterligne"/>
        <w:rPr>
          <w:rFonts w:ascii="Garamond" w:hAnsi="Garamond"/>
          <w:lang w:val="en-GB"/>
        </w:rPr>
      </w:pPr>
      <w:r w:rsidRPr="008725BE">
        <w:rPr>
          <w:rFonts w:ascii="Garamond" w:hAnsi="Garamond"/>
          <w:lang w:val="en-GB"/>
        </w:rPr>
        <w:t>Wie für den Urmenschen, so ergibt sich auch für unser Unbewußtes ein Fall, in dem die beiden entgegengesetzten Einstellungen gegen den Tod, die eine, welche ihn als Lebensvernichtung anerkennt, und die andere, die ihn als unwirklich verleugnet, zusammenstoßen und in Konflikt geraten. Und dieser Fall ist der nämliche wie in der Urzeit, der Tod oder die Todesgefahr eines unserer Lieben, eines Eltern- oder Gattenteils, eines Geschwisters, Kindes oder lieben Freundes. Diese Lieben sind uns einerseits ein innerer Besitz, Bestandteile unseres eigenen Ichs, anderseits aber auch teilweise Fremde, ja Feinde. Den zärtlichsten und innigsten unserer Liebesbeziehungen hängt mit Ausnahme ganz weniger Situationen ein Stückchen Feindseligkeit an, welches den unbewußten Todeswunsch anregen kann. Aus diesem Ambivalenzkonflikt geht aber nicht wie dereinst die Seelenlehre und die Ethik hervor, sondern die Neurose, die uns tiefe Einblicke auch in das normale Seelenleben gestattet. Wie häufig haben die psychoanalytisch behandelnden Ärzte mit dem Symptom der überzärtlichen Sorge um das Wohl der Angehörigen oder mit völlig unbegründeten Selbstvorwürfen nach dem Tode einer geliebten Person zu tun gehabt. Das Studium dieser Vorfälle hat ihnen über die Verbreitung und Bedeutung der unbewußten Todeswünsche keinen Zweifel gelassen.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Laie empfindet ein außerordentliches Grauen vor dieser Gefühlsmöglichkeit und nimmt diese Abneigung als legitimen Grund zum Unglauben gegen die Behauptungen der Psychoanalyse. Ich meine mit Unrecht. Es wird keine Herabsetzung unseres Liebeslebens beabsichtigt, und es liegt auch keine solche vor. Unserem Verständnis wie unserer Empfindung liegt es freilich ferne, Liebe und Haß in solcher Weise miteinander zu verkoppeln, aber indem die Natur mit diesem Gegensatzpaar arbeitet, bringt sie es zustande, die Liebe immer wach und frisch zu erhalten, um sie gegen den hinter ihr lauernden Haß zu versichern. Man darf sagen, die schönsten Entfaltungen unseres Liebeslebens danken wir der </w:t>
      </w:r>
      <w:r w:rsidRPr="008725BE">
        <w:rPr>
          <w:rFonts w:ascii="Garamond" w:hAnsi="Garamond"/>
          <w:i/>
          <w:iCs/>
          <w:lang w:val="en-GB"/>
        </w:rPr>
        <w:t>Reaktion</w:t>
      </w:r>
      <w:r w:rsidRPr="008725BE">
        <w:rPr>
          <w:rFonts w:ascii="Garamond" w:hAnsi="Garamond"/>
          <w:lang w:val="en-GB"/>
        </w:rPr>
        <w:t xml:space="preserve"> gegen den feindseligen Impuls, den wir in unserer Brust verspüren.</w:t>
      </w:r>
    </w:p>
    <w:p w:rsidR="008725BE" w:rsidRPr="008725BE" w:rsidRDefault="008725BE" w:rsidP="008725BE">
      <w:pPr>
        <w:pStyle w:val="Sansinterligne"/>
        <w:rPr>
          <w:rFonts w:ascii="Garamond" w:hAnsi="Garamond"/>
          <w:lang w:val="en-GB"/>
        </w:rPr>
      </w:pPr>
      <w:r w:rsidRPr="008725BE">
        <w:rPr>
          <w:rFonts w:ascii="Garamond" w:hAnsi="Garamond"/>
          <w:lang w:val="en-GB"/>
        </w:rPr>
        <w:t>Resümieren wir nun: Unser Unbewußtes ist gegen die Vorstellung des eigenen Todes ebenso unzugänglich, gegen den Fremden ebenso mordlustig, gegen die geliebte Person ebenso zwiespältig (ambivalent) wie der Mensch der Urzeit. Wie weit haben wir uns aber in der konventionell-kulturellen Einstellung gegen den Tod von diesem Urzustände entfernt!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leicht zu sagen, wie der Krieg in diese Entzweiung eingreift. Er streift uns die späteren Kulturauflagerungen ab und läßt den Urmenschen in uns wieder zum Vorschein kommen. Er zwingt uns wieder, Helden zu sein, die an den eigenen Tod nicht glauben können; er bezeichnet uns die Fremden als Feinde, deren Tod man herbeiführen oder herbeiwünschen soll; er rät uns, uns über den Tod geliebter Personen hinwegzusetzen. Der Krieg ist aber nicht abzuschaffen; solange die Existenzbedingungen der Völker so verschieden und die Abstoßungen unter ihnen so heftig sind, wird es Kriege geben müssen. Da </w:t>
      </w:r>
      <w:r w:rsidRPr="008725BE">
        <w:rPr>
          <w:rFonts w:ascii="Garamond" w:hAnsi="Garamond"/>
          <w:lang w:val="en-GB"/>
        </w:rPr>
        <w:lastRenderedPageBreak/>
        <w:t>erhebt sich denn die Frage: Sollen wir nicht diejenigen sein, die nachgeben und sich ihm anpassen? Sollen wir nicht zugestehen, daß wir mit unserer kulturellen Einstellung zum Tode psychologisch wieder einmal über unseren Stand gelebt haben, und vielmehr umkehren und die Wahrheit fatieren? Wäre es nicht besser, dem Tode den Platz in der Wirklichkeit und in unseren Gedanken einzuräumen, der ihm gebührt, und unsere unbewußte Einstellung zum Tode, die wir bisher so sorgfältig unterdrückt haben, ein wenig mehr hervorzukehren? Es scheint das keine Höherleistung zu sein, eher ein Rückschritt in manchen Stücken, eine Regression, aber es hat den Vorteil, der Wahrhaftigkeit mehr Rechnung zu tragen und uns das Leben wieder erträglicher zu machen. Das Leben zu ertragen bleibt ja doch die erste Pflicht aller Lebenden. Die Illusion wird wertlos, wenn sie uns darin stört.</w:t>
      </w:r>
    </w:p>
    <w:p w:rsidR="008725BE" w:rsidRPr="008725BE" w:rsidRDefault="008725BE" w:rsidP="008725BE">
      <w:pPr>
        <w:pStyle w:val="Sansinterligne"/>
        <w:rPr>
          <w:rFonts w:ascii="Garamond" w:hAnsi="Garamond"/>
          <w:lang w:val="en-GB"/>
        </w:rPr>
      </w:pPr>
      <w:r w:rsidRPr="008725BE">
        <w:rPr>
          <w:rFonts w:ascii="Garamond" w:hAnsi="Garamond"/>
        </w:rPr>
        <w:t xml:space="preserve">Wir erinnern uns des alten Spruches: </w:t>
      </w:r>
      <w:r w:rsidRPr="008725BE">
        <w:rPr>
          <w:rFonts w:ascii="Garamond" w:hAnsi="Garamond"/>
          <w:i/>
          <w:iCs/>
        </w:rPr>
        <w:t>Si vis pacem, para bellum</w:t>
      </w:r>
      <w:r w:rsidRPr="008725BE">
        <w:rPr>
          <w:rFonts w:ascii="Garamond" w:hAnsi="Garamond"/>
        </w:rPr>
        <w:t xml:space="preserve">. </w:t>
      </w:r>
      <w:r w:rsidRPr="008725BE">
        <w:rPr>
          <w:rFonts w:ascii="Garamond" w:hAnsi="Garamond"/>
          <w:lang w:val="en-GB"/>
        </w:rPr>
        <w:t>Wenn du den Frieden erhalten willst, so rüste zum Kriege.</w:t>
      </w:r>
    </w:p>
    <w:p w:rsidR="008725BE" w:rsidRPr="008725BE" w:rsidRDefault="008725BE" w:rsidP="008725BE">
      <w:pPr>
        <w:pStyle w:val="Sansinterligne"/>
        <w:rPr>
          <w:rFonts w:ascii="Garamond" w:hAnsi="Garamond"/>
          <w:lang w:val="en-GB"/>
        </w:rPr>
      </w:pPr>
      <w:r w:rsidRPr="008725BE">
        <w:rPr>
          <w:rFonts w:ascii="Garamond" w:hAnsi="Garamond"/>
        </w:rPr>
        <w:t xml:space="preserve">Es wäre zeitgemäß, ihn abzuändern: </w:t>
      </w:r>
      <w:r w:rsidRPr="008725BE">
        <w:rPr>
          <w:rFonts w:ascii="Garamond" w:hAnsi="Garamond"/>
          <w:i/>
          <w:iCs/>
        </w:rPr>
        <w:t>Si vis vitam, para mortem</w:t>
      </w:r>
      <w:r w:rsidRPr="008725BE">
        <w:rPr>
          <w:rFonts w:ascii="Garamond" w:hAnsi="Garamond"/>
        </w:rPr>
        <w:t xml:space="preserve">. </w:t>
      </w:r>
      <w:r w:rsidRPr="008725BE">
        <w:rPr>
          <w:rFonts w:ascii="Garamond" w:hAnsi="Garamond"/>
          <w:lang w:val="en-GB"/>
        </w:rPr>
        <w:t>Wenn du das Leben aushalten willst, richte dich auf den Tod ein.</w:t>
      </w:r>
    </w:p>
    <w:p w:rsidR="008725BE" w:rsidRPr="008725BE" w:rsidRDefault="008725BE" w:rsidP="008725BE">
      <w:pPr>
        <w:pStyle w:val="Sansinterligne"/>
        <w:rPr>
          <w:rFonts w:ascii="Garamond" w:hAnsi="Garamond"/>
          <w:caps/>
        </w:rPr>
      </w:pPr>
      <w:r w:rsidRPr="005C1841">
        <w:rPr>
          <w:rFonts w:ascii="Garamond" w:hAnsi="Garamond"/>
        </w:rPr>
        <w:br w:type="page"/>
      </w:r>
      <w:hyperlink w:anchor="KSinhalt" w:history="1">
        <w:r w:rsidRPr="008725BE">
          <w:rPr>
            <w:rStyle w:val="Lienhypertexte"/>
            <w:rFonts w:ascii="Garamond" w:hAnsi="Garamond"/>
            <w:b/>
          </w:rPr>
          <w:t>Zu</w:t>
        </w:r>
        <w:bookmarkStart w:id="205" w:name="KS70"/>
        <w:bookmarkEnd w:id="205"/>
        <w:r w:rsidRPr="008725BE">
          <w:rPr>
            <w:rStyle w:val="Lienhypertexte"/>
            <w:rFonts w:ascii="Garamond" w:hAnsi="Garamond"/>
            <w:b/>
          </w:rPr>
          <w:t>r Ätiologie der Hysterie</w:t>
        </w:r>
      </w:hyperlink>
      <w:r w:rsidRPr="008725BE">
        <w:rPr>
          <w:rFonts w:ascii="Garamond" w:hAnsi="Garamond"/>
        </w:rPr>
        <w:t xml:space="preserve">  </w:t>
      </w:r>
      <w:r w:rsidRPr="008725BE">
        <w:rPr>
          <w:rFonts w:ascii="Garamond" w:hAnsi="Garamond"/>
          <w:caps/>
        </w:rPr>
        <w:t>(1896)</w:t>
      </w:r>
    </w:p>
    <w:p w:rsidR="008725BE" w:rsidRPr="008725BE" w:rsidRDefault="008725BE" w:rsidP="008725BE">
      <w:pPr>
        <w:pStyle w:val="Sansinterligne"/>
        <w:rPr>
          <w:rFonts w:ascii="Garamond" w:hAnsi="Garamond"/>
        </w:rPr>
      </w:pPr>
      <w:r w:rsidRPr="008725BE">
        <w:rPr>
          <w:rFonts w:ascii="Garamond" w:hAnsi="Garamond"/>
        </w:rPr>
        <w:t> </w:t>
      </w:r>
    </w:p>
    <w:p w:rsidR="008725BE" w:rsidRPr="008725BE" w:rsidRDefault="008725BE" w:rsidP="008725BE">
      <w:pPr>
        <w:pStyle w:val="Sansinterligne"/>
        <w:rPr>
          <w:rFonts w:ascii="Garamond" w:hAnsi="Garamond"/>
        </w:rPr>
      </w:pPr>
      <w:r w:rsidRPr="008725BE">
        <w:rPr>
          <w:rFonts w:ascii="Garamond" w:hAnsi="Garamond"/>
        </w:rPr>
        <w:t xml:space="preserve">Meine Herren! Wenn wir daran gehen, uns eine Meinung über die Verursachung eines krankhaften Zustandes wie die Hysterie zu bilden, betreten wir zunächst den Weg der anamnestischen Forschung, indem wir den Kranken oder dessen Umgebung ins Verhör darüber nehmen, auf welche schädlichen Einflüsse sie selbst die Erkrankung an jenen neurotischen Symptomen zurückführen. Was wir so in Erfahrung bringen, ist selbstverständlich durch alle jene Momente verfälscht, die einem Kranken die Erkenntnis des eigenen Zustandes zu verhüllen pflegen, durch seinen Mangel an wissenschaftlichem Verständnis für ätiologische Wirkungen, durch den Fehlschluß des </w:t>
      </w:r>
      <w:r w:rsidRPr="008725BE">
        <w:rPr>
          <w:rFonts w:ascii="Garamond" w:hAnsi="Garamond"/>
          <w:i/>
          <w:iCs/>
        </w:rPr>
        <w:t>post hoc, ergo propter hoc</w:t>
      </w:r>
      <w:hyperlink r:id="rId929" w:anchor="#" w:history="1">
        <w:r w:rsidRPr="008725BE">
          <w:rPr>
            <w:rStyle w:val="fusslink"/>
            <w:rFonts w:ascii="Garamond" w:hAnsi="Garamond" w:cs="Arial"/>
            <w:b/>
            <w:bCs/>
            <w:color w:val="003399"/>
          </w:rPr>
          <w:t>[Fußnote]</w:t>
        </w:r>
        <w:r w:rsidRPr="008725BE">
          <w:rPr>
            <w:rStyle w:val="innerfusslink3"/>
            <w:rFonts w:ascii="Garamond" w:hAnsi="Garamond" w:cs="Arial"/>
            <w:b/>
            <w:bCs/>
          </w:rPr>
          <w:t>danach, folglich dadurch</w:t>
        </w:r>
      </w:hyperlink>
      <w:r w:rsidRPr="008725BE">
        <w:rPr>
          <w:rFonts w:ascii="Garamond" w:hAnsi="Garamond"/>
        </w:rPr>
        <w:t xml:space="preserve">, durch die Unlust, gewisser Noxen und Traumen zu gedenken oder ihrer Erwähnung zu tun. Wir halten darum bei solcher anamnestischer Forschung an dem Vorsatze fest, den Glauben der Kranken nicht ohne eingehende kritische Prüfung zu dem unserigen zu machen, nicht zuzulassen, daß die Patienten uns unsere wissenschaftliche Meinung über die Ätiologie der Neurose zurechtmachen. Wenn wir einerseits gewisse konstant wiederkehrende Angaben anerkennen, wie die, daß der hysterische Zustand eine lang andauernde Nachwirkung einer einmal erfolgten Gemütsbewegung sei, so haben wir anderseits in die Ätiologie der Hysterie ein Moment eingeführt, welches der Kranke selbst niemals vorbringt und nur ungern gelten läßt, die hereditäre Veranlagung von Seiten der Erzeuger. Sie wissen, daß nach der Meinung der einflußreichen Schule Charcots die Heredität allein als wirkliche Ursache der Hysterie Anerkennung verdient, während alle anderen Schädlichkeiten verschiedenartigster Natur und Intensität nur die Rolle von Gelegenheitsursachen, von » </w:t>
      </w:r>
      <w:r w:rsidRPr="008725BE">
        <w:rPr>
          <w:rFonts w:ascii="Garamond" w:hAnsi="Garamond"/>
          <w:i/>
          <w:iCs/>
        </w:rPr>
        <w:t>agents provocateurs</w:t>
      </w:r>
      <w:r w:rsidRPr="008725BE">
        <w:rPr>
          <w:rFonts w:ascii="Garamond" w:hAnsi="Garamond"/>
        </w:rPr>
        <w:t>« spielen sollen.</w:t>
      </w:r>
    </w:p>
    <w:p w:rsidR="008725BE" w:rsidRPr="008725BE" w:rsidRDefault="008725BE" w:rsidP="008725BE">
      <w:pPr>
        <w:pStyle w:val="Sansinterligne"/>
        <w:rPr>
          <w:rFonts w:ascii="Garamond" w:hAnsi="Garamond"/>
        </w:rPr>
      </w:pPr>
      <w:r w:rsidRPr="008725BE">
        <w:rPr>
          <w:rFonts w:ascii="Garamond" w:hAnsi="Garamond"/>
        </w:rPr>
        <w:t>Sie werden mir ohneweiters zugeben, daß es wünschenswert wäre, es gäbe einen zweiten Weg, zur Ätiologie der Hysterie zu gelangen, auf welchem man sich unabhängiger von den Angaben der Kranken wüßte. Der Dermatologe z. B. weiß ein Geschwür als luetisch zu erkennen nach der Beschaffenheit der Ränder, des Belags, des Umrisses, ohne daß ihn der Einspruch des Patienten, der eine Infektionsquelle leugnet, daran irremachte. Der Gerichtsarzt versteht es, die Verursachung einer Verletzung aufzuklären, selbst wenn er auf die Mitteilungen des Verletzten verzichten muß. Es besteht nun eine solche Möglichkeit, von den Symptomen aus zur Kenntnis der Ursachen vorzudringen, auch für die Hysterie. Das Verhältnis der Methode aber, deren man sich hiefür zu bedienen hat, zur älteren Methode der anamnestischen Erhebung möchte ich Ihnen in einem Gleichnisse darstellen, welches einen auf anderem Arbeitsgebiete tatsächlich erfolgten Fortschritt zum Inhalt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Nehmen Sie an, ein reisender Forscher käme in eine wenig bekannte Gegend, in welcher ein Trümmerfeld mit Mauerresten, Bruchstücken von Säulen, von Tafeln mit verwischten und unlesbaren Schriftzeichen sein Interesse erweckte. Er kann sich damit begnügen zu beschauen, was frei zutage liegt, dann die in der Nähe hausenden, etwa halbbarbarischen Einwohner ausfragen, was ihnen die Tradition über die Geschichte und Bedeutung jener monumentalen Reste kundgegeben hat, ihre Auskünfte aufzeichnen und – weiterreisen. Er kann aber auch anders vorgehen; er kann Hacken, Schaufeln und Spaten mitgebracht haben, die Anwohner für die Arbeit mit diesen Werkzeugen bestimmen, mit ihnen das Trümmerfeld in Angriff nehmen, den Schutt wegschaffen und von den sichtbaren Resten aus das Vergrabene aufdecken. Lohnt der Erfolg seine Arbeit, so erläutern die Funde sich selbst; die Mauerreste gehören zur Umwallung eines Palastes oder Schatzhauses, aus den Säulentrümmern ergänzt sich ein Tempel, die zahlreich gefundenen, im glücklichen Falle bilinguen Inschriften enthüllen ein Alphabet und eine Sprache, und deren Entzifferung und Übersetzung ergibt ungeahnte Aufschlüsse über die Ereignisse der Vorzeit, zu deren Gedächtnis jene Monumente erbaut worden sind. </w:t>
      </w:r>
      <w:r w:rsidRPr="008725BE">
        <w:rPr>
          <w:rFonts w:ascii="Garamond" w:hAnsi="Garamond"/>
          <w:i/>
          <w:iCs/>
          <w:lang w:val="en-GB"/>
        </w:rPr>
        <w:t>Saxa loquuntur!</w:t>
      </w:r>
      <w:hyperlink r:id="rId93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 Steine sprechen!</w:t>
        </w:r>
      </w:hyperlink>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Will man in annähernd ähnlicher Weise die Symptome einer Hysterie als Zeugen für die Entstehungsgeschichte der Krankheit laut werden lassen, so muß man an die bedeutsame Entdeckung J. Breuers anknüpfen, </w:t>
      </w:r>
      <w:r w:rsidRPr="008725BE">
        <w:rPr>
          <w:rFonts w:ascii="Garamond" w:hAnsi="Garamond"/>
          <w:i/>
          <w:iCs/>
          <w:lang w:val="en-GB"/>
        </w:rPr>
        <w:t>daß die Symptome der Hysterie</w:t>
      </w:r>
      <w:r w:rsidRPr="008725BE">
        <w:rPr>
          <w:rFonts w:ascii="Garamond" w:hAnsi="Garamond"/>
          <w:lang w:val="en-GB"/>
        </w:rPr>
        <w:t xml:space="preserve"> (die Stigmata beiseite) </w:t>
      </w:r>
      <w:r w:rsidRPr="008725BE">
        <w:rPr>
          <w:rFonts w:ascii="Garamond" w:hAnsi="Garamond"/>
          <w:i/>
          <w:iCs/>
          <w:lang w:val="en-GB"/>
        </w:rPr>
        <w:t>ihre Determinierung von gewissen traumatisch wirksamen Erlebnissen des Kranken herleiten, als deren Erinnerungssymbole sie im psychischenLeben desselben reproduziert werden</w:t>
      </w:r>
      <w:r w:rsidRPr="008725BE">
        <w:rPr>
          <w:rFonts w:ascii="Garamond" w:hAnsi="Garamond"/>
          <w:lang w:val="en-GB"/>
        </w:rPr>
        <w:t>. Man muß sein Verfahren – oder ein im Wesen gleichartiges – anwenden, um die Aufmerksamkeit des Kranken vom Symptom aus auf die Szene zurückzuleiten, in welcher und durch welche das Symptom entstanden ist, und man beseitigt nach seiner Anweisung dieses Symptom, indem man bei der Reproduktion der traumatischen Szene eine nachträgliche Korrektur des damaligen psychischen Ablaufes durchsetzt.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liegt heute meiner Absicht völlig ferne, die schwierige Technik dieses therapeutischen Verfahrens oder die dabei gewonnenen psychologischen Aufklärungen zu behandeln. Ich mußte nur an dieser Stelle anknüpfen, weil die nach Breuer vorgenommenen Analysen gleichzeitig den Zugang zu den Ursachen der Hysterie zu eröffnen scheinen. Wenn wir eine größere Reihe von Symptomen bei zahlreichen Personen </w:t>
      </w:r>
      <w:r w:rsidRPr="008725BE">
        <w:rPr>
          <w:rFonts w:ascii="Garamond" w:hAnsi="Garamond"/>
          <w:lang w:val="en-GB"/>
        </w:rPr>
        <w:lastRenderedPageBreak/>
        <w:t>dieser Analyse unterziehen, so werden wir ja zur Kenntnis einer entsprechend großen Reihe von traumatisch wirksamen Szenen geleitet werden. In diesen Erlebnissen sind die wirksamen Ursachen der Hysterie zur Geltung gekommen; wir dürfen also hoffen, aus dem Studium der traumatischen Szenen zu erfahren, welche Einflüsse hysterische Symptome erzeugen und auf welche Weise.</w:t>
      </w:r>
    </w:p>
    <w:p w:rsidR="008725BE" w:rsidRPr="008725BE" w:rsidRDefault="008725BE" w:rsidP="008725BE">
      <w:pPr>
        <w:pStyle w:val="Sansinterligne"/>
        <w:rPr>
          <w:rFonts w:ascii="Garamond" w:hAnsi="Garamond"/>
          <w:lang w:val="en-GB"/>
        </w:rPr>
      </w:pPr>
      <w:r w:rsidRPr="008725BE">
        <w:rPr>
          <w:rFonts w:ascii="Garamond" w:hAnsi="Garamond"/>
          <w:lang w:val="en-GB"/>
        </w:rPr>
        <w:t>Diese Erwartung trifft zu, notwendigerweise, da ja die Sätze von Breuer sich bei der Prüfung an zahlreicheren Fällen als richtig erweisen. Aber der Weg von den Symptomen der Hysterie zu deren Ätiologie ist langwieriger und führt über andere Verbindungen, als man sich vorgestellt hätte.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wollen uns nämlich klarmachen, daß die Zurückführung eines hysterischen Symptoms auf eine traumatische Szene nur dann einen Gewinn für unser Verständnis mit sich bringt, wenn diese Szene zwei Bedingungen genügt, wenn sie die betreffende </w:t>
      </w:r>
      <w:r w:rsidRPr="008725BE">
        <w:rPr>
          <w:rFonts w:ascii="Garamond" w:hAnsi="Garamond"/>
          <w:i/>
          <w:iCs/>
          <w:lang w:val="en-GB"/>
        </w:rPr>
        <w:t>determinierende Eignung</w:t>
      </w:r>
      <w:r w:rsidRPr="008725BE">
        <w:rPr>
          <w:rFonts w:ascii="Garamond" w:hAnsi="Garamond"/>
          <w:lang w:val="en-GB"/>
        </w:rPr>
        <w:t xml:space="preserve"> besitzt, und wenn ihr die nötige </w:t>
      </w:r>
      <w:r w:rsidRPr="008725BE">
        <w:rPr>
          <w:rFonts w:ascii="Garamond" w:hAnsi="Garamond"/>
          <w:i/>
          <w:iCs/>
          <w:lang w:val="en-GB"/>
        </w:rPr>
        <w:t>traumatische Kraft</w:t>
      </w:r>
      <w:r w:rsidRPr="008725BE">
        <w:rPr>
          <w:rFonts w:ascii="Garamond" w:hAnsi="Garamond"/>
          <w:lang w:val="en-GB"/>
        </w:rPr>
        <w:t xml:space="preserve"> zuerkannt werden muß. Ein Beispiel anstatt jeder Worterklärung! Es handle sich um das Symptom des hysterischen Erbrechens; dann glauben wir dessen Verursachung (bis auf einen gewissen Rest) durchschauen zu können, wenn die Analyse das Symptom auf ein Erlebnis zurückführt, welches </w:t>
      </w:r>
      <w:r w:rsidRPr="008725BE">
        <w:rPr>
          <w:rFonts w:ascii="Garamond" w:hAnsi="Garamond"/>
          <w:i/>
          <w:iCs/>
          <w:lang w:val="en-GB"/>
        </w:rPr>
        <w:t>berechtigterweise ein hohes Maß von Ekel</w:t>
      </w:r>
      <w:r w:rsidRPr="008725BE">
        <w:rPr>
          <w:rFonts w:ascii="Garamond" w:hAnsi="Garamond"/>
          <w:lang w:val="en-GB"/>
        </w:rPr>
        <w:t xml:space="preserve"> erzeugt hat, wie etwa der Anblick eines verwesenden menschlichen Leichnams. Ergibt die Analyse anstatt dessen, daß das Erbrechen von einem großen Schreck, z. B. bei einem Eisenbahnunfall, herrührt, so wird man sich unbefriedigt fragen müssen, wieso denn der Schreck gerade zum Erbrechen geführt hat. Es fehlt dieser Ableitung an der </w:t>
      </w:r>
      <w:r w:rsidRPr="008725BE">
        <w:rPr>
          <w:rFonts w:ascii="Garamond" w:hAnsi="Garamond"/>
          <w:i/>
          <w:iCs/>
          <w:lang w:val="en-GB"/>
        </w:rPr>
        <w:t>Eignung zur Determinierung</w:t>
      </w:r>
      <w:r w:rsidRPr="008725BE">
        <w:rPr>
          <w:rFonts w:ascii="Garamond" w:hAnsi="Garamond"/>
          <w:lang w:val="en-GB"/>
        </w:rPr>
        <w:t xml:space="preserve">. Ein anderer Fall von ungenügender Aufklärung liegt vor, wenn das Erbrechen etwa von dem Genuß einer Frucht herrühren soll, die eine faule Stelle zeigte. Dann ist zwar das Erbrechen durch den Ekel determiniert, aber man versteht nicht, wie der Ekel in diesem Falle so mächtig werden konnte, sich durch ein hysterisches Symptom zu verewigen; es mangelt diesem Erlebnisse an </w:t>
      </w:r>
      <w:r w:rsidRPr="008725BE">
        <w:rPr>
          <w:rFonts w:ascii="Garamond" w:hAnsi="Garamond"/>
          <w:i/>
          <w:iCs/>
          <w:lang w:val="en-GB"/>
        </w:rPr>
        <w:t>traumatischer Kraft</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Sehen wir nun nach, inwieweit die durch die Analyse aufgedeckten traumatischen Szenen der Hysterie bei einer größeren Anzahl von Symptomen und Fällen den beiden erwähnten Ansprüchen genügen. Hier stoßen wir auf die erste große Enttäuschung! Es trifft zwar einige Male zu, daß die traumatische Szene, in welcher das Symptom entstanden ist, wirklich beides, die determinierende Eignung und die traumatische Kraft besitzt, deren wir zum Verständnis des Symptoms bedürfen. Aber weit häufiger, unvergleichlich häufiger, finden wir eine der drei übrigen Möglichkeiten verwirklicht, die dem Verständnisse so ungünstig sind: die Szene, auf welche wir durch die Analyse geleitet werden, in welcher das Symptom zuerst aufgetreten ist, erscheint uns entweder ungeeignet zur Determinierung des Symptoms, indem ihr Inhalt zur Beschaffenheit des Symptoms keine Beziehung zeigt; oder das angeblich traumatische Erlebnis, dem es an inhaltlicher Beziehung nicht fehlt, erweist sich als normalerweise harmloser, für gewöhnlich wirkungsunfähiger Eindruck; oder endlich die »traumatische Szene« macht uns nach beiden Richtungen irre; sie erscheint ebenso harmlos wie ohne Beziehung zur Eigenart des hysterischen Symptoms.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bemerke hier nebenbei, daß Breuers Auffassung von der Entstehung hysterischer Symptome durch die Auffindung traumatischer Szenen, die an sich bedeutungslosen Erlebnissen entsprechen, nicht gestört worden ist. Breuer nahm nämlich – im Anschlüsse an Charcot – an, daß auch ein harmloses Erlebnis zum Trauma erhoben werden und determinierende Kraft entfalten kann, wenn es die Person in einer besonderen psychischen Verfassung, im sogenannten </w:t>
      </w:r>
      <w:r w:rsidRPr="008725BE">
        <w:rPr>
          <w:rFonts w:ascii="Garamond" w:hAnsi="Garamond"/>
          <w:i/>
          <w:iCs/>
          <w:lang w:val="en-GB"/>
        </w:rPr>
        <w:t>hypnoiden Zustand</w:t>
      </w:r>
      <w:r w:rsidRPr="008725BE">
        <w:rPr>
          <w:rFonts w:ascii="Garamond" w:hAnsi="Garamond"/>
          <w:lang w:val="en-GB"/>
        </w:rPr>
        <w:t>, betrifft. Allein ich finde, daß zur Voraussetzung solcher hypnoider Zustände oftmals jeder Anhalt fehlt. Entscheidend bleibt, daß die Lehre von den hypnoiden Zuständen nichts zur Lösung der anderen Schwierigkeiten leistet, daß nämlich den traumatischen Szenen so häufig die determinierende Eignung abgeht.)</w:t>
      </w:r>
    </w:p>
    <w:p w:rsidR="008725BE" w:rsidRPr="008725BE" w:rsidRDefault="008725BE" w:rsidP="008725BE">
      <w:pPr>
        <w:pStyle w:val="Sansinterligne"/>
        <w:rPr>
          <w:rFonts w:ascii="Garamond" w:hAnsi="Garamond"/>
          <w:lang w:val="en-GB"/>
        </w:rPr>
      </w:pPr>
      <w:r w:rsidRPr="008725BE">
        <w:rPr>
          <w:rFonts w:ascii="Garamond" w:hAnsi="Garamond"/>
          <w:lang w:val="en-GB"/>
        </w:rPr>
        <w:t>Fügen Sie hinzu, meine Herren, daß diese erste Enttäuschung beim Verfolg der Breuerschen Methode unmittelbar durch eine andere eingeholt wird, die man besonders als Arzt schmerzlich empfinden muß. Zurückführungen solcher Art, wie wir sie geschildert haben, die unserem Verständnis betreffs der Determinierung und der traumatischen Wirksamkeit nicht genügen, bringen auch keinen therapeutischen Gewinn; der Kranke hat seine Symptome ungeändert behalten, trotz des ersten Ergebnisses, das uns die Analyse geliefert hat. Sie mögen verstehen, wie groß dann die Versuchung wird, auf eine Fortsetzung der ohnedies mühseligen Arbeit zu verzichten.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Vielleicht aber bedarf es nur eines neuen Einfalles, um uns aus der Klemme zu helfen und zu wertvollen Resultaten zu führen! Der Einfall ist folgender: Wir wissen ja durch Breuer, daß die hysterischen Symptome zu lösen sind, wenn wir von ihnen auf den Weg zur Erinnerung eines traumatischen Erlebnisses finden können. Wenn nun die aufgefundene Erinnerung unseren Erwartungen nicht entspricht, vielleicht ist derselbe Weg ein Stück weiter zu verfolgen, vielleicht verbirgt sich hinter der ersten traumatischen Szene die Erinnerung an eine zweite, die unseren Ansprüchen besser genügt und deren Reproduktion mehr therapeutische Wirkung entfaltet, so daß die erstgefundene Szene nur die Bedeutung eines Bindegliedes in der Assoziationsverkettung hat? Und vielleicht wiederholt sich dieses </w:t>
      </w:r>
      <w:r w:rsidRPr="008725BE">
        <w:rPr>
          <w:rFonts w:ascii="Garamond" w:hAnsi="Garamond"/>
          <w:lang w:val="en-GB"/>
        </w:rPr>
        <w:lastRenderedPageBreak/>
        <w:t xml:space="preserve">Verhältnis, die Einschiebung unwirksamer Szenen als notwendiger Übergänge bei der Reproduktion mehrmals, bis man vom hysterischen Symptom aus endlich zur eigentlich traumatisch wirksamen, in jeder Hinsicht, therapeutisch wie analytisch, befriedigenden Szene gelangt? Nun, meine Herren, diese Vermutung ist richtig. Wo die erstaufgefundene Szene unbefriedigend ist, sagen wir dem Kranken, dieses Erlebnis erkläre nichts, es müsse sich aber hinter ihm ein bedeutsameres, früheres Erlebnis verbergen, und lenken seine Aufmerksamkeit nach derselben Technik auf den Assoziationsfaden, welcher beide Erinnerungen, die aufgefundene und die aufzufindende verknüpft </w:t>
      </w:r>
      <w:hyperlink r:id="rId93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Es bleibt dabei absichtlich außer Erörterung, von welchem Rang die Assoziation der beiden Erinnerungen ist (ob durch Gleichzeitigkeit, kausaler Art, nach inhaltlicher Ähnlichkeit usw.) und auf welche psychologische Charakteristik die einzelnen »Erinnerungen« (bewußte oder unbewußte) Anspruch haben.</w:t>
        </w:r>
      </w:hyperlink>
      <w:r w:rsidRPr="008725BE">
        <w:rPr>
          <w:rFonts w:ascii="Garamond" w:hAnsi="Garamond"/>
          <w:lang w:val="en-GB"/>
        </w:rPr>
        <w:t>. Die Fortsetzung der Analyse führt dann jedesmal zur Reproduktion neuer Szenen von den erwarteten Charakteren. Wenn ich z. B. den vorhin ausgewählten Fall von hysterischem Erbrechen wieder aufnehme, den die Analyse zunächst auf einen Schreck bei einem Eisenbahnunfall zurückgeführt hat, welcher der determinierenden Eignung entbehrt, so erfahre ich aus weitergehender Analyse, daß dieser Unfall die Erinnerung an einen andern, früher vorgekommenen, geweckt hat, den der Kranke zwar nicht selbst erlebte, der ihm aber Gelegenheit zu dem Grauen und Ekel erregenden Anblick eines Leichnams bot. Es ist, als ob das Zusammenwirken beider Szenen die Erfüllung unserer Postulate ermöglichte, indem das eine Erlebnis durch den Schreck die traumatische Kraft, das andere durch seinen Inhalt die determinierende Wirkung beistellt. Der andere Fall, daß das Erbrechen auf den Genuß eines Apfels zurückgeführt wird, an dem sich eine faule Stelle befindet, wird durch die Analyse etwa in folgender Weise ergänzt: Der faulende Apfel erinnert an ein früheres Erlebnis, an das Sammeln abgefallener Äpfel in einem Garten, wobei der Kranke zufällig auf einen ekelhaften Tierkadaver stieß.</w:t>
      </w:r>
    </w:p>
    <w:p w:rsidR="008725BE" w:rsidRPr="008725BE" w:rsidRDefault="008725BE" w:rsidP="008725BE">
      <w:pPr>
        <w:pStyle w:val="Sansinterligne"/>
        <w:rPr>
          <w:rFonts w:ascii="Garamond" w:hAnsi="Garamond"/>
          <w:lang w:val="en-GB"/>
        </w:rPr>
      </w:pPr>
      <w:r w:rsidRPr="008725BE">
        <w:rPr>
          <w:rFonts w:ascii="Garamond" w:hAnsi="Garamond"/>
          <w:lang w:val="en-GB"/>
        </w:rPr>
        <w:t>Ich will auf diese Beispiele nicht mehr zurückkommen, denn ich muß das Geständnis ablegen, daß sie keinem Falle meiner Erfahrung entstammen, daß sie von mir erfunden sind; höchstwahrscheinlich sind sie auch schlecht erfunden; derartige Auflösungen hysterischer Symptome halte ich selbst für unmöglich. Aber der Zwang, Beispiele zu fingieren, erwächst mir aus mehreren Momenten, von denen ich eines unmittelbar anführen kann. Die wirklichen Beispiele sind alle unvergleichlich komplizierter; eine einzige ausführliche Mitteilung würde diese Vortragsstunde ausfüllen. Die Assoziationskette besteht immer aus mehr als zwei Gliedern, die traumatischen Szenen bilden nicht etwa einfache, perlschnurartige Reihen, sondern verzweigte, stammbaumartige Zusammenhänge, indem bei einem neuen Erlebnis zwei und mehr frühere als Erinnerungen zur Wirkung kommen; kurz, die Auflösung eines einzelnen Symptoms mitteilen, fällt eigentlich zusammen mit der Aufgabe, eine Krankengeschichte vollständig darzustellen.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wollen es nun aber nicht versäumen, den einen Satz nachdrücklich hervorzuheben, den die analytische Arbeit längs dieser Erinnerungsketten unerwarteterweise gegeben hat. Wir haben erfahren, </w:t>
      </w:r>
      <w:r w:rsidRPr="008725BE">
        <w:rPr>
          <w:rFonts w:ascii="Garamond" w:hAnsi="Garamond"/>
          <w:i/>
          <w:iCs/>
          <w:lang w:val="en-GB"/>
        </w:rPr>
        <w:t>daß kein hysterisches Symptom aus einem realen Erlebnis allein hervorgehen kann, sondern daß alle Male die assoziativ geweckte Erinnerung an frühere Erlebnisse zur Verursachung des Symptoms mitwirkt.</w:t>
      </w:r>
      <w:r w:rsidRPr="008725BE">
        <w:rPr>
          <w:rFonts w:ascii="Garamond" w:hAnsi="Garamond"/>
          <w:lang w:val="en-GB"/>
        </w:rPr>
        <w:t xml:space="preserve"> Wenn dieser Satz – wie ich meine – </w:t>
      </w:r>
      <w:r w:rsidRPr="008725BE">
        <w:rPr>
          <w:rFonts w:ascii="Garamond" w:hAnsi="Garamond"/>
          <w:i/>
          <w:iCs/>
          <w:lang w:val="en-GB"/>
        </w:rPr>
        <w:t>ohne Ausnahme</w:t>
      </w:r>
      <w:r w:rsidRPr="008725BE">
        <w:rPr>
          <w:rFonts w:ascii="Garamond" w:hAnsi="Garamond"/>
          <w:lang w:val="en-GB"/>
        </w:rPr>
        <w:t xml:space="preserve"> richtig ist, so bezeichnet er uns aber auch das Fundament, auf dem eine psychologische Theorie der Hysterie aufzubauen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Sie könnten meinen, jene seltenen Fälle, in welchen die Analyse das Symptom sofort auf eine traumatische Szene von guter determinierender Eignung und traumatischer Kraft zurückführt und es durch solche Zurückführung gleichzeitig wegschafft, wie dies in Breuers Krankengeschichte der Anna O. geschildert wird, seien doch mächtige Einwände gegen die allgemeine Geltung des eben aufgestellten Satzes. Das sieht in der Tat so aus; allein ich muß Sie versichern, ich habe die triftigsten Gründe, anzunehmen, daß selbst in diesen Fällen eine Verkettung wirksamer Erinnerungen vorliegt, die weit hinter die erste traumatische Szene zurückreicht, </w:t>
      </w:r>
      <w:r w:rsidRPr="008725BE">
        <w:rPr>
          <w:rFonts w:ascii="Garamond" w:hAnsi="Garamond"/>
          <w:i/>
          <w:iCs/>
          <w:lang w:val="en-GB"/>
        </w:rPr>
        <w:t>wenngleich</w:t>
      </w:r>
      <w:r w:rsidRPr="008725BE">
        <w:rPr>
          <w:rFonts w:ascii="Garamond" w:hAnsi="Garamond"/>
          <w:lang w:val="en-GB"/>
        </w:rPr>
        <w:t xml:space="preserve"> die Reproduktion der letzteren allein die Aufhebung des Symptoms zur Folge haben kann.</w:t>
      </w:r>
    </w:p>
    <w:p w:rsidR="008725BE" w:rsidRPr="008725BE" w:rsidRDefault="008725BE" w:rsidP="008725BE">
      <w:pPr>
        <w:pStyle w:val="Sansinterligne"/>
        <w:rPr>
          <w:rFonts w:ascii="Garamond" w:hAnsi="Garamond"/>
        </w:rPr>
      </w:pPr>
      <w:r w:rsidRPr="008725BE">
        <w:rPr>
          <w:rFonts w:ascii="Garamond" w:hAnsi="Garamond"/>
          <w:lang w:val="en-GB"/>
        </w:rPr>
        <w:t xml:space="preserve">Ich meine, es ist wirklich überraschend, daß hysterische Symptome nur unter Mitwirkung von Erinnerungen entstehen können, zumal wenn man erwägt, daß diese Erinnerungen nach allen Aussagen der Kranken ihnen im Momente, da das Symptom zuerst auftrat, nicht zum Bewußtsein gekommen waren. Hier ist Stoff für sehr viel Nachdenken gegeben, aber diese Probleme sollen uns für jetzt nicht verlocken, unsere Richtung nach der Ätiologie der Hysterie zu verlassen. Wir müssen uns vielmehr fragen: Wohin gelangen wir, wenn wir den Ketten assoziierter Erinnerungen folgen, welche die Analyse uns aufdeckt? </w:t>
      </w:r>
      <w:r w:rsidRPr="008725BE">
        <w:rPr>
          <w:rFonts w:ascii="Garamond" w:hAnsi="Garamond"/>
        </w:rPr>
        <w:t>Wie weit reichen sie? Haben sie irgendwo ein natürliches Ende? Führen sie uns etwa zu Erlebnissen, die irgendwie gleichartig sind, dem Inhalte oder der Lebenszeit nach, so daß wir in diesen überall gleichartigen Faktoren die gesuchte Ätiologie der Hysterie erblicken könnten?</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Meine bisherige Erfahrung gestattet mir bereits, diese Fragen zu beantworten. Wenn man von einem Falle ausgeht, der mehrere Symptome bietet, so gelangt man mittels der Analyse von jedem Symptom aus zu einer Reihe von Erlebnissen, deren Erinnerungen in der Assoziation miteinander verkettet sind. Die einzelnen Erinnerungsketten verlaufen zunächst distinkt voneinander nach rückwärts, sind aber, wie bereits erwähnt, verzweigt; von einer Szene aus sind gleichzeitig zwei oder mehr Erinnerungen erreicht, von denen nun Seitenketten ausgehen, deren einzelne Glieder wieder mit Gliedern der Hauptkette assoziativ verknüpft sein mögen. Der Vergleich mit dem Stammbaum einer Familie, deren Mitglieder auch untereinander geheiratet haben, paßt hier wirklich nicht übel. Andere Komplikationen der Verkettung ergeben sich daraus, daß eine einzelne Szene in derselben Kette mehrmals erweckt werden kann, so daß sie zu einer späteren Szene mehrfache Beziehungen hat, eine direkte Verknüpfung mit ihr aufweist und eine durch Mittelglieder hergestellte. Kurz, der Zusammenhang ist keineswegs ein einfacher, und die Aufdeckung der Szenen in umgekehrter chronologischer Folge (die eben den Vergleich mit der Aufgrabung eines geschichteten Trümmerfeldes rechtfertigt) trägt zum rascheren Verständnis des Herganges gewiß nichts bei.</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Neue Verwicklungen ergeben sich, wenn man die Analyse weiter fortsetzt. Die Assoziationsketten für die einzelnen Symptome beginnen dann in Beziehung zueinander zu treten; die Stammbäume verflechten sich. Bei einem gewissen Erlebnis der Erinnerungskette, z. B. für das Erbrechen, ist außer den rückläufigen Gliedern dieser Kette eine Erinnerung aus einer andern Kette erweckt worden, die ein anderes Symptom, etwa Kopfschmerz, begründet. Jenes Erlebnis gehört darum beiden Reihen an, es stellt also einen </w:t>
      </w:r>
      <w:r w:rsidRPr="008725BE">
        <w:rPr>
          <w:rFonts w:ascii="Garamond" w:hAnsi="Garamond"/>
          <w:i/>
          <w:iCs/>
          <w:lang w:val="en-GB"/>
        </w:rPr>
        <w:t>Knotenpunkt</w:t>
      </w:r>
      <w:r w:rsidRPr="008725BE">
        <w:rPr>
          <w:rFonts w:ascii="Garamond" w:hAnsi="Garamond"/>
          <w:lang w:val="en-GB"/>
        </w:rPr>
        <w:t xml:space="preserve"> dar, wie deren in jeder Analyse mehrere aufzufinden sind. Sein klinisches Korrelat mag etwa sein, daß von einer gewissen Zeit an die beiden Symptome zusammen auftreten, symbiotisch, eigentlich ohne innere Abhängigkeit voneinander. </w:t>
      </w:r>
      <w:r w:rsidRPr="008725BE">
        <w:rPr>
          <w:rFonts w:ascii="Garamond" w:hAnsi="Garamond"/>
          <w:i/>
          <w:iCs/>
          <w:lang w:val="en-GB"/>
        </w:rPr>
        <w:t>Knotenpunkte anderer Art</w:t>
      </w:r>
      <w:r w:rsidRPr="008725BE">
        <w:rPr>
          <w:rFonts w:ascii="Garamond" w:hAnsi="Garamond"/>
          <w:lang w:val="en-GB"/>
        </w:rPr>
        <w:t xml:space="preserve"> findet man noch weiter rückwärts. Dort konvergieren die einzelnen Assoziationsketten; es finden sich Erlebnisse, von denen zwei oder mehrere Symptome ausgegangen sind. An das eine Detail der Szene hat die eine Kette, an ein anderes Detail die zweite Kette angeknüpft.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wichtigste Ergebnis aber, auf welches man bei solcher konsequenten Verfolgung der Analyse stößt, ist dieses: Von welchem Fall und von welchem Symptom immer man seinen Ausgang genommen hat, </w:t>
      </w:r>
      <w:r w:rsidRPr="008725BE">
        <w:rPr>
          <w:rFonts w:ascii="Garamond" w:hAnsi="Garamond"/>
          <w:i/>
          <w:iCs/>
          <w:lang w:val="en-GB"/>
        </w:rPr>
        <w:t>endlich gelangt man unfehlbar auf das Gebiet des sexuellen Erlebens</w:t>
      </w:r>
      <w:r w:rsidRPr="008725BE">
        <w:rPr>
          <w:rFonts w:ascii="Garamond" w:hAnsi="Garamond"/>
          <w:lang w:val="en-GB"/>
        </w:rPr>
        <w:t>. Hiemit wäre also zuerst eine ätiologische Bedingung hysterischer Symptome aufgedeckt.</w:t>
      </w:r>
    </w:p>
    <w:p w:rsidR="008725BE" w:rsidRPr="008725BE" w:rsidRDefault="008725BE" w:rsidP="008725BE">
      <w:pPr>
        <w:pStyle w:val="Sansinterligne"/>
        <w:rPr>
          <w:rFonts w:ascii="Garamond" w:hAnsi="Garamond"/>
          <w:lang w:val="en-GB"/>
        </w:rPr>
      </w:pPr>
      <w:r w:rsidRPr="008725BE">
        <w:rPr>
          <w:rFonts w:ascii="Garamond" w:hAnsi="Garamond"/>
          <w:lang w:val="en-GB"/>
        </w:rPr>
        <w:t>Ich kann nach früheren Erfahrungen voraussehen, daß gerade gegen diesen Satz oder gegen die Allgemeingültigkeit dieses Satzes Ihr Widerspruch, meine Herren, gerichtet sein wird. Ich sage vielleicht besser: Ihre Widerspruchsneigung, denn es stehen wohl noch keinem von Ihnen Untersuchungen zu Gebote, die, mit demselben Verfahren angestellt, ein anderes Resultat ergeben hätten. Zur Streitsache selbst will ich nur bemerken, daß die Auszeichnung des sexuellen Moments in der Ätiologie der Hysterie bei mir mindestens keiner vorgefaßten Meinung entstammt. Die beiden Forscher, als deren Zögling ich meine Arbeiten über Hysterie begonnen habe, Charcot wie Breuer, standen einer derartigen Voraussetzung ferne, ja sie brachten ihr eine persönliche Abneigung entgegen, von der ich anfangs meinen Anteil übernahm. Erst die mühseligsten Detailuntersuchungen haben mich, und zwar langsam genug, zu der Meinung bekehrt, die ich heute vertrete. Wenn Sie meine Behauptung, die Ätiologie auch der Hysterie läge im Sexualleben, der strengsten Prüfung unterziehen, so erweist sie sich als vertretbar durch die Angabe, daß ich in etwa achtzehn Fällen von Hysterie diesen Zusammenhang für jedes einzelne Symptom erkennen und, wo es die Verhältnisse gestatteten, durch den therapeutischen Erfolg bekräftigen konnte. Sie können mir dann freilich einwenden, die neunzehnte und die zwanzigste Analyse werden vielleicht eine Ableitung hysterischer Symptome auch aus anderen Quellen kennen lehren und damit die Gültigkeit der sexuellen Ätiologie von der Allgemeinheit auf achtzig Prozent einschränken. Wir wollen es gerne abwarten, aber da jene achtzehn Fälle gleichzeitig alle sind, an denen ich die Arbeit der Analyse unternehmen konnte, und da niemand diese Fälle mir zum Gefallen ausgesucht hat, werden Sie es begreiflich finden, daß ich jene Erwartung nicht teile, sondern bereit bin, mit meinem Glauben über die Beweiskraft meiner bisherigen Erfahrungen hinauszugehen. Dazu bewegt mich übrigens noch ein anderes Motiv von einstweilen bloß subjektiver Geltung. In dem einzigen Erklärungsversuch für den physiologischen und psychischen Mechanismus der Hysterie, den ich mir zur Zusammenfassung meiner Beobachtungen gestalten konnte, ist mir die Einmengung sexueller Triebkräfte zur unentbehrlichen Voraussetzung geworden.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Also man gelangt endlich, nachdem die Erinnerungsketten konvergiert haben, auf sexuelles Gebiet und zu einigen wenigen Erlebnissen, die zumeist in die nämliche Lebensperiode, in das Alter der Pubertät fallen. Aus diesen Erlebnissen soll man die Ätiologie der Hysterie entnehmen und durch sie die Entstehung </w:t>
      </w:r>
      <w:r w:rsidRPr="008725BE">
        <w:rPr>
          <w:rFonts w:ascii="Garamond" w:hAnsi="Garamond"/>
          <w:lang w:val="en-GB"/>
        </w:rPr>
        <w:lastRenderedPageBreak/>
        <w:t xml:space="preserve">hysterischer Symptome verstehen lernen. Hier erlebt man aber eine neue und schwerwiegende Enttäuschung! Die mit so viel Mühe aufgefundenen, aus allem Erinnerungsmaterial extrahierten, anscheinend letzten traumatischen Erlebnisse haben zwar die beiden Charaktere: Sexualität und Pubertätszeit gemein, sind aber sonst so </w:t>
      </w:r>
      <w:r w:rsidRPr="008725BE">
        <w:rPr>
          <w:rFonts w:ascii="Garamond" w:hAnsi="Garamond"/>
          <w:i/>
          <w:iCs/>
          <w:lang w:val="en-GB"/>
        </w:rPr>
        <w:t>sehr disparat und ungleichwertig</w:t>
      </w:r>
      <w:r w:rsidRPr="008725BE">
        <w:rPr>
          <w:rFonts w:ascii="Garamond" w:hAnsi="Garamond"/>
          <w:lang w:val="en-GB"/>
        </w:rPr>
        <w:t>. In einigen Fällen handelt es sich wohl um Erlebnisse, die wir als schwere Traumen anerkennen müssen, um einen Versuch der Vergewaltigung, der dem unreifen Mädchen mit einem Schlage die ganze Brutalität der Geschlechtslust enthüllt, um eine unfreiwillige Zeugenschaft bei sexuellen Akten der Eltern, die in einem ungeahntes Häßliches aufdeckt und das kindliche wie das moralische Gefühl verletzt u. dgl. In anderen Fällen sind diese Erlebnisse von erstaunlicher Geringfügigkeit. Eine meiner Patientinnen zeigte zugrunde ihrer Neurose das Erlebnis, daß ein ihr befreundeter Knabe zärtlich ihre Hand streichelte und ein andermal seinen Unterschenkel an ihr Kleid drängte, während sie nebeneinander bei Tische saßen, wobei noch seine Miene sie erraten ließ, es handle sich um etwas Unerlaubtes. Bei einer andern jungen Dame hatte gar das Anhören einer Scherzfrage, die eine obszöne Beantwortung ahnen ließ, hingereicht, den ersten Angstanfall hervorzurufen und damit die Erkrankung zu eröffnen. Solche Ergebnisse sind offenbar einem Verständnis für die Verursachung hysterischer Symptome nicht günstig. Wenn es ebensowohl schwere wie geringfügige Erlebnisse, ebensowohl Erfahrungen am eigenen Leib wie visuelle Eindrücke und durch das Gehör empfangene Mitteilungen sind, die sich als die letzten Traumen der Hysterie erkennen lassen, so kann man etwa die Deutung versuchen, die Hysterischen seien besonders geartete Menschenkinder – wahrscheinlich infolge erblicher Veranlagung oder degenerativer Verkümmerung – bei denen die Scheu vor der Sexualität, die im Pubertätsalter normalerweise eine gewisse Rolle spielt, ins Pathologische gesteigert und dauernd festgehalten wird; gewissermaßen Personen, die den Anforderungen der Sexualität psychisch nicht Genüge leisten können. Man vernachlässigt bei dieser Aufstellung allerdings die Hysterie der Männer; aber auch, wenn es derartige grobe Einwände nicht gäbe, wäre die Versuchung kaum sehr groß, bei dieser Lösung stehenzubleiben. Man verspürt hier nur zu deutlich die intellektuelle Empfindung des Halbverstandenen, Unklaren und Unzureichenden.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Zum Glück für unsere Aufklärung zeigen einzelne der sexuellen Pubertätserlebnisse eine weitere Unzulänglichkeit, die geeignet ist, zur Fortsetzung der analytischen Arbeit anzuregen. Es kommt nämlich vor, daß auch diese Erlebnisse der determinierenden Eignung entbehren, wenngleich dies hier viel seltener ist als bei den traumatischen Szenen aus späterer Lebenszeit. So z. B. hatten sich bei den beiden Patientinnen, die ich vorhin als Fälle mit eigentlich harmlosen Pubertätserlebnissen angeführt habe, im Gefolge dieser Erlebnisse eigentümliche schmerzhafte Empfindungen in den Genitalien eingestellt, die sich als Hauptsymptome der Neurose festgesetzt hatten, deren Determinierung weder aus den Pubertätsszenen noch aus späteren abzuleiten war, die aber sicherlich nicht zu den normalen Organenempfindungen oder zu den Zeichen sexueller Aufregung gehörten. Wie nahe lag es nun, sich hier zu sagen, man müsse die Determinierung dieser Symptome in noch anderen, noch weiter zurückreichenden Erlebnissen suchen, man müsse hier zum zweiten Male jenem rettenden Einfall folgen, der uns vorhin von den ersten traumatischen Szenen zu den Erinnerungsketten hinter ihnen geleitet? Man kommt damit freilich in die Zeit der ersten Kindheit, die Zeit vor der Entwicklung des sexuellen Lebens, womit ein Verzicht auf die sexuelle Ätiologie verbunden scheint. Aber hat man nicht ein Recht anzunehmen, daß es auch dem Kindesalter an leisen sexuellen Erregungen nicht gebricht, ja, daß vielleicht die spätere sexuelle Entwicklung durch Kindererlebnisse in entscheidender Weise beeinflußt wird? Schädigungen, die das unausgebildete Organ, die in Entwicklung begriffene Funktion treffen, verursachen ja so häufig schwerere und nachhaltigere Wirkungen, als sie im reiferen Alter entfalten könnten. Vielleicht liegen der abnormen Reaktion gegen sexuelle Eindrücke, durch welche uns die Hysterischen in der Pubertätszeit überraschen, ganz allgemein solche sexuelle Erlebnisse der Kindheit zugrunde, die dann von gleichförmiger und bedeutsamer Art sein müßten? Man gewänne so eine Aussicht, als frühzeitig erworben aufzuklären, was man bisher einer durch die Heredität doch nicht verständlichen Prädisposition zur Last legen mußte. Und da infantile Erlebnisse sexuellen Inhalts doch nur durch ihre </w:t>
      </w:r>
      <w:r w:rsidRPr="008725BE">
        <w:rPr>
          <w:rFonts w:ascii="Garamond" w:hAnsi="Garamond"/>
          <w:i/>
          <w:iCs/>
          <w:lang w:val="en-GB"/>
        </w:rPr>
        <w:t>Erinnerungsspuren</w:t>
      </w:r>
      <w:r w:rsidRPr="008725BE">
        <w:rPr>
          <w:rFonts w:ascii="Garamond" w:hAnsi="Garamond"/>
          <w:lang w:val="en-GB"/>
        </w:rPr>
        <w:t xml:space="preserve"> eine psychische Wirkung äußern könnten, wäre dies nicht eine willkommene Ergänzung zu jenem Ergebnis der Analyse, daß </w:t>
      </w:r>
      <w:r w:rsidRPr="008725BE">
        <w:rPr>
          <w:rFonts w:ascii="Garamond" w:hAnsi="Garamond"/>
          <w:i/>
          <w:iCs/>
          <w:lang w:val="en-GB"/>
        </w:rPr>
        <w:t>hysterische Symptome immer nur unter der Mitwirkung von Erinnerungen entstehen?</w:t>
      </w:r>
    </w:p>
    <w:p w:rsidR="008725BE" w:rsidRPr="008725BE" w:rsidRDefault="008725BE" w:rsidP="008725BE">
      <w:pPr>
        <w:pStyle w:val="Sansinterligne"/>
        <w:rPr>
          <w:rFonts w:ascii="Garamond" w:hAnsi="Garamond"/>
          <w:caps/>
          <w:lang w:val="en-GB"/>
        </w:rPr>
      </w:pPr>
      <w:r w:rsidRPr="008725BE">
        <w:rPr>
          <w:rFonts w:ascii="Garamond" w:hAnsi="Garamond"/>
          <w:caps/>
          <w:lang w:val="en-GB"/>
        </w:rPr>
        <w:t>II</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Sie erraten es wohl, meine Herren, daß ich jenen letzten Gedankengang nicht so weit ausgesponnen hätte, wenn ich Sie nicht darauf vorbereiten wollte, daß er allein es ist, der uns nach so vielen Verzögerungen zum Ziele führen wird. Wir stehen nämlich wirklich am Ende unserer langwierigen und beschwerlichen analytischen Arbeit und finden hier alle bisher festgehaltenen Ansprüche und Erwartungen erfüllt. Wenn wir die Ausdauer haben, mit der Analyse bis in die frühe Kindheit vorzudringen, so weit zurück nur das </w:t>
      </w:r>
      <w:r w:rsidRPr="008725BE">
        <w:rPr>
          <w:rFonts w:ascii="Garamond" w:hAnsi="Garamond"/>
          <w:lang w:val="en-GB"/>
        </w:rPr>
        <w:lastRenderedPageBreak/>
        <w:t xml:space="preserve">Erinnerungsvermögen eines Menschen reichen kann, so veranlassen wir in allen Fällen den Kranken zur Reproduktion von Erlebnissen, die infolge ihrer Besonderheiten sowie ihrer Beziehungen zu den späteren Krankheitssymptomen als die gesuchte Ätiologie der Neurose betrachtet werden müssen. Diese </w:t>
      </w:r>
      <w:r w:rsidRPr="008725BE">
        <w:rPr>
          <w:rFonts w:ascii="Garamond" w:hAnsi="Garamond"/>
          <w:i/>
          <w:iCs/>
          <w:lang w:val="en-GB"/>
        </w:rPr>
        <w:t>infantilen</w:t>
      </w:r>
      <w:r w:rsidRPr="008725BE">
        <w:rPr>
          <w:rFonts w:ascii="Garamond" w:hAnsi="Garamond"/>
          <w:lang w:val="en-GB"/>
        </w:rPr>
        <w:t xml:space="preserve"> Erlebnisse sind wiederum </w:t>
      </w:r>
      <w:r w:rsidRPr="008725BE">
        <w:rPr>
          <w:rFonts w:ascii="Garamond" w:hAnsi="Garamond"/>
          <w:i/>
          <w:iCs/>
          <w:lang w:val="en-GB"/>
        </w:rPr>
        <w:t>sexuellen</w:t>
      </w:r>
      <w:r w:rsidRPr="008725BE">
        <w:rPr>
          <w:rFonts w:ascii="Garamond" w:hAnsi="Garamond"/>
          <w:lang w:val="en-GB"/>
        </w:rPr>
        <w:t xml:space="preserve"> Inhalts, aber weit gleichförmigerer Art als die letztgefundenen Pubertätsszenen; es handelt sich bei ihnen nicht mehr um die Erweckung des sexuellen Themas durch einen beliebigen Sinneseindruck, sondern um sexuelle Erfahrungen am eigenen Leib, um </w:t>
      </w:r>
      <w:r w:rsidRPr="008725BE">
        <w:rPr>
          <w:rFonts w:ascii="Garamond" w:hAnsi="Garamond"/>
          <w:i/>
          <w:iCs/>
          <w:lang w:val="en-GB"/>
        </w:rPr>
        <w:t>geschlechtlichen Verkehr</w:t>
      </w:r>
      <w:r w:rsidRPr="008725BE">
        <w:rPr>
          <w:rFonts w:ascii="Garamond" w:hAnsi="Garamond"/>
          <w:lang w:val="en-GB"/>
        </w:rPr>
        <w:t xml:space="preserve"> (im weiteren Sinne). Sie gestehen mir zu, daß die </w:t>
      </w:r>
      <w:r w:rsidRPr="008725BE">
        <w:rPr>
          <w:rFonts w:ascii="Garamond" w:hAnsi="Garamond"/>
          <w:i/>
          <w:iCs/>
          <w:lang w:val="en-GB"/>
        </w:rPr>
        <w:t>Bedeutsamkeit</w:t>
      </w:r>
      <w:r w:rsidRPr="008725BE">
        <w:rPr>
          <w:rFonts w:ascii="Garamond" w:hAnsi="Garamond"/>
          <w:lang w:val="en-GB"/>
        </w:rPr>
        <w:t xml:space="preserve"> solcher Szenen keiner weiteren Begründung bedarf; fügen Sie nun noch hinzu, daß Sie in den Details derselben jedesmal die </w:t>
      </w:r>
      <w:r w:rsidRPr="008725BE">
        <w:rPr>
          <w:rFonts w:ascii="Garamond" w:hAnsi="Garamond"/>
          <w:i/>
          <w:iCs/>
          <w:lang w:val="en-GB"/>
        </w:rPr>
        <w:t>determinierenden</w:t>
      </w:r>
      <w:r w:rsidRPr="008725BE">
        <w:rPr>
          <w:rFonts w:ascii="Garamond" w:hAnsi="Garamond"/>
          <w:lang w:val="en-GB"/>
        </w:rPr>
        <w:t xml:space="preserve"> Momente auffinden können, die Sie etwa in den anderen, später erfolgten und früher reproduzierten Szenen noch vermißt hätten.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stelle also die Behauptung auf, zugrunde jedes Falles von Hysterie befinden sich – durch die analytische Arbeit reproduzierbar, trotz des Dezennien umfassenden Zeitintervalles – </w:t>
      </w:r>
      <w:r w:rsidRPr="008725BE">
        <w:rPr>
          <w:rFonts w:ascii="Garamond" w:hAnsi="Garamond"/>
          <w:i/>
          <w:iCs/>
          <w:lang w:val="en-GB"/>
        </w:rPr>
        <w:t>ein oder mehrere Erlebnisse von vorzeitiger sexueller Erfahrung</w:t>
      </w:r>
      <w:r w:rsidRPr="008725BE">
        <w:rPr>
          <w:rFonts w:ascii="Garamond" w:hAnsi="Garamond"/>
          <w:lang w:val="en-GB"/>
        </w:rPr>
        <w:t xml:space="preserve">, die der frühesten Jugend angehören </w:t>
      </w:r>
      <w:hyperlink r:id="rId93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Siehe die Bemerkung [Nr. 3] auf S. 65.</w:t>
        </w:r>
      </w:hyperlink>
      <w:r w:rsidRPr="008725BE">
        <w:rPr>
          <w:rFonts w:ascii="Garamond" w:hAnsi="Garamond"/>
          <w:lang w:val="en-GB"/>
        </w:rPr>
        <w:t xml:space="preserve">. Ich halte dies für eine wichtige Enthüllung, für die Auffindung eines </w:t>
      </w:r>
      <w:r w:rsidRPr="008725BE">
        <w:rPr>
          <w:rFonts w:ascii="Garamond" w:hAnsi="Garamond"/>
          <w:i/>
          <w:iCs/>
          <w:lang w:val="en-GB"/>
        </w:rPr>
        <w:t>caput Nili</w:t>
      </w:r>
      <w:hyperlink r:id="rId93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Nilquelle. Die Lage der Nilquellen war lange Zeit ein Rätsel.</w:t>
        </w:r>
      </w:hyperlink>
      <w:r w:rsidRPr="008725BE">
        <w:rPr>
          <w:rFonts w:ascii="Garamond" w:hAnsi="Garamond"/>
          <w:lang w:val="en-GB"/>
        </w:rPr>
        <w:t xml:space="preserve"> der Neuropathologie, aber ich weiß kaum, wo anzuknüpfen, um die Erörterung dieser Verhältnisse fortzuführen. Soll ich mein aus den Analysen gewonnenes tatsächliches Material vor Ihnen ausbreiten, oder soll ich nicht lieber vorerst der Masse von Einwänden und Zweifeln zu begegnen suchen, die jetzt von Ihrer Aufmerksamkeit Besitz ergriffen haben, wie ich wohl mit Recht vermuten darf? Ich wähle das letztere; vielleicht können wir dann um so ruhiger beim Tatsächlichen verweilen: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a)</w:t>
      </w:r>
      <w:r w:rsidRPr="008725BE">
        <w:rPr>
          <w:rFonts w:ascii="Garamond" w:hAnsi="Garamond"/>
          <w:lang w:val="en-GB"/>
        </w:rPr>
        <w:t xml:space="preserve"> Wer der psychologischen Auffassung der Hysterie überhaupt feindlich entgegensteht, die Hoffnung nicht aufgeben möchte, daß es einst gelingen wird, ihre Symptome auf »feinere anatomische Veränderungen« zurückzuführen, und die Einsicht abgewiesen hat, daß die materiellen Grundlagen der hysterischen Veränderungen nicht anders als gleichartig sein können mit jenen unserer normalen Seelenvorgänge, der wird selbstverständlich für die Ergebnisse unserer Analysen kein Vertrauen übrig haben; die prinzipielle Verschiedenheit seiner Voraussetzungen von den unserigen entbindet uns aber auch der Verpflichtung, ihn in einer Einzelfrage zu überzeugen.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Aber auch ein anderer, der sich minder abweisend gegen die psychologischen Theorien der Hysterie verhält, wird angesichts unserer analytischen Ergebnisse die Frage aufzuwerfen versucht sein, welche Sicherheit die Anwendung der Psychoanalyse mit sich bringt, ob es denn nicht sehr wohl möglich sei, daß entweder der Arzt solche Szenen als angebliche Erinnerung dem gefälligen Kranken aufdrängt oder daß der Kranke ihm absichtliche Erfindungen und freie Phantasien vorträgt, die jener für echt annimmt. Nun, ich habe darauf zu erwidern, die allgemeinen Bedenken gegen die Verläßlichkeit der psychoanalytischen Methode können erst gewürdigt und beseitigt werden, wenn eine vollständige Darstellung ihrer Technik und ihrer Resultate vorliegen wird; die Bedenken gegen die Echtheit der infantilen Sexualszenen aber kann man bereits heute durch mehr als ein Argument entkräften. Zunächst ist das Benehmen der Kranken, während sie diese infantilen Erlebnisse reproduzieren, nach allen Richtungen hin unvereinbar mit der Annahme, die Szenen seien etwas anderes als peinlich empfundene und höchst ungern erinnerte Realität. Die Kranken wissen vor Anwendung der Analyse nichts von diesen Szenen, sie pflegen sich zu empören, wenn man ihnen etwa das Auftauchen derselben ankündigt; sie können nur durch den stärksten Zwang der Behandlung bewogen werden, sich in deren Reproduktion einzulassen, sie leiden unter den heftigsten Sensationen, deren sie sich schämen und die sie zu verbergen trachten, während sie sich diese infantilen Erlebnisse ins Bewußtsein rufen, und noch, nachdem sie dieselben in so überzeugender Weise wieder durchgemacht haben, versuchen sie es, ihnen den Glauben zu versagen, indem sie betonen, daß sich hiefür nicht wie bei anderem Vergessenen ein Erinnerungsgefühl eingestellt hat </w:t>
      </w:r>
      <w:hyperlink r:id="rId93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All dies ist richtig, aber es ist zu bedenken, daß ich mich damals von der Überschätzung der Realität und der Geringschätzung der Phantasie noch nicht frei gemacht hatte.</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Letzteres Verhalten scheint nun absolut beweiskräftig zu sein. Wozu sollten die Kranken mich so entschieden ihres Unglaubens versichern, wenn sie aus irgendeinem Motiv die Dinge, die sie entwerten wollen, selbst erfunden haben?</w:t>
      </w:r>
    </w:p>
    <w:p w:rsidR="008725BE" w:rsidRPr="008725BE" w:rsidRDefault="008725BE" w:rsidP="008725BE">
      <w:pPr>
        <w:pStyle w:val="Sansinterligne"/>
        <w:rPr>
          <w:rFonts w:ascii="Garamond" w:hAnsi="Garamond"/>
          <w:lang w:val="en-GB"/>
        </w:rPr>
      </w:pPr>
      <w:r w:rsidRPr="008725BE">
        <w:rPr>
          <w:rFonts w:ascii="Garamond" w:hAnsi="Garamond"/>
          <w:lang w:val="en-GB"/>
        </w:rPr>
        <w:t>Daß der Arzt dem Kranken derartige Reminiszenzen aufdränge, ihn zu ihrer Vorstellung und Wiedergabe suggeriere, ist weniger bequem zu widerlegen, erscheint mir aber ebenso unhaltbar. Mir ist es noch nie gelungen, einem Kranken eine Szene, die ich erwartete, derart aufzudrängen, daß er sie mit allen zu ihr gehörigen Empfindungen zu durchleben schien; vielleicht treffen es andere besser.</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Es gibt aber noch eine ganze Reihe anderer Bürgschaften für die Realität der infantilen Sexualszenen. Zunächst deren Uniformität in gewissen Einzelheiten, wie sie sich aus den gleichartig wiederkehrenden Voraussetzungen dieser Erlebnisse ergeben muß, während man sonst geheime Verabredungen zwischen den einzelnen Kranken für glaubhaft halten müßte. Sodann, daß die Kranken gelegentlich wie harmlos Vorgänge beschreiben, deren Bedeutung sie offenbar nicht verstehen, weil sie sonst entsetzt sein müßten, oder daß sie, ohne Wert darauf zu legen, Einzelheiten berühren, die nur ein Lebenserfahrener kennt und als feine Charakterzüge des Realen zu schätzen versteht.</w:t>
      </w:r>
    </w:p>
    <w:p w:rsidR="008725BE" w:rsidRPr="008725BE" w:rsidRDefault="008725BE" w:rsidP="008725BE">
      <w:pPr>
        <w:pStyle w:val="Sansinterligne"/>
        <w:rPr>
          <w:rFonts w:ascii="Garamond" w:hAnsi="Garamond"/>
          <w:lang w:val="en-GB"/>
        </w:rPr>
      </w:pPr>
      <w:r w:rsidRPr="008725BE">
        <w:rPr>
          <w:rFonts w:ascii="Garamond" w:hAnsi="Garamond"/>
          <w:lang w:val="en-GB"/>
        </w:rPr>
        <w:t>Verstärken solche Vorkommnisse den Eindruck, daß die Kranken wirklich erlebt haben müssen, was sie unter dem Zwang der Analyse als Szene aus der Kindheit reproduzieren, so entspringt ein anderer und mächtigerer Beweis hiefür aus der Beziehung der Infantilszenen zum Inhalt der ganzen übrigen Krankengeschichte. Wie bei den Zusammenlegbildern der Kinder sich nach mancherlei Probieren schließlich eine absolute Sicherheit herausstellt, welches Stück in die freigelassene Lücke gehört – weil nur dieses eine gleichzeitig das Bild ergänzt und sich mit seinen unregelmäßigen Zacken zwischen die Zacken der anderen so einpassen läßt, daß kein freier Raum bleibt und kein Übereinanderschieben notwendig wird –, so erweisen sich die Infantilszenen inhaltlich als unabweisbare Ergänzungen für das assoziative und logische Gefüge der Neurose, nach deren Einfügung erst der Hergang verständlich – man möchte oftmals sagen: selbstverständlich – wird.</w:t>
      </w:r>
    </w:p>
    <w:p w:rsidR="008725BE" w:rsidRPr="008725BE" w:rsidRDefault="008725BE" w:rsidP="008725BE">
      <w:pPr>
        <w:pStyle w:val="Sansinterligne"/>
        <w:rPr>
          <w:rFonts w:ascii="Garamond" w:hAnsi="Garamond"/>
          <w:lang w:val="en-GB"/>
        </w:rPr>
      </w:pPr>
      <w:r w:rsidRPr="008725BE">
        <w:rPr>
          <w:rFonts w:ascii="Garamond" w:hAnsi="Garamond"/>
          <w:lang w:val="en-GB"/>
        </w:rPr>
        <w:t>Daß auch der therapeutische Beweis für die Echtheit der Infantilszenen in einer Reihe von Fällen zu erbringen ist, füge ich hinzu, ohne diesen in den Vordergrund drängen zu wollen. Es gibt Fälle, in denen ein vollständiger oder partieller Heilerfolg zu erreichen ist, ohne daß man bis zu den Infantilerlebnissen herabsteigen muß; andere, in welchen jeder Erfolg ausbleibt, ehe die Analyse ihr natürliches Ende mit der Aufdeckung der frühesten Traumen gefunden hat. Ich meine, im ersteren Falle sei man vor Rezidiven nicht gesichert; ich erwarte, daß eine vollständige Psychoanalyse die radikale Heilung einer Hysterie bedeutet. Indes, greifen wir hier den Lehren der Erfahrung nicht vor!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gäbe noch einen, einen wirklich unantastbaren Beweis für die Echtheit der sexuellen Kindererlebnisse, wenn nämlich die Angaben der einen Person in der Analyse durch die Mitteilung einer anderen Person in oder außerhalb einer Behandlung bestätigt würden. Diese beiden Personen müßten in ihrer Kindheit an demselben Erlebnis Anteil genommen haben, etwa in einem sexuellen Verhältnis zueinander gestanden sein. Solche Kinderverhältnisse sind, wie Sie gleich hören werden, gar nicht selten; es kommt auch häufig genug vor, daß beide Beteiligte später an Neurosen erkranken, und doch, meine ich, ist es ein Glücksfall, daß mir eine solche objektive Bestätigung unter achtzehn Fällen zweimal gelungen ist. Einmal war es der gesund gebliebene Bruder, der mir unaufgefordert zwar nicht die frühesten Sexualerlebnisse mit seiner kranken Schwester, aber wenigstens solche Szenen aus ihrer späteren Kindheit und die Tatsache von weiter zurückreichenden sexuellen Beziehungen bekräftigte. Ein andermal traf es sich, daß zwei in Behandlung stehende Frauen als Kinder mit der nämlichen männlichen Person sexuell verkehrt hatten, wobei einzelne Szenen </w:t>
      </w:r>
      <w:r w:rsidRPr="008725BE">
        <w:rPr>
          <w:rFonts w:ascii="Garamond" w:hAnsi="Garamond"/>
          <w:i/>
          <w:iCs/>
          <w:lang w:val="en-GB"/>
        </w:rPr>
        <w:t>à trois</w:t>
      </w:r>
      <w:hyperlink r:id="rId93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zu dritt</w:t>
        </w:r>
      </w:hyperlink>
      <w:r w:rsidRPr="008725BE">
        <w:rPr>
          <w:rFonts w:ascii="Garamond" w:hAnsi="Garamond"/>
          <w:lang w:val="en-GB"/>
        </w:rPr>
        <w:t xml:space="preserve"> zustande gekommen waren. Ein gewisses Symptom, das sich von diesen Kindererlebnissen ableitete, war, als Zeuge dieser Gemeinschaft, in beiden Fällen zur Ausbildung gelangt.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b)</w:t>
      </w:r>
      <w:r w:rsidRPr="008725BE">
        <w:rPr>
          <w:rFonts w:ascii="Garamond" w:hAnsi="Garamond"/>
          <w:lang w:val="en-GB"/>
        </w:rPr>
        <w:t xml:space="preserve"> Sexuelle Erfahrungen der Kindheit, die in Reizungen der Genitalien, koitusähnlichen Handlungen usw. bestehen, sollen also in letzter Analyse als jene Traumen anerkannt werden, von denen die hysterische Reaktion gegen Pubertätserlebnisse und die Entwicklung hysterischer Symptome ausgeht. Gegen diesen Ausspruch werden sicherlich von verschiedenen Seiten zwei zueinander gegensätzliche Einwendungen erhoben werden. Die einen werden sagen, derartige sexuelle Mißbräuche, an Kindern verübt oder von Kindern untereinander, kämen zu selten vor, als daß man mit ihnen die Bedingtheit einer so häufigen Neurose wie der Hysterie decken könnte; andere werden vielleicht geltend machen, dergleichen Erlebnisse seien im Gegenteil sehr häufig, allzu häufig, als daß man ihrer Feststellung eine ätiologische Bedeutung zusprechen könnte. Sie werden ferner anführen, daß es bei einiger Umfrage leicht fällt, Personen aufzufinden, die sich an Szenen von sexueller Verführung und sexuellem Mißbrauche in ihren Kinderjahren erinnern, und die doch niemals hysterisch gewesen sind. Endlich werden wir als schwerwiegendes Argument zu hören bekommen, daß in den niederen Schichten der Bevölkerung die Hysterie gewiß nicht häufiger vorkommt als in den höchsten, während doch alles dafür spricht, daß das Gebot der sexuellen Schonung des Kindesalters an den Proletarierkindern ungleich häufiger übertreten wird.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Beginnen wir unsere Verteidigung mit dem leichteren Teil der Aufgabe. Es scheint mir sicher, daß unsere Kinder weit häufiger sexuellen Angriffen ausgesetzt sind, als man nach der geringen, von den Eltern </w:t>
      </w:r>
      <w:r w:rsidRPr="008725BE">
        <w:rPr>
          <w:rFonts w:ascii="Garamond" w:hAnsi="Garamond"/>
          <w:lang w:val="en-GB"/>
        </w:rPr>
        <w:lastRenderedPageBreak/>
        <w:t>hierauf verwendeten Fürsorge erwarten sollte. Bei den ersten Erkundigungen, was über dieses Thema bekannt sei, erfuhr ich von Kollegen, daß mehrere Publikationen von Kinderärzten vorliegen, welche die Häufigkeit sexueller Praktiken selbst an Säuglingen von Seiten der Ammen und Kinderfrauen anklagen, und aus den letzten Wochen ist mir eine von Dr. Stekel in Wien herrührende Studie in die Hand geraten, die sich mit dem ›Koitus im Kindesalter‹ beschäftigt (1895). Ich habe nicht Zeit gehabt, andere literarische Zeugnisse zu sammeln, aber selbst, wenn diese sich nur vereinzelt fänden, dürfte man erwarten, daß mit der Steigerung der Aufmerksamkeit für dieses Thema sehr bald die große Häufigkeit von sexuellen Erlebnissen und sexueller Betätigung im Kindesalter bestätigt werden wird.</w:t>
      </w:r>
    </w:p>
    <w:p w:rsidR="008725BE" w:rsidRPr="008725BE" w:rsidRDefault="008725BE" w:rsidP="008725BE">
      <w:pPr>
        <w:pStyle w:val="Sansinterligne"/>
        <w:rPr>
          <w:rFonts w:ascii="Garamond" w:hAnsi="Garamond"/>
          <w:lang w:val="en-GB"/>
        </w:rPr>
      </w:pPr>
      <w:r w:rsidRPr="008725BE">
        <w:rPr>
          <w:rFonts w:ascii="Garamond" w:hAnsi="Garamond"/>
          <w:lang w:val="en-GB"/>
        </w:rPr>
        <w:t>Schließlich sind die Ergebnisse meiner Analyse imstande, für sich selbst zu sprechen. In sämtlichen achtzehn Fällen (von reiner Hysterie und Hysterie mit Zwangsvorstellungen kombiniert, sechs Männer und zwölf Frauen) bin ich, wie erwähnt, zur Kenntnis solcher sexueller Erlebnisse des Kindesalters gelangt. Ich kann meine Fälle in drei Gruppen bringen, je nach der Herkunft der sexuellen Reizung. In der ersten Gruppe handelt es sich um Attentate, einmaligen oder doch vereinzelten Mißbrauch meist weiblicher Kinder von Seiten erwachsener, fremder Individuen (die dabei groben, mechanischen Insult zu vermeiden verstanden), wobei die Einwilligung der Kinder nicht in Frage kam und als nächste Folge des Erlebnisses der Schreck überwog. Eine zweite Gruppe bilden jene weit zahlreicheren Fälle, in denen eine das Kind wartende erwachsene Person – Kindermädchen, Kindsfrau, Gouvernante, Lehrer, leider auch allzuhäufig ein naher Verwandter – das Kind in den sexuellen Verkehr einführte und ein – auch nach der seelischen Richtung ausgebildetes – förmliches Liebesverhältnis, oft durch Jahre, mit ihm unterhielt. In die dritte Gruppe endlich gehören die eigentlichen Kinderverhältnisse, sexuelle Beziehungen zwischen zwei Kindern verschiedenen Geschlechtes, zumeist zwischen Geschwistern, die oft über die Pubertät hinaus fortgesetzt werden und die nachhaltigsten Folgen für das betreffende Paar mit sich bringen. In den meisten meiner Fälle ergab sich kombinierte Wirkung von zwei oder mehreren solcher Ätiologien; in einzelnen war die Häufung der sexuellen Erlebnisse von verschiedenen Seiten her geradezu erstaunlich. Sie verstehen aber diese Eigentümlichkeit meiner Beobachtungen leicht, wenn Sie in Betracht ziehen, daß ich durchweg Fälle von schwerer neurotischer Erkrankung, die mit Existenzunfähigkeit drohte, zu behandeln hatte.</w:t>
      </w:r>
    </w:p>
    <w:p w:rsidR="008725BE" w:rsidRPr="008725BE" w:rsidRDefault="008725BE" w:rsidP="008725BE">
      <w:pPr>
        <w:pStyle w:val="Sansinterligne"/>
        <w:rPr>
          <w:rFonts w:ascii="Garamond" w:hAnsi="Garamond"/>
          <w:lang w:val="en-GB"/>
        </w:rPr>
      </w:pPr>
      <w:r w:rsidRPr="008725BE">
        <w:rPr>
          <w:rFonts w:ascii="Garamond" w:hAnsi="Garamond"/>
          <w:lang w:val="en-GB"/>
        </w:rPr>
        <w:t>Wo ein Verhältnis zwischen zwei Kindern vorlag, gelang nun einige Male der Nachweis, daß der Knabe – der auch hier die aggressive Rolle spielt – vorher von einer erwachsenen weiblichen Person verführt worden war und daß er dann unter dem Drucke seiner vorzeitig geweckten Libido und infolge des Erinnerungszwanges an dem kleinen Mädchen genau die nämlichen Praktiken zu wiederholen suchte, die er bei den Erwachsenen erlernt hatte, ohne daß er selbständig eine Modifikation in der Art der sexuellen Betätigung vorgenommen hätte.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bin daher geneigt anzunehmen, daß ohne vorherige Verführung Kinder den Weg zu Akten sexueller Aggression nicht zu finden vermögen. Der Grund zur Neurose würde demnach im Kindesalter immer von Seiten Erwachsener gelegt, und die Kinder selbst übertragen einander die Disposition, später an Hysterie zu erkranken. Ich bitte, verweilen Sie noch einen Moment bei der besonderen Häufigkeit sexueller Beziehungen im Kindesalter gerade zwischen Geschwistern und Vettern infolge der Gelegenheit zu häufigem Beisammensein, stellen Sie sich vor, daß zehn oder fünfzehn Jahre später in dieser Familie mehrere Individuen der jungen Generation krank gefunden werden, und fragen Sie sich, ob dieses familiäre Auftreten der Neurose nicht geeignet ist, zur Annahme einer erblichen Disposition zu verleiten, wo doch nur eine </w:t>
      </w:r>
      <w:r w:rsidRPr="008725BE">
        <w:rPr>
          <w:rFonts w:ascii="Garamond" w:hAnsi="Garamond"/>
          <w:i/>
          <w:iCs/>
          <w:lang w:val="en-GB"/>
        </w:rPr>
        <w:t>Pseudoheredität</w:t>
      </w:r>
      <w:r w:rsidRPr="008725BE">
        <w:rPr>
          <w:rFonts w:ascii="Garamond" w:hAnsi="Garamond"/>
          <w:lang w:val="en-GB"/>
        </w:rPr>
        <w:t xml:space="preserve"> vorliegt und in Wirklichkeit eine Übertragung, eine Infektion in der Kindheit stattgefunden hat.</w:t>
      </w:r>
    </w:p>
    <w:p w:rsidR="008725BE" w:rsidRPr="008725BE" w:rsidRDefault="008725BE" w:rsidP="008725BE">
      <w:pPr>
        <w:pStyle w:val="Sansinterligne"/>
        <w:rPr>
          <w:rFonts w:ascii="Garamond" w:hAnsi="Garamond"/>
        </w:rPr>
      </w:pPr>
      <w:r w:rsidRPr="008725BE">
        <w:rPr>
          <w:rFonts w:ascii="Garamond" w:hAnsi="Garamond"/>
          <w:lang w:val="en-GB"/>
        </w:rPr>
        <w:t xml:space="preserve">Nun wenden wir uns zu dem andern Einwand, welcher gerade auf der zugestandenen Häufigkeit infantiler Sexualerlebnisse und auf der Erfahrung fußt, daß viele Personen sich an solche Szenen erinnern, die nicht hysterisch geworden sind. Dagegen sagen wir zunächst, daß die übergroße Häufigkeit eines ätiologischen Moments unmöglich zum Vorwurf gegen dessen ätiologische Bedeutung verwendet werden kann. Ist der Tuberkelbazillus nicht allgegenwärtig und wird von weit mehr Menschen eingeatmet, als sich an Tuberkulose erkrankt zeigen? Und wird seine ätiologische Bedeutung durch die Tatsache geschädigt, daß er offenbar der Mitwirkung anderer Faktoren bedarf, um die Tuberkulose, seinen spezifischen Effekt, hervorzurufen? Es reicht für seine Würdigung als spezifische Ätiologie aus, daß Tuberkulose nicht möglich ist ohne seine Mitwirkung. Das gleiche gilt wohl auch für unser Problem. Es stört nicht, wenn viele Menschen infantile Sexualszenen erleben, ohne hysterisch zu werden; wenn nur alle, die hysterisch werden, solche Szenen erlebt haben. </w:t>
      </w:r>
      <w:r w:rsidRPr="008725BE">
        <w:rPr>
          <w:rFonts w:ascii="Garamond" w:hAnsi="Garamond"/>
        </w:rPr>
        <w:t xml:space="preserve">Der Kreis des Vorkommens eines ätiologischen Faktors darf gerne ausgedehnter sein als der seines Effekts, nur nicht enger. Es erkranken nicht alle an Blattern, die einen </w:t>
      </w:r>
      <w:r w:rsidRPr="008725BE">
        <w:rPr>
          <w:rFonts w:ascii="Garamond" w:hAnsi="Garamond"/>
        </w:rPr>
        <w:lastRenderedPageBreak/>
        <w:t>Blatternkranken berühren oder ihm nahe kommen, und doch ist Übertragung von einem Blatternkranken fast die einzige uns bekannte Ätiologie der Erkrankung.</w:t>
      </w:r>
    </w:p>
    <w:p w:rsidR="008725BE" w:rsidRPr="008725BE" w:rsidRDefault="008725BE" w:rsidP="008725BE">
      <w:pPr>
        <w:pStyle w:val="Sansinterligne"/>
        <w:rPr>
          <w:rFonts w:ascii="Garamond" w:hAnsi="Garamond"/>
        </w:rPr>
      </w:pPr>
      <w:r w:rsidRPr="008725BE">
        <w:rPr>
          <w:rFonts w:ascii="Garamond" w:hAnsi="Garamond"/>
        </w:rPr>
        <w:t>Freilich, wenn infantile Betätigung der Sexualität ein fast allgemeines Vorkommnis wäre, dann fiele auf deren Nachweis in allen Fällen kein Gewicht. Aber erstens wäre eine derartige Behauptung sicherlich eine arge Übertreibung, und zweitens ruht der ätiologische Anspruch der infantilen Szenen nicht allein auf der Beständigkeit ihres Vorkommens in der Anamnese der Hysterischen, sondern vor allem auf dem Nachweis der assoziativen und logischen Bande zwischen ihnen und den hysterischen Symptomen, der Ihnen aus einer vollständig mitgeteilten Krankengeschichte sonnenklar einleuchten würde.</w:t>
      </w:r>
    </w:p>
    <w:p w:rsidR="008725BE" w:rsidRPr="008725BE" w:rsidRDefault="008725BE" w:rsidP="008725BE">
      <w:pPr>
        <w:pStyle w:val="Sansinterligne"/>
        <w:rPr>
          <w:rFonts w:ascii="Garamond" w:hAnsi="Garamond"/>
          <w:lang w:val="en-GB"/>
        </w:rPr>
      </w:pPr>
      <w:r w:rsidRPr="008725BE">
        <w:rPr>
          <w:rFonts w:ascii="Garamond" w:hAnsi="Garamond"/>
        </w:rPr>
        <w:t xml:space="preserve">Welches mögen die anderen Momente sein, deren die »spezifische Ätiologie« der Hysterie noch bedarf, um die Neurose wirklich zu produzieren? Dies, meine Herren, ist eigentlich ein Thema für sich, das ich zu behandeln nicht vorhabe; ich brauche heute bloß die Kontaktstelle aufzuzeigen, an welcher die beiden Teilstücke des Themas – spezifische und Hilfsätiologie – ineinander greifen. Es wird wohl eine ziemliche Anzahl von Faktoren in Betracht kommen, die erbliche und persönliche Konstitution, die innere Bedeutsamkeit der infantilen Sexualerlebnisse, vor allem deren Häufung; ein kurzes Verhältnis mit einem fremden, später gleichgültigen Knaben wird an Wirksamkeit zurückstehen gegen mehrjährige, innige, sexuelle Beziehungen zum eigenen Bruder. </w:t>
      </w:r>
      <w:r w:rsidRPr="008725BE">
        <w:rPr>
          <w:rFonts w:ascii="Garamond" w:hAnsi="Garamond"/>
          <w:lang w:val="en-GB"/>
        </w:rPr>
        <w:t xml:space="preserve">Es sind in der Ätiologie der Neurosen quantitative Bedingungen ebensowohl bedeutsam wie qualitative; es sind Schwellenwerte zu überschreiten, wenn die Krankheit manifest werden soll. Ich halte die obige ätiologische Reihe übrigens selbst nicht für vollzählig und das Rätsel, warum die Hysterie in den niederen Ständen nicht häufiger ist, durch sie noch nicht erledigt. (Erinnern Sie sich übrigens, welche überraschend große Verbreitung Charcot für die männliche Hysterie des Arbeiterstandes behauptete.) Ich darf Sie aber auch daran mahnen, daß ich selbst vor wenigen Jahren auf ein bisher wenig gewürdigtes Moment hingewiesen habe, für welches ich die Hauptrolle in der Hervorrufung der Hysterie nach der Pubertät in Anspruch nehme. Ich habe damals ausgeführt, daß sich der Ausbruch der Hysterie fast regelmäßig auf einen </w:t>
      </w:r>
      <w:r w:rsidRPr="008725BE">
        <w:rPr>
          <w:rFonts w:ascii="Garamond" w:hAnsi="Garamond"/>
          <w:i/>
          <w:iCs/>
          <w:lang w:val="en-GB"/>
        </w:rPr>
        <w:t>psychischen Konflikt</w:t>
      </w:r>
      <w:r w:rsidRPr="008725BE">
        <w:rPr>
          <w:rFonts w:ascii="Garamond" w:hAnsi="Garamond"/>
          <w:lang w:val="en-GB"/>
        </w:rPr>
        <w:t xml:space="preserve"> zurückführen läßt, indem eine unverträgliche Vorstellung die </w:t>
      </w:r>
      <w:r w:rsidRPr="008725BE">
        <w:rPr>
          <w:rFonts w:ascii="Garamond" w:hAnsi="Garamond"/>
          <w:i/>
          <w:iCs/>
          <w:lang w:val="en-GB"/>
        </w:rPr>
        <w:t>Abwehr</w:t>
      </w:r>
      <w:r w:rsidRPr="008725BE">
        <w:rPr>
          <w:rFonts w:ascii="Garamond" w:hAnsi="Garamond"/>
          <w:lang w:val="en-GB"/>
        </w:rPr>
        <w:t xml:space="preserve"> des Ichs rege mache und zur Verdrängung auffordere. Unter welchen Verhältnissen dieses Abwehrbestreben den pathologischen Effekt hat, die dem Ich peinliche Erinnerung wirklich ins Unbewußte zu drängen und an ihrer Statt ein hysterisches Symptom zu schaffen, das konnte ich damals nicht angeben. Ich ergänze es heute: </w:t>
      </w:r>
      <w:r w:rsidRPr="008725BE">
        <w:rPr>
          <w:rFonts w:ascii="Garamond" w:hAnsi="Garamond"/>
          <w:i/>
          <w:iCs/>
          <w:lang w:val="en-GB"/>
        </w:rPr>
        <w:t>Die Abwehr erreicht dann ihre Absicht, die unverträgliche Vorstellung aus dem Bewußtsein zu drängen, wenn bei der betreffenden, bis dahin gesunden Person infantile Sexualszenen als unbewußte Erinnerungen vorhanden sind und wenn die zu verdrängende Vorstellung in logischen oder assoziativen Zusammenhang mit einem solchen infantilen Erlebnis gebracht werden kann.</w:t>
      </w:r>
    </w:p>
    <w:p w:rsidR="008725BE" w:rsidRPr="008725BE" w:rsidRDefault="008725BE" w:rsidP="008725BE">
      <w:pPr>
        <w:pStyle w:val="Sansinterligne"/>
        <w:rPr>
          <w:rFonts w:ascii="Garamond" w:hAnsi="Garamond"/>
          <w:lang w:val="en-GB"/>
        </w:rPr>
      </w:pPr>
      <w:r w:rsidRPr="008725BE">
        <w:rPr>
          <w:rFonts w:ascii="Garamond" w:hAnsi="Garamond"/>
          <w:lang w:val="en-GB"/>
        </w:rPr>
        <w:t>Da das Abwehrbestreben des Ichs von der gesamten moralischen und intellektuellen Ausbildung der Person abhängt, sind wir nun nicht mehr ohne jedes Verständnis für die Tatsache, daß die Hysterie beim niederen Volk so viel seltener ist, als ihre spezifische Ätiologie gestatten würde.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Meine Herren, kehren wir noch einmal zurück zu jener letzten Gruppe von Einwänden, deren Beantwortung uns so weit geführt hat. Wir haben gehört und anerkannt, daß es zahlreiche Personen gibt, die infantile Sexualerlebnisse sehr deutlich erinnern und die doch nicht hysterisch sind. Dieser Einwand ist ganz ohne Gewicht, er wird uns aber Anlaß zu einer wertvollen Bemerkung bieten. Personen dieser Art </w:t>
      </w:r>
      <w:r w:rsidRPr="008725BE">
        <w:rPr>
          <w:rFonts w:ascii="Garamond" w:hAnsi="Garamond"/>
          <w:i/>
          <w:iCs/>
          <w:lang w:val="en-GB"/>
        </w:rPr>
        <w:t>dürfen</w:t>
      </w:r>
      <w:r w:rsidRPr="008725BE">
        <w:rPr>
          <w:rFonts w:ascii="Garamond" w:hAnsi="Garamond"/>
          <w:lang w:val="en-GB"/>
        </w:rPr>
        <w:t xml:space="preserve"> nach unserem Verständnis der Neurose gar nicht hysterisch sein oder wenigstens nicht hysterisch infolge der Szenen, die sie bewußt erinnern. Bei unseren Kranken sind diese Erinnerungen niemals bewußt; wir heilen sie aber von ihrer Hysterie, indem wir ihnen die unbewußten Erinnerungen der Infantilszenen in bewußte verwandeln. An der Tatsache, daß sie solche Erlebnisse gehabt haben, konnten und brauchten wir nichts zu ändern. Sie ersehen daraus, daß es auf die Existenz der infantilen Sexualerlebnisse allein nicht ankommt, sondern daß eine psychologische Bedingung noch dabei ist. Diese Szenen müssen als </w:t>
      </w:r>
      <w:r w:rsidRPr="008725BE">
        <w:rPr>
          <w:rFonts w:ascii="Garamond" w:hAnsi="Garamond"/>
          <w:i/>
          <w:iCs/>
          <w:lang w:val="en-GB"/>
        </w:rPr>
        <w:t>unbewußte Erinnerungen</w:t>
      </w:r>
      <w:r w:rsidRPr="008725BE">
        <w:rPr>
          <w:rFonts w:ascii="Garamond" w:hAnsi="Garamond"/>
          <w:lang w:val="en-GB"/>
        </w:rPr>
        <w:t xml:space="preserve"> vorhanden sein; nur solange und insofern sie unbewußt sind, können sie hysterische Symptome erzeugen und unterhalten. Wovon es aber abhängt, ob diese Erlebnisse bewußte oder unbewußte Erinnerungen ergeben, ob die Bedingung hiefür im Inhalt der Erlebnisse, in der Zeit, zu der sie vorfallen, oder in späteren Einflüssen liegt, dies ist ein neues Problem, dem wir behutsam aus dem Wege gehen wollen. Lassen Sie sich bloß daran mahnen, daß uns die Analyse als erstes Resultat den Satz gebracht hat: </w:t>
      </w:r>
      <w:r w:rsidRPr="008725BE">
        <w:rPr>
          <w:rFonts w:ascii="Garamond" w:hAnsi="Garamond"/>
          <w:i/>
          <w:iCs/>
          <w:lang w:val="en-GB"/>
        </w:rPr>
        <w:t>Die hysterischen Symptome sind Abkömmlinge unbewußt wirkender Erinnerungen.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c)</w:t>
      </w:r>
      <w:r w:rsidRPr="008725BE">
        <w:rPr>
          <w:rFonts w:ascii="Garamond" w:hAnsi="Garamond"/>
          <w:lang w:val="en-GB"/>
        </w:rPr>
        <w:t xml:space="preserve"> Wenn wir daran festhalten, infantile Sexualerlebnisse seien die Grundbedingung, sozusagen die </w:t>
      </w:r>
      <w:r w:rsidRPr="008725BE">
        <w:rPr>
          <w:rFonts w:ascii="Garamond" w:hAnsi="Garamond"/>
          <w:i/>
          <w:iCs/>
          <w:lang w:val="en-GB"/>
        </w:rPr>
        <w:t>Disposition</w:t>
      </w:r>
      <w:r w:rsidRPr="008725BE">
        <w:rPr>
          <w:rFonts w:ascii="Garamond" w:hAnsi="Garamond"/>
          <w:lang w:val="en-GB"/>
        </w:rPr>
        <w:t xml:space="preserve"> der Hysterie, sie erzeugen die hysterischen Symptome aber nicht unmittelbar, sondern bleiben zunächst wirkungslos und wirken pathogen erst später, wenn sie im Alter nach der Pubertät als unbewußte Erinnerungen geweckt werden, so haben wir uns mit den zahlreichen Beobachtungen auseinanderzusetzen, welche das Auftreten hysterischer Erkrankung bereits im Kindesalter und vor der </w:t>
      </w:r>
      <w:r w:rsidRPr="008725BE">
        <w:rPr>
          <w:rFonts w:ascii="Garamond" w:hAnsi="Garamond"/>
          <w:lang w:val="en-GB"/>
        </w:rPr>
        <w:lastRenderedPageBreak/>
        <w:t>Pubertät erweisen. Indes löst sich die Schwierigkeit wieder, wenn wir die aus den Analysen gewonnenen Daten über die zeitlichen Umstände der infantilen Sexualerlebnisse näher betrachten. Man erfährt dann, daß in unseren schweren Fällen die Bildung hysterischer Symptome nicht etwa ausnahmsweise, sondern eher regelmäßig mit dem achten Jahr beginnt und daß die Sexualerlebnisse, die keine unmittelbare Wirkung äußern, jedesmal weiter zurückreichen, ins dritte, vierte, selbst ins zweite Lebensjahr. Da in keinem einzigen Fall die Kette der wirksamen Erlebnisse mit dem achten Jahr abbricht, muß ich annehmen, daß diese Lebensperiode, in welcher der Wachstumsschub der zweiten Dentition erfolgt, für die Hysterie eine Grenze bildet, von welcher an ihre Verursachung unmöglich wird. Wer nicht frühere Sexualerlebnisse hat, kann von da an nicht mehr zur Hysterie disponiert werden; wer solche hat, kann nun bereits hysterische Symptome entwickeln. Das vereinzelte Vorkommen von Hysterie auch jenseits dieser Altersgrenze (vor acht Jahren) ließe sich noch als Erscheinung der Frühreife deuten. Die Existenz dieser Grenze hängt sehr wahrscheinlich mit Entwicklungsvorgängen im Sexualsystem zusammen. Verfrühung der somatischen Sexualentwicklung kommt häufig zur Beobachtung, und es ist selbst denkbar, daß sie durch vorzeitige sexuelle Reizung befördert werden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 gewinnt so einen Hinweis darauf, daß ein gewisser </w:t>
      </w:r>
      <w:r w:rsidRPr="008725BE">
        <w:rPr>
          <w:rFonts w:ascii="Garamond" w:hAnsi="Garamond"/>
          <w:i/>
          <w:iCs/>
          <w:lang w:val="en-GB"/>
        </w:rPr>
        <w:t>infantiler</w:t>
      </w:r>
      <w:r w:rsidRPr="008725BE">
        <w:rPr>
          <w:rFonts w:ascii="Garamond" w:hAnsi="Garamond"/>
          <w:lang w:val="en-GB"/>
        </w:rPr>
        <w:t xml:space="preserve"> Zustand der psychischen Funktionen wie des Sexualsystems erforderlich ist, damit eine in diese Periode fallende sexuelle Erfahrung später als Erinnerung pathogene Wirkung entfalte. Ich getraue mich indes noch nicht, über die Natur dieses psychischen Infantilismus und über seine zeitliche Begrenzung Näheres auszusagen.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i/>
          <w:iCs/>
          <w:lang w:val="en-GB"/>
        </w:rPr>
        <w:t>d)</w:t>
      </w:r>
      <w:r w:rsidRPr="008725BE">
        <w:rPr>
          <w:rFonts w:ascii="Garamond" w:hAnsi="Garamond"/>
          <w:lang w:val="en-GB"/>
        </w:rPr>
        <w:t xml:space="preserve"> Eine weitere Einwendung könnte etwa daran Anstoß nehmen, daß die </w:t>
      </w:r>
      <w:r w:rsidRPr="008725BE">
        <w:rPr>
          <w:rFonts w:ascii="Garamond" w:hAnsi="Garamond"/>
          <w:i/>
          <w:iCs/>
          <w:lang w:val="en-GB"/>
        </w:rPr>
        <w:t>Erinnerung</w:t>
      </w:r>
      <w:r w:rsidRPr="008725BE">
        <w:rPr>
          <w:rFonts w:ascii="Garamond" w:hAnsi="Garamond"/>
          <w:lang w:val="en-GB"/>
        </w:rPr>
        <w:t xml:space="preserve"> der infantilen Sexualerlebnisse so großartige pathogene Wirkung äußern soll, während das Erleben derselben selbst wirkungslos geblieben ist. Wir sind ja in der Tat nicht daran gewöhnt, daß von einem Erinnerungsbild Kräfte ausgehen, welche dem realen Eindruck gefehlt haben. Sie bemerken hier übrigens, mit welcher Konsequenz bei der Hysterie der Satz durchgeführt ist, daß Symptome nur aus Erinnerungen hervorgehen können. Alle die späteren Szenen, bei denen die Symptome entstehen, sind nicht die wirksamen, und die eigentlich wirksamen Erlebnisse erzeugen zunächst keinen Effekt. Wir stehen aber hier vor einem Problem, welches wir mit gutem Recht von unserem Thema sondern können. Man fühlt sich freilich zu einer Synthese aufgefordert, wenn man die Reihe von auffälligen Bedingungen überdenkt, zu deren Kenntnis wir gelangt sind: daß, um ein hysterisches Symptom zu bilden, ein Abwehrbestreben gegen eine peinliche Vorstellung vorhanden sein muß; daß diese eine logische oder assoziative Verknüpfung aufweisen muß mit einer unbewußten Erinnerung durch wenige oder zahlreiche Mittelglieder, die in diesem Moment gleichfalls unbewußt bleiben; daß jene unbewußte Erinnerung nur sexuellen Inhalts sein kann; daß sie ein Erlebnis zum Inhalt hat, welches sich in einer gewissen infantilen Lebensperiode zugetragen hat; und man kann nicht umhin, sich zu fragen, wie es zugeht, daß diese Erinnerung an ein seinerzeit harmloses Erlebnis posthum die abnorme Wirkung äußert, einen psychischen Vorgang wie das Abwehren zu einem pathologischen Resultat zu leiten, während sie selbst dabei unbewußt bleibt?</w:t>
      </w:r>
    </w:p>
    <w:p w:rsidR="008725BE" w:rsidRPr="008725BE" w:rsidRDefault="008725BE" w:rsidP="008725BE">
      <w:pPr>
        <w:pStyle w:val="Sansinterligne"/>
        <w:rPr>
          <w:rFonts w:ascii="Garamond" w:hAnsi="Garamond"/>
          <w:lang w:val="en-GB"/>
        </w:rPr>
      </w:pPr>
      <w:r w:rsidRPr="008725BE">
        <w:rPr>
          <w:rFonts w:ascii="Garamond" w:hAnsi="Garamond"/>
          <w:lang w:val="en-GB"/>
        </w:rPr>
        <w:t>Man wird sich aber sagen müssen, dies sei ein rein psychologisches Problem, dessen Lösung vielleicht bestimmte Annahmen über die normalen psychischen Vorgänge und über die Rolle des Bewußtseins dabei notwendig macht, das aber einstweilen ungelöst bleiben kann, ohne unsere bisher gewonnene Einsicht in die Ätiologie der hysterischen Phänomene zu entwerten.</w:t>
      </w:r>
    </w:p>
    <w:p w:rsidR="008725BE" w:rsidRPr="008725BE" w:rsidRDefault="008725BE" w:rsidP="008725BE">
      <w:pPr>
        <w:pStyle w:val="Sansinterligne"/>
        <w:rPr>
          <w:rFonts w:ascii="Garamond" w:hAnsi="Garamond"/>
          <w:caps/>
          <w:lang w:val="en-GB"/>
        </w:rPr>
      </w:pPr>
      <w:r w:rsidRPr="008725BE">
        <w:rPr>
          <w:rFonts w:ascii="Garamond" w:hAnsi="Garamond"/>
          <w:caps/>
          <w:lang w:val="en-GB"/>
        </w:rPr>
        <w:t>III</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Meine Herren, das Problem, dessen Ansätze ich soeben formuliert habe, betrifft den </w:t>
      </w:r>
      <w:r w:rsidRPr="008725BE">
        <w:rPr>
          <w:rFonts w:ascii="Garamond" w:hAnsi="Garamond"/>
          <w:i/>
          <w:iCs/>
          <w:lang w:val="en-GB"/>
        </w:rPr>
        <w:t>Mechanismus</w:t>
      </w:r>
      <w:r w:rsidRPr="008725BE">
        <w:rPr>
          <w:rFonts w:ascii="Garamond" w:hAnsi="Garamond"/>
          <w:lang w:val="en-GB"/>
        </w:rPr>
        <w:t xml:space="preserve"> der hysterischen Symptombildung. Wir sind aber genötigt, die </w:t>
      </w:r>
      <w:r w:rsidRPr="008725BE">
        <w:rPr>
          <w:rFonts w:ascii="Garamond" w:hAnsi="Garamond"/>
          <w:i/>
          <w:iCs/>
          <w:lang w:val="en-GB"/>
        </w:rPr>
        <w:t>Verursachung</w:t>
      </w:r>
      <w:r w:rsidRPr="008725BE">
        <w:rPr>
          <w:rFonts w:ascii="Garamond" w:hAnsi="Garamond"/>
          <w:lang w:val="en-GB"/>
        </w:rPr>
        <w:t xml:space="preserve"> dieser Symptome darzustellen, ohne diesen Mechanismus in Betracht zu ziehen, was eine unvermeidliche Einbuße an Abrundung und Durchsichtigkeit unserer Erörterung mit sich bringt. Kehren wir zur Rolle der infantilen Sexualszenen zurück. Ich fürchte, ich könnte Sie zur Überschätzung von deren symptombildender Kraft verleitet haben. Ich betone darum nochmals, daß jeder Fall von Hysterie Symptome aufweist, deren Determinierung nicht aus infantilen, sondern aus späteren, oft aus rezenten Erlebnissen herstammt. Ein anderer Anteil der Symptome geht freilich auf die allerfrühesten Erlebnisse zurück, ist gleichsam von ältestem Adel. Dahin gehören vor allem die so zahlreichen und mannigfaltigen Sensationen und Parästhesien an den Genitalien und anderen Körperstellen, die einfach dem Empfindungsinhalt der Infantilszenen in halluzinatorischer Reproduktion, oft auch in schmerzhafter Verstärkung, entsprechen.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andere Reihe überaus gemeiner hysterischer Phänomene, der schmerzhafte Harndrang, die Sensation bei der Defäkation, Störungen der Darmtätigkeit, das Würgen und Erbrechen, Magenbeschwerden und Speiseekel, gab sich in meinen Analysen gleichfalls – und zwar mit überraschender Regelmäßigkeit – als Derivat derselben Kindererlebnisse zu erkennen und erklärte sich mühelos aus konstanten </w:t>
      </w:r>
      <w:r w:rsidRPr="008725BE">
        <w:rPr>
          <w:rFonts w:ascii="Garamond" w:hAnsi="Garamond"/>
          <w:lang w:val="en-GB"/>
        </w:rPr>
        <w:lastRenderedPageBreak/>
        <w:t>Eigentümlichkeiten derselben. Die infantilen Sexualszenen sind nämlich arge Zumutungen für das Gefühl eines sexuell normalen Menschen; sie enthalten alle Ausschreitungen, die von Wüstlingen und Impotenten bekannt sind, bei denen Mundhöhle und Darmausgang mißbräuchlich zu sexueller Verwendung gelangen. Die Verwunderung hierüber weicht beim Arzte alsbald einem völligen Verständnis. Von Personen, die kein Bedenken tragen, ihre sexuellen Bedürfnisse an Kindern zu befriedigen, kann man nicht erwarten, daß sie an Nuancen in der Weise dieser Befriedigung Anstoß nehmen, und die dem Kindesalter anhaftende sexuelle Impotenz drängt unausbleiblich zu denselben Surrogathandlungen, zu denen sich der Erwachsene im Falle erworbener Impotenz erniedrigt. Alle die seltsamen Bedingungen, unter denen das ungleiche Paar sein Liebesverhältnis fortführt: der Erwachsene, der sich seinem Anteil an der gegenseitigen Abhängigkeit nicht entziehen kann, wie sie aus einer sexuellen Beziehung notwendig hervorgeht, der dabei doch mit aller Autorität und dem Rechte der Züchtigung ausgerüstet ist und zur ungehemmten Befriedigung seiner Launen die eine Rolle mit der anderen vertauscht; das Kind, dieser Willkür in seiner Hilflosigkeit preisgegeben, vorzeitig zu allen Empfindlichkeiten erweckt und allen Enttäuschungen ausgesetzt, häufig in der Ausübung der ihm zugewiesenen sexuellen Leistungen durch seine unvollkommene Beherrschung der natürlichen Bedürfnisse unterbrochen – alle diese grotesken und doch tragischen Mißverhältnisse prägen sich in der ferneren Entwicklung des Individuums und seiner Neurose in einer Unzahl von Dauereffekten aus, die der eingehendsten Verfolgung würdig wären. Wo sich das Verhältnis zwischen zwei Kindern abspielt, bleibt der Charakter der Sexualszenen doch der nämliche abstoßende, da ja jedes Kinderverhältnis eine vorausgegangene Verführung des einen Kindes durch einen Erwachsenen postuliert. Die psychischen Folgen eines solchen Kinderverhältnisses sind ganz außerordentlich tiefgreifende; die beiden Personen bleiben für ihre ganze Lebenszeit durch ein unsichtbares Band miteinander verknüpft.</w:t>
      </w:r>
    </w:p>
    <w:p w:rsidR="008725BE" w:rsidRPr="008725BE" w:rsidRDefault="008725BE" w:rsidP="008725BE">
      <w:pPr>
        <w:pStyle w:val="Sansinterligne"/>
        <w:rPr>
          <w:rFonts w:ascii="Garamond" w:hAnsi="Garamond"/>
          <w:lang w:val="en-GB"/>
        </w:rPr>
      </w:pPr>
      <w:r w:rsidRPr="008725BE">
        <w:rPr>
          <w:rFonts w:ascii="Garamond" w:hAnsi="Garamond"/>
          <w:lang w:val="en-GB"/>
        </w:rPr>
        <w:t>Gelegentlich sind es Nebenumstände dieser infantilen Sexualszenen, welche in späteren Jahren zu determinierender Macht für die Symptome der Neurose gelangen. So hat in einem meiner Fälle der Umstand, daß das Kind abgerichtet wurde, mit seinem Fuß die Genitalien der Erwachsenen zu erregen, hingereicht, um Jahre hindurch die neurotische Aufmerksamkeit auf die Beine und deren Funktion zu fixieren und schließlich eine hysterische Paraplegie zu erzeugen. In einem andern Falle wäre es rätselhaft geblieben, warum die Kranke in ihren Angstanfällen, die gewisse Tagesstunden bevorzugten, gerade eine einzige von ihren zahlreichen Schwestern zu ihrer Beruhigung nicht von ihrer Seite lassen wollte, wenn die Analyse nicht ergeben hätte, daß der Attentäter sich seinerzeit bei jedem seiner Besuche erkundigt hatte, ob diese Schwester zu Hause sei, von der er eine Störung befürchten mußte.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kommt vor, daß die determinierende Kraft der Infantilszenen sich so sehr verbirgt, daß sie bei oberflächlicher Analyse übersehen werden muß. Man vermeint dann, man habe die Erklärung eines gewissen Symptoms im Inhalt einer der späteren Szenen gefunden, und stößt im Verlaufe der Arbeit auf denselben Inhalt in einer der Infantilszenen, so daß man sich schließlich sagen muß, die spätere Szene verdanke ihre Kraft, Symptome zu determinieren, doch nur ihrer Übereinstimmung mit der früheren. Ich will darum die spätere Szene nicht als bedeutungslos hinstellen; wenn ich die Aufgabe hätte, die Regeln der hysterischen Symptombildung vor Ihnen zu erörtern, würde ich als eine dieser Regeln anerkennen müssen, daß zum Symptom jene Vorstellung auserwählt wird, zu deren Hebung mehrere Momente zusammenwirken, die von verschiedenen Seiten her gleichzeitig geweckt wird, was ich an anderer Stelle durch den Satz auszudrücken versucht habe: </w:t>
      </w:r>
      <w:r w:rsidRPr="008725BE">
        <w:rPr>
          <w:rFonts w:ascii="Garamond" w:hAnsi="Garamond"/>
          <w:i/>
          <w:iCs/>
          <w:lang w:val="en-GB"/>
        </w:rPr>
        <w:t>Die hysterischen Symptome seien überdeterminiert.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Noch eines, meine Herren; ich habe zwar vorhin das Verhältnis der rezenten Ätiologie zur infantilen als ein besonderes Thema beiseite gerückt; aber ich kann doch den Gegenstand nicht verlassen, ohne diesen Vorsatz wenigstens durch eine Bemerkung zu übertreten. Sie gestehen mir zu, es ist vor allem </w:t>
      </w:r>
      <w:r w:rsidRPr="008725BE">
        <w:rPr>
          <w:rFonts w:ascii="Garamond" w:hAnsi="Garamond"/>
          <w:i/>
          <w:iCs/>
          <w:lang w:val="en-GB"/>
        </w:rPr>
        <w:t>eine</w:t>
      </w:r>
      <w:r w:rsidRPr="008725BE">
        <w:rPr>
          <w:rFonts w:ascii="Garamond" w:hAnsi="Garamond"/>
          <w:lang w:val="en-GB"/>
        </w:rPr>
        <w:t xml:space="preserve"> Tatsache, die uns am psychologischen Verständnis der hysterischen Phänomene irre werden läßt, die uns zu warnen scheint, psychische Akte bei Hysterischen und bei Normalen mit gleichem Maß zu messen. Es ist dies das Mißverhältnis zwischen psychisch erregendem Reiz und psychischer Reaktion, das wir bei den Hysterischen antreffen, welches wir durch die Annahme einer allgemeinen abnormen Reizbarkeit zu decken suchen und häufig physiologisch zu erklären bemüht sind, als ob gewisse, der Übertragung dienende Hirnorgane sich bei den Kranken in einem besonderen chemischen Zustand befänden, etwa wie die Spinalzentren des Strychninfrosches, oder sich dem Einflüsse höherer hemmender Zentren entzogen hätten, wie im vivisektorischen Tierexperiment. Beide Auffassungen mögen hie und da zur Erklärung der hysterischen Phänomene vollberechtigt sein; das stelle ich nicht in Abrede. Aber der Hauptanteil des Phänomens, der abnormen, übergroßen, hysterischen Reaktion auf psychische Reize, läßt eine andere Erklärung zu, die durch zahllose Beispiele aus den Analysen gestützt wird. Und diese Erklärung lautet: </w:t>
      </w:r>
      <w:r w:rsidRPr="008725BE">
        <w:rPr>
          <w:rFonts w:ascii="Garamond" w:hAnsi="Garamond"/>
          <w:i/>
          <w:iCs/>
          <w:lang w:val="en-GB"/>
        </w:rPr>
        <w:t xml:space="preserve">Die </w:t>
      </w:r>
      <w:r w:rsidRPr="008725BE">
        <w:rPr>
          <w:rFonts w:ascii="Garamond" w:hAnsi="Garamond"/>
          <w:i/>
          <w:iCs/>
          <w:lang w:val="en-GB"/>
        </w:rPr>
        <w:lastRenderedPageBreak/>
        <w:t>Reaktion der Hysterischen ist eine nur scheinbar übertriebene; sie muß uns so erscheinen, weil wir nur einen kleinen Teil der Motive kennen, aus denen sie erfolgt.</w:t>
      </w:r>
    </w:p>
    <w:p w:rsidR="008725BE" w:rsidRPr="008725BE" w:rsidRDefault="008725BE" w:rsidP="008725BE">
      <w:pPr>
        <w:pStyle w:val="Sansinterligne"/>
        <w:rPr>
          <w:rFonts w:ascii="Garamond" w:hAnsi="Garamond"/>
          <w:lang w:val="en-GB"/>
        </w:rPr>
      </w:pPr>
      <w:r w:rsidRPr="008725BE">
        <w:rPr>
          <w:rFonts w:ascii="Garamond" w:hAnsi="Garamond"/>
          <w:lang w:val="en-GB"/>
        </w:rPr>
        <w:t>In Wirklichkeit ist diese Reaktion proportional dem erregenden Reiz, also normal und psychologisch verständlich. Wir sehen dies sofort ein, wenn die Analyse zu den manifesten, dem Kranken bewußten Motiven jene anderen Motive hinzugefügt hat, die gewirkt haben, ohne daß der Kranke um sie wußte, die er uns also nicht mitteilen konnte.</w:t>
      </w:r>
    </w:p>
    <w:p w:rsidR="008725BE" w:rsidRPr="008725BE" w:rsidRDefault="008725BE" w:rsidP="008725BE">
      <w:pPr>
        <w:pStyle w:val="Sansinterligne"/>
        <w:rPr>
          <w:rFonts w:ascii="Garamond" w:hAnsi="Garamond"/>
          <w:lang w:val="en-GB"/>
        </w:rPr>
      </w:pPr>
      <w:r w:rsidRPr="008725BE">
        <w:rPr>
          <w:rFonts w:ascii="Garamond" w:hAnsi="Garamond"/>
          <w:lang w:val="en-GB"/>
        </w:rPr>
        <w:t>Ich könnte Stunden damit ausfüllen, Ihnen diesen wichtigen Satz für den ganzen Umfang der psychischen Tätigkeit bei Hysterischen zu erweisen, muß mich aber hier auf wenige Beispiele beschränken. Sie erinnern sich an die so häufige seelische »Empfindlichkeit« der Hysterischen, die sie auf die leiseste Andeutung einer Geringschätzung reagieren läßt, als seien sie tödlich beleidigt worden. Was würden Sie nun denken, wenn Sie eine solche hochgradige Verletzbarkeit bei geringfügigen Anlässen zwischen zwei gesunden Menschen, etwa Ehegatten, beobachten würden? Sie würden gewiß den Schluß ziehen, die eheliche Szene, der Sie beigewohnt, sei nicht allein das Ergebnis des letzten kleinlichen Anlasses, sondern da habe sich durch lange Zeit Zündstoff angehäuft, der nun in seiner ganzen Masse durch den letzten Anstoß zur Explosion gebracht worden sei.</w:t>
      </w:r>
    </w:p>
    <w:p w:rsidR="008725BE" w:rsidRPr="008725BE" w:rsidRDefault="008725BE" w:rsidP="008725BE">
      <w:pPr>
        <w:pStyle w:val="Sansinterligne"/>
        <w:rPr>
          <w:rFonts w:ascii="Garamond" w:hAnsi="Garamond"/>
          <w:lang w:val="en-GB"/>
        </w:rPr>
      </w:pPr>
      <w:r w:rsidRPr="008725BE">
        <w:rPr>
          <w:rFonts w:ascii="Garamond" w:hAnsi="Garamond"/>
          <w:lang w:val="en-GB"/>
        </w:rPr>
        <w:t>Bitte, übertragen Sie denselben Gedankengang auf die Hysterischen. Nicht die letzte, an sich minimale Kränkung ist es, die den Weinkrampf, den Ausbruch von Verzweiflung, den Selbstmordversuch erzeugt, mit Mißachtung des Satzes von der Proportionalität des Effekts und der Ursache, sondern diese kleine aktuelle Kränkung hat die Erinnerungen so vieler und intensiverer früherer Kränkungen geweckt und zur Wirkung gebracht, hinter denen allen noch die Erinnerung an eine schwere, nie verwundene Kränkung im Kindesalter steckt. Oder: wenn ein junges Mädchen sich die entsetzlichsten Vorwürfe macht, weil sie geduldet, daß ein Knabe zärtlich im geheimen über ihre Hand gestrichen, und von da ab der Neurose verfällt, so können Sie zwar dem Rätsel mit dem Urteil begegnen, das sei eine abnorme, exzentrisch angelegte, hypersensitive Person; aber Sie werden anders denken, wenn Ihnen die Analyse zeigt, daß jene Berührung an eine andere, ähnliche, erinnerte, die in sehr früher Jugend vorfiel und die ein Stück aus einem minder harmlosen Ganzen war, so daß eigentlich die Vorwürfe jenem alten Anlaß gelten. Schließlich ist das Rätsel der hysterogenen Punkte auch kein anderes; wenn Sie die eine ausgezeichnete Stelle berühren, tun Sie etwas, was Sie nicht beabsichtigt haben; Sie wecken eine Erinnerung auf, die einen Krampfanfall auszulösen vermag, und da Sie von diesem psychischen Mittelglied nichts wissen, beziehen Sie den Anfall als Wirkung direkt auf Ihre Berührung als Ursache. Die Kranken befinden sich in derselben Unwissenheit und verfallen darum in ähnliche Irrtümer, sie stellen beständig »falsche Verknüpfungen« her zwischen dem letztbewußten Anlaß und dem von so viel Mittelgliedern abhängigen Effekt. Ist es dem Arzte aber möglich geworden, zur Erklärung einer hysterischen Reaktion die bewußten und die unbewußten Motive zusammenzufassen, so muß er diese scheinbar übermäßige Reaktion fast immer als eine angemessene, nur in der Form abnorme anerkennen.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Sie werden nun gegen diese Rechtfertigung der hysterischen Reaktion auf psychische Reize mit Recht einwenden, sie sei doch keine normale, denn warum benehmen die Gesunden sich anders; warum wirken bei ihnen nicht alle längst verflossenen Erregungen neuerdings mit, wenn eine neue Erregung aktuell ist? Es macht ja den Eindruck, als blieben bei den Hysterischen alle alten Erlebnisse wirkungskräftig, auf die schon so oft, und zwar in stürmischer Weise reagiert wurde, als seien diese Personen unfähig, psychische Reize zu erledigen. Richtig, meine Herren, etwas Derartiges muß man tatsächlich als wahr annehmen. Vergessen Sie nicht, daß die alten Erlebnisse der Hysterischen bei einem aktuellen Anlasse als </w:t>
      </w:r>
      <w:r w:rsidRPr="008725BE">
        <w:rPr>
          <w:rFonts w:ascii="Garamond" w:hAnsi="Garamond"/>
          <w:i/>
          <w:iCs/>
          <w:lang w:val="en-GB"/>
        </w:rPr>
        <w:t>unbewußte Erinnerungen</w:t>
      </w:r>
      <w:r w:rsidRPr="008725BE">
        <w:rPr>
          <w:rFonts w:ascii="Garamond" w:hAnsi="Garamond"/>
          <w:lang w:val="en-GB"/>
        </w:rPr>
        <w:t xml:space="preserve"> ihre Wirkung äußern. Es scheint, als ob die Schwierigkeit der Erledigung, die Unmöglichkeit, einen aktuellen Eindruck in eine machtlose Erinnerung zu verwandeln, gerade an dem Charakter des psychisch Unbewußten hinge. Sie sehen, der Rest des Problems ist wiederum Psychologie, und zwar Psychologie von einer Art, für welche uns die Philosophen wenig Vorarbeit geleistet haben.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Auf diese Psychologie, die für unsere Bedürfnisse erst zu erschaffen ist – auf die zukünftige </w:t>
      </w:r>
      <w:r w:rsidRPr="008725BE">
        <w:rPr>
          <w:rFonts w:ascii="Garamond" w:hAnsi="Garamond"/>
          <w:i/>
          <w:iCs/>
          <w:lang w:val="en-GB"/>
        </w:rPr>
        <w:t>Neurosenpsychologie</w:t>
      </w:r>
      <w:r w:rsidRPr="008725BE">
        <w:rPr>
          <w:rFonts w:ascii="Garamond" w:hAnsi="Garamond"/>
          <w:lang w:val="en-GB"/>
        </w:rPr>
        <w:t xml:space="preserve"> –, muß ich Sie auch verweisen, wenn ich Ihnen zum Schluß eine Mitteilung mache, von der Sie zunächst eine Störung unseres beginnenden Verständnisses für die Ätiologie der Hysterie besorgen werden. Ich muß es nämlich aussprechen, daß die ätiologische Rolle der infantilen Sexualerlebnisse nicht auf das Gebiet der Hysterie eingeschränkt ist, sondern in gleicher Weise für die merkwürdige Neurose der Zwangsvorstellungen, ja vielleicht auch für die Formen der chronischen Paranoia und andere funktionelle Psychosen Geltung hat. Ich drücke mich hiebei minder bestimmt aus, weil die Anzahl meiner Analysen von Zwangsneurosen noch weit hinter der von Hysterien zurücksteht; von Paranoia habe ich gar nur eine einzige ausreichende und einige fragmentarische Analysen zur Verfügung. Aber was ich da gefunden, schien mir verläßlich und hat mich mit sicheren Erwartungen für andere Fälle erfüllt. Sie erinnern sich </w:t>
      </w:r>
      <w:r w:rsidRPr="008725BE">
        <w:rPr>
          <w:rFonts w:ascii="Garamond" w:hAnsi="Garamond"/>
          <w:lang w:val="en-GB"/>
        </w:rPr>
        <w:lastRenderedPageBreak/>
        <w:t xml:space="preserve">vielleicht, daß ich für die Zusammenfassung von Hysterie und Zwangsvorstellungen unter dem Titel » </w:t>
      </w:r>
      <w:r w:rsidRPr="008725BE">
        <w:rPr>
          <w:rFonts w:ascii="Garamond" w:hAnsi="Garamond"/>
          <w:i/>
          <w:iCs/>
          <w:lang w:val="en-GB"/>
        </w:rPr>
        <w:t>Abwehrneurosen</w:t>
      </w:r>
      <w:r w:rsidRPr="008725BE">
        <w:rPr>
          <w:rFonts w:ascii="Garamond" w:hAnsi="Garamond"/>
          <w:lang w:val="en-GB"/>
        </w:rPr>
        <w:t>« bereits früher eingetreten bin, ehe mir noch die Gemeinsamkeit der infantilen Ätiologie bekannt war. Nun muß ich hinzufügen – was man freilich nicht allgemein zu erwarten braucht –, daß meine Fälle von Zwangsvorstellungen sämtlich einen Untergrund von hysterischen Symptomen, meist Sensationen und Schmerzen, erkennen ließen, die sich gerade auf die ältesten Kindererlebnisse zurückleiteten. Worin liegt nun die Entscheidung, ob aus den unbewußt gebliebenen infantilen Sexualszenen später Hysterie oder Zwangsneurose oder gar Paranoia hervorgehen soll, wenn sich die anderen pathogenen Momente hinzugesellt haben? Diese Vermehrung unserer Erkenntnisse scheint ja dem ätiologischen Wert dieser Szenen Eintrag zu tun, indem sie die Spezifität der ätiologischen Relation aufhebt.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bin noch nicht in der Lage, meine Herren, eine verläßliche Antwort auf diese Frage zu geben. Die Anzahl meiner analysierten Fälle, die Mannigfaltigkeit der Bedingungen in ihnen, ist nicht groß genug hiefür. Ich merke bis jetzt, daß die Zwangsvorstellungen bei der Analyse regelmäßig als verkappte und verwandelte </w:t>
      </w:r>
      <w:r w:rsidRPr="008725BE">
        <w:rPr>
          <w:rFonts w:ascii="Garamond" w:hAnsi="Garamond"/>
          <w:i/>
          <w:iCs/>
          <w:lang w:val="en-GB"/>
        </w:rPr>
        <w:t>Vorwürfe wegen sexuellerAggressionen im Kindesalter zu entlarven</w:t>
      </w:r>
      <w:r w:rsidRPr="008725BE">
        <w:rPr>
          <w:rFonts w:ascii="Garamond" w:hAnsi="Garamond"/>
          <w:lang w:val="en-GB"/>
        </w:rPr>
        <w:t xml:space="preserve"> sind, daß sie darum bei Männern häufiger gefunden werden als bei Frauen und häufiger bei ihnen sich entwickeln als Hysterie. Ich könnte daraus schließen, daß der Charakter der Infantilszenen, ob sie mit Lust oder nur passiv erlebt werden, einen bestimmenden Einfluß auf die Auswahl der späteren Neurose hat, aber ich möchte auch den Einfluß des Alters, in dem diese Kinderaktionen vorfallen, und anderer Momente nicht unterschätzen. Hierüber muß erst die Diskussion weiterer Analysen Aufschluß geben; wenn es aber klar sein wird, welche Momente die Entscheidung zwischen den möglichen Formen der Abwehr-Neuropsychosen beherrschen, wird es wiederum ein rein psychologisches Problem sein, kraft welches Mechanismus die einzelne Form gestaltet wird.</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rPr>
        <w:t xml:space="preserve">Ich bin nun zum Ende meiner heutigen Erörterungen gelangt. </w:t>
      </w:r>
      <w:r w:rsidRPr="008725BE">
        <w:rPr>
          <w:rFonts w:ascii="Garamond" w:hAnsi="Garamond"/>
          <w:lang w:val="en-GB"/>
        </w:rPr>
        <w:t xml:space="preserve">Auf Widerspruch und Unglauben gefaßt, möchte ich meiner Sache nur noch eine Befürwortung mit auf den Weg geben. Wie immer Sie meine Resultate aufnehmen mögen, ich darf Sie bitten, dieselben nicht für die Frucht wohlfeiler Spekulation zu halten. Sie ruhen auf mühseliger Einzelerforschung der Kranken, die bei den meisten Fällen hundert Arbeitsstunden und darüber verweilt hat. Wichtiger noch als Ihre Würdigung der Ergebnisse ist mir Ihre Aufmerksamkeit für das Verfahren, dessen ich mich bedient habe, das neuartig, schwierig zu handhaben und doch unersetzlich für wissenschaftliche und therapeutische Zwecke ist. Sie sehen wohl ein, man kann den Ergebnissen, zu denen diese modifizierte Breuersche Methode führt, nicht gut widersprechen, wenn man die Methode beiseite läßt und sich nur der gewohnten Methode des Krankenexamens bedient. Es wäre ähnlich, als wollte man die Funde der histologischen Technik mit der Berufung auf die makroskopische Untersuchung widerlegen. Indem die neue Forschungsmethode den Zugang zu einem neuen Element des psychischen Geschehens, zu den unbewußt gebliebenen, nach Breuers Ausdruck » </w:t>
      </w:r>
      <w:r w:rsidRPr="008725BE">
        <w:rPr>
          <w:rFonts w:ascii="Garamond" w:hAnsi="Garamond"/>
          <w:i/>
          <w:iCs/>
          <w:lang w:val="en-GB"/>
        </w:rPr>
        <w:t>bewußtseinsunfähigen</w:t>
      </w:r>
      <w:r w:rsidRPr="008725BE">
        <w:rPr>
          <w:rFonts w:ascii="Garamond" w:hAnsi="Garamond"/>
          <w:lang w:val="en-GB"/>
        </w:rPr>
        <w:t>« Denkvorgängen breit eröffnet, winkt sie uns mit der Hoffnung eines neuen, besseren Verständnisses aller funktionellen psychischen Störungen. Ich kann es nicht glauben, daß die Psychiatrie es noch lange aufschieben wird, sich dieses neuen Weges zur Erkenntnis zu bedienen.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Zu</w:t>
        </w:r>
        <w:bookmarkStart w:id="206" w:name="KS71"/>
        <w:bookmarkEnd w:id="206"/>
        <w:r w:rsidRPr="008725BE">
          <w:rPr>
            <w:rStyle w:val="Lienhypertexte"/>
            <w:rFonts w:ascii="Garamond" w:hAnsi="Garamond"/>
            <w:b/>
            <w:lang w:val="en-GB"/>
          </w:rPr>
          <w:t>r Dynamik der Übertragung</w:t>
        </w:r>
      </w:hyperlink>
      <w:r w:rsidRPr="008725BE">
        <w:rPr>
          <w:rFonts w:ascii="Garamond" w:hAnsi="Garamond"/>
          <w:lang w:val="en-GB"/>
        </w:rPr>
        <w:t xml:space="preserve">  </w:t>
      </w:r>
      <w:r w:rsidRPr="008725BE">
        <w:rPr>
          <w:rFonts w:ascii="Garamond" w:hAnsi="Garamond"/>
          <w:caps/>
          <w:lang w:val="en-GB"/>
        </w:rPr>
        <w:t>(1912)</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schwer zu erschöpfende Thema der »Übertragung« ist kürzlich in diesem </w:t>
      </w:r>
      <w:r w:rsidRPr="008725BE">
        <w:rPr>
          <w:rFonts w:ascii="Garamond" w:hAnsi="Garamond"/>
          <w:i/>
          <w:iCs/>
          <w:lang w:val="en-GB"/>
        </w:rPr>
        <w:t>Zentralblatt</w:t>
      </w:r>
      <w:r w:rsidRPr="008725BE">
        <w:rPr>
          <w:rFonts w:ascii="Garamond" w:hAnsi="Garamond"/>
          <w:lang w:val="en-GB"/>
        </w:rPr>
        <w:t xml:space="preserve"> von W. Stekel </w:t>
      </w:r>
      <w:hyperlink r:id="rId93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 verschiedenen Formen der Übertragung‹, Zentbl. Psychoanal., Bd. 2, 2. 27.</w:t>
        </w:r>
      </w:hyperlink>
      <w:r w:rsidRPr="008725BE">
        <w:rPr>
          <w:rFonts w:ascii="Garamond" w:hAnsi="Garamond"/>
          <w:lang w:val="en-GB"/>
        </w:rPr>
        <w:t xml:space="preserve"> in deskriptiver Weise behandelt worden. Ich möchte nun hier einige Bemerkungen anfügen, die verstehen lassen sollen, wie die Übertragung während einer psychoanalytischen Kur notwendig zustande kommt und wie sie zu der bekannten Rolle während der Behandlung gelangt.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Machen wir uns klar, daß jeder Mensch durch das Zusammenwirken von mitgebrachter Anlage und von Einwirkungen auf ihn während seiner Kinderjahre eine bestimmte Eigenart erworben hat, wie er das Liebesleben ausübt, also welche Liebesbedingungen er stellt, welche Triebe er dabei befriedigt und welche Ziele er sich setzt </w:t>
      </w:r>
      <w:hyperlink r:id="rId93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Verwahren wir uns an dieser Stelle gegen den mißverständlichen Vorwurf, als hätten wir die Bedeutung der angeborenen (konstitutionellen) Momente geleugnet, weil wir die der infantilen Eindrücke hervorgehoben haben. Ein solcher Vorwurf stammt aus der Enge des Kausalbedürfnisses der Menschen, welches sich im Gegensatz zur gewöhnlichen Gestaltung der Realität mit einem einzigen verursachenden Moment zufriedengeben will. Die Psychoanalyse hat über die akzidentellen Faktoren der Ätiologie viel, über die konstitutionellen wenig geäußert, aber nur darum, weil sie zu den ersteren etwas Neues beibringen konnte, über die letzteren hingegen zunächst nicht mehr wußte, als man sonst weiß. Wir lehnen es ab, einen prinzipiellen Gegensatz zwischen beiden Reihen von ätiologischen Momenten zu statuieren; wir nehmen vielmehr ein regelmäßiges Zusammenwirken beider zur Hervorbringung des beobachteten Effekts an. </w:t>
        </w:r>
        <w:r w:rsidRPr="008725BE">
          <w:rPr>
            <w:rStyle w:val="innerfusslink3"/>
            <w:rFonts w:ascii="Garamond" w:hAnsi="Garamond" w:cs="Arial"/>
            <w:b/>
            <w:bCs/>
          </w:rPr>
          <w:t>Δαίμων</w:t>
        </w:r>
        <w:r w:rsidRPr="008725BE">
          <w:rPr>
            <w:rStyle w:val="innerfusslink3"/>
            <w:rFonts w:ascii="Garamond" w:hAnsi="Garamond" w:cs="Arial"/>
            <w:b/>
            <w:bCs/>
            <w:lang w:val="en-GB"/>
          </w:rPr>
          <w:t xml:space="preserve"> </w:t>
        </w:r>
        <w:r w:rsidRPr="008725BE">
          <w:rPr>
            <w:rStyle w:val="innerfusslink3"/>
            <w:rFonts w:ascii="Garamond" w:hAnsi="Garamond" w:cs="Arial"/>
            <w:b/>
            <w:bCs/>
          </w:rPr>
          <w:t>και</w:t>
        </w:r>
        <w:r w:rsidRPr="008725BE">
          <w:rPr>
            <w:rStyle w:val="innerfusslink3"/>
            <w:rFonts w:ascii="Garamond" w:hAnsi="Garamond" w:cs="Arial"/>
            <w:b/>
            <w:bCs/>
            <w:lang w:val="en-GB"/>
          </w:rPr>
          <w:t xml:space="preserve">̀ </w:t>
        </w:r>
        <w:r w:rsidRPr="008725BE">
          <w:rPr>
            <w:rStyle w:val="innerfusslink3"/>
            <w:rFonts w:ascii="Garamond" w:hAnsi="Garamond" w:cs="Arial"/>
            <w:b/>
            <w:bCs/>
          </w:rPr>
          <w:t>Τύχη</w:t>
        </w:r>
        <w:r w:rsidRPr="008725BE">
          <w:rPr>
            <w:rStyle w:val="innerfusslink3"/>
            <w:rFonts w:ascii="Garamond" w:hAnsi="Garamond" w:cs="Arial"/>
            <w:b/>
            <w:bCs/>
            <w:lang w:val="en-GB"/>
          </w:rPr>
          <w:t xml:space="preserve"> [Begabung und Zufall] bestimmen das Schicksal eines Menschen; selten, vielleicht niemals, eine dieser Mächte allein. Die Aufteilung der ätiologischen Wirksamkeit zwischen den beiden wird sich nur individuell und im einzelnen vollziehen lassen. Die Reihe, in welcher sich wechselnde Größen der beiden Faktoren zusammensetzen, wird gewiß auch ihre extremen Fälle haben. Je nach dem Stande unserer Erkenntnis werden wir den Anteil der Konstitution oder des Erlebens im Einzelfalle anders einschätzen und das Recht behalten, mit der Veränderung unserer Einsichten unser Urteil zu modifizieren. Übrigens könnte man es wagen, die Konstitution selbst aufzufassen als den Niederschlag aus den akzidentellen Einwirkungen auf die unendlich große Reihe der Ahnen.</w:t>
        </w:r>
      </w:hyperlink>
      <w:r w:rsidRPr="008725BE">
        <w:rPr>
          <w:rFonts w:ascii="Garamond" w:hAnsi="Garamond"/>
          <w:lang w:val="en-GB"/>
        </w:rPr>
        <w:t>. Das ergibt sozusagen ein Klischee (oder auch mehrere), welches im Laufe des Lebens regelmäßig wiederholt, neu abgedruckt wird, insoweit die äußeren Umstände und die Natur der zugänglichen Liebesobjekte es gestatten, welches gewiß auch gegen rezente Eindrücke nicht völlig unveränderlich ist. Unsere Erfahrungen haben nun ergeben, daß von diesen das Liebesleben bestimmenden Regungen nur ein Anteil die volle psychische Entwicklung durchgemacht hat; dieser Anteil ist der Realität zugewendet, steht der bewußten Persönlichkeit zur Verfügung und macht ein Stück von ihr aus. Ein anderer Teil dieser libidinösen Regungen ist in der Entwicklung aufgehalten worden, er ist von der bewußten Persönlichkeit wie von der Realität abgehalten, durfte sich entweder nur in der Phantasie ausbreiten oder ist gänzlich im Unbewußten verblieben, so daß er dem Bewußtsein der Persönlichkeit unbekannt ist. Wessen Liebesbedürftigkeit nun von der Realität nicht restlos befriedigt wird, der muß sich mit libidinösen Erwartungsvorstellungen jeder neu auftretenden Person zuwenden, und es ist durchaus wahrscheinlich, daß beide Portionen seiner Libido, die bewußtseinsfähige wie die unbewußte, an dieser Einstellung Anteil haben.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also völlig normal und verständlich, wenn die erwartungsvoll bereitgehaltene Libidobesetzung des teilweise Unbefriedigten sich auch der Person des Arztes zuwendet. Unserer Voraussetzung gemäß wird sich diese Besetzung an Vorbilder halten, an eines der Klischees anknüpfen, die bei der betreffenden Person vorhanden sind, oder, wie wir auch sagen können, sie wird den Arzt in eine der psychischen »Reihen« einfügen, die der Leidende bisher gebildet hat. Es entspricht den realen Beziehungen zum Arzte, wenn für diese Einreihung die Vater-Imago (nach Jungs glücklichem Ausdruck) </w:t>
      </w:r>
      <w:hyperlink r:id="rId93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›Wandlungen und Symbole der Libido‹ (1911, 164).</w:t>
        </w:r>
      </w:hyperlink>
      <w:r w:rsidRPr="008725BE">
        <w:rPr>
          <w:rFonts w:ascii="Garamond" w:hAnsi="Garamond"/>
          <w:lang w:val="en-GB"/>
        </w:rPr>
        <w:t xml:space="preserve"> maßgebend wird. Aber die Übertragung ist an dieses Vorbild nicht gebunden, sie kann auch nach der Mutter- oder Bruder-Imago usw. erfolgen. Die Besonderheiten der Übertragung auf den Arzt, durch welche sie über Maß und Art dessen hinausgeht, was sich nüchtern und rationell rechtfertigen läßt, werden durch die Erwägung verständlich, daß eben nicht nur die bewußten Erwartungsvorstellungen, sondern auch die zurückgehaltenen oder unbewußten diese Übertragung hergestellt haben.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Über dieses Verhalten der Übertragung wäre weiter nichts zu sagen oder zu grübeln, wenn nicht dabei zwei Punkte unerklärt blieben, die für den Psychoanalytiker von besonderem Interesse sind. Erstens verstehen wir nicht, daß die Übertragung bei neurotischen Personen in der Analyse soviel intensiver </w:t>
      </w:r>
      <w:r w:rsidRPr="008725BE">
        <w:rPr>
          <w:rFonts w:ascii="Garamond" w:hAnsi="Garamond"/>
          <w:lang w:val="en-GB"/>
        </w:rPr>
        <w:lastRenderedPageBreak/>
        <w:t xml:space="preserve">ausfällt als bei anderen, nicht analysierten, und zweitens bleibt es rätselhaft, weshalb uns bei der Analyse die Übertragung als der </w:t>
      </w:r>
      <w:r w:rsidRPr="008725BE">
        <w:rPr>
          <w:rFonts w:ascii="Garamond" w:hAnsi="Garamond"/>
          <w:i/>
          <w:iCs/>
          <w:lang w:val="en-GB"/>
        </w:rPr>
        <w:t>stärkste Widerstand</w:t>
      </w:r>
      <w:r w:rsidRPr="008725BE">
        <w:rPr>
          <w:rFonts w:ascii="Garamond" w:hAnsi="Garamond"/>
          <w:lang w:val="en-GB"/>
        </w:rPr>
        <w:t xml:space="preserve"> gegen die Behandlung entgegentritt, während wir sie außerhalb der Analyse als Trägerin der Heilwirkung, als Bedingung des guten Erfolges anerkennen müssen. Es ist doch eine beliebig oft zu bestätigende Erfahrung, daß, wenn die freien Assoziationen eines Patienten versagen </w:t>
      </w:r>
      <w:hyperlink r:id="rId93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Ich meine, wenn sie wirklich ausbleiben und nicht etwa infolge eines banalen Unlustgefühles von ihm verschwiegen werden.</w:t>
        </w:r>
      </w:hyperlink>
      <w:r w:rsidRPr="008725BE">
        <w:rPr>
          <w:rFonts w:ascii="Garamond" w:hAnsi="Garamond"/>
          <w:lang w:val="en-GB"/>
        </w:rPr>
        <w:t>, jedesmal die Stockung beseitigt werden kann durch die Versicherung, er stehe jetzt unter der Herrschaft eines Einfalles, der sich mit der Person des Arztes oder mit etwas zu ihm Gehörigen beschäftigt. Sobald man diese Aufklärung gegeben hat, ist die Stockung beseitigt, oder man hat die Situation des Versagens in die des Verschweigens der Einfälle verwandelt.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scheint auf den ersten Blick ein riesiger methodischer Nachteil der Psychoanalyse zu sein, daß sich in ihr die Übertragung, sonst der mächtigste Hebel des Erfolgs, in das stärkste Mittel des Widerstandes verwandelt. Bei näherem Zusehen wird aber wenigstens das erste der beiden Probleme weggeräumt. Es ist nicht richtig, daß die Übertragung während der Psychoanalyse intensiver und ungezügelter auftritt als außerhalb derselben. Man beobachtet in Anstalten, in denen Nervöse nicht analytisch behandelt werden, die höchsten Intensitäten und die unwürdigsten Formen einer bis zur Hörigkeit gehenden Übertragung, auch die unzweideutigste erotische Färbung derselben. Eine feinsinnige Beobachterin wie die Gabriele Reuter hat dies zur Zeit, als es noch kaum eine Psychoanalyse gab, in einem merkwürdigen Buche geschildert, welches überhaupt die besten Einsichten in das Wesen und die Entstehung der Neurosen verrät </w:t>
      </w:r>
      <w:hyperlink r:id="rId94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Aus guter Familie</w:t>
        </w:r>
        <w:r w:rsidRPr="008725BE">
          <w:rPr>
            <w:rStyle w:val="innerfusslink3"/>
            <w:rFonts w:ascii="Garamond" w:hAnsi="Garamond" w:cs="Arial"/>
            <w:b/>
            <w:bCs/>
            <w:lang w:val="en-GB"/>
          </w:rPr>
          <w:t>, 1895.</w:t>
        </w:r>
      </w:hyperlink>
      <w:r w:rsidRPr="008725BE">
        <w:rPr>
          <w:rFonts w:ascii="Garamond" w:hAnsi="Garamond"/>
          <w:lang w:val="en-GB"/>
        </w:rPr>
        <w:t>. Diese Charaktere der Übertragung sind also nicht auf Rechnung der Psychoanalyse zu setzen, sondern der Neurose selbst zuzuschreiben. Das zweite Problem bleibt vorläufig unangetastet.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Diesem Problem, der Frage, warum die Übertragung uns in der Psychoanalyse als Widerstand entgegentritt, müssen wir nun näherrücken. Vergegenwärtigen wir uns die psychologische Situation der Behandlung: Eine regelmäßige und unentbehrliche Vorbedingung </w:t>
      </w:r>
      <w:r w:rsidRPr="008725BE">
        <w:rPr>
          <w:rFonts w:ascii="Garamond" w:hAnsi="Garamond"/>
          <w:i/>
          <w:iCs/>
          <w:lang w:val="en-GB"/>
        </w:rPr>
        <w:t>jeder</w:t>
      </w:r>
      <w:r w:rsidRPr="008725BE">
        <w:rPr>
          <w:rFonts w:ascii="Garamond" w:hAnsi="Garamond"/>
          <w:lang w:val="en-GB"/>
        </w:rPr>
        <w:t xml:space="preserve"> Erkrankung an einer Psychoneurose ist der Vorgang, den Jung treffend als </w:t>
      </w:r>
      <w:r w:rsidRPr="008725BE">
        <w:rPr>
          <w:rFonts w:ascii="Garamond" w:hAnsi="Garamond"/>
          <w:i/>
          <w:iCs/>
          <w:lang w:val="en-GB"/>
        </w:rPr>
        <w:t>Introversion</w:t>
      </w:r>
      <w:r w:rsidRPr="008725BE">
        <w:rPr>
          <w:rFonts w:ascii="Garamond" w:hAnsi="Garamond"/>
          <w:lang w:val="en-GB"/>
        </w:rPr>
        <w:t xml:space="preserve"> der Libido bezeichnet hat </w:t>
      </w:r>
      <w:hyperlink r:id="rId94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Wenngleich manche Äußerungen Jungs den Eindruck machen, als sehe er in dieser Introversion etwas für die Dementia praecox Charakteristisches, was bei anderen Neurosen nicht ebenso in Betracht käme.</w:t>
        </w:r>
      </w:hyperlink>
      <w:r w:rsidRPr="008725BE">
        <w:rPr>
          <w:rFonts w:ascii="Garamond" w:hAnsi="Garamond"/>
          <w:lang w:val="en-GB"/>
        </w:rPr>
        <w:t xml:space="preserve">. Das heißt: Der Anteil der bewußtseinsfähigen, der Realität zugewendeten Libido wird verringert, der Anteil der von der Realität abgewendeten, unbewußten, welche etwa noch die Phantasien der Person speisen darf, aber dem Unbewußten angehört, um so viel vermehrt. Die Libido hat sich (ganz oder teilweise) in die Regression begeben und die infantilen Imagines wiederbelebt </w:t>
      </w:r>
      <w:hyperlink r:id="rId94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Es wäre bequem zu sagen: Sie hat die infantilen »Komplexe« wiederbesetzt. Aber das wäre unrichtig; einzig zu rechtfertigen wäre die Aussage: Die unbewußten Anteile dieser Komplexe. – Die außerordentliche Verschlungenheit des in dieser Arbeit behandelten Themas legt die Versuchung nahe, auf eine Anzahl von anstoßenden Problemen einzugehen, deren Klärung eigentlich erforderlich wäre, ehe man von den hier zu beschreibenden psychischen Vorgängen in unzweideutigen Worten reden könnte. Solche Probleme sind: die Abgrenzung der Introversion und der Regression gegeneinander, die Einfügung der Komplexlehre in die Libidotheorie, die Beziehungen des Phantasierens zum Bewußten und Unbewußten wie zur Realität u. a. Es bedarf keiner Entschuldigung, wenn ich an dieser Stelle diesen Versuchungen widerstanden habe.</w:t>
        </w:r>
      </w:hyperlink>
      <w:r w:rsidRPr="008725BE">
        <w:rPr>
          <w:rFonts w:ascii="Garamond" w:hAnsi="Garamond"/>
          <w:lang w:val="en-GB"/>
        </w:rPr>
        <w:t xml:space="preserve">. Dorthin folgt ihr nun die analytische Kur nach, welche die Libido aufsuchen, wieder dem Bewußtsein zugänglich und endlich der Realität dienstbar machen will. Wo die analytische Forschung auf die in ihre Verstecke zurückgezogene Libido stößt, muß ein Kampf ausbrechen; alle die Kräfte, welche die Regression der Libido verursacht haben, werden sich als »Widerstände« gegen die Arbeit erheben, um diesen neuen Zustand zu konservieren. Wenn nämlich die Introversion oder Regression der Libido nicht durch eine bestimmte Relation zur Außenwelt (im allgemeinsten: durch die Versagung der Befriedigung) berechtigt und selbst für den Augenblick zweckmäßig gewesen wäre, hätte sie überhaupt nicht zustande kommen können. Die Widerstände dieser Herkunft sind aber nicht die einzigen, nicht einmal die stärksten. Die der Persönlichkeit verfügbare Libido hatte immer unter der Anziehung der unbewußten Komplexe (richtiger der dem Unbewußten angehörenden Anteile dieser Komplexe) gestanden und war in die Regression geraten, weil die Anziehung der Realität nachgelassen hatte. Um sie frei zu machen, muß nun diese Anziehung des Unbewußten überwunden, also die seither in dem Individuum konstituierte Verdrängung der unbewußten Triebe und ihrer Produktionen aufgehoben werden. Dies ergibt den bei weitem großartigeren Anteil des Widerstandes, der ja so häufig die Krankheit fortbestehen läßt, auch wenn die Abwendung von der Realität die zeitweilige Begründung wieder verloren hat. Mit den Widerständen aus beiden Quellen hat die Analyse zu kämpfen. Der Widerstand begleitet die </w:t>
      </w:r>
      <w:r w:rsidRPr="008725BE">
        <w:rPr>
          <w:rFonts w:ascii="Garamond" w:hAnsi="Garamond"/>
          <w:lang w:val="en-GB"/>
        </w:rPr>
        <w:lastRenderedPageBreak/>
        <w:t>Behandlung auf jedem Schritt; jeder einzelne Einfall, jeder Akt des Behandelten muß dem Widerstande Rechnung tragen, stellt sich als ein Kompromiß aus den zur Genesung zielenden Kräften und den angeführten, ihr widerstrebenden, dar.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Verfolgt man nun einen pathogenen Komplex von seiner (entweder als Symptom auffälligen oder auch ganz unscheinbaren) Vertretung im Bewußten gegen seine Wurzel im Unbewußten hin, so wird man bald in eine Region kommen, wo der Widerstand sich so deutlich geltend macht, daß der nächste Einfall ihm Rechnung tragen und als Kompromiß zwischen seinen Anforderungen und denen der Forschungsarbeit erscheinen muß. Hier tritt nun nach dem Zeugnisse der Erfahrung die Übertragung ein. Wenn irgend etwas aus dem Komplexstoff (dem Inhalt des Komplexes) sich dazu eignet, auf die Person des Arztes übertragen zu werden, so stellt sich diese Übertragung her, ergibt den nächsten Einfall und kündigt sich durch die Anzeichen eines Widerstandes, etwa durch eine Stockung, an. Wir schließen aus dieser Erfahrung, daß diese Übertragungsidee darum vor allen anderen Einfallsmöglichkeiten zum Bewußtsein durchgedrungen ist, </w:t>
      </w:r>
      <w:r w:rsidRPr="008725BE">
        <w:rPr>
          <w:rFonts w:ascii="Garamond" w:hAnsi="Garamond"/>
          <w:i/>
          <w:iCs/>
          <w:lang w:val="en-GB"/>
        </w:rPr>
        <w:t>weil</w:t>
      </w:r>
      <w:r w:rsidRPr="008725BE">
        <w:rPr>
          <w:rFonts w:ascii="Garamond" w:hAnsi="Garamond"/>
          <w:lang w:val="en-GB"/>
        </w:rPr>
        <w:t xml:space="preserve"> sie auch dem Widerstande Genüge tut. Ein solcher Vorgang wiederholt sich im Verlaufe einer Analyse ungezählte Male. Immer wieder wird, wenn man sich einem pathogenen Komplexe annähert, zuerst der zur Übertragung befähigte Anteil des Komplexes ins Bewußtsein vorgeschoben und mit der größten Hartnäckigkeit verteidigt </w:t>
      </w:r>
      <w:hyperlink r:id="rId94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Woraus man aber nicht allgemein auf eine besondere pathogene Bedeutsamkeit des zum Übertragungswiderstand gewählten Elementes schließen darf. Wenn in einer Schlacht um den Besitz eines gewissen Kirchleins oder eines einzelnen Gehöfts mit besonderer Erbitterung gestritten wird, braucht man nicht anzunehmen, daß die Kirche etwa ein Nationalheiligtum sei oder daß das Haus den Armeeschatz berge. Der Wert der Objekte kann ein bloß taktischer sein, vielleicht nur in dieser einen Schlacht zur Geltung kommen.</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Nach seiner Überwindung macht die der anderen Komplexbestandteile wenig Schwierigkeiten mehr. Je länger eine analytische Kur dauert und je deutlicher der Kranke erkannt hat, daß Entstellungen des pathogenen Materials allein keinen Schutz gegen die Aufdeckung bieten, desto konsequenter bedient er sich der einen Art von Entstellung, die ihm offenbar die größten Vorteile bringt, der Entstellung durch Übertragung. Diese Verhältnisse nehmen die Richtung nach einer Situation, in welcher schließlich alle Konflikte auf dem Gebiete der Übertragung ausgefochten werden müssen.</w:t>
      </w:r>
    </w:p>
    <w:p w:rsidR="008725BE" w:rsidRPr="008725BE" w:rsidRDefault="008725BE" w:rsidP="008725BE">
      <w:pPr>
        <w:pStyle w:val="Sansinterligne"/>
        <w:rPr>
          <w:rFonts w:ascii="Garamond" w:hAnsi="Garamond"/>
          <w:lang w:val="en-GB"/>
        </w:rPr>
      </w:pPr>
      <w:r w:rsidRPr="008725BE">
        <w:rPr>
          <w:rFonts w:ascii="Garamond" w:hAnsi="Garamond"/>
          <w:lang w:val="en-GB"/>
        </w:rPr>
        <w:t>So erscheint uns die Übertragung in der analytischen Kur zunächst immer nur als die stärkste Waffe des Widerstandes, und wir dürfen den Schluß ziehen, daß die Intensität und Ausdauer der Übertragung eine Wirkung und ein Ausdruck des Widerstandes seien. Der Mechanismus der Übertragung ist zwar durch ihre Zurückführung auf die Bereitschaft der Libido erledigt, die im Besitze infantiler Imagines geblieben ist; die Aufklärung ihrer Rolle in der Kur gelingt aber nur, wenn man auf ihre Beziehungen zum Widerstände eingeht.</w:t>
      </w:r>
    </w:p>
    <w:p w:rsidR="008725BE" w:rsidRPr="008725BE" w:rsidRDefault="008725BE" w:rsidP="008725BE">
      <w:pPr>
        <w:pStyle w:val="Sansinterligne"/>
        <w:rPr>
          <w:rFonts w:ascii="Garamond" w:hAnsi="Garamond"/>
          <w:lang w:val="en-GB"/>
        </w:rPr>
      </w:pPr>
      <w:r w:rsidRPr="008725BE">
        <w:rPr>
          <w:rFonts w:ascii="Garamond" w:hAnsi="Garamond"/>
          <w:lang w:val="en-GB"/>
        </w:rPr>
        <w:t>Woher kommt es, daß sich die Übertragung so vorzüglich zum Mittel des Widerstandes eignet? Man sollte meinen, diese Antwort wäre nicht schwer zu geben. Es ist ja klar, daß das Geständnis einer jeden verpönten Wunschregung besonders erschwert wird, wenn es vor jener Person abgelegt werden soll, der die Regung selbst gilt. Diese Nötigung ergibt Situationen, die in der Wirklichkeit als kaum durchführbar erscheinen. Gerade das will nun der Analysierte erzielen, wenn er das Objekt seiner Gefühlsregungen mit dem Arzte zusammenfallen läßt. Eine nähere Überlegung zeigt aber, daß dieser scheinbare Gewinn nicht die Lösung des Problems ergeben kann. Eine Beziehung von zärtlicher, hingebungsvoller Anhänglichkeit kann ja anderseits über alle Schwierigkeiten des Geständnisses hinweghelfen. Man pflegt ja unter analogen realen Verhältnissen zu sagen: »Vor dir schäme ich mich nicht, dir kann ich alles sagen.« Die Übertragung auf den Arzt könnte also ebensowohl zur Erleichterung des Geständnisses dienen, und man verstünde nicht, warum sie eine Erschwerung hervorruft.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Antwort auf diese hier wiederholt gestellte Frage wird nicht durch weitere Überlegung gewonnen, sondern durch die Erfahrung gegeben, die man bei der Untersuchung der einzelnen Übertragungswiderstände in der Kur macht. Man merkt endlich, daß man die Verwendung der Übertragung zum Widerstande nicht verstehen kann, solange man an »Übertragung« schlechtweg denkt. Man muß sich entschließen, eine »positive« Übertragung von einer »negativen« zu sondern, die Übertragung zärtlicher Gefühle von der feindseliger, und beide Arten der Übertragung auf den Arzt gesondert zu behandeln. Die positive Übertragung zerlegt sich dann noch in die solcher freundlicher oder zärtlicher Gefühle, welche bewußtseinsfähig sind, und in die ihrer Fortsetzungen ins Unbewußte. Von den letzteren weist die Analyse nach, daß sie regelmäßig auf erotische Quellen zurückgehen, so daß wir zur Einsicht gelangen müssen, alle unsere im Leben verwertbaren Gefühlsbeziehungen von Sympathie, Freundschaft, Zutrauen und dergleichen seien genetisch mit der Sexualität verknüpft und haben sich </w:t>
      </w:r>
      <w:r w:rsidRPr="008725BE">
        <w:rPr>
          <w:rFonts w:ascii="Garamond" w:hAnsi="Garamond"/>
          <w:lang w:val="en-GB"/>
        </w:rPr>
        <w:lastRenderedPageBreak/>
        <w:t>durch Abschwächung des Sexualzieles aus rein sexuellen Begehrungen entwickelt, so rein und unsinnlich sie sich auch unserer bewußten Selbstwahrnehmung darstellen mögen. Ursprünglich haben wir nur Sexualobjekte gekannt; die Psychoanalyse zeigt uns, daß die bloß geschätzten oder verehrten Personen unserer Realität für das Unbewußte in uns immer noch Sexualobjekte sein können.</w:t>
      </w:r>
    </w:p>
    <w:p w:rsidR="008725BE" w:rsidRPr="008725BE" w:rsidRDefault="008725BE" w:rsidP="008725BE">
      <w:pPr>
        <w:pStyle w:val="Sansinterligne"/>
        <w:rPr>
          <w:rFonts w:ascii="Garamond" w:hAnsi="Garamond"/>
          <w:lang w:val="en-GB"/>
        </w:rPr>
      </w:pPr>
      <w:r w:rsidRPr="008725BE">
        <w:rPr>
          <w:rFonts w:ascii="Garamond" w:hAnsi="Garamond"/>
          <w:lang w:val="en-GB"/>
        </w:rPr>
        <w:t>Die Lösung des Rätsels ist also, daß die Übertragung auf den Arzt sich nur insofern zum Widerstande in der Kur eignet, als sie negative Übertragung oder positive von verdrängten erotischen Regungen ist. Wenn wir durch Bewußtmachen die Übertragung »aufheben«, so lösen wir nur diese beiden Komponenten des Gefühlsaktes von der Person des Arztes ab; die andere, bewußtseinsfähige und unanstößige Komponente bleibt bestehen und ist in der Psychoanalyse genau ebenso die Trägerin des Erfolges wie bei anderen Behandlungsmethoden. Insofern gestehen wir gerne zu, die Resultate der Psychoanalyse beruhten auf Suggestion; nur muß man unter Suggestion das verstehen, was wir mit Ferenczi (1909) darin finden: die Beeinflussung eines Menschen vermittels der bei ihm möglichen Übertragungsphänomene. Für die endliche Selbständigkeit des Kranken sorgen wir, indem wir die Suggestion dazu benützen, ihn eine psychische Arbeit vollziehen zu lassen, die eine dauernde Verbesserung seiner psychischen Situation zur notwendigen Folge hat.</w:t>
      </w:r>
    </w:p>
    <w:p w:rsidR="008725BE" w:rsidRPr="008725BE" w:rsidRDefault="008725BE" w:rsidP="008725BE">
      <w:pPr>
        <w:pStyle w:val="Sansinterligne"/>
        <w:rPr>
          <w:rFonts w:ascii="Garamond" w:hAnsi="Garamond"/>
          <w:lang w:val="en-GB"/>
        </w:rPr>
      </w:pPr>
      <w:r w:rsidRPr="008725BE">
        <w:rPr>
          <w:rFonts w:ascii="Garamond" w:hAnsi="Garamond"/>
          <w:lang w:val="en-GB"/>
        </w:rPr>
        <w:t>Es kann noch gefragt werden, warum die Widerstandsphänomene der Übertragung nur in der Psychoanalyse, nicht auch bei indifferenter Behandlung, z. B. in Anstalten, zum Vorschein kommen. Die Antwort lautet: sie zeigen sich auch dort, nur müssen sie als solche gewürdigt werden. Das Hervorbrechen der negativen Übertragung ist in Anstalten sogar recht häufig. Der Kranke verläßt eben die Anstalt ungeändert oder rückfällig, sobald er unter die Herrschaft der negativen Übertragung gerät. Die erotische Übertragung wirkt in Anstalten nicht so hemmend, da sie dort wie im Leben beschönigt, anstatt aufgedeckt wird; sie äußert sich aber ganz deutlich als Widerstand gegen die Genesung, zwar nicht, indem sie den Kranken aus der Anstalt treibt – sie hält ihn im Gegenteil in der Anstalt zurück –, wohl aber dadurch, daß sie ihn vom Leben fernehält. Für die Genesung ist es nämlich recht gleichgültig, ob der Kranke in der Anstalt diese oder jene Angst oder Hemmung überwindet; es kommt vielmehr darauf an, daß er auch in der Realität seines Lebens davon frei wird.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negative Übertragung verdiente eine eingehende Würdigung, die ihr im Rahmen dieser Ausführungen nicht zuteil werden kann. Bei den heilbaren Formen von Psychoneurosen findet sie sich neben der zärtlichen Übertragung, oft gleichzeitig auf die nämliche Person gerichtet, für welchen Sachverhalt Bleuler den guten Ausdruck </w:t>
      </w:r>
      <w:r w:rsidRPr="008725BE">
        <w:rPr>
          <w:rFonts w:ascii="Garamond" w:hAnsi="Garamond"/>
          <w:i/>
          <w:iCs/>
          <w:lang w:val="en-GB"/>
        </w:rPr>
        <w:t>Ambivalenz</w:t>
      </w:r>
      <w:r w:rsidRPr="008725BE">
        <w:rPr>
          <w:rFonts w:ascii="Garamond" w:hAnsi="Garamond"/>
          <w:lang w:val="en-GB"/>
        </w:rPr>
        <w:t xml:space="preserve"> geprägt hat </w:t>
      </w:r>
      <w:hyperlink r:id="rId94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E. Bleuler (1911). – Vortrag über Ambivalenz in Bern 1910, referiert im </w:t>
        </w:r>
        <w:r w:rsidRPr="008725BE">
          <w:rPr>
            <w:rStyle w:val="innerfusslink3"/>
            <w:rFonts w:ascii="Garamond" w:hAnsi="Garamond" w:cs="Arial"/>
            <w:b/>
            <w:bCs/>
            <w:i/>
            <w:iCs/>
            <w:lang w:val="en-GB"/>
          </w:rPr>
          <w:t>Zentralblatt für Psychoanalyse</w:t>
        </w:r>
        <w:r w:rsidRPr="008725BE">
          <w:rPr>
            <w:rStyle w:val="innerfusslink3"/>
            <w:rFonts w:ascii="Garamond" w:hAnsi="Garamond" w:cs="Arial"/>
            <w:b/>
            <w:bCs/>
            <w:lang w:val="en-GB"/>
          </w:rPr>
          <w:t xml:space="preserve">, 1, S. 266. – Für die gleichen Phänomene hatte W. Stekel die Bezeichnung » </w:t>
        </w:r>
        <w:r w:rsidRPr="008725BE">
          <w:rPr>
            <w:rStyle w:val="innerfusslink3"/>
            <w:rFonts w:ascii="Garamond" w:hAnsi="Garamond" w:cs="Arial"/>
            <w:b/>
            <w:bCs/>
            <w:i/>
            <w:iCs/>
            <w:lang w:val="en-GB"/>
          </w:rPr>
          <w:t>Bipolarität</w:t>
        </w:r>
        <w:r w:rsidRPr="008725BE">
          <w:rPr>
            <w:rStyle w:val="innerfusslink3"/>
            <w:rFonts w:ascii="Garamond" w:hAnsi="Garamond" w:cs="Arial"/>
            <w:b/>
            <w:bCs/>
            <w:lang w:val="en-GB"/>
          </w:rPr>
          <w:t>« vorgeschlagen.</w:t>
        </w:r>
      </w:hyperlink>
      <w:r w:rsidRPr="008725BE">
        <w:rPr>
          <w:rFonts w:ascii="Garamond" w:hAnsi="Garamond"/>
          <w:lang w:val="en-GB"/>
        </w:rPr>
        <w:t>. Eine solche Ambivalenz der Gefühle scheint bis zu einem gewissen Maße normal zu sein, aber ein hoher Grad von Ambivalenz der Gefühle ist gewiß eine besondere Auszeichnung neurotischer Personen. Bei der Zwangsneurose scheint eine frühzeitige »Trennung der Gegensatzpaare« für das Triebleben charakteristisch zu sein und eine ihrer konstitutionellen Bedingungen darzustellen. Die Ambivalenz der Gefühlsrichtungen erklärt uns am besten die Fähigkeit der Neurotiker, ihre Übertragungen in den Dienst des Widerstandes zu stellen. Wo die Übertragungsfähigkeit im wesentlichen negativ geworden ist, wie bei den Paranoiden, da hört die Möglichkeit der Beeinflussung und der Heilung auf.</w:t>
      </w:r>
    </w:p>
    <w:p w:rsidR="008725BE" w:rsidRPr="008725BE" w:rsidRDefault="008725BE" w:rsidP="008725BE">
      <w:pPr>
        <w:pStyle w:val="Sansinterligne"/>
        <w:rPr>
          <w:rFonts w:ascii="Garamond" w:hAnsi="Garamond"/>
          <w:lang w:val="en-GB"/>
        </w:rPr>
      </w:pPr>
      <w:r w:rsidRPr="008725BE">
        <w:rPr>
          <w:rFonts w:ascii="Garamond" w:hAnsi="Garamond"/>
          <w:lang w:val="en-GB"/>
        </w:rPr>
        <w:t>Mit alten diesen Erörterungen haben wir aber bisher nur eine Seite des Übertragungsphänomens gewürdigt; es wird erfordert, unsere Aufmerksamkeit einem anderen Aspekt derselben Sache zuzuwenden. Wer sich den richtigen Eindruck davon geholt hat, wie der Analysierte aus seinen realen Beziehungen zum Arzte herausgeschleudert wird, sobald er unter die Herrschaft eines ausgiebigen Übertragungswiderstandes gerät, wie er sich dann die Freiheit herausnimmt, die psychoanalytische Grundregel zu vernachlässigen, daß man ohne Kritik alles mitteilen solle, was einem in den Sinn kommt, wie er die Vorsätze vergißt, mit denen er in die Behandlung getreten war, und wie ihm logische Zusammenhänge und Schlüsse nun gleichgültig werden, die ihm kurz vorher den größten Eindruck gemacht hatten, der wird das Bedürfnis haben, sich diesen Eindruck noch aus anderen als den bisher angeführten Momenten zu erklären, und solche liegen in der Tat nicht ferne; sie ergeben sich wiederum aus der psychologischen Situation, in welche die Kur den Analysierten versetzt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der Aufspürung der dem Bewußten abhanden gekommenen Libido ist man in den Bereich des Unbewußten eingedrungen. Die Reaktionen, die man erzielt, bringen nun manches von den Charakteren unbewußter Vorgänge mit ans Licht, wie wir sie durch das Studium der Träume kennengelernt haben. Die unbewußten Regungen wollen nicht erinnert werden, wie die Kur es wünscht, sondern sie streben danach, sich zu reproduzieren, entsprechend der Zeitlosigkeit und der Halluzinationsfähigkeit des Unbewußten. Der Kranke spricht ähnlich wie im Traume den Ergebnissen der Erweckung seiner unbewußten Regungen </w:t>
      </w:r>
      <w:r w:rsidRPr="008725BE">
        <w:rPr>
          <w:rFonts w:ascii="Garamond" w:hAnsi="Garamond"/>
          <w:lang w:val="en-GB"/>
        </w:rPr>
        <w:lastRenderedPageBreak/>
        <w:t xml:space="preserve">Gegenwärtigkeit und Realität zu; er will seine Leidenschaften agieren, ohne auf die reale Situation Rücksicht zu nehmen. Der Arzt will ihn dazu nötigen, diese Gefühlsregungen in den Zusammenhang der Behandlung und in den seiner Lebensgeschichte einzureihen, sie der denkenden Betrachtung unterzuordnen und nach ihrem psychischen Werte zu erkennen. Dieser Kampf zwischen Arzt und Patienten, zwischen Intellekt und Triebleben, zwischen Erkennen und Agierenwollen spielt sich fast ausschließlich an den Übertragungsphänomenen ab. Auf diesem Felde muß der Sieg gewonnen werden, dessen Ausdruck die dauernde Genesung von der Neurose ist. Es ist unleugbar, daß die Bezwingung der Übertragungsphänomene dem Psychoanalytiker die größten Schwierigkeiten bereitet, aber man darf nicht vergessen, daß gerade sie uns den unschätzbaren Dienst erweisen, die verborgenen und vergessenen Liebesregungen der Kranken aktuell und manifest zu machen, denn schließlich kann niemand </w:t>
      </w:r>
      <w:r w:rsidRPr="008725BE">
        <w:rPr>
          <w:rFonts w:ascii="Garamond" w:hAnsi="Garamond"/>
          <w:i/>
          <w:iCs/>
          <w:lang w:val="en-GB"/>
        </w:rPr>
        <w:t>in absentia</w:t>
      </w:r>
      <w:r w:rsidRPr="008725BE">
        <w:rPr>
          <w:rFonts w:ascii="Garamond" w:hAnsi="Garamond"/>
          <w:lang w:val="en-GB"/>
        </w:rPr>
        <w:t xml:space="preserve"> oder </w:t>
      </w:r>
      <w:r w:rsidRPr="008725BE">
        <w:rPr>
          <w:rFonts w:ascii="Garamond" w:hAnsi="Garamond"/>
          <w:i/>
          <w:iCs/>
          <w:lang w:val="en-GB"/>
        </w:rPr>
        <w:t>in effigie</w:t>
      </w:r>
      <w:r w:rsidRPr="008725BE">
        <w:rPr>
          <w:rFonts w:ascii="Garamond" w:hAnsi="Garamond"/>
          <w:lang w:val="en-GB"/>
        </w:rPr>
        <w:t xml:space="preserve"> erschlagen werden.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Zu</w:t>
        </w:r>
        <w:bookmarkStart w:id="207" w:name="KS72"/>
        <w:bookmarkEnd w:id="207"/>
        <w:r w:rsidRPr="008725BE">
          <w:rPr>
            <w:rStyle w:val="Lienhypertexte"/>
            <w:rFonts w:ascii="Garamond" w:hAnsi="Garamond"/>
            <w:b/>
            <w:lang w:val="en-GB"/>
          </w:rPr>
          <w:t>r Einführung des Narzißmus</w:t>
        </w:r>
      </w:hyperlink>
      <w:r w:rsidRPr="008725BE">
        <w:rPr>
          <w:rFonts w:ascii="Garamond" w:hAnsi="Garamond"/>
          <w:lang w:val="en-GB"/>
        </w:rPr>
        <w:t xml:space="preserve">  </w:t>
      </w:r>
      <w:r w:rsidRPr="008725BE">
        <w:rPr>
          <w:rFonts w:ascii="Garamond" w:hAnsi="Garamond"/>
          <w:caps/>
          <w:lang w:val="en-GB"/>
        </w:rPr>
        <w:t>(1914)</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I</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Terminus Narzißmus entstammt der klinischen Deskription und ist von P. Näcke 1899 zur Bezeichnung jenes Verhaltens gewählt worden, bei welchem ein Individuum den eigenen Leib in ähnlicher Weise behandelt wie sonst den eines Sexualobjekts, ihn also mit sexuellem Wohlgefallen beschaut, streichelt, liebkost, bis es durch diese Vornahmen zur vollen Befriedigung gelangt. In dieser Ausbildung hat der Narzißmus die Bedeutung einer Perversion, welche das gesamte Sexualleben der Person aufgesogen hat, und unterliegt darum auch den Erwartungen, mit denen wir an das Studium aller Perversionen herantreten. Es ist dann der psychoanalytischen Beobachtung aufgefallen, daß einzelne Züge des narzißtischen Verhaltens bei vielen mit anderen Störungen behafteten Personen gefunden werden, so nach Sadger bei Homosexuellen, und endlich lag die Vermutung nahe, daß eine als Narzißmus zu bezeichnende Unterbringung der Libido in viel weiterem Umfang in Betracht kommen und eine Stelle in der regulären Sexualentwicklung des Menschen beanspruchen könnte </w:t>
      </w:r>
      <w:hyperlink r:id="rId94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O. Rank (1911).</w:t>
        </w:r>
      </w:hyperlink>
      <w:r w:rsidRPr="008725BE">
        <w:rPr>
          <w:rFonts w:ascii="Garamond" w:hAnsi="Garamond"/>
          <w:lang w:val="en-GB"/>
        </w:rPr>
        <w:t xml:space="preserve">. Auf die nämliche Vermutung kam man von den Schwierigkeiten der psychoanalytischen Arbeit an Neurotikern her, denn es schien, als ob ein solches narzißtisches Verhalten derselben eine der Grenzen ihrer Beeinflußbarkeit herstellte. Narzißmus in diesem Sinne wäre keine Perversion, sondern die libidinöse Ergänzung zum Egoismus des Selbsterhaltungstriebes, von dem jedem Lebewesen mit Recht ein Stück zugeschrieben wird. Ein dringendes Motiv, sich mit der Vorstellung eines primären und normalen Narzißmus zu beschäftigen, ergab sich, als der Versuch unternommen wurde, das Verständnis der Dementia praecox (Kraepelin) oder Schizophrenie (Bleuler) unter die Voraussetzung der Libidotheorie zu bringen. Zwei fundamentale Charakterzüge zeigen solche Kranke, die ich vorgeschlagen habe, als Paraphreniker zu bezeichnen: den Größenwahn und die Abwendung ihres Interesses von der Außenwelt (Personen und Dingen). Infolge der letzteren Veränderung entziehen sie sich der Beeinflussung durch die Psychoanalyse, werden sie für unsere Bemühungen unheilbar. </w:t>
      </w:r>
      <w:r w:rsidRPr="008725BE">
        <w:rPr>
          <w:rFonts w:ascii="Garamond" w:hAnsi="Garamond"/>
        </w:rPr>
        <w:t xml:space="preserve">Die Abwendung des Paraphrenikers von der Außenwelt bedarf aber einer genaueren Kennzeichnung. Auch der Hysteriker und Zwangsneurotiker hat, soweit seine Krankheit reicht, die Beziehung zur Realität aufgegeben. </w:t>
      </w:r>
      <w:r w:rsidRPr="008725BE">
        <w:rPr>
          <w:rFonts w:ascii="Garamond" w:hAnsi="Garamond"/>
          <w:lang w:val="en-US"/>
        </w:rPr>
        <w:t xml:space="preserve">Die Analyse zeigt aber, daß er die erotische Beziehung zu Personen und Dingen keineswegs aufgehoben hat. Er hält sie noch in der Phantasie fest, das heißt, er hat einerseits die realen Objekte durch imaginäre seiner Erinnerung ersetzt oder sie mit ihnen vermengt, anderseits darauf verzichtet, die motorischen Aktionen zur Erreichung seiner Ziele an diesen Objekten einzuleiten. </w:t>
      </w:r>
      <w:r w:rsidRPr="008725BE">
        <w:rPr>
          <w:rFonts w:ascii="Garamond" w:hAnsi="Garamond"/>
          <w:lang w:val="en-GB"/>
        </w:rPr>
        <w:t xml:space="preserve">Für diesen Zustand der Libido sollte man allein den von Jung ohne Unterscheidung gebrauchten Ausdruck: </w:t>
      </w:r>
      <w:r w:rsidRPr="008725BE">
        <w:rPr>
          <w:rFonts w:ascii="Garamond" w:hAnsi="Garamond"/>
          <w:i/>
          <w:iCs/>
          <w:lang w:val="en-GB"/>
        </w:rPr>
        <w:t>Introversion</w:t>
      </w:r>
      <w:r w:rsidRPr="008725BE">
        <w:rPr>
          <w:rFonts w:ascii="Garamond" w:hAnsi="Garamond"/>
          <w:lang w:val="en-GB"/>
        </w:rPr>
        <w:t xml:space="preserve"> der Libido gelten lassen. Anders der Paraphreniker. Dieser scheint seine Libido von den Personen und Dingen der Außenwelt wirklich zurückgezogen zu haben, ohne diese durch andere in seiner Phantasie zu ersetzen. Wo dies dann geschieht, scheint es sekundär zu sein und einem Heilungsversuch anzugehören, welcher die Libido zum Objekt zurückführen will </w:t>
      </w:r>
      <w:hyperlink r:id="rId94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für diese Aufstellungen die Diskussion des »Weltunterganges« in der Analyse des Senatspräsidenten Schreber (1911). Ferner: Abraham (1908).</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Es entsteht die Frage: Welches ist das Schicksal der den Objekten entzogenen Libido bei der Schizophrenie? Der Größenwahn dieser Zustände weist hier den Weg. Er ist wohl auf Kosten der Objektlibido entstanden. Die der Außenwelt entzogene Libido ist dem Ich zugeführt worden, so daß ein Verhalten entstand, welches wir Narzißmus heißen können. Der Größenwahn selbst ist aber keine Neuschöpfung, sondern, wie wir wissen, die Vergrößerung und Verdeutlichung eines Zustandes, der schon vorher bestanden hatte. Somit werden wir dazu geführt, den Narzißmus, der durch Einbeziehung der Objektbesetzungen entsteht, als einen sekundären aufzufassen, welcher sich über einen primären, durch mannigfache Einflüsse verdunkelten aufbaut.</w:t>
      </w:r>
    </w:p>
    <w:p w:rsidR="008725BE" w:rsidRPr="008725BE" w:rsidRDefault="008725BE" w:rsidP="008725BE">
      <w:pPr>
        <w:pStyle w:val="Sansinterligne"/>
        <w:rPr>
          <w:rFonts w:ascii="Garamond" w:hAnsi="Garamond"/>
          <w:lang w:val="en-GB"/>
        </w:rPr>
      </w:pPr>
      <w:r w:rsidRPr="008725BE">
        <w:rPr>
          <w:rFonts w:ascii="Garamond" w:hAnsi="Garamond"/>
          <w:lang w:val="en-GB"/>
        </w:rPr>
        <w:t>Ich bemerke nochmals, daß ich hier keine Klärung oder Vertiefung des Schizophrenieproblems geben will, sondern nur zusammentrage, was bereits an anderen Stellen gesagt worden ist, um eine Einführung des Narzißmus zu rechtfertigen.</w:t>
      </w:r>
    </w:p>
    <w:p w:rsidR="008725BE" w:rsidRPr="008725BE" w:rsidRDefault="008725BE" w:rsidP="008725BE">
      <w:pPr>
        <w:pStyle w:val="Sansinterligne"/>
        <w:rPr>
          <w:rFonts w:ascii="Garamond" w:hAnsi="Garamond"/>
        </w:rPr>
      </w:pPr>
      <w:r w:rsidRPr="008725BE">
        <w:rPr>
          <w:rFonts w:ascii="Garamond" w:hAnsi="Garamond"/>
          <w:lang w:val="en-GB"/>
        </w:rPr>
        <w:t xml:space="preserve">Ein dritter Zufluß zu dieser, wie ich meine, legitimen Weiterbildung der Libidotheorie ergibt sich aus unseren Beobachtungen und Auffassungen des Seelenlebens von Kindern und von primitiven Völkern. Wir finden bei diesen letzteren Züge, welche, wenn sie vereinzelt wären, dem Größenwahn zugerechnet werden könnten, eine Überschätzung der Macht ihrer Wünsche und psychischen Akte, die »Allmacht der Gedanken«, einen Glauben an die Zauberkraft der Worte, eine Technik gegen die Außenwelt, die »Magie«, welche als konsequente Anwendung dieser größensüchtigen Voraussetzungen erscheint </w:t>
      </w:r>
      <w:hyperlink r:id="rId94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 die entsprechenden Abschnitte in meinem Buch </w:t>
        </w:r>
        <w:r w:rsidRPr="008725BE">
          <w:rPr>
            <w:rStyle w:val="innerfusslink3"/>
            <w:rFonts w:ascii="Garamond" w:hAnsi="Garamond" w:cs="Arial"/>
            <w:b/>
            <w:bCs/>
            <w:i/>
            <w:iCs/>
            <w:lang w:val="en-GB"/>
          </w:rPr>
          <w:t>Totem und Tabu</w:t>
        </w:r>
        <w:r w:rsidRPr="008725BE">
          <w:rPr>
            <w:rStyle w:val="innerfusslink3"/>
            <w:rFonts w:ascii="Garamond" w:hAnsi="Garamond" w:cs="Arial"/>
            <w:b/>
            <w:bCs/>
            <w:lang w:val="en-GB"/>
          </w:rPr>
          <w:t xml:space="preserve"> (1912–13).</w:t>
        </w:r>
      </w:hyperlink>
      <w:r w:rsidRPr="008725BE">
        <w:rPr>
          <w:rFonts w:ascii="Garamond" w:hAnsi="Garamond"/>
          <w:lang w:val="en-GB"/>
        </w:rPr>
        <w:t xml:space="preserve">. Wir erwarten eine ganz analoge Einstellung zur Außenwelt beim Kinde unserer Zeit, dessen Entwicklung für uns weit </w:t>
      </w:r>
      <w:r w:rsidRPr="008725BE">
        <w:rPr>
          <w:rFonts w:ascii="Garamond" w:hAnsi="Garamond"/>
          <w:lang w:val="en-GB"/>
        </w:rPr>
        <w:lastRenderedPageBreak/>
        <w:t xml:space="preserve">undurchsichtiger ist </w:t>
      </w:r>
      <w:hyperlink r:id="rId94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S. Ferenczi (1913 </w:t>
        </w:r>
        <w:r w:rsidRPr="008725BE">
          <w:rPr>
            <w:rStyle w:val="innerfusslink3"/>
            <w:rFonts w:ascii="Garamond" w:hAnsi="Garamond" w:cs="Arial"/>
            <w:b/>
            <w:bCs/>
            <w:i/>
            <w:iCs/>
            <w:lang w:val="en-GB"/>
          </w:rPr>
          <w:t>a</w:t>
        </w:r>
        <w:r w:rsidRPr="008725BE">
          <w:rPr>
            <w:rStyle w:val="innerfusslink3"/>
            <w:rFonts w:ascii="Garamond" w:hAnsi="Garamond" w:cs="Arial"/>
            <w:b/>
            <w:bCs/>
            <w:lang w:val="en-GB"/>
          </w:rPr>
          <w:t>).</w:t>
        </w:r>
      </w:hyperlink>
      <w:r w:rsidRPr="008725BE">
        <w:rPr>
          <w:rFonts w:ascii="Garamond" w:hAnsi="Garamond"/>
          <w:lang w:val="en-GB"/>
        </w:rPr>
        <w:t xml:space="preserve">. Wir bilden so die Vorstellung einer ursprünglichen Libidobesetzung des Ichs, von der später an die Objekte abgegeben wird, die aber, im Grunde genommen, verbleibt und sich zu den Objektbesetzungen verhält wie der Körper eines Protoplasmatierchens zu den von ihm ausgeschickten Pseudopodien. Dieses Stück der Libidounterbringung mußte für unsere von den neurotischen Symptomen ausgehende Forschung zunächst verdeckt bleiben. Die Emanationen dieser Libido, die Objektbesetzungen, die ausgeschickt und wieder zurückgezogen werden können, wurden uns allein auffällig. Wir sehen auch im groben einen Gegensatz zwischen der Ichlibido und der Objektlibido. </w:t>
      </w:r>
      <w:r w:rsidRPr="008725BE">
        <w:rPr>
          <w:rFonts w:ascii="Garamond" w:hAnsi="Garamond"/>
        </w:rPr>
        <w:t>Je mehr die eine verbraucht, desto mehr verarmt die andere. Als die höchste Entwicklungsphase, zu der es die letztere bringt, erscheint uns der Zustand der Verliebtheit, der sich uns wie ein Aufgeben der eigenen Persönlichkeit gegen die Objektbesetzung darstellt und seinen Gegensatz in der Phantasie (oder Selbstwahrnehmung) der Paranoiker vom Weltuntergang findet. Endlich folgern wir für die Unterscheidung der psychischen Energien, daß sie zunächst im Zustande des Narzißmus beisammen und für unsere grobe Analyse ununterscheidbar sind und daß es erst mit der Objektbesetzung möglich wird, eine Sexualenergie, die Libido, von einer Energie der Ichtriebe zu unterscheiden.</w:t>
      </w:r>
    </w:p>
    <w:p w:rsidR="008725BE" w:rsidRPr="008725BE" w:rsidRDefault="008725BE" w:rsidP="008725BE">
      <w:pPr>
        <w:pStyle w:val="Sansinterligne"/>
        <w:rPr>
          <w:rFonts w:ascii="Garamond" w:hAnsi="Garamond"/>
        </w:rPr>
      </w:pPr>
      <w:r w:rsidRPr="008725BE">
        <w:rPr>
          <w:rFonts w:ascii="Garamond" w:hAnsi="Garamond"/>
        </w:rPr>
        <w:t> </w:t>
      </w:r>
    </w:p>
    <w:p w:rsidR="008725BE" w:rsidRPr="008725BE" w:rsidRDefault="008725BE" w:rsidP="008725BE">
      <w:pPr>
        <w:pStyle w:val="Sansinterligne"/>
        <w:rPr>
          <w:rFonts w:ascii="Garamond" w:hAnsi="Garamond"/>
          <w:lang w:val="en-GB"/>
        </w:rPr>
      </w:pPr>
      <w:r w:rsidRPr="008725BE">
        <w:rPr>
          <w:rFonts w:ascii="Garamond" w:hAnsi="Garamond"/>
          <w:lang w:val="en-GB"/>
        </w:rPr>
        <w:t>Ehe ich weitergehe, muß ich zwei Fragen berühren, welche mitten in die Schwierigkeiten des Themas leiten. Erstens: Wie verhält sich der Narzißmus, von dem wir jetzt handeln, zum Autoerotismus, den wir als einen Frühzustand der Libido beschrieben haben? Zweitens: Wenn wir dem Ich eine primäre Besetzung mit Libido zuerkennen, wozu ist es überhaupt noch nötig, eine sexuelle Libido von einer nicht sexuellen Energie der Ichtriebe zu trennen? Würde die Zugrundelegung einer einheitlichen psychischen Energie nicht alle Schwierigkeiten der Sonderung von Ichtriebenergie und Ichlibido, Ichlibido und Objektlibido ersparen? Zur ersten Frage bemerke ich: Es ist eine notwendige Annahme, daß eine dem Ich vergleichbare Einheit nicht von Anfang an im Individuum vorhanden ist; das Ich muß entwickelt werden. Die autoerotischen Triebe sind aber uranfänglich; es muß also irgend etwas zum Autoerotismus hinzukommen, eine neue psychische Aktion, um den Narzißmus zu gestalten.</w:t>
      </w:r>
    </w:p>
    <w:p w:rsidR="008725BE" w:rsidRPr="008725BE" w:rsidRDefault="008725BE" w:rsidP="008725BE">
      <w:pPr>
        <w:pStyle w:val="Sansinterligne"/>
        <w:rPr>
          <w:rFonts w:ascii="Garamond" w:hAnsi="Garamond"/>
          <w:lang w:val="en-GB"/>
        </w:rPr>
      </w:pPr>
      <w:r w:rsidRPr="008725BE">
        <w:rPr>
          <w:rFonts w:ascii="Garamond" w:hAnsi="Garamond"/>
          <w:lang w:val="en-GB"/>
        </w:rPr>
        <w:t>Die Aufforderung, die zweite Frage in entschiedener Weise zu beantworten, muß bei jedem Psychoanalytiker ein merkliches Unbehagen erwecken. Man wehrt sich gegen das Gefühl, die Beobachtung für sterile theoretische Streitigkeiten zu verlassen, darf sich dem Versuch einer Klärung aber doch nicht entziehen. Gewiß sind Vorstellungen wie die einer Ichlibido, Ichtriebenergie und so weiter weder besonders klar faßbar noch inhaltsreich genug; eine spekulative Theorie der betreffenden Beziehungen würde vor allem einen scharf umschriebenen Begriff zur Grundlage gewinnen wollen. Allein ich meine, das ist eben der Unterschied zwischen einer spekulativen Theorie und einer auf Deutung der Empirie gebauten Wissenschaft. Die letztere wird der Spekulation das Vorrecht einer glatten, logisch unantastbaren Fundamentierung nicht neiden, sondern sich mit nebelhaft verschwindenden, kaum vorstellbaren Grundgedanken gerne begnügen, die sie im Laufe ihrer Entwicklung klarer zu erfassen hofft, eventuell auch gegen andere einzutauschen bereit ist. Diese Ideen sind nämlich nicht das Fundament der Wissenschaft, auf dem alles ruht; dies ist vielmehr allein die Beobachtung. Sie sind nicht das Unterste, sondern das Oberste des ganzen Baues und können ohne Schaden ersetzt und abgetragen werden. Wir erleben dergleichen in unseren Tagen wiederum an der Physik, deren Grundanschauungen über Materie, Kraftzentren, Anziehung und dergleichen kaum weniger bedenklich sind als die entsprechenden der Psychoanalyse.</w:t>
      </w:r>
    </w:p>
    <w:p w:rsidR="008725BE" w:rsidRPr="008725BE" w:rsidRDefault="008725BE" w:rsidP="008725BE">
      <w:pPr>
        <w:pStyle w:val="Sansinterligne"/>
        <w:rPr>
          <w:rFonts w:ascii="Garamond" w:hAnsi="Garamond"/>
          <w:lang w:val="en-GB"/>
        </w:rPr>
      </w:pPr>
      <w:r w:rsidRPr="008725BE">
        <w:rPr>
          <w:rFonts w:ascii="Garamond" w:hAnsi="Garamond"/>
          <w:lang w:val="en-GB"/>
        </w:rPr>
        <w:t>Der Wert der Begriffe: Ichlibido, Objektlibido liegt darin, daß sie aus der Verarbeitung der intimen Charaktere neurotischer und psychotischer Vorgänge stammen. Die Sonderung der Libido in eine solche, die dem Ich eigen ist, und eine, die den Objekten angehängt wird, ist eine unerläßliche Fortführung einer ersten Annahme, welche Sexualtriebe und Ichtriebe voneinander schied. Dazu nötigte mich wenigstens die Analyse der reinen Übertragungsneurosen (Hysterie und Zwang), und ich weiß nur, daß alle Versuche, von diesen Phänomenen mit anderen Mitteln Rechenschaft zu geben, gründlich mißlungen sind.</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 dem völligen Mangel einer irgendwie orientierenden Trieblehre ist es gestattet oder besser geboten, zunächst irgendeine Annahme in konsequenter Durchführung zu erproben, bis sie versagt oder sich bewährt. Für die Annahme einer ursprünglichen Sonderung von Sexualtrieben und anderen, Ichtrieben, spricht nun mancherlei nebst ihrer Brauchbarkeit für die Analyse der Übertragungsneurosen. Ich gebe zu, daß dieses Moment allein nicht unzweideutig wäre, denn es könnte sich um indifferente psychische Energie handeln, die erst durch den Akt der Objektbesetzung zur Libido wird. Aber diese begriffliche Scheidung entspricht erstens der populär so geläufigen Trennung von Hunger und Liebe. Zweitens machen sich </w:t>
      </w:r>
      <w:r w:rsidRPr="008725BE">
        <w:rPr>
          <w:rFonts w:ascii="Garamond" w:hAnsi="Garamond"/>
          <w:i/>
          <w:iCs/>
          <w:lang w:val="en-GB"/>
        </w:rPr>
        <w:t>biologische</w:t>
      </w:r>
      <w:r w:rsidRPr="008725BE">
        <w:rPr>
          <w:rFonts w:ascii="Garamond" w:hAnsi="Garamond"/>
          <w:lang w:val="en-GB"/>
        </w:rPr>
        <w:t xml:space="preserve"> Rücksichten zu ihren Gunsten geltend. Das Individuum führt wirklich eine Doppelexistenz als sein Selbstzweck und als Glied in einer Kette, der es gegen, jedenfalls ohne seinen </w:t>
      </w:r>
      <w:r w:rsidRPr="008725BE">
        <w:rPr>
          <w:rFonts w:ascii="Garamond" w:hAnsi="Garamond"/>
          <w:lang w:val="en-GB"/>
        </w:rPr>
        <w:lastRenderedPageBreak/>
        <w:t xml:space="preserve">Willen dienstbar ist. Es hält selbst die Sexualität für eine seiner Absichten, während eine andere Betrachtung zeigt, daß es nur ein Anhängsel an sein Keimplasma ist, dem es seine Kräfte gegen eine Lustprämie zur Verfügung stellt, der sterbliche Träger einer – vielleicht – unsterblichen Substanz, wie ein Majoratsherr nur der jeweilige Inhaber einer ihn überdauernden Institution. </w:t>
      </w:r>
      <w:r w:rsidRPr="008725BE">
        <w:rPr>
          <w:rFonts w:ascii="Garamond" w:hAnsi="Garamond"/>
        </w:rPr>
        <w:t xml:space="preserve">Die Sonderung der Sexualtriebe von den Ichtrieben würde nur diese doppelte Funktion des Individuums spiegeln. </w:t>
      </w:r>
      <w:r w:rsidRPr="008725BE">
        <w:rPr>
          <w:rFonts w:ascii="Garamond" w:hAnsi="Garamond"/>
          <w:lang w:val="en-GB"/>
        </w:rPr>
        <w:t>Drittens muß man sich daran erinnern, daß all unsere psychologischen Vorläufigkeiten einmal auf den Boden organischer Träger gestellt werden sollen. Es wird dann wahrscheinlich, daß es besondere Stoffe und chemische Prozesse sind, welche die Wirkungen der Sexualität ausüben und die Fortsetzung des individuellen Lebens in das der Art vermitteln. Dieser Wahrscheinlichkeit tragen wir Rechnung, indem wir die besonderen chemischen Stoffe durch besondere psychische Kräfte substituieren.</w:t>
      </w:r>
    </w:p>
    <w:p w:rsidR="008725BE" w:rsidRPr="008725BE" w:rsidRDefault="008725BE" w:rsidP="008725BE">
      <w:pPr>
        <w:pStyle w:val="Sansinterligne"/>
        <w:rPr>
          <w:rFonts w:ascii="Garamond" w:hAnsi="Garamond"/>
          <w:lang w:val="en-GB"/>
        </w:rPr>
      </w:pPr>
      <w:r w:rsidRPr="008725BE">
        <w:rPr>
          <w:rFonts w:ascii="Garamond" w:hAnsi="Garamond"/>
          <w:lang w:val="en-GB"/>
        </w:rPr>
        <w:t>Gerade weil ich sonst bemüht bin, alles andersartige, auch das biologische Denken, von der Psychologie fernezuhalten, will ich an dieser Stelle ausdrücklich zugestehen, daß die Annahme gesonderter Ich- und Sexualtriebe, also die Libidotheorie, zum wenigsten auf psychologischem Grunde ruht, wesentlich biologisch gestützt ist. Ich werde also auch konsequent genug sein, diese Annahme fallenzulassen, wenn sich aus der psychoanalytischen Arbeit selbst eine andere Voraussetzung über die Triebe als die besser verwertbare erheben würde. Dies ist bisher nicht der Fall gewesen. Es mag dann sein, daß die Sexualenergie, die Libido – im tiefsten Grund und in letzter Ferne –, nur ein Differenzierungsprodukt der sonst in der Psyche wirkenden Energie ist. Aber eine solche Behauptung ist nicht belangreich. Sie bezieht sich auf Dinge, die bereits so weit weg sind von den Problemen unserer Beobachtung und so wenig Kenntnisinhalt haben, daß es ebenso müßig ist, sie zu bestreiten, wie sie zu verwerten; möglicherweise hat diese Uridentität mit unseren analytischen Interessen sowenig zu tun wie die Urverwandtschaft aller Menschenrassen mit dem Nachweis der von der Erbschaftsbehörde geforderten Verwandtschaft mit dem Erblasser. Wir kommen mit all diesen Spekulationen zu nichts; da wir nicht warten können, bis uns die Entscheidungen der Trieblehre von einer anderen Wissenschaft geschenkt werden, ist es weit zweckmäßiger zu versuchen, welches Licht durch eine Synthese der psychologischen Phänomene auf jene biologischen Grundrätsel geworfen werden kann. Machen wir uns mit der Möglichkeit des Irrtums vertraut, aber lassen wir uns nicht abhalten, die ersterwählte Annahme eines Gegensatzes von Ich- und Sexualtrieben, die sich uns durch die Analyse der Übertragungsneurosen aufgedrängt hat, konsequent fortzuführen, ob sie sich widerspruchsfrei und fruchtbringend entwickeln und auch auf andere Affektionen, z. B. die Schizophrenie, anwenden läßt.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Anders stünde es natürlich, wenn der Beweis erbracht wäre, daß die Libidotheorie an der Erklärung der letztgenannten Krankheit bereits gescheitert ist. C. G. Jung hat diese Behauptung aufgestellt (1912) und mich dadurch zu den letzten Ausführungen, die ich mir gern erspart hätte, genötigt. Ich hätte es vorgezogen, den in der Analyse des Falles Schreber betretenen Weg unter Stillschweigen über dessen Voraussetzungen bis zum Ende zu gehen. Die Behauptung von Jung ist aber zum mindesten eine Voreiligkeit. Seine Begründungen sind spärlich. Er beruft sich zunächst auf mein eigenes Zeugnis, daß ich selbst mich genötigt gesehen habe, angesichts der Schwierigkeiten der Schreber-Analyse den Begriff der Libido zu erweitern, das heißt seinen sexuellen Inhalt aufzugeben, Libido mit psychischem Interesse überhaupt zusammenfallen zu lassen. Was zur Richtigstellung dieser Fehldeutung zu sagen ist, hat Ferenczi in einer gründlichen Kritik der Jungschen Arbeit bereits vorgebracht (1913  </w:t>
      </w:r>
      <w:r w:rsidRPr="008725BE">
        <w:rPr>
          <w:rFonts w:ascii="Garamond" w:hAnsi="Garamond"/>
          <w:i/>
          <w:iCs/>
          <w:lang w:val="en-GB"/>
        </w:rPr>
        <w:t>b</w:t>
      </w:r>
      <w:r w:rsidRPr="008725BE">
        <w:rPr>
          <w:rFonts w:ascii="Garamond" w:hAnsi="Garamond"/>
          <w:lang w:val="en-GB"/>
        </w:rPr>
        <w:t xml:space="preserve">). Ich kann dem Kritiker nur beipflichten und wiederholen, daß ich keinen derartigen Verzicht auf die Libidotheorie ausgesprochen habe. Ein weiteres Argument von Jung, es sei nicht anzunehmen, daß der Verlust der normalen Realfunktion allein durch die Zurückziehung der Libido verursacht werden könne, ist kein Argument, sondern ein Dekret; </w:t>
      </w:r>
      <w:r w:rsidRPr="008725BE">
        <w:rPr>
          <w:rFonts w:ascii="Garamond" w:hAnsi="Garamond"/>
          <w:i/>
          <w:iCs/>
          <w:lang w:val="en-GB"/>
        </w:rPr>
        <w:t>it begs the question</w:t>
      </w:r>
      <w:r w:rsidRPr="008725BE">
        <w:rPr>
          <w:rFonts w:ascii="Garamond" w:hAnsi="Garamond"/>
          <w:lang w:val="en-GB"/>
        </w:rPr>
        <w:t xml:space="preserve">, es nimmt die Entscheidung vorweg und erspart die Diskussion, denn ob und wie das möglich ist, sollte eben untersucht werden. In seiner nächsten großen Arbeit (1913) ist Jung an der von mir längst angedeuteten Lösung knapp vorbeigekommen: »Dabei ist nun allerdings noch in Betracht zu ziehen – worauf übrigens Freud in seiner Arbeit in dem Schreberschen Falle Bezug nimmt –, daß die Introversion der </w:t>
      </w:r>
      <w:r w:rsidRPr="008725BE">
        <w:rPr>
          <w:rFonts w:ascii="Garamond" w:hAnsi="Garamond"/>
          <w:i/>
          <w:iCs/>
          <w:lang w:val="en-GB"/>
        </w:rPr>
        <w:t>Libido sexualis</w:t>
      </w:r>
      <w:r w:rsidRPr="008725BE">
        <w:rPr>
          <w:rFonts w:ascii="Garamond" w:hAnsi="Garamond"/>
          <w:lang w:val="en-GB"/>
        </w:rPr>
        <w:t xml:space="preserve"> zu einer Besetzung des ›Ich‹ führt, wodurch möglicherweise jener Effekt des Realitätsverlustes herausgebracht wird. Es ist in der Tat eine verlockende Möglichkeit, die Psychologie des Realitätsverlustes in dieser Art zu erklären.« Allein Jung läßt sich mit dieser Möglichkeit nicht viel weiter ein. Wenige Zeilen später tut er sie mit der Bemerkung ab, daß aus dieser Bedingung »die Psychologie eines asketischen Anachoreten hervorgehen würde, nicht aber eine Dementia praecox«. Wie wenig dieser ungeeignete Vergleich eine Entscheidung bringen kann, mag die Bemerkung lehren, daß ein solcher Anachoret, der »jede Spur von Sexualinteresse auszurotten bestrebt ist« (doch nur im populären Sinne des Wortes »sexual«), nicht einmal eine pathogene Unterbringung der Libido aufzuweisen braucht. Er mag sein sexuelles Interesse von den Menschen gänzlich abgewendet und </w:t>
      </w:r>
      <w:r w:rsidRPr="008725BE">
        <w:rPr>
          <w:rFonts w:ascii="Garamond" w:hAnsi="Garamond"/>
          <w:lang w:val="en-GB"/>
        </w:rPr>
        <w:lastRenderedPageBreak/>
        <w:t>kann es doch zum gesteigerten Interesse für Göttliches, Natürliches, Tierisches sublimiert haben, ohne einer Introversion seiner Libido auf seine Phantasien oder einer Rückkehr derselben zu seinem Ich verfallen zu sein. Es scheint, daß dieser Vergleich die mögliche Unterscheidung vom Interesse aus erotischen Quellen und anderen von vornherein vernachlässigt. Erinnern wir uns ferner daran, daß die Untersuchungen der Schweizer Schule trotz all ihrer Verdienstlichkeit doch nur über zwei Punkte im Bilde der Dementia praecox Aufklärung gebracht haben, über die Existenz der von Gesunden wie von Neurotikern bekannten Komplexe und über die Ähnlichkeit ihrer Phantasiebildungen mit den Völkermythen, auf den Mechanismus der Erkrankung aber sonst kein Licht werfen konnten, so werden wir die Behauptung Jungs zurückweisen können, daß die Libidotheorie an der Bewältigung der Dementia praecox gescheitert und damit auch für die anderen Neurosen erledigt sei.</w:t>
      </w:r>
    </w:p>
    <w:p w:rsidR="008725BE" w:rsidRPr="008725BE" w:rsidRDefault="008725BE" w:rsidP="008725BE">
      <w:pPr>
        <w:pStyle w:val="Sansinterligne"/>
        <w:rPr>
          <w:rFonts w:ascii="Garamond" w:hAnsi="Garamond"/>
          <w:lang w:val="en-GB"/>
        </w:rPr>
      </w:pPr>
      <w:r w:rsidRPr="008725BE">
        <w:rPr>
          <w:rFonts w:ascii="Garamond" w:hAnsi="Garamond"/>
          <w:lang w:val="en-GB"/>
        </w:rPr>
        <w:t>II</w:t>
      </w:r>
    </w:p>
    <w:p w:rsidR="008725BE" w:rsidRPr="008725BE" w:rsidRDefault="008725BE" w:rsidP="008725BE">
      <w:pPr>
        <w:pStyle w:val="Sansinterligne"/>
        <w:rPr>
          <w:rFonts w:ascii="Garamond" w:hAnsi="Garamond"/>
          <w:lang w:val="en-GB"/>
        </w:rPr>
      </w:pPr>
      <w:r w:rsidRPr="008725BE">
        <w:rPr>
          <w:rFonts w:ascii="Garamond" w:hAnsi="Garamond"/>
          <w:lang w:val="en-GB"/>
        </w:rPr>
        <w:t>Ein direktes Studium des Narzißmus scheint mir durch besondere Schwierigkeiten verwehrt zu sein. Der Hauptzugang dazu wird wohl die Analyse der Paraphrenien bleiben. Wie die Übertragungsneurosen uns die Verfolgung der libidinösen Triebregungen ermöglicht haben, so werden uns die Dementia praecox und Paranoia die Einsicht in die Ichpsychologie gestatten. Wiederum werden wir das anscheinend Einfache des Normalen aus den Verzerrungen und Vergröberungen des Pathologischen erraten müssen. Immerhin bleiben uns einige andere Wege offen, um uns der Kenntnis des Narzißmus anzunähern, die ich nun der Reihe nach beschreiben will: die Betrachtung der organischen Krankheit, der Hypochondrie und des Liebeslebens der Geschlechter.</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Mit der Würdigung des Einflusses organischer Krankheit auf die Libidoverteilung folge ich einer mündlichen Anregung von S. Ferenczi. Es ist allgemein bekannt und erscheint uns selbstverständlich, daß der von organischem Schmerz und Mißempfindungen Gepeinigte das Interesse an den Dingen der Außenwelt, soweit sie nicht sein Leiden betreffen, aufgibt. Genauere Beobachtung lehrt, daß er auch das libidinöse Interesse von seinen Liebesobjekten zurückzieht, aufhört zu lieben, solange er leidet. Die Banalität dieser Tatsache braucht uns nicht abzuhalten, ihr eine Übersetzung in die Ausdrucksweise der Libidotheorie zu geben. Wir würden dann sagen: Der Kranke zieht seine Libidobesetzungen auf sein Ich zurück, um sie nach der Genesung wieder auszusenden. »Einzig in der engen Höhle«, sagt W. Busch vom zahnschmerzkranken Dichter, »des Backenzahnes weilt die Seele.« Libido und Ichinteresse haben dabei das gleiche Schicksal und sind wiederum voneinander nicht unterscheidbar. Der bekannte Egoismus der Kranken deckt beides. Wir finden ihn so selbstverständlich, weil wir gewiß sind, uns im gleichen Falle ebenso zu verhalten. Das Verscheuchen noch so intensiver Liebesbereitschaft durch körperliche Störungen, der plötzliche Ersatz derselben durch völlige Gleichgültigkeit, findet in der Komik entsprechende Ausnützung.</w:t>
      </w:r>
    </w:p>
    <w:p w:rsidR="008725BE" w:rsidRPr="008725BE" w:rsidRDefault="008725BE" w:rsidP="008725BE">
      <w:pPr>
        <w:pStyle w:val="Sansinterligne"/>
        <w:rPr>
          <w:rFonts w:ascii="Garamond" w:hAnsi="Garamond"/>
          <w:lang w:val="en-GB"/>
        </w:rPr>
      </w:pPr>
      <w:r w:rsidRPr="008725BE">
        <w:rPr>
          <w:rFonts w:ascii="Garamond" w:hAnsi="Garamond"/>
          <w:lang w:val="en-GB"/>
        </w:rPr>
        <w:t>Ähnlich wie die Krankheit bedeutet auch der Schlafzustand ein narzißtisches Zurückziehen der Libidopositionen auf die eigene Person, des genaueren, auf den einen Wunsch zu schlafen. Der Egoismus der Träume fügt sich wohl in diesen Zusammenhang ein. In beiden Fällen sehen wir, wenn auch nichts anderes, Beispiele von Veränderungen der Libidoverteilung infolge von Ichveränderung.</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Die Hypochondrie äußert sich wie das organische Kranksein in peinlichen und schmerzhaften Körperempfindungen und trifft auch in der Wirkung auf die Libidoverteilung mit ihm zusammen. Der Hypochondrische zieht Interesse wie Libido – die letztere besonders deutlich – von den Objekten der Außenwelt zurück und konzentriert beides auf das ihn beschäftigende Organ. Ein Unterschied zwischen Hypochondrie und organischer Krankheit drängt sich nun vor: im letzteren Falle sind die peinlichen Sensationen durch nachweisbare Veränderungen begründet, im ersteren Falle nicht. Es würde aber ganz in den Rahmen unserer sonstigen Auffassung der Neurosenvorgänge passen, wenn wir uns entschließen würden zu sagen: Die Hypochondrie muß recht haben, die Organveränderungen dürfen auch bei ihr nicht fehlen. Worin bestünden sie nun?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wollen uns hier durch die Erfahrung bestimmen lassen, daß Körpersensationen unlustiger Art, den hypochondrischen vergleichbar, auch bei den anderen Neurosen nicht fehlen. Ich habe schon früher einmal die Neigung ausgesprochen, die Hypochondrie als dritte Aktualneurose neben die Neurasthenie und die Angstneurose hinzustellen. Man geht wahrscheinlich nicht zu weit, wenn man es so darstellt, als wäre regelmäßig bei den anderen Neurosen auch ein Stückchen Hypochondrie mitausgebildet. Am schönsten sieht man dies wohl bei der Angstneurose und der sie überbauenden Hysterie. Nun ist das uns bekannte Vorbild des schmerzhaft empfindlichen, irgendwie veränderten und doch nicht im gewöhnlichen Sinne kranken Organs das Genitale in seinen Erregungszuständen. Es wird dann blutdurchströmt, </w:t>
      </w:r>
      <w:r w:rsidRPr="008725BE">
        <w:rPr>
          <w:rFonts w:ascii="Garamond" w:hAnsi="Garamond"/>
          <w:lang w:val="en-GB"/>
        </w:rPr>
        <w:lastRenderedPageBreak/>
        <w:t xml:space="preserve">geschwellt, durchfeuchtet und der Sitz mannigfaltiger Sensationen. Nennen wir die Tätigkeit einer Körperstelle, sexuell erregende Reize ins Seelenleben zu schicken, ihre </w:t>
      </w:r>
      <w:r w:rsidRPr="008725BE">
        <w:rPr>
          <w:rFonts w:ascii="Garamond" w:hAnsi="Garamond"/>
          <w:i/>
          <w:iCs/>
          <w:lang w:val="en-GB"/>
        </w:rPr>
        <w:t>Erogeneität</w:t>
      </w:r>
      <w:r w:rsidRPr="008725BE">
        <w:rPr>
          <w:rFonts w:ascii="Garamond" w:hAnsi="Garamond"/>
          <w:lang w:val="en-GB"/>
        </w:rPr>
        <w:t xml:space="preserve"> und denken daran, daß wir durch die Erwägungen der Sexualtheorie längst an die Auffassung gewöhnt sind, gewisse andere Körperstellen – die </w:t>
      </w:r>
      <w:r w:rsidRPr="008725BE">
        <w:rPr>
          <w:rFonts w:ascii="Garamond" w:hAnsi="Garamond"/>
          <w:i/>
          <w:iCs/>
          <w:lang w:val="en-GB"/>
        </w:rPr>
        <w:t>exogenen</w:t>
      </w:r>
      <w:r w:rsidRPr="008725BE">
        <w:rPr>
          <w:rFonts w:ascii="Garamond" w:hAnsi="Garamond"/>
          <w:lang w:val="en-GB"/>
        </w:rPr>
        <w:t xml:space="preserve"> Zonen – könnten die Genitalien vertreten und sich ihnen analog verhalten, so haben wir hier nur einen Schritt weiter zu wagen. Wir können uns entschließen, die Erogeneität als allgemeine Eigenschaft aller Organe anzusehen, und dürfen dann von der Steigerung oder Herabsetzung derselben an einem bestimmten Körperteile sprechen. Jeder solchen Veränderung der Erogeneität in den Organen könnte eine Veränderung der Libidobesetzung im Ich parallel gehen. In solchen Momenten hätten wir das zu suchen, was wir der Hypochondrie zugrunde legen und was die nämliche Einwirkung auf die Libidoverteilung haben kann wie die materielle Erkrankung der Organe.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merken, wenn wir diesen Gedankengang fortsetzen, stoßen wir auf das Problem nicht nur der Hypochondrie, sondern auch der anderen Aktualneurosen, der Neurasthenie und der Angstneurose. Wir wollen darum an dieser Stelle haltmachen; es liegt nicht in der Absicht einer rein psychologischen Untersuchung, die Grenze so weit ins Gebiet der physiologischen Forschung zu überschreiten. Es sei nur erwähnt, daß sich von hier aus vermuten läßt, die Hypochondrie stehe in einem ähnlichen Verhältnis zur Paraphrenie wie die anderen Aktualneurosen zur Hysterie und Zwangsneurose, hänge also von der Ichlibido ab, wie die anderen von der Objektlibido; die hypochondrische Angst sei das Gegenstück von der Ichlibido her zur neurotischen Angst. Ferner: Wenn wir mit der Vorstellung bereits vertraut sind, den Mechanismus der Erkrankung und Symptombildung bei den Übertragungsneurosen, den Fortschritt von der Introversion zur Regression, an eine Stauung der Objektlibido zu knüpfen </w:t>
      </w:r>
      <w:hyperlink r:id="rId94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›Über neurotische Erkrankungstypen‹ (1912  </w:t>
        </w:r>
        <w:r w:rsidRPr="008725BE">
          <w:rPr>
            <w:rStyle w:val="innerfusslink3"/>
            <w:rFonts w:ascii="Garamond" w:hAnsi="Garamond" w:cs="Arial"/>
            <w:b/>
            <w:bCs/>
            <w:i/>
            <w:iCs/>
            <w:lang w:val="en-GB"/>
          </w:rPr>
          <w:t>c</w:t>
        </w:r>
        <w:r w:rsidRPr="008725BE">
          <w:rPr>
            <w:rStyle w:val="innerfusslink3"/>
            <w:rFonts w:ascii="Garamond" w:hAnsi="Garamond" w:cs="Arial"/>
            <w:b/>
            <w:bCs/>
            <w:lang w:val="en-GB"/>
          </w:rPr>
          <w:t>)</w:t>
        </w:r>
      </w:hyperlink>
      <w:r w:rsidRPr="008725BE">
        <w:rPr>
          <w:rFonts w:ascii="Garamond" w:hAnsi="Garamond"/>
          <w:lang w:val="en-GB"/>
        </w:rPr>
        <w:t>, so dürfen wir auch der Vorstellung einer Stauung der Ichlibido nähertreten und sie in Beziehung zu den Phänomenen der Hypochondrie und der Paraphrenie bringen.</w:t>
      </w:r>
    </w:p>
    <w:p w:rsidR="008725BE" w:rsidRPr="008725BE" w:rsidRDefault="008725BE" w:rsidP="008725BE">
      <w:pPr>
        <w:pStyle w:val="Sansinterligne"/>
        <w:rPr>
          <w:rFonts w:ascii="Garamond" w:hAnsi="Garamond"/>
          <w:lang w:val="en-GB"/>
        </w:rPr>
      </w:pPr>
      <w:r w:rsidRPr="008725BE">
        <w:rPr>
          <w:rFonts w:ascii="Garamond" w:hAnsi="Garamond"/>
          <w:lang w:val="en-GB"/>
        </w:rPr>
        <w:t>Natürlich wird unsere Wißbegierde hier die Frage aufwerfen, warum eine solche Libidostauung im Ich als unlustvoll empfunden werden muß. Ich möchte mich da mit der Antwort begnügen, daß Unlust überhaupt der Ausdruck der höheren Spannung ist, daß es also eine Quantität des materiellen Geschehens ist, die sich hier wie anderwärts in die psychische Qualität der Unlust umsetzt; für die Unlustentwicklung mag dann immerhin nicht die absolute Größe jenes materiellen Vorganges entscheidend sein, sondern eher eine gewisse Funktion dieser absoluten Größe. Von hier aus mag man es selbst wagen, an die Frage heranzutreten, woher denn überhaupt die Nötigung für das Seelenleben rührt, über die Grenzen des Narzißmus hinauszugehen und die Libido auf Objekte zu setzen. Die aus unserem Gedankengang abfolgende Antwort würde wiederum sagen, diese Nötigung trete ein, wenn die Ichbesetzung mit Libido ein gewisses Maß überschritten habe. Ein starker Egoismus schützt vor Erkrankung, aber endlich muß man beginnen zu lieben, um nicht krank zu werden, und muß erkranken, wenn man infolge von Versagung nicht lieben kann. Etwa nach dem Vorbild, wie sich H. Heine die Psychogenese der Weltschöpfung vorstellt: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»Krankheit ist wohl der letzte Grund </w:t>
      </w:r>
      <w:r w:rsidRPr="008725BE">
        <w:rPr>
          <w:rFonts w:ascii="Garamond" w:hAnsi="Garamond"/>
          <w:lang w:val="en-GB"/>
        </w:rPr>
        <w:br/>
        <w:t xml:space="preserve">Des ganzen Schöpferdrangs gewesen; </w:t>
      </w:r>
      <w:r w:rsidRPr="008725BE">
        <w:rPr>
          <w:rFonts w:ascii="Garamond" w:hAnsi="Garamond"/>
          <w:lang w:val="en-GB"/>
        </w:rPr>
        <w:br/>
        <w:t xml:space="preserve">Erschaffend konnte ich genesen, </w:t>
      </w:r>
      <w:r w:rsidRPr="008725BE">
        <w:rPr>
          <w:rFonts w:ascii="Garamond" w:hAnsi="Garamond"/>
          <w:lang w:val="en-GB"/>
        </w:rPr>
        <w:br/>
        <w:t>Erschaffend wurde ich gesund.«</w:t>
      </w:r>
    </w:p>
    <w:p w:rsidR="008725BE" w:rsidRPr="008725BE" w:rsidRDefault="008725BE" w:rsidP="008725BE">
      <w:pPr>
        <w:pStyle w:val="Sansinterligne"/>
        <w:rPr>
          <w:rFonts w:ascii="Garamond" w:hAnsi="Garamond"/>
          <w:lang w:val="en-GB"/>
        </w:rPr>
      </w:pPr>
      <w:r w:rsidRPr="008725BE">
        <w:rPr>
          <w:rFonts w:ascii="Garamond" w:hAnsi="Garamond"/>
          <w:lang w:val="en-GB"/>
        </w:rPr>
        <w:t>Wir haben in unserem seelischen Apparat vor allem ein Mittel erkannt, welchem die Bewältigung von Erregungen übertragen ist, die sonst peinlich empfunden oder pathogen wirksam würden. Die psychische Bearbeitung leistet Außerordentliches für die innere Ableitung von Erregungen, die einer unmittelbaren äußeren Abfuhr nicht fähig sind oder für die eine solche nicht augenblicklich wünschenswert wäre. Für eine solche innere Verarbeitung ist es aber zunächst gleichgültig, ob sie an realen oder an imaginierten Objekten geschieht. Der Unterschied zeigt sich erst später, wenn die Wendung der Libido auf die irrealen Objekte (Introversion) zu einer Libidostauung geführt hat. Eine ähnliche innere Verarbeitung der ins Ich zurückgekehrten Libido gestattet bei den Paraphrenien der Größenwahn; vielleicht wird erst nach seinem Versagen die Libidostauung im Ich pathogen und regt den Heilungsprozeß an, der uns als Krankheit imponiert.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versuche an dieser Stelle, einige kleine Schritte weit in den Mechanismus der Paraphrenie einzudringen, und stelle die Auffassungen zusammen, welche mir schon heute beachtenswert erscheinen. Den Unterschied dieser Affektionen von den Übertragungsneurosen verlege ich in den Umstand, daß die durch Versagung frei gewordene Libido nicht bei Objekten in der Phantasie bleibt, sondern sich aufs Ich zurückzieht; der Größenwahn entspricht dann der psychischen Bewältigung dieser Libidomenge, also der Introversion auf die Phantasiebildungen bei den Übertragungsneurosen; dem Versagen dieser psychischen </w:t>
      </w:r>
      <w:r w:rsidRPr="008725BE">
        <w:rPr>
          <w:rFonts w:ascii="Garamond" w:hAnsi="Garamond"/>
          <w:lang w:val="en-GB"/>
        </w:rPr>
        <w:lastRenderedPageBreak/>
        <w:t>Leistung entspringt die Hypochondrie der Paraphrenie, welche der Angst der Übertragungsneurosen homolog ist. Wir wissen, daß diese Angst durch weitere psychische Bearbeitung ablösbar ist, also durch Konversion, Reaktionsbildung, Schutzbildung (Phobie). Diese Stellung nimmt bei den Paraphrenien der Restitutionsversuch ein, dem wir die auffälligen Krankheitserscheinungen danken. Da die Paraphrenie häufig – wenn nicht zumeist – eine bloß partielle Ablösung der Libido von den Objekten mit sich bringt, so ließen sich in ihrem Bilde drei Gruppen von Erscheinungen sondern: 1) die der erhaltenen Normalität oder Neurose (Resterscheinungen), 2) die des Krankheitsprozesses (der Ablösung der Libido von den Objekten, dazu der Größenwahn, die Hypochondrie, die Affektstörung, alle Regressionen), 3) die der Restitution, welche nach Art einer Hysterie (Dementia praecox, eigentliche Paraphrenie) oder einer Zwangsneurose (Paranoia) die Libido wieder an die Objekte heftet. Diese neuerliche Libidobesetzung geschieht von einem anderen Niveau her, unter anderen Bedingungen als die primäre. Die Differenz der bei ihr geschaffenen Übertragungsneurosen von den entsprechenden Bildungen des normalen Ichs müßte die tiefste Einsicht in die Struktur unseres seelischen Apparates vermitteln können.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Einen dritten Zugang zum Studium des Narzißmus gestattet das Liebesleben der Menschen in seiner verschiedenartigen Differenzierung bei Mann und Weib. Ähnlich, wie die Objektlibido unserer Beobachtung zuerst die Ichlibido verdeckt hat, so haben wir auch bei der Objektwahl des Kindes (und Heranwachsenden) zuerst gemerkt, daß es seine Sexualobjekte seinen Befriedigungserlebnissen entnimmt. Die ersten autoerotischen sexuellen Befriedigungen werden im Anschluß an lebenswichtige, der Selbsterhaltung dienende Funktionen erlebt. Die Sexualtriebe lehnen sich zunächst an die Befriedigung der Ichtriebe an, machen sich erst später von den letzteren selbständig; die Anlehnung zeigt sich aber noch darin, daß die Personen, welche mit der Ernährung, Pflege, dem Schutz des Kindes zu tun haben, zu den ersten Sexualobjekten werden, also zunächst die Mutter oder ihr Ersatz. Neben diesem Typus und dieser Quelle der Objektwahl, den man den </w:t>
      </w:r>
      <w:r w:rsidRPr="008725BE">
        <w:rPr>
          <w:rFonts w:ascii="Garamond" w:hAnsi="Garamond"/>
          <w:i/>
          <w:iCs/>
          <w:lang w:val="en-GB"/>
        </w:rPr>
        <w:t>Anlehnungstypus</w:t>
      </w:r>
      <w:r w:rsidRPr="008725BE">
        <w:rPr>
          <w:rFonts w:ascii="Garamond" w:hAnsi="Garamond"/>
          <w:lang w:val="en-GB"/>
        </w:rPr>
        <w:t xml:space="preserve"> heißen kann, hat uns aber die analytische Forschung einen zweiten kennen gelehrt, den zu finden wir nicht vorbereitet waren. Wir haben, besonders deutlich bei Personen, deren Libidoentwicklung eine Störung erfahren hat, wie bei Perversen und Homosexuellen, gefunden, daß sie ihr späteres Liebesobjekt nicht nach dem Vorbild der Mutter wählen, sondern nach dem ihrer eigenen Person. Sie suchen offenkundigerweise sich selbst als Liebesobjekt, zeigen den </w:t>
      </w:r>
      <w:r w:rsidRPr="008725BE">
        <w:rPr>
          <w:rFonts w:ascii="Garamond" w:hAnsi="Garamond"/>
          <w:i/>
          <w:iCs/>
          <w:lang w:val="en-GB"/>
        </w:rPr>
        <w:t>narzißtisch</w:t>
      </w:r>
      <w:r w:rsidRPr="008725BE">
        <w:rPr>
          <w:rFonts w:ascii="Garamond" w:hAnsi="Garamond"/>
          <w:lang w:val="en-GB"/>
        </w:rPr>
        <w:t xml:space="preserve"> zu nennenden Typus der Objektwahl. In dieser Beobachtung ist das stärkste Motiv zu erkennen, welches uns zur Annahme des Narzißmus genötigt hat.</w:t>
      </w:r>
    </w:p>
    <w:p w:rsidR="008725BE" w:rsidRPr="008725BE" w:rsidRDefault="008725BE" w:rsidP="008725BE">
      <w:pPr>
        <w:pStyle w:val="Sansinterligne"/>
        <w:rPr>
          <w:rFonts w:ascii="Garamond" w:hAnsi="Garamond"/>
          <w:lang w:val="en-GB"/>
        </w:rPr>
      </w:pPr>
      <w:r w:rsidRPr="008725BE">
        <w:rPr>
          <w:rFonts w:ascii="Garamond" w:hAnsi="Garamond"/>
          <w:lang w:val="en-GB"/>
        </w:rPr>
        <w:t>Wir haben nun nicht geschlossen, daß die Menschen in zwei scharf geschiedene Gruppen zerfallen, je nachdem sie den Anlehnungs- oder den narzißtischen Typus der Objektwahl haben, sondern ziehen die Annahme vor, daß jedem Menschen beide Wege zur Objektwahl offenstehen, wobei der eine oder der andere bevorzugt werden kann. Wir sagen, der Mensch habe zwei ursprüngliche Sexualobjekte: sich selbst und das pflegende Weib, und setzen dabei den primären Narzißmus jedes Menschen voraus, der eventuell in seiner Objektwahl dominierend zum Ausdruck kommen kann.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Vergleichung von Mann und Weib zeigt dann, daß sich in deren Verhältnis zum Typus der Objektwahl fundamentale, wenn auch natürlich nicht regelmäßige, Unterschiede ergeben. Die volle Objektliebe nach dem Anlehnungstypus ist eigentlich für den Mann charakteristisch. Sie zeigt die auffällige Sexualüberschätzung, welche wohl dem ursprünglichen Narzißmus des Kindes entstammt und somit einer Übertragung desselben auf das Sexualobjekt entspricht. Diese Sexualüberschätzung gestattet die Entstehung des eigentümlichen, an neurotischen Zwang mahnenden Zustandes der Verliebtheit, der sich so auf eine Verarmung des Ichs an Libido zugunsten des Objektes zurückführt. Anders gestaltet sich die Entwicklung bei dem häufigsten, wahrscheinlich reinsten und echtesten Typus des Weibes. Hier scheint mit der Pubertätsentwicklung durch die Ausbildung der bis dahin latenten weiblichen Sexualorgane eine Steigerung des ursprünglichen Narzißmus aufzutreten, welche der Gestaltung einer ordentlichen, mit Sexualüberschätzung ausgestatteten Objektliebe ungünstig ist. Es stellt sich besonders im Falle der Entwicklung zur Schönheit eine Selbstgenügsamkeit des Weibes her, welche das Weib für die ihm sozial verkümmerte Freiheit der Objektwahl entschädigt. Solche Frauen lieben, strenggenommen, nur sich selbst mit ähnlicher Intensität, wie der Mann sie liebt. Ihr Bedürfnis geht auch nicht dahin zu lieben, sondern geliebt zu werden, und sie lassen sich den Mann gefallen, welcher diese Bedingung erfüllt. Die Bedeutung dieses Frauentypus für das Liebesleben der Menschen ist sehr hoch einzuschätzen. Solche Frauen üben den größten Reiz auf die Männer aus, nicht nur aus ästhetischen Gründen, weil sie gewöhnlich die schönsten sind, sondern auch infolge interessanter psychologischer Konstellationen. Es erscheint nämlich deutlich erkennbar, daß der Narzißmus einer Person eine große Anziehung auf diejenigen anderen entfaltet, welche sich des vollen Ausmaßes ihres eigenen Narzißmus begeben haben und sich in der </w:t>
      </w:r>
      <w:r w:rsidRPr="008725BE">
        <w:rPr>
          <w:rFonts w:ascii="Garamond" w:hAnsi="Garamond"/>
          <w:lang w:val="en-GB"/>
        </w:rPr>
        <w:lastRenderedPageBreak/>
        <w:t>Werbung um die Objektliebe befinden; der Reiz des Kindes beruht zum guten Teil auf dessen Narzißmus, seiner Selbstgenügsamkeit und Unzugänglichkeit, ebenso der Reiz gewisser Tiere, die sich um uns nicht zu kümmern scheinen, wie der Katzen und großen Raubtiere, ja selbst der große Verbrecher und der Humorist zwingen in der poetischen Darstellung unser Interesse durch die narzißtische Konsequenz, mit welcher sie alles ihr Ich Verkleinernde von ihm fernzuhalten wissen. Es ist so, als beneideten wir sie um die Erhaltung eines seligen psychischen Zustandes, einer unangreifbaren Libidoposition, die wir selbst seither aufgegeben haben. Dem großen Reiz des narzißtischen Weibes fehlt aber die Kehrseite nicht; ein guter Teil der Unbefriedigung des verliebten Mannes, der Zweifel an der Liebe des Weibes, der Klagen über die Rätsel im Wesen desselben hat in dieser Inkongruenz der Objektwahltypen seine Wurzel.</w:t>
      </w:r>
    </w:p>
    <w:p w:rsidR="008725BE" w:rsidRPr="008725BE" w:rsidRDefault="008725BE" w:rsidP="008725BE">
      <w:pPr>
        <w:pStyle w:val="Sansinterligne"/>
        <w:rPr>
          <w:rFonts w:ascii="Garamond" w:hAnsi="Garamond"/>
          <w:lang w:val="en-GB"/>
        </w:rPr>
      </w:pPr>
      <w:r w:rsidRPr="008725BE">
        <w:rPr>
          <w:rFonts w:ascii="Garamond" w:hAnsi="Garamond"/>
          <w:lang w:val="en-GB"/>
        </w:rPr>
        <w:t>Vielleicht ist es nicht überflüssig zu versichern, daß mir bei dieser Schilderung des weiblichen Liebeslebens jede Tendenz zur Herabsetzung des Weibes fernliegt. Abgesehen davon, daß mir Tendenzen überhaupt fernliegen, ich weiß auch, daß diese Ausbildungen nach verschiedenen Richtungen der Differenzierung von Funktionen in einem höchst komplizierten biologischen Zusammenhang entsprechen; ich bin ferner bereit zuzugestehen, daß es unbestimmt viele Frauen gibt, die nach dem männlichen Typus lieben und auch die dazugehörige Sexualüberschätzung entfalten.</w:t>
      </w:r>
    </w:p>
    <w:p w:rsidR="008725BE" w:rsidRPr="008725BE" w:rsidRDefault="008725BE" w:rsidP="008725BE">
      <w:pPr>
        <w:pStyle w:val="Sansinterligne"/>
        <w:rPr>
          <w:rFonts w:ascii="Garamond" w:hAnsi="Garamond"/>
          <w:lang w:val="en-GB"/>
        </w:rPr>
      </w:pPr>
      <w:r w:rsidRPr="008725BE">
        <w:rPr>
          <w:rFonts w:ascii="Garamond" w:hAnsi="Garamond"/>
          <w:lang w:val="en-GB"/>
        </w:rPr>
        <w:t>Auch für die narzißtisch und gegen den Mann kühl gebliebenen Frauen gibt es einen Weg, der sie zur vollen Objektliebe führt. In dem Kinde, das sie gebären, tritt ihnen ein Teil des eigenen Körpers wie ein fremdes Objekt gegenüber, dem sie nun vom Narzißmus aus die volle Objektliebe schenken können. Noch andere Frauen brauchen nicht auf das Kind zu warten, um den Schritt in der Entwicklung vom (sekundären) Narzißmus zur Objektliebe zu machen. Sie haben sich selbst vor der Pubertät männlich gefühlt und ein Stück weit männlich entwickelt; nachdem diese Strebung mit dem Auftreten der weiblichen Reife abgebrochen wurde, bleibt ihnen die Fähigkeit, sich nach einem männlichen Ideal zu sehnen, welches eigentlich die Fortsetzung des knabenhaften Wesens ist, das sie selbst einmal waren.</w:t>
      </w:r>
    </w:p>
    <w:p w:rsidR="008725BE" w:rsidRPr="008725BE" w:rsidRDefault="008725BE" w:rsidP="008725BE">
      <w:pPr>
        <w:pStyle w:val="Sansinterligne"/>
        <w:rPr>
          <w:rFonts w:ascii="Garamond" w:hAnsi="Garamond"/>
          <w:lang w:val="en-GB"/>
        </w:rPr>
      </w:pPr>
      <w:r w:rsidRPr="008725BE">
        <w:rPr>
          <w:rFonts w:ascii="Garamond" w:hAnsi="Garamond"/>
          <w:lang w:val="en-GB"/>
        </w:rPr>
        <w:t>Eine kurze Übersicht der Wege zur Objektwahl mag diese andeutenden Bemerkungen beschließen. Man liebt:</w:t>
      </w:r>
    </w:p>
    <w:p w:rsidR="008725BE" w:rsidRPr="008725BE" w:rsidRDefault="008725BE" w:rsidP="008725BE">
      <w:pPr>
        <w:pStyle w:val="Sansinterligne"/>
        <w:rPr>
          <w:rFonts w:ascii="Garamond" w:hAnsi="Garamond"/>
          <w:lang w:val="en-GB"/>
        </w:rPr>
      </w:pPr>
      <w:r w:rsidRPr="008725BE">
        <w:rPr>
          <w:rFonts w:ascii="Garamond" w:hAnsi="Garamond"/>
          <w:lang w:val="en-GB"/>
        </w:rPr>
        <w:t>1) Nach dem narzißtischen Typus: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    </w:t>
      </w:r>
      <w:r w:rsidRPr="008725BE">
        <w:rPr>
          <w:rFonts w:ascii="Garamond" w:hAnsi="Garamond"/>
          <w:i/>
          <w:iCs/>
          <w:lang w:val="en-GB"/>
        </w:rPr>
        <w:t>a)</w:t>
      </w:r>
      <w:r w:rsidRPr="008725BE">
        <w:rPr>
          <w:rFonts w:ascii="Garamond" w:hAnsi="Garamond"/>
          <w:lang w:val="en-GB"/>
        </w:rPr>
        <w:t xml:space="preserve"> was man selbst ist (sich selbst),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    </w:t>
      </w:r>
      <w:r w:rsidRPr="008725BE">
        <w:rPr>
          <w:rFonts w:ascii="Garamond" w:hAnsi="Garamond"/>
          <w:i/>
          <w:iCs/>
          <w:lang w:val="en-GB"/>
        </w:rPr>
        <w:t>b)</w:t>
      </w:r>
      <w:r w:rsidRPr="008725BE">
        <w:rPr>
          <w:rFonts w:ascii="Garamond" w:hAnsi="Garamond"/>
          <w:lang w:val="en-GB"/>
        </w:rPr>
        <w:t xml:space="preserve"> was man selbst war,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    </w:t>
      </w:r>
      <w:r w:rsidRPr="008725BE">
        <w:rPr>
          <w:rFonts w:ascii="Garamond" w:hAnsi="Garamond"/>
          <w:i/>
          <w:iCs/>
          <w:lang w:val="en-GB"/>
        </w:rPr>
        <w:t>c)</w:t>
      </w:r>
      <w:r w:rsidRPr="008725BE">
        <w:rPr>
          <w:rFonts w:ascii="Garamond" w:hAnsi="Garamond"/>
          <w:lang w:val="en-GB"/>
        </w:rPr>
        <w:t xml:space="preserve"> was man selbst sein möchte,</w:t>
      </w:r>
    </w:p>
    <w:p w:rsidR="008725BE" w:rsidRPr="008725BE" w:rsidRDefault="008725BE" w:rsidP="008725BE">
      <w:pPr>
        <w:pStyle w:val="Sansinterligne"/>
        <w:rPr>
          <w:rFonts w:ascii="Garamond" w:hAnsi="Garamond"/>
        </w:rPr>
      </w:pPr>
      <w:r w:rsidRPr="008725BE">
        <w:rPr>
          <w:rFonts w:ascii="Garamond" w:hAnsi="Garamond"/>
          <w:lang w:val="en-GB"/>
        </w:rPr>
        <w:t xml:space="preserve">    </w:t>
      </w:r>
      <w:r w:rsidRPr="008725BE">
        <w:rPr>
          <w:rFonts w:ascii="Garamond" w:hAnsi="Garamond"/>
          <w:i/>
          <w:iCs/>
        </w:rPr>
        <w:t>d)</w:t>
      </w:r>
      <w:r w:rsidRPr="008725BE">
        <w:rPr>
          <w:rFonts w:ascii="Garamond" w:hAnsi="Garamond"/>
        </w:rPr>
        <w:t xml:space="preserve"> die Person, die ein Teil des eigenen Selbst war.</w:t>
      </w:r>
    </w:p>
    <w:p w:rsidR="008725BE" w:rsidRPr="008725BE" w:rsidRDefault="008725BE" w:rsidP="008725BE">
      <w:pPr>
        <w:pStyle w:val="Sansinterligne"/>
        <w:rPr>
          <w:rFonts w:ascii="Garamond" w:hAnsi="Garamond"/>
          <w:lang w:val="en-GB"/>
        </w:rPr>
      </w:pPr>
      <w:r w:rsidRPr="008725BE">
        <w:rPr>
          <w:rFonts w:ascii="Garamond" w:hAnsi="Garamond"/>
          <w:lang w:val="en-GB"/>
        </w:rPr>
        <w:t>2) Nachdem Anlehnungstypus: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    </w:t>
      </w:r>
      <w:r w:rsidRPr="008725BE">
        <w:rPr>
          <w:rFonts w:ascii="Garamond" w:hAnsi="Garamond"/>
          <w:i/>
          <w:iCs/>
          <w:lang w:val="en-GB"/>
        </w:rPr>
        <w:t>a)</w:t>
      </w:r>
      <w:r w:rsidRPr="008725BE">
        <w:rPr>
          <w:rFonts w:ascii="Garamond" w:hAnsi="Garamond"/>
          <w:lang w:val="en-GB"/>
        </w:rPr>
        <w:t xml:space="preserve"> die nährende Frau,</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    </w:t>
      </w:r>
      <w:r w:rsidRPr="008725BE">
        <w:rPr>
          <w:rFonts w:ascii="Garamond" w:hAnsi="Garamond"/>
          <w:i/>
          <w:iCs/>
          <w:lang w:val="en-GB"/>
        </w:rPr>
        <w:t>b)</w:t>
      </w:r>
      <w:r w:rsidRPr="008725BE">
        <w:rPr>
          <w:rFonts w:ascii="Garamond" w:hAnsi="Garamond"/>
          <w:lang w:val="en-GB"/>
        </w:rPr>
        <w:t xml:space="preserve"> den schützenden Mann</w:t>
      </w:r>
    </w:p>
    <w:p w:rsidR="008725BE" w:rsidRPr="008725BE" w:rsidRDefault="008725BE" w:rsidP="008725BE">
      <w:pPr>
        <w:pStyle w:val="Sansinterligne"/>
        <w:rPr>
          <w:rFonts w:ascii="Garamond" w:hAnsi="Garamond"/>
          <w:lang w:val="en-GB"/>
        </w:rPr>
      </w:pPr>
      <w:r w:rsidRPr="008725BE">
        <w:rPr>
          <w:rFonts w:ascii="Garamond" w:hAnsi="Garamond"/>
          <w:lang w:val="en-GB"/>
        </w:rPr>
        <w:t>und die in Reihen von ihnen ausgehenden Ersatzpersonen. Der Fall c) des ersten Typus kann erst durch später folgende Ausführungen gerechtfertigt werden.</w:t>
      </w:r>
    </w:p>
    <w:p w:rsidR="008725BE" w:rsidRPr="008725BE" w:rsidRDefault="008725BE" w:rsidP="008725BE">
      <w:pPr>
        <w:pStyle w:val="Sansinterligne"/>
        <w:rPr>
          <w:rFonts w:ascii="Garamond" w:hAnsi="Garamond"/>
          <w:lang w:val="en-GB"/>
        </w:rPr>
      </w:pPr>
      <w:r w:rsidRPr="008725BE">
        <w:rPr>
          <w:rFonts w:ascii="Garamond" w:hAnsi="Garamond"/>
          <w:lang w:val="en-GB"/>
        </w:rPr>
        <w:t>Die Bedeutung der narzißtischen Objektwahl für die Homosexualität des Mannes bleibt in anderem Zusammenhange zu würdigen.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von uns supponierte primäre Narzißmus des Kindes, der eine der Voraussetzungen unserer Libidotheorien enthält, ist weniger leicht durch direkte Beobachtung zu erfassen als durch Rückschluß von einem anderen Punkte her zu bestätigen. Wenn man die Einstellung zärtlicher Eltern gegen ihre Kinder ins Auge faßt, muß man sie als Wiederaufleben und Reproduktion des eigenen, längst aufgegebenen Narzißmus erkennen. Das gute Kennzeichen der Überschätzung, welches wir als narzißtisches Stigma schon bei der Objektwahl gewürdigt haben, beherrscht, wie allbekannt, diese Gefühlsbeziehung. So besteht ein Zwang, dem Kinde alle Vollkommenheiten zuzusprechen, wozu nüchterne Beobachtung keinen Anlaß fände, und alle seine Mängel zu verdecken und zu vergessen, womit ja die Verleugnung der kindlichen Sexualität im Zusammenhange steht. Es besteht aber auch die Neigung, alle kulturellen Erwerbungen, deren Anerkennung man seinem Narzißmus abgezwungen hat, vor dem Kinde zu suspendieren und die Ansprüche auf längst aufgegebene Vorrechte bei ihm zu erneuern. Das Kind soll es besser haben als seine Eltern, es soll den Notwendigkeiten, die man als im Leben herrschend erkannt hat, nicht unterworfen sein. Krankheit, Tod, Verzicht auf Genuß, Einschränkung des eigenen Willens sollen für das Kind nicht gelten, die Gesetze der Natur wie der Gesellschaft vor ihm haltmachen, es soll wirklich wieder Mittelpunkt und Kern der Schöpfung sein. </w:t>
      </w:r>
      <w:r w:rsidRPr="008725BE">
        <w:rPr>
          <w:rFonts w:ascii="Garamond" w:hAnsi="Garamond"/>
          <w:i/>
          <w:iCs/>
          <w:lang w:val="en-GB"/>
        </w:rPr>
        <w:t>His Majesty the Baby</w:t>
      </w:r>
      <w:r w:rsidRPr="008725BE">
        <w:rPr>
          <w:rFonts w:ascii="Garamond" w:hAnsi="Garamond"/>
          <w:lang w:val="en-GB"/>
        </w:rPr>
        <w:t xml:space="preserve">, wie man sich einst selbst dünkte. Es soll die unausgeführten Wunschträume der Eltern erfüllen, ein großer Mann und Held werden an Stelle des Vaters, einen Prinzen zum Gemahl bekommen zur späten Entschädigung der Mutter. Der heikelste Punkt des narzißtischen Systems, die von der Realität hart bedrängte Unsterblichkeit des Ichs, hat ihre </w:t>
      </w:r>
      <w:r w:rsidRPr="008725BE">
        <w:rPr>
          <w:rFonts w:ascii="Garamond" w:hAnsi="Garamond"/>
          <w:lang w:val="en-GB"/>
        </w:rPr>
        <w:lastRenderedPageBreak/>
        <w:t>Sicherung in der Zuflucht zum Kinde gewonnen. Die rührende, im Grunde so kindliche Elternliebe ist nichts anderes als der wiedergeborene Narzißmus der Eltern, der in seiner Umwandlung zur Objektliebe sein einstiges Wesen unverkennbar offenbart.</w:t>
      </w:r>
    </w:p>
    <w:p w:rsidR="008725BE" w:rsidRPr="008725BE" w:rsidRDefault="008725BE" w:rsidP="008725BE">
      <w:pPr>
        <w:pStyle w:val="Sansinterligne"/>
        <w:rPr>
          <w:rFonts w:ascii="Garamond" w:hAnsi="Garamond"/>
          <w:lang w:val="en-GB"/>
        </w:rPr>
      </w:pPr>
      <w:r w:rsidRPr="008725BE">
        <w:rPr>
          <w:rFonts w:ascii="Garamond" w:hAnsi="Garamond"/>
          <w:lang w:val="en-GB"/>
        </w:rPr>
        <w:t>III</w:t>
      </w:r>
    </w:p>
    <w:p w:rsidR="008725BE" w:rsidRPr="008725BE" w:rsidRDefault="008725BE" w:rsidP="008725BE">
      <w:pPr>
        <w:pStyle w:val="Sansinterligne"/>
        <w:rPr>
          <w:rFonts w:ascii="Garamond" w:hAnsi="Garamond"/>
          <w:lang w:val="en-GB"/>
        </w:rPr>
      </w:pPr>
      <w:r w:rsidRPr="008725BE">
        <w:rPr>
          <w:rFonts w:ascii="Garamond" w:hAnsi="Garamond"/>
          <w:lang w:val="en-GB"/>
        </w:rPr>
        <w:t>Welchen Störungen der ursprüngliche Narzißmus des Kindes ausgesetzt ist und mit welchen Reaktionen er sich derselben erwehrt, auch auf welche Bahnen er dabei gedrängt wird, das möchte ich als einen wichtigen Arbeitsstoff, welcher noch der Erledigung harrt, beiseite stellen; das bedeutsamste Stück desselben kann man als »Kastrationskomplex« (Penisangst beim Knaben, Penisneid beim Mädchen) herausheben und im Zusammenhange mit dem Einfluß der frühzeitigen Sexualeinschüchterung behandeln. Die psychoanalytische Untersuchung, welche uns sonst die Schicksale der libidinösen Triebe verfolgen läßt, wenn diese, von den Ichtrieben isoliert, sich in Opposition zu denselben befinden, gestattet uns auf diesem Gebiete Rückschlüsse auf eine Epoche und eine psychische Situation, in welcher beiderlei Triebe noch einhellig wirksam in untrennbarer Vermengung als narzißtische Interessen auftreten. A. Adler hat aus diesem Zusammenhange seinen »männlichen Protest« geschöpft, den er zur fast alleinigen Triebkraft der Charakter- wie der Neurosenbildung erhebt, während er ihn nicht auf eine narzißtische, also immer noch libidinöse Strebung, sondern auf eine soziale Wertung begründet. Vom Standpunkte der psychoanalytischen Forschung ist Existenz und Bedeutung des »männlichen Protestes« von allem Anfang an anerkannt, seine narzißtische Natur und Herkunft aus dem Kastrationskomplex aber gegen Adler vertreten worden. Er gehört der Charakterbildung an, in deren Genese er nebst vielen anderen Faktoren eingeht, und ist zur Aufklärung der Neurosenprobleme, an denen Adler nichts beachten will als die Art, wie sie dem Ichinteresse dienen, völlig ungeeignet. Ich finde es ganz unmöglich, die Genese der Neurose auf die schmale Basis des Kastrationskomplexes zu stellen, so mächtig dieser auch bei Männern unter den Widerständen gegen die Heilung der Neurose hervortreten mag. Ich kenne endlich auch Fälle von Neurosen, in denen der »männliche Protest« oder in unserem Sinne der Kastrationskomplex keine pathogene Rolle spielt oder überhaupt nicht vorkommt.</w:t>
      </w:r>
    </w:p>
    <w:p w:rsidR="008725BE" w:rsidRPr="008725BE" w:rsidRDefault="008725BE" w:rsidP="008725BE">
      <w:pPr>
        <w:pStyle w:val="Sansinterligne"/>
        <w:rPr>
          <w:rFonts w:ascii="Garamond" w:hAnsi="Garamond"/>
          <w:lang w:val="en-GB"/>
        </w:rPr>
      </w:pPr>
      <w:r w:rsidRPr="008725BE">
        <w:rPr>
          <w:rFonts w:ascii="Garamond" w:hAnsi="Garamond"/>
          <w:lang w:val="en-GB"/>
        </w:rPr>
        <w:t>Die Beobachtung des normalen Erwachsenen zeigt dessen einstigen Größenwahn gedämpft und die psychischen Charaktere, aus denen wir seinen infantilen Narzißmus erschlossen haben, verwischt. Was ist aus seiner Ichlibido geworden? Sollen wir annehmen, daß ihr ganzer Betrag in Objektbesetzungen aufgegangen ist? Diese Möglichkeit widerspricht offenbar dem ganzen Zuge unserer Erörterungen; wir können aber auch aus der Psychologie der Verdrängung einen Hinweis auf eine andere Beantwortung der Frage entnehmen.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haben gelernt, daß libidinöse Triebregungen dem Schicksal der pathogenen Verdrängung unterliegen, wenn sie in Konflikt mit den kulturellen und ethischen Vorstellungen des Individuums geraten. Unter dieser Bedingung wird niemals verstanden, daß die Person von der Existenz dieser Vorstellungen eine bloß intellektuelle Kenntnis habe, sondern stets, daß sie dieselben als maßgebend für sich anerkenne, sich den aus ihnen hervorgehenden Anforderungen unterwerfe. Die Verdrängung, haben wir gesagt, geht vom Ich aus; wir könnten präzisieren: von der Selbstachtung des Ichs. Dieselben Eindrücke, Erlebnisse, Impulse, Wunschregungen, welche der eine Mensch in sich gewähren läßt oder wenigstens bewußt verarbeitet, werden vom anderen in voller Empörung zurückgewiesen oder bereits vor ihrem Bewußtwerden erstickt. Der Unterschied der beiden aber, welcher die Bedingung der Verdrängung enthält, läßt sich leicht in Ausdrücke fassen, welche eine Bewältigung durch die Libidotheorie ermöglichen. Wir können sagen, der eine habe ein </w:t>
      </w:r>
      <w:r w:rsidRPr="008725BE">
        <w:rPr>
          <w:rFonts w:ascii="Garamond" w:hAnsi="Garamond"/>
          <w:i/>
          <w:iCs/>
          <w:lang w:val="en-GB"/>
        </w:rPr>
        <w:t>Ideal</w:t>
      </w:r>
      <w:r w:rsidRPr="008725BE">
        <w:rPr>
          <w:rFonts w:ascii="Garamond" w:hAnsi="Garamond"/>
          <w:lang w:val="en-GB"/>
        </w:rPr>
        <w:t xml:space="preserve"> in sich aufgerichtet, an welchem er sein aktuelles Ich mißt, während dem anderen eine solche Idealbildung abgehe. Die Idealbildung wäre von Seiten des Ichs die Bedingung der Verdrängung.</w:t>
      </w:r>
    </w:p>
    <w:p w:rsidR="008725BE" w:rsidRPr="008725BE" w:rsidRDefault="008725BE" w:rsidP="008725BE">
      <w:pPr>
        <w:pStyle w:val="Sansinterligne"/>
        <w:rPr>
          <w:rFonts w:ascii="Garamond" w:hAnsi="Garamond"/>
          <w:lang w:val="en-GB"/>
        </w:rPr>
      </w:pPr>
      <w:r w:rsidRPr="008725BE">
        <w:rPr>
          <w:rFonts w:ascii="Garamond" w:hAnsi="Garamond"/>
          <w:lang w:val="en-GB"/>
        </w:rPr>
        <w:t>Diesem Idealich gilt nun die Selbstliebe, welche in der Kindheit das wirkliche Ich genoß. Der Narzißmus erscheint auf dieses neue ideale Ich verschoben, welches sich wie das infantile im Besitz aller wertvollen Vollkommenheiten befindet. Der Mensch hat sich hier, wie jedesmal auf dem Gebiete der Libido, unfähig erwiesen, auf die einmal genossene Befriedigung zu verzichten. Er will die narzißtische Vollkommenheit seiner Kindheit nicht entbehren, und wenn er diese nicht festhalten konnte, durch die Mahnungen während seiner Entwicklungszeit gestört und in seinem Urteil geweckt, sucht er sie in der neuen Form des Ichideals wiederzugewinnen. Was er als sein Ideal vor sich hin projiziert, ist der Ersatz für den verlorenen Narzißmus seiner Kindheit, in der er sein eigenes Ideal war.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liegt nahe, die Beziehungen dieser Idealbildung zur Sublimierung zu untersuchen. Die Sublimierung ist ein Prozeß an der Objektlibido und besteht darin, daß sich der Trieb auf ein anderes, von der sexuellen Befriedigung entferntes Ziel wirft; der Akzent ruht dabei auf der Ablenkung vom Sexuellen. Die Idealisierung ist ein Vorgang mit dem Objekt, durch welchen dieses ohne Änderung seiner Natur </w:t>
      </w:r>
      <w:r w:rsidRPr="008725BE">
        <w:rPr>
          <w:rFonts w:ascii="Garamond" w:hAnsi="Garamond"/>
          <w:lang w:val="en-GB"/>
        </w:rPr>
        <w:lastRenderedPageBreak/>
        <w:t>vergrößert und psychisch erhöht wird. Die Idealisierung ist sowohl auf dem Gebiete der Ichlibido wie auch der Objektlibido möglich. So ist zum Beispiel die Sexualüberschätzung des Objektes eine Idealisierung desselben. Insofern also Sublimierung etwas beschreibt, was mit dem Trieb, Idealisierung etwas, was am Objekt vorgeht, sind die beiden begrifflich auseinanderzuhalten.</w:t>
      </w:r>
    </w:p>
    <w:p w:rsidR="008725BE" w:rsidRPr="008725BE" w:rsidRDefault="008725BE" w:rsidP="008725BE">
      <w:pPr>
        <w:pStyle w:val="Sansinterligne"/>
        <w:rPr>
          <w:rFonts w:ascii="Garamond" w:hAnsi="Garamond"/>
          <w:lang w:val="en-GB"/>
        </w:rPr>
      </w:pPr>
      <w:r w:rsidRPr="008725BE">
        <w:rPr>
          <w:rFonts w:ascii="Garamond" w:hAnsi="Garamond"/>
          <w:lang w:val="en-GB"/>
        </w:rPr>
        <w:t>Die Ichidealbildung wird oft zum Schaden des Verständnisses mit der Triebsublimierung verwechselt. Wer seinen Narzißmus gegen die Verehrung eines hohen Ichideals eingetauscht hat, dem braucht darum die Sublimierung seiner libidinösen Triebe nicht gelungen zu sein. Das Ichideal fordert zwar solche Sublimierung, aber es kann sie nicht erzwingen; die Sublimierung bleibt ein besonderer Prozeß, dessen Einleitung vom Ideal angeregt werden mag, dessen Durchführung durchaus unabhängig von solcher Anregung bleibt. Man findet gerade bei den Neurotikern die höchsten Spannungsdifferenzen zwischen der Ausbildung des Ichideals und dem Maß von Sublimierung ihrer primitiven libidinösen Triebe, und es fällt im allgemeinen viel schwerer, den Idealisten von dem unzweckmäßigen Verbleib seiner Libido zu überzeugen, als den simplen, in seinen Ansprüchen genügsam gebliebenen Menschen. Das Verhältnis von Idealbildung und Sublimierung zur Verursachung der Neurose ist auch ein ganz verschiedenes. Die Idealbildung steigert, wie wir gehört haben, die Anforderungen des Ichs und ist die stärkste Begünstigung der Verdrängung; die Sublimierung stellt den Ausweg dar, wie die Anforderung erfüllt werden kann, ohne die Verdrängung herbeizuführen.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wäre nicht zu verwundern, wenn wir eine besondere psychische Instanz auffinden sollten, welche die Aufgabe erfüllt, über die Sicherung der narzißtischen Befriedigung aus dem Ichideal zu wachen, und in dieser Absicht das aktuelle Ich unausgesetzt beobachtet und am Ideal mißt. Wenn eine solche Instanz existiert, so kann es uns unmöglich zustoßen, sie zu entdecken; wir können sie nur als solche agnoszieren und dürfen uns sagen, daß das, was wir unser </w:t>
      </w:r>
      <w:r w:rsidRPr="008725BE">
        <w:rPr>
          <w:rFonts w:ascii="Garamond" w:hAnsi="Garamond"/>
          <w:i/>
          <w:iCs/>
          <w:lang w:val="en-GB"/>
        </w:rPr>
        <w:t>Gewissen</w:t>
      </w:r>
      <w:r w:rsidRPr="008725BE">
        <w:rPr>
          <w:rFonts w:ascii="Garamond" w:hAnsi="Garamond"/>
          <w:lang w:val="en-GB"/>
        </w:rPr>
        <w:t xml:space="preserve"> heißen, diese Charakteristik erfüllt. Die Anerkennung dieser Instanz ermöglicht uns das Verständnis des sogenannten Beachtungs- oder richtiger </w:t>
      </w:r>
      <w:r w:rsidRPr="008725BE">
        <w:rPr>
          <w:rFonts w:ascii="Garamond" w:hAnsi="Garamond"/>
          <w:i/>
          <w:iCs/>
          <w:lang w:val="en-GB"/>
        </w:rPr>
        <w:t>Beobachtungs</w:t>
      </w:r>
      <w:r w:rsidRPr="008725BE">
        <w:rPr>
          <w:rFonts w:ascii="Garamond" w:hAnsi="Garamond"/>
          <w:lang w:val="en-GB"/>
        </w:rPr>
        <w:t>wahnes, welcher in der Symptomatologie der paranoiden Erkrankungen so deutlich hervortritt, vielleicht auch als isolierte Erkrankung oder in eine Übertragungsneurose eingesprengt vorkommen kann. Die Kranken klagen dann darüber, daß man alle ihre Gedanken kennt, ihre Handlungen beobachtet und beaufsichtigt; sie werden von dem Walten dieser Instanz durch Stimmen informiert, welche charakteristischerweise in der dritten Person zu ihnen sprechen. (»Jetzt denkt sie wieder daran«; »jetzt geht er fort«.) Diese Klage hat recht, sie beschreibt die Wahrheit; eine solche Macht, die alle unsere Absichten beobachtet, erfährt und kritisiert, besteht wirklich, und zwar bei uns allen im normalen Leben. Der Beobachtungswahn stellt sie in regressiver Form dar, enthüllt dabei ihre Genese und den Grund, weshalb sich der Erkrankte gegen sie auflehnt.</w:t>
      </w:r>
    </w:p>
    <w:p w:rsidR="008725BE" w:rsidRPr="008725BE" w:rsidRDefault="008725BE" w:rsidP="008725BE">
      <w:pPr>
        <w:pStyle w:val="Sansinterligne"/>
        <w:rPr>
          <w:rFonts w:ascii="Garamond" w:hAnsi="Garamond"/>
          <w:lang w:val="en-GB"/>
        </w:rPr>
      </w:pPr>
      <w:r w:rsidRPr="008725BE">
        <w:rPr>
          <w:rFonts w:ascii="Garamond" w:hAnsi="Garamond"/>
          <w:lang w:val="en-GB"/>
        </w:rPr>
        <w:t>Die Anregung zur Bildung des Ichideals, als dessen Wächter das Gewissen bestellt ist, war nämlich von dem durch die Stimme vermittelten kritischen Einfluß der Eltern ausgegangen, an welche sich im Laufe der Zeiten die Erzieher, Lehrer und als unübersehbarer, unbestimmbarer Schwarm alle anderen Personen des Milieus angeschlossen hatten. (Die Mitmenschen, die öffentliche Meinung.)</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Große Beträge von wesentlich homosexueller Libido würden so zur Bildung des narzißtischen Ichideals herangezogen und finden in der Erhaltung desselben Ableitung und Befriedigung. Die Institution des Gewissens war im Grunde eine Verkörperung zunächst der elterlichen Kritik, in weiterer Folge der Kritik der Gesellschaft, ein Vorgang, wie er sich bei der Entstehung einer Verdrängungsneigung aus einem zuerst äußerlichen Verbot oder Hindernis wiederholt. Die Stimmen sowie die unbestimmt gelassene Menge werden nun von der Krankheit zum Vorschein gebracht, damit die Entwicklungsgeschichte des Gewissens regressiv reproduziert. Das Sträuben gegen diese </w:t>
      </w:r>
      <w:r w:rsidRPr="008725BE">
        <w:rPr>
          <w:rFonts w:ascii="Garamond" w:hAnsi="Garamond"/>
          <w:i/>
          <w:iCs/>
          <w:lang w:val="en-GB"/>
        </w:rPr>
        <w:t>zensorische Instanz</w:t>
      </w:r>
      <w:r w:rsidRPr="008725BE">
        <w:rPr>
          <w:rFonts w:ascii="Garamond" w:hAnsi="Garamond"/>
          <w:lang w:val="en-GB"/>
        </w:rPr>
        <w:t xml:space="preserve"> rührt aber daher, daß die Person, dem Grundcharakter der Krankheit entsprechend, sich von all diesen Einflüssen, vom elterlichen angefangen, ablösen will, die homosexuelle Libido von ihnen zurückzieht. Ihr Gewissen tritt ihr dann in regressiver Darstellung als Einwirkung von außen feindselig entgegen.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Klage der Paranoia zeigt auch, daß die Selbstkritik des Gewissens im Grunde mit der Selbstbeobachtung, auf die sie gebaut ist, zusammenfällt. Dieselbe psychische Tätigkeit, welche die Funktion des Gewissens übernommen hat, hat sich also auch in den Dienst der Innenforschung gestellt, welche der Philosophie das Material für ihre Gedankenoperationen liefert. Das mag für den Antrieb zur spekulativen Systembildung, welcher die Paranoia auszeichnet, nicht gleichgültig sein </w:t>
      </w:r>
      <w:hyperlink r:id="rId95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Nur als Vermutung füge ich an, daß die Ausbildung und Erstarkung dieser beobachtenden Instanz auch die späte Entstehung des (subjektiven) Gedächtnisses und des für unbewußte Vorgänge nicht geltenden Zeitmoments in sich fassen könnte.</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wird uns gewiß bedeutsam sein, wenn wir die Anzeichen von der Tätigkeit dieser kritisch beobachtenden – zum Gewissen und zur philosophischen Introspektion gesteigerten – Instanz noch auf </w:t>
      </w:r>
      <w:r w:rsidRPr="008725BE">
        <w:rPr>
          <w:rFonts w:ascii="Garamond" w:hAnsi="Garamond"/>
          <w:lang w:val="en-GB"/>
        </w:rPr>
        <w:lastRenderedPageBreak/>
        <w:t>anderen Gebieten zu erkennen vermögen. Ich ziehe hier heran, was H. Silberer als das »funktionelle Phänomen« beschrieben hat, eine der wenigen Ergänzungen zur Traumlehre, deren Wert unbestreitbar ist. Silberer hat bekanntlich gezeigt, daß man in Zuständen zwischen Schlafen und Wachen die Umsetzung von Gedanken in visuelle Bilder direkt beobachten kann, daß aber unter solchen Verhältnissen häufig nicht eine Darstellung des Gedankeninhalts auftritt, sondern des Zustandes (von Bereitwilligkeit, Ermüdung usw.), in welchem sich die mit dem Schlaf kämpfende Person befindet. Ebenso hat er gezeigt, daß manche Schlüsse von Träumen und Absätze innerhalb des Trauminhaltes nichts anderes bedeuten als die Selbstwahrnehmung des Schlafens und Erwachens. Er hat also den Anteil der Selbstbeobachtung – im Sinne des paranoischen Beobachtungswahnes – an der Traumbildung nachgewiesen. Dieser Anteil ist ein inkonstanter; ich habe ihn wahrscheinlich darum übersehen, weil er in meinen eigenen Träumen keine große Rolle spielt; bei philosophisch begabten, an Introspektion gewöhnten Personen mag er sehr deutlich werden.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Wir erinnern uns, daß wir gefunden haben, die Traumbildung entstehe unter der Herrschaft einer Zensur, welche die Traumgedanken zur Entstellung nötigt. Unter dieser Zensur stellten wir uns aber keine besondere Macht vor, sondern wählten diesen Ausdruck für die den Traumgedanken zugewandte Seite der das Ich beherrschenden, verdrängenden Tendenzen. Gehen wir in die Struktur des Ichs weiter ein, so dürfen wir im Ichideal und den dynamischen Äußerungen des Gewissens auch den </w:t>
      </w:r>
      <w:r w:rsidRPr="008725BE">
        <w:rPr>
          <w:rFonts w:ascii="Garamond" w:hAnsi="Garamond"/>
          <w:i/>
          <w:iCs/>
          <w:lang w:val="en-GB"/>
        </w:rPr>
        <w:t>Traumzensor</w:t>
      </w:r>
      <w:r w:rsidRPr="008725BE">
        <w:rPr>
          <w:rFonts w:ascii="Garamond" w:hAnsi="Garamond"/>
          <w:lang w:val="en-GB"/>
        </w:rPr>
        <w:t xml:space="preserve"> erkennen. Merkt dieser Zensor ein wenig auch während des Schlafes auf, so werden wir verstehen, daß die Voraussetzung seiner Tätigkeit, die Selbstbeobachtung und Selbstkritik, mit Inhalten, wie »jetzt ist er zu schläfrig, um zu denken« – »jetzt wacht er auf«, einen Beitrag zum Trauminhalt leistet </w:t>
      </w:r>
      <w:hyperlink r:id="rId95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Ob die Sonderung dieser zensorischen Instanz vom anderen Ich imstande ist, die philosophische Scheidung eines Bewußtseins von einem Selbstbewußtsein psychologisch zu fundieren, kann ich hier nicht entscheiden.</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Von hier aus dürfen wir die Diskussion des Selbstgefühls beim Normalen und beim Neurotischen versuchen.</w:t>
      </w:r>
    </w:p>
    <w:p w:rsidR="008725BE" w:rsidRPr="008725BE" w:rsidRDefault="008725BE" w:rsidP="008725BE">
      <w:pPr>
        <w:pStyle w:val="Sansinterligne"/>
        <w:rPr>
          <w:rFonts w:ascii="Garamond" w:hAnsi="Garamond"/>
          <w:lang w:val="en-GB"/>
        </w:rPr>
      </w:pPr>
      <w:r w:rsidRPr="008725BE">
        <w:rPr>
          <w:rFonts w:ascii="Garamond" w:hAnsi="Garamond"/>
          <w:lang w:val="en-GB"/>
        </w:rPr>
        <w:t>Das Selbstgefühl erscheint uns zunächst als Ausdruck der Ichgröße, deren Zusammengesetztheit nicht weiter in Betracht kommt. Alles, was man besitzt oder erreicht hat, jeder durch die Erfahrung bestätigte Rest des primitiven Allmachtgefühls hilft das Selbstgefühl steigern.</w:t>
      </w:r>
    </w:p>
    <w:p w:rsidR="008725BE" w:rsidRPr="008725BE" w:rsidRDefault="008725BE" w:rsidP="008725BE">
      <w:pPr>
        <w:pStyle w:val="Sansinterligne"/>
        <w:rPr>
          <w:rFonts w:ascii="Garamond" w:hAnsi="Garamond"/>
          <w:lang w:val="en-GB"/>
        </w:rPr>
      </w:pPr>
      <w:r w:rsidRPr="008725BE">
        <w:rPr>
          <w:rFonts w:ascii="Garamond" w:hAnsi="Garamond"/>
          <w:lang w:val="en-GB"/>
        </w:rPr>
        <w:t>Wenn wir unsere Unterscheidung von Sexual- und Ichtrieben einführen, müssen wir dem Selbstgefühl eine besonders innige Abhängigkeit von der narzißtischen Libido zuerkennen. Wir lehnen uns dabei an die zwei Grundtatsachen an, daß bei den Paraphrenien das Selbstgefühl gesteigert, bei den Übertragungsneurosen herabgesetzt ist und daß im Liebesleben das Nichtgeliebtwerden das Selbstgefühl erniedrigt, das Geliebtwerden dasselbe erhöht. Wir haben angegeben, daß Geliebtwerden das Ziel und die Befriedigung bei narzißtischer Objektwahl darstellt. Es ist ferner leicht zu beobachten, daß die Libidobesetzung der Objekte das Selbstgefühl nicht erhöht. Die Abhängigkeit vom geliebten Objekt wirkt herabsetzend; wer verliebt ist, ist demütig. Wer liebt, hat sozusagen ein Stück seines Narzißmus eingebüßt und kann es erst durch das Geliebtwerden ersetzt erhalten. In all diesen Beziehungen scheint das Selbstgefühl in Relation mit dem narzißtischen Anteil am Liebesleben zu bleiben.</w:t>
      </w:r>
    </w:p>
    <w:p w:rsidR="008725BE" w:rsidRPr="008725BE" w:rsidRDefault="008725BE" w:rsidP="008725BE">
      <w:pPr>
        <w:pStyle w:val="Sansinterligne"/>
        <w:rPr>
          <w:rFonts w:ascii="Garamond" w:hAnsi="Garamond"/>
          <w:lang w:val="en-GB"/>
        </w:rPr>
      </w:pPr>
      <w:r w:rsidRPr="008725BE">
        <w:rPr>
          <w:rFonts w:ascii="Garamond" w:hAnsi="Garamond"/>
          <w:lang w:val="en-GB"/>
        </w:rPr>
        <w:t>Die Wahrnehmung der Impotenz, des eigenen Unvermögens zu lieben, infolge seelischer oder körperlicher Störungen, wirkt im hohen Grade herabsetzend auf das Selbstgefühl ein. Hier ist nach meinem Ermessen eine der Quellen für die so bereitwillig kundgegebenen Minderwertigkeitsgefühle der Übertragungsneurotiker zu suchen. Die Hauptquelle dieser Gefühle ist aber die Ichverarmung, welche sich aus den außerordentlich großen, dem Ich entzogenen Libidobesetzungen ergibt, also die Schädigung des Ichs durch die der Kontrolle nicht mehr unterworfenen Sexualstrebungen.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 Adler hat mit Recht geltend gemacht, daß die Wahrnehmung eigener Organminderwertigkeiten anspornend auf ein leistungsfähiges Seelenleben wirkt und auf dem Wege der Überkompensation eine Mehrleistung hervorruft. Es wäre aber eine volle Übertreibung, wenn man jede gute Leistung nach seinem Vorgang auf diese Bedingung der ursprünglichen Organminderwertigkeit zurückführen wollte. Nicht alle Maler sind mit Augenfehlern behaftet, nicht alle Redner ursprünglich Stotterer gewesen. Es gibt auch reichlich vortreffliche Leistung auf Grund vorzüglicher Organbegabung. Für die Ätiologie der Neurose spielt organische Minderwertigkeit und Verkümmerung eine geringfügige Rolle, etwa die nämliche wie das aktuelle Wahrnehmungsmaterial für die Traumbildung. Die Neurose bedient sich desselben als Vorwand wie aller anderen tauglichen Momente. Hat man eben einer neurotischen Patientin den Glauben geschenkt, daß sie krank werden mußte, weil sie unschön, mißgebildet, reizlos sei, so daß niemand sie lieben könne, so wird man durch die nächste Neurotika eines Besseren belehrt, die in Neurose und </w:t>
      </w:r>
      <w:r w:rsidRPr="008725BE">
        <w:rPr>
          <w:rFonts w:ascii="Garamond" w:hAnsi="Garamond"/>
          <w:lang w:val="en-GB"/>
        </w:rPr>
        <w:lastRenderedPageBreak/>
        <w:t>Sexualablehnung verharrt, obwohl sie über das Durchschnittsmaß begehrenswert erscheint und begehrt wird. Die hysterischen Frauen gehören in ihrer Mehrzahl zu den anziehenden und selbst schönen Vertreterinnen ihres Geschlechts, und anderseits leistet die Häufung von Häßlichkeiten, Organverkümmerungen und Gebrechen bei den niederen Ständen unserer Gesellschaft nichts für die Frequenz neurotischer Erkrankungen in ihrer Mitte.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Beziehungen des Selbstgefühls zur Erotik (zu den libidinösen Objektbesetzungen) lassen sich formelhaft in folgender Weise darstellen: Man hat die beiden Fälle zu unterscheiden, ob die Liebesbesetzungen </w:t>
      </w:r>
      <w:r w:rsidRPr="008725BE">
        <w:rPr>
          <w:rFonts w:ascii="Garamond" w:hAnsi="Garamond"/>
          <w:i/>
          <w:iCs/>
          <w:lang w:val="en-GB"/>
        </w:rPr>
        <w:t>ichgerecht</w:t>
      </w:r>
      <w:r w:rsidRPr="008725BE">
        <w:rPr>
          <w:rFonts w:ascii="Garamond" w:hAnsi="Garamond"/>
          <w:lang w:val="en-GB"/>
        </w:rPr>
        <w:t xml:space="preserve"> sind oder im Gegenteil eine Verdrängung erfahren haben. Im ersteren Falle (bei ichgerechter Verwendung der Libido) wird das Lieben wie jede andere Betätigung des Ichs gewertet. Das Lieben an sich, als Sehnen, Entbehren, setzt das Selbstgefühl herab, das Geliebtwerden, Gegenliebe finden, Besitzen des geliebten Objekts hebt es wieder. Bei verdrängter Libido wird die Liebesbesetzung als arge Verringerung des Ichs empfunden, Liebesbefriedigung ist unmöglich, die Wiederbereicherung des Ichs wird nur durch die Zurückziehung der Libido von den Objekten möglich. Die Rückkehr der Objektlibido zum Ich, deren Verwandlung in Narzißmus, stellt gleichsam wieder eine glückliche Liebe dar, und anderseits entspricht auch eine reale glückliche Liebe dem Urzustand, in welchem Objekt- und Ichlibido voneinander nicht zu unterscheiden sind.</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Die Wichtigkeit und Unübersichtlichkeit des Gegenstandes möge nun die Anfügung von einigen anderen Sätzen in loserer Anordnung rechtfertigen:</w:t>
      </w:r>
    </w:p>
    <w:p w:rsidR="008725BE" w:rsidRPr="008725BE" w:rsidRDefault="008725BE" w:rsidP="008725BE">
      <w:pPr>
        <w:pStyle w:val="Sansinterligne"/>
        <w:rPr>
          <w:rFonts w:ascii="Garamond" w:hAnsi="Garamond"/>
          <w:lang w:val="en-GB"/>
        </w:rPr>
      </w:pPr>
      <w:r w:rsidRPr="008725BE">
        <w:rPr>
          <w:rFonts w:ascii="Garamond" w:hAnsi="Garamond"/>
          <w:lang w:val="en-GB"/>
        </w:rPr>
        <w:t>Die Entwicklung des Ichs besteht in einer Entfernung vom primären Narzißmus und erzeugt ein intensives Streben, diesen wiederzugewinnen. Diese Entfernung geschieht vermittels der Libidoverschiebung auf ein von außen aufgenötigtes Ichideal, die Befriedigung durch die Erfüllung dieses Ideals.</w:t>
      </w:r>
    </w:p>
    <w:p w:rsidR="008725BE" w:rsidRPr="008725BE" w:rsidRDefault="008725BE" w:rsidP="008725BE">
      <w:pPr>
        <w:pStyle w:val="Sansinterligne"/>
        <w:rPr>
          <w:rFonts w:ascii="Garamond" w:hAnsi="Garamond"/>
          <w:lang w:val="en-GB"/>
        </w:rPr>
      </w:pPr>
      <w:r w:rsidRPr="008725BE">
        <w:rPr>
          <w:rFonts w:ascii="Garamond" w:hAnsi="Garamond"/>
          <w:lang w:val="en-GB"/>
        </w:rPr>
        <w:t>Gleichzeitig hat das Ich die libidinösen Objektbesetzungen ausgeschickt. Es ist zugunsten dieser Besetzungen wie des Ichideals verarmt und bereichert sich wieder durch die Objektbefriedigungen wie durch die Idealerfüllung.</w:t>
      </w:r>
    </w:p>
    <w:p w:rsidR="008725BE" w:rsidRPr="008725BE" w:rsidRDefault="008725BE" w:rsidP="008725BE">
      <w:pPr>
        <w:pStyle w:val="Sansinterligne"/>
        <w:rPr>
          <w:rFonts w:ascii="Garamond" w:hAnsi="Garamond"/>
          <w:lang w:val="en-GB"/>
        </w:rPr>
      </w:pPr>
      <w:r w:rsidRPr="008725BE">
        <w:rPr>
          <w:rFonts w:ascii="Garamond" w:hAnsi="Garamond"/>
          <w:lang w:val="en-GB"/>
        </w:rPr>
        <w:t>Ein Anteil des Selbstgefühls ist primär, der Rest des kindlichen Narzißmus, ein anderer Teil stammt aus der durch Erfahrung bestätigten Allmacht (der Erfüllung des Ichideals), ein dritter aus der Befriedigung der Objektlibido.</w:t>
      </w:r>
    </w:p>
    <w:p w:rsidR="008725BE" w:rsidRPr="008725BE" w:rsidRDefault="008725BE" w:rsidP="008725BE">
      <w:pPr>
        <w:pStyle w:val="Sansinterligne"/>
        <w:rPr>
          <w:rFonts w:ascii="Garamond" w:hAnsi="Garamond"/>
          <w:lang w:val="en-GB"/>
        </w:rPr>
      </w:pPr>
      <w:r w:rsidRPr="008725BE">
        <w:rPr>
          <w:rFonts w:ascii="Garamond" w:hAnsi="Garamond"/>
          <w:lang w:val="en-GB"/>
        </w:rPr>
        <w:t>Das Ichideal hat die Libidobefriedigung an den Objekten unter schwierige Bedingungen gebracht, indem es einen Teil derselben durch seinen Zensor als unverträglich abweisen läßt. Wo sich ein solches Ideal nicht entwickelt hat, da tritt die betreffende sexuelle Strebung unverändert als Perversion in die Persönlichkeit ein. Wiederum ihr eigenes Ideal sein, auch in betreff der Sexualstrebungen, wie in der Kindheit, das wollen die Menschen als ihr Glück erreichen.</w:t>
      </w:r>
    </w:p>
    <w:p w:rsidR="008725BE" w:rsidRPr="008725BE" w:rsidRDefault="008725BE" w:rsidP="008725BE">
      <w:pPr>
        <w:pStyle w:val="Sansinterligne"/>
        <w:rPr>
          <w:rFonts w:ascii="Garamond" w:hAnsi="Garamond"/>
          <w:lang w:val="en-GB"/>
        </w:rPr>
      </w:pPr>
      <w:r w:rsidRPr="008725BE">
        <w:rPr>
          <w:rFonts w:ascii="Garamond" w:hAnsi="Garamond"/>
          <w:lang w:val="en-GB"/>
        </w:rPr>
        <w:t>Die Verliebtheit besteht in einem Überströmen der Ichlibido auf das Objekt. Sie hat die Kraft, Verdrängungen aufzuheben und Perversionen wiederherzustellen. Sie erhebt das Sexualobjekt zum Sexualideal. Da sie bei dem Objekt- oder Anlehnungstypus auf Grund der Erfüllung infantiler Liebesbedingungen erfolgt, kann man sagen: Was diese Liebesbedingung erfüllt, wird idealisiert.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Sexualideal kann in eine interessante Hilfsbeziehung zum Ichideal treten. Wo die narzißtische Befriedigung auf reale Hindernisse stößt, kann das Sexualideal zur Ersatzbefriedigung verwendet werden. Man liebt dann nach dem Typus der narzißtischen Objektwahl das, was man war und eingebüßt hat oder was die Vorzüge besitzt, die man überhaupt nicht hat (vergleiche oben unter  </w:t>
      </w:r>
      <w:r w:rsidRPr="008725BE">
        <w:rPr>
          <w:rFonts w:ascii="Garamond" w:hAnsi="Garamond"/>
          <w:i/>
          <w:iCs/>
          <w:lang w:val="en-GB"/>
        </w:rPr>
        <w:t>c</w:t>
      </w:r>
      <w:r w:rsidRPr="008725BE">
        <w:rPr>
          <w:rFonts w:ascii="Garamond" w:hAnsi="Garamond"/>
          <w:lang w:val="en-GB"/>
        </w:rPr>
        <w:t>). Die der obigen parallele Formel lautet: Was den dem Ich zum Ideal fehlenden Vorzug besitzt, wird geliebt. Dieser Fall der Aushilfe hat eine besondere Bedeutung für den Neurotiker, der durch seine übermäßigen Objektbesetzungen im Ich verarmt und außerstande ist, sein Ichideal zu erfüllen. Er sucht dann von seiner Libidoverschwendung an die Objekte den Rückweg zum Narzißmus, indem er sich ein Sexualideal nach dem narzißtischen Typus wählt, welches die von ihm nicht zu erreichenden Vorzüge besitzt. Dies ist die Heilung durch Liebe, welche er in der Regel der analytischen vorzieht. Ja, er kann an einen anderen Mechanismus der Heilung nicht glauben, bringt meist die Erwartung desselben in die Kur mit und richtet sie auf die Person des ihn behandelnden Arztes. Diesem Heilungsplan steht natürlich die Liebesunfähigkeit des Kranken infolge seiner ausgedehnten Verdrängungen im Wege. Hat man dieser durch die Behandlung bis zu einem gewissen Grade abgeholfen, so erlebt man häufig den unbeabsichtigten Erfolg, daß der Kranke sich nun der weiteren Behandlung entzieht, um eine Liebeswahl zu treffen und die weitere Herstellung dem Zusammenleben mit der geliebten Person zu überlassen. Man könnte mit diesem Ausgang zufrieden sein, wenn er nicht alle Gefahren der drückenden Abhängigkeit von diesem Nothelfer mit sich brächte.</w:t>
      </w:r>
    </w:p>
    <w:p w:rsidR="008725BE" w:rsidRPr="008725BE" w:rsidRDefault="008725BE" w:rsidP="008725BE">
      <w:pPr>
        <w:pStyle w:val="Sansinterligne"/>
        <w:rPr>
          <w:rFonts w:ascii="Garamond" w:hAnsi="Garamond"/>
          <w:lang w:val="en-GB"/>
        </w:rPr>
      </w:pPr>
      <w:r w:rsidRPr="008725BE">
        <w:rPr>
          <w:rFonts w:ascii="Garamond" w:hAnsi="Garamond"/>
        </w:rPr>
        <w:lastRenderedPageBreak/>
        <w:t xml:space="preserve">Vom Ichideal aus führt ein bedeutsamer Weg zum Verständnis der Massenpsychologie. Dies Ideal hat außer seinem individuellen einen sozialen Anteil, es ist auch das gemeinsame Ideal einer Familie, eines Standes, einer Nation. Es hat außer der narzißtischen Libido einen großen Betrag der homosexuellen Libido einer Person gebunden, welcher auf diesem Wege ins Ich zurückgekehrt ist. </w:t>
      </w:r>
      <w:r w:rsidRPr="008725BE">
        <w:rPr>
          <w:rFonts w:ascii="Garamond" w:hAnsi="Garamond"/>
          <w:lang w:val="en-GB"/>
        </w:rPr>
        <w:t>Die Unbefriedigung durch Nichterfüllung dieses Ideals macht homosexuelle Libido frei, welche sich in Schuldbewußtsein (soziale Angst) verwandelt. Das Schuldbewußtsein war ursprünglich Angst vor der Strafe der Eltern, richtiger gesagt: vor dem Liebesverlust bei ihnen; an Stelle der Eltern ist später die unbestimmte Menge der Genossen getreten. Die häufige Verursachung der Paranoia durch Kränkung des Ichs, Versagung der Befriedigung im Bereiche des Ichideals, wird so verständlicher, auch das Zusammentreffen von Idealbildung und Sublimierung im Ichideal, die Rückbildung der Sublimierungen und eventuelle Umbildung der Ideale bei den paraphrenischen Erkrankungen.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Zu</w:t>
        </w:r>
        <w:bookmarkStart w:id="208" w:name="KS73"/>
        <w:bookmarkEnd w:id="208"/>
        <w:r w:rsidRPr="008725BE">
          <w:rPr>
            <w:rStyle w:val="Lienhypertexte"/>
            <w:rFonts w:ascii="Garamond" w:hAnsi="Garamond"/>
            <w:b/>
            <w:lang w:val="en-GB"/>
          </w:rPr>
          <w:t>r Einleitung der Behandlung</w:t>
        </w:r>
      </w:hyperlink>
      <w:r w:rsidRPr="008725BE">
        <w:rPr>
          <w:rFonts w:ascii="Garamond" w:hAnsi="Garamond"/>
          <w:lang w:val="en-GB"/>
        </w:rPr>
        <w:t xml:space="preserve">  </w:t>
      </w:r>
      <w:r w:rsidRPr="008725BE">
        <w:rPr>
          <w:rFonts w:ascii="Garamond" w:hAnsi="Garamond"/>
          <w:caps/>
          <w:lang w:val="en-GB"/>
        </w:rPr>
        <w:t>(1913)</w:t>
      </w:r>
    </w:p>
    <w:p w:rsidR="008725BE" w:rsidRPr="008725BE" w:rsidRDefault="008725BE" w:rsidP="008725BE">
      <w:pPr>
        <w:pStyle w:val="Sansinterligne"/>
        <w:rPr>
          <w:rFonts w:ascii="Garamond" w:hAnsi="Garamond"/>
          <w:lang w:val="en-GB"/>
        </w:rPr>
      </w:pPr>
    </w:p>
    <w:p w:rsidR="008725BE" w:rsidRPr="008725BE" w:rsidRDefault="008725BE" w:rsidP="008725BE">
      <w:pPr>
        <w:pStyle w:val="Sansinterligne"/>
        <w:rPr>
          <w:rFonts w:ascii="Garamond" w:hAnsi="Garamond"/>
          <w:color w:val="A9A9A9"/>
          <w:lang w:val="en-GB"/>
        </w:rPr>
      </w:pPr>
      <w:r w:rsidRPr="008725BE">
        <w:rPr>
          <w:rFonts w:ascii="Garamond" w:hAnsi="Garamond"/>
          <w:color w:val="A9A9A9"/>
          <w:lang w:val="en-GB"/>
        </w:rPr>
        <w:t>Weitere Ratschläge zur Technik der Psychoanalyse I</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Wer das edle Schachspiel aus Büchern erlernen will, der wird bald erfahren, daß nur die Eröffnungen und Endspiele eine erschöpfende systematische Darstellung gestatten, während die unübersehbare Mannigfaltigkeit der nach der Eröffnung beginnenden Spiele sich einer solchen versagt. Eifriges Studium von Partien, in denen Meister miteinander gekämpft haben, kann allein die Lücke in der Unterweisung ausfüllen. Ähnlichen Einschränkungen unterliegen wohl die Regeln, die man für die Ausübung der psychoanalytischen Behandlung geben kann.</w:t>
      </w:r>
    </w:p>
    <w:p w:rsidR="008725BE" w:rsidRPr="008725BE" w:rsidRDefault="008725BE" w:rsidP="008725BE">
      <w:pPr>
        <w:pStyle w:val="Sansinterligne"/>
        <w:rPr>
          <w:rFonts w:ascii="Garamond" w:hAnsi="Garamond"/>
          <w:lang w:val="en-GB"/>
        </w:rPr>
      </w:pPr>
      <w:r w:rsidRPr="008725BE">
        <w:rPr>
          <w:rFonts w:ascii="Garamond" w:hAnsi="Garamond"/>
          <w:lang w:val="en-GB"/>
        </w:rPr>
        <w:t>Ich werde im folgenden versuchen, einige dieser Regeln für die Einleitung der Kur zum Gebrauche des praktischen Analytikers zusammenzustellen. Es sind Bestimmungen darunter, die kleinlich erscheinen mögen und es wohl auch sind. Zu ihrer Entschuldigung diene, daß es eben Spielregeln sind, die ihre Bedeutung aus dem Zusammenhange des Spielplanes schöpfen müssen. Ich tue aber gut daran, diese Regeln als »Ratschläge« auszugeben und keine unbedingte Verbindlichkeit für sie zu beanspruchen. Die außerordentliche Verschiedenheit der in Betracht kommenden psychischen Konstellationen, die Plastizität aller seelischen Vorgänge und der Reichtum an determinierenden Faktoren widersetzen sich auch einer Mechanisierung der Technik und gestatten es, daß ein sonst berechtigtes Vorgehen gelegentlich wirkungslos bleibt und ein für gewöhnlich fehlerhaftes einmal zum Ziele führt. Diese Verhältnisse hindern indes nicht, ein durchschnittlich zweckmäßiges Verhalten des Arztes festzustellen.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wichtigsten Indikationen für die Auswahl der Kranken habe ich bereits vor Jahren an anderer Stelle angegeben </w:t>
      </w:r>
      <w:hyperlink r:id="rId95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›Über Psychotherapie‹, 1905.</w:t>
        </w:r>
      </w:hyperlink>
      <w:r w:rsidRPr="008725BE">
        <w:rPr>
          <w:rFonts w:ascii="Garamond" w:hAnsi="Garamond"/>
          <w:lang w:val="en-GB"/>
        </w:rPr>
        <w:t>. Ich wiederhole sie darum hier nicht; sie haben unterdes die Zustimmung anderer Psychoanalytiker gefunden. Ich füge aber hinzu, daß ich mich seither gewöhnt habe, Kranke, von denen ich wenig weiß, vorerst nur provisorisch, für die Dauer von einer bis zwei Wochen, anzunehmen. Bricht man innerhalb dieser Zeit ab, so erspart man dem Kranken den peinlichen Eindruck eines verunglückten Heilungsversuches. Man hat eben nur eine Sondierung vorgenommen, um den Fall kennenzulernen und um zu entscheiden, ob er für die Psychoanalyse geeignet ist. Eine andere Art der Erprobung als einen solchen Versuch hat man nicht zur Verfügung; noch solange fortgesetzte Unterhaltungen und Ausfragungen in der Sprechstunde würden keinen Ersatz bieten. Dieser Vorversuch aber ist bereits der Beginn der Psychoanalyse und soll den Regeln derselben folgen. Man kann ihn etwa dadurch gesondert halten, daß man hauptsächlich den Patienten reden läßt und ihm von Aufklärungen nicht mehr mitteilt, als zur Fortführung seiner Erzählung durchaus unerläßlich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Einleitung der Behandlung mit einer solchen für einige Wochen angesetzten Probezeit hat übrigens auch eine diagnostische Motivierung. Oft genug, wenn man eine Neurose mit hysterischen oder Zwangssymptomen vor sich hat, von nicht exzessiver Ausprägung und von kürzerem Bestande, also gerade solche Formen, die man als günstig für die Behandlung ansehen wollte, muß man dem Zweifel Raum geben, ob der Fall nicht einem Vorstadium einer sogenannten Dementia praecox (Schizophrenie nach Bleuler, Paraphrenie nach meinem Vorschlage) entspricht und nach kürzerer oder längerer Zeit ein ausgesprochenes Bild dieser Affektion zeigen wird. Ich bestreite es, daß es immer so leicht möglich ist, die Unterscheidung zu treffen. Ich weiß, daß es Psychiater gibt, die in der Differentialdiagnose seltener schwanken, aber ich habe mich überzeugt, daß sie ebenso häufig irren. Der Irrtum ist nur für den Psychoanalytiker verhängnisvoller als für den sogenannten klinischen Psychiater. Denn der letztere unternimmt in dem einen Falle sowenig wie in dem anderen etwas Ersprießliches; er läuft nur die Gefahr eines theoretischen Irrtums, und seine Diagnose hat nur akademisches Interesse. Der Psychoanalytiker hat aber im ungünstigen Falle einen praktischen Mißgriff begangen, er hat einen vergeblichen Aufwand verschuldet und sein Heilverfahren diskreditiert. Er kann sein Heilungsversprechen nicht halten, wenn der Kranke nicht an Hysterie oder Zwangsneurose, sondern an Paraphrenie leidet, und hat darum besonders starke Motive, den diagnostischen Irrtum zu vermeiden. In einer Probebehandlung von einigen Wochen wird er oft verdächtige Wahrnehmungen machen, die ihn bestimmen können, den Versuch nicht weiter fortzusetzen. Ich kann leider nicht behaupten, daß ein solcher Versuch regelmäßig eine sichere Entscheidung ermöglicht; es ist nur eine gute Vorsicht mehr </w:t>
      </w:r>
      <w:hyperlink r:id="rId95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Über das Thema dieser diagnostischen Unsicherheit, über die Chancen der Analyse bei leichten Formen von Paraphrenie und über die Begründung der Ähnlichkeit beider Affektionen wäre sehr viel zu sagen, was ich in diesem Zusammenhange nicht ausführen kann. Gern würde ich nach Jungs Vorgang Hysterie und Zwangsneurose als » </w:t>
        </w:r>
        <w:r w:rsidRPr="008725BE">
          <w:rPr>
            <w:rStyle w:val="innerfusslink3"/>
            <w:rFonts w:ascii="Garamond" w:hAnsi="Garamond" w:cs="Arial"/>
            <w:b/>
            <w:bCs/>
            <w:i/>
            <w:iCs/>
            <w:lang w:val="en-GB"/>
          </w:rPr>
          <w:t>Übertragungsneurosen</w:t>
        </w:r>
        <w:r w:rsidRPr="008725BE">
          <w:rPr>
            <w:rStyle w:val="innerfusslink3"/>
            <w:rFonts w:ascii="Garamond" w:hAnsi="Garamond" w:cs="Arial"/>
            <w:b/>
            <w:bCs/>
            <w:lang w:val="en-GB"/>
          </w:rPr>
          <w:t xml:space="preserve">« den paraphrenischen Affektionen als » </w:t>
        </w:r>
        <w:r w:rsidRPr="008725BE">
          <w:rPr>
            <w:rStyle w:val="innerfusslink3"/>
            <w:rFonts w:ascii="Garamond" w:hAnsi="Garamond" w:cs="Arial"/>
            <w:b/>
            <w:bCs/>
            <w:i/>
            <w:iCs/>
            <w:lang w:val="en-GB"/>
          </w:rPr>
          <w:lastRenderedPageBreak/>
          <w:t>Introversionsneurosen</w:t>
        </w:r>
        <w:r w:rsidRPr="008725BE">
          <w:rPr>
            <w:rStyle w:val="innerfusslink3"/>
            <w:rFonts w:ascii="Garamond" w:hAnsi="Garamond" w:cs="Arial"/>
            <w:b/>
            <w:bCs/>
            <w:lang w:val="en-GB"/>
          </w:rPr>
          <w:t>« gegenüberstellen, wenn bei diesem Gebrauch der Begriff der »Introversion« (der Libido) nicht seinem einzig berechtigten Sinne entfremdet würde.</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Lange Vorbesprechungen vor Beginn der analytischen Behandlung, eine andersartige Therapie vorher sowie frühere Bekanntschaft zwischen dem Arzte und dem zu Analysierenden haben bestimmte ungünstige Folgen, auf die man vorbereitet sein muß. Sie machen nämlich, daß der Patient dem Arzte in einer fertigen Übertragungseinstellung gegenübertritt, die der Arzt erst langsam aufdecken muß, anstatt daß er die Gelegenheit hat, das Wachsen und Werden der Übertragung von Anfang an zu beobachten. Der Patient hat so eine Zeitlang einen Vorsprung, den man ihm in der Kur nur ungern gönnt.</w:t>
      </w:r>
    </w:p>
    <w:p w:rsidR="008725BE" w:rsidRPr="008725BE" w:rsidRDefault="008725BE" w:rsidP="008725BE">
      <w:pPr>
        <w:pStyle w:val="Sansinterligne"/>
        <w:rPr>
          <w:rFonts w:ascii="Garamond" w:hAnsi="Garamond"/>
          <w:lang w:val="en-GB"/>
        </w:rPr>
      </w:pPr>
      <w:r w:rsidRPr="008725BE">
        <w:rPr>
          <w:rFonts w:ascii="Garamond" w:hAnsi="Garamond"/>
          <w:lang w:val="en-GB"/>
        </w:rPr>
        <w:t>Gegen alle die, welche die Kur mit einem Aufschube beginnen wollen, sei man mißtrauisch. Die Erfahrung zeigt, daß sie nach Ablauf der vereinbarten Frist nicht eintreffen, auch wenn die Motivierung dieses Aufschubes, also die Rationalisierung des Vorsatzes, dem Uneingeweihten tadellos erscheint.</w:t>
      </w:r>
    </w:p>
    <w:p w:rsidR="008725BE" w:rsidRPr="008725BE" w:rsidRDefault="008725BE" w:rsidP="008725BE">
      <w:pPr>
        <w:pStyle w:val="Sansinterligne"/>
        <w:rPr>
          <w:rFonts w:ascii="Garamond" w:hAnsi="Garamond"/>
          <w:lang w:val="en-GB"/>
        </w:rPr>
      </w:pPr>
      <w:r w:rsidRPr="008725BE">
        <w:rPr>
          <w:rFonts w:ascii="Garamond" w:hAnsi="Garamond"/>
          <w:lang w:val="en-GB"/>
        </w:rPr>
        <w:t>Besondere Schwierigkeiten ergeben sich, wenn zwischen dem Arzte und dem in die Analyse eintretenden Patienten oder deren Familien freundschaftliche oder gesellschaftliche Beziehungen bestanden haben. Der Psychoanalytiker, von dem verlangt wird, daß er die Ehefrau oder das Kind eines Freundes in Behandlung nehme, darf sich darauf vorbereiten, daß ihn das Unternehmen, wie immer es ausgehe, die Freundschaft kosten wird. Er muß doch das Opfer bringen, wenn er nicht einen vertrauenswürdigen Vertreter stellen kann.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Laien wie Ärzte, welche die Psychoanalyse immer noch gern mit einer Suggestivbehandlung verwechseln, pflegen hohen Wert auf die Erwartung zu legen, welche der Patient der neuen Behandlung entgegenbringt. Sie meinen oft, mit dem einen Kranken werde man nicht viel Mühe haben, denn er habe ein großes Zutrauen zur Psychoanalyse und sei von ihrer Wahrheit und ihrer Leistungsfähigkeit voll überzeugt. Bei einem anderen werde es wohl schwerer gehen, denn er verhalte sich skeptisch und wolle nichts glauben, ehe er nicht den Erfolg an seiner eigenen Person gesehen habe. In Wirklichkeit hat aber diese Einstellung der Kranken eine recht geringe Bedeutung; sein vorläufiges Zutrauen oder Mißtrauen kommt gegen die inneren Widerstände, welche die Neurose verankern, kaum in Betracht. Die Vertrauensseligkeit des Patienten macht ja den ersten Verkehr mit ihm recht angenehm; man dankt ihm für sie, bereitet ihn aber darauf vor, daß seine günstige Voreingenommenheit an der ersten in der Behandlung auftauchenden Schwierigkeit zerschellen wird. Dem Skeptiker sagt man, daß die Analyse kein Vertrauen braucht, daß er so kritisch und mißtrauisch sein dürfe, als ihm beliebt, daß man seine Einstellung gar nicht auf die Rechnung seines Urteiles setzen wolle, denn er sei ja nicht in der Lage, sich ein verläßliches Urteil über diese Punkte zu bilden; sein Mißtrauen sei eben ein Symptom wie seine anderen Symptome, und es werde sich nicht störend erweisen, wenn er nur gewissenhaft befolgen wolle, was die Regel der Behandlung von ihm fordere.</w:t>
      </w:r>
    </w:p>
    <w:p w:rsidR="008725BE" w:rsidRPr="008725BE" w:rsidRDefault="008725BE" w:rsidP="008725BE">
      <w:pPr>
        <w:pStyle w:val="Sansinterligne"/>
        <w:rPr>
          <w:rFonts w:ascii="Garamond" w:hAnsi="Garamond"/>
          <w:lang w:val="en-GB"/>
        </w:rPr>
      </w:pPr>
      <w:r w:rsidRPr="008725BE">
        <w:rPr>
          <w:rFonts w:ascii="Garamond" w:hAnsi="Garamond"/>
          <w:lang w:val="en-GB"/>
        </w:rPr>
        <w:t>Wer mit dem Wesen der Neurose vertraut ist, wird nicht erstaunt sein zu hören, daß auch derjenige, der sehr wohl befähigt ist, die Psychoanalyse an anderen auszuüben, sich benehmen kann wie ein anderer Sterblicher und die intensivsten Widerstände zu produzieren imstande ist, sobald er selbst zum Objekte der Psychoanalyse gemacht wird. Man bekommt dann wieder einmal den Eindruck der psychischen Tiefendimension und findet nichts Überraschendes daran, daß die Neurose in psychischen Schichten wurzelt, bis zu denen die analytische Bildung nicht hinabgedrungen ist.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Wichtige Punkte zu Beginn der analytischen Kur sind die Bestimmungen über </w:t>
      </w:r>
      <w:r w:rsidRPr="008725BE">
        <w:rPr>
          <w:rFonts w:ascii="Garamond" w:hAnsi="Garamond"/>
          <w:i/>
          <w:iCs/>
          <w:lang w:val="en-GB"/>
        </w:rPr>
        <w:t>Zeit</w:t>
      </w:r>
      <w:r w:rsidRPr="008725BE">
        <w:rPr>
          <w:rFonts w:ascii="Garamond" w:hAnsi="Garamond"/>
          <w:lang w:val="en-GB"/>
        </w:rPr>
        <w:t xml:space="preserve"> und </w:t>
      </w:r>
      <w:r w:rsidRPr="008725BE">
        <w:rPr>
          <w:rFonts w:ascii="Garamond" w:hAnsi="Garamond"/>
          <w:i/>
          <w:iCs/>
          <w:lang w:val="en-GB"/>
        </w:rPr>
        <w:t>Geld</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betreff der Zeit befolge ich ausschließlich das Prinzip des Vermietens einer bestimmten Stunde. Jeder Patient erhält eine gewisse Stunde meines verfügbaren Arbeitstages zugewiesen; sie ist die seine, und er bleibt für sie haftbar, auch wenn er sie nicht benützt. Diese Bestimmung, die für den Musik- oder Sprachlehrer in unserer guten Gesellschaft als selbstverständlich gilt, erscheint beim Arzte vielleicht hart oder selbst standesunwürdig. Man wird geneigt sein, auf die vielen Zufälligkeiten hinzuweisen, die den Patienten hindern mögen, jedesmal zu derselben Stunde beim Arzte zu erscheinen, und wird verlangen, daß den zahlreichen interkurrenten Erkrankungen Rechnung getragen werde, die im Verlaufe einer längeren analytischen Behandlung vorfallen können. Allein meine Antwort ist: es geht nicht anders. Bei milderer Praxis häufen sich die »gelegentlichen« Absagen so sehr, daß der Arzt seine materielle Existenz gefährdet findet. Bei strenger Einhaltung dieser Bestimmung stellt sich dagegen heraus, daß hinderliche Zufälligkeiten überhaupt nicht vorkommen und interkurrente Erkrankungen nur sehr selten. Man kommt kaum je in die Lage, eine Muße zu genießen, deren man sich als Erwerbender zu schämen hätte; man kann die Arbeit ungestört fortsetzen und entgeht der peinlichen, verwirrenden Erfahrung, daß gerade dann </w:t>
      </w:r>
      <w:r w:rsidRPr="008725BE">
        <w:rPr>
          <w:rFonts w:ascii="Garamond" w:hAnsi="Garamond"/>
          <w:lang w:val="en-GB"/>
        </w:rPr>
        <w:lastRenderedPageBreak/>
        <w:t>immer eine unverschuldete Pause in der Arbeit eintreten muß, wenn sie besonders wichtig und inhaltsreich zu werden versprach. Von der Bedeutung der Psychogenie im täglichen Leben der Menschen, von der Häufigkeit der »Schulkrankheiten« und der Nichtigkeit des Zufalls gewinnt man erst eine ordentliche Überzeugung, wenn man einige Jahre hindurch Psychoanalyse betrieben hat unter strenger Befolgung des Prinzips der Stundenmiete. Bei unzweifelhaften organischen Affektionen, die durch das psychische Interesse doch nicht ausgeschlossen werden können, unterbreche ich die Behandlung, halte mich für berechtigt, die freigewordene Stunde anders zu vergeben, und nehme den Patienten wieder auf, sobald er hergestellt ist und ich eine andere Stunde freibekommen habe.</w:t>
      </w:r>
    </w:p>
    <w:p w:rsidR="008725BE" w:rsidRPr="008725BE" w:rsidRDefault="008725BE" w:rsidP="008725BE">
      <w:pPr>
        <w:pStyle w:val="Sansinterligne"/>
        <w:rPr>
          <w:rFonts w:ascii="Garamond" w:hAnsi="Garamond"/>
          <w:lang w:val="en-GB"/>
        </w:rPr>
      </w:pPr>
      <w:r w:rsidRPr="008725BE">
        <w:rPr>
          <w:rFonts w:ascii="Garamond" w:hAnsi="Garamond"/>
          <w:lang w:val="en-GB"/>
        </w:rPr>
        <w:t>Ich arbeite mit meinen Patienten täglich mit Ausnahme der Sonntage und der großen Festtage, also für gewöhnlich sechsmal in der Woche. Für leichte Fälle oder Fortsetzungen von weit gediehenen Behandlungen reichen auch drei Stunden wöchentlich aus. Sonst bringen Einschränkungen an Zeit weder dem Arzte noch dem Patienten Vorteil; für den Anfang sind sie ganz zu verwerfen. Schon durch kurze Unterbrechungen wird die Arbeit immer ein wenig verschüttet; wir pflegten scherzhaft von einer »Montagskruste« zu sprechen, wenn wir nach der Sonntagsruhe von neuem begannen; bei seltener Arbeit besteht die Gefahr, daß man mit dem realen Erleben des Patienten nicht Schritt halten kann, daß die Kur den Kontakt mit der Gegenwart verliert und auf Seitenwege gedrängt wird. Gelegentlich trifft man auch auf Kranke, denen man mehr Zeit als das mittlere Maß von einer Stunde widmen muß, weil sie den größeren Teil einer Stunde verbrauchen, um aufzutauen, überhaupt mitteilsam zu werden.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 dem Arzte unliebsame Frage, die der Kranke zu allem Anfange an ihn richtet, lautet: »Wie lange Zeit wird die Behandlung dauern? </w:t>
      </w:r>
      <w:r w:rsidRPr="008725BE">
        <w:rPr>
          <w:rFonts w:ascii="Garamond" w:hAnsi="Garamond"/>
        </w:rPr>
        <w:t xml:space="preserve">Welche Zeit brauchen Sie, um mich von meinem Leiden zu befreien?« Wenn man eine Probebehandlung von einigen Wochen vorgeschlagen hat, entzieht man sich der direkten Beantwortung dieser Frage, indem man verspricht, nach Ablauf der Probezeit eine zuverlässigere Aussage abgeben zu können. Man antwortet gleichsam wie der Äsop der Fabel dem Wanderer, der nach der Länge des Weges fragt, mit der Aufforderung: »Geh«, und erläutert den Bescheid durch die Begründung, man müsse zuerst den Schritt des Wanderers kennenlernen, ehe man die Dauer seiner Wanderung berechnen könne. Mit dieser Auskunft hilft man sich über die ersten Schwierigkeiten hinweg, aber der Vergleich ist nicht gut, denn der Neurotiker kann leicht sein Tempo verändern und zuzeiten nur sehr langsame Fortschritte machen. </w:t>
      </w:r>
      <w:r w:rsidRPr="008725BE">
        <w:rPr>
          <w:rFonts w:ascii="Garamond" w:hAnsi="Garamond"/>
          <w:lang w:val="en-GB"/>
        </w:rPr>
        <w:t>Die Frage nach der voraussichtlichen Dauer der Behandlung ist in Wahrheit kaum zu beantworten.</w:t>
      </w:r>
    </w:p>
    <w:p w:rsidR="008725BE" w:rsidRPr="008725BE" w:rsidRDefault="008725BE" w:rsidP="008725BE">
      <w:pPr>
        <w:pStyle w:val="Sansinterligne"/>
        <w:rPr>
          <w:rFonts w:ascii="Garamond" w:hAnsi="Garamond"/>
        </w:rPr>
      </w:pPr>
      <w:r w:rsidRPr="008725BE">
        <w:rPr>
          <w:rFonts w:ascii="Garamond" w:hAnsi="Garamond"/>
          <w:lang w:val="en-GB"/>
        </w:rPr>
        <w:t xml:space="preserve">Die Einsichtslosigkeit der Kranken und die Unaufrichtigkeit der Ärzte vereinigen sich zu dem Effekt, an die Analyse die maßlosesten Ansprüche zu stellen und ihr dabei die knappste Zeit einzuräumen. Ich teile zum Beispiel aus dem Briefe einer Dame in Rußland, der vor wenigen Tagen an mich gekommen ist, folgende Daten mit. Sie ist 53 Jahre alt, seit 23 Jahren leidend, seit zehn Jahren keiner anhaltenden Arbeit mehr fähig. »Behandlung in mehreren Nervenheilanstalten« hat es nicht vermocht, ihr ein »aktives Leben« zu ermöglichen. Sie hofft durch die Psychoanalyse, über die sie gelesen hat, ganz geheilt zu werden. Aber ihre Behandlung hat ihre Familie schon so viel gekostet, daß sie keinen längeren Aufenthalt in Wien nehmen kann als sechs Wochen oder zwei Monate. Dazu kommt die Erschwerung, daß sie sich von Anfang an nur schriftlich »deutlich machen« will, denn Antasten ihrer Komplexe würde bei ihr eine Explosion hervorrufen oder sie »zeitlich verstummen lassen«. – Niemand würde sonst erwarten, daß man einen schweren Tisch mit zwei Fingern heben werde wie einen leichten Schemel oder daß man ein großes Haus in derselben Zeit bauen könne wie ein Holzhüttchen, doch sowie es sich um die Neurosen handelt, die in den Zusammenhang des menschlichen Denkens derzeit noch nicht eingereiht scheinen, vergessen selbst intelligente Personen an die notwendige Proportionalität zwischen Zeit, Arbeit und Erfolg. </w:t>
      </w:r>
      <w:r w:rsidRPr="008725BE">
        <w:rPr>
          <w:rFonts w:ascii="Garamond" w:hAnsi="Garamond"/>
        </w:rPr>
        <w:t>Übrigens eine begreifliche Folge der tiefen Unwissenheit über die Ätiologie der Neurosen. Dank dieser Ignoranz ist ihnen die Neurose eine Art »Mädchen aus der Fremde«. Man wußte nicht, woher sie kam, und darum erwartet man, daß sie eines Tages entschwunden sein wird.</w:t>
      </w:r>
    </w:p>
    <w:p w:rsidR="008725BE" w:rsidRPr="008725BE" w:rsidRDefault="008725BE" w:rsidP="008725BE">
      <w:pPr>
        <w:pStyle w:val="Sansinterligne"/>
        <w:rPr>
          <w:rFonts w:ascii="Garamond" w:hAnsi="Garamond"/>
          <w:lang w:val="en-GB"/>
        </w:rPr>
      </w:pPr>
      <w:r w:rsidRPr="008725BE">
        <w:rPr>
          <w:rFonts w:ascii="Garamond" w:hAnsi="Garamond"/>
          <w:lang w:val="en-GB"/>
        </w:rPr>
        <w:t>Die Ärzte unterstützen diese Vertrauensseligkeit; auch wissende unter ihnen schätzen häufig die Schwere der neurotischen Erkrankungen nicht ordentlich ein. Ein befreundeter Kollege, dem ich es hoch anrechne, daß er sich nach mehreren Dezennien wissenschaftlicher Arbeit auf anderen Voraussetzungen zur Würdigung der Psychoanalyse bekehrt hat, schrieb mir einmal: »Was uns not tut, ist eine kurze, bequeme ambulatorische Behandlung der Zwangsneurosen.« Ich konnte damit nicht dienen, schämte mich und suchte mich mit der Bemerkung zu entschuldigen, daß wahrscheinlich auch die Internisten mit einer Therapie der Tuberkulose oder des Karzinoms, welche diese Vorzüge vereinte, sehr zufrieden sein würden.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Um es direkter zu sagen, es handelt sich bei der Psychoanalyse immer um lange Zeiträume, halbe oder ganze Jahre, um längere, als der Erwartung des Kranken entspricht. Man hat daher die Verpflichtung, dem </w:t>
      </w:r>
      <w:r w:rsidRPr="008725BE">
        <w:rPr>
          <w:rFonts w:ascii="Garamond" w:hAnsi="Garamond"/>
          <w:lang w:val="en-GB"/>
        </w:rPr>
        <w:lastRenderedPageBreak/>
        <w:t>Kranken diesen Sachverhalt zu eröffnen, ehe er sich endgültig für die Behandlung entschließt. Ich halte es überhaupt für würdiger, aber auch für zweckmäßiger, wenn man ihn, ohne gerade auf seine Abschreckung hinzuarbeiten, doch von vornherein auf die Schwierigkeiten und Opfer der analytischen Therapie aufmerksam macht und ihm so jede Berechtigung nimmt, später einmal zu behaupten, man habe ihn in die Behandlung, deren Umfang und Bedeutung er nicht gekannt habe, gelockt. Wer sich durch solche Mitteilungen abhalten läßt, der hätte sich später doch als unbrauchbar erwiesen. Es ist gut, eine derartige Auslese vor dem Beginne der Behandlung vorzunehmen. Mit dem Fortschritte der Aufklärung unter den Kranken wächst doch die Zahl derjenigen, welche diese erste Probe bestehen.</w:t>
      </w:r>
    </w:p>
    <w:p w:rsidR="008725BE" w:rsidRPr="008725BE" w:rsidRDefault="008725BE" w:rsidP="008725BE">
      <w:pPr>
        <w:pStyle w:val="Sansinterligne"/>
        <w:rPr>
          <w:rFonts w:ascii="Garamond" w:hAnsi="Garamond"/>
          <w:lang w:val="en-GB"/>
        </w:rPr>
      </w:pPr>
      <w:r w:rsidRPr="008725BE">
        <w:rPr>
          <w:rFonts w:ascii="Garamond" w:hAnsi="Garamond"/>
          <w:lang w:val="en-GB"/>
        </w:rPr>
        <w:t>Ich lehne es ab, die Patienten auf eine gewisse Dauer des Ausharrens in der Behandlung zu verpflichten, gestatte jedem, die Kur abzubrechen, wann es ihm beliebt, verhehle ihm aber nicht, daß ein Abbruch nach kurzer Arbeit keinen Erfolg zurücklassen wird und ihn leicht wie eine unvollendete Operation in einen unbefriedigenden Zustand versetzen kann. In den ersten Jahren meiner psychoanalytischen Tätigkeit fand ich die größte Schwierigkeit, die Kranken zum Verbleiben zu bewegen; diese Schwierigkeit hat sich längst verschoben, ich muß jetzt ängstlich bemüht sein, sie auch zum Aufhören zu nötigen.</w:t>
      </w:r>
    </w:p>
    <w:p w:rsidR="008725BE" w:rsidRPr="008725BE" w:rsidRDefault="008725BE" w:rsidP="008725BE">
      <w:pPr>
        <w:pStyle w:val="Sansinterligne"/>
        <w:rPr>
          <w:rFonts w:ascii="Garamond" w:hAnsi="Garamond"/>
          <w:lang w:val="en-GB"/>
        </w:rPr>
      </w:pPr>
      <w:r w:rsidRPr="008725BE">
        <w:rPr>
          <w:rFonts w:ascii="Garamond" w:hAnsi="Garamond"/>
          <w:lang w:val="en-GB"/>
        </w:rPr>
        <w:t>Die Abkürzung der analytischen Kur bleibt ein berechtigter Wunsch, dessen Erfüllung, wie wir hören werden, auf verschiedenen Wegen angestrebt wird. Es steht ihr leider ein sehr bedeutsames Moment entgegen, die Langsamkeit, mit der sich tiefgreifende seelische Veränderungen vollziehen, in letzter Linie wohl die »Zeitlosigkeit« unserer unbewußten Vorgänge. Wenn die Kranken vor die Schwierigkeit des großen Zeitaufwandes für die Analyse gestellt werden, so wissen sie nicht selten ein gewisses Auskunftsmittel vorzuschlagen. Sie teilen ihre Beschwerden in solche ein, die sie als unerträglich, und andere, die sie als nebensächlich beschreiben, und sagen: »Wenn Sie mich nur von dem einen (zum Beispiel dem Kopfschmerz, der bestimmten Angst) befreien, mit dem anderen will ich schon selbst im Leben fertig werden.« Sie überschätzen dabei aber die elektive Macht der Analyse. Gewiß vermag der analytische Arzt viel, aber er kann nicht genau bestimmen, was er zustande bringen wird. Er leitet einen Prozeß ein, den der Auflösung der bestehenden Verdrängungen, er kann ihn überwachen, fördern, Hindernisse aus dem Wege räumen, gewiß auch viel an ihm verderben. Im ganzen aber geht der einmal eingeleitete Prozeß seinen eigenen Weg und läßt sich weder seine Richtung noch die Reihenfolge der Punkte, die er angreift, vorschreiben. Mit der Macht des Analytikers über die Krankheitserscheinungen steht es also ungefähr so wie mit der männlichen Potenz. Der kräftigste Mann kann zwar ein ganzes Kind zeugen, aber nicht im weiblichen Organismus einen Kopf allein, einen Arm oder ein Bein entstehen lassen; er kann nicht einmal über das Geschlecht des Kindes bestimmen. Er leitet eben auch nur einen höchst verwickelten und durch alte Geschehnisse determinierten Prozeß ein, der mit der Lösung des Kindes von der Mutter endet. Auch die Neurose eines Menschen besitzt die Charaktere eines Organismus, ihre Teilerscheinungen sind nicht unabhängig voneinander, sie bedingen einander, pflegen sich gegenseitig zu stützen; man leidet immer nur an einer Neurose, nicht an mehreren, die zufällig in einem Individuum zusammengetroffen sind. Der Kranke, den man nach seinem Wunsche von dem einen unerträglichen Symptome befreit hat, könnte leicht die Erfahrung machen, daß nun ein bisher mildes Symptom sich zur Unerträglichkeit steigert. Wer überhaupt den Erfolg von seinen suggestiven (das heißt Übertragungs-) Bedingungen möglichst ablösen will, der tut gut daran, auch auf die Spuren elektiver Beeinflussung des Heilerfolges, die dem Arzte etwa zustehen, zu verzichten. Dem Psychoanalytiker müssen diejenigen Patienten am liebsten sein, welche die volle Gesundheit, soweit sie zu haben ist, von ihm fordern und ihm so viel Zeit zur Verfügung stellen, als der Prozeß der Herstellung verbraucht. Natürlich sind so günstige Bedingungen nur in wenig Fällen zu erwarten.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nächste Punkt, über den zu Beginn einer Kur entschieden werden soll, ist das Geld, das Honorar des Arztes. Der Analytiker stellt nicht in Abrede, daß Geld in erster Linie als Mittel zur Selbsterhaltung und Machtgewinnung zu betrachten ist, aber er behauptet, daß mächtige sexuelle Faktoren an der Schätzung des Geldes mitbeteiligt sind. Er kann sich dann darauf berufen, daß Geldangelegenheiten von den Kulturmenschen in ganz ähnlicher Weise behandelt werden wie sexuelle Dinge, mit derselben Zwiespältigkeit, Prüderie und Heuchelei. Er ist also von vornherein entschlossen, dabei nicht mitzutun, sondern Geldbeziehungen mit der nämlichen selbstverständlichen Aufrichtigkeit vor dem Patienten zu behandeln, zu der er ihn in Sachen des Sexuallebens erziehen will. Er beweist ihm, daß er selbst eine falsche Scham abgelegt hat, indem er unaufgefordert mitteilt, wie er seine Zeit einschätzt. Menschliche Klugheit gebietet dann, nicht große Summen zusammenkommen zu lassen, sondern nach kürzeren regelmäßigen Zeiträumen (etwa monatlich) Zahlung zu nehmen. (Man erhöht, wie bekannt, die Schätzung der Behandlung beim Patienten nicht, wenn man sie sehr wohlfeil gibt.) Das ist, wie man weiß, nicht die </w:t>
      </w:r>
      <w:r w:rsidRPr="008725BE">
        <w:rPr>
          <w:rFonts w:ascii="Garamond" w:hAnsi="Garamond"/>
          <w:lang w:val="en-GB"/>
        </w:rPr>
        <w:lastRenderedPageBreak/>
        <w:t>gewöhnliche Praxis des Nervenarztes oder des Internisten in unserer europäischen Gesellschaft. Aber der Psychoanalytiker darf sich in die Lage des Chirurgen versetzen, der aufrichtig und kostspielig ist, weil er über Behandlungen verfügt, welche helfen können. Ich meine, es ist doch würdiger und ethisch unbedenklicher, sich zu seinen wirklichen Ansprüchen und Bedürfnissen zu bekennen, als, wie es jetzt noch unter Ärzten gebräuchlich ist, den uneigennützigen Menschenfreund zu agieren, dessen Situation einem doch versagt ist, und sich dafür im stillen über die Rücksichtslosigkeit und die Ausbeutungssucht der Patienten zu grämen oder laut darüber zu schimpfen. Der Analytiker wird für seinen Anspruch auf Bezahlung noch geltend machen, daß er bei schwerer Arbeit nie so viel erwerben kann wie andere medizinische Spezialisten.</w:t>
      </w:r>
    </w:p>
    <w:p w:rsidR="008725BE" w:rsidRPr="008725BE" w:rsidRDefault="008725BE" w:rsidP="008725BE">
      <w:pPr>
        <w:pStyle w:val="Sansinterligne"/>
        <w:rPr>
          <w:rFonts w:ascii="Garamond" w:hAnsi="Garamond"/>
          <w:lang w:val="en-GB"/>
        </w:rPr>
      </w:pPr>
      <w:r w:rsidRPr="008725BE">
        <w:rPr>
          <w:rFonts w:ascii="Garamond" w:hAnsi="Garamond"/>
          <w:lang w:val="en-GB"/>
        </w:rPr>
        <w:t>Aus denselben Gründen wird er es auch ablehnen dürfen, ohne Honorar zu behandeln, und auch zugunsten der Kollegen oder ihrer Angehörigen keine Ausnahme machen. Die letzte Forderung scheint gegen die ärztliche Kollegialität zu verstoßen; man halte sich aber vor, daß eine Gratisbehandlung für den Psychoanalytiker weit mehr bedeutet als für jeden anderen, nämlich die Entziehung eines ansehnlichen Bruchteiles seiner für den Erwerb verfügbaren Arbeitszeit (eines Achtels, Siebentels u. dgl.) auf die Dauer von vielen Monaten. Eine gleichzeitige zweite Gratisbehandlung raubt ihm bereits ein Viertel oder Drittel seiner Erwerbsfähigkeit, was der Wirkung eines schweren traumatischen Unfalles gleichzusetzen wäre.</w:t>
      </w:r>
    </w:p>
    <w:p w:rsidR="008725BE" w:rsidRPr="008725BE" w:rsidRDefault="008725BE" w:rsidP="008725BE">
      <w:pPr>
        <w:pStyle w:val="Sansinterligne"/>
        <w:rPr>
          <w:rFonts w:ascii="Garamond" w:hAnsi="Garamond"/>
        </w:rPr>
      </w:pPr>
      <w:r w:rsidRPr="008725BE">
        <w:rPr>
          <w:rFonts w:ascii="Garamond" w:hAnsi="Garamond"/>
        </w:rPr>
        <w:t>Es fragt sich dann, ob der Vorteil für den Kranken das Opfer des Arztes einigermaßen aufwiegt. Ich darf mir wohl ein Urteil darüber zutrauen, denn ich habe durch etwa zehn Jahre täglich eine Stunde, zeitweise auch zwei, Gratisbehandlungen gewidmet, weil ich zum Zwecke der Orientierung in der Neurose möglichst widerstandsfrei arbeiten wollte. Ich fand dabei die Vorteile nicht, die ich suchte. Manche der Widerstände des Neurotikers werden durch die Gratisbehandlung enorm gesteigert, so beim jungen Weibe die Versuchung, die in der Übertragungsbeziehung enthalten ist, beim jungen Manne das aus dem Vaterkomplex stammende Sträuben gegen die Verpflichtung der Dankbarkeit, das zu den widrigsten Erschwerungen der ärztlichen Hilfeleistung gehört. Der Wegfall der Regulierung, die doch durch die Bezahlung an den Arzt gegeben ist, macht sich sehr peinlich fühlbar; das ganze Verhältnis rückt aus der realen Welt heraus; ein gutes Motiv, die Beendigung der Kur anzustreben, wird dem Patienten entzogen.</w:t>
      </w:r>
    </w:p>
    <w:p w:rsidR="008725BE" w:rsidRPr="008725BE" w:rsidRDefault="008725BE" w:rsidP="008725BE">
      <w:pPr>
        <w:pStyle w:val="Sansinterligne"/>
        <w:rPr>
          <w:rFonts w:ascii="Garamond" w:hAnsi="Garamond"/>
          <w:lang w:val="en-GB"/>
        </w:rPr>
      </w:pPr>
      <w:r w:rsidRPr="008725BE">
        <w:rPr>
          <w:rFonts w:ascii="Garamond" w:hAnsi="Garamond"/>
          <w:lang w:val="en-GB"/>
        </w:rPr>
        <w:t>Man kann der asketischen Verdammung des Geldes ganz fernestehen und darf es doch bedauern, daß die analytische Therapie aus äußeren wie aus inneren Gründen den Armen fast unzugänglich ist. Es ist wenig dagegen zu tun. Vielleicht hat die viel verbreitete Behauptung recht, daß der weniger leicht der Neurose verfällt, wer durch die Not des Lebens zu harter Arbeit gezwungen ist. Aber ganz unbestreitbar steht die andere Erfahrung da, daß der Arme, der einmal eine Neurose zustande gebracht hat, sich dieselbe nur sehr schwer entreißen läßt. Sie leistet ihm zu gute Dienste im Kampfe um die Selbstbehauptung; der sekundäre Krankheitsgewinn, den sie ihm bringt, ist allzu bedeutend. Das Erbarmen, das die Menschen seiner materiellen Not versagt haben, beansprucht er jetzt unter dem Titel seiner Neurose und kann sich von der Forderung, seine Armut durch Arbeit zu bekämpfen, selbst freisprechen. Wer die Neurose eines Armen mit den Mitteln der Psychotherapie angreift, macht also in der Regel die Erfahrung, daß in diesem Falle eigentlich eine Aktualtherapie ganz anderer Art von ihm gefordert wird, eine Therapie, wie sie nach der bei uns heimischen Sage Kaiser Josef II. zu üben pflegte. Natürlich findet man doch gelegentlich wertvolle und ohne ihre Schuld hilflose Menschen, bei denen die unentgeltliche Behandlung nicht auf die angeführten Hindernisse stößt und schöne Erfolge erzielt.</w:t>
      </w:r>
    </w:p>
    <w:p w:rsidR="008725BE" w:rsidRPr="008725BE" w:rsidRDefault="008725BE" w:rsidP="008725BE">
      <w:pPr>
        <w:pStyle w:val="Sansinterligne"/>
        <w:rPr>
          <w:rFonts w:ascii="Garamond" w:hAnsi="Garamond"/>
          <w:lang w:val="en-GB"/>
        </w:rPr>
      </w:pPr>
      <w:r w:rsidRPr="008725BE">
        <w:rPr>
          <w:rFonts w:ascii="Garamond" w:hAnsi="Garamond"/>
          <w:lang w:val="en-GB"/>
        </w:rPr>
        <w:t>Für den Mittelstand ist der für die Psychoanalyse benötigte Geldaufwand nur scheinbar ein übermäßiger. Ganz abgesehen davon, daß Gesundheit und Leistungsfähigkeit einerseits, ein mäßiger Geldaufwand anderseits überhaupt inkommensurabel sind: wenn man die nie aufhörenden Ausgaben für Sanatorien und ärztliche Behandlung zusammenrechnet und ihnen die Steigerung der Leistungs- und Erwerbsfähigkeit nach glücklich beendeter analytischer Kur gegenüberstellt, darf man sagen, daß die Kranken einen guten Handel gemacht haben. Es ist nichts Kostspieligeres im Leben als die Krankheit und – die Dummheit.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Ehe ich diese Bemerkungen zur Einleitung der analytischen Behandlung beschließe, noch ein Wort über ein gewisses Zeremoniell der Situation, in welcher die Kur ausgeführt wird. Ich halte an dem Rate fest, den Kranken auf einem Ruhebett lagern zu lassen, während man hinter ihm, von ihm ungesehen, Platz nimmt. Diese Veranstaltung hat einen historischen Sinn, sie ist der Rest der hypnotischen Behandlung, aus welcher sich die Psychoanalyse entwickelt hat. Sie verdient aber aus mehrfachen Gründen festgehalten zu werden. Zunächst wegen eines persönlichen Motivs, das aber andere mit mir teilen mögen. Ich vertrage es nicht, acht Stunden täglich (oder länger) von anderen angestarrt zu werden. Da ich mich während des Zuhörens selbst dem Ablauf meiner unbewußten Gedanken überlasse, will ich nicht, daß meine Mienen dem Patienten Stoff zu Deutungen geben oder ihn in seinen Mitteilungen beeinflussen. Der Patient faßt </w:t>
      </w:r>
      <w:r w:rsidRPr="008725BE">
        <w:rPr>
          <w:rFonts w:ascii="Garamond" w:hAnsi="Garamond"/>
          <w:lang w:val="en-GB"/>
        </w:rPr>
        <w:lastRenderedPageBreak/>
        <w:t>die ihm aufgezwungene Situation gewöhnlich als Entbehrung auf und sträubt sich gegen sie, besonders wenn der Schautrieb (das Voyeurtum) in seiner Neurose eine bedeutende Rolle spielt. Ich beharre aber auf dieser Maßregel, welche die Absicht und den Erfolg hat, die unmerkliche Vermengung der Übertragung mit den Einfällen des Patienten zu verhüten, die Übertragung zu isolieren und sie zur Zeit als Widerstand scharf umschrieben hervortreten zu lassen. Ich weiß, daß viele Analytiker es anders machen, aber ich weiß nicht, ob die Sucht, es anders zu machen, oder ob ein Vorteil, den sie dabei gefunden haben, mehr Anteil an ihrer Abweichung hat.</w:t>
      </w:r>
    </w:p>
    <w:p w:rsidR="008725BE" w:rsidRPr="008725BE" w:rsidRDefault="008725BE" w:rsidP="008725BE">
      <w:pPr>
        <w:pStyle w:val="Sansinterligne"/>
        <w:rPr>
          <w:rFonts w:ascii="Garamond" w:hAnsi="Garamond"/>
          <w:lang w:val="en-GB"/>
        </w:rPr>
      </w:pPr>
      <w:r w:rsidRPr="008725BE">
        <w:rPr>
          <w:rFonts w:ascii="Garamond" w:hAnsi="Garamond"/>
          <w:lang w:val="en-GB"/>
        </w:rPr>
        <w:t>Wenn nun die Bedingungen der Kur in solcher Weise geregelt sind, erhebt sich die Frage, an welchem Punkte und mit welchem Materiale soll man die Behandlung beginnen?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Es ist im ganzen gleichgültig, mit welchem Stoffe man die Behandlung beginnt, ob mit der Lebensgeschichte, der Krankengeschichte oder den Kindheitserinnerungen des Patienten. Jedenfalls aber so, daß man den Patienten erzählen läßt und ihm die Wahl des Anfangspunktes freistellt. Man sagt ihm also: »Ehe ich Ihnen etwas sagen kann, muß ich viel über Sie erfahren haben; bitte, teilen Sie mir mit, was Sie von sich wissen.«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Nur für die Grundregel der psychoanalytischen Technik, die der Patient zu beobachten hat, macht man eine Ausnahme. Mit dieser macht man ihn von allem Anfang an bekannt: »Noch eines, ehe Sie beginnen. Ihre Erzählung soll sich doch in einem Punkte von einer gewöhnlichen Konversation unterscheiden. Während Sie sonst mit Recht versuchen, in Ihrer Darstellung den Faden des Zusammenhanges festzuhalten, und alle störenden Einfälle und Nebengedanken abweisen, um nicht, wie man sagt, aus dem Hundertsten ins Tausendste zu kommen, sollen Sie hier anders vorgehen. Sie werden beobachten, daß Ihnen während Ihrer Erzählung verschiedene Gedanken kommen, welche Sie mit gewissen kritischen Einwendungen zurückweisen möchten. Sie werden versucht sein, sich zu sagen: Dies oder jenes gehört nicht hieher, oder es ist ganz unwichtig, oder es ist unsinnig, man braucht es darum nicht zu sagen. Geben Sie dieser Kritik niemals nach und sagen Sie es trotzdem, ja gerade darum, weil Sie eine Abneigung dagegen verspüren. Den Grund für diese Vorschrift – eigentlich die einzige, die Sie befolgen sollen – werden Sie später erfahren und einsehen lernen: Sagen Sie also alles, was Ihnen durch den Sinn geht. Benehmen Sie sich so, wie zum Beispiel ein Reisender, der am Fensterplatze des Eisenbahnwagens sitzt und dem im Inneren Untergebrachten beschreibt, wie sich vor seinen Blicken die Aussicht verändert. Endlich vergessen Sie nie daran, daß Sie volle Aufrichtigkeit versprochen haben, und gehen </w:t>
      </w:r>
      <w:hyperlink r:id="rId95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Über die Erfahrungen mit der </w:t>
        </w:r>
        <w:r w:rsidRPr="008725BE">
          <w:rPr>
            <w:rStyle w:val="innerfusslink3"/>
            <w:rFonts w:ascii="Garamond" w:hAnsi="Garamond" w:cs="Arial"/>
            <w:b/>
            <w:bCs/>
          </w:rPr>
          <w:t>ψα</w:t>
        </w:r>
        <w:r w:rsidRPr="008725BE">
          <w:rPr>
            <w:rStyle w:val="innerfusslink3"/>
            <w:rFonts w:ascii="Garamond" w:hAnsi="Garamond" w:cs="Arial"/>
            <w:b/>
            <w:bCs/>
            <w:lang w:val="en-GB"/>
          </w:rPr>
          <w:t xml:space="preserve"> Grundregel wäre viel zu sagen. Man trifft gelegentlich auf Personen, die sich benehmen, als ob sie sich diese Regel selbst gegeben hätten. Andere sündigen gegen sie von allem Anfang an. Ihre Mitteilung ist in den ersten Stadien der Behandlung unerläßlich, auch nutzbringend; später unter der Herrschaft der Widerstände versagt der Gehorsam gegen sie, und für jeden kommt irgend einmal die Zeit, sich über sie hinauszusetzen. Man muß sich aus seiner Selbstanalyse daran erinnern, wie unwiderstehlich die Versuchung auftritt, jenen kritischen Vorwänden zur Abweisung von Einfällen nachzugeben. Von der geringen Wirksamkeit solcher Verträge, wie man sie durch die Aufstellung der </w:t>
        </w:r>
        <w:r w:rsidRPr="008725BE">
          <w:rPr>
            <w:rStyle w:val="innerfusslink3"/>
            <w:rFonts w:ascii="Garamond" w:hAnsi="Garamond" w:cs="Arial"/>
            <w:b/>
            <w:bCs/>
          </w:rPr>
          <w:t>ψα</w:t>
        </w:r>
        <w:r w:rsidRPr="008725BE">
          <w:rPr>
            <w:rStyle w:val="innerfusslink3"/>
            <w:rFonts w:ascii="Garamond" w:hAnsi="Garamond" w:cs="Arial"/>
            <w:b/>
            <w:bCs/>
            <w:lang w:val="en-GB"/>
          </w:rPr>
          <w:t xml:space="preserve"> Grundregel mit dem Patienten schließt, kann man sich regelmäßig überzeugen, wenn sich zum erstenmal etwas Intimes über dritte Personen zur Mitteilung einstellt. Der Patient weiß, daß er alles sagen soll, aber er macht aus der Diskretion gegen andere eine neue Abhaltung. »Soll ich wirklich alles sagen? Ich habe geglaubt, das gilt nur für Dinge, die mich selbst betreffen.« Es ist natürlich unmöglich, eine analytische Behandlung durchzuführen, bei der die Beziehungen des Patienten zu anderen Personen und seine Gedanken über sie von der Mitteilung ausgenommen sind. </w:t>
        </w:r>
        <w:r w:rsidRPr="008725BE">
          <w:rPr>
            <w:rStyle w:val="innerfusslink3"/>
            <w:rFonts w:ascii="Garamond" w:hAnsi="Garamond" w:cs="Arial"/>
            <w:b/>
            <w:bCs/>
            <w:i/>
            <w:iCs/>
          </w:rPr>
          <w:t>Pour faire une omelette il faut casser des œufs</w:t>
        </w:r>
        <w:r w:rsidRPr="008725BE">
          <w:rPr>
            <w:rStyle w:val="innerfusslink3"/>
            <w:rFonts w:ascii="Garamond" w:hAnsi="Garamond" w:cs="Arial"/>
            <w:b/>
            <w:bCs/>
          </w:rPr>
          <w:t xml:space="preserve"> (Wer ein Omelette machen will, muß Eier zerschlagen). Ein anständiger Mensch vergißt bereitwillig, was ihm von solchen Geheimnissen fremder Leute nicht wissenswert erscheint. Auch auf die Mitteilung von Namen kann man nicht verzichten; die Erzählungen des Patienten bekommen sonst etwas Schattenhaftes wie die Szenen der </w:t>
        </w:r>
        <w:r w:rsidRPr="008725BE">
          <w:rPr>
            <w:rStyle w:val="innerfusslink3"/>
            <w:rFonts w:ascii="Garamond" w:hAnsi="Garamond" w:cs="Arial"/>
            <w:b/>
            <w:bCs/>
            <w:i/>
            <w:iCs/>
          </w:rPr>
          <w:t>Natürlichen Tochter</w:t>
        </w:r>
        <w:r w:rsidRPr="008725BE">
          <w:rPr>
            <w:rStyle w:val="innerfusslink3"/>
            <w:rFonts w:ascii="Garamond" w:hAnsi="Garamond" w:cs="Arial"/>
            <w:b/>
            <w:bCs/>
          </w:rPr>
          <w:t xml:space="preserve"> Goethes, was im Gedächtnis des Arztes nicht haften will; auch decken die zurückgehaltenen Namen den Zugang zu allerlei wichtigen Beziehungen. </w:t>
        </w:r>
        <w:r w:rsidRPr="008725BE">
          <w:rPr>
            <w:rStyle w:val="innerfusslink3"/>
            <w:rFonts w:ascii="Garamond" w:hAnsi="Garamond" w:cs="Arial"/>
            <w:b/>
            <w:bCs/>
            <w:lang w:val="en-GB"/>
          </w:rPr>
          <w:t xml:space="preserve">Man kann Namen etwa reservieren lassen, bis der Analysierte mit dem Arzt und dem Verfahren vertrauter geworden ist. Es ist sehr merkwürdig, daß die ganze Aufgabe unlösbar wird, sowie man die Reserve an einer einzigen Stelle gestattet hat. Aber man bedenke, wenn bei uns ein Asylrecht, zum Beispiel für einen einzigen Platz in der Stadt, bestände, wie lange es brauchen würde, bis alles Gesindel der Stadt auf diesem einen Platze zusammenträfe. Ich behandelte einmal einen hohen Funktionär, der durch seinen Diensteid genötigt war, gewisse Dinge als Staatsgeheimnisse vor </w:t>
        </w:r>
        <w:r w:rsidRPr="008725BE">
          <w:rPr>
            <w:rStyle w:val="innerfusslink3"/>
            <w:rFonts w:ascii="Garamond" w:hAnsi="Garamond" w:cs="Arial"/>
            <w:b/>
            <w:bCs/>
            <w:lang w:val="en-GB"/>
          </w:rPr>
          <w:lastRenderedPageBreak/>
          <w:t>der Mitteilung zu bewahren, und scheiterte bei ihm an dieser Einschränkung. Die psychoanalytische Behandlung muß sich über alle Rücksichten hinaussetzen, weil die Neurose und ihre Widerstände rücksichtslos sind.</w:t>
        </w:r>
      </w:hyperlink>
      <w:r w:rsidRPr="008725BE">
        <w:rPr>
          <w:rFonts w:ascii="Garamond" w:hAnsi="Garamond"/>
          <w:lang w:val="en-GB"/>
        </w:rPr>
        <w:t xml:space="preserve"> Sie nie über etwas hinweg, weil Ihnen dessen Mitteilung aus irgendeinem Grunde unangenehm ist.«</w:t>
      </w:r>
    </w:p>
    <w:p w:rsidR="008725BE" w:rsidRPr="008725BE" w:rsidRDefault="008725BE" w:rsidP="008725BE">
      <w:pPr>
        <w:pStyle w:val="Sansinterligne"/>
        <w:rPr>
          <w:rFonts w:ascii="Garamond" w:hAnsi="Garamond"/>
          <w:lang w:val="en-GB"/>
        </w:rPr>
      </w:pPr>
      <w:r w:rsidRPr="008725BE">
        <w:rPr>
          <w:rFonts w:ascii="Garamond" w:hAnsi="Garamond"/>
          <w:lang w:val="en-GB"/>
        </w:rPr>
        <w:t>Patienten, die ihr Kranksein von einem bestimmten Momente an rechnen, stellen sich gewöhnlich auf die Krankheitsveranlassung ein; andere, die den Zusammenhang ihrer Neurose mit ihrer Kindheit selbst nicht verkennen, beginnen oft mit der Darstellung ihrer ganzen Lebensgeschichte. Eine systematische Erzählung erwarte man auf keinen Fall und tue nichts dazu, sie zu fördern. Jedes Stückchen der Geschichte wird später von neuem erzählt werden müssen, und erst bei diesen Wiederholungen werden die Zusätze erscheinen, welche die wichtigen, dem Kranken unbekannten Zusammenhänge vermitteln.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gibt Patienten, die sich von den ersten Stunden an sorgfältig auf ihre Erzählung vorbereiten, angeblich um so die bessere Ausnützung der Behandlungszeit zu sichern. Was sich so als Eifer drapiert, ist Widerstand. Man widerrate solche Vorbereitung, die nur zum Schutze gegen das Auftauchen unerwünschter Einfälle geübt wird </w:t>
      </w:r>
      <w:hyperlink r:id="rId95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Ausnahmen lasse man nur zu für Daten wie: Familientafel, Aufenthalte, Operationen u. dgl.</w:t>
        </w:r>
      </w:hyperlink>
      <w:r w:rsidRPr="008725BE">
        <w:rPr>
          <w:rFonts w:ascii="Garamond" w:hAnsi="Garamond"/>
          <w:lang w:val="en-GB"/>
        </w:rPr>
        <w:t>. Mag der Kranke noch so aufrichtig an seine löbliche Absicht glauben, der Widerstand wird seinen Anteil an der absichtlichen Vorbereitungsart fordern und es durchsetzen, daß das wertvollste Material der Mitteilung entschlüpft. Man wird bald merken, daß der Patient noch andere Methoden erfindet, um der Behandlung das Verlangte zu entziehen. Er wird sich etwa täglich mit einem intimen Freunde über die Kur besprechen und in dieser Unterhaltung alle die Gedanken unterbringen, die sich ihm im Beisein des Arztes aufdrängen sollten. Die Kur hat dann ein Leck, durch das gerade das Beste verrinnt. Es wird dann bald an der Zeit sein, dem Patienten anzuraten, daß er seine analytische Kur als eine Angelegenheit zwischen seinem Arzte und ihm selbst behandle und alle anderen Personen, mögen sie noch so nahestehend oder noch so neugierig sein, von der Mitwisserschaft ausschließe. In späteren Stadien der Behandlung ist der Patient in der Regel solchen Versuchungen nicht unterworfen.</w:t>
      </w:r>
    </w:p>
    <w:p w:rsidR="008725BE" w:rsidRPr="008725BE" w:rsidRDefault="008725BE" w:rsidP="008725BE">
      <w:pPr>
        <w:pStyle w:val="Sansinterligne"/>
        <w:rPr>
          <w:rFonts w:ascii="Garamond" w:hAnsi="Garamond"/>
          <w:lang w:val="en-GB"/>
        </w:rPr>
      </w:pPr>
      <w:r w:rsidRPr="008725BE">
        <w:rPr>
          <w:rFonts w:ascii="Garamond" w:hAnsi="Garamond"/>
          <w:lang w:val="en-GB"/>
        </w:rPr>
        <w:t>Kranken, die ihre Behandlung geheimhalten wollen, oft darum, weil sie auch ihre Neurose geheimgehalten haben, lege ich keine Schwierigkeiten in den Weg. Es kommt natürlich nicht in Betracht, wenn infolge dieser Reservation einige der schönsten Heilerfolge ihre Wirkung auf die Mitwelt verfehlen. Die Entscheidung der Patienten für das Geheimnis bringt selbstverständlich bereits einen Zug ihrer Geheimgeschichte ans Licht.</w:t>
      </w:r>
    </w:p>
    <w:p w:rsidR="008725BE" w:rsidRPr="008725BE" w:rsidRDefault="008725BE" w:rsidP="008725BE">
      <w:pPr>
        <w:pStyle w:val="Sansinterligne"/>
        <w:rPr>
          <w:rFonts w:ascii="Garamond" w:hAnsi="Garamond"/>
          <w:lang w:val="en-GB"/>
        </w:rPr>
      </w:pPr>
      <w:r w:rsidRPr="008725BE">
        <w:rPr>
          <w:rFonts w:ascii="Garamond" w:hAnsi="Garamond"/>
          <w:lang w:val="en-GB"/>
        </w:rPr>
        <w:t>Wenn man den Kranken einschärft, zu Beginn ihrer Behandlung möglichst wenig Personen zu Mitwissern zu machen, so schützt man sie dadurch auch einigermaßen vor den vielen feindseligen Einflüssen, die es versuchen werden, sie der Analyse abspenstig zu machen. Solche Beeinflussungen können zu Anfang der Kur verderblich werden. Späterhin sind sie meist gleichgültig oder selbst nützlich, um Widerstände, die sich verbergen wollen, zum Vorscheine zu bringen.</w:t>
      </w:r>
    </w:p>
    <w:p w:rsidR="008725BE" w:rsidRPr="008725BE" w:rsidRDefault="008725BE" w:rsidP="008725BE">
      <w:pPr>
        <w:pStyle w:val="Sansinterligne"/>
        <w:rPr>
          <w:rFonts w:ascii="Garamond" w:hAnsi="Garamond"/>
          <w:lang w:val="en-GB"/>
        </w:rPr>
      </w:pPr>
      <w:r w:rsidRPr="008725BE">
        <w:rPr>
          <w:rFonts w:ascii="Garamond" w:hAnsi="Garamond"/>
          <w:lang w:val="en-GB"/>
        </w:rPr>
        <w:t>Bedarf der Patient während der analytischen Behandlung vorübergehend einer anderen, internen oder spezialistischen Therapie, so ist es weit zweckmäßiger, einen nicht analytischen Kollegen in Anspruch zu nehmen, als diese andere Hilfeleistung selbst zu besorgen. Kombinierte Behandlungen wegen neurotischer Leiden mit starker organischer Anlehnung sind meist undurchführbar. Die Patienten lenken ihr Interesse von der Analyse ab, sowie man ihnen mehr als einen Weg zeigt, der zur Heilung führen soll. Am besten schiebt man die organische Behandlung bis nach Abschluß der psychischen auf; würde man die erstere voranschicken, so bliebe sie in den meisten Fällen erfolglos.</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Kehren wir zur Einleitung der Behandlung zurück. Man wird gelegentlich Patienten begegnen, die ihre Kur mit der ablehnenden Versicherung beginnen, daß ihnen nichts einfalle, was sie erzählen könnten, obwohl das ganze Gebiet der Lebens- und Krankheitsgeschichte unberührt vor ihnen liegt. Auf die Bitte, ihnen doch anzugeben, wovon sie sprechen sollen, gehe man nicht ein, dieses erste Mal sowenig wie spätere Male. Man halte sich vor, womit man es in solchen Fällen zu tun hat. Ein starker Widerstand ist da in die Front gerückt, um die Neurose zu verteidigen; man nehme die Herausforderung sofort an und rücke ihm an den Leib. Die energisch wiederholte Versicherung, daß es solches Ausbleiben aller Einfälle zu Anfang nicht gibt und daß es sich um einen Widerstand gegen die Analyse handle, nötigt den Patienten bald zu den vermuteten Geständnissen oder deckt ein erstes Stück seiner Komplexe auf. Es ist böse, wenn er gestehen muß, daß er sich während des Anhörens der Grundregel die Reservation geschaffen hat, dies oder jenes werde er doch für sich behalten. Minder arg, wenn er nur mitzuteilen braucht, welches Mißtrauen er der Analyse entgegenbringt oder was für abschreckende Dinge er über sie gehört habe. Stellt er diese und ähnliche Möglichkeiten, die man ihm vorhält, in Abrede, so kann man ihn durch Drängen </w:t>
      </w:r>
      <w:r w:rsidRPr="008725BE">
        <w:rPr>
          <w:rFonts w:ascii="Garamond" w:hAnsi="Garamond"/>
          <w:lang w:val="en-GB"/>
        </w:rPr>
        <w:lastRenderedPageBreak/>
        <w:t>zum Eingeständnis nötigen, daß er doch gewisse Gedanken, die ihn beschäftigen, vernachlässigt hat. Er hat an die Kur selbst gedacht, aber an nichts Bestimmtes, oder das Bild des Zimmers, in dem er sich befindet, hat ihn beschäftigt, oder er muß an die Gegenstände im Behandlungsraum denken und daß er hier auf einem Diwan liegt, was er alles durch die Auskunft »Nichts« ersetzt hat. Diese Andeutungen sind wohl verständlich; alles was an die gegenwärtige Situation anknüpft, entspricht einer Übertragung auf den Arzt, die sich zu einem Widerstande geeignet erweist. Man ist so genötigt, mit der Aufdeckung dieser Übertragung zu beginnen; von ihr aus findet sich rasch der Weg zum Eingange in das pathogene Material des Kranken. Frauen, die nach dem Inhalte ihrer Lebensgeschichte auf eine sexuelle Aggression vorbereitet sind, Männer mit überstarker verdrängter Homosexualität werden am ehesten der Analyse eine solche Verweigerung der Einfälle vorausschicken.</w:t>
      </w:r>
    </w:p>
    <w:p w:rsidR="008725BE" w:rsidRPr="008725BE" w:rsidRDefault="008725BE" w:rsidP="008725BE">
      <w:pPr>
        <w:pStyle w:val="Sansinterligne"/>
        <w:rPr>
          <w:rFonts w:ascii="Garamond" w:hAnsi="Garamond"/>
          <w:lang w:val="en-GB"/>
        </w:rPr>
      </w:pPr>
      <w:r w:rsidRPr="008725BE">
        <w:rPr>
          <w:rFonts w:ascii="Garamond" w:hAnsi="Garamond"/>
          <w:lang w:val="en-GB"/>
        </w:rPr>
        <w:t>Wie der erste Widerstand, so können auch die ersten Symptome oder Zufallshandlungen der Patienten ein besonderes Interesse beanspruchen und einen ihre Neurose beherrschenden Komplex verraten. Ein geistreicher junger Philosoph, mit exquisiten ästhetischen Einstellungen, beeilt sich, den Hosenstreif zurechtzuzupfen, ehe er sich zur ersten Behandlung niederlegt; er erweist sich als dereinstiger Koprophile von höchstem Raffinement, wie es für den späteren Ästheten zu erwarten stand. Ein junges Mädchen zieht in der gleichen Situation hastig den Saum ihres Rockes über den vorschauenden Knöchel; sie hat damit das Beste verraten, was die spätere Analyse aufdecken wird, ihren narzißtischen Stolz auf ihre Körperschönheit und ihre Exhibitionsneigungen.</w:t>
      </w:r>
    </w:p>
    <w:p w:rsidR="008725BE" w:rsidRPr="008725BE" w:rsidRDefault="008725BE" w:rsidP="008725BE">
      <w:pPr>
        <w:pStyle w:val="Sansinterligne"/>
        <w:rPr>
          <w:rFonts w:ascii="Garamond" w:hAnsi="Garamond"/>
          <w:lang w:val="en-GB"/>
        </w:rPr>
      </w:pPr>
      <w:r w:rsidRPr="008725BE">
        <w:rPr>
          <w:rFonts w:ascii="Garamond" w:hAnsi="Garamond"/>
          <w:lang w:val="en-GB"/>
        </w:rPr>
        <w:t>Besonders viele Patienten sträuben sich gegen die ihnen vorgeschlagene Lagerung, während der Arzt ungesehen hinter ihnen sitzt, und bitten um die Erlaubnis, die Behandlung in anderer Position durchzumachen, zumeist, weil sie den Anblick des Arztes nicht entbehren wollen. Es wird ihnen regelmäßig verweigert; man kann sie aber nicht daran hindern, daß sie sich's einrichten, einige Sätze vor Beginn der »Sitzung« zu sprechen oder nach der angekündigten Beendigung derselben, wenn sie sich vom Lager erhoben haben. Sie teilen sich so die Behandlung in einen offiziellen Abschnitt, während dessen sie sich meist sehr gehemmt benehmen, und in einen »gemütlichen«, in dem sie wirklich frei sprechen und allerlei mitteilen, was sie selbst nicht zur Behandlung rechnen. Der Arzt läßt sich diese Scheidung nicht lange gefallen, er merkt auf das vor oder nach der Sitzung Gesprochene, und indem er es bei nächster Gelegenheit verwertet, reißt er die Scheidewand nieder, die der Patient aufrichten wollte. Dieselbe wird wiederum aus dem Material eines Übertragungswiderstandes gezimmert sein.</w:t>
      </w:r>
    </w:p>
    <w:p w:rsidR="008725BE" w:rsidRPr="008725BE" w:rsidRDefault="008725BE" w:rsidP="008725BE">
      <w:pPr>
        <w:pStyle w:val="Sansinterligne"/>
        <w:rPr>
          <w:rFonts w:ascii="Garamond" w:hAnsi="Garamond"/>
          <w:lang w:val="en-GB"/>
        </w:rPr>
      </w:pPr>
      <w:r w:rsidRPr="008725BE">
        <w:rPr>
          <w:rFonts w:ascii="Garamond" w:hAnsi="Garamond"/>
          <w:i/>
          <w:iCs/>
          <w:lang w:val="en-GB"/>
        </w:rPr>
        <w:t>Solange nun die Mitteilungen und Einfälle des Patienten ohne Stockung erfolgen, lasse man das Thema der Übertragung unberührt.</w:t>
      </w:r>
      <w:r w:rsidRPr="008725BE">
        <w:rPr>
          <w:rFonts w:ascii="Garamond" w:hAnsi="Garamond"/>
          <w:lang w:val="en-GB"/>
        </w:rPr>
        <w:t xml:space="preserve"> Man warte mit dieser heikelsten aller Prozeduren, bis die Übertragung zum Widerstande geworden ist.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rPr>
        <w:t xml:space="preserve">Die nächste Frage, vor die wir uns gestellt finden, ist eine prinzipielle. </w:t>
      </w:r>
      <w:r w:rsidRPr="008725BE">
        <w:rPr>
          <w:rFonts w:ascii="Garamond" w:hAnsi="Garamond"/>
          <w:lang w:val="en-GB"/>
        </w:rPr>
        <w:t>Sie lautet: Wann sollen wir mit den Mitteilungen an den Analysierten beginnen? Wann ist es Zeit, ihm die geheime Bedeutung seiner Einfälle zu enthüllen, ihn in die Voraussetzungen und technischen Prozeduren der Analyse einzuweihen?</w:t>
      </w:r>
    </w:p>
    <w:p w:rsidR="008725BE" w:rsidRPr="008725BE" w:rsidRDefault="008725BE" w:rsidP="008725BE">
      <w:pPr>
        <w:pStyle w:val="Sansinterligne"/>
        <w:rPr>
          <w:rFonts w:ascii="Garamond" w:hAnsi="Garamond"/>
          <w:lang w:val="en-GB"/>
        </w:rPr>
      </w:pPr>
      <w:r w:rsidRPr="008725BE">
        <w:rPr>
          <w:rFonts w:ascii="Garamond" w:hAnsi="Garamond"/>
          <w:lang w:val="en-GB"/>
        </w:rPr>
        <w:t>Die Antwort hierauf kann nur lauten: Nicht eher, als bis sich eine leistungsfähige Übertragung, ein ordentlicher Rapport, bei dem Patienten hergestellt hat. Das erste Ziel der Behandlung bleibt, ihn an die Kur und an die Person des Arztes zu attachieren. Man braucht nichts anderes dazu zu tun, als ihm Zeit zu lassen. Wenn man ihm ernstes Interesse bezeugt, die anfangs auftauchenden Widerstände sorgfältig beseitigt und gewisse Mißgriffe vermeidet, stellt der Patient ein solches Attachement von selbst her und reiht den Arzt an eine der Imagines jener Personen an, von denen er Liebes zu empfangen gewohnt war. Man kann sich diesen ersten Erfolg allerdings verscherzen, wenn man von Anfang an einen anderen Standpunkt einnimmt als den der Einfühlung, etwa einen moralisierenden, oder wenn man sich als Vertreter oder Mandatar einer Partei gebärdet, des anderen Eheteiles etwa usw.</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 Antwort schließt natürlich die Verurteilung eines Verfahrens ein, welches dem Patienten die Übersetzungen seiner Symptome mitteilen wollte, sobald man sie selbst erraten hat, oder gar einen besonderen Triumph darin erblicken würde, ihm diese »Lösungen« in der ersten Zusammenkunft ins Gesicht zu schleudern. Es wird einem geübteren Analytiker nicht schwer, die verhaltenen Wünsche eines Kranken schon aus seinen Klagen und seinem Krankenberichte deutlich vernehmbar herauszuhören; aber welches Maß von Selbstgefälligkeit und von Unbesonnenheit gehört dazu, um einem Fremden, mit allen analytischen Voraussetzungen Unvertrauten nach der kürzesten Bekanntschaft zu eröffnen, er hänge inzestuös an seiner Mutter, er hege Todeswünsche gegen seine angeblich geliebte Frau, er trage sich mit der Absicht, seinen Chef zu betrügen u. dgl.! Ich habe gehört, daß es Analytiker gibt, die sich mit solchen Augenblicksdiagnosen und Schnellbehandlungen brüsten, aber ich warne jedermann davor, solchen Beispielen zu folgen. Man wird dadurch sich und seine Sache um jeden Kredit bringen und die heftigsten </w:t>
      </w:r>
      <w:r w:rsidRPr="008725BE">
        <w:rPr>
          <w:rFonts w:ascii="Garamond" w:hAnsi="Garamond"/>
          <w:lang w:val="en-GB"/>
        </w:rPr>
        <w:lastRenderedPageBreak/>
        <w:t>Widersprüche hervorrufen, ob man nun richtig geraten hat oder nicht, ja, eigentlich um so heftigeren Widerstand, je eher man richtig geraten hat. Der therapeutische Effekt wird in der Regel zunächst gleich Null sein, die Abschreckung von der Analyse aber eine endgültige. Noch in späteren Stadien der Behandlung wird man Vorsicht üben müssen, um eine Symptomlösung und Wunschübersetzung nicht eher mitzuteilen, als bis der Patient knapp davorsteht, so daß er nur noch einen kurzen Schritt zu machen hat, um sich dieser Lösung selbst zu bemächtigen. In früheren Jahren hatte ich häufig Gelegenheit zu erfahren, daß die vorzeitige Mitteilung einer Lösung der Kur ein vorzeitiges Ende bereitete, sowohl infolge der Widerstände, die so plötzlich geweckt wurden, als auch auf Grund der Erleichterung, die mit der Lösung gegeben war.</w:t>
      </w:r>
    </w:p>
    <w:p w:rsidR="008725BE" w:rsidRPr="008725BE" w:rsidRDefault="008725BE" w:rsidP="008725BE">
      <w:pPr>
        <w:pStyle w:val="Sansinterligne"/>
        <w:rPr>
          <w:rFonts w:ascii="Garamond" w:hAnsi="Garamond"/>
          <w:lang w:val="en-GB"/>
        </w:rPr>
      </w:pPr>
      <w:r w:rsidRPr="008725BE">
        <w:rPr>
          <w:rFonts w:ascii="Garamond" w:hAnsi="Garamond"/>
          <w:lang w:val="en-GB"/>
        </w:rPr>
        <w:t>Man wird hier die Einwendung machen: Ist es denn unsere Aufgabe, die Behandlung zu verlängern, und nicht vielmehr, sie so rasch wie möglich zu Ende zu führen? Leidet der Kranke nicht infolge seines Nichtwissens und Nichtverstehens und ist es nicht Pflicht, ihn so bald als möglich wissend zu machen, also sobald der Arzt selbst wissend geworden ist?</w:t>
      </w:r>
    </w:p>
    <w:p w:rsidR="008725BE" w:rsidRPr="008725BE" w:rsidRDefault="008725BE" w:rsidP="008725BE">
      <w:pPr>
        <w:pStyle w:val="Sansinterligne"/>
        <w:rPr>
          <w:rFonts w:ascii="Garamond" w:hAnsi="Garamond"/>
          <w:lang w:val="en-GB"/>
        </w:rPr>
      </w:pPr>
      <w:r w:rsidRPr="008725BE">
        <w:rPr>
          <w:rFonts w:ascii="Garamond" w:hAnsi="Garamond"/>
          <w:lang w:val="en-GB"/>
        </w:rPr>
        <w:t>Die Beantwortung dieser Frage fordert zu einem kleinen Exkurs auf über die Bedeutung des Wissens und über den Mechanismus der Heilung in der Psychoanalyse.</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In den frühesten Zeiten der analytischen Technik haben wir allerdings in intellektualistischer Denkeinstellung das Wissen des Kranken um das von ihm Vergessene hoch eingeschätzt und dabei kaum zwischen unserem Wissen und dem seinigen unterschieden. Wir hielten es für einen besonderen Glücksfall, wenn es gelang, Kunde von dem vergessenen Kindheitstrauma von anderer Seite her zu bekommen, zum Beispiel von Eltern, Pflegepersonen oder dem Verführer selbst, wie es in einzelnen Fällen möglich wurde, und beeilten uns, dem Kranken die Nachricht und die Beweise für ihre Richtigkeit zur Kenntnis zu bringen in der sicheren Erwartung, so Neurose und Behandlung zu einem schnellen Ende zu führen. Es war eine schwere Enttäuschung, als der erwartete Erfolg ausblieb. Wie konnte es nur zugehen, daß der Kranke, der jetzt von seinem traumatischen Erlebnis wußte, sich doch benahm, als wisse er nicht mehr davon als früher? Nicht einmal die Erinnerung an das verdrängte Trauma wollte infolge der Mitteilung und Beschreibung desselben auftauchen.</w:t>
      </w:r>
    </w:p>
    <w:p w:rsidR="008725BE" w:rsidRPr="008725BE" w:rsidRDefault="008725BE" w:rsidP="008725BE">
      <w:pPr>
        <w:pStyle w:val="Sansinterligne"/>
        <w:rPr>
          <w:rFonts w:ascii="Garamond" w:hAnsi="Garamond"/>
          <w:lang w:val="en-GB"/>
        </w:rPr>
      </w:pPr>
      <w:r w:rsidRPr="008725BE">
        <w:rPr>
          <w:rFonts w:ascii="Garamond" w:hAnsi="Garamond"/>
          <w:lang w:val="en-GB"/>
        </w:rPr>
        <w:t>In einem bestimmten Falle hatte mir die Mutter eines hysterischen Mädchens das homosexuelle Erlebnis verraten, dem auf die Fixierung der Anfälle des Mädchens ein großer Einfluß zukam. Die Mutter hatte die Szene selbst überrascht, die Kranke aber dieselbe völlig vergessen, obwohl sie bereits den Jahren der Vorpubertät angehörte. Ich konnte nun eine lehrreiche Erfahrung machen. Jedesmal, wenn ich die Erzählung der Mutter vor dem Mädchen wiederholte, reagierte dieses mit einem hysterischen Anfalle, und nach diesem war die Mitteilung wieder vergessen. Es war kein Zweifel, daß die Kranke den heftigsten Widerstand gegen ein ihr aufgedrängtes Wissen äußerte; sie simulierte endlich Schwachsinn und vollen Gedächtnisverlust, um sich gegen meine Mitteilungen zu schützen. So mußte man sich denn entschließen, dem Wissen an sich die ihm vorgeschriebene Bedeutung zu entziehen und den Akzent auf die Widerstände zu legen, welche das Nichtwissen seinerzeit verursacht hatten und jetzt noch bereit waren, es zu verteidigen. Das bewußte Wissen aber war gegen diese Widerstände, auch wenn es nicht wieder ausgestoßen wurde, ohnmächtig.</w:t>
      </w:r>
    </w:p>
    <w:p w:rsidR="008725BE" w:rsidRPr="008725BE" w:rsidRDefault="008725BE" w:rsidP="008725BE">
      <w:pPr>
        <w:pStyle w:val="Sansinterligne"/>
        <w:rPr>
          <w:rFonts w:ascii="Garamond" w:hAnsi="Garamond"/>
          <w:lang w:val="en-GB"/>
        </w:rPr>
      </w:pPr>
      <w:r w:rsidRPr="008725BE">
        <w:rPr>
          <w:rFonts w:ascii="Garamond" w:hAnsi="Garamond"/>
          <w:lang w:val="en-GB"/>
        </w:rPr>
        <w:t>Das befremdende Verhalten der Kranken, die ein bewußtes Wissen mit dem Nichtwissen zu vereinigen verstehen, bleibt für die sogenannte Normalpsychologie unerklärlich. Der Psychoanalyse bereitet es auf Grund ihrer Anerkennung des Unbewußten keine Schwierigkeit; das beschriebene Phänomen gehört aber zu den besten Stützen einer Auffassung, welche sich die seelischen Vorgänge topisch differenziert näherbringt. Die Kranken wissen nun von dem verdrängten Erlebnis in ihrem Denken, aber diesem fehlt die Verbindung mit jener Stelle, an welcher die verdrängte Erinnerung in irgendeiner Art enthalten ist. Eine Veränderung kann erst eintreten, wenn der bewußte Denkprozeß bis zu dieser Stelle vorgedrungen ist und dort die Verdrängungswiderstände überwunden hat. Es ist geradeso, als ob im Justizministerium ein Erlaß verlautbart worden wäre, daß man jugendliche Vergehen in einer gewissen milden Weise richten solle. Solange dieser Erlaß nicht zur Kenntnis der einzelnen Bezirksgerichte gelangt ist, oder für den Fall, daß die Bezirksrichter nicht die Absicht haben, diesen Erlaß zu befolgen, vielmehr auf eigene Hand judizieren, kann an der Behandlung der einzelnen jugendlichen Delinquenten nichts geändert sein. Fügen wir noch zur Korrektur hinzu, daß die bewußte Mitteilung des Verdrängten an den Kranken doch nicht wirkungslos bleibt. Sie wird nicht die gewünschte Wirkung äußern, den Symptomen ein Ende zu machen, sondern andere Folgen haben. Sie wird zunächst Widerstände, dann aber, wenn deren Überwindung erfolgt ist, einen Denkprozeß anregen, in dessen Ablauf sich endlich die erwartete Beeinflussung der unbewußten Erinnerung herstellt.</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 </w:t>
      </w:r>
    </w:p>
    <w:p w:rsidR="008725BE" w:rsidRPr="008725BE" w:rsidRDefault="008725BE" w:rsidP="008725BE">
      <w:pPr>
        <w:pStyle w:val="Sansinterligne"/>
        <w:rPr>
          <w:rFonts w:ascii="Garamond" w:hAnsi="Garamond"/>
          <w:lang w:val="en-GB"/>
        </w:rPr>
      </w:pPr>
      <w:r w:rsidRPr="008725BE">
        <w:rPr>
          <w:rFonts w:ascii="Garamond" w:hAnsi="Garamond"/>
          <w:lang w:val="en-GB"/>
        </w:rPr>
        <w:t>Es ist jetzt an der Zeit, eine Übersicht des Kräftespieles zu gewinnen, welches wir durch die Behandlung in Gang bringen. Der nächste Motor der Therapie ist das Leiden des Patienten und sein daraus entspringender Heilungswunsch. Von der Größe dieser Triebkraft zieht sich mancherlei ab, was erst im Laufe der Analyse aufgedeckt wird, vor allem der sekundäre Krankheitsgewinn, aber die Triebkraft selbst muß bis zum Ende der Behandlung erhalten bleiben; jede Besserung ruft eine Verringerung derselben hervor. Für sich allein ist sie aber unfähig, die Krankheit zu beseitigen; es fehlt ihr zweierlei dazu: Sie kennt die Wege nicht, die zu diesem Ende einzuschlagen sind, und sie bringt die notwendigen Energiebeträge gegen die Widerstände nicht auf. Beiden Mängeln hilft die analytische Behandlung ab. Die zur Überwindung der Widerstände erforderten Affektgrößen stellt sie durch die Mobilmachung der Energien bei, welche für die Übertragung bereitliegen; durch die rechtzeitigen Mitteilungen zeigt sie dem Kranken die Wege, auf welche er diese Energien leiten soll. Die Übertragung kann häufig genug die Leidenssymptome allein beseitigen, aber dann nur vorübergehend, solange sie eben selbst Bestand hat. Das ist dann eine Suggestivbehandlung, keine Psychoanalyse. Den letzteren Namen verdient die Behandlung nur dann, wenn die Übertragung ihre Intensität zur Überwindung der Widerstände verwendet hat. Dann allein ist das Kranksein unmöglich geworden, auch wenn die Übertragung wieder aufgelöst worden ist, wie ihre Bestimmung es verlangt.</w:t>
      </w:r>
    </w:p>
    <w:p w:rsidR="008725BE" w:rsidRPr="008725BE" w:rsidRDefault="008725BE" w:rsidP="008725BE">
      <w:pPr>
        <w:pStyle w:val="Sansinterligne"/>
        <w:rPr>
          <w:rFonts w:ascii="Garamond" w:hAnsi="Garamond"/>
          <w:lang w:val="en-GB"/>
        </w:rPr>
      </w:pPr>
      <w:r w:rsidRPr="008725BE">
        <w:rPr>
          <w:rFonts w:ascii="Garamond" w:hAnsi="Garamond"/>
          <w:lang w:val="en-GB"/>
        </w:rPr>
        <w:t>Im Laufe der Behandlung wird noch ein anderes förderndes Moment wachgerufen, das intellektuelle Interesse und Verständnis des Kranken. Allein dies kommt gegen die anderen miteinander ringenden Kräfte kaum in Betracht; es droht ihm beständig die Entwertung infolge der Urteilstrübung, welche von den Widerständen ausgeht. Somit erübrigen Übertragung und Unterweisung (durch Mitteilung) als die neuen Kraftquellen, welche der Kranke dem Analytiker verdankt. Der Unterweisung bedient er sich aber nur, insofern er durch die Übertragung dazu bewogen wird, und darum soll die erste Mitteilung abwarten, bis sich eine starke Übertragung hergestellt hat, und fügen wir hinzu, jede spätere, bis die Störung der Übertragung durch die der Reihe nach auftauchenden Übertragungswiderstände beseitigt ist.</w:t>
      </w:r>
    </w:p>
    <w:p w:rsidR="008725BE" w:rsidRPr="008725BE" w:rsidRDefault="008725BE" w:rsidP="008725BE">
      <w:pPr>
        <w:pStyle w:val="Sansinterligne"/>
        <w:rPr>
          <w:rFonts w:ascii="Garamond" w:hAnsi="Garamond"/>
          <w:lang w:val="en-GB"/>
        </w:rPr>
      </w:pP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Zu</w:t>
        </w:r>
        <w:bookmarkStart w:id="209" w:name="KS74"/>
        <w:bookmarkEnd w:id="209"/>
        <w:r w:rsidRPr="008725BE">
          <w:rPr>
            <w:rStyle w:val="Lienhypertexte"/>
            <w:rFonts w:ascii="Garamond" w:hAnsi="Garamond"/>
            <w:b/>
            <w:lang w:val="en-GB"/>
          </w:rPr>
          <w:t>r Gewinnung des Feuers</w:t>
        </w:r>
      </w:hyperlink>
      <w:r w:rsidRPr="008725BE">
        <w:rPr>
          <w:rFonts w:ascii="Garamond" w:hAnsi="Garamond"/>
          <w:lang w:val="en-GB"/>
        </w:rPr>
        <w:t xml:space="preserve">  </w:t>
      </w:r>
      <w:r w:rsidRPr="008725BE">
        <w:rPr>
          <w:rFonts w:ascii="Garamond" w:hAnsi="Garamond"/>
          <w:caps/>
          <w:lang w:val="en-GB"/>
        </w:rPr>
        <w:t>(1932)</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rPr>
      </w:pPr>
      <w:r w:rsidRPr="008725BE">
        <w:rPr>
          <w:rFonts w:ascii="Garamond" w:hAnsi="Garamond"/>
          <w:lang w:val="en-GB"/>
        </w:rPr>
        <w:t xml:space="preserve">In einer Anmerkung meiner Schrift </w:t>
      </w:r>
      <w:r w:rsidRPr="008725BE">
        <w:rPr>
          <w:rFonts w:ascii="Garamond" w:hAnsi="Garamond"/>
          <w:i/>
          <w:iCs/>
          <w:lang w:val="en-GB"/>
        </w:rPr>
        <w:t>Das Unbehagen in der Kultur</w:t>
      </w:r>
      <w:r w:rsidRPr="008725BE">
        <w:rPr>
          <w:rFonts w:ascii="Garamond" w:hAnsi="Garamond"/>
          <w:lang w:val="en-GB"/>
        </w:rPr>
        <w:t xml:space="preserve"> habe ich – eher beiläufig – erwähnt, welche Vermutung über die Gewinnung des Feuers durch den Urmenschen man sich auf Grund des psychoanalytischen Materials bilden könnte. Der Widerspruch von Albrecht Schaeffer (1930) und der überraschende Hinweis in vorstehender Mitteilung von Erlenmeyer </w:t>
      </w:r>
      <w:hyperlink r:id="rId95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E. H. Erlenmeyer (1932). [Erlenmeyers Aufsatz stand in der Nummer der </w:t>
        </w:r>
        <w:r w:rsidRPr="008725BE">
          <w:rPr>
            <w:rStyle w:val="innerfusslink3"/>
            <w:rFonts w:ascii="Garamond" w:hAnsi="Garamond" w:cs="Arial"/>
            <w:b/>
            <w:bCs/>
            <w:i/>
            <w:iCs/>
            <w:lang w:val="en-GB"/>
          </w:rPr>
          <w:t>Imago</w:t>
        </w:r>
        <w:r w:rsidRPr="008725BE">
          <w:rPr>
            <w:rStyle w:val="innerfusslink3"/>
            <w:rFonts w:ascii="Garamond" w:hAnsi="Garamond" w:cs="Arial"/>
            <w:b/>
            <w:bCs/>
            <w:lang w:val="en-GB"/>
          </w:rPr>
          <w:t>, in der Freuds Artikel erstmals abgedruckt war, unmittelbar vor diesem.]</w:t>
        </w:r>
      </w:hyperlink>
      <w:r w:rsidRPr="008725BE">
        <w:rPr>
          <w:rFonts w:ascii="Garamond" w:hAnsi="Garamond"/>
          <w:lang w:val="en-GB"/>
        </w:rPr>
        <w:t xml:space="preserve"> über das mongolische Verbot, auf Asche zu pissen </w:t>
      </w:r>
      <w:hyperlink r:id="rId957"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Wohl auf heiße Asche, aus der man noch Feuer gewinnen kann, nicht auf erloschene.</w:t>
        </w:r>
      </w:hyperlink>
      <w:r w:rsidRPr="008725BE">
        <w:rPr>
          <w:rFonts w:ascii="Garamond" w:hAnsi="Garamond"/>
          <w:lang w:val="en-GB"/>
        </w:rPr>
        <w:t xml:space="preserve">, veranlassen mich, das Thema wiederaufzunehmen </w:t>
      </w:r>
      <w:hyperlink r:id="rId958"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Der Widerspruch von Lorenz in ›Chaos und Ritus‹ (1931) geht von der Voraussetzung aus, daß die Zähmung des Feuers überhaupt erst mit der Entdeckung begonnen habe, man sei imstande, es durch irgendeine Manipulation willkürlich hervorzurufen. – Dagegen verweist mich Dr. J. Hárnik auf eine Äußerung von Dr. Richard Lasch (in Georg Buschans Sammelwerk </w:t>
        </w:r>
        <w:r w:rsidRPr="008725BE">
          <w:rPr>
            <w:rStyle w:val="innerfusslink3"/>
            <w:rFonts w:ascii="Garamond" w:hAnsi="Garamond" w:cs="Arial"/>
            <w:b/>
            <w:bCs/>
            <w:i/>
            <w:iCs/>
            <w:lang w:val="en-GB"/>
          </w:rPr>
          <w:t>Illustrierte Völkerkunde</w:t>
        </w:r>
        <w:r w:rsidRPr="008725BE">
          <w:rPr>
            <w:rStyle w:val="innerfusslink3"/>
            <w:rFonts w:ascii="Garamond" w:hAnsi="Garamond" w:cs="Arial"/>
            <w:b/>
            <w:bCs/>
            <w:lang w:val="en-GB"/>
          </w:rPr>
          <w:t xml:space="preserve">, 1922, Bd. I, 24): »Vermutlich ist die Kunst der </w:t>
        </w:r>
        <w:r w:rsidRPr="008725BE">
          <w:rPr>
            <w:rStyle w:val="innerfusslink3"/>
            <w:rFonts w:ascii="Garamond" w:hAnsi="Garamond" w:cs="Arial"/>
            <w:b/>
            <w:bCs/>
            <w:i/>
            <w:iCs/>
            <w:lang w:val="en-GB"/>
          </w:rPr>
          <w:t>Feuererhaltung</w:t>
        </w:r>
        <w:r w:rsidRPr="008725BE">
          <w:rPr>
            <w:rStyle w:val="innerfusslink3"/>
            <w:rFonts w:ascii="Garamond" w:hAnsi="Garamond" w:cs="Arial"/>
            <w:b/>
            <w:bCs/>
            <w:lang w:val="en-GB"/>
          </w:rPr>
          <w:t xml:space="preserve"> der </w:t>
        </w:r>
        <w:r w:rsidRPr="008725BE">
          <w:rPr>
            <w:rStyle w:val="innerfusslink3"/>
            <w:rFonts w:ascii="Garamond" w:hAnsi="Garamond" w:cs="Arial"/>
            <w:b/>
            <w:bCs/>
            <w:i/>
            <w:iCs/>
            <w:lang w:val="en-GB"/>
          </w:rPr>
          <w:t>Feuererzeugung</w:t>
        </w:r>
        <w:r w:rsidRPr="008725BE">
          <w:rPr>
            <w:rStyle w:val="innerfusslink3"/>
            <w:rFonts w:ascii="Garamond" w:hAnsi="Garamond" w:cs="Arial"/>
            <w:b/>
            <w:bCs/>
            <w:lang w:val="en-GB"/>
          </w:rPr>
          <w:t xml:space="preserve"> lange vorausgegangen; einen entsprechenden Beweis hiefür liefert die Tatsache, daß die heutigen pygmäenartigen Urbewohner der Andamanen wohl das Feuer besitzen und bewahren, eine autochthone Methode der Feuererzeugung aber nicht kennen.«</w:t>
        </w:r>
      </w:hyperlink>
      <w:r w:rsidRPr="008725BE">
        <w:rPr>
          <w:rFonts w:ascii="Garamond" w:hAnsi="Garamond"/>
        </w:rPr>
        <w:t>.</w:t>
      </w:r>
    </w:p>
    <w:p w:rsidR="008725BE" w:rsidRPr="008725BE" w:rsidRDefault="008725BE" w:rsidP="008725BE">
      <w:pPr>
        <w:pStyle w:val="Sansinterligne"/>
        <w:rPr>
          <w:rFonts w:ascii="Garamond" w:hAnsi="Garamond"/>
          <w:lang w:val="en-GB"/>
        </w:rPr>
      </w:pPr>
      <w:r w:rsidRPr="008725BE">
        <w:rPr>
          <w:rFonts w:ascii="Garamond" w:hAnsi="Garamond"/>
        </w:rPr>
        <w:t xml:space="preserve">Ich meine nämlich, daß meine Annahme, die Vorbedingung der Bemächtigung des Feuers sei der Verzicht auf die homosexuellbetonte Lust gewesen, es durch den Harnstrahl zu löschen, lasse sich durch die Deutung der griechischen Prometheussage bestätigen, wenn man die zu erwartenden Entstellungen von der Tatsache bis zum Inhalt des Mythus in Betracht zieht. Diese Entstellungen sind von derselben Art und nicht ärger als jene, die wir alltäglich anerkennen, wenn wir aus den Träumen von Patienten ihre verdrängten, doch so überaus bedeutsamen Kindheitserlebnisse rekonstruieren. </w:t>
      </w:r>
      <w:r w:rsidRPr="008725BE">
        <w:rPr>
          <w:rFonts w:ascii="Garamond" w:hAnsi="Garamond"/>
          <w:lang w:val="en-GB"/>
        </w:rPr>
        <w:t>Die dabei verwendeten Mechanismen sind die Darstellung durch Symbole und die Verwandlung ins Gegenteil. Ich kann es nicht wagen, alle Züge des Mythus in solcher Art zu erklären; außer dem ursprünglichen Sachverhalt mögen andere und spätere Vorgänge zu seinem Inhalt beigetragen haben. Aber die Elemente, die eine analytische Deutung zulassen, sind doch die auffälligsten und wichtigsten, nämlich die Art, wie Prometheus das Feuer transportiert, der Charakter der Tat (Frevel, Diebstahl, Betrug an den Göttern) und der Sinn seiner Bestrafung.</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Der Titane Prometheus, ein noch göttlicher Kulturheros </w:t>
      </w:r>
      <w:hyperlink r:id="rId959"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Herakles ist dann halbgöttlich, Theseus ganz menschlich.</w:t>
        </w:r>
      </w:hyperlink>
      <w:r w:rsidRPr="008725BE">
        <w:rPr>
          <w:rFonts w:ascii="Garamond" w:hAnsi="Garamond"/>
          <w:lang w:val="en-GB"/>
        </w:rPr>
        <w:t>, vielleicht selbst ursprünglich ein Demiurg und Menschenschöpfer, bringt also den Menschen das Feuer, das er den Göttern entwendet hat, versteckt in einem hohlen Stock, Fenchelrohr. Einen solchen Gegenstand würden wir in einer Traumdeutung gern als Penissymbol verstehen wollen, wenngleich die nicht gewöhnliche Betonung der Höhlung uns dabei stört. Aber wie bringen wir dieses Penisrohr mit der Aufbewahrung des Feuers zusammen? Das scheint aussichtslos, bis wir uns an den im Traum so häufigen Vorgang der Verkehrung, Verwandlung ins Gegenteil, Umkehrung der Beziehungen erinnern, der uns so oft den Sinn des Traumes verbirgt. Nicht das Feuer beherbergt der Mensch in seinem Penisrohr, sondern im Gegenteil das Mittel, um das Feuer zu löschen, das Wasser seines Harnstrahls. An diese Beziehung zwischen Feuer und Wasser knüpft dann reiches, wohlbekanntes analytisches Material an.</w:t>
      </w:r>
    </w:p>
    <w:p w:rsidR="008725BE" w:rsidRPr="008725BE" w:rsidRDefault="008725BE" w:rsidP="008725BE">
      <w:pPr>
        <w:pStyle w:val="Sansinterligne"/>
        <w:rPr>
          <w:rFonts w:ascii="Garamond" w:hAnsi="Garamond"/>
          <w:lang w:val="en-GB"/>
        </w:rPr>
      </w:pPr>
      <w:r w:rsidRPr="008725BE">
        <w:rPr>
          <w:rFonts w:ascii="Garamond" w:hAnsi="Garamond"/>
          <w:lang w:val="en-GB"/>
        </w:rPr>
        <w:t>Zweitens, der Erwerb des Feuers ist ein Frevel, es wird durch Raub oder Diebstahl gewonnen. Dies ist ein konstanter Zug aller Sagen über die Gewinnung des Feuers, er findet sich bei den verschiedensten und entlegensten Völkern, nicht nur in der griechischen Sage vom Feuerbringer Prometheus. Hier muß also der wesentliche Inhalt der entstellten Menschheitsreminiszenz enthalten sein. Aber warum ist die Feuergewinnung untrennbar mit der Vorstellung eines Frevels verknüpft? Wer ist dabei der Geschädigte, Betrogene? Die Sage bei Hesiod gibt eine direkte Antwort, indem sie in einer anderen Erzählung, die nicht direkt mit dem Feuer zusammenhängt, Prometheus bei der Einrichtung der Opfer Zeus zugunsten der Menschen übervorteilen läßt. Also die Götter sind die Betrogenen! Den Göttern teilt der Mythus bekanntlich die Befriedigung aller Gelüste zu, auf die das Menschenkind verzichten muß, wie wir es vom Inzest her kennen. Wir würden in analytischer Ausdrucksweise sagen, das Triebleben, das Es, sei der durch die Feuerlöschentsagung betrogene Gott, ein menschliches Gelüste ist in der Sage in ein göttliches Vorrecht umgewandelt. Aber die Gottheit hat in der Sage nichts vom Charakter eines Über-Ichs, sie ist noch Repräsentant des übermächtigen Trieblebens.</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Umwandlung ins Gegenteil ist am gründlichsten in einem dritten Zug der Sage, in der Bestrafung des Feuerbringers. Prometheus wird an einen Felsen geschmiedet, ein Geier frißt täglich an seiner Leber. </w:t>
      </w:r>
      <w:r w:rsidRPr="008725BE">
        <w:rPr>
          <w:rFonts w:ascii="Garamond" w:hAnsi="Garamond"/>
          <w:lang w:val="en-GB"/>
        </w:rPr>
        <w:lastRenderedPageBreak/>
        <w:t>Auch in den Feuersagen anderer Völker spielt ein Vogel eine Rolle, er muß etwas mit der Sache zu tun haben, ich enthalte mich zunächst der Deutung. Dagegen fühlen wir uns auf sicherem Boden, wenn es sich um die Erklärung handelt, warum die Leber zum Ort der Bestrafung gewählt ist. Die Leber galt den Alten als der Sitz aller Leidenschaften und Begierden; eine Strafe wie die des Prometheus war also das Richtige für einen triebhaften Verbrecher, der gefrevelt hatte unter dem Antrieb böser Gelüste. Das genaue Gegenteil trifft aber für den Feuerbringer zu; er hatte Triebverzicht geübt und gezeigt, wie wohltätig, aber auch wie unerläßlich ein solcher Triebverzicht in kultureller Absicht ist. Und warum mußte eine solche kulturelle Wohltat überhaupt von der Sage als strafwürdiges Verbrechen behandelt werden? Nun, wenn sie durch alle Entstellungen durchschimmern läßt, daß die Gewinnung des Feuers einen Triebverzicht zur Voraussetzung hatte, so drückt sie doch unverhohlen den Groll aus, den die triebhafte Menschheit gegen den Kulturheros verspüren mußte. Und das stimmt zu unseren Einsichten und Erwartungen. Wir wissen, daß die Aufforderung zum Triebverzicht und die Durchsetzung desselben Feindseligkeit und Aggressionslust hervorruft, die sich erst in einer späteren Phase der psychischen Entwicklung in Schuldgefühl umsetzt. Die Undurchsichtigkeit der Prometheussage wie anderer Feuermythen wird durch den Umstand gesteigert, daß das Feuer dem Primitiven als etwas der verliebten Leidenschaft Analoges – wir würden sagen: als Symbol der Libido – erscheinen mußte. Die Wärme, die das Feuer ausstrahlt, ruft dieselbe Empfindung hervor, die den Zustand sexueller Erregtheit begleitet, und die Flamme mahnt in Form und Bewegungen an den tätigen Phallus. Daß die Flamme dem mythischen Sinn als Phallus erschien, kann nicht zweifelhaft sein, noch die Abkunftsage des römischen Königs Servius Tullius zeugt dafür. Wenn wir selbst von dem zehrenden Feuer der Leidenschaft und von den züngelnden Flammen reden, also die Flamme einer Zunge vergleichen, haben wir uns vom Denken unserer primitiven Ahnen nicht so sehr weit entfernt. In unserer Herleitung der Feuergewinnung war ja auch die Voraussetzung enthalten, daß dem Urmenschen der Versuch, das Feuer durch sein eigenes Wasser zu löschen, ein lustvolles Ringen mit einem anderen Phallus bedeutete.</w:t>
      </w:r>
    </w:p>
    <w:p w:rsidR="008725BE" w:rsidRPr="008725BE" w:rsidRDefault="008725BE" w:rsidP="008725BE">
      <w:pPr>
        <w:pStyle w:val="Sansinterligne"/>
        <w:rPr>
          <w:rFonts w:ascii="Garamond" w:hAnsi="Garamond"/>
          <w:lang w:val="en-GB"/>
        </w:rPr>
      </w:pPr>
      <w:r w:rsidRPr="008725BE">
        <w:rPr>
          <w:rFonts w:ascii="Garamond" w:hAnsi="Garamond"/>
          <w:lang w:val="en-GB"/>
        </w:rPr>
        <w:t>Auf dem Wege dieser symbolischen Angleichung mögen also auch andere, rein phantastische Elemente in den Mythus eingedrungen und in ihm mit den historischen verwebt worden sein. Man kann sich ja kaum der Idee erwehren, daß, wenn die Leber der Sitz der Leidenschaft ist, sie symbolisch dasselbe bedeutet wie das Feuer selbst und daß dann ihre tägliche Aufzehrung und Erneuerung eine zutreffende Schilderung von dem Verhalten der Liebesgelüste ist, die, täglich befriedigt, sich täglich wiederherstellen. Dem Vogel, der sich an der Leber sättigt, fiele dabei die Bedeutung des Penis zu, die ihm auch sonst nicht fremd ist, wie Sagen, Träume, Sprachgebrauch und plastische Darstellungen aus dem Altertum erkennen lassen. Ein kleiner Schritt weiter führt zum Vogel Phönix, der aus jedem seiner Feuertode neu verjüngt hervorgeht und der wahrscheinlich eher und früher den nach seiner Erschlaffung neu belebten Phallus gemeint hat als die im Abendrot untergehende und dann wieder aufgehende Sonne.</w:t>
      </w:r>
    </w:p>
    <w:p w:rsidR="008725BE" w:rsidRPr="008725BE" w:rsidRDefault="008725BE" w:rsidP="008725BE">
      <w:pPr>
        <w:pStyle w:val="Sansinterligne"/>
        <w:rPr>
          <w:rFonts w:ascii="Garamond" w:hAnsi="Garamond"/>
          <w:lang w:val="en-GB"/>
        </w:rPr>
      </w:pPr>
      <w:r w:rsidRPr="008725BE">
        <w:rPr>
          <w:rFonts w:ascii="Garamond" w:hAnsi="Garamond"/>
          <w:lang w:val="en-GB"/>
        </w:rPr>
        <w:t>Man darf die Frage aufwerfen, ob man es der mythenbildenden Tätigkeit zumuten darf, sich – gleichsam spielerisch – in der verkleideten Darstellung allgemein bekannter, wenn auch höchst interessanter seelischer Vorgänge mit körperlicher Äußerung zu versuchen ohne anderes Motiv als bloße Darstellungslust. Darauf kann man gewiß keine sichere Antwort geben, ohne das Wesen des Mythus verstanden zu haben, aber für unsere beiden Fälle ist es leicht, den nämlichen Inhalt und damit eine bestimmte Tendenz zu erkennen. Sie beschreiben die Wiederherstellung der libidinösen Gelüste nach ihrem Erlöschen durch eine Sättigung, also ihre Unzerstörbarkeit, und diese Hervorhebung ist als Trost durchaus an ihrem Platz, wenn der historische Kern des Mythus eine Niederlage des Trieblebens, einen notwendig gewordenen Triebverzicht behandelt. Es ist wie das zweite Stück der begreiflichen Reaktion des in seinem Triebleben gekränkten Urmenschen; nach der Bestrafung des Frevlers die Versicherung, daß er im Grunde doch nichts ausgerichtet hat.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An unerwarteter Stelle begegnen wir der Verkehrung ins Gegenteil in einem anderen Mythus, der anscheinend sehr wenig mit dem Feuermythus zu tun hat. Die lernäische Hydra mit ihren zahllosen züngelnden Schlangenköpfen – unter ihnen ein unsterblicher – ist nach dem Zeugnis ihres Namens ein Wasserdrache. Der Kulturheros Herakles bekämpft sie, indem er ihre Köpfe abhaut, aber die wachsen immer nach, und er wird des Untiers erst Herr, nachdem er den unsterblichen Kopf mit Feuer ausgebrannt hat. Ein Wasserdrache, der durch das Feuer gebändigt wird – das ergibt doch keinen Sinn. Wohl aber, wie in so vielen Träumen, die Umkehrung des manifesten Inhalts. Dann ist die Hydra ein Brand, die züngelnden Schlangenköpfe sind die Flammen des Brandes, und als Beweis ihrer libidinösen Natur zeigen sie wie die Leber des Prometheus wieder das Phänomen des Nachwachsens, der Erneuerung nach der versuchten Zerstörung. Herakles löscht nun diesen Brand durch – Wasser. (Der unsterbliche Kopf ist wohl der Phallus selbst, seine Vernichtung die Kastration.) Herakles ist aber auch der Befreier des </w:t>
      </w:r>
      <w:r w:rsidRPr="008725BE">
        <w:rPr>
          <w:rFonts w:ascii="Garamond" w:hAnsi="Garamond"/>
          <w:lang w:val="en-GB"/>
        </w:rPr>
        <w:lastRenderedPageBreak/>
        <w:t>Prometheus, der den an der Leber fressenden Vogel tötet. Sollte man nicht einen tieferen Zusammenhang zwischen beiden Mythen erraten? Es ist ja so, als ob die Tat des einen Heros durch den anderen gutgemacht würde. Prometheus hatte die Löschung des Feuers verboten – wie das Gesetz des Mongolen –, Herakles sie für den Fall des Unheil drohenden Brandes freigegeben. Der zweite Mythus scheint der Reaktion einer späteren Kulturzeit auf den Anlaß der Feuergewinnung zu entsprechen. Man gewinnt den Eindruck, daß man von hier aus ein ganzes Stück weit in die Geheimnisse des Mythus eindringen könnte, aber freilich wird man nur für eine kurze Strecke vom Gefühl der Sicherheit begleitet.</w:t>
      </w:r>
    </w:p>
    <w:p w:rsidR="008725BE" w:rsidRPr="008725BE" w:rsidRDefault="008725BE" w:rsidP="008725BE">
      <w:pPr>
        <w:pStyle w:val="Sansinterligne"/>
        <w:rPr>
          <w:rFonts w:ascii="Garamond" w:hAnsi="Garamond"/>
          <w:lang w:val="en-GB"/>
        </w:rPr>
      </w:pPr>
      <w:r w:rsidRPr="008725BE">
        <w:rPr>
          <w:rFonts w:ascii="Garamond" w:hAnsi="Garamond"/>
          <w:lang w:val="en-GB"/>
        </w:rPr>
        <w:t>Für den Gegensatz von Feuer und Wasser, der das ganze Gebiet dieser Mythen beherrscht, ist außer dem historischen und dem symbolisch-phantastischen noch ein drittes Moment aufzeigbar, eine physiologische Tatsache, die der Dichter in den Zeilen beschreibt: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»Was dem Menschen dient zum Seichen, </w:t>
      </w:r>
      <w:r w:rsidRPr="008725BE">
        <w:rPr>
          <w:rFonts w:ascii="Garamond" w:hAnsi="Garamond"/>
          <w:lang w:val="en-GB"/>
        </w:rPr>
        <w:br/>
        <w:t>Damit schafft er Seinesgleichen.« (Heine.)</w:t>
      </w:r>
    </w:p>
    <w:p w:rsidR="008725BE" w:rsidRPr="008725BE" w:rsidRDefault="008725BE" w:rsidP="008725BE">
      <w:pPr>
        <w:pStyle w:val="Sansinterligne"/>
        <w:rPr>
          <w:rFonts w:ascii="Garamond" w:hAnsi="Garamond"/>
          <w:lang w:val="en-GB"/>
        </w:rPr>
      </w:pPr>
      <w:r w:rsidRPr="008725BE">
        <w:rPr>
          <w:rFonts w:ascii="Garamond" w:hAnsi="Garamond"/>
          <w:lang w:val="en-GB"/>
        </w:rPr>
        <w:t>Das Glied des Mannes hat zwei Funktionen, deren Beisammensein manchem ein Ärgernis ist. Es besorgt die Entleerung des Harnes, und es führt den Liebesakt aus, der das Sehnen der genitalen Libido stillt. Das Kind glaubt noch, die beiden Funktionen vereinen zu können; nach seiner Theorie kommen die Kinder dadurch zustande, daß der Mann in den Leib des Weibes uriniert. Aber der Erwachsene weiß, daß die beiden Akte in Wirklichkeit unverträglich miteinander sind – so unverträglich wie Feuer und Wasser. Wenn das Glied in jenen Zustand von Erregung gerät, der ihm die Gleichstellung mit dem Vogel eingetragen hat, und während jene Empfindungen verspürt werden, die an die Wärme des Feuers mahnen, ist das Urinieren unmöglich; und umgekehrt, wenn das Glied der Entleerung des Körperwassers dient, scheinen alle seine Beziehungen zur Genitalfunktion erloschen. Der Gegensatz der beiden Funktionen könnte uns veranlassen zu sagen, daß der Mensch sein eigenes Feuer durch sein eigenes Wasser löscht. Und der Urmensch, der darauf angewiesen war, die Außenwelt mit Hilfe seiner eigenen Körperempfindungen und Körperverhältnisse zu begreifen, dürfte die Analogien, die ihm das Verhalten des Feuers zeigte, nicht unbemerkt und ungenützt gelassen haben.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Zu</w:t>
        </w:r>
        <w:bookmarkStart w:id="210" w:name="KS75"/>
        <w:bookmarkEnd w:id="210"/>
        <w:r w:rsidRPr="008725BE">
          <w:rPr>
            <w:rStyle w:val="Lienhypertexte"/>
            <w:rFonts w:ascii="Garamond" w:hAnsi="Garamond"/>
            <w:b/>
            <w:lang w:val="en-GB"/>
          </w:rPr>
          <w:t>r Psychologie des Gymnasiasten</w:t>
        </w:r>
      </w:hyperlink>
      <w:r w:rsidRPr="008725BE">
        <w:rPr>
          <w:rFonts w:ascii="Garamond" w:hAnsi="Garamond"/>
          <w:lang w:val="en-GB"/>
        </w:rPr>
        <w:t xml:space="preserve">  </w:t>
      </w:r>
      <w:r w:rsidRPr="008725BE">
        <w:rPr>
          <w:rFonts w:ascii="Garamond" w:hAnsi="Garamond"/>
          <w:caps/>
          <w:lang w:val="en-GB"/>
        </w:rPr>
        <w:t>(1914)</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Man hat ein sonderbares Gefühl, wenn man in so vorgerückten Jahren noch einmal den Auftrag erhält, einen »deutschen Aufsatz« für das Gymnasium zu schreiben. Man gehorcht aber automatisch wie jener ausgediente Soldat, der auf das Kommando »Habt acht!« die Hände an die Hosennaht anlegen und seine Päckchen zu Boden fallen lassen muß. Es ist merkwürdig, wie bereitwillig man zugesagt hat, als ob sich in dem letzten Halbjahrhundert nichts Besonderes geändert hätte. Man ist doch alt geworden seither, steht knapp vor dem sechzigsten Lebensjahr, und Körpergefühl wie Spiegel zeigen unzweideutig an, wieviel man von seinem Lebenslicht bereits heruntergebrannt hat.</w:t>
      </w:r>
    </w:p>
    <w:p w:rsidR="008725BE" w:rsidRPr="008725BE" w:rsidRDefault="008725BE" w:rsidP="008725BE">
      <w:pPr>
        <w:pStyle w:val="Sansinterligne"/>
        <w:rPr>
          <w:rFonts w:ascii="Garamond" w:hAnsi="Garamond"/>
          <w:lang w:val="en-GB"/>
        </w:rPr>
      </w:pPr>
      <w:r w:rsidRPr="008725BE">
        <w:rPr>
          <w:rFonts w:ascii="Garamond" w:hAnsi="Garamond"/>
          <w:lang w:val="en-GB"/>
        </w:rPr>
        <w:t>Noch vor zehn Jahren etwa konnte man Momente haben, in denen man sich plötzlich wieder ganz jung fühlte. Wenn man, bereits graubärtig und mit allen Lasten einer bürgerlichen Existenz beladen, durch die Straßen der Heimatstadt ging, begegnete man unversehens dem einen oder anderen wohlerhaltenen älteren Herrn, den man fast demütig begrüßte, weil man einen seiner Gymnasiallehrer in ihm erkannt hatte. Dann aber blieb man stehen und sah ihm versonnen nach: Ist er das wirklich oder nur jemand, der ihm so täuschend ähnlich ist? Wie jugendlich sieht er doch aus, und du bist selbst so alt geworden! Wie alt mag er heute wohl sein? Ist es möglich, daß diese Männer, die uns damals die Erwachsenen repräsentierten, um so weniges älter waren als wir?</w:t>
      </w:r>
    </w:p>
    <w:p w:rsidR="008725BE" w:rsidRPr="008725BE" w:rsidRDefault="008725BE" w:rsidP="008725BE">
      <w:pPr>
        <w:pStyle w:val="Sansinterligne"/>
        <w:rPr>
          <w:rFonts w:ascii="Garamond" w:hAnsi="Garamond"/>
          <w:lang w:val="en-GB"/>
        </w:rPr>
      </w:pPr>
      <w:r w:rsidRPr="008725BE">
        <w:rPr>
          <w:rFonts w:ascii="Garamond" w:hAnsi="Garamond"/>
          <w:lang w:val="en-GB"/>
        </w:rPr>
        <w:t>Die Gegenwart war dann wie verdunkelt und die Lebensjahre von zehn bis achtzehn stiegen aus den Winkeln des Gedächtnisses empor mit ihren Ahnungen und Irrungen, ihren schmerzhaften Umbildungen und beseligenden Erfolgen, die ersten Einblicke in eine untergegangene Kulturwelt, die wenigstens mir später ein unübertroffener Trost in den Kämpfen des Lebens werden sollte, die ersten Berührungen mit den Wissenschaften, unter denen man glaubte wählen zu können, welcher man seine – sicherlich unschätzbaren – Dienste weihen würde. Und ich glaubte mich zu erinnern, daß die ganze Zeit von der Ahnung einer Aufgabe durchzogen war, die sich zuerst nur leise andeutete, bis ich sie in dem Maturitätsaufsatze in die lauten Worte kleiden konnte, ich wollte in meinem Leben zu unserem menschlichen Wissen einen Beitrag leisten.</w:t>
      </w:r>
    </w:p>
    <w:p w:rsidR="008725BE" w:rsidRPr="008725BE" w:rsidRDefault="008725BE" w:rsidP="008725BE">
      <w:pPr>
        <w:pStyle w:val="Sansinterligne"/>
        <w:rPr>
          <w:rFonts w:ascii="Garamond" w:hAnsi="Garamond"/>
          <w:lang w:val="en-GB"/>
        </w:rPr>
      </w:pPr>
      <w:r w:rsidRPr="008725BE">
        <w:rPr>
          <w:rFonts w:ascii="Garamond" w:hAnsi="Garamond"/>
          <w:lang w:val="en-GB"/>
        </w:rPr>
        <w:t>Ich bin dann Arzt geworden, aber eigentlich doch eher Psychologe, und konnte eine neue psychologische Disziplin schaffen, die sogenannte »Psychoanalyse«, welche gegenwärtig Ärzte und Forscher in nahen wie in fernen fremdsprachigen Ländern in Atem hält und zu Lob und Tadel aufregt, die des eigenen Vaterlandes natürlich am geringsten.</w:t>
      </w:r>
    </w:p>
    <w:p w:rsidR="008725BE" w:rsidRPr="008725BE" w:rsidRDefault="008725BE" w:rsidP="008725BE">
      <w:pPr>
        <w:pStyle w:val="Sansinterligne"/>
        <w:rPr>
          <w:rFonts w:ascii="Garamond" w:hAnsi="Garamond"/>
          <w:lang w:val="en-GB"/>
        </w:rPr>
      </w:pPr>
      <w:r w:rsidRPr="008725BE">
        <w:rPr>
          <w:rFonts w:ascii="Garamond" w:hAnsi="Garamond"/>
          <w:lang w:val="en-GB"/>
        </w:rPr>
        <w:t>Als Psychoanalytiker muß ich mich mehr für affektive als für intellektuelle Vorgänge, mehr für das unbewußte als für das bewußte Seelenleben interessieren. Meine Ergriffenheit bei der Begegnung mit meinem früheren Gymnasialprofessor mahnt mich, ein erstes Bekenntnis abzulegen: Ich weiß nicht, was uns stärker in Anspruch nahm und bedeutsamer für uns wurde, die Beschäftigung mit den uns vorgetragenen Wissenschaften oder die mit den Persönlichkeiten unserer Lehrer. Jedenfalls galt den letzteren bei uns allen eine niemals aussetzende Unterströmung, und bei vielen führte der Weg zu den Wissenschaften nur über die Personen der Lehrer; manche blieben auf diesem Weg stecken, und einigen ward er auf solche Weise – warum sollen wir es nicht eingestehen? – dauernd verlegt.</w:t>
      </w:r>
    </w:p>
    <w:p w:rsidR="008725BE" w:rsidRPr="008725BE" w:rsidRDefault="008725BE" w:rsidP="008725BE">
      <w:pPr>
        <w:pStyle w:val="Sansinterligne"/>
        <w:rPr>
          <w:rFonts w:ascii="Garamond" w:hAnsi="Garamond"/>
          <w:lang w:val="en-GB"/>
        </w:rPr>
      </w:pPr>
      <w:r w:rsidRPr="008725BE">
        <w:rPr>
          <w:rFonts w:ascii="Garamond" w:hAnsi="Garamond"/>
          <w:lang w:val="en-GB"/>
        </w:rPr>
        <w:t>Wir warben um sie oder wandten uns von ihnen ab, imaginierten bei ihnen Sympathien oder Antipathien, die wahrscheinlich nicht bestanden, studierten ihre Charaktere und bildeten oder verbildeten an ihnen unsere eigenen. Sie riefen unsere stärksten Auflehnungen hervor und zwangen uns zur vollständigen Unterwerfung; wir spähten nach ihren kleinen Schwächen und waren stolz auf ihre großen Vorzüge, ihr Wissen und ihre Gerechtigkeit. Im Grunde liebten wir sie sehr, wenn sie uns irgendeine Begründung dazu gaben; ich weiß nicht, ob alle unsere Lehrer dies bemerkt haben. Aber es ist nicht zu leugnen, wir waren in einer ganz besonderen Weise gegen sie eingestellt, in einer Weise, die ihre Unbequemlichkeiten für die Betroffenen haben mochte. Wir waren von vornherein gleich geneigt zur Liebe wie zum Haß, zur Kritik wie zur Verehrung gegen sie. Die Psychoanalyse nennt eine solche Bereitschaft zu gegensätzlichem Verhalten eine ambivalente; sie ist auch nicht verlegen, die Quelle einer solchen Gefühlsambivalenz nachzuweisen.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Sie hat uns nämlich gelehrt, daß die für das spätere Verhalten des Individuums so überaus wichtigen Affekteinstellungen gegen andere Personen in ungeahnt früher Zeit fertig gemacht werden. Schon in den ersten sechs Jahren der Kindheit hat der kleine Mensch die Art und den Affektton seiner Beziehungen zu Personen des nämlichen und des anderen Geschlechts festgelegt, er kann sie von da an entwickeln und nach bestimmten Richtungen umwandeln, aber nicht mehr aufheben. Die Personen, an welche er sich in solcher Weise fixiert, sind seine Eltern und Geschwister. Alle Menschen, die er später kennenlernt, werden ihm zu Ersatzpersonen dieser ersten Gefühlsobjekte (etwa noch der Pflegepersonen neben den Eltern) </w:t>
      </w:r>
      <w:r w:rsidRPr="008725BE">
        <w:rPr>
          <w:rFonts w:ascii="Garamond" w:hAnsi="Garamond"/>
          <w:lang w:val="en-GB"/>
        </w:rPr>
        <w:lastRenderedPageBreak/>
        <w:t>und ordnen sich für ihn in Reihen an, die von den »Imagines«, wie wir sagen, des Vaters, der Mutter, der Geschwister usw. ausgehen. Diese späteren Bekanntschaften haben also eine Art von Gefühlserbschaft zu übernehmen, sie stoßen auf Sympathien und Antipathien, zu deren Erwerbung sie selbst nur wenig beigetragen haben; alle spätere Freundschafts- und Liebeswahl erfolgt auf Grund von Erinnerungsspuren, welche jene ersten Vorbilder hinterlassen haben.</w:t>
      </w:r>
    </w:p>
    <w:p w:rsidR="008725BE" w:rsidRPr="008725BE" w:rsidRDefault="008725BE" w:rsidP="008725BE">
      <w:pPr>
        <w:pStyle w:val="Sansinterligne"/>
        <w:rPr>
          <w:rFonts w:ascii="Garamond" w:hAnsi="Garamond"/>
          <w:lang w:val="en-GB"/>
        </w:rPr>
      </w:pPr>
      <w:r w:rsidRPr="008725BE">
        <w:rPr>
          <w:rFonts w:ascii="Garamond" w:hAnsi="Garamond"/>
          <w:lang w:val="en-GB"/>
        </w:rPr>
        <w:t>Von den Imagines einer gewöhnlich nicht mehr im Gedächtnis bewahrten Kindheit ist aber keine für den Jüngling und Mann bedeutungsvoller als die seines Vaters. Organische Notwendigkeit hat in dies Verhältnis eine Gefühlsambivalenz eingeführt, als deren ergreifendsten Ausdruck wir den griechischen Mythus vom König Ödipus erfassen können. Der kleine Knabe muß seinen Vater lieben und bewundern, er scheint ihm das stärkste, gütigste und weiseste aller Geschöpfe; ist doch Gott selbst nur eine Erhöhung dieses Vaterbildes, wie es sich dem frühkindlichen Seelenleben darstellt. Aber sehr bald tritt die andere Seite dieser Gefühlsrelation hervor. Der Vater wird auch als der übermächtige Störer des eigenen Trieblebens erkannt, er wird zum Vorbild, das man nicht nur nachahmen, sondern auch beseitigen will, um seine Stelle selbst einzunehmen. Die zärtliche und die feindselige Regung gegen den Vater bestehen nun nebeneinander fort, oft durch das ganze Leben hindurch, ohne daß die eine die andere aufheben könnte. In einem solchen Nebeneinander der Gegensätze liegt der Charakter dessen, was wir eine Gefühlsambivalenz heißen.</w:t>
      </w:r>
    </w:p>
    <w:p w:rsidR="008725BE" w:rsidRPr="008725BE" w:rsidRDefault="008725BE" w:rsidP="008725BE">
      <w:pPr>
        <w:pStyle w:val="Sansinterligne"/>
        <w:rPr>
          <w:rFonts w:ascii="Garamond" w:hAnsi="Garamond"/>
          <w:lang w:val="en-GB"/>
        </w:rPr>
      </w:pPr>
      <w:r w:rsidRPr="008725BE">
        <w:rPr>
          <w:rFonts w:ascii="Garamond" w:hAnsi="Garamond"/>
          <w:lang w:val="en-GB"/>
        </w:rPr>
        <w:t>In der zweiten Hälfte der Kindheit bereitet sich eine Veränderung dieses Verhältnisses zum Vater vor, deren Bedeutung man sich nicht großartig genug vorstellen kann. Der Knabe beginnt aus seiner Kinderstube in die reale Welt draußen zu schauen, und nun muß er die Entdeckungen machen, welche seine ursprüngliche Hochschätzung des Vaters untergraben und seine Ablösung von diesem ersten Ideal befördern. Er findet, daß der Vater nicht mehr der Mächtigste, Weiseste, Reichste ist, er wird mit ihm unzufrieden, lernt ihn kritisieren und sozial einordnen und läßt ihn dann gewöhnlich schwer für die Enttäuschung büßen, die jener ihm bereitet hat. Alles Hoffnungsvolle, aber auch alles Anstößige, was die neue Generation auszeichnet, hat diese Ablösung vom Vater zur Bedingung.</w:t>
      </w:r>
    </w:p>
    <w:p w:rsidR="008725BE" w:rsidRPr="008725BE" w:rsidRDefault="008725BE" w:rsidP="008725BE">
      <w:pPr>
        <w:pStyle w:val="Sansinterligne"/>
        <w:rPr>
          <w:rFonts w:ascii="Garamond" w:hAnsi="Garamond"/>
          <w:lang w:val="en-GB"/>
        </w:rPr>
      </w:pPr>
      <w:r w:rsidRPr="008725BE">
        <w:rPr>
          <w:rFonts w:ascii="Garamond" w:hAnsi="Garamond"/>
          <w:lang w:val="en-GB"/>
        </w:rPr>
        <w:t>In diese Phase der Entwicklung des jungen Menschen fällt sein Zusammentreffen mit den Lehrern. Wir verstehen jetzt unser Verhältnis zu unseren Gymnasialprofessoren. Diese Männer, die nicht einmal alle selbst Väter waren, wurden uns zum Vaterersatz. Darum kamen sie uns, auch wenn sie noch sehr jung waren, so gereift, so unerreichbar erwachsen vor. Wir übertrugen auf sie den Respekt und die Erwartungen von dem allwissenden Vater unserer Kindheitsjahre, und dann begannen wir, sie zu behandeln wie unsere Väter zu Hause. Wir brachten ihnen die Ambivalenz entgegen, die wir in der Familie erworben hatten, und mit Hilfe dieser Einstellung rangen wir mit ihnen, wie wir mit unseren leiblichen Vätern zu ringen gewohnt waren. Ohne Rücksicht auf die Kinderstube und das Familienhaus wäre unser Benehmen gegen unsere Lehrer nicht zu verstehen, aber auch nicht zu entschuldigen.</w:t>
      </w:r>
    </w:p>
    <w:p w:rsidR="008725BE" w:rsidRPr="008725BE" w:rsidRDefault="008725BE" w:rsidP="008725BE">
      <w:pPr>
        <w:pStyle w:val="Sansinterligne"/>
        <w:rPr>
          <w:rFonts w:ascii="Garamond" w:hAnsi="Garamond"/>
          <w:lang w:val="en-GB"/>
        </w:rPr>
      </w:pPr>
      <w:r w:rsidRPr="008725BE">
        <w:rPr>
          <w:rFonts w:ascii="Garamond" w:hAnsi="Garamond"/>
          <w:lang w:val="en-GB"/>
        </w:rPr>
        <w:t>Noch andere und kaum weniger wichtige Erlebnisse hatten wir als Gymnasiasten mit den Nachfahren unserer Geschwister, mit unseren Kameraden, aber diese sollen auf einem anderen Blatt beschrieben werden. Das Jubiläum der Schule hält unsere Gedanken bei den Lehrern fest.</w:t>
      </w:r>
    </w:p>
    <w:p w:rsidR="008725BE" w:rsidRPr="008725BE" w:rsidRDefault="008725BE" w:rsidP="008725BE">
      <w:pPr>
        <w:pStyle w:val="Sansinterligne"/>
        <w:rPr>
          <w:rFonts w:ascii="Garamond" w:hAnsi="Garamond"/>
          <w:lang w:val="en-GB"/>
        </w:rPr>
      </w:pPr>
      <w:r w:rsidRPr="008725BE">
        <w:rPr>
          <w:rFonts w:ascii="Garamond" w:hAnsi="Garamond"/>
          <w:lang w:val="en-GB"/>
        </w:rPr>
        <w:br w:type="page"/>
      </w:r>
      <w:hyperlink w:anchor="KSinhalt" w:history="1">
        <w:r w:rsidRPr="008725BE">
          <w:rPr>
            <w:rStyle w:val="Lienhypertexte"/>
            <w:rFonts w:ascii="Garamond" w:hAnsi="Garamond"/>
            <w:b/>
            <w:lang w:val="en-GB"/>
          </w:rPr>
          <w:t>Zu</w:t>
        </w:r>
        <w:bookmarkStart w:id="211" w:name="KS76"/>
        <w:bookmarkEnd w:id="211"/>
        <w:r w:rsidRPr="008725BE">
          <w:rPr>
            <w:rStyle w:val="Lienhypertexte"/>
            <w:rFonts w:ascii="Garamond" w:hAnsi="Garamond"/>
            <w:b/>
            <w:lang w:val="en-GB"/>
          </w:rPr>
          <w:t>r sexuellen Aufklärung der Kinder</w:t>
        </w:r>
      </w:hyperlink>
      <w:r w:rsidRPr="008725BE">
        <w:rPr>
          <w:rFonts w:ascii="Garamond" w:hAnsi="Garamond"/>
          <w:lang w:val="en-GB"/>
        </w:rPr>
        <w:t xml:space="preserve">  </w:t>
      </w:r>
      <w:r w:rsidRPr="008725BE">
        <w:rPr>
          <w:rFonts w:ascii="Garamond" w:hAnsi="Garamond"/>
          <w:caps/>
          <w:lang w:val="en-GB"/>
        </w:rPr>
        <w:t>(1907)</w:t>
      </w:r>
    </w:p>
    <w:p w:rsidR="008725BE" w:rsidRPr="008725BE" w:rsidRDefault="008725BE" w:rsidP="008725BE">
      <w:pPr>
        <w:pStyle w:val="Sansinterligne"/>
        <w:rPr>
          <w:rFonts w:ascii="Garamond" w:hAnsi="Garamond"/>
          <w:caps/>
          <w:lang w:val="en-GB"/>
        </w:rPr>
      </w:pPr>
    </w:p>
    <w:p w:rsidR="008725BE" w:rsidRPr="008725BE" w:rsidRDefault="008725BE" w:rsidP="008725BE">
      <w:pPr>
        <w:pStyle w:val="Sansinterligne"/>
        <w:rPr>
          <w:rFonts w:ascii="Garamond" w:hAnsi="Garamond"/>
          <w:caps/>
          <w:lang w:val="en-GB"/>
        </w:rPr>
      </w:pPr>
      <w:r w:rsidRPr="008725BE">
        <w:rPr>
          <w:rFonts w:ascii="Garamond" w:hAnsi="Garamond"/>
          <w:caps/>
          <w:lang w:val="en-GB"/>
        </w:rPr>
        <w:t>(Offener Brief an Dr. M. Fürst)</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Geehrter Herr Kollege!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Wenn Sie von mir eine Äußerung über die »sexuelle Aufklärung der Kinder« verlangen, so nehme ich an, daß Sie keine regelrechte und förmliche Abhandlung mit Berücksichtigung der ganzen, über Gebühr angewachsenen Literatur erwarten, sondern das selbständige Urteil eines einzelnen Arztes hören wollen, dem seine Berufstätigkeit besondere Anregung geboten hat, sich mit den sexuellen Problemen zu beschäftigen. Ich weiß, daß Sie meine wissenschaftlichen Bemühungen mit Interesse verfolgt haben und mich nicht wie viele andere Kollegen darum ohne Prüfung abweisen, weil ich in der psychosexuellen Konstitution und in Schädlichkeiten des Sexuallebens die wichtigsten Ursachen der so häufigen neurotischen Erkrankungen erblicke; auch meine </w:t>
      </w:r>
      <w:r w:rsidRPr="008725BE">
        <w:rPr>
          <w:rFonts w:ascii="Garamond" w:hAnsi="Garamond"/>
          <w:i/>
          <w:iCs/>
          <w:lang w:val="en-GB"/>
        </w:rPr>
        <w:t>Drei Abhandlungen zur Sexualtheorie</w:t>
      </w:r>
      <w:r w:rsidRPr="008725BE">
        <w:rPr>
          <w:rFonts w:ascii="Garamond" w:hAnsi="Garamond"/>
          <w:lang w:val="en-GB"/>
        </w:rPr>
        <w:t>, in denen ich die Zusammensetzung des Geschlechtstriebes und die Störungen in der Entwicklung des Geschlechtstriebes zur Sexualfunktion darlege, haben kürzlich eine freundliche Erwähnung in Ihrer Zeitschrift gefunden.</w:t>
      </w:r>
    </w:p>
    <w:p w:rsidR="008725BE" w:rsidRPr="008725BE" w:rsidRDefault="008725BE" w:rsidP="008725BE">
      <w:pPr>
        <w:pStyle w:val="Sansinterligne"/>
        <w:rPr>
          <w:rFonts w:ascii="Garamond" w:hAnsi="Garamond"/>
          <w:lang w:val="en-GB"/>
        </w:rPr>
      </w:pPr>
      <w:r w:rsidRPr="008725BE">
        <w:rPr>
          <w:rFonts w:ascii="Garamond" w:hAnsi="Garamond"/>
          <w:lang w:val="en-GB"/>
        </w:rPr>
        <w:t>Ich soll Ihnen also die Fragen beantworten, ob man den Kindern überhaupt Aufklärungen über die Tatsachen des Geschlechtslebens geben darf, in welchem Alter dies geschehen kann und in welcher Weise. Nehmen Sie nun gleich zu Anfang mein Geständnis entgegen, daß ich eine Diskussion über den zweiten und dritten Punkt ganz begreiflich finde, daß es aber für meine Einsicht völlig unfaßbar ist, wie der erste dieser Fragepunkte ein Gegenstand von Meinungsverschiedenheit werden konnte. Was will man denn erreichen, wenn man den Kindern – oder sagen wir der Jugend – solche Aufklärungen über das menschliche Geschlechtsleben vorenthält? Fürchtet man, ihr Interesse für diese Dinge vorzeitig zu wecken, ehe es sich in ihnen selbst regt? Hofft man, durch solche Verhehlung den Geschlechtstrieb überhaupt zurückzuhalten bis zur Zeit, da er in die ihm von der bürgerlichen Gesellschaftsordnung allein geöffneten Bahnen einlenken kann? Meint man, daß die Kinder für die Tatsachen und Rätsel des Geschlechtslebens kein Interesse oder kein Verständnis zeigten, wenn sie nicht von fremder Seite darauf hingewiesen würden? Hält man es für möglich, daß ihnen die Kenntnis, welche man ihnen versagt, nicht auf anderen Wegen zugeführt wird? Oder verfolgt man wirklich und ernsthaft die Absicht, daß sie späterhin alles Geschlechtliche als etwas Niedriges und Verabscheuenswertes beurteilen mögen, von dem ihre Eltern und Erzieher sie so lange als möglich fernhalten wollten?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weiß wirklich nicht, in welcher dieser Absichten ich das Motiv für das tatsächlich geübte Verstecken des Sexuellen vor den Kindern erblicken soll; ich weiß nur, daß sie alle gleich töricht sind und daß es mir schwerfällt, sie durch ernsthafte Widerlegungen auszuzeichnen. Ich erinnere mich aber, daß ich in den Familienbriefen des großen Denkers und Menschenfreundes Multatuli einige Zeilen gefunden habe, die als Antwort mehr als bloß genügen können </w:t>
      </w:r>
      <w:hyperlink r:id="rId960"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i/>
            <w:iCs/>
            <w:lang w:val="en-GB"/>
          </w:rPr>
          <w:t>Multatuli-Briefe,</w:t>
        </w:r>
        <w:r w:rsidRPr="008725BE">
          <w:rPr>
            <w:rStyle w:val="innerfusslink3"/>
            <w:rFonts w:ascii="Garamond" w:hAnsi="Garamond" w:cs="Arial"/>
            <w:b/>
            <w:bCs/>
            <w:lang w:val="en-GB"/>
          </w:rPr>
          <w:t xml:space="preserve"> 1906, Bd. 1, S. 26.</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»Im allgemeinen werden einzelne Dinge nach meinem Gefühl zu sehr umschleiert. Man tut recht, die Phantasie der Kinder reinzuhalten, aber diese Reinheit wird nicht bewahrt durch Unwissenheit. Ich glaube eher, daß das Verdecken von etwas den Knaben und das Mädchen um so mehr die Wahrheit argwöhnen läßt. Man spürt aus Neugierde Dingen nach, die uns, wenn sie uns ohne viel Umstände mitgeteilt würden, wenig oder kein Interesse einflößen würden. Wäre diese Unwissenheit noch zu bewahren, so könnte ich mich damit versöhnen, aber das ist nicht möglich; das Kind kommt in Berührung mit anderen Kindern, es bekommt Bücher in die Hände, die es zum Nachdenken bringen; gerade die Geheimtuerei, womit das dennoch Begriffene von den Eltern behandelt wird, erhöht das Verlangen, mehr zu wissen. Dieses Verlangen, nur zum Teil, nur heimlich befriedigt, erhitzt das Herz und verdirbt die Phantasie, das Kind sündigt bereits, und die Eltern meinen noch, daß es nicht weiß, was Sünde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weiß nicht, was man hierüber Besseres sagen könnte, aber vielleicht läßt sich einiges hinzufügen. Es ist gewiß nichts anderes als die gewohnte Prüderie und das eigene schlechte Gewissen in Sachen der Sexualität, was die Erwachsenen zur »Geheimtuerei« vor den Kindern veranlaßt; aber möglicherweise wirkt da auch ein Stück theoretischer Unwissenheit mit, dem man durch die Aufklärung der Erwachsenen entgegentreten kann. Man meint nämlich, daß den Kindern der Geschlechtstrieb fehle und sich erst zur Pubertätszeit mit der Reife der Geschlechtsorgane bei ihnen einstelle. Das ist ein grober, für die Kenntnis wie für die Praxis folgenschwerer Irrtum. Es ist so leicht, ihn durch die Beobachtung zu korrigieren, daß man sich verwundern muß, wie er überhaupt entstehen konnte. In Wahrheit bringt das Neugeborene Sexualität mit auf die Welt, gewisse Sexualempfindungen begleiten seine Entwicklung durch die Säuglings- und Kinderzeiten, und die wenigsten Kinder dürften sexuellen Betätigungen und Empfindungen vor ihrer Pubertät entgehen. Wer die ausführliche Darlegung dieser Behauptungen kennenlernen will, möge sie in </w:t>
      </w:r>
      <w:r w:rsidRPr="008725BE">
        <w:rPr>
          <w:rFonts w:ascii="Garamond" w:hAnsi="Garamond"/>
          <w:lang w:val="en-GB"/>
        </w:rPr>
        <w:lastRenderedPageBreak/>
        <w:t xml:space="preserve">meinen erwähnten </w:t>
      </w:r>
      <w:r w:rsidRPr="008725BE">
        <w:rPr>
          <w:rFonts w:ascii="Garamond" w:hAnsi="Garamond"/>
          <w:i/>
          <w:iCs/>
          <w:lang w:val="en-GB"/>
        </w:rPr>
        <w:t>Drei Abhandlungen zur Sexualtheorie</w:t>
      </w:r>
      <w:r w:rsidRPr="008725BE">
        <w:rPr>
          <w:rFonts w:ascii="Garamond" w:hAnsi="Garamond"/>
          <w:lang w:val="en-GB"/>
        </w:rPr>
        <w:t xml:space="preserve"> aufsuchen. Er wird dort erfahren, daß die eigentlichen Reproduktionsorgane nicht die einzigen Körperteile sind, welche sexuelle Lustempfindungen vermitteln, und daß die Natur es recht zwingend so eingerichtet hat, daß selbst Reizungen der Genitalien während der Kinderzeit unvermeidlich sind. Man bezeichnet diese Lebenszeit, in welcher durch die Erregung verschiedener Hautstellen ( </w:t>
      </w:r>
      <w:r w:rsidRPr="008725BE">
        <w:rPr>
          <w:rFonts w:ascii="Garamond" w:hAnsi="Garamond"/>
          <w:i/>
          <w:iCs/>
          <w:lang w:val="en-GB"/>
        </w:rPr>
        <w:t>erogener</w:t>
      </w:r>
      <w:r w:rsidRPr="008725BE">
        <w:rPr>
          <w:rFonts w:ascii="Garamond" w:hAnsi="Garamond"/>
          <w:lang w:val="en-GB"/>
        </w:rPr>
        <w:t xml:space="preserve"> Zonen), durch die Betätigung gewisser biologischer Triebe und als Miterregung bei vielen affektiven Zuständen ein gewisser Betrag von sicher sexueller Lust erzeugt wird, mit einem von Havelock Ellis eingeführten Ausdrucke als die Periode des </w:t>
      </w:r>
      <w:r w:rsidRPr="008725BE">
        <w:rPr>
          <w:rFonts w:ascii="Garamond" w:hAnsi="Garamond"/>
          <w:i/>
          <w:iCs/>
          <w:lang w:val="en-GB"/>
        </w:rPr>
        <w:t>Autoerotismus</w:t>
      </w:r>
      <w:r w:rsidRPr="008725BE">
        <w:rPr>
          <w:rFonts w:ascii="Garamond" w:hAnsi="Garamond"/>
          <w:lang w:val="en-GB"/>
        </w:rPr>
        <w:t>. Die Pubertät leistet nichts anderes, als daß sie unter allen lusterzeugenden Zonen und Quellen den Genitalien das Primat verschafft und dadurch die Erotik in den Dienst der Fortpflanzungsfunktion zwingt, ein Prozeß, der natürlich gewissen Hemmungen unterliegen kann und sich bei vielen Personen, den späteren Perversen und Neurotikern, nur in unvollkommener Weise vollzieht. Anderseits ist das Kind der meisten psychischen Leistungen des Liebeslebens (der Zärtlichkeit, der Hingebung, der Eifersucht) lange vor erreichter Pubertät fähig, und oft genug stellt sich auch der Durchbruch dieser seelischen Zustände zu den körperlichen Empfindungen der Sexualerregung her, so daß das Kind über die Zusammengehörigkeit der beiden nicht im Zweifel bleiben kann. Kurz gesagt, das Kind ist lange vor der Pubertät ein bis auf die Fortpflanzungsfähigkeit fertiges Liebeswesen, und man darf es aussprechen, daß man ihm mit jener »Geheimtuerei« nur die Fähigkeit zur intellektuellen Bewältigung solcher Leistungen vorenthält, für die es psychisch vorbereitet und somatisch eingestellt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intellektuelle Interesse des Kindes für die Rätsel des Geschlechtslebens, seine sexuelle Wißbegierde äußert sich denn auch zu einer unvermutet frühen Lebenszeit. Es muß wohl so zugehen, daß die Eltern für dieses Interesse des Kindes wie mit Blindheit geschlagen sind oder sich sofort bemühen, es zu ersticken, falls sie es nicht übersehen können, wenn Beobachtungen wie die nun mitzuteilende nicht häufiger gemacht werden können. Ich kenne da einen prächtigen Jungen von jetzt vier Jahren, dessen verständige Eltern darauf verzichten, ein Stück der Entwicklung des Kindes gewaltsam zu unterdrücken. Der kleine Hans, der sicherlich keinem verführenden Einflüsse von seiten einer Warteperson unterlegen ist, zeigt schon seit einiger Zeit das lebhafteste Interesse für jenes Stück seines Körpers, das er als »Wiwimacher« zu bezeichnen pflegt. Schon mit drei Jahren hat er die Mutter gefragt: »Mama, hast du auch einen Wiwimacher?« Worauf die Mama geantwortet: »Natürlich, was hast du denn gedacht?« Dieselbe Frage hat er zu wiederholten Malen an den Vater gerichtet. Im selben Alter zuerst in einen Stall geführt, hat er beim Melken einer Kuh zugeschaut und dann verwundert ausgerufen: »Schau, aus dem Wiwimacher kommt Milch.« Mit dreidreiviertel Jahren ist er auf dem Wege, durch seine Beobachtungen selbständig richtige Kategorien zu entdecken. Er sieht, wie aus einer Lokomotive Wasser ausgelassen wird, und sagt: »Schau, die Lokomotive macht Wiwi; wo hat sie denn den Wiwimacher?« Später setzt er nachdenklich hinzu: »Ein Hund und ein Pferd hat einen Wiwimacher; ein Tisch und ein Sessel nicht.« Vor kurzem hat er zugesehen, wie man sein einwöchiges Schwesterchen badet, und dabei bemerkt: »Aber ihr Wiwimacher ist noch klein. Wenn sie wächst, wird er schon größer werden.« (Dieselbe Stellung zum Problem der Geschlechtsunterschiede ist mir auch von anderen Knaben gleichen Alters berichtet worden.) Ich möchte ausdrücklich bestreiten, daß der kleine Hans ein sinnliches oder gar ein pathologisch veranlagtes Kind sei; ich meine nur, er ist nicht eingeschüchtert worden, wird nicht vom Schuldbewußtsein geplagt und gibt darum arglos von seinen Denkvorgängen Kunde </w:t>
      </w:r>
      <w:hyperlink r:id="rId961"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Über die spätere neurotische Erkrankung und Herstellung dieses »kleinen Hans« siehe ›Analyse der Phobie eines fünfjährigen Knaben‹.</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Das zweite große Problem, welches dem Denken der Kinder – wohl erst in etwas späteren Jahren – Aufgaben stellt, ist die Frage nach der Herkunft der Kinder, die zumeist an die unerwünschte Erscheinung eines neuen kleinen Bruders oder Schwesterchens anknüpft. Es ist dies die älteste und die brennendste Frage der jungen Menschheit; wer Mythen und Überlieferungen zu deuten versteht, kann sie aus dem Rätsel heraushören, welches die thebaische Sphinx dem Ödipus aufgibt. Durch die in der Kinderstube gebräuchlichen Antworten wird der ehrliche Forschertrieb des Kindes verletzt, meist auch dessen Vertrauen zu seinen Eltern zum erstenmal erschüttert; von da an beginnt es zumeist den Erwachsenen zu mißtrauen und seine intimsten Interessen vor ihnen geheimzuhalten. Ein kleines Dokument mag zeigen, wie quälend sich gerade diese Wißbegierde oft bei älteren Kindern gestaltet, der Brief eines mutterlosen, elfeinhalbjährigen Mädchens, welches über das Problem mit seiner jüngeren Schwester spekuliert hat:</w:t>
      </w:r>
    </w:p>
    <w:p w:rsidR="008725BE" w:rsidRPr="008725BE" w:rsidRDefault="008725BE" w:rsidP="008725BE">
      <w:pPr>
        <w:pStyle w:val="Sansinterligne"/>
        <w:rPr>
          <w:rFonts w:ascii="Garamond" w:hAnsi="Garamond"/>
          <w:lang w:val="en-GB"/>
        </w:rPr>
      </w:pPr>
      <w:r w:rsidRPr="008725BE">
        <w:rPr>
          <w:rFonts w:ascii="Garamond" w:hAnsi="Garamond"/>
          <w:lang w:val="en-GB"/>
        </w:rPr>
        <w:t>»Liebe Tante Mali!</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bitte Dich, sei so gut und schreibe mir, wie Du die Christel oder den Paul bekommen hast. Du mußt es ja wissen, da Du verheiratet bist. Wir haben uns nämlich gestern abend darüber gestritten und wünschen die Wahrheit zu wissen. Wir haben ja sonst niemanden, den wir fragen könnten. Wann kommt Ihr denn nach Salzburg? Weißt Du, liebe Tante Mali, wir können halt nicht begreifen, wie der Storch die </w:t>
      </w:r>
      <w:r w:rsidRPr="008725BE">
        <w:rPr>
          <w:rFonts w:ascii="Garamond" w:hAnsi="Garamond"/>
          <w:lang w:val="en-GB"/>
        </w:rPr>
        <w:lastRenderedPageBreak/>
        <w:t>Kinder bringt. Trudel hat geglaubt, der Storch bringt sie im Hemde. Dann möchten wir auch wissen, ob er sie aus dem Teiche nimmt und warum man die Kinder nie im Teich sieht. Ich bitte Dich, sag' mir auch, wieso man vorher weiß, wann man sie bekommt. Schreibe mir darüber ausführlich Antwort.</w:t>
      </w:r>
    </w:p>
    <w:p w:rsidR="008725BE" w:rsidRPr="008725BE" w:rsidRDefault="008725BE" w:rsidP="008725BE">
      <w:pPr>
        <w:pStyle w:val="Sansinterligne"/>
        <w:rPr>
          <w:rFonts w:ascii="Garamond" w:hAnsi="Garamond"/>
          <w:lang w:val="en-GB"/>
        </w:rPr>
      </w:pPr>
      <w:r w:rsidRPr="008725BE">
        <w:rPr>
          <w:rFonts w:ascii="Garamond" w:hAnsi="Garamond"/>
          <w:lang w:val="en-GB"/>
        </w:rPr>
        <w:t>Mit tausend Grüßen und Küssen von uns allen</w:t>
      </w:r>
    </w:p>
    <w:p w:rsidR="008725BE" w:rsidRPr="008725BE" w:rsidRDefault="008725BE" w:rsidP="008725BE">
      <w:pPr>
        <w:pStyle w:val="Sansinterligne"/>
        <w:rPr>
          <w:rFonts w:ascii="Garamond" w:hAnsi="Garamond"/>
          <w:lang w:val="en-GB"/>
        </w:rPr>
      </w:pPr>
      <w:r w:rsidRPr="008725BE">
        <w:rPr>
          <w:rFonts w:ascii="Garamond" w:hAnsi="Garamond"/>
          <w:lang w:val="en-GB"/>
        </w:rPr>
        <w:t>Deine neugierige Lilli.«</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glaube nicht, daß dieser rührende Brief den beiden Schwestern die geforderte Aufklärung brachte. Die Schreiberin ist später an jener Neurose erkrankt, die sich von unbeantworteten unbewußten Fragen ableitet, an Zwangsgrübelsucht </w:t>
      </w:r>
      <w:hyperlink r:id="rId962"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Die Grübelsucht machte aber nach Jahren einer Dementia praecox Platz.</w:t>
        </w:r>
      </w:hyperlink>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Ich glaube nicht, daß nur ein einziger Grund vorliegt, um Kindern die Aufklärung, nach der ihre Wißbegierde verlangt, zu verweigern. Freilich, wenn es die Absicht der Erzieher ist, die Fähigkeit der Kinder zum selbständigen Denken möglichst frühzeitig zugunsten der so hochgeschätzten »Bravheit« zu ersticken, so kann dies nicht besser als durch Irreführung auf sexuellem und durch Einschüchterung auf religiösem Gebiete versucht werden. Die stärkeren Naturen widerstehen allerdings diesen Beeinflussungen und werden zu Rebellen gegen die elterliche und später gegen jede andere Autorität. Erhalten die Kinder jene Aufklärungen nicht, um die sie sich an Ältere gewendet haben, so quälen sie sich im geheimen mit dem Problem weiter und bringen Lösungsversuche zustande, in denen das geahnte Richtige auf die merkwürdigste Weise mit grotesk Unrichtigem vermengt ist, oder sie flüstern einander Mitteilungen zu, in welchen zufolge des Schuldbewußtseins der jugendlichen Forscher dem Sexualleben das Gepräge des Gräßlichen und Ekelhaften aufgedrückt wird. Diese kindlichen Sexualtheorien wären wohl einer Sammlung und Würdigung wert. Meist haben die Kinder von diesem Zeitpunkte an die einzig richtige Stellung zu den Fragen des Geschlechts verloren, und viele unter ihnen finden sie überhaupt nicht wieder.</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scheint, daß die überwiegende Mehrheit männlicher und weiblicher Autoren, welche über die sexuelle Aufklärung der Jugend geschrieben haben, sich im bejahenden Sinn entscheiden. Aber aus dem Ungeschick der meisten Vorschläge, wann und wie dies zu geschehen hat, ist man versucht zu schließen, daß dies Zugeständnis den Betreffenden nicht leicht geworden ist. Ganz vereinzelt steht nach meiner Literaturkenntnis jener reizende Aufklärungsbrief da, den eine Frau Emma Eckstein an ihren etwa zehnjährigen Sohn zu schreiben vorgibt </w:t>
      </w:r>
      <w:hyperlink r:id="rId963"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E. Eckstein (1904).</w:t>
        </w:r>
      </w:hyperlink>
      <w:r w:rsidRPr="008725BE">
        <w:rPr>
          <w:rFonts w:ascii="Garamond" w:hAnsi="Garamond"/>
          <w:lang w:val="en-GB"/>
        </w:rPr>
        <w:t xml:space="preserve">. Wie man es sonst macht, daß man den Kindern die längste Zeit jede Kenntnis des Sexuellen vorenthält, um ihnen dann einmal in schwülstig-feierlichen Worten eine auch nur halb aufrichtige Eröffnung zu schenken, die überdies meist zu spät kommt, das ist offenbar nicht ganz das Richtige. Die meisten Beantwortungen der Frage »Wie sag's ich meinem Kinde?« machen mir wenigstens einen so kläglichen Eindruck, daß ich vorziehen würde, wenn die Eltern sich überhaupt nicht um die Aufklärung bekümmern würden. Es kommt vielmehr darauf an, daß die Kinder niemals auf die Idee geraten, man wolle ihnen aus den Tatsachen des Geschlechtslebens eher ein Geheimnis machen als aus anderem, was ihrem Verständnisse noch nicht zugänglich ist. Und um dies zu erzielen, ist es erforderlich, daß das Geschlechtliche von allem Anfange an gleich wie anderes Wissenswerte behandelt werde. Vor allem ist es Aufgabe der Schule, der Erwähnung des Geschlechtlichen nicht auszuweichen, die großen Tatsachen der Fortpflanzung beim Unterrichte über die Tierwelt in ihre Bedeutung einzusetzen und sogleich zu betonen, daß der Mensch alles Wesentliche seiner Organisation mit den höheren Tieren teilt. Wenn dann das Haus nicht auf Denkabschreckung hinarbeitet, wird es sich wohl öfter ereignen, was ich einmal in einer Kinderstube belauscht habe, daß ein Knabe seinem jüngeren Schwesterchen vorhält: »Aber wie kannst du denken, daß der Storch die kleinen Kinder bringt. Du weißt ja, daß der Mensch ein Säugetier ist, und glaubst du denn, daß der Storch den </w:t>
      </w:r>
      <w:r w:rsidRPr="008725BE">
        <w:rPr>
          <w:rFonts w:ascii="Garamond" w:hAnsi="Garamond"/>
          <w:i/>
          <w:iCs/>
          <w:lang w:val="en-GB"/>
        </w:rPr>
        <w:t>anderen</w:t>
      </w:r>
      <w:r w:rsidRPr="008725BE">
        <w:rPr>
          <w:rFonts w:ascii="Garamond" w:hAnsi="Garamond"/>
          <w:lang w:val="en-GB"/>
        </w:rPr>
        <w:t xml:space="preserve"> Säugetieren die Jungen bringt?« Die Neugierde des Kindes wird dann nie einen hohen Grad erreichen, wenn sie auf jeder Stufe des Lernens die entsprechende Befriedigung findet. Die Aufklärung über die spezifisch menschlichen Verhältnisse des Geschlechtslebens und der Hinweis auf die soziale Bedeutung desselben hätte sich dann am Schlusse des Volksschulunterrichtes (und vor Eintritt in die Mittelschule), also nicht nach dem Alter von zehn Jahren, anzuschließen. Endlich würde sich der Zeitpunkt der Konfirmation wie kein anderer dazu eignen, dem bereits über alles Körperliche aufgeklärten Kinde die sittlichen Verpflichtungen, welche an die Ausübung des Triebes geknüpft sind, darzulegen. Eine solche stufenweise fortschreitende und eigentlich zu keiner Zeit unterbrochene Aufklärung über das Geschlechtsleben, zu welcher die Schule die Initiative ergreift, erscheint mir als die einzige, welche der Entwicklung des Kindes Rechnung trägt und darum die vorhandene Gefahr glücklich vermeidet.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Ich halte es für den bedeutsamsten Fortschritt in der Kindererziehung, daß der französische Staat an Stelle des Katechismus ein Elementarbuch eingeführt hat, welches dem Kinde die ersten Kenntnisse seiner staatsbürgerlichen Stellung und der ihm dereinst zufallenden ethischen Pflichten vermittelt. Aber dieser </w:t>
      </w:r>
      <w:r w:rsidRPr="008725BE">
        <w:rPr>
          <w:rFonts w:ascii="Garamond" w:hAnsi="Garamond"/>
          <w:lang w:val="en-GB"/>
        </w:rPr>
        <w:lastRenderedPageBreak/>
        <w:t>Elementarunterricht ist in arger Weise unvollständig, wenn er nicht das Gebiet des Geschlechtslebens mit umschließt. Hier ist die Lücke, deren Ausfüllung Erzieher und Reformer in Angriff nehmen sollten! In Staaten, welche die Kindererziehung ganz oder teilweise in den Händen der Geistlichkeit belassen haben, darf man allerdings solche Forderung nicht erheben. Der Geistliche wird die Wesensgleichheit von Mensch und Tier nie zugeben, da er auf die unsterbliche Seele nicht verzichten kann, die er braucht, um die Moralforderung zu begründen. So bewährt es sich denn wieder einmal, wie unklug es ist, einem zerlumpten Rock einen einzigen seidenen Lappen aufzunähen, wie unmöglich es ist, eine vereinzelte Reform durchzuführen, ohne an den Grundlagen des Systems zu ändern!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Zu</w:t>
        </w:r>
        <w:bookmarkStart w:id="212" w:name="KS77"/>
        <w:bookmarkEnd w:id="212"/>
        <w:r w:rsidRPr="008725BE">
          <w:rPr>
            <w:rStyle w:val="Lienhypertexte"/>
            <w:rFonts w:ascii="Garamond" w:hAnsi="Garamond"/>
            <w:b/>
            <w:lang w:val="en-GB"/>
          </w:rPr>
          <w:t>r Vorgeschichte der analytischen Technik</w:t>
        </w:r>
      </w:hyperlink>
      <w:r w:rsidRPr="008725BE">
        <w:rPr>
          <w:rFonts w:ascii="Garamond" w:hAnsi="Garamond"/>
          <w:lang w:val="en-GB"/>
        </w:rPr>
        <w:t xml:space="preserve">  </w:t>
      </w:r>
      <w:r w:rsidRPr="008725BE">
        <w:rPr>
          <w:rFonts w:ascii="Garamond" w:hAnsi="Garamond"/>
          <w:caps/>
          <w:lang w:val="en-GB"/>
        </w:rPr>
        <w:t>(1920)</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In einem neuen Buche von Havelock Ellis, dem hochverdienten Sexualforscher und vornehmen Kritiker der Psychoanalyse, betitelt </w:t>
      </w:r>
      <w:r w:rsidRPr="008725BE">
        <w:rPr>
          <w:rFonts w:ascii="Garamond" w:hAnsi="Garamond"/>
          <w:i/>
          <w:iCs/>
          <w:lang w:val="en-GB"/>
        </w:rPr>
        <w:t>The Philosophy of Conflict and Other Essays in Wartime</w:t>
      </w:r>
      <w:r w:rsidRPr="008725BE">
        <w:rPr>
          <w:rFonts w:ascii="Garamond" w:hAnsi="Garamond"/>
          <w:lang w:val="en-GB"/>
        </w:rPr>
        <w:t>, Second Series, London 1919, ist ein Aufsatz: ›Psycho-Analysis in relation to sex‹ enthalten, der sich nachzuweisen bemüht, daß das Werk des Schöpfers der Analyse nicht als ein Stück wissenschaftlicher Arbeit, sondern als eine künstlerische Leistung gewertet werden sollte. Es liegt uns nahe, in dieser Auffassung eine neue Wendung des Widerstandes und eine Ablehnung der Analyse zu sehen, wenngleich sie in liebenswürdiger, ja in allzu schmeichelhafter Weise verkleidet ist. Wir sind geneigt, ihr aufs entschiedenste zu widersprechen.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Doch nicht solcher Widerspruch ist das Motiv unserer Beschäftigung mit dem Essay von Havelock Ellis, sondern die Tatsache, daß er durch seine große Belesenheit in die Lage gekommen ist, einen Autor anzuführen, der die freie Assoziation als Technik geübt und empfohlen hat, wenngleich zu anderen Zwecken, und somit ein Recht hat, in dieser Hinsicht als Vorläufer der Psychoanalytiker genannt zu werden. »Im Jahre 1857«, schreibt Havelock Ellis, »veröffentlichte Dr. J. J. Garth Wilkinson, besser bekannt als Dichter und Mystiker von der Richtung Swedenborgs denn als Arzt, einen Band mystischer Gedichte in Knüttelversen, durch eine angeblich neue Methode, die er ›Impression‹ nennt, hervorgebracht. ›Man wählt ein Thema‹, sagt er, ›oder schreibt es nieder; sobald dies geschehen ist, darf man den ersten Einfall ( </w:t>
      </w:r>
      <w:r w:rsidRPr="008725BE">
        <w:rPr>
          <w:rFonts w:ascii="Garamond" w:hAnsi="Garamond"/>
          <w:i/>
          <w:iCs/>
          <w:lang w:val="en-GB"/>
        </w:rPr>
        <w:t>impression upon the mind</w:t>
      </w:r>
      <w:r w:rsidRPr="008725BE">
        <w:rPr>
          <w:rFonts w:ascii="Garamond" w:hAnsi="Garamond"/>
          <w:lang w:val="en-GB"/>
        </w:rPr>
        <w:t xml:space="preserve">), der sich nach der Niederschrift des Titels ergibt, als den Beginn der Ausarbeitung des Themas betrachten, gleichgültig wie sonderbar oder nicht dazugehörig das betreffende Wort oder der Satz erscheinen mag.‹ ›Die erste Regung des Geistes, das erste Wort, das sich einstellt, ist der Erfolg des Bestrebens, sich in das gegebene Thema zu vertiefen.‹ Man setzt das Verfahren in konsequenter Weise fort, und Garth Wilkinson sagt: ›Ich habe immer gefunden, daß es wie infolge eines untrüglichen Instinkts ins Innere der Sache führt.‹ Diese Technik entsprach nach Wilkinsons Ansicht einem aufs höchste gesteigerten Sichgehenlassen, einer Aufforderung an die tiefstliegenden, unbewußten Regungen, sich zur Äußerung zu bringen. Wille und Überlegung, mahnte er, sind beiseite zu lassen; man vertraut sich der Eingebung ( </w:t>
      </w:r>
      <w:r w:rsidRPr="008725BE">
        <w:rPr>
          <w:rFonts w:ascii="Garamond" w:hAnsi="Garamond"/>
          <w:i/>
          <w:iCs/>
          <w:lang w:val="en-GB"/>
        </w:rPr>
        <w:t>influx</w:t>
      </w:r>
      <w:r w:rsidRPr="008725BE">
        <w:rPr>
          <w:rFonts w:ascii="Garamond" w:hAnsi="Garamond"/>
          <w:lang w:val="en-GB"/>
        </w:rPr>
        <w:t>) an und kann dabei finden, daß sich die geistigen Fähigkeiten auf unbekannte Ziele einstellen.«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»Man darf nicht außer acht lassen, daß Wilkinson, obwohl er Arzt war, diese Technik zu religiösen und literarischen, niemals zu ärztlichen oder wissenschaftlichen Zwecken in Anwendung zog, aber es ist leicht einzusehen, daß es im wesentlichen die psychoanalytische Technik ist, die hier die eigene Person zum Objekt nimmt, ein Beweis mehr dafür, daß das Verfahren Freuds das eines Künstlers ( </w:t>
      </w:r>
      <w:r w:rsidRPr="008725BE">
        <w:rPr>
          <w:rFonts w:ascii="Garamond" w:hAnsi="Garamond"/>
          <w:i/>
          <w:iCs/>
          <w:lang w:val="en-GB"/>
        </w:rPr>
        <w:t>artist</w:t>
      </w:r>
      <w:r w:rsidRPr="008725BE">
        <w:rPr>
          <w:rFonts w:ascii="Garamond" w:hAnsi="Garamond"/>
          <w:lang w:val="en-GB"/>
        </w:rPr>
        <w:t>) ist.«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Kenner der psychoanalytischen Literatur werden sich hier jener schönen Stelle im Briefwechsel Schillers mit Körner erinnern </w:t>
      </w:r>
      <w:hyperlink r:id="rId964"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Entdeckt von O. Rank und zitiert in der </w:t>
        </w:r>
        <w:r w:rsidRPr="008725BE">
          <w:rPr>
            <w:rStyle w:val="innerfusslink3"/>
            <w:rFonts w:ascii="Garamond" w:hAnsi="Garamond" w:cs="Arial"/>
            <w:b/>
            <w:bCs/>
            <w:i/>
            <w:iCs/>
            <w:lang w:val="en-GB"/>
          </w:rPr>
          <w:t>Traumdeutung</w:t>
        </w:r>
        <w:r w:rsidRPr="008725BE">
          <w:rPr>
            <w:rStyle w:val="innerfusslink3"/>
            <w:rFonts w:ascii="Garamond" w:hAnsi="Garamond" w:cs="Arial"/>
            <w:b/>
            <w:bCs/>
            <w:lang w:val="en-GB"/>
          </w:rPr>
          <w:t xml:space="preserve"> (1900  </w:t>
        </w:r>
        <w:r w:rsidRPr="008725BE">
          <w:rPr>
            <w:rStyle w:val="innerfusslink3"/>
            <w:rFonts w:ascii="Garamond" w:hAnsi="Garamond" w:cs="Arial"/>
            <w:b/>
            <w:bCs/>
            <w:i/>
            <w:iCs/>
            <w:lang w:val="en-GB"/>
          </w:rPr>
          <w:t>a</w:t>
        </w:r>
        <w:r w:rsidRPr="008725BE">
          <w:rPr>
            <w:rStyle w:val="innerfusslink3"/>
            <w:rFonts w:ascii="Garamond" w:hAnsi="Garamond" w:cs="Arial"/>
            <w:b/>
            <w:bCs/>
            <w:lang w:val="en-GB"/>
          </w:rPr>
          <w:t>).</w:t>
        </w:r>
      </w:hyperlink>
      <w:r w:rsidRPr="008725BE">
        <w:rPr>
          <w:rFonts w:ascii="Garamond" w:hAnsi="Garamond"/>
          <w:lang w:val="en-GB"/>
        </w:rPr>
        <w:t>, in welcher der große Dichter und Denker (1788) demjenigen, der produktiv sein möchte, die Beachtung des freien Einfalles empfiehlt. Es ist zu vermuten, daß die angeblich neue Wilkinsonsche Technik bereits vielen anderen vorgeschwebt hat, und ihre systematische Anwendung in der Psychoanalyse wird uns nicht so sehr als Beweis für die künstlerische Artung Freuds erscheinen, wie als Konsequenz seiner nach Art eines Vorurteils festgehaltenen Überzeugung von der durchgängigen Determinierung alles seelischen Geschehens. Die Zugehörigkeit des freien Einfalles zum fixierten Thema ergab sich dann als die nächste und wahrscheinlichste Möglichkeit, welche auch durch die Erfahrung in der Analyse bestätigt wird, insofern nicht übergroße Widerstände den vermuteten Zusammenhang unkenntlich machen.</w:t>
      </w:r>
    </w:p>
    <w:p w:rsidR="008725BE" w:rsidRPr="008725BE" w:rsidRDefault="008725BE" w:rsidP="008725BE">
      <w:pPr>
        <w:pStyle w:val="Sansinterligne"/>
        <w:rPr>
          <w:rFonts w:ascii="Garamond" w:hAnsi="Garamond"/>
          <w:lang w:val="en-GB"/>
        </w:rPr>
      </w:pPr>
      <w:r w:rsidRPr="008725BE">
        <w:rPr>
          <w:rFonts w:ascii="Garamond" w:hAnsi="Garamond"/>
          <w:lang w:val="en-GB"/>
        </w:rPr>
        <w:t>Indes darf man es als sicher annehmen, daß weder Schiller noch Garth Wilkinson auf die Wahl der psychoanalytischen Technik Einfluß geübt haben. Mehr persönliche Beziehung scheint sich von einer anderen Seite her anzudeuten.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Vor kurzem machte Dr. Hugo Dubowitz in Budapest Dr. Ferenczi auf einen kleinen, nur 4½ Seiten umfassenden Aufsatz von Ludwig Börne aufmerksam, der, 1823 verfaßt, im ersten Band seiner </w:t>
      </w:r>
      <w:r w:rsidRPr="008725BE">
        <w:rPr>
          <w:rFonts w:ascii="Garamond" w:hAnsi="Garamond"/>
          <w:i/>
          <w:iCs/>
          <w:lang w:val="en-GB"/>
        </w:rPr>
        <w:t>Gesammelten Schriften</w:t>
      </w:r>
      <w:r w:rsidRPr="008725BE">
        <w:rPr>
          <w:rFonts w:ascii="Garamond" w:hAnsi="Garamond"/>
          <w:lang w:val="en-GB"/>
        </w:rPr>
        <w:t xml:space="preserve"> (Ausgabe von 1862) abgedruckt ist. Er ist betitelt: ›Die Kunst, in drei Tagen ein Originalschriftsteller zu werden‹ und trägt die bekannten Eigentümlichkeiten des Jean Paulschen Stils, dem Börne damals huldigte, an sich. Er schließt mit den Sätzen: »Und hier folgt die versprochene Nutzanwendung. Nehmt einige Bogen Papier und schreibt drei Tage hintereinander, ohne Falsch und Heuchelei, alles nieder, was euch durch den Kopf geht. Schreibt, was ihr denkt von euch selbst, von euren Weibern, von dem Türkenkrieg, von Goethe, von Fonks Kriminalprozeß, vom jüngsten Gericht, von euren Vorgesetzten – und nach Verlauf der drei Tage werdet ihr vor Verwunderung, was ihr für neue, unerhörte Gedanken gehabt, ganz außer euch kommen. Das ist die Kunst, in drei Tagen ein Originalschriftsteller zu werden!«</w:t>
      </w:r>
    </w:p>
    <w:p w:rsidR="008725BE" w:rsidRPr="008725BE" w:rsidRDefault="008725BE" w:rsidP="008725BE">
      <w:pPr>
        <w:pStyle w:val="Sansinterligne"/>
        <w:rPr>
          <w:rFonts w:ascii="Garamond" w:hAnsi="Garamond"/>
          <w:lang w:val="en-GB"/>
        </w:rPr>
      </w:pPr>
      <w:r w:rsidRPr="008725BE">
        <w:rPr>
          <w:rFonts w:ascii="Garamond" w:hAnsi="Garamond"/>
          <w:lang w:val="en-GB"/>
        </w:rPr>
        <w:lastRenderedPageBreak/>
        <w:t>Als Prof. Freud veranlaßt wurde, diesen Börneschen Aufsatz zu lesen, machte er eine Reihe von Angaben, die für die hier berührte Frage nach der Vorgeschichte der psychoanalytischen Einfallsverwertung bedeutungsvoll sein können. Er erzählte, daß er Börnes Werke im vierzehnten Jahr zum Geschenk bekommen habe und dieses Buch heute, fünfzig Jahre später, noch immer als das einzige aus seiner Jugendzeit besitze. Dieser Schriftsteller sei der erste gewesen, in dessen Schriften er sich vertieft habe. An den in Rede stehenden Aufsatz könne er sich nicht erinnern, aber andere, in denselben Band aufgenommene, wie die ›Denkrede auf Jean Paul‹, ›Der Eßkünstler‹, ›Der Narr im weißen Schwan‹, seien durch lange Jahre ohne ersichtlichen Grund immer wieder in seiner Erinnerung aufgetaucht. Er war besonders erstaunt, in der Anweisung zum Originalschriftsteller einige Gedanken ausgesprochen zu finden, die er selbst immer gehegt und vertreten habe, zum Beispiel: »Eine schimpfliche Feigheit zu denken, hält uns alle zurück. Drückender als die Zensur der Regierungen ist die Zensur, welche die öffentliche Meinung über unsere Geisteswerke ausübt.« (Hier findet sich übrigens die »Zensur« erwähnt, die in der Psychoanalyse als Traumzensur wiedergekommen ist ...) »Nicht an Geist, an Charakter mangelt es den meisten Schriftstellern, um besser zu sein, als sie sind ... Aufrichtigkeit ist die Quelle aller Genialität, und die Menschen wären geistreicher, wenn sie sittlicher wären ...«</w:t>
      </w:r>
    </w:p>
    <w:p w:rsidR="008725BE" w:rsidRPr="008725BE" w:rsidRDefault="008725BE" w:rsidP="008725BE">
      <w:pPr>
        <w:pStyle w:val="Sansinterligne"/>
        <w:rPr>
          <w:rFonts w:ascii="Garamond" w:hAnsi="Garamond"/>
          <w:lang w:val="en-GB"/>
        </w:rPr>
      </w:pPr>
      <w:r w:rsidRPr="008725BE">
        <w:rPr>
          <w:rFonts w:ascii="Garamond" w:hAnsi="Garamond"/>
          <w:lang w:val="en-GB"/>
        </w:rPr>
        <w:t>Es scheint uns also nicht ausgeschlossen, daß dieser Hinweis vielleicht jenes Stück Kryptomnesie aufgedeckt hat, das in so vielen Fällen hinter einer anscheinenden Originalität vermutet werden darf.</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Zw</w:t>
        </w:r>
        <w:bookmarkStart w:id="213" w:name="KS78"/>
        <w:bookmarkEnd w:id="213"/>
        <w:r w:rsidRPr="008725BE">
          <w:rPr>
            <w:rStyle w:val="Lienhypertexte"/>
            <w:rFonts w:ascii="Garamond" w:hAnsi="Garamond"/>
            <w:b/>
            <w:lang w:val="en-GB"/>
          </w:rPr>
          <w:t>angshandlungen und Religionsübungen</w:t>
        </w:r>
      </w:hyperlink>
      <w:r w:rsidRPr="008725BE">
        <w:rPr>
          <w:rFonts w:ascii="Garamond" w:hAnsi="Garamond"/>
          <w:lang w:val="en-GB"/>
        </w:rPr>
        <w:t xml:space="preserve">  </w:t>
      </w:r>
      <w:r w:rsidRPr="008725BE">
        <w:rPr>
          <w:rFonts w:ascii="Garamond" w:hAnsi="Garamond"/>
          <w:caps/>
          <w:lang w:val="en-GB"/>
        </w:rPr>
        <w:t>(1907)</w:t>
      </w:r>
    </w:p>
    <w:p w:rsidR="008725BE" w:rsidRPr="008725BE" w:rsidRDefault="008725BE" w:rsidP="008725BE">
      <w:pPr>
        <w:pStyle w:val="Sansinterligne"/>
        <w:rPr>
          <w:rFonts w:ascii="Garamond" w:hAnsi="Garamond"/>
          <w:lang w:val="en-GB"/>
        </w:rPr>
      </w:pPr>
    </w:p>
    <w:p w:rsidR="008725BE" w:rsidRPr="008725BE" w:rsidRDefault="008725BE" w:rsidP="008725BE">
      <w:pPr>
        <w:pStyle w:val="Sansinterligne"/>
        <w:rPr>
          <w:rFonts w:ascii="Garamond" w:hAnsi="Garamond"/>
          <w:lang w:val="en-GB"/>
        </w:rPr>
      </w:pPr>
      <w:r w:rsidRPr="008725BE">
        <w:rPr>
          <w:rFonts w:ascii="Garamond" w:hAnsi="Garamond"/>
          <w:lang w:val="en-GB"/>
        </w:rPr>
        <w:t>Ich bin gewiß nicht der erste, dem die Ähnlichkeit der sogenannten Zwangshandlungen Nervöser mit den Verrichtungen aufgefallen ist, durch welche der Gläubige seine Frömmigkeit bezeugt. Der Name »Zeremoniell« bürgt mir dafür, mit dem man gewisse dieser Zwangshandlungen belegt hat. Doch scheint mir diese Ähnlichkeit eine mehr als oberflächliche zu sein, so daß man aus einer Einsicht in die Entstehung des neurotischen Zeremoniells Analogieschlüsse auf die seelischen Vorgänge des religiösen Lebens wagen dürfte.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Leute, die Zwangshandlungen oder Zeremoniell ausüben, gehören nebst jenen, die an Zwangsdenken, Zwangsvorstellungen, Zwangsimpulsen u. dgl. leiden, zu einer besonderen klinischen Einheit, für deren Affektion der Name »Zwangsneurose« gebräuchlich ist </w:t>
      </w:r>
      <w:hyperlink r:id="rId965"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Vgl. Löwenfeld (1904).</w:t>
        </w:r>
      </w:hyperlink>
      <w:r w:rsidRPr="008725BE">
        <w:rPr>
          <w:rFonts w:ascii="Garamond" w:hAnsi="Garamond"/>
          <w:lang w:val="en-GB"/>
        </w:rPr>
        <w:t>. Man möge aber nicht versuchen, die Eigenart dieses Leidens aus seinem Namen abzuleiten, denn strenggenommen haben andersartige krankhafte Seelenerscheinungen den gleichen Anspruch auf den sogenannten »Zwangscharakter«. An Stelle einer Definition muß derzeit noch die Detailkenntnis dieser Zustände treten, da es bisher nicht gelungen ist, das wahrscheinlich tiefliegende Kriterium der Zwangsneurose aufzuzeigen, dessen Vorhandensein man doch in ihren Äußerungen allenthalben zu spüren vermeint.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Das neurotische Zeremoniell besteht in kleinen Verrichtungen, Zutaten, Einschränkungen, Anordnungen, die bei gewissen Handlungen des täglichen Lebens in immer gleicher oder gesetzmäßig abgeänderter Weise vollzogen werden. </w:t>
      </w:r>
      <w:r w:rsidRPr="008725BE">
        <w:rPr>
          <w:rFonts w:ascii="Garamond" w:hAnsi="Garamond"/>
        </w:rPr>
        <w:t xml:space="preserve">Diese Tätigkeiten machen uns den Eindruck von bloßen »Formalitäten«; sie erscheinen uns völlig bedeutungslos. Nicht anders erscheinen sie dem Kranken selbst, und doch ist er unfähig, sie zu unterlassen, denn jede Abweichung von dem Zeremoniell straft sich durch unerträgliche Angst, die sofort die Nachholung des Unterlassenen erzwingt. Ebenso kleinlich wie die Zeremoniellhandlungen selbst sind die Anlässe und Tätigkeiten, welche durch das Zeremoniell verziert, erschwert und jedenfalls auch verzögert werden, z. B. das Ankleiden und Auskleiden, das Zubettegehen, die Befriedigung der körperlichen Bedürfnisse. </w:t>
      </w:r>
      <w:r w:rsidRPr="008725BE">
        <w:rPr>
          <w:rFonts w:ascii="Garamond" w:hAnsi="Garamond"/>
          <w:lang w:val="en-GB"/>
        </w:rPr>
        <w:t>Man kann die Ausübung eines Zeremoniells beschreiben, indem man es gleichsam durch eine Reihe ungeschriebener Gesetze ersetzt, also z. B. für das Bettzeremoniell: der Sessel muß in solcher, bestimmter Stellung vor dem Bette stehen, auf ihm die Kleider in gewisser Ordnung gefaltet liegen; die Bettdecke muß am Fußende eingesteckt sein, das Bettuch glatt gestrichen; die Polster müssen so und so verteilt liegen, der Körper selbst in einer genau bestimmten Lage sein; dann erst darf man einschlafen. In leichten Fällen sieht das Zeremoniell so der Übertreibung einer gewohnten und berechtigten Ordnung gleich. Aber die besondere Gewissenhaftigkeit der Ausführung und die Angst bei der Unterlassung kennzeichnen das Zeremoniell als »heilige Handlung«. Störungen derselben werden meist schlecht vertragen; die Öffentlichkeit, die Gegenwart anderer Personen während der Vollziehung ist fast immer ausgeschlossen.</w:t>
      </w:r>
    </w:p>
    <w:p w:rsidR="008725BE" w:rsidRPr="008725BE" w:rsidRDefault="008725BE" w:rsidP="008725BE">
      <w:pPr>
        <w:pStyle w:val="Sansinterligne"/>
        <w:rPr>
          <w:rFonts w:ascii="Garamond" w:hAnsi="Garamond"/>
          <w:lang w:val="en-GB"/>
        </w:rPr>
      </w:pPr>
      <w:r w:rsidRPr="008725BE">
        <w:rPr>
          <w:rFonts w:ascii="Garamond" w:hAnsi="Garamond"/>
          <w:lang w:val="en-GB"/>
        </w:rPr>
        <w:t>Zu Zwangshandlungen im weiteren Sinne können alle beliebigen Tätigkeiten werden, wenn sie durch kleine Zutaten verziert, durch Pausen und Wiederholungen rhythmiert werden. Eine scharfe Abgrenzung des »Zeremoniells« von den »Zwangshandlungen« wird man zu finden nicht erwarten. Meist sind die Zwangshandlungen aus Zeremoniell hervorgegangen. Neben diesen beiden bilden den Inhalt des Leidens Verbote und Verhinderungen (Abulien), die ja eigentlich das Werk der Zwangshandlungen nur fortsetzen, indem dem Kranken einiges überhaupt nicht erlaubt ist, anderes nur unter Befolgung eines vorgeschriebenen Zeremoniells.</w:t>
      </w:r>
    </w:p>
    <w:p w:rsidR="008725BE" w:rsidRPr="008725BE" w:rsidRDefault="008725BE" w:rsidP="008725BE">
      <w:pPr>
        <w:pStyle w:val="Sansinterligne"/>
        <w:rPr>
          <w:rFonts w:ascii="Garamond" w:hAnsi="Garamond"/>
          <w:lang w:val="en-GB"/>
        </w:rPr>
      </w:pPr>
      <w:r w:rsidRPr="008725BE">
        <w:rPr>
          <w:rFonts w:ascii="Garamond" w:hAnsi="Garamond"/>
          <w:lang w:val="en-GB"/>
        </w:rPr>
        <w:t>Merkwürdig ist, daß Zwang wie Verbote (das eine tun müssen, das andere nicht tun dürfen) anfänglich nur die einsamen Tätigkeiten der Menschen betreffen und deren soziales Verhalten lange Zeit unbeeinträchtigt lassen; daher können solche Kranke ihr Leiden durch viele Jahre als ihre Privatsache behandeln und verbergen. Auch leiden viel mehr Personen an solchen Formen der Zwangsneurose, als den Ärzten bekannt wird. Das Verbergen wird ferner vielen Kranken durch den Umstand erleichtert, daß sie sehr wohl imstande sind, über einen Teil des Tages ihre sozialen Pflichten zu erfüllen, nachdem sie eine Anzahl von Stunden in melusinenhafter Abgeschiedenheit ihrem geheimnisvollen Tun gewidmet haben.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ist leicht einzusehen, worin die Ähnlichkeit des neurotischen Zeremoniells mit den heiligen Handlungen des religiösen Ritus gelegen ist, in der Gewissensangst bei der Unterlassung, in der vollen Isolierung von allem anderen Tun (Verbot der Störung) und in der Gewissenhaftigkeit der Ausführung im kleinen. Aber ebenso augenfällig sind die Unterscheidungen, von denen einige so grell sind, daß sie den Vergleich zu einem sakrilegischen werden lassen. Die größere individuelle Mannigfaltigkeit der Zeremoniellhandlungen im Gegensatze zur Stereotypie des Ritus (Gebet, Proskynesis usw.), der Privatcharakter derselben im Gegensatze zur Öffentlichkeit und Gemeinsamkeit der Religionsübung; vor allem aber der eine Unterschied, daß die kleinen Zutaten des religiösen Zeremoniells sinnvoll und </w:t>
      </w:r>
      <w:r w:rsidRPr="008725BE">
        <w:rPr>
          <w:rFonts w:ascii="Garamond" w:hAnsi="Garamond"/>
          <w:lang w:val="en-GB"/>
        </w:rPr>
        <w:lastRenderedPageBreak/>
        <w:t>symbolisch gemeint sind, während die des neurotischen läppisch und sinnlos erscheinen. Die Zwangsneurose liefert hier ein halb komisches, halb trauriges Zerrbild einer Privatreligion. Indes wird gerade dieser einschneidendste Unterschied zwischen neurotischem und religiösem Zeremoniell beseitigt, wenn man mit Hilfe der psychoanalytischen Untersuchungstechnik zum Verständnis der Zwangshandlungen durchdringt. Bei dieser Untersuchung wird der Anschein, als ob Zwangshandlungen läppisch und sinnlos wären, gründlich zerstört und die Begründung dieses Scheines aufgedeckt. Man erfährt, daß die Zwangshandlungen durchwegs und in all ihren Einzelheiten sinnvoll sind, im Dienste von bedeutsamen Interessen der Persönlichkeit stehen und fortwirkende Erlebnisse sowie affektbesetzte Gedanken derselben zum Ausdrucke bringen. Sie tun dies in zweierlei Art, entweder als direkte oder als symbolische Darstellungen; sie sind demnach entweder historisch oder symbolisch zu deuten.</w:t>
      </w:r>
    </w:p>
    <w:p w:rsidR="008725BE" w:rsidRPr="008725BE" w:rsidRDefault="008725BE" w:rsidP="008725BE">
      <w:pPr>
        <w:pStyle w:val="Sansinterligne"/>
        <w:rPr>
          <w:rFonts w:ascii="Garamond" w:hAnsi="Garamond"/>
          <w:lang w:val="en-GB"/>
        </w:rPr>
      </w:pPr>
      <w:r w:rsidRPr="008725BE">
        <w:rPr>
          <w:rFonts w:ascii="Garamond" w:hAnsi="Garamond"/>
          <w:lang w:val="en-GB"/>
        </w:rPr>
        <w:t>Einige Beispiele, die diese Behauptung erläutern sollen, darf ich mir hier wohl nicht ersparen. Wer mit den Ergebnissen der psychoanalytischen Forschung bei den Psychoneurosen vertraut ist, wird nicht überrascht sein zu hören, daß das durch die Zwangshandlungen oder das Zeremoniell Dargestellte sich aus dem intimsten, meist aus dem sexuellen Erleben der Betroffenen ableitet:</w:t>
      </w:r>
    </w:p>
    <w:p w:rsidR="008725BE" w:rsidRPr="008725BE" w:rsidRDefault="008725BE" w:rsidP="008725BE">
      <w:pPr>
        <w:pStyle w:val="Sansinterligne"/>
        <w:rPr>
          <w:rFonts w:ascii="Garamond" w:hAnsi="Garamond"/>
          <w:lang w:val="en-GB"/>
        </w:rPr>
      </w:pPr>
      <w:r w:rsidRPr="008725BE">
        <w:rPr>
          <w:rFonts w:ascii="Garamond" w:hAnsi="Garamond"/>
          <w:i/>
          <w:iCs/>
          <w:lang w:val="en-GB"/>
        </w:rPr>
        <w:t>a)</w:t>
      </w:r>
      <w:r w:rsidRPr="008725BE">
        <w:rPr>
          <w:rFonts w:ascii="Garamond" w:hAnsi="Garamond"/>
          <w:lang w:val="en-GB"/>
        </w:rPr>
        <w:t xml:space="preserve"> Ein Mädchen meiner Beobachtung stand unter dem Zwange, nach dem Waschen die Waschschüssel mehrmals herumzuschwenken. Die Bedeutung dieser Zeremoniellhandlung lag in dem sprichwörtlichen Satze: Man soll schmutziges Wasser nicht ausgießen, ehe man reines hat. Die Handlung war dazu bestimmt, ihre geliebte Schwester zu mahnen und zurückzuhalten, daß sie sich von ihrem unerfreulichen Manne nicht eher scheiden lasse, als bis sie eine Beziehung zu einem besseren angeknüpft habe.</w:t>
      </w:r>
    </w:p>
    <w:p w:rsidR="008725BE" w:rsidRPr="008725BE" w:rsidRDefault="008725BE" w:rsidP="008725BE">
      <w:pPr>
        <w:pStyle w:val="Sansinterligne"/>
        <w:rPr>
          <w:rFonts w:ascii="Garamond" w:hAnsi="Garamond"/>
          <w:lang w:val="en-GB"/>
        </w:rPr>
      </w:pPr>
      <w:r w:rsidRPr="008725BE">
        <w:rPr>
          <w:rFonts w:ascii="Garamond" w:hAnsi="Garamond"/>
          <w:i/>
          <w:iCs/>
          <w:lang w:val="en-GB"/>
        </w:rPr>
        <w:t>b)</w:t>
      </w:r>
      <w:r w:rsidRPr="008725BE">
        <w:rPr>
          <w:rFonts w:ascii="Garamond" w:hAnsi="Garamond"/>
          <w:lang w:val="en-GB"/>
        </w:rPr>
        <w:t xml:space="preserve"> Eine von ihrem Manne getrennt lebende Frau folgte beim Essen dem Zwange, das Beste stehenzulassen, z. B. von einem Stück gebratenen Fleisch nur die Ränder zu genießen. Dieser Verzicht erklärte sich durch das Datum seiner Entstehung. Er war am Tage aufgetreten, nachdem sie ihrem Manne den ehelichen Verkehr gekündigt, d. h. aufs Beste verzichtet hatte.</w:t>
      </w:r>
    </w:p>
    <w:p w:rsidR="008725BE" w:rsidRPr="008725BE" w:rsidRDefault="008725BE" w:rsidP="008725BE">
      <w:pPr>
        <w:pStyle w:val="Sansinterligne"/>
        <w:rPr>
          <w:rFonts w:ascii="Garamond" w:hAnsi="Garamond"/>
          <w:lang w:val="en-GB"/>
        </w:rPr>
      </w:pPr>
      <w:r w:rsidRPr="008725BE">
        <w:rPr>
          <w:rFonts w:ascii="Garamond" w:hAnsi="Garamond"/>
          <w:i/>
          <w:iCs/>
          <w:lang w:val="en-GB"/>
        </w:rPr>
        <w:t>c)</w:t>
      </w:r>
      <w:r w:rsidRPr="008725BE">
        <w:rPr>
          <w:rFonts w:ascii="Garamond" w:hAnsi="Garamond"/>
          <w:lang w:val="en-GB"/>
        </w:rPr>
        <w:t xml:space="preserve"> Dieselbe Patientin konnte eigentlich nur auf einem einzigen Sessel sitzen und konnte sich nur mit Schwierigkeit von ihm erheben. Der Sessel symbolisierte ihr mit Beziehung auf bestimmte Details ihres Ehelebens den Mann, dem sie die Treue hielt. Sie fand zur Aufklärung ihres Zwanges den Satz: »Man trennt sich so schwer von einem (Manne, Sessel), auf dem man einmal gesessen ist.«</w:t>
      </w:r>
    </w:p>
    <w:p w:rsidR="008725BE" w:rsidRPr="008725BE" w:rsidRDefault="008725BE" w:rsidP="008725BE">
      <w:pPr>
        <w:pStyle w:val="Sansinterligne"/>
        <w:rPr>
          <w:rFonts w:ascii="Garamond" w:hAnsi="Garamond"/>
          <w:lang w:val="en-GB"/>
        </w:rPr>
      </w:pPr>
      <w:r w:rsidRPr="008725BE">
        <w:rPr>
          <w:rFonts w:ascii="Garamond" w:hAnsi="Garamond"/>
          <w:i/>
          <w:iCs/>
          <w:lang w:val="en-GB"/>
        </w:rPr>
        <w:t>d)</w:t>
      </w:r>
      <w:r w:rsidRPr="008725BE">
        <w:rPr>
          <w:rFonts w:ascii="Garamond" w:hAnsi="Garamond"/>
          <w:lang w:val="en-GB"/>
        </w:rPr>
        <w:t xml:space="preserve"> Sie pflegte eine Zeit hindurch eine besonders auffällige und sinnlose Zwangshandlung zu wiederholen. Sie lief dann aus ihrem Zimmer in ein anderes, in dessen Mitte ein Tisch stand, rückte die auf ihm liegende Tischdecke in gewisser Art zurecht, schellte dem Stubenmädchen, das an den Tisch herantreten mußte, und entließ sie wieder mit einem gleichgültigen Auftrag. Bei den Bemühungen, diesen Zwang aufzuklären, fiel ihr ein, daß die betreffende Tischdecke an einer Stelle einen mißfarbigen Fleck hatte und daß sie jedesmal die Decke so legte, daß der Fleck dem Stubenmädchen in die Augen fallen mußte. Das Ganze war dann eine Reproduktion eines Erlebnisses aus ihrer Ehe, welches ihren Gedanken später ein Problem zu lösen gegeben hatte. Ihr Mann war in der Brautnacht von einem nicht ungewöhnlichen Mißgeschick befallen worden. Er fand sich impotent und »kam viele Male im Laufe der Nacht aus seinem Zimmer in ihres gerannt«, um den Versuch, ob es nicht doch gelänge, zu wiederholen. Am Morgen äußerte er, er müsse sich ja vor dem Hotelstubenmädchen schämen, welches die Betten in Ordnung bringen werde, ergriff darum ein Fläschchen mit roter Tinte und goß dessen Inhalt über das Bettuch aus, aber so ungeschickt, daß der rote Fleck an einer für seine Absicht sehr ungeeigneten Stelle zustande kam. Sie spielte also Brautnacht mit jener Zwangshandlung. »Tisch und Bett« machen zusammen die Ehe aus.</w:t>
      </w:r>
    </w:p>
    <w:p w:rsidR="008725BE" w:rsidRPr="008725BE" w:rsidRDefault="008725BE" w:rsidP="008725BE">
      <w:pPr>
        <w:pStyle w:val="Sansinterligne"/>
        <w:rPr>
          <w:rFonts w:ascii="Garamond" w:hAnsi="Garamond"/>
          <w:lang w:val="en-GB"/>
        </w:rPr>
      </w:pPr>
      <w:r w:rsidRPr="008725BE">
        <w:rPr>
          <w:rFonts w:ascii="Garamond" w:hAnsi="Garamond"/>
          <w:i/>
          <w:iCs/>
          <w:lang w:val="en-GB"/>
        </w:rPr>
        <w:t>e)</w:t>
      </w:r>
      <w:r w:rsidRPr="008725BE">
        <w:rPr>
          <w:rFonts w:ascii="Garamond" w:hAnsi="Garamond"/>
          <w:lang w:val="en-GB"/>
        </w:rPr>
        <w:t xml:space="preserve"> Wenn sie den Zwang angenommen hatte, die Nummer jeder Geldnote zu notieren, ehe sie dieselbe aus ihren Händen gab, so war dies gleichfalls historisch aufzuklären. Zur Zeit, als sie sich noch mit der Absicht trug, ihren Mann zu verlassen, wenn sie einen anderen, vertrauenswürdigeren fände, ließ sie sich in einem Badeorte die höflichen Bemühungen eines Herrn gefallen, über dessen Bereitschaft, Ernst zu machen, sie doch im Zweifel blieb. Eines Tages um Kleingeld verlegen, bat sie ihn, ihr ein Fünfkronenstück zu wechseln. Er tat es, steckte das große Geldstück ein und äußerte galant, er gedenke sich von diesem nie wieder zu trennen, da es durch ihre Hand gegangen sei. Bei späterem Beisammensein war sie nun oft in Versuchung, ihn aufzufordern, er möge ihr das Fünfkronenstück vorzeigen, gleichsam um sich so zu überzeugen, ob sie seinen Huldigungen Glauben schenken dürfe. Sie unterließ es aber mit der guten Begründung, daß man gleichwertige Münzen nicht voneinander unterscheiden könne. Der Zweifel blieb also ungelöst; er hinterließ ihr den Zwang, die Nummern der Geldnoten, durch welche jede einzelne von allen ihr gleichwertigen individuell unterschieden ist, zu notieren.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Diese wenigen Beispiele, aus der Fülle meiner Erfahrung herausgehoben, sollen nur den Satz, daß alles an den Zwangshandlungen sinnvoll und deutbar ist, erläutern. Das gleiche gilt für das eigentliche Zeremoniell, nur daß hier der Beweis umständlichere Mitteilung erfordern würde. Ich verkenne es </w:t>
      </w:r>
      <w:r w:rsidRPr="008725BE">
        <w:rPr>
          <w:rFonts w:ascii="Garamond" w:hAnsi="Garamond"/>
          <w:lang w:val="en-GB"/>
        </w:rPr>
        <w:lastRenderedPageBreak/>
        <w:t>keineswegs, wie sehr wir uns bei den Aufklärungen der Zwangshandlungen vom Gedankenkreise der Religion zu entfernen scheinen.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Es gehört zu den Bedingungen des Krankseins, daß die dem Zwange folgende Person ihn ausübe, ohne seine Bedeutung – wenigstens seine Hauptbedeutung – zu kennen. Erst durch die Bemühung der psychoanalytischen Therapie wird ihr der Sinn der Zwangshandlung und damit die zu ihr treibenden Motive bewußtgemacht. Wir sprechen diesen bedeutsamen Sachverhalt in den Worten aus, daß die Zwangshandlung </w:t>
      </w:r>
      <w:r w:rsidRPr="008725BE">
        <w:rPr>
          <w:rFonts w:ascii="Garamond" w:hAnsi="Garamond"/>
          <w:i/>
          <w:iCs/>
          <w:lang w:val="en-GB"/>
        </w:rPr>
        <w:t>unbewußten</w:t>
      </w:r>
      <w:r w:rsidRPr="008725BE">
        <w:rPr>
          <w:rFonts w:ascii="Garamond" w:hAnsi="Garamond"/>
          <w:lang w:val="en-GB"/>
        </w:rPr>
        <w:t xml:space="preserve"> Motiven und Vorstellungen zum Ausdruck diene. Darin scheint nun ein neuerlicher Unterschied gegen die Religionsübung zu liegen; aber man muß daran denken, daß auch der einzelne Fromme in der Regel das religiöse Zeremoniell ausübt, ohne nach dessen Bedeutung zu fragen, während allerdings der Priester und der Forscher mit dem meist symbolischen Sinn des Ritus bekannt sein mögen. Die Motive, die zur Religionsübung drängen, sind aber allen Gläubigen unbekannt oder werden in ihrem Bewußtsein durch vorgeschobene Motive vertreten.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Die Analyse der Zwangshandlungen hat uns bereits eine Art von Einsicht in die Verursachung derselben und in die Verkettung der für sie maßgebenden Motive ermöglicht. Man kann sagen, der an Zwang und Verboten Leidende benimmt sich so, als stehe er unter der Herrschaft eines </w:t>
      </w:r>
      <w:r w:rsidRPr="008725BE">
        <w:rPr>
          <w:rFonts w:ascii="Garamond" w:hAnsi="Garamond"/>
          <w:i/>
          <w:iCs/>
          <w:lang w:val="en-GB"/>
        </w:rPr>
        <w:t>Schuldbewußtseins</w:t>
      </w:r>
      <w:r w:rsidRPr="008725BE">
        <w:rPr>
          <w:rFonts w:ascii="Garamond" w:hAnsi="Garamond"/>
          <w:lang w:val="en-GB"/>
        </w:rPr>
        <w:t xml:space="preserve">, von dem er allerdings nichts weiß, eines unbewußten Schuldbewußtseins also, wie man es ausdrücken muß mit Hinwegsetzung über das Sträuben der hier zusammentreffenden Worte. Dies Schuldbewußtsein hat seine Quelle in gewissen frühzeitigen Seelenvorgängen, findet aber eine beständige Auffrischung in der bei jedem rezenten Anlaß erneuerten </w:t>
      </w:r>
      <w:r w:rsidRPr="008725BE">
        <w:rPr>
          <w:rFonts w:ascii="Garamond" w:hAnsi="Garamond"/>
          <w:i/>
          <w:iCs/>
          <w:lang w:val="en-GB"/>
        </w:rPr>
        <w:t>Versuchung</w:t>
      </w:r>
      <w:r w:rsidRPr="008725BE">
        <w:rPr>
          <w:rFonts w:ascii="Garamond" w:hAnsi="Garamond"/>
          <w:lang w:val="en-GB"/>
        </w:rPr>
        <w:t xml:space="preserve"> und läßt anderseits eine immer lauernde </w:t>
      </w:r>
      <w:r w:rsidRPr="008725BE">
        <w:rPr>
          <w:rFonts w:ascii="Garamond" w:hAnsi="Garamond"/>
          <w:i/>
          <w:iCs/>
          <w:lang w:val="en-GB"/>
        </w:rPr>
        <w:t>Erwartungsangst</w:t>
      </w:r>
      <w:r w:rsidRPr="008725BE">
        <w:rPr>
          <w:rFonts w:ascii="Garamond" w:hAnsi="Garamond"/>
          <w:lang w:val="en-GB"/>
        </w:rPr>
        <w:t xml:space="preserve">, Unheilserwartung, entstehen, die durch den Begriff der </w:t>
      </w:r>
      <w:r w:rsidRPr="008725BE">
        <w:rPr>
          <w:rFonts w:ascii="Garamond" w:hAnsi="Garamond"/>
          <w:i/>
          <w:iCs/>
          <w:lang w:val="en-GB"/>
        </w:rPr>
        <w:t>Bestrafung</w:t>
      </w:r>
      <w:r w:rsidRPr="008725BE">
        <w:rPr>
          <w:rFonts w:ascii="Garamond" w:hAnsi="Garamond"/>
          <w:lang w:val="en-GB"/>
        </w:rPr>
        <w:t xml:space="preserve"> an die innere Wahrnehmung der Versuchung geknüpft ist. Zu Beginn der Zeremoniellbildung wird dem Kranken noch bewußt, daß er dies oder jenes tun müsse, sonst werde Unheil geschehen, und in der Regel wird die Art des zu erwartenden Unheils noch seinem Bewußtsein genannt. Der jedesmal nachweisbare Zusammenhang zwischen dem Anlasse, bei dem die Erwartungsangst auftritt, und dem Inhalte, mit dem sie droht, ist dem Kranken bereits verhüllt. Das Zeremoniell beginnt so als </w:t>
      </w:r>
      <w:r w:rsidRPr="008725BE">
        <w:rPr>
          <w:rFonts w:ascii="Garamond" w:hAnsi="Garamond"/>
          <w:i/>
          <w:iCs/>
          <w:lang w:val="en-GB"/>
        </w:rPr>
        <w:t>Abwehr-</w:t>
      </w:r>
      <w:r w:rsidRPr="008725BE">
        <w:rPr>
          <w:rFonts w:ascii="Garamond" w:hAnsi="Garamond"/>
          <w:lang w:val="en-GB"/>
        </w:rPr>
        <w:t xml:space="preserve"> oder </w:t>
      </w:r>
      <w:r w:rsidRPr="008725BE">
        <w:rPr>
          <w:rFonts w:ascii="Garamond" w:hAnsi="Garamond"/>
          <w:i/>
          <w:iCs/>
          <w:lang w:val="en-GB"/>
        </w:rPr>
        <w:t>Versicherungshandlung, Schutzmaßregel</w:t>
      </w:r>
      <w:r w:rsidRPr="008725BE">
        <w:rPr>
          <w:rFonts w:ascii="Garamond" w:hAnsi="Garamond"/>
          <w:lang w:val="en-GB"/>
        </w:rPr>
        <w:t>.</w:t>
      </w:r>
    </w:p>
    <w:p w:rsidR="008725BE" w:rsidRPr="008725BE" w:rsidRDefault="008725BE" w:rsidP="008725BE">
      <w:pPr>
        <w:pStyle w:val="Sansinterligne"/>
        <w:rPr>
          <w:rFonts w:ascii="Garamond" w:hAnsi="Garamond"/>
          <w:lang w:val="en-GB"/>
        </w:rPr>
      </w:pPr>
      <w:r w:rsidRPr="008725BE">
        <w:rPr>
          <w:rFonts w:ascii="Garamond" w:hAnsi="Garamond"/>
          <w:lang w:val="en-GB"/>
        </w:rPr>
        <w:t>Dem Schuldbewußtsein der Zwangsneurotiker entspricht die Beteuerung der Frommen, sie wüßten, daß sie im Herzen arge Sünder seien; den Wert von Abwehr- und Schutzmaßregeln scheinen die frommen Übungen (Gebete, Anrufungen usw.) zu haben, mit denen sie jede Tätigkeit des Tages und zumal jede außergewöhnliche Unternehmung einleiten.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Einen tieferen Einblick in den Mechanismus der Zwangsneurose gewinnt man, wenn man die ihr zugrunde liegende erste Tatsache in Würdigung zieht: diese ist allemal die </w:t>
      </w:r>
      <w:r w:rsidRPr="008725BE">
        <w:rPr>
          <w:rFonts w:ascii="Garamond" w:hAnsi="Garamond"/>
          <w:i/>
          <w:iCs/>
          <w:lang w:val="en-GB"/>
        </w:rPr>
        <w:t>Verdrängung einer Triebregung</w:t>
      </w:r>
      <w:r w:rsidRPr="008725BE">
        <w:rPr>
          <w:rFonts w:ascii="Garamond" w:hAnsi="Garamond"/>
          <w:lang w:val="en-GB"/>
        </w:rPr>
        <w:t xml:space="preserve"> (einer Komponente des Sexualtriebes), welche in der Konstitution der Person enthalten war, im kindlichen Leben derselben sich eine Weile äußern durfte und darauf der Unterdrückung verfiel. Eine spezielle, auf die Ziele dieses Triebes gerichtete </w:t>
      </w:r>
      <w:r w:rsidRPr="008725BE">
        <w:rPr>
          <w:rFonts w:ascii="Garamond" w:hAnsi="Garamond"/>
          <w:i/>
          <w:iCs/>
          <w:lang w:val="en-GB"/>
        </w:rPr>
        <w:t>Gewissenhaftigkeit</w:t>
      </w:r>
      <w:r w:rsidRPr="008725BE">
        <w:rPr>
          <w:rFonts w:ascii="Garamond" w:hAnsi="Garamond"/>
          <w:lang w:val="en-GB"/>
        </w:rPr>
        <w:t xml:space="preserve"> wird bei der Verdrängung desselben geschaffen, aber diese psychische Reaktionsbildung fühlt sich nicht sicher, sondern von dem im Unbewußten lauernden Triebe beständig bedroht. Der Einfluß des verdrängten Triebes wird als Versuchung empfunden, beim Prozeß der Verdrängung selbst entsteht die Angst, die sich als Erwartungsangst der Zukunft bemächtigt. Der Verdrängungsprozeß, der zur Zwangsneurose führt, ist als ein unvollkommen gelungener zu bezeichnen, der immer mehr zu mißlingen droht. Er ist daher einem nicht abzuschließenden Konflikt zu vergleichen; es werden immer neue psychische Anstrengungen erfordert, um dem konstanten Andrängen des Triebes das Gleichgewicht zu halten. Die Zeremoniell- und Zwangshandlungen entstehen so teils zur Abwehr der Versuchung, teils zum Schutze gegen das erwartete Unheil. Gegen die Versuchung scheinen die Schutzhandlungen bald nicht auszureichen; es treten dann die Verbote auf, welche die Situation der Versuchung fernelegen sollen. Verbote ersetzen Zwangshandlungen, wie man sieht, ebenso wie eine Phobie den hysterischen Anfall zu ersparen bestimmt ist. Anderseits stellt das Zeremoniell die Summe der Bedingungen dar, unter denen anderes, noch nicht absolut Verbotenes erlaubt ist, ganz ähnlich wie das kirchliche Ehezeremoniell dem Frommen die Gestattung des sonst sündhaften Sexualgenusses bedeutet. Zum Charakter der Zwangsneurose wie aller ähnlichen Affektionen gehört noch, daß ihre Äußerungen (Symptome, darunter auch die Zwangshandlungen) die Bedingung eines Kompromisses zwischen den streitenden seelischen Mächten erfüllen. Sie bringen also auch immer etwas von der Lust wieder, die sie zu verhüten bestimmt sind, dienen dem verdrängten Triebe nicht minder als den ihn verdrängenden Instanzen. Ja, mit dem Fortschritte der Krankheit nähern sich die ursprünglich eher die Abwehr besorgenden Handlungen immer mehr den verpönten Aktionen an, durch welche sich der Trieb in der Kindheit äußern durfte.</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Von diesen Verhältnissen wäre etwa folgendes auch auf dem Gebiete des religiösen Lebens wiederzufinden: Auch der Religionsbildung scheint die Unterdrückung, der </w:t>
      </w:r>
      <w:r w:rsidRPr="008725BE">
        <w:rPr>
          <w:rFonts w:ascii="Garamond" w:hAnsi="Garamond"/>
          <w:i/>
          <w:iCs/>
          <w:lang w:val="en-GB"/>
        </w:rPr>
        <w:t>Verzicht</w:t>
      </w:r>
      <w:r w:rsidRPr="008725BE">
        <w:rPr>
          <w:rFonts w:ascii="Garamond" w:hAnsi="Garamond"/>
          <w:lang w:val="en-GB"/>
        </w:rPr>
        <w:t xml:space="preserve"> auf gewisse </w:t>
      </w:r>
      <w:r w:rsidRPr="008725BE">
        <w:rPr>
          <w:rFonts w:ascii="Garamond" w:hAnsi="Garamond"/>
          <w:lang w:val="en-GB"/>
        </w:rPr>
        <w:lastRenderedPageBreak/>
        <w:t>Triebregungen zugrunde zu liegen; es sind aber nicht wie bei der Neurose ausschließlich sexuelle Komponenten, sondern eigensüchtige, sozialschädliche Triebe, denen übrigens ein sexueller Beitrag meist nicht versagt ist. Das Schuldbewußtsein in der Folge der nicht erlöschenden Versuchung, die Erwartungsangst als Angst vor göttlichen Strafen sind uns ja auf religiösem Gebiete früher bekannt geworden als auf dem der Neurose. Vielleicht wegen der beigemengten sexuellen Komponenten, vielleicht infolge allgemeiner Eigenschaften der Triebe erweist sich die Triebunterdrückung auch im religiösen Leben als eine unzureichende und nicht abschließbare. Volle Rückfälle in die Sünde sind beim Frommen sogar häufiger als beim Neurotiker und begründen eine neue Art von religiösen Betätigungen, die Bußhandlungen, zu denen man in der Zwangsneurose die Gegenstücke findet.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Einen eigentümlichen und entwürdigenden Charakter der Zwangsneurose sahen wir darin, daß das Zeremoniell sich an kleine Handlungen des täglichen Lebens anschließt und sich in läppischen Vorschriften und Einschränkungen derselben äußert. Man versteht diesen auffälligen Zug in der Gestaltung des Krankheitsbildes erst, wenn man erfährt, daß der Mechanismus der psychischen </w:t>
      </w:r>
      <w:r w:rsidRPr="008725BE">
        <w:rPr>
          <w:rFonts w:ascii="Garamond" w:hAnsi="Garamond"/>
          <w:i/>
          <w:iCs/>
          <w:lang w:val="en-GB"/>
        </w:rPr>
        <w:t>Verschiebung,</w:t>
      </w:r>
      <w:r w:rsidRPr="008725BE">
        <w:rPr>
          <w:rFonts w:ascii="Garamond" w:hAnsi="Garamond"/>
          <w:lang w:val="en-GB"/>
        </w:rPr>
        <w:t xml:space="preserve"> den ich zuerst bei der Traumbildung </w:t>
      </w:r>
      <w:hyperlink r:id="rId966" w:anchor="#" w:history="1">
        <w:r w:rsidRPr="008725BE">
          <w:rPr>
            <w:rStyle w:val="fusslink"/>
            <w:rFonts w:ascii="Garamond" w:hAnsi="Garamond" w:cs="Arial"/>
            <w:b/>
            <w:bCs/>
            <w:color w:val="003399"/>
            <w:lang w:val="en-GB"/>
          </w:rPr>
          <w:t>[Fußnote]</w:t>
        </w:r>
        <w:r w:rsidRPr="008725BE">
          <w:rPr>
            <w:rStyle w:val="innerfusslink3"/>
            <w:rFonts w:ascii="Garamond" w:hAnsi="Garamond" w:cs="Arial"/>
            <w:b/>
            <w:bCs/>
            <w:lang w:val="en-GB"/>
          </w:rPr>
          <w:t xml:space="preserve">Vgl. Freud: </w:t>
        </w:r>
        <w:r w:rsidRPr="008725BE">
          <w:rPr>
            <w:rStyle w:val="innerfusslink3"/>
            <w:rFonts w:ascii="Garamond" w:hAnsi="Garamond" w:cs="Arial"/>
            <w:b/>
            <w:bCs/>
            <w:i/>
            <w:iCs/>
            <w:lang w:val="en-GB"/>
          </w:rPr>
          <w:t>Die Traumdeutung</w:t>
        </w:r>
        <w:r w:rsidRPr="008725BE">
          <w:rPr>
            <w:rStyle w:val="innerfusslink3"/>
            <w:rFonts w:ascii="Garamond" w:hAnsi="Garamond" w:cs="Arial"/>
            <w:b/>
            <w:bCs/>
            <w:lang w:val="en-GB"/>
          </w:rPr>
          <w:t xml:space="preserve"> (1900  </w:t>
        </w:r>
        <w:r w:rsidRPr="008725BE">
          <w:rPr>
            <w:rStyle w:val="innerfusslink3"/>
            <w:rFonts w:ascii="Garamond" w:hAnsi="Garamond" w:cs="Arial"/>
            <w:b/>
            <w:bCs/>
            <w:i/>
            <w:iCs/>
            <w:lang w:val="en-GB"/>
          </w:rPr>
          <w:t>a</w:t>
        </w:r>
        <w:r w:rsidRPr="008725BE">
          <w:rPr>
            <w:rStyle w:val="innerfusslink3"/>
            <w:rFonts w:ascii="Garamond" w:hAnsi="Garamond" w:cs="Arial"/>
            <w:b/>
            <w:bCs/>
            <w:lang w:val="en-GB"/>
          </w:rPr>
          <w:t>).</w:t>
        </w:r>
      </w:hyperlink>
      <w:r w:rsidRPr="008725BE">
        <w:rPr>
          <w:rFonts w:ascii="Garamond" w:hAnsi="Garamond"/>
          <w:lang w:val="en-GB"/>
        </w:rPr>
        <w:t xml:space="preserve"> aufgefunden, die seelischen Vorgänge der Zwangsneurose beherrscht. In den wenigen Beispielen von Zwangshandlungen ist bereits ersichtlich, wie durch eine Verschiebung vom Eigentlichen, Bedeutsamen, auf ein ersetzendes Kleines, z. B. vom Mann auf den Sessel, die Symbolik und das Detail der Ausführung zustande kommen. Diese Neigung zur Verschiebung ist es, die das Bild der Krankheitserscheinungen immer weiter abändert und es endlich dahin bringt, das scheinbar Geringfügigste zum Wichtigsten und Dringendsten zu machen. Es ist nicht zu verkennen, daß auf dem religiösen Gebiete eine ähnliche Neigung zur Verschiebung des psychischen Wertes, und zwar in gleichem Sinne, besteht, so daß allmählich das kleinliche Zeremoniell der Religionsübung zum Wesentlichen wird, welches deren Gedankeninhalt beiseite gedrängt hat. Darum unterliegen die Religionen auch ruckweise einsetzenden Reformen, welche das ursprüngliche Wertverhältnis herzustellen bemüht sind.</w:t>
      </w:r>
    </w:p>
    <w:p w:rsidR="008725BE" w:rsidRPr="008725BE" w:rsidRDefault="008725BE" w:rsidP="008725BE">
      <w:pPr>
        <w:pStyle w:val="Sansinterligne"/>
        <w:rPr>
          <w:rFonts w:ascii="Garamond" w:hAnsi="Garamond"/>
          <w:lang w:val="en-GB"/>
        </w:rPr>
      </w:pPr>
      <w:r w:rsidRPr="008725BE">
        <w:rPr>
          <w:rFonts w:ascii="Garamond" w:hAnsi="Garamond"/>
          <w:lang w:val="en-GB"/>
        </w:rPr>
        <w:t>Der Kompromißcharakter der Zwangshandlungen als neurotischer Symptome wird an dem entsprechenden religiösen Tun am wenigsten deutlich zu erkennen sein. Und doch wird man auch an diesen Zug der Neurose gemahnt, wenn man erinnert, wie häufig alle Handlungen, welche die Religion verpönt – Äußerungen der von der Religion unterdrückten Triebe –, gerade im Namen und angeblich zugunsten der Religion vollführt werden.</w:t>
      </w:r>
    </w:p>
    <w:p w:rsidR="008725BE" w:rsidRPr="008725BE" w:rsidRDefault="008725BE" w:rsidP="008725BE">
      <w:pPr>
        <w:pStyle w:val="Sansinterligne"/>
        <w:rPr>
          <w:rFonts w:ascii="Garamond" w:hAnsi="Garamond"/>
          <w:lang w:val="en-GB"/>
        </w:rPr>
      </w:pPr>
      <w:r w:rsidRPr="008725BE">
        <w:rPr>
          <w:rFonts w:ascii="Garamond" w:hAnsi="Garamond"/>
          <w:lang w:val="en-GB"/>
        </w:rPr>
        <w:t>Nach diesen Übereinstimmungen und Analogien könnte man sich getrauen, die Zwangsneurose als pathologisches Gegenstück zur Religionsbildung aufzufassen, die Neurose als eine individuelle Religiosität, die Religion als eine universelle Zwangsneurose zu bezeichnen. Die wesentlichste Übereinstimmung läge in dem zugrunde liegenden Verzicht auf die Betätigung von konstitutionell gegebenen Trieben; der entscheidendste Unterschied in der Natur dieser Triebe, die bei der Neurose ausschließlich sexueller, bei der Religion egoistischer Herkunft sind.</w:t>
      </w:r>
    </w:p>
    <w:p w:rsidR="008725BE" w:rsidRPr="008725BE" w:rsidRDefault="008725BE" w:rsidP="008725BE">
      <w:pPr>
        <w:pStyle w:val="Sansinterligne"/>
        <w:rPr>
          <w:rFonts w:ascii="Garamond" w:hAnsi="Garamond"/>
          <w:lang w:val="en-GB"/>
        </w:rPr>
      </w:pPr>
      <w:r w:rsidRPr="008725BE">
        <w:rPr>
          <w:rFonts w:ascii="Garamond" w:hAnsi="Garamond"/>
          <w:lang w:val="en-GB"/>
        </w:rPr>
        <w:t>Ein fortschreitender Verzicht auf konstitutionelle Triebe, deren Betätigung dem Ich primäre Lust gewähren könnte, scheint eine der Grundlagen der menschlichen Kulturentwicklung zu sein. Ein Stück dieser Triebverdrängung wird von den Religionen geleistet, indem sie den einzelnen seine Trieblust der Gottheit zum Opfer bringen lassen. »Die Rache ist mein«, spricht der Herr. An der Entwicklung der alten Religionen glaubt man zu erkennen, daß vieles, worauf der Mensch als »Frevel« verzichtet hatte, dem Gotte abgetreten und noch im Namen des Gottes erlaubt war, so daß die Überlassung an die Gottheit der Weg war, auf welchem sich der Mensch von der Herrschaft böser, sozialschädlicher Triebe befreite. Es ist darum wohl kein Zufall, daß den alten Göttern alle menschlichen Eigenschaften – mit den aus ihnen folgenden Missetaten – in uneingeschränktem Maße zugeschrieben wurden, und kein Widerspruch, daß es doch nicht erlaubt war, die eigenen Frevel durch das göttliche Beispiel zu rechtfertigen.</w:t>
      </w:r>
    </w:p>
    <w:p w:rsidR="008725BE" w:rsidRPr="008725BE" w:rsidRDefault="008725BE" w:rsidP="008725BE">
      <w:pPr>
        <w:pStyle w:val="Sansinterligne"/>
        <w:rPr>
          <w:rFonts w:ascii="Garamond" w:hAnsi="Garamond"/>
          <w:caps/>
          <w:lang w:val="en-GB"/>
        </w:rPr>
      </w:pPr>
      <w:r w:rsidRPr="008725BE">
        <w:rPr>
          <w:rFonts w:ascii="Garamond" w:hAnsi="Garamond"/>
          <w:lang w:val="en-GB"/>
        </w:rPr>
        <w:br w:type="page"/>
      </w:r>
      <w:hyperlink w:anchor="KSinhalt" w:history="1">
        <w:r w:rsidRPr="008725BE">
          <w:rPr>
            <w:rStyle w:val="Lienhypertexte"/>
            <w:rFonts w:ascii="Garamond" w:hAnsi="Garamond"/>
            <w:b/>
            <w:lang w:val="en-GB"/>
          </w:rPr>
          <w:t>Zw</w:t>
        </w:r>
        <w:bookmarkStart w:id="214" w:name="KS79"/>
        <w:bookmarkEnd w:id="214"/>
        <w:r w:rsidRPr="008725BE">
          <w:rPr>
            <w:rStyle w:val="Lienhypertexte"/>
            <w:rFonts w:ascii="Garamond" w:hAnsi="Garamond"/>
            <w:b/>
            <w:lang w:val="en-GB"/>
          </w:rPr>
          <w:t>ei Kinderlügen</w:t>
        </w:r>
      </w:hyperlink>
      <w:r w:rsidRPr="008725BE">
        <w:rPr>
          <w:rFonts w:ascii="Garamond" w:hAnsi="Garamond"/>
          <w:lang w:val="en-GB"/>
        </w:rPr>
        <w:t xml:space="preserve">  </w:t>
      </w:r>
      <w:r w:rsidRPr="008725BE">
        <w:rPr>
          <w:rFonts w:ascii="Garamond" w:hAnsi="Garamond"/>
          <w:caps/>
          <w:lang w:val="en-GB"/>
        </w:rPr>
        <w:t>(1913)</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Es ist begreiflich, daß Kinder lügen, wenn sie damit die Lügen der Erwachsenen nachahmen. Aber eine Anzahl von Lügen von gut geratenen Kindern haben eine besondere Bedeutung und sollten die Erzieher nachdenklich machen, anstatt sie zu erbittern. Sie erfolgen unter dem Einfluß überstarker Liebesmotive und werden verhängnisvoll, wenn sie ein Mißverständnis zwischen dem Kinde und der von ihm geliebten Person herbeiführen.</w:t>
      </w:r>
    </w:p>
    <w:p w:rsidR="008725BE" w:rsidRPr="008725BE" w:rsidRDefault="008725BE" w:rsidP="008725BE">
      <w:pPr>
        <w:pStyle w:val="Sansinterligne"/>
        <w:rPr>
          <w:rFonts w:ascii="Garamond" w:hAnsi="Garamond"/>
          <w:caps/>
          <w:lang w:val="en-GB"/>
        </w:rPr>
      </w:pPr>
      <w:r w:rsidRPr="008725BE">
        <w:rPr>
          <w:rFonts w:ascii="Garamond" w:hAnsi="Garamond"/>
          <w:caps/>
          <w:lang w:val="en-GB"/>
        </w:rPr>
        <w:t>I</w:t>
      </w:r>
    </w:p>
    <w:p w:rsidR="008725BE" w:rsidRPr="008725BE" w:rsidRDefault="008725BE" w:rsidP="008725BE">
      <w:pPr>
        <w:pStyle w:val="Sansinterligne"/>
        <w:rPr>
          <w:rFonts w:ascii="Garamond" w:hAnsi="Garamond"/>
          <w:lang w:val="en-GB"/>
        </w:rPr>
      </w:pPr>
      <w:r w:rsidRPr="008725BE">
        <w:rPr>
          <w:rFonts w:ascii="Garamond" w:hAnsi="Garamond"/>
          <w:lang w:val="en-GB"/>
        </w:rPr>
        <w:t>Das siebenjährige Mädchen (im zweiten Schuljahr) hat vom Vater Geld verlangt, um Farben zum Bemalen von Ostereiern zu kaufen. Der Vater hat es abgeschlagen mit der Begründung, er habe kein Geld. Kurz darauf verlangt es vom Vater Geld, um zu einem Kranz für die verstorbene Landesfürstin beizusteuern. Jedes der Schulkinder soll fünfzig Pfennige bringen. Der Vater gibt ihr zehn Mark; sie bezahlt ihren Beitrag, legt dem Vater neun Mark auf den Schreibtisch und hat für die übrigen fünfzig Pfennige Farben gekauft, die sie im Spielschrank verbirgt. Bei Tisch fragt der Vater argwöhnisch, was sie mit den fehlenden fünfzig Pfennigen gemacht und ob sie dafür nicht doch Farben gekauft hat. Sie leugnet es, aber der um zwei Jahre ältere Bruder, mit dem gemeinsam sie die Eier bemalen wollte, verrät sie; die Farben werden im Schrank gefunden. Der erzürnte Vater überläßt die Missetäterin der Mutter zur Züchtigung, die sehr energisch ausfällt. Die Mutter ist nachher selbst erschüttert, als sie merkt, wie sehr das Kind verzweifelt ist. Sie liebkost es nach der Züchtigung, geht mit ihm spazieren, um es zu trösten. Aber die Wirkungen dieses Erlebnisses, von der Patientin selbst als »Wendepunkt« ihrer Jugend bezeichnet, erweisen sich als unaufhebbar. Sie war bis dahin ein wildes, zuversichtliches Kind, sie wird von da an scheu und zaghaft. In ihrer Brautzeit gerät sie in eine ihr unverständliche Wut, als die Mutter ihr die Möbel und Aussteuer besorgt. Es schwebt ihr vor, es ist doch ihr Geld, dafür darf kein anderer etwas kaufen. Als junge Frau scheut sie sich, von ihrem Manne Ausgaben für ihren persönlichen Bedarf zu verlangen, und scheidet in überflüssiger Weise »ihr« Geld von seinem Geld. Während der Zeit der Behandlung trifft es sich einige Male, daß die Geldzusendungen ihres Mannes sich verspäten, so daß sie in der fremden Stadt mittellos bleibt. Nachdem sie mir dies einmal erzählt hat, will ich ihr das Versprechen abnehmen, in der Wiederholung dieser Situation die kleine Summe, die sie unterdes braucht, von mir zu entlehnen. Sie gibt dieses Versprechen, hält es aber bei der nächsten Geldverlegenheit nicht ein und zieht es vor, ihre Schmuckstücke zu verpfänden. Sie erklärt, sie kann kein Geld von mir nehmen.</w:t>
      </w:r>
    </w:p>
    <w:p w:rsidR="008725BE" w:rsidRPr="008725BE" w:rsidRDefault="008725BE" w:rsidP="008725BE">
      <w:pPr>
        <w:pStyle w:val="Sansinterligne"/>
        <w:rPr>
          <w:rFonts w:ascii="Garamond" w:hAnsi="Garamond"/>
          <w:lang w:val="en-GB"/>
        </w:rPr>
      </w:pPr>
      <w:r w:rsidRPr="008725BE">
        <w:rPr>
          <w:rFonts w:ascii="Garamond" w:hAnsi="Garamond"/>
          <w:lang w:val="en-GB"/>
        </w:rPr>
        <w:t>Die Aneignung der fünfzig Pfennige in der Kindheit hatte eine Bedeutung, die der Vater nicht ahnen konnte. Einige Zeit vor der Schule hatte sie ein merkwürdiges Stückchen mit Geld aufgeführt. Eine befreundete Nachbarin hatte sie mit einem kleinen Geldbetrag als Begleiterin ihres noch jüngeren Söhnchens in einen Laden geschickt, um irgend etwas einzukaufen. Den Rest des Geldes nach dem Einkaufe trug sie als die ältere nach Hause. Als sie aber auf der Straße dem Dienstmädchen der Nachbarin begegnete, warf sie das Geld auf das Straßenpflaster hin. Zur Analyse dieser ihr selbst unerklärlichen Handlung fiel ihr Judas ein, der die Silberlinge hinwarf, die er für den Verrat am Herrn bekommen. Sie erklärt es für sicher, daß sie mit der Passionsgeschichte schon vor dem Schulbesuch bekannt wurde. Aber inwiefern durfte sie sich mit Judas identifizieren?</w:t>
      </w:r>
    </w:p>
    <w:p w:rsidR="008725BE" w:rsidRPr="008725BE" w:rsidRDefault="008725BE" w:rsidP="008725BE">
      <w:pPr>
        <w:pStyle w:val="Sansinterligne"/>
        <w:rPr>
          <w:rFonts w:ascii="Garamond" w:hAnsi="Garamond"/>
          <w:lang w:val="en-GB"/>
        </w:rPr>
      </w:pPr>
      <w:r w:rsidRPr="008725BE">
        <w:rPr>
          <w:rFonts w:ascii="Garamond" w:hAnsi="Garamond"/>
          <w:lang w:val="en-GB"/>
        </w:rPr>
        <w:t>Im Alter von dreieinhalb Jahren hatte sie ein Kindermädchen, dem sie sich sehr innig anschloß. Dieses Mädchen geriet in erotische Beziehungen zu einem Arzt, dessen Ordination sie mit dem Kinde besuchte. Es scheint, daß das Kind damals Zeuge verschiedener sexueller Vorgänge wurde. Ob sie sah, daß der Arzt dem Mädchen Geld gab, ist nicht sichergestellt; unzweifelhaft aber, daß das Mädchen dem Kinde kleine Münzen schenkte, um sich seiner Verschwiegenheit zu versichern, für welche auf dem Heimwege Einkäufe (wohl an Süßigkeiten) gemacht wurden. Es ist auch möglich, daß der Arzt selbst dem Kinde gelegentlich Geld schenkte. Dennoch verriet das Kind sein Mädchen an die Mutter, aus Eifersucht. Es spielte so auffällig mit den heimgebrachten Groschen, daß die Mutter fragen mußte: Woher hast du das Geld? Das Mädchen wurde weggeschickt.</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Geld von jemandem nehmen hatte also für sie frühzeitig die Bedeutung der körperlichen Hingebung, der Liebesbeziehung, bekommen. Vom Vater Geld nehmen hatte den Wert einer Liebeserklärung. Die Phantasie, daß der Vater ihr Geliebter sei, war so verführerisch, daß der Kinderwunsch nach den Farben für die Ostereier sich mit ihrer Hilfe gegen das Verbot leicht durchsetzte. Eingestehen konnte sie aber die Aneignung des Geldes nicht, sie mußte leugnen, weil das Motiv der Tat, ihr selbst unbewußt, nicht einzugestehen war. Die Züchtigung des Vaters war also eine Abweisung der ihm angebotenen Zärtlichkeit, eine Verschmähung, und brach darum ihren Mut. In der Behandlung brach ein schwerer </w:t>
      </w:r>
      <w:r w:rsidRPr="008725BE">
        <w:rPr>
          <w:rFonts w:ascii="Garamond" w:hAnsi="Garamond"/>
          <w:lang w:val="en-GB"/>
        </w:rPr>
        <w:lastRenderedPageBreak/>
        <w:t>Verstimmungszustand los, dessen Auflösung zu der Erinnerung des hier Mitgeteilten führte, als ich einmal genötigt war, die Verschmähung zu kopieren, indem ich sie bat, keine Blumen mehr zu bringen.</w:t>
      </w:r>
    </w:p>
    <w:p w:rsidR="008725BE" w:rsidRPr="008725BE" w:rsidRDefault="008725BE" w:rsidP="008725BE">
      <w:pPr>
        <w:pStyle w:val="Sansinterligne"/>
        <w:rPr>
          <w:rFonts w:ascii="Garamond" w:hAnsi="Garamond"/>
          <w:lang w:val="en-GB"/>
        </w:rPr>
      </w:pPr>
      <w:r w:rsidRPr="008725BE">
        <w:rPr>
          <w:rFonts w:ascii="Garamond" w:hAnsi="Garamond"/>
          <w:lang w:val="en-GB"/>
        </w:rPr>
        <w:t>Für den Psychoanalytiker bedarf es kaum der Hervorhebung, daß in dem kleinen Erlebnis des Kindes einer jener so überaus häufigen Fälle von Fortsetzung der früheren Analerotik in das spätere Liebesleben vorliegt. Auch die Lust, die Eier farbig zu bemalen, entstammt derselben Quelle.</w:t>
      </w:r>
    </w:p>
    <w:p w:rsidR="008725BE" w:rsidRPr="008725BE" w:rsidRDefault="008725BE" w:rsidP="008725BE">
      <w:pPr>
        <w:pStyle w:val="Sansinterligne"/>
        <w:rPr>
          <w:rFonts w:ascii="Garamond" w:hAnsi="Garamond"/>
          <w:caps/>
          <w:lang w:val="en-GB"/>
        </w:rPr>
      </w:pPr>
      <w:r w:rsidRPr="008725BE">
        <w:rPr>
          <w:rFonts w:ascii="Garamond" w:hAnsi="Garamond"/>
          <w:caps/>
          <w:lang w:val="en-GB"/>
        </w:rPr>
        <w:t>II</w:t>
      </w:r>
    </w:p>
    <w:p w:rsidR="008725BE" w:rsidRPr="008725BE" w:rsidRDefault="008725BE" w:rsidP="008725BE">
      <w:pPr>
        <w:pStyle w:val="Sansinterligne"/>
        <w:rPr>
          <w:rFonts w:ascii="Garamond" w:hAnsi="Garamond"/>
          <w:lang w:val="en-GB"/>
        </w:rPr>
      </w:pPr>
      <w:r w:rsidRPr="008725BE">
        <w:rPr>
          <w:rFonts w:ascii="Garamond" w:hAnsi="Garamond"/>
          <w:lang w:val="en-GB"/>
        </w:rPr>
        <w:t>Eine heute infolge einer Versagung im Leben schwerkranke Frau war früher einmal ein besonders tüchtiges, wahrheitsliebendes, ernsthaftes und gutes Mädchen gewesen und dann eine zärtliche Frau geworden. Noch früher aber, in den ersten Lebensjahren, war sie ein eigensinniges und unzufriedenes Kind gewesen, und während sie sich ziemlich rasch zur Übergüte und Übergewissenhaftigkeit wandelte, ereigneten sich noch in ihrer Schulzeit Dinge, die ihr in den Zeiten der Krankheit schwere Vorwürfe einbrachten und von ihr als Beweise gründlicher Verworfenheit beurteilt wurden. Ihre Erinnerung sagte ihr, daß sie damals oft geprahlt und gelogen hatte. Einmal rühmte sich auf dem Schulweg eine Kollegin: Gestern haben wir zu Mittag Eis gehabt. Sie erwiderte: Oh, Eis haben wir alle Tage. In Wirklichkeit verstand sie nicht, was Eis zur Mittagsmahlzeit bedeuten sollte; sie kannte das Eis nur in den langen Blöcken, wie es auf Wagen verführt wird, aber sie nahm an, es müsse etwas Vornehmes damit gemeint sein, und darum wollte sie hinter der Kollegin nicht zurückbleiben.</w:t>
      </w:r>
    </w:p>
    <w:p w:rsidR="008725BE" w:rsidRPr="008725BE" w:rsidRDefault="008725BE" w:rsidP="008725BE">
      <w:pPr>
        <w:pStyle w:val="Sansinterligne"/>
        <w:rPr>
          <w:rFonts w:ascii="Garamond" w:hAnsi="Garamond"/>
          <w:lang w:val="en-GB"/>
        </w:rPr>
      </w:pPr>
      <w:r w:rsidRPr="008725BE">
        <w:rPr>
          <w:rFonts w:ascii="Garamond" w:hAnsi="Garamond"/>
          <w:lang w:val="en-GB"/>
        </w:rPr>
        <w:t>Als sie zehn Jahre alt war, wurde in der Zeichenstunde einmal die Aufgabe gegeben, aus freier Hand einen Kreis zu ziehen. Sie bediente sich dabei aber des Zirkels, brachte so leicht einen vollkommenen Kreis zustande und zeigte ihre Leistung triumphierend ihrer Nachbarin. Der Lehrer kam hinzu, hörte die Prahlerin, entdeckte die Zirkelspuren in der Kreislinie und stellte das Mädchen zur Rede. Dieses aber leugnete hartnäckig, ließ sich durch keine Beweise überführen und half sich durch trotziges Verstummen. Der Lehrer konferierte darüber mit dem Vater; beide ließen sich durch die sonstige Bravheit des Mädchens bestimmen, dem Vergehen keine weitere Folge zu geben.</w:t>
      </w:r>
    </w:p>
    <w:p w:rsidR="008725BE" w:rsidRPr="008725BE" w:rsidRDefault="008725BE" w:rsidP="008725BE">
      <w:pPr>
        <w:pStyle w:val="Sansinterligne"/>
        <w:rPr>
          <w:rFonts w:ascii="Garamond" w:hAnsi="Garamond"/>
          <w:lang w:val="en-GB"/>
        </w:rPr>
      </w:pPr>
      <w:r w:rsidRPr="008725BE">
        <w:rPr>
          <w:rFonts w:ascii="Garamond" w:hAnsi="Garamond"/>
          <w:lang w:val="en-GB"/>
        </w:rPr>
        <w:t xml:space="preserve">Beide Lügen des Kindes waren durch den nämlichen Komplex motiviert. Als älteste von fünf Geschwistern entwickelte die Kleine frühzeitig eine ungewöhnlich intensive Anhänglichkeit an den Vater, an welcher dann in reifen Jahren ihr Lebensglück scheitern sollte. Sie mußte aber bald die Entdeckung machen, daß dem geliebten Vater nicht die Größe zukomme, die sie ihm zuzuschreiben bereit war. Er hatte mit Geldschwierigkeiten zu kämpfen, er war nicht so mächtig oder so vornehm, wie sie gemeint hatte. Diesen Abzug von ihrem Ideal konnte sie sich aber nicht gefallen lassen. Indem sie nach Art des Weibes ihren ganzen Ehrgeiz auf den geliebten Mann verlegte, wurde es zum überstarken Motiv für sie, den Vater gegen die Welt zu stützen. Sie prahlte also vor den Kolleginnen, um den Vater nicht verkleinern zu müssen. Als sie später das Eis beim Mittagessen mit » </w:t>
      </w:r>
      <w:r w:rsidRPr="008725BE">
        <w:rPr>
          <w:rFonts w:ascii="Garamond" w:hAnsi="Garamond"/>
          <w:i/>
          <w:iCs/>
          <w:lang w:val="en-GB"/>
        </w:rPr>
        <w:t>glace</w:t>
      </w:r>
      <w:r w:rsidRPr="008725BE">
        <w:rPr>
          <w:rFonts w:ascii="Garamond" w:hAnsi="Garamond"/>
          <w:lang w:val="en-GB"/>
        </w:rPr>
        <w:t>« übersetzen lernte, war der Weg gebahnt, auf welchem dann der Vorwurf wegen dieser Reminiszenz in eine Angst vor Glasscherben und Splittern einmünden konnte.</w:t>
      </w:r>
    </w:p>
    <w:p w:rsidR="008725BE" w:rsidRPr="008725BE" w:rsidRDefault="008725BE" w:rsidP="008725BE">
      <w:pPr>
        <w:pStyle w:val="Sansinterligne"/>
        <w:rPr>
          <w:rFonts w:ascii="Garamond" w:hAnsi="Garamond"/>
          <w:lang w:val="en-GB"/>
        </w:rPr>
      </w:pPr>
      <w:r w:rsidRPr="008725BE">
        <w:rPr>
          <w:rFonts w:ascii="Garamond" w:hAnsi="Garamond"/>
          <w:lang w:val="en-GB"/>
        </w:rPr>
        <w:t>Der Vater war ein vorzüglicher Zeichner und hatte durch die Proben seines Talents oft genug das Entzücken und die Bewunderung der Kinder hervorgerufen. In der Identifizierung mit dem Vater zeichnete sie in der Schule jenen Kreis, der ihr nur durch betrügerische Mittel gelingen konnte. Es war, als ob sie sich rühmen wollte: Schau her, was mein Vater kann! Das Schuldbewußtsein, das der überstarken Neigung zum Vater anhaftete, fand in dem versuchten Betrug seinen Ausdruck; ein Geständnis war aus demselben Grunde unmöglich wie in der vorstehenden Beobachtung, es hätte das Geständnis der verborgenen inzestuösen Liebe sein müssen.</w:t>
      </w:r>
    </w:p>
    <w:p w:rsidR="008725BE" w:rsidRPr="008725BE" w:rsidRDefault="008725BE" w:rsidP="008725BE">
      <w:pPr>
        <w:pStyle w:val="Sansinterligne"/>
        <w:rPr>
          <w:rFonts w:ascii="Garamond" w:hAnsi="Garamond"/>
          <w:lang w:val="en-GB"/>
        </w:rPr>
      </w:pPr>
      <w:r w:rsidRPr="008725BE">
        <w:rPr>
          <w:rFonts w:ascii="Garamond" w:hAnsi="Garamond"/>
          <w:lang w:val="en-GB"/>
        </w:rPr>
        <w:t> </w:t>
      </w:r>
    </w:p>
    <w:p w:rsidR="008725BE" w:rsidRPr="008725BE" w:rsidRDefault="008725BE" w:rsidP="008725BE">
      <w:pPr>
        <w:pStyle w:val="Sansinterligne"/>
        <w:rPr>
          <w:rFonts w:ascii="Garamond" w:hAnsi="Garamond"/>
          <w:lang w:val="en-GB"/>
        </w:rPr>
      </w:pPr>
      <w:r w:rsidRPr="008725BE">
        <w:rPr>
          <w:rFonts w:ascii="Garamond" w:hAnsi="Garamond"/>
          <w:lang w:val="en-GB"/>
        </w:rPr>
        <w:t>Man möge nicht gering denken von solchen Episoden des Kinderlebens. Es wäre eine arge Verfehlung, wenn man aus solchen kindlichen Vergehen die Prognose auf Entwicklung eines unmoralischen Charakters stellen würde. Wohl aber hängen sie mit den stärksten Motiven der kindlichen Seele zusammen und künden die Dispositionen zu späteren Schicksalen oder künftigen Neurosen an.</w:t>
      </w:r>
    </w:p>
    <w:p w:rsidR="008725BE" w:rsidRPr="00D74326" w:rsidRDefault="008725BE" w:rsidP="008725BE">
      <w:pPr>
        <w:rPr>
          <w:rFonts w:ascii="Garamond" w:hAnsi="Garamond" w:cs="Arial"/>
          <w:color w:val="000000"/>
          <w:lang w:val="en-GB"/>
        </w:rPr>
      </w:pPr>
    </w:p>
    <w:p w:rsidR="00B6748F" w:rsidRPr="008725BE" w:rsidRDefault="00B6748F" w:rsidP="008725BE">
      <w:pPr>
        <w:shd w:val="clear" w:color="auto" w:fill="FFFFFF"/>
        <w:spacing w:line="124" w:lineRule="atLeast"/>
        <w:rPr>
          <w:rFonts w:ascii="Garamond" w:hAnsi="Garamond" w:cs="Arial"/>
          <w:color w:val="000000"/>
          <w:lang w:val="en-GB"/>
        </w:rPr>
      </w:pPr>
    </w:p>
    <w:p w:rsidR="00B6748F" w:rsidRPr="005B7ABA" w:rsidRDefault="00B6748F" w:rsidP="00B6748F">
      <w:pPr>
        <w:shd w:val="clear" w:color="auto" w:fill="FFFFFF"/>
        <w:spacing w:before="100" w:beforeAutospacing="1" w:after="100" w:afterAutospacing="1" w:line="124" w:lineRule="atLeast"/>
        <w:rPr>
          <w:rFonts w:ascii="Verdana" w:hAnsi="Verdana"/>
          <w:color w:val="000000"/>
          <w:sz w:val="16"/>
          <w:szCs w:val="16"/>
          <w:lang w:val="en-GB"/>
        </w:rPr>
      </w:pPr>
    </w:p>
    <w:p w:rsidR="00B6748F" w:rsidRPr="005B7ABA" w:rsidRDefault="00B6748F" w:rsidP="00B6748F">
      <w:pPr>
        <w:rPr>
          <w:lang w:val="en-GB"/>
        </w:rPr>
      </w:pPr>
    </w:p>
    <w:p w:rsidR="00AD6ACB" w:rsidRPr="00CA69A1" w:rsidRDefault="00AD6ACB" w:rsidP="00AD6ACB">
      <w:pPr>
        <w:shd w:val="clear" w:color="auto" w:fill="FFFFFF"/>
        <w:spacing w:before="120" w:after="120" w:line="124" w:lineRule="atLeast"/>
        <w:rPr>
          <w:rFonts w:ascii="Garamond" w:hAnsi="Garamond" w:cs="Arial"/>
          <w:color w:val="000000"/>
          <w:lang w:val="en-US"/>
        </w:rPr>
      </w:pPr>
    </w:p>
    <w:p w:rsidR="00822836" w:rsidRPr="00393116" w:rsidRDefault="00822836" w:rsidP="00822836">
      <w:pPr>
        <w:pStyle w:val="Sansinterligne"/>
        <w:jc w:val="center"/>
        <w:rPr>
          <w:rStyle w:val="hps"/>
          <w:rFonts w:ascii="Garamond" w:hAnsi="Garamond"/>
          <w:color w:val="0000CC"/>
          <w:sz w:val="28"/>
          <w:szCs w:val="28"/>
          <w:lang w:val="de-DE"/>
        </w:rPr>
      </w:pPr>
      <w:r w:rsidRPr="00393116">
        <w:rPr>
          <w:rStyle w:val="hps"/>
          <w:rFonts w:ascii="Garamond" w:hAnsi="Garamond"/>
          <w:color w:val="0000CC"/>
          <w:sz w:val="28"/>
          <w:szCs w:val="28"/>
          <w:lang w:val="de-DE"/>
        </w:rPr>
        <w:lastRenderedPageBreak/>
        <w:t>5  Ps</w:t>
      </w:r>
      <w:bookmarkStart w:id="215" w:name="Psychoanalyse"/>
      <w:bookmarkEnd w:id="215"/>
      <w:r w:rsidRPr="00393116">
        <w:rPr>
          <w:rStyle w:val="hps"/>
          <w:rFonts w:ascii="Garamond" w:hAnsi="Garamond"/>
          <w:color w:val="0000CC"/>
          <w:sz w:val="28"/>
          <w:szCs w:val="28"/>
          <w:lang w:val="de-DE"/>
        </w:rPr>
        <w:t>ychoanalyse</w:t>
      </w:r>
      <w:r>
        <w:rPr>
          <w:rStyle w:val="hps"/>
          <w:rFonts w:ascii="Garamond" w:hAnsi="Garamond"/>
          <w:color w:val="0000CC"/>
          <w:sz w:val="28"/>
          <w:szCs w:val="28"/>
          <w:lang w:val="de-DE"/>
        </w:rPr>
        <w:t xml:space="preserve">                                      </w:t>
      </w:r>
      <w:hyperlink w:anchor="Werke" w:history="1">
        <w:r w:rsidRPr="005E1D01">
          <w:rPr>
            <w:rStyle w:val="Lienhypertexte"/>
            <w:rFonts w:ascii="Garamond" w:hAnsi="Garamond"/>
          </w:rPr>
          <w:t>W</w:t>
        </w:r>
        <w:r w:rsidRPr="005E1D01">
          <w:rPr>
            <w:rStyle w:val="Lienhypertexte"/>
            <w:rFonts w:ascii="Garamond" w:hAnsi="Garamond"/>
          </w:rPr>
          <w:t>e</w:t>
        </w:r>
        <w:r w:rsidRPr="005E1D01">
          <w:rPr>
            <w:rStyle w:val="Lienhypertexte"/>
            <w:rFonts w:ascii="Garamond" w:hAnsi="Garamond"/>
          </w:rPr>
          <w:t>rke</w:t>
        </w:r>
      </w:hyperlink>
    </w:p>
    <w:p w:rsidR="00822836" w:rsidRPr="00393116" w:rsidRDefault="00822836" w:rsidP="00822836">
      <w:pPr>
        <w:pStyle w:val="Sansinterligne"/>
        <w:rPr>
          <w:rStyle w:val="hps"/>
          <w:rFonts w:ascii="Garamond" w:hAnsi="Garamond"/>
          <w:sz w:val="20"/>
          <w:szCs w:val="20"/>
          <w:lang w:val="de-DE"/>
        </w:rPr>
      </w:pPr>
    </w:p>
    <w:p w:rsidR="00822836" w:rsidRPr="00822836" w:rsidRDefault="00822836" w:rsidP="00822836">
      <w:pPr>
        <w:pStyle w:val="Sansinterligne"/>
        <w:rPr>
          <w:rFonts w:ascii="Garamond" w:hAnsi="Garamond"/>
          <w:bCs/>
          <w:lang w:val="de-DE"/>
        </w:rPr>
      </w:pPr>
      <w:r w:rsidRPr="00822836">
        <w:rPr>
          <w:rFonts w:ascii="Garamond" w:hAnsi="Garamond"/>
          <w:bCs/>
          <w:color w:val="0000CC"/>
          <w:lang w:val="de-DE"/>
        </w:rPr>
        <w:t>DORA</w:t>
      </w:r>
      <w:r w:rsidRPr="00822836">
        <w:rPr>
          <w:rFonts w:ascii="Garamond" w:hAnsi="Garamond"/>
          <w:bCs/>
          <w:lang w:val="de-DE"/>
        </w:rPr>
        <w:t xml:space="preserve"> 1905 : Bruchstück einer Hysterie-Analyse</w:t>
      </w:r>
    </w:p>
    <w:p w:rsidR="00822836" w:rsidRPr="00822836" w:rsidRDefault="00822836" w:rsidP="00822836">
      <w:pPr>
        <w:pStyle w:val="Sansinterligne"/>
        <w:rPr>
          <w:rFonts w:ascii="Garamond" w:hAnsi="Garamond"/>
          <w:bCs/>
          <w:lang w:val="de-DE"/>
        </w:rPr>
      </w:pPr>
    </w:p>
    <w:p w:rsidR="00822836" w:rsidRDefault="00822836" w:rsidP="00822836">
      <w:pPr>
        <w:pStyle w:val="Sansinterligne"/>
        <w:rPr>
          <w:rFonts w:ascii="Garamond" w:hAnsi="Garamond"/>
          <w:bCs/>
          <w:lang w:val="de-DE"/>
        </w:rPr>
      </w:pPr>
      <w:r w:rsidRPr="00822836">
        <w:rPr>
          <w:rFonts w:ascii="Garamond" w:hAnsi="Garamond"/>
          <w:bCs/>
          <w:lang w:val="de-DE"/>
        </w:rPr>
        <w:t>In</w:t>
      </w:r>
      <w:bookmarkStart w:id="216" w:name="DoraInhalt"/>
      <w:bookmarkEnd w:id="216"/>
      <w:r w:rsidRPr="00822836">
        <w:rPr>
          <w:rFonts w:ascii="Garamond" w:hAnsi="Garamond"/>
          <w:bCs/>
          <w:lang w:val="de-DE"/>
        </w:rPr>
        <w:t>halt</w:t>
      </w:r>
    </w:p>
    <w:p w:rsidR="00822836" w:rsidRPr="00822836" w:rsidRDefault="00822836" w:rsidP="00822836">
      <w:pPr>
        <w:pStyle w:val="Sansinterligne"/>
        <w:rPr>
          <w:rFonts w:ascii="Garamond" w:hAnsi="Garamond"/>
          <w:bCs/>
          <w:lang w:val="de-DE"/>
        </w:rPr>
      </w:pPr>
    </w:p>
    <w:p w:rsidR="00822836" w:rsidRPr="00822836" w:rsidRDefault="00B437A1" w:rsidP="00CE4D4E">
      <w:pPr>
        <w:pStyle w:val="Sansinterligne"/>
        <w:numPr>
          <w:ilvl w:val="0"/>
          <w:numId w:val="3"/>
        </w:numPr>
        <w:rPr>
          <w:rFonts w:ascii="Garamond" w:hAnsi="Garamond"/>
          <w:bCs/>
          <w:lang w:val="de-DE"/>
        </w:rPr>
      </w:pPr>
      <w:hyperlink w:anchor="Doraa" w:history="1">
        <w:r w:rsidR="00822836" w:rsidRPr="00822836">
          <w:rPr>
            <w:rStyle w:val="Lienhypertexte"/>
            <w:rFonts w:ascii="Garamond" w:hAnsi="Garamond"/>
            <w:bCs/>
            <w:lang w:val="de-DE"/>
          </w:rPr>
          <w:t>Einführung</w:t>
        </w:r>
      </w:hyperlink>
    </w:p>
    <w:p w:rsidR="00822836" w:rsidRPr="00822836" w:rsidRDefault="00B437A1" w:rsidP="00CE4D4E">
      <w:pPr>
        <w:pStyle w:val="Sansinterligne"/>
        <w:numPr>
          <w:ilvl w:val="0"/>
          <w:numId w:val="3"/>
        </w:numPr>
        <w:rPr>
          <w:rFonts w:ascii="Garamond" w:hAnsi="Garamond"/>
          <w:bCs/>
          <w:lang w:val="de-DE"/>
        </w:rPr>
      </w:pPr>
      <w:hyperlink w:anchor="Dora1" w:history="1">
        <w:r w:rsidR="00822836" w:rsidRPr="00822836">
          <w:rPr>
            <w:rStyle w:val="Lienhypertexte"/>
            <w:rFonts w:ascii="Garamond" w:eastAsia="Times New Roman" w:hAnsi="Garamond" w:cs="Times New Roman"/>
            <w:bCs/>
            <w:lang w:val="en-US" w:eastAsia="fr-FR"/>
          </w:rPr>
          <w:t>I.    Der Krankheitszustand</w:t>
        </w:r>
      </w:hyperlink>
    </w:p>
    <w:p w:rsidR="00822836" w:rsidRPr="00822836" w:rsidRDefault="00B437A1" w:rsidP="00CE4D4E">
      <w:pPr>
        <w:pStyle w:val="Sansinterligne"/>
        <w:numPr>
          <w:ilvl w:val="0"/>
          <w:numId w:val="3"/>
        </w:numPr>
        <w:rPr>
          <w:rFonts w:ascii="Garamond" w:hAnsi="Garamond"/>
          <w:lang w:val="en-US"/>
        </w:rPr>
      </w:pPr>
      <w:hyperlink w:anchor="Dora2" w:history="1">
        <w:r w:rsidR="00822836" w:rsidRPr="00822836">
          <w:rPr>
            <w:rStyle w:val="Lienhypertexte"/>
            <w:rFonts w:ascii="Garamond" w:hAnsi="Garamond"/>
            <w:lang w:val="en-US"/>
          </w:rPr>
          <w:t>II.  Der erste Traum</w:t>
        </w:r>
      </w:hyperlink>
    </w:p>
    <w:p w:rsidR="00822836" w:rsidRPr="00822836" w:rsidRDefault="00B437A1" w:rsidP="00CE4D4E">
      <w:pPr>
        <w:pStyle w:val="Sansinterligne"/>
        <w:numPr>
          <w:ilvl w:val="0"/>
          <w:numId w:val="3"/>
        </w:numPr>
        <w:rPr>
          <w:rFonts w:ascii="Garamond" w:hAnsi="Garamond"/>
          <w:lang w:val="en-US"/>
        </w:rPr>
      </w:pPr>
      <w:hyperlink w:anchor="Dora3" w:history="1">
        <w:r w:rsidR="00822836" w:rsidRPr="00822836">
          <w:rPr>
            <w:rStyle w:val="Lienhypertexte"/>
            <w:rFonts w:ascii="Garamond" w:hAnsi="Garamond"/>
            <w:lang w:val="en-US"/>
          </w:rPr>
          <w:t>III. Der zweite Traum</w:t>
        </w:r>
      </w:hyperlink>
    </w:p>
    <w:p w:rsidR="00822836" w:rsidRPr="00822836" w:rsidRDefault="00B437A1" w:rsidP="00CE4D4E">
      <w:pPr>
        <w:pStyle w:val="Sansinterligne"/>
        <w:numPr>
          <w:ilvl w:val="0"/>
          <w:numId w:val="3"/>
        </w:numPr>
        <w:rPr>
          <w:rFonts w:ascii="Garamond" w:hAnsi="Garamond"/>
          <w:lang w:val="en-US"/>
        </w:rPr>
      </w:pPr>
      <w:hyperlink w:anchor="Dora4" w:history="1">
        <w:r w:rsidR="00822836" w:rsidRPr="00822836">
          <w:rPr>
            <w:rStyle w:val="Lienhypertexte"/>
            <w:rFonts w:ascii="Garamond" w:hAnsi="Garamond"/>
            <w:lang w:val="en-US"/>
          </w:rPr>
          <w:t>IV. Nachwort</w:t>
        </w:r>
      </w:hyperlink>
    </w:p>
    <w:p w:rsidR="00822836" w:rsidRPr="00822836" w:rsidRDefault="00822836" w:rsidP="00822836">
      <w:pPr>
        <w:pStyle w:val="Sansinterligne"/>
        <w:rPr>
          <w:rFonts w:ascii="Garamond" w:hAnsi="Garamond"/>
          <w:bCs/>
          <w:lang w:val="de-DE"/>
        </w:rPr>
      </w:pPr>
    </w:p>
    <w:p w:rsidR="00822836" w:rsidRPr="00822836" w:rsidRDefault="00822836" w:rsidP="00822836">
      <w:pPr>
        <w:pStyle w:val="Sansinterligne"/>
        <w:rPr>
          <w:rFonts w:ascii="Garamond" w:hAnsi="Garamond"/>
          <w:bCs/>
          <w:lang w:val="de-DE"/>
        </w:rPr>
      </w:pPr>
    </w:p>
    <w:p w:rsidR="00822836" w:rsidRPr="00822836" w:rsidRDefault="00822836" w:rsidP="00822836">
      <w:pPr>
        <w:pStyle w:val="Sansinterligne"/>
        <w:rPr>
          <w:rFonts w:ascii="Garamond" w:hAnsi="Garamond"/>
        </w:rPr>
      </w:pPr>
      <w:r w:rsidRPr="00822836">
        <w:rPr>
          <w:rFonts w:ascii="Garamond" w:hAnsi="Garamond"/>
          <w:bCs/>
          <w:color w:val="0000CC"/>
          <w:lang w:val="de-DE"/>
        </w:rPr>
        <w:t>HANS</w:t>
      </w:r>
      <w:r w:rsidRPr="00822836">
        <w:rPr>
          <w:rFonts w:ascii="Garamond" w:hAnsi="Garamond"/>
          <w:bCs/>
          <w:lang w:val="de-DE"/>
        </w:rPr>
        <w:t xml:space="preserve"> </w:t>
      </w:r>
      <w:r w:rsidRPr="00822836">
        <w:rPr>
          <w:rFonts w:ascii="Garamond" w:hAnsi="Garamond"/>
        </w:rPr>
        <w:t xml:space="preserve">1909 : Analyse der Phobie eines fünfjährigen Knaben </w:t>
      </w:r>
    </w:p>
    <w:p w:rsidR="00822836" w:rsidRPr="00822836" w:rsidRDefault="00822836" w:rsidP="00822836">
      <w:pPr>
        <w:pStyle w:val="Sansinterligne"/>
        <w:rPr>
          <w:rFonts w:ascii="Garamond" w:hAnsi="Garamond"/>
        </w:rPr>
      </w:pPr>
    </w:p>
    <w:p w:rsidR="00822836" w:rsidRPr="00822836" w:rsidRDefault="00822836" w:rsidP="00822836">
      <w:pPr>
        <w:pStyle w:val="Sansinterligne"/>
      </w:pPr>
      <w:r w:rsidRPr="00822836">
        <w:rPr>
          <w:rFonts w:ascii="Garamond" w:hAnsi="Garamond"/>
        </w:rPr>
        <w:t>In</w:t>
      </w:r>
      <w:bookmarkStart w:id="217" w:name="Hansinhalt"/>
      <w:bookmarkEnd w:id="217"/>
      <w:r w:rsidRPr="00822836">
        <w:rPr>
          <w:rFonts w:ascii="Garamond" w:hAnsi="Garamond"/>
        </w:rPr>
        <w:t>halt</w:t>
      </w:r>
    </w:p>
    <w:p w:rsidR="00822836" w:rsidRPr="00822836" w:rsidRDefault="00822836" w:rsidP="00822836">
      <w:pPr>
        <w:pStyle w:val="Sansinterligne"/>
        <w:rPr>
          <w:rFonts w:ascii="Garamond" w:hAnsi="Garamond"/>
        </w:rPr>
      </w:pPr>
    </w:p>
    <w:p w:rsidR="00822836" w:rsidRPr="00822836" w:rsidRDefault="00B437A1" w:rsidP="00CE4D4E">
      <w:pPr>
        <w:pStyle w:val="Sansinterligne"/>
        <w:numPr>
          <w:ilvl w:val="0"/>
          <w:numId w:val="3"/>
        </w:numPr>
        <w:rPr>
          <w:rFonts w:ascii="Garamond" w:eastAsia="Times New Roman" w:hAnsi="Garamond" w:cs="Times New Roman"/>
          <w:lang w:val="en-US" w:eastAsia="fr-FR"/>
        </w:rPr>
      </w:pPr>
      <w:hyperlink w:anchor="H1" w:history="1">
        <w:r w:rsidR="00822836" w:rsidRPr="00822836">
          <w:rPr>
            <w:rStyle w:val="Lienhypertexte"/>
            <w:rFonts w:ascii="Garamond" w:eastAsia="Times New Roman" w:hAnsi="Garamond" w:cs="Times New Roman"/>
            <w:bCs/>
            <w:lang w:val="en-US" w:eastAsia="fr-FR"/>
          </w:rPr>
          <w:t>I.    Einleitung</w:t>
        </w:r>
      </w:hyperlink>
    </w:p>
    <w:p w:rsidR="00822836" w:rsidRPr="00822836" w:rsidRDefault="00B437A1" w:rsidP="00CE4D4E">
      <w:pPr>
        <w:pStyle w:val="Sansinterligne"/>
        <w:numPr>
          <w:ilvl w:val="0"/>
          <w:numId w:val="3"/>
        </w:numPr>
        <w:rPr>
          <w:rFonts w:ascii="Garamond" w:eastAsia="Times New Roman" w:hAnsi="Garamond" w:cs="Times New Roman"/>
          <w:b/>
          <w:lang w:val="en-US" w:eastAsia="fr-FR"/>
        </w:rPr>
      </w:pPr>
      <w:hyperlink w:anchor="H2" w:history="1">
        <w:r w:rsidR="00822836" w:rsidRPr="00822836">
          <w:rPr>
            <w:rStyle w:val="Lienhypertexte"/>
            <w:rFonts w:ascii="Garamond" w:eastAsia="Times New Roman" w:hAnsi="Garamond" w:cs="Times New Roman"/>
            <w:bCs/>
            <w:lang w:val="en-US" w:eastAsia="fr-FR"/>
          </w:rPr>
          <w:t>II.  Krankengeschichte und Analyse</w:t>
        </w:r>
      </w:hyperlink>
    </w:p>
    <w:p w:rsidR="00822836" w:rsidRPr="00822836" w:rsidRDefault="00B437A1" w:rsidP="00CE4D4E">
      <w:pPr>
        <w:pStyle w:val="Sansinterligne"/>
        <w:numPr>
          <w:ilvl w:val="0"/>
          <w:numId w:val="3"/>
        </w:numPr>
        <w:rPr>
          <w:rFonts w:ascii="Garamond" w:eastAsia="Times New Roman" w:hAnsi="Garamond" w:cs="Times New Roman"/>
          <w:b/>
          <w:lang w:val="en-US" w:eastAsia="fr-FR"/>
        </w:rPr>
      </w:pPr>
      <w:hyperlink w:anchor="H3" w:history="1">
        <w:r w:rsidR="00822836" w:rsidRPr="00822836">
          <w:rPr>
            <w:rStyle w:val="Lienhypertexte"/>
            <w:rFonts w:ascii="Garamond" w:hAnsi="Garamond"/>
            <w:lang w:val="en-US"/>
          </w:rPr>
          <w:t>III. Epikrise</w:t>
        </w:r>
      </w:hyperlink>
    </w:p>
    <w:p w:rsidR="00822836" w:rsidRPr="00822836" w:rsidRDefault="00822836" w:rsidP="00822836">
      <w:pPr>
        <w:pStyle w:val="Sansinterligne"/>
        <w:rPr>
          <w:rFonts w:ascii="Garamond" w:hAnsi="Garamond"/>
          <w:lang w:val="en-US"/>
        </w:rPr>
      </w:pPr>
    </w:p>
    <w:p w:rsidR="00822836" w:rsidRPr="00822836" w:rsidRDefault="00822836" w:rsidP="00822836">
      <w:pPr>
        <w:pStyle w:val="Sansinterligne"/>
        <w:rPr>
          <w:rFonts w:ascii="Garamond" w:hAnsi="Garamond"/>
          <w:lang w:val="en-US"/>
        </w:rPr>
      </w:pPr>
      <w:r w:rsidRPr="00822836">
        <w:rPr>
          <w:rFonts w:ascii="Garamond" w:hAnsi="Garamond"/>
          <w:color w:val="0000CC"/>
          <w:lang w:val="en-US"/>
        </w:rPr>
        <w:t>DER RAT MAN</w:t>
      </w:r>
      <w:r w:rsidRPr="00822836">
        <w:rPr>
          <w:rFonts w:ascii="Garamond" w:hAnsi="Garamond"/>
          <w:lang w:val="en-US"/>
        </w:rPr>
        <w:t xml:space="preserve">  1909 : Bemerkungen über einen Fall von Zwangsneurose </w:t>
      </w:r>
    </w:p>
    <w:p w:rsidR="00822836" w:rsidRPr="00822836" w:rsidRDefault="00822836" w:rsidP="00822836">
      <w:pPr>
        <w:pStyle w:val="Sansinterligne"/>
        <w:rPr>
          <w:rFonts w:ascii="Garamond" w:hAnsi="Garamond"/>
          <w:lang w:val="en-US"/>
        </w:rPr>
      </w:pPr>
    </w:p>
    <w:p w:rsidR="00822836" w:rsidRPr="00822836" w:rsidRDefault="00822836" w:rsidP="00822836">
      <w:pPr>
        <w:pStyle w:val="Sansinterligne"/>
        <w:rPr>
          <w:rFonts w:ascii="Garamond" w:hAnsi="Garamond"/>
          <w:lang w:val="en-US"/>
        </w:rPr>
      </w:pPr>
      <w:r w:rsidRPr="00822836">
        <w:rPr>
          <w:rFonts w:ascii="Garamond" w:hAnsi="Garamond"/>
          <w:lang w:val="en-US"/>
        </w:rPr>
        <w:t>In</w:t>
      </w:r>
      <w:bookmarkStart w:id="218" w:name="Inhaltratman"/>
      <w:bookmarkEnd w:id="218"/>
      <w:r w:rsidRPr="00822836">
        <w:rPr>
          <w:rFonts w:ascii="Garamond" w:hAnsi="Garamond"/>
          <w:lang w:val="en-US"/>
        </w:rPr>
        <w:t>halt</w:t>
      </w:r>
    </w:p>
    <w:p w:rsidR="00822836" w:rsidRPr="00822836" w:rsidRDefault="00822836" w:rsidP="00822836">
      <w:pPr>
        <w:pStyle w:val="Sansinterligne"/>
        <w:rPr>
          <w:rFonts w:ascii="Garamond" w:hAnsi="Garamond"/>
          <w:lang w:val="en-US"/>
        </w:rPr>
      </w:pPr>
    </w:p>
    <w:p w:rsidR="00822836" w:rsidRPr="00822836" w:rsidRDefault="00B437A1" w:rsidP="00CE4D4E">
      <w:pPr>
        <w:pStyle w:val="Sansinterligne"/>
        <w:numPr>
          <w:ilvl w:val="0"/>
          <w:numId w:val="3"/>
        </w:numPr>
        <w:rPr>
          <w:rFonts w:ascii="Garamond" w:hAnsi="Garamond"/>
          <w:lang w:val="en-US"/>
        </w:rPr>
      </w:pPr>
      <w:hyperlink w:anchor="Ratman1" w:history="1">
        <w:r w:rsidR="00822836" w:rsidRPr="00822836">
          <w:rPr>
            <w:rStyle w:val="Lienhypertexte"/>
            <w:rFonts w:ascii="Garamond" w:eastAsia="Times New Roman" w:hAnsi="Garamond" w:cs="Times New Roman"/>
            <w:lang w:val="en-US" w:eastAsia="fr-FR"/>
          </w:rPr>
          <w:t>I.   Aus der Krankengeschichte</w:t>
        </w:r>
      </w:hyperlink>
    </w:p>
    <w:p w:rsidR="00822836" w:rsidRPr="00822836" w:rsidRDefault="00B437A1" w:rsidP="00CE4D4E">
      <w:pPr>
        <w:pStyle w:val="Sansinterligne"/>
        <w:numPr>
          <w:ilvl w:val="0"/>
          <w:numId w:val="3"/>
        </w:numPr>
        <w:rPr>
          <w:rFonts w:ascii="Garamond" w:hAnsi="Garamond"/>
          <w:lang w:val="en-US"/>
        </w:rPr>
      </w:pPr>
      <w:hyperlink w:anchor="Ratman2" w:history="1">
        <w:r w:rsidR="00822836" w:rsidRPr="00822836">
          <w:rPr>
            <w:rStyle w:val="Lienhypertexte"/>
            <w:rFonts w:ascii="Garamond" w:hAnsi="Garamond"/>
            <w:lang w:val="en-US"/>
          </w:rPr>
          <w:t>II.  Zur Theorie</w:t>
        </w:r>
      </w:hyperlink>
    </w:p>
    <w:p w:rsidR="00822836" w:rsidRPr="00822836" w:rsidRDefault="00822836" w:rsidP="00822836">
      <w:pPr>
        <w:pStyle w:val="Sansinterligne"/>
        <w:rPr>
          <w:rFonts w:ascii="Garamond" w:hAnsi="Garamond"/>
          <w:lang w:val="en-US"/>
        </w:rPr>
      </w:pPr>
    </w:p>
    <w:p w:rsidR="00822836" w:rsidRPr="00822836" w:rsidRDefault="00822836" w:rsidP="00822836">
      <w:pPr>
        <w:pStyle w:val="Sansinterligne"/>
        <w:rPr>
          <w:rFonts w:ascii="Garamond" w:hAnsi="Garamond"/>
          <w:lang w:val="en-US"/>
        </w:rPr>
      </w:pPr>
    </w:p>
    <w:p w:rsidR="00822836" w:rsidRPr="00822836" w:rsidRDefault="00822836" w:rsidP="00822836">
      <w:pPr>
        <w:pStyle w:val="Sansinterligne"/>
        <w:rPr>
          <w:rFonts w:ascii="Garamond" w:hAnsi="Garamond"/>
        </w:rPr>
      </w:pPr>
      <w:r w:rsidRPr="00822836">
        <w:rPr>
          <w:rFonts w:ascii="Garamond" w:hAnsi="Garamond"/>
          <w:color w:val="0000CC"/>
        </w:rPr>
        <w:t>SCHREBER</w:t>
      </w:r>
      <w:r w:rsidRPr="00822836">
        <w:rPr>
          <w:rFonts w:ascii="Garamond" w:hAnsi="Garamond"/>
        </w:rPr>
        <w:t xml:space="preserve">  1911 :   </w:t>
      </w:r>
      <w:r w:rsidRPr="00822836">
        <w:rPr>
          <w:rFonts w:ascii="Garamond" w:hAnsi="Garamond"/>
        </w:rPr>
        <w:br/>
      </w:r>
    </w:p>
    <w:p w:rsidR="00822836" w:rsidRPr="00822836" w:rsidRDefault="00822836" w:rsidP="00822836">
      <w:pPr>
        <w:pStyle w:val="Sansinterligne"/>
        <w:rPr>
          <w:rFonts w:ascii="Garamond" w:hAnsi="Garamond"/>
          <w:sz w:val="18"/>
          <w:szCs w:val="18"/>
        </w:rPr>
      </w:pPr>
      <w:r w:rsidRPr="00822836">
        <w:rPr>
          <w:rFonts w:ascii="Garamond" w:hAnsi="Garamond"/>
          <w:sz w:val="18"/>
          <w:szCs w:val="18"/>
        </w:rPr>
        <w:t xml:space="preserve">Psychoanalytische Bemerkungen über einen autobiographisch beschriebenen Fall von Paranoia (Dementia paranoides) </w:t>
      </w:r>
    </w:p>
    <w:p w:rsidR="00822836" w:rsidRPr="00822836" w:rsidRDefault="00822836" w:rsidP="00822836">
      <w:pPr>
        <w:pStyle w:val="Sansinterligne"/>
        <w:rPr>
          <w:rFonts w:ascii="Garamond" w:hAnsi="Garamond"/>
        </w:rPr>
      </w:pPr>
    </w:p>
    <w:p w:rsidR="00822836" w:rsidRPr="00822836" w:rsidRDefault="00822836" w:rsidP="00822836">
      <w:pPr>
        <w:pStyle w:val="Sansinterligne"/>
        <w:rPr>
          <w:rFonts w:ascii="Garamond" w:hAnsi="Garamond"/>
        </w:rPr>
      </w:pPr>
      <w:r w:rsidRPr="00822836">
        <w:rPr>
          <w:rFonts w:ascii="Garamond" w:hAnsi="Garamond"/>
        </w:rPr>
        <w:t>In</w:t>
      </w:r>
      <w:bookmarkStart w:id="219" w:name="SchreberInhalt"/>
      <w:bookmarkEnd w:id="219"/>
      <w:r w:rsidRPr="00822836">
        <w:rPr>
          <w:rFonts w:ascii="Garamond" w:hAnsi="Garamond"/>
        </w:rPr>
        <w:t>halt</w:t>
      </w:r>
    </w:p>
    <w:p w:rsidR="00822836" w:rsidRPr="00822836" w:rsidRDefault="00822836" w:rsidP="00822836">
      <w:pPr>
        <w:pStyle w:val="Sansinterligne"/>
        <w:rPr>
          <w:rFonts w:ascii="Garamond" w:hAnsi="Garamond"/>
        </w:rPr>
      </w:pPr>
    </w:p>
    <w:p w:rsidR="00822836" w:rsidRPr="00822836" w:rsidRDefault="00B437A1" w:rsidP="00CE4D4E">
      <w:pPr>
        <w:pStyle w:val="Sansinterligne"/>
        <w:numPr>
          <w:ilvl w:val="0"/>
          <w:numId w:val="3"/>
        </w:numPr>
        <w:rPr>
          <w:rFonts w:ascii="Garamond" w:hAnsi="Garamond"/>
        </w:rPr>
      </w:pPr>
      <w:hyperlink w:anchor="Schreber1" w:history="1">
        <w:r w:rsidR="00822836" w:rsidRPr="00822836">
          <w:rPr>
            <w:rStyle w:val="Lienhypertexte"/>
            <w:rFonts w:ascii="Garamond" w:eastAsia="Times New Roman" w:hAnsi="Garamond" w:cs="Times New Roman"/>
            <w:lang w:val="en-US" w:eastAsia="fr-FR"/>
          </w:rPr>
          <w:t>I.   Krankengeschichte</w:t>
        </w:r>
      </w:hyperlink>
    </w:p>
    <w:p w:rsidR="00822836" w:rsidRPr="00822836" w:rsidRDefault="00B437A1" w:rsidP="00CE4D4E">
      <w:pPr>
        <w:pStyle w:val="Sansinterligne"/>
        <w:numPr>
          <w:ilvl w:val="0"/>
          <w:numId w:val="3"/>
        </w:numPr>
        <w:rPr>
          <w:rFonts w:ascii="Garamond" w:hAnsi="Garamond"/>
        </w:rPr>
      </w:pPr>
      <w:hyperlink w:anchor="Schreber2" w:history="1">
        <w:r w:rsidR="00822836" w:rsidRPr="00822836">
          <w:rPr>
            <w:rStyle w:val="Lienhypertexte"/>
            <w:rFonts w:ascii="Garamond" w:hAnsi="Garamond"/>
            <w:lang w:val="en-US"/>
          </w:rPr>
          <w:t>II.  Deutungsversuche</w:t>
        </w:r>
      </w:hyperlink>
    </w:p>
    <w:p w:rsidR="00822836" w:rsidRPr="00822836" w:rsidRDefault="00B437A1" w:rsidP="00CE4D4E">
      <w:pPr>
        <w:pStyle w:val="Sansinterligne"/>
        <w:numPr>
          <w:ilvl w:val="0"/>
          <w:numId w:val="3"/>
        </w:numPr>
        <w:rPr>
          <w:rFonts w:ascii="Garamond" w:hAnsi="Garamond"/>
        </w:rPr>
      </w:pPr>
      <w:hyperlink w:anchor="Schreber3" w:history="1">
        <w:r w:rsidR="00822836" w:rsidRPr="00822836">
          <w:rPr>
            <w:rStyle w:val="Lienhypertexte"/>
            <w:rFonts w:ascii="Garamond" w:hAnsi="Garamond"/>
            <w:lang w:val="en-US"/>
          </w:rPr>
          <w:t>III. Über den paranoischen Mechanismus</w:t>
        </w:r>
      </w:hyperlink>
    </w:p>
    <w:p w:rsidR="00822836" w:rsidRPr="00822836" w:rsidRDefault="00822836" w:rsidP="00822836">
      <w:pPr>
        <w:pStyle w:val="Sansinterligne"/>
        <w:rPr>
          <w:rFonts w:ascii="Garamond" w:hAnsi="Garamond"/>
        </w:rPr>
      </w:pPr>
    </w:p>
    <w:p w:rsidR="00822836" w:rsidRPr="00822836" w:rsidRDefault="00822836" w:rsidP="00822836">
      <w:pPr>
        <w:pStyle w:val="Sansinterligne"/>
        <w:rPr>
          <w:rFonts w:ascii="Garamond" w:hAnsi="Garamond"/>
        </w:rPr>
      </w:pPr>
    </w:p>
    <w:p w:rsidR="00822836" w:rsidRPr="00822836" w:rsidRDefault="00822836" w:rsidP="00822836">
      <w:pPr>
        <w:pStyle w:val="Sansinterligne"/>
        <w:rPr>
          <w:rFonts w:ascii="Garamond" w:hAnsi="Garamond"/>
          <w:lang w:val="en-US"/>
        </w:rPr>
      </w:pPr>
      <w:r w:rsidRPr="00822836">
        <w:rPr>
          <w:rFonts w:ascii="Garamond" w:hAnsi="Garamond"/>
          <w:color w:val="0000CC"/>
          <w:lang w:val="en-US"/>
        </w:rPr>
        <w:t xml:space="preserve">DER WOLF MAN  </w:t>
      </w:r>
      <w:r w:rsidRPr="00822836">
        <w:rPr>
          <w:rFonts w:ascii="Garamond" w:hAnsi="Garamond"/>
          <w:lang w:val="en-US"/>
        </w:rPr>
        <w:t xml:space="preserve">1918 : Aus der Geschichte einer infantilen Neurose </w:t>
      </w:r>
    </w:p>
    <w:p w:rsidR="00822836" w:rsidRPr="00822836" w:rsidRDefault="00822836" w:rsidP="00822836">
      <w:pPr>
        <w:pStyle w:val="Sansinterligne"/>
        <w:rPr>
          <w:rFonts w:ascii="Garamond" w:hAnsi="Garamond"/>
          <w:lang w:val="en-US"/>
        </w:rPr>
      </w:pPr>
    </w:p>
    <w:p w:rsidR="00822836" w:rsidRPr="00822836" w:rsidRDefault="00822836" w:rsidP="00822836">
      <w:pPr>
        <w:pStyle w:val="Sansinterligne"/>
        <w:rPr>
          <w:rFonts w:ascii="Garamond" w:hAnsi="Garamond"/>
          <w:lang w:val="en-US"/>
        </w:rPr>
      </w:pPr>
      <w:r w:rsidRPr="00822836">
        <w:rPr>
          <w:rFonts w:ascii="Garamond" w:hAnsi="Garamond"/>
          <w:lang w:val="en-US"/>
        </w:rPr>
        <w:t>In</w:t>
      </w:r>
      <w:bookmarkStart w:id="220" w:name="WolfmanInhalt"/>
      <w:bookmarkEnd w:id="220"/>
      <w:r w:rsidRPr="00822836">
        <w:rPr>
          <w:rFonts w:ascii="Garamond" w:hAnsi="Garamond"/>
          <w:lang w:val="en-US"/>
        </w:rPr>
        <w:t>halt</w:t>
      </w:r>
    </w:p>
    <w:p w:rsidR="00822836" w:rsidRPr="00822836" w:rsidRDefault="00822836" w:rsidP="00822836">
      <w:pPr>
        <w:pStyle w:val="Sansinterligne"/>
        <w:rPr>
          <w:rFonts w:ascii="Garamond" w:hAnsi="Garamond"/>
          <w:lang w:val="en-US"/>
        </w:rPr>
      </w:pPr>
    </w:p>
    <w:p w:rsidR="00822836" w:rsidRPr="00822836" w:rsidRDefault="00B437A1" w:rsidP="00CE4D4E">
      <w:pPr>
        <w:pStyle w:val="Sansinterligne"/>
        <w:numPr>
          <w:ilvl w:val="0"/>
          <w:numId w:val="3"/>
        </w:numPr>
        <w:rPr>
          <w:rFonts w:ascii="Garamond" w:hAnsi="Garamond"/>
          <w:lang w:val="en-US"/>
        </w:rPr>
      </w:pPr>
      <w:hyperlink w:anchor="Wolfman1" w:history="1">
        <w:r w:rsidR="00822836" w:rsidRPr="00822836">
          <w:rPr>
            <w:rStyle w:val="Lienhypertexte"/>
            <w:rFonts w:ascii="Garamond" w:hAnsi="Garamond"/>
            <w:lang w:val="en-US"/>
          </w:rPr>
          <w:t xml:space="preserve">I       </w:t>
        </w:r>
        <w:r w:rsidR="00822836" w:rsidRPr="00822836">
          <w:rPr>
            <w:rStyle w:val="Lienhypertexte"/>
            <w:rFonts w:ascii="Garamond" w:hAnsi="Garamond"/>
            <w:lang w:val="de-DE"/>
          </w:rPr>
          <w:t>Einführung</w:t>
        </w:r>
      </w:hyperlink>
    </w:p>
    <w:p w:rsidR="00822836" w:rsidRPr="00822836" w:rsidRDefault="00B437A1" w:rsidP="00CE4D4E">
      <w:pPr>
        <w:pStyle w:val="Sansinterligne"/>
        <w:numPr>
          <w:ilvl w:val="0"/>
          <w:numId w:val="3"/>
        </w:numPr>
        <w:rPr>
          <w:rFonts w:ascii="Garamond" w:hAnsi="Garamond"/>
          <w:lang w:val="en-US"/>
        </w:rPr>
      </w:pPr>
      <w:hyperlink w:anchor="Wolfman2" w:history="1">
        <w:r w:rsidR="00822836" w:rsidRPr="00822836">
          <w:rPr>
            <w:rStyle w:val="Lienhypertexte"/>
            <w:rFonts w:ascii="Garamond" w:eastAsia="Times New Roman" w:hAnsi="Garamond" w:cs="Times New Roman"/>
            <w:bCs/>
            <w:lang w:val="en-US" w:eastAsia="fr-FR"/>
          </w:rPr>
          <w:t>II.     Übersicht des Milieus und der Krankengeschichte</w:t>
        </w:r>
      </w:hyperlink>
    </w:p>
    <w:p w:rsidR="00822836" w:rsidRPr="00822836" w:rsidRDefault="00B437A1" w:rsidP="00CE4D4E">
      <w:pPr>
        <w:pStyle w:val="Sansinterligne"/>
        <w:numPr>
          <w:ilvl w:val="0"/>
          <w:numId w:val="3"/>
        </w:numPr>
        <w:rPr>
          <w:rFonts w:ascii="Garamond" w:hAnsi="Garamond"/>
          <w:lang w:val="en-US"/>
        </w:rPr>
      </w:pPr>
      <w:hyperlink w:anchor="Wolfman3" w:history="1">
        <w:r w:rsidR="00822836" w:rsidRPr="00822836">
          <w:rPr>
            <w:rStyle w:val="Lienhypertexte"/>
            <w:rFonts w:ascii="Garamond" w:hAnsi="Garamond"/>
            <w:lang w:val="en-US"/>
          </w:rPr>
          <w:t>III.   Die Verführung und ihre nächsten Folgen</w:t>
        </w:r>
      </w:hyperlink>
    </w:p>
    <w:p w:rsidR="00822836" w:rsidRPr="00822836" w:rsidRDefault="00B437A1" w:rsidP="00CE4D4E">
      <w:pPr>
        <w:pStyle w:val="Sansinterligne"/>
        <w:numPr>
          <w:ilvl w:val="0"/>
          <w:numId w:val="3"/>
        </w:numPr>
        <w:rPr>
          <w:rFonts w:ascii="Garamond" w:hAnsi="Garamond"/>
          <w:lang w:val="en-US"/>
        </w:rPr>
      </w:pPr>
      <w:hyperlink w:anchor="Wolfman4" w:history="1">
        <w:r w:rsidR="00822836" w:rsidRPr="00822836">
          <w:rPr>
            <w:rStyle w:val="Lienhypertexte"/>
            <w:rFonts w:ascii="Garamond" w:eastAsia="Times New Roman" w:hAnsi="Garamond" w:cs="Times New Roman"/>
            <w:bCs/>
            <w:lang w:val="en-US" w:eastAsia="fr-FR"/>
          </w:rPr>
          <w:t>IV.   Der Traum und die Urszene</w:t>
        </w:r>
      </w:hyperlink>
    </w:p>
    <w:p w:rsidR="00822836" w:rsidRPr="00822836" w:rsidRDefault="00B437A1" w:rsidP="00CE4D4E">
      <w:pPr>
        <w:pStyle w:val="Sansinterligne"/>
        <w:numPr>
          <w:ilvl w:val="0"/>
          <w:numId w:val="3"/>
        </w:numPr>
        <w:rPr>
          <w:rFonts w:ascii="Garamond" w:hAnsi="Garamond"/>
          <w:lang w:val="en-US"/>
        </w:rPr>
      </w:pPr>
      <w:hyperlink w:anchor="Wolfman5" w:history="1">
        <w:r w:rsidR="00822836" w:rsidRPr="00822836">
          <w:rPr>
            <w:rStyle w:val="Lienhypertexte"/>
            <w:rFonts w:ascii="Garamond" w:hAnsi="Garamond"/>
            <w:lang w:val="en-US"/>
          </w:rPr>
          <w:t>V.    Einige Diskussionen</w:t>
        </w:r>
      </w:hyperlink>
    </w:p>
    <w:p w:rsidR="00822836" w:rsidRPr="00822836" w:rsidRDefault="00B437A1" w:rsidP="00CE4D4E">
      <w:pPr>
        <w:pStyle w:val="Sansinterligne"/>
        <w:numPr>
          <w:ilvl w:val="0"/>
          <w:numId w:val="3"/>
        </w:numPr>
        <w:rPr>
          <w:rFonts w:ascii="Garamond" w:hAnsi="Garamond"/>
          <w:lang w:val="en-US"/>
        </w:rPr>
      </w:pPr>
      <w:hyperlink w:anchor="Wolfman6" w:history="1">
        <w:r w:rsidR="00822836" w:rsidRPr="00822836">
          <w:rPr>
            <w:rStyle w:val="Lienhypertexte"/>
            <w:rFonts w:ascii="Garamond" w:hAnsi="Garamond"/>
            <w:lang w:val="en-US"/>
          </w:rPr>
          <w:t>VI.  Die Zwangsneurose</w:t>
        </w:r>
      </w:hyperlink>
    </w:p>
    <w:p w:rsidR="00822836" w:rsidRPr="00822836" w:rsidRDefault="00B437A1" w:rsidP="00CE4D4E">
      <w:pPr>
        <w:pStyle w:val="Sansinterligne"/>
        <w:numPr>
          <w:ilvl w:val="0"/>
          <w:numId w:val="3"/>
        </w:numPr>
        <w:rPr>
          <w:rFonts w:ascii="Garamond" w:hAnsi="Garamond"/>
          <w:lang w:val="en-US"/>
        </w:rPr>
      </w:pPr>
      <w:hyperlink w:anchor="Wolfman7" w:history="1">
        <w:r w:rsidR="00822836" w:rsidRPr="00822836">
          <w:rPr>
            <w:rStyle w:val="Lienhypertexte"/>
            <w:rFonts w:ascii="Garamond" w:hAnsi="Garamond"/>
            <w:lang w:val="en-US"/>
          </w:rPr>
          <w:t>VII. Analerotik und Kastrationskomplex</w:t>
        </w:r>
      </w:hyperlink>
    </w:p>
    <w:p w:rsidR="00822836" w:rsidRPr="00822836" w:rsidRDefault="00B437A1" w:rsidP="00CE4D4E">
      <w:pPr>
        <w:pStyle w:val="Sansinterligne"/>
        <w:numPr>
          <w:ilvl w:val="0"/>
          <w:numId w:val="3"/>
        </w:numPr>
        <w:rPr>
          <w:rFonts w:ascii="Garamond" w:hAnsi="Garamond"/>
        </w:rPr>
      </w:pPr>
      <w:hyperlink w:anchor="Wolfman8" w:history="1">
        <w:r w:rsidR="00822836" w:rsidRPr="00822836">
          <w:rPr>
            <w:rStyle w:val="Lienhypertexte"/>
            <w:rFonts w:ascii="Garamond" w:hAnsi="Garamond"/>
          </w:rPr>
          <w:t>VIII. Nachträge aus der Urzeit – Lösung</w:t>
        </w:r>
      </w:hyperlink>
    </w:p>
    <w:p w:rsidR="00822836" w:rsidRPr="00A57530" w:rsidRDefault="00B437A1" w:rsidP="00CE4D4E">
      <w:pPr>
        <w:pStyle w:val="Sansinterligne"/>
        <w:numPr>
          <w:ilvl w:val="0"/>
          <w:numId w:val="3"/>
        </w:numPr>
        <w:rPr>
          <w:rFonts w:ascii="Garamond" w:hAnsi="Garamond"/>
        </w:rPr>
      </w:pPr>
      <w:hyperlink w:anchor="Wolfman9" w:history="1">
        <w:r w:rsidR="00822836" w:rsidRPr="00822836">
          <w:rPr>
            <w:rStyle w:val="Lienhypertexte"/>
            <w:rFonts w:ascii="Garamond" w:hAnsi="Garamond"/>
            <w:lang w:val="en-US"/>
          </w:rPr>
          <w:t>IX. Zusammenfassungen und Probleme</w:t>
        </w:r>
      </w:hyperlink>
    </w:p>
    <w:p w:rsidR="00822836" w:rsidRPr="00A57530" w:rsidRDefault="00822836" w:rsidP="00822836">
      <w:pPr>
        <w:pStyle w:val="Sansinterligne"/>
        <w:rPr>
          <w:rFonts w:ascii="Garamond" w:hAnsi="Garamond"/>
        </w:rPr>
      </w:pPr>
    </w:p>
    <w:p w:rsidR="00822836" w:rsidRPr="00A57530" w:rsidRDefault="00822836" w:rsidP="00822836">
      <w:pPr>
        <w:pStyle w:val="Sansinterligne"/>
        <w:rPr>
          <w:rFonts w:ascii="Garamond" w:hAnsi="Garamond"/>
        </w:rPr>
      </w:pPr>
    </w:p>
    <w:p w:rsidR="00822836" w:rsidRPr="00A57530" w:rsidRDefault="00822836" w:rsidP="00822836">
      <w:pPr>
        <w:pStyle w:val="Sansinterligne"/>
        <w:rPr>
          <w:rFonts w:ascii="Garamond" w:hAnsi="Garamond"/>
        </w:rPr>
      </w:pPr>
    </w:p>
    <w:p w:rsidR="00822836" w:rsidRPr="00A57530" w:rsidRDefault="00822836" w:rsidP="00822836">
      <w:pPr>
        <w:pStyle w:val="Sansinterligne"/>
        <w:rPr>
          <w:rFonts w:ascii="Garamond" w:hAnsi="Garamond"/>
        </w:rPr>
      </w:pPr>
    </w:p>
    <w:p w:rsidR="00822836" w:rsidRDefault="00B437A1" w:rsidP="00822836">
      <w:pPr>
        <w:pStyle w:val="Sansinterligne"/>
        <w:rPr>
          <w:rFonts w:ascii="Garamond" w:hAnsi="Garamond"/>
          <w:bCs/>
          <w:sz w:val="20"/>
          <w:szCs w:val="20"/>
          <w:lang w:val="de-DE"/>
        </w:rPr>
      </w:pPr>
      <w:hyperlink w:anchor="DoraInhalt" w:history="1">
        <w:r w:rsidR="00822836" w:rsidRPr="00822836">
          <w:rPr>
            <w:rStyle w:val="Lienhypertexte"/>
            <w:rFonts w:ascii="Garamond" w:hAnsi="Garamond"/>
            <w:bCs/>
            <w:sz w:val="20"/>
            <w:szCs w:val="20"/>
            <w:lang w:val="de-DE"/>
          </w:rPr>
          <w:t>DO</w:t>
        </w:r>
        <w:bookmarkStart w:id="221" w:name="Doraa"/>
        <w:bookmarkEnd w:id="221"/>
        <w:r w:rsidR="00822836" w:rsidRPr="00822836">
          <w:rPr>
            <w:rStyle w:val="Lienhypertexte"/>
            <w:rFonts w:ascii="Garamond" w:hAnsi="Garamond"/>
            <w:bCs/>
            <w:sz w:val="20"/>
            <w:szCs w:val="20"/>
            <w:lang w:val="de-DE"/>
          </w:rPr>
          <w:t>RA 1905</w:t>
        </w:r>
      </w:hyperlink>
    </w:p>
    <w:p w:rsidR="00822836" w:rsidRPr="00393116" w:rsidRDefault="00822836" w:rsidP="00822836">
      <w:pPr>
        <w:pStyle w:val="Sansinterligne"/>
        <w:rPr>
          <w:rFonts w:ascii="Garamond" w:hAnsi="Garamond"/>
          <w:bCs/>
          <w:sz w:val="20"/>
          <w:szCs w:val="20"/>
          <w:lang w:val="de-DE"/>
        </w:rPr>
      </w:pPr>
    </w:p>
    <w:p w:rsidR="00822836" w:rsidRDefault="00822836" w:rsidP="00822836">
      <w:pPr>
        <w:pStyle w:val="Sansinterligne"/>
        <w:rPr>
          <w:rFonts w:ascii="Garamond" w:hAnsi="Garamond"/>
          <w:bCs/>
          <w:sz w:val="20"/>
          <w:szCs w:val="20"/>
          <w:lang w:val="de-DE"/>
        </w:rPr>
      </w:pPr>
      <w:r w:rsidRPr="00393116">
        <w:rPr>
          <w:rFonts w:ascii="Garamond" w:hAnsi="Garamond"/>
          <w:bCs/>
          <w:sz w:val="20"/>
          <w:szCs w:val="20"/>
          <w:lang w:val="de-DE"/>
        </w:rPr>
        <w:t>Bruchstück einer Hysterie-Analyse</w:t>
      </w:r>
    </w:p>
    <w:p w:rsidR="00822836" w:rsidRDefault="00822836" w:rsidP="00822836">
      <w:pPr>
        <w:pStyle w:val="Sansinterligne"/>
        <w:rPr>
          <w:rFonts w:ascii="Garamond" w:hAnsi="Garamond"/>
          <w:sz w:val="20"/>
          <w:szCs w:val="20"/>
          <w:lang w:val="de-DE"/>
        </w:rPr>
      </w:pPr>
    </w:p>
    <w:p w:rsidR="00822836" w:rsidRDefault="00822836" w:rsidP="00822836">
      <w:pPr>
        <w:pStyle w:val="Sansinterligne"/>
        <w:rPr>
          <w:rFonts w:ascii="Garamond" w:hAnsi="Garamond"/>
          <w:sz w:val="20"/>
          <w:szCs w:val="20"/>
          <w:lang w:val="de-DE"/>
        </w:rPr>
      </w:pPr>
    </w:p>
    <w:p w:rsidR="00822836" w:rsidRPr="00393116" w:rsidRDefault="00822836" w:rsidP="00822836">
      <w:pPr>
        <w:pStyle w:val="Sansinterligne"/>
        <w:rPr>
          <w:rFonts w:ascii="Garamond" w:hAnsi="Garamond"/>
          <w:sz w:val="20"/>
          <w:szCs w:val="20"/>
          <w:lang w:val="de-DE"/>
        </w:rPr>
      </w:pPr>
      <w:r w:rsidRPr="00393116">
        <w:rPr>
          <w:rFonts w:ascii="Garamond" w:hAnsi="Garamond"/>
          <w:sz w:val="20"/>
          <w:szCs w:val="20"/>
          <w:lang w:val="de-DE"/>
        </w:rPr>
        <w:t>Wenn ich nach längerer Pause daran gehe, meine in den Jahren 1895 und 1896 aufgestellten Behauptungen über die Pathogenese hysterischer Symptome und die psychischen Vorgänge bei der Hysterie durch ausführliche Mitteilung einer Kranken- und Behandlungsgeschichte zu erhärten, so kann ich mir dieses Vorwort nicht ersparen, welches mein Tun einerseits nach verschiedenen Richtungen rechtfertigen, anderseits die Erwartungen, die es empfangen werden, auf ein billiges Maß zurückführen soll.</w:t>
      </w:r>
    </w:p>
    <w:p w:rsidR="00822836" w:rsidRPr="00393116" w:rsidRDefault="00822836" w:rsidP="00822836">
      <w:pPr>
        <w:pStyle w:val="Sansinterligne"/>
        <w:rPr>
          <w:rFonts w:ascii="Garamond" w:hAnsi="Garamond"/>
          <w:sz w:val="20"/>
          <w:szCs w:val="20"/>
          <w:lang w:val="de-DE"/>
        </w:rPr>
      </w:pPr>
      <w:r w:rsidRPr="00393116">
        <w:rPr>
          <w:rFonts w:ascii="Garamond" w:hAnsi="Garamond"/>
          <w:sz w:val="20"/>
          <w:szCs w:val="20"/>
          <w:lang w:val="de-DE"/>
        </w:rPr>
        <w:t>Es war sicherlich mißlich, daß ich Forschungsergebnisse, und zwar solche von überraschender und wenig einschmeichelnder Art, veröffentlichen mußte, denen die Nachprüfung von Seiten der Fachgenossen notwendigerweise versagt blieb. Es ist aber kaum weniger mißlich, wenn ich jetzt beginne, etwas von dem Material dem allgemeinen Urteil zugänglich zu machen, aus dem ich jene Ergebnisse gewonnen hatte. Ich werde dem Vorwurfe nicht entgehen. Hatte er damals gelautet, daß ich nichts von meinen Kranken mitgeteilt, so wird er nun lauten, daß ich von meinen Kranken mitgeteilt, was man nicht mitteilen soll. Ich hoffe, es werden die nämlichen Personen sein, welche in solcher Art den Vorwand für ihren Vorwurf wechseln werden, und gebe es von vornherein auf, diesen Kritikern jemals ihren Vorwurf zu entreißen.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de-DE"/>
        </w:rPr>
        <w:t xml:space="preserve">Die Veröffentlichung meiner Krankengeschichten bleibt für mich eine schwer zu lösende Aufgabe, auch wenn ich mich um jene einsichtslosen Übelwollenden weiter nicht bekümmere. </w:t>
      </w:r>
      <w:r w:rsidRPr="00393116">
        <w:rPr>
          <w:rFonts w:ascii="Garamond" w:hAnsi="Garamond"/>
          <w:sz w:val="20"/>
          <w:szCs w:val="20"/>
          <w:lang w:val="en-US"/>
        </w:rPr>
        <w:t xml:space="preserve">Die Schwierigkeiten sind zum Teil technischer Natur, zum andern Teil gehen sie aus dem Wesen der Verhältnisse selbst hervor. Wenn es richtig ist, daß die Verursachung der hysterischen Erkrankungen in den Intimitäten des psychosexuellen Lebens der Kranken gefunden wird und daß die hysterischen Symptome der Ausdruck ihrer geheimsten verdrängten Wünsche sind, so kann die Klarlegung eines Falles von Hysterie nicht anders, als diese Intimitäten aufdecken und diese Geheimnisse verraten. Es ist gewiß, daß die Kranken nie gesprochen hätten, wenn ihnen die Möglichkeit einer wissenschaftlichen Verwertung ihrer Geständnisse in den Sinn gekommen wäre, und ebenso gewiß, daß es ganz vergeblich bliebe, wollte man die Erlaubnis zur Veröffentlichung von ihnen selbst erbitten. Zartfühlende, wohl auch zaghafte Personen würden unter diesen Umständen die Pflicht der ärztlichen Diskretion in den Vordergrund stellen und bedauern, der Wissenschaft hierin keine Aufklärungsdienste leisten zu können. Allein ich meine, der Arzt hat nicht nur Pflichten gegen den einzelnen Kranken, sondern auch gegen die Wissenschaft auf sich genommen. Gegen die Wissenschaft, das heißt im Grunde nichts anderes als gegen die vielen anderen Kranken, die an dem Gleichen leiden oder noch leiden werden. Die öffentliche Mitteilung dessen, was man über die Verursachung und das Gefüge der Hysterie zu wissen glaubt, wird zur Pflicht, die Unterlassung zur schimpflichen Feigheit, wenn man nur die direkte persönliche Schädigung des einen Kranken vermeiden kann. </w:t>
      </w:r>
      <w:r w:rsidRPr="00393116">
        <w:rPr>
          <w:rFonts w:ascii="Garamond" w:hAnsi="Garamond"/>
          <w:sz w:val="20"/>
          <w:szCs w:val="20"/>
        </w:rPr>
        <w:t xml:space="preserve">Ich glaube, ich habe alles getan, um eine solche Schädigung für meine Patientin auszuschließen. Ich habe eine Person ausgesucht, deren Schicksale nicht in Wien, sondern in einer fernab gelegenen Kleinstadt spielten, deren persönliche Verhältnisse in Wien also so gut wie unbekannt sein müssen; ich habe das Geheimnis der Behandlung so sorgfältig von Anfang an gehütet, daß nur ein einziger vollkommen vertrauenswürdiger Kollege darum wissen kann, das Mädchen sei meine Patientin gewesen; ich habe nach Abschluß der Behandlung noch vier Jahre lang mit der Publikation gewartet, bis ich von einer Änderung in dem Leben der Patientin hörte, die mich annehmen ließ, ihr eigenes Interesse an den hier erzählten Begebenheiten und seelischen Vorgängen könnte nun verblaßt sein. Es ist selbstverständlich, daß kein Name stehengeblieben ist, der einen Leser aus Laienkreisen auf die Spur führen könnte; die Publikation in einem streng wissenschaftlichen Fachjournal sollte übrigens ein Schutz gegen solche unbefugte Leser sein. Ich kann es natürlich nicht verhindern, daß die Patientin selbst eine peinliche Empfindung verspüre, wenn ihr die eigene Krankengeschichte durch einen Zufall in die Hände gespielt wird. </w:t>
      </w:r>
      <w:r w:rsidRPr="00393116">
        <w:rPr>
          <w:rFonts w:ascii="Garamond" w:hAnsi="Garamond"/>
          <w:sz w:val="20"/>
          <w:szCs w:val="20"/>
          <w:lang w:val="en-US"/>
        </w:rPr>
        <w:t>Sie erfährt aber nichts aus ihr, was sie nicht schon weiß, und mag sich die Frage vorlegen, wer anders daraus erfahren kann, daß es sich um ihre Person handelt.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weiß, daß es – in dieser Stadt wenigstens – viele Ärzte gibt, die – ekelhaft genug – eine solche Krankengeschichte nicht als einen Beitrag zur Psychopathologie der Neurose, sondern als einen zu ihrer Belustigung bestimmten Schlüsselroman lesen wollen. Dieser Gattung von Lesern gebe ich die Versicherung, daß alle meine etwa später mitzuteilenden Krankengeschichten durch ähnliche Garantien des Geheimnisses vor ihrem Scharfsinn behütet sein werden, obwohl meine Verfügung über mein Material durch diesen Vorsatz eine ganz außerordentliche Einschränkung erfahren muß.</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In dieser einen Krankengeschichte, die ich bisher den Einschränkungen der ärztlichen Diskretion und der Ungunst der Verhältnisse abringen konnte, werden nun sexuelle Beziehungen mit aller Freimütigkeit erörtert, die Organe und Funktionen des Geschlechtslebens bei ihren richtigen Namen genannt, und der keusche Leser kann sich aus meiner Darstellung die Überzeugung holen, daß ich mich nicht gescheut habe, mit einer jugendlichen weiblichen Person über solche Themata in solcher Sprache zu verhandeln. Ich soll mich nun wohl auch gegen diesen Vorwurf verteidigen? Ich nehme einfach die Rechte des Gynäkologen – oder vielmehr sehr viel bescheidenere als diese – für mich in Anspruch und erkläre es als ein Anzeichen einer perversen und fremdartigen Lüsternheit, wenn jemand vermuten sollte, solche Gespräche seien ein gutes Mittel zur Aufreizung oder zur Befriedigung sexueller Gelüste. Im übrigen verspüre ich die Neigung, meinem Urteil hierüber in einigen entlehnten Worten Ausdruck zu geben.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lastRenderedPageBreak/>
        <w:t xml:space="preserve">»Es ist jämmerlich, solchen Verwahrungen und Beteuerungen einen Platz in einem wissenschaftlichen Werke einräumen zu müssen, aber man mache mir darob keine Vorwürfe, sondern klage den Zeitgeist an, durch den wir glücklich dahin gekommen sind, daß kein ernstes Buch mehr seines Lebens sicher ist.« </w:t>
      </w:r>
      <w:hyperlink r:id="rId967"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Richard Schmidt, 1902. (Im Vorwort.)</w:t>
        </w:r>
      </w:hyperlink>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werde nun mitteilen, auf welche Weise ich für diese Krankengeschichte die technischen Schwierigkeiten der Berichterstattung überwunden habe. Diese Schwierigkeiten sind sehr erhebliche für den Arzt, der sechs oder acht solcher psychotherapeutischer Behandlungen täglich durchzuführen hat und während der Sitzung mit dem Kranken selbst Notizen nicht machen darf, weil er das Mißtrauen des Kranken erwecken und sich in der Erfassung des aufzunehmenden Materials stören würde. Es ist auch ein für mich noch ungelöstes Problem, wie ich eine Behandlungsgeschichte von langer Dauer für die Mitteilung fixieren könnte. In dem hier vorliegenden Falle kamen mir zwei Umstände zu Hilfe: erstens, daß die Dauer der Behandlung sich nicht über drei Monate erstreckte, zweitens, daß die Aufklärungen sich um zwei – in der Mitte und am Schlüsse der Kur erzählte – Träume gruppierten, deren Wortlaut unmittelbar nach der Sitzung festgelegt wurde und die einen sicheren Anhalt für das anschließende Gespinst von Deutungen und Erinnerungen abgeben konnten. Die Krankengeschichte selbst habe ich erst nach Abschluß der Kur aus meinem Gedächtnisse niedergeschrieben, solange meine Erinnerung noch frisch und durch das Interesse an der Publikation gehoben war. Die Niederschrift ist demnach nicht absolut – phonographisch – getreu, aber sie darf auf einen hohen Grad von Verläßlichkeit Anspruch machen. Es ist nichts anderes, was wesentlich wäre, in ihr verändert, als etwa an manchen Stellen die Reihenfolge der Aufklärungen, was ich dem Zusammenhange zuliebe tat.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gehe daran, hervorzuheben, was man in diesem Berichte finden und was man in ihm vermissen wird. Die Arbeit führte ursprünglich den Namen ›Traum und Hysterie‹, weil sie mir ganz besonders geeignet schien, zu zeigen, wie sich die Traumdeutung in die Behandlungsgeschichte einflicht und wie mit deren Hilfe die Ausfüllung der Amnesien und die Aufklärung der Symptome gewonnen werden kann. Ich habe nicht ohne gute Gründe im Jahre 1900 eine mühselige und tief eindringende Studie über den Traum meinen beabsichtigten Publikationen zur Psychologie der Neurosen vorausgeschickt </w:t>
      </w:r>
      <w:hyperlink r:id="rId968" w:history="1">
        <w:r w:rsidRPr="00393116">
          <w:rPr>
            <w:rStyle w:val="Lienhypertexte"/>
            <w:rFonts w:ascii="Garamond" w:hAnsi="Garamond"/>
            <w:sz w:val="20"/>
            <w:szCs w:val="20"/>
            <w:lang w:val="en-US"/>
          </w:rPr>
          <w:t>[Fußnote]</w:t>
        </w:r>
        <w:r w:rsidRPr="00393116">
          <w:rPr>
            <w:rStyle w:val="innerfusslink"/>
            <w:rFonts w:ascii="Garamond" w:hAnsi="Garamond"/>
            <w:i/>
            <w:iCs/>
            <w:sz w:val="20"/>
            <w:szCs w:val="20"/>
            <w:lang w:val="en-US"/>
          </w:rPr>
          <w:t>Die Traumdeutung</w:t>
        </w:r>
        <w:r w:rsidRPr="00393116">
          <w:rPr>
            <w:rStyle w:val="innerfusslink"/>
            <w:rFonts w:ascii="Garamond" w:hAnsi="Garamond"/>
            <w:sz w:val="20"/>
            <w:szCs w:val="20"/>
            <w:lang w:val="en-US"/>
          </w:rPr>
          <w:t xml:space="preserve"> (1900).</w:t>
        </w:r>
      </w:hyperlink>
      <w:r w:rsidRPr="00393116">
        <w:rPr>
          <w:rFonts w:ascii="Garamond" w:hAnsi="Garamond"/>
          <w:sz w:val="20"/>
          <w:szCs w:val="20"/>
          <w:lang w:val="en-US"/>
        </w:rPr>
        <w:t>, allerdings auch aus deren Aufnahme ersehen können, ein wie unzureichendes Verständnis derzeit noch die Fachgenossen solchen Bemühungen entgegenbringen. In diesem Falle war auch der Einwand nicht stichhaltig, daß meine Aufstellungen wegen Zurückhaltung des Materials eine auf Nachprüfung gegründete Überzeugung nicht gewinnen lassen, denn seine eigenen Träume kann jedermann zur analytischen Untersuchung heranziehen, und die Technik der Traumdeutung ist nach den von mir gegebenen Anweisungen und Beispielen leicht zu erlernen. Ich muß heute wie damals behaupten, daß die Vertiefung in die Probleme des Traumes eine unerläßliche Vorbedingung für das Verständnis der psychischen Vorgänge bei der Hysterie und den anderen Psychoneurosen ist und daß niemand Aussicht hat, auf diesem Gebiete auch nur einige Schritte weit vorzudringen, der sich jene vorbereitende Arbeit ersparen will. Da also diese Krankengeschichte die Kenntnis der Traumdeutung voraussetzt, wird ihre Lektüre für jedermann höchst unbefriedigend ausfallen, bei dem solche Voraussetzung nicht zutrifft. Er wird nur Befremden anstatt der gesuchten Aufklärung in ihr finden und gewiß geneigt sein, die Ursache dieses Befremdens auf den für phantastisch erklärten Autor zu projizieren. In Wirklichkeit haftet solches Befremden an den Erscheinungen der Neurose selbst; es wird dort nur durch unsere ärztliche Gewöhnung verdeckt und kommt beim Erklärungsversuch wieder zum Vorschein. Gänzlich zu bannen wäre es ja nur, wenn es gelänge, die Neurose restlos von Momenten, die uns bereits bekannt geworden sind, abzuleiten. Aber alle Wahrscheinlichkeit spricht dafür, daß wir im Gegenteil aus dem Studium der Neurose den Antrieb empfangen werden, sehr vieles Neue anzunehmen, was dann allmählich Gegenstand sicherer Erkenntnis werden kann. Das Neue hat aber immer Befremden und Widerstand erregt.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Irrtümlich wäre es, wenn jemand glauben würde, daß Träume und deren Deutung in allen Psychoanalysen eine so hervorragende Stellung einnehmen wie in diesem Beispiel.</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Erscheint die vorliegende Krankengeschichte betreffs der Verwertung der Träume bevorzugt, so ist sie dafür in anderen Punkten armseliger ausgefallen, als ich es gewünscht hätte. Ihre Mängel hängen aber gerade mit jenen Verhältnissen zusammen, denen die Möglichkeit, sie zu publizieren, zu verdanken ist. Ich sagte schon, daß ich das Material einer Behandlungsgeschichte, die sich etwa über ein Jahr erstreckt, nicht zu bewältigen wüßte. Diese bloß dreimonatige Geschichte ließ sich übersehen und erinnern; ihre Ergebnisse sind aber in mehr als einer Hinsicht unvollständig geblieben. Die Behandlung wurde nicht bis zum vorgesetzten Ziele fortgeführt, sondern durch den Willen der Patientin unterbrochen, als ein gewisser Punkt erreicht war. Zu dieser Zeit waren einige Rätsel des Krankheitsfalles noch gar nicht in Angriff genommen, andere erst unvollkommen aufgehellt, während die Fortsetzung der Arbeit gewiß an allen Punkten bis zur letzten möglichen Aufklärung vorgedrungen wäre. Ich kann also hier nur ein Fragment einer Analyse bieten.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Vielleicht wird ein Leser, der mit der in den </w:t>
      </w:r>
      <w:r w:rsidRPr="00393116">
        <w:rPr>
          <w:rFonts w:ascii="Garamond" w:hAnsi="Garamond"/>
          <w:i/>
          <w:iCs/>
          <w:sz w:val="20"/>
          <w:szCs w:val="20"/>
          <w:lang w:val="en-US"/>
        </w:rPr>
        <w:t>Studien über Hysterie</w:t>
      </w:r>
      <w:r w:rsidRPr="00393116">
        <w:rPr>
          <w:rFonts w:ascii="Garamond" w:hAnsi="Garamond"/>
          <w:sz w:val="20"/>
          <w:szCs w:val="20"/>
          <w:lang w:val="en-US"/>
        </w:rPr>
        <w:t xml:space="preserve"> dargelegten Technik der Analyse vertraut ist, sich darüber verwundern, daß sich in drei Monaten nicht die Möglichkeit fand, wenigstens die in Angriff genommenen Symptome zu ihrer letzten Lösung zu bringen. Dies wird aber verständlich, wenn ich mitteile, daß seit den </w:t>
      </w:r>
      <w:r w:rsidRPr="00393116">
        <w:rPr>
          <w:rFonts w:ascii="Garamond" w:hAnsi="Garamond"/>
          <w:i/>
          <w:iCs/>
          <w:sz w:val="20"/>
          <w:szCs w:val="20"/>
          <w:lang w:val="en-US"/>
        </w:rPr>
        <w:t>Studien</w:t>
      </w:r>
      <w:r w:rsidRPr="00393116">
        <w:rPr>
          <w:rFonts w:ascii="Garamond" w:hAnsi="Garamond"/>
          <w:sz w:val="20"/>
          <w:szCs w:val="20"/>
          <w:lang w:val="en-US"/>
        </w:rPr>
        <w:t xml:space="preserve"> die psychoanalytische Technik eine gründliche Umwälzung erfahren hat. Damals ging die Arbeit von den Symptomen aus und setzte sich die Auflösung derselben der Reihe nach zum Ziel. Ich habe diese Technik seither aufgegeben, weil ich sie der feineren Struktur der Neurose völlig unangemessen fand. Ich lasse nun den Kranken selbst das Thema der täglichen Arbeit bestimmen und gehe also von der jeweiligen Oberfläche aus, welche das Unbewußte in ihm seiner Aufmerksamkeit entgegenbringt. Dann erhalte ich aber, was zu einer Symptomlösung zusammengehört, </w:t>
      </w:r>
      <w:r w:rsidRPr="00393116">
        <w:rPr>
          <w:rFonts w:ascii="Garamond" w:hAnsi="Garamond"/>
          <w:sz w:val="20"/>
          <w:szCs w:val="20"/>
          <w:lang w:val="en-US"/>
        </w:rPr>
        <w:lastRenderedPageBreak/>
        <w:t>zerstückelt, in verschiedene Zusammenhänge verflochten und auf weit auseinanderliegende Zeiten verteilt. Trotz dieses scheinbaren Nachteils ist die neue Technik der alten weit überlegen, ohne Widerspruch die einzig mögliche.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Angesichts der Unvollständigkeit meiner analytischen Ergebnisse blieb mir nichts übrig, als dem Beispiel jener Forscher zu folgen, welche so glücklich sind, die unschätzbaren wenn auch verstümmelten Reste des Altertums aus langer Begrabenheit an den Tag zu bringen. Ich habe das Unvollständige nach den besten mir von anderen Analysen her bekannten Mustern ergänzt, aber ebensowenig wie ein gewissenhafter Archäologe in jedem Falle anzugeben versäumt, wo meine Konstruktion an das Authentische ansetzt.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Eine andere Art von Unvollständigkeit habe ich selbst mit Absicht herbeigeführt. Ich habe nämlich die Deutungsarbeit, die an den Einfällen und Mitteilungen der Kranken zu vollziehen war, im allgemeinen nicht dargestellt, sondern bloß die Ergebnisse derselben. Die Technik der analytischen Arbeit ist also, abgesehen von den Träumen, nur an einigen wenigen Stellen enthüllt worden. Es lag mir in dieser Krankengeschichte daran, die Determinierung der Symptome und den intimen Aufbau der neurotischen Erkrankung aufzuzeigen; es hätte nur unauflösbare Verwirrung erzeugt, wenn ich gleichzeitig versucht hätte, auch die andere Aufgabe zu erfüllen. Zur Begründung der technischen, zumeist empirisch gefundenen Regeln müßte man wohl das Material aus vielen Behandlungsgeschichten zusammentragen. Indes möge man sich die Verkürzung durch die Zurückhaltung der Technik für diesen Fall nicht besonders groß vorstellen. Gerade das schwierigste Stück der technischen Arbeit ist bei der Kranken nicht in Frage gekommen, da das Moment der »Übertragung«, von dem zu Ende der Krankengeschichte die Rede ist, während der kurzen Behandlung nicht zur Sprache kam.</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An einer dritten Art von Unvollständigkeit dieses Berichtes tragen weder die Kranke noch der Autor die Schuld! Es ist vielmehr selbstverständlich, daß eine einzige Krankengeschichte, selbst wenn sie vollständig und keiner Anzweiflung ausgesetzt wäre, nicht Antwort auf alle Fragen geben kann, die sich aus dem Hysterieproblem erheben. Sie kann nicht alle Typen der Erkrankung, nicht alle Gestaltungen der inneren Struktur der Neurose, nicht alle bei der Hysterie möglichen Arten des Zusammenhanges zwischen Psychischem und Somatischem kennen lehren. Man darf billigerweise von dem einen Fall nicht mehr fordern, als er zu gewähren vermag. Auch wird, wer bisher nicht an die allgemeine und ausnahmslose Gültigkeit der psychosexuellen Ätiologie für die Hysterie glauben wollte, diese Überzeugung durch die Kenntnisnahme einer Krankengeschichte kaum gewinnen, sondern am besten sein Urteil aufschieben, bis er sich durch eigene Arbeit ein Recht auf eine Überzeugung erworben hat[Zusatz 1923:] </w:t>
      </w:r>
      <w:hyperlink r:id="rId969"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Die hier mitgeteilte Behandlung wurde am 31. Dezember 1899 unterbrochen, der Bericht über sie in den nächstfolgenden zwei Wochen niedergeschrieben, aber erst 1905 publiziert. Es ist nicht zu erwarten, daß mehr als zwei Dezennien fortgesetzter Arbeit nichts an der Auffassung und Darstellung eines solchen Krankheitsfalles geändert haben sollten, aber es wäre offenbar unsinnig, diese Krankengeschichte durch Korrekturen und Erweiterungen » </w:t>
        </w:r>
        <w:r w:rsidRPr="00393116">
          <w:rPr>
            <w:rStyle w:val="innerfusslink"/>
            <w:rFonts w:ascii="Garamond" w:hAnsi="Garamond"/>
            <w:i/>
            <w:iCs/>
            <w:sz w:val="20"/>
            <w:szCs w:val="20"/>
            <w:lang w:val="en-US"/>
          </w:rPr>
          <w:t>up to date</w:t>
        </w:r>
        <w:r w:rsidRPr="00393116">
          <w:rPr>
            <w:rStyle w:val="innerfusslink"/>
            <w:rFonts w:ascii="Garamond" w:hAnsi="Garamond"/>
            <w:sz w:val="20"/>
            <w:szCs w:val="20"/>
            <w:lang w:val="en-US"/>
          </w:rPr>
          <w:t>« zu bringen, sie dem heutigen Stande unseres Wissens anzupassen. Ich habe sie also im wesentlichen unberührt gelassen und in ihrem Text nur Flüchtigkeiten und Ungenauigkeiten verbessert, auf die meine ausgezeichneten englischen Übersetzer, Mr. und Mrs. James Strachey, meine Aufmerksamkeit gelenkt hatten. Was mir an kritischen Zusätzen zulässig schien, habe ich in diesen Zusätzen zur Krankengeschichte untergebracht, so daß der Leser zur Annahme berechtigt ist, ich hielte noch heute an den im Text vertretenen Meinungen fest, wenn er in den Zusätzen keinen Widerspruch dagegen findet. Das Problem der ärztlichen Diskretion, das mich in dieser Vorrede beschäftigt, fällt für die anderen Krankengeschichten dieses Bandes außer Betracht, denn drei derselben sind mit ausdrücklicher Zustimmung der Behandelten, beim kleinen Hans mit der des Vaters, veröffentlicht worden, und in einem Falle (Schreber) ist das Objekt der Analyse nicht eigentlich eine Person, sondern ein von ihr ausgehendes Buch. Im Falle Dora ist das Geheimnis bis zu diesem Jahr gehütet worden. Ich habe kürzlich gehört, daß die mir längst entschwundene, jetzt neuerlich über andere Anlässe erkrankte Frau ihrem Arzt eröffnet hat, sie sei als Mädchen Objekt meiner Analyse gewesen, und diese Mitteilung machte es dem kundigen Kollegen leicht, in ihr die Dora aus dem Jahre 1899 zu erkennen. Daß die drei Monate der damaligen Behandlung nicht mehr leisteten als die Erledigung des damaligen Konflikts, daß sie nicht auch einen Schutz gegen spätere Erkrankungen hinterlassen konnten, wird kein billig Denkender der analytischen Therapie zum Vorwurf machen.</w:t>
        </w:r>
      </w:hyperlink>
      <w:r w:rsidRPr="00393116">
        <w:rPr>
          <w:rFonts w:ascii="Garamond" w:hAnsi="Garamond"/>
          <w:sz w:val="20"/>
          <w:szCs w:val="20"/>
          <w:lang w:val="en-US"/>
        </w:rPr>
        <w:t>.</w:t>
      </w:r>
    </w:p>
    <w:p w:rsidR="00822836" w:rsidRDefault="00822836" w:rsidP="00822836">
      <w:pPr>
        <w:pStyle w:val="Sansinterligne"/>
        <w:rPr>
          <w:rFonts w:ascii="Garamond" w:eastAsia="Times New Roman" w:hAnsi="Garamond" w:cs="Times New Roman"/>
          <w:b/>
          <w:bCs/>
          <w:sz w:val="20"/>
          <w:szCs w:val="20"/>
          <w:lang w:val="en-US" w:eastAsia="fr-FR"/>
        </w:rPr>
      </w:pPr>
    </w:p>
    <w:p w:rsidR="00822836" w:rsidRDefault="00822836" w:rsidP="00822836">
      <w:pPr>
        <w:rPr>
          <w:rFonts w:ascii="Garamond" w:eastAsia="Times New Roman" w:hAnsi="Garamond" w:cs="Times New Roman"/>
          <w:b/>
          <w:bCs/>
          <w:sz w:val="20"/>
          <w:szCs w:val="20"/>
          <w:lang w:val="en-US" w:eastAsia="fr-FR"/>
        </w:rPr>
      </w:pPr>
      <w:r>
        <w:rPr>
          <w:rFonts w:ascii="Garamond" w:eastAsia="Times New Roman" w:hAnsi="Garamond" w:cs="Times New Roman"/>
          <w:b/>
          <w:bCs/>
          <w:sz w:val="20"/>
          <w:szCs w:val="20"/>
          <w:lang w:val="en-US" w:eastAsia="fr-FR"/>
        </w:rPr>
        <w:br w:type="page"/>
      </w:r>
    </w:p>
    <w:p w:rsidR="00822836" w:rsidRPr="00393116" w:rsidRDefault="00B437A1" w:rsidP="00822836">
      <w:pPr>
        <w:pStyle w:val="Sansinterligne"/>
        <w:rPr>
          <w:rFonts w:ascii="Garamond" w:eastAsia="Times New Roman" w:hAnsi="Garamond" w:cs="Times New Roman"/>
          <w:b/>
          <w:bCs/>
          <w:sz w:val="20"/>
          <w:szCs w:val="20"/>
          <w:lang w:val="en-US" w:eastAsia="fr-FR"/>
        </w:rPr>
      </w:pPr>
      <w:hyperlink w:anchor="DoraInhalt" w:history="1">
        <w:r w:rsidR="00822836" w:rsidRPr="00393116">
          <w:rPr>
            <w:rStyle w:val="Lienhypertexte"/>
            <w:rFonts w:ascii="Garamond" w:eastAsia="Times New Roman" w:hAnsi="Garamond" w:cs="Times New Roman"/>
            <w:b/>
            <w:bCs/>
            <w:sz w:val="20"/>
            <w:szCs w:val="20"/>
            <w:lang w:val="en-US" w:eastAsia="fr-FR"/>
          </w:rPr>
          <w:t>I. De</w:t>
        </w:r>
        <w:bookmarkStart w:id="222" w:name="Dora1"/>
        <w:bookmarkEnd w:id="222"/>
        <w:r w:rsidR="00822836" w:rsidRPr="00393116">
          <w:rPr>
            <w:rStyle w:val="Lienhypertexte"/>
            <w:rFonts w:ascii="Garamond" w:eastAsia="Times New Roman" w:hAnsi="Garamond" w:cs="Times New Roman"/>
            <w:b/>
            <w:bCs/>
            <w:sz w:val="20"/>
            <w:szCs w:val="20"/>
            <w:lang w:val="en-US" w:eastAsia="fr-FR"/>
          </w:rPr>
          <w:t>r Krankheitszustand</w:t>
        </w:r>
      </w:hyperlink>
      <w:r w:rsidR="00822836">
        <w:rPr>
          <w:rFonts w:ascii="Garamond" w:eastAsia="Times New Roman" w:hAnsi="Garamond" w:cs="Times New Roman"/>
          <w:b/>
          <w:bCs/>
          <w:sz w:val="20"/>
          <w:szCs w:val="20"/>
          <w:lang w:val="en-US" w:eastAsia="fr-FR"/>
        </w:rPr>
        <w:t xml:space="preserve">  </w:t>
      </w:r>
    </w:p>
    <w:p w:rsidR="00822836" w:rsidRDefault="00822836" w:rsidP="00822836">
      <w:pPr>
        <w:pStyle w:val="Sansinterligne"/>
        <w:rPr>
          <w:rFonts w:ascii="Garamond" w:eastAsia="Times New Roman" w:hAnsi="Garamond" w:cs="Times New Roman"/>
          <w:sz w:val="20"/>
          <w:szCs w:val="20"/>
          <w:lang w:val="en-US" w:eastAsia="fr-FR"/>
        </w:rPr>
      </w:pP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Nachdem ich in meiner 1900 veröffentlichten </w:t>
      </w:r>
      <w:r w:rsidRPr="00393116">
        <w:rPr>
          <w:rFonts w:ascii="Garamond" w:eastAsia="Times New Roman" w:hAnsi="Garamond" w:cs="Times New Roman"/>
          <w:i/>
          <w:iCs/>
          <w:sz w:val="20"/>
          <w:szCs w:val="20"/>
          <w:lang w:val="en-US" w:eastAsia="fr-FR"/>
        </w:rPr>
        <w:t>Traumdeutung</w:t>
      </w:r>
      <w:r w:rsidRPr="00393116">
        <w:rPr>
          <w:rFonts w:ascii="Garamond" w:eastAsia="Times New Roman" w:hAnsi="Garamond" w:cs="Times New Roman"/>
          <w:sz w:val="20"/>
          <w:szCs w:val="20"/>
          <w:lang w:val="en-US" w:eastAsia="fr-FR"/>
        </w:rPr>
        <w:t xml:space="preserve"> nachgewiesen habe, daß Träume im allgemeinen deutbar sind und daß sie nach vollendeter Deutungsarbeit sich durch tadellos gebildete, an bekannter Stelle in den seelischen Zusammenhang einfügbare Gedanken ersetzen lassen, möchte ich auf den nachfolgenden Seiten ein Beispiel von jener einzigen praktischen Verwendung geben, welche die Kunst des Traumdeutens zuzulassen scheint. Ich habe schon in meinem Buche </w:t>
      </w:r>
      <w:hyperlink r:id="rId970" w:history="1">
        <w:r w:rsidRPr="00393116">
          <w:rPr>
            <w:rFonts w:ascii="Garamond" w:eastAsia="Times New Roman" w:hAnsi="Garamond" w:cs="Times New Roman"/>
            <w:color w:val="0000FF"/>
            <w:sz w:val="20"/>
            <w:szCs w:val="20"/>
            <w:u w:val="single"/>
            <w:lang w:val="en-US" w:eastAsia="fr-FR"/>
          </w:rPr>
          <w:t>[Fußnote]</w:t>
        </w:r>
        <w:r w:rsidRPr="00393116">
          <w:rPr>
            <w:rFonts w:ascii="Garamond" w:eastAsia="Times New Roman" w:hAnsi="Garamond" w:cs="Times New Roman"/>
            <w:i/>
            <w:iCs/>
            <w:color w:val="0000FF"/>
            <w:sz w:val="20"/>
            <w:szCs w:val="20"/>
            <w:u w:val="single"/>
            <w:lang w:val="en-US" w:eastAsia="fr-FR"/>
          </w:rPr>
          <w:t>Die Traumdeutung</w:t>
        </w:r>
        <w:r w:rsidRPr="00393116">
          <w:rPr>
            <w:rFonts w:ascii="Garamond" w:eastAsia="Times New Roman" w:hAnsi="Garamond" w:cs="Times New Roman"/>
            <w:color w:val="0000FF"/>
            <w:sz w:val="20"/>
            <w:szCs w:val="20"/>
            <w:u w:val="single"/>
            <w:lang w:val="en-US" w:eastAsia="fr-FR"/>
          </w:rPr>
          <w:t xml:space="preserve"> (1900), p. 68</w:t>
        </w:r>
      </w:hyperlink>
      <w:r w:rsidRPr="00393116">
        <w:rPr>
          <w:rFonts w:ascii="Garamond" w:eastAsia="Times New Roman" w:hAnsi="Garamond" w:cs="Times New Roman"/>
          <w:sz w:val="20"/>
          <w:szCs w:val="20"/>
          <w:lang w:val="en-US" w:eastAsia="fr-FR"/>
        </w:rPr>
        <w:t xml:space="preserve"> erwähnt, auf welche Weise ich an die Traumprobleme geraten bin. Ich fand sie auf meinem Wege, während ich Psychoneurosen durch ein besonderes Verfahren der Psychotherapie zu heilen bemüht war, indem mir die Kranken unter anderen Vorfällen aus ihrem Seelenleben auch Träume berichteten, welche nach Einreihung in den lange ausgesponnenen Zusammenhang zwischen Leidenssymptom und pathogener Idee zu verlangen schienen. Ich erlernte damals, wie man aus der Sprache des Traumes in die ohne weitere Nachhilfe verständliche Ausdrucksweise unserer Denksprache übersetzen muß. Diese Kenntnis, darf ich behaupten, ist für den Psychoanalytiker unentbehrlich, denn der Traum stellt einen der Wege dar, wie dasjenige psychische Material zum Bewußtsein gelangen kann, welches kraft des Widerstrebens, das sein Inhalt rege macht, vom Bewußtsein abgesperrt, verdrängt und somit pathogen geworden ist. Der Traum ist, kürzer gesagt, einer der </w:t>
      </w:r>
      <w:r w:rsidRPr="00393116">
        <w:rPr>
          <w:rFonts w:ascii="Garamond" w:eastAsia="Times New Roman" w:hAnsi="Garamond" w:cs="Times New Roman"/>
          <w:i/>
          <w:iCs/>
          <w:sz w:val="20"/>
          <w:szCs w:val="20"/>
          <w:lang w:val="en-US" w:eastAsia="fr-FR"/>
        </w:rPr>
        <w:t>Umwege zur Umgehung der Verdrängung</w:t>
      </w:r>
      <w:r w:rsidRPr="00393116">
        <w:rPr>
          <w:rFonts w:ascii="Garamond" w:eastAsia="Times New Roman" w:hAnsi="Garamond" w:cs="Times New Roman"/>
          <w:sz w:val="20"/>
          <w:szCs w:val="20"/>
          <w:lang w:val="en-US" w:eastAsia="fr-FR"/>
        </w:rPr>
        <w:t>, eines der Hauptmittel der sogenannten indirekten Darstellungsweise im Psychischen. Wie die Traumdeutung in die Arbeit der Analyse eingreift, soll nun das vorliegende Bruchstück aus der Behandlungsgeschichte eines hysterischen Mädchens dartun. Es soll mir gleichzeitig Anlaß bieten, von meinen Ansichten über die psychischen Vorgänge und über die organischen Bedingungen der Hysterie zum ersten Male in nicht mehr mißverständlicher Breite einen Anteil öffentlich zu vertreten. Der Breite wegen brauche ich mich wohl nicht mehr zu entschuldigen, seitdem es zugegeben wird, daß man nur durch liebevollste Vertiefung, aber nicht durch vornehmtuende Geringschätzung den großen Ansprüchen nachkommen kann, welche die Hysterie an den Arzt und Forscher stellt. Freilich:</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»Nicht Kunst und Wissenschaft allein, </w:t>
      </w:r>
      <w:r w:rsidRPr="00393116">
        <w:rPr>
          <w:rFonts w:ascii="Garamond" w:eastAsia="Times New Roman" w:hAnsi="Garamond" w:cs="Times New Roman"/>
          <w:sz w:val="20"/>
          <w:szCs w:val="20"/>
          <w:lang w:val="en-US" w:eastAsia="fr-FR"/>
        </w:rPr>
        <w:br/>
        <w:t>Geduld will bei dem Werke sein!«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Eine lückenlose und abgerundete Krankengeschichte voranschicken, hieße den Leser von vornherein unter ganz andere Bedingungen versetzen, als die des ärztlichen Beobachters waren. Was die Angehörigen des Kranken – in diesem Falle der Vater des 18jährigen Mädchens – berichten, gibt zumeist ein sehr unkenntliches Bild des Krankheitsverlaufs. Ich beginne dann zwar die Behandlung mit der Aufforderung, mir die ganze Lebens- und Krankheitsgeschichte zu erzählen, aber was ich darauf zu hören bekomme, ist zur Orientierung noch immer nicht genügend. Diese erste Erzählung ist einem nicht schiffbaren Strom vergleichbar, dessen Bett bald durch Felsmassen verlegt, bald durch Sandbänke zerteilt und untief gemacht wird. Ich kann mich nur verwundern, wie die glatten und exakten Krankengeschichten Hysterischer bei den Autoren entstanden sind. In Wirklichkeit sind die Kranken unfähig, derartige Berichte über sich zu geben. Sie können zwar über diese oder jene Lebenszeit den Arzt ausreichend und zusammenhängend informieren, dann folgt aber eine andere Periode, in der ihre Auskünfte seicht werden, Lücken und Rätsel lassen, und ein andermal steht man wieder vor ganz dunkeln, durch keine brauchbare Mitteilung erhellten Zeiten. Die Zusammenhänge, auch die scheinbaren, sind meist zerrissen, die Aufeinanderfolge verschiedener Begebenheiten unsicher; während der Erzählung selbst korrigiert die Kranke wiederholt eine Angabe, ein Datum, um dann nach längerem Schwanken etwa wieder auf die erste Aussage zurückzugreifen. Die Unfähigkeit der Kranken zur geordneten Darstellung ihrer Lebensgeschichte, soweit sie mit der Krankheitsgeschichte zusammenfällt, ist nicht nur charakteristisch für die Neurose </w:t>
      </w:r>
      <w:hyperlink r:id="rId971" w:history="1">
        <w:r w:rsidRPr="00393116">
          <w:rPr>
            <w:rFonts w:ascii="Garamond" w:eastAsia="Times New Roman" w:hAnsi="Garamond" w:cs="Times New Roman"/>
            <w:color w:val="0000FF"/>
            <w:sz w:val="20"/>
            <w:szCs w:val="20"/>
            <w:u w:val="single"/>
            <w:lang w:val="en-US" w:eastAsia="fr-FR"/>
          </w:rPr>
          <w:t>[Fußnote]Einst übergab mir ein Kollege seine Schwester zur psychotherapeutischen Behandlung, die, wie er sagte, seit Jahren erfolglos wegen Hysterie (Schmerzen und Gangstörung) behandelt worden sei. Die kurze Information schien mit der Diagnose gut vereinbar; ich ließ mir in einer ersten Stunde von der Kranken selbst ihre Geschichte erzählen. Als diese Erzählung trotz der merkwürdigen Begebenheiten, auf die sie anspielte, vollkommen klar und ordentlich ausfiel, sagte ich mir, der Fall könne keine Hysterie sein, und stellte unmittelbar darauf eine sorgfältige körperliche Untersuchung an. Das Ergebnis war die Diagnose einer mäßig vorgeschrittenen Tabes, die dann auch durch Hg-Injektionen (Ol. cinereum, von Prof. Lang ausgeführt) eine erhebliche Besserung erfuhr.</w:t>
        </w:r>
      </w:hyperlink>
      <w:r w:rsidRPr="00393116">
        <w:rPr>
          <w:rFonts w:ascii="Garamond" w:eastAsia="Times New Roman" w:hAnsi="Garamond" w:cs="Times New Roman"/>
          <w:sz w:val="20"/>
          <w:szCs w:val="20"/>
          <w:lang w:val="en-US" w:eastAsia="fr-FR"/>
        </w:rPr>
        <w:t xml:space="preserve">, sie entbehrt auch nicht einer großen theoretischen Bedeutsamkeit. Dieser Mangel hat nämlich folgende Begründungen: Erstens hält die Kranke einen Teil dessen, was ihr wohlbekannt ist und was sie erzählen sollte, bewußt und absichtlich aus den noch nicht überwundenen Motiven der Scheu und Scham (Diskretion, wenn andere Personen in Betracht kommen) zurück; dies wäre der Anteil der bewußten Unaufrichtigkeit. Zweitens bleibt ein Teil ihres anamnestischen Wissens, über welchen die Kranke sonst verfügt, während dieser Erzählung aus, ohne daß die Kranke einen Vorsatz auf diese Zurückhaltung verwendet: Anteil der unbewußten Unaufrichtigkeit. Drittens fehlt es nie an wirklichen Amnesien, Gedächtnislücken, in welche nicht nur alte, sondern selbst ganz rezente Erinnerungen hineingeraten sind, und an Erinnerungstäuschungen, welche sekundär zur Ausfüllung dieser Lücken gebildet wurden </w:t>
      </w:r>
      <w:hyperlink r:id="rId972" w:history="1">
        <w:r w:rsidRPr="00393116">
          <w:rPr>
            <w:rFonts w:ascii="Garamond" w:eastAsia="Times New Roman" w:hAnsi="Garamond" w:cs="Times New Roman"/>
            <w:color w:val="0000FF"/>
            <w:sz w:val="20"/>
            <w:szCs w:val="20"/>
            <w:u w:val="single"/>
            <w:lang w:val="en-US" w:eastAsia="fr-FR"/>
          </w:rPr>
          <w:t>[Fußnote]Amnesien und Erinnerungstäuschungen stehen im komplementären Verhältnis zueinander. Wo sich große Erinnerungslücken ergeben, wird man auf wenig Erinnerungstäuschungen stoßen. Umgekehrt können letztere das Vorhandensein von Amnesien für den ersten Anschein völlig verdecken.</w:t>
        </w:r>
      </w:hyperlink>
      <w:r w:rsidRPr="00393116">
        <w:rPr>
          <w:rFonts w:ascii="Garamond" w:eastAsia="Times New Roman" w:hAnsi="Garamond" w:cs="Times New Roman"/>
          <w:sz w:val="20"/>
          <w:szCs w:val="20"/>
          <w:lang w:val="en-US" w:eastAsia="fr-FR"/>
        </w:rPr>
        <w:t xml:space="preserve">. Wo die Begebenheiten selbst dem Gedächtnis erhalten geblieben, da wird die den Amnesien zugrunde liegende Absicht ebenso sicher durch Aufhebung eines Zusammenhanges erreicht, und der Zusammenhang wird am sichersten zerrissen, wenn die Zeitfolge der Begebenheiten verändert wird. Letztere erweist </w:t>
      </w:r>
      <w:r w:rsidRPr="00393116">
        <w:rPr>
          <w:rFonts w:ascii="Garamond" w:eastAsia="Times New Roman" w:hAnsi="Garamond" w:cs="Times New Roman"/>
          <w:sz w:val="20"/>
          <w:szCs w:val="20"/>
          <w:lang w:val="en-US" w:eastAsia="fr-FR"/>
        </w:rPr>
        <w:lastRenderedPageBreak/>
        <w:t xml:space="preserve">sich auch stets als der vulnerabelste, der Verdrängung am ehesten unterliegende Bestandteil des Erinnerungsschatzes. Manche Erinnerungen trifft man sozusagen in einem ersten Stadium der Verdrängung, sie zeigen sich mit Zweifel behaftet. Eine gewisse Zeit später wäre dieser Zweifel durch Vergessen oder Fehlerinnern ersetzt </w:t>
      </w:r>
      <w:hyperlink r:id="rId973" w:history="1">
        <w:r w:rsidRPr="00393116">
          <w:rPr>
            <w:rFonts w:ascii="Garamond" w:eastAsia="Times New Roman" w:hAnsi="Garamond" w:cs="Times New Roman"/>
            <w:color w:val="0000FF"/>
            <w:sz w:val="20"/>
            <w:szCs w:val="20"/>
            <w:u w:val="single"/>
            <w:lang w:val="en-US" w:eastAsia="fr-FR"/>
          </w:rPr>
          <w:t>[Fußnote]Bei zweifelnder Darstellung, lehrt eine durch Erfahrung gewonnene Regel, sehe man von dieser Urteilsäußerung des Erzählers völlig ab. Bei zwischen zwei Gestaltungen schwankender Darstellung halte man eher die erst geäußerte für richtig, die zweite für ein Produkt der Verdrängung.</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Ein solcher Zustand der auf die Krankheitsgeschichte bezüglichen Erinnerungen ist das notwendige, </w:t>
      </w:r>
      <w:r w:rsidRPr="00393116">
        <w:rPr>
          <w:rFonts w:ascii="Garamond" w:eastAsia="Times New Roman" w:hAnsi="Garamond" w:cs="Times New Roman"/>
          <w:i/>
          <w:iCs/>
          <w:sz w:val="20"/>
          <w:szCs w:val="20"/>
          <w:lang w:val="en-US" w:eastAsia="fr-FR"/>
        </w:rPr>
        <w:t>theoretisch geforderte Korrelat</w:t>
      </w:r>
      <w:r w:rsidRPr="00393116">
        <w:rPr>
          <w:rFonts w:ascii="Garamond" w:eastAsia="Times New Roman" w:hAnsi="Garamond" w:cs="Times New Roman"/>
          <w:sz w:val="20"/>
          <w:szCs w:val="20"/>
          <w:lang w:val="en-US" w:eastAsia="fr-FR"/>
        </w:rPr>
        <w:t xml:space="preserve"> der Krankheitssymptome. Im Verlaufe der Behandlung trägt dann der Kranke nach, was er zurückgehalten oder was ihm nicht eingefallen ist, obwohl er es immer gewußt hat. Die Erinnerungstäuschungen erweisen sich als unhaltbar, die Lücken der Erinnerung werden ausgefüllt. Gegen Ende der Behandlung erst kann man eine in sich konsequente, verständliche und lückenlose Krankengeschichte überblicken. Wenn das praktische Ziel der Behandlung dahin geht, alle möglichen Symptome aufzuheben und durch bewußte Gedanken zu ersetzen, so kann man als ein anderes, theoretisches Ziel die Aufgabe aufstellen, alle Gedächtnisschäden des Kranken zu heilen. Die beiden Ziele fallen zusammen; wenn das eine erreicht ist, ist auch das andere gewonnen; der nämliche Weg führt zu beiden.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Aus der Natur der Dinge, welche das Material der Psychoanalyse bilden, folgt, daß wir in unseren Krankengeschichten den rein menschlichen und sozialen Verhältnissen der Kranken ebensoviel Aufmerksamkeit schuldig sind wie den somatischen Daten und den Krankheitssymptomen. Vor allem anderen wird sich unser Interesse den Familienverhältnissen der Kranken zuwenden, und zwar, wie sich ergeben wird, auch anderer Beziehungen wegen als nur mit Rücksicht auf die zu erforschende Heredität.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eastAsia="fr-FR"/>
        </w:rPr>
        <w:t xml:space="preserve">Der Familienkreis der 18jährigen Patientin umfaßte außer ihrer Person das Elternpaar und einen um 1½ Jahre älteren Bruder. Die dominierende Person war der Vater, sowohl durch seine Intelligenz und Charaktereigenschaften wie durch seine Lebensumstände, welche das Gerüst für die Kindheits- und Krankengeschichte der Patientin abgeben. Er war zur Zeit, als ich das Mädchen in Behandlung nahm, ein Mann in der zweiten Hälfte der Vierzigerjahre, von nicht ganz gewöhnlicher Rührigkeit und Begabung, Großindustrieller in sehr behäbiger materieller Situation. </w:t>
      </w:r>
      <w:r w:rsidRPr="00393116">
        <w:rPr>
          <w:rFonts w:ascii="Garamond" w:eastAsia="Times New Roman" w:hAnsi="Garamond" w:cs="Times New Roman"/>
          <w:sz w:val="20"/>
          <w:szCs w:val="20"/>
          <w:lang w:val="en-US" w:eastAsia="fr-FR"/>
        </w:rPr>
        <w:t>Die Tochter hing an ihm mit besonderer Zärtlichkeit, und ihre frühzeitig erwachte Kritik nahm um so stärkeren Anstoß an manchen seiner Handlungen und Eigentümlichkeiten.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Diese Zärtlichkeit war überdies durch die vielen und schweren Erkrankungen gesteigert worden, denen der Vater seit ihrem sechsten Lebensjahr unterlegen war. Damals wurde seine Erkrankung an Tuberkulose der Anlaß zur Übersiedlung der Familie in eine kleine, klimatisch begünstigte Stadt unserer südlichen Provinzen; das Lungenleiden besserte sich daselbst rasch, doch blieb der für nötig gehaltenen Schonung zuliebe dieser Ort, den ich mit B. bezeichnen werde, für die nächsten zehn Jahre ungefähr der vorwiegende Aufenthalt sowohl der Eltern wie auch der Kinder. Der Vater war, wenn es ihm gut ging, zeitweilig abwesend, um seine Fabriken zu besuchen; im Hochsommer wurde ein Höhenkurort aufgesucht.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Als das Mädchen etwa zehn Jahre alt war, machte eine Netzhautablösung beim Vater eine Dunkelkur notwendig. Bleibende Einschränkung des Sehvermögens war die Folge dieses Krankheitszufalles. Die ernsteste Erkrankung ereignete sich etwa zwei Jahre später; sie bestand in einem Anfalle von Verworrenheit, an den sich Lähmungserscheinungen und leichte psychische Störungen anschlossen. Ein Freund des Kranken, dessen Rolle uns noch später beschäftigen wird, bewog damals den nur wenig Gebesserten, mit seinem Arzte nach Wien zu reisen, um meinen Rat einzuholen. Ich schwankte eine Weile, ob ich nicht bei ihm eine Taboparalyse annehmen sollte, entschloß mich aber dann zur Diagnose diffuser vaskulärer Affektion und ließ, nachdem eine spezifische Infektion vor der Ehe vom Kranken zugestanden war, eine energische antiluetische Kur vornehmen, infolge deren sich alle noch vorhandenen Störungen zurückbildeten. Diesem glücklichen Eingreifen verdankte ich wohl, daß mir der Vater vier Jahre später seine deutlich neurotisch gewordene Tochter vorstellte und nach weiteren zwei Jahren zur psychotherapeutischen Behandlung übergab.</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Ich hatte unterdes auch eine wenig ältere Schwester des Patienten in Wien kennengelernt, bei der man eine schwere Form von Psychoneurose ohne charakteristisch-hysterische Symptome anerkennen mußte. Diese Frau starb nach einem von einer unglücklichen Ehe erfüllten Leben unter den eigentlich nicht voll aufgeklärten Erscheinungen eines rapid fortschreitenden Marasmus.</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Ein älterer Bruder des Patienten, den ich gelegentlich zu Gesichte bekam, war ein hypochondrischer Junggeselle.</w:t>
      </w:r>
    </w:p>
    <w:p w:rsidR="00822836" w:rsidRPr="00393116" w:rsidRDefault="00822836" w:rsidP="00822836">
      <w:pPr>
        <w:pStyle w:val="Sansinterligne"/>
        <w:rPr>
          <w:rFonts w:ascii="Garamond" w:eastAsia="Times New Roman" w:hAnsi="Garamond" w:cs="Times New Roman"/>
          <w:sz w:val="20"/>
          <w:szCs w:val="20"/>
          <w:lang w:eastAsia="fr-FR"/>
        </w:rPr>
      </w:pPr>
      <w:r w:rsidRPr="00393116">
        <w:rPr>
          <w:rFonts w:ascii="Garamond" w:eastAsia="Times New Roman" w:hAnsi="Garamond" w:cs="Times New Roman"/>
          <w:sz w:val="20"/>
          <w:szCs w:val="20"/>
          <w:lang w:val="en-US" w:eastAsia="fr-FR"/>
        </w:rPr>
        <w:t xml:space="preserve">Das Mädchen, das im Alter von 18 Jahren meine Patientin wurde, hatte von jeher mit seinen Sympathien auf Seite der väterlichen Familie gestanden und, seitdem sie erkrankt war, ihr Vorbild in der erwähnten Tante gesehen. Es war auch mir nicht zweifelhaft, daß sie sowohl mit ihrer Begabung und intellektuellen Frühreife als auch mit ihrer Krankheitsveranlagung dieser Familie angehörte. Die Mutter habe ich nicht kennengelernt. Nach den Mitteilungen des Vaters und des Mädchens mußte ich mir die Vorstellung machen, sie sei eine wenig gebildete, vor allem aber unkluge Frau, die besonders seit der Erkrankung und der ihr folgenden Entfremdung ihres Mannes alle ihre Interessen auf die Hauswirtschaft konzentriere und so das Bild dessen biete, was man die »Hausfrauenpsychose« nennen kann. Ohne Verständnis für die regeren Interessen ihrer Kinder, war sie den ganzen Tag mit Reinmachen und Reinhalten der Wohnung, Möbel und Gerätschaften in einem Maße beschäftigt, welches Gebrauch und Genuß derselben fast unmöglich machte. Man kann nicht umhin, diesen Zustand, von dem sich Andeutungen häufig genug bei normalen Hausfrauen finden, den Formen von Wasch- und anderem Reinlichkeitszwang an die Seite zu stellen; doch fehlt es bei solchen Frauen, wie auch bei der Mutter unserer Patientin, völlig an der Krankheitserkenntnis und </w:t>
      </w:r>
      <w:r w:rsidRPr="00393116">
        <w:rPr>
          <w:rFonts w:ascii="Garamond" w:eastAsia="Times New Roman" w:hAnsi="Garamond" w:cs="Times New Roman"/>
          <w:sz w:val="20"/>
          <w:szCs w:val="20"/>
          <w:lang w:val="en-US" w:eastAsia="fr-FR"/>
        </w:rPr>
        <w:lastRenderedPageBreak/>
        <w:t xml:space="preserve">somit an einem wesentlichen Merkmal der »Zwangsneurose«. Das Verhältnis zwischen Mutter und Tochter war seit Jahren ein sehr unfreundliches. Die Tochter übersah die Mutter, kritisierte sie hart und hatte sich ihrem Einfluß völlig entzogen </w:t>
      </w:r>
      <w:hyperlink r:id="rId974" w:history="1">
        <w:r w:rsidRPr="00393116">
          <w:rPr>
            <w:rFonts w:ascii="Garamond" w:eastAsia="Times New Roman" w:hAnsi="Garamond" w:cs="Times New Roman"/>
            <w:color w:val="0000FF"/>
            <w:sz w:val="20"/>
            <w:szCs w:val="20"/>
            <w:u w:val="single"/>
            <w:lang w:val="en-US" w:eastAsia="fr-FR"/>
          </w:rPr>
          <w:t xml:space="preserve">[Fußnote]Ich stehe zwar nicht auf dem Standpunkte, die einzige Ätiologie der Hysterie sei die Heredität, möchte aber gerade mit Hinblick auf frühere Publikationen (›L'hérédité et l'étiologie des nevroses‹, 1896 </w:t>
        </w:r>
        <w:r w:rsidRPr="00393116">
          <w:rPr>
            <w:rFonts w:ascii="Garamond" w:eastAsia="Times New Roman" w:hAnsi="Garamond" w:cs="Times New Roman"/>
            <w:i/>
            <w:iCs/>
            <w:color w:val="0000FF"/>
            <w:sz w:val="20"/>
            <w:szCs w:val="20"/>
            <w:u w:val="single"/>
            <w:lang w:val="en-US" w:eastAsia="fr-FR"/>
          </w:rPr>
          <w:t>a</w:t>
        </w:r>
        <w:r w:rsidRPr="00393116">
          <w:rPr>
            <w:rFonts w:ascii="Garamond" w:eastAsia="Times New Roman" w:hAnsi="Garamond" w:cs="Times New Roman"/>
            <w:color w:val="0000FF"/>
            <w:sz w:val="20"/>
            <w:szCs w:val="20"/>
            <w:u w:val="single"/>
            <w:lang w:val="en-US" w:eastAsia="fr-FR"/>
          </w:rPr>
          <w:t xml:space="preserve">), in denen ich den obigen Satz bekämpfe, nicht den Anschein erwecken, als unterschätzte ich die Heredität in der Ätiologie der Hysterie oder hielte sie überhaupt für entbehrlich. Für den Fall unserer Patientin ergibt sich eine genügende Krankheitsbelastung aus dem über den Vater und dessen Geschwister Mitgeteilten; ja, wer der Anschauung ist, daß auch Krankheitszustände wie der der Mutter ohne hereditäre Disposition unmöglich sind, wird die Heredität dieses Falles für eine konvergente erklären können. Mir erscheint für die hereditäre oder besser konstitutionelle Disposition des Mädchens ein anderes Moment bedeutsamer. Ich habe erwähnt, daß der Vater vor der Ehe Syphilis überstanden hatte. Nun stammt ein </w:t>
        </w:r>
        <w:r w:rsidRPr="00393116">
          <w:rPr>
            <w:rFonts w:ascii="Garamond" w:eastAsia="Times New Roman" w:hAnsi="Garamond" w:cs="Times New Roman"/>
            <w:i/>
            <w:iCs/>
            <w:color w:val="0000FF"/>
            <w:sz w:val="20"/>
            <w:szCs w:val="20"/>
            <w:u w:val="single"/>
            <w:lang w:val="en-US" w:eastAsia="fr-FR"/>
          </w:rPr>
          <w:t>auffällig großer</w:t>
        </w:r>
        <w:r w:rsidRPr="00393116">
          <w:rPr>
            <w:rFonts w:ascii="Garamond" w:eastAsia="Times New Roman" w:hAnsi="Garamond" w:cs="Times New Roman"/>
            <w:color w:val="0000FF"/>
            <w:sz w:val="20"/>
            <w:szCs w:val="20"/>
            <w:u w:val="single"/>
            <w:lang w:val="en-US" w:eastAsia="fr-FR"/>
          </w:rPr>
          <w:t xml:space="preserve"> Prozentsatz meiner psychoanalytisch behandelten Kranken von Vätern ab, die an Tabes oder an Paralyse gelitten haben. Infolge der Neuheit meines therapeutischen Verfahrens fallen mir nur die </w:t>
        </w:r>
        <w:r w:rsidRPr="00393116">
          <w:rPr>
            <w:rFonts w:ascii="Garamond" w:eastAsia="Times New Roman" w:hAnsi="Garamond" w:cs="Times New Roman"/>
            <w:i/>
            <w:iCs/>
            <w:color w:val="0000FF"/>
            <w:sz w:val="20"/>
            <w:szCs w:val="20"/>
            <w:u w:val="single"/>
            <w:lang w:val="en-US" w:eastAsia="fr-FR"/>
          </w:rPr>
          <w:t>schwersten</w:t>
        </w:r>
        <w:r w:rsidRPr="00393116">
          <w:rPr>
            <w:rFonts w:ascii="Garamond" w:eastAsia="Times New Roman" w:hAnsi="Garamond" w:cs="Times New Roman"/>
            <w:color w:val="0000FF"/>
            <w:sz w:val="20"/>
            <w:szCs w:val="20"/>
            <w:u w:val="single"/>
            <w:lang w:val="en-US" w:eastAsia="fr-FR"/>
          </w:rPr>
          <w:t xml:space="preserve"> Fälle zu, die bereits jahrelang ohne jeglichen Erfolg behandelt worden sind. Tabes oder Paralyse des Erzeugers darf man als Anhänger der Erb-Fournierschen Lehre als Hinweise auf eine stattgehabte luetische Infektion aufnehmen, welche in einer Anzahl von Fällen bei diesen Vätern auch von mir direkt festgestellt worden ist. </w:t>
        </w:r>
        <w:r w:rsidRPr="00393116">
          <w:rPr>
            <w:rFonts w:ascii="Garamond" w:eastAsia="Times New Roman" w:hAnsi="Garamond" w:cs="Times New Roman"/>
            <w:color w:val="0000FF"/>
            <w:sz w:val="20"/>
            <w:szCs w:val="20"/>
            <w:u w:val="single"/>
            <w:lang w:eastAsia="fr-FR"/>
          </w:rPr>
          <w:t>In der letzten Diskussion über die Nachkommenschaft Syphilitischer (XIII. Internat. Medizin. Kongreß zu Paris, 2.-9. August 1900, Referate von Finger, Tarnowsky, Jullien u. a.) vermisse ich die Erwähnung der Tatsache, zu deren Anerkennung mich meine Erfahrung als Neuropathologe drängt, daß Syphilis der Erzeuger als Ätiologie für die neuropathische Konstitution der Kinder sehr wohl in Betracht kommt.</w:t>
        </w:r>
      </w:hyperlink>
      <w:r w:rsidRPr="00393116">
        <w:rPr>
          <w:rFonts w:ascii="Garamond" w:eastAsia="Times New Roman" w:hAnsi="Garamond" w:cs="Times New Roman"/>
          <w:sz w:val="20"/>
          <w:szCs w:val="20"/>
          <w:lang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eastAsia="fr-FR"/>
        </w:rPr>
        <w:t xml:space="preserve">Der einzige, um 1½ Jahre ältere Bruder des Mädchens war ihr in früheren Jahren das Vorbild gewesen, dem ihr Ehrgeiz nachgestrebt hatte. </w:t>
      </w:r>
      <w:r w:rsidRPr="00393116">
        <w:rPr>
          <w:rFonts w:ascii="Garamond" w:eastAsia="Times New Roman" w:hAnsi="Garamond" w:cs="Times New Roman"/>
          <w:sz w:val="20"/>
          <w:szCs w:val="20"/>
          <w:lang w:val="en-US" w:eastAsia="fr-FR"/>
        </w:rPr>
        <w:t>Die Beziehungen der beiden Geschwister hatten sich in den letzten Jahren gelockert. Der junge Mann suchte sich den Familienwirren möglichst zu entziehen; wo er Partei nehmen mußte, stand er auf seiten der Mutter. So hatte die gewöhnliche sexuelle Attraktion Vater und Tochter einerseits, Mutter und Sohn anderseits einander näher gebracht.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Unsere Patientin, der ich fortan ihren Namen Dora geben will, zeigte schon im Alter von acht Jahren nervöse Symptome. Sie erkrankte damals an permanenter, anfallsweise sehr gesteigerter Atemnot, die zuerst nach einer kleinen Bergpartie auftrat und darum auf Überanstrengung bezogen wurde. Der Zustand klang im Laufe eines halben Jahres langsam unter der ihr aufgenötigten Ruhe und Schonung ab. Der Hausarzt der Familie scheint bei der Diagnose einer rein nervösen Störung und beim Ausschluß einer organischen Verursachung der Dyspnoe keinen Moment geschwankt zu haben, aber er hielt offenbar solche Diagnose für vereinbar mit der Ätiologie der Überanstrengung </w:t>
      </w:r>
      <w:hyperlink r:id="rId975" w:history="1">
        <w:r w:rsidRPr="00393116">
          <w:rPr>
            <w:rFonts w:ascii="Garamond" w:eastAsia="Times New Roman" w:hAnsi="Garamond" w:cs="Times New Roman"/>
            <w:color w:val="0000FF"/>
            <w:sz w:val="20"/>
            <w:szCs w:val="20"/>
            <w:u w:val="single"/>
            <w:lang w:val="en-US" w:eastAsia="fr-FR"/>
          </w:rPr>
          <w:t>[Fußnote]Über den wahrscheinlichen Anlaß dieser ersten Erkrankung s. weiter unten.</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Die Kleine machte die gewöhnlichen Kinderinfektionskrankheiten ohne bleibende Schädigung durch. Wie sie (in symbolisierender Absicht!) erzählte, machte gewöhnlich der Bruder den Anfang mit der Erkrankung, die er im leichten Grade hatte, worauf sie mit schweren Erscheinungen nachfolgte. Gegen das Alter von 12 Jahren traten migräneartige halbseitige Kopfschmerzen und Anfälle von nervösem Husten bei ihr auf, anfangs jedesmal miteinander, bis sich die beiden Symptome voneinander lösten, um eine verschiedene Entwicklung zu erfahren. Die Migräne wurde seltener und war mit 16 Jahren überwunden. Die Anfälle von </w:t>
      </w:r>
      <w:r w:rsidRPr="00393116">
        <w:rPr>
          <w:rFonts w:ascii="Garamond" w:eastAsia="Times New Roman" w:hAnsi="Garamond" w:cs="Times New Roman"/>
          <w:i/>
          <w:iCs/>
          <w:sz w:val="20"/>
          <w:szCs w:val="20"/>
          <w:lang w:val="en-US" w:eastAsia="fr-FR"/>
        </w:rPr>
        <w:t>tussis nervosa</w:t>
      </w:r>
      <w:r w:rsidRPr="00393116">
        <w:rPr>
          <w:rFonts w:ascii="Garamond" w:eastAsia="Times New Roman" w:hAnsi="Garamond" w:cs="Times New Roman"/>
          <w:sz w:val="20"/>
          <w:szCs w:val="20"/>
          <w:lang w:val="en-US" w:eastAsia="fr-FR"/>
        </w:rPr>
        <w:t>, zu denen ein gemeiner Katarrh wohl den Anstoß gegeben hatte, hielten die ganze Zeit über an. Als sie mit 18 Jahren in meine Behandlung kam, hustete sie neuerdings in charakteristischer Weise. Die Anzahl dieser Anfälle war nicht festzustellen, die Dauer derselben betrug drei bis fünf Wochen, einmal auch mehrere Monate. In der ersten Hälfte eines solchen Anfalles war wenigstens in den letzten Jahren komplette Stimmlosigkeit das lästigste Symptom gewesen. Die Diagnose, daß es sich wieder um Nervosität handle, stand längst fest; die mannigfachen gebräuchlichen Behandlungen, auch Hydrotherapie und lokale Elektrisierung, blieben ohne Erfolg. Das unter diesen Zuständen zum reifen, im Urteil sehr selbständigen Mädchen herangewachsene Kind gewöhnte sich daran, der Bemühungen der Ärzte zu spotten und zuletzt auf ärztliche Hilfe zu verzichten. Sie hatte sich übrigens von jeher gesträubt, den Arzt zu Rate zu ziehen, obwohl sie gegen die Person ihres Hausarztes keine Abneigung hatte. Jeder Vorschlag, einen neuen Arzt zu konsultieren, erregte ihren Widerstand, und auch zu mir trieb sie erst das Machtwort des Vaters.</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Ich sah sie zuerst im Frühsommer ihres 16. Jahres mit Husten und Heiserkeit behaftet und schlug schon damals eine psychische Kur vor, von der dann Abstand genommen wurde, als auch dieser länger dauernde Anfall spontan verging. Im Winter des nächsten Jahres war sie nach dem Tode ihrer geliebten Tante in Wien im Hause des Onkels und seiner Töchter und erkrankte hier fieberhaft an einem Zustand, der damals als Blinddarmentzündung diagnostiziert wurde </w:t>
      </w:r>
      <w:hyperlink r:id="rId976" w:history="1">
        <w:r w:rsidRPr="00393116">
          <w:rPr>
            <w:rFonts w:ascii="Garamond" w:eastAsia="Times New Roman" w:hAnsi="Garamond" w:cs="Times New Roman"/>
            <w:color w:val="0000FF"/>
            <w:sz w:val="20"/>
            <w:szCs w:val="20"/>
            <w:u w:val="single"/>
            <w:lang w:val="en-US" w:eastAsia="fr-FR"/>
          </w:rPr>
          <w:t>[Fußnote]Vgl. über denselben die Analyse des zweiten Traumes.</w:t>
        </w:r>
      </w:hyperlink>
      <w:r w:rsidRPr="00393116">
        <w:rPr>
          <w:rFonts w:ascii="Garamond" w:eastAsia="Times New Roman" w:hAnsi="Garamond" w:cs="Times New Roman"/>
          <w:sz w:val="20"/>
          <w:szCs w:val="20"/>
          <w:lang w:val="en-US" w:eastAsia="fr-FR"/>
        </w:rPr>
        <w:t>. In dem darauffolgenden Herbst verließ die Familie endgültig den Kurort B., da die Gesundheit des Vaters dies zu gestatten schien, nahm zuerst in dem Orte, wo sich die Fabrik des Vaters befand, und kaum ein Jahr später in Wien dauernden Aufenthalt.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Dora war unterdes zu einem blühenden Mädchen von intelligenten und gefälligen Gesichtszügen herangewachsen, das ihren Eltern aber schwere Sorge bereitete. Das Hauptzeichen ihres Krankseins war Verstimmung und Charakterveränderung geworden. Sie war offenbar weder mit sich noch mit den Ihrigen zufrieden, begegnete ihrem Vater unfreundlich und vertrug sich gar nicht mehr mit ihrer Mutter, die sie durchaus zur Teilnahme an der Wirtschaft heranziehen wollte. Verkehr suchte sie zu vermeiden; soweit die Müdigkeit und Zerstreutheit, über die sie klagte, es zuließen, beschäftigte sie sich mit dem Anhören von Vorträgen für Damen und trieb ernstere Studien. Eines Tages wurden die Eltern in Schreck versetzt durch einen Brief, den sie auf oder in dem Schreibtisch des Mädchens fanden, in dem sie Abschied von ihnen nahm, weil sie das Leben nicht mehr ertragen könne </w:t>
      </w:r>
      <w:hyperlink r:id="rId977" w:history="1">
        <w:r w:rsidRPr="00393116">
          <w:rPr>
            <w:rFonts w:ascii="Garamond" w:eastAsia="Times New Roman" w:hAnsi="Garamond" w:cs="Times New Roman"/>
            <w:color w:val="0000FF"/>
            <w:sz w:val="20"/>
            <w:szCs w:val="20"/>
            <w:u w:val="single"/>
            <w:lang w:val="en-US" w:eastAsia="fr-FR"/>
          </w:rPr>
          <w:t>[Fußnote]Diese Kur und somit meine Einsicht in die Verkettungen der Krankengeschichte ist, wie ich bereits mitgeteilt habe, ein Bruchstück geblieben. Ich kann darum über manche Punkte keinen Aufschluß geben oder nur Andeutungen und Vermutungen verwerten. Als dieser Brief in einer Sitzung zur Sprache kam, fragte das Mädchen wie erstaunt: »Wie haben sie den Brief nur gefunden? Er war doch in meinem Schreibtische eingeschlossen.« Da sie aber wußte, daß die Eltern diesen Entwurf zu einem Abschiedsbrief gelesen hatten, so schließe ich, daß sie ihnen denselben selbst in die Hände gespielt.</w:t>
        </w:r>
      </w:hyperlink>
      <w:r w:rsidRPr="00393116">
        <w:rPr>
          <w:rFonts w:ascii="Garamond" w:eastAsia="Times New Roman" w:hAnsi="Garamond" w:cs="Times New Roman"/>
          <w:sz w:val="20"/>
          <w:szCs w:val="20"/>
          <w:lang w:val="en-US" w:eastAsia="fr-FR"/>
        </w:rPr>
        <w:t xml:space="preserve">. Die nicht geringe Einsicht des Vaters ließ ihn zwar annehmen, daß kein ernsthafter Selbstmordvorsatz das Mädchen beherrsche, aber er blieb erschüttert, und als sich eines Tages nach einem geringfügigen Wortwechsel zwischen Vater und Tochter bei letzterer ein erster Anfall von Bewußtlosigkeit </w:t>
      </w:r>
      <w:hyperlink r:id="rId978" w:history="1">
        <w:r w:rsidRPr="00393116">
          <w:rPr>
            <w:rFonts w:ascii="Garamond" w:eastAsia="Times New Roman" w:hAnsi="Garamond" w:cs="Times New Roman"/>
            <w:color w:val="0000FF"/>
            <w:sz w:val="20"/>
            <w:szCs w:val="20"/>
            <w:u w:val="single"/>
            <w:lang w:val="en-US" w:eastAsia="fr-FR"/>
          </w:rPr>
          <w:t>[Fußnote]Ich glaube, daß in diesem Anfalle auch Krämpfe und Delirien zu beobachten waren. Da aber die Analyse auch zu diesem Ereignis nicht vorgedrungen ist, verfüge ich über keine gesicherte Erinnerung hierüber.</w:t>
        </w:r>
      </w:hyperlink>
      <w:r w:rsidRPr="00393116">
        <w:rPr>
          <w:rFonts w:ascii="Garamond" w:eastAsia="Times New Roman" w:hAnsi="Garamond" w:cs="Times New Roman"/>
          <w:sz w:val="20"/>
          <w:szCs w:val="20"/>
          <w:lang w:val="en-US" w:eastAsia="fr-FR"/>
        </w:rPr>
        <w:t xml:space="preserve"> einstellte, für den dann auch Amnesie bestand, wurde trotz ihres Sträubens bestimmt, daß sie in meine Behandlung treten solle.</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Die Krankengeschichte, die ich bisher skizziert, erscheint wohl im ganzen nicht mitteilenswert. » </w:t>
      </w:r>
      <w:r w:rsidRPr="00393116">
        <w:rPr>
          <w:rFonts w:ascii="Garamond" w:eastAsia="Times New Roman" w:hAnsi="Garamond" w:cs="Times New Roman"/>
          <w:i/>
          <w:iCs/>
          <w:sz w:val="20"/>
          <w:szCs w:val="20"/>
          <w:lang w:val="en-US" w:eastAsia="fr-FR"/>
        </w:rPr>
        <w:t>Petite hysterie</w:t>
      </w:r>
      <w:r w:rsidRPr="00393116">
        <w:rPr>
          <w:rFonts w:ascii="Garamond" w:eastAsia="Times New Roman" w:hAnsi="Garamond" w:cs="Times New Roman"/>
          <w:sz w:val="20"/>
          <w:szCs w:val="20"/>
          <w:lang w:val="en-US" w:eastAsia="fr-FR"/>
        </w:rPr>
        <w:t xml:space="preserve">« mit den allergewöhnlichsten somatischen und psychischen Symptomen: Dyspnoe, </w:t>
      </w:r>
      <w:r w:rsidRPr="00393116">
        <w:rPr>
          <w:rFonts w:ascii="Garamond" w:eastAsia="Times New Roman" w:hAnsi="Garamond" w:cs="Times New Roman"/>
          <w:i/>
          <w:iCs/>
          <w:sz w:val="20"/>
          <w:szCs w:val="20"/>
          <w:lang w:val="en-US" w:eastAsia="fr-FR"/>
        </w:rPr>
        <w:t>tussis nervosa</w:t>
      </w:r>
      <w:r w:rsidRPr="00393116">
        <w:rPr>
          <w:rFonts w:ascii="Garamond" w:eastAsia="Times New Roman" w:hAnsi="Garamond" w:cs="Times New Roman"/>
          <w:sz w:val="20"/>
          <w:szCs w:val="20"/>
          <w:lang w:val="en-US" w:eastAsia="fr-FR"/>
        </w:rPr>
        <w:t xml:space="preserve">, Aphonie, etwa noch Migränen, dazu Verstimmung, hysterische Unverträglichkeit und ein wahrscheinlich nicht ernst gemeintes </w:t>
      </w:r>
      <w:r w:rsidRPr="00393116">
        <w:rPr>
          <w:rFonts w:ascii="Garamond" w:eastAsia="Times New Roman" w:hAnsi="Garamond" w:cs="Times New Roman"/>
          <w:i/>
          <w:iCs/>
          <w:sz w:val="20"/>
          <w:szCs w:val="20"/>
          <w:lang w:val="en-US" w:eastAsia="fr-FR"/>
        </w:rPr>
        <w:t>taedium vitae</w:t>
      </w:r>
      <w:r w:rsidRPr="00393116">
        <w:rPr>
          <w:rFonts w:ascii="Garamond" w:eastAsia="Times New Roman" w:hAnsi="Garamond" w:cs="Times New Roman"/>
          <w:sz w:val="20"/>
          <w:szCs w:val="20"/>
          <w:lang w:val="en-US" w:eastAsia="fr-FR"/>
        </w:rPr>
        <w:t>. Es sind gewiß interessantere Krankengeschichten von Hysterischen veröffentlicht worden und sehr oft sorgfältiger aufgenommene, denn auch von Stigmen der Hautempfindlichkeit, Gesichtsfeldeinschränkung u. dgl. wird man in der Fortsetzung nichts finden. Ich gestatte mir bloß die Bemerkung, daß uns alle Sammlungen von seltsamen und erstaunlichen Phänomenen bei Hysterie in der Erkenntnis dieser noch immer rätselhaften Erkrankung um nicht vieles gefördert haben. Was uns not tut, ist gerade die Aufklärung der allergewöhnlichsten Fälle und der allerhäufigsten, der typischen Symptome bei ihnen. Ich wäre zufrieden, wenn mir die Verhältnisse gestattet hätten, für diesen Fall kleiner Hysterie die Aufklärung vollständig zu geben. Nach meinen Erfahrungen an anderen Kranken zweifle ich nicht daran, daß meine analytischen Mittel dafür ausgereicht hätten.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Im Jahre 1896, kurz nach der Veröffentlichung meiner </w:t>
      </w:r>
      <w:r w:rsidRPr="00393116">
        <w:rPr>
          <w:rFonts w:ascii="Garamond" w:eastAsia="Times New Roman" w:hAnsi="Garamond" w:cs="Times New Roman"/>
          <w:i/>
          <w:iCs/>
          <w:sz w:val="20"/>
          <w:szCs w:val="20"/>
          <w:lang w:val="en-US" w:eastAsia="fr-FR"/>
        </w:rPr>
        <w:t>Studien über Hysterie</w:t>
      </w:r>
      <w:r w:rsidRPr="00393116">
        <w:rPr>
          <w:rFonts w:ascii="Garamond" w:eastAsia="Times New Roman" w:hAnsi="Garamond" w:cs="Times New Roman"/>
          <w:sz w:val="20"/>
          <w:szCs w:val="20"/>
          <w:lang w:val="en-US" w:eastAsia="fr-FR"/>
        </w:rPr>
        <w:t xml:space="preserve"> mit Dr. J. Breuer bat ich einen hervorragenden Fachgenossen um sein Urteil über die darin vertretene psychologische Theorie der Hysterie. Er antwortete unumwunden, er halte sie für eine unberechtigte Verallgemeinerung von Schlüssen, die für einige wenige Fälle richtig sein mögen. Seither habe ich reichlich Fälle von Hysterie gesehen, habe mich einige Tage, Wochen oder Jahre mit jedem Falle beschäftigt, und in keinem einzigen Falle habe ich jene psychischen Bedingungen vermißt, welche die </w:t>
      </w:r>
      <w:r w:rsidRPr="00393116">
        <w:rPr>
          <w:rFonts w:ascii="Garamond" w:eastAsia="Times New Roman" w:hAnsi="Garamond" w:cs="Times New Roman"/>
          <w:i/>
          <w:iCs/>
          <w:sz w:val="20"/>
          <w:szCs w:val="20"/>
          <w:lang w:val="en-US" w:eastAsia="fr-FR"/>
        </w:rPr>
        <w:t>Studien</w:t>
      </w:r>
      <w:r w:rsidRPr="00393116">
        <w:rPr>
          <w:rFonts w:ascii="Garamond" w:eastAsia="Times New Roman" w:hAnsi="Garamond" w:cs="Times New Roman"/>
          <w:sz w:val="20"/>
          <w:szCs w:val="20"/>
          <w:lang w:val="en-US" w:eastAsia="fr-FR"/>
        </w:rPr>
        <w:t xml:space="preserve"> postulieren, das psychische Trauma, den Konflikt der Affekte und, wie ich in späteren Publikationen hinzugefügt habe, die Ergriffenheit der Sexualsphäre. Man darf bei Dingen, welche durch ihr Bestreben, sich zu verbergen, pathogen geworden sind, freilich nicht erwarten, daß die Kranken sie dem Arzt entgegentragen werden, oder darf sich nicht bei dem ersten »Nein«, das sich der Forschung entgegensetzt, bescheiden </w:t>
      </w:r>
      <w:hyperlink r:id="rId979" w:history="1">
        <w:r w:rsidRPr="00393116">
          <w:rPr>
            <w:rFonts w:ascii="Garamond" w:eastAsia="Times New Roman" w:hAnsi="Garamond" w:cs="Times New Roman"/>
            <w:color w:val="0000FF"/>
            <w:sz w:val="20"/>
            <w:szCs w:val="20"/>
            <w:u w:val="single"/>
            <w:lang w:val="en-US" w:eastAsia="fr-FR"/>
          </w:rPr>
          <w:t xml:space="preserve">[Fußnote]Hier ein Beispiel fürs letztere. Einer meiner Wiener Kollegen, dessen Überzeugung von der Belanglosigkeit sexueller Momente für die Hysterie durch solche Erfahrungen wahrscheinlich sehr gefestigt worden ist, entschloß sich bei einem 14jährigen Mädchen mit bedrohlichem hysterischen Erbrechen zur peinlichen Frage, ob sie vielleicht gar eine Liebesbeziehung gehabt hätte. Das Kind antwortete: Nein, wahrscheinlich mit gut gespieltem Erstaunen, und erzählte in seiner respektlosen Weise der Mutter: Denk' dir, der dumme Kerl hat mich gar gefragt, ob ich verliebt bin. Es kam dann in meine Behandlung und enthüllte sich – freilich nicht gleich bei der ersten Unterredung – als eine langjährige Masturbantin mit starkem </w:t>
        </w:r>
        <w:r w:rsidRPr="00393116">
          <w:rPr>
            <w:rFonts w:ascii="Garamond" w:eastAsia="Times New Roman" w:hAnsi="Garamond" w:cs="Times New Roman"/>
            <w:i/>
            <w:iCs/>
            <w:color w:val="0000FF"/>
            <w:sz w:val="20"/>
            <w:szCs w:val="20"/>
            <w:u w:val="single"/>
            <w:lang w:val="en-US" w:eastAsia="fr-FR"/>
          </w:rPr>
          <w:t>fluor albus</w:t>
        </w:r>
        <w:r w:rsidRPr="00393116">
          <w:rPr>
            <w:rFonts w:ascii="Garamond" w:eastAsia="Times New Roman" w:hAnsi="Garamond" w:cs="Times New Roman"/>
            <w:color w:val="0000FF"/>
            <w:sz w:val="20"/>
            <w:szCs w:val="20"/>
            <w:u w:val="single"/>
            <w:lang w:val="en-US" w:eastAsia="fr-FR"/>
          </w:rPr>
          <w:t xml:space="preserve"> (der viel Bezug auf das Erbrechen hatte), die sich endlich selbst entwöhnt hatte, in der Abstinenz aber von dem heftigsten Schuldgefühl gepeinigt wurde, so daß sie alle Unfälle, welche die Familie betrafen, als göttliche Strafe für ihre Versündigung ansah. Außerdem stand sie unter dem Einflüsse des Romans ihrer Tante, deren uneheliche Gravidität (mit zweiter Determination für das Erbrechen) ihr angeblich glücklich verheimlicht worden war. Sie galt als ein »ganzes Kind«, erwies sich aber als eingeweiht in alles Wesentliche der sexuellen Beziehungen.</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Bei meiner Patientin Dora dankte ich es dem schon mehrmals hervorgehobenen Verständnis des Vaters, daß ich nicht selbst nach der Lebensanknüpfung, wenigstens für die letzte Gestaltung der Krankheit, zu suchen brauchte. Der Vater berichtete mir, daß er wie seine Familie in B. intime Freundschaft mit einem Ehepaar geschlossen hätten, welches seit mehreren Jahren dort ansässig war. Frau K. habe ihn während seiner großen Krankheit gepflegt und sich dadurch einen unvergänglichen Anspruch auf seine Dankbarkeit erworben. Herr K. sei stets sehr liebenswürdig gegen seine Tochter Dora gewesen, habe Spaziergänge mit ihr unternommen, wenn er in B. anwesend war, ihr kleine Geschenke gemacht, doch hätte niemand etwas Arges daran gefunden. Dora habe die zwei kleinen Kinder des Ehepaares K. in der sorgsamsten Weise betreut, gleichsam Mutterstelle an ihnen vertreten. Als Vater und Tochter mich im Sommer vor zwei Jahren aufsuchten, waren sie eben auf der Reise zu Herrn und Frau K. begriffen, die Sommeraufenthalt an einem unserer Alpenseen genommen hatten. Dora sollte mehrere Wochen im Hause K. bleiben, der Vater wollte nach wenigen Tagen zurückreisen. Herr K. war in diesen Tagen auch zugegen. Als der Vater aber zur Abreise rüstete, erklärte das Mädchen plötzlich mit größter Entschiedenheit, sie reise mit, und sie hatte es auch so durchgesetzt. Einige Tage später gab sie erst die Aufklärung für ihr auffälliges Benehmen, indem sie der Mutter zur Weiterbeförderung an den Vater erzählte, Herr K. habe auf einem Spaziergang nach einer Seefahrt gewagt, ihr einen Liebesantrag zu machen. Der Beschuldigte, beim nächsten Zusammentreffen von Vater und Onkel zur Rede gestellt, leugnete aufs Nachdrücklichste jeden Schritt seinerseits, der solche Auslegung verdient hätte, und begann das Mädchen zu verdächtigen, das nach der Mitteilung der Frau K. nur für sexuelle Dinge Interesse zeige und in ihrem Hause am See selbst Mantegazzas </w:t>
      </w:r>
      <w:r w:rsidRPr="00393116">
        <w:rPr>
          <w:rFonts w:ascii="Garamond" w:eastAsia="Times New Roman" w:hAnsi="Garamond" w:cs="Times New Roman"/>
          <w:i/>
          <w:iCs/>
          <w:sz w:val="20"/>
          <w:szCs w:val="20"/>
          <w:lang w:val="en-US" w:eastAsia="fr-FR"/>
        </w:rPr>
        <w:t>Physiologie der Liebe</w:t>
      </w:r>
      <w:r w:rsidRPr="00393116">
        <w:rPr>
          <w:rFonts w:ascii="Garamond" w:eastAsia="Times New Roman" w:hAnsi="Garamond" w:cs="Times New Roman"/>
          <w:sz w:val="20"/>
          <w:szCs w:val="20"/>
          <w:lang w:val="en-US" w:eastAsia="fr-FR"/>
        </w:rPr>
        <w:t xml:space="preserve"> und ähnliche Bücher gelesen habe. Wahrscheinlich habe sie, durch solche Lektüre erhitzt, sich die ganze Szene, von der sie erzählt, »eingebildet«.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lastRenderedPageBreak/>
        <w:t>»Ich bezweifle nicht«, sagte der Vater, »daß dieser Vorfall die Schuld an Doras Verstimmung, Gereiztheit und Selbstmordideen trägt. Sie verlangt von mir, daß ich den Verkehr mit Herrn und besonders mit Frau K., die sie früher geradezu verehrt hat, abbreche. Ich kann das aber nicht, denn erstens halte ich selbst die Erzählung Doras von der unsittlichen Zumutung des Mannes für eine Phantasie, die sich ihr aufgedrängt hat, zweitens bin ich an Frau K. durch ehrliche Freundschaft gebunden und mag ihr nicht wehe tun. Die arme Frau ist sehr unglücklich mit ihrem Manne, von dem ich übrigens nicht die beste Meinung habe; sie war selbst sehr nervenleidend und hat an mir den einzigen Anhalt. Bei meinem Gesundheitszustand brauche ich Ihnen wohl nicht zu versichern, daß hinter diesem Verhältnis nichts Unerlaubtes steckt. Wir sind zwei arme Menschen, die einander, so gut es geht, durch freundschaftliche Teilnahme trösten. Daß ich nichts an meiner eigenen Frau habe, ist Ihnen bekannt. Dora aber, die meinen harten Kopf hat, ist von ihrem Haß gegen die K. nicht abzubringen. Ihr letzter Anfall war nach einem Gespräch, in dem sie wiederum dieselbe Forderung an mich stellte. Suchen Sie sie jetzt auf bessere Wege zu bringen.«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Nicht ganz im Einklang mit diesen Eröffnungen stand es, daß der Vater in anderen Reden die Hauptschuld an dem unerträglichen Wesen seiner Tochter auf die Mutter zu schieben suchte, deren Eigenheiten allen das Haus verleideten. Ich hatte mir aber längst vorgenommen, mein Urteil über den wirklichen Sachverhalt aufzuschieben, bis ich auch den anderen Teil gehört hätte.</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In dem Erlebnis mit Herrn K. – in der Liebeswerbung und der darauffolgenden Ehrenkränkung – wäre also für unsere Patientin Dora das psychische Trauma gegeben, welches seinerzeit Breuer und ich als unerläßliche Vorbedingung für die Entstehung eines hysterischen Krankheitszustandes hingestellt haben. Dieser neue Fall zeigt aber auch alle die Schwierigkeiten, die mich seither veranlaßt haben, über diese Theorie hinauszugehen </w:t>
      </w:r>
      <w:hyperlink r:id="rId980" w:history="1">
        <w:r w:rsidRPr="00393116">
          <w:rPr>
            <w:rFonts w:ascii="Garamond" w:eastAsia="Times New Roman" w:hAnsi="Garamond" w:cs="Times New Roman"/>
            <w:color w:val="0000FF"/>
            <w:sz w:val="20"/>
            <w:szCs w:val="20"/>
            <w:u w:val="single"/>
            <w:lang w:val="en-US" w:eastAsia="fr-FR"/>
          </w:rPr>
          <w:t>[Fußnote]Ich bin über diese Theorie hinausgegangen, ohne sie aufzugeben, d. h. ich erkläre sie heute nicht für unrichtig, sondern für unvollständig. Aufgegeben habe ich bloß die Betonung des sogenannten hypnoiden Zustandes, der aus Anlaß des Traumas bei dem Kranken auftreten und die Begründung für das weitere psychologisch abnorme Geschehen auf sich nehmen soll. Wenn es bei gemeinsamer Arbeit gestattet ist, nachträglich eine Eigentumsscheidung vorzunehmen, so möchte ich hier doch aussagen, daß die Aufstellung der »hypnoiden Zustände«, in welcher dann manche Referenten den Kern unserer Arbeit erkennen wollten, der ausschließlichen Initiative Breuers entsprungen ist. Ich halte es für überflüssig und irreleitend, die Kontinuität des Problems, worin der psychische Vorgang bei der hysterischen Symptombildung bestehe, durch diese Namengebung zu unterbrechen.</w:t>
        </w:r>
      </w:hyperlink>
      <w:r w:rsidRPr="00393116">
        <w:rPr>
          <w:rFonts w:ascii="Garamond" w:eastAsia="Times New Roman" w:hAnsi="Garamond" w:cs="Times New Roman"/>
          <w:sz w:val="20"/>
          <w:szCs w:val="20"/>
          <w:lang w:val="en-US" w:eastAsia="fr-FR"/>
        </w:rPr>
        <w:t xml:space="preserve">, vermehrt durch eine neue Schwierigkeit besonderer Art. Das uns bekannte Trauma der Lebensgeschichte ist nämlich, wie so oft in den hysterischen Krankengeschichten, untauglich, um die Eigenart der Symptome zu erklären, sie zu determinieren; wir würden ebensoviel oder ebensowenig vom Zusammenhang erfassen, wenn andere Symptome als </w:t>
      </w:r>
      <w:r w:rsidRPr="00393116">
        <w:rPr>
          <w:rFonts w:ascii="Garamond" w:eastAsia="Times New Roman" w:hAnsi="Garamond" w:cs="Times New Roman"/>
          <w:i/>
          <w:iCs/>
          <w:sz w:val="20"/>
          <w:szCs w:val="20"/>
          <w:lang w:val="en-US" w:eastAsia="fr-FR"/>
        </w:rPr>
        <w:t>tussis nervosa</w:t>
      </w:r>
      <w:r w:rsidRPr="00393116">
        <w:rPr>
          <w:rFonts w:ascii="Garamond" w:eastAsia="Times New Roman" w:hAnsi="Garamond" w:cs="Times New Roman"/>
          <w:sz w:val="20"/>
          <w:szCs w:val="20"/>
          <w:lang w:val="en-US" w:eastAsia="fr-FR"/>
        </w:rPr>
        <w:t xml:space="preserve">, Aphonie, Verstimmung und </w:t>
      </w:r>
      <w:r w:rsidRPr="00393116">
        <w:rPr>
          <w:rFonts w:ascii="Garamond" w:eastAsia="Times New Roman" w:hAnsi="Garamond" w:cs="Times New Roman"/>
          <w:i/>
          <w:iCs/>
          <w:sz w:val="20"/>
          <w:szCs w:val="20"/>
          <w:lang w:val="en-US" w:eastAsia="fr-FR"/>
        </w:rPr>
        <w:t>taedium vitae</w:t>
      </w:r>
      <w:r w:rsidRPr="00393116">
        <w:rPr>
          <w:rFonts w:ascii="Garamond" w:eastAsia="Times New Roman" w:hAnsi="Garamond" w:cs="Times New Roman"/>
          <w:sz w:val="20"/>
          <w:szCs w:val="20"/>
          <w:lang w:val="en-US" w:eastAsia="fr-FR"/>
        </w:rPr>
        <w:t xml:space="preserve"> der Erfolg des Traumas gewesen wären. Nun kommt aber hinzu, daß ein Teil dieser Symptome – der Husten und die Stimmlosigkeit – schon Jahre vor dem Trauma von der Kranken produziert worden sind und daß die ersten Erscheinungen überhaupt der Kindheit angehören, da sie in das achte Lebensjahr fallen. Wir müssen also, wenn wir die traumatische Theorie nicht aufgeben wollen, bis auf die Kindheit zurückgreifen, um dort nach Einflüssen oder Eindrücken zu suchen, welche analog einem Trauma wirken können, und dann ist es recht bemerkenswert, daß mich auch die Untersuchung von Fällen, deren erste Symptome nicht bereits in der Kindheit einsetzten, zur Verfolgung der Lebensgeschichte bis in die ersten Kinderjahre angeregt hat </w:t>
      </w:r>
      <w:hyperlink r:id="rId981" w:history="1">
        <w:r w:rsidRPr="00393116">
          <w:rPr>
            <w:rFonts w:ascii="Garamond" w:eastAsia="Times New Roman" w:hAnsi="Garamond" w:cs="Times New Roman"/>
            <w:color w:val="0000FF"/>
            <w:sz w:val="20"/>
            <w:szCs w:val="20"/>
            <w:u w:val="single"/>
            <w:lang w:val="en-US" w:eastAsia="fr-FR"/>
          </w:rPr>
          <w:t>[Fußnote]Vgl. meine Abhandlung: ›Zur Ätiologie der Hysterie‹ (1896).</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Nachdem die ersten Schwierigkeiten der Kur überwunden waren, machte mir Dora Mitteilung von einem früheren Erlebnisse mit Herrn K., welches sogar besser geeignet war, als sexuelles Trauma zu wirken. Sie war damals 14 Jahre alt. Herr K. hatte mit ihr und seiner Frau verabredet, daß die Damen am Nachmittag in seinen Geschäftsladen auf dem Hauptplatz von B. kommen sollten, um von dort aus eine kirchliche Feierlichkeit mitanzusehen. Er bewog aber seine Frau, zu Hause zu bleiben, entließ die Kommis und war allein, als das Mädchen ins Geschäft trat. Als die Zeit der Prozession herannahte, ersuchte er das Mädchen, ihn bei der Türe, die aus dem Laden zur Treppe ins höhere Stockwerk führte, zu erwarten, während er die Rollbalken herunterließ. Er kam dann zurück, und anstatt durch die offene Türe hinauszugehen, preßte er plötzlich das Mädchen an sich und drückte ihm einen Kuß auf die Lippen. Das war wohl die Situation, um bei einem 14jährigen unberührten Mädchen eine deutliche Empfindung sexueller Erregtheit hervorzurufen. Dora empfand aber in diesem Moment einen heftigen Ekel, riß sich los und eilte an dem Manne vorbei zur Treppe und von dort zum Haustor. Der Verkehr mit Herrn K. dauerte nichtsdestoweniger fort; keiner von ihnen tat dieser kleinen Szene je Erwähnung, auch will sie dieselbe bis zur Beichte in der Kur als Geheimnis bewahrt haben. In der nächsten Zeit vermied sie übrigens die Gelegenheit, mit Herrn K. allein zu sein. Das Ehepaar K. hatte damals einen mehrtägigen Ausflug verabredet, an dem auch Dora teilnehmen sollte. Nach dem Kuß im Laden sagte sie ihre Beteiligung ab, ohne Gründe anzugeben.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In dieser, der Reihe nach zweiten, der Zeit nach früheren Szene ist das Benehmen des 14jährigen Kindes bereits ganz und voll hysterisch. Jede Person, bei welcher ein Anlaß zur sexuellen Erregung überwiegend oder ausschließlich Unlustgefühle hervorruft, würde ich unbedenklich für eine Hysterika halten, ob sie nun somatische Symptome zu erzeugen fähig sei oder nicht. Den Mechanismus dieser </w:t>
      </w:r>
      <w:r w:rsidRPr="00393116">
        <w:rPr>
          <w:rFonts w:ascii="Garamond" w:eastAsia="Times New Roman" w:hAnsi="Garamond" w:cs="Times New Roman"/>
          <w:i/>
          <w:iCs/>
          <w:sz w:val="20"/>
          <w:szCs w:val="20"/>
          <w:lang w:val="en-US" w:eastAsia="fr-FR"/>
        </w:rPr>
        <w:t>Affektverkehrung</w:t>
      </w:r>
      <w:r w:rsidRPr="00393116">
        <w:rPr>
          <w:rFonts w:ascii="Garamond" w:eastAsia="Times New Roman" w:hAnsi="Garamond" w:cs="Times New Roman"/>
          <w:sz w:val="20"/>
          <w:szCs w:val="20"/>
          <w:lang w:val="en-US" w:eastAsia="fr-FR"/>
        </w:rPr>
        <w:t xml:space="preserve"> aufzuklären, bleibt eine der bedeutsamsten, gleichzeitig eine der schwierigsten Aufgaben der Neurosenpsychologie. Nach meinem eigenen Urteil bin ich noch ein gut Stück Weges von diesem Ziel entfernt; im Rahmen dieser Mitteilung werde ich aber auch von dem, was ich weiß, nur einen Teil vorbringen können.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lastRenderedPageBreak/>
        <w:t xml:space="preserve">Der Fall unserer Patientin Dora ist durch die Hervorhebung der Affektverkehrung noch nicht genügend charakterisiert; man muß außerdem sagen, hier hat eine </w:t>
      </w:r>
      <w:r w:rsidRPr="00393116">
        <w:rPr>
          <w:rFonts w:ascii="Garamond" w:eastAsia="Times New Roman" w:hAnsi="Garamond" w:cs="Times New Roman"/>
          <w:i/>
          <w:iCs/>
          <w:sz w:val="20"/>
          <w:szCs w:val="20"/>
          <w:lang w:val="en-US" w:eastAsia="fr-FR"/>
        </w:rPr>
        <w:t>Verschiebung</w:t>
      </w:r>
      <w:r w:rsidRPr="00393116">
        <w:rPr>
          <w:rFonts w:ascii="Garamond" w:eastAsia="Times New Roman" w:hAnsi="Garamond" w:cs="Times New Roman"/>
          <w:sz w:val="20"/>
          <w:szCs w:val="20"/>
          <w:lang w:val="en-US" w:eastAsia="fr-FR"/>
        </w:rPr>
        <w:t xml:space="preserve"> der Empfindung stattgefunden. Anstatt der Genitalsensation, die bei einem gesunden Mädchen unter solchen Umständen </w:t>
      </w:r>
      <w:hyperlink r:id="rId982" w:history="1">
        <w:r w:rsidRPr="00393116">
          <w:rPr>
            <w:rFonts w:ascii="Garamond" w:eastAsia="Times New Roman" w:hAnsi="Garamond" w:cs="Times New Roman"/>
            <w:color w:val="0000FF"/>
            <w:sz w:val="20"/>
            <w:szCs w:val="20"/>
            <w:u w:val="single"/>
            <w:lang w:val="en-US" w:eastAsia="fr-FR"/>
          </w:rPr>
          <w:t>[Fußnote]Die Würdigung dieser Umstände wird durch eine spätere Aufklärung erleichtert werden.</w:t>
        </w:r>
      </w:hyperlink>
      <w:r w:rsidRPr="00393116">
        <w:rPr>
          <w:rFonts w:ascii="Garamond" w:eastAsia="Times New Roman" w:hAnsi="Garamond" w:cs="Times New Roman"/>
          <w:sz w:val="20"/>
          <w:szCs w:val="20"/>
          <w:lang w:val="en-US" w:eastAsia="fr-FR"/>
        </w:rPr>
        <w:t xml:space="preserve"> gewiß nicht gefehlt hätte, stellt sich bei ihr die Unlustempfindung ein, welche dem Schleimhauttrakt des Einganges in den Verdauungskanal zugehört, der Ekel. Gewiß hat auf diese Lokalisation die Lippenerregung durch den Kuß Einfluß genommen; ich glaube aber auch noch die Wirkung eines anderen Moments zu erkennen </w:t>
      </w:r>
      <w:hyperlink r:id="rId983" w:history="1">
        <w:r w:rsidRPr="00393116">
          <w:rPr>
            <w:rFonts w:ascii="Garamond" w:eastAsia="Times New Roman" w:hAnsi="Garamond" w:cs="Times New Roman"/>
            <w:color w:val="0000FF"/>
            <w:sz w:val="20"/>
            <w:szCs w:val="20"/>
            <w:u w:val="single"/>
            <w:lang w:val="en-US" w:eastAsia="fr-FR"/>
          </w:rPr>
          <w:t>[Fußnote]Akzidentelle Ursachen hatte der Ekel Doras bei diesem Kusse sicherlich nicht, diese wären unfehlbar erinnert und erwähnt worden. Ich kenne zufällig Herrn K.; es ist dieselbe Person, die den Vater der Patientin zu mir begleitet hat, ein noch jugendlicher Mann von einnehmendem Äußern.</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Der damals verspürte Ekel ist bei Dora nicht zum bleibenden Symptom geworden, auch zur Zeit der Behandlung war er nur gleichsam potentiell vorhanden. Sie aß schlecht und gestand eine gelinde Abneigung gegen Speisen zu. Dagegen hatte jene Szene eine andere Folge zurückgelassen, eine Empfindungshalluzination, die von Zeit zu Zeit auch während ihrer Erzählung wieder auftrat. Sie sagte, sie verspüre jetzt noch den Druck auf den Oberkörper von jener Umarmung. Nach gewissen Regeln der Symptombildung, die mir bekannt geworden sind, im Zusammenhalt mit anderen, sonst unerklärlichen Eigentümlichkeiten der Kranken, die z. B. an keinem Manne vorbeigehen wollte, den sie in eifrigem oder zärtlichem Gespräch mit einer Dame stehen sah, habe ich mir von dem Hergang in jener Szene folgende Rekonstruktion geschaffen. Ich denke, sie verspürte in der stürmischen Umarmung nicht bloß den Kuß auf ihren Lippen, sondern auch das Andrängen des erigierten Gliedes gegen ihren Leib. Diese ihr anstößige Wahrnehmung wurde für die Erinnerung beseitigt, verdrängt und durch die harmlose Sensation des Druckes am Thorax ersetzt, die aus der verdrängten Quelle ihre übergroße Intensität bezieht. Eine neuerliche Verschiebung also vom Unterkörper auf den Oberkörper </w:t>
      </w:r>
      <w:hyperlink r:id="rId984" w:history="1">
        <w:r w:rsidRPr="00393116">
          <w:rPr>
            <w:rFonts w:ascii="Garamond" w:eastAsia="Times New Roman" w:hAnsi="Garamond" w:cs="Times New Roman"/>
            <w:color w:val="0000FF"/>
            <w:sz w:val="20"/>
            <w:szCs w:val="20"/>
            <w:u w:val="single"/>
            <w:lang w:val="en-US" w:eastAsia="fr-FR"/>
          </w:rPr>
          <w:t>[Fußnote]Solche Verschiebungen werden nicht etwa zum Zwecke dieser einen Erklärung angenommen, sondern ergeben sich für eine große Reihe von Symptomen als unabweisbare Forderung. Ich habe seither von einer früher zärtlich verliebten Braut, die sich wegen plötzlicher Erkaltung gegen ihren Verlobten, die unter schwerer Verstimmung eintrat, an mich wendete, denselben Schreckeffekt einer Umarmung (ohne Kuß) vernommen. Hier gelang die Zurückführung des Schrecks auf die wahrgenommene, aber fürs Bewußtsein beseitigte Erektion des Mannes ohne weitere Schwierigkeit.</w:t>
        </w:r>
      </w:hyperlink>
      <w:r w:rsidRPr="00393116">
        <w:rPr>
          <w:rFonts w:ascii="Garamond" w:eastAsia="Times New Roman" w:hAnsi="Garamond" w:cs="Times New Roman"/>
          <w:sz w:val="20"/>
          <w:szCs w:val="20"/>
          <w:lang w:val="en-US" w:eastAsia="fr-FR"/>
        </w:rPr>
        <w:t>. Der Zwang in ihrem Benehmen ist hingegen so gebildet, als ginge er von der unveränderten Erinnerung aus. Sie mag an keinem Manne, den sie in sexueller Erregung glaubt, vorbeigehen, weil sie das somatische Zeichen derselben nicht wieder sehen will.</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Es ist bemerkenswert, wie hier drei Symptome – der Ekel, die Drucksensation am Oberkörper und die Scheu vor Männern in zärtlichem Gespräch – aus einem Erlebnis hervorgehen und wie erst die Aufeinanderbeziehung dieser drei Zeichen das Verständnis für den Hergang der Symptombildung ermöglicht. Der Ekel entspricht dem Verdrängungssymptom von der erogenen (durch infantiles Lutschen, wie wir hören werden, verwöhnten) Lippenzone. Das Andrängen des erigierten Gliedes hat wahrscheinlich die analoge Veränderung an dem entsprechenden weiblichen Organ, der Clitoris, zur Folge gehabt, und die Erregung dieser zweiten erogenen Zone ist durch Verschiebung auf die gleichzeitige Drucksensation am Thorax fixiert worden. Die Scheu vor Männern in möglicherweise sexuell erregtem Zustande folgt dem Mechanismus einer Phobie, um sich vor einer neuerlichen Wiederbelebung der verdrängten Wahrnehmung zu sichern.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Um die Möglichkeit dieser Ergänzung darzutun, habe ich in der vorsichtigsten Weise bei der Patientin angefragt, ob ihr von körperlichen Zeichen der Erregtheit am Leibe des Mannes etwas bekannt sei. Die Antwort lautete für heute: ja, für damals: sie glaube nicht. Ich habe bei dieser Patientin von Anfang an die größte Sorgfalt aufgewendet, um ihr keinen neuen Wissensstoff aus dem Gebiete des Geschlechtslebens zuzuführen, und dies nicht aus Gründen der Gewissenhaftigkeit, sondern weil ich meine Voraussetzungen an diesem Falle einer harten Probe unterziehen wollte. Ich nannte ein Ding also erst dann beim Namen, wenn ihre allzu deutlichen Anspielungen die Übersetzung ins Direkte als ein sehr geringfügiges Wagstück erscheinen ließen. Ihre prompte und ehrliche Antwort ging auch regelmäßig dahin, das sei ihr bereits bekannt, aber das Rätsel, </w:t>
      </w:r>
      <w:r w:rsidRPr="00393116">
        <w:rPr>
          <w:rFonts w:ascii="Garamond" w:eastAsia="Times New Roman" w:hAnsi="Garamond" w:cs="Times New Roman"/>
          <w:i/>
          <w:iCs/>
          <w:sz w:val="20"/>
          <w:szCs w:val="20"/>
          <w:lang w:val="en-US" w:eastAsia="fr-FR"/>
        </w:rPr>
        <w:t>woher</w:t>
      </w:r>
      <w:r w:rsidRPr="00393116">
        <w:rPr>
          <w:rFonts w:ascii="Garamond" w:eastAsia="Times New Roman" w:hAnsi="Garamond" w:cs="Times New Roman"/>
          <w:sz w:val="20"/>
          <w:szCs w:val="20"/>
          <w:lang w:val="en-US" w:eastAsia="fr-FR"/>
        </w:rPr>
        <w:t xml:space="preserve"> sie es denn wisse, war durch ihre Erinnerungen nicht zu lösen. Die Herkunft all dieser Kenntnisse hatte sie vergessen </w:t>
      </w:r>
      <w:hyperlink r:id="rId985" w:history="1">
        <w:r w:rsidRPr="00393116">
          <w:rPr>
            <w:rFonts w:ascii="Garamond" w:eastAsia="Times New Roman" w:hAnsi="Garamond" w:cs="Times New Roman"/>
            <w:color w:val="0000FF"/>
            <w:sz w:val="20"/>
            <w:szCs w:val="20"/>
            <w:u w:val="single"/>
            <w:lang w:val="en-US" w:eastAsia="fr-FR"/>
          </w:rPr>
          <w:t>[Fußnote]Vgl. den zweiten Traum.</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Wenn ich mir die Szene des Kusses im Laden so vorstellen darf, so gelange ich zu folgender Ableitung für den Ekel </w:t>
      </w:r>
      <w:hyperlink r:id="rId986" w:history="1">
        <w:r w:rsidRPr="00393116">
          <w:rPr>
            <w:rFonts w:ascii="Garamond" w:eastAsia="Times New Roman" w:hAnsi="Garamond" w:cs="Times New Roman"/>
            <w:color w:val="0000FF"/>
            <w:sz w:val="20"/>
            <w:szCs w:val="20"/>
            <w:u w:val="single"/>
            <w:lang w:val="en-US" w:eastAsia="fr-FR"/>
          </w:rPr>
          <w:t xml:space="preserve">[Fußnote]Hier wie an allen ähnlichen Stellen mache man sich nicht auf einfache, sondern auf mehrfache Begründung, auf </w:t>
        </w:r>
        <w:r w:rsidRPr="00393116">
          <w:rPr>
            <w:rFonts w:ascii="Garamond" w:eastAsia="Times New Roman" w:hAnsi="Garamond" w:cs="Times New Roman"/>
            <w:i/>
            <w:iCs/>
            <w:color w:val="0000FF"/>
            <w:sz w:val="20"/>
            <w:szCs w:val="20"/>
            <w:u w:val="single"/>
            <w:lang w:val="en-US" w:eastAsia="fr-FR"/>
          </w:rPr>
          <w:t>Überdeterminierung</w:t>
        </w:r>
        <w:r w:rsidRPr="00393116">
          <w:rPr>
            <w:rFonts w:ascii="Garamond" w:eastAsia="Times New Roman" w:hAnsi="Garamond" w:cs="Times New Roman"/>
            <w:color w:val="0000FF"/>
            <w:sz w:val="20"/>
            <w:szCs w:val="20"/>
            <w:u w:val="single"/>
            <w:lang w:val="en-US" w:eastAsia="fr-FR"/>
          </w:rPr>
          <w:t xml:space="preserve"> gefaßt.</w:t>
        </w:r>
      </w:hyperlink>
      <w:r w:rsidRPr="00393116">
        <w:rPr>
          <w:rFonts w:ascii="Garamond" w:eastAsia="Times New Roman" w:hAnsi="Garamond" w:cs="Times New Roman"/>
          <w:sz w:val="20"/>
          <w:szCs w:val="20"/>
          <w:lang w:val="en-US" w:eastAsia="fr-FR"/>
        </w:rPr>
        <w:t xml:space="preserve">. Die Ekelempfindung scheint ja ursprünglich die Reaktion auf den Geruch (später auch auf den Anblick) der Exkremente zu sein. An die exkrementellen Funktionen können die Genitalien und speziell das männliche Glied aber erinnern, weil hier das Organ außer der sexuellen auch der Funktion der Harnentleerung dient. Ja, diese Verrichtung ist die älter bekannte und die in der vorsexuellen Zeit einzig bekannte. So gelangt der Ekel unter die Affektäußerungen des Sexuallebens. Es ist das </w:t>
      </w:r>
      <w:r w:rsidRPr="00393116">
        <w:rPr>
          <w:rFonts w:ascii="Garamond" w:eastAsia="Times New Roman" w:hAnsi="Garamond" w:cs="Times New Roman"/>
          <w:i/>
          <w:iCs/>
          <w:sz w:val="20"/>
          <w:szCs w:val="20"/>
          <w:lang w:val="en-US" w:eastAsia="fr-FR"/>
        </w:rPr>
        <w:t>inter urinas et faeces nascimur</w:t>
      </w:r>
      <w:r w:rsidRPr="00393116">
        <w:rPr>
          <w:rFonts w:ascii="Garamond" w:eastAsia="Times New Roman" w:hAnsi="Garamond" w:cs="Times New Roman"/>
          <w:sz w:val="20"/>
          <w:szCs w:val="20"/>
          <w:lang w:val="en-US" w:eastAsia="fr-FR"/>
        </w:rPr>
        <w:t xml:space="preserve"> des Kirchenvaters, welches dem Sexualleben anhaftet und aller idealisierenden Bemühung zum Trotze von ihm nicht abzulösen ist. Ich will es aber ausdrücklich als meinen Standpunkt hervorheben, daß ich das Problem durch den Nachweis dieses Assoziationsweges nicht für gelöst halte. Wenn diese Assoziation wachgerufen werden kann, so ist damit noch nicht erklärt, daß sie auch wachgerufen wird. Sie wird es nicht unter normalen Verhältnissen. Die Kenntnis der Wege macht die Kenntnis der Kräfte nicht überflüssig, welche diese Wege wandeln </w:t>
      </w:r>
      <w:hyperlink r:id="rId987" w:history="1">
        <w:r w:rsidRPr="00393116">
          <w:rPr>
            <w:rFonts w:ascii="Garamond" w:eastAsia="Times New Roman" w:hAnsi="Garamond" w:cs="Times New Roman"/>
            <w:color w:val="0000FF"/>
            <w:sz w:val="20"/>
            <w:szCs w:val="20"/>
            <w:u w:val="single"/>
            <w:lang w:val="en-US" w:eastAsia="fr-FR"/>
          </w:rPr>
          <w:t xml:space="preserve">[Fußnote]An all diesen Erörterungen ist viel Typisches und für Hysterie allgemein Gültiges. Das Thema der Erektion löst einige der interessantesten unter den hysterischen Symptomen. Die weibliche Aufmerksamkeit für die durch die Kleider wahrnehmbaren Umrisse der männlichen Genitalien wird nach ihrer Verdrängung zum Motiv so vieler Fälle von </w:t>
        </w:r>
        <w:r w:rsidRPr="00393116">
          <w:rPr>
            <w:rFonts w:ascii="Garamond" w:eastAsia="Times New Roman" w:hAnsi="Garamond" w:cs="Times New Roman"/>
            <w:color w:val="0000FF"/>
            <w:sz w:val="20"/>
            <w:szCs w:val="20"/>
            <w:u w:val="single"/>
            <w:lang w:val="en-US" w:eastAsia="fr-FR"/>
          </w:rPr>
          <w:lastRenderedPageBreak/>
          <w:t>Menschenscheu und Gesellschaftsangst. Die breite Verbindung zwischen dem Sexuellen und dem Exkrementellen, deren pathogene Bedeutung wohl nicht groß genug veranschlagt werden kann, dient einer überaus reichlichen Anzahl von hysterischen Phobien zur Grundlage.</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Im übrigen fand ich es nicht leicht, die Aufmerksamkeit meiner Patientin auf ihren Verkehr mit Herrn K. zu lenken. Sie behauptete, mit dieser Person abgeschlossen zu haben. Die oberste Schicht all ihrer Einfälle in den Sitzungen, alles was ihr leicht bewußt wurde und was sie als bewußt vom Vortag erinnerte, bezog sich immer auf den Vater. Es war ganz richtig, daß sie dem Vater die Fortsetzung des Verkehres mit Herrn und besonders mit Frau K. nicht verzeihen konnte. Ihre Auffassung dieses Verkehrs war allerdings eine andere, als die der Vater selbst gehegt wissen wollte. Für sie bestand kein Zweifel, daß es ein gewöhnliches Liebesverhältnis sei, das ihren Vater an die junge und schöne Frau knüpfe. Nichts was dazu beitragen konnte, diesen Satz zu erhärten, war ihrer hierin unerbittlich scharfen Wahrnehmung entgangen, </w:t>
      </w:r>
      <w:r w:rsidRPr="00393116">
        <w:rPr>
          <w:rFonts w:ascii="Garamond" w:eastAsia="Times New Roman" w:hAnsi="Garamond" w:cs="Times New Roman"/>
          <w:i/>
          <w:iCs/>
          <w:sz w:val="20"/>
          <w:szCs w:val="20"/>
          <w:lang w:val="en-US" w:eastAsia="fr-FR"/>
        </w:rPr>
        <w:t>hier fand sich keine Lücke in ihrem Gedächtnisse</w:t>
      </w:r>
      <w:r w:rsidRPr="00393116">
        <w:rPr>
          <w:rFonts w:ascii="Garamond" w:eastAsia="Times New Roman" w:hAnsi="Garamond" w:cs="Times New Roman"/>
          <w:sz w:val="20"/>
          <w:szCs w:val="20"/>
          <w:lang w:val="en-US" w:eastAsia="fr-FR"/>
        </w:rPr>
        <w:t xml:space="preserve">. Die Bekanntschaft mit den K. hatte schon vor der schweren Erkrankung des Vaters begonnen; sie wurde aber erst intim, als sich während dieser Krankheit die junge Frau förmlich zur Pflegerin aufwarf, während die Mutter sich vom Bette des Kranken ferne hielt. In dem ersten Sommeraufenthalte nach der Genesung ereigneten sich Dinge, die jedermann über die wirkliche Natur dieser »Freundschaft« die Augen öffnen mußten. Die beiden Familien hatten gemeinsam einen Trakt im Hotel gemietet, und da geschah es eines Tages, daß Frau K. erklärte, sie könne das Schlafzimmer nicht beibehalten, welches sie bisher mit einem ihrer Kinder geteilt hatte, und wenige Tage nachher gab ihr Vater sein Schlafzimmer auf, und beide bezogen neue Zimmer, die Endzimmer, die nur durch den Korridor getrennt waren, während die aufgegebenen Räume solche Garantie gegen Störung nicht geboten hatten. Wenn sie dem Vater später Vorwürfe wegen der Frau K. machte, so pflegte er zu sagen, er begreife diese Feindschaft nicht, die Kinder hätten vielmehr allen Grund, der Frau K. dankbar zu sein. Die Mama, an welche sie sich dann um Aufklärung dieser dunkeln Rede wandte, teilte ihr mit, der Papa sei damals so unglücklich gewesen, daß er im Walde einen Selbstmord habe verüben wollen; Frau K., die es geahnt, sei ihm aber nachgekommen und habe ihn durch ihr Bitten bestimmt, sich den Seinigen zu erhalten. Sie glaube natürlich nicht daran, man habe wohl die beiden im Walde mitsammen gesehen und da habe der Papa dies Märchen vom Selbstmord erfunden, um das Rendezvous zu rechtfertigen </w:t>
      </w:r>
      <w:hyperlink r:id="rId988" w:history="1">
        <w:r w:rsidRPr="00393116">
          <w:rPr>
            <w:rFonts w:ascii="Garamond" w:eastAsia="Times New Roman" w:hAnsi="Garamond" w:cs="Times New Roman"/>
            <w:color w:val="0000FF"/>
            <w:sz w:val="20"/>
            <w:szCs w:val="20"/>
            <w:u w:val="single"/>
            <w:lang w:val="en-US" w:eastAsia="fr-FR"/>
          </w:rPr>
          <w:t>[Fußnote]Dies die Anknüpfung für ihre eigene Selbstmordkomödie, die also etwa die Sehnsucht nach einer ähnlichen Liebe ausdrückt.</w:t>
        </w:r>
      </w:hyperlink>
      <w:r w:rsidRPr="00393116">
        <w:rPr>
          <w:rFonts w:ascii="Garamond" w:eastAsia="Times New Roman" w:hAnsi="Garamond" w:cs="Times New Roman"/>
          <w:sz w:val="20"/>
          <w:szCs w:val="20"/>
          <w:lang w:val="en-US" w:eastAsia="fr-FR"/>
        </w:rPr>
        <w:t>. Als sie dann nach B. zurückkehrten, war der Papa täglich zu bestimmten Stunden bei Frau K., während der Mann im Geschäft war. Alle Leute hätten darüber gesprochen und sie in bezeichnender Weise danach gefragt. Herr K. selbst habe oft gegen ihre Mama bitter geklagt, sie selbst aber mit Anspielungen auf den Gegenstand verschont, was sie ihm als Zartgefühl anzurechnen schien. Bei gemeinsamen Spaziergängen wußten Papa und Frau K. es regelmäßig so einzurichten, daß er mit Frau K. allein blieb. Es war kein Zweifel, daß sie Geld von ihm nahm, denn sie machte Ausgaben, die sie unmöglich aus eigenen Mitteln oder aus denen ihres Mannes bestreiten konnte. Der Papa begann auch, ihr große Geschenke zu machen; um diese zu verdecken, wurde er gleichzeitig besonders freigiebig gegen die Mutter und gegen sie (Dora) selbst. Die bis dahin kränkliche Frau, die selbst für Monate eine Nervenheilanstalt aufsuchen mußte, weil sie nicht gehen konnte, war seither gesund und lebensfrisch.</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Auch nachdem sie B. verlassen hatten, setzte sich der mehrjährige Verkehr fort, indem der Vater von Zeit zu Zeit erklärte, er vertrage das rauhe Klima nicht, müsse etwas für sich tun, zu husten und zu klagen begann, bis er plötzlich nach B. abgereist war, von wo aus er die heitersten Briefe schrieb. All diese Krankheiten waren nur Vorwände, um seine Freundin wiederzusehen. Dann hieß es eines Tages, sie übersiedelten nach Wien, und sie fing an, einen Zusammenhang zu vermuten. Wirklich waren sie kaum drei Wochen in Wien, als sie hörte, K. seien gleichfalls nach Wien übersiedelt. Sie befänden sich auch gegenwärtig hier und sie träfe den Papa häufig mit Frau K. auf der Straße. Auch Herrn K. begegne sie öfters, er blicke ihr immer nach, und als er sie einmal alleingehend getroffen, sei er ihr ein großes Stück weit nachgegangen, um sich zu überzeugen, wohin sie gehe, ob sie nicht etwa ein Rendezvous habe.</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Daß der Papa unaufrichtig sei, einen Zug von Falschheit in seinem Charakter habe, nur an seine eigene Befriedigung denke und die Gabe besitze, sich die Dinge so zurechtzulegen, wie es ihm am besten passe, solche Kritik bekam ich besonders in den Tagen zu hören, als der Vater wieder einmal seinen Zustand verschlimmert fühlte und für mehrere Wochen nach B. abreiste, worauf die scharfsichtige Dora bald ausgekundschaftet hatte, daß auch Frau K. eine Reise nach demselben Ziel zum Besuch ihrer Verwandten unternommen hatte.</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Ich konnte die Charakteristik des Vaters im allgemeinen nicht bestreiten; es war auch leicht zu sehen, mit welchem besonderen Vorwurf Dora im Rechte war. Wenn sie in erbitterter Stimmung war, drängte sich ihr die Auffassung auf, daß sie Herrn K. ausgeliefert worden sei als Preis für seine Duldung der Beziehungen zwischen Doras Vater und seiner Frau, und man konnte hinter ihrer Zärtlichkeit für den Vater die Wut über solche Verwendung ahnen. Zu anderen Zeiten wußte sie wohl, daß sie sich mit solchen Reden einer Übertreibung schuldig gemacht hatte. Einen förmlichen Pakt, in dem sie als Tauschobjekt behandelt worden, hatten die beiden Männer natürlich niemals geschlossen; der Vater zumal wäre vor einer solchen Zumutung entsetzt zurückgewichen. Aber er gehörte zu jenen Männern, die einem Konflikt dadurch die Spitze abzubrechen verstehen, daß sie ihr Urteil über das eine der zum Gegensatze gekommenen Themata verfälschen. Auf die Möglichkeit aufmerksam gemacht, daß einem heranwachsenden Mädchen aus dem beständigen und unbeaufsichtigten Verkehr mit dem von seiner Frau unbefriedigten Manne Gefahr erwachsen könne, hätte er sicherlich geantwortet: Auf seine Tochter könne er sich verlassen, der könne ein Mann wie K. nie gefährlich werden, und sein Freund selbst sei solcher Absichten unfähig. Oder: Dora sei noch ein Kind und werde von K. als Kind behandelt. Es war aber in Wirklichkeit so gekommen, daß jeder der beiden Männer es vermied, aus dem Benehmen des andern jene Konsequenz zu ziehen, welche für seine </w:t>
      </w:r>
      <w:r w:rsidRPr="00393116">
        <w:rPr>
          <w:rFonts w:ascii="Garamond" w:eastAsia="Times New Roman" w:hAnsi="Garamond" w:cs="Times New Roman"/>
          <w:sz w:val="20"/>
          <w:szCs w:val="20"/>
          <w:lang w:val="en-US" w:eastAsia="fr-FR"/>
        </w:rPr>
        <w:lastRenderedPageBreak/>
        <w:t>eigenen Begehrungen unbequem war. Herr K. durfte Dora alle Tage seiner Anwesenheit ein Jahr hindurch Blumen schicken, jede Gelegenheit zu kostbaren Geschenken benutzen und alle seine freie Zeit in ihrer Gesellschaft zubringen, ohne daß ihre Eltern in diesem Benehmen den Charakter der Liebeswerbung erkannt hätten.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Wenn in der psychoanalytischen Behandlung eine korrekt begründete und einwandfreie Gedankenreihe auftaucht, so gibt es wohl einen Moment der Verlegenheit für den Arzt, den der Kranke zur Frage ausnutzt: »Das ist doch wohl alles wahr und richtig? Was wollen Sie daran ändern, wenn ich's Ihnen erzählt habe?« Man merkt dann bald, daß solche für die Analyse unangreifbare Gedanken vom Kranken dazu benutzt worden sind, um andere zu verdecken, die sich der Kritik und dem Bewußtsein entziehen wollen. Eine Reihe von Vorwürfen gegen andere Personen läßt eine Reihe von Selbstvorwürfen des gleichen Inhalts vermuten. Man braucht nur jeden einzelnen Vorwurf auf die eigene Person des Redners zurückzuwenden. Diese Art, sich gegen einen Selbstvorwurf zu verteidigen, indem man den gleichen Vorwurf gegen eine andere Person erhebt, hat etwas unleugbar Automatisches. Sie findet ihr Vorbild in den »Retourkutschen« der Kinder, die unbedenklich zur Antwort geben: »Du bist ein Lügner«, wenn man sie der Lüge beschuldigt hat. Der Erwachsene würde im Bestreben nach Gegenbeschimpfung nach irgendeiner realen Blöße des Gegners ausschauen und nicht den Hauptwert auf die Wiederholung des nämlichen Inhalts legen. In der Paranoia wird diese Projektion des Vorwurfes auf einen anderen ohne Inhaltsveränderung und somit ohne Anlehnung an die Realität als wahnbildender Vorgang manifest.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Auch die Vorwürfe Doras gegen ihren Vater waren mit Selbstvorwürfen durchwegs des nämlichen Inhalts »unterfüttert«, »doubliert«, wie wir im einzelnen zeigen werden: Sie hatte recht darin, daß der Vater sich Herrn K.s Benehmen gegen seine Tochter nicht klarmachen wollte, um nicht in seinem Verhältnis zu Frau K. gestört zu werden. Aber sie hatte genau das nämliche getan. Sie hatte sich zur Mitschuldigen dieses Verhältnisses gemacht und alle Anzeichen abgewiesen, welche sich für die wahre Natur desselben ergaben. Erst seit dem Abenteuer am See datierte ihre Klarheit darüber und ihre strengen Anforderungen an den Vater. All die Jahre vorher hatte sie dem Verkehr des Vaters mit Frau K. jeden möglichen Vorschub geleistet. Sie ging nie zu Frau K., wenn sie den Vater dort vermutete. Sie wußte, dann würden die Kinder weggeschickt worden sein, richtete ihren Weg so ein, daß sie die Kinder antraf, und ging mit ihnen spazieren. Es hatte eine Person im Hause gegeben, welche ihr frühzeitig die Augen über die Beziehungen des Vaters zur Frau K. öffnen und sie zur Parteinahme gegen diese Frau anreizen wollte. Dies war ihre letzte Gouvernante, ein älteres, sehr belesenes Mädchen von freien Ansichten </w:t>
      </w:r>
      <w:hyperlink r:id="rId989" w:history="1">
        <w:r w:rsidRPr="00393116">
          <w:rPr>
            <w:rFonts w:ascii="Garamond" w:eastAsia="Times New Roman" w:hAnsi="Garamond" w:cs="Times New Roman"/>
            <w:color w:val="0000FF"/>
            <w:sz w:val="20"/>
            <w:szCs w:val="20"/>
            <w:u w:val="single"/>
            <w:lang w:val="en-US" w:eastAsia="fr-FR"/>
          </w:rPr>
          <w:t>[Fußnote]Diese Gouvernante, die alle Bücher über Geschlechtsleben u. dgl. las und mit dem Mädchen darüber sprach, sie aber freimütig bat, alles darauf Bezügliche vor den Eltern geheimzuhalten, weil man ja nicht wissen könne, auf welchen Standpunkt die sich stellen würden – in diesem Mädchen suchte ich eine Zeitlang die Quelle für all die geheime Kenntnis Doras, und ich ging vielleicht nicht völlig irre.</w:t>
        </w:r>
      </w:hyperlink>
      <w:r w:rsidRPr="00393116">
        <w:rPr>
          <w:rFonts w:ascii="Garamond" w:eastAsia="Times New Roman" w:hAnsi="Garamond" w:cs="Times New Roman"/>
          <w:sz w:val="20"/>
          <w:szCs w:val="20"/>
          <w:lang w:val="en-US" w:eastAsia="fr-FR"/>
        </w:rPr>
        <w:t xml:space="preserve">. Lehrerin und Schülerin standen eine Weile recht gut miteinander, bis Dora sich plötzlich mit ihr verfeindete und auf ihrer Entlassung bestand. </w:t>
      </w:r>
      <w:r w:rsidRPr="00393116">
        <w:rPr>
          <w:rFonts w:ascii="Garamond" w:eastAsia="Times New Roman" w:hAnsi="Garamond" w:cs="Times New Roman"/>
          <w:sz w:val="20"/>
          <w:szCs w:val="20"/>
          <w:lang w:eastAsia="fr-FR"/>
        </w:rPr>
        <w:t xml:space="preserve">Solange das Fräulein Einfluß besaß, benutzte sie ihn dazu, gegen Frau K. zu hetzen. Sie setzte der Mama auseinander, daß es mit ihrer Würde unvereinbar sei, solche Intimität ihres Mannes mit einer Fremden zu dulden; sie machte auch Dora auf alles aufmerksam, was an diesem Verkehr auffällig war. Ihre Bemühungen waren aber vergebens, Dora blieb Frau K. zärtlich zugetan und wollte von keinem Anlaß wissen, den Verkehr des Vaters mit ihr anstößig zu finden. Sie gab sich anderseits sehr wohl Rechenschaft über die Motive, die ihre Gouvernante bewegten. </w:t>
      </w:r>
      <w:r w:rsidRPr="00393116">
        <w:rPr>
          <w:rFonts w:ascii="Garamond" w:eastAsia="Times New Roman" w:hAnsi="Garamond" w:cs="Times New Roman"/>
          <w:sz w:val="20"/>
          <w:szCs w:val="20"/>
          <w:lang w:val="en-US" w:eastAsia="fr-FR"/>
        </w:rPr>
        <w:t>Blind nach der einen Seite, war sie scharfsichtig genug nach der anderen. Sie merkte, daß das Fräulein in den Papa verliebt sei. Wenn der Papa anwesend war, schien sie eine ganz andere Person, dann konnte sie amüsant und dienstfertig sein. Zur Zeit, als die Familie in der Fabrikstadt weilte und Frau K. außer dem Horizonte war, hetzte sie gegen die Mama als die jetzt in Betracht kommende Nebenbuhlerin. Das alles nahm ihr Dora noch nicht übel. Erbost wurde sie erst, als sie merkte, daß sie selbst der Gouvernante ganz gleichgültig sei und daß die ihr erwiesene Liebe tatsächlich dem Papa gelte. Während der Abwesenheit des Papas von der Fabrikstadt hatte das Fräulein keine Zeit für sie, wollte nicht mit ihr spazierengehen, interessierte sich nicht für ihre Arbeiten. Kaum daß der Papa von B. zurückgekommen war, zeigte sie sich wieder zu allen Dienst- und Hilfeleistungen bereit. Da ließ sie sie fallen.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Die Arme hatte ihr mit unerwünschter Klarheit ein Stück ihres eigenen Benehmens beleuchtet. So wie das Fräulein zeitweise gegen Dora, so war Dora gegen die Kinder des Herrn K. gewesen. Sie vertrat Mutterstelle an ihnen, unterrichtete sie, ging mit ihnen aus, schuf ihnen einen vollen Ersatz für das geringe Interesse, das die eigene Mutter ihnen zeigte. Zwischen Herrn und Frau K. war oft von Scheidung die Rede gewesen; sie kam nicht zustande, weil Herr K., der ein zärtlicher Vater war, auf keines der beiden Kinder verzichten wollte. Das gemeinsame Interesse an den Kindern war von Anfang an ein Bindemittel des Verkehrs zwischen Herrn K. und Dora gewesen. Die Beschäftigung mit den Kindern war für Dora offenbar der Deckmantel, der ihr selbst und Fremden etwas anderes verbergen sollte.</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Aus ihrem Benehmen gegen die Kinder, wie es durch das Benehmen des Fräuleins gegen sie selbst erläutert wurde, ergab sich dieselbe Folgerung wie aus ihrer stillschweigenden Einwilligung in den Verkehr des Vaters mit Frau K., nämlich, daß sie all die Jahre über in Herrn K. verliebt gewesen war. Als ich diese Folgerung aussprach, fand ich keine Zustimmung bei ihr. Sie berichtete zwar sofort, daß auch andere Personen, z. B. eine Kusine, die eine Weile in B. auf Besuch war, ihr gesagt hätten: »Du bist ja ganz vernarrt in den Mann«; sie selbst wollte sich aber an diese Gefühle nicht erinnern. Späterhin, als die Fülle des auftauchenden Materials ein Ableugnen erschwerte, gab sie zu, sie könne Herrn K. in B. geliebt haben, aber seit der Szene am See sei das vorüber </w:t>
      </w:r>
      <w:hyperlink r:id="rId990" w:history="1">
        <w:r w:rsidRPr="00393116">
          <w:rPr>
            <w:rFonts w:ascii="Garamond" w:eastAsia="Times New Roman" w:hAnsi="Garamond" w:cs="Times New Roman"/>
            <w:color w:val="0000FF"/>
            <w:sz w:val="20"/>
            <w:szCs w:val="20"/>
            <w:u w:val="single"/>
            <w:lang w:val="en-US" w:eastAsia="fr-FR"/>
          </w:rPr>
          <w:t>[Fußnote]Vgl. den zweiten Traum.</w:t>
        </w:r>
      </w:hyperlink>
      <w:r w:rsidRPr="00393116">
        <w:rPr>
          <w:rFonts w:ascii="Garamond" w:eastAsia="Times New Roman" w:hAnsi="Garamond" w:cs="Times New Roman"/>
          <w:sz w:val="20"/>
          <w:szCs w:val="20"/>
          <w:lang w:val="en-US" w:eastAsia="fr-FR"/>
        </w:rPr>
        <w:t xml:space="preserve">. Jedenfalls stand es fest, daß der Vorwurf, sich gegen unabweisliche Pflichten taub gemacht und sich die Dinge so zurechtgelegt zu haben, wie es der eigenen verliebten Regung bequem war, der Vorwurf, den sie gegen den Vater </w:t>
      </w:r>
      <w:r w:rsidRPr="00393116">
        <w:rPr>
          <w:rFonts w:ascii="Garamond" w:eastAsia="Times New Roman" w:hAnsi="Garamond" w:cs="Times New Roman"/>
          <w:sz w:val="20"/>
          <w:szCs w:val="20"/>
          <w:lang w:val="en-US" w:eastAsia="fr-FR"/>
        </w:rPr>
        <w:lastRenderedPageBreak/>
        <w:t xml:space="preserve">erhob, auf ihre eigene Person zurückfiel </w:t>
      </w:r>
      <w:hyperlink r:id="rId991" w:history="1">
        <w:r w:rsidRPr="00393116">
          <w:rPr>
            <w:rFonts w:ascii="Garamond" w:eastAsia="Times New Roman" w:hAnsi="Garamond" w:cs="Times New Roman"/>
            <w:color w:val="0000FF"/>
            <w:sz w:val="20"/>
            <w:szCs w:val="20"/>
            <w:u w:val="single"/>
            <w:lang w:val="en-US" w:eastAsia="fr-FR"/>
          </w:rPr>
          <w:t>[Fußnote]Hier erhebt sich die Frage: Wenn Dora Herrn K. geliebt, wie begründet sich ihre Abweisung in der Szene am See oder wenigstens die brutale, auf Erbitterung deutende Form dieser Abweisung? Wie konnte ein verliebtes Mädchen in der – wie wir später hören werden – keineswegs plump oder anstößig vorgebrachten Werbung eine Beleidigung sehen?</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Der andere Vorwurf, daß er seine Krankheiten als Vorwände schaffe und als Mittel benütze, deckt wiederum ein ganzes Stück ihrer eigenen geheimen Geschichte. Sie klagte eines Tages über ein angeblich neues Symptom, schneidende Magenschmerzen, und als ich fragte: »Wen kopieren Sie damit?« hatte ich es getroffen. Sie hatte am Tage vorher ihre Kusinen, die Töchter der verstorbenen Tante, besucht. Die jüngere war Braut geworden, die ältere war zu diesem Anlaß an Magenschmerzen erkrankt und sollte auf den Semmering gebracht werden. Sie meinte, das sei bei der Älteren nur Neid, die werde immer krank, wenn sie etwas erreichen wolle, und jetzt wolle sie eben vom Hause weg, um das Glück der Schwester nicht mitanzusehen </w:t>
      </w:r>
      <w:hyperlink r:id="rId992" w:history="1">
        <w:r w:rsidRPr="00393116">
          <w:rPr>
            <w:rFonts w:ascii="Garamond" w:eastAsia="Times New Roman" w:hAnsi="Garamond" w:cs="Times New Roman"/>
            <w:color w:val="0000FF"/>
            <w:sz w:val="20"/>
            <w:szCs w:val="20"/>
            <w:u w:val="single"/>
            <w:lang w:val="en-US" w:eastAsia="fr-FR"/>
          </w:rPr>
          <w:t>[Fußnote]Ein alltägliches Vorkommnis zwischen Schwestern.</w:t>
        </w:r>
      </w:hyperlink>
      <w:r w:rsidRPr="00393116">
        <w:rPr>
          <w:rFonts w:ascii="Garamond" w:eastAsia="Times New Roman" w:hAnsi="Garamond" w:cs="Times New Roman"/>
          <w:sz w:val="20"/>
          <w:szCs w:val="20"/>
          <w:lang w:val="en-US" w:eastAsia="fr-FR"/>
        </w:rPr>
        <w:t xml:space="preserve">. Ihre eigenen Magenschmerzen sagten aber aus, daß sie sich mit der für eine Simulantin erklärten Kusine identifiziere, sei es, weil sie gleichfalls die Glücklichere um ihre Liebe beneidete, oder weil sie im Schicksal der älteren Schwester, der kurz vorher eine Liebesaffäre unglücklich ausgegangen war, das eigene gespiegelt sah </w:t>
      </w:r>
      <w:hyperlink r:id="rId993" w:history="1">
        <w:r w:rsidRPr="00393116">
          <w:rPr>
            <w:rFonts w:ascii="Garamond" w:eastAsia="Times New Roman" w:hAnsi="Garamond" w:cs="Times New Roman"/>
            <w:color w:val="0000FF"/>
            <w:sz w:val="20"/>
            <w:szCs w:val="20"/>
            <w:u w:val="single"/>
            <w:lang w:val="en-US" w:eastAsia="fr-FR"/>
          </w:rPr>
          <w:t>[Fußnote]Welchen weiteren Schluß ich aus den Magenschmerzen zog, wird später zur Sprache kommen.</w:t>
        </w:r>
      </w:hyperlink>
      <w:r w:rsidRPr="00393116">
        <w:rPr>
          <w:rFonts w:ascii="Garamond" w:eastAsia="Times New Roman" w:hAnsi="Garamond" w:cs="Times New Roman"/>
          <w:sz w:val="20"/>
          <w:szCs w:val="20"/>
          <w:lang w:val="en-US" w:eastAsia="fr-FR"/>
        </w:rPr>
        <w:t xml:space="preserve">. Wie nützlich sich Krankheiten verwenden lassen, hatte sie aber auch durch die Beobachtung der Frau K. erfahren. Herr K. war einen Teil des Jahres auf Reisen; sooft er zurückkam, fand er die Frau leidend, die einen Tag vorher noch, wie Dora wußte, wohlauf gewesen war. Dora verstand, daß die Gegenwart des Mannes krankmachend auf die Frau wirkte und daß dieser das Kranksein willkommen war, um sich den verhaßten ehelichen Pflichten zu entziehen. Eine Bemerkung über ihre eigene Abwechslung von Leiden und Gesundheit während der ersten in B. verbrachten Mädchenjahre, die sich an dieser Stelle plötzlich einfügte, mußte mich auf die Vermutung bringen, daß ihre eigenen Zustände in einer ähnlichen Abhängigkeit wie die der Frau K. zu betrachten seien. In der Technik der Psychoanalyse gilt es nämlich als Regel, daß sich ein innerer, aber noch verborgener Zusammenhang durch die Kontiguität, die zeitliche Nachbarschaft der Einfälle kundtut, genauso wie in der Schrift </w:t>
      </w:r>
      <w:r w:rsidRPr="00393116">
        <w:rPr>
          <w:rFonts w:ascii="Garamond" w:eastAsia="Times New Roman" w:hAnsi="Garamond" w:cs="Times New Roman"/>
          <w:i/>
          <w:iCs/>
          <w:sz w:val="20"/>
          <w:szCs w:val="20"/>
          <w:lang w:val="en-US" w:eastAsia="fr-FR"/>
        </w:rPr>
        <w:t>a</w:t>
      </w:r>
      <w:r w:rsidRPr="00393116">
        <w:rPr>
          <w:rFonts w:ascii="Garamond" w:eastAsia="Times New Roman" w:hAnsi="Garamond" w:cs="Times New Roman"/>
          <w:sz w:val="20"/>
          <w:szCs w:val="20"/>
          <w:lang w:val="en-US" w:eastAsia="fr-FR"/>
        </w:rPr>
        <w:t xml:space="preserve"> und </w:t>
      </w:r>
      <w:r w:rsidRPr="00393116">
        <w:rPr>
          <w:rFonts w:ascii="Garamond" w:eastAsia="Times New Roman" w:hAnsi="Garamond" w:cs="Times New Roman"/>
          <w:i/>
          <w:iCs/>
          <w:sz w:val="20"/>
          <w:szCs w:val="20"/>
          <w:lang w:val="en-US" w:eastAsia="fr-FR"/>
        </w:rPr>
        <w:t>b</w:t>
      </w:r>
      <w:r w:rsidRPr="00393116">
        <w:rPr>
          <w:rFonts w:ascii="Garamond" w:eastAsia="Times New Roman" w:hAnsi="Garamond" w:cs="Times New Roman"/>
          <w:sz w:val="20"/>
          <w:szCs w:val="20"/>
          <w:lang w:val="en-US" w:eastAsia="fr-FR"/>
        </w:rPr>
        <w:t xml:space="preserve"> nebeneinander gesetzt bedeutet, daß daraus die Silbe </w:t>
      </w:r>
      <w:r w:rsidRPr="00393116">
        <w:rPr>
          <w:rFonts w:ascii="Garamond" w:eastAsia="Times New Roman" w:hAnsi="Garamond" w:cs="Times New Roman"/>
          <w:i/>
          <w:iCs/>
          <w:sz w:val="20"/>
          <w:szCs w:val="20"/>
          <w:lang w:val="en-US" w:eastAsia="fr-FR"/>
        </w:rPr>
        <w:t>ab</w:t>
      </w:r>
      <w:r w:rsidRPr="00393116">
        <w:rPr>
          <w:rFonts w:ascii="Garamond" w:eastAsia="Times New Roman" w:hAnsi="Garamond" w:cs="Times New Roman"/>
          <w:sz w:val="20"/>
          <w:szCs w:val="20"/>
          <w:lang w:val="en-US" w:eastAsia="fr-FR"/>
        </w:rPr>
        <w:t xml:space="preserve"> gebildet werden soll. Dora hatte eine Unzahl von Anfällen von Husten mit Stimmlosigkeit gezeigt; sollte die Anwesenheit oder Abwesenheit des Geliebten auf dieses Kommen und Schwinden der Krankheitserscheinungen Einfluß geübt haben? Wenn dies der Fall war, so mußte sich irgendwo eine verräterische Übereinstimmung nachweisen lassen. Ich fragte, welches die mittlere Zeitdauer dieser Anfälle gewesen war. Etwa drei bis sechs Wochen. Wie lange die Abwesenheiten des Herrn K. gedauert hätten? Sie mußte zugeben, gleichfalls zwischen drei und sechs Wochen. Sie demonstrierte also mit ihrem Kranksein ihre Liebe für K. wie dessen Frau ihre Abneigung. Nur durfte man annehmen, daß sie sich umgekehrt wie die Frau benommen hätte, krank gewesen wäre, wenn er abwesend, und gesund, nachdem er zurückgekehrt. Es schien auch wirklich so zu stimmen, wenigstens für eine erste Periode der Anfälle; in späteren Zeiten ergab sich ja wohl eine Nötigung, das Zusammentreffen von Krankheitsanfall und Abwesenheit des heimlich geliebten Mannes zu verwischen, damit das Geheimnis nicht durch die Konstanz desselben verraten würde. Dann blieb die Zeitdauer des Anfalls als Marke seiner ursprünglichen Bedeutung übrig.</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Ich erinnerte mich, seinerzeit auf der Charcotschen Klinik gesehen und gehört zu haben, daß bei den Personen mit hysterischem Mutismus das Schreiben vikariierend für das Sprechen eintrat. Sie schrieben geläufiger, rascher und besser als andere und als vorhin. Dasselbe war bei Dora der Fall gewesen. In den ersten Tagen ihrer Aphonie war ihr »das Schreiben immer besonders leicht von der Hand gegangen«. Diese Eigentümlichkeit erforderte als der Ausdruck einer physiologischen Ersatzfunktion, welche sich das Bedürfnis schafft, ja eigentlich keine psychologische Aufklärung; es war aber bemerkenswert, daß eine solche doch leicht zu haben war. Herr K. schrieb ihr reichlich von der Reise, schickte Ansichtskarten; es kam vor, daß sie allein von dem Termine seiner Rückkehr unterrichtet war, die Frau von ihm überrascht wurde. Daß man mit dem Abwesenden, den man nicht sprechen kann, korrespondiert, ist übrigens kaum weniger naheliegend, als daß man sich beim Versagen der Stimme durch die Schrift zu verständigen sucht. Die Aphonie Doras ließ also folgende symbolische Deutung zu: Wenn der Geliebte ferne war, verzichtete sie auf das Sprechen; es hatte seinen Wert verloren, da sie mit </w:t>
      </w:r>
      <w:r w:rsidRPr="00393116">
        <w:rPr>
          <w:rFonts w:ascii="Garamond" w:eastAsia="Times New Roman" w:hAnsi="Garamond" w:cs="Times New Roman"/>
          <w:i/>
          <w:iCs/>
          <w:sz w:val="20"/>
          <w:szCs w:val="20"/>
          <w:lang w:val="en-US" w:eastAsia="fr-FR"/>
        </w:rPr>
        <w:t>ihm</w:t>
      </w:r>
      <w:r w:rsidRPr="00393116">
        <w:rPr>
          <w:rFonts w:ascii="Garamond" w:eastAsia="Times New Roman" w:hAnsi="Garamond" w:cs="Times New Roman"/>
          <w:sz w:val="20"/>
          <w:szCs w:val="20"/>
          <w:lang w:val="en-US" w:eastAsia="fr-FR"/>
        </w:rPr>
        <w:t xml:space="preserve"> nicht sprechen konnte. Dafür bekam das Schreiben Bedeutung als das einzige Mittel, sich mit dem Abwesenden in Verkehr zu setzen.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Werde ich nun etwa die Behauptung aufstellen, daß in allen Fällen von periodisch auftretender Aphonie die Diagnose auf die Existenz eines zeitweilig ortsabwesenden Geliebten zu stellen sei? Gewiß ist das nicht meine Absicht. Die Determination des Symptoms im Falle Doras ist allzu spezifiziert, als daß man an eine häufige Wiederkehr der nämlichen akzidentellen Ätiologie denken könnte. Welchen Wert hat aber dann die Aufklärung der Aphonie in unserem Falle? Haben wir uns nicht vielmehr durch ein Spiel des Witzes täuschen lassen? Ich glaube nicht. Man muß sich hierbei an die so häufig gestellte Frage erinnern, ob die Symptome der Hysterie psychischen oder somatischen Ursprunges seien, oder wenn das erstere zugestanden ist, ob sie notwendig alle psychisch bedingt seien. Diese Frage ist, wie so viele andere, an deren Beantwortung man die Forscher immer wieder sich erfolglos bemühen sieht, eine nicht adäquate. Der wirkliche Sachverhalt ist in ihre Alternative nicht eingeschlossen. Soviel ich sehen kann, bedarf jedes hysterische Symptom des Beitrages von beiden Seiten. Es kann nicht zustande kommen ohne ein gewisses </w:t>
      </w:r>
      <w:r w:rsidRPr="00393116">
        <w:rPr>
          <w:rFonts w:ascii="Garamond" w:eastAsia="Times New Roman" w:hAnsi="Garamond" w:cs="Times New Roman"/>
          <w:i/>
          <w:iCs/>
          <w:sz w:val="20"/>
          <w:szCs w:val="20"/>
          <w:lang w:val="en-US" w:eastAsia="fr-FR"/>
        </w:rPr>
        <w:t>somatisches Entgegenkommen</w:t>
      </w:r>
      <w:r w:rsidRPr="00393116">
        <w:rPr>
          <w:rFonts w:ascii="Garamond" w:eastAsia="Times New Roman" w:hAnsi="Garamond" w:cs="Times New Roman"/>
          <w:sz w:val="20"/>
          <w:szCs w:val="20"/>
          <w:lang w:val="en-US" w:eastAsia="fr-FR"/>
        </w:rPr>
        <w:t xml:space="preserve">, welches von einem normalen oder krankhaften Vorgang in oder an einem Organe des Körpers geleistet wird. Es kommt nicht öfter als einmal zustande – und zum Charakter des hysterischen Symptoms gehört die Fähigkeit, sich zu wiederholen –, wenn es nicht eine psychische Bedeutung, einen </w:t>
      </w:r>
      <w:r w:rsidRPr="00393116">
        <w:rPr>
          <w:rFonts w:ascii="Garamond" w:eastAsia="Times New Roman" w:hAnsi="Garamond" w:cs="Times New Roman"/>
          <w:i/>
          <w:iCs/>
          <w:sz w:val="20"/>
          <w:szCs w:val="20"/>
          <w:lang w:val="en-US" w:eastAsia="fr-FR"/>
        </w:rPr>
        <w:t>Sinn</w:t>
      </w:r>
      <w:r w:rsidRPr="00393116">
        <w:rPr>
          <w:rFonts w:ascii="Garamond" w:eastAsia="Times New Roman" w:hAnsi="Garamond" w:cs="Times New Roman"/>
          <w:sz w:val="20"/>
          <w:szCs w:val="20"/>
          <w:lang w:val="en-US" w:eastAsia="fr-FR"/>
        </w:rPr>
        <w:t xml:space="preserve"> hat. Diesen Sinn bringt das hysterische Symptom nicht mit, er wird ihm verliehen, gleichsam mit ihm verlötet, </w:t>
      </w:r>
      <w:r w:rsidRPr="00393116">
        <w:rPr>
          <w:rFonts w:ascii="Garamond" w:eastAsia="Times New Roman" w:hAnsi="Garamond" w:cs="Times New Roman"/>
          <w:sz w:val="20"/>
          <w:szCs w:val="20"/>
          <w:lang w:val="en-US" w:eastAsia="fr-FR"/>
        </w:rPr>
        <w:lastRenderedPageBreak/>
        <w:t>und er kann in jedem Falle ein anderer sein, je nach der Beschaffenheit der nach Ausdruck ringenden unterdrückten Gedanken. Allerdings wirkt eine Reihe von Momenten darauf hin, daß die Beziehungen zwischen den unbewußten Gedanken und den ihnen als Ausdrucksmittel zu Gebote stehenden somatischen Vorgängen sich minder willkürlich gestalten und sich mehreren typischen Verknüpfungen annähern. Für die Therapie sind die im akzidentellen psychischen Material gegebenen Bestimmungen die wichtigeren; man löst die Symptome, indem man nach der psychischen Bedeutung derselben forscht. Hat man dann abgeräumt, was durch Psychoanalyse zu beseitigen ist, so kann man sich allerlei, wahrscheinlich zutreffende Gedanken über die somatischen, in der Regel konstitutionell-organischen Grundlagen der Symptome machen. Auch für die Anfälle von Husten und Aphonie bei Dora werden wir uns nicht auf die psychoanalytische Deutung beschränken, sondern hinter derselben das organische Moment nachweisen, von dem das »somatische Entgegenkommen« für den Ausdruck der Neigung zu einem zeitweilig abwesenden Geliebten ausging. Und wenn uns die Verknüpfung zwischen symptomatischem Ausdruck und unbewußtem Gedankeninhalt in diesem Falle als geschickt und kunstvoll gefertigt imponieren sollte, so werden wir gerne hören, daß sie den gleichen Eindruck in jedem anderen Falle, bei jedem anderen Beispiel, zu erzielen vermag.</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Ich bin nun darauf vorbereitet zu hören, daß es einen recht mäßigen Gewinn bedeutet, wenn wir also, dank der Psychoanalyse, das Rätsel der Hysterie nicht mehr in der »besonderen Labilität der Nervenmoleküle« oder in der Möglichkeit hypnoider Zustände, sondern im »somatischen Entgegenkommen« suchen sollen.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Gegen diese Bemerkung will ich doch betonen, daß das Rätsel so nicht nur um ein Stück zurückgeschoben, sondern auch um ein Stück verkleinert ist. Es handelt sich nicht mehr um das ganze Rätsel, sondern um jenes Stück desselben, in dem der besondere Charakter der Hysterie </w:t>
      </w:r>
      <w:r w:rsidRPr="00393116">
        <w:rPr>
          <w:rFonts w:ascii="Garamond" w:eastAsia="Times New Roman" w:hAnsi="Garamond" w:cs="Times New Roman"/>
          <w:i/>
          <w:iCs/>
          <w:sz w:val="20"/>
          <w:szCs w:val="20"/>
          <w:lang w:val="en-US" w:eastAsia="fr-FR"/>
        </w:rPr>
        <w:t>zum Unterschiede</w:t>
      </w:r>
      <w:r w:rsidRPr="00393116">
        <w:rPr>
          <w:rFonts w:ascii="Garamond" w:eastAsia="Times New Roman" w:hAnsi="Garamond" w:cs="Times New Roman"/>
          <w:sz w:val="20"/>
          <w:szCs w:val="20"/>
          <w:lang w:val="en-US" w:eastAsia="fr-FR"/>
        </w:rPr>
        <w:t xml:space="preserve"> von anderen Psychoneurosen enthalten ist. Die psychischen Vorgänge bei allen Psychoneurosen sind eine ganze Strecke weit die gleichen, dann erst kommt das »somatische Entgegenkommen« in Betracht, welches den unbewußten psychischen Vorgängen einen Ausweg ins Körperliche verschafft. Wo dies Moment nicht zu haben ist, wird aus dem ganzen Zustand etwas anderes als ein hysterisches Symptom, aber doch wieder etwas Verwandtes, eine Phobie etwa oder eine Zwangsidee, kurz ein psychisches Symptom.</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Ich kehre zu dem Vorwurf der »Simulation« von Krankheiten zurück, den Dora gegen ihren Vater erhob. Wir merkten bald, daß ihm nicht nur Selbstvorwürfe betreffs früherer Krankheitszustände, sondern auch solche, die die Gegenwart meinten, entsprachen. An dieser Stelle hat der Arzt gewöhnlich die Aufgabe, zu erraten und zu ergänzen, was ihm die Analyse nur in Andeutungen liefert. Ich mußte die Patientin aufmerksam machen, daß ihr jetziges Kranksein gerade so motiviert und tendenziös sei wie das von ihr verstandene der Frau K. Es sei kein Zweifel, daß sie einen Zweck im Auge habe, den sie durch ihre Krankheit zu erreichen hoffe. Dieser aber könne kein anderer sein, als den Vater der Frau K. abwendig zu machen. Durch Bitten und Argumente gelänge ihr dies nicht; vielleicht hoffe sie es zu erreichen, wenn sie den Vater in Schreck versetze (siehe den Abschiedsbrief), sein Mitleid wachrufe (durch die Anfälle von Ohnmacht), und wenn dies alles nichts nütze, so räche sie sich wenigstens an ihm. Sie wisse wohl, wie sehr er an ihr hänge und daß ihm jedesmal die Tränen in die Augen treten, wenn er nach dem Befinden seiner Tochter gefragt werde. Ich sei ganz überzeugt, sie werde sofort gesund sein, wenn ihr der Vater erkläre, er bringe ihrer Gesundheit Frau K. zum Opfer. Ich hoffe, er werde sich dazu nicht bewegen lassen, denn dann habe sie erfahren, welches Machtmittel sie in Händen habe, und werde gewiß nicht versäumen, sich ihrer Krankheitsmöglichkeiten jedes künftige Mal wieder zu bedienen. Wenn aber der Vater ihr nicht nachgebe, sei ich ganz gefaßt darauf, daß sie nicht so leicht auf ihr Kranksein verzichten werde.</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Ich übergehe die Einzelheiten, aus denen sich ergab, wie vollkommen richtig dies alles war, und ziehe es vor, einige allgemeine Bemerkungen über die Rolle der </w:t>
      </w:r>
      <w:r w:rsidRPr="00393116">
        <w:rPr>
          <w:rFonts w:ascii="Garamond" w:eastAsia="Times New Roman" w:hAnsi="Garamond" w:cs="Times New Roman"/>
          <w:i/>
          <w:iCs/>
          <w:sz w:val="20"/>
          <w:szCs w:val="20"/>
          <w:lang w:val="en-US" w:eastAsia="fr-FR"/>
        </w:rPr>
        <w:t>Krankheitsmotive</w:t>
      </w:r>
      <w:r w:rsidRPr="00393116">
        <w:rPr>
          <w:rFonts w:ascii="Garamond" w:eastAsia="Times New Roman" w:hAnsi="Garamond" w:cs="Times New Roman"/>
          <w:sz w:val="20"/>
          <w:szCs w:val="20"/>
          <w:lang w:val="en-US" w:eastAsia="fr-FR"/>
        </w:rPr>
        <w:t xml:space="preserve"> bei der Hysterie anzuschließen. Die Motive zum Kranksein sind begrifflich scharf zu scheiden von den Krankheitsmöglichkeiten, von dem Material, aus dem die Symptome gefertigt werden. Sie haben keinen Anteil an der Symptombildung, sind auch zu Anfang der Krankheit nicht vorhanden; sie treten erst sekundär hinzu, aber erst mit ihrem Auftreten ist die Krankheit voll konstituiert </w:t>
      </w:r>
      <w:hyperlink r:id="rId994" w:history="1">
        <w:r w:rsidRPr="00393116">
          <w:rPr>
            <w:rFonts w:ascii="Garamond" w:eastAsia="Times New Roman" w:hAnsi="Garamond" w:cs="Times New Roman"/>
            <w:color w:val="0000FF"/>
            <w:sz w:val="20"/>
            <w:szCs w:val="20"/>
            <w:u w:val="single"/>
            <w:lang w:val="en-US" w:eastAsia="fr-FR"/>
          </w:rPr>
          <w:t xml:space="preserve">[Fußnote]Hier ist nicht alles richtig. Der Satz, daß die Krankheitsmotive zu Anfang der Krankheit nicht vorhanden sind und erst sekundär hinzutreten, ist nicht aufrechtzuhalten. Auf nächster Seite werden denn auch bereits Motive zum Kranksein erwähnt, die vor dem Ausbruch der Krankheit bestehen und an diesem Ausbruch mitschuldig sind. Ich habe später dem Sachverhalt besser Rechnung getragen, indem ich die Unterscheidung zwischen </w:t>
        </w:r>
        <w:r w:rsidRPr="00393116">
          <w:rPr>
            <w:rFonts w:ascii="Garamond" w:eastAsia="Times New Roman" w:hAnsi="Garamond" w:cs="Times New Roman"/>
            <w:i/>
            <w:iCs/>
            <w:color w:val="0000FF"/>
            <w:sz w:val="20"/>
            <w:szCs w:val="20"/>
            <w:u w:val="single"/>
            <w:lang w:val="en-US" w:eastAsia="fr-FR"/>
          </w:rPr>
          <w:t>primärem und sekundärem Krankheitsgewinn</w:t>
        </w:r>
        <w:r w:rsidRPr="00393116">
          <w:rPr>
            <w:rFonts w:ascii="Garamond" w:eastAsia="Times New Roman" w:hAnsi="Garamond" w:cs="Times New Roman"/>
            <w:color w:val="0000FF"/>
            <w:sz w:val="20"/>
            <w:szCs w:val="20"/>
            <w:u w:val="single"/>
            <w:lang w:val="en-US" w:eastAsia="fr-FR"/>
          </w:rPr>
          <w:t xml:space="preserve"> einführte. Das Motiv zum Kranksein ist ja allemal die Absicht eines Gewinnes. Für den sekundären Krankheitsgewinn trifft zu, was in den weiteren Sätzen dieses Abschnittes gesagt ist. Ein primärer Krankheitsgewinn ist aber für jede neurotische Erkrankung anzuerkennen. Das Krankwerden erspart zunächst eine psychische Leistung, ergibt sich als die ökonomisch bequemste Lösung im Falle eines psychischen Konflikts ( </w:t>
        </w:r>
        <w:r w:rsidRPr="00393116">
          <w:rPr>
            <w:rFonts w:ascii="Garamond" w:eastAsia="Times New Roman" w:hAnsi="Garamond" w:cs="Times New Roman"/>
            <w:i/>
            <w:iCs/>
            <w:color w:val="0000FF"/>
            <w:sz w:val="20"/>
            <w:szCs w:val="20"/>
            <w:u w:val="single"/>
            <w:lang w:val="en-US" w:eastAsia="fr-FR"/>
          </w:rPr>
          <w:t>Flucht in die Krankheit</w:t>
        </w:r>
        <w:r w:rsidRPr="00393116">
          <w:rPr>
            <w:rFonts w:ascii="Garamond" w:eastAsia="Times New Roman" w:hAnsi="Garamond" w:cs="Times New Roman"/>
            <w:color w:val="0000FF"/>
            <w:sz w:val="20"/>
            <w:szCs w:val="20"/>
            <w:u w:val="single"/>
            <w:lang w:val="en-US" w:eastAsia="fr-FR"/>
          </w:rPr>
          <w:t xml:space="preserve">), wenngleich sich in den meisten Fällen später die Unzweckmäßigkeit eines solchen Ausweges unzweideutig erweist. Dieser Anteil des primären Krankheitsgewinnes kann als der </w:t>
        </w:r>
        <w:r w:rsidRPr="00393116">
          <w:rPr>
            <w:rFonts w:ascii="Garamond" w:eastAsia="Times New Roman" w:hAnsi="Garamond" w:cs="Times New Roman"/>
            <w:i/>
            <w:iCs/>
            <w:color w:val="0000FF"/>
            <w:sz w:val="20"/>
            <w:szCs w:val="20"/>
            <w:u w:val="single"/>
            <w:lang w:val="en-US" w:eastAsia="fr-FR"/>
          </w:rPr>
          <w:t>innere</w:t>
        </w:r>
        <w:r w:rsidRPr="00393116">
          <w:rPr>
            <w:rFonts w:ascii="Garamond" w:eastAsia="Times New Roman" w:hAnsi="Garamond" w:cs="Times New Roman"/>
            <w:color w:val="0000FF"/>
            <w:sz w:val="20"/>
            <w:szCs w:val="20"/>
            <w:u w:val="single"/>
            <w:lang w:val="en-US" w:eastAsia="fr-FR"/>
          </w:rPr>
          <w:t xml:space="preserve">, psychologische bezeichnet werden; er ist sozusagen konstant. Überdies können äußere Momente, wie die als Beispiel angeführte Lage der von ihrem Manne unterdrückten Frau, Motive zum Krankwerden abgeben und so den </w:t>
        </w:r>
        <w:r w:rsidRPr="00393116">
          <w:rPr>
            <w:rFonts w:ascii="Garamond" w:eastAsia="Times New Roman" w:hAnsi="Garamond" w:cs="Times New Roman"/>
            <w:i/>
            <w:iCs/>
            <w:color w:val="0000FF"/>
            <w:sz w:val="20"/>
            <w:szCs w:val="20"/>
            <w:u w:val="single"/>
            <w:lang w:val="en-US" w:eastAsia="fr-FR"/>
          </w:rPr>
          <w:t>äußerlichen</w:t>
        </w:r>
        <w:r w:rsidRPr="00393116">
          <w:rPr>
            <w:rFonts w:ascii="Garamond" w:eastAsia="Times New Roman" w:hAnsi="Garamond" w:cs="Times New Roman"/>
            <w:color w:val="0000FF"/>
            <w:sz w:val="20"/>
            <w:szCs w:val="20"/>
            <w:u w:val="single"/>
            <w:lang w:val="en-US" w:eastAsia="fr-FR"/>
          </w:rPr>
          <w:t xml:space="preserve"> Anteil des primären Krankheitsgewinnes herstellen.</w:t>
        </w:r>
      </w:hyperlink>
      <w:r w:rsidRPr="00393116">
        <w:rPr>
          <w:rFonts w:ascii="Garamond" w:eastAsia="Times New Roman" w:hAnsi="Garamond" w:cs="Times New Roman"/>
          <w:sz w:val="20"/>
          <w:szCs w:val="20"/>
          <w:lang w:val="en-US" w:eastAsia="fr-FR"/>
        </w:rPr>
        <w:t xml:space="preserve">. Man kann auf ihr Vorhandensein in jedem Falle rechnen, der ein wirkliches Leiden bedeutet und von längerem Bestande ist. Das Symptom ist zuerst dem psychischen Leben ein unwillkommener Gast, es hat alles gegen sich und verschwindet darum auch so leicht von selbst, wie es den Anschein hat, durch den Einfluß der Zeit. Es hat anfangs keine nützliche Verwendung im psychischen Haushalt, aber sehr häufig gelangt es sekundär zu einer solchen; irgendeine psychische Strömung findet es bequem, sich des Symptoms zu bedienen, und damit ist dieses zu einer </w:t>
      </w:r>
      <w:r w:rsidRPr="00393116">
        <w:rPr>
          <w:rFonts w:ascii="Garamond" w:eastAsia="Times New Roman" w:hAnsi="Garamond" w:cs="Times New Roman"/>
          <w:i/>
          <w:iCs/>
          <w:sz w:val="20"/>
          <w:szCs w:val="20"/>
          <w:lang w:val="en-US" w:eastAsia="fr-FR"/>
        </w:rPr>
        <w:t>Sekundärfunktion</w:t>
      </w:r>
      <w:r w:rsidRPr="00393116">
        <w:rPr>
          <w:rFonts w:ascii="Garamond" w:eastAsia="Times New Roman" w:hAnsi="Garamond" w:cs="Times New Roman"/>
          <w:sz w:val="20"/>
          <w:szCs w:val="20"/>
          <w:lang w:val="en-US" w:eastAsia="fr-FR"/>
        </w:rPr>
        <w:t xml:space="preserve"> gelangt und im Seelenleben wie verankert. Wer den Kranken gesund </w:t>
      </w:r>
      <w:r w:rsidRPr="00393116">
        <w:rPr>
          <w:rFonts w:ascii="Garamond" w:eastAsia="Times New Roman" w:hAnsi="Garamond" w:cs="Times New Roman"/>
          <w:sz w:val="20"/>
          <w:szCs w:val="20"/>
          <w:lang w:val="en-US" w:eastAsia="fr-FR"/>
        </w:rPr>
        <w:lastRenderedPageBreak/>
        <w:t xml:space="preserve">machen will, stößt dann zu seinem Erstaunen auf einen großen Widerstand, der ihn belehrt, daß es dem Kranken mit der Absicht, das Leiden aufzugeben, nicht so ganz, so voll ernst ist </w:t>
      </w:r>
      <w:hyperlink r:id="rId995" w:history="1">
        <w:r w:rsidRPr="00393116">
          <w:rPr>
            <w:rFonts w:ascii="Garamond" w:eastAsia="Times New Roman" w:hAnsi="Garamond" w:cs="Times New Roman"/>
            <w:color w:val="0000FF"/>
            <w:sz w:val="20"/>
            <w:szCs w:val="20"/>
            <w:u w:val="single"/>
            <w:lang w:val="en-US" w:eastAsia="fr-FR"/>
          </w:rPr>
          <w:t xml:space="preserve">[Fußnote]Ein Dichter, der allerdings auch Arzt ist, Arthur Schnitzler, hat dieser Erkenntnis in seinem </w:t>
        </w:r>
        <w:r w:rsidRPr="00393116">
          <w:rPr>
            <w:rFonts w:ascii="Garamond" w:eastAsia="Times New Roman" w:hAnsi="Garamond" w:cs="Times New Roman"/>
            <w:i/>
            <w:iCs/>
            <w:color w:val="0000FF"/>
            <w:sz w:val="20"/>
            <w:szCs w:val="20"/>
            <w:u w:val="single"/>
            <w:lang w:val="en-US" w:eastAsia="fr-FR"/>
          </w:rPr>
          <w:t>Paracelsus</w:t>
        </w:r>
        <w:r w:rsidRPr="00393116">
          <w:rPr>
            <w:rFonts w:ascii="Garamond" w:eastAsia="Times New Roman" w:hAnsi="Garamond" w:cs="Times New Roman"/>
            <w:color w:val="0000FF"/>
            <w:sz w:val="20"/>
            <w:szCs w:val="20"/>
            <w:u w:val="single"/>
            <w:lang w:val="en-US" w:eastAsia="fr-FR"/>
          </w:rPr>
          <w:t xml:space="preserve"> sehr richtigen Ausdruck gegeben.</w:t>
        </w:r>
      </w:hyperlink>
      <w:r w:rsidRPr="00393116">
        <w:rPr>
          <w:rFonts w:ascii="Garamond" w:eastAsia="Times New Roman" w:hAnsi="Garamond" w:cs="Times New Roman"/>
          <w:sz w:val="20"/>
          <w:szCs w:val="20"/>
          <w:lang w:val="en-US" w:eastAsia="fr-FR"/>
        </w:rPr>
        <w:t>. Man stelle sich einen Arbeiter, etwa einen Dachdecker vor, der sich zum Krüppel gefallen hat und nun an der Straßenecke bettelnd sein Leben fristet. Man komme nun als Wundertäter und verspreche ihm, das krumme Bein gerade und gehfähig herzustellen. Ich meine, man darf sich nicht auf den Ausdruck besonderer Seligkeit in seiner Miene gefaßt machen. Gewiß fühlte er sich äußerst unglücklich, als er die Verletzung erlitt, merkte, er werde nie wieder arbeiten können und müsse verhungern oder von Almosen leben. Aber seither ist, was ihn zunächst erwerblos machte, seine Einnahmsquelle geworden; er lebt von seiner Krüppelhaftigkeit. Nimmt man ihm die, so macht man ihn vielleicht ganz hilflos; er hat sein Handwerk unterdessen vergessen, seine Arbeitsgewohnheiten verloren, hat sich an den Müßiggang, vielleicht auch ans Trinken gewöhnt.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Die Motive zum Kranksein beginnen sich häufig schon in der Kindheit zu regen. Das liebeshungrige Kind, welches die Zärtlichkeit der Eltern ungern mit seinen Geschwistern teilt, bemerkt, daß diese ihm voll wieder zuströmt, wenn die Eltern durch seine Erkrankung in Sorge versetzt werden. Es kennt jetzt ein Mittel, die Liebe der Eltern hervorzulocken, und wird sich dessen bedienen, sobald ihm das psychische Material zu Gebote steht, um Kranksein zu produzieren. Wenn das Kind dann Frau geworden und ganz im Widerspruche zu den Anforderungen seiner Kinderzeit mit einem wenig rücksichtsvollen Manne verheiratet ist, der ihren Willen unterdrückt, ihre Arbeitskraft schonungslos ausnützt und weder Zärtlichkeit noch Ausgaben an sie wendet, so wird das Kranksein ihre einzige Waffe in der Lebensbehauptung. Es verschafft ihr die ersehnte Schonung, es zwingt den Mann zu Opfern an Geld und Rücksicht, die er der Gesunden nicht gebracht hätte, es nötigt ihn zur vorsichtigen Behandlung im Falle der Genesung, denn sonst ist der Rückfall bereit. Das anscheinend Objektive, Ungewollte des Krankheitszustandes, für das auch der behandelnde Arzt eintreten muß, ermöglicht ihr ohne bewußte Vorwürfe diese zweckmäßige Verwendung eines Mittels, das sie in den Kinderjahren wirksam gefunden hat.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Und doch ist dieses Kranksein Werk der Absicht! Die Krankheitszustände sind in der Regel für eine gewisse Person bestimmt, so daß sie mit deren Entfernung verschwinden. Das roheste und banalste Urteil über das Kranksein der Hysterischen, das man von ungebildeten Angehörigen und von Pflegerinnen hören kann, ist in gewissem Sinne richtig. Es ist wahr, daß die gelähmte Bettlägerige aufspringen würde, wenn im Zimmer Feuer ausbräche, daß die verwöhnte Frau alle Leiden vergessen würde, wenn ein Kind lebensgefährlich erkrankte oder eine Katastrophe die Stellung des Hauses bedrohte. Alle, die so von den Kranken sprechen, haben recht bis auf den einen Punkt, daß sie den psychologischen Unterschied zwischen Bewußtem und Unbewußtem vernachlässigen, was etwa beim Kind noch gestattet ist, beim Erwachsenen aber nicht mehr angeht. Darum können alle diese Versicherungen, daß es nur am Willen liege, und alle Aufmunterungen und Schmähungen der Kranken nichts nützen. Man muß erst versuchen, sie selbst auf dem Umwege der Analyse von der Existenz ihrer Krankheitsabsicht zu überzeugen.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In der Bekämpfung der Krankheitsmotive liegt bei der Hysterie ganz allgemein die Schwäche einer jeden Therapie, auch der psychoanalytischen. Das Schicksal hat es hierin leichter, es braucht weder die Konstitution noch das pathogene Material des Kranken anzugreifen; es nimmt ein Motiv zum Kranksein weg, und der Kranke ist zeitweilig, vielleicht selbst dauernd von der Krankheit befreit. Wieviel weniger Wunderheilungen und spontanes Verschwinden von Symptomen würden wir Ärzte bei der Hysterie gelten lassen, wenn wir häufiger Einsicht in die uns verheimlichten Lebensinteressen der Kranken bekämen! Hier ist ein Termin abgelaufen, die Rücksicht auf eine zweite Person entfallen, eine Situation hat sich durch äußeres Geschehen gründlich verändert, und das bisher hartnäckige Leiden ist mit einem Schlage behoben, anscheinend spontan, in Wahrheit, weil ihm das stärkste Motiv, eine seiner Verwendungen im Leben, entzogen worden ist.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Motive, die das Kranksein stützen, wird man wahrscheinlich in allen vollentwickelten Fällen antreffen. Aber es gibt Fälle mit rein innerlichen Motiven, wie z. B. Selbstbestrafung, also Reue und Buße. Man wird dann die therapeutische Aufgabe leichter lösbar finden, als wo die Krankheit in Beziehung zu der Erreichung eines äußeren Zieles gesetzt ist. Dies Ziel war für Dora offenbar, den Vater zu erweichen und ihn der Frau K. abwendig zu machen.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Keine seiner Handlungen schien sie übrigens so erbittert zu haben wie seine Bereitwilligkeit, die Szene am See für ein Produkt ihrer Phantasie zu halten. Sie geriet außer sich, wenn sie daran dachte, sie sollte sich damals etwas eingebildet haben. Ich war lange Zeit in Verlegenheit zu erraten, welcher Selbstvorwurf sich hinter der leidenschaftlichen Abweisung dieser Erklärung verberge. Man war im Rechte, etwas Verborgenes dahinter zu vermuten, denn ein Vorwurf, der nicht zutrifft, der beleidigt auch nicht nachhaltig. Anderseits kam ich zum Schlusse, daß die Erzählung Doras durchaus der Wahrheit entsprechen müsse. Nachdem sie nur Herrn K.s Absicht verstanden, hatte sie ihn nicht ausreden lassen, hatte ihm einen Schlag ins Gesicht versetzt und war davongeeilt. Ihr Benehmen erschien dem zurückbleibenden Manne damals wohl ebenso unverständlich wie uns, denn er mußte längst aus unzähligen kleinen Anzeichen geschlossen haben, daß er der Neigung des Mädchens sicher sei. In der Diskussion über den zweiten Traum werden wir dann sowohl der Lösung dieses Rätsels als auch dem zunächst vergeblich gesuchten Selbstvorwurf begegnen.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Als die Anklagen gegen den Vater mit ermüdender Monotonie wiederkehrten und der Husten dabei fortbestand, mußte ich daran denken, daß dies Symptom eine Bedeutung haben könne, die sich auf den Vater beziehe. Die Anforderungen, die ich an eine Symptomerklärung zu stellen gewohnt bin, waren ohnedies lange nicht erfüllt. Nach einer Regel, die ich immer wieder bestätigt gefunden, aber allgemein aufzustellen noch nicht den Mut hatte, </w:t>
      </w:r>
      <w:r w:rsidRPr="00393116">
        <w:rPr>
          <w:rFonts w:ascii="Garamond" w:eastAsia="Times New Roman" w:hAnsi="Garamond" w:cs="Times New Roman"/>
          <w:sz w:val="20"/>
          <w:szCs w:val="20"/>
          <w:lang w:val="en-US" w:eastAsia="fr-FR"/>
        </w:rPr>
        <w:lastRenderedPageBreak/>
        <w:t xml:space="preserve">bedeutete ein Symptom die Darstellung – Realisierung – einer Phantasie mit sexuellem Inhalt, also eine sexuelle Situation. Ich würde besser sagen, wenigstens </w:t>
      </w:r>
      <w:r w:rsidRPr="00393116">
        <w:rPr>
          <w:rFonts w:ascii="Garamond" w:eastAsia="Times New Roman" w:hAnsi="Garamond" w:cs="Times New Roman"/>
          <w:i/>
          <w:iCs/>
          <w:sz w:val="20"/>
          <w:szCs w:val="20"/>
          <w:lang w:val="en-US" w:eastAsia="fr-FR"/>
        </w:rPr>
        <w:t>eine</w:t>
      </w:r>
      <w:r w:rsidRPr="00393116">
        <w:rPr>
          <w:rFonts w:ascii="Garamond" w:eastAsia="Times New Roman" w:hAnsi="Garamond" w:cs="Times New Roman"/>
          <w:sz w:val="20"/>
          <w:szCs w:val="20"/>
          <w:lang w:val="en-US" w:eastAsia="fr-FR"/>
        </w:rPr>
        <w:t xml:space="preserve"> der Bedeutungen eines Symptoms entspricht der Darstellung einer sexuellen Phantasie, während für die anderen Bedeutungen solche Inhaltsbeschränkung nicht besteht. Daß ein Symptom mehr als eine Bedeutung hat, gleichzeitig mehreren unbewußten Gedankengängen zur Darstellung dient, erfährt man nämlich sehr bald, wenn man sich in die psychoanalytische Arbeit einläßt. Ich möchte noch hinzufügen, daß nach meiner Schätzung ein einziger unbewußter Gedankengang oder Phantasie kaum jemals zur Erzeugung eines Symptoms hinreichen wird.</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Die Gelegenheit, dem nervösen Husten eine solche Deutung durch eine phantasierte sexuelle Situation zuzuweisen, ergab sich sehr bald. Als sie wieder einmal betonte, Frau K. liebe den Papa nur, weil er ein </w:t>
      </w:r>
      <w:r w:rsidRPr="00393116">
        <w:rPr>
          <w:rFonts w:ascii="Garamond" w:eastAsia="Times New Roman" w:hAnsi="Garamond" w:cs="Times New Roman"/>
          <w:i/>
          <w:iCs/>
          <w:sz w:val="20"/>
          <w:szCs w:val="20"/>
          <w:lang w:val="en-US" w:eastAsia="fr-FR"/>
        </w:rPr>
        <w:t>vermögender</w:t>
      </w:r>
      <w:r w:rsidRPr="00393116">
        <w:rPr>
          <w:rFonts w:ascii="Garamond" w:eastAsia="Times New Roman" w:hAnsi="Garamond" w:cs="Times New Roman"/>
          <w:sz w:val="20"/>
          <w:szCs w:val="20"/>
          <w:lang w:val="en-US" w:eastAsia="fr-FR"/>
        </w:rPr>
        <w:t xml:space="preserve"> Mann sei, merkte ich aus gewissen Nebenumständen ihres Ausdrucks, die ich hier wie das meiste rein Technische der Analysenarbeit übergehe, daß sich hinter dem Satze sein Gegenteil verberge: Der Vater sei ein </w:t>
      </w:r>
      <w:r w:rsidRPr="00393116">
        <w:rPr>
          <w:rFonts w:ascii="Garamond" w:eastAsia="Times New Roman" w:hAnsi="Garamond" w:cs="Times New Roman"/>
          <w:i/>
          <w:iCs/>
          <w:sz w:val="20"/>
          <w:szCs w:val="20"/>
          <w:lang w:val="en-US" w:eastAsia="fr-FR"/>
        </w:rPr>
        <w:t>unvermögender</w:t>
      </w:r>
      <w:r w:rsidRPr="00393116">
        <w:rPr>
          <w:rFonts w:ascii="Garamond" w:eastAsia="Times New Roman" w:hAnsi="Garamond" w:cs="Times New Roman"/>
          <w:sz w:val="20"/>
          <w:szCs w:val="20"/>
          <w:lang w:val="en-US" w:eastAsia="fr-FR"/>
        </w:rPr>
        <w:t xml:space="preserve"> Mann. Dies konnte nur sexuell gemeint sein, also: Der Vater sei als Mann unvermögend, impotent. Nachdem sie diese Deutung aus bewußter Kenntnis bestätigt, hielt ich ihr vor, in welchen Widerspruch sie verfalle, wenn sie einerseits daran festhalte, das Verhältnis mit Frau K. sei ein gewöhnliches Liebesverhältnis, und anderseits behaupte, der Vater sei impotent, also unfähig, ein solches Verhältnis auszunützen. Ihre Antwort zeigte, daß sie den Widerspruch nicht anzuerkennen brauchte. Es sei ihr wohl bekannt, sagte sie, daß es mehr als eine Art der sexuellen Befriedigung gebe. Die Quelle dieser Kenntnis war ihr allerdings wieder unauffindbar. Als ich weiter fragte, ob sie die Inanspruchnahme anderer Organe als der Genitalien für den sexuellen Verkehr meine, bejahte sie, und ich konnte fortsetzen: dann denke sie gerade an jene Körperteile, die sich bei ihr in gereiztem Zustande befänden (Hals, Mundhöhle). Soweit wollte sie freilich von ihren Gedanken nichts wissen, aber sie durfte es sich auch gar nicht völlig klargemacht haben, wenn das Symptom ermöglicht sein sollte. Die Ergänzung war doch unabweisbar, daß sie sich mit ihrem stoßweise erfolgenden Husten, der wie gewöhnlich einen Kitzel im Halse als Reizanlaß angab, eine Situation von sexueller Befriedigung </w:t>
      </w:r>
      <w:r w:rsidRPr="00393116">
        <w:rPr>
          <w:rFonts w:ascii="Garamond" w:eastAsia="Times New Roman" w:hAnsi="Garamond" w:cs="Times New Roman"/>
          <w:i/>
          <w:iCs/>
          <w:sz w:val="20"/>
          <w:szCs w:val="20"/>
          <w:lang w:val="en-US" w:eastAsia="fr-FR"/>
        </w:rPr>
        <w:t>per os</w:t>
      </w:r>
      <w:r w:rsidRPr="00393116">
        <w:rPr>
          <w:rFonts w:ascii="Garamond" w:eastAsia="Times New Roman" w:hAnsi="Garamond" w:cs="Times New Roman"/>
          <w:sz w:val="20"/>
          <w:szCs w:val="20"/>
          <w:lang w:val="en-US" w:eastAsia="fr-FR"/>
        </w:rPr>
        <w:t xml:space="preserve"> zwischen den zwei Personen vorstellte, deren Liebesbeziehung sie unausgesetzt beschäftigte. Daß die kürzeste Zeit nach dieser stillschweigend hingenommenen Aufklärung der Husten verschwunden war, stimmte natürlich recht gut; wir wollten aber nicht zu viel Wert auf diese Veränderung legen, weil sie ja schon so oft spontan eingetreten war.</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Wenn dieses Stückchen der Analyse bei dem ärztlichen Leser, außer dem Unglauben, der ihm ja freisteht, Befremden und Grauen erregt haben sollte, so bin ich bereit, diese beiden Reaktionen an dieser Stelle auf ihre Berechtigung zu prüfen. Das Befremden denke ich mir motiviert durch mein Wagnis, mit einem jungen Mädchen – oder überhaupt einem Weib im Alter der Geschlechtlichkeit – von so heikeln und so abscheulichen Dingen zu reden. Das Grauen gilt wohl der Möglichkeit, daß ein unberührtes Mädchen von derlei Praktiken wissen und seine Phantasie mit ihnen beschäftigen könnte. In beiden Punkten würde ich zur Mäßigung und Besonnenheit raten. Es liegt weder hier noch dort ein Grund zur Entrüstung vor. Man kann mit Mädchen und Frauen von allen sexuellen Dingen sprechen, ohne ihnen zu schaden und ohne sich in Verdacht zu bringen, wenn man erstens eine gewisse Art, es zu tun, annimmt, und zweitens, wenn man bei ihnen die Überzeugung erwecken kann, daß es unvermeidlich ist. Unter denselben Bedingungen erlaubt sich ja auch der Gynäkologe, sie allen möglichen Entblößungen zu unterziehen. Die beste Art, von den Dingen zu reden, ist die trockene und direkte; sie ist gleichzeitig von der Lüsternheit, mit welcher die nämlichen Themata in der »Gesellschaft« behandelt werden und an die Mädchen wie Frauen sehr wohl gewöhnt sind, am weitesten entfernt. Ich gebe Organen wie Vorgängen ihre technischen Namen und teile dieselben mit, wo sie – die Namen – etwa unbekannt sind. » </w:t>
      </w:r>
      <w:r w:rsidRPr="00393116">
        <w:rPr>
          <w:rFonts w:ascii="Garamond" w:eastAsia="Times New Roman" w:hAnsi="Garamond" w:cs="Times New Roman"/>
          <w:i/>
          <w:iCs/>
          <w:sz w:val="20"/>
          <w:szCs w:val="20"/>
          <w:lang w:val="en-US" w:eastAsia="fr-FR"/>
        </w:rPr>
        <w:t>J'appelle un chat un chat.</w:t>
      </w:r>
      <w:r w:rsidRPr="00393116">
        <w:rPr>
          <w:rFonts w:ascii="Garamond" w:eastAsia="Times New Roman" w:hAnsi="Garamond" w:cs="Times New Roman"/>
          <w:sz w:val="20"/>
          <w:szCs w:val="20"/>
          <w:lang w:val="en-US" w:eastAsia="fr-FR"/>
        </w:rPr>
        <w:t>« Ich habe wohl von ärztlichen und nichtärztlichen Personen gehört, welche sich über eine Therapie skandalisieren, in der solche Besprechungen vorkommen, und die entweder mich oder die Patienten um den Kitzel zu beneiden scheinen, der sich nach ihrer Erwartung dabei einstellt. Aber ich kenne doch die Wohlanständigkeit dieser Herren zu genau, um mich über sie zu erregen. Ich werde der Versuchung, eine Satire zu schreiben, aus dem Wege gehen. Nur das eine will ich erwähnen, daß ich häufig die Genugtuung erfahre, von einer Patientin, der die Offenheit in sexuellen Dingen anfänglich nicht leicht geworden, späterhin den Ausruf zu hören: »Nein, Ihre Kur ist doch um vieles anständiger als die Gespräche des Herrn X.!«</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Von der Unvermeidlichkeit der Berührung sexueller Themata muß man überzeugt sein, ehe man eine Hysteriebehandlung unternimmt, oder muß bereit sein, sich durch Erfahrungen überzeugen zu lassen. </w:t>
      </w:r>
      <w:r w:rsidRPr="00393116">
        <w:rPr>
          <w:rFonts w:ascii="Garamond" w:eastAsia="Times New Roman" w:hAnsi="Garamond" w:cs="Times New Roman"/>
          <w:sz w:val="20"/>
          <w:szCs w:val="20"/>
          <w:lang w:eastAsia="fr-FR"/>
        </w:rPr>
        <w:t xml:space="preserve">Man sagt sich dann: </w:t>
      </w:r>
      <w:r w:rsidRPr="00393116">
        <w:rPr>
          <w:rFonts w:ascii="Garamond" w:eastAsia="Times New Roman" w:hAnsi="Garamond" w:cs="Times New Roman"/>
          <w:i/>
          <w:iCs/>
          <w:sz w:val="20"/>
          <w:szCs w:val="20"/>
          <w:lang w:eastAsia="fr-FR"/>
        </w:rPr>
        <w:t>pour faire une omelette it faut casser des oeufs</w:t>
      </w:r>
      <w:r w:rsidRPr="00393116">
        <w:rPr>
          <w:rFonts w:ascii="Garamond" w:eastAsia="Times New Roman" w:hAnsi="Garamond" w:cs="Times New Roman"/>
          <w:sz w:val="20"/>
          <w:szCs w:val="20"/>
          <w:lang w:eastAsia="fr-FR"/>
        </w:rPr>
        <w:t xml:space="preserve">. </w:t>
      </w:r>
      <w:r w:rsidRPr="00393116">
        <w:rPr>
          <w:rFonts w:ascii="Garamond" w:eastAsia="Times New Roman" w:hAnsi="Garamond" w:cs="Times New Roman"/>
          <w:sz w:val="20"/>
          <w:szCs w:val="20"/>
          <w:lang w:val="en-US" w:eastAsia="fr-FR"/>
        </w:rPr>
        <w:t>Die Patienten selbst sind leicht zu überzeugen; der Gelegenheiten dazu gibt es im Laufe der Behandlung allzu viele. Man braucht sich keinen Vorwurf daraus zu machen, daß man Tatsachen des normalen oder abnormen Sexuallebens mit ihnen bespricht. Wenn man einigermaßen vorsichtig ist, übersetzt man ihnen bloß ins Bewußte, was sie im Unbewußten schon wissen, und die ganze Wirkung der Kur ruht ja auf der Einsicht, daß die Affektwirkungen einer unbewußten Idee stärker und, weil unhemmbar, schädlicher sind als die einer bewußten. Man läuft niemals Gefahr, ein unerfahrenes Mädchen zu verderben; wo auch im Unbewußten keine Kenntnis sexueller Vorgänge besteht, da kommt auch kein hysterisches Symptom zustande. Wo man Hysterie findet, kann von »Gedankenunschuld« im Sinne der Eltern und Erzieher keine Rede mehr sein. Bei 10-, 12- und 14jährigen Kindern, Knaben wie Mädchen, habe ich mich von der ausnahmslosen Verläßlichkeit dieses Satzes überzeugt.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Was die zweite Gefühlsreaktion betrifft, die sich nicht mehr gegen mich, sondern gegen die Patientin, im Falle, daß ich recht haben sollte, richtet und den perversen Charakter von deren Phantasien grauenhaft findet, so möchte ich betonen, daß solche Leidenschaftlichkeit im Verurteilen dem Arzte nicht ansteht. Ich finde es auch unter anderem überflüssig, daß ein Arzt, der über die Verirrungen der sexuellen Triebe schreibt, jede Gelegenheit benutze, um in </w:t>
      </w:r>
      <w:r w:rsidRPr="00393116">
        <w:rPr>
          <w:rFonts w:ascii="Garamond" w:eastAsia="Times New Roman" w:hAnsi="Garamond" w:cs="Times New Roman"/>
          <w:sz w:val="20"/>
          <w:szCs w:val="20"/>
          <w:lang w:val="en-US" w:eastAsia="fr-FR"/>
        </w:rPr>
        <w:lastRenderedPageBreak/>
        <w:t xml:space="preserve">den Text den Ausdruck seines persönlichen Abscheus vor so widrigen Dingen einzuschalten. Hier liegt eine Tatsache vor, an die wir uns, mit Unterdrückung unserer Geschmacksrichtungen, hoffentlich gewöhnen werden. Was wir die sexuellen Perversionen heißen, die Überschreitungen der Sexualfunktion nach Körpergebiet und Sexualobjekt, davon muß man ohne Entrüstung reden können. Schon die Unbestimmtheit der Grenzen für das normal zu nennende Sexualleben bei verschiedenen Rassen und in verschiedenen Zeitepochen sollte die Eiferer abkühlen. Wir dürfen doch nicht vergessen, daß die uns widrigste dieser Perversionen, die sinnliche Liebe des Mannes für den Mann, bei einem uns so sehr kulturüberlegenen Volke wie den Griechen nicht nur geduldet, sondern selbst mit wichtigen sozialen Funktionen betraut war. Ein Stückchen weit, bald hier, bald dort, überschreitet jeder von uns die fürs Normale gezogenen engen Grenzen in seinem eigenen Sexualleben. Die Perversionen sind weder Bestialitäten noch Entartungen im pathetischen Sinne des Wortes. Es sind Entwicklungen von Keimen, die sämtlich in der indifferenzierten sexuellen Anlage des Kindes enthalten sind, deren Unterdrückung oder Wendung auf höhere, asexuelle Ziele – deren </w:t>
      </w:r>
      <w:r w:rsidRPr="00393116">
        <w:rPr>
          <w:rFonts w:ascii="Garamond" w:eastAsia="Times New Roman" w:hAnsi="Garamond" w:cs="Times New Roman"/>
          <w:i/>
          <w:iCs/>
          <w:sz w:val="20"/>
          <w:szCs w:val="20"/>
          <w:lang w:val="en-US" w:eastAsia="fr-FR"/>
        </w:rPr>
        <w:t>Sublimierung</w:t>
      </w:r>
      <w:r w:rsidRPr="00393116">
        <w:rPr>
          <w:rFonts w:ascii="Garamond" w:eastAsia="Times New Roman" w:hAnsi="Garamond" w:cs="Times New Roman"/>
          <w:sz w:val="20"/>
          <w:szCs w:val="20"/>
          <w:lang w:val="en-US" w:eastAsia="fr-FR"/>
        </w:rPr>
        <w:t xml:space="preserve"> – die Kräfte für eine gute Anzahl unserer Kulturleistungen abzugeben bestimmt ist. Wo also jemand grob und manifest pervers </w:t>
      </w:r>
      <w:r w:rsidRPr="00393116">
        <w:rPr>
          <w:rFonts w:ascii="Garamond" w:eastAsia="Times New Roman" w:hAnsi="Garamond" w:cs="Times New Roman"/>
          <w:i/>
          <w:iCs/>
          <w:sz w:val="20"/>
          <w:szCs w:val="20"/>
          <w:lang w:val="en-US" w:eastAsia="fr-FR"/>
        </w:rPr>
        <w:t>geworden</w:t>
      </w:r>
      <w:r w:rsidRPr="00393116">
        <w:rPr>
          <w:rFonts w:ascii="Garamond" w:eastAsia="Times New Roman" w:hAnsi="Garamond" w:cs="Times New Roman"/>
          <w:sz w:val="20"/>
          <w:szCs w:val="20"/>
          <w:lang w:val="en-US" w:eastAsia="fr-FR"/>
        </w:rPr>
        <w:t xml:space="preserve"> ist, da kann man richtiger sagen, er sei es </w:t>
      </w:r>
      <w:r w:rsidRPr="00393116">
        <w:rPr>
          <w:rFonts w:ascii="Garamond" w:eastAsia="Times New Roman" w:hAnsi="Garamond" w:cs="Times New Roman"/>
          <w:i/>
          <w:iCs/>
          <w:sz w:val="20"/>
          <w:szCs w:val="20"/>
          <w:lang w:val="en-US" w:eastAsia="fr-FR"/>
        </w:rPr>
        <w:t>geblieben</w:t>
      </w:r>
      <w:r w:rsidRPr="00393116">
        <w:rPr>
          <w:rFonts w:ascii="Garamond" w:eastAsia="Times New Roman" w:hAnsi="Garamond" w:cs="Times New Roman"/>
          <w:sz w:val="20"/>
          <w:szCs w:val="20"/>
          <w:lang w:val="en-US" w:eastAsia="fr-FR"/>
        </w:rPr>
        <w:t xml:space="preserve">, er stellt ein Stadium einer </w:t>
      </w:r>
      <w:r w:rsidRPr="00393116">
        <w:rPr>
          <w:rFonts w:ascii="Garamond" w:eastAsia="Times New Roman" w:hAnsi="Garamond" w:cs="Times New Roman"/>
          <w:i/>
          <w:iCs/>
          <w:sz w:val="20"/>
          <w:szCs w:val="20"/>
          <w:lang w:val="en-US" w:eastAsia="fr-FR"/>
        </w:rPr>
        <w:t>Entwicklungshemmung</w:t>
      </w:r>
      <w:r w:rsidRPr="00393116">
        <w:rPr>
          <w:rFonts w:ascii="Garamond" w:eastAsia="Times New Roman" w:hAnsi="Garamond" w:cs="Times New Roman"/>
          <w:sz w:val="20"/>
          <w:szCs w:val="20"/>
          <w:lang w:val="en-US" w:eastAsia="fr-FR"/>
        </w:rPr>
        <w:t xml:space="preserve"> dar. Die Psychoneurotiker sind sämtlich Personen mit stark ausgebildeten, aber im Laufe der Entwicklung verdrängt und unbewußt gewordenen perversen Neigungen. Ihre unbewußten Phantasien weisen daher genau den nämlichen Inhalt auf wie die aktenmäßig festgestellten Handlungen der Perversen, auch wenn sie die </w:t>
      </w:r>
      <w:r w:rsidRPr="00393116">
        <w:rPr>
          <w:rFonts w:ascii="Garamond" w:eastAsia="Times New Roman" w:hAnsi="Garamond" w:cs="Times New Roman"/>
          <w:i/>
          <w:iCs/>
          <w:sz w:val="20"/>
          <w:szCs w:val="20"/>
          <w:lang w:val="en-US" w:eastAsia="fr-FR"/>
        </w:rPr>
        <w:t>Psychopathia sexualis</w:t>
      </w:r>
      <w:r w:rsidRPr="00393116">
        <w:rPr>
          <w:rFonts w:ascii="Garamond" w:eastAsia="Times New Roman" w:hAnsi="Garamond" w:cs="Times New Roman"/>
          <w:sz w:val="20"/>
          <w:szCs w:val="20"/>
          <w:lang w:val="en-US" w:eastAsia="fr-FR"/>
        </w:rPr>
        <w:t xml:space="preserve"> von v. Krafft-Ebing, der naive Menschen soviel Mitschuld an der Entstehung perverser Neigungen zumessen, nicht gelesen haben. Die Psychoneurosen sind sozusagen das </w:t>
      </w:r>
      <w:r w:rsidRPr="00393116">
        <w:rPr>
          <w:rFonts w:ascii="Garamond" w:eastAsia="Times New Roman" w:hAnsi="Garamond" w:cs="Times New Roman"/>
          <w:i/>
          <w:iCs/>
          <w:sz w:val="20"/>
          <w:szCs w:val="20"/>
          <w:lang w:val="en-US" w:eastAsia="fr-FR"/>
        </w:rPr>
        <w:t>Negativ</w:t>
      </w:r>
      <w:r w:rsidRPr="00393116">
        <w:rPr>
          <w:rFonts w:ascii="Garamond" w:eastAsia="Times New Roman" w:hAnsi="Garamond" w:cs="Times New Roman"/>
          <w:sz w:val="20"/>
          <w:szCs w:val="20"/>
          <w:lang w:val="en-US" w:eastAsia="fr-FR"/>
        </w:rPr>
        <w:t xml:space="preserve"> der Perversionen. Die sexuelle Konstitution, in welcher der Ausdruck der Heredität mitenthalten ist, wirkt bei den Neurotikern zusammen mit akzidentellen Lebenseinflüssen, welche die Entfaltung der normalen Sexualität stören. Die Gewässer, die in dem einen Strombett ein Hindernis finden, werden in ältere, zum Verlassen bestimmte Stromläufe zurückgestaut. Die Triebkräfte für die Bildung hysterischer Symptome werden nicht nur von der verdrängten normalen Sexualität, sondern auch von den unbewußten perversen Regungen beigestellt </w:t>
      </w:r>
      <w:hyperlink r:id="rId996" w:history="1">
        <w:r w:rsidRPr="00393116">
          <w:rPr>
            <w:rFonts w:ascii="Garamond" w:eastAsia="Times New Roman" w:hAnsi="Garamond" w:cs="Times New Roman"/>
            <w:color w:val="0000FF"/>
            <w:sz w:val="20"/>
            <w:szCs w:val="20"/>
            <w:u w:val="single"/>
            <w:lang w:val="en-US" w:eastAsia="fr-FR"/>
          </w:rPr>
          <w:t xml:space="preserve">[Fußnote]Diese Sätze über sexuelle Perversionen sind mehrere Jahre vor dem ausgezeichneten Buche von I. Bloch ( </w:t>
        </w:r>
        <w:r w:rsidRPr="00393116">
          <w:rPr>
            <w:rFonts w:ascii="Garamond" w:eastAsia="Times New Roman" w:hAnsi="Garamond" w:cs="Times New Roman"/>
            <w:i/>
            <w:iCs/>
            <w:color w:val="0000FF"/>
            <w:sz w:val="20"/>
            <w:szCs w:val="20"/>
            <w:u w:val="single"/>
            <w:lang w:val="en-US" w:eastAsia="fr-FR"/>
          </w:rPr>
          <w:t>Beiträge zur Ätiologie der Psychopathia sexualis</w:t>
        </w:r>
        <w:r w:rsidRPr="00393116">
          <w:rPr>
            <w:rFonts w:ascii="Garamond" w:eastAsia="Times New Roman" w:hAnsi="Garamond" w:cs="Times New Roman"/>
            <w:color w:val="0000FF"/>
            <w:sz w:val="20"/>
            <w:szCs w:val="20"/>
            <w:u w:val="single"/>
            <w:lang w:val="en-US" w:eastAsia="fr-FR"/>
          </w:rPr>
          <w:t xml:space="preserve">, 1902 und 1903) niedergeschrieben worden. Vgl. auch meine in diesem Jahre (1905) erschienenen </w:t>
        </w:r>
        <w:r w:rsidRPr="00393116">
          <w:rPr>
            <w:rFonts w:ascii="Garamond" w:eastAsia="Times New Roman" w:hAnsi="Garamond" w:cs="Times New Roman"/>
            <w:i/>
            <w:iCs/>
            <w:color w:val="0000FF"/>
            <w:sz w:val="20"/>
            <w:szCs w:val="20"/>
            <w:u w:val="single"/>
            <w:lang w:val="en-US" w:eastAsia="fr-FR"/>
          </w:rPr>
          <w:t>Drei Abhandlungen zur Sexualtheorie</w:t>
        </w:r>
        <w:r w:rsidRPr="00393116">
          <w:rPr>
            <w:rFonts w:ascii="Garamond" w:eastAsia="Times New Roman" w:hAnsi="Garamond" w:cs="Times New Roman"/>
            <w:color w:val="0000FF"/>
            <w:sz w:val="20"/>
            <w:szCs w:val="20"/>
            <w:u w:val="single"/>
            <w:lang w:val="en-US" w:eastAsia="fr-FR"/>
          </w:rPr>
          <w:t>.</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Die minder abstoßenden unter den sogenannten sexuellen Perversionen erfreuen sich der größten Verbreitung unter unserer Bevölkerung, wie jedermann mit Ausnahme des ärztlichen Autors über diese Gegenstände weiß. Oder vielmehr der Autor weiß es auch; er bemüht sich nur, es zu vergessen in dem Moment, da er die Feder zur Hand nimmt, um darüber zu schreiben. Es ist also nicht wunderbar, wenn unsere bald 19-jährige Hysterika, die von dem Vorkommen eines solchen Sexualverkehrs (des Saugens am Gliede) gehört hat, eine solche unbewußte Phantasie entwickelt und durch die Sensation von Reiz im Halse und durch Husten zum Ausdruck bringt. Es wäre auch nicht wunderbar, wenn sie ohne äußere Aufklärung zu solcher Phantasie gekommen wäre, wie ich es bei anderen Patientinnen mit Sicherheit festgestellt habe. Die somatische Vorbedingung für solche selbständige Schöpfung einer Phantasie, die sich dann mit dem Tun der Perversen deckt, war nämlich bei ihr durch eine beachtenswerte Tatsache gegeben. Sie erinnerte sich sehr wohl, daß sie in ihren Kinderjahren eine » </w:t>
      </w:r>
      <w:r w:rsidRPr="00393116">
        <w:rPr>
          <w:rFonts w:ascii="Garamond" w:eastAsia="Times New Roman" w:hAnsi="Garamond" w:cs="Times New Roman"/>
          <w:i/>
          <w:iCs/>
          <w:sz w:val="20"/>
          <w:szCs w:val="20"/>
          <w:lang w:val="en-US" w:eastAsia="fr-FR"/>
        </w:rPr>
        <w:t>Lutscherin</w:t>
      </w:r>
      <w:r w:rsidRPr="00393116">
        <w:rPr>
          <w:rFonts w:ascii="Garamond" w:eastAsia="Times New Roman" w:hAnsi="Garamond" w:cs="Times New Roman"/>
          <w:sz w:val="20"/>
          <w:szCs w:val="20"/>
          <w:lang w:val="en-US" w:eastAsia="fr-FR"/>
        </w:rPr>
        <w:t xml:space="preserve">« gewesen war. Auch der Vater erinnerte sich, daß er es ihr abgewöhnt hatte, als es sich bis ins vierte oder fünfte Lebensjahr fortsetzte. Dora selbst hatte ein Bild aus ihren Kleinkinderjahren in klarem Gedächtnis, wie sie in einem Winkel auf dem Boden saß, an ihrem linken Daumen lutschend, während sie dabei mit der rechten Hand den ruhig dasitzenden Bruder am Ohrläppchen zupfte. Es ist dies die vollständige Art der Selbstbefriedigung durch Lutschen, die mir auch andere – später anästhetische und hysterische – Patienten berichtet haben. Von einer derselben habe ich eine Angabe erhalten, die ein helles Licht auf die Herkunft dieser sonderbaren Gewohnheit wirft. Die junge Frau, die sich das Lutschen überhaupt nie abgewöhnt hatte, sah sich in einer Kindererinnerung, angeblich aus der ersten Hälfte des zweiten Lebensjahres, an der Ammenbrust trinken und dabei die Amme rhythmisch am Ohrläppchen ziehen. Ich meine, es wird niemand bestreiten wollen, daß die Lippen- und Mundschleimhaut für eine primäre </w:t>
      </w:r>
      <w:r w:rsidRPr="00393116">
        <w:rPr>
          <w:rFonts w:ascii="Garamond" w:eastAsia="Times New Roman" w:hAnsi="Garamond" w:cs="Times New Roman"/>
          <w:i/>
          <w:iCs/>
          <w:sz w:val="20"/>
          <w:szCs w:val="20"/>
          <w:lang w:val="en-US" w:eastAsia="fr-FR"/>
        </w:rPr>
        <w:t>erogene Zone</w:t>
      </w:r>
      <w:r w:rsidRPr="00393116">
        <w:rPr>
          <w:rFonts w:ascii="Garamond" w:eastAsia="Times New Roman" w:hAnsi="Garamond" w:cs="Times New Roman"/>
          <w:sz w:val="20"/>
          <w:szCs w:val="20"/>
          <w:lang w:val="en-US" w:eastAsia="fr-FR"/>
        </w:rPr>
        <w:t xml:space="preserve"> erklärt werden darf, da sie einen Teil dieser Bedeutung noch für den Kuß, der als normal gilt, beibehalten hat. Die frühzeitige ausgiebige Betätigung dieser erogenen Zone ist also die Bedingung für das spätere somatische Entgegenkommen von seiten des mit den Lippen beginnenden Schleimhauttraktes. Wenn dann zu einer Zeit, wo das eigentliche Sexualobjekt, das männliche Glied, schon bekannt ist, sich Verhältnisse ergeben, welche die Erregung der erhalten gebliebenen erogenen Mundzone wieder steigern, so gehört kein großer Aufwand von schöpferischer Kraft dazu, um anstelle der ursprünglichen Brustwarze und des für sie vikariierenden Fingers das aktuelle Sexualobjekt, den Penis, in die Befriedigungssituation einzusetzen. So hat diese überaus anstößige perverse Phantasie vom Saugen am Penis den harmlosesten Ursprung; sie ist die Umarbeitung eines prähistorisch zu nennenden Eindruckes vom Saugen an der Mutter- oder Ammenbrust, der gewöhnlich durch den Umgang mit gesäugten Kindern wieder belebt worden ist. Meist hat dabei das Euter der Kuh als passende Mittelvorstellung zwischen Brustwarze und Penis Dienste geleistet.</w:t>
      </w:r>
    </w:p>
    <w:p w:rsidR="00822836" w:rsidRPr="00393116" w:rsidRDefault="00822836" w:rsidP="00822836">
      <w:pPr>
        <w:pStyle w:val="Sansinterligne"/>
        <w:rPr>
          <w:rFonts w:ascii="Garamond" w:eastAsia="Times New Roman" w:hAnsi="Garamond" w:cs="Times New Roman"/>
          <w:sz w:val="20"/>
          <w:szCs w:val="20"/>
          <w:lang w:eastAsia="fr-FR"/>
        </w:rPr>
      </w:pPr>
      <w:r w:rsidRPr="00393116">
        <w:rPr>
          <w:rFonts w:ascii="Garamond" w:eastAsia="Times New Roman" w:hAnsi="Garamond" w:cs="Times New Roman"/>
          <w:sz w:val="20"/>
          <w:szCs w:val="20"/>
          <w:lang w:val="en-US" w:eastAsia="fr-FR"/>
        </w:rPr>
        <w:t xml:space="preserve">Die eben besprochene Deutung der Halssymptome Doras kann auch noch zu einer anderen Bemerkung Anlaß geben. Man kann fragen, wie sich diese phantasierte sexuelle Situation mit der anderen Erklärung verträgt, daß das Kommen und Gehen der Krankheitserscheinungen die Anwesenheit und Abwesenheit des geliebten Mannes nachahmt, also mit Einbeziehung des Benehmens der Frau den Gedanken ausdrückt: Wenn ich seine Frau wäre, würde ich ihn ganz anders lieben, krank sein (vor Sehnsucht etwa), wenn er verreist, und gesund (vor Seligkeit), wenn er wieder zu Hause ist. Darauf muß ich nach meinen Erfahrungen in der Lösung hysterischer Symptome antworten: es ist nicht notwendig, daß sich die verschiedenen Bedeutungen eines Symptoms miteinander vertragen, d. h. zu </w:t>
      </w:r>
      <w:r w:rsidRPr="00393116">
        <w:rPr>
          <w:rFonts w:ascii="Garamond" w:eastAsia="Times New Roman" w:hAnsi="Garamond" w:cs="Times New Roman"/>
          <w:sz w:val="20"/>
          <w:szCs w:val="20"/>
          <w:lang w:val="en-US" w:eastAsia="fr-FR"/>
        </w:rPr>
        <w:lastRenderedPageBreak/>
        <w:t xml:space="preserve">einem Zusammenhange ergänzen. Es genügt, wenn der Zusammenhang durch das Thema hergestellt ist, welches all den verschiedenen Phantasien den Ursprung gegeben hat. In unserem Falle ist solche Verträglichkeit übrigens nicht ausgeschlossen; die eine Bedeutung haftet mehr am Husten, die andere an der Aphonie und an dem Verlauf der Zustände; eine feinere Analyse hätte wahrscheinlich eine viel weitergehende Vergeistigung der Krankheitsdetails erkennen lassen. Wir haben bereits erfahren, daß ein Symptom ganz regelmäßig mehreren Bedeutungen </w:t>
      </w:r>
      <w:r w:rsidRPr="00393116">
        <w:rPr>
          <w:rFonts w:ascii="Garamond" w:eastAsia="Times New Roman" w:hAnsi="Garamond" w:cs="Times New Roman"/>
          <w:i/>
          <w:iCs/>
          <w:sz w:val="20"/>
          <w:szCs w:val="20"/>
          <w:lang w:val="en-US" w:eastAsia="fr-FR"/>
        </w:rPr>
        <w:t>gleichzeitig</w:t>
      </w:r>
      <w:r w:rsidRPr="00393116">
        <w:rPr>
          <w:rFonts w:ascii="Garamond" w:eastAsia="Times New Roman" w:hAnsi="Garamond" w:cs="Times New Roman"/>
          <w:sz w:val="20"/>
          <w:szCs w:val="20"/>
          <w:lang w:val="en-US" w:eastAsia="fr-FR"/>
        </w:rPr>
        <w:t xml:space="preserve"> entspricht; fügen wir nun hinzu, daß es auch mehreren Bedeutungen </w:t>
      </w:r>
      <w:r w:rsidRPr="00393116">
        <w:rPr>
          <w:rFonts w:ascii="Garamond" w:eastAsia="Times New Roman" w:hAnsi="Garamond" w:cs="Times New Roman"/>
          <w:i/>
          <w:iCs/>
          <w:sz w:val="20"/>
          <w:szCs w:val="20"/>
          <w:lang w:val="en-US" w:eastAsia="fr-FR"/>
        </w:rPr>
        <w:t>nacheinander</w:t>
      </w:r>
      <w:r w:rsidRPr="00393116">
        <w:rPr>
          <w:rFonts w:ascii="Garamond" w:eastAsia="Times New Roman" w:hAnsi="Garamond" w:cs="Times New Roman"/>
          <w:sz w:val="20"/>
          <w:szCs w:val="20"/>
          <w:lang w:val="en-US" w:eastAsia="fr-FR"/>
        </w:rPr>
        <w:t xml:space="preserve"> Ausdruck geben kann. Das Symptom kann eine seiner Bedeutungen oder seine Hauptbedeutung im Laufe der Jahre ändern, oder die leitende Rolle kann von einer Bedeutung auf eine andere übergehen. Es ist wie ein konservativer Zug im Charakter der Neurose, daß das einmal gebildete Symptom womöglich erhalten wird, mag auch der unbewußte Gedanke, der in ihm seinen Ausdruck fand, seine Bedeutung eingebüßt haben. Es ist aber auch leicht, diese Tendenz zur Erhaltung des Symptoms mechanisch zu erklären; die Herstellung eines solchen Symptoms ist so schwierig, die Übertragung der rein psychischen Erregung ins Körperliche, was ich </w:t>
      </w:r>
      <w:r w:rsidRPr="00393116">
        <w:rPr>
          <w:rFonts w:ascii="Garamond" w:eastAsia="Times New Roman" w:hAnsi="Garamond" w:cs="Times New Roman"/>
          <w:i/>
          <w:iCs/>
          <w:sz w:val="20"/>
          <w:szCs w:val="20"/>
          <w:lang w:val="en-US" w:eastAsia="fr-FR"/>
        </w:rPr>
        <w:t>Konversion</w:t>
      </w:r>
      <w:r w:rsidRPr="00393116">
        <w:rPr>
          <w:rFonts w:ascii="Garamond" w:eastAsia="Times New Roman" w:hAnsi="Garamond" w:cs="Times New Roman"/>
          <w:sz w:val="20"/>
          <w:szCs w:val="20"/>
          <w:lang w:val="en-US" w:eastAsia="fr-FR"/>
        </w:rPr>
        <w:t xml:space="preserve"> genannt habe, an so viel begünstigende Bedingungen gebunden, ein somatisches Entgegenkommen, wie man es zur Konversion bedarf, ist so wenig leicht zu haben, daß der Drang zur Abfuhr der Erregung aus dem Unbewußten dazu führt, sich womöglich mit dem bereits gangbaren Abfuhrweg zu begnügen. Viel leichter als die Schöpfung einer neuen Konversion scheint die Herstellung von Assoziationsbeziehungen zwischen einem neuen abfuhrbedürftigen Gedanken und dem alten, der diese Bedürftigkeit verloren hat. Auf dem so gebahnten Wege strömt die Erregung aus der neuen Erregungsquelle zur früheren Ausfuhrstelle hin, und das Symptom gleicht, wie das Evangelium es ausdrückt, einem alten Schlauch, der mit neuem Wein gefüllt ist. Erscheint nach diesen Erörterungen auch der somatische Anteil des hysterischen Symptoms als das beständigere, schwerer ersetzbare, der psychische als das veränderliche, leichter zu vertretende Element, so möge man doch aus diesem Verhältnis keine Rangordnung zwischen den beiden ableiten wollen. </w:t>
      </w:r>
      <w:r w:rsidRPr="00393116">
        <w:rPr>
          <w:rFonts w:ascii="Garamond" w:eastAsia="Times New Roman" w:hAnsi="Garamond" w:cs="Times New Roman"/>
          <w:sz w:val="20"/>
          <w:szCs w:val="20"/>
          <w:lang w:eastAsia="fr-FR"/>
        </w:rPr>
        <w:t>Für die psychische Therapie ist allemal der psychische Anteil der bedeutsamere.</w:t>
      </w:r>
    </w:p>
    <w:p w:rsidR="00822836" w:rsidRPr="00393116" w:rsidRDefault="00822836" w:rsidP="00822836">
      <w:pPr>
        <w:pStyle w:val="Sansinterligne"/>
        <w:rPr>
          <w:rFonts w:ascii="Garamond" w:eastAsia="Times New Roman" w:hAnsi="Garamond" w:cs="Times New Roman"/>
          <w:sz w:val="20"/>
          <w:szCs w:val="20"/>
          <w:lang w:eastAsia="fr-FR"/>
        </w:rPr>
      </w:pPr>
      <w:r w:rsidRPr="00393116">
        <w:rPr>
          <w:rFonts w:ascii="Garamond" w:eastAsia="Times New Roman" w:hAnsi="Garamond" w:cs="Times New Roman"/>
          <w:sz w:val="20"/>
          <w:szCs w:val="20"/>
          <w:lang w:eastAsia="fr-FR"/>
        </w:rPr>
        <w:t>Die unablässige Wiederholung derselben Gedanken über das Verhältnis ihres Vaters zu Frau K. bot der Analyse bei Dora die Gelegenheit zu noch anderer wichtiger Ausbeute.</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Ein solcher Gedankenzug darf ein überstarker, besser ein </w:t>
      </w:r>
      <w:r w:rsidRPr="00393116">
        <w:rPr>
          <w:rFonts w:ascii="Garamond" w:eastAsia="Times New Roman" w:hAnsi="Garamond" w:cs="Times New Roman"/>
          <w:i/>
          <w:iCs/>
          <w:sz w:val="20"/>
          <w:szCs w:val="20"/>
          <w:lang w:val="en-US" w:eastAsia="fr-FR"/>
        </w:rPr>
        <w:t>verstärkter, überwertiger</w:t>
      </w:r>
      <w:r w:rsidRPr="00393116">
        <w:rPr>
          <w:rFonts w:ascii="Garamond" w:eastAsia="Times New Roman" w:hAnsi="Garamond" w:cs="Times New Roman"/>
          <w:sz w:val="20"/>
          <w:szCs w:val="20"/>
          <w:lang w:val="en-US" w:eastAsia="fr-FR"/>
        </w:rPr>
        <w:t xml:space="preserve"> im Sinne Wernickes, genannt werden. Er erweist sich als krankhaft, trotz seines anscheinend korrekten Inhalts, durch die eine Eigentümlichkeit, daß er trotz aller bewußten und willkürlichen Denkbemühungen der Person nicht zersetzt und nicht beseitigt werden kann. Mit einem normalen, noch so intensiven Gedankenzuge wird man endlich fertig. Dora fühlte ganz richtig, daß ihre Gedanken über den Papa eine besondere Beurteilung herausforderten. »Ich kann an nichts anderes denken«, klagte sie wiederholt. »Mein Bruder sagt mir wohl, wir Kinder haben kein Recht, diese Handlungen des Papas zu kritisieren. Wir sollen uns darum nicht kümmern und uns vielleicht sogar freuen, daß er eine Frau gefunden hat, an die er sein Herz hängen kann, da ihn die Mama doch so wenig versteht. Ich sehe das ein und möchte auch so denken wie mein Bruder, aber ich kann nicht. Ich kann es ihm nicht verzeihen.« </w:t>
      </w:r>
      <w:hyperlink r:id="rId997" w:history="1">
        <w:r w:rsidRPr="00393116">
          <w:rPr>
            <w:rFonts w:ascii="Garamond" w:eastAsia="Times New Roman" w:hAnsi="Garamond" w:cs="Times New Roman"/>
            <w:color w:val="0000FF"/>
            <w:sz w:val="20"/>
            <w:szCs w:val="20"/>
            <w:u w:val="single"/>
            <w:lang w:val="en-US" w:eastAsia="fr-FR"/>
          </w:rPr>
          <w:t>[Fußnote]Ein solcher überwertiger Gedanke ist nebst tiefer Verstimmung oft das einzige Symptom eines Krankheitszustandes, der gewöhnlich »Melancholie« genannt wird, sich aber durch Psychoanalyse lösen läßt wie eine Hysterie.</w:t>
        </w:r>
      </w:hyperlink>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Was tut man nun angesichts eines solchen überwertigen Gedankens, nachdem man dessen bewußte Begründung sowie die erfolglosen Einwendungen gegen ihn mitangehört hat? Man sagt sich, </w:t>
      </w:r>
      <w:r w:rsidRPr="00393116">
        <w:rPr>
          <w:rFonts w:ascii="Garamond" w:eastAsia="Times New Roman" w:hAnsi="Garamond" w:cs="Times New Roman"/>
          <w:i/>
          <w:iCs/>
          <w:sz w:val="20"/>
          <w:szCs w:val="20"/>
          <w:lang w:val="en-US" w:eastAsia="fr-FR"/>
        </w:rPr>
        <w:t>daß dieser überstarke Gedankenzug seine Verstärkung dem Unbewußten verdankt</w:t>
      </w:r>
      <w:r w:rsidRPr="00393116">
        <w:rPr>
          <w:rFonts w:ascii="Garamond" w:eastAsia="Times New Roman" w:hAnsi="Garamond" w:cs="Times New Roman"/>
          <w:sz w:val="20"/>
          <w:szCs w:val="20"/>
          <w:lang w:val="en-US" w:eastAsia="fr-FR"/>
        </w:rPr>
        <w:t xml:space="preserve">. Er ist unauflösbar für die Denkarbeit, entweder weil er selbst mit seiner Wurzel bis ins unbewußte, verdrängte Material reicht, oder weil sich ein anderer unbewußter Gedanke hinter ihm verbirgt. Letzterer ist dann meist sein direkter Gegensatz. Gegensätze sind immer eng miteinander verknüpft und häufig so gepaart, </w:t>
      </w:r>
      <w:r w:rsidRPr="00393116">
        <w:rPr>
          <w:rFonts w:ascii="Garamond" w:eastAsia="Times New Roman" w:hAnsi="Garamond" w:cs="Times New Roman"/>
          <w:i/>
          <w:iCs/>
          <w:sz w:val="20"/>
          <w:szCs w:val="20"/>
          <w:lang w:val="en-US" w:eastAsia="fr-FR"/>
        </w:rPr>
        <w:t>daß der eine Gedanke überstark bewußt, sein Widerpart aber verdrängt und unbewußt ist</w:t>
      </w:r>
      <w:r w:rsidRPr="00393116">
        <w:rPr>
          <w:rFonts w:ascii="Garamond" w:eastAsia="Times New Roman" w:hAnsi="Garamond" w:cs="Times New Roman"/>
          <w:sz w:val="20"/>
          <w:szCs w:val="20"/>
          <w:lang w:val="en-US" w:eastAsia="fr-FR"/>
        </w:rPr>
        <w:t xml:space="preserve">. Dieses Verhältnis ist ein Erfolg des Verdrängungsvorganges. Die Verdrängung nämlich ist häufig in der Weise bewerkstelligt worden, daß der Gegensatz des zu verdrängenden Gedankens übermäßig verstärkt wurde. Ich heiße dies </w:t>
      </w:r>
      <w:r w:rsidRPr="00393116">
        <w:rPr>
          <w:rFonts w:ascii="Garamond" w:eastAsia="Times New Roman" w:hAnsi="Garamond" w:cs="Times New Roman"/>
          <w:i/>
          <w:iCs/>
          <w:sz w:val="20"/>
          <w:szCs w:val="20"/>
          <w:lang w:val="en-US" w:eastAsia="fr-FR"/>
        </w:rPr>
        <w:t>Reaktions</w:t>
      </w:r>
      <w:r w:rsidRPr="00393116">
        <w:rPr>
          <w:rFonts w:ascii="Garamond" w:eastAsia="Times New Roman" w:hAnsi="Garamond" w:cs="Times New Roman"/>
          <w:sz w:val="20"/>
          <w:szCs w:val="20"/>
          <w:lang w:val="en-US" w:eastAsia="fr-FR"/>
        </w:rPr>
        <w:t xml:space="preserve">verstärkung, und den einen Gedanken, der sich im Bewußten überstark behauptet und nach Art eines Vorurteils unzersetzbar zeigt, den </w:t>
      </w:r>
      <w:r w:rsidRPr="00393116">
        <w:rPr>
          <w:rFonts w:ascii="Garamond" w:eastAsia="Times New Roman" w:hAnsi="Garamond" w:cs="Times New Roman"/>
          <w:i/>
          <w:iCs/>
          <w:sz w:val="20"/>
          <w:szCs w:val="20"/>
          <w:lang w:val="en-US" w:eastAsia="fr-FR"/>
        </w:rPr>
        <w:t>Reaktionsgedanken</w:t>
      </w:r>
      <w:r w:rsidRPr="00393116">
        <w:rPr>
          <w:rFonts w:ascii="Garamond" w:eastAsia="Times New Roman" w:hAnsi="Garamond" w:cs="Times New Roman"/>
          <w:sz w:val="20"/>
          <w:szCs w:val="20"/>
          <w:lang w:val="en-US" w:eastAsia="fr-FR"/>
        </w:rPr>
        <w:t>. Die beiden Gedanken verhalten sich dann zueinander ungefähr wie die beiden Nadeln eines astatischen Nadelpaares. Mit einem gewissen Überschusse an Intensität hält der Reaktionsgedanke den anstößigen in der Verdrängung zurück; er ist aber dadurch selbst »gedämpft« und gegen die bewußte Denkarbeit gefeit. Das Bewußtmachen des verdrängten Gegensatzes ist dann der Weg, um dem überstarken Gedanken seine Verstärkung zu entziehen.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Man darf aus seinen Erwartungen auch den Fall nicht ausschließen, daß nicht eine der beiden Begründungen der Überwertigkeit, sondern eine Konkurrenz von beiden vorliegt. Es können auch noch andere Komplikationen vorkommen, die sich aber leicht einfügen lassen.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Versuchen wir es bei dem Beispiele, das uns Dora bietet, zunächst mit der ersten Annahme, daß die Wurzel ihrer zwangsartigen Bekümmerung um das Verhältnis des Vaters zu Frau K. ihr selbst unbekannt sei, weil sie im Unbewußten liege. Es ist nicht schwierig, diese Wurzel aus den Verhältnissen und Erscheinungen zu erraten. Ihr Benehmen ging offenbar weit über die Anteilsphäre der Tochter hinaus, sie fühlte und handelte vielmehr wie eine eifersüchtige Frau, wie man es bei ihrer Mutter begreiflich gefunden hätte. Mit ihrer Forderung: »Sie oder ich«, den Szenen, die sie aufführte, und der Selbstmorddrohung, die sie durchblicken ließ, setzte sie sich offenbar an die Stelle der Mutter. Wenn die ihrem Husten zugrunde liegende Phantasie einer sexuellen Situation richtig erraten ist, so trat sie in derselben an die Stelle der Frau K. Sie identifizierte sich also mit den beiden, jetzt und früher vom Vater geliebten Frauen. Der Schluß liegt nahe, daß ihre Neigung in höherem Maße dem Vater zugewendet war, als sie wußte oder gern zugegeben hätte, daß sie in den Vater verliebt war.</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lastRenderedPageBreak/>
        <w:t xml:space="preserve">Solche unbewußte, an ihren abnormen Konsequenzen kenntliche Liebesbeziehungen zwischen Vater und Tochter, Mutter und Sohn habe ich als Auffrischung infantiler Empfindungskeime auffassen gelernt. Ich habe an anderer Stelle </w:t>
      </w:r>
      <w:hyperlink r:id="rId998" w:history="1">
        <w:r w:rsidRPr="00393116">
          <w:rPr>
            <w:rFonts w:ascii="Garamond" w:eastAsia="Times New Roman" w:hAnsi="Garamond" w:cs="Times New Roman"/>
            <w:color w:val="0000FF"/>
            <w:sz w:val="20"/>
            <w:szCs w:val="20"/>
            <w:u w:val="single"/>
            <w:lang w:val="en-US" w:eastAsia="fr-FR"/>
          </w:rPr>
          <w:t xml:space="preserve">[Fußnote]In der </w:t>
        </w:r>
        <w:r w:rsidRPr="00393116">
          <w:rPr>
            <w:rFonts w:ascii="Garamond" w:eastAsia="Times New Roman" w:hAnsi="Garamond" w:cs="Times New Roman"/>
            <w:i/>
            <w:iCs/>
            <w:color w:val="0000FF"/>
            <w:sz w:val="20"/>
            <w:szCs w:val="20"/>
            <w:u w:val="single"/>
            <w:lang w:val="en-US" w:eastAsia="fr-FR"/>
          </w:rPr>
          <w:t>Traumdeutung</w:t>
        </w:r>
        <w:r w:rsidRPr="00393116">
          <w:rPr>
            <w:rFonts w:ascii="Garamond" w:eastAsia="Times New Roman" w:hAnsi="Garamond" w:cs="Times New Roman"/>
            <w:color w:val="0000FF"/>
            <w:sz w:val="20"/>
            <w:szCs w:val="20"/>
            <w:u w:val="single"/>
            <w:lang w:val="en-US" w:eastAsia="fr-FR"/>
          </w:rPr>
          <w:t xml:space="preserve"> (1900 a) und in der dritten der </w:t>
        </w:r>
        <w:r w:rsidRPr="00393116">
          <w:rPr>
            <w:rFonts w:ascii="Garamond" w:eastAsia="Times New Roman" w:hAnsi="Garamond" w:cs="Times New Roman"/>
            <w:i/>
            <w:iCs/>
            <w:color w:val="0000FF"/>
            <w:sz w:val="20"/>
            <w:szCs w:val="20"/>
            <w:u w:val="single"/>
            <w:lang w:val="en-US" w:eastAsia="fr-FR"/>
          </w:rPr>
          <w:t>Abhandlungen zur Sexualtheorie</w:t>
        </w:r>
        <w:r w:rsidRPr="00393116">
          <w:rPr>
            <w:rFonts w:ascii="Garamond" w:eastAsia="Times New Roman" w:hAnsi="Garamond" w:cs="Times New Roman"/>
            <w:color w:val="0000FF"/>
            <w:sz w:val="20"/>
            <w:szCs w:val="20"/>
            <w:u w:val="single"/>
            <w:lang w:val="en-US" w:eastAsia="fr-FR"/>
          </w:rPr>
          <w:t>.</w:t>
        </w:r>
      </w:hyperlink>
      <w:r w:rsidRPr="00393116">
        <w:rPr>
          <w:rFonts w:ascii="Garamond" w:eastAsia="Times New Roman" w:hAnsi="Garamond" w:cs="Times New Roman"/>
          <w:sz w:val="20"/>
          <w:szCs w:val="20"/>
          <w:lang w:val="en-US" w:eastAsia="fr-FR"/>
        </w:rPr>
        <w:t xml:space="preserve"> ausgeführt, wie frühzeitig die sexuelle Attraktion sich zwischen Eltern und Kindern geltend macht, und gezeigt, daß die Ödipusfabel wahrscheinlich als die dichterische Bearbeitung des Typischen an diesen Beziehungen zu verstehen ist. Diese frühzeitige Neigung der Tochter zum Vater, des Sohnes zur Mutter, von der sich wahrscheinlich bei den meisten Menschen eine deutliche Spur findet, muß bei den konstitutionell zur Neurose bestimmten, frühreifen und nach Liebe hungrigen Kindern schon anfänglich intensiver angenommen werden. Es kommen dann gewisse hier nicht zu besprechende Einflüsse zur Geltung, welche die rudimentäre Liebesregung fixieren oder so verstärken, daß noch in den Kinderjahren oder erst zur Zeit der Pubertät etwas aus ihr wird, was einer sexuellen Neigung gleichzustellen ist und was, wie diese, die Libido für sich in Anspruch nimmt </w:t>
      </w:r>
      <w:hyperlink r:id="rId999" w:history="1">
        <w:r w:rsidRPr="00393116">
          <w:rPr>
            <w:rFonts w:ascii="Garamond" w:eastAsia="Times New Roman" w:hAnsi="Garamond" w:cs="Times New Roman"/>
            <w:color w:val="0000FF"/>
            <w:sz w:val="20"/>
            <w:szCs w:val="20"/>
            <w:u w:val="single"/>
            <w:lang w:val="en-US" w:eastAsia="fr-FR"/>
          </w:rPr>
          <w:t>[Fußnote]Das hiefür entscheidende Moment ist wohl das frühzeitige Auftreten echter Genitalsensationen, sei es spontaner oder durch Verführung und Masturbation hervorgerufener. (S. unten.)</w:t>
        </w:r>
      </w:hyperlink>
      <w:r w:rsidRPr="00393116">
        <w:rPr>
          <w:rFonts w:ascii="Garamond" w:eastAsia="Times New Roman" w:hAnsi="Garamond" w:cs="Times New Roman"/>
          <w:sz w:val="20"/>
          <w:szCs w:val="20"/>
          <w:lang w:val="en-US" w:eastAsia="fr-FR"/>
        </w:rPr>
        <w:t>. Die äußeren Verhältnisse bei unserer Patientin sind einer solchen Annahme nicht gerade ungünstig. Ihre Anlage hatte sie immer zum Vater hingezogen, seine vielen Erkrankungen mußten ihre Zärtlichkeit für ihn steigern; in manchen Krankheiten wurde niemand anders als sie von ihm zu den kleinen Leistungen der Krankenpflege zugelassen; stolz auf ihre frühzeitig entwickelte Intelligenz hatte er sie schon als Kind zur Vertrauten herangezogen. Durch das Auftreten von Frau K. war wirklich nicht die Mutter, sondern sie aus mehr als einer Stellung verdrängt worden.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Als ich Dora mitteilte, ich müßte annehmen, daß ihre Neigung zum Vater schon frühzeitig den Charakter voller Verliebtheit besessen habe, gab sie zwar ihre gewöhnliche Antwort: »Ich erinnere mich nicht daran«, berichtete aber sofort etwas Analoges von ihrer 7jährigen Kusine (von Mutterseite), in der sie häufig wie eine Spiegelung ihrer eigenen Kindheit zu sehen meinte. Die Kleine war wieder einmal Zeugin einer erregten Auseinandersetzung zwischen den Eltern gewesen und hatte Dora, die darauf zu Besuch kam, ins Ohr geflüstert: »Du kannst dir nicht denken, wie ich diese Person (auf die Mutter deutend) hasse! Und wenn sie einmal stirbt, heirate ich den Papa.« Ich bin gewohnt, in solchen Einfällen, die etwas zum Inhalte meiner Behauptung Stimmendes vorbringen, eine Bestätigung aus dem Unbewußten zu sehen. Ein anderes »Ja« läßt sich aus dem Unbewußten nicht vernehmen; ein unbewußtes »Nein« gibt es überhaupt nicht </w:t>
      </w:r>
      <w:hyperlink r:id="rId1000" w:history="1">
        <w:r w:rsidRPr="00393116">
          <w:rPr>
            <w:rFonts w:ascii="Garamond" w:eastAsia="Times New Roman" w:hAnsi="Garamond" w:cs="Times New Roman"/>
            <w:color w:val="0000FF"/>
            <w:sz w:val="20"/>
            <w:szCs w:val="20"/>
            <w:u w:val="single"/>
            <w:lang w:val="en-US" w:eastAsia="fr-FR"/>
          </w:rPr>
          <w:t>[Fußnote]Eine andere, sehr merkwürdige und durchaus zuverlässige Form der Bestätigung aus dem Unbewußten, die ich damals noch nicht kannte, ist der Ausruf des Patienten: »Das habe ich nicht gedacht« oder »daran habe ich nicht gedacht«. Diese Äußerung kann man geradezu übersetzen: Ja, das war mir unbewußt.</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Diese Verliebtheit in den Vater hatte sich Jahre hindurch nicht geäußert; vielmehr war sie mit derselben Frau, die sie beim Vater verdrängt hatte, eine lange Zeit im herzlichsten Einvernehmen gestanden und hatte deren Verhältnis mit dem Vater, wie wir aus ihren Selbstvorwürfen wissen, noch begünstigt. Diese Liebe war also neuerdings aufgefrischt worden, und wenn dies der Fall war, dürfen wir fragen, zu welchem Zwecke es geschah. Offenbar als Reaktionssymptom, um etwas anderes zu unterdrücken, was also im Unbewußten noch mächtig war. Wie die Dinge lagen, mußte ich in erster Linie daran denken, daß die Liebe zu Herrn K. dieses Unterdrückte sei. Ich mußte annehmen, ihre Verliebtheit dauere noch fort, habe aber seit der Szene am See – aus unbekannten Motiven – ein heftiges Sträuben gegen sich, und das Mädchen habe die alte Neigung zum Vater hervorgeholt und verstärkt, um von der ihr peinlich gewordenen Liebe ihrer ersten Mädchenjahre in ihrem Bewußtsein nichts mehr merken zu müssen. Dann bekam ich auch Einsicht in einen Konflikt, der geeignet war, das Seelenleben des Mädchens zu zerrütten. Sie war wohl einerseits voll Bedauern, den Antrag des Mannes zurückgewiesen zuhaben, voll Sehnsucht nach seiner Person und den kleinen Zeichen seiner Zärtlichkeit; anderseits sträubten sich mächtige Motive, unter denen ihr Stolz leicht zu erraten war, gegen diese zärtlichen und sehnsüchtigen Regungen. So war sie dazu gekommen, sich einzureden, sie sei mit der Person des Herrn K. fertig – dies war ihr Gewinn bei diesem typischen Verdrängungsvorgange –, und doch mußte sie zum Schutze gegen die beständig zum Bewußtsein andrängende Verliebtheit die infantile Neigung zum Vater anrufen und übertreiben. Daß sie dann fast unausgesetzt von eifersüchtiger Erbitterung beherrscht war, schien noch einer weiteren Determinierung fähig </w:t>
      </w:r>
      <w:hyperlink r:id="rId1001" w:history="1">
        <w:r w:rsidRPr="00393116">
          <w:rPr>
            <w:rFonts w:ascii="Garamond" w:eastAsia="Times New Roman" w:hAnsi="Garamond" w:cs="Times New Roman"/>
            <w:color w:val="0000FF"/>
            <w:sz w:val="20"/>
            <w:szCs w:val="20"/>
            <w:u w:val="single"/>
            <w:lang w:val="en-US" w:eastAsia="fr-FR"/>
          </w:rPr>
          <w:t>[Fußnote]Welcher wir auch begegnen werden.</w:t>
        </w:r>
      </w:hyperlink>
      <w:r w:rsidRPr="00393116">
        <w:rPr>
          <w:rFonts w:ascii="Garamond" w:eastAsia="Times New Roman" w:hAnsi="Garamond" w:cs="Times New Roman"/>
          <w:sz w:val="20"/>
          <w:szCs w:val="20"/>
          <w:lang w:val="en-US" w:eastAsia="fr-FR"/>
        </w:rPr>
        <w: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Es widersprach keineswegs meiner Erwartung, daß ich mit dieser Darlegung bei Dora den entschiedensten Widerspruch hervorrief. Das »Nein«, das man vom Patienten hört, nachdem man seiner bewußten Wahrnehmung zuerst den verdrängten Gedanken vorgelegt hat, konstatiert bloß die Verdrängung und deren Entschiedenheit, mißt gleichsam die Stärke derselben. Wenn man dieses Nein nicht als den Ausdruck eines unparteiischen Urteils, dessen der Kranke ja nicht fähig ist, auffaßt, sondern darüber hinweggeht und die Arbeit fortsetzt, so stellen sich bald die ersten Beweise ein, daß Nein in solchem Falle das gewünschte Ja bedeutet. Sie gab zu, daß sie Herrn K. nicht in dem Maße böse sein könne, wie er es um sie verdient habe. Sie erzählte, daß sie eines Tages auf der Straße Herrn K. begegnet sei, während sie in Begleitung einer Kusine war, die ihn nicht kannte. Die Kusine rief plötzlich: »Dora, was ist dir denn? Du bist ja totenbleich geworden!« Sie hatte nichts von dieser Veränderung an sich gefühlt, mußte aber von mir hören, daß Mienenspiel und Affektausdruck eher dem Unbewußten gehorchen als dem Bewußten und für das erstere verräterisch seien </w:t>
      </w:r>
      <w:hyperlink r:id="rId1002" w:history="1">
        <w:r w:rsidRPr="00393116">
          <w:rPr>
            <w:rFonts w:ascii="Garamond" w:eastAsia="Times New Roman" w:hAnsi="Garamond" w:cs="Times New Roman"/>
            <w:color w:val="0000FF"/>
            <w:sz w:val="20"/>
            <w:szCs w:val="20"/>
            <w:u w:val="single"/>
            <w:lang w:val="en-US" w:eastAsia="fr-FR"/>
          </w:rPr>
          <w:t xml:space="preserve">[Fußnote]Vgl. »Ruhig mag ich Euch erscheinen, </w:t>
        </w:r>
        <w:r w:rsidRPr="00393116">
          <w:rPr>
            <w:rFonts w:ascii="Garamond" w:eastAsia="Times New Roman" w:hAnsi="Garamond" w:cs="Times New Roman"/>
            <w:color w:val="0000FF"/>
            <w:sz w:val="20"/>
            <w:szCs w:val="20"/>
            <w:u w:val="single"/>
            <w:lang w:val="en-US" w:eastAsia="fr-FR"/>
          </w:rPr>
          <w:br/>
          <w:t>Ruhig gehen sehn.«</w:t>
        </w:r>
      </w:hyperlink>
      <w:r w:rsidRPr="00393116">
        <w:rPr>
          <w:rFonts w:ascii="Garamond" w:eastAsia="Times New Roman" w:hAnsi="Garamond" w:cs="Times New Roman"/>
          <w:sz w:val="20"/>
          <w:szCs w:val="20"/>
          <w:lang w:val="en-US" w:eastAsia="fr-FR"/>
        </w:rPr>
        <w:t xml:space="preserve">. Ein andermal kam sie nach mehreren Tagen gleichmäßig heiterer Stimmung in der bösesten Laune zu mir, für die sie eine Erklärung nicht wußte. Sie sei heute so zuwider, erklärte sie; es sei der Geburtstag des Onkels und sie bringe es nicht über sich, ihm zu gratulieren; sie wisse nicht, warum. Meine Deutungskunst war an </w:t>
      </w:r>
      <w:r w:rsidRPr="00393116">
        <w:rPr>
          <w:rFonts w:ascii="Garamond" w:eastAsia="Times New Roman" w:hAnsi="Garamond" w:cs="Times New Roman"/>
          <w:sz w:val="20"/>
          <w:szCs w:val="20"/>
          <w:lang w:val="en-US" w:eastAsia="fr-FR"/>
        </w:rPr>
        <w:lastRenderedPageBreak/>
        <w:t>dem Tage stumpf; ich ließ sie weitersprechen, und sie erinnerte sich plötzlich, daß heute ja auch Herr K. Geburtstag habe, was ich nicht versäumte, gegen sie zu verwerten. Es war dann auch nicht schwer zu erklären, warum die reichen Geschenke zu ihrem eigenen Geburtstage einige Tage vorher ihr keine Freude bereitet hatten. Es fehlte das eine Geschenk, das von Herrn K., welches ihr offenbar früher das wertvollste gewesen war.</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Indes hielt sie noch längere Zeit an ihrem Widerspruche gegen meine Behauptung fest, bis gegen Ende der Analyse der entscheidende Beweis für deren Richtigkeit geliefert wurde.</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Ich muß nun einer weiteren Komplikation gedenken, der ich gewiß keinen Raum gönnen würde, sollte ich als Dichter einen derartigen Seelenzustand für eine Novelle erfinden, anstatt ihn als Arzt zu zergliedern. Das Element, auf das ich jetzt hinweisen werde, kann den schönen, poesiegerechten Konflikt, den wir bei Dora annehmen dürfen, nur trüben und verwischen; es fiele mit Recht der Zensur des Dichters, der ja auch vereinfacht und abstrahiert, wo er als Psychologe auftritt, zum Opfer. In der Wirklichkeit aber, die ich hier zu schildern bemüht bin, ist die Komplikation der Motive, die Häufung und Zusammensetzung seelischer Regungen, kurz die Überdeterminierung Regel. Hinter dem überwertigen Gedankenzug, der sich mit dem Verhältnis des Vaters zu Frau K. beschäftigte, versteckte sich nämlich auch eine Eifersuchtsregung, deren Objekt diese Frau war – eine Regung also, die nur auf der Neigung zum gleichen Geschlecht beruhen konnte. Es ist längst bekannt und vielfach hervorgehoben, daß sich bei Knaben und Mädchen in den Pubertätsjahren deutliche Anzeichen von der Existenz gleichgeschlechtlicher Neigung auch normalerweise beobachten lassen. Die schwärmerische Freundschaft für eine Schulkollegin mit Schwüren, Küssen, dem Versprechen ewiger Korrespondenz und mit aller Empfindlichkeit der Eifersucht ist der gewöhnliche Vorläufer der ersten intensiveren Verliebtheit in einen Mann. Unter günstigen Verhältnissen versiegt die homosexuelle Strömung dann oft völlig; wo sich das Glück in der Liebe zum Mann nicht einstellt, wird sie oft noch in späteren Jahren von der Libido wieder geweckt und bis zu der oder jener Intensität gesteigert. Ist so viel bei Gesunden mühelos festzustellen, so werden wir im Anschlüsse an frühere Bemerkungen über die bessere Ausbildung der normalen Perversionskeime bei den Neurotikern auch eine stärkere homosexuelle Anlage in deren Konstitution zu finden erwarten. Es muß wohl so sein, denn ich bin noch bei keiner Psychoanalyse eines Mannes oder Weibes durchgekommen, ohne eine solche recht bedeutsame homosexuelle Strömung zu berücksichtigen. Wo bei hysterischen Frauen und Mädchen die dem Manne geltende sexuelle Libido eine energische Unterdrückung erfahren hat, da findet man regelmäßig die dem Weibe geltende durch Vikariieren verstärkt und selbst teilweise bewußt.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Ich werde dieses wichtige und besonders für die Hysterie des Mannes zum Verständnis unentbehrliche Thema hier nicht weiter behandeln, weil die Analyse Doras zu Ende kam, ehe sie über diese Verhältnisse bei ihr Licht verbreiten konnte. Ich erinnere aber an jene Gouvernante, mit der sie anfangs in intimem Gedankenaustausch lebte, bis sie merkte, daß sie von ihr nicht ihrer eigenen Person, sondern des Vaters wegen geschätzt und gut behandelt worden sei. Dann zwang sie dieselbe, das Haus zu verlassen. Sie verweilte auch auffällig häufig und mit besonderer Betonung bei der Erzählung einer anderen Entfremdung, die ihr selbst rätselhaft vorkam. Mit ihrer zweiten Kusine, derselben, die später Braut wurde, hatte sie sich immer besonders gut verstanden und allerlei Geheimnisse mit ihr geteilt. Als nun der Vater zum erstenmal nach dem abgebrochenen Besuch am See wieder nach B. fuhr und Dora es natürlich ablehnte, ihn zu begleiten, wurde diese Kusine aufgefordert, mit dem Vater zu reisen, und nahm es an. Dora fühlte sich von da an erkaltet gegen sie und verwunderte sich selbst, wie gleichgültig sie ihr geworden war, obwohl sie ja zugestand, sie könne ihr keinen großen Vorwurf machen. Diese Empfindlichkeiten veranlaßten mich zu fragen, welches ihr Verhältnis zu Frau K. bis zum Zerwürfnis gewesen war. Ich erfuhr dann, daß die junge Frau und das kaum erwachsene Mädchen Jahre hindurch in der größten Vertraulichkeit gelebt hatten. </w:t>
      </w:r>
      <w:r w:rsidRPr="00393116">
        <w:rPr>
          <w:rFonts w:ascii="Garamond" w:eastAsia="Times New Roman" w:hAnsi="Garamond" w:cs="Times New Roman"/>
          <w:sz w:val="20"/>
          <w:szCs w:val="20"/>
          <w:lang w:eastAsia="fr-FR"/>
        </w:rPr>
        <w:t xml:space="preserve">Wenn Dora bei den K. wohnte, teilte sie das Schlafzimmer mit der Frau; der Mann wurde ausquartiert. </w:t>
      </w:r>
      <w:r w:rsidRPr="00393116">
        <w:rPr>
          <w:rFonts w:ascii="Garamond" w:eastAsia="Times New Roman" w:hAnsi="Garamond" w:cs="Times New Roman"/>
          <w:sz w:val="20"/>
          <w:szCs w:val="20"/>
          <w:lang w:val="en-US" w:eastAsia="fr-FR"/>
        </w:rPr>
        <w:t>Sie war die Vertraute und Beraterin der Frau in allen Schwierigkeiten ihres ehelichen Lebens gewesen; es gab nichts, worüber sie nicht gesprochen hatten. Medea war ganz zufrieden damit, daß Kreusa die beiden Kinder an sich zog; sie tat gewiß auch nichts dazu, um den Verkehr des Vaters dieser Kinder mit dem Mädchen zu stören. Wie Dora es zustande brachte, den Mann zu lieben, über den ihre geliebte Freundin so viel Schlechtes zu sagen wußte, ist ein interessantes psychologisches Problem, das wohl lösbar wird durch die Einsicht, daß im Unbewußten die Gedanken besonders bequem nebeneinander wohnen, auch Gegensätze sich ohne Widerstreit vertragen, was ja oft genug auch noch im Bewußten so bleibt.</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Wenn Dora von Frau K. erzählte, so lobte sie deren »entzückend weißen Körper« in einem Ton, der eher der Verliebten als der besiegten Rivalin entsprach. Mehr wehmütig als bitter teilte sie mir ein andermal mit, sie sei überzeugt, daß die Geschenke, die der Papa ihr gebracht, von Frau K. besorgt worden seien; sie erkenne deren Geschmack. Ein andermal hob sie hervor, daß ihr offenbar durch die Vermittlung von Frau K. Schmuckgegenstände zum Geschenk gemacht worden seien, ganz ähnlich wie die, welche sie bei Frau K. gesehen und sich damals laut gewünscht habe. Ja, ich muß überhaupt sagen, ich hörte nicht ein hartes oder erbostes Wort von ihr über die Frau, in der sie doch nach dem Standpunkt ihrer überwertigen Gedanken die Urheberin ihres Unglücks hätte sehen müssen. Sie benahm sich wie inkonsequent, aber die scheinbare Inkonsequenz war eben der Ausdruck einer komplizierenden Gefühlsströmung. Denn wie hatte sich die schwärmerisch geliebte Freundin gegen sie benommen? Nachdem Dora ihre Beschuldigung gegen Herrn K. vorgebracht und dieser vom Vater schriftlich zur Rede gestellt wurde, antwortete er zuerst mit Beteuerungen seiner Hochachtung und erbot sich, nach der Fabrikstadt zu kommen, um alle Mißverständnisse aufzuklären. Einige Wochen später, als ihn der Vater in B. sprach, war von Hochachtung nicht mehr die Rede. Er setzte das Mädchen herunter und spielte als Trumpf aus: Ein Mädchen, das solche Bücher liest und sich für solche Dinge interessiert, das hat keinen Anspruch auf die Achtung eines Mannes. Frau K. hatte sie also </w:t>
      </w:r>
      <w:r w:rsidRPr="00393116">
        <w:rPr>
          <w:rFonts w:ascii="Garamond" w:eastAsia="Times New Roman" w:hAnsi="Garamond" w:cs="Times New Roman"/>
          <w:sz w:val="20"/>
          <w:szCs w:val="20"/>
          <w:lang w:val="en-US" w:eastAsia="fr-FR"/>
        </w:rPr>
        <w:lastRenderedPageBreak/>
        <w:t>verraten und angeschwärzt; nur mit ihr hatte sie über Mantegazza und über verfängliche Themata gesprochen. Es war wieder derselbe Fall wie mit der Gouvernante; auch Frau K. hatte sie nicht um ihrer eigenen Person willen geliebt, sondern wegen des Vaters. Frau K. hatte sie unbedenklich geopfert, um in ihrem Verhältnis mit dem Vater nicht gestört zu werden. Vielleicht, daß diese Kränkung ihr näher ging, pathogen wirksamer war als die andere, mit der sie jene verdecken wollte, daß der Vater sie geopfert. Wies nicht die eine so hartnäckig festgehaltene Amnesie in betreff der Quellen ihrer verfänglichen Kenntnis direkt auf den Gefühlswert der Beschuldigung und demnach auf den Verrat durch die Freundin hin?</w:t>
      </w:r>
    </w:p>
    <w:p w:rsidR="00822836" w:rsidRPr="00393116" w:rsidRDefault="00822836" w:rsidP="00822836">
      <w:pPr>
        <w:pStyle w:val="Sansinterligne"/>
        <w:rPr>
          <w:rFonts w:ascii="Garamond" w:eastAsia="Times New Roman" w:hAnsi="Garamond" w:cs="Times New Roman"/>
          <w:sz w:val="20"/>
          <w:szCs w:val="20"/>
          <w:lang w:val="en-US" w:eastAsia="fr-FR"/>
        </w:rPr>
      </w:pPr>
      <w:r w:rsidRPr="00393116">
        <w:rPr>
          <w:rFonts w:ascii="Garamond" w:eastAsia="Times New Roman" w:hAnsi="Garamond" w:cs="Times New Roman"/>
          <w:sz w:val="20"/>
          <w:szCs w:val="20"/>
          <w:lang w:val="en-US" w:eastAsia="fr-FR"/>
        </w:rPr>
        <w:t xml:space="preserve">Ich glaube also mit der Annahme nicht irrezugehen, daß der überwertige Gedankenzug Doras, der sich mit dem Verhältnis des Vaters zur Frau K. beschäftigte, bestimmt war nicht nur zur Unterdrückung der einst bewußt gewesenen Liebe zu Herrn K., sondern auch die in tieferem Sinne unbewußte Liebe zu Frau K. zu verdecken hatte. Zu letzterer Strömung stand er im Verhältnis des direkten Gegensatzes. Sie sagte sich unablässig vor, daß der Papa sie dieser Frau geopfert habe, demonstrierte geräuschvoll, daß sie ihr den Besitz des Papas nicht gönne, und verbarg sich so das Gegenteil, daß sie dem Papa die Liebe dieser Frau nicht gönnen konnte und der geliebten Frau die Enttäuschung über ihren Verrat nicht vergeben hatte. Die eifersüchtige Regung des Weibes war im Unbewußten an eine wie von einem Mann empfundene Eifersucht gekoppelt. Diese männlichen oder, wie man besser sagt, </w:t>
      </w:r>
      <w:r w:rsidRPr="00393116">
        <w:rPr>
          <w:rFonts w:ascii="Garamond" w:eastAsia="Times New Roman" w:hAnsi="Garamond" w:cs="Times New Roman"/>
          <w:i/>
          <w:iCs/>
          <w:sz w:val="20"/>
          <w:szCs w:val="20"/>
          <w:lang w:val="en-US" w:eastAsia="fr-FR"/>
        </w:rPr>
        <w:t>gynäkophilen</w:t>
      </w:r>
      <w:r w:rsidRPr="00393116">
        <w:rPr>
          <w:rFonts w:ascii="Garamond" w:eastAsia="Times New Roman" w:hAnsi="Garamond" w:cs="Times New Roman"/>
          <w:sz w:val="20"/>
          <w:szCs w:val="20"/>
          <w:lang w:val="en-US" w:eastAsia="fr-FR"/>
        </w:rPr>
        <w:t xml:space="preserve"> Gefühlsströmungen sind für das unbewußte Liebesleben der hysterischen Mädchen als typisch zu betrachten.</w:t>
      </w:r>
    </w:p>
    <w:p w:rsidR="00822836" w:rsidRDefault="00822836" w:rsidP="00822836">
      <w:pPr>
        <w:rPr>
          <w:rFonts w:ascii="Garamond" w:hAnsi="Garamond"/>
          <w:sz w:val="20"/>
          <w:szCs w:val="20"/>
          <w:lang w:val="en-US"/>
        </w:rPr>
      </w:pPr>
      <w:r>
        <w:rPr>
          <w:rFonts w:ascii="Garamond" w:hAnsi="Garamond"/>
          <w:sz w:val="20"/>
          <w:szCs w:val="20"/>
          <w:lang w:val="en-US"/>
        </w:rPr>
        <w:br w:type="page"/>
      </w:r>
    </w:p>
    <w:p w:rsidR="00822836" w:rsidRPr="00244833" w:rsidRDefault="00B437A1" w:rsidP="00822836">
      <w:pPr>
        <w:pStyle w:val="Sansinterligne"/>
        <w:rPr>
          <w:rFonts w:ascii="Garamond" w:hAnsi="Garamond"/>
          <w:b/>
          <w:sz w:val="20"/>
          <w:szCs w:val="20"/>
          <w:lang w:val="en-US"/>
        </w:rPr>
      </w:pPr>
      <w:hyperlink w:anchor="DoraInhalt" w:history="1">
        <w:r w:rsidR="00822836" w:rsidRPr="00244833">
          <w:rPr>
            <w:rStyle w:val="Lienhypertexte"/>
            <w:rFonts w:ascii="Garamond" w:hAnsi="Garamond"/>
            <w:b/>
            <w:sz w:val="20"/>
            <w:szCs w:val="20"/>
            <w:lang w:val="en-US"/>
          </w:rPr>
          <w:t>II. De</w:t>
        </w:r>
        <w:bookmarkStart w:id="223" w:name="Dora2"/>
        <w:bookmarkEnd w:id="223"/>
        <w:r w:rsidR="00822836" w:rsidRPr="00244833">
          <w:rPr>
            <w:rStyle w:val="Lienhypertexte"/>
            <w:rFonts w:ascii="Garamond" w:hAnsi="Garamond"/>
            <w:b/>
            <w:sz w:val="20"/>
            <w:szCs w:val="20"/>
            <w:lang w:val="en-US"/>
          </w:rPr>
          <w:t>r erste Traum</w:t>
        </w:r>
      </w:hyperlink>
    </w:p>
    <w:p w:rsidR="00822836" w:rsidRDefault="00822836" w:rsidP="00822836">
      <w:pPr>
        <w:pStyle w:val="Sansinterligne"/>
        <w:rPr>
          <w:rFonts w:ascii="Garamond" w:hAnsi="Garamond"/>
          <w:sz w:val="20"/>
          <w:szCs w:val="20"/>
          <w:lang w:val="en-US"/>
        </w:rPr>
      </w:pP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Als wir gerade Aussicht hatten, einen dunkeln Punkt in dem Kinderleben Doras durch das Material, welches sich zur Analyse drängte, aufzuhellen, berichtete Dora, sie habe einen Traum, den sie in genau der nämlichen Weise schon wiederholt geträumt, in einer der letzten Nächte neuerlich gehabt. Ein periodisch wiederkehrender Traum war schon dieses Charakters wegen besonders geeignet, meine Neugierde zu wecken; im Interesse der Behandlung durfte man ja die Einflechtung dieses Traumes in den Zusammenhang der Analyse ins Auge fassen. Ich beschloß also, diesen Traum besonders sorgfältig zu erforschen.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 Traum: » </w:t>
      </w:r>
      <w:r w:rsidRPr="00393116">
        <w:rPr>
          <w:rFonts w:ascii="Garamond" w:hAnsi="Garamond"/>
          <w:i/>
          <w:iCs/>
          <w:sz w:val="20"/>
          <w:szCs w:val="20"/>
          <w:lang w:val="en-US"/>
        </w:rPr>
        <w:t>In einem Haus brennt es</w:t>
      </w:r>
      <w:hyperlink r:id="rId1003"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Es hat nie bei uns einen wirklichen Brand gegeben, antwortete sie dann auf meine Erkundigung.</w:t>
        </w:r>
      </w:hyperlink>
      <w:r w:rsidRPr="00393116">
        <w:rPr>
          <w:rFonts w:ascii="Garamond" w:hAnsi="Garamond"/>
          <w:sz w:val="20"/>
          <w:szCs w:val="20"/>
          <w:lang w:val="en-US"/>
        </w:rPr>
        <w:t xml:space="preserve">, erzählte Dora, </w:t>
      </w:r>
      <w:r w:rsidRPr="00393116">
        <w:rPr>
          <w:rFonts w:ascii="Garamond" w:hAnsi="Garamond"/>
          <w:i/>
          <w:iCs/>
          <w:sz w:val="20"/>
          <w:szCs w:val="20"/>
          <w:lang w:val="en-US"/>
        </w:rPr>
        <w:t>der Vater steht vor meinem Bett und weckt mich auf. Ich kleide mich schnell an. Die Mama will noch ihr Schmuckkästchen retten, der Papa sagt aber: Ich will nicht, daß ich und meine beiden Kinder wegen deines Schmuckkästchens verbrennen. Wir eilen herunter, und sowie ich draußen bin, wache ich auf.</w:t>
      </w:r>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 es ein wiederkehrender Traum ist, frage ich natürlich, wann sie ihn zuerst geträumt. – Das weiß sie nicht. Sie erinnert sich aber, daß sie den Traum in L. (dem Orte am See, wo die Szene mit Herrn K. vorfiel) in drei Nächten hintereinander gehabt, dann kam er vor einigen Tagen hier wieder </w:t>
      </w:r>
      <w:hyperlink r:id="rId1004"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Es läßt sich aus dem Inhalt nachweisen, daß der Traum in L. </w:t>
        </w:r>
        <w:r w:rsidRPr="00393116">
          <w:rPr>
            <w:rStyle w:val="innerfusslink"/>
            <w:rFonts w:ascii="Garamond" w:hAnsi="Garamond"/>
            <w:i/>
            <w:iCs/>
            <w:sz w:val="20"/>
            <w:szCs w:val="20"/>
            <w:lang w:val="en-US"/>
          </w:rPr>
          <w:t>zuerst</w:t>
        </w:r>
        <w:r w:rsidRPr="00393116">
          <w:rPr>
            <w:rStyle w:val="innerfusslink"/>
            <w:rFonts w:ascii="Garamond" w:hAnsi="Garamond"/>
            <w:sz w:val="20"/>
            <w:szCs w:val="20"/>
            <w:lang w:val="en-US"/>
          </w:rPr>
          <w:t xml:space="preserve"> geträumt worden ist.</w:t>
        </w:r>
      </w:hyperlink>
      <w:r w:rsidRPr="00393116">
        <w:rPr>
          <w:rFonts w:ascii="Garamond" w:hAnsi="Garamond"/>
          <w:sz w:val="20"/>
          <w:szCs w:val="20"/>
          <w:lang w:val="en-US"/>
        </w:rPr>
        <w:t>. – Die so hergestellte Verknüpfung des Traumes mit den Ereignissen in L. erhöht natürlich meine Erwartungen in betreff der Traumlösung. Ich möchte aber zunächst den Anlaß für seine letzte Wiederkehr erfahren und fordere darum Dora, die bereits durch einige kleine, vorher analysierte Beispiele für die Traumdeutung geschult ist, auf, sich den Traum zu zerlegen und mir mitzuteilen, was ihr zu ihm einfällt.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Sie sagt: »Etwas, was aber nicht dazu gehören kann, denn es ist ganz frisch, während ich den Traum gewiß schon früher gehabt habe.«</w:t>
      </w:r>
    </w:p>
    <w:p w:rsidR="00822836" w:rsidRPr="00393116" w:rsidRDefault="00822836" w:rsidP="00822836">
      <w:pPr>
        <w:pStyle w:val="Sansinterligne"/>
        <w:rPr>
          <w:rFonts w:ascii="Garamond" w:hAnsi="Garamond"/>
          <w:sz w:val="20"/>
          <w:szCs w:val="20"/>
        </w:rPr>
      </w:pPr>
      <w:r w:rsidRPr="00393116">
        <w:rPr>
          <w:rFonts w:ascii="Garamond" w:hAnsi="Garamond"/>
          <w:sz w:val="20"/>
          <w:szCs w:val="20"/>
        </w:rPr>
        <w:t>Das macht nichts, nur zu; es wird eben das letzte dazu Passende sein.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rPr>
        <w:t xml:space="preserve">»Also der Papa hat in diesen Tagen mit der Mama einen Streit gehabt, weil sie nachts das Speisezimmer absperrt. Das Zimmer meines Bruders hat nämlich keinen eigenen Ausgang, sondern ist nur durchs Speisezimmer zugänglich. </w:t>
      </w:r>
      <w:r w:rsidRPr="00393116">
        <w:rPr>
          <w:rFonts w:ascii="Garamond" w:hAnsi="Garamond"/>
          <w:sz w:val="20"/>
          <w:szCs w:val="20"/>
          <w:lang w:val="en-US"/>
        </w:rPr>
        <w:t>Der Papa will nicht, daß der Bruder bei Nacht so abgesperrt sein soll. Er hat gesagt, das ginge nicht; es könnte doch bei Nacht etwas passieren, daß man hinaus muß.«</w:t>
      </w:r>
    </w:p>
    <w:p w:rsidR="00822836" w:rsidRPr="00393116" w:rsidRDefault="00822836" w:rsidP="00822836">
      <w:pPr>
        <w:pStyle w:val="Sansinterligne"/>
        <w:rPr>
          <w:rFonts w:ascii="Garamond" w:hAnsi="Garamond"/>
          <w:sz w:val="20"/>
          <w:szCs w:val="20"/>
        </w:rPr>
      </w:pPr>
      <w:r w:rsidRPr="00393116">
        <w:rPr>
          <w:rFonts w:ascii="Garamond" w:hAnsi="Garamond"/>
          <w:sz w:val="20"/>
          <w:szCs w:val="20"/>
        </w:rPr>
        <w:t>Das haben Sie nun auf Feuersgefahr bezogen?</w:t>
      </w:r>
    </w:p>
    <w:p w:rsidR="00822836" w:rsidRPr="00393116" w:rsidRDefault="00822836" w:rsidP="00822836">
      <w:pPr>
        <w:pStyle w:val="Sansinterligne"/>
        <w:rPr>
          <w:rFonts w:ascii="Garamond" w:hAnsi="Garamond"/>
          <w:sz w:val="20"/>
          <w:szCs w:val="20"/>
        </w:rPr>
      </w:pPr>
      <w:r w:rsidRPr="00393116">
        <w:rPr>
          <w:rFonts w:ascii="Garamond" w:hAnsi="Garamond"/>
          <w:sz w:val="20"/>
          <w:szCs w:val="20"/>
        </w:rPr>
        <w:t>»Ja.«</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rPr>
        <w:t xml:space="preserve">Ich bitte Sie, merken Sie sich Ihre eigenen Ausdrücke wohl. Wir werden sie vielleicht brauchen. </w:t>
      </w:r>
      <w:r w:rsidRPr="00393116">
        <w:rPr>
          <w:rFonts w:ascii="Garamond" w:hAnsi="Garamond"/>
          <w:sz w:val="20"/>
          <w:szCs w:val="20"/>
          <w:lang w:val="en-US"/>
        </w:rPr>
        <w:t xml:space="preserve">Sie haben gesagt: Daß </w:t>
      </w:r>
      <w:r w:rsidRPr="00393116">
        <w:rPr>
          <w:rFonts w:ascii="Garamond" w:hAnsi="Garamond"/>
          <w:i/>
          <w:iCs/>
          <w:sz w:val="20"/>
          <w:szCs w:val="20"/>
          <w:lang w:val="en-US"/>
        </w:rPr>
        <w:t>bei Nacht etwas passieren kann, daß man hinaus muß</w:t>
      </w:r>
      <w:hyperlink r:id="rId1005"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Ich greife diese Worte heraus, weil sie mich stutzig machen. Sie klingen mir zweideutig. Spricht man nicht mit denselben Worten von gewissen körperlichen Bedürfnissen? Zweideutige Worte sind aber wie » </w:t>
        </w:r>
        <w:r w:rsidRPr="00393116">
          <w:rPr>
            <w:rStyle w:val="innerfusslink"/>
            <w:rFonts w:ascii="Garamond" w:hAnsi="Garamond"/>
            <w:i/>
            <w:iCs/>
            <w:sz w:val="20"/>
            <w:szCs w:val="20"/>
            <w:lang w:val="en-US"/>
          </w:rPr>
          <w:t>Wechsel</w:t>
        </w:r>
        <w:r w:rsidRPr="00393116">
          <w:rPr>
            <w:rStyle w:val="innerfusslink"/>
            <w:rFonts w:ascii="Garamond" w:hAnsi="Garamond"/>
            <w:sz w:val="20"/>
            <w:szCs w:val="20"/>
            <w:lang w:val="en-US"/>
          </w:rPr>
          <w:t>« für den Assoziationsverlauf. Stellt man den Wechsel anders, als er im Trauminhalt eingestellt erscheint, so kommt man wohl auf das Geleise, auf dem sich die gesuchten und noch verborgenen Gedanken hinter dem Traum bewegen.</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Dora hat nun aber die Verbindung zwischen dem rezenten und den damaligen Anlässen für den Traum gefunden, denn sie fährt fort: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»Als wir damals in L. ankamen, der Papa und ich, hat er die Angst vor einem Brand direkt geäußert. Wir kamen in einem heftigen Gewitter an, sahen das kleine Holzhäuschen, das keinen Blitzableiter hatte. Da war diese Angst ganz natürlich.«</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Es liegt mir nun daran, die Beziehung zwischen den Ereignissen in L. und den damaligen gleichlautenden Träumen zu ergründen. Ich frage also: Haben Sie den Traum in den ersten Nächten in L. gehabt oder in den letzten vor Ihrer Abreise, also vor oder nach der bekannten Szene im Walde? (Ich weiß nämlich, daß die Szene nicht gleich am ersten Tage vorfiel und daß sie nach derselben noch einige Tage in L. verblieb, ohne etwas von dem Vorfalle merken zu lassen.)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Sie antwortet zuerst: Ich weiß nicht. Nach einer Weile: Ich glaube doch, nachher.</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Nun wußte ich also, daß der Traum eine Reaktion auf jenes Erlebnis war. Warum kehrte er aber dort dreimal wieder? Ich fragte weiter: Wie lange sind Sie noch nach der Szene in L. geblieben?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»Noch vier Tage, am fünften bin ich mit dem Papa abgereist.«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Jetzt bin ich sicher, daß der Traum die unmittelbare Wirkung des Erlebnisses mit Herrn K. war. Sie haben ihn dort zuerst geträumt, nicht früher. Sie haben die Unsicherheit im Erinnern nur hinzugefügt, um sich den Zusammenhang zu verwischen </w:t>
      </w:r>
      <w:hyperlink r:id="rId1006"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Vgl. das eingangs S. 96 über den Zweifel beim Erinnern Gesagte.</w:t>
        </w:r>
      </w:hyperlink>
      <w:r w:rsidRPr="00393116">
        <w:rPr>
          <w:rFonts w:ascii="Garamond" w:hAnsi="Garamond"/>
          <w:sz w:val="20"/>
          <w:szCs w:val="20"/>
          <w:lang w:val="en-US"/>
        </w:rPr>
        <w:t>. Es stimmt mir aber noch nicht ganz mit den Zahlen. Wenn Sie noch vier Nächte in L. blieben, können Sie den Traum viermal wiederholt haben. Vielleicht war es so?</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Sie widerspricht nicht mehr meiner Behauptung, setzt aber, anstatt auf meine Frage zu antworten, fort </w:t>
      </w:r>
      <w:hyperlink r:id="rId1007"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Es muß nämlich erst neues Erinnerungsmaterial kommen, ehe die von mir gestellte Frage beantwortet werden kann.</w:t>
        </w:r>
      </w:hyperlink>
      <w:r w:rsidRPr="00393116">
        <w:rPr>
          <w:rFonts w:ascii="Garamond" w:hAnsi="Garamond"/>
          <w:sz w:val="20"/>
          <w:szCs w:val="20"/>
          <w:lang w:val="en-US"/>
        </w:rPr>
        <w:t>: »Am Nachmittag nach unserer Seefahrt, von der wir, Herr K. und ich, mittags zurückkamen, hatte ich mich wie gewöhnlich auf das Sofa im Schlafzimmer gelegt, um kurz zu schlafen. Ich erwachte plötzlich und sah Herrn K. vor mir stehen...«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Also wie Sie im Traume den Papa vor Ihrem Bette stehen sehen?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»Ja. Ich stellte ihn zur Rede, was er hier zu suchen habe. Er gab zur Antwort, er lasse sich nicht abhalten, in sein Schlafzimmer zu gehen, wann er wolle; übrigens habe er etwas holen wollen. Dadurch vorsichtig gemacht, habe ich Frau K. gefragt, ob denn kein Schlüssel zum Schlafzimmer existiert, und habe mich am nächsten Morgen (am </w:t>
      </w:r>
      <w:r w:rsidRPr="00393116">
        <w:rPr>
          <w:rFonts w:ascii="Garamond" w:hAnsi="Garamond"/>
          <w:sz w:val="20"/>
          <w:szCs w:val="20"/>
          <w:lang w:val="en-US"/>
        </w:rPr>
        <w:lastRenderedPageBreak/>
        <w:t>zweiten Tag) zur Toilette eingeschlossen. Als ich mich dann nachmittags einschließen wollte, um mich wieder aufs Sofa zu legen, fehlte der Schlüssel. Ich bin überzeugt, Herr K. hatte ihn beseitigt.«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Das ist also das Thema vom Verschließen oder Nichtverschließen des Zimmers, das im ersten Einfall zum Traume vorkommt und das zufällig auch im frischen Anlaß zum Traum eine Rolle gespielt hat </w:t>
      </w:r>
      <w:hyperlink r:id="rId1008"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Ich vermute, ohne es noch Dora zu sagen, daß dies Element wegen seiner symbolischen Bedeutung von ihr ergriffen wurde. » </w:t>
        </w:r>
        <w:r w:rsidRPr="00393116">
          <w:rPr>
            <w:rStyle w:val="innerfusslink"/>
            <w:rFonts w:ascii="Garamond" w:hAnsi="Garamond"/>
            <w:i/>
            <w:iCs/>
            <w:sz w:val="20"/>
            <w:szCs w:val="20"/>
            <w:lang w:val="en-US"/>
          </w:rPr>
          <w:t>Zimmer</w:t>
        </w:r>
        <w:r w:rsidRPr="00393116">
          <w:rPr>
            <w:rStyle w:val="innerfusslink"/>
            <w:rFonts w:ascii="Garamond" w:hAnsi="Garamond"/>
            <w:sz w:val="20"/>
            <w:szCs w:val="20"/>
            <w:lang w:val="en-US"/>
          </w:rPr>
          <w:t>« im Traum wollen recht häufig »Frauenzimmer« vertreten, und ob ein Frauenzimmer »offen« oder »verschlossen« ist, kann natürlich nicht gleichgültig sein. Auch welcher »Schlüssel« in diesem Falle öffnet, ist wohlbekannt.</w:t>
        </w:r>
      </w:hyperlink>
      <w:r w:rsidRPr="00393116">
        <w:rPr>
          <w:rFonts w:ascii="Garamond" w:hAnsi="Garamond"/>
          <w:sz w:val="20"/>
          <w:szCs w:val="20"/>
          <w:lang w:val="en-US"/>
        </w:rPr>
        <w:t xml:space="preserve">. Sollte der Satz: </w:t>
      </w:r>
      <w:r w:rsidRPr="00393116">
        <w:rPr>
          <w:rFonts w:ascii="Garamond" w:hAnsi="Garamond"/>
          <w:i/>
          <w:iCs/>
          <w:sz w:val="20"/>
          <w:szCs w:val="20"/>
          <w:lang w:val="en-US"/>
        </w:rPr>
        <w:t>ich kleide mich schnell an</w:t>
      </w:r>
      <w:r w:rsidRPr="00393116">
        <w:rPr>
          <w:rFonts w:ascii="Garamond" w:hAnsi="Garamond"/>
          <w:sz w:val="20"/>
          <w:szCs w:val="20"/>
          <w:lang w:val="en-US"/>
        </w:rPr>
        <w:t>, auch in diesen Zusammenhang gehören?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»Damals nahm ich mir vor, nicht ohne den Papa bei K. zu bleiben. An den nächsten Morgen mußte ich fürchten, daß mich Herr K. bei der Toilette überrasche, und </w:t>
      </w:r>
      <w:r w:rsidRPr="00393116">
        <w:rPr>
          <w:rFonts w:ascii="Garamond" w:hAnsi="Garamond"/>
          <w:i/>
          <w:iCs/>
          <w:sz w:val="20"/>
          <w:szCs w:val="20"/>
          <w:lang w:val="en-US"/>
        </w:rPr>
        <w:t>kleidete mich darum immer sehr schnell an</w:t>
      </w:r>
      <w:r w:rsidRPr="00393116">
        <w:rPr>
          <w:rFonts w:ascii="Garamond" w:hAnsi="Garamond"/>
          <w:sz w:val="20"/>
          <w:szCs w:val="20"/>
          <w:lang w:val="en-US"/>
        </w:rPr>
        <w:t>. Der Papa wohnte ja im Hotel, und Frau K. war immer schon früh weggegangen, um mit dem Papa eine Partie zu machen. Herr K. belästigte mich aber nicht wieder.«</w:t>
      </w:r>
    </w:p>
    <w:p w:rsidR="00822836" w:rsidRPr="00393116" w:rsidRDefault="00822836" w:rsidP="00822836">
      <w:pPr>
        <w:pStyle w:val="Sansinterligne"/>
        <w:rPr>
          <w:rFonts w:ascii="Garamond" w:hAnsi="Garamond"/>
          <w:sz w:val="20"/>
          <w:szCs w:val="20"/>
        </w:rPr>
      </w:pPr>
      <w:r w:rsidRPr="00393116">
        <w:rPr>
          <w:rFonts w:ascii="Garamond" w:hAnsi="Garamond"/>
          <w:sz w:val="20"/>
          <w:szCs w:val="20"/>
          <w:lang w:val="en-US"/>
        </w:rPr>
        <w:t xml:space="preserve">Ich verstehe, Sie faßten am Nachmittag des zweiten Tages den Vorsatz, sich diesen Nachstellungen zu entziehen, und hatten nun in der zweiten, dritten und vierten Nacht nach der Szene im Walde Zeit, sich diesen Vorsatz im Schlafe zu wiederholen. Daß Sie am nächsten – dritten – Morgen den Schlüssel nicht haben würden, um sich beim Ankleiden einzuschließen, wußten Sie ja schon am zweiten Nachmittag, also vor dem Traum, und konnten sich vornehmen, die Toilette möglichst zu beeilen. Ihr Traum kam aber jede Nacht wieder, weil er eben einem </w:t>
      </w:r>
      <w:r w:rsidRPr="00393116">
        <w:rPr>
          <w:rFonts w:ascii="Garamond" w:hAnsi="Garamond"/>
          <w:i/>
          <w:iCs/>
          <w:sz w:val="20"/>
          <w:szCs w:val="20"/>
          <w:lang w:val="en-US"/>
        </w:rPr>
        <w:t>Vorsatz</w:t>
      </w:r>
      <w:r w:rsidRPr="00393116">
        <w:rPr>
          <w:rFonts w:ascii="Garamond" w:hAnsi="Garamond"/>
          <w:sz w:val="20"/>
          <w:szCs w:val="20"/>
          <w:lang w:val="en-US"/>
        </w:rPr>
        <w:t xml:space="preserve"> entsprach. Ein Vorsatz bleibt so lange bestehen, bis er ausgeführt ist. Sie sagten sich gleichsam: ich habe keine Ruhe, ich kann keinen ruhigen Schlaf finden, bis ich nicht aus diesem Hause heraus bin. </w:t>
      </w:r>
      <w:r w:rsidRPr="00393116">
        <w:rPr>
          <w:rFonts w:ascii="Garamond" w:hAnsi="Garamond"/>
          <w:sz w:val="20"/>
          <w:szCs w:val="20"/>
        </w:rPr>
        <w:t xml:space="preserve">Umgekehrt sagen Sie im Traume: </w:t>
      </w:r>
      <w:r w:rsidRPr="00393116">
        <w:rPr>
          <w:rFonts w:ascii="Garamond" w:hAnsi="Garamond"/>
          <w:i/>
          <w:iCs/>
          <w:sz w:val="20"/>
          <w:szCs w:val="20"/>
        </w:rPr>
        <w:t>Sowie ich draußen bin, wache ich auf</w:t>
      </w:r>
      <w:r w:rsidRPr="00393116">
        <w:rPr>
          <w:rFonts w:ascii="Garamond" w:hAnsi="Garamond"/>
          <w:sz w:val="20"/>
          <w:szCs w:val="20"/>
        </w:rPr>
        <w:t>.</w:t>
      </w:r>
    </w:p>
    <w:p w:rsidR="00822836" w:rsidRPr="00393116" w:rsidRDefault="00822836" w:rsidP="00822836">
      <w:pPr>
        <w:pStyle w:val="Sansinterligne"/>
        <w:rPr>
          <w:rFonts w:ascii="Garamond" w:hAnsi="Garamond"/>
          <w:sz w:val="20"/>
          <w:szCs w:val="20"/>
        </w:rPr>
      </w:pPr>
      <w:r w:rsidRPr="00393116">
        <w:rPr>
          <w:rFonts w:ascii="Garamond" w:hAnsi="Garamond"/>
          <w:sz w:val="20"/>
          <w:szCs w:val="20"/>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rPr>
        <w:t xml:space="preserve">Ich unterbreche hier die Mitteilung der Analyse, um dieses Stückchen einer Traumdeutung an meinen allgemeinen Sätzen über den Mechanismus der Traumbildung zu messen. Ich habe in meinem Buche </w:t>
      </w:r>
      <w:hyperlink r:id="rId1009" w:history="1">
        <w:r w:rsidRPr="00393116">
          <w:rPr>
            <w:rStyle w:val="Lienhypertexte"/>
            <w:rFonts w:ascii="Garamond" w:hAnsi="Garamond"/>
            <w:sz w:val="20"/>
            <w:szCs w:val="20"/>
          </w:rPr>
          <w:t>[Fußnote]</w:t>
        </w:r>
        <w:r w:rsidRPr="00393116">
          <w:rPr>
            <w:rStyle w:val="innerfusslink"/>
            <w:rFonts w:ascii="Garamond" w:hAnsi="Garamond"/>
            <w:i/>
            <w:iCs/>
            <w:sz w:val="20"/>
            <w:szCs w:val="20"/>
          </w:rPr>
          <w:t>Die Traumdeutung</w:t>
        </w:r>
        <w:r w:rsidRPr="00393116">
          <w:rPr>
            <w:rStyle w:val="innerfusslink"/>
            <w:rFonts w:ascii="Garamond" w:hAnsi="Garamond"/>
            <w:sz w:val="20"/>
            <w:szCs w:val="20"/>
          </w:rPr>
          <w:t xml:space="preserve"> (1900).</w:t>
        </w:r>
      </w:hyperlink>
      <w:r w:rsidRPr="00393116">
        <w:rPr>
          <w:rFonts w:ascii="Garamond" w:hAnsi="Garamond"/>
          <w:sz w:val="20"/>
          <w:szCs w:val="20"/>
        </w:rPr>
        <w:t xml:space="preserve"> ausgeführt, jeder Traum sei ein als erfüllt dargestellter Wunsch, die Darstellung sei eine verhüllende, wenn der Wunsch ein verdrängter, dem Unbewußten angehöriger sei, und außer bei den Kinderträumen habe nur der unbewußte oder bis ins Unbewußte reichende Wunsch die Kraft, einen Traum zu bilden. Ich glaube, die allgemeine Zustimmung wäre mir sicherer gewesen, wenn ich mich begnügt hätte zu behaupten, daß jeder Traum einen Sinn habe, der durch eine gewisse Deutungsarbeit aufzudecken sei. </w:t>
      </w:r>
      <w:r w:rsidRPr="00393116">
        <w:rPr>
          <w:rFonts w:ascii="Garamond" w:hAnsi="Garamond"/>
          <w:sz w:val="20"/>
          <w:szCs w:val="20"/>
          <w:lang w:val="en-US"/>
        </w:rPr>
        <w:t>Nach vollzogener Deutung könne man den Traum durch Gedanken ersetzen, die sich an leicht kenntlicher Stelle in das Seelenleben des Wachens einfügen. Ich hätte dann fortfahren können, dieser Sinn des Traumes erwiese sich als ebenso mannigfaltig wie eben die Gedankengänge des Wachens. Es sei das eine Mal ein erfüllter Wunsch, das andere Mal eine verwirklichte Befürchtung, dann etwa eine im Schlafe fortgesetzte Überlegung, ein Vorsatz (wie bei Doras Traum), ein Stück geistigen Produzierens im Schlafe usw. Diese Darstellung hätte gewiß durch ihre Faßlichkeit bestochen und hätte sich auf eine große Anzahl gut gedeuteter Beispiele, wie z. B. auf den hier analysierten Traum, stützen können.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Anstatt dessen habe ich eine allgemeine Behauptung aufgestellt, die den Sinn der Träume auf eine einzige Gedankenform, auf die Darstellung von Wünschen einschränkt, und habe die allgemeinste Neigung zum Widerspruche wachgerufen. Ich muß aber sagen, daß ich weder das Recht noch die Pflicht zu besitzen glaubte, einen Vorgang der Psychologie zur größeren Annehmlichkeit der Leser zu vereinfachen, wenn er meiner Untersuchung eine Komplikation bot, deren Lösung zur Einheitlichkeit erst an anderer Stelle gefunden werden konnte. Es wird mir darum von besonderem Werte sein zu zeigen, daß die scheinbaren Ausnahmen, wie Doras Traum hier, der sich zunächst als ein in den Schlaf fortgesetzter Tagesvorsatz enthüllt, doch die bestrittene Regel neuerdings bekräftigen.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rPr>
        <w:t xml:space="preserve">Wir haben ja noch ein großes Stück des Traumes zu deuten. </w:t>
      </w:r>
      <w:r w:rsidRPr="00393116">
        <w:rPr>
          <w:rFonts w:ascii="Garamond" w:hAnsi="Garamond"/>
          <w:sz w:val="20"/>
          <w:szCs w:val="20"/>
          <w:lang w:val="en-US"/>
        </w:rPr>
        <w:t>Ich fragte weiter: Was ist es mit dem Schmuckkästchen, das die Mama retten will?</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»Die Mama liebt Schmuck sehr und hat viel vom Papa bekommen.«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Und Sie?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habe Schmuck früher auch sehr geliebt; seit der Krankheit trage ich keinen mehr. – Da gab es damals vor vier Jahren (ein Jahr vor dem Traum) einen großen Streit zwischen Papa und Mama wegen eines Schmuckes. Die Mama wünschte sich etwas Bestimmtes, Tropfen von Perlen im Ohre zu tragen. Der Papa liebt aber dergleichen nicht und brachte ihr anstatt der Tropfen ein Armband. Sie war wütend und sagte ihm, wenn er schon soviel Geld ausgegeben habe, um etwas zu schenken, was sie nicht möge, so solle er es nur einer anderen schenken.«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Da werden Sie sich gedacht haben, Sie nähmen es gerne?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weiß nicht </w:t>
      </w:r>
      <w:hyperlink r:id="rId1010"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Ihre damals gewöhnliche Redensart, etwas Verdrängtes anzuerkennen.</w:t>
        </w:r>
      </w:hyperlink>
      <w:r w:rsidRPr="00393116">
        <w:rPr>
          <w:rFonts w:ascii="Garamond" w:hAnsi="Garamond"/>
          <w:sz w:val="20"/>
          <w:szCs w:val="20"/>
          <w:lang w:val="en-US"/>
        </w:rPr>
        <w:t xml:space="preserve">, weiß überhaupt nicht, wie die Mama in den Traum kommt; sie war doch damals nicht mit in L.« </w:t>
      </w:r>
      <w:hyperlink r:id="rId1011"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Diese Bemerkung, die von gänzlichem Mißverständnisse der ihr sonst wohlbekannten Regeln der Traumerklärung zeugt, sowie die zögernde Art und die spärliche Ausbeute ihrer Einfälle zum Schmuckkästchen bewiesen mir, daß es sich hier um Material handle, das mit großem Nachdrucke verdrängt worden sei.</w:t>
        </w:r>
      </w:hyperlink>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werde es Ihnen später erklären. Fällt Ihnen denn nichts anderes zum Schmuckkästchen ein? Bis jetzt haben Sie nur von Schmuck und nichts von einem Kästchen gesprochen.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»Ja, Herr K. hatte mir einige Zeit vorher ein kostbares Schmuckkästchen zum Geschenke gemacht.«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 war das Gegengeschenk also wohl am Platze. Sie wissen vielleicht nicht, daß »Schmuckkästchen« eine beliebte Bezeichnung für dasselbe ist, was Sie unlängst mit dem angehängten Täschchen angedeutet haben </w:t>
      </w:r>
      <w:hyperlink r:id="rId1012"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Über dieses Täschchen siehe weiter unten.</w:t>
        </w:r>
      </w:hyperlink>
      <w:r w:rsidRPr="00393116">
        <w:rPr>
          <w:rFonts w:ascii="Garamond" w:hAnsi="Garamond"/>
          <w:sz w:val="20"/>
          <w:szCs w:val="20"/>
          <w:lang w:val="en-US"/>
        </w:rPr>
        <w:t>, für das weibliche Genitale.</w:t>
      </w:r>
    </w:p>
    <w:p w:rsidR="00822836" w:rsidRPr="00393116" w:rsidRDefault="00822836" w:rsidP="00822836">
      <w:pPr>
        <w:pStyle w:val="Sansinterligne"/>
        <w:rPr>
          <w:rFonts w:ascii="Garamond" w:hAnsi="Garamond"/>
          <w:sz w:val="20"/>
          <w:szCs w:val="20"/>
        </w:rPr>
      </w:pPr>
      <w:r w:rsidRPr="00393116">
        <w:rPr>
          <w:rFonts w:ascii="Garamond" w:hAnsi="Garamond"/>
          <w:sz w:val="20"/>
          <w:szCs w:val="20"/>
        </w:rPr>
        <w:lastRenderedPageBreak/>
        <w:t xml:space="preserve">»Ich wußte, daß </w:t>
      </w:r>
      <w:r w:rsidRPr="00393116">
        <w:rPr>
          <w:rFonts w:ascii="Garamond" w:hAnsi="Garamond"/>
          <w:i/>
          <w:iCs/>
          <w:sz w:val="20"/>
          <w:szCs w:val="20"/>
        </w:rPr>
        <w:t>Sie</w:t>
      </w:r>
      <w:r w:rsidRPr="00393116">
        <w:rPr>
          <w:rFonts w:ascii="Garamond" w:hAnsi="Garamond"/>
          <w:sz w:val="20"/>
          <w:szCs w:val="20"/>
        </w:rPr>
        <w:t xml:space="preserve"> das sagen würden.« </w:t>
      </w:r>
      <w:hyperlink r:id="rId1013" w:history="1">
        <w:r w:rsidRPr="00393116">
          <w:rPr>
            <w:rStyle w:val="Lienhypertexte"/>
            <w:rFonts w:ascii="Garamond" w:hAnsi="Garamond"/>
            <w:sz w:val="20"/>
            <w:szCs w:val="20"/>
          </w:rPr>
          <w:t>[Fußnote]</w:t>
        </w:r>
        <w:r w:rsidRPr="00393116">
          <w:rPr>
            <w:rStyle w:val="innerfusslink"/>
            <w:rFonts w:ascii="Garamond" w:hAnsi="Garamond"/>
            <w:sz w:val="20"/>
            <w:szCs w:val="20"/>
          </w:rPr>
          <w:t>Eine sehr häufige Art, eine aus dem Verdrängten auftauchende Kenntnis von sich wegzuschieben.</w:t>
        </w:r>
      </w:hyperlink>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rPr>
        <w:t xml:space="preserve">Das heißt, </w:t>
      </w:r>
      <w:r w:rsidRPr="00393116">
        <w:rPr>
          <w:rFonts w:ascii="Garamond" w:hAnsi="Garamond"/>
          <w:i/>
          <w:iCs/>
          <w:sz w:val="20"/>
          <w:szCs w:val="20"/>
        </w:rPr>
        <w:t>Sie</w:t>
      </w:r>
      <w:r w:rsidRPr="00393116">
        <w:rPr>
          <w:rFonts w:ascii="Garamond" w:hAnsi="Garamond"/>
          <w:sz w:val="20"/>
          <w:szCs w:val="20"/>
        </w:rPr>
        <w:t xml:space="preserve"> wußten es. – Der Sinn des Traumes wird nun noch deutlicher. Sie sagten sich: Der Mann stellt mir nach, er will in mein Zimmer dringen, meinem »Schmuckkästchen« droht Gefahr, und wenn da ein Malheur passiert, wird es die Schuld des Papas sein. Darum haben Sie in den Traum eine Situation genommen, die das Gegenteil ausdrückt, eine Gefahr, aus welcher der Papa Sie rettet. In dieser Region des Traumes ist überhaupt alles ins Gegenteil verwandelt; Sie werden bald hören, warum. Das Geheimnis liegt allerdings bei der Mama. Wie die Mama dazu kommt? Sie ist, wie Sie wissen, Ihre frühere Konkurrentin in der Gunst des Papas. Bei der Begebenheit mit dem Armbande wollten Sie gerne annehmen, was die Mama zurückgewiesen hat. </w:t>
      </w:r>
      <w:r w:rsidRPr="00393116">
        <w:rPr>
          <w:rFonts w:ascii="Garamond" w:hAnsi="Garamond"/>
          <w:sz w:val="20"/>
          <w:szCs w:val="20"/>
          <w:lang w:val="en-US"/>
        </w:rPr>
        <w:t xml:space="preserve">Nun lassen Sie uns einmal »annehmen« durch »geben«, »zurückweisen« durch »verweigern« ersetzen. Das heißt dann, Sie waren bereit, dem Papa zu geben, was die Mama ihm verweigert, und das, um was es sich handelt, hätte mit Schmuck zu tun </w:t>
      </w:r>
      <w:hyperlink r:id="rId1014"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Auch für die Tropfen werden wir später eine vom Zusammenhange geforderte Deutung anführen können.</w:t>
        </w:r>
      </w:hyperlink>
      <w:r w:rsidRPr="00393116">
        <w:rPr>
          <w:rFonts w:ascii="Garamond" w:hAnsi="Garamond"/>
          <w:sz w:val="20"/>
          <w:szCs w:val="20"/>
          <w:lang w:val="en-US"/>
        </w:rPr>
        <w:t xml:space="preserve">. Nun erinnern Sie sich an das Schmuckkästchen, das Herr K. Ihnen geschenkt hat. Sie haben da den Anfang einer parallelen Gedankenreihe, in der wie in der Situation des vor Ihrem Bette Stehens Herr K. anstatt des Papas einzusetzen ist. Er hat Ihnen ein Schmuckkästchen geschenkt, Sie sollen ihm also Ihr Schmuckkästchen schenken; darum sprach ich vorhin vom »Gegengeschenke«. In dieser Gedankenreihe wird Ihre Mama durch Frau K. zu ersetzen sein, die doch wohl damals anwesend war. Sie sind also bereit, Herrn K. das zu schenken, was ihm seine Frau verweigert. Hier haben Sie den Gedanken, der mit soviel Anstrengung verdrängt werden muß, der die Verwandlung aller Elemente in ihr Gegenteil notwendig macht. Wie ich's Ihnen schon vor diesem Traume gesagt habe, der Traum bestätigt wieder, daß Sie die alte Liebe zum Papa wachrufen, um sich gegen die Liebe zu K. zu schützen. Was beweisen aber alle diese Bemühungen? Nicht nur, daß Sie sich vor Herrn K. fürchten, noch mehr fürchten Sie sich vor sich selber, vor Ihrer Versuchung, ihm nachzugeben. Sie bestätigen also dadurch, wie intensiv die Liebe zu ihm war </w:t>
      </w:r>
      <w:hyperlink r:id="rId1015"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Ich füge noch hinzu: Übrigens muß ich aus dem Wiederauftauchen des Traumes in den letzten Tagen schließen, daß Sie dieselbe Situation für wiedergekommen erachten und daß Sie beschlossen haben, aus der Kur, zu der ja nur der Papa Sie bringt, wegzubleiben. – Die Folge zeigte, wie richtig ich geraten hatte. Meine Deutung streift hier das praktisch wie theoretisch höchst bedeutsame Thema der »Übertragung«, auf welches einzugehen ich in dieser Abhandlung wenig Gelegenheit mehr finden werde.</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Dieses Stück der Deutung wollte sie natürlich nicht mitmachen.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Mir hatte sich aber auch eine Fortsetzung der Traumdeutung ergeben, die ebensowohl für die Anamnese des Falles wie für die Theorie des Traumes unentbehrlich schien. Ich versprach, dieselbe Dora in der nächsten Sitzung mitzuteilen.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konnte nämlich den Hinweis nicht vergessen, der sich aus den angemerkten zweideutigen Worten zu ergeben schien ( </w:t>
      </w:r>
      <w:r w:rsidRPr="00393116">
        <w:rPr>
          <w:rFonts w:ascii="Garamond" w:hAnsi="Garamond"/>
          <w:i/>
          <w:iCs/>
          <w:sz w:val="20"/>
          <w:szCs w:val="20"/>
          <w:lang w:val="en-US"/>
        </w:rPr>
        <w:t>daß man hinaus muß, daß bei Nacht ein Malheur passieren kann</w:t>
      </w:r>
      <w:r w:rsidRPr="00393116">
        <w:rPr>
          <w:rFonts w:ascii="Garamond" w:hAnsi="Garamond"/>
          <w:sz w:val="20"/>
          <w:szCs w:val="20"/>
          <w:lang w:val="en-US"/>
        </w:rPr>
        <w:t>). Dem reihte sich an, daß mir die Aufklärung des Traumes unvollständig schien, solange nicht eine gewisse Forderung erfüllt war, die ich zwar nicht allgemein aufstellen will, nach deren Erfüllung ich aber mit Vorliebe suche. Ein ordentlicher Traum steht gleichsam auf zwei Beinen, von denen das eine den wesentlichen aktuellen Anlaß, das andere eine folgenschwere Begebenheit der Kinderjahre berührt. Zwischen diesen beiden, dem Kindererlebnisse und dem gegenwärtigen, stellt der Traum eine Verbindung her, er sucht die Gegenwart nach dem Vorbilde der frühesten Vergangenheit umzugestalten. Der Wunsch, der den Traum schafft, kommt ja immer aus der Kindheit, er will die Kindheit immer wieder von neuem zur Realität erwecken, die Gegenwart nach der Kindheit korrigieren. Die Stücke, die sich zu einer Anspielung auf ein Kinderereignis zusammensetzen lassen, glaubte ich in dem Trauminhalte bereits deutlich zu erkennen.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begann die Erörterung hierüber mit einem kleinen Experimente, das wie gewöhnlich gelang. Auf dem Tische stand zufällig ein großer Zündhölzchenbehälter. Ich bat Dora, sich doch umzusehen, ob sie auf dem Tische etwas Besonderes sehen könne, das gewöhnlich nicht darauf stände. Sie sah nichts. Dann fragte ich, ob sie wisse, warum man den Kindern verbiete, mit Zündhölzchen zu spielen.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»Ja, wegen der Feuersgefahr. Die Kinder meines Onkels spielen so gerne mit Zündhölzchen.«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Nicht allein deswegen. Man warnt sie: »Nicht zündeln« und knüpft daran einen gewissen Glauben.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Sie wußte nichts darüber. – Also man fürchtet, daß sie dann das Bett naß machen werden. Dem liegt wohl der Gegensatz von </w:t>
      </w:r>
      <w:r w:rsidRPr="00393116">
        <w:rPr>
          <w:rFonts w:ascii="Garamond" w:hAnsi="Garamond"/>
          <w:i/>
          <w:iCs/>
          <w:sz w:val="20"/>
          <w:szCs w:val="20"/>
          <w:lang w:val="en-US"/>
        </w:rPr>
        <w:t>Wasser</w:t>
      </w:r>
      <w:r w:rsidRPr="00393116">
        <w:rPr>
          <w:rFonts w:ascii="Garamond" w:hAnsi="Garamond"/>
          <w:sz w:val="20"/>
          <w:szCs w:val="20"/>
          <w:lang w:val="en-US"/>
        </w:rPr>
        <w:t xml:space="preserve"> und </w:t>
      </w:r>
      <w:r w:rsidRPr="00393116">
        <w:rPr>
          <w:rFonts w:ascii="Garamond" w:hAnsi="Garamond"/>
          <w:i/>
          <w:iCs/>
          <w:sz w:val="20"/>
          <w:szCs w:val="20"/>
          <w:lang w:val="en-US"/>
        </w:rPr>
        <w:t>Feuer</w:t>
      </w:r>
      <w:r w:rsidRPr="00393116">
        <w:rPr>
          <w:rFonts w:ascii="Garamond" w:hAnsi="Garamond"/>
          <w:sz w:val="20"/>
          <w:szCs w:val="20"/>
          <w:lang w:val="en-US"/>
        </w:rPr>
        <w:t xml:space="preserve"> zugrunde. Etwa, daß sie vom Feuer träumen und dann versuchen werden, mit Wasser zu löschen. Das weiß ich nicht genau zu sagen. Aber ich sehe, daß Ihnen der Gegensatz von Wasser und Feuer im Traume ausgezeichnete Dienste leistet. Die Mama will das Schmuckkästchen retten, damit es nicht </w:t>
      </w:r>
      <w:r w:rsidRPr="00393116">
        <w:rPr>
          <w:rFonts w:ascii="Garamond" w:hAnsi="Garamond"/>
          <w:i/>
          <w:iCs/>
          <w:sz w:val="20"/>
          <w:szCs w:val="20"/>
          <w:lang w:val="en-US"/>
        </w:rPr>
        <w:t>verbrennt</w:t>
      </w:r>
      <w:r w:rsidRPr="00393116">
        <w:rPr>
          <w:rFonts w:ascii="Garamond" w:hAnsi="Garamond"/>
          <w:sz w:val="20"/>
          <w:szCs w:val="20"/>
          <w:lang w:val="en-US"/>
        </w:rPr>
        <w:t xml:space="preserve">, in den Traumgedanken kommt es darauf an, daß das »Schmuckkästchen« nicht </w:t>
      </w:r>
      <w:r w:rsidRPr="00393116">
        <w:rPr>
          <w:rFonts w:ascii="Garamond" w:hAnsi="Garamond"/>
          <w:i/>
          <w:iCs/>
          <w:sz w:val="20"/>
          <w:szCs w:val="20"/>
          <w:lang w:val="en-US"/>
        </w:rPr>
        <w:t>naß</w:t>
      </w:r>
      <w:r w:rsidRPr="00393116">
        <w:rPr>
          <w:rFonts w:ascii="Garamond" w:hAnsi="Garamond"/>
          <w:sz w:val="20"/>
          <w:szCs w:val="20"/>
          <w:lang w:val="en-US"/>
        </w:rPr>
        <w:t xml:space="preserve"> wird. Feuer ist aber nicht nur als Gegensatz zu Wasser verwendet, es dient auch zur direkten Vertretung von Liebe, Verliebt-, Verbranntsein. Von Feuer geht also das eine Geleise über diese symbolische Bedeutung zu den Liebesgedanken, das andere führt über den Gegensatz Wasser, nachdem noch die eine Beziehung zur Liebe, die auch </w:t>
      </w:r>
      <w:r w:rsidRPr="00393116">
        <w:rPr>
          <w:rFonts w:ascii="Garamond" w:hAnsi="Garamond"/>
          <w:i/>
          <w:iCs/>
          <w:sz w:val="20"/>
          <w:szCs w:val="20"/>
          <w:lang w:val="en-US"/>
        </w:rPr>
        <w:t>naß</w:t>
      </w:r>
      <w:r w:rsidRPr="00393116">
        <w:rPr>
          <w:rFonts w:ascii="Garamond" w:hAnsi="Garamond"/>
          <w:sz w:val="20"/>
          <w:szCs w:val="20"/>
          <w:lang w:val="en-US"/>
        </w:rPr>
        <w:t xml:space="preserve"> macht, abgezweigt hat, anderswohin. Wohin nun? Denken Sie an Ihre Ausdrücke: daß </w:t>
      </w:r>
      <w:r w:rsidRPr="00393116">
        <w:rPr>
          <w:rFonts w:ascii="Garamond" w:hAnsi="Garamond"/>
          <w:i/>
          <w:iCs/>
          <w:sz w:val="20"/>
          <w:szCs w:val="20"/>
          <w:lang w:val="en-US"/>
        </w:rPr>
        <w:t>bei Nacht ein Malheur passiert</w:t>
      </w:r>
      <w:r w:rsidRPr="00393116">
        <w:rPr>
          <w:rFonts w:ascii="Garamond" w:hAnsi="Garamond"/>
          <w:sz w:val="20"/>
          <w:szCs w:val="20"/>
          <w:lang w:val="en-US"/>
        </w:rPr>
        <w:t xml:space="preserve">, daß </w:t>
      </w:r>
      <w:r w:rsidRPr="00393116">
        <w:rPr>
          <w:rFonts w:ascii="Garamond" w:hAnsi="Garamond"/>
          <w:i/>
          <w:iCs/>
          <w:sz w:val="20"/>
          <w:szCs w:val="20"/>
          <w:lang w:val="en-US"/>
        </w:rPr>
        <w:t>man hinaus muß</w:t>
      </w:r>
      <w:r w:rsidRPr="00393116">
        <w:rPr>
          <w:rFonts w:ascii="Garamond" w:hAnsi="Garamond"/>
          <w:sz w:val="20"/>
          <w:szCs w:val="20"/>
          <w:lang w:val="en-US"/>
        </w:rPr>
        <w:t xml:space="preserve">. Bedeutet das nicht ein körperliches Bedürfnis, und wenn Sie das Malheur in die Kindheit versetzen, kann es ein anderes sein, als daß das Bett naß wird? Was tut man aber, um die Kinder vor dem Bettnässen zu hüten? Nicht wahr, man weckt sie in der Nacht aus dem Schlafe, </w:t>
      </w:r>
      <w:r w:rsidRPr="00393116">
        <w:rPr>
          <w:rFonts w:ascii="Garamond" w:hAnsi="Garamond"/>
          <w:i/>
          <w:iCs/>
          <w:sz w:val="20"/>
          <w:szCs w:val="20"/>
          <w:lang w:val="en-US"/>
        </w:rPr>
        <w:t>ganz so, wie es im Traume der Papa mit Ihnen tut?</w:t>
      </w:r>
      <w:r w:rsidRPr="00393116">
        <w:rPr>
          <w:rFonts w:ascii="Garamond" w:hAnsi="Garamond"/>
          <w:sz w:val="20"/>
          <w:szCs w:val="20"/>
          <w:lang w:val="en-US"/>
        </w:rPr>
        <w:t xml:space="preserve"> Dieses wäre also die wirkliche Begebenheit, aus welcher Sie sich das Recht nehmen, Herrn K., der Sie aus dem Schlafe weckt, durch den Papa zu ersetzen. Ich muß also schließen, daß Sie an Bettnässen länger, als es sich sonst bei Kindern erhält, gelitten haben. Dasselbe muß bei Ihrem Bruder der Fall gewesen sein. Der Papa sagt ja: </w:t>
      </w:r>
      <w:r w:rsidRPr="00393116">
        <w:rPr>
          <w:rFonts w:ascii="Garamond" w:hAnsi="Garamond"/>
          <w:i/>
          <w:iCs/>
          <w:sz w:val="20"/>
          <w:szCs w:val="20"/>
          <w:lang w:val="en-US"/>
        </w:rPr>
        <w:t>Ich will nicht, daß meine beiden Kinder...</w:t>
      </w:r>
      <w:r w:rsidRPr="00393116">
        <w:rPr>
          <w:rFonts w:ascii="Garamond" w:hAnsi="Garamond"/>
          <w:sz w:val="20"/>
          <w:szCs w:val="20"/>
          <w:lang w:val="en-US"/>
        </w:rPr>
        <w:t xml:space="preserve"> </w:t>
      </w:r>
      <w:r w:rsidRPr="00393116">
        <w:rPr>
          <w:rFonts w:ascii="Garamond" w:hAnsi="Garamond"/>
          <w:sz w:val="20"/>
          <w:szCs w:val="20"/>
          <w:lang w:val="en-US"/>
        </w:rPr>
        <w:lastRenderedPageBreak/>
        <w:t>zugrunde gehen. Der Bruder hat mit der aktuellen Situation bei K. sonst nichts zu tun, er war auch nicht nach L. mitgekommen. Was sagen nun Ihre Erinnerungen dazu?</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»Von mir weiß ich nichts«, antwortete sie, »aber der Bruder hat bis zum sechsten oder siebenten Jahre das Bett naß gemacht, es ist ihm auch manchmal am Tage passiert.«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wollte sie eben aufmerksam machen, wieviel leichter man sich an derartiges von seinem Bruder als von sich erinnert, als sie mit der wiedergewonnenen Erinnerung fortsetzte: »Ja, ich habe es auch gehabt, aber erst im siebenten oder achten Jahre eine Zeitlang. Es muß arg gewesen sein, denn ich weiß jetzt, daß der Doktor um Rat gefragt wurde. Es war bis kurz vor dem nervösen Asthma.« Was sagte der Doktor dazu?</w:t>
      </w:r>
    </w:p>
    <w:p w:rsidR="00822836" w:rsidRPr="00393116" w:rsidRDefault="00822836" w:rsidP="00822836">
      <w:pPr>
        <w:pStyle w:val="Sansinterligne"/>
        <w:rPr>
          <w:rFonts w:ascii="Garamond" w:hAnsi="Garamond"/>
          <w:sz w:val="20"/>
          <w:szCs w:val="20"/>
        </w:rPr>
      </w:pPr>
      <w:r w:rsidRPr="00393116">
        <w:rPr>
          <w:rFonts w:ascii="Garamond" w:hAnsi="Garamond"/>
          <w:sz w:val="20"/>
          <w:szCs w:val="20"/>
          <w:lang w:val="en-US"/>
        </w:rPr>
        <w:t xml:space="preserve">»Er erklärte es für eine nervöse Schwäche: es werde sich schon verlieren, meinte er, und verschrieb stärkende Mittel.« </w:t>
      </w:r>
      <w:hyperlink r:id="rId1016" w:history="1">
        <w:r w:rsidRPr="00393116">
          <w:rPr>
            <w:rStyle w:val="Lienhypertexte"/>
            <w:rFonts w:ascii="Garamond" w:hAnsi="Garamond"/>
            <w:sz w:val="20"/>
            <w:szCs w:val="20"/>
          </w:rPr>
          <w:t>[Fußnote]</w:t>
        </w:r>
        <w:r w:rsidRPr="00393116">
          <w:rPr>
            <w:rStyle w:val="innerfusslink"/>
            <w:rFonts w:ascii="Garamond" w:hAnsi="Garamond"/>
            <w:sz w:val="20"/>
            <w:szCs w:val="20"/>
          </w:rPr>
          <w:t>Dieser Arzt war der einzige, zu dem sie Zutrauen zeigte, weil sie an dieser Erfahrung gemerkt, er wäre nicht hinter ihr Geheimnis gekommen. Vor jedem andern, den sie noch nicht einzuschätzen wußte, empfand sie Angst, die sich jetzt also motiviert, er könne ihr Geheimnis erraten.</w:t>
        </w:r>
      </w:hyperlink>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Die Traumdeutung schien mir nun vollendet </w:t>
      </w:r>
      <w:hyperlink r:id="rId1017"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Der Kern des Traumes würde übersetzt etwa so lauten: Die Versuchung ist so stark. Lieber Papa, schütze Du mich wieder wie in den Kinderzeiten, daß mein Bett nicht naß wird!</w:t>
        </w:r>
      </w:hyperlink>
      <w:r w:rsidRPr="00393116">
        <w:rPr>
          <w:rFonts w:ascii="Garamond" w:hAnsi="Garamond"/>
          <w:sz w:val="20"/>
          <w:szCs w:val="20"/>
          <w:lang w:val="en-US"/>
        </w:rPr>
        <w:t>. Einen Nachtrag zum Traume brachte sie noch tags darauf. Sie habe vergessen zu erzählen, daß sie nach dem Erwachen jedesmal Rauch gerochen. Der Rauch paßte ja wohl zum Feuer, er wies auch darauf hin, daß der Traum eine besondere Beziehung zu meiner Person habe, denn ich pflegte ihr, wenn sie behauptet hatte, da oder dort stecke nichts dahinter, oft entgegenzuhalten: »Wo Rauch ist, ist auch Feuer.« Sie wandte aber gegen diese ausschließlich persönliche Deutung ein, daß Herr K. und der Papa leidenschaftliche Raucher seien, wie übrigens auch ich. Sie rauchte selbst am See, und Herr K. hatte ihr, ehe er damals mit seiner unglücklichen Werbung begann, eine Zigarette gedreht. Sie glaubte sich auch sicher zu erinnern, daß der Geruch nach Rauch nicht erst im letzten, sondern schon in dem dreimaligen Träumen in L. aufgetreten war. Da sie weitere Auskünfte verweigerte, blieb es mir überlassen, wie ich mir diesen Nachtrag in das Gefüge der Traumgedanken eintragen wolle. Als Anhaltspunkt konnte mir dienen, daß die Sensation des Rauches als Nachtrag kam, also eine besondere Anstrengung der Verdrängung hatte überwinden müssen. Demnach gehörte sie wahrscheinlich zu dem im Traume am dunkelsten dargestellten und bestverdrängten Gedanken, also dem der Versuchung, sich dem Manne willig zu erweisen. Sie konnte dann kaum etwas anderes bedeuten als die Sehnsucht nach einem Kusse, der beim Raucher notwendigerweise nach Rauch schmeckt; ein Kuß war aber etwa zwei Jahre vorher zwischen den beiden vorgefallen und hätte sich sicherlich mehr als einmal wiederholt, wenn das Mädchen nun der Werbung nachgegeben hätte. Die Versuchungsgedanken scheinen so auf die frühere Szene zurückgegriffen und die Erinnerung an den Kuß aufgeweckt zu haben, gegen dessen Verlockung sich die Lutscherin seinerzeit durch den Ekel schützte. Nehme ich endlich die Anzeichen zusammen, die eine Übertragung auf mich, weil ich auch Raucher bin, wahrscheinlich machen, so komme ich zur Ansicht, daß ihr eines Tages wahrscheinlich während der Sitzung eingefallen, sich einen Kuß von mir zu wünschen. Dies war für sie der Anlaß, sich den Warnungstraum zu wiederholen und den Vorsatz zu fassen, aus der Kur zu gehen. So stimmt es sehr gut zusammen, aber vermöge der Eigentümlichkeiten der »Übertragung« entzieht es sich dem Beweise.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könnte nun schwanken, ob ich zuerst die Ausbeute dieses Traumes für die Krankengeschichte des Falles in Angriff nehmen oder lieber den aus ihm gegen die Traumtheorie gewonnenen Einwand erledigen soll. Ich wähle das erstere.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Es verlohnt sich, auf die Bedeutung des Bettnässens in der Vorgeschichte der Neurotiker ausführlich einzugehen. Der Übersichtlichkeit zuliebe beschränke ich mich darauf zu betonen, daß Doras Fall von Bettnässen nicht der gewöhnliche war. Die Störung hatte sich nicht einfach über die fürs Normale zugestandene Zeit fortgesetzt, sondern war nach ihrer bestimmten Angabe zunächst geschwunden und dann verhältnismäßig spät, nach dem sechsten Lebensjahre, wieder aufgetreten. Ein solches Bettnässen hat meines Wissens keine wahrscheinlichere Ursache als Masturbation, die in der Ätiologie des Bettnässens überhaupt eine noch zu gering geschätzte Rolle spielt. Den Kindern selbst ist nach meiner Erfahrung dieser Zusammenhang sehr wohl bekannt gewesen, und alle psychischen Folgen leiten sich so davon ab, als ob sie ihn niemals vergessen hätten. Nun befanden wir uns zur Zeit, als der Traum erzählt wurde, auf einer Linie der Forschung, welche direkt auf ein solches Eingeständnis der Kindermasturbation zulief. Sie hatte eine Weile vorher die Frage aufgeworfen, warum denn gerade sie krank geworden sei, und hatte, ehe ich eine Antwort gab, die Schuld auf den Vater gewälzt. Es waren nicht unbewußte Gedanken, sondern bewußte Kenntnis, welche die Begründung übernahm. Das Mädchen wußte zu meinem Erstaunen, welcher Natur die Krankheit des Vaters gewesen war. Sie hatte nach der Rückkehr des Vaters von meiner Ordination ein Gespräch erlauscht, in dem der Name der Krankheit genannt wurde. In noch früheren Jahren, zur Zeit der Netzhautablösung, muß ein zu Rate gezogener Augenarzt auf die luetische Ätiologie hingewiesen haben, denn das neugierige und besorgte Mädchen hörte damals eine alte Tante zur Mutter sagen: »Er war ja schon vor der Ehe krank« und etwas ihr Unverständliches hinzufügen, was sie sich später auf unanständige Dinge deutete.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Der Vater war also durch leichtsinnigen Lebenswandel krank geworden, und sie nahm an, daß er ihr das Kranksein erblich übertragen habe. Ich hütete mich, ihr zu sagen, daß ich, wie erwähnt (S. 99, Anm. </w:t>
      </w:r>
      <w:r w:rsidRPr="00393116">
        <w:rPr>
          <w:rFonts w:ascii="Garamond" w:hAnsi="Garamond"/>
          <w:sz w:val="20"/>
          <w:szCs w:val="20"/>
        </w:rPr>
        <w:t xml:space="preserve">[8]), gleichfalls die Ansicht vertrete, die Nachkommenschaft Luetischer sei zu schweren Neuropsychosen ganz besonders prädisponiert. </w:t>
      </w:r>
      <w:r w:rsidRPr="00393116">
        <w:rPr>
          <w:rFonts w:ascii="Garamond" w:hAnsi="Garamond"/>
          <w:sz w:val="20"/>
          <w:szCs w:val="20"/>
          <w:lang w:val="en-US"/>
        </w:rPr>
        <w:t xml:space="preserve">Die Fortsetzung dieses den Vater anklagenden Gedankenganges ging durch unbewußtes Material. Sie identifizierte sich einige Tage lang in kleinen Symptomen und Eigentümlichkeiten mit der Mutter, was ihr Gelegenheit gab, Hervorragendes in Unausstehlichkeit zu leisten, und ließ mich dann erraten, daß sie an einen Aufenthalt in </w:t>
      </w:r>
      <w:r w:rsidRPr="00393116">
        <w:rPr>
          <w:rFonts w:ascii="Garamond" w:hAnsi="Garamond"/>
          <w:sz w:val="20"/>
          <w:szCs w:val="20"/>
          <w:lang w:val="en-US"/>
        </w:rPr>
        <w:lastRenderedPageBreak/>
        <w:t xml:space="preserve">Franzensbad denke, das sie in Begleitung der Mutter – ich weiß nicht mehr, in welchem Jahre – besucht hatte. Die Mutter litt an Schmerzen im Unterleibe und an einem Ausflusse – Katarrh –, der eine Franzensbader Kur notwendig machte. Es war ihre – wahrscheinlich wieder berechtigte – Meinung, daß diese Krankheit vom Papa herrühre, der also seine Geschlechtsaffektion auf die Mutter übertragen hatte. Es war ganz begreiflich, daß sie bei diesem Schlusse, wie ein großer Teil der Laien überhaupt, Gonorrhöe und Syphilis, erbliche und Übertragung durch den Verkehr zusammenwarf. Ihr Verharren in der Identifizierung nötigte mir fast die Frage auf, ob sie denn auch eine Geschlechtskrankheit habe, und nun erfuhr ich, daß sie mit einem Katarrh ( </w:t>
      </w:r>
      <w:r w:rsidRPr="00393116">
        <w:rPr>
          <w:rFonts w:ascii="Garamond" w:hAnsi="Garamond"/>
          <w:i/>
          <w:iCs/>
          <w:sz w:val="20"/>
          <w:szCs w:val="20"/>
          <w:lang w:val="en-US"/>
        </w:rPr>
        <w:t>fluor albus</w:t>
      </w:r>
      <w:r w:rsidRPr="00393116">
        <w:rPr>
          <w:rFonts w:ascii="Garamond" w:hAnsi="Garamond"/>
          <w:sz w:val="20"/>
          <w:szCs w:val="20"/>
          <w:lang w:val="en-US"/>
        </w:rPr>
        <w:t>) behaftet sei, an dessen Beginn sie sich nicht erinnern könne.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verstand nun, daß hinter dem Gedankengange, der laut den Vater anklagte, wie gewöhnlich eine Selbstbeschuldigung verborgen sei, und kam ihr entgegen, indem ich ihr versicherte, daß der </w:t>
      </w:r>
      <w:r w:rsidRPr="00393116">
        <w:rPr>
          <w:rFonts w:ascii="Garamond" w:hAnsi="Garamond"/>
          <w:i/>
          <w:iCs/>
          <w:sz w:val="20"/>
          <w:szCs w:val="20"/>
          <w:lang w:val="en-US"/>
        </w:rPr>
        <w:t>fluor</w:t>
      </w:r>
      <w:r w:rsidRPr="00393116">
        <w:rPr>
          <w:rFonts w:ascii="Garamond" w:hAnsi="Garamond"/>
          <w:sz w:val="20"/>
          <w:szCs w:val="20"/>
          <w:lang w:val="en-US"/>
        </w:rPr>
        <w:t xml:space="preserve"> der jungen Mädchen in meinen Augen vorzugsweise auf Masturbation deute und daß ich alle anderen Ursachen, die gewöhnlich für solch ein Leiden angeführt werden, neben der Masturbation in den Hintergrund treten lasse </w:t>
      </w:r>
      <w:hyperlink r:id="rId1018"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Eine extreme Auffassung, die ich heute nicht mehr vertreten würde.</w:t>
        </w:r>
      </w:hyperlink>
      <w:r w:rsidRPr="00393116">
        <w:rPr>
          <w:rFonts w:ascii="Garamond" w:hAnsi="Garamond"/>
          <w:sz w:val="20"/>
          <w:szCs w:val="20"/>
          <w:lang w:val="en-US"/>
        </w:rPr>
        <w:t xml:space="preserve">. Sie sei also auf dem Wege, ihre Frage, warum gerade sie erkrankt sei, durch das Eingeständnis der Masturbation, wahrscheinlich in den Kinderjahren, zu beantworten. Sie leugnete entschiedenst, sich an etwas Derartiges erinnern zu können. Aber einige Tage später führte sie etwas auf, was ich als weitere Annäherung an das Geständnis betrachten mußte. Sie hatte an diesem Tage nämlich, was weder früher noch später je der Fall war, ein Portemonnaietäschchen von der Form, die eben modern wurde, umgehängt und spielte damit, während sie im Liegen sprach, indem sie es öffnete, einen Finger hineinsteckte, es wieder schloß, usw. Ich sah ihr eine Weile zu und erklärte ihr dann, was eine </w:t>
      </w:r>
      <w:r w:rsidRPr="00393116">
        <w:rPr>
          <w:rFonts w:ascii="Garamond" w:hAnsi="Garamond"/>
          <w:i/>
          <w:iCs/>
          <w:sz w:val="20"/>
          <w:szCs w:val="20"/>
          <w:lang w:val="en-US"/>
        </w:rPr>
        <w:t>Symptomhandlung</w:t>
      </w:r>
      <w:hyperlink r:id="rId1019"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Vgl. meine Abhandlung über die Psychopathologie des Alltagslebens (1901 </w:t>
        </w:r>
        <w:r w:rsidRPr="00393116">
          <w:rPr>
            <w:rStyle w:val="innerfusslink"/>
            <w:rFonts w:ascii="Garamond" w:hAnsi="Garamond"/>
            <w:i/>
            <w:iCs/>
            <w:sz w:val="20"/>
            <w:szCs w:val="20"/>
            <w:lang w:val="en-US"/>
          </w:rPr>
          <w:t>b</w:t>
        </w:r>
        <w:r w:rsidRPr="00393116">
          <w:rPr>
            <w:rStyle w:val="innerfusslink"/>
            <w:rFonts w:ascii="Garamond" w:hAnsi="Garamond"/>
            <w:sz w:val="20"/>
            <w:szCs w:val="20"/>
            <w:lang w:val="en-US"/>
          </w:rPr>
          <w:t>).</w:t>
        </w:r>
      </w:hyperlink>
      <w:r w:rsidRPr="00393116">
        <w:rPr>
          <w:rFonts w:ascii="Garamond" w:hAnsi="Garamond"/>
          <w:sz w:val="20"/>
          <w:szCs w:val="20"/>
          <w:lang w:val="en-US"/>
        </w:rPr>
        <w:t xml:space="preserve"> sei. Symptomhandlungen nenne ich jene Verrichtungen, die der Mensch, wie man sagt, automatisch, unbewußt, ohne darauf zu achten, wie spielend, vollzieht, denen er jede Bedeutung absprechen möchte und die er für gleichgültig und zufällig erklärt, wenn er nach ihnen gefragt wird. Sorgfältigere Beobachtung zeigt dann, daß solche Handlungen, von denen das Bewußtsein nichts weiß oder nichts wissen will, unbewußten Gedanken und Impulsen Ausdruck geben, somit als zugelassene Äußerungen des Unbewußten wertvoll und lehrreich sind. Es gibt zwei Arten des bewußten Verhaltens gegen die Symptomhandlungen. Kann man sie unauffällig motivieren, so nimmt man auch Kenntnis von ihnen; fehlt ein solcher Vorwand vor dem Bewußten, so merkt man in der Regel gar nicht, daß man sie ausführt. Im Falle Doras war die Motivierung leicht: »Warum soll ich nicht ein solches Täschchen tragen, wie es jetzt modern ist?« Aber eine solche Rechtfertigung hebt die Möglichkeit der unbewußten Herkunft der betreffenden Handlung nicht auf. Anderseits läßt sich diese Herkunft und der Sinn, den man der Handlung beilegt, nicht zwingend erweisen. Man muß sich begnügen zu konstatieren, daß ein solcher Sinn in den Zusammenhang der vorliegenden Situation, in die Tagesordnung des Unbewußten ganz ausgezeichnet hineinpaßt.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werde ein anderes Mal eine Sammlung solcher Symptomhandlungen vorlegen, wie man sie bei Gesunden und Nervösen beobachten kann. Die Deutungen sind manchmal sehr leicht. Das zweiblättrige Täschchen Doras ist nichts anderes als eine Darstellung des Genitales, und ihr Spielen damit, ihr öffnen und Fingerhineinstecken eine recht ungenierte, aber unverkennbare pantomimische Mitteilung dessen, was sie damit tun möchte, die der Masturbation. Vor kurzem ist mir ein ähnlicher Fall vorgekommen, der sehr erheiternd wirkte. Eine ältere Dame zieht mitten in der Sitzung, angeblich um sich durch ein Bonbon anzufeuchten, eine kleine beinerne Dose hervor, bemüht sich, sie zu öffnen, und reicht sie dann mir, damit ich mich überzeuge, wie schwer sie aufgeht. Ich äußere mein Mißtrauen, daß diese Dose etwas Besonderes bedeuten müsse, ich sehe sie heute doch zum ersten Male, obwohl die Eigentümerin mich schon länger als ein Jahr besucht. Darauf die Dame im Eifer: »Diese Dose trage ich immer bei mir, ich nehme sie überall mit, wohin ich gehe!« Sie beruhigt sich erst, nachdem ich sie lachend aufmerksam gemacht, wie gut ihre Worte auch zu einer anderen Bedeutung passen. Die Dose – </w:t>
      </w:r>
      <w:r w:rsidRPr="00393116">
        <w:rPr>
          <w:rFonts w:ascii="Garamond" w:hAnsi="Garamond"/>
          <w:i/>
          <w:iCs/>
          <w:sz w:val="20"/>
          <w:szCs w:val="20"/>
          <w:lang w:val="en-US"/>
        </w:rPr>
        <w:t>box</w:t>
      </w:r>
      <w:r w:rsidRPr="00393116">
        <w:rPr>
          <w:rFonts w:ascii="Garamond" w:hAnsi="Garamond"/>
          <w:sz w:val="20"/>
          <w:szCs w:val="20"/>
          <w:lang w:val="en-US"/>
        </w:rPr>
        <w:t xml:space="preserve">, </w:t>
      </w:r>
      <w:r w:rsidRPr="00393116">
        <w:rPr>
          <w:rFonts w:ascii="Garamond" w:hAnsi="Garamond"/>
          <w:sz w:val="20"/>
          <w:szCs w:val="20"/>
        </w:rPr>
        <w:t>πύξις</w:t>
      </w:r>
      <w:r w:rsidRPr="00393116">
        <w:rPr>
          <w:rFonts w:ascii="Garamond" w:hAnsi="Garamond"/>
          <w:sz w:val="20"/>
          <w:szCs w:val="20"/>
          <w:lang w:val="en-US"/>
        </w:rPr>
        <w:t xml:space="preserve"> – ist wie das Täschchen, wie das Schmuckkästchen wieder nur eine Vertreterin der Venusmuschel, des weiblichen Genitales!</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Es gibt viel solcher Symbolik im Leben, an der wir gewöhnlich achtlos vorübergehen. Als ich mir die Aufgabe stellte, das, was die Menschen verstecken, nicht durch den Zwang der Hypnose, sondern aus dem, was sie sagen und zeigen, ans Licht zu bringen, hielt ich die Aufgabe für schwerer, als sie wirklich ist. Wer Augen hat zu sehen und Ohren zu hören, überzeugt sich, daß die Sterblichen kein Geheimnis verbergen können. Wessen Lippen schweigen, der schwätzt mit den Fingerspitzen; aus allen Poren dringt ihm der Verrat. Und darum ist die Aufgabe, das verborgenste Seelische bewußtzumachen, sehr wohl lösbar.</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Doras Symptomhandlung mit dem Täschchen war nicht der nächste Vorläufer des Traumes. Die Sitzung, die uns die Traumerzählung brachte, leitete sie durch eine andere Symptomhandlung ein. Als ich in das Zimmer trat, in dem sie wartete, versteckte sie rasch einen Brief, in dem sie las. Ich fragte natürlich, von wem der Brief sei, und sie weigerte sich erst, es anzugeben. Dann kam etwas heraus, was höchst gleichgültig und ohne Beziehung zu unserer Kur war. Es war ein Brief der Großmutter, in dem sie aufgefordert wurde, ihr öfter zu schreiben. Ich meine, sie wollte mir nur »Geheimnis« vorspielen und andeuten, daß sie sich jetzt ihr Geheimnis vom Arzt entreißen lasse. Ihre Abneigung gegen jeden neuen Arzt erkläre ich mir nun durch die Angst, er würde bei der Untersuchung (durch den Katarrh) oder beim Examen (durch die Mitteilung des Bettnässens) auf den Grund ihres Leidens kommen, die Masturbation bei ihr erraten. Sie sprach dann immer sehr geringschätzig von den Ärzten, die sie vorher offenbar überschätzt hatte.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Anklagen gegen den Vater, daß er sie krank gemacht, mit der Selbstanklage dahinter – </w:t>
      </w:r>
      <w:r w:rsidRPr="00393116">
        <w:rPr>
          <w:rFonts w:ascii="Garamond" w:hAnsi="Garamond"/>
          <w:i/>
          <w:iCs/>
          <w:sz w:val="20"/>
          <w:szCs w:val="20"/>
          <w:lang w:val="en-US"/>
        </w:rPr>
        <w:t>fluor albus</w:t>
      </w:r>
      <w:r w:rsidRPr="00393116">
        <w:rPr>
          <w:rFonts w:ascii="Garamond" w:hAnsi="Garamond"/>
          <w:sz w:val="20"/>
          <w:szCs w:val="20"/>
          <w:lang w:val="en-US"/>
        </w:rPr>
        <w:t xml:space="preserve"> – Spielen mit dem Täschchen – Bettnässen nach dem sechsten Jahre – Geheimnis, das sie sich von den Ärzten nicht entreißen lassen will: ich halte den Indizienbeweis für die kindliche Masturbation für lückenlos hergestellt. Ich hatte in diesem Falle </w:t>
      </w:r>
      <w:r w:rsidRPr="00393116">
        <w:rPr>
          <w:rFonts w:ascii="Garamond" w:hAnsi="Garamond"/>
          <w:sz w:val="20"/>
          <w:szCs w:val="20"/>
          <w:lang w:val="en-US"/>
        </w:rPr>
        <w:lastRenderedPageBreak/>
        <w:t xml:space="preserve">die Masturbation zu ahnen begonnen, als sie mir von den Magenkrämpfen der Kusine erzählte (s. S. 114) und sich dann mit dieser identifizierte, indem sie tagelang über die nämlichen schmerzhaften Sensationen klagte. Es ist bekannt, wie häufig Magenkrämpfe gerade bei Masturbanten auftreten. Nach einer persönlichen Mitteilung von W. Fließ sind es gerade solche Gastralgien, die durch Kokainisierung der von ihm gefundenen »Magenstelle« in der Nase unterbrochen und durch deren Ätzung geheilt werden können. Dora bestätigte mir bewußterweise zweierlei, daß sie selbst häufig an Magenkrämpfen gelitten und daß sie die Kusine mit guten Gründen für eine Masturbantin gehalten habe. Es ist bei den Kranken sehr gewöhnlich, daß sie einen Zusammenhang bei anderen erkennen, dessen Erkenntnis ihnen bei der eigenen Person durch Gefühlswiderstände unmöglich wird. Sie leugnete auch nicht mehr, obwohl sie noch nichts erinnerte. Auch die Zeitbestimmung des Bettnässens »bis kurz vor dem Auftreten des nervösen Asthmas« halte ich für klinisch verwertbar. Die hysterischen Symptome treten fast niemals auf, solange die Kinder masturbieren, sondern erst in der Abstinenz </w:t>
      </w:r>
      <w:hyperlink r:id="rId1020"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Bei Erwachsenen gilt prinzipiell dasselbe, doch reicht hier auch relative Abstinenz, Einschränkung der Masturbation aus, so daß bei heftiger Libido Hysterie und Masturbation mitsammen vorkommen können.</w:t>
        </w:r>
      </w:hyperlink>
      <w:r w:rsidRPr="00393116">
        <w:rPr>
          <w:rFonts w:ascii="Garamond" w:hAnsi="Garamond"/>
          <w:sz w:val="20"/>
          <w:szCs w:val="20"/>
          <w:lang w:val="en-US"/>
        </w:rPr>
        <w:t xml:space="preserve">; sie drücken einen Ersatz für die masturbatorische Befriedigung aus, nach der das Verlangen im Unbewußten erhalten bleibt, solange nicht andersartige normalere Befriedigung eintritt, wo diese noch möglich geblieben ist. Letztere Bedingung ist die Wende für mögliche Heilung der Hysterie durch Ehe und normalen Geschlechtsverkehr. Wird die Befriedigung in der Ehe wieder aufgehoben, etwa durch </w:t>
      </w:r>
      <w:r w:rsidRPr="00393116">
        <w:rPr>
          <w:rFonts w:ascii="Garamond" w:hAnsi="Garamond"/>
          <w:i/>
          <w:iCs/>
          <w:sz w:val="20"/>
          <w:szCs w:val="20"/>
          <w:lang w:val="en-US"/>
        </w:rPr>
        <w:t>coitus interruptus</w:t>
      </w:r>
      <w:r w:rsidRPr="00393116">
        <w:rPr>
          <w:rFonts w:ascii="Garamond" w:hAnsi="Garamond"/>
          <w:sz w:val="20"/>
          <w:szCs w:val="20"/>
          <w:lang w:val="en-US"/>
        </w:rPr>
        <w:t>, psychische Entfremdung u. dgl., so sucht die Libido ihr altes Strombett wieder auf und äußert sich wiederum in hysterischen Symptomen.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möchte gerne noch die sichere Auskunft anfügen, wann und durch welchen besonderen Einfluß die Masturbation bei Dora unterdrückt wurde, aber die Unvollständigkeit der Analyse nötigt mich, hier lückenhaftes Material vorzubringen. Wir haben gehört, daß das Bettnässen bis nahe an die erste Erkrankung an Dyspnoe heranreichte. Nun war das einzige, was sie zur Aufklärung dieses ersten Zustandes anzugeben wußte, daß der Papa damals das erstemal nach seiner Besserung verreist gewesen sei. In diesem erhaltenen Stückchen Erinnerung mußte eine Beziehung zur Ätiologie der Dyspnoe angedeutet sein. Ich bekam nun durch Symptomhandlungen und andere Anzeichen guten Grund zur Annahme, daß das Kind, dessen Schlafzimmer sich neben dem der Eltern befand, einen nächtlichen Besuch des Vaters bei seiner Ehefrau belauscht und das Keuchen des ohnedies kurzatmigen Mannes beim Koitus gehört habe. Die Kinder ahnen in solchen Fällen das Sexuelle in dem unheimlichen Geräusche. Die Ausdrucksbewegungen für die sexuelle Erregung liegen ja als mitgeborene Mechanismen in ihnen bereit. Daß die Dyspnoe und das Herzklopfen der Hysterie und Angstneurose nur losgelöste Stücke aus der Koitusaktion sind, habe ich vor Jahren bereits ausgeführt, und in vielen Fällen, wie dem Doras, konnte ich das Symptom der Dyspnoe, des nervösen Asthmas, auf die gleiche Veranlassung, auf das Belauschen des sexuellen Verkehres Erwachsener, zurückführen. Unter dem Einflusse der damals gesetzten Miterregung konnte sehr wohl der Umschwung in der Sexualität der Kleinen eintreten, welcher die Masturbationsneigung durch die Neigung zur Angst ersetzte. Eine Weile später, als der Vater abwesend war und das verliebte Kind seiner sehnsüchtig gedachte, wiederholte sie dann den Eindruck als Asthmaanfall. Aus dem in der Erinnerung bewahrten Anlasse zu dieser Erkrankung läßt sich noch der angstvolle Gedankengang erraten, der den Anfall begleitete. Sie bekam ihn zuerst, nachdem sie sich auf einer Bergpartie überangestrengt, wahrscheinlich etwas reale Atemnot verspürt hatte. Zu dieser trat die Idee, daß dem Vater Bergsteigen verboten sei, daß er sich nicht überanstrengen dürfe, weil er kurzen Atem habe, dann die Erinnerung, wie sehr er sich in der Nacht bei der Mama angestrengt, ob ihm das nicht geschadet habe, dann die Sorge, ob sie sich nicht überangestrengt habe bei der gleichfalls zum sexuellen Orgasmus mit etwas Dyspnoe führenden Masturbation, und dann die verstärkte Wiederkehr dieser Dyspnoe als Symptom. Einen Teil dieses Materials konnte ich noch der Analyse entnehmen, den andern mußte ich ergänzen. Aus der Konstatierung der Masturbation haben wir ja gesehen, daß das Material für ein Thema erst stückweise zu verschiedenen Zeiten und in verschiedenen Zusammenhängen zusammengebracht wird </w:t>
      </w:r>
      <w:hyperlink r:id="rId1021"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In ganz ähnlicher Weise wird der Beweis der infantilen Masturbation auch in anderen Fällen hergestellt. Das Material dafür ist meist ähnlicher Natur: Hinweise auf </w:t>
        </w:r>
        <w:r w:rsidRPr="00393116">
          <w:rPr>
            <w:rStyle w:val="innerfusslink"/>
            <w:rFonts w:ascii="Garamond" w:hAnsi="Garamond"/>
            <w:i/>
            <w:iCs/>
            <w:sz w:val="20"/>
            <w:szCs w:val="20"/>
            <w:lang w:val="en-US"/>
          </w:rPr>
          <w:t>fluor albus</w:t>
        </w:r>
        <w:r w:rsidRPr="00393116">
          <w:rPr>
            <w:rStyle w:val="innerfusslink"/>
            <w:rFonts w:ascii="Garamond" w:hAnsi="Garamond"/>
            <w:sz w:val="20"/>
            <w:szCs w:val="20"/>
            <w:lang w:val="en-US"/>
          </w:rPr>
          <w:t xml:space="preserve">, Bettnässen, Handzeremoniell (Waschzwang) u. dgl. Ob die Gewöhnung von einer Warteperson entdeckt worden ist oder nicht, ob ein Abgewöhnungskampf oder ein plötzlicher Umschwung diese Sexualbetätigung zum Ende geführt hat, läßt sich aus der Symptomatik des Falles jedesmal mit Sicherheit erraten. Bei Dora war die Masturbation unentdeckt geblieben und hatte mit einem Schlage ein Ende gefunden (Geheimnis, Angst vor Ärzten – Ersatz durch Dyspnoe). Die Kranken bestreiten zwar regelmäßig die Beweiskraft dieser Indizien und dies selbst dann, wenn die Erinnerung an den Katarrh oder an die Verwarnung der Mutter (»das mache dumm; es sei giftig«) in bewußter Erinnerung geblieben ist. Aber einige Zeit nachher stellt sich auch die so lange verdrängte Erinnerung an dieses Stück des kindlichen Sexuallebens mit Sicherheit, und zwar bei allen Fällen, ein. – Bei einer Patientin mit Zwangsvorstellungen, welche direkte Abkömmlinge der infantilen Masturbation waren, erwiesen sich die Züge des sich Verbietens, Bestrafens, wenn sie dies eine getan habe, dürfe sie das andere nicht, das Nicht-gestört-werden-Dürfen, das Pausen-Einschieben zwischen einer Verrichtung (mit den Händen) und einer nächsten, das Händewaschen usw. als unverändert erhaltene Stücke der Abgewöhnungsarbeit ihrer Pflegeperson. Die Warnung: »Pfui, das ist giftig!« war das einzige, was dem Gedächtnisse immer erhalten geblieben war. Vgl. hierzu noch meine </w:t>
        </w:r>
        <w:r w:rsidRPr="00393116">
          <w:rPr>
            <w:rStyle w:val="innerfusslink"/>
            <w:rFonts w:ascii="Garamond" w:hAnsi="Garamond"/>
            <w:i/>
            <w:iCs/>
            <w:sz w:val="20"/>
            <w:szCs w:val="20"/>
            <w:lang w:val="en-US"/>
          </w:rPr>
          <w:t>Drei Abhandlungen zur Sexualtheorie</w:t>
        </w:r>
        <w:r w:rsidRPr="00393116">
          <w:rPr>
            <w:rStyle w:val="innerfusslink"/>
            <w:rFonts w:ascii="Garamond" w:hAnsi="Garamond"/>
            <w:sz w:val="20"/>
            <w:szCs w:val="20"/>
            <w:lang w:val="en-US"/>
          </w:rPr>
          <w:t>, (1905).</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Es erheben sich nun eine Reihe der gewichtigsten Fragen zur Ätiologie der Hysterie, ob man den Fall Doras als typisch für die Ätiologie ansehen darf, ob er den einzigen Typus der Verursachung darstellt usw. Allein ich tue gewiß recht daran, die Beantwortung dieser Fragen erst auf die Mitteilung einer größeren Reihe von ähnlich analysierten </w:t>
      </w:r>
      <w:r w:rsidRPr="00393116">
        <w:rPr>
          <w:rFonts w:ascii="Garamond" w:hAnsi="Garamond"/>
          <w:sz w:val="20"/>
          <w:szCs w:val="20"/>
          <w:lang w:val="en-US"/>
        </w:rPr>
        <w:lastRenderedPageBreak/>
        <w:t xml:space="preserve">Fällen warten zu lassen. Ich müßte überdies damit beginnen, die Fragestellung zurechtzurücken. Anstatt mich mit Ja oder Nein darüber zu äußern, ob die Ätiologie dieses Krankheitsfalles in der kindlichen Masturbation zu suchen ist, würde ich zunächst den Begriff der Ätiologie bei den Psychoneurosen zu erörtern haben. Der Standpunkt, von dem aus ich antworten könnte, würde sich als wesentlich verschoben gegen den Standpunkt erweisen, von dem aus die Frage an mich gestellt wird. Genug, wenn wir für diesen Fall zur Überzeugung gelangen, daß hier Kindermasturbation nachweisbar ist, daß sie nichts Zufälliges und nichts für die Gestaltung des Krankheitsbildes Gleichgültiges sein kann </w:t>
      </w:r>
      <w:hyperlink r:id="rId1022"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Mit der Angewöhnung der Masturbation muß der Bruder in irgendwelcher Verbindung sein, denn in diesem Zusammenhang erzählte sie mit dem Nachdrucke, der eine »Deckerinnerung« verrät, daß der Bruder ihr regelmäßig alle Ansteckungen zugetragen, die er selbst leicht, sie aber schwer durchgemacht. Der Bruder wird auch im Traume vor dem »Zugrundegehen« behütet; er hat selbst an Bettnässen gelitten, aber noch vor der Schwester damit aufgehört. In gewissem Sinne war es auch eine »Deckerinnerung«, wenn sie aussprach, bis zu der ersten Krankheit habe sie mit dem Bruder Schritt halten können, von da an sei sie im Lernen gegen ihn zurückgeblieben. Als wäre sie bis dahin ein Bub gewesen, dann erst mädchenhaft geworden. Sie war wirklich ein wildes Ding, vom »Asthma« an wurde sie still und sittig. Diese Erkrankung bildete bei ihr die Grenze zwischen zwei Phasen des Geschlechtslebens, von denen die erste männlichen, die spätere weiblichen Charakter hatte.</w:t>
        </w:r>
      </w:hyperlink>
      <w:r w:rsidRPr="00393116">
        <w:rPr>
          <w:rFonts w:ascii="Garamond" w:hAnsi="Garamond"/>
          <w:sz w:val="20"/>
          <w:szCs w:val="20"/>
          <w:lang w:val="en-US"/>
        </w:rPr>
        <w:t xml:space="preserve">. Uns winkt ein weiteres Verständnis der Symptome bei Dora, wenn wir die Bedeutung des von ihr eingestandenen </w:t>
      </w:r>
      <w:r w:rsidRPr="00393116">
        <w:rPr>
          <w:rFonts w:ascii="Garamond" w:hAnsi="Garamond"/>
          <w:i/>
          <w:iCs/>
          <w:sz w:val="20"/>
          <w:szCs w:val="20"/>
          <w:lang w:val="en-US"/>
        </w:rPr>
        <w:t>fluor albus</w:t>
      </w:r>
      <w:r w:rsidRPr="00393116">
        <w:rPr>
          <w:rFonts w:ascii="Garamond" w:hAnsi="Garamond"/>
          <w:sz w:val="20"/>
          <w:szCs w:val="20"/>
          <w:lang w:val="en-US"/>
        </w:rPr>
        <w:t xml:space="preserve"> ins Auge fassen. Das Wort »Katarrh«, mit dem sie ihre Affektion bezeichnen lernte, als ein ähnliches Leiden der Mutter Franzensbad nötig machte, ist wiederum ein »Wechsel«, welcher der ganzen Reihe von Gedanken über die Krankheitsverschuldung des Papas den Zugang zur Äußerung in dem Symptom des Hustens öffneten. Dieser Husten, der gewiß ursprünglich von einem geringfügigen realen Katarrh herstammte, war ohnedies Nachahmung des auch mit einem Lungenleiden behafteten Vaters und konnte ihrem Mitleid und ihrer Sorge für ihn Ausdruck geben. Außerdem aber rief er gleichsam in die Welt hinaus, was ihr damals vielleicht noch nicht bewußt geworden war: »Ich bin die Tochter von Papa. Ich habe einen Katarrh wie er. Er hat mich krank gemacht, wie er die Mama krank gemacht hat. Von ihm habe ich die bösen Leidenschaften, die sich durch Krankheit strafen.« </w:t>
      </w:r>
      <w:hyperlink r:id="rId1023"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Die nämliche Rolle spielte das Wort bei dem 14jährigen Mädchen, dessen Krankengeschichte ich auf S. 102-3, Anm. [13], in einige Zeilen zusammengedrängt habe. Ich hatte das Kind mit einer intelligenten Dame, die mir die Dienste einer Wärterin leistete, in einer Pension installiert. Die Dame berichtete mir, daß die kleine Patientin ihre Gegenwart beim Zubettegehen nicht dulde und daß sie im Bette auffällig huste, wovon tagsüber nichts zu hören war. Der Kleinen fiel, als sie über diese Symptome befragt wurde, nur ein, daß ihre Großmutter so huste, von der man sage, sie habe einen Katarrh. Es war dann klar, daß auch sie einen Katarrh habe und daß sie bei der abends vorgenommenen Reinigung nicht bemerkt werden wolle. Der Katarrh, der mittels dieses Wortes </w:t>
        </w:r>
        <w:r w:rsidRPr="00393116">
          <w:rPr>
            <w:rStyle w:val="innerfusslink"/>
            <w:rFonts w:ascii="Garamond" w:hAnsi="Garamond"/>
            <w:i/>
            <w:iCs/>
            <w:sz w:val="20"/>
            <w:szCs w:val="20"/>
            <w:lang w:val="en-US"/>
          </w:rPr>
          <w:t>von unten nach oben</w:t>
        </w:r>
        <w:r w:rsidRPr="00393116">
          <w:rPr>
            <w:rStyle w:val="innerfusslink"/>
            <w:rFonts w:ascii="Garamond" w:hAnsi="Garamond"/>
            <w:sz w:val="20"/>
            <w:szCs w:val="20"/>
            <w:lang w:val="en-US"/>
          </w:rPr>
          <w:t xml:space="preserve"> geschoben worden war, zeigte sogar eine nicht gewöhnliche Intensität.</w:t>
        </w:r>
      </w:hyperlink>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Wir können nun den Versuch machen, die verschiedenen Determinierungen, die wir für die Anfälle von Husten und Heiserkeit gefunden haben, zusammenzustellen. Zuunterst in der Schichtung ist ein realer, organisch bedingter Hustenreiz anzunehmen, das Sandkorn also, um welches das Muscheltier die Perle bildet. Dieser Reiz ist fixierbar, weil er eine Körperregion betrifft, welche die Bedeutung einer erogenen Zone bei dem Mädchen in hohem Grade bewahrt hat. Er ist also geeignet dazu, der erregten Libido Ausdruck zu geben. Er wird fixiert durch die wahrscheinlich erste psychische Umkleidung, die Mitleidsimitation für den kranken Vater und dann durch die Selbstvorwürfe wegen des »Katarrhs«. Dieselbe Symptomgruppe zeigt sich ferner fähig, die Beziehungen zu Herrn K. darzustellen, seine Abwesenheit zu bedauern und den Wunsch auszudrücken, ihm eine bessere Frau zu sein. Nachdem ein Teil der Libido sich wieder dem Vater zugewendet, gewinnt das Symptom seine vielleicht letzte Bedeutung zur Darstellung des sexuellen Verkehres mit dem Vater in der Identifizierung mit Frau K. Ich möchte dafür bürgen, daß diese Reihe keineswegs vollständig ist. Leider ist die unvollständige Analyse nicht imstande, dem Wechsel der Bedeutung zeitlich zu folgen, die Reihenfolge und die Koexistenz verschiedener Bedeutungen klarzulegen. An eine vollständige darf man diese Forderungen stellen.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darf nun nicht versäumen, auf weitere Beziehungen des Genitalkatarrhs zu den hysterischen Symptomen Doras einzugehen. Zu Zeiten, als eine psychische Aufklärung der Hysterie noch in weiter Ferne lag, hörte ich ältere, erfahrene Kollegen behaupten, daß bei den hysterischen Patientinnen mit </w:t>
      </w:r>
      <w:r w:rsidRPr="00393116">
        <w:rPr>
          <w:rFonts w:ascii="Garamond" w:hAnsi="Garamond"/>
          <w:i/>
          <w:iCs/>
          <w:sz w:val="20"/>
          <w:szCs w:val="20"/>
          <w:lang w:val="en-US"/>
        </w:rPr>
        <w:t>fluor</w:t>
      </w:r>
      <w:r w:rsidRPr="00393116">
        <w:rPr>
          <w:rFonts w:ascii="Garamond" w:hAnsi="Garamond"/>
          <w:sz w:val="20"/>
          <w:szCs w:val="20"/>
          <w:lang w:val="en-US"/>
        </w:rPr>
        <w:t xml:space="preserve"> eine Verschlimmerung des Katarrhs regelmäßig eine Verschärfung der hysterischen Leiden, besonders der Eßunlust und des Erbrechens nach sich ziehe. Über den Zusammenhang war niemand recht klar, aber ich glaube, man neigte zur Anschauung der Gynäkologen hin, die bekanntlich einen direkten und organisch störenden Einfluß von Genitalaffektionen auf die nervösen Funktionen im breitesten Ausmaße annehmen, wobei uns die therapeutische Probe auf die Rechnung zu allermeist im Stich läßt. Bei dem heutigen Stande unserer Einsicht kann man einen solchen direkten und organischen Einfluß auch nicht für ausgeschlossen erklären, aber leichter nachweisbar ist jedenfalls dessen psychische Umkleidung. Der Stolz auf die Gestaltung der Genitalien ist bei unseren Frauen ein ganz besonderes Stück ihrer Eitelkeit; Affektionen derselben, welche für geeignet gehalten werden, Abneigung oder selbst Ekel einzuflößen, wirken in ganz unglaublicher Weise kränkend, das Selbstgefühl herabsetzend, machen reizbar, empfindlich und mißtrauisch. Die abnorme Sekretion der Scheidenschleimhaut wird als ekelerregend angesehen.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Erinnern wir uns, daß bei Dora nach dem Kusse des Herrn K. eine lebhafte Ekelempfindung eintrat und daß wir Grund fanden, uns ihre Erzählung dieser Kußszene dahin zu vervollständigen, daß sie den Druck des erigierten Gliedes gegen ihren Leib in der Umarmung verspürte. Wir erfahren nun ferner, daß dieselbe Gouvernante, welche sie wegen ihrer Untreue von sich gestoßen hatte, ihr aus eigener Lebenserfahrung vorgetragen hatte, alle Männer </w:t>
      </w:r>
      <w:r w:rsidRPr="00393116">
        <w:rPr>
          <w:rFonts w:ascii="Garamond" w:hAnsi="Garamond"/>
          <w:sz w:val="20"/>
          <w:szCs w:val="20"/>
          <w:lang w:val="en-US"/>
        </w:rPr>
        <w:lastRenderedPageBreak/>
        <w:t xml:space="preserve">seien leichtsinnig und unverläßlich. </w:t>
      </w:r>
      <w:r w:rsidRPr="00393116">
        <w:rPr>
          <w:rFonts w:ascii="Garamond" w:hAnsi="Garamond"/>
          <w:sz w:val="20"/>
          <w:szCs w:val="20"/>
        </w:rPr>
        <w:t xml:space="preserve">Für Dora mußte das heißen, alle Männer seien wie der Papa. </w:t>
      </w:r>
      <w:r w:rsidRPr="00393116">
        <w:rPr>
          <w:rFonts w:ascii="Garamond" w:hAnsi="Garamond"/>
          <w:sz w:val="20"/>
          <w:szCs w:val="20"/>
          <w:lang w:val="en-US"/>
        </w:rPr>
        <w:t xml:space="preserve">Ihren Vater hielt sie aber für geschlechtskrank, hatte er doch diese Krankheit auf sie und auf die Mutter übertragen. Sie konnte sich also vorstellen, alle Männer seien geschlechtskrank, und ihr Begriff von Geschlechtskrankheit war natürlich nach ihrer einzigen und dazu persönlichen Erfahrung gebildet. Geschlechtskrank hieß ihr also mit einem ekelhaften Ausflusse behaftet – ob dies nicht eine weitere Motivierung des Ekels war, den sie im Moment der Umarmung empfand? Dieser auf die Berührung des Mannes übertragene Ekel wäre dann ein nach dem erwähnten primitiven Mechanismus (s. S. 111 f.) projizierter, der sich in letzter Linie auf ihren eigenen </w:t>
      </w:r>
      <w:r w:rsidRPr="00393116">
        <w:rPr>
          <w:rFonts w:ascii="Garamond" w:hAnsi="Garamond"/>
          <w:i/>
          <w:iCs/>
          <w:sz w:val="20"/>
          <w:szCs w:val="20"/>
          <w:lang w:val="en-US"/>
        </w:rPr>
        <w:t>fluor</w:t>
      </w:r>
      <w:r w:rsidRPr="00393116">
        <w:rPr>
          <w:rFonts w:ascii="Garamond" w:hAnsi="Garamond"/>
          <w:sz w:val="20"/>
          <w:szCs w:val="20"/>
          <w:lang w:val="en-US"/>
        </w:rPr>
        <w:t xml:space="preserve"> bezog.</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vermute, daß es sich hiebei um unbewußte Gedankengänge handelt, welche über vorgebildete organische Zusammenhänge gezogen sind, etwa wie Blumenfestons über Drahtgewinde, so daß man ein andermal andere Gedankenwege zwischen den nämlichen Ausgangs- und Endpunkten eingeschaltet finden kann. Doch ist die Kenntnis der im einzelnen wirksam gewesenen Gedankenverbindungen für die Lösung der Symptome von unersetzlichem Werte. Daß wir im Falle Doras zu Vermutungen und Ergänzungen greifen müssen, ist nur durch den vorzeitigen Abbruch der Analyse begründet. Was ich zur Ausfüllung der Lücken vorbringe, lehnt sich durchweg an andere, gründlich analysierte Fälle an.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Der Traum, durch dessen Analyse wir die vorstehenden Aufschlüsse gewonnen haben, entspricht, wie wir fanden, einem Vorsatze, den Dora in den Schlaf mitnimmt. Er wird darum jede Nacht wiederholt, bis der Vorsatz erfüllt ist, und er tritt Jahre später wieder auf, sowie sich ein Anlaß ergibt, einen analogen Vorsatz zu fassen. Der Vorsatz läßt sich bewußt etwa folgendermaßen aussprechen: Fort aus diesem Hause, in dem, wie ich gesehen habe, meiner Jungfräulichkeit Gefahr droht; ich reise mit dem Papa ab, und morgens bei der Toilette will ich meine Vorsichten treffen, nicht überrascht zu werden. Diese Gedanken finden ihren deutlichen Ausdruck im Traume; sie gehören einer Strömung an, die im Wachleben zum Bewußtsein und zur Herrschaft gelangt ist. Hinter ihnen läßt sich ein dunkler vertretener Gedankenzug erraten, welcher der gegenteiligen Strömung entspricht und darum der Unterdrückung verfallen ist. Er gipfelt in der Versuchung, sich dem Manne zum Danke für die ihr in den letzten Jahren bewiesene Liebe und Zärtlichkeit hinzugeben, und ruft vielleicht die Erinnerung an den einzigen Kuß auf, den sie bisher von ihm empfangen hat. Aber nach der in meiner </w:t>
      </w:r>
      <w:r w:rsidRPr="00393116">
        <w:rPr>
          <w:rFonts w:ascii="Garamond" w:hAnsi="Garamond"/>
          <w:i/>
          <w:iCs/>
          <w:sz w:val="20"/>
          <w:szCs w:val="20"/>
          <w:lang w:val="en-US"/>
        </w:rPr>
        <w:t>Traumdeutung</w:t>
      </w:r>
      <w:r w:rsidRPr="00393116">
        <w:rPr>
          <w:rFonts w:ascii="Garamond" w:hAnsi="Garamond"/>
          <w:sz w:val="20"/>
          <w:szCs w:val="20"/>
          <w:lang w:val="en-US"/>
        </w:rPr>
        <w:t xml:space="preserve"> entwickelten Theorie reichen solche Elemente nicht hin, um einen Traum zu bilden. Ein Traum sei kein Vorsatz, der als ausgeführt, sondern ein Wunsch, der als erfüllt dargestellt wird; und zwar womöglich ein Wunsch aus dem Kinderleben. Wir haben die Verpflichtung zu prüfen, ob dieser Satz nicht durch unseren Traum widerlegt wird.</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Der Traum enthält in der Tat infantiles Material, welches in keiner auf den ersten Blick ergründbaren Beziehung zum Vorsatze steht, das Haus des Herrn K. und die von ihm ausgehende Versuchung zu fliehen. Wozu taucht wohl die Erinnerung an das Bettnässen als Kind und an die Mühe auf, die sich der Vater damals gab, das Kind rein zu gewöhnen? Man kann darauf die Antwort geben, weil es nur mit Hilfe dieses Gedankenzuges möglich ist, die intensiven Versuchungsgedanken zu unterdrücken und den gegen sie gefaßten Vorsatz zur Herrschaft zu bringen. Das Kind beschließt, </w:t>
      </w:r>
      <w:r w:rsidRPr="00393116">
        <w:rPr>
          <w:rFonts w:ascii="Garamond" w:hAnsi="Garamond"/>
          <w:i/>
          <w:iCs/>
          <w:sz w:val="20"/>
          <w:szCs w:val="20"/>
          <w:lang w:val="en-US"/>
        </w:rPr>
        <w:t>mit</w:t>
      </w:r>
      <w:r w:rsidRPr="00393116">
        <w:rPr>
          <w:rFonts w:ascii="Garamond" w:hAnsi="Garamond"/>
          <w:sz w:val="20"/>
          <w:szCs w:val="20"/>
          <w:lang w:val="en-US"/>
        </w:rPr>
        <w:t xml:space="preserve"> seinem Vater zu flüchten; in Wirklichkeit flüchtet es sich in der Angst vor dem ihm nachstellenden Manne </w:t>
      </w:r>
      <w:r w:rsidRPr="00393116">
        <w:rPr>
          <w:rFonts w:ascii="Garamond" w:hAnsi="Garamond"/>
          <w:i/>
          <w:iCs/>
          <w:sz w:val="20"/>
          <w:szCs w:val="20"/>
          <w:lang w:val="en-US"/>
        </w:rPr>
        <w:t>zu</w:t>
      </w:r>
      <w:r w:rsidRPr="00393116">
        <w:rPr>
          <w:rFonts w:ascii="Garamond" w:hAnsi="Garamond"/>
          <w:sz w:val="20"/>
          <w:szCs w:val="20"/>
          <w:lang w:val="en-US"/>
        </w:rPr>
        <w:t xml:space="preserve"> seinem Vater; es ruft eine infantile Neigung zum Vater wach, die es gegen die rezente zu dem Fremden schützen soll. An der gegenwärtigen Gefahr ist der Vater selbst mitschuldig, der sie wegen eigener Liebesinteressen dem fremden Manne ausgeliefert hat. Wie viel schöner war es doch, als derselbe Vater niemanden anderen lieber hatte als sie und sich bemühte, sie vor den Gefahren, die sie damals bedrohten, zu retten. Der infantile und heute unbewußte Wunsch, den Vater an die Stelle des fremden Mannes zu setzen, ist eine traumbildende Potenz. Wenn es eine Situation gegeben hat, die ähnlich einer der gegenwärtigen sich doch durch diese Personvertretung von ihr unterschied, so wird diese zur Hauptsituation des Trauminhaltes. Es gibt eine solche; geradeso wie am Vortage Herr K., stand einst der Vater vor ihrem Bette und weckte sie etwa mit einem Kusse, wie vielleicht Herr K. beabsichtigt hatte. Der Vorsatz, das Haus zu fliehen, ist also nicht an und für sich traumfähig, er wird es dadurch, daß sich ihm ein anderer, auf infantile Wünsche gestützter Vorsatz beigesellt. Der Wunsch, Herrn K. durch den Vater zu ersetzen, gibt die Triebkraft zum Traume ab. Ich erinnere an die Deutung, zu der mich der verstärkte, auf das Verhältnis des Vaters zu Frau K. bezügliche Gedankenzug nötigte, es sei hier eine infantile Neigung zum Vater wachgerufen worden, um die verdrängte Liebe zu Herrn K. in der Verdrängung erhalten zu können; diesen Umschwung im Seelenleben der Patientin spiegelt der Traum wider.</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Über das Verhältnis zwischen den in den Schlaf sich fortsetzenden Wachgedanken – den Tagesresten – und dem unbewußten traumbildenden Wunsche habe ich in der </w:t>
      </w:r>
      <w:r w:rsidRPr="00393116">
        <w:rPr>
          <w:rFonts w:ascii="Garamond" w:hAnsi="Garamond"/>
          <w:i/>
          <w:iCs/>
          <w:sz w:val="20"/>
          <w:szCs w:val="20"/>
          <w:lang w:val="en-US"/>
        </w:rPr>
        <w:t>Traumdeutung</w:t>
      </w:r>
      <w:r w:rsidRPr="00393116">
        <w:rPr>
          <w:rFonts w:ascii="Garamond" w:hAnsi="Garamond"/>
          <w:sz w:val="20"/>
          <w:szCs w:val="20"/>
          <w:lang w:val="en-US"/>
        </w:rPr>
        <w:t xml:space="preserve"> einige Bemerkungen niedergelegt, die ich hier unverändert zitieren werde, denn ich habe ihnen nichts hinzuzufügen, und die Analyse dieses Traumes von Dora beweist von neuem, daß es sich nicht anders verhält.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will zugeben, daß es eine ganze Klasse von Träumen gibt, zu denen die </w:t>
      </w:r>
      <w:r w:rsidRPr="00393116">
        <w:rPr>
          <w:rFonts w:ascii="Garamond" w:hAnsi="Garamond"/>
          <w:i/>
          <w:iCs/>
          <w:sz w:val="20"/>
          <w:szCs w:val="20"/>
          <w:lang w:val="en-US"/>
        </w:rPr>
        <w:t>Anregung</w:t>
      </w:r>
      <w:r w:rsidRPr="00393116">
        <w:rPr>
          <w:rFonts w:ascii="Garamond" w:hAnsi="Garamond"/>
          <w:sz w:val="20"/>
          <w:szCs w:val="20"/>
          <w:lang w:val="en-US"/>
        </w:rPr>
        <w:t xml:space="preserve"> vorwiegend oder selbst ausschließlich aus den Resten des Tageslebens stammt, und ich meine, selbst mein Wunsch, endlich einmal Professor extraordinarius zu werden </w:t>
      </w:r>
      <w:hyperlink r:id="rId1024"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Dies bezieht sich auf die Analyse des dort zum Muster genommenen Traumes.</w:t>
        </w:r>
      </w:hyperlink>
      <w:r w:rsidRPr="00393116">
        <w:rPr>
          <w:rFonts w:ascii="Garamond" w:hAnsi="Garamond"/>
          <w:sz w:val="20"/>
          <w:szCs w:val="20"/>
          <w:lang w:val="en-US"/>
        </w:rPr>
        <w:t xml:space="preserve">, hätte mich diese Nacht ruhig schlafen lassen können, wäre nicht die Sorge um die Gesundheit meines Freundes vom Tage her noch rührig gewesen. Aber diese Sorge hätte noch keinen Traum gemacht; die </w:t>
      </w:r>
      <w:r w:rsidRPr="00393116">
        <w:rPr>
          <w:rFonts w:ascii="Garamond" w:hAnsi="Garamond"/>
          <w:i/>
          <w:iCs/>
          <w:sz w:val="20"/>
          <w:szCs w:val="20"/>
          <w:lang w:val="en-US"/>
        </w:rPr>
        <w:t>Triebkraft</w:t>
      </w:r>
      <w:r w:rsidRPr="00393116">
        <w:rPr>
          <w:rFonts w:ascii="Garamond" w:hAnsi="Garamond"/>
          <w:sz w:val="20"/>
          <w:szCs w:val="20"/>
          <w:lang w:val="en-US"/>
        </w:rPr>
        <w:t xml:space="preserve">, die der Traum bedurfte, mußte von einem Wunsche beigesteuert werden; es war Sache der Besorgnis, sich einen solchen Wunsch als Triebkraft des Traumes zu verschaffen. Um es in einem Gleichnisse zu sagen: Es ist sehr wohl möglich, daß ein Tagesgedanke die Rolle des </w:t>
      </w:r>
      <w:r w:rsidRPr="00393116">
        <w:rPr>
          <w:rFonts w:ascii="Garamond" w:hAnsi="Garamond"/>
          <w:i/>
          <w:iCs/>
          <w:sz w:val="20"/>
          <w:szCs w:val="20"/>
          <w:lang w:val="en-US"/>
        </w:rPr>
        <w:t>Unternehmers</w:t>
      </w:r>
      <w:r w:rsidRPr="00393116">
        <w:rPr>
          <w:rFonts w:ascii="Garamond" w:hAnsi="Garamond"/>
          <w:sz w:val="20"/>
          <w:szCs w:val="20"/>
          <w:lang w:val="en-US"/>
        </w:rPr>
        <w:t xml:space="preserve"> für den Traum spielt; aber der Unternehmer, der, wie man sagt, die Idee hat und den Drang, sie in Tat umzusetzen, kann doch ohne Kapital nichts machen; er braucht einen Kapitalisten, der </w:t>
      </w:r>
      <w:r w:rsidRPr="00393116">
        <w:rPr>
          <w:rFonts w:ascii="Garamond" w:hAnsi="Garamond"/>
          <w:sz w:val="20"/>
          <w:szCs w:val="20"/>
          <w:lang w:val="en-US"/>
        </w:rPr>
        <w:lastRenderedPageBreak/>
        <w:t xml:space="preserve">den Aufwand bestreitet, und dieser Kapitalist, der den psychischen Aufwand für den Traum beistellt, ist allemal und unweigerlich, was immer auch der Tagesgedanke sein mag, </w:t>
      </w:r>
      <w:r w:rsidRPr="00393116">
        <w:rPr>
          <w:rFonts w:ascii="Garamond" w:hAnsi="Garamond"/>
          <w:i/>
          <w:iCs/>
          <w:sz w:val="20"/>
          <w:szCs w:val="20"/>
          <w:lang w:val="en-US"/>
        </w:rPr>
        <w:t>ein Wunsch aus dem Unbewußten</w:t>
      </w:r>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Wer die Feinheit in der Struktur solcher Gebilde wie der Träume kennengelernt hat, wird nicht überrascht sein zu finden, daß der Wunsch, der Vater möge die Stelle des versuchenden Mannes einnehmen, nicht etwa beliebiges Kindheitsmaterial zur Erinnerung bringt, sondern gerade solches, das auch die intimsten Beziehungen zur Unterdrückung dieser Versuchung unterhält. Denn wenn Dora sich unfähig fühlt, der Liebe zu diesem Manne nachzugeben, wenn es zur Verdrängung dieser Liebe anstatt zur Hingebung kommt, so hängt diese Entscheidung mit keinem anderen Moment inniger zusammen als mit ihrem vorzeitigen Sexualgenusse und mit dessen Folgen, dem Bettnässen, dem Katarrh und dem Ekel. Eine solche Vorgeschichte kann je nach der Summation der konstitutionellen Bedingungen zweierlei Verhalten gegen die Liebesanforderung in reifer Zeit begründen, entweder die volle widerstandslose, ins Perverse greifende Hingebung an die Sexualität oder in der Reaktion die Ablehnung derselben unter neurotischer Erkrankung. Konstitution und die Höhe der intellektuellen und moralischen Erziehung hatten bei unserer Patientin für das letztere den Ausschlag gegeben.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will noch besonders darauf aufmerksam machen, daß wir von der Analyse dieses Traumes aus den Zugang zu Einzelheiten der pathogen wirksamen Erlebnisse gefunden haben, die der Erinnerung oder wenigstens der Reproduktion sonst nicht zugänglich gewesen waren. Die Erinnerung an das Bettnässen der Kindheit war, wie sich ergab, bereits verdrängt. Die Einzelheiten der Nachstellung von Seiten des Herrn K. hatte Dora niemals erwähnt, sie waren ihr nicht eingefallen.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Noch einige Bemerkungen zur Synthese dieses Traumes. Die Traumarbeit nimmt ihren Anfang am Nachmittage des zweiten Tages nach der Szene im Walde, nachdem sie bemerkt, daß sie ihr Zimmer nicht mehr verschließen kann. Da sagt sie sich: Hier droht mir ernste Gefahr, und bildet den Vorsatz, nicht allein im Hause zu bleiben, sondern mit dem Papa abzureisen. Dieser Vorsatz wird traumbildungsfähig, weil er sich ins Unbewußte fortzusetzen vermag. Dort entspricht ihm, daß sie die infantile Liebe zum Vater als Schutz gegen die aktuelle Versuchung aufruft. Die Wendung, die sich dabei in ihr vollzieht, fixiert sich und führt sie auf den Standpunkt, den ihr </w:t>
      </w:r>
      <w:r w:rsidRPr="00393116">
        <w:rPr>
          <w:rFonts w:ascii="Garamond" w:hAnsi="Garamond"/>
          <w:i/>
          <w:iCs/>
          <w:sz w:val="20"/>
          <w:szCs w:val="20"/>
          <w:lang w:val="en-US"/>
        </w:rPr>
        <w:t>überwertiger</w:t>
      </w:r>
      <w:r w:rsidRPr="00393116">
        <w:rPr>
          <w:rFonts w:ascii="Garamond" w:hAnsi="Garamond"/>
          <w:sz w:val="20"/>
          <w:szCs w:val="20"/>
          <w:lang w:val="en-US"/>
        </w:rPr>
        <w:t xml:space="preserve"> Gedankengang vertritt (Eifersucht gegen Frau K. wegen des Vaters, als ob sie in ihn verliebt wäre). Es kämpfen in ihr die Versuchung, dem werbenden Manne nachzugeben, und das zusammengesetzte Sträuben dagegen. Letzteres ist zusammengesetzt aus Motiven der Wohlanständigkeit und Besonnenheit, aus feindseligen Regungen infolge der Eröffnung der Gouvernante (Eifersucht, gekränkter Stolz, siehe unten) und aus einem neurotischen Elemente, dem in ihr vorbereiteten Stücke Sexualabneigung, welches auf ihrer Kindergeschichte fußt. Die zum Schutze gegen die Versuchung wachgerufene Liebe zum Vater stammt aus dieser Kindergeschichte.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Der Traum verwandelt den im Unbewußten vertieften Vorsatz, sich zum Vater zu flüchten, in eine Situation, die den Wunsch, der Vater möge sie aus der Gefahr retten, erfüllt zeigt. Dabei ist ein im Wege stehender Gedanke beiseite zu schieben, der Vater ist es ja, der sie in diese Gefahr gebracht hat. Die hier unterdrückte feindselige Regung (Racheneigung) gegen den Vater werden wir als einen der Motoren des zweiten Traumes kennenlernen.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Nach den Bedingungen der Traumbildung wird die phantasierte Situation so gewählt, daß sie eine infantile Situation wiederholt. Ein besonderer Triumph ist es, wenn es gelingt, eine rezente, etwa gerade die Situation des Traumanlasses, in eine infantile zu verwandeln. Das gelingt hier durch reine Zufälligkeit des Materials. So wie Herr K. vor ihrem Lager gestanden und sie geweckt, so tat es oft in Kinderjahren der Vater. Ihre ganze Wendung läßt sich treffend symbolisieren, indem sie in dieser Situation Herrn K. durch den Vater ersetzt.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Der Vater weckte sie aber seinerzeit, damit sie das Bett nicht naß mache.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Dieses »Naß« wird bestimmend für den weiteren Trauminhalt, in welchem es aber nur durch eine entfernte Anspielung und durch seinen Gegensatz vertreten ist.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rPr>
        <w:t xml:space="preserve">Der Gegensatz von »Naß«, »Wasser« kann leicht »Feuer«, »Brennen« sein. Die Zufälligkeit, daß der Vater bei der Ankunft an dem Orte Angst vor Feuersgefahr geäußert hatte, hilft mit, um zu entscheiden, daß die Gefahr, aus welcher der Vater sie rettet, eine Brandgefahr sei. Auf diesen Zufall und auf den Gegensatz zu »Naß« stützt sich die gewählte Situation des Traumbildes: Es brennt, der Vater steht vor ihrem Bette, um sie zu wecken. Die zufällige Äußerung des Vaters gelangte wohl nicht zu dieser Bedeutung im Trauminhalte, wenn sie nicht so vortrefflich zu der siegreichen Gefühlsströmung stimmen würde, die in dem Vater durchaus den Helfer und Retter finden will. </w:t>
      </w:r>
      <w:r w:rsidRPr="00393116">
        <w:rPr>
          <w:rFonts w:ascii="Garamond" w:hAnsi="Garamond"/>
          <w:sz w:val="20"/>
          <w:szCs w:val="20"/>
          <w:lang w:val="en-US"/>
        </w:rPr>
        <w:t>Er hat die Gefahr gleich bei der Ankunft geahnt, er hat recht gehabt! (In Wirklichkeit hatte er das Mädchen in diese Gefahr gebracht.)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In den Traumgedanken fällt dem »Naß« infolge leicht herstellbarer Beziehungen die Rolle eines Knotenpunktes für mehrere Vorstellungskreise zu. »Naß« gehört nicht allein dem Bettnässen an, sondern auch dem Kreise der sexuellen Versuchungsgedanken, die unterdrückt hinter diesem Trauminhalte stehen. Sie weiß, daß es auch ein Naßwerden beim sexuellen Verkehre gibt, daß der Mann dem Weib etwas Flüssiges in </w:t>
      </w:r>
      <w:r w:rsidRPr="00393116">
        <w:rPr>
          <w:rFonts w:ascii="Garamond" w:hAnsi="Garamond"/>
          <w:i/>
          <w:iCs/>
          <w:sz w:val="20"/>
          <w:szCs w:val="20"/>
          <w:lang w:val="en-US"/>
        </w:rPr>
        <w:t>Tropfenform</w:t>
      </w:r>
      <w:r w:rsidRPr="00393116">
        <w:rPr>
          <w:rFonts w:ascii="Garamond" w:hAnsi="Garamond"/>
          <w:sz w:val="20"/>
          <w:szCs w:val="20"/>
          <w:lang w:val="en-US"/>
        </w:rPr>
        <w:t xml:space="preserve"> bei der Begattung schenkt. Sie weiß, daß gerade darin die Gefahr besteht, daß ihr die Aufgabe gestellt wird, das Genitale vor dem Benetztwerden zu hüten.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Mit »Naß« und »Tropfen« erschließt sich gleichzeitig der andere Assoziationskreis, der des ekelhaften Katarrhs, der in ihren reiferen Jahren wohl die nämliche beschämende Bedeutung hat wie in der Kinderzeit das Bettnässen. »Naß« wird hier gleichbedeutend mit »verunreinigt«. Das Genitale, das reingehalten werden soll, ist ja schon durch den Katarrh verunreinigt, übrigens bei der Mama geradeso wie bei ihr (S. 146). Sie scheint zu verstehen, daß die Reinlichkeitssucht der Mama die Reaktion gegen diese Verunreinigung ist.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lastRenderedPageBreak/>
        <w:t xml:space="preserve">Beide Kreise treffen in dem einen zusammen: Die Mama hat beides vom Papa bekommen, das sexuelle Naß und den verunreinigenden </w:t>
      </w:r>
      <w:r w:rsidRPr="00393116">
        <w:rPr>
          <w:rFonts w:ascii="Garamond" w:hAnsi="Garamond"/>
          <w:i/>
          <w:iCs/>
          <w:sz w:val="20"/>
          <w:szCs w:val="20"/>
          <w:lang w:val="en-US"/>
        </w:rPr>
        <w:t>fluor</w:t>
      </w:r>
      <w:r w:rsidRPr="00393116">
        <w:rPr>
          <w:rFonts w:ascii="Garamond" w:hAnsi="Garamond"/>
          <w:sz w:val="20"/>
          <w:szCs w:val="20"/>
          <w:lang w:val="en-US"/>
        </w:rPr>
        <w:t>. Die Eifersucht gegen die Mama ist untrennbar von dem Gedankenkreise der hier zum Schutze aufgerufenen infantilen Liebe zum Vater. Aber darstellungsfähig ist dieses Material noch nicht. Läßt sich aber eine Erinnerung finden, die mit beiden Kreisen des »Naß« in ähnlich guter Beziehung steht, aber das Anstößige vermeidet, so wird diese die Vertretung im Trauminhalte übernehmen können.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Eine solche findet sich in der Begebenheit von den »Tropfen«, die sich die Mama als Schmuck gewünscht. Anscheinend ist die Verknüpfung dieser Reminiszenz mit den beiden Kreisen des sexuellen Naß und der Verunreinigung eine äußerliche, oberflächliche, durch die Worte vermittelt, denn »Tropfen« ist als »Wechsel«, als zweideutiges Wort verwendet, und »Schmuck« ist so viel als »rein«, ein etwas gezwungener Gegensatz zu »verunreinigt«. In Wirklichkeit sind die festesten inhaltlichen Verknüpfungen nachweisbar. Die Erinnerung stammt aus dem Material der infantil wurzelnden, aber weit fortgesetzten Eifersucht gegen die Mama. Über die beiden Wortbrücken kann alle Bedeutung, die an den Vorstellungen vom sexuellen Verkehre zwischen den Eltern, von der Fluorerkrankung und von der quälenden Reinmacherei der Mama haftet, auf die eine Reminiszenz von den »Schmucktropfen« übergeführt werden.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Doch muß noch eine weitere Verschiebung für den Trauminhalt Platz greifen. Nicht das dem ursprünglichen »Naß« nähere »Tropfen«, sondern das entferntere »Schmuck« gelangt zur Aufnahme in den Traum. Es hätte also heißen können, wenn dieses Element in die vorher fixierte Traumsituation eingefügt wird: Die Mama will noch ihren Schmuck retten. In der neuen Abänderung »Schmuckkästchen« macht sich nun nachträglich der Einfluß von Elementen aus dem unterliegenden Kreise der Versuchung durch Herrn K. geltend. Schmuck hat ihr Herr K. nicht geschenkt, wohl aber ein »Kästchen« dafür, die Vertretung all der Auszeichnungen und Zärtlichkeiten, für die sie jetzt dankbar sein sollte. Und das jetzt entstandene Kompositum »Schmuckkästchen« hat noch einen besonderen vertretenden Wert. Ist »Schmuckkästchen« nicht ein gebräuchliches Bild für das unbefleckte, unversehrte, weibliche Genitale? Und anderseits ein harmloses Wort, also vortrefflich geeignet, die sexuellen Gedanken hinter dem Traum ebensosehr anzudeuten wie zu verstecken?</w:t>
      </w:r>
    </w:p>
    <w:p w:rsidR="00822836" w:rsidRPr="00393116" w:rsidRDefault="00822836" w:rsidP="00822836">
      <w:pPr>
        <w:pStyle w:val="Sansinterligne"/>
        <w:rPr>
          <w:rFonts w:ascii="Garamond" w:hAnsi="Garamond"/>
          <w:sz w:val="20"/>
          <w:szCs w:val="20"/>
        </w:rPr>
      </w:pPr>
      <w:r w:rsidRPr="00393116">
        <w:rPr>
          <w:rFonts w:ascii="Garamond" w:hAnsi="Garamond"/>
          <w:sz w:val="20"/>
          <w:szCs w:val="20"/>
          <w:lang w:val="en-US"/>
        </w:rPr>
        <w:t xml:space="preserve">So heißt es also im Trauminhalte an zwei Stellen: »Schmuckkästchen der Mama«, und dies Element ersetzt die Erwähnung der infantilen Eifersucht, der Tropfen, also des sexuellen Nassen, der Verunreinigung durch den </w:t>
      </w:r>
      <w:r w:rsidRPr="00393116">
        <w:rPr>
          <w:rFonts w:ascii="Garamond" w:hAnsi="Garamond"/>
          <w:i/>
          <w:iCs/>
          <w:sz w:val="20"/>
          <w:szCs w:val="20"/>
          <w:lang w:val="en-US"/>
        </w:rPr>
        <w:t>fluor</w:t>
      </w:r>
      <w:r w:rsidRPr="00393116">
        <w:rPr>
          <w:rFonts w:ascii="Garamond" w:hAnsi="Garamond"/>
          <w:sz w:val="20"/>
          <w:szCs w:val="20"/>
          <w:lang w:val="en-US"/>
        </w:rPr>
        <w:t xml:space="preserve"> und anderseits der jetzt aktuellen Versuchungsgedanken, die auf Gegenliebe dringen und die bevorstehende - ersehnte und drohende – sexuelle Situation ausmalen. Das Element »Schmuckkästchen« ist wie kein anderes ein Verdichtungs- und Verschiebungsergebnis und ein Kompromiß gegensätzlicher Strömungen. </w:t>
      </w:r>
      <w:r w:rsidRPr="00393116">
        <w:rPr>
          <w:rFonts w:ascii="Garamond" w:hAnsi="Garamond"/>
          <w:sz w:val="20"/>
          <w:szCs w:val="20"/>
        </w:rPr>
        <w:t>Auf seine mehrfache Herkunft – aus infantiler wie aus aktueller Quelle – deutet wohl sein zweimaliges Auftreten im Trauminhalte.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rPr>
        <w:t xml:space="preserve">Der Traum ist die Reaktion auf ein frisches, erregend wirkendes Erlebnis, welches notwendigerweise die Erinnerung an das einzige analoge Erlebnis früherer Jahre wecken muß. Dies ist die Szene mit dem Kusse im Laden, bei dem der Ekel auftrat. Dieselbe Szene ist aber assoziativ von anderswoher zugänglich, von dem Gedankenkreise des Katarrhs (vgl. S. 152) und von dem der aktuellen Versuchung aus. </w:t>
      </w:r>
      <w:r w:rsidRPr="00393116">
        <w:rPr>
          <w:rFonts w:ascii="Garamond" w:hAnsi="Garamond"/>
          <w:sz w:val="20"/>
          <w:szCs w:val="20"/>
          <w:lang w:val="en-US"/>
        </w:rPr>
        <w:t>Sie liefert also einen eigenen Beitrag zum Trauminhalte, der sich der vorgebildeten Situation anpassen muß. Es brennt ... der Kuß hat wohl nach Rauch geschmeckt, sie riecht also Rauch im Trauminhalte, der sich hier über das Erwachen fortsetzt.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In der Analyse dieses Traumes habe ich leider aus Unachtsamkeit eine Lücke gelassen. Dem Vater ist die Rede in den Mund gelegt: Ich will nicht, daß meine beiden Kinder usw. (hier ist wohl aus den Traumgedanken einzufügen: an den Folgen der Masturbation) zugrunde gehen. Solche Traumrede ist regelmäßig aus Stücken realer, gehaltener oder gehörter Rede zusammengesetzt. Ich hätte mich nach der realen Herkunft dieser Rede erkundigen sollen. Das Ergebnis dieser Nachfrage hätte den Aufbau des Traumes zwar verwickelter ergeben, aber dabei gewiß auch durchsichtiger erkennen lassen.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Soll man annehmen, daß dieser Traum damals in L. genau den nämlichen Inhalt gehabt hat wie bei seiner Wiederholung während der Kur? Es scheint nicht notwendig. Die Erfahrung zeigt, daß die Menschen häufig behaupten, sie hätten denselben Traum gehabt, während sich die einzelnen Erscheinungen des wiederkehrenden Traumes durch zahlreiche Details und sonst weitgehende Abänderungen unterscheiden. So berichtet eine meiner Patientinnen, sie habe heute wieder ihren stets in gleicher Weise wiederkehrenden Lieblingstraum gehabt, daß sie im blauen Meere schwimme, mit Genuß die Wogen teile usw. Nähere Nachforschung ergibt, daß auf dem gemeinsamen Untergrunde das eine Mal dies, das andere Mal jenes Detail aufgetragen ist; ja, einmal schwamm sie im Meere, während es gefroren war, mitten zwischen Eisbergen. Andere Träume, die sie selbst nicht mehr für die nämlichen auszugeben versucht, zeigen sich mit diesen wiederkehrenden innig verknüpft. Sie sieht z. B. nach einer Fotografie gleichzeitig das Ober- und das Unterland von Helgoland in realen Dimensionen, auf dem Meere ein Schiff, in dem sich zwei Jugendbekannte von ihr befinden usw.</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Sicher ist, daß der während der Kur vorfallende Traum Doras - vielleicht ohne seinen manifesten Inhalt zu ändern – eine neue aktuelle Bedeutung gewonnen hatte. Er schloß unter seinen Traumgedanken eine Beziehung zu meiner Behandlung ein und entsprach einer Erneuerung des damaligen Vorsatzes, sich einer Gefahr zu entziehen. Wenn keine Erinnerungstäuschung von ihrer Seite im Spiele war, als sie behauptete, den Rauch nach dem Erwachen schon in L. verspürt zu haben, so ist anzuerkennen, daß sie meinen Ausspruch: »Wo Rauch ist, da ist Feuer« sehr geschickt unter die fertige Traumform gebracht, wo er zur Überdeterminierung des letzten Elementes verwendet erscheint. Ein unleugbarer Zufall war es, daß ihr der letzte aktuelle Anlaß, das Verschließen des Speisezimmers von Seiten der Mutter, wodurch der Bruder in seinem Schlafräume eingeschlossen blieb, eine Anknüpfung an die Nachstellung des Herrn K. in L. brachte, wo ihr Entschluß zur Reife kam, als sie ihr Schlafzimmer nicht verschließen konnte. </w:t>
      </w:r>
      <w:r w:rsidRPr="00393116">
        <w:rPr>
          <w:rFonts w:ascii="Garamond" w:hAnsi="Garamond"/>
          <w:sz w:val="20"/>
          <w:szCs w:val="20"/>
          <w:lang w:val="en-US"/>
        </w:rPr>
        <w:lastRenderedPageBreak/>
        <w:t>Vielleicht kam der Bruder in den damaligen Träumen nicht vor, so daß die Rede »meine beiden Kinder« erst nach dem letzten Anlasse in den Trauminhalt gelangte.</w:t>
      </w:r>
    </w:p>
    <w:p w:rsidR="00822836" w:rsidRDefault="00822836" w:rsidP="00822836">
      <w:pPr>
        <w:rPr>
          <w:rFonts w:ascii="Garamond" w:hAnsi="Garamond"/>
          <w:sz w:val="20"/>
          <w:szCs w:val="20"/>
          <w:lang w:val="en-US"/>
        </w:rPr>
      </w:pPr>
      <w:r>
        <w:rPr>
          <w:rFonts w:ascii="Garamond" w:hAnsi="Garamond"/>
          <w:sz w:val="20"/>
          <w:szCs w:val="20"/>
          <w:lang w:val="en-US"/>
        </w:rPr>
        <w:br w:type="page"/>
      </w:r>
    </w:p>
    <w:p w:rsidR="00822836" w:rsidRPr="00244833" w:rsidRDefault="00B437A1" w:rsidP="00822836">
      <w:pPr>
        <w:pStyle w:val="Sansinterligne"/>
        <w:rPr>
          <w:rFonts w:ascii="Garamond" w:hAnsi="Garamond"/>
          <w:b/>
          <w:sz w:val="20"/>
          <w:szCs w:val="20"/>
          <w:lang w:val="en-US"/>
        </w:rPr>
      </w:pPr>
      <w:hyperlink w:anchor="DoraInhalt" w:history="1">
        <w:r w:rsidR="00822836" w:rsidRPr="00244833">
          <w:rPr>
            <w:rStyle w:val="Lienhypertexte"/>
            <w:rFonts w:ascii="Garamond" w:hAnsi="Garamond"/>
            <w:b/>
            <w:sz w:val="20"/>
            <w:szCs w:val="20"/>
            <w:lang w:val="en-US"/>
          </w:rPr>
          <w:t>III. De</w:t>
        </w:r>
        <w:bookmarkStart w:id="224" w:name="Dora3"/>
        <w:bookmarkEnd w:id="224"/>
        <w:r w:rsidR="00822836" w:rsidRPr="00244833">
          <w:rPr>
            <w:rStyle w:val="Lienhypertexte"/>
            <w:rFonts w:ascii="Garamond" w:hAnsi="Garamond"/>
            <w:b/>
            <w:sz w:val="20"/>
            <w:szCs w:val="20"/>
            <w:lang w:val="en-US"/>
          </w:rPr>
          <w:t>r zweite Traum</w:t>
        </w:r>
      </w:hyperlink>
      <w:r w:rsidR="00822836" w:rsidRPr="00244833">
        <w:rPr>
          <w:rFonts w:ascii="Garamond" w:hAnsi="Garamond"/>
          <w:b/>
          <w:sz w:val="20"/>
          <w:szCs w:val="20"/>
          <w:lang w:val="en-US"/>
        </w:rPr>
        <w:t xml:space="preserve"> </w:t>
      </w:r>
    </w:p>
    <w:p w:rsidR="00822836" w:rsidRPr="00393116" w:rsidRDefault="00822836" w:rsidP="00822836">
      <w:pPr>
        <w:pStyle w:val="Sansinterligne"/>
        <w:rPr>
          <w:rFonts w:ascii="Garamond" w:hAnsi="Garamond"/>
          <w:sz w:val="20"/>
          <w:szCs w:val="20"/>
          <w:lang w:val="en-US"/>
        </w:rPr>
      </w:pP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Wenige Wochen nach dem ersten fiel der zweite Traum vor, mit dessen Erledigung die Analyse abbrach. Er ist nicht so voll durchsichtig zu machen wie der erste, brachte aber eine erwünschte Bestätigung einer notwendig gewordenen Annahme über den Seelenzustand der Patientin, füllte eine Gedächtnislücke aus und ließ einen tiefen Einblick in die Entstehung eines anderen ihrer Symptome gewinnen.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Dora erzählte: </w:t>
      </w:r>
      <w:r w:rsidRPr="00393116">
        <w:rPr>
          <w:rFonts w:ascii="Garamond" w:hAnsi="Garamond"/>
          <w:i/>
          <w:iCs/>
          <w:sz w:val="20"/>
          <w:szCs w:val="20"/>
          <w:lang w:val="en-US"/>
        </w:rPr>
        <w:t>Ich gehe in einer Stadt, die ich nicht kenne, spazieren, sehe Straßen und Plätze, die mir fremd sind</w:t>
      </w:r>
      <w:hyperlink r:id="rId1025"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Hierzu der wichtige Nachtrag: </w:t>
        </w:r>
        <w:r w:rsidRPr="00393116">
          <w:rPr>
            <w:rStyle w:val="innerfusslink"/>
            <w:rFonts w:ascii="Garamond" w:hAnsi="Garamond"/>
            <w:i/>
            <w:iCs/>
            <w:sz w:val="20"/>
            <w:szCs w:val="20"/>
            <w:lang w:val="en-US"/>
          </w:rPr>
          <w:t>Auf einem der Plätze sehe ich ein Monument.</w:t>
        </w:r>
      </w:hyperlink>
      <w:r w:rsidRPr="00393116">
        <w:rPr>
          <w:rFonts w:ascii="Garamond" w:hAnsi="Garamond"/>
          <w:i/>
          <w:iCs/>
          <w:sz w:val="20"/>
          <w:szCs w:val="20"/>
          <w:lang w:val="en-US"/>
        </w:rPr>
        <w:t>. Ich komme dann in ein Haus, wo ich wohne, gehe auf mein Zimmer und finde dort einen Brief der Mama liegen. Sie schreibt: Da ich ohne Wissen der Eltern vom Hause fort bin, wollte sie mir nicht schreiben, daß der Papa erkrankt ist. Jetzt ist er gestorben, und wenn Du willst</w:t>
      </w:r>
      <w:hyperlink r:id="rId1026"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Dazu der Nachtrag: </w:t>
        </w:r>
        <w:r w:rsidRPr="00393116">
          <w:rPr>
            <w:rStyle w:val="innerfusslink"/>
            <w:rFonts w:ascii="Garamond" w:hAnsi="Garamond"/>
            <w:i/>
            <w:iCs/>
            <w:sz w:val="20"/>
            <w:szCs w:val="20"/>
            <w:lang w:val="en-US"/>
          </w:rPr>
          <w:t>Bei diesem Worte stand ein Fragezeichen: willst?</w:t>
        </w:r>
      </w:hyperlink>
      <w:r w:rsidRPr="00393116">
        <w:rPr>
          <w:rFonts w:ascii="Garamond" w:hAnsi="Garamond"/>
          <w:i/>
          <w:iCs/>
          <w:sz w:val="20"/>
          <w:szCs w:val="20"/>
          <w:lang w:val="en-US"/>
        </w:rPr>
        <w:t>, kannst Du kommen. Ich gehe nun zum Bahnhofe und frage etwa 100mal: Wo ist der Bahnhof? Ich bekomme immer die Antwort: Fünf Minuten. Ich sehe dann einen dichten Wald vor mir, in den ich hineingehe, und frage dort einen Mann, dem ich begegne. Er sagt mir: Noch 2½ Stunden</w:t>
      </w:r>
      <w:hyperlink r:id="rId1027"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Ein zweites Mal wiederholt sie: </w:t>
        </w:r>
        <w:r w:rsidRPr="00393116">
          <w:rPr>
            <w:rStyle w:val="innerfusslink"/>
            <w:rFonts w:ascii="Garamond" w:hAnsi="Garamond"/>
            <w:i/>
            <w:iCs/>
            <w:sz w:val="20"/>
            <w:szCs w:val="20"/>
            <w:lang w:val="en-US"/>
          </w:rPr>
          <w:t>2 Stunden.</w:t>
        </w:r>
      </w:hyperlink>
      <w:r w:rsidRPr="00393116">
        <w:rPr>
          <w:rFonts w:ascii="Garamond" w:hAnsi="Garamond"/>
          <w:i/>
          <w:iCs/>
          <w:sz w:val="20"/>
          <w:szCs w:val="20"/>
          <w:lang w:val="en-US"/>
        </w:rPr>
        <w:t>. Er bietet mir an, mich zu begleiten. Ich lehne ab und gehe allein. Ich sehe den Bahnhof vor mir und kann ihn nicht erreichen. Dabei ist das gewöhnliche Angstgefühl, wenn man im Traume nicht weiter kommt. Dann bin ich zu Hause, dazwischen muß ich gefahren sein, davon weiß ich aber nichts. – Trete in die Portierloge und frage ihn nach unserer Wohnung. Das Dienstmädchen öffnet mir und antwortet: Die Mama und die anderen sind schon auf dem Friedhofe</w:t>
      </w:r>
      <w:hyperlink r:id="rId1028"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Dazu in der nächsten Stunde zwei Nachträge: </w:t>
        </w:r>
        <w:r w:rsidRPr="00393116">
          <w:rPr>
            <w:rStyle w:val="innerfusslink"/>
            <w:rFonts w:ascii="Garamond" w:hAnsi="Garamond"/>
            <w:i/>
            <w:iCs/>
            <w:sz w:val="20"/>
            <w:szCs w:val="20"/>
            <w:lang w:val="en-US"/>
          </w:rPr>
          <w:t>Ich sehe mich besonders deutlich die Treppe hinaufgehen</w:t>
        </w:r>
        <w:r w:rsidRPr="00393116">
          <w:rPr>
            <w:rStyle w:val="innerfusslink"/>
            <w:rFonts w:ascii="Garamond" w:hAnsi="Garamond"/>
            <w:sz w:val="20"/>
            <w:szCs w:val="20"/>
            <w:lang w:val="en-US"/>
          </w:rPr>
          <w:t xml:space="preserve">, und: </w:t>
        </w:r>
        <w:r w:rsidRPr="00393116">
          <w:rPr>
            <w:rStyle w:val="innerfusslink"/>
            <w:rFonts w:ascii="Garamond" w:hAnsi="Garamond"/>
            <w:i/>
            <w:iCs/>
            <w:sz w:val="20"/>
            <w:szCs w:val="20"/>
            <w:lang w:val="en-US"/>
          </w:rPr>
          <w:t>Nach ihrer Antwort gehe ich, aber gar nicht traurig, auf mein Zimmer und lese in einem großen Buche, das auf meinem Schreibtische liegt</w:t>
        </w:r>
        <w:r w:rsidRPr="00393116">
          <w:rPr>
            <w:rStyle w:val="innerfusslink"/>
            <w:rFonts w:ascii="Garamond" w:hAnsi="Garamond"/>
            <w:sz w:val="20"/>
            <w:szCs w:val="20"/>
            <w:lang w:val="en-US"/>
          </w:rPr>
          <w:t>.</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Die Deutung dieses Traumes ging nicht ohne Schwierigkeiten vor sich. Infolge der eigentümlichen, mit seinem Inhalte verknüpften Umstände, unter denen wir abbrachen, ist nicht alles geklärt worden, und damit hängt wieder zusammen, daß meine Erinnerung die Reihenfolge der Erschließungen nicht überall gleich sicher bewahrt hat. Ich schicke noch voraus, welches Thema der fortlaufenden Analyse unterlag, als sich der Traum einmengte. Dora warf seit einiger Zeit selbst Fragen über den Zusammenhang ihrer Handlungen mit den zu vermutenden Motiven auf. Eine dieser Fragen war: Warum habe ich die ersten Tage nach der Szene am See noch darüber geschwiegen? Die zweite: Warum habe ich dann plötzlich den Eltern davon erzählt? Ich fand es überhaupt noch der Erklärung bedürftig, daß sie sich durch die Werbung K.s so schwer gekränkt gefühlt, zumal da mir die Einsicht aufzugehen begann, daß die Werbung um Dora auch für Herrn K. keinen leichtsinnigen Verführungsversuch bedeutet hatte. Daß sie von dem Vorfalle ihre Eltern in Kenntnis gesetzt, legte ich als eine Handlung aus, die bereits unter dem Einflüsse krankhafter Rachsucht stand. Ein normales Mädchen wird, so sollte ich meinen, allein mit solchen Angelegenheiten fertig.</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werde also das Material, welches sich zur Analyse dieses Traumes einstellte, in der ziemlich bunten Ordnung, die sich in meiner Reproduktion ergibt, vorbringen.</w:t>
      </w:r>
    </w:p>
    <w:p w:rsidR="00822836" w:rsidRPr="00393116" w:rsidRDefault="00822836" w:rsidP="00822836">
      <w:pPr>
        <w:pStyle w:val="Sansinterligne"/>
        <w:rPr>
          <w:rFonts w:ascii="Garamond" w:hAnsi="Garamond"/>
          <w:sz w:val="20"/>
          <w:szCs w:val="20"/>
          <w:lang w:val="en-US"/>
        </w:rPr>
      </w:pPr>
      <w:r w:rsidRPr="00393116">
        <w:rPr>
          <w:rFonts w:ascii="Garamond" w:hAnsi="Garamond"/>
          <w:i/>
          <w:iCs/>
          <w:sz w:val="20"/>
          <w:szCs w:val="20"/>
          <w:lang w:val="en-US"/>
        </w:rPr>
        <w:t>Sie irrt allein in einer fremden Stadt, sieht Straßen und Plätze.</w:t>
      </w:r>
      <w:r w:rsidRPr="00393116">
        <w:rPr>
          <w:rFonts w:ascii="Garamond" w:hAnsi="Garamond"/>
          <w:sz w:val="20"/>
          <w:szCs w:val="20"/>
          <w:lang w:val="en-US"/>
        </w:rPr>
        <w:t xml:space="preserve"> Sie versichert, es war gewiß nicht B., worauf ich zuerst geraten hatte, sondern eine Stadt, in der sie nie gewesen war. Es lag nahe, fortzusetzen: Sie können ja Bilder oder Fotografien gesehen haben, denen Sie die Traumbilder entnehmen. Nach dieser Bemerkung stellt sich der Nachtrag von dem Monumente auf einem Platze ein und dann sofort die Kenntnis der Quelle. Sie hatte zu den Weihnachtsfeiertagen ein Album mit Stadtansichten aus einem deutschen Kurorte bekommen und dasselbe gerade gestern hervorgesucht, um es den Verwandten, die bei ihnen zu Gast waren, zu zeigen. Es lag in einer Bilderschachtel, die sich nicht gleich vorfand, und sie fragte die Mama: </w:t>
      </w:r>
      <w:r w:rsidRPr="00393116">
        <w:rPr>
          <w:rFonts w:ascii="Garamond" w:hAnsi="Garamond"/>
          <w:i/>
          <w:iCs/>
          <w:sz w:val="20"/>
          <w:szCs w:val="20"/>
          <w:lang w:val="en-US"/>
        </w:rPr>
        <w:t>Wo ist die Schachtel?</w:t>
      </w:r>
      <w:hyperlink r:id="rId1029" w:history="1">
        <w:r w:rsidRPr="00393116">
          <w:rPr>
            <w:rStyle w:val="Lienhypertexte"/>
            <w:rFonts w:ascii="Garamond" w:hAnsi="Garamond"/>
            <w:sz w:val="20"/>
            <w:szCs w:val="20"/>
          </w:rPr>
          <w:t>[Fußnote]</w:t>
        </w:r>
        <w:r w:rsidRPr="00393116">
          <w:rPr>
            <w:rStyle w:val="innerfusslink"/>
            <w:rFonts w:ascii="Garamond" w:hAnsi="Garamond"/>
            <w:sz w:val="20"/>
            <w:szCs w:val="20"/>
          </w:rPr>
          <w:t xml:space="preserve">Im Traume fragt sie: </w:t>
        </w:r>
        <w:r w:rsidRPr="00393116">
          <w:rPr>
            <w:rStyle w:val="innerfusslink"/>
            <w:rFonts w:ascii="Garamond" w:hAnsi="Garamond"/>
            <w:i/>
            <w:iCs/>
            <w:sz w:val="20"/>
            <w:szCs w:val="20"/>
          </w:rPr>
          <w:t>Wo ist der Bahnhof?</w:t>
        </w:r>
        <w:r w:rsidRPr="00393116">
          <w:rPr>
            <w:rStyle w:val="innerfusslink"/>
            <w:rFonts w:ascii="Garamond" w:hAnsi="Garamond"/>
            <w:sz w:val="20"/>
            <w:szCs w:val="20"/>
          </w:rPr>
          <w:t xml:space="preserve"> Aus dieser Annäherung zog ich einen Schluß, den ich später entwickeln werde.</w:t>
        </w:r>
      </w:hyperlink>
      <w:r w:rsidRPr="00393116">
        <w:rPr>
          <w:rFonts w:ascii="Garamond" w:hAnsi="Garamond"/>
          <w:sz w:val="20"/>
          <w:szCs w:val="20"/>
        </w:rPr>
        <w:t xml:space="preserve"> Eines der Bilder zeigte einen Platz mit einem Monumente. Der Spender aber war ein junger Ingenieur, dessen flüchtige Bekanntschaft sie einst in der Fabrikstadt gemacht hatte. Der junge Mann hatte eine Stellung in Deutschland angenommen, um rascher zur Selbständigkeit zu kommen, benützte jede Gelegenheit, um sich in Erinnerung zu bringen, und es war leicht zu erraten, daß er vorhabe, seinerzeit, wenn sich seine Position gebessert, mit einer Werbung um Dora hervorzutreten. </w:t>
      </w:r>
      <w:r w:rsidRPr="00393116">
        <w:rPr>
          <w:rFonts w:ascii="Garamond" w:hAnsi="Garamond"/>
          <w:sz w:val="20"/>
          <w:szCs w:val="20"/>
          <w:lang w:val="en-US"/>
        </w:rPr>
        <w:t>Aber das brauchte noch Zeit, da hieß es warten.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Das Umherwandern in einer fremden Stadt war überdeterminiert. </w:t>
      </w:r>
      <w:r w:rsidRPr="00393116">
        <w:rPr>
          <w:rFonts w:ascii="Garamond" w:hAnsi="Garamond"/>
          <w:sz w:val="20"/>
          <w:szCs w:val="20"/>
        </w:rPr>
        <w:t xml:space="preserve">Es führte zu einem der Tagesanlässe. </w:t>
      </w:r>
      <w:r w:rsidRPr="00393116">
        <w:rPr>
          <w:rFonts w:ascii="Garamond" w:hAnsi="Garamond"/>
          <w:sz w:val="20"/>
          <w:szCs w:val="20"/>
          <w:lang w:val="en-US"/>
        </w:rPr>
        <w:t xml:space="preserve">Zu den Feiertagen war ein jugendlicher Kusin auf Besuch gekommen, dem sie jetzt die Stadt Wien zeigen mußte. Dieser Tagesanlaß war freilich ein höchst indifferenter. Der Vetter erinnerte sie aber an einen kurzen ersten Aufenthalt in Dresden. Damals wanderte sie als Fremde herum, versäumte natürlich nicht, die berühmte Galerie zu besuchen. Ein anderer Vetter, der mit ihnen war und Dresden kannte, wollte den Führer durch die Galerie machen. </w:t>
      </w:r>
      <w:r w:rsidRPr="00393116">
        <w:rPr>
          <w:rFonts w:ascii="Garamond" w:hAnsi="Garamond"/>
          <w:i/>
          <w:iCs/>
          <w:sz w:val="20"/>
          <w:szCs w:val="20"/>
          <w:lang w:val="en-US"/>
        </w:rPr>
        <w:t>Aber sie wies ihn ab und ging allein</w:t>
      </w:r>
      <w:r w:rsidRPr="00393116">
        <w:rPr>
          <w:rFonts w:ascii="Garamond" w:hAnsi="Garamond"/>
          <w:sz w:val="20"/>
          <w:szCs w:val="20"/>
          <w:lang w:val="en-US"/>
        </w:rPr>
        <w:t xml:space="preserve">, blieb vor den Bildern stehen, die ihr gefielen. Vor der Sixtina verweilte sie </w:t>
      </w:r>
      <w:r w:rsidRPr="00393116">
        <w:rPr>
          <w:rFonts w:ascii="Garamond" w:hAnsi="Garamond"/>
          <w:i/>
          <w:iCs/>
          <w:sz w:val="20"/>
          <w:szCs w:val="20"/>
          <w:lang w:val="en-US"/>
        </w:rPr>
        <w:t>zwei Stunden</w:t>
      </w:r>
      <w:r w:rsidRPr="00393116">
        <w:rPr>
          <w:rFonts w:ascii="Garamond" w:hAnsi="Garamond"/>
          <w:sz w:val="20"/>
          <w:szCs w:val="20"/>
          <w:lang w:val="en-US"/>
        </w:rPr>
        <w:t xml:space="preserve"> lang in still träumender Bewunderung. Auf die Frage, was ihr an dem Bilde so sehr gefallen, wußte sie nichts Klares zu antworten. Endlich sagte sie: Die Madonna.</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Daß diese Einfälle wirklich dem traumbildenden Material angehören, ist doch gewiß. Sie schließen Bestandteile ein, die wir unverändert im Trauminhalte wiederfinden (sie wies ihn ab und ging allein – zwei Stunden). Ich merke bereits, daß »Bilder« einem Knotenpunkte in dem Gewebe der Traumgedanken entsprechen (die Bilder im Album – die Bilder in Dresden). Auch das Thema der </w:t>
      </w:r>
      <w:r w:rsidRPr="00393116">
        <w:rPr>
          <w:rFonts w:ascii="Garamond" w:hAnsi="Garamond"/>
          <w:i/>
          <w:iCs/>
          <w:sz w:val="20"/>
          <w:szCs w:val="20"/>
          <w:lang w:val="en-US"/>
        </w:rPr>
        <w:t>Madonna</w:t>
      </w:r>
      <w:r w:rsidRPr="00393116">
        <w:rPr>
          <w:rFonts w:ascii="Garamond" w:hAnsi="Garamond"/>
          <w:sz w:val="20"/>
          <w:szCs w:val="20"/>
          <w:lang w:val="en-US"/>
        </w:rPr>
        <w:t xml:space="preserve">, der jungfräulichen Mutter, möchte ich für weitere Verfolgung herausgreifen. Vor allem aber sehe ich, daß sie sich in diesem ersten Teile des Traumes mit einem jungen Manne identifiziert. Er irrt in der Fremde herum, er bestrebt sich, ein Ziel zu erreichen, aber er wird hingehalten, er braucht Geduld, er muß warten. Wenn sie dabei an den Ingenieur dachte, so hätte es gestimmt, daß dieses Ziel der Besitz eines Weibes, ihrer eigenen Person, sein sollte. Anstatt dessen war es ein – Bahnhof, für den wir allerdings nach dem </w:t>
      </w:r>
      <w:r w:rsidRPr="00393116">
        <w:rPr>
          <w:rFonts w:ascii="Garamond" w:hAnsi="Garamond"/>
          <w:sz w:val="20"/>
          <w:szCs w:val="20"/>
          <w:lang w:val="en-US"/>
        </w:rPr>
        <w:lastRenderedPageBreak/>
        <w:t xml:space="preserve">Verhältnisse der Frage im Traume zu der wirklich getanen Frage eine </w:t>
      </w:r>
      <w:r w:rsidRPr="00393116">
        <w:rPr>
          <w:rFonts w:ascii="Garamond" w:hAnsi="Garamond"/>
          <w:i/>
          <w:iCs/>
          <w:sz w:val="20"/>
          <w:szCs w:val="20"/>
          <w:lang w:val="en-US"/>
        </w:rPr>
        <w:t>Schachtel</w:t>
      </w:r>
      <w:r w:rsidRPr="00393116">
        <w:rPr>
          <w:rFonts w:ascii="Garamond" w:hAnsi="Garamond"/>
          <w:sz w:val="20"/>
          <w:szCs w:val="20"/>
          <w:lang w:val="en-US"/>
        </w:rPr>
        <w:t xml:space="preserve"> einsetzen dürfen. Eine Schachtel und ein Weib, das geht schon besser zusammen.</w:t>
      </w:r>
    </w:p>
    <w:p w:rsidR="00822836" w:rsidRPr="00393116" w:rsidRDefault="00822836" w:rsidP="00822836">
      <w:pPr>
        <w:pStyle w:val="Sansinterligne"/>
        <w:rPr>
          <w:rFonts w:ascii="Garamond" w:hAnsi="Garamond"/>
          <w:sz w:val="20"/>
          <w:szCs w:val="20"/>
          <w:lang w:val="en-US"/>
        </w:rPr>
      </w:pPr>
      <w:r w:rsidRPr="00393116">
        <w:rPr>
          <w:rFonts w:ascii="Garamond" w:hAnsi="Garamond"/>
          <w:i/>
          <w:iCs/>
          <w:sz w:val="20"/>
          <w:szCs w:val="20"/>
          <w:lang w:val="en-US"/>
        </w:rPr>
        <w:t>Sie fragt wohl hundertmal...</w:t>
      </w:r>
      <w:r w:rsidRPr="00393116">
        <w:rPr>
          <w:rFonts w:ascii="Garamond" w:hAnsi="Garamond"/>
          <w:sz w:val="20"/>
          <w:szCs w:val="20"/>
          <w:lang w:val="en-US"/>
        </w:rPr>
        <w:t xml:space="preserve"> Das führt zu einer anderen, minder indifferenten Veranlassung des Traumes. Gestern abends nach der Gesellschaft bat sie der Vater, ihm den Cognac zu holen; er schlafe nicht, wenn er nicht vorher Cognac getrunken. Sie verlangte den Schlüssel zum Speisekasten von der Mutter, aber die war in ein Gespräch verwickelt und gab ihr keine Antwort, bis sie mit der ungeduldigen Übertreibung herausfuhr: Jetzt habe ich dich schon </w:t>
      </w:r>
      <w:r w:rsidRPr="00393116">
        <w:rPr>
          <w:rFonts w:ascii="Garamond" w:hAnsi="Garamond"/>
          <w:i/>
          <w:iCs/>
          <w:sz w:val="20"/>
          <w:szCs w:val="20"/>
          <w:lang w:val="en-US"/>
        </w:rPr>
        <w:t>hundertmal</w:t>
      </w:r>
      <w:r w:rsidRPr="00393116">
        <w:rPr>
          <w:rFonts w:ascii="Garamond" w:hAnsi="Garamond"/>
          <w:sz w:val="20"/>
          <w:szCs w:val="20"/>
          <w:lang w:val="en-US"/>
        </w:rPr>
        <w:t xml:space="preserve"> gefragt, wo der Schlüssel ist. In Wirklichkeit hatte sie die Frage natürlich nur etwa </w:t>
      </w:r>
      <w:r w:rsidRPr="00393116">
        <w:rPr>
          <w:rFonts w:ascii="Garamond" w:hAnsi="Garamond"/>
          <w:i/>
          <w:iCs/>
          <w:sz w:val="20"/>
          <w:szCs w:val="20"/>
          <w:lang w:val="en-US"/>
        </w:rPr>
        <w:t>fünfmal wiederholt</w:t>
      </w:r>
      <w:hyperlink r:id="rId1030"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Im Trauminhalte steht die Zahl fünf bei der Zeitangabe: 5 Minuten. In meinem Buche über die Traumdeutung habe ich an mehreren Beispielen gezeigt, wie in den Traumgedanken vorkommende Zahlen vom Traume behandelt werden; man findet sie häufig aus ihren Beziehungen gerissen und in neue Zusammenhänge eingetragen.</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i/>
          <w:iCs/>
          <w:sz w:val="20"/>
          <w:szCs w:val="20"/>
          <w:lang w:val="en-US"/>
        </w:rPr>
        <w:t>Wo ist der Schlüssel?</w:t>
      </w:r>
      <w:r w:rsidRPr="00393116">
        <w:rPr>
          <w:rFonts w:ascii="Garamond" w:hAnsi="Garamond"/>
          <w:sz w:val="20"/>
          <w:szCs w:val="20"/>
          <w:lang w:val="en-US"/>
        </w:rPr>
        <w:t xml:space="preserve"> scheint mir das männliche Gegenstück zur Frage: Wo ist die Schachtel? (siehe den ersten Traum, S. 138). Es sind also Fragen – nach den Genitalien.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In derselben Versammlung Verwandter hatte jemand einen Trinkspruch auf den Papa gehalten und die Hoffnung ausgesprochen, daß er noch lange in bester Gesundheit usw. Dabei hatte es so eigentümlich in den müden Mienen des Vaters gezuckt, und sie hatte verstanden, welche Gedanken er zu unterdrücken hatte. Der arme kranke Mann! Wer konnte wissen, wie lange Lebensdauer ihm noch beschieden war.</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Damit sind wir beim </w:t>
      </w:r>
      <w:r w:rsidRPr="00393116">
        <w:rPr>
          <w:rFonts w:ascii="Garamond" w:hAnsi="Garamond"/>
          <w:i/>
          <w:iCs/>
          <w:sz w:val="20"/>
          <w:szCs w:val="20"/>
          <w:lang w:val="en-US"/>
        </w:rPr>
        <w:t>Inhalte des Briefes</w:t>
      </w:r>
      <w:r w:rsidRPr="00393116">
        <w:rPr>
          <w:rFonts w:ascii="Garamond" w:hAnsi="Garamond"/>
          <w:sz w:val="20"/>
          <w:szCs w:val="20"/>
          <w:lang w:val="en-US"/>
        </w:rPr>
        <w:t xml:space="preserve"> im Traume angelangt. Der Vater war gestorben, sie hatte sich eigenmächtig vom Haus entfernt. Ich mahnte sie bei dem Briefe im Traume sofort an den Abschiedsbrief, den sie den Eltern geschrieben oder wenigstens für die Eltern aufgesetzt hatte. Dieser Brief war bestimmt, den Vater in Schrecken zu versetzen, damit er von Frau K. ablasse, oder wenigstens an ihm Rache zu nehmen, wenn er dazu nicht zu bewegen sei. Wir stehen beim Thema ihres Todes und beim Tode ihres Vaters ( </w:t>
      </w:r>
      <w:r w:rsidRPr="00393116">
        <w:rPr>
          <w:rFonts w:ascii="Garamond" w:hAnsi="Garamond"/>
          <w:i/>
          <w:iCs/>
          <w:sz w:val="20"/>
          <w:szCs w:val="20"/>
          <w:lang w:val="en-US"/>
        </w:rPr>
        <w:t>Friedhof</w:t>
      </w:r>
      <w:r w:rsidRPr="00393116">
        <w:rPr>
          <w:rFonts w:ascii="Garamond" w:hAnsi="Garamond"/>
          <w:sz w:val="20"/>
          <w:szCs w:val="20"/>
          <w:lang w:val="en-US"/>
        </w:rPr>
        <w:t xml:space="preserve"> später im Traume). Gehen wir irre, wenn wir annehmen, daß die Situation, welche die Fassade des Traumes bildet, einer Rachephantasie gegen den Vater entspricht? Die mitleidigen Gedanken vom Tage vorher würden gut dazu stimmen. Die Phantasie aber lautete: Sie ginge von Haus weg in die Fremde, und dem Vater würde aus Kummer darüber, vor Sehnsucht nach ihr das Herz brechen. Dann wäre sie gerächt. Sie verstand ja sehr gut, was dem Vater fehlte, der jetzt nicht ohne Cognac schlafen konnte </w:t>
      </w:r>
      <w:hyperlink r:id="rId1031"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Die sexuelle Befriedigung ist unzweifelhaft das beste Schlafmittel, so wie Schlaflosigkeit zu allermeist die Folge der Unbefriedigung ist. Der Vater schlief nicht, weil ihm der Verkehr mit der geliebten Frau fehlte. Vgl. hierzu das unten Folgende: Ich habe nichts an meiner Frau.</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Wir wollen uns die </w:t>
      </w:r>
      <w:r w:rsidRPr="00393116">
        <w:rPr>
          <w:rFonts w:ascii="Garamond" w:hAnsi="Garamond"/>
          <w:i/>
          <w:iCs/>
          <w:sz w:val="20"/>
          <w:szCs w:val="20"/>
          <w:lang w:val="en-US"/>
        </w:rPr>
        <w:t>Rachsucht</w:t>
      </w:r>
      <w:r w:rsidRPr="00393116">
        <w:rPr>
          <w:rFonts w:ascii="Garamond" w:hAnsi="Garamond"/>
          <w:sz w:val="20"/>
          <w:szCs w:val="20"/>
          <w:lang w:val="en-US"/>
        </w:rPr>
        <w:t xml:space="preserve"> als ein neues Element für eine spätere Synthese der Traumgedanken merken.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Der Inhalt des Briefes mußte aber weitere Determinierung zulassen. Woher stammte der Zusatz: </w:t>
      </w:r>
      <w:r w:rsidRPr="00393116">
        <w:rPr>
          <w:rFonts w:ascii="Garamond" w:hAnsi="Garamond"/>
          <w:i/>
          <w:iCs/>
          <w:sz w:val="20"/>
          <w:szCs w:val="20"/>
          <w:lang w:val="en-US"/>
        </w:rPr>
        <w:t>Wenn Du willst?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Da fiel ihr der Nachtrag ein, daß hinter dem Worte »willst« ein Fragezeichen gestanden hatte, und damit erkannte sie auch diese Worte als Zitat aus dem Briefe der Frau K., welcher die Einladung nach L. (am See) enthalten hatte. In ganz auffälliger Weise stand in diesem Briefe nach der Einschaltung: »wenn Du kommen willst?« mitten im Gefüge des Satzes ein Fragezeichen.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 wären wir also wieder bei der Szene am See und bei den Rätseln, die sich an sie knüpften. Ich bat sie, mir diese Szene einmal ausführlich zu erzählen. Sie brachte zuerst nicht viel Neues. Herr K. hatte eine einigermaßen ernsthafte Einleitung vorgebracht; sie ließ ihn aber nicht ausreden. Sobald sie nur verstanden hatte, um was es sich handle, schlug sie ihm ins Gesicht und eilte davon. Ich wollte wissen, welche Worte er gebraucht; sie erinnert sich nur an seine Begründung: »Sie wissen, ich habe nichts an meiner Frau.« </w:t>
      </w:r>
      <w:hyperlink r:id="rId1032"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Diese Worte werden zur Lösung eines unserer Rätsel führen.</w:t>
        </w:r>
      </w:hyperlink>
      <w:r w:rsidRPr="00393116">
        <w:rPr>
          <w:rFonts w:ascii="Garamond" w:hAnsi="Garamond"/>
          <w:sz w:val="20"/>
          <w:szCs w:val="20"/>
          <w:lang w:val="en-US"/>
        </w:rPr>
        <w:t xml:space="preserve"> Sie wollte dann, um nicht mehr mit ihm zusammenzutreffen, den Weg nach L. zu Fuß um den See machen und </w:t>
      </w:r>
      <w:r w:rsidRPr="00393116">
        <w:rPr>
          <w:rFonts w:ascii="Garamond" w:hAnsi="Garamond"/>
          <w:i/>
          <w:iCs/>
          <w:sz w:val="20"/>
          <w:szCs w:val="20"/>
          <w:lang w:val="en-US"/>
        </w:rPr>
        <w:t>fragte einen Mann, der ihr begegnete, wie weit sie dahin habe</w:t>
      </w:r>
      <w:r w:rsidRPr="00393116">
        <w:rPr>
          <w:rFonts w:ascii="Garamond" w:hAnsi="Garamond"/>
          <w:sz w:val="20"/>
          <w:szCs w:val="20"/>
          <w:lang w:val="en-US"/>
        </w:rPr>
        <w:t xml:space="preserve">. Auf seine Antwort: » </w:t>
      </w:r>
      <w:r w:rsidRPr="00393116">
        <w:rPr>
          <w:rFonts w:ascii="Garamond" w:hAnsi="Garamond"/>
          <w:i/>
          <w:iCs/>
          <w:sz w:val="20"/>
          <w:szCs w:val="20"/>
          <w:lang w:val="en-US"/>
        </w:rPr>
        <w:t>2½ Stunden</w:t>
      </w:r>
      <w:r w:rsidRPr="00393116">
        <w:rPr>
          <w:rFonts w:ascii="Garamond" w:hAnsi="Garamond"/>
          <w:sz w:val="20"/>
          <w:szCs w:val="20"/>
          <w:lang w:val="en-US"/>
        </w:rPr>
        <w:t xml:space="preserve">« gab sie diese Absicht auf und suchte doch wieder das Schiff auf, das bald nachher abfuhr. Herr K. war auch wieder da, näherte sich ihr, bat sie, ihn zu entschuldigen und nichts von dem Vorfalle zu erzählen. Sie gab aber keine Antwort. – Ja, der </w:t>
      </w:r>
      <w:r w:rsidRPr="00393116">
        <w:rPr>
          <w:rFonts w:ascii="Garamond" w:hAnsi="Garamond"/>
          <w:i/>
          <w:iCs/>
          <w:sz w:val="20"/>
          <w:szCs w:val="20"/>
          <w:lang w:val="en-US"/>
        </w:rPr>
        <w:t>Wald</w:t>
      </w:r>
      <w:r w:rsidRPr="00393116">
        <w:rPr>
          <w:rFonts w:ascii="Garamond" w:hAnsi="Garamond"/>
          <w:sz w:val="20"/>
          <w:szCs w:val="20"/>
          <w:lang w:val="en-US"/>
        </w:rPr>
        <w:t xml:space="preserve"> im Traume war ganz ähnlich dem Walde am Seeufer, in dem sich die eben von neuem beschriebene Szene abgespielt hatte. Genau den nämlichen dichten Wald hatte sie aber gestern auf einem Gemälde in der Sezessionsausstellung gesehen. Im Hintergrunde des Bildes sah man </w:t>
      </w:r>
      <w:r w:rsidRPr="00393116">
        <w:rPr>
          <w:rFonts w:ascii="Garamond" w:hAnsi="Garamond"/>
          <w:i/>
          <w:iCs/>
          <w:sz w:val="20"/>
          <w:szCs w:val="20"/>
          <w:lang w:val="en-US"/>
        </w:rPr>
        <w:t>Nymphen</w:t>
      </w:r>
      <w:hyperlink r:id="rId1033"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Hier zum drittenmal: Bild (Städtebilder, Galerie in Dresden), aber in weit bedeutsamerer Verknüpfung. Durch das, was man an dem Bilde sieht, wird es zum </w:t>
        </w:r>
        <w:r w:rsidRPr="00393116">
          <w:rPr>
            <w:rStyle w:val="innerfusslink"/>
            <w:rFonts w:ascii="Garamond" w:hAnsi="Garamond"/>
            <w:i/>
            <w:iCs/>
            <w:sz w:val="20"/>
            <w:szCs w:val="20"/>
            <w:lang w:val="en-US"/>
          </w:rPr>
          <w:t>Weibsbilde</w:t>
        </w:r>
        <w:r w:rsidRPr="00393116">
          <w:rPr>
            <w:rStyle w:val="innerfusslink"/>
            <w:rFonts w:ascii="Garamond" w:hAnsi="Garamond"/>
            <w:sz w:val="20"/>
            <w:szCs w:val="20"/>
            <w:lang w:val="en-US"/>
          </w:rPr>
          <w:t xml:space="preserve"> (Wald, Nymphen).</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Jetzt wurde ein Verdacht bei mir zur Gewißheit. </w:t>
      </w:r>
      <w:r w:rsidRPr="00393116">
        <w:rPr>
          <w:rFonts w:ascii="Garamond" w:hAnsi="Garamond"/>
          <w:i/>
          <w:iCs/>
          <w:sz w:val="20"/>
          <w:szCs w:val="20"/>
        </w:rPr>
        <w:t>Bahnhof</w:t>
      </w:r>
      <w:hyperlink r:id="rId1034" w:history="1">
        <w:r w:rsidRPr="00393116">
          <w:rPr>
            <w:rStyle w:val="Lienhypertexte"/>
            <w:rFonts w:ascii="Garamond" w:hAnsi="Garamond"/>
            <w:sz w:val="20"/>
            <w:szCs w:val="20"/>
          </w:rPr>
          <w:t>[Fußnote]</w:t>
        </w:r>
        <w:r w:rsidRPr="00393116">
          <w:rPr>
            <w:rStyle w:val="innerfusslink"/>
            <w:rFonts w:ascii="Garamond" w:hAnsi="Garamond"/>
            <w:sz w:val="20"/>
            <w:szCs w:val="20"/>
          </w:rPr>
          <w:t>Der »Bahnhof« dient übrigens dem »Verkehre«. Die psychische Umkleidung mancher Eisenbahnangst.</w:t>
        </w:r>
      </w:hyperlink>
      <w:r w:rsidRPr="00393116">
        <w:rPr>
          <w:rFonts w:ascii="Garamond" w:hAnsi="Garamond"/>
          <w:sz w:val="20"/>
          <w:szCs w:val="20"/>
        </w:rPr>
        <w:t xml:space="preserve"> und </w:t>
      </w:r>
      <w:r w:rsidRPr="00393116">
        <w:rPr>
          <w:rFonts w:ascii="Garamond" w:hAnsi="Garamond"/>
          <w:i/>
          <w:iCs/>
          <w:sz w:val="20"/>
          <w:szCs w:val="20"/>
        </w:rPr>
        <w:t>Friedhof</w:t>
      </w:r>
      <w:r w:rsidRPr="00393116">
        <w:rPr>
          <w:rFonts w:ascii="Garamond" w:hAnsi="Garamond"/>
          <w:sz w:val="20"/>
          <w:szCs w:val="20"/>
        </w:rPr>
        <w:t xml:space="preserve">, an Stelle von weiblichen Genitalien, war auffällig genug, hatte aber meine geschärfte Aufmerksamkeit auf das ähnlich gebildete » </w:t>
      </w:r>
      <w:r w:rsidRPr="00393116">
        <w:rPr>
          <w:rFonts w:ascii="Garamond" w:hAnsi="Garamond"/>
          <w:i/>
          <w:iCs/>
          <w:sz w:val="20"/>
          <w:szCs w:val="20"/>
        </w:rPr>
        <w:t>Vorhof</w:t>
      </w:r>
      <w:r w:rsidRPr="00393116">
        <w:rPr>
          <w:rFonts w:ascii="Garamond" w:hAnsi="Garamond"/>
          <w:sz w:val="20"/>
          <w:szCs w:val="20"/>
        </w:rPr>
        <w:t xml:space="preserve">«: gelenkt, einen anatomischen Terminus für eine bestimmte Region der weiblichen Genitalien. Aber das konnte ein witziger Irrtum sein. Nun, da die »Nymphen« dazukamen, die man im Hintergrunde des »dichten Waldes« sieht, war ein Zweifel nicht mehr gestattet. Das war symbolische Sexualgeographie! Nymphen nennt man, wie dem Arzte, aber nicht dem Laien bekannt, wie übrigens auch ersterem nicht sehr gebräuchlich, die kleinen Labien im Hintergrunde des »dichten Waldes« von Schamhaaren. Wer aber solche technische Namen wie »Vorhof« und »Nymphen« gebrauchte, der mußte seine Kenntnis aus Büchern geschöpft haben, und zwar nicht aus populären, sondern aus anatomischen Lehrbüchern oder aus einem Konversationslexikon, der gewöhnlichen Zuflucht der von sexueller Neugierde verzehrten Jugend. Hinter der ersten Situation des Traumes verbarg sich also, wenn diese Deutung richtig war, eine Deflorationsphantasie, wie ein Mann sich bemüht, ins weibliche Genitale einzudringen </w:t>
      </w:r>
      <w:hyperlink r:id="rId1035" w:history="1">
        <w:r w:rsidRPr="00393116">
          <w:rPr>
            <w:rStyle w:val="Lienhypertexte"/>
            <w:rFonts w:ascii="Garamond" w:hAnsi="Garamond"/>
            <w:sz w:val="20"/>
            <w:szCs w:val="20"/>
          </w:rPr>
          <w:t>[Fußnote]</w:t>
        </w:r>
        <w:r w:rsidRPr="00393116">
          <w:rPr>
            <w:rStyle w:val="innerfusslink"/>
            <w:rFonts w:ascii="Garamond" w:hAnsi="Garamond"/>
            <w:sz w:val="20"/>
            <w:szCs w:val="20"/>
          </w:rPr>
          <w:t xml:space="preserve">Die Deflorationsphantasie ist der zweite Bestandteil dieser Situation. </w:t>
        </w:r>
        <w:r w:rsidRPr="00393116">
          <w:rPr>
            <w:rStyle w:val="innerfusslink"/>
            <w:rFonts w:ascii="Garamond" w:hAnsi="Garamond"/>
            <w:sz w:val="20"/>
            <w:szCs w:val="20"/>
            <w:lang w:val="en-US"/>
          </w:rPr>
          <w:t xml:space="preserve">Die Hervorhebung der Schwierigkeit im </w:t>
        </w:r>
        <w:r w:rsidRPr="00393116">
          <w:rPr>
            <w:rStyle w:val="innerfusslink"/>
            <w:rFonts w:ascii="Garamond" w:hAnsi="Garamond"/>
            <w:sz w:val="20"/>
            <w:szCs w:val="20"/>
            <w:lang w:val="en-US"/>
          </w:rPr>
          <w:lastRenderedPageBreak/>
          <w:t>Vorwärtskommen und die im Traume empfundene Angst weisen auf die gerne betonte Jungfräulichkeit, die wir an anderer Stelle durch die »Sixtina« angedeutet finden. Diese sexuellen Gedanken ergeben eine unbewußte Untermalung für die vielleicht nur geheimgehaltenen Wünsche, die sich mit dem wartenden Bewerber in Deutschland beschäftigen. Als ersten Bestandteil derselben Traumsituation haben wir die Rachephantasie kennengelernt, die beiden decken einander nicht völlig, sondern nur partiell; die Spuren eines noch bedeutsameren dritten Gedankenzuges werden wir später finden.</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rPr>
        <w:t xml:space="preserve">Ich teilte ihr meine Schlüsse mit. Der Eindruck muß zwingend gewesen sein, denn es kam sofort ein vergessenes Stückchen des Traumes nach: </w:t>
      </w:r>
      <w:r w:rsidRPr="00393116">
        <w:rPr>
          <w:rFonts w:ascii="Garamond" w:hAnsi="Garamond"/>
          <w:i/>
          <w:iCs/>
          <w:sz w:val="20"/>
          <w:szCs w:val="20"/>
        </w:rPr>
        <w:t>Daß sie ruhig</w:t>
      </w:r>
      <w:hyperlink r:id="rId1036" w:history="1">
        <w:r w:rsidRPr="00393116">
          <w:rPr>
            <w:rStyle w:val="Lienhypertexte"/>
            <w:rFonts w:ascii="Garamond" w:hAnsi="Garamond"/>
            <w:sz w:val="20"/>
            <w:szCs w:val="20"/>
          </w:rPr>
          <w:t>[Fußnote]</w:t>
        </w:r>
        <w:r w:rsidRPr="00393116">
          <w:rPr>
            <w:rStyle w:val="innerfusslink"/>
            <w:rFonts w:ascii="Garamond" w:hAnsi="Garamond"/>
            <w:sz w:val="20"/>
            <w:szCs w:val="20"/>
          </w:rPr>
          <w:t xml:space="preserve">Ein andermal hatte sie anstatt »ruhig« gesagt »gar nicht traurig« (S. 162, Anm. 62). Ich kann diesen Traum als neuen Beweis für die Richtigkeit einer in der </w:t>
        </w:r>
        <w:r w:rsidRPr="00393116">
          <w:rPr>
            <w:rStyle w:val="innerfusslink"/>
            <w:rFonts w:ascii="Garamond" w:hAnsi="Garamond"/>
            <w:i/>
            <w:iCs/>
            <w:sz w:val="20"/>
            <w:szCs w:val="20"/>
          </w:rPr>
          <w:t>Traumdeutung</w:t>
        </w:r>
        <w:r w:rsidRPr="00393116">
          <w:rPr>
            <w:rStyle w:val="innerfusslink"/>
            <w:rFonts w:ascii="Garamond" w:hAnsi="Garamond"/>
            <w:sz w:val="20"/>
            <w:szCs w:val="20"/>
          </w:rPr>
          <w:t xml:space="preserve"> (Kapitel VII, Abschnitt A; </w:t>
        </w:r>
        <w:r w:rsidRPr="00393116">
          <w:rPr>
            <w:rStyle w:val="innerfusslink"/>
            <w:rFonts w:ascii="Garamond" w:hAnsi="Garamond"/>
            <w:i/>
            <w:iCs/>
            <w:sz w:val="20"/>
            <w:szCs w:val="20"/>
          </w:rPr>
          <w:t>Studienausgabe</w:t>
        </w:r>
        <w:r w:rsidRPr="00393116">
          <w:rPr>
            <w:rStyle w:val="innerfusslink"/>
            <w:rFonts w:ascii="Garamond" w:hAnsi="Garamond"/>
            <w:sz w:val="20"/>
            <w:szCs w:val="20"/>
          </w:rPr>
          <w:t xml:space="preserve">, Bd. 2, S. 496 f.) enthaltenen Behauptung verwerten, daß die zuerst vergessenen und nachträglich erinnerten Traumstücke stets die für das Verständnis des Traumes wichtigsten sind. </w:t>
        </w:r>
        <w:r w:rsidRPr="00393116">
          <w:rPr>
            <w:rStyle w:val="innerfusslink"/>
            <w:rFonts w:ascii="Garamond" w:hAnsi="Garamond"/>
            <w:sz w:val="20"/>
            <w:szCs w:val="20"/>
            <w:lang w:val="en-US"/>
          </w:rPr>
          <w:t>Ich ziehe dort den Schluß, daß auch das Vergessen der Träume die Erklärung durch den innerpsychischen Widerstand fordert.</w:t>
        </w:r>
      </w:hyperlink>
      <w:r w:rsidRPr="00393116">
        <w:rPr>
          <w:rFonts w:ascii="Garamond" w:hAnsi="Garamond"/>
          <w:i/>
          <w:iCs/>
          <w:sz w:val="20"/>
          <w:szCs w:val="20"/>
          <w:lang w:val="en-US"/>
        </w:rPr>
        <w:t>auf ihr Zimmer geht und in einem großen Buch liest, welches auf ihrem Schreibtische liegt</w:t>
      </w:r>
      <w:r w:rsidRPr="00393116">
        <w:rPr>
          <w:rFonts w:ascii="Garamond" w:hAnsi="Garamond"/>
          <w:sz w:val="20"/>
          <w:szCs w:val="20"/>
          <w:lang w:val="en-US"/>
        </w:rPr>
        <w:t xml:space="preserve">. Der Nachdruck liegt hier auf den beiden Details: ruhig und groß bei Buch. Ich fragte: War es Lexikonformat? Sie bejahte. Nun lesen Kinder über verbotene Materien niemals </w:t>
      </w:r>
      <w:r w:rsidRPr="00393116">
        <w:rPr>
          <w:rFonts w:ascii="Garamond" w:hAnsi="Garamond"/>
          <w:i/>
          <w:iCs/>
          <w:sz w:val="20"/>
          <w:szCs w:val="20"/>
          <w:lang w:val="en-US"/>
        </w:rPr>
        <w:t>ruhig</w:t>
      </w:r>
      <w:r w:rsidRPr="00393116">
        <w:rPr>
          <w:rFonts w:ascii="Garamond" w:hAnsi="Garamond"/>
          <w:sz w:val="20"/>
          <w:szCs w:val="20"/>
          <w:lang w:val="en-US"/>
        </w:rPr>
        <w:t xml:space="preserve"> im Lexikon nach. Sie zittern und bangen dabei und schauen sich ängstlich um, ob wohl jemand kommt. Die Eltern sind bei solcher Lektüre sehr im Wege. Aber die wunscherfüllende Kraft des Traumes hatte die unbehagliche Situation gründlich verbessert. Der Vater war tot und die anderen schon auf den Friedhof gefahren. Sie konnte ruhig lesen, was ihr beliebte. Sollte das nicht heißen, daß einer ihrer Gründe zur Rache auch die Auflehnung gegen den Zwang der Eltern war? Wenn der Vater tot war, dann konnte sie lesen oder lieben, wie sie wollte. Zunächst wollte sie sich nun nicht erinnern, daß sie je im Konversationslexikon gelesen, dann gab sie zu, daß eine solche Erinnerung in ihr auftauchte, freilich harmlosen Inhaltes. Zur Zeit, als die geliebte Tante so schwer krank und ihre Reise nach Wien schon beschlossen war, kam von einem anderen Onkel ein </w:t>
      </w:r>
      <w:r w:rsidRPr="00393116">
        <w:rPr>
          <w:rFonts w:ascii="Garamond" w:hAnsi="Garamond"/>
          <w:i/>
          <w:iCs/>
          <w:sz w:val="20"/>
          <w:szCs w:val="20"/>
          <w:lang w:val="en-US"/>
        </w:rPr>
        <w:t>Brief</w:t>
      </w:r>
      <w:r w:rsidRPr="00393116">
        <w:rPr>
          <w:rFonts w:ascii="Garamond" w:hAnsi="Garamond"/>
          <w:sz w:val="20"/>
          <w:szCs w:val="20"/>
          <w:lang w:val="en-US"/>
        </w:rPr>
        <w:t>, sie könnten nicht nach Wien reisen, ein Kind, also ein Vetter Doras, sei gefährlich an Blinddarmentzündung erkrankt. Damals las sie im Lexikon nach, welches die Symptome einer Blinddarmentzündung seien. Von dem, was sie gelesen, erinnert sie noch den charakteristisch lokalisierten Schmerz im Leibe.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Nun erinnerte ich, daß sie kurz nach dem Tode der Tante eine angebliche Blinddarmentzündung in Wien durchgemacht. Ich hatte mich bisher nicht getraut, diese Erkrankung zu ihren hysterischen Leistungen zu rechnen. Sie erzählte, daß sie die ersten Tage hoch gefiebert und denselben Schmerz im Unterleibe verspürt, von dem sie im Lexikon gelesen. Sie habe kalte Umschläge bekommen, sie aber nicht vertragen; am zweiten Tage sei unter heftigen Schmerzen die seit ihrem Kranksein sehr unregelmäßige Periode eingetreten. An Stuhlverstopfung habe sie damals konstant gelitten.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Es ging nicht recht an, diesen Zustand als einen rein hysterischen aufzufassen. Wenn auch hysterisches Fieber unzweifelhaft vorkommt, so schien es doch willkürlich, das Fieber dieser fraglichen Erkrankung auf Hysterie anstatt auf eine organische, damals wirksame Ursache zu beziehen. Ich wollte die Spur wieder aufgeben, als sie selbst weiterhalf, indem sie den letzten Nachtrag zum Traume brachte: </w:t>
      </w:r>
      <w:r w:rsidRPr="00393116">
        <w:rPr>
          <w:rFonts w:ascii="Garamond" w:hAnsi="Garamond"/>
          <w:i/>
          <w:iCs/>
          <w:sz w:val="20"/>
          <w:szCs w:val="20"/>
          <w:lang w:val="en-US"/>
        </w:rPr>
        <w:t>Sie sehe sich besonders deutlich die Treppe hinaufgehen</w:t>
      </w:r>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Dafür verlangte ich natürlich eine besondere Determinierung. Ihren wohl nicht ernsthaft gemeinten Einwand, daß sie ja die Treppe hinaufgehen müsse, wenn sie in ihre im Stocke gelegene Wohnung wolle, konnte ich leicht mit der Bemerkung abweisen, wenn sie im Traume von der fremden Stadt nach Wien reisen und dabei die Eisenbahnfahrt übergehen könne, so dürfe sie sich auch über die Stufen der Treppe im Traume hinwegsetzen. Sie erzählte dann weiter: Nach der Blinddarmentzündung habe sie schlecht gehen können, weil sie den rechten Fuß nachgezogen. Das sei lange so geblieben, und sie hätte darum besonders Treppen gerne vermieden. Noch jetzt bleibe der Fuß manchmal zurück. Die Ärzte, die sie auf Verlangen des Vaters konsultierte, hätten sich über diesen ganz ungewöhnlichen Rest nach einer Blinddarmentzündung sehr verwundert, besonders da der Schmerz im Leibe nicht wieder aufgetreten sei und keineswegs das Nachziehen des Fußes begleitete </w:t>
      </w:r>
      <w:hyperlink r:id="rId1037"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Zwischen der »Ovarie« benannten Schmerzhaftigkeit im Abdomen und der Gehstörung des gleichseitigen Beines ist ein somatischer Zusammenhang anzunehmen, der hier bei Dora eine besonders spezialisierte Deutung, d. h. psychische Überlagerung und Verwertung erfährt. Vgl. die analoge Bemerkung bei der Analyse der Hustensymptome und des Zusammenhanges von Katarrh und Eßunlust.</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Das war also ein richtiges hysterisches Symptom. Mochte auch das Fieber damals organisch bedingt gewesen sein – etwa durch eine der so häufigen Influenza-Erkrankungen ohne besondere Lokalisation – so war doch sichergestellt, daß sich die Neurose des Zufalles bemächtigte, um ihn für eine ihrer Äußerungen zu verwerten. Sie hatte sich also eine Krankheit angeschafft, über die sie im Lexikon nachgelesen, sich für diese Lektüre bestraft und mußte sich sagen, die Strafe konnte unmöglich der Lektüre des harmlosen Artikels gelten, sondern war durch eine Verschiebung zustande gekommen, nachdem an diese Lektüre sich eine andere, schuldvollere angeschlossen hatte, die sich heute in der Erinnerung hinter der gleichzeitigen harmlosen verbarg </w:t>
      </w:r>
      <w:hyperlink r:id="rId1038"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Ein ganz typisches Beispiel für Entstehung von Symptomen aus Anlässen, die anscheinend mit dem Sexuellen nichts zu tun haben.</w:t>
        </w:r>
      </w:hyperlink>
      <w:r w:rsidRPr="00393116">
        <w:rPr>
          <w:rFonts w:ascii="Garamond" w:hAnsi="Garamond"/>
          <w:sz w:val="20"/>
          <w:szCs w:val="20"/>
          <w:lang w:val="en-US"/>
        </w:rPr>
        <w:t>. Vielleicht ließ sich noch erforschen, über welche Themata sie damals gelesen hatte.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Was bedeutete denn der Zustand, der eine Perityphlitis nachahmen wollte? Der Rest der Affektion, das Nachziehen eines Beines, der zu einer Perityphlitis so gar nicht stimmte, mußte sich besser zu der geheimen, etwa sexuellen Bedeutung des Krankheitsbildes schicken und konnte seinerseits, wenn man ihn aufklärte, ein Licht auf diese gesuchte Bedeutung werfen. Ich versuchte, einen Zugang zu diesem Rätsel zu finden. Es waren im Traume Zeiten vorgekommen; die Zeit ist wahrlich nichts Gleichgültiges bei allem biologischen Geschehen. Ich fragte also, wann </w:t>
      </w:r>
      <w:r w:rsidRPr="00393116">
        <w:rPr>
          <w:rFonts w:ascii="Garamond" w:hAnsi="Garamond"/>
          <w:sz w:val="20"/>
          <w:szCs w:val="20"/>
          <w:lang w:val="en-US"/>
        </w:rPr>
        <w:lastRenderedPageBreak/>
        <w:t xml:space="preserve">diese Blinddarmentzündung sich ereignet, ob früher oder später als die Szene am See. Die prompte, alle Schwierigkeiten mit einem Schlage lösende Antwort war: neun Monate nachher. Dieser Termin ist wohl charakteristisch. Die angebliche Blinddarmentzündung hatte also die Phantasie einer </w:t>
      </w:r>
      <w:r w:rsidRPr="00393116">
        <w:rPr>
          <w:rFonts w:ascii="Garamond" w:hAnsi="Garamond"/>
          <w:i/>
          <w:iCs/>
          <w:sz w:val="20"/>
          <w:szCs w:val="20"/>
          <w:lang w:val="en-US"/>
        </w:rPr>
        <w:t>Entbindung</w:t>
      </w:r>
      <w:r w:rsidRPr="00393116">
        <w:rPr>
          <w:rFonts w:ascii="Garamond" w:hAnsi="Garamond"/>
          <w:sz w:val="20"/>
          <w:szCs w:val="20"/>
          <w:lang w:val="en-US"/>
        </w:rPr>
        <w:t xml:space="preserve"> realisiert mit den bescheidenen Mitteln, die der Patientin zu Gebote standen, den Schmerzen und der Periodenblutung </w:t>
      </w:r>
      <w:hyperlink r:id="rId1039"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Ich habe schon angedeutet, daß die meisten hysterischen Symptome, wenn sie ihre volle Ausbildung erlangt haben, eine phantasierte Situation des Sexuallebens darstellen, also eine Szene des sexuellen Verkehres, eine Schwangerschaft, Entbindung, Wochenbett u. dgl.</w:t>
        </w:r>
      </w:hyperlink>
      <w:r w:rsidRPr="00393116">
        <w:rPr>
          <w:rFonts w:ascii="Garamond" w:hAnsi="Garamond"/>
          <w:sz w:val="20"/>
          <w:szCs w:val="20"/>
          <w:lang w:val="en-US"/>
        </w:rPr>
        <w:t xml:space="preserve">. Sie kannte natürlich die Bedeutung dieses Termins und konnte die Wahrscheinlichkeit nicht in Abrede stellen, daß sie damals im Lexikon über Schwangerschaft und Geburt gelesen. Was war aber mit dem nachgezogenen Beine? Ich durfte jetzt ein Erraten versuchen. So geht man doch, wenn man sich den Fuß übertreten hat. Sie hatte also einen »Fehltritt« getan, ganz richtig, wenn sie neun Monate nach der Szene am See entbinden konnte. Nur mußte ich eine weitere Forderung aufstellen. Man kann – nach meiner Überzeugung – solche Symptome nur dann bekommen, wenn man ein </w:t>
      </w:r>
      <w:r w:rsidRPr="00393116">
        <w:rPr>
          <w:rFonts w:ascii="Garamond" w:hAnsi="Garamond"/>
          <w:i/>
          <w:iCs/>
          <w:sz w:val="20"/>
          <w:szCs w:val="20"/>
          <w:lang w:val="en-US"/>
        </w:rPr>
        <w:t>infantiles</w:t>
      </w:r>
      <w:r w:rsidRPr="00393116">
        <w:rPr>
          <w:rFonts w:ascii="Garamond" w:hAnsi="Garamond"/>
          <w:sz w:val="20"/>
          <w:szCs w:val="20"/>
          <w:lang w:val="en-US"/>
        </w:rPr>
        <w:t xml:space="preserve"> Vorbild für sie hat. Die Erinnerungen, die man von Eindrücken späterer Zeit hat, besitzen, wie ich nach meinen bisherigen Erfahrungen strenge festhalten muß, nicht die Kraft, sich als Symptome durchzusetzen. Ich wagte kaum zu hoffen, daß sie mir das gewünschte Material aus der Kinderzeit liefern würde, denn ich kann in Wirklichkeit obigen Satz, an den ich gerne glauben möchte, noch nicht allgemein aufstellen. Aber hier kam die Bestätigung </w:t>
      </w:r>
      <w:r w:rsidRPr="00393116">
        <w:rPr>
          <w:rFonts w:ascii="Garamond" w:hAnsi="Garamond"/>
          <w:i/>
          <w:iCs/>
          <w:sz w:val="20"/>
          <w:szCs w:val="20"/>
          <w:lang w:val="en-US"/>
        </w:rPr>
        <w:t>sofort</w:t>
      </w:r>
      <w:r w:rsidRPr="00393116">
        <w:rPr>
          <w:rFonts w:ascii="Garamond" w:hAnsi="Garamond"/>
          <w:sz w:val="20"/>
          <w:szCs w:val="20"/>
          <w:lang w:val="en-US"/>
        </w:rPr>
        <w:t xml:space="preserve">. Ja, sie hatte sich als Kind einmal denselben Fuß übertreten, sie war in B. beim </w:t>
      </w:r>
      <w:r w:rsidRPr="00393116">
        <w:rPr>
          <w:rFonts w:ascii="Garamond" w:hAnsi="Garamond"/>
          <w:i/>
          <w:iCs/>
          <w:sz w:val="20"/>
          <w:szCs w:val="20"/>
          <w:lang w:val="en-US"/>
        </w:rPr>
        <w:t>Heruntergehen</w:t>
      </w:r>
      <w:r w:rsidRPr="00393116">
        <w:rPr>
          <w:rFonts w:ascii="Garamond" w:hAnsi="Garamond"/>
          <w:sz w:val="20"/>
          <w:szCs w:val="20"/>
          <w:lang w:val="en-US"/>
        </w:rPr>
        <w:t xml:space="preserve"> auf der </w:t>
      </w:r>
      <w:r w:rsidRPr="00393116">
        <w:rPr>
          <w:rFonts w:ascii="Garamond" w:hAnsi="Garamond"/>
          <w:i/>
          <w:iCs/>
          <w:sz w:val="20"/>
          <w:szCs w:val="20"/>
          <w:lang w:val="en-US"/>
        </w:rPr>
        <w:t>Treppe</w:t>
      </w:r>
      <w:r w:rsidRPr="00393116">
        <w:rPr>
          <w:rFonts w:ascii="Garamond" w:hAnsi="Garamond"/>
          <w:sz w:val="20"/>
          <w:szCs w:val="20"/>
          <w:lang w:val="en-US"/>
        </w:rPr>
        <w:t xml:space="preserve"> über eine Stufe gerutscht; der Fuß, es war sogar der nämliche, den sie später nachzog, schwoll an, mußte bandagiert werden, sie lag einige Wochen ruhig. Es war kurze Zeit vor dem nervösen Asthma im achten Lebensjahre.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Nun galt es, den Nachweis dieser Phantasie zu verwerten: Wenn Sie neun Monate nach der Szene am See eine Entbindung durchmachen und dann mit den Folgen des Fehltrittes bis zum heutigen Tage herumgehen, so beweist dies, daß Sie im Unbewußten den Ausgang der Szene bedauert haben. Sie haben ihn also in ihrem unbewußten Denken korrigiert. Die Voraussetzung Ihrer Entbindungsphantasie ist ja, daß damals etwas vorgegangen ist </w:t>
      </w:r>
      <w:hyperlink r:id="rId1040"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Die Deflorationsphantasie findet also ihre Anwendung auf Herrn K., und es wird klar, warum dieselbe Region des Trauminhalts Material aus der Szene am See enthält. (Ablehnung, 2½ Stunden, der Wald, Einladung nach L.)</w:t>
        </w:r>
      </w:hyperlink>
      <w:r w:rsidRPr="00393116">
        <w:rPr>
          <w:rFonts w:ascii="Garamond" w:hAnsi="Garamond"/>
          <w:sz w:val="20"/>
          <w:szCs w:val="20"/>
          <w:lang w:val="en-US"/>
        </w:rPr>
        <w:t xml:space="preserve">, daß Sie damals all das erlebt und erfahren haben, was Sie später aus dem Lexikon entnehmen mußten. Sie sehen, daß Ihre Liebe zu Herrn K. mit jener Szene nicht beendet war, daß sie sich, wie ich behauptet habe, bis auf den heutigen Tag – allerdings Ihnen unbewußt – fortsetzt. – Sie widersprach dem auch nicht mehr </w:t>
      </w:r>
      <w:hyperlink r:id="rId1041"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Einige Nachträge zu den bisherigen Deutungen: Die » </w:t>
        </w:r>
        <w:r w:rsidRPr="00393116">
          <w:rPr>
            <w:rStyle w:val="innerfusslink"/>
            <w:rFonts w:ascii="Garamond" w:hAnsi="Garamond"/>
            <w:i/>
            <w:iCs/>
            <w:sz w:val="20"/>
            <w:szCs w:val="20"/>
            <w:lang w:val="en-US"/>
          </w:rPr>
          <w:t>Madonna</w:t>
        </w:r>
        <w:r w:rsidRPr="00393116">
          <w:rPr>
            <w:rStyle w:val="innerfusslink"/>
            <w:rFonts w:ascii="Garamond" w:hAnsi="Garamond"/>
            <w:sz w:val="20"/>
            <w:szCs w:val="20"/>
            <w:lang w:val="en-US"/>
          </w:rPr>
          <w:t xml:space="preserve">«: ist offenbar sie selbst, erstens wegen des »Anbeters«, der ihr die Bilder geschickt hat, dann weil sie Herrn K.s Liebe vor allem durch ihre Mütterlichkeit gegen seine Kinder gewonnen hatte, und endlich, weil sie als Mädchen doch schon ein Kind gehabt hat, im direkten Hinweise auf die Entbindungsphantasie. Die »Madonna« ist übrigens eine beliebte Gegenvorstellung, wenn ein Mädchen unter dem Drucke sexueller Beschuldigungen steht, was ja auch bei Dora zutrifft. Ich bekam von diesem Zusammenhange die erste Ahnung als Arzt der psychiatrischen Klinik bei einem Falle von halluzinatorischer Verworrenheit raschen Ablaufes, der sich als Reaktion auf einen Vorwurf des Bräutigams herausstellte. </w:t>
        </w:r>
        <w:r w:rsidRPr="00393116">
          <w:rPr>
            <w:rFonts w:ascii="Garamond" w:hAnsi="Garamond"/>
            <w:color w:val="0000FF"/>
            <w:sz w:val="20"/>
            <w:szCs w:val="20"/>
            <w:u w:val="single"/>
            <w:lang w:val="en-US"/>
          </w:rPr>
          <w:br/>
        </w:r>
        <w:r w:rsidRPr="00393116">
          <w:rPr>
            <w:rFonts w:ascii="Garamond" w:hAnsi="Garamond"/>
            <w:color w:val="0000FF"/>
            <w:sz w:val="20"/>
            <w:szCs w:val="20"/>
            <w:u w:val="single"/>
            <w:lang w:val="en-US"/>
          </w:rPr>
          <w:br/>
        </w:r>
        <w:r w:rsidRPr="00393116">
          <w:rPr>
            <w:rStyle w:val="innerfusslink"/>
            <w:rFonts w:ascii="Garamond" w:hAnsi="Garamond"/>
            <w:sz w:val="20"/>
            <w:szCs w:val="20"/>
            <w:lang w:val="en-US"/>
          </w:rPr>
          <w:t xml:space="preserve">Die mütterliche Sehnsucht nach einem Kinde wäre bei Fortsetzung der Analyse wahrscheinlich als dunkles aber mächtiges Motiv ihres Handelns aufzudecken gewesen. – Die vielen Fragen, die sie in letzter Zeit aufgeworfen hatte, erscheinen wie Spätabkömmlinge der Fragen sexueller Wißbegierde, welche sie aus dem Lexikon zu befriedigen gesucht. Es ist anzunehmen, daß sie über Schwangerschaft, Entbindung, Jungfräulichkeit und ähnliche Themata nachgelesen. – Eine der Fragen, die in den Zusammenhang der zweiten Traumsituation einzufügen sind, hatte sie bei der Reproduktion des Traumes vergessen. Es konnte nur die Frage sein: Wohnt hier der Herr ***? oder: Wo wohnt der Herr ***? Es muß seinen Grund haben, daß sie diese scheinbar harmlose Frage vergessen, nachdem sie sie überhaupt in den Traum aufgenommen. Ich finde diesen Grund in dem Familiennamen selbst, der gleichzeitig Gegenstandsbedeutung hat, und zwar mehrfache, also einem » </w:t>
        </w:r>
        <w:r w:rsidRPr="00393116">
          <w:rPr>
            <w:rStyle w:val="innerfusslink"/>
            <w:rFonts w:ascii="Garamond" w:hAnsi="Garamond"/>
            <w:i/>
            <w:iCs/>
            <w:sz w:val="20"/>
            <w:szCs w:val="20"/>
            <w:lang w:val="en-US"/>
          </w:rPr>
          <w:t>zweideutigen</w:t>
        </w:r>
        <w:r w:rsidRPr="00393116">
          <w:rPr>
            <w:rStyle w:val="innerfusslink"/>
            <w:rFonts w:ascii="Garamond" w:hAnsi="Garamond"/>
            <w:sz w:val="20"/>
            <w:szCs w:val="20"/>
            <w:lang w:val="en-US"/>
          </w:rPr>
          <w:t xml:space="preserve">« Worte gleichgesetzt werden kann. Ich kann diesen Namen leider nicht mitteilen, um zu zeigen, wie geschickt er verwendet worden ist, um »Zweideutiges« und »Unanständiges« zu bezeichnen. Es stützt diese Deutung, wenn wir in anderer Region des Traumes, wo das Material aus den Erinnerungen an den Tod der Tante stammt, in dem Satze »Sie sind schon auf den Friedhof gefahren« gleichfalls eine Wortanspielung auf den </w:t>
        </w:r>
        <w:r w:rsidRPr="00393116">
          <w:rPr>
            <w:rStyle w:val="innerfusslink"/>
            <w:rFonts w:ascii="Garamond" w:hAnsi="Garamond"/>
            <w:i/>
            <w:iCs/>
            <w:sz w:val="20"/>
            <w:szCs w:val="20"/>
            <w:lang w:val="en-US"/>
          </w:rPr>
          <w:t>Namen</w:t>
        </w:r>
        <w:r w:rsidRPr="00393116">
          <w:rPr>
            <w:rStyle w:val="innerfusslink"/>
            <w:rFonts w:ascii="Garamond" w:hAnsi="Garamond"/>
            <w:sz w:val="20"/>
            <w:szCs w:val="20"/>
            <w:lang w:val="en-US"/>
          </w:rPr>
          <w:t xml:space="preserve"> der Tante finden. In diesen unanständigen Worten wäre wohl der Hinweis auf eine zweite </w:t>
        </w:r>
        <w:r w:rsidRPr="00393116">
          <w:rPr>
            <w:rStyle w:val="innerfusslink"/>
            <w:rFonts w:ascii="Garamond" w:hAnsi="Garamond"/>
            <w:i/>
            <w:iCs/>
            <w:sz w:val="20"/>
            <w:szCs w:val="20"/>
            <w:lang w:val="en-US"/>
          </w:rPr>
          <w:t>mündliche</w:t>
        </w:r>
        <w:r w:rsidRPr="00393116">
          <w:rPr>
            <w:rStyle w:val="innerfusslink"/>
            <w:rFonts w:ascii="Garamond" w:hAnsi="Garamond"/>
            <w:sz w:val="20"/>
            <w:szCs w:val="20"/>
            <w:lang w:val="en-US"/>
          </w:rPr>
          <w:t xml:space="preserve"> Quelle gelegen, da für sie das Wörterbuch nicht ausreicht. Ich wäre nicht erstaunt gewesen zu hören, daß Frau K. selbst, die Verleumderin, diese Quelle war. Dora hätte dann gerade sie edelmütig verschont, während sie die anderen Personen mit nahezu tückischer Rache verfolgte; hinter der schier unübersehbaren Reihe von Verschiebungen, die sich so ergeben, könnte man ein einfaches Moment, die tief wurzelnde homosexuelle Liebe zu Frau K., vermuten.</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Diese Arbeiten zur Aufklärung des zweiten Traumes hatten zwei Stunden in Anspruch genommen. Als ich nach Schluß der zweiten Sitzung meiner Befriedigung über das Erreichte Ausdruck gab, antwortete sie geringschätzig: Was ist denn da viel herausgekommen? und bereitete mich so auf das Herannahen weiterer Enthüllungen vor.</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Zur dritten Sitzung trat sie mit den Worten an: »Wissen Sie, Herr Doktor, daß ich heute das letzte Mal hier bin?« – Ich kann es nicht wissen, da Sie mir nichts davon gesagt haben. – »Ja, ich habe mir vorgenommen, bis Neujahr </w:t>
      </w:r>
      <w:hyperlink r:id="rId1042"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Es war der 31. Dezember.</w:t>
        </w:r>
      </w:hyperlink>
      <w:r w:rsidRPr="00393116">
        <w:rPr>
          <w:rFonts w:ascii="Garamond" w:hAnsi="Garamond"/>
          <w:sz w:val="20"/>
          <w:szCs w:val="20"/>
          <w:lang w:val="en-US"/>
        </w:rPr>
        <w:t xml:space="preserve"> halte ich es noch aus; länger will ich aber auf die Heilung nicht warten.« – Sie wissen, daß Sie die Freiheit auszutreten immer haben. Heute wollen wir aber noch arbeiten. Wann haben Sie den Entschluß gefaßt? – »Vor 14 Tagen, glaube ich.« – Das klingt ja wie von einem Dienstmädchen, einer Gouvernante, </w:t>
      </w:r>
      <w:r w:rsidRPr="00393116">
        <w:rPr>
          <w:rFonts w:ascii="Garamond" w:hAnsi="Garamond"/>
          <w:sz w:val="20"/>
          <w:szCs w:val="20"/>
          <w:lang w:val="en-US"/>
        </w:rPr>
        <w:lastRenderedPageBreak/>
        <w:t>14tägige Kündigung. – »Eine Gouvernante, die gekündigt hat, war auch damals bei K., als ich sie in L. am See besuchte.« – So? von der haben Sie noch nie erzählt. Bitte erzählen Sie.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»Es war also ein junges Mädchen im Hause als Gouvernante der Kinder, die ein ganz merkwürdiges Benehmen gegen den Herrn zeigte. Sie grüßte ihn nicht, gab ihm keine Antwort, reichte ihm nichts bei Tisch, wenn er um etwas bat, kurz, behandelte ihn wie Luft. Er war übrigens auch nicht viel höflicher gegen sie. Einen oder zwei Tage vor der Szene am See nahm mich das Mädchen auf die Seite; sie habe mir etwas mitzuteilen. Sie erzählte mir dann, Herr K. habe sich ihr zu einer Zeit, als die Frau gerade für mehrere Wochen abwesend war, genähert, sie sehr umworben und sie gebeten, ihm gefällig zu sein; er habe nichts von seiner Frau usw.« – Das sind ja dieselben Worte, die er dann in der Werbung um Sie gebraucht, bei denen Sie ihm den Schlag ins Gesicht gegeben. – »Ja. Sie gab ihm nach, aber nach kurzer Zeit kümmerte er sich nicht mehr um sie, und sie haßte ihn seitdem.« – Und diese Gouvernante hatte gekündigt? – »Nein, sie wollte kündigen. Sie sagte mir, sie habe sofort, wie sie sich verlassen gefühlt, den Vorfall ihren Eltern mitgeteilt, die anständige Leute sind und irgendwo in Deutschland wohnen. Die Eltern verlangten, daß sie das Haus augenblicklich verlasse, und schrieben ihr dann, als sie es nicht tat, sie wollten nichts mehr von ihr wissen, sie dürfe nicht mehr nach Hause zurückkommen.« – Und warum ging sie nicht fort? – »Sie sagte, sie wolle noch eine kurze Zeit abwarten, ob sich nichts bei Herrn K. ändere. So zu leben, halte sie nicht aus. Wenn sie keine Änderung sehe, werde sie kündigen und fortgehen.« – Und was ist aus dem Mädchen geworden? – »Ich weiß nur, daß sie fortgegangen ist.« – Ein Kind hat sie von dem Abenteuer nicht davongetragen? – »Nein.«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Da war also – wie übrigens ganz regelrecht – inmitten der Analyse ein Stück tatsächlichen Materials zum Vorscheine gekommen, das früher aufgeworfene Probleme lösen half. Ich konnte Dora sagen: Jetzt kenne ich das Motiv jenes Schlages, mit dem Sie die Werbung beantwortet haben. Es war nicht Kränkung über die an Sie gestellte Zumutung, sondern eifersüchtige Rache. Als Ihnen das Fräulein seine Geschichte erzählte, machten Sie noch von Ihrer Kunst Gebrauch, alles beiseite zu schieben, was Ihren Gefühlen nicht paßte. In dem Moment, da Herr K. die Worte gebrauchte: Ich habe nichts an meiner Frau, die er auch zu dem Fräulein gesagt, wurden neue Regungen in Ihnen wachgerufen, und die Waagschale kippte um. </w:t>
      </w:r>
      <w:r w:rsidRPr="00393116">
        <w:rPr>
          <w:rFonts w:ascii="Garamond" w:hAnsi="Garamond"/>
          <w:sz w:val="20"/>
          <w:szCs w:val="20"/>
        </w:rPr>
        <w:t xml:space="preserve">Sie sagten sich: Er wagt es, mich zu behandeln wie eine Gouvernante, eine dienende Person? Diese Hochmutskränkung zur Eifersucht und zu den bewußten besonnenen Motiven hinzu: das war endlich zu viel </w:t>
      </w:r>
      <w:hyperlink r:id="rId1043" w:history="1">
        <w:r w:rsidRPr="00393116">
          <w:rPr>
            <w:rStyle w:val="Lienhypertexte"/>
            <w:rFonts w:ascii="Garamond" w:hAnsi="Garamond"/>
            <w:sz w:val="20"/>
            <w:szCs w:val="20"/>
          </w:rPr>
          <w:t>[Fußnote]</w:t>
        </w:r>
        <w:r w:rsidRPr="00393116">
          <w:rPr>
            <w:rStyle w:val="innerfusslink"/>
            <w:rFonts w:ascii="Garamond" w:hAnsi="Garamond"/>
            <w:sz w:val="20"/>
            <w:szCs w:val="20"/>
          </w:rPr>
          <w:t>Es war vielleicht nicht gleichgültig, daß sie dieselbe Klage über die Frau, deren Bedeutung sie wohl verstand, auch vom Vater gehört haben konnte, wie ich sie aus seinem Munde gehört habe.</w:t>
        </w:r>
      </w:hyperlink>
      <w:r w:rsidRPr="00393116">
        <w:rPr>
          <w:rFonts w:ascii="Garamond" w:hAnsi="Garamond"/>
          <w:sz w:val="20"/>
          <w:szCs w:val="20"/>
        </w:rPr>
        <w:t xml:space="preserve">. </w:t>
      </w:r>
      <w:r w:rsidRPr="00393116">
        <w:rPr>
          <w:rFonts w:ascii="Garamond" w:hAnsi="Garamond"/>
          <w:sz w:val="20"/>
          <w:szCs w:val="20"/>
          <w:lang w:val="en-US"/>
        </w:rPr>
        <w:t>Zum Beweise, wie sehr Sie unter dem Eindrucke der Geschichte des Fräuleins stehen, halte ich Ihnen die wiederholten Identifizierungen mit ihr im Traume und in Ihrem Benehmen vor. Sie sagen es den Eltern, was wir bisher nicht verstanden haben, wie das Fräulein es den Eltern geschrieben hat. Sie kündigen mir wie eine Gouvernante mit 14tägiger Kündigung. Der Brief im Traume, der Ihnen erlaubt, nach Hause zu kommen, ist ein Gegenstück zum Briefe der Eltern des Fräuleins, die es ihr verboten hatten.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»Warum habe ich es dann den Eltern nicht gleich erzählt?«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Welche Zeit haben Sie denn verstreichen lassen?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»Am letzten Juni fiel die Szene vor; am 14. Juli habe ich's der Mutter erzählt.«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Also wieder 14 Tage, der für eine dienende Person charakteristische Termin! Ihre Frage kann ich jetzt beantworten. Sie haben ja das arme Mädchen sehr wohl verstanden. Sie wollte nicht gleich fortgehen, weil sie noch hoffte, weil sie erwartete, daß Herr K. seine Zärtlichkeit ihr wieder zuwenden würde. Das muß also auch Ihr Motiv gewesen sein. Sie warteten den Termin ab, um zu sehen, ob er seine Werbung erneuern würde, daraus hätten Sie geschlossen, daß es ihm Ernst war und daß er nicht mit Ihnen spielen wollte wie mit der Gouvernante.</w:t>
      </w:r>
    </w:p>
    <w:p w:rsidR="00822836" w:rsidRPr="00393116" w:rsidRDefault="00822836" w:rsidP="00822836">
      <w:pPr>
        <w:pStyle w:val="Sansinterligne"/>
        <w:rPr>
          <w:rFonts w:ascii="Garamond" w:hAnsi="Garamond"/>
          <w:sz w:val="20"/>
          <w:szCs w:val="20"/>
        </w:rPr>
      </w:pPr>
      <w:r w:rsidRPr="00393116">
        <w:rPr>
          <w:rFonts w:ascii="Garamond" w:hAnsi="Garamond"/>
          <w:sz w:val="20"/>
          <w:szCs w:val="20"/>
          <w:lang w:val="en-US"/>
        </w:rPr>
        <w:t xml:space="preserve">»In den ersten Tagen nach der Abreise schickte er noch eine Ansichtskarte.« </w:t>
      </w:r>
      <w:hyperlink r:id="rId1044" w:history="1">
        <w:r w:rsidRPr="00393116">
          <w:rPr>
            <w:rStyle w:val="Lienhypertexte"/>
            <w:rFonts w:ascii="Garamond" w:hAnsi="Garamond"/>
            <w:sz w:val="20"/>
            <w:szCs w:val="20"/>
          </w:rPr>
          <w:t>[Fußnote]</w:t>
        </w:r>
        <w:r w:rsidRPr="00393116">
          <w:rPr>
            <w:rStyle w:val="innerfusslink"/>
            <w:rFonts w:ascii="Garamond" w:hAnsi="Garamond"/>
            <w:sz w:val="20"/>
            <w:szCs w:val="20"/>
          </w:rPr>
          <w:t>Dies die Anlehnung für den Ingenieur, der sich hinter dem Ich in der ersten Traumsituation verbirgt.</w:t>
        </w:r>
      </w:hyperlink>
    </w:p>
    <w:p w:rsidR="00822836" w:rsidRPr="00393116" w:rsidRDefault="00822836" w:rsidP="00822836">
      <w:pPr>
        <w:pStyle w:val="Sansinterligne"/>
        <w:rPr>
          <w:rFonts w:ascii="Garamond" w:hAnsi="Garamond"/>
          <w:sz w:val="20"/>
          <w:szCs w:val="20"/>
        </w:rPr>
      </w:pPr>
      <w:r w:rsidRPr="00393116">
        <w:rPr>
          <w:rFonts w:ascii="Garamond" w:hAnsi="Garamond"/>
          <w:sz w:val="20"/>
          <w:szCs w:val="20"/>
        </w:rPr>
        <w:t>Ja, als aber dann nichts weiter kam, da ließen Sie Ihrer Rache freien Lauf. Ich kann mir sogar vorstellen, daß damals noch Raum für die Nebenabsicht war, ihn durch die Anklage zum Hinreisen nach Ihrem Aufenthalte zu bewegen.</w:t>
      </w:r>
    </w:p>
    <w:p w:rsidR="00822836" w:rsidRPr="00393116" w:rsidRDefault="00822836" w:rsidP="00822836">
      <w:pPr>
        <w:pStyle w:val="Sansinterligne"/>
        <w:rPr>
          <w:rFonts w:ascii="Garamond" w:hAnsi="Garamond"/>
          <w:sz w:val="20"/>
          <w:szCs w:val="20"/>
        </w:rPr>
      </w:pPr>
      <w:r w:rsidRPr="00393116">
        <w:rPr>
          <w:rFonts w:ascii="Garamond" w:hAnsi="Garamond"/>
          <w:sz w:val="20"/>
          <w:szCs w:val="20"/>
        </w:rPr>
        <w:t>»... Wie er's uns ja auch zuerst angetragen hat«, warf sie ein. – Dann wäre Ihre Sehnsucht nach ihm gestillt worden – hier nickte sie Bestätigung, was ich nicht erwartet hatte – und er hätte Ihnen die Genugtuung geben können, die Sie sich verlangten.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»Welche Genugtuung?«</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fange nämlich an zu ahnen, daß Sie die Angelegenheit mit Herrn K. viel ernster aufgefaßt haben, als Sie bisher verraten wollten. War zwischen den K. nicht oft von Scheidung die Rede?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»Gewiß, zuerst wollte sie nicht der Kinder wegen, und jetzt will sie, aber er will nicht mehr.«</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Sollten Sie nicht gedacht haben, daß er sich von seiner Frau scheiden lassen will, um Sie zu heiraten? Und daß er jetzt nicht mehr will, weil er keinen Ersatz hat? Sie waren freilich vor zwei Jahren sehr jung, aber Sie haben mir selbst von der Mama erzählt, daß sie mit 17 Jahren verlobt war und dann zwei Jahre auf ihren Mann gewartet hat. Die Liebesgeschichte der Mutter wird gewöhnlich zum Vorbilde für die Tochter. Sie wollten also auch auf ihn warten und nahmen an, daß er nur warte, bis Sie reif genug seien, seine Frau zu werden </w:t>
      </w:r>
      <w:hyperlink r:id="rId1045"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Das Warten, bis man das Ziel erreicht, findet sich im Inhalte der ersten Traumsituation; in dieser Phantasie vom Warten auf die Braut sehe ich ein Stück der dritten, bereits angekündigten Komponente dieses Traumes.</w:t>
        </w:r>
      </w:hyperlink>
      <w:r w:rsidRPr="00393116">
        <w:rPr>
          <w:rFonts w:ascii="Garamond" w:hAnsi="Garamond"/>
          <w:sz w:val="20"/>
          <w:szCs w:val="20"/>
          <w:lang w:val="en-US"/>
        </w:rPr>
        <w:t xml:space="preserve">. Ich stelle mir vor, daß es ein ganz ernsthafter Lebensplan bei Ihnen war. Sie haben nicht einmal das Recht zu behaupten, daß eine solche Absicht bei Herrn K. ausgeschlossen war, und haben mir genug von ihm erzählt, was direkt auf eine solche Absicht deutet </w:t>
      </w:r>
      <w:hyperlink r:id="rId1046"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Besonders eine Rede, mit der er im letzten Jahre des Zusammenlebens in B. das Weihnachtsgeschenk einer Briefschachtel begleitet hatte.</w:t>
        </w:r>
      </w:hyperlink>
      <w:r w:rsidRPr="00393116">
        <w:rPr>
          <w:rFonts w:ascii="Garamond" w:hAnsi="Garamond"/>
          <w:sz w:val="20"/>
          <w:szCs w:val="20"/>
          <w:lang w:val="en-US"/>
        </w:rPr>
        <w:t xml:space="preserve">. Auch sein Benehmen in L. widerspricht dem nicht. Sie haben ihn ja nicht ausreden </w:t>
      </w:r>
      <w:r w:rsidRPr="00393116">
        <w:rPr>
          <w:rFonts w:ascii="Garamond" w:hAnsi="Garamond"/>
          <w:sz w:val="20"/>
          <w:szCs w:val="20"/>
          <w:lang w:val="en-US"/>
        </w:rPr>
        <w:lastRenderedPageBreak/>
        <w:t>lassen und wissen nicht, was er Ihnen sagen wollte. Nebstbei wäre der Plan gar nicht so unmöglich auszuführen gewesen. Die Beziehungen des Papa zu Frau K., die Sie wahrscheinlich nur darum so lange unterstützt haben, boten Ihnen die Sicherheit, daß die Einwilligung der Frau zur Scheidung zu erreichen wäre, und beim Papa setzen Sie durch, was Sie wollen. Ja, wenn die Versuchung in L. einen anderen Ausgang genommen hätte, wäre dies für alle Teile die einzig mögliche Lösung gewesen. Ich meine auch, darum haben Sie den anderen Ausgang so bedauert und ihn in der Phantasie, die als Blinddarmentzündung auftrat, korrigiert. Es mußte also eine schwere Enttäuschung für Sie sein, als anstatt einer erneuten Werbung das Leugnen und die Schmähungen von Seiten des Herrn K. der Erfolg Ihrer Anklage wurden. Sie gestehen zu, daß nichts Sie so sehr in Wut bringen kann, als wenn man glaubt, Sie hätten sich die Szene am See eingebildet. Ich weiß nun, woran Sie nicht erinnert werden wollen, daß Sie sich eingebildet, die Werbung sei ernsthaft und Herr K. werde nicht ablassen, bis Sie ihn geheiratet.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Sie hatte zugehört, ohne wie sonst zu widersprechen. Sie schien ergriffen, nahm auf die liebenswürdigste Weise mit warmen Wünschen zum Jahreswechsel Abschied und – kam nicht wieder. Der Vater, der mich noch einige Male besuchte, versicherte, sie werde wiederkommen; man merke ihr die Sehnsucht nach der Fortsetzung der Behandlung an. Aber er war wohl nie ganz aufrichtig. Er hatte die Kur unterstützt, solange er sich Hoffnung machen konnte, ich würde Dora »ausreden«, daß zwischen ihm und Frau K. etwas anderes als Freundschaft bestehe. Sein Interesse erlosch, als er merkte, daß dieser Erfolg nicht in meiner Absicht liege. Ich wußte, daß sie nicht wiederkommen würde. Es war ein unzweifelhafter Racheakt, daß sie in so unvermuteter Weise, als meine Erwartungen auf glückliche Beendigung der Kur den höchsten Stand einnahmen, abbrach und diese Hoffnungen vernichtete. Auch ihre Tendenz zur Selbstschädigung fand ihre Rechnung bei diesem Vorgehen. Wer wie ich die bösesten Dämonen, die unvollkommen gebändigt in einer menschlichen Brust wohnen, aufweckt, um sie zu bekämpfen, muß darauf gefaßt sein, daß er in diesem Ringen selbst nicht unbeschädigt bleibe. Ob ich das Mädchen bei der Behandlung erhalten hätte, wenn ich mich selbst in eine Rolle gefunden, den Wert ihres Verbleibens für mich übertrieben und ihr ein warmes Interesse bezeigt hätte, das bei aller Milderung durch meine Stellung als Arzt doch wie ein Ersatz für die von ihr ersehnte Zärtlichkeit ausgefallen wäre? Ich weiß es nicht. Da ein Teil der Faktoren, die sich als Widerstand entgegenstellen, in jedem Falle unbekannt bleibt, habe ich es immer vermieden, Rollen zu spielen, und mich mit anspruchsloserer psychologischer Kunst begnügt. Bei allem theoretischen Interesse und allem ärztlichen Bestreben zu helfen, halte ich mir doch vor, daß der psychischen Beeinflussung notwendig Grenzen gesetzt sind, und respektiere als solche auch den Willen und die Einsicht des Patienten.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weiß auch nicht, ob Herr K. mehr erreicht hätte, wäre ihm verraten worden, daß jener Schlag ins Gesicht keineswegs ein endgültiges »Nein« Doras bedeutete, sondern der zuletzt geweckten Eifersucht entsprach, während noch die stärksten Regungen ihres Seelenlebens für ihn Partei nahmen. Würde er dieses erste »Nein« überhört und seine Werbung mit überzeugender Leidenschaft fortgesetzt haben, so hätte der Erfolg leicht sein können, daß die Neigung des Mädchens sich über alle inneren Schwierigkeiten hinweggesetzt hätte. Aber ich meine, vielleicht ebenso leicht wäre sie nur gereizt worden, ihre Rachsucht um so ausgiebiger an ihm zu befriedigen. Auf welche Seite sich in dem Widerstreite der Motive die Entscheidung neigt, ob zur Aufhebung oder zur Verstärkung der Verdrängung, das ist niemals zu berechnen. Die Unfähigkeit zur Erfüllung der </w:t>
      </w:r>
      <w:r w:rsidRPr="00393116">
        <w:rPr>
          <w:rFonts w:ascii="Garamond" w:hAnsi="Garamond"/>
          <w:i/>
          <w:iCs/>
          <w:sz w:val="20"/>
          <w:szCs w:val="20"/>
          <w:lang w:val="en-US"/>
        </w:rPr>
        <w:t>realen</w:t>
      </w:r>
      <w:r w:rsidRPr="00393116">
        <w:rPr>
          <w:rFonts w:ascii="Garamond" w:hAnsi="Garamond"/>
          <w:sz w:val="20"/>
          <w:szCs w:val="20"/>
          <w:lang w:val="en-US"/>
        </w:rPr>
        <w:t xml:space="preserve"> Liebesforderung ist einer der wesentlichsten Charakterzüge der Neurose; die Kranken sind vom Gegensatze zwischen der Realität und der Phantasie beherrscht. Was sie in ihren Phantasien am intensivsten ersehnen, davor fliehen sie doch, wenn es ihnen in Wirklichkeit entgegentritt, und den Phantasien überlassen sie sich am liebsten, wo sie eine Realisierung nicht mehr zu befürchten brauchen. Die Schranke, welche die Verdrängung aufgerichtet hat, kann allerdings unter dem Anstürme heftiger, real veranlaßter Erregungen fallen, die Neurose kann noch durch die Wirklichkeit überwunden werden. Wir können aber nicht allgemein berechnen, bei wem und wodurch diese Heilung möglich wäre </w:t>
      </w:r>
      <w:hyperlink r:id="rId1047"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Noch einige Bemerkungen über den Aufbau dieses Traumes, der sich nicht so gründlich verstehen läßt, daß man seine Synthese versuchen könnte. Als ein fassadenartig vorgeschobenes Stück läßt sich die Rachephantasie gegen den Vater herausheben: Sie ist eigenmächtig von Hause weggegangen; der Vater ist erkrankt, dann gestorben ... Sie geht jetzt nach Hause, die anderen sind schon alle auf dem Friedhofe. Sie geht gar nicht traurig auf ihr Zimmer und liest ruhig im Lexikon. Darunter zwei Anspielungen auf den anderen Racheakt, den sie wirklich ausgeführt, indem sie die Eltern einen Abschiedsbrief finden ließ: Der Brief (im Traume von der Mama) und die Erwähnung des Leichenbegängnisses der für sie vorbildlichen Tante. – Hinter dieser Phantasie verbergen sich die Rachegedanken gegen Herrn K., denen sie in ihrem Benehmen gegen mich einen Ausweg geschafft hat. Das Dienstmädchen – die Einladung – der Wald – die 2½ Stunden stammen aus dem Material der Vorgänge in L. Die Erinnerung an die Gouvernante und deren Briefverkehr mit ihren Eltern tritt mit dem Element ihres Abschiedsbriefes zu dem im Trauminhalte vorfindlichen Brief, der ihr nach Hause zu kommen erlaubt, zusammen. Die Ablehnung, sich begleiten zu lassen, der Entschluß, allein zu gehen, läßt sich wohl so übersetzen: Weil du mich wie ein Dienstmädchen behandelt hast, lasse ich dich stehen, gehe allein meiner Wege und heirate nicht. – Durch diese Rachegedanken verdeckt, schimmert an anderen Stellen Material aus zärtlichen Phantasien aus der unbewußt fortgesetzten Liebe zu Herrn K. durch: Ich hätte auf dich gewartet, bis ich deine Frau geworden wäre – die Defloration – die Entbindung. – Endlich gehört es dem vierten, am tiefsten verborgenen Gedankenkreise, dem der Liebe zu Frau K. an, daß die Deflorationsphantasie vom Standpunkte des Mannes dargestellt wird (Identifizierung mit dem Verehrer, der jetzt in der Fremde weilt) und daß an zwei Stellen die deutlichsten Anspielungen auf zweideutige Reden (wohnt hier der Herr ***) und auf die nicht mündliche Quelle ihrer sexuellen Kenntnisse (Lexikon) enthalten sind. Grausame und sadistische Regungen finden in diesem Traume ihre Erfüllung.</w:t>
        </w:r>
      </w:hyperlink>
      <w:r w:rsidRPr="00393116">
        <w:rPr>
          <w:rFonts w:ascii="Garamond" w:hAnsi="Garamond"/>
          <w:sz w:val="20"/>
          <w:szCs w:val="20"/>
          <w:lang w:val="en-US"/>
        </w:rPr>
        <w:t>.</w:t>
      </w:r>
    </w:p>
    <w:p w:rsidR="00822836" w:rsidRPr="00244833" w:rsidRDefault="00B437A1" w:rsidP="00822836">
      <w:pPr>
        <w:pStyle w:val="Sansinterligne"/>
        <w:rPr>
          <w:rFonts w:ascii="Garamond" w:hAnsi="Garamond"/>
          <w:b/>
          <w:sz w:val="20"/>
          <w:szCs w:val="20"/>
          <w:lang w:val="en-US"/>
        </w:rPr>
      </w:pPr>
      <w:hyperlink w:anchor="DoraInhalt" w:history="1">
        <w:r w:rsidR="00822836" w:rsidRPr="00244833">
          <w:rPr>
            <w:rStyle w:val="Lienhypertexte"/>
            <w:rFonts w:ascii="Garamond" w:hAnsi="Garamond"/>
            <w:b/>
            <w:sz w:val="20"/>
            <w:szCs w:val="20"/>
            <w:lang w:val="en-US"/>
          </w:rPr>
          <w:t>IV. Na</w:t>
        </w:r>
        <w:bookmarkStart w:id="225" w:name="Dora4"/>
        <w:bookmarkEnd w:id="225"/>
        <w:r w:rsidR="00822836" w:rsidRPr="00244833">
          <w:rPr>
            <w:rStyle w:val="Lienhypertexte"/>
            <w:rFonts w:ascii="Garamond" w:hAnsi="Garamond"/>
            <w:b/>
            <w:sz w:val="20"/>
            <w:szCs w:val="20"/>
            <w:lang w:val="en-US"/>
          </w:rPr>
          <w:t>chwort</w:t>
        </w:r>
      </w:hyperlink>
    </w:p>
    <w:p w:rsidR="00822836" w:rsidRDefault="00822836" w:rsidP="00822836">
      <w:pPr>
        <w:pStyle w:val="Sansinterligne"/>
        <w:rPr>
          <w:rFonts w:ascii="Garamond" w:hAnsi="Garamond"/>
          <w:sz w:val="20"/>
          <w:szCs w:val="20"/>
          <w:lang w:val="en-US"/>
        </w:rPr>
      </w:pP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Ich habe diese Mitteilung zwar als Bruchstück einer Analyse angekündigt; man wird aber gefunden haben, daß sie in viel weiterem Umfange unvollständig ist, als sich nach diesem ihrem Titel erwarten ließ. Es geziemt sich wohl, daß ich versuche, diese keinesfalls zufälligen Auslassungen zu motivieren.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Eine Reihe von Ergebnissen der Analyse ist weggeblieben, weil sie beim Abbruch der Arbeit teils nicht genügend sicher erkannt, teils einer Fortführung bis zu einem allgemeinen Resultat bedürftig waren. Andere Male habe ich, wo es mir statthaft schien, auf die wahrscheinliche Fortsetzung einzelner Lösungen hingewiesen. Die keineswegs selbstverständliche Technik, mittels welcher man allein dem Rohmaterial von Einfällen des Kranken seinen Reingehalt an wertvollen unbewußten Gedanken entziehen kann, ist von mir hier durchwegs übergangen worden, womit der Nachteil verbunden bleibt, daß der Leser die Korrektheit meines Vorgehens bei diesem Darstellungsprozeß nicht bestätigen kann. Ich fand es aber ganz undurchführbar, die Technik einer Analyse und die innere Struktur eines Falles von Hysterie in einem zu behandeln; es wäre für mich eine fast unmögliche Leistung und für den Leser eine sicher ungenießbare Lektüre geworden. Die Technik erfordert durchaus eine abgesonderte Darstellung, die durch zahlreiche, den verschiedensten Fällen entnommene Beispiele erläutert wird und von dem jedesmaligen Ergebnis absehen darf. Auch die psychologischen Voraussetzungen, die sich in meinen Beschreibungen psychischer Phänomene verraten, habe ich hier zu begründen nicht versucht. Eine flüchtige Begründung würde nichts leisten; eine ausführliche wäre eine Arbeit für sich. Ich kann nur versichern, daß ich, ohne einem bestimmten psychologischen System verpflichtet zu sein, an das Studium der Phänomene gegangen bin, welche die Beobachtung der Psychoneurotiker enthüllt, und daß ich dann meine Meinungen um so viel zurechtgerückt habe, bis sie mir geeignet erschienen, von dem Zusammenhange des Beobachteten Rechenschaft zu geben. Ich setze keinen Stolz darein, die Spekulation vermieden zu haben; das Material für diese Hypothesen ist aber durch die ausgedehnteste und mühevollste Beobachtung gewonnen worden. Besonders dürfte die Entschiedenheit meines Standpunktes in der Frage des Unbewußten Anstoß erregen, indem ich mit unbewußten Vorstellungen, Gedankenzügen und Regungen so operiere, als ob sie ebenso gute und unzweifelhafte Objekte der Psychologie wären wie alles Bewußte; aber ich bin dessen sicher, wer dasselbe Erscheinungsgebiet mit der nämlichen Methode zu erforschen unternimmt, wird nicht umhin können, sich trotz alles Abmahnens der Philosophen auf denselben Standpunkt zu stellen.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Diejenigen Fachgenossen, welche meine Theorie der Hysterie für eine rein psychologische gehalten und darum von vornherein für unfähig erklärt haben, ein pathologisches Problem zu lösen, werden aus dieser Abhandlung wohl entnehmen, daß ihr Vorwurf einen Charakter der Technik ungerechterweise auf die Theorie überträgt. Nur die therapeutische Technik ist rein psychologisch; die Theorie versäumt es keineswegs, auf die organische Grundlage der Neurose hinzuweisen, wenngleich sie dieselbe nicht in einer pathologisch-anatomischen Veränderung sucht und die zu erwartende chemische Veränderung als derzeit noch unfaßbar durch die Vorläufigkeit der organischen Funktion ersetzt. Der Sexualfunktion, in welcher ich die Begründung der Hysterie wie der Psychoneurosen überhaupt sehe, wird den Charakter eines organischen Faktors wohl niemand absprechen wollen. Eine Theorie des Sexuallebens wird, wie ich vermute, der Annahme bestimmter, erregend wirkender Sexualstoffe nicht entbehren können. Die Intoxikationen und Abstinenzen beim Gebrauch gewisser chronischer Gifte stehen ja unter allen Krankheitsbildern, welche uns die Klinik kennen lehrt, den genuinen Psychoneurosen am nächsten.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Was sich aber über das »somatische Entgegenkommen«, über die infantilen Keime zur Perversion, über die erogenen Zonen und die Anlage zur Bisexualität heute aussagen läßt, habe ich in dieser Abhandlung gleichfalls nicht ausgeführt, sondern nur die Stellen hervorgehoben, an denen die Analyse auf diese organischen Fundamente der Symptome stößt. Mehr ließ sich von einem vereinzelten Falle aus nicht tun, auch hatte ich die nämlichen Gründe wie oben, eine beiläufige Erörterung dieser Momente zu vermeiden. Hier ist reichlicher Anlaß zu weiteren, auf eine große Zahl von Analysen gestützten Arbeiten gegeben. Mit dieser soweit unvollständigen Veröffentlichung wollte ich doch zweierlei erreichen. Erstens als Ergänzung zu meinem Buche über die Traumdeutung zeigen, wie diese sonst unnütze Kunst zur Aufdeckung des Verborgenen und Verdrängten im Seelenleben verwendet werden kann; bei der Analyse der beiden hier mitgeteilten Träume ist dann auch die Technik des Traumdeutens, welche der psychoanalytischen ähnlich ist, berücksichtigt worden. Zweitens wollte ich Interesse für eine Reihe von Verhältnissen erwecken, welche heute der Wissenschaft noch völlig unbekannt sind, weil sie sich nur bei Anwendung dieses bestimmten Verfahrens entdecken lassen. Von der Komplikation der psychischen Vorgänge bei der Hysterie, dem Nebeneinander der verschiedenartigsten Regungen, der gegenseitigen Bindung der Gegensätze, den Verdrängungen und Verschiebungen u. a. m. hat wohl niemand eine richtige Ahnung haben können. Janets Hervorhebung der </w:t>
      </w:r>
      <w:r w:rsidRPr="00393116">
        <w:rPr>
          <w:rFonts w:ascii="Garamond" w:hAnsi="Garamond"/>
          <w:i/>
          <w:iCs/>
          <w:sz w:val="20"/>
          <w:szCs w:val="20"/>
          <w:lang w:val="en-US"/>
        </w:rPr>
        <w:t>idée fixe</w:t>
      </w:r>
      <w:r w:rsidRPr="00393116">
        <w:rPr>
          <w:rFonts w:ascii="Garamond" w:hAnsi="Garamond"/>
          <w:sz w:val="20"/>
          <w:szCs w:val="20"/>
          <w:lang w:val="en-US"/>
        </w:rPr>
        <w:t>, die sich in das Symptom umsetzt, bedeutet nichts als eine wahrhaft kümmerliche Schematisierung. Man wird sich auch der Vermutung nicht erwehren können, daß Erregungen, deren zugehörige Vorstellungen der Bewußtseinsfähigkeit ermangeln, anders aufeinander einwirken, anders verlaufen und zu anderen Äußerungen führen als die von uns »normal« genannten, deren Vorstellungsinhalt uns bewußt wird. Ist man soweit aufgeklärt, so steht dem Verständnis einer Therapie nichts mehr im Wege, welche neurotische Symptome aufhebt, indem sie Vorstellungen der ersteren Art in normale verwandelt.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Es lag mir auch daran zu zeigen, daß die Sexualität nicht bloß als einmal auftretender </w:t>
      </w:r>
      <w:r w:rsidRPr="00393116">
        <w:rPr>
          <w:rFonts w:ascii="Garamond" w:hAnsi="Garamond"/>
          <w:i/>
          <w:iCs/>
          <w:sz w:val="20"/>
          <w:szCs w:val="20"/>
          <w:lang w:val="en-US"/>
        </w:rPr>
        <w:t>deus ex machina</w:t>
      </w:r>
      <w:r w:rsidRPr="00393116">
        <w:rPr>
          <w:rFonts w:ascii="Garamond" w:hAnsi="Garamond"/>
          <w:sz w:val="20"/>
          <w:szCs w:val="20"/>
          <w:lang w:val="en-US"/>
        </w:rPr>
        <w:t xml:space="preserve"> irgendwo in das Getriebe der für die Hysterie charakteristischen Vorgänge eingreift, sondern daß sie die Triebkraft für jedes einzelne Symptom und für jede einzelne Äußerung eines Symptoms abgibt. Die Krankheitserscheinungen sind, geradezu gesagt, die </w:t>
      </w:r>
      <w:r w:rsidRPr="00393116">
        <w:rPr>
          <w:rFonts w:ascii="Garamond" w:hAnsi="Garamond"/>
          <w:i/>
          <w:iCs/>
          <w:sz w:val="20"/>
          <w:szCs w:val="20"/>
          <w:lang w:val="en-US"/>
        </w:rPr>
        <w:t>Sexualbetätigung der Kranken</w:t>
      </w:r>
      <w:r w:rsidRPr="00393116">
        <w:rPr>
          <w:rFonts w:ascii="Garamond" w:hAnsi="Garamond"/>
          <w:sz w:val="20"/>
          <w:szCs w:val="20"/>
          <w:lang w:val="en-US"/>
        </w:rPr>
        <w:t xml:space="preserve">. Ein einzelner Fall wird niemals imstande sein, einen so allgemeinen Satz zu </w:t>
      </w:r>
      <w:r w:rsidRPr="00393116">
        <w:rPr>
          <w:rFonts w:ascii="Garamond" w:hAnsi="Garamond"/>
          <w:sz w:val="20"/>
          <w:szCs w:val="20"/>
          <w:lang w:val="en-US"/>
        </w:rPr>
        <w:lastRenderedPageBreak/>
        <w:t xml:space="preserve">erweisen, aber ich kann es nur immer wieder von neuem wiederholen, weil ich es niemals anders finde, daß die Sexualität der Schlüssel zum Problem der Psychoneurosen wie der Neurosen überhaupt ist. Wer ihn verschmäht, wird niemals aufzuschließen imstande sein. Ich warte noch auf die Untersuchungen, welche diesen Satz aufzuheben oder einzuschränken vermögen sollen. Was ich bis jetzt dagegen gehört habe, waren Äußerungen persönlichen Mißfallens oder Unglaubens, denen es genügt, das Wort Charcots entgegenzuhalten: » </w:t>
      </w:r>
      <w:r w:rsidRPr="00393116">
        <w:rPr>
          <w:rFonts w:ascii="Garamond" w:hAnsi="Garamond"/>
          <w:i/>
          <w:iCs/>
          <w:sz w:val="20"/>
          <w:szCs w:val="20"/>
          <w:lang w:val="en-US"/>
        </w:rPr>
        <w:t>Ça n'empêche pas d'exister</w:t>
      </w:r>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Der Fall, aus dessen Kranken- und Behandlungsgeschichte ich hier ein Bruchstück veröffentlicht habe, ist auch nicht geeignet, den Wert der psychoanalytischen Therapie ins rechte Licht zu setzen. Nicht nur die Kürze der Behandlungsdauer, die kaum drei Monate betrug, sondern noch ein anderes dem Falle innewohnendes Moment haben es verhindert, daß die Kur mit der sonst zu erreichenden, vom Kranken und seinen Angehörigen zugestandenen Besserung abschloß, die mehr oder weniger nahe an vollkommene Heilung heranreicht. Solche erfreuliche Erfolge erzielt man, wo die Krankheitserscheinungen allein durch den inneren Konflikt zwischen den auf die Sexualität bezüglichen Regungen gehalten werden. Man sieht in diesen Fällen das Befinden der Kranken in dem Maße sich bessern, in dem man durch Übersetzung des pathogenen Materials in normales zur Lösung ihrer psychischen Aufgaben beigetragen hat. Anders ist der Verlauf, wo sich die Symptome in den Dienst äußerer Motive des Lebens gestellt haben, wie es auch bei Dora seit den letzten zwei Jahren geschehen war. Man ist überrascht und könnte leicht irre werden, wenn man erfährt, daß das Befinden der Kranken durch die selbst weit vorgeschrittene Arbeit nicht merklich geändert wird. In Wirklichkeit steht es nicht so arg; die Symptome schwinden zwar nicht unter der Arbeit, wohl aber eine Zeitlang nach derselben, wenn die Beziehungen zum Arzte gelöst sind. Der Aufschub der Heilung oder Besserung ist wirklich nur durch die Person des Arztes verursacht.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muß etwas weiter ausholen, um diesen Sachverhalt verständlich zu machen. Während einer psychoanalytischen Kur ist die Neubildung von Symptomen, man darf wohl sagen: regelmäßig, sistiert. Die Produktivität der Neurose ist aber durchaus nicht erloschen, sondern betätigt sich in der Schöpfung einer besonderen Art von meist unbewußten Gedankenbildungen, welchen man den Namen » </w:t>
      </w:r>
      <w:r w:rsidRPr="00393116">
        <w:rPr>
          <w:rFonts w:ascii="Garamond" w:hAnsi="Garamond"/>
          <w:i/>
          <w:iCs/>
          <w:sz w:val="20"/>
          <w:szCs w:val="20"/>
          <w:lang w:val="en-US"/>
        </w:rPr>
        <w:t>Übertragungen</w:t>
      </w:r>
      <w:r w:rsidRPr="00393116">
        <w:rPr>
          <w:rFonts w:ascii="Garamond" w:hAnsi="Garamond"/>
          <w:sz w:val="20"/>
          <w:szCs w:val="20"/>
          <w:lang w:val="en-US"/>
        </w:rPr>
        <w:t>« verleihen kann.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Was sind die Übertragungen? Es sind Neuauflagen, Nachbildungen von den Regungen und Phantasien, die während des Vordringens der Analyse erweckt und bewußt gemacht werden sollen, mit einer für die Gattung charakteristischen Ersetzung einer früheren Person durch die Person des Arztes. Um es anders zu sagen: eine ganze Reihe früherer psychischer Erlebnisse wird nicht als vergangen, sondern als aktuelle Beziehung zur Person des Arztes wieder lebendig. Es gibt solche Übertragungen, die sich im Inhalt von ihrem Vorbilde in gar nichts bis auf die Ersetzung unterscheiden. Das sind also, um in dem Gleichnisse zu bleiben, einfache Neudrucke, unveränderte Neuauflagen. Andere sind kunstvoller gemacht, sie haben eine Milderung ihres Inhaltes, eine </w:t>
      </w:r>
      <w:r w:rsidRPr="00393116">
        <w:rPr>
          <w:rFonts w:ascii="Garamond" w:hAnsi="Garamond"/>
          <w:i/>
          <w:iCs/>
          <w:sz w:val="20"/>
          <w:szCs w:val="20"/>
          <w:lang w:val="en-US"/>
        </w:rPr>
        <w:t>Sublimierung</w:t>
      </w:r>
      <w:r w:rsidRPr="00393116">
        <w:rPr>
          <w:rFonts w:ascii="Garamond" w:hAnsi="Garamond"/>
          <w:sz w:val="20"/>
          <w:szCs w:val="20"/>
          <w:lang w:val="en-US"/>
        </w:rPr>
        <w:t>, wie ich sage, erfahren und vermögen selbst bewußt zu werden, indem sie sich an irgendeine geschickt verwertete reale Besonderheit an der Person oder in den Verhältnissen des Arztes anlehnen. Das sind also Neubearbeitungen, nicht mehr Neudrucke.</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Wenn man sich in die Theorie der analytischen Technik einläßt, kommt man zu der Einsicht, daß die Übertragung etwas notwendig Gefordertes ist. Praktisch überzeugt man sich wenigstens, daß man ihr durch keinerlei Mittel ausweichen kann und daß man diese letzte Schöpfung der Krankheit wie alle früheren zu bekämpfen hat. Nun ist dieses Stück der Arbeit das bei weitem schwierigste. Das Deuten der Träume, das Extrahieren der unbewußten Gedanken und Erinnerungen aus den Einfällen des Kranken und ähnliche Übersetzungskünste sind leicht zu erlernen; dabei liefert immer der Kranke selbst den Text. Die Übertragung allein muß man fast selbständig erraten, auf geringfügige Anhaltspunkte hin und ohne sich der Willkür schuldig zu machen. Zu umgehen ist sie aber nicht, da sie zur Herstellung aller Hindernisse verwendet wird, welche das Material der Kur unzugänglich machen, und da die Überzeugungsempfindung für die Richtigkeit der konstruierten Zusammenhänge beim Kranken erst nach Lösung der Übertragung hervorgerufen wird.</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Man wird geneigt sein, es für einen schweren Nachteil des ohnehin unbequemen Verfahrens zu halten, daß dasselbe die Arbeit des Arztes durch Schöpfung einer neuen Gattung von krankhaften psychischen Produkten noch vermehrt, ja, wird vielleicht eine Schädigung des Kranken durch die analytische Kur aus der Existenz der Übertragungen ableiten wollen. Beides wäre irrig. Die Arbeit des Arztes wird durch die Übertragung nicht vermehrt; es kann ihm ja gleichgültig sein, ob er die betreffende Regung des Kranken in Verbindung mit seiner Person oder mit einer anderen zu überwinden hat. Die Kur nötigt aber auch dem Kranken mit der Übertragung keine neue Leistung auf, die er nicht auch sonst vollzogen hätte. Wenn Heilungen von Neurosen auch in Anstalten zustande kommen, wo psychoanalytische Behandlung ausgeschlossen ist, wenn man sagen konnte, daß die Hysterie nicht durch die Methode, sondern durch den Arzt geheilt wird, wenn sich eine Art von blinder Abhängigkeit und dauernder Fesselung des Kranken an den Arzt zu ergeben pflegt, der ihn durch hypnotische Suggestion von seinen Symptomen befreit hat, so ist die wissenschaftliche Erklärung für all dies in »Übertragungen« zu sehen, die der Kranke regelmäßig auf die Person des Arztes vornimmt. Die psychoanalytische Kur schafft die Übertragung nicht, sie deckt sie bloß, wie anderes im Seelenleben Verborgene, auf. Der Unterschied äußert sich nur darin, daß der Kranke spontan bloß zärtliche und freundschaftliche Übertragungen zu seiner Heilung wachruft; wo dies nicht der Fall sein kann, reißt er sich so schnell wie möglich, unbeeinflußt vom Arzte, der ihm nicht »sympathisch« ist, los. In der Psychoanalyse werden hingegen, entsprechend einer veränderten Motivenanlage, alle Regungen, auch die feindseligen, geweckt, durch Bewußtmachen für die Analyse verwertet, und dabei wird die Übertragung immer wieder vernichtet. Die Übertragung, die das größte Hindernis für die Psychoanalyse zu werden bestimmt ist, wird zum mächtigsten Hilfsmittel derselben, wenn es gelingt, sie jedesmal zu erraten und dem Kranken zu übersetzen </w:t>
      </w:r>
      <w:hyperlink r:id="rId1048"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Was hier </w:t>
        </w:r>
        <w:r w:rsidRPr="00393116">
          <w:rPr>
            <w:rStyle w:val="innerfusslink"/>
            <w:rFonts w:ascii="Garamond" w:hAnsi="Garamond"/>
            <w:sz w:val="20"/>
            <w:szCs w:val="20"/>
            <w:lang w:val="en-US"/>
          </w:rPr>
          <w:lastRenderedPageBreak/>
          <w:t>über die Übertragung gesagt wird, findet dann seine Fortsetzung in dem technischen Aufsatz über die »Übertragungsliebe« (1915).</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Ich mußte von der Übertragung sprechen, weil ich die Besonderheiten der Analyse Doras nur durch dieses Moment aufzuklären vermag. Was den Vorzug derselben ausmacht und sie als geeignet für eine erste, einführende Publikation erscheinen läßt, ihre besondere Durchsichtigkeit, das hängt mit ihrem großen Mangel, welcher zu ihrem vorzeitigen Abbruche führte, innig zusammen. Es gelang mir nicht, der Übertragung rechtzeitig Herr zu werden; durch die Bereitwilligkeit, mit welcher sie mir den einen Teil des pathogenen Materials in der Kur zur Verfügung stellte, vergaß ich der Vorsicht, auf die ersten Zeichen der Übertragung zu achten, welche sie mit einem anderen, mir unbekannt gebliebenen Teile desselben Materials vorbereitete. Zu Anfang war es klar, daß ich ihr in der Phantasie den Vater ersetzte, wie auch bei dem Unterschiede unserer Lebensalter nahelag. Sie verglich mich auch immer bewußt mit ihm, suchte sich ängstlich zu vergewissern, ob ich auch ganz aufrichtig gegen sie sei, denn der Vater »bevorzuge immer die Heimlichkeit und einen krummen Umweg«. Als dann der erste Traum kam, in dem sie sich warnte, die Kur zu verlassen wie seinerzeit das Haus des Herrn K., hätte ich selbst gewarnt werden müssen und ihr vorhalten sollen: »Jetzt haben Sie eine Übertragung von Herrn K. auf mich gemacht. Haben Sie etwas bemerkt, was Sie auf böse Absichten schließen läßt, die denen des Herrn K. (direkt oder in irgendeiner Sublimierung) ähnlich sind, oder ist Ihnen etwas an mir aufgefallen oder von mir bekannt geworden, was Ihre Zuneigung erzwingt, wie ehemals bei Herrn K.?« Dann hätte sich ihre Aufmerksamkeit auf irgendein Detail aus unserem Verkehre, an meiner Person oder an meinen Verhältnissen gerichtet, hinter dem etwas Analoges, aber ungleich Wichtigeres, das Herrn K. betraf, sich verborgen hielt, und durch die Lösung dieser Übertragung hätte die Analyse den Zugang zu neuem, wahrscheinlich tatsächlichem Material der Erinnerung gewonnen. Ich überhörte aber diese erste Warnung, meinte, es sei reichlich Zeit, da sich andere Stufen der Übertragung nicht einstellten und das Material für die Analyse noch nicht versiegte. So wurde ich denn von der Übertragung überrascht, und wegen des X, in dem ich sie an Herrn K. erinnerte, rächte sie sich an mir, wie sie sich an Herrn K. rächen wollte, und verließ mich, wie sie sich von ihm getäuscht und verlassen glaubte. Sie </w:t>
      </w:r>
      <w:r w:rsidRPr="00393116">
        <w:rPr>
          <w:rFonts w:ascii="Garamond" w:hAnsi="Garamond"/>
          <w:i/>
          <w:iCs/>
          <w:sz w:val="20"/>
          <w:szCs w:val="20"/>
          <w:lang w:val="en-US"/>
        </w:rPr>
        <w:t>agierte</w:t>
      </w:r>
      <w:r w:rsidRPr="00393116">
        <w:rPr>
          <w:rFonts w:ascii="Garamond" w:hAnsi="Garamond"/>
          <w:sz w:val="20"/>
          <w:szCs w:val="20"/>
          <w:lang w:val="en-US"/>
        </w:rPr>
        <w:t xml:space="preserve"> so ein wesentliches Stück ihrer Erinnerungen und Phantasien, anstatt es in der Kur zu reproduzieren. Welches dieses X war, kann ich natürlich nicht wissen: ich vermute, es bezog sich auf Geld, oder es war Eifersucht gegen eine andere Patientin, die nach ihrer Heilung im Verkehre mit meiner Familie geblieben war. Wo sich die Übertragungen frühzeitig in die Analyse einbeziehen lassen, da wird deren Verlauf undurchsichtig und verlangsamt, aber ihr Bestand ist gegen plötzliche unwiderstehliche Widerstände besser gesichert.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In dem zweiten Traume Doras ist die Übertragung durch mehrere deutliche Anspielungen vertreten. Als sie ihn mir erzählte, wußte ich noch nicht, erfuhr es erst zwei Tage später, daß wir nur noch </w:t>
      </w:r>
      <w:r w:rsidRPr="00393116">
        <w:rPr>
          <w:rFonts w:ascii="Garamond" w:hAnsi="Garamond"/>
          <w:i/>
          <w:iCs/>
          <w:sz w:val="20"/>
          <w:szCs w:val="20"/>
          <w:lang w:val="en-US"/>
        </w:rPr>
        <w:t>zwei Stunden</w:t>
      </w:r>
      <w:r w:rsidRPr="00393116">
        <w:rPr>
          <w:rFonts w:ascii="Garamond" w:hAnsi="Garamond"/>
          <w:sz w:val="20"/>
          <w:szCs w:val="20"/>
          <w:lang w:val="en-US"/>
        </w:rPr>
        <w:t xml:space="preserve"> Arbeit vor uns hatten, dieselbe Zeit, die sie vor dem Bilde der Sixtinischen Madonna verbracht und die sie auch vermittelst einer Korrektur (zwei Stunden anstatt zweieinhalb Stunden) zum Maße des von ihr nicht zurückgelegten Weges um den See gemacht hatte. Das Streben und Warten im Traume, das sich auf den jungen Mann in Deutschland bezog und von ihrem Warten, bis Herr K. sie heiraten könne, herstammte, hatte sich schon einige Tage vorher in der Übertragung geäußert: Die Kur dauere ihr zu lange, sie werde nicht die Geduld haben, so lange zu warten, während sie in den ersten Wochen Einsicht genug gezeigt hatte, meine Ankündigung, ihre volle Herstellung werde etwa ein Jahr in Anspruch nehmen, ohne solchen Einspruch anzuhören. Die Ablehnung der Begleitung im Traume, sie wolle lieber allein gehen, die gleichfalls aus dem Besuche in der Dresdener Galerie herrührte, sollte ich ja an dem hiefür bestimmten Tage erfahren. Sie hatte wohl den Sinn: Da alle Männer so abscheulich sind, so will ich lieber nicht heiraten. Dies meine Rache </w:t>
      </w:r>
      <w:hyperlink r:id="rId1049"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Je weiter ich mich zeitlich von der Beendigung dieser Analyse entferne, desto wahrscheinlicher wird mir, daß mein technischer Fehler in folgender Unterlassung bestand: Ich habe es versäumt, rechtzeitig zu erraten und der Kranken mitzuteilen, daß die homosexuelle (gynäkophile) Liebesregung für Frau K. die stärkste der unbewußten Strömungen ihres Seelenlebens war. Ich hätte erraten müssen, daß keine andere Person als Frau K. die Hauptquelle für ihre Kenntnis sexueller Dinge sein konnte, dieselbe Person, von der sie dann wegen ihres Interesses an solchen Gegenständen verklagt worden war. Es war doch zu auffällig, daß sie alles Anstößige wußte und niemals wissen wollte, woher sie es wußte. An dieses Rätsel hätte ich anknüpfen, für diese sonderbare Verdrängung hätte ich das Motiv suchen müssen. Der zweite Traum hätte es mir dann verraten. Die rücksichtslose Rachsucht, welcher dieser Traum den Ausdruck gab, war wie nichts anderes geeignet, die. gegensätzliche Strömung zu verdecken, den Edelmut, mit dem sie den Verrat der geliebten Freundin verzieh und es allen verbarg, daß diese selbst ihr die Eröffnungen gemacht, deren Kenntnis dann zu ihrer Verdächtigung verwendet wurde. Ehe ich die Bedeutung der homosexuellen Strömung bei den Psychoneurotikern erkannt hatte, bin ich oftmals in der Behandlung von Fällen steckengeblieben oder in völlige Verwirrung geraten.</w:t>
        </w:r>
      </w:hyperlink>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Wo Regungen der Grausamkeit und Motive der Rache, die schon im Leben zur Aufrechthaltung der Symptome verwendet worden sind, sich während der Kur auf den Arzt übertragen, ehe er Zeit gehabt hat, dieselben durch Rückführung auf ihre Quellen von seiner Person abzulösen, da darf es nicht Wunder nehmen, daß das Befinden der Kranken nicht den Einfluß seiner therapeutischen Bemühung zeigt. Denn wodurch könnte die Kranke sich wirksamer rächen, als indem sie an ihrer Person dartut, wie ohnmächtig und unfähig der Arzt ist? Dennoch bin ich geneigt, den therapeutischen Wert auch so fragmentarischer Behandlungen, wie die Doras war, nicht gering zu veranschlagen.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Erst fünf Vierteljahre nach Abschluß der Behandlung und dieser Niederschrift erhielt ich Nachricht von dem Befinden meiner Patientin und somit von dem Ausgange der Kur. An einem nicht ganz gleichgültigen Datum, am 1. </w:t>
      </w:r>
      <w:r w:rsidRPr="00393116">
        <w:rPr>
          <w:rFonts w:ascii="Garamond" w:hAnsi="Garamond"/>
          <w:sz w:val="20"/>
          <w:szCs w:val="20"/>
          <w:lang w:val="en-US"/>
        </w:rPr>
        <w:lastRenderedPageBreak/>
        <w:t>April – wir wissen, daß Zeiten bei ihr nie bedeutungslos waren – erschien sie bei mir, um ihre Geschichte zu beenden und um neuerdings Hilfe zu erbitten: ein Blick auf ihre Miene konnte mir aber verraten, daß es ihr mit dieser Bitte nicht ernst war. Sie war noch vier bis fünf Wochen, nachdem sie die Behandlung verlassen, im »Durcheinander«, wie sie sagte. Dann trat eine große Besserung ein, die Anfälle wurden seltener, ihre Stimmung gehoben. Im Mai des jetzt vergangenen Jahres starb das eine Kind des Ehepaares K., das immer gekränkelt hatte. Sie nahm diesen Trauerfall zum Anlasse, um den K. einen Kondolenzbesuch zu machen, und wurde von ihnen empfangen, als ob in diesen letzten drei Jahren nichts vorgefallen wäre. Damals söhnte sie sich mit ihnen aus, nahm ihre Rache an ihnen und brachte ihre Angelegenheit zu einem für sie befriedigenden Abschlusse. Der Frau sagte sie: Ich weiß, du hast ein Verhältnis mit dem Papa, und diese leugnete nicht. Den Mann veranlaßte sie, die von ihm bestrittene Szene am See zuzugestehen, und brachte diese sie rechtfertigende Nachricht ihrem Vater. Sie hat den Verkehr mit der Familie nicht wieder aufgenommen.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Es ging ihr dann ganz gut bis Mitte Oktober, um welche Zeit sich wieder ein Anfall von Stimmlosigkeit einstellte, der sechs Wochen lang anhielt. Über diese Mitteilung überrascht, frage ich, ob dafür ein Anlaß vorhanden war, und höre, daß der Anfall an ein heftiges Erschrecken anschloß. Sie mußte zusehen, wie jemand von einem Wagen überfahren wurde. Endlich rückte sie damit heraus, daß der Unfall keinen anderen als Herrn K. betroffen hatte. Sie traf ihn eines Tages auf der Straße; er kam ihr an einer Stelle lebhaften Verkehres entgegen, blieb wie verworren vor ihr stehen und ließ sich in der Selbstvergessenheit von einem Wagen niederwerfen </w:t>
      </w:r>
      <w:hyperlink r:id="rId1050"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 xml:space="preserve">Ein interessanter Beitrag zu dem in meiner </w:t>
        </w:r>
        <w:r w:rsidRPr="00393116">
          <w:rPr>
            <w:rStyle w:val="innerfusslink"/>
            <w:rFonts w:ascii="Garamond" w:hAnsi="Garamond"/>
            <w:i/>
            <w:iCs/>
            <w:sz w:val="20"/>
            <w:szCs w:val="20"/>
            <w:lang w:val="en-US"/>
          </w:rPr>
          <w:t>Psychopathologie des Alltagslebens</w:t>
        </w:r>
        <w:r w:rsidRPr="00393116">
          <w:rPr>
            <w:rStyle w:val="innerfusslink"/>
            <w:rFonts w:ascii="Garamond" w:hAnsi="Garamond"/>
            <w:sz w:val="20"/>
            <w:szCs w:val="20"/>
            <w:lang w:val="en-US"/>
          </w:rPr>
          <w:t xml:space="preserve"> behandelten indirekten Selbstmordversuche.</w:t>
        </w:r>
      </w:hyperlink>
      <w:r w:rsidRPr="00393116">
        <w:rPr>
          <w:rFonts w:ascii="Garamond" w:hAnsi="Garamond"/>
          <w:sz w:val="20"/>
          <w:szCs w:val="20"/>
          <w:lang w:val="en-US"/>
        </w:rPr>
        <w:t>. Sie überzeugte sich übrigens, daß er ohne erheblichen Schaden davonkam. Es rege sich noch leise in ihr, wenn sie von dem Verhältnisse des Papas zu Frau K. reden höre, in welches sie sich sonst nicht mehr menge. Sie lebe ihren Studien, gedenke nicht zu heiraten.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 xml:space="preserve">Meine Hilfe suchte sie wegen einer rechtsseitigen Gesichtsneuralgie, die jetzt Tag und Nacht anhalte. Seit wann? »Seit genau vierzehn Tagen.« </w:t>
      </w:r>
      <w:hyperlink r:id="rId1051" w:history="1">
        <w:r w:rsidRPr="00393116">
          <w:rPr>
            <w:rStyle w:val="Lienhypertexte"/>
            <w:rFonts w:ascii="Garamond" w:hAnsi="Garamond"/>
            <w:sz w:val="20"/>
            <w:szCs w:val="20"/>
            <w:lang w:val="en-US"/>
          </w:rPr>
          <w:t>[Fußnote]</w:t>
        </w:r>
        <w:r w:rsidRPr="00393116">
          <w:rPr>
            <w:rStyle w:val="innerfusslink"/>
            <w:rFonts w:ascii="Garamond" w:hAnsi="Garamond"/>
            <w:sz w:val="20"/>
            <w:szCs w:val="20"/>
            <w:lang w:val="en-US"/>
          </w:rPr>
          <w:t>S. die Bedeutung dieses Termins und dessen Beziehung zum Thema der Rache in der Analyse des zweiten Traumes.</w:t>
        </w:r>
      </w:hyperlink>
      <w:r w:rsidRPr="00393116">
        <w:rPr>
          <w:rFonts w:ascii="Garamond" w:hAnsi="Garamond"/>
          <w:sz w:val="20"/>
          <w:szCs w:val="20"/>
          <w:lang w:val="en-US"/>
        </w:rPr>
        <w:t xml:space="preserve"> – Ich mußte lächeln, da ich ihr nachweisen konnte, daß sie vor genau vierzehn Tagen eine mich betreffende Nachricht in der Zeitung gelesen, was sie auch bestätigte (1902).</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Die angebliche Gesichtsneuralgie entsprach also einer Selbstbestrafung, der Reue wegen der Ohrfeige, die sie damals Herrn K. gegeben, und der daraus auf mich bezogenen Racheübertragung. Welche Art Hilfe sie von mir verlangen wollte, weiß ich nicht, aber ich versprach, ihr zu verzeihen, daß sie mich um die Befriedigung gebracht, sie weit gründlicher von ihrem Leiden zu befreien.</w:t>
      </w:r>
    </w:p>
    <w:p w:rsidR="00822836" w:rsidRPr="00393116" w:rsidRDefault="00822836" w:rsidP="00822836">
      <w:pPr>
        <w:pStyle w:val="Sansinterligne"/>
        <w:rPr>
          <w:rFonts w:ascii="Garamond" w:hAnsi="Garamond"/>
          <w:sz w:val="20"/>
          <w:szCs w:val="20"/>
          <w:lang w:val="en-US"/>
        </w:rPr>
      </w:pPr>
      <w:r w:rsidRPr="00393116">
        <w:rPr>
          <w:rFonts w:ascii="Garamond" w:hAnsi="Garamond"/>
          <w:sz w:val="20"/>
          <w:szCs w:val="20"/>
          <w:lang w:val="en-US"/>
        </w:rPr>
        <w:t>*</w:t>
      </w:r>
    </w:p>
    <w:p w:rsidR="00822836" w:rsidRDefault="00822836" w:rsidP="00822836">
      <w:pPr>
        <w:pStyle w:val="Sansinterligne"/>
        <w:rPr>
          <w:rFonts w:ascii="Garamond" w:hAnsi="Garamond"/>
          <w:sz w:val="20"/>
          <w:szCs w:val="20"/>
          <w:lang w:val="en-US"/>
        </w:rPr>
      </w:pPr>
      <w:r w:rsidRPr="00393116">
        <w:rPr>
          <w:rFonts w:ascii="Garamond" w:hAnsi="Garamond"/>
          <w:sz w:val="20"/>
          <w:szCs w:val="20"/>
          <w:lang w:val="en-US"/>
        </w:rPr>
        <w:t>Es sind wiederum Jahre seit dem Besuche bei mir vergangen. Das Mädchen hat sich seither verheiratet, und zwar mit jenem jungen Manne, wenn mich nicht alle Anzeichen trügen, den die Einfälle zu Beginn der Analyse des zweiten Traumes erwähnten. Wie der erste Traum die Abwendung vom geliebten Manne zum Vater, also die Flucht aus dem Leben in die Krankheit bezeichnete, so verkündete ja dieser zweite Traum, daß sie sich vom Vater losreißen werde und dem Leben wiedergewonnen sei.</w:t>
      </w:r>
    </w:p>
    <w:p w:rsidR="00822836" w:rsidRDefault="00822836" w:rsidP="00822836">
      <w:pPr>
        <w:rPr>
          <w:rFonts w:ascii="Garamond" w:hAnsi="Garamond"/>
          <w:sz w:val="20"/>
          <w:szCs w:val="20"/>
          <w:lang w:val="en-US"/>
        </w:rPr>
      </w:pPr>
      <w:r>
        <w:rPr>
          <w:rFonts w:ascii="Garamond" w:hAnsi="Garamond"/>
          <w:sz w:val="20"/>
          <w:szCs w:val="20"/>
          <w:lang w:val="en-US"/>
        </w:rPr>
        <w:br w:type="page"/>
      </w:r>
    </w:p>
    <w:p w:rsidR="00822836" w:rsidRPr="004B6098" w:rsidRDefault="00822836" w:rsidP="00822836">
      <w:pPr>
        <w:pStyle w:val="Sansinterligne"/>
        <w:rPr>
          <w:rFonts w:ascii="Garamond" w:hAnsi="Garamond"/>
          <w:sz w:val="20"/>
          <w:szCs w:val="20"/>
        </w:rPr>
      </w:pPr>
      <w:r>
        <w:rPr>
          <w:rFonts w:ascii="Garamond" w:hAnsi="Garamond"/>
          <w:sz w:val="20"/>
          <w:szCs w:val="20"/>
        </w:rPr>
        <w:lastRenderedPageBreak/>
        <w:t>HANS</w:t>
      </w:r>
    </w:p>
    <w:p w:rsidR="00822836" w:rsidRPr="004B6098" w:rsidRDefault="00822836" w:rsidP="00822836">
      <w:pPr>
        <w:pStyle w:val="Sansinterligne"/>
        <w:rPr>
          <w:rFonts w:ascii="Garamond" w:hAnsi="Garamond"/>
          <w:sz w:val="20"/>
          <w:szCs w:val="20"/>
        </w:rPr>
      </w:pPr>
      <w:r w:rsidRPr="004B6098">
        <w:rPr>
          <w:rFonts w:ascii="Garamond" w:hAnsi="Garamond"/>
          <w:sz w:val="20"/>
          <w:szCs w:val="20"/>
        </w:rPr>
        <w:t>Analyse der Phobie eines fünfjährigen Knaben ( 1909 )</w:t>
      </w:r>
    </w:p>
    <w:p w:rsidR="00822836" w:rsidRPr="004B6098" w:rsidRDefault="00822836" w:rsidP="00822836">
      <w:pPr>
        <w:pStyle w:val="Sansinterligne"/>
        <w:rPr>
          <w:rFonts w:ascii="Garamond" w:hAnsi="Garamond"/>
          <w:sz w:val="20"/>
          <w:szCs w:val="20"/>
        </w:rPr>
      </w:pPr>
    </w:p>
    <w:p w:rsidR="00822836" w:rsidRPr="00822836" w:rsidRDefault="00822836" w:rsidP="00822836">
      <w:pPr>
        <w:pStyle w:val="Sansinterligne"/>
        <w:rPr>
          <w:rFonts w:ascii="Garamond" w:hAnsi="Garamond"/>
          <w:sz w:val="20"/>
          <w:szCs w:val="20"/>
        </w:rPr>
      </w:pPr>
    </w:p>
    <w:p w:rsidR="00822836" w:rsidRPr="00822836" w:rsidRDefault="00822836" w:rsidP="00822836">
      <w:pPr>
        <w:pStyle w:val="Sansinterligne"/>
        <w:rPr>
          <w:rFonts w:ascii="Garamond" w:hAnsi="Garamond"/>
          <w:sz w:val="20"/>
          <w:szCs w:val="20"/>
        </w:rPr>
      </w:pPr>
    </w:p>
    <w:p w:rsidR="00822836" w:rsidRPr="004B6098" w:rsidRDefault="00B437A1" w:rsidP="00822836">
      <w:pPr>
        <w:pStyle w:val="Sansinterligne"/>
        <w:rPr>
          <w:rFonts w:ascii="Garamond" w:hAnsi="Garamond"/>
          <w:sz w:val="20"/>
          <w:szCs w:val="20"/>
          <w:lang w:val="en-US" w:eastAsia="fr-FR"/>
        </w:rPr>
      </w:pPr>
      <w:hyperlink w:anchor="Inhalt" w:history="1">
        <w:r w:rsidR="00822836" w:rsidRPr="004B6098">
          <w:rPr>
            <w:rStyle w:val="Lienhypertexte"/>
            <w:rFonts w:ascii="Garamond" w:eastAsia="Times New Roman" w:hAnsi="Garamond" w:cs="Times New Roman"/>
            <w:b/>
            <w:bCs/>
            <w:sz w:val="20"/>
            <w:szCs w:val="20"/>
            <w:lang w:val="en-US" w:eastAsia="fr-FR"/>
          </w:rPr>
          <w:t>I. Einleitung</w:t>
        </w:r>
      </w:hyperlink>
    </w:p>
    <w:p w:rsidR="00822836" w:rsidRPr="004B6098" w:rsidRDefault="00822836" w:rsidP="00822836">
      <w:pPr>
        <w:pStyle w:val="Sansinterligne"/>
        <w:rPr>
          <w:rFonts w:ascii="Garamond" w:hAnsi="Garamond"/>
          <w:sz w:val="20"/>
          <w:szCs w:val="20"/>
          <w:lang w:val="en-US" w:eastAsia="fr-FR"/>
        </w:rPr>
      </w:pP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auf den folgenden Blättern darzustellende Kranken- und Heilungsgeschichte eines sehr jugendlichen Patienten entstammt, streng genommen, nicht meiner Beobachtung. Ich habe zwar den Plan der Behandlung im ganzen geleitet und auch ein einziges Mal in einem Gespräche mit dem Knaben persönlich eingegriffen; die Behandlung selbst hat aber der Vater des Kleinen durchgeführt, dem ich für die Überlassung seiner Notizen zum Zwecke der Veröffentlichung zu ernstem Danke verpflichtet bin. Das Verdienst des Vaters reicht aber weiter; ich meine, es wäre einer anderen Person überhaupt nicht gelungen, das Kind zu solchen Bekenntnissen zu bewegen; die Sachkenntnis, vermöge welcher der Vater die Äußerungen seines 5jährigen Sohnes zu deuten verstand, hätte sich nicht ersetzen lassen, die technischen Schwierigkeiten einer Psychoanalyse in so zartem Alter wären unüberwindbar geblieben. Nur die Vereinigung der väterlichen und der ärztlichen Autorität in einer Person, das Zusammentreffen des zärtlichen Interesses mit dem wissenschaftlichen bei derselben, haben es in diesem einen Falle ermöglicht, von der Methode eine Anwendung zu machen, zu welcher sie sonst ungeeignet gewesen wäre.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Der besondere Wert dieser Beobachtung ruht aber in Folgendem: Der Arzt, der einen erwachsenen Nervösen psychoanalytisch behandelt, gelangt durch seine Arbeit des schichtweisen Aufdeckens psychischer Bildungen schließlich zu gewissen Annahmen über die infantile Sexualität, in deren Komponenten er die Triebkräfte aller neurotischen Symptome des späteren Lebens gefunden zu haben glaubt. Ich habe diese Annahmen in meinen 1905 veröffentlichen </w:t>
      </w:r>
      <w:r w:rsidRPr="004B6098">
        <w:rPr>
          <w:rFonts w:ascii="Garamond" w:hAnsi="Garamond"/>
          <w:i/>
          <w:iCs/>
          <w:sz w:val="20"/>
          <w:szCs w:val="20"/>
          <w:lang w:val="en-US" w:eastAsia="fr-FR"/>
        </w:rPr>
        <w:t>Drei Abhandlungen zur Sexualtheorie</w:t>
      </w:r>
      <w:r w:rsidRPr="004B6098">
        <w:rPr>
          <w:rFonts w:ascii="Garamond" w:hAnsi="Garamond"/>
          <w:sz w:val="20"/>
          <w:szCs w:val="20"/>
          <w:lang w:val="en-US" w:eastAsia="fr-FR"/>
        </w:rPr>
        <w:t xml:space="preserve"> dargelegt; ich weiß, daß sie dem Fernerstehenden ebenso befremdend erscheinen wie dem Psychoanalytiker unabweisbar. Aber auch der Psychoanalytiker darf sich den Wunsch nach einem direkteren, auf kürzerem Wege gewonnenen Beweise jener fundamentalen Sätze eingestehen. Sollte es denn unmöglich sein, unmittelbar am Kinde in aller Lebensfrische jene sexuellen Regungen und Wunschbildungen zu erfahren, die wir beim Gealterten mit soviel Mühe aus ihren Verschüttungen ausgraben, von denen wir noch überdies behaupten, daß sie konstitutionelles Gemeingut aller Menschen sind und sich beim Neurotiker nur verstärkt oder verzerrt zeigen?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In solcher Absicht pflege ich meine Schüler und Freunde seit Jahren anzueifern, daß sie Beobachtungen über das zumeist geschickt übersehene oder absichtlich verleugnete Sexualleben der Kinder sammeln mögen. Unter dem Material, welches infolge dieser Aufforderung in meine Hände gelangte, nahmen die fortlaufenden Nachrichten über den kleinen Hans bald eine hervorragende Stelle ein. Seine Eltern, die beide zu meinen nächsten Anhängern gehörten, waren übereingekommen, ihr erstes Kind mit nicht mehr Zwang zu erziehen, als zur Erhaltung guter Sitte unbedingt erforderlich werden sollte, und da das Kind sich zu einem heiteren, gutartigen und aufgeweckten Buben entwickelte, nahm der Versuch, ihn ohne Einschüchterung aufwachsen und sich äußern zu lassen, seinen guten Fortgang. Ich gebe nun die Aufzeichnungen des Vaters über den kleinen Hans wieder, wie sie mir zugetragen wurden, und werde mich selbstverständlich jedes Versuches enthalten, Naivität und Aufrichtigkeit der Kinderstube durch konventionelle Entstellungen zu stören.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ersten Mitteilungen über Hans datieren aus der Zeit, da er noch nicht ganz drei Jahre alt war. Er äußerte damals durch verschiedene Reden und Fragen ein ganz besonders lebhaftes Interesse für den Teil seines Körpers, den er als »Wiwimacher« zu bezeichnen gewohnt war. So richtete er einmal an seine Mutter die Frage: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»Mama hast du auch einen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Mama: »Selbstverständlich. Weshalb?«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 nur gedacht.«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Im gleichen Alter kommt er einmal in einen Stall und sieht, wie eine Kuh gemolken wird. »Schau, aus dem Wiwimacher kommt Milch.«</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Schon diese ersten Beobachtungen machen die Erwartung rege, daß vieles, wenn nicht das meiste, was uns der kleine Hans zeigt, sich als typisch für die Sexualentwicklung des Kindes herausstellen wird. Ich habe einmal ausgeführt </w:t>
      </w:r>
      <w:hyperlink r:id="rId1052" w:history="1">
        <w:r w:rsidRPr="004B6098">
          <w:rPr>
            <w:rFonts w:ascii="Garamond" w:hAnsi="Garamond"/>
            <w:color w:val="0000FF"/>
            <w:sz w:val="20"/>
            <w:szCs w:val="20"/>
            <w:u w:val="single"/>
            <w:lang w:val="en-US" w:eastAsia="fr-FR"/>
          </w:rPr>
          <w:t xml:space="preserve">[Fußnote]›Bruchstück einer Hysterie-Analyse‹ (1905  </w:t>
        </w:r>
        <w:r w:rsidRPr="004B6098">
          <w:rPr>
            <w:rFonts w:ascii="Garamond" w:hAnsi="Garamond"/>
            <w:i/>
            <w:iCs/>
            <w:color w:val="0000FF"/>
            <w:sz w:val="20"/>
            <w:szCs w:val="20"/>
            <w:u w:val="single"/>
            <w:lang w:val="en-US" w:eastAsia="fr-FR"/>
          </w:rPr>
          <w:t>e</w:t>
        </w:r>
        <w:r w:rsidRPr="004B6098">
          <w:rPr>
            <w:rFonts w:ascii="Garamond" w:hAnsi="Garamond"/>
            <w:color w:val="0000FF"/>
            <w:sz w:val="20"/>
            <w:szCs w:val="20"/>
            <w:u w:val="single"/>
            <w:lang w:val="en-US" w:eastAsia="fr-FR"/>
          </w:rPr>
          <w:t>).</w:t>
        </w:r>
      </w:hyperlink>
      <w:r w:rsidRPr="004B6098">
        <w:rPr>
          <w:rFonts w:ascii="Garamond" w:hAnsi="Garamond"/>
          <w:sz w:val="20"/>
          <w:szCs w:val="20"/>
          <w:lang w:val="en-US" w:eastAsia="fr-FR"/>
        </w:rPr>
        <w:t xml:space="preserve">, daß man nicht zu sehr entsetzt zu sein braucht, wenn man bei einem weiblichen Wesen die Vorstellung vom Saugen am männlichen Gliede findet. Diese anstößige Regung habe eine sehr harmlose Abkunft, da sie sich vom Saugen an der Mutterbrust ableitet, wobei das Euter der Kuh – seiner Natur nach eine Mamma, seiner Gestalt und Lage nach ein Penis – eine passende Vermittlung übernimmt. </w:t>
      </w:r>
      <w:r w:rsidRPr="004B6098">
        <w:rPr>
          <w:rFonts w:ascii="Garamond" w:hAnsi="Garamond"/>
          <w:sz w:val="20"/>
          <w:szCs w:val="20"/>
          <w:lang w:eastAsia="fr-FR"/>
        </w:rPr>
        <w:t>Die Entdeckung des kleinen Hans bestätigt den letzten Teil meiner Aufstellung.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Sein Interesse für den Wiwimacher ist indes kein bloß theoretisches; wie zu vermuten stand, reizt es ihn auch zu Berührungen des Gliedes. Im Alter von 3½ Jahren wird er von der Mutter, die Hand am Penis, betroffen. Diese droht :»Wenn du das machst, lass' ich den Dr. A. kommen, der schneidet dir den Wiwimacher ab. Womit wirst du dann Wiwi machen?«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»Mit dem Popo.«</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Er antwortet noch ohne Schuldbewußtsein, aber er erwirbt bei diesem Anlasse den »Kastrationskomplex«, den man in den Analysen der Neurotiker so oft erschließen muß, während sie sich sämtlich gegen die Anerkennung desselben heftig sträuben. Über die Bedeutung dieses Elements der Kindergeschichte wäre viel Wichtiges zu sagen. Der </w:t>
      </w:r>
      <w:r w:rsidRPr="004B6098">
        <w:rPr>
          <w:rFonts w:ascii="Garamond" w:hAnsi="Garamond"/>
          <w:sz w:val="20"/>
          <w:szCs w:val="20"/>
          <w:lang w:val="en-US" w:eastAsia="fr-FR"/>
        </w:rPr>
        <w:lastRenderedPageBreak/>
        <w:t xml:space="preserve">»Kastrationskomplex« hat im Mythus (und zwar nicht nur im griechischen) auffällige Spuren hinterlassen; ich habe seine Rolle in einer Stelle der </w:t>
      </w:r>
      <w:r w:rsidRPr="004B6098">
        <w:rPr>
          <w:rFonts w:ascii="Garamond" w:hAnsi="Garamond"/>
          <w:i/>
          <w:iCs/>
          <w:sz w:val="20"/>
          <w:szCs w:val="20"/>
          <w:lang w:val="en-US" w:eastAsia="fr-FR"/>
        </w:rPr>
        <w:t>Traumdeutung</w:t>
      </w:r>
      <w:r w:rsidRPr="004B6098">
        <w:rPr>
          <w:rFonts w:ascii="Garamond" w:hAnsi="Garamond"/>
          <w:sz w:val="20"/>
          <w:szCs w:val="20"/>
          <w:lang w:val="en-US" w:eastAsia="fr-FR"/>
        </w:rPr>
        <w:t xml:space="preserve"> (S. 385 der zweiten Auflage, 7. Aufl. S. 456) und noch anderwärts gestreift </w:t>
      </w:r>
      <w:hyperlink r:id="rId1053" w:history="1">
        <w:r w:rsidRPr="004B6098">
          <w:rPr>
            <w:rFonts w:ascii="Garamond" w:hAnsi="Garamond"/>
            <w:color w:val="0000FF"/>
            <w:sz w:val="20"/>
            <w:szCs w:val="20"/>
            <w:u w:val="single"/>
            <w:lang w:val="en-US" w:eastAsia="fr-FR"/>
          </w:rPr>
          <w:t>[Fußnote]Die Lehre vom Kastrationskomplex hat seither durch die Beiträge von Lou Andreas, A. Stärcke, F. Alexander u. a. einen weiteren Ausbau erfahren. Man hat geltend gemacht, daß der Säugling schon das jedesmalige Zurückziehen der Mutterbrust als Kastration, d. h. als Verlust eines bedeutsamen, zu seinem Besitz gerechneten Körperteils empfinden mußte, daß er die regelmäßige Abgabe des Stuhlgangs nicht anders werten kann, ja daß der Geburtsakt als Trennung von der Mutter, mit der man bis dahin eins war, das Urbild jeder Kastration ist. Unter Anerkennung all dieser Wurzeln des Komplexes habe ich doch die Forderung aufgestellt, daß der Name Kastrationskomplex auf die Erregungen und Wirkungen zu beschränken sei, die mit dem Verlust des Penis verknüpft sind. Wer sich in den Analysen Erwachsener von der Unausbleiblichkeit des Kastrationskomplexes überzeugt hat, wird es natürlich schwierig finden, ihn auf eine zufällige und doch nicht so allgemein vorkommende Androhung zurückzuführen, und wird annehmen müssen, daß das Kind sich diese Gefahr auf die leisesten Andeutungen hin, an denen es ja niemals fehlt, konstruiert. Dies ist ja auch das Motiv, das den Anstoß gegeben hat, nach den allgemein vorfindlichen tieferen Wurzeln des Komplexes zu suchen. Um so wertvoller wird es aber, daß im Falle des kleinen Hans die Kastrationsandrohung von den Eltern berichtet wird, und zwar aus einer Zeit, da seine Phobie noch nicht in Frage kam.</w:t>
        </w:r>
      </w:hyperlink>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Etwa im gleichen Alter (3½ Jahre) ruft er in Schönbrunn vor dem Löwenkäfige freudig erregt aus: »Ich hab' den Wiwimacher vom Löwen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Tiere verdanken ein gutes Stück der Bedeutung, die sie im Mythus und im Märchen haben, der Offenheit, mit der sie dem kleinen, wißbegierigen Menschenkinde ihre Genitalien und ihre sexuellen Funktionen zeigen. Die sexuelle Neugierde unseres Hans leidet wohl keinen Zweifel, aber sie macht ihn auch zum Forscher, gestattet ihm richtige begriffliche Erkenntnisse.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sieht auf dem Bahnhofe, 3¾ Jahre alt, wie aus einer Lokomotive Wasser ausgelassen wird. »Schau, die Lokomotive macht Wiwi. Wo hat sie denn den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Nach einer Weile setzt er nachdenklich hinzu: »Ein Hund und ein Pferd hat einen Wiwimacher; ein Tisch und ein Sessel nicht.« So hat er ein wesentliches Kennzeichen für die Unterscheidung des Lebenden vom Leblosen gewonnen.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Wißbegierde und sexuelle Neugierde scheinen untrennbar voneinander zu sein. Hans' Neugierde erstreckt sich ganz besonders auf die Eltern.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3¾ Jahre: »Papa, hast du auch einen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Vater: »Ja, natürlich.«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»Aber ich hab' ihn nie gesehen, wenn du dich ausgezogen hast.«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Ein andermal sieht er gespannt zu, wie sich die Mama vor dem Schlafengehen entkleidet. Diese fragt: »Was schaust du denn so?«</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schau' nur, ob du auch einen Wiwimacher hast?«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Mama: »Natürlich. Hast du denn das nicht gewußt?«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»Nein, ich hab' gedacht, weil du so groß bist, hast du einen Wiwimacher wie ein Pferd.«</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Wir wollen uns diese Erwartung des kleinen Hans merken; sie wird später zu Bedeutung 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große Ereignis in Hansens Leben ist aber die Geburt seiner kleinen Schwester Hanna, als er genau 3½ Jahre alt war (April 1903 bis Oktober 1906). Sein Benehmen bei diesem Anlasse wurde vom Vater unmittelbar notiert: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Früh um 5 Uhr, mit dem Beginne der Wehen, wird Hans' Bett ins Nebenzimmer gebracht; hier erwacht er um 7 Uhr und hört das Stöhnen der Gebärenden, worauf er fragt: »Was hustet denn die Mama?« – Nach einer Pause: »Heut' kommt gewiß der Storch.«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Man hat ihm natürlich in den letzten Tagen oft gesagt, der Storch wird ein Mäderl oder Buberl bringen, und er verbindet das ungewohnte Stöhnen ganz richtig mit der Ankunft des Storches.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Später wird er in die Küche gebracht; im Vorzimmer sieht er die Tasche des Arztes und fragt: »Was ist das?«, worauf man ihm sagt: »Eine Tasche.« Er dann überzeugt: »Heut' kommt der Storch.« Nach der Entbindung kommt die Hebamme in die Küche und Hans hört, wie sie anordnet, man möge einen Tee kochen, worauf er sagt: »Aha, weil die Mammi hustet, bekommt sie einen Tee.« Er wird dann ins Zimmer gerufen, schaut aber nicht auf die Mama, sondern auf die Gefäße mit blutigem Wasser, die noch im Zimmer stehen, und bemerkt, auf die blutige Leibschüssel deutend, befremdet: »Aber aus meinem Wiwimacher kommt kein Blut.«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t xml:space="preserve">Alle seine Aussprüche zeigen, daß er das Ungewöhnliche der Situation mit der Ankunft des Storches in Zusammenhang bringt. </w:t>
      </w:r>
      <w:r w:rsidRPr="004B6098">
        <w:rPr>
          <w:rFonts w:ascii="Garamond" w:hAnsi="Garamond"/>
          <w:sz w:val="20"/>
          <w:szCs w:val="20"/>
          <w:lang w:val="en-US" w:eastAsia="fr-FR"/>
        </w:rPr>
        <w:t xml:space="preserve">Er macht zu allem, was er sieht, eine sehr mißtrauische, gespannte Miene, und </w:t>
      </w:r>
      <w:r w:rsidRPr="004B6098">
        <w:rPr>
          <w:rFonts w:ascii="Garamond" w:hAnsi="Garamond"/>
          <w:i/>
          <w:iCs/>
          <w:sz w:val="20"/>
          <w:szCs w:val="20"/>
          <w:lang w:val="en-US" w:eastAsia="fr-FR"/>
        </w:rPr>
        <w:t>zweifellos hat sich das erste Mißtrauen gegen den Storch bei ihm festgesetzt</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ist auf den neuen Ankömmling sehr eifersüchtig und sagt, wenn irgendwer sie lobt, schön findet usw., sofort höhnisch: »Aber sie hat noch keine Zähne </w:t>
      </w:r>
      <w:hyperlink r:id="rId1054" w:history="1">
        <w:r w:rsidRPr="004B6098">
          <w:rPr>
            <w:rFonts w:ascii="Garamond" w:hAnsi="Garamond"/>
            <w:color w:val="0000FF"/>
            <w:sz w:val="20"/>
            <w:szCs w:val="20"/>
            <w:u w:val="single"/>
            <w:lang w:val="en-US" w:eastAsia="fr-FR"/>
          </w:rPr>
          <w:t>[Fußnote]Wiederum ein typisches Verhalten. Ein anderer, nur um zwei Jahre älterer Bruder pflegte unter den gleichen Verhältnissen ärgerlich mit dem Ausrufe »zu k(l)ein, zu k(l)ein« abzuwehren.</w:t>
        </w:r>
      </w:hyperlink>
      <w:r w:rsidRPr="004B6098">
        <w:rPr>
          <w:rFonts w:ascii="Garamond" w:hAnsi="Garamond"/>
          <w:sz w:val="20"/>
          <w:szCs w:val="20"/>
          <w:lang w:val="en-US" w:eastAsia="fr-FR"/>
        </w:rPr>
        <w:t>.« Als er sie nämlich zum erstenmal sah, war er sehr überrascht, daß sie nicht sprechen kann, und meinte, sie könne nicht sprechen, weil sie keine Zähne habe. Er wird in den ersten Tagen selbstverständlich sehr zurückgesetzt und erkrankt plötzlich an Angina. Im Fieber hört man ihn sagen: »Aber ich will kein Schwesterl haben!«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 xml:space="preserve">Nach etwa einem halben Jahre ist die Eifersucht überwunden, und er wird ein ebenso zärtlicher wie seiner Überlegenheit bewußter Bruder </w:t>
      </w:r>
      <w:hyperlink r:id="rId1055" w:history="1">
        <w:r w:rsidRPr="004B6098">
          <w:rPr>
            <w:rFonts w:ascii="Garamond" w:hAnsi="Garamond"/>
            <w:color w:val="0000FF"/>
            <w:sz w:val="20"/>
            <w:szCs w:val="20"/>
            <w:u w:val="single"/>
            <w:lang w:val="en-US" w:eastAsia="fr-FR"/>
          </w:rPr>
          <w:t xml:space="preserve">[Fußnote]»Der Storch soll ihn wieder mitnehmen«, äußerte ein anderes, etwas älteres Kind zum Willkomm des Brüderchens. Vergleiche hiezu, was ich in der </w:t>
        </w:r>
        <w:r w:rsidRPr="004B6098">
          <w:rPr>
            <w:rFonts w:ascii="Garamond" w:hAnsi="Garamond"/>
            <w:i/>
            <w:iCs/>
            <w:color w:val="0000FF"/>
            <w:sz w:val="20"/>
            <w:szCs w:val="20"/>
            <w:u w:val="single"/>
            <w:lang w:val="en-US" w:eastAsia="fr-FR"/>
          </w:rPr>
          <w:t>Traumdeutung</w:t>
        </w:r>
        <w:r w:rsidRPr="004B6098">
          <w:rPr>
            <w:rFonts w:ascii="Garamond" w:hAnsi="Garamond"/>
            <w:color w:val="0000FF"/>
            <w:sz w:val="20"/>
            <w:szCs w:val="20"/>
            <w:u w:val="single"/>
            <w:lang w:val="en-US" w:eastAsia="fr-FR"/>
          </w:rPr>
          <w:t xml:space="preserve"> über die Träume vom Tode teuerer Verwandter bemerkt habe (S. 173 ff., 8. Aufl.).</w:t>
        </w:r>
      </w:hyperlink>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Ein wenig später sieht Hans zu, wie man seine einwöchentliche Schwester badet. Er bemerkt: »Aber ihr Wiwimacher ist noch klein«, und setzt wie tröstend hinzu: »Wenn sie wachst, wird er schon größer werden </w:t>
      </w:r>
      <w:hyperlink r:id="rId1056" w:history="1">
        <w:r w:rsidRPr="004B6098">
          <w:rPr>
            <w:rFonts w:ascii="Garamond" w:hAnsi="Garamond"/>
            <w:color w:val="0000FF"/>
            <w:sz w:val="20"/>
            <w:szCs w:val="20"/>
            <w:u w:val="single"/>
            <w:lang w:val="en-US" w:eastAsia="fr-FR"/>
          </w:rPr>
          <w:t>[Fußnote]Das nämliche Urteil, in den identischen Worten ausgedrückt und von der gleichen Erwartung gefolgt, wurde mir von zwei anderen Knaben berichtet, als sie den Leib eines kleinen Schwesterchens zuerst neugierig beschauen konnten. Man könnte über diese frühzeitige Verderbnis des kindlichen Intellekts erschrecken. Warum konstatieren diese jugendlichen Forscher nicht, was sie wirklich sehen, nämlich daß kein Wiwimacher vorhanden ist? Für unseren kleinen Hans können wir allerdings die volle Aufklärung seiner fehlerhaften Wahrnehmung geben. Wir wissen, er hat sich durch sorgfältige Induktion den allgemeinen Satz erworben, daß jedes belebte Wesen im Gegensatze zum Unbelebten einen Wiwimacher besitzt; die Mutter hat ihn in dieser Überzeugung bestärkt, indem sie ihm bejahende Auskünfte über solche Personen gab, die sich seiner eigenen Beobachtung entzogen. Er ist nun ganz und gar unfähig, seine Errungenschaft wegen der einen Beobachtung an der kleinen Schwester wieder aufzugeben. Er urteilt also, der Wiwimacher ist auch hier vorhanden, er ist nur noch sehr klein, aber er wird wachsen, bis er so groß geworden ist wie der eines Pferdes.</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Wir wollen zur Ehrenrettung unseres kleinen Hans ein Weiteres tun. Er benimmt sich eigentlich nicht schlechter als ein Philosoph der Wundtschen Schule. Für einen solchen ist das Bewußtsein der nie fehlende Charakter des Seelischen, wie für Hans der Wiwimacher das unentbehrliche Kennzeichen alles Lebenden. Stößt der Philosoph nun auf seelische Vorgänge, die man erschließen muß, an denen aber wirklich nichts von Bewußtsein wahrzunehmen ist – man weiß nämlich nichts von ihnen und kann doch nicht umhin, sie zu erschließen –, so sagt er nicht etwa, dies seien </w:t>
      </w:r>
      <w:r w:rsidRPr="004B6098">
        <w:rPr>
          <w:rFonts w:ascii="Garamond" w:hAnsi="Garamond"/>
          <w:i/>
          <w:iCs/>
          <w:sz w:val="20"/>
          <w:szCs w:val="20"/>
          <w:lang w:val="en-US" w:eastAsia="fr-FR"/>
        </w:rPr>
        <w:t>un</w:t>
      </w:r>
      <w:r w:rsidRPr="004B6098">
        <w:rPr>
          <w:rFonts w:ascii="Garamond" w:hAnsi="Garamond"/>
          <w:sz w:val="20"/>
          <w:szCs w:val="20"/>
          <w:lang w:val="en-US" w:eastAsia="fr-FR"/>
        </w:rPr>
        <w:t xml:space="preserve">bewußte seelische Vorgänge, sondern er heißt sie </w:t>
      </w:r>
      <w:r w:rsidRPr="004B6098">
        <w:rPr>
          <w:rFonts w:ascii="Garamond" w:hAnsi="Garamond"/>
          <w:i/>
          <w:iCs/>
          <w:sz w:val="20"/>
          <w:szCs w:val="20"/>
          <w:lang w:val="en-US" w:eastAsia="fr-FR"/>
        </w:rPr>
        <w:t>dunkelbewußte</w:t>
      </w:r>
      <w:r w:rsidRPr="004B6098">
        <w:rPr>
          <w:rFonts w:ascii="Garamond" w:hAnsi="Garamond"/>
          <w:sz w:val="20"/>
          <w:szCs w:val="20"/>
          <w:lang w:val="en-US" w:eastAsia="fr-FR"/>
        </w:rPr>
        <w:t xml:space="preserve">. Der Wiwimacher ist noch sehr klein! Und bei diesem Vergleiche ist der Vorteil noch auf seiten unseres kleinen Hans. Denn, wie so häufig bei den Sexualforschungen der Kinder, ist auch hier hinter dem Irrtume ein Stück richtiger Erkenntnis verborgen. Das kleine Mädchen besitzt allerdings auch einen kleinen Wiwimacher, den wir Klitoris heißen, wenn er auch nicht wächst, sondern verkümmert bleibt. (Vgl. meine kleine Arbeit ›Über infantile Sexualtheorien‹ (1908  </w:t>
      </w:r>
      <w:r w:rsidRPr="004B6098">
        <w:rPr>
          <w:rFonts w:ascii="Garamond" w:hAnsi="Garamond"/>
          <w:i/>
          <w:iCs/>
          <w:sz w:val="20"/>
          <w:szCs w:val="20"/>
          <w:lang w:val="en-US" w:eastAsia="fr-FR"/>
        </w:rPr>
        <w:t>c</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Im gleichen Alter, zu 3¾ Jahren, liefert Hans die erste Erzählung eines Traumes. »Heute, wie ich geschlafen habe, habe ich geglaubt, ich bin in Gmunden mit der Mariedl.«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Mariedl ist die 13jährige Tochter des Hausherrn, die oft mit ihm gespielt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Wie nun der Vater den Traum der Mutter in seiner Gegenwart erzählt, bemerkt Hans richtigstellend: »Nicht mit der Mariedl, ganz allein mit der Mariedl.«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Hiezu ist zu bemerken: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war im Sommer 1906 in Gmunden, wo er sich den Tag über mit den Hausherrnkindern herumtrieb. Als wir von Gmunden abreisten, glaubten wir, daß ihm der Abschied und die Übersiedlung in die Stadt schwerfallen würden. Dies war überraschenderweise nicht der Fall. Er freute sich offenbar über die Abwechslung und erzählte durch mehrere Wochen sehr wenig von Gmunden. Erst nach Ablauf von Wochen stiegen öfter lebhaft gefärbte Erinnerungen an die in Gmunden verbrachte Zeit in ihm auf. Seit etwa 4 Wochen verarbeitet er diese Erinnerungen zu Phantasien. Er phantasiert, daß er mit den Kindern Berta, Olga und Fritzl spielt, spricht mit ihnen, als ob sie gegenwärtig wären, und ist imstande, sich stundenlang so zu unterhalten. Jetzt, wo er eine Schwester bekommen hat und ihn offenbar das Problem des Kinderkriegens beschäftigt, nennt er Berta und Olga nur mehr »seine Kinder« und fügt einmal hinzu: »Auch meine Kinder, Berta und Olga, hat der Storch gebracht.« Der Traum, jetzt nach 6monatlicher Abwesenheit von Gmunden, ist offenbar als Ausdruck seiner Sehnsucht, nach Gmunden zu fahren, zu verstehen.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So weit der Vater; ich bemerke vorgreifend, daß Hans mit der letzten Äußerung über seine Kinder, die der Storch gebracht haben soll, einem in ihm steckenden Zweifel laut widerspricht. Der Vater hat zum Glück mancherlei notiert, was später zu ungeahntem Werte kommen sollte.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noProof/>
          <w:sz w:val="20"/>
          <w:szCs w:val="20"/>
          <w:lang w:eastAsia="fr-FR"/>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2095500" cy="2295525"/>
            <wp:effectExtent l="19050" t="0" r="0" b="0"/>
            <wp:wrapSquare wrapText="bothSides"/>
            <wp:docPr id="36" name="Image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pic:cNvPicPr>
                      <a:picLocks noChangeAspect="1" noChangeArrowheads="1"/>
                    </pic:cNvPicPr>
                  </pic:nvPicPr>
                  <pic:blipFill>
                    <a:blip r:embed="rId366" cstate="print"/>
                    <a:srcRect/>
                    <a:stretch>
                      <a:fillRect/>
                    </a:stretch>
                  </pic:blipFill>
                  <pic:spPr bwMode="auto">
                    <a:xfrm>
                      <a:off x="0" y="0"/>
                      <a:ext cx="2095500" cy="2295525"/>
                    </a:xfrm>
                    <a:prstGeom prst="rect">
                      <a:avLst/>
                    </a:prstGeom>
                    <a:noFill/>
                    <a:ln w="9525">
                      <a:noFill/>
                      <a:miter lim="800000"/>
                      <a:headEnd/>
                      <a:tailEnd/>
                    </a:ln>
                  </pic:spPr>
                </pic:pic>
              </a:graphicData>
            </a:graphic>
          </wp:anchor>
        </w:drawing>
      </w:r>
      <w:r w:rsidRPr="004B6098">
        <w:rPr>
          <w:rFonts w:ascii="Garamond" w:hAnsi="Garamond"/>
          <w:sz w:val="20"/>
          <w:szCs w:val="20"/>
          <w:lang w:val="en-US" w:eastAsia="fr-FR"/>
        </w:rPr>
        <w:t>Ich zeichne Hans, der in letzter Zeit öfter in Schönbrunn war, eine Giraffe. Er sagt mir: »Zeichne doch auch den Wiwimacher.« Ich darauf: »Zeichne du ihn selbst dazu.« Hierauf fügt er an das Bild der Giraffe folgenden Strich (die Zeichnung liegt bei), den er zuerst kurz zieht und dem er dann ein Stück hinzufügt, indem er bemerkt: »Der Wiwimacher ist länger.«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gehe mit Hans an einem Pferde vorbei, das uriniert. Er sagt: »Das Pferd hat den Wiwimacher unten so wie 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sieht zu, wie man seine 3monatliche Schwester badet, und sagt bedauernd: »Sie hat einen ganz, ganz kleinen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erhält eine Puppe zum Spielen, die er auskleidet. Er schaut sie sorgfältig an und sagt: »Die hat aber einen ganz kleinen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Wir wissen bereits, daß es ihm mit dieser Formel möglich gemacht ist, seine Entdeckung (vgl. S. 16) aufrechtzuhalten.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Jeder Forscher ist in Gefahr, gelegentlich dem Irrtume zu verfallen. Ein Trost bleibt es, wenn er, wie unser Hans im nächsten Beispiele, nicht allein irrt, sondern sich zur Entschuldigung auf den Sprachgebrauch berufen kann. Er sieht nämlich in seinem Bilderbuche einen Affen und zeigt auf dessen aufwärts geringelten Schwanz: »Schau, Vatti, der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In seinem Interesse für den Wiwimacher hat er sich ein ganz besonderes Spiel ausgedacht.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Im Vorzimmer ist der Abort und eine dunkle Holzkammer. Seit einiger Zeit geht Hans in die Holzkammer und sagt: »Ich geh' in mein Klosett.« Einmal schaue ich hinein, um zu sehen, was er in der dunklen Kammer macht. Er exhibiert und sagt: »Ich mache Wiwi.« Das heißt also: er »spielt« Klosett. Der Spielcharakter erhellt nicht nur daraus, daß er das Wiwimachen bloß fingiert und nicht etwa wirklich ausführt, sondern auch daraus, daß er nicht ins Klosett geht, was eigentlich viel einfacher wäre, vielmehr die Holzkammer vorzieht, die er »sein Klosett« heißt.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Wir würden Hans unrecht tun, wenn wir nur die autoerotischen Züge seines Sexuallebens verfolgten. Sein Vater hat uns ausführliche Beobachtungen über seine Liebesbeziehungen zu anderen Kindern mitzuteilen, aus denen sich eine »Objektwahl« wie beim Erwachsenen ergibt. Freilich auch eine ganz bemerkenswerte Beweglichkeit und polygamische Veranlagung.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Im Winter (3¾ Jahre) nehme ich Hans auf den Eislaufplatz mit und mache ihn mit den beiden etwa 10 Jahre alten Töchterchen meines Kollegen N. bekannt. Hans setzt sich neben sie, die im Gefühle ihres reifen Alters ziemlich verächtlich auf den Knirps herabblicken, und schaut sie verehrungsvoll an, was ihnen keinen großen Eindruck macht. Hans spricht trotzdem von ihnen nur als »meine Mäderln«. »Wo sind denn meine Mäderln? Wann kommen denn meine Mäderln?« und quält mich zu Hause einige Wochen lang mit der Frage: »Wann geh' ich wieder auf den Eisplatz zu meinen Mäderln?«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t xml:space="preserve">Ein 5jähriger Cousin von Hans ist bei dem nun 4jährigen zu Besuch. </w:t>
      </w:r>
      <w:r w:rsidRPr="004B6098">
        <w:rPr>
          <w:rFonts w:ascii="Garamond" w:hAnsi="Garamond"/>
          <w:sz w:val="20"/>
          <w:szCs w:val="20"/>
          <w:lang w:val="en-US" w:eastAsia="fr-FR"/>
        </w:rPr>
        <w:t>Hans umarmt ihn fortwährend und sagt einmal bei einer solchen zärtlichen Umarmung: »Ich hab' dich aber lieb.«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Es ist dies der erste, aber nicht der letzte Zug von Homosexualität, dem wir bei Hans begegnen werden. Unser kleiner Hans scheint wirklich ein Ausbund aller Schlechtigkeiten zu sein!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Wir sind in eine neue Wohnung eingezogen. (Hans ist 4 Jahre alt.) Von der Küche führt die Tür auf einen Klopfbalkon, von wo aus man in eine vis-à-vis gelegene Hofwohnung sieht. Hier hat Hans ein etwa 7–8jähriges Mäderl entdeckt. Er setzt sich nun, um sie zu bewundern, auf die Stufe, die zum Klopfbalkon führt, und bleibt dort stundenlang sitzen. Speziell um 4 Uhr p. m., wenn das Mäderl aus der Schule kommt, ist er nicht im Zimmer zu halten und läßt sich nicht abbringen, seinen Beobachtungsposten zu beziehen. Einmal, als das Mäderl sich nicht zur gewohnten Stunde beim Fenster zeigt, wird Hans ganz unruhig und belästigt die Hausleute mit Fragen: »Wann kommt das Mäderl? Wo ist das Mäderl?« usw. Wenn sie dann erscheint, ist er ganz selig und wendet den Blick von der Wohnung gegenüber nicht mehr ab. Die Heftigkeit, mit der diese »Liebe per Distanz« </w:t>
      </w:r>
      <w:hyperlink r:id="rId1057" w:history="1">
        <w:r w:rsidRPr="004B6098">
          <w:rPr>
            <w:rFonts w:ascii="Garamond" w:hAnsi="Garamond"/>
            <w:color w:val="0000FF"/>
            <w:sz w:val="20"/>
            <w:szCs w:val="20"/>
            <w:u w:val="single"/>
            <w:lang w:val="en-US" w:eastAsia="fr-FR"/>
          </w:rPr>
          <w:t xml:space="preserve">[Fußnote]W. Busch: Und die Liebe per Distanz, </w:t>
        </w:r>
        <w:r w:rsidRPr="004B6098">
          <w:rPr>
            <w:rFonts w:ascii="Garamond" w:hAnsi="Garamond"/>
            <w:color w:val="0000FF"/>
            <w:sz w:val="20"/>
            <w:szCs w:val="20"/>
            <w:u w:val="single"/>
            <w:lang w:val="en-US" w:eastAsia="fr-FR"/>
          </w:rPr>
          <w:br/>
          <w:t>                Kurzgesagt, mißfällt mir ganz.</w:t>
        </w:r>
      </w:hyperlink>
      <w:r w:rsidRPr="004B6098">
        <w:rPr>
          <w:rFonts w:ascii="Garamond" w:hAnsi="Garamond"/>
          <w:sz w:val="20"/>
          <w:szCs w:val="20"/>
          <w:lang w:val="en-US" w:eastAsia="fr-FR"/>
        </w:rPr>
        <w:t xml:space="preserve"> auftrat, findet ihre Erklärung darin, daß Hans keinen Kameraden und keine Gespielin hat. Zur normalen Entwicklung des Kindes gehört offenbar reichlicher Verkehr mit anderen Kindern.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Dieser wird dann Hans zuteil, als wir kurz darauf (4½ </w:t>
      </w:r>
      <w:r w:rsidRPr="004B6098">
        <w:rPr>
          <w:rFonts w:ascii="Garamond" w:hAnsi="Garamond"/>
          <w:sz w:val="20"/>
          <w:szCs w:val="20"/>
          <w:vertAlign w:val="superscript"/>
          <w:lang w:val="en-US" w:eastAsia="fr-FR"/>
        </w:rPr>
        <w:t> </w:t>
      </w:r>
      <w:r w:rsidRPr="004B6098">
        <w:rPr>
          <w:rFonts w:ascii="Garamond" w:hAnsi="Garamond"/>
          <w:sz w:val="20"/>
          <w:szCs w:val="20"/>
          <w:lang w:val="en-US" w:eastAsia="fr-FR"/>
        </w:rPr>
        <w:t>Jahre) zum Sommeraufenthalte nach Gmunden übersiedeln. In unserem Hause sind seine Spielgefährten die Kinder des Hausherrn: Franzl (etwa 12 Jahre), Fritzl (8 Jahre), Olga (7 Jahre), Berta (5 Jahre) und überdies die Nachbarkinder: Anna (10 Jahre) und noch zwei Mäderl im Alter von 9 und 7 Jahren, deren Namen ich nicht mehr weiß. Sein Liebling ist Fritzl, den er oft umarmt und seiner Liebe versichert. Er wird einmal gefragt: »Welches von den Mäderln hast du denn am liebsten?« Er antwortet: »Den Fritzl.« Gleichzeitig ist er gegen die Mädchen sehr aggressiv, männlich, erobernd, umarmt sie und küßt sie ab, was sich namentlich Berta ganz gerne gefallen läßt. Als Berta eines Abends aus dem Zimmer kommt, umhalst er sie und sagt im zärtlichsten Tone: »Berta, du bist aber lieb«, was ihn übrigens nicht hindert, auch die anderen zu küssen und seiner Liebe zu versichern. Auch die etwa 14 Jahre alte Mariedl, ebenfalls eine Tochter des Hausherrn, die mit ihm spielt, hat er gerne und sagt eines Abends, als er zu Bette gebracht wird: »Die Mariedl soll bei mir schlafen.« Auf die Antwort: »Das geht nicht«, sagt er: »So soll sie bei der Mammi oder dem Vatti schlafen.« Man erwidert ihm: »Auch das geht nicht, die Mariedl muß bei ihren Eltern schlafen«, und nun entwickelt sich folgender Dialog: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»So geh' ich halt hinunter zur Mariedl schlafen.«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Mama: »Du willst wirklich von der Mammi weggehen, um unten zu schlafen?«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»No, früh komm' ich doch wieder herauf zum Kaffeetrinken und Aufdieseitegehen.«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Mama: »Wenn du wirklich von Vatti und Mammi gehen willst, so nimm dir deinen Rock und deine Hose und – adieu!«</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nimmt wirklich seine Kleider und geht zur Treppe, um zur Mariedl schlafen zu gehen, wird natürlich zurückgeholt.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(Hinter dem Wunsche: »Die Mariedl soll bei uns schlafen«, steckt natürlich der andere: Die Mariedl, mit der er so gerne beisammen ist, soll in unsere Hausgemeinschaft aufgenommen werden. Zweifellos sind aber dadurch, daß Vater und Mutter Hans, wenn auch nicht allzu häufig, in ihr Bett nahmen, bei diesem Beieinanderliegen erotische Gefühle in ihm erweckt worden, und der Wunsch, bei der Mariedl zu schlafen, hat auch seinen erotischen Sinn. Bei Vater oder Mutter im Bette liegen, ist für Hans wie für alle Kinder eine Quelle erotischer Regungen.)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Unser kleiner Hans hat sich bei der Herausforderung der Mutter benommen wie ein rechter Mann, trotz seiner homosexuellen Anwandlungen.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Auch in dem folgenden Falle sagte Hans zur Mammi: »Du, ich möcht einmal so gerne mit dem Mäderl schlafen.« Dieser Fall gibt uns reichlich Gelegenheit zur Unterhaltung, denn Hans benimmt sich hier wirklich wie ein Großer, der verliebt ist. In das Gasthaus, wo wir zu Mittag essen, kommt seit einigen Tagen ein etwa 8jähriges hübsches Mädchen, in das sich Hans natürlich sofort verliebt. Er dreht sich auf seinem Sessel fortwährend um, um nach ihr zu schielen, stellt sich, nachdem er gegessen hat, in ihrer Nähe auf, um mit ihr zu kokettieren, wird aber feuerrot, wenn man ihn dabei beobachtet. Wird sein Blick von dem Mäderl erwidert, so schaut er sofort verschämt auf die entgegengesetzte Seite. Sein Benehmen ist natürlich ein großes Gaudium für alle Gasthausgäste. Jeden Tag, wenn er ins Gasthaus geführt wird, fragt er: »Glaubst du, wird das Mäderl heute dort sein?« Wenn sie endlich kommt, wird er ganz rot wie ein Erwachsener im gleichen Falle. Einmal kommt er glückselig zu mir und flüstert mir ins Ohr: »Du, ich weiß schon, wo das Mäderl wohnt. Dort und dort habe ich gesehen, wie sie die Stiege hinaufgegangen ist.« Während er sich gegen die Mäderl im Hause aggressiv benimmt, ist er hier ein platonisch schmachtender Verehrer. Dies hängt vielleicht damit zusammen, daß die Mäderl im Hause Dorfkinder sind, diese aber eine kultivierte Dame. Daß er einmal sagt, er möchte mit ihr schlafen, ist schon erwähnt worden.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 ich Hans nicht in der bisherigen seelischen Spannung lassen will, in die ihn seine Liebe zu dem Mäderl versetzt hat, habe ich seine Bekanntschaft mit ihr vermittelt und das Mäderl eingeladen, nachmittags zu ihm in den Garten zu kommen, wenn er seinen Nachmittagsschlaf absolviert hat. Hans ist durch die Erwartung, daß das Mäderl zu ihm kommen wird, so aufgeregt, daß er zum erstenmal am Nachmittage nicht schläft, sondern sich unruhig im Bette hin und her wälzt. Die Mama fragt ihn: »Warum schläfst du nicht? Denkst du vielleicht an das Mäderl?«, worauf er beglückt »ja« sagt. Er hat auch, als er aus dem Gasthofe nach Hause kam, allen Leuten im Hause erzählt: »Du, heute kommt mein Mäderl zu mir«, und die 14jährige Mariedl berichtet, daß er sie fortwährend gefragt hat: »Du, glaubst du, daß sie mit mir lieb sein wird? Glaubst du, daß sie mir einen Kuß geben wird, wenn ich sie küß?« u. dgl.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Nachmittags regnete es aber, und so unterblieb der Besuch, worauf sich Hans mit Berta und Olga tröstete.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Weitere Beobachtungen noch aus der Zeit des Sommeraufenthaltes lassen vermuten, daß sich bei dem Kleinen allerlei Neues vorbereitet.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4¼ Jahre. Heute früh wird Hans von seiner Mama wie täglich gebadet und nach dem Bade abgetrocknet und eingepudert. Wie die Mama bei seinem Penis, und zwar vorsichtig, um ihn nicht zu berühren, pudert, sagt Hans: »Warum gibst du denn nicht den Finger hin?«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Mama: »Weil das eine Schweinerei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»Was ist das? Eine Schweinerei? Warum denn?«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Mama: »Weil es unanständig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(lachend): »Aber lustig!« </w:t>
      </w:r>
      <w:hyperlink r:id="rId1058" w:history="1">
        <w:r w:rsidRPr="004B6098">
          <w:rPr>
            <w:rFonts w:ascii="Garamond" w:hAnsi="Garamond"/>
            <w:color w:val="0000FF"/>
            <w:sz w:val="20"/>
            <w:szCs w:val="20"/>
            <w:u w:val="single"/>
            <w:lang w:val="en-US" w:eastAsia="fr-FR"/>
          </w:rPr>
          <w:t>[Fußnote]Einen ähnlichen Verführungsversuch berichtete mir eine selbst neurotische Mutter, die an die infantile Masturbation nicht glauben wollte, von ihrem 3½ Jahre alten Töchterchen. Sie hatte der Kleinen Unterhöschen anfertigen lassen und probierte nun, ob sie nicht im Schritt zu eng seien, indem sie mit ihrer Hand an der Innenfläche des Oberschenkels nach aufwärts strich. Die Kleine schloß plötzlich die Beine über die Hand zusammen und bat: »Mama, laß die Hand doch da. Das tut so gut.«</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Ein etwa gleichzeitiger Traum unseres Hans kontrastiert recht auffällig mit der Dreistigkeit, die er gegen die Mutter gezeigt hat. Es ist der erste durch Entstellung unkenntliche Traum des Kindes. Dem Scharfsinne des Vaters ist es aber gelungen, ihm die Lösung abzugewinnen.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4¼ Jahre. </w:t>
      </w:r>
      <w:r w:rsidRPr="004B6098">
        <w:rPr>
          <w:rFonts w:ascii="Garamond" w:hAnsi="Garamond"/>
          <w:i/>
          <w:iCs/>
          <w:sz w:val="20"/>
          <w:szCs w:val="20"/>
          <w:lang w:val="en-US" w:eastAsia="fr-FR"/>
        </w:rPr>
        <w:t>Traum</w:t>
      </w:r>
      <w:r w:rsidRPr="004B6098">
        <w:rPr>
          <w:rFonts w:ascii="Garamond" w:hAnsi="Garamond"/>
          <w:sz w:val="20"/>
          <w:szCs w:val="20"/>
          <w:lang w:val="en-US" w:eastAsia="fr-FR"/>
        </w:rPr>
        <w:t xml:space="preserve">. Heute früh kommt Hans auf und erzählt: »Du, heute nachts habe ich gedacht: </w:t>
      </w:r>
      <w:r w:rsidRPr="004B6098">
        <w:rPr>
          <w:rFonts w:ascii="Garamond" w:hAnsi="Garamond"/>
          <w:i/>
          <w:iCs/>
          <w:sz w:val="20"/>
          <w:szCs w:val="20"/>
          <w:lang w:val="en-US" w:eastAsia="fr-FR"/>
        </w:rPr>
        <w:t>Einer sagt: Wer will zu mir kommen? Dann sagt jemand: Ich. Dann muß er ihn Wiwi machen lassen.</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Weitere Fragen stellten klar, daß diesem Traume alles Visuelle fehlt, daß er dem reinen </w:t>
      </w:r>
      <w:r w:rsidRPr="004B6098">
        <w:rPr>
          <w:rFonts w:ascii="Garamond" w:hAnsi="Garamond"/>
          <w:i/>
          <w:iCs/>
          <w:sz w:val="20"/>
          <w:szCs w:val="20"/>
          <w:lang w:val="en-US" w:eastAsia="fr-FR"/>
        </w:rPr>
        <w:t>type auditif</w:t>
      </w:r>
      <w:r w:rsidRPr="004B6098">
        <w:rPr>
          <w:rFonts w:ascii="Garamond" w:hAnsi="Garamond"/>
          <w:sz w:val="20"/>
          <w:szCs w:val="20"/>
          <w:lang w:val="en-US" w:eastAsia="fr-FR"/>
        </w:rPr>
        <w:t xml:space="preserve"> angehört. Hans spielt seit einigen Tagen mit den Kindern des Hausherrn, darunter seine Freundinnen Olga (7 Jahre) und Berta (5 Jahre), Gesellschaftsspiele, auch Pfänderauslösen. (A.: Wem gehört das Pfand in meiner Hand? B.: Mir. Dann wird bestimmt, was B. zu tun hat.) Diesem Pfänderspiele ist der Traum nachgebildet, nur wünscht Hans, daß derjenige, der das Pfand gezogen hat, nicht zu den usuellen Küssen oder Ohrfeigen verurteilt werde, sondern zum Wiwimachen, oder genauer: jemand muß ihn Wiwi machen lassen.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lasse mir den Traum noch einmal erzählen; er erzählt ihn mit denselben Worten, nur setzt er anstatt: »dann sagt jemand« – »dann sagt sie«. Diese »sie« ist offenbar Berta oder Olga, mit denen er gespielt hat. Der Traum lautet also übersetzt: Ich spiele mit den Mäderln Pfänderauslösen. Ich frage: Wer will zu mir kommen? Sie (Berta oder Olga) antwortet: Ich. Dann muß sie mich Wiwi machen lassen. (Beim Urinieren behilflich sein, was Hans offenbar angenehm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Es ist klar, daß das Wiwimachenlassen, wobei dem Kinde die Hose geöffnet und der Penis herausgenommen wird, für Hans lustbetont ist. Auf Spaziergängen ist es ja zumeist der Vater, der dem Kinde diese Hilfe leistet, was Anlaß zur Fixierung homosexueller Neigung auf den Vater gibt.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Zwei Tage vorher hat er, wie berichtet, die Mama beim Waschen und Einpudern der Genitalgegend gefragt: »Warum gibst du nicht den Finger hin?« Gestern, als ich Hans auf die Seite gehen ließ, sagte er mir zum erstenmal, ich solle ihn hinters Haus führen, damit niemand zuschauen könne, und fügte hinzu: »Voriges Jahr, wie ich Wiwi gemacht habe, haben mir die Berta und die Olga zugesehen.« Ich meine, das heißt, voriges Jahr war ihm dieses Zuschauen der Mädchen angenehm, jetzt aber nicht mehr. Die Exhibitionslust unterliegt jetzt der Verdrängung. Daß der Wunsch, Berta und Olga mögen ihm beim Wiwimachen zuschauen (oder ihn Wiwi machen lassen), jetzt im Leben verdrängt wird, ist die Erklärung für dessen Auftreten im Traume, in dem er sich die hübsche Einkleidung durch das </w:t>
      </w:r>
      <w:r w:rsidRPr="004B6098">
        <w:rPr>
          <w:rFonts w:ascii="Garamond" w:hAnsi="Garamond"/>
          <w:sz w:val="20"/>
          <w:szCs w:val="20"/>
          <w:lang w:val="en-US" w:eastAsia="fr-FR"/>
        </w:rPr>
        <w:lastRenderedPageBreak/>
        <w:t>Pfänderspiel geschaffen hat. – Ich beobachtete seither wiederholt, daß er beim Wiwimachen nicht gesehen werden will.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bemerke hiezu nur, daß auch dieser Traum sich der Regel fügt, die ich in der </w:t>
      </w:r>
      <w:r w:rsidRPr="004B6098">
        <w:rPr>
          <w:rFonts w:ascii="Garamond" w:hAnsi="Garamond"/>
          <w:i/>
          <w:iCs/>
          <w:sz w:val="20"/>
          <w:szCs w:val="20"/>
          <w:lang w:val="en-US" w:eastAsia="fr-FR"/>
        </w:rPr>
        <w:t>Traumdeutung</w:t>
      </w:r>
      <w:r w:rsidRPr="004B6098">
        <w:rPr>
          <w:rFonts w:ascii="Garamond" w:hAnsi="Garamond"/>
          <w:sz w:val="20"/>
          <w:szCs w:val="20"/>
          <w:lang w:val="en-US" w:eastAsia="fr-FR"/>
        </w:rPr>
        <w:t xml:space="preserve"> (S. 283 f., 7. Aufl.) gegeben habe: Reden, die im Traume vorkommen, stammen von gehörten oder selbst gehaltenen Reden der nächstvorigen Tage ab.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Aus der Zeit bald nach der Rückkehr nach Wien hat der Vater noch eine Beobachtung fixiert: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(4½ Jahre) sieht wieder zu, wie seine kleine Schwester gebadet wird, und fängt an zu lachen. Man fragt ihn: »Warum lachst du?«</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lache über den Wiwimacher der Hanna.«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»Warum?«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»Weil der Wiwimacher so schön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Antwort ist natürlich eine falsche. Der Wiwimacher kam ihm eben komisch vor. Es ist übrigens das erstemal, daß er den Unterschied zwischen männlichem und weiblichem Genitale in solcher Weise anerkennt, anstatt ihn zu verleugnen.</w:t>
      </w:r>
    </w:p>
    <w:p w:rsidR="00822836" w:rsidRDefault="00822836" w:rsidP="00822836">
      <w:pPr>
        <w:rPr>
          <w:rFonts w:ascii="Garamond" w:hAnsi="Garamond"/>
          <w:sz w:val="20"/>
          <w:szCs w:val="20"/>
          <w:lang w:val="en-US" w:eastAsia="fr-FR"/>
        </w:rPr>
      </w:pPr>
      <w:r>
        <w:rPr>
          <w:rFonts w:ascii="Garamond" w:hAnsi="Garamond"/>
          <w:sz w:val="20"/>
          <w:szCs w:val="20"/>
          <w:lang w:val="en-US" w:eastAsia="fr-FR"/>
        </w:rPr>
        <w:br w:type="page"/>
      </w:r>
    </w:p>
    <w:p w:rsidR="00822836" w:rsidRPr="00244833" w:rsidRDefault="00B437A1" w:rsidP="00822836">
      <w:pPr>
        <w:pStyle w:val="Sansinterligne"/>
        <w:rPr>
          <w:rFonts w:ascii="Garamond" w:hAnsi="Garamond"/>
          <w:b/>
          <w:color w:val="0000CC"/>
          <w:sz w:val="20"/>
          <w:szCs w:val="20"/>
          <w:lang w:val="en-US" w:eastAsia="fr-FR"/>
        </w:rPr>
      </w:pPr>
      <w:hyperlink w:anchor="Inhalt" w:history="1">
        <w:r w:rsidR="00822836" w:rsidRPr="00244833">
          <w:rPr>
            <w:rStyle w:val="Lienhypertexte"/>
            <w:rFonts w:ascii="Garamond" w:hAnsi="Garamond"/>
            <w:b/>
            <w:sz w:val="20"/>
            <w:szCs w:val="20"/>
            <w:lang w:val="en-US" w:eastAsia="fr-FR"/>
          </w:rPr>
          <w:t>II. Krankengeschichte und Analyse</w:t>
        </w:r>
      </w:hyperlink>
    </w:p>
    <w:p w:rsidR="00822836" w:rsidRDefault="00822836" w:rsidP="00822836">
      <w:pPr>
        <w:pStyle w:val="Sansinterligne"/>
        <w:rPr>
          <w:rFonts w:ascii="Garamond" w:hAnsi="Garamond"/>
          <w:sz w:val="20"/>
          <w:szCs w:val="20"/>
          <w:lang w:val="en-US" w:eastAsia="fr-FR"/>
        </w:rPr>
      </w:pP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Geehrter Herr Professor! Ich sende Ihnen wieder ein Stückchen Hans, diesmal leider Beiträge zu einer Krankengeschichte. Wie Sie daraus lesen, hat sich bei ihm in den letzten Tagen eine nervöse Störung entwickelt, die mich und meine Frau sehr beunruhigt, weil wir kein Mittel zu ihrer Beseitigung finden konnten. Ich erbitte mir die Erlaubnis, Sie morgen . . . zu besuchen, habe Ihnen aber . . . das verfügbare Material schriftlich aufgezeichnet.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Sexuelle Übererregung durch Zärtlichkeit der Mutter hat wohl den Grund gelegt, aber den Erreger der Störung weiß ich nicht anzugeben. Die Furcht, </w:t>
      </w:r>
      <w:r w:rsidRPr="004B6098">
        <w:rPr>
          <w:rFonts w:ascii="Garamond" w:hAnsi="Garamond"/>
          <w:i/>
          <w:iCs/>
          <w:sz w:val="20"/>
          <w:szCs w:val="20"/>
          <w:lang w:val="en-US" w:eastAsia="fr-FR"/>
        </w:rPr>
        <w:t>daß ihn auf der Gasse ein Pferd beißen werde</w:t>
      </w:r>
      <w:r w:rsidRPr="004B6098">
        <w:rPr>
          <w:rFonts w:ascii="Garamond" w:hAnsi="Garamond"/>
          <w:sz w:val="20"/>
          <w:szCs w:val="20"/>
          <w:lang w:val="en-US" w:eastAsia="fr-FR"/>
        </w:rPr>
        <w:t>, scheint irgendwie damit zusammenzuhängen, daß er durch einen großen Penis geschreckt ist – den großen Penis des Pferdes hat er, wie Sie aus einer früheren Aufzeichnung wissen, schon zeitig bemerkt, und er hat damals den Schluß gezogen, daß die Mama, weil sie so groß ist, einen Wiwimacher haben müsse wie ein Pferd.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Brauchbares weiß ich damit nicht anzufangen. Hat er irgendwo einen Exhibitionisten gesehen? Oder knüpft das Ganze nur an die Mutter an? Es ist uns nicht angenehm, daß er schon jetzt anfängt, Rätsel aufzugeben. Abgesehen von der Furcht, auf die Gasse zu gehen, und der abendlichen Verstimmung ist er übrigens ganz der Alte, lustig, heiter.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Wir wollen uns weder die begreiflichen Sorgen noch die ersten Erklärungsversuche des Vaters zu eigen machen, sondern uns zunächst das mitgeteilte Material beschauen. Es ist gar nicht unsere Aufgabe, einen Krankheitsfall gleich zu »verstehen«, dies kann erst später gelingen, wenn wir uns genug Eindrücke von ihm geholt haben. Vorläufig lassen wir unser Urteil in Schwebe und nehmen alles zu Beobachtende mit gleicher Aufmerksamkeit hin.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ersten Mitteilungen aber, die aus den ersten Jännertagen dieses Jahres, 1908, stammen, lauten: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(4¾ Jahre) kommt morgens weinend auf und sagt der Mama auf die Frage, warum er weine: »Wie ich geschlafen hab', hab' ich gedacht, du bist fort und ich hab' keine Mammi zum Schmeicheln« (= liebkosen).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Also ein Angsttraum.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Etwas Ähnliches habe ich schon im Sommer in Gmunden bemerkt. Er wurde abends im Bette meist sehr weich gestimmt und machte einmal die Bemerkung (ungefähr): wenn ich aber keine Mammi hab', wenn du fortgehst, oder ähnlich; ich habe den Wortlaut nicht in Erinnerung. Wenn er in einer solchen elegischen Stimmung war, wurde er leider immer von der Mama ins Bett genommen.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Etwa am 5. Jänner kam er früh zur Mama ins Bett und sagte bei diesem Anlasse: »Weißt du, was Tante M. gesagt hat: ›Er hat aber ein liebes Pischl </w:t>
      </w:r>
      <w:hyperlink r:id="rId1059" w:history="1">
        <w:r w:rsidRPr="004B6098">
          <w:rPr>
            <w:rFonts w:ascii="Garamond" w:hAnsi="Garamond"/>
            <w:color w:val="0000FF"/>
            <w:sz w:val="20"/>
            <w:szCs w:val="20"/>
            <w:u w:val="single"/>
            <w:lang w:val="en-US" w:eastAsia="fr-FR"/>
          </w:rPr>
          <w:t>[Fußnote]Pischl = Genitale. Liebkosungen der Kindergenitalien in Worten oder auch Tätlichkeiten von Seiten zärtlicher Verwandter, mitunter auch der Eltern selbst, gehören zu den gewöhnlichsten Vorkommnissen, von denen die Psychoanalysen voll sind.</w:t>
        </w:r>
      </w:hyperlink>
      <w:r w:rsidRPr="004B6098">
        <w:rPr>
          <w:rFonts w:ascii="Garamond" w:hAnsi="Garamond"/>
          <w:sz w:val="20"/>
          <w:szCs w:val="20"/>
          <w:lang w:val="en-US" w:eastAsia="fr-FR"/>
        </w:rPr>
        <w:t>.‹« (Tante M. hatte vor 4 Wochen bei uns gewohnt; sie sah einmal zu, wie meine Frau den Knaben badete, und sagte Obiges tatsächlich leise zu meiner Frau. Hans hat es gehört und suchte es zu verwerten.)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7. Jänner geht er mit dem Kindermädchen wie gewöhnlich in den Stadtpark, fängt auf der Straße an zu weinen und verlangt, daß man mit ihm nach Hause gehe, er wolle mit der Mammi »schmeicheln«. Zu Hause befragt, weshalb er nicht weiter gehen wollte und geweint hat, will er es nicht sagen. Bis zum Abend ist er heiter wie gewöhnlich; abends bekommt er sichtlich Angst, weint und ist von der Mama nicht fortzubringen; er will wieder schmeicheln. Dann wird er wieder heiter und schläft gut.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Am 8. Jänner will die Frau selbst mit ihm spazierengehen, um zu sehen, was mit ihm los ist, und zwar nach Schönbrunn, wohin er sehr gerne geht. Er fängt wieder an zu weinen, will nicht weggehen, fürchtet sich. Schließlich geht er doch, hat aber auf der Straße sichtlich Angst. Auf der Rückfahrt von Schönbrunn sagt er nach vielem Sträuben zur Mutter: </w:t>
      </w:r>
      <w:r w:rsidRPr="004B6098">
        <w:rPr>
          <w:rFonts w:ascii="Garamond" w:hAnsi="Garamond"/>
          <w:i/>
          <w:iCs/>
          <w:sz w:val="20"/>
          <w:szCs w:val="20"/>
          <w:lang w:val="en-US" w:eastAsia="fr-FR"/>
        </w:rPr>
        <w:t>Ich hab' mich gefürchtet, daß mich ein Pferd beißen wird</w:t>
      </w:r>
      <w:r w:rsidRPr="004B6098">
        <w:rPr>
          <w:rFonts w:ascii="Garamond" w:hAnsi="Garamond"/>
          <w:sz w:val="20"/>
          <w:szCs w:val="20"/>
          <w:lang w:val="en-US" w:eastAsia="fr-FR"/>
        </w:rPr>
        <w:t>. (Tatsächlich wurde er in Schönbrunn unruhig, als er ein Pferd sah.) Abends soll er wieder einen ähnlichen Anfall bekommen haben wie tags vorher, mit Verlangen zu schmeicheln. Man beruhigt ihn. Er sagt weinend: »Ich weiß, ich werde morgen wieder spazierengehen müssen«, und später: »Das Pferd wird ins Zimmer 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selben Tage fragt ihn die Mama: »Gibst du vielleicht die Hand zum Wiwimacher?« Darauf sagt er: »Ja jeden Abend, wenn ich im Bett bin.« Am nächsten Tage, 9. Jänner, wird er vor dem Nachmittagsschlaf gewarnt, die Hand zum Wiwimacher zu geben. Nach dem Aufwachen befragt, sagt er, er hat sie doch für kurze Zeit hingegeben.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Dies wäre also der Anfang der Angst wie der Phobie. Wir merken ja, daß wir guten Grund haben, die beiden voneinander zu sondern. Das Material erscheint uns übrigens zur Orientierung vollkommen ausreichend, und kein anderer Zeitpunkt ist dem Verständnisse so günstig wie ein solches, leider meist vernachlässigtes oder verschwiegenes Anfangsstadium. Die Störung setzt mit ängstlich-zärtlichen Gedanken und dann mit einem Angsttraum ein. Inhalt des letzteren: Die Mutter zu verlieren, so daß er mit ihr nicht schmeicheln kann. Die Zärtlichkeit für die Mutter muß sich also enorm gesteigert haben. Dies das Grundphänomen des Zustandes. Erinnern wir uns noch zur Bestätigung der beiden Verführungsversuche, die er gegen die Mutter unternimmt, von denen der erste noch in den Sommer fällt, der zweite, knapp vor dem Ausbruche der Straßenangst, einfach eine Empfehlung seines Genitales enthält. Diese gesteigerte Zärtlichkeit für die Mutter ist es, die in Angst umschlägt, die, wie wir sagen, der Verdrängung unterliegt. Wir wissen noch nicht, woher der Anstoß zur Verdrängung stammt; vielleicht erfolgt sie bloß aus der für das Kind nicht zu bewältigenden Intensität der Regung, vielleicht wirken andere Mächte, die wir noch nicht erkennen, dabei mit. Wir werden es weiterhin erfahren. Diese, verdrängter erotischer Sehnsucht entsprechende, Angst ist zunächst wie jede Kinderangst objektlos, noch Angst und nicht Furcht. Das Kind kann nicht wissen, wovor es sich fürchtet, und wenn Hans auf dem ersten Spaziergange mit dem Mädchen </w:t>
      </w:r>
      <w:r w:rsidRPr="004B6098">
        <w:rPr>
          <w:rFonts w:ascii="Garamond" w:hAnsi="Garamond"/>
          <w:sz w:val="20"/>
          <w:szCs w:val="20"/>
          <w:lang w:val="en-US" w:eastAsia="fr-FR"/>
        </w:rPr>
        <w:lastRenderedPageBreak/>
        <w:t>nicht sagen will, wovor er sich fürchtet, so weiß er es eben noch nicht. Er sagt, was er weiß, daß ihm die Mama auf der Straße fehlt, mit der er schmeicheln kann, und daß er nicht von der Mama weg will. Er verrät da in aller Aufrichtigkeit den ersten Sinn seiner Abneigung gegen die Straße.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Auch seine, an zwei Abenden hintereinander vor dem Schlafengehen wiederholten, ängstlichen und noch deutlich zärtlich getönten Zustände beweisen, daß zu Beginn der Erkrankung eine Phobie vor der Straße oder dem Spaziergange oder gar vor den Pferden noch gar nicht vorhanden ist. Der abendliche Zustand würde dann unerklärlich; wer denkt vor dem Zubettgehen an Straße und Spaziergang? Hingegen ist es vollkommen durchsichtig, daß er abends so ängstlich wird, wenn ihn vor dem Zubettgehen die Libido, deren Objekt die Mutter ist, und deren Ziel etwa sein könnte, bei der Mutter zu schlafen, verstärkt überfällt. Er hat doch die Erfahrung gemacht, daß die Mutter sich durch solche Stimmungen </w:t>
      </w:r>
      <w:r w:rsidRPr="004B6098">
        <w:rPr>
          <w:rFonts w:ascii="Garamond" w:hAnsi="Garamond"/>
          <w:i/>
          <w:iCs/>
          <w:sz w:val="20"/>
          <w:szCs w:val="20"/>
          <w:lang w:val="en-US" w:eastAsia="fr-FR"/>
        </w:rPr>
        <w:t>in Gmunden</w:t>
      </w:r>
      <w:r w:rsidRPr="004B6098">
        <w:rPr>
          <w:rFonts w:ascii="Garamond" w:hAnsi="Garamond"/>
          <w:sz w:val="20"/>
          <w:szCs w:val="20"/>
          <w:lang w:val="en-US" w:eastAsia="fr-FR"/>
        </w:rPr>
        <w:t xml:space="preserve"> bewegen ließ, ihn in ihr Bett zu nehmen, und er möchte dasselbe hier in Wien erreichen. Nebenbei vergessen wir nicht daran, daß er in Gmunden zeitweise mit der Mutter allein war, da der Vater nicht die ganzen Ferien dort verbringen konnte; ferner daß sich dort seine Zärtlichkeit auf eine Reihe von Gespielen, Freunde, Freundinnen, verteilt hatte, die ihm hier abgingen, so daß die Libido wieder ungeteilt zur Mutter zurückkehren konnte.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Die Angst entspricht also verdrängter Sehnsucht, aber sie ist nicht dasselbe wie die Sehnsucht; die Verdrängung steht auch für etwas. Die Sehnsucht läßt sich voll in Befriedigung verwandeln, wenn man ihr das ersehnte Objekt zuführt; bei der Angst nützt diese Therapie nichts mehr, sie bleibt, auch wenn die Sehnsucht befriedigt sein könnte, sie ist nicht mehr voll in Libido zurückzuverwandeln; die Libido wird durch irgend etwas in der Verdrängung zurückgehalten </w:t>
      </w:r>
      <w:hyperlink r:id="rId1060" w:history="1">
        <w:r w:rsidRPr="004B6098">
          <w:rPr>
            <w:rFonts w:ascii="Garamond" w:hAnsi="Garamond"/>
            <w:color w:val="0000FF"/>
            <w:sz w:val="20"/>
            <w:szCs w:val="20"/>
            <w:u w:val="single"/>
            <w:lang w:val="en-US" w:eastAsia="fr-FR"/>
          </w:rPr>
          <w:t>[Fußnote]Ehrlich gesagt, wir heißen eben eine ängstlich-sehnsüchtige Empfindung von dem Momente an eine pathologische Angst, wenn sie nicht mehr durch die Zuführung des ersehnten Objektes aufzuheben ist.</w:t>
        </w:r>
      </w:hyperlink>
      <w:r w:rsidRPr="004B6098">
        <w:rPr>
          <w:rFonts w:ascii="Garamond" w:hAnsi="Garamond"/>
          <w:sz w:val="20"/>
          <w:szCs w:val="20"/>
          <w:lang w:val="en-US" w:eastAsia="fr-FR"/>
        </w:rPr>
        <w:t>. Dies zeigt sich bei Hans auf dem nächsten Spaziergange, den die Mutter mit ihm macht. Er ist jetzt mit der Mutter und hat doch Angst, d. h. ungestillte Sehnsucht nach ihr. Freilich, die Angst ist geringer, er läßt sich ja doch zum Spaziergange bewegen, während er das Dienstmädchen zum Umkehren gezwungen hat; auch ist die Straße nicht der richtige Ort fürs »Schmeicheln«, oder was der kleine Verliebte sonst möchte. Aber die Angst hat die Probe bestanden und muß jetzt ein Objekt finden. Auf diesem Spaziergange äußert er zunächst die Furcht, daß ihn ein Pferd beißen werde. Woher das Material dieser Phobie stammt? Wahrscheinlich aus jenen noch unbekannten Komplexen, die zur Verdrängung beigetragen haben und die Libido zur Mutter im verdrängten Zustand erhalten. Das ist noch ein Rätsel des Falles, dessen weitere Entwicklung wir nun verfolgen müssen, um die Lösung zu finden. Gewisse Anhaltspunkte, die wahrscheinlich verläßlich sind, hat uns der Vater schon gegeben, daß er die Pferde wegen ihrer großen Wiwimacher immer mit Interesse beobachtet, daß er angenommen, die Mama müsse einen Wiwimacher haben wie ein Pferd u. dgl. So könnte man meinen, das Pferd sei nur ein Ersatz für die Mama. Aber was soll es heißen, daß Hans am Abend die Furcht äußert, das Pferd werde ins Zimmer kommen? Eine dumme Angstidee eines kleinen Kindes, wird man sagen. Aber die Neurose sagt nichts Dummes, so wenig wie der Traum. Wir schimpfen immer dann, wenn wir nichts verstehen. Das heißt, sich die Aufgabe leicht machen.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Vor dieser Versuchung müssen wir uns noch in einem andern Punkte hüten. Hans hat gestanden, daß er sich jede Nacht vor dem Einschlafen zu Lustzwecken mit seinem Penis beschäftigt. Nun, wird der Praktiker gerne sagen, nun ist alles klar. Das Kind masturbiert, daher also die Angst. Gemach! Daß das Kind sich masturbatorisch Lustgefühle erzeugt, erklärt uns seine Angst keineswegs, macht sie vielmehr erst recht rätselhaft. Angstzustände werden nicht durch Masturbation, überhaupt nicht durch Befriedigung hervorgerufen. Nebenbei dürfen wir annehmen, daß unser Hans, der jetzt 4¾ Jahre alt ist, sich dieses Vergnügen gewiß schon seit einem Jahre (vgl. S. 15) allabendlich gönnt, und werden erfahren, daß er sich gerade jetzt im Abgewöhnungskampfe befindet, was zur Verdrängung und Angstbildung besser paßt.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Auch für die gute und gewiß sehr besorgte Mutter müssen wir Partei nehmen. Der Vater beschuldigt sie, nicht ohne einen Schein von Recht, daß sie durch übergroße Zärtlichkeit und allzu häufige Bereitwilligkeit, das Kind ins Bett zu nehmen, den Ausbruch der Neurose herbeigeführt; wir könnten ihr ebensowohl den Vorwurf machen, daß sie durch ihre energische Abweisung seiner Werbungen (»das ist eine Schweinerei«) den Eintritt der Verdrängung beschleunigt habe. Aber sie spielt eine Schicksalsrolle und hat einen schweren Stand.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verabrede mit dem Vater, daß er dem Knaben sagen solle, das mit den Pferden sei eine Dummheit, weiter nichts. Die Wahrheit sei, daß er die Mama so gern habe und von ihr ins Bett genommen werden wolle. Weil ihn der Wiwimacher der Pferde so sehr interessiert habe, darum fürchte er sich jetzt vor den Pferden. Er habe gemerkt, es sei unrecht, sich mit dem Wiwimacher, auch mit dem eigenen, so intensiv zu beschäftigen, und das sei eine ganz richtige Einsicht. Ferner schlug ich dem Vater vor, den Weg der sexuellen Aufklärung zu betreten. Da wir nach der Vorgeschichte des Kleinen annehmen durften, seine Libido hafte am Wunsche, den Wiwimacher der Mama zu sehen, so solle er ihm dieses Ziel durch die Mitteilung entziehen, daß die Mama und alle anderen weiblichen Wesen, wie er ja von der Hanna wissen könne – einen Wiwimacher überhaupt nicht besitzen. Letztere Aufklärung sei bei passender Gelegenheit im Anschlusse an irgendeine Frage oder Äußerung von Hans zu erteilen.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nächsten Nachrichten über unsern Hans umfassen die Zeit vom 1. bis zum 17. März. Die monatlange Pause wird bald ihre Erklärung finden.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Der Aufklärung </w:t>
      </w:r>
      <w:hyperlink r:id="rId1061" w:history="1">
        <w:r w:rsidRPr="004B6098">
          <w:rPr>
            <w:rFonts w:ascii="Garamond" w:hAnsi="Garamond"/>
            <w:color w:val="0000FF"/>
            <w:sz w:val="20"/>
            <w:szCs w:val="20"/>
            <w:u w:val="single"/>
            <w:lang w:val="en-US" w:eastAsia="fr-FR"/>
          </w:rPr>
          <w:t>[Fußnote]Was seine Angst bedeute; noch nichts über den Wiwimacher der Frauen.</w:t>
        </w:r>
      </w:hyperlink>
      <w:r w:rsidRPr="004B6098">
        <w:rPr>
          <w:rFonts w:ascii="Garamond" w:hAnsi="Garamond"/>
          <w:sz w:val="20"/>
          <w:szCs w:val="20"/>
          <w:lang w:val="en-US" w:eastAsia="fr-FR"/>
        </w:rPr>
        <w:t xml:space="preserve"> folgt eine ruhigere Zeit, in der Hans ohne besondere Schwierigkeit zu bewegen ist, täglich in den Stadtpark spazierenzugehen. </w:t>
      </w:r>
      <w:r w:rsidRPr="004B6098">
        <w:rPr>
          <w:rFonts w:ascii="Garamond" w:hAnsi="Garamond"/>
          <w:sz w:val="20"/>
          <w:szCs w:val="20"/>
          <w:lang w:val="en-US" w:eastAsia="fr-FR"/>
        </w:rPr>
        <w:lastRenderedPageBreak/>
        <w:t>Seine Furcht vor Pferden verwandelt sich mehr und mehr in den Zwang, auf Pferde hinzusehen. Er sagt: »Ich muß auf die Pferde sehen und dann fürchte ich mich.«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Nach einer Influenza, die ihn für zwei Wochen ans Bett fesselt, verstärkt sich die Phobie wieder so sehr, daß er nicht zu bewegen ist, auszugehen; höchstens geht er auf den Balkon. Sonntags fährt er jede Woche mit mir nach Lainz </w:t>
      </w:r>
      <w:hyperlink r:id="rId1062" w:history="1">
        <w:r w:rsidRPr="004B6098">
          <w:rPr>
            <w:rFonts w:ascii="Garamond" w:hAnsi="Garamond"/>
            <w:color w:val="0000FF"/>
            <w:sz w:val="20"/>
            <w:szCs w:val="20"/>
            <w:u w:val="single"/>
            <w:lang w:val="en-US" w:eastAsia="fr-FR"/>
          </w:rPr>
          <w:t>[Fußnote]Vorort von Wien, wo die Großeltern wohnen.</w:t>
        </w:r>
      </w:hyperlink>
      <w:r w:rsidRPr="004B6098">
        <w:rPr>
          <w:rFonts w:ascii="Garamond" w:hAnsi="Garamond"/>
          <w:sz w:val="20"/>
          <w:szCs w:val="20"/>
          <w:lang w:val="en-US" w:eastAsia="fr-FR"/>
        </w:rPr>
        <w:t>, weil an diesem Tage wenig Wagen auf der Straße zu sehen sind und er zur Bahnstation nur einen kurzen Weg hat. In Lainz weigert er sich einmal, aus dem Garten heraus spazierenzugehen, weil ein Wagen vor dem Garten steht. Nach einer weiteren Woche, die er zu Hause bleiben muß, weil ihm die Mandeln geschnitten wurden, verstärkt sich die Phobie wieder sehr. Er geht zwar auf den Balkon, aber nicht spazieren, d. h. er kehrt, wenn er zum Haustor kommt, rasch wieder 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Sonntag, den 1. März entwickelt sich auf dem Wege zum Bahnhofe folgendes Gespräch: Ich suche ihm wieder zu erklären, daß Pferde nicht beißen. Er: »Aber weiße Pferde beißen; in Gmunden ist ein weißes Pferd, das beißt. Wenn man die Finger hinhält, beißt es.« (Es fällt mir auf, daß er sagt: die Finger anstatt: die Hand.) Er erzählt dann folgende Geschichte, die ich hier zusammenhängend wiedergebe: »Wie die Lizzi hat wegfahren müssen, ist ein Wagen mit einem weißen Pferde vor ihrem Hause gestanden, das das Gepäck auf die Bahn bringen sollte. (Lizzi ist, wie er mir erzählt, ein Mäderl, das in einem Nachbarhause wohnte.) Ihr Vater ist nahe beim Pferde gestanden und das Pferd hat den Kopf hingewendet (um ihn zu berühren), und er hat zur Lizzi gesagt: </w:t>
      </w:r>
      <w:r w:rsidRPr="004B6098">
        <w:rPr>
          <w:rFonts w:ascii="Garamond" w:hAnsi="Garamond"/>
          <w:i/>
          <w:iCs/>
          <w:sz w:val="20"/>
          <w:szCs w:val="20"/>
          <w:lang w:val="en-US" w:eastAsia="fr-FR"/>
        </w:rPr>
        <w:t>Gib nicht die Finger zum weißen Pferd, sonst beißt es dich.</w:t>
      </w:r>
      <w:r w:rsidRPr="004B6098">
        <w:rPr>
          <w:rFonts w:ascii="Garamond" w:hAnsi="Garamond"/>
          <w:sz w:val="20"/>
          <w:szCs w:val="20"/>
          <w:lang w:val="en-US" w:eastAsia="fr-FR"/>
        </w:rPr>
        <w:t>« Ich sage darauf: »Du, mir scheint, das ist kein Pferd, was du meinst, sondern ein Wiwimacher, zu dem man nicht die Hand geben soll.«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»Aber ein Wiwimacher beißt doch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»Vielleicht doch«, worauf er mir lebhaft beweisen will, daß es wirklich ein weißes Pferd war </w:t>
      </w:r>
      <w:hyperlink r:id="rId1063" w:history="1">
        <w:r w:rsidRPr="004B6098">
          <w:rPr>
            <w:rFonts w:ascii="Garamond" w:hAnsi="Garamond"/>
            <w:color w:val="0000FF"/>
            <w:sz w:val="20"/>
            <w:szCs w:val="20"/>
            <w:u w:val="single"/>
            <w:lang w:val="en-US" w:eastAsia="fr-FR"/>
          </w:rPr>
          <w:t xml:space="preserve">[Fußnote]Der Vater hat keinen Grund zu bezweifeln, daß Hans hier eine wirkliche Begebenheit erzählt hat. – Die Juckempfindungen an der Eichel, welche die Kinder zur Berührung veranlassen, werden übrigens in der Regel so beschrieben: Es </w:t>
        </w:r>
        <w:r w:rsidRPr="004B6098">
          <w:rPr>
            <w:rFonts w:ascii="Garamond" w:hAnsi="Garamond"/>
            <w:i/>
            <w:iCs/>
            <w:color w:val="0000FF"/>
            <w:sz w:val="20"/>
            <w:szCs w:val="20"/>
            <w:u w:val="single"/>
            <w:lang w:val="en-US" w:eastAsia="fr-FR"/>
          </w:rPr>
          <w:t>beißt</w:t>
        </w:r>
        <w:r w:rsidRPr="004B6098">
          <w:rPr>
            <w:rFonts w:ascii="Garamond" w:hAnsi="Garamond"/>
            <w:color w:val="0000FF"/>
            <w:sz w:val="20"/>
            <w:szCs w:val="20"/>
            <w:u w:val="single"/>
            <w:lang w:val="en-US" w:eastAsia="fr-FR"/>
          </w:rPr>
          <w:t xml:space="preserve"> mich.</w:t>
        </w:r>
      </w:hyperlink>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2. März sage ich ihm, wie er sich wieder fürchtet: »Weißt du was? Die Dummheit« – so nennt er seine Phobie – »wird schwächer werden, wenn du öfter spazierengehst. Jetzt ist sie so stark, weil du nicht aus dem Hause herausgekommen bist, weil du krank warst.«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»O nein, sie ist so stark, weil ich immer wieder die Hand zum Wiwimacher gebe jede Nacht.«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Arzt und Patient, Vater und Sohn, treffen sich also darin, der Onanieangewöhnung die Hauptrolle in der Pathogenese des gegenwärtigen Zustandes zuzuschieben. Es fehlt aber auch nicht an Anzeichen für die Bedeutung anderer Momente.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3. März ist bei uns ein neues Mädchen eingetreten, das sein besonderes Wohlgefallen erregt. Da sie ihn beim Zimmerreinigen aufsitzen läßt, nennt er sie nur »mein Pferd« und hält sie immer am Rock, »Hüoh« rufend. Am 10. März etwa sagt er zu diesem Kindermädchen: »Wenn Sie das oder das tun, müssen Sie sich ganz ausziehen, auch das Hemd.« (Er meint, zur Strafe, aber es ist leicht, dahinter den Wunsch zu erkennen.)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Sie: »No, was ist da dran? So werd' ich mir denken, ich hab' kein Geld auf Kleider.«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»Aber das ist doch eine Schande, da sieht man doch den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alte Neugierde, auf ein neues Objekt geworfen, und wie es den Zeiten der Verdrängung zukommt, mit einer moralisierenden Tendenz verdeckt!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13. März früh sage ich zu Hans: »Weißt du, wenn du nicht mehr die Hand zum Wiwimacher gibst, wird die Dummheit schon schwächer werden.«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»Aber ich geb' die Hand nicht mehr zum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»Aber du möchtest sie immer gern geben.«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Hans: »Ja, das schon, aber ›möchten‹ ist nicht ›tun‹, und ›tun‹ ist nicht ›möchten‹.« </w:t>
      </w:r>
      <w:r w:rsidRPr="004B6098">
        <w:rPr>
          <w:rFonts w:ascii="Garamond" w:hAnsi="Garamond"/>
          <w:sz w:val="20"/>
          <w:szCs w:val="20"/>
          <w:lang w:eastAsia="fr-FR"/>
        </w:rPr>
        <w: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»Damit du aber nicht möchtest, bekommst du heute einen Sack zum Schlafen.«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Darauf gehen wir vors Haus. Er fürchtet sich zwar, sagt aber, durch die Aussicht auf die Erleichterung des Kampfes sichtlich gehoben: »No morgen, wenn ich den Sack haben werde, wird die Dummheit weg sein.« Er fürchtet sich tatsächlich vor Pferden </w:t>
      </w:r>
      <w:r w:rsidRPr="004B6098">
        <w:rPr>
          <w:rFonts w:ascii="Garamond" w:hAnsi="Garamond"/>
          <w:i/>
          <w:iCs/>
          <w:sz w:val="20"/>
          <w:szCs w:val="20"/>
          <w:lang w:val="en-US" w:eastAsia="fr-FR"/>
        </w:rPr>
        <w:t>viel</w:t>
      </w:r>
      <w:r w:rsidRPr="004B6098">
        <w:rPr>
          <w:rFonts w:ascii="Garamond" w:hAnsi="Garamond"/>
          <w:sz w:val="20"/>
          <w:szCs w:val="20"/>
          <w:lang w:val="en-US" w:eastAsia="fr-FR"/>
        </w:rPr>
        <w:t xml:space="preserve"> weniger und läßt Wagen ziemlich ruhig vorüberfahren.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nächsten Sonntag, 15. März, hatte Hans versprochen, mit mir nach Lainz zu fahren. Er sträubt sich erst, endlich geht er doch mit mir. Auf der Gasse fühlt er sich, da wenige Wagen fahren, sichtlich wohl und sagte: »Das ist gescheit, daß der liebe Gott das Pferd schon ausgelassen hat.« Auf dem Wege erkläre ich ihm, daß seine Schwester keinen Wiwimacher hat wie er. Mäderl und Frauen haben keinen Wiwimacher. Die Mammi hat keinen, die Anna nicht usw.</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»Hast du einen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»Natürlich, was hast du denn geglaubt?«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(Nach einer Pause) »Wie machen aber Mäderl Wiwi, wenn sie keinen Wiwimacher haben?«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»Sie haben keinen solchen Wiwimacher wie du. Hast du noch nicht gesehen, wenn die Hanna gebadet worden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Den ganzen Tag über ist er sehr lustig, fährt Schlitten usw. Erst gegen Abend wird er wieder verstimmt und scheint sich vor Pferden zu fürchten.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Abends ist der nervöse Anfall und das Bedürfnis nach Schmeicheln schwächer als an früheren Tagen. Am nächsten Tage wird er von der Mama in die Stadt mitgenommen, hat auf der Gasse große Furcht. Tags darauf bleibt er zu Hause und ist sehr lustig. Am nächsten Morgen kommt er gegen 6 Uhr ängstlich auf. Auf die Frage, was er habe, </w:t>
      </w:r>
      <w:r w:rsidRPr="004B6098">
        <w:rPr>
          <w:rFonts w:ascii="Garamond" w:hAnsi="Garamond"/>
          <w:sz w:val="20"/>
          <w:szCs w:val="20"/>
          <w:lang w:val="en-US" w:eastAsia="fr-FR"/>
        </w:rPr>
        <w:lastRenderedPageBreak/>
        <w:t xml:space="preserve">erzählt er: »Ich habe den Finger ganz wenig zum Wiwimacher gegeben. Da hab' ich die Mammi ganz nackt im Hemde gesehen und sie hat den Wiwimacher sehen lassen. Ich hab' der Grete </w:t>
      </w:r>
      <w:hyperlink r:id="rId1064" w:history="1">
        <w:r w:rsidRPr="004B6098">
          <w:rPr>
            <w:rFonts w:ascii="Garamond" w:hAnsi="Garamond"/>
            <w:color w:val="0000FF"/>
            <w:sz w:val="20"/>
            <w:szCs w:val="20"/>
            <w:u w:val="single"/>
            <w:lang w:val="en-US" w:eastAsia="fr-FR"/>
          </w:rPr>
          <w:t>[Fußnote]Grete ist eines der Gmundner Mäderl, von der Hans gerade jetzt phantasiert; er spricht und spielt mit ihr. [Anmerkung des Vaters.]</w:t>
        </w:r>
      </w:hyperlink>
      <w:r w:rsidRPr="004B6098">
        <w:rPr>
          <w:rFonts w:ascii="Garamond" w:hAnsi="Garamond"/>
          <w:sz w:val="20"/>
          <w:szCs w:val="20"/>
          <w:lang w:val="en-US" w:eastAsia="fr-FR"/>
        </w:rPr>
        <w:t xml:space="preserve">, meiner Grete, gezeigt, was die Mama macht, und hab' ihr meinen Wiwimacher gezeigt. Dann hab' ich die Hand schnell vom Wiwimacher weggegeben.« Auf meinen Einwand, es kann nur heißen: im Hemd </w:t>
      </w:r>
      <w:r w:rsidRPr="004B6098">
        <w:rPr>
          <w:rFonts w:ascii="Garamond" w:hAnsi="Garamond"/>
          <w:i/>
          <w:iCs/>
          <w:sz w:val="20"/>
          <w:szCs w:val="20"/>
          <w:lang w:val="en-US" w:eastAsia="fr-FR"/>
        </w:rPr>
        <w:t>oder</w:t>
      </w:r>
      <w:r w:rsidRPr="004B6098">
        <w:rPr>
          <w:rFonts w:ascii="Garamond" w:hAnsi="Garamond"/>
          <w:sz w:val="20"/>
          <w:szCs w:val="20"/>
          <w:lang w:val="en-US" w:eastAsia="fr-FR"/>
        </w:rPr>
        <w:t xml:space="preserve"> ganz nackt, sagt Hans: »Sie war im Hemd, aber das Hemd war so kurz, daß ich den Wiwimacher gesehen hab'.«</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Das ganze ist kein Traum, sondern eine, übrigens einem Traume äquivalente Onanierphantasie. Was er die Mama tun läßt, dient offenbar zu seiner Rechtfertigung: »Wenn die Mammi den Wiwimacher zeigt, darf ich es auch.«</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 xml:space="preserve">Wir können aus dieser Phantasie zweierlei ersehen, erstens, daß der Verweis der Mutter seinerzeit eine starke Wirkung auf ihn geübt hat, zweitens, daß die Aufklärung, Frauen hätten keinen Wiwimacher, von ihm zunächst nicht akzeptiert wird. </w:t>
      </w:r>
      <w:r w:rsidRPr="004B6098">
        <w:rPr>
          <w:rFonts w:ascii="Garamond" w:hAnsi="Garamond"/>
          <w:sz w:val="20"/>
          <w:szCs w:val="20"/>
          <w:lang w:val="en-US" w:eastAsia="fr-FR"/>
        </w:rPr>
        <w:t xml:space="preserve">Er bedauert es, daß es so sein soll, und hält in der Phantasie an ihm fest. </w:t>
      </w:r>
      <w:r w:rsidRPr="004B6098">
        <w:rPr>
          <w:rFonts w:ascii="Garamond" w:hAnsi="Garamond"/>
          <w:sz w:val="20"/>
          <w:szCs w:val="20"/>
          <w:lang w:eastAsia="fr-FR"/>
        </w:rPr>
        <w:t>Vielleicht hat er auch seine Gründe, dem Vater fürs erste den Glauben zu versagen.</w:t>
      </w:r>
    </w:p>
    <w:p w:rsidR="00822836" w:rsidRPr="004B6098" w:rsidRDefault="00822836" w:rsidP="00822836">
      <w:pPr>
        <w:pStyle w:val="Sansinterligne"/>
        <w:rPr>
          <w:rFonts w:ascii="Garamond" w:hAnsi="Garamond"/>
          <w:sz w:val="20"/>
          <w:szCs w:val="20"/>
          <w:lang w:eastAsia="fr-FR"/>
        </w:rPr>
      </w:pPr>
      <w:r w:rsidRPr="004B6098">
        <w:rPr>
          <w:rFonts w:ascii="Garamond" w:hAnsi="Garamond"/>
          <w:i/>
          <w:iCs/>
          <w:sz w:val="20"/>
          <w:szCs w:val="20"/>
          <w:lang w:eastAsia="fr-FR"/>
        </w:rPr>
        <w:t>Wochenbericht des Vaters:</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Geehrter Herr Professor! Anbei folgt die Fortsetzung der Geschichte unseres Hans, ein ganz interessantes Stück. Vielleicht werde ich mir erlauben, Sie Montag in der Ordination aufzusuchen und womöglich Hans mitbringen – vorausgesetzt, daß er geht. Ich hab' ihn heute gefragt: »Willst du Montag mit mir zu dem Professor gehen, der dir die Dummheit wegnehmen kann?«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»Aber er hat ein sehr schönes Mäderl.« – Darauf hat er bereitwillig und freudig zugestimmt.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Sonntag, 22. März. Um das Sonntagsprogramm zu erweitern, schlage ich Hans vor, zuerst nach Schönbrunn zu fahren und erst mittags von dort nach Lainz. Er hat also nicht bloß den Weg von der Wohnung zur Stadtbahnstation Hauptzollamt zu Fuß zurückzulegen, sondern auch von der Station Hietzing nach Schönbrunn und von dort wieder zur Dampftramwaystation Hietzing, was er auch absolviert, indem er, wenn Pferde kommen, eiligst wegschaut, da ihm offenbar ängstlich zumute ist. Mit dem Wegschauen befolgt er einen Rat der Mama.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In Schönbrunn zeigt er Furcht vor Tieren, die er sonst furchtlos angesehen hat. So will er in das Haus, in dem sich die </w:t>
      </w:r>
      <w:r w:rsidRPr="004B6098">
        <w:rPr>
          <w:rFonts w:ascii="Garamond" w:hAnsi="Garamond"/>
          <w:i/>
          <w:iCs/>
          <w:sz w:val="20"/>
          <w:szCs w:val="20"/>
          <w:lang w:val="en-US" w:eastAsia="fr-FR"/>
        </w:rPr>
        <w:t>Giraffe</w:t>
      </w:r>
      <w:r w:rsidRPr="004B6098">
        <w:rPr>
          <w:rFonts w:ascii="Garamond" w:hAnsi="Garamond"/>
          <w:sz w:val="20"/>
          <w:szCs w:val="20"/>
          <w:lang w:val="en-US" w:eastAsia="fr-FR"/>
        </w:rPr>
        <w:t xml:space="preserve"> befindet, absolut nicht hinein, will auch zum Elefanten nicht, der ihm sonst viel Spaß gemacht hat. Er fürchtet sich vor allen großen Tieren, während er sich bei den kleinen sehr unterhält. Unter den Vögeln fürchtet er diesmal auch den Pelikan, was er früher nie getan hat, offenbar auch wegen seiner Größe.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sage ihm daraufhin: »Weißt du, warum du dich vor den großen Tieren fürchtest? Große Tiere haben einen großen Wiwimacher, und du fürchtest dich eigentlich vor dem großen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»Aber ich habe noch nie von den großen Tieren den Wiwimacher gesehen.« </w:t>
      </w:r>
      <w:hyperlink r:id="rId1065" w:history="1">
        <w:r w:rsidRPr="004B6098">
          <w:rPr>
            <w:rFonts w:ascii="Garamond" w:hAnsi="Garamond"/>
            <w:color w:val="0000FF"/>
            <w:sz w:val="20"/>
            <w:szCs w:val="20"/>
            <w:u w:val="single"/>
            <w:lang w:eastAsia="fr-FR"/>
          </w:rPr>
          <w:t xml:space="preserve">[Fußnote]Das ist falsch. Vergleiche seinen Ausruf beim Löwenkäfig, S. 16. </w:t>
        </w:r>
        <w:r w:rsidRPr="004B6098">
          <w:rPr>
            <w:rFonts w:ascii="Garamond" w:hAnsi="Garamond"/>
            <w:color w:val="0000FF"/>
            <w:sz w:val="20"/>
            <w:szCs w:val="20"/>
            <w:u w:val="single"/>
            <w:lang w:val="en-US" w:eastAsia="fr-FR"/>
          </w:rPr>
          <w:t>Wahrscheinlich beginnendes Vergessen infolge der Verdrängung.</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»Aber vom Pferde doch, und das Pferd ist auch ein großes Tier.«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»Oh, vom Pferd oft. Einmal in Gmunden, wie der Wagen vor dem Hause gestanden ist, einmal vor dem Hauptzollamt.«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du klein warst, bist du wahrscheinlich in Gmunden in einen Stall gegangen . .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(unterbrechend): »Ja, jeden Tag, wenn in Gmunden die Pferde nach Haus gekommen sind, bin ich in den Stall gegangen.«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 und hast dich wahrscheinlich gefürchtet, wie du einmal den großen Wiwimacher vom Pferde gesehen hast, aber davor brauchst du dich nicht zu fürchten. Große Tiere haben große Wiwimacher, kleine Tiere kleine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»Und alle Menschen haben Wiwimacher, und der Wiwimacher wächst mit mir, wenn ich größer werde; er ist ja angewachsen.«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Damit schloß das Gespräch. In den folgenden Tagen scheint die Furcht wieder etwas größer; er traut sich kaum vors Haustor, wohin man ihn nach dem Essen führt.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Hansens letzte Trostrede wirft ein Licht auf die Situation und gestattet uns, die Behauptungen des Vaters ein wenig zu korrigieren. Es ist wahr, daß er bei den großen Tieren Angst hat, weil er an deren großen Wiwimacher denken muß, aber man kann eigentlich nicht sagen, daß er sich vor dem großen Wiwimacher selbst fürchtet. Die Vorstellung eines solchen war ihm früher entschieden lustbetont, und er versuchte mit allem Eifer, sich dessen Anblick zu verschaffen. Dies Vergnügen ist ihm seither verleidet worden durch die allgemeine Verkehrung von Lust in Unlust, die – auf noch nicht aufgeklärte Weise – seine ganze Sexualforschung betroffen hat, und was uns deutlicher ist, durch gewisse Erfahrungen und Erwägungen, die zu peinlichen Ergebnissen führten. Aus seiner Tröstung: Der Wiwimacher wächst mit mir, wenn ich größer werde, läßt sich schließen, daß er bei seinen Beobachtungen beständig verglichen hat und von der Größe seines eigenen Wiwimachers sehr unbefriedigt geblieben ist. An diesen Defekt erinnern ihn die großen Tiere, die ihm aus diesem Grunde unangenehm sind. Weil aber der ganze Gedankengang wahrscheinlich nicht klar bewußt werden kann, wandelt sich auch diese peinliche Empfindung in Angst, so daß seine gegenwärtige Angst sich auf der ehemaligen Lust wie auf der aktuellen Unlust aufbaut. Wenn einmal der Angstzustand hergestellt ist, so zehrt die Angst alle anderen Empfindungen auf; mit fortschreitender Verdrängung, je mehr die schon bewußt gewesenen affekttragenden Vorstellungen ins Unbewußte rücken, können sich alle Affekte in Angst verwandeln.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Die sonderbare Bemerkung Hansens: »er ist ja angewachsen«, läßt im Zusammenhange der Tröstung vieles erraten, was er nicht aussprechen kann, auch in dieser Analyse nicht ausgesprochen hat. Ich ergänze da ein Stück nach </w:t>
      </w:r>
      <w:r w:rsidRPr="004B6098">
        <w:rPr>
          <w:rFonts w:ascii="Garamond" w:hAnsi="Garamond"/>
          <w:sz w:val="20"/>
          <w:szCs w:val="20"/>
          <w:lang w:val="en-US" w:eastAsia="fr-FR"/>
        </w:rPr>
        <w:lastRenderedPageBreak/>
        <w:t xml:space="preserve">meinen Erfahrungen aus den Analysen Erwachsener, aber ich hoffe, die Einschaltung wird nicht als eine gewaltsame und willkürliche beurteilt werden. »Er ist ja angewachsen«: wenn das zum Trutze und Troste gedacht ist, so läßt es an die alte Drohung der Mutter denken, sie werde ihm den Wiwimacher abschneiden lassen, wenn er fortfahre, sich mit ihm zu beschäftigen. Diese Drohung blieb damals, als er 3½ Jahre alt war, wirkungslos. Er antwortete ungerührt, dann werde er aber mit dem Popo Wiwi machen. Es wäre durchaus das typische Verhalten, wenn die Drohung mit der Kastration jetzt </w:t>
      </w:r>
      <w:r w:rsidRPr="004B6098">
        <w:rPr>
          <w:rFonts w:ascii="Garamond" w:hAnsi="Garamond"/>
          <w:i/>
          <w:iCs/>
          <w:sz w:val="20"/>
          <w:szCs w:val="20"/>
          <w:lang w:val="en-US" w:eastAsia="fr-FR"/>
        </w:rPr>
        <w:t>nachträglich</w:t>
      </w:r>
      <w:r w:rsidRPr="004B6098">
        <w:rPr>
          <w:rFonts w:ascii="Garamond" w:hAnsi="Garamond"/>
          <w:sz w:val="20"/>
          <w:szCs w:val="20"/>
          <w:lang w:val="en-US" w:eastAsia="fr-FR"/>
        </w:rPr>
        <w:t xml:space="preserve"> zur Wirkung käme und er jetzt, 1¼ Jahre später, unter der Angst stünde, das teure Stück seines Ichs einzubüßen. Man kann solche nachträgliche Wirkungen von Geboten und Drohungen in der Kindheit bei anderen Erkrankungsfällen beobachten, wo das Intervall ebensoviel Dezennien und mehr umfaßt. Ja, ich kenne Fälle, in denen der » </w:t>
      </w:r>
      <w:r w:rsidRPr="004B6098">
        <w:rPr>
          <w:rFonts w:ascii="Garamond" w:hAnsi="Garamond"/>
          <w:i/>
          <w:iCs/>
          <w:sz w:val="20"/>
          <w:szCs w:val="20"/>
          <w:lang w:val="en-US" w:eastAsia="fr-FR"/>
        </w:rPr>
        <w:t>nachträgliche Gehorsam</w:t>
      </w:r>
      <w:r w:rsidRPr="004B6098">
        <w:rPr>
          <w:rFonts w:ascii="Garamond" w:hAnsi="Garamond"/>
          <w:sz w:val="20"/>
          <w:szCs w:val="20"/>
          <w:lang w:val="en-US" w:eastAsia="fr-FR"/>
        </w:rPr>
        <w:t>« der Verdrängung den wesentlichen Anteil an der Determinierung der Krankheitssymptome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Die Aufklärung, die Hans vor kurzem erhalten hat, daß Frauen wirklich keinen Wiwimacher haben, kann nur erschütternd auf sein Selbstvertrauen und erweckend auf den Kastrationskomplex gewirkt haben. Darum sträubte er sich auch gegen sie, und darum blieb ein therapeutischer Erfolg dieser Mitteilung aus: Soll es also wirklich lebende Wesen geben, die keinen Wiwimacher besitzen? Dann wäre es ja nicht mehr so unglaublich, daß man ihm den Wiwimacher wegnehmen, ihn gleichsam zum Weibe machen könnte! </w:t>
      </w:r>
      <w:hyperlink r:id="rId1066" w:history="1">
        <w:r w:rsidRPr="004B6098">
          <w:rPr>
            <w:rFonts w:ascii="Garamond" w:hAnsi="Garamond"/>
            <w:color w:val="0000FF"/>
            <w:sz w:val="20"/>
            <w:szCs w:val="20"/>
            <w:u w:val="single"/>
            <w:lang w:eastAsia="fr-FR"/>
          </w:rPr>
          <w:t xml:space="preserve">[Fußnote]Ich kann den Zusammenhang nicht so weit unterbrechen, um darzutun, wieviel Typisches an diesen unbewußten Gedankengängen ist, die ich hier dem kleinen Hans zumute. Der Kastrationskomplex ist die tiefste unbewußte Wurzel des Antisemitismus, denn schon in der Kinderstube hört der Knabe, daß dem Juden etwas am Penis – er meint, ein Stück des Penis – abgeschnitten werde, und dies gibt ihm das Recht, den Juden zu verachten. Auch die Überhebung über das Weib hat keine stärkere unbewußte Wurzel. Weininger, jener hochbegabte und sexuell gestörte junge Philosoph, der nach seinem merkwürdigen Buche </w:t>
        </w:r>
        <w:r w:rsidRPr="004B6098">
          <w:rPr>
            <w:rFonts w:ascii="Garamond" w:hAnsi="Garamond"/>
            <w:i/>
            <w:iCs/>
            <w:color w:val="0000FF"/>
            <w:sz w:val="20"/>
            <w:szCs w:val="20"/>
            <w:u w:val="single"/>
            <w:lang w:eastAsia="fr-FR"/>
          </w:rPr>
          <w:t>Geschlecht und Charakter</w:t>
        </w:r>
        <w:r w:rsidRPr="004B6098">
          <w:rPr>
            <w:rFonts w:ascii="Garamond" w:hAnsi="Garamond"/>
            <w:color w:val="0000FF"/>
            <w:sz w:val="20"/>
            <w:szCs w:val="20"/>
            <w:u w:val="single"/>
            <w:lang w:eastAsia="fr-FR"/>
          </w:rPr>
          <w:t xml:space="preserve"> sein Leben durch Selbstmord beendigte, hat in einem vielbemerkten Kapitel den Juden und das Weib mit der gleichen Feindschaft bedacht und mit den nämlichen Schmähungen überhäuft. </w:t>
        </w:r>
        <w:r w:rsidRPr="004B6098">
          <w:rPr>
            <w:rFonts w:ascii="Garamond" w:hAnsi="Garamond"/>
            <w:color w:val="0000FF"/>
            <w:sz w:val="20"/>
            <w:szCs w:val="20"/>
            <w:u w:val="single"/>
            <w:lang w:val="en-US" w:eastAsia="fr-FR"/>
          </w:rPr>
          <w:t>Weininger stand als Neurotiker völlig unter der Herrschaft infantiler Komplexe; die Beziehung zum Kastrationskomplex ist das dem Juden und dem Weibe dort Gemeinsame.</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In der Nacht vom 27. zum 28. überrascht uns Hans dadurch, daß er mitten im Dunkel aus seinem Bette aufsteht und zu uns ins Bett kommt. Sein Zimmer ist durch ein Kabinett von unserem Schlafzimmer getrennt. Wir fragen ihn, weshalb; ob er sich vielleicht gefürchtet habe. Er sagt: »Nein, ich werde es morgen sagen«, schläft in unserem Bette ein und wird dann in seines zurückgetragen.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nächsten Tage nehme ich ihn ins Gebet, um zu erfahren, weshalb er in der Nacht zu uns gekommen ist, und es entwickelt sich nach einigem Sträuben folgender Dialog, den ich sofort stenographisch festlege: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Er: » </w:t>
      </w:r>
      <w:r w:rsidRPr="004B6098">
        <w:rPr>
          <w:rFonts w:ascii="Garamond" w:hAnsi="Garamond"/>
          <w:i/>
          <w:iCs/>
          <w:sz w:val="20"/>
          <w:szCs w:val="20"/>
          <w:lang w:val="en-US" w:eastAsia="fr-FR"/>
        </w:rPr>
        <w:t>In der Nacht war eine große und eine zerwutzelte Giraffe im Zimmer, und die große hat geschrien, weil ich ihr die zerwutzelte weggenommen hab'. Dann hat sie aufgehört zu schreien, und dann hab' ich mich auf die zerwutzelte Giraffe draufgesetzt.</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befremdet: »Was? Eine zerwutzelte Giraffe? Wie war das?«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(Holt schnell ein Papier, wutzelt es zusammen und sagt mir:) »So war sie zerwutzelt.«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du hast dich auf die zerwutzelte Giraffe drauf gesetzt? Wie?«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zeigt mir's wieder, setzt sich auf die Erde.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bist du ins Zimmer gekommen?«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»Das weiß ich selber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dich gefürchtet?«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»Nein, bestimmt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von den Giraffen geträumt?«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»Nein, nicht geträumt; ich hab' mir's gedacht – das Ganze hab' ich mir gedacht – aufgekommen war ich schon früher.«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soll das heißen: eine zerwutzelte Giraffe? Du weißt ja, daß man eine Giraffe nicht zusammendrücken kann wie ein Stück Papier.«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Er: »Ich weiß' ja. Ich hab's halt geglaubt. Es gibt's ja eh net auf der Welt </w:t>
      </w:r>
      <w:hyperlink r:id="rId1067" w:history="1">
        <w:r w:rsidRPr="004B6098">
          <w:rPr>
            <w:rFonts w:ascii="Garamond" w:hAnsi="Garamond"/>
            <w:color w:val="0000FF"/>
            <w:sz w:val="20"/>
            <w:szCs w:val="20"/>
            <w:u w:val="single"/>
            <w:lang w:val="en-US" w:eastAsia="fr-FR"/>
          </w:rPr>
          <w:t>[Fußnote]Hans sagt es ganz bestimmt in seiner Sprache, es war eine Phantasie.</w:t>
        </w:r>
      </w:hyperlink>
      <w:r w:rsidRPr="004B6098">
        <w:rPr>
          <w:rFonts w:ascii="Garamond" w:hAnsi="Garamond"/>
          <w:sz w:val="20"/>
          <w:szCs w:val="20"/>
          <w:lang w:val="en-US" w:eastAsia="fr-FR"/>
        </w:rPr>
        <w:t>. Die zerwutzelte ist ganz gelegen auf dem Fußboden, und ich hab' sie weggenommen, mit den Händen genommen.«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so eine große Giraffe kann man mit den Händen nehmen?«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»Die zerwutzelte hab' ich mit der Hand genommen.«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war die große unterdessen?«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»Die große ist halt weiter weg gestanden.«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hast du mit der zerwutzelten gemacht?«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»Ich hab' sie ein bißchen in der Hand gehalten, bis die große zu schreien aufgehört hat, und wie die große zum schreien aufgehört hat, hab' ich mich drauf gesetzt.«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hat die große geschrien?«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»Weil ich ihr die kleine weggenommen hab'.« (Bemerkt, daß ich alles notiere, und fragt: »Weshalb schreibst du das auf?«)</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»Weil ich es einem Professor schicke, der dir die ›Dummheit‹ wegnehmen kann.«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»Aha, da hast du's doch auch aufgeschrieben, daß sich die Mammi das Hemd ausgezogen hat, und gibst das auch dem Professor.«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»Ja, der wird aber nicht verstehen, wie du glaubst, daß man eine Giraffe zerwutzeln kann.«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Er: »Sag' ihm halt, ich weiß es selber nicht, und da wird er nicht fragen; wenn er aber fragt, was die verwutzelte Giraffe ist, kann er uns ja schreiben, und wir schreiben hin oder schreiben wir gleich, ich weiß es selber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bist du aber in der Nacht gekommen?«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»Das weiß ich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»Sag' mir halt schnell, woran du jetzt denkst.«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(humoristisch): »An einen Himbeersaft.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noch?«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Er: »Ein Gewehr zum Totschießen.« </w:t>
      </w:r>
      <w:hyperlink r:id="rId1068" w:history="1">
        <w:r w:rsidRPr="004B6098">
          <w:rPr>
            <w:rFonts w:ascii="Garamond" w:hAnsi="Garamond"/>
            <w:color w:val="0000FF"/>
            <w:sz w:val="20"/>
            <w:szCs w:val="20"/>
            <w:u w:val="single"/>
            <w:lang w:eastAsia="fr-FR"/>
          </w:rPr>
          <w:t xml:space="preserve">[Fußnote][Himbeersaft, Gewehr: seine Wünsche] Der Vater versucht hier in seiner Ratlosigkeit, die klassische Technik der Psychoanalyse zu üben. </w:t>
        </w:r>
        <w:r w:rsidRPr="004B6098">
          <w:rPr>
            <w:rFonts w:ascii="Garamond" w:hAnsi="Garamond"/>
            <w:color w:val="0000FF"/>
            <w:sz w:val="20"/>
            <w:szCs w:val="20"/>
            <w:u w:val="single"/>
            <w:lang w:val="en-US" w:eastAsia="fr-FR"/>
          </w:rPr>
          <w:t>Diese führt nicht weit, aber was sie ergibt, kann doch im Lichte späterer Eröffnungen sinnvoll werden</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hast es gewiß nicht geträumt?«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»Sicher nicht; nein, ich weiß es ganz bestimmt.«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erzählt weiter: »Die Mammi hat mich so lange gebeten, ich soll ihr sagen, weshalb ich in der Nacht gekommen bin. Ich hab's aber nicht sagen wollen, weil ich mich zuerst vor der Mammi geschämt hab'.«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»Das weiß ich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Tatsächlich hat ihn meine Frau den ganzen Vormittag inquiriert, bis er die Giraffengeschichte erzählt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selben Tage noch findet der Vater die Auflösung der Giraffenphantasie.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große Giraffe bin ich, respektive der große Penis (der lange Hals), die zerwutzelte Giraffe meine Frau, respektive ihr Glied, was also der Erfolg der Aufklärung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Giraffe: vide Ausflug nach Schönbrunn. Übrigens hat er ein Bild einer Giraffe und eines Elefanten über seinem Bette hängen.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Ganze ist die Reproduktion einer Szene, die sich fast jeden Morgen in den letzten Tagen abgespielt hat. Hans kommt in der Früh immer zu uns, und meine Frau kann es dann nicht unterlassen, ihn für einige Minuten zu sich ins Bett zu nehmen. Daraufhin fange ich immer an, sie zu warnen, sie möge ihn nicht zu sich nehmen (»die große hat geschrien, weil ich ihr die zerwutzelte weggenommen hab'«), und sie erwidert hie und da, wohl gereizt, das sei doch ein Unsinn, die eine Minute sei doch irrelevant usw. Hans bleibt dann eine kurze Zeit bei ihr. (»Dann hat die große Giraffe aufgehört zu schreien und dann hab' ich mich auf die zerwutzelte Giraffe draufgesetzt.«)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Lösung dieser ins Giraffenleben transponierten Eheszene ist also: er hat in der Nacht Sehnsucht nach der Mama bekommen, nach ihren Liebkosungen, ihrem Gliede, und ist deshalb ins Schlafzimmer gekommen. Das Ganze ist die Fortsetzung der Pferdefurcht.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weiß der scharfsinnigen Deutung des Vaters nur hinzuzufügen: »Das </w:t>
      </w:r>
      <w:r w:rsidRPr="004B6098">
        <w:rPr>
          <w:rFonts w:ascii="Garamond" w:hAnsi="Garamond"/>
          <w:i/>
          <w:iCs/>
          <w:sz w:val="20"/>
          <w:szCs w:val="20"/>
          <w:lang w:val="en-US" w:eastAsia="fr-FR"/>
        </w:rPr>
        <w:t>Draufsetzen</w:t>
      </w:r>
      <w:r w:rsidRPr="004B6098">
        <w:rPr>
          <w:rFonts w:ascii="Garamond" w:hAnsi="Garamond"/>
          <w:sz w:val="20"/>
          <w:szCs w:val="20"/>
          <w:lang w:val="en-US" w:eastAsia="fr-FR"/>
        </w:rPr>
        <w:t xml:space="preserve">« ist wahrscheinlich Hansens Darstellung des </w:t>
      </w:r>
      <w:r w:rsidRPr="004B6098">
        <w:rPr>
          <w:rFonts w:ascii="Garamond" w:hAnsi="Garamond"/>
          <w:i/>
          <w:iCs/>
          <w:sz w:val="20"/>
          <w:szCs w:val="20"/>
          <w:lang w:val="en-US" w:eastAsia="fr-FR"/>
        </w:rPr>
        <w:t>Besitz</w:t>
      </w:r>
      <w:r w:rsidRPr="004B6098">
        <w:rPr>
          <w:rFonts w:ascii="Garamond" w:hAnsi="Garamond"/>
          <w:sz w:val="20"/>
          <w:szCs w:val="20"/>
          <w:lang w:val="en-US" w:eastAsia="fr-FR"/>
        </w:rPr>
        <w:t>ergreifens. Das Ganze aber ist eine Trutzphantasie, die mit Befriedigung an den Sieg über den väterlichen Widerstand anknüpft. »Schrei, soviel du willst, die Mammi nimmt mich doch ins Bett und die Mammi gehört mir.« Es läßt sich also mit Recht hinter ihr erraten, was der Vater vermutet: die Angst, daß ihn die Mama nicht mag, weil sich sein Wiwimacher mit dem des Vaters nicht messen kann.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nächsten Morgen holt sich der Vater die Bestätigung seiner Deutung.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Sonntag, 29. März, fahre ich mit Hans nach Lainz. In der Tür verabschiede ich mich von meiner Frau scherzhaft: »Adieu, große Giraffe.« Hans fragt: »Warum Giraffe?« Darauf ich: »Die Mammi ist die große Giraffe«, worauf Hans sagt: »Nicht wahr, und die Hanna ist die zerwutzelte Giraffe?«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Auf der Bahn erkläre ich ihm die Giraffenphantasie, worauf er sagt: Ja, das ist richtig, und wie ich ihm sage, ich sei die große Giraffe, der lange Hals habe ihn an einen Wiwimacher erinnert, sagt er: »Die Mammi hat auch einen Hals wie eine Giraffe, das hab' ich gesehen, wie sie sich den weißen Hals gewaschen hat.« </w:t>
      </w:r>
      <w:hyperlink r:id="rId1069" w:history="1">
        <w:r w:rsidRPr="004B6098">
          <w:rPr>
            <w:rFonts w:ascii="Garamond" w:hAnsi="Garamond"/>
            <w:color w:val="0000FF"/>
            <w:sz w:val="20"/>
            <w:szCs w:val="20"/>
            <w:u w:val="single"/>
            <w:lang w:eastAsia="fr-FR"/>
          </w:rPr>
          <w:t xml:space="preserve">[Fußnote]Hans bestätigt nur die Deutung der beiden Giraffen auf Vater und Mutter, nicht die sexuelle Symbolik, die in der Giraffe selbst eine Vertretung des Penis erblicken will. </w:t>
        </w:r>
        <w:r w:rsidRPr="004B6098">
          <w:rPr>
            <w:rFonts w:ascii="Garamond" w:hAnsi="Garamond"/>
            <w:color w:val="0000FF"/>
            <w:sz w:val="20"/>
            <w:szCs w:val="20"/>
            <w:u w:val="single"/>
            <w:lang w:val="en-US" w:eastAsia="fr-FR"/>
          </w:rPr>
          <w:t>Wahrscheinlich hat diese Symbolik recht, aber von Hans kann man wahrlich nicht mehr verlangen.</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Montag, 30. März, früh, kommt Hans zu mir und sagt: »Du, heut hab' ich mir zwei Sachen gedacht. Die erste? Ich bin mit dir in Schönbrunn gewesen bei den Schafen, und dann sind wir unter den Stricken durchgekrochen, und das haben wir dann dem Wachmanne beim Eingang des Gartens gesagt, und der hat uns zusammengepackt.« Das zweite hat er vergessen.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bemerke dazu: Als wir am Sonntag zu den Schafen gehen wollten, war dieser Raum durch einen Strick abgesperrt, so daß wir nicht hingehen konnten. Hans war sehr verwundert, daß man einen Raum nur mit einem Stricke absperrt, unter dem man doch leicht durchschlüpfen kann. Ich sagte ihm, anständige Menschen kriechen nicht unter den Strick. Er meinte, es ist ja ganz leicht, worauf ich erwiderte, es kann dann ein Wachmann kommen, der einen fortführt. Am Eingange von Schönbrunn steht ein Leibgardist, von dem ich Hans einmal gesagt habe, der arretiert schlimme Kinder.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Nach der Rückkehr von dem Besuche bei Ihnen, der am selben Tage vorfiel, beichtete Hans noch ein Stückchen Gelüste, Verbotenes zu tun. »Du, heut früh hab' ich mir wieder etwas gedacht.« »Was?« »Ich bin mit dir in der Eisenbahn gefahren und wir haben ein Fenster zerschlagen und der Wachmann hat uns mitgenommen.«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t xml:space="preserve">Die richtige Fortsetzung der Giraffenphantasie. </w:t>
      </w:r>
      <w:r w:rsidRPr="004B6098">
        <w:rPr>
          <w:rFonts w:ascii="Garamond" w:hAnsi="Garamond"/>
          <w:sz w:val="20"/>
          <w:szCs w:val="20"/>
          <w:lang w:val="en-US" w:eastAsia="fr-FR"/>
        </w:rPr>
        <w:t xml:space="preserve">Er ahnt, daß es verboten ist, sich in den Besitz der Mutter zu setzen; er ist auf die Inzestschranke gestoßen. Aber er hält es für verboten an sich. Bei den verbotenen Streichen, die er in der Phantasie ausführt, ist jedesmal der Vater dabei und wird mit ihm eingesperrt. Der Vater, meint er, tut doch auch </w:t>
      </w:r>
      <w:r w:rsidRPr="004B6098">
        <w:rPr>
          <w:rFonts w:ascii="Garamond" w:hAnsi="Garamond"/>
          <w:sz w:val="20"/>
          <w:szCs w:val="20"/>
          <w:lang w:val="en-US" w:eastAsia="fr-FR"/>
        </w:rPr>
        <w:lastRenderedPageBreak/>
        <w:t>jenes rätselhafte Verbotene mit der Mutter, das er sich durch etwas Gewalttätiges wie das Zerschlagen einer Fensterscheibe, durch das Eindringen in einen abgeschlossenen Raum, ersetzt.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An diesem Nachmittage besuchten mich Vater und Sohn in meiner ärztlichen Ordination. Ich kannte den drolligen Knirps schon und hatte ihn, der in seiner Selbstsicherheit doch so liebenswürdig war, jedesmal gern gesehen. Ob er sich meiner erinnerte, weiß ich nicht, aber er benahm sich tadellos, wie ein ganz vernünftiges Mitglied der menschlichen Gesellschaft. Die Konsultation war kurz. Der Vater knüpfte daran an, daß trotz aller Aufklärung die Angst vor den Pferden sich noch nicht gemindert habe. Wir mußten uns auch eingestehen, daß die Beziehungen zwischen den Pferden, vor denen er sich ängstigte, und den aufgedeckten Regungen von Zärtlichkeit für die Mutter wenig ausgiebige waren. Details, wie ich sie jetzt erfuhr, daß ihn besonders geniere, was die Pferde vor den Augen haben, und das Schwarze um deren Mund, ließen sich von dem aus, was wir wußten, gewiß nicht erklären. Aber als ich die beiden so vor mir sitzen sah und dabei die Schilderung seiner Angstpferde hörte, schoß mir ein weiteres Stück der Auflösung durch den Sinn, von dem ich verstand, daß es gerade dem Vater entgehen konnte. Ich fragte Hans scherzend, ob seine Pferde Augengläser tragen, was er verneinte, dann ob sein Vater Augengläser trage, was er gegen alle Evidenz wiederum verneinte, ob er mit dem Schwarzen um den »Mund« den Schnurrbart meine, und eröffnete ihm dann, er fürchte sich vor seinem Vater, eben weil er die Mutter so lieb habe. Er müsse ja glauben, daß ihm der Vater darob böse sei, aber das sei nicht wahr, der Vater habe ihn doch gern, er könne ihm furchtlos alles bekennen. Lange, ehe er auf der Welt war, hätte ich schon gewußt, daß ein kleiner Hans kommen werde, der seine Mutter so lieb hätte, daß er sich darum vor dem Vater fürchten müßte, und hätte es seinem Vater erzählt. »Warum glaubst du denn, daß ich böse auf dich bin«, unterbrach mich hier der Vater, »habe ich dich denn je geschimpft oder geschlagen?« </w:t>
      </w:r>
      <w:r w:rsidRPr="004B6098">
        <w:rPr>
          <w:rFonts w:ascii="Garamond" w:hAnsi="Garamond"/>
          <w:sz w:val="20"/>
          <w:szCs w:val="20"/>
          <w:lang w:eastAsia="fr-FR"/>
        </w:rPr>
        <w:t xml:space="preserve">»O ja, du hast mich geschlagen«, verbesserte Hans. »Das ist nicht wahr. Wann denn?« »Heute vormittag«, mahnte der Kleine, und der Vater erinnerte sich, daß Hans ihn ganz unerwartet mit dem Kopfe in den Bauch gestoßen, worauf er ihm wie reflektorisch einen Schlag mit der Hand gegeben. Es war bemerkenswert, daß er dieses Detail nicht in den Zusammenhang der Neurose aufgenommen hatte; er verstand es aber jetzt als Ausdruck der feindseligen Disposition des Kleinen gegen ihn, vielleicht auch als Äußerung des Bedürfnisses, sich dafür eine Bestrafung zu holen </w:t>
      </w:r>
      <w:hyperlink r:id="rId1070" w:history="1">
        <w:r w:rsidRPr="004B6098">
          <w:rPr>
            <w:rFonts w:ascii="Garamond" w:hAnsi="Garamond"/>
            <w:color w:val="0000FF"/>
            <w:sz w:val="20"/>
            <w:szCs w:val="20"/>
            <w:u w:val="single"/>
            <w:lang w:eastAsia="fr-FR"/>
          </w:rPr>
          <w:t>[Fußnote]Der Knabe wiederholte diese Reaktion gegen den Vater später in deutlicherer und vollständigerer Weise, indem er dem Vater zuerst einen Schlag auf die Hand gab und dann dieselbe Hand zärtlich küßte.</w:t>
        </w:r>
      </w:hyperlink>
      <w:r w:rsidRPr="004B6098">
        <w:rPr>
          <w:rFonts w:ascii="Garamond" w:hAnsi="Garamond"/>
          <w:sz w:val="20"/>
          <w:szCs w:val="20"/>
          <w:lang w:eastAsia="fr-FR"/>
        </w:rPr>
        <w: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 xml:space="preserve">Auf dem Heimgange fragte Hans den Vater: »Spricht denn der Professor mit dem lieben Gott, daß er das alles vorher wissen kann?« Ich wäre auf diese Anerkennung aus Kindermund außerordentlich stolz, wenn ich sie nicht durch meine scherzhaften Prahlereien selbst provoziert hätte. </w:t>
      </w:r>
      <w:r w:rsidRPr="004B6098">
        <w:rPr>
          <w:rFonts w:ascii="Garamond" w:hAnsi="Garamond"/>
          <w:sz w:val="20"/>
          <w:szCs w:val="20"/>
          <w:lang w:val="en-US" w:eastAsia="fr-FR"/>
        </w:rPr>
        <w:t xml:space="preserve">Ich erhielt von dieser Konsultation an fast täglich Berichte über die Veränderungen im Befinden des kleinen Patienten. Es stand nicht zu erwarten, daß er durch meine Mitteilung mit einem Schlage angstfrei werden könnte, aber es zeigte sich, daß ihm nun die Möglichkeit gegeben war, seine unbewußten Produktionen vorzubringen und seine Phobie abzuwickeln. </w:t>
      </w:r>
      <w:r w:rsidRPr="004B6098">
        <w:rPr>
          <w:rFonts w:ascii="Garamond" w:hAnsi="Garamond"/>
          <w:sz w:val="20"/>
          <w:szCs w:val="20"/>
          <w:lang w:eastAsia="fr-FR"/>
        </w:rPr>
        <w:t>Er führte von da an ein Programm aus, das ich seinem Vater im vorhinein mitteilen konnte.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Am 2. April ist die </w:t>
      </w:r>
      <w:r w:rsidRPr="004B6098">
        <w:rPr>
          <w:rFonts w:ascii="Garamond" w:hAnsi="Garamond"/>
          <w:i/>
          <w:iCs/>
          <w:sz w:val="20"/>
          <w:szCs w:val="20"/>
          <w:lang w:val="en-US" w:eastAsia="fr-FR"/>
        </w:rPr>
        <w:t>erste wesentliche Besserung</w:t>
      </w:r>
      <w:r w:rsidRPr="004B6098">
        <w:rPr>
          <w:rFonts w:ascii="Garamond" w:hAnsi="Garamond"/>
          <w:sz w:val="20"/>
          <w:szCs w:val="20"/>
          <w:lang w:val="en-US" w:eastAsia="fr-FR"/>
        </w:rPr>
        <w:t xml:space="preserve"> festzustellen. Während er bisher nie zu bewegen war, für längere Zeit vors Haustor zu gehen, und immer, wenn Pferde kamen, mit allen Zeichen des Schreckens zurück ins Haus rannte, bleibt er diesmal eine Stunde vor dem Haustore, auch wenn Wagen vorüberfahren, was bei uns ziemlich häufig vorkommt. Hie und da läuft er, wenn er von ferne einen Wagen kommen sieht, ins Haus, kehrt jedoch sofort um, als ob er sich anders besinnen würde. Es ist jedenfalls nur ein Rest von Angst vorhanden und der Fortschritt seit der Aufklärung nicht zu verkennen. Abends sagt er: »Wenn wir schon vors Haustor gehen, werden wir auch in den Stadtpark gehen.«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3. April kommt er früh zu mir ins Bett, während er die letzten Tage nicht mehr gekommen war und sogar stolz auf diese Enthaltung schien. Ich frage: »Weshalb bist du denn heute gekommen?«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»Bis ich mich nicht fürchten werde, werde ich nicht mehr kommen.«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»Du kommst also zu mir, weil du dich fürchtest?«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»Wenn ich nicht bei dir bin, fürchte ich mich; wenn ich nicht bei dir im Bette bin, da fürcht' ich mich. Bis ich mich nicht mehr fürchten werde, komme ich nicht mehr.«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hast mich also gern und dir ist bange, wenn du früh in deinem Bette bist, deshalb kommst du zu mir?«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»Ja. Warum hast du mir gesagt, ich hab' die </w:t>
      </w:r>
      <w:r w:rsidRPr="004B6098">
        <w:rPr>
          <w:rFonts w:ascii="Garamond" w:hAnsi="Garamond"/>
          <w:i/>
          <w:iCs/>
          <w:sz w:val="20"/>
          <w:szCs w:val="20"/>
          <w:lang w:val="en-US" w:eastAsia="fr-FR"/>
        </w:rPr>
        <w:t>Mammi</w:t>
      </w:r>
      <w:r w:rsidRPr="004B6098">
        <w:rPr>
          <w:rFonts w:ascii="Garamond" w:hAnsi="Garamond"/>
          <w:sz w:val="20"/>
          <w:szCs w:val="20"/>
          <w:lang w:val="en-US" w:eastAsia="fr-FR"/>
        </w:rPr>
        <w:t xml:space="preserve"> gern, und ich fürcht' mich deshalb, wenn ich </w:t>
      </w:r>
      <w:r w:rsidRPr="004B6098">
        <w:rPr>
          <w:rFonts w:ascii="Garamond" w:hAnsi="Garamond"/>
          <w:i/>
          <w:iCs/>
          <w:sz w:val="20"/>
          <w:szCs w:val="20"/>
          <w:lang w:val="en-US" w:eastAsia="fr-FR"/>
        </w:rPr>
        <w:t>dich</w:t>
      </w:r>
      <w:r w:rsidRPr="004B6098">
        <w:rPr>
          <w:rFonts w:ascii="Garamond" w:hAnsi="Garamond"/>
          <w:sz w:val="20"/>
          <w:szCs w:val="20"/>
          <w:lang w:val="en-US" w:eastAsia="fr-FR"/>
        </w:rPr>
        <w:t xml:space="preserve"> gern hab'?«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Der Kleine zeigt hier eine wirklich überlegene Klarheit. Er gibt zu erkennen, daß in ihm die Liebe zum Vater mit der Feindseligkeit gegen den Vater infolge seiner Nebenbuhlerrolle bei der Mutter ringt, und macht dem Vater den Vorwurf, daß er ihn bisher auf dieses Kräftespiel, das in Angst auslaufen mußte, nicht aufmerksam gemacht hat. Der Vater versteht ihn noch nicht ganz, denn er holt sich erst während dieser Unterhaltung die Überzeugung von der Feindseligkeit des Kleinen gegen ihn, die ich bei unserer Konsultation behauptet hatte. Das Folgende, das ich doch unverändert mitteile, ist eigentlich bedeutsamer für die Aufklärung des Vaters als für den kleinen Patienten.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Diesen Einwand habe ich leider nicht sofort nach seiner Bedeutung aufgefaßt. Weil Hans die Mutter gerne hat, will er mich offenbar weghaben, dann ist er an Vaters Stelle. Dieser unterdrückte feindliche Wunsch wird zur Angst um den Vater, und er kommt früh zu mir, um zu sehen, ob ich fort bin. Ich habe das leider in diesem Momente noch nicht verstanden und sage ihm: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»Wenn du allein bist, ist dir halt bange nach mir und du kommst zu mir.«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»Wenn du weg bist, fürcht' ich mich, daß du nicht nach Hause kommst.«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»Hab' ich dir denn einmal gedroht, daß ich nicht nach Hause komme?«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lastRenderedPageBreak/>
        <w:t xml:space="preserve">Hans: »Du nicht, aber die Mammi. </w:t>
      </w:r>
      <w:r w:rsidRPr="004B6098">
        <w:rPr>
          <w:rFonts w:ascii="Garamond" w:hAnsi="Garamond"/>
          <w:sz w:val="20"/>
          <w:szCs w:val="20"/>
          <w:lang w:val="en-US" w:eastAsia="fr-FR"/>
        </w:rPr>
        <w:t>Die Mammi hat mir gesagt, daß sie nicht mehr kommt.« (Wahrscheinlich war er schlimm, und sie hat ihm mit dem Weggehen gedroht.)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hat sie gesagt, weil du schlimm warst.«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fürchtest dich also, ich geh' weg, weil du schlimm warst, deshalb kommst du zu mir.«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Beim Frühstücke stehe ich vom Tische auf, worauf Hans sagt: Vatti, </w:t>
      </w:r>
      <w:r w:rsidRPr="004B6098">
        <w:rPr>
          <w:rFonts w:ascii="Garamond" w:hAnsi="Garamond"/>
          <w:i/>
          <w:iCs/>
          <w:sz w:val="20"/>
          <w:szCs w:val="20"/>
          <w:lang w:val="en-US" w:eastAsia="fr-FR"/>
        </w:rPr>
        <w:t>renn</w:t>
      </w:r>
      <w:r w:rsidRPr="004B6098">
        <w:rPr>
          <w:rFonts w:ascii="Garamond" w:hAnsi="Garamond"/>
          <w:sz w:val="20"/>
          <w:szCs w:val="20"/>
          <w:lang w:val="en-US" w:eastAsia="fr-FR"/>
        </w:rPr>
        <w:t xml:space="preserve"> mir nicht davon! Daß er »renn« anstatt »lauf« sagt, fällt mir auf, und ich repliziere: »Oha, du fürchtest dich, das Pferd rennt dir davon.« Wozu er lacht.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Wir wissen, daß dieses Stück der Angst Hansens doppelt gefügt ist: Angst </w:t>
      </w:r>
      <w:r w:rsidRPr="004B6098">
        <w:rPr>
          <w:rFonts w:ascii="Garamond" w:hAnsi="Garamond"/>
          <w:i/>
          <w:iCs/>
          <w:sz w:val="20"/>
          <w:szCs w:val="20"/>
          <w:lang w:val="en-US" w:eastAsia="fr-FR"/>
        </w:rPr>
        <w:t>vor</w:t>
      </w:r>
      <w:r w:rsidRPr="004B6098">
        <w:rPr>
          <w:rFonts w:ascii="Garamond" w:hAnsi="Garamond"/>
          <w:sz w:val="20"/>
          <w:szCs w:val="20"/>
          <w:lang w:val="en-US" w:eastAsia="fr-FR"/>
        </w:rPr>
        <w:t xml:space="preserve"> dem Vater und Angst </w:t>
      </w:r>
      <w:r w:rsidRPr="004B6098">
        <w:rPr>
          <w:rFonts w:ascii="Garamond" w:hAnsi="Garamond"/>
          <w:i/>
          <w:iCs/>
          <w:sz w:val="20"/>
          <w:szCs w:val="20"/>
          <w:lang w:val="en-US" w:eastAsia="fr-FR"/>
        </w:rPr>
        <w:t>um</w:t>
      </w:r>
      <w:r w:rsidRPr="004B6098">
        <w:rPr>
          <w:rFonts w:ascii="Garamond" w:hAnsi="Garamond"/>
          <w:sz w:val="20"/>
          <w:szCs w:val="20"/>
          <w:lang w:val="en-US" w:eastAsia="fr-FR"/>
        </w:rPr>
        <w:t xml:space="preserve"> den Vater. Die erstere stammt von der Feindseligkeit gegen den Vater, die andere von dem Konflikte der Zärtlichkeit, die hier reaktionsweise übertrieben wird, mit der Feindseligkeit.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Der Vater setzt fort: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ist zweifellos der Anfang eines wichtigen Stückes. Daß er sich höchstens vors Haus traut, vom Hause aber nicht weggeht, daß er beim ersten Anfalle der Angst auf der Hälfte des Weges umkehrt, ist motiviert durch die Furcht, die Eltern nicht zu Hause zu treffen, weil sie weggegangen sind. Er klebt am Hause aus Liebe zur Mutter, er fürchtet sich, daß ich weggehe, aus feindlichen Wünschen gegen mich, dann wäre er der Vater.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Im Sommer bin ich wiederholt von Gmunden nach Wien weggefahren, weil es der Beruf erforderte, dann war er der Vater. Ich erinnere daran, daß die Pferdeangst an das Erlebnis in Gmunden anknüpft, als ein Pferd das Gepäck der Lizzi auf den Bahnhof bringen sollte. Der verdrängte Wunsch, ich solle auf den Bahnhof fahren, dann ist er mit der Mutter allein (»das Pferd soll wegfahren«), wird dann zur Angst vor dem Wegfahren der Pferde, und tatsächlich versetzt ihn nichts in größere Angst, als wenn aus dem unserer Wohnung gegenüberliegenden Hofe des Hauptzollamtes ein Wagen wegfährt, Pferde sich in Bewegung setzen.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Dieses neue Stück (feindselige Gesinnung gegen den Vater) konnte erst herauskommen, nachdem er weiß, daß ich nicht böse bin, weil er die Mama so gerne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Nachmittags gehe ich wieder mit ihm vors Haustor; er geht wieder vors Haus und bleibt auch daselbst, wenn Wagen fahren, nur bei einzelnen Wagen hat er Angst und läuft in den Hausflur. Er erklärt mir auch: »Nicht alle weißen Pferde beißen«; d. h.: durch die Analyse sind bereits einige weiße Pferde als »Vatti« erkannt worden, die beißen nicht mehr, allein es bleiben noch andere zum Beißen.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Situation vor unserem Haustore ist folgende: Gegenüber ist das Lagerhaus des Verzehrungssteueramtes mit einer Verladungsrampe, wo den ganzen Tag über Wagen vorfahren, um Kisten u. dgl. abzuholen. Gegen die Straße sperrt ein Gitter diesen Hofraum. Vis-à-vis von unserer Wohnung ist das Einfahrtstor des Hofraumes (Fig. 2).</w:t>
      </w:r>
    </w:p>
    <w:p w:rsidR="00822836" w:rsidRPr="004B6098" w:rsidRDefault="00822836" w:rsidP="00822836">
      <w:pPr>
        <w:pStyle w:val="Sansinterligne"/>
        <w:rPr>
          <w:rFonts w:ascii="Garamond" w:hAnsi="Garamond"/>
          <w:sz w:val="20"/>
          <w:szCs w:val="20"/>
          <w:lang w:eastAsia="fr-FR"/>
        </w:rPr>
      </w:pPr>
      <w:r w:rsidRPr="004B6098">
        <w:rPr>
          <w:rFonts w:ascii="Garamond" w:hAnsi="Garamond"/>
          <w:noProof/>
          <w:sz w:val="20"/>
          <w:szCs w:val="20"/>
          <w:lang w:eastAsia="fr-FR"/>
        </w:rPr>
        <w:drawing>
          <wp:inline distT="0" distB="0" distL="0" distR="0">
            <wp:extent cx="4969510" cy="1932305"/>
            <wp:effectExtent l="19050" t="0" r="2540" b="0"/>
            <wp:docPr id="37" name="Image 1" descr="http://projekt.gutenberg.de/gutenb_load/freud/5jaehrig/v8s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jekt.gutenberg.de/gutenb_load/freud/5jaehrig/v8s044.png"/>
                    <pic:cNvPicPr>
                      <a:picLocks noChangeAspect="1" noChangeArrowheads="1"/>
                    </pic:cNvPicPr>
                  </pic:nvPicPr>
                  <pic:blipFill>
                    <a:blip r:embed="rId381" cstate="print"/>
                    <a:srcRect/>
                    <a:stretch>
                      <a:fillRect/>
                    </a:stretch>
                  </pic:blipFill>
                  <pic:spPr bwMode="auto">
                    <a:xfrm>
                      <a:off x="0" y="0"/>
                      <a:ext cx="4969510" cy="1932305"/>
                    </a:xfrm>
                    <a:prstGeom prst="rect">
                      <a:avLst/>
                    </a:prstGeom>
                    <a:noFill/>
                    <a:ln w="9525">
                      <a:noFill/>
                      <a:miter lim="800000"/>
                      <a:headEnd/>
                      <a:tailEnd/>
                    </a:ln>
                  </pic:spPr>
                </pic:pic>
              </a:graphicData>
            </a:graphic>
          </wp:inline>
        </w:drawing>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Fig. 2</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bemerke schon seit einigen Tagen, daß Hans sich besonders fürchtet, wenn Wagen aus dem Hofe heraus- oder hineinfahren, wobei sie eine Schwenkung machen müssen. Ich habe seinerzeit gefragt, warum er sich so fürchtet, worauf er sagt: » </w:t>
      </w:r>
      <w:r w:rsidRPr="004B6098">
        <w:rPr>
          <w:rFonts w:ascii="Garamond" w:hAnsi="Garamond"/>
          <w:i/>
          <w:iCs/>
          <w:sz w:val="20"/>
          <w:szCs w:val="20"/>
          <w:lang w:val="en-US" w:eastAsia="fr-FR"/>
        </w:rPr>
        <w:t>Ich fürcht' mich, daß die Pferdeumfallen, wenn der Wagen umwendet</w:t>
      </w:r>
      <w:r w:rsidRPr="004B6098">
        <w:rPr>
          <w:rFonts w:ascii="Garamond" w:hAnsi="Garamond"/>
          <w:sz w:val="20"/>
          <w:szCs w:val="20"/>
          <w:lang w:val="en-US" w:eastAsia="fr-FR"/>
        </w:rPr>
        <w:t xml:space="preserve"> (A).« Ebensosehr fürchtet er sich, wenn Wagen, die bei der Verladungsrampe stehen, sich plötzlich in Bewegung setzen, um fortzufahren (B). Er fürchtet sich ferner (C) vor großen Lastpferden mehr als vor kleinen Pferden, vor bäuerischen Pferden mehr als vor eleganten (wie z. B. Fiaker-)Pferden. Auch fürchtet er sich mehr, wenn ein Wagen schnell vorüberfährt (D), als wenn die Pferde langsam dahertrotten. Diese Differenzierungen sind natürlich erst in den letzten Tagen deutlich hervorgetreten.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möchte sagen, infolge der Analyse hat nicht nur der Patient, sondern auch seine Phobie mehr Courage bekommen und wagt es, sich zu zeigen.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5. April kommt Hans wieder ins Schlafzimmer und wird in sein Bett zurückgeschickt. Ich sage ihm: »Solange du früh ins Zimmer kommst, wird die Pferdeangst nicht besser werden.« Er trotzt aber und antwortet: »Ich werde doch kommen, auch wenn ich mich fürchte.« Er will sich also den Besuch bei der Mama nicht verbieten lassen.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Nach dem Frühstück sollen wir hinuntergehen. Hans freut sich sehr darauf und plant, anstatt wie gewöhnlich vor dem Haustore zu bleiben, über die Gasse in den Hofraum zu gehen, wo er oft genug Gassenbuben spielen sah. Ich sage ihm, es werde mich freuen, wenn er hinübergehen werde, und benütze die Gelegenheit, um zu fragen, weshalb er sich so fürchte, wenn die beladenen Wagen sich an der Verladungsrampe in Bewegung setzen (B).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Hans: »Ich fürcht' mich, wenn ich am Wagen steh' und der Wagen geschwind wegfährt, und ich steh' drauf und ich will dort auf das Brett gehen (die Verladungsrampe) und ich fahre mit dem Wagen weg.«</w:t>
      </w:r>
    </w:p>
    <w:p w:rsidR="00822836" w:rsidRPr="004B6098" w:rsidRDefault="00822836" w:rsidP="00822836">
      <w:pPr>
        <w:pStyle w:val="Sansinterligne"/>
        <w:rPr>
          <w:rFonts w:ascii="Garamond" w:hAnsi="Garamond"/>
          <w:sz w:val="20"/>
          <w:szCs w:val="20"/>
          <w:lang w:eastAsia="fr-FR"/>
        </w:rPr>
      </w:pPr>
      <w:r w:rsidRPr="004B6098">
        <w:rPr>
          <w:rFonts w:ascii="Garamond" w:hAnsi="Garamond"/>
          <w:noProof/>
          <w:sz w:val="20"/>
          <w:szCs w:val="20"/>
          <w:lang w:eastAsia="fr-FR"/>
        </w:rPr>
        <w:drawing>
          <wp:inline distT="0" distB="0" distL="0" distR="0">
            <wp:extent cx="4007485" cy="1415415"/>
            <wp:effectExtent l="19050" t="0" r="0" b="0"/>
            <wp:docPr id="38" name="Image 2" descr="http://projekt.gutenberg.de/gutenb_load/freud/5jaehrig/v8s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jekt.gutenberg.de/gutenb_load/freud/5jaehrig/v8s045.png"/>
                    <pic:cNvPicPr>
                      <a:picLocks noChangeAspect="1" noChangeArrowheads="1"/>
                    </pic:cNvPicPr>
                  </pic:nvPicPr>
                  <pic:blipFill>
                    <a:blip r:embed="rId382" cstate="print"/>
                    <a:srcRect/>
                    <a:stretch>
                      <a:fillRect/>
                    </a:stretch>
                  </pic:blipFill>
                  <pic:spPr bwMode="auto">
                    <a:xfrm>
                      <a:off x="0" y="0"/>
                      <a:ext cx="4007485" cy="1415415"/>
                    </a:xfrm>
                    <a:prstGeom prst="rect">
                      <a:avLst/>
                    </a:prstGeom>
                    <a:noFill/>
                    <a:ln w="9525">
                      <a:noFill/>
                      <a:miter lim="800000"/>
                      <a:headEnd/>
                      <a:tailEnd/>
                    </a:ln>
                  </pic:spPr>
                </pic:pic>
              </a:graphicData>
            </a:graphic>
          </wp:inline>
        </w:drawing>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Fig. 3</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»Und wenn der Wagen steht? </w:t>
      </w:r>
      <w:r w:rsidRPr="004B6098">
        <w:rPr>
          <w:rFonts w:ascii="Garamond" w:hAnsi="Garamond"/>
          <w:sz w:val="20"/>
          <w:szCs w:val="20"/>
          <w:lang w:eastAsia="fr-FR"/>
        </w:rPr>
        <w:t xml:space="preserve">Dann fürchtest du dich nicht? </w:t>
      </w:r>
      <w:r w:rsidRPr="004B6098">
        <w:rPr>
          <w:rFonts w:ascii="Garamond" w:hAnsi="Garamond"/>
          <w:sz w:val="20"/>
          <w:szCs w:val="20"/>
          <w:lang w:val="en-US" w:eastAsia="fr-FR"/>
        </w:rPr>
        <w:t>Weshalb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»Wenn der Wagen steht, geh' ich geschwind auf den Wagen und geh' auf das Brett.«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plant also, über einen Wagen auf die Verladungsrampe zu klettern und fürchtet sich, daß der Wagen davonfährt, wenn er auf dem Wagen oben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»Fürchtest du dich vielleicht, daß du nicht mehr nach Hause kommst, wenn du mit dem Wagen davonfährst?«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nein; ich kann ja immer noch zur Mama kommen, mit dem Wagen oder mit einem Fiaker. Ich kann ihm ja auch die Hausnummer sagen.«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»Also weshalb fürchtest du dich eigentlich?«</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Hans: »Das weiß ich nicht, der Professor wird's aber wissen. </w:t>
      </w:r>
      <w:r w:rsidRPr="004B6098">
        <w:rPr>
          <w:rFonts w:ascii="Garamond" w:hAnsi="Garamond"/>
          <w:sz w:val="20"/>
          <w:szCs w:val="20"/>
          <w:lang w:eastAsia="fr-FR"/>
        </w:rPr>
        <w:t>Glaubst du, daß er es wissen wird?«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willst du eigentlich hinüber aufs Brett?«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»Weil ich noch nie drüben war, und da hab' ich so gern wollen dort sein, und weißt du, warum ich hab' wollen hingehen? Weil ich hab' wollen Gepäck aufladen und einladen und auf dem Gepäcke dort hab' ich wollen herumklettern. Da mag ich so gerne herumklettern. Weißt du, von wem ich das Herumklettern gelernt habe? Buben haben auf dem Gepäcke geklettert und das hab' ich auch gesehen und das will ich auch machen.«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Sein Wunsch ging nicht in Erfüllung, denn wenn Hans sich auch wieder vors Haustor getraute, die wenigen Schritte über die Gasse in den Hofraum wecken in ihm zu große Widerstände, weil im Hofe fortwährend Wagen fahren.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Der Professor weiß auch nur, daß dieses beabsichtigte Spiel Hansens mit den beladenen Wagen in eine symbolische, ersetzende Beziehung zu einem andern Wunsche geraten sein muß, von dem er noch nichts geäußert hat. Aber dieser Wunsch ließe sich, wenn es nicht zu kühn schiene, schon jetzt konstruieren.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Nachmittags gehen wir wieder vors Haustor, und zurückgekehrt frage ich Hans: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»Vor welchen Pferden fürchtest du dich eigentlich am meisten?«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»Vor allen.«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ist nicht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»Am meisten fürcht' ich mich vor den Pferden, die am Munde so etwas haben.«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»Was meinst du? Das Eisen, das sie im Munde haben?«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»Nein, sie haben etwas Schwarzes am Munde (deckt seinen Mund mit der Hand zu).«</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»Was, vielleicht einen Schnurrbart?«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(lacht): »O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»Haben das alle?«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nur einige.«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ist das, was sie am Munde haben?«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»So etwas Schwarzes.« – Ich glaube, es ist in der Realität das dicke Riemenzeug der Lastpferde über der Schnauze.</w:t>
      </w:r>
    </w:p>
    <w:p w:rsidR="00822836" w:rsidRPr="004B6098" w:rsidRDefault="00B437A1" w:rsidP="00822836">
      <w:pPr>
        <w:pStyle w:val="Sansinterligne"/>
        <w:rPr>
          <w:rFonts w:ascii="Garamond" w:hAnsi="Garamond"/>
          <w:sz w:val="20"/>
          <w:szCs w:val="20"/>
          <w:lang w:eastAsia="fr-FR"/>
        </w:rPr>
      </w:pPr>
      <w:r w:rsidRPr="00B437A1">
        <w:rPr>
          <w:rFonts w:ascii="Garamond" w:hAnsi="Garamond"/>
          <w:sz w:val="20"/>
          <w:szCs w:val="20"/>
          <w:lang w:eastAsia="fr-FR"/>
        </w:rPr>
        <w:pict>
          <v:shape id="_x0000_i1027" type="#_x0000_t75" alt="" style="width:24.2pt;height:24.2pt"/>
        </w:pic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Fig. 4</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»Auch vor einem Möbelwagen fürcht' ich mich am meisten.«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glaub', wenn die Möbelpferde einen schweren Wagen ziehen, fallen sie 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»Bei einem kleinen Wagen fürchtest du dich also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bei einem kleinen Wagen und einem Postwagen fürcht' ich mich nicht. Auch wenn ein Stellwagen kommt, fürcht' ich mich am meisten.«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weil er so groß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weil einmal bei so einem Wagen ein Pferd umgefallen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»Einmal, wie ich mit der Mammi gegangen bin trotz der ›Dummheit‹, wie ich die Weste gekauft hab'.«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(Dies wird nachträglich von der Mutter bestätigt.)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hast du dir gedacht, wie das Pferd umgefallen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t xml:space="preserve">Hans: »Das wird jetzt immer sein. </w:t>
      </w:r>
      <w:r w:rsidRPr="004B6098">
        <w:rPr>
          <w:rFonts w:ascii="Garamond" w:hAnsi="Garamond"/>
          <w:sz w:val="20"/>
          <w:szCs w:val="20"/>
          <w:lang w:val="en-US" w:eastAsia="fr-FR"/>
        </w:rPr>
        <w:t>Alle Pferde werden beim Stellwagen umfallen.«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Ich: »Bei jedem Stellwagen?«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Und auch beim Möbelwagen. Beim Möbelwagen nicht so oft.«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hast damals die Dummheit schon gehabt?«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ich hab' sie erst gekriegt. Wie das Pferd vom Stellwagen umgefallen ist, hab' ich mich so sehr erschrocken, wirklich! Wie ich gegangen bin, hab' ich sie gekriegt.«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»Die Dummheit war doch, daß du dir gedacht hast, ein Pferd wird dich beißen, und jetzt sagst du, du hast dich gefürchtet, daß ein Pferd umfallen wird.«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»Umfallen und beißen wird.« </w:t>
      </w:r>
      <w:hyperlink r:id="rId1071" w:history="1">
        <w:r w:rsidRPr="004B6098">
          <w:rPr>
            <w:rFonts w:ascii="Garamond" w:hAnsi="Garamond"/>
            <w:color w:val="0000FF"/>
            <w:sz w:val="20"/>
            <w:szCs w:val="20"/>
            <w:u w:val="single"/>
            <w:lang w:val="en-US" w:eastAsia="fr-FR"/>
          </w:rPr>
          <w:t>[Fußnote]Hans hat recht, so unwahrscheinlich diese Vereinigung auch klingt. Der Zusammenhang ist nämlich, wie sich zeigen wird, daß das Pferd (der Vater) ihn beißen werde wegen seines Wunsches, daß es (der Vater) umfallen möge.</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bist du so erschrocken?«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»Weil das Pferd mit den Füßen so gemacht hat (legt sich auf die Erde hin und macht mir das Zappeln vor). Ich hab' mich erschrocken, </w:t>
      </w:r>
      <w:r w:rsidRPr="004B6098">
        <w:rPr>
          <w:rFonts w:ascii="Garamond" w:hAnsi="Garamond"/>
          <w:i/>
          <w:iCs/>
          <w:sz w:val="20"/>
          <w:szCs w:val="20"/>
          <w:lang w:val="en-US" w:eastAsia="fr-FR"/>
        </w:rPr>
        <w:t>weil es einen ›Krawall‹ gemacht hat mit den Füßen</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warst du damals mit der Mammi?«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»Zuerst am Eislaufplatze, dann im Kaffeehause, dann eine Weste kaufen, dann beim Zuckerbäcker mit der Mammi und dann nach Hause am Abend; da sind wir durch den Stadtpark durchgegangen.«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alles wird von meiner Frau bestätigt, auch daß unmittelbar nachher die Angst ausgebrochen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 das Pferd tot, wie es umgefallen ist?«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»Ja!«</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»Woher weißt du das?«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»Weil ich's gesehen hab' (lacht). Nein, es war gar nicht tot.«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»Vielleicht hast du dir gedacht, daß es tot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gewiß nicht. Ich hab's nur im Spaße gesagt.« (Seine Miene war aber damals ernst.)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 er müde ist, lasse ich ihn laufen. Er erzählt mir nur noch, daß er sich zuerst vor Stellwagenpferden, dann vor allen anderen und zuletzt erst vor Möbelwagenpferden gefürchtet habe.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Auf dem Rückwege nach Lainz noch einige Fragen: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das Stellwagenpferd gefallen ist, was für Farbe hat es gehabt? Weiß, rot, braun, grau?«</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»Schwarz, beide Pferde waren schwarz.«</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 es groß oder klein?«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»Groß.«</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»Dick oder dünn?«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»Dick, sehr groß und dick.«</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wie das Pferd gefallen ist, an den Vatti gedacht?«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»Vielleicht. Ja. Es ist möglich.«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t xml:space="preserve">Der Vater mag an manchen Stellen ohne Erfolg geforscht haben; aber es schadet nichts, eine solche Phobie, die man gerne nach ihrem neuen Objekte benennen möchte, aus der Nähe kennenzulernen. Wir erfahren so, wie diffus sie eigentlich ist. Sie geht auf Pferde und auf Wagen, darauf, daß Pferde fallen, und daß sie beißen, auf Pferde besonderer Beschaffenheit, auf Wagen, die schwer beladen sind. Verraten wir gleich, daß alle diese Eigentümlichkeiten daher rühren, daß die Angst ursprünglich gar nicht den Pferden galt, sondern sekundär auf sie transponiert wurde und sich nun an den Stellen des Pferdekomplexes fixierte, die sich zu gewissen Übertragungen geeignet zeigten. Ein wesentliches Ergebnis der Inquisition des Vaters müssen wir besonders anerkennen. Wir haben den aktuellen Anlaß erfahren, nach welchem die Phobie ausbrach. </w:t>
      </w:r>
      <w:r w:rsidRPr="004B6098">
        <w:rPr>
          <w:rFonts w:ascii="Garamond" w:hAnsi="Garamond"/>
          <w:sz w:val="20"/>
          <w:szCs w:val="20"/>
          <w:lang w:val="en-US" w:eastAsia="fr-FR"/>
        </w:rPr>
        <w:t>Dies war, als der Knabe ein großes schweres Pferd fallen sah, und wenigstens eine der Deutungen dieses Eindruckes scheint die vom Vater betonte zu sein, daß Hans damals den Wunsch verspürte, der Vater möge so fallen – und tot sein. Die ernste Miene bei der Erzählung galt wohl diesem unbewußten Sinne. Ob nicht noch anderer Sinn sich dahinter verbirgt? Und was soll das Krawallmachen mit den Beinen bedeuten?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spielt seit einiger Zeit im Zimmer Pferd, rennt herum, fällt nieder, zappelt mit den Füßen, wiehert. Einmal bindet er sich ein Sackerl wie einen Futtersack um. Wiederholt läuft er auf mich zu und beißt mich.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akzeptiert so die letzten Deutungen entschiedener, als er es mit Worten kann, natürlich aber mit Rollenvertauschung, da das Spiel im Dienste einer Wunschphantasie steht. Also er ist das Pferd, er beißt den Vater, übrigens identifiziert er sich dabei mit dem Vater.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Seit zwei Tagen bemerke ich, daß Hans sich in entschiedenster Weise gegen mich auflehnt, nicht frech, sondern ganz lustig. Ist es, weil er sich vor mir, dem Pferde, nicht mehr fürchtet?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6. April. Am Nachmittage mit Hans vor dem Hause. Ich frage ihn bei allen Pferden, ob er bei ihnen das »Schwarze am Munde« sieht: er verneint es bei allen. Ich frage ihn, wie das Schwarze eigentlich ausschaut; er sagt, es ist schwarzes Eisen. Meine erste Vermutung, er meine die dicken Lederriemen des Geschirres bei den Lastpferden, bestätigt sich also nicht. Ich frage, ob das »Schwarze« an einen Schnurrbart erinnert; er sagt: nur durch die Farbe. Was es in Wirklichkeit ist, weiß ich bis jetzt also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Die Furcht ist geringer; er wagt sich diesmal schon bis zum Nachbarhause, kehrt aber schnell um, wenn er in der Ferne Pferdetraben hört. Als ein Wagen bei unserem Haustore vorfährt und hält, gerät er in Angst und läuft ins Haus, da das Pferd mit dem Fuße scharrt. Ich frage ihn, weshalb er sich fürchte, ob er sich vielleicht ängstige, weil es </w:t>
      </w:r>
      <w:r w:rsidRPr="004B6098">
        <w:rPr>
          <w:rFonts w:ascii="Garamond" w:hAnsi="Garamond"/>
          <w:sz w:val="20"/>
          <w:szCs w:val="20"/>
          <w:lang w:val="en-US" w:eastAsia="fr-FR"/>
        </w:rPr>
        <w:lastRenderedPageBreak/>
        <w:t>so gemacht habe (stampfe mit dem Fuße auf). Er sagt: »Mach' doch keinen solchen Krawall mit den Füßen!« Vergleiche dazu die Äußerung über das gefallene Stellwagenpferd.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Besonders schreckt ihn das Vorüberfahren eines Möbelwagens. Er läuft dann ins Hausinnere. Ich frage ihn gleichgültig: »Sieht so ein Möbelwagen eigentlich nicht wie ein Stellwagen aus?« Er sagt nichts. Ich wiederhole die Frage. Er sagt dann: »Na natürlich, sonst würde ich mich nicht so vor einem Möbelwagen fürchten.«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7. April. Heute frage ich wieder, wie das »Schwarze am Munde« der Pferde aussieht. Hans sagt: wie ein Maulkorb. Das Merkwürdigste ist, daß seit 3 Tagen kein Pferd vorüberkommt, an dem er diesen »Maulkorb« konstatieren kann; ich selbst habe bei keinem Spaziergange ein solches Pferd gesehen, obzwar Hans beteuert, daß es solche gebe. Ich vermute, daß ihn wirklich eine Art von Kopfzäumung der Pferde – das dicke Riemenzeug um den Mund etwa – an einen Schnurrbart erinnert hat und daß mit meiner Andeutung </w:t>
      </w:r>
      <w:r w:rsidRPr="004B6098">
        <w:rPr>
          <w:rFonts w:ascii="Garamond" w:hAnsi="Garamond"/>
          <w:i/>
          <w:iCs/>
          <w:sz w:val="20"/>
          <w:szCs w:val="20"/>
          <w:lang w:val="en-US" w:eastAsia="fr-FR"/>
        </w:rPr>
        <w:t>auch</w:t>
      </w:r>
      <w:r w:rsidRPr="004B6098">
        <w:rPr>
          <w:rFonts w:ascii="Garamond" w:hAnsi="Garamond"/>
          <w:sz w:val="20"/>
          <w:szCs w:val="20"/>
          <w:lang w:val="en-US" w:eastAsia="fr-FR"/>
        </w:rPr>
        <w:t xml:space="preserve"> diese Furcht verschwunden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 Besserung Hansens ist konstant, der Radius seines Aktionskreises mit dem Haustore als Zentrum größer; er unternimmt sogar das für ihn bisher unmögliche Kunststück, aufs Trottoir vis-à-vis hinüberzulaufen. Alle Furcht, die übrig ist, hängt mit der Stellwagenszene zusammen, deren Sinn mir allerdings noch nicht klar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9. April. Heute früh kommt Hans dazu, wie ich mich mit entblößtem Oberkörper wasche.</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»Vatti, du bist aber schön, so weiß!«</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»Nicht wahr, wie ein weißes Pferd.«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»Nur der Schnurrbart ist schwarz (fortfahrend). Oder ist es vielleicht der schwarze Maulkorb?«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erzähle ihm dann, daß ich am Abende vorher beim Professor war, und sage: »Der will einiges wissen«, worauf Hans: »Da bin ich aber neugierig.«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sage ihm, ich weiß, bei welcher Gelegenheit er mit den Füßen Krawall macht. Er unterbricht mich: »Nicht wahr, wenn ich einen ›Zurn‹ habe oder wenn ich </w:t>
      </w:r>
      <w:r w:rsidRPr="004B6098">
        <w:rPr>
          <w:rFonts w:ascii="Garamond" w:hAnsi="Garamond"/>
          <w:i/>
          <w:iCs/>
          <w:sz w:val="20"/>
          <w:szCs w:val="20"/>
          <w:lang w:val="en-US" w:eastAsia="fr-FR"/>
        </w:rPr>
        <w:t>Lumpf</w:t>
      </w:r>
      <w:r w:rsidRPr="004B6098">
        <w:rPr>
          <w:rFonts w:ascii="Garamond" w:hAnsi="Garamond"/>
          <w:sz w:val="20"/>
          <w:szCs w:val="20"/>
          <w:lang w:val="en-US" w:eastAsia="fr-FR"/>
        </w:rPr>
        <w:t xml:space="preserve"> machen soll und lieber spielen will.« (Im Zorne hat er allerdings die Gewohnheit, mit den Füßen Krawall zu machen, d. h.: aufzustampfen. – »Lumpf machen« bedeutet auf die große Seite gehen. Als Hans klein war, sagte er eines Tages, vom Topfe aufstehend: »Schau den Lumpf«. [Er meinte: Strumpf wegen der Form und der Farbe.] Diese Bezeichnung ist geblieben bis heute. – In ganz frühen Zeiten, wenn er auf den Topf gesetzt werden sollte und sich weigerte, das Spiel stehenzulassen, stampfte er wütend mit den Füßen auf, zappelte und warf sich eventuell auch auf den Boden.)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»Du zappelst auch mit den Füßen, wenn du Wiwi machen sollst und nicht gehen willst, weil du lieber spielen möchtest.«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»Du, ich muß Wiwi machen« – und geht hinaus, wohl als Bestätigung.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Der Vater hatte bei seinem Besuche die Frage an mich gerichtet, woran wohl das Zappeln mit den Füßen beim gefallenen Pferde Hans erinnert haben möchte, und ich hatte vorgebracht, daß dies wohl seine eigene Reaktion bei zurückgehaltenem Harndrange gewesen sein könnte. Das bestätigt nun Hans durch das Wiederauftreten des Harndranges im Gespräche und fügt noch andere Bedeutungen des Krawallmachens mit den Füßen hinzu.</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Dann gehen wir vors Haustor. Er sagt mir, als ein Kohlenwagen kommt: »Du, vor einem Kohlenwagen fürchte ich mich auch stark.« Ich: »Vielleicht, weil er auch so groß ist wie ein Stellwagen.« Hans: »Ja, und weil er so schwer beladen ist und die Pferde haben soviel zu ziehen und können leicht fallen. Wenn ein Wagen leer ist, fürcht' ich mich nicht.« Tatsächlich versetzt ihn, wie schon früher konstatiert, nur Schwerfuhrwerk in Angst.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Bei alledem ist die Situation recht undurchsichtig. Die Analyse macht wenig Fortschritte; ihre Darstellung, fürchte ich, wird dem Leser bald langweilig werden. Indes, es gibt in jeder Psychoanalyse solche dunklen Zeiten. Hans begibt sich jetzt bald auf ein von uns nicht in Erwartung gezogenes Gebiet.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komme nach Hause und spreche mit meiner Frau, die verschiedene Einkäufe gemacht hat und sie mir zeigt. Darunter ist eine gelbe Unterhose. Hans sagt einige Male: »Pfui!«, wirft sich auf die Erde und spuckt aus. Meine Frau sagt, er habe das schon einige Male getan, sowie er die Hose gesehen habe. Ich frage: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»Warum sagst du Pfui?«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»Wegen der Hose.«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wegen der Farbe, weil sie gelb ist und an Wiwi oder an Lumpf erinnert?«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»Lumpf ist ja nicht gelb, er ist weiß oder schwarz.« – Unmittelbar darauf: »Du, macht man leicht Lumpf, wenn man Käse ißt?« (Das hatte ich einmal gesagt, als er mich fragte, wozu ich Käse esse.)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»Deshalb gehst du immer früh gleich Lumpf machen? Ich möchte so gerne Käse auf Butterbrot essen.«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Gestern schon fragte er mich, als er auf der Gasse herumsprang: »Du, nicht wahr, wenn man soviel herumspringt, macht man leicht Lumpf?« – Seit jeher macht sein Stuhlgang Schwierigkeiten, Kindermeth und Klystiere werden häufig gebraucht. Einmal war seine habituelle Verstopfung so stark, daß meine Frau Dr. L. um Rat fragte. Dieser meinte, Hans werde überfüttert, was ja auch stimmte, und empfahl mäßigere Kost, was den Zustand auch sofort behob. In der letzten Zeit trat Verstopfung wieder häufiger auf.</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Nach dem Essen sage ich: »Wir werden dem Professor wieder schreiben«, und er diktierte mir: »Wie ich die gelbe Hose gesehen habe, habe ich gesagt: Pfui, da spei' ich, hab' mich niedergeworfen, hab' die Augen zugemacht und hab' nicht geschaut.«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»Weil ich die gelbe Hose gesehen habe, und bei der schwarzen Hose </w:t>
      </w:r>
      <w:hyperlink r:id="rId1072" w:history="1">
        <w:r w:rsidRPr="004B6098">
          <w:rPr>
            <w:rFonts w:ascii="Garamond" w:hAnsi="Garamond"/>
            <w:color w:val="0000FF"/>
            <w:sz w:val="20"/>
            <w:szCs w:val="20"/>
            <w:u w:val="single"/>
            <w:lang w:val="en-US" w:eastAsia="fr-FR"/>
          </w:rPr>
          <w:t>[Fußnote]Meine Frau ist seit einigen Wochen im Besitze einer schwarzen Reformhose für Radfahrpartien. [Anmerkung des Vaters.]</w:t>
        </w:r>
      </w:hyperlink>
      <w:r w:rsidRPr="004B6098">
        <w:rPr>
          <w:rFonts w:ascii="Garamond" w:hAnsi="Garamond"/>
          <w:sz w:val="20"/>
          <w:szCs w:val="20"/>
          <w:lang w:val="en-US" w:eastAsia="fr-FR"/>
        </w:rPr>
        <w:t xml:space="preserve"> habe ich auch so </w:t>
      </w:r>
      <w:r w:rsidRPr="004B6098">
        <w:rPr>
          <w:rFonts w:ascii="Garamond" w:hAnsi="Garamond"/>
          <w:sz w:val="20"/>
          <w:szCs w:val="20"/>
          <w:lang w:val="en-US" w:eastAsia="fr-FR"/>
        </w:rPr>
        <w:lastRenderedPageBreak/>
        <w:t>etwas gemacht. Die schwarze ist auch so eine Hose, nur schwarz war sie.« (Sich unterbrechend.) »Du, ich bin froh; wenn ich dem Professor schreiben kann, bin ich immer so froh.«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hast du Pfui gesagt? Hast du dich geekelt?«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weil ich das gesehen hab'. Ich hab' geglaubt, ich muß Lumpf machen.«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weiß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»Wann hast du die schwarze Hose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»Einmal, wie die Anna (unser Mädchen) längst da war – bei der Mama – sie hat sie erst vom Kaufen nach Hause gebracht.« (Diese Angabe wird von meiner Frau bestätigt.)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dich auch geekelt?«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»Hast du die </w:t>
      </w:r>
      <w:r w:rsidRPr="004B6098">
        <w:rPr>
          <w:rFonts w:ascii="Garamond" w:hAnsi="Garamond"/>
          <w:i/>
          <w:iCs/>
          <w:sz w:val="20"/>
          <w:szCs w:val="20"/>
          <w:lang w:val="en-US" w:eastAsia="fr-FR"/>
        </w:rPr>
        <w:t>Mammi</w:t>
      </w:r>
      <w:r w:rsidRPr="004B6098">
        <w:rPr>
          <w:rFonts w:ascii="Garamond" w:hAnsi="Garamond"/>
          <w:sz w:val="20"/>
          <w:szCs w:val="20"/>
          <w:lang w:val="en-US" w:eastAsia="fr-FR"/>
        </w:rPr>
        <w:t xml:space="preserve"> in einer solchen Hose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»Wenn sie sich angezogen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»Die gelbe hab' ich schon einmal gesehen, wie sie sie gekauft hat. (Widerspruch! Wie die Mama die gelbe gekauft hat, hat er sie zum erstenmal gesehen.) Die schwarze hat sie heute auch an (richtig!), weil ich gesehen hab', wie sie in der Früh' sie sich ausgezogen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In der Früh' hat sie sich die schwarze Hose ausgezogen?«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»In der Früh', wie sie weggegangen ist, hat sie sich die schwarze Hose ausgezogen, und wie sie gekommen ist, hat sie sich noch einmal die schwarze angezogen.«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frage meine Frau, weil mir dies unsinnig vorkommt. Sie sagt auch, das ist gar nicht wahr; sie hat beim Weggehen natürlich nicht die Hose gewechselt.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frage Hans sofort: »Du hast doch erzählt, die Mammi hat sich eine schwarze Hose angezogen, und wie sie weggegangen ist, hat sie sie ausgezogen, und wie sie gekommen ist, hat sie sie noch einmal angezogen. Die Mammi sagt aber, das ist nicht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»Mir scheint, ich hab' vielleicht vergessen, daß sie sie nicht ausgezogen hat. (Unwillig.) Laß' mich endlich in Ruh'.«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Zur Erläuterung dieser Hosengeschichte bemerke ich nun: Hans heuchelt offenbar, wenn er sich so froh stellt, daß er nun über diese Angelegenheit Rede stehen darf. Am Ende wirft er die Maske ab und wird grob gegen seinen Vater. Es handelt sich um Dinge, die ihm früher </w:t>
      </w:r>
      <w:r w:rsidRPr="004B6098">
        <w:rPr>
          <w:rFonts w:ascii="Garamond" w:hAnsi="Garamond"/>
          <w:i/>
          <w:iCs/>
          <w:sz w:val="20"/>
          <w:szCs w:val="20"/>
          <w:lang w:val="en-US" w:eastAsia="fr-FR"/>
        </w:rPr>
        <w:t>viel Lust</w:t>
      </w:r>
      <w:r w:rsidRPr="004B6098">
        <w:rPr>
          <w:rFonts w:ascii="Garamond" w:hAnsi="Garamond"/>
          <w:sz w:val="20"/>
          <w:szCs w:val="20"/>
          <w:lang w:val="en-US" w:eastAsia="fr-FR"/>
        </w:rPr>
        <w:t xml:space="preserve"> bereitet haben und deren er sich jetzt nach eingetretener Verdrängung sehr schämt, zu ekeln vorgibt. Er lügt geradezu, um dem beobachteten Hosenwechsel der Mama andere Veranlassungen unterzuschieben; in Wirklichkeit gehört das An- und Ausziehen der Hose in den »Lumpf«-Zusammenhang. Der Vater weiß genau, worauf es hier ankommt und was Hans verbergen will.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frage meine Frau, ob Hans öfter dabei war, wenn sie sich aufs Klosett begab. Sie sagt: Ja, oft, er »penzt« so lange, bis sie es ihm erlaubt; das täten alle Kinder.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Wir wollen uns aber die heute bereits verdrängte Lust, die Mama beim Lumpfmachen zu sehen, gut merken.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Wir gehen vors Haus. Er ist sehr lustig, und wie er fortwährend gleichsam als Pferd herumhopst, frage ich: »Du, wer ist eigentlich ein Stellwagenpferd? Ich, du oder die Mammi?«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(sofort): »Ich, ich bin ein junges Pferd.«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Als er in der stärksten Angstzeit Pferde springen sah, Angst hatte und mich fragte, warum sie das täten, sagte ich, um ihn zu beruhigen: »Weißt du, das sind junge Pferde, die springen halt wie die jungen Buben. Du springst ja auch und bist ein Bub.« Seither, wenn er Pferde springen sieht, sagt er: »Das ist wahr, das sind junge Pferde!«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Auf der Treppe frage ich beim Heraufgehen fast gedankenlos: »Hast du in Gmunden mit den Kindern Pferdl gespielt?«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(Nachdenklich.) Mir scheint, da hab' ich die Dummheit gekriegt.«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»Wer war das Pferdl?«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»Ich, und die Berta war der Kutscher.«</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»Bist du vielleicht gefallen, wie du Pferdl warst?«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»Nein! Wenn die Berta gesagt hat: Hüh, bin ich schnell gelaufen, sogar gerannt.« </w:t>
      </w:r>
      <w:hyperlink r:id="rId1073" w:history="1">
        <w:r w:rsidRPr="004B6098">
          <w:rPr>
            <w:rFonts w:ascii="Garamond" w:hAnsi="Garamond"/>
            <w:color w:val="0000FF"/>
            <w:sz w:val="20"/>
            <w:szCs w:val="20"/>
            <w:u w:val="single"/>
            <w:lang w:val="en-US" w:eastAsia="fr-FR"/>
          </w:rPr>
          <w:t>[Fußnote]Er hatte auch ein Pferdchenspiel mit Glöckchen. [Anmerkung des Vaters.]</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»Stellwagen habt ihr nie gespielt?«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gewöhnlichen Wagen und Pferd ohne Wagen. Wenn das Pferd einen Wagen hat, kann es ja auch ohne Wagen gehen und der Wagen kann ja zu Hause sein.«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»Habt ihr oft Pferdl gespielt?«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»Sehr oft. Der Fritzl (wie bekannt auch ein Hausherrnkind) ist auch einmal Pferdl gewesen und der Franzl Kutscher und der Fritzl ist so stark gelaufen und auf einmal ist er auf einen Stein getreten und hat geblutet.«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»Ist er vielleicht gefallen?«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»Nein, er hat den Fuß in ein Wasser hineingegeben und dann hat er sich ein Tuch daraufgegeben.« </w:t>
      </w:r>
      <w:hyperlink r:id="rId1074" w:history="1">
        <w:r w:rsidRPr="004B6098">
          <w:rPr>
            <w:rFonts w:ascii="Garamond" w:hAnsi="Garamond"/>
            <w:color w:val="0000FF"/>
            <w:sz w:val="20"/>
            <w:szCs w:val="20"/>
            <w:u w:val="single"/>
            <w:lang w:val="en-US" w:eastAsia="fr-FR"/>
          </w:rPr>
          <w:t>[Fußnote]Siehe darüber später. Der Vater vermutet ganz richtig, daß Fritzl damals gefallen ist.</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»Warst du oft Pferd?«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da hast du die Dummheit gekriegt.«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 xml:space="preserve">Hans: »Weil sie immer gesagt haben: ›wegen dem Pferd‹ und ›wegen dem Pferd‹ (er betont das »wegen«), und so hab' ich vielleicht, weil sie so geredet haben ›wegen dem Pferd‹, hab ich vielleicht die Dummheit gekriegt.« </w:t>
      </w:r>
      <w:hyperlink r:id="rId1075" w:history="1">
        <w:r w:rsidRPr="004B6098">
          <w:rPr>
            <w:rFonts w:ascii="Garamond" w:hAnsi="Garamond"/>
            <w:color w:val="0000FF"/>
            <w:sz w:val="20"/>
            <w:szCs w:val="20"/>
            <w:u w:val="single"/>
            <w:lang w:val="en-US" w:eastAsia="fr-FR"/>
          </w:rPr>
          <w:t xml:space="preserve">[Fußnote]Ich erläutere, Hans will nicht behaupten, daß er </w:t>
        </w:r>
        <w:r w:rsidRPr="004B6098">
          <w:rPr>
            <w:rFonts w:ascii="Garamond" w:hAnsi="Garamond"/>
            <w:i/>
            <w:iCs/>
            <w:color w:val="0000FF"/>
            <w:sz w:val="20"/>
            <w:szCs w:val="20"/>
            <w:u w:val="single"/>
            <w:lang w:val="en-US" w:eastAsia="fr-FR"/>
          </w:rPr>
          <w:t>damals</w:t>
        </w:r>
        <w:r w:rsidRPr="004B6098">
          <w:rPr>
            <w:rFonts w:ascii="Garamond" w:hAnsi="Garamond"/>
            <w:color w:val="0000FF"/>
            <w:sz w:val="20"/>
            <w:szCs w:val="20"/>
            <w:u w:val="single"/>
            <w:lang w:val="en-US" w:eastAsia="fr-FR"/>
          </w:rPr>
          <w:t xml:space="preserve"> die Dummheit gekriegt hat, sondern im </w:t>
        </w:r>
        <w:r w:rsidRPr="004B6098">
          <w:rPr>
            <w:rFonts w:ascii="Garamond" w:hAnsi="Garamond"/>
            <w:i/>
            <w:iCs/>
            <w:color w:val="0000FF"/>
            <w:sz w:val="20"/>
            <w:szCs w:val="20"/>
            <w:u w:val="single"/>
            <w:lang w:val="en-US" w:eastAsia="fr-FR"/>
          </w:rPr>
          <w:t>Zusammenhange</w:t>
        </w:r>
        <w:r w:rsidRPr="004B6098">
          <w:rPr>
            <w:rFonts w:ascii="Garamond" w:hAnsi="Garamond"/>
            <w:color w:val="0000FF"/>
            <w:sz w:val="20"/>
            <w:szCs w:val="20"/>
            <w:u w:val="single"/>
            <w:lang w:val="en-US" w:eastAsia="fr-FR"/>
          </w:rPr>
          <w:t xml:space="preserve"> damit. Es muß ja wohl so zugehen, die Theorie fordert es, daß dasselbe einmal Gegenstand einer hohen Lust war, was heute das Objekt der Phobie ist. Und dann ergänze ich für ihn, was das Kind ja nicht zu sagen weiß, daß das Wörtchen » </w:t>
        </w:r>
        <w:r w:rsidRPr="004B6098">
          <w:rPr>
            <w:rFonts w:ascii="Garamond" w:hAnsi="Garamond"/>
            <w:i/>
            <w:iCs/>
            <w:color w:val="0000FF"/>
            <w:sz w:val="20"/>
            <w:szCs w:val="20"/>
            <w:u w:val="single"/>
            <w:lang w:val="en-US" w:eastAsia="fr-FR"/>
          </w:rPr>
          <w:t>wegen</w:t>
        </w:r>
        <w:r w:rsidRPr="004B6098">
          <w:rPr>
            <w:rFonts w:ascii="Garamond" w:hAnsi="Garamond"/>
            <w:color w:val="0000FF"/>
            <w:sz w:val="20"/>
            <w:szCs w:val="20"/>
            <w:u w:val="single"/>
            <w:lang w:val="en-US" w:eastAsia="fr-FR"/>
          </w:rPr>
          <w:t xml:space="preserve">« der Ausbreitung der Phobie vom Pferde auf die </w:t>
        </w:r>
        <w:r w:rsidRPr="004B6098">
          <w:rPr>
            <w:rFonts w:ascii="Garamond" w:hAnsi="Garamond"/>
            <w:i/>
            <w:iCs/>
            <w:color w:val="0000FF"/>
            <w:sz w:val="20"/>
            <w:szCs w:val="20"/>
            <w:u w:val="single"/>
            <w:lang w:val="en-US" w:eastAsia="fr-FR"/>
          </w:rPr>
          <w:t>Wagen</w:t>
        </w:r>
        <w:r w:rsidRPr="004B6098">
          <w:rPr>
            <w:rFonts w:ascii="Garamond" w:hAnsi="Garamond"/>
            <w:color w:val="0000FF"/>
            <w:sz w:val="20"/>
            <w:szCs w:val="20"/>
            <w:u w:val="single"/>
            <w:lang w:val="en-US" w:eastAsia="fr-FR"/>
          </w:rPr>
          <w:t xml:space="preserve"> (oder wie Hans zu hören und zu sprechen gewohnt ist: </w:t>
        </w:r>
        <w:r w:rsidRPr="004B6098">
          <w:rPr>
            <w:rFonts w:ascii="Garamond" w:hAnsi="Garamond"/>
            <w:i/>
            <w:iCs/>
            <w:color w:val="0000FF"/>
            <w:sz w:val="20"/>
            <w:szCs w:val="20"/>
            <w:u w:val="single"/>
            <w:lang w:val="en-US" w:eastAsia="fr-FR"/>
          </w:rPr>
          <w:t>Wägen</w:t>
        </w:r>
        <w:r w:rsidRPr="004B6098">
          <w:rPr>
            <w:rFonts w:ascii="Garamond" w:hAnsi="Garamond"/>
            <w:color w:val="0000FF"/>
            <w:sz w:val="20"/>
            <w:szCs w:val="20"/>
            <w:u w:val="single"/>
            <w:lang w:val="en-US" w:eastAsia="fr-FR"/>
          </w:rPr>
          <w:t>) den Weg eröffnet hat. Man darf nie daran vergessen, um wieviel dinglicher das Kind die Worte behandelt als der Erwachsene, wie bedeutungsvoll ihm darum Wortgleichklänge sind.</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Der Vater forscht eine Weile fruchtlos auf anderen Pfaden.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»Haben sie was erzählt vom Pferde?«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hab's vergessen.«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»Haben sie vielleicht erzählt vom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dich dort schon vor dem Pferde gefürchtet?«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nein, ich hab' mich gar nicht gefürchtet.«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»Hat vielleicht die Berta davon gesprochen, daß ein Pferd . .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(unterbrechend) »Wiwi macht?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10. April knüpfe ich an das gestrige Gespräch an und will wissen, was das »wegen dem Pferde« bedeutet habe. Hans weiß sich nicht zu erinnern, er weiß nur, daß früh mehrere Kinder vor dem Haustore gestanden sind und »wegen dem Pferde, wegen dem Pferde« gesagt haben. Er selbst war dabei. Wie ich dringender werde, erklärt er, sie hätten gar nicht »wegen dem Pferde« gesagt, er habe sich falsch erinnert.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»Ihr waret doch auch oft im Stalle, da habt ihr gewiß vom Pferde gesprochen.« – »Wir haben nicht gesprochen.« – »Wovon habt ihr gesprochen?« – »Von nichts.« – »Soviel Kinder waret ihr und ihr habt von nichts gesprochen?« – »Etwas haben wir schon gesprochen, aber nicht vom Pferde.« – »Was denn?« – »Das weiß ich jetzt nicht mehr.«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lasse das fallen, weil die Widerstände offenbar zu groß sind </w:t>
      </w:r>
      <w:hyperlink r:id="rId1076" w:history="1">
        <w:r w:rsidRPr="004B6098">
          <w:rPr>
            <w:rFonts w:ascii="Garamond" w:hAnsi="Garamond"/>
            <w:color w:val="0000FF"/>
            <w:sz w:val="20"/>
            <w:szCs w:val="20"/>
            <w:u w:val="single"/>
            <w:lang w:val="en-US" w:eastAsia="fr-FR"/>
          </w:rPr>
          <w:t>[Fußnote]Es ist da nämlich nichts anderes zu holen als die Wortanknüpfung, die dem Vater entgeht. Ein gutes Beispiel von den Bedingungen, unter denen die analytische Bemühung fehlschlägt.</w:t>
        </w:r>
      </w:hyperlink>
      <w:r w:rsidRPr="004B6098">
        <w:rPr>
          <w:rFonts w:ascii="Garamond" w:hAnsi="Garamond"/>
          <w:sz w:val="20"/>
          <w:szCs w:val="20"/>
          <w:lang w:val="en-US" w:eastAsia="fr-FR"/>
        </w:rPr>
        <w:t>, und frage: »Mit der Berta hast du gern gespielt?«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sehr gern, mit der Olga nicht; weißt, was die Olga getan hat? Die Grete droben hat mir einmal einen Papierball geschenkt und die Olga hat ihn ganz zerrissen. Die Berta hätt' mir den Ball nie zerrissen. Mit der Berta hab' ich sehr gern gespielt.«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gesehen, wie der Wiwimacher von der Berta aussieht?«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»Nein, vom Pferde aber, weil ich immer im Stalle war, und da hab' ich vom Pferde den Wiwimacher gesehen.«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»Und da warst du neugierig, wie sieht der Wiwimacher von der Berta und von der Mammi aus?«</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Er: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erinnere ihn daran, daß er mir einmal geklagt hat, die Mäderl wollen immer zuschauen, wenn er Wiwi 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»Die Berta hat mir auch immer zugeschaut (durchaus nicht gekränkt, sondern sehr befriedigt), öfters. Wo der kleine Garten ist, wo die Rettige sind, hab' ich Wiwi gemacht, und sie ist vor dem Haustore gestanden und hat hergeschaut.«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wenn sie Wiwi gemacht hat, hast du zugeschaut?«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»Sie ist ja aufs Klosett gegangen.«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du warst neugierig?«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»Ich war ja im Klosett drinnen, wenn sie drin war.«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stimmt; die Hausleute haben es uns einmal erzählt, und ich erinnere mich, wir haben es Hans verboten.)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ihr gesagt, du willst hineingehen?«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»Ich bin allein hineingegangen und weil die Berta erlaubt hat. Es ist ja keine Schande.«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du hättest gerne den Wiwimacher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ich hab' ihn aber nicht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erinnere ihn an den Gmundner Traum: Was soll das Pfand in meiner Hand usw., und frage: Hast du in Gmunden gewünscht, daß dich die Berta Wiwi machen lassen soll?«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»Gesagt hab' ich ihr nie.«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hast du's ihr nie gesagt?«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»Weil ich nicht daran gedenkt hab'. (Sich unterbrechend.) Wenn ich alles dem Professor schreib', wird die Dummheit sehr bald vorüber sein, nicht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hast du gewünscht, daß die Berta dich Wiwi machen lassen soll?«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»Ich weiß nicht. Weil sie zugeschaut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dir gedacht, sie soll die Hand zum Wiwimacher geben?«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(Ablenkend.) In Gmunden war's sehr lustig. In dem kleinen Garten, wo die Rettige drin sind, ist ein kleiner Sandhaufen, dort spiel' ich mit der Schaufel.«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ist der Garten, wo er immer Wiwi gemacht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in Gmunden, wenn du im Bette gelegen bist, die Hand zum Wiwimacher gegeben?«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 xml:space="preserve">Er: »Nein, noch nicht. In Gmunden hab' ich so gut geschlafen, daß ich gar nicht daran gedenkt hab'. Nur in der —gasse </w:t>
      </w:r>
      <w:hyperlink r:id="rId1077" w:history="1">
        <w:r w:rsidRPr="004B6098">
          <w:rPr>
            <w:rFonts w:ascii="Garamond" w:hAnsi="Garamond"/>
            <w:color w:val="0000FF"/>
            <w:sz w:val="20"/>
            <w:szCs w:val="20"/>
            <w:u w:val="single"/>
            <w:lang w:val="en-US" w:eastAsia="fr-FR"/>
          </w:rPr>
          <w:t>[Fußnote]In der früheren Wohnung vor dem Umzuge.</w:t>
        </w:r>
      </w:hyperlink>
      <w:r w:rsidRPr="004B6098">
        <w:rPr>
          <w:rFonts w:ascii="Garamond" w:hAnsi="Garamond"/>
          <w:sz w:val="20"/>
          <w:szCs w:val="20"/>
          <w:lang w:val="en-US" w:eastAsia="fr-FR"/>
        </w:rPr>
        <w:t xml:space="preserve"> und jetzt hab ich's getan.«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»Die Berta hat aber nie die Hand zu deinem Wiwimacher gegeben?«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»Sie hat es nie getan, nein, weil ich ihr's nie gesagt hab'.«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»Wann hast du dir's denn gewünscht?«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»Einen Tag halt in Gmunden.«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»Nur einmal?«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öfters.«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»Immer wenn du Wiwi gemacht hast, hat sie hergeschaut; sie war vielleicht neugierig, wie du Wiwi machen tust.«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»Vielleicht war sie neugierig, wie mein Wiwimacher aussieht.«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warst aber auch neugierig; nur auf die Berta?«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»Auf die Berta, auf die Olga.«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»Auf wen noch?«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»Auf niemand andern.«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Ich: »Das ist ja nicht wahr. </w:t>
      </w:r>
      <w:r w:rsidRPr="004B6098">
        <w:rPr>
          <w:rFonts w:ascii="Garamond" w:hAnsi="Garamond"/>
          <w:sz w:val="20"/>
          <w:szCs w:val="20"/>
          <w:lang w:eastAsia="fr-FR"/>
        </w:rPr>
        <w:t>Auf die Mammi auch.«</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Er: »Auf die Mammi schon.«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»Jetzt bist du doch nicht mehr neugierig. Du weißt doch, wie der Wiwimacher der Hanna ausschaut?«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Er: »Er wird aber wachsen, nicht?« </w:t>
      </w:r>
      <w:hyperlink r:id="rId1078" w:history="1">
        <w:r w:rsidRPr="004B6098">
          <w:rPr>
            <w:rFonts w:ascii="Garamond" w:hAnsi="Garamond"/>
            <w:color w:val="0000FF"/>
            <w:sz w:val="20"/>
            <w:szCs w:val="20"/>
            <w:u w:val="single"/>
            <w:lang w:val="en-US" w:eastAsia="fr-FR"/>
          </w:rPr>
          <w:t>[Fußnote]Er will die Sicherheit haben, daß sein eigener Wiwimacher wachsen wird.</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»Ja gewiß, aber wann er wächst, wird er nicht ausschaun wie deiner.«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»Das weiß ich. Er wird so sein« (sc. wie er jetzt ist), »nur größer.«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»Warst du neugierig in Gmunden, wenn die Mama sich ausgezogen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auch bei der Hanna beim Baden hab ich den Wiwimacher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»Bei der Mammi auch?«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hast dich geekelt, wenn du die Hose von der Mammi gesehen hast.«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Er: »Nur wenn ich die schwarze gesehen hab', wenn sie sie gekauft hat, dann spei ich, aber wenn sie sich die Hose anzieht oder auszieht, dann spei ich nicht. </w:t>
      </w:r>
      <w:r w:rsidRPr="004B6098">
        <w:rPr>
          <w:rFonts w:ascii="Garamond" w:hAnsi="Garamond"/>
          <w:i/>
          <w:iCs/>
          <w:sz w:val="20"/>
          <w:szCs w:val="20"/>
          <w:lang w:val="en-US" w:eastAsia="fr-FR"/>
        </w:rPr>
        <w:t>Dann spei ich, weil die schwarze Hose doch schwarz ist wie ein Lumpf und die gelbe wie ein Wiwi, und da glaub' ich, ich muß Wiwi machen.</w:t>
      </w:r>
      <w:r w:rsidRPr="004B6098">
        <w:rPr>
          <w:rFonts w:ascii="Garamond" w:hAnsi="Garamond"/>
          <w:sz w:val="20"/>
          <w:szCs w:val="20"/>
          <w:lang w:val="en-US" w:eastAsia="fr-FR"/>
        </w:rPr>
        <w:t xml:space="preserve"> Wenn die Mammi die Hose trägt, dann seh' ich sie nicht, dann hat sie doch die Kleider vor.«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wenn sie sich die Kleider auszieht?«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»Dann spei ich nicht. Wenn sie aber neu ist, dann sieht sie aus wie ein Lumpf. Wenn sie alt ist, geht die Farbe herunter und sie wird schmutzig. Wenn man sie gekauft hat, ist sie ganz rein, zu Hause hat man sie schon schmutzig gemacht. Wenn sie gekauft ist, ist sie neu, und wenn sie nicht gekauft ist, ist sie alt.«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»Vor der alten ekelt dich also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Er: »Wenn sie alt ist, ist sie ja viel schwärzer als ein Lumpf, nicht wahr? Ein bissel schwärzer ist sie.« </w:t>
      </w:r>
      <w:hyperlink r:id="rId1079" w:history="1">
        <w:r w:rsidRPr="004B6098">
          <w:rPr>
            <w:rFonts w:ascii="Garamond" w:hAnsi="Garamond"/>
            <w:color w:val="0000FF"/>
            <w:sz w:val="20"/>
            <w:szCs w:val="20"/>
            <w:u w:val="single"/>
            <w:lang w:val="en-US" w:eastAsia="fr-FR"/>
          </w:rPr>
          <w:t>[Fußnote]Unser Hans ringt da mit einem Thema, das er nicht darzustellen weiß, und wir haben es schwer, ihn zu verstehen. Vielleicht meint er, daß die Hosen die Ekelerinnerung nur dann erwecken, wenn er sie für sich sieht; sobald sie am Leibe der Mutter sind, bringt er sie nicht mehr mit Lumpf oder Wiwi in Zusammenhang, dann interessieren sie ihn in anderer Weise.</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»Mit der Mammi warst du oft im Klosett?«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»Sehr oft.«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 hast du dich geekelt?«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 . .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bist gerne dabei, wenn die Mammi Wiwi oder Lumpf 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»Sehr gerne.«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so gerne?«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»Das weiß ich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»Weil du glaubst, daß du den Wiwimacher sehen wirst.«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das glaub' ich auch.«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willst du aber in Lainz nie ins Klosett gehen?«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bittet in Lainz immer, ich soll ihn nicht ins Klosett führen; er fürchtete sich einmal vor dem Lärme, den das herabstürzende Spülwasser 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»Vielleicht, weil es einen Krawall macht, wenn man herunterzieht.«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»Da fürchtest du dich.«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in unserem Klosett hier?«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»Hier nicht. In Lainz erschreck ich, wenn du herunterläßt. Wenn ich drin bin und es geht herunter, dann erschrecke ich auch.«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Um mir zu zeigen, daß er sich in unserer Wohnung nicht fürchte, fordert er mich auf, ins Klosett zu gehen und die Wasserspülung in Bewegung zu setzen. Dann erklärt er mir: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»Zuerst ist ein starker, dann ein lockerer Krawall (wenn das Wasser herabstürzt). Wenn es einen starken Krawall macht, bleib' ich lieber drin, wenn es einen schwachen macht, geh' ich lieber hinaus.«</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»Weil du dich fürchtest?«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»Weil ich immer so gerne mag einen starken Krawall sehen (korrigiert sich), hören, und da bleib' ich lieber drin, daß ich ihn fest hör'.«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»Woran erinnert dich ein starker Krawall?«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»Daß ich im Klosett Lumpf machen muß.« (Also dasselbe wie die schwarze Hose.)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»Ich weiß nicht. Ich weiß es, ein starker Krawall hört sich so an, wie wenn man Lumpf macht. Ein großer Krawall erinnert an Lumpf, ein kleiner an Wiwi (vgl. die schwarze und die gelbe Hose).«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hat das Stellwagenpferd nicht dieselbe Farbe gehabt wie ein Lumpf?« (Es war nach seiner Angabe schwarz.)</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(sehr betroffen):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muß da einige Worte einschalten. Der Vater fragt zu viel und forscht nach eigenen Vorsätzen, anstatt den Kleinen sich äußern zu lassen. Dadurch wird die Analyse undurchsichtig und unsicher. Hans geht seinen eigenen Weg und leistet nichts, wenn man ihn von diesem ablocken will. Sein Interesse ist jetzt offenbar bei Lumpf und Wiwi, wir wissen nicht, weshalb. Die Krawallgeschichte ist so wenig befriedigend aufgeklärt wie die mit der gelben und schwarzen Hose. Ich vermute, sein scharfes Ohr hat die Verschiedenheit der Geräusche, wenn ein Mann oder ein Weib uriniert, sehr wohl bemerkt. Die Analyse hat das Material aber etwas künstlich in den Gegensatz der beiden Bedürfnisse gepreßt. Dem Leser, der noch selbst keine Analyse gemacht hat, kann ich nur den Rat geben, nicht alles sogleich verstehen zu wollen, sondern allem, was kommt, eine gewisse unparteiische Aufmerksamkeit zu schenken und das Weitere abzuwarten.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11. April. Heute früh kommt Hans wieder ins Zimmer und wird, wie in allen den letzten Tagen, hinausgewiesen.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Später erzählt er: »Du, ich hab mir was gedacht: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 </w:t>
      </w:r>
      <w:r w:rsidRPr="004B6098">
        <w:rPr>
          <w:rFonts w:ascii="Garamond" w:hAnsi="Garamond"/>
          <w:i/>
          <w:iCs/>
          <w:sz w:val="20"/>
          <w:szCs w:val="20"/>
          <w:lang w:val="en-US" w:eastAsia="fr-FR"/>
        </w:rPr>
        <w:t>Ich bin in der Badewanne</w:t>
      </w:r>
      <w:hyperlink r:id="rId1080" w:history="1">
        <w:r w:rsidRPr="004B6098">
          <w:rPr>
            <w:rFonts w:ascii="Garamond" w:hAnsi="Garamond"/>
            <w:color w:val="0000FF"/>
            <w:sz w:val="20"/>
            <w:szCs w:val="20"/>
            <w:u w:val="single"/>
            <w:lang w:val="en-US" w:eastAsia="fr-FR"/>
          </w:rPr>
          <w:t>[Fußnote]Hans wird von der Mama gebadet. [Anmerkung des Vaters.]</w:t>
        </w:r>
      </w:hyperlink>
      <w:r w:rsidRPr="004B6098">
        <w:rPr>
          <w:rFonts w:ascii="Garamond" w:hAnsi="Garamond"/>
          <w:i/>
          <w:iCs/>
          <w:sz w:val="20"/>
          <w:szCs w:val="20"/>
          <w:lang w:val="en-US" w:eastAsia="fr-FR"/>
        </w:rPr>
        <w:t>, da kommt der Schlosser und schraubt sie los</w:t>
      </w:r>
      <w:hyperlink r:id="rId1081" w:history="1">
        <w:r w:rsidRPr="004B6098">
          <w:rPr>
            <w:rFonts w:ascii="Garamond" w:hAnsi="Garamond"/>
            <w:color w:val="0000FF"/>
            <w:sz w:val="20"/>
            <w:szCs w:val="20"/>
            <w:u w:val="single"/>
            <w:lang w:val="en-US" w:eastAsia="fr-FR"/>
          </w:rPr>
          <w:t>[Fußnote]Um sie in Reparatur zu nehmen. [Anmerkung des Vaters.]</w:t>
        </w:r>
      </w:hyperlink>
      <w:r w:rsidRPr="004B6098">
        <w:rPr>
          <w:rFonts w:ascii="Garamond" w:hAnsi="Garamond"/>
          <w:i/>
          <w:iCs/>
          <w:sz w:val="20"/>
          <w:szCs w:val="20"/>
          <w:lang w:val="en-US" w:eastAsia="fr-FR"/>
        </w:rPr>
        <w:t>. Da nimmt er einen großen Bohrer und stoßt mich in den Bauch.</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Der Vater übersetzt sich diese Phantasie.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bin im Bette bei der Mama. Da kommt der Papa und treibt mich weg. Mit seinem großen Penis verdrängt er mich von der Mama.«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Wir wollen unser Urteil noch aufgeschoben halten.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Ferner erzählt er etwas zweites, was er sich ausgedacht: »Wir fahren im Zuge nach Gmunden. In der Station ziehen wir die Kleider an, werden damit aber nicht fertig und der Zug fährt mit uns davon.«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Später frage ich: »Hast du schon einmal ein Pferd Lumpf machen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sehr oft.«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»Macht es einen starken Krawall beim Lumpf machen?«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»An was erinnert dich der Krawall?«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»Wie wenn der Lumpf in den Topf fällt.«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Stellwagenpferd, das umfällt und Krawall mit den Füßen macht, ist wohl – ein Lumpf, der herabfällt und dabei Geräusch macht. Die Furcht vor der Defäkation, die Furcht vor schwer beladenen Wagen ist überhaupt gleich der Furcht vor schwerbeladenem Bauche.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Auf diesen Umwegen dämmert dem Vater der richtige Sachverhalt.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11. April. Hans sagt beim Mittagessen: »Wenn wir nur in Gmunden eine Badewanne hätten, damit ich nicht in die Badeanstalt gehen muß.« Er wurde in Gmunden nämlich, um ihn warm zu baden, immer in die nahe gelegene Badeanstalt geführt, wogegen er mit heftigem Weinen zu protestieren pflegte. Auch in Wien schreit er immer, wenn er zum Baden in die große Wanne gesetzt oder gelegt wird. Er muß knieend oder stehend gebadet werden.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Diese Rede Hansens, der nun anfängt, der Analyse durch selbständige Äußerungen Nahrung zu geben, stellt die Verbindung zwischen seinen beiden letzten Phantasien (vom Schlosser, der die Badewanne abschraubt, und von der mißglückten Reise nach Gmunden) her. Der Vater hatte mit Recht aus letzterer eine Abneigung gegen Gmunden erschlossen. Übrigens wieder eine gute Mahnung daran, daß man das aus dem Unbewußten Auftauchende nicht mit Hilfe des Vorhergegangenen, sondern des Nachkommenden zu verstehen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frage ihn, ob und wovor er sich fürchtet.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»Weil ich hineinfall'.«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hast du dich aber nie gefürchtet, wenn du in der kleinen Badewanne gebadet worden bist?«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»Da bin ich ja gesessen, da hab' ich mich nicht legen können, die war ja zu klein.«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»Wenn du in Gmunden Schinakel gefahren bist, hast du dich nicht gefürchtet, daß du ins Wasser fällst?«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weil ich mich angehalten hab', und da kann ich nicht hineinfallen. Ich furcht' mich nur in der großen Badewanne, daß ich hineinfall.«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 badet dich doch die Mama. Fürchtest du dich, daß dich die Mammi ins Wasser werfen wird?«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Hans: »Daß sie die Hände weggeben wird und ich falle ins Wasser mit dem Kopf.«</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weißt doch, die Mammi hat dich lieb, sie wird doch nicht die Hände weggeben.«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hab's halt geglaubt.«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»Das weiß ich bestimmt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»Vielleicht weil du schlimm warst und du geglaubt hast, daß sie dich nicht mehr gerne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»Wenn du dabei warst, wie die Mammi die Hanna gebadet hat, hast du vielleicht gewünscht, sie soll die Hand loslassen, damit die Hanna hineinfällt?«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Wir glauben, dies hat der Vater sehr richtig erraten.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12. April. Auf der Rückfahrt von Lainz in der zweiten Klasse sagt Hans, wie er die schwarzen Lederpölster sieht: »Pfui, da spei ich, bei den schwarzen Hosen und den schwarzen Pferden spei ich auch, weil ich muß Lumpf machen.«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vielleicht bei der Mammi etwas Schwarzes gesehen, was dich erschreckt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denn?«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weiß nicht. Eine schwarze Bluse oder schwarze Strümpfe.«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»Vielleicht beim Wiwimacher schwarze Haare, wenn du neugierig warst und hingeschaut hast.«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(entschuldigend): »Aber den Wiwimacher hab' ich nicht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Als er sich wieder einmal fürchtete, wie aus dem Hoftor vis-à-vis ein Wagen fuhr, fragte ich: »Sieht dieses Tor nicht aus wie ein Podl?«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»Und die Pferde sind die Lumpfe!« Seitdem sagt er immer, wenn er einen Wagen herausfahren sieht: »Schau, ein ›Lumpfi‹ kommt.« Die Form Lumpfi ist ihm sonst ganz fremd, sie klingt wie ein Kosewort. Meine Schwägerin heißt ihr Kind immer »Wumpfi«.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13. April sieht er in der Suppe ein Stück Leber und sagt: »Pfui, ein Lumpf.« Auch faschiertes Fleisch ißt er sichtlich ungern wegen der Form und Farbe, die ihn an einen Lumpf erinnern.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Abends erzählt meine Frau, Hans sei auf dem Balkon gewesen und habe dann gesagt: »Ich hab' gedacht, die Hanna ist am Balkon gewesen und ist hinuntergefallen.« Ich hatte ihm öfter gesagt, er soll, wenn die Hanna auf dem Balkon ist, achtgeben, daß sie nicht zu nah ans Geländer kommt, das von einem sezessionistischen Schlosser höchst ungeschickt – mit großen Öffnungen, die ich erst mit einem Drahtnetz verkleinern lassen mußte – konstruiert worden ist. Der verdrängte Wunsch Hansens ist sehr durchsichtig. Die Mama fragt ihn, ob es ihm lieber wäre, wenn die Hanna nicht da wäre, was er bejaht.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14. April. Das Thema Hanna steht im Vordergrund. Er hatte, wie aus früheren Aufzeichnungen erinnerlich, gegen das neugeborene Kind, das ihm einen Teil der Liebe der Eltern raubte, eine große Aversion, die auch jetzt noch nicht ganz geschwunden und durch übergroße Zärtlichkeit nur zum Teil überkompensiert ist </w:t>
      </w:r>
      <w:hyperlink r:id="rId1082" w:history="1">
        <w:r w:rsidRPr="004B6098">
          <w:rPr>
            <w:rFonts w:ascii="Garamond" w:hAnsi="Garamond"/>
            <w:color w:val="0000FF"/>
            <w:sz w:val="20"/>
            <w:szCs w:val="20"/>
            <w:u w:val="single"/>
            <w:lang w:val="en-US" w:eastAsia="fr-FR"/>
          </w:rPr>
          <w:t>[Fußnote]Wenn das Thema »Hanna« das Thema »Lumpf« direkt ablöst, so leuchtet uns der Grund dafür endlich ein. Die Hanna ist selbst ein »Lumpf«, Kinder sind Lumpfe!</w:t>
        </w:r>
      </w:hyperlink>
      <w:r w:rsidRPr="004B6098">
        <w:rPr>
          <w:rFonts w:ascii="Garamond" w:hAnsi="Garamond"/>
          <w:sz w:val="20"/>
          <w:szCs w:val="20"/>
          <w:lang w:val="en-US" w:eastAsia="fr-FR"/>
        </w:rPr>
        <w:t xml:space="preserve">. Er äußerte sich öfter schon, der Storch solle kein Kind mehr bringen, wir sollen ihm Geld geben, daß er keines mehr </w:t>
      </w:r>
      <w:r w:rsidRPr="004B6098">
        <w:rPr>
          <w:rFonts w:ascii="Garamond" w:hAnsi="Garamond"/>
          <w:i/>
          <w:iCs/>
          <w:sz w:val="20"/>
          <w:szCs w:val="20"/>
          <w:lang w:val="en-US" w:eastAsia="fr-FR"/>
        </w:rPr>
        <w:t>aus der großen Kiste</w:t>
      </w:r>
      <w:r w:rsidRPr="004B6098">
        <w:rPr>
          <w:rFonts w:ascii="Garamond" w:hAnsi="Garamond"/>
          <w:sz w:val="20"/>
          <w:szCs w:val="20"/>
          <w:lang w:val="en-US" w:eastAsia="fr-FR"/>
        </w:rPr>
        <w:t>, worin die Kinder sind, bringe. (Vgl. die Furcht vor dem Möbelwagen. Sieht nicht ein Stellwagen wie eine große Kiste aus?) Die Hanna mache soviel Geschrei, das sei ihm lästig.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Einmal sagt er plötzlich: »Kannst du dich erinnern, wie die Hanna gekommen ist? Sie ist bei der Mammi im Bette gelegen, so lieb und brav.« (Dieses Lob hat verdächtig falsch geklungen!)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Dann unten vor dem Hause. Es ist abermals ein großer Fortschritt zu bemerken. Selbst Lastwagen flößen ihm geringere Furcht ein. Einmal ruft er fast freudig: »Da kommt ein Pferd mit was Schwarzem am Munde«, und ich kann endlich konstatieren, daß es ein Pferd mit einem Maulkorbe aus Leder ist. Hans hat aber gar keine Angst vor diesem Pferde.</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Einmal schlägt er mit seinem Stocke auf das Pflaster und fragt: »Du, ist da ein Mann unten . . . einer, der begraben ist . . ., oder gibt's das nur am Friedhofe?« </w:t>
      </w:r>
      <w:r w:rsidRPr="004B6098">
        <w:rPr>
          <w:rFonts w:ascii="Garamond" w:hAnsi="Garamond"/>
          <w:sz w:val="20"/>
          <w:szCs w:val="20"/>
          <w:lang w:eastAsia="fr-FR"/>
        </w:rPr>
        <w:t>Ihn beschäftigt also nicht nur das Rätsel des Lebens, sondern auch das des Todes.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Zurückgekehrt sehe ich eine Kiste im Vorzimmer stehen und Hans sagt: »Hanna ist in so einer Kiste nach Gmunden mitgefahren. Immer wenn wir nach Gmunden gefahren sind, ist sie mitgefahren in der Kiste. Du glaubst mir schon wieder nicht? Wirklich, Vatti. Glaub' mir. Wir haben eine große Kiste gekriegt und da sind lauter Kinder drin, in der Badewanne sitzen sie drin. (In der Kiste ist eine kleine Badewanne eingepackt worden.) Ich hab' sie hineingesetzt, wirklich. Ich kann mich gut erinnern.« </w:t>
      </w:r>
      <w:hyperlink r:id="rId1083" w:history="1">
        <w:r w:rsidRPr="004B6098">
          <w:rPr>
            <w:rFonts w:ascii="Garamond" w:hAnsi="Garamond"/>
            <w:color w:val="0000FF"/>
            <w:sz w:val="20"/>
            <w:szCs w:val="20"/>
            <w:u w:val="single"/>
            <w:lang w:val="en-US" w:eastAsia="fr-FR"/>
          </w:rPr>
          <w:t>[Fußnote]Er beginnt nun zu phantasieren. Wir erfahren, daß Kiste und Badewanne ihm das gleiche bedeuten, Vertretungen des Raumes, in dem sich die Kinder befinden. Beachten wir seine wiederholten Beteuerungen!</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kannst du dich erinnern?«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»Daß die Hanna in der Kiste gefahren ist, weil ich's nicht vergessen hab'. Mein Ehrenwort!«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»Aber voriges Jahr ist doch die Hanna im Coupé mitgefahren.«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 </w:t>
      </w:r>
      <w:r w:rsidRPr="004B6098">
        <w:rPr>
          <w:rFonts w:ascii="Garamond" w:hAnsi="Garamond"/>
          <w:i/>
          <w:iCs/>
          <w:sz w:val="20"/>
          <w:szCs w:val="20"/>
          <w:lang w:val="en-US" w:eastAsia="fr-FR"/>
        </w:rPr>
        <w:t>Aber immer früher ist sie in der Kiste mitgefahren.</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»Hat die Mammi nicht die Kiste gehabt?«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Hans: »Ja, die Mammi hat sie gehabt!«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denn?«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»Zu Hause am Boden.«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»Hat sie sie vielleicht mit sich herumgetragen?« </w:t>
      </w:r>
      <w:hyperlink r:id="rId1084" w:history="1">
        <w:r w:rsidRPr="004B6098">
          <w:rPr>
            <w:rFonts w:ascii="Garamond" w:hAnsi="Garamond"/>
            <w:color w:val="0000FF"/>
            <w:sz w:val="20"/>
            <w:szCs w:val="20"/>
            <w:u w:val="single"/>
            <w:lang w:val="en-US" w:eastAsia="fr-FR"/>
          </w:rPr>
          <w:t xml:space="preserve">[Fußnote]Die Kiste ist natürlich der Mutterleib. Der Vater will Hans andeuten, daß er dies versteht. Auch das Kästchen, in dem die Helden des Mythus ausgesetzt werden, von König Sargon von Agade an, ist nichts anderes. – Vgl. Ranks Studie: </w:t>
        </w:r>
        <w:r w:rsidRPr="004B6098">
          <w:rPr>
            <w:rFonts w:ascii="Garamond" w:hAnsi="Garamond"/>
            <w:i/>
            <w:iCs/>
            <w:color w:val="0000FF"/>
            <w:sz w:val="20"/>
            <w:szCs w:val="20"/>
            <w:u w:val="single"/>
            <w:lang w:val="en-US" w:eastAsia="fr-FR"/>
          </w:rPr>
          <w:t>Der Mythus von der Geburt des Helden</w:t>
        </w:r>
        <w:r w:rsidRPr="004B6098">
          <w:rPr>
            <w:rFonts w:ascii="Garamond" w:hAnsi="Garamond"/>
            <w:color w:val="0000FF"/>
            <w:sz w:val="20"/>
            <w:szCs w:val="20"/>
            <w:u w:val="single"/>
            <w:lang w:val="en-US" w:eastAsia="fr-FR"/>
          </w:rPr>
          <w:t xml:space="preserve"> 1909 (zweite Auflage 1922).</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Wenn wir jetzt nach Gmunden fahren, wird die Hanna auch in der Kiste fahren.«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ist sie denn aus der Kiste herausgekommen?«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»Man hat sie herausgenommen.«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»Die Mammi?«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und die Mammi, dann sind wir in den Wagen eingestiegen und die Hanna ist am Pferde geritten und der Kutscher hat ›Hüöh‹ gesagt. Der Kutscher war am Bocke. Warst du mit? Die Mammi weiß es sogar. Die Mammi weiß es nicht, sie hat es schon wieder vergessen, aber nichts ihr sagen!«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lasse mir alles wiederholen.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»Dann ist die Hanna ausgestiegen.«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»Sie hat noch gar nicht gehen können.«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»Wir haben sie dann heruntergehoben.«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hat sie denn am Pferde sitzen können, sie hat ja voriges Jahr noch gar nicht sitzen können.«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 sie hat schon gesessen und hat gerufen ›Hüöh‹ und gepeitscht ›Hüöh, hüöh‹ mit der Peitsche, die ich früher gehabt hab'. Das Pferd hat gar keinen Steigbügel gehabt und die Hanna hat geritten; Vatti, aber nicht im Spaße vielleicht.«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Was soll dieser hartnäckig festgehaltene Unsinn? Oh, es ist kein Unsinn, es ist Parodie und Hansens Rache an seinem Vater. Es heißt soviel als: </w:t>
      </w:r>
      <w:r w:rsidRPr="004B6098">
        <w:rPr>
          <w:rFonts w:ascii="Garamond" w:hAnsi="Garamond"/>
          <w:i/>
          <w:iCs/>
          <w:sz w:val="20"/>
          <w:szCs w:val="20"/>
          <w:lang w:val="en-US" w:eastAsia="fr-FR"/>
        </w:rPr>
        <w:t>Kannst du mir zumuten, daß ich glauben soll, der Storch habe die Hanna im Oktober gebracht, wo ich doch den großen Leib der Mutter schon im Sommer, wie wir nach Gmunden gefahren sind, bemerkt hab', so kann ich verlangen, daß du mir meine Lügen glaubst.</w:t>
      </w:r>
      <w:r w:rsidRPr="004B6098">
        <w:rPr>
          <w:rFonts w:ascii="Garamond" w:hAnsi="Garamond"/>
          <w:sz w:val="20"/>
          <w:szCs w:val="20"/>
          <w:lang w:val="en-US" w:eastAsia="fr-FR"/>
        </w:rPr>
        <w:t xml:space="preserve"> Was kann die Behauptung, daß die Hanna schon im vorigen Sommer »in der Kiste« nach Gmunden mitgefahren ist, anderes bedeuten als sein Wissen um die Gravidität der Mutter? Daß er die Wiederholung dieser Fahrt in der Kiste für jedes folgende Jahr in Aussicht stellt, entspricht einer häufigen Form des Auftauchens eines unbewußten Gedankens aus der Vergangenheit, oder es hat spezielle Gründe und drückt seine Angst aus, eine solche Gravidität zur nächsten Sommerreise wiederholt zu sehen. Wir haben jetzt auch erfahren, durch welchen Zusammenhang ihm die Reise nach Gmunden verleidet war, was seine zweite Phantasie andeutete.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Später frage ich ihn, wie die Hanna nach ihrer Geburt eigentlich ins Bett der Mama gekommen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 kann er nun loslegen und den Vater »frotzeln«.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»Die Hanna ist halt gekommen. Die Frau Kraus (die Hebamme) hat sie ins Bett gelegt. Sie hat ja nicht gehen können. Aber der Storch hat sie im Schnabel getragen. Gehen hat sie ja nicht können. (In einem Zuge fortfahrend.) Der Storch ist bis im Gang gegangen auf der Stiegen und dann hat er geklopft und da haben alle geschlafen und er hat den richtigen Schlüssel gehabt und hat aufgesperrt und hat die Hanna in </w:t>
      </w:r>
      <w:r w:rsidRPr="004B6098">
        <w:rPr>
          <w:rFonts w:ascii="Garamond" w:hAnsi="Garamond"/>
          <w:i/>
          <w:iCs/>
          <w:sz w:val="20"/>
          <w:szCs w:val="20"/>
          <w:lang w:val="en-US" w:eastAsia="fr-FR"/>
        </w:rPr>
        <w:t>dein</w:t>
      </w:r>
      <w:hyperlink r:id="rId1085" w:history="1">
        <w:r w:rsidRPr="004B6098">
          <w:rPr>
            <w:rFonts w:ascii="Garamond" w:hAnsi="Garamond"/>
            <w:color w:val="0000FF"/>
            <w:sz w:val="20"/>
            <w:szCs w:val="20"/>
            <w:u w:val="single"/>
            <w:lang w:val="en-US" w:eastAsia="fr-FR"/>
          </w:rPr>
          <w:t xml:space="preserve">[Fußnote]Hohn natürlich! </w:t>
        </w:r>
        <w:r w:rsidRPr="004B6098">
          <w:rPr>
            <w:rFonts w:ascii="Garamond" w:hAnsi="Garamond"/>
            <w:color w:val="0000FF"/>
            <w:sz w:val="20"/>
            <w:szCs w:val="20"/>
            <w:u w:val="single"/>
            <w:lang w:eastAsia="fr-FR"/>
          </w:rPr>
          <w:t>Sowie die spätere Bitte, der Mama nichts von dem Geheimnis zu verraten.</w:t>
        </w:r>
      </w:hyperlink>
      <w:r w:rsidRPr="004B6098">
        <w:rPr>
          <w:rFonts w:ascii="Garamond" w:hAnsi="Garamond"/>
          <w:sz w:val="20"/>
          <w:szCs w:val="20"/>
          <w:lang w:eastAsia="fr-FR"/>
        </w:rPr>
        <w:t xml:space="preserve"> </w:t>
      </w:r>
      <w:r w:rsidRPr="004B6098">
        <w:rPr>
          <w:rFonts w:ascii="Garamond" w:hAnsi="Garamond"/>
          <w:sz w:val="20"/>
          <w:szCs w:val="20"/>
          <w:lang w:val="en-US" w:eastAsia="fr-FR"/>
        </w:rPr>
        <w:t xml:space="preserve">Bett gelegt und die Mammi hat geschlafen – nein, der Storch hat sie in </w:t>
      </w:r>
      <w:r w:rsidRPr="004B6098">
        <w:rPr>
          <w:rFonts w:ascii="Garamond" w:hAnsi="Garamond"/>
          <w:i/>
          <w:iCs/>
          <w:sz w:val="20"/>
          <w:szCs w:val="20"/>
          <w:lang w:val="en-US" w:eastAsia="fr-FR"/>
        </w:rPr>
        <w:t>ihr Bett</w:t>
      </w:r>
      <w:r w:rsidRPr="004B6098">
        <w:rPr>
          <w:rFonts w:ascii="Garamond" w:hAnsi="Garamond"/>
          <w:sz w:val="20"/>
          <w:szCs w:val="20"/>
          <w:lang w:val="en-US" w:eastAsia="fr-FR"/>
        </w:rPr>
        <w:t xml:space="preserve"> gelegt. Es war schon ganz Nacht, und dann hat sie der Storch ganz ruhig ins Bett gelegt, hat gar nicht gestrampelt, und dann hat er sich den Hut genommen, und dann ist er wieder weggegangen. Nein, Hut hat er nicht gehabt.«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»Wer hat sich den Hut genommen? Der Doktor vielleicht?«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»Dann ist der Storch weggegangen, nach Hause gegangen und dann hat er angeläutet und alle Leute im Hause haben nicht mehr geschlafen. Aber erzähl' das nicht der Mammi und der Tinni (der Köchin). Das ist Geheimnis!«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die Hanna gerne?«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 sehr gerne.«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»Wäre es dir lieber, wenn die Hanna nicht auf die Welt gekommen wäre, oder ist es dir lieber, daß sie auf der Welt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»Mir wär' lieber, daß sie nicht auf die Welt gekommen wär'.«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»Wenigstens schreit sie nicht so und ich kann das Schreien nicht aushalten.«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»Du schreist ja selbst.«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»Die Hanna schreit ja auch.«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kannst du es nicht aushalten?«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»Weil sie so stark schreit.«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»Aber sie schreit ja gar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»Wenn man sie am nackten Popo haut, dann schreit sie.«</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»Hast du sie einmal gehaut?«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»Wenn die Mammi sie auf den Popo haut, dann schreit sie.«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hast du nicht gerne?«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 . . Warum? Weil sie so einen Krawall macht mit dem Schreien.«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»Wenn du lieber hättest, daß sie nicht auf der Welt wär', hast du sie ja gar nicht gern.«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Hans: »Hm, hm« (zustimmend).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»Deshalb hast du gedacht, wenn die Mammi sie badet, wenn sie die Hände weggeben möcht', dann möchte sie ins Wasser fallen . .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(ergänzt): – »und sterben.«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du wärst dann allein mit der Mammi. Und ein braver Bub' wünscht das doch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 </w:t>
      </w:r>
      <w:r w:rsidRPr="004B6098">
        <w:rPr>
          <w:rFonts w:ascii="Garamond" w:hAnsi="Garamond"/>
          <w:i/>
          <w:iCs/>
          <w:sz w:val="20"/>
          <w:szCs w:val="20"/>
          <w:lang w:val="en-US" w:eastAsia="fr-FR"/>
        </w:rPr>
        <w:t>Aber denken darf er's.</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ist aber nicht gut.«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Hans: » </w:t>
      </w:r>
      <w:r w:rsidRPr="004B6098">
        <w:rPr>
          <w:rFonts w:ascii="Garamond" w:hAnsi="Garamond"/>
          <w:i/>
          <w:iCs/>
          <w:sz w:val="20"/>
          <w:szCs w:val="20"/>
          <w:lang w:val="en-US" w:eastAsia="fr-FR"/>
        </w:rPr>
        <w:t>Wenn er's denken tut, ist es doch gut, damit man's dem Professor schreibt.</w:t>
      </w:r>
      <w:r w:rsidRPr="004B6098">
        <w:rPr>
          <w:rFonts w:ascii="Garamond" w:hAnsi="Garamond"/>
          <w:sz w:val="20"/>
          <w:szCs w:val="20"/>
          <w:lang w:val="en-US" w:eastAsia="fr-FR"/>
        </w:rPr>
        <w:t xml:space="preserve">« </w:t>
      </w:r>
      <w:hyperlink r:id="rId1086" w:history="1">
        <w:r w:rsidRPr="004B6098">
          <w:rPr>
            <w:rFonts w:ascii="Garamond" w:hAnsi="Garamond"/>
            <w:color w:val="0000FF"/>
            <w:sz w:val="20"/>
            <w:szCs w:val="20"/>
            <w:u w:val="single"/>
            <w:lang w:eastAsia="fr-FR"/>
          </w:rPr>
          <w:t>[Fußnote]Wacker, kleiner Hans! Ich wünschte mir bei keinem Erwachsenen ein besseres Verständnis der Psychoanalyse.</w:t>
        </w:r>
      </w:hyperlink>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Später sag' ich ihm: »Weißt du, wenn die Hanna größer sein wird und wird sprechen können, wirst du sie schon lieber haben.«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»O nein. Ich hab' sie ja lieb. Wenn sie im Herbst groß sein wird, werd' ich mit ihr ganz allein in den Stadtpark gehen und werd' ihr alles erklären.«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Wie ich mit einer weiteren Aufklärung anfangen will, unterbricht er mich, wahrscheinlich, um mir zu erklären, daß es nicht so schlimm ist, wenn er der Hanna den Tod wünscht.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»Du, sie war doch schon längst auf der Welt, auch wie sie noch nicht da war. Beim Storche war sie doch auch auf der Welt.«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»Nein, beim Storche war sie vielleicht doch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»Wer hat sie denn gebracht? Der Storch hat sie gehabt.«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»Woher hat er sie denn gebracht?«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»Na, von ihm.«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hat er sie denn gehabt?«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»In der Kiste, in der </w:t>
      </w:r>
      <w:r w:rsidRPr="004B6098">
        <w:rPr>
          <w:rFonts w:ascii="Garamond" w:hAnsi="Garamond"/>
          <w:i/>
          <w:iCs/>
          <w:sz w:val="20"/>
          <w:szCs w:val="20"/>
          <w:lang w:val="en-US" w:eastAsia="fr-FR"/>
        </w:rPr>
        <w:t>Storchenkiste.</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sieht denn die Kiste aus?«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»Rot. Rot angestrichen.« (Blut?)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»Wer hat dir's denn gesagt?«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»Die Mammi – ich hab' mir's gedacht – im Buche steht's.«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»In welchem Buche?«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»Im Bilderbuche.« (Ich lasse mir sein erstes Bilderbuch bringen. Dort ist ein Storchennest mit Störchen abgebildet auf einem roten Kamin. Das ist die Kiste; sonderbarerweise ist auf demselben Blatt ein Pferd zu sehen, das beschlagen wird. In die Kiste verlegt Hans die Kinder, da er sie im Neste nicht findet.)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hat denn der Storch mit ihr gemacht?«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»Dann hat er die Hanna hergebracht. Im Schnabel. Weißt, der Storch, der in Schönbrunn ist, der in den Schirm beißt.« (Reminiszenz an einen kleinen Vorfall in Schönbrunn.)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gesehen, wie der Storch die Hanna gebracht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t xml:space="preserve">Hans: »Du, da hab' ich doch noch geschlafen. </w:t>
      </w:r>
      <w:r w:rsidRPr="004B6098">
        <w:rPr>
          <w:rFonts w:ascii="Garamond" w:hAnsi="Garamond"/>
          <w:sz w:val="20"/>
          <w:szCs w:val="20"/>
          <w:lang w:val="en-US" w:eastAsia="fr-FR"/>
        </w:rPr>
        <w:t>In der Früh kann kein Storch ein Mäderl oder einen Buben bringen.«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»Das kann er nicht. Das kann ein Storch nicht. Weißt warum? Daß die Leute nicht sehen, und auf einmal, wenn Früh ist, ist ein Mädel da.« </w:t>
      </w:r>
      <w:hyperlink r:id="rId1087" w:history="1">
        <w:r w:rsidRPr="004B6098">
          <w:rPr>
            <w:rFonts w:ascii="Garamond" w:hAnsi="Garamond"/>
            <w:color w:val="0000FF"/>
            <w:sz w:val="20"/>
            <w:szCs w:val="20"/>
            <w:u w:val="single"/>
            <w:lang w:eastAsia="fr-FR"/>
          </w:rPr>
          <w:t xml:space="preserve">[Fußnote]Man halte sich über Hansens Inkonsequenz nicht auf. Im vorigen Gespräch ist der Unglaube an den Storch aus seinem Unbewußten zum Vorschein gekommen, der mit seiner Erbitterung gegen den geheimtuerischen Vater verknüpft war. </w:t>
        </w:r>
        <w:r w:rsidRPr="004B6098">
          <w:rPr>
            <w:rFonts w:ascii="Garamond" w:hAnsi="Garamond"/>
            <w:color w:val="0000FF"/>
            <w:sz w:val="20"/>
            <w:szCs w:val="20"/>
            <w:u w:val="single"/>
            <w:lang w:val="en-US" w:eastAsia="fr-FR"/>
          </w:rPr>
          <w:t>Jetzt ist er ruhiger geworden und antwortet mit offiziellen Gedanken, in denen er sich für die vielen mit der Storchhypothese verbundenen Schwierigkeiten Erklärungen zurecht gemacht hat.</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warst aber damals doch neugierig, wie das der Storch gemacht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hat die Hanna ausgesehen, wie sie gekommen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(falsch): »Ganz weiß und lieb. Wie goldig.«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du sie aber das erstemal gesehen hast, hat sie dir aber nicht gefallen.«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sehr!«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warst doch überrascht, daß sie so klein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klein war sie?«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»Wie ein junger Storch.«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war's noch? Wie ein Lumpf vielleicht?«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nein, ein Lumpf ist viel größer . . . bissel kleiner, wie die Hanna wirklich.«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hatte dem Vater vorhergesagt, daß die Phobie des Kleinen sich auf die Gedanken und Wünsche aus Anlaß der Geburt des Schwesterchens werde zurückführen lassen, aber ich hatte versäumt, ihn aufmerksam zu machen, daß ein Kind ein »Lumpf« für die infantile Sexualtheorie sei, so daß Hans den Exkrementalkomplex passieren werde. Aus dieser meiner Nachlässigkeit entsprang die zeitweise Verdunkelung der Kur. Jetzt nach erfolgter Klärung versucht der Vater, Hans über diesen wichtigen Punkt ein zweites Mal zu vernehmen.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Am nächsten Tage lasse ich mir die gestern erzählte Geschichte nochmals wiederholen. Hans erzählt: »Die Hanna ist in der großen Kiste nach Gmunden gefahren, und die Mammi im Coupé und die Hanna ist im Lastzuge mit der </w:t>
      </w:r>
      <w:r w:rsidRPr="004B6098">
        <w:rPr>
          <w:rFonts w:ascii="Garamond" w:hAnsi="Garamond"/>
          <w:sz w:val="20"/>
          <w:szCs w:val="20"/>
          <w:lang w:val="en-US" w:eastAsia="fr-FR"/>
        </w:rPr>
        <w:lastRenderedPageBreak/>
        <w:t>Kiste gefahren, und dann, wie wir in Gmunden waren, haben ich und die Mammi die Hanna herausgehoben, haben sie aufs Pferd gesetzt. Der Kutscher war am Bocke und die Hanna hat die vorige (vorjährige) Peitsche gehabt und hat das Pferd gepeitscht und hat immer gesagt: ›Hüöh‹, und das war immer lustig, und der Kutscher hat auch gepeitscht. – Der Kutscher hat gar nicht gepeitscht, weil die Hanna die Peitsche gehabt hat. – Der Kutscher hat die Zügel gehabt – auch die Zügel hat die Hanna gehabt (wir sind jedesmal mit einem Wagen von der Bahn zum Hause gefahren; Hans sucht hier Wirklichkeit und Phantasie in Übereinstimmung zu bringen). In Gmunden haben wir die Hanna vom Pferde heruntergehoben, und sie ist allein über die Stiege gegangen.« (Als Hanna voriges Jahr in Gmunden war, war sie 8 Monate alt. Ein Jahr früher, worauf sich offenbar Hans' Phantasie bezieht, waren bei der Ankunft in Gmunden 5 Monate der Gravidität verstrichen.)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vorige Jahr war die Hanna schon da.«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»Voriges Jahr ist sie im Wagen gefahren, aber ein Jahr vorher, wie sie bei uns auf der Welt war . .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»Bei uns war sie schon?«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du bist doch schon immer gekommen, mit mir Schinakel zu fahren, und die Anna hat dich bedient.«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war aber nicht voriges Jahr, da war die Hanna noch gar nicht auf der Welt.«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 </w:t>
      </w:r>
      <w:r w:rsidRPr="004B6098">
        <w:rPr>
          <w:rFonts w:ascii="Garamond" w:hAnsi="Garamond"/>
          <w:i/>
          <w:iCs/>
          <w:sz w:val="20"/>
          <w:szCs w:val="20"/>
          <w:lang w:val="en-US" w:eastAsia="fr-FR"/>
        </w:rPr>
        <w:t>Ja, da war sie auf der Welt.</w:t>
      </w:r>
      <w:r w:rsidRPr="004B6098">
        <w:rPr>
          <w:rFonts w:ascii="Garamond" w:hAnsi="Garamond"/>
          <w:sz w:val="20"/>
          <w:szCs w:val="20"/>
          <w:lang w:val="en-US" w:eastAsia="fr-FR"/>
        </w:rPr>
        <w:t xml:space="preserve"> Wie sie erst in der Kiste gefahren ist, hat sie schon laufen können, schon ›Anna‹ sagen.« (Das kann sie erst seit 4 Monaten.)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»Aber da war sie doch noch gar nicht bei uns.«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 da war sie doch beim Storche.«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alt ist denn die Hanna?«</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Hans: »Sie wird im Herbste 2 Jahre. </w:t>
      </w:r>
      <w:r w:rsidRPr="004B6098">
        <w:rPr>
          <w:rFonts w:ascii="Garamond" w:hAnsi="Garamond"/>
          <w:sz w:val="20"/>
          <w:szCs w:val="20"/>
          <w:lang w:eastAsia="fr-FR"/>
        </w:rPr>
        <w:t>Die Hanna war doch da, du weißt es doch.«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wann war sie beim Storche in der Storchenkiste?«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»Schon lange, bevor sie in der Kiste gefahren ist. Schon sehr lange.«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lange kann denn die Hanna gehen? Wie sie in Gmunden war, hat sie noch nicht gehen können.«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»Voriges Jahr nicht, sonst schon.«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»Die Hanna war doch nur einmal in Gmunden.«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Sie war zweimal; ja, das ist richtig. Ich kann mich sehr gut erinnern. Frag' nur die Mammi, die wird dir's schon sagen.«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ist doch nicht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»Ja, das ist wahr. </w:t>
      </w:r>
      <w:r w:rsidRPr="004B6098">
        <w:rPr>
          <w:rFonts w:ascii="Garamond" w:hAnsi="Garamond"/>
          <w:i/>
          <w:iCs/>
          <w:sz w:val="20"/>
          <w:szCs w:val="20"/>
          <w:lang w:val="en-US" w:eastAsia="fr-FR"/>
        </w:rPr>
        <w:t>Wie sie in Gmunden das erstemal war, hat sie gehen und reiten können und später hat man sie tragen müssen.</w:t>
      </w:r>
      <w:r w:rsidRPr="004B6098">
        <w:rPr>
          <w:rFonts w:ascii="Garamond" w:hAnsi="Garamond"/>
          <w:sz w:val="20"/>
          <w:szCs w:val="20"/>
          <w:lang w:val="en-US" w:eastAsia="fr-FR"/>
        </w:rPr>
        <w:t xml:space="preserve"> – Nein, später ist sie erst geritten und voriges Jahr hat man sie tragen müssen.«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»Sie geht aber doch erst ganz kurze Zeit. In Gmunden hat sie nicht gehen können.«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t xml:space="preserve">Hans: »Ja, schreib's nur auf. </w:t>
      </w:r>
      <w:r w:rsidRPr="004B6098">
        <w:rPr>
          <w:rFonts w:ascii="Garamond" w:hAnsi="Garamond"/>
          <w:sz w:val="20"/>
          <w:szCs w:val="20"/>
          <w:lang w:val="en-US" w:eastAsia="fr-FR"/>
        </w:rPr>
        <w:t>Ich kann mich ganz gut erinnern. – Warum lachst du?«</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»Weil du ein Schwindler bist, weil du ganz gut weißt, daß die Hanna nur einmal in Gmunden war.«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das ist nicht wahr. Das erstemal ist sie auf dem Pferde geritten . . . und das zweitemal (wird offenbar unsicher).«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 das Pferd vielleicht die Mammi?«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ein wirkliches Pferd, beim Einspänner.«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»Wir sind doch immer mit einem Zweispänner gefahren.«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»So war's halt ein Fiaker.«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hat die Hanna in der Kiste gegessen?«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»Man hat ihr ein Butterbrot und Hering und Rettig (ein Gmundner Nachtmahl) hineingegeben, und daweil die Hanna gefahren ist, hat sie sich das Butterbrot aufgeschmiert und hat 50mal gegessen.«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»Hat die Hanna nicht geschrien?«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hat sie denn gemacht?«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»Ganz ruhig d'rin gesessen.«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»Hat sie nicht gestoßen?«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sie hat fortwährend gegessen und hat sich nicht einmal gerührt. Zwei große Häfen Kaffee hat sie ausgetrunken – bis in der Früh war alles weg und den Mist hat sie in der Kiste gelassen, die Blätter von den zwei Rettigen und ein Messer zum Rettigschneiden; sie hat alles zusammengeputzt wie ein Has', in einer Minute und sie war fertig. Das war eine Hetz'. Ich und die Hanna bin sogar mitgefahren in der Kiste, ich hab' in der Kiste geschlafen die ganze Nacht (wir sind vor 2 Jahren tatsächlich in der Nacht nach Gmunden gefahren) und die Mammi ist im Coupé gefahren. Immer haben wir gegessen auch im Wagen, das war eine Gaude. – Sie ist gar nicht am Pferde geritten (er ist jetzt unsicher geworden, weil er weiß, daß wir im Zweispänner gefahren sind) . . . sie ist im Wagen gesessen. Das ist das Richtige, aber ganz allein bin ich und die Hanna gefahren . . . die Mammi ist auf dem Pferde geritten, die Karolin' (unser Mädchen vom vorigen Jahre) auf dem andern . . . Du, was ich dir da erzähl', ist nicht einmal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ist nicht wahr?«</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Hans: »Alles nicht. Du, wir setzen sie und mich in die Kiste </w:t>
      </w:r>
      <w:hyperlink r:id="rId1088" w:history="1">
        <w:r w:rsidRPr="004B6098">
          <w:rPr>
            <w:rFonts w:ascii="Garamond" w:hAnsi="Garamond"/>
            <w:color w:val="0000FF"/>
            <w:sz w:val="20"/>
            <w:szCs w:val="20"/>
            <w:u w:val="single"/>
            <w:lang w:val="en-US" w:eastAsia="fr-FR"/>
          </w:rPr>
          <w:t>[Fußnote]Die Kiste für das Gmundner Gepäck, die im Vorzimmer steht. [Anmerkung des Vaters.]</w:t>
        </w:r>
      </w:hyperlink>
      <w:r w:rsidRPr="004B6098">
        <w:rPr>
          <w:rFonts w:ascii="Garamond" w:hAnsi="Garamond"/>
          <w:sz w:val="20"/>
          <w:szCs w:val="20"/>
          <w:lang w:val="en-US" w:eastAsia="fr-FR"/>
        </w:rPr>
        <w:t xml:space="preserve"> und ich werde in die Kiste Wiwi machen. Ich werd' halt in die Hosen Wiwi machen, liegt mir gar nichts d'ran, ist gar keine Schand'. </w:t>
      </w:r>
      <w:r w:rsidRPr="004B6098">
        <w:rPr>
          <w:rFonts w:ascii="Garamond" w:hAnsi="Garamond"/>
          <w:sz w:val="20"/>
          <w:szCs w:val="20"/>
          <w:lang w:eastAsia="fr-FR"/>
        </w:rPr>
        <w:t>Du, das ist aber kein Spaß, aber lustig ist es schon!«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Er erzählt dann die Geschichte, wie der Storch gekommen ist, wie gestern, nur nicht, daß er beim Weggehen den Hut genommen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hat der Storch den Türschlüssel gehabt?«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»In der Tasche.«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hat denn der Storch eine Tasche?«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»Im Schnabel.«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»Im Schnabel hat er ihn gehabt! Ich hab' noch keinen Storch gesehen, der einen Schlüssel im Schnabel gehabt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»Wie hat er denn hineinkommen können? Wie kommt denn der Storch von der Tür hinein? Das ist ja nicht wahr, ich hab' mich nur geirrt; der Storch läutet an und jemand macht auf.«</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läutet er denn?«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»Auf der Glocke.«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macht er das?«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»Er nimmt den Schnabel und drückt mit dem Schnabel an.«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er hat die Tür wieder zugemacht?«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ein Dienstmädchen hat sie zugemacht. Die war ja schon auf, die hat ihm aufgemacht und zugemacht.«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ist der Storch zu Hause?«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»Wo? In der Kiste, wo er die Mäderl hat. In Schönbrunn vielleicht.«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»Ich hab' in Schönbrunn keine Kiste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»Die wird halt weiter weg sein. – Weißt, wie der Storch die Kiste aufmacht? Er nimmt den Schnabel – die Kiste hat auch einen Schlüssel – er nimmt den Schnabel und eins (eine Schnabelhälfte) läßt er auf und sperrt so auf (demonstriert es mir am Schreibtischschlosse). Das ist ja auch ein Henkel.«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»Ist so ein Mäderl nicht zu schwer für ihn?«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sieht ein Stellwagen nicht wie eine Storchenkiste aus?«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ein Möbelwagen?«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»Ein Gsindelwerkwagen (Gsindelwerk: Schimpfwort für unartige Kinder) auch.«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17. April. Gestern hat Hans seinen lange geplanten Vorsatz ausgeführt und ist in den Hof vis-à-vis hinübergegangen. Heute wollte er es nicht tun, weil gerade gegenüber dem Einfahrtstore ein Wagen an der Ausladerampe stand. Er sagte mir: »Wenn dort ein Wagen steht, so fürcht' ich mich, daß </w:t>
      </w:r>
      <w:r w:rsidRPr="004B6098">
        <w:rPr>
          <w:rFonts w:ascii="Garamond" w:hAnsi="Garamond"/>
          <w:i/>
          <w:iCs/>
          <w:sz w:val="20"/>
          <w:szCs w:val="20"/>
          <w:lang w:val="en-US" w:eastAsia="fr-FR"/>
        </w:rPr>
        <w:t>ich die Pferde necken werde</w:t>
      </w:r>
      <w:r w:rsidRPr="004B6098">
        <w:rPr>
          <w:rFonts w:ascii="Garamond" w:hAnsi="Garamond"/>
          <w:sz w:val="20"/>
          <w:szCs w:val="20"/>
          <w:lang w:val="en-US" w:eastAsia="fr-FR"/>
        </w:rPr>
        <w:t xml:space="preserve"> und sie fallen um und machen mit den Füßen Krawall.«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neckt man denn Pferde?«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»Wenn man mit ihnen schimpft, dann neckt man sie, wenn man Hühü schreit.« </w:t>
      </w:r>
      <w:hyperlink r:id="rId1089" w:history="1">
        <w:r w:rsidRPr="004B6098">
          <w:rPr>
            <w:rFonts w:ascii="Garamond" w:hAnsi="Garamond"/>
            <w:color w:val="0000FF"/>
            <w:sz w:val="20"/>
            <w:szCs w:val="20"/>
            <w:u w:val="single"/>
            <w:lang w:val="en-US" w:eastAsia="fr-FR"/>
          </w:rPr>
          <w:t>[Fußnote]Es hat ihm oft große Furcht eingejagt, wenn Kutscher die Pferde schlugen und Hü schrien. [Anmerkung des Vaters.]</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Pferde schon geneckt?«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schon öfter. Fürchten tu ich mich, daß ich's tu, aber wahr ist es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schon in Gmunden Pferde geneckt?«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»Nein!«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»Du neckst aber gerne Pferde?«</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»O ja, sehr gerne!«</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»Möchtest du sie gerne peitschen?«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»Ja!«</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»Möchtest du die Pferde so schlagen, wie die Mammi die Hanna? Das hast du ja auch gerne.«</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»Den Pferden schadet es ja nichts, wenn man sie schlägt. (So hab' ich ihm seinerzeit gesagt, um seine Furcht vor dem Peitschen der Pferde zu mäßigen.) Ich hab's einmal wirklich getan. Ich hab' einmal die Peitsche gehabt und hab' das Pferd gepeitscht und es ist umgefallen und hat mit den Füßen Krawall gemacht.«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»In Gmunden.«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»Ein wirkliches Pferd? Das am Wagen angespannt war?«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»Es war außer'm Wagen.«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war's denn?«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hab's halt gehalten, daß es nicht davonrennen soll.« (Das klang natürlich alles unwahrscheinlich.)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war das?«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»Beim Brunnen.«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»Wer hat's dir erlaubt? Hat's der Kutscher dort stehen lassen?«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»Halt ein Pferd vom Stalle.«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ist es zum Brunnen gekommen?«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hab's hingeführt.«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»Woher? Aus dem Stalle?«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hab's herausgeführt, weil ich es hab' wollen peitschen.«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Ich: »War im Stalle niemand?«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 der Loisl (der Kutscher in Gmunden).«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»Hat er dir's erlaubt?«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 mit ihm lieb geredet, und er hat gesagt, ich darf es tun.«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hast du ihm gesagt?«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»Ob ich das Pferd nehmen darf und peitschen und schreien. Er hat gesagt,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du's viel gepeitscht?«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 </w:t>
      </w:r>
      <w:r w:rsidRPr="004B6098">
        <w:rPr>
          <w:rFonts w:ascii="Garamond" w:hAnsi="Garamond"/>
          <w:i/>
          <w:iCs/>
          <w:sz w:val="20"/>
          <w:szCs w:val="20"/>
          <w:lang w:val="en-US" w:eastAsia="fr-FR"/>
        </w:rPr>
        <w:t>Was ich dir da erzähl', ist gar nicht wahr.</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ist davon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»Nix ist davon wahr, das hab' ich dir nur im Spaße erzählt.«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»Du hast nie ein Pferd aus dem Stalle geführt?«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»Gewünscht hast du dir's.«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gewünscht schon, gedacht hab' ich mir's.«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»In Gmunden?«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 erst hier. In der Früh' hab' ich mir's schon gedacht, wie ich ganz angezogen war; nein, in der Früh' im Bette.«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hast du mir's nie erzählt?«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 nicht d'ran gedacht.«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»Du hast dir's gedacht, weil du auf die Straßen gesehen hast.«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»Ja!«</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»Wen möchtest du eigentlich gerne schlagen, die Mammi, die Hanna oder mich?«</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»Die Mammi.«</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möcht' sie halt schlagen.«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»Wann hast du gesehen, daß jemand eine Mammi schlägt?«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hab's noch nie gesehen, in meinem Leben nie.«</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Ich: »Und du möchtest es halt doch machen. </w:t>
      </w:r>
      <w:r w:rsidRPr="004B6098">
        <w:rPr>
          <w:rFonts w:ascii="Garamond" w:hAnsi="Garamond"/>
          <w:sz w:val="20"/>
          <w:szCs w:val="20"/>
          <w:lang w:eastAsia="fr-FR"/>
        </w:rPr>
        <w:t>Wie möchtest du das tun?«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»Mit dem Pracker.« (Mit dem Pracker droht die Mama öfter ihn zu schlagen.)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Für heute mußte ich das Gespräch abbrechen.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Auf der Gasse erklärte mir Hans: Stellwagen, Möbelwagen, Kohlenwagen seien Storchkistenwagen.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heißt also: gravide Frauen. Die sadistische Anwandlung unmittelbar vorher kann nicht außer Zusammenhang mit unserem Thema sein.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21. April. Heute früh erzählt Hans, er habe sich gedacht: »Ein Zug war in Lainz und ich bin mit der Lainzer Großmama nach Hauptzollamt gefahren. Du warst noch nicht herunter von der Brücke und der zweite Zug war schon in St. Veit. Wie du heruntergekommen bist, war der Zug schon da und da sind wir eingestiegen.«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(Gestern war Hans in Lainz. Um auf den Einsteigeperron zu kommen, muß man über eine Brücke gehen. Von dem Perron sieht man die Schienen entlang bis zur Station St. Veit. Die Sache ist etwas undeutlich. Ursprünglich hat sich Hans wohl gedacht: er ist mit dem ersten Zuge, den ich versäumt habe, davongefahren, dann ist aus Unter-St. Veit ein zweiter Zug gekommen, mit dem ich nachgefahren bin. Ein Stück dieser Ausreißerphantasie hat er entstellt, so daß er schließlich sagt: »Wir sind beide erst mit dem zweiten Zuge weggefahren.«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Diese Phantasie steht in Beziehung zu der letzten ungedeuteten, die davon handelt, wir hätten in Gmunden zuviel Zeit verbraucht, um die Kleider in der Bahn anzuziehen, und der Zug wäre davongefahren.)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Nachmittag vor dem Haus. Hans läuft plötzlich ins Haus, als ein Wagen mit zwei Pferden kommt, an dem ich nichts Außergewöhnliches bemerken kann. Ich frage ihn, was er hat. Er sagt: »Ich fürchte mich, weil die Pferde so stolz sind, daß sie umfallen.« (Die Pferde wurden vom Kutscher scharf am Zügel gehalten, so daß sie in kurzem Schritte gingen, die Köpfe hochhaltend – sie hatten wirklich einen stolzen Gang.)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frage ihn, wer denn eigentlich so stolz sei.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»Du, wenn ich ins Bett zur Mammi komm'.«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wünschest also, ich soll umfallen?«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du sollst als Nackter (er meint: barfüßig wie seinerzeit Fritzl) auf einen Stein anstoßen und da soll Blut fließen und wenigstens kann ich mit der Mammi ein bißchen allein sein. Wenn du in die Wohnung heraufkommst, kann ich geschwind weglaufen von der Mammi, daß du's nicht siehst.«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»Kannst du dich erinnern, wer sich am Steine angestoßen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der Fritzl.«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»Wie der Fritzl hingefallen ist, was hast du dir gedacht?« </w:t>
      </w:r>
      <w:hyperlink r:id="rId1090" w:history="1">
        <w:r w:rsidRPr="004B6098">
          <w:rPr>
            <w:rFonts w:ascii="Garamond" w:hAnsi="Garamond"/>
            <w:color w:val="0000FF"/>
            <w:sz w:val="20"/>
            <w:szCs w:val="20"/>
            <w:u w:val="single"/>
            <w:lang w:val="en-US" w:eastAsia="fr-FR"/>
          </w:rPr>
          <w:t>[Fußnote]Fritzl ist also tatsächlich gefallen, was er seinerzeit geleugnet hat.</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»Daß du am Steine hinfliegen sollst.«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möchtest also gerne zur Mammi?«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schimpf ich denn eigentlich?«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Er: »Das weiß ich nicht.«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»Weil du eifern tust.«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ist doch nicht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»Ja, das ist wahr, du tust eifern, das weiß ich. Das muß wahr sein.«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Meine Erklärung, daß nur kleine Buben zur Mammi ins Bett kommen, große in ihrem eigenen Bett schlafen, hat ihm also nicht sehr imponiert.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vermute, daß der Wunsch, das Pferd zu »necken« i. e. schlagen, anschreien, nicht, wie er angab, auf die Mama, sondern auf mich geht. Er hat die Mama wohl nur vorgeschoben, weil er mir das andere nicht eingestehen wollte. In den letzten Tagen ist er von besonderer Zärtlichkeit gegen mich.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Mit der Überlegenheit, die man »nachträglich« so leicht erwirbt, wollen wir den Vater korrigieren, daß der Wunsch Hansens, das Pferd zu »necken«, doppelt gefügt ist, zusammengesetzt aus einem dunkeln, sadistischen Gelüste auf die Mutter und einem klaren Rachedrange gegen den Vater. Der letztere konnte nicht eher reproduziert werden, als bis im Zusammenhange des Graviditätskomplexes das erstere an die Reihe gekommen war. Bei der Bildung der Phobie aus den unbewußten Gedanken findet ja eine Verdichtung statt; darum kann der Weg der Analyse niemals den Entwicklungsgang der Neurose wiederholen.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22. April. Heute früh hat sich Hans wieder etwas gedacht: »Ein Gassenbube ist auf dem Wagerl gefahren und der Kondukteur ist gekommen und hat den Buben ganz nackt ausgezogen und bis in der Früh dort stehenlassen, und in der Früh hat der Bub dem Kondukteur 50 000 Gulden gegeben, damit er mit dem Wagerl fahren darf.«</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(Vis-à-vis von uns fährt die Nordbahn. Auf einem Stockgeleise steht eine Draisine, auf der Hans einmal einen Gassenbuben fahren sah, was er auch tun wollte. Ich habe ihm gesagt, das dürfe man nicht, sonst käme der Kondukteur. Ein zweites Element der Phantasie ist der verdrängte Nacktheitswunsch.)</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Wir merken schon seit einiger Zeit, daß Hansens Phantasie »im Zeichen des Verkehres« schafft und konsequenterweise vom Pferde, das den Wagen zieht, zur Eisenbahn fortschreitet. So gesellt sich ja auch zu jeder Straßenphobie mit der Zeit die Eisenbahnangst hinzu.</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Mittags höre ich, daß Hans </w:t>
      </w:r>
      <w:r w:rsidRPr="004B6098">
        <w:rPr>
          <w:rFonts w:ascii="Garamond" w:hAnsi="Garamond"/>
          <w:i/>
          <w:iCs/>
          <w:sz w:val="20"/>
          <w:szCs w:val="20"/>
          <w:lang w:val="en-US" w:eastAsia="fr-FR"/>
        </w:rPr>
        <w:t>den ganzen Vormittag mit einer Gummipuppe gespielt habe, die er Grete nannte. Er hat durch die Öffnung, in der einmal das kleine Blechpfeifchen befestigt war, ein kleines Taschenmesser hineingesteckt und ihr dann die Füße voneinandergerissen, um das Messer herausfallen zu lassen. Dem Kindermädchen sagte er, zwischen die Füße der Puppe zeigend: »Schau, hier ist der Wiwimacher!«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hast du denn heute eigentlich mit der Puppe gespielt?«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»Ich hab' die Füße auseinandergerissen, weißt warum? Weil ein Messerl drin war, was die Mammi gehabt hat. Das hab' ich hineingegeben, wo der Knopf quietscht, und dann hab' ich die Fuß' auseinandergerissen und dort ist es hinausgegangen.«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hast du die Füße auseinandergerissen? Damit du den Wiwimacher sehen kannst?«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»Er war ja auch zuerst da, da hab' ich ihn auch sehen können.«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hast du das Messer hineingegeben?«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»Ich weiß es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sieht denn das Messerl aus?«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bringt es mir.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dir gedacht, es ist vielleicht ein kleines Kind?«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»Nein, ich hab' mir gar nichts gedacht, aber der Storch hat, mir scheint, einmal ein kleines Kind gekriegt – oder wer.«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»Einmal. Ich hab's gehört, oder hab' ichs gar nicht gehört, oder hab' ich mich verredet?«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heißt verredet?«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»Es ist nicht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»Alles, was man sagt, ist ein bissel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»No ja, ein bißchen.«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(nach einem Übergange): »Wie hast du dir gedacht, kommen die Hendl auf die Welt?«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»Der Storch laßt sie halt wachsen, der Storch laßt die Hendl wachsen – nein, der liebe Gott.«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erkläre ihm, daß die Hendl Eier legen und aus den Eiern wieder Hendl kommen.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lacht.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»Warum lachst du?«</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»Weil mir's gefällt, was du mir da erzählst.«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sagt, er habe das bereits gesehen.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denn?«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»Bei dir!«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hab' ich ein Ei gelegt?«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»In Gmunden, ins Gras hast du ein Ei gelegt und auf einmal ist ein Hendl außigsprungen. Du hast einmal ein Ei gelegt, das weiß ich, das weiß ich ganz bestimmt. Weil mir's die Mammi gesagt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»Ich werde die Mammi fragen, ob das wahr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»Das ist gar nicht wahr, aber </w:t>
      </w:r>
      <w:r w:rsidRPr="004B6098">
        <w:rPr>
          <w:rFonts w:ascii="Garamond" w:hAnsi="Garamond"/>
          <w:i/>
          <w:iCs/>
          <w:sz w:val="20"/>
          <w:szCs w:val="20"/>
          <w:lang w:val="en-US" w:eastAsia="fr-FR"/>
        </w:rPr>
        <w:t>ich</w:t>
      </w:r>
      <w:r w:rsidRPr="004B6098">
        <w:rPr>
          <w:rFonts w:ascii="Garamond" w:hAnsi="Garamond"/>
          <w:sz w:val="20"/>
          <w:szCs w:val="20"/>
          <w:lang w:val="en-US" w:eastAsia="fr-FR"/>
        </w:rPr>
        <w:t xml:space="preserve"> hab' schon einmal ein Ei gelegt, da ist ein Hendl außigsprungen.«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Ich: »Wo?«</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»In Gmunden habe ich mich ins Gras gelegt, nein gekniet und da haben die Kinder gar nicht hergeschaut und auf einmal in der Früh hab' ich gesagt: Suchts, Kinder, gestern hab' ich ein Ei gelegt! Und auf einmal haben sie geschaut und auf einmal haben sie ein Ei gesehen und aus dem ist ein kleiner Hans gekommen. Was lachst du denn? Die Mammi weiß es nicht und die Karolin' weiß es nicht, weil niemand zugeschaut hat und auf einmal hab' ich ein Ei gelegt und auf einmal war's da. Wirklich. Vatti, wann wächst ein Hendl aus dem Ei? Wenn man es stehenläßt? Muß man das essen?«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erkläre ihm das.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»No ja, lassen's wir bei der Henne, dann wächst ein Hendl. Packen wir's in die Kiste und lassen wir's nach Gmunden fahren.«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hat die Leitung der Analyse mit einem kühnen Griffe an sich gerissen, da die Eltern mit den längst berechtigten Aufklärungen zögerten, und in einer glänzenden Symptomhandlung mitgeteilt: » </w:t>
      </w:r>
      <w:r w:rsidRPr="004B6098">
        <w:rPr>
          <w:rFonts w:ascii="Garamond" w:hAnsi="Garamond"/>
          <w:i/>
          <w:iCs/>
          <w:sz w:val="20"/>
          <w:szCs w:val="20"/>
          <w:lang w:val="en-US" w:eastAsia="fr-FR"/>
        </w:rPr>
        <w:t>Seht ihr, so stelle ich mir eine Geburt vor.</w:t>
      </w:r>
      <w:r w:rsidRPr="004B6098">
        <w:rPr>
          <w:rFonts w:ascii="Garamond" w:hAnsi="Garamond"/>
          <w:sz w:val="20"/>
          <w:szCs w:val="20"/>
          <w:lang w:val="en-US" w:eastAsia="fr-FR"/>
        </w:rPr>
        <w:t>« Was er dem Dienstmädchen über den Sinn seines Spieles mit der Puppe gesagt, war nicht aufrichtig; dem Vater gegenüber weist er es direkt ab, daß er nur den Wiwimacher sehen wollte. Nachdem ihm der Vater gleichsam als Abschlagszahlung die Entstehung der Hühnchen aus dem Ei erzählt hat, vereinigen sich seine Unbefriedigung, sein Mißtrauen und sein Besserwissen zu einer herrlichen Persiflage, die sich in seinen letzten Worten zu einer deutlichen Anspielung auf die Geburt der Schwester steigert.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hast du mit der Puppe gespielt?«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 ihr Grete gesagt.«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»Weil ich ihr Grete gesagt hab'.«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hast du dich gespielt?«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hab' sie halt so gepflegt wie ein wirkliches Kind.«</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»Möchtest du gerne ein kleines Mäderl haben?«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 Warum nicht? Ich mag eins kriegen, aber die Mammi darf keines kriegen, ich mag's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hat sich schon oft so ausgesprochen. Er fürchtet durch ein drittes Kind noch weiter verkürzt zu werden.)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»Es bekommt doch nur eine Frau ein Kind.«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krieg ein Mäderl.«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»Wo kriegst du es denn her?«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»No, vom Storch. </w:t>
      </w:r>
      <w:r w:rsidRPr="004B6098">
        <w:rPr>
          <w:rFonts w:ascii="Garamond" w:hAnsi="Garamond"/>
          <w:i/>
          <w:iCs/>
          <w:sz w:val="20"/>
          <w:szCs w:val="20"/>
          <w:lang w:val="en-US" w:eastAsia="fr-FR"/>
        </w:rPr>
        <w:t>Er nimmt das Mäderl heraus</w:t>
      </w:r>
      <w:r w:rsidRPr="004B6098">
        <w:rPr>
          <w:rFonts w:ascii="Garamond" w:hAnsi="Garamond"/>
          <w:sz w:val="20"/>
          <w:szCs w:val="20"/>
          <w:lang w:val="en-US" w:eastAsia="fr-FR"/>
        </w:rPr>
        <w:t xml:space="preserve">, und das Mäderl legt auf einmal ein Ei und aus dem Ei kommt dann noch eine Hanna heraus, noch eine Hanna. Aus der Hanna kommt noch eine Hanna. Nein, es kommt </w:t>
      </w:r>
      <w:r w:rsidRPr="004B6098">
        <w:rPr>
          <w:rFonts w:ascii="Garamond" w:hAnsi="Garamond"/>
          <w:i/>
          <w:iCs/>
          <w:sz w:val="20"/>
          <w:szCs w:val="20"/>
          <w:lang w:val="en-US" w:eastAsia="fr-FR"/>
        </w:rPr>
        <w:t>eine</w:t>
      </w:r>
      <w:r w:rsidRPr="004B6098">
        <w:rPr>
          <w:rFonts w:ascii="Garamond" w:hAnsi="Garamond"/>
          <w:sz w:val="20"/>
          <w:szCs w:val="20"/>
          <w:lang w:val="en-US" w:eastAsia="fr-FR"/>
        </w:rPr>
        <w:t xml:space="preserve"> Hanna heraus.«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möchtest gerne ein Mäderl haben.«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 </w:t>
      </w:r>
      <w:r w:rsidRPr="004B6098">
        <w:rPr>
          <w:rFonts w:ascii="Garamond" w:hAnsi="Garamond"/>
          <w:i/>
          <w:iCs/>
          <w:sz w:val="20"/>
          <w:szCs w:val="20"/>
          <w:lang w:val="en-US" w:eastAsia="fr-FR"/>
        </w:rPr>
        <w:t>Ja, nächstes Jahr krieg' ich eins</w:t>
      </w:r>
      <w:r w:rsidRPr="004B6098">
        <w:rPr>
          <w:rFonts w:ascii="Garamond" w:hAnsi="Garamond"/>
          <w:sz w:val="20"/>
          <w:szCs w:val="20"/>
          <w:lang w:val="en-US" w:eastAsia="fr-FR"/>
        </w:rPr>
        <w:t>, das wird auch Hanna heißen.«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soll denn die Mammi kein Mäderl bekommen?«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»Weil ich einmal ein Mäderl mag.«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kannst aber kein Mäderl bekommen.«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»O ja, ein Bub kriegt ein Mäderl und ein Mäderl kriegt einen Buben.« </w:t>
      </w:r>
      <w:hyperlink r:id="rId1091" w:history="1">
        <w:r w:rsidRPr="004B6098">
          <w:rPr>
            <w:rFonts w:ascii="Garamond" w:hAnsi="Garamond"/>
            <w:color w:val="0000FF"/>
            <w:sz w:val="20"/>
            <w:szCs w:val="20"/>
            <w:u w:val="single"/>
            <w:lang w:val="en-US" w:eastAsia="fr-FR"/>
          </w:rPr>
          <w:t>[Fußnote]Wiederum ein Stück infantiler Sexualtheorie mit ungeahntem Sinne.</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»Ein Bub bekommt keine Kinder. Kinder bekommen nur Frauen, Mammis.«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»Warum denn ich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»Weil der liebe Gott es so eingerichtet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t xml:space="preserve">Hans: »Warum kriegst denn du keines? </w:t>
      </w:r>
      <w:r w:rsidRPr="004B6098">
        <w:rPr>
          <w:rFonts w:ascii="Garamond" w:hAnsi="Garamond"/>
          <w:sz w:val="20"/>
          <w:szCs w:val="20"/>
          <w:lang w:val="en-US" w:eastAsia="fr-FR"/>
        </w:rPr>
        <w:t>O ja, du wirst schon eins kriegen, nur warten.«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 kann ich lang warten.«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gehör' doch dir.«</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Ich: »Aber die Mammi hat dich auf die Welt gebracht. </w:t>
      </w:r>
      <w:r w:rsidRPr="004B6098">
        <w:rPr>
          <w:rFonts w:ascii="Garamond" w:hAnsi="Garamond"/>
          <w:sz w:val="20"/>
          <w:szCs w:val="20"/>
          <w:lang w:eastAsia="fr-FR"/>
        </w:rPr>
        <w:t>Du gehörst dann der Mammi und mir.«</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»Gehört die Hanna mir oder der Mammi?«</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»Der Mammi.«</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 xml:space="preserve">Hans: »Nein, mir. </w:t>
      </w:r>
      <w:r w:rsidRPr="004B6098">
        <w:rPr>
          <w:rFonts w:ascii="Garamond" w:hAnsi="Garamond"/>
          <w:i/>
          <w:iCs/>
          <w:sz w:val="20"/>
          <w:szCs w:val="20"/>
          <w:lang w:eastAsia="fr-FR"/>
        </w:rPr>
        <w:t>Warum denn nicht mir und der Mammi?</w:t>
      </w:r>
      <w:r w:rsidRPr="004B6098">
        <w:rPr>
          <w:rFonts w:ascii="Garamond" w:hAnsi="Garamond"/>
          <w:sz w:val="20"/>
          <w:szCs w:val="20"/>
          <w:lang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»Die Hanna gehört mir, der Mammi und dir.«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»Na also!«</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Ein wesentliches Stück fehlt natürlich dem Kinde im Verständnisse der Sexualbeziehungen, solange das weibliche Genitale unentdeckt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24. April wird Hans von mir und meiner Frau soweit aufgeklärt, daß Kinder in der Mammi wachsen und dann, was große Schmerzen bereite, mittels Drückens wie ein »Lumpf« in die Welt gesetzt werden. Nachmittags sind wir vor dem Haus. Es ist bei ihm eine sichtliche Erleichterung eingetreten, er läuft Wagen nach, und nur der Umstand, daß er sich aus der Nähe des Haupttores nicht wegtraut, respektive zu keinem größeren Spaziergange zu bewegen ist, verrät den Rest von Angst.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25. April rennt mir Hans mit dem Kopfe in den Bauch, was er schon früher einmal getan hat. Ich frage ihn, ob er eine Ziege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Er sagt: »Ja ein Wieder« (Widder). – »Wo er einen Widder gesehen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Er: »In Gmunden, der Fritzl hat einen gehabt.« (Der Fritzl hat ein kleines, lebendes Schaf zum Spielen gehabt.)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»Von dem Lamperl mußt du mir erzählen, was hat es gemacht?«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»Du weißt, das Fräulein Mizzi (eine Lehrerin, die im Hause wohnte) hat immer die Hanna auf das Lamperl gesetzt, da hat es aber nicht aufstehen können, da hat es nicht stoßen können. Wenn man hingeht, stößt es schon, weil es Hörner hat. Der Fritzl tut's halt an der Schnur führen und an einen Baum anbinden. Er bindet's immer an einen Baum an.«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»Hat das Lamperl dich gestoßen?«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»Hinaufgesprungen ist es auf mich, der Fritzl hat mich einmal hingegeben . . . ich bin einmal hingegangen und hab's nicht gewußt, und auf einmal ist es auf mich hinaufgesprungen. Das war so lustig – erschrocken bin ich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ist gewiß unwahr.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den Vatti gern?«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»Vielleicht auch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(spielt mit einem kleinen Pferderl. In diesem Moment fällt das Pferdl um. Er schreit:) »Das Pferdl ist umgefallen! Siehst du, wie's Krawall 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»Etwas ärgert dich am Vatti, daß ihn die Mammi gern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weinst du also immer, wenn die Mammi mir einen Kuß gibt? Weil du eifersüchtig bist.«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»Das schon.«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möchtest du denn machen, wenn du der Vatti wärst?«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»Und du der Hans? – Da möcht ich dich jeden Sonntag nach Lainz fahren, nein, auch jeden Wochentag. Wenn ich der Vatti wär', wär' ich gar brav.«</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möchtest du mit der Mammi machen?«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»Auch nach Lainz mitnehmen.«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sonst noch?«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»Nix.«</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»Weshalb bist du denn eifersüchtig?«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»Das weiß ich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»In Gmunden warst du auch eifersüchtig?«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»In Gmunden nicht (das ist nicht wahr). In Gmunden hab' ich meine Sachen gehabt, einen Garten hab' ich in Gmunden gehabt und auch Kinder.«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»Kannst du dich erinnern, wie die Kuh das Kalberl bekommen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 Es ist mit einem Wagen dahergekommen (– das hat man ihm wohl damals in Gmunden gesagt; auch ein Stoß gegen die Storchtheorie –) und eine andere Kuh hat es aus dem Podl herausgedrückt.« (Das ist bereits die Frucht der Aufklärung, die er mit der »Wagerltheorie« in Einklang bringen will.)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ist ja nicht wahr, daß es mit einem Wagerl gekommen ist; es ist aus der Kuh gekommen, die im Stalle war.«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bestreitet es, sagt, er habe den Wagen in der Früh gesehen. Ich mache ihn aufmerksam, daß man ihm das wahrscheinlich erzählt hat, daß das Kalberl im Wagen gekommen sei. Er gibt es schließlich zu: »Es hat mir's wahrscheinlich die Berta gesagt oder nein – oder vielleicht der Hausherr. Er war dabei und es war doch Nacht, deshalb ist es doch wahr, wie ich's dir sage, oder mir scheint, es hat mir's niemand gesagt, ich hab' mir's in der Nacht gedacht.«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Das Kalberl wurde, wenn ich nicht irre, im Wagen weggeführt; daher die Verwechslung.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»Warum hast du dir nicht gedacht, der Storch hat's gebracht?«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»Das hab' ich mir nicht denken wollen.«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»Aber, daß die Hanna der Storch gebracht hat, hast du dir gedacht?«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Hans: »In der Früh (der Entbindung) hab' ich mir's gedacht. – Du Vatti, war der Herr Reisenbichler (der Hausherr) dabei, wie das Kalberl von der Kuh gekommen ist?« </w:t>
      </w:r>
      <w:hyperlink r:id="rId1092" w:history="1">
        <w:r w:rsidRPr="004B6098">
          <w:rPr>
            <w:rFonts w:ascii="Garamond" w:hAnsi="Garamond"/>
            <w:color w:val="0000FF"/>
            <w:sz w:val="20"/>
            <w:szCs w:val="20"/>
            <w:u w:val="single"/>
            <w:lang w:eastAsia="fr-FR"/>
          </w:rPr>
          <w:t>[Fußnote]Hans, der Grund hat, gegen die Mitteilungen der Erwachsenen mißtrauisch zu sein, erwägt hier, ob der Hausherr glaubwürdiger sei als der Vater.</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»Ich weiß nicht. Glaubst du?«</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glaub schon . . . Vatti, hast du schon öfter gesehen, wie ein Pferd etwas Schwarzes am Mund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»Ich hab's schon öfter gesehen auf der Straße in Gmunden.« </w:t>
      </w:r>
      <w:hyperlink r:id="rId1093" w:history="1">
        <w:r w:rsidRPr="004B6098">
          <w:rPr>
            <w:rFonts w:ascii="Garamond" w:hAnsi="Garamond"/>
            <w:color w:val="0000FF"/>
            <w:sz w:val="20"/>
            <w:szCs w:val="20"/>
            <w:u w:val="single"/>
            <w:lang w:val="en-US" w:eastAsia="fr-FR"/>
          </w:rPr>
          <w:t>[Fußnote]Der Zusammenhang ist der: Das mit dem Schwarzen am Munde der Pferde hat ihm der Vater lange nicht glauben wollen, bis es sich endlich hat verifizieren lassen.</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»In Gmunden warst du oft im Bett bei der Mammi?«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dann hast dir gedacht, du bist der Vatti?«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dann hast du dich vor dem Vatti gefürchtet?«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 xml:space="preserve">Hans: » </w:t>
      </w:r>
      <w:r w:rsidRPr="004B6098">
        <w:rPr>
          <w:rFonts w:ascii="Garamond" w:hAnsi="Garamond"/>
          <w:i/>
          <w:iCs/>
          <w:sz w:val="20"/>
          <w:szCs w:val="20"/>
          <w:lang w:eastAsia="fr-FR"/>
        </w:rPr>
        <w:t>Du weißt ja alles, ich hab' nichts gewußt.</w:t>
      </w:r>
      <w:r w:rsidRPr="004B6098">
        <w:rPr>
          <w:rFonts w:ascii="Garamond" w:hAnsi="Garamond"/>
          <w:sz w:val="20"/>
          <w:szCs w:val="20"/>
          <w:lang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der Fritzl gefallen ist, hast du dir gedacht, wenn der Vatti so fallen möchte, und wie dich das Lamperl gestoßen hat, wenn es den Vatti stoßen möcht'. Kannst du dich an das Begräbnis in Gmunden erinnern?« (Das erste Begräbnis, das Hans sah. Er erinnert sich öfter daran, eine zweifellose Deckerinnerung.)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Hans: »Ja, was war da?«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 hast du gedacht, wenn der Vatti sterben möcht', wärst du der Vatti.«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»Vor welchen Wagen fürchtest du dich eigentlich noch?«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»Vor allen.«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ist doch nicht wahr.«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»Vor Fiakern, Einspännern nicht. Vor Stellwagen, vor Gepäckwagen, aber nur, wenn sie aufgeladen haben, wenn sie aber leer sind, nicht. Wenn es ein Pferd ist und voll aufgeladen hat, da fürcht' ich mich, und wenn's zwei Pferde sind und voll aufgeladen haben, da fürcht' ich mich nicht.«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»Vor den Stellwagen fürchtest du dich, weil drin soviel Leute sind?«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»Weil am Dach soviel Gepäck ist.«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»Hat die Mammi, wie sie die Hanna bekommen hat, nicht auch voll aufgeladen?«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»Die Mammi wird wieder voll aufgeladen sein, wenn sie wieder einmal eins haben wird, bis wieder eins wachsen wird, bis wieder eins drin sein wird.«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»Das möchtest du halt gern.«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hast gesagt, du willst nicht, daß die Mammi noch ein Kind bekommen soll.«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»So wird sie halt nicht mehr aufgeladen sein. Die Mammi hat gesagt, wenn die Mammi keins will, will's der liebe Gott auch nicht. Wird die Mammi auch keins wollen, so wird sie keins bekommen.«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hat natürlich gestern auch gefragt, ob in der Mammi noch Kinder sind. Ich habe ihm gesagt, nein, wenn der liebe Gott nicht will, wird's in ihr auch nicht wachsen.)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»Aber die Mammi hat mir gesagt, wenn sie nicht will, wird keins mehr wachsen, und du sagst, wenn der liebe Gott nicht will.«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sagte ihm also, daß es so ist, wie ich gesagt habe, worauf er bemerkt: »Du warst doch dabei? Du weißt es gewiß besser.« – Er stellte also die Mama zur Rede, und die stellte die Konkordanz her, indem sie erklärte, wenn sie nicht wolle, wolle auch der liebe Gott nicht </w:t>
      </w:r>
      <w:hyperlink r:id="rId1094" w:history="1">
        <w:r w:rsidRPr="004B6098">
          <w:rPr>
            <w:rFonts w:ascii="Garamond" w:hAnsi="Garamond"/>
            <w:color w:val="0000FF"/>
            <w:sz w:val="20"/>
            <w:szCs w:val="20"/>
            <w:u w:val="single"/>
            <w:lang w:val="en-US" w:eastAsia="fr-FR"/>
          </w:rPr>
          <w:t>[Fußnote]</w:t>
        </w:r>
        <w:r w:rsidRPr="004B6098">
          <w:rPr>
            <w:rFonts w:ascii="Garamond" w:hAnsi="Garamond"/>
            <w:i/>
            <w:iCs/>
            <w:color w:val="0000FF"/>
            <w:sz w:val="20"/>
            <w:szCs w:val="20"/>
            <w:u w:val="single"/>
            <w:lang w:val="en-US" w:eastAsia="fr-FR"/>
          </w:rPr>
          <w:t>Ce que femme veut Dieu veut.</w:t>
        </w:r>
        <w:r w:rsidRPr="004B6098">
          <w:rPr>
            <w:rFonts w:ascii="Garamond" w:hAnsi="Garamond"/>
            <w:color w:val="0000FF"/>
            <w:sz w:val="20"/>
            <w:szCs w:val="20"/>
            <w:u w:val="single"/>
            <w:lang w:val="en-US" w:eastAsia="fr-FR"/>
          </w:rPr>
          <w:t xml:space="preserve"> Hans hat hier in seinem Scharfsinne wieder ein sehr ernsthaftes Problem entdeckt.</w:t>
        </w:r>
      </w:hyperlink>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vertAlign w:val="superscript"/>
          <w:lang w:val="en-US" w:eastAsia="fr-FR"/>
        </w:rPr>
        <w:t>1</w:t>
      </w:r>
      <w:r w:rsidRPr="004B6098">
        <w:rPr>
          <w:rFonts w:ascii="Garamond" w:hAnsi="Garamond"/>
          <w:sz w:val="20"/>
          <w:szCs w:val="20"/>
          <w:lang w:val="en-US" w:eastAsia="fr-FR"/>
        </w:rPr>
        <w:t xml:space="preserve"> [Möglicherweise müßte das ganze Stück des Dialogs von den Worten »Hans hat natürlich gestern...« bis »wolle auch der liebe Gott nicht« in Klammern gesetzt werden, da alles sich am Tage vorher abgespielt hatte und nun erst berichtet wird. Als Freud von seinen englischen Obersetzern (im Jahre 1923) darauf aufmerksam gemacht wurde, gab er zu, daß es wahrscheinlich so gewesen sei, meinte aber, man sollte den Text doch unverändert lassen, da es sich um die Nachschrift der Aufzeichnungen von Hansens Vater handele.]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»Mir scheint, du wünschest doch, die Mammi soll ein Kind bekommen?«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»Aber haben will ich's nicht.«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»Aber du wünschest es?«</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»Wünschen schon.«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»Weißt du, warum du es wünschest? Weil du gern der Vatti sein möchst.«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 . . Wie ist die Geschicht'?«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»Welche Geschicht'?«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»Ein Vatti kriegt doch kein Kind, wie ist die Geschicht' dann, wenn ich gern der Vatti sein möcht'?«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möchtest der Vatti sein und mit der Mammi verheiratet sein, möchtest so groß sein wie ich und einen Schnurrbart haben und möchtest, daß die Mammi ein Kind bekommen soll.«</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»Vatti, und bis ich verheiratet sein werde, werde ich nur eines kriegen, wenn ich will, wenn ich mit der Mammi verheiratet sein werde, und wenn ich kein Kind will, will der liebe Gott auch nicht, wenn ich geheiratet hab'«</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»Möchtest du gern mit der Mammi verheiratet sein?«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Man merkt es deutlich, wie das Glück in der Phantasie noch durch die Unsicherheit über die Rolle des Vaters und die Zweifel an der Beherrschung des Kinderkriegens gestört wird.</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Abend desselben Tages sagt Hans, wie er ins Bett gelegt wird, zu mir: »Du, weißt du, was ich jetzt mach'? Jetzt sprech' ich noch bis 10 Uhr mit der Grete, die ist bei mir im Bett. Immer sind meine Kinder bei mir im Bett. Kannst du mir sagen, wie das ist?« – Da er schon sehr schläfrig ist, verspreche ich ihm, wir würden das morgen aufschreiben, und er schläft 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Aus den früheren Aufzeichnungen ergibt sich, daß Hans seit seiner Rückkehr von Gmunden immer von seinen »Kindern« phantasiert, er führt mit ihnen Gespräche usw. </w:t>
      </w:r>
      <w:hyperlink r:id="rId1095" w:history="1">
        <w:r w:rsidRPr="004B6098">
          <w:rPr>
            <w:rFonts w:ascii="Garamond" w:hAnsi="Garamond"/>
            <w:color w:val="0000FF"/>
            <w:sz w:val="20"/>
            <w:szCs w:val="20"/>
            <w:u w:val="single"/>
            <w:lang w:val="en-US" w:eastAsia="fr-FR"/>
          </w:rPr>
          <w:t>[Fußnote]Es ist keine Nötigung, hier bei Hans einen femininen Zug von Sehnsucht nach Kinderhaben anzunehmen. Da er seine beseligenden Erlebnisse als Kind bei der Mutter gehabt hat, wiederholt er diese nun in aktiver Rolle, wobei er selbst die Mutter spielen muß.</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26. April frage ich ihn also, warum er denn immer von seinen Kindern spricht.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»Warum? </w:t>
      </w:r>
      <w:r w:rsidRPr="004B6098">
        <w:rPr>
          <w:rFonts w:ascii="Garamond" w:hAnsi="Garamond"/>
          <w:i/>
          <w:iCs/>
          <w:sz w:val="20"/>
          <w:szCs w:val="20"/>
          <w:lang w:val="en-US" w:eastAsia="fr-FR"/>
        </w:rPr>
        <w:t>Weil ich so gerne Kinder haben mag, aber ich wünsch' mir's nie, haben mag ich sie nicht.</w:t>
      </w:r>
      <w:r w:rsidRPr="004B6098">
        <w:rPr>
          <w:rFonts w:ascii="Garamond" w:hAnsi="Garamond"/>
          <w:sz w:val="20"/>
          <w:szCs w:val="20"/>
          <w:lang w:val="en-US" w:eastAsia="fr-FR"/>
        </w:rPr>
        <w:t xml:space="preserve">« </w:t>
      </w:r>
      <w:hyperlink r:id="rId1096" w:history="1">
        <w:r w:rsidRPr="004B6098">
          <w:rPr>
            <w:rFonts w:ascii="Garamond" w:hAnsi="Garamond"/>
            <w:color w:val="0000FF"/>
            <w:sz w:val="20"/>
            <w:szCs w:val="20"/>
            <w:u w:val="single"/>
            <w:lang w:val="en-US" w:eastAsia="fr-FR"/>
          </w:rPr>
          <w:t>[Fußnote]Der so auffällige Widerspruch ist der zwischen Phantasie und Wirklichkeit – wünschen und haben. Er weiß, daß er in Wirklichkeit Kind ist, da würden ihn andere Kinder nur stören, in der Phantasie ist er Mutter und braucht Kinder, mit denen er die selbst erlebten Zärtlichkeiten wiederholen kann.</w:t>
        </w:r>
      </w:hyperlink>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Ich: »Hast du dir immer vorgestellt, die Berta, die Olga usw. sind deine Kinder?«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der Franzl, der Fritzl und der Paul (sein Gespiele in Lainz) auch und die Lodi.« Ein fingierter Name. Sein Lieblingskind, von dem er am öftesten spricht. – Ich betone hier, daß die Persönlichkeit der Lodi nicht erst seit einigen Tagen, seit dem Datum der letzten Aufklärung (24. April), besteht.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»Wer ist die Lodi? Ist sie in Gmunden?«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»Nein.«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»Gibts eine Lodi?«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ich kenn' sie schon.«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»Welche denn?«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»Die da, die ich hab'.«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sieht sie denn aus?«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»Wie? Schwarze Augen, schwarze Haare . . . ich hab' sie einmal mit der Mariedl (in Gmunden) getroffen, wie ich in die Stadt gegangen bin.«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Wie ich Näheres wissen will, stellt sich heraus, daß dies erfunden ist </w:t>
      </w:r>
      <w:hyperlink r:id="rId1097" w:history="1">
        <w:r w:rsidRPr="004B6098">
          <w:rPr>
            <w:rFonts w:ascii="Garamond" w:hAnsi="Garamond"/>
            <w:color w:val="0000FF"/>
            <w:sz w:val="20"/>
            <w:szCs w:val="20"/>
            <w:u w:val="single"/>
            <w:lang w:val="en-US" w:eastAsia="fr-FR"/>
          </w:rPr>
          <w:t>[Fußnote]Es könnte doch sein, daß Hans eine zufällige Begegnung in Gmunden zum Ideal erhoben hat, das übrigens in der Farbe von Augen und Haaren der Mutter nachgebildet ist.</w:t>
        </w:r>
      </w:hyperlink>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hast also gedacht, du bist die Mammi?«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»Ich war auch wirklich die Mammi.«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hast du denn mit den Kindern gemacht?«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»Bei mir hab' ich sie schlafen lassen, Mädeln und Buben.«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»Jeden Tag?«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»Na freilich.«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»Hast du mit ihnen gesprochen?«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»Wenn alle Kinder nicht ins Bett hineingegangen sind, habe ich welche Kinder aufs Sofa gelegt und welche in den Kinderwagen gesetzt, wenn noch übrig geblieben sind, hab' ich sie am Boden getragen und in die Kiste gelegt, da waren noch Kinder und ich hab' sie in die andere Kiste gelegt.«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»Also die Storchenkinderkisten sind am Boden gestanden?«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»Wann hast du die Kinder bekommen? War die Hanna schon auf der Welt?«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schon lange.«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»Aber von wem hast du dir gedacht, daß du die Kinder bekommen hast?«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Hans: » </w:t>
      </w:r>
      <w:r w:rsidRPr="004B6098">
        <w:rPr>
          <w:rFonts w:ascii="Garamond" w:hAnsi="Garamond"/>
          <w:i/>
          <w:iCs/>
          <w:sz w:val="20"/>
          <w:szCs w:val="20"/>
          <w:lang w:val="en-US" w:eastAsia="fr-FR"/>
        </w:rPr>
        <w:t>No, von mir.</w:t>
      </w:r>
      <w:r w:rsidRPr="004B6098">
        <w:rPr>
          <w:rFonts w:ascii="Garamond" w:hAnsi="Garamond"/>
          <w:sz w:val="20"/>
          <w:szCs w:val="20"/>
          <w:lang w:val="en-US" w:eastAsia="fr-FR"/>
        </w:rPr>
        <w:t xml:space="preserve">« </w:t>
      </w:r>
      <w:hyperlink r:id="rId1098" w:history="1">
        <w:r w:rsidRPr="004B6098">
          <w:rPr>
            <w:rFonts w:ascii="Garamond" w:hAnsi="Garamond"/>
            <w:color w:val="0000FF"/>
            <w:sz w:val="20"/>
            <w:szCs w:val="20"/>
            <w:u w:val="single"/>
            <w:lang w:eastAsia="fr-FR"/>
          </w:rPr>
          <w:t>[Fußnote]Hans kann nicht anders als vom Standpunkte des Autoerotismus antworten.</w:t>
        </w:r>
      </w:hyperlink>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»Damals hast du aber noch gar nicht gewußt, daß die Kinder von einem 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»Ich hab' mir gedacht, der Storch hat sie gebracht.« (Offenbar Lüge und Ausflucht) </w:t>
      </w:r>
      <w:hyperlink r:id="rId1099" w:history="1">
        <w:r w:rsidRPr="004B6098">
          <w:rPr>
            <w:rFonts w:ascii="Garamond" w:hAnsi="Garamond"/>
            <w:color w:val="0000FF"/>
            <w:sz w:val="20"/>
            <w:szCs w:val="20"/>
            <w:u w:val="single"/>
            <w:lang w:val="en-US" w:eastAsia="fr-FR"/>
          </w:rPr>
          <w:t>[Fußnote]Es sind Phantasie-, d. h. Onaniekinder.</w:t>
        </w:r>
      </w:hyperlink>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»Gestern war die Grete bei dir, aber du weißt doch schon, daß ein Bub keine Kinder haben kann.«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»No ja, ich glaub's aber doch.«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»Wie bist du auf den Namen Lodi gekommen? So heißt doch kein Mäderl. Vielleicht Lotti?«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»O nein, Lodi. Ich weiß nicht, aber ein schöner Name ist es doch.«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(scherzend): »Meinst du vielleicht eine Schokolodi?«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(sofort): »Nein, eine Saffalodi </w:t>
      </w:r>
      <w:hyperlink r:id="rId1100" w:history="1">
        <w:r w:rsidRPr="004B6098">
          <w:rPr>
            <w:rFonts w:ascii="Garamond" w:hAnsi="Garamond"/>
            <w:color w:val="0000FF"/>
            <w:sz w:val="20"/>
            <w:szCs w:val="20"/>
            <w:u w:val="single"/>
            <w:lang w:val="en-US" w:eastAsia="fr-FR"/>
          </w:rPr>
          <w:t>[Fußnote]Saffaladi = Zervelatwurst. Meine Frau erzählt gern, daß ihre Tante immer Soffilodi sagt, das mag er gehört haben. [Anmerkung des Vaters.]</w:t>
        </w:r>
      </w:hyperlink>
      <w:r w:rsidRPr="004B6098">
        <w:rPr>
          <w:rFonts w:ascii="Garamond" w:hAnsi="Garamond"/>
          <w:sz w:val="20"/>
          <w:szCs w:val="20"/>
          <w:lang w:val="en-US" w:eastAsia="fr-FR"/>
        </w:rPr>
        <w:t> . . . weil ich so gern Wurst essen tu, Salami auch.«</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»Du, sieht eine Saffalodi nicht wie ein Lumpf aus?«</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»Ja!«</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»Wie sieht denn ein Lumpf aus?«</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»Schwarz. Weißt (zeigt auf meine Augenbrauen und Schnurrbart) wie das und das.«</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eastAsia="fr-FR"/>
        </w:rPr>
        <w:t xml:space="preserve">Ich: »Wie noch? </w:t>
      </w:r>
      <w:r w:rsidRPr="004B6098">
        <w:rPr>
          <w:rFonts w:ascii="Garamond" w:hAnsi="Garamond"/>
          <w:sz w:val="20"/>
          <w:szCs w:val="20"/>
          <w:lang w:val="en-US" w:eastAsia="fr-FR"/>
        </w:rPr>
        <w:t>Rund wie eine Saffaladi?«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»Wenn du am Topf gesessen bist und ein Lumpf gekommen ist, hast du dir gedacht, daß du ein Kind bekommst?«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(lachend): »Ja, in der —gasse schon und auch hier.«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»Weißt du, wie die Stellwagenpferde umgefallen sind? Der Wagen sieht doch wie eine Kinderkiste aus, und wenn das schwarze Pferd umgefallen ist, war es so . .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(ergänzend): »Wie wenn man ein Kind bekommt.«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was hast du dir gedacht, wie es mit den Füßen Krawall gemacht hat?«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»Na, wenn ich mich nicht will am Topf setzen und lieber spielen, dann mach' ich so mit den Füßen Krawall.« (Er stampft mit den Füßen auf.)</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Daher interessierte es ihn so sehr, ob man </w:t>
      </w:r>
      <w:r w:rsidRPr="004B6098">
        <w:rPr>
          <w:rFonts w:ascii="Garamond" w:hAnsi="Garamond"/>
          <w:i/>
          <w:iCs/>
          <w:sz w:val="20"/>
          <w:szCs w:val="20"/>
          <w:lang w:val="en-US" w:eastAsia="fr-FR"/>
        </w:rPr>
        <w:t>gern</w:t>
      </w:r>
      <w:r w:rsidRPr="004B6098">
        <w:rPr>
          <w:rFonts w:ascii="Garamond" w:hAnsi="Garamond"/>
          <w:sz w:val="20"/>
          <w:szCs w:val="20"/>
          <w:lang w:val="en-US" w:eastAsia="fr-FR"/>
        </w:rPr>
        <w:t xml:space="preserve"> oder </w:t>
      </w:r>
      <w:r w:rsidRPr="004B6098">
        <w:rPr>
          <w:rFonts w:ascii="Garamond" w:hAnsi="Garamond"/>
          <w:i/>
          <w:iCs/>
          <w:sz w:val="20"/>
          <w:szCs w:val="20"/>
          <w:lang w:val="en-US" w:eastAsia="fr-FR"/>
        </w:rPr>
        <w:t>ungern</w:t>
      </w:r>
      <w:r w:rsidRPr="004B6098">
        <w:rPr>
          <w:rFonts w:ascii="Garamond" w:hAnsi="Garamond"/>
          <w:sz w:val="20"/>
          <w:szCs w:val="20"/>
          <w:lang w:val="en-US" w:eastAsia="fr-FR"/>
        </w:rPr>
        <w:t xml:space="preserve"> Kinder bekommt.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val="en-US" w:eastAsia="fr-FR"/>
        </w:rPr>
        <w:t xml:space="preserve">Hans spielt heute fortwährend Gepäckkisten auf- und abladen, wünscht sich auch einen Leiterwagen mit solchen Kisten als Spielzeug. Im Hofe des Hauptzollamtes gegenüber interessierte ihn am meisten das Auf- und Abladen der Wagen. Er erschrak auch am heftigsten, wenn ein Wagen aufgeladen hatte und fortfahren sollte. »Die Pferde werden </w:t>
      </w:r>
      <w:r w:rsidRPr="004B6098">
        <w:rPr>
          <w:rFonts w:ascii="Garamond" w:hAnsi="Garamond"/>
          <w:sz w:val="20"/>
          <w:szCs w:val="20"/>
          <w:lang w:val="en-US" w:eastAsia="fr-FR"/>
        </w:rPr>
        <w:lastRenderedPageBreak/>
        <w:t xml:space="preserve">fallen.« </w:t>
      </w:r>
      <w:hyperlink r:id="rId1101" w:history="1">
        <w:r w:rsidRPr="004B6098">
          <w:rPr>
            <w:rFonts w:ascii="Garamond" w:hAnsi="Garamond"/>
            <w:color w:val="0000FF"/>
            <w:sz w:val="20"/>
            <w:szCs w:val="20"/>
            <w:u w:val="single"/>
            <w:lang w:eastAsia="fr-FR"/>
          </w:rPr>
          <w:t>[Fußnote]Heißt man es nicht »niederkommen«, wenn eine Frau gebärt?</w:t>
        </w:r>
      </w:hyperlink>
      <w:r w:rsidRPr="004B6098">
        <w:rPr>
          <w:rFonts w:ascii="Garamond" w:hAnsi="Garamond"/>
          <w:sz w:val="20"/>
          <w:szCs w:val="20"/>
          <w:lang w:eastAsia="fr-FR"/>
        </w:rPr>
        <w:t xml:space="preserve"> Die Türen des Hauptzollamtsschuppens nannte er »Loch« (das erste, zweite, dritte . . . Loch). Jetzt sagt er »Podlloch«.</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Die Angst ist fast gänzlich geschwunden, nur will er in der Nähe des Hauses bleiben, um einen Rückzug zu haben, wenn er sich fürchten sollte. Er flüchtet aber nie mehr ins Haus hinein, bleibt immer auf der Straße. Bekanntlich hat das Kranksein damit begonnen, daß er auf dem Spaziergange weinend umkehrte, und als man ihn ein zweites Mal zwang, spazierenzugehen, nur bis zur Stadtbahnstation »Hauptzollamt« ging, von der aus man unsere Wohnung noch sieht. Bei der Entbindung der Frau war er natürlich von ihr getrennt, und die jetzige Angst, die ihn hindert, die Nähe des Hauses aufzugeben, ist noch die damalige Sehnsucht.</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 </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30. April. Da Hans wieder mit seinen imaginären Kindern spielt, sage ich ihm: »Wieso leben denn deine Kinder noch? Du weißt ja, daß ein Bub keine Kinder bekommen kann.«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»Das weiß ich. Früher war ich die Mammi, </w:t>
      </w:r>
      <w:r w:rsidRPr="004B6098">
        <w:rPr>
          <w:rFonts w:ascii="Garamond" w:hAnsi="Garamond"/>
          <w:i/>
          <w:iCs/>
          <w:sz w:val="20"/>
          <w:szCs w:val="20"/>
          <w:lang w:val="en-US" w:eastAsia="fr-FR"/>
        </w:rPr>
        <w:t>jetzt bin ich der Vatti</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»Und wer ist die Mammi zu den Kindern?«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Hans: »No, die Mammi, und du bist der </w:t>
      </w:r>
      <w:r w:rsidRPr="004B6098">
        <w:rPr>
          <w:rFonts w:ascii="Garamond" w:hAnsi="Garamond"/>
          <w:i/>
          <w:iCs/>
          <w:sz w:val="20"/>
          <w:szCs w:val="20"/>
          <w:lang w:val="en-US" w:eastAsia="fr-FR"/>
        </w:rPr>
        <w:t>Großvatti</w:t>
      </w:r>
      <w:r w:rsidRPr="004B6098">
        <w:rPr>
          <w:rFonts w:ascii="Garamond" w:hAnsi="Garamond"/>
          <w:sz w:val="20"/>
          <w:szCs w:val="20"/>
          <w:lang w:val="en-US" w:eastAsia="fr-FR"/>
        </w:rPr>
        <w: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»Also du möchtest so groß sein wie ich, mit der Mammi verheiratet sein, und sie soll dann Kinder bekommen.«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das möcht' ich und die Lainzerin (meine Mutter) ist dann die Großmammi.«</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Es geht alles gut aus. Der kleine Ödipus hat eine glücklichere Lösung gefunden, als vom Schicksal vorgeschrieben ist. Er gönnt seinem Vater, anstatt ihn zu beseitigen, dasselbe Glück, das er für sich verlangt; er ernennt ihn zum Großvater und verheiratet auch ihn mit der eigenen Mutter.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Am 1. Mai kommt Hans mittags zu mir und sagt: »Weißt was? Schreiben wir was für den Professor auf.«</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»Was denn?«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»Vormittag war ich mit allen meinen Kindern auf dem Klosett. Zuerst hab' ich Lumpf gemacht und Wiwi und sie haben zugeschaut. Dann hab' ich sie aufs Klosett gesetzt und sie haben Wiwi und Lumpf gemacht und ich hab' ihnen den Podl mit Papier ausgewischt. Weißt warum? Weil ich so gerne Kinder haben möcht', dann möcht' ich ihnen alles tun, sie aufs Klosett führen, ihnen den Podl abputzen, halt alles, was man mit Kindern tut.«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Es wird nach dem Geständnisse dieser Phantasie wohl kaum angehen, die an die exkrementellen Funktionen geknüpfte Lust bei Hans in Abrede zu stellen.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Nachmittags wagt er sich zum erstenmal in den Stadtpark. Da es 1. Mai ist, fahren wohl weniger Wagen als sonst, immerhin genug, die ihn bisher abgeschreckt haben. Er ist sehr stolz auf seine Leistung, und ich muß mit ihm nach der Jause noch einmal in den Stadtpark gehen. Auf dem Wege treffen wir einen Stellwagen, den er mir zeigt: »Schau, einen Storchenkistenwagen!« Wenn er, wie geplant ist, morgen mit mir wieder in den Stadtpark geht, kann man die Krankheit wohl als geheilt ansehen.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Am 2. Mai früh kommt Hans: »Du, ich hab' mir heute was gedacht.« Zuerst hat er's vergessen, später erzählt er unter beträchtlichen Widerständen: » </w:t>
      </w:r>
      <w:r w:rsidRPr="004B6098">
        <w:rPr>
          <w:rFonts w:ascii="Garamond" w:hAnsi="Garamond"/>
          <w:i/>
          <w:iCs/>
          <w:sz w:val="20"/>
          <w:szCs w:val="20"/>
          <w:lang w:val="en-US" w:eastAsia="fr-FR"/>
        </w:rPr>
        <w:t>Es ist der Installateur gekommen und hat mir mit einer Zange zuerst den Podl weggenommen und hat mir dann einen andern gegeben und dann den Wiwimacher</w:t>
      </w:r>
      <w:r w:rsidRPr="004B6098">
        <w:rPr>
          <w:rFonts w:ascii="Garamond" w:hAnsi="Garamond"/>
          <w:sz w:val="20"/>
          <w:szCs w:val="20"/>
          <w:lang w:val="en-US" w:eastAsia="fr-FR"/>
        </w:rPr>
        <w:t>. Er hat gesagt: Laß den Podl sehen und ich hab' mich umdrehen müssen, und er hat ihn weggenommen und dann hat er gesagt: Laß den Wiwimacher sehen.«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Der Vater erfaßt den Charakter der Wunschphantasie und zweifelt keinen Moment an der einzig gestatteten Deutung.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Ich: »Er hat dir einen </w:t>
      </w:r>
      <w:r w:rsidRPr="004B6098">
        <w:rPr>
          <w:rFonts w:ascii="Garamond" w:hAnsi="Garamond"/>
          <w:i/>
          <w:iCs/>
          <w:sz w:val="20"/>
          <w:szCs w:val="20"/>
          <w:lang w:val="en-US" w:eastAsia="fr-FR"/>
        </w:rPr>
        <w:t>größeren</w:t>
      </w:r>
      <w:r w:rsidRPr="004B6098">
        <w:rPr>
          <w:rFonts w:ascii="Garamond" w:hAnsi="Garamond"/>
          <w:sz w:val="20"/>
          <w:szCs w:val="20"/>
          <w:lang w:val="en-US" w:eastAsia="fr-FR"/>
        </w:rPr>
        <w:t xml:space="preserve"> Wiwimacher und einen </w:t>
      </w:r>
      <w:r w:rsidRPr="004B6098">
        <w:rPr>
          <w:rFonts w:ascii="Garamond" w:hAnsi="Garamond"/>
          <w:i/>
          <w:iCs/>
          <w:sz w:val="20"/>
          <w:szCs w:val="20"/>
          <w:lang w:val="en-US" w:eastAsia="fr-FR"/>
        </w:rPr>
        <w:t>größeren</w:t>
      </w:r>
      <w:r w:rsidRPr="004B6098">
        <w:rPr>
          <w:rFonts w:ascii="Garamond" w:hAnsi="Garamond"/>
          <w:sz w:val="20"/>
          <w:szCs w:val="20"/>
          <w:lang w:val="en-US" w:eastAsia="fr-FR"/>
        </w:rPr>
        <w:t xml:space="preserve"> Podl gegeben.«</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Hans: »Ja.«</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Ich: »Wie der Vatti sie hat, weil du gerne der Vatti sein möchtest?«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Hans: »Ja, und so einen Schnurrbart wie du möcht' ich auch haben und solche Haare.« (Deutet auf die Haare an meiner Brust.)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Die Deutung der vor einiger Zeit erzählten Phantasie: Der Installateur ist gekommen und hat die Badewanne abgeschraubt und hat mir dann einen Bohrer in den Bauch eingesetzt, rektifiziert sich demnach: Die große Badewanne bedeutet den »Podl«, der Bohrer oder Schraubenzieher, wie damals schon gedeutet, den Wiwimacher </w:t>
      </w:r>
      <w:hyperlink r:id="rId1102" w:history="1">
        <w:r w:rsidRPr="004B6098">
          <w:rPr>
            <w:rFonts w:ascii="Garamond" w:hAnsi="Garamond"/>
            <w:color w:val="0000FF"/>
            <w:sz w:val="20"/>
            <w:szCs w:val="20"/>
            <w:u w:val="single"/>
            <w:lang w:val="en-US" w:eastAsia="fr-FR"/>
          </w:rPr>
          <w:t xml:space="preserve">[Fußnote]Vielleicht darf man hinzusetzen, daß der »Bohrer« nicht ohne Beziehung auf das Wort »geboren«, »Geburt« gewählt worden ist. Das Kind würde so zwischen »gebohrt« und »geboren« keinen Unterschied machen. Ich akzeptiere diese mir von einem kundigen Kollegen mitgeteilte Vermutung, weiß aber nicht zu sagen, ob hier ein tieferer allgemeiner Zusammenhang oder die Ausnützung eines dem Deutschen eigentümlichen Sprachzufalles vorliegt. Auch Prometheus (Pramantha), der Menschenschöpfer, ist etymologisch der »Bohrer«. Vgl. Abraham, </w:t>
        </w:r>
        <w:r w:rsidRPr="004B6098">
          <w:rPr>
            <w:rFonts w:ascii="Garamond" w:hAnsi="Garamond"/>
            <w:i/>
            <w:iCs/>
            <w:color w:val="0000FF"/>
            <w:sz w:val="20"/>
            <w:szCs w:val="20"/>
            <w:u w:val="single"/>
            <w:lang w:val="en-US" w:eastAsia="fr-FR"/>
          </w:rPr>
          <w:t>Traum und Mythus</w:t>
        </w:r>
        <w:r w:rsidRPr="004B6098">
          <w:rPr>
            <w:rFonts w:ascii="Garamond" w:hAnsi="Garamond"/>
            <w:color w:val="0000FF"/>
            <w:sz w:val="20"/>
            <w:szCs w:val="20"/>
            <w:u w:val="single"/>
            <w:lang w:val="en-US" w:eastAsia="fr-FR"/>
          </w:rPr>
          <w:t xml:space="preserve">. 4. Heft der </w:t>
        </w:r>
        <w:r w:rsidRPr="004B6098">
          <w:rPr>
            <w:rFonts w:ascii="Garamond" w:hAnsi="Garamond"/>
            <w:i/>
            <w:iCs/>
            <w:color w:val="0000FF"/>
            <w:sz w:val="20"/>
            <w:szCs w:val="20"/>
            <w:u w:val="single"/>
            <w:lang w:val="en-US" w:eastAsia="fr-FR"/>
          </w:rPr>
          <w:t>Schriften zur angewandten Seelenkunde</w:t>
        </w:r>
        <w:r w:rsidRPr="004B6098">
          <w:rPr>
            <w:rFonts w:ascii="Garamond" w:hAnsi="Garamond"/>
            <w:color w:val="0000FF"/>
            <w:sz w:val="20"/>
            <w:szCs w:val="20"/>
            <w:u w:val="single"/>
            <w:lang w:val="en-US" w:eastAsia="fr-FR"/>
          </w:rPr>
          <w:t>, 1909.</w:t>
        </w:r>
      </w:hyperlink>
      <w:r w:rsidRPr="004B6098">
        <w:rPr>
          <w:rFonts w:ascii="Garamond" w:hAnsi="Garamond"/>
          <w:sz w:val="20"/>
          <w:szCs w:val="20"/>
          <w:lang w:val="en-US" w:eastAsia="fr-FR"/>
        </w:rPr>
        <w:t>. Es sind identische Phantasien. Es eröffnet sich auch ein neuer Zugang zu Hansens Furcht vor der großen Badewanne, die übrigens auch bereits abgenommen hat. Es ist ihm unlieb, daß sein »Podl« zu klein ist für die große Wanne.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In den nächsten Tagen nimmt die Mutter wiederholt das Wort, um ihrer Freude über die Herstellung des Kleinen Ausdruck zu geben.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w:t>
      </w:r>
    </w:p>
    <w:p w:rsidR="00822836" w:rsidRPr="004B6098" w:rsidRDefault="00822836" w:rsidP="00822836">
      <w:pPr>
        <w:pStyle w:val="Sansinterligne"/>
        <w:rPr>
          <w:rFonts w:ascii="Garamond" w:hAnsi="Garamond"/>
          <w:sz w:val="20"/>
          <w:szCs w:val="20"/>
          <w:lang w:eastAsia="fr-FR"/>
        </w:rPr>
      </w:pPr>
      <w:r w:rsidRPr="004B6098">
        <w:rPr>
          <w:rFonts w:ascii="Garamond" w:hAnsi="Garamond"/>
          <w:sz w:val="20"/>
          <w:szCs w:val="20"/>
          <w:lang w:eastAsia="fr-FR"/>
        </w:rPr>
        <w:t>Nachtrag des Vaters eine Woche später:</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Geehrter Herr Professor! Ich möchte die Krankengeschichte Hansens noch durch folgendes ergänzen: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1. Die Remission nach der ersten Aufklärung war nicht so vollständig, wie ich sie vielleicht dargestellt habe. Hans ging allerdings spazieren, aber nur gezwungen und mit großer Angst. Einmal ging er mit mir bis zur Station »Hauptzollamt«, von wo man noch die Wohnung sieht, und war nicht weiter zu bringen.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lastRenderedPageBreak/>
        <w:t>2. Ad: Himbeersaft, Schießgewehr. Himbeersaft bekommt Hans bei der Verstopfung. Schießen und Scheißen ist eine auch ihm geläufige Wortvertauschung.</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3. Als Hans aus unserem Schlafzimmer in ein eigenes Zimmer separiert wurde, war er ungefähr 4 Jahre alt.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4. Ein Rest ist noch jetzt da, der sich nicht mehr in Furcht, sondern in normalem Fragetrieb äußert. Die Fragen beziehen sich meist darauf, woraus die Dinge verfertigt sind (Tramways, Maschinen usw.), wer die Dinge macht usw. Charakteristisch für die meisten Fragen ist, daß Hans fragt, obzwar er sich die Antwort bereits selbst gegeben hat. Er will sich nur vergewissern. Als er mich einmal mit Fragen sehr ermüdet hatte und ich ihm sagte: »Glaubst du denn, daß ich dir auf alles antworten kann, was du fragst?«, meinte er: »No, ich hab' geglaubt, weil du das vom Pferd gewußt hast, daß du das auch weißt.«</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5. Von der Krankheit spricht Hans nur mehr historisch: »Damals, wie ich die Dummheit gehabt hab'.«</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 xml:space="preserve">6. Der ungelöste Rest ist der, daß Hans sich den Kopf zerbricht, was der Vater mit dem Kinde zu tun hat, da doch die Mutter das Kind zur Welt bringt. Man kann das aus den Fragen schließen, wie: »Nicht wahr, ich gehör' auch </w:t>
      </w:r>
      <w:r w:rsidRPr="004B6098">
        <w:rPr>
          <w:rFonts w:ascii="Garamond" w:hAnsi="Garamond"/>
          <w:i/>
          <w:iCs/>
          <w:sz w:val="20"/>
          <w:szCs w:val="20"/>
          <w:lang w:val="en-US" w:eastAsia="fr-FR"/>
        </w:rPr>
        <w:t>dir</w:t>
      </w:r>
      <w:r w:rsidRPr="004B6098">
        <w:rPr>
          <w:rFonts w:ascii="Garamond" w:hAnsi="Garamond"/>
          <w:sz w:val="20"/>
          <w:szCs w:val="20"/>
          <w:lang w:val="en-US" w:eastAsia="fr-FR"/>
        </w:rPr>
        <w:t>.« (Er meint, nicht nur der Mutter.) Das: wieso er mir gehört, ist ihm nicht klar. Dagegen habe ich keinen direkten Beweis, daß er, wie Sie meinen, einen Koitus der Eltern belauscht hätte.</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7. Bei einer Darstellung müßte vielleicht doch auf die Heftigkeit der Angst aufmerksam gemacht werden, da man sonst sagen würde: »Hätte man ihn nur ordentlich durchgeprügelt, so wäre er schon spazierengegangen.«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eastAsia="fr-FR"/>
        </w:rPr>
        <w:t>Ich setze abschließend hinzu: Mit der letzten Phantasie Hansens war auch die vom Kastrationskomplex stammende Angst überwunden, die peinliche Erwartung ins Beglückende gewendet. Ja, der Arzt, Installateur usw. kommt, er nimmt den Penis ab, aber nur um einen größeren dafür zu geben. Im übrigen mag unser kleiner Forscher nur frühzeitig die Erfahrung machen, daß alles Wissen Stückwerk ist und daß auf jeder Stufe ein ungelöster Rest bleibt.</w:t>
      </w:r>
    </w:p>
    <w:p w:rsidR="00822836" w:rsidRPr="00822836" w:rsidRDefault="00822836" w:rsidP="00822836">
      <w:pPr>
        <w:rPr>
          <w:rFonts w:ascii="Garamond" w:hAnsi="Garamond"/>
          <w:b/>
          <w:sz w:val="20"/>
          <w:szCs w:val="20"/>
          <w:lang w:val="en-US"/>
        </w:rPr>
      </w:pPr>
      <w:r w:rsidRPr="00822836">
        <w:rPr>
          <w:rFonts w:ascii="Garamond" w:hAnsi="Garamond"/>
          <w:b/>
          <w:sz w:val="20"/>
          <w:szCs w:val="20"/>
          <w:lang w:val="en-US"/>
        </w:rPr>
        <w:br w:type="page"/>
      </w:r>
    </w:p>
    <w:p w:rsidR="00822836" w:rsidRPr="00244833" w:rsidRDefault="00B437A1" w:rsidP="00822836">
      <w:pPr>
        <w:pStyle w:val="Sansinterligne"/>
        <w:rPr>
          <w:rFonts w:ascii="Garamond" w:hAnsi="Garamond"/>
          <w:b/>
          <w:sz w:val="20"/>
          <w:szCs w:val="20"/>
          <w:lang w:val="en-US"/>
        </w:rPr>
      </w:pPr>
      <w:hyperlink w:anchor="Inhalt" w:history="1">
        <w:r w:rsidR="00822836" w:rsidRPr="00244833">
          <w:rPr>
            <w:rStyle w:val="Lienhypertexte"/>
            <w:rFonts w:ascii="Garamond" w:hAnsi="Garamond"/>
            <w:b/>
            <w:sz w:val="20"/>
            <w:szCs w:val="20"/>
            <w:lang w:val="en-US"/>
          </w:rPr>
          <w:t>III. Epikrise</w:t>
        </w:r>
      </w:hyperlink>
    </w:p>
    <w:p w:rsidR="00822836" w:rsidRDefault="00822836" w:rsidP="00822836">
      <w:pPr>
        <w:pStyle w:val="Sansinterligne"/>
        <w:rPr>
          <w:rFonts w:ascii="Garamond" w:hAnsi="Garamond"/>
          <w:sz w:val="20"/>
          <w:szCs w:val="20"/>
          <w:lang w:val="en-US"/>
        </w:rPr>
      </w:pP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Nach drei Richtungen werde ich nun diese Beobachtung von der Entwicklung und Lösung einer Phobie bei einem noch nicht fünfjährigen Knaben zu prüfen haben: erstens, inwieweit sie die Behauptungen unterstützt, die ich in den </w:t>
      </w:r>
      <w:r w:rsidRPr="004B6098">
        <w:rPr>
          <w:rFonts w:ascii="Garamond" w:hAnsi="Garamond"/>
          <w:i/>
          <w:iCs/>
          <w:sz w:val="20"/>
          <w:szCs w:val="20"/>
          <w:lang w:val="en-US"/>
        </w:rPr>
        <w:t>Drei Abhandlungen zur Sexualtheorie</w:t>
      </w:r>
      <w:r w:rsidRPr="004B6098">
        <w:rPr>
          <w:rFonts w:ascii="Garamond" w:hAnsi="Garamond"/>
          <w:sz w:val="20"/>
          <w:szCs w:val="20"/>
          <w:lang w:val="en-US"/>
        </w:rPr>
        <w:t xml:space="preserve">, (1905  </w:t>
      </w:r>
      <w:r w:rsidRPr="004B6098">
        <w:rPr>
          <w:rFonts w:ascii="Garamond" w:hAnsi="Garamond"/>
          <w:i/>
          <w:iCs/>
          <w:sz w:val="20"/>
          <w:szCs w:val="20"/>
          <w:lang w:val="en-US"/>
        </w:rPr>
        <w:t>d</w:t>
      </w:r>
      <w:r w:rsidRPr="004B6098">
        <w:rPr>
          <w:rFonts w:ascii="Garamond" w:hAnsi="Garamond"/>
          <w:sz w:val="20"/>
          <w:szCs w:val="20"/>
          <w:lang w:val="en-US"/>
        </w:rPr>
        <w:t>), aufgestellt habe; zweitens, was sie zum Verständnis der so häufigen Krankheitsform zu leisten vermag; drittens, was sich ihr etwa zur Aufklärung des kindlichen Seelenlebens und zur Kritik unserer Erziehungsabsichten abgewinnen läßt.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1</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Mein Eindruck geht dahin, daß das Bild des kindlichen Sexuallebens, wie es aus der Beobachtung des kleinen Hans hervortritt, in sehr guter Übereinstimmung mit der Schilderung steht, die ich in meiner </w:t>
      </w:r>
      <w:r w:rsidRPr="004B6098">
        <w:rPr>
          <w:rFonts w:ascii="Garamond" w:hAnsi="Garamond"/>
          <w:i/>
          <w:iCs/>
          <w:sz w:val="20"/>
          <w:szCs w:val="20"/>
          <w:lang w:val="en-US"/>
        </w:rPr>
        <w:t>Sexualtheorie</w:t>
      </w:r>
      <w:r w:rsidRPr="004B6098">
        <w:rPr>
          <w:rFonts w:ascii="Garamond" w:hAnsi="Garamond"/>
          <w:sz w:val="20"/>
          <w:szCs w:val="20"/>
          <w:lang w:val="en-US"/>
        </w:rPr>
        <w:t xml:space="preserve"> nach psychoanalytischen Untersuchungen an Erwachsenen entworfen habe. Aber ehe ich daran gehe, die Einzelheiten dieser Übereinstimmung zu verfolgen, werde ich zwei Einwendungen erledigen müssen, welche sich gegen die Verwertung dieser Analyse erheben. Die erste lautet: Der kleine Hans sei kein normales Kind, sondern, wie die Folge, eben die Erkrankung, lehrt, ein zur Neurose disponiertes, ein kleiner »Hereditarier«, und es sei darum unstatthaft, Schlüsse, die vielleicht für ihn Geltung haben, auf andere, normale Kinder zu übertragen. Ich werde diesen Einwand, da er den Wert der Beobachtung bloß einschränkt, nicht völlig aufhebt, später berücksichtigen. Der zweite und strengere Einspruch wird behaupten, daß die Analyse eines Kindes durch seinen Vater, der, in </w:t>
      </w:r>
      <w:r w:rsidRPr="004B6098">
        <w:rPr>
          <w:rFonts w:ascii="Garamond" w:hAnsi="Garamond"/>
          <w:i/>
          <w:iCs/>
          <w:sz w:val="20"/>
          <w:szCs w:val="20"/>
          <w:lang w:val="en-US"/>
        </w:rPr>
        <w:t>meinen</w:t>
      </w:r>
      <w:r w:rsidRPr="004B6098">
        <w:rPr>
          <w:rFonts w:ascii="Garamond" w:hAnsi="Garamond"/>
          <w:sz w:val="20"/>
          <w:szCs w:val="20"/>
          <w:lang w:val="en-US"/>
        </w:rPr>
        <w:t xml:space="preserve"> theoretischen Anschauungen befangen, mit </w:t>
      </w:r>
      <w:r w:rsidRPr="004B6098">
        <w:rPr>
          <w:rFonts w:ascii="Garamond" w:hAnsi="Garamond"/>
          <w:i/>
          <w:iCs/>
          <w:sz w:val="20"/>
          <w:szCs w:val="20"/>
          <w:lang w:val="en-US"/>
        </w:rPr>
        <w:t>meinen</w:t>
      </w:r>
      <w:r w:rsidRPr="004B6098">
        <w:rPr>
          <w:rFonts w:ascii="Garamond" w:hAnsi="Garamond"/>
          <w:sz w:val="20"/>
          <w:szCs w:val="20"/>
          <w:lang w:val="en-US"/>
        </w:rPr>
        <w:t xml:space="preserve"> Vorurteilen behaftet, an die Arbeit geht, überhaupt eines objektiven Wertes entbehre. Ein Kind sei selbstverständlich in hohem Grade suggerierbar, vielleicht gegen keine Person mehr als gegen seinen Vater; es lasse sich alles dem Vater zuliebe aufdrängen zum Dank dafür, daß er sich soviel mit ihm beschäftige, seine Aussagen hätten keine Beweiskraft und seine Produktionen in Einfällen, Phantasien und Träumen erfolgten natürlich in der Richtung, nach welcher man es mit allen Mitteln gedrängt habe. Kurz, es sei wieder einmal alles »Suggestion« und deren Entlarvung beim Kinde nur sehr erleichtert im Vergleiche mit dem Erwachsenen.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Sonderbar; ich weiß mich zu erinnern, als ich mich vor 22 Jahren in den Streit der wissenschaftlichen Meinungen einzumengen begann, mit welchem Spotte damals von der älteren Generation der Neurologen und Psychiater die Aufstellung der Suggestion und ihrer Wirkungen empfangen wurde. Seither hat sich die Situation gründlich geändert; der Widerwille ist in allzu entgegenkommende Bereitwilligkeit umgeschlagen, und dies nicht allein infolge der Wirkung, welche die Arbeiten Liebeaults, Bernheims und ihrer Schüler im Laufe dieser Dezennien entfalten mußten, sondern auch, weil unterdes die Entdeckung gemacht wurde, welche Denkersparnis mit der Anwendung des Schlagwortes »Suggestion« verbunden werden kann. Weiß doch niemand und bekümmert sich auch niemand zu wissen, was die Suggestion ist, woher sie rührt und wann sie sich einstellt; genug, daß man alles im Psychischen Unbequeme »Suggestion« heißen darf.</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Ich teile nicht die gegenwärtig beliebte Ansicht, daß Kinderaussagen durchwegs willkürlich und unverläßlich seien. Willkür gibt es im Psychischen überhaupt nicht; die Unverläßlichkeit in den Aussagen der Kinder rührt her von der Übermacht ihrer Phantasie, wie die Unverläßlichkeit der Aussagen Erwachsener von der Übermacht ihrer Vorurteile. Sonst lügt auch das Kind nicht ohne Grund und hat im ganzen mehr Neigung zur Wahrheitsliebe als die Großen. Mit einer Verwerfung der Angaben unseres kleinen Hans in Bausch und Bogen täte man ihm gewiß schweres Unrecht; man kann vielmehr ganz deutlich unterscheiden, wo er unter dem Zwange eines Widerstandes fälscht oder zurückhält, wo er, selbst unentschieden, dem Vater beipflichtet, was man nicht als beweisend gelten lassen muß, und wo er, vom Drucke befreit, übersprudelnd mitteilt, was seine innere Wahrheit ist, und was er bisher allein gewußt hat. Größere Sicherheiten bieten auch die Angaben der Erwachsenen nicht. Bedauerlich bleibt, daß keine Darstellung einer Psychoanalyse die Eindrücke wiedergeben kann, die man während ihrer Ausführung empfängt, daß die endgültige Überzeugung nie durchs Lesen, sondern nur durchs Erleben vermittelt werden kann. Aber dieser Mangel haftet den Analysen mit Erwachsenen in gleichem Maße an.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Den kleinen Hans schildern seine Eltern als ein heiteres, aufrichtiges Kind, und so dürfte er auch durch die Erziehung geworden sein, die ihm die Eltern schenkten, die wesentlich in der Unterlassung unserer gebräuchlichen Erziehungssünden bestand. Solange er in fröhlicher Naivität seine Forschungen pflegen konnte, ohne Ahnung der aus ihnen bald erwachsenden Konflikte, teilte er sich auch rückhaltlos mit, und die Beobachtungen aus der Zeit vor seiner Phobie unterliegen auch keinem Zweifel und keiner Beanstandung. In der Zeit der Krankheit und während der Analyse beginnen für ihn die Inkongruenzen zwischen dem, was er sagt, und dem, was er denkt, zum Teil darin begründet, daß sich ihm unbewußtes Material aufdrängt, das er nicht mit einem Male zu bewältigen weiß, zum andern Teil infolge der inhaltlichen Abhaltungen, die aus seinem Verhältnisse zu den Eltern stammen. Ich behaupte, daß ich unparteiisch bleibe, wenn ich das Urteil ausspreche, daß auch diese Schwierigkeiten nicht größer ausgefallen sind als in soviel anderen Analysen mit Erwachsenen.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Während der Analyse allerdings muß ihm vieles gesagt werden, was er selbst nicht zu sagen weiß, müssen ihm Gedanken eingegeben werden, von denen sich noch nichts bei ihm gezeigt hat, muß seine Aufmerksamkeit die Einstellung nach jenen Richtungen erfahren, von denen her der Vater das Kommende erwartet. Das schwächt die Beweiskraft der Analyse; aber in jeder verfährt man so. Eine Psychoanalyse ist eben keine tendenzlose, wissenschaftliche Untersuchung, sondern ein therapeutischer Eingriff; sie will an sich nichts beweisen, sondern nur etwas ändern. Jedesmal gibt der Arzt in der Psychoanalyse dem Patienten die bewußten Erwartungsvorstellungen, mit deren Hilfe er imstande sein soll, das Unbewußte zu erkennen und zu erfassen, das eine Mal in reichlicherem, das </w:t>
      </w:r>
      <w:r w:rsidRPr="004B6098">
        <w:rPr>
          <w:rFonts w:ascii="Garamond" w:hAnsi="Garamond"/>
          <w:sz w:val="20"/>
          <w:szCs w:val="20"/>
          <w:lang w:val="en-US"/>
        </w:rPr>
        <w:lastRenderedPageBreak/>
        <w:t>andere in bescheidenerem Ausmaße. Es gibt eben Fälle, die mehr, und andere, die weniger Nachhilfe brauchen. Ohne solche Hilfe kommt niemand aus. Was man etwa bei sich allein zu Ende bringen kann, sind leichte Störungen, niemals eine Neurose, die sich dem Ich wie etwas Fremdes entgegengestellt hat; zur Bewältigung einer solchen braucht es den andern, und soweit der andere helfen kann, soweit ist die Neurose heilbar. Wenn es im Wesen einer Neurose liegt, sich .vom »andern« abzuwenden, wie es die Charakteristik der als Dementia praecox zusammengefaßten Zustände zu enthalten scheint, so sind eben darum diese Zustände für unsere Bemühung unheilbar. Es ist nun zugegeben, daß das Kind wegen der geringen Entwicklung seiner intellektuellen Systeme einer besonders intensiven Nachhilfe bedarf. Aber was der Arzt dem Patienten mitteilt, stammt doch selbst wieder aus analytischen Erfahrungen, und es ist wirklich beweisend genug, wenn mit dem Aufwande dieser ärztlichen Einmengung der Zusammenhang und die Lösung des pathogenen Materials erreicht wird.</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Und doch hat unser kleiner Patient auch während der Analyse Selbständigkeit genug bewiesen, um ihn von dem Verdikte der »Suggestion« freisprechen zu können. Seine kindlichen Sexualtheorien wendet er auf sein Material an wie alle Kinder, ohne dazu eine Anregung zu erhalten. Dieselben sind dem Erwachsenen so überaus ferne gerückt; ja, in diesem Falle hatte ich es geradezu versäumt, den Vater darauf vorzubereiten, daß der Weg zum Thema der Geburt für Hans über den Exkretionskomplex führen müsse. Was infolge meiner Flüchtigkeit zu einer dunkeln Partie der Analyse wurde, ergab dann wenigstens ein gutes Zeugnis für die Echtheit und Selbständigkeit in Hansens Gedankenarbeit. Er war auf einmal mit dem »Lumpf« beschäftigt, ohne daß der angeblich suggerierende Vater verstehen konnte, wie er dazu kam und was daraus werden sollte. Ebensowenig Anteil kann man dem Vater an der Entwicklung der beiden Phantasien vom Installateur zuschreiben, die von dem frühzeitig erworbenen »Kastrationskomplexe« ausgehen. Ich muß hier das Geständnis ablegen, daß ich dem Vater die Erwartung dieses Zusammenhanges völlig verschwiegen habe, aus theoretischem Interesse, um nur die Beweiskraft eines sonst schwer erreichbaren Beleges nicht verkümmern zu lassen.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Bei weiterer Vertiefung in das Detail der Analyse würden sich noch reichlich neue Beweise für die Unabhängigkeit unseres Hans von der »Suggestion« ergeben, aber ich breche hier die Behandlung des ersten Einwandes ab. Ich weiß, daß ich auch durch diese Analyse keinen überzeugen werde, der sich nicht überzeugen lassen will, und ich setze die Bearbeitung dieser Beobachtung für jene Leser fort, die sich eine Überzeugung von der Objektivität des unbewußten pathogenen Materials bereits erworben haben, nicht ohne die angenehme Gewißheit zu betonen, daß die Anzahl der letzteren in beständiger Zunahme begriffen ist.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Der erste dem Sexualleben zuzurechnende Zug bei dem kleinen Hans ist ein ganz besonders lebhaftes Interesse für seinen »Wiwimacher«, wie dies Organ nach der kaum minder wichtigen seiner beiden Funktionen und nach jener, die in der Kinderstube nicht zu umgehen ist, genannt wird. Dieses Interesse macht ihn zum Forscher; er entdeckt so, daß man auf Grund des Vorhandenseins oder Fehlens des Wiwimachers Lebendes und Lebloses unterscheiden könne. Bei allen Lebewesen, die er als sich ähnlich beurteilt, setzt er diesen bedeutsamen Körperteil voraus, studiert ihn an den großen Tieren, vermutet ihn bei beiden Eltern und läßt sich auch durch den Augenschein nicht abhalten, ihn bei seiner neugeborenen Schwester zu statuieren. Es wäre eine zu gewaltige Erschütterung seiner »Weltanschauung«, könnte man sagen, wenn er sich entschließen sollte, bei einem ihm ähnlichen Wesen auf ihn zu verzichten; es wäre so, als würde er ihm selbst entrissen. Eine Drohung der Mutter, die nichts geringeres als den Verlust des Wiwimachers zum Inhalte hat, wird darum wahrscheinlich eiligst zurückgedrängt und darf erst in späteren Zeiten ihre Wirkung äußern. Die Einmengung der Mutter war erfolgt, weil er sich durch Berührung dieses Gliedes Lustgefühle zu verschaffen liebte; der Kleine hat die gewöhnlichste und – normalste Art der autoerotischen Sexualität begonnen.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In einer Weise, die Alf. Adler sehr passend als » </w:t>
      </w:r>
      <w:r w:rsidRPr="004B6098">
        <w:rPr>
          <w:rFonts w:ascii="Garamond" w:hAnsi="Garamond"/>
          <w:i/>
          <w:iCs/>
          <w:sz w:val="20"/>
          <w:szCs w:val="20"/>
          <w:lang w:val="en-US"/>
        </w:rPr>
        <w:t>Triebverschränkung</w:t>
      </w:r>
      <w:r w:rsidRPr="004B6098">
        <w:rPr>
          <w:rFonts w:ascii="Garamond" w:hAnsi="Garamond"/>
          <w:sz w:val="20"/>
          <w:szCs w:val="20"/>
          <w:lang w:val="en-US"/>
        </w:rPr>
        <w:t xml:space="preserve">« bezeichnet hat </w:t>
      </w:r>
      <w:hyperlink r:id="rId1103"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›Der Aggressionstrieb im Leben und in der Neurose‹ (1908).</w:t>
        </w:r>
      </w:hyperlink>
      <w:r w:rsidRPr="004B6098">
        <w:rPr>
          <w:rFonts w:ascii="Garamond" w:hAnsi="Garamond"/>
          <w:sz w:val="20"/>
          <w:szCs w:val="20"/>
          <w:lang w:val="en-US"/>
        </w:rPr>
        <w:t xml:space="preserve">, verknüpft sich die Lust am eigenen Geschlechtsgliede mit der Schaulust in ihrer aktiven und ihrer passiven Ausbildung. Der Kleine sucht den Wiwimacher anderer Personen zu Gesicht zu bekommen, er entwickelt sexuelle Neugierde und liebt es, seinen eigenen zu zeigen. Einer seiner Träume aus der ersten Zeit der Verdrängung hat den Wunsch zum Inhalte, daß eine seiner kleinen Freundinnen ihm beim Wiwimachen behilflich sein, also dieses Anblickes teilhaftig werden solle. Der Traum bezeugt so, daß der Wunsch bis dahin unverdrängt bestanden hat, so wie spätere Mitteilungen bestätigen, daß er seine Befriedigung zu finden pflegte. Die aktive Richtung der sexuellen Schaulust verbindet sich bei ihm bald mit einem bestimmten Motiv. Wenn er sowohl dem Vater wie der Mutter wiederholt sein Bedauern zu erkennen gibt, daß er deren Wiwimacher noch nie gesehen habe, so drängt ihn dazu wahrscheinlich das Bedürfnis, zu </w:t>
      </w:r>
      <w:r w:rsidRPr="004B6098">
        <w:rPr>
          <w:rFonts w:ascii="Garamond" w:hAnsi="Garamond"/>
          <w:i/>
          <w:iCs/>
          <w:sz w:val="20"/>
          <w:szCs w:val="20"/>
          <w:lang w:val="en-US"/>
        </w:rPr>
        <w:t>vergleichen</w:t>
      </w:r>
      <w:r w:rsidRPr="004B6098">
        <w:rPr>
          <w:rFonts w:ascii="Garamond" w:hAnsi="Garamond"/>
          <w:sz w:val="20"/>
          <w:szCs w:val="20"/>
          <w:lang w:val="en-US"/>
        </w:rPr>
        <w:t>. Das Ich bleibt der Maßstab, mit dem man die Welt ausmißt; durch beständiges Vergleichen mit der eigenen Person lernt man sie verstehen. Hans hat beobachtet, daß die großen Tiere soviel größere Wiwimacher haben als er; darum vermutet er das gleiche Verhältnis auch bei seinen Eltern und möchte sich davon überzeugen. Die Mama, meint er, hat gewiß einen Wiwimacher »wie ein Pferd«. Er hat dann den Trost bereit, daß der Wiwimacher mit ihm wachsen werde; es ist, als ob der Größenwunsch des Kindes sich aufs Genitale geworfen hätte.</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In der Sexualkonstitution des kleinen Hans ist also die Genitalzone von vornherein die am intensivsten lustbetonte unter den erogenen Zonen. Neben ihr ist nur noch die exkrementelle, an die Orifizien der Harn- und Stuhlentleerung geknüpfte Lust bei ihm bezeugt. Wenn er in seiner letzten Glücksphantasie, mit der sein Kranksein überwunden ist, Kinder hat, die er aufs Klosett führt, sie Wiwi machen läßt und ihnen den Podl auswischt, kurz »alles mit ihnen tut, was man mit Kindern tun kann«, so scheint es unabweisbar anzunehmen, daß diese selben </w:t>
      </w:r>
      <w:r w:rsidRPr="004B6098">
        <w:rPr>
          <w:rFonts w:ascii="Garamond" w:hAnsi="Garamond"/>
          <w:sz w:val="20"/>
          <w:szCs w:val="20"/>
          <w:lang w:val="en-US"/>
        </w:rPr>
        <w:lastRenderedPageBreak/>
        <w:t>Verrichtungen während seiner Kinderpflege eine Quelle der Lustempfindung für ihn waren. Diese Lust von erogenen Zonen wurde für ihn mit Hilfe der ihn pflegenden Person, der Mutter, gewonnen, führt also bereits zur Objektwahl; es bleibt aber möglich, daß er in noch früheren Zeiten gewohnt war, sich dieselbe autoerotisch zu verschaffen, daß er zu jenen Kindern gehört hat, die die Exkrete zurückzuhalten lieben, bis ihnen deren Entleerung einen Wollustreiz bereiten kann. Ich sage nur, es ist möglich, denn es ist in der Analyse nicht klargestellt worden; das »Krawallmachen mit den Beinen« (Zappeln), vor dem er sich später so sehr fürchtet, deutet nach dieser Richtung. Eine auffällige Betonung, wie bei anderen Kindern so häufig, haben diese Lustquellen bei ihm übrigens nicht. Er ist bald rein geworden, Bettnässen und tägliche Inkontinenz haben keine Rolle in seinen ersten Jahren gespielt; von der am Erwachsenen so häßlichen Neigung, mit den Exkrementen zu spielen, die am Ausgange der psychischen Rückbildungsprozesse wieder aufzutreten pflegt, ist an ihm nichts beobachtet worden.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Heben wir gleich an dieser Stelle hervor, daß während seiner Phobie die Verdrängung dieser beiden bei ihm gut ausgebildeten Komponenten der Sexualtätigkeit unverkennbar ist. Er schämt sich, vor anderen zu urinieren, klagt sich an, daß er den Finger zum Wiwimacher gebe, bemüht sich, auch die Onanie aufzugeben, und ekelt sich vor »Lumpf«, »Wiwi« und allem, was daran erinnert. In der Phantasie von der Kinderpflege nimmt er diese letztere Verdrängung wieder zurück.</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Eine Sexualkonstitution wie die unseres kleinen Hans scheint die Disposition zur Entwicklung von Perversionen oder ihrem Negativ (beschränken wir uns hier auf die Hysterie) nicht zu enthalten. Soviel ich erfahren habe (es ist hier wirklich noch Zurückhaltung geboten), zeichnet sich die angeborene Konstitution der Hysteriker – bei den Perversen versteht es sich beinahe von selbst – durch das Zurücktreten der Genitalzonen gegen andere erogene Zonen aus. Eine einzige »Abirrung« des Sexuallebens muß von dieser Regel ausdrücklich ausgenommen werden. Bei den später Homosexuellen, die nach meiner Erwartung und nach den Beobachtungen von J. Sadger alle in der Kindheit eine amphigene Phase durchmachen, trifft man auf die nämliche infantile Präponderanz der Genitalzone, speziell des Penis. Ja, diese Hochschätzung des männlichen Gliedes wird zum Schicksal für die Homosexuellen. Sie wählen das Weib zum Sexualobjekt in ihrer Kindheit, solange sie auch beim Weibe die Existenz dieses ihnen unentbehrlich dünkenden Körperteiles voraussetzen; mit der Überzeugung, daß das Weib sie in diesem Punkte getäuscht hat, wird das Weib für sie als Sexualobjekt unannehmbar. Sie können den Penis bei der Person, die sie zum Sexualverkehre reizen soll, nicht entbehren und fixieren ihre Libido im günstigen Falle auf »das Weib mit dem Penis«, den feminin erscheinenden Jüngling. Die Homosexuellen sind also Personen, welche durch die erogene Bedeutung des eigenen Genitales gehindert worden sind, bei ihrem Sexualobjekt auf diese Übereinstimmung mit der eigenen Person zu verzichten. Sie sind in der Entwicklung vom Autoerotismus zur Objektliebe an einer Stelle, dem Autoerotismus näher, fixiert geblieben.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Es ist ganz und gar unzulässig, einen besonderen homosexuellen Trieb zu unterscheiden; es ist nicht eine Besonderheit des Trieblebens, sondern der Objektwahl, die den Homosexuellen ausmacht. Ich verweise darauf, was ich in der </w:t>
      </w:r>
      <w:r w:rsidRPr="004B6098">
        <w:rPr>
          <w:rFonts w:ascii="Garamond" w:hAnsi="Garamond"/>
          <w:i/>
          <w:iCs/>
          <w:sz w:val="20"/>
          <w:szCs w:val="20"/>
          <w:lang w:val="en-US"/>
        </w:rPr>
        <w:t>Sexualtheorie</w:t>
      </w:r>
      <w:r w:rsidRPr="004B6098">
        <w:rPr>
          <w:rFonts w:ascii="Garamond" w:hAnsi="Garamond"/>
          <w:sz w:val="20"/>
          <w:szCs w:val="20"/>
          <w:lang w:val="en-US"/>
        </w:rPr>
        <w:t xml:space="preserve"> ausgeführt habe, daß wir uns irrigerweise die Vereinigung von Trieb und Objekt im Sexualleben als eine zu innige vorgestellt haben. Der Homosexuelle kommt mit seinen – vielleicht normalen – Trieben von einem, durch eine bestimmte Bedingung ausgezeichneten Objekt nicht mehr los; in seiner Kindheit kann er sich, weil diese Bedingung überall als selbstverständlich erfüllt gilt, benehmen wie unser kleiner Hans, der unterschiedslos zärtlich ist mit Buben wie mit Mädchen und gelegentlich seinen Freund Fritzl für »sein liebstes Mäderl« erklärt. Hans ist homosexuell, wie es alle Kinder sein können, ganz im Einklange mit der nicht zu übersehenden Tatsache, daß er nur </w:t>
      </w:r>
      <w:r w:rsidRPr="004B6098">
        <w:rPr>
          <w:rFonts w:ascii="Garamond" w:hAnsi="Garamond"/>
          <w:i/>
          <w:iCs/>
          <w:sz w:val="20"/>
          <w:szCs w:val="20"/>
          <w:lang w:val="en-US"/>
        </w:rPr>
        <w:t>eine Art von Genitale kennt</w:t>
      </w:r>
      <w:r w:rsidRPr="004B6098">
        <w:rPr>
          <w:rFonts w:ascii="Garamond" w:hAnsi="Garamond"/>
          <w:sz w:val="20"/>
          <w:szCs w:val="20"/>
          <w:lang w:val="en-US"/>
        </w:rPr>
        <w:t xml:space="preserve">, ein Genitale wie das seinige </w:t>
      </w:r>
      <w:hyperlink r:id="rId1104"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 xml:space="preserve">Ich habe später (1923 </w:t>
        </w:r>
        <w:r w:rsidRPr="004B6098">
          <w:rPr>
            <w:rStyle w:val="innerfusslink"/>
            <w:rFonts w:ascii="Garamond" w:hAnsi="Garamond"/>
            <w:i/>
            <w:iCs/>
            <w:color w:val="0000FF"/>
            <w:sz w:val="20"/>
            <w:szCs w:val="20"/>
            <w:u w:val="single"/>
            <w:lang w:val="en-US"/>
          </w:rPr>
          <w:t>e</w:t>
        </w:r>
        <w:r w:rsidRPr="004B6098">
          <w:rPr>
            <w:rStyle w:val="innerfusslink"/>
            <w:rFonts w:ascii="Garamond" w:hAnsi="Garamond"/>
            <w:color w:val="0000FF"/>
            <w:sz w:val="20"/>
            <w:szCs w:val="20"/>
            <w:u w:val="single"/>
            <w:lang w:val="en-US"/>
          </w:rPr>
          <w:t xml:space="preserve">) hervorgehoben, daß die Periode der Sexualentwicklung, in der sich auch unser kleiner Patient befindet, ganz allgemein dadurch ausgezeichnet ist, daß sie nur </w:t>
        </w:r>
        <w:r w:rsidRPr="004B6098">
          <w:rPr>
            <w:rStyle w:val="innerfusslink"/>
            <w:rFonts w:ascii="Garamond" w:hAnsi="Garamond"/>
            <w:i/>
            <w:iCs/>
            <w:color w:val="0000FF"/>
            <w:sz w:val="20"/>
            <w:szCs w:val="20"/>
            <w:u w:val="single"/>
            <w:lang w:val="en-US"/>
          </w:rPr>
          <w:t>ein</w:t>
        </w:r>
        <w:r w:rsidRPr="004B6098">
          <w:rPr>
            <w:rStyle w:val="innerfusslink"/>
            <w:rFonts w:ascii="Garamond" w:hAnsi="Garamond"/>
            <w:color w:val="0000FF"/>
            <w:sz w:val="20"/>
            <w:szCs w:val="20"/>
            <w:u w:val="single"/>
            <w:lang w:val="en-US"/>
          </w:rPr>
          <w:t xml:space="preserve"> Genitale, das männliche, kennt; zum Unterschied von der späteren Periode der Reife besteht in ihr nicht ein Genitalprimat, sondern das Primat des Phallus.</w:t>
        </w:r>
      </w:hyperlink>
      <w:r w:rsidRPr="004B6098">
        <w:rPr>
          <w:rFonts w:ascii="Garamond" w:hAnsi="Garamond"/>
          <w:sz w:val="20"/>
          <w:szCs w:val="20"/>
          <w:lang w:val="en-US"/>
        </w:rPr>
        <w: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Die weitere Entwickelung unseres kleinen Erotikers geht aber nicht zur Homosexualität, sondern zu einer energischen, sich polygam gebärdenden Männlichkeit, die sich je nach ihren wechselnden weiblichen Objekten anders zu benehmen weiß, hier dreist zugreift und dort sehnsüchtig und verschämt schmachtet. In einer Zeit der Armut an anderen Objekten zur Liebe geht diese Neigung auf die Mutter zurück, von der her sie sich zu anderen gewendet hatte, um bei der Mutter in der Neurose zu scheitern. Erst dann erfahren wir, zu welcher Intensität die Liebe zur Mutter sich entwickelt und welche Schicksale sie durchgemacht hatte. Das Sexualziel, das er bei seinen Gespielinnen verfolgte, bei ihnen zu </w:t>
      </w:r>
      <w:r w:rsidRPr="004B6098">
        <w:rPr>
          <w:rFonts w:ascii="Garamond" w:hAnsi="Garamond"/>
          <w:i/>
          <w:iCs/>
          <w:sz w:val="20"/>
          <w:szCs w:val="20"/>
          <w:lang w:val="en-US"/>
        </w:rPr>
        <w:t>schlafen</w:t>
      </w:r>
      <w:r w:rsidRPr="004B6098">
        <w:rPr>
          <w:rFonts w:ascii="Garamond" w:hAnsi="Garamond"/>
          <w:sz w:val="20"/>
          <w:szCs w:val="20"/>
          <w:lang w:val="en-US"/>
        </w:rPr>
        <w:t>, rührte bereits von der Mutter her; es ist in die Worte gefaßt, die es auch im reifen Leben beibehalten kann, wenngleich der Inhalt dieser Worte eine Bereicherung erfahren wird. Der Knabe hatte auf dem gewöhnlichen Wege, von der Kinderpflege aus, den Weg zur Objektliebe gefunden, und ein neues Lusterlebnis war für ihn bestimmend geworden, das Schlafen neben der Mutter, aus dessen Zusammensetzung wir die Berührungslust der Haut, die uns allen konstitutionell eignet, herausheben würden, während es nach der uns artifiziell erscheinenden Nomenklatur von Moll als Befriedigung des Kontrektationstriebes zu bezeichnen wäre.</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In seinem Verhältnisse zu Vater und Mutter bestätigt Hans aufs grellste und greifbarste alles, was ich in der </w:t>
      </w:r>
      <w:r w:rsidRPr="004B6098">
        <w:rPr>
          <w:rFonts w:ascii="Garamond" w:hAnsi="Garamond"/>
          <w:i/>
          <w:iCs/>
          <w:sz w:val="20"/>
          <w:szCs w:val="20"/>
          <w:lang w:val="en-US"/>
        </w:rPr>
        <w:t>Traumdeutung</w:t>
      </w:r>
      <w:r w:rsidRPr="004B6098">
        <w:rPr>
          <w:rFonts w:ascii="Garamond" w:hAnsi="Garamond"/>
          <w:sz w:val="20"/>
          <w:szCs w:val="20"/>
          <w:lang w:val="en-US"/>
        </w:rPr>
        <w:t xml:space="preserve"> und in der </w:t>
      </w:r>
      <w:r w:rsidRPr="004B6098">
        <w:rPr>
          <w:rFonts w:ascii="Garamond" w:hAnsi="Garamond"/>
          <w:i/>
          <w:iCs/>
          <w:sz w:val="20"/>
          <w:szCs w:val="20"/>
          <w:lang w:val="en-US"/>
        </w:rPr>
        <w:t>Sexualtheorie</w:t>
      </w:r>
      <w:r w:rsidRPr="004B6098">
        <w:rPr>
          <w:rFonts w:ascii="Garamond" w:hAnsi="Garamond"/>
          <w:sz w:val="20"/>
          <w:szCs w:val="20"/>
          <w:lang w:val="en-US"/>
        </w:rPr>
        <w:t xml:space="preserve"> über die Sexualbeziehungen der Kinder zu den Eltern behauptet habe. Er ist wirklich ein kleiner Ödipus, der den Vater »weg«, beseitigt haben möchte, um mit der schönen Mutter allein zu sein, bei ihr zu schlafen. Dieser Wunsch entstand im Sommeraufenthalte, als die Abwechslungen von Anwesenheit und Abwesenheit des Vaters ihn auf die Bedingung hinwiesen, an welche die ersehnte Intimität mit der Mutter gebunden war. Er begnügte sich damals mit der Fassung, der Vater solle »wegfahren«, an welche später die Angst, von einem weißen Pferde gebissen zu werden, unmittelbar anknüpfen konnte, dank einem akzidentellen Eindrucke bei einer </w:t>
      </w:r>
      <w:r w:rsidRPr="004B6098">
        <w:rPr>
          <w:rFonts w:ascii="Garamond" w:hAnsi="Garamond"/>
          <w:sz w:val="20"/>
          <w:szCs w:val="20"/>
          <w:lang w:val="en-US"/>
        </w:rPr>
        <w:lastRenderedPageBreak/>
        <w:t xml:space="preserve">anderen Abreise. Er erhob sich später, wahrscheinlich erst in Wien, wo auf Verreisen des Vaters nicht mehr zu rechnen war, zum Inhalte, der Vater solle dauernd weg, solle »tot« sein. Die aus diesem Todeswunsche gegen den Vater entspringende, also normal zu motivierende Angst vor dem Vater bildete das größte Hindernis der Analyse, bis sie in der Aussprache in meiner Ordination beseitigt wurde </w:t>
      </w:r>
      <w:hyperlink r:id="rId1105"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Die beiden Einfälle Hansens: Himbeersaft und Gewehr zum Totschießen werden gewiß nicht nur einseitig determiniert gewesen sein. Sie haben wahrscheinlich mit dem Hasse gegen den Vater ebensoviel zu tun wie mit dem Verstopfungskomplex. Der Vater, der die letzte Zurückführung selbst errät, denkt bei »Himbeersaft« auch an »Blut«.</w:t>
        </w:r>
      </w:hyperlink>
      <w:r w:rsidRPr="004B6098">
        <w:rPr>
          <w:rFonts w:ascii="Garamond" w:hAnsi="Garamond"/>
          <w:sz w:val="20"/>
          <w:szCs w:val="20"/>
          <w:lang w:val="en-US"/>
        </w:rPr>
        <w: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Unser Hans ist aber wahrlich kein Bösewicht, nicht einmal ein Kind, bei welchem die grausamen und gewalttätigen Neigungen der menschlichen Natur um diese Zeit des Lebens noch ungehemmt entfaltet sind. Er ist im Gegenteil von ungewöhnlich gutmütigem und zärtlichem Wesen; der Vater hat notiert, daß sich die Verwandlung der Aggressionsneigung in Mitleiden bei ihm sehr frühzeitig vollzogen hat. Lange vor der Phobie wurde er unruhig, wenn er im Ringelspiele die Pferde schlagen sah, und er blieb nie ungerührt, wenn jemand in seiner Gegenwart weinte. An einer Stelle der Analyse kommt in einem gewissen Zusammenhange ein unterdrücktes Stück Sadismus bei ihm zum Vorschein </w:t>
      </w:r>
      <w:hyperlink r:id="rId1106"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Die Pferde schlagen und necken wollen.</w:t>
        </w:r>
      </w:hyperlink>
      <w:r w:rsidRPr="004B6098">
        <w:rPr>
          <w:rFonts w:ascii="Garamond" w:hAnsi="Garamond"/>
          <w:sz w:val="20"/>
          <w:szCs w:val="20"/>
          <w:lang w:val="en-US"/>
        </w:rPr>
        <w:t xml:space="preserve">; aber es war unterdrückt, und wir werden später aus dem Zusammenhange zu erraten haben, wofür es steht und was es ersetzen soll. Hans liebt auch den Vater innig, gegen den er diese Todeswünsche hegt, und während seine Intelligenz den Widerspruch beanständet </w:t>
      </w:r>
      <w:hyperlink r:id="rId1107"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Vgl. die kritischen Fragen an den Vater (oben S. 42).</w:t>
        </w:r>
      </w:hyperlink>
      <w:r w:rsidRPr="004B6098">
        <w:rPr>
          <w:rFonts w:ascii="Garamond" w:hAnsi="Garamond"/>
          <w:sz w:val="20"/>
          <w:szCs w:val="20"/>
          <w:lang w:val="en-US"/>
        </w:rPr>
        <w:t xml:space="preserve">, muß er dessen tatsächliches Vorhandensein demonstrieren, indem er den Vater schlägt und sofort darauf die geschlagene Stelle küßt. Auch wir wollen uns hüten, diesen Widerspruch anstößig zu finden; aus solchen Gegensatzpaaren ist das Gefühlsleben der Menschen überhaupt zusammengesetzt </w:t>
      </w:r>
      <w:hyperlink r:id="rId1108"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 xml:space="preserve">»Das macht, ich bin kein ausgeklügelt Buch. </w:t>
        </w:r>
        <w:r w:rsidRPr="004B6098">
          <w:rPr>
            <w:rFonts w:ascii="Garamond" w:hAnsi="Garamond"/>
            <w:color w:val="0000FF"/>
            <w:sz w:val="20"/>
            <w:szCs w:val="20"/>
            <w:u w:val="single"/>
            <w:lang w:val="en-US"/>
          </w:rPr>
          <w:br/>
        </w:r>
        <w:r w:rsidRPr="004B6098">
          <w:rPr>
            <w:rStyle w:val="innerfusslink"/>
            <w:rFonts w:ascii="Garamond" w:hAnsi="Garamond"/>
            <w:color w:val="0000FF"/>
            <w:sz w:val="20"/>
            <w:szCs w:val="20"/>
            <w:u w:val="single"/>
            <w:lang w:val="en-US"/>
          </w:rPr>
          <w:t xml:space="preserve">Ich bin ein Mensch mit seinem Widerspruch.« </w:t>
        </w:r>
        <w:r w:rsidRPr="004B6098">
          <w:rPr>
            <w:rFonts w:ascii="Garamond" w:hAnsi="Garamond"/>
            <w:color w:val="0000FF"/>
            <w:sz w:val="20"/>
            <w:szCs w:val="20"/>
            <w:u w:val="single"/>
            <w:lang w:val="en-US"/>
          </w:rPr>
          <w:br/>
        </w:r>
        <w:r w:rsidRPr="004B6098">
          <w:rPr>
            <w:rStyle w:val="innerfusslink"/>
            <w:rFonts w:ascii="Garamond" w:hAnsi="Garamond"/>
            <w:color w:val="0000FF"/>
            <w:sz w:val="20"/>
            <w:szCs w:val="20"/>
            <w:u w:val="single"/>
            <w:lang w:val="en-US"/>
          </w:rPr>
          <w:t xml:space="preserve">        C. F. Meyer, </w:t>
        </w:r>
        <w:r w:rsidRPr="004B6098">
          <w:rPr>
            <w:rStyle w:val="innerfusslink"/>
            <w:rFonts w:ascii="Garamond" w:hAnsi="Garamond"/>
            <w:i/>
            <w:iCs/>
            <w:color w:val="0000FF"/>
            <w:sz w:val="20"/>
            <w:szCs w:val="20"/>
            <w:u w:val="single"/>
            <w:lang w:val="en-US"/>
          </w:rPr>
          <w:t>Huttens letzte Tage</w:t>
        </w:r>
        <w:r w:rsidRPr="004B6098">
          <w:rPr>
            <w:rStyle w:val="innerfusslink"/>
            <w:rFonts w:ascii="Garamond" w:hAnsi="Garamond"/>
            <w:color w:val="0000FF"/>
            <w:sz w:val="20"/>
            <w:szCs w:val="20"/>
            <w:u w:val="single"/>
            <w:lang w:val="en-US"/>
          </w:rPr>
          <w:t>.</w:t>
        </w:r>
      </w:hyperlink>
      <w:r w:rsidRPr="004B6098">
        <w:rPr>
          <w:rFonts w:ascii="Garamond" w:hAnsi="Garamond"/>
          <w:sz w:val="20"/>
          <w:szCs w:val="20"/>
          <w:lang w:val="en-US"/>
        </w:rPr>
        <w:t>; ja, es käme vielleicht nicht zur Verdrängung und zur Neurose, wenn es anders wäre. Diese Gefühlsgegensätze, die dem Erwachsenen gewöhnlich nur in der höchsten Liebesleidenschaft gleichzeitig bewußt werden, sonst einander zu unterdrücken pflegen, bis es dem einen gelingt, das andere verdeckt zu halten, finden im Seelenleben des Kindes eine ganze Weile über friedlich nebeneinander Raum.</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Die größte Bedeutung für die psychosexuelle Entwicklung unseres Knaben hat die Geburt einer kleinen Schwester gehabt, als er 3½ Jahre alt war. Dieses Ereignis hat seine Beziehungen zu den Eltern verschärft, seinem Denken unlösliche Aufgaben gestellt, und das Zuschauen bei der Kinderpflege hat dann die Erinnerungsspuren seiner eigenen frühesten Lusterlebnisse wiederbelebt. Auch dieser Einfluß ist ein typischer; in einer unerwartet großen Anzahl von Lebens- und Krankengeschichten muß man dieses Aufflammen der sexuellen Lust und der sexuellen Wißbegierde, das an die Geburt des nächsten Kindes anknüpft, zum Ausgangspunkte nehmen. Hansens Benehmen gegen den Ankömmling ist das in der </w:t>
      </w:r>
      <w:r w:rsidRPr="004B6098">
        <w:rPr>
          <w:rFonts w:ascii="Garamond" w:hAnsi="Garamond"/>
          <w:i/>
          <w:iCs/>
          <w:sz w:val="20"/>
          <w:szCs w:val="20"/>
          <w:lang w:val="en-US"/>
        </w:rPr>
        <w:t>Traumdeutung</w:t>
      </w:r>
      <w:hyperlink r:id="rId1109"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S. 172, 8. Aufl.</w:t>
        </w:r>
      </w:hyperlink>
      <w:r w:rsidRPr="004B6098">
        <w:rPr>
          <w:rFonts w:ascii="Garamond" w:hAnsi="Garamond"/>
          <w:sz w:val="20"/>
          <w:szCs w:val="20"/>
          <w:lang w:val="en-US"/>
        </w:rPr>
        <w:t xml:space="preserve"> geschilderte. Im Fieber wenige Tage nachher verrät er, wie wenig er mit diesem Zuwachs einverstanden ist. Hier ist die Feindseligkeit das zeitlich Vorangehende, die Zärtlichkeit mag nachfolgen </w:t>
      </w:r>
      <w:hyperlink r:id="rId1110"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Vgl. seine Vorsätze, wenn die Kleine erst sprechen kann (oben S. 66).</w:t>
        </w:r>
      </w:hyperlink>
      <w:r w:rsidRPr="004B6098">
        <w:rPr>
          <w:rFonts w:ascii="Garamond" w:hAnsi="Garamond"/>
          <w:sz w:val="20"/>
          <w:szCs w:val="20"/>
          <w:lang w:val="en-US"/>
        </w:rPr>
        <w:t>. Die Angst, daß noch ein neues Kind nachkommen könne, hat seither eine Stelle in seinem bewußten Denken. In der Neurose ist die bereits unterdrückte Feindseligkeit durch eine besondere Angst, die vor der Badewanne, vertreten; in der Analyse bringt er den Todeswunsch gegen die Schwester unverhohlen zum Ausdrucke, nicht bloß in Anspielungen, die der Vater vervollständigen muß. Seine Selbstkritik läßt ihm diesen Wunsch nicht so arg erscheinen wie den analogen gegen den Vater; aber er hat offenbar beide Personen in gleicher Weise im Unbewußten behandelt, weil sie beide ihm die Mammi wegnehmen, ihn im Alleinsein mit ihr stören.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Dies Ereignis und die mit ihm verknüpften Erweckungen haben übrigens seinen Wünschen eine neue Richtung gegeben. In der sieghaften Schlußphantasie zieht er dann die Summe aller seiner erotischen Wunschregungen, der aus der autoerotischen Phase stammenden und der mit der Objektliebe zusammenhängenden. Er ist mit der schönen Mutter verheiratet und hat ungezählte Kinder, die er nach seiner Weise pflegen kann.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2</w:t>
      </w:r>
    </w:p>
    <w:p w:rsidR="00822836" w:rsidRPr="004B6098" w:rsidRDefault="00822836" w:rsidP="00822836">
      <w:pPr>
        <w:pStyle w:val="Sansinterligne"/>
        <w:rPr>
          <w:rFonts w:ascii="Garamond" w:hAnsi="Garamond"/>
          <w:sz w:val="20"/>
          <w:szCs w:val="20"/>
        </w:rPr>
      </w:pPr>
      <w:r w:rsidRPr="004B6098">
        <w:rPr>
          <w:rFonts w:ascii="Garamond" w:hAnsi="Garamond"/>
          <w:sz w:val="20"/>
          <w:szCs w:val="20"/>
          <w:lang w:val="en-US"/>
        </w:rPr>
        <w:t xml:space="preserve">Hans erkrankt eines Tages an Angst auf der Straße. Er kann noch nicht sagen, wovor er sich fürchtet, aber zu Beginn seines Angstzustandes verrät er auch dem Vater das Motiv seines Krankseins, den Krankheitsgewinn. Er will bei der Mutter bleiben, mit ihr schmeicheln; die Erinnerung, daß er auch von ihr getrennt war zur Zeit, als das Kind kam, mag, wie der Vater meint, zu dieser Sehnsucht beitragen. Bald erweist sich, daß diese Angst nicht mehr in Sehnsucht zurückzuübersetzen ist, er fürchtet sich auch, wenn die Mutter mit ihm geht. Unterdes erhalten wir Anzeichen von dem, woran sich die zur Angst gewordene Libido fixiert hat. </w:t>
      </w:r>
      <w:r w:rsidRPr="004B6098">
        <w:rPr>
          <w:rFonts w:ascii="Garamond" w:hAnsi="Garamond"/>
          <w:sz w:val="20"/>
          <w:szCs w:val="20"/>
        </w:rPr>
        <w:t>Er äußert die ganz spezialisierte Furcht, daß ihn ein weißes Pferd beißen wird.</w:t>
      </w:r>
    </w:p>
    <w:p w:rsidR="00822836" w:rsidRPr="004B6098" w:rsidRDefault="00822836" w:rsidP="00822836">
      <w:pPr>
        <w:pStyle w:val="Sansinterligne"/>
        <w:rPr>
          <w:rFonts w:ascii="Garamond" w:hAnsi="Garamond"/>
          <w:sz w:val="20"/>
          <w:szCs w:val="20"/>
        </w:rPr>
      </w:pPr>
      <w:r w:rsidRPr="004B6098">
        <w:rPr>
          <w:rFonts w:ascii="Garamond" w:hAnsi="Garamond"/>
          <w:sz w:val="20"/>
          <w:szCs w:val="20"/>
        </w:rPr>
        <w:t>Wir benennen einen solchen Krankheitszustand eine »Phobie« und könnten den Fall unseres Kleinen der Agoraphobie zurechnen, wenn diese Affektion nicht dadurch ausgezeichnet wäre, daß die sonst unmögliche Leistung im Raume jedesmal durch die Begleitung einer gewissen dazu auserwählten Person, im äußersten Falle des Arztes, leicht möglich wird. Hansens Phobie hält diese Bedingung nicht ein, sieht bald vom Raume ab und nimmt immer deutlicher das Pferd zum Objekte; in den ersten Tagen äußert er auf der Höhe des Angstzustandes die Befürchtung: »Das Pferd wird ins Zimmer kommen«, die mir das Verständnis seiner Angst so sehr erleichtert hat.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Die Stellung der »Phobien« im System der Neurosen ist bisher eine unbestimmte gewesen. Sicher scheint, daß man in den Phobien nur Syndrome erblicken darf, die verschiedenen Neurosen angehören können, ihnen nicht die Bedeutung besonderer Krankheitsprozesse einzuräumen braucht. Für die Phobien von der Art wie die unseres kleinen Patienten, die ja die häufigsten sind, scheint mir die Bezeichnung »Angsthysterie« nicht unzweckmäßig; ich </w:t>
      </w:r>
      <w:r w:rsidRPr="004B6098">
        <w:rPr>
          <w:rFonts w:ascii="Garamond" w:hAnsi="Garamond"/>
          <w:sz w:val="20"/>
          <w:szCs w:val="20"/>
          <w:lang w:val="en-US"/>
        </w:rPr>
        <w:lastRenderedPageBreak/>
        <w:t xml:space="preserve">habe sie Herrn Dr. W. Stekel vorgeschlagen, als er die Darstellung der nervösen Angstzustände unternahm, und ich hoffe, daß sie sich einbürgern wird </w:t>
      </w:r>
      <w:hyperlink r:id="rId1111"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 xml:space="preserve">W. Stekel, </w:t>
        </w:r>
        <w:r w:rsidRPr="004B6098">
          <w:rPr>
            <w:rStyle w:val="innerfusslink"/>
            <w:rFonts w:ascii="Garamond" w:hAnsi="Garamond"/>
            <w:i/>
            <w:iCs/>
            <w:color w:val="0000FF"/>
            <w:sz w:val="20"/>
            <w:szCs w:val="20"/>
            <w:u w:val="single"/>
            <w:lang w:val="en-US"/>
          </w:rPr>
          <w:t>Nervöse Angstzustände und ihre Behandlung</w:t>
        </w:r>
        <w:r w:rsidRPr="004B6098">
          <w:rPr>
            <w:rStyle w:val="innerfusslink"/>
            <w:rFonts w:ascii="Garamond" w:hAnsi="Garamond"/>
            <w:color w:val="0000FF"/>
            <w:sz w:val="20"/>
            <w:szCs w:val="20"/>
            <w:u w:val="single"/>
            <w:lang w:val="en-US"/>
          </w:rPr>
          <w:t>, 1908.</w:t>
        </w:r>
      </w:hyperlink>
      <w:r w:rsidRPr="004B6098">
        <w:rPr>
          <w:rFonts w:ascii="Garamond" w:hAnsi="Garamond"/>
          <w:sz w:val="20"/>
          <w:szCs w:val="20"/>
          <w:lang w:val="en-US"/>
        </w:rPr>
        <w:t xml:space="preserve">. Sie rechtfertigt sich durch die vollkommene Übereinstimmung im psychischen Mechanismus dieser Phobien mit der Hysterie bis auf einen, aber entscheidenden und zur Sonderung geeigneten Punkt. Die aus dem pathogenen Material durch die Verdrängung entbundene Libido wird nämlich nicht </w:t>
      </w:r>
      <w:r w:rsidRPr="004B6098">
        <w:rPr>
          <w:rFonts w:ascii="Garamond" w:hAnsi="Garamond"/>
          <w:i/>
          <w:iCs/>
          <w:sz w:val="20"/>
          <w:szCs w:val="20"/>
          <w:lang w:val="en-US"/>
        </w:rPr>
        <w:t>konvertiert</w:t>
      </w:r>
      <w:r w:rsidRPr="004B6098">
        <w:rPr>
          <w:rFonts w:ascii="Garamond" w:hAnsi="Garamond"/>
          <w:sz w:val="20"/>
          <w:szCs w:val="20"/>
          <w:lang w:val="en-US"/>
        </w:rPr>
        <w:t xml:space="preserve">, aus dem Seelischen heraus zu einer körperlichen Innervation verwendet, sondern wird als Angst frei. In den vorkommenden Krankheitsfällen kann sich diese »Angsthysterie« mit der » </w:t>
      </w:r>
      <w:r w:rsidRPr="004B6098">
        <w:rPr>
          <w:rFonts w:ascii="Garamond" w:hAnsi="Garamond"/>
          <w:i/>
          <w:iCs/>
          <w:sz w:val="20"/>
          <w:szCs w:val="20"/>
          <w:lang w:val="en-US"/>
        </w:rPr>
        <w:t>Konversionshysterie</w:t>
      </w:r>
      <w:r w:rsidRPr="004B6098">
        <w:rPr>
          <w:rFonts w:ascii="Garamond" w:hAnsi="Garamond"/>
          <w:sz w:val="20"/>
          <w:szCs w:val="20"/>
          <w:lang w:val="en-US"/>
        </w:rPr>
        <w:t>« in beliebigem Ausmaße vermengen. Es gibt auch reine Konversionshysterie ohne jede Angst sowie bloße Angsthysterie, die sich in Angstempfindungen und Phobien äußert, ohne Konversionszusatz; ein Fall letzterer Art ist der unseres kleinen Hans.</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Die Angsthysterien sind die häufigsten aller psychoneurotischen Erkrankungen, vor allem aber die zuerst im Leben auftretenden, es sind geradezu die Neurosen der Kinderzeit. Wenn eine Mutter etwa von ihrem Kind erzählt, es sei sehr »nervös«, so kann man in 9 unter 10 Fällen darauf rechnen, daß das Kind irgendeine Art von Angst oder viele Ängstlichkeiten zugleich hat. Leider ist der feinere Mechanismus dieser so bedeutsamen Erkrankungen noch nicht genügend studiert; es ist noch nicht festgestellt, ob die Angsthysterie zum Unterschiede von der Konversionshysterie und von anderen Neurosen ihre einzige Bedingung in konstitutionellen Momenten oder im akzidentellen Erleben hat, oder in welcher Vereinigung von beiden sie sie findet </w:t>
      </w:r>
      <w:hyperlink r:id="rId1112"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Die hier aufgeworfene Frage ist zwar nicht weiter verfolgt worden. Es besteht aber kein Grund, für die Angsthysterie eine Ausnahme von der Regel anzunehmen, daß Anlage und Erleben für die Ätiologie einer Neurose zusammenwirken müssen. Ein besonderes Licht auf die in der Kindheit so starke Disposition zur Angsthysterie scheint die Auffassung Ranks von der Wirkung des Geburtstraumas zu werfen.</w:t>
        </w:r>
      </w:hyperlink>
      <w:r w:rsidRPr="004B6098">
        <w:rPr>
          <w:rFonts w:ascii="Garamond" w:hAnsi="Garamond"/>
          <w:sz w:val="20"/>
          <w:szCs w:val="20"/>
          <w:lang w:val="en-US"/>
        </w:rPr>
        <w:t>. Es scheint mir, daß es diejenige neurotische Erkrankung ist, welche die geringsten Ansprüche auf eine besondere Konstitution erhebt und im Zusammenhange damit am leichtesten zu jeder Lebenszeit akquiriert werden kann.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Ein wesentlicher Charakter der Angsthysterien läßt sich leicht hervorheben. Die Angsthysterie entwickelt sich immer mehr zur »Phobie«, am Ende kann der Kranke angstfrei geworden sein, aber nur auf Kosten von Hemmungen und Einschränkungen, denen er sich unterwerfen mußte. Es gibt bei der Angsthysterie eine von Anfang an fortgesetzte psychische Arbeit, um die frei gewordene Angst wieder psychisch zu binden, aber diese Arbeit kann weder die Rückverwandlung der Angst in Libido herbeiführen noch an dieselben Komplexe anknüpfen, von denen die Libido herrührt. Es bleibt ihr nichts anderes übrig, als jeden der möglichen Anlässe zur Angstentwicklung durch einen psychischen Vorbau von der Art einer Vorsicht, einer Hemmung, eines Verbots zu sperren, und diese Schutzbauten sind es, die uns als Phobien erscheinen und für unsere Wahrnehmung das Wesen der Krankheit ausmachen.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Man darf sagen, daß die Behandlung der Angsthysterie bisher eine rein negative gewesen ist. Die Erfahrung hat gezeigt, daß es unmöglich, ja unter Umständen gefährlich ist, die Heilung der Phobie auf gewalttätige Art zu erreichen, indem man den Kranken in eine Situation bringt, in welcher er die Angstentbindung durchmachen muß, nachdem man ihm seine Deckung entzogen hat. So läßt man ihn notgedrungen Schutz suchen, wo er ihn zu finden glaubt, und bezeugt ihm eine wirkungslose Verachtung wegen seiner »unbegreiflichen Feigheit«.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Für die Eltern unseres kleinen Patienten stand von Beginn der Erkrankung an fest, daß man ihn weder auslachen noch brutalisieren dürfe, sondern den Zugang zu seinen verdrängten Wünschen auf psychoanalytischem Wege suchen müsse. Der Erfolg belohnte die außerordentliche Bemühung seines Vaters, dessen Mitteilungen uns Gelegenheit geben werden, in das Gefüge einer solchen Phobie einzudringen und den Weg der bei ihr vorgenommenen Analyse zu verfolgen.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Es ist mir nicht unwahrscheinlich, daß die Analyse durch ihre Ausdehnung und Ausführlichkeit dem Leser einigermaßen undurchsichtig geworden ist. Ich will darum zuerst ihren Verlauf verkürzt wiederholen mit Weglassung alles störenden Beiwerks und Hervorhebung der Ergebnisse, die sich schrittweise erkennen lassen.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Wir erfahren zunächst, daß der Ausbruch des Angstzustandes kein so plötzlicher war, wie es auf den ersten Blick erschien. Einige Tage vorher war das Kind aus einem Angsttraum erwacht, dessen Inhalt war, die Mama sei weg und er habe jetzt keine Mama zum Schmeicheln. Schon dieser Traum weist auf einen Verdrängungsvorgang von bedenklicher Intensität. Seine Aufklärung kann nicht lauten, wie bei vielen Angstträumen sonst, daß das Kind aus irgendwelchen somatischen Quellen im Traume Angst verspürt und diese Angst nun zur Erfüllung eines sonst intensiv verdrängten Wunsches aus dem Unbewußten benutzt hat (vgl. </w:t>
      </w:r>
      <w:r w:rsidRPr="004B6098">
        <w:rPr>
          <w:rFonts w:ascii="Garamond" w:hAnsi="Garamond"/>
          <w:i/>
          <w:iCs/>
          <w:sz w:val="20"/>
          <w:szCs w:val="20"/>
          <w:lang w:val="en-US"/>
        </w:rPr>
        <w:t>Traumdeutung</w:t>
      </w:r>
      <w:r w:rsidRPr="004B6098">
        <w:rPr>
          <w:rFonts w:ascii="Garamond" w:hAnsi="Garamond"/>
          <w:sz w:val="20"/>
          <w:szCs w:val="20"/>
          <w:lang w:val="en-US"/>
        </w:rPr>
        <w:t>), sondern es ist ein echter Straf- und Verdrängungstraum, bei dem auch die Funktion des Traumes fehlschlägt, da das Kind mit Angst aus dem Schlaf erwacht. Der eigentliche Vorgang im Unbewußten läßt sich leicht rekonstruieren. Das Kind hat von Zärtlichkeiten mit der Mutter geträumt, bei ihr geschlafen, alle Lust ist in Angst und aller Vorstellungsinhalt in sein Gegenteil verwandelt worden. Die Verdrängung hat den Sieg über den Traummechanismus davongetragen.</w:t>
      </w:r>
    </w:p>
    <w:p w:rsidR="00822836" w:rsidRPr="004B6098" w:rsidRDefault="00822836" w:rsidP="00822836">
      <w:pPr>
        <w:pStyle w:val="Sansinterligne"/>
        <w:rPr>
          <w:rFonts w:ascii="Garamond" w:hAnsi="Garamond"/>
          <w:sz w:val="20"/>
          <w:szCs w:val="20"/>
        </w:rPr>
      </w:pPr>
      <w:r w:rsidRPr="004B6098">
        <w:rPr>
          <w:rFonts w:ascii="Garamond" w:hAnsi="Garamond"/>
          <w:sz w:val="20"/>
          <w:szCs w:val="20"/>
          <w:lang w:val="en-US"/>
        </w:rPr>
        <w:t xml:space="preserve">Aber die Anfänge dieser psychologischen Situation gehen noch weiter zurück. Schon im Sommer gab es ähnliche sehnsüchtig-ängstliche Stimmungen, in denen er ähnliches äußerte, und die ihm damals den Vorteil brachten, daß ihn die Mutter zu sich ins Bett nahm. Seit dieser Zeit etwa dürften wir den Bestand einer gesteigerten sexuellen Erregung bei Hans annehmen, deren Objekt die Mutter ist, deren Intensität sich in zwei Verführungsversuchen an der Mutter äußert – der letzte ganz kurz vor dem Ausbruche der Angst – und die sich nebenbei in allabendlicher masturbatorischer Befriedigung entlädt. Ob dann der Umschlag dieser Erregung sich spontan vollzieht oder infolge der Abweisung der Mutter oder durch die zufällige Erweckung früherer Eindrücke bei der später zu erfahrenden »Veranlassung« der Erkrankung, das ist nicht zu entscheiden, ist wohl auch gleichgültig, da die drei verschiedenen </w:t>
      </w:r>
      <w:r w:rsidRPr="004B6098">
        <w:rPr>
          <w:rFonts w:ascii="Garamond" w:hAnsi="Garamond"/>
          <w:sz w:val="20"/>
          <w:szCs w:val="20"/>
          <w:lang w:val="en-US"/>
        </w:rPr>
        <w:lastRenderedPageBreak/>
        <w:t xml:space="preserve">Fälle nicht als Gegensätze aufgefaßt werden können. </w:t>
      </w:r>
      <w:r w:rsidRPr="004B6098">
        <w:rPr>
          <w:rFonts w:ascii="Garamond" w:hAnsi="Garamond"/>
          <w:sz w:val="20"/>
          <w:szCs w:val="20"/>
        </w:rPr>
        <w:t>Die Tatsache ist die des Umschlags der sexuellen Erregung in die Angst.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rPr>
        <w:t xml:space="preserve">Von dem Benehmen des Kindes in der ersten Zeit der Angst haben wir schon gehört, auch daß der erste Inhalt, den es seiner Angst gibt, lautet: Ein </w:t>
      </w:r>
      <w:r w:rsidRPr="004B6098">
        <w:rPr>
          <w:rFonts w:ascii="Garamond" w:hAnsi="Garamond"/>
          <w:i/>
          <w:iCs/>
          <w:sz w:val="20"/>
          <w:szCs w:val="20"/>
        </w:rPr>
        <w:t>Pferd</w:t>
      </w:r>
      <w:r w:rsidRPr="004B6098">
        <w:rPr>
          <w:rFonts w:ascii="Garamond" w:hAnsi="Garamond"/>
          <w:sz w:val="20"/>
          <w:szCs w:val="20"/>
        </w:rPr>
        <w:t xml:space="preserve"> wird es beißen. Hier findet nun die erste Einmengung der Therapie statt. Die Eltern weisen darauf hin, daß die Angst die Folge der Masturbation sei, und leiten ihn zur Entwöhnung von derselben an. </w:t>
      </w:r>
      <w:r w:rsidRPr="004B6098">
        <w:rPr>
          <w:rFonts w:ascii="Garamond" w:hAnsi="Garamond"/>
          <w:sz w:val="20"/>
          <w:szCs w:val="20"/>
          <w:lang w:val="en-US"/>
        </w:rPr>
        <w:t>Ich sorge dafür, daß die Zärtlichkeit für die Mutter, die er gegen die Angst vor den Pferden vertauschen möchte, kräftig vor ihm betont werde. Eine geringfügige Besserung nach dieser ersten Einflußnahme geht bald in einer Zeit körperlichen Krankseins unter. Der Zustand ist unverändert. Bald darauf findet Hans die Ableitung der Furcht, daß ihn ein Pferd beißen wird, von der Reminiszenz eines Eindruckes in Gmunden. Ein Vater warnte damals sein Kind bei der Abreise: Gib den Finger nicht zum Pferde, sonst wird es dich beißen. Der Wortlaut, in den Hans die Warnung des Vaters kleidet, erinnert an die Wortfassung der Onanieverwarnung (den Finger hingeben). Die Eltern scheinen so zuerst recht zu behalten, daß Hans sich vor seiner onanistischen Befriedigung schreckt. Der Zusammenhang ist aber noch ein loser und das Pferd scheint zu seiner Schreckensrolle recht zufällig geraten zu sein.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Ich hatte die Vermutung geäußert, daß sein verdrängter Wunsch jetzt lauten könnte, er wolle durchaus den Wiwimacher der Mutter sehen. Da sein Benehmen gegen ein neu eingetretenes Hausmädchen dazu stimmt, wird ihm vom Vater die erste Aufklärung erteilt: Frauen haben keinen Wiwimacher. Er reagiert auf diese erste Hilfeleistung mit der Mitteilung einer Phantasie, er habe die Mama gesehen, wie sie ihren Wiwimacher gezeigt habe </w:t>
      </w:r>
      <w:hyperlink r:id="rId1113"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Aus dem Zusammenhange ist zu ergänzen: und dabei berührt habe ( S. 33). Er kann ja seinen Wiwimacher nicht zeigen, ohne ihn zu berühren.</w:t>
        </w:r>
      </w:hyperlink>
      <w:r w:rsidRPr="004B6098">
        <w:rPr>
          <w:rFonts w:ascii="Garamond" w:hAnsi="Garamond"/>
          <w:sz w:val="20"/>
          <w:szCs w:val="20"/>
          <w:lang w:val="en-US"/>
        </w:rPr>
        <w:t>. Diese Phantasie und eine im Gespräch geäußerte Bemerkung, sein Wiwimacher sei doch angewachsen, gestatten den ersten Einblick in die unbewußten Gedankengänge des Patienten. Er stand wirklich unter dem nachträglichen Eindruck der Kastrationsdrohung der Mutter, die 1¼ Jahre früher vorgefallen war, denn die Phantasie, daß die Mutter das gleiche tue, die gewöhnliche »Retourkutsche« beschuldigter Kinder, soll ja seiner Entlastung dienen; sie ist eine Schutz- und Abwehrphantasie. Indes müssen wir uns sagen, daß es die Eltern waren, welche aus dem in Hans wirksamen pathogenen Material das Thema der Beschäftigung mit dem Wiwimacher hervorgeholt haben. Er ist ihnen darin gefolgt, hat aber noch nicht selbsttätig in die Analyse eingegriffen. Ein therapeutischer Erfolg ist nicht zu beobachten. Die Analyse ist weit weg von den Pferden, und die Mitteilung, daß Frauen keinen Wiwimacher haben, ist durch ihren Inhalt eher geeignet, seine Besorgnis um die Erhaltung des eigenen Wiwimachers zu steigern.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Es ist aber nicht der therapeutische Erfolg, den wir an erster Stelle anstreben, sondern wir wollen den Patienten in den Stand setzen, seine unbewußten Wunschregungen bewußt zu erfassen. Dies erreichen wir, indem wir auf Grund der Andeutungen, die er uns macht, mit Hilfe unserer Deutekunst den unbewußten Komplex </w:t>
      </w:r>
      <w:r w:rsidRPr="004B6098">
        <w:rPr>
          <w:rFonts w:ascii="Garamond" w:hAnsi="Garamond"/>
          <w:i/>
          <w:iCs/>
          <w:sz w:val="20"/>
          <w:szCs w:val="20"/>
          <w:lang w:val="en-US"/>
        </w:rPr>
        <w:t>mit unseren Worten</w:t>
      </w:r>
      <w:r w:rsidRPr="004B6098">
        <w:rPr>
          <w:rFonts w:ascii="Garamond" w:hAnsi="Garamond"/>
          <w:sz w:val="20"/>
          <w:szCs w:val="20"/>
          <w:lang w:val="en-US"/>
        </w:rPr>
        <w:t xml:space="preserve"> vor sein Bewußtsein bringen. Das Stück Ähnlichkeit zwischen dem, was er gehört hat, und dem, was er sucht, das sich selbst, trotz aller Widerstände, zum Bewußtsein durchdrängen will, setzt ihn in den Stand, das Unbewußte zu finden. Der Arzt ist ihm im Verständnisse um ein Stück voraus; er kommt auf seinen eigenen Wegen nach, bis sie sich am bezeichneten Ziel treffen. Anfänger in der Psychoanalyse pflegen diese beiden Momente zu verschmelzen und den Zeitpunkt, in dem ihnen ein unbewußter Komplex des Kranken kenntlich geworden ist, auch für den zu halten, in dem der Kranke ihn erfaßt. Sie erwarten zu viel, wenn sie mit der Mitteilung dieser Erkenntnis den Kranken heilen wollen, während er das Mitgeteilte nur dazu verwenden kann, mit dessen Hilfe den unbewußten Komplex in seinem Unbewußten, </w:t>
      </w:r>
      <w:r w:rsidRPr="004B6098">
        <w:rPr>
          <w:rFonts w:ascii="Garamond" w:hAnsi="Garamond"/>
          <w:i/>
          <w:iCs/>
          <w:sz w:val="20"/>
          <w:szCs w:val="20"/>
          <w:lang w:val="en-US"/>
        </w:rPr>
        <w:t>dort wo er verankert ist</w:t>
      </w:r>
      <w:r w:rsidRPr="004B6098">
        <w:rPr>
          <w:rFonts w:ascii="Garamond" w:hAnsi="Garamond"/>
          <w:sz w:val="20"/>
          <w:szCs w:val="20"/>
          <w:lang w:val="en-US"/>
        </w:rPr>
        <w:t xml:space="preserve">, aufzufinden. Einen ersten Erfolg dieser Art erzielen wir nun bei Hans. Er ist jetzt nach der partiellen Bewältigung des Kastrationskomplexes imstande, seine Wünsche auf die Mutter mitzuteilen, und er tut dies in noch entstellter Form durch die </w:t>
      </w:r>
      <w:r w:rsidRPr="004B6098">
        <w:rPr>
          <w:rFonts w:ascii="Garamond" w:hAnsi="Garamond"/>
          <w:i/>
          <w:iCs/>
          <w:sz w:val="20"/>
          <w:szCs w:val="20"/>
          <w:lang w:val="en-US"/>
        </w:rPr>
        <w:t>Phantasie von den beiden Giraffen</w:t>
      </w:r>
      <w:r w:rsidRPr="004B6098">
        <w:rPr>
          <w:rFonts w:ascii="Garamond" w:hAnsi="Garamond"/>
          <w:sz w:val="20"/>
          <w:szCs w:val="20"/>
          <w:lang w:val="en-US"/>
        </w:rPr>
        <w:t xml:space="preserve">, von denen die eine erfolglos schreit, weil er von der anderen Besitz ergreift. Die Besitzergreifung stellt er unter dem Bilde des Sichdaraufsetzens dar. Der Vater erkennt in dieser Phantasie eine Reproduktion einer Szene, die sich morgens im Schlafzimmer zwischen den Eltern und dem Kinde abgespielt hat, und versäumt nicht, dem Wunsche die ihm noch anhaftende Entstellung abzustreifen. Er und die Mutter sind die beiden Giraffen. Die Einkleidung in die Giraffenphantasie ist hinreichend determiniert durch den Besuch bei diesen großen Tieren in Schönbrunn wenige Tage vorher, durch die Giraffenzeichnung, die der Vater aus früheren Zeiten aufbewahrt hat, vielleicht auch durch eine unbewußte Vergleichung, die an den langen und steifen Hals der Giraffe anknüpft </w:t>
      </w:r>
      <w:hyperlink r:id="rId1114"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Dazu stimmt die spätere Bewunderung Hansens für den Hals seines Vaters.</w:t>
        </w:r>
      </w:hyperlink>
      <w:r w:rsidRPr="004B6098">
        <w:rPr>
          <w:rFonts w:ascii="Garamond" w:hAnsi="Garamond"/>
          <w:sz w:val="20"/>
          <w:szCs w:val="20"/>
          <w:lang w:val="en-US"/>
        </w:rPr>
        <w:t>. Wir merken, daß die Giraffe als großes und durch seinen Wiwimacher interessantes Tier ein Konkurrent der Pferde in ihrer Angstrolle hätte werden können, und auch daß Vater und Mutter beide als Giraffen vorgeführt werden, gibt einen vorläufig noch nicht verwerteten Wink für die Deutung der Angstpferde.</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Zwei kleinere Phantasien, die Hans unmittelbar nach der Giraffendichtung bringt, daß er in Schönbrunn sich in einen verbotenen Raum drängt, daß er in der Stadtbahn ein Fenster zerschlägt, wobei beide Male das Strafbare der Handlung betont ist und der Vater als Mitschuldiger erscheint, entziehen sich leider der Deutung des Vaters. Ihre Mitteilung bringt darum auch Hans keinen Nutzen. Aber was so verstanden geblieben ist, das kommt wieder; es ruht nicht, wie ein unerlöster Geist, bis er zur Lösung und Erlösung gekommen ist.</w:t>
      </w:r>
    </w:p>
    <w:p w:rsidR="00822836" w:rsidRPr="004B6098" w:rsidRDefault="00822836" w:rsidP="00822836">
      <w:pPr>
        <w:pStyle w:val="Sansinterligne"/>
        <w:rPr>
          <w:rFonts w:ascii="Garamond" w:hAnsi="Garamond"/>
          <w:sz w:val="20"/>
          <w:szCs w:val="20"/>
        </w:rPr>
      </w:pPr>
      <w:r w:rsidRPr="004B6098">
        <w:rPr>
          <w:rFonts w:ascii="Garamond" w:hAnsi="Garamond"/>
          <w:sz w:val="20"/>
          <w:szCs w:val="20"/>
        </w:rPr>
        <w:t xml:space="preserve">Das Verständnis der beiden verbrecherischen Phantasien bietet uns keine Schwierigkeiten. Sie gehören zum Komplex des Besitzergreifens von der Mutter. In dem Kinde ringt es wie eine Ahnung von etwas, was er mit der Mutter machen könnte, womit die Besitzergreifung vollzogen wäre, und er findet für das Unfaßbare gewisse bildliche Vertretungen, denen das Gewalttätige, Verbotene gemeinsam ist, deren Inhalt uns so merkwürdig gut zur </w:t>
      </w:r>
      <w:r w:rsidRPr="004B6098">
        <w:rPr>
          <w:rFonts w:ascii="Garamond" w:hAnsi="Garamond"/>
          <w:sz w:val="20"/>
          <w:szCs w:val="20"/>
        </w:rPr>
        <w:lastRenderedPageBreak/>
        <w:t>verborgenen Wirklichkeit zu stimmen scheint. Wir können nur sagen, es sind symbolische Koitusphantasien, und es ist keineswegs nebensächlich, daß der Vater dabei mittut: »Ich möchte mit der Mama etwas tun, etwas Verbotenes, ich weiß nicht was, aber ich weiß, du tust es auch.«</w:t>
      </w:r>
    </w:p>
    <w:p w:rsidR="00822836" w:rsidRPr="004B6098" w:rsidRDefault="00822836" w:rsidP="00822836">
      <w:pPr>
        <w:pStyle w:val="Sansinterligne"/>
        <w:rPr>
          <w:rFonts w:ascii="Garamond" w:hAnsi="Garamond"/>
          <w:sz w:val="20"/>
          <w:szCs w:val="20"/>
        </w:rPr>
      </w:pPr>
      <w:r w:rsidRPr="004B6098">
        <w:rPr>
          <w:rFonts w:ascii="Garamond" w:hAnsi="Garamond"/>
          <w:sz w:val="20"/>
          <w:szCs w:val="20"/>
        </w:rPr>
        <w:t>Die Giraffenphantasie hatte bei mir eine Überzeugung verstärkt, die sich bereits bei der Äußerung des kleinen Hans: »Das Pferd wird ins Zimmer kommen«, geregt hatte, und ich fand den Moment geeignet, ihm als ein wesentlich zu postulierendes Stück seiner unbewußten Regungen mitzuteilen: seine Angst vor dem Vater wegen seiner eifersüchtigen und feindseligen Wünsche gegen ihn. Damit hatte ich ihm teilweise die Angst vor den Pferden gedeutet, der Vater mußte das Pferd sein, vor dem er sich mit guter innerer Begründung fürchtete. Gewisse Einzelheiten, das Schwarze am Munde und das vor den Augen (Schnurrbart und Augengläser als Vorrechte des erwachsenen Mannes), vor denen Hans Angst äußerte, schienen mir direkt vom Vater auf die Pferde versetzt zu sein.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Mit dieser Aufklärung hatte ich den wirksamsten Widerstand gegen die Bewußtmachung der unbewußten Gedanken bei Hans beseitigt, da ja der Vater selbst die Rolle des Arztes bei ihm spielte. Die Höhe des Zustandes war von da an überschritten, das Material floß reichlich, der kleine Patient zeigte Mut, die Einzelheiten seiner Phobie mitzuteilen, und griff bald selbständig in den Ablauf der Analyse ein </w:t>
      </w:r>
      <w:hyperlink r:id="rId1115"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 xml:space="preserve">Die Angst vor dem Vater spielt noch in den Analysen, die man als Arzt mit Fremden vornimmt, eine der bedeutsamsten Rollen als Widerstand gegen die Reproduktion des unbewußten pathogenen Materials. Die Widerstände sind zum Teil von der Natur der »Motive«, überdies ist, wie in diesem Beispiel, ein Stück des unbewußten Materials </w:t>
        </w:r>
        <w:r w:rsidRPr="004B6098">
          <w:rPr>
            <w:rStyle w:val="innerfusslink"/>
            <w:rFonts w:ascii="Garamond" w:hAnsi="Garamond"/>
            <w:i/>
            <w:iCs/>
            <w:color w:val="0000FF"/>
            <w:sz w:val="20"/>
            <w:szCs w:val="20"/>
            <w:u w:val="single"/>
            <w:lang w:val="en-US"/>
          </w:rPr>
          <w:t>inhaltlich</w:t>
        </w:r>
        <w:r w:rsidRPr="004B6098">
          <w:rPr>
            <w:rStyle w:val="innerfusslink"/>
            <w:rFonts w:ascii="Garamond" w:hAnsi="Garamond"/>
            <w:color w:val="0000FF"/>
            <w:sz w:val="20"/>
            <w:szCs w:val="20"/>
            <w:u w:val="single"/>
            <w:lang w:val="en-US"/>
          </w:rPr>
          <w:t xml:space="preserve"> befähigt, als Hemmung gegen die Reproduktion eines andern Stückes zu dienen.</w:t>
        </w:r>
      </w:hyperlink>
      <w:r w:rsidRPr="004B6098">
        <w:rPr>
          <w:rFonts w:ascii="Garamond" w:hAnsi="Garamond"/>
          <w:sz w:val="20"/>
          <w:szCs w:val="20"/>
          <w:lang w:val="en-US"/>
        </w:rPr>
        <w: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Man erfährt erst jetzt, vor welchen Objekten und Eindrücken Hans Angst hat. Nicht allein vor Pferden und daß Pferde ihn beißen, davon wird es bald stille, sondern auch vor Wagen, Möbelwagen und Stellwagen, als deren Gemeinsames sich alsbald die schwere Belastung herausstellt, vor Pferden, die sich in Bewegung setzen, Pferden, die groß und schwer aussehen, Pferden, die schnell fahren. Den Sinn dieser Bestimmungen gibt Hans dann selbst an; er hat Angst, daß die Pferde </w:t>
      </w:r>
      <w:r w:rsidRPr="004B6098">
        <w:rPr>
          <w:rFonts w:ascii="Garamond" w:hAnsi="Garamond"/>
          <w:i/>
          <w:iCs/>
          <w:sz w:val="20"/>
          <w:szCs w:val="20"/>
          <w:lang w:val="en-US"/>
        </w:rPr>
        <w:t>umfallen</w:t>
      </w:r>
      <w:r w:rsidRPr="004B6098">
        <w:rPr>
          <w:rFonts w:ascii="Garamond" w:hAnsi="Garamond"/>
          <w:sz w:val="20"/>
          <w:szCs w:val="20"/>
          <w:lang w:val="en-US"/>
        </w:rPr>
        <w:t>, und macht so alles zum Inhalte seiner Phobie, was dies Umfallen der Pferde zu erleichtern scheint.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Es ist gar nicht selten, daß man den eigentlichen Inhalt einer Phobie, den richtigen Wortlaut eines Zwangsimpulses u. dgl. erst nach einem Stücke psychoanalytischer Bemühung zu hören bekommt. Die Verdrängung hat nicht nur die unbewußten Komplexe getroffen, sie richtet sich auch noch fortwährend gegen deren Abkömmlinge und hindert den Kranken an der Wahrnehmung seiner Krankheitsprodukte selbst. Man ist da in der seltsamen Lage, als Arzt der Krankheit zu Hilfe zu kommen, um Aufmerksamkeit für sie zu werben, aber nur wer das Wesen der Psychoanalyse völlig verkennt, wird diese Phase der Bemühung hervorheben und darob eine Schädigung durch die Analyse erwarten. Die Wahrheit ist, daß die Nürnberger keinen henken, den sie nicht zuvor in die Hand bekommen haben, und daß es einiger Arbeit bedarf, um der krankhaften Bildungen, die man zerstören will, habhaft zu werden.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Ich erwähnte schon in den die Krankengeschichte begleitenden Glossen, daß es sehr instruktiv ist, sich so in das Detail einer Phobie zu vertiefen und sich den sicheren Eindruck einer sekundär hergestellten Beziehung zwischen der Angst und ihren Objekten zu holen. Daher das eigentümlich diffuse und dann wiederum so streng bedingte Wesen einer Phobie. Das Material zu diesen Speziallösungen hat sich unser kleiner Patient offenbar aus den Eindrücken geholt, die er infolge der Lage der Wohnung gegenüber dem Hauptzollamte tagsüber vor Augen haben kann. Er verrät auch in diesem Zusammenhang eine jetzt durch die Angst gehemmte Regung, mit den Ladungen der Wagen, dem Gepäcke, den Fässern und Kisten wie die Buben der Gasse zu spielen.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In diesem Stadium der Analyse findet er das an sich nicht bedeutsame Erlebnis wieder, welches dem Ausbruche der Krankheit unmittelbar vorausgegangen ist, und das wohl als die Veranlassung für diesen Ausbruch angesehen werden darf. Er ging mit der Mama spazieren und sah ein Stellwagenpferd umfallen und mit den Füßen zappeln. Dies machte auf ihn einen großen Eindruck. Er erschrak heftig, meinte, das Pferd sei tot; von jetzt ab würden alle Pferde umfallen. Der Vater weist ihn darauf hin, daß er bei dem fallenden Pferde an ihn, den Vater, gedacht und gewünscht haben muß, er solle so fallen und tot sein. Hans sträubt sich nicht gegen diese Deutung; ein Weile später akzeptiert er durch ein Spiel, das er aufführt, indem er den Vater beißt, die Identifizierung des Vaters mit dem gefürchteten Pferde und benimmt sich von da ab frei und furchtlos, ja, selbst ein wenig übermütig gegen seinen Vater. Die Angst vor Pferden hält aber noch an, und infolge welcher Verkettung das fallende Pferd seine unbewußten Wünsche aufgerührt hat, ist uns noch nicht klar.</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Fassen wir zusammen, was sich bisher ergeben hat: Hinter der erst geäußerten Angst, das Pferd werde ihn beißen, ist die tiefer liegende Angst, die Pferde werden umfallen, aufgedeckt worden, und beide, das beißende wie das fallende Pferd, sind der Vater, der ihn strafen wird, weil er so böse Wünsche gegen ihn hegt. Von der Mutter sind wir unterdes in der Analyse abgekommen.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Ganz unerwartet und gewiß ohne Dazutun des Vaters beginnt nun Hans sich mit dem »Lumpfkomplex« zu beschäftigen und Ekel vor Dingen zu zeigen, die ihn an die Stuhlentleerung erinnern. Der Vater, der hier nur ungern mitgeht, setzt mittendrin die Fortsetzung der Analyse durch, wie er sie leiten möchte, und bringt Hans zur Erinnerung eines Erlebnisses in Gmunden, dessen Eindruck sich hinter dem des fallenden Stellwagenpferdes verbarg. Fritzl, sein geliebter Spielgenosse, vielleicht auch sein Konkurrent bei den vielen Gespielinnen, hatte im Pferdespiele mit dem Fuße an einen Stein gestoßen, war umgefallen, und der Fuß hatte geblutet. An diesen Unfall hatte das Erlebnis mit dem fallenden Stellwagenpferd erinnert. Es ist bemerkenswert, daß Hans, der zur Zeit mit anderen Dingen beschäftigt ist, das Umfallen Fritzls, das den Zusammenhang herstellt, zuerst leugnet, erst in einem späteren Stadium der Analyse zugesteht. Für uns mag es aber interessant sein hervorzuheben, wie sich die </w:t>
      </w:r>
      <w:r w:rsidRPr="004B6098">
        <w:rPr>
          <w:rFonts w:ascii="Garamond" w:hAnsi="Garamond"/>
          <w:sz w:val="20"/>
          <w:szCs w:val="20"/>
          <w:lang w:val="en-US"/>
        </w:rPr>
        <w:lastRenderedPageBreak/>
        <w:t>Verwandlung von Libido in Angst auf das Hauptobjekt der Phobie, das Pferd, projiziert. Pferde waren ihm die interessantesten großen Tiere, Pferdespiel das liebste Spiel mit seinen kindlichen Genossen. Die Vermutung, daß der Vater ihm zuerst als Pferd gedient hat, wird durch Erkundigung beim Vater bestätigt, und so konnte sich bei dem Unfälle in Gmunden der Person des Vaters die Fritzls substituieren. Nach eingetretenem Verdrängungsumschwunge mußte er sich nun vor den Pferden fürchten, an die er vorher so viel Lust geknüpft hatte.</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Aber wir sagten schon, daß wir diese letzte bedeutsame Aufklärung über die Wirksamkeit des Krankheitsanlasses dem Eingreifen des Vaters verdanken. Hans ist bei seinen Lumpfinteressen, und wir müssen ihm endlich dorthin folgen. Wir erfahren, daß er sich früher der Mutter als Begleiter aufs Klosett aufzudrängen pflegte und daß er dies bei der damaligen Stellvertreterin der Mutter, seiner Freundin Berta, wiederholte, bis es bekannt und verboten wurde. Die Lust, bei den Verrichtungen einer geliebten Person zuzuschauen, entspricht auch einer »Triebverschränkung«, von der wir bei Hans bereits ein Beispiel bemerkt hatten. Endlich geht auch der Vater auf die Lumpfsymbolik ein und anerkennt eine Analogie zwischen einem schwer beladenen Wagen und einem mit Stuhlmassen belasteten Leibe, der Art, wie der Wagen aus dem Tore hinausfährt und wie man den Stuhl aus dem Leibe entläßt u. dgl..</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Die Stellung Hansens in der Analyse hat sich aber gegen frühere Stadien wesentlich geändert. Konnte ihm der Vater früher voraussagen, was kommen würde, bis Hans, der Andeutung folgend, nachgetrabt war, so eilt er jetzt mit sicherem Schritte voraus, und der Vater hat Mühe, ihm zu folgen. Hans bringt wie unvermittelt eine neue Phantasie: Der Schlosser oder Installateur hat die Badewanne losgeschraubt, in welcher Hans sich befindet, und ihm dann mit seinem großen Bohrer in den Bauch gestoßen. Von jetzt an hinkt unser Verständnis dem Materiale nach. Wir können erst später erraten, daß dies die angstentstellte Umarbeitung einer </w:t>
      </w:r>
      <w:r w:rsidRPr="004B6098">
        <w:rPr>
          <w:rFonts w:ascii="Garamond" w:hAnsi="Garamond"/>
          <w:i/>
          <w:iCs/>
          <w:sz w:val="20"/>
          <w:szCs w:val="20"/>
          <w:lang w:val="en-US"/>
        </w:rPr>
        <w:t>Zeugungsphantasie</w:t>
      </w:r>
      <w:r w:rsidRPr="004B6098">
        <w:rPr>
          <w:rFonts w:ascii="Garamond" w:hAnsi="Garamond"/>
          <w:sz w:val="20"/>
          <w:szCs w:val="20"/>
          <w:lang w:val="en-US"/>
        </w:rPr>
        <w:t xml:space="preserve"> ist. Die große Badewanne, in der Hans im Wasser sitzt, ist der Mutterleib; der »Bohrer«, der schon dem Vater als ein großer Penis kenntlich wird, dankt seine Erwähnung dem Geborenwerden. Es klingt natürlich sehr merkwürdig, wenn wir der Phantasie die Deutung geben müssen: Mit deinem großen Penis hast du mich »gebohrt« (zur Geburt gebracht) und mich in den Mutterleib hineingesetzt. Aber vorläufig entgeht die Phantasie der Deutung und dient Hans nur als Anknüpfung zur Fortführung seiner Mitteilungen.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Vor dem Baden in der großen Wanne zeigt Hans eine Angst, die wiederum zusammengesetzt ist. Ein Anteil derselben entgeht uns noch, der andere wird durch eine Beziehung zum Baden der kleinen Schwester alsbald aufgeklärt. Hans gibt den Wunsch zu, daß die Mutter die Kleine beim Baden fallen lassen möge, so daß sie sterbe; seine eigene Angst beim Baden war die vor der Vergeltung für diesen bösen Wunsch, vor der Strafe, daß es ihm so ergehen werde. Er verläßt nun das Thema des Lumpfes und übergeht unmittelbar darauf auf das der kleinen Schwester. Aber wir können ahnen, was diese Aneinanderreihung bedeutet. Nichts anderes, als daß die kleine Hanna selbst ein Lumpf ist, daß alle Kinder Lumpfe sind und wie Lumpfe geboren werden. Wir verstehen nun, daß alle Möbel-, Stell- und Lastwagen nur Storchenkistenwagen sind, auch nur als symbolische Vertretungen der Gravidität Interesse für ihn hatten und daß er im Umfallen der schweren oder schwer belasteten Pferde nichts anderes gesehen haben kann als eine – Entbindung, ein Niederkommen. Das fallende Pferd war also nicht nur der sterbende Vater, sondern auch die Mutter in der Niederkunft.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Und nun bringt Hans die Überraschung, auf welche wir in der Tat nicht vorbereitet waren. Er hat die Gravidität der Mutter, die ja mit der Geburt der Kleinen endigte, als er 3½ Jahre war, bemerkt und sich den richtigen Sachverhalt, wenigstens nach der Entbindung, konstruiert, wohl ohne ihn zu äußern, vielleicht ohne ihn äußern zu können; es war damals nur zu beobachten, daß er unmittelbar nach der Entbindung sich so sehr skeptisch gegen alle Zeichen, die auf die Anwesenheit des Storches deuten sollten, benahm. </w:t>
      </w:r>
      <w:r w:rsidRPr="004B6098">
        <w:rPr>
          <w:rFonts w:ascii="Garamond" w:hAnsi="Garamond"/>
          <w:i/>
          <w:iCs/>
          <w:sz w:val="20"/>
          <w:szCs w:val="20"/>
          <w:lang w:val="en-US"/>
        </w:rPr>
        <w:t>Aber daß er im Unbewußten und ganz im Gegensatze zu seinen offiziellen Reden gewußt, woher das Kind kam und wo es früher verweilt hatte</w:t>
      </w:r>
      <w:r w:rsidRPr="004B6098">
        <w:rPr>
          <w:rFonts w:ascii="Garamond" w:hAnsi="Garamond"/>
          <w:sz w:val="20"/>
          <w:szCs w:val="20"/>
          <w:lang w:val="en-US"/>
        </w:rPr>
        <w:t>, das wird durch diese Analyse gegen jeden Zweifel sicher dargetan; es ist vielleicht das unerschütterlichste Stück derselben.</w:t>
      </w:r>
    </w:p>
    <w:p w:rsidR="00822836" w:rsidRPr="004B6098" w:rsidRDefault="00822836" w:rsidP="00822836">
      <w:pPr>
        <w:pStyle w:val="Sansinterligne"/>
        <w:rPr>
          <w:rFonts w:ascii="Garamond" w:hAnsi="Garamond"/>
          <w:sz w:val="20"/>
          <w:szCs w:val="20"/>
        </w:rPr>
      </w:pPr>
      <w:r w:rsidRPr="004B6098">
        <w:rPr>
          <w:rFonts w:ascii="Garamond" w:hAnsi="Garamond"/>
          <w:sz w:val="20"/>
          <w:szCs w:val="20"/>
          <w:lang w:val="en-US"/>
        </w:rPr>
        <w:t xml:space="preserve">Den zwingenden Beweis dafür erbringt die hartnäckig festgehaltene, mit soviel Einzelheiten ausgeschmückte Phantasie, daß Hanna schon im Sommer vor ihrer Geburt mit ihnen in Gmunden war, wie sie hingereist ist und damals soviel mehr leisten konnte als ein Jahr später, nach ihrer Geburt. Die Frechheit, mit der Hans diese Phantasie vorträgt, die ungezählten tollen Lügen, die er in sie einflicht, sind beileibe nicht sinnlos; das alles soll seiner Rache am Vater dienen, dem er wegen der Irreführung durch das Storchmärchen grollt. Es ist ganz so, als ob er sagen wollte: hast du mich für so dumm gehalten und mir zugemutet zu glauben, daß der Storch die Hanna gebracht hat, so kann ich dafür von dir verlangen, daß du meine Erfindungen für Wahrheit nimmst. In durchsichtigem Zusammenhange mit diesem Racheakte des kleinen Forschers an seinem Vater reiht sich nun die Phantasie vom Necken und Schlagen der Pferde an. Sie ist wiederum doppelt gefügt, lehnt sich einerseits an die Neckerei an, der er eben den Vater unterzogen hat, und bringt anderseits jene dunkeln sadistischen Gelüste gegen die Mutter wieder, die sich, zuerst von uns noch unverstanden, in den Phantasien vom verbotenen Tun geäußert hatten. </w:t>
      </w:r>
      <w:r w:rsidRPr="004B6098">
        <w:rPr>
          <w:rFonts w:ascii="Garamond" w:hAnsi="Garamond"/>
          <w:sz w:val="20"/>
          <w:szCs w:val="20"/>
        </w:rPr>
        <w:t>Bewußt gesteht er auch die Lust, die Mammi zu schlagen, ein.</w:t>
      </w:r>
    </w:p>
    <w:p w:rsidR="00822836" w:rsidRPr="004B6098" w:rsidRDefault="00822836" w:rsidP="00822836">
      <w:pPr>
        <w:pStyle w:val="Sansinterligne"/>
        <w:rPr>
          <w:rFonts w:ascii="Garamond" w:hAnsi="Garamond"/>
          <w:sz w:val="20"/>
          <w:szCs w:val="20"/>
        </w:rPr>
      </w:pPr>
      <w:r w:rsidRPr="004B6098">
        <w:rPr>
          <w:rFonts w:ascii="Garamond" w:hAnsi="Garamond"/>
          <w:sz w:val="20"/>
          <w:szCs w:val="20"/>
        </w:rPr>
        <w:t xml:space="preserve">Nun haben wir nicht mehr viel Rätsel zu erwarten. Eine dunkle Phantasie vom Zugversäumen scheint eine Vorläuferin der späteren Unterbringung des Vaters bei der Großmutter in Lainz zu sein, da sie eine Reise nach Lainz behandelt und die Großmutter in ihr vorkommt. Eine andere Phantasie, in der ein Bub dem Kondukteur 50 000 fl. gibt, damit er ihn mit dem Wagen fahren läßt, klingt fast wie ein Plan, dem Vater, dessen Stärke ja zum Teil in seinem Reichtume liegt, die Mutter abzukaufen. Dann gesteht er den Wunsch, den Vater zu beseitigen, und die Begründung desselben, weil er seine Intimität mit der Mutter störe, mit einer Offenheit ein, zu welcher er es bisher noch nicht gebracht hatte. Wir dürfen uns nicht verwundern, wenn dieselben Wunschregungen im Laufe der Analyse wiederholt auftreten; die Monotonie entsteht nämlich erst durch die angeknüpften Deutungen; für Hans sind es </w:t>
      </w:r>
      <w:r w:rsidRPr="004B6098">
        <w:rPr>
          <w:rFonts w:ascii="Garamond" w:hAnsi="Garamond"/>
          <w:sz w:val="20"/>
          <w:szCs w:val="20"/>
        </w:rPr>
        <w:lastRenderedPageBreak/>
        <w:t>nicht bloße Wiederholungen, sondern fortschreitende Entwicklungen von der schüchternen Andeutung bis zur vollbewußten, von jeder Entstellung freien Klarheit.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rPr>
        <w:t xml:space="preserve">Was nun noch folgt, sind solche von Hans ausgehende Betätigungen der für unsere Deutung bereits gesicherten analytischen Ergebnisse. Er zeigt in einer unzweideutigen Symptomhandlung, die er nur vor dem Hausmädchen, nicht vor dem Vater, leicht verkleidet, wie er sich eine Geburt vorstellt; aber wenn wir genauer zusehen, zeigt er noch mehr, deutet auf etwas hin, was in der Analyse nicht mehr zur Sprache kommt. Durch die runde Lücke im Gummileibe einer Puppe steckt er ein kleines Messerchen hinein, das der Mama gehört, und läßt es wieder herausfallen, indem er ihr die Beine auseinanderreißt. Die darauffolgende Aufklärung durch die Eltern, daß Kinder tatsächlich im Leibe der Mutter wachsen und wie ein Lumpf herausbefördert werden, kommt zu spät; sie kann ihm nichts mehr Neues sagen. Durch eine andere, wie zufällig erfolgende Symptomhandlung gibt er zu, daß er den Vater tot gewünscht hat, indem er ein Pferd, mit dem er spielt, umfallen läßt, d. h. umwirft, in dem Momente, da der Vater von diesem Todeswunsche spricht. </w:t>
      </w:r>
      <w:r w:rsidRPr="004B6098">
        <w:rPr>
          <w:rFonts w:ascii="Garamond" w:hAnsi="Garamond"/>
          <w:sz w:val="20"/>
          <w:szCs w:val="20"/>
          <w:lang w:val="en-US"/>
        </w:rPr>
        <w:t xml:space="preserve">Mit Worten bekräftigt er, daß die schwer beladenen Wagen ihm die Gravidität der Mutter vorstellten, und daß das Umfallen des Pferdes so war, wie wenn man ein Kind bekommt. Die köstlichste Bestätigung in diesem Zusammenhange, der Beweis, daß Kinder »Lumpfe« sind, durch die Erfindung des Namens »Lodi« für sein Lieblingskind kommt nur verspätet zu unserer Kenntnis, denn wir hören, daß er mit diesem Wurstkinde schon die längste Zeit gespielt hat </w:t>
      </w:r>
      <w:hyperlink r:id="rId1116"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 xml:space="preserve">Ein zunächst befremdender Einfall des genialen Zeichners Th. Th. Heine, der auf einem Blatte im </w:t>
        </w:r>
        <w:r w:rsidRPr="004B6098">
          <w:rPr>
            <w:rStyle w:val="innerfusslink"/>
            <w:rFonts w:ascii="Garamond" w:hAnsi="Garamond"/>
            <w:i/>
            <w:iCs/>
            <w:color w:val="0000FF"/>
            <w:sz w:val="20"/>
            <w:szCs w:val="20"/>
            <w:u w:val="single"/>
            <w:lang w:val="en-US"/>
          </w:rPr>
          <w:t>Simplizissimus</w:t>
        </w:r>
        <w:r w:rsidRPr="004B6098">
          <w:rPr>
            <w:rStyle w:val="innerfusslink"/>
            <w:rFonts w:ascii="Garamond" w:hAnsi="Garamond"/>
            <w:color w:val="0000FF"/>
            <w:sz w:val="20"/>
            <w:szCs w:val="20"/>
            <w:u w:val="single"/>
            <w:lang w:val="en-US"/>
          </w:rPr>
          <w:t xml:space="preserve"> darstellt, wie das Kind des Selchermeisters in die Wurstmaschine gerät und dann als Würstchen von den Eltern betrauert, eingesegnet wird und gen Himmel fliegt, findet durch die Lodiepisode unserer Analyse seine Zurückführung auf eine infantile Wurzel.</w:t>
        </w:r>
      </w:hyperlink>
      <w:r w:rsidRPr="004B6098">
        <w:rPr>
          <w:rFonts w:ascii="Garamond" w:hAnsi="Garamond"/>
          <w:sz w:val="20"/>
          <w:szCs w:val="20"/>
          <w:lang w:val="en-US"/>
        </w:rPr>
        <w:t>.</w:t>
      </w:r>
    </w:p>
    <w:p w:rsidR="00822836" w:rsidRPr="004B6098" w:rsidRDefault="00822836" w:rsidP="00822836">
      <w:pPr>
        <w:pStyle w:val="Sansinterligne"/>
        <w:rPr>
          <w:rFonts w:ascii="Garamond" w:hAnsi="Garamond"/>
          <w:sz w:val="20"/>
          <w:szCs w:val="20"/>
        </w:rPr>
      </w:pPr>
      <w:r w:rsidRPr="004B6098">
        <w:rPr>
          <w:rFonts w:ascii="Garamond" w:hAnsi="Garamond"/>
          <w:sz w:val="20"/>
          <w:szCs w:val="20"/>
          <w:lang w:val="en-US"/>
        </w:rPr>
        <w:t xml:space="preserve">Die beiden abschließenden Phantasien Hansens, mit denen seine Herstellung vollkommen wird, haben wir bereits gewürdigt. Die eine, vom Installateur, der ihm einen neuen und, wie der Vater errät, größeren Wiwimacher ansetzt, ist doch nicht bloß die Wiederholung der früheren, die sich mit dem Installateur und der Badewanne beschäftigte. </w:t>
      </w:r>
      <w:r w:rsidRPr="004B6098">
        <w:rPr>
          <w:rFonts w:ascii="Garamond" w:hAnsi="Garamond"/>
          <w:sz w:val="20"/>
          <w:szCs w:val="20"/>
        </w:rPr>
        <w:t>Sie ist eine siegreiche Wunschphantasie und enthält die Überwindung der Kastrationsangst. Die zweite Phantasie, die den Wunsch eingesteht, mit der Mutter verheiratet zu sein und viele Kinder mit ihr zu haben, erschöpft nicht bloß den Inhalt jener unbewußten Komplexe, die sich beim Anblicke des fallenden Pferdes gerührt und Angst entwickelt hatten – sie korrigiert auch, was an jenen Gedanken schlechterdings unannehmbar war, indem sie, anstatt den Vater zu töten, ihn durch Erhöhung zur Ehe mit der Großmutter unschädlich macht. Mit dieser Phantasie schließen Krankheit und Analyse berechtigterweise ab.</w:t>
      </w:r>
    </w:p>
    <w:p w:rsidR="00822836" w:rsidRPr="004B6098" w:rsidRDefault="00822836" w:rsidP="00822836">
      <w:pPr>
        <w:pStyle w:val="Sansinterligne"/>
        <w:rPr>
          <w:rFonts w:ascii="Garamond" w:hAnsi="Garamond"/>
          <w:sz w:val="20"/>
          <w:szCs w:val="20"/>
        </w:rPr>
      </w:pPr>
      <w:r w:rsidRPr="004B6098">
        <w:rPr>
          <w:rFonts w:ascii="Garamond" w:hAnsi="Garamond"/>
          <w:sz w:val="20"/>
          <w:szCs w:val="20"/>
        </w:rPr>
        <w:t> </w:t>
      </w:r>
    </w:p>
    <w:p w:rsidR="00822836" w:rsidRPr="004B6098" w:rsidRDefault="00822836" w:rsidP="00822836">
      <w:pPr>
        <w:pStyle w:val="Sansinterligne"/>
        <w:rPr>
          <w:rFonts w:ascii="Garamond" w:hAnsi="Garamond"/>
          <w:sz w:val="20"/>
          <w:szCs w:val="20"/>
        </w:rPr>
      </w:pPr>
      <w:r w:rsidRPr="004B6098">
        <w:rPr>
          <w:rFonts w:ascii="Garamond" w:hAnsi="Garamond"/>
          <w:sz w:val="20"/>
          <w:szCs w:val="20"/>
        </w:rPr>
        <w:t>Während der Analyse eines Krankheitsfalles kann man einen anschaulichen Eindruck von der Struktur und Entwicklung der Neurose nicht gewinnen. Es ist das die Sache einer synthetischen Arbeit, der man sich nachher unterziehen muß. Wenn wir diese Synthese bei der Phobie unseres kleinen Hans unternehmen, so knüpfen wir an die Schilderung seiner Konstitution, seiner leitenden sexuellen Wünsche und seiner Erlebnisse bis zur Geburt der Schwester an, die wir auf früheren Seiten dieser Abhandlung gegeben haben.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Die Ankunft dieser Schwester brachte ihm mehrerlei, was ihn von nun an nicht zur Ruhe kommen ließ. Zunächst ein Stück Entbehrung, zu Anfang eine zeitweilige Trennung von der Mutter und dann später eine dauernde Verminderung ihrer Fürsorge und Aufmerksamkeit, die er mit der Schwester zu teilen sich gewöhnen mußte. Zuzweit eine Wiederbelebung seiner Lusterlebnisse aus der Kinderpflege, hervorgerufen durch all das, was er die Mutter mit der kleinen Schwester vornehmen sah. Aus beiden Einflüssen ergab sich eine Steigerung seiner erotischen Bedürftigkeit, der es an Befriedigung zu mangeln begann. Für den Verlust, den ihm die Schwester gebracht hatte, entschädigt er sich durch die Phantasie, daß er selbst Kinder habe, und solange er (bei seinem zweiten Aufenthalte) in Gmunden mit diesen Kindern wirklich spielen konnte, fand seine Zärtlichkeit genügende Ableitung. Aber nach Wien zurückgekehrt, war er wieder einsam, heftete alle seine Ansprüche an die Mutter und litt weitere Entbehrung, da er seit dem Alter von 4½ Jahren aus dem Schlafzimmer der Eltern verbannt worden war. Seine gesteigerte erotische Erregbarkeit äußerte sich nun in Phantasien, welche die Sommergespielen in seine Einsamkeit beschworen, und in regelmäßigen autoerotischen Befriedigungen durch masturbatorische Reizung des Genitales.</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Drittens brachte ihm aber die Geburt der Schwester die Anregung zu einer Denkarbeit, die einerseits nicht zur Lösung zu bringen war, anderseits ihn in Gefühlskonflikte verstrickte. Das große Rätsel stellte sich für ihn ein, woher die Kinder kommen, das erste Problem vielleicht, dessen Lösung die Geisteskräfte des Kindes in Anspruch nimmt, von dem das Rätsel der thebanischen Sphinx wahrscheinlich nur eine Entstellung wiedergibt. Die ihm gebotene Aufklärung, der Storch habe die Hanna gebracht, wies er ab. Er hatte doch bemerkt, daß die Mutter Monate vor der Geburt der Kleinen einen großen Leib bekommen hatte, daß sie dann zu Bett gelegen, bei der Geburt gestöhnt hatte und dann schlank aufgestanden war. Er schloß also, die Hanna sei im Leibe der Mutter gewesen und dann herausgekommen wie ein »Lumpf«. Dieses Gebären konnte er sich lustvoll vorstellen, unter Anknüpfung an eigene früheste Lustempfindungen beim Stuhlgange, konnte sich also mit doppelter Motivierung wünschen, selbst Kinder zu haben, um sie mit Lust zu gebären und dann (mit Vergeltungslust gleichsam) zu pflegen. In all dem lag nichts, was ihn zu Zweifel oder zu Konflikt geführt hätte.</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Aber es war noch etwas anderes da, was ihn stören mußte. Der Vater mußte etwas mit der </w:t>
      </w:r>
      <w:r w:rsidRPr="004B6098">
        <w:rPr>
          <w:rFonts w:ascii="Garamond" w:hAnsi="Garamond"/>
          <w:i/>
          <w:iCs/>
          <w:sz w:val="20"/>
          <w:szCs w:val="20"/>
          <w:lang w:val="en-US"/>
        </w:rPr>
        <w:t>Geburt</w:t>
      </w:r>
      <w:r w:rsidRPr="004B6098">
        <w:rPr>
          <w:rFonts w:ascii="Garamond" w:hAnsi="Garamond"/>
          <w:sz w:val="20"/>
          <w:szCs w:val="20"/>
          <w:lang w:val="en-US"/>
        </w:rPr>
        <w:t xml:space="preserve"> der kleinen Hanna zu tun haben, denn er behauptete, Hanna und er selbst, Hans, seien seine Kinder. Er hatte sie aber gewiß nicht in die Welt gesetzt, sondern die Mama. Dieser Vater war ihm bei der Mutter im Wege. Wenn er da war, konnte er nicht bei der Mutter schlafen, und wenn die Mutter Hans ins Bett nehmen wollte, schrie der Vater. Hans hatte erfahren, wie gut er's bei Abwesenheit des Vaters haben könnte, und der Wunsch, den Vater zu beseitigen, war nur gerechtfertigt. </w:t>
      </w:r>
      <w:r w:rsidRPr="004B6098">
        <w:rPr>
          <w:rFonts w:ascii="Garamond" w:hAnsi="Garamond"/>
          <w:sz w:val="20"/>
          <w:szCs w:val="20"/>
          <w:lang w:val="en-US"/>
        </w:rPr>
        <w:lastRenderedPageBreak/>
        <w:t>Nun erhielt diese Feindseligkeit eine Verstärkung. Der Vater hatte ihm die Lüge vom Storch erzählt, und es ihm damit unmöglich gemacht, ihn in diesen Dingen um Aufklärung zu bitten. Er hinderte ihn nicht nur, bei der Mutter im Bette zu sein, sondern vorenthielt ihm auch das Wissen, nach dem er strebte. Er benachteiligte ihn nach beiden Richtungen, und dies offenbar zu seinem eigenen Vorteile.</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Daß er nun diesen selben Vater, den er als Konkurrenten hassen mußte, seit jeher geliebt hatte und weiter lieben mußte, daß er ihm Vorbild war, sein erster Spielgenosse und gleichfalls sein Pfleger aus den ersten Jahren, das ergab den ersten, zunächst nicht lösbaren Gefühlskonflikt. Wie Hansens Natur sich entwickelt hatte, mußte die Liebe vorläufig die Oberhand behalten und den Haß unterdrücken, ohne ihn aufheben zu können, denn er wurde von der Liebe zur Mutter her immer von neuem gespeist.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Der Vater wußte aber nicht nur, woher die Kinder kommen, er übte es auch wirklich aus, das, was Hans nur dunkel ahnen konnte. Der Wiwimacher mußte etwas damit zu tun haben, dessen Erregung all diese Gedanken begleitete, und zwar ein großer, größer als Hans seinen fand. Folgte man den Empfindungsandeutungen, die sich da ergaben, so mußte es sich um eine Gewalttätigkeit handeln, die man an der Mama verübte, um ein Zerschlagen, ein Öffnungschaffen, ein Eindringen in einen abgeschlossenen Raum, den Impuls dazu konnte das Kind in sich verspüren ; aber obwohl es auf dem Wege war, von seinen Penissensationen aus, die Vagina zu postulieren, so konnte es doch das Rätsel nicht lösen, denn so etwas, wie der Wiwimacher es brauchte, bestand ja in seiner Kenntnis nicht; vielmehr stand der Lösung die Überzeugung im Wege, daß die Mama einen Wiwimacher wie er besitze. Der Lösungsversuch, was man mit der Mama anfangen müßte, damit sie Kinder bekomme, versank im Unbewußten, und beiderlei aktive Impulse, der feindselige gegen den Vater wie der sadistisch-zärtliche gegen die Mutter, blieben verwendungslos, der eine infolge der neben dem Hasse vorhandenen Liebe, der andere vermöge der Ratlosigkeit, die sich aus den infantilen Sexualtheorien ergab.</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Nur in dieser Weise vermag ich, auf die Resultate der Analyse gestützt, die unbewußten Komplexe und Wunschregungen zu konstruieren, deren Verdrängung und Wiedererweckung die Phobie des kleinen Hans zum Vorscheine brachte. Ich weiß, daß damit dem Denkvermögen eines Kindes zwischen 4 und 5 Jahren viel zugemutet ist, aber ich lasse mich von dem leiten, was wir neu erfahren haben, und halte mich durch die Vorurteile unserer Unwissenheit nicht für gebunden. Vielleicht hätte man die Angst vor dem »Krawallmachen mit den Beinen« benutzen können, um noch Lücken in unserem Beweisverfahren auszufüllen. Hans gab zwar an, es erinnere ihn an das Zappeln mit den Beinen, wenn er gezwungen werden sollte, sein Spiel zu unterbrechen, um Lumpf zu machen, so daß dieses Element der Neurose in Beziehung zu dem Problem gerät, ob die Mama gerne oder nur gezwungen Kinder bekomme, aber ich habe nicht den Eindruck, daß hiemit die volle Aufklärung für das »Krawallmachen mit den Beinen« gegeben ist. Meine Vermutung, daß sich bei dem Kinde eine Reminiszenz an einen von ihm im Schlafzimmer beobachteten sexuellen Verkehr der Eltern geregt habe, konnte der Vater nicht bestätigen. Begnügen wir uns also mit dem, was wir erfahren haben.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Durch welchen Einfluß es in der geschilderten Situation bei Hans zum Umkippen, zur Verwandlung der libidinösen Sehnsucht in Angst gekommen ist, an welchem Ende da die Verdrängung eingesetzt hat, das ist schwer zu sagen und könnte wohl nur durch die Vergleichung mit mehreren ähnlichen Analysen zu entscheiden sein; ob das intellektuelle Unvermögen des Kindes, das schwierige Problem der Kinderzeugung zu lösen und die durch die Annäherung an die Lösung entbundenen aggressiven Impulse zu verwerten, den Ausschlag gab oder ein somatisches Unvermögen, eine Intoleranz seiner Konstitution gegen die regelmäßig geübte masturbatorische Befriedigung, ob die bloße Fortdauer der sexuellen Erregung in so hoher Intensität zum Umschlage führen mußte, das stelle ich als fraglich hin, bis uns weitere Erfahrung zu Hilfe kommt.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Dem Gelegenheitsanlasse für den Ausbruch der Krankheit zu viel Einfluß zuzuschreiben, verbieten die zeitlichen Verhältnisse, denn Andeutungen von Ängstlichkeit waren bei Hans lange vorher, ehe er das Stellwagenpferd auf der Straße umfallen sah, zu beobachten.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Immerhin knüpfte die Neurose direkt an dieses akzidentelle Erlebnis an und bewahrte die Spur desselben in der Erhebung des Pferdes zum Angstobjekt. Eine »traumatische Kraft« kommt diesem Eindrucke an und für sich nicht zu; nur die frühere Bedeutung des Pferdes als Gegenstand der Vorliebe und des Interesses und die Anknüpfung an das traumatisch geeignetere Erlebnis in Gmunden, wie Fritzl beim Pferdespiele umfiel, sowie der leichte Assoziationsweg von Fritzl zum Vater, haben den zufällig beobachteten Unfall mit so großer Wirksamkeit ausgestattet. Ja, wahrscheinlich hätten auch diese Beziehungen nicht ausgereicht, wenn nicht dank der Schmiegsamkeit und der Vieldeutigkeit der Assoziationsverknüpfungen der gleiche Eindruck sich auch geeignet erwiesen hätte, an den zweiten der im Unbewußten bei Hans lauernden Komplexe, an den von der Niederkunft der graviden Mutter, zu rühren. Von da an war der Weg zur Wiederkehr des Verdrängten eröffnet, und nun wurde er in der Weise beschritten, daß </w:t>
      </w:r>
      <w:r w:rsidRPr="004B6098">
        <w:rPr>
          <w:rFonts w:ascii="Garamond" w:hAnsi="Garamond"/>
          <w:i/>
          <w:iCs/>
          <w:sz w:val="20"/>
          <w:szCs w:val="20"/>
          <w:lang w:val="en-US"/>
        </w:rPr>
        <w:t>das pathogene Material auf den Pferdekomplex umgearbeitet (transponiert) und die begleitenden Affekte uniform in Angst verwandelt erschienen</w:t>
      </w:r>
      <w:r w:rsidRPr="004B6098">
        <w:rPr>
          <w:rFonts w:ascii="Garamond" w:hAnsi="Garamond"/>
          <w:sz w:val="20"/>
          <w:szCs w:val="20"/>
          <w:lang w:val="en-US"/>
        </w:rPr>
        <w: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Bemerkenswerterweise mußte sich der nunmehrige Vorstellungsinhalt der Phobie noch eine Entstellung und Ersetzung gefallen lassen, ehe das Bewußtsein Kenntnis von ihm nahm. Der erste Wortlaut der Angst, den Hans äußerte, war: das Pferd wird mich beißen; er rührt aus einer anderen Szene in Gmunden her, die einerseits Beziehung zum feindseligen Wunsche gegen den Vater hat, anderseits an die Onanieverwarnung erinnert. Es hat sich da ein ablenkender Einfluß geltend gemacht, der vielleicht von den Eltern ausging; ich bin nicht sicher, ob die Berichte über Hans damals sorgfältig genug abgefaßt wurden, um uns entscheiden zu lassen, ob er seiner Angst diesen Ausdruck gegeben, </w:t>
      </w:r>
      <w:r w:rsidRPr="004B6098">
        <w:rPr>
          <w:rFonts w:ascii="Garamond" w:hAnsi="Garamond"/>
          <w:i/>
          <w:iCs/>
          <w:sz w:val="20"/>
          <w:szCs w:val="20"/>
          <w:lang w:val="en-US"/>
        </w:rPr>
        <w:t>ehe oder erst nachdem</w:t>
      </w:r>
      <w:r w:rsidRPr="004B6098">
        <w:rPr>
          <w:rFonts w:ascii="Garamond" w:hAnsi="Garamond"/>
          <w:sz w:val="20"/>
          <w:szCs w:val="20"/>
          <w:lang w:val="en-US"/>
        </w:rPr>
        <w:t xml:space="preserve"> ihn die Mutter wegen seiner Masturbation zur Rede gestellt hatte. Im Gegensatze zur </w:t>
      </w:r>
      <w:r w:rsidRPr="004B6098">
        <w:rPr>
          <w:rFonts w:ascii="Garamond" w:hAnsi="Garamond"/>
          <w:sz w:val="20"/>
          <w:szCs w:val="20"/>
          <w:lang w:val="en-US"/>
        </w:rPr>
        <w:lastRenderedPageBreak/>
        <w:t>Darstellung der Krankengeschichte möchte ich das letztere vermuten. Im übrigen ist unverkennbar, daß der feindselige Komplex gegen den Vater bei Hans überall den lüsternen gegen die Mutter verdeckt, so wie er auch in der Analyse zuerst aufgedeckt und erledigt wurde.</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In anderen Krankheitsfällen fände sich weit mehr über die Struktur einer Neurose, ihre Entwicklung und Ausbreitung zu sagen, aber die Krankheitsgeschichte unseres kleinen Hans ist sehr kurz; sie wird alsbald nach ihrem Beginne von der Behandlungsgeschichte abgelöst. Wenn die Phobie sich während der Behandlung dann weiter zu entwickeln schien, neue Objekte und neue Bedingungen in ihren Bereich zog, so war der selbst behandelnde Vater natürlich einsichtsvoll genug, darin nur ein Zumvorscheinkommen des bereits Fertigen und nicht eine Neuproduktion, die man der Behandlung zur Last legen könnte, zu erblicken. Auf solche Einsicht darf man dann in anderen Fällen von Behandlung nicht immer rechnen.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Ehe ich diese Synthese für beendigt erkläre, muß ich noch einen andern Gesichtspunkt würdigen, bei dem wir mitten in die Schwierigkeiten der Auffassung neurotischer Zustände geraten werden. Wir sehen, wie unser kleiner Patient von einem wichtigen Verdrängungsschube befallen wird, der gerade seine herrschenden sexuellen Komponenten betrifft </w:t>
      </w:r>
      <w:hyperlink r:id="rId1117"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Der Vater hat sogar beobachtet, daß gleichzeitig mit dieser Verdrängung ein Stück Sublimierung bei ihm eintritt. Er zeigt vom Beginne der Ängstlichkeit an ein gesteigertes Interesse für Musik und entwickelt seine hereditäre musikalische Begabung.</w:t>
        </w:r>
      </w:hyperlink>
      <w:r w:rsidRPr="004B6098">
        <w:rPr>
          <w:rFonts w:ascii="Garamond" w:hAnsi="Garamond"/>
          <w:sz w:val="20"/>
          <w:szCs w:val="20"/>
          <w:lang w:val="en-US"/>
        </w:rPr>
        <w:t>. Er entäußert sich der Onanie, er weist mit Ekel von sich, was an Exkremente und an Zuschauen bei den Verrichtungen erinnert. Es sind aber nicht diese Komponenten, welche beim Krankheitsanlasse (beim Anblicke des fallenden Pferdes) angeregt werden und die das Material für die Symptome, den Inhalt der Phobie, liefern.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Man hat also da Anlaß, eine prinzipielle Unterscheidung aufzustellen. Wahrscheinlich gelangt man zu einem tieferen Verständnisse des Krankheitsfalles, wenn man sich jenen anderen Komponenten zuwendet, welche die beiden letztgenannten Bedingungen erfüllen. Dies sind bei Hans Regungen, die bereits vorher unterdrückt waren und sich, soviel wir erfahren, niemals ungehemmt äußern konnten, feindselig-eifersüchtige Gefühle gegen den Vater und sadistische, Koitusahnungen entsprechende, Antriebe gegen die Mutter. In diesen frühzeitigen Unterdrückungen liegt vielleicht die Disposition für die spätere Erkrankung. Diese aggressiven Neigungen haben bei Hans keinen Ausweg gefunden, und sobald sie in einer Zeit der Entbehrung und gesteigerten sexuellen Erregung verstärkt hervorbrechen wollen, entbrennt jener Kampf, den wir die »Phobie« nennen. Während derselben dringt ein Teil der verdrängten Vorstellungen als Inhalt der Phobie, entstellt und auf einen anderen Komplex überschrieben, ins Bewußtsein; aber kein Zweifel, daß dies ein kümmerlicher Erfolg ist. Der Sieg verbleibt der Verdrängung, </w:t>
      </w:r>
      <w:r w:rsidRPr="004B6098">
        <w:rPr>
          <w:rFonts w:ascii="Garamond" w:hAnsi="Garamond"/>
          <w:i/>
          <w:iCs/>
          <w:sz w:val="20"/>
          <w:szCs w:val="20"/>
          <w:lang w:val="en-US"/>
        </w:rPr>
        <w:t>die bei dieser Gelegenheit auf andere als die vordringliche Komponente übergreift</w:t>
      </w:r>
      <w:r w:rsidRPr="004B6098">
        <w:rPr>
          <w:rFonts w:ascii="Garamond" w:hAnsi="Garamond"/>
          <w:sz w:val="20"/>
          <w:szCs w:val="20"/>
          <w:lang w:val="en-US"/>
        </w:rPr>
        <w:t>. Das ändert nichts daran, daß das Wesen des Krankheitszustandes durchaus an die Natur der zurückzuweisenden Triebkomponenten gebunden bleibt. Absicht und Inhalt der Phobie ist eine weitgehende Einschränkung der Bewegungsfreiheit, sie ist also eine machtvolle Reaktion gegen die dunklen Bewegungsimpulse, die sich besonders gegen die Mutter wenden wollten. Das Pferd war für den Knaben immer das Vorbild der Bewegungslust (»Ich bin ein junges Pferd«, sagt Hans im Herumspringen), aber da diese Bewegungslust den Koitusimpuls einschließt, wird die Bewegungslust von der Neurose eingeschränkt und das Pferd zum Sinnbild des Schreckens erhoben. Es scheint, daß den verdrängten Trieben in der Neurose nichts anderes verbleibt als die Ehre, der Angst im Bewußtsein die Vorwände zu liefern. Aber so deutlich auch der Sieg der Sexualablehnung in der Phobie ist, so läßt doch die Kompromißnatur der Krankheit nicht zu, daß das Verdrängte nichts anderes erreiche. Die Phobie vor dem Pferde ist doch wieder ein Hindernis, auf die Gasse zu gehen, und kann als Mittel dienen, um bei der geliebten Mutter im Hause zu bleiben. Darin hat sich also die Zärtlichkeit für die Mutter siegreich durchgesetzt; der Liebhaber klammert sich infolge der Phobie an sein geliebtes Objekt, aber freilich ist nun dafür gesorgt, daß er unschädlich bleibt. In diesen beiden Wirkungen offenbart sich die eigentliche Natur einer neurotischen Erkrankung.</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Alf. Adler hat kürzlich in einer gedankenreichen Arbeit, der ich vorhin die Bezeichnung Triebverschränkung entnommen habe, ausgeführt, daß die Angst durch die Unterdrückung des von ihm so genannten »Aggressionstriebes« entstehe, und in weitumfassender Synthese diesem Triebe die Hauptrolle im Geschehen, »im Leben und in der Neurose« zugewiesen. Wenn wir zum Schlusse gelangt sind, daß in unserem Falle von Phobie die Angst durch die Verdrängung jener Aggressionsneigungen, der feindseligen gegen den Vater und der sadistischen gegen die Mutter, zu erklären sei, scheinen wir eine eklatante Bestätigung für die Anschauung Adlers erbracht zu haben. Und doch kann ich derselben, die ich für eine irreführende Verallgemeinerung halte, nicht beipflichten. Ich kann mich nicht entschließen, einen besonderen Aggressionstrieb neben und gleichberechtigt mit den uns vertrauten Selbsterhaltungs- und Sexualtrieben anzunehmen </w:t>
      </w:r>
      <w:hyperlink r:id="rId1118"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 xml:space="preserve">Das im Text Stehende ist zu einer Zeit geschrieben worden, da Adler noch auf dem Boden der Psychoanalyse zu stehen schien, vor seiner Aufstellung des männlichen Protests und seiner Verleugnung der Verdrängung. Ich habe seither auch einen »Aggressionstrieb« statuieren müssen, der nicht mit dem Adler'schen zusammenfällt. Ich ziehe es vor, ihn »Destruktions- oder Todestrieb« zu heißen ( </w:t>
        </w:r>
        <w:r w:rsidRPr="004B6098">
          <w:rPr>
            <w:rStyle w:val="innerfusslink"/>
            <w:rFonts w:ascii="Garamond" w:hAnsi="Garamond"/>
            <w:i/>
            <w:iCs/>
            <w:color w:val="0000FF"/>
            <w:sz w:val="20"/>
            <w:szCs w:val="20"/>
            <w:u w:val="single"/>
            <w:lang w:val="en-US"/>
          </w:rPr>
          <w:t>Jenseits des Lustprinzips</w:t>
        </w:r>
        <w:r w:rsidRPr="004B6098">
          <w:rPr>
            <w:rStyle w:val="innerfusslink"/>
            <w:rFonts w:ascii="Garamond" w:hAnsi="Garamond"/>
            <w:color w:val="0000FF"/>
            <w:sz w:val="20"/>
            <w:szCs w:val="20"/>
            <w:u w:val="single"/>
            <w:lang w:val="en-US"/>
          </w:rPr>
          <w:t xml:space="preserve">, </w:t>
        </w:r>
        <w:r w:rsidRPr="004B6098">
          <w:rPr>
            <w:rStyle w:val="innerfusslink"/>
            <w:rFonts w:ascii="Garamond" w:hAnsi="Garamond"/>
            <w:i/>
            <w:iCs/>
            <w:color w:val="0000FF"/>
            <w:sz w:val="20"/>
            <w:szCs w:val="20"/>
            <w:u w:val="single"/>
            <w:lang w:val="en-US"/>
          </w:rPr>
          <w:t>Das Ich und das Es</w:t>
        </w:r>
        <w:r w:rsidRPr="004B6098">
          <w:rPr>
            <w:rStyle w:val="innerfusslink"/>
            <w:rFonts w:ascii="Garamond" w:hAnsi="Garamond"/>
            <w:color w:val="0000FF"/>
            <w:sz w:val="20"/>
            <w:szCs w:val="20"/>
            <w:u w:val="single"/>
            <w:lang w:val="en-US"/>
          </w:rPr>
          <w:t>). Sein Gegensatz zu den libidinösen Trieben kommt in der bekannten Polarität von Lieben und Hassen zum Ausdruck. Auch mein Widerspruch gegen die Adler'sche Aufstellung, die einen allgemeinen Charakter der Triebe überhaupt zu Gunsten eines einzigen beeinträchtigt, bleibt aufrecht.</w:t>
        </w:r>
      </w:hyperlink>
      <w:r w:rsidRPr="004B6098">
        <w:rPr>
          <w:rFonts w:ascii="Garamond" w:hAnsi="Garamond"/>
          <w:sz w:val="20"/>
          <w:szCs w:val="20"/>
          <w:lang w:val="en-US"/>
        </w:rPr>
        <w:t xml:space="preserve">. Es scheint mir, daß Adler einen allgemeinen und unerläßlichen Charakter aller Triebe, eben das »Triebhafte«, Drängende in ihnen, was wir als die Fähigkeit, der Motilität Anstoß zu geben, beschreiben können, zu einem besonderen Triebe mit Unrecht hypostasiert habe. Von den anderen Trieben erübrigte dann nichts anderes als die Beziehung zu einem Ziele, nachdem ihnen die Beziehung zu den Mitteln, dieses Ziel zu erreichen, durch den »Aggressionstrieb« </w:t>
      </w:r>
      <w:r w:rsidRPr="004B6098">
        <w:rPr>
          <w:rFonts w:ascii="Garamond" w:hAnsi="Garamond"/>
          <w:sz w:val="20"/>
          <w:szCs w:val="20"/>
          <w:lang w:val="en-US"/>
        </w:rPr>
        <w:lastRenderedPageBreak/>
        <w:t>abgenommen wird; trotz all der Unsicherheit und Ungeklärtheit unserer Trieblehre möchte ich vorläufig an der gewohnten Auffassung festhalten, welche jedem Triebe sein eigenes Vermögen, aggressiv zu werden, beläßt, und in den beiden bei unserem Hans zur Verdrängung gelangenden Trieben würde ich altbekannte Komponenten der sexuellen Libido erkennen.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3</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Ehe ich nun in die voraussichtlich kurz gehaltenen Erörterungen eintrete, was aus der Phobie des kleinen Hans allgemein Wertvolles für Kinderleben und Kindererziehung zu entnehmen ist, muß ich dem lange aufgesparten Einwande begegnen, der uns mahnt, daß Hans ein Neurotiker, Hereditarier, Dégéneré ist, kein normales Kind, von dem aus auf andere Kinder übertragen werden darf. Es tut mir lange schon leid, daran zu denken, wie alle die Bekenner des »Normalmenschen« unseren armen kleinen Hans mißhandeln werden, nachdem sie erst erfahren haben, daß ihm tatsächlich hereditäre Belastung nachgewiesen werden kann. Seiner schönen Mutter, die in einem Konflikte ihrer Mädchenzeit neurotisch erkrankte, hatte ich damals Hilfe geleistet, und dies war sogar der Anfang meiner Beziehungen zu seinen Eltern. Ich getraue mich nur ganz schüchtern, einiges zu seinen Gunsten vorzubringen.</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Zunächst, daß Hans nicht das ist, was man sich nach der strengen Observanz unter einem degenerierten, zur Nervosität erblich bestimmten Kinde vorstellen würde, sondern vielmehr ein körperlich wohlgebildeter, heiterer, liebenswürdiger und geistig reger Geselle, an dem nicht nur der eigene Vater seine Freude haben kann. An seiner sexuellen Frühreife freilich ist kein Zweifel, aber es fehlt da viel Vergleichsmaterial zum richtigen Urteile. Aus einer Sammeluntersuchung aus amerikanischer Quelle habe ich z. B. ersehen, daß ähnlich frühe Objektwahl und Liebesempfinden bei Knaben nicht gar so selten angetroffen wird, und aus der Kindergeschichte von später als »groß« erkannten Männern weiß man das nämliche, so daß ich meinen möchte, die sexuelle Frühreife sei ein selten fehlendes Korrelat der intellektuellen, und darum bei begabten Kindern häufiger anzutreffen, als man erwarten sollte.</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Ferner mache ich in meiner eingestandenen Parteilichkeit für den kleinen Hans geltend, daß er nicht das einzige Kind ist, das zu irgendeiner Zeit seiner Kinderjahre von Phobien befallen wird. Solche Erkrankungen sind bekanntlich ganz außerordentlich häufig, auch bei Kindern, deren Erziehung an Strenge nichts zu wünschen übrig läßt. Die betreffenden Kinder werden später entweder neurotisch, oder sie bleiben gesund. Ihre Phobien werden in der Kinderstube niedergeschrien, weil sie der Behandlung unzugänglich und gewiß sehr unbequem sind. Sie lassen dann im Laufe von Monaten oder Jahren nach, heilen anscheinend; welche psychischen Veränderungen eine solche Heilung bedingt, welche Charakterveränderungen mit ihr verknüpft sind, darin hat niemand Einsicht. Wenn man dann einmal einen erwachsenen Neurotiker in psychoanalytische Behandlung nimmt, der, nehmen wir an, erst in reifen Jahren manifest erkrankt ist, so erfährt man regelmäßig, daß seine Neurose an jene Kinderangst anknüpft, die Fortsetzung derselben darstellt, und daß also eine unausgesetzte, aber auch ungestörte psychische Arbeit sich von jenen Kinderkonflikten an durchs Leben fortgesponnen hat, ohne Rücksicht darauf, ob deren erstes Symptom Bestand hatte oder unter dem Drange der Verhältnisse zurückgezogen wurde. Ich meine also, unser Hans ist vielleicht nicht stärker erkrankt gewesen als so viele andere Kinder, die nicht als »Degenerierte« gebrandmarkt werden; aber da er ohne Einschüchterung, mit möglichster Schonung und möglichst geringem Zwang erzogen wurde, hat sich seine Angst kühner hervorgewagt. Die Motive des schlechten Gewissens und der Furcht vor der Strafe haben ihr gefehlt, die sonst gewiß zu ihrer Verkleinerung beitragen. Mir will scheinen, wir geben zu viel auf Symptome und kümmern uns zu wenig um das, woraus sie hervorgehen. In der Kindererziehung gar wollen wir nichts anderes als in Ruhe gelassen werden, keine Schwierigkeiten erleben, kurz, das brave Kind züchten und achten sehr wenig darauf, ob dieser Entwicklungsgang dem Kinde auch frommt. Ich könnte mir also vorstellen, daß es heilsam für unseren Hans war, diese Phobie produziert zu haben, weil sie die Aufmerksamkeit der Eltern auf die unvermeidlichen Schwierigkeiten lenkte, welche die Überwindung der angeborenen Triebkomponenten in der Kulturerziehung dem Kinde bereiten muß, und weil diese seine Störung die Hilfeleistung des Vaters nach sich zog. Vielleicht hat er nun vor anderen Kindern das voraus, daß er nicht mehr jenen Keim verdrängter Komplexe in sich trägt, der fürs spätere Leben jedesmal etwas bedeuten muß, der gewiß Charakterverbildung in irgendeinem Ausmaße mit sich bringt, wenn nicht die Disposition zu einer späteren Neurose. Ich bin geneigt, so zu denken, aber ich weiß nicht, ob noch viele andere mein Urteil teilen werden, weiß auch nicht, ob die Erfahrung mir recht geben wird.</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 xml:space="preserve">Ich muß aber fragen, was hat nun bei Hans das Anslichtziehen der nicht nur von den Kindern verdrängten, sondern auch von den Eltern gefürchteten Komplexe geschadet? Hat der Kleine nun etwa Ernst gemacht mit seinen Ansprüchen auf die Mutter, oder sind an Stelle der bösen Absichten gegen den Vater Tätlichkeiten getreten? Sicherlich werden das viele befürchtet haben, die das Wesen der Psychoanalyse verkennen und meinen, man verstärke die bösen Triebe, wenn man sie bewußt mache. Diese Weisen handeln dann nur konsequent, wenn sie um Gotteswillen von jeder Beschäftigung mit den bösen Dingen abraten, die hinter den Neurosen stecken. Sie vergessen dabei allerdings, daß sie Ärzte sind, und geraten in eine fatale Ähnlichkeit mit Shakespeares Holzapfel in </w:t>
      </w:r>
      <w:r w:rsidRPr="004B6098">
        <w:rPr>
          <w:rFonts w:ascii="Garamond" w:hAnsi="Garamond"/>
          <w:i/>
          <w:iCs/>
          <w:sz w:val="20"/>
          <w:szCs w:val="20"/>
          <w:lang w:val="en-US"/>
        </w:rPr>
        <w:t>Viel Lärm um nichts</w:t>
      </w:r>
      <w:r w:rsidRPr="004B6098">
        <w:rPr>
          <w:rFonts w:ascii="Garamond" w:hAnsi="Garamond"/>
          <w:sz w:val="20"/>
          <w:szCs w:val="20"/>
          <w:lang w:val="en-US"/>
        </w:rPr>
        <w:t xml:space="preserve">, der der ausgeschickten Wache gleichfalls den Rat gibt, sich von jeder Berührung mit den etwa angetroffenen Dieben, Einbrechern recht fernzuhalten. Solches Gesindel sei kein Umgang für ehrliche Leute </w:t>
      </w:r>
      <w:hyperlink r:id="rId1119"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Ich kann die verwunderte Frage hier nicht unterdrücken, woher diese Gegner meiner Anschauungen ihr so sicher vorgetragenes Wissen beziehen, ob die verdrängten Sexualtriebe eine Rolle in der Ätiologie der Neurosen spielen und welche, wenn sie den Patienten den Mund verschließen, sobald sie von ihren Komplexen und deren Abkömmlingen zu reden beginnen? Meine und meiner Anhänger Mitteilungen sind ja dann die einzige Wissenschaft, die ihnen zugänglich bleibt.</w:t>
        </w:r>
      </w:hyperlink>
      <w:r w:rsidRPr="004B6098">
        <w:rPr>
          <w:rFonts w:ascii="Garamond" w:hAnsi="Garamond"/>
          <w:sz w:val="20"/>
          <w:szCs w:val="20"/>
          <w:lang w:val="en-US"/>
        </w:rPr>
        <w: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lastRenderedPageBreak/>
        <w:t xml:space="preserve">Die einzigen Folgen der Analyse sind vielmehr, daß Hans gesund wird, sich vor Pferden nicht mehr fürchtet, und daß er mit seinem Vater, wie dieser belustigt mitteilt, eher familiär verkehrt. Aber was der Vater an Respekt etwa einbüßt, das gewinnt er an Vertrauen zurück: »Ich hab' geglaubt, du weißt alles, weil du das vom Pferd gewußt hast.« Die Analyse macht nämlich den </w:t>
      </w:r>
      <w:r w:rsidRPr="004B6098">
        <w:rPr>
          <w:rFonts w:ascii="Garamond" w:hAnsi="Garamond"/>
          <w:i/>
          <w:iCs/>
          <w:sz w:val="20"/>
          <w:szCs w:val="20"/>
          <w:lang w:val="en-US"/>
        </w:rPr>
        <w:t>Erfolg</w:t>
      </w:r>
      <w:r w:rsidRPr="004B6098">
        <w:rPr>
          <w:rFonts w:ascii="Garamond" w:hAnsi="Garamond"/>
          <w:sz w:val="20"/>
          <w:szCs w:val="20"/>
          <w:lang w:val="en-US"/>
        </w:rPr>
        <w:t xml:space="preserve"> der Verdrängung nicht rückgängig; die Triebe, die damals unterdrückt wurden, bleiben die unterdrückten, aber sie erreicht diesen Erfolg auf anderem Weg, ersetzt den Prozeß der Verdrängung, der ein automatischer und exzessiver ist, durch die maß- und zielvolle Bewältigung mit Hilfe der höchsten seelischen Instanzen, mit einem Worte: </w:t>
      </w:r>
      <w:r w:rsidRPr="004B6098">
        <w:rPr>
          <w:rFonts w:ascii="Garamond" w:hAnsi="Garamond"/>
          <w:i/>
          <w:iCs/>
          <w:sz w:val="20"/>
          <w:szCs w:val="20"/>
          <w:lang w:val="en-US"/>
        </w:rPr>
        <w:t>sie ersetzt die Verdrängung durch die Verurteilung</w:t>
      </w:r>
      <w:r w:rsidRPr="004B6098">
        <w:rPr>
          <w:rFonts w:ascii="Garamond" w:hAnsi="Garamond"/>
          <w:sz w:val="20"/>
          <w:szCs w:val="20"/>
          <w:lang w:val="en-US"/>
        </w:rPr>
        <w:t xml:space="preserve">. Sie scheint uns den lang gehegten Beweis zu erbringen, daß das Bewußtsein eine biologische Funktion hat, daß mit seinem Insspieltreten ein bedeutsamer Vorteil verbunden ist </w:t>
      </w:r>
      <w:hyperlink r:id="rId1120" w:history="1">
        <w:r w:rsidRPr="004B6098">
          <w:rPr>
            <w:rStyle w:val="Lienhypertexte"/>
            <w:rFonts w:ascii="Garamond" w:hAnsi="Garamond"/>
            <w:sz w:val="20"/>
            <w:szCs w:val="20"/>
            <w:lang w:val="en-US"/>
          </w:rPr>
          <w:t>[Fußnote]</w:t>
        </w:r>
        <w:r w:rsidRPr="004B6098">
          <w:rPr>
            <w:rStyle w:val="innerfusslink"/>
            <w:rFonts w:ascii="Garamond" w:hAnsi="Garamond"/>
            <w:color w:val="0000FF"/>
            <w:sz w:val="20"/>
            <w:szCs w:val="20"/>
            <w:u w:val="single"/>
            <w:lang w:val="en-US"/>
          </w:rPr>
          <w:t>Ich gebrauche hiedurch das Wort Bewußtsein in einem Sinne, den ich später vermieden habe, für unser normales bewußtseinsfähiges Denken. Wir wissen, daß auch solche Denkprozesse vorbewußt vor sich gehen können und tun gut, deren »Bewußtsein« rein phänomenologisch zu werten. Natürlich wird der Erwartung, auch das Bewußtwerden erfülle eine biologische Funktion, hiemit nicht widersprochen.</w:t>
        </w:r>
      </w:hyperlink>
      <w:r w:rsidRPr="004B6098">
        <w:rPr>
          <w:rFonts w:ascii="Garamond" w:hAnsi="Garamond"/>
          <w:sz w:val="20"/>
          <w:szCs w:val="20"/>
          <w:lang w:val="en-US"/>
        </w:rPr>
        <w: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Hätte ich allein die Verfügung darüber gehabt, so hätte ich's gewagt, dem Kinde auch noch die eine Aufklärung zu geben, welche ihm von den Eltern vorenthalten wurde. Ich hätte seine triebhaften Ahnungen bestätigt, indem ich ihm von der Existenz der Vagina und des Koitus erzählt hätte, so den ungelösten Rest um ein weiteres Stück verkleinert und seinem Fragedrang ein Ende gemacht. Ich bin überzeugt, er hätte weder die Liebe zur Mutter noch sein kindliches Wesen infolge dieser Aufklärungen verloren und hätte eingesehen, daß seine Beschäftigung mit diesen wichtigen, ja imposanten Dingen nun ruhen muß, bis sich sein Wunsch, groß zu werden, erfüllt hat. Aber das pädagogische Experiment wurde nicht so weit geführt.</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Daß man zwischen »nervösen« und »normalen« Kindern und Erwachsenen keine scharfe Grenze ziehen darf, daß »Krankheit« ein rein praktischer Summationsbegriff ist, daß Disposition und Erleben zusammentreffen müssen, um die Schwelle für die Erreichung dieser Summation überschreiten zu lassen, daß infolgedessen fortwährend viele Individuen aus der Klasse der Gesunden in die der nervös Kranken übertreten und eine weit geringere Anzahl den Weg auch in umgekehrter Richtung macht, das sind Dinge, die so oft gesagt worden sind und soviel Anklang gefunden haben, daß ich mit ihrer Behauptung gewiß nicht allein stehe. Daß die Erziehung des Kindes einen mächtigen Einfluß geltend machen kann, zugunsten oder Ungunsten der bei dieser Summation in Betracht kommenden Krankheitsdisposition, ist zum mindesten sehr wahrscheinlich, aber was die Erziehung anzustreben und wo sie einzugreifen hat, das erscheint noch durchaus fragwürdig. Sie hat sich bisher immer nur die Beherrschung, oft richtiger Unterdrückung der Triebe zur Aufgabe gestellt; der Erfolg war kein befriedigender und dort, wo es gelang, geschah es zum Vorteil einer kleinen Anzahl bevorzugter Menschen, von denen Triebunterdrückung nicht gefordert wird. Man fragte auch nicht danach, auf welchem Wege und mit welchen Opfern die Unterdrückung der unbequemen Triebe erreicht wurde. Substituiert man dieser Aufgabe eine andere, das Individuum mit der geringsten Einbuße an seiner Aktivität kulturfähig und sozial verwertbar zu machen, so haben die durch die Psychoanalyse gewonnenen Aufklärungen über die Herkunft der pathogenen Komplexe und über den Kern einer jeden Neurose eigentlich den Anspruch, vom Erzieher als unschätzbare Winke für sein Benehmen gegen das Kind gewürdigt zu werden. Welche praktischen Schlüsse sich hieraus ergeben, und inwieweit die Erfahrung die Anwendung derselben innerhalb unserer sozialen Verhältnisse rechtfertigen kann, dies überlasse ich anderen zur Erprobung und Entscheidung.</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Ich kann von der Phobie unseres kleinen Patienten nicht Abschied nehmen, ohne die Vermutung auszusprechen, welche mir deren zur Heilung führende Analyse besonders wertvoll macht. Ich habe aus dieser Analyse, strenggenommen, nichts Neues erfahren, nichts, was ich nicht schon, oft in weniger deutlicher und mehr vermittelter Weise, bei anderen im reifen Alter behandelten Patienten hatte erraten können. Und da die Neurosen dieser anderen Kranken jedesmal auf die nämlichen infantilen Komplexe zurückzuführen waren, die sich hinter der Phobie Hansens aufdecken ließen, bin ich versucht, für diese Kinderneurose eine typische und vorbildliche Bedeutung in Anspruch zu nehmen, als ob die Mannigfaltigkeit der neurotischen Verdrängungserscheinungen und die Reichhaltigkeit des pathogenen Materials einer Ableitung von sehr wenigen Prozessen an den nämlichen Vorstellungskomplexen nicht im Wege stünden.</w:t>
      </w:r>
    </w:p>
    <w:p w:rsidR="00822836" w:rsidRPr="004B6098" w:rsidRDefault="00822836" w:rsidP="00822836">
      <w:pPr>
        <w:pStyle w:val="Sansinterligne"/>
        <w:rPr>
          <w:rFonts w:ascii="Garamond" w:hAnsi="Garamond"/>
          <w:sz w:val="20"/>
          <w:szCs w:val="20"/>
          <w:lang w:val="en-US" w:eastAsia="fr-FR"/>
        </w:rPr>
      </w:pPr>
      <w:r w:rsidRPr="004B6098">
        <w:rPr>
          <w:rFonts w:ascii="Garamond" w:hAnsi="Garamond"/>
          <w:sz w:val="20"/>
          <w:szCs w:val="20"/>
          <w:lang w:val="en-US"/>
        </w:rPr>
        <w:br w:type="page"/>
      </w:r>
    </w:p>
    <w:p w:rsidR="00822836" w:rsidRPr="004B6098" w:rsidRDefault="00822836" w:rsidP="00822836">
      <w:pPr>
        <w:pStyle w:val="Sansinterligne"/>
        <w:rPr>
          <w:rFonts w:ascii="Garamond" w:hAnsi="Garamond"/>
          <w:sz w:val="20"/>
          <w:szCs w:val="20"/>
        </w:rPr>
      </w:pPr>
      <w:r w:rsidRPr="004B6098">
        <w:rPr>
          <w:rFonts w:ascii="Garamond" w:hAnsi="Garamond"/>
          <w:sz w:val="20"/>
          <w:szCs w:val="20"/>
        </w:rPr>
        <w:lastRenderedPageBreak/>
        <w:t>Nachschrift zur Analyse des kleinen Hans</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rPr>
        <w:t xml:space="preserve">Vor einigen Monaten – im Frühjahr des Jahres 1922 – stellte sich mir ein junger Mann vor und erklärte, er sei der »kleine Hans«, über dessen kindliche Neurose ich im Jahre 1909 berichtet hatte. Ich war sehr froh, ihn wiederzusehen, denn er war mir etwa zwei Jahre nach Abschluß seiner Analyse aus den Augen geraten, und ich hatte seit länger als einem Jahrzehnt nichts von seinen Schicksalen erfahren. </w:t>
      </w:r>
      <w:r w:rsidRPr="004B6098">
        <w:rPr>
          <w:rFonts w:ascii="Garamond" w:hAnsi="Garamond"/>
          <w:sz w:val="20"/>
          <w:szCs w:val="20"/>
          <w:lang w:val="en-US"/>
        </w:rPr>
        <w:t>Die Veröffentlichung dieser ersten Analyse an einem Kinde hatte viel Aufsehen und noch mehr Entrüstung hervorgerufen, und dem armen Jungen war großes Unheil prophezeit worden, weil er in so zartem Alter »entharmlost« und zum Opfer einer Psychoanalyse gemacht worden war.</w:t>
      </w:r>
    </w:p>
    <w:p w:rsidR="00822836" w:rsidRPr="004B6098" w:rsidRDefault="00822836" w:rsidP="00822836">
      <w:pPr>
        <w:pStyle w:val="Sansinterligne"/>
        <w:rPr>
          <w:rFonts w:ascii="Garamond" w:hAnsi="Garamond"/>
          <w:sz w:val="20"/>
          <w:szCs w:val="20"/>
          <w:lang w:val="en-US"/>
        </w:rPr>
      </w:pPr>
      <w:r w:rsidRPr="004B6098">
        <w:rPr>
          <w:rFonts w:ascii="Garamond" w:hAnsi="Garamond"/>
          <w:sz w:val="20"/>
          <w:szCs w:val="20"/>
          <w:lang w:val="en-US"/>
        </w:rPr>
        <w:t>Nichts von all diesen Befürchtungen ist aber eingetroffen. Der kleine Hans war jetzt ein stattlicher Jüngling von 19 Jahren. Er behauptete, sich durchaus wohl zu befinden und an keinerlei Beschwerden oder Hemmungen zu leiden. Er war nicht nur ohne Schädigung durch die Pubertät gegangen, sondern hatte auch eine der schwersten Belastungsproben für sein Gefühlsleben gut bestanden. Seine Eltern hatten sich voneinander geschieden und jeder Teil eine neue Ehe geschlossen. Er lebe infolgedessen allein, stehe aber mit beiden Eltern gut und bedaure nur, daß er durch die Auflösung der Familie von seiner lieben jüngeren Schwester getrennt worden sei.</w:t>
      </w:r>
    </w:p>
    <w:p w:rsidR="00822836" w:rsidRDefault="00822836" w:rsidP="00822836">
      <w:pPr>
        <w:pStyle w:val="Sansinterligne"/>
        <w:rPr>
          <w:rFonts w:ascii="Garamond" w:hAnsi="Garamond"/>
          <w:sz w:val="20"/>
          <w:szCs w:val="20"/>
        </w:rPr>
      </w:pPr>
      <w:r w:rsidRPr="004B6098">
        <w:rPr>
          <w:rFonts w:ascii="Garamond" w:hAnsi="Garamond"/>
          <w:sz w:val="20"/>
          <w:szCs w:val="20"/>
          <w:lang w:val="en-US"/>
        </w:rPr>
        <w:t xml:space="preserve">Eine Mitteilung des kleinen Hans war mir besonders merkwürdig. Ich getraue mich auch nicht, eine Erklärung für sie zu geben. Als er seine Krankengeschichte las, erzählte er, es sei ihm alles fremd vorgekommen, er erkannte sich nicht, konnte sich an nichts erinnern, und nur als er auf die Reise nach Gmunden stieß, dämmerte ihm etwas wie ein Schimmer von Erinnerung auf, das könnte er selbst gewesen sein. Die Analyse hatte also die Begebenheit nicht vor der Amnesie bewahrt, sondern war selbst der Amnesie verfallen. </w:t>
      </w:r>
      <w:r w:rsidRPr="004B6098">
        <w:rPr>
          <w:rFonts w:ascii="Garamond" w:hAnsi="Garamond"/>
          <w:sz w:val="20"/>
          <w:szCs w:val="20"/>
        </w:rPr>
        <w:t>Ähnlich ergeht es dem mit der Psychoanalyse Vertrauten manchmal im Schlafe. Er wird durch einen Traum geweckt, beschließt ihn ohne Aufschub zu analysieren, schläft, mit dem Ergebnis seiner Bemühung zufrieden, wieder ein, und am nächsten Morgen sind Traum und Analyse vergessen.</w:t>
      </w:r>
    </w:p>
    <w:p w:rsidR="00822836" w:rsidRDefault="00822836" w:rsidP="00822836">
      <w:pPr>
        <w:rPr>
          <w:rFonts w:ascii="Garamond" w:hAnsi="Garamond"/>
          <w:sz w:val="20"/>
          <w:szCs w:val="20"/>
        </w:rPr>
      </w:pPr>
      <w:r>
        <w:rPr>
          <w:rFonts w:ascii="Garamond" w:hAnsi="Garamond"/>
          <w:sz w:val="20"/>
          <w:szCs w:val="20"/>
        </w:rPr>
        <w:br w:type="page"/>
      </w:r>
    </w:p>
    <w:p w:rsidR="00822836" w:rsidRDefault="00822836" w:rsidP="00822836">
      <w:pPr>
        <w:pStyle w:val="Sansinterligne"/>
        <w:rPr>
          <w:rFonts w:ascii="Garamond" w:hAnsi="Garamond"/>
          <w:lang w:val="en-US"/>
        </w:rPr>
      </w:pPr>
      <w:r w:rsidRPr="005C1841">
        <w:rPr>
          <w:rFonts w:ascii="Garamond" w:hAnsi="Garamond"/>
          <w:lang w:val="en-US"/>
        </w:rPr>
        <w:lastRenderedPageBreak/>
        <w:br/>
      </w:r>
      <w:r>
        <w:rPr>
          <w:rFonts w:ascii="Garamond" w:hAnsi="Garamond"/>
          <w:lang w:val="en-US"/>
        </w:rPr>
        <w:t>DER RAT</w:t>
      </w:r>
      <w:r w:rsidRPr="00487290">
        <w:rPr>
          <w:rFonts w:ascii="Garamond" w:hAnsi="Garamond"/>
          <w:lang w:val="en-US"/>
        </w:rPr>
        <w:t xml:space="preserve"> MAN  Bemerkungen über einen Fall von Zwangsneurose ( 1909 )</w:t>
      </w:r>
    </w:p>
    <w:p w:rsidR="00822836" w:rsidRDefault="00822836" w:rsidP="00822836">
      <w:pPr>
        <w:pStyle w:val="Sansinterligne"/>
        <w:rPr>
          <w:rFonts w:ascii="Garamond" w:hAnsi="Garamond"/>
          <w:lang w:val="en-US"/>
        </w:rPr>
      </w:pPr>
    </w:p>
    <w:p w:rsidR="00822836" w:rsidRPr="00487290" w:rsidRDefault="00822836" w:rsidP="00822836">
      <w:pPr>
        <w:pStyle w:val="Sansinterligne"/>
        <w:rPr>
          <w:rFonts w:ascii="Garamond" w:hAnsi="Garamond"/>
          <w:lang w:val="en-US"/>
        </w:rPr>
      </w:pPr>
    </w:p>
    <w:p w:rsidR="00822836" w:rsidRPr="00487290" w:rsidRDefault="00822836" w:rsidP="00822836">
      <w:pPr>
        <w:pStyle w:val="Sansinterligne"/>
        <w:rPr>
          <w:rFonts w:ascii="Garamond" w:hAnsi="Garamond"/>
          <w:lang w:val="en-US"/>
        </w:rPr>
      </w:pP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Die nachstehenden Blätter werden zweierlei enthalten: erstens fragmentarische Mitteilungen aus der Krankengeschichte eines Falles von Zwangsneurose, welcher nach seiner Dauer, seinen Schädigungsfolgen und nach subjektiver Wertung zu den ziemlich schweren gezählt werden konnte und dessen Behandlung durch etwa ein Jahr zunächst die völlige Herstellung der Persönlichkeit und die Aufhebung ihrer Hemmungen erzielte. Zweitens aber in Anknüpfung an diesen und in Anlehnung an andere früher analysierte Fälle einzelne aphoristische Angaben über die Genese und den feineren Mechanismus der seelischen Zwangsvorgänge, durch welche meine im Jahre 1896 veröffentlichten ersten Darstellungen weitergeführt werden sollen </w:t>
      </w:r>
      <w:hyperlink r:id="rId1121" w:history="1">
        <w:r w:rsidRPr="00487290">
          <w:rPr>
            <w:rStyle w:val="Lienhypertexte"/>
            <w:rFonts w:ascii="Garamond" w:hAnsi="Garamond"/>
            <w:lang w:val="en-US"/>
          </w:rPr>
          <w:t>[Fußnote]</w:t>
        </w:r>
        <w:r w:rsidRPr="00487290">
          <w:rPr>
            <w:rStyle w:val="innerfusslink"/>
            <w:rFonts w:ascii="Garamond" w:hAnsi="Garamond"/>
            <w:lang w:val="en-US"/>
          </w:rPr>
          <w:t>›Weitere Bemerkungen über die Abwehr-Neuropsychosen‹ (II. ›Wesen und Mechanismus der Zwangsneurose‹.)</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Eine derartige Inhaltsangabe scheint mir selbst einer Rechtfertigung bedürftig, damit man nicht etwa glaube, ich hielte diese Art und Weise der Mitteilung für untadelhaft und nachahmenswert, während ich in Wirklichkeit nur Hemmungen äußerlicher und inhaltlicher Natur Rechnung trage und gerne mehr gegeben hätte, wenn ich nur dürfte und könnte. Die vollständige Behandlungsgeschichte kann ich nämlich nicht mitteilen, weil sie ein Eingehen auf die Lebensverhältnisse meines Patienten im einzelnen erfordern würde. Die belästigende Aufmerksamkeit einer Großstadt, die sich auf meine ärztliche Tätigkeit ganz besonders richtet, verbietet mir eine wahrheitsgetreue Darstellung; Entstellungen aber, mit denen man sich sonst zu behelfen pflegt, finde ich immer mehr unzweckmäßig und verwerflich. Sind sie geringfügig, so erfüllen sie den Zweck nicht, den Patienten vor indiskreter Neugierde zu schützen, und gehen sie weiter, so kosten sie zu große Opfer, indem sie das Verständnis der gerade an die kleinen Realien des Lebens geknüpften Zusammenhänge zerstören. Aus diesem letzteren Umstand ergibt sich dann der paradoxe Sachverhalt, daß man weit eher die intimsten Geheimnisse eines Patienten der Öffentlichkeit preisgeben darf, bei denen er doch unerkannt bleibt, als die harmlosesten und banalsten Bestimmungen seiner Person, mit denen er allen bekannt ist und die ihn für alle kenntlich machen würden.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Entschuldige ich so die arge Verkürzung der Kranken- und Behandlungsgeschichte, so steht mir für die Beschränkung auf einzelne Ergebnisse aus der psychoanalytischen Untersuchung der Zwangsneurose eine noch triftigere Aufklärung zu Gebote. Ich bekenne, daß es mir bisher noch nicht gelungen ist, das komplizierte Gefüge eines </w:t>
      </w:r>
      <w:r w:rsidRPr="00487290">
        <w:rPr>
          <w:rFonts w:ascii="Garamond" w:hAnsi="Garamond"/>
          <w:i/>
          <w:iCs/>
          <w:lang w:val="en-US"/>
        </w:rPr>
        <w:t>schweren</w:t>
      </w:r>
      <w:r w:rsidRPr="00487290">
        <w:rPr>
          <w:rFonts w:ascii="Garamond" w:hAnsi="Garamond"/>
          <w:lang w:val="en-US"/>
        </w:rPr>
        <w:t xml:space="preserve"> Falles von Zwangsneurose restlos zu durchschauen, und daß ich es nicht zustande brächte, diese analytisch erkannte oder geahnte Struktur durch die Auflagerungen der Behandlung hindurch anderen in der Wiedergabe der Analyse sichtbar zu machen. Es sind die Widerstände der Kranken und die Formen von deren Äußerung, welche letztere Aufgabe so sehr erschweren; aber man muß sagen, daß das Verständnis einer Zwangsneurose an und für sich nichts Leichtes ist, viel schwerer als das eines Falles von Hysterie. Eigentlich sollte man das Gegenteil erwarten. Die Mittel, durch welche die Zwangsneurose ihre geheimen Gedanken zum Ausdruck bringt, die Sprache der Zwangsneurose ist gleichsam nur ein Dialekt der hysterischen Sprache, aber ein Dialekt, in welchen uns die Einfühlung leichter gelingen müßte, weil er dem Ausdrucke unseres bewußten Denkens verwandter ist als der hysterische. Er enthält vor allem nicht jenen Sprung aus dem Seelischen in die somatische Innervation – die hysterische Konversion –, den wir mit unserem Begreifen doch niemals mitmachen können.</w:t>
      </w:r>
    </w:p>
    <w:p w:rsidR="00822836" w:rsidRPr="00487290" w:rsidRDefault="00822836" w:rsidP="00822836">
      <w:pPr>
        <w:pStyle w:val="Sansinterligne"/>
        <w:rPr>
          <w:rFonts w:ascii="Garamond" w:hAnsi="Garamond"/>
          <w:lang w:val="en-US"/>
        </w:rPr>
      </w:pPr>
      <w:r w:rsidRPr="00487290">
        <w:rPr>
          <w:rFonts w:ascii="Garamond" w:hAnsi="Garamond"/>
          <w:lang w:val="en-US"/>
        </w:rPr>
        <w:t>Vielleicht trägt auch nur unsere geringere Vertrautheit mit der Zwangsneurose die Schuld daran, daß die Wirklichkeit jene Erwartung nicht bestätigt. Die Zwangsneurotiker schweren Kalibers stellen sich der analytischen Behandlung weit seltener als die Hysteriker. Sie dissimulieren auch im Leben ihre Zustände, solange es angeht, und kommen zum Arzt häufig erst in so vorgeschrittenen Stadien des Leidens, wie sie bei der Lungentuberkulose z. B. die Aufnahme in eine Heilstätte ausschließen würden. Ich ziehe aber diesen Vergleich heran, weil wir bei den leichten und den schweren, aber frühzeitig bekämpften Fällen der Zwangsneurose, ganz ähnlich wie bei jener chronischen Infektionskrankheit, auf eine Reihe glänzender Heilerfolge hinweisen können.</w:t>
      </w:r>
    </w:p>
    <w:p w:rsidR="00822836" w:rsidRPr="00487290" w:rsidRDefault="00822836" w:rsidP="00822836">
      <w:pPr>
        <w:pStyle w:val="Sansinterligne"/>
        <w:rPr>
          <w:rFonts w:ascii="Garamond" w:hAnsi="Garamond"/>
          <w:lang w:val="en-US"/>
        </w:rPr>
      </w:pPr>
      <w:r w:rsidRPr="00487290">
        <w:rPr>
          <w:rFonts w:ascii="Garamond" w:hAnsi="Garamond"/>
          <w:lang w:val="en-US"/>
        </w:rPr>
        <w:t>Unter solchen Umständen bleibt nichts anderes möglich, als die Dinge so unvollkommen und so unvollständig mitzuteilen, wie man sie weiß und weitersagen darf. Die hier gebotenen, mühselig genug zutage geförderten Brocken von Erkenntnis mögen an sich wenig befriedigend wirken, aber die Arbeit anderer Untersucher mag an sie anschließen, und der gemeinsamen Bemühung kann die Leistung gelingen, die für den einzelnen vielleicht zu schwer ist.</w:t>
      </w:r>
    </w:p>
    <w:p w:rsidR="00822836" w:rsidRPr="00487290" w:rsidRDefault="00B437A1" w:rsidP="00822836">
      <w:pPr>
        <w:pStyle w:val="Sansinterligne"/>
        <w:rPr>
          <w:rFonts w:ascii="Garamond" w:eastAsia="Times New Roman" w:hAnsi="Garamond" w:cs="Times New Roman"/>
          <w:b/>
          <w:lang w:val="en-US" w:eastAsia="fr-FR"/>
        </w:rPr>
      </w:pPr>
      <w:hyperlink w:anchor="Inhaltratman" w:history="1">
        <w:r w:rsidR="00822836" w:rsidRPr="00A57530">
          <w:rPr>
            <w:rStyle w:val="Lienhypertexte"/>
            <w:rFonts w:ascii="Garamond" w:eastAsia="Times New Roman" w:hAnsi="Garamond" w:cs="Times New Roman"/>
            <w:b/>
            <w:lang w:val="en-US" w:eastAsia="fr-FR"/>
          </w:rPr>
          <w:t>1. Au</w:t>
        </w:r>
        <w:bookmarkStart w:id="226" w:name="Ratman1"/>
        <w:bookmarkEnd w:id="226"/>
        <w:r w:rsidR="00822836" w:rsidRPr="00A57530">
          <w:rPr>
            <w:rStyle w:val="Lienhypertexte"/>
            <w:rFonts w:ascii="Garamond" w:eastAsia="Times New Roman" w:hAnsi="Garamond" w:cs="Times New Roman"/>
            <w:b/>
            <w:lang w:val="en-US" w:eastAsia="fr-FR"/>
          </w:rPr>
          <w:t>s der Krankengeschichte</w:t>
        </w:r>
      </w:hyperlink>
    </w:p>
    <w:p w:rsidR="00822836" w:rsidRDefault="00822836" w:rsidP="00822836">
      <w:pPr>
        <w:pStyle w:val="Sansinterligne"/>
        <w:rPr>
          <w:rFonts w:ascii="Garamond" w:eastAsia="Times New Roman" w:hAnsi="Garamond" w:cs="Times New Roman"/>
          <w:lang w:val="en-US" w:eastAsia="fr-FR"/>
        </w:rPr>
      </w:pPr>
    </w:p>
    <w:p w:rsidR="00822836" w:rsidRPr="00487290" w:rsidRDefault="00822836" w:rsidP="00822836">
      <w:pPr>
        <w:pStyle w:val="Sansinterligne"/>
        <w:rPr>
          <w:rFonts w:ascii="Garamond" w:eastAsia="Times New Roman" w:hAnsi="Garamond" w:cs="Times New Roman"/>
          <w:lang w:val="en-US" w:eastAsia="fr-FR"/>
        </w:rPr>
      </w:pPr>
      <w:r w:rsidRPr="00487290">
        <w:rPr>
          <w:rFonts w:ascii="Garamond" w:eastAsia="Times New Roman" w:hAnsi="Garamond" w:cs="Times New Roman"/>
          <w:lang w:val="en-US" w:eastAsia="fr-FR"/>
        </w:rPr>
        <w:t xml:space="preserve">Ein jüngerer Mann von akademischer Bildung führt sich mit der Angabe ein, er leide an Zwangsvorstellungen schon seit seiner Kindheit, besonders stark aber seit vier Jahren. Hauptinhalt seines Leidens seien </w:t>
      </w:r>
      <w:r w:rsidRPr="00487290">
        <w:rPr>
          <w:rFonts w:ascii="Garamond" w:eastAsia="Times New Roman" w:hAnsi="Garamond" w:cs="Times New Roman"/>
          <w:i/>
          <w:iCs/>
          <w:lang w:val="en-US" w:eastAsia="fr-FR"/>
        </w:rPr>
        <w:t>Befürchtungen</w:t>
      </w:r>
      <w:r w:rsidRPr="00487290">
        <w:rPr>
          <w:rFonts w:ascii="Garamond" w:eastAsia="Times New Roman" w:hAnsi="Garamond" w:cs="Times New Roman"/>
          <w:lang w:val="en-US" w:eastAsia="fr-FR"/>
        </w:rPr>
        <w:t xml:space="preserve">, daß zwei Personen, die er sehr liebe, etwas geschehen werde, dem Vater und einer Dame, die er verehre. Außerdem verspüre er </w:t>
      </w:r>
      <w:r w:rsidRPr="00487290">
        <w:rPr>
          <w:rFonts w:ascii="Garamond" w:eastAsia="Times New Roman" w:hAnsi="Garamond" w:cs="Times New Roman"/>
          <w:i/>
          <w:iCs/>
          <w:lang w:val="en-US" w:eastAsia="fr-FR"/>
        </w:rPr>
        <w:t>Zwangsimpulse</w:t>
      </w:r>
      <w:r w:rsidRPr="00487290">
        <w:rPr>
          <w:rFonts w:ascii="Garamond" w:eastAsia="Times New Roman" w:hAnsi="Garamond" w:cs="Times New Roman"/>
          <w:lang w:val="en-US" w:eastAsia="fr-FR"/>
        </w:rPr>
        <w:t xml:space="preserve">, wie z. B. sich mit einem Rasiermesser den Hals abzuschneiden, und produziere </w:t>
      </w:r>
      <w:r w:rsidRPr="00487290">
        <w:rPr>
          <w:rFonts w:ascii="Garamond" w:eastAsia="Times New Roman" w:hAnsi="Garamond" w:cs="Times New Roman"/>
          <w:i/>
          <w:iCs/>
          <w:lang w:val="en-US" w:eastAsia="fr-FR"/>
        </w:rPr>
        <w:t>Verbote</w:t>
      </w:r>
      <w:r w:rsidRPr="00487290">
        <w:rPr>
          <w:rFonts w:ascii="Garamond" w:eastAsia="Times New Roman" w:hAnsi="Garamond" w:cs="Times New Roman"/>
          <w:lang w:val="en-US" w:eastAsia="fr-FR"/>
        </w:rPr>
        <w:t>, die sich auch auf gleichgültige Dinge beziehen. Er habe durch den Kampf gegen seine Ideen Jahre verloren und sei darum im Leben zurückgeblieben. Von den versuchten Kuren habe ihm nichts genützt als eine Wasserbehandlung in einer Anstalt bei **; diese aber wohl nur darum, weil er dort eine Bekanntschaft machte, die zu regelmäßigem Sexualverkehr führte. Hier habe er keine solche Gelegenheit, verkehre selten und in unregelmäßigen Intervallen. Vor Prostituierten empfinde er Ekel. Sein Sexualleben sei überhaupt kümmerlich gewesen, Onanie habe nur eine geringe Rolle gespielt, im 16. oder 17. Jahre. Seine Potenz sei normal; erster Koitus mit 26 Jahren.</w:t>
      </w:r>
    </w:p>
    <w:p w:rsidR="00822836" w:rsidRPr="00487290" w:rsidRDefault="00822836" w:rsidP="00822836">
      <w:pPr>
        <w:pStyle w:val="Sansinterligne"/>
        <w:rPr>
          <w:rFonts w:ascii="Garamond" w:eastAsia="Times New Roman" w:hAnsi="Garamond" w:cs="Times New Roman"/>
          <w:lang w:val="en-US" w:eastAsia="fr-FR"/>
        </w:rPr>
      </w:pPr>
      <w:r w:rsidRPr="00487290">
        <w:rPr>
          <w:rFonts w:ascii="Garamond" w:eastAsia="Times New Roman" w:hAnsi="Garamond" w:cs="Times New Roman"/>
          <w:lang w:val="en-US" w:eastAsia="fr-FR"/>
        </w:rPr>
        <w:t xml:space="preserve">Er macht den Eindruck eines klaren, scharfsinnigen Kopfes. Von mir befragt, was ihn veranlasse, die Auskünfte über sein Sexualleben in den Vordergrund zu rücken, antwortet er, das sei dasjenige, was er von meinen Lehren wisse. Er habe sonst nichts von meinen Schriften gelesen, aber vor kurzem beim Blättern in einem Buche von mir die Aufklärung sonderbarer Wortverknüpfungen gefunden </w:t>
      </w:r>
      <w:hyperlink r:id="rId1122" w:history="1">
        <w:r w:rsidRPr="00487290">
          <w:rPr>
            <w:rFonts w:ascii="Garamond" w:eastAsia="Times New Roman" w:hAnsi="Garamond" w:cs="Times New Roman"/>
            <w:color w:val="0000FF"/>
            <w:u w:val="single"/>
            <w:lang w:val="en-US" w:eastAsia="fr-FR"/>
          </w:rPr>
          <w:t>[Fußnote]Zur Psychopathologie des Alltagslebens (1905).</w:t>
        </w:r>
      </w:hyperlink>
      <w:r w:rsidRPr="00487290">
        <w:rPr>
          <w:rFonts w:ascii="Garamond" w:eastAsia="Times New Roman" w:hAnsi="Garamond" w:cs="Times New Roman"/>
          <w:lang w:val="en-US" w:eastAsia="fr-FR"/>
        </w:rPr>
        <w:t>, die ihn so sehr an seine eigenen »Denkarbeiten« mit seinen Ideen gemahnt hätten, daß er beschlossen habe, sich mir anzuvertrauen.</w:t>
      </w:r>
    </w:p>
    <w:p w:rsidR="00822836" w:rsidRDefault="00822836" w:rsidP="00822836">
      <w:pPr>
        <w:pStyle w:val="Sansinterligne"/>
        <w:rPr>
          <w:rFonts w:ascii="Garamond" w:eastAsia="Times New Roman" w:hAnsi="Garamond" w:cs="Times New Roman"/>
          <w:b/>
          <w:lang w:val="en-US" w:eastAsia="fr-FR"/>
        </w:rPr>
      </w:pPr>
    </w:p>
    <w:p w:rsidR="00822836" w:rsidRPr="00487290" w:rsidRDefault="00822836" w:rsidP="00822836">
      <w:pPr>
        <w:pStyle w:val="Sansinterligne"/>
        <w:rPr>
          <w:rFonts w:ascii="Garamond" w:eastAsia="Times New Roman" w:hAnsi="Garamond" w:cs="Times New Roman"/>
          <w:b/>
          <w:lang w:val="en-US" w:eastAsia="fr-FR"/>
        </w:rPr>
      </w:pPr>
      <w:r w:rsidRPr="00487290">
        <w:rPr>
          <w:rFonts w:ascii="Garamond" w:eastAsia="Times New Roman" w:hAnsi="Garamond" w:cs="Times New Roman"/>
          <w:b/>
          <w:lang w:val="en-US" w:eastAsia="fr-FR"/>
        </w:rPr>
        <w:t>A. Die Einleitung der Behandlung</w:t>
      </w:r>
    </w:p>
    <w:p w:rsidR="00822836" w:rsidRDefault="00822836" w:rsidP="00822836">
      <w:pPr>
        <w:pStyle w:val="Sansinterligne"/>
        <w:rPr>
          <w:rFonts w:ascii="Garamond" w:eastAsia="Times New Roman" w:hAnsi="Garamond" w:cs="Times New Roman"/>
          <w:lang w:val="en-US" w:eastAsia="fr-FR"/>
        </w:rPr>
      </w:pPr>
    </w:p>
    <w:p w:rsidR="00822836" w:rsidRPr="00487290" w:rsidRDefault="00822836" w:rsidP="00822836">
      <w:pPr>
        <w:pStyle w:val="Sansinterligne"/>
        <w:rPr>
          <w:rFonts w:ascii="Garamond" w:eastAsia="Times New Roman" w:hAnsi="Garamond" w:cs="Times New Roman"/>
          <w:lang w:val="en-US" w:eastAsia="fr-FR"/>
        </w:rPr>
      </w:pPr>
      <w:r w:rsidRPr="00487290">
        <w:rPr>
          <w:rFonts w:ascii="Garamond" w:eastAsia="Times New Roman" w:hAnsi="Garamond" w:cs="Times New Roman"/>
          <w:lang w:val="en-US" w:eastAsia="fr-FR"/>
        </w:rPr>
        <w:t xml:space="preserve">Nachdem ich ihn am nächsten Tage auf die einzige Bedingung der Kur verpflichtet, alles zu sagen, was ihm durch den Kopf gehe, auch wenn es ihm </w:t>
      </w:r>
      <w:r w:rsidRPr="00487290">
        <w:rPr>
          <w:rFonts w:ascii="Garamond" w:eastAsia="Times New Roman" w:hAnsi="Garamond" w:cs="Times New Roman"/>
          <w:i/>
          <w:iCs/>
          <w:lang w:val="en-US" w:eastAsia="fr-FR"/>
        </w:rPr>
        <w:t>unangenehm</w:t>
      </w:r>
      <w:r w:rsidRPr="00487290">
        <w:rPr>
          <w:rFonts w:ascii="Garamond" w:eastAsia="Times New Roman" w:hAnsi="Garamond" w:cs="Times New Roman"/>
          <w:lang w:val="en-US" w:eastAsia="fr-FR"/>
        </w:rPr>
        <w:t xml:space="preserve"> sei, auch wenn es ihm </w:t>
      </w:r>
      <w:r w:rsidRPr="00487290">
        <w:rPr>
          <w:rFonts w:ascii="Garamond" w:eastAsia="Times New Roman" w:hAnsi="Garamond" w:cs="Times New Roman"/>
          <w:i/>
          <w:iCs/>
          <w:lang w:val="en-US" w:eastAsia="fr-FR"/>
        </w:rPr>
        <w:t>unwichtig, nichtdazugehörig</w:t>
      </w:r>
      <w:r w:rsidRPr="00487290">
        <w:rPr>
          <w:rFonts w:ascii="Garamond" w:eastAsia="Times New Roman" w:hAnsi="Garamond" w:cs="Times New Roman"/>
          <w:lang w:val="en-US" w:eastAsia="fr-FR"/>
        </w:rPr>
        <w:t xml:space="preserve"> oder </w:t>
      </w:r>
      <w:r w:rsidRPr="00487290">
        <w:rPr>
          <w:rFonts w:ascii="Garamond" w:eastAsia="Times New Roman" w:hAnsi="Garamond" w:cs="Times New Roman"/>
          <w:i/>
          <w:iCs/>
          <w:lang w:val="en-US" w:eastAsia="fr-FR"/>
        </w:rPr>
        <w:t>unsinnig</w:t>
      </w:r>
      <w:r w:rsidRPr="00487290">
        <w:rPr>
          <w:rFonts w:ascii="Garamond" w:eastAsia="Times New Roman" w:hAnsi="Garamond" w:cs="Times New Roman"/>
          <w:lang w:val="en-US" w:eastAsia="fr-FR"/>
        </w:rPr>
        <w:t xml:space="preserve"> erscheine, und ihm freigestellt, mit welchem Thema er seine Mitteilungen eröffnen wolle, beginnt er wie folgt </w:t>
      </w:r>
      <w:hyperlink r:id="rId1123" w:history="1">
        <w:r w:rsidRPr="00487290">
          <w:rPr>
            <w:rFonts w:ascii="Garamond" w:eastAsia="Times New Roman" w:hAnsi="Garamond" w:cs="Times New Roman"/>
            <w:color w:val="0000FF"/>
            <w:u w:val="single"/>
            <w:lang w:val="en-US" w:eastAsia="fr-FR"/>
          </w:rPr>
          <w:t>[Fußnote]Redigiert nach der Niederschrift am Abend des Behandlungstages in möglichster Anlehnung an die erinnerten Reden des Patienten. – Ich kann nur davor warnen, die Zeit der Behandlung selbst zur Fixierung des Gehörten zu verwenden. Die Ablenkung der Aufmerksamkeit des Arztes bringt dem Kranken mehr Schaden, als durch den Gewinn an Reproduktionstreue in der Krankengeschichte entschuldigt werden kann.</w:t>
        </w:r>
      </w:hyperlink>
      <w:r w:rsidRPr="00487290">
        <w:rPr>
          <w:rFonts w:ascii="Garamond" w:eastAsia="Times New Roman" w:hAnsi="Garamond" w:cs="Times New Roman"/>
          <w:lang w:val="en-US" w:eastAsia="fr-FR"/>
        </w:rPr>
        <w:t>:</w:t>
      </w:r>
    </w:p>
    <w:p w:rsidR="00822836" w:rsidRPr="00487290" w:rsidRDefault="00822836" w:rsidP="00822836">
      <w:pPr>
        <w:pStyle w:val="Sansinterligne"/>
        <w:rPr>
          <w:rFonts w:ascii="Garamond" w:eastAsia="Times New Roman" w:hAnsi="Garamond" w:cs="Times New Roman"/>
          <w:lang w:val="en-US" w:eastAsia="fr-FR"/>
        </w:rPr>
      </w:pPr>
      <w:r w:rsidRPr="00487290">
        <w:rPr>
          <w:rFonts w:ascii="Garamond" w:eastAsia="Times New Roman" w:hAnsi="Garamond" w:cs="Times New Roman"/>
          <w:lang w:val="en-US" w:eastAsia="fr-FR"/>
        </w:rPr>
        <w:t>Er habe einen Freund, den er außerordentlich hochstelle. Zu dem gehe er immer, wenn ihn ein verbrecherischer Impuls plage, und frage ihn, ob er ihn als Verbrecher verachte. Der Freund halte ihn aufrecht, indem er ihm versichere, daß er ein tadelloser Mensch sei, der sich wahrscheinlich von Jugend auf gewöhnt habe, sein Leben unter solchen Gesichtspunkten zu betrachten. Einen ähnlichen Einfluß habe früher einmal ein anderer auf ihn geübt, ein Student, der 19 Jahre alt war, während er 14 oder 15 Jahre war, der Gefallen an ihm fand und sein Selbstgefühl außerordentlich hob, so daß er sich als Genie vorkommen durfte. Dieser Student wurde später sein Hauslehrer und änderte dann plötzlich sein Benehmen, indem er ihn zum Trottel herabsetzte. Er merkte endlich, daß jener sich für eine seiner Schwestern interessierte und sich mit ihm nur eingelassen habe, um Zutritt ins Haus zu gewinnen. Es war dies die erste große Erschütterung seines Lebens. Er fährt dann wie unvermittelt fort:</w:t>
      </w:r>
    </w:p>
    <w:p w:rsidR="00822836" w:rsidRPr="00487290" w:rsidRDefault="00822836" w:rsidP="00822836">
      <w:pPr>
        <w:pStyle w:val="Sansinterligne"/>
        <w:rPr>
          <w:rFonts w:ascii="Garamond" w:hAnsi="Garamond"/>
          <w:lang w:val="en-US"/>
        </w:rPr>
      </w:pPr>
      <w:r w:rsidRPr="00487290">
        <w:rPr>
          <w:rFonts w:ascii="Garamond" w:hAnsi="Garamond"/>
          <w:lang w:val="en-US"/>
        </w:rPr>
        <w:t>B. Die infantile Sexualität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»Mein Sexualleben hat sehr früh begonnen. Ich erinnere mich einer Szene aus meinem 4. bis 5. Jahre (vom 6. Jahre an ist meine Erinnerung überhaupt vollständig), die mir Jahre später klar aufgetaucht ist. Wir hatten eine sehr schöne, junge Gouvernante, Fräulein Peter </w:t>
      </w:r>
      <w:hyperlink r:id="rId1124" w:history="1">
        <w:r w:rsidRPr="00487290">
          <w:rPr>
            <w:rStyle w:val="Lienhypertexte"/>
            <w:rFonts w:ascii="Garamond" w:hAnsi="Garamond"/>
            <w:lang w:val="en-US"/>
          </w:rPr>
          <w:t>[Fußnote]</w:t>
        </w:r>
        <w:r w:rsidRPr="00487290">
          <w:rPr>
            <w:rStyle w:val="innerfusslink"/>
            <w:rFonts w:ascii="Garamond" w:hAnsi="Garamond"/>
            <w:lang w:val="en-US"/>
          </w:rPr>
          <w:t xml:space="preserve">Der frühere Analytiker Dr. Alfred Adler gedachte einmal in einem privaten Vortrag der besonderen Bedeutung, welche den </w:t>
        </w:r>
        <w:r w:rsidRPr="00487290">
          <w:rPr>
            <w:rStyle w:val="innerfusslink"/>
            <w:rFonts w:ascii="Garamond" w:hAnsi="Garamond"/>
            <w:i/>
            <w:iCs/>
            <w:lang w:val="en-US"/>
          </w:rPr>
          <w:t>allerersten</w:t>
        </w:r>
        <w:r w:rsidRPr="00487290">
          <w:rPr>
            <w:rStyle w:val="innerfusslink"/>
            <w:rFonts w:ascii="Garamond" w:hAnsi="Garamond"/>
            <w:lang w:val="en-US"/>
          </w:rPr>
          <w:t xml:space="preserve"> Mitteilungen der Patienten zukommt. Hier ein Beleg dafür. Die einleitenden Worte des Patienten betonen den Einfluß, den Männer auf ihn ausüben, die Rolle der homosexuellen Objektwahl in seinem Leben, und lassen gleich darauf ein zweites Motiv anklingen, welches später bedeutsam hervortreten wird, den Konflikt und Interessengegensatz zwischen Mann und Weib. Auch daß er die erste schöne Gouvernante mit ihrem Familiennamen erinnert, welcher zufällig einem männlichen Vornamen gleicht, ist in diesen Zusammenhang aufzunehmen. In Wiener Bürgerkreisen pflegt man eine Gouvernante häufiger bei ihrem Vornamen zu nennen und behält eher diesen im Gedächtnis.</w:t>
        </w:r>
      </w:hyperlink>
      <w:r w:rsidRPr="00487290">
        <w:rPr>
          <w:rFonts w:ascii="Garamond" w:hAnsi="Garamond"/>
          <w:lang w:val="en-US"/>
        </w:rPr>
        <w:t xml:space="preserve">. Die lag eines Abends leicht bekleidet auf dem Sofa und las; ich lag neben ihr und bat sie um die Erlaubnis, unter ihre Röcke zu kriechen. Sie erlaubte es, wenn ich niemand etwas davon sagen würde. Sie hatte wenig an, und ich betastete sie an den Genitalien und am Leibe, der mir kurios vorkam. </w:t>
      </w:r>
      <w:r w:rsidRPr="00487290">
        <w:rPr>
          <w:rFonts w:ascii="Garamond" w:hAnsi="Garamond"/>
        </w:rPr>
        <w:t xml:space="preserve">Seitdem blieb mir eine brennende, peinigende Neugierde, den weiblichen Körper zu sehen. </w:t>
      </w:r>
      <w:r w:rsidRPr="00487290">
        <w:rPr>
          <w:rFonts w:ascii="Garamond" w:hAnsi="Garamond"/>
          <w:lang w:val="en-US"/>
        </w:rPr>
        <w:t xml:space="preserve">Ich weiß noch, mit welcher Spannung ich im Bade, wohin </w:t>
      </w:r>
      <w:r w:rsidRPr="00487290">
        <w:rPr>
          <w:rFonts w:ascii="Garamond" w:hAnsi="Garamond"/>
          <w:lang w:val="en-US"/>
        </w:rPr>
        <w:lastRenderedPageBreak/>
        <w:t xml:space="preserve">ich noch mit dem Fräulein und den Schwestern gehen durfte, darauf wartete, bis das Fräulein ausgekleidet ins Wasser stieg. An mehr erinnere ich mich vom 6. Jahre an. Wir hatten dann ein anderes Fräulein, auch jung und schön, die Abszesse am Gesäß hatte, welche sie abends auszudrücken pflegte. Ich lauerte auf diesen Moment, um meine Neugierde zu stillen. Ebenso im Bade, obwohl Fräulein Lina zurückhaltender war als die erste.« (Auf eine Zwischenfrage: »Ich schlief nicht regelmäßig in ihrem Zimmer, meist bei den Eltern.) Ich erinnere eine Szene, bei der ich 7 Jahre gewesen sein muß </w:t>
      </w:r>
      <w:hyperlink r:id="rId1125" w:history="1">
        <w:r w:rsidRPr="00487290">
          <w:rPr>
            <w:rStyle w:val="Lienhypertexte"/>
            <w:rFonts w:ascii="Garamond" w:hAnsi="Garamond"/>
            <w:lang w:val="en-US"/>
          </w:rPr>
          <w:t>[Fußnote]</w:t>
        </w:r>
        <w:r w:rsidRPr="00487290">
          <w:rPr>
            <w:rStyle w:val="innerfusslink"/>
            <w:rFonts w:ascii="Garamond" w:hAnsi="Garamond"/>
            <w:lang w:val="en-US"/>
          </w:rPr>
          <w:t>Er gibt später die Wahrscheinlichkeit zu, daß diese Szene 1 bis 2 Jahre später vorfiel.</w:t>
        </w:r>
      </w:hyperlink>
      <w:r w:rsidRPr="00487290">
        <w:rPr>
          <w:rFonts w:ascii="Garamond" w:hAnsi="Garamond"/>
          <w:lang w:val="en-US"/>
        </w:rPr>
        <w:t>. Wir saßen am Abend, das Fräulein, die Köchin, ein anderes Mädchen, ich und mein um ½ Jahre jüngerer Bruder, beisammen. Ich vernahm plötzlich aus dem Gespräch der Mädchen, wie Fräulein Lina sagte: Mit dem Kleinen könne man das schon machen, aber der Paul (ich) sei zu ungeschickt, er werde gewiß danebenfahren. Ich verstand nicht klar, was gemeint war, verstand aber die Zurücksetzung und begann zu weinen. Lina tröstete mich und erzählte mir, daß ein Mädchen, welches etwas Derartiges mit einem ihr anvertrauten Buben gemacht hatte, für mehrere Monate eingesperrt worden sei. Ich glaube nicht, daß sie etwas Unrechtes mit mir angestellt hat, aber ich nahm mir viel Freiheiten gegen sie heraus. Wenn ich zu ihr ins Bett kam, deckte ich sie auf und rührte sie an, was sie sich ruhig gefallen ließ. Sie war nicht sehr intelligent und offenbar geschlechtlich sehr bedürftig. 23 Jahre alt, hatte sie schon ein Kind gehabt, dessen Vater sie später heiratete, so daß sie heute Frau Hofrat heißt. Ich sehe sie noch oft auf der Straße.«</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»Ich habe schon mit 6 Jahren an Erektionen gelitten und weiß, daß ich einmal zur Mutter ging, um mich darüber zu beklagen. Ich weiß auch, daß ich dabei Bedenken zu überwinden hatte, denn ich ahnte den Zusammenhang mit meinen Vorstellungen und meiner Neugierde und hatte damals eine Zeitlang die krankhafte Idee, </w:t>
      </w:r>
      <w:r w:rsidRPr="00487290">
        <w:rPr>
          <w:rFonts w:ascii="Garamond" w:hAnsi="Garamond"/>
          <w:i/>
          <w:iCs/>
          <w:lang w:val="en-US"/>
        </w:rPr>
        <w:t>die Eltern wüßten meine Gedanken, was ich mir so erklärte, daß ich sie ausgesprochen, ohne es aber selbst zu hören</w:t>
      </w:r>
      <w:r w:rsidRPr="00487290">
        <w:rPr>
          <w:rFonts w:ascii="Garamond" w:hAnsi="Garamond"/>
          <w:lang w:val="en-US"/>
        </w:rPr>
        <w:t xml:space="preserve">. Ich sehe hierin den Beginn meiner Krankheit. Es gab Personen, Mädchen, die mir sehr gefielen und die ich mir dringendst </w:t>
      </w:r>
      <w:r w:rsidRPr="00487290">
        <w:rPr>
          <w:rFonts w:ascii="Garamond" w:hAnsi="Garamond"/>
          <w:i/>
          <w:iCs/>
          <w:lang w:val="en-US"/>
        </w:rPr>
        <w:t>nackt zu sehen</w:t>
      </w:r>
      <w:r w:rsidRPr="00487290">
        <w:rPr>
          <w:rFonts w:ascii="Garamond" w:hAnsi="Garamond"/>
          <w:lang w:val="en-US"/>
        </w:rPr>
        <w:t xml:space="preserve"> wünschte. Ich hatte aber bei diesen Wünschen </w:t>
      </w:r>
      <w:r w:rsidRPr="00487290">
        <w:rPr>
          <w:rFonts w:ascii="Garamond" w:hAnsi="Garamond"/>
          <w:i/>
          <w:iCs/>
          <w:lang w:val="en-US"/>
        </w:rPr>
        <w:t>ein unheimliches Gefühl, als müßte etwas geschehen, wenn ich das dächte, und ich müßte allerlei tun, um es zu verhindern</w:t>
      </w:r>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(Als Probe dieser Befürchtungen gibt er auf Befragen an: »Z. B. </w:t>
      </w:r>
      <w:r w:rsidRPr="00487290">
        <w:rPr>
          <w:rFonts w:ascii="Garamond" w:hAnsi="Garamond"/>
          <w:i/>
          <w:iCs/>
          <w:lang w:val="en-US"/>
        </w:rPr>
        <w:t>mein Vater würde sterben</w:t>
      </w:r>
      <w:r w:rsidRPr="00487290">
        <w:rPr>
          <w:rFonts w:ascii="Garamond" w:hAnsi="Garamond"/>
          <w:lang w:val="en-US"/>
        </w:rPr>
        <w:t>.«) »Gedanken an den Tod des Vaters haben mich frühzeitig und durch lange Zeit beschäftigt und sehr traurig gestimmt.«</w:t>
      </w:r>
    </w:p>
    <w:p w:rsidR="00822836" w:rsidRPr="00487290" w:rsidRDefault="00822836" w:rsidP="00822836">
      <w:pPr>
        <w:pStyle w:val="Sansinterligne"/>
        <w:rPr>
          <w:rFonts w:ascii="Garamond" w:hAnsi="Garamond"/>
          <w:lang w:val="en-US"/>
        </w:rPr>
      </w:pPr>
      <w:r w:rsidRPr="00487290">
        <w:rPr>
          <w:rFonts w:ascii="Garamond" w:hAnsi="Garamond"/>
          <w:lang w:val="en-US"/>
        </w:rPr>
        <w:t>Ich vernehme bei dieser Gelegenheit mit Erstaunen, daß sein Vater, um den sich doch seine heutigen Zwangsbefürchtungen kümmern, schon vor mehreren Jahren gestorben ist.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Was unser Patient in der ersten Stunde der Behandlung aus seinem 6. oder 7. Jahre schildert, ist nicht nur, wie er meint, der Beginn der Krankheit, sondern bereits die Krankheit selbst. Eine vollständige Zwangsneurose, der kein wesentliches Element mehr abgeht, zugleich der Kern und das Vorbild des späteren Leidens, der Elementarorganismus gleichsam, dessen Studium allein uns das Verhältnis der komplizierten Organisation der heutigen Erkrankung vermitteln kann. Wir sehen das Kind unter der Herrschaft einer sexuellen Triebkomponente, der Schaulust, deren Ergebnis der mit großer Intensität immer wieder von neuem auftretende Wunsch ist, weibliche Personen, die ihm gefallen, nackt zu sehen. Dieser Wunsch entspricht der späteren Zwangsidee; wenn er den Zwangscharakter noch nicht hat, so kommt dies daher, daß das Ich sich noch nicht in vollen Widerspruch zu ihm gesetzt hat, ihn nicht als fremd verspürt, doch regt sich bereits von irgendwoher ein Widerspruch gegen diesen Wunsch, denn ein peinlicher Affekt begleitet regelmäßig das Auftauchen desselben </w:t>
      </w:r>
      <w:hyperlink r:id="rId1126" w:history="1">
        <w:r w:rsidRPr="00487290">
          <w:rPr>
            <w:rStyle w:val="Lienhypertexte"/>
            <w:rFonts w:ascii="Garamond" w:hAnsi="Garamond"/>
            <w:lang w:val="en-US"/>
          </w:rPr>
          <w:t>[Fußnote]</w:t>
        </w:r>
        <w:r w:rsidRPr="00487290">
          <w:rPr>
            <w:rStyle w:val="innerfusslink"/>
            <w:rFonts w:ascii="Garamond" w:hAnsi="Garamond"/>
            <w:lang w:val="en-US"/>
          </w:rPr>
          <w:t>Es sei daran erinnert, daß man den Versuch gemacht hat, Zwangsvorstellungen ohne Rücksicht auf die Affektivität zu erklären!</w:t>
        </w:r>
      </w:hyperlink>
      <w:r w:rsidRPr="00487290">
        <w:rPr>
          <w:rFonts w:ascii="Garamond" w:hAnsi="Garamond"/>
          <w:lang w:val="en-US"/>
        </w:rPr>
        <w:t xml:space="preserve">. Ein Konflikt ist offenbar in dem Seelenleben des kleinen Lüsternen vorhanden; neben dem Zwangswunsch steht eine Zwangsbefürchtung innig an den Wunsch geknüpft: sooft er so etwas denkt, muß er fürchten, es werde etwas Schreckliches geschehen. Dies Schreckliche kleidet sich bereits in eine charakteristische Unbestimmtheit, die fortan in den Äußerungen der Neurose niemals fehlen wird. Doch ist es beim Kinde nicht schwer, das durch solche Unbestimmtheit Verhüllte aufzufinden. Kann man für irgend eine der verschwommenen Allgemeinheiten der Zwangsneurose ein Beispiel erfahren, so sei man sicher, dies Beispiel ist das Ursprüngliche und Eigentliche selbst, das durch die Verallgemeinerung versteckt werden sollte. Die Zwangsbefürchtung lautete also, ihrem Sinne nach wiederhergestellt: »Wenn ich den Wunsch habe, eine Frau nackt zu sehen, muß mein Vater sterben.« Der peinliche Affekt nimmt deutlich die Färbung des Unheimlichen, Abergläubischen an und gibt bereits Impulsen den Ursprung, etwas zur Abwendung des Unheiles zu tun, wie sie sich in den späteren </w:t>
      </w:r>
      <w:r w:rsidRPr="00487290">
        <w:rPr>
          <w:rFonts w:ascii="Garamond" w:hAnsi="Garamond"/>
          <w:i/>
          <w:iCs/>
          <w:lang w:val="en-US"/>
        </w:rPr>
        <w:t>Schutzmaßregeln</w:t>
      </w:r>
      <w:r w:rsidRPr="00487290">
        <w:rPr>
          <w:rFonts w:ascii="Garamond" w:hAnsi="Garamond"/>
          <w:lang w:val="en-US"/>
        </w:rPr>
        <w:t xml:space="preserve"> durchsetzen werden.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Also: ein erotischer Trieb und eine Auflehnung gegen ihn, ein (noch nicht zwanghafter) Wunsch und eine (bereits zwanghafte) ihr widerstrebende Befürchtung, ein peinlicher Affekt und ein Drang zu Abwehrhandlungen; das Inventar der Neurose ist vollzählig. Ja, es ist noch etwas anderes vorhanden, eine Art von </w:t>
      </w:r>
      <w:r w:rsidRPr="00487290">
        <w:rPr>
          <w:rFonts w:ascii="Garamond" w:hAnsi="Garamond"/>
          <w:i/>
          <w:iCs/>
          <w:lang w:val="en-US"/>
        </w:rPr>
        <w:t>Delir-</w:t>
      </w:r>
      <w:r w:rsidRPr="00487290">
        <w:rPr>
          <w:rFonts w:ascii="Garamond" w:hAnsi="Garamond"/>
          <w:lang w:val="en-US"/>
        </w:rPr>
        <w:t xml:space="preserve"> oder </w:t>
      </w:r>
      <w:r w:rsidRPr="00487290">
        <w:rPr>
          <w:rFonts w:ascii="Garamond" w:hAnsi="Garamond"/>
          <w:i/>
          <w:iCs/>
          <w:lang w:val="en-US"/>
        </w:rPr>
        <w:t>Wahnbildung</w:t>
      </w:r>
      <w:r w:rsidRPr="00487290">
        <w:rPr>
          <w:rFonts w:ascii="Garamond" w:hAnsi="Garamond"/>
          <w:lang w:val="en-US"/>
        </w:rPr>
        <w:t xml:space="preserve"> sonderbaren Inhalts: die Eltern wüßten seine Gedanken, weil er sie ausspreche, ohne sie selbst zu hören. Wir werden kaum irregehen, wenn wir in diesem kindlichen </w:t>
      </w:r>
      <w:r w:rsidRPr="00487290">
        <w:rPr>
          <w:rFonts w:ascii="Garamond" w:hAnsi="Garamond"/>
          <w:lang w:val="en-US"/>
        </w:rPr>
        <w:lastRenderedPageBreak/>
        <w:t>Erklärungsversuch eine Ahnung jener merkwürdigen seelischen Vorgänge vernehmen, die wir unbewußte heißen und deren wir zur wissenschaftlichen Aufhellung des dunklen Sachverhaltes nicht entraten können. »Ich spreche meine Gedanken aus, ohne sie zu hören«, klingt wie eine Projektion nach außen unserer eigenen Annahme, daß er Gedanken hat, ohne etwas von ihnen zu wissen, wie eine endopsychische Wahrnehmung des Verdrängten.</w:t>
      </w:r>
    </w:p>
    <w:p w:rsidR="00822836" w:rsidRPr="00487290" w:rsidRDefault="00822836" w:rsidP="00822836">
      <w:pPr>
        <w:pStyle w:val="Sansinterligne"/>
        <w:rPr>
          <w:rFonts w:ascii="Garamond" w:hAnsi="Garamond"/>
          <w:lang w:val="en-US"/>
        </w:rPr>
      </w:pPr>
      <w:r w:rsidRPr="00487290">
        <w:rPr>
          <w:rFonts w:ascii="Garamond" w:hAnsi="Garamond"/>
          <w:lang w:val="en-US"/>
        </w:rPr>
        <w:t>Wir erkennen es nämlich klar: Diese infantile Elementarneurose hat bereits ihr Problem und ihre scheinbare Absurdität wie jede komplizierte Neurose eines Erwachsenen. Was soll es heißen, daß der Vater sterben muß, wenn im Kinde jener lüsterne Wunsch rege wird? Ist das barer Unsinn, oder gibt es Wege, diesen Satz zu verstehen, ihn als notwendiges Ergebnis früherer Vorgänge und Voraussetzungen zu erfassen?</w:t>
      </w:r>
    </w:p>
    <w:p w:rsidR="00822836" w:rsidRPr="00487290" w:rsidRDefault="00822836" w:rsidP="00822836">
      <w:pPr>
        <w:pStyle w:val="Sansinterligne"/>
        <w:rPr>
          <w:rFonts w:ascii="Garamond" w:hAnsi="Garamond"/>
          <w:lang w:val="en-US"/>
        </w:rPr>
      </w:pPr>
      <w:r w:rsidRPr="00487290">
        <w:rPr>
          <w:rFonts w:ascii="Garamond" w:hAnsi="Garamond"/>
          <w:lang w:val="en-US"/>
        </w:rPr>
        <w:t>Wenn wir anderswo gewonnene Einsichten auf diesen Fall von Kinderneurose anwenden, so müssen wir vermuten, daß auch hier, also vor dem 6. Jahre, traumatische Erlebnisse, Konflikte und Verdrängungen vorgefallen sind, die selbst der Amnesie verfielen, aber als Residuum diesen Inhalt der Zwangsbefürchtung zurückgelassen haben. Wir werden späterhin erfahren, wieweit es uns möglich ist, diese vergessenen Erlebnisse wieder aufzufinden oder mit einiger Sicherheit zu konstruieren. Unterdes wollen wir noch als ein wahrscheinlich nicht gleichgültiges Zusammentreffen betonen, daß die Kindheitsamnesie unseres Patienten gerade mit dem 6. Jahre ihr Ende erreicht.</w:t>
      </w:r>
    </w:p>
    <w:p w:rsidR="00822836" w:rsidRPr="00487290" w:rsidRDefault="00822836" w:rsidP="00822836">
      <w:pPr>
        <w:pStyle w:val="Sansinterligne"/>
        <w:rPr>
          <w:rFonts w:ascii="Garamond" w:hAnsi="Garamond"/>
        </w:rPr>
      </w:pPr>
      <w:r w:rsidRPr="00487290">
        <w:rPr>
          <w:rFonts w:ascii="Garamond" w:hAnsi="Garamond"/>
          <w:lang w:val="en-US"/>
        </w:rPr>
        <w:t xml:space="preserve">Einen derartigen Beginn einer chronischen Zwangsneurose in der frühen Kindheit mit solch lüsternen Wünschen, an die unheimliche Erwartungen und Neigung zu Abwehrhandlungen geknüpft sind, kenne ich von mehreren anderen Fällen. Er ist absolut typisch, wenn auch wahrscheinlich nicht der einzig mögliche Typus. Noch ein Wort über die sexuellen Früherlebnisse des Patienten, ehe wir zum Inhalte der zweiten Sitzung übergehen. Man wird sich kaum sträuben, sie als besonders reichhaltig und wirkungsvoll zu bezeichnen. So ist es aber auch in den andern Fällen von Zwangsneurose, die ich analysieren konnte. </w:t>
      </w:r>
      <w:r w:rsidRPr="00487290">
        <w:rPr>
          <w:rFonts w:ascii="Garamond" w:hAnsi="Garamond"/>
        </w:rPr>
        <w:t>Der Charakter der vorzeitigen sexuellen Aktivität wird im Gegensatze zur Hysterie hier niemals vermißt. Die Zwangsneurose läßt viel deutlicher als die Hysterie erkennen, daß die Momente, welche die Psychoneurose formen, nicht im aktuellen, sondern im infantilen Sexualleben zu suchen sind. Das gegenwärtige Sexualleben der Zwangsneurotiker kann dem oberflächlichen Erforscher oft völlig normal erscheinen; es bietet häufig weit weniger pathogene Momente und Abnormitäten als gerade bei unserem Patienten.</w:t>
      </w:r>
    </w:p>
    <w:p w:rsidR="00822836" w:rsidRPr="00487290" w:rsidRDefault="00822836" w:rsidP="00822836">
      <w:pPr>
        <w:pStyle w:val="Sansinterligne"/>
        <w:rPr>
          <w:rFonts w:ascii="Garamond" w:hAnsi="Garamond"/>
          <w:lang w:val="en-US"/>
        </w:rPr>
      </w:pPr>
      <w:r w:rsidRPr="00487290">
        <w:rPr>
          <w:rFonts w:ascii="Garamond" w:hAnsi="Garamond"/>
          <w:lang w:val="en-US"/>
        </w:rPr>
        <w:t>C. Die große Zwangsbefürchtung</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»Ich denke, heute will ich mit dem Erlebnisse beginnen, welches der direkte Anlaß für mich war, Sie aufzusuchen. Es war im August während der Waffenübung in ***. Ich war vorher elend und hatte mich mit allerlei Zwangsgedanken gequält, die aber während der Übung bald zurücktraten. Es hat mich interessiert, den Berufsoffizieren zu zeigen, daß man nicht nur etwas gelernt hat, sondern auch etwas aushalten kann. Eines Tages machten wir einen kleinen Marsch von ** aus. Auf der Rast verlor ich meinen Zwicker, und obwohl ich ihn leicht hätte finden können, wollte ich doch den Aufbruch nicht verzögern und verzichtete auf ihn, telegraphierte aber an meinen Optiker nach Wien, er solle mir umgehend einen Ersatz schicken. Auf derselben Rast nahm ich Platz zwischen zwei Offizieren, von denen einer, ein Hauptmann mit tschechischem Namen, für mich bedeutungsvoll werden sollte. Ich hatte eine gewisse Angst vor dem Manne, </w:t>
      </w:r>
      <w:r w:rsidRPr="00487290">
        <w:rPr>
          <w:rFonts w:ascii="Garamond" w:hAnsi="Garamond"/>
          <w:i/>
          <w:iCs/>
          <w:lang w:val="en-US"/>
        </w:rPr>
        <w:t>denn er liebte offenbar das Grausame</w:t>
      </w:r>
      <w:r w:rsidRPr="00487290">
        <w:rPr>
          <w:rFonts w:ascii="Garamond" w:hAnsi="Garamond"/>
          <w:lang w:val="en-US"/>
        </w:rPr>
        <w:t>. Ich will nicht behaupten, daß er schlecht war, aber er war während der Offiziersmenage wiederholt für die Einführung der Prügelstrafe eingetreten, so daß ich ihm energisch hatte widersprechen müssen. Auf dieser Rast nun kamen wir ins Gespräch, und der Hauptmann erzählte, daß er von einer besonders schrecklichen Strafe im Orient gelesen habe . . .«</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Hier unterbricht er sich, steht auf und bittet mich, ihm die Schilderung der Details zu erlassen. Ich versichere ihm, daß ich selbst gar keine Neigung zur Grausamkeit habe, ihn gewiß nicht gerne quälen wolle, daß ich ihm natürlich aber nichts schenken könne, worüber ich keine Verfügung habe. Ebensogut könne er mich bitten, ihm zwei Kometen zu schenken. Die Überwindung von Widerständen sei ein Gebot der Kur, über das wir uns unmöglich hinwegsetzen könnten. (Den Begriff »Widerstand« hatte ich ihm zu Anfang dieser Stunde vorgetragen, als er sagte, er habe vieles in sich zu überwinden, wenn er sein Erlebnis mitteilen solle.) Ich fuhr fort: Was ich aber tun könnte, um etwas von ihm Angedeutetes voll zu erraten, das solle geschehen. Ob er etwa die Pfählung meine? – Nein, das nicht, sondern der Verurteilte werde angebunden – (er drückte sich so undeutlich aus, daß ich nicht sogleich erraten konnte, in welcher Stellung) – über sein Gesäß ein Topf gestülpt, in diesen dann </w:t>
      </w:r>
      <w:r w:rsidRPr="00487290">
        <w:rPr>
          <w:rFonts w:ascii="Garamond" w:hAnsi="Garamond"/>
          <w:i/>
          <w:iCs/>
          <w:lang w:val="en-US"/>
        </w:rPr>
        <w:t>Ratten</w:t>
      </w:r>
      <w:r w:rsidRPr="00487290">
        <w:rPr>
          <w:rFonts w:ascii="Garamond" w:hAnsi="Garamond"/>
          <w:lang w:val="en-US"/>
        </w:rPr>
        <w:t xml:space="preserve"> eingelassen, die sich – er war wieder aufgestanden und gab alle Zeichen des Grausens und Widerstandes von sich – </w:t>
      </w:r>
      <w:r w:rsidRPr="00487290">
        <w:rPr>
          <w:rFonts w:ascii="Garamond" w:hAnsi="Garamond"/>
          <w:i/>
          <w:iCs/>
          <w:lang w:val="en-US"/>
        </w:rPr>
        <w:t>einbohrten</w:t>
      </w:r>
      <w:r w:rsidRPr="00487290">
        <w:rPr>
          <w:rFonts w:ascii="Garamond" w:hAnsi="Garamond"/>
          <w:lang w:val="en-US"/>
        </w:rPr>
        <w:t>. In den After, durfte ich ergänzen.</w:t>
      </w:r>
    </w:p>
    <w:p w:rsidR="00822836" w:rsidRPr="00487290" w:rsidRDefault="00822836" w:rsidP="00822836">
      <w:pPr>
        <w:pStyle w:val="Sansinterligne"/>
        <w:rPr>
          <w:rFonts w:ascii="Garamond" w:hAnsi="Garamond"/>
          <w:lang w:val="en-US"/>
        </w:rPr>
      </w:pPr>
      <w:r w:rsidRPr="00487290">
        <w:rPr>
          <w:rFonts w:ascii="Garamond" w:hAnsi="Garamond"/>
          <w:lang w:val="en-US"/>
        </w:rPr>
        <w:lastRenderedPageBreak/>
        <w:t xml:space="preserve">Bei allen wichtigeren Momenten der Erzählung merkt man an ihm einen sehr sonderbar zusammengesetzten Gesichtsausdruck, den ich nur als </w:t>
      </w:r>
      <w:r w:rsidRPr="00487290">
        <w:rPr>
          <w:rFonts w:ascii="Garamond" w:hAnsi="Garamond"/>
          <w:i/>
          <w:iCs/>
          <w:lang w:val="en-US"/>
        </w:rPr>
        <w:t>Grausen vor seiner ihm selbst unbekannten Lust</w:t>
      </w:r>
      <w:r w:rsidRPr="00487290">
        <w:rPr>
          <w:rFonts w:ascii="Garamond" w:hAnsi="Garamond"/>
          <w:lang w:val="en-US"/>
        </w:rPr>
        <w:t xml:space="preserve"> auflösen kann. Er fährt mit allen Schwierigkeiten fort: »In dem Momente durchzuckte mich die </w:t>
      </w:r>
      <w:r w:rsidRPr="00487290">
        <w:rPr>
          <w:rFonts w:ascii="Garamond" w:hAnsi="Garamond"/>
          <w:i/>
          <w:iCs/>
          <w:lang w:val="en-US"/>
        </w:rPr>
        <w:t>Vorstellung, daß dies mit einer mir teuren Person geschehe</w:t>
      </w:r>
      <w:r w:rsidRPr="00487290">
        <w:rPr>
          <w:rFonts w:ascii="Garamond" w:hAnsi="Garamond"/>
          <w:lang w:val="en-US"/>
        </w:rPr>
        <w:t xml:space="preserve">.« </w:t>
      </w:r>
      <w:hyperlink r:id="rId1127" w:history="1">
        <w:r w:rsidRPr="00487290">
          <w:rPr>
            <w:rStyle w:val="Lienhypertexte"/>
            <w:rFonts w:ascii="Garamond" w:hAnsi="Garamond"/>
            <w:lang w:val="en-US"/>
          </w:rPr>
          <w:t>[Fußnote]</w:t>
        </w:r>
        <w:r w:rsidRPr="00487290">
          <w:rPr>
            <w:rStyle w:val="innerfusslink"/>
            <w:rFonts w:ascii="Garamond" w:hAnsi="Garamond"/>
            <w:lang w:val="en-US"/>
          </w:rPr>
          <w:t xml:space="preserve">Er sagt: Vorstellung; die stärkere und wichtigere Bezeichnung </w:t>
        </w:r>
        <w:r w:rsidRPr="00487290">
          <w:rPr>
            <w:rStyle w:val="innerfusslink"/>
            <w:rFonts w:ascii="Garamond" w:hAnsi="Garamond"/>
            <w:i/>
            <w:iCs/>
            <w:lang w:val="en-US"/>
          </w:rPr>
          <w:t>Wunsch</w:t>
        </w:r>
        <w:r w:rsidRPr="00487290">
          <w:rPr>
            <w:rStyle w:val="innerfusslink"/>
            <w:rFonts w:ascii="Garamond" w:hAnsi="Garamond"/>
            <w:lang w:val="en-US"/>
          </w:rPr>
          <w:t xml:space="preserve"> respektive </w:t>
        </w:r>
        <w:r w:rsidRPr="00487290">
          <w:rPr>
            <w:rStyle w:val="innerfusslink"/>
            <w:rFonts w:ascii="Garamond" w:hAnsi="Garamond"/>
            <w:i/>
            <w:iCs/>
            <w:lang w:val="en-US"/>
          </w:rPr>
          <w:t>Befürchtung</w:t>
        </w:r>
        <w:r w:rsidRPr="00487290">
          <w:rPr>
            <w:rStyle w:val="innerfusslink"/>
            <w:rFonts w:ascii="Garamond" w:hAnsi="Garamond"/>
            <w:lang w:val="en-US"/>
          </w:rPr>
          <w:t xml:space="preserve"> ist offenbar durch Zensur gedeckt. Die eigentümliche Unbestimmtheit aller seiner Reden kann ich leider nicht wiedergeben.</w:t>
        </w:r>
      </w:hyperlink>
      <w:r w:rsidRPr="00487290">
        <w:rPr>
          <w:rFonts w:ascii="Garamond" w:hAnsi="Garamond"/>
          <w:lang w:val="en-US"/>
        </w:rPr>
        <w:t xml:space="preserve"> Auf direktes Befragen gibt er an, daß nicht etwa er selbst diese Strafe vollziehe, sondern daß sie unpersönlich an ihr vollzogen werde. Nach kurzem Raten weiß ich, daß es die von ihm verehrte Dame war, auf die sich jene »Vorstellung« bezog.</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Er unterbricht die Erzählung, um mir zu versichern, wie fremd und feindselig sich diese Gedanken ihm gegenüberstellen und mit welch außerordentlicher Raschheit alles in ihm abläuft, was sich weiter an sie knüpft. Mit der Idee gleichzeitig ist auch stets die »Sanktion« da, d. h. die Abwehrmaßregel, der er folgen muß, damit sich eine solche Phantasie nicht erfülle. Als der Hauptmann von jener gräßlichen Strafe sprach und jene Ideen in ihm aufstiegen, gelang es ihm, sich </w:t>
      </w:r>
      <w:r w:rsidRPr="00487290">
        <w:rPr>
          <w:rFonts w:ascii="Garamond" w:hAnsi="Garamond"/>
          <w:i/>
          <w:iCs/>
          <w:lang w:val="en-US"/>
        </w:rPr>
        <w:t>beider</w:t>
      </w:r>
      <w:r w:rsidRPr="00487290">
        <w:rPr>
          <w:rFonts w:ascii="Garamond" w:hAnsi="Garamond"/>
          <w:lang w:val="en-US"/>
        </w:rPr>
        <w:t xml:space="preserve"> noch mit seinen gewöhnlichen Formeln zu erwehren, mit einem »aber«, das von einer wegwerfenden Handbewegung begleitet ist, und mit der Rede »Was fällt dir denn ein«.</w:t>
      </w:r>
    </w:p>
    <w:p w:rsidR="00822836" w:rsidRPr="00487290" w:rsidRDefault="00822836" w:rsidP="00822836">
      <w:pPr>
        <w:pStyle w:val="Sansinterligne"/>
        <w:rPr>
          <w:rFonts w:ascii="Garamond" w:hAnsi="Garamond"/>
          <w:lang w:val="en-US"/>
        </w:rPr>
      </w:pPr>
      <w:r w:rsidRPr="00487290">
        <w:rPr>
          <w:rFonts w:ascii="Garamond" w:hAnsi="Garamond"/>
          <w:lang w:val="en-US"/>
        </w:rPr>
        <w:t>Der Plural machte mich stutzig, so wie er auch dem Leser unverständlich geblieben sein wird. Wir haben ja bisher nur von der einen Idee gehört, daß an der Dame die Rattenstrafe vollzogen werde. Nun muß er zugestehen, daß gleichzeitig die andere Idee in ihm auftauchte, die Strafe treffe auch seinen Vater. Da sein Vater vor vielen Jahren gestorben ist, diese Zwangsbefürchtung also noch viel unsinniger ist als die erste, versuchte sie sich noch eine Weile vor dem Eingeständnis zu bergen.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Am nächsten Abend überreichte ihm derselbe Hauptmann ein mit der Post angelangtes Paket und sagte: »Der Oberleutnant A. </w:t>
      </w:r>
      <w:hyperlink r:id="rId1128" w:history="1">
        <w:r w:rsidRPr="00487290">
          <w:rPr>
            <w:rStyle w:val="Lienhypertexte"/>
            <w:rFonts w:ascii="Garamond" w:hAnsi="Garamond"/>
            <w:lang w:val="en-US"/>
          </w:rPr>
          <w:t>[Fußnote]</w:t>
        </w:r>
        <w:r w:rsidRPr="00487290">
          <w:rPr>
            <w:rStyle w:val="innerfusslink"/>
            <w:rFonts w:ascii="Garamond" w:hAnsi="Garamond"/>
            <w:lang w:val="en-US"/>
          </w:rPr>
          <w:t>Die Namen sind hier fast indifferent.</w:t>
        </w:r>
      </w:hyperlink>
      <w:r w:rsidRPr="00487290">
        <w:rPr>
          <w:rFonts w:ascii="Garamond" w:hAnsi="Garamond"/>
          <w:lang w:val="en-US"/>
        </w:rPr>
        <w:t xml:space="preserve"> </w:t>
      </w:r>
      <w:r w:rsidRPr="00487290">
        <w:rPr>
          <w:rFonts w:ascii="Garamond" w:hAnsi="Garamond"/>
        </w:rPr>
        <w:t xml:space="preserve">hat die Nachnahme für dich ausgelegt. Du mußt sie ihm zurückgeben.« </w:t>
      </w:r>
      <w:r w:rsidRPr="00487290">
        <w:rPr>
          <w:rFonts w:ascii="Garamond" w:hAnsi="Garamond"/>
          <w:lang w:val="en-US"/>
        </w:rPr>
        <w:t xml:space="preserve">In dem Paket befand sich der telegraphisch bestellte Zwicker. In dem Moment aber gestaltete sich ihm eine »Sanktion«: </w:t>
      </w:r>
      <w:r w:rsidRPr="00487290">
        <w:rPr>
          <w:rFonts w:ascii="Garamond" w:hAnsi="Garamond"/>
          <w:i/>
          <w:iCs/>
          <w:lang w:val="en-US"/>
        </w:rPr>
        <w:t>Nicht das Geld zurückgeben</w:t>
      </w:r>
      <w:r w:rsidRPr="00487290">
        <w:rPr>
          <w:rFonts w:ascii="Garamond" w:hAnsi="Garamond"/>
          <w:lang w:val="en-US"/>
        </w:rPr>
        <w:t xml:space="preserve">, sonst geschieht das (d. h. die Phantasie von den Ratten verwirkliche sich an Vater und Dame). Und nach einem ihm bekannten Typus erhob sich sofort zur Bekämpfung dieser Sanktion ein Gebot wie ein Eidschwur: » </w:t>
      </w:r>
      <w:r w:rsidRPr="00487290">
        <w:rPr>
          <w:rFonts w:ascii="Garamond" w:hAnsi="Garamond"/>
          <w:i/>
          <w:iCs/>
          <w:lang w:val="en-US"/>
        </w:rPr>
        <w:t>Du mußt dem Oberleutnant A. die Kronen 3.80 zurückgeben</w:t>
      </w:r>
      <w:r w:rsidRPr="00487290">
        <w:rPr>
          <w:rFonts w:ascii="Garamond" w:hAnsi="Garamond"/>
          <w:lang w:val="en-US"/>
        </w:rPr>
        <w:t>«, was er beinahe halblaut vor sich hinsagte.</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Zwei Tage später hatte die Waffenübung ihr Ende gefunden. Die Zeit bis dahin füllte er mit Bemühungen aus, dem Oberleutnant A. die kleine Summe zurückzustellen, wogegen sich immer mehr Schwierigkeiten anscheinend </w:t>
      </w:r>
      <w:r w:rsidRPr="00487290">
        <w:rPr>
          <w:rFonts w:ascii="Garamond" w:hAnsi="Garamond"/>
          <w:i/>
          <w:iCs/>
          <w:lang w:val="en-US"/>
        </w:rPr>
        <w:t>objektiver</w:t>
      </w:r>
      <w:r w:rsidRPr="00487290">
        <w:rPr>
          <w:rFonts w:ascii="Garamond" w:hAnsi="Garamond"/>
          <w:lang w:val="en-US"/>
        </w:rPr>
        <w:t xml:space="preserve"> Natur erhoben. Zunächst versuchte er die Zahlung durch einen andern Offizier zu leisten, der zur Post ging, war aber sehr froh, als dieser ihm das Geld mit der Erklärung zurückbrachte, er habe den Oberleutnant A. nicht auf der Post angetroffen, denn dieser Modus der Eiderfüllung befriedigte ihn nicht, weil er dem Wortlaute: » </w:t>
      </w:r>
      <w:r w:rsidRPr="00487290">
        <w:rPr>
          <w:rFonts w:ascii="Garamond" w:hAnsi="Garamond"/>
          <w:i/>
          <w:iCs/>
          <w:lang w:val="en-US"/>
        </w:rPr>
        <w:t>Du</w:t>
      </w:r>
      <w:r w:rsidRPr="00487290">
        <w:rPr>
          <w:rFonts w:ascii="Garamond" w:hAnsi="Garamond"/>
          <w:lang w:val="en-US"/>
        </w:rPr>
        <w:t xml:space="preserve"> mußt dem Oberleutnant A. das Geld zurückgeben«, nicht entsprach. Endlich traf er die gesuchte Person A., die aber das Geld mit dem Bemerken zurückwies, sie habe nichts für ihn ausgelegt, sie habe überhaupt nicht die Post, sondern Oberleutnant B. Er war nun sehr betroffen, daß er seinen Eid nicht halten könne, weil dessen Voraussetzung falsch sei, und klügelte sich sehr sonderbare Auskünfte aus: Er werde mit beiden Herren A. und B. zur Post gehen, dort werde A. dem Postfräulein Kronen 3.80 geben, das Postfräulein diese dem B., und er werde nach dem Wortlaute des Eides dann dem A. die Kronen 3.80 zurückgeben.</w:t>
      </w:r>
    </w:p>
    <w:p w:rsidR="00822836" w:rsidRPr="00487290" w:rsidRDefault="00822836" w:rsidP="00822836">
      <w:pPr>
        <w:pStyle w:val="Sansinterligne"/>
        <w:rPr>
          <w:rFonts w:ascii="Garamond" w:hAnsi="Garamond"/>
          <w:lang w:val="en-US"/>
        </w:rPr>
      </w:pPr>
      <w:r w:rsidRPr="00487290">
        <w:rPr>
          <w:rFonts w:ascii="Garamond" w:hAnsi="Garamond"/>
          <w:lang w:val="en-US"/>
        </w:rPr>
        <w:t>Ich werde mich nicht verwundern, wenn das Verständnis der Leser an dieser Stelle versagt, denn auch die ausführliche Darstellung, die mir der Patient von den äußeren Vorgängen dieser Tage und seiner Reaktionen auf sie gab, litt an inneren Widersprüchen und klang heillos verworren. Erst bei einer dritten Erzählung gelang es, ihn zur Einsicht in diese Unklarheiten zu bringen und die Erinnerungstäuschungen und Verschiebungen bloßzulegen, in die er sich begeben hatte. Ich erspare mir die Wiedergabe dieser Details, von denen wir das Wesentliche bald nachholen können, und bemerke noch, daß er sich am Ende dieser zweiten Sitzung wie betäubt und verworren benahm. Er sprach mich wiederholt »Herr Hauptmann« an, wahrscheinlich, weil ich zu Eingang der Stunde bemerkt hatte, ich sei selbst kein Grausamer wie der Hauptmann M. und habe nicht die Absicht, ihn unnötigerweise zu quälen.</w:t>
      </w:r>
    </w:p>
    <w:p w:rsidR="00822836" w:rsidRPr="00487290" w:rsidRDefault="00822836" w:rsidP="00822836">
      <w:pPr>
        <w:pStyle w:val="Sansinterligne"/>
        <w:rPr>
          <w:rFonts w:ascii="Garamond" w:hAnsi="Garamond"/>
          <w:lang w:val="en-US"/>
        </w:rPr>
      </w:pPr>
      <w:r w:rsidRPr="00487290">
        <w:rPr>
          <w:rFonts w:ascii="Garamond" w:hAnsi="Garamond"/>
          <w:lang w:val="en-US"/>
        </w:rPr>
        <w:t>Ich erhielt von ihm in dieser Stunde nur noch die Aufklärung, daß er von Anfang an, auch bei allen früheren Befürchtungen, daß seinen Lieben etwas geschehen werde, diese Strafen nicht allein in die Zeitlichkeit, sondern auch in die Ewigkeit, ins Jenseits verlegt habe. Er war bis zum 14. oder 15. Jahre sehr gewissenhaft religiös gewesen, von wo an er sich bis zu seinem heutigen Freidenkertum entwickelt hatte. Er gleiche den Widerspruch aus, indem er sich sage: »Was weißt du vom Leben im Jenseits? Was wissen die anderen davon? Man kann ja doch nichts wissen, du riskierst ja nichts, also tu's.« Diese Schlußweise hält der sonst so scharfsinnige Mann für einwandfrei und nutzt die Unsicherheit der Vernunft in dieser Frage solcherart zugunsten der überwundenen frommen Weltanschauung aus.</w:t>
      </w:r>
    </w:p>
    <w:p w:rsidR="00822836" w:rsidRPr="00487290" w:rsidRDefault="00822836" w:rsidP="00822836">
      <w:pPr>
        <w:pStyle w:val="Sansinterligne"/>
        <w:rPr>
          <w:rFonts w:ascii="Garamond" w:hAnsi="Garamond"/>
          <w:lang w:val="en-US"/>
        </w:rPr>
      </w:pPr>
      <w:r w:rsidRPr="00487290">
        <w:rPr>
          <w:rFonts w:ascii="Garamond" w:hAnsi="Garamond"/>
          <w:lang w:val="en-US"/>
        </w:rPr>
        <w:lastRenderedPageBreak/>
        <w:t xml:space="preserve">In der dritten Sitzung beendigt er die sehr charakteristische Erzählung seiner Bemühungen, den Zwangseid zu erfüllen: Am Abende fand die letzte Zusammenkunft der Offiziere vor dem Schlusse der Waffenübung statt. Ihm fiel es zu, für den Toast auf »die Herren von der Reserve« zu danken. Er sprach gut, aber wie im Schlafwandel, denn im Hintergrunde plagte ihn immer sein Eid. Die Nacht war entsetzlich; Argumente und Gegenargumente bekämpften einander; Hauptargument war natürlich, daß die Voraussetzung seines Eides, Oberleutnant A. habe das Geld für ihn gezahlt, ja nicht zuträfe. Aber er tröstete sich damit, daß es ja noch nicht vorüber sei, da A. den morgigen Ritt zur Bahnstation P. bis zu einer gewissen Stelle mitmachen werde, so daß er Zeit haben werde, ihn um die Gefälligkeit anzusprechen. Er tat es nun nicht, ließ A. abschwenken, gab aber doch seinem Burschen den Auftrag, ihm seinen Besuch für den Nachmittag anzukündigen. Er selbst gelangte um ½10 Uhr vormittags zum Bahnhofe, legte sein Gepäck ab, machte in der kleinen Stadt allerlei Besorgungen und nahm sich vor, darauf den Besuch bei A. zu machen. Das Dorf, in dem A. stationiert war, lag etwa eine Stunde mit dem Wagen von der Stadt P. entfernt. Die Eisenbahnfahrt nach dem Orte, wo sich das Postamt befand, hätte drei Stunden betragen; so meinte er, es würde noch gerade gelingen, nach Ausführung seines komplizierten Planes den von P. nach Wien abgehenden Abendzug zu erreichen. Die Ideen, die sich bekämpften, lauteten einerseits: es sei doch eine Feigheit von ihm, er wolle sich offenbar nur die Unbequemlichkeit ersparen, von A. dieses Opfer zu verlangen und vor ihm als Narr dazustehen, und setze sich deshalb über seinen Eid hinweg; anderseits: es sei im Gegenteile eine Feigheit, wenn er den Eid ausführe, da er sich dadurch nur Ruhe vor den Zwangsvorstellungen schaffen wolle. Wenn in einer Überlegung die Argumente einander so die Waage hielten, so lasse er sich gewöhnlich von zufälligen Ereignissen wie von Gottesurteilen treiben. Darum sagte er: Ja, als ein Gepäckträger ihn auf dem Bahnhofe fragte: Zum Zug um 10 Uhr, Herr Leutnant?, fuhr um 10 Uhr ab und hatte so ein </w:t>
      </w:r>
      <w:r w:rsidRPr="00487290">
        <w:rPr>
          <w:rFonts w:ascii="Garamond" w:hAnsi="Garamond"/>
          <w:i/>
          <w:iCs/>
          <w:lang w:val="en-US"/>
        </w:rPr>
        <w:t>fait accompli</w:t>
      </w:r>
      <w:r w:rsidRPr="00487290">
        <w:rPr>
          <w:rFonts w:ascii="Garamond" w:hAnsi="Garamond"/>
          <w:lang w:val="en-US"/>
        </w:rPr>
        <w:t xml:space="preserve"> geschaffen, das ihn sehr erleichterte. </w:t>
      </w:r>
      <w:r w:rsidRPr="00487290">
        <w:rPr>
          <w:rFonts w:ascii="Garamond" w:hAnsi="Garamond"/>
        </w:rPr>
        <w:t xml:space="preserve">Beim Kondukteur des Speisewagens nahm er noch eine Marke für die Table d'hôte. In der ersten Station fiel ihm plötzlich ein, jetzt könne er noch aussteigen, den Gegenzug abwarten, mit diesem nach P. und an den Ort, wo Oberleutnant A. sich aufhielt, fahren, mit ihm dann die dreistündige Bahnfahrt zum Postamt machen usf. Nur die Rücksicht auf die Zusage, die er dem Kellner gegeben, hielt ihn von der Ausführung dieser Absicht ab; er gab sie aber nicht auf, sondern verschob das Aussteigen auf eine spätere Station. So schlug er sich von Station zu Station durch, bis er zu einer gelangte, in welcher ihm das Aussteigen unmöglich erschien, weil er dort Verwandte hatte, und er beschloß nach Wien durchzufahren, dort seinen Freund aufzusuchen, ihm die Sache vorzutragen und nach dessen Entscheidung noch mit dem Nachtzug nach P. zurückzufahren. Meinem Zweifel, ob das zusammengegangen wäre, begegnet er mit der Versicherung, er hätte zwischen der Ankunft des einen und der Abfahrt des anderen Zuges eine halbe Stunde frei gehabt. </w:t>
      </w:r>
      <w:r w:rsidRPr="00487290">
        <w:rPr>
          <w:rFonts w:ascii="Garamond" w:hAnsi="Garamond"/>
          <w:lang w:val="en-US"/>
        </w:rPr>
        <w:t>In Wien angelangt, traf er den Freund aber nicht in dem Gasthause, wo er ihn zu treffen erwartet hatte, kam erst um 11 Uhr abends in die Wohnung seines Freundes und trug ihm noch in der Nacht seine Sache vor. Der Freund schlug die Hände zusammen, daß er noch immer zweifeln könne, ob es eine Zwangsvorstellung gewesen sei, beruhigte ihn für diese Nacht, so daß er ausgezeichnet schlief, und ging mit ihm am nächsten Vormittag zur Post, um die Kronen 3.80 – an die Adresse des Postamtes, woselbst das Zwickerpaket angekommen war, aufzugeben.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Letztere Mitteilung gab mir den Anhaltspunkt, die Entstellungen seiner Erzählung zu entwirren. Wenn er, durch den Freund zur Besinnung gebracht, die kleine Summe nicht an Oberleutnant A. und nicht an Oberleutnant B., sondern ans Postamt direkt absandte, so mußte er ja wissen und schon bei seiner Abreise gewußt haben, daß er </w:t>
      </w:r>
      <w:r w:rsidRPr="00487290">
        <w:rPr>
          <w:rFonts w:ascii="Garamond" w:hAnsi="Garamond"/>
          <w:i/>
          <w:iCs/>
          <w:lang w:val="en-US"/>
        </w:rPr>
        <w:t>niemand anderem als dem Postbeamten</w:t>
      </w:r>
      <w:r w:rsidRPr="00487290">
        <w:rPr>
          <w:rFonts w:ascii="Garamond" w:hAnsi="Garamond"/>
          <w:lang w:val="en-US"/>
        </w:rPr>
        <w:t xml:space="preserve"> die Nachnahmegebühr schuldig geblieben sei. Es ergab sich wirklich, daß er dies schon vor der Aufforderung des Hauptmanns und vor seinem Eide gewußt hatte, denn er erinnerte sich jetzt, daß er einige Stunden </w:t>
      </w:r>
      <w:r w:rsidRPr="00487290">
        <w:rPr>
          <w:rFonts w:ascii="Garamond" w:hAnsi="Garamond"/>
          <w:i/>
          <w:iCs/>
          <w:lang w:val="en-US"/>
        </w:rPr>
        <w:t>vor</w:t>
      </w:r>
      <w:r w:rsidRPr="00487290">
        <w:rPr>
          <w:rFonts w:ascii="Garamond" w:hAnsi="Garamond"/>
          <w:lang w:val="en-US"/>
        </w:rPr>
        <w:t xml:space="preserve"> der Begegnung mit dem grausamen Hauptmanne Gelegenheit hatte, sich einem andern Hauptmann vorzustellen, der ihm den richtigen Sachverhalt mitgeteilt hatte. Dieser Offizier erzählte ihm, als er seinen Namen hörte, er sei vor kurzem auf dem Postamt gewesen und vom </w:t>
      </w:r>
      <w:r w:rsidRPr="00487290">
        <w:rPr>
          <w:rFonts w:ascii="Garamond" w:hAnsi="Garamond"/>
          <w:i/>
          <w:iCs/>
          <w:lang w:val="en-US"/>
        </w:rPr>
        <w:t>Postfräulein</w:t>
      </w:r>
      <w:r w:rsidRPr="00487290">
        <w:rPr>
          <w:rFonts w:ascii="Garamond" w:hAnsi="Garamond"/>
          <w:lang w:val="en-US"/>
        </w:rPr>
        <w:t xml:space="preserve"> befragt worden, ob er einen Leutnant H. (eben unseren Patienten) kenne, für den ein Paket mit Nachnahme angekommen sei. Er erwiderte verneinend, aber das Fräulein meinte, sie habe Zutrauen zu dem unbekannten Leutnant und werde unterdes die Gebühr selbst erlegen. Auf diese Weise kam unser Patient in den Besitz des von ihm bestellten Zwickers. Der grausame Hauptmann beging einen Irrtum, als er bei der Einhändigung des Pakets mahnte, die Kronen 3.80 dem A. zurückzugeben. Unser Patient mußte wissen, daß dies ein Irrtum sei. Trotzdem leistete er den auf diesen Irrtum gegründeten Schwur, der ihm zur Qual werden mußte. Die Episode des andern Hauptmannes und die Existenz des vertrauensvollen Postfräuleins hatte er dabei sich und in der Wiedergabe auch mir unterschlagen. Ich gebe zu, daß sein Benehmen nach dieser Richtigstellung noch unsinniger und unverständlicher wird als vorher.</w:t>
      </w:r>
    </w:p>
    <w:p w:rsidR="00822836" w:rsidRPr="00487290" w:rsidRDefault="00822836" w:rsidP="00822836">
      <w:pPr>
        <w:pStyle w:val="Sansinterligne"/>
        <w:rPr>
          <w:rFonts w:ascii="Garamond" w:hAnsi="Garamond"/>
          <w:lang w:val="en-US"/>
        </w:rPr>
      </w:pPr>
      <w:r w:rsidRPr="00487290">
        <w:rPr>
          <w:rFonts w:ascii="Garamond" w:hAnsi="Garamond"/>
          <w:lang w:val="en-US"/>
        </w:rPr>
        <w:lastRenderedPageBreak/>
        <w:t>Nachdem er seinen Freund verlassen hatte und zu seiner Familie zurückgekehrt war, befielen ihn die Zweifel von neuem. Die Argumente seines Freundes seien ja keine anderen gewesen als seine eigenen, und er täuschte sich nicht darüber, daß die zeitweilige Beruhigung nur auf den persönlichen Einfluß des Freundes zurückzuführen war. Der Entschluß, einen Arzt aufzusuchen, wurde auf folgende geschickte Art in das Delir verwoben. Er werde sich von einem Arzte ein Zeugnis ausstellen lassen, daß er eines solchen Aktes, wie er ihn mit Oberleutnant A. ausgedacht, zu seiner Herstellung bedürfe, und dieser werde sich durch das Zeugnis gewiß bewegen lassen, die Kronen 3.80 von ihm anzunehmen. Der Zufall, der ihm gerade damals ein Buch von mir in die Hand spielte, lenkte seine Wahl auf mich. Bei mir war aber von jenem Zeugnis nicht die Rede, er forderte sehr verständig nur die Befreiung von seinen Zwangsvorstellungen. Viele Monate später tauchte auf der Höhe des Widerstandes wieder einmal die Versuchung auf, doch nach P. zu fahren, den Oberleutnant A. aufzusuchen und mit ihm die Komödie des Geldzurückgebens aufzuführen.</w:t>
      </w:r>
    </w:p>
    <w:p w:rsidR="00822836" w:rsidRPr="00487290" w:rsidRDefault="00822836" w:rsidP="00822836">
      <w:pPr>
        <w:pStyle w:val="Sansinterligne"/>
        <w:rPr>
          <w:rFonts w:ascii="Garamond" w:hAnsi="Garamond"/>
          <w:lang w:val="en-US"/>
        </w:rPr>
      </w:pPr>
      <w:r w:rsidRPr="00487290">
        <w:rPr>
          <w:rFonts w:ascii="Garamond" w:hAnsi="Garamond"/>
          <w:lang w:val="en-US"/>
        </w:rPr>
        <w:t>D. Die Einführung ins Verständnis der Kur</w:t>
      </w:r>
    </w:p>
    <w:p w:rsidR="00822836" w:rsidRPr="00487290" w:rsidRDefault="00822836" w:rsidP="00822836">
      <w:pPr>
        <w:pStyle w:val="Sansinterligne"/>
        <w:rPr>
          <w:rFonts w:ascii="Garamond" w:hAnsi="Garamond"/>
          <w:lang w:val="en-US"/>
        </w:rPr>
      </w:pPr>
      <w:r w:rsidRPr="00487290">
        <w:rPr>
          <w:rFonts w:ascii="Garamond" w:hAnsi="Garamond"/>
          <w:lang w:val="en-US"/>
        </w:rPr>
        <w:t>Man erwarte nicht, so bald zu hören, was ich zur Aufhellung dieser sonderbar unsinnigen Zwangsvorstellungen (von den Ratten) vorzubringen habe; die richtige psychoanalytische Technik heißt den Arzt seine Neugierde unterdrücken und läßt dem Patienten die freie Verfügung über die Reihenfolge der Themata in der Arbeit. Ich empfing also den Patienten in der vierten Sitzung mit der Frage: »Wie werden Sie nun fortfahren?«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»Ich habe mich entschlossen, Ihnen mitzuteilen, was ich für sehr bedeutsam halte und was mich von Anbeginn an quält.« Er erzählt nun sehr breit die Krankengeschichte seines Vaters, der vor 9 Jahren an Emphysem verstarb. Eines Abends fragte er in der Meinung, es sei ein krisenhafter Zustand, den Arzt, wann die Gefahr als beseitigt gelten könnte. Die Antwort lautete: Übermorgen abends. Es kam ihm nicht in den Sinn, daß der Vater diesen Termin nicht erleben könnte. Er legte sich um ½12 Uhr nachts für eine Stunde zu Bette, und als er um 1 Uhr erwachte, hörte er von einem ärztlichen Freunde, der Vater sei gestorben. Er machte sich den Vorwurf, daß er beim Tode nicht zugegen gewesen sei, der sich verstärkte, als ihm die Pflegerin mitteilte, der Vater habe in den letzten Tagen einmal seinen Namen genannt und an sie, als sie zu ihm trat, die Frage gerichtet: »Sind Sie der Paul?« Er glaubte bemerkt zu haben, daß die Mutter und die Schwestern sich ähnliche Vorwürfe machen wollten; sie sprachen aber nicht darüber. Der Vorwurf war aber zunächst kein quälender; er realisierte lange Zeit die Tatsache seines Todes nicht; es passierte ihm immer wieder, daß er sich, wenn er einen guten Witz gehört hatte, sagte: »Das muß ich dem Vater erzählen.« Auch spielte seine Phantasie mit dem Vater, so daß er häufig, wenn es an die Türe klopfte, meinte: »Jetzt kommt der Vater«, wenn er ein Zimmer betrat, erwartete, den Vater darin zu finden, und wiewohl er die Tatsache seines Todes nie vergaß, hatte die Erwartung solcher Geistererscheinung nichts Schreckhaftes, sondern etwas höchst Erwünschtes für ihn. Erst 1½ Jahre später erwachte die Erinnerung an sein Versäumnis und begann ihn entsetzlich zu quälen, so daß er sich als Verbrecher behandelte. Veranlassung war der Tod einer angeheirateten Tante und sein Besuch im Trauerhause. Von da an fügte er seinem Gedankengebäude die Fortsetzung ins Jenseits an. Schwere Arbeitsunfähigkeit war die nächste Folge dieses Anfalles </w:t>
      </w:r>
      <w:hyperlink r:id="rId1129" w:history="1">
        <w:r w:rsidRPr="00487290">
          <w:rPr>
            <w:rStyle w:val="Lienhypertexte"/>
            <w:rFonts w:ascii="Garamond" w:hAnsi="Garamond"/>
            <w:lang w:val="en-US"/>
          </w:rPr>
          <w:t>[Fußnote]</w:t>
        </w:r>
        <w:r w:rsidRPr="00487290">
          <w:rPr>
            <w:rStyle w:val="innerfusslink"/>
            <w:rFonts w:ascii="Garamond" w:hAnsi="Garamond"/>
            <w:lang w:val="en-US"/>
          </w:rPr>
          <w:t>Ein Verständnis dieser Einwirkung ergibt sich später aus der genaueren Beschreibung des Anlasses. Der verwitwete Onkel hatte jammernd ausgerufen: »Andere Männer vergönnen sich alles mögliche, und ich habe nur für diese Frau gelebt!« Unser Patient nahm an, der Onkel spiele auf den Vater an und verdächtige dessen eheliche Treue, und obwohl der Onkel diese Deutung seiner Worte aufs entschiedenste bestritt, war deren Wirkung nicht mehr aufzuheben.</w:t>
        </w:r>
      </w:hyperlink>
      <w:r w:rsidRPr="00487290">
        <w:rPr>
          <w:rFonts w:ascii="Garamond" w:hAnsi="Garamond"/>
          <w:lang w:val="en-US"/>
        </w:rPr>
        <w:t xml:space="preserve">. Da er erzählt, nur die Tröstungen seines Freundes hätten ihn damals aufrechtgehalten, der diese Vorwürfe immer als arg übertrieben zurückgewiesen, bediene ich mich dieses Anlasses, um ihm den ersten Einblick in die Voraussetzungen der psychoanalytischen Therapie zu geben. Wenn eine Mesalliance zwischen Vorstellungsinhalt und Affekt, also zwischen Größe des Vorwurfs und Anlaß des Vorwurfs vorliegt, so würde der Laie sagen, der Affekt sei zu groß für den Anlaß, also übertrieben, die aus dem Vorwurfe gezogene Folgerung, ein Verbrecher zu sein, sei also falsch. Der Arzt sagt im Gegenteile: Nein, der Affekt ist berechtigt, das Schuldbewußtsein ist nicht weiter zu kritisieren, aber es gehört zu einem andern Inhalte, der nicht bekannt ( </w:t>
      </w:r>
      <w:r w:rsidRPr="00487290">
        <w:rPr>
          <w:rFonts w:ascii="Garamond" w:hAnsi="Garamond"/>
          <w:i/>
          <w:iCs/>
          <w:lang w:val="en-US"/>
        </w:rPr>
        <w:t>unbewußt</w:t>
      </w:r>
      <w:r w:rsidRPr="00487290">
        <w:rPr>
          <w:rFonts w:ascii="Garamond" w:hAnsi="Garamond"/>
          <w:lang w:val="en-US"/>
        </w:rPr>
        <w:t xml:space="preserve">) ist und der erst gesucht werden muß. Der bekannte Vorstellungsinhalt ist nur durch falsche Verknüpfung an diese Stelle geraten. Wir sind aber nicht gewohnt, starke Affekte ohne Vorstellungsinhalt in uns zu verspüren, und nehmen daher bei fehlendem Inhalt einen irgendwie passenden anderen als Surrogat auf, etwa wie unsere Polizei, wenn sie den richtigen Mörder nicht erwischen kann, einen unrechten an seiner Stelle verhaftet. Die Tatsache der falschen Verknüpfung erklärt auch allein die Ohnmacht der logischen Arbeit gegen die peinigende Vorstellung. Ich schließe dann mit dem Zugeständnisse, daß sich aus dieser neuen Auffassung zunächst große Rätsel ableiten, denn wie </w:t>
      </w:r>
      <w:r w:rsidRPr="00487290">
        <w:rPr>
          <w:rFonts w:ascii="Garamond" w:hAnsi="Garamond"/>
          <w:lang w:val="en-US"/>
        </w:rPr>
        <w:lastRenderedPageBreak/>
        <w:t>solle er seinem Vorwurf, ein Verbrecher gegen den Vater zu sein, recht geben, wenn er doch wissen müsse, daß er eigentlich nie etwas Verbrecherisches gegen ihn begangen habe.</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Er zeigt dann in der nächsten Sitzung großes Interesse für meine Darlegungen, gestattet sich aber einige Zweifel vorzubringen: Wie eigentlich die Mitteilung, daß der Vorwurf, das Schuldbewußtsein, recht habe, heilend wirken könne? – Nicht diese Mitteilung hat die Wirkung, sondern die Auffindung des unbekannten Inhaltes, zu dem der Vorwurf gehört. – Ja, gerade darauf beziehe sich seine Frage. – Ich erläutere meine kurzen Angaben über die psychologischen </w:t>
      </w:r>
      <w:r w:rsidRPr="00487290">
        <w:rPr>
          <w:rFonts w:ascii="Garamond" w:hAnsi="Garamond"/>
          <w:i/>
          <w:iCs/>
          <w:lang w:val="en-US"/>
        </w:rPr>
        <w:t>Unterschiede des Bewußten vom Unbewußten</w:t>
      </w:r>
      <w:r w:rsidRPr="00487290">
        <w:rPr>
          <w:rFonts w:ascii="Garamond" w:hAnsi="Garamond"/>
          <w:lang w:val="en-US"/>
        </w:rPr>
        <w:t xml:space="preserve">, über die Usur, der alles Bewußte unterliegt, während das Unbewußte relativ unveränderlich ist, durch einen Hinweis auf die in meinem Zimmer aufgestellten Antiquitäten. Es seien eigentlich nur Grabfunde, die Verschüttung habe für sie die Erhaltung bedeutet. Pompeji gehe erst jetzt zugrunde, seitdem es aufgedeckt sei. – Ob es eine Garantie gebe, fragt er weiter, wie man sich gegen das Gefundene verhalten werde. Der eine, meint er, wohl so, daß er dann den Vorwurf überwinde, der andere aber nicht. – Nein, es liege in der Natur der Verhältnisse, daß der Affekt dann jedesmal meist schon während der Arbeit überwunden werde. Pompeji bestrebe man sich eben zu erhalten, solche peinigende Ideen wolle man durchaus loswerden. – Er habe sich gesagt, ein Vorwurf kann ja nur durch Verletzung der eigensten persönlichen Sittengesetze, nicht der äußerlichen, entstehen. (Ich bestätige, wer bloß die verletzt, fühle sich ja oft als Held.) Ein solcher Vorgang sei also nur möglich bei einem </w:t>
      </w:r>
      <w:r w:rsidRPr="00487290">
        <w:rPr>
          <w:rFonts w:ascii="Garamond" w:hAnsi="Garamond"/>
          <w:i/>
          <w:iCs/>
          <w:lang w:val="en-US"/>
        </w:rPr>
        <w:t>Zerfalle der Persönlichkeit</w:t>
      </w:r>
      <w:r w:rsidRPr="00487290">
        <w:rPr>
          <w:rFonts w:ascii="Garamond" w:hAnsi="Garamond"/>
          <w:lang w:val="en-US"/>
        </w:rPr>
        <w:t xml:space="preserve">, der von Anfang an gegeben sei. Ob er die Einheit der Persönlichkeit wiedergewinnen werde? In diesem Falle getraue er sich vieles zu leisten, vielleicht mehr als andere. – Ich darauf: Ich sei mit dieser Spaltung der Persönlichkeit durchaus einverstanden, er möge diesen neuen Gegensatz zwischen der sittlichen Person und dem Bösen nur mit dem vorigen, dem Gegensatze zwischen Bewußtem und Unbewußtem, zusammenlöten. Die sittliche Person sei das Bewußte, das Böse unbewußt </w:t>
      </w:r>
      <w:hyperlink r:id="rId1130" w:history="1">
        <w:r w:rsidRPr="00487290">
          <w:rPr>
            <w:rStyle w:val="Lienhypertexte"/>
            <w:rFonts w:ascii="Garamond" w:hAnsi="Garamond"/>
            <w:lang w:val="en-US"/>
          </w:rPr>
          <w:t>[Fußnote]</w:t>
        </w:r>
        <w:r w:rsidRPr="00487290">
          <w:rPr>
            <w:rStyle w:val="innerfusslink"/>
            <w:rFonts w:ascii="Garamond" w:hAnsi="Garamond"/>
            <w:lang w:val="en-US"/>
          </w:rPr>
          <w:t>Das ist alles zwar nur im gröbsten richtig, reicht aber zur Einführung zunächst hin.</w:t>
        </w:r>
      </w:hyperlink>
      <w:r w:rsidRPr="00487290">
        <w:rPr>
          <w:rFonts w:ascii="Garamond" w:hAnsi="Garamond"/>
          <w:lang w:val="en-US"/>
        </w:rPr>
        <w:t xml:space="preserve">. – Er könne sich erinnern, daß er, obwohl er sich für eine sittliche Person halte, doch ganz bestimmt in seiner </w:t>
      </w:r>
      <w:r w:rsidRPr="00487290">
        <w:rPr>
          <w:rFonts w:ascii="Garamond" w:hAnsi="Garamond"/>
          <w:i/>
          <w:iCs/>
          <w:lang w:val="en-US"/>
        </w:rPr>
        <w:t>Kindheit</w:t>
      </w:r>
      <w:r w:rsidRPr="00487290">
        <w:rPr>
          <w:rFonts w:ascii="Garamond" w:hAnsi="Garamond"/>
          <w:lang w:val="en-US"/>
        </w:rPr>
        <w:t xml:space="preserve"> Dinge getan habe, die von der andern Person ausgegangen seien. – Ich meine, er habe da so nebenbei einen Hauptcharakter des Unbewußten entdeckt, die Beziehung zum </w:t>
      </w:r>
      <w:r w:rsidRPr="00487290">
        <w:rPr>
          <w:rFonts w:ascii="Garamond" w:hAnsi="Garamond"/>
          <w:i/>
          <w:iCs/>
          <w:lang w:val="en-US"/>
        </w:rPr>
        <w:t>Infantilen</w:t>
      </w:r>
      <w:r w:rsidRPr="00487290">
        <w:rPr>
          <w:rFonts w:ascii="Garamond" w:hAnsi="Garamond"/>
          <w:lang w:val="en-US"/>
        </w:rPr>
        <w:t xml:space="preserve">. Das Unbewußte sei das Infantile, und zwar jenes Stück der Person, das sich damals von ihr abgesondert, die weitere Entwicklung nicht mitgemacht habe und darum </w:t>
      </w:r>
      <w:r w:rsidRPr="00487290">
        <w:rPr>
          <w:rFonts w:ascii="Garamond" w:hAnsi="Garamond"/>
          <w:i/>
          <w:iCs/>
          <w:lang w:val="en-US"/>
        </w:rPr>
        <w:t>verdrängt</w:t>
      </w:r>
      <w:r w:rsidRPr="00487290">
        <w:rPr>
          <w:rFonts w:ascii="Garamond" w:hAnsi="Garamond"/>
          <w:lang w:val="en-US"/>
        </w:rPr>
        <w:t xml:space="preserve"> worden sei. Die Abkömmlinge dieses verdrängten Unbewußten seien die Elemente, welche das unwillkürliche Denken unterhalten, in dem sein Leiden bestehe. Er könne jetzt noch einen Charakter des Unbewußten entdecken; das wolle ich ihm gerne überlassen. – Er findet direkt nichts Weiteres, dafür äußert er den Zweifel, ob so lange bestehende Veränderungen rückgängig zu machen seien. Was wolle man speziell gegen die Idee vom Jenseits tun, die doch logisch nicht widerlegt werden könne? – Ich bestreite die Schwere seines Falles und die Bedeutung seiner Konstruktionen nicht, aber sein Alter sei ein sehr günstiges, und günstig sei auch die Intaktheit seiner Persönlichkeit, wobei ich ein anerkennendes Urteil über ihn ausspreche, das ihn sichtlich erfreut.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In der nächsten Sitzung beginnt er, er müsse etwas Tatsächliches aus seiner Kindheit erzählen. Nach 7 Jahren hatte er, wie schon erzählt, die Angst, daß die Eltern seine Gedanken erraten, die ihm eigentlich durch das weitere Leben verblieben sei. Mit 12 Jahren liebte er ein kleines Mädchen, Schwester eines Freundes (auf Befragen: nicht sinnlich, er wollte sie nicht nackt sehen, sie war zu klein), die aber mit ihm nicht so zärtlich war, wie er es wünschte. Und da kam ihm die Idee, daß sie liebevoll mit ihm sein würde, wenn ihn ein Unglück träfe; als solches drängte sich ihm der Tod des Vaters auf. Er wies diese Idee sofort energisch zurück, wehrt sich auch jetzt gegen die Möglichkeit, es könne sich ein »Wunsch« so geäußert haben. Es war eben nur eine »Denkverbindung« </w:t>
      </w:r>
      <w:hyperlink r:id="rId1131" w:history="1">
        <w:r w:rsidRPr="00487290">
          <w:rPr>
            <w:rStyle w:val="Lienhypertexte"/>
            <w:rFonts w:ascii="Garamond" w:hAnsi="Garamond"/>
            <w:lang w:val="en-US"/>
          </w:rPr>
          <w:t>[Fußnote]</w:t>
        </w:r>
        <w:r w:rsidRPr="00487290">
          <w:rPr>
            <w:rStyle w:val="innerfusslink"/>
            <w:rFonts w:ascii="Garamond" w:hAnsi="Garamond"/>
            <w:lang w:val="en-US"/>
          </w:rPr>
          <w:t>Mit solchen Wortabschwächungen gibt sich nicht allein der Zwangsneurotiker zufrieden.</w:t>
        </w:r>
      </w:hyperlink>
      <w:r w:rsidRPr="00487290">
        <w:rPr>
          <w:rFonts w:ascii="Garamond" w:hAnsi="Garamond"/>
          <w:lang w:val="en-US"/>
        </w:rPr>
        <w:t xml:space="preserve">. – Ich wende ein: wenn es kein Wunsch war, wozu das Sträuben? – Ja, nur wegen des Inhaltes der Vorstellung, daß der Vater sterben könne. – Ich: Er behandle diesen Wortlaut wie den einer Majestätsbeleidigung, wobei es bekanntlich ebenso bestraft wird, wenn jemand sagt: »Der Kaiser ist ein Esel«, wie wenn er diese verpönten Worte einkleidet: »Wenn jemand sagt . . ., so hat er es mit mir zu tun.« Ich könnte ihm ohne weiteres den Vorstellungsinhalt, gegen den er sich so sträubte, in einen Zusammenhang bringen, der dies Sträuben ausschließen würde; z. B.: »Wenn mein Vater stirbt, töte ich mich auf seinem Grabe.« – Er ist erschüttert, ohne seinen Widerspruch aufzugeben, so daß ich den Streit mit der Bemerkung abbreche, die Idee vom Tode des Vaters sei ja in diesem Falle nicht zum ersten Male aufgetreten, sie stamme offenbar von früher her, und wir würden ihrer Herkunft einmal nachspüren müssen. – Er erzählt weiter, ein zweites Mal sei ihm ein ganz ähnlicher Gedanke blitzähnlich ein halbes Jahr vor dem Tode des Vaters gekommen. Er war bereits in jene Dame verliebt </w:t>
      </w:r>
      <w:hyperlink r:id="rId1132" w:history="1">
        <w:r w:rsidRPr="00487290">
          <w:rPr>
            <w:rStyle w:val="Lienhypertexte"/>
            <w:rFonts w:ascii="Garamond" w:hAnsi="Garamond"/>
            <w:lang w:val="en-US"/>
          </w:rPr>
          <w:t>[Fußnote]</w:t>
        </w:r>
        <w:r w:rsidRPr="00487290">
          <w:rPr>
            <w:rStyle w:val="innerfusslink"/>
            <w:rFonts w:ascii="Garamond" w:hAnsi="Garamond"/>
            <w:lang w:val="en-US"/>
          </w:rPr>
          <w:t>Vor zehn Jahren!</w:t>
        </w:r>
      </w:hyperlink>
      <w:r w:rsidRPr="00487290">
        <w:rPr>
          <w:rFonts w:ascii="Garamond" w:hAnsi="Garamond"/>
          <w:lang w:val="en-US"/>
        </w:rPr>
        <w:t xml:space="preserve">, konnte aber wegen materieller Hindernisse nicht an eine Verbindung denken. Da habe die Idee gelautet: </w:t>
      </w:r>
      <w:r w:rsidRPr="00487290">
        <w:rPr>
          <w:rFonts w:ascii="Garamond" w:hAnsi="Garamond"/>
          <w:i/>
          <w:iCs/>
          <w:lang w:val="en-US"/>
        </w:rPr>
        <w:t>Durch den Tod des Vaters werde er vielleicht so reich werden, daß er sie heiraten könne</w:t>
      </w:r>
      <w:r w:rsidRPr="00487290">
        <w:rPr>
          <w:rFonts w:ascii="Garamond" w:hAnsi="Garamond"/>
          <w:lang w:val="en-US"/>
        </w:rPr>
        <w:t xml:space="preserve">. In seiner </w:t>
      </w:r>
      <w:r w:rsidRPr="00487290">
        <w:rPr>
          <w:rFonts w:ascii="Garamond" w:hAnsi="Garamond"/>
          <w:lang w:val="en-US"/>
        </w:rPr>
        <w:lastRenderedPageBreak/>
        <w:t xml:space="preserve">Abwehr ging er dann so weit, daß er wünschte, der Vater solle gar nichts hinterlassen, damit kein Gewinn diesen für ihn entsetzlichen Verlust kompensiere. Ein drittes Mal kam dieselbe Idee, aber sehr gemildert, am Tage vor dem Tode des Vaters. Er dachte: »Ich kann jetzt mein Liebstes verlieren«, und dagegen kam der Widerspruch: »Nein, es gibt noch eine andere Person, deren Verlust dir noch schmerzlicher wäre.« </w:t>
      </w:r>
      <w:hyperlink r:id="rId1133" w:history="1">
        <w:r w:rsidRPr="00487290">
          <w:rPr>
            <w:rStyle w:val="Lienhypertexte"/>
            <w:rFonts w:ascii="Garamond" w:hAnsi="Garamond"/>
            <w:lang w:val="en-US"/>
          </w:rPr>
          <w:t>[Fußnote]</w:t>
        </w:r>
        <w:r w:rsidRPr="00487290">
          <w:rPr>
            <w:rStyle w:val="innerfusslink"/>
            <w:rFonts w:ascii="Garamond" w:hAnsi="Garamond"/>
            <w:lang w:val="en-US"/>
          </w:rPr>
          <w:t>Ein Gegensatz zwischen den beiden geliebten Personen, Vater und »Dame«, ist hier unverkennbar angezeigt.</w:t>
        </w:r>
      </w:hyperlink>
      <w:r w:rsidRPr="00487290">
        <w:rPr>
          <w:rFonts w:ascii="Garamond" w:hAnsi="Garamond"/>
          <w:lang w:val="en-US"/>
        </w:rPr>
        <w:t xml:space="preserve"> Er verwundere sich sehr über diese Gedanken, da er ja ganz sicher sei, der Tod des Vaters könne nie Gegenstand seines Wunsches gewesen sein, immer nur einer Befürchtung. – Nach dieser mit voller Stärke ausgesprochenen Rede halte ich es für zweckmäßig, ihm ein neues Stückchen der Theorie vorzuführen. Die Theorie behaupte, daß solche Angst einem ehemaligen, nun verdrängten </w:t>
      </w:r>
      <w:r w:rsidRPr="00487290">
        <w:rPr>
          <w:rFonts w:ascii="Garamond" w:hAnsi="Garamond"/>
          <w:i/>
          <w:iCs/>
          <w:lang w:val="en-US"/>
        </w:rPr>
        <w:t>Wunsch</w:t>
      </w:r>
      <w:r w:rsidRPr="00487290">
        <w:rPr>
          <w:rFonts w:ascii="Garamond" w:hAnsi="Garamond"/>
          <w:lang w:val="en-US"/>
        </w:rPr>
        <w:t xml:space="preserve"> entspreche, so daß man das gerade Gegenteil von seiner Beteuerung annehmen müsse. </w:t>
      </w:r>
      <w:r w:rsidRPr="00487290">
        <w:rPr>
          <w:rFonts w:ascii="Garamond" w:hAnsi="Garamond"/>
        </w:rPr>
        <w:t xml:space="preserve">Es stimmt dies auch zur Forderung, daß das Unbewußte der kontradiktorische Gegensatz des Bewußten sein solle. </w:t>
      </w:r>
      <w:r w:rsidRPr="00487290">
        <w:rPr>
          <w:rFonts w:ascii="Garamond" w:hAnsi="Garamond"/>
          <w:lang w:val="en-US"/>
        </w:rPr>
        <w:t>Er ist sehr bewegt, sehr ungläubig und wundert sich, wie dieser Wunsch bei ihm möglich gewesen sein solle, wenn ihm der Vater doch der liebste aller Menschen war. Es leide keinen Zweifel, daß er auf jedes persönliche Glück verzichtet hätte, wenn er dadurch des Vaters Leben hätte retten können. Ich antworte, gerade diese intensive Liebe sei die Bedingung des verdrängten Hasses. Bei indifferenten Personen werde es ihm gewiß leicht gelingen, die Motive zu einer mäßigen Neigung und ebensolchen Abneigung nebeneinander zu halten, etwa wenn er Beamter sei und von seinem Bureauchef denke, er sei ein angenehmer Vorgesetzter, aber ein kleinlicher Jurist und inhumaner Richter. Ähnlich sage doch Brutus über Cäsar bei Shakespeare (III, 2): »Weil Cäsar mich liebte, wein' ich um ihn; weil er glücklich war, freue ich mich; weil er tapfer war, ehr' ich ihn; aber weil er herrschsüchtig war, erschlug ich ihn.« Und diese Rede wirke bereits befremdend, weil wir uns des Brutus Affektion für Cäsar intensiver vorgestellt haben. Bei einer Person, die ihm näherstehe, seiner Frau etwa, werde er das Bestreben nach einer einheitlichen Empfindung haben und darum, wie allgemein menschlich, ihre Fehler, die seine Abneigung hervorrufen könnten, vernachlässigen, wie verblendet übersehen. Also gerade die große Liebe lasse es nicht zu, daß der Haß (karikiert so bezeichnet), der wohl irgendeine Quelle haben müsse, bewußt bleibe. Ein Problem sei es allerdings, woher dieser Haß stamme; seine Aussagen deuteten selbst auf die Zeit hin, in welcher er gefürchtet, daß die Eltern seine Gedanken erraten. Anderseits könne man auch fragen, warum die große Liebe nicht den Haß habe auslöschen können, wie man es so von gegensätzlichen Regungen gewohnt sei. Man könne nur annehmen, daß der Haß doch mit einer Quelle, einem Anlaß in einer Verbindung stehe, die ihn unzerstörbar mache. Also einerseits schütze ein solcher Zusammenhang den Haß gegen den Vater vor dem Untergange, anderseits hindere die große Liebe ihn am Bewußtwerden, so daß ihm eben nur die Existenz im Unbewußten übrigbleibe, aus der er sich doch in einzelnen Momenten blitzähnlich vordrängen könne.</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Er gibt zu, daß dies alles ganz plausibel anzuhören ist, hat aber natürlich keine Spur von Überzeugung </w:t>
      </w:r>
      <w:hyperlink r:id="rId1134" w:history="1">
        <w:r w:rsidRPr="00487290">
          <w:rPr>
            <w:rStyle w:val="Lienhypertexte"/>
            <w:rFonts w:ascii="Garamond" w:hAnsi="Garamond"/>
            <w:lang w:val="en-US"/>
          </w:rPr>
          <w:t>[Fußnote]</w:t>
        </w:r>
        <w:r w:rsidRPr="00487290">
          <w:rPr>
            <w:rStyle w:val="innerfusslink"/>
            <w:rFonts w:ascii="Garamond" w:hAnsi="Garamond"/>
            <w:lang w:val="en-US"/>
          </w:rPr>
          <w:t>Es ist niemals die Absicht solcher Diskussionen, Überzeugung hervorzurufen. Sie sollen nur die verdrängten Komplexe ins Bewußtsein einführen, den Streit um sie auf dem Boden bewußter Seelentätigkeit anfachen und das Auftauchen neuen Materials aus dem Unbewußten erleichtern. Die Überzeugung stellt sich erst nach der Bearbeitung des wiedergewonnenen Materials durch den Kranken her, und solange sie schwankend ist, darf man das Material als nicht erschöpft beurteilen.</w:t>
        </w:r>
      </w:hyperlink>
      <w:r w:rsidRPr="00487290">
        <w:rPr>
          <w:rFonts w:ascii="Garamond" w:hAnsi="Garamond"/>
          <w:lang w:val="en-US"/>
        </w:rPr>
        <w:t xml:space="preserve">. Er möchte sich die Frage erlauben, wie es zugehe, daß eine solche Idee Pausen machen könne, mit 12 Jahren für einen Moment komme, dann mit 20 Jahren wieder und zwei Jahre später von neuem, um von da an anzuhalten. Er könne doch nicht glauben, daß inzwischen die Feindseligkeit erloschen gewesen sei, und doch habe sich in den Pausen nichts von Vorwürfen gezeigt. Ich darauf: Wenn jemand so eine Frage stellt, so hat er auch schon die Antwort bereit. Man braucht ihn nur weitersprechen zu lassen. Er setzt nun in anscheinend lockerem Zusammenhange fort: Er sei der beste Freund des Vaters gewesen, wie dieser seiner; bis auf wenige Gebiete, auf denen Vater und Sohn einander auszuweichen pflegen (was meint er wohl?), sei die Intimität zwischen ihnen größer gewesen als jetzt mit seinem besten Freunde. Jene Dame, um deren wegen er den Vater in der Idee zurückgesetzt, habe er zwar sehr geliebt, aber eigentlich sinnliche Wünsche, wie sie seine Kindheit erfüllten, hätten sich in bezug auf sie nie geregt; seine sinnlichen Regungen seien in der Kindheit überhaupt viel stärker gewesen als zur Zeit der Pubertät. – Ich meine nun, er habe jetzt die Antwort gegeben, auf die wir warteten, und gleichzeitig den dritten großen Charakter des Unbewußten aufgefunden. Die Quelle, aus welcher die Feindseligkeit gegen den Vater ihre Unzerstörbarkeit beziehe, sei offenbar von der Natur </w:t>
      </w:r>
      <w:r w:rsidRPr="00487290">
        <w:rPr>
          <w:rFonts w:ascii="Garamond" w:hAnsi="Garamond"/>
          <w:i/>
          <w:iCs/>
          <w:lang w:val="en-US"/>
        </w:rPr>
        <w:t>sinnlicher Begierden</w:t>
      </w:r>
      <w:r w:rsidRPr="00487290">
        <w:rPr>
          <w:rFonts w:ascii="Garamond" w:hAnsi="Garamond"/>
          <w:lang w:val="en-US"/>
        </w:rPr>
        <w:t xml:space="preserve">, dabei habe er den Vater irgendwie als </w:t>
      </w:r>
      <w:r w:rsidRPr="00487290">
        <w:rPr>
          <w:rFonts w:ascii="Garamond" w:hAnsi="Garamond"/>
          <w:i/>
          <w:iCs/>
          <w:lang w:val="en-US"/>
        </w:rPr>
        <w:t>störend</w:t>
      </w:r>
      <w:r w:rsidRPr="00487290">
        <w:rPr>
          <w:rFonts w:ascii="Garamond" w:hAnsi="Garamond"/>
          <w:lang w:val="en-US"/>
        </w:rPr>
        <w:t xml:space="preserve"> empfunden. Ein solcher Konflikt zwischen Sinnlichkeit und Kindesliebe sei ein durchaus typischer. Die Pausen habe es bei ihm gegeben, weil infolge der vorzeitigen Explosion seiner Sinnlichkeit zunächst eine so erhebliche Dämpfung derselben eingetreten sei. Erst als sich wieder intensive verliebte </w:t>
      </w:r>
      <w:r w:rsidRPr="00487290">
        <w:rPr>
          <w:rFonts w:ascii="Garamond" w:hAnsi="Garamond"/>
          <w:lang w:val="en-US"/>
        </w:rPr>
        <w:lastRenderedPageBreak/>
        <w:t xml:space="preserve">Wünsche bei ihm eingestellt hätten, sei diese Feindseligkeit aus der analogen Situation heraus wieder aufgetreten. Ich lasse mir übrigens von ihm bestätigen, daß ich ihn weder auf das infantile noch auf das sexuelle Thema gelenkt habe, sondern daß er selbständig auf beide gekommen sei. – Er fragt nun weiter, warum er nicht zur Zeit der Verliebtheit in die Dame einfach bei sich die Entscheidung gefällt, die Störung dieser Liebe durch den Vater könne gegen seine Liebe zum Vater nicht in Betracht kommen. – Ich antwortete: Es ist schwer möglich, jemand </w:t>
      </w:r>
      <w:r w:rsidRPr="00487290">
        <w:rPr>
          <w:rFonts w:ascii="Garamond" w:hAnsi="Garamond"/>
          <w:i/>
          <w:iCs/>
          <w:lang w:val="en-US"/>
        </w:rPr>
        <w:t>in absentia</w:t>
      </w:r>
      <w:r w:rsidRPr="00487290">
        <w:rPr>
          <w:rFonts w:ascii="Garamond" w:hAnsi="Garamond"/>
          <w:lang w:val="en-US"/>
        </w:rPr>
        <w:t xml:space="preserve"> zu erschlagen. Um jene Entscheidung zu ermöglichen, hätte ihm der beanständete Wunsch damals zum ersten Male kommen müssen; es war aber ein </w:t>
      </w:r>
      <w:r w:rsidRPr="00487290">
        <w:rPr>
          <w:rFonts w:ascii="Garamond" w:hAnsi="Garamond"/>
          <w:i/>
          <w:iCs/>
          <w:lang w:val="en-US"/>
        </w:rPr>
        <w:t>altverdrängter</w:t>
      </w:r>
      <w:r w:rsidRPr="00487290">
        <w:rPr>
          <w:rFonts w:ascii="Garamond" w:hAnsi="Garamond"/>
          <w:lang w:val="en-US"/>
        </w:rPr>
        <w:t>, gegen den er sich nicht anders benehmen konnte als vorher und der darum der Vernichtung entzogen blieb. Der Wunsch (den Vater als Störer zu beseitigen) müßte in Zeiten entstanden sein, in denen die Verhältnisse ganz anders lagen, etwa daß er den Vater damals nicht stärker liebte als die sinnlich begehrte Person oder daß er einer klaren Entscheidung nicht fähig war, also in sehr früher Kindheit, vor 6 Jahren, ehe seine kontinuierliche Erinnerung einsetzte, und das sei eben für alle Zeiten so geblieben. – Mit dieser Konstruktion schließt die Erörterung vorläufig ab.</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In der nächsten, der siebenten Sitzung, greift er dasselbe Thema wieder auf. Er könne nicht glauben, daß er je den Wunsch gegen den Vater gehabt habe. Er erinnere sich einer Novelle von Sudermann, die ihm einen tiefen Eindruck gemacht, in welcher eine Schwester am Krankenbette der andern diesen Todeswunsch gegen sie verspüre, um deren Mann heiraten zu können. Sie töte sich dann, weil sie nach solcher Gemeinheit nicht verdiene zu leben. Er verstehe das, und es sei ihm ganz recht, wenn er an seinen Gedanken zugrunde gehe, denn er verdiene es nicht anders </w:t>
      </w:r>
      <w:hyperlink r:id="rId1135" w:history="1">
        <w:r w:rsidRPr="00487290">
          <w:rPr>
            <w:rStyle w:val="Lienhypertexte"/>
            <w:rFonts w:ascii="Garamond" w:hAnsi="Garamond"/>
            <w:lang w:val="en-US"/>
          </w:rPr>
          <w:t>[Fußnote]</w:t>
        </w:r>
        <w:r w:rsidRPr="00487290">
          <w:rPr>
            <w:rStyle w:val="innerfusslink"/>
            <w:rFonts w:ascii="Garamond" w:hAnsi="Garamond"/>
            <w:lang w:val="en-US"/>
          </w:rPr>
          <w:t xml:space="preserve">Dies Schuldbewußtsein enthält den offenbarsten Widerspruch gegen sein anfängliches </w:t>
        </w:r>
        <w:r w:rsidRPr="00487290">
          <w:rPr>
            <w:rStyle w:val="innerfusslink"/>
            <w:rFonts w:ascii="Garamond" w:hAnsi="Garamond"/>
            <w:i/>
            <w:iCs/>
            <w:lang w:val="en-US"/>
          </w:rPr>
          <w:t>Nein</w:t>
        </w:r>
        <w:r w:rsidRPr="00487290">
          <w:rPr>
            <w:rStyle w:val="innerfusslink"/>
            <w:rFonts w:ascii="Garamond" w:hAnsi="Garamond"/>
            <w:lang w:val="en-US"/>
          </w:rPr>
          <w:t>, er habe den bösen Wunsch gegen den Vater nie gehabt. Es ist ein häufiger Typus in der Reaktion gegen das bekanntgewordene Verdrängte, daß sich an das erste Nein der Ablehnung alsbald die zunächst indirekte Bestätigung anschließt.</w:t>
        </w:r>
      </w:hyperlink>
      <w:r w:rsidRPr="00487290">
        <w:rPr>
          <w:rFonts w:ascii="Garamond" w:hAnsi="Garamond"/>
          <w:lang w:val="en-US"/>
        </w:rPr>
        <w:t xml:space="preserve">. Ich bemerke, es sei uns wohl bekannt, daß den Kranken ihr Leiden eine gewisse Befriedigung gewähre, so daß sie sich eigentlich alle partiell sträuben, gesund zu werden. Er möge nicht aus den Augen verlieren, daß eine Behandlung wie die unserige unter </w:t>
      </w:r>
      <w:r w:rsidRPr="00487290">
        <w:rPr>
          <w:rFonts w:ascii="Garamond" w:hAnsi="Garamond"/>
          <w:i/>
          <w:iCs/>
          <w:lang w:val="en-US"/>
        </w:rPr>
        <w:t>beständigem Widerstande</w:t>
      </w:r>
      <w:r w:rsidRPr="00487290">
        <w:rPr>
          <w:rFonts w:ascii="Garamond" w:hAnsi="Garamond"/>
          <w:lang w:val="en-US"/>
        </w:rPr>
        <w:t xml:space="preserve"> vor sich gehe; ich werde ihn immer wieder daran erinnern.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Er will jetzt von einer verbrecherischen Handlung sprechen, in der er sich nicht erkenne, an die er sich aber ganz bestimmt erinnere. Er zitiert ein Wort von Nietzsche: </w:t>
      </w:r>
      <w:r w:rsidRPr="00487290">
        <w:rPr>
          <w:rFonts w:ascii="Garamond" w:hAnsi="Garamond"/>
          <w:i/>
          <w:iCs/>
          <w:lang w:val="en-US"/>
        </w:rPr>
        <w:t xml:space="preserve">»›Das habe ich getan‹, sagt mein Gedächtnis, ›das kann ich nicht getan haben‹ – sagt mein Stolz und bleibt unerbittlich. Endlich – gibt das Gedächtnis nach.« </w:t>
      </w:r>
      <w:hyperlink r:id="rId1136" w:history="1">
        <w:r w:rsidRPr="00487290">
          <w:rPr>
            <w:rStyle w:val="Lienhypertexte"/>
            <w:rFonts w:ascii="Garamond" w:hAnsi="Garamond"/>
            <w:i/>
            <w:iCs/>
            <w:lang w:val="en-US"/>
          </w:rPr>
          <w:t>[Fußnote]</w:t>
        </w:r>
        <w:r w:rsidRPr="00487290">
          <w:rPr>
            <w:rStyle w:val="innerfusslink"/>
            <w:rFonts w:ascii="Garamond" w:hAnsi="Garamond"/>
            <w:i/>
            <w:iCs/>
            <w:lang w:val="en-US"/>
          </w:rPr>
          <w:t>Jenseits von Gut und Böse,</w:t>
        </w:r>
      </w:hyperlink>
      <w:hyperlink r:id="rId1137" w:history="1">
        <w:r w:rsidRPr="00487290">
          <w:rPr>
            <w:rStyle w:val="Lienhypertexte"/>
            <w:rFonts w:ascii="Garamond" w:hAnsi="Garamond"/>
            <w:lang w:val="en-US"/>
          </w:rPr>
          <w:t>[Fußnote]</w:t>
        </w:r>
        <w:r w:rsidRPr="00487290">
          <w:rPr>
            <w:rStyle w:val="innerfusslink"/>
            <w:rFonts w:ascii="Garamond" w:hAnsi="Garamond"/>
            <w:lang w:val="en-US"/>
          </w:rPr>
          <w:t>IV, 68.</w:t>
        </w:r>
      </w:hyperlink>
      <w:r w:rsidRPr="00487290">
        <w:rPr>
          <w:rFonts w:ascii="Garamond" w:hAnsi="Garamond"/>
          <w:lang w:val="en-US"/>
        </w:rPr>
        <w:t xml:space="preserve"> »Darin hat also mein Gedächtnis nicht nachgegeben.« – »Eben weil Sie zur Selbstbestrafung aus Ihren Vorwürfen Lust ziehen.« – »Mit meinem jüngeren Bruder – ich bin ihm jetzt wirklich gut, er bereitet mir gerade große Sorge, indem er eine Heirat machen will, die ich für einen Unsinn halte; ich hab' schon die Idee gehabt, hinzureisen und die Person umzubringen, damit er sie nicht heiraten kann – habe ich als Kind viel gerauft. Daneben hatten wir einander sehr lieb und waren unzertrennlich, aber mich beherrschte offenbar Eifersucht, denn er war der stärkere, schönere und darum beliebtere.« – »Sie haben ja schon eine solche Eifersuchtsszene mit Fräulein Lina mitgeteilt.« – »Also nach einer solchen Gelegenheit, gewiß vor 8 Jahren, denn ich ging noch nicht in die Schule, in die ich mit 8 Jahren gekommen bin, tat ich folgendes: Wir hatten Kindergewehre von der bekannten Konstruktion; ich lud meines mit dem Ladstock, sagte ihm, er solle in den Lauf hineinschauen, er werde etwas sehen, und als er hineinschaute, drückte ich los. Es traf ihn auf die Stirne und machte ihm nichts, aber es war meine Absicht gewesen, ihm sehr wehe zu tun. Ich war dann ganz außer mir, warf mich auf den Boden und fragte mich: Wie habe ich das nur tun können? – Aber ich habe es getan.« – Ich benutze die Gelegenheit, um für meine Sache zu plaidieren. Wenn er eine solche, ihm so fremde Tat im Gedächtnis bewahrt habe, so könne er doch nicht die Möglichkeit in Abrede stellen, daß in noch früheren Jahren etwas Ähnliches, was er heute nicht mehr erinnere, gegen den Vater vorgekommen sei. – Er wisse noch von anderen Regungen der Rachsucht gegen jene Dame, die er so sehr verehre und von deren Charakter er eine begeisterte Schilderung gibt. Sie könne vielleicht nicht leicht lieben, sie spare sich ganz für den einen auf, dem sie einmal angehören werde; ihn liebe sie nicht. Als er dessen sicher wurde, gestaltete sich ihm eine bewußte Phantasie, er werde sehr reich werden, eine andere heiraten und dann mit ihr einen Besuch bei der Dame machen, um sie zu kränken. Aber da versagte ihm die Phantasie, denn er mußte sich eingestehen, daß ihm die andere, die Frau, ganz gleichgültig sei, seine Gedanken verwirrten sich, und am Ende wurde ihm klar, daß diese andere sterben solle. Auch in dieser Phantasie findet er, wie in dem Anschlag gegen den Bruder, den Charakter der </w:t>
      </w:r>
      <w:r w:rsidRPr="00487290">
        <w:rPr>
          <w:rFonts w:ascii="Garamond" w:hAnsi="Garamond"/>
          <w:i/>
          <w:iCs/>
          <w:lang w:val="en-US"/>
        </w:rPr>
        <w:t>Feigheit</w:t>
      </w:r>
      <w:r w:rsidRPr="00487290">
        <w:rPr>
          <w:rFonts w:ascii="Garamond" w:hAnsi="Garamond"/>
          <w:lang w:val="en-US"/>
        </w:rPr>
        <w:t xml:space="preserve">, der ihm so entsetzlich ist </w:t>
      </w:r>
      <w:hyperlink r:id="rId1138" w:history="1">
        <w:r w:rsidRPr="00487290">
          <w:rPr>
            <w:rStyle w:val="Lienhypertexte"/>
            <w:rFonts w:ascii="Garamond" w:hAnsi="Garamond"/>
            <w:lang w:val="en-US"/>
          </w:rPr>
          <w:t>[Fußnote]</w:t>
        </w:r>
        <w:r w:rsidRPr="00487290">
          <w:rPr>
            <w:rStyle w:val="innerfusslink"/>
            <w:rFonts w:ascii="Garamond" w:hAnsi="Garamond"/>
            <w:lang w:val="en-US"/>
          </w:rPr>
          <w:t>Was späterhin seine Erklärung finden soll.</w:t>
        </w:r>
      </w:hyperlink>
      <w:r w:rsidRPr="00487290">
        <w:rPr>
          <w:rFonts w:ascii="Garamond" w:hAnsi="Garamond"/>
          <w:lang w:val="en-US"/>
        </w:rPr>
        <w:t xml:space="preserve">. – Im weiteren Gespräche mit ihm mache ich geltend, daß er sich ja logischerweise für ganz unverantwortlich für alle diese Charakterzüge erklären müsse, denn all diese verwerflichen Regungen stammten aus dem Kinderleben, entsprächen den im Unbewußten fortlebenden </w:t>
      </w:r>
      <w:r w:rsidRPr="00487290">
        <w:rPr>
          <w:rFonts w:ascii="Garamond" w:hAnsi="Garamond"/>
          <w:lang w:val="en-US"/>
        </w:rPr>
        <w:lastRenderedPageBreak/>
        <w:t xml:space="preserve">Abkömmlingen des Kindercharakters, und er wisse doch, daß für das Kind die ethische Verantwortlichkeit nicht gelten könne. Aus der Summe der Anlagen des Kindes entstehe der ethisch verantwortliche Mensch erst im Laufe der Entwicklung </w:t>
      </w:r>
      <w:hyperlink r:id="rId1139" w:history="1">
        <w:r w:rsidRPr="00487290">
          <w:rPr>
            <w:rStyle w:val="Lienhypertexte"/>
            <w:rFonts w:ascii="Garamond" w:hAnsi="Garamond"/>
            <w:lang w:val="en-US"/>
          </w:rPr>
          <w:t>[Fußnote]</w:t>
        </w:r>
        <w:r w:rsidRPr="00487290">
          <w:rPr>
            <w:rStyle w:val="innerfusslink"/>
            <w:rFonts w:ascii="Garamond" w:hAnsi="Garamond"/>
            <w:lang w:val="en-US"/>
          </w:rPr>
          <w:t>Ich bringe diese Argumente nur vor, um mir wieder von neuem bestätigen zu lassen, wie ohnmächtig sie sind. Ich kann es nicht begreifen, wenn andere Psychotherapeuten berichten, daß sie mit solchen Waffen die Neurosen erfolgreich bekämpfen.</w:t>
        </w:r>
      </w:hyperlink>
      <w:r w:rsidRPr="00487290">
        <w:rPr>
          <w:rFonts w:ascii="Garamond" w:hAnsi="Garamond"/>
          <w:lang w:val="en-US"/>
        </w:rPr>
        <w:t>. Er bezweifelt aber, daß alle seine bösen Regungen von dieser Herkunft sind. Ich verspreche, es ihm im Laufe der Kur zu beweisen.</w:t>
      </w:r>
    </w:p>
    <w:p w:rsidR="00822836" w:rsidRPr="00487290" w:rsidRDefault="00822836" w:rsidP="00822836">
      <w:pPr>
        <w:pStyle w:val="Sansinterligne"/>
        <w:rPr>
          <w:rFonts w:ascii="Garamond" w:hAnsi="Garamond"/>
          <w:lang w:val="en-US"/>
        </w:rPr>
      </w:pPr>
      <w:r w:rsidRPr="00487290">
        <w:rPr>
          <w:rFonts w:ascii="Garamond" w:hAnsi="Garamond"/>
          <w:lang w:val="en-US"/>
        </w:rPr>
        <w:t>Er führt noch an, daß sich die Krankheit seit dem Tode des Vaters so enorm gesteigert hat, und ich gebe ihm insofern recht, als ich die Trauer um den Vater als Hauptquelle der Krankheitsintensität anerkenne. Die Trauer hat in der Krankheit gleichsam einen pathologischen Ausdruck gefunden. Während eine normale Trauer in 1 bis 2 Jahren ihren Ablauf erreicht, ist eine pathologische wie seine in ihrer Dauer unbegrenzt.</w:t>
      </w:r>
    </w:p>
    <w:p w:rsidR="00822836" w:rsidRPr="00487290" w:rsidRDefault="00822836" w:rsidP="00822836">
      <w:pPr>
        <w:pStyle w:val="Sansinterligne"/>
        <w:rPr>
          <w:rFonts w:ascii="Garamond" w:hAnsi="Garamond"/>
          <w:lang w:val="en-US"/>
        </w:rPr>
      </w:pPr>
      <w:r w:rsidRPr="00487290">
        <w:rPr>
          <w:rFonts w:ascii="Garamond" w:hAnsi="Garamond"/>
          <w:lang w:val="en-US"/>
        </w:rPr>
        <w:t>Soweit reicht, was ich aus dieser Krankengeschichte ausführlich und in der Reihenfolge erzählen kann. Es deckt sich ungefähr mit der Exposition der über 11 Monate verlaufenden Behandlung.</w:t>
      </w:r>
    </w:p>
    <w:p w:rsidR="00822836" w:rsidRPr="00487290" w:rsidRDefault="00822836" w:rsidP="00822836">
      <w:pPr>
        <w:pStyle w:val="Sansinterligne"/>
        <w:rPr>
          <w:rFonts w:ascii="Garamond" w:hAnsi="Garamond"/>
          <w:lang w:val="en-US"/>
        </w:rPr>
      </w:pPr>
      <w:r w:rsidRPr="00487290">
        <w:rPr>
          <w:rFonts w:ascii="Garamond" w:hAnsi="Garamond"/>
          <w:lang w:val="en-US"/>
        </w:rPr>
        <w:t>E. Einige Zwangsvorstellungen und deren Übersetzung</w:t>
      </w:r>
    </w:p>
    <w:p w:rsidR="00822836" w:rsidRPr="00487290" w:rsidRDefault="00822836" w:rsidP="00822836">
      <w:pPr>
        <w:pStyle w:val="Sansinterligne"/>
        <w:rPr>
          <w:rFonts w:ascii="Garamond" w:hAnsi="Garamond"/>
          <w:lang w:val="en-US"/>
        </w:rPr>
      </w:pPr>
      <w:r w:rsidRPr="00487290">
        <w:rPr>
          <w:rFonts w:ascii="Garamond" w:hAnsi="Garamond"/>
          <w:lang w:val="en-US"/>
        </w:rPr>
        <w:t>Zwangsvorstellungen erscheinen bekanntlich entweder unmotiviert oder unsinnig, ganz wie der Wortlaut unserer nächtlichen Träume, und die nächste Aufgabe, die sie stellen, geht dahin, ihnen Sinn und Halt im Seelenleben des Individuums zu geben, so daß sie verständlich, ja eigentlich selbstverständlich werden. Man lasse sich in dieser Aufgabe der Übersetzung niemals durch den Anschein der Unlösbarkeit beirren; die tollsten oder absonderlichsten Zwangsideen lassen sich durch gebührende Vertiefung lösen. Zu dieser Lösung gelangt man aber, wenn man die Zwangsideen in zeitlichen Zusammenhang mit dem Erleben des Patienten bringt, also indem man erforscht, wann die einzelne Zwangsidee zuerst aufgetreten ist und unter welchen äußeren Umständen sie sich zu wiederholen pflegt. Bei Zwangsideen, die es, wie so häufig, zu keiner Dauerexistenz gebracht haben, vereinfacht sich dementsprechend auch die Lösungsarbeit. Man kann sich leicht überzeugen, daß nach der Aufdeckung des Zusammenhanges der Zwangsidee mit dem Erleben des Kranken alles andere Rätselhafte und Wissenswerte an dem pathologischen Gebilde, seine Bedeutung, der Mechanismus seiner Entstehung, seine Abkunft von den maßgebenden psychischen Triebkräften unserer Einsicht leicht zugänglich wird.</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Ich beginne mit einem besonders durchsichtigen Beispiel des bei unserem Patienten so häufigen </w:t>
      </w:r>
      <w:r w:rsidRPr="00487290">
        <w:rPr>
          <w:rFonts w:ascii="Garamond" w:hAnsi="Garamond"/>
          <w:i/>
          <w:iCs/>
          <w:lang w:val="en-US"/>
        </w:rPr>
        <w:t>Selbstmordimpulses</w:t>
      </w:r>
      <w:r w:rsidRPr="00487290">
        <w:rPr>
          <w:rFonts w:ascii="Garamond" w:hAnsi="Garamond"/>
          <w:lang w:val="en-US"/>
        </w:rPr>
        <w:t xml:space="preserve">, welches sich in der Darstellung beinahe von selbst analysiert: Er verlor einige Wochen im Studium infolge der Abwesenheit seiner Dame, welche abgereist war, um ihre schwer erkrankte Großmutter zu pflegen. Mitten im eifrigsten Studium fiel ihm da ein: »Das Gebot, sich den ersten möglichen Prüfungstermin im Semester zu nehmen, könne man sich ja gefallen lassen. Wie aber, wenn dir das Gebot käme, dir den Hals mit dem Rasiermesser abzuschneiden?« Er merkte sofort, daß dieses Gebot bereits erflossen war, eilte zum Schrank, um das Rasiermesser zu holen, da fiel ihm ein: »Nein, so einfach ist das nicht. Du mußt </w:t>
      </w:r>
      <w:hyperlink r:id="rId1140" w:history="1">
        <w:r w:rsidRPr="00487290">
          <w:rPr>
            <w:rStyle w:val="Lienhypertexte"/>
            <w:rFonts w:ascii="Garamond" w:hAnsi="Garamond"/>
            <w:lang w:val="en-US"/>
          </w:rPr>
          <w:t>[Fußnote]</w:t>
        </w:r>
        <w:r w:rsidRPr="00487290">
          <w:rPr>
            <w:rStyle w:val="innerfusslink"/>
            <w:rFonts w:ascii="Garamond" w:hAnsi="Garamond"/>
            <w:lang w:val="en-US"/>
          </w:rPr>
          <w:t>Ich ergänze hier: »vorher«.</w:t>
        </w:r>
      </w:hyperlink>
      <w:r w:rsidRPr="00487290">
        <w:rPr>
          <w:rFonts w:ascii="Garamond" w:hAnsi="Garamond"/>
          <w:lang w:val="en-US"/>
        </w:rPr>
        <w:t xml:space="preserve"> hinreisen und die alte Frau umbringen.« Da fiel er vor Entsetzen auf den Boden.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Der Zusammenhang dieser Zwangsidee mit dem Leben ist hier im Eingange des Berichtes enthalten. Seine Dame war abwesend, während er angestrengt für eine Prüfung studierte, um die Verbindung mit ihr eher zu ermöglichen. Da überfiel ihn während des Studiums die Sehnsucht nach der Abwesenden und der Gedanke an den Grund ihrer Abwesenheit. Und nun kam etwas, was bei einem normalen Menschen etwa eine unmutige Regung gegen die Großmutter gewesen wäre: »Muß die alte Frau gerade jetzt krank werden, wo ich mich nach </w:t>
      </w:r>
      <w:r w:rsidRPr="00487290">
        <w:rPr>
          <w:rFonts w:ascii="Garamond" w:hAnsi="Garamond"/>
          <w:i/>
          <w:iCs/>
          <w:lang w:val="en-US"/>
        </w:rPr>
        <w:t>ihr</w:t>
      </w:r>
      <w:r w:rsidRPr="00487290">
        <w:rPr>
          <w:rFonts w:ascii="Garamond" w:hAnsi="Garamond"/>
          <w:lang w:val="en-US"/>
        </w:rPr>
        <w:t xml:space="preserve"> so schrecklich sehne!« Etwas Ähnliches, aber weit Intensiveres muß man nun bei unserem Patienten supponieren, einen unbewußten Wutanfall, der sich gleichzeitig mit der Sehnsucht in den Ausruf kleiden könnte: »Oh, ich möchte hinreisen und die alte Frau umbringen, die mich meiner Geliebten beraubt!« Darauf folgt das Gebot: »Bring dich selbst um, als Selbstbestrafung für solche Wut- und Mordgelüste«, und der ganze Vorgang tritt unter heftigstem Affekt </w:t>
      </w:r>
      <w:r w:rsidRPr="00487290">
        <w:rPr>
          <w:rFonts w:ascii="Garamond" w:hAnsi="Garamond"/>
          <w:i/>
          <w:iCs/>
          <w:lang w:val="en-US"/>
        </w:rPr>
        <w:t>in umgekehrter Reihenfolge</w:t>
      </w:r>
      <w:r w:rsidRPr="00487290">
        <w:rPr>
          <w:rFonts w:ascii="Garamond" w:hAnsi="Garamond"/>
          <w:lang w:val="en-US"/>
        </w:rPr>
        <w:t xml:space="preserve"> – das Strafgebot voran, am Ende die Erwähnung des strafbaren Gelüstes – in das Bewußtsein des Zwangskranken. Ich glaube nicht, daß dieser Erklärungsversuch gezwungen erscheinen kann oder viel hypothetische Elemente aufgenommen hat.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Ein anderer, länger anhaltender Impuls zum gleichsam indirekten Selbstmord war nicht so leicht aufzuklären, weil er seine Beziehung zum Erleben hinter einer der äußerlichen Assoziationen, wie sie unserem Bewußtsein so sehr anstößig erscheinen, verbergen konnte. Eines Tages kam ihm im Sommeraufenthalte plötzlich die Idee, er sei zu dick, er müsse </w:t>
      </w:r>
      <w:r w:rsidRPr="00487290">
        <w:rPr>
          <w:rFonts w:ascii="Garamond" w:hAnsi="Garamond"/>
          <w:i/>
          <w:iCs/>
          <w:lang w:val="en-US"/>
        </w:rPr>
        <w:t>abmagern</w:t>
      </w:r>
      <w:r w:rsidRPr="00487290">
        <w:rPr>
          <w:rFonts w:ascii="Garamond" w:hAnsi="Garamond"/>
          <w:lang w:val="en-US"/>
        </w:rPr>
        <w:t xml:space="preserve">. Er begann nun, noch vor der Mehlspeise vom Tische aufzustehen, ohne Hut in der Sonnenglut des Augusts auf die Straße zu rennen und dann im Laufschritt auf die Berge zu steigen, bis er schweißüberströmt haltmachen mußte. Hinter </w:t>
      </w:r>
      <w:r w:rsidRPr="00487290">
        <w:rPr>
          <w:rFonts w:ascii="Garamond" w:hAnsi="Garamond"/>
          <w:lang w:val="en-US"/>
        </w:rPr>
        <w:lastRenderedPageBreak/>
        <w:t xml:space="preserve">dieser Abmagerungssucht kam auch die Selbstmordabsicht einmal unverhüllt zum Vorschein, als ihm auf einem scharfen Abhang plötzlich das Gebot laut wurde, da herunterzuspringen, was sicherer Tod gewesen wäre. Die Lösung dieses unsinnigen Zwangshandelns ergab sich unserem Patienten erst, als ihm plötzlich einfiel, zu jener Zeit sei auch die geliebte Dame in dem Sommeraufenthalte gewesen, aber in Begleitung eines englischen Vetters, der sich sehr um sie bemühte und auf den er sehr eifersüchtig war. Der Vetter hieß Richard und wurde, wie in England allgemein üblich, </w:t>
      </w:r>
      <w:r w:rsidRPr="00487290">
        <w:rPr>
          <w:rFonts w:ascii="Garamond" w:hAnsi="Garamond"/>
          <w:i/>
          <w:iCs/>
          <w:lang w:val="en-US"/>
        </w:rPr>
        <w:t>Dick</w:t>
      </w:r>
      <w:r w:rsidRPr="00487290">
        <w:rPr>
          <w:rFonts w:ascii="Garamond" w:hAnsi="Garamond"/>
          <w:lang w:val="en-US"/>
        </w:rPr>
        <w:t xml:space="preserve"> genannt. Diesen Dick wollte er nun umbringen, er war auf ihn viel eifersüchtiger und wütender, als er sich eingestehen konnte, und darum legte er sich zur Selbstbestrafung die Pein jener Abmagerungskur auf. So verschieden dieser Zwangsimpuls auch vom vorigen direkten Selbstmordgebot zu sein scheint, ein bedeutsamer Zug ist den beiden gemeinsam, die Entstehung als Reaktion auf eine ungeheure, vom Bewußtsein nicht zu erfassende Wut gegen eine Person, die als Störerin der Liebe auftritt </w:t>
      </w:r>
      <w:hyperlink r:id="rId1141" w:history="1">
        <w:r w:rsidRPr="00487290">
          <w:rPr>
            <w:rStyle w:val="Lienhypertexte"/>
            <w:rFonts w:ascii="Garamond" w:hAnsi="Garamond"/>
            <w:lang w:val="en-US"/>
          </w:rPr>
          <w:t>[Fußnote]</w:t>
        </w:r>
        <w:r w:rsidRPr="00487290">
          <w:rPr>
            <w:rStyle w:val="innerfusslink"/>
            <w:rFonts w:ascii="Garamond" w:hAnsi="Garamond"/>
            <w:lang w:val="en-US"/>
          </w:rPr>
          <w:t xml:space="preserve">Die Verwendung von Namen und Worten zur Herstellung der Verknüpfung zwischen den unbewußten Gedanken (Regungen, Phantasien) und den Symptomen geschieht bei der Zwangsneurose lange nicht so häufig und so rücksichtslos wie bei Hysterie. Doch habe ich gerade für den Namen Richard ein anderes Beispiel bei einem vor langer Zeit analysierten Kranken in Erinnerung. Nach einem Zwiste mit seinem Bruder begann er zu grübeln, wie er sich seines Reichtums entledigen könne, er wolle nichts mehr mit Geld zu tun haben usf. Sein Bruder hieß Richard ( </w:t>
        </w:r>
        <w:r w:rsidRPr="00487290">
          <w:rPr>
            <w:rStyle w:val="innerfusslink"/>
            <w:rFonts w:ascii="Garamond" w:hAnsi="Garamond"/>
            <w:i/>
            <w:iCs/>
            <w:lang w:val="en-US"/>
          </w:rPr>
          <w:t>richard</w:t>
        </w:r>
        <w:r w:rsidRPr="00487290">
          <w:rPr>
            <w:rStyle w:val="innerfusslink"/>
            <w:rFonts w:ascii="Garamond" w:hAnsi="Garamond"/>
            <w:lang w:val="en-US"/>
          </w:rPr>
          <w:t xml:space="preserve"> im Französischen: ein </w:t>
        </w:r>
        <w:r w:rsidRPr="00487290">
          <w:rPr>
            <w:rStyle w:val="innerfusslink"/>
            <w:rFonts w:ascii="Garamond" w:hAnsi="Garamond"/>
            <w:i/>
            <w:iCs/>
            <w:lang w:val="en-US"/>
          </w:rPr>
          <w:t>Reicher</w:t>
        </w:r>
        <w:r w:rsidRPr="00487290">
          <w:rPr>
            <w:rStyle w:val="innerfusslink"/>
            <w:rFonts w:ascii="Garamond" w:hAnsi="Garamond"/>
            <w:lang w:val="en-US"/>
          </w:rPr>
          <w:t>).</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Andere Zwangsvorstellungen, wiederum nach der Geliebten orientiert, lassen doch anderen Mechanismus und andere Triebabkunft erkennen. Zur Zeit der Anwesenheit seiner Dame in seinem Sommeraufenthalte produzierte er außer jener Abmagerungssucht eine ganze Reihe von Zwangstätigkeiten, die sich wenigstens teilweise direkt auf ihre Person bezogen. Als er einmal mit ihr auf einem Schiffe fuhr, während ein scharfer Wind ging, mußte er sie nötigen, seine Kappe aufzusetzen, weil sich bei ihm das Gebot gebildet hatte, </w:t>
      </w:r>
      <w:r w:rsidRPr="00487290">
        <w:rPr>
          <w:rFonts w:ascii="Garamond" w:hAnsi="Garamond"/>
          <w:i/>
          <w:iCs/>
          <w:lang w:val="en-US"/>
        </w:rPr>
        <w:t>es dürfe ihr nichts geschehen</w:t>
      </w:r>
      <w:hyperlink r:id="rId1142" w:history="1">
        <w:r w:rsidRPr="00487290">
          <w:rPr>
            <w:rStyle w:val="Lienhypertexte"/>
            <w:rFonts w:ascii="Garamond" w:hAnsi="Garamond"/>
            <w:lang w:val="en-US"/>
          </w:rPr>
          <w:t>[Fußnote]</w:t>
        </w:r>
        <w:r w:rsidRPr="00487290">
          <w:rPr>
            <w:rStyle w:val="innerfusslink"/>
            <w:rFonts w:ascii="Garamond" w:hAnsi="Garamond"/>
            <w:lang w:val="en-US"/>
          </w:rPr>
          <w:t>Zu ergänzen: »woran er schuld haben könnte«.</w:t>
        </w:r>
      </w:hyperlink>
      <w:r w:rsidRPr="00487290">
        <w:rPr>
          <w:rFonts w:ascii="Garamond" w:hAnsi="Garamond"/>
          <w:lang w:val="en-US"/>
        </w:rPr>
        <w:t xml:space="preserve">. Es war eine Art von </w:t>
      </w:r>
      <w:r w:rsidRPr="00487290">
        <w:rPr>
          <w:rFonts w:ascii="Garamond" w:hAnsi="Garamond"/>
          <w:i/>
          <w:iCs/>
          <w:lang w:val="en-US"/>
        </w:rPr>
        <w:t>Schutzzwang</w:t>
      </w:r>
      <w:r w:rsidRPr="00487290">
        <w:rPr>
          <w:rFonts w:ascii="Garamond" w:hAnsi="Garamond"/>
          <w:lang w:val="en-US"/>
        </w:rPr>
        <w:t xml:space="preserve">, der auch andere Blüten trieb. Ein andermal stellte sich bei ihm während eines Zusammenseins im Gewitter der Zwang ein, zwischen Blitz und Donner bis 40 oder 50 </w:t>
      </w:r>
      <w:r w:rsidRPr="00487290">
        <w:rPr>
          <w:rFonts w:ascii="Garamond" w:hAnsi="Garamond"/>
          <w:i/>
          <w:iCs/>
          <w:lang w:val="en-US"/>
        </w:rPr>
        <w:t>gezählt</w:t>
      </w:r>
      <w:r w:rsidRPr="00487290">
        <w:rPr>
          <w:rFonts w:ascii="Garamond" w:hAnsi="Garamond"/>
          <w:lang w:val="en-US"/>
        </w:rPr>
        <w:t xml:space="preserve"> zu haben, wofür ihm jedes Verständnis abging. Am Tage, als sie abreiste, stieß er mit dem Fuße gegen einen auf der Straße liegenden Stein und </w:t>
      </w:r>
      <w:r w:rsidRPr="00487290">
        <w:rPr>
          <w:rFonts w:ascii="Garamond" w:hAnsi="Garamond"/>
          <w:i/>
          <w:iCs/>
          <w:lang w:val="en-US"/>
        </w:rPr>
        <w:t>mußte</w:t>
      </w:r>
      <w:r w:rsidRPr="00487290">
        <w:rPr>
          <w:rFonts w:ascii="Garamond" w:hAnsi="Garamond"/>
          <w:lang w:val="en-US"/>
        </w:rPr>
        <w:t xml:space="preserve"> ihn nun auf die Seite räumen, weil ihm die Idee kam, in einigen Stunden werde ihr Wagen auf derselben Straße fahren und vielleicht an diesem Stein zu Schaden kommen, aber einige Minuten später fiel ihm ein, das sei doch ein Unsinn, und er </w:t>
      </w:r>
      <w:r w:rsidRPr="00487290">
        <w:rPr>
          <w:rFonts w:ascii="Garamond" w:hAnsi="Garamond"/>
          <w:i/>
          <w:iCs/>
          <w:lang w:val="en-US"/>
        </w:rPr>
        <w:t>mußte</w:t>
      </w:r>
      <w:r w:rsidRPr="00487290">
        <w:rPr>
          <w:rFonts w:ascii="Garamond" w:hAnsi="Garamond"/>
          <w:lang w:val="en-US"/>
        </w:rPr>
        <w:t xml:space="preserve"> nun zurückgehen und den Stein wieder an seine frühere Stelle mitten auf der Straße legen. Nach ihrer Abreise bemächtigte sich seiner ein </w:t>
      </w:r>
      <w:r w:rsidRPr="00487290">
        <w:rPr>
          <w:rFonts w:ascii="Garamond" w:hAnsi="Garamond"/>
          <w:i/>
          <w:iCs/>
          <w:lang w:val="en-US"/>
        </w:rPr>
        <w:t>Verstehzwang</w:t>
      </w:r>
      <w:r w:rsidRPr="00487290">
        <w:rPr>
          <w:rFonts w:ascii="Garamond" w:hAnsi="Garamond"/>
          <w:lang w:val="en-US"/>
        </w:rPr>
        <w:t>, der ihn allen den Seinigen unausstehlich machte. Er nötigte sich, jede Silbe, die irgend jemand zu ihm sprach, genau zu verstehen, als ob ihm sonst ein großer Schatz entginge. So fragte er immer: »Was hast du jetzt gesagt?« Und wenn man es ihm wiederholte, meinte er, es habe doch das erste Mal anders gelautet, und blieb unbefriedigt.</w:t>
      </w:r>
    </w:p>
    <w:p w:rsidR="00822836" w:rsidRPr="00487290" w:rsidRDefault="00822836" w:rsidP="00822836">
      <w:pPr>
        <w:pStyle w:val="Sansinterligne"/>
        <w:rPr>
          <w:rFonts w:ascii="Garamond" w:hAnsi="Garamond"/>
          <w:lang w:val="en-US"/>
        </w:rPr>
      </w:pPr>
      <w:r w:rsidRPr="00487290">
        <w:rPr>
          <w:rFonts w:ascii="Garamond" w:hAnsi="Garamond"/>
          <w:lang w:val="en-US"/>
        </w:rPr>
        <w:t>Alle diese Erzeugnisse der Krankheit hängen von einer Begebenheit ab, welche damals sein Verhältnis zur Geliebten dominierte. Als er sich vor dem Sommer von ihr in Wien verabschiedete, legte er eine ihrer Reden so aus, als ob sie ihn vor der anwesenden Gesellschaft verleugnen wollte, und war darüber sehr unglücklich. Im Sommeraufenthalte gab es Gelegenheit zur Aussprache, und da konnte die Dame ihm nachweisen, daß sie mit jenen von ihm mißverstandenen Worten ihn vielmehr vor Lächerlichkeit bewahren wollte. Er war nun wiederum sehr glücklich. Den deutlichsten Hinweis auf diesen Vorfall enthält der Verstehzwang, der so gebildet ist, als ob er sich gesagt hätte: »Nach dieser Erfahrung darfst du jetzt nie wieder jemanden mißverstehen, wenn du dir überflüssige Pein ersparen willst.« Aber dieser Vorsatz ist nicht nur von dem einen Anlaß her verallgemeinert, er ist auch – vielleicht wegen der Abwesenheit der Geliebten – von ihrer hochgeschätzten Person auf alle anderen minderwertigen Personen verschoben. Der Zwang kann auch nicht allein aus der Befriedigung über die von ihr empfangene Aufklärung hervorgegangen sein, er muß noch etwas anderes ausdrücken, denn er läuft ja in den unbefriedigenden Zweifel an der Wiedergabe des Gehörten aus.</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Die anderen Zwangsgebote leiten auf die Spur dieses andern Elementes. Der Schutzzwang kann nichts anderes bedeuten als die Reaktion – Reue und Buße – gegen eine gegensätzliche, also feindselige Regung, die sich vor der Aufklärung gegen die Geliebte gerichtet hatte. Der Zählzwang beim Gewitter deutet sich durch das beigebrachte Material als eine Abwehrmaßregel gegen Befürchtungen, welche Lebensgefahr bedeuteten. Durch die Analysen der ersterwähnten Zwangsvorstellungen sind wir bereits darauf vorbereitet, die feindseligen Regungen unseres Patienten für besonders heftig, von der Art der sinnlosen Wut zu schätzen, und dann finden wir, daß diese Wut gegen die Dame auch nach der Versöhnung ihren Beitrag zu den Zwangsbildungen stellt. In der Zweifelsucht, ob er richtig gehört, ist der fortwirkende Zweifel dargestellt, ob er wohl diesmal die Geliebte richtig verstanden hat und ihre Worte mit Recht als </w:t>
      </w:r>
      <w:r w:rsidRPr="00487290">
        <w:rPr>
          <w:rFonts w:ascii="Garamond" w:hAnsi="Garamond"/>
          <w:lang w:val="en-US"/>
        </w:rPr>
        <w:lastRenderedPageBreak/>
        <w:t>Beweis ihrer zärtlichen Neigung auffassen darf. Der Zweifel des Verstehzwanges ist Zweifel an ihrer Liebe. Es tobt in unserem Verliebten ein Kampf zwischen Liebe und Haß, die der gleichen Person gelten, und dieser Kampf wird plastisch dargestellt in der zwanghaften, auch symbolisch bedeutsamen Handlung, den Stein von dem Wege, den sie befahren soll, wegzuräumen und dann diese Liebestat wieder rückgängig zu machen, den Stein wieder hinzulegen, wo er lag, damit ihr Wagen an ihm scheitere und sie zu Schaden komme. Wir verstehen diesen zweiten Teil der Zwangshandlung nicht richtig, wenn wir ihn nur als kritische Abwendung vom krankhaften Tun auffassen, wofür er sich selbst ausgeben möchte. Daß auch er sich unter der Empfindung des Zwanges vollzieht, verrät, daß er selbst ein Stück des krankhaften Tuns ist, welches aber von dem Gegensatz zum Motiv des ersten Stückes bedingt wird.</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Solche zweizeitige Zwangshandlungen, deren erstes Tempo vom zweiten aufgehoben wird, sind ein typisches Vorkommnis bei der Zwangsneurose. Sie werden vom bewußten Denken des Kranken natürlich mißverstanden und mit einer sekundären Motivierung versehen – </w:t>
      </w:r>
      <w:r w:rsidRPr="00487290">
        <w:rPr>
          <w:rFonts w:ascii="Garamond" w:hAnsi="Garamond"/>
          <w:i/>
          <w:iCs/>
          <w:lang w:val="en-US"/>
        </w:rPr>
        <w:t>rationalisiert</w:t>
      </w:r>
      <w:hyperlink r:id="rId1143" w:history="1">
        <w:r w:rsidRPr="00487290">
          <w:rPr>
            <w:rStyle w:val="Lienhypertexte"/>
            <w:rFonts w:ascii="Garamond" w:hAnsi="Garamond"/>
            <w:lang w:val="en-US"/>
          </w:rPr>
          <w:t>[Fußnote]</w:t>
        </w:r>
        <w:r w:rsidRPr="00487290">
          <w:rPr>
            <w:rStyle w:val="innerfusslink"/>
            <w:rFonts w:ascii="Garamond" w:hAnsi="Garamond"/>
            <w:lang w:val="en-US"/>
          </w:rPr>
          <w:t>Vgl. Ernest Jones (1908).</w:t>
        </w:r>
      </w:hyperlink>
      <w:r w:rsidRPr="00487290">
        <w:rPr>
          <w:rFonts w:ascii="Garamond" w:hAnsi="Garamond"/>
          <w:lang w:val="en-US"/>
        </w:rPr>
        <w:t xml:space="preserve">. Ihre wirkliche Bedeutung liegt aber in der Darstellung des Konfliktes zweier annähernd gleich großer gegensätzlicher Regungen, soviel ich bisher erfahren konnte, stets des Gegensatzes von Liebe und Haß. Sie beanspruchen ein besonderes theoretisches Interesse, weil sie einen neuen Typus der Symptombildung erkennen lassen. Anstatt, wie es bei Hysterie regelmäßig geschieht, ein Kompromiß zu finden, welches beiden Gegensätzen in einer Darstellung genügt, zwei Fliegen mit einem Schlag trifft </w:t>
      </w:r>
      <w:hyperlink r:id="rId1144" w:history="1">
        <w:r w:rsidRPr="00487290">
          <w:rPr>
            <w:rStyle w:val="Lienhypertexte"/>
            <w:rFonts w:ascii="Garamond" w:hAnsi="Garamond"/>
            <w:lang w:val="en-US"/>
          </w:rPr>
          <w:t>[Fußnote]</w:t>
        </w:r>
        <w:r w:rsidRPr="00487290">
          <w:rPr>
            <w:rStyle w:val="innerfusslink"/>
            <w:rFonts w:ascii="Garamond" w:hAnsi="Garamond"/>
            <w:lang w:val="en-US"/>
          </w:rPr>
          <w:t>Vgl. ›Hysterische Phantasien und ihre Beziehung zur Bisexualität‹ (Freud, 1908).</w:t>
        </w:r>
      </w:hyperlink>
      <w:r w:rsidRPr="00487290">
        <w:rPr>
          <w:rFonts w:ascii="Garamond" w:hAnsi="Garamond"/>
          <w:lang w:val="en-US"/>
        </w:rPr>
        <w:t xml:space="preserve">, werden hier die beiden Gegensätze, jeder einzeln, befriedigt, zuerst der eine und dann der andere, natürlich nicht ohne daß der Versuch gemacht würde, zwischen den beiden einander feindseligen eine Art von logischer Verknüpfung – oft mit Beugung aller Logik – herzustellen </w:t>
      </w:r>
      <w:hyperlink r:id="rId1145" w:history="1">
        <w:r w:rsidRPr="00487290">
          <w:rPr>
            <w:rStyle w:val="Lienhypertexte"/>
            <w:rFonts w:ascii="Garamond" w:hAnsi="Garamond"/>
            <w:lang w:val="en-US"/>
          </w:rPr>
          <w:t>[Fußnote]</w:t>
        </w:r>
        <w:r w:rsidRPr="00487290">
          <w:rPr>
            <w:rStyle w:val="innerfusslink"/>
            <w:rFonts w:ascii="Garamond" w:hAnsi="Garamond"/>
            <w:lang w:val="en-US"/>
          </w:rPr>
          <w:t>Ein anderer Zwangskranker berichtete mir einmal, er sei im Parke von Schönbrunn mit dem Fuße auf einen im Wege liegenden Ast gestoßen, den er nun in die den Weg begrenzende Hecke schleuderte. Auf dem Heimwege überkam ihn plötzlich die Sorge, in der neuen Lage könnte der jetzt vielleicht etwas vorragende Ast zum Anlasse eines Unfalles für jemand werden, der nach ihm an derselben Stelle vorbeigehe. Er mußte von der Trambahn abspringen, in den Park zurückeilen, die Stelle aufsuchen und den Ast in die frühere Lage zurückbringen, obwohl es jedem anderen als dem Kranken einleuchten würde, daß die frühere Lage doch für einen Passanten gefährlicher sein müßte als die neue im Gebüsche. Die zweite feindselige Handlung, die sich als Zwang durchsetzte, hatte sich vor dem bewußten Denken mit der Motivierung der ersten, menschenfreundlichen geschmückt.</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Der Konflikt zwischen Liebe und Haß tat sich bei unserem Patienten auch durch andere Anzeichen kund. Zur Zeit seiner wiedererwachenden Frömmigkeit richtete er sich Gebete ein, die allmählich bis zu 1½ Stunden in Anspruch nahmen, weil sich ihm – ein umgekehrter Bileam – in die frommen Formeln immer etwas einmengte, was sie ins Gegenteil verkehrte. Sagte er z. B. » </w:t>
      </w:r>
      <w:r w:rsidRPr="00487290">
        <w:rPr>
          <w:rFonts w:ascii="Garamond" w:hAnsi="Garamond"/>
          <w:i/>
          <w:iCs/>
          <w:lang w:val="en-US"/>
        </w:rPr>
        <w:t>Gott schütze ihn</w:t>
      </w:r>
      <w:r w:rsidRPr="00487290">
        <w:rPr>
          <w:rFonts w:ascii="Garamond" w:hAnsi="Garamond"/>
          <w:lang w:val="en-US"/>
        </w:rPr>
        <w:t xml:space="preserve">« – so gab der böse Geist schnell ein » </w:t>
      </w:r>
      <w:r w:rsidRPr="00487290">
        <w:rPr>
          <w:rFonts w:ascii="Garamond" w:hAnsi="Garamond"/>
          <w:i/>
          <w:iCs/>
          <w:lang w:val="en-US"/>
        </w:rPr>
        <w:t>nicht</w:t>
      </w:r>
      <w:r w:rsidRPr="00487290">
        <w:rPr>
          <w:rFonts w:ascii="Garamond" w:hAnsi="Garamond"/>
          <w:lang w:val="en-US"/>
        </w:rPr>
        <w:t xml:space="preserve">« dazu </w:t>
      </w:r>
      <w:hyperlink r:id="rId1146" w:history="1">
        <w:r w:rsidRPr="00487290">
          <w:rPr>
            <w:rStyle w:val="Lienhypertexte"/>
            <w:rFonts w:ascii="Garamond" w:hAnsi="Garamond"/>
            <w:lang w:val="en-US"/>
          </w:rPr>
          <w:t>[Fußnote]</w:t>
        </w:r>
        <w:r w:rsidRPr="00487290">
          <w:rPr>
            <w:rStyle w:val="innerfusslink"/>
            <w:rFonts w:ascii="Garamond" w:hAnsi="Garamond"/>
            <w:lang w:val="en-US"/>
          </w:rPr>
          <w:t>Vergleiche den ähnlichen Mechanismus der bekannten sakrilegischen Einfälle der Frommen.</w:t>
        </w:r>
      </w:hyperlink>
      <w:r w:rsidRPr="00487290">
        <w:rPr>
          <w:rFonts w:ascii="Garamond" w:hAnsi="Garamond"/>
          <w:lang w:val="en-US"/>
        </w:rPr>
        <w:t>. Einmal kam ihm dabei die Idee zu fluchen; da werde sich doch gewiß ein Widerspruch einschleichen; in diesem Einfalle brach sich die ursprüngliche, durch das Gebet verdrängte Intention Bahn. In solcher Bedrängnis fand er den Ausweg, die Gebete abzustellen und sie durch eine kurze Formel zu ersetzen, die aus den Anfangsbuchstaben oder Anfangssilben verschiedener Gebete zusammengebraut war. Diese sprach er dann so rasch aus, daß ihm nichts dazwischenfahren konnte.</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Er brachte mir einmal einen Traum, der die Darstellung desselben Konfliktes in der Übertragung auf den Arzt enthielt: Meine Mutter ist gestorben. Er will kondolieren, fürchtet aber, daß er dabei das </w:t>
      </w:r>
      <w:r w:rsidRPr="00487290">
        <w:rPr>
          <w:rFonts w:ascii="Garamond" w:hAnsi="Garamond"/>
          <w:i/>
          <w:iCs/>
          <w:lang w:val="en-US"/>
        </w:rPr>
        <w:t>impertinente Lachen</w:t>
      </w:r>
      <w:r w:rsidRPr="00487290">
        <w:rPr>
          <w:rFonts w:ascii="Garamond" w:hAnsi="Garamond"/>
          <w:lang w:val="en-US"/>
        </w:rPr>
        <w:t xml:space="preserve"> produzieren wird, das er schon wiederholt bei Todesfällen gezeigt hat. Er schreibt darum lieber eine Karte mit </w:t>
      </w:r>
      <w:r w:rsidRPr="00487290">
        <w:rPr>
          <w:rFonts w:ascii="Garamond" w:hAnsi="Garamond"/>
          <w:i/>
          <w:iCs/>
          <w:lang w:val="en-US"/>
        </w:rPr>
        <w:t>p. c.</w:t>
      </w:r>
      <w:r w:rsidRPr="00487290">
        <w:rPr>
          <w:rFonts w:ascii="Garamond" w:hAnsi="Garamond"/>
          <w:lang w:val="en-US"/>
        </w:rPr>
        <w:t xml:space="preserve">, aber diese Buchstaben verwandeln sich ihm beim Schreiben in </w:t>
      </w:r>
      <w:r w:rsidRPr="00487290">
        <w:rPr>
          <w:rFonts w:ascii="Garamond" w:hAnsi="Garamond"/>
          <w:i/>
          <w:iCs/>
          <w:lang w:val="en-US"/>
        </w:rPr>
        <w:t>p. f.</w:t>
      </w:r>
      <w:hyperlink r:id="rId1147" w:history="1">
        <w:r w:rsidRPr="00487290">
          <w:rPr>
            <w:rStyle w:val="Lienhypertexte"/>
            <w:rFonts w:ascii="Garamond" w:hAnsi="Garamond"/>
            <w:lang w:val="en-US"/>
          </w:rPr>
          <w:t>[Fußnote]</w:t>
        </w:r>
        <w:r w:rsidRPr="00487290">
          <w:rPr>
            <w:rStyle w:val="innerfusslink"/>
            <w:rFonts w:ascii="Garamond" w:hAnsi="Garamond"/>
            <w:lang w:val="en-US"/>
          </w:rPr>
          <w:t>Dieser Traum gibt die Aufklärung des so häufigen und als rätselhaft betrachteten Zwangslachens bei Traueranlässen.</w:t>
        </w:r>
      </w:hyperlink>
    </w:p>
    <w:p w:rsidR="00822836" w:rsidRPr="00487290" w:rsidRDefault="00822836" w:rsidP="00822836">
      <w:pPr>
        <w:pStyle w:val="Sansinterligne"/>
        <w:rPr>
          <w:rFonts w:ascii="Garamond" w:hAnsi="Garamond"/>
        </w:rPr>
      </w:pPr>
      <w:r w:rsidRPr="00487290">
        <w:rPr>
          <w:rFonts w:ascii="Garamond" w:hAnsi="Garamond"/>
          <w:lang w:val="en-US"/>
        </w:rPr>
        <w:t xml:space="preserve">Der Widerstreit seiner Gefühle gegen seine Dame war zu deutlich, als daß er sich seiner bewußten Wahrnehmung gänzlich hätte entziehen können, wenngleich wir aus den Zwangsäußerungen desselben schließen dürfen, daß er für die Tiefe seiner negativen Regungen die richtige Schätzung nicht besaß. Die Dame hatte seine erste Werbung vor zehn Jahren mit einem Nein beantwortet. Seither wechselten Zeiten, in denen er sie intensiv zu lieben glaubte, mit anderen, in welchen er gleichgültig gegen sie fühlte, auch in seinem Wissen miteinander ab. Wenn er im Laufe der Behandlung einen Schritt tun sollte, welcher ihn dem Ziele der Bewerbung näher brachte, so äußerte sich sein Widerstand gewöhnlich zuerst in der Überzeugung, er habe sie eigentlich gar nicht so lieb, die freilich bald überwunden wurde. Als sie einmal in schwerer Krankheit zu Bette lag, was seine äußerste Teilnahme hervorrief, brach bei ihrem Anblicke der Wunsch bei ihm durch: so soll sie immer liegen bleiben. Er deutete sich diesen Einfall durch das </w:t>
      </w:r>
      <w:r w:rsidRPr="00487290">
        <w:rPr>
          <w:rFonts w:ascii="Garamond" w:hAnsi="Garamond"/>
          <w:lang w:val="en-US"/>
        </w:rPr>
        <w:lastRenderedPageBreak/>
        <w:t xml:space="preserve">spitzfindige Mißverständnis, er wünsche nur darum ihr beständiges Kranksein, damit er die Angst vor wiederholten Krankheitsfällen loswerde, die er nicht ertragen könne! </w:t>
      </w:r>
      <w:hyperlink r:id="rId1148" w:history="1">
        <w:r w:rsidRPr="00487290">
          <w:rPr>
            <w:rStyle w:val="Lienhypertexte"/>
            <w:rFonts w:ascii="Garamond" w:hAnsi="Garamond"/>
          </w:rPr>
          <w:t>[Fußnote]</w:t>
        </w:r>
        <w:r w:rsidRPr="00487290">
          <w:rPr>
            <w:rStyle w:val="innerfusslink"/>
            <w:rFonts w:ascii="Garamond" w:hAnsi="Garamond"/>
          </w:rPr>
          <w:t>Ein Beitrag eines andern Motivs zu diesem Zwangseinfall ist nicht abzuweisen: des Wunsches, sie wehrlos gegen seine Absichten zu wissen.</w:t>
        </w:r>
      </w:hyperlink>
      <w:r w:rsidRPr="00487290">
        <w:rPr>
          <w:rFonts w:ascii="Garamond" w:hAnsi="Garamond"/>
        </w:rPr>
        <w:t xml:space="preserve"> Gelegentlich beschäftigte er seine Phantasie mit Tagträumen, die er selbst als »Rachephantasien« erkannte und deren er sich schämte. Weil er meinte, daß sie einen großen Wert auf die soziale Stellung eines Bewerbers legen würde, phantasierte er, daß sie einen solchen Mann in amtlicher Position geheiratet habe. </w:t>
      </w:r>
      <w:r w:rsidRPr="00487290">
        <w:rPr>
          <w:rFonts w:ascii="Garamond" w:hAnsi="Garamond"/>
          <w:lang w:val="en-US"/>
        </w:rPr>
        <w:t xml:space="preserve">Er tritt nun in dasselbe Amt ein, bringt es dort viel weiter als jener, der zu seinem Untergebenen wird. Eines Tages hat dieser Mann eine unlautere Handlung begangen. Die Dame fällt ihm zu Füßen, beschwört ihn, ihren Mann zu retten. Er verspricht es, eröffnet ihr, daß er nur aus Liebe zu ihr in das Amt eingetreten sei, weil er einen solchen Moment vorausgesehen habe. </w:t>
      </w:r>
      <w:r w:rsidRPr="00487290">
        <w:rPr>
          <w:rFonts w:ascii="Garamond" w:hAnsi="Garamond"/>
        </w:rPr>
        <w:t>Jetzt sei mit der Rettung ihres Mannes seine Mission erfüllt; er lege sein Amt nieder.</w:t>
      </w:r>
    </w:p>
    <w:p w:rsidR="00822836" w:rsidRPr="00487290" w:rsidRDefault="00822836" w:rsidP="00822836">
      <w:pPr>
        <w:pStyle w:val="Sansinterligne"/>
        <w:rPr>
          <w:rFonts w:ascii="Garamond" w:hAnsi="Garamond"/>
        </w:rPr>
      </w:pPr>
      <w:r w:rsidRPr="00487290">
        <w:rPr>
          <w:rFonts w:ascii="Garamond" w:hAnsi="Garamond"/>
        </w:rPr>
        <w:t>In anderen Phantasien, des Inhaltes, daß er ihr einen großen Dienst leiste u. dgl., ohne daß sie erfahre, daß er es sei, anerkannte er bloß die Zärtlichkeit, ohne den zur Verdrängung der Rachsucht bestimmten Edelmut nach Muster des Dumasschen Grafen von Montecristo nach dieser seiner Herkunft und Tendenz zu würdigen. Übrigens gestand er zu, daß er gelegentlich unter sehr deutlichen Impulsen stehe, der von ihm verehrten Dame etwas anzutun. Diese Impulse schwiegen meist in ihrer Gegenwart und träten in ihrer Abwesenheit hervor.</w:t>
      </w:r>
    </w:p>
    <w:p w:rsidR="00822836" w:rsidRPr="00487290" w:rsidRDefault="00822836" w:rsidP="00822836">
      <w:pPr>
        <w:pStyle w:val="Sansinterligne"/>
        <w:rPr>
          <w:rFonts w:ascii="Garamond" w:hAnsi="Garamond"/>
        </w:rPr>
      </w:pPr>
      <w:r w:rsidRPr="00487290">
        <w:rPr>
          <w:rFonts w:ascii="Garamond" w:hAnsi="Garamond"/>
        </w:rPr>
        <w:t>F. Die Krankheitsveranlassung</w:t>
      </w:r>
    </w:p>
    <w:p w:rsidR="00822836" w:rsidRPr="00487290" w:rsidRDefault="00822836" w:rsidP="00822836">
      <w:pPr>
        <w:pStyle w:val="Sansinterligne"/>
        <w:rPr>
          <w:rFonts w:ascii="Garamond" w:hAnsi="Garamond"/>
        </w:rPr>
      </w:pPr>
      <w:r w:rsidRPr="00487290">
        <w:rPr>
          <w:rFonts w:ascii="Garamond" w:hAnsi="Garamond"/>
        </w:rPr>
        <w:t>Eines Tages erwähnte unser Patient flüchtig eine Begebenheit, in welcher ich sofort die Krankheitsveranlassung, wenigstens den rezenten Anlaß des noch heute anhaltenden Krankheitsausbruches vor etwa 6 Jahren erkennen mußte. Er selbst hatte keine Ahnung, daß er etwas Bedeutsames vorgebracht hatte; er konnte sich nicht erinnern, der Begebenheit, die er übrigens niemals vergessen hatte, einen Wert beigelegt zu haben. Dieses Verhalten fordert eine theoretische Würdigung heraus.</w:t>
      </w:r>
    </w:p>
    <w:p w:rsidR="00822836" w:rsidRPr="00487290" w:rsidRDefault="00822836" w:rsidP="00822836">
      <w:pPr>
        <w:pStyle w:val="Sansinterligne"/>
        <w:rPr>
          <w:rFonts w:ascii="Garamond" w:hAnsi="Garamond"/>
          <w:lang w:val="en-US"/>
        </w:rPr>
      </w:pPr>
      <w:r w:rsidRPr="00487290">
        <w:rPr>
          <w:rFonts w:ascii="Garamond" w:hAnsi="Garamond"/>
        </w:rPr>
        <w:t xml:space="preserve">Bei Hysterie ist es Regel, daß die rezenten Anlässe der Erkrankung der Amnesie ebenso verfallen wie die infantilen Erlebnisse, mit deren Hilfe jene ihre Affektenergie in Symptome umsetzen. Wo ein völliges Vergessen unmöglich ist, da wird die rezente traumatische Veranlassung doch von der Amnesie angenagt und zum mindesten ihrer bedeutsamsten Bestandteile beraubt. </w:t>
      </w:r>
      <w:r w:rsidRPr="00487290">
        <w:rPr>
          <w:rFonts w:ascii="Garamond" w:hAnsi="Garamond"/>
          <w:lang w:val="en-US"/>
        </w:rPr>
        <w:t xml:space="preserve">Wir sehen in solcher Amnesie den Erweis der stattgehabten Verdrängung. Anders ist es in der Regel bei der Zwangsneurose. Die infantilen Voraussetzungen der Neurose mögen einer – oft nur unvollständigen – Amnesie verfallen sein; die rezenten Anlässe der Erkrankung finden sich dagegen im Gedächtnis erhalten. Die Verdrängung hat sich hier eines andern, eigentlich einfacheren Mechanismus bedient; anstatt das Trauma zu vergessen, hat sie ihm die Affektbesetzung entzogen, so daß im Bewußtsein ein indifferenter, für unwesentlich erachteter Vorstellungsinhalt erübrigt. Der Unterschied liegt im psychischen Geschehen, das wir hinter den Phänomenen konstruieren dürfen; der Erfolg des Vorganges ist fast der nämliche, denn der indifferente Erinnerungsinhalt wird nur selten reproduziert und spielt in der bewußten Gedankentätigkeit der Person keine Rolle. Zur Unterscheidung der beiden Arten der Verdrängung können wir zunächst nur die Versicherung des Patienten verwenden, er habe die Empfindung, daß er das eine immer gewußt, das andere seit langer Zeit vergessen habe </w:t>
      </w:r>
      <w:hyperlink r:id="rId1149" w:history="1">
        <w:r w:rsidRPr="00487290">
          <w:rPr>
            <w:rStyle w:val="Lienhypertexte"/>
            <w:rFonts w:ascii="Garamond" w:hAnsi="Garamond"/>
            <w:lang w:val="en-US"/>
          </w:rPr>
          <w:t>[Fußnote]</w:t>
        </w:r>
        <w:r w:rsidRPr="00487290">
          <w:rPr>
            <w:rStyle w:val="innerfusslink"/>
            <w:rFonts w:ascii="Garamond" w:hAnsi="Garamond"/>
            <w:lang w:val="en-US"/>
          </w:rPr>
          <w:t>Man muß also zugeben, daß es für die Zwangsneurose zweierlei Wissen und Kennen gibt, und darf mit dem gleichen Rechte behaupten, der Zwangskranke »kenne« seine Traumen, wie, daß er sie nicht »kenne«. Er kennt sie nämlich, insofern er sie nicht vergessen hat, er kennt sie nicht, da er nicht ihre Bedeutung erkennt. Es ist im normalen Leben oft auch nicht anders. Die Kellner, die den Philosophen Schopenhauer in seinem Stammgasthaus zu bedienen pflegten, »kannten« ihn in gewissem Sinne zu einer Zeit, da er sonst in und außerhalb Frankfurt unbekannt war, aber nicht in dem Sinne, den wir heute mit der »Kenntnis« von Schopenhauer verbinden.</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Es ist darum kein seltenes Vorkommnis, daß Zwangskranke, die an Selbstvorwürfen leiden und ihre Affekte an falsche Veranlassungen geknüpft haben, dem Arzt auch von den richtigen Mitteilung machen, ohne zu ahnen, daß ihre Vorwürfe nur von diesen letzteren abgetrennt sind. Sie äußern dabei gelegentlich verwundert oder selbst wie prahlerisch: Daraus mache ich mir aber gar nichts. So war es auch in dem ersten Falle von Zwangsneurose, der mir vor vielen Jahren das Verständnis des Leidens eröffnete. Der Patient, ein Staatsbeamter, der an ungezählten Bedenklichkeiten litt, derselbe, von dem ich die Zwangshandlung an dem Ast im Schönbrunner Park berichtet habe, fiel mir dadurch auf, daß er mir für den Besuch in der Sprechstunde stets reine und glatte Papiergulden überreichte. (Wir hatten damals in Österreich noch kein Silbergeld.) Als ich einmal bemerkte, man erkenne doch gleich den Staatsbeamten an den nagelneuen Gulden, die er von der Staatskasse beziehe, belehrte er mich, die Gulden seien keineswegs neu, sondern in seinem Hause gebügelt (geplättet) worden. Er mache sich ein Gewissen daraus, jemand </w:t>
      </w:r>
      <w:r w:rsidRPr="00487290">
        <w:rPr>
          <w:rFonts w:ascii="Garamond" w:hAnsi="Garamond"/>
          <w:lang w:val="en-US"/>
        </w:rPr>
        <w:lastRenderedPageBreak/>
        <w:t xml:space="preserve">schmutzige Papiergulden in die Hand zu geben; da klebten die gefährlichsten Bakterien daran, die dem Empfänger Schaden bringen könnten. Mir dämmerte damals bereits in unsicherer Ahnung der Zusammenhang der Neurosen mit dem Sexualleben, und so wagte ich es, den Patienten ein andermal zu befragen, wie er es in diesem Punkte hielte. »Oh, alles in Ordnung«, meinte er leichthin, »ich leide keinen Mangel. Ich spiele in vielen guten Bürgerhäusern die Rolle eines lieben alten Onkels, und die benütze ich, um mir von Zeit zu Zeit ein junges Mädchen für eine Landpartie abzubitten. Ich richte es dann so ein, daß wir den Zug versäumen und auf dem Lande übernachten müssen. Ich nehme dann immer zwei Zimmer, ich bin sehr nobel; aber wenn das Mädchen zu Bett ist, komme ich zu ihr und masturbiere sie mit meinen Fingern.« – »Ja, fürchten Sie denn nicht, daß Sie ihr schaden, wenn Sie mit Ihrer schmutzigen Hand in ihren Genitalien herumarbeiten?« – Da brauste er aber auf: »Schaden? Was soll es ihr denn schaden? Keiner hat es noch geschadet, und jeder war es recht. Einige von ihnen sind jetzt schon verheiratet, und es hat ihnen nicht geschadet.« – Er nahm meine Beanständung sehr übel auf und kam nie wieder. Ich konnte mir aber den Kontrast zwischen seiner Bedenklichkeit bei den Papiergulden und seiner Rücksichtslosigkeit beim Mißbrauch der ihm anvertrauten Mädchen nur durch eine </w:t>
      </w:r>
      <w:r w:rsidRPr="00487290">
        <w:rPr>
          <w:rFonts w:ascii="Garamond" w:hAnsi="Garamond"/>
          <w:i/>
          <w:iCs/>
          <w:lang w:val="en-US"/>
        </w:rPr>
        <w:t>Verschiebung</w:t>
      </w:r>
      <w:r w:rsidRPr="00487290">
        <w:rPr>
          <w:rFonts w:ascii="Garamond" w:hAnsi="Garamond"/>
          <w:lang w:val="en-US"/>
        </w:rPr>
        <w:t xml:space="preserve"> des Vorwurfsaffekts erklären. Die Tendenz dieser Verschiebung war deutlich genug; wenn er den Vorwurf dort beließ, wohin er gehörte, so mußte er auf eine sexuelle Befriedigung verzichten, zu der er wahrscheinlich durch starke infantile Determinanten gedrängt war. Er erzielte also durch die Verschiebung einen namhaften </w:t>
      </w:r>
      <w:r w:rsidRPr="00487290">
        <w:rPr>
          <w:rFonts w:ascii="Garamond" w:hAnsi="Garamond"/>
          <w:i/>
          <w:iCs/>
          <w:lang w:val="en-US"/>
        </w:rPr>
        <w:t>Krankheitsgewinn</w:t>
      </w:r>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Auf die Krankheitsveranlassung bei unserem Patienten muß ich aber nun ausführlicher eingehen. Seine Mutter war als entfernte Verwandte in einer reichen Familie aufgezogen worden, die ein großes industrielles Unternehmen betrieb. Sein Vater trat gleichzeitig mit der Heirat in den Dienst dieses Unternehmens und gelangte so eigentlich infolge seiner Ehewahl zu ziemlichem Wohlstand. Durch Neckereien zwischen den in vortrefflicher Ehe lebenden Eltern hatte der Sohn erfahren, daß der Vater einem hübschen armen Mädchen aus bescheidener Familie den Hof gemacht hatte, eine Zeitlang bevor er die Mutter kennenlernte. Dies die Vorgeschichte. Nach dem Tode des Vaters teilte die Mutter eines Tages dem Sohne mit, es sei zwischen ihr und ihren reichen Verwandten die Rede von seiner Zukunft gewesen, und einer der Vettern habe seine Bereitwilligkeit ausgedrückt, ihm eine seiner Töchter zu geben, wenn er seine Studien beendigt habe; die geschäftliche Verbindung mit der Firma werde ihm dann auch in seinem Berufe glänzende Aussichten eröffnen. Dieser Plan der Familie entzündete in ihm den Konflikt, ob er seiner armen Geliebten treu bleiben oder in die Fußstapfen des Vaters treten und das schöne, reiche, vornehme Mädchen, das ihm bestimmt worden, zur Frau nehmen solle. Und diesen Konflikt, der eigentlich ein solcher zwischen seiner Liebe und dem fortwirkenden Willen des Vaters war, löste er durch Erkrankung, richtiger gesagt: er entzog sich durch die Erkrankung der Aufgabe, ihn in der Realität zu lösen </w:t>
      </w:r>
      <w:hyperlink r:id="rId1150" w:history="1">
        <w:r w:rsidRPr="00487290">
          <w:rPr>
            <w:rStyle w:val="Lienhypertexte"/>
            <w:rFonts w:ascii="Garamond" w:hAnsi="Garamond"/>
            <w:lang w:val="en-US"/>
          </w:rPr>
          <w:t>[Fußnote]</w:t>
        </w:r>
        <w:r w:rsidRPr="00487290">
          <w:rPr>
            <w:rStyle w:val="innerfusslink"/>
            <w:rFonts w:ascii="Garamond" w:hAnsi="Garamond"/>
            <w:lang w:val="en-US"/>
          </w:rPr>
          <w:t>Es ist hervorzuheben, daß die Flucht in die Krankheit ihm durch die Identifizierung mit dem Vater ermöglicht wurde. Diese gestattete ihm die Regression der Affekte auf die Kindheitsreste.</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Der Beweis für diese Auffassung liegt in der Tatsache, daß hartnäckige Arbeitsunfähigkeit, die ihn die Beendigung seiner Studien um Jahre aufschieben ließ, der Haupterfolg der Erkrankung war. Was aber der Erfolg einer Krankheit ist, das lag in der Absicht derselben; die anscheinende Krankheitsfolge ist in Wirklichkeit die Ursache, das Motiv des Krankwerdens.</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Meine Aufklärung fand begreiflicherweise bei dem Kranken zunächst keine Anerkennung. Er könne sich eine solche Wirkung des Heiratsplanes nicht vorstellen, derselbe habe ihm seinerzeit nicht den mindesten Eindruck gemacht. Im weiteren Verlaufe der Kur mußte er sich aber auf einem eigentümlichen Wege von der Richtigkeit meiner Vermutung überzeugen. Er erlebte mit Hilfe einer Übertragungsphantasie als neu und gegenwärtig, was er aus der Vergangenheit vergessen hatte oder was nur unbewußt bei ihm abgelaufen war. Aus einer dunkeln und schwierigen Periode der Behandlungsarbeit ergab sich endlich, daß er ein junges Mädchen, welches er einmal auf der Stiege meines Hauses angetroffen, zu meiner Tochter erhoben hatte. Sie erregte sein Wohlgefallen, und er imaginierte, daß ich nur darum so liebenswürdig und unerhört geduldig mit ihm sei, weil ich ihn zum Schwiegersohne wünsche, wobei er den Reichtum und die Vornehmheit meines Hauses bis zu dem ihm zum Vorbild passenden Niveau erhöhte. Gegen diese Versuchung stritt aber in ihm die unauslöschliche Liebe zu seiner Dame. Nachdem wir eine Reihe der schwersten Widerstände und ärgsten Beschimpfungen überwunden hatten, konnte er sich der überzeugenden Wirkung der vollen Analogie zwischen der phantasierten Übertragung und der damaligen Realität nicht entziehen. Ich gebe einen seiner Träume aus dieser Zeit wieder, um den Stil seiner Darstellung an einer Probe zu zeigen. </w:t>
      </w:r>
      <w:r w:rsidRPr="00487290">
        <w:rPr>
          <w:rFonts w:ascii="Garamond" w:hAnsi="Garamond"/>
          <w:i/>
          <w:iCs/>
          <w:lang w:val="en-US"/>
        </w:rPr>
        <w:t>Er sieht meine Tochter vor sich, aber sie hat zwei Dreckpatzen anstatt der Augen.</w:t>
      </w:r>
      <w:r w:rsidRPr="00487290">
        <w:rPr>
          <w:rFonts w:ascii="Garamond" w:hAnsi="Garamond"/>
          <w:lang w:val="en-US"/>
        </w:rPr>
        <w:t xml:space="preserve"> Für jeden, der die Sprache der Träume versteht, wird die Übersetzung leicht sein: </w:t>
      </w:r>
      <w:r w:rsidRPr="00487290">
        <w:rPr>
          <w:rFonts w:ascii="Garamond" w:hAnsi="Garamond"/>
          <w:i/>
          <w:iCs/>
          <w:lang w:val="en-US"/>
        </w:rPr>
        <w:t>Er heiratet meine Tochter nicht ihrer schönen Augen, sondern ihres Geldes wegen.</w:t>
      </w:r>
    </w:p>
    <w:p w:rsidR="00822836" w:rsidRPr="00487290" w:rsidRDefault="00822836" w:rsidP="00822836">
      <w:pPr>
        <w:pStyle w:val="Sansinterligne"/>
        <w:rPr>
          <w:rFonts w:ascii="Garamond" w:hAnsi="Garamond"/>
          <w:lang w:val="en-US"/>
        </w:rPr>
      </w:pPr>
      <w:r w:rsidRPr="00487290">
        <w:rPr>
          <w:rFonts w:ascii="Garamond" w:hAnsi="Garamond"/>
          <w:lang w:val="en-US"/>
        </w:rPr>
        <w:lastRenderedPageBreak/>
        <w:t>G. Der Vaterkomplex und die Lösung der Rattenidee</w:t>
      </w:r>
    </w:p>
    <w:p w:rsidR="00822836" w:rsidRPr="00487290" w:rsidRDefault="00822836" w:rsidP="00822836">
      <w:pPr>
        <w:pStyle w:val="Sansinterligne"/>
        <w:rPr>
          <w:rFonts w:ascii="Garamond" w:hAnsi="Garamond"/>
          <w:lang w:val="en-US"/>
        </w:rPr>
      </w:pPr>
      <w:r w:rsidRPr="00487290">
        <w:rPr>
          <w:rFonts w:ascii="Garamond" w:hAnsi="Garamond"/>
          <w:lang w:val="en-US"/>
        </w:rPr>
        <w:t>Von der Krankheitsveranlassung reiferer Jahre führte ein Faden zurück in die Kindheit unseres Patienten. Er fand sich in einer Situation, wie sie nach seinem Wissen oder Vermuten der Vater vor seiner eigenen Eheschließung bestanden hatte, und konnte sich mit dem Vater identifizieren. Noch in anderer Weise spielte der verstorbene Vater in die rezente Erkrankung hinein. Der Krankheitskonflikt war im Wesen ein Widerstreit zwischen dem fortwirkenden Willen des Vaters und seiner eigenen verliebten Neigung. Nehmen wir Rücksicht auf die Mitteilungen, die der Patient in den ersten Stunden der Behandlung gemacht hatte, so können wir die Vermutung nicht abweisen, daß dieser Widerstreit ein uralter gewesen sei und sich schon in den Kinderjahren des Kranken ergeben habe.</w:t>
      </w:r>
    </w:p>
    <w:p w:rsidR="00822836" w:rsidRPr="00487290" w:rsidRDefault="00822836" w:rsidP="00822836">
      <w:pPr>
        <w:pStyle w:val="Sansinterligne"/>
        <w:rPr>
          <w:rFonts w:ascii="Garamond" w:hAnsi="Garamond"/>
          <w:lang w:val="en-US"/>
        </w:rPr>
      </w:pPr>
      <w:r w:rsidRPr="00487290">
        <w:rPr>
          <w:rFonts w:ascii="Garamond" w:hAnsi="Garamond"/>
          <w:lang w:val="en-US"/>
        </w:rPr>
        <w:t>Der Vater unseres Patienten war nach allen Auskünften ein ganz vortrefflicher Mann. Er war vor der Heirat Unteroffizier gewesen und hatte eine aufrichtige soldatische Art sowie eine Vorliebe für derbe Ausdrücke als Niederschlag aus diesem Stücke seines Lebens behalten. Außer den Tugenden, die der Leichenstein an jedermann zu rühmen pflegt, zeichnete ihn ein herzlicher Humor und eine gütige Nachsicht gegen seine Mitmenschen aus; es steht gewiß nicht im Widerspruche mit diesem Charakter, stellt sich vielmehr als Ergänzung zu ihm dar, daß er jäh und heftig sein konnte, was den Kindern, solange sie klein und schlimm waren, gelegentlich zu sehr empfindlichen Züchtigungen verhalf. Als die Kinder heranwuchsen, wich er von anderen Vätern darin ab, daß er sich nicht zur unantastbaren Autorität emporheben wollte, sondern in gutmütiger Offenheit die kleinen Verfehlungen und Mißgeschicke seines Lebens ihrer Mitwissenschaft preisgab. Der Sohn übertrieb gewiß nicht, wenn er aussprach, sie hätten miteinander verkehrt wie die besten Freunde, bis auf einen einzigen Punkt (vgl. S. 54). An diesem einen Punkte mußte es wohl gelegen sein, wenn den Kleinen der Gedanke an den Tod des Vaters mit ungewöhnlicher und ungebührlicher Intensität beschäftigte (S. 41), wenn solche Gedanken im Wortlaute seiner kindlichen Zwangsideen auftraten, wenn er sich wünschen konnte, der Vater möge sterben, damit ein gewisses Mädchen, durch Mitleid erweicht, zärtlicher gegen ihn werde (S. 52).</w:t>
      </w:r>
    </w:p>
    <w:p w:rsidR="00822836" w:rsidRPr="00487290" w:rsidRDefault="00822836" w:rsidP="00822836">
      <w:pPr>
        <w:pStyle w:val="Sansinterligne"/>
        <w:rPr>
          <w:rFonts w:ascii="Garamond" w:hAnsi="Garamond"/>
          <w:lang w:val="en-US"/>
        </w:rPr>
      </w:pPr>
      <w:r w:rsidRPr="00487290">
        <w:rPr>
          <w:rFonts w:ascii="Garamond" w:hAnsi="Garamond"/>
          <w:lang w:val="en-US"/>
        </w:rPr>
        <w:t>Es ist nicht zu bezweifeln, daß auf dem Gebiete der Sexualität etwas zwischen Vater und Sohn stand und daß der Vater in einen bestimmten Gegensatz zu der frühzeitig erwachten Erotik des Sohnes geraten war. Mehrere Jahre nach dem Tode des Vaters drängte sich dem Sohne, als er zum ersten Male die Lustempfindung eines Koitus erfuhr, die Idee auf: »Das ist doch großartig; dafür könnte man seinen Vater ermorden!« Dies zugleich ein Nachklang und eine Verdeutlichung seiner kindlichen Zwangsideen. Kurz vor seinem Tode hatte der Vater übrigens direkt gegen die später dominierende Neigung unseres Patienten Stellung genommen. Er merkte, daß er die Gesellschaft jener Dame aufsuchte, und riet ihm von ihr mit den Worten ab, es sei nicht klug und er werde sich nur blamieren.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Zu diesen vollkommen gesicherten Anhaltspunkten kommt anderes hinzu, wenn wir uns zur Geschichte der onanistischen Sexualbetätigung unseres Patienten wenden. Es besteht auf diesem Gebiete ein noch nicht verwerteter Gegensatz zwischen den Ansichten der Ärzte und der Kranken. Letztere sind alle darin einig, die Onanie, unter der sie die Pubertätsmasturbation verstehen, als Wurzel und Urquell all ihrer Leiden hinzustellen; die Ärzte wissen im allgemeinen nicht, wie sie darüber denken sollen, aber unter dem Eindrucke der Erfahrung, daß auch die meisten später Normalen in den Pubertätsjahren eine Weile onaniert haben, neigen sie in ihrer Mehrzahl dazu, die Angaben der Kranken als grobe Überschätzungen zu verurteilen. Ich meine, daß die Kranken auch hierin eher recht haben als die Ärzte. Den Kranken dämmert hier eine richtige Einsicht, während die Ärzte in Gefahr sind, etwas Wesentliches zu übersehen. Es verhält sich gewiß nicht so, wie die Kranken ihren Satz selbst verstehen wollen, daß die fast typisch zu nennende Pubertätsonanie für alle neurotischen Störungen verantwortlich zu machen sei. Der Satz bedarf der Deutung. Aber die Onanie der Pubertätsjahre ist in Wirklichkeit nichts anderes als die Auffrischung der bisher stets vernachlässigten Onanie der Kinderjahre, welche zumeist in den Jahren von 3 bis 4 oder 5 eine Art von Höhepunkt erreicht, und diese ist allerdings der deutlichste Ausdruck der sexuellen Konstitution des Kindes, in welcher auch wir die Ätiologie der späteren Neurosen suchen. Die Kranken beschuldigen unter solcher Verhüllung also eigentlich ihre infantile Sexualität, und darin haben sie vollauf recht. Das Problem der Onanie wird hingegen unlösbar, wenn man die Onanie als eine klinische Einheit auffassen will und daran vergißt, daß sie die Abfuhr der verschiedenartigsten Sexualkomponenten und der von ihnen gespeisten Phantasien darstellt. Die Schädlichkeit der Onanie ist nur zum geringen Anteil eine autonome, durch ihre eigene Natur bedingte. Der Hauptsache nach fällt sie mit der pathogenen Bedeutung des Sexuallebens überhaupt zusammen. Wenn soviele Individuen die Onanie, d. h. ein gewisses Ausmaß dieser Betätigung, ohne Schaden vertragen, so lehrt diese Tatsache nichts anderes, als daß bei ihnen die sexuelle Konstitution und der Ablauf der Entwicklungsvorgänge im Sexualleben die Ausübung der Funktion unter den kulturellen Bedingungen gestattet hat </w:t>
      </w:r>
      <w:hyperlink r:id="rId1151" w:history="1">
        <w:r w:rsidRPr="00487290">
          <w:rPr>
            <w:rStyle w:val="Lienhypertexte"/>
            <w:rFonts w:ascii="Garamond" w:hAnsi="Garamond"/>
            <w:lang w:val="en-US"/>
          </w:rPr>
          <w:t>[Fußnote]</w:t>
        </w:r>
        <w:r w:rsidRPr="00487290">
          <w:rPr>
            <w:rStyle w:val="innerfusslink"/>
            <w:rFonts w:ascii="Garamond" w:hAnsi="Garamond"/>
            <w:lang w:val="en-US"/>
          </w:rPr>
          <w:t xml:space="preserve">Vgl. </w:t>
        </w:r>
        <w:r w:rsidRPr="00487290">
          <w:rPr>
            <w:rStyle w:val="innerfusslink"/>
            <w:rFonts w:ascii="Garamond" w:hAnsi="Garamond"/>
            <w:i/>
            <w:iCs/>
            <w:lang w:val="en-US"/>
          </w:rPr>
          <w:t xml:space="preserve">Drei Abhandlungen zur </w:t>
        </w:r>
        <w:r w:rsidRPr="00487290">
          <w:rPr>
            <w:rStyle w:val="innerfusslink"/>
            <w:rFonts w:ascii="Garamond" w:hAnsi="Garamond"/>
            <w:i/>
            <w:iCs/>
            <w:lang w:val="en-US"/>
          </w:rPr>
          <w:lastRenderedPageBreak/>
          <w:t>Sexualtheorie</w:t>
        </w:r>
        <w:r w:rsidRPr="00487290">
          <w:rPr>
            <w:rStyle w:val="innerfusslink"/>
            <w:rFonts w:ascii="Garamond" w:hAnsi="Garamond"/>
            <w:lang w:val="en-US"/>
          </w:rPr>
          <w:t xml:space="preserve"> (1905).</w:t>
        </w:r>
      </w:hyperlink>
      <w:r w:rsidRPr="00487290">
        <w:rPr>
          <w:rFonts w:ascii="Garamond" w:hAnsi="Garamond"/>
          <w:lang w:val="en-US"/>
        </w:rPr>
        <w:t>, während andere infolge ungünstiger Sexualkonstitution oder gestörter Entwicklung an ihrer Sexualität erkranken, d. h. die Anforderungen zur Unterdrückung und Sublimierung der sexuellen Komponenten nicht ohne Hemmungen und Ersatzbildungen erfüllen können.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Unser Patient war in seinem Onanieverhalten recht auffällig; er entwickelte keine Pubertätsonanie und hätte also nach gewissen Erwartungen ein Anrecht darauf gehabt, frei von Neurose zu bleiben. Dagegen trat der Drang zur onanistischen Betätigung im 21. Jahre bei ihm auf, </w:t>
      </w:r>
      <w:r w:rsidRPr="00487290">
        <w:rPr>
          <w:rFonts w:ascii="Garamond" w:hAnsi="Garamond"/>
          <w:i/>
          <w:iCs/>
          <w:lang w:val="en-US"/>
        </w:rPr>
        <w:t>kurze Zeit nach dem Tode des Vaters</w:t>
      </w:r>
      <w:r w:rsidRPr="00487290">
        <w:rPr>
          <w:rFonts w:ascii="Garamond" w:hAnsi="Garamond"/>
          <w:lang w:val="en-US"/>
        </w:rPr>
        <w:t xml:space="preserve">. Er war sehr beschämt nach jeder Befriedigung und schwor ihr bald wieder ab. Von da an trat die Onanie nur bei seltenen und sehr merkwürdigen Anlässen wieder auf. Besonders schöne Momente, die er erlebte, oder besonders schöne Stellen, die er las, riefen sie hervor. So z. B. als er an einem schönen Sommernachmittag einen Postillon in der Innern Stadt so herrlich blasen hörte, bis ein Wachmann es ihm untersagte, weil in der Stadt das Blasen verboten sei! Oder ein andermal, als er in </w:t>
      </w:r>
      <w:r w:rsidRPr="00487290">
        <w:rPr>
          <w:rFonts w:ascii="Garamond" w:hAnsi="Garamond"/>
          <w:i/>
          <w:iCs/>
          <w:lang w:val="en-US"/>
        </w:rPr>
        <w:t>Dichtung und Wahrheit</w:t>
      </w:r>
      <w:r w:rsidRPr="00487290">
        <w:rPr>
          <w:rFonts w:ascii="Garamond" w:hAnsi="Garamond"/>
          <w:lang w:val="en-US"/>
        </w:rPr>
        <w:t xml:space="preserve"> las, wie sich der junge Goethe in zärtlicher Aufwallung von der Wirkung eines Fluches befreite, den eine Eifersüchtige über die ausgesprochen, welche nach ihr seine Lippen küssen würde. Lange hatte er sich wie abergläubisch durch diesen Fluch abhalten lassen, jetzt aber zerriß er die Fessel und küßte sein Lieb herzlich ab.</w:t>
      </w:r>
    </w:p>
    <w:p w:rsidR="00822836" w:rsidRPr="00487290" w:rsidRDefault="00822836" w:rsidP="00822836">
      <w:pPr>
        <w:pStyle w:val="Sansinterligne"/>
        <w:rPr>
          <w:rFonts w:ascii="Garamond" w:hAnsi="Garamond"/>
          <w:lang w:val="en-US"/>
        </w:rPr>
      </w:pPr>
      <w:r w:rsidRPr="00487290">
        <w:rPr>
          <w:rFonts w:ascii="Garamond" w:hAnsi="Garamond"/>
          <w:lang w:val="en-US"/>
        </w:rPr>
        <w:t>Er verwunderte sich nicht wenig, daß er gerade bei solchen schönen und erhebenden Anlässen zur Masturbation gedrängt worden sei. Ich mußte aber aus diesen beiden Beispielen als das Gemeinsame das Verbot und das Sichhinaussetzen über ein Gebot herausheben.</w:t>
      </w:r>
    </w:p>
    <w:p w:rsidR="00822836" w:rsidRPr="00487290" w:rsidRDefault="00822836" w:rsidP="00822836">
      <w:pPr>
        <w:pStyle w:val="Sansinterligne"/>
        <w:rPr>
          <w:rFonts w:ascii="Garamond" w:hAnsi="Garamond"/>
          <w:lang w:val="en-US"/>
        </w:rPr>
      </w:pPr>
      <w:r w:rsidRPr="00487290">
        <w:rPr>
          <w:rFonts w:ascii="Garamond" w:hAnsi="Garamond"/>
          <w:lang w:val="en-US"/>
        </w:rPr>
        <w:t>In denselben Zusammenhang gehörte auch sein sonderbares Benehmen zu einer Zeit, da er für eine Prüfung studierte und mit der ihm liebgewordenen Phantasie spielte, der Vater lebe noch und könne jeden Moment wiederkommen. Er richtete es sich damals so ein, daß sein Studium auf die spätesten Nachtstunden fiel. Zwischen 12 und 1 Uhr nachts unterbrach er sich, öffnete die auf den Hausflur führende Tür, als ob der Vater davorstünde, und betrachtete dann, nachdem er zurückgekommen war, im Spiegel des Vorzimmers seinen entblößten Penis. Dies tolle Treiben wird unter der Voraussetzung verständlich, daß er sich so benahm, als ob er den Besuch des Vaters um die Geisterstunde erwartete. Zu seinen Lebzeiten war er eher ein fauler Student gewesen, worüber sich der Vater oft gekränkt hatte. Nun sollte er Freude an ihm haben, wenn er als Geist wiederkam und ihn beim Studieren traf. An dem andern Teile seines Tuns konnte der Vater aber unmöglich Freude haben; damit trotzte er ihm also und brachte so in einer unverstandenen Zwangshandlung die beiden Seiten seines Verhältnisses zum Vater nebeneinander zum Ausdrucke, ähnlich wie in der späteren Zwangshandlung vom Steine auf der Straße gegen die geliebte Dame.</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Auf diese und ähnliche Anzeichen gestützt, wagte ich die Konstruktion, er habe als Kind im Alter von 6 Jahren irgendeine sexuelle Missetat im Zusammenhange mit der Onanie begangen und sei dafür vom Vater empfindlich gezüchtigt worden. Diese Bestrafung hätte der Onanie allerdings ein Ende gemacht, aber anderseits einen unauslöschlichen Groll gegen den Vater hinterlassen und dessen Rolle als Störer des sexuellen Genusses für alle Zeiten fixiert. (Vgl. die ähnlichen Vermutungen in einer der ersten Sitzungen, S. 55.) Zu meinem großen Erstaunen berichtete nun der Patient, ein solcher Vorfall aus seinen ersten Kinderjahren sei ihm von der Mutter wiederholt erzählt worden und offenbar darum nicht in Vergessenheit geraten, weil sich so merkwürdige Dinge an ihn knüpften. Seine eigene Erinnerung wisse allerdings nichts davon. Die Erzählung aber lautete: Als er noch sehr klein war – die genauere Zeitbestimmung ließe sich noch durch das Zusammentreffen mit der Todeskrankheit einer älteren Schwester gewinnen –, soll er etwas Arges angestellt haben, wofür ihn der Vater prügelte. Da sei der kleine Knirps in eine schreckliche Wut geraten und habe noch unter den Schlägen den Vater beschimpft. Da er aber noch keine Schimpfwörter kannte, habe er ihm alle Namen von Gegenständen gegeben, die ihm einfielen, und gesagt: »du Lampe, du Handtuch, du Teller« usw. Der Vater hielt erschüttert über diesen elementaren Ausbruch im Schlagen inne und äußerte: »Der Kleine da wird entweder ein großer Mann oder ein großer Verbrecher!« </w:t>
      </w:r>
      <w:hyperlink r:id="rId1152" w:history="1">
        <w:r w:rsidRPr="00487290">
          <w:rPr>
            <w:rStyle w:val="Lienhypertexte"/>
            <w:rFonts w:ascii="Garamond" w:hAnsi="Garamond"/>
            <w:lang w:val="en-US"/>
          </w:rPr>
          <w:t>[Fußnote]</w:t>
        </w:r>
        <w:r w:rsidRPr="00487290">
          <w:rPr>
            <w:rStyle w:val="innerfusslink"/>
            <w:rFonts w:ascii="Garamond" w:hAnsi="Garamond"/>
            <w:lang w:val="en-US"/>
          </w:rPr>
          <w:t>Die Alternative war unvollständig. An den häufigsten Ausgang so vorzeitiger Leidenschaftlichkeit, an den in Neurose, hatte der Vater nicht gedacht.</w:t>
        </w:r>
      </w:hyperlink>
      <w:r w:rsidRPr="00487290">
        <w:rPr>
          <w:rFonts w:ascii="Garamond" w:hAnsi="Garamond"/>
          <w:lang w:val="en-US"/>
        </w:rPr>
        <w:t xml:space="preserve"> Er meint, der Eindruck dieser Szene sei sowohl für ihn wie für den Vater ein dauernd wirksamer gewesen. Der Vater habe ihn nie wieder geprügelt; er selbst leitet aber ein Stück seiner Charakterveränderung von dem Erlebnisse ab. Aus Angst vor der Größe seiner Wut sei er von da an feige geworden. Er hatte übrigens sein ganzes Leben über schreckliche Angst vor Schlägen und verkroch sich vor Entsetzen und Empörung, wenn eines seiner Geschwister geprügelt wurde.</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Eine erneuerte Nachfrage bei der Mutter brachte außer der Bestätigung dieser Erzählung die Auskunft, daß er damals zwischen 3 und 4 Jahre alt war und daß er die Strafe verdient, weil er jemanden </w:t>
      </w:r>
      <w:r w:rsidRPr="00487290">
        <w:rPr>
          <w:rFonts w:ascii="Garamond" w:hAnsi="Garamond"/>
          <w:i/>
          <w:iCs/>
          <w:lang w:val="en-US"/>
        </w:rPr>
        <w:t>gebissen</w:t>
      </w:r>
      <w:r w:rsidRPr="00487290">
        <w:rPr>
          <w:rFonts w:ascii="Garamond" w:hAnsi="Garamond"/>
          <w:lang w:val="en-US"/>
        </w:rPr>
        <w:t xml:space="preserve"> hatte. Näheres erinnerte auch die Mutter nicht mehr; sie meinte recht unsicher, die von dem Kleinen beschädigte Person möge die Kinderfrau gewesen sein; von einem sexuellen Charakter des Delikts war in </w:t>
      </w:r>
      <w:r w:rsidRPr="00487290">
        <w:rPr>
          <w:rFonts w:ascii="Garamond" w:hAnsi="Garamond"/>
          <w:lang w:val="en-US"/>
        </w:rPr>
        <w:lastRenderedPageBreak/>
        <w:t xml:space="preserve">ihrer Mitteilung nicht die Rede </w:t>
      </w:r>
      <w:hyperlink r:id="rId1153" w:history="1">
        <w:r w:rsidRPr="00487290">
          <w:rPr>
            <w:rStyle w:val="Lienhypertexte"/>
            <w:rFonts w:ascii="Garamond" w:hAnsi="Garamond"/>
            <w:lang w:val="en-US"/>
          </w:rPr>
          <w:t>[Fußnote]</w:t>
        </w:r>
        <w:r w:rsidRPr="00487290">
          <w:rPr>
            <w:rStyle w:val="innerfusslink"/>
            <w:rFonts w:ascii="Garamond" w:hAnsi="Garamond"/>
            <w:lang w:val="en-US"/>
          </w:rPr>
          <w:t xml:space="preserve">Man hat es in den Psychoanalysen häufig mit solchen Begebenheiten aus den ersten Kinderjahren zu tun, in denen die infantile Sexualtätigkeit zu gipfeln scheint und häufig durch einen Unfall oder eine Bestrafung ein katastrophales Ende findet. Sie zeigen sich schattenhaft in Traumen an, werden oft so deutlich, daß man sie greifbar zu besitzen vermeint, aber sie entziehen sich doch der endgültigen Klarstellung, und wenn man nicht mit besonderer Vorsicht und mit Geschick verfährt, muß man es unentschieden lassen, ob eine solche Szene wirklich vorgefallen ist. Auf die richtige Spur der Deutung wird man durch die Erkenntnis geführt, daß von solchen Szenen mehr als eine Version, oft sehr verschiedenartige, in der unbewußten Phantasie des Patienten aufzuspüren sind. Wenn man in der Beurteilung der Realität nicht irregehen will, muß man sich vor allem daran erinnern, daß die »Kindheitserinnerungen« der Menschen erst in einem späteren Alter (meist zur Zeit der Pubertät) festgestellt und dabei einem komplizierten Umarbeitungsprozeß unterzogen werden, welcher der Sagenbildung eines Volkes über seine Urgeschichte durchaus analog ist. Es läßt sich deutlich erkennen, daß der heranwachsende Mensch in diesen Phantasiebildungen über seine erste Kindheit </w:t>
        </w:r>
        <w:r w:rsidRPr="00487290">
          <w:rPr>
            <w:rStyle w:val="innerfusslink"/>
            <w:rFonts w:ascii="Garamond" w:hAnsi="Garamond"/>
            <w:i/>
            <w:iCs/>
            <w:lang w:val="en-US"/>
          </w:rPr>
          <w:t>das Andenken an seine autoerotische Betätigung zu verwischen sucht</w:t>
        </w:r>
        <w:r w:rsidRPr="00487290">
          <w:rPr>
            <w:rStyle w:val="innerfusslink"/>
            <w:rFonts w:ascii="Garamond" w:hAnsi="Garamond"/>
            <w:lang w:val="en-US"/>
          </w:rPr>
          <w:t xml:space="preserve">, indem er seine Erinnerungsspuren auf die Stufe der Objektliebe hebt, also wie ein richtiger Geschichtsschreiber die Vergangenheit im Lichte der Gegenwart erblicken will. Daher die Überfülle von Verführungen und Attentaten in diesen Phantasien, wo die Wirklichkeit sich auf autoerotische Betätigung und auf Anregung dazu durch Zärtlichkeiten und Strafen beschränkt. Ferner wird man gewahr, daß der über seine Kindheit Phantasierende </w:t>
        </w:r>
        <w:r w:rsidRPr="00487290">
          <w:rPr>
            <w:rStyle w:val="innerfusslink"/>
            <w:rFonts w:ascii="Garamond" w:hAnsi="Garamond"/>
            <w:i/>
            <w:iCs/>
            <w:lang w:val="en-US"/>
          </w:rPr>
          <w:t>seine Erinnerungen sexualisiert</w:t>
        </w:r>
        <w:r w:rsidRPr="00487290">
          <w:rPr>
            <w:rStyle w:val="innerfusslink"/>
            <w:rFonts w:ascii="Garamond" w:hAnsi="Garamond"/>
            <w:lang w:val="en-US"/>
          </w:rPr>
          <w:t xml:space="preserve">, d. h., daß er banale Erlebnisse mit seiner Sexualbetätigung in Beziehung bringt, sein Sexualinteresse über sie ausdehnt, wobei er wahrscheinlich den Spuren des wirklich vorhandenen Zusammenhanges nachfährt. Daß es nicht die Absicht dieser Bemerkungen ist, die von mir behauptete Bedeutung der infantilen Sexualität nachträglich durch die Reduktion auf das Sexualinteresse der Pubertät herabzusetzen, wird mir jeder glauben, der die von mir mitgeteilte ›Analyse der Phobie eines fünfjährigen Knaben‹ im Gedächtnis hat. Ich beabsichtige nur, technische Anweisungen zur Auflösung jener Phantasiebildungen zu geben, welche dazu bestimmt sind, das Bild jener infantilen Sexualbetätigung zu verfälschen. </w:t>
        </w:r>
        <w:r w:rsidRPr="00487290">
          <w:rPr>
            <w:rFonts w:ascii="Garamond" w:hAnsi="Garamond"/>
            <w:color w:val="0000FF"/>
            <w:u w:val="single"/>
            <w:lang w:val="en-US"/>
          </w:rPr>
          <w:br/>
        </w:r>
        <w:r w:rsidRPr="00487290">
          <w:rPr>
            <w:rFonts w:ascii="Garamond" w:hAnsi="Garamond"/>
            <w:color w:val="0000FF"/>
            <w:u w:val="single"/>
            <w:lang w:val="en-US"/>
          </w:rPr>
          <w:br/>
        </w:r>
        <w:r w:rsidRPr="00487290">
          <w:rPr>
            <w:rStyle w:val="innerfusslink"/>
            <w:rFonts w:ascii="Garamond" w:hAnsi="Garamond"/>
            <w:lang w:val="en-US"/>
          </w:rPr>
          <w:t xml:space="preserve">Nur selten ist man wie bei unserem Patienten in der glücklichen Lage, die tatsächliche Grundlage dieser Dichtungen über die Urzeit durch das unerschütterliche Zeugnis eines Erwachsenen festzustellen. Immerhin läßt die Aussage der Mutter den Weg für mehrfache Möglichkeiten offen. Daß sie die sexuelle Natur des Vergehens, für welches das Kind gestraft wurde, nicht proklamierte, mag seinen Grund in ihrer eigenen Zensur haben, welche bei allen Eltern gerade dieses Element aus der Vergangenheit ihrer Kinder auszuschalten bemüht ist. Es ist aber ebenso möglich, daß das Kind damals wegen einer banalen Unart nicht sexueller Natur von der Kinderfrau oder der Mutter selbst zurechtgewiesen und dann wegen seiner gewalttätigen Reaktion vom Vater gezüchtigt wurde. Die Kinderfrau oder eine andere dienende Person wird in solchen Phantasien regelmäßig durch die vornehmere der Mutter ersetzt. »Wenn man sich in die Deutung der diesbezüglichen Träume des Patienten tiefer einließ, fand man die deutlichsten Hinweise auf eine episch zu nennende Dichtung, in welcher sexuelle Gelüste gegen Mutter und Schwester und der frühzeitige Tod dieser Schwester mit jener Züchtigung des kleinen Helden durch den Vater zusammengebracht wurden. Es gelang nicht, dieses Gewebe von Phantasieumhüllungen Faden für Faden abzuspinnen; gerade der therapeutische Erfolg war hier das Hindernis. Der Patient war hergestellt, und das Leben forderte von ihm, mehrfache, ohnedies zu lange aufgeschobene Aufgaben in Angriff zu nehmen, die mit der Fortsetzung der Kur nicht verträglich waren. Man mache mir also aus dieser Lücke in der Analyse keinen Vorwurf. Die wissenschaftliche Erforschung durch die Psychoanalyse ist ja heute nur ein Nebenerfolg der therapeutischen Bemühung, und darum ist die Ausbeute oft gerade bei unglücklich behandelten Fällen am größten. </w:t>
        </w:r>
        <w:r w:rsidRPr="00487290">
          <w:rPr>
            <w:rFonts w:ascii="Garamond" w:hAnsi="Garamond"/>
            <w:color w:val="0000FF"/>
            <w:u w:val="single"/>
            <w:lang w:val="en-US"/>
          </w:rPr>
          <w:br/>
        </w:r>
        <w:r w:rsidRPr="00487290">
          <w:rPr>
            <w:rFonts w:ascii="Garamond" w:hAnsi="Garamond"/>
            <w:color w:val="0000FF"/>
            <w:u w:val="single"/>
            <w:lang w:val="en-US"/>
          </w:rPr>
          <w:br/>
        </w:r>
        <w:r w:rsidRPr="00487290">
          <w:rPr>
            <w:rStyle w:val="innerfusslink"/>
            <w:rFonts w:ascii="Garamond" w:hAnsi="Garamond"/>
            <w:lang w:val="en-US"/>
          </w:rPr>
          <w:t xml:space="preserve">Der Inhalt des kindlichen Sexuallebens besteht in der autoerotischen Betätigung der vorherrschenden Sexualkomponenten, in Spuren von Objektliebe und in der Bildung jenes Komplexes, den man den </w:t>
        </w:r>
        <w:r w:rsidRPr="00487290">
          <w:rPr>
            <w:rStyle w:val="innerfusslink"/>
            <w:rFonts w:ascii="Garamond" w:hAnsi="Garamond"/>
            <w:i/>
            <w:iCs/>
            <w:lang w:val="en-US"/>
          </w:rPr>
          <w:t>Kernkomplex der Neurosen</w:t>
        </w:r>
        <w:r w:rsidRPr="00487290">
          <w:rPr>
            <w:rStyle w:val="innerfusslink"/>
            <w:rFonts w:ascii="Garamond" w:hAnsi="Garamond"/>
            <w:lang w:val="en-US"/>
          </w:rPr>
          <w:t xml:space="preserve"> nennen könnte, der die ersten zärtlichen wie feindseligen Regungen gegen Eltern und Geschwister umfaßt, nachdem die Wißbegierde des Kleinen, meist durch die Ankunft eines neuen Geschwisterchens, geweckt worden ist. Aus der Uniformität dieses Inhaltes und aus der Konstanz der späteren modifizierenden Einwirkungen erklärt es sich leicht, daß im allgemeinen stets die nämlichen Phantasien über die Kindheit gebildet werden, gleichgültig, wieviel oder wie wenig Beiträge das wirkliche Erleben dazu gestellt hat. Es entspricht durchaus dem infantilen Kernkomplex, daß der Vater zur Rolle </w:t>
        </w:r>
        <w:r w:rsidRPr="00487290">
          <w:rPr>
            <w:rStyle w:val="innerfusslink"/>
            <w:rFonts w:ascii="Garamond" w:hAnsi="Garamond"/>
            <w:lang w:val="en-US"/>
          </w:rPr>
          <w:lastRenderedPageBreak/>
          <w:t>des sexuellen Gegners und des Störers der autoerotischen Sexualbetätigung gelangt, und die Wirklichkeit hat daran zumeist einen guten Anteil.</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Indem ich die Diskussion dieser Kindheitsszene in die Fußnote verweise, führe ich an, daß durch deren Auftauchen seine Weigerung, an eine prähistorisch erworbene und später latent gewordene Wut gegen den geliebten Vater zu glauben, zuerst ins Wanken geriet. Ich hatte nur eine stärkere Wirkung erwartet, denn diese Begebenheit war ihm so oft auch vom Vater selbst erzählt worden, daß ihre Realität keinem Zweifel unterlag. Mit einer Fähigkeit, die Logik zu beugen, welche bei den sehr intelligenten Zwangskranken jedesmal höchst befremdend wirkt, machte er aber immer wieder gegen die Beweiskraft der Erzählung geltend, er erinnere sich doch nicht selbst daran. Er mußte sich also die Überzeugung, daß sein Verhältnis zum Vater wirklich jene unbewußte Ergänzung erforderte, erst auf dem schmerzhaften Wege der Übertragung erwerben. Es kam bald dazu, daß er mich und die Meinigen in Träumen, Tagesphantasien und Einfällen aufs gröblichste und unflätigste beschimpfte, während er mir doch mit Absicht niemals etwas anderes als die größte Ehrerbietung entgegenbrachte. Sein Benehmen während der Mitteilung dieser Beschimpfungen war das eines Verzweifelten. »Wie kommen Herr Professor dazu, sich von einem schmierigen, hergelaufenen Kerl wie ich so beschimpfen zu lassen? Sie müssen mich hinauswerfen; ich verdiene es nicht besser.« Bei diesen Reden pflegte er vom Diwan aufzustehen und im Zimmer herumzulaufen, was er zuerst mit Feinfühligkeit motivierte; er bringe es nicht über sich, so gräßliche Dinge zu sagen, während er behaglich daliege. Er fand aber bald selbst die triftigere Erklärung, daß er sich meiner Nähe entziehe, aus Angst, von mir geprügelt zu werden. Wenn er sitzen blieb, so benahm er sich wie einer, der sich in verzweifelter Angst vor maßlosen Züchtigungen schützen will; er stützte den Kopf in die Hände, deckte sein Gesicht mit dem Arme, lief plötzlich mit schmerzlich verzerrten Zügen davon usw. Er erinnerte, daß der Vater jähzornig gewesen war und in seiner Heftigkeit manchmal nicht mehr wußte, wie weit er gehen durfte. In solcher Schule des Leidens gewann er allmählich die ihm mangelnde Überzeugung, die sich jedem andern nicht persönlich Beteiligten wie selbstverständlich ergeben hätte; dann war aber auch der Weg zur Auflösung der Rattenvorstellung frei. Eine Fülle von bisher zurückgehaltenen tatsächlichen Mitteilungen wurde nun auf der Höhe der Kur zur Herstellung des Zusammenhanges verfügbar.</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In der Darstellung desselben werde ich, wie angekündigt, aufs äußerste verkürzen und resümieren. Das erste Rätsel war offenbar, weshalb die beiden Reden des tschechischen Hauptmannes, die Rattenerzählung und die Aufforderung, dem Oberleutnant A. das Geld zurückzugeben, so aufregend auf ihn gewirkt und so heftige pathologische Reaktionen hervorgerufen hatten. Es war anzunehmen, daß hier »Komplexempfindlichkeit« vorlag, daß durch jene Reden hyperästhetische Stellen seines Unbewußten unsanft berührt worden waren. So war es auch; er befand sich, wie jedesmal im militärischen Verhältnisse, in einer unbewußten Identifizierung mit dem Vater, der selbst durch mehrere Jahre gedient hatte und vieles aus seiner Soldatenzeit zu erzählen pflegte. Nun gestattete der Zufall, der bei der Symptombildung mithelfen darf wie der Wortlaut beim Witz, daß eines der kleinen Abenteuer des Vaters ein wichtiges Element mit der Aufforderung des Hauptmannes gemeinsam hatte. Der Vater hatte einmal eine kleine Summe Geldes, über die er als Unteroffizier verfügen sollte, im Kartenspiele verloren ( </w:t>
      </w:r>
      <w:r w:rsidRPr="00487290">
        <w:rPr>
          <w:rFonts w:ascii="Garamond" w:hAnsi="Garamond"/>
          <w:i/>
          <w:iCs/>
          <w:lang w:val="en-US"/>
        </w:rPr>
        <w:t>Spielratte</w:t>
      </w:r>
      <w:r w:rsidRPr="00487290">
        <w:rPr>
          <w:rFonts w:ascii="Garamond" w:hAnsi="Garamond"/>
          <w:lang w:val="en-US"/>
        </w:rPr>
        <w:t>) und wäre in arge Bedrängnis gekommen, wenn ein Kamerad sie ihm nicht vorgestreckt hätte. Nachdem er das Militär verlassen und wohlhabend geworden war, suchte er den hilfreichen Kameraden auf, um ihm das Geld zurückzugeben, fand ihn aber nicht mehr. Unser Patient war nicht sicher, ob ihm die Rückerstattung überhaupt je gelang; die Erinnerung an diese Jugendsünde des Vaters war ihm peinlich, da doch sein Unbewußtes von feindseligen Ausstellungen am Charakter des Vaters erfüllt war. Die Worte des Hauptmannes: Du mußt dem Oberleutnant A. die Kronen 3.80 zurückgeben, klangen ihm wie eine Anspielung an jene uneingelöste Schuld des Vaters.</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Die Mitteilung aber, daß das Postfräulein in Z. die Nachnahme mit einigen für ihn schmeichelhaften Worten selbst erlegt hatte </w:t>
      </w:r>
      <w:hyperlink r:id="rId1154" w:history="1">
        <w:r w:rsidRPr="00487290">
          <w:rPr>
            <w:rStyle w:val="Lienhypertexte"/>
            <w:rFonts w:ascii="Garamond" w:hAnsi="Garamond"/>
            <w:lang w:val="en-US"/>
          </w:rPr>
          <w:t>[Fußnote]</w:t>
        </w:r>
        <w:r w:rsidRPr="00487290">
          <w:rPr>
            <w:rStyle w:val="innerfusslink"/>
            <w:rFonts w:ascii="Garamond" w:hAnsi="Garamond"/>
            <w:lang w:val="en-US"/>
          </w:rPr>
          <w:t>Vergessen wir nicht, daß er dies erfahren hatte, ehe der Hauptmann die (unberechtigte) Aufforderung der Rückzahlung an Oberleutnant A. an ihn richtete. Es ist dies der für das Verständnis unentbehrliche Punkt, durch dessen Unterdrückung er sich die heilloseste Verwirrung bereitete und mir eine Zeitlang den Einblick in den Sinn des Ganzen verwehrte.</w:t>
        </w:r>
      </w:hyperlink>
      <w:r w:rsidRPr="00487290">
        <w:rPr>
          <w:rFonts w:ascii="Garamond" w:hAnsi="Garamond"/>
          <w:lang w:val="en-US"/>
        </w:rPr>
        <w:t xml:space="preserve">, verstärkte die Identifizierung mit dem Vater auf einem andern Gebiete. Er trug jetzt nach, daß in dem kleinen Orte, wo sich auch das Postamt befand, die hübsche Wirtstochter dem schmucken jungen Offizier viel Entgegenkommen gezeigt hatte, so daß er sich vornehmen konnte, nach Schluß der Manöver dorthin zurückzukommen, um seine Chancen bei dem Mädchen zu verfolgen. Nun war ihr in dem Postfräulein eine Konkurrentin erstanden; er konnte, wie der Vater in seinem Eheroman, schwanken, welcher von beiden er nach dem Verlassen des Militärdienstes seine Gunst zuwenden sollte. Wir merken mit einem </w:t>
      </w:r>
      <w:r w:rsidRPr="00487290">
        <w:rPr>
          <w:rFonts w:ascii="Garamond" w:hAnsi="Garamond"/>
          <w:lang w:val="en-US"/>
        </w:rPr>
        <w:lastRenderedPageBreak/>
        <w:t>Male, daß seine sonderbare Unschlüssigkeit, ob er nach Wien reisen oder an den Ort des Postamtes zurückkehren solle, seine beständigen Versuchungen, auf der Reise umzukehren (vgl. S. 47), nicht so sinnlos waren, wie sie uns zuerst erscheinen mußten. Für sein bewußtes Denken war die Anziehung des Ortes Z., an dem sich das Postamt befand, durch das Bedürfnis motiviert, dort mit Hilfe des Oberleutnants A. seinen Eid zu erfüllen. In Wirklichkeit war das im nämlichen Ort befindliche Postfräulein der Gegenstand seiner Sehnsucht und der Oberleutnant nur ein guter Ersatz für sie, da er am selben Ort gewohnt und selbst den militärischen Postdienst versehen hatte. Als er dann hörte, nicht der Oberleutnant A., sondern ein anderer Offizier B. habe an dem Tage bei der Post amtiert, zog er auch diesen in seine Kombination und konnte sein Schwanken zwischen den beiden ihm gnädig gesinnten Mädchen nun in den Delirien mit den beiden Offizieren wiederholen.</w:t>
      </w:r>
    </w:p>
    <w:p w:rsidR="00822836" w:rsidRPr="00487290" w:rsidRDefault="00822836" w:rsidP="00822836">
      <w:pPr>
        <w:pStyle w:val="Sansinterligne"/>
        <w:rPr>
          <w:rFonts w:ascii="Garamond" w:hAnsi="Garamond"/>
          <w:lang w:val="en-US"/>
        </w:rPr>
      </w:pPr>
      <w:r w:rsidRPr="00487290">
        <w:rPr>
          <w:rFonts w:ascii="Garamond" w:hAnsi="Garamond"/>
          <w:noProof/>
          <w:lang w:eastAsia="fr-FR"/>
        </w:rPr>
        <w:drawing>
          <wp:inline distT="0" distB="0" distL="0" distR="0">
            <wp:extent cx="4380865" cy="3379470"/>
            <wp:effectExtent l="19050" t="0" r="635" b="0"/>
            <wp:docPr id="39" name="Image 1" descr="http://projekt.gutenberg.de/gutenb_load/freud/zwangneu/ab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jekt.gutenberg.de/gutenb_load/freud/zwangneu/abb1.gif"/>
                    <pic:cNvPicPr>
                      <a:picLocks noChangeAspect="1" noChangeArrowheads="1"/>
                    </pic:cNvPicPr>
                  </pic:nvPicPr>
                  <pic:blipFill>
                    <a:blip r:embed="rId1155" cstate="print"/>
                    <a:srcRect/>
                    <a:stretch>
                      <a:fillRect/>
                    </a:stretch>
                  </pic:blipFill>
                  <pic:spPr bwMode="auto">
                    <a:xfrm>
                      <a:off x="0" y="0"/>
                      <a:ext cx="4380865" cy="3379470"/>
                    </a:xfrm>
                    <a:prstGeom prst="rect">
                      <a:avLst/>
                    </a:prstGeom>
                    <a:noFill/>
                    <a:ln w="9525">
                      <a:noFill/>
                      <a:miter lim="800000"/>
                      <a:headEnd/>
                      <a:tailEnd/>
                    </a:ln>
                  </pic:spPr>
                </pic:pic>
              </a:graphicData>
            </a:graphic>
          </wp:inline>
        </w:drawing>
      </w:r>
      <w:r w:rsidRPr="00487290">
        <w:rPr>
          <w:rFonts w:ascii="Garamond" w:hAnsi="Garamond"/>
          <w:lang w:val="en-US"/>
        </w:rPr>
        <w:t>[(Fußnote) Zusatz 1923:] Nachdem der Patient alles dazu getan hatte, die kleine Begebenheit von der Rückzahlung der Nachnahme für den Zwicker zu verwirren, ist es vielleicht auch meiner Darstellung nicht gelungen, sie ohne Rückstand durchsichtig zu machen. Ich reproduziere darum hier eine kleine Karte, durch die Mr. und Mrs. Strachey die Situation zu Ende der Waffenübung verdeutlichen wollten. Meine Übersetzer haben mit Recht bemerkt, daß das Benehmen des Patienten noch immer unverständlich ist, solange man nicht ausdrücklich anführt, daß Oblt. A. früher am Ort des Postamtes Z. gewohnt und dort die militärische Post versehen hatte, daß er aber in den letzten Tagen der Übung dieses Amt an Oblt. B. abgegeben und nach A. versetzt worden war. Der »grausame« Hauptmann wußte noch nichts von dieser Änderung, daher sein Irrtum, die Nachnahme sei an Oblt. A. zurückzuzahlen.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Bei der Aufklärung der Wirkungen, welche von der Rattenerzählung des Hauptmannes ausgingen, müssen wir uns enger an den Ablauf der Analyse halten. Es ergab sich zunächst eine außerordentliche Fülle von assoziativem Material, ohne daß vorläufig die Situation der Zwangsbildung durchsichtiger wurde. Die Vorstellung der mit den Ratten vollzogenen Strafe hatte eine Anzahl von Trieben gereizt, eine Menge von Erinnerungen geweckt, und die Ratten hatten darum in dem kurzen Intervalle zwischen der Erzählung des Hauptmannes und seiner Mahnung, das Geld zurückzugeben, eine Reihe von symbolischen Bedeutungen erworben, zu welchen in der Folgezeit immer neue hinzutraten. Mein Bericht über all dies kann freilich nur sehr unvollständig ausfallen. Die Rattenstrafe rüttelte vor allem die </w:t>
      </w:r>
      <w:r w:rsidRPr="00487290">
        <w:rPr>
          <w:rFonts w:ascii="Garamond" w:hAnsi="Garamond"/>
          <w:i/>
          <w:iCs/>
          <w:lang w:val="en-US"/>
        </w:rPr>
        <w:t>Analerotik</w:t>
      </w:r>
      <w:r w:rsidRPr="00487290">
        <w:rPr>
          <w:rFonts w:ascii="Garamond" w:hAnsi="Garamond"/>
          <w:lang w:val="en-US"/>
        </w:rPr>
        <w:t xml:space="preserve"> auf, die in seiner Kindheit eine große Rolle gespielt hatte und durch jahrelang fortgesetzten Wurmreiz unterhalten worden war. Die Ratten kamen so zur Bedeutung: </w:t>
      </w:r>
      <w:r w:rsidRPr="00487290">
        <w:rPr>
          <w:rFonts w:ascii="Garamond" w:hAnsi="Garamond"/>
          <w:i/>
          <w:iCs/>
          <w:lang w:val="en-US"/>
        </w:rPr>
        <w:t>Geld</w:t>
      </w:r>
      <w:hyperlink r:id="rId1156" w:history="1">
        <w:r w:rsidRPr="00487290">
          <w:rPr>
            <w:rStyle w:val="Lienhypertexte"/>
            <w:rFonts w:ascii="Garamond" w:hAnsi="Garamond"/>
            <w:lang w:val="en-US"/>
          </w:rPr>
          <w:t>[Fußnote]</w:t>
        </w:r>
        <w:r w:rsidRPr="00487290">
          <w:rPr>
            <w:rStyle w:val="innerfusslink"/>
            <w:rFonts w:ascii="Garamond" w:hAnsi="Garamond"/>
            <w:lang w:val="en-US"/>
          </w:rPr>
          <w:t>Vgl. ›Charakter und Analerotik‹ (1908).</w:t>
        </w:r>
      </w:hyperlink>
      <w:r w:rsidRPr="00487290">
        <w:rPr>
          <w:rFonts w:ascii="Garamond" w:hAnsi="Garamond"/>
          <w:lang w:val="en-US"/>
        </w:rPr>
        <w:t xml:space="preserve">, welcher Zusammenhang sich durch den Einfall </w:t>
      </w:r>
      <w:r w:rsidRPr="00487290">
        <w:rPr>
          <w:rFonts w:ascii="Garamond" w:hAnsi="Garamond"/>
          <w:i/>
          <w:iCs/>
          <w:lang w:val="en-US"/>
        </w:rPr>
        <w:t>Raten</w:t>
      </w:r>
      <w:r w:rsidRPr="00487290">
        <w:rPr>
          <w:rFonts w:ascii="Garamond" w:hAnsi="Garamond"/>
          <w:lang w:val="en-US"/>
        </w:rPr>
        <w:t xml:space="preserve"> zu </w:t>
      </w:r>
      <w:r w:rsidRPr="00487290">
        <w:rPr>
          <w:rFonts w:ascii="Garamond" w:hAnsi="Garamond"/>
          <w:i/>
          <w:iCs/>
          <w:lang w:val="en-US"/>
        </w:rPr>
        <w:t>Ratten</w:t>
      </w:r>
      <w:r w:rsidRPr="00487290">
        <w:rPr>
          <w:rFonts w:ascii="Garamond" w:hAnsi="Garamond"/>
          <w:lang w:val="en-US"/>
        </w:rPr>
        <w:t xml:space="preserve"> anzeigte. Er hatte sich in seinen Zwangsdelirien eine förmliche Rattenwährung eingesetzt; z. B. als ich ihm auf Befragen den Preis einer Behandlungsstunde mitteilte, hieß es bei ihm, was ich ein halbes Jahr später erfuhr: » </w:t>
      </w:r>
      <w:r w:rsidRPr="00487290">
        <w:rPr>
          <w:rFonts w:ascii="Garamond" w:hAnsi="Garamond"/>
          <w:i/>
          <w:iCs/>
          <w:lang w:val="en-US"/>
        </w:rPr>
        <w:t>Soviel Gulden soviel Ratten.</w:t>
      </w:r>
      <w:r w:rsidRPr="00487290">
        <w:rPr>
          <w:rFonts w:ascii="Garamond" w:hAnsi="Garamond"/>
          <w:lang w:val="en-US"/>
        </w:rPr>
        <w:t xml:space="preserve">« In diese Sprache wurde allmählich der ganze Komplex der Geldinteressen, die sich an die Erbschaft nach dem Vater knüpften, umgesetzt, d. h. alle dahin gehörigen Vorstellungen wurden über </w:t>
      </w:r>
      <w:r w:rsidRPr="00487290">
        <w:rPr>
          <w:rFonts w:ascii="Garamond" w:hAnsi="Garamond"/>
          <w:lang w:val="en-US"/>
        </w:rPr>
        <w:lastRenderedPageBreak/>
        <w:t xml:space="preserve">diese Wortbrücke </w:t>
      </w:r>
      <w:r w:rsidRPr="00487290">
        <w:rPr>
          <w:rFonts w:ascii="Garamond" w:hAnsi="Garamond"/>
          <w:i/>
          <w:iCs/>
          <w:lang w:val="en-US"/>
        </w:rPr>
        <w:t>Raten-Ratten</w:t>
      </w:r>
      <w:r w:rsidRPr="00487290">
        <w:rPr>
          <w:rFonts w:ascii="Garamond" w:hAnsi="Garamond"/>
          <w:lang w:val="en-US"/>
        </w:rPr>
        <w:t xml:space="preserve"> ins Zwanghafte eingetragen und dem Unbewußten unterworfen. Diese Geldbedeutung der Ratten stützte sich überdies auf die Mahnung des Hauptmannes, den Betrag der Nachnahme zurückzugeben, mit Hilfe der Wortbrücke </w:t>
      </w:r>
      <w:r w:rsidRPr="00487290">
        <w:rPr>
          <w:rFonts w:ascii="Garamond" w:hAnsi="Garamond"/>
          <w:i/>
          <w:iCs/>
          <w:lang w:val="en-US"/>
        </w:rPr>
        <w:t>Spielratte</w:t>
      </w:r>
      <w:r w:rsidRPr="00487290">
        <w:rPr>
          <w:rFonts w:ascii="Garamond" w:hAnsi="Garamond"/>
          <w:lang w:val="en-US"/>
        </w:rPr>
        <w:t>, von der aus der Zugang zur Spielverfehlung des Vaters aufzufinden war.</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Die Ratte war ihm aber auch als Träger gefährlicher Infektionen bekannt und konnte darum als Symbol für die beim Militär so berechtigte Angst vor </w:t>
      </w:r>
      <w:r w:rsidRPr="00487290">
        <w:rPr>
          <w:rFonts w:ascii="Garamond" w:hAnsi="Garamond"/>
          <w:i/>
          <w:iCs/>
          <w:lang w:val="en-US"/>
        </w:rPr>
        <w:t>syphilitischer Infektion</w:t>
      </w:r>
      <w:r w:rsidRPr="00487290">
        <w:rPr>
          <w:rFonts w:ascii="Garamond" w:hAnsi="Garamond"/>
          <w:lang w:val="en-US"/>
        </w:rPr>
        <w:t xml:space="preserve"> verwendet werden, wohinter allerlei Zweifel an der Lebensführung des Vaters während seiner militärischen Dienstzeit versteckt waren. In anderem Sinne: Träger der syphilitischen Infektion war der Penis selbst, und so wurde die Ratte zum Geschlechtsglied, für welche Verwendung sie noch ein anderes Anrecht geltend machen konnte. Der Penis, besonders der des kleinen Kindes, kann ohne weiteres als </w:t>
      </w:r>
      <w:r w:rsidRPr="00487290">
        <w:rPr>
          <w:rFonts w:ascii="Garamond" w:hAnsi="Garamond"/>
          <w:i/>
          <w:iCs/>
          <w:lang w:val="en-US"/>
        </w:rPr>
        <w:t>Wurm</w:t>
      </w:r>
      <w:r w:rsidRPr="00487290">
        <w:rPr>
          <w:rFonts w:ascii="Garamond" w:hAnsi="Garamond"/>
          <w:lang w:val="en-US"/>
        </w:rPr>
        <w:t xml:space="preserve"> beschrieben werden, und in der Erzählung des Hauptmannes wühlten die Ratten im After, wie in seinen Kinderjahren die großen Spulwürmer. So ruhte die Penisbedeutung der Ratten wiederum auf der Analerotik. Die Ratte ist ohnedies ein schmutziges Tier, das sich von Exkrementen nährt und in Kanälen lebt, die den Abfall führen </w:t>
      </w:r>
      <w:hyperlink r:id="rId1157" w:history="1">
        <w:r w:rsidRPr="00487290">
          <w:rPr>
            <w:rStyle w:val="Lienhypertexte"/>
            <w:rFonts w:ascii="Garamond" w:hAnsi="Garamond"/>
            <w:lang w:val="en-US"/>
          </w:rPr>
          <w:t>[Fußnote]</w:t>
        </w:r>
        <w:r w:rsidRPr="00487290">
          <w:rPr>
            <w:rStyle w:val="innerfusslink"/>
            <w:rFonts w:ascii="Garamond" w:hAnsi="Garamond"/>
            <w:lang w:val="en-US"/>
          </w:rPr>
          <w:t xml:space="preserve">Wer diese Sprünge der neurotischen Phantasie kopfschüttelnd ablehnen will, der sei an ähnliche Capriccios erinnert, in denen sich die Phantasie der Künstler gelegentlich ergeht, z. B. an die </w:t>
        </w:r>
        <w:r w:rsidRPr="00487290">
          <w:rPr>
            <w:rStyle w:val="innerfusslink"/>
            <w:rFonts w:ascii="Garamond" w:hAnsi="Garamond"/>
            <w:i/>
            <w:iCs/>
            <w:lang w:val="en-US"/>
          </w:rPr>
          <w:t>Diableries érotiques</w:t>
        </w:r>
        <w:r w:rsidRPr="00487290">
          <w:rPr>
            <w:rStyle w:val="innerfusslink"/>
            <w:rFonts w:ascii="Garamond" w:hAnsi="Garamond"/>
            <w:lang w:val="en-US"/>
          </w:rPr>
          <w:t xml:space="preserve"> von Le Poitevin.</w:t>
        </w:r>
      </w:hyperlink>
      <w:r w:rsidRPr="00487290">
        <w:rPr>
          <w:rFonts w:ascii="Garamond" w:hAnsi="Garamond"/>
          <w:lang w:val="en-US"/>
        </w:rPr>
        <w:t xml:space="preserve">. Es ist ziemlich überflüssig anzuführen, welcher Ausbreitung das Rattendelirium durch diese neue Bedeutung fähig wurde. »Soviel Ratten – soviel Gulden«, konnte z. B. als eine treffliche Charakteristik eines ihm sehr verhaßten weiblichen Gewerbes gelten. Hingegen ist es wohl nicht gleichgültig, daß die Einsetzung des Penis für die Ratte in der Erzählung des Hauptmannes eine Situation von Verkehr </w:t>
      </w:r>
      <w:r w:rsidRPr="00487290">
        <w:rPr>
          <w:rFonts w:ascii="Garamond" w:hAnsi="Garamond"/>
          <w:i/>
          <w:iCs/>
          <w:lang w:val="en-US"/>
        </w:rPr>
        <w:t>per anum</w:t>
      </w:r>
      <w:r w:rsidRPr="00487290">
        <w:rPr>
          <w:rFonts w:ascii="Garamond" w:hAnsi="Garamond"/>
          <w:lang w:val="en-US"/>
        </w:rPr>
        <w:t xml:space="preserve"> ergab, die ihm in ihrer Beziehung auf Vater und Geliebte besonders widerlich erscheinen mußte. Trat diese Situation in der Zwangsandrohung wieder auf, welche sich nach der Mahnung des Hauptmannes bei ihm gestaltete, so erinnerte dies unverkennbar an gewisse bei den Südslawen gebräuchliche Flüche, deren Wortlaut man in der von F. S. Krauß herausgegebenen </w:t>
      </w:r>
      <w:r w:rsidRPr="00487290">
        <w:rPr>
          <w:rFonts w:ascii="Garamond" w:hAnsi="Garamond"/>
          <w:i/>
          <w:iCs/>
          <w:lang w:val="en-US"/>
        </w:rPr>
        <w:t>Anthropophyteia</w:t>
      </w:r>
      <w:r w:rsidRPr="00487290">
        <w:rPr>
          <w:rFonts w:ascii="Garamond" w:hAnsi="Garamond"/>
          <w:lang w:val="en-US"/>
        </w:rPr>
        <w:t xml:space="preserve"> nachlesen kann. All dieses Material und noch anderes reihte sich übrigens mit dem Deckeinfall » </w:t>
      </w:r>
      <w:r w:rsidRPr="00487290">
        <w:rPr>
          <w:rFonts w:ascii="Garamond" w:hAnsi="Garamond"/>
          <w:i/>
          <w:iCs/>
          <w:lang w:val="en-US"/>
        </w:rPr>
        <w:t>heiraten</w:t>
      </w:r>
      <w:r w:rsidRPr="00487290">
        <w:rPr>
          <w:rFonts w:ascii="Garamond" w:hAnsi="Garamond"/>
          <w:lang w:val="en-US"/>
        </w:rPr>
        <w:t>« in das Gefüge der Rattendiskussion ein.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Daß die Erzählung von der Rattenstrafe bei unserem Patienten alle vorzeitlich unterdrückten Regungen eigensüchtiger und sexueller Grausamkeit in Aufruhr brachte, wird ja durch seine eigene Schilderung und durch seine Mimik bei der Wiedererzählung bezeugt. Doch fiel trotz all dieses reichen Materials so lange kein Licht auf die Bedeutung seiner Zwangsidee, bis eines Tages die </w:t>
      </w:r>
      <w:r w:rsidRPr="00487290">
        <w:rPr>
          <w:rFonts w:ascii="Garamond" w:hAnsi="Garamond"/>
          <w:i/>
          <w:iCs/>
          <w:lang w:val="en-US"/>
        </w:rPr>
        <w:t>Rattenmamsell</w:t>
      </w:r>
      <w:r w:rsidRPr="00487290">
        <w:rPr>
          <w:rFonts w:ascii="Garamond" w:hAnsi="Garamond"/>
          <w:lang w:val="en-US"/>
        </w:rPr>
        <w:t xml:space="preserve"> aus Ibsens </w:t>
      </w:r>
      <w:r w:rsidRPr="00487290">
        <w:rPr>
          <w:rFonts w:ascii="Garamond" w:hAnsi="Garamond"/>
          <w:i/>
          <w:iCs/>
          <w:lang w:val="en-US"/>
        </w:rPr>
        <w:t>Klein Eyolf</w:t>
      </w:r>
      <w:r w:rsidRPr="00487290">
        <w:rPr>
          <w:rFonts w:ascii="Garamond" w:hAnsi="Garamond"/>
          <w:lang w:val="en-US"/>
        </w:rPr>
        <w:t xml:space="preserve"> auftauchte und die Folgerung unabweisbar machte, in vielen Ausgestaltungen seiner Zwangsdelirien bedeuteten die Ratten auch </w:t>
      </w:r>
      <w:r w:rsidRPr="00487290">
        <w:rPr>
          <w:rFonts w:ascii="Garamond" w:hAnsi="Garamond"/>
          <w:i/>
          <w:iCs/>
          <w:lang w:val="en-US"/>
        </w:rPr>
        <w:t>Kinder</w:t>
      </w:r>
      <w:hyperlink r:id="rId1158" w:history="1">
        <w:r w:rsidRPr="00487290">
          <w:rPr>
            <w:rStyle w:val="Lienhypertexte"/>
            <w:rFonts w:ascii="Garamond" w:hAnsi="Garamond"/>
            <w:lang w:val="en-US"/>
          </w:rPr>
          <w:t>[Fußnote]</w:t>
        </w:r>
        <w:r w:rsidRPr="00487290">
          <w:rPr>
            <w:rStyle w:val="innerfusslink"/>
            <w:rFonts w:ascii="Garamond" w:hAnsi="Garamond"/>
            <w:lang w:val="en-US"/>
          </w:rPr>
          <w:t>Ibsens Rattenmamsell ist ja sicherlich von dem sagenhaften Rattenfänger von Hameln abgeleitet, der zuerst die Ratten ins Wasser lockt und dann mit denselben Mitteln die Kinder der Stadt auf Nimmerwiederkehr verführt. Auch Klein Eyolf stürzt sich unter dem Banne der Rattenmamsell ins Wasser. Die Ratte erscheint in der Sage überhaupt nicht so sehr als ekelhaftes, sondern als unheimliches, man möchte sagen chthonisches Tier und wird zur Darstellung der Seelen Verstorbener verwendet.</w:t>
        </w:r>
      </w:hyperlink>
      <w:r w:rsidRPr="00487290">
        <w:rPr>
          <w:rFonts w:ascii="Garamond" w:hAnsi="Garamond"/>
          <w:lang w:val="en-US"/>
        </w:rPr>
        <w:t xml:space="preserve">. Forschte man nach der Entstehung dieser neuen Bedeutung, so stieß man sofort auf die ältesten und bedeutsamsten Wurzeln. Bei einem Besuche am Grabe des Vaters hatte er einmal ein großes Tier, das er für eine Ratte hielt, am Grabhügel vorbeihuschen gesehen </w:t>
      </w:r>
      <w:hyperlink r:id="rId1159" w:history="1">
        <w:r w:rsidRPr="00487290">
          <w:rPr>
            <w:rStyle w:val="Lienhypertexte"/>
            <w:rFonts w:ascii="Garamond" w:hAnsi="Garamond"/>
            <w:lang w:val="en-US"/>
          </w:rPr>
          <w:t>[Fußnote]</w:t>
        </w:r>
        <w:r w:rsidRPr="00487290">
          <w:rPr>
            <w:rStyle w:val="innerfusslink"/>
            <w:rFonts w:ascii="Garamond" w:hAnsi="Garamond"/>
            <w:lang w:val="en-US"/>
          </w:rPr>
          <w:t>Eines der auf dem Wiener Zentralfriedhofe so häufigen Erdwiesel.</w:t>
        </w:r>
      </w:hyperlink>
      <w:r w:rsidRPr="00487290">
        <w:rPr>
          <w:rFonts w:ascii="Garamond" w:hAnsi="Garamond"/>
          <w:lang w:val="en-US"/>
        </w:rPr>
        <w:t xml:space="preserve">. Er nahm an, sie käme aus dem Grabe des Vaters selbst und hätte soeben ihre Mahlzeit von seinem Leichnam eingenommen. Von der Vorstellung der Ratte bleibt als unzertrennlich, daß sie mit scharfen Zähnen nagt und beißt </w:t>
      </w:r>
      <w:hyperlink r:id="rId1160" w:history="1">
        <w:r w:rsidRPr="00487290">
          <w:rPr>
            <w:rStyle w:val="Lienhypertexte"/>
            <w:rFonts w:ascii="Garamond" w:hAnsi="Garamond"/>
            <w:lang w:val="en-US"/>
          </w:rPr>
          <w:t>[Fußnote]</w:t>
        </w:r>
        <w:r w:rsidRPr="00487290">
          <w:rPr>
            <w:rStyle w:val="innerfusslink"/>
            <w:rFonts w:ascii="Garamond" w:hAnsi="Garamond"/>
            <w:lang w:val="en-US"/>
          </w:rPr>
          <w:t xml:space="preserve">›Doch dieser Schwelle Zauber zu zerspalten, </w:t>
        </w:r>
        <w:r w:rsidRPr="00487290">
          <w:rPr>
            <w:rFonts w:ascii="Garamond" w:hAnsi="Garamond"/>
            <w:color w:val="0000FF"/>
            <w:u w:val="single"/>
            <w:lang w:val="en-US"/>
          </w:rPr>
          <w:br/>
        </w:r>
        <w:r w:rsidRPr="00487290">
          <w:rPr>
            <w:rStyle w:val="innerfusslink"/>
            <w:rFonts w:ascii="Garamond" w:hAnsi="Garamond"/>
            <w:lang w:val="en-US"/>
          </w:rPr>
          <w:t xml:space="preserve">Bedarf ich eines Rattenzahns </w:t>
        </w:r>
        <w:r w:rsidRPr="00487290">
          <w:rPr>
            <w:rFonts w:ascii="Garamond" w:hAnsi="Garamond"/>
            <w:color w:val="0000FF"/>
            <w:u w:val="single"/>
            <w:lang w:val="en-US"/>
          </w:rPr>
          <w:br/>
        </w:r>
        <w:r w:rsidRPr="00487290">
          <w:rPr>
            <w:rStyle w:val="innerfusslink"/>
            <w:rFonts w:ascii="Garamond" w:hAnsi="Garamond"/>
            <w:lang w:val="en-US"/>
          </w:rPr>
          <w:t xml:space="preserve">- - - </w:t>
        </w:r>
        <w:r w:rsidRPr="00487290">
          <w:rPr>
            <w:rFonts w:ascii="Garamond" w:hAnsi="Garamond"/>
            <w:color w:val="0000FF"/>
            <w:u w:val="single"/>
            <w:lang w:val="en-US"/>
          </w:rPr>
          <w:br/>
        </w:r>
        <w:r w:rsidRPr="00487290">
          <w:rPr>
            <w:rStyle w:val="innerfusslink"/>
            <w:rFonts w:ascii="Garamond" w:hAnsi="Garamond"/>
            <w:lang w:val="en-US"/>
          </w:rPr>
          <w:t>Noch einen Biß, so ist's geschehn« – sagt Mephisto.</w:t>
        </w:r>
      </w:hyperlink>
      <w:r w:rsidRPr="00487290">
        <w:rPr>
          <w:rFonts w:ascii="Garamond" w:hAnsi="Garamond"/>
          <w:lang w:val="en-US"/>
        </w:rPr>
        <w:t xml:space="preserve">; die Ratte ist aber nicht etwa ohne Strafe bissig, gefräßig und schmutzig, sondern sie wird von den Menschen, wie er oft mit Grausen gesehen hatte, grausam verfolgt und schonungslos erschlagen. Oft hatte er Mitleid mit solchen armen Ratten verspürt. Nun war er selbst ein so ekelhafter, schmutziger, kleiner Kerl gewesen, der in der Wut um sich beißen konnte und dafür fürchterlich gezüchtigt worden war (vgl. Seite 72). Er konnte wirklich sein ganz »natürlich Ebenbild« </w:t>
      </w:r>
      <w:hyperlink r:id="rId1161" w:history="1">
        <w:r w:rsidRPr="00487290">
          <w:rPr>
            <w:rStyle w:val="Lienhypertexte"/>
            <w:rFonts w:ascii="Garamond" w:hAnsi="Garamond"/>
            <w:lang w:val="en-US"/>
          </w:rPr>
          <w:t>[Fußnote]</w:t>
        </w:r>
        <w:r w:rsidRPr="00487290">
          <w:rPr>
            <w:rStyle w:val="innerfusslink"/>
            <w:rFonts w:ascii="Garamond" w:hAnsi="Garamond"/>
            <w:lang w:val="en-US"/>
          </w:rPr>
          <w:t>Auerbachs Keller.</w:t>
        </w:r>
      </w:hyperlink>
      <w:r w:rsidRPr="00487290">
        <w:rPr>
          <w:rFonts w:ascii="Garamond" w:hAnsi="Garamond"/>
          <w:lang w:val="en-US"/>
        </w:rPr>
        <w:t xml:space="preserve"> in der Ratte finden. Das Schicksal hatte ihm in der Erzählung des Hauptmannes sozusagen ein Komplexreizwort zugerufen, und er versäumte nicht, mit seiner Zwangsidee darauf zu reagieren.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Ratten waren also Kinder nach seinen frühesten und folgenschwersten Erfahrungen. Und nun brachte er eine Mitteilung, die er lange genug aus dem Zusammenhange ferngehalten hatte, die aber jetzt das Interesse, das er für Kinder haben mußte, voll aufklärte. Die Dame, die er durch so lange Jahre verehrte und zu heiraten sich doch nicht entschließen konnte, war infolge einer gynäkologischen Operation, der </w:t>
      </w:r>
      <w:r w:rsidRPr="00487290">
        <w:rPr>
          <w:rFonts w:ascii="Garamond" w:hAnsi="Garamond"/>
          <w:lang w:val="en-US"/>
        </w:rPr>
        <w:lastRenderedPageBreak/>
        <w:t>Entfernung beider Ovarien, zur Kinderlosigkeit verurteilt; es war dies sogar für ihn, der Kinder außerordentlich liebte, der Hauptgrund seines Schwankens.</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Erst jetzt wurde es möglich, den unbegreiflichen Vorgang bei der Bildung seiner Zwangsidee zu verstehen; mit Zuhilfenahme der infantilen Sexualtheorien und der Symbolik, die man aus der Deutung von Träumen kennt, ließ sich alles sinnreich übersetzen. Als der Hauptmann auf der Nachmittagsrast, bei der er seinen Zwicker einbüßte, von der Rattenstrafe erzählte, packte ihn zuerst nur der grausam lüsterne Charakter der vorgestellten Situation. Aber sofort stellte sich die Verbindung mit jener Kinderszene her, in der er selbst gebissen hatte; der Hauptmann, der für solche Strafen eintreten konnte, rückte ihm an die Stelle des Vaters und zog einen Teil der wiederkehrenden Erbitterung auf sich, die sich damals gegen den grausamen Vater empört hatte. Die flüchtig auftauchende Idee, es könnte einer ihm lieben Person etwas dergleichen geschehen, wäre zu übersetzen durch die Wunschregung: »Dir sollte man so etwas tun«, die sich gegen den Erzähler, dahinter aber schon gegen den Vater richtete. Als ihm dann 1½ Tage später </w:t>
      </w:r>
      <w:hyperlink r:id="rId1162" w:history="1">
        <w:r w:rsidRPr="00487290">
          <w:rPr>
            <w:rStyle w:val="Lienhypertexte"/>
            <w:rFonts w:ascii="Garamond" w:hAnsi="Garamond"/>
            <w:lang w:val="en-US"/>
          </w:rPr>
          <w:t>[Fußnote]</w:t>
        </w:r>
        <w:r w:rsidRPr="00487290">
          <w:rPr>
            <w:rStyle w:val="innerfusslink"/>
            <w:rFonts w:ascii="Garamond" w:hAnsi="Garamond"/>
            <w:lang w:val="en-US"/>
          </w:rPr>
          <w:t>Nicht am nächsten Abend, wie er zuerst erzählte. Es ist ganz unmöglich, daß der bestellte Zwicker noch am selben Tage angelangt wäre. Er verkürzt diese Zwischenzeit in der Erinnerung, weil in ihr die entscheidenden Gedankenverbindungen sich herstellten und weil er die in sie fallende Begegnung mit dem Offizier verdrängt, der ihm vom freundlichen Benehmen des Postfräuleins erzählte.</w:t>
        </w:r>
      </w:hyperlink>
      <w:r w:rsidRPr="00487290">
        <w:rPr>
          <w:rFonts w:ascii="Garamond" w:hAnsi="Garamond"/>
          <w:lang w:val="en-US"/>
        </w:rPr>
        <w:t xml:space="preserve"> der Hauptmann das mit Nachnahme angelangte Paket überreicht und ihn mahnt, die 3 Kronen 80 Heller dem Oberleutnant A. zurückzugeben, weiß er bereits, daß der »grausame Vorgesetzte« sich irrt und daß er niemand anderem als dem Postfräulein verpflichtet ist. Es liegt ihm also nahe, eine höhnische Antwort zu bilden wie: »Ja freilich, was fällt dir denn ein?« oder: »Ja, Schnecken«, oder: »Ja, einen Schmarren </w:t>
      </w:r>
      <w:hyperlink r:id="rId1163" w:history="1">
        <w:r w:rsidRPr="00487290">
          <w:rPr>
            <w:rStyle w:val="Lienhypertexte"/>
            <w:rFonts w:ascii="Garamond" w:hAnsi="Garamond"/>
            <w:lang w:val="en-US"/>
          </w:rPr>
          <w:t>[Fußnote]</w:t>
        </w:r>
        <w:r w:rsidRPr="00487290">
          <w:rPr>
            <w:rStyle w:val="innerfusslink"/>
            <w:rFonts w:ascii="Garamond" w:hAnsi="Garamond"/>
            <w:lang w:val="en-US"/>
          </w:rPr>
          <w:t>Wienerisch.</w:t>
        </w:r>
      </w:hyperlink>
      <w:r w:rsidRPr="00487290">
        <w:rPr>
          <w:rFonts w:ascii="Garamond" w:hAnsi="Garamond"/>
          <w:lang w:val="en-US"/>
        </w:rPr>
        <w:t xml:space="preserve"> werd' ich ihm das Geld zurückgeben«, Antworten, die er nicht hätte aussprechen müssen. Aber aus dem unterdes aufgerührten Vaterkomplex und der Erinnerung an jene Infantilszene gestaltet sich ihm die Antwort: »Ja, ich werde dem A. das Geld zurückgeben, wenn mein Vater und meine Geliebte Kinder bekommen«, oder: »So wahr mein Vater und die Dame Kinder bekommen können, so gewiß werde ich ihm das Geld zurückgeben.« Also eine höhnende Beteuerung an eine unerfüllbare absurde Bedingung geknüpft </w:t>
      </w:r>
      <w:hyperlink r:id="rId1164" w:history="1">
        <w:r w:rsidRPr="00487290">
          <w:rPr>
            <w:rStyle w:val="Lienhypertexte"/>
            <w:rFonts w:ascii="Garamond" w:hAnsi="Garamond"/>
            <w:lang w:val="en-US"/>
          </w:rPr>
          <w:t>[Fußnote]</w:t>
        </w:r>
        <w:r w:rsidRPr="00487290">
          <w:rPr>
            <w:rStyle w:val="innerfusslink"/>
            <w:rFonts w:ascii="Garamond" w:hAnsi="Garamond"/>
            <w:lang w:val="en-US"/>
          </w:rPr>
          <w:t>Die Absurdität bedeutet also auch in der Sprache des Zwangsdenkens Hohn so wie im Traume. Siehe Traumdeutung (1900).</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Aber nun war das Verbrechen begangen, die beiden ihm teuersten Personen, Vater und Geliebte, von ihm geschmäht; das forderte Strafe, und die Bestrafung bestand in dem Auferlegen eines unmöglich zu erfüllenden Eides, der den Wortlaut des Gehorsams gegen die unberechtigte Mahnung des Vorgesetzten einhielt: » </w:t>
      </w:r>
      <w:r w:rsidRPr="00487290">
        <w:rPr>
          <w:rFonts w:ascii="Garamond" w:hAnsi="Garamond"/>
          <w:i/>
          <w:iCs/>
          <w:lang w:val="en-US"/>
        </w:rPr>
        <w:t>Jetzt mußt du wirklich dem A. das Geld zurückgeben.</w:t>
      </w:r>
      <w:r w:rsidRPr="00487290">
        <w:rPr>
          <w:rFonts w:ascii="Garamond" w:hAnsi="Garamond"/>
          <w:lang w:val="en-US"/>
        </w:rPr>
        <w:t>« Im krampfhaften Gehorsam verdrängte er sein besseres Wissen, daß der Hauptmann seine Mahnung auf eine irrige Voraussetzung gründe: »Ja, du mußt dem A. das Geld zurückgeben, wie der Stellvertreter des Vaters verlangt hat. Der Vater kann nicht irren.« Auch die Majestät kann nicht irren, und wenn sie einen Untertan mit einem ihm nicht gebührenden Titel angesprochen hat, so trägt er fortan diesen Titel.</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Von diesem Vorgange gelangt in sein Bewußtsein nur undeutliche Kunde, aber die Auflehnung gegen das Gebot des Hauptmannes und der Umschlag ins Gegenteil sind auch im Bewußtsein vertreten. (Zuerst: </w:t>
      </w:r>
      <w:r w:rsidRPr="00487290">
        <w:rPr>
          <w:rFonts w:ascii="Garamond" w:hAnsi="Garamond"/>
          <w:i/>
          <w:iCs/>
          <w:lang w:val="en-US"/>
        </w:rPr>
        <w:t>Nicht</w:t>
      </w:r>
      <w:r w:rsidRPr="00487290">
        <w:rPr>
          <w:rFonts w:ascii="Garamond" w:hAnsi="Garamond"/>
          <w:lang w:val="en-US"/>
        </w:rPr>
        <w:t xml:space="preserve"> das Geld zurückgeben, sonst geschieht das . . ., und dann die Verwandlung in den gegenteiligen Eidauftrag als Strafe für die Auflehnung.)</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Man vergegenwärtige sich noch die Konstellation, in welche die Bildung der großen Zwangsidee fiel. Er war durch lange Abstinenz sowie durch das freundliche Entgegenkommen, auf das der junge Offizier bei den Frauen rechnen darf, libidinös geworden, war überdies in einer gewissen Entfremdung von seiner Dame zur Waffenübung eingerückt. Diese Libidosteigerung machte ihn geneigt, den uralten Kampf gegen die Autorität des Vaters wieder aufzunehmen, und er getraute sich an sexuelle Befriedigung bei anderen Frauen zu denken. Die Zweifel am Andenken des Vaters und die Bedenken gegen den Wert der Geliebten hatten sich gesteigert; in solcher Verfassung ließ er sich zur Schmähung gegen beide hinreißen, und dann bestrafte er sich dafür. Er wiederholte damit ein altes Vorbild. Wenn er dann nach Schluß der Waffenübung so lange schwankt, ob er nach Wien reisen oder bleiben und den Eid erfüllen solle, so stellt er damit in einem die beiden Konflikte dar, die ihn von jeher bewegt hatten, ob er dem Vater gehorsam und ob er der Geliebten treu bleiben solle </w:t>
      </w:r>
      <w:hyperlink r:id="rId1165" w:history="1">
        <w:r w:rsidRPr="00487290">
          <w:rPr>
            <w:rStyle w:val="Lienhypertexte"/>
            <w:rFonts w:ascii="Garamond" w:hAnsi="Garamond"/>
            <w:lang w:val="en-US"/>
          </w:rPr>
          <w:t>[Fußnote]</w:t>
        </w:r>
        <w:r w:rsidRPr="00487290">
          <w:rPr>
            <w:rStyle w:val="innerfusslink"/>
            <w:rFonts w:ascii="Garamond" w:hAnsi="Garamond"/>
            <w:lang w:val="en-US"/>
          </w:rPr>
          <w:t>Es ist vielleicht interessant hervorzuheben, daß der Gehorsam gegen den Vater wiederum mit der Abwendung von der Dame zusammenfällt. Wenn er bleibt und dem A. das Geld zurückgibt, so hat er die Buße gegen den Vater erfüllt und gleichzeitig seine Dame gegen die Anziehung eines anderen Magneten verlassen. Der Sieg in diesem Konflikte verbleibt der Dame, allerdings mit Unterstützung der normalen Besinnung.</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Noch ein Wort über die Deutung des Inhaltes der Sanktion: »sonst wird an den beiden Personen die Rattenstrafe vollzogen«. Sie ruht auf der Geltung zweier infantiler Sexualtheorien, über die ich an anderer </w:t>
      </w:r>
      <w:r w:rsidRPr="00487290">
        <w:rPr>
          <w:rFonts w:ascii="Garamond" w:hAnsi="Garamond"/>
          <w:lang w:val="en-US"/>
        </w:rPr>
        <w:lastRenderedPageBreak/>
        <w:t xml:space="preserve">Stelle Auskunft gegeben habe </w:t>
      </w:r>
      <w:hyperlink r:id="rId1166" w:history="1">
        <w:r w:rsidRPr="00487290">
          <w:rPr>
            <w:rStyle w:val="Lienhypertexte"/>
            <w:rFonts w:ascii="Garamond" w:hAnsi="Garamond"/>
            <w:lang w:val="en-US"/>
          </w:rPr>
          <w:t>[Fußnote]</w:t>
        </w:r>
        <w:r w:rsidRPr="00487290">
          <w:rPr>
            <w:rStyle w:val="innerfusslink"/>
            <w:rFonts w:ascii="Garamond" w:hAnsi="Garamond"/>
            <w:lang w:val="en-US"/>
          </w:rPr>
          <w:t>Vgl. ›Über infantile Sexualtheorien‹ (1908).</w:t>
        </w:r>
      </w:hyperlink>
      <w:r w:rsidRPr="00487290">
        <w:rPr>
          <w:rFonts w:ascii="Garamond" w:hAnsi="Garamond"/>
          <w:lang w:val="en-US"/>
        </w:rPr>
        <w:t>. Die erste dieser Theorien geht dahin, daß die Kinder aus dem After herauskommen; die zweite schließt konsequent mit der Möglichkeit an, daß Männer ebensowohl Kinder kriegen können wie Frauen. Nach den technischen Regeln der Traumdeutung kann das Aus-dem-Darm-Herauskommen durch seinen Gegensatz: ein In-den-Darm-Hineinkriechen (wie bei der Rattenstrafe) dargestellt werden und umgekehrt.</w:t>
      </w:r>
    </w:p>
    <w:p w:rsidR="00822836" w:rsidRPr="00487290" w:rsidRDefault="00822836" w:rsidP="00822836">
      <w:pPr>
        <w:pStyle w:val="Sansinterligne"/>
        <w:rPr>
          <w:rFonts w:ascii="Garamond" w:hAnsi="Garamond"/>
          <w:lang w:val="en-US"/>
        </w:rPr>
      </w:pPr>
      <w:r w:rsidRPr="00487290">
        <w:rPr>
          <w:rFonts w:ascii="Garamond" w:hAnsi="Garamond"/>
          <w:lang w:val="en-US"/>
        </w:rPr>
        <w:t>Einfachere Lösungen für so schwere Zwangsideen oder Lösungen mit anderen Mitteln zu erwarten, ist man wohl nicht berechtigt. Mit der Lösung, die sich uns ergab, war das Rattendelirium beseitigt.</w:t>
      </w:r>
    </w:p>
    <w:p w:rsidR="00822836" w:rsidRDefault="00822836" w:rsidP="00822836">
      <w:pPr>
        <w:pStyle w:val="Sansinterligne"/>
        <w:rPr>
          <w:rFonts w:ascii="Garamond" w:hAnsi="Garamond"/>
          <w:lang w:val="en-US"/>
        </w:rPr>
      </w:pPr>
    </w:p>
    <w:p w:rsidR="00822836" w:rsidRDefault="00822836" w:rsidP="00822836">
      <w:pPr>
        <w:rPr>
          <w:rFonts w:ascii="Garamond" w:hAnsi="Garamond"/>
          <w:b/>
          <w:lang w:val="en-US"/>
        </w:rPr>
      </w:pPr>
      <w:r>
        <w:rPr>
          <w:rFonts w:ascii="Garamond" w:hAnsi="Garamond"/>
          <w:b/>
          <w:lang w:val="en-US"/>
        </w:rPr>
        <w:br w:type="page"/>
      </w:r>
    </w:p>
    <w:p w:rsidR="00822836" w:rsidRPr="00244833" w:rsidRDefault="00B437A1" w:rsidP="00822836">
      <w:pPr>
        <w:pStyle w:val="Sansinterligne"/>
        <w:rPr>
          <w:rFonts w:ascii="Garamond" w:hAnsi="Garamond"/>
          <w:b/>
          <w:lang w:val="en-US"/>
        </w:rPr>
      </w:pPr>
      <w:hyperlink w:anchor="Inhaltratman" w:history="1">
        <w:r w:rsidR="00822836" w:rsidRPr="00244833">
          <w:rPr>
            <w:rStyle w:val="Lienhypertexte"/>
            <w:rFonts w:ascii="Garamond" w:hAnsi="Garamond"/>
            <w:b/>
            <w:lang w:val="en-US"/>
          </w:rPr>
          <w:t>II. Zu</w:t>
        </w:r>
        <w:bookmarkStart w:id="227" w:name="Ratman2"/>
        <w:bookmarkEnd w:id="227"/>
        <w:r w:rsidR="00822836" w:rsidRPr="00244833">
          <w:rPr>
            <w:rStyle w:val="Lienhypertexte"/>
            <w:rFonts w:ascii="Garamond" w:hAnsi="Garamond"/>
            <w:b/>
            <w:lang w:val="en-US"/>
          </w:rPr>
          <w:t>r Theorie</w:t>
        </w:r>
      </w:hyperlink>
    </w:p>
    <w:p w:rsidR="00822836" w:rsidRDefault="00822836" w:rsidP="00822836">
      <w:pPr>
        <w:pStyle w:val="Sansinterligne"/>
        <w:rPr>
          <w:rFonts w:ascii="Garamond" w:hAnsi="Garamond"/>
          <w:lang w:val="en-US"/>
        </w:rPr>
      </w:pPr>
    </w:p>
    <w:p w:rsidR="00822836" w:rsidRPr="00487290" w:rsidRDefault="00822836" w:rsidP="00822836">
      <w:pPr>
        <w:pStyle w:val="Sansinterligne"/>
        <w:rPr>
          <w:rFonts w:ascii="Garamond" w:hAnsi="Garamond"/>
          <w:lang w:val="en-US"/>
        </w:rPr>
      </w:pPr>
      <w:r w:rsidRPr="00487290">
        <w:rPr>
          <w:rFonts w:ascii="Garamond" w:hAnsi="Garamond"/>
          <w:lang w:val="en-US"/>
        </w:rPr>
        <w:t>A. Einige allgemeine Charaktere der Zwangsbildungen</w:t>
      </w:r>
    </w:p>
    <w:p w:rsidR="00822836" w:rsidRPr="00244833" w:rsidRDefault="00822836" w:rsidP="00822836">
      <w:pPr>
        <w:pStyle w:val="Sansinterligne"/>
        <w:rPr>
          <w:rFonts w:ascii="Garamond" w:hAnsi="Garamond"/>
          <w:lang w:val="en-US"/>
        </w:rPr>
      </w:pPr>
    </w:p>
    <w:p w:rsidR="00822836" w:rsidRPr="00822836" w:rsidRDefault="00B437A1" w:rsidP="00822836">
      <w:pPr>
        <w:pStyle w:val="Sansinterligne"/>
        <w:rPr>
          <w:rFonts w:ascii="Garamond" w:hAnsi="Garamond"/>
          <w:lang w:val="en-US"/>
        </w:rPr>
      </w:pPr>
      <w:hyperlink r:id="rId1167" w:history="1">
        <w:r w:rsidR="00822836" w:rsidRPr="00822836">
          <w:rPr>
            <w:rStyle w:val="Lienhypertexte"/>
            <w:rFonts w:ascii="Garamond" w:hAnsi="Garamond"/>
            <w:lang w:val="en-US"/>
          </w:rPr>
          <w:t>[Fußnote]</w:t>
        </w:r>
        <w:r w:rsidR="00822836" w:rsidRPr="00822836">
          <w:rPr>
            <w:rStyle w:val="innerfusslink"/>
            <w:rFonts w:ascii="Garamond" w:hAnsi="Garamond"/>
            <w:lang w:val="en-US"/>
          </w:rPr>
          <w:t xml:space="preserve">Verschiedene der hier und im nächsten Abschnitte behandelten Punkte sind in der Literatur der Zwangsneurose bereits erwähnt worden, wie man aus dem gründlichen Hauptwerke über diese Krankheitsform, dem 1904 veröffentlichten Buch von L. Löwenfeld, </w:t>
        </w:r>
        <w:r w:rsidR="00822836" w:rsidRPr="00822836">
          <w:rPr>
            <w:rStyle w:val="innerfusslink"/>
            <w:rFonts w:ascii="Garamond" w:hAnsi="Garamond"/>
            <w:i/>
            <w:iCs/>
            <w:lang w:val="en-US"/>
          </w:rPr>
          <w:t>Die psychischen Zwangserscheinungen,</w:t>
        </w:r>
        <w:r w:rsidR="00822836" w:rsidRPr="00822836">
          <w:rPr>
            <w:rStyle w:val="innerfusslink"/>
            <w:rFonts w:ascii="Garamond" w:hAnsi="Garamond"/>
            <w:lang w:val="en-US"/>
          </w:rPr>
          <w:t xml:space="preserve"> ersehen kann.</w:t>
        </w:r>
      </w:hyperlink>
    </w:p>
    <w:p w:rsidR="00822836" w:rsidRPr="00487290" w:rsidRDefault="00822836" w:rsidP="00822836">
      <w:pPr>
        <w:pStyle w:val="Sansinterligne"/>
        <w:rPr>
          <w:rFonts w:ascii="Garamond" w:hAnsi="Garamond"/>
          <w:lang w:val="en-US"/>
        </w:rPr>
      </w:pPr>
      <w:r w:rsidRPr="00487290">
        <w:rPr>
          <w:rFonts w:ascii="Garamond" w:hAnsi="Garamond"/>
          <w:lang w:val="en-US"/>
        </w:rPr>
        <w:t xml:space="preserve">Meine im Jahre 1896 gegebene Definition der Zwangsvorstellungen, sie seien »verwandelte, aus der Verdrängung wiederkehrende Vorwürfe, die sich immer auf eine sexuelle, mit Lust ausgeführte Aktion der Kinderjahre beziehen« </w:t>
      </w:r>
      <w:hyperlink r:id="rId1168" w:history="1">
        <w:r w:rsidRPr="00487290">
          <w:rPr>
            <w:rStyle w:val="Lienhypertexte"/>
            <w:rFonts w:ascii="Garamond" w:hAnsi="Garamond"/>
            <w:lang w:val="en-US"/>
          </w:rPr>
          <w:t>[Fußnote]</w:t>
        </w:r>
        <w:r w:rsidRPr="00487290">
          <w:rPr>
            <w:rStyle w:val="innerfusslink"/>
            <w:rFonts w:ascii="Garamond" w:hAnsi="Garamond"/>
            <w:lang w:val="en-US"/>
          </w:rPr>
          <w:t>›Weitere Bemerkungen über die Abwehrneuropsychosen‹.</w:t>
        </w:r>
      </w:hyperlink>
      <w:r w:rsidRPr="00487290">
        <w:rPr>
          <w:rFonts w:ascii="Garamond" w:hAnsi="Garamond"/>
          <w:lang w:val="en-US"/>
        </w:rPr>
        <w:t xml:space="preserve">, erscheint mir heute formell angreifbar, obwohl sie aus den besten Elementen zusammengesetzt ist. Sie strebte zu sehr nach Vereinheitlichung und nahm sich den Vorgang der Zwangskranken selbst zum Muster, welche mit der ihnen eigentümlichen Neigung zur Unbestimmtheit die verschiedenartigsten psychischen Bildungen als »Zwangsvorstellungen« zusammenwerfen </w:t>
      </w:r>
      <w:hyperlink r:id="rId1169" w:history="1">
        <w:r w:rsidRPr="00487290">
          <w:rPr>
            <w:rStyle w:val="Lienhypertexte"/>
            <w:rFonts w:ascii="Garamond" w:hAnsi="Garamond"/>
            <w:lang w:val="en-US"/>
          </w:rPr>
          <w:t>[Fußnote]</w:t>
        </w:r>
        <w:r w:rsidRPr="00487290">
          <w:rPr>
            <w:rStyle w:val="innerfusslink"/>
            <w:rFonts w:ascii="Garamond" w:hAnsi="Garamond"/>
            <w:lang w:val="en-US"/>
          </w:rPr>
          <w:t xml:space="preserve">Dieser Mangel der Definition wird im Aufsatze selbst verbessert. Es heißt darin: »Die wiederbelebten Erinnerungen und die aus ihnen gebildeten Vorwürfe treten aber niemals unverändert ins Bewußtsein ein, sondern was als Zwangsvorstellung und Zwangsaffekt bewußt wird, die pathogene Erinnerung für das bewußte Leben substituiert, sind </w:t>
        </w:r>
        <w:r w:rsidRPr="00487290">
          <w:rPr>
            <w:rStyle w:val="innerfusslink"/>
            <w:rFonts w:ascii="Garamond" w:hAnsi="Garamond"/>
            <w:i/>
            <w:iCs/>
            <w:lang w:val="en-US"/>
          </w:rPr>
          <w:t>Kompromißbildungen</w:t>
        </w:r>
        <w:r w:rsidRPr="00487290">
          <w:rPr>
            <w:rStyle w:val="innerfusslink"/>
            <w:rFonts w:ascii="Garamond" w:hAnsi="Garamond"/>
            <w:lang w:val="en-US"/>
          </w:rPr>
          <w:t xml:space="preserve"> zwischen den verdrängten und den verdrängenden Vorstellungen.« In der Definition ist also ein besonderer Akzent auf das Wort »verwandelt« zu legen.</w:t>
        </w:r>
      </w:hyperlink>
      <w:r w:rsidRPr="00487290">
        <w:rPr>
          <w:rFonts w:ascii="Garamond" w:hAnsi="Garamond"/>
          <w:lang w:val="en-US"/>
        </w:rPr>
        <w:t>. Es ist in der Tat korrekter, von »Zwangsdenken« zu sprechen und hervorzuheben, daß die Zwangsgebilde den Wert der verschiedenartigsten psychischen Akte haben können. Sie lassen sich als Wünsche, Versuchungen, Impulse, Reflexionen, Zweifel, Gebote und Verbote bestimmen. Die Kranken haben im allgemeinen das Bestreben, diese Bestimmtheit abzuschwächen und den seines Affektindex beraubten Inhalt als Zwangsvorstellung zu führen. Ein Beispiel für solche Behandlung eines Wunsches, der zur bloßen »Denkverbindung« herabgesetzt werden sollte, bot uns unser Patient in einer der ersten Sitzungen (S. 52).</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Man muß auch bald zugestehen, daß bisher nicht einmal die Phänomenologie des Zwangsdenkens entsprechend gewürdigt werden konnte. In dem sekundären Abwehrkampf, den der Kranke gegen die in sein Bewußtsein eingedrungenen »Zwangsvorstellungen« führt, kommen Bildungen zustande, die einer besonderen Benennung würdig sind. Man denke z. B. an die Gedankenreihen, die unseren Patienten während seiner Rückfahrt von der Waffenübung beschäftigen. Es sind nicht rein vernünftige Erwägungen, die den Zwangsgedanken entgegengesetzt werden, sondern gleichsam Mischlinge zwischen beiden Denkungsarten, sie nehmen gewisse Voraussetzungen des Zwanges, den sie bekämpfen, in sich auf und stellen sich (mit den Mitteln der Vernunft) auf den Boden des krankhaften Denkens. Ich meine, solche Bildungen verdienen den Namen von » </w:t>
      </w:r>
      <w:r w:rsidRPr="00487290">
        <w:rPr>
          <w:rFonts w:ascii="Garamond" w:hAnsi="Garamond"/>
          <w:i/>
          <w:iCs/>
          <w:lang w:val="en-US"/>
        </w:rPr>
        <w:t>Delirien</w:t>
      </w:r>
      <w:r w:rsidRPr="00487290">
        <w:rPr>
          <w:rFonts w:ascii="Garamond" w:hAnsi="Garamond"/>
          <w:lang w:val="en-US"/>
        </w:rPr>
        <w:t>«. Ein Beispiel, das ich an seine Stelle in der Krankengeschichte einzufügen bitte, wird die Unterscheidung klarmachen. Als unser Patient sich eine Zeitlang während seines Studiums dem beschriebenen tollen Treiben hingegeben hatte, bis in die späte Nacht zu arbeiten, dann für den Geist des Vaters die Türe zu öffnen, dann seine Genitalien im Spiegel zu beschauen (S. 71), suchte er sich mit der Mahnung zurechtzubringen, was wohl der Vater dazu sagen würde, wenn er wirklich noch am Leben wäre. Aber dieses Argument hatte keinen Erfolg, solange es in dieser vernünftigen Form vorgebracht wurde; der Spuk hörte erst auf, nachdem er dieselbe Idee in die Form einer deliriösen Drohung gebracht hatte: Wenn er diesen Unsinn noch einmal übe, werde dem Vater im Jenseits ein Übel zustoßen.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Der Wert der sicherlich berechtigten Unterscheidung zwischen primärem und sekundärem Abwehrkampf wird in unerwarteter Weise durch die Erkenntnis eingeschränkt, </w:t>
      </w:r>
      <w:r w:rsidRPr="00487290">
        <w:rPr>
          <w:rFonts w:ascii="Garamond" w:hAnsi="Garamond"/>
          <w:i/>
          <w:iCs/>
          <w:lang w:val="en-US"/>
        </w:rPr>
        <w:t>daß die Kranken den Wortlaut ihrer eigenen Zwangsvorstellungen nicht kennen</w:t>
      </w:r>
      <w:r w:rsidRPr="00487290">
        <w:rPr>
          <w:rFonts w:ascii="Garamond" w:hAnsi="Garamond"/>
          <w:lang w:val="en-US"/>
        </w:rPr>
        <w:t xml:space="preserve">. Es klingt paradox, hat aber seinen guten Sinn. Im Verlaufe einer Psychoanalyse wächst nämlich nicht nur der Mut des Kranken, sondern gleichsam auch der seiner Krankheit; sie getraut sich deutlicherer Äußerungen. Um die bildliche Darstellung zu verlassen, es geht wohl so zu, daß der Kranke, der sich bisher erschreckt von der Wahrnehmung seiner krankhaften Produktionen abgewendet hatte, ihnen nun seine Aufmerksamkeit schenkt und sie deutlicher und ausführlicher erfährt </w:t>
      </w:r>
      <w:hyperlink r:id="rId1170" w:history="1">
        <w:r w:rsidRPr="00487290">
          <w:rPr>
            <w:rStyle w:val="Lienhypertexte"/>
            <w:rFonts w:ascii="Garamond" w:hAnsi="Garamond"/>
            <w:lang w:val="en-US"/>
          </w:rPr>
          <w:t>[Fußnote]</w:t>
        </w:r>
        <w:r w:rsidRPr="00487290">
          <w:rPr>
            <w:rStyle w:val="innerfusslink"/>
            <w:rFonts w:ascii="Garamond" w:hAnsi="Garamond"/>
            <w:lang w:val="en-US"/>
          </w:rPr>
          <w:t>Bei manchen Kranken geht die Abwendung ihrer Aufmerksamkeit so weit, daß sie den Inhalt einer Zwangsvorstellung überhaupt nicht angeben, eine Zwangshandlung, die sie unzählige Male ausgeführt, nicht beschreiben können.</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Eine schärfere Kenntnis der Zwangsbildungen gewinnt man überdies auf zwei besonderen Wegen. Erstens macht man die Erfahrung, daß die Träume den eigentlichen Text des Zwangsgebotes u. dgl. bringen können, der im Wachen nur verstümmelt und entstellt, wie in einer verunstalteten Depesche, </w:t>
      </w:r>
      <w:r w:rsidRPr="00487290">
        <w:rPr>
          <w:rFonts w:ascii="Garamond" w:hAnsi="Garamond"/>
          <w:lang w:val="en-US"/>
        </w:rPr>
        <w:lastRenderedPageBreak/>
        <w:t xml:space="preserve">bekannt worden ist. Diese Texte treten im Traume als </w:t>
      </w:r>
      <w:r w:rsidRPr="00487290">
        <w:rPr>
          <w:rFonts w:ascii="Garamond" w:hAnsi="Garamond"/>
          <w:i/>
          <w:iCs/>
          <w:lang w:val="en-US"/>
        </w:rPr>
        <w:t>Reden</w:t>
      </w:r>
      <w:r w:rsidRPr="00487290">
        <w:rPr>
          <w:rFonts w:ascii="Garamond" w:hAnsi="Garamond"/>
          <w:lang w:val="en-US"/>
        </w:rPr>
        <w:t xml:space="preserve"> auf, entgegen der Regel, daß Reden im Traume von Reden am Tage herrühren </w:t>
      </w:r>
      <w:hyperlink r:id="rId1171" w:history="1">
        <w:r w:rsidRPr="00487290">
          <w:rPr>
            <w:rStyle w:val="Lienhypertexte"/>
            <w:rFonts w:ascii="Garamond" w:hAnsi="Garamond"/>
            <w:lang w:val="en-US"/>
          </w:rPr>
          <w:t>[Fußnote]</w:t>
        </w:r>
        <w:r w:rsidRPr="00487290">
          <w:rPr>
            <w:rStyle w:val="innerfusslink"/>
            <w:rFonts w:ascii="Garamond" w:hAnsi="Garamond"/>
            <w:lang w:val="en-US"/>
          </w:rPr>
          <w:t>Vgl. Traumdeutung (1900).</w:t>
        </w:r>
      </w:hyperlink>
      <w:r w:rsidRPr="00487290">
        <w:rPr>
          <w:rFonts w:ascii="Garamond" w:hAnsi="Garamond"/>
          <w:lang w:val="en-US"/>
        </w:rPr>
        <w:t>. Zweitens gewinnt man in der analytischen Verfolgung einer Krankengeschichte die Überzeugung, daß oft mehrere aufeinander folgende, aber im Wortlaute nicht identische Zwangsvorstellungen im Grunde doch eine und dieselbe sind. Die Zwangsvorstellung ist das erstemal glücklich abgewiesen worden, sie kehrt nun ein andermal in entstellter Form wieder, wird nicht erkannt und kann sich vielleicht gerade infolge ihrer Entstellung im Abwehrkampfe besser behaupten. Die ursprüngliche Form aber ist die richtige, die oft ihren Sinn ganz unverhüllt erkennen läßt. Hat man eine unverständliche Zwangsidee mühselig aufgeklärt, so kann man nicht selten vom Kranken hören, daß ein Einfall, Wunsch, Versuchung wie der konstruierte, wirklich vor der Zwangsidee einmal aufgetreten ist, aber sich nicht gehalten hat. Die Beispiele hiefür aus der Geschichte unseres Patienten würden leider zu umständlich ausfallen.</w:t>
      </w:r>
    </w:p>
    <w:p w:rsidR="00822836" w:rsidRPr="00487290" w:rsidRDefault="00822836" w:rsidP="00822836">
      <w:pPr>
        <w:pStyle w:val="Sansinterligne"/>
        <w:rPr>
          <w:rFonts w:ascii="Garamond" w:hAnsi="Garamond"/>
          <w:lang w:val="en-US"/>
        </w:rPr>
      </w:pPr>
      <w:r w:rsidRPr="00487290">
        <w:rPr>
          <w:rFonts w:ascii="Garamond" w:hAnsi="Garamond"/>
          <w:lang w:val="en-US"/>
        </w:rPr>
        <w:t>Die offiziell so bezeichnete »Zwangsvorstellung« trägt also in ihrer Entstellung gegen den ursprünglichen Wortlaut die Spuren des primären Abwehrkampfes an sich. Ihre Entstellung macht sie nun lebensfähig, denn das bewußte Denken ist genötigt, sie in ähnlicher Weise mißzuverstehen wie den Trauminhalt, der selbst ein Kompromiß- und Entstellungsprodukt ist und vom wachen Denken weiter mißverstanden wird.</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Das Mißverständnis des bewußten Denkens läßt sich nun nicht nur an den Zwangsideen selbst, sondern auch an den Produkten des sekundären Abwehrkampfes, z. B. an den Schutzformeln nachweisen. Hiefür kann ich zwei gute Beispiele bringen. Unser Patient gebrauchte als Abwehrformel ein rasch ausgesprochenes </w:t>
      </w:r>
      <w:r w:rsidRPr="00487290">
        <w:rPr>
          <w:rFonts w:ascii="Garamond" w:hAnsi="Garamond"/>
          <w:i/>
          <w:iCs/>
          <w:lang w:val="en-US"/>
        </w:rPr>
        <w:t>aber</w:t>
      </w:r>
      <w:r w:rsidRPr="00487290">
        <w:rPr>
          <w:rFonts w:ascii="Garamond" w:hAnsi="Garamond"/>
          <w:lang w:val="en-US"/>
        </w:rPr>
        <w:t xml:space="preserve">, von einer abweisenden Handbewegung begleitet. Er erzählte dann einmal, diese Formel habe sich in letzter Zeit verändert; er sage nicht mehr </w:t>
      </w:r>
      <w:r w:rsidRPr="00487290">
        <w:rPr>
          <w:rFonts w:ascii="Garamond" w:hAnsi="Garamond"/>
          <w:i/>
          <w:iCs/>
          <w:lang w:val="en-US"/>
        </w:rPr>
        <w:t>áber</w:t>
      </w:r>
      <w:r w:rsidRPr="00487290">
        <w:rPr>
          <w:rFonts w:ascii="Garamond" w:hAnsi="Garamond"/>
          <w:lang w:val="en-US"/>
        </w:rPr>
        <w:t xml:space="preserve">, sondern </w:t>
      </w:r>
      <w:r w:rsidRPr="00487290">
        <w:rPr>
          <w:rFonts w:ascii="Garamond" w:hAnsi="Garamond"/>
          <w:i/>
          <w:iCs/>
          <w:lang w:val="en-US"/>
        </w:rPr>
        <w:t>abér</w:t>
      </w:r>
      <w:r w:rsidRPr="00487290">
        <w:rPr>
          <w:rFonts w:ascii="Garamond" w:hAnsi="Garamond"/>
          <w:lang w:val="en-US"/>
        </w:rPr>
        <w:t xml:space="preserve">. Nach dem Grunde dieser Fortentwicklung befragt, gab er an, das stumme </w:t>
      </w:r>
      <w:r w:rsidRPr="00487290">
        <w:rPr>
          <w:rFonts w:ascii="Garamond" w:hAnsi="Garamond"/>
          <w:i/>
          <w:iCs/>
          <w:lang w:val="en-US"/>
        </w:rPr>
        <w:t>e</w:t>
      </w:r>
      <w:r w:rsidRPr="00487290">
        <w:rPr>
          <w:rFonts w:ascii="Garamond" w:hAnsi="Garamond"/>
          <w:lang w:val="en-US"/>
        </w:rPr>
        <w:t xml:space="preserve"> der zweiten Silbe gebe ihm keine Sicherheit gegen die gefürchtete Einmengung von etwas Fremdem und Gegensätzlichem, und darum habe er beschlossen, das </w:t>
      </w:r>
      <w:r w:rsidRPr="00487290">
        <w:rPr>
          <w:rFonts w:ascii="Garamond" w:hAnsi="Garamond"/>
          <w:i/>
          <w:iCs/>
          <w:lang w:val="en-US"/>
        </w:rPr>
        <w:t>e</w:t>
      </w:r>
      <w:r w:rsidRPr="00487290">
        <w:rPr>
          <w:rFonts w:ascii="Garamond" w:hAnsi="Garamond"/>
          <w:lang w:val="en-US"/>
        </w:rPr>
        <w:t xml:space="preserve"> zu akzentuieren. Diese Aufklärung, ganz im Stile der Zwangsneurose gehalten, erwies sich doch als unzutreffend, sie konnte höchstens den Wert einer Rationalisierung beanspruchen; in Wirklichkeit war das </w:t>
      </w:r>
      <w:r w:rsidRPr="00487290">
        <w:rPr>
          <w:rFonts w:ascii="Garamond" w:hAnsi="Garamond"/>
          <w:i/>
          <w:iCs/>
          <w:lang w:val="en-US"/>
        </w:rPr>
        <w:t>abér</w:t>
      </w:r>
      <w:r w:rsidRPr="00487290">
        <w:rPr>
          <w:rFonts w:ascii="Garamond" w:hAnsi="Garamond"/>
          <w:lang w:val="en-US"/>
        </w:rPr>
        <w:t xml:space="preserve"> eine Angleichung an </w:t>
      </w:r>
      <w:r w:rsidRPr="00487290">
        <w:rPr>
          <w:rFonts w:ascii="Garamond" w:hAnsi="Garamond"/>
          <w:i/>
          <w:iCs/>
          <w:lang w:val="en-US"/>
        </w:rPr>
        <w:t>Abwehr</w:t>
      </w:r>
      <w:r w:rsidRPr="00487290">
        <w:rPr>
          <w:rFonts w:ascii="Garamond" w:hAnsi="Garamond"/>
          <w:lang w:val="en-US"/>
        </w:rPr>
        <w:t xml:space="preserve">, welchen Terminus er aus den theoretischen Gesprächen über die Psychoanalyse kannte. Die Kur war also in mißbräuchlicher und deliriöser Weise zur Verstärkung einer Abwehrformel verwendet worden. Ein andermal sprach er von seinem Hauptzauberwort, das er zum Schutze gegen alle Anfechtungen aus den Anfangsbuchstaben aller heilkräftigsten Gebete zusammengesetzt und mit einem angehängten </w:t>
      </w:r>
      <w:r w:rsidRPr="00487290">
        <w:rPr>
          <w:rFonts w:ascii="Garamond" w:hAnsi="Garamond"/>
          <w:i/>
          <w:iCs/>
          <w:lang w:val="en-US"/>
        </w:rPr>
        <w:t>Amen</w:t>
      </w:r>
      <w:r w:rsidRPr="00487290">
        <w:rPr>
          <w:rFonts w:ascii="Garamond" w:hAnsi="Garamond"/>
          <w:lang w:val="en-US"/>
        </w:rPr>
        <w:t xml:space="preserve"> versehen hatte. Ich kann das Wort selbst nicht hierhersetzen aus Gründen, die sich sogleich ergeben werden. Denn, als ich es erfuhr, mußte ich bemerken, daß es vielmehr ein Anagramm des Namens seiner verehrten Dame war; in diesem Namen war ein </w:t>
      </w:r>
      <w:r w:rsidRPr="00487290">
        <w:rPr>
          <w:rFonts w:ascii="Garamond" w:hAnsi="Garamond"/>
          <w:i/>
          <w:iCs/>
          <w:lang w:val="en-US"/>
        </w:rPr>
        <w:t>S</w:t>
      </w:r>
      <w:r w:rsidRPr="00487290">
        <w:rPr>
          <w:rFonts w:ascii="Garamond" w:hAnsi="Garamond"/>
          <w:lang w:val="en-US"/>
        </w:rPr>
        <w:t xml:space="preserve"> enthalten, welches er ans Ende und unmittelbar vor das angehängte </w:t>
      </w:r>
      <w:r w:rsidRPr="00487290">
        <w:rPr>
          <w:rFonts w:ascii="Garamond" w:hAnsi="Garamond"/>
          <w:i/>
          <w:iCs/>
          <w:lang w:val="en-US"/>
        </w:rPr>
        <w:t>Amen</w:t>
      </w:r>
      <w:r w:rsidRPr="00487290">
        <w:rPr>
          <w:rFonts w:ascii="Garamond" w:hAnsi="Garamond"/>
          <w:lang w:val="en-US"/>
        </w:rPr>
        <w:t xml:space="preserve"> gesetzt hatte. Er hatte also – wir dürfen sagen: seinen Samen mit der Geliebten zusammengebracht, d. h. mit ihrer Person in der Vorstellung onaniert. Diesen aufdringlichen Zusammenhang hatte er aber selbst nicht bemerkt; die Abwehr hatte sich vom Verdrängten narren lassen. Übrigens ein gutes Beispiel für den Satz, daß mit der Zeit das Abzuwehrende sich regelmäßig Eingang in das verschafft, wodurch es abgewehrt wird.</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Wenn behauptet wird, daß die Zwangsgedanken eine Entstellung erfahren haben ähnlich wie die Traumgedanken, ehe sie zum Trauminhalte werden, so darf uns die Technik dieser Entstellung interessieren, und es stünde nichts im Wege, die verschiedenen Mittel derselben an einer Reihe von übersetzten und verstandenen Zwangsideen darzulegen. Auch hiervon kann ich aber unter den Bedingungen dieser Publikation nur einzelne Proben geben. Nicht alle Zwangsideen unseres Patienten waren so kompliziert gebaut und so schwer aufzuschließen wie die große Rattenvorstellung. Bei anderen war eine sehr einfache Technik gebraucht worden, die der Entstellung durch Auslassung – </w:t>
      </w:r>
      <w:r w:rsidRPr="00487290">
        <w:rPr>
          <w:rFonts w:ascii="Garamond" w:hAnsi="Garamond"/>
          <w:i/>
          <w:iCs/>
          <w:lang w:val="en-US"/>
        </w:rPr>
        <w:t>Ellipse</w:t>
      </w:r>
      <w:r w:rsidRPr="00487290">
        <w:rPr>
          <w:rFonts w:ascii="Garamond" w:hAnsi="Garamond"/>
          <w:lang w:val="en-US"/>
        </w:rPr>
        <w:t xml:space="preserve"> –, die beim Witz so vorzügliche Anwendung findet, aber auch hier ihre Schuldigkeit als Schutzmittel gegen das Verständnis tat. Eine seiner ältesten und beliebtesten Zwangsideen (vom Wert einer Mahnung oder Warnung) lautete z.B.: » </w:t>
      </w:r>
      <w:r w:rsidRPr="00487290">
        <w:rPr>
          <w:rFonts w:ascii="Garamond" w:hAnsi="Garamond"/>
          <w:i/>
          <w:iCs/>
          <w:lang w:val="en-US"/>
        </w:rPr>
        <w:t>Wenn ich die Dame heirate, geschieht dem Vater ein Unglück</w:t>
      </w:r>
      <w:r w:rsidRPr="00487290">
        <w:rPr>
          <w:rFonts w:ascii="Garamond" w:hAnsi="Garamond"/>
          <w:lang w:val="en-US"/>
        </w:rPr>
        <w:t xml:space="preserve">« (im Jenseits). Setzen wir die übersprungenen und aus der Analyse bekannten Zwischenglieder ein, so lautet der Gedankengang: »Wenn der Vater lebte, so würde er über meinen Vorsatz, die Dame zu heiraten, ebenso wütend werden wie damals in der Kinderszene, so daß ich wiederum eine Wut gegen ihn bekäme und ihm alles Böse wünschte, was sich kraft der Allmacht </w:t>
      </w:r>
      <w:hyperlink r:id="rId1172" w:history="1">
        <w:r w:rsidRPr="00487290">
          <w:rPr>
            <w:rStyle w:val="Lienhypertexte"/>
            <w:rFonts w:ascii="Garamond" w:hAnsi="Garamond"/>
            <w:lang w:val="en-US"/>
          </w:rPr>
          <w:t>[Fußnote]</w:t>
        </w:r>
        <w:r w:rsidRPr="00487290">
          <w:rPr>
            <w:rStyle w:val="innerfusslink"/>
            <w:rFonts w:ascii="Garamond" w:hAnsi="Garamond"/>
            <w:lang w:val="en-US"/>
          </w:rPr>
          <w:t>Über diese »Allmacht« siehe später.</w:t>
        </w:r>
      </w:hyperlink>
      <w:r w:rsidRPr="00487290">
        <w:rPr>
          <w:rFonts w:ascii="Garamond" w:hAnsi="Garamond"/>
          <w:lang w:val="en-US"/>
        </w:rPr>
        <w:t xml:space="preserve"> meiner Wünsche an ihm erfüllen müßte.«</w:t>
      </w:r>
    </w:p>
    <w:p w:rsidR="00822836" w:rsidRPr="00487290" w:rsidRDefault="00822836" w:rsidP="00822836">
      <w:pPr>
        <w:pStyle w:val="Sansinterligne"/>
        <w:rPr>
          <w:rFonts w:ascii="Garamond" w:hAnsi="Garamond"/>
        </w:rPr>
      </w:pPr>
      <w:r w:rsidRPr="00487290">
        <w:rPr>
          <w:rFonts w:ascii="Garamond" w:hAnsi="Garamond"/>
          <w:lang w:val="en-US"/>
        </w:rPr>
        <w:t xml:space="preserve">Oder ein anderer Fall von elliptischer Auflösung, gleichfalls einer Warnung oder eines asketischen Verbotes. Er hatte eine herzige kleine Nichte, die er sehr liebte. Eines Tages bekam er die Idee: » </w:t>
      </w:r>
      <w:r w:rsidRPr="00487290">
        <w:rPr>
          <w:rFonts w:ascii="Garamond" w:hAnsi="Garamond"/>
          <w:i/>
          <w:iCs/>
          <w:lang w:val="en-US"/>
        </w:rPr>
        <w:t>Wenn du dir einen Koitus gestattest, wird der Ella ein Unglück geschehen</w:t>
      </w:r>
      <w:r w:rsidRPr="00487290">
        <w:rPr>
          <w:rFonts w:ascii="Garamond" w:hAnsi="Garamond"/>
          <w:lang w:val="en-US"/>
        </w:rPr>
        <w:t xml:space="preserve">« (sterben). Mit Einsetzung des Ausgelassenen: »Bei jedem Koitus, auch mit einer Fremden, mußt du doch daran denken, daß der Sexualverkehr in deiner Ehe nie ein Kind zur Folge haben wird« (die Sterilität seiner Geliebten). »Das wird dir so leid tun, daß du auf </w:t>
      </w:r>
      <w:r w:rsidRPr="00487290">
        <w:rPr>
          <w:rFonts w:ascii="Garamond" w:hAnsi="Garamond"/>
          <w:lang w:val="en-US"/>
        </w:rPr>
        <w:lastRenderedPageBreak/>
        <w:t xml:space="preserve">die kleine Ella neidisch werden und der Schwester das Kind nicht gönnen wirst. Diese neidischen Regungen müssen den Tod des Kindes zur Folge haben.« </w:t>
      </w:r>
      <w:hyperlink r:id="rId1173" w:history="1">
        <w:r w:rsidRPr="00487290">
          <w:rPr>
            <w:rStyle w:val="Lienhypertexte"/>
            <w:rFonts w:ascii="Garamond" w:hAnsi="Garamond"/>
            <w:lang w:val="en-US"/>
          </w:rPr>
          <w:t>[Fußnote]</w:t>
        </w:r>
        <w:r w:rsidRPr="00487290">
          <w:rPr>
            <w:rStyle w:val="innerfusslink"/>
            <w:rFonts w:ascii="Garamond" w:hAnsi="Garamond"/>
            <w:lang w:val="en-US"/>
          </w:rPr>
          <w:t xml:space="preserve">An die Verwendung der Auslassungstechnik beim Witze will ich durch einige Beispiele erinnern, die ich einer Schrift von mir entnehme. (Der Witz und seine Beziehung zum Unbewußten, (1905) »In Wien lebt ein geistreicher und kampflustiger Schriftsteller, der sich durch die Schärfe seiner Invektive wiederholt körperliche Mißhandlungen von Seiten der Angegriffenen zugezogen hat. </w:t>
        </w:r>
        <w:r w:rsidRPr="00487290">
          <w:rPr>
            <w:rStyle w:val="innerfusslink"/>
            <w:rFonts w:ascii="Garamond" w:hAnsi="Garamond"/>
          </w:rPr>
          <w:t xml:space="preserve">Als einmal eine neue Missetat eines seiner habituellen Gegner beredet wurde, äußerte ein Dritter: › </w:t>
        </w:r>
        <w:r w:rsidRPr="00487290">
          <w:rPr>
            <w:rStyle w:val="innerfusslink"/>
            <w:rFonts w:ascii="Garamond" w:hAnsi="Garamond"/>
            <w:i/>
            <w:iCs/>
          </w:rPr>
          <w:t>Wenn der X. das hört, bekommt er eine Ohrfeige . . .</w:t>
        </w:r>
        <w:r w:rsidRPr="00487290">
          <w:rPr>
            <w:rStyle w:val="innerfusslink"/>
            <w:rFonts w:ascii="Garamond" w:hAnsi="Garamond"/>
          </w:rPr>
          <w:t xml:space="preserve">‹ Der Widersinn vergeht, wenn man in die Lücke einsetzt: › </w:t>
        </w:r>
        <w:r w:rsidRPr="00487290">
          <w:rPr>
            <w:rStyle w:val="innerfusslink"/>
            <w:rFonts w:ascii="Garamond" w:hAnsi="Garamond"/>
            <w:i/>
            <w:iCs/>
          </w:rPr>
          <w:t>Dann schreibt er einen so bissigen Artikel gegen den Betreffenden, daß</w:t>
        </w:r>
        <w:r w:rsidRPr="00487290">
          <w:rPr>
            <w:rStyle w:val="innerfusslink"/>
            <w:rFonts w:ascii="Garamond" w:hAnsi="Garamond"/>
          </w:rPr>
          <w:t>‹ usw.« – Dieser elliptische Witz zeigt auch inhaltliche Übereinstimmung mit dem obigen ersten Beispiel.</w:t>
        </w:r>
      </w:hyperlink>
    </w:p>
    <w:p w:rsidR="00822836" w:rsidRPr="00487290" w:rsidRDefault="00822836" w:rsidP="00822836">
      <w:pPr>
        <w:pStyle w:val="Sansinterligne"/>
        <w:rPr>
          <w:rFonts w:ascii="Garamond" w:hAnsi="Garamond"/>
          <w:lang w:val="en-US"/>
        </w:rPr>
      </w:pPr>
      <w:r w:rsidRPr="00487290">
        <w:rPr>
          <w:rFonts w:ascii="Garamond" w:hAnsi="Garamond"/>
        </w:rPr>
        <w:t xml:space="preserve">Die elliptische Entstellungstechnik scheint für die Zwangsneurose typisch zu sein; ich bin ihr auch bei den Zwangsgedanken anderer Patienten begegnet. </w:t>
      </w:r>
      <w:r w:rsidRPr="00487290">
        <w:rPr>
          <w:rFonts w:ascii="Garamond" w:hAnsi="Garamond"/>
          <w:lang w:val="en-US"/>
        </w:rPr>
        <w:t>Besonders durchsichtig und durch eine gewisse Ähnlichkeit mit der Struktur der Rattenvorstellung interessant war ein Fall von Zweifel bei einer wesentlich an Zwangshandlungen leidenden Dame. Sie ging mit ihrem Manne in Nürnberg spazieren und ließ sich von ihm in einen Laden begleiten, in dem sie verschiedene Gegenstände für ihr Kind, darunter auch einen Kamm, einkaufte. Der Mann, dem das Wählen zu lange dauerte, gab an, er habe auf dem Wege einige Münzen bei einem Antiquar gesehen, die er erwerben wolle; er werde sie nach dem Kaufe aus diesem Laden abholen. Er blieb aber nach ihrer Schätzung viel zu lange aus. Als er wiederkam und auf die Frage, wo er sich aufgehalten, antwortete: »Eben bei jenem Antiquar«, bekam sie in demselben Momente den quälenden Zweifel, ob sie den fürs Kind gekauften Kamm nicht vielmehr seit jeher besessen habe. Natürlich verstand sie den simplen Zusammenhang nicht aufzudecken. Wir können gar nicht anders als diesen Zweifel für einen verschobenen erklären und den vollständigen unbewußten Gedanken in folgender Art konstruieren: »Wenn es wahr ist, daß du nur beim Antiquar warst, wenn ich das glauben soll, dann kann ich ebenso glauben, daß ich diesen eben gekauften Kamm schon seit Jahren besitze.« Also eine höhnische persiflierende Gleichstellung, ähnlich wie der Gedanke unseres Patienten: »Ja, so gewiß die beiden (Vater und Dame) Kinder bekommen werden, so gewiß werde ich dem A. das Geld zurückgeben.« Bei der Dame hing der Zweifel an der ihr unbewußten Eifersucht, die sie annehmen ließ, ihr Mann habe das Intervall zu einem galanten Besuch benutzt.</w:t>
      </w:r>
    </w:p>
    <w:p w:rsidR="00822836" w:rsidRPr="00487290" w:rsidRDefault="00822836" w:rsidP="00822836">
      <w:pPr>
        <w:pStyle w:val="Sansinterligne"/>
        <w:rPr>
          <w:rFonts w:ascii="Garamond" w:hAnsi="Garamond"/>
          <w:lang w:val="en-US"/>
        </w:rPr>
      </w:pPr>
      <w:r w:rsidRPr="00487290">
        <w:rPr>
          <w:rFonts w:ascii="Garamond" w:hAnsi="Garamond"/>
          <w:lang w:val="en-US"/>
        </w:rPr>
        <w:t>Eine psychologische Würdigung des Zwangsdenkens versuche ich diesmal nicht zu unternehmen. Sie würde außerordentlich wertvolle Ergebnisse bringen und zur Klärung unserer Einsichten in das Wesen des Bewußten und Unbewußten mehr leisten als das Studium der Hysterie und der hypnotischen Erscheinungen. Es wäre sehr wünschenswert, daß die Philosophen und Psychologen, welche vom Hörensagen her oder aus ihren konventionellen Definitionen scharfsinnige Lehren über das Unbewußte entwickeln, sich vorher die entscheidenden Eindrücke aus den Erscheinungen des Zwangsdenkens holten; man könnte es beinahe fordern, wenn es nicht soviel mühseliger wäre als die ihnen sonst vertrauten Arbeitsweisen. Ich werde hier nur noch anführen, daß bei der Zwangsneurose gelegentlich die unbewußten seelischen Vorgänge in reinster, unentstellter Form zum Bewußten durchbrechen, daß der Durchbruch von den verschiedensten Stadien des unbewußten Denkprozesses her erfolgen kann und daß die Zwangsvorstellungen im Momente des Durchbruches meist als längst bestehende Bildungen erkannt werden können. Daher die auffällige Erscheinung, daß der Zwangskranke, wenn man mit ihm dem ersten Auftreten einer Zwangsidee nachforscht, dieselbe im Laufe der Analyse immer weiter nach rückwärts verlegen muß, immer neue erste Veranlassungen für sie findet.</w:t>
      </w:r>
    </w:p>
    <w:p w:rsidR="00822836" w:rsidRPr="00487290" w:rsidRDefault="00822836" w:rsidP="00822836">
      <w:pPr>
        <w:pStyle w:val="Sansinterligne"/>
        <w:rPr>
          <w:rFonts w:ascii="Garamond" w:hAnsi="Garamond"/>
          <w:lang w:val="en-US"/>
        </w:rPr>
      </w:pPr>
      <w:r w:rsidRPr="00487290">
        <w:rPr>
          <w:rFonts w:ascii="Garamond" w:hAnsi="Garamond"/>
          <w:lang w:val="en-US"/>
        </w:rPr>
        <w:t>B. Einige psychische Besonderheiten der Zwangskranken – ihr Verhältnis zur Realität, zum Aberglauben und zum Tod</w:t>
      </w:r>
    </w:p>
    <w:p w:rsidR="00822836" w:rsidRPr="00487290" w:rsidRDefault="00822836" w:rsidP="00822836">
      <w:pPr>
        <w:pStyle w:val="Sansinterligne"/>
        <w:rPr>
          <w:rFonts w:ascii="Garamond" w:hAnsi="Garamond"/>
          <w:lang w:val="en-US"/>
        </w:rPr>
      </w:pPr>
      <w:r w:rsidRPr="00487290">
        <w:rPr>
          <w:rFonts w:ascii="Garamond" w:hAnsi="Garamond"/>
          <w:lang w:val="en-US"/>
        </w:rPr>
        <w:t>Ich habe hier einige seelische Charaktere der Zwangskranken zu behandeln, welche an sich nicht wichtig scheinen, aber auf dem Wege zum Verständnisse von Wichtigerem liegen. Sie waren bei meinem Patienten sehr deutlich ausgesprochen – ich weiß aber, daß sie nicht seiner Individualität, sondern seinem Leiden zuzurechnen sind und sich in ganz typischer Weise bei anderen Zwangskranken wiederfinden.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Unser Patient war in hohem Grade abergläubisch, und dies zwar, obwohl er ein hochgebildeter, aufgeklärter Mann von bedeutendem Scharfsinn war und zuzeiten versichern konnte, daß er von all dem Plunder nichts für wahr halte. Er war also abergläubisch und war es doch nicht und unterschied sich doch deutlich von den ungebildeten Abergläubischen, die sich eins mit ihrem Glauben fühlen. Er schien zu verstehen, daß sein Aberglaube von seinem Zwangsdenken abhing, obwohl er sich zuzeiten voll zu ihm bekannte. Ein so widerspruchsvolles und schwankendes Benehmen läßt sich am ehesten unter dem Gesichtswinkel eines bestimmten Erklärungsversuches erfassen. Ich habe nicht gezögert anzunehmen, daß er betreffs dieser Dinge zwei verschiedene und entgegengesetzte Überzeugungen hatte und nicht etwa eine </w:t>
      </w:r>
      <w:r w:rsidRPr="00487290">
        <w:rPr>
          <w:rFonts w:ascii="Garamond" w:hAnsi="Garamond"/>
          <w:lang w:val="en-US"/>
        </w:rPr>
        <w:lastRenderedPageBreak/>
        <w:t>noch unfertige Meinung. Zwischen diesen beiden Meinungen oszillierte er dann in sichtbarster Abhängigkeit von seiner sonstigen Stellung zum Zwangsleiden. Sowie er eines Zwanges Herr geworden war, belächelte er seine Leichtgläubigkeit mit überlegenem Verständnis, und es ereignete sich ihm nichts, was ihn hätte erschüttern können, und sobald er wieder unter die Herrschaft eines ungelösten Zwanges – oder was gleichwertig ist: eines Widerstandes – gekommen war, erlebte er die sonderbarsten Zufälle, welche der gläubigen Überzeugung zu Hilfe kamen.</w:t>
      </w:r>
    </w:p>
    <w:p w:rsidR="00822836" w:rsidRPr="00487290" w:rsidRDefault="00822836" w:rsidP="00822836">
      <w:pPr>
        <w:pStyle w:val="Sansinterligne"/>
        <w:rPr>
          <w:rFonts w:ascii="Garamond" w:hAnsi="Garamond"/>
          <w:lang w:val="en-US"/>
        </w:rPr>
      </w:pPr>
      <w:r w:rsidRPr="00487290">
        <w:rPr>
          <w:rFonts w:ascii="Garamond" w:hAnsi="Garamond"/>
          <w:lang w:val="en-US"/>
        </w:rPr>
        <w:t>Sein Aberglaube war immerhin der eines gebildeten Mannes und sah von Abgeschmacktheiten, wie die Angst vor dem Freitag, vor der Zahl 13 u. dgl., ab. Er glaubte aber an Vorzeichen, an prophetische Träume, begegnete beständig jenen Personen, mit denen er sich unerklärlicherweise eben beschäftigt hatte, und erhielt Briefe von Korrespondenten, die sich ihm nach den längsten Pausen plötzlich in geistige Erinnerung gebracht hatten. Dabei war er rechtschaffen genug oder vielmehr so weit seiner offiziellen Überzeugung getreu, daß er Fälle nicht vergessen hatte, in denen die intensivsten Ahnungen zu nichts gekommen waren, z. B. einmal als er sich in den Sommeraufenthalt begab, die sichere Ahnung, er werde nicht mehr lebend nach Wien zurückkehren. Auch gab er zu, daß die größte Mehrzahl der Vorzeichen Dinge betrafen, die keine besondere Bedeutung für seine Person hatten, und daß, wenn er einem Bekannten begegnete, an den er sehr lange nicht und gerade wenige Momente vorher gedacht hatte, sich zwischen diesem wundersam Erschauten und ihm weiter nichts zutrug. Natürlich war er auch nicht imstande, es in Abrede zu stellen, daß alles Bedeutsame seines Lebens sich ohne Vorzeichen zugetragen hatte, so wie er z. B. vom Tode des Vaters ahnungslos überrascht worden war. Aber alle solche Argumente änderten an dem Zwiespalt seiner Überzeugungen nichts und erwiesen nur den Zwangscharakter seines Aberglaubens, der bereits aus dessen mit dem Widerstand gleichsinnigen Schwankungen zu erschließen war.</w:t>
      </w:r>
    </w:p>
    <w:p w:rsidR="00822836" w:rsidRPr="00487290" w:rsidRDefault="00822836" w:rsidP="00822836">
      <w:pPr>
        <w:pStyle w:val="Sansinterligne"/>
        <w:rPr>
          <w:rFonts w:ascii="Garamond" w:hAnsi="Garamond"/>
          <w:lang w:val="en-US"/>
        </w:rPr>
      </w:pPr>
      <w:r w:rsidRPr="00487290">
        <w:rPr>
          <w:rFonts w:ascii="Garamond" w:hAnsi="Garamond"/>
          <w:lang w:val="en-US"/>
        </w:rPr>
        <w:t>Ich war natürlich nicht in der Lage, alle seine älteren Wundergeschichten rationell aufzuklären, aber für das, was sich von ähnlichen Dingen während der Zeit der Behandlung ereignete, konnte ich ihm nachweisen, daß er selbst beständig an der Fabrikation der Wunder beteiligt sei und welcher Mittel er sich dabei bediene. Er arbeitete mit dem indirekten Sehen und Lesen, mit Vergessen und vor allem mit Gedächtnistäuschungen. Am Ende half er mir selbst die kleinen Taschenspielerkünste aufdecken, durch welche jene Wunder gemacht wurden. Als interessante infantile Wurzel seines Glaubens an das Eintreffen von Ahnungen und von Vorhersagen ergab sich einmal die Erinnerung, daß die Mutter so oft, wenn ein Termin gewählt werden sollte, gesagt hatte: »An dem und dem Tage kann ich nicht; da werde ich liegen müssen.« Und wirklich lag sie an dem angekündigten Tage jedesmal zu Bett!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Unverkennbar, daß es ihm ein Bedürfnis war, im Erleben solche Stützpunkte für seinen Aberglauben zu finden, daß er darum die bekannten unerklärlichen Zufälligkeiten des Alltags so sehr beachtete und mit dem unbewußten Tun nachhalf, wo diese nicht ausreichten. Dies Bedürfnis habe ich bei vielen anderen Zwangskranken gefunden und vermute es bei noch mehreren. Es scheint mir aus dem psychologischen Charakter der Zwangsneurose gut erklärlich. Wie ich vorhin (S. 64) auseinandergesetzt, erfolgt bei dieser Störung die Verdrängung nicht durch Amnesie, sondern durch Zerreißung von kausalen Zusammenhängen infolge von Affektentziehung. Eine gewisse mahnende Kraft – die ich an anderer Stelle mit einer endopsychischen Wahrnehmung verglichen habe </w:t>
      </w:r>
      <w:hyperlink r:id="rId1174" w:history="1">
        <w:r w:rsidRPr="00487290">
          <w:rPr>
            <w:rStyle w:val="Lienhypertexte"/>
            <w:rFonts w:ascii="Garamond" w:hAnsi="Garamond"/>
            <w:lang w:val="en-US"/>
          </w:rPr>
          <w:t>[Fußnote]</w:t>
        </w:r>
        <w:r w:rsidRPr="00487290">
          <w:rPr>
            <w:rStyle w:val="innerfusslink"/>
            <w:rFonts w:ascii="Garamond" w:hAnsi="Garamond"/>
            <w:lang w:val="en-US"/>
          </w:rPr>
          <w:t>Zur Psychopathologie des Alltagslebens (1901)</w:t>
        </w:r>
      </w:hyperlink>
      <w:r w:rsidRPr="00487290">
        <w:rPr>
          <w:rFonts w:ascii="Garamond" w:hAnsi="Garamond"/>
          <w:lang w:val="en-US"/>
        </w:rPr>
        <w:t xml:space="preserve"> – scheint nun diesen verdrängten Beziehungen zu verbleiben, so daß sie auf dem Wege der Projektion in die Außenwelt eingetragen werden und dort Zeugnis ablegen für das im Psychischen Unterbliebene.</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Ein anderes den Zwangskranken gemeinsames seelisches Bedürfnis, das mit dem eben erwähnten eine gewisse Verwandtschaft hat und dessen Verfolgung tief in die Trieberforschung führt, ist das nach der </w:t>
      </w:r>
      <w:r w:rsidRPr="00487290">
        <w:rPr>
          <w:rFonts w:ascii="Garamond" w:hAnsi="Garamond"/>
          <w:i/>
          <w:iCs/>
          <w:lang w:val="en-US"/>
        </w:rPr>
        <w:t>Unsicherheit</w:t>
      </w:r>
      <w:r w:rsidRPr="00487290">
        <w:rPr>
          <w:rFonts w:ascii="Garamond" w:hAnsi="Garamond"/>
          <w:lang w:val="en-US"/>
        </w:rPr>
        <w:t xml:space="preserve"> im Leben oder nach dem </w:t>
      </w:r>
      <w:r w:rsidRPr="00487290">
        <w:rPr>
          <w:rFonts w:ascii="Garamond" w:hAnsi="Garamond"/>
          <w:i/>
          <w:iCs/>
          <w:lang w:val="en-US"/>
        </w:rPr>
        <w:t>Zweifel</w:t>
      </w:r>
      <w:r w:rsidRPr="00487290">
        <w:rPr>
          <w:rFonts w:ascii="Garamond" w:hAnsi="Garamond"/>
          <w:lang w:val="en-US"/>
        </w:rPr>
        <w:t xml:space="preserve">. Die Herstellung der Unsicherheit ist eine der Methoden, welche die Neurose anwendet, um den Kranken aus der </w:t>
      </w:r>
      <w:r w:rsidRPr="00487290">
        <w:rPr>
          <w:rFonts w:ascii="Garamond" w:hAnsi="Garamond"/>
          <w:i/>
          <w:iCs/>
          <w:lang w:val="en-US"/>
        </w:rPr>
        <w:t>Realität</w:t>
      </w:r>
      <w:r w:rsidRPr="00487290">
        <w:rPr>
          <w:rFonts w:ascii="Garamond" w:hAnsi="Garamond"/>
          <w:lang w:val="en-US"/>
        </w:rPr>
        <w:t xml:space="preserve"> zu ziehen und von der Welt zu isolieren, was ja in der Tendenz jeder psychoneurotischen Störung liegt. Es ist wiederum überdeutlich, wieviel die Kranken dazutun, um einer Sicherheit auszuweichen und in einem Zweifel verharren zu können; ja, bei einigen findet diese Tendenz einen lebendigen Ausdruck in ihrer Abneigung gegen – Uhren, die wenigstens die Zeitbestimmung sichern, und in ihren unbewußt ausgeführten Kunststückchen, jedes solche den Zweifel ausschließende Instrument unschädlich zu machen. Unser Patient hatte eine besondere Geschicklichkeit in der Vermeidung von Auskünften entwickelt, welche einer Entscheidung in seinem Konflikt förderlich gewesen wären. So war er über die für die Eheschließung maßgebendsten Verhältnisse seiner Geliebten nicht aufgeklärt, wußte angeblich nicht zu sagen, wer die Operation an ihr ausgeführt und ob sie ein- oder doppelseitig gewesen sei. Er wurde dazu verhalten, das Vergessene zu erinnern und das Vernachlässigte zu erkunden.</w:t>
      </w:r>
    </w:p>
    <w:p w:rsidR="00822836" w:rsidRPr="00487290" w:rsidRDefault="00822836" w:rsidP="00822836">
      <w:pPr>
        <w:pStyle w:val="Sansinterligne"/>
        <w:rPr>
          <w:rFonts w:ascii="Garamond" w:hAnsi="Garamond"/>
          <w:lang w:val="en-US"/>
        </w:rPr>
      </w:pPr>
      <w:r w:rsidRPr="00487290">
        <w:rPr>
          <w:rFonts w:ascii="Garamond" w:hAnsi="Garamond"/>
          <w:lang w:val="en-US"/>
        </w:rPr>
        <w:lastRenderedPageBreak/>
        <w:t xml:space="preserve">Die Vorliebe der Zwangskranken für die Unsicherheit und den Zweifel wird für sie zum Motiv, um ihre Gedanken vorzugsweise an jene Themen zu heften, wo die Unsicherheit eine allgemein menschliche ist, unser Wissen oder unser Urteil durch Notwendigkeit dem Zweifel ausgesetzt bleiben mußte. Solche Themen sind vor allem: Die Abstammung vom Vater, die Lebensdauer, das Leben nach dem Tode und das Gedächtnis, dem wir ja Glauben zu schenken pflegen, ohne für seine Verläßlichkeit die mindeste Gewähr zu besitzen </w:t>
      </w:r>
      <w:hyperlink r:id="rId1175" w:history="1">
        <w:r w:rsidRPr="00487290">
          <w:rPr>
            <w:rStyle w:val="Lienhypertexte"/>
            <w:rFonts w:ascii="Garamond" w:hAnsi="Garamond"/>
            <w:lang w:val="en-US"/>
          </w:rPr>
          <w:t>[Fußnote]</w:t>
        </w:r>
        <w:r w:rsidRPr="00487290">
          <w:rPr>
            <w:rStyle w:val="innerfusslink"/>
            <w:rFonts w:ascii="Garamond" w:hAnsi="Garamond"/>
            <w:lang w:val="en-US"/>
          </w:rPr>
          <w:t xml:space="preserve">Lichtenberg: »Ob der Mond bewohnt ist, weiß der Astronom ungefähr mit der Zuverlässigkeit, mit der er weiß, wer sein Vater war, aber nicht mit der, woher er weiß, wer seine Mutter gewesen ist.« – Es war ein großer Kulturfortschritt, als die Menschen sich entschlossen, den Schluß neben das Zeugnis der Sinne zu stellen und vom Mutterrecht zum Vaterrecht überzugehen. – Prähistorische Figuren, in denen eine kleinere Gestalt auf dem Kopfe einer größeren sitzt, stellen die Abstammung vom Vater dar: die mutterlose Athene entspringt aus dem Haupte des Zeus. Noch in unserer Sprache heißt der </w:t>
        </w:r>
        <w:r w:rsidRPr="00487290">
          <w:rPr>
            <w:rStyle w:val="innerfusslink"/>
            <w:rFonts w:ascii="Garamond" w:hAnsi="Garamond"/>
            <w:i/>
            <w:iCs/>
            <w:lang w:val="en-US"/>
          </w:rPr>
          <w:t>Zeuge</w:t>
        </w:r>
        <w:r w:rsidRPr="00487290">
          <w:rPr>
            <w:rStyle w:val="innerfusslink"/>
            <w:rFonts w:ascii="Garamond" w:hAnsi="Garamond"/>
            <w:lang w:val="en-US"/>
          </w:rPr>
          <w:t xml:space="preserve"> vor Gericht, der etwas beglaubigt, nach dem männlichen Anteil am Geschäfte der Fortpflanzung, und schon in den Hieroglyphen wird der Zeuge mit dem Bilde der männlichen Genitalien geschrieben.</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Der Unsicherheit des Gedächtnisses bedient sich die Zwangsneurose in ausgiebigster Weise zur Symptombildung; welche Rolle Lebensdauer und Jenseits inhaltlich im Denken der Kranken spielen, werden wir bald erfahren. Ich will als passendsten Übergang vorher noch jenen Zug des Aberglaubens bei unserem Patienten besprechen, dessen Erwähnung an einer früheren Stelle (S. 87) gewiß bei mehr als einem Leser Befremden erregt haben wird.</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Ich meine die von ihm behauptete </w:t>
      </w:r>
      <w:r w:rsidRPr="00487290">
        <w:rPr>
          <w:rFonts w:ascii="Garamond" w:hAnsi="Garamond"/>
          <w:i/>
          <w:iCs/>
          <w:lang w:val="en-US"/>
        </w:rPr>
        <w:t>Allmacht</w:t>
      </w:r>
      <w:r w:rsidRPr="00487290">
        <w:rPr>
          <w:rFonts w:ascii="Garamond" w:hAnsi="Garamond"/>
          <w:lang w:val="en-US"/>
        </w:rPr>
        <w:t xml:space="preserve"> seiner Gedanken und Gefühle, guten und bösen Wünsche. Die Versuchung, diese Idee für einen Wahn zu erklären, welcher das Maß der Zwangsneurose überschreitet, ist gewiß nicht gering; allein ich habe dieselbe Überzeugung bei einem andern Zwangskranken gefunden, der seit langem hergestellt ist und sich normal betätigt, und eigentlich benehmen sich alle Zwangsneurotiker so, als ob sie diese Überzeugung teilten. Es wird unsere Aufgabe sein, diese Überschätzung aufzuklären. Nehmen wir ohneweiters an, daß in diesem Glauben ein Stück des alten Kindergrößenwahnes ehrlich eingestanden wird, und befragen wir unseren Patienten, worauf er seine Überzeugung stützt. Er antwortet mit der Berufung auf zwei Erlebnisse. Als er zum zweitenmal in jene Wasserheilanstalt kam, in welcher er die erste und einzige Beeinflussung seines Leidens erfahren hatte, verlangte er das nämliche Zimmer wieder, welches seine Beziehungen zu einer der Pflegerinnen durch seine Lage begünstigt hatte. Er erhielt die Antwort: das Zimmer sei schon vergeben, ein alter Professor habe es bereits bezogen, und er reagiert auf diese seine Kuraussichten sehr herabsetzende Nachricht mit den unfreundlichen Worten: »Dafür soll ihn aber der Schlag treffen.« Vierzehn Tage später erwachte er aus dem Schlaf, durch die Vorstellung einer Leiche gestört, und am Morgen hörte er, daß den Professor wirklich der Schlag getroffen und daß man ihn etwa um die Zeit seines Erwachens aufs Zimmer gebracht habe. Das andere Erlebnis betraf ein älteres, sehr liebebedürftiges Mädchen, welches sich sehr entgegenkommend gegen ihn benahm und ihn einmal direkt befragte, ob er sie nicht liebhaben könne. Er gab eine ausweichende Antwort; wenige Tage nachher hörte er, daß sich das Mädchen aus dem Fenster gestürzt habe. Er machte sich nun Vorwürfe und sagte sich, es wäre in seiner Macht gelegen, sie am Leben zu erhalten, wenn er ihr seine Liebe geschenkt hätte. Auf solche Weise gewann er die Überzeugung von der Allmacht seiner Liebe und seines Hasses. Ohne die Allmacht der Liebe zu leugnen, wollen wir hervorheben, daß es sich in beiden Fällen um den Tod handelt, und werden uns der naheliegenden Erklärung anschließen, daß unser Patient wie andere Zwangskranke gezwungen ist, die Wirkung seiner feindseligen Gefühle in der Außenwelt zu überschätzen, weil seiner bewußten Kenntnis ein großes Stück der innern psychischen Wirkung derselben Gefühle entgeht. Seine Liebe – oder vielmehr sein Haß – sind wirklich übermächtig; sie schaffen gerade jene Zwangsgedanken, deren Herkunft er nicht versteht und gegen die er sich erfolglos wehrt[ </w:t>
      </w:r>
      <w:hyperlink r:id="rId1176" w:history="1">
        <w:r w:rsidRPr="00487290">
          <w:rPr>
            <w:rStyle w:val="Lienhypertexte"/>
            <w:rFonts w:ascii="Garamond" w:hAnsi="Garamond"/>
            <w:lang w:val="en-US"/>
          </w:rPr>
          <w:t>[Fußnote]</w:t>
        </w:r>
        <w:r w:rsidRPr="00487290">
          <w:rPr>
            <w:rStyle w:val="innerfusslink"/>
            <w:rFonts w:ascii="Garamond" w:hAnsi="Garamond"/>
            <w:lang w:val="en-US"/>
          </w:rPr>
          <w:t>Zusatz 1923:] Die Allmacht der Gedanken, richtiger der Wünsche, ist seither als ein wesentliches Stück des primitiven Seelenlebens erkannt worden. (Siehe Totem und Tabu)</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Zum Thema des Todes hatte unser Patient ein ganz besonderes Verhältnis. Er nahm an allen Todesfällen warmen Anteil, beteiligte sich pietätvoll an den Leichenbegängnissen, so daß er von den Geschwistern spöttisch der Leichenvogel genannt werden konnte; er brachte aber auch in der Phantasie beständig Leute um, um herzliche Teilnahme mit den Hinterbliebenen zu äußern. Der Tod einer älteren Schwester, als er zwischen 3 und 4 Jahren alt war, spielte in seinen Phantasien eine große Rolle und war in die innigste Beziehung zu den kindlichen Missetaten jener Jahre gebracht worden. Wir wissen ferner, wie frühzeitig der Gedanke an den Tod des Vaters ihn beschäftigt hatte, und dürfen seine Erkrankung selbst als Reaktion auf dieses 15 Jahre vorher im Zwange gewünschte Ereignis auffassen. Nichts anderes als eine </w:t>
      </w:r>
      <w:r w:rsidRPr="00487290">
        <w:rPr>
          <w:rFonts w:ascii="Garamond" w:hAnsi="Garamond"/>
          <w:lang w:val="en-US"/>
        </w:rPr>
        <w:lastRenderedPageBreak/>
        <w:t>Kompensation für diese Todeswünsche gegen den Vater ist die befremdliche Erstreckung seiner Zwangsbefürchtungen auf das »Jenseits«. Sie wurde eingeführt, als die Trauer um den verstorbenen Vater 1½ Jahre später eine Auffrischung erfuhr, und sollte, der Realität zum Trotze und dem Wunsche, der sich vorher in allerlei Phantasien versucht hatte, zuliebe, den Tod des Vaters wieder aufheben. Wir haben den Zusatz »im Jenseits« an mehreren Stellen (S. 84 und 86 f.) übersetzen gelernt mit den Worten: »wenn der Vater noch lebte«.</w:t>
      </w:r>
    </w:p>
    <w:p w:rsidR="00822836" w:rsidRPr="00487290" w:rsidRDefault="00822836" w:rsidP="00822836">
      <w:pPr>
        <w:pStyle w:val="Sansinterligne"/>
        <w:rPr>
          <w:rFonts w:ascii="Garamond" w:hAnsi="Garamond"/>
          <w:lang w:val="en-US"/>
        </w:rPr>
      </w:pPr>
      <w:r w:rsidRPr="00487290">
        <w:rPr>
          <w:rFonts w:ascii="Garamond" w:hAnsi="Garamond"/>
          <w:lang w:val="en-US"/>
        </w:rPr>
        <w:t>Aber nicht viel anders als unser Patient benehmen sich andere Zwangskranke, denen das Schicksal nicht ein erstes Zusammentreffen mit dem Phänomen des Todes in so frühen Jahren beschieden hat. Ihre Gedanken beschäftigen sich unausgesetzt mit der Lebensdauer und der Todesmöglichkeit anderer, ihre abergläubischen Neigungen hatten zuerst keinen andern Inhalt und haben vielleicht überhaupt keine andere Herkunft. Vor allem aber bedürfen sie der Todesmöglichkeit zur Lösung der von ihnen ungelöst gelassenen Konflikte. Ihr wesentlicher Charakter ist, daß sie der Entscheidung zumal in Liebessachen unfähig sind; sie trachten jede Entscheidung hinauszuschieben, und im Zweifel, für welche Person oder für welche Maßregel gegen eine Person sie die Entscheidung treffen sollen, muß das alte deutsche Reichsgericht ihr Vorbild werden, dessen Prozesse gewöhnlich durch den Tod der streitenden Parteien vor dem Richterspruch beendigt wurden. So lauern sie in jedem Lebenskonflikt auf den Tod einer für sie bedeutsamen, zumeist einer geliebten Person, sei es eines Teiles der Eltern, sei es eines Nebenbuhlers oder eines der Liebesobjekte, zwischen denen ihre Neigung schwankt. Mit dieser Würdigung des Todeskomplexes bei der Zwangsneurose streifen wir aber bereits an das Triebleben der Zwangskranken, das uns nun beschäftigen soll.</w:t>
      </w:r>
    </w:p>
    <w:p w:rsidR="00822836" w:rsidRPr="00487290" w:rsidRDefault="00822836" w:rsidP="00822836">
      <w:pPr>
        <w:pStyle w:val="Sansinterligne"/>
        <w:rPr>
          <w:rFonts w:ascii="Garamond" w:hAnsi="Garamond"/>
          <w:lang w:val="en-US"/>
        </w:rPr>
      </w:pPr>
      <w:r w:rsidRPr="00487290">
        <w:rPr>
          <w:rFonts w:ascii="Garamond" w:hAnsi="Garamond"/>
          <w:lang w:val="en-US"/>
        </w:rPr>
        <w:t>C. Das Triebleben und die Ableitung von Zwang und Zweifel</w:t>
      </w:r>
    </w:p>
    <w:p w:rsidR="00822836" w:rsidRPr="00487290" w:rsidRDefault="00822836" w:rsidP="00822836">
      <w:pPr>
        <w:pStyle w:val="Sansinterligne"/>
        <w:rPr>
          <w:rFonts w:ascii="Garamond" w:hAnsi="Garamond"/>
          <w:lang w:val="en-US"/>
        </w:rPr>
      </w:pPr>
      <w:r w:rsidRPr="00487290">
        <w:rPr>
          <w:rFonts w:ascii="Garamond" w:hAnsi="Garamond"/>
          <w:lang w:val="en-US"/>
        </w:rPr>
        <w:t>Wenn wir zur Kenntnis der psychischen Kräfte gelangen wollen, deren Gegenspiel diese Neurose aufgebaut hat, so müssen wir auf das zurückgreifen, was wir bei unserem Patienten über die Anlässe seiner Erkrankung im reifen Alter und in der Kindheit erfahren haben. Er erkrankte in den zwanziger Jahren, als er vor die Versuchung gestellt wurde, ein anderes Mädchen als die von ihm längst Geliebte zu heiraten, und entzog sich der Entscheidung dieses Konfliktes durch Aufschub aller für deren Vorbereitung erforderlichen Tätigkeiten, wozu ihm die Neurose die Mittel lieferte. Das Schwanken zwischen der Geliebten und der anderen läßt sich auf den Konflikt zwischen dem Einfluß des Vaters und der Liebe zur Dame reduzieren, also auf eine Konfliktwahl zwischen Vater und Sexualobjekt, wie sie den Erinnerungen und Zwangseinfällen zufolge schon in früher Kindheit bestanden hatte. Überdies ist durch sein ganzes Leben unverkennbar, daß in bezug auf seine Geliebte wie auf seinen Vater ein Widerstreit zwischen Liebe und Haß bei ihm bestand. Rachephantasien und Zwangserscheinungen wie der Verstehzwang oder die Hantierung mit dem Steine auf der Landstraße bezeugen diesen Zwiespalt in ihm, der bis zu einem gewissen Grade normal verständlich war, denn die Geliebte hatte ihm durch eine erste Abweisung und durch spätere Kühle Grund zu feindseligen Gefühlen gegeben. Aber die gleiche Zwiespältigkeit der Gefühle beherrschte, wie wir durch die Übersetzung seiner Zwangsgedanken erfahren haben, sein Verhältnis zum Vater, und auch der Vater mußte ihm in Kinderzeiten Grund zur Feindseligkeit gegeben haben, wie wir fast mit Sicherheit feststellen konnten. Sein aus Zärtlichkeit und Feindseligkeit zusammengesetztes Verhältnis zur Geliebten fiel zum großen Teile in seine bewußte Wahrnehmung. Er täuschte sich höchstens über das Maß und über den Ausdruck des negativen Gefühls, hingegen war die einst intensiv bewußt gewesene Feindseligkeit gegen den Vater ihm längst entrückt und konnte nur gegen seinen heftigsten Widerstand ins Bewußtsein zurückgebracht werden. In der Verdrängung des infantilen Hasses gegen den Vater erblicken wir jenen Vorgang, welcher alles weitere Geschehen in den Rahmen der Neurose zwang.</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Die einzeln bei unserem Patienten aufgezählten Gefühlskonflikte sind nicht unabhängig voneinander, sondern paarig miteinander verlötet. Der Haß gegen die Geliebte mußte sich zur Anhänglichkeit an den Vater summieren und umgekehrt. Aber die zwei Konfliktströmungen, die nach dieser Vereinfachung erübrigen, der Gegensatz zwischen dem Vater und der Geliebten und der Widerspruch von Liebe und Haß in jedem einzelnen Verhältnisse haben inhaltlich wie genetisch nichts miteinander zu schaffen. Der erste der beiden Konflikte entspricht dem normalen Schwanken zwischen Mann und Weib als Objekten der Liebeswahl, welches dem Kinde zuerst in der berühmten Frage nahegebracht wird: »Wen hast du lieber, Papa oder Mama?« und das ihn dann durchs Leben begleitet trotz aller Verschiedenheiten in der Ausbildung der Empfindungsintensitäten und in der Fixierung der endgültigen Sexualziele. Nur verliert diese Gegensätzlichkeit normalerweise bald den Charakter des scharfen Widerspruches, des unerbittlichen Entweder-Oder: es wird Raum für die ungleichen Ansprüche beider Teile geschaffen, obwohl auch beim </w:t>
      </w:r>
      <w:r w:rsidRPr="00487290">
        <w:rPr>
          <w:rFonts w:ascii="Garamond" w:hAnsi="Garamond"/>
          <w:lang w:val="en-US"/>
        </w:rPr>
        <w:lastRenderedPageBreak/>
        <w:t>Normalen jederzeit die Wertschätzung des einen Geschlechtes durch die Entwertung des anderen gehoben wird.</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Fremdartiger berührt uns der andere der Konflikte, der zwischen Liebe und Haß. Wir wissen, daß beginnende Verliebtheit häufig als Haß wahrgenommen wird, daß Liebe, der die Befriedigung versagt ist, sich leicht zum Teil in Haß umsetzt, und hören von den Dichtern, daß in stürmischen Stadien der Verliebtheit beide gegensätzliche Gefühle eine Zeitlang nebeneinander wie im Wettstreite bestehen können. Aber ein chronisches Nebeneinander von Liebe und Haß gegen dieselbe Person, beide Gefühle von höchster Intensität, setzt uns in Erstaunen. Wir hätten erwartet, daß die große Liebe längst den Haß überwunden hätte oder von ihm aufgezehrt worden wäre. Wirklich ist ein solcher Fortbestand der Gegensätze nur unter besonderen psychologischen Bedingungen und durch Mitwirkung des unbewußten Zustandes möglich. Die Liebe hat den Haß nicht auslöschen, sondern nur ins Unbewußte drängen können, und im Unbewußten kann er, gegen die Aufhebung durch die Bewußtseinswirkung geschützt, sich erhalten und selbst wachsen. Die bewußte Liebe pflegt unter diesen Umständen reaktionsweise zu einer besonders hohen Intensität anzuschwellen, damit sie der ihr konstant auferlegten Arbeit gewachsen sei, ihr Gegenspiel in der Verdrängung zurückzuhalten. Eine sehr frühzeitig, in den prähistorischen Kindheitsjahren erfolgte Scheidung der beiden Gegensätze mit Verdrängung des einen Anteiles, gewöhnlich des Hasses, scheint die Bedingung dieser befremdenden Konstellation des Liebeslebens zu sein </w:t>
      </w:r>
      <w:hyperlink r:id="rId1177" w:history="1">
        <w:r w:rsidRPr="00487290">
          <w:rPr>
            <w:rStyle w:val="Lienhypertexte"/>
            <w:rFonts w:ascii="Garamond" w:hAnsi="Garamond"/>
            <w:lang w:val="en-US"/>
          </w:rPr>
          <w:t>[Fußnote]</w:t>
        </w:r>
        <w:r w:rsidRPr="00487290">
          <w:rPr>
            <w:rStyle w:val="innerfusslink"/>
            <w:rFonts w:ascii="Garamond" w:hAnsi="Garamond"/>
            <w:lang w:val="en-US"/>
          </w:rPr>
          <w:t>Vgl. die Erörterungen hierüber in einer der ersten Sitzungen. – Für diese Gefühlskonstellation ist später von Bleuler der passende Name »Ambivalenz« geschaffen worden. Vgl. übrigens die spätere Fortführung dieser Erörterungen im Aufsatze ›Die Disposition zur Zwangsneurose‹ (1913).</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Wenn man eine Anzahl von Analysen Zwangskranker überschaut, so muß man den Eindruck gewinnen, daß ein solches Verhalten von Liebe und Haß wie bei unserem Patienten zu den häufigsten, ausgesprochensten und darum wahrscheinlich bedeutsamsten Charakteren der Zwangsneurose gehört. Aber so verlockend es wäre, das Problem der »Neurosenwahl« auf das Triebleben zu beziehen, man hat doch Gründe genug, dieser Versuchung aus dem Wege zu gehen, und muß sich sagen, daß man bei allen Neurosen die nämlichen unterdrückten Triebe als Symptomträger aufdeckt. Der von der Liebe in der Unterdrückung des Unbewußten zurückgehaltene Haß spielt doch auch eine große Rolle in der Pathogenese der Hysterie und der Paranoia. Wir kennen das Wesen der Liebe zu wenig, um hier eine bestimmte Entscheidung zu treffen; insbesondere das Verhältnis ihres </w:t>
      </w:r>
      <w:r w:rsidRPr="00487290">
        <w:rPr>
          <w:rFonts w:ascii="Garamond" w:hAnsi="Garamond"/>
          <w:i/>
          <w:iCs/>
          <w:lang w:val="en-US"/>
        </w:rPr>
        <w:t>negativen Faktors</w:t>
      </w:r>
      <w:hyperlink r:id="rId1178" w:history="1">
        <w:r w:rsidRPr="00487290">
          <w:rPr>
            <w:rStyle w:val="Lienhypertexte"/>
            <w:rFonts w:ascii="Garamond" w:hAnsi="Garamond"/>
            <w:lang w:val="en-US"/>
          </w:rPr>
          <w:t>[Fußnote]</w:t>
        </w:r>
        <w:r w:rsidRPr="00487290">
          <w:rPr>
            <w:rStyle w:val="innerfusslink"/>
            <w:rFonts w:ascii="Garamond" w:hAnsi="Garamond"/>
            <w:lang w:val="en-US"/>
          </w:rPr>
          <w:t xml:space="preserve">»Ja, oft habe ich den Wunsch, ihn nicht mehr unter den Lebenden zu sehen. Und doch, wenn das je einträfe, ich weiß, ich würde noch viel unglücklicher sein, so wehrlos, so ganz wehrlos bin ich gegen ihn«, sagt Alkibiades über den Sokrates im </w:t>
        </w:r>
        <w:r w:rsidRPr="00487290">
          <w:rPr>
            <w:rStyle w:val="innerfusslink"/>
            <w:rFonts w:ascii="Garamond" w:hAnsi="Garamond"/>
            <w:i/>
            <w:iCs/>
            <w:lang w:val="en-US"/>
          </w:rPr>
          <w:t>Symposion</w:t>
        </w:r>
        <w:r w:rsidRPr="00487290">
          <w:rPr>
            <w:rStyle w:val="innerfusslink"/>
            <w:rFonts w:ascii="Garamond" w:hAnsi="Garamond"/>
            <w:lang w:val="en-US"/>
          </w:rPr>
          <w:t xml:space="preserve"> (übersetzt von R. Kassner).</w:t>
        </w:r>
      </w:hyperlink>
      <w:r w:rsidRPr="00487290">
        <w:rPr>
          <w:rFonts w:ascii="Garamond" w:hAnsi="Garamond"/>
          <w:lang w:val="en-US"/>
        </w:rPr>
        <w:t xml:space="preserve"> zur sadistischen Komponente der Libido ist völlig ungeklärt. Es hat daher etwa den Wert einer vorläufigen Auskunft, wenn wir sagen: in den besprochenen Fällen von unbewußtem Hasse sei die sadistische Komponente der Liebe konstitutionell besonders stark entwickelt gewesen, habe darum eine vorzeitige und allzu gründliche Unterdrückung erfahren, und nun leiten sich die beobachteten Phänomene der Neurose einerseits von der durch Reaktion in die Höhe getriebenen bewußten Zärtlichkeit, anderseits von dem im Unbewußten als Haß fortwirkenden Sadismus ab.</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Wie immer aber dies merkwürdige Verhalten von Liebe und Haß zu verstehen sein mag, sein Vorkommen ist durch die Beobachtung an unserem Patienten über jeden Zweifel erhaben, und es ist erfreulich zu sehen, wie leicht begreiflich nun die rätselhaften Vorgänge der Zwangsneurose durch die Beziehung auf dieses eine Moment werden. Steht einer intensiven Liebe ein fast ebenso starker Haß bindend entgegen, so muß die nächste Folge eine partielle Willenslähmung sein, eine Unfähigkeit zur Entschließung in all den Aktionen, für welche die Liebe das treibende Motiv sein soll. Aber die Unentschlossenheit bleibt nicht lange auf eine Gruppe von Handlungen beschränkt. Denn erstens, welche Handlungen eines Liebenden träten nicht mit seinem Hauptmotiv in Beziehung? Zweitens kommt dem sexuellen Verhalten eine vorbildliche Macht zu, mit der es umformend auf die übrigen Reaktionen eines Menschen wirkt, und drittens liegt es im psychologischen Charakter der Zwangsneurose, von dem Mechanismus der </w:t>
      </w:r>
      <w:r w:rsidRPr="00487290">
        <w:rPr>
          <w:rFonts w:ascii="Garamond" w:hAnsi="Garamond"/>
          <w:i/>
          <w:iCs/>
          <w:lang w:val="en-US"/>
        </w:rPr>
        <w:t>Verschiebung</w:t>
      </w:r>
      <w:r w:rsidRPr="00487290">
        <w:rPr>
          <w:rFonts w:ascii="Garamond" w:hAnsi="Garamond"/>
          <w:lang w:val="en-US"/>
        </w:rPr>
        <w:t xml:space="preserve"> den ausgiebigsten Gebrauch zu machen. So breitet sich die Entschlußlähmung allmählich über das gesamte Tun des Menschen aus.</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Damit ist die Herrschaft von </w:t>
      </w:r>
      <w:r w:rsidRPr="00487290">
        <w:rPr>
          <w:rFonts w:ascii="Garamond" w:hAnsi="Garamond"/>
          <w:i/>
          <w:iCs/>
          <w:lang w:val="en-US"/>
        </w:rPr>
        <w:t>Zwang</w:t>
      </w:r>
      <w:r w:rsidRPr="00487290">
        <w:rPr>
          <w:rFonts w:ascii="Garamond" w:hAnsi="Garamond"/>
          <w:lang w:val="en-US"/>
        </w:rPr>
        <w:t xml:space="preserve"> und </w:t>
      </w:r>
      <w:r w:rsidRPr="00487290">
        <w:rPr>
          <w:rFonts w:ascii="Garamond" w:hAnsi="Garamond"/>
          <w:i/>
          <w:iCs/>
          <w:lang w:val="en-US"/>
        </w:rPr>
        <w:t>Zweifel</w:t>
      </w:r>
      <w:r w:rsidRPr="00487290">
        <w:rPr>
          <w:rFonts w:ascii="Garamond" w:hAnsi="Garamond"/>
          <w:lang w:val="en-US"/>
        </w:rPr>
        <w:t xml:space="preserve">, wie sie uns im Seelenleben der Zwangskranken entgegentreten, gegeben. Der </w:t>
      </w:r>
      <w:r w:rsidRPr="00487290">
        <w:rPr>
          <w:rFonts w:ascii="Garamond" w:hAnsi="Garamond"/>
          <w:i/>
          <w:iCs/>
          <w:lang w:val="en-US"/>
        </w:rPr>
        <w:t>Zweifel</w:t>
      </w:r>
      <w:r w:rsidRPr="00487290">
        <w:rPr>
          <w:rFonts w:ascii="Garamond" w:hAnsi="Garamond"/>
          <w:lang w:val="en-US"/>
        </w:rPr>
        <w:t xml:space="preserve"> entspricht der innern Wahrnehmung der Unentschlossenheit, welche, infolge der Hemmung der Liebe durch den Haß, bei jeder beabsichtigten Handlung sich des Kranken bemächtigt. Er ist eigentlich ein Zweifel an der Liebe, die ja das subjektiv Sicherste sein sollte, der auf alles übrige diffundiert und sich vorzugsweise auf das indifferenteste Kleinste </w:t>
      </w:r>
      <w:hyperlink r:id="rId1179" w:history="1">
        <w:r w:rsidRPr="00487290">
          <w:rPr>
            <w:rStyle w:val="Lienhypertexte"/>
            <w:rFonts w:ascii="Garamond" w:hAnsi="Garamond"/>
            <w:lang w:val="en-US"/>
          </w:rPr>
          <w:t>[Fußnote]</w:t>
        </w:r>
        <w:r w:rsidRPr="00487290">
          <w:rPr>
            <w:rStyle w:val="innerfusslink"/>
            <w:rFonts w:ascii="Garamond" w:hAnsi="Garamond"/>
            <w:lang w:val="en-US"/>
          </w:rPr>
          <w:t xml:space="preserve">Vgl. Die Darstellung </w:t>
        </w:r>
        <w:r w:rsidRPr="00487290">
          <w:rPr>
            <w:rStyle w:val="innerfusslink"/>
            <w:rFonts w:ascii="Garamond" w:hAnsi="Garamond"/>
            <w:lang w:val="en-US"/>
          </w:rPr>
          <w:lastRenderedPageBreak/>
          <w:t>durch ein Kleinstes als Witztechnik.</w:t>
        </w:r>
      </w:hyperlink>
      <w:r w:rsidRPr="00487290">
        <w:rPr>
          <w:rFonts w:ascii="Garamond" w:hAnsi="Garamond"/>
          <w:lang w:val="en-US"/>
        </w:rPr>
        <w:t xml:space="preserve"> verschoben hat. Wer an seiner Liebe zweifelt, darf, muß doch auch an allem andern, geringeren, Zweifeln? </w:t>
      </w:r>
      <w:hyperlink r:id="rId1180" w:history="1">
        <w:r w:rsidRPr="00487290">
          <w:rPr>
            <w:rStyle w:val="Lienhypertexte"/>
            <w:rFonts w:ascii="Garamond" w:hAnsi="Garamond"/>
            <w:lang w:val="en-US"/>
          </w:rPr>
          <w:t>[Fußnote]</w:t>
        </w:r>
        <w:r w:rsidRPr="00487290">
          <w:rPr>
            <w:rStyle w:val="innerfusslink"/>
            <w:rFonts w:ascii="Garamond" w:hAnsi="Garamond"/>
            <w:lang w:val="en-US"/>
          </w:rPr>
          <w:t xml:space="preserve">Hamlets Liebesverse an Ophelia: </w:t>
        </w:r>
        <w:r w:rsidRPr="00487290">
          <w:rPr>
            <w:rFonts w:ascii="Garamond" w:hAnsi="Garamond"/>
            <w:color w:val="0000FF"/>
            <w:u w:val="single"/>
            <w:lang w:val="en-US"/>
          </w:rPr>
          <w:br/>
        </w:r>
        <w:r w:rsidRPr="00487290">
          <w:rPr>
            <w:rFonts w:ascii="Garamond" w:hAnsi="Garamond"/>
            <w:color w:val="0000FF"/>
            <w:u w:val="single"/>
            <w:lang w:val="en-US"/>
          </w:rPr>
          <w:br/>
        </w:r>
        <w:r w:rsidRPr="00487290">
          <w:rPr>
            <w:rStyle w:val="innerfusslink"/>
            <w:rFonts w:ascii="Garamond" w:hAnsi="Garamond"/>
            <w:lang w:val="en-US"/>
          </w:rPr>
          <w:t xml:space="preserve">..... </w:t>
        </w:r>
        <w:r w:rsidRPr="00487290">
          <w:rPr>
            <w:rStyle w:val="innerfusslink"/>
            <w:rFonts w:ascii="Garamond" w:hAnsi="Garamond"/>
            <w:i/>
            <w:iCs/>
            <w:lang w:val="en-US"/>
          </w:rPr>
          <w:t xml:space="preserve">Doubt thou the Stars are fire; </w:t>
        </w:r>
        <w:r w:rsidRPr="00487290">
          <w:rPr>
            <w:rFonts w:ascii="Garamond" w:hAnsi="Garamond"/>
            <w:i/>
            <w:iCs/>
            <w:color w:val="0000FF"/>
            <w:u w:val="single"/>
            <w:lang w:val="en-US"/>
          </w:rPr>
          <w:br/>
        </w:r>
        <w:r w:rsidRPr="00487290">
          <w:rPr>
            <w:rStyle w:val="innerfusslink"/>
            <w:rFonts w:ascii="Garamond" w:hAnsi="Garamond"/>
            <w:lang w:val="en-US"/>
          </w:rPr>
          <w:t xml:space="preserve">..... </w:t>
        </w:r>
        <w:r w:rsidRPr="00487290">
          <w:rPr>
            <w:rStyle w:val="innerfusslink"/>
            <w:rFonts w:ascii="Garamond" w:hAnsi="Garamond"/>
            <w:i/>
            <w:iCs/>
            <w:lang w:val="en-US"/>
          </w:rPr>
          <w:t xml:space="preserve">Doubt that the sun doth move; </w:t>
        </w:r>
        <w:r w:rsidRPr="00487290">
          <w:rPr>
            <w:rFonts w:ascii="Garamond" w:hAnsi="Garamond"/>
            <w:i/>
            <w:iCs/>
            <w:color w:val="0000FF"/>
            <w:u w:val="single"/>
            <w:lang w:val="en-US"/>
          </w:rPr>
          <w:br/>
        </w:r>
        <w:r w:rsidRPr="00487290">
          <w:rPr>
            <w:rStyle w:val="innerfusslink"/>
            <w:rFonts w:ascii="Garamond" w:hAnsi="Garamond"/>
            <w:lang w:val="en-US"/>
          </w:rPr>
          <w:t xml:space="preserve">..... </w:t>
        </w:r>
        <w:r w:rsidRPr="00487290">
          <w:rPr>
            <w:rStyle w:val="innerfusslink"/>
            <w:rFonts w:ascii="Garamond" w:hAnsi="Garamond"/>
            <w:i/>
            <w:iCs/>
            <w:lang w:val="en-US"/>
          </w:rPr>
          <w:t xml:space="preserve">Doubt truth to be a liar; </w:t>
        </w:r>
        <w:r w:rsidRPr="00487290">
          <w:rPr>
            <w:rFonts w:ascii="Garamond" w:hAnsi="Garamond"/>
            <w:i/>
            <w:iCs/>
            <w:color w:val="0000FF"/>
            <w:u w:val="single"/>
            <w:lang w:val="en-US"/>
          </w:rPr>
          <w:br/>
        </w:r>
        <w:r w:rsidRPr="00487290">
          <w:rPr>
            <w:rStyle w:val="innerfusslink"/>
            <w:rFonts w:ascii="Garamond" w:hAnsi="Garamond"/>
            <w:lang w:val="en-US"/>
          </w:rPr>
          <w:t xml:space="preserve">..... </w:t>
        </w:r>
        <w:r w:rsidRPr="00487290">
          <w:rPr>
            <w:rStyle w:val="innerfusslink"/>
            <w:rFonts w:ascii="Garamond" w:hAnsi="Garamond"/>
            <w:i/>
            <w:iCs/>
            <w:lang w:val="en-US"/>
          </w:rPr>
          <w:t>But never doubt I love.</w:t>
        </w:r>
        <w:r w:rsidRPr="00487290">
          <w:rPr>
            <w:rStyle w:val="innerfusslink"/>
            <w:rFonts w:ascii="Garamond" w:hAnsi="Garamond"/>
            <w:lang w:val="en-US"/>
          </w:rPr>
          <w:t xml:space="preserve"> (II, 2)</w:t>
        </w:r>
      </w:hyperlink>
    </w:p>
    <w:p w:rsidR="00822836" w:rsidRPr="00487290" w:rsidRDefault="00822836" w:rsidP="00822836">
      <w:pPr>
        <w:pStyle w:val="Sansinterligne"/>
        <w:rPr>
          <w:rFonts w:ascii="Garamond" w:hAnsi="Garamond"/>
          <w:lang w:val="en-US"/>
        </w:rPr>
      </w:pPr>
      <w:r w:rsidRPr="00487290">
        <w:rPr>
          <w:rFonts w:ascii="Garamond" w:hAnsi="Garamond"/>
          <w:lang w:val="en-US"/>
        </w:rPr>
        <w:t xml:space="preserve">Es ist derselbe Zweifel, der bei den Schutzmaßregeln zur Unsicherheit und zur fortgesetzten Wiederholung führt, um diese Unsicherheit zu bannen, der es endlich zustande bringt, daß diese Schutzhandlungen ebenso unvollziehbar werden wie die ursprünglich gehemmte Liebesentschließung. Ich mußte anfangs meiner Erfahrungen eine andere und allgemeinere Ableitung der Unsicherheit bei den Zwangskranken annehmen, die sich näher an die Norm anzuschließen schien. Wenn ich z. B. während der Abfassung eines Briefes durch Zwischenfragen einer andern Person gestört worden bin, so empfinde ich hernach eine berechtigte Unsicherheit, was ich wohl unter dem Einflüsse der Störung geschrieben haben mag, und ich bin genötigt, zur Sicherheit den Brief, nachdem er fertig geworden ist, nochmals durchzulesen. So konnte ich auch meinen, daß die Unsicherheit der Zwangskranken, z. B. bei ihren Gebeten, daher rühre, daß sich ihnen unaufhörlich unbewußte Phantasien als Störer in die Tätigkeit des Betens mengten. Diese Annahme war richtig und ist doch leicht mit unserer früheren Behauptung zu versöhnen. Es trifft zu, daß die Unsicherheit, eine Schutzmaßregel vollzogen zu haben, von den störenden unbewußten Phantasien herrührt, aber diese Phantasien enthalten eben den gegenteiligen Impuls, der gerade durch das Gebet abgewehrt werden sollte. Es wird dies einmal überdeutlich bei unserem Patienten, indem die Störung nicht unbewußt bleibt, sondern sich laut vernehmen läßt. Wenn er beten will » </w:t>
      </w:r>
      <w:r w:rsidRPr="00487290">
        <w:rPr>
          <w:rFonts w:ascii="Garamond" w:hAnsi="Garamond"/>
          <w:i/>
          <w:iCs/>
          <w:lang w:val="en-US"/>
        </w:rPr>
        <w:t>Gott schütze sie</w:t>
      </w:r>
      <w:r w:rsidRPr="00487290">
        <w:rPr>
          <w:rFonts w:ascii="Garamond" w:hAnsi="Garamond"/>
          <w:lang w:val="en-US"/>
        </w:rPr>
        <w:t xml:space="preserve">«, so stürzt plötzlich aus dem Unbewußten ein feindseliges » </w:t>
      </w:r>
      <w:r w:rsidRPr="00487290">
        <w:rPr>
          <w:rFonts w:ascii="Garamond" w:hAnsi="Garamond"/>
          <w:i/>
          <w:iCs/>
          <w:lang w:val="en-US"/>
        </w:rPr>
        <w:t>nicht</w:t>
      </w:r>
      <w:r w:rsidRPr="00487290">
        <w:rPr>
          <w:rFonts w:ascii="Garamond" w:hAnsi="Garamond"/>
          <w:lang w:val="en-US"/>
        </w:rPr>
        <w:t xml:space="preserve">« dazu heraus, und er hat erraten, daß es der Ansatz zu einem Fluche ist (S. 62). Bliebe dieses »nicht« stumm, so befände auch er sich im Zustande der Unsicherheit und würde sein Beten immer mehr verlängern; auf das Lautwerden hin hat er endlich das Beten aufgegeben. Ehe er das tat, versuchte er wie andere Zwangskranke allerlei Methoden, um die Einmengung des Gegensatzes hintanzuhalten, die Verkürzung der Gebete, das beschleunigte Aussprechen derselben; andere bemühen sich, jede solche Schutzaktion sorgfältig von anderem zu » </w:t>
      </w:r>
      <w:r w:rsidRPr="00487290">
        <w:rPr>
          <w:rFonts w:ascii="Garamond" w:hAnsi="Garamond"/>
          <w:i/>
          <w:iCs/>
          <w:lang w:val="en-US"/>
        </w:rPr>
        <w:t>isolieren</w:t>
      </w:r>
      <w:r w:rsidRPr="00487290">
        <w:rPr>
          <w:rFonts w:ascii="Garamond" w:hAnsi="Garamond"/>
          <w:lang w:val="en-US"/>
        </w:rPr>
        <w:t>«. Aber alle diese Techniken fruchten auf die Dauer nichts; hat der liebevolle Impuls in seiner Verschiebung auf eine geringfügige Handlung etwas durchführen können, so wird ihm der feindselige bald auch dahin folgen und sein Werk wieder aufheben.</w:t>
      </w:r>
    </w:p>
    <w:p w:rsidR="00822836" w:rsidRPr="00487290" w:rsidRDefault="00822836" w:rsidP="00822836">
      <w:pPr>
        <w:pStyle w:val="Sansinterligne"/>
        <w:rPr>
          <w:rFonts w:ascii="Garamond" w:hAnsi="Garamond"/>
          <w:lang w:val="en-US"/>
        </w:rPr>
      </w:pPr>
      <w:r w:rsidRPr="00487290">
        <w:rPr>
          <w:rFonts w:ascii="Garamond" w:hAnsi="Garamond"/>
          <w:lang w:val="en-US"/>
        </w:rPr>
        <w:t>Wenn dann der Zwangskranke die schwache Stelle in der Sicherung unseres Seelenlebens, die Unverläßlichkeit des Gedächtnisses, entdeckt hat, so kann er mit ihrer Hilfe den Zweifel auf alles ausdehnen, auch auf bereits vollzogene Handlungen, die noch nicht in Beziehung zum Liebe-Haß-Komplex standen, und auf die ganze Vergangenheit. Ich erinnere an das Beispiel jener Frau, die eben im Laden einen Kamm für ihre kleine Tochter gekauft hatte und nach dem Argwohn an ihrem Mann zu zweifeln begann, ob sie ihn nicht vielmehr schon längst besessen: Sagt diese Frau nicht direkt: »Wenn ich an deiner Liebe zweifeln kann« (und das ist nur eine Projektion ihres Zweifels an der eigenen Liebe zu ihm), »so kann ich auch daran, so kann ich an allem zweifeln«, und gibt so den verborgenen Sinn des neurotischen Zweifels unserem Verständnisse preis?</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Der </w:t>
      </w:r>
      <w:r w:rsidRPr="00487290">
        <w:rPr>
          <w:rFonts w:ascii="Garamond" w:hAnsi="Garamond"/>
          <w:i/>
          <w:iCs/>
          <w:lang w:val="en-US"/>
        </w:rPr>
        <w:t>Zwang</w:t>
      </w:r>
      <w:r w:rsidRPr="00487290">
        <w:rPr>
          <w:rFonts w:ascii="Garamond" w:hAnsi="Garamond"/>
          <w:lang w:val="en-US"/>
        </w:rPr>
        <w:t xml:space="preserve"> aber ist ein Versuch zur Kompensation des Zweifels und zur Korrektur der unerträglichen Hemmungszustände, von denen der Zweifel Zeugnis ablegt. Ist es endlich mit Hilfe der Verschiebung gelungen, irgendeinen der gehemmten Vorsätze zum Entschluß zu bringen, so </w:t>
      </w:r>
      <w:r w:rsidRPr="00487290">
        <w:rPr>
          <w:rFonts w:ascii="Garamond" w:hAnsi="Garamond"/>
          <w:i/>
          <w:iCs/>
          <w:lang w:val="en-US"/>
        </w:rPr>
        <w:t>muß</w:t>
      </w:r>
      <w:r w:rsidRPr="00487290">
        <w:rPr>
          <w:rFonts w:ascii="Garamond" w:hAnsi="Garamond"/>
          <w:lang w:val="en-US"/>
        </w:rPr>
        <w:t xml:space="preserve"> dieser ausgeführt werden; es ist freilich nicht der ursprüngliche mehr, aber die dort aufgestaute Energie wird auf die Gelegenheit, an der Ersatzhandlung ihre Abfuhr zu finden, nicht mehr verzichten. Sie äußert sich also in Geboten und Verboten, indem bald der zärtliche, bald der feindliche Impuls diesen Weg zur Abfuhr erobert. Die Spannung, wenn das Zwangsgebot nicht ausgeführt werden soll, ist eine unerträgliche und wird als höchste Angst wahrgenommen. Aber der Weg selbst zu der auf ein Kleinstes verschobenen Ersatzhandlung wird so heiß umstritten, daß diese meist nur als Schutzmaßregel im engsten Anschlüsse an einen abzuwehrenden Impuls durchgesetzt werden kann.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Durch eine Art von </w:t>
      </w:r>
      <w:r w:rsidRPr="00487290">
        <w:rPr>
          <w:rFonts w:ascii="Garamond" w:hAnsi="Garamond"/>
          <w:i/>
          <w:iCs/>
          <w:lang w:val="en-US"/>
        </w:rPr>
        <w:t>Regression</w:t>
      </w:r>
      <w:r w:rsidRPr="00487290">
        <w:rPr>
          <w:rFonts w:ascii="Garamond" w:hAnsi="Garamond"/>
          <w:lang w:val="en-US"/>
        </w:rPr>
        <w:t xml:space="preserve"> treten ferner vorbereitende Akte an die Stelle der endgültigen Entschließung, das Denken ersetzt das Handeln, und irgendeine Gedankenvorstufe der Tat setzt sich mit Zwangsgewalt durch anstatt der Ersatzhandlung. Je nachdem diese Regression vom Handeln aufs Denken mehr oder weniger ausgeprägt ist, nimmt der Fall von Zwangsneurose den Charakter des Zwangsdenkens (Zwangsvorstellung) oder des Zwangshandelns im engeren Sinne an. Diese eigentlichen Zwangshandlungen werden aber nur dadurch ermöglicht, daß in ihnen eine Art Versöhnung der beiden </w:t>
      </w:r>
      <w:r w:rsidRPr="00487290">
        <w:rPr>
          <w:rFonts w:ascii="Garamond" w:hAnsi="Garamond"/>
          <w:lang w:val="en-US"/>
        </w:rPr>
        <w:lastRenderedPageBreak/>
        <w:t>einander bekämpfenden Impulse in Kompromißbildungen statthat. Die Zwangshandlungen nähern sich nämlich immer mehr, und je länger das Leiden andauert, um so deutlicher, den infantilen Sexualhandlungen nach Art der Onanie. So ist es bei dieser Form der Neurose doch zu Liebesakten gekommen, aber nur mit Zuhilfenahme einer neuen Regression, nicht mehr zu Akten, die einer Person gelten, dem Objekte von Liebe und Haß, sondern zu autoerotischen Handlungen wie in der Kindheit.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Die erstere Regression, die vom Handeln aufs Denken, wird durch einen andern an der Entstehung der Neurose beteiligten Faktor begünstigt. Ein fast regelmäßiges Vorkommnis in den Geschichten der Zwangskranken ist das frühzeitige Auftreten und die vorzeitige Verdrängung des sexuellen Schau- und Wißtriebes, der ja auch bei unserem Patienten ein Stück seiner infantilen Sexualbetätigung dirigiert </w:t>
      </w:r>
      <w:hyperlink r:id="rId1181" w:history="1">
        <w:r w:rsidRPr="00487290">
          <w:rPr>
            <w:rStyle w:val="Lienhypertexte"/>
            <w:rFonts w:ascii="Garamond" w:hAnsi="Garamond"/>
            <w:lang w:val="en-US"/>
          </w:rPr>
          <w:t>[Fußnote]</w:t>
        </w:r>
        <w:r w:rsidRPr="00487290">
          <w:rPr>
            <w:rStyle w:val="innerfusslink"/>
            <w:rFonts w:ascii="Garamond" w:hAnsi="Garamond"/>
            <w:lang w:val="en-US"/>
          </w:rPr>
          <w:t>Hiermit hängt wahrscheinlich auch die im Durchschnitt recht große intellektuelle Begabung der Zwangskranken zusammen.</w:t>
        </w:r>
      </w:hyperlink>
      <w:r w:rsidRPr="00487290">
        <w:rPr>
          <w:rFonts w:ascii="Garamond" w:hAnsi="Garamond"/>
          <w:lang w:val="en-US"/>
        </w:rPr>
        <w:t>.</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Wir haben der Bedeutung der sadistischen Komponente für die Genese der Zwangsneurose bereits gedacht; wo der Wißtrieb in der Konstitution des Zwangskranken überwiegt, da wird das Grübeln zum Hauptsymptom der Neurose. Der Denkvorgang selbst wird sexualisiert, indem die sexuelle Lust, die sich sonst auf den Inhalt des Denkens bezieht, auf den Denkakt selbst gewendet wird, und die Befriedigung beim Erreichen eines Denkergebnisses wird als sexuelle Befriedigung empfunden. Diese Beziehung des Wißtriebes zu den Denkvorgängen macht ihn besonders geeignet, in den verschiedenen Formen der Zwangsneurose, an denen er Anteil hat, die Energie, die sich vergeblich zur Handlung durchzudringen bemüht, aufs Denken zu locken, wo sich die Möglichkeit einer andern Art von Lustbefriedigung bietet. So kann sich mit Hilfe des Wißtriebes die Ersatzhandlung durch vorbereitende Denkakte weiter ersetzen. Der Aufschub im Handeln findet aber bald seinen Ersatz durch das Verweilen im Denken, und der ganze Prozeß ist schließlich mit Erhaltung all seiner Eigentümlichkeiten auf ein neues Gebiet übersetzt, wie die Amerikaner ein Haus zu » </w:t>
      </w:r>
      <w:r w:rsidRPr="00487290">
        <w:rPr>
          <w:rFonts w:ascii="Garamond" w:hAnsi="Garamond"/>
          <w:i/>
          <w:iCs/>
          <w:lang w:val="en-US"/>
        </w:rPr>
        <w:t>moven</w:t>
      </w:r>
      <w:r w:rsidRPr="00487290">
        <w:rPr>
          <w:rFonts w:ascii="Garamond" w:hAnsi="Garamond"/>
          <w:lang w:val="en-US"/>
        </w:rPr>
        <w:t>« vermögen.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Ich würde mich nun getrauen, den lange gesuchten psychologischen Charakter, der den Produkten der Zwangsneurose das »Zwangsartige« verleiht, in Anlehnung an die obenstehenden Erörterungen zu bestimmen. Zwanghaft werden solche Denkvorgänge, welche (infolge der Gegensatzhemmung am motorischen Ende der Denksysteme) mit einem – qualitativ wie quantitativ – sonst nur für das Handeln bestimmten Energieaufwand unternommen werden, also </w:t>
      </w:r>
      <w:r w:rsidRPr="00487290">
        <w:rPr>
          <w:rFonts w:ascii="Garamond" w:hAnsi="Garamond"/>
          <w:i/>
          <w:iCs/>
          <w:lang w:val="en-US"/>
        </w:rPr>
        <w:t>Gedanken, die regressiv Taten vertreten müssen</w:t>
      </w:r>
      <w:r w:rsidRPr="00487290">
        <w:rPr>
          <w:rFonts w:ascii="Garamond" w:hAnsi="Garamond"/>
          <w:lang w:val="en-US"/>
        </w:rPr>
        <w:t>. Die Annahme wird wohl keinen Widerspruch erfahren, daß das Denken sonst aus ökonomischen Gründen mit kleineren Energieverschiebungen (wahrscheinlich auf höherem Niveau) betrieben wird als das zur Abfuhr und zur Veränderung der Außenwelt bestimmte Handeln.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Was als Zwangsgedanke überstark zum Bewußtsein durchgedrungen ist, muß nun gegen die auflösenden Bemühungen des bewußten Denkens versichert werden. Wir wissen bereits, daß dieser Schutz durch die </w:t>
      </w:r>
      <w:r w:rsidRPr="00487290">
        <w:rPr>
          <w:rFonts w:ascii="Garamond" w:hAnsi="Garamond"/>
          <w:i/>
          <w:iCs/>
          <w:lang w:val="en-US"/>
        </w:rPr>
        <w:t>Entstellung</w:t>
      </w:r>
      <w:r w:rsidRPr="00487290">
        <w:rPr>
          <w:rFonts w:ascii="Garamond" w:hAnsi="Garamond"/>
          <w:lang w:val="en-US"/>
        </w:rPr>
        <w:t xml:space="preserve"> erreicht wird, welche der Zwangsgedanke vor seinem Bewußtwerden erfahren hat. Doch ist dies nicht das einzige Mittel. Überdies wird selten versäumt, die einzelne Zwangsidee der Situation ihrer Entstehung zu entrücken, in welcher sie trotz der Entstellung am leichtesten dem Verständnisse zugänglich wäre. In dieser Absicht wird einerseits ein </w:t>
      </w:r>
      <w:r w:rsidRPr="00487290">
        <w:rPr>
          <w:rFonts w:ascii="Garamond" w:hAnsi="Garamond"/>
          <w:i/>
          <w:iCs/>
          <w:lang w:val="en-US"/>
        </w:rPr>
        <w:t>Intervall</w:t>
      </w:r>
      <w:r w:rsidRPr="00487290">
        <w:rPr>
          <w:rFonts w:ascii="Garamond" w:hAnsi="Garamond"/>
          <w:lang w:val="en-US"/>
        </w:rPr>
        <w:t xml:space="preserve"> zwischen die pathogene Situation und die abfolgende Zwangsidee </w:t>
      </w:r>
      <w:r w:rsidRPr="00487290">
        <w:rPr>
          <w:rFonts w:ascii="Garamond" w:hAnsi="Garamond"/>
          <w:i/>
          <w:iCs/>
          <w:lang w:val="en-US"/>
        </w:rPr>
        <w:t>eingeschoben</w:t>
      </w:r>
      <w:r w:rsidRPr="00487290">
        <w:rPr>
          <w:rFonts w:ascii="Garamond" w:hAnsi="Garamond"/>
          <w:lang w:val="en-US"/>
        </w:rPr>
        <w:t xml:space="preserve">, welches die Kausalerforschungen des bewußten Denkens irreführt; anderseits wird der Inhalt der Zwangsidee durch </w:t>
      </w:r>
      <w:r w:rsidRPr="00487290">
        <w:rPr>
          <w:rFonts w:ascii="Garamond" w:hAnsi="Garamond"/>
          <w:i/>
          <w:iCs/>
          <w:lang w:val="en-US"/>
        </w:rPr>
        <w:t>Verallgemeinerung</w:t>
      </w:r>
      <w:r w:rsidRPr="00487290">
        <w:rPr>
          <w:rFonts w:ascii="Garamond" w:hAnsi="Garamond"/>
          <w:lang w:val="en-US"/>
        </w:rPr>
        <w:t xml:space="preserve"> aus seinen speziellen Beziehungen gelöst.</w:t>
      </w:r>
    </w:p>
    <w:p w:rsidR="00822836" w:rsidRPr="00487290" w:rsidRDefault="00822836" w:rsidP="00822836">
      <w:pPr>
        <w:pStyle w:val="Sansinterligne"/>
        <w:rPr>
          <w:rFonts w:ascii="Garamond" w:hAnsi="Garamond"/>
          <w:lang w:val="en-US"/>
        </w:rPr>
      </w:pPr>
      <w:r w:rsidRPr="00487290">
        <w:rPr>
          <w:rFonts w:ascii="Garamond" w:hAnsi="Garamond"/>
          <w:lang w:val="en-US"/>
        </w:rPr>
        <w:t>Ein Beispiel hiefür gibt unser Patient im »Verstehzwang« (S. 60); ein besseres vielleicht eine andere Kranke, die sich verbot, irgendwelchen Schmuck zu tragen, obwohl die Veranlassung auf ein einziges Schmuckstück zurückging, um welches sie ihre Mutter beneidet hatte und von dem sie hoffte, es würde ihr dereinst durch Erbschaft zufallen. Endlich dient noch zum Schutze der Zwangsidee gegen die bewußte Lösungsarbeit der unbestimmt oder zweideutig gewählte Wortlaut, wenn man diesen von der einheitlichen Entstellung absondern will. Dieser mißverstandene Wortlaut kann nun in die Delirien eingehen, und die weiteren Fortbildungen oder Ersetzungen des Zwanges werden an das Mißverständnis anknüpfen anstatt an den richtigen Text. Doch kann man beobachten, daß diese Delirien bestrebt sind, immer wieder neue Beziehungen zu dem nicht im bewußten Denken aufgenommenen Gehalt und Wortlaut des Zwanges zu gewinnen.</w:t>
      </w:r>
    </w:p>
    <w:p w:rsidR="00822836" w:rsidRPr="00487290" w:rsidRDefault="00822836" w:rsidP="00822836">
      <w:pPr>
        <w:pStyle w:val="Sansinterligne"/>
        <w:rPr>
          <w:rFonts w:ascii="Garamond" w:hAnsi="Garamond"/>
          <w:lang w:val="en-US"/>
        </w:rPr>
      </w:pPr>
      <w:r w:rsidRPr="00487290">
        <w:rPr>
          <w:rFonts w:ascii="Garamond" w:hAnsi="Garamond"/>
          <w:lang w:val="en-US"/>
        </w:rPr>
        <w:t xml:space="preserve">Einer einzigen Bemerkung wegen möchte ich noch zum Triebleben der Zwangsneurose zurückkehren. Unser Patient erwies sich auch als ein </w:t>
      </w:r>
      <w:r w:rsidRPr="00487290">
        <w:rPr>
          <w:rFonts w:ascii="Garamond" w:hAnsi="Garamond"/>
          <w:i/>
          <w:iCs/>
          <w:lang w:val="en-US"/>
        </w:rPr>
        <w:t>Riecher</w:t>
      </w:r>
      <w:r w:rsidRPr="00487290">
        <w:rPr>
          <w:rFonts w:ascii="Garamond" w:hAnsi="Garamond"/>
          <w:lang w:val="en-US"/>
        </w:rPr>
        <w:t xml:space="preserve">, der nach seiner Behauptung in der Kindheit wie ein Hund jeden Menschen nach dem Geruch erkannt hatte und dem auch heute noch Riechwahrnehmungen mehr sagten als anderen </w:t>
      </w:r>
      <w:hyperlink r:id="rId1182" w:history="1">
        <w:r w:rsidRPr="00487290">
          <w:rPr>
            <w:rStyle w:val="Lienhypertexte"/>
            <w:rFonts w:ascii="Garamond" w:hAnsi="Garamond"/>
            <w:lang w:val="en-US"/>
          </w:rPr>
          <w:t>[Fußnote]</w:t>
        </w:r>
        <w:r w:rsidRPr="00487290">
          <w:rPr>
            <w:rStyle w:val="innerfusslink"/>
            <w:rFonts w:ascii="Garamond" w:hAnsi="Garamond"/>
            <w:lang w:val="en-US"/>
          </w:rPr>
          <w:t>Ich füge hinzu, daß in seinen Kinderjahren starke koprophile Neigungen gewaltet hatten. Dazu die bereits betonte Analerotik (S. 77).</w:t>
        </w:r>
      </w:hyperlink>
      <w:r w:rsidRPr="00487290">
        <w:rPr>
          <w:rFonts w:ascii="Garamond" w:hAnsi="Garamond"/>
          <w:lang w:val="en-US"/>
        </w:rPr>
        <w:t xml:space="preserve">. Ich habe ähnliches auch bei anderen Neurotikern, Zwangskranken und Hysterikern gefunden und gelernt, der Rolle einer seit der Kindheit </w:t>
      </w:r>
      <w:r w:rsidRPr="00487290">
        <w:rPr>
          <w:rFonts w:ascii="Garamond" w:hAnsi="Garamond"/>
          <w:lang w:val="en-US"/>
        </w:rPr>
        <w:lastRenderedPageBreak/>
        <w:t xml:space="preserve">untergegangenen Riechlust in der Genese der Neurosen Rechnung zu tragen </w:t>
      </w:r>
      <w:hyperlink r:id="rId1183" w:history="1">
        <w:r w:rsidRPr="00487290">
          <w:rPr>
            <w:rStyle w:val="Lienhypertexte"/>
            <w:rFonts w:ascii="Garamond" w:hAnsi="Garamond"/>
            <w:lang w:val="en-US"/>
          </w:rPr>
          <w:t>[Fußnote]</w:t>
        </w:r>
        <w:r w:rsidRPr="00487290">
          <w:rPr>
            <w:rStyle w:val="innerfusslink"/>
            <w:rFonts w:ascii="Garamond" w:hAnsi="Garamond"/>
            <w:lang w:val="en-US"/>
          </w:rPr>
          <w:t>Z. B. bei gewissen Formen des Fetischismus.</w:t>
        </w:r>
      </w:hyperlink>
      <w:r w:rsidRPr="00487290">
        <w:rPr>
          <w:rFonts w:ascii="Garamond" w:hAnsi="Garamond"/>
          <w:lang w:val="en-US"/>
        </w:rPr>
        <w:t>. Ganz allgemein möchte ich die Frage aufwerfen, ob nicht die mit der Abkehrung des Menschen vom Erdboden unvermeidlich gewordene Verkümmerung des Geruchssinnes und die so hergestellte organische Verdrängung der Riechlust einen guten Anteil an seiner Befähigung zu neurotischen Erkrankungen haben kann. Es ergäbe sich ein Verständnis dafür, daß bei steigender Kultur gerade das Sexualleben die Opfer der Verdrängung bringen muß. Wir wissen ja längst, welch inniger Zusammenhang in der tierischen Organisation zwischen dem Sexualtrieb und der Funktion des Riechorgans hergestellt ist.</w:t>
      </w:r>
    </w:p>
    <w:p w:rsidR="00822836" w:rsidRPr="00487290" w:rsidRDefault="00822836" w:rsidP="00822836">
      <w:pPr>
        <w:pStyle w:val="Sansinterligne"/>
        <w:rPr>
          <w:rFonts w:ascii="Garamond" w:hAnsi="Garamond"/>
          <w:lang w:val="en-US"/>
        </w:rPr>
      </w:pPr>
      <w:r w:rsidRPr="00487290">
        <w:rPr>
          <w:rFonts w:ascii="Garamond" w:hAnsi="Garamond"/>
          <w:lang w:val="en-US"/>
        </w:rPr>
        <w:t>*</w:t>
      </w:r>
    </w:p>
    <w:p w:rsidR="00822836" w:rsidRDefault="00822836" w:rsidP="00822836">
      <w:pPr>
        <w:pStyle w:val="Sansinterligne"/>
        <w:rPr>
          <w:rFonts w:ascii="Garamond" w:hAnsi="Garamond"/>
          <w:lang w:val="en-US"/>
        </w:rPr>
      </w:pPr>
      <w:r w:rsidRPr="00487290">
        <w:rPr>
          <w:rFonts w:ascii="Garamond" w:hAnsi="Garamond"/>
          <w:lang w:val="en-US"/>
        </w:rPr>
        <w:t xml:space="preserve">Zum Schlusse dieser Arbeit will ich die Hoffnung aussprechen, daß meine in jedem Sinne unvollständigen Mitteilungen wenigstens anderen die Anregung bringen mögen, durch weitere Vertiefung in das Studium der Zwangsneurose mehr zutage zu fördern. Das Charakteristische dieser Neurose, das, was sie von der Hysterie unterscheidet, ist meines Erachtens nicht im Triebleben, sondern in den psychologischen Verhältnissen zu suchen. Ich kann meinen Patienten nicht verlassen, ohne dem Eindrucke Worte zu leihen, daß er gleichsam in drei Persönlichkeiten zerfallen war; ich würde sagen: in eine unbewußte und zwei vorbewußte, zwischen denen sein Bewußtsein oszillieren konnte. Sein Unbewußtes umschloß die frühzeitig unterdrückten, als leidenschaftlich und böse zu bezeichnenden Regungen; in seinem Normalzustande war er gut, lebensfroh, überlegen, klug und aufgeklärt, aber in einer dritten psychischen Organisation huldigte er dem Aberglauben und der Askese, so daß er zwei Überzeugungen haben und zweierlei Weltanschauungen vertreten konnte. Diese vorbewußte Person enthielt vorwiegend die Reaktionsbildungen auf seine verdrängten Wünsche, und es war leicht vorherzusehen, daß sie bei weiterem Bestände der Krankheit die normale Person aufgezehrt hätte. Ich habe jetzt Gelegenheit, eine an schweren Zwangshandlungen leidende Dame zu studieren, die in ähnlicher Weise in eine tolerante, heitere und in eine schwer verdüsterte, asketische Persönlichkeit zerfallen ist, die erstere als ihr offizielles Ich vorschiebt, während sie von der letzteren beherrscht wird. Beide psychischen Organisationen haben Zugang zu ihrem Bewußtsein, und hinter der asketischen Person ist das ihr völlig unbekannte Unbewußte ihres Wesens aufzufinden, bestehend aus uralten, längst verdrängten Wunschregungen </w:t>
      </w:r>
      <w:hyperlink r:id="rId1184" w:history="1">
        <w:r w:rsidRPr="00487290">
          <w:rPr>
            <w:rStyle w:val="Lienhypertexte"/>
            <w:rFonts w:ascii="Garamond" w:hAnsi="Garamond"/>
            <w:lang w:val="en-US"/>
          </w:rPr>
          <w:t>[Fußnote]</w:t>
        </w:r>
        <w:r w:rsidRPr="00487290">
          <w:rPr>
            <w:rStyle w:val="innerfusslink"/>
            <w:rFonts w:ascii="Garamond" w:hAnsi="Garamond"/>
            <w:lang w:val="en-US"/>
          </w:rPr>
          <w:t>[Zusatz 1923:] Der Patient, dem die mitgeteilte Analyse seine wiedergegeben hatte, ist wie so viele andere wertvolle und hoffnungsvolle junge Männer im großen Krieg umgekommen.</w:t>
        </w:r>
      </w:hyperlink>
      <w:r w:rsidRPr="00487290">
        <w:rPr>
          <w:rFonts w:ascii="Garamond" w:hAnsi="Garamond"/>
          <w:lang w:val="en-US"/>
        </w:rPr>
        <w:t>.</w:t>
      </w:r>
    </w:p>
    <w:p w:rsidR="00822836" w:rsidRDefault="00822836" w:rsidP="00822836">
      <w:pPr>
        <w:rPr>
          <w:rFonts w:ascii="Garamond" w:hAnsi="Garamond"/>
          <w:lang w:val="en-US"/>
        </w:rPr>
      </w:pPr>
      <w:r>
        <w:rPr>
          <w:rFonts w:ascii="Garamond" w:hAnsi="Garamond"/>
          <w:lang w:val="en-US"/>
        </w:rPr>
        <w:br w:type="page"/>
      </w:r>
    </w:p>
    <w:p w:rsidR="00822836" w:rsidRDefault="00822836" w:rsidP="00822836">
      <w:pPr>
        <w:pStyle w:val="Sansinterligne"/>
        <w:rPr>
          <w:rFonts w:ascii="Garamond" w:hAnsi="Garamond"/>
          <w:lang w:val="en-US"/>
        </w:rPr>
      </w:pPr>
      <w:r>
        <w:rPr>
          <w:rFonts w:ascii="Garamond" w:hAnsi="Garamond"/>
          <w:lang w:val="en-US"/>
        </w:rPr>
        <w:lastRenderedPageBreak/>
        <w:t>SCHREBER</w:t>
      </w:r>
    </w:p>
    <w:p w:rsidR="00822836" w:rsidRDefault="00822836" w:rsidP="00822836">
      <w:pPr>
        <w:pStyle w:val="Sansinterligne"/>
        <w:rPr>
          <w:rFonts w:ascii="Garamond" w:hAnsi="Garamond"/>
          <w:lang w:val="en-US"/>
        </w:rPr>
      </w:pPr>
      <w:r w:rsidRPr="00393116">
        <w:rPr>
          <w:rFonts w:ascii="Garamond" w:hAnsi="Garamond"/>
          <w:lang w:val="en-US"/>
        </w:rPr>
        <w:br/>
      </w:r>
    </w:p>
    <w:p w:rsidR="00822836" w:rsidRPr="00405E14" w:rsidRDefault="00822836" w:rsidP="00822836">
      <w:pPr>
        <w:pStyle w:val="Sansinterligne"/>
        <w:rPr>
          <w:rFonts w:ascii="Garamond" w:hAnsi="Garamond"/>
          <w:lang w:val="en-US"/>
        </w:rPr>
      </w:pPr>
      <w:r w:rsidRPr="00393116">
        <w:rPr>
          <w:rFonts w:ascii="Garamond" w:hAnsi="Garamond"/>
          <w:lang w:val="en-US"/>
        </w:rPr>
        <w:t>Psychoanalytische Bemerkungen über einen autobiographisch beschriebenen Fall von Paranoia (Dementia paranoides) ( 1911 )</w:t>
      </w:r>
    </w:p>
    <w:p w:rsidR="00822836" w:rsidRPr="00405E14" w:rsidRDefault="00822836" w:rsidP="00822836">
      <w:pPr>
        <w:pStyle w:val="Sansinterligne"/>
        <w:rPr>
          <w:rFonts w:ascii="Garamond" w:hAnsi="Garamond"/>
          <w:lang w:val="en-US"/>
        </w:rPr>
      </w:pPr>
    </w:p>
    <w:p w:rsidR="00822836" w:rsidRPr="00405E14" w:rsidRDefault="00822836" w:rsidP="00822836">
      <w:pPr>
        <w:pStyle w:val="Sansinterligne"/>
        <w:rPr>
          <w:rFonts w:ascii="Garamond" w:hAnsi="Garamond"/>
          <w:lang w:val="en-US"/>
        </w:rPr>
      </w:pPr>
      <w:r w:rsidRPr="00405E14">
        <w:rPr>
          <w:rFonts w:ascii="Garamond" w:hAnsi="Garamond"/>
          <w:lang w:val="en-US"/>
        </w:rPr>
        <w:t>Anstalten tätig sind, Schwierigkeiten besonderer Natur. Wir können solche Kranke nicht annehmen oder nicht lange behalten, weil die Aussicht auf therapeutischen Erfolg die Bedingung unserer Behandlung ist. So trifft es sich also nur ausnahmsweise, daß ich einen tieferen Einblick in die Struktur der Paranoia machen kann, sei es, daß die Unsicherheit der nicht immer leichten Diagnose den Versuch einer Beeinflussung rechtfertigt, sei es, daß ich den Bitten der Angehörigen nachgebe und einen solchen Kranken trotz der gesicherten Diagnose für eine gewisse Zeit in Behandlung nehme. Ich sehe sonst natürlich Paranoiker (und Demente) genug und erfahre von ihnen soviel wie andere Psychiater von ihren Fällen, aber das reicht in der Regel nicht aus, um analytische Entscheidungen zu treffen.</w:t>
      </w:r>
    </w:p>
    <w:p w:rsidR="00822836" w:rsidRPr="00405E14" w:rsidRDefault="00822836" w:rsidP="00822836">
      <w:pPr>
        <w:pStyle w:val="Sansinterligne"/>
        <w:rPr>
          <w:rFonts w:ascii="Garamond" w:hAnsi="Garamond"/>
          <w:lang w:val="en-US"/>
        </w:rPr>
      </w:pPr>
      <w:r w:rsidRPr="00405E14">
        <w:rPr>
          <w:rFonts w:ascii="Garamond" w:hAnsi="Garamond"/>
          <w:lang w:val="en-US"/>
        </w:rPr>
        <w:t>Die psychoanalytische Untersuchung der Paranoia wäre überhaupt unmöglich, wenn die Kranken nicht die Eigentümlichkeit besäßen, allerdings in entstellter Form, gerade das zu verraten, was die anderen Neurotiker als Geheimnis verbergen. Da die Paranoiker nicht zur Überwindung ihrer inneren Widerstände gezwungen werden können und ohnedies nur sagen, was sie sagen wollen, darf gerade bei dieser Affektion der schriftliche Bericht oder die gedruckte Krankengeschichte als Ersatz für die persönliche Bekanntschaft mit dem Kranken eintreten. Ich halte es darum nicht für unstatthaft, analytische Deutungen an die Krankengeschichte eines Paranoikers (Dementia paranoides) zu knüpfen, den ich nie gesehen habe, der aber seine Krankengeschichte selbst beschrieben und zur öffentlichen Kenntnis durch den Druck gebracht hat.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Es ist dies der ehemalige sächsische Senatspräsident Dr. jur. Daniel Paul Schreber, dessen </w:t>
      </w:r>
      <w:r w:rsidRPr="00405E14">
        <w:rPr>
          <w:rFonts w:ascii="Garamond" w:hAnsi="Garamond"/>
          <w:i/>
          <w:iCs/>
          <w:lang w:val="en-US"/>
        </w:rPr>
        <w:t>Denkwürdigkeiten eines Nervenkranken</w:t>
      </w:r>
      <w:r w:rsidRPr="00405E14">
        <w:rPr>
          <w:rFonts w:ascii="Garamond" w:hAnsi="Garamond"/>
          <w:lang w:val="en-US"/>
        </w:rPr>
        <w:t xml:space="preserve"> im Jahre 1903 als Buch erschienen sind und, wenn ich recht berichtet bin, ein ziemlich großes Interesse bei den Psychiatern erweckt haben. Es ist möglich, daß Dr. Schreber heute noch lebt und sich von seinem 1903 vertretenen Wahnsystem so weit zurückgezogen hat, daß er diese Bemerkungen über sein Buch peinlich empfindet. Soweit er aber die Identität seiner heutigen Persönlichkeit mit der damaligen noch festhält, darf ich mich auf seine eigenen Argumente berufen, die der »geistig hochstehende Mensch von ungewöhnlich scharfem Verstand und scharfer Beobachtungsgabe« </w:t>
      </w:r>
      <w:hyperlink r:id="rId1185" w:history="1">
        <w:r w:rsidRPr="00405E14">
          <w:rPr>
            <w:rStyle w:val="Lienhypertexte"/>
            <w:rFonts w:ascii="Garamond" w:hAnsi="Garamond"/>
            <w:color w:val="C00000"/>
            <w:lang w:val="en-US"/>
          </w:rPr>
          <w:t>[Fußnote]</w:t>
        </w:r>
        <w:r w:rsidRPr="00405E14">
          <w:rPr>
            <w:rStyle w:val="innerfusslink"/>
            <w:rFonts w:ascii="Garamond" w:hAnsi="Garamond"/>
            <w:color w:val="C00000"/>
            <w:lang w:val="en-US"/>
          </w:rPr>
          <w:t>Diese gewiß nicht unberechtigte Selbstcharakteristik findet sich auf S. 35 des Schreberschen Buches.</w:t>
        </w:r>
      </w:hyperlink>
      <w:r w:rsidRPr="00405E14">
        <w:rPr>
          <w:rFonts w:ascii="Garamond" w:hAnsi="Garamond"/>
          <w:lang w:val="en-US"/>
        </w:rPr>
        <w:t xml:space="preserve"> den Bemühungen, ihn von der Publikation abzuhalten, entgegensetzte: »Dabei habe ich mir die Bedenken nicht verhehlt, die einer Veröffentlichung entgegenzustehen scheinen: es handelt sich namentlich um die Rücksicht auf einzelne noch lebende Personen. Auf der anderen Seite bin ich der Meinung, daß es für die Wissenschaft und für die Erkenntnis religiöser Wahrheiten von Wert sein könnte, wenn noch bei meinen Lebzeiten irgendwelche Beobachtungen von berufener Seite an meinem Körper und meinen persönlichen Schicksalen zu ermöglichen wären. Dieser Erwägung gegenüber müssen alle persönlichen Rücksichten schweigen.« </w:t>
      </w:r>
      <w:hyperlink r:id="rId1186" w:history="1">
        <w:r w:rsidRPr="00405E14">
          <w:rPr>
            <w:rStyle w:val="Lienhypertexte"/>
            <w:rFonts w:ascii="Garamond" w:hAnsi="Garamond"/>
            <w:color w:val="C00000"/>
            <w:lang w:val="en-US"/>
          </w:rPr>
          <w:t>[Fußnote]</w:t>
        </w:r>
        <w:r w:rsidRPr="00405E14">
          <w:rPr>
            <w:rStyle w:val="innerfusslink"/>
            <w:rFonts w:ascii="Garamond" w:hAnsi="Garamond"/>
            <w:color w:val="C00000"/>
            <w:lang w:val="en-US"/>
          </w:rPr>
          <w:t xml:space="preserve">Vorrede der </w:t>
        </w:r>
        <w:r w:rsidRPr="00405E14">
          <w:rPr>
            <w:rStyle w:val="innerfusslink"/>
            <w:rFonts w:ascii="Garamond" w:hAnsi="Garamond"/>
            <w:i/>
            <w:iCs/>
            <w:color w:val="C00000"/>
            <w:lang w:val="en-US"/>
          </w:rPr>
          <w:t>Denkwürdigkeiten</w:t>
        </w:r>
        <w:r w:rsidRPr="00405E14">
          <w:rPr>
            <w:rStyle w:val="innerfusslink"/>
            <w:rFonts w:ascii="Garamond" w:hAnsi="Garamond"/>
            <w:color w:val="C00000"/>
            <w:lang w:val="en-US"/>
          </w:rPr>
          <w:t>.</w:t>
        </w:r>
      </w:hyperlink>
      <w:r w:rsidRPr="00405E14">
        <w:rPr>
          <w:rFonts w:ascii="Garamond" w:hAnsi="Garamond"/>
          <w:lang w:val="en-US"/>
        </w:rPr>
        <w:t xml:space="preserve"> An einer andern Stelle des Buches spricht er aus, daß er sich entschlossen habe, an dem Vorhaben der Veröffentlichung festzuhalten, auch wenn sein Arzt Geh. Rat Dr. Flechsig in Leipzig deswegen die Anklage gegen ihn erheben würde. Er mutet dabei Flechsig dasselbe zu, was ihm selbst jetzt von meiner Seite zugemutet wird: »Ich hoffe, daß dann auch bei Geh. Rath Prof. Dr. Flechsig das wissenschaftliche Interesse an dem Inhalte meiner Denkwürdigkeiten etwaige persönliche Empfindlichkeiten zurückdrängen würde.«</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Wiewohl ich im folgenden alle Stellen der </w:t>
      </w:r>
      <w:r w:rsidRPr="00405E14">
        <w:rPr>
          <w:rFonts w:ascii="Garamond" w:hAnsi="Garamond"/>
          <w:i/>
          <w:iCs/>
          <w:lang w:val="en-US"/>
        </w:rPr>
        <w:t>Denkwürdigkeiten</w:t>
      </w:r>
      <w:r w:rsidRPr="00405E14">
        <w:rPr>
          <w:rFonts w:ascii="Garamond" w:hAnsi="Garamond"/>
          <w:lang w:val="en-US"/>
        </w:rPr>
        <w:t>, die meine Deutungen stützen, im Wortlaut anführen werde, bitte ich doch die Leser dieser Arbeit, sich vorher mit dem Buche wenigstens durch einmalige Lektüre vertraut zu machen.</w:t>
      </w:r>
    </w:p>
    <w:p w:rsidR="00822836" w:rsidRDefault="00822836" w:rsidP="00822836">
      <w:pPr>
        <w:rPr>
          <w:rFonts w:ascii="Garamond" w:eastAsia="Times New Roman" w:hAnsi="Garamond" w:cs="Times New Roman"/>
          <w:b/>
          <w:lang w:val="en-US" w:eastAsia="fr-FR"/>
        </w:rPr>
      </w:pPr>
      <w:r>
        <w:rPr>
          <w:rFonts w:ascii="Garamond" w:eastAsia="Times New Roman" w:hAnsi="Garamond" w:cs="Times New Roman"/>
          <w:b/>
          <w:lang w:val="en-US" w:eastAsia="fr-FR"/>
        </w:rPr>
        <w:br w:type="page"/>
      </w:r>
    </w:p>
    <w:p w:rsidR="00822836" w:rsidRPr="00405E14" w:rsidRDefault="00B437A1" w:rsidP="00822836">
      <w:pPr>
        <w:pStyle w:val="Sansinterligne"/>
        <w:rPr>
          <w:rFonts w:ascii="Garamond" w:eastAsia="Times New Roman" w:hAnsi="Garamond" w:cs="Times New Roman"/>
          <w:b/>
          <w:lang w:val="en-US" w:eastAsia="fr-FR"/>
        </w:rPr>
      </w:pPr>
      <w:hyperlink w:anchor="SchreberInhalt" w:history="1">
        <w:r w:rsidR="00822836" w:rsidRPr="00A57530">
          <w:rPr>
            <w:rStyle w:val="Lienhypertexte"/>
            <w:rFonts w:ascii="Garamond" w:eastAsia="Times New Roman" w:hAnsi="Garamond" w:cs="Times New Roman"/>
            <w:b/>
            <w:lang w:val="en-US" w:eastAsia="fr-FR"/>
          </w:rPr>
          <w:t>I. Kr</w:t>
        </w:r>
        <w:bookmarkStart w:id="228" w:name="Schreber1"/>
        <w:bookmarkEnd w:id="228"/>
        <w:r w:rsidR="00822836" w:rsidRPr="00A57530">
          <w:rPr>
            <w:rStyle w:val="Lienhypertexte"/>
            <w:rFonts w:ascii="Garamond" w:eastAsia="Times New Roman" w:hAnsi="Garamond" w:cs="Times New Roman"/>
            <w:b/>
            <w:lang w:val="en-US" w:eastAsia="fr-FR"/>
          </w:rPr>
          <w:t>ankengeschichte</w:t>
        </w:r>
      </w:hyperlink>
      <w:r w:rsidR="00822836">
        <w:rPr>
          <w:rFonts w:ascii="Garamond" w:eastAsia="Times New Roman" w:hAnsi="Garamond" w:cs="Times New Roman"/>
          <w:b/>
          <w:lang w:val="en-US" w:eastAsia="fr-FR"/>
        </w:rPr>
        <w:t xml:space="preserve">  </w:t>
      </w:r>
    </w:p>
    <w:p w:rsidR="00822836" w:rsidRDefault="00822836" w:rsidP="00822836">
      <w:pPr>
        <w:pStyle w:val="Sansinterligne"/>
        <w:rPr>
          <w:rFonts w:ascii="Garamond" w:eastAsia="Times New Roman" w:hAnsi="Garamond" w:cs="Times New Roman"/>
          <w:lang w:val="en-US" w:eastAsia="fr-FR"/>
        </w:rPr>
      </w:pP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Dr. Schreber berichtet: </w:t>
      </w:r>
      <w:hyperlink r:id="rId1187" w:history="1">
        <w:r w:rsidRPr="00405E14">
          <w:rPr>
            <w:rFonts w:ascii="Garamond" w:eastAsia="Times New Roman" w:hAnsi="Garamond" w:cs="Times New Roman"/>
            <w:u w:val="single"/>
            <w:lang w:val="en-US" w:eastAsia="fr-FR"/>
          </w:rPr>
          <w:t>[Fußnote]Denkwürdigkeiten, S. 34.</w:t>
        </w:r>
      </w:hyperlink>
      <w:r w:rsidRPr="00405E14">
        <w:rPr>
          <w:rFonts w:ascii="Garamond" w:eastAsia="Times New Roman" w:hAnsi="Garamond" w:cs="Times New Roman"/>
          <w:lang w:val="en-US" w:eastAsia="fr-FR"/>
        </w:rPr>
        <w:t xml:space="preserve"> »  Ich bin zweimal nervenkrank gewesen, beide Male infolge von geistiger Überanstrengung; das erstemal (als Landgerichtsdirektor in Chemnitz) aus Anlaß einer Reichstagskandidatur, das zweitemal aus Anlaß der ungewöhnlichen Arbeitslast, die ich beim Antritt des mir neu übertragenen Amtes eines Senatspräsidenten beim Oberlandesgericht Dresden vorfand.«</w:t>
      </w:r>
    </w:p>
    <w:p w:rsidR="00822836" w:rsidRPr="00405E14" w:rsidRDefault="00822836" w:rsidP="00822836">
      <w:pPr>
        <w:pStyle w:val="Sansinterligne"/>
        <w:rPr>
          <w:rFonts w:ascii="Garamond" w:eastAsia="Times New Roman" w:hAnsi="Garamond" w:cs="Times New Roman"/>
          <w:lang w:eastAsia="fr-FR"/>
        </w:rPr>
      </w:pPr>
      <w:r w:rsidRPr="00405E14">
        <w:rPr>
          <w:rFonts w:ascii="Garamond" w:eastAsia="Times New Roman" w:hAnsi="Garamond" w:cs="Times New Roman"/>
          <w:lang w:val="en-US" w:eastAsia="fr-FR"/>
        </w:rPr>
        <w:t xml:space="preserve">Die erste Erkrankung trat im Herbste 1884 hervor und war Ende 1885 vollkommen geheilt. Flechsig, auf dessen Klinik der Patient damals 6 Monate verbrachte, bezeichnete in einem später abgegebenen »Formulargutachten« den Zustand als einen Anfall schwerer Hypochondrie. Dr. Schreber versichert, daß diese Krankheit »ohne jede an das Gebiet des Übersinnlichen anstreifenden Zwischenfälle« verlief. </w:t>
      </w:r>
      <w:hyperlink r:id="rId1188" w:history="1">
        <w:r w:rsidRPr="00405E14">
          <w:rPr>
            <w:rFonts w:ascii="Garamond" w:eastAsia="Times New Roman" w:hAnsi="Garamond" w:cs="Times New Roman"/>
            <w:u w:val="single"/>
            <w:lang w:eastAsia="fr-FR"/>
          </w:rPr>
          <w:t>[Fußnote]Denkwürdigkeiten, S. 35.</w:t>
        </w:r>
      </w:hyperlink>
    </w:p>
    <w:p w:rsidR="00822836" w:rsidRPr="00405E14" w:rsidRDefault="00822836" w:rsidP="00822836">
      <w:pPr>
        <w:pStyle w:val="Sansinterligne"/>
        <w:rPr>
          <w:rFonts w:ascii="Garamond" w:eastAsia="Times New Roman" w:hAnsi="Garamond" w:cs="Times New Roman"/>
          <w:lang w:eastAsia="fr-FR"/>
        </w:rPr>
      </w:pPr>
      <w:r w:rsidRPr="00405E14">
        <w:rPr>
          <w:rFonts w:ascii="Garamond" w:eastAsia="Times New Roman" w:hAnsi="Garamond" w:cs="Times New Roman"/>
          <w:lang w:eastAsia="fr-FR"/>
        </w:rPr>
        <w:t>Über die Vorgeschichte und die näheren Lebensumstände des Patienten geben weder seine Niederschriften noch die ihr angefügten Gutachten der Ärzte genügende Auskunft. Ich wäre nicht einmal in der Lage, sein Alter zur Zeit der Erkrankung anzugeben, wiewohl die vor der zweiten Erkrankung erreichte hohe Stellung im Justizdienst eine gewisse untere Grenze sichert. Wir erfahren, daß Dr. Schreber zur Zeit der »Hypochondrie« bereits lange verheiratet war. Er schreibt: »Fast noch inniger wurde der Dank von meiner Frau empfunden, die in Professor Flechsig geradezu denjenigen verehrte, der ihr ihren Mann wiedergeschenkt habe, und aus diesem Grunde sein Bildnis jahrelang auf ihrem Arbeitstische stehen hatte.« (S. 36.) Und ebenda: »Nach der Genesung von meiner ersten Krankheit habe ich acht, im ganzen recht glückliche, auch an äußeren Ehren reiche und nur durch die mehrmalige Vereitelung der Hoffnung auf Kindersegen zeitweilig getrübte Jahre mit meiner Frau verlebt.«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eastAsia="fr-FR"/>
        </w:rPr>
        <w:t xml:space="preserve">Im Juni 1893 wurde ihm seine bevorstehende Ernennung zum Senatspräsidenten angezeigt; er trat sein Amt am 1. Oktober desselben Jahres an. In die Zwischenzeit </w:t>
      </w:r>
      <w:hyperlink r:id="rId1189" w:history="1">
        <w:r w:rsidRPr="00405E14">
          <w:rPr>
            <w:rFonts w:ascii="Garamond" w:eastAsia="Times New Roman" w:hAnsi="Garamond" w:cs="Times New Roman"/>
            <w:u w:val="single"/>
            <w:lang w:eastAsia="fr-FR"/>
          </w:rPr>
          <w:t>[Fußnote]Also noch vor der Einwirkung der von ihm beschuldigten Überarbeitung in seiner neuen Stellung.</w:t>
        </w:r>
      </w:hyperlink>
      <w:r w:rsidRPr="00405E14">
        <w:rPr>
          <w:rFonts w:ascii="Garamond" w:eastAsia="Times New Roman" w:hAnsi="Garamond" w:cs="Times New Roman"/>
          <w:lang w:eastAsia="fr-FR"/>
        </w:rPr>
        <w:t xml:space="preserve"> </w:t>
      </w:r>
      <w:r w:rsidRPr="00405E14">
        <w:rPr>
          <w:rFonts w:ascii="Garamond" w:eastAsia="Times New Roman" w:hAnsi="Garamond" w:cs="Times New Roman"/>
          <w:lang w:val="en-US" w:eastAsia="fr-FR"/>
        </w:rPr>
        <w:t>fallen einige Träume, denen Bedeutung beizulegen er erst später veranlaßt wurde. Es träumte ihm einige Male, daß seine frühere Nervenkrankheit zurückgekehrt war, worüber er sich im Traume ebenso unglücklich fühlte, wie nach dem Erwachen glücklich, daß es eben nur ein Traum gewesen war. Ferner hatte er einmal gegen Morgen in einem Zustande zwischen Schlafen und Wachen »die Vorstellung, daß es doch eigentlich recht schön sein müsse, ein Weib zu sein, das dem Beischlaf unterliege« (S. 36), eine Vorstellung, die er bei vollem Bewußtsein mit großer Entrüstung zurückgewiesen hätte.</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Die zweite Erkrankung setzte Ende Oktober 1893 mit quälender Schlaflosigkeit ein, die ihn die Flechsigsche Klinik von neuem aufsuchen ließ, wo sich aber sein Zustand rasch verschlechterte. Die weitere Entwicklung derselben schildert ein späteres Gutachten, welches von dem Direktor der Anstalt Sonnenstein abgegeben wurde (S. 380): »Im Beginn seines dortigen Aufenthaltes </w:t>
      </w:r>
      <w:hyperlink r:id="rId1190" w:history="1">
        <w:r w:rsidRPr="00405E14">
          <w:rPr>
            <w:rFonts w:ascii="Garamond" w:eastAsia="Times New Roman" w:hAnsi="Garamond" w:cs="Times New Roman"/>
            <w:u w:val="single"/>
            <w:lang w:val="en-US" w:eastAsia="fr-FR"/>
          </w:rPr>
          <w:t>[Fußnote]Auf der Leipziger Klinik bei Prof. Flechsig.</w:t>
        </w:r>
      </w:hyperlink>
      <w:r w:rsidRPr="00405E14">
        <w:rPr>
          <w:rFonts w:ascii="Garamond" w:eastAsia="Times New Roman" w:hAnsi="Garamond" w:cs="Times New Roman"/>
          <w:lang w:val="en-US" w:eastAsia="fr-FR"/>
        </w:rPr>
        <w:t xml:space="preserve"> äußerte er mehr hypochondrische Ideen, klagte, daß er an Hirnerweichung leide, bald sterben müsse, p. p., doch mischten sich schon Verfolgungsideen in das Krankheitsbild, und zwar auf Grund von Sinnestäuschungen, die anfangs allerdings mehr vereinzelt aufzutreten schienen, während gleichzeitig hochgradige Hyperästhesie, große Empfindlichkeit gegen Licht und Geräusch sich geltend machte. Später häuften sich die Gesichts- und Gehörstäuschungen und beherrschten in Verbindung mit Gemeingefühlsstörungen sein ganzes Empfinden und Denken, er hielt sich für tot und angefault, für pestkrank, wähnte, daß an seinem Körper allerhand abscheuliche Manipulationen vorgenommen würden, und machte, wie er sich selbst noch jetzt ausspricht, entsetzlichere Dinge durch, als jemand geahnt, und zwar um eines heiligen Zweckes willen. Die krankhaften Eingebungen nahmen den Kranken so sehr in Anspruch, daß er, für jeden andern Eindruck unzugänglich, stundenlang völlig starr und unbeweglich dasaß (halluzinatorischer Stupor), andererseits quälten sie ihn derartig, daß er sich den Tod herbeiwünschte, im Bade wiederholt Ertränkungsversuche machte und das ›für ihn bestimmte Zyankalium‹ verlangte. Allmählich nahmen die Wahnideen den Charakter des Mystischen, Religiösen an, er verkehrte direkt mit Gott, die Teufel trieben ihr Spiel mit ihm, er sah ›Wundererscheinungen‹, hörte ›heilige Musik‹ und glaubte schließlich sogar in einer andern Welt zu weilen.«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Fügen wir hinzu, daß er verschiedene Personen, von denen er sich verfolgt und beeinträchtigt glaubte, vor allen seinen früheren Arzt Flechsig, beschimpfte, ihn »Seelenmörder« nannte und ungezählte Male »kleiner Flechsig«, das erste Wort scharf betonend, ausrief (S. 383). In die Anstalt Sonnenstein bei Pirna war er aus Leipzig nach kurzem Zwischenaufenthalt im Juni 1894 gekommen und verblieb dort bis zur endgültigen </w:t>
      </w:r>
      <w:r w:rsidRPr="00405E14">
        <w:rPr>
          <w:rFonts w:ascii="Garamond" w:eastAsia="Times New Roman" w:hAnsi="Garamond" w:cs="Times New Roman"/>
          <w:lang w:val="en-US" w:eastAsia="fr-FR"/>
        </w:rPr>
        <w:lastRenderedPageBreak/>
        <w:t>Gestaltung seines Zustandes. Im Laufe der nächsten Jahre veränderte sich das Krankheitsbild in einer Weise, die wir am besten mit den Worten des Anstaltsdirektors Dr. Weber beschreiben werden: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»Ohne noch weiter auf alle Einzelheiten des Krankheitsverlaufes einzugehen, sei nur darauf hingewiesen, wie in der Folge aus der anfänglichen akuteren, das gesamte psychische Geschehen unmittelbar in Mitleidenschaft ziehenden Psychose, die als halluzinatorischer Wahnsinn zu bezeichnen war, immer entschiedener das paranoische Krankheitsbild sich hervorhob, sozusagen herauskristallisierte, das man gegenwärtig vor sich hat.« (S. 385.) Er hatte nämlich einerseits ein kunstvolles Wahngebäude entwickelt, welches den größten Anspruch auf unser Interesse hat, anderseits hatte sich seine Persönlichkeit rekonstruiert und sich den Aufgaben des Lebens bis auf einzelne Störungen gewachsen gezeigt.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Dr. Weber berichtet über ihn im Gutachten von 1899:</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»So erscheint zurzeit Herr Senatspräsident Dr. Schreber, abgesehen von den selbst für den flüchtigen Beobachter unmittelbar als krankhaft sich aufdrängenden psychomotorischen Symptomen, weder verwirrt noch psychisch gehemmt, noch in seiner Intelligenz merklich beeinträchtigt – er ist besonnen, sein Gedächtnis vorzüglich, er verfügt über ein erhebliches Maß von Wissen, nicht nur in juristischen Dingen, sondern auch auf vielen anderen Gebieten, und vermag es in geordnetem Gedankengange wiederzugeben, er hat Interesse für die Vorgänge in Politik, Wissenschaft und Kunst usw. und beschäftigt sich fortgesetzt mit ihnen . . . und wird in den angedeuteten Richtungen den von seinem Gesamtzustande nicht näher unterrichteten Beobachter kaum viel Auffälliges wahrnehmen lassen. Bei alledem ist der Patient von krankhaft bedingten Vorstellungen erfüllt, die sich zu einem vollständigen System geschlossen haben, mehr oder weniger fixiert sind und einer Korrektur durch objektive Auffassung und Beurteilung der tatsächlichen Verhältnisse nicht zugänglich erscheinen.« (S. 386.)</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Der so weit veränderte Kranke hielt sich selbst für existenzfähig und unternahm zweckmäßige Schritte, um die Aufhebung seiner Kuratel und die Entlassung aus der Anstalt durchzusetzen. Dr. Weber widerstrebte diesen Wünschen und gab Gutachten im entgegengesetzten Sinne ab; doch kann er nicht umhin, das Wesen und Benehmen des Patienten im Gutachten von 1900 in folgender anerkennenden Weise zu schildern: »Der Unterzeichnete hat seit ¾ Jahren bei Einnahme der täglichen Mahlzeiten am Familientisch ausgiebigste Gelegenheit gehabt, mit Herrn Präsidenten Schreber über alle möglichen Gegenstände sich zu unterhalten. Welche Dinge nun auch – von seinen Wahnideen natürlich abgesehen – zur Sprache gekommen sind, mochten sie Vorgänge im Bereiche der Staatsverwaltung und Justiz, der Politik, der Kunst und Literatur, des gesellschaftlichen Lebens oder was sonst berühren, überall bekundete Doktor Schreber reges Interesse, eingehende Kenntnisse, gutes Gedächtnis und zutreffendes Urteil und auch in ethischer Beziehung eine Auffassung, der nur beigetreten werden konnte. Ebenso zeigte er sich in leichter Plauderei mit den anwesenden Damen nett und liebenswürdig und bei humoristischer Behandlung mancher Dinge immer taktvoll und dezent, niemals hat er in die harmlose Tischunterhaltung die Erörterung von Angelegenheiten hineingezogen, die nicht dort, sondern bei der ärztlichen Visite zu erledigen gewesen wären.« (S. 397.) Selbst in eine geschäftliche, die Interessen der ganzen Familie berührende Angelegenheit hatte er damals in sachgemäßer und zweckentsprechender Weise eingegriffen. (S. 401, 510.)</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In den wiederholten Eingaben an das Gericht, mittels deren Dr. Schreber um seine Befreiung kämpfte, verleugnete er durchaus nicht seinen Wahn und machte kein Hehl aus seiner Absicht, die </w:t>
      </w:r>
      <w:r w:rsidRPr="00405E14">
        <w:rPr>
          <w:rFonts w:ascii="Garamond" w:eastAsia="Times New Roman" w:hAnsi="Garamond" w:cs="Times New Roman"/>
          <w:i/>
          <w:iCs/>
          <w:lang w:val="en-US" w:eastAsia="fr-FR"/>
        </w:rPr>
        <w:t>Denkwürdigkeiten</w:t>
      </w:r>
      <w:r w:rsidRPr="00405E14">
        <w:rPr>
          <w:rFonts w:ascii="Garamond" w:eastAsia="Times New Roman" w:hAnsi="Garamond" w:cs="Times New Roman"/>
          <w:lang w:val="en-US" w:eastAsia="fr-FR"/>
        </w:rPr>
        <w:t xml:space="preserve"> der Öffentlichkeit zu übergeben. Er betonte vielmehr den Wert seiner Gedankengänge für das religiöse Leben und deren Unzersetzbarkeit durch die heutige Wissenschaft; gleichzeitig berief er sich aber auch auf die absolute Harmlosigkeit (S. 430) all jener Handlungen, zu denen er sich durch den Inhalt des Wahnes genötigt wußte. Der Scharfsinn und die logische Treffsicherheit des als Paranoiker Erkannten führten denn auch zum Triumph. Im Juli 1902 wurde die über Dr. Schreber verhängte Entmündigung aufgehoben; im nächsten Jahr erschienen die </w:t>
      </w:r>
      <w:r w:rsidRPr="00405E14">
        <w:rPr>
          <w:rFonts w:ascii="Garamond" w:eastAsia="Times New Roman" w:hAnsi="Garamond" w:cs="Times New Roman"/>
          <w:i/>
          <w:iCs/>
          <w:lang w:val="en-US" w:eastAsia="fr-FR"/>
        </w:rPr>
        <w:t>Denkwürdigkeiten eines Nervenkranken</w:t>
      </w:r>
      <w:r w:rsidRPr="00405E14">
        <w:rPr>
          <w:rFonts w:ascii="Garamond" w:eastAsia="Times New Roman" w:hAnsi="Garamond" w:cs="Times New Roman"/>
          <w:lang w:val="en-US" w:eastAsia="fr-FR"/>
        </w:rPr>
        <w:t xml:space="preserve"> als Buch, allerdings zensuriert und um manches wertvolle Stück ihres Inhaltes geschmälert.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In der Entscheidung, welche Dr. Schreber die Freiheit wiedergab, ist der Inhalt seines Wahnsystems in wenigen Sätzen zusammengefaßt: »Er halte sich für berufen, die Welt zu erlösen und ihr die verlorengegangene Seligkeit wiederzubringen. Das könne er aber nur, wenn er sich zuvor aus einem Manne zu einem Weibe verwandelt habe.« (S. 475.)</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Eine ausführliche Darstellung des Wahnes in seiner endgültigen Gestaltung können wir dem 1899 vom Anstaltsarzte Dr. Weber erstatteten Gutachten entnehmen: »Das Wahnsystem des Patienten gipfelt darin, daß er berufen sei, die Welt zu erlösen und der Menschheit die verlorengegangene Seligkeit wiederzubringen. Er sei, so behauptet er, zu dieser Aufgabe gekommen durch unmittelbar göttliche Eingebungen, ähnlich wie dies von den Propheten gelehrt wird; gerade aufgeregtere Nerven, wie es die </w:t>
      </w:r>
      <w:r w:rsidRPr="00405E14">
        <w:rPr>
          <w:rFonts w:ascii="Garamond" w:eastAsia="Times New Roman" w:hAnsi="Garamond" w:cs="Times New Roman"/>
          <w:lang w:val="en-US" w:eastAsia="fr-FR"/>
        </w:rPr>
        <w:lastRenderedPageBreak/>
        <w:t xml:space="preserve">seinigen so lange Zeit hindurch gewesen seien, hätten nämlich die Eigenschaft, anziehend auf Gott zu wirken, es handle sich dabei aber um Dinge, die sich entweder gar nicht oder doch nur sehr schwer in menschlicher Sprache ausdrücken lassen, weil sie außerhalb aller menschlichen Erfahrung lägen und eben nur ihm offenbart seien. Das wesentlichste bei seiner erlösenden Mission sei, daß zunächst seine </w:t>
      </w:r>
      <w:r w:rsidRPr="00405E14">
        <w:rPr>
          <w:rFonts w:ascii="Garamond" w:eastAsia="Times New Roman" w:hAnsi="Garamond" w:cs="Times New Roman"/>
          <w:i/>
          <w:iCs/>
          <w:lang w:val="en-US" w:eastAsia="fr-FR"/>
        </w:rPr>
        <w:t>Verwandlung zum Weibe</w:t>
      </w:r>
      <w:r w:rsidRPr="00405E14">
        <w:rPr>
          <w:rFonts w:ascii="Garamond" w:eastAsia="Times New Roman" w:hAnsi="Garamond" w:cs="Times New Roman"/>
          <w:lang w:val="en-US" w:eastAsia="fr-FR"/>
        </w:rPr>
        <w:t xml:space="preserve"> zu erfolgen habe. Nicht etwa, daß er sich zum Weibe verwandeln </w:t>
      </w:r>
      <w:r w:rsidRPr="00405E14">
        <w:rPr>
          <w:rFonts w:ascii="Garamond" w:eastAsia="Times New Roman" w:hAnsi="Garamond" w:cs="Times New Roman"/>
          <w:i/>
          <w:iCs/>
          <w:lang w:val="en-US" w:eastAsia="fr-FR"/>
        </w:rPr>
        <w:t>wolle</w:t>
      </w:r>
      <w:r w:rsidRPr="00405E14">
        <w:rPr>
          <w:rFonts w:ascii="Garamond" w:eastAsia="Times New Roman" w:hAnsi="Garamond" w:cs="Times New Roman"/>
          <w:lang w:val="en-US" w:eastAsia="fr-FR"/>
        </w:rPr>
        <w:t>, es handle sich vielmehr um ein in der Weltordnung begründetes ›Muß‹, dem er schlechterdings nicht entgehen könne, wenn es ihm persönlich auch viel lieber gewesen wäre, in seiner ehrenvollen männlichen Lebensstellung zu verbleiben, das Jenseits sei aber nun einmal für ihn und die ganze übrige Menschheit nicht anders wieder zu erobern als durch eine ihm vielleicht erst nach Ablauf vieler Jahre oder Jahrzehnte bevorstehende Verwandlung in ein Weib im Wege göttlicher Wunder. Er sei, das stehe für ihn fest, der ausschließliche Gegenstand göttlicher Wunder, somit der merkwürdigste Mensch, der je auf Erden gelebt habe, seit Jahren, in jeder Stunde und jeder Minute erfahre er diese Wunder an seinem Leibe, erhalte sie auch durch die Stimmen, die mit ihm sprächen, bestätigt. Er habe in den ersten Jahren seiner Krankheit Zerstörungen an einzelnen Organen seines Körpers erfahren, die jedem andern Menschen längst den Tod hätten bringen müssen, habe lange Zeit gelebt ohne Magen, ohne Därme, fast ohne Lungen, mit zerrissener Speiseröhre, ohne Blase, mit zerschmetterten Rippenknochen, habe seinen Kehlkopf manchmal zum Teil mit aufgegessen usf., göttliche Wunder (›Strahlen‹) aber hätten das Zerstörte immer wiederhergestellt und er sei daher, solange er ein Mann bleibe, überhaupt nicht sterblich. Jene bedrohlichen Erscheinungen seien nun längst verschwunden, dafür sei in den Vordergrund getreten seine ›Weiblichkeit‹, wobei es sich um einen Entwicklungsprozeß handle, der wahrscheinlich noch Jahrzehnte, wenn nicht Jahrhunderte zu seiner Vollendung beanspruche und dessen Ende schwerlich einer der jetzt lebenden Menschen erleben werde. Er habe das Gefühl, daß bereits massenhafte ›weibliche Nerven‹ in seinen Körper übergegangen seien, aus denen durch unmittelbare Befruchtung Gottes neue Menschen hervorgehen würden. Erst dann werde er wohl eines natürlichen Todes sterben können und sich wie allen Menschen die Seligkeit wieder erworben haben. Einstweilen sprächen nicht nur die Sonne, sondern auch die Bäume und die Vögel, die so etwas wie ›verwunderte Reste früherer Menschenseelen‹ seien, in menschlichen Lauten zu ihm und überall geschähen Wunderdinge um ihn her.« (S. 386.)</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Das Interesse des praktischen Psychiaters an solchen Wahnbildungen ist in der Regel erschöpft, wenn er die Leistung des Wahnes festgestellt und seinen Einfluß auf die Lebensführung des Kranken beurteilt hat; seine Verwunderung ist nicht der Anfang seines Verständnisses. Der Psychoanalytiker bringt von seiner Kenntnis der Psychoneurosen her die Vermutung mit, daß auch so absonderliche, so weit von dem gewohnten Denken der Menschen abweichende Gedankenbildungen aus den allgemeinsten und begreiflichsten Regungen des Seelenlebens hervorgegangen sind, und möchte die Motive wie die Wege dieser Umbildung kennenlernen. In dieser Absicht wird er sich gerne in die Entwicklungsgeschichte wie in die Einzelheiten des Wahnes vertiefen.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i/>
          <w:iCs/>
          <w:lang w:val="en-US" w:eastAsia="fr-FR"/>
        </w:rPr>
        <w:t>a)</w:t>
      </w:r>
      <w:r w:rsidRPr="00405E14">
        <w:rPr>
          <w:rFonts w:ascii="Garamond" w:eastAsia="Times New Roman" w:hAnsi="Garamond" w:cs="Times New Roman"/>
          <w:lang w:val="en-US" w:eastAsia="fr-FR"/>
        </w:rPr>
        <w:t xml:space="preserve"> Als die beiden Hauptpunkte werden vom ärztlichen Begutachter die </w:t>
      </w:r>
      <w:r w:rsidRPr="00405E14">
        <w:rPr>
          <w:rFonts w:ascii="Garamond" w:eastAsia="Times New Roman" w:hAnsi="Garamond" w:cs="Times New Roman"/>
          <w:i/>
          <w:iCs/>
          <w:lang w:val="en-US" w:eastAsia="fr-FR"/>
        </w:rPr>
        <w:t>Erlöserrolle</w:t>
      </w:r>
      <w:r w:rsidRPr="00405E14">
        <w:rPr>
          <w:rFonts w:ascii="Garamond" w:eastAsia="Times New Roman" w:hAnsi="Garamond" w:cs="Times New Roman"/>
          <w:lang w:val="en-US" w:eastAsia="fr-FR"/>
        </w:rPr>
        <w:t xml:space="preserve"> und die </w:t>
      </w:r>
      <w:r w:rsidRPr="00405E14">
        <w:rPr>
          <w:rFonts w:ascii="Garamond" w:eastAsia="Times New Roman" w:hAnsi="Garamond" w:cs="Times New Roman"/>
          <w:i/>
          <w:iCs/>
          <w:lang w:val="en-US" w:eastAsia="fr-FR"/>
        </w:rPr>
        <w:t>Verwandlung zum Weibe</w:t>
      </w:r>
      <w:r w:rsidRPr="00405E14">
        <w:rPr>
          <w:rFonts w:ascii="Garamond" w:eastAsia="Times New Roman" w:hAnsi="Garamond" w:cs="Times New Roman"/>
          <w:lang w:val="en-US" w:eastAsia="fr-FR"/>
        </w:rPr>
        <w:t xml:space="preserve"> hervorgehoben. Der Erlöserwahn ist eine uns vertraute Phantasie, er bildet so häufig den Kern der religiösen Paranoia. Der Zusatz, daß die Erlösung durch die Verwandlung des Mannes in ein Weib erfolgen müsse, ist ungewöhnlich und an sich befremdend, da er sich weit von dem historischen Mythos entfernt, den die Phantasie des Kranken reproduzieren will. Es liegt nahe, mit dem ärztlichen Gutachten anzunehmen, daß der Ehrgeiz, den Erlöser zu spielen, das Treibende dieses Wahnkomplexes sei, wobei die </w:t>
      </w:r>
      <w:r w:rsidRPr="00405E14">
        <w:rPr>
          <w:rFonts w:ascii="Garamond" w:eastAsia="Times New Roman" w:hAnsi="Garamond" w:cs="Times New Roman"/>
          <w:i/>
          <w:iCs/>
          <w:lang w:val="en-US" w:eastAsia="fr-FR"/>
        </w:rPr>
        <w:t>Entmannung</w:t>
      </w:r>
      <w:r w:rsidRPr="00405E14">
        <w:rPr>
          <w:rFonts w:ascii="Garamond" w:eastAsia="Times New Roman" w:hAnsi="Garamond" w:cs="Times New Roman"/>
          <w:lang w:val="en-US" w:eastAsia="fr-FR"/>
        </w:rPr>
        <w:t xml:space="preserve"> nur die Bedeutung eines Mittels zu diesem Zweck in Anspruch nehmen könne. Mag sich dies auch in der endgültigen Gestaltung des Wahnes so darstellen, so wird uns doch durch das Studium der </w:t>
      </w:r>
      <w:r w:rsidRPr="00405E14">
        <w:rPr>
          <w:rFonts w:ascii="Garamond" w:eastAsia="Times New Roman" w:hAnsi="Garamond" w:cs="Times New Roman"/>
          <w:i/>
          <w:iCs/>
          <w:lang w:val="en-US" w:eastAsia="fr-FR"/>
        </w:rPr>
        <w:t>Denkwürdigkeiten</w:t>
      </w:r>
      <w:r w:rsidRPr="00405E14">
        <w:rPr>
          <w:rFonts w:ascii="Garamond" w:eastAsia="Times New Roman" w:hAnsi="Garamond" w:cs="Times New Roman"/>
          <w:lang w:val="en-US" w:eastAsia="fr-FR"/>
        </w:rPr>
        <w:t xml:space="preserve"> eine ganz andere Auffassung aufgenötigt. Wir erfahren, daß die Verwandlung in ein Weib (Entmannung) der primäre Wahn war, daß sie zunächst als ein Akt schwerer Beeinträchtigung und Verfolgung beurteilt wurde und daß sie erst sekundär in Beziehung zur Erlöserrolle trat. Auch wird es unzweifelhaft, daß sie zuerst zum Zwecke sexuellen Mißbrauches und nicht im Dienste höherer Absichten erfolgen sollte. Formal ausgedrückt, ein sexueller Verfolgungswahn hat sich dem Patienten nachträglich zum religiösen Größenwahn umgebildet. Als Verfolger galt zuerst der behandelnde Arzt Prof. Flechsig, später trat Gott selbst an dessen Stelle.</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Ich setze die beweisenden Stellen aus den </w:t>
      </w:r>
      <w:r w:rsidRPr="00405E14">
        <w:rPr>
          <w:rFonts w:ascii="Garamond" w:eastAsia="Times New Roman" w:hAnsi="Garamond" w:cs="Times New Roman"/>
          <w:i/>
          <w:iCs/>
          <w:lang w:val="en-US" w:eastAsia="fr-FR"/>
        </w:rPr>
        <w:t>Denkwürdigkeiten</w:t>
      </w:r>
      <w:r w:rsidRPr="00405E14">
        <w:rPr>
          <w:rFonts w:ascii="Garamond" w:eastAsia="Times New Roman" w:hAnsi="Garamond" w:cs="Times New Roman"/>
          <w:lang w:val="en-US" w:eastAsia="fr-FR"/>
        </w:rPr>
        <w:t xml:space="preserve"> ungekürzt hierher: »Auf diese Weise wurde ein gegen mich gerichtetes Komplott fertig (etwa im März oder April 1894), welches dahin ging, nach einmal erkannter oder angenommener Unheilbarkeit meiner Nervenkrankheit mich einem Menschen in der Weise auszuliefern, daß meine Seele demselben überlassen, mein Körper aber – in mißverständlicher Auffassung der oben bezeichneten, der Weltordnung zugrunde liegenden Tendenz – in einen weiblichen Körper verwandelt, als solcher dem betreffenden Menschen </w:t>
      </w:r>
      <w:hyperlink r:id="rId1191" w:history="1">
        <w:r w:rsidRPr="00405E14">
          <w:rPr>
            <w:rFonts w:ascii="Garamond" w:eastAsia="Times New Roman" w:hAnsi="Garamond" w:cs="Times New Roman"/>
            <w:u w:val="single"/>
            <w:lang w:val="en-US" w:eastAsia="fr-FR"/>
          </w:rPr>
          <w:t xml:space="preserve">[Fußnote]Es geht aus dem Zusammenhange </w:t>
        </w:r>
        <w:r w:rsidRPr="00405E14">
          <w:rPr>
            <w:rFonts w:ascii="Garamond" w:eastAsia="Times New Roman" w:hAnsi="Garamond" w:cs="Times New Roman"/>
            <w:u w:val="single"/>
            <w:lang w:val="en-US" w:eastAsia="fr-FR"/>
          </w:rPr>
          <w:lastRenderedPageBreak/>
          <w:t>dieser und anderer Stellen hervor, daß der betreffende Mensch, von dem der Mißbrauch geübt werden sollte, kein anderer als Flechsig ist (vgl. unten).</w:t>
        </w:r>
      </w:hyperlink>
      <w:r w:rsidRPr="00405E14">
        <w:rPr>
          <w:rFonts w:ascii="Garamond" w:eastAsia="Times New Roman" w:hAnsi="Garamond" w:cs="Times New Roman"/>
          <w:lang w:val="en-US" w:eastAsia="fr-FR"/>
        </w:rPr>
        <w:t xml:space="preserve"> zum geschlechtlichen Mißbrauch überlassen und dann einfach ›liegengelassen‹, also wohl der Verwesung anheimgegeben werden sollte.«</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(S. 59): »Dabei war es vom menschlichen Gesichtspunkte aus, der mich damals noch vorzugsweise beherrschte, wohl durchaus natürlich, daß ich meinen eigentlichen Feind immer nur in Professor Flechsig oder dessen Seele erblickte (später kam noch die v. W.sche Seele hinzu, worüber weiter unten das Nähere) und Gottes Allmacht als meine natürliche Bundesgenossin betrachtete, die ich nur dem Professor Flechsig gegenüber in einer Notlage wähnte und deshalb mit allen erdenklichen Mitteln bis zur Selbstaufopferung unterstützen zu müssen glaubte. Daß Gott selbst der Mitwisser, wenn nicht gar der Anstifter des auf den an mir zu verübenden Seelenmord und die Preisgabe meines Körpers als weibliche Dirne gerichteten Planes gewesen sei, ist ein Gedanke, der sich mir erst sehr viel später aufgedrängt hat, ja zum Teil, wie ich sagen darf, mir erst während der Niederschrift des gegenwärtigen Aufsatzes zu klarem Bewußtsein gekommen ist.«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(S. 61): »Alle auf Verübung eines Seelenmords, auf Entmannung zu </w:t>
      </w:r>
      <w:r w:rsidRPr="00405E14">
        <w:rPr>
          <w:rFonts w:ascii="Garamond" w:eastAsia="Times New Roman" w:hAnsi="Garamond" w:cs="Times New Roman"/>
          <w:i/>
          <w:iCs/>
          <w:lang w:val="en-US" w:eastAsia="fr-FR"/>
        </w:rPr>
        <w:t>weltordnungswidrigen</w:t>
      </w:r>
      <w:r w:rsidRPr="00405E14">
        <w:rPr>
          <w:rFonts w:ascii="Garamond" w:eastAsia="Times New Roman" w:hAnsi="Garamond" w:cs="Times New Roman"/>
          <w:lang w:val="en-US" w:eastAsia="fr-FR"/>
        </w:rPr>
        <w:t xml:space="preserve"> Zwecken34 (d. h. zur Befriedigung der geschlechtlichen Begierde eines Menschen) und später auf Zerstörung meines Verstandes gerichteten Versuche sind gescheitert. Ich gehe aus dem anscheinend so ungleichen Kampfe eines einzelnen schwachen Menschen mit Gott selbst, wenn schon nach manchen bitteren Leiden und Entbehrungen, als Sieger hervor, weil die Weltordnung auf meiner Seite steht.«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In der Anmerkung 34 wird dann die spätere Umgestaltung des Entmannungswahnes und des Verhältnisses zu Gott angekündigt: »Daß eine Entmannung zu einem anderen – weltordnungs </w:t>
      </w:r>
      <w:r w:rsidRPr="00405E14">
        <w:rPr>
          <w:rFonts w:ascii="Garamond" w:eastAsia="Times New Roman" w:hAnsi="Garamond" w:cs="Times New Roman"/>
          <w:i/>
          <w:iCs/>
          <w:lang w:val="en-US" w:eastAsia="fr-FR"/>
        </w:rPr>
        <w:t>mäßigen</w:t>
      </w:r>
      <w:r w:rsidRPr="00405E14">
        <w:rPr>
          <w:rFonts w:ascii="Garamond" w:eastAsia="Times New Roman" w:hAnsi="Garamond" w:cs="Times New Roman"/>
          <w:lang w:val="en-US" w:eastAsia="fr-FR"/>
        </w:rPr>
        <w:t xml:space="preserve"> Zweck im Bereiche der Möglichkeit liegt, ja sogar vielleicht die wahrscheinliche Lösung des Konfliktes enthält, wird später noch ausgeführt werden.«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Diese Äußerungen sind entscheidend für die Auffassung des Entmannungswahnes und somit für das Verständnis des Falles überhaupt. Fügen wir hinzu, daß die »Stimmen«, die der Patient hörte, die Umwandlung in ein Weib nie anders denn als eine sexuelle Schmach behandelten, wegen welcher sie den Kranken höhnen durften. »Gottesstrahlen </w:t>
      </w:r>
      <w:hyperlink r:id="rId1192" w:history="1">
        <w:r w:rsidRPr="00405E14">
          <w:rPr>
            <w:rFonts w:ascii="Garamond" w:eastAsia="Times New Roman" w:hAnsi="Garamond" w:cs="Times New Roman"/>
            <w:u w:val="single"/>
            <w:lang w:val="en-US" w:eastAsia="fr-FR"/>
          </w:rPr>
          <w:t>[Fußnote]Die »Gottesstrahlen« sind, wie sich ergeben wird, identisch mit den in der »Grundsprache« redenden Stimmen.</w:t>
        </w:r>
      </w:hyperlink>
      <w:r w:rsidRPr="00405E14">
        <w:rPr>
          <w:rFonts w:ascii="Garamond" w:eastAsia="Times New Roman" w:hAnsi="Garamond" w:cs="Times New Roman"/>
          <w:lang w:val="en-US" w:eastAsia="fr-FR"/>
        </w:rPr>
        <w:t xml:space="preserve"> glaubten mich nicht selten mit Rücksicht auf die angeblich bevorstehende Entmannung als › </w:t>
      </w:r>
      <w:r w:rsidRPr="00405E14">
        <w:rPr>
          <w:rFonts w:ascii="Garamond" w:eastAsia="Times New Roman" w:hAnsi="Garamond" w:cs="Times New Roman"/>
          <w:i/>
          <w:iCs/>
          <w:lang w:val="en-US" w:eastAsia="fr-FR"/>
        </w:rPr>
        <w:t>Miss Schreber</w:t>
      </w:r>
      <w:r w:rsidRPr="00405E14">
        <w:rPr>
          <w:rFonts w:ascii="Garamond" w:eastAsia="Times New Roman" w:hAnsi="Garamond" w:cs="Times New Roman"/>
          <w:lang w:val="en-US" w:eastAsia="fr-FR"/>
        </w:rPr>
        <w:t xml:space="preserve">‹ verhöhnen zu dürfen.« (S. 127.) – »Das will ein Senatspräsident gewesen ein, der sich f . . . </w:t>
      </w:r>
      <w:hyperlink r:id="rId1193" w:history="1">
        <w:r w:rsidRPr="00405E14">
          <w:rPr>
            <w:rFonts w:ascii="Garamond" w:eastAsia="Times New Roman" w:hAnsi="Garamond" w:cs="Times New Roman"/>
            <w:u w:val="single"/>
            <w:lang w:val="en-US" w:eastAsia="fr-FR"/>
          </w:rPr>
          <w:t xml:space="preserve">[Fußnote]Diese Auslassung sowie alle anderen Eigentümlichkeiten der Schreibweise kopiere ich nach den </w:t>
        </w:r>
        <w:r w:rsidRPr="00405E14">
          <w:rPr>
            <w:rFonts w:ascii="Garamond" w:eastAsia="Times New Roman" w:hAnsi="Garamond" w:cs="Times New Roman"/>
            <w:i/>
            <w:iCs/>
            <w:u w:val="single"/>
            <w:lang w:val="en-US" w:eastAsia="fr-FR"/>
          </w:rPr>
          <w:t>Denkwürdigkeiten</w:t>
        </w:r>
        <w:r w:rsidRPr="00405E14">
          <w:rPr>
            <w:rFonts w:ascii="Garamond" w:eastAsia="Times New Roman" w:hAnsi="Garamond" w:cs="Times New Roman"/>
            <w:u w:val="single"/>
            <w:lang w:val="en-US" w:eastAsia="fr-FR"/>
          </w:rPr>
          <w:t>. Ich selbst wüßte kein Motiv, in ernster Sache so schamhaft zu sein.</w:t>
        </w:r>
      </w:hyperlink>
      <w:r w:rsidRPr="00405E14">
        <w:rPr>
          <w:rFonts w:ascii="Garamond" w:eastAsia="Times New Roman" w:hAnsi="Garamond" w:cs="Times New Roman"/>
          <w:lang w:val="en-US" w:eastAsia="fr-FR"/>
        </w:rPr>
        <w:t xml:space="preserve"> läßt?« – »Schämen Sie sich denn nicht vor Ihrer Frau Gemahlin?«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Die primäre Natur der Entmannungsphantasie und ihre anfängliche Unabhängigkeit von der Erlöseridee wird ferner durch die eingangs erwähnte, im Halbschlaf aufgetretene »Vorstellung« bezeugt, daß es schön sein müsse, ein Weib zu sein, das dem Beischlaf unterliege. (S. 36.) Diese Phantasie war in der Inkubationszeit der Erkrankung, noch vor der Einwirkung der Überbürdung in Dresden bewußt worden.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Der Monat November 1895 wird von Schreber selbst als die Zeit hingestellt, in welcher sich der Zusammenhang der Entmannungsphantasie mit der Erlöseridee herstellte und solcherart eine Versöhnung mit der ersteren angebahnt wurde. »Nunmehr aber wurde mir unzweifelhaft bewußt, daß die Weltordnung die Entmannung, möchte sie mir persönlich zusagen oder nicht, gebieterisch verlange und daß mir daher </w:t>
      </w:r>
      <w:r w:rsidRPr="00405E14">
        <w:rPr>
          <w:rFonts w:ascii="Garamond" w:eastAsia="Times New Roman" w:hAnsi="Garamond" w:cs="Times New Roman"/>
          <w:i/>
          <w:iCs/>
          <w:lang w:val="en-US" w:eastAsia="fr-FR"/>
        </w:rPr>
        <w:t>aus Vernunftgründen</w:t>
      </w:r>
      <w:r w:rsidRPr="00405E14">
        <w:rPr>
          <w:rFonts w:ascii="Garamond" w:eastAsia="Times New Roman" w:hAnsi="Garamond" w:cs="Times New Roman"/>
          <w:lang w:val="en-US" w:eastAsia="fr-FR"/>
        </w:rPr>
        <w:t xml:space="preserve"> gar nichts anderes übrigbleibe, als mich mit dem Gedanken der Verwandlung in ein Weib zu befreunden. Als weitere Folge der Entmannung konnte natürlich nur eine Befruchtung durch göttliche Strahlen zum Zwecke der Erschaffung neuer Menschen in Betracht kommen.« (S. 177.)</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Die Verwandlung in ein Weib war das </w:t>
      </w:r>
      <w:r w:rsidRPr="00405E14">
        <w:rPr>
          <w:rFonts w:ascii="Garamond" w:eastAsia="Times New Roman" w:hAnsi="Garamond" w:cs="Times New Roman"/>
          <w:i/>
          <w:iCs/>
          <w:lang w:val="en-US" w:eastAsia="fr-FR"/>
        </w:rPr>
        <w:t>punctum saliens</w:t>
      </w:r>
      <w:r w:rsidRPr="00405E14">
        <w:rPr>
          <w:rFonts w:ascii="Garamond" w:eastAsia="Times New Roman" w:hAnsi="Garamond" w:cs="Times New Roman"/>
          <w:lang w:val="en-US" w:eastAsia="fr-FR"/>
        </w:rPr>
        <w:t xml:space="preserve">, der erste Keim der Wahnbildung gewesen; sie erwies sich auch als das einzige Stück, welches die Herstellung überdauerte, und als das einzige, das im wirklichen Handeln des Genesenen seinen Platz zu behaupten wußte. »Das </w:t>
      </w:r>
      <w:r w:rsidRPr="00405E14">
        <w:rPr>
          <w:rFonts w:ascii="Garamond" w:eastAsia="Times New Roman" w:hAnsi="Garamond" w:cs="Times New Roman"/>
          <w:i/>
          <w:iCs/>
          <w:lang w:val="en-US" w:eastAsia="fr-FR"/>
        </w:rPr>
        <w:t>einzige</w:t>
      </w:r>
      <w:r w:rsidRPr="00405E14">
        <w:rPr>
          <w:rFonts w:ascii="Garamond" w:eastAsia="Times New Roman" w:hAnsi="Garamond" w:cs="Times New Roman"/>
          <w:lang w:val="en-US" w:eastAsia="fr-FR"/>
        </w:rPr>
        <w:t xml:space="preserve">, was in den Augen anderer Menschen als etwas Unvernünftiges gelten kann, ist der auch von dem Herrn Sachverständigen berührte Umstand, daß ich zuweilen mit etwas weiblichem Zierat (Bändern, unechten Ketten u. dgl.) bei halb entblößtem Oberkörper vor dem Spiegel stehend oder sonst angetroffen werde. Es geschieht dies übrigens nur </w:t>
      </w:r>
      <w:r w:rsidRPr="00405E14">
        <w:rPr>
          <w:rFonts w:ascii="Garamond" w:eastAsia="Times New Roman" w:hAnsi="Garamond" w:cs="Times New Roman"/>
          <w:i/>
          <w:iCs/>
          <w:lang w:val="en-US" w:eastAsia="fr-FR"/>
        </w:rPr>
        <w:t>im Alleinsein</w:t>
      </w:r>
      <w:r w:rsidRPr="00405E14">
        <w:rPr>
          <w:rFonts w:ascii="Garamond" w:eastAsia="Times New Roman" w:hAnsi="Garamond" w:cs="Times New Roman"/>
          <w:lang w:val="en-US" w:eastAsia="fr-FR"/>
        </w:rPr>
        <w:t xml:space="preserve">, niemals, wenigstens soweit ich es vermeiden kann, zu Angesicht anderer Personen.« (S. 429.) Diese Spielereien gestand der Herr Senatspräsident zu einer Zeit ein (Juli 1901), da er für seine wiedergewonnene praktische Gesundheit den treffenden Ausdruck fand: »Jetzt weiß ich schon längst, daß die Personen, die ich vor mir sehe, nicht ›flüchtig hingemachte Männer‹, sondern wirkliche Menschen sind und daß ich mich daher ihnen gegenüber so zu verhalten habe, wie ein vernünftiger Mensch im Verkehr mit anderen Menschen zu tun pflegt.« (S. 409.) Im Gegensatz zu dieser Betätigung der Entmannungsphantasie hat der Kranke für die Anerkennung seiner Erlösermission nie etwas anderes unternommen als eben die Veröffentlichung seiner </w:t>
      </w:r>
      <w:r w:rsidRPr="00405E14">
        <w:rPr>
          <w:rFonts w:ascii="Garamond" w:eastAsia="Times New Roman" w:hAnsi="Garamond" w:cs="Times New Roman"/>
          <w:i/>
          <w:iCs/>
          <w:lang w:val="en-US" w:eastAsia="fr-FR"/>
        </w:rPr>
        <w:t>Denkwürdigkeiten</w:t>
      </w:r>
      <w:r w:rsidRPr="00405E14">
        <w:rPr>
          <w:rFonts w:ascii="Garamond" w:eastAsia="Times New Roman" w:hAnsi="Garamond" w:cs="Times New Roman"/>
          <w:lang w:val="en-US" w:eastAsia="fr-FR"/>
        </w:rPr>
        <w: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i/>
          <w:iCs/>
          <w:lang w:val="en-US" w:eastAsia="fr-FR"/>
        </w:rPr>
        <w:lastRenderedPageBreak/>
        <w:t>b)</w:t>
      </w:r>
      <w:r w:rsidRPr="00405E14">
        <w:rPr>
          <w:rFonts w:ascii="Garamond" w:eastAsia="Times New Roman" w:hAnsi="Garamond" w:cs="Times New Roman"/>
          <w:lang w:val="en-US" w:eastAsia="fr-FR"/>
        </w:rPr>
        <w:t xml:space="preserve"> Das Verhältnis unseres Kranken zu </w:t>
      </w:r>
      <w:r w:rsidRPr="00405E14">
        <w:rPr>
          <w:rFonts w:ascii="Garamond" w:eastAsia="Times New Roman" w:hAnsi="Garamond" w:cs="Times New Roman"/>
          <w:i/>
          <w:iCs/>
          <w:lang w:val="en-US" w:eastAsia="fr-FR"/>
        </w:rPr>
        <w:t>Gott</w:t>
      </w:r>
      <w:r w:rsidRPr="00405E14">
        <w:rPr>
          <w:rFonts w:ascii="Garamond" w:eastAsia="Times New Roman" w:hAnsi="Garamond" w:cs="Times New Roman"/>
          <w:lang w:val="en-US" w:eastAsia="fr-FR"/>
        </w:rPr>
        <w:t xml:space="preserve"> ist so sonderbar und von einander widersprechenden Bestimmungen erfüllt, daß ein gutes Stück Zuversicht dazu gehört, wenn man an der Erwartung festhält, daß in diesem »Wahnsinn« doch »Methode« zu finden sei. Wir müssen uns nun mit Hilfe der Äußerungen in den </w:t>
      </w:r>
      <w:r w:rsidRPr="00405E14">
        <w:rPr>
          <w:rFonts w:ascii="Garamond" w:eastAsia="Times New Roman" w:hAnsi="Garamond" w:cs="Times New Roman"/>
          <w:i/>
          <w:iCs/>
          <w:lang w:val="en-US" w:eastAsia="fr-FR"/>
        </w:rPr>
        <w:t>Denkwürdigkeiten</w:t>
      </w:r>
      <w:r w:rsidRPr="00405E14">
        <w:rPr>
          <w:rFonts w:ascii="Garamond" w:eastAsia="Times New Roman" w:hAnsi="Garamond" w:cs="Times New Roman"/>
          <w:lang w:val="en-US" w:eastAsia="fr-FR"/>
        </w:rPr>
        <w:t xml:space="preserve"> über das theologisch-psychologische System des Dr. Schreber genauere Orientierung schaffen und seine Ansichten über die </w:t>
      </w:r>
      <w:r w:rsidRPr="00405E14">
        <w:rPr>
          <w:rFonts w:ascii="Garamond" w:eastAsia="Times New Roman" w:hAnsi="Garamond" w:cs="Times New Roman"/>
          <w:i/>
          <w:iCs/>
          <w:lang w:val="en-US" w:eastAsia="fr-FR"/>
        </w:rPr>
        <w:t>Nerven</w:t>
      </w:r>
      <w:r w:rsidRPr="00405E14">
        <w:rPr>
          <w:rFonts w:ascii="Garamond" w:eastAsia="Times New Roman" w:hAnsi="Garamond" w:cs="Times New Roman"/>
          <w:lang w:val="en-US" w:eastAsia="fr-FR"/>
        </w:rPr>
        <w:t xml:space="preserve">, die </w:t>
      </w:r>
      <w:r w:rsidRPr="00405E14">
        <w:rPr>
          <w:rFonts w:ascii="Garamond" w:eastAsia="Times New Roman" w:hAnsi="Garamond" w:cs="Times New Roman"/>
          <w:i/>
          <w:iCs/>
          <w:lang w:val="en-US" w:eastAsia="fr-FR"/>
        </w:rPr>
        <w:t>Seligkeit</w:t>
      </w:r>
      <w:r w:rsidRPr="00405E14">
        <w:rPr>
          <w:rFonts w:ascii="Garamond" w:eastAsia="Times New Roman" w:hAnsi="Garamond" w:cs="Times New Roman"/>
          <w:lang w:val="en-US" w:eastAsia="fr-FR"/>
        </w:rPr>
        <w:t xml:space="preserve">, die </w:t>
      </w:r>
      <w:r w:rsidRPr="00405E14">
        <w:rPr>
          <w:rFonts w:ascii="Garamond" w:eastAsia="Times New Roman" w:hAnsi="Garamond" w:cs="Times New Roman"/>
          <w:i/>
          <w:iCs/>
          <w:lang w:val="en-US" w:eastAsia="fr-FR"/>
        </w:rPr>
        <w:t>göttliche Hierarchie</w:t>
      </w:r>
      <w:r w:rsidRPr="00405E14">
        <w:rPr>
          <w:rFonts w:ascii="Garamond" w:eastAsia="Times New Roman" w:hAnsi="Garamond" w:cs="Times New Roman"/>
          <w:lang w:val="en-US" w:eastAsia="fr-FR"/>
        </w:rPr>
        <w:t xml:space="preserve"> und die </w:t>
      </w:r>
      <w:r w:rsidRPr="00405E14">
        <w:rPr>
          <w:rFonts w:ascii="Garamond" w:eastAsia="Times New Roman" w:hAnsi="Garamond" w:cs="Times New Roman"/>
          <w:i/>
          <w:iCs/>
          <w:lang w:val="en-US" w:eastAsia="fr-FR"/>
        </w:rPr>
        <w:t>Eigenschaften Gottes</w:t>
      </w:r>
      <w:r w:rsidRPr="00405E14">
        <w:rPr>
          <w:rFonts w:ascii="Garamond" w:eastAsia="Times New Roman" w:hAnsi="Garamond" w:cs="Times New Roman"/>
          <w:lang w:val="en-US" w:eastAsia="fr-FR"/>
        </w:rPr>
        <w:t xml:space="preserve"> in ihrem scheinbaren (wahnhaften) Zusammenhange darlegen. In allen Stücken der Theorie fällt die merkwürdige Mischung von Plattem und Geistreichem, von geborgten und originellen Elementen auf.</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Die menschliche Seele ist in den </w:t>
      </w:r>
      <w:r w:rsidRPr="00405E14">
        <w:rPr>
          <w:rFonts w:ascii="Garamond" w:eastAsia="Times New Roman" w:hAnsi="Garamond" w:cs="Times New Roman"/>
          <w:i/>
          <w:iCs/>
          <w:lang w:val="en-US" w:eastAsia="fr-FR"/>
        </w:rPr>
        <w:t>Nerven</w:t>
      </w:r>
      <w:r w:rsidRPr="00405E14">
        <w:rPr>
          <w:rFonts w:ascii="Garamond" w:eastAsia="Times New Roman" w:hAnsi="Garamond" w:cs="Times New Roman"/>
          <w:lang w:val="en-US" w:eastAsia="fr-FR"/>
        </w:rPr>
        <w:t xml:space="preserve"> des Körpers enthalten, die als Gebilde von außerordentlicher Feinheit – den feinsten Zwirnfäden vergleichbar – vorzustellen sind. Einige dieser Nerven sind nur zur Aufnahme sinnlicher Wahrnehmungen geeignet, andere ( </w:t>
      </w:r>
      <w:r w:rsidRPr="00405E14">
        <w:rPr>
          <w:rFonts w:ascii="Garamond" w:eastAsia="Times New Roman" w:hAnsi="Garamond" w:cs="Times New Roman"/>
          <w:i/>
          <w:iCs/>
          <w:lang w:val="en-US" w:eastAsia="fr-FR"/>
        </w:rPr>
        <w:t>die Verstandesnerven</w:t>
      </w:r>
      <w:r w:rsidRPr="00405E14">
        <w:rPr>
          <w:rFonts w:ascii="Garamond" w:eastAsia="Times New Roman" w:hAnsi="Garamond" w:cs="Times New Roman"/>
          <w:lang w:val="en-US" w:eastAsia="fr-FR"/>
        </w:rPr>
        <w:t xml:space="preserve">) leisten alles Psychische, wobei das Verhältnis stattfindet, daß </w:t>
      </w:r>
      <w:r w:rsidRPr="00405E14">
        <w:rPr>
          <w:rFonts w:ascii="Garamond" w:eastAsia="Times New Roman" w:hAnsi="Garamond" w:cs="Times New Roman"/>
          <w:i/>
          <w:iCs/>
          <w:lang w:val="en-US" w:eastAsia="fr-FR"/>
        </w:rPr>
        <w:t>jeder einzelne Verstandesnerv die gesamte geistige Individualität des Menschen repräsentiert</w:t>
      </w:r>
      <w:r w:rsidRPr="00405E14">
        <w:rPr>
          <w:rFonts w:ascii="Garamond" w:eastAsia="Times New Roman" w:hAnsi="Garamond" w:cs="Times New Roman"/>
          <w:lang w:val="en-US" w:eastAsia="fr-FR"/>
        </w:rPr>
        <w:t xml:space="preserve"> und die größere oder geringere Zahl der vorhandenen Verstandesnerven nur von Einfluß ist auf die Zeitdauer, während deren die Eindrücke festgehalten werden können </w:t>
      </w:r>
      <w:hyperlink r:id="rId1194" w:history="1">
        <w:r w:rsidRPr="00405E14">
          <w:rPr>
            <w:rFonts w:ascii="Garamond" w:eastAsia="Times New Roman" w:hAnsi="Garamond" w:cs="Times New Roman"/>
            <w:u w:val="single"/>
            <w:lang w:val="en-US" w:eastAsia="fr-FR"/>
          </w:rPr>
          <w:t xml:space="preserve">[Fußnote]In der Anmerkung zu dieser von Schreber unterstrichenen Lehre wird deren Brauchbarkeit zur Erklärung der Erblichkeit betont. »Der männliche Samen enthält einen Nerv des Vaters und vereinigt sich mit einem aus dem Leib der Mutter entnommenen Nerven zu einer neuentstehenden Einheit.« (S. 7.) Es ist also hier ein Charakter, den wir dem Spermatozoon zuschreiben müssen, auf die Nerven übertragen worden und dadurch die Herkunft der Schreberschen »Nerven« aus dem sexuellen Vorstellungskreis wahrscheinlich gemacht. In den </w:t>
        </w:r>
        <w:r w:rsidRPr="00405E14">
          <w:rPr>
            <w:rFonts w:ascii="Garamond" w:eastAsia="Times New Roman" w:hAnsi="Garamond" w:cs="Times New Roman"/>
            <w:i/>
            <w:iCs/>
            <w:u w:val="single"/>
            <w:lang w:val="en-US" w:eastAsia="fr-FR"/>
          </w:rPr>
          <w:t>Denkwürdigkeiten</w:t>
        </w:r>
        <w:r w:rsidRPr="00405E14">
          <w:rPr>
            <w:rFonts w:ascii="Garamond" w:eastAsia="Times New Roman" w:hAnsi="Garamond" w:cs="Times New Roman"/>
            <w:u w:val="single"/>
            <w:lang w:val="en-US" w:eastAsia="fr-FR"/>
          </w:rPr>
          <w:t xml:space="preserve"> trifft es sich nicht so selten, daß eine beiläufige Anmerkung zu einer wahnhaften Lehre den erwünschten Hinweis auf die Genese und somit auf die Bedeutung des Wahnes enthält.</w:t>
        </w:r>
      </w:hyperlink>
      <w:r w:rsidRPr="00405E14">
        <w:rPr>
          <w:rFonts w:ascii="Garamond" w:eastAsia="Times New Roman" w:hAnsi="Garamond" w:cs="Times New Roman"/>
          <w:lang w:val="en-US" w:eastAsia="fr-FR"/>
        </w:rPr>
        <w: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Während die Menschen aus Körper und Nerven bestehen, ist Gott von vornherein nur Nerv. Die Gottesnerven sind jedoch nicht wie im menschlichen Körper in beschränkter Zahl vorhanden, sondern unendlich oder ewig. Sie besitzen alle Eigenschaften der menschlichen Nerven in enorm gesteigertem Maße. In ihrer Fähigkeit zu schaffen, d. h. sich umzusetzen in alle möglichen Dinge der erschaffenen Welt, heißen sie </w:t>
      </w:r>
      <w:r w:rsidRPr="00405E14">
        <w:rPr>
          <w:rFonts w:ascii="Garamond" w:eastAsia="Times New Roman" w:hAnsi="Garamond" w:cs="Times New Roman"/>
          <w:i/>
          <w:iCs/>
          <w:lang w:val="en-US" w:eastAsia="fr-FR"/>
        </w:rPr>
        <w:t>Strahlen</w:t>
      </w:r>
      <w:r w:rsidRPr="00405E14">
        <w:rPr>
          <w:rFonts w:ascii="Garamond" w:eastAsia="Times New Roman" w:hAnsi="Garamond" w:cs="Times New Roman"/>
          <w:lang w:val="en-US" w:eastAsia="fr-FR"/>
        </w:rPr>
        <w:t xml:space="preserve">. Zwischen Gott und dem gestirnten Himmel oder der Sonne besteht eine innige Beziehung </w:t>
      </w:r>
      <w:hyperlink r:id="rId1195" w:history="1">
        <w:r w:rsidRPr="00405E14">
          <w:rPr>
            <w:rFonts w:ascii="Garamond" w:eastAsia="Times New Roman" w:hAnsi="Garamond" w:cs="Times New Roman"/>
            <w:u w:val="single"/>
            <w:lang w:val="en-US" w:eastAsia="fr-FR"/>
          </w:rPr>
          <w:t>[Fußnote]Über diese siehe weiter unten: Sonne. – Die Gleichstellung (oder vielmehr Verdichtung) von Nerven und Strahlen könnte leicht deren lineare Erscheinung zum Gemeinsamen genommen haben. – Die Strahlen-Nerven sind übrigens ebenso schöpferisch wie die Samenfäden-Nerven.</w:t>
        </w:r>
      </w:hyperlink>
      <w:r w:rsidRPr="00405E14">
        <w:rPr>
          <w:rFonts w:ascii="Garamond" w:eastAsia="Times New Roman" w:hAnsi="Garamond" w:cs="Times New Roman"/>
          <w:lang w:val="en-US" w:eastAsia="fr-FR"/>
        </w:rPr>
        <w:t>.</w:t>
      </w:r>
    </w:p>
    <w:p w:rsidR="00822836" w:rsidRPr="00405E14" w:rsidRDefault="00822836" w:rsidP="00822836">
      <w:pPr>
        <w:pStyle w:val="Sansinterligne"/>
        <w:rPr>
          <w:rFonts w:ascii="Garamond" w:eastAsia="Times New Roman" w:hAnsi="Garamond" w:cs="Times New Roman"/>
          <w:lang w:eastAsia="fr-FR"/>
        </w:rPr>
      </w:pPr>
      <w:r w:rsidRPr="00405E14">
        <w:rPr>
          <w:rFonts w:ascii="Garamond" w:eastAsia="Times New Roman" w:hAnsi="Garamond" w:cs="Times New Roman"/>
          <w:lang w:val="en-US" w:eastAsia="fr-FR"/>
        </w:rPr>
        <w:t xml:space="preserve">Nach dem Schöpfungswerk zog sich Gott in ungeheuere Entfernung zurück (S. 11, 252) und überließ die Welt im allgemeinen ihren Gesetzen. Er beschränkte sich darauf, die Seelen Verstorbener zu sich heraufzuziehen. Nur ausnahmsweise mochte er sich mit einzelnen hochbegabten Menschen in Verbindung setzen </w:t>
      </w:r>
      <w:hyperlink r:id="rId1196" w:history="1">
        <w:r w:rsidRPr="00405E14">
          <w:rPr>
            <w:rFonts w:ascii="Garamond" w:eastAsia="Times New Roman" w:hAnsi="Garamond" w:cs="Times New Roman"/>
            <w:u w:val="single"/>
            <w:lang w:val="en-US" w:eastAsia="fr-FR"/>
          </w:rPr>
          <w:t>[Fußnote]Das wird in der »Grundsprache« (s. u.) als »Nervenanhang bei ihnen nehmen« bezeichnet.</w:t>
        </w:r>
      </w:hyperlink>
      <w:r w:rsidRPr="00405E14">
        <w:rPr>
          <w:rFonts w:ascii="Garamond" w:eastAsia="Times New Roman" w:hAnsi="Garamond" w:cs="Times New Roman"/>
          <w:lang w:val="en-US" w:eastAsia="fr-FR"/>
        </w:rPr>
        <w:t xml:space="preserve"> oder mit einem Wunder in die Geschicke der Welt eingreifen. Ein regelmäßiger Verkehr Gottes mit Menschenseelen findet nach der Weltordnung erst nach dem Tode statt </w:t>
      </w:r>
      <w:hyperlink r:id="rId1197" w:history="1">
        <w:r w:rsidRPr="00405E14">
          <w:rPr>
            <w:rFonts w:ascii="Garamond" w:eastAsia="Times New Roman" w:hAnsi="Garamond" w:cs="Times New Roman"/>
            <w:u w:val="single"/>
            <w:lang w:val="en-US" w:eastAsia="fr-FR"/>
          </w:rPr>
          <w:t>[Fußnote]Welche Einwürfe gegen Gott sich hieran knüpfen, werden wir später erfahren.</w:t>
        </w:r>
      </w:hyperlink>
      <w:r w:rsidRPr="00405E14">
        <w:rPr>
          <w:rFonts w:ascii="Garamond" w:eastAsia="Times New Roman" w:hAnsi="Garamond" w:cs="Times New Roman"/>
          <w:lang w:val="en-US" w:eastAsia="fr-FR"/>
        </w:rPr>
        <w:t xml:space="preserve">. Wenn ein Mensch gestorben ist, so werden seine Seelenteile (Nerven) einem Läuterungsverfahren unterworfen, um endlich als »Vorhöfe des Himmels« Gott selbst wieder angegliedert zu werden. Es entsteht so ein ewiger Kreislauf der Dinge, welcher der Weltordnung zugrunde liegt. </w:t>
      </w:r>
      <w:r w:rsidRPr="00405E14">
        <w:rPr>
          <w:rFonts w:ascii="Garamond" w:eastAsia="Times New Roman" w:hAnsi="Garamond" w:cs="Times New Roman"/>
          <w:lang w:eastAsia="fr-FR"/>
        </w:rPr>
        <w:t>Indem Gott etwas schafft, entäußert er sich eines Teiles seiner selbst, gibt einem Teile seiner Nerven eine veränderte Gestalt. Der scheinbar hierdurch entstehende Verlust wird wiederum ersetzt, wenn nach Jahrhunderten und Jahrtausenden die selig gewordenen Nerven verstorbener Menschen als »Vorhöfe des Himmels« ihm wieder zuwachsen.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eastAsia="fr-FR"/>
        </w:rPr>
        <w:t xml:space="preserve">Die durch den Läuterungsprozeß gereinigten Seelen befinden sich im Genusse der </w:t>
      </w:r>
      <w:r w:rsidRPr="00405E14">
        <w:rPr>
          <w:rFonts w:ascii="Garamond" w:eastAsia="Times New Roman" w:hAnsi="Garamond" w:cs="Times New Roman"/>
          <w:i/>
          <w:iCs/>
          <w:lang w:eastAsia="fr-FR"/>
        </w:rPr>
        <w:t>Seligkeit</w:t>
      </w:r>
      <w:hyperlink r:id="rId1198" w:history="1">
        <w:r w:rsidRPr="00405E14">
          <w:rPr>
            <w:rFonts w:ascii="Garamond" w:eastAsia="Times New Roman" w:hAnsi="Garamond" w:cs="Times New Roman"/>
            <w:u w:val="single"/>
            <w:lang w:eastAsia="fr-FR"/>
          </w:rPr>
          <w:t>[Fußnote]Diese besteht wesentlich in einem Wollustgefühl (s. unten).</w:t>
        </w:r>
      </w:hyperlink>
      <w:r w:rsidRPr="00405E14">
        <w:rPr>
          <w:rFonts w:ascii="Garamond" w:eastAsia="Times New Roman" w:hAnsi="Garamond" w:cs="Times New Roman"/>
          <w:lang w:eastAsia="fr-FR"/>
        </w:rPr>
        <w:t xml:space="preserve">, Sie haben unterdes ihr Selbstbewußtsein abgeschwächt und sind mit anderen Seelen zu höheren Einheiten zusammengeschmolzen. Bedeutsame Seelen, wie die eines Goethe, Bismarck u. a., haben ihr Identitätsbewußtsein vielleicht noch durch Jahrhunderte zu bewahren, bis sie selbst in höheren Seelenkomplexen (wie »Jehovastrahlen« für das alte Judentum, »Zoroasterstrahlen« für das Persertum) aufgehen können. Während der Läuterung lernen die Seelen »die von Gott selbst gesprochene Sprache, die sogenannte ›Grundsprache‹, ein etwas altertümliches, aber immerhin kraftvolles Deutsch, das sich namentlich durch einen großen Reichtum an Euphemismen auszeichnete« (S. 13) </w:t>
      </w:r>
      <w:hyperlink r:id="rId1199" w:history="1">
        <w:r w:rsidRPr="00405E14">
          <w:rPr>
            <w:rFonts w:ascii="Garamond" w:eastAsia="Times New Roman" w:hAnsi="Garamond" w:cs="Times New Roman"/>
            <w:u w:val="single"/>
            <w:lang w:eastAsia="fr-FR"/>
          </w:rPr>
          <w:t xml:space="preserve">[Fußnote]Es war dem Patienten ein einziges Mal während seiner Krankheit vergönnt, Gottes Allmacht in ihrer vollständigen Reinheit vor seinem geistigen Auge zu sehen. </w:t>
        </w:r>
        <w:r w:rsidRPr="00405E14">
          <w:rPr>
            <w:rFonts w:ascii="Garamond" w:eastAsia="Times New Roman" w:hAnsi="Garamond" w:cs="Times New Roman"/>
            <w:u w:val="single"/>
            <w:lang w:val="en-US" w:eastAsia="fr-FR"/>
          </w:rPr>
          <w:t>Gott äußerte damals das in der Grundsprache ganz geläufige, kraftvolle, aber nicht freundlich klingende Wort: Luder! (S. 136.)</w:t>
        </w:r>
      </w:hyperlink>
      <w:r w:rsidRPr="00405E14">
        <w:rPr>
          <w:rFonts w:ascii="Garamond" w:eastAsia="Times New Roman" w:hAnsi="Garamond" w:cs="Times New Roman"/>
          <w:lang w:val="en-US" w:eastAsia="fr-FR"/>
        </w:rPr>
        <w: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lastRenderedPageBreak/>
        <w:t xml:space="preserve">Gott selbst ist kein einfaches Wesen. »Über den ›Vorhöfen des Himmels‹ schwebte Gott selbst, dem im Gegensatze zu diesen ›vorderen Gottesreiche‹ auch die Bezeichnung der ›hinteren Gottesreiche‹ gegeben wurde. Die hinteren Gottesreiche unterlagen (und unterliegen noch jetzt) einer eigentümlichen Zweiteilung, nach der ein niederer Gott (Ariman) und ein oberer Gott (Ormuzd) unterschieden wurde.« (S. 19.) Über die nähere Bedeutung dieser Zweiteilung weiß Schreber nichts anderes zu sagen, als daß der niedere Gott sich vorzugsweise den Völkern brünetter Rasse (den Semiten) und der obere den blonden Völkern (Ariern) zugeneigt hat. Doch wird man von menschlicher Erkenntnis in solchen Höhen auch nicht mehr fordern dürfen. Immerhin erfahren wir noch, daß der niedere und der obere Gott »ungeachtet der in gewisser Beziehung vorhandenen Einheit von Gottes Allmacht doch als verschiedene Wesen aufgefaßt werden müssen, die, ein jedes von ihnen, </w:t>
      </w:r>
      <w:r w:rsidRPr="00405E14">
        <w:rPr>
          <w:rFonts w:ascii="Garamond" w:eastAsia="Times New Roman" w:hAnsi="Garamond" w:cs="Times New Roman"/>
          <w:i/>
          <w:iCs/>
          <w:lang w:val="en-US" w:eastAsia="fr-FR"/>
        </w:rPr>
        <w:t>auch im Verhältnis untereinander</w:t>
      </w:r>
      <w:r w:rsidRPr="00405E14">
        <w:rPr>
          <w:rFonts w:ascii="Garamond" w:eastAsia="Times New Roman" w:hAnsi="Garamond" w:cs="Times New Roman"/>
          <w:lang w:val="en-US" w:eastAsia="fr-FR"/>
        </w:rPr>
        <w:t xml:space="preserve">, ihren besonderen Egoismus und ihren besonderen Selbsterhaltungstrieb haben und sich daher immer wechselseitig vorzuschieben trachten« (S. 140, Anm.). Die beiden göttlichen Wesen benahmen sich auch während des akuten Krankheitsstadiums in ganz verschiedener Weise gegen den unglücklichen Schreber </w:t>
      </w:r>
      <w:hyperlink r:id="rId1200" w:history="1">
        <w:r w:rsidRPr="00405E14">
          <w:rPr>
            <w:rFonts w:ascii="Garamond" w:eastAsia="Times New Roman" w:hAnsi="Garamond" w:cs="Times New Roman"/>
            <w:u w:val="single"/>
            <w:lang w:val="en-US" w:eastAsia="fr-FR"/>
          </w:rPr>
          <w:t xml:space="preserve">[Fußnote]Eine Anmerkung (S. 20) läßt erraten, daß eine Stelle in Byrons </w:t>
        </w:r>
        <w:r w:rsidRPr="00405E14">
          <w:rPr>
            <w:rFonts w:ascii="Garamond" w:eastAsia="Times New Roman" w:hAnsi="Garamond" w:cs="Times New Roman"/>
            <w:i/>
            <w:iCs/>
            <w:u w:val="single"/>
            <w:lang w:val="en-US" w:eastAsia="fr-FR"/>
          </w:rPr>
          <w:t>Manfred</w:t>
        </w:r>
        <w:r w:rsidRPr="00405E14">
          <w:rPr>
            <w:rFonts w:ascii="Garamond" w:eastAsia="Times New Roman" w:hAnsi="Garamond" w:cs="Times New Roman"/>
            <w:u w:val="single"/>
            <w:lang w:val="en-US" w:eastAsia="fr-FR"/>
          </w:rPr>
          <w:t xml:space="preserve"> für die Wahl der persischen Gottesnamen den Ausschlag gegeben hat. Wir werden dem Einflusse dieser Dichtung noch ein anderes Mal begegnen.</w:t>
        </w:r>
      </w:hyperlink>
      <w:r w:rsidRPr="00405E14">
        <w:rPr>
          <w:rFonts w:ascii="Garamond" w:eastAsia="Times New Roman" w:hAnsi="Garamond" w:cs="Times New Roman"/>
          <w:lang w:val="en-US" w:eastAsia="fr-FR"/>
        </w:rPr>
        <w: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Der Senatspräsident Schreber war in gesunden Tagen ein Zweifler in religiösen Dingen gewesen (S. 29, 64); er hatte sich zu einem festen Glauben an die Existenz eines persönlichen Gottes nicht aufzuschwingen vermocht. Ja, er zieht aus dieser Tatsache seiner Vorgeschichte ein Argument, um die volle Realität seines Wahnes zu stützen </w:t>
      </w:r>
      <w:hyperlink r:id="rId1201" w:history="1">
        <w:r w:rsidRPr="00405E14">
          <w:rPr>
            <w:rFonts w:ascii="Garamond" w:eastAsia="Times New Roman" w:hAnsi="Garamond" w:cs="Times New Roman"/>
            <w:u w:val="single"/>
            <w:lang w:val="en-US" w:eastAsia="fr-FR"/>
          </w:rPr>
          <w:t xml:space="preserve">[Fußnote]»Daß </w:t>
        </w:r>
        <w:r w:rsidRPr="00405E14">
          <w:rPr>
            <w:rFonts w:ascii="Garamond" w:eastAsia="Times New Roman" w:hAnsi="Garamond" w:cs="Times New Roman"/>
            <w:i/>
            <w:iCs/>
            <w:u w:val="single"/>
            <w:lang w:val="en-US" w:eastAsia="fr-FR"/>
          </w:rPr>
          <w:t>bei mir</w:t>
        </w:r>
        <w:r w:rsidRPr="00405E14">
          <w:rPr>
            <w:rFonts w:ascii="Garamond" w:eastAsia="Times New Roman" w:hAnsi="Garamond" w:cs="Times New Roman"/>
            <w:u w:val="single"/>
            <w:lang w:val="en-US" w:eastAsia="fr-FR"/>
          </w:rPr>
          <w:t xml:space="preserve"> bloße Sinnestäuschungen vorliegen sollen, erscheint mir schon von vornherein psychologisch undenkbar. Denn die Sinnestäuschung, mit Gott oder abgeschiedenen Seelen in Verkehr zu stehen, kann doch füglich nur in solchen Menschen entstehen, die in ihren krankhaft erregten Nervenzustand bereits einen sicheren Glauben an Gott und an die Unsterblichkeit der Seele mitgebracht haben. </w:t>
        </w:r>
        <w:r w:rsidRPr="00405E14">
          <w:rPr>
            <w:rFonts w:ascii="Garamond" w:eastAsia="Times New Roman" w:hAnsi="Garamond" w:cs="Times New Roman"/>
            <w:i/>
            <w:iCs/>
            <w:u w:val="single"/>
            <w:lang w:val="en-US" w:eastAsia="fr-FR"/>
          </w:rPr>
          <w:t>Dies ist aber bei mir nach dem im Eingang dieses Kapitels Erwähnten gar nicht der Fall gewesen.</w:t>
        </w:r>
        <w:r w:rsidRPr="00405E14">
          <w:rPr>
            <w:rFonts w:ascii="Garamond" w:eastAsia="Times New Roman" w:hAnsi="Garamond" w:cs="Times New Roman"/>
            <w:u w:val="single"/>
            <w:lang w:val="en-US" w:eastAsia="fr-FR"/>
          </w:rPr>
          <w:t>« (S. 79.)</w:t>
        </w:r>
      </w:hyperlink>
      <w:r w:rsidRPr="00405E14">
        <w:rPr>
          <w:rFonts w:ascii="Garamond" w:eastAsia="Times New Roman" w:hAnsi="Garamond" w:cs="Times New Roman"/>
          <w:lang w:val="en-US" w:eastAsia="fr-FR"/>
        </w:rPr>
        <w:t>. Wer aber das Folgende über die Charaktereigenschaften des Schreberschen Gottes erfährt, wird sagen müssen, daß die durch die paranoische Erkrankung erzeugte Umwandlung keine sehr gründliche war und daß in dem nunmehrigen Erlöser noch viel vom vormaligen Zweifler übriggeblieben ist.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Die Weltordnung hat nämlich eine Lücke, infolge deren die Existenz Gottes selbst gefährdet erscheint. Vermöge eines nicht näher aufzuklärenden Zusammenhanges üben die Nerven </w:t>
      </w:r>
      <w:r w:rsidRPr="00405E14">
        <w:rPr>
          <w:rFonts w:ascii="Garamond" w:eastAsia="Times New Roman" w:hAnsi="Garamond" w:cs="Times New Roman"/>
          <w:i/>
          <w:iCs/>
          <w:lang w:val="en-US" w:eastAsia="fr-FR"/>
        </w:rPr>
        <w:t>lebender</w:t>
      </w:r>
      <w:r w:rsidRPr="00405E14">
        <w:rPr>
          <w:rFonts w:ascii="Garamond" w:eastAsia="Times New Roman" w:hAnsi="Garamond" w:cs="Times New Roman"/>
          <w:lang w:val="en-US" w:eastAsia="fr-FR"/>
        </w:rPr>
        <w:t xml:space="preserve"> Menschen, namentlich im Zustand </w:t>
      </w:r>
      <w:r w:rsidRPr="00405E14">
        <w:rPr>
          <w:rFonts w:ascii="Garamond" w:eastAsia="Times New Roman" w:hAnsi="Garamond" w:cs="Times New Roman"/>
          <w:i/>
          <w:iCs/>
          <w:lang w:val="en-US" w:eastAsia="fr-FR"/>
        </w:rPr>
        <w:t>einer hochgradigen Erregung</w:t>
      </w:r>
      <w:r w:rsidRPr="00405E14">
        <w:rPr>
          <w:rFonts w:ascii="Garamond" w:eastAsia="Times New Roman" w:hAnsi="Garamond" w:cs="Times New Roman"/>
          <w:lang w:val="en-US" w:eastAsia="fr-FR"/>
        </w:rPr>
        <w:t xml:space="preserve">, eine derartige Anziehung auf die Gottesnerven aus, daß Gott nicht wieder von ihnen loskommen kann, also in seiner eigenen Existenz bedroht ist (S. 11). Dieser außerordentlich seltene Fall ereignete sich nun bei Schreber und hatte die größten Leiden für ihn zur Folge. Gottes Selbsterhaltungstrieb wurde dadurch regegemacht (S. 30), und es ergab sich, daß Gott von der Vollkommenheit, die ihm die Religionen beilegen, weit entfernt ist. Durch das ganze Buch Schrebers zieht sich die bittere Anklage, daß Gott, nur an den Verkehr mit Verstorbenen gewöhnt, </w:t>
      </w:r>
      <w:r w:rsidRPr="00405E14">
        <w:rPr>
          <w:rFonts w:ascii="Garamond" w:eastAsia="Times New Roman" w:hAnsi="Garamond" w:cs="Times New Roman"/>
          <w:i/>
          <w:iCs/>
          <w:lang w:val="en-US" w:eastAsia="fr-FR"/>
        </w:rPr>
        <w:t>den lebenden Menschen nicht versteht</w:t>
      </w:r>
      <w:r w:rsidRPr="00405E14">
        <w:rPr>
          <w:rFonts w:ascii="Garamond" w:eastAsia="Times New Roman" w:hAnsi="Garamond" w:cs="Times New Roman"/>
          <w:lang w:val="en-US" w:eastAsia="fr-FR"/>
        </w:rPr>
        <w: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(S. 55): »Dabei waltet nun aber </w:t>
      </w:r>
      <w:r w:rsidRPr="00405E14">
        <w:rPr>
          <w:rFonts w:ascii="Garamond" w:eastAsia="Times New Roman" w:hAnsi="Garamond" w:cs="Times New Roman"/>
          <w:i/>
          <w:iCs/>
          <w:lang w:val="en-US" w:eastAsia="fr-FR"/>
        </w:rPr>
        <w:t>ein fundamentales Mißverständnis</w:t>
      </w:r>
      <w:r w:rsidRPr="00405E14">
        <w:rPr>
          <w:rFonts w:ascii="Garamond" w:eastAsia="Times New Roman" w:hAnsi="Garamond" w:cs="Times New Roman"/>
          <w:lang w:val="en-US" w:eastAsia="fr-FR"/>
        </w:rPr>
        <w:t xml:space="preserve"> ob, welches sich seitdem wie ein roter Faden durch mein ganzes Leben hindurchzieht und welches eben darauf beruht, daß </w:t>
      </w:r>
      <w:r w:rsidRPr="00405E14">
        <w:rPr>
          <w:rFonts w:ascii="Garamond" w:eastAsia="Times New Roman" w:hAnsi="Garamond" w:cs="Times New Roman"/>
          <w:i/>
          <w:iCs/>
          <w:lang w:val="en-US" w:eastAsia="fr-FR"/>
        </w:rPr>
        <w:t>Gott nach der Weltordnung den lebenden Menschen eigentlich nicht kannte</w:t>
      </w:r>
      <w:r w:rsidRPr="00405E14">
        <w:rPr>
          <w:rFonts w:ascii="Garamond" w:eastAsia="Times New Roman" w:hAnsi="Garamond" w:cs="Times New Roman"/>
          <w:lang w:val="en-US" w:eastAsia="fr-FR"/>
        </w:rPr>
        <w:t xml:space="preserve"> und nicht zu kennen brauchte, sondern weltordnungsgemäß nur mit Leichen zu verkehren hatte.« (S. 141.) – »Daß . . ., muß nach meiner Überzeugung wiederum damit in Zusammenhang gebracht werden, daß Gott mit dem lebenden Menschen sozusagen nicht umzugehen wußte, sondern nur den Verkehr mit Leichen oder allenfalls mit dem im Schlaf daliegenden (träumenden) Menschen gewöhnt war.« (S. 246.) – » </w:t>
      </w:r>
      <w:r w:rsidRPr="00405E14">
        <w:rPr>
          <w:rFonts w:ascii="Garamond" w:eastAsia="Times New Roman" w:hAnsi="Garamond" w:cs="Times New Roman"/>
          <w:i/>
          <w:iCs/>
          <w:lang w:val="en-US" w:eastAsia="fr-FR"/>
        </w:rPr>
        <w:t>Incredibile scriptu</w:t>
      </w:r>
      <w:r w:rsidRPr="00405E14">
        <w:rPr>
          <w:rFonts w:ascii="Garamond" w:eastAsia="Times New Roman" w:hAnsi="Garamond" w:cs="Times New Roman"/>
          <w:lang w:val="en-US" w:eastAsia="fr-FR"/>
        </w:rPr>
        <w:t>, möchte ich selbst hinzufügen, und doch ist alles tatsächlich wahr, so wenig andere Menschen den Gedanken einer so totalen Unfähigkeit Gottes, den lebenden Menschen richtig zu beurteilen, werden fassen können, und so langer Zeit es auch für mich bedurft hat, um mich an diesen Gedanken nach den unzähligen hierüber gemachten Beobachtungen zu gewöhnen.«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Allein infolge dieses Mißverständnisses Gottes für den lebenden Menschen konnte es geschehen, daß Gott selbst der Anstifter des gegen Schreber gerichteten Komplottes wurde, daß Gott ihn für blödsinnig hielt und ihm die beschwerlichsten Prüfungen auferlegte (S. 264). Er unterwarf sich einem höchst lästigen »Denkzwange«, um dieser Verurteilung zu entgehen. (S. 206.)»Bei jeder Einstellung meiner Denktätigkeit erachtet Gott augenblicklich meine geistigen Fähigkeiten für erloschen, die von ihm erhoffte Zerstörung des Verstandes (den Blödsinn) für eingetreten und damit die Möglichkeit eines Rückzuges für gegeben.«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Eine besonders heftige Empörung wird durch das Benehmen Gottes in der Sache des Entleerungs- oder Sch . . . dranges hervorgerufen. Die Stelle ist so charakteristisch, daß ich sie ganz zitieren will. Zu ihrem </w:t>
      </w:r>
      <w:r w:rsidRPr="00405E14">
        <w:rPr>
          <w:rFonts w:ascii="Garamond" w:eastAsia="Times New Roman" w:hAnsi="Garamond" w:cs="Times New Roman"/>
          <w:lang w:val="en-US" w:eastAsia="fr-FR"/>
        </w:rPr>
        <w:lastRenderedPageBreak/>
        <w:t>Verständnis schicke ich voraus, daß sowohl die Wunder als auch die Stimmen von Gott (d. h. von den göttlichen Strahlen) ausgehen.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(S. 255): »Wegen ihrer charakteristischen Bedeutung muß ich der oben erwähnten Frage ›Warum sch . . . Sie denn nicht?‹ noch einige Bemerkungen widmen, so wenig dezent auch das Thema ist, das ich dabei zu berühren genötigt bin. Wie alles andere an meinem Körper, wird nämlich auch das Ausleerungsbedürfnis durch Wunder hervorgerufen; es geschieht dies, indem der Kot in den Därmen vorwärts (manchmal auch wieder rückwärts) gedrängt wird und wenn infolge bereits geschehener Ausleerungen genügendes Material nicht mehr vorhanden ist, wenigstens die noch vorhandenen geringen Reste des Darminhalts auf meine Gesäßöffnung geschmiert werden. Es handelt sich dabei um ein Wunder des oberen Gottes, das an jedem Tage mindestens mehrere Dutzende von Malen wiederholt wird. Damit verbindet sich die für Menschen geradezu unbegreifliche und nur aus der völligen Unbekanntschaft Gottes mit dem lebenden Menschen als Organismus erklärliche Vorstellung, daß das ›Sch . . .‹ gewissermaßen das letzte sei, d. h. mit dem Anwundern des Sch . . . dranges das Ziel der Zerstörung des Verstandes erreicht und die Möglichkeit eines endgültigen Rückzuges der Strahlen gegeben sei. Wie mir scheint, muß man, um der Entstehung dieser Vorstellung auf den Grund zu gehen, an das Vorliegen eines Mißverständnisses in betreff der symbolischen Bedeutung des Ausleerungsaktes denken, daß nämlich derjenige, der zu göttlichen Strahlen in ein dem meinigen entsprechendes Verhältnis gekommen ist, gewissermaßen berechtigt sei, auf alle Welt zu sch . . .«</w:t>
      </w:r>
    </w:p>
    <w:p w:rsidR="00822836" w:rsidRPr="00405E14" w:rsidRDefault="00822836" w:rsidP="00822836">
      <w:pPr>
        <w:pStyle w:val="Sansinterligne"/>
        <w:rPr>
          <w:rFonts w:ascii="Garamond" w:eastAsia="Times New Roman" w:hAnsi="Garamond" w:cs="Times New Roman"/>
          <w:lang w:eastAsia="fr-FR"/>
        </w:rPr>
      </w:pPr>
      <w:r w:rsidRPr="00405E14">
        <w:rPr>
          <w:rFonts w:ascii="Garamond" w:eastAsia="Times New Roman" w:hAnsi="Garamond" w:cs="Times New Roman"/>
          <w:lang w:val="en-US" w:eastAsia="fr-FR"/>
        </w:rPr>
        <w:t xml:space="preserve">»Zugleich äußert sich dabei aber auch die ganze Perfidie </w:t>
      </w:r>
      <w:hyperlink r:id="rId1202" w:history="1">
        <w:r w:rsidRPr="00405E14">
          <w:rPr>
            <w:rFonts w:ascii="Garamond" w:eastAsia="Times New Roman" w:hAnsi="Garamond" w:cs="Times New Roman"/>
            <w:u w:val="single"/>
            <w:lang w:val="en-US" w:eastAsia="fr-FR"/>
          </w:rPr>
          <w:t>[Fußnote]Eine Anmerkung bemüht sich hier, das harte Wort »Perfidie« zu mildern, indem auf eine der noch zu erwähnenden Rechtfertigungen Gottes verwiesen wird.</w:t>
        </w:r>
      </w:hyperlink>
      <w:r w:rsidRPr="00405E14">
        <w:rPr>
          <w:rFonts w:ascii="Garamond" w:eastAsia="Times New Roman" w:hAnsi="Garamond" w:cs="Times New Roman"/>
          <w:lang w:val="en-US" w:eastAsia="fr-FR"/>
        </w:rPr>
        <w:t xml:space="preserve"> der Politik, die mir gegenüber verfolgt wird. Nahezu jedesmal, wenn man mir das Ausleerungsbedürfnis wundert, schickt man – indem man die Nerven des betreffenden Menschen dazu anregt – irgendeine andere Person meiner Umgebung auf den Abtritt, um mich am Ausleeren zu verhindern; es ist dies eine Erscheinung, die ich seit Jahren in so unzähligen (Tausenden von) Malen und so regelmäßig beobachtet habe, daß jeder Gedanke an einen Zufall ausgeschlossen ist. Mir selbst gegenüber wird dann aber auf die Frage: ›Warum sch . . . Sie denn nicht?‹ mit der famosen Antwort fortgefahren: ›Weil ich dumm bin so etwa.‹ Die Feder sträubt sich fast dagegen, den formidablen Unsinn niederzuschreiben, daß Gott in der Tat in seiner auf Unkenntnis der Menschennatur beruhenden Verblendung so weit geht anzunehmen, es könne einen Menschen geben, der – was doch jedes Tier zu tun vermag – vor Dummheit nicht sch . . . könne. Wenn ich dann im Falle eines Bedürfnisses wirklich ausleere – wozu ich mich, da ich den Abtritt fast stets besetzt finde, in der Regel eines Eimers bediene –, so ist dies jedesmal mit einer überaus kräftigen Entwicklung der Seelenwollust verbunden. Die Befreiung von dem Druck, der durch den in den Därmen vorhandenen Kot verursacht wird, hat nämlich für die Wollustnerven ein intensives Wohlbehagen zur Folge; das gleiche ist auch beim Pissen der Fall. Aus diesem Grunde sind noch stets und ohne jede Ausnahme beim Ausleeren und Pissen alle Strahlen vereinigt gewesen; aus eben diesem Grunde sucht man auch stets, wenn ich mich zu diesen natürlichen Funktionen anschicke, den Ausleerungs- und Pißdrang, wenn auch meist vergeblich, wieder zurückzuwundern.« </w:t>
      </w:r>
      <w:hyperlink r:id="rId1203" w:history="1">
        <w:r w:rsidRPr="00405E14">
          <w:rPr>
            <w:rFonts w:ascii="Garamond" w:eastAsia="Times New Roman" w:hAnsi="Garamond" w:cs="Times New Roman"/>
            <w:u w:val="single"/>
            <w:lang w:eastAsia="fr-FR"/>
          </w:rPr>
          <w:t>[Fußnote]Dies Eingeständnis der Exkretionslust, die wir als eine der autoerotischen Komponenten der infantilen Sexualität kennengelernt haben, möge man mit den Äußerungen des kleinen Hans in der ›Analyse der Phobie eines fünfjährigen Knaben‹ (1909) zusammenhalten.</w:t>
        </w:r>
      </w:hyperlink>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eastAsia="fr-FR"/>
        </w:rPr>
        <w:t xml:space="preserve">Der sonderbare Gott Schrebers ist auch nicht imstande, etwas aus der Erfahrung zu lernen: »Aus der so gewonnenen Erfahrung eine Lehre für die Zukunft zu ziehen, scheint vermöge irgendwelcher in dem Wesen Gottes liegenden Eigenschaften eine Unmöglichkeit zu sein.« </w:t>
      </w:r>
      <w:r w:rsidRPr="00405E14">
        <w:rPr>
          <w:rFonts w:ascii="Garamond" w:eastAsia="Times New Roman" w:hAnsi="Garamond" w:cs="Times New Roman"/>
          <w:lang w:val="en-US" w:eastAsia="fr-FR"/>
        </w:rPr>
        <w:t>(S. 186.) Er kann daher dieselben quälenden Proben, Wunder und Stimmenäußerungen Jahre hindurch ohne Abänderung wiederholen, bis er dem Verfolgten zum Gespötte werden muß.</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(S. 333): »Daraus ergibt sich, daß Gott fast in allem, was mir gegenüber geschieht, nachdem die Wunder ihre frühere furchtbare Wirkung zum größten Teil eingebüßt haben, mir überwiegend lächerlich oder kindisch erscheint. Daraus folgt für mein Verhalten, daß ich häufig durch die Notwehr gezwungen bin, nach Befinden auch in lauten Worten den </w:t>
      </w:r>
      <w:r w:rsidRPr="00405E14">
        <w:rPr>
          <w:rFonts w:ascii="Garamond" w:eastAsia="Times New Roman" w:hAnsi="Garamond" w:cs="Times New Roman"/>
          <w:i/>
          <w:iCs/>
          <w:lang w:val="en-US" w:eastAsia="fr-FR"/>
        </w:rPr>
        <w:t>Gottesspötter</w:t>
      </w:r>
      <w:r w:rsidRPr="00405E14">
        <w:rPr>
          <w:rFonts w:ascii="Garamond" w:eastAsia="Times New Roman" w:hAnsi="Garamond" w:cs="Times New Roman"/>
          <w:lang w:val="en-US" w:eastAsia="fr-FR"/>
        </w:rPr>
        <w:t xml:space="preserve"> zu spielen . . .« </w:t>
      </w:r>
      <w:hyperlink r:id="rId1204" w:history="1">
        <w:r w:rsidRPr="00405E14">
          <w:rPr>
            <w:rFonts w:ascii="Garamond" w:eastAsia="Times New Roman" w:hAnsi="Garamond" w:cs="Times New Roman"/>
            <w:u w:val="single"/>
            <w:lang w:val="en-US" w:eastAsia="fr-FR"/>
          </w:rPr>
          <w:t>[Fußnote]Auch in der »Grundsprache« war Gott nicht immer der schimpfende Teil, sondern gelegentlich auch der beschimpfte, z. B.: »Ei verflucht, das sagt sich schwer, daß der liebe Gott sich f . . . läßt.« (S. 194.)</w:t>
        </w:r>
      </w:hyperlink>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Diese Kritik Gottes und Auflehnung gegen Gott begegnet bei Schreber indes einer energischen Gegenströmung, welcher an zahlreichen Stellen Ausdruck gegeben wird. (S. 333): »Auf das allerentschiedenste habe ich aber auch hier zu betonen, daß es sich dabei nur um eine Episode handelt, die, wie ich hoffe, spätestens mit meinem Ableben ihre Endschaft erreichen wird, daß daher das Recht, Gottes zu spotten, nur mir, nicht aber anderen Menschen zusteht. Für andere Menschen bleibt Gott der </w:t>
      </w:r>
      <w:r w:rsidRPr="00405E14">
        <w:rPr>
          <w:rFonts w:ascii="Garamond" w:eastAsia="Times New Roman" w:hAnsi="Garamond" w:cs="Times New Roman"/>
          <w:lang w:val="en-US" w:eastAsia="fr-FR"/>
        </w:rPr>
        <w:lastRenderedPageBreak/>
        <w:t>allmächtige Schöpfer des Himmels und der Erde, der Urgrund aller Dinge und das Heil ihrer Zukunft, dem – mögen auch einzelne der herkömmlichen religiösen Vorstellungen einer Berichtigung bedürfen – Anbetung und höchste Verehrung gebührt.«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Es wird darum zu wiederholten Malen eine Rechtfertigung Gottes wegen seines Benehmens gegen den Patienten versucht, die, ebenso spitzfindig wie alle Theodizeen, bald in der allgemeinen Natur der Seelen, bald in der Nötigung Gottes, sich selbst zu erhalten, und in dem irreführenden Einflusse der Flechsigschen Seele die Erklärung findet (S. 60 u. ff, S. 160). Im ganzen aber wird die Krankheit als ein Kampf des Menschen Schreber gegen Gott aufgefaßt, in welchem der schwache Mensch Sieger bleibt, weil er die Weltordnung auf seiner Seite hat (S. 61).</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Aus den ärztlichen Gutachten hätte man leicht schließen können, daß man es bei Schreber mit der landläufigen Form der Erlöserphantasie zu tun habe. Der Betreffende sei Gottes Sohn, dazu bestimmt, die Welt aus ihrem Elend oder vor dem ihr drohenden Untergang zu retten usw. Ich habe es daher nicht unterlassen, die Besonderheiten des Schreberschen Verhältnisses zu Gott ausführlich darzustellen. Die Bedeutung, welche diesem Verhältnisse für die übrige Menschheit zukommt, wird in den </w:t>
      </w:r>
      <w:r w:rsidRPr="00405E14">
        <w:rPr>
          <w:rFonts w:ascii="Garamond" w:eastAsia="Times New Roman" w:hAnsi="Garamond" w:cs="Times New Roman"/>
          <w:i/>
          <w:iCs/>
          <w:lang w:val="en-US" w:eastAsia="fr-FR"/>
        </w:rPr>
        <w:t>Denkwürdigkeiten</w:t>
      </w:r>
      <w:r w:rsidRPr="00405E14">
        <w:rPr>
          <w:rFonts w:ascii="Garamond" w:eastAsia="Times New Roman" w:hAnsi="Garamond" w:cs="Times New Roman"/>
          <w:lang w:val="en-US" w:eastAsia="fr-FR"/>
        </w:rPr>
        <w:t xml:space="preserve"> nur selten und erst zu Ende der Wahnbildung erwähnt. Sie besteht wesentlich darin, daß kein Verstorbener selig werden kann, solange seine (Schrebers) Person die Hauptmasse der Gottesstrahlen durch ihre Anziehungskraft absorbiert (S. 32). Auch die unverhüllte Identifizierung mit Jesus Christus kommt erst sehr spät zum Vorscheine (S. 338, 431).</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Es wird kein Erklärungsversuch des Falles Schreber Aussicht auf Richtigkeit haben, der nicht diesen Besonderheiten seiner Gottesvorstellung, dieser Mischung von Zügen der Verehrung und der Auflehnung, Rechnung trägt. Wir wenden uns nun einem andern, in inniger Beziehung zu Gott stehenden Thema, dem der </w:t>
      </w:r>
      <w:r w:rsidRPr="00405E14">
        <w:rPr>
          <w:rFonts w:ascii="Garamond" w:eastAsia="Times New Roman" w:hAnsi="Garamond" w:cs="Times New Roman"/>
          <w:i/>
          <w:iCs/>
          <w:lang w:val="en-US" w:eastAsia="fr-FR"/>
        </w:rPr>
        <w:t>Seligkeit,</w:t>
      </w:r>
      <w:r w:rsidRPr="00405E14">
        <w:rPr>
          <w:rFonts w:ascii="Garamond" w:eastAsia="Times New Roman" w:hAnsi="Garamond" w:cs="Times New Roman"/>
          <w:lang w:val="en-US" w:eastAsia="fr-FR"/>
        </w:rPr>
        <w:t xml:space="preserve"> zu.</w:t>
      </w:r>
    </w:p>
    <w:p w:rsidR="00822836" w:rsidRPr="00405E14" w:rsidRDefault="00822836" w:rsidP="00822836">
      <w:pPr>
        <w:pStyle w:val="Sansinterligne"/>
        <w:rPr>
          <w:rFonts w:ascii="Garamond" w:eastAsia="Times New Roman" w:hAnsi="Garamond" w:cs="Times New Roman"/>
          <w:lang w:eastAsia="fr-FR"/>
        </w:rPr>
      </w:pPr>
      <w:r w:rsidRPr="00405E14">
        <w:rPr>
          <w:rFonts w:ascii="Garamond" w:eastAsia="Times New Roman" w:hAnsi="Garamond" w:cs="Times New Roman"/>
          <w:lang w:val="en-US" w:eastAsia="fr-FR"/>
        </w:rPr>
        <w:t xml:space="preserve">Die Seligkeit ist auch bei Schreber »das jenseitige Leben«, zu dem die Menschenseele durch die Läuterung nach dem Tod erhoben wird. Er beschreibt sie als einen Zustand ununterbrochenen Genießens, verbunden mit der Anschauung Gottes. Das ist nun wenig originell, aber dafür werden wir durch die Unterscheidung überrascht, die Schreber zwischen einer männlichen und einer weiblichen Seligkeit macht. (S. 18.) »Die männliche Seligkeit stand höher als die weibliche Seligkeit, welch letztere vorzugsweise in einem ununterbrochenen Wollustgefühle bestanden zu haben scheint.« </w:t>
      </w:r>
      <w:hyperlink r:id="rId1205" w:history="1">
        <w:r w:rsidRPr="00405E14">
          <w:rPr>
            <w:rFonts w:ascii="Garamond" w:eastAsia="Times New Roman" w:hAnsi="Garamond" w:cs="Times New Roman"/>
            <w:u w:val="single"/>
            <w:lang w:eastAsia="fr-FR"/>
          </w:rPr>
          <w:t xml:space="preserve">[Fußnote]Es liegt doch ganz im Sinne der Wunscherfüllung vom Leben im Jenseits, daß man dort endlich des Geschlechtsunterschiedes ledig wird. </w:t>
        </w:r>
        <w:r w:rsidRPr="00405E14">
          <w:rPr>
            <w:rFonts w:ascii="Garamond" w:eastAsia="Times New Roman" w:hAnsi="Garamond" w:cs="Times New Roman"/>
            <w:u w:val="single"/>
            <w:lang w:eastAsia="fr-FR"/>
          </w:rPr>
          <w:br/>
          <w:t xml:space="preserve">................ </w:t>
        </w:r>
        <w:r w:rsidRPr="00405E14">
          <w:rPr>
            <w:rFonts w:ascii="Garamond" w:eastAsia="Times New Roman" w:hAnsi="Garamond" w:cs="Times New Roman"/>
            <w:u w:val="single"/>
            <w:lang w:eastAsia="fr-FR"/>
          </w:rPr>
          <w:br/>
          <w:t xml:space="preserve">................»Und jene himmlischen Gestalten, </w:t>
        </w:r>
        <w:r w:rsidRPr="00405E14">
          <w:rPr>
            <w:rFonts w:ascii="Garamond" w:eastAsia="Times New Roman" w:hAnsi="Garamond" w:cs="Times New Roman"/>
            <w:u w:val="single"/>
            <w:lang w:eastAsia="fr-FR"/>
          </w:rPr>
          <w:br/>
          <w:t>................sie fragen nicht nach Mann und Weib.«................(Mignon.)</w:t>
        </w:r>
      </w:hyperlink>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eastAsia="fr-FR"/>
        </w:rPr>
        <w:t xml:space="preserve">Andere Stellen verkünden das Zusammenfallen von Seligkeit und Wollust in deutlicherer Sprache und ohne Bezug auf den Geschlechtsunterschied, so wie auch von dem Bestandteile der Seligkeit, der Anschauung Gottes ist, weiter nicht gehandelt wird. </w:t>
      </w:r>
      <w:r w:rsidRPr="00405E14">
        <w:rPr>
          <w:rFonts w:ascii="Garamond" w:eastAsia="Times New Roman" w:hAnsi="Garamond" w:cs="Times New Roman"/>
          <w:lang w:val="en-US" w:eastAsia="fr-FR"/>
        </w:rPr>
        <w:t>So z. B.: » . . . mit der Natur der Gottesnerven, vermöge deren die Seligkeit . . ., wenn auch nicht ausschließlich, so doch mindestens zugleich eine hochgesteigerte Wollustempfindung ist.« (S. 51.) Und: »Die Wollust darf als ein Stück Seligkeit aufgefaßt werden, das dem Menschen und anderen lebenden Geschöpfen gewissermaßen im voraus verliehen ist« (S 281), so daß die himmlische Seligkeit wesentlich als Steigerung und Fortsetzung der irdischen Sinneslust zu verstehen wäre!</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Diese Auffassung der Seligkeit ist keineswegs ein aus den ersten Stadien der Krankheit stammendes, später als unverträglich eliminiertes Stück des Schreberschen Wahnes. Noch in der ›Berufungsbegründung‹ (Juli 1901) hebt der Kranke als eine seiner großen Einsichten hervor, »daß die Wollust nun einmal in einer – für andere Menschen bisher nicht erkennbar gewordenen – nahen Beziehung zu der Seligkeit der abgeschiedenen Geister steht.« </w:t>
      </w:r>
      <w:hyperlink r:id="rId1206" w:history="1">
        <w:r w:rsidRPr="00405E14">
          <w:rPr>
            <w:rFonts w:ascii="Garamond" w:eastAsia="Times New Roman" w:hAnsi="Garamond" w:cs="Times New Roman"/>
            <w:u w:val="single"/>
            <w:lang w:val="en-US" w:eastAsia="fr-FR"/>
          </w:rPr>
          <w:t>[Fußnote]Über den möglichen Tiefsinn dieses Schreberschen Fundes vgl. unten.</w:t>
        </w:r>
      </w:hyperlink>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Ja, wir werden hören, daß diese »nahe Beziehung« der Fels ist, auf welchem der Kranke die Hoffnung einer endlichen Versöhnung mit Gott und eines Aufhörens seiner Leiden gebaut hat. Die Strahlen Gottes verlieren ihre feindselige Gesinnung, sobald sie versichert sind, mit Seelenwollust in seinem Körper aufzugehen (S. 133); Gott selbst verlangt danach, die Wollust bei ihm zu finden (S. 283), und droht mit dem Rückzuge seiner Strahlen, wenn er in der Pflege der Wollust nachläßt und Gott das Verlangte nicht bieten kann (S. 320).</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Diese überraschende Sexualisierung der himmlischen Seligkeit macht uns den Eindruck, als ob Schrebers Seligkeitsbegriff durch die Verdichtung der zwei Hauptbedeutungen des deutschen Wortes: </w:t>
      </w:r>
      <w:r w:rsidRPr="00405E14">
        <w:rPr>
          <w:rFonts w:ascii="Garamond" w:eastAsia="Times New Roman" w:hAnsi="Garamond" w:cs="Times New Roman"/>
          <w:i/>
          <w:iCs/>
          <w:lang w:val="en-US" w:eastAsia="fr-FR"/>
        </w:rPr>
        <w:t>verstorben</w:t>
      </w:r>
      <w:r w:rsidRPr="00405E14">
        <w:rPr>
          <w:rFonts w:ascii="Garamond" w:eastAsia="Times New Roman" w:hAnsi="Garamond" w:cs="Times New Roman"/>
          <w:lang w:val="en-US" w:eastAsia="fr-FR"/>
        </w:rPr>
        <w:t xml:space="preserve"> und </w:t>
      </w:r>
      <w:r w:rsidRPr="00405E14">
        <w:rPr>
          <w:rFonts w:ascii="Garamond" w:eastAsia="Times New Roman" w:hAnsi="Garamond" w:cs="Times New Roman"/>
          <w:i/>
          <w:iCs/>
          <w:lang w:val="en-US" w:eastAsia="fr-FR"/>
        </w:rPr>
        <w:t>sinnlich glücklich</w:t>
      </w:r>
      <w:r w:rsidRPr="00405E14">
        <w:rPr>
          <w:rFonts w:ascii="Garamond" w:eastAsia="Times New Roman" w:hAnsi="Garamond" w:cs="Times New Roman"/>
          <w:lang w:val="en-US" w:eastAsia="fr-FR"/>
        </w:rPr>
        <w:t xml:space="preserve"> entstanden wäre </w:t>
      </w:r>
      <w:hyperlink r:id="rId1207" w:history="1">
        <w:r w:rsidRPr="00405E14">
          <w:rPr>
            <w:rFonts w:ascii="Garamond" w:eastAsia="Times New Roman" w:hAnsi="Garamond" w:cs="Times New Roman"/>
            <w:u w:val="single"/>
            <w:lang w:val="en-US" w:eastAsia="fr-FR"/>
          </w:rPr>
          <w:t xml:space="preserve">[Fußnote]»Mein seliger Vater« und der Text der Arie aus dem </w:t>
        </w:r>
        <w:r w:rsidRPr="00405E14">
          <w:rPr>
            <w:rFonts w:ascii="Garamond" w:eastAsia="Times New Roman" w:hAnsi="Garamond" w:cs="Times New Roman"/>
            <w:i/>
            <w:iCs/>
            <w:u w:val="single"/>
            <w:lang w:val="en-US" w:eastAsia="fr-FR"/>
          </w:rPr>
          <w:t>Don Juan:</w:t>
        </w:r>
        <w:r w:rsidRPr="00405E14">
          <w:rPr>
            <w:rFonts w:ascii="Garamond" w:eastAsia="Times New Roman" w:hAnsi="Garamond" w:cs="Times New Roman"/>
            <w:u w:val="single"/>
            <w:lang w:val="en-US" w:eastAsia="fr-FR"/>
          </w:rPr>
          <w:br/>
        </w:r>
        <w:r w:rsidRPr="00405E14">
          <w:rPr>
            <w:rFonts w:ascii="Garamond" w:eastAsia="Times New Roman" w:hAnsi="Garamond" w:cs="Times New Roman"/>
            <w:u w:val="single"/>
            <w:lang w:val="en-US" w:eastAsia="fr-FR"/>
          </w:rPr>
          <w:lastRenderedPageBreak/>
          <w:br/>
          <w:t xml:space="preserve">................»Ja, dein zu sein auf ewig, </w:t>
        </w:r>
        <w:r w:rsidRPr="00405E14">
          <w:rPr>
            <w:rFonts w:ascii="Garamond" w:eastAsia="Times New Roman" w:hAnsi="Garamond" w:cs="Times New Roman"/>
            <w:u w:val="single"/>
            <w:lang w:val="en-US" w:eastAsia="fr-FR"/>
          </w:rPr>
          <w:br/>
          <w:t xml:space="preserve">................wie selig werd' ich sein« </w:t>
        </w:r>
        <w:r w:rsidRPr="00405E14">
          <w:rPr>
            <w:rFonts w:ascii="Garamond" w:eastAsia="Times New Roman" w:hAnsi="Garamond" w:cs="Times New Roman"/>
            <w:u w:val="single"/>
            <w:lang w:val="en-US" w:eastAsia="fr-FR"/>
          </w:rPr>
          <w:br/>
        </w:r>
        <w:r w:rsidRPr="00405E14">
          <w:rPr>
            <w:rFonts w:ascii="Garamond" w:eastAsia="Times New Roman" w:hAnsi="Garamond" w:cs="Times New Roman"/>
            <w:u w:val="single"/>
            <w:lang w:val="en-US" w:eastAsia="fr-FR"/>
          </w:rPr>
          <w:br/>
          <w:t>als extreme Vertreter der beiden Bedeutungen. Es kann aber auch nicht ohne Sinn sein, daß unsere Sprache dasselbe Wort für so verschiedene Situationen verwendet.</w:t>
        </w:r>
      </w:hyperlink>
      <w:r w:rsidRPr="00405E14">
        <w:rPr>
          <w:rFonts w:ascii="Garamond" w:eastAsia="Times New Roman" w:hAnsi="Garamond" w:cs="Times New Roman"/>
          <w:lang w:val="en-US" w:eastAsia="fr-FR"/>
        </w:rPr>
        <w: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Wir werden in ihr aber auch den Anlaß finden, das Verhältnis unseres Patienten zur Erotik überhaupt, zu den Fragen des sexuellen Genießens, der Prüfung zu unterziehen, denn wir Psychoanalytiker huldigen bis jetzt der Meinung, daß die Wurzeln jeder nervösen und psychischen Erkrankung vorzugsweise im Sexualleben zu finden seien, und zwar die einen von uns nur aus Gründen der Erfahrung, die anderen überdies noch infolge theoretischer Erwägungen.</w:t>
      </w:r>
    </w:p>
    <w:p w:rsidR="00822836" w:rsidRPr="00405E14" w:rsidRDefault="00822836" w:rsidP="00822836">
      <w:pPr>
        <w:pStyle w:val="Sansinterligne"/>
        <w:rPr>
          <w:rFonts w:ascii="Garamond" w:eastAsia="Times New Roman" w:hAnsi="Garamond" w:cs="Times New Roman"/>
          <w:lang w:eastAsia="fr-FR"/>
        </w:rPr>
      </w:pPr>
      <w:r w:rsidRPr="00405E14">
        <w:rPr>
          <w:rFonts w:ascii="Garamond" w:eastAsia="Times New Roman" w:hAnsi="Garamond" w:cs="Times New Roman"/>
          <w:lang w:val="en-US" w:eastAsia="fr-FR"/>
        </w:rPr>
        <w:t xml:space="preserve">Nach den bisher gegebenen Proben des Schreberschen Wahnes ist die Befürchtung, gerade diese paranoide Erkrankung könnte sich als der so lange gesuchte »negative Fall« herausstellen, in dem die Sexualität eine allzu geringe Rolle spiele, ohne weiters abzuweisen. Schreber selbst äußert sich ungezählte Male in solcher Art, als ob er ein Anhänger unseres Vorurteils wäre. Er nennt »Nervosität« und erotische Verfehlung stets in einem Atem, als ob die beiden nicht voneinander zu trennen wären </w:t>
      </w:r>
      <w:hyperlink r:id="rId1208" w:history="1">
        <w:r w:rsidRPr="00405E14">
          <w:rPr>
            <w:rFonts w:ascii="Garamond" w:eastAsia="Times New Roman" w:hAnsi="Garamond" w:cs="Times New Roman"/>
            <w:u w:val="single"/>
            <w:lang w:val="en-US" w:eastAsia="fr-FR"/>
          </w:rPr>
          <w:t xml:space="preserve">[Fußnote](S. 52.) »Wenn auf irgendeinem Weltkörper </w:t>
        </w:r>
        <w:r w:rsidRPr="00405E14">
          <w:rPr>
            <w:rFonts w:ascii="Garamond" w:eastAsia="Times New Roman" w:hAnsi="Garamond" w:cs="Times New Roman"/>
            <w:i/>
            <w:iCs/>
            <w:u w:val="single"/>
            <w:lang w:val="en-US" w:eastAsia="fr-FR"/>
          </w:rPr>
          <w:t>sittliche Fäulnis</w:t>
        </w:r>
        <w:r w:rsidRPr="00405E14">
          <w:rPr>
            <w:rFonts w:ascii="Garamond" w:eastAsia="Times New Roman" w:hAnsi="Garamond" w:cs="Times New Roman"/>
            <w:u w:val="single"/>
            <w:lang w:val="en-US" w:eastAsia="fr-FR"/>
          </w:rPr>
          <w:t xml:space="preserve"> (›wollüstige Ausschweifungen‹) </w:t>
        </w:r>
        <w:r w:rsidRPr="00405E14">
          <w:rPr>
            <w:rFonts w:ascii="Garamond" w:eastAsia="Times New Roman" w:hAnsi="Garamond" w:cs="Times New Roman"/>
            <w:i/>
            <w:iCs/>
            <w:u w:val="single"/>
            <w:lang w:val="en-US" w:eastAsia="fr-FR"/>
          </w:rPr>
          <w:t>oder vielleicht auch Nervosität</w:t>
        </w:r>
        <w:r w:rsidRPr="00405E14">
          <w:rPr>
            <w:rFonts w:ascii="Garamond" w:eastAsia="Times New Roman" w:hAnsi="Garamond" w:cs="Times New Roman"/>
            <w:u w:val="single"/>
            <w:lang w:val="en-US" w:eastAsia="fr-FR"/>
          </w:rPr>
          <w:t xml:space="preserve"> die ganze Menschheit derart ergriffen hatten« – dann, meint Schreber, in Anlehnung an die biblischen Berichte von Sodom und Gomorrha, von der Sündflut usw., könnte es zu einer Weltkatastrophe gekommen sein. – » . . . . . (S. 91.) habe Furcht und Schrecken unter den Menschen verbreitet, die Grundlagen der Religion zerstört und das Umsichgreifen </w:t>
        </w:r>
        <w:r w:rsidRPr="00405E14">
          <w:rPr>
            <w:rFonts w:ascii="Garamond" w:eastAsia="Times New Roman" w:hAnsi="Garamond" w:cs="Times New Roman"/>
            <w:i/>
            <w:iCs/>
            <w:u w:val="single"/>
            <w:lang w:val="en-US" w:eastAsia="fr-FR"/>
          </w:rPr>
          <w:t>einer allgemeinen Nervosität und Unsittlichkeit</w:t>
        </w:r>
        <w:r w:rsidRPr="00405E14">
          <w:rPr>
            <w:rFonts w:ascii="Garamond" w:eastAsia="Times New Roman" w:hAnsi="Garamond" w:cs="Times New Roman"/>
            <w:u w:val="single"/>
            <w:lang w:val="en-US" w:eastAsia="fr-FR"/>
          </w:rPr>
          <w:t xml:space="preserve"> verursacht, in deren Folge dann verheerende Seuchen über die Menschheit hereingebrochen seien.« (S. 163.) »Als ›Höllenfürst‹ galt daher wahrscheinlich den Seelen die unheimliche Macht, die aus einem </w:t>
        </w:r>
        <w:r w:rsidRPr="00405E14">
          <w:rPr>
            <w:rFonts w:ascii="Garamond" w:eastAsia="Times New Roman" w:hAnsi="Garamond" w:cs="Times New Roman"/>
            <w:i/>
            <w:iCs/>
            <w:u w:val="single"/>
            <w:lang w:val="en-US" w:eastAsia="fr-FR"/>
          </w:rPr>
          <w:t>sittlichen Verfall</w:t>
        </w:r>
        <w:r w:rsidRPr="00405E14">
          <w:rPr>
            <w:rFonts w:ascii="Garamond" w:eastAsia="Times New Roman" w:hAnsi="Garamond" w:cs="Times New Roman"/>
            <w:u w:val="single"/>
            <w:lang w:val="en-US" w:eastAsia="fr-FR"/>
          </w:rPr>
          <w:t xml:space="preserve"> der Menschheit </w:t>
        </w:r>
        <w:r w:rsidRPr="00405E14">
          <w:rPr>
            <w:rFonts w:ascii="Garamond" w:eastAsia="Times New Roman" w:hAnsi="Garamond" w:cs="Times New Roman"/>
            <w:i/>
            <w:iCs/>
            <w:u w:val="single"/>
            <w:lang w:val="en-US" w:eastAsia="fr-FR"/>
          </w:rPr>
          <w:t>oder aus allgemeiner Nervenüberreizung infolge von Überkultur</w:t>
        </w:r>
        <w:r w:rsidRPr="00405E14">
          <w:rPr>
            <w:rFonts w:ascii="Garamond" w:eastAsia="Times New Roman" w:hAnsi="Garamond" w:cs="Times New Roman"/>
            <w:u w:val="single"/>
            <w:lang w:val="en-US" w:eastAsia="fr-FR"/>
          </w:rPr>
          <w:t xml:space="preserve"> als eine gottfeindliche sich entwickeln konnte.«</w:t>
        </w:r>
      </w:hyperlink>
      <w:r w:rsidRPr="00405E14">
        <w:rPr>
          <w:rFonts w:ascii="Garamond" w:eastAsia="Times New Roman" w:hAnsi="Garamond" w:cs="Times New Roman"/>
          <w:lang w:eastAsia="fr-FR"/>
        </w:rPr>
        <w: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eastAsia="fr-FR"/>
        </w:rPr>
        <w:t xml:space="preserve">Vor seiner Erkrankung war der Senatspräsident Schreber ein sittenstrenger Mann gewesen: »Es wird wenige Menschen geben« – behauptet er, und ich sehe keine Berechtigung, ihm zu mißtrauen –, »die in so strengen sittlichen Grundsätzen aufgewachsen sind wie ich und die sich ihr ganzes Leben hindurch, namentlich auch in geschlechtlicher Beziehung, eine diesen Grundsätzen entsprechende Zurückhaltung in dem Maße auferlegt haben, wie ich es von mir behaupten darf.« (S. 281.) Nach dem schweren Seelenkampfe, der sich nach außen durch die Erscheinungen der Krankheit kundgab, hatte sich das Verhältnis zur Erotik verändert. Er war zur Einsicht gekommen, daß die Pflege der Wollust eine Pflicht für ihn sei, deren Erfüllung allein den schweren in ihm, wie er meinte, um ihn, ausgebrochenen Konflikt beenden könne. Die Wollust war, wie ihm die Stimmen versicherten, »gottesfürchtig« geworden (S. 285), und er bedauert nur, daß er nicht imstande sei, sich den ganzen Tag über der Pflege der Wollust zu widmen </w:t>
      </w:r>
      <w:hyperlink r:id="rId1209" w:history="1">
        <w:r w:rsidRPr="00405E14">
          <w:rPr>
            <w:rFonts w:ascii="Garamond" w:eastAsia="Times New Roman" w:hAnsi="Garamond" w:cs="Times New Roman"/>
            <w:u w:val="single"/>
            <w:lang w:eastAsia="fr-FR"/>
          </w:rPr>
          <w:t xml:space="preserve">[Fußnote]Im Zusammenhange des Wahnes heißt es (S. 179): » </w:t>
        </w:r>
        <w:r w:rsidRPr="00405E14">
          <w:rPr>
            <w:rFonts w:ascii="Garamond" w:eastAsia="Times New Roman" w:hAnsi="Garamond" w:cs="Times New Roman"/>
            <w:i/>
            <w:iCs/>
            <w:u w:val="single"/>
            <w:lang w:eastAsia="fr-FR"/>
          </w:rPr>
          <w:t>Die Anziehung verlor jedoch ihre Schrecken für die betreffenden Nerven, wenn und soweit sie beim Eingehen in meinem Körper das Gefühl der Seelenwollust antrafen</w:t>
        </w:r>
        <w:r w:rsidRPr="00405E14">
          <w:rPr>
            <w:rFonts w:ascii="Garamond" w:eastAsia="Times New Roman" w:hAnsi="Garamond" w:cs="Times New Roman"/>
            <w:u w:val="single"/>
            <w:lang w:eastAsia="fr-FR"/>
          </w:rPr>
          <w:t>, an dem sie ihrerseits teilnahmen. Sie fanden dann für die verlorengegangene himmlische Seligkeit, die wohl ebenfalls in einem wollustartigen Genießen bestand . . ., einen ganz oder mindestens annähernd gleichwertigen Ersatz in meinem Körper wieder.«</w:t>
        </w:r>
      </w:hyperlink>
      <w:r w:rsidRPr="00405E14">
        <w:rPr>
          <w:rFonts w:ascii="Garamond" w:eastAsia="Times New Roman" w:hAnsi="Garamond" w:cs="Times New Roman"/>
          <w:lang w:val="en-US" w:eastAsia="fr-FR"/>
        </w:rPr>
        <w: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Das also war das Fazit der Krankheitsveränderung bei Schreber nach den beiden Hauptrichtungen seines Wahnes. Er war vorher ein zur sexuellen Askese Geneigter und ein Zweifler an Gott gewesen, er war nach Ablauf der Krankheit ein Gottesgläubiger und der Wollust Beflissener. Aber wie sein wiedergewonnener Gottesglaube von absonderlicher Art war, so zeigte auch das Stück Sexualgenießen, das er sich erobert hatte, einen ganz ungewöhnlichen Charakter. Es war nicht mehr männliche Sexualfreiheit, sondern weibliches Sexualgefühl, er stellte sich feminin gegen Gott ein, fühlte sich als Gottes Weib </w:t>
      </w:r>
      <w:hyperlink r:id="rId1210" w:history="1">
        <w:r w:rsidRPr="00405E14">
          <w:rPr>
            <w:rFonts w:ascii="Garamond" w:eastAsia="Times New Roman" w:hAnsi="Garamond" w:cs="Times New Roman"/>
            <w:u w:val="single"/>
            <w:lang w:val="en-US" w:eastAsia="fr-FR"/>
          </w:rPr>
          <w:t>[Fußnote]Anmerkung zu S. 4 der Vorrede: »Etwas der Empfängnis Jesu Christi von Seiten einer unbefleckten Jungfrau – d. h. von einer solchen, die niemals Umgang mit einem Manne gepflogen hat – Ähnliches ist in meinem eigenen Leibe vorgegangen. Ich habe (und zwar zu der Zeit, als ich noch in der Flechsigschen Anstalt war) zu zwei verschiedenen Malen bereits einen, wenn auch etwas mangelhaft entwickelten weiblichen Geschlechtsteil gehabt und in meinem Leibe hüpfende Bewegungen, wie sie den ersten Lebensregungen des menschlichen Embryo entsprechen, empfunden: durch göttliches Wunder waren dem männlichen Samen entsprechende Gottesnerven in meinen Leib geworfen worden; es hatte also eine Befruchtung stattgefunden.«</w:t>
        </w:r>
      </w:hyperlink>
      <w:r w:rsidRPr="00405E14">
        <w:rPr>
          <w:rFonts w:ascii="Garamond" w:eastAsia="Times New Roman" w:hAnsi="Garamond" w:cs="Times New Roman"/>
          <w:lang w:val="en-US" w:eastAsia="fr-FR"/>
        </w:rPr>
        <w:t>.</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Kein anderes Stück seines Wahnes wird von dem Kranken so ausführlich, man könnte sagen, so aufdringlich behandelt wie die von ihm behauptete Verwandlung in ein Weib. Die von ihm aufgesogenen </w:t>
      </w:r>
      <w:r w:rsidRPr="00405E14">
        <w:rPr>
          <w:rFonts w:ascii="Garamond" w:eastAsia="Times New Roman" w:hAnsi="Garamond" w:cs="Times New Roman"/>
          <w:lang w:val="en-US" w:eastAsia="fr-FR"/>
        </w:rPr>
        <w:lastRenderedPageBreak/>
        <w:t xml:space="preserve">Nerven haben in seinem Körper den Charakter weiblicher Wollustnerven angenommen und demselben auch sonst ein mehr oder weniger weibliches Gepräge, insbesondere seiner Haut die dem weiblichen Geschlecht eigentümliche Weichheit verliehen (S. 87). Er fühlt diese Nerven, wenn er einen leisen Druck mit der Hand an einer beliebigen Körperstelle ausübt, als Gebilde von faden- oder strangartiger Beschaffenheit unter der Hautoberfläche, dieselben sind namentlich an der Brust, da wo beim Weibe der Busen ist, vorhanden. »Durch einen auf diese Gebilde auszuübenden Druck vermag ich mir, namentlich wenn ich an etwas Weibliches denke, eine der weiblichen entsprechende Wollustempfindung zu verschaffen.« (S. 277.) Er weiß sicher, daß diese Gebilde nach ihrer Herkunft weiter nichts sind als ehemalige Gottesnerven, die doch durch ihren Übergang in seinen Körper ihre Eigenschaft als Nerven kaum eingebüßt haben können (S. 279). Er ist imstande, sich und den Strahlen durch »Zeichnen« (visuelles Vorstellen) den Eindruck zu verschaffen, daß sein Körper mit weiblichen Brüsten und weiblichem Geschlechtsteil ausgestattet sei: »Das Zeichnen eines weiblichen Hinteren an meinen Körper – </w:t>
      </w:r>
      <w:r w:rsidRPr="00405E14">
        <w:rPr>
          <w:rFonts w:ascii="Garamond" w:eastAsia="Times New Roman" w:hAnsi="Garamond" w:cs="Times New Roman"/>
          <w:i/>
          <w:iCs/>
          <w:lang w:val="en-US" w:eastAsia="fr-FR"/>
        </w:rPr>
        <w:t>honny soit qui mal y pense</w:t>
      </w:r>
      <w:r w:rsidRPr="00405E14">
        <w:rPr>
          <w:rFonts w:ascii="Garamond" w:eastAsia="Times New Roman" w:hAnsi="Garamond" w:cs="Times New Roman"/>
          <w:lang w:val="en-US" w:eastAsia="fr-FR"/>
        </w:rPr>
        <w:t xml:space="preserve"> – ist mir so zur Gewohnheit geworden, daß ich dies beim Bücken jedesmal fast unwillkürlich tue.« (S. 233.) Er will es »kühn behaupten, daß jeder, der mich mit entblößtem oberen Teile des Rumpfes vor dem Spiegel stehen sehen würde – zumal wenn die Illusion durch etwas weiblichen Aufputz unterstützt wird –, den unzweifelhaften Eindruck eines </w:t>
      </w:r>
      <w:r w:rsidRPr="00405E14">
        <w:rPr>
          <w:rFonts w:ascii="Garamond" w:eastAsia="Times New Roman" w:hAnsi="Garamond" w:cs="Times New Roman"/>
          <w:i/>
          <w:iCs/>
          <w:lang w:val="en-US" w:eastAsia="fr-FR"/>
        </w:rPr>
        <w:t>weiblichen Oberkörpers</w:t>
      </w:r>
      <w:r w:rsidRPr="00405E14">
        <w:rPr>
          <w:rFonts w:ascii="Garamond" w:eastAsia="Times New Roman" w:hAnsi="Garamond" w:cs="Times New Roman"/>
          <w:lang w:val="en-US" w:eastAsia="fr-FR"/>
        </w:rPr>
        <w:t xml:space="preserve"> empfangen würde« (S. 280). Er fordert die ärztliche Untersuchung heraus, um feststellen zu lassen, daß sein ganzer Körper vom Scheitel bis zur Sohle mit Wollustnerven durchsetzt ist, was nach seiner Meinung nur beim weiblichen Körper der Fall ist, während beim Manne, soviel ihm bekannt ist, Wollustnerven nur am Geschlechtsteile und in unmittelbarer Nähe desselben sich befinden (S. 274). Die Seelenwollust, die sich durch diese Anhäufung der Nerven in seinem Körper entwickelt hat, ist so stark, daß es namentlich beim Liegen im Bette nur eines geringen Aufwandes von Einbildungskraft bedarf, um sich ein sinnliches Behagen zu schaffen, das eine ziemlich deutliche Vorahnung von dem weiblichen Geschlechtsgenusse beim Beischlafe gewährt (S. 269).</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Erinnern wir uns des Traumes, welcher in der Inkubationszeit der Erkrankung, noch vor der Übersiedlung nach Dresden, vorfiel, so wird es über jeden Zweifel evident, daß der Wahn der Verwandlung in ein Weib nichts anderes ist als die Realisierung jenes Trauminhalts. Gegen diesen Traum hatte er sich damals mit männlicher Empörung gesträubt, und ebenso wehrte er sich anfänglich gegen dessen Erfüllung während der Krankheit, sah die Wandlung zum Weib als eine Schmach an, die in feindseliger Absicht über ihn verhängt werden sollte. Aber es kam ein Zeitpunkt (November 1895), in dem er sich mit dieser Wandlung zu versöhnen begann und sie mit höheren Absichten Gottes in Verbindung brachte. (S. 177 und 178): »Ich habe seitdem die Pflege der Weiblichkeit mit vollem Bewußtsein auf meine Fahne geschrieben.«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Er kam dann zur sicheren Überzeugung, daß Gott selbst zu seiner eigenen Befriedigung die Weiblichkeit von ihm verlange:</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(S. 281): »Sobald ich aber – wenn ich mich so ausdrücken darf – mit Gott allein bin, ist es eine Notwendigkeit für mich, mit allen erdenklichen Mitteln sowie mit dem vollen Aufgebote meiner Verstandeskräfte, insbesondere meiner Einbildungskraft, dahin zu wirken, daß die göttlichen Strahlen von mir möglichst fortwährend oder – da dies der Mensch einfach nicht kann – wenigstens zu gewissen Tageszeiten den Eindruck eines in wollüstigen Empfindungen schwelgenden Weibes empfangen.«</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(S. 283): »Auf der andern Seite verlangt Gott ein den weltordnungsmäßigen Daseinsbedingungen der Seelen entsprechendes </w:t>
      </w:r>
      <w:r w:rsidRPr="00405E14">
        <w:rPr>
          <w:rFonts w:ascii="Garamond" w:eastAsia="Times New Roman" w:hAnsi="Garamond" w:cs="Times New Roman"/>
          <w:i/>
          <w:iCs/>
          <w:lang w:val="en-US" w:eastAsia="fr-FR"/>
        </w:rPr>
        <w:t>beständiges Genießen</w:t>
      </w:r>
      <w:r w:rsidRPr="00405E14">
        <w:rPr>
          <w:rFonts w:ascii="Garamond" w:eastAsia="Times New Roman" w:hAnsi="Garamond" w:cs="Times New Roman"/>
          <w:lang w:val="en-US" w:eastAsia="fr-FR"/>
        </w:rPr>
        <w:t>; es ist meine Aufgabe, ihm dasselbe, . . . in der Form ausgiebigster Entwicklung der Seelenwollust zu verschaffen; soweit dabei für mich etwas von sinnlichem Genüsse abfällt, bin ich berechtigt, denselben als eine kleine Entschädigung für das Übermaß der Leiden und Entbehrungen, das mir seit Jahren auferlegt ist, mitzunehmen; . . .«</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(S. 284): ». . . ich glaube sogar nach den gewonnenen Eindrücken die Ansicht aussprechen zu dürfen, daß Gott niemals zu einer Rückzugsaktion vorschreiten würde (wodurch mein körperliches Wohlbefinden jedesmal zunächst erheblich verschlechtert wird), sondern ohne jedes Widerstreben und in dauernder Gleichmäßigkeit der Anziehung folgen würde, wenn es mir möglich wäre, </w:t>
      </w:r>
      <w:r w:rsidRPr="00405E14">
        <w:rPr>
          <w:rFonts w:ascii="Garamond" w:eastAsia="Times New Roman" w:hAnsi="Garamond" w:cs="Times New Roman"/>
          <w:i/>
          <w:iCs/>
          <w:lang w:val="en-US" w:eastAsia="fr-FR"/>
        </w:rPr>
        <w:t>immer</w:t>
      </w:r>
      <w:r w:rsidRPr="00405E14">
        <w:rPr>
          <w:rFonts w:ascii="Garamond" w:eastAsia="Times New Roman" w:hAnsi="Garamond" w:cs="Times New Roman"/>
          <w:lang w:val="en-US" w:eastAsia="fr-FR"/>
        </w:rPr>
        <w:t xml:space="preserve"> das in geschlechtlicher Umarmung mit mir selbst daliegende Weib zu spielen, meinen Blick </w:t>
      </w:r>
      <w:r w:rsidRPr="00405E14">
        <w:rPr>
          <w:rFonts w:ascii="Garamond" w:eastAsia="Times New Roman" w:hAnsi="Garamond" w:cs="Times New Roman"/>
          <w:i/>
          <w:iCs/>
          <w:lang w:val="en-US" w:eastAsia="fr-FR"/>
        </w:rPr>
        <w:t>immer</w:t>
      </w:r>
      <w:r w:rsidRPr="00405E14">
        <w:rPr>
          <w:rFonts w:ascii="Garamond" w:eastAsia="Times New Roman" w:hAnsi="Garamond" w:cs="Times New Roman"/>
          <w:lang w:val="en-US" w:eastAsia="fr-FR"/>
        </w:rPr>
        <w:t xml:space="preserve"> auf weiblichen Wesen ruhen zu lassen, </w:t>
      </w:r>
      <w:r w:rsidRPr="00405E14">
        <w:rPr>
          <w:rFonts w:ascii="Garamond" w:eastAsia="Times New Roman" w:hAnsi="Garamond" w:cs="Times New Roman"/>
          <w:i/>
          <w:iCs/>
          <w:lang w:val="en-US" w:eastAsia="fr-FR"/>
        </w:rPr>
        <w:t>immer</w:t>
      </w:r>
      <w:r w:rsidRPr="00405E14">
        <w:rPr>
          <w:rFonts w:ascii="Garamond" w:eastAsia="Times New Roman" w:hAnsi="Garamond" w:cs="Times New Roman"/>
          <w:lang w:val="en-US" w:eastAsia="fr-FR"/>
        </w:rPr>
        <w:t xml:space="preserve"> weibliche Bilder zu besehen usw.«</w:t>
      </w:r>
    </w:p>
    <w:p w:rsidR="00822836" w:rsidRPr="00405E14" w:rsidRDefault="00822836" w:rsidP="00822836">
      <w:pPr>
        <w:pStyle w:val="Sansinterligne"/>
        <w:rPr>
          <w:rFonts w:ascii="Garamond" w:eastAsia="Times New Roman" w:hAnsi="Garamond" w:cs="Times New Roman"/>
          <w:lang w:val="en-US" w:eastAsia="fr-FR"/>
        </w:rPr>
      </w:pPr>
      <w:r w:rsidRPr="00405E14">
        <w:rPr>
          <w:rFonts w:ascii="Garamond" w:eastAsia="Times New Roman" w:hAnsi="Garamond" w:cs="Times New Roman"/>
          <w:lang w:val="en-US" w:eastAsia="fr-FR"/>
        </w:rPr>
        <w:t xml:space="preserve">Die beiden Hauptstücke des Schreberschen Wahnes, die Wandlung zum Weibe und die bevorzugte Beziehung zu Gott, sind in seinem System durch die feminine Einstellung gegen Gott verknüpft. Es wird eine unabweisbare Aufgabe für uns, eine wesentliche </w:t>
      </w:r>
      <w:r w:rsidRPr="00405E14">
        <w:rPr>
          <w:rFonts w:ascii="Garamond" w:eastAsia="Times New Roman" w:hAnsi="Garamond" w:cs="Times New Roman"/>
          <w:i/>
          <w:iCs/>
          <w:lang w:val="en-US" w:eastAsia="fr-FR"/>
        </w:rPr>
        <w:t>genetische</w:t>
      </w:r>
      <w:r w:rsidRPr="00405E14">
        <w:rPr>
          <w:rFonts w:ascii="Garamond" w:eastAsia="Times New Roman" w:hAnsi="Garamond" w:cs="Times New Roman"/>
          <w:lang w:val="en-US" w:eastAsia="fr-FR"/>
        </w:rPr>
        <w:t xml:space="preserve"> Beziehung zwischen diesen beiden Stücken nachzuweisen, sonst wären wir mit unseren Erläuterungen zu Schrebers Wahn in die lächerliche Rolle geraten, die Kant in dem berühmten Gleichnis der </w:t>
      </w:r>
      <w:r w:rsidRPr="00405E14">
        <w:rPr>
          <w:rFonts w:ascii="Garamond" w:eastAsia="Times New Roman" w:hAnsi="Garamond" w:cs="Times New Roman"/>
          <w:i/>
          <w:iCs/>
          <w:lang w:val="en-US" w:eastAsia="fr-FR"/>
        </w:rPr>
        <w:t>Kritik der reinen Vernunft</w:t>
      </w:r>
      <w:r w:rsidRPr="00405E14">
        <w:rPr>
          <w:rFonts w:ascii="Garamond" w:eastAsia="Times New Roman" w:hAnsi="Garamond" w:cs="Times New Roman"/>
          <w:lang w:val="en-US" w:eastAsia="fr-FR"/>
        </w:rPr>
        <w:t xml:space="preserve"> als die des Mannes beschreibt, der das Sieb unterhält, während ein anderer den Bock melkt.</w:t>
      </w:r>
    </w:p>
    <w:p w:rsidR="00822836" w:rsidRPr="00244833" w:rsidRDefault="00B437A1" w:rsidP="00822836">
      <w:pPr>
        <w:pStyle w:val="Sansinterligne"/>
        <w:rPr>
          <w:rFonts w:ascii="Garamond" w:hAnsi="Garamond"/>
          <w:b/>
          <w:lang w:val="en-US"/>
        </w:rPr>
      </w:pPr>
      <w:hyperlink w:anchor="SchreberInhalt" w:history="1">
        <w:r w:rsidR="00822836" w:rsidRPr="00244833">
          <w:rPr>
            <w:rStyle w:val="Lienhypertexte"/>
            <w:rFonts w:ascii="Garamond" w:hAnsi="Garamond"/>
            <w:b/>
            <w:lang w:val="en-US"/>
          </w:rPr>
          <w:t>II. Deu</w:t>
        </w:r>
        <w:bookmarkStart w:id="229" w:name="Schreber2"/>
        <w:bookmarkEnd w:id="229"/>
        <w:r w:rsidR="00822836" w:rsidRPr="00244833">
          <w:rPr>
            <w:rStyle w:val="Lienhypertexte"/>
            <w:rFonts w:ascii="Garamond" w:hAnsi="Garamond"/>
            <w:b/>
            <w:lang w:val="en-US"/>
          </w:rPr>
          <w:t>tungsversuche</w:t>
        </w:r>
      </w:hyperlink>
      <w:r w:rsidR="00822836" w:rsidRPr="00244833">
        <w:rPr>
          <w:rFonts w:ascii="Garamond" w:hAnsi="Garamond"/>
          <w:b/>
          <w:lang w:val="en-US"/>
        </w:rPr>
        <w:t xml:space="preserve">  </w:t>
      </w:r>
    </w:p>
    <w:p w:rsidR="00822836" w:rsidRDefault="00822836" w:rsidP="00822836">
      <w:pPr>
        <w:pStyle w:val="Sansinterligne"/>
        <w:rPr>
          <w:rFonts w:ascii="Garamond" w:hAnsi="Garamond"/>
          <w:lang w:val="en-US"/>
        </w:rPr>
      </w:pPr>
    </w:p>
    <w:p w:rsidR="00822836" w:rsidRPr="00405E14" w:rsidRDefault="00822836" w:rsidP="00822836">
      <w:pPr>
        <w:pStyle w:val="Sansinterligne"/>
        <w:rPr>
          <w:rFonts w:ascii="Garamond" w:hAnsi="Garamond"/>
          <w:lang w:val="en-US"/>
        </w:rPr>
      </w:pPr>
      <w:r w:rsidRPr="00405E14">
        <w:rPr>
          <w:rFonts w:ascii="Garamond" w:hAnsi="Garamond"/>
          <w:lang w:val="en-US"/>
        </w:rPr>
        <w:t>Von zwei Seiten her könnte man den Versuch machen, zum Verständnis dieser paranoischen Krankengeschichte vorzudringen, die bekannten Komplexe und Triebkräfte des Seelenlebens in ihr aufzudecken. Von den wahnhaften Äußerungen des Kranken selbst und von den Anlässen seiner Erkrankung.</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Der erste Weg erschiene verlockend, seitdem C. G. Jung uns das glänzende Beispiel der Deutung eines ungleich schwereren Falles von Dementia praecox, mit vom Normalen ungleich weiter abliegenden Symptomäußerungen gegeben hat </w:t>
      </w:r>
      <w:hyperlink r:id="rId1211"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C. G. Jung (1907).</w:t>
        </w:r>
      </w:hyperlink>
      <w:r w:rsidRPr="00405E14">
        <w:rPr>
          <w:rFonts w:ascii="Garamond" w:hAnsi="Garamond"/>
          <w:lang w:val="en-US"/>
        </w:rPr>
        <w:t>. Auch die hohe Intelligenz und Mitteilsamkeit des Kranken scheint uns die Lösung der Aufgabe auf diesem Wege zu erleichtern. Gar nicht so selten drückt er uns den Schlüssel selbst in die Hand, indem er zu einem wahnhaften Satz eine Erläuterung, ein Zitat oder Beispiel, wie beiläufig, hinzufügt oder eine ihm selbst auftauchende Ähnlichkeit ausdrücklich bestreitet. Man braucht dann nur im letzten Falle die negative Einkleidung wegzulassen, wie man es in der psychoanalytischen Technik zu tun gewohnt ist, das Beispiel für das Eigentliche, das Zitat oder die Bestätigung für die Quelle zu nehmen, und befindet sich im Besitze der gesuchten Übersetzung aus der paranoischen Ausdrucksweise ins Normale. Ein Beleg für diese Technik verdient vielleicht eine ausführlichere Darstellung. Schreber beklagt sich über die Belästigung durch die sogenannten »gewunderten Vögel« oder »sprechenden Vögel«, denen er eine Reihe recht auffälliger Eigenschaften zuschreibt (S. 208–214). Sie sind nach seiner Überzeugung aus Resten ehemaliger »Vorhöfe des Himmels«, also selig gewesener Menschenseelen, gebildet und mit Leichengift beladen auf ihn gehetzt worden. Sie sind in den Stand versetzt, »sinnlos auswendig gelernte Redensarten« herzusagen, die ihnen »eingebleut« worden sind. Jedesmal, wenn sie das ihnen aufgepackte Leichengift bei ihm abgelagert, d. h. »die ihnen gewissermaßen eingebleuten Phrasen abgeleiert haben«, gehen sie mit den Worten »verfluchter Kerl« oder »ei verflucht« einigermaßen in seiner Seele auf, den einzigen Worten, deren sie im Ausdruck einer echten Empfindung überhaupt noch fähig sind. Den Sinn der von ihnen gesprochenen Worte verstehen sie nicht, haben aber eine natürliche Empfänglichkeit für den Gleichklang der Laute, der kein vollständiger zu sein braucht. Es verschlägt daher für sie wenig, ob man sagt: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Santiago oder Karthago, </w:t>
      </w:r>
      <w:r w:rsidRPr="00405E14">
        <w:rPr>
          <w:rFonts w:ascii="Garamond" w:hAnsi="Garamond"/>
          <w:lang w:val="en-US"/>
        </w:rPr>
        <w:br/>
        <w:t xml:space="preserve">Chinesentum oder Jesum Christum, </w:t>
      </w:r>
      <w:r w:rsidRPr="00405E14">
        <w:rPr>
          <w:rFonts w:ascii="Garamond" w:hAnsi="Garamond"/>
          <w:lang w:val="en-US"/>
        </w:rPr>
        <w:br/>
        <w:t xml:space="preserve">Abendrot oder Atemnot, </w:t>
      </w:r>
      <w:r w:rsidRPr="00405E14">
        <w:rPr>
          <w:rFonts w:ascii="Garamond" w:hAnsi="Garamond"/>
          <w:lang w:val="en-US"/>
        </w:rPr>
        <w:br/>
        <w:t>Ariman oder Ackermann usw. (S. 210.)</w:t>
      </w:r>
    </w:p>
    <w:p w:rsidR="00822836" w:rsidRPr="00405E14" w:rsidRDefault="00822836" w:rsidP="00822836">
      <w:pPr>
        <w:pStyle w:val="Sansinterligne"/>
        <w:rPr>
          <w:rFonts w:ascii="Garamond" w:hAnsi="Garamond"/>
          <w:lang w:val="en-US"/>
        </w:rPr>
      </w:pPr>
      <w:r w:rsidRPr="00405E14">
        <w:rPr>
          <w:rFonts w:ascii="Garamond" w:hAnsi="Garamond"/>
          <w:lang w:val="en-US"/>
        </w:rPr>
        <w:t>Während man diese Schilderung liest, kann man sich des Einfalles nicht erwehren, daß mit ihr junge Mädchen gemeint sein müssen, die man in kritischer Stimmung gerne mit Gänsen vergleicht, denen man ungalanterweise ein »Vogelgehirn« zuschreibt, von denen man behauptet, daß sie nichts zu reden wissen als eingelernte Phrasen, und die ihre Unbildung durch die Verwechslung ähnlich klingender Fremdwörter verraten. Das »verfluchter Kerl«, mit dem es ihnen allein Ernst ist, wäre dann der Triumph des jungen Mannes, der ihnen zu imponieren verstanden hat. Und siehe da, einige Seiten später (S. 214) stößt man auf die Sätze Schrebers, welche eine solche Deutung sicherstellen. »Einer großen Anzahl der übrigen Vogelseelen habe ich scherzweise zur Unterscheidung Mädchennamen beigelegt, da sie sich sämtlich nach ihrer Neugier, ihrem Hang zur Wollust usw. am ersten mit kleinen Mädchen vergleichen lassen. Diese Mädchennamen sind dann zum Teil auch von den Gottesstrahlen aufgegriffen und zur Bezeichnung der betreffenden Vogelseelen beibehalten worden.« Aus dieser mühelosen Deutung der »gewunderten Vögel« entnimmt man dann einen Wink fürs Verständnis der rätselhaften »Vorhöfe des Himmels«.</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Ich verkenne nicht, daß es jedesmal eines guten Stückes Takt und Zurückhaltung bedarf, wenn man die typischen Fälle der Deutung in der psychoanalytischen Arbeit verläßt, und daß der Hörer oder Leser nur so weit mitgeht, als die von ihm gewonnene Vertrautheit mit der analytischen Technik ihm gestattet. Man hat also allen Grund vorzusorgen, daß nicht dem gesteigerten Aufwand von Scharfsinn ein gemindertes Maß von Sicherheit und Glaubwürdigkeit parallel gehe. Es liegt dann in der Natur der Sache, daß der eine Arbeiter die Vorsicht, der andere die Kühnheit übertreiben wird. Die richtigen Grenzen der Berechtigung zur Deutung wird man erst nach vielerlei Versuchen und besserer Bekanntschaft mit dem Gegenstand abstecken können. Bei der Bearbeitung des Falles Schreber wird mir die Zurückhaltung durch den Umstand vorgeschrieben, daß die Widerstände gegen die Publikation der </w:t>
      </w:r>
      <w:r w:rsidRPr="00405E14">
        <w:rPr>
          <w:rFonts w:ascii="Garamond" w:hAnsi="Garamond"/>
          <w:i/>
          <w:iCs/>
          <w:lang w:val="en-US"/>
        </w:rPr>
        <w:t>Denkwürdigkeiten</w:t>
      </w:r>
      <w:r w:rsidRPr="00405E14">
        <w:rPr>
          <w:rFonts w:ascii="Garamond" w:hAnsi="Garamond"/>
          <w:lang w:val="en-US"/>
        </w:rPr>
        <w:t xml:space="preserve"> doch den Erfolg gehabt haben, einen beträchtlichen Anteil des Materials und wahrscheinlich den für das Verständnis bedeutsamsten unserer Kenntnis zu entziehen </w:t>
      </w:r>
      <w:hyperlink r:id="rId1212"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 xml:space="preserve">Gutachten des Dr. Weber (S. 402): »Überblickt man den Inhalt seiner Schrift, berücksichtigt man die Fülle der Indiskretionen, die in bezug auf ihn und andere in ihr enthalten sind, die ungenierte Ausmalung der bedenklichsten und ästhetisch geradezu </w:t>
        </w:r>
        <w:r w:rsidRPr="00405E14">
          <w:rPr>
            <w:rStyle w:val="innerfusslink"/>
            <w:rFonts w:ascii="Garamond" w:eastAsiaTheme="majorEastAsia" w:hAnsi="Garamond"/>
            <w:color w:val="C00000"/>
            <w:lang w:val="en-US"/>
          </w:rPr>
          <w:lastRenderedPageBreak/>
          <w:t>unmöglichen Situationen und Vorgänge, die Verwendung der anstößigsten Kraftausdrücke usw., so würde man es ganz unverständlich finden, daß ein Mann, der sich sonst durch Takt und Feingefühl ausgezeichnet hat, eine ihn vor der Öffentlichkeit so schwer kompromittierende Handlung beabsichtigen könne, wenn eben nicht . . .« usw. – Von einer Krankengeschichte, die die gestörte Menschlichkeit und deren Ringen nach »Wiederherstellung schildern soll, wird man eben nicht fordern dürfen, daß sie »diskret« und »ästhetisch« ansprechend sei.</w:t>
        </w:r>
      </w:hyperlink>
      <w:r w:rsidRPr="00405E14">
        <w:rPr>
          <w:rFonts w:ascii="Garamond" w:hAnsi="Garamond"/>
          <w:lang w:val="en-US"/>
        </w:rPr>
        <w:t xml:space="preserve">. So z. B. schließt das Kapitel III des Buches, das mit der vielversprechenden Ankündigung begonnen hat: »Ich behandle nun zunächst einige Vorkommnisse an </w:t>
      </w:r>
      <w:r w:rsidRPr="00405E14">
        <w:rPr>
          <w:rFonts w:ascii="Garamond" w:hAnsi="Garamond"/>
          <w:i/>
          <w:iCs/>
          <w:lang w:val="en-US"/>
        </w:rPr>
        <w:t>anderen Mitgliedern meiner Familie</w:t>
      </w:r>
      <w:r w:rsidRPr="00405E14">
        <w:rPr>
          <w:rFonts w:ascii="Garamond" w:hAnsi="Garamond"/>
          <w:lang w:val="en-US"/>
        </w:rPr>
        <w:t>, die denkbarerweise in Beziehung zu dem vorausgesetzten Seelenmord stehen könnten und die jedenfalls alle ein mehr oder weniger rätselhaftes, nach sonstigen menschlichen Erfahrungen schwer zu erklärendes Gepräge an sich tragen« (S. 33), unmittelbar darauf mit dem Satze: »Der weitere Inhalt des Kapitels kommt als zur Veröffentlichung ungeeignet für den Druck in Wegfall.« Ich werde also zufrieden sein müssen, wenn es mir gelingt, gerade den Kern der Wahnbildung mit einiger Sicherheit auf seine Herkunft aus bekannten menschlichen Motiven zurückzuführen.</w:t>
      </w:r>
    </w:p>
    <w:p w:rsidR="00822836" w:rsidRPr="00405E14" w:rsidRDefault="00822836" w:rsidP="00822836">
      <w:pPr>
        <w:pStyle w:val="Sansinterligne"/>
        <w:rPr>
          <w:rFonts w:ascii="Garamond" w:hAnsi="Garamond"/>
          <w:lang w:val="en-US"/>
        </w:rPr>
      </w:pPr>
      <w:r w:rsidRPr="00405E14">
        <w:rPr>
          <w:rFonts w:ascii="Garamond" w:hAnsi="Garamond"/>
          <w:lang w:val="en-US"/>
        </w:rPr>
        <w:t>Ich werde in dieser Absicht ein Stückchen der Krankengeschichte nachtragen, welches in den Gutachten nicht entsprechend gewürdigt wird, obwohl der Kranke selbst alles dazu getan hat, es in den Vordergrund zu drängen. Ich meine das Verhältnis Schrebers zu seinem ersten Arzte, dem Geheimrate Prof. Flechsig in Leipzig.</w:t>
      </w:r>
    </w:p>
    <w:p w:rsidR="00822836" w:rsidRPr="00405E14" w:rsidRDefault="00822836" w:rsidP="00822836">
      <w:pPr>
        <w:pStyle w:val="Sansinterligne"/>
        <w:rPr>
          <w:rFonts w:ascii="Garamond" w:hAnsi="Garamond"/>
        </w:rPr>
      </w:pPr>
      <w:r w:rsidRPr="00405E14">
        <w:rPr>
          <w:rFonts w:ascii="Garamond" w:hAnsi="Garamond"/>
          <w:lang w:val="en-US"/>
        </w:rPr>
        <w:t xml:space="preserve">Wir wissen bereits, daß der Fall Schrebers zu Anfang das Gepräge des Verfolgungswahnes an sich trug, welches erst von dem Wendepunkte der Krankheit an (der »Versöhnung«) verwischt wurde. Die Verfolgungen werden dann immer erträglicher, der weltordnungsmäßige Zweck der angedrohten Entmannung drängt das Schmachvolle derselben zurück. Der Urheber aller Verfolgungen aber ist Flechsig, und er bleibt ihr Anstifter über den ganzen Verlauf der Krankheit </w:t>
      </w:r>
      <w:hyperlink r:id="rId1213"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Vorrede, VIII: »Noch jetzt wird mir an jedem Tage Ihr Name von den mit mir redenden Stimmen in stets wiederkehrenden Zusammenhängen insbesondere als Urheber jener Schädigungen zu Hunderten von Malen zugerufen, obwohl die persönlichen Beziehungen, die eine Zeitlang zwischen uns bestanden haben, für mich längst in den Hintergrund getreten sind und ich selbst daher schwerlich irgendwelchen Anlaß hätte, mich Ihrer immer von neuem, insbesondere mit irgendwelcher grollenden Empfindung zu erinnern.«</w:t>
        </w:r>
      </w:hyperlink>
      <w:r w:rsidRPr="00405E14">
        <w:rPr>
          <w:rFonts w:ascii="Garamond" w:hAnsi="Garamond"/>
        </w:rPr>
        <w:t>.</w:t>
      </w:r>
    </w:p>
    <w:p w:rsidR="00822836" w:rsidRPr="00405E14" w:rsidRDefault="00822836" w:rsidP="00822836">
      <w:pPr>
        <w:pStyle w:val="Sansinterligne"/>
        <w:rPr>
          <w:rFonts w:ascii="Garamond" w:hAnsi="Garamond"/>
          <w:lang w:val="en-US"/>
        </w:rPr>
      </w:pPr>
      <w:r w:rsidRPr="00405E14">
        <w:rPr>
          <w:rFonts w:ascii="Garamond" w:hAnsi="Garamond"/>
        </w:rPr>
        <w:t xml:space="preserve">Was nun eigentlich die Untat Flechsigs und welches seine Motive dabei waren, das wird von dem Kranken mit jener charakteristischen Unbestimmtheit und Unfaßbarkeit erzählt, welche als Kennzeichen einer besonders intensiven Wahnbildungsarbeit angesehen werden dürfen, wenn es gestattet ist, die Paranoia nach dem Vorbilde des um so viel besser bekannten Traumes zu beurteilen. Flechsig hat an dem Kranken einen »Seelenmord« begangen oder versucht, ein Akt, der etwa den Bemühungen des Teufels und der Dämonen, sich einer Seele zu bemächtigen, gleichzustellen ist und der vielleicht in Vorgängen zwischen längst verstorbenen Mitgliedern der Familien Flechsig und Schreber vorgebildet war </w:t>
      </w:r>
      <w:hyperlink r:id="rId1214"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S. 22 und ff.</w:t>
        </w:r>
      </w:hyperlink>
      <w:r w:rsidRPr="00405E14">
        <w:rPr>
          <w:rFonts w:ascii="Garamond" w:hAnsi="Garamond"/>
        </w:rPr>
        <w:t xml:space="preserve">. Gerne möchte man über den Sinn dieses Seelenmordes mehr erfahren, aber hier versagen wiederum in tendenziöser Weise die Quellen (S. 28): »Worin das eigentliche Wesen des Seelenmords und sozusagen die Technik desselben besteht, vermag ich außer dem im obigen Angedeuteten nicht zu sagen. Hinzuzufügen wäre nur noch etwa (folgt eine Stelle, die sich zur Veröffentlichung nicht eignet).« </w:t>
      </w:r>
      <w:r w:rsidRPr="00405E14">
        <w:rPr>
          <w:rFonts w:ascii="Garamond" w:hAnsi="Garamond"/>
          <w:lang w:val="en-US"/>
        </w:rPr>
        <w:t>Infolge dieser Auslassung bleibt es für uns undurchsichtig, was unter dem »Seelenmord« gemeint ist. Den einzigen Hinweis, welcher der Zensur entgangen ist, werden wir an anderer Stelle erwähnen.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Wie dem immer sei, es erfolgte bald eine weitere Entwicklung des Wahnes, welche das Verhältnis des Kranken zu Gott betraf, ohne das zu Flechsig zu ändern. Hatte er bisher seinen eigentlichen Feind nur in Flechsig (oder vielmehr in dessen Seele) erblickt und Gottes Allmacht als seine Bundesgenossin betrachtet, so konnte er dann den Gedanken nicht abweisen, daß Gott selbst der Mitwisser, wenn nicht gar Anstifter des gegen ihn gerichteten Planes sei. (S. 59.) Flechsig aber blieb der erste Verführer, dessen Einfluß Gott unterlegen war (S. 60). Er hatte es verstanden, sich mit seiner ganzen Seele oder einem Teile derselben zum Himmel aufzuschwingen und sich damit selbst – ohne Tod und vorgängige Reinigung – zum »Strahlenführer« zu machen (S. 56) </w:t>
      </w:r>
      <w:hyperlink r:id="rId1215"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Nach einer anderen bedeutungsvollen, aber bald abgewiesenen Version hatte sich Prof. Flechsig entweder zu Weißenburg im Elsaß oder im Polizeigefängnis zu Leipzig erschossen. Patient sah seinen Leichenzug, der sich aber nicht in der Richtung bewegte, die man nach der Lage der Universitätsklinik zum Friedhof erwarten sollte. Andere Male erschien ihm Flechsig in Begleitung eines Schutzmannes oder in der Unterhaltung mit seiner Frau, deren Zeuge er im Wege des Nervenanhanges wurde, und wobei sich Prof. Flechsig seiner Frau gegenüber »Gott Flechsig« nannte, so daß diese geneigt war, ihn für verrückt zu halten. (S. 82.)</w:t>
        </w:r>
      </w:hyperlink>
      <w:r w:rsidRPr="00405E14">
        <w:rPr>
          <w:rFonts w:ascii="Garamond" w:hAnsi="Garamond"/>
          <w:lang w:val="en-US"/>
        </w:rPr>
        <w:t xml:space="preserve">. Diese Rolle behielt die Flechsigsche Seele bei, auch nachdem der Kranke die Leipziger Klinik mit der Piersonschen Anstalt </w:t>
      </w:r>
      <w:r w:rsidRPr="00405E14">
        <w:rPr>
          <w:rFonts w:ascii="Garamond" w:hAnsi="Garamond"/>
          <w:lang w:val="en-US"/>
        </w:rPr>
        <w:lastRenderedPageBreak/>
        <w:t xml:space="preserve">vertauscht hatte. Der Einfluß der neuen Umgebung zeigte sich dann darin, daß zu ihr die Seele des Oberwärters, in dem der Kranke einen ehemaligen Hausgenossen erkannte, als v. W.sche Seele hinzutrat </w:t>
      </w:r>
      <w:hyperlink r:id="rId1216"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Von diesem v. W. sagten ihm die Stimmen, er habe bei einer Enquête vorsätzlich oder fahrlässigerweise unwahre Dinge über ihn ausgesagt, namentlich ihn der Onanie beschuldigt; zur Strafe sei ihm jetzt die Bedienung des Patienten auferlegt worden (S. 108.)</w:t>
        </w:r>
      </w:hyperlink>
      <w:r w:rsidRPr="00405E14">
        <w:rPr>
          <w:rFonts w:ascii="Garamond" w:hAnsi="Garamond"/>
        </w:rPr>
        <w:t xml:space="preserve">. Die Flechsigsche Seele führte dann die »Seelenteilung« ein, die große Dimensionen annahm. Zu einer gewissen Zeit gab es 40 bis 60 solcher Abspaltungen der Flechsigschen Seele; zwei größere Seelenteile wurden der »obere Flechsig« und der »mittlere Flechsig« genannt (S. 111). </w:t>
      </w:r>
      <w:r w:rsidRPr="00405E14">
        <w:rPr>
          <w:rFonts w:ascii="Garamond" w:hAnsi="Garamond"/>
          <w:lang w:val="en-US"/>
        </w:rPr>
        <w:t>Ebenso verhielt sich die v. W.sche Seele (die des Oberwärters). Dabei wirkte es zuweilen sehr drollig, wie die beiden Seelen sich trotz ihrer Bundesgenossenschaft befehdeten, der Adelsstolz der einen und der Professorendünkel der anderen sich gegenseitig abstießen (S. 113). In den ersten Wochen seines endgültigen Aufenthaltes auf dem Sonnenstein (Sommer 1894) trat die Seele des neuen Arztes Dr. Weber in Aktion, und bald darauf kam jener Umschwung in der Entwicklung des Wahnes, den wir als die »Versöhnung« kennengelernt haben.</w:t>
      </w:r>
    </w:p>
    <w:p w:rsidR="00822836" w:rsidRPr="00405E14" w:rsidRDefault="00822836" w:rsidP="00822836">
      <w:pPr>
        <w:pStyle w:val="Sansinterligne"/>
        <w:rPr>
          <w:rFonts w:ascii="Garamond" w:hAnsi="Garamond"/>
          <w:lang w:val="en-US"/>
        </w:rPr>
      </w:pPr>
      <w:r w:rsidRPr="00405E14">
        <w:rPr>
          <w:rFonts w:ascii="Garamond" w:hAnsi="Garamond"/>
          <w:lang w:val="en-US"/>
        </w:rPr>
        <w:t>Während des späteren Aufenthaltes auf dem Sonnenstein, als Gott den Kranken besser zu würdigen begann, kam eine Razzia unter den lästigerweise vervielfältigten Seelen zustande, infolge deren die Flechsigsche Seele nur in ein oder zwei Gestalten, die v. W.sche in einziger Gestalt übrigblieb. Die letztere verschwand bald völlig; die Flechsigschen Seelenteile, die langsam ihre Intelligenz wie ihre Macht einbüßten, wurden dann als der »hintere Flechsig« und als die »Je-nun-Partei« bezeichnet. Daß die Flechsigsche Seele ihre Bedeutung bis zum Ende beibehielt, wissen wir aus der Vorrede, dem ›Offenen Brief an Herrn Geh. Rath Prof. Dr. Flechsig‹.</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Dieses merkwürdige Schriftstück drückt die sichere Überzeugung aus, daß der ihn beeinflussende Arzt auch selbst die gleichen Visionen gehabt und dieselben Aufschlüsse über übersinnliche Dinge erhalten habe wie der Kranke, und stellt die Verwahrung voran, daß dem Autor der </w:t>
      </w:r>
      <w:r w:rsidRPr="00405E14">
        <w:rPr>
          <w:rFonts w:ascii="Garamond" w:hAnsi="Garamond"/>
          <w:i/>
          <w:iCs/>
          <w:lang w:val="en-US"/>
        </w:rPr>
        <w:t>Denkwürdigkeiten</w:t>
      </w:r>
      <w:r w:rsidRPr="00405E14">
        <w:rPr>
          <w:rFonts w:ascii="Garamond" w:hAnsi="Garamond"/>
          <w:lang w:val="en-US"/>
        </w:rPr>
        <w:t xml:space="preserve"> die Absicht eines Angriffes auf die Ehre des Arztes ferneliege. Dasselbe wird in den Eingaben des Kranken (S 343, 445) mit Ernst und Nachdruck wiederholt; man sieht, er bemüht sich, die »Seele Flechsig« von dem Lebenden dieses Namens, den wahnhaften von dem leibhaften Flechsig zu trennen </w:t>
      </w:r>
      <w:hyperlink r:id="rId1217"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 xml:space="preserve">»Ich habe demnach auch als </w:t>
        </w:r>
        <w:r w:rsidRPr="00405E14">
          <w:rPr>
            <w:rStyle w:val="innerfusslink"/>
            <w:rFonts w:ascii="Garamond" w:eastAsiaTheme="majorEastAsia" w:hAnsi="Garamond"/>
            <w:i/>
            <w:iCs/>
            <w:color w:val="C00000"/>
            <w:lang w:val="en-US"/>
          </w:rPr>
          <w:t>möglich anzuerkennen</w:t>
        </w:r>
        <w:r w:rsidRPr="00405E14">
          <w:rPr>
            <w:rStyle w:val="innerfusslink"/>
            <w:rFonts w:ascii="Garamond" w:eastAsiaTheme="majorEastAsia" w:hAnsi="Garamond"/>
            <w:color w:val="C00000"/>
            <w:lang w:val="en-US"/>
          </w:rPr>
          <w:t xml:space="preserve">, daß alles, was in den ersten Abschnitten meiner </w:t>
        </w:r>
        <w:r w:rsidRPr="00405E14">
          <w:rPr>
            <w:rStyle w:val="innerfusslink"/>
            <w:rFonts w:ascii="Garamond" w:eastAsiaTheme="majorEastAsia" w:hAnsi="Garamond"/>
            <w:i/>
            <w:iCs/>
            <w:color w:val="C00000"/>
            <w:lang w:val="en-US"/>
          </w:rPr>
          <w:t>Denkwürdigkeiten</w:t>
        </w:r>
        <w:r w:rsidRPr="00405E14">
          <w:rPr>
            <w:rStyle w:val="innerfusslink"/>
            <w:rFonts w:ascii="Garamond" w:eastAsiaTheme="majorEastAsia" w:hAnsi="Garamond"/>
            <w:color w:val="C00000"/>
            <w:lang w:val="en-US"/>
          </w:rPr>
          <w:t xml:space="preserve"> über Vorgänge berichtet worden ist, die mit dem Namen Flechsig in Verbindung stehen, nur auf die von dem lebenden Menschen zu unterscheidende Seele Flechsig sich bezieht, deren besondere Existenz zwar gewiß, auf natürlichem Wege aber nicht zu erklären ist« (S. 342).</w:t>
        </w:r>
      </w:hyperlink>
      <w:r w:rsidRPr="00405E14">
        <w:rPr>
          <w:rFonts w:ascii="Garamond" w:hAnsi="Garamond"/>
          <w:lang w:val="en-US"/>
        </w:rPr>
        <w: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Aus dem Studium einer Reihe von Fällen des Verfolgungswahnes habe ich und haben andere den Eindruck empfangen, die Relation des Kranken zu seinem Verfolger sei durch eine einfache Formel aufzulösen </w:t>
      </w:r>
      <w:hyperlink r:id="rId1218"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Vgl. K. Abraham (1908). – In dieser Arbeit räumt mir der gewissenhafte Autor einen aus unserem Briefverkehr stammenden Einfluß auf die Entwicklung seiner Ansichten ein.</w:t>
        </w:r>
      </w:hyperlink>
      <w:r w:rsidRPr="00405E14">
        <w:rPr>
          <w:rFonts w:ascii="Garamond" w:hAnsi="Garamond"/>
          <w:lang w:val="en-US"/>
        </w:rPr>
        <w:t>. Die Person, welcher der Wahn so große Macht und Einfluß zuschreibt, in deren Hand alle Fäden des Komplotts zusammenlaufen, sei, wenn sie bestimmt genannt wird, die nämliche, der vor der Erkrankung eine ähnlich große Bedeutung für das Gefühlsleben der Patienten zukam, oder eine leicht kenntliche Ersatzperson derselben. Die Gefühlsbedeutung wird als äußerliche Macht projiziert, der Gefühlston ins Gegenteil verkehrt; der jetzt wegen seiner Verfolgung Gehaßte und Gefürchtete sei ein einstiger Geliebter und Verehrter. Die vom Wahne statuierte Verfolgung diene vor allem dazu, die Gefühlsverwandlung im Kranken zu rechtfertigen.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Wenden wir uns mit diesem Gesichtspunkte zu den Beziehungen, die zwischen dem Patienten und seinem Arzte und Verfolger Flechsig früher bestanden hatten. Wir wissen bereits, daß Schreber in den Jahren 1884 und 1885 eine erste nervöse Erkrankung durchmachte, »die ohne jede an das Gebiet des Übersinnlichen anstreifenden Zwischenfälle« (S. 35) verlief. Während dieses als »Hypochondrie« bezeichneten Zustandes, der anscheinend die Grenzen einer Neurose einhielt, war Flechsig der Arzt des Kranken. Schreber brachte damals 6 Monate in der Leipziger Universitätsklinik zu. Man erfährt, daß der Wiederhergestellte seinen Arzt in guter Erinnerung behielt. »Die Hauptsache war, daß ich schließlich (nach einer längeren Rekonvaleszenzreise) geheilt wurde, und ich konnte daher damals nur von Gefühlen lebhaften Dankes gegen Prof. Flechsig erfüllt sein, denen ich auch durch einen späteren Besuch und ein nach meinem Dafürhalten angemessenes Honorar noch besonderen Ausdruck gegeben habe.« Es ist richtig, daß Schreber in den </w:t>
      </w:r>
      <w:r w:rsidRPr="00405E14">
        <w:rPr>
          <w:rFonts w:ascii="Garamond" w:hAnsi="Garamond"/>
          <w:i/>
          <w:iCs/>
          <w:lang w:val="en-US"/>
        </w:rPr>
        <w:t>Denkwürdigkeiten</w:t>
      </w:r>
      <w:r w:rsidRPr="00405E14">
        <w:rPr>
          <w:rFonts w:ascii="Garamond" w:hAnsi="Garamond"/>
          <w:lang w:val="en-US"/>
        </w:rPr>
        <w:t xml:space="preserve"> die Lobpreisung der ersten Behandlung Flechsigs nicht ohne einige Verklausulierungen vorbringt, aber dies mag sich leicht aus der nun zum Gegensatze veränderten Einstellung verstehen lassen. Auf die ursprüngliche Wärme der Empfindung für den erfolgreichen Arzt läßt die Bemerkung schließen, welche die angeführte Äußerung Schrebers fortsetzt. »Fast noch inniger wurde der Dank von meiner Frau empfunden, die in Prof. Flechsig geradezu denjenigen verehrte, der ihr </w:t>
      </w:r>
      <w:r w:rsidRPr="00405E14">
        <w:rPr>
          <w:rFonts w:ascii="Garamond" w:hAnsi="Garamond"/>
          <w:lang w:val="en-US"/>
        </w:rPr>
        <w:lastRenderedPageBreak/>
        <w:t>ihren Mann wiedergeschenkt habe, und aus diesem Grunde sein Bildnis jahrelang auf ihrem Arbeitstische stehen hatte.« (S. 36.)</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Da uns der Einblick in die Verursachung der ersten Erkrankung verwehrt ist, deren Verständnis für die Aufklärung der schweren zweiten Krankheit gewiß unentbehrlich wäre, müssen wir jetzt aufs Geratewohl in einen uns unbekannten Zusammenhang hineingreifen. Wir wissen, in der Inkubationszeit der Krankheit (zwischen seiner Ernennung und seinem Amtsantritt, Juni bis Oktober 1893) fielen wiederholt Träume des Inhalts vor, daß die frühere Nervenkrankheit wiedergekehrt sei. Ferner trat einmal in einem Zustande von Halbschlaf die Empfindung auf, es müsse doch schön sein, ein Weib zu sein, das dem Beischlaf unterliege. Bringen wir diese Träume und diese Phantasievorstellung, die bei Schreber in nächster Kontiguität mitgeteilt werden, auch in inhaltlichen Zusammenhang, so dürfen wir schließen, mit der Erinnerung an die Krankheit wurde auch die an den Arzt geweckt, und die feminine Einstellung der Phantasie galt von Anfang an dem Arzte. Oder vielleicht hatte der Traum, die Krankheit sei wiedergekehrt, überhaupt den Sinn einer Sehnsucht: Ich möchte Flechsig wieder einmal sehen. Unsere Unwissenheit über den psychischen Gehalt der ersten Krankheit läßt uns da nicht weiterkommen. Vielleicht war von diesem Zustande eine zärtliche Anhänglichkeit an den Arzt übriggeblieben, die jetzt – aus unbekannten Gründen – eine Verstärkung zur Höhe einer erotischen Zuneigung gewann. Es stellte sich sofort eine entrüstete Abweisung der noch unpersönlich gehaltenen femininen Phantasie – ein richtiger »männlicher Protest« nach dem Ausdrucke, aber nicht im Sinne Alf. Adlers </w:t>
      </w:r>
      <w:hyperlink r:id="rId1219"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Adler (1910). – Nach Adler ist der männliche Protest an der Entstehung des Symptoms beteiligt, im hier besprochenen Falle protestiert die Person gegen das fertige Symptom.</w:t>
        </w:r>
      </w:hyperlink>
      <w:r w:rsidRPr="00405E14">
        <w:rPr>
          <w:rFonts w:ascii="Garamond" w:hAnsi="Garamond"/>
          <w:lang w:val="en-US"/>
        </w:rPr>
        <w:t xml:space="preserve"> – ein; aber in der nun bald ausbrechenden schweren Psychose setzte sich die feminine Phantasie unaufhaltsam durch, und man braucht die paranoische Unbestimmtheit der Schreberschen Ausdrucksweise nur um weniges zu korrigieren, um zu erraten, daß der Kranke einen sexuellen Mißbrauch von Seiten des Arztes selbst befürchtete. Ein Vorstoß homosexueller Libido war also die Veranlassung dieser Erkrankung, das Objekt derselben war wahrscheinlich von Anfang an der Arzt Flechsig, und das Sträuben gegen diese libidinöse Regung erzeugte den Konflikt, aus dem die Krankheitserscheinungen entsprangen.</w:t>
      </w:r>
    </w:p>
    <w:p w:rsidR="00822836" w:rsidRPr="00405E14" w:rsidRDefault="00822836" w:rsidP="00822836">
      <w:pPr>
        <w:pStyle w:val="Sansinterligne"/>
        <w:rPr>
          <w:rFonts w:ascii="Garamond" w:hAnsi="Garamond"/>
        </w:rPr>
      </w:pPr>
      <w:r w:rsidRPr="00405E14">
        <w:rPr>
          <w:rFonts w:ascii="Garamond" w:hAnsi="Garamond"/>
          <w:lang w:val="en-US"/>
        </w:rPr>
        <w:t xml:space="preserve">Ich mache vor einer Flut von Anwürfen und Einwendungen einen Augenblick halt. </w:t>
      </w:r>
      <w:r w:rsidRPr="00405E14">
        <w:rPr>
          <w:rFonts w:ascii="Garamond" w:hAnsi="Garamond"/>
        </w:rPr>
        <w:t>Wer die heutige Psychiatrie kennt, darf sich auf Arges gefaßt machen.</w:t>
      </w:r>
    </w:p>
    <w:p w:rsidR="00822836" w:rsidRPr="00405E14" w:rsidRDefault="00822836" w:rsidP="00822836">
      <w:pPr>
        <w:pStyle w:val="Sansinterligne"/>
        <w:rPr>
          <w:rFonts w:ascii="Garamond" w:hAnsi="Garamond"/>
          <w:lang w:val="en-US"/>
        </w:rPr>
      </w:pPr>
      <w:r w:rsidRPr="00405E14">
        <w:rPr>
          <w:rFonts w:ascii="Garamond" w:hAnsi="Garamond"/>
        </w:rPr>
        <w:t xml:space="preserve">Ist es nicht eine unverantwortliche Leichtfertigkeit, Indiskretion und Verleumdung, einen ethisch so hochstehenden Mann wie den Senatspräsidenten a. D. Schreber der Homosexualität zu bezichtigen? Nein, der Kranke hat seine Phantasie der Verwandlung in ein Weib selbst der Mitwelt kundgegeben und sich aus Interessen höherer Einsicht über persönliche Empfindlichkeiten hinweggesetzt. Er hat uns also selbst das Recht gegeben, uns mit dieser Phantasie zu beschäftigen, und unsere Übersetzung in die medizinischen Kunstworte hat dem Inhalte derselben nicht das mindeste hinzugefügt. – Ja, aber das tat er als Kranker; sein Wahn, in ein Weib verwandelt zu werden, war eine krankhafte Idee. – Das haben wir nicht vergessen. </w:t>
      </w:r>
      <w:r w:rsidRPr="00405E14">
        <w:rPr>
          <w:rFonts w:ascii="Garamond" w:hAnsi="Garamond"/>
          <w:lang w:val="en-US"/>
        </w:rPr>
        <w:t>Wir haben es auch nur mit der Bedeutung und der Herkunft dieser krankhaften Idee zu tun. Wir berufen uns auf seine eigene Unterscheidung zwischen dem Menschen Flechsig und der »Flechsig-Seele«. Wir werfen ihm überhaupt nichts vor, weder daß er homosexuelle Regungen hatte, noch daß er sich bestrebte, sie zu verdrängen. Die Psychiater sollten endlich von diesem Kranken lernen, wenn er sich in all seinem Wahn bemüht, die Welt des Unbewußten nicht mit der Welt der Realität zu verwechseln.</w:t>
      </w:r>
    </w:p>
    <w:p w:rsidR="00822836" w:rsidRPr="00405E14" w:rsidRDefault="00822836" w:rsidP="00822836">
      <w:pPr>
        <w:pStyle w:val="Sansinterligne"/>
        <w:rPr>
          <w:rFonts w:ascii="Garamond" w:hAnsi="Garamond"/>
        </w:rPr>
      </w:pPr>
      <w:r w:rsidRPr="00405E14">
        <w:rPr>
          <w:rFonts w:ascii="Garamond" w:hAnsi="Garamond"/>
          <w:lang w:val="en-US"/>
        </w:rPr>
        <w:t xml:space="preserve">Aber es wird an keiner Stelle ausdrücklich gesagt, daß die gefürchtete Verwandlung in ein Weib zum Vorteile Flechsigs erfolgen solle? – Das ist richtig, und es ist nicht schwer zu verstehen, daß in den für die Öffentlichkeit bestimmten </w:t>
      </w:r>
      <w:r w:rsidRPr="00405E14">
        <w:rPr>
          <w:rFonts w:ascii="Garamond" w:hAnsi="Garamond"/>
          <w:i/>
          <w:iCs/>
          <w:lang w:val="en-US"/>
        </w:rPr>
        <w:t>Denkwürdigkeiten</w:t>
      </w:r>
      <w:r w:rsidRPr="00405E14">
        <w:rPr>
          <w:rFonts w:ascii="Garamond" w:hAnsi="Garamond"/>
          <w:lang w:val="en-US"/>
        </w:rPr>
        <w:t xml:space="preserve">, die den Menschen »Flechsig« nicht beleidigen wollten, eine so grelle Beschuldigung vermieden wird. Die durch solche Rücksicht hervorgerufene Milderung des Ausdrucks reicht aber nicht so weit, daß sie den eigentlichen Sinn der Anklage verdecken könnte. Man darf behaupten, es ist doch auch ausdrücklich gesagt, z. B. in folgender Stelle (S. 56): »Auf diese Weise wurde ein gegen mich gerichtetes Komplott fertig (etwa im März oder April 1894), welches dahin ging, nach einmal erkannter oder angenommener Unheilbarkeit meiner Nervenkrankheit </w:t>
      </w:r>
      <w:r w:rsidRPr="00405E14">
        <w:rPr>
          <w:rFonts w:ascii="Garamond" w:hAnsi="Garamond"/>
          <w:i/>
          <w:iCs/>
          <w:lang w:val="en-US"/>
        </w:rPr>
        <w:t>mich einem Menschen in der Weise auszuliefern</w:t>
      </w:r>
      <w:r w:rsidRPr="00405E14">
        <w:rPr>
          <w:rFonts w:ascii="Garamond" w:hAnsi="Garamond"/>
          <w:lang w:val="en-US"/>
        </w:rPr>
        <w:t xml:space="preserve">, daß meine Seele demselben überlassen, mein Körper aber, . . . in einen weiblichen Körper verwandelt, </w:t>
      </w:r>
      <w:r w:rsidRPr="00405E14">
        <w:rPr>
          <w:rFonts w:ascii="Garamond" w:hAnsi="Garamond"/>
          <w:i/>
          <w:iCs/>
          <w:lang w:val="en-US"/>
        </w:rPr>
        <w:t>als solcher dem betreffenden Menschen</w:t>
      </w:r>
      <w:r w:rsidRPr="00405E14">
        <w:rPr>
          <w:rFonts w:ascii="Garamond" w:hAnsi="Garamond"/>
          <w:lang w:val="en-US"/>
        </w:rPr>
        <w:t xml:space="preserve"> zum geschlechtlichen Mißbrauch überlassen . . . werden sollte.« </w:t>
      </w:r>
      <w:hyperlink r:id="rId1220"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Diese Hervorhebungen habe ich angebracht.</w:t>
        </w:r>
      </w:hyperlink>
      <w:r w:rsidRPr="00405E14">
        <w:rPr>
          <w:rFonts w:ascii="Garamond" w:hAnsi="Garamond"/>
          <w:lang w:val="en-US"/>
        </w:rPr>
        <w:t xml:space="preserve"> Es ist überflüssig zu bemerken, daß keine andere Einzelperson je genannt wird, die man an die Stelle Flechsigs treten lassen könnte. Zu Ende des Aufenthaltes in der Leipziger Klinik taucht die Befürchtung auf, daß er zum Zwecke geschlechtlichen Mißbrauches »den Wärtern vorgeworfen werden sollte« (S. 98). Die in der weiteren Entwicklung des Wahnes ohne Scheu bekannte feminine Einstellung gegen Gott löscht dann wohl den letzten Zweifel an der ursprünglich dem Arzte zugedachten Rolle aus. Der andere der gegen Flechsig erhobenen Vorwürfe </w:t>
      </w:r>
      <w:r w:rsidRPr="00405E14">
        <w:rPr>
          <w:rFonts w:ascii="Garamond" w:hAnsi="Garamond"/>
          <w:lang w:val="en-US"/>
        </w:rPr>
        <w:lastRenderedPageBreak/>
        <w:t xml:space="preserve">hallt überlaut durch das Buch. Er habe Seelenmord an ihm versucht. Wir wissen bereits, daß der Tatbestand dieses Verbrechens dem Kranken selbst unklar ist, daß er aber mit diskreten Dingen in Beziehung steht, die man von der Veröffentlichung ausschließen muß (Kapitel III). Ein einziger Faden führt hier weiter. Der Seelenmord wird durch die Anlehnung an den Sageninhalt von Goethes </w:t>
      </w:r>
      <w:r w:rsidRPr="00405E14">
        <w:rPr>
          <w:rFonts w:ascii="Garamond" w:hAnsi="Garamond"/>
          <w:i/>
          <w:iCs/>
          <w:lang w:val="en-US"/>
        </w:rPr>
        <w:t>Faust</w:t>
      </w:r>
      <w:r w:rsidRPr="00405E14">
        <w:rPr>
          <w:rFonts w:ascii="Garamond" w:hAnsi="Garamond"/>
          <w:lang w:val="en-US"/>
        </w:rPr>
        <w:t xml:space="preserve">, Lord Byrons </w:t>
      </w:r>
      <w:r w:rsidRPr="00405E14">
        <w:rPr>
          <w:rFonts w:ascii="Garamond" w:hAnsi="Garamond"/>
          <w:i/>
          <w:iCs/>
          <w:lang w:val="en-US"/>
        </w:rPr>
        <w:t>Manfred</w:t>
      </w:r>
      <w:r w:rsidRPr="00405E14">
        <w:rPr>
          <w:rFonts w:ascii="Garamond" w:hAnsi="Garamond"/>
          <w:lang w:val="en-US"/>
        </w:rPr>
        <w:t xml:space="preserve">, Webers </w:t>
      </w:r>
      <w:r w:rsidRPr="00405E14">
        <w:rPr>
          <w:rFonts w:ascii="Garamond" w:hAnsi="Garamond"/>
          <w:i/>
          <w:iCs/>
          <w:lang w:val="en-US"/>
        </w:rPr>
        <w:t>Freischütz</w:t>
      </w:r>
      <w:r w:rsidRPr="00405E14">
        <w:rPr>
          <w:rFonts w:ascii="Garamond" w:hAnsi="Garamond"/>
          <w:lang w:val="en-US"/>
        </w:rPr>
        <w:t xml:space="preserve"> usw. erläutert (S. 22), und unter diesen Beispielen wird eines auch an anderer Stelle hervorgehoben. Bei der Besprechung der Spaltung Gottes in zwei Personen werden der »niedere« und der »obere« Gott von Schreber mit Ariman und Ormuzd identifiziert (S. 19), und etwas später steht die beiläufige Bemerkung: »Der Name Ariman kommt übrigens auch z. B. in Lord Byrons </w:t>
      </w:r>
      <w:r w:rsidRPr="00405E14">
        <w:rPr>
          <w:rFonts w:ascii="Garamond" w:hAnsi="Garamond"/>
          <w:i/>
          <w:iCs/>
          <w:lang w:val="en-US"/>
        </w:rPr>
        <w:t>Manfred</w:t>
      </w:r>
      <w:r w:rsidRPr="00405E14">
        <w:rPr>
          <w:rFonts w:ascii="Garamond" w:hAnsi="Garamond"/>
          <w:lang w:val="en-US"/>
        </w:rPr>
        <w:t xml:space="preserve"> in Zusammenhang mit einem Seelenmord vor« (S. 20). In der so ausgezeichneten Dichtung findet sich kaum etwas, was man dem Seelenpakt im </w:t>
      </w:r>
      <w:r w:rsidRPr="00405E14">
        <w:rPr>
          <w:rFonts w:ascii="Garamond" w:hAnsi="Garamond"/>
          <w:i/>
          <w:iCs/>
          <w:lang w:val="en-US"/>
        </w:rPr>
        <w:t>Faust</w:t>
      </w:r>
      <w:r w:rsidRPr="00405E14">
        <w:rPr>
          <w:rFonts w:ascii="Garamond" w:hAnsi="Garamond"/>
          <w:lang w:val="en-US"/>
        </w:rPr>
        <w:t xml:space="preserve"> an die Seite stellen könnte, auch den Ausdruck »Seelenmord« suchte ich dort vergeblich, wohl aber ist der Kern und das Geheimnis des Gedichtes ein – Geschwisterinzest. Hier reißt der kurze Faden wieder ab </w:t>
      </w:r>
      <w:hyperlink r:id="rId1221"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 xml:space="preserve">Zur Erhärtung der obenstehenden Behauptung: Manfred sagt dem Dämon, der ihn aus dem Leben holen will (Schlußszene): </w:t>
        </w:r>
        <w:r w:rsidRPr="00405E14">
          <w:rPr>
            <w:rFonts w:ascii="Garamond" w:hAnsi="Garamond"/>
            <w:u w:val="single"/>
            <w:lang w:val="en-US"/>
          </w:rPr>
          <w:br/>
        </w:r>
        <w:r w:rsidRPr="00405E14">
          <w:rPr>
            <w:rFonts w:ascii="Garamond" w:hAnsi="Garamond"/>
            <w:u w:val="single"/>
            <w:lang w:val="en-US"/>
          </w:rPr>
          <w:br/>
        </w:r>
        <w:r w:rsidRPr="00405E14">
          <w:rPr>
            <w:rStyle w:val="innerfusslink"/>
            <w:rFonts w:ascii="Garamond" w:eastAsiaTheme="majorEastAsia" w:hAnsi="Garamond"/>
            <w:color w:val="C00000"/>
            <w:lang w:val="en-US"/>
          </w:rPr>
          <w:t xml:space="preserve">» . . . </w:t>
        </w:r>
        <w:r w:rsidRPr="00405E14">
          <w:rPr>
            <w:rStyle w:val="innerfusslink"/>
            <w:rFonts w:ascii="Garamond" w:eastAsiaTheme="majorEastAsia" w:hAnsi="Garamond"/>
            <w:i/>
            <w:iCs/>
            <w:color w:val="C00000"/>
            <w:lang w:val="en-US"/>
          </w:rPr>
          <w:t xml:space="preserve">my past power </w:t>
        </w:r>
        <w:r w:rsidRPr="00405E14">
          <w:rPr>
            <w:rFonts w:ascii="Garamond" w:hAnsi="Garamond"/>
            <w:i/>
            <w:iCs/>
            <w:u w:val="single"/>
            <w:lang w:val="en-US"/>
          </w:rPr>
          <w:br/>
        </w:r>
        <w:r w:rsidRPr="00405E14">
          <w:rPr>
            <w:rStyle w:val="innerfusslink"/>
            <w:rFonts w:ascii="Garamond" w:eastAsiaTheme="majorEastAsia" w:hAnsi="Garamond"/>
            <w:i/>
            <w:iCs/>
            <w:color w:val="C00000"/>
            <w:lang w:val="en-US"/>
          </w:rPr>
          <w:t>was purchased by no compact with thy crew.</w:t>
        </w:r>
        <w:r w:rsidRPr="00405E14">
          <w:rPr>
            <w:rStyle w:val="innerfusslink"/>
            <w:rFonts w:ascii="Garamond" w:eastAsiaTheme="majorEastAsia" w:hAnsi="Garamond"/>
            <w:color w:val="C00000"/>
            <w:lang w:val="en-US"/>
          </w:rPr>
          <w:t xml:space="preserve">« </w:t>
        </w:r>
        <w:r w:rsidRPr="00405E14">
          <w:rPr>
            <w:rFonts w:ascii="Garamond" w:hAnsi="Garamond"/>
            <w:u w:val="single"/>
            <w:lang w:val="en-US"/>
          </w:rPr>
          <w:br/>
        </w:r>
        <w:r w:rsidRPr="00405E14">
          <w:rPr>
            <w:rFonts w:ascii="Garamond" w:hAnsi="Garamond"/>
            <w:u w:val="single"/>
            <w:lang w:val="en-US"/>
          </w:rPr>
          <w:br/>
        </w:r>
        <w:r w:rsidRPr="00405E14">
          <w:rPr>
            <w:rStyle w:val="innerfusslink"/>
            <w:rFonts w:ascii="Garamond" w:eastAsiaTheme="majorEastAsia" w:hAnsi="Garamond"/>
            <w:color w:val="C00000"/>
            <w:lang w:val="en-US"/>
          </w:rPr>
          <w:t xml:space="preserve">Es wird also dem Seelenpakte direkt widersprochen. Dieser Irrtum Schrebers ist wahrscheinlich nicht tendenzlos. – Es lag übrigens nahe, diesen Inhalt des </w:t>
        </w:r>
        <w:r w:rsidRPr="00405E14">
          <w:rPr>
            <w:rStyle w:val="innerfusslink"/>
            <w:rFonts w:ascii="Garamond" w:eastAsiaTheme="majorEastAsia" w:hAnsi="Garamond"/>
            <w:i/>
            <w:iCs/>
            <w:color w:val="C00000"/>
            <w:lang w:val="en-US"/>
          </w:rPr>
          <w:t>Manfred</w:t>
        </w:r>
        <w:r w:rsidRPr="00405E14">
          <w:rPr>
            <w:rStyle w:val="innerfusslink"/>
            <w:rFonts w:ascii="Garamond" w:eastAsiaTheme="majorEastAsia" w:hAnsi="Garamond"/>
            <w:color w:val="C00000"/>
            <w:lang w:val="en-US"/>
          </w:rPr>
          <w:t xml:space="preserve"> mit der wiederholt behaupteten inzestuösen Beziehung des Dichters zu seiner Halbschwester in Zusammenhang zu bringen, und es bleibt auffällig, daß das andere Drama Byrons, der großartige </w:t>
        </w:r>
        <w:r w:rsidRPr="00405E14">
          <w:rPr>
            <w:rStyle w:val="innerfusslink"/>
            <w:rFonts w:ascii="Garamond" w:eastAsiaTheme="majorEastAsia" w:hAnsi="Garamond"/>
            <w:i/>
            <w:iCs/>
            <w:color w:val="C00000"/>
            <w:lang w:val="en-US"/>
          </w:rPr>
          <w:t>Cain</w:t>
        </w:r>
        <w:r w:rsidRPr="00405E14">
          <w:rPr>
            <w:rStyle w:val="innerfusslink"/>
            <w:rFonts w:ascii="Garamond" w:eastAsiaTheme="majorEastAsia" w:hAnsi="Garamond"/>
            <w:color w:val="C00000"/>
            <w:lang w:val="en-US"/>
          </w:rPr>
          <w:t>, in der Urfamilie spielt, in welcher der Inzest unter Geschwistern vorwurfsfrei bleiben muß. – Auch wollen wir das Thema des Seelenmordes nicht verlassen, ohne noch folgender Stelle zu gedenken: »wobei in früherer Zeit Flechsig als Urheber des Seelenmords genannt wurde, während man jetzt schon seit längerer Zeit in beabsichtigter Umkehr des Verhältnisses mich selbst als denjenigen, der Seelenmord getrieben habe, ›darstellen‹ will, . . .«</w:t>
        </w:r>
      </w:hyperlink>
      <w:r w:rsidRPr="00405E14">
        <w:rPr>
          <w:rFonts w:ascii="Garamond" w:hAnsi="Garamond"/>
        </w:rPr>
        <w:t>.</w:t>
      </w:r>
    </w:p>
    <w:p w:rsidR="00822836" w:rsidRPr="00405E14" w:rsidRDefault="00822836" w:rsidP="00822836">
      <w:pPr>
        <w:pStyle w:val="Sansinterligne"/>
        <w:rPr>
          <w:rFonts w:ascii="Garamond" w:hAnsi="Garamond"/>
          <w:lang w:val="en-US"/>
        </w:rPr>
      </w:pPr>
      <w:r w:rsidRPr="00405E14">
        <w:rPr>
          <w:rFonts w:ascii="Garamond" w:hAnsi="Garamond"/>
        </w:rPr>
        <w:t xml:space="preserve">Indem wir uns vorbehalten, auf weitere Einwendungen im Verlaufe dieser Arbeit zurückzukommen, wollen wir uns nun für berechtigt erklären, an einem Ausbruch einer homosexuellen Regung als Grundlage der Erkrankung Schrebers festzuhalten. Zu dieser Annahme stimmt ein beachtenswertes, sonst nicht zu erklärendes Detail der Krankengeschichte. Ein weiterer und für den Verlauf entscheidender »Nervensturz« trat bei dem Kranken ein, während seine Frau einen kurzen Urlaub zu ihrer eigenen Erholung nahm. </w:t>
      </w:r>
      <w:r w:rsidRPr="00405E14">
        <w:rPr>
          <w:rFonts w:ascii="Garamond" w:hAnsi="Garamond"/>
          <w:lang w:val="en-US"/>
        </w:rPr>
        <w:t>Sie hatte bis dahin täglich mehrere Stunden bei ihm verbracht und die Mittagsmahlzeiten mit ihm eingenommen. Als sie nach viertägiger Abwesenheit zurückkam, traf sie ihn aufs traurigste verändert, so daß er selbst sie nicht mehr zu sehen wünschte. »Entscheidend für meinen geistigen Zusammenbruch war namentlich eine Nacht, in welcher ich eine ganz ungewöhnliche Anzahl von Pollutionen (wohl ein halbes Dutzend) in dieser einen Nacht hatte.« (S. 44.) Wir verstehen es wohl, daß bloß von der Anwesenheit der Frau schützende Einflüsse gegen die Anziehung der ihn umgebenden Männer ausgingen, und wenn wir zugeben, daß ein Pollutionsvorgang bei einem Erwachsenen nicht ohne seelische Mitbeteiligung erfolgen kann, werden wir zu den Pollutionen jener Nacht unbewußt gebliebene homosexuelle Phantasien ergänzen.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Warum dieser Ausbruch homosexueller Libido den Patienten gerade zu jener Zeit, in der Situation zwischen der Ernennung und der Übersiedlung traf, das können wir ohne genauere Kenntnis seiner Lebensgeschichte nicht erraten. Im allgemeinen schwankt der Mensch sein Leben lang zwischen heterosexuellem und homosexuellem Fühlen, und Versagung oder Enttäuschung von der einen Seite pflegt ihn zur andern hinüberzudrängen. Von diesen Momenten ist uns bei Schreber nichts bekannt; wir wollen aber nicht versäumen, auf einen somatischen Faktor aufmerksam zu machen, der sehr wohl in Betracht kommen könnte. Dr. Schreber war zur Zeit dieser Erkrankung 51 Jahre alt, er befand sich in jener für das Sexualleben kritischen Lebenszeit, in welcher nach vorheriger Steigerung die sexuelle Funktion des Weibes eine eingreifende Rückbildung erfährt, von deren Bedeutsamkeit aber auch der Mann nicht ausgenommen zu sein scheint; es gibt auch für den Mann ein »Klimakterium« mit den abfolgenden Krankheitsdispositionen </w:t>
      </w:r>
      <w:hyperlink r:id="rId1222"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 xml:space="preserve">Ich verdanke die Kenntnis des Alters Schrebers bei seiner Erkrankung einer freundlichen Mitteilung von Seiten seiner Verwandten, die Herr Dr. Stegmann in Dresden für mich eingeholt hat. In dieser Abhandlung ist aber sonst nichts anderes verwertet, als was aus dem Text der </w:t>
        </w:r>
        <w:r w:rsidRPr="00405E14">
          <w:rPr>
            <w:rStyle w:val="innerfusslink"/>
            <w:rFonts w:ascii="Garamond" w:eastAsiaTheme="majorEastAsia" w:hAnsi="Garamond"/>
            <w:i/>
            <w:iCs/>
            <w:color w:val="C00000"/>
            <w:lang w:val="en-US"/>
          </w:rPr>
          <w:t>Denkwürdigkeiten</w:t>
        </w:r>
        <w:r w:rsidRPr="00405E14">
          <w:rPr>
            <w:rStyle w:val="innerfusslink"/>
            <w:rFonts w:ascii="Garamond" w:eastAsiaTheme="majorEastAsia" w:hAnsi="Garamond"/>
            <w:color w:val="C00000"/>
            <w:lang w:val="en-US"/>
          </w:rPr>
          <w:t xml:space="preserve"> selbst hervorgeht.</w:t>
        </w:r>
      </w:hyperlink>
      <w:r w:rsidRPr="00405E14">
        <w:rPr>
          <w:rFonts w:ascii="Garamond" w:hAnsi="Garamond"/>
          <w:lang w:val="en-US"/>
        </w:rPr>
        <w: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Ich kann es mir denken, wie mißlich die Annahme erscheinen muß, daß eine Empfindung von Sympathie für einen Arzt bei einem Manne acht Jahre später </w:t>
      </w:r>
      <w:hyperlink r:id="rId1223"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Das Intervall zwischen der ersten und der zweiten Erkrankung Schrebers.</w:t>
        </w:r>
      </w:hyperlink>
      <w:r w:rsidRPr="00405E14">
        <w:rPr>
          <w:rFonts w:ascii="Garamond" w:hAnsi="Garamond"/>
          <w:lang w:val="en-US"/>
        </w:rPr>
        <w:t xml:space="preserve"> plötzlich verstärkt hervorbrechen und zum Anlaß einer so schweren </w:t>
      </w:r>
      <w:r w:rsidRPr="00405E14">
        <w:rPr>
          <w:rFonts w:ascii="Garamond" w:hAnsi="Garamond"/>
          <w:lang w:val="en-US"/>
        </w:rPr>
        <w:lastRenderedPageBreak/>
        <w:t>Seelenstörung werden kann. Ich meine aber, wir haben nicht das Recht, eine solche Annahme, wenn sie uns sonst empfohlen wird, ihrer inneren Unwahrscheinlichkeit wegen fallenzulassen, anstatt zu versuchen, wieweit man mit ihrer Durchführung kommt. Diese Unwahrscheinlichkeit mag eine vorläufige sein und daher rühren, daß die fragliche Annahme noch in keinen Zusammenhang eingereiht ist, daß sie die erste Annahme ist, mit welcher wir an das Problem herantreten. Wer sein Urteil nicht in der Schwebe zu halten versteht und unsere Annahme durchaus unerträglich findet, dem können wir leicht eine Möglichkeit zeigen, durch welche dieselbe ihren befremdenden Charakter verliert. Die Sympathieempfindung für den Arzt kann leicht einem »Übertragungsvorgang« entstammen, durch welchen eine Gefühlsbesetzung beim Kranken von einer für ihn bedeutsamen Person auf die eigentlich indifferente des Arztes verlegt wird, so daß der Arzt zum Ersatzmann, zum Surrogat, für einen dem Kranken weit näher Stehenden erwählt erscheint. Konkreter gesprochen, der Kranke ist durch den Arzt an das Wesen seines Bruders oder seines Vaters erinnert worden, hat seinen Bruder oder Vater in ihm wiedergefunden, und dann hat es unter gewissen Bedingungen nichts Befremdendes mehr, wenn die Sehnsucht nach dieser Ersatzperson bei ihm wieder auftritt und mit einer Heftigkeit wirkt, die sich nur aus ihrer Herkunft und ursprünglichen Bedeutung verstehen läßt.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Im Interesse dieses Erklärungsversuches mußte es mir wissenswert erscheinen, ob der Vater des Patienten zur Zeit seiner Erkrankung noch am Leben war, ob er einen Bruder gehabt und ob dieser zur gleichen Zeit ein Lebender oder ein »Seliger« war. Ich war also befriedigt, als ich nach langem Suchen in den </w:t>
      </w:r>
      <w:r w:rsidRPr="00405E14">
        <w:rPr>
          <w:rFonts w:ascii="Garamond" w:hAnsi="Garamond"/>
          <w:i/>
          <w:iCs/>
          <w:lang w:val="en-US"/>
        </w:rPr>
        <w:t>Denkwürdigkeiten</w:t>
      </w:r>
      <w:r w:rsidRPr="00405E14">
        <w:rPr>
          <w:rFonts w:ascii="Garamond" w:hAnsi="Garamond"/>
          <w:lang w:val="en-US"/>
        </w:rPr>
        <w:t xml:space="preserve"> endlich auf eine Stelle stieß, in welcher der Kranke diese Unsicherheit durch die Worte behebt: »Das Andenken meines Vaters und meines Bruders . . . ist mir so heilig wie« usw. (S. 442.) Beide waren also zur Zeit der zweiten Erkrankung (vielleicht auch der ersten?) schon verstorben.</w:t>
      </w:r>
    </w:p>
    <w:p w:rsidR="00822836" w:rsidRPr="00405E14" w:rsidRDefault="00822836" w:rsidP="00822836">
      <w:pPr>
        <w:pStyle w:val="Sansinterligne"/>
        <w:rPr>
          <w:rFonts w:ascii="Garamond" w:hAnsi="Garamond"/>
          <w:lang w:val="en-US"/>
        </w:rPr>
      </w:pPr>
      <w:r w:rsidRPr="00405E14">
        <w:rPr>
          <w:rFonts w:ascii="Garamond" w:hAnsi="Garamond"/>
          <w:lang w:val="en-US"/>
        </w:rPr>
        <w:t>Ich denke, wir sträuben uns nicht weiter gegen die Annahme, daß der Anlaß der Erkrankung das Auftreten einer femininen (passiv homosexuellen) Wunschphantasie war, welche die Person des Arztes zu ihrem Objekte genommen hatte. Gegen dieselbe erhob sich von seiten der Persönlichkeit Schrebers ein intensiver Widerstand, und der Abwehrkampf, der vielleicht ebensowohl in anderen Formen sich hätte vollziehen können, wählte aus uns unbekannten Gründen die Form des Verfolgungswahnes. Der Ersehnte wurde jetzt zum Verfolger, der Inhalt der Wunschphantasie zum Inhalte der Verfolgung. Wir vermuten, daß diese schematische Auffassung sich auch bei anderen Fällen von Verfolgungswahn als durchführbar erweisen wird. Was aber den Fall Schreber vor anderen auszeichnet, das ist die Entwicklung, die er nimmt, und die Verwandlung, der er im Laufe dieser Entwicklung unterliegt.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Die eine dieser Wandlungen besteht in der Ersetzung Flechsigs durch die höhere Person Gottes; sie scheint zunächst eine Verschärfung des Konfliktes, eine Steigerung der unerträglichen Verfolgung zu bedeuten, aber es zeigt sich bald, daß sie die zweite Wandlung und mit ihr die Lösung des Konflikts vorbereitet. Wenn es unmöglich war, sich mit der Rolle der weiblichen Dirne gegen den Arzt zu befreunden, so stößt die Aufgabe, Gott selbst die Wollust zu bieten, die er sucht, nicht auf den gleichen Widerstand des Ichs. Die Entmannung ist kein Schimpf mehr, sie wird »weltordnungsgemäß«, tritt in einen großen kosmischen Zusammenhang ein, dient den Zwecken einer Neuschöpfung der untergegangenen Menschenwelt. »Neue Menschen aus Schreberschem Geist« werden in dem sich verfolgt Wähnenden ihren Ahnen verehren. Somit ist ein Ausweg gefunden, der beide streitenden Teile befriedigt. Das Ich ist durch den Größenwahn entschädigt, die feminine Wunschphantasie aber ist durchgedrungen, akzeptabel geworden. Kampf und Krankheit können aufhören. Nur daß die unterdes erstarkte Rücksicht auf die Wirklichkeit dazu nötigt, die Lösung aus der Gegenwart in die ferne Zukunft zu verschieben, sich mit einer sozusagen asymptotischen Wunscherfüllung zu begnügen </w:t>
      </w:r>
      <w:hyperlink r:id="rId1224"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»Nur als Möglichkeiten, die hierbei in Betracht kämen, erwähne ich eine doch noch etwa zu vollziehende Entmannung mit der Wirkung, daß im Wege göttlicher Befruchtung eine Nachkommenschaft aus meinem Schoße hervorginge«, heißt es gegen Ende des Buches, S. 290.</w:t>
        </w:r>
      </w:hyperlink>
      <w:r w:rsidRPr="00405E14">
        <w:rPr>
          <w:rFonts w:ascii="Garamond" w:hAnsi="Garamond"/>
          <w:lang w:val="en-US"/>
        </w:rPr>
        <w:t>. Die Verwandlung in ein Weib wird voraussichtlich irgend einmal eintreten; bis dahin wird die Person des Dr. Schreber unzerstörbar bleiben.</w:t>
      </w:r>
    </w:p>
    <w:p w:rsidR="00822836" w:rsidRPr="00405E14" w:rsidRDefault="00822836" w:rsidP="00822836">
      <w:pPr>
        <w:pStyle w:val="Sansinterligne"/>
        <w:rPr>
          <w:rFonts w:ascii="Garamond" w:hAnsi="Garamond"/>
        </w:rPr>
      </w:pPr>
      <w:r w:rsidRPr="00405E14">
        <w:rPr>
          <w:rFonts w:ascii="Garamond" w:hAnsi="Garamond"/>
          <w:lang w:val="en-US"/>
        </w:rPr>
        <w:t xml:space="preserve">In den Lehrbüchern der Psychiatrie ist häufig die Rede von einer Entwicklung des Größenwahns aus dem Verfolgungswahn, die auf folgende Art vor sich gehen soll: Der Kranke, der primär vom Wahne befallen worden ist, Gegenstand der Verfolgung von Seiten der stärksten Mächte zu sein, fühlt das Bedürfnis, sich diese Verfolgung zu erklären, und gerät so auf die Annahme, er sei selbst eine großartige Persönlichkeit, einer solchen Verfolgung würdig. Die Auslösung des Größenwahnes wird somit einem Vorgange zugeschrieben, den wir nach einem guten Wort von E. Jones »Rationalisierung« heißen. Wir halten es aber für ein ganz und gar unpsychologisches Vorgehen, einer Rationalisierung so stark affektive Konsequenzen zuzutrauen, und wollen unsere Meinung daher scharf sondern von der aus den Lehrbüchern zitierten. </w:t>
      </w:r>
      <w:r w:rsidRPr="00405E14">
        <w:rPr>
          <w:rFonts w:ascii="Garamond" w:hAnsi="Garamond"/>
        </w:rPr>
        <w:t>Wir behaupten zunächst nicht, die Quelle des Größenwahnes zu kennen.</w:t>
      </w:r>
    </w:p>
    <w:p w:rsidR="00822836" w:rsidRPr="00405E14" w:rsidRDefault="00822836" w:rsidP="00822836">
      <w:pPr>
        <w:pStyle w:val="Sansinterligne"/>
        <w:rPr>
          <w:rFonts w:ascii="Garamond" w:hAnsi="Garamond"/>
          <w:lang w:val="en-US"/>
        </w:rPr>
      </w:pPr>
      <w:r w:rsidRPr="00405E14">
        <w:rPr>
          <w:rFonts w:ascii="Garamond" w:hAnsi="Garamond"/>
        </w:rPr>
        <w:lastRenderedPageBreak/>
        <w:t xml:space="preserve">Wenn wir nun zum Falle Schreber zurückkehren, müssen wir gestehen, daß die Durchleuchtung der Wandlung in seinem Wahn ganz außerordentliche Schwierigkeiten bietet. </w:t>
      </w:r>
      <w:r w:rsidRPr="00405E14">
        <w:rPr>
          <w:rFonts w:ascii="Garamond" w:hAnsi="Garamond"/>
          <w:lang w:val="en-US"/>
        </w:rPr>
        <w:t xml:space="preserve">Auf welchen Wegen und mit welchen Mitteln vollzieht sich der Aufstieg von Flechsig zu Gott? Woher bezieht er den Größenwahn, der in so glücklicherweise eine Versöhnung mit der Verfolgung ermöglicht, analytisch ausgedrückt, die Annahme der zu verdrängenden Wunschphantasie gestattet? Die </w:t>
      </w:r>
      <w:r w:rsidRPr="00405E14">
        <w:rPr>
          <w:rFonts w:ascii="Garamond" w:hAnsi="Garamond"/>
          <w:i/>
          <w:iCs/>
          <w:lang w:val="en-US"/>
        </w:rPr>
        <w:t>Denkwürdigkeiten</w:t>
      </w:r>
      <w:r w:rsidRPr="00405E14">
        <w:rPr>
          <w:rFonts w:ascii="Garamond" w:hAnsi="Garamond"/>
          <w:lang w:val="en-US"/>
        </w:rPr>
        <w:t xml:space="preserve"> geben uns hier zunächst einen Anhaltspunkt, indem sie uns zeigen, daß für den Kranken »Flechsig« und »Gott« in einer Reihe liegen. Eine Phantasie läßt ihn ein Gespräch Flechsigs mit seiner Frau belauschen, in dem dieser sich als »Gott Flechsig« vorstellt und darob von ihr für verrückt gehalten wird (S. 82), ferner aber werden wir auf folgenden Zug der Schreberschen Wahnbildung aufmerksam. Wie der Verfolger sich, wenn wir das Ganze des Wahnes überblicken, in Flechsig und Gott zerlegt, so spaltet sich Flechsig selbst später in zwei Persönlichkeiten, in den »oberen« und den »mittleren« Flechsig und Gott in den »niederen« und den »oberen« Gott. Bei Flechsig geht die Zerlegung in späten Stadien der Krankheit noch weiter (S. 193). Eine solche Zerlegung ist für die Paranoia recht charakteristisch. Die Paranoia zerlegt, so wie die Hysterie verdichtet. Oder vielmehr, die Paranoia bringt die in der unbewußten Phantasie vorgenommenen Verdichtungen und Identifizierungen wieder zur Auflösung. Daß diese Zerlegung bei Schreber mehrmals wiederholt wird, ist nach C. G. Jung </w:t>
      </w:r>
      <w:hyperlink r:id="rId1225"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C. G. Jung (1910). Es ist wahrscheinlich richtig, wenn Jung fortfährt, daß diese Zerlegung, der allgemeinen Tendenz der Schizophrenie entsprechend, eine analytisch depotenzierende ist, welche das Zustandekommen zu starker Eindrücke verhindern soll. Die Rede einer seiner Patientinnen: »Ah, sind Sie auch ein Dr. J., heute morgen war schon einer bei mir, der sich für Dr. J. ausgab«, ist aber zu übersetzen durch ein Geständnis: »Jetzt erinnern Sie mich wieder an einen andern aus der Reihe meiner Übertragungen als bei Ihrem vorigen Besuch.«</w:t>
        </w:r>
      </w:hyperlink>
      <w:r w:rsidRPr="00405E14">
        <w:rPr>
          <w:rFonts w:ascii="Garamond" w:hAnsi="Garamond"/>
          <w:lang w:val="en-US"/>
        </w:rPr>
        <w:t xml:space="preserve"> Ausdruck der Bedeutsamkeit der betreffenden Person. Alle diese Spaltungen Flechsigs und Gottes in mehrere Personen bedeuten also das nämliche wie die Zerteilung des Verfolgers in Flechsig und Gott. Es sind Doublierungen desselben bedeutsamen Verhältnisses, wie sie O. Rank (1909) in den Mythenbildungen erkannt hat. Für die Deutung all dieser Einzelzüge erübrigt uns aber der Hinweis auf die Zerlegung des Verfolgers in Flechsig und Gott und die Auffassung dieser Zerlegung als paranoide Reaktion auf eine vorhanden gewesene Identifizierung der beiden oder ihre Zugehörigkeit zur nämlichen Reihe. Wenn der Verfolger Flechsig einstmals eine geliebte Person war, so ist Gott auch nur die Wiederkehr einer anderen ähnlich geliebten, aber wahrscheinlich bedeutsameren.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Setzen wir diesen berechtigt scheinenden Gedankengang fort, so müssen wir uns sagen, diese andere Person kann niemand anderer als der Vater sein, womit ja Flechsig um so deutlicher in die Rolle des (hoffentlich älteren </w:t>
      </w:r>
      <w:hyperlink r:id="rId1226"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 xml:space="preserve">Es ist hierüber aus den </w:t>
        </w:r>
        <w:r w:rsidRPr="00405E14">
          <w:rPr>
            <w:rStyle w:val="innerfusslink"/>
            <w:rFonts w:ascii="Garamond" w:eastAsiaTheme="majorEastAsia" w:hAnsi="Garamond"/>
            <w:i/>
            <w:iCs/>
            <w:color w:val="C00000"/>
            <w:lang w:val="en-US"/>
          </w:rPr>
          <w:t>Denkwürdigkeiten</w:t>
        </w:r>
        <w:r w:rsidRPr="00405E14">
          <w:rPr>
            <w:rStyle w:val="innerfusslink"/>
            <w:rFonts w:ascii="Garamond" w:eastAsiaTheme="majorEastAsia" w:hAnsi="Garamond"/>
            <w:color w:val="C00000"/>
            <w:lang w:val="en-US"/>
          </w:rPr>
          <w:t xml:space="preserve"> kein Aufschluß zu gewinnen.</w:t>
        </w:r>
      </w:hyperlink>
      <w:r w:rsidRPr="00405E14">
        <w:rPr>
          <w:rFonts w:ascii="Garamond" w:hAnsi="Garamond"/>
          <w:lang w:val="en-US"/>
        </w:rPr>
        <w:t>) Bruders gedrängt wird. Die Wurzel jener femininen Phantasie, die soviel Widerstreben beim Kranken entfesselte, wäre also die zu erotischer Verstärkung gelangte Sehnsucht nach Vater und Bruder gewesen, von denen die letztere durch Übertragung auf den Arzt Flechsig überging, während mit ihrer Zurückführung auf die erstere ein Ausgleich des Kampfes erzielt wurde.</w:t>
      </w:r>
    </w:p>
    <w:p w:rsidR="00822836" w:rsidRPr="00405E14" w:rsidRDefault="00822836" w:rsidP="00822836">
      <w:pPr>
        <w:pStyle w:val="Sansinterligne"/>
        <w:rPr>
          <w:rFonts w:ascii="Garamond" w:hAnsi="Garamond"/>
          <w:lang w:val="en-US"/>
        </w:rPr>
      </w:pPr>
      <w:r w:rsidRPr="00405E14">
        <w:rPr>
          <w:rFonts w:ascii="Garamond" w:hAnsi="Garamond"/>
          <w:lang w:val="en-US"/>
        </w:rPr>
        <w:t>Soll uns die Einführung des Vaters in den Schreberschen Wahn gerechtfertigt erscheinen, so muß sie unserem Verständnis Nutzen bringen und uns unbegreifliche Einzelheiten des Wahnes aufklären helfen. Wir erinnern uns ja, welche sonderbaren Züge wir an dem Schreberschen Gott und an Schrebers Verhältnis zu seinem Gott fanden. Es war die merkwürdigste Vermengung von blasphemischer Kritik und rebellischer Auflehnung mit verehrungsvoller Ergebenheit. Gott, der dem verführenden Einfluß Flechsigs unterlag, war nicht fähig, etwas aus der Erfahrung zu lernen, kannte den lebenden Menschen nicht, weil er nur mit Leichen umzugehen verstand, und äußerte seine Macht in einer Reihe von Wundern, die auffällig genug, dabei aber insipid und läppisch waren.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Nun war der Vater des Senatspräsidenten Dr. Schreber kein unbedeutender Mensch gewesen. Es war der Dr. Daniel Gottlob Moritz Schreber, dessen Andenken heute noch von den besonders in Sachsen zahlreichen Schreber-Vereinen festgehalten wird, ein – </w:t>
      </w:r>
      <w:r w:rsidRPr="00405E14">
        <w:rPr>
          <w:rFonts w:ascii="Garamond" w:hAnsi="Garamond"/>
          <w:i/>
          <w:iCs/>
          <w:lang w:val="en-US"/>
        </w:rPr>
        <w:t>Arzt</w:t>
      </w:r>
      <w:r w:rsidRPr="00405E14">
        <w:rPr>
          <w:rFonts w:ascii="Garamond" w:hAnsi="Garamond"/>
          <w:lang w:val="en-US"/>
        </w:rPr>
        <w:t xml:space="preserve">, dessen Bemühungen um die harmonische Ausbildung der Jugend, um das Zusammenwirken von Familien- und Schülererziehung, um die Verwendung der Körperpflege und Körperarbeit zur Hebung der Gesundheit nachhaltige Wirkung auf die Zeitgenossen geübt haben </w:t>
      </w:r>
      <w:hyperlink r:id="rId1227"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 xml:space="preserve">Ich verdanke der gütigen Zusendung meines Kollegen Dr. Stegmann in Dresden die Einsicht in eine Nummer einer Zeitschrift, die sich </w:t>
        </w:r>
        <w:r w:rsidRPr="00405E14">
          <w:rPr>
            <w:rStyle w:val="innerfusslink"/>
            <w:rFonts w:ascii="Garamond" w:eastAsiaTheme="majorEastAsia" w:hAnsi="Garamond"/>
            <w:i/>
            <w:iCs/>
            <w:color w:val="C00000"/>
            <w:lang w:val="en-US"/>
          </w:rPr>
          <w:t>Der Freund der Schreber-Vereine</w:t>
        </w:r>
        <w:r w:rsidRPr="00405E14">
          <w:rPr>
            <w:rStyle w:val="innerfusslink"/>
            <w:rFonts w:ascii="Garamond" w:eastAsiaTheme="majorEastAsia" w:hAnsi="Garamond"/>
            <w:color w:val="C00000"/>
            <w:lang w:val="en-US"/>
          </w:rPr>
          <w:t xml:space="preserve"> betitelt. Es sind in ihr (II. Jahrgang, Heft X) zur einhundertjährigen Wiederkehr des Geburtstages Dr. Schrebers biographische Daten über das Leben des gefeierten Mannes gegeben. Dr. Schreber sen. wurde 1808 geboren und starb 1861, nur 53 Jahre alt. Ich weiß aus der früher erwähnten Quelle, daß unser Patient damals 19 Jahre alt war.</w:t>
        </w:r>
      </w:hyperlink>
      <w:r w:rsidRPr="00405E14">
        <w:rPr>
          <w:rFonts w:ascii="Garamond" w:hAnsi="Garamond"/>
          <w:lang w:val="en-US"/>
        </w:rPr>
        <w:t xml:space="preserve">. Von seinem Ruf als Begründer der Heilgymnastik in Deutschland zeugen noch die zahlreichen Auflagen, in denen seine </w:t>
      </w:r>
      <w:r w:rsidRPr="00405E14">
        <w:rPr>
          <w:rFonts w:ascii="Garamond" w:hAnsi="Garamond"/>
          <w:i/>
          <w:iCs/>
          <w:lang w:val="en-US"/>
        </w:rPr>
        <w:t>Ärztliche Zimmergymnastik</w:t>
      </w:r>
      <w:r w:rsidRPr="00405E14">
        <w:rPr>
          <w:rFonts w:ascii="Garamond" w:hAnsi="Garamond"/>
          <w:lang w:val="en-US"/>
        </w:rPr>
        <w:t xml:space="preserve"> in unseren Kreisen verbreitet ist.</w:t>
      </w:r>
    </w:p>
    <w:p w:rsidR="00822836" w:rsidRPr="00405E14" w:rsidRDefault="00822836" w:rsidP="00822836">
      <w:pPr>
        <w:pStyle w:val="Sansinterligne"/>
        <w:rPr>
          <w:rFonts w:ascii="Garamond" w:hAnsi="Garamond"/>
        </w:rPr>
      </w:pPr>
      <w:r w:rsidRPr="00405E14">
        <w:rPr>
          <w:rFonts w:ascii="Garamond" w:hAnsi="Garamond"/>
          <w:lang w:val="en-US"/>
        </w:rPr>
        <w:lastRenderedPageBreak/>
        <w:t xml:space="preserve">Ein solcher Vater war gewiß nicht ungeeignet dazu, in der zärtlichen Erinnerung des Sohnes, dem er so früh durch den Tod entzogen wurde, zum Gotte verklärt zu werden. Für unser Gefühl besteht zwar eine unausfüllbare Kluft zwischen der Persönlichkeit Gottes und der irgendeines, auch des hervorragendsten Menschen. Aber wir müssen daran denken, daß dies nicht immer so war. Den alten Völkern standen ihre Götter menschlich näher. Bei den Römern wurde der verstorbene Imperator regelrecht deifiziert. Der nüchterne und tüchtige Vespasianus sagte bei seinem ersten Krankheitsanfall: »Weh' mir, ich glaube, ich werde ein Gott.« </w:t>
      </w:r>
      <w:hyperlink r:id="rId1228"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 xml:space="preserve">Suetonius' </w:t>
        </w:r>
        <w:r w:rsidRPr="00405E14">
          <w:rPr>
            <w:rStyle w:val="innerfusslink"/>
            <w:rFonts w:ascii="Garamond" w:eastAsiaTheme="majorEastAsia" w:hAnsi="Garamond"/>
            <w:i/>
            <w:iCs/>
            <w:color w:val="C00000"/>
          </w:rPr>
          <w:t>Kaiserbiographien</w:t>
        </w:r>
        <w:r w:rsidRPr="00405E14">
          <w:rPr>
            <w:rStyle w:val="innerfusslink"/>
            <w:rFonts w:ascii="Garamond" w:eastAsiaTheme="majorEastAsia" w:hAnsi="Garamond"/>
            <w:color w:val="C00000"/>
          </w:rPr>
          <w:t xml:space="preserve">, Kapitel 23. Diese Vergottung nahm mit C. Julius Caesar ihren Anfang. Augustus nannte sich in seinen Inschriften » </w:t>
        </w:r>
        <w:r w:rsidRPr="00405E14">
          <w:rPr>
            <w:rStyle w:val="innerfusslink"/>
            <w:rFonts w:ascii="Garamond" w:eastAsiaTheme="majorEastAsia" w:hAnsi="Garamond"/>
            <w:i/>
            <w:iCs/>
            <w:color w:val="C00000"/>
          </w:rPr>
          <w:t>Divi filius</w:t>
        </w:r>
        <w:r w:rsidRPr="00405E14">
          <w:rPr>
            <w:rStyle w:val="innerfusslink"/>
            <w:rFonts w:ascii="Garamond" w:eastAsiaTheme="majorEastAsia" w:hAnsi="Garamond"/>
            <w:color w:val="C00000"/>
          </w:rPr>
          <w:t>«.</w:t>
        </w:r>
      </w:hyperlink>
    </w:p>
    <w:p w:rsidR="00822836" w:rsidRPr="00405E14" w:rsidRDefault="00822836" w:rsidP="00822836">
      <w:pPr>
        <w:pStyle w:val="Sansinterligne"/>
        <w:rPr>
          <w:rFonts w:ascii="Garamond" w:hAnsi="Garamond"/>
        </w:rPr>
      </w:pPr>
      <w:r w:rsidRPr="00405E14">
        <w:rPr>
          <w:rFonts w:ascii="Garamond" w:hAnsi="Garamond"/>
        </w:rPr>
        <w:t xml:space="preserve">Die infantile Einstellung des Knaben zu seinem Vater ist uns genau bekannt; sie enthält die nämliche Vereinigung von verehrungsvoller Unterwerfung und rebellischer Auflehnung, die wir im Verhältnisse Schrebers zu seinem Gott gefunden haben, sie ist das unverkennbare, getreulich kopierte Vorbild dieses letzteren. Daß aber der Vater Schrebers ein Arzt, und zwar ein hochangesehener und gewiß von seinen Patienten verehrter Arzt war, erklärt uns die auffälligsten Charakterzüge, die Schreber an seinem Gotte kritisch hervorhebt. Kann es einen stärkeren Ausdruck des Hohnes auf einen solchen Arzt geben, als wenn man von ihm behauptet, daß er vom lebenden Menschen nichts versteht und nur mit Leichen umzugehen weiß? Es gehört gewiß zum Wesen Gottes, daß er Wunder tut, aber auch ein Arzt tut Wunder, wie ihm seine enthusiastischen Klienten nachsagen, er vollbringt wunderbare Heilungen. Wenn dann gerade diese Wunder, zu denen die Hypochondrie des Kranken das Material geliefert hat, so unglaubwürdig, absurd und teilweise läppisch ausfallen, so werden wir an die Behauptung der </w:t>
      </w:r>
      <w:r w:rsidRPr="00405E14">
        <w:rPr>
          <w:rFonts w:ascii="Garamond" w:hAnsi="Garamond"/>
          <w:i/>
          <w:iCs/>
        </w:rPr>
        <w:t>Traumdeutung</w:t>
      </w:r>
      <w:r w:rsidRPr="00405E14">
        <w:rPr>
          <w:rFonts w:ascii="Garamond" w:hAnsi="Garamond"/>
        </w:rPr>
        <w:t xml:space="preserve"> gemahnt, daß die Absurdität im Traume Spott und Hohn ausdrücke </w:t>
      </w:r>
      <w:hyperlink r:id="rId1229" w:history="1">
        <w:r w:rsidRPr="00405E14">
          <w:rPr>
            <w:rStyle w:val="Lienhypertexte"/>
            <w:rFonts w:ascii="Garamond" w:hAnsi="Garamond"/>
            <w:color w:val="C00000"/>
          </w:rPr>
          <w:t>[Fußnote]</w:t>
        </w:r>
        <w:r w:rsidRPr="00405E14">
          <w:rPr>
            <w:rStyle w:val="innerfusslink"/>
            <w:rFonts w:ascii="Garamond" w:eastAsiaTheme="majorEastAsia" w:hAnsi="Garamond"/>
            <w:i/>
            <w:iCs/>
            <w:color w:val="C00000"/>
          </w:rPr>
          <w:t>Traumdeutung</w:t>
        </w:r>
        <w:r w:rsidRPr="00405E14">
          <w:rPr>
            <w:rStyle w:val="innerfusslink"/>
            <w:rFonts w:ascii="Garamond" w:eastAsiaTheme="majorEastAsia" w:hAnsi="Garamond"/>
            <w:color w:val="C00000"/>
          </w:rPr>
          <w:t xml:space="preserve"> (1900).</w:t>
        </w:r>
      </w:hyperlink>
      <w:r w:rsidRPr="00405E14">
        <w:rPr>
          <w:rFonts w:ascii="Garamond" w:hAnsi="Garamond"/>
        </w:rPr>
        <w:t xml:space="preserve">. Sie dient also denselben Darstellungszwecken bei der Paranoia. Für andere Vorwürfe, z. B. den, daß Gott aus Erfahrung nichts lerne, liegt die Auffassung nahe, daß wir es mit dem Mechanismus der infantilen »Retourkutsche« zu tun haben </w:t>
      </w:r>
      <w:hyperlink r:id="rId1230"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 xml:space="preserve">Einer solchen Revanche sieht es außerordentlich ähnlich, wenn der Kranke sich eines Tages den Satz aufzeichnet: » </w:t>
        </w:r>
        <w:r w:rsidRPr="00405E14">
          <w:rPr>
            <w:rStyle w:val="innerfusslink"/>
            <w:rFonts w:ascii="Garamond" w:eastAsiaTheme="majorEastAsia" w:hAnsi="Garamond"/>
            <w:i/>
            <w:iCs/>
            <w:color w:val="C00000"/>
          </w:rPr>
          <w:t>Jeder Versuch einer erzieherischen Wirkung nach außen muß als aussichtslos aufgegeben werden.</w:t>
        </w:r>
        <w:r w:rsidRPr="00405E14">
          <w:rPr>
            <w:rStyle w:val="innerfusslink"/>
            <w:rFonts w:ascii="Garamond" w:eastAsiaTheme="majorEastAsia" w:hAnsi="Garamond"/>
            <w:color w:val="C00000"/>
          </w:rPr>
          <w:t>« (S. 188.) Der Unerziehbare ist Gott.</w:t>
        </w:r>
      </w:hyperlink>
      <w:r w:rsidRPr="00405E14">
        <w:rPr>
          <w:rFonts w:ascii="Garamond" w:hAnsi="Garamond"/>
        </w:rPr>
        <w:t xml:space="preserve">, der einen empfangenen Vorwurf unverändert auf den Absender zurückwendet, ähnlich wie die S. 23 erwähnten Stimmen vermuten lassen, daß die gegen Flechsig erhobene Anschuldigung des »Seelenmordes« ursprünglich eine Selbstanklage war </w:t>
      </w:r>
      <w:hyperlink r:id="rId1231"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»Während man jetzt schon seit längerer Zeit in beabsichtigter Umkehr des Verhältnisses mich selbst als denjenigen, der Seelenmord getrieben habe, ›darstellen‹ will«, usw.</w:t>
        </w:r>
      </w:hyperlink>
      <w:r w:rsidRPr="00405E14">
        <w:rPr>
          <w:rFonts w:ascii="Garamond" w:hAnsi="Garamond"/>
        </w:rPr>
        <w:t>.</w:t>
      </w:r>
    </w:p>
    <w:p w:rsidR="00822836" w:rsidRPr="00405E14" w:rsidRDefault="00822836" w:rsidP="00822836">
      <w:pPr>
        <w:pStyle w:val="Sansinterligne"/>
        <w:rPr>
          <w:rFonts w:ascii="Garamond" w:hAnsi="Garamond"/>
          <w:lang w:val="en-US"/>
        </w:rPr>
      </w:pPr>
      <w:r w:rsidRPr="00405E14">
        <w:rPr>
          <w:rFonts w:ascii="Garamond" w:hAnsi="Garamond"/>
        </w:rPr>
        <w:t xml:space="preserve">Durch diese Brauchbarkeit des väterlichen Berufes zur Aufklärung der besonderen Eigenschaften des Schreberschen Gottes kühn gemacht, können wir es nun wagen, die merkwürdige Gliederung des göttlichen Wesens durch eine Deutung zu erläutern. </w:t>
      </w:r>
      <w:r w:rsidRPr="00405E14">
        <w:rPr>
          <w:rFonts w:ascii="Garamond" w:hAnsi="Garamond"/>
          <w:lang w:val="en-US"/>
        </w:rPr>
        <w:t xml:space="preserve">Die Gotteswelt besteht bekanntlich aus den »vorderen Gottesreichen«, die auch »Vorhöfe des Himmels« genannt werden und die abgeschiedenen Menschenseelen enthalten, und aus dem »niederen« und »oberen« Gott, die zusammen »hintere Gottesreiche« heißen (S. 19). Wenn wir auch darauf gefaßt sind, eine hier vorliegende Verdichtung nicht auflösen zu können, so wollen wir doch den früher gewonnenen Fingerzeig, daß die »gewunderten«, als Mädchen entlarvten Vögel von den Vorhöfen des Himmels abgeleitet werden, dazu verwenden, um die </w:t>
      </w:r>
      <w:r w:rsidRPr="00405E14">
        <w:rPr>
          <w:rFonts w:ascii="Garamond" w:hAnsi="Garamond"/>
          <w:i/>
          <w:iCs/>
          <w:lang w:val="en-US"/>
        </w:rPr>
        <w:t>vorderen</w:t>
      </w:r>
      <w:r w:rsidRPr="00405E14">
        <w:rPr>
          <w:rFonts w:ascii="Garamond" w:hAnsi="Garamond"/>
          <w:lang w:val="en-US"/>
        </w:rPr>
        <w:t xml:space="preserve"> Gottesreiche und </w:t>
      </w:r>
      <w:r w:rsidRPr="00405E14">
        <w:rPr>
          <w:rFonts w:ascii="Garamond" w:hAnsi="Garamond"/>
          <w:i/>
          <w:iCs/>
          <w:lang w:val="en-US"/>
        </w:rPr>
        <w:t>Vorhöfe</w:t>
      </w:r>
      <w:r w:rsidRPr="00405E14">
        <w:rPr>
          <w:rFonts w:ascii="Garamond" w:hAnsi="Garamond"/>
          <w:lang w:val="en-US"/>
        </w:rPr>
        <w:t xml:space="preserve"> des Himmels als Symbolik für die Weiblichkeit, die </w:t>
      </w:r>
      <w:r w:rsidRPr="00405E14">
        <w:rPr>
          <w:rFonts w:ascii="Garamond" w:hAnsi="Garamond"/>
          <w:i/>
          <w:iCs/>
          <w:lang w:val="en-US"/>
        </w:rPr>
        <w:t>hinteren</w:t>
      </w:r>
      <w:r w:rsidRPr="00405E14">
        <w:rPr>
          <w:rFonts w:ascii="Garamond" w:hAnsi="Garamond"/>
          <w:lang w:val="en-US"/>
        </w:rPr>
        <w:t xml:space="preserve"> Gottesreiche als eine solche für die Männlichkeit in Anspruch zu nehmen. Wüßte man sicher, daß der verstorbene Bruder Schrebers ein älterer war, so dürfte man die Zerlegung Gottes in den niederen und oberen Gott als den Ausdruck der Erinnerung ansehen, daß nach dem frühen Tode des Vaters der ältere Bruder die Stellung des Vaters übernahm.</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Endlich will ich in diesem Zusammenhange der </w:t>
      </w:r>
      <w:r w:rsidRPr="00405E14">
        <w:rPr>
          <w:rFonts w:ascii="Garamond" w:hAnsi="Garamond"/>
          <w:i/>
          <w:iCs/>
          <w:lang w:val="en-US"/>
        </w:rPr>
        <w:t>Sonne</w:t>
      </w:r>
      <w:r w:rsidRPr="00405E14">
        <w:rPr>
          <w:rFonts w:ascii="Garamond" w:hAnsi="Garamond"/>
          <w:lang w:val="en-US"/>
        </w:rPr>
        <w:t xml:space="preserve"> gedenken, die ja durch ihre »Strahlen« zu so großer Bedeutung für den Ausdruck des Wahnes geworden ist. Schreber hat zur Sonne ein ganz besonderes Verhältnis. Sie spricht mit ihm in menschlichen Worten und gibt sich ihm damit als belebtes Wesen oder als Organ eines noch hinter ihr stehenden höheren Wesens zu erkennen (S. 9). Aus einem ärztlichen Gutachten erfahren wir, daß er sie »geradezu brüllend mit Droh- und Schimpfworten anschreit« (S. 382) </w:t>
      </w:r>
      <w:hyperlink r:id="rId1232"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»Die Sonne ist eine Hure« (S. 384).</w:t>
        </w:r>
      </w:hyperlink>
      <w:r w:rsidRPr="00405E14">
        <w:rPr>
          <w:rFonts w:ascii="Garamond" w:hAnsi="Garamond"/>
          <w:lang w:val="en-US"/>
        </w:rPr>
        <w:t xml:space="preserve">, daß er ihr zuruft, sie müsse sich vor ihm verkriechen. Er teilt selbst mit, daß die Sonne vor ihm erbleicht </w:t>
      </w:r>
      <w:hyperlink r:id="rId1233"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»Übrigens gewährt mir auch jetzt noch die Sonne zum Teil ein anderes Bild, als ich in den Zeiten vor meiner Krankheit von ihr hatte. Ihre Strahlen erbleichen vor mir, wenn ich gegen dieselbe gewendet laut spreche. Ich kann ruhig in die Sonne sehen und werde davon nur in sehr bescheidenem Maße geblendet, während in gesunden Tagen bei mir, wie wohl bei anderen Menschen, ein minutenlanges Hineinsehen in die Sonne gar nicht möglich gewesen wäre.«</w:t>
        </w:r>
      </w:hyperlink>
      <w:r w:rsidRPr="00405E14">
        <w:rPr>
          <w:rFonts w:ascii="Garamond" w:hAnsi="Garamond"/>
        </w:rPr>
        <w:t xml:space="preserve">. Der Anteil, den sie an seinem Schicksale hat, gibt sich dadurch kund, daß sie wichtige Veränderungen ihres Aussehens zeigt, sobald bei ihm Änderungen im Gange sind, z. B. in den ersten Wochen seines Aufenthaltes auf dem Sonnenstein (S. 135). Die Deutung dieses Sonnenmythus macht uns Schreber leicht. </w:t>
      </w:r>
      <w:r w:rsidRPr="00405E14">
        <w:rPr>
          <w:rFonts w:ascii="Garamond" w:hAnsi="Garamond"/>
        </w:rPr>
        <w:lastRenderedPageBreak/>
        <w:t xml:space="preserve">Er identifiziert die Sonne geradezu mit Gott, bald mit dem niederen Gott (Ariman) </w:t>
      </w:r>
      <w:hyperlink r:id="rId1234"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(S. 88): »Dieser wird jetzt (seit Juli 1894) von den zu mir redenden Stimmen mit der Sonne geradezu identifiziert.«</w:t>
        </w:r>
      </w:hyperlink>
      <w:r w:rsidRPr="00405E14">
        <w:rPr>
          <w:rFonts w:ascii="Garamond" w:hAnsi="Garamond"/>
        </w:rPr>
        <w:t xml:space="preserve">, bald mit dem oberen: »An dem darauffolgenden Tage . . . sah ich den oberen Gott (Ormuzd), diesmal nicht mit meinem geistigen Auge, sondern mit meinem leiblichen Auge. </w:t>
      </w:r>
      <w:r w:rsidRPr="00405E14">
        <w:rPr>
          <w:rFonts w:ascii="Garamond" w:hAnsi="Garamond"/>
          <w:lang w:val="en-US"/>
        </w:rPr>
        <w:t>Es war die Sonne, aber nicht die Sonne in ihrer gewöhnlichen, allen Menschen bekannten Erscheinung, sondern« usw. (S. 137) Es ist also nur folgerichtig, wenn er sie nicht anders als Gott selbst behandelt.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Ich bin für die Eintönigkeit der psychoanalytischen Lösungen nicht verantwortlich, wenn ich geltend mache, daß die Sonne nichts anderes ist als wiederum ein sublimiertes Symbol des Vaters. Die Symbolik setzt sich hier über das grammatikalische Geschlecht hinaus; wenigstens im Deutschen, denn in den meisten anderen Sprachen ist die Sonne ein Maskulinum. Ihr Widerpart in dieser Spiegelung des Elternpaares ist die allgemein so bezeichnete »Mutter Erde«. In der psychoanalytischen Auflösung pathogener Phantasien bei Neurotikern findet man oft genug die Bestätigung für diesen Satz. Auf die Beziehung zu kosmischen Mythen will ich nur mit diesem einen Wort verweisen. Einer meiner Patienten, der seinen Vater früh verloren hatte und in allem Großen und Erhabenen der Natur wiederzufinden suchte, machte es mir wahrscheinlich, daß der Hymnus Nietzsches ›Vor Sonnenaufgang‹ der gleichen Sehnsucht Ausdruck gebe </w:t>
      </w:r>
      <w:hyperlink r:id="rId1235" w:history="1">
        <w:r w:rsidRPr="00405E14">
          <w:rPr>
            <w:rStyle w:val="Lienhypertexte"/>
            <w:rFonts w:ascii="Garamond" w:hAnsi="Garamond"/>
            <w:color w:val="C00000"/>
            <w:lang w:val="en-US"/>
          </w:rPr>
          <w:t>[Fußnote]</w:t>
        </w:r>
        <w:r w:rsidRPr="00405E14">
          <w:rPr>
            <w:rStyle w:val="innerfusslink"/>
            <w:rFonts w:ascii="Garamond" w:eastAsiaTheme="majorEastAsia" w:hAnsi="Garamond"/>
            <w:i/>
            <w:iCs/>
            <w:color w:val="C00000"/>
            <w:lang w:val="en-US"/>
          </w:rPr>
          <w:t>Also sprach Zarathustra</w:t>
        </w:r>
        <w:r w:rsidRPr="00405E14">
          <w:rPr>
            <w:rStyle w:val="innerfusslink"/>
            <w:rFonts w:ascii="Garamond" w:eastAsiaTheme="majorEastAsia" w:hAnsi="Garamond"/>
            <w:color w:val="C00000"/>
            <w:lang w:val="en-US"/>
          </w:rPr>
          <w:t>, Dritter Teil. – Auch Nietzsche hatte seinen Vater nur als Kind gekannt.</w:t>
        </w:r>
      </w:hyperlink>
      <w:r w:rsidRPr="00405E14">
        <w:rPr>
          <w:rFonts w:ascii="Garamond" w:hAnsi="Garamond"/>
          <w:lang w:val="en-US"/>
        </w:rPr>
        <w:t>. Ein anderer, der in seiner Neurose nach dem Tode des Vaters den ersten Angst- und Schwindelanfall bekam, als ihn die Sonne während der Gartenarbeit mit dem Spaten beschien, vertrat selbständig die Deutung, er habe sich geängstigt, weil ihm der Vater zugeschaut, wie er mit einem scharfen Instrument die Mutter bearbeitete. Als ich nüchternen Einspruch wagte, machte er seine Auffassung durch die Mitteilung plausibler, er habe den Vater schon bei Lebzeiten mit der Sonne verglichen, allerdings damals in parodierender Absicht. Sooft er gefragt worden sei, wohin sein Vater in diesem Sommer gehe, habe er die Antwort mit den tönenden Worten des ›Prologs im Himmel‹ gegeben:</w:t>
      </w:r>
    </w:p>
    <w:p w:rsidR="00822836" w:rsidRPr="00405E14" w:rsidRDefault="00822836" w:rsidP="00822836">
      <w:pPr>
        <w:pStyle w:val="Sansinterligne"/>
        <w:rPr>
          <w:rFonts w:ascii="Garamond" w:hAnsi="Garamond"/>
        </w:rPr>
      </w:pPr>
      <w:r w:rsidRPr="00405E14">
        <w:rPr>
          <w:rFonts w:ascii="Garamond" w:hAnsi="Garamond"/>
        </w:rPr>
        <w:t xml:space="preserve">»Und seine vorgeschriebne Reise </w:t>
      </w:r>
      <w:r w:rsidRPr="00405E14">
        <w:rPr>
          <w:rFonts w:ascii="Garamond" w:hAnsi="Garamond"/>
        </w:rPr>
        <w:br/>
        <w:t>Vollendet er mit Donnergang.«</w:t>
      </w:r>
    </w:p>
    <w:p w:rsidR="00822836" w:rsidRPr="00405E14" w:rsidRDefault="00822836" w:rsidP="00822836">
      <w:pPr>
        <w:pStyle w:val="Sansinterligne"/>
        <w:rPr>
          <w:rFonts w:ascii="Garamond" w:hAnsi="Garamond"/>
        </w:rPr>
      </w:pPr>
      <w:r w:rsidRPr="00405E14">
        <w:rPr>
          <w:rFonts w:ascii="Garamond" w:hAnsi="Garamond"/>
        </w:rPr>
        <w:t>Der Vater pflegte jedes Jahr auf ärztlichen Rat den Kurort Marienbad zu besuchen. Bei diesem Kranken hatte sich die infantile Einstellung gegen den Vater zweizeitig durchgesetzt. Solange der Vater lebte, volle Auflehnung und offenes Zerwürfnis; unmittelbar nach seinem Tode eine Neurose, die sich auf sklavische Unterwerfung und nachträglichen Gehorsam gegen den Vater gründete.</w:t>
      </w:r>
    </w:p>
    <w:p w:rsidR="00822836" w:rsidRPr="00405E14" w:rsidRDefault="00822836" w:rsidP="00822836">
      <w:pPr>
        <w:pStyle w:val="Sansinterligne"/>
        <w:rPr>
          <w:rFonts w:ascii="Garamond" w:hAnsi="Garamond"/>
          <w:lang w:val="en-US"/>
        </w:rPr>
      </w:pPr>
      <w:r w:rsidRPr="00405E14">
        <w:rPr>
          <w:rFonts w:ascii="Garamond" w:hAnsi="Garamond"/>
        </w:rPr>
        <w:t xml:space="preserve">Wir befinden uns also auch im Falle Schreber auf dem wohlvertrauten Boden des Vaterkomplexes </w:t>
      </w:r>
      <w:hyperlink r:id="rId1236"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Wie auch die »feminine Wunschphantasie« Schrebers nur eine der typischen Gestaltungen des infantilen Kernkomplexes ist.</w:t>
        </w:r>
      </w:hyperlink>
      <w:r w:rsidRPr="00405E14">
        <w:rPr>
          <w:rFonts w:ascii="Garamond" w:hAnsi="Garamond"/>
        </w:rPr>
        <w:t xml:space="preserve">. Wenn sich dem Kranken der Kampf mit Flechsig als ein Konflikt mit Gott enthüllt, so müssen wir diesen in einen infantilen Konflikt mit dem geliebten Vater übersetzen, dessen uns unbekannte Einzelheiten den Inhalt des Wahns bestimmt haben. </w:t>
      </w:r>
      <w:r w:rsidRPr="00405E14">
        <w:rPr>
          <w:rFonts w:ascii="Garamond" w:hAnsi="Garamond"/>
          <w:lang w:val="en-US"/>
        </w:rPr>
        <w:t xml:space="preserve">Es fehlt nichts von dem Material, das sonst durch die Analyse in solchen Fällen aufgedeckt wird, alles ist durch irgendwelche Andeutungen vertreten. Der Vater erscheint in diesen Kindererlebnissen als der Störer der vom Kinde gesuchten, meist autoerotischen Befriedigung, die in der Phantasie später oft durch eine minder ruhmlose ersetzt wird </w:t>
      </w:r>
      <w:hyperlink r:id="rId1237"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Vgl. die Bemerkungen zur Analyse des »Rattenmannes« (1909).</w:t>
        </w:r>
      </w:hyperlink>
      <w:r w:rsidRPr="00405E14">
        <w:rPr>
          <w:rFonts w:ascii="Garamond" w:hAnsi="Garamond"/>
          <w:lang w:val="en-US"/>
        </w:rPr>
        <w:t xml:space="preserve">. Im Ausgang des Schreberschen Wahnes feiert die infantile Sexualstrebung einen großartigen Triumph; die Wollust wird gottesfürchtig, Gott selbst (der Vater) läßt nicht ab, sie von dem Kranken zu fordern. Die gefürchtetste Drohung des Vaters, die der Kastration, hat der zuerst bekämpften und dann akzeptierten Wunschphantasie der Verwandlung in ein Weib geradezu den Stoff geliehen. Der Hinweis auf eine Verschuldung, die durch die Ersatzbildung »Seelenmord« gedeckt wird, ist überdeutlich. Der Oberwärter wird mit jenem Hausgenossen v. W. identisch gefunden, der ihn nach Angabe der Stimmen fälschlich der Onanie beschuldigt hat (S. 108). Die Stimmen sagen, gleichsam in der Begründung der Kastrationsdrohung: »Sie sollen nämlich als wollüstigen Ausschweifungen ergeben </w:t>
      </w:r>
      <w:r w:rsidRPr="00405E14">
        <w:rPr>
          <w:rFonts w:ascii="Garamond" w:hAnsi="Garamond"/>
          <w:i/>
          <w:iCs/>
          <w:lang w:val="en-US"/>
        </w:rPr>
        <w:t>dargestellt</w:t>
      </w:r>
      <w:r w:rsidRPr="00405E14">
        <w:rPr>
          <w:rFonts w:ascii="Garamond" w:hAnsi="Garamond"/>
          <w:lang w:val="en-US"/>
        </w:rPr>
        <w:t xml:space="preserve"> werden.« </w:t>
      </w:r>
      <w:hyperlink r:id="rId1238"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Die Systeme des »Darstellens und Aufschreibens« (S. 126) deuten in Verbindung mit den »geprüften Seelen« auf Schulerlebnisse hin.</w:t>
        </w:r>
      </w:hyperlink>
      <w:r w:rsidRPr="00405E14">
        <w:rPr>
          <w:rFonts w:ascii="Garamond" w:hAnsi="Garamond"/>
        </w:rPr>
        <w:t xml:space="preserve"> Endlich ist der Denkzwang (S. 47), dem sich der Kranke unterwirft, weil er annimmt, Gott werde glauben, er sei blödsinnig geworden, und sich von ihm zurückziehen, wenn er einen Moment zu denken aussetze, die uns auch anderswoher bekannte Reaktion gegen die Drohung oder Befürchtung, man werde durch sexuelle Betätigung, speziell durch Onanie, den Verstand verlieren </w:t>
      </w:r>
      <w:hyperlink r:id="rId1239"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S. 206): »Daß dies das erstrebte Ziel sei, wurde früher ganz offen in der vom oberen Gotte ausgehenden, unzählige Male von mir gehörten Phrase ›Wir wollen Ihnen den Verstand zerstören‹ eingestanden.«</w:t>
        </w:r>
      </w:hyperlink>
      <w:r w:rsidRPr="00405E14">
        <w:rPr>
          <w:rFonts w:ascii="Garamond" w:hAnsi="Garamond"/>
        </w:rPr>
        <w:t xml:space="preserve">. Bei der Unsumme hypochondrischer Wahnideen </w:t>
      </w:r>
      <w:hyperlink r:id="rId1240"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 xml:space="preserve">Ich will es nicht unterlassen, hier zu bemerken, daß ich eine Theorie der Paranoia erst dann für vertrauenswert halten werde, wenn es ihr gelungen ist, die fast regelmäßigen </w:t>
        </w:r>
        <w:r w:rsidRPr="00405E14">
          <w:rPr>
            <w:rStyle w:val="innerfusslink"/>
            <w:rFonts w:ascii="Garamond" w:eastAsiaTheme="majorEastAsia" w:hAnsi="Garamond"/>
            <w:i/>
            <w:iCs/>
            <w:color w:val="C00000"/>
          </w:rPr>
          <w:t>hypochondrischen</w:t>
        </w:r>
        <w:r w:rsidRPr="00405E14">
          <w:rPr>
            <w:rStyle w:val="innerfusslink"/>
            <w:rFonts w:ascii="Garamond" w:eastAsiaTheme="majorEastAsia" w:hAnsi="Garamond"/>
            <w:color w:val="C00000"/>
          </w:rPr>
          <w:t xml:space="preserve"> Begleitsymptome in ihren Zusammenhang einzufügen. Es scheint mir, daß der Hypochondrie dieselbe </w:t>
        </w:r>
        <w:r w:rsidRPr="00405E14">
          <w:rPr>
            <w:rStyle w:val="innerfusslink"/>
            <w:rFonts w:ascii="Garamond" w:eastAsiaTheme="majorEastAsia" w:hAnsi="Garamond"/>
            <w:color w:val="C00000"/>
          </w:rPr>
          <w:lastRenderedPageBreak/>
          <w:t>Stellung zur Paranoia zukommt wie der Angstneurose zur Hysterie.</w:t>
        </w:r>
      </w:hyperlink>
      <w:r w:rsidRPr="00405E14">
        <w:rPr>
          <w:rFonts w:ascii="Garamond" w:hAnsi="Garamond"/>
        </w:rPr>
        <w:t xml:space="preserve">, die der Kranke entwickelt, ist vielleicht kein großer Wert darauf zu legen, daß sich einige derselben mit den hypochondrischen Befürchtungen der Onanisten wörtlich decken </w:t>
      </w:r>
      <w:hyperlink r:id="rId1241"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 xml:space="preserve">(S. 154): »Man versuchte mir daher das Rückenmark auszupumpen, was durch sogenannte ›kleine Männer‹, die man mir in die Füße setzte, geschah. Über diese ›kleinen Männer‹, die mit der bereits in Kapitel VI besprochenen gleichnamigen Erscheinung einige Verwandtschaft zeigten, werde ich später noch Weiteres mitteilen; in der Regel waren es je zwei, ein ›kleiner Flechsig‹ und ein ›kleiner v. W.‹, deren Stimme ich auch in meinen Füßen vernahm.« – v. W. ist der nämliche, von dem die Onaniebeschuldigung ausging. </w:t>
        </w:r>
        <w:r w:rsidRPr="00405E14">
          <w:rPr>
            <w:rStyle w:val="innerfusslink"/>
            <w:rFonts w:ascii="Garamond" w:eastAsiaTheme="majorEastAsia" w:hAnsi="Garamond"/>
            <w:color w:val="C00000"/>
            <w:lang w:val="en-US"/>
          </w:rPr>
          <w:t>Die »kleinen Männer« bezeichnet Schreber selbst als eine der merkwürdigsten und in gewisser Beziehung rätselhaftesten Erscheinungen (S. 157). Es scheint, daß sie einer Verdichtung von Kindern und – Spermatozoen entsprungen sind.</w:t>
        </w:r>
      </w:hyperlink>
      <w:r w:rsidRPr="00405E14">
        <w:rPr>
          <w:rFonts w:ascii="Garamond" w:hAnsi="Garamond"/>
          <w:lang w:val="en-US"/>
        </w:rPr>
        <w: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Wer in der Deutung dreister wäre als ich oder durch Beziehungen zur Familie Schrebers mehr von Personen, Milieu und kleinen Vorfällen wüßte, dem müßte es ein leichtes sein, ungezählte Einzelheiten des Schreberschen Wahnes auf ihre Quellen zurückzuführen und somit in ihrer Bedeutung zu erkennen, und dies trotz der Zensur, der die </w:t>
      </w:r>
      <w:r w:rsidRPr="00405E14">
        <w:rPr>
          <w:rFonts w:ascii="Garamond" w:hAnsi="Garamond"/>
          <w:i/>
          <w:iCs/>
          <w:lang w:val="en-US"/>
        </w:rPr>
        <w:t>Denkwürdigkeiten</w:t>
      </w:r>
      <w:r w:rsidRPr="00405E14">
        <w:rPr>
          <w:rFonts w:ascii="Garamond" w:hAnsi="Garamond"/>
          <w:lang w:val="en-US"/>
        </w:rPr>
        <w:t xml:space="preserve"> unterlegen sind. Wir müssen uns notgedrungen mit einer so schattenhaften Skizzierung des infantilen Materials begnügen, in welchem die paranoische Erkrankung den aktuellen Konflikt dargestellt hat.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Zur Begründung jenes um die feminine Wunschphantasie ausgebrochenen Konflikts darf ich vielleicht noch ein Wort hinzufügen. Wir wissen, daß wir die Aufgabe haben, das Hervortreten einer Wunschphantasie mit einer </w:t>
      </w:r>
      <w:r w:rsidRPr="00405E14">
        <w:rPr>
          <w:rFonts w:ascii="Garamond" w:hAnsi="Garamond"/>
          <w:i/>
          <w:iCs/>
          <w:lang w:val="en-US"/>
        </w:rPr>
        <w:t>Versagung</w:t>
      </w:r>
      <w:r w:rsidRPr="00405E14">
        <w:rPr>
          <w:rFonts w:ascii="Garamond" w:hAnsi="Garamond"/>
          <w:lang w:val="en-US"/>
        </w:rPr>
        <w:t xml:space="preserve">, einer Entbehrung im realen Leben in Zusammenhang zu bringen. Nun gesteht uns Schreber eine solche Entbehrung ein. Seine sonst als glücklich geschilderte Ehe brachte ihm nicht den Kindersegen, vor allem nicht den Sohn, der ihn für den Verlust von Vater und Bruder getröstet hätte, auf den die unbefriedigte homosexuelle Zärtlichkeit hätte abströmen können </w:t>
      </w:r>
      <w:hyperlink r:id="rId1242"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(S. 36): »Nach der Genesung von meiner ersten Krankheit habe ich acht, im ganzen recht glückliche, auch an äußeren Ehren reiche und nur durch die mehrmalige Vereitelung der Hoffnung auf Kindersegen zeitweilig getrübte Jahre mit meiner Frau verlebt.«</w:t>
        </w:r>
      </w:hyperlink>
      <w:r w:rsidRPr="00405E14">
        <w:rPr>
          <w:rFonts w:ascii="Garamond" w:hAnsi="Garamond"/>
        </w:rPr>
        <w:t xml:space="preserve">. Sein Geschlecht drohte auszusterben, und es scheint, daß er stolz genug war auf seine Abstammung und Familie (S. 24). »Die Flechsigs und die Schrebers gehörten nämlich beide, wie der Ausdruck lautete, ›dem höchsten himmlischen Adel‹ an; die Schrebers führten insbesondere den Titel »Markgrafen von Tuscien und Tasmaniens entsprechend einer Gewohnheit der Seelen, sich, einer Art persönlicher Eitelkeit folgend, mit etwas hochtrabenden irdischen Titeln zu schmücken.« </w:t>
      </w:r>
      <w:hyperlink r:id="rId1243"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Im Anschluß an diese Äußerung, die den liebenswürdigen Spott gesunder Tage im Wahne bewahrt hat, verfolgt er die Beziehungen zwischen den Familien Flechsig und Schreber in frühere Jahrhunderte zurück, wie ein Bräutigam, der nicht begreifen kann, wie er so lange Jahre ohne Beziehung zur Geliebten leben konnte, ihre Bekanntschaft durchaus schon in früheren Zeiten gemacht haben will.</w:t>
        </w:r>
      </w:hyperlink>
      <w:r w:rsidRPr="00405E14">
        <w:rPr>
          <w:rFonts w:ascii="Garamond" w:hAnsi="Garamond"/>
        </w:rPr>
        <w:t xml:space="preserve"> Der große Napoleon ließ sich, wiewohl erst nach schweren inneren Kämpfen, von seiner Josefine scheiden, weil sie die Dynastie nicht fortsetzen konnte </w:t>
      </w:r>
      <w:hyperlink r:id="rId1244" w:history="1">
        <w:r w:rsidRPr="00405E14">
          <w:rPr>
            <w:rStyle w:val="Lienhypertexte"/>
            <w:rFonts w:ascii="Garamond" w:hAnsi="Garamond"/>
            <w:color w:val="C00000"/>
          </w:rPr>
          <w:t>[Fußnote]</w:t>
        </w:r>
        <w:r w:rsidRPr="00405E14">
          <w:rPr>
            <w:rStyle w:val="innerfusslink"/>
            <w:rFonts w:ascii="Garamond" w:eastAsiaTheme="majorEastAsia" w:hAnsi="Garamond"/>
            <w:color w:val="C00000"/>
          </w:rPr>
          <w:t xml:space="preserve">In dieser Hinsicht ist eine Verwahrung des Patienten gegen Angabe des ärztlichen Gutachtens erwähnenswert (S. 436): »Ich habe niemals mit dem Gedanken einer </w:t>
        </w:r>
        <w:r w:rsidRPr="00405E14">
          <w:rPr>
            <w:rStyle w:val="innerfusslink"/>
            <w:rFonts w:ascii="Garamond" w:eastAsiaTheme="majorEastAsia" w:hAnsi="Garamond"/>
            <w:i/>
            <w:iCs/>
            <w:color w:val="C00000"/>
          </w:rPr>
          <w:t>Scheidung</w:t>
        </w:r>
        <w:r w:rsidRPr="00405E14">
          <w:rPr>
            <w:rStyle w:val="innerfusslink"/>
            <w:rFonts w:ascii="Garamond" w:eastAsiaTheme="majorEastAsia" w:hAnsi="Garamond"/>
            <w:color w:val="C00000"/>
          </w:rPr>
          <w:t xml:space="preserve"> gespielt oder Gleichgültigkeit gegen das Fortbestehen des ehelichen Bandes zu erkennen gegeben, wie man nach der Ausdrucksweise des Gutachtens, ›ich sei alsbald mit der Andeutung bei der Hand, daß meine Frau sich scheiden lassen könne‹, annehmen möchte.«</w:t>
        </w:r>
      </w:hyperlink>
      <w:r w:rsidRPr="00405E14">
        <w:rPr>
          <w:rFonts w:ascii="Garamond" w:hAnsi="Garamond"/>
        </w:rPr>
        <w:t xml:space="preserve">; Dr. Schreber mochte die Phantasie gebildet haben, wenn er ein Weib wäre, würde er das Kinderbekommen besser treffen, und fand so den Weg, sich in die feminine Einstellung zum Vater in den ersten Kinderjahren zurückzuversetzen. </w:t>
      </w:r>
      <w:r w:rsidRPr="00405E14">
        <w:rPr>
          <w:rFonts w:ascii="Garamond" w:hAnsi="Garamond"/>
          <w:lang w:val="en-US"/>
        </w:rPr>
        <w:t>Der später immer weiter in die Zukunft geschobene Wahn, daß die Welt durch seine Entmannung mit »neuen Menschen aus Schreberschem Geist« (S. 288) bevölkert würde, war also auch zur Abhilfe seiner Kinderlosigkeit bestimmt. Wenn die »kleinen Männer«, die Schreber selbst so rätselhaft findet, Kinder sind, so finden wir es durchaus verständlich, daß sie auf seinem Kopfe in großer Anzahl versammelt stehen (S. 158); es sind ja wirklich die »Kinder seines Geistes«. (Vgl. die Bemerkung über die Darstellung der Abstammung vom Vater und über die Geburt der Athene in der Krankengeschichte des »Rattenmannes«)</w:t>
      </w:r>
    </w:p>
    <w:p w:rsidR="00822836" w:rsidRDefault="00822836" w:rsidP="00822836">
      <w:pPr>
        <w:rPr>
          <w:rFonts w:ascii="Garamond" w:hAnsi="Garamond"/>
          <w:lang w:val="en-US"/>
        </w:rPr>
      </w:pPr>
      <w:r>
        <w:rPr>
          <w:rFonts w:ascii="Garamond" w:hAnsi="Garamond"/>
          <w:lang w:val="en-US"/>
        </w:rPr>
        <w:br w:type="page"/>
      </w:r>
    </w:p>
    <w:p w:rsidR="00822836" w:rsidRPr="00244833" w:rsidRDefault="00B437A1" w:rsidP="00822836">
      <w:pPr>
        <w:pStyle w:val="Sansinterligne"/>
        <w:rPr>
          <w:rFonts w:ascii="Garamond" w:hAnsi="Garamond"/>
          <w:b/>
          <w:lang w:val="en-US"/>
        </w:rPr>
      </w:pPr>
      <w:hyperlink w:anchor="SchreberInhalt" w:history="1">
        <w:r w:rsidR="00822836" w:rsidRPr="00244833">
          <w:rPr>
            <w:rStyle w:val="Lienhypertexte"/>
            <w:rFonts w:ascii="Garamond" w:hAnsi="Garamond"/>
            <w:b/>
            <w:lang w:val="en-US"/>
          </w:rPr>
          <w:t>III. Üb</w:t>
        </w:r>
        <w:bookmarkStart w:id="230" w:name="Schreber3"/>
        <w:bookmarkEnd w:id="230"/>
        <w:r w:rsidR="00822836" w:rsidRPr="00244833">
          <w:rPr>
            <w:rStyle w:val="Lienhypertexte"/>
            <w:rFonts w:ascii="Garamond" w:hAnsi="Garamond"/>
            <w:b/>
            <w:lang w:val="en-US"/>
          </w:rPr>
          <w:t>er den paranoischen Mechanismus</w:t>
        </w:r>
      </w:hyperlink>
    </w:p>
    <w:p w:rsidR="00822836" w:rsidRPr="00405E14" w:rsidRDefault="00822836" w:rsidP="00822836">
      <w:pPr>
        <w:pStyle w:val="Sansinterligne"/>
        <w:rPr>
          <w:rFonts w:ascii="Garamond" w:hAnsi="Garamond"/>
          <w:lang w:val="en-US"/>
        </w:rPr>
      </w:pPr>
    </w:p>
    <w:p w:rsidR="00822836" w:rsidRPr="00405E14" w:rsidRDefault="00822836" w:rsidP="00822836">
      <w:pPr>
        <w:pStyle w:val="Sansinterligne"/>
        <w:rPr>
          <w:rFonts w:ascii="Garamond" w:hAnsi="Garamond"/>
          <w:lang w:val="en-US"/>
        </w:rPr>
      </w:pPr>
      <w:r w:rsidRPr="00405E14">
        <w:rPr>
          <w:rFonts w:ascii="Garamond" w:hAnsi="Garamond"/>
          <w:lang w:val="en-US"/>
        </w:rPr>
        <w:t>Wir haben bisher den den Fall Schreber beherrschenden Vaterkomplex und die zentrale Wunschphantasie der Erkrankung behandelt. An alledem ist nichts für die Krankheitsform der Paranoia Charakteristisches, nichts, was wir nicht bei anderen Fällen von Neurose finden könnten und auch wirklich gefunden haben. Die Eigenart der Paranoia (oder der paranoiden Demenz) müssen wir in etwas anderes verlegen, in die besondere Erscheinungsform der Symptome, und für diese wird unsere Erwartung nicht die Komplexe, sondern den Mechanismus der Symptombildung oder den der Verdrängung verantwortlich machen. Wir würden sagen, der paranoische Charakter liegt darin, daß zur Abwehr einer homosexuellen Wunschphantasie gerade mit einem Verfolgungswahn von solcher Art reagiert wird.</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Um so bedeutungsvoller ist es, wenn wir durch die Erfahrung gemahnt werden, gerade der homosexuellen Wunschphantasie eine innigere, vielleicht eine konstante Beziehung zur Krankheitsform zuzusprechen. Meiner eigenen Erfahrung hierüber mißtrauend, habe ich in den letzten Jahren mit meinen Freunden C. G. Jung in Zürich und S. Ferenczi in Budapest eine Anzahl von Fällen paranoider Erkrankung aus deren Beobachtung auf diesen einen Punkt hin untersucht. Es waren Männer wie Frauen, deren Krankengeschichten uns als Untersuchungsmaterial vorlagen, verschieden durch Rasse, Beruf und sozialen Rang, und wir sahen mit Überraschung, wie deutlich in all diesen Fällen die Abwehr des homosexuellen Wunsches im Mittelpunkte des Krankheitskonfliktes zu erkennen war, wie sie alle an der Bewältigung ihrer unbewußt verstärkten Homosexualität gescheitert waren </w:t>
      </w:r>
      <w:hyperlink r:id="rId1245"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Eine weitere Bestätigung findet sich in der Analyse des Paranoiden J. B. von A. Maeder (1910). Ich bedauere, daß ich diese Arbeit zur Zeit der Abfassung der meinigen noch nicht lesen konnte.</w:t>
        </w:r>
      </w:hyperlink>
      <w:r w:rsidRPr="00405E14">
        <w:rPr>
          <w:rFonts w:ascii="Garamond" w:hAnsi="Garamond"/>
          <w:lang w:val="en-US"/>
        </w:rPr>
        <w:t>. Es entsprach gewiß nicht unserer Erwartung. Gerade bei der Paranoia ist die sexuelle Ätiologie keineswegs evident, dagegen drängen sich soziale Kränkungen und Zurücksetzungen, besonders für den Mann, in der Verursachung der Paranoia auffällig hervor. Es wird nun aber nur geringe Vertiefung erfordert, um an diesen sozialen Schädigungen die Beteiligung der homosexuellen Komponente des Gefühlslebens als das eigentlich Wirksame zu erkennen. Solange die normale Betätigung den Einblick in die Tiefen des Seelenlebens verwehrt, darf man es ja bezweifeln, daß die Gefühlsbeziehungen eines Individuums zu seinen Nebenmenschen im sozialen Leben faktisch oder genetisch mit der Erotik etwas zu schaffen haben. Der Wahn deckt diese Beziehungen regelmäßig auf und führt das soziale Gefühl bis auf seine Wurzel im grobsinnlichen erotischen Wunsch zurück. Auch Dr. Schreber, dessen Wahn in einer unmöglich zu verkennenden homosexuellen Wunschphantasie gipfelt, hatte in den Zeiten der Gesundheit – allen Berichten zufolge – kein Anzeichen von Homosexualität im vulgären Sinne geboten.</w:t>
      </w:r>
    </w:p>
    <w:p w:rsidR="00822836" w:rsidRPr="00405E14" w:rsidRDefault="00822836" w:rsidP="00822836">
      <w:pPr>
        <w:pStyle w:val="Sansinterligne"/>
        <w:rPr>
          <w:rFonts w:ascii="Garamond" w:hAnsi="Garamond"/>
        </w:rPr>
      </w:pPr>
      <w:r w:rsidRPr="00405E14">
        <w:rPr>
          <w:rFonts w:ascii="Garamond" w:hAnsi="Garamond"/>
          <w:lang w:val="en-US"/>
        </w:rPr>
        <w:t xml:space="preserve">Ich meine, es ist weder überflüssig noch unberechtigt, wenn ich zu zeigen versuche, daß unser heutiges, durch Psychoanalyse gewonnenes Verständnis der Seelenvorgänge uns bereits das Verständnis für die Rolle des homosexuellen Wunsches bei der Erkrankung an Paranoia vermitteln kann. Untersuchungen der letzten Zeit </w:t>
      </w:r>
      <w:hyperlink r:id="rId1246"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 xml:space="preserve">I. Sadger (1910). – Freud, </w:t>
        </w:r>
        <w:r w:rsidRPr="00405E14">
          <w:rPr>
            <w:rStyle w:val="innerfusslink"/>
            <w:rFonts w:ascii="Garamond" w:eastAsiaTheme="majorEastAsia" w:hAnsi="Garamond"/>
            <w:i/>
            <w:iCs/>
            <w:color w:val="C00000"/>
            <w:lang w:val="en-US"/>
          </w:rPr>
          <w:t>Eine Kindheitserinnerung des Leonardo da Vinci</w:t>
        </w:r>
        <w:r w:rsidRPr="00405E14">
          <w:rPr>
            <w:rStyle w:val="innerfusslink"/>
            <w:rFonts w:ascii="Garamond" w:eastAsiaTheme="majorEastAsia" w:hAnsi="Garamond"/>
            <w:color w:val="C00000"/>
            <w:lang w:val="en-US"/>
          </w:rPr>
          <w:t xml:space="preserve"> (1910).</w:t>
        </w:r>
      </w:hyperlink>
      <w:r w:rsidRPr="00405E14">
        <w:rPr>
          <w:rFonts w:ascii="Garamond" w:hAnsi="Garamond"/>
          <w:lang w:val="en-US"/>
        </w:rPr>
        <w:t xml:space="preserve"> haben uns auf ein Stadium in der Entwicklungsgeschichte der Libido aufmerksam gemacht, welches auf dem Wege vom Autoerotismus zur Objektliebe durchschritten wird </w:t>
      </w:r>
      <w:hyperlink r:id="rId1247" w:history="1">
        <w:r w:rsidRPr="00405E14">
          <w:rPr>
            <w:rStyle w:val="Lienhypertexte"/>
            <w:rFonts w:ascii="Garamond" w:hAnsi="Garamond"/>
            <w:color w:val="C00000"/>
            <w:lang w:val="en-US"/>
          </w:rPr>
          <w:t>[Fußnote]</w:t>
        </w:r>
        <w:r w:rsidRPr="00405E14">
          <w:rPr>
            <w:rStyle w:val="innerfusslink"/>
            <w:rFonts w:ascii="Garamond" w:eastAsiaTheme="majorEastAsia" w:hAnsi="Garamond"/>
            <w:i/>
            <w:iCs/>
            <w:color w:val="C00000"/>
            <w:lang w:val="en-US"/>
          </w:rPr>
          <w:t>Drei Abhandlungen zur Sexualtheorie</w:t>
        </w:r>
        <w:r w:rsidRPr="00405E14">
          <w:rPr>
            <w:rStyle w:val="innerfusslink"/>
            <w:rFonts w:ascii="Garamond" w:eastAsiaTheme="majorEastAsia" w:hAnsi="Garamond"/>
            <w:color w:val="C00000"/>
            <w:lang w:val="en-US"/>
          </w:rPr>
          <w:t xml:space="preserve"> (1905).</w:t>
        </w:r>
      </w:hyperlink>
      <w:r w:rsidRPr="00405E14">
        <w:rPr>
          <w:rFonts w:ascii="Garamond" w:hAnsi="Garamond"/>
          <w:lang w:val="en-US"/>
        </w:rPr>
        <w:t xml:space="preserve">. Man hat es als </w:t>
      </w:r>
      <w:r w:rsidRPr="00405E14">
        <w:rPr>
          <w:rFonts w:ascii="Garamond" w:hAnsi="Garamond"/>
          <w:i/>
          <w:iCs/>
          <w:lang w:val="en-US"/>
        </w:rPr>
        <w:t>Narzissismus</w:t>
      </w:r>
      <w:r w:rsidRPr="00405E14">
        <w:rPr>
          <w:rFonts w:ascii="Garamond" w:hAnsi="Garamond"/>
          <w:lang w:val="en-US"/>
        </w:rPr>
        <w:t xml:space="preserve"> bezeichnet; ich ziehe den vielleicht minder korrekten, aber kürzeren und weniger übelklingenden Namen </w:t>
      </w:r>
      <w:r w:rsidRPr="00405E14">
        <w:rPr>
          <w:rFonts w:ascii="Garamond" w:hAnsi="Garamond"/>
          <w:i/>
          <w:iCs/>
          <w:lang w:val="en-US"/>
        </w:rPr>
        <w:t>Narzißmus</w:t>
      </w:r>
      <w:r w:rsidRPr="00405E14">
        <w:rPr>
          <w:rFonts w:ascii="Garamond" w:hAnsi="Garamond"/>
          <w:lang w:val="en-US"/>
        </w:rPr>
        <w:t xml:space="preserve"> vor. Es besteht darin, daß das in der Entwicklung begriffene Individuum, welches seine autoerotisch arbeitenden Sexualtriebe zu einer Einheit zusammenfaßt, um ein Liebesobjekt zu gewinnen, zunächst sich selbst, seinen eigenen Körper zum Liebesobjekt nimmt, ehe es von diesem zur Objektwahl einer fremden Person übergeht. Eine solche zwischen Autoerotismus und Objektwahl vermittelnde Phase ist vielleicht normalerweise unerläßlich; es scheint, daß viele Personen ungewöhnlich lange in ihr aufgehalten werden und daß von diesem Zustande viel für spätere Entwicklungsstufen erübrigt. </w:t>
      </w:r>
      <w:r w:rsidRPr="00405E14">
        <w:rPr>
          <w:rFonts w:ascii="Garamond" w:hAnsi="Garamond"/>
        </w:rPr>
        <w:t>An diesem zum Liebesobjekt genommenen Selbst können bereits die Genitalien die Hauptsache sein. Der weitere Weg führt zur Wahl eines Objekts mit ähnlichen Genitalien, also über die homosexuelle Objektwahl, zur Heterosexualität. Wir nehmen an, daß die später manifest Homosexuellen sich von der Anforderung der den eigenen gleichen Genitalien beim Objekt nie frei gemacht haben, wobei den kindlichen Sexualtheorien, die beiden Geschlechtern zunächst die gleichen Genitalien zuschreiben, ein erheblicher Einfluß zukommt.</w:t>
      </w:r>
    </w:p>
    <w:p w:rsidR="00822836" w:rsidRPr="00405E14" w:rsidRDefault="00822836" w:rsidP="00822836">
      <w:pPr>
        <w:pStyle w:val="Sansinterligne"/>
        <w:rPr>
          <w:rFonts w:ascii="Garamond" w:hAnsi="Garamond"/>
          <w:lang w:val="en-US"/>
        </w:rPr>
      </w:pPr>
      <w:r w:rsidRPr="00405E14">
        <w:rPr>
          <w:rFonts w:ascii="Garamond" w:hAnsi="Garamond"/>
        </w:rPr>
        <w:t xml:space="preserve">Nach der Erreichung der heterosexuellen Objektwahl werden die homosexuellen Strebungen nicht etwa aufgehoben oder eingestellt, sondern bloß vom Sexualziel abgedrängt und neuen Verwendungen zugeführt. Sie treten nun mit Anteilen der Ichtriebe zusammen, um mit ihnen als »angelehnte« Komponenten die sozialen Triebe zu konstituieren, und stellen so den Beitrag der Erotik zur Freundschaft, Kameradschaft, zum Gemeinsinn und zur allgemeinen Menschenliebe dar. Wie groß diese </w:t>
      </w:r>
      <w:r w:rsidRPr="00405E14">
        <w:rPr>
          <w:rFonts w:ascii="Garamond" w:hAnsi="Garamond"/>
        </w:rPr>
        <w:lastRenderedPageBreak/>
        <w:t xml:space="preserve">Beiträge aus erotischer Quelle mit Hemmung des Sexualziels eigentlich sind, würde man aus den normalen sozialen Beziehungen der Menschen kaum erraten. </w:t>
      </w:r>
      <w:r w:rsidRPr="00405E14">
        <w:rPr>
          <w:rFonts w:ascii="Garamond" w:hAnsi="Garamond"/>
          <w:lang w:val="en-US"/>
        </w:rPr>
        <w:t>Es gehört aber in den gleichen Zusammenhang, daß gerade manifest Homosexuelle und unter ihnen wieder solche, die der sinnlichen Betätigung widerstreben, sich durch besonders intensive Beteiligung an den allgemeinen, an den durch Sublimierung der Erotik hervorgegangenen Interessen der Menschheit auszeichnen.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Ich habe in den »Drei Abhandlungen zur Sexualtheorie« die Ansicht ausgesprochen, daß jede Entwicklungsstufe der Psychosexualität eine Möglichkeit der »Fixierung« und somit eine Dispositionsstelle ergibt. Personen, welche nicht völlig vom Stadium des Narzißmus losgekommen sind, also dort eine Fixierung besitzen, die als Krankheitsdisposition wirken kann, sind der Gefahr ausgesetzt, daß eine Hochflut von Libido, die keinen andern Ablauf findet, ihre sozialen Triebe der Sexualisierung unterzieht und somit ihre in der Entwicklung gewonnenen Sublimierungen rückgängig macht. Zu einem solchen Erfolg kann alles führen, was eine rückläufige Strömung der Libido (»Regression«) hervorruft, sowohl auf der einen Seite eine kollaterale Verstärkung durch Enttäuschung beim Weibe, eine direkte Rückstauung durch Mißglücken in den sozialen Beziehungen zum Manne – beides Fälle der »Versagung« – als auch eine allgemeine Libidosteigerung, die zu gewaltig ist, als daß sie auf den bereits eröffneten Wegen Erledigung finden könnte, und die darum an der schwachen Stelle des Baues den Damm durchbricht. Da wir in unseren Analysen finden, daß die Paranoiker </w:t>
      </w:r>
      <w:r w:rsidRPr="00405E14">
        <w:rPr>
          <w:rFonts w:ascii="Garamond" w:hAnsi="Garamond"/>
          <w:i/>
          <w:iCs/>
          <w:lang w:val="en-US"/>
        </w:rPr>
        <w:t>sich einer solchen Sexualisierung ihrer sozialen Triebbesetzungen zu erwehren suchen</w:t>
      </w:r>
      <w:r w:rsidRPr="00405E14">
        <w:rPr>
          <w:rFonts w:ascii="Garamond" w:hAnsi="Garamond"/>
          <w:lang w:val="en-US"/>
        </w:rPr>
        <w:t xml:space="preserve">, werden wir zur Annahme gedrängt, daß die schwache Stelle ihrer Entwicklung in dem Stück zwischen Autoerotismus, Narzißmus und Homosexualität zu suchen ist, daß dort ihre, vielleicht noch genauer zu bestimmende Krankheitsdisposition liegt. Eine ähnliche Disposition müßten wir der Dementia praecox Kraepelins oder </w:t>
      </w:r>
      <w:r w:rsidRPr="00405E14">
        <w:rPr>
          <w:rFonts w:ascii="Garamond" w:hAnsi="Garamond"/>
          <w:i/>
          <w:iCs/>
          <w:lang w:val="en-US"/>
        </w:rPr>
        <w:t>Schizophrenie</w:t>
      </w:r>
      <w:r w:rsidRPr="00405E14">
        <w:rPr>
          <w:rFonts w:ascii="Garamond" w:hAnsi="Garamond"/>
          <w:lang w:val="en-US"/>
        </w:rPr>
        <w:t xml:space="preserve"> (nach Bleuler) zuschreiben, und wir hoffen im weiteren Anhaltspunkte zu gewinnen, um die Unterschiede in Form und Ausgang der beiden Affektionen durch entsprechende Verschiedenheiten der disponierenden Fixierung zu begründen.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Wenn wir so die Zumutung der homosexuellen Wunschphantasie, </w:t>
      </w:r>
      <w:r w:rsidRPr="00405E14">
        <w:rPr>
          <w:rFonts w:ascii="Garamond" w:hAnsi="Garamond"/>
          <w:i/>
          <w:iCs/>
          <w:lang w:val="en-US"/>
        </w:rPr>
        <w:t>den Mann zu lieben</w:t>
      </w:r>
      <w:r w:rsidRPr="00405E14">
        <w:rPr>
          <w:rFonts w:ascii="Garamond" w:hAnsi="Garamond"/>
          <w:lang w:val="en-US"/>
        </w:rPr>
        <w:t xml:space="preserve">, für den Kern des Konflikts bei der Paranoia des Mannes halten, so werden wir doch gewiß nicht vergessen, daß die Sicherung einer so wichtigen Annahme die Untersuchung einer großen Anzahl aller Formen von paranoischer Erkrankung zur Voraussetzung haben müßte. Wir müssen also darauf vorbereitet sein, unsere Behauptung eventuell auf einen einzigen Typus der Paranoia einzuschränken. Immerhin bleibt es merkwürdig, daß die bekannten Hauptformen der Paranoia alle als Widersprüche gegen den einen Satz </w:t>
      </w:r>
      <w:r w:rsidRPr="00405E14">
        <w:rPr>
          <w:rFonts w:ascii="Garamond" w:hAnsi="Garamond"/>
          <w:i/>
          <w:iCs/>
          <w:lang w:val="en-US"/>
        </w:rPr>
        <w:t>»Ich</w:t>
      </w:r>
      <w:r w:rsidRPr="00405E14">
        <w:rPr>
          <w:rFonts w:ascii="Garamond" w:hAnsi="Garamond"/>
          <w:lang w:val="en-US"/>
        </w:rPr>
        <w:t xml:space="preserve"> (ein Mann) </w:t>
      </w:r>
      <w:r w:rsidRPr="00405E14">
        <w:rPr>
          <w:rFonts w:ascii="Garamond" w:hAnsi="Garamond"/>
          <w:i/>
          <w:iCs/>
          <w:lang w:val="en-US"/>
        </w:rPr>
        <w:t>liebe ihn</w:t>
      </w:r>
      <w:r w:rsidRPr="00405E14">
        <w:rPr>
          <w:rFonts w:ascii="Garamond" w:hAnsi="Garamond"/>
          <w:lang w:val="en-US"/>
        </w:rPr>
        <w:t xml:space="preserve"> (einen Mann)« dargestellt werden können, ja, daß sie alle möglichen Formulierungen dieses Widerspruches erschöpfen.</w:t>
      </w:r>
    </w:p>
    <w:p w:rsidR="00822836" w:rsidRPr="00405E14" w:rsidRDefault="00822836" w:rsidP="00822836">
      <w:pPr>
        <w:pStyle w:val="Sansinterligne"/>
        <w:rPr>
          <w:rFonts w:ascii="Garamond" w:hAnsi="Garamond"/>
          <w:lang w:val="en-US"/>
        </w:rPr>
      </w:pPr>
      <w:r w:rsidRPr="00405E14">
        <w:rPr>
          <w:rFonts w:ascii="Garamond" w:hAnsi="Garamond"/>
          <w:lang w:val="en-US"/>
        </w:rPr>
        <w:t>Dem Satze »Ich liebe ihn (den Mann)« widerspricht</w:t>
      </w:r>
    </w:p>
    <w:p w:rsidR="00822836" w:rsidRPr="00405E14" w:rsidRDefault="00822836" w:rsidP="00822836">
      <w:pPr>
        <w:pStyle w:val="Sansinterligne"/>
        <w:rPr>
          <w:rFonts w:ascii="Garamond" w:hAnsi="Garamond"/>
          <w:lang w:val="en-US"/>
        </w:rPr>
      </w:pPr>
      <w:r w:rsidRPr="00405E14">
        <w:rPr>
          <w:rFonts w:ascii="Garamond" w:hAnsi="Garamond"/>
          <w:i/>
          <w:iCs/>
          <w:lang w:val="en-US"/>
        </w:rPr>
        <w:t>a)</w:t>
      </w:r>
      <w:r w:rsidRPr="00405E14">
        <w:rPr>
          <w:rFonts w:ascii="Garamond" w:hAnsi="Garamond"/>
          <w:lang w:val="en-US"/>
        </w:rPr>
        <w:t xml:space="preserve"> der </w:t>
      </w:r>
      <w:r w:rsidRPr="00405E14">
        <w:rPr>
          <w:rFonts w:ascii="Garamond" w:hAnsi="Garamond"/>
          <w:i/>
          <w:iCs/>
          <w:lang w:val="en-US"/>
        </w:rPr>
        <w:t>Verfolgungswahn</w:t>
      </w:r>
      <w:r w:rsidRPr="00405E14">
        <w:rPr>
          <w:rFonts w:ascii="Garamond" w:hAnsi="Garamond"/>
          <w:lang w:val="en-US"/>
        </w:rPr>
        <w:t>, indem er laut proklamiert: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»Ich </w:t>
      </w:r>
      <w:r w:rsidRPr="00405E14">
        <w:rPr>
          <w:rFonts w:ascii="Garamond" w:hAnsi="Garamond"/>
          <w:i/>
          <w:iCs/>
          <w:lang w:val="en-US"/>
        </w:rPr>
        <w:t>liebe</w:t>
      </w:r>
      <w:r w:rsidRPr="00405E14">
        <w:rPr>
          <w:rFonts w:ascii="Garamond" w:hAnsi="Garamond"/>
          <w:lang w:val="en-US"/>
        </w:rPr>
        <w:t xml:space="preserve"> ihn nicht – ich </w:t>
      </w:r>
      <w:r w:rsidRPr="00405E14">
        <w:rPr>
          <w:rFonts w:ascii="Garamond" w:hAnsi="Garamond"/>
          <w:i/>
          <w:iCs/>
          <w:lang w:val="en-US"/>
        </w:rPr>
        <w:t>hasse</w:t>
      </w:r>
      <w:r w:rsidRPr="00405E14">
        <w:rPr>
          <w:rFonts w:ascii="Garamond" w:hAnsi="Garamond"/>
          <w:lang w:val="en-US"/>
        </w:rPr>
        <w:t xml:space="preserve"> ihn ja.« Dieser Widerspruch, der im Unbewußten </w:t>
      </w:r>
      <w:hyperlink r:id="rId1248"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 xml:space="preserve">In seiner » </w:t>
        </w:r>
        <w:r w:rsidRPr="00405E14">
          <w:rPr>
            <w:rStyle w:val="innerfusslink"/>
            <w:rFonts w:ascii="Garamond" w:eastAsiaTheme="majorEastAsia" w:hAnsi="Garamond"/>
            <w:i/>
            <w:iCs/>
            <w:color w:val="C00000"/>
            <w:lang w:val="en-US"/>
          </w:rPr>
          <w:t>grundsprachlichen</w:t>
        </w:r>
        <w:r w:rsidRPr="00405E14">
          <w:rPr>
            <w:rStyle w:val="innerfusslink"/>
            <w:rFonts w:ascii="Garamond" w:eastAsiaTheme="majorEastAsia" w:hAnsi="Garamond"/>
            <w:color w:val="C00000"/>
            <w:lang w:val="en-US"/>
          </w:rPr>
          <w:t>« Fassung nach Schreber.</w:t>
        </w:r>
      </w:hyperlink>
      <w:r w:rsidRPr="00405E14">
        <w:rPr>
          <w:rFonts w:ascii="Garamond" w:hAnsi="Garamond"/>
          <w:lang w:val="en-US"/>
        </w:rPr>
        <w:t xml:space="preserve"> nicht anders lauten könnte, kann aber beim Paranoiker nicht in dieser Form bewußt werden. Der Mechanismus der Symptombildung bei der Paranoia fordert, daß die innere Wahrnehmung, das Gefühl, durch eine Wahrnehmung von außen ersetzt werde. Somit verwandelt sich der Satz »Ich hasse ihn ja« durch </w:t>
      </w:r>
      <w:r w:rsidRPr="00405E14">
        <w:rPr>
          <w:rFonts w:ascii="Garamond" w:hAnsi="Garamond"/>
          <w:i/>
          <w:iCs/>
          <w:lang w:val="en-US"/>
        </w:rPr>
        <w:t>Projektion</w:t>
      </w:r>
      <w:r w:rsidRPr="00405E14">
        <w:rPr>
          <w:rFonts w:ascii="Garamond" w:hAnsi="Garamond"/>
          <w:lang w:val="en-US"/>
        </w:rPr>
        <w:t xml:space="preserve"> in den andern: </w:t>
      </w:r>
      <w:r w:rsidRPr="00405E14">
        <w:rPr>
          <w:rFonts w:ascii="Garamond" w:hAnsi="Garamond"/>
          <w:i/>
          <w:iCs/>
          <w:lang w:val="en-US"/>
        </w:rPr>
        <w:t>»Er haßt</w:t>
      </w:r>
      <w:r w:rsidRPr="00405E14">
        <w:rPr>
          <w:rFonts w:ascii="Garamond" w:hAnsi="Garamond"/>
          <w:lang w:val="en-US"/>
        </w:rPr>
        <w:t xml:space="preserve"> (verfolgt) </w:t>
      </w:r>
      <w:r w:rsidRPr="00405E14">
        <w:rPr>
          <w:rFonts w:ascii="Garamond" w:hAnsi="Garamond"/>
          <w:i/>
          <w:iCs/>
          <w:lang w:val="en-US"/>
        </w:rPr>
        <w:t>mich</w:t>
      </w:r>
      <w:r w:rsidRPr="00405E14">
        <w:rPr>
          <w:rFonts w:ascii="Garamond" w:hAnsi="Garamond"/>
          <w:lang w:val="en-US"/>
        </w:rPr>
        <w:t>, was mich dann berechtigen wird, ihn zu hassen.« Das treibende unbewußte Gefühl erscheint so als Folgerung aus einer äußern Wahrnehmung:</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»Ich </w:t>
      </w:r>
      <w:r w:rsidRPr="00405E14">
        <w:rPr>
          <w:rFonts w:ascii="Garamond" w:hAnsi="Garamond"/>
          <w:i/>
          <w:iCs/>
          <w:lang w:val="en-US"/>
        </w:rPr>
        <w:t>liebe</w:t>
      </w:r>
      <w:r w:rsidRPr="00405E14">
        <w:rPr>
          <w:rFonts w:ascii="Garamond" w:hAnsi="Garamond"/>
          <w:lang w:val="en-US"/>
        </w:rPr>
        <w:t xml:space="preserve"> ihn ja nicht – ich </w:t>
      </w:r>
      <w:r w:rsidRPr="00405E14">
        <w:rPr>
          <w:rFonts w:ascii="Garamond" w:hAnsi="Garamond"/>
          <w:i/>
          <w:iCs/>
          <w:lang w:val="en-US"/>
        </w:rPr>
        <w:t>hasse</w:t>
      </w:r>
      <w:r w:rsidRPr="00405E14">
        <w:rPr>
          <w:rFonts w:ascii="Garamond" w:hAnsi="Garamond"/>
          <w:lang w:val="en-US"/>
        </w:rPr>
        <w:t xml:space="preserve"> ihn ja – weil </w:t>
      </w:r>
      <w:r w:rsidRPr="00405E14">
        <w:rPr>
          <w:rFonts w:ascii="Garamond" w:hAnsi="Garamond"/>
          <w:i/>
          <w:iCs/>
          <w:lang w:val="en-US"/>
        </w:rPr>
        <w:t>er mich verfolgt.</w:t>
      </w:r>
      <w:r w:rsidRPr="00405E14">
        <w:rPr>
          <w:rFonts w:ascii="Garamond" w:hAnsi="Garamond"/>
          <w:lang w:val="en-US"/>
        </w:rPr>
        <w:t xml:space="preserve">« Di </w:t>
      </w:r>
      <w:r w:rsidRPr="00405E14">
        <w:rPr>
          <w:rFonts w:ascii="Garamond" w:hAnsi="Garamond"/>
          <w:i/>
          <w:iCs/>
          <w:lang w:val="en-US"/>
        </w:rPr>
        <w:t>e</w:t>
      </w:r>
      <w:r w:rsidRPr="00405E14">
        <w:rPr>
          <w:rFonts w:ascii="Garamond" w:hAnsi="Garamond"/>
          <w:lang w:val="en-US"/>
        </w:rPr>
        <w:t xml:space="preserve"> Beobachtung läßt keinen Zweifel darüber, daß der Verfolger kein anderer ist als der einst Geliebte.</w:t>
      </w:r>
    </w:p>
    <w:p w:rsidR="00822836" w:rsidRPr="00405E14" w:rsidRDefault="00822836" w:rsidP="00822836">
      <w:pPr>
        <w:pStyle w:val="Sansinterligne"/>
        <w:rPr>
          <w:rFonts w:ascii="Garamond" w:hAnsi="Garamond"/>
          <w:lang w:val="en-US"/>
        </w:rPr>
      </w:pPr>
      <w:r w:rsidRPr="00405E14">
        <w:rPr>
          <w:rFonts w:ascii="Garamond" w:hAnsi="Garamond"/>
          <w:i/>
          <w:iCs/>
          <w:lang w:val="en-US"/>
        </w:rPr>
        <w:t>b)</w:t>
      </w:r>
      <w:r w:rsidRPr="00405E14">
        <w:rPr>
          <w:rFonts w:ascii="Garamond" w:hAnsi="Garamond"/>
          <w:lang w:val="en-US"/>
        </w:rPr>
        <w:t xml:space="preserve"> Einen andern Angriffspunkt für den Widerspruch nimmt die </w:t>
      </w:r>
      <w:r w:rsidRPr="00405E14">
        <w:rPr>
          <w:rFonts w:ascii="Garamond" w:hAnsi="Garamond"/>
          <w:i/>
          <w:iCs/>
          <w:lang w:val="en-US"/>
        </w:rPr>
        <w:t>Erotomanie</w:t>
      </w:r>
      <w:r w:rsidRPr="00405E14">
        <w:rPr>
          <w:rFonts w:ascii="Garamond" w:hAnsi="Garamond"/>
          <w:lang w:val="en-US"/>
        </w:rPr>
        <w:t xml:space="preserve"> auf, die ohne diese Auffassung ganz unverständlich bliebe.</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»Ich liebe nicht </w:t>
      </w:r>
      <w:r w:rsidRPr="00405E14">
        <w:rPr>
          <w:rFonts w:ascii="Garamond" w:hAnsi="Garamond"/>
          <w:i/>
          <w:iCs/>
          <w:lang w:val="en-US"/>
        </w:rPr>
        <w:t>ihn –</w:t>
      </w:r>
      <w:r w:rsidRPr="00405E14">
        <w:rPr>
          <w:rFonts w:ascii="Garamond" w:hAnsi="Garamond"/>
          <w:lang w:val="en-US"/>
        </w:rPr>
        <w:t xml:space="preserve"> ich liebe ja </w:t>
      </w:r>
      <w:r w:rsidRPr="00405E14">
        <w:rPr>
          <w:rFonts w:ascii="Garamond" w:hAnsi="Garamond"/>
          <w:i/>
          <w:iCs/>
          <w:lang w:val="en-US"/>
        </w:rPr>
        <w:t>sie</w:t>
      </w:r>
      <w:r w:rsidRPr="00405E14">
        <w:rPr>
          <w:rFonts w:ascii="Garamond" w:hAnsi="Garamond"/>
          <w:lang w:val="en-US"/>
        </w:rPr>
        <w: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Und der nämliche Zwang zur Projektion nötigt dem Satz die Verwandlung auf: »Ich merke, daß </w:t>
      </w:r>
      <w:r w:rsidRPr="00405E14">
        <w:rPr>
          <w:rFonts w:ascii="Garamond" w:hAnsi="Garamond"/>
          <w:i/>
          <w:iCs/>
          <w:lang w:val="en-US"/>
        </w:rPr>
        <w:t>sie</w:t>
      </w:r>
      <w:r w:rsidRPr="00405E14">
        <w:rPr>
          <w:rFonts w:ascii="Garamond" w:hAnsi="Garamond"/>
          <w:lang w:val="en-US"/>
        </w:rPr>
        <w:t xml:space="preserve"> mich liebt.«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»Ich liebe nicht </w:t>
      </w:r>
      <w:r w:rsidRPr="00405E14">
        <w:rPr>
          <w:rFonts w:ascii="Garamond" w:hAnsi="Garamond"/>
          <w:i/>
          <w:iCs/>
          <w:lang w:val="en-US"/>
        </w:rPr>
        <w:t>ihn –</w:t>
      </w:r>
      <w:r w:rsidRPr="00405E14">
        <w:rPr>
          <w:rFonts w:ascii="Garamond" w:hAnsi="Garamond"/>
          <w:lang w:val="en-US"/>
        </w:rPr>
        <w:t xml:space="preserve"> ich liebe ja </w:t>
      </w:r>
      <w:r w:rsidRPr="00405E14">
        <w:rPr>
          <w:rFonts w:ascii="Garamond" w:hAnsi="Garamond"/>
          <w:i/>
          <w:iCs/>
          <w:lang w:val="en-US"/>
        </w:rPr>
        <w:t>sie –</w:t>
      </w:r>
      <w:r w:rsidRPr="00405E14">
        <w:rPr>
          <w:rFonts w:ascii="Garamond" w:hAnsi="Garamond"/>
          <w:lang w:val="en-US"/>
        </w:rPr>
        <w:t xml:space="preserve"> weil </w:t>
      </w:r>
      <w:r w:rsidRPr="00405E14">
        <w:rPr>
          <w:rFonts w:ascii="Garamond" w:hAnsi="Garamond"/>
          <w:i/>
          <w:iCs/>
          <w:lang w:val="en-US"/>
        </w:rPr>
        <w:t>sie mich liebt.</w:t>
      </w:r>
      <w:r w:rsidRPr="00405E14">
        <w:rPr>
          <w:rFonts w:ascii="Garamond" w:hAnsi="Garamond"/>
          <w:lang w:val="en-US"/>
        </w:rPr>
        <w:t xml:space="preserve">« Viele Fälle von Erotomanie könnten den Eindruck von übertriebenen oder verzerrten heterosexuellen Fixierungen ohne andersartige Begründung machen, wenn man nicht aufmerksam würde, daß alle diese Verliebtheiten nicht mit der internen Wahrnehmung des Liebens, sondern der von außen kommenden des Geliebtwerdens einsetzen. Bei dieser Form der Paranoia kann aber auch der Mittelsatz »Ich liebe </w:t>
      </w:r>
      <w:r w:rsidRPr="00405E14">
        <w:rPr>
          <w:rFonts w:ascii="Garamond" w:hAnsi="Garamond"/>
          <w:i/>
          <w:iCs/>
          <w:lang w:val="en-US"/>
        </w:rPr>
        <w:t>sie</w:t>
      </w:r>
      <w:r w:rsidRPr="00405E14">
        <w:rPr>
          <w:rFonts w:ascii="Garamond" w:hAnsi="Garamond"/>
          <w:lang w:val="en-US"/>
        </w:rPr>
        <w:t xml:space="preserve">« bewußt werden, weil sein Widerspruch zum ersten Satz kein kontradiktorischer, kein so unverträglicher ist wie der zwischen Lieben und Hassen. Es bleibt ja immerhin möglich, neben </w:t>
      </w:r>
      <w:r w:rsidRPr="00405E14">
        <w:rPr>
          <w:rFonts w:ascii="Garamond" w:hAnsi="Garamond"/>
          <w:i/>
          <w:iCs/>
          <w:lang w:val="en-US"/>
        </w:rPr>
        <w:t>ihm</w:t>
      </w:r>
      <w:r w:rsidRPr="00405E14">
        <w:rPr>
          <w:rFonts w:ascii="Garamond" w:hAnsi="Garamond"/>
          <w:lang w:val="en-US"/>
        </w:rPr>
        <w:t xml:space="preserve"> auch </w:t>
      </w:r>
      <w:r w:rsidRPr="00405E14">
        <w:rPr>
          <w:rFonts w:ascii="Garamond" w:hAnsi="Garamond"/>
          <w:i/>
          <w:iCs/>
          <w:lang w:val="en-US"/>
        </w:rPr>
        <w:t>sie</w:t>
      </w:r>
      <w:r w:rsidRPr="00405E14">
        <w:rPr>
          <w:rFonts w:ascii="Garamond" w:hAnsi="Garamond"/>
          <w:lang w:val="en-US"/>
        </w:rPr>
        <w:t xml:space="preserve"> zu lieben. Auf diese Art kann es geschehen, daß der Projektionsersatz » </w:t>
      </w:r>
      <w:r w:rsidRPr="00405E14">
        <w:rPr>
          <w:rFonts w:ascii="Garamond" w:hAnsi="Garamond"/>
          <w:i/>
          <w:iCs/>
          <w:lang w:val="en-US"/>
        </w:rPr>
        <w:t>Sie liebt mich</w:t>
      </w:r>
      <w:r w:rsidRPr="00405E14">
        <w:rPr>
          <w:rFonts w:ascii="Garamond" w:hAnsi="Garamond"/>
          <w:lang w:val="en-US"/>
        </w:rPr>
        <w:t xml:space="preserve">« wieder gegen das »grundsprachliche« »Ich liebe ja </w:t>
      </w:r>
      <w:r w:rsidRPr="00405E14">
        <w:rPr>
          <w:rFonts w:ascii="Garamond" w:hAnsi="Garamond"/>
          <w:i/>
          <w:iCs/>
          <w:lang w:val="en-US"/>
        </w:rPr>
        <w:t>sie</w:t>
      </w:r>
      <w:r w:rsidRPr="00405E14">
        <w:rPr>
          <w:rFonts w:ascii="Garamond" w:hAnsi="Garamond"/>
          <w:lang w:val="en-US"/>
        </w:rPr>
        <w:t>« zurücktritt.</w:t>
      </w:r>
    </w:p>
    <w:p w:rsidR="00822836" w:rsidRPr="00405E14" w:rsidRDefault="00822836" w:rsidP="00822836">
      <w:pPr>
        <w:pStyle w:val="Sansinterligne"/>
        <w:rPr>
          <w:rFonts w:ascii="Garamond" w:hAnsi="Garamond"/>
          <w:lang w:val="en-US"/>
        </w:rPr>
      </w:pPr>
      <w:r w:rsidRPr="00405E14">
        <w:rPr>
          <w:rFonts w:ascii="Garamond" w:hAnsi="Garamond"/>
          <w:i/>
          <w:iCs/>
          <w:lang w:val="en-US"/>
        </w:rPr>
        <w:lastRenderedPageBreak/>
        <w:t>c)</w:t>
      </w:r>
      <w:r w:rsidRPr="00405E14">
        <w:rPr>
          <w:rFonts w:ascii="Garamond" w:hAnsi="Garamond"/>
          <w:lang w:val="en-US"/>
        </w:rPr>
        <w:t xml:space="preserve"> Die dritte noch mögliche Art des Widerspruches wäre jetzt der </w:t>
      </w:r>
      <w:r w:rsidRPr="00405E14">
        <w:rPr>
          <w:rFonts w:ascii="Garamond" w:hAnsi="Garamond"/>
          <w:i/>
          <w:iCs/>
          <w:lang w:val="en-US"/>
        </w:rPr>
        <w:t>Eifersuchtswahn</w:t>
      </w:r>
      <w:r w:rsidRPr="00405E14">
        <w:rPr>
          <w:rFonts w:ascii="Garamond" w:hAnsi="Garamond"/>
          <w:lang w:val="en-US"/>
        </w:rPr>
        <w:t>, den wir in charakteristischen Formen bei Mann und Weib studieren können.</w:t>
      </w:r>
    </w:p>
    <w:p w:rsidR="00822836" w:rsidRPr="00405E14" w:rsidRDefault="00822836" w:rsidP="00822836">
      <w:pPr>
        <w:pStyle w:val="Sansinterligne"/>
        <w:rPr>
          <w:rFonts w:ascii="Garamond" w:hAnsi="Garamond"/>
          <w:lang w:val="en-US"/>
        </w:rPr>
      </w:pPr>
      <w:r w:rsidRPr="00405E14">
        <w:rPr>
          <w:rFonts w:ascii="Garamond" w:hAnsi="Garamond"/>
          <w:lang w:val="en-US"/>
        </w:rPr>
        <w:t>á) der Eifersuchtswahn des Alkoholikers. Die Rolle des Alkohols bei dieser Affektion ist uns nach allen Richtungen verständlich. Wir wissen, daß dies Genußmittel Hemmungen aufhebt und Sublimierungen rückgängig macht. Der Mann wird nicht selten durch die Enttäuschung beim Weibe zum Alkohol getrieben, das heißt aber in der Regel, er begibt sich ins Wirtshaus und in die Gesellschaft der Männer, die ihm die in seinem Heim beim Weibe vermißte Gefühlsbefriedigung gewährt. Werden nun diese Männer Objekte einer stärkeren libidinösen Besetzung in seinem Unbewußten, so erwehrt er sich derselben durch die dritte Art des Widerspruches:</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»Nicht </w:t>
      </w:r>
      <w:r w:rsidRPr="00405E14">
        <w:rPr>
          <w:rFonts w:ascii="Garamond" w:hAnsi="Garamond"/>
          <w:i/>
          <w:iCs/>
          <w:lang w:val="en-US"/>
        </w:rPr>
        <w:t>ich</w:t>
      </w:r>
      <w:r w:rsidRPr="00405E14">
        <w:rPr>
          <w:rFonts w:ascii="Garamond" w:hAnsi="Garamond"/>
          <w:lang w:val="en-US"/>
        </w:rPr>
        <w:t xml:space="preserve"> liebe den Mann – </w:t>
      </w:r>
      <w:r w:rsidRPr="00405E14">
        <w:rPr>
          <w:rFonts w:ascii="Garamond" w:hAnsi="Garamond"/>
          <w:i/>
          <w:iCs/>
          <w:lang w:val="en-US"/>
        </w:rPr>
        <w:t>sie liebt ihn ja</w:t>
      </w:r>
      <w:r w:rsidRPr="00405E14">
        <w:rPr>
          <w:rFonts w:ascii="Garamond" w:hAnsi="Garamond"/>
          <w:lang w:val="en-US"/>
        </w:rPr>
        <w:t>« – und verdächtigt die Frau mit all den Männern, die er zu lieben versucht ist.</w:t>
      </w:r>
    </w:p>
    <w:p w:rsidR="00822836" w:rsidRPr="00405E14" w:rsidRDefault="00822836" w:rsidP="00822836">
      <w:pPr>
        <w:pStyle w:val="Sansinterligne"/>
        <w:rPr>
          <w:rFonts w:ascii="Garamond" w:hAnsi="Garamond"/>
          <w:lang w:val="en-US"/>
        </w:rPr>
      </w:pPr>
      <w:r w:rsidRPr="00405E14">
        <w:rPr>
          <w:rFonts w:ascii="Garamond" w:hAnsi="Garamond"/>
          <w:lang w:val="en-US"/>
        </w:rPr>
        <w:t>Die Projektionsentstellung muß hier entfallen, weil mit dem Wechsel des liebenden Subjekts der Vorgang ohnedies aus dem Ich herausgeworfen ist. Daß die Frau die Männer liebt, bleibt eine Angelegenheit der äußern Wahrnehmung; daß man selbst nicht liebt, sondern haßt, daß man nicht diese, sondern jene Person liebt, das sind allerdings Tatsachen der innern Wahrnehmung.</w:t>
      </w:r>
    </w:p>
    <w:p w:rsidR="00822836" w:rsidRPr="00405E14" w:rsidRDefault="00822836" w:rsidP="00822836">
      <w:pPr>
        <w:pStyle w:val="Sansinterligne"/>
        <w:rPr>
          <w:rFonts w:ascii="Garamond" w:hAnsi="Garamond"/>
          <w:lang w:val="en-US"/>
        </w:rPr>
      </w:pPr>
      <w:r w:rsidRPr="00405E14">
        <w:rPr>
          <w:rFonts w:ascii="Garamond" w:hAnsi="Garamond"/>
          <w:lang w:val="en-US"/>
        </w:rPr>
        <w:t>â) Ganz analog stellt sich die eifersüchtige Paranoia der Frauen her.</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»Nicht </w:t>
      </w:r>
      <w:r w:rsidRPr="00405E14">
        <w:rPr>
          <w:rFonts w:ascii="Garamond" w:hAnsi="Garamond"/>
          <w:i/>
          <w:iCs/>
          <w:lang w:val="en-US"/>
        </w:rPr>
        <w:t>ich</w:t>
      </w:r>
      <w:r w:rsidRPr="00405E14">
        <w:rPr>
          <w:rFonts w:ascii="Garamond" w:hAnsi="Garamond"/>
          <w:lang w:val="en-US"/>
        </w:rPr>
        <w:t xml:space="preserve"> liebe die Frauen – sondern </w:t>
      </w:r>
      <w:r w:rsidRPr="00405E14">
        <w:rPr>
          <w:rFonts w:ascii="Garamond" w:hAnsi="Garamond"/>
          <w:i/>
          <w:iCs/>
          <w:lang w:val="en-US"/>
        </w:rPr>
        <w:t>er liebt sie</w:t>
      </w:r>
      <w:r w:rsidRPr="00405E14">
        <w:rPr>
          <w:rFonts w:ascii="Garamond" w:hAnsi="Garamond"/>
          <w:lang w:val="en-US"/>
        </w:rPr>
        <w:t>.« Die Eifersüchtige verdächtigt den Mann mit all den Frauen, die ihr selbst gefallen, infolge ihres überstark gewordenen, disponierenden Narzißmus und ihrer Homosexualität. In der Auswahl der dem Manne zugeschobenen Liebesobjekte offenbart sich unverkennbar der Einfluß der Lebenszeit, in welcher die Fixierung erfolgte; es sind häufig alte, zur realen Liebe ungeeignete Personen, Auffrischungen der Pflegerinnen, Dienerinnen, Freundinnen ihrer Kindheit oder direkt ihrer konkurrierenden Schwestern.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Man sollte nun glauben, ein aus drei Gliedern bestehender Satz wie » </w:t>
      </w:r>
      <w:r w:rsidRPr="00405E14">
        <w:rPr>
          <w:rFonts w:ascii="Garamond" w:hAnsi="Garamond"/>
          <w:i/>
          <w:iCs/>
          <w:lang w:val="en-US"/>
        </w:rPr>
        <w:t>Ich liebe ihn</w:t>
      </w:r>
      <w:r w:rsidRPr="00405E14">
        <w:rPr>
          <w:rFonts w:ascii="Garamond" w:hAnsi="Garamond"/>
          <w:lang w:val="en-US"/>
        </w:rPr>
        <w:t>« ließe nur drei Arten des Widerspruches zu. Der Eifersuchtswahn widerspricht dem Subjekt, der Verfolgungswahn dem Verbum, die Erotomanie dem Objekt. Allein, es ist wirklich noch eine vierte Art des Widerspruches möglich, die Gesamtablehnung des ganzen Satzes:</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 </w:t>
      </w:r>
      <w:r w:rsidRPr="00405E14">
        <w:rPr>
          <w:rFonts w:ascii="Garamond" w:hAnsi="Garamond"/>
          <w:i/>
          <w:iCs/>
          <w:lang w:val="en-US"/>
        </w:rPr>
        <w:t>Ich liebe überhaupt nicht und niemand</w:t>
      </w:r>
      <w:r w:rsidRPr="00405E14">
        <w:rPr>
          <w:rFonts w:ascii="Garamond" w:hAnsi="Garamond"/>
          <w:lang w:val="en-US"/>
        </w:rPr>
        <w:t xml:space="preserve">« – und dieser Satz scheint psychologisch äquivalent, da man doch mit seiner Libido irgendwohin muß, mit dem Satze: »Ich liebe nur mich.« Diese Art des Widerspruches ergäbe uns also den Größenwahn, den wir als eine </w:t>
      </w:r>
      <w:r w:rsidRPr="00405E14">
        <w:rPr>
          <w:rFonts w:ascii="Garamond" w:hAnsi="Garamond"/>
          <w:i/>
          <w:iCs/>
          <w:lang w:val="en-US"/>
        </w:rPr>
        <w:t>Sexualüberschätzung des eigenen Ichs</w:t>
      </w:r>
      <w:r w:rsidRPr="00405E14">
        <w:rPr>
          <w:rFonts w:ascii="Garamond" w:hAnsi="Garamond"/>
          <w:lang w:val="en-US"/>
        </w:rPr>
        <w:t xml:space="preserve"> auffassen und so der bekannten Überschätzung des Liebesobjekts an die Seite stellen können </w:t>
      </w:r>
      <w:hyperlink r:id="rId1249" w:history="1">
        <w:r w:rsidRPr="00405E14">
          <w:rPr>
            <w:rStyle w:val="Lienhypertexte"/>
            <w:rFonts w:ascii="Garamond" w:hAnsi="Garamond"/>
            <w:color w:val="C00000"/>
            <w:lang w:val="en-US"/>
          </w:rPr>
          <w:t>[Fußnote]</w:t>
        </w:r>
        <w:r w:rsidRPr="00405E14">
          <w:rPr>
            <w:rStyle w:val="innerfusslink"/>
            <w:rFonts w:ascii="Garamond" w:eastAsiaTheme="majorEastAsia" w:hAnsi="Garamond"/>
            <w:i/>
            <w:iCs/>
            <w:color w:val="C00000"/>
            <w:lang w:val="en-US"/>
          </w:rPr>
          <w:t>Drei Abhandlungen zur Sexualtheorie</w:t>
        </w:r>
        <w:r w:rsidRPr="00405E14">
          <w:rPr>
            <w:rStyle w:val="innerfusslink"/>
            <w:rFonts w:ascii="Garamond" w:eastAsiaTheme="majorEastAsia" w:hAnsi="Garamond"/>
            <w:color w:val="C00000"/>
            <w:lang w:val="en-US"/>
          </w:rPr>
          <w:t xml:space="preserve"> (1905)</w:t>
        </w:r>
      </w:hyperlink>
    </w:p>
    <w:p w:rsidR="00822836" w:rsidRPr="00405E14" w:rsidRDefault="00822836" w:rsidP="00822836">
      <w:pPr>
        <w:pStyle w:val="Sansinterligne"/>
        <w:rPr>
          <w:rFonts w:ascii="Garamond" w:hAnsi="Garamond"/>
          <w:lang w:val="en-US"/>
        </w:rPr>
      </w:pPr>
      <w:r w:rsidRPr="00405E14">
        <w:rPr>
          <w:rFonts w:ascii="Garamond" w:hAnsi="Garamond"/>
          <w:lang w:val="en-US"/>
        </w:rPr>
        <w:t>Es wird nicht ohne Bedeutung für andere Stücke der Paranoialehre bleiben, daß ein Zusatz von Größenwahn bei den meisten anderen Formen paranoischer Erkrankung zu konstatieren ist. Wir haben ja das Recht anzunehmen, daß der Größenwahn überhaupt infantil ist und daß er in der späteren Entwicklung der Gesellschaft zum Opfer gebracht wird, so wie er durch keinen andern Einfluß so intensiv unterdrückt wird wie durch eine das Individuum mächtig ergreifende Verliebtheit.</w:t>
      </w:r>
    </w:p>
    <w:p w:rsidR="00822836" w:rsidRPr="00405E14" w:rsidRDefault="00822836" w:rsidP="00822836">
      <w:pPr>
        <w:pStyle w:val="Sansinterligne"/>
        <w:rPr>
          <w:rFonts w:ascii="Garamond" w:hAnsi="Garamond"/>
          <w:lang w:val="en-US"/>
        </w:rPr>
      </w:pPr>
      <w:r w:rsidRPr="00405E14">
        <w:rPr>
          <w:rFonts w:ascii="Garamond" w:hAnsi="Garamond" w:cs="Courier New"/>
          <w:lang w:val="en-US"/>
        </w:rPr>
        <w:t xml:space="preserve">« - </w:t>
      </w:r>
      <w:r w:rsidRPr="00405E14">
        <w:rPr>
          <w:rFonts w:ascii="Garamond" w:hAnsi="Garamond"/>
          <w:lang w:val="en-US"/>
        </w:rPr>
        <w:t xml:space="preserve">Denn wo die Lieb' erwachet, stirbt </w:t>
      </w:r>
      <w:r w:rsidRPr="00405E14">
        <w:rPr>
          <w:rFonts w:ascii="Garamond" w:hAnsi="Garamond"/>
          <w:lang w:val="en-US"/>
        </w:rPr>
        <w:br/>
        <w:t xml:space="preserve">     </w:t>
      </w:r>
      <w:r w:rsidRPr="00405E14">
        <w:rPr>
          <w:rFonts w:ascii="Garamond" w:hAnsi="Garamond" w:cs="Courier New"/>
          <w:lang w:val="en-US"/>
        </w:rPr>
        <w:t xml:space="preserve">- </w:t>
      </w:r>
      <w:r w:rsidRPr="00405E14">
        <w:rPr>
          <w:rFonts w:ascii="Garamond" w:hAnsi="Garamond"/>
          <w:lang w:val="en-US"/>
        </w:rPr>
        <w:t xml:space="preserve"> das Ich, der finstere Despot.</w:t>
      </w:r>
      <w:r w:rsidRPr="00405E14">
        <w:rPr>
          <w:rFonts w:ascii="Garamond" w:hAnsi="Garamond" w:cs="Courier New"/>
          <w:lang w:val="en-US"/>
        </w:rPr>
        <w:t> »</w:t>
      </w:r>
      <w:r w:rsidRPr="00405E14">
        <w:rPr>
          <w:rFonts w:ascii="Garamond" w:hAnsi="Garamond"/>
          <w:lang w:val="en-US"/>
        </w:rPr>
        <w:t xml:space="preserve"> </w:t>
      </w:r>
    </w:p>
    <w:p w:rsidR="00822836" w:rsidRPr="00405E14" w:rsidRDefault="00B437A1" w:rsidP="00822836">
      <w:pPr>
        <w:pStyle w:val="Sansinterligne"/>
        <w:rPr>
          <w:rFonts w:ascii="Garamond" w:hAnsi="Garamond"/>
          <w:lang w:val="en-US"/>
        </w:rPr>
      </w:pPr>
      <w:hyperlink r:id="rId1250" w:history="1">
        <w:r w:rsidR="00822836" w:rsidRPr="00405E14">
          <w:rPr>
            <w:rStyle w:val="Lienhypertexte"/>
            <w:rFonts w:ascii="Garamond" w:hAnsi="Garamond"/>
            <w:color w:val="C00000"/>
            <w:lang w:val="en-US"/>
          </w:rPr>
          <w:t>[Fußnote]</w:t>
        </w:r>
        <w:r w:rsidR="00822836" w:rsidRPr="00405E14">
          <w:rPr>
            <w:rStyle w:val="innerfusslink"/>
            <w:rFonts w:ascii="Garamond" w:eastAsiaTheme="majorEastAsia" w:hAnsi="Garamond"/>
            <w:color w:val="C00000"/>
            <w:lang w:val="en-US"/>
          </w:rPr>
          <w:t>Dschelaledin Rumi, übersetzt von Rückert; zitiert nach Kuhlenbecks Einleitung zum V. Band der Werke von Giordano Bruno.</w:t>
        </w:r>
      </w:hyperlink>
    </w:p>
    <w:p w:rsidR="00822836" w:rsidRPr="00405E14" w:rsidRDefault="00822836" w:rsidP="00822836">
      <w:pPr>
        <w:pStyle w:val="Sansinterligne"/>
        <w:rPr>
          <w:rFonts w:ascii="Garamond" w:hAnsi="Garamond"/>
          <w:lang w:val="en-US"/>
        </w:rPr>
      </w:pPr>
      <w:r w:rsidRPr="00405E14">
        <w:rPr>
          <w:rFonts w:ascii="Garamond" w:hAnsi="Garamond"/>
          <w:lang w:val="en-US"/>
        </w:rPr>
        <w:t xml:space="preserve">Nach diesen Erörterungen über die unerwartete Bedeutung der homosexuellen Wunschphantasie für die Paranoia kehren wir zu jenen beiden Momenten zurück, in welche wir das Charakteristische dieser Erkrankungsform von vornherein verlegen wollten: zum Mechanismus der </w:t>
      </w:r>
      <w:r w:rsidRPr="00405E14">
        <w:rPr>
          <w:rFonts w:ascii="Garamond" w:hAnsi="Garamond"/>
          <w:i/>
          <w:iCs/>
          <w:lang w:val="en-US"/>
        </w:rPr>
        <w:t>Symptombildung</w:t>
      </w:r>
      <w:r w:rsidRPr="00405E14">
        <w:rPr>
          <w:rFonts w:ascii="Garamond" w:hAnsi="Garamond"/>
          <w:lang w:val="en-US"/>
        </w:rPr>
        <w:t xml:space="preserve"> und zu dem der </w:t>
      </w:r>
      <w:r w:rsidRPr="00405E14">
        <w:rPr>
          <w:rFonts w:ascii="Garamond" w:hAnsi="Garamond"/>
          <w:i/>
          <w:iCs/>
          <w:lang w:val="en-US"/>
        </w:rPr>
        <w:t>Verdrängung</w:t>
      </w:r>
      <w:r w:rsidRPr="00405E14">
        <w:rPr>
          <w:rFonts w:ascii="Garamond" w:hAnsi="Garamond"/>
          <w:lang w:val="en-US"/>
        </w:rPr>
        <w:t>.</w:t>
      </w:r>
    </w:p>
    <w:p w:rsidR="00822836" w:rsidRPr="00405E14" w:rsidRDefault="00822836" w:rsidP="00822836">
      <w:pPr>
        <w:pStyle w:val="Sansinterligne"/>
        <w:rPr>
          <w:rFonts w:ascii="Garamond" w:hAnsi="Garamond"/>
          <w:lang w:val="en-US"/>
        </w:rPr>
      </w:pPr>
      <w:r w:rsidRPr="00405E14">
        <w:rPr>
          <w:rFonts w:ascii="Garamond" w:hAnsi="Garamond"/>
          <w:lang w:val="en-US"/>
        </w:rPr>
        <w:t>Wir haben zunächst gewiß kein Recht anzunehmen, daß diese beiden Mechanismen identisch seien, daß die Symptombildung auf demselben Wege vor sich gehe wie die Verdrängung, etwa indem der nämliche Weg dabei in entgegengesetzter Richtung beschritten werde. Eine solche Identität ist auch keineswegs sehr wahrscheinlich; doch wollen wir uns jeder Aussage hierüber vor der Untersuchung enthalten.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An der Symptombildung bei Paranoia ist vor allem jener Zug auffällig, der die Benennung </w:t>
      </w:r>
      <w:r w:rsidRPr="00405E14">
        <w:rPr>
          <w:rFonts w:ascii="Garamond" w:hAnsi="Garamond"/>
          <w:i/>
          <w:iCs/>
          <w:lang w:val="en-US"/>
        </w:rPr>
        <w:t>Projektion</w:t>
      </w:r>
      <w:r w:rsidRPr="00405E14">
        <w:rPr>
          <w:rFonts w:ascii="Garamond" w:hAnsi="Garamond"/>
          <w:lang w:val="en-US"/>
        </w:rPr>
        <w:t xml:space="preserve"> verdient. Eine innere Wahrnehmung wird unterdrückt, und zum Ersatz für sie kommt ihr Inhalt, nachdem er eine gewisse Entstellung erfahren hat, als Wahrnehmung von außen zum Bewußtsein. Die Entstellung besteht beim Verfolgungswahn in einer Affektverwandlung; was als Liebe innen hätte verspürt werden sollen, wird als Haß von außen wahrgenommen. Man wäre versucht, diesen merkwürdigen Vorgang als das Bedeutsamste der Paranoia und als absolut pathognomonisch für dieselbe hinzustellen, wenn man nicht rechtzeitig daran erinnert würde, daß 1. die Projektion nicht bei allen Formen von Paranoia die gleiche Rolle spielt und 2. daß sie nicht nur bei Paranoia, sondern auch unter anderen Verhältnissen im </w:t>
      </w:r>
      <w:r w:rsidRPr="00405E14">
        <w:rPr>
          <w:rFonts w:ascii="Garamond" w:hAnsi="Garamond"/>
          <w:lang w:val="en-US"/>
        </w:rPr>
        <w:lastRenderedPageBreak/>
        <w:t>Seelenleben vorkommt, ja, daß ihr ein regelmäßiger Anteil an unserer Einstellung zur Außenwelt zugewiesen ist. Wenn wir die Ursachen gewisser Sinnesempfindungen nicht wie die anderer in uns selbst suchen, sondern sie nach außen verlegen, so verdient auch dieser normale Vorgang den Namen einer Projektion. So aufmerksam geworden, daß es sich beim Verständnis der Projektion um allgemeinere psychologische Probleme handelt, entschließen wir uns, das Studium der Projektion, und damit des Mechanismus der paranoischen Symptombildung überhaupt, für einen andern Zusammenhang aufzusparen, und wenden uns der Frage zu, welche Vorstellungen wir uns über den Mechanismus der Verdrängung bei der Paranoia zu bilden vermögen. Ich schicke voraus, daß wir zur Rechtfertigung unseres vorläufigen Verzichtes finden werden, die Art des Verdrängungsvorganges hänge weit inniger mit der Entwicklungsgeschichte der Libido und der in ihr gegebenen Disposition zusammen als die Art der Symptombildung.</w:t>
      </w:r>
    </w:p>
    <w:p w:rsidR="00822836" w:rsidRPr="00405E14" w:rsidRDefault="00822836" w:rsidP="00822836">
      <w:pPr>
        <w:pStyle w:val="Sansinterligne"/>
        <w:rPr>
          <w:rFonts w:ascii="Garamond" w:hAnsi="Garamond"/>
          <w:lang w:val="en-US"/>
        </w:rPr>
      </w:pPr>
      <w:r w:rsidRPr="00405E14">
        <w:rPr>
          <w:rFonts w:ascii="Garamond" w:hAnsi="Garamond"/>
          <w:lang w:val="en-US"/>
        </w:rPr>
        <w:t>Wir haben in der Psychoanalytik die pathologischen Phänomene ganz allgemein aus der Verdrängung hervorgehen lassen. Fassen wir das »Verdrängung« Benannte schärfer ins Auge, so finden wir Anlaß, den Vorgang in drei Phasen zu zerlegen, die eine gute begriffliche Sonderung gestatten.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1) Die erste Phase besteht in der </w:t>
      </w:r>
      <w:r w:rsidRPr="00405E14">
        <w:rPr>
          <w:rFonts w:ascii="Garamond" w:hAnsi="Garamond"/>
          <w:i/>
          <w:iCs/>
          <w:lang w:val="en-US"/>
        </w:rPr>
        <w:t>Fixierung</w:t>
      </w:r>
      <w:r w:rsidRPr="00405E14">
        <w:rPr>
          <w:rFonts w:ascii="Garamond" w:hAnsi="Garamond"/>
          <w:lang w:val="en-US"/>
        </w:rPr>
        <w:t>, dem Vorläufer und der Bedingung einer jeden »Verdrängung«. Die Tatsache der Fixierung kann dahin ausgesprochen werden, daß ein Trieb oder Triebanteil die als normal vorhergesehene Entwicklung nicht mitmacht und infolge dieser Entwicklungshemmung in einem infantileren Stadium verbleibt. Die betreffende libidinöse Strömung verhält sich zu den späteren psychischen Bildungen wie eine dem System des Unbewußten angehörige, wie eine verdrängte. Wir sagten schon, daß in solchen Fixierungen der Triebe die Disposition für die spätere Erkrankung liege, und können hinzufügen, die Determinierung vor allem für den Ausgang der dritten Phase der Verdrängung.</w:t>
      </w:r>
    </w:p>
    <w:p w:rsidR="00822836" w:rsidRPr="00405E14" w:rsidRDefault="00822836" w:rsidP="00822836">
      <w:pPr>
        <w:pStyle w:val="Sansinterligne"/>
        <w:rPr>
          <w:rFonts w:ascii="Garamond" w:hAnsi="Garamond"/>
          <w:lang w:val="en-US"/>
        </w:rPr>
      </w:pPr>
      <w:r w:rsidRPr="00405E14">
        <w:rPr>
          <w:rFonts w:ascii="Garamond" w:hAnsi="Garamond"/>
          <w:lang w:val="en-US"/>
        </w:rPr>
        <w:t>2) Die zweite Phase der Verdrängung ist die eigentliche Verdrängung, die wir bisher vorzugsweise im Auge gehabt haben. Sie geht von den höher entwickelten bewußtseinsfähigen Systemen des Ichs aus und kann eigentlich als ein »Nachdrängen« beschrieben werden. Sie macht den Eindruck eines wesentlich aktiven Vorganges, während sich die Fixierung als ein eigentlich passives Zurückbleiben darstellt. Der Verdrängung unterliegen entweder die psychischen Abkömmlinge jener primär zurückgebliebenen Triebe, wenn es durch deren Erstarkung zum Konflikt zwischen ihnen und dem Ich (oder den ichgerechten Trieben) gekommen ist, oder solche psychische Strebungen, gegen welche sich aus anderen Gründen eine starke Abneigung erhebt. Diese Abneigung würde aber nicht die Verdrängung zur Folge haben, wenn sich nicht zwischen den unliebsamen, zu verdrängenden Strebungen und den bereits verdrängten eine Verknüpfung herstellen würde. Wo dies der Fall ist, wirken die Abstoßung der bewußten und die Anziehung der unbewußten Systeme gleichsinnig für das Gelingen der Verdrängung. Die beiden hier gesonderten Fälle mögen in Wirklichkeit weniger scharf geschieden sein und sich nur durch ein Mehr oder Minder an Beitrag von Seiten der primär verdrängten Triebe unterscheiden.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3) Als dritte, für die pathologischen Phänomene bedeutsamste Phase ist die des Mißlingens der Verdrängung, des </w:t>
      </w:r>
      <w:r w:rsidRPr="00405E14">
        <w:rPr>
          <w:rFonts w:ascii="Garamond" w:hAnsi="Garamond"/>
          <w:i/>
          <w:iCs/>
          <w:lang w:val="en-US"/>
        </w:rPr>
        <w:t>Durchbruchs</w:t>
      </w:r>
      <w:r w:rsidRPr="00405E14">
        <w:rPr>
          <w:rFonts w:ascii="Garamond" w:hAnsi="Garamond"/>
          <w:lang w:val="en-US"/>
        </w:rPr>
        <w:t xml:space="preserve">, der </w:t>
      </w:r>
      <w:r w:rsidRPr="00405E14">
        <w:rPr>
          <w:rFonts w:ascii="Garamond" w:hAnsi="Garamond"/>
          <w:i/>
          <w:iCs/>
          <w:lang w:val="en-US"/>
        </w:rPr>
        <w:t>Wiederkehr des Verdrängten</w:t>
      </w:r>
      <w:r w:rsidRPr="00405E14">
        <w:rPr>
          <w:rFonts w:ascii="Garamond" w:hAnsi="Garamond"/>
          <w:lang w:val="en-US"/>
        </w:rPr>
        <w:t xml:space="preserve"> anzuführen. Dieser Durchbruch erfolgt von der Stelle der Fixierung her und hat eine Regression der Libidoentwicklung bis zu dieser Stelle zum Inhalte.</w:t>
      </w:r>
    </w:p>
    <w:p w:rsidR="00822836" w:rsidRPr="00405E14" w:rsidRDefault="00822836" w:rsidP="00822836">
      <w:pPr>
        <w:pStyle w:val="Sansinterligne"/>
        <w:rPr>
          <w:rFonts w:ascii="Garamond" w:hAnsi="Garamond"/>
          <w:lang w:val="en-US"/>
        </w:rPr>
      </w:pPr>
      <w:r w:rsidRPr="00405E14">
        <w:rPr>
          <w:rFonts w:ascii="Garamond" w:hAnsi="Garamond"/>
          <w:lang w:val="en-US"/>
        </w:rPr>
        <w:t>Die Mannigfaltigkeiten der Fixierung haben wir bereits erwähnt; es sind ihrer so viele als Stufen in der Entwicklung der Libido. Wir müssen auf andere Mannigfaltigkeiten in den Mechanismen der eigentlichen Verdrängung und in denen des Durchbruches (oder der Symptombildung) vorbereitet sein und dürfen wohl bereits jetzt vermuten, daß wir nicht alle diese Mannigfaltigkeiten allein auf die Entwicklungsgeschichte der Libido werden zurückführen können.</w:t>
      </w:r>
    </w:p>
    <w:p w:rsidR="00822836" w:rsidRPr="00405E14" w:rsidRDefault="00822836" w:rsidP="00822836">
      <w:pPr>
        <w:pStyle w:val="Sansinterligne"/>
        <w:rPr>
          <w:rFonts w:ascii="Garamond" w:hAnsi="Garamond"/>
          <w:lang w:val="en-US"/>
        </w:rPr>
      </w:pPr>
      <w:r w:rsidRPr="00405E14">
        <w:rPr>
          <w:rFonts w:ascii="Garamond" w:hAnsi="Garamond"/>
          <w:lang w:val="en-US"/>
        </w:rPr>
        <w:t>Es ist leicht zu erraten, daß wir mit diesen Erörterungen das Problem der Neurosenwahl streifen, welches indes nicht ohne Vorarbeiten anderer Art in Angriff genommen werden kann. Erinnern wir uns jetzt, daß wir die Fixierung bereits behandelt, die Symptombildung zurückgestellt haben, und beschränken wir uns auf die Frage, ob sich aus der Analyse des Falles Schreber ein Hinweis auf den bei der Paranoia vorwaltenden Mechanismus der (eigentlichen) Verdrängung gewinnen läßt.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Auf der Höhe der Krankheit bildete sich bei Schreber unter dem Einfluß von Visionen von »zum Teil grausiger Natur, zum Teil aber wiederum von unbeschreiblicher Großartigkeit« (S. 73) die Überzeugung einer großen Katastrophe, eines Weltunterganges. Stimmen sagten ihm, jetzt sei das Werk einer 14000jährigen Vergangenheit verloren, der Erde sei nur noch die Dauer von 212 Jahren beschieden (S. 71); in der letzten Zeit seines Aufenthaltes in der Flechsigschen Anstalt hielt er diesen Zeitraum für bereits abgelaufen. Er selbst war der »einzige noch übriggebliebene wirkliche Mensch«, und die wenigen menschlichen Gestalten, die er noch sah, den Arzt, die Wärter und Patienten, erklärte er als »hingewunderte, flüchtig hingemachte Männer«. Zeitweilig brach sich auch die reziproke Strömung Bahn; </w:t>
      </w:r>
      <w:r w:rsidRPr="00405E14">
        <w:rPr>
          <w:rFonts w:ascii="Garamond" w:hAnsi="Garamond"/>
          <w:lang w:val="en-US"/>
        </w:rPr>
        <w:lastRenderedPageBreak/>
        <w:t xml:space="preserve">es wurde ihm ein Zeitungsblatt vorgelegt, in dem seine eigene Todesnachricht zu lesen war (S. 81), er war selbst in einer zweiten, minderwertigen Gestalt vorhanden und in dieser eines Tages sanft verschieden (S. 73). Aber die Gestaltung des Wahnes, die das Ich festhielt und die Welt opferte, erwies sich als die bei weitem stärkere. Über die Verursachung dieser Katastrophe machte er sich verschiedene Vorstellungen; er dachte bald an eine Vereisung durch Zurückziehen der Sonne, bald an eine Zerstörung durch Erdbeben, wobei er als »Geisterseher« zu einer ähnlichen Urheberrolle gelangte wie ein anderer Geisterseher angeblich beim Erdbeben von Lissabon im Jahre 1755 (S. 91). Oder aber Flechsig war der Schuldige, indem er durch seine Zauberkünste Furcht und Schrecken unter den Menschen verbreitet, die Grundlagen der Religion zerstört und das Umsichgreifen einer allgemeinen Nervosität und Unsittlichkeit verursacht hatte, in deren Folge dann verheerende Seuchen über die Menschen hereingebrochen seien (S. 91). Jedenfalls war der Weltuntergang die Folge des zwischen ihm und Flechsig ausgebrochenen Konfliktes oder, wie sich die Ätiologie in der zweiten Phase des Wahnes darstellte, seiner unlösbar gewordenen Verbindung mit Gott, also der notwendige Erfolg seiner Erkrankung. Jahre später, als Dr. Schreber in die menschliche Gemeinschaft zurückgekehrt war und an den in seine Hände zurückgelangten Büchern, Musikalien und sonstigen Gebrauchsgegenständen nichts entdecken konnte, was mit der Annahme einer großen zeitlichen Kluft in der Geschichte der Menschheit verträglich wäre, gab er zu, daß seine Auffassung nicht mehr aufrechtzuhalten sei: » . . . kann ich mich der Anerkennung nicht entziehen, daß </w:t>
      </w:r>
      <w:r w:rsidRPr="00405E14">
        <w:rPr>
          <w:rFonts w:ascii="Garamond" w:hAnsi="Garamond"/>
          <w:i/>
          <w:iCs/>
          <w:lang w:val="en-US"/>
        </w:rPr>
        <w:t>äußerlich betrachtet</w:t>
      </w:r>
      <w:r w:rsidRPr="00405E14">
        <w:rPr>
          <w:rFonts w:ascii="Garamond" w:hAnsi="Garamond"/>
          <w:lang w:val="en-US"/>
        </w:rPr>
        <w:t xml:space="preserve"> alles beim alten geblieben ist. </w:t>
      </w:r>
      <w:r w:rsidRPr="00405E14">
        <w:rPr>
          <w:rFonts w:ascii="Garamond" w:hAnsi="Garamond"/>
          <w:i/>
          <w:iCs/>
          <w:lang w:val="en-US"/>
        </w:rPr>
        <w:t>Ob nicht gleichwohl eine tiefgreifende innere Veränderung sich vollzogen hat</w:t>
      </w:r>
      <w:r w:rsidRPr="00405E14">
        <w:rPr>
          <w:rFonts w:ascii="Garamond" w:hAnsi="Garamond"/>
          <w:lang w:val="en-US"/>
        </w:rPr>
        <w:t>, wird weiter unten besprochen werden.« Er konnte nicht daran zweifeln, daß die Welt während seiner Erkrankung untergegangen war, und die er jetzt vor sich sah, war doch nicht die nämliche.</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Eine solche Weltkatastrophe während des stürmischen Stadiums der Paranoia ist auch in anderen Krankengeschichten nicht selten </w:t>
      </w:r>
      <w:hyperlink r:id="rId1251"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 xml:space="preserve">Eine anders motivierte Art des »Weltunterganges« kommt auf der Höhe der Liebesekstase zustande (Wagners </w:t>
        </w:r>
        <w:r w:rsidRPr="00405E14">
          <w:rPr>
            <w:rStyle w:val="innerfusslink"/>
            <w:rFonts w:ascii="Garamond" w:eastAsiaTheme="majorEastAsia" w:hAnsi="Garamond"/>
            <w:i/>
            <w:iCs/>
            <w:color w:val="C00000"/>
            <w:lang w:val="en-US"/>
          </w:rPr>
          <w:t>Tristan und Isolde</w:t>
        </w:r>
        <w:r w:rsidRPr="00405E14">
          <w:rPr>
            <w:rStyle w:val="innerfusslink"/>
            <w:rFonts w:ascii="Garamond" w:eastAsiaTheme="majorEastAsia" w:hAnsi="Garamond"/>
            <w:color w:val="C00000"/>
            <w:lang w:val="en-US"/>
          </w:rPr>
          <w:t>); hier saugt nicht das Ich, sondern das eine Objekt alle der Außenwelt geschenkten Besetzungen auf.</w:t>
        </w:r>
      </w:hyperlink>
      <w:r w:rsidRPr="00405E14">
        <w:rPr>
          <w:rFonts w:ascii="Garamond" w:hAnsi="Garamond"/>
          <w:lang w:val="en-US"/>
        </w:rPr>
        <w:t xml:space="preserve">. Auf dem Boden unserer Auffassung von Libidobesetzung wird uns, wenn wir uns von der Wertung der anderen Menschen als »flüchtig hingemachter Männer« leiten lassen, die Erklärung dieser Katastrophen nicht schwer </w:t>
      </w:r>
      <w:hyperlink r:id="rId1252"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Vgl. Abraham (1908) – Jung (1907). – In der kurzen Arbeit von Abraham sind fast alle wesentlichen Gesichtspunkte dieser Studie über den Fall Schreber enthalten.</w:t>
        </w:r>
      </w:hyperlink>
      <w:r w:rsidRPr="00405E14">
        <w:rPr>
          <w:rFonts w:ascii="Garamond" w:hAnsi="Garamond"/>
          <w:lang w:val="en-US"/>
        </w:rPr>
        <w:t xml:space="preserve">. Der Kranke hat den Personen seiner Umgebung und der Außenwelt überhaupt die Libidobesetzung entzogen, die ihnen bisher zugewendet war; damit ist alles für ihn gleichgültig und beziehungslos geworden und muß durch eine sekundäre Rationalisierung als »hingewundert, flüchtig hingemacht« erklärt werden. Der Weltuntergang ist die Projektion dieser innerlichen Katastrophe; seine subjektive Welt ist untergegangen, seitdem er ihr seine Liebe entzogen hat </w:t>
      </w:r>
      <w:hyperlink r:id="rId1253"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Vielleicht nicht nur die Libidobesetzung, sondern das Interesse überhaupt, also auch die vom Ich ausgehenden Besetzungen. Siehe weiter unten die Diskussion dieser Frage.</w:t>
        </w:r>
      </w:hyperlink>
      <w:r w:rsidRPr="00405E14">
        <w:rPr>
          <w:rFonts w:ascii="Garamond" w:hAnsi="Garamond"/>
          <w:lang w:val="en-US"/>
        </w:rPr>
        <w:t>.</w:t>
      </w:r>
    </w:p>
    <w:p w:rsidR="00822836" w:rsidRPr="00405E14" w:rsidRDefault="00822836" w:rsidP="00822836">
      <w:pPr>
        <w:pStyle w:val="Sansinterligne"/>
        <w:rPr>
          <w:rFonts w:ascii="Garamond" w:hAnsi="Garamond"/>
          <w:lang w:val="en-US"/>
        </w:rPr>
      </w:pPr>
      <w:r w:rsidRPr="00405E14">
        <w:rPr>
          <w:rFonts w:ascii="Garamond" w:hAnsi="Garamond"/>
          <w:lang w:val="en-US"/>
        </w:rPr>
        <w:t>Nach dem Fluche, mit dem Faust sich von der Welt lossagt, singt der Geisterchor:</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»Weh! weh! </w:t>
      </w:r>
      <w:r w:rsidRPr="00405E14">
        <w:rPr>
          <w:rFonts w:ascii="Garamond" w:hAnsi="Garamond"/>
          <w:lang w:val="en-US"/>
        </w:rPr>
        <w:br/>
        <w:t xml:space="preserve">du hast sie zerstört, </w:t>
      </w:r>
      <w:r w:rsidRPr="00405E14">
        <w:rPr>
          <w:rFonts w:ascii="Garamond" w:hAnsi="Garamond"/>
          <w:lang w:val="en-US"/>
        </w:rPr>
        <w:br/>
        <w:t xml:space="preserve">die schöne Welt, </w:t>
      </w:r>
      <w:r w:rsidRPr="00405E14">
        <w:rPr>
          <w:rFonts w:ascii="Garamond" w:hAnsi="Garamond"/>
          <w:lang w:val="en-US"/>
        </w:rPr>
        <w:br/>
        <w:t xml:space="preserve">mit mächtiger Faust; </w:t>
      </w:r>
      <w:r w:rsidRPr="00405E14">
        <w:rPr>
          <w:rFonts w:ascii="Garamond" w:hAnsi="Garamond"/>
          <w:lang w:val="en-US"/>
        </w:rPr>
        <w:br/>
        <w:t xml:space="preserve">sie stürzt, sie zerfällt! </w:t>
      </w:r>
      <w:r w:rsidRPr="00405E14">
        <w:rPr>
          <w:rFonts w:ascii="Garamond" w:hAnsi="Garamond"/>
          <w:lang w:val="en-US"/>
        </w:rPr>
        <w:br/>
        <w:t xml:space="preserve">Ein Halbgott hat sie zerschlagen! </w:t>
      </w:r>
      <w:r w:rsidRPr="00405E14">
        <w:rPr>
          <w:rFonts w:ascii="Garamond" w:hAnsi="Garamond"/>
          <w:lang w:val="en-US"/>
        </w:rPr>
        <w:br/>
        <w:t xml:space="preserve">. . . . . . . . . . . . . . </w:t>
      </w:r>
      <w:r w:rsidRPr="00405E14">
        <w:rPr>
          <w:rFonts w:ascii="Garamond" w:hAnsi="Garamond"/>
          <w:lang w:val="en-US"/>
        </w:rPr>
        <w:br/>
        <w:t xml:space="preserve">Mächtiger </w:t>
      </w:r>
      <w:r w:rsidRPr="00405E14">
        <w:rPr>
          <w:rFonts w:ascii="Garamond" w:hAnsi="Garamond"/>
          <w:lang w:val="en-US"/>
        </w:rPr>
        <w:br/>
        <w:t xml:space="preserve">der Erdensöhne, </w:t>
      </w:r>
      <w:r w:rsidRPr="00405E14">
        <w:rPr>
          <w:rFonts w:ascii="Garamond" w:hAnsi="Garamond"/>
          <w:lang w:val="en-US"/>
        </w:rPr>
        <w:br/>
        <w:t xml:space="preserve">Prächtiger </w:t>
      </w:r>
      <w:r w:rsidRPr="00405E14">
        <w:rPr>
          <w:rFonts w:ascii="Garamond" w:hAnsi="Garamond"/>
          <w:lang w:val="en-US"/>
        </w:rPr>
        <w:br/>
        <w:t xml:space="preserve">baue sie wieder, </w:t>
      </w:r>
      <w:r w:rsidRPr="00405E14">
        <w:rPr>
          <w:rFonts w:ascii="Garamond" w:hAnsi="Garamond"/>
          <w:lang w:val="en-US"/>
        </w:rPr>
        <w:br/>
        <w:t>in deinem Busen baue sie auf!«</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Und der Paranoiker baut sie wieder auf, nicht prächtiger zwar, aber wenigstens so, daß er wieder in ihr leben kann. Er baut sie auf durch die Arbeit seines Wahnes. </w:t>
      </w:r>
      <w:r w:rsidRPr="00405E14">
        <w:rPr>
          <w:rFonts w:ascii="Garamond" w:hAnsi="Garamond"/>
          <w:i/>
          <w:iCs/>
          <w:lang w:val="en-US"/>
        </w:rPr>
        <w:t>Was wir für die Krankheitsproduktion halten, die Wahnbildung, ist in Wirklichkeit der Heilungsversuch, die Rekonstruktion.</w:t>
      </w:r>
      <w:r w:rsidRPr="00405E14">
        <w:rPr>
          <w:rFonts w:ascii="Garamond" w:hAnsi="Garamond"/>
          <w:lang w:val="en-US"/>
        </w:rPr>
        <w:t xml:space="preserve"> Diese gelingt nach der Katastrophe mehr oder minder gut, niemals völlig; eine »tiefgreifende innere Veränderung« nach den Worten Schrebers hat sich mit der Welt vollzogen. Aber der Mensch hat eine Beziehung zu den Personen und Dingen der Welt wiedergewonnen, oft eine sehr intensive, wenn sie auch feindlich sein mag, die früher erwartungsvoll zärtlich war. Wir werden also sagen: der eigentliche Verdrängungsvorgang besteht in einer Ablösung der Libido von vorher geliebten Personen – und Dingen. Er vollzieht sich stumm; wir erhalten keine Kunde von ihm, sind genötigt, ihn aus den nachfolgenden Vorgängen zu erschließen. Was sich uns lärmend </w:t>
      </w:r>
      <w:r w:rsidRPr="00405E14">
        <w:rPr>
          <w:rFonts w:ascii="Garamond" w:hAnsi="Garamond"/>
          <w:lang w:val="en-US"/>
        </w:rPr>
        <w:lastRenderedPageBreak/>
        <w:t>bemerkbar macht, das ist der Heilungsvorgang, der die Verdrängung rückgängig macht und die Libido wieder zu den von ihr verlassenen Personen zurückführt. Er vollzieht sich bei der Paranoia auf dem Wege der Projektion. Es war nicht richtig zu sagen, die innerlich unterdrückte Empfindung werde nach außen projiziert; wir sehen vielmehr ein, daß das innerlich Aufgehobene von außen wiederkehrt. Die gründliche Untersuchung des Prozesses der Projektion, die wir auf ein anderes Mal verschoben haben, wird uns hierüber die letzte Sicherheit bringen.</w:t>
      </w:r>
    </w:p>
    <w:p w:rsidR="00822836" w:rsidRPr="00405E14" w:rsidRDefault="00822836" w:rsidP="00822836">
      <w:pPr>
        <w:pStyle w:val="Sansinterligne"/>
        <w:rPr>
          <w:rFonts w:ascii="Garamond" w:hAnsi="Garamond"/>
          <w:lang w:val="en-US"/>
        </w:rPr>
      </w:pPr>
      <w:r w:rsidRPr="00405E14">
        <w:rPr>
          <w:rFonts w:ascii="Garamond" w:hAnsi="Garamond"/>
          <w:lang w:val="en-US"/>
        </w:rPr>
        <w:t>Nun aber wollen wir nicht unzufrieden sein, daß uns die neugewonnene Einsicht zu einer Reihe von weiteren Diskussionen nötigt.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1) Die nächste Erwägung sagt uns, daß eine Ablösung der Libido weder ausschließlich bei der Paranoia vorkommen noch dort, wo sie sonst vorkommt, so unheilvolle Folgen haben kann. Es ist sehr wohl möglich, daß die Ablösung der Libido der wesentliche und regelmäßige Mechanismus einer jeden Verdrängung ist; wir wissen nichts darüber, solange nicht die anderen Verdrängungsaffektionen einer analogen Untersuchung unterzogen worden sind. Es ist sicher, daß wir im normalen Seelenleben (und nicht nur in der Trauer) beständig solche Loslösungen der Libido von Personen oder anderen Objekten vollziehen, ohne dabei zu erkranken. Wenn Faust sich von der Welt mit jenen Verfluchungen lossagt, so resultiert daraus keine Paranoia oder andere Neurose, sondern eine besondere psychische Gesamtstimmung. Die Libidolösung an und für sich kann also nicht das Pathogene bei der Paranoia sein, es bedarf eines besonderen Charakters, der die paranoische Ablösung der Libido von anderen Arten des nämlichen Vorganges unterscheiden kann. Es ist nicht schwer, einen solchen Charakter in Vorschlag zu bringen. Welches ist die weitere Verwendung der durch die Lösung frei gewordenen Libido? Normalerweise suchen wir sofort einen Ersatz für die aufgehobene Anheftung; bis dieser Ersatz geglückt ist, erhalten wir die freie Libido in der Psyche schwebend, wo sie Spannungen ergibt und die Stimmung beeinflußt; in der Hysterie verwandelt sich der befreite Libidobetrag in körperliche Innervationen oder in Angst. Bei der Paranoia aber haben wir ein klinisches Anzeichen dafür, daß die dem Objekt entzogene Libido einer besonderen Verwendung zugeführt wird. Wir erinnern uns daran, daß die meisten Fälle von Paranoia ein Stück Größenwahn zeigen und daß der Größenwahn für sich allein eine Paranoia konstituieren kann. Daraus wollen wir schließen, daß die frei gewordene Libido bei der Paranoia zum Ich geschlagen, zur Ichvergrößerung verwendet wird. Damit ist das aus der Entwicklung der Libido bekannte Stadium des Narzißmus wieder erreicht, in welchem das eigene Ich das einzige Sexualobjekt war. Dieser klinischen Aussage wegen nehmen wir an, daß die Paranoischen eine </w:t>
      </w:r>
      <w:r w:rsidRPr="00405E14">
        <w:rPr>
          <w:rFonts w:ascii="Garamond" w:hAnsi="Garamond"/>
          <w:i/>
          <w:iCs/>
          <w:lang w:val="en-US"/>
        </w:rPr>
        <w:t>Fixierung im Narzißmus</w:t>
      </w:r>
      <w:r w:rsidRPr="00405E14">
        <w:rPr>
          <w:rFonts w:ascii="Garamond" w:hAnsi="Garamond"/>
          <w:lang w:val="en-US"/>
        </w:rPr>
        <w:t xml:space="preserve"> mitgebracht haben, und sprechen wir aus, daß der </w:t>
      </w:r>
      <w:r w:rsidRPr="00405E14">
        <w:rPr>
          <w:rFonts w:ascii="Garamond" w:hAnsi="Garamond"/>
          <w:i/>
          <w:iCs/>
          <w:lang w:val="en-US"/>
        </w:rPr>
        <w:t>Rückschritt von der subsumierten Homosexualität bis zum Narzißmus</w:t>
      </w:r>
      <w:r w:rsidRPr="00405E14">
        <w:rPr>
          <w:rFonts w:ascii="Garamond" w:hAnsi="Garamond"/>
          <w:lang w:val="en-US"/>
        </w:rPr>
        <w:t xml:space="preserve"> den Betrag der für die Paranoia charakteristischen </w:t>
      </w:r>
      <w:r w:rsidRPr="00405E14">
        <w:rPr>
          <w:rFonts w:ascii="Garamond" w:hAnsi="Garamond"/>
          <w:i/>
          <w:iCs/>
          <w:lang w:val="en-US"/>
        </w:rPr>
        <w:t>Regression</w:t>
      </w:r>
      <w:r w:rsidRPr="00405E14">
        <w:rPr>
          <w:rFonts w:ascii="Garamond" w:hAnsi="Garamond"/>
          <w:lang w:val="en-US"/>
        </w:rPr>
        <w:t xml:space="preserve"> angibt.</w:t>
      </w:r>
    </w:p>
    <w:p w:rsidR="00822836" w:rsidRPr="00405E14" w:rsidRDefault="00822836" w:rsidP="00822836">
      <w:pPr>
        <w:pStyle w:val="Sansinterligne"/>
        <w:rPr>
          <w:rFonts w:ascii="Garamond" w:hAnsi="Garamond"/>
          <w:lang w:val="en-US"/>
        </w:rPr>
      </w:pPr>
      <w:r w:rsidRPr="00405E14">
        <w:rPr>
          <w:rFonts w:ascii="Garamond" w:hAnsi="Garamond"/>
          <w:lang w:val="en-US"/>
        </w:rPr>
        <w:t>2) Eine gleichfalls naheliegende Einwendung kann sich auf die Krankengeschichte Schrebers (wie auf viele andere) stützen, indem sie geltend macht, daß der Verfolgungswahn (gegen Flechsig) unverkennbar früher auftritt als die Phantasie des Weltunterganges, so daß die angebliche Wiederkehr des Verdrängten der Verdrängung selbst vorherginge, was offenbar widersinnig ist. Diesem Einwand zuliebe müssen wir von der allgemeinsten Betrachtung zur Einzelwürdigung der gewiß sehr viel komplizierteren realen Verhältnisse herabsteigen. Die Möglichkeit muß zugegeben werden, daß eine solche Ablösung der Libido ebensowohl eine partielle, ein Zurückziehen von einem einzelnen Komplex, wie eine allgemeine sein kann. Die partielle Lösung dürfte die bei weitem häufigere sein und diejenige, die die allgemeine einleitet, weil sie ja durch die Einflüsse des Lebens zunächst allein motiviert wird. Es kann dann bei der partiellen Lösung bleiben oder dieselbe zu einer allgemeinen vervollständigt werden, die sich durch den Größenwahn auffällig kundgibt. Im Falle Schrebers mag die Ablösung der Libido von der Person Flechsigs immerhin das Primäre gewesen sein; ihr folgt alsbald der Wahn nach, welcher die Libido wieder zu Flechsig (mit negativem Vorzeichen als Marke der stattgehabten Verdrängung) zurückführt und so das Werk der Verdrängung aufhebt. Nun bricht der Verdrängungskampf von neuem los, bedient sich aber diesmal stärkerer Mittel; in dem Maße, als das umstrittene Objekt das wichtigste in der Außenwelt wird, einerseits alle Libido an sich ziehen will, anderseits alle Widerstände gegen sich mobil macht, wird der Kampf ums einzelne Objekt mit einer allgemeinen Schlacht vergleichbar, in deren Verlauf sich der Sieg der Verdrängung durch die Überzeugung ausdrückt, die Welt sei untergegangen und das Selbst allein übriggeblieben. Überblickt man die kunstvollen Konstruktionen, welche der Wahn Schrebers auf religiösem Boden aufbaut (die Hierarchie Gottes – die geprüften Seelen – die Vorhöfe des Himmels – den niederen und den oberen Gott), so kann man rückschließend ermessen, welcher Reichtum von Sublimierungen durch die Katastrophe der allgemeinen Libidoablösung zum Einsturz gebracht worden war.</w:t>
      </w:r>
    </w:p>
    <w:p w:rsidR="00822836" w:rsidRPr="00405E14" w:rsidRDefault="00822836" w:rsidP="00822836">
      <w:pPr>
        <w:pStyle w:val="Sansinterligne"/>
        <w:rPr>
          <w:rFonts w:ascii="Garamond" w:hAnsi="Garamond"/>
          <w:lang w:val="en-US"/>
        </w:rPr>
      </w:pPr>
      <w:r w:rsidRPr="00405E14">
        <w:rPr>
          <w:rFonts w:ascii="Garamond" w:hAnsi="Garamond"/>
          <w:lang w:val="en-US"/>
        </w:rPr>
        <w:lastRenderedPageBreak/>
        <w:t>3) Eine dritte Überlegung, die sich auf den Boden der hier entwickelten Anschauungen stellt, wirft die Frage auf, ob wir die allgemeine Ablösung der Libido von der Außenwelt als genügend wirksam annehmen sollen, um aus ihr den »Weltuntergang« zu erklären, ob nicht in diesem Falle die festgehaltenen Ichbesetzungen hinreichen müßten, um den Rapport mit der Außenwelt aufrechtzuhalten. Man müßte dann entweder das, was wir Libidobesetzung (Interesse aus erotischen Quellen) heißen, mit dem Interesse überhaupt zusammenfallen lassen oder die Möglichkeit in Betracht ziehen, daß eine ausgiebige Störung in der Unterbringung der Libido auch eine entsprechende Störung in den Ichbesetzungen induzieren kann. Nun sind dies Probleme, zu deren Beantwortung wir noch ganz hilflos und ungeschickt sind. Könnten wir von einer gesicherten Trieblehre ausgehen, so stünde es anders. Aber in Wahrheit verfügen wir über nichts dergleichen. Wir fassen den Trieb als den Grenzbegriff des Somatischen gegen das Seelische, sehen in ihm den psychischen Repräsentanten organischer Mächte und nehmen die populäre Unterscheidung von Ichtrieben und Sexualtrieb an, die uns mit der biologischen Doppelstellung des Einzelwesens, welche seine eigene Erhaltung wie die der Gattung anstrebt, übereinzustimmen scheint. Aber alles Weitere sind Konstruktionen, die wir aufstellen und auch bereitwillig wieder fallenlassen, um uns in dem Gewirre der dunkleren seelischen Vorgänge zu orientieren, und wir erwarten gerade von psychoanalytischen Untersuchungen über krankhafte Seelenvorgänge, daß sie uns gewisse Entscheidungen in den Fragen der Trieblehre aufnötigen werden. Bei der Jugend und Vereinzelung solcher Untersuchungen kann diese Erwartung noch nicht Erfüllung gefunden haben. Die Möglichkeit von Rückwirkungen der Libidostörungen auf die Ichbesetzungen wird man so wenig von der Hand weisen dürfen wie die Umkehrung davon, die sekundäre oder induzierte Störung der Libidovorgänge durch abnorme Veränderungen im Ich. Ja, es ist wahrscheinlich, daß Vorgänge dieser Art den unterscheidenden Charakter der Psychose ausmachen. Was hievon für die Paranoia in Betracht kommt, wird sich gegenwärtig nicht angeben lassen. Ich möchte nur einen einzigen Gesichtspunkt hervorheben. Man kann nicht behaupten, daß der Paranoiker sein Interesse von der Außenwelt völlig zurückgezogen hat, auch nicht auf der Höhe der Verdrängung, wie man es etwa von gewissen anderen Formen von halluzinatorischen Psychosen beschreiben muß (Meynerts Amentia). Er nimmt die Außenwelt wahr, er gibt sich Rechenschaft über ihre Veränderungen, wird durch ihren Eindruck zu Erklärungsleistungen angeregt (die »flüchtig hingemachten« Männer), und darum halte ich es für weitaus wahrscheinlicher, daß seine veränderte Relation zur Welt allein oder vorwiegend durch den Ausfall des Libidointeresses zu erklären ist.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4) Bei den nahen Beziehungen der Paranoia zur Dementia praecox kann man der Frage nicht ausweichen, wie eine solche Auffassung der ersteren Affektion auf die der letzteren zurückwirken muß. Ich halte es für einen wohlberechtigten Schritt Kraepelins, vieles, was man vorher Paranoia geheißen hat, mit der Katatonie und anderen Formen zu einer neuen klinischen Einheit zu verschmelzen, für welche der Name Dementia praecox allerdings besonders ungeschickt gewählt ist. Auch gegen die Bleulersche Bezeichnung des gleichen Formenkreises als Schizophrenie wäre einzuwenden, daß der Name nur dann gut brauchbar erscheint, wenn man sich an seine Wortbedeutung nicht erinnert. Er ist sonst allzu präjudizierlich, indem er einen theoretisch postulierten Charakter zur Benennung verwendet, überdies einen solchen, welcher der Affektion nicht ausschließend zukommt und im Lichte anderer Anschauungen nicht für den wesentlichen erklärt werden kann. Es ist aber im ganzen nicht sehr wichtig, wie man Krankheitsbilder benennt. Wesentlicher erschiene es mir, die Paranoia als selbständigen klinischen Typus aufrechtzuhalten, auch wenn ihr Bild noch so häufig durch schizophrene Züge kompliziert wird, denn vom Standpunkte der Libidotheorie ließe sie sich durch eine andere Lokalisation der disponierenden Fixierung und einen andern Mechanismus der Wiederkehr (Symptombildung) von der Dementia praecox sondern, mit welcher sie den Hauptcharakter der eigentlichen Verdrängung, die Libidoablösung mit Regression zum Ich, gemeinsam hätte. Ich hielte es für das zweckmäßigste, wenn man die Dementia praecox mit dem Namen </w:t>
      </w:r>
      <w:r w:rsidRPr="00405E14">
        <w:rPr>
          <w:rFonts w:ascii="Garamond" w:hAnsi="Garamond"/>
          <w:i/>
          <w:iCs/>
          <w:lang w:val="en-US"/>
        </w:rPr>
        <w:t>Paraphrenie</w:t>
      </w:r>
      <w:r w:rsidRPr="00405E14">
        <w:rPr>
          <w:rFonts w:ascii="Garamond" w:hAnsi="Garamond"/>
          <w:lang w:val="en-US"/>
        </w:rPr>
        <w:t xml:space="preserve"> belegen wollte, welcher, an sich unbestimmten Inhalts, ihre Beziehungen zu der unabänderlich benannten Paranoia zum Ausdruck bringt und überdies an die in ihr aufgegangene Hebephrenie erinnert. Es käme dabei nicht in Betracht, daß dieser Name bereits früher für anderes vorgeschlagen wurde, da sich diese anderen Verwendungen nicht durchgesetzt haben.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Daß bei der Dementia praecox der Charakter der Abkehr der Libido von der Außenwelt ganz besonders deutlich ist, hat Abraham (l. c.) auf sehr eindringliche Weise auseinandergesetzt. Aus diesem Charakter erschließen wir die Verdrängung durch Libidoablösung. Die Phase der stürmischen Halluzinationen fassen wir auch hier als eine des Kampfes der Verdrängung mit einem Heilungsversuch, der die Libido wieder zu ihren Objekten bringen will. In den Delirien und motorischen Stereotypien der Krankheit hat Jung mit außerordentlichem analytischem Scharfsinn die krampfhaft festgehaltenen Reste der einstigen Objektbesetzungen erkannt. Dieser vom Beobachter für die Krankheit selbst gehaltene Heilungsversuch </w:t>
      </w:r>
      <w:r w:rsidRPr="00405E14">
        <w:rPr>
          <w:rFonts w:ascii="Garamond" w:hAnsi="Garamond"/>
          <w:lang w:val="en-US"/>
        </w:rPr>
        <w:lastRenderedPageBreak/>
        <w:t>bedient sich aber nicht wie bei Paranoia der Projektion, sondern des halluzinatorischen (hysterischen) Mechanismus. Dies ist der eine der großen Unterschiede von der Paranoia; er ist einer genetischen Aufklärung von anderer Seite her fähig. Der Ausgang der Dementia praecox, wo die Affektion nicht allzusehr partiell bleibt, bringt den zweiten Unterschied. Er ist im allgemeinen ungünstiger als der der Paranoia; der Sieg bleibt nicht wie bei letzterer der Rekonstruktion, sondern der Verdrängung. Die Regression geht nicht nur bis zum Narzißmus, der sich in Größenwahn äußert, sondern bis zur vollen Auflassung der Objektliebe und Rückkehr zum infantilen Autoerotismus. Die disponierende Fixierung muß also weiter zurückliegen als die der Paranoia, im Beginn der Entwicklung, die vom Autoerotismus zur Objektliebe strebt, enthalten sein. Es ist auch keineswegs wahrscheinlich, daß die homosexuellen Anstöße, die wir bei der Paranoia so häufig, vielleicht regelmäßig finden, in der Ätiologie der weit uneingeschränkteren Dementia praecox eine ähnlich bedeutsame Rolle spielen.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Unsere Annahmen über die disponierenden Fixierungen bei Paranoia und Paraphrenie machen es ohne weiteres verständlich, daß ein Fall mit paranoischen Symptomen beginnen und sich doch zur Demenz entwickeln kann, daß paranoide und schizophrene Erscheinungen sich in jedem Ausmaße kombinieren, daß ein Krankheitsbild wie das Schrebers zustande kommen kann, welches den Namen einer paranoischen Demenz verdient, durch das Hervortreten der Wunschphantasie und der Halluzinationen dem paraphrenen, durch den Anlaß, den Projektionsmechanismus und den Ausgang dem paranoiden Charakter Rechnung trägt. Es können ja in der Entwicklung mehrere Fixierungen zurückgelassen worden sein und der Reihe nach den Durchbruch der abgedrängten Libido gestatten, etwa die später erworbene zuerst und im weiteren Verlaufe der Krankheit dann die ursprüngliche, dem Ausgangspunkt näher liegende. Man möchte gerne wissen, welchen Bedingungen dieser Fall die relativ günstige Erledigung verdankt, denn man wird sich nicht gerne entschließen, etwas so Zufälliges wie die »Versetzungsbesserung«, die mit dem Verlassen der Flechsigschen Anstalt eintrat </w:t>
      </w:r>
      <w:hyperlink r:id="rId1254" w:history="1">
        <w:r w:rsidRPr="00405E14">
          <w:rPr>
            <w:rStyle w:val="Lienhypertexte"/>
            <w:rFonts w:ascii="Garamond" w:hAnsi="Garamond"/>
            <w:color w:val="C00000"/>
            <w:lang w:val="en-US"/>
          </w:rPr>
          <w:t>[Fußnote]</w:t>
        </w:r>
        <w:r w:rsidRPr="00405E14">
          <w:rPr>
            <w:rStyle w:val="innerfusslink"/>
            <w:rFonts w:ascii="Garamond" w:eastAsiaTheme="majorEastAsia" w:hAnsi="Garamond"/>
            <w:color w:val="C00000"/>
            <w:lang w:val="en-US"/>
          </w:rPr>
          <w:t>Vgl. Riklin (1905).</w:t>
        </w:r>
      </w:hyperlink>
      <w:r w:rsidRPr="00405E14">
        <w:rPr>
          <w:rFonts w:ascii="Garamond" w:hAnsi="Garamond"/>
          <w:lang w:val="en-US"/>
        </w:rPr>
        <w:t>, allein für den Ausgang verantwortlich zu machen. Aber unsere unzulängliche Kenntnis der intimen Zusammenhänge in dieser Krankengeschichte macht die Antwort auf diese interessante Frage unmöglich. Als Vermutung könnte man hinstellen, daß die wesentlich positive Tönung des Vaterkomplexes, das in der Realität späterer Jahre wahrscheinlich ungetrübte Verhältnis zu einem vortrefflichen Vater, die Versöhnung mit der homosexuellen Phantasie und damit den heilungsartigen Ablauf ermöglicht hat.</w:t>
      </w:r>
    </w:p>
    <w:p w:rsidR="00822836" w:rsidRPr="00405E14" w:rsidRDefault="00822836" w:rsidP="00822836">
      <w:pPr>
        <w:pStyle w:val="Sansinterligne"/>
        <w:rPr>
          <w:rFonts w:ascii="Garamond" w:hAnsi="Garamond"/>
          <w:lang w:val="en-US"/>
        </w:rPr>
      </w:pPr>
      <w:r w:rsidRPr="00405E14">
        <w:rPr>
          <w:rFonts w:ascii="Garamond" w:hAnsi="Garamond"/>
          <w:lang w:val="en-US"/>
        </w:rPr>
        <w:t>Da ich weder die Kritik fürchte noch die Selbstkritik scheue, habe ich kein Motiv, die Erwähnung einer Ähnlichkeit zu vermeiden, die vielleicht unsere Libidotheorie im Urteile vieler Leser schädigen wird. Die durch Verdichtung von Sonnenstrahlen, Nervenfasern und Samenfäden komponierten »Gottesstrahlen« Schrebers sind eigentlich nichts anderes als die dinglich dargestellten, nach außen projizierten Libidobesetzungen und verleihen seinem Wahn eine auffällige Übereinstimmung mit unserer Theorie. Daß die Welt untergehen muß, weil das Ich des Kranken alle Strahlen an sich zieht, daß er später während des Rekonstruktionsvorganges ängstlich besorgt sein muß, daß Gott nicht die Strahlenverbindung mit ihm löse, diese und manche andere Einzelheiten der Schreberschen Wahnbildung klingen fast wie endopsychische Wahrnehmungen der Vorgänge, deren Annahme ich hier einem Verständnis der Paranoia zugrunde gelegt habe. Ich kann aber das Zeugnis eines Freundes und Fachmannes dafür vorbringen, daß ich die Theorie der Paranoia entwickelt habe, ehe mir der Inhalt des Schreberschen Buches bekannt war. Es bleibt der Zukunft überlassen zu entscheiden, ob in der Theorie mehr Wahn enthalten ist, als ich möchte, oder in dem Wahn mehr Wahrheit, als andere heute glaublich finden.</w:t>
      </w:r>
    </w:p>
    <w:p w:rsidR="00822836" w:rsidRPr="00405E14" w:rsidRDefault="00822836" w:rsidP="00822836">
      <w:pPr>
        <w:pStyle w:val="Sansinterligne"/>
        <w:rPr>
          <w:rFonts w:ascii="Garamond" w:hAnsi="Garamond"/>
          <w:lang w:val="en-US"/>
        </w:rPr>
      </w:pPr>
      <w:r w:rsidRPr="00405E14">
        <w:rPr>
          <w:rFonts w:ascii="Garamond" w:hAnsi="Garamond"/>
          <w:lang w:val="en-US"/>
        </w:rPr>
        <w:t>Endlich möchte ich diese Arbeit, die doch wiederum nur ein Bruchstück eines größeren Zusammenhanges darstellt, nicht beschließen, ohne einen Ausblick auf die beiden Hauptsätze zu geben, auf deren Erweis die Libidotheorie der Neurosen und Psychosen hinsteuert, daß die Neurosen im wesentlichen aus dem Konflikte des Ichs mit dem Sexualtrieb hervorgehen und daß ihre Formen die Abdrücke der Entwicklungsgeschichte der Libido – und des Ichs bewahren.</w:t>
      </w:r>
    </w:p>
    <w:p w:rsidR="00822836" w:rsidRPr="00405E14" w:rsidRDefault="00822836" w:rsidP="00822836">
      <w:pPr>
        <w:pStyle w:val="Sansinterligne"/>
        <w:rPr>
          <w:rFonts w:ascii="Garamond" w:hAnsi="Garamond"/>
          <w:lang w:val="en-US"/>
        </w:rPr>
      </w:pPr>
      <w:r w:rsidRPr="00405E14">
        <w:rPr>
          <w:rFonts w:ascii="Garamond" w:hAnsi="Garamond"/>
          <w:lang w:val="en-US"/>
        </w:rPr>
        <w:t>Nachtrag</w:t>
      </w:r>
    </w:p>
    <w:p w:rsidR="00822836" w:rsidRPr="00405E14" w:rsidRDefault="00822836" w:rsidP="00822836">
      <w:pPr>
        <w:pStyle w:val="Sansinterligne"/>
        <w:rPr>
          <w:rFonts w:ascii="Garamond" w:hAnsi="Garamond"/>
          <w:lang w:val="en-US"/>
        </w:rPr>
      </w:pPr>
      <w:r w:rsidRPr="00405E14">
        <w:rPr>
          <w:rFonts w:ascii="Garamond" w:hAnsi="Garamond"/>
          <w:lang w:val="en-US"/>
        </w:rPr>
        <w:t>(1912)</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In der Behandlung der Krankengeschichte des Senatspräsidenten Schreber habe ich mich mit Absicht auf ein Mindestmaß von Deutung eingeschränkt und darf darauf vertrauen, daß jeder psychoanalytisch geschulte Leser aus dem mitgeteilten Material mehr entnommen haben wird, als ich ausdrücklich ausspreche, daß es ihm nicht schwergefallen ist, die Fäden des Zusammenhanges enger anzuziehen und Schlußfolgerungen zu erreichen, die ich bloß andeute. Ein freundlicher Zufall, der die Aufmerksamkeit anderer Autoren des gleichen Bandes auf die Schrebersche Selbstbiographie gelenkt hat, läßt auch erraten, </w:t>
      </w:r>
      <w:r w:rsidRPr="00405E14">
        <w:rPr>
          <w:rFonts w:ascii="Garamond" w:hAnsi="Garamond"/>
          <w:lang w:val="en-US"/>
        </w:rPr>
        <w:lastRenderedPageBreak/>
        <w:t xml:space="preserve">wieviel noch aus dem symbolischen Gehalt der Phantasien und Wahnideen des geistreichen Paranoikers zu schöpfen ist </w:t>
      </w:r>
      <w:hyperlink r:id="rId1255" w:history="1">
        <w:r w:rsidRPr="00405E14">
          <w:rPr>
            <w:rStyle w:val="Lienhypertexte"/>
            <w:rFonts w:ascii="Garamond" w:hAnsi="Garamond"/>
            <w:color w:val="C00000"/>
            <w:lang w:val="en-US"/>
          </w:rPr>
          <w:t>[Fußnote]</w:t>
        </w:r>
        <w:r w:rsidRPr="00405E14">
          <w:rPr>
            <w:rStyle w:val="innerfusslink"/>
            <w:rFonts w:ascii="Garamond" w:hAnsi="Garamond"/>
            <w:color w:val="C00000"/>
            <w:lang w:val="en-US"/>
          </w:rPr>
          <w:t>Vgl. Jung (1911); Spielrein (1911).</w:t>
        </w:r>
      </w:hyperlink>
      <w:r w:rsidRPr="00405E14">
        <w:rPr>
          <w:rFonts w:ascii="Garamond" w:hAnsi="Garamond"/>
          <w:lang w:val="en-US"/>
        </w:rPr>
        <w:t>.</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Eine zufällige Bereicherung meiner Kenntnisse seit der Veröffentlichung meiner Arbeit über Schreber hat mich nun in den Stand gesetzt, eine seiner wahnhaften Behauptungen besser zu würdigen und als </w:t>
      </w:r>
      <w:r w:rsidRPr="00405E14">
        <w:rPr>
          <w:rFonts w:ascii="Garamond" w:hAnsi="Garamond"/>
          <w:i/>
          <w:iCs/>
          <w:lang w:val="en-US"/>
        </w:rPr>
        <w:t>mythologisch</w:t>
      </w:r>
      <w:r w:rsidRPr="00405E14">
        <w:rPr>
          <w:rFonts w:ascii="Garamond" w:hAnsi="Garamond"/>
          <w:lang w:val="en-US"/>
        </w:rPr>
        <w:t xml:space="preserve"> beziehungsreich zu erkennen. Auf Seite 404 erwähne ich das besondere Verhältnis des Kranken zur Sonne, die ich für ein sublimiertes »Vatersymbol« erklären mußte. Die Sonne spricht mit ihm in menschlichen Worten und gibt sich ihm so als ein belebtes Wesen zu erkennen. Er pflegt sie zu beschimpfen, mit Drohworten anzuschreien; er versichert auch, daß ihre Strahlen vor ihm erbleichen, wenn er gegen sie gewendet laut spricht. Nach seiner »Genesung« rühmt er sich, daß er ruhig in die Sonne sehen kann und davon nur in sehr bescheidenem Maße geblendet wird, was natürlich früher nicht möglich gewesen wäre (Anmerkung auf S. 139 des Schreberschen Buches).</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An dieses wahnhafte Vorrecht, ungeblendet in die Sonne schauen zu können, knüpft nun das mythologische Interesse an. Man liest bei S. Reinach </w:t>
      </w:r>
      <w:hyperlink r:id="rId1256" w:history="1">
        <w:r w:rsidRPr="00405E14">
          <w:rPr>
            <w:rStyle w:val="Lienhypertexte"/>
            <w:rFonts w:ascii="Garamond" w:hAnsi="Garamond"/>
            <w:color w:val="C00000"/>
            <w:lang w:val="en-US"/>
          </w:rPr>
          <w:t>[Fußnote]</w:t>
        </w:r>
        <w:r w:rsidRPr="00405E14">
          <w:rPr>
            <w:rStyle w:val="innerfusslink"/>
            <w:rFonts w:ascii="Garamond" w:hAnsi="Garamond"/>
            <w:color w:val="C00000"/>
            <w:lang w:val="en-US"/>
          </w:rPr>
          <w:t>(1905), Bd. 3 (1908), (Nach Keller, Tiere des Altertums)</w:t>
        </w:r>
      </w:hyperlink>
      <w:r w:rsidRPr="00405E14">
        <w:rPr>
          <w:rFonts w:ascii="Garamond" w:hAnsi="Garamond"/>
          <w:lang w:val="en-US"/>
        </w:rPr>
        <w:t xml:space="preserve">, daß die alten Naturforscher dieses Vermögen allein den Adlern zugestanden, die als Bewohner der höchsten Luftschichten zum Himmel, zur Sonne und zum Blitze in besonders innige Beziehung gebracht wurden </w:t>
      </w:r>
      <w:hyperlink r:id="rId1257" w:history="1">
        <w:r w:rsidRPr="00405E14">
          <w:rPr>
            <w:rStyle w:val="Lienhypertexte"/>
            <w:rFonts w:ascii="Garamond" w:hAnsi="Garamond"/>
            <w:color w:val="C00000"/>
            <w:lang w:val="en-US"/>
          </w:rPr>
          <w:t>[Fußnote]</w:t>
        </w:r>
        <w:r w:rsidRPr="00405E14">
          <w:rPr>
            <w:rStyle w:val="innerfusslink"/>
            <w:rFonts w:ascii="Garamond" w:hAnsi="Garamond"/>
            <w:color w:val="C00000"/>
            <w:lang w:val="en-US"/>
          </w:rPr>
          <w:t>An den höchsten Stellen der Tempel waren Bilder von Adlern angebracht, um als »magische« Blitzableiter zu wirken. (S. Reinach, l. c.)</w:t>
        </w:r>
      </w:hyperlink>
      <w:r w:rsidRPr="00405E14">
        <w:rPr>
          <w:rFonts w:ascii="Garamond" w:hAnsi="Garamond"/>
          <w:lang w:val="en-US"/>
        </w:rPr>
        <w:t>. Dieselben Quellen berichten aber auch, daß der Adler seine Jungen einer Probe unterzieht, ehe er sie als legitim anerkennt. Wenn sie es nicht zustande bringen, in die Sonne zu schauen, ohne zu blinzeln, werden sie aus dem Nest geworfen.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Über die Bedeutung dieses Tiermythus kann kein Zweifel sein. Gewiß wird hier den Tieren nur zugeschrieben, was bei den Menschen geheiligter Gebrauch ist. Was der Adler mit seinen Jungen anstellt, ist ein </w:t>
      </w:r>
      <w:r w:rsidRPr="00405E14">
        <w:rPr>
          <w:rFonts w:ascii="Garamond" w:hAnsi="Garamond"/>
          <w:i/>
          <w:iCs/>
          <w:lang w:val="en-US"/>
        </w:rPr>
        <w:t>Ordal</w:t>
      </w:r>
      <w:r w:rsidRPr="00405E14">
        <w:rPr>
          <w:rFonts w:ascii="Garamond" w:hAnsi="Garamond"/>
          <w:lang w:val="en-US"/>
        </w:rPr>
        <w:t xml:space="preserve">, eine Abkunftsprobe, wie sie von den verschiedensten Völkern aus alten Zeiten berichtet wird. So vertrauten die am Rhein wohnenden Kelten ihre Neugeborenen den Fluten des Stromes an, um sich zu überzeugen, ob sie wirklich ihres Blutes wären. Der Stamm der Psyllen im heutigen Tripolis, der sich der Abkunft von Schlangen rühmte, setzte seine Kinder der Berührung solcher Schlangen aus; die rechtmäßig Geborenen wurden entweder nicht gebissen oder erholten sich rasch von den Folgen des Bisses </w:t>
      </w:r>
      <w:hyperlink r:id="rId1258" w:history="1">
        <w:r w:rsidRPr="00405E14">
          <w:rPr>
            <w:rStyle w:val="Lienhypertexte"/>
            <w:rFonts w:ascii="Garamond" w:hAnsi="Garamond"/>
            <w:color w:val="C00000"/>
            <w:lang w:val="en-US"/>
          </w:rPr>
          <w:t>[Fußnote]</w:t>
        </w:r>
        <w:r w:rsidRPr="00405E14">
          <w:rPr>
            <w:rStyle w:val="innerfusslink"/>
            <w:rFonts w:ascii="Garamond" w:hAnsi="Garamond"/>
            <w:color w:val="C00000"/>
            <w:lang w:val="en-US"/>
          </w:rPr>
          <w:t>Siehe Literaturnachweise bei Reinach, l. c. und ibid., Bd. 1, S. 74.</w:t>
        </w:r>
      </w:hyperlink>
      <w:r w:rsidRPr="00405E14">
        <w:rPr>
          <w:rFonts w:ascii="Garamond" w:hAnsi="Garamond"/>
          <w:lang w:val="en-US"/>
        </w:rPr>
        <w:t xml:space="preserve">. Die Voraussetzung dieser Erprobungen führt tief in die </w:t>
      </w:r>
      <w:r w:rsidRPr="00405E14">
        <w:rPr>
          <w:rFonts w:ascii="Garamond" w:hAnsi="Garamond"/>
          <w:i/>
          <w:iCs/>
          <w:lang w:val="en-US"/>
        </w:rPr>
        <w:t>totemistische</w:t>
      </w:r>
      <w:r w:rsidRPr="00405E14">
        <w:rPr>
          <w:rFonts w:ascii="Garamond" w:hAnsi="Garamond"/>
          <w:lang w:val="en-US"/>
        </w:rPr>
        <w:t xml:space="preserve"> Denkweise primitiver Völker hinein. Der Totem – das Tier oder die animistisch gedachte Naturmacht, von der der Stamm seine Abkunft herleitet – verschont die Angehörigen dieses Stammes als seine Kinder, wie er selbst von ihnen als Stammvater verehrt und eventuell verschont wird. Wir sind hier bei Dingen angelangt, die mir berufen erscheinen, ein psychoanalytisches Verständnis für die Ursprünge der Religion zu ermöglichen.</w:t>
      </w:r>
    </w:p>
    <w:p w:rsidR="00822836" w:rsidRPr="00405E14" w:rsidRDefault="00822836" w:rsidP="00822836">
      <w:pPr>
        <w:pStyle w:val="Sansinterligne"/>
        <w:rPr>
          <w:rFonts w:ascii="Garamond" w:hAnsi="Garamond"/>
          <w:lang w:val="en-US"/>
        </w:rPr>
      </w:pPr>
      <w:r w:rsidRPr="00405E14">
        <w:rPr>
          <w:rFonts w:ascii="Garamond" w:hAnsi="Garamond"/>
          <w:lang w:val="en-US"/>
        </w:rPr>
        <w:t xml:space="preserve">Der Adler, der seine Jungen in die Sonne schauen läßt und verlangt, daß sie von ihrem Lichte nicht geblendet werden, benimmt sich also wie ein Abkömmling der Sonne, der seine Kinder der Ahnenprobe unterwirft. Und wenn Schreber sich rühmt, daß er ungestraft und ungeblendet in die Sonne schauen kann, hat er den mythologischen Ausdruck für seine Kindesbeziehung zur Sonne wiedergefunden, hat uns von neuem bestätigt, wenn wir seine Sonne als ein Symbol des Vaters auffassen. Erinnern wir uns daran, daß Schreber in seiner Krankheit seinen Familienstolz frei äußert (»Die Schrebers gehören dem höchsten himmlischen Adel an«) </w:t>
      </w:r>
      <w:hyperlink r:id="rId1259" w:history="1">
        <w:r w:rsidRPr="00405E14">
          <w:rPr>
            <w:rStyle w:val="Lienhypertexte"/>
            <w:rFonts w:ascii="Garamond" w:hAnsi="Garamond"/>
            <w:color w:val="C00000"/>
            <w:lang w:val="en-US"/>
          </w:rPr>
          <w:t>[Fußnote]</w:t>
        </w:r>
        <w:r w:rsidRPr="00405E14">
          <w:rPr>
            <w:rStyle w:val="innerfusslink"/>
            <w:rFonts w:ascii="Garamond" w:hAnsi="Garamond"/>
            <w:color w:val="C00000"/>
            <w:lang w:val="en-US"/>
          </w:rPr>
          <w:t>Denkwürdigkeiten, S. 24. – »Adel« gehört zu »Adler«.</w:t>
        </w:r>
      </w:hyperlink>
      <w:r w:rsidRPr="00405E14">
        <w:rPr>
          <w:rFonts w:ascii="Garamond" w:hAnsi="Garamond"/>
          <w:lang w:val="en-US"/>
        </w:rPr>
        <w:t>, daß wir ein menschliches Motiv für seine Erkrankung an einer femininen Wunschphantasie in seiner Kinderlosigkeit gefunden haben, so wird uns der Zusammenhang seines wahnhaften Vorrechtes mit den Grundlagen seines Krankseins deutlich genug.</w:t>
      </w:r>
    </w:p>
    <w:p w:rsidR="00822836" w:rsidRDefault="00822836" w:rsidP="00822836">
      <w:pPr>
        <w:pStyle w:val="Sansinterligne"/>
        <w:rPr>
          <w:rFonts w:ascii="Garamond" w:hAnsi="Garamond"/>
          <w:lang w:val="en-US"/>
        </w:rPr>
      </w:pPr>
      <w:r w:rsidRPr="00405E14">
        <w:rPr>
          <w:rFonts w:ascii="Garamond" w:hAnsi="Garamond"/>
          <w:lang w:val="en-US"/>
        </w:rPr>
        <w:t xml:space="preserve">Dieser kleine Nachtrag zur Analyse eines Paranoiden mag dartun, wie wohlbegründet die Behauptung Jungs ist, daß die mythenbildenden Kräfte der Menschheit nicht erloschen sind, sondern heute noch in den Neurosen dieselben psychischen Produkte erzeugen wie in den ältesten Zeiten. Ich möchte eine früher gemachte Andeutung </w:t>
      </w:r>
      <w:hyperlink r:id="rId1260" w:history="1">
        <w:r w:rsidRPr="00405E14">
          <w:rPr>
            <w:rStyle w:val="Lienhypertexte"/>
            <w:rFonts w:ascii="Garamond" w:hAnsi="Garamond"/>
            <w:color w:val="C00000"/>
            <w:lang w:val="en-US"/>
          </w:rPr>
          <w:t>[Fußnote]</w:t>
        </w:r>
        <w:r w:rsidRPr="00405E14">
          <w:rPr>
            <w:rStyle w:val="innerfusslink"/>
            <w:rFonts w:ascii="Garamond" w:hAnsi="Garamond"/>
            <w:color w:val="C00000"/>
            <w:lang w:val="en-US"/>
          </w:rPr>
          <w:t>›Zwangshandlungen und Religionsübungen‹ (1907).</w:t>
        </w:r>
      </w:hyperlink>
      <w:r w:rsidRPr="00405E14">
        <w:rPr>
          <w:rFonts w:ascii="Garamond" w:hAnsi="Garamond"/>
          <w:lang w:val="en-US"/>
        </w:rPr>
        <w:t xml:space="preserve"> wiederaufnehmen, indem ich ausspreche, daß für die religionsbildenden Kräfte dasselbe gilt. Und ich meine, es wird bald an der Zeit sein, einen Satz, den wir Psychoanalytiker schon vor langem ausgesprochen haben, zu erweitern, zu seinem individuellen, ontogenetisch verstandenen Inhalt die anthropologische, phylogenetisch zu fassende Ergänzung hinzuzufügen. Wir haben gesagt: Im Traume und in der Neurose finden wir das </w:t>
      </w:r>
      <w:r w:rsidRPr="00405E14">
        <w:rPr>
          <w:rFonts w:ascii="Garamond" w:hAnsi="Garamond"/>
          <w:i/>
          <w:iCs/>
          <w:lang w:val="en-US"/>
        </w:rPr>
        <w:t>Kind</w:t>
      </w:r>
      <w:r w:rsidRPr="00405E14">
        <w:rPr>
          <w:rFonts w:ascii="Garamond" w:hAnsi="Garamond"/>
          <w:lang w:val="en-US"/>
        </w:rPr>
        <w:t xml:space="preserve"> wieder mit den Eigentümlichkeiten seiner Denkweisen und seines Affektlebens. Wir werden ergänzen: auch den </w:t>
      </w:r>
      <w:r w:rsidRPr="00405E14">
        <w:rPr>
          <w:rFonts w:ascii="Garamond" w:hAnsi="Garamond"/>
          <w:i/>
          <w:iCs/>
          <w:lang w:val="en-US"/>
        </w:rPr>
        <w:t>wilden</w:t>
      </w:r>
      <w:r w:rsidRPr="00405E14">
        <w:rPr>
          <w:rFonts w:ascii="Garamond" w:hAnsi="Garamond"/>
          <w:lang w:val="en-US"/>
        </w:rPr>
        <w:t xml:space="preserve">, den </w:t>
      </w:r>
      <w:r w:rsidRPr="00405E14">
        <w:rPr>
          <w:rFonts w:ascii="Garamond" w:hAnsi="Garamond"/>
          <w:i/>
          <w:iCs/>
          <w:lang w:val="en-US"/>
        </w:rPr>
        <w:t>primitiven</w:t>
      </w:r>
      <w:r w:rsidRPr="00405E14">
        <w:rPr>
          <w:rFonts w:ascii="Garamond" w:hAnsi="Garamond"/>
          <w:lang w:val="en-US"/>
        </w:rPr>
        <w:t xml:space="preserve"> Menschen, wie er sich uns im Lichte der Altertumswissenschaft und der Völkerforschung zeigt.</w:t>
      </w:r>
    </w:p>
    <w:p w:rsidR="00822836" w:rsidRDefault="00822836" w:rsidP="00822836">
      <w:pPr>
        <w:rPr>
          <w:rFonts w:ascii="Garamond" w:hAnsi="Garamond"/>
          <w:lang w:val="en-US"/>
        </w:rPr>
      </w:pPr>
      <w:r>
        <w:rPr>
          <w:rFonts w:ascii="Garamond" w:hAnsi="Garamond"/>
          <w:lang w:val="en-US"/>
        </w:rPr>
        <w:br w:type="page"/>
      </w:r>
    </w:p>
    <w:p w:rsidR="00822836" w:rsidRPr="005C3C9A" w:rsidRDefault="00822836" w:rsidP="00822836">
      <w:pPr>
        <w:pStyle w:val="Sansinterligne"/>
        <w:rPr>
          <w:rFonts w:ascii="Garamond" w:hAnsi="Garamond"/>
          <w:lang w:val="en-US"/>
        </w:rPr>
      </w:pPr>
      <w:r>
        <w:rPr>
          <w:rFonts w:ascii="Garamond" w:hAnsi="Garamond"/>
          <w:lang w:val="en-US"/>
        </w:rPr>
        <w:lastRenderedPageBreak/>
        <w:t xml:space="preserve">DER </w:t>
      </w:r>
      <w:r w:rsidRPr="005C3C9A">
        <w:rPr>
          <w:rFonts w:ascii="Garamond" w:hAnsi="Garamond"/>
          <w:lang w:val="en-US"/>
        </w:rPr>
        <w:t>WOLF MAN</w:t>
      </w:r>
    </w:p>
    <w:p w:rsidR="00822836" w:rsidRPr="005C3C9A" w:rsidRDefault="00822836" w:rsidP="00822836">
      <w:pPr>
        <w:pStyle w:val="Sansinterligne"/>
        <w:rPr>
          <w:rFonts w:ascii="Garamond" w:hAnsi="Garamond"/>
          <w:lang w:val="en-US"/>
        </w:rPr>
      </w:pPr>
      <w:r w:rsidRPr="005C3C9A">
        <w:rPr>
          <w:rFonts w:ascii="Garamond" w:hAnsi="Garamond"/>
          <w:lang w:val="en-US"/>
        </w:rPr>
        <w:br/>
        <w:t>Aus der Geschichte einer infantilen Neurose ( 1918 )</w:t>
      </w:r>
    </w:p>
    <w:p w:rsidR="00822836" w:rsidRPr="005C3C9A" w:rsidRDefault="00822836" w:rsidP="00822836">
      <w:pPr>
        <w:pStyle w:val="Sansinterligne"/>
        <w:rPr>
          <w:rFonts w:ascii="Garamond" w:hAnsi="Garamond"/>
          <w:lang w:val="en-US"/>
        </w:rPr>
      </w:pPr>
    </w:p>
    <w:p w:rsidR="00822836" w:rsidRDefault="00822836" w:rsidP="00822836">
      <w:pPr>
        <w:pStyle w:val="Sansinterligne"/>
        <w:rPr>
          <w:rFonts w:ascii="Garamond" w:hAnsi="Garamond"/>
          <w:lang w:val="en-US"/>
        </w:rPr>
      </w:pPr>
    </w:p>
    <w:p w:rsidR="00822836" w:rsidRDefault="00822836" w:rsidP="00822836">
      <w:pPr>
        <w:pStyle w:val="Sansinterligne"/>
        <w:rPr>
          <w:rFonts w:ascii="Garamond" w:hAnsi="Garamond"/>
          <w:lang w:val="en-US"/>
        </w:rPr>
      </w:pPr>
    </w:p>
    <w:p w:rsidR="00822836" w:rsidRPr="00244833" w:rsidRDefault="00B437A1" w:rsidP="00822836">
      <w:pPr>
        <w:pStyle w:val="Sansinterligne"/>
        <w:rPr>
          <w:rFonts w:ascii="Garamond" w:hAnsi="Garamond"/>
          <w:b/>
          <w:lang w:val="en-US"/>
        </w:rPr>
      </w:pPr>
      <w:hyperlink w:anchor="WolfmanInhalt" w:history="1">
        <w:r w:rsidR="00822836" w:rsidRPr="00244833">
          <w:rPr>
            <w:rStyle w:val="Lienhypertexte"/>
            <w:rFonts w:ascii="Garamond" w:hAnsi="Garamond"/>
            <w:b/>
            <w:lang w:val="en-US"/>
          </w:rPr>
          <w:t xml:space="preserve">I  </w:t>
        </w:r>
        <w:r w:rsidR="00822836" w:rsidRPr="00244833">
          <w:rPr>
            <w:rStyle w:val="Lienhypertexte"/>
            <w:rFonts w:ascii="Garamond" w:hAnsi="Garamond"/>
            <w:b/>
            <w:lang w:val="de-DE"/>
          </w:rPr>
          <w:t>Ei</w:t>
        </w:r>
        <w:bookmarkStart w:id="231" w:name="Wolfman1"/>
        <w:bookmarkEnd w:id="231"/>
        <w:r w:rsidR="00822836" w:rsidRPr="00244833">
          <w:rPr>
            <w:rStyle w:val="Lienhypertexte"/>
            <w:rFonts w:ascii="Garamond" w:hAnsi="Garamond"/>
            <w:b/>
            <w:lang w:val="de-DE"/>
          </w:rPr>
          <w:t>nführung</w:t>
        </w:r>
      </w:hyperlink>
    </w:p>
    <w:p w:rsidR="00822836" w:rsidRDefault="00822836" w:rsidP="00822836">
      <w:pPr>
        <w:pStyle w:val="Sansinterligne"/>
        <w:rPr>
          <w:rFonts w:ascii="Garamond" w:hAnsi="Garamond"/>
          <w:lang w:val="en-US"/>
        </w:rPr>
      </w:pP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Der Krankheitsfall, über welchen ich hier – wiederum nur in fragmentarischer Weise – berichten werde </w:t>
      </w:r>
      <w:hyperlink r:id="rId1261"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 xml:space="preserve">Diese Krankengeschichte ist kurz nach Abschluß der Behandlung im Winter 1914/15 niedergeschrieben worden unter dem damals frischen Eindruck der Umdeutungen, welche C. G. Jung und Alf. Adler an den psychoanalytischen Ergebnissen vornehmen wollten. Sie knüpft also an den im </w:t>
        </w:r>
        <w:r w:rsidRPr="005C3C9A">
          <w:rPr>
            <w:rStyle w:val="innerfusslink"/>
            <w:rFonts w:ascii="Garamond" w:hAnsi="Garamond"/>
            <w:i/>
            <w:iCs/>
            <w:color w:val="0000FF"/>
            <w:u w:val="single"/>
            <w:lang w:val="en-US"/>
          </w:rPr>
          <w:t>Jahrbuch der Psychoanalyse</w:t>
        </w:r>
        <w:r w:rsidRPr="005C3C9A">
          <w:rPr>
            <w:rStyle w:val="innerfusslink"/>
            <w:rFonts w:ascii="Garamond" w:hAnsi="Garamond"/>
            <w:color w:val="0000FF"/>
            <w:u w:val="single"/>
            <w:lang w:val="en-US"/>
          </w:rPr>
          <w:t xml:space="preserve"> VI, 1914 veröffentlichten Aufsatz: ›Zur Geschichte der psychoanalytischen Bewegung‹ an und ergänzt die dort enthaltene, im wesentlichen persönliche Polemik durch objektive Würdigung des analytischen Materials. Sie war ursprünglich für den nächsten Band des </w:t>
        </w:r>
        <w:r w:rsidRPr="005C3C9A">
          <w:rPr>
            <w:rStyle w:val="innerfusslink"/>
            <w:rFonts w:ascii="Garamond" w:hAnsi="Garamond"/>
            <w:i/>
            <w:iCs/>
            <w:color w:val="0000FF"/>
            <w:u w:val="single"/>
            <w:lang w:val="en-US"/>
          </w:rPr>
          <w:t>Jahrbuches</w:t>
        </w:r>
        <w:r w:rsidRPr="005C3C9A">
          <w:rPr>
            <w:rStyle w:val="innerfusslink"/>
            <w:rFonts w:ascii="Garamond" w:hAnsi="Garamond"/>
            <w:color w:val="0000FF"/>
            <w:u w:val="single"/>
            <w:lang w:val="en-US"/>
          </w:rPr>
          <w:t xml:space="preserve"> bestimmt, aber da sich das Erscheinen desselben durch die Hemmungen des großen Krieges ins Unbestimmbare verzögerte, entschloß ich mich, sie dieser von einem neuen Verleger veranstalteten Sammlung anzuschließen. Manches, was in ihr zum erstenmal hätte ausgesprochen werden sollen, hatte ich unterdes in meinen 1916/17 gehaltenen </w:t>
        </w:r>
        <w:r w:rsidRPr="005C3C9A">
          <w:rPr>
            <w:rStyle w:val="innerfusslink"/>
            <w:rFonts w:ascii="Garamond" w:hAnsi="Garamond"/>
            <w:i/>
            <w:iCs/>
            <w:color w:val="0000FF"/>
            <w:u w:val="single"/>
            <w:lang w:val="en-US"/>
          </w:rPr>
          <w:t>Vorlesungen zur Einführung in die Psychoanalyse</w:t>
        </w:r>
        <w:r w:rsidRPr="005C3C9A">
          <w:rPr>
            <w:rStyle w:val="innerfusslink"/>
            <w:rFonts w:ascii="Garamond" w:hAnsi="Garamond"/>
            <w:color w:val="0000FF"/>
            <w:u w:val="single"/>
            <w:lang w:val="en-US"/>
          </w:rPr>
          <w:t xml:space="preserve"> behandeln müssen. Der Text der ersten Niederschrift hat keine Abänderungen von irgendwelchem Belang erfahren; Zusätze sind durch eckige Klammern kenntlich gemacht.</w:t>
        </w:r>
      </w:hyperlink>
      <w:r w:rsidRPr="005C3C9A">
        <w:rPr>
          <w:rFonts w:ascii="Garamond" w:hAnsi="Garamond"/>
          <w:lang w:val="en-US"/>
        </w:rPr>
        <w:t>, ist durch eine Anzahl von Eigentümlichkeiten ausgezeichnet, welche zu ihrer Hervorhebung vor der Darstellung auffordern. Er betrifft einen jungen Mann, welcher in seinem achtzehnten Jahr nach einer gonorrhoischen Infektion als krank zusammenbrach und gänzlich abhängig und existenzunfähig war, als er mehrere Jahre später in psychoanalytische Behandlung trat. Das Jahrzehnt seiner Jugend vor dem Zeitpunkt der Erkrankung hatte er in annähernd normaler Weise durchlebt und seine Mittelschulstudien ohne viel Störung erledigt. Aber seine früheren Jahre waren von einer schweren neurotischen Störung beherrscht gewesen, welche knapp vor seinem vierten Geburtstag als Angsthysterie (Tierphobie) begann, sich dann in eine Zwangsneurose mit religiösem Inhalt umsetzte und mit ihren Ausläufern bis in sein zehntes Jahr hineinreichte.</w:t>
      </w:r>
    </w:p>
    <w:p w:rsidR="00822836" w:rsidRPr="005C3C9A" w:rsidRDefault="00822836" w:rsidP="00822836">
      <w:pPr>
        <w:pStyle w:val="Sansinterligne"/>
        <w:rPr>
          <w:rFonts w:ascii="Garamond" w:hAnsi="Garamond"/>
          <w:lang w:val="en-US"/>
        </w:rPr>
      </w:pPr>
      <w:r w:rsidRPr="005C3C9A">
        <w:rPr>
          <w:rFonts w:ascii="Garamond" w:hAnsi="Garamond"/>
          <w:lang w:val="en-US"/>
        </w:rPr>
        <w:t>Nur diese infantile Neurose wird der Gegenstand meiner Mitteilungen sein. Trotz der direkten Aufforderung des Patienten habe ich es abgelehnt, die vollständige Geschichte seiner Erkrankung, Behandlung und Herstellung zu schreiben, weil ich diese Aufgabe als technisch undurchführbar und sozial unzulässig erkannte. Damit fällt auch die Möglichkeit weg, den Zusammenhang zwischen seiner infantilen und seiner späteren definitiven Erkrankung aufzuzeigen. Ich kann von dieser letzteren nur angeben, daß der Kranke ihretwegen lange Zeit in deutschen Sanatorien zugebracht hat und damals von der zuständigsten Stelle als ein Fall von »manisch-depressivem Irresein« klassifiziert worden ist. Diese Diagnose traf sicherlich für den Vater des Patienten zu, dessen an Tätigkeit und Interessen reiches Leben durch wiederholte Anfälle von schwerer Depression gestört worden war. An dem Sohne selbst habe ich bei mehrjähriger Beobachtung keinen Stimmungswandel beobachten können, der an Intensität und nach den Bedingungen seines Auftretens über die ersichtliche psychische Situation hinausgegangen wäre. Ich habe mir die Vorstellung gebildet, daß dieser Fall sowie viele andere, die von der klinischen Psychiatrie mit mannigfaltigen und wechselnden Diagnosen belegt werden, als Folgezustand nach einer spontan abgelaufenen, mit Defekt ausgeheilten Zwangsneurose aufzufassen ist.</w:t>
      </w:r>
    </w:p>
    <w:p w:rsidR="00822836" w:rsidRPr="005C3C9A" w:rsidRDefault="00822836" w:rsidP="00822836">
      <w:pPr>
        <w:pStyle w:val="Sansinterligne"/>
        <w:rPr>
          <w:rFonts w:ascii="Garamond" w:hAnsi="Garamond"/>
          <w:lang w:val="en-US"/>
        </w:rPr>
      </w:pPr>
      <w:r w:rsidRPr="005C3C9A">
        <w:rPr>
          <w:rFonts w:ascii="Garamond" w:hAnsi="Garamond"/>
          <w:lang w:val="en-US"/>
        </w:rPr>
        <w:t>Meine Beschreibung wird also von einer infantilen Neurose handeln, die nicht während ihres Bestandes, sondern erst fünfzehn Jahre nach ihrem Ablauf analysiert worden ist. Diese Situation hat ihre Vorzüge ebensowohl wie ihre Nachteile im Vergleiche mit der anderen. Die Analyse, die man am neurotischen Kind selbst vollzieht, wird von vornherein vertrauenswürdiger erscheinen, aber sie kann nicht sehr inhaltsreich sein; man muß dem Kind zuviel Worte und Gedanken leihen und wird vielleicht doch die tiefsten Schichten undurchdringlich für das Bewußtsein finden. Die Analyse der Kindheitserkrankung durch das Medium der Erinnerung bei dem Erwachsenen und geistig Gereiften ist von diesen Einschränkungen frei; aber man wird die Verzerrung und Zurichtung in Rechnung bringen, welcher die eigene Vergangenheit beim Rückblick aus späterer Zeit unterworfen ist. Der erste Fall gibt vielleicht die überzeugenderen Resultate, der zweite ist der bei weitem lehrreichere.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Auf alle Fälle darf man aber behaupten, daß Analysen von kindlichen Neurosen ein besonders hohes theoretisches Interesse beanspruchen können. Sie leisten für das richtige Verständnis der Neurosen Erwachsener ungefähr soviel wie die Kinderträume für die Träume der Erwachsenen. Nicht etwa, daß sie </w:t>
      </w:r>
      <w:r w:rsidRPr="005C3C9A">
        <w:rPr>
          <w:rFonts w:ascii="Garamond" w:hAnsi="Garamond"/>
          <w:lang w:val="en-US"/>
        </w:rPr>
        <w:lastRenderedPageBreak/>
        <w:t>leichter zu durchschauen oder ärmer an Elementen wären; die Schwierigkeit der Einfühlung ins kindliche Seelenleben macht sie sogar zu einem besonders harten Stück Arbeit für den Arzt. Aber es sind doch in ihnen so viele der späteren Auflagerungen weggefallen, daß das Wesentliche der Neurose unverkennbar hervortritt. Der Widerstand gegen die Ergebnisse der Psychoanalyse hat bekanntlich in der gegenwärtigen Phase des Kampfes um die Psychoanalyse eine neue Form angenommen. Man begnügte sich früher damit, den von der Analyse behaupteten Tatsachen die Wirklichkeit zu bestreiten, wozu eine Vermeidung der Nachprüfung die beste Technik schien. Dies Verfahren scheint sich nun langsam zu erschöpfen; man schlägt jetzt den anderen Weg ein, die Tatsachen anzuerkennen, aber die Folgerungen, die sich aus ihnen ergeben, durch Umdeutungen zu beseitigen, so daß man sich der anstößigen Neuheiten doch wieder erwehrt hat. Das Studium der kindlichen Neurosen erweist die volle Unzulänglichkeit dieser seichten oder gewaltsamen Umdeutungsversuche. Es zeigt den überragenden Anteil der so gern verleugneten libidinösen Triebkräfte an der Gestaltung der Neurose auf und läßt die Abwesenheit fernliegender kultureller Zielstrebungen erkennen, von denen das Kind noch nichts weiß, und die ihm darum nichts bedeuten können.</w:t>
      </w:r>
    </w:p>
    <w:p w:rsidR="00822836" w:rsidRPr="005C3C9A" w:rsidRDefault="00822836" w:rsidP="00822836">
      <w:pPr>
        <w:pStyle w:val="Sansinterligne"/>
        <w:rPr>
          <w:rFonts w:ascii="Garamond" w:hAnsi="Garamond"/>
          <w:lang w:val="en-US"/>
        </w:rPr>
      </w:pPr>
      <w:r w:rsidRPr="005C3C9A">
        <w:rPr>
          <w:rFonts w:ascii="Garamond" w:hAnsi="Garamond"/>
          <w:lang w:val="en-US"/>
        </w:rPr>
        <w:t>Ein anderer Zug, welcher die hier mitzuteilende Analyse der Aufmerksamkeit empfiehlt, hängt mit der Schwere der Erkrankung und der Dauer ihrer Behandlung zusammen. Die in kurzer Zeit zu einem günstigen Ausgang führenden Analysen werden für das Selbstgefühl des Therapeuten wertvoll sein und die ärztliche Bedeutung der Psychoanalyse dartun; für die Förderung der wissenschaftlichen Erkenntnis bleiben sie meist belanglos. Man lernt nichts Neues aus ihnen. Sie sind ja nur darum so rasch geglückt, weil man bereits alles wußte, was zu ihrer Erledigung notwendig war. Neues kann man nur aus Analysen erfahren, die besondere Schwierigkeiten bieten, zu deren Überwindung man dann viel Zeit verbraucht. Nur in diesen Fällen erreicht man es, in die tiefsten und primitivsten Schichten der seelischen Entwicklung herabzusteigen und von dort die Lösungen für die Probleme der späteren Gestaltungen zu holen. Man sagt sich dann, daß, strenggenommen, erst die Analyse, welche so weit vorgedrungen ist, diesen Namen verdient. Natürlich belehrt ein einzelner Fall nicht über alles, was man wissen möchte. Richtiger gesagt, er könnte alles lehren, wenn man nur imstande wäre, alles aufzufassen, und nicht durch die Ungeübtheit der eigenen Wahrnehmung genötigt wäre, sich mit wenigem zu begnügen.</w:t>
      </w:r>
    </w:p>
    <w:p w:rsidR="00822836" w:rsidRPr="005C3C9A" w:rsidRDefault="00822836" w:rsidP="00822836">
      <w:pPr>
        <w:pStyle w:val="Sansinterligne"/>
        <w:rPr>
          <w:rFonts w:ascii="Garamond" w:hAnsi="Garamond"/>
          <w:lang w:val="en-US"/>
        </w:rPr>
      </w:pPr>
      <w:r w:rsidRPr="005C3C9A">
        <w:rPr>
          <w:rFonts w:ascii="Garamond" w:hAnsi="Garamond"/>
          <w:lang w:val="en-US"/>
        </w:rPr>
        <w:t>An solchen fruchtbringenden Schwierigkeiten ließ der hier zu beschreibende Krankheitsfall nichts zu wünschen übrig. Die ersten Jahre der Behandlung erzielten kaum eine Änderung. Eine glückliche Konstellation fügte es, daß trotzdem alle äußeren Verhältnisse die Fortsetzung des therapeutischen Versuches ermöglichten. Ich kann mir leicht denken, daß bei weniger günstigen Umständen die Behandlung nach einiger Zeit aufgegeben worden wäre. Für den Standpunkt des Arztes kann ich nur aussagen, daß er sich in solchem Falle ebenso »zeitlos« verhalten muß wie das Unbewußte selbst, wenn er etwas erfahren und erzielen will. Das bringt er schließlich zustande, wenn er auf kurzsichtigen therapeutischen Ehrgeiz zu verzichten vermag. Das Ausmaß von Geduld, Gefügigkeit, Einsicht und Zutrauen, welches von Seiten des Kranken und seiner Angehörigen erforderlich ist, wird man in wenigen anderen Fällen erwarten dürfen. Der Analytiker darf sich aber sagen, daß die Ergebnisse, welche er an einem Falle in so langer Arbeit gewonnen hat, nun dazu verhelfen werden, die Behandlungsdauer einer nächsten, ebenso schweren Erkrankung wesentlich zu verkürzen und so die Zeitlosigkeit des Unbewußten fortschreitend zu überwinden, nachdem man sich ihr ein erstes Mal unterworfen hat.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Der Patient, mit dem ich mich hier beschäftige, blieb lange Zeit hinter einer Einstellung von gefügiger Teilnahmslosigkeit unangreifbar verschanzt. Er hörte zu, verstand und ließ sich nichts nahekommen. Seine untadelige Intelligenz war wie abgeschnitten von den triebhaften Kräften, welche sein Benehmen in den wenigen ihm übriggebliebenen Lebensrelationen beherrschten. Es bedurfte einer langen Erziehung, um ihn zu bewegen, einen selbständigen Anteil an der Arbeit zu nehmen, und als infolge dieser Bemühung die ersten Befreiungen auftraten, stellte er sofort die Arbeit ein, um weitere Veränderungen zu verhüten und sich in der hergestellten Situation behaglich zu erhalten. Seine Scheu vor einer selbständigen Existenz war so groß, daß sie alle Beschwerden des Krankseins aufwog. Es fand sich ein einziger Weg, um sie zu überwinden. Ich mußte warten, bis die Bindung an meine Person stark genug geworden war, um ihr das Gleichgewicht zu halten, dann spielte ich diesen einen Faktor gegen den anderen aus. Ich bestimmte, nicht ohne mich durch gute Anzeichen der Rechtzeitigkeit leiten zu lassen, daß die Behandlung zu einem gewissen Termin abgeschlossen werden müsse, gleichgültig, wie weit sie vorgeschritten sei. Diesen Termin war ich einzuhalten entschlossen; der Patient glaubte endlich an meinen Ernst. Unter dem unerbittlichen Druck dieser Terminsetzung gab sein Widerstand, seine Fixierung ans Kranksein nach, und die Analyse lieferte nun in unverhältnismäßig kurzer Zeit all das Material, welches die Lösung seiner Hemmungen und die Aufhebung seiner Symptome ermöglichte. Aus dieser letzten Zeit der Arbeit, in welcher der </w:t>
      </w:r>
      <w:r w:rsidRPr="005C3C9A">
        <w:rPr>
          <w:rFonts w:ascii="Garamond" w:hAnsi="Garamond"/>
          <w:lang w:val="en-US"/>
        </w:rPr>
        <w:lastRenderedPageBreak/>
        <w:t>Widerstand zeitweise verschwunden war und der Kranke den Eindruck einer sonst nur in der Hypnose erreichbaren Luzidität machte, stammen auch alle die Aufklärungen, welche mir das Verständnis seiner infantilen Neurose gestatteten.</w:t>
      </w:r>
    </w:p>
    <w:p w:rsidR="00822836" w:rsidRPr="005C3C9A" w:rsidRDefault="00822836" w:rsidP="00822836">
      <w:pPr>
        <w:pStyle w:val="Sansinterligne"/>
        <w:rPr>
          <w:rFonts w:ascii="Garamond" w:hAnsi="Garamond"/>
          <w:lang w:val="en-US"/>
        </w:rPr>
      </w:pPr>
      <w:r w:rsidRPr="005C3C9A">
        <w:rPr>
          <w:rFonts w:ascii="Garamond" w:hAnsi="Garamond"/>
          <w:lang w:val="en-US"/>
        </w:rPr>
        <w:t>So illustrierte der Verlauf dieser Behandlung den von der analytischen Technik längst gewürdigten Satz, daß die Länge des Weges, welchen die Analyse mit dem Patienten zurückzulegen hat, und die Fülle des Materials, welches auf diesem Wege zu bewältigen ist, nicht in Betracht kommen gegen den Widerstand, den man während der Arbeit antrifft, und nur soweit in Betracht kommen, als sie dem Widerstände notwendigerweise proportional sind. Es ist derselbe Vorgang, wie wenn jetzt eine feindliche Armee Wochen und Monate verbraucht, um eine Strecke Landes zu durchziehen, die sonst in friedlichen Zeiten in wenigen Schnellzugsstunden durchfahren wird, und die von der eigenen Armee kurz vorher in einigen Tagen zurückgelegt wurde.</w:t>
      </w:r>
    </w:p>
    <w:p w:rsidR="00822836" w:rsidRPr="005C3C9A" w:rsidRDefault="00822836" w:rsidP="00822836">
      <w:pPr>
        <w:pStyle w:val="Sansinterligne"/>
        <w:rPr>
          <w:rFonts w:ascii="Garamond" w:hAnsi="Garamond"/>
          <w:lang w:val="en-US"/>
        </w:rPr>
      </w:pPr>
      <w:r w:rsidRPr="005C3C9A">
        <w:rPr>
          <w:rFonts w:ascii="Garamond" w:hAnsi="Garamond"/>
          <w:lang w:val="en-US"/>
        </w:rPr>
        <w:t>Eine dritte Eigentümlichkeit der hier zu beschreibenden Analyse hat nur den Entschluß, sie mitzuteilen, weiterhin erschwert. Die Ergebnisse derselben haben sich im ganzen mit unserem bisherigen Wissen befriedigend gedeckt oder guten Anschluß daran gefunden. Manche Einzelheiten sind mir aber selbst so merkwürdig und unglaubwürdig erschienen, daß ich Bedenken trug, bei anderen um Glauben für sie zu werben. Ich habe den Patienten zur strengsten Kritik seiner Erinnerungen aufgefordert, aber er fand nichts Unwahrscheinliches an seinen Aussagen und hielt an ihnen fest. Die Leser mögen wenigstens überzeugt sein, daß ich selbst nur berichte, was mir als unabhängiges Erlebnis, unbeeinflußt durch meine Erwartung, entgegengetreten ist. So blieb mir denn nichts übrig, als mich des weisen Wortes zu erinnern, es gebe mehr Dinge zwischen Himmel und Erde, als unsere Schulweisheit sich träumen läßt. Wer es verstünde, seine mitgebrachten Überzeugungen noch gründlicher auszuschalten, könnte gewiß noch mehr von solchen Dingen entdecken.</w:t>
      </w:r>
    </w:p>
    <w:p w:rsidR="00822836" w:rsidRDefault="00822836" w:rsidP="00822836">
      <w:pPr>
        <w:pStyle w:val="Sansinterligne"/>
        <w:rPr>
          <w:rFonts w:ascii="Garamond" w:eastAsia="Times New Roman" w:hAnsi="Garamond" w:cs="Times New Roman"/>
          <w:b/>
          <w:bCs/>
          <w:lang w:val="en-US" w:eastAsia="fr-FR"/>
        </w:rPr>
      </w:pPr>
    </w:p>
    <w:p w:rsidR="00822836" w:rsidRDefault="00822836" w:rsidP="00822836">
      <w:pPr>
        <w:rPr>
          <w:rFonts w:ascii="Garamond" w:eastAsia="Times New Roman" w:hAnsi="Garamond" w:cs="Times New Roman"/>
          <w:b/>
          <w:bCs/>
          <w:lang w:val="en-US" w:eastAsia="fr-FR"/>
        </w:rPr>
      </w:pPr>
      <w:r>
        <w:rPr>
          <w:rFonts w:ascii="Garamond" w:eastAsia="Times New Roman" w:hAnsi="Garamond" w:cs="Times New Roman"/>
          <w:b/>
          <w:bCs/>
          <w:lang w:val="en-US" w:eastAsia="fr-FR"/>
        </w:rPr>
        <w:br w:type="page"/>
      </w:r>
    </w:p>
    <w:p w:rsidR="00822836" w:rsidRPr="005C3C9A" w:rsidRDefault="00B437A1" w:rsidP="00822836">
      <w:pPr>
        <w:pStyle w:val="Sansinterligne"/>
        <w:rPr>
          <w:rFonts w:ascii="Garamond" w:eastAsia="Times New Roman" w:hAnsi="Garamond" w:cs="Times New Roman"/>
          <w:b/>
          <w:bCs/>
          <w:lang w:val="en-US" w:eastAsia="fr-FR"/>
        </w:rPr>
      </w:pPr>
      <w:hyperlink w:anchor="WolfmanInhalt" w:history="1">
        <w:r w:rsidR="00822836" w:rsidRPr="00A57530">
          <w:rPr>
            <w:rStyle w:val="Lienhypertexte"/>
            <w:rFonts w:ascii="Garamond" w:eastAsia="Times New Roman" w:hAnsi="Garamond" w:cs="Times New Roman"/>
            <w:b/>
            <w:bCs/>
            <w:lang w:val="en-US" w:eastAsia="fr-FR"/>
          </w:rPr>
          <w:t>II. Üb</w:t>
        </w:r>
        <w:bookmarkStart w:id="232" w:name="Wolfman2"/>
        <w:bookmarkEnd w:id="232"/>
        <w:r w:rsidR="00822836" w:rsidRPr="00A57530">
          <w:rPr>
            <w:rStyle w:val="Lienhypertexte"/>
            <w:rFonts w:ascii="Garamond" w:eastAsia="Times New Roman" w:hAnsi="Garamond" w:cs="Times New Roman"/>
            <w:b/>
            <w:bCs/>
            <w:lang w:val="en-US" w:eastAsia="fr-FR"/>
          </w:rPr>
          <w:t>ersicht des Milieus und der Krankengeschichte</w:t>
        </w:r>
      </w:hyperlink>
    </w:p>
    <w:p w:rsidR="00822836" w:rsidRDefault="00822836" w:rsidP="00822836">
      <w:pPr>
        <w:pStyle w:val="Sansinterligne"/>
        <w:rPr>
          <w:rFonts w:ascii="Garamond" w:eastAsia="Times New Roman" w:hAnsi="Garamond" w:cs="Times New Roman"/>
          <w:lang w:val="en-US" w:eastAsia="fr-FR"/>
        </w:rPr>
      </w:pP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Ich kann die Geschichte meines Patienten weder rein historisch noch rein pragmatisch schreiben, kann weder eine Behandlungs- noch eine Krankengeschichte geben, sondern werde mich genötigt sehen, die beiden Darstellungsweisen miteinander zu kombinieren. Es hat sich bekanntlich kein Weg gefunden, um die aus der Analyse resultierende Überzeugung in der Wiedergabe derselben irgendwie unterzubringen. Erschöpfende protokollarische Aufnahmen der Vorgänge in den Analysenstunden würden sicherlich nichts dazu leisten; ihre Anfertigung ist auch durch die Technik der Behandlung ausgeschlossen. Man publiziert also solche Analysen nicht, um Überzeugung bei denen hervorzurufen, die sich bisher abweisend und ungläubig verhalten haben. Man erwartet nur solchen Forschern etwas Neues zu bringen, die sich durch eigene Erfahrungen an Kranken bereits Überzeugungen erworben haben.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Ich werde damit beginnen, die Welt des Kindes zu schildern und von seiner Kindheitsgeschichte mitzuteilen, was ohne Anstrengung zu erfahren war und mehrere Jahre hindurch nicht vollständiger und nicht durchsichtiger wurde.</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Jung verheiratete Eltern, die noch eine glückliche Ehe führen, auf welche bald ihre Erkrankungen die ersten Schatten werfen, die Unterleibskrankheiten der Mutter und die ersten Verstimmungsanfälle des Vaters, die seine Abwesenheit vom Hause zur Folge hatten. Die Krankheit des Vaters lernt der Patient natürlich erst sehr viel später verstehen, die Kränklichkeit der Mutter wird ihm schon in frühen Kinderjahren bekannt. Sie gab sich darum verhältnismäßig wenig mit den Kindern ab. Eines Tages, gewiß vor seinem vierten Jahr, hört er, von der Mutter an der Hand geführt, die Klagen der Mutter an den Arzt mit an, den sie vom Hause weg begleitet, und prägt sich ihre Worte ein, um sie später für sich selbst zu verwenden. Er ist nicht das einzige Kind; vor ihm steht eine um zwei Jahre ältere Schwester, lebhaft, begabt, und voreilig schlimm, der eine große Rolle in seinem Leben zufällt.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Eine Kinderfrau betreut ihn, soweit er sich zurückerinnert, ein ungebildetes altes Weib aus dem Volke, von unermüdlicher Zärtlichkeit für ihn. Er ist ihr der Ersatz für einen eigenen früh verstorbenen Sohn. Die Familie lebt auf einem Landgut, welches im Sommer mit einem anderen vertauscht wird. Die große Stadt ist von beiden Gütern nicht weit. Es ist ein Abschnitt in seiner Kindheit, als die Eltern die Güter verkaufen und in die Stadt ziehen. Nahe Verwandte halten sich oft für lange Zeiten auf diesem oder jenem Gut auf, Brüder des Vaters, Schwestern der Mutter und deren Kinder, die Großeltern von Mutterseite. Im Sommer pflegen die Eltern auf einige Wochen zu verreisen. Eine Deckerinnerung zeigt ihm, wie er mit seiner Kinderfrau dem Wagen nachschaut, der Vater, Mutter und Schwester entführt, und darauf friedlich ins Haus zurückgeht. Er muß damals sehr klein gewesen sein2½ Jahre. Fast alle Zeiten ließen sich später mit Sicherheit bestimmen.. Im nächsten Sommer wurde die Schwester zu Hause gelassen und eine englische Gouvernante aufgenommen, der die Oberaufsicht über die Kinder zufiel.</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In späteren Jahren war ihm viel von seiner Kindheit erzählt worden </w:t>
      </w:r>
      <w:hyperlink r:id="rId1262" w:history="1">
        <w:r w:rsidRPr="005C3C9A">
          <w:rPr>
            <w:rFonts w:ascii="Garamond" w:eastAsia="Times New Roman" w:hAnsi="Garamond" w:cs="Times New Roman"/>
            <w:color w:val="0000FF"/>
            <w:u w:val="single"/>
            <w:lang w:val="en-US" w:eastAsia="fr-FR"/>
          </w:rPr>
          <w:t>[Fußnote]Mitteilungen solcher Art darf man in der Regel als Material von uneingeschränkter Glaubwürdigkeit verwerten. Es läge darum nahe, die Lücken in der Erinnerung des Patienten durch Erkundigungen bei den älteren Familienmitgliedern mühelos auszufüllen, allein ich kann nicht entschieden genug von solcher Technik abraten. Was die Angehörigen über Befragen und Aufforderung erzählen, unterliegt allen kritischen Bedenken, die in Betracht kommen können. Man bedauert es regelmäßig, sich von diesen Auskünften abhängig gemacht zu haben, hat dabei das Vertrauen in die Analyse gestört und eine andere Instanz über sie gesetzt. Was überhaupt erinnert werden kann, kommt im weiteren Verlauf der Analyse zum Vorschein.</w:t>
        </w:r>
      </w:hyperlink>
      <w:r w:rsidRPr="005C3C9A">
        <w:rPr>
          <w:rFonts w:ascii="Garamond" w:eastAsia="Times New Roman" w:hAnsi="Garamond" w:cs="Times New Roman"/>
          <w:lang w:val="en-US" w:eastAsia="fr-FR"/>
        </w:rPr>
        <w:t xml:space="preserve">. Vieles wußte er selbst, aber natürlich ohne zeitlichen oder inhaltlichen Zusammenhang. Eine dieser Überlieferungen, die aus Anlaß seiner späteren Erkrankung ungezählte Male vor ihm wiederholt worden war, macht uns mit dem Problem bekannt, dessen Lösung uns beschäftigen wird. Er soll zuerst ein sehr sanftes, gefügiges und eher ruhiges Kind gewesen sein, so daß man zu sagen pflegte, er hätte das Mädchen werden sollen und die ältere Schwester der Bub. Aber einmal, als die Eltern von der Sommerreise zurückkamen, fanden sie ihn verwandelt. Er war unzufrieden, reizbar, heftig geworden, fand sich durch jeden Anlaß gekränkt, tobte dann und schrie wie ein Wilder, so daß die Eltern, als der Zustand andauerte, die Besorgnis äußerten, es werde nicht möglich sein, ihn später einmal in die Schule zu schicken. Es war der Sommer, in dem die englische Gouvernante anwesend war, die sich als eine närrische, unverträgliche, übrigens dem Trunke ergebene Person erwies. Die Mutter war darum geneigt, die Charakterveränderung des Knaben mit der Einwirkung dieser Engländerin zusammenzubringen, und nahm an, sie habe ihn durch ihre Behandlung gereizt. Die scharfsichtige Großmutter, die den Sommer mit den Kindern geteilt hatte, vertrat die Ansicht, daß die Reizbarkeit des Knaben durch die Zwistigkeiten zwischen der Engländerin und der Kinderfrau hervorgerufen sei. Die Engländerin hatte die Kinderfrau wiederholt eine Hexe geheißen, sie gezwungen, </w:t>
      </w:r>
      <w:r w:rsidRPr="005C3C9A">
        <w:rPr>
          <w:rFonts w:ascii="Garamond" w:eastAsia="Times New Roman" w:hAnsi="Garamond" w:cs="Times New Roman"/>
          <w:lang w:val="en-US" w:eastAsia="fr-FR"/>
        </w:rPr>
        <w:lastRenderedPageBreak/>
        <w:t>das Zimmer zu verlassen; der Kleine hatte offen die Partei seiner geliebten »Nanja« genommen und der Gouvernante seinen Haß bezeigt. Wie dem sein mochte, die Engländerin wurde bald nach der Rückkehr der Eltern weggeschickt, ohne daß sich am unleidlichen Wesen des Kindes etwas änderte.</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Die Erinnerung an diese schlimme Zeit ist bei dem Patienten erhalten geblieben. Er meint, die erste seiner Szenen habe er gemacht, als er einmal zu Weihnachten nicht doppelt beschenkt wurde, wie ihm gebührt hätte, weil der Weihnachtstag gleichzeitig sein Geburtstag war. Mit seinen Ansprüchen und Empfindlichkeiten verschonte er auch die geliebte Nanja nicht, ja quälte vielleicht sie am unerbittlichsten. Aber diese Phase der Charakterveränderung ist in seiner Erinnerung unlösbar verknüpft mit vielen anderen sonderbaren und krankhaften Erscheinungen, die er zeitlich nicht anzuordnen weiß. Er wirft all das, was jetzt berichtet werden soll, was unmöglich gleichzeitig gewesen sein kann und voll inhaltlichen Widerspruchs ist, in einen und denselben Zeitraum, den er »noch auf dem ersten Gut« benennt. Mit fünf Jahren, glaubt er, hätten sie dieses Gut verlassen. Er weiß also zu erzählen, daß er an einer Angst gelitten, welche sich seine Schwester zunutze machte, um ihn zu quälen. Es gab ein gewisses Bilderbuch, in dem ein Wolf dargestellt war, aufrecht stehend und ausschreitend. Wenn er dieses Bild zu Gesicht bekam, fing er an wie rasend zu schreien, er fürchtete sich, der Wolf werde kommen und ihn auffressen. Die Schwester wußte es aber immer so einzurichten, daß er dieses Bild sehen mußte, und ergötzte sich an seinem Schrecken. Er fürchtete sich indes auch vor anderen Tieren, großen und kleinen. Einmal jagte er einem schönen großen Schmetterling mit gelb gestreiften Flügeln, die in Zipfel ausliefen, nach, um ihn zu fangen. (Es war wohl ein »Schwalbenschwanz«.) Plötzlich faßte ihn entsetzliche Angst vor dem Tier, er gab die Verfolgung schreiend auf. Auch vor Käfern und Raupen hatte er Angst und Abscheu. Doch wußte er sich zu erinnern, daß er um dieselbe Zeit Käfer gequält und Raupen zerschnitten; auch Pferde waren ihm unheimlich. Wenn ein Pferd geschlagen wurde, schrie er auf und mußte deswegen einmal den Zirkus verlassen. Anderemale liebte er es selbst, Pferde zu schlagen. Ob diese entgegengesetzten Arten des Verhaltens gegen Tiere wirklich gleichzeitig in Kraft gewesen, oder ob sie einander nicht vielmehr abgelöst hatten, dann aber, in welcher Folge und wann, das ließ seine Erinnerung nicht entscheiden. Er konnte auch nicht sagen, ob seine schlimme Zeit durch eine Phase von Krankheit ersetzt worden war oder sich durch diese hindurch fortgesetzt hatte. Jedenfalls war man durch seine nun folgenden Mitteilungen zur Annahme berechtigt, daß er in jenen Kinderjahren eine sehr gut kenntliche Erkrankung an Zwangsneurose durchgemacht hatte. Er erzählte, er sei eine lange Zeit hindurch sehr fromm gewesen. Vor dem Einschlafen mußte er lange beten und eine unendliche Reihe von Kreuzen schlagen. Er pflegte auch abends mit einem Sessel, auf den er stieg, die Runde vor allen Heiligenbildern zu machen, die im Zimmer hingen, und jedes einzelne andächtig zu küssen. Zu diesem frommen Zeremoniell stimmte es dann sehr schlecht – oder vielleicht doch ganz gut –, daß er sich an gotteslästerliche Gedanken erinnerte, die ihm wie eine Eingebung des Teufels in den Sinn kamen. Er mußte denken: Gott – Schwein oder Gott – Kot. Irgendeinmal auf einer Reise in einen deutschen Badeort war er von dem Zwang gequält, an die heilige Dreieinigkeit zu denken, wenn er drei Häufchen Pferdemist oder anderen Kot auf der Straße liegen sah. Damals befolgte er auch ein eigentümliches Zeremoniell, wenn er Leute sah, die ihm leid taten, Bettler, Krüppel, Greise. Er mußte geräuschvoll ausatmen, um nicht so zu werden wie sie, unter gewissen anderen Bedingungen auch den Atem kräftig einziehen. Es lag mir natürlich nahe anzunehmen, daß diese deutlich zwangsneurotischen Symptome einer etwas späteren Zeit und Entwicklungsstufe angehörten als die Zeichen von Angst und die grausamen Handlungen gegen Tiere.</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Die reiferen Jahre des Patienten waren durch ein sehr ungünstiges Verhältnis zu seinem Vater bestimmt, der damals nach wiederholten Anfällen von Depression die krankhaften Seiten seines Charakters nicht verbergen konnte. In den ersten Kinderjahren war dies Verhältnis ein sehr zärtliches gewesen, wie die Erinnerung des Sohnes bewahrt hatte. Der Vater hatte ihn sehr lieb und spielte gerne mit ihm. Er war von klein auf stolz auf den Vater und äußerte nur, er wolle so ein Herr werden wie der. Die Nanja hatte ihm gesagt, die Schwester sei das Kind der Mutter, er aber das des Vaters, womit er sehr zufrieden war. Zu Ausgang der Kindheit war eine Entfremdung zwischen ihm und dem Vater eingetreten. Der Vater zog die Schwester unzweifelhaft vor, und er war sehr gekränkt darüber. Später wurde die Angst vor dem Vater dominierend.</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Gegen das achte Jahr etwa verschwanden alle die Erscheinungen, die der Patient der mit der Schlimmheit beginnenden Lebensphase zurechnet. Sie verschwanden nicht mit einem Schlage, sondern kehrten einige Male wieder, wichen aber endlich, wie der Kranke meint, dem Einfluß der Lehrer und Erzieher, die dann an die Stelle der weiblichen Pflegepersonen traten. Dies also sind im knappsten Umriß die Rätsel, deren Lösung der Analyse aufgegeben wurde: Woher rührte die plötzliche Charakterveränderung des Knaben, was bedeuteten seine Phobie und seine Perversitäten, wie kam er zu seiner zwanghaften Frömmigkeit, und </w:t>
      </w:r>
      <w:r w:rsidRPr="005C3C9A">
        <w:rPr>
          <w:rFonts w:ascii="Garamond" w:eastAsia="Times New Roman" w:hAnsi="Garamond" w:cs="Times New Roman"/>
          <w:lang w:val="en-US" w:eastAsia="fr-FR"/>
        </w:rPr>
        <w:lastRenderedPageBreak/>
        <w:t>wie hängen alle diese Phänomene zusammen? Ich erinnere nochmals daran, daß unsere therapeutische Arbeit einer späteren rezenten neurotischen Erkrankung galt und daß Aufschlüsse über jene früheren Probleme sich nur ergeben konnten, wenn der Verlauf der Analyse für eine Zeit von der Gegenwart abführte, um uns zu dem Umweg durch die kindliche Urzeit zu nötigen.</w:t>
      </w:r>
    </w:p>
    <w:p w:rsidR="00822836" w:rsidRDefault="00822836" w:rsidP="00822836">
      <w:pPr>
        <w:pStyle w:val="Sansinterligne"/>
        <w:rPr>
          <w:rFonts w:ascii="Garamond" w:hAnsi="Garamond"/>
          <w:lang w:val="en-US"/>
        </w:rPr>
      </w:pPr>
    </w:p>
    <w:p w:rsidR="00822836" w:rsidRDefault="00822836" w:rsidP="00822836">
      <w:pPr>
        <w:pStyle w:val="Sansinterligne"/>
        <w:rPr>
          <w:rFonts w:ascii="Garamond" w:hAnsi="Garamond"/>
          <w:lang w:val="en-US"/>
        </w:rPr>
      </w:pPr>
    </w:p>
    <w:p w:rsidR="00822836" w:rsidRDefault="00822836" w:rsidP="00822836">
      <w:pPr>
        <w:rPr>
          <w:rFonts w:ascii="Garamond" w:hAnsi="Garamond"/>
          <w:lang w:val="en-US"/>
        </w:rPr>
      </w:pPr>
      <w:r>
        <w:rPr>
          <w:rFonts w:ascii="Garamond" w:hAnsi="Garamond"/>
          <w:lang w:val="en-US"/>
        </w:rPr>
        <w:br w:type="page"/>
      </w:r>
    </w:p>
    <w:p w:rsidR="00822836" w:rsidRPr="00A57530" w:rsidRDefault="00B437A1" w:rsidP="00822836">
      <w:pPr>
        <w:pStyle w:val="Sansinterligne"/>
        <w:rPr>
          <w:rFonts w:ascii="Garamond" w:hAnsi="Garamond"/>
          <w:b/>
          <w:lang w:val="en-US"/>
        </w:rPr>
      </w:pPr>
      <w:hyperlink w:anchor="WolfmanInhalt" w:history="1">
        <w:r w:rsidR="00822836" w:rsidRPr="00A57530">
          <w:rPr>
            <w:rStyle w:val="Lienhypertexte"/>
            <w:rFonts w:ascii="Garamond" w:hAnsi="Garamond"/>
            <w:b/>
            <w:lang w:val="en-US"/>
          </w:rPr>
          <w:t>III. Di</w:t>
        </w:r>
        <w:bookmarkStart w:id="233" w:name="Wolfman3"/>
        <w:bookmarkEnd w:id="233"/>
        <w:r w:rsidR="00822836" w:rsidRPr="00A57530">
          <w:rPr>
            <w:rStyle w:val="Lienhypertexte"/>
            <w:rFonts w:ascii="Garamond" w:hAnsi="Garamond"/>
            <w:b/>
            <w:lang w:val="en-US"/>
          </w:rPr>
          <w:t>e Verführung und ihre nächsten Folgen</w:t>
        </w:r>
      </w:hyperlink>
    </w:p>
    <w:p w:rsidR="00822836" w:rsidRDefault="00822836" w:rsidP="00822836">
      <w:pPr>
        <w:pStyle w:val="Sansinterligne"/>
        <w:rPr>
          <w:rFonts w:ascii="Garamond" w:hAnsi="Garamond"/>
          <w:lang w:val="en-US"/>
        </w:rPr>
      </w:pPr>
    </w:p>
    <w:p w:rsidR="00822836" w:rsidRPr="005C3C9A" w:rsidRDefault="00822836" w:rsidP="00822836">
      <w:pPr>
        <w:pStyle w:val="Sansinterligne"/>
        <w:rPr>
          <w:rFonts w:ascii="Garamond" w:hAnsi="Garamond"/>
          <w:lang w:val="en-US"/>
        </w:rPr>
      </w:pPr>
      <w:r w:rsidRPr="005C3C9A">
        <w:rPr>
          <w:rFonts w:ascii="Garamond" w:hAnsi="Garamond"/>
          <w:lang w:val="en-US"/>
        </w:rPr>
        <w:t>Die nächste Vermutung richtete sich begreiflicherweise gegen die englische Gouvernante, während deren Anwesenheit die Veränderung des Knaben aufgetreten war. Es waren zwei an sich unverständliche Deckerinnerungen erhalten, die sich auf sie bezogen. Sie hatte einmal, als sie vorausging, zu den Nachkommenden gesagt: Schauen Sie doch auf mein Schwänzchen! Ein andermal war ihr auf einer Fahrt der Hut weggeflogen zur großen Befriedigung der Geschwister. Das deutete auf den Kastrationskomplex hin und gestattete etwa die Konstruktion, eine von ihr an den Knaben gerichtete Drohung hätte zur Entstehung seines abnormen Benehmens viel beigetragen. Es ist ganz ungefährlich, solche Konstruktionen den Analysierten mitzuteilen, sie schaden der Analyse niemals, wenn sie irrig sind, und man spricht sie doch nicht aus, wenn man nicht Aussicht hat, irgendeine Annäherung an die Wirklichkeit durch sie zu erreichen. Als nächste Wirkung dieser Aufstellung traten Träume auf, deren Deutung nicht vollkommen gelang, die aber immer um denselben Inhalt zu spielen schienen. Es handelte sich in ihnen, soweit man sie verstehen konnte, um aggressive Handlungen des Knaben gegen die Schwester oder gegen die Gouvernante und um energische Zurechtweisungen und Züchtigungen dafür. Als hätte er . . . nach dem Bad . . . die Schwester entblößen . . . ihr die Hüllen . . . oder Schleier . . . abreißen wollen und ähnliches. Es gelang aber nicht, aus der Deutung einen sicheren Inhalt zu gewinnen, und als man den Eindruck empfangen hatte, es werde in diesen Träumen das nämliche Material in immer wieder wechselnder Weise verarbeitet, war die Auffassung dieser angeblichen Reminiszenzen gesichert. Es konnte sich nur um Phantasien handeln, die der Träumer irgendeinmal, wahrscheinlich in den Pubertätsjahren, über seine Kindheit gemacht hatte und die jetzt in so schwer kenntlicher Form wieder aufgetaucht waren.</w:t>
      </w:r>
    </w:p>
    <w:p w:rsidR="00822836" w:rsidRPr="005C3C9A" w:rsidRDefault="00822836" w:rsidP="00822836">
      <w:pPr>
        <w:pStyle w:val="Sansinterligne"/>
        <w:rPr>
          <w:rFonts w:ascii="Garamond" w:hAnsi="Garamond"/>
          <w:lang w:val="en-US"/>
        </w:rPr>
      </w:pPr>
      <w:r w:rsidRPr="005C3C9A">
        <w:rPr>
          <w:rFonts w:ascii="Garamond" w:hAnsi="Garamond"/>
          <w:lang w:val="en-US"/>
        </w:rPr>
        <w:t>Ihr Verständnis ergab sich mit einem Schlage, als der Patient sich plötzlich der Tatsache besann, die Schwester habe ihn ja, »als er noch sehr klein war, auf dem ersten Gut«, zu sexuellen Tätlichkeiten verführt. Zunächst kam die Erinnerung, daß sie auf dem Abort, den die Kinder häufig gemeinsam benützten, die Aufforderung vorgebracht: Wollen wir uns den Popo zeigen, und dem Wort auch die Tat habe folgen lassen. Späterhin stellte sich das Wesentlichere der Verführung mit allen Einzelheiten der Zeit und der Lokalität ein. Es war im Frühjahr, zu einer Zeit, da der Vater abwesend war; die Kinder spielten auf dem Boden in einem Raum, während im benachbarten die Mutter arbeitete. Die Schwester hatte nach seinem Glied gegriffen, damit gespielt und dabei unbegreifliche Dinge über die Nanja wie zur Erklärung gesagt. Die Nanja tue dasselbe mit allen Leuten, z. B. mit dem Gärtner, sie stelle ihn auf den Kopf und greife dann nach seinen Genitalien.</w:t>
      </w:r>
    </w:p>
    <w:p w:rsidR="00822836" w:rsidRPr="005C3C9A" w:rsidRDefault="00822836" w:rsidP="00822836">
      <w:pPr>
        <w:pStyle w:val="Sansinterligne"/>
        <w:rPr>
          <w:rFonts w:ascii="Garamond" w:hAnsi="Garamond"/>
          <w:lang w:val="en-US"/>
        </w:rPr>
      </w:pPr>
      <w:r w:rsidRPr="005C3C9A">
        <w:rPr>
          <w:rFonts w:ascii="Garamond" w:hAnsi="Garamond"/>
          <w:lang w:val="en-US"/>
        </w:rPr>
        <w:t>Damit war das Verständnis der vorhin erratenen Phantasien gegeben. Sie sollten die Erinnerung an einen Vorgang, welcher später dem männlichen Selbstgefühl des Patienten anstößig erschien, verlöschen, und erreichten dieses Ziel, indem sie einen Wunschgegensatz an Stelle der historischen Wahrheit setzten. Nach diesen Phantasien hatte nicht er die passive Rolle gegen die Schwester gespielt, sondern im Gegenteile, er war aggressiv gewesen, hatte die Schwester entblößt sehen wollen, war zurückgewiesen und bestraft worden und darum in die Wut geraten, von der die häusliche Tradition soviel erzählte. Zweckmäßig war es auch, die Gouvernante in diese Dichtung zu verweben, der nun einmal von Mutter und Großmutter die Hauptschuld an seinen Wutanfällen zugeteilt wurde. Diese Phantasien entsprachen also genau der Sagenbildung, durch welche eine später große und stolze Nation die Kleinheit und das Mißgeschick ihrer Anfänge zu verhüllen sucht.</w:t>
      </w:r>
    </w:p>
    <w:p w:rsidR="00822836" w:rsidRPr="005C3C9A" w:rsidRDefault="00822836" w:rsidP="00822836">
      <w:pPr>
        <w:pStyle w:val="Sansinterligne"/>
        <w:rPr>
          <w:rFonts w:ascii="Garamond" w:hAnsi="Garamond"/>
          <w:lang w:val="en-US"/>
        </w:rPr>
      </w:pPr>
      <w:r w:rsidRPr="005C3C9A">
        <w:rPr>
          <w:rFonts w:ascii="Garamond" w:hAnsi="Garamond"/>
          <w:lang w:val="en-US"/>
        </w:rPr>
        <w:t>In Wirklichkeit konnte die Gouvernante an der Verführung und ihren Folgen nur einen sehr entlegenen Anteil haben. Die Szenen mit der Schwester fanden im Frühjahr des nämlichen Jahres statt, in dessen Hochsommermonaten die Engländerin als Ersatz der abwesenden Eltern eintrat. Die Feindseligkeit des Knaben gegen die Gouvernante kam vielmehr auf eine andere Weise zustande. Indem sie die Kinderfrau beschimpfte und als Hexe verleumdete, trat sie bei ihm in die Fußstapfen der Schwester, die zuerst jene ungeheuerlichen Dinge von der Kinderfrau erzählt hatte, und gestattete ihm so, an ihr die Abneigung zum Vorschein zu bringen, die sich infolge der Verführung, wie wir hören werden, gegen die Schwester entwickelt hatte.</w:t>
      </w:r>
    </w:p>
    <w:p w:rsidR="00822836" w:rsidRPr="005C3C9A" w:rsidRDefault="00822836" w:rsidP="00822836">
      <w:pPr>
        <w:pStyle w:val="Sansinterligne"/>
        <w:rPr>
          <w:rFonts w:ascii="Garamond" w:hAnsi="Garamond"/>
          <w:lang w:val="en-US"/>
        </w:rPr>
      </w:pPr>
      <w:r w:rsidRPr="005C3C9A">
        <w:rPr>
          <w:rFonts w:ascii="Garamond" w:hAnsi="Garamond"/>
          <w:lang w:val="en-US"/>
        </w:rPr>
        <w:t>Die Verführung durch die Schwester war aber gewiß keine Phantasie. Ihre Glaubwürdigkeit wurde durch eine niemals vergessene Mitteilung aus späteren, reifen Jahren erhöht. Ein um mehr als ein Jahrzehnt älterer Vetter hatte ihm in einem Gespräch über die Schwester gesagt, er erinnere sich sehr wohl daran, was für ein vorwitzig sinnliches Ding sie gewesen sei. Als Kind von vier oder fünf Jahren habe sie sich einmal auf seinen Schoß gesetzt und ihm die Hose geöffnet, um nach seinem Glied zu greifen.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möchte jetzt die Kindergeschichte meines Patienten unterbrechen, um von dieser Schwester, ihrer Entwicklung, weiteren Schicksalen und von ihrem Einfluß auf ihn zu sprechen. Sie war zwei Jahre älter als </w:t>
      </w:r>
      <w:r w:rsidRPr="005C3C9A">
        <w:rPr>
          <w:rFonts w:ascii="Garamond" w:hAnsi="Garamond"/>
          <w:lang w:val="en-US"/>
        </w:rPr>
        <w:lastRenderedPageBreak/>
        <w:t>er und ihm immer vorausgeblieben. Als Kind bubenhaft unbändig, schlug sie dann eine glänzende intellektuelle Entwicklung ein, zeichnete sich durch scharfen realistischen Verstand aus, bevorzugte die Naturwissenschaften in ihren Studien, produzierte aber auch Gedichte, die der Vater hoch einschätzte. Ihren zahlreichen ersten Bewerbern war sie geistig sehr überlegen, pflegte sich über sie lustig [zu] machen. In den ersten Zwanzigerjahren aber begann sie verstimmt zu werden, klagte, daß sie nicht schön genug sei, und zog sich von allem Umgang zurück. Auf eine Reise in Begleitung einer befreundeten älteren Dame geschickt, erzählte sie nach ihrer Heimkehr ganz unwahrscheinliche Dinge, wie sie von ihrer Begleiterin mißhandelt worden sei, blieb aber an die vorgebliche Peinigerin offenbar fixiert. Auf einer zweiten Reise bald nachher vergiftete sie sich und starb fern vom Hause. Wahrscheinlich entsprach ihre Affektion dem Beginne einer Dementia praecox. Sie war eine der Zeugen für die ansehnliche neuropathische Heredität in der Familie, keineswegs aber die einzige. Ein Onkel, Vaterbruder, starb nach langen Jahren einer Sonderlingsexistenz unter Zeichen, die auf eine schwere Zwangsneurose schließen lassen; eine gute Anzahl von Seitenverwandten war und ist mit leichteren nervösen Störungen behaftet.</w:t>
      </w:r>
    </w:p>
    <w:p w:rsidR="00822836" w:rsidRPr="005C3C9A" w:rsidRDefault="00822836" w:rsidP="00822836">
      <w:pPr>
        <w:pStyle w:val="Sansinterligne"/>
        <w:rPr>
          <w:rFonts w:ascii="Garamond" w:hAnsi="Garamond"/>
          <w:lang w:val="en-US"/>
        </w:rPr>
      </w:pPr>
      <w:r w:rsidRPr="005C3C9A">
        <w:rPr>
          <w:rFonts w:ascii="Garamond" w:hAnsi="Garamond"/>
          <w:lang w:val="en-US"/>
        </w:rPr>
        <w:t>Für unseren Patienten war die Schwester in der Kindheit – von der Verführung zunächst abgesehen – ein unbequemer Konkurrent um die Geltung bei den Eltern, dessen schonungslos gezeigte Überlegenheit er sehr drückend empfand. Er neidete ihr dann besonders den Respekt, den der Vater vor ihren geistigen Fähigkeiten und intellektuellen Leistungen bezeugte, während er, seit seiner Zwangsneurose intellektuell gehemmt, sich mit einer geringen Einschätzung begnügen mußte. Von seinem vierzehnten Jahr an begann das Verhältnis der Geschwister sich zu bessern; ähnliche geistige Anlage und gemeinsame Opposition gegen die Eltern führten sie so weit zusammen, daß sie wie die besten Kameraden miteinander verkehrten. In der stürmischen sexuellen Erregtheit seiner Pubertätszeit wagte er es, eine intime körperliche Annäherung bei ihr zu suchen. Als sie ihn ebenso entschieden als geschickt abgewiesen hatte, wandte er sich von ihr sofort zu einem kleinen Bauernmädchen, das im Hause bedienstet war und den gleichen Namen wie die Schwester trug. Er hatte damit einen für seine heterosexuelle Objektwahl bestimmenden Schritt vollzogen, denn alle die Mädchen, in die er sich dann später, oft unter den deutlichsten Anzeichen des Zwanges, verliebte, waren gleichfalls dienende Personen, deren Bildung und Intelligenz weit hinter der seinigen zurückstehen mußten. Waren alle diese Liebesobjekte Ersatzpersonen für die ihm versagte Schwester, so ist nicht abzuweisen, daß eine Tendenz zur Erniedrigung der Schwester, zur Aufhebung ihrer intellektuellen Überlegenheit, die ihn einst so bedrückt hatte, dabei die Entscheidung über seine Objektwahl bekam.</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Motiven dieser Art, die dem Willen zur Macht, dem Behauptungstrieb des Individuums entstammen, hat Alf. Adler wie alles andere so auch das sexuelle Verhalten der Menschen untergeordnet. Ich bin, ohne die Geltung solcher Macht- und Vorrechtsmotive je zu leugnen, nie davon überzeugt gewesen, daß sie die ihnen zugeschriebene dominierende und ausschließliche Rolle spielen können. Hätte ich die Analyse meines Patienten nicht bis zu Ende geführt, so hätte ich die Beobachtung dieses Falles zum Anlaß nehmen müssen, um eine Korrektur meines Vorurteils im Sinne von Adler vorzunehmen. Unerwarteterweise brachte der Schluß dieser Analyse neues Material, aus dem sich wiederum ergab, daß diese Machtmotive (in unserem Falle die Erniedrigungstendenz) die Objektwahl nur im Sinne eines Beitrags und einer Rationalisierung bestimmt hatten, während die eigentliche, tiefere Determinierung mir gestattete, an meinen früheren Überzeugungen festzuhalten </w:t>
      </w:r>
      <w:hyperlink r:id="rId1263"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S. unten S. 207.</w:t>
        </w:r>
      </w:hyperlink>
      <w:r w:rsidRPr="005C3C9A">
        <w:rPr>
          <w:rFonts w:ascii="Garamond" w:hAnsi="Garamond"/>
          <w:lang w:val="en-US"/>
        </w:rPr>
        <w: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Als die Nachricht vom Tode der Schwester anlangte, erzählte der Patient, empfand er kaum eine Andeutung von Schmerz. Er zwang sich zu Zeichen von Trauer und konnte sich in aller Kühle darüber freuen, daß er jetzt der alleinige Erbe des Vermögens geworden sei. Er befand sich schon seit mehreren Jahren in seiner rezenten Krankheit, als sich dies zutrug. Ich gestehe aber, daß diese eine Mitteilung mich in der diagnostischen Beurteilung des Falles für eine ganze Weile unsicher machte. Es war zwar anzunehmen, daß der Schmerz über den Verlust des geliebtesten Mitglieds seiner Familie eine Ausdruckshemmung durch die fortwirkende Eifersucht gegen sie und durch die Einmengung der unbewußt gewordenen inzestuösen Verliebtheit erfahren würde, aber auf einen Ersatz für den unterbliebenen Schmerzausbruch vermochte ich nicht zu verzichten. Ein solcher fand sich endlich in einer anderen, ihm unverständlich gebliebenen Gefühlsäußerung. Wenige Monate nach dem Tode der Schwester machte er selbst eine Reise in die Gegend, wo sie gestorben war, suchte dort das Grab eines großen Dichters auf, der damals sein Ideal war, und vergoß heiße Tränen auf diesem Grabe. Dies war eine auch ihn befremdende Reaktion, denn er wußte, daß mehr als zwei Menschenalter seit dem Tode des verehrten Dichters dahingegangen waren. Er verstand sie erst, als er sich erinnerte, daß der Vater die Gedichte der verstorbenen Schwester mit denen des großen Poeten in Vergleich zu bringen pflegte. Einen anderen Hinweis auf die richtige Auffassung dieser scheinbar an den Dichter gerichteten Huldigung hatte </w:t>
      </w:r>
      <w:r w:rsidRPr="005C3C9A">
        <w:rPr>
          <w:rFonts w:ascii="Garamond" w:hAnsi="Garamond"/>
          <w:lang w:val="en-US"/>
        </w:rPr>
        <w:lastRenderedPageBreak/>
        <w:t>er mir durch einen Irrtum in seiner Erzählung gegeben, den ich an dieser Stelle hervorziehen konnte. Er hatte vorher wiederholt angegeben, daß sich die Schwester erschossen habe, und mußte dann berichtigen, daß sie Gift genommen hatte. Der Poet aber war in einem Pistolenduell erschossen worden.</w:t>
      </w:r>
    </w:p>
    <w:p w:rsidR="00822836" w:rsidRPr="005C3C9A" w:rsidRDefault="00822836" w:rsidP="00822836">
      <w:pPr>
        <w:pStyle w:val="Sansinterligne"/>
        <w:rPr>
          <w:rFonts w:ascii="Garamond" w:hAnsi="Garamond"/>
          <w:lang w:val="en-US"/>
        </w:rPr>
      </w:pPr>
      <w:r w:rsidRPr="005C3C9A">
        <w:rPr>
          <w:rFonts w:ascii="Garamond" w:hAnsi="Garamond"/>
          <w:lang w:val="en-US"/>
        </w:rPr>
        <w:t>Ich kehre nun zur Geschichte des Bruders zurück, die ich aber von hier ein Stück weit pragmatisch darstellen muß. Als das Alter des Knaben zur Zeit, da die Schwester ihre Verführungsaktionen begann, stellte sich 3¼ Jahre heraus. Es geschah, wie gesagt, im Frühjahr desselben Jahres, in dessen Herbst die Eltern ihn bei ihrer Rückkehr so gründlich verwandelt fanden. Es liegt nun sehr nahe, diese Wandlung mit der unterdes stattgehabten Erweckung seiner Sexualtätigkeit in Zusammenhang zu bringen.</w:t>
      </w:r>
    </w:p>
    <w:p w:rsidR="00822836" w:rsidRPr="005C3C9A" w:rsidRDefault="00822836" w:rsidP="00822836">
      <w:pPr>
        <w:pStyle w:val="Sansinterligne"/>
        <w:rPr>
          <w:rFonts w:ascii="Garamond" w:hAnsi="Garamond"/>
          <w:lang w:val="en-US"/>
        </w:rPr>
      </w:pPr>
      <w:r w:rsidRPr="005C3C9A">
        <w:rPr>
          <w:rFonts w:ascii="Garamond" w:hAnsi="Garamond"/>
          <w:lang w:val="en-US"/>
        </w:rPr>
        <w:t>Wie reagierte der Knabe auf die Verlockungen der älteren Schwester? Die Antwort lautet: mit Ablehnung, aber die Ablehnung galt der Person, nicht der Sache. Die Schwester war ihm als Sexualobjekt nicht genehm, wahrscheinlich, weil sein Verhältnis zu ihr bereits durch den Wettbewerb um die Liebe der Eltern im feindseligen Sinne bestimmt war. Er wich ihr aus, und ihre Werbungen nahmen auch bald ein Ende. Aber er suchte an ihrer Statt eine andere, geliebtere Person zu gewinnen, und Mitteilungen der Schwester selbst, die sich auf das Vorbild der Nanja berufen hatte, lenkten seine Wahl auf diese. Er begann also vor der Nanja mit seinem Glied zu spielen, was, wie in so vielen anderen Fällen, wenn die Kinder die Onanie nicht verbergen, als Verführungsversuch aufgefaßt werden muß. Die Nanja enttäuschte ihn, sie machte ein ernstes Gesicht und erklärte, das sei nicht gut. Kinder, die das täten, bekämen an der Stelle eine »Wunde«.</w:t>
      </w:r>
    </w:p>
    <w:p w:rsidR="00822836" w:rsidRPr="005C3C9A" w:rsidRDefault="00822836" w:rsidP="00822836">
      <w:pPr>
        <w:pStyle w:val="Sansinterligne"/>
        <w:rPr>
          <w:rFonts w:ascii="Garamond" w:hAnsi="Garamond"/>
          <w:lang w:val="en-US"/>
        </w:rPr>
      </w:pPr>
      <w:r w:rsidRPr="005C3C9A">
        <w:rPr>
          <w:rFonts w:ascii="Garamond" w:hAnsi="Garamond"/>
          <w:lang w:val="en-US"/>
        </w:rPr>
        <w:t>Die Wirkung dieser Mitteilung, die einer Drohung gleichkam, ist nach verschiedenen Richtungen zu verfolgen. Seine Anhänglichkeit an die Nanja wurde dadurch gelockert. Er hätte böse auf sie werden können; später, als seine Wutanfälle einsetzten, zeigte es sich auch, daß er wirklich gegen sie erbittert war. Allein es war für ihn charakteristisch, daß er jede Libidoposition, die er aufgeben sollte, zunächst hartnäckig gegen das Neue verteidigte. Als die Gouvernante auf dem Schauplatz erschien und die Nanja beschimpfte, aus dem Zimmer jagte, ihre Autorität vernichten wollte, übertrieb er vielmehr seine Liebe zu der Bedrohten und benahm sich abweisend und trotzig gegen die angreifende Gouvernante. Nichtsdestoweniger begann er im geheimen ein anderes Sexualobjekt zu suchen. Die Verführung hatte ihm das passive Sexualziel gegeben, an den Genitalien berührt zu werden; wir werden hören, bei wem er dies erreichen wollte, und welche Wege ihn zu dieser Wahl führten.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Es entspricht ganz unseren Erwartungen, wenn wir hören, daß mit seinen ersten genitalen Erregungen seine Sexualforschung einsetzte, und daß er bald auf das Problem der Kastration geriet. Er konnte in dieser Zeit zwei Mädchen, seine Schwester und ihre Freundin, beim Urinieren beobachten. Sein Scharfsinn hätte ihn schon bei diesem Anblicke den Sachverhalt verstehen lassen können, allein er benahm sich dabei, wie wir es von anderen männlichen Kindern wissen. Er lehnte die Idee, daß er hier die von der Nanja angedrohte Wunde bestätigt sehe, ab, und gab sich die Erklärung, das sei der »vordere Popo« der Mädchen. Das Thema der Kastration war mit dieser Entscheidung nicht abgetan; aus allem, was er hörte, entnahm er neue Hindeutungen darauf. Als den Kindern einmal gefärbte Zuckerstangen verteilt wurden, erklärte die Gouvernante, die zu wüsten Phantasien geneigt war, es seien Stücke von zerschnittenen Schlangen. Von da aus erinnerte er sich, daß der Vater einmal auf einem Spazierweg eine Schlange getroffen und sie mit seinem Stocke in Stücke zerschlagen habe. Er hörte die Geschichte (aus </w:t>
      </w:r>
      <w:r w:rsidRPr="005C3C9A">
        <w:rPr>
          <w:rFonts w:ascii="Garamond" w:hAnsi="Garamond"/>
          <w:i/>
          <w:iCs/>
          <w:lang w:val="en-US"/>
        </w:rPr>
        <w:t>Reineke Fuchs</w:t>
      </w:r>
      <w:r w:rsidRPr="005C3C9A">
        <w:rPr>
          <w:rFonts w:ascii="Garamond" w:hAnsi="Garamond"/>
          <w:lang w:val="en-US"/>
        </w:rPr>
        <w:t>) vorlesen, wie der Wolf im Winter Fische fangen wollte und seinen Schwanz als Köder benützte, wobei der Schwanz im Eis abbrach. Er erfuhr die verschiedenen Namen, mit denen man je nach der Intaktheit ihres Geschlechts die Pferde bezeichnet. Er war also mit dem Gedanken an die Kastration beschäftigt, aber er hatte noch keinen Glauben daran und keine Angst davor. Andere Sexualprobleme erstanden ihm aus den Märchen, die ihm um diese Zeit bekannt wurden. Im »Rotkäppchen« und in den »Sieben Geißlein« wurden die Kinder aus dem Leib des Wolfs herausgeholt. War der Wolf also ein weibliches Wesen oder konnten auch Männer Kinder im Leib haben? Das war um diese Zeit noch nicht entschieden. Übrigens kannte er zur Zeit dieser Forschung noch keine Angst vor dem Wolf.</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Eine der Mitteilungen des Patienten wird uns den Weg zum Verständnis der Charakterveränderung bahnen, die während der Abwesenheit der Eltern im entferntern Anschluß an die Verführung bei ihm hervortrat. Er erzählt, daß er nach der Abweisung und Drohung der Nanja die Onanie sehr bald aufgab. </w:t>
      </w:r>
      <w:r w:rsidRPr="005C3C9A">
        <w:rPr>
          <w:rFonts w:ascii="Garamond" w:hAnsi="Garamond"/>
          <w:i/>
          <w:iCs/>
          <w:lang w:val="en-US"/>
        </w:rPr>
        <w:t>Das beginnende Sexualleben unter der Leitung der Genitalzone war also einer äußeren Hemmung erlegen und durch deren Einfluß auf eine frühere Phase prägenitaler Organisation zurückgeworfen worden.</w:t>
      </w:r>
      <w:r w:rsidRPr="005C3C9A">
        <w:rPr>
          <w:rFonts w:ascii="Garamond" w:hAnsi="Garamond"/>
          <w:lang w:val="en-US"/>
        </w:rPr>
        <w:t xml:space="preserve"> Infolge der Unterdrückung der Onanie nahm das Sexualleben des Knaben sadistisch-analen Charakter an. Er wurde reizbar, quälerisch, befriedigte sich in solcher Weise an Tieren und Menschen. Sein Hauptobjekt war die geliebte Nanja, die er zu peinigen verstand, bis sie in Tränen ausbrach. So rächte er sich an ihr für die erfahrene Abweisung und befriedigte gleichzeitig sein sexuelles Gelüste in der der regressiven Phase entsprechenden Form. Er </w:t>
      </w:r>
      <w:r w:rsidRPr="005C3C9A">
        <w:rPr>
          <w:rFonts w:ascii="Garamond" w:hAnsi="Garamond"/>
          <w:lang w:val="en-US"/>
        </w:rPr>
        <w:lastRenderedPageBreak/>
        <w:t>begann Grausamkeit gegen kleine Tiere zu üben, Fliegen zu fangen, um ihnen die Flügel auszureißen, Käfer zu zertreten; in seiner Phantasie liebte er es, auch große Tiere, Pferde, zu schlagen. Das waren also durchwegs aktive, sadistische Betätigungen; von den analen Regungen dieser Zeit wird in einem späteren Zusammenhange die Rede sein.</w:t>
      </w:r>
    </w:p>
    <w:p w:rsidR="00822836" w:rsidRPr="005C3C9A" w:rsidRDefault="00822836" w:rsidP="00822836">
      <w:pPr>
        <w:pStyle w:val="Sansinterligne"/>
        <w:rPr>
          <w:rFonts w:ascii="Garamond" w:hAnsi="Garamond"/>
          <w:lang w:val="en-US"/>
        </w:rPr>
      </w:pPr>
      <w:r w:rsidRPr="005C3C9A">
        <w:rPr>
          <w:rFonts w:ascii="Garamond" w:hAnsi="Garamond"/>
          <w:lang w:val="en-US"/>
        </w:rPr>
        <w:t>Es ist sehr wertvoll, daß in der Erinnerung des Patienten auch gleichzeitige Phantasien ganz anderer Art auftauchten, des Inhalts, daß Knaben gezüchtigt und geschlagen wurden, besonders auf den Penis geschlagen; und für wen diese anonymen Objekte als Prügelknaben dienten, läßt sich leicht aus anderen Phantasien erraten, die sich ausmalten, wie der Thronfolger in einen engen Raum eingesperrt und geschlagen wird. Der Thronfolger war offenbar er selbst; der Sadismus hatte sich also in der Phantasie gegen die eigene Person gewendet und war in Masochismus umgeschlagen. Das Detail, daß das Geschlechtsglied selbst die Züchtigung empfing, läßt den Schluß zu, daß bei dieser Umwandlung bereits ein Schuldbewußtsein beteiligt war, welches sich auf die Onanie berief.</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Es blieb in der Analyse kein Zweifel, daß diese passiven Strebungen gleichzeitig oder sehr bald nach den aktiv-sadistischen aufgetreten waren </w:t>
      </w:r>
      <w:hyperlink r:id="rId1264"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Unter passiven Strebungen verstehe ich solche mit passivem Sexualziel, habe aber dabei nicht etwa eine Triebverwandlung, sondern nur eine Zielverwandlung im Auge.</w:t>
        </w:r>
      </w:hyperlink>
      <w:r w:rsidRPr="005C3C9A">
        <w:rPr>
          <w:rFonts w:ascii="Garamond" w:hAnsi="Garamond"/>
          <w:lang w:val="en-US"/>
        </w:rPr>
        <w:t xml:space="preserve">. Dies entspricht der ungewöhnlich deutlichen, intensiven und anhaltenden </w:t>
      </w:r>
      <w:r w:rsidRPr="005C3C9A">
        <w:rPr>
          <w:rFonts w:ascii="Garamond" w:hAnsi="Garamond"/>
          <w:i/>
          <w:iCs/>
          <w:lang w:val="en-US"/>
        </w:rPr>
        <w:t>Ambivalenz</w:t>
      </w:r>
      <w:r w:rsidRPr="005C3C9A">
        <w:rPr>
          <w:rFonts w:ascii="Garamond" w:hAnsi="Garamond"/>
          <w:lang w:val="en-US"/>
        </w:rPr>
        <w:t xml:space="preserve"> des Kranken, die sich hier zum erstenmal in der gleichmäßigen Ausbildung der gegensätzlichen Partialtriebpaare äußerte. Dieses Verhalten blieb für ihn auch in der Folge ebenso charakteristisch wie der weitere Zug, daß eigentlich keine der jemals geschaffenen Libidopositionen durch eine spätere völlig aufgehoben wurde. Sie blieb vielmehr neben allen anderen bestehen und gestattete ihm ein unausgesetztes Schwanken, welches sich mit dem Erwerb eines fixierten Charakters unvereinbar erwies.</w:t>
      </w:r>
    </w:p>
    <w:p w:rsidR="00822836" w:rsidRPr="005C3C9A" w:rsidRDefault="00822836" w:rsidP="00822836">
      <w:pPr>
        <w:pStyle w:val="Sansinterligne"/>
        <w:rPr>
          <w:rFonts w:ascii="Garamond" w:hAnsi="Garamond"/>
          <w:lang w:val="en-US"/>
        </w:rPr>
      </w:pPr>
      <w:r w:rsidRPr="005C3C9A">
        <w:rPr>
          <w:rFonts w:ascii="Garamond" w:hAnsi="Garamond"/>
          <w:lang w:val="en-US"/>
        </w:rPr>
        <w:t>Die masochistischen Strebungen des Knaben leiten zu einem anderen Punkt über, dessen Erwähnung ich mir aufgespart habe, weil er erst durch die Analyse der nächstfolgenden Phase seiner Entwicklung sichergestellt werden kann. Ich erwähnte schon, daß er nach der Abweisung durch die Nanja seine libidinöse Erwartung von ihr löste und eine andere Person als Sexualobjekt in Aussicht nahm. Diese Person war der damals abwesende Vater. Zu dieser Wahl wurde er gewiß durch ein Zusammentreffen von Momenten geführt, auch durch zufällige wie die Erinnerung an die Zerstückelung der Schlange; vor allem aber erneuerte er damit seine erste und ursprünglichste Objektwahl, die sich dem Narzißmus des kleinen Kindes entsprechend auf dem Wege der Identifizierung vollzogen hatte. Wir haben schon gehört, daß der Vater sein bewundertes Vorbild gewesen war, daß er, gefragt, was er werden wollte, zu antworten pflegte: ein Herr wie der Vater. Dies Identifizierungsobjekt seiner aktiven Strömung wurde nun das Sexualobjekt einer passiven Strömung in der sadistisch-analen Phase. Es macht den Eindruck, als hätte ihn die Verführung durch die Schwester in die passive Rolle gedrängt und ihm ein passives Sexualziel gegeben. Unter dem fortwirkenden Einfluß dieses Erlebnisses beschrieb er nun den Weg von der Schwester über die Nanja zum Vater, von der passiven Einstellung zum Weib bis zu der zum Manne und hatte dabei doch die Anknüpfung an seine frühere spontane Entwicklungsphase gefunden. Der Vater war jetzt wieder sein Objekt, die Identifizierung war der höheren Entwicklung entsprechend durch Objektwahl abgelöst, die Verwandlung der aktiven in eine passive Einstellung war der Erfolg und das Zeichen der dazwischen vorgefallenen Verführung. Eine aktive Einstellung gegen den übermächtigen Vater in der sadistischen Phase wäre natürlich nicht so leicht durchführbar gewesen. Als der Vater im Spätsommer oder Herbst zurückkam, bekamen seine Wutanfälle und Tobszenen eine neue Verwendung. Gegen die Nanja hatten sie aktiv-sadistischen Zwecken gedient; gegen den Vater verfolgten sie masochistische Absichten. Er wollte durch die Vorführung seiner Schlimmheit Züchtigung und Schläge von Seiten des Vaters erzwingen, sich so bei ihm die erwünschte masochistische Sexualbefriedigung holen. Seine Schreianfälle waren also geradezu Verführungsversuche. Der Motivierung des Masochismus entsprechend hätte er bei solcher Züchtigung auch die Befriedigung seines Schuldgefühls gefunden. Eine Erinnerung hat ihm aufbewahrt, wie er während einer solchen Szene von Schlimmheit sein Schreien verstärkt, sobald der Vater zu ihm kommt. Der Vater schlägt ihn aber nicht, sondern sucht ihn zu beschwichtigen, indem er mit den Polstern des Bettchens vor ihm Ball spielt.</w:t>
      </w:r>
    </w:p>
    <w:p w:rsidR="00822836" w:rsidRPr="005C3C9A" w:rsidRDefault="00822836" w:rsidP="00822836">
      <w:pPr>
        <w:pStyle w:val="Sansinterligne"/>
        <w:rPr>
          <w:rFonts w:ascii="Garamond" w:hAnsi="Garamond"/>
          <w:lang w:val="en-US"/>
        </w:rPr>
      </w:pPr>
      <w:r w:rsidRPr="005C3C9A">
        <w:rPr>
          <w:rFonts w:ascii="Garamond" w:hAnsi="Garamond"/>
          <w:lang w:val="en-US"/>
        </w:rPr>
        <w:t>Ich weiß nicht, wie oft die Eltern und Erzieher angesichts der unerklärlichen Schlimmheit des Kindes Anlaß hätten, sich dieses typischen Zusammenhanges zu erinnern. Das Kind, das sich so unbändig benimmt, legt ein Geständnis ab und will Strafe provozieren. Es sucht in der Züchtigung gleichzeitig die Beschwichtigung seines Schuldbewußtseins und die Befriedigung seiner masochistischen Sexualstrebung.</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 weitere Klärung unseres Krankheitsfalles verdanken wir nun der mit großer Bestimmtheit auftretenden Erinnerung, daß alle Angstsymptome erst von einem gewissen Vorfall an zu den Zeichen der Charakteränderung hinzugetreten seien. Vorher habe es keine Angst gegeben, und unmittelbar nach dem </w:t>
      </w:r>
      <w:r w:rsidRPr="005C3C9A">
        <w:rPr>
          <w:rFonts w:ascii="Garamond" w:hAnsi="Garamond"/>
          <w:lang w:val="en-US"/>
        </w:rPr>
        <w:lastRenderedPageBreak/>
        <w:t>Vorfall habe sich die Angst in quälender Form geäußert. Der Zeitpunkt dieser Wandlung läßt sich mit Sicherheit angeben, es war knapp vor dem vierten Geburtstag. Die Kinderzeit, mit der wir uns beschäftigen wollten, zerlegt sich dank diesem Anhaltspunkte in zwei Phasen, eine erste der Schlimmheit und Perversität von der Verführung mit 3¼ Jahren bis zum vierten Geburtstag, und eine längere darauffolgende, in der die Zeichen der Neurose vorherrschen. Der Vorfall aber, der diese Scheidung gestattet, war kein äußeres Trauma, sondern ein Traum, aus dem er mit Angst erwachte.</w:t>
      </w:r>
    </w:p>
    <w:p w:rsidR="00822836" w:rsidRDefault="00822836" w:rsidP="00822836">
      <w:pPr>
        <w:pStyle w:val="Sansinterligne"/>
        <w:rPr>
          <w:rFonts w:ascii="Garamond" w:eastAsia="Times New Roman" w:hAnsi="Garamond" w:cs="Times New Roman"/>
          <w:b/>
          <w:bCs/>
          <w:lang w:val="en-US" w:eastAsia="fr-FR"/>
        </w:rPr>
      </w:pPr>
    </w:p>
    <w:p w:rsidR="00822836" w:rsidRDefault="00822836" w:rsidP="00822836">
      <w:pPr>
        <w:rPr>
          <w:rFonts w:ascii="Garamond" w:eastAsia="Times New Roman" w:hAnsi="Garamond" w:cs="Times New Roman"/>
          <w:b/>
          <w:bCs/>
          <w:lang w:val="en-US" w:eastAsia="fr-FR"/>
        </w:rPr>
      </w:pPr>
      <w:r>
        <w:rPr>
          <w:rFonts w:ascii="Garamond" w:eastAsia="Times New Roman" w:hAnsi="Garamond" w:cs="Times New Roman"/>
          <w:b/>
          <w:bCs/>
          <w:lang w:val="en-US" w:eastAsia="fr-FR"/>
        </w:rPr>
        <w:br w:type="page"/>
      </w:r>
    </w:p>
    <w:p w:rsidR="00822836" w:rsidRPr="005C3C9A" w:rsidRDefault="00B437A1" w:rsidP="00822836">
      <w:pPr>
        <w:pStyle w:val="Sansinterligne"/>
        <w:rPr>
          <w:rFonts w:ascii="Garamond" w:eastAsia="Times New Roman" w:hAnsi="Garamond" w:cs="Times New Roman"/>
          <w:b/>
          <w:bCs/>
          <w:lang w:val="en-US" w:eastAsia="fr-FR"/>
        </w:rPr>
      </w:pPr>
      <w:hyperlink w:anchor="WolfmanInhalt" w:history="1">
        <w:r w:rsidR="00822836" w:rsidRPr="00A57530">
          <w:rPr>
            <w:rStyle w:val="Lienhypertexte"/>
            <w:rFonts w:ascii="Garamond" w:eastAsia="Times New Roman" w:hAnsi="Garamond" w:cs="Times New Roman"/>
            <w:b/>
            <w:bCs/>
            <w:lang w:val="en-US" w:eastAsia="fr-FR"/>
          </w:rPr>
          <w:t>IV. De</w:t>
        </w:r>
        <w:bookmarkStart w:id="234" w:name="Wolfman4"/>
        <w:bookmarkEnd w:id="234"/>
        <w:r w:rsidR="00822836" w:rsidRPr="00A57530">
          <w:rPr>
            <w:rStyle w:val="Lienhypertexte"/>
            <w:rFonts w:ascii="Garamond" w:eastAsia="Times New Roman" w:hAnsi="Garamond" w:cs="Times New Roman"/>
            <w:b/>
            <w:bCs/>
            <w:lang w:val="en-US" w:eastAsia="fr-FR"/>
          </w:rPr>
          <w:t>r Traum und die Urszene</w:t>
        </w:r>
      </w:hyperlink>
    </w:p>
    <w:p w:rsidR="00822836" w:rsidRDefault="00822836" w:rsidP="00822836">
      <w:pPr>
        <w:pStyle w:val="Sansinterligne"/>
        <w:rPr>
          <w:rFonts w:ascii="Garamond" w:eastAsia="Times New Roman" w:hAnsi="Garamond" w:cs="Times New Roman"/>
          <w:lang w:val="en-US" w:eastAsia="fr-FR"/>
        </w:rPr>
      </w:pP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Ich habe diesen Traum wegen seines Gehaltes an Märchenstoffen bereits an anderer Stelle publiziert›Märchenstoffe in Träumen‹ (1913). und werde zunächst das dort Mitgeteilte wiederholen: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»Ich habe geträumt, daß es Nacht ist und ich in meinem Bett liege, (mein Bett stand mit dem Fußende gegen das Fenster, vor dem Fenster befand sich eine Reihe alter Nußbäume. Ich weiß, es war Winter, als ich träumte, und Nachtzeit). Plötzlich geht das Fenster von selbst auf, und ich sehe mit großem Schrecken, daß auf dem großen Nußbaum vor dem Fenster ein paar weiße Wölfe sitzen. Es waren sechs oder sieben Stück. Die Wölfe waren ganz weiß und sahen eher aus wie Füchse oder Schäferhunde, denn sie hatten große Schwänze wie Füchse und ihre Ohren waren aufgestellt wie bei den Hunden, wenn sie auf etwas passen. Unter großer Angst, offenbar, von den Wölfen aufgefressen zu werden, schrie ich auf und erwachte. Meine Kinderfrau eilte zu meinem Bett, um nachzusehen, was mit mir geschehen war. Es dauerte eine ganze Weile, bis ich überzeugt war, es sei nur ein Traum gewesen, so natürlich und deutlich war mir das Bild vorgekommen, wie das Fenster aufgeht und die Wölfe auf dem Baume sitzen. Endlich beruhigte ich mich, fühlte mich wie von einer Gefahr befreit und schlief wieder ein.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Die einzige Aktion im Traume war das Aufgehen des Fensters, denn die Wölfe saßen ganz ruhig ohne jede Bewegung auf den Ästen des Baumes, rechts und links vom Stamm und schauten mich an. Es sah so aus, als ob sie ihre ganze Aufmerksamkeit auf mich gerichtet hätten. – Ich glaube, dies war mein erster Angsttraum. Ich war damals drei, vier, höchstens fünf Jahre alt. Bis in mein elftes oder zwölftes Jahr hatte ich von da an immer Angst, etwas Schreckliches im Traume zu sehen.«</w:t>
      </w:r>
    </w:p>
    <w:p w:rsidR="00822836" w:rsidRPr="005C3C9A" w:rsidRDefault="00822836" w:rsidP="00822836">
      <w:pPr>
        <w:pStyle w:val="Sansinterligne"/>
        <w:rPr>
          <w:rFonts w:ascii="Garamond" w:eastAsia="Times New Roman" w:hAnsi="Garamond" w:cs="Times New Roman"/>
          <w:lang w:eastAsia="fr-FR"/>
        </w:rPr>
      </w:pPr>
      <w:r w:rsidRPr="005C3C9A">
        <w:rPr>
          <w:rFonts w:ascii="Garamond" w:eastAsia="Times New Roman" w:hAnsi="Garamond" w:cs="Times New Roman"/>
          <w:noProof/>
          <w:lang w:eastAsia="fr-FR"/>
        </w:rPr>
        <w:drawing>
          <wp:inline distT="0" distB="0" distL="0" distR="0">
            <wp:extent cx="4380865" cy="3530600"/>
            <wp:effectExtent l="19050" t="0" r="635" b="0"/>
            <wp:docPr id="40" name="Image 1" descr="http://projekt.gutenberg.de/gutenb_load/freud/infantil/ab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jekt.gutenberg.de/gutenb_load/freud/infantil/abb1.gif"/>
                    <pic:cNvPicPr>
                      <a:picLocks noChangeAspect="1" noChangeArrowheads="1"/>
                    </pic:cNvPicPr>
                  </pic:nvPicPr>
                  <pic:blipFill>
                    <a:blip r:embed="rId1265" cstate="print"/>
                    <a:srcRect/>
                    <a:stretch>
                      <a:fillRect/>
                    </a:stretch>
                  </pic:blipFill>
                  <pic:spPr bwMode="auto">
                    <a:xfrm>
                      <a:off x="0" y="0"/>
                      <a:ext cx="4380865" cy="3530600"/>
                    </a:xfrm>
                    <a:prstGeom prst="rect">
                      <a:avLst/>
                    </a:prstGeom>
                    <a:noFill/>
                    <a:ln w="9525">
                      <a:noFill/>
                      <a:miter lim="800000"/>
                      <a:headEnd/>
                      <a:tailEnd/>
                    </a:ln>
                  </pic:spPr>
                </pic:pic>
              </a:graphicData>
            </a:graphic>
          </wp:inline>
        </w:drawing>
      </w:r>
    </w:p>
    <w:p w:rsidR="00822836" w:rsidRPr="005C3C9A" w:rsidRDefault="00822836" w:rsidP="00822836">
      <w:pPr>
        <w:pStyle w:val="Sansinterligne"/>
        <w:rPr>
          <w:rFonts w:ascii="Garamond" w:eastAsia="Times New Roman" w:hAnsi="Garamond" w:cs="Times New Roman"/>
          <w:lang w:eastAsia="fr-FR"/>
        </w:rPr>
      </w:pPr>
      <w:r w:rsidRPr="005C3C9A">
        <w:rPr>
          <w:rFonts w:ascii="Garamond" w:eastAsia="Times New Roman" w:hAnsi="Garamond" w:cs="Times New Roman"/>
          <w:lang w:eastAsia="fr-FR"/>
        </w:rPr>
        <w:t>Er gibt dann noch eine Zeichnung des Baumes mit den Wölfen, die seine Beschreibung bestätigt. Die Analyse des Traumes fördert nachstehendes Material zu Tage.</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eastAsia="fr-FR"/>
        </w:rPr>
        <w:t xml:space="preserve">Er hat diesen Traum immer in Beziehung zu der Erinnerung gebracht, daß er in diesen Jahren der Kindheit eine ganz ungeheuerliche Angst vor dem Bild eines Wolfes in einem Märchenbuche zeigte. Die ältere, ihm recht überlegene Schwester pflegte ihn zu necken, indem sie ihm unter irgendeinem Vorwand gerade dieses Bild vorhielt, worauf er entsetzt zu schreien begann. </w:t>
      </w:r>
      <w:r w:rsidRPr="005C3C9A">
        <w:rPr>
          <w:rFonts w:ascii="Garamond" w:eastAsia="Times New Roman" w:hAnsi="Garamond" w:cs="Times New Roman"/>
          <w:lang w:val="en-US" w:eastAsia="fr-FR"/>
        </w:rPr>
        <w:t>Auf diesem Bild stand der Wolf aufrecht, mit einem Fuß ausschreitend, die Tatzen ausgestreckt und die Ohren aufgestellt. Er meint, dieses Bild habe als Illustration zum Märchen vom »Rotkäppchen« gehört.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Warum sind die Wölfe weiß? Das läßt ihn an die Schafe denken, von denen große Herden in der Nähe des Gutes gehalten wurden. Der Vater nahm ihn gelegentlich mit, diese Herden zu besuchen, und er war dann jedesmal sehr stolz und selig. Später – nach eingezogenen Erkundigungen kann es leicht kurz vor der Zeit dieses Traumes gewesen sein – brach unter diesen Schafen eine Seuche aus. Der Vater ließ einen Pasteurschüler kommen, der die Tiere impfte, aber sie starben nach der Impfung noch zahlreicher als vorher.</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lastRenderedPageBreak/>
        <w:t>Wie kommen die Wölfe auf den Baum? Dazu fällt ihm eine Geschichte ein, die er den Großvater erzählen gehört. Er kann sich nicht erinnern, ob vor oder nach dem Traum, aber ihr Inhalt spricht entschieden für das erstere. Die Geschichte lautet: Ein Schneider sitzt in seinem Zimmer bei der Arbeit, da öffnet sich das Fenster und ein Wolf springt herein. Der Schneider schlägt mit der Elle nach ihm – nein, verbessert er sich, packt ihn beim Schwanz und reißt ihm diesen aus, so daß der Wolf erschreckt davonrennt. Eine Weile später geht der Schneider in den Wald und sieht plötzlich ein Rudel Wölfe herankommen, vor denen er sich auf einen Baum flüchtet. Die Wölfe sind zunächst ratlos, aber der Verstümmelte, der unter ihnen ist und sich am Schneider rächen will, macht den Vorschlag, daß einer auf den anderen steigen soll, bis der letzte den Schneider erreicht hat. Er selbst – es ist ein kräftiger Alter – will die Basis dieser Pyramide machen. Die Wölfe tun so, aber der Schneider hat den gezüchtigten Besucher erkannt und ruft plötzlich wie damals: Packt den Grauen beim Schwanz. Der schwanzlose Wolf erschrickt bei dieser Erinnerung, läuft davon und die andern purzeln alle herab.</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In dieser Erzählung findet sich der Baum vor, auf dem im Traum die Wölfe sitzen. Sie enthält aber auch eine unzweideutige Anknüpfung an den Kastrationskomplex. Der alte Wolf ist vom Schneider um den Schwanz gebracht worden. Die Fuchsschwänze der Wölfe im Traum sind wohl Kompensationen dieser Schwanzlosigkeit.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Warum sind es sechs oder sieben Wölfe? Diese Frage schien nicht zu beantworten, bis ich den Zweifel aufwarf, ob sich sein Angstbild auf das Rotkäppchenmärchen bezogen haben könne. Dies Märchen gibt nur Anlaß zu zwei Illustrationen, zur Begegnung des Rotkäppchens mit dem Wolf im Walde und zur Szene, wo der Wolf mit der Haube der Großmutter im Bette liegt. Es müsse sich also ein anderes Märchen hinter der Erinnerung an das Bild verbergen. Er fand dann bald, daß es nur die Geschichte vom »Wolf und den sieben Geißlein« sein könne. Hier findet sich die Siebenzahl, aber auch die Sechs, denn der Wolf frißt nur sechs Geißlein auf, das siebente versteckt sich im Uhrkasten. Auch das Weiß kommt in dieser Geschichte vor, denn der Wolf läßt sich beim Bäcker die Pfote weiß machen, nachdem ihn die Geißlein bei seinem ersten Besuch an der grauen Pfote erkannt haben. Beide Märchen haben übrigens viel Gemeinsames. In beiden findet sich das Auffressen, das Bauchaufschneiden, die Herausbeförderung der gefressenen Personen, deren Ersatz durch schwere Steine, und endlich kommt in beiden der böse Wolf um. Im Märchen von den Geißlein kommt auch noch der Baum vor. Der Wolf legt sich nach der Mahlzeit unter einen Baum und schnarcht.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Ich werde mich mit diesem Traum wegen eines besonderen Umstandes noch an anderer Stelle beschäftigen müssen und ihn dann eingehender deuten und würdigen. Es ist ja ein erster aus der Kindheit erinnerter Angsttraum, dessen Inhalt im Zusammenhang mit anderen Träumen, die bald nachher erfolgten, und mit gewissen Begebenheiten in der Kinderzeit des Träumers ein Interesse von ganz besonderer Art wachruft. Hier beschränken wir uns auf die Beziehung des Traumes zu zwei Märchen, die viel Gemeinsames haben, zum »Rotkäppchen« und zum »Wolf und die sieben Geißlein«. Der Eindruck dieser Märchen äußerte sich bei dem kindlichen Träumer in einer richtigen Tierphobie, die sich von anderen ähnlichen Fällen nur dadurch auszeichnete, daß das Angsttier nicht ein der Wahrnehmung leicht zugängliches Objekt war (wie etwa Pferd und Hund), sondern nur aus Erzählung und Bilderbuch gekannt.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Ich werde ein andermal auseinandersetzen, welche Erklärung diese Tierphobien haben und welche Bedeutung ihnen zukommt. Vorgreifend bemerke ich nur, daß diese Erklärung sehr zu dem Hauptcharakter stimmt, welchen die Neurose des Träumers in späteren Lebenszeiten erkennen ließ. Die Angst vor dem Vater war das stärkste Motiv seiner Erkrankung gewesen, und die ambivalente Einstellung zu jedem Vaterersatz beherrschte sein Leben wie sein Verhalten in der Behandlung.</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Wenn der Wolf bei meinem Patienten nur der erste Vaterersatz war, so fragt es sich, ob die Märchen vom Wolf, der die Geißlein auffrißt, und vom Rotkäppchen etwas anderes als die infantile Angst vor dem Vater zum geheimen Inhalt haben </w:t>
      </w:r>
      <w:hyperlink r:id="rId1266" w:history="1">
        <w:r w:rsidRPr="005C3C9A">
          <w:rPr>
            <w:rFonts w:ascii="Garamond" w:eastAsia="Times New Roman" w:hAnsi="Garamond" w:cs="Times New Roman"/>
            <w:color w:val="0000FF"/>
            <w:u w:val="single"/>
            <w:lang w:val="en-US" w:eastAsia="fr-FR"/>
          </w:rPr>
          <w:t>[Fußnote]Vgl. die von O. Rank hervorgehobene Ähnlichkeit dieser beiden Märchen mit dem Mythus von Kronos (1912).</w:t>
        </w:r>
      </w:hyperlink>
      <w:r w:rsidRPr="005C3C9A">
        <w:rPr>
          <w:rFonts w:ascii="Garamond" w:eastAsia="Times New Roman" w:hAnsi="Garamond" w:cs="Times New Roman"/>
          <w:lang w:val="en-US" w:eastAsia="fr-FR"/>
        </w:rPr>
        <w:t>. Der Vater meines Patienten hatte übrigens die Eigentümlichkeit des »zärtlichen Schimpfens«, die so viele Personen im Umgang mit ihren Kindern zeigen, und die scherzhafte Drohung »ich fress' dich auf« mag in den ersten Jahren, als der später strenge Vater mit dem Söhnlein zu spielen und zu kosen pflegte, mehr als einmal geäußert worden sein. Eine meiner Patientinnen erzählte mir, daß ihre beiden Kinder den Großvater nie liebgewinnen konnten, weil er sie in seinem zärtlichen Spiel zu schrecken pflegte, er werde ihnen den Bauch aufschneiden.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Lassen wir nun all das beiseite, was in diesem Aufsatze der Verwertung des Traumes vorgreift, und kehren wir zu seiner nächsten Deutung zurück. Ich will bemerken, daß diese Deutung eine Aufgabe war, deren Lösung sich durch mehrere Jahre hinzog. Der Patient hatte den Traum sehr frühzeitig mitgeteilt und sehr bald meine Überzeugung angenommen, daß hinter ihm die Verursachung seiner infantilen Neurose </w:t>
      </w:r>
      <w:r w:rsidRPr="005C3C9A">
        <w:rPr>
          <w:rFonts w:ascii="Garamond" w:eastAsia="Times New Roman" w:hAnsi="Garamond" w:cs="Times New Roman"/>
          <w:lang w:val="en-US" w:eastAsia="fr-FR"/>
        </w:rPr>
        <w:lastRenderedPageBreak/>
        <w:t>verborgen sei. Wir kamen im Laufe der Behandlung oft auf den Traum zurück, aber erst in den letzten Monaten der Kur gelang es, ihn ganz zu verstehen, und zwar dank der spontanen Arbeit des Patienten. Er hatte immer hervorgehoben, daß zwei Momente des Traumes den größten Eindruck auf ihn gemacht hätten, erstens die völlige Ruhe und Unbeweglichkeit der Wölfe und zweitens die gespannte Aufmerksamkeit, mit der sie alle auf ihn schauten. Auch das nachhaltige Wirklichkeitsgefühl, in das der Traum auslief, erschien ihm beachtenswert.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An dies letztere wollen wir anknüpfen. Wir wissen aus den Erfahrungen der Traumdeutung, daß diesem Wirklichkeitsgefühl eine bestimmte Bedeutung zukommt. Es versichert uns, daß etwas in dem latenten Material des Traumes den Anspruch auf Wirklichkeit in der Erinnerung erhebt, also daß der Traum sich auf eine Begebenheit bezieht, die wirklich vorgefallen und nicht bloß phantasiert worden ist. Natürlich kann es sich nur um die Wirklichkeit von etwas Unbekanntem handeln; die Überzeugung z. B., daß der Großvater wirklich die Geschichte vom Schneider und vom Wolf erzählt, oder daß ihm wirklich die Märchen vom Rotkäppchen und von den sieben Geißlein vorgelesen worden waren, könnte sich niemals durch das den Traum überdauernde Wirklichkeitsgefühl ersetzen. Der Traum schien auf eine Begebenheit hinzudeuten, deren Realität so recht im Gegensatz zur Irrealität der Märchen betont wird.</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Wenn eine solche unbekannte, d. h. zur Zeit des Traumes bereits vergessene Szene hinter dem Inhalt des Traumes anzunehmen war, so mußte sie sehr früh vorgefallen sein. Der Träumer sagt ja: »ich war, als ich den Traum hatte, drei, vier, höchstens fünf Jahre alt.« Wir können hinzufügen: »und wurde durch den Traum an etwas erinnert, was einer noch früheren Zeit angehört haben mußte.«</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Zum Inhalt dieser Szene mußte führen, was der Träumer aus dem manifesten Trauminhalt hervorhob, die Momente des aufmerksamen Schauens und der Bewegungslosigkeit. Wir erwarten natürlich, daß dies Material das unbekannte Material der Szene in irgendeiner Entstellung wiederbringt, vielleicht sogar in der Entstellung zur Gegensätzlichkeit.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Aus dem Rohstoff, welchen die erste Analyse mit dem Patienten ergeben hatte, waren gleichfalls mehrere Schlüsse zu ziehen, die in den gesuchten Zusammenhang einzufügen waren. Hinter der Erwähnung der Schafzucht waren die Belege für seine Sexualforschung zu suchen, deren Interessen er bei seinen Besuchen mit dem Vater befriedigen konnte, aber auch Andeutungen von Todesangst mußten dabei sein, denn die Schafe waren ja zum größten Teil an der Seuche gestorben. Was im Traum das vordringlichste war, die Wölfe auf dem Baume, führte direkt zur Erzählung des Großvaters, an welcher kaum etwas anderes als die Anknüpfung an das Kastrationsthema das Fesselnde und den Traum Anregende gewesen sein konnte.</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Wir hatten aus der ersten unvollständigen Analyse des Traumes ferner erschlossen, daß der Wolf ein Vaterersatz sei, so daß dieser erste Angsttraum jene Angst vor dem Vater zum Vorschein gebracht hätte, welche von nun an sein Leben beherrschen sollte. Dieser Schluß selbst war allerdings noch nicht verbindlich. Wenn wir aber als Ergebnis der vorläufigen Analyse zusammenstellen, was sich aus dem vom Träumer gelieferten Material ableitet, so liegen uns etwa folgende Bruchstücke zur Rekonstruktion vor:</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i/>
          <w:iCs/>
          <w:lang w:val="en-US" w:eastAsia="fr-FR"/>
        </w:rPr>
        <w:t>Eine wirkliche Begebenheit – aus sehr früher Zeit – Schauen – Unbewegtheit – Sexualprobleme – Kastration – der Vater – etwas Schreckliches.</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eastAsia="fr-FR"/>
        </w:rPr>
        <w:t xml:space="preserve">Eines Tages begann der Patient die Deutung des Traumes fortzusetzen. Die Stelle des Traumes, meinte er, in der es heißt: Plötzlich geht das Fenster von selbst auf, ist durch die Beziehung zum Fenster, an dem der Schneider sitzt, und durch das der Wolf ins Zimmer kommt, nicht ganz aufgeklärt. Es muß die Bedeutung haben: die Augen gehen plötzlich auf. Also ich schlafe und erwache plötzlich, dabei sehe ich etwas: den Baum mit den Wölfen. </w:t>
      </w:r>
      <w:r w:rsidRPr="005C3C9A">
        <w:rPr>
          <w:rFonts w:ascii="Garamond" w:eastAsia="Times New Roman" w:hAnsi="Garamond" w:cs="Times New Roman"/>
          <w:lang w:val="en-US" w:eastAsia="fr-FR"/>
        </w:rPr>
        <w:t>Dagegen war nichts einzuwenden, aber es ließ weitere Ausnützung zu. Er war erwacht und hatte etwas zu sehen bekommen. Das aufmerksame Schauen, das im Traum den Wölfen zugeschrieben wird, ist vielmehr auf ihn zu schieben. Da hatte an einem entscheidenden Punkte eine Verkehrung stattgefunden, die sich übrigens durch eine andere Verkehrung im manifesten Trauminhalt anzeigt. Es war ja auch eine Verkehrung, wenn die Wölfe auf dem Baum saßen, während sie sich in der Erzählung des Großvaters unten befanden und nicht auf den Baum steigen konnten.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Wenn nun auch das andere vom Träumer betonte Moment durch eine Verkehrung oder Umkehrung entstellt wäre? Dann müßte es anstatt Bewegungslosigkeit (die Wölfe sitzen regungslos da, schauen auf ihn, aber rühren sich nicht) heißen: heftigste Bewegung. Er ist also plötzlich erwacht und hat eine Szene von heftiger Bewegtheit vor sich gesehen, auf die er mit gespannter Aufmerksamkeit schaute. In dem einen Falle bestünde die Entstellung in einer Vertauschung von Subjekt und Objekt, Aktivität und Passivität, angeschaut werden anstatt anschauen, im anderen Falle in einer Verwandlung ins Gegenteil: Ruhe anstatt Bewegtheit.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lastRenderedPageBreak/>
        <w:t>Einen weiteren Fortschritt im Verständnis des Traumes brachte ein andermal der plötzlich auftauchende Einfall: Der Baum ist der Weihnachtsbaum. Jetzt wußte er, der Traum war kurz vor Weihnachten in der Weihnachtserwartung geträumt worden. Da der Weihnachtstag auch sein Geburtstag war, ließ sich der Zeitpunkt des Traumes und der von ihm ausgehenden Wandlung nun mit Sicherheit feststellen. Es war knapp vor seinem vierten Geburtstag. Er war also eingeschlafen in der gespannten Erwartung des Tages, der ihm eine doppelte Beschenkung bringen sollte. Wir wissen, daß das Kind unter solchen Verhältnissen leicht die Erfüllung seiner Wünsche im Traum antizipiert. Es war also schon Weihnacht im Traume, der Inhalt des Traumes zeigte ihm seine Bescherung, am Baume hingen die für ihn bestimmten Geschenke. Aber anstatt der Geschenke waren es – Wölfe geworden, und der Traum endigte damit, daß er Angst bekam, vom Wolf (wahrscheinlich vom Vater) gefressen zu werden, und seine Zuflucht zur Kinderfrau nahm. Die Kenntnis seiner Sexualentwicklung vor dem Traum macht es uns möglich, die Lücke im Traume auszufüllen und die Verwandlung der Befriedigung in Angst aufzuklären. Unter den traumbildenden Wünschen muß sich, als der stärkste, der nach der sexuellen Befriedigung geregt haben, die er damals vom Vater ersehnte. Der Stärke dieses Wunsches gelang es, die längst vergessene Erinnerungsspur einer Szene aufzufrischen, die ihm zeigen konnte, wie die Sexualbefriedigung durch den Vater aussah, und das Ergebnis war Schreck, Entsetzen vor der Erfüllung dieses Wunsches, Verdrängung der Regung, die sich durch diesen Wunsch dargestellt hatte, und darum Flucht vom Vater weg zur ungefährlicheren Kinderfrau.</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Die Bedeutung dieses Weihnachtstermins war in der angeblichen Erinnerung erhalten geblieben, daß er den ersten Wutanfall bekommen, weil er von den Weihnachtsgeschenken unbefriedigt gewesen war. Die Erinnerung zog Richtiges und Falsches zusammen, sie konnte nicht ohne Abänderung recht haben, denn nach den oft wiederholten Aussagen der Eltern war seine Schlimmheit bereits nach deren Rückkehr im Herbst und nicht erst zu Weihnachten aufgefallen, aber das Wesentliche der Beziehungen zwischen mangelnder Liebesbefriedigung, Wut und Weihnachtszeit war in der Erinnerung festgehalten worden.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Welches Bild konnte aber die nächtlicherweise wirkende, sexuelle Sehnsucht heraufbeschworen haben, das imstande war, so intensiv von der gewünschten Erfüllung abzuschrecken? Dieses Bild mußte nach dem Material der Analyse eine Bedingung erfüllen, es mußte geeignet sein, die Überzeugung von der Existenz der Kastration zu begründen. Die Kastrationsangst wurde dann der Motor der Affektverwandlung.</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Hier kommt nun die Stelle, an der ich die Anlehnung an den Verlauf der Analyse verlassen muß. Ich fürchte, es wird auch die Stelle sein, an der der Glaube der Leser mich verlassen wird.</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Was in jener Nacht aus dem Chaos der unbewußten Eindrucksspuren aktiviert wurde, war das Bild eines Koitus zwischen den Eltern unter nicht ganz gewöhnlichen und für die Beobachtung besonders günstigen Umständen. Es gelang allmählich, für alle Fragen, die sich an diese Szene knüpfen konnten, befriedigende Antworten zu erhalten, indem jener erste Traum im Verlauf der Kur in ungezählten Abänderungen und Neuauflagen wiederkehrte, zu denen die Analyse die gewünschten Aufklärungen lieferte. So stellte sich zunächst das Alter des Kindes bei der Beobachtung heraus, etwa 1½ JahreDaneben käme mit weit geringerer Wahrscheinlichkeit, eigentlich kaum haltbar, das Alter von ½ Jahr in Betracht.. Er litt damals an einer Malaria, deren Anfall täglich zu bestimmter Stunde wiederkehrte </w:t>
      </w:r>
      <w:hyperlink r:id="rId1267" w:history="1">
        <w:r w:rsidRPr="005C3C9A">
          <w:rPr>
            <w:rFonts w:ascii="Garamond" w:eastAsia="Times New Roman" w:hAnsi="Garamond" w:cs="Times New Roman"/>
            <w:color w:val="0000FF"/>
            <w:u w:val="single"/>
            <w:lang w:val="en-US" w:eastAsia="fr-FR"/>
          </w:rPr>
          <w:t xml:space="preserve">[Fußnote]Vgl. die späteren Umbildungen dieses Moments in der Zwangsneurose. In den Träumen während der Kur Ersetzung durch einen heftigen Wind ( </w:t>
        </w:r>
        <w:r w:rsidRPr="005C3C9A">
          <w:rPr>
            <w:rFonts w:ascii="Garamond" w:eastAsia="Times New Roman" w:hAnsi="Garamond" w:cs="Times New Roman"/>
            <w:i/>
            <w:iCs/>
            <w:color w:val="0000FF"/>
            <w:u w:val="single"/>
            <w:lang w:val="en-US" w:eastAsia="fr-FR"/>
          </w:rPr>
          <w:t>aria</w:t>
        </w:r>
        <w:r w:rsidRPr="005C3C9A">
          <w:rPr>
            <w:rFonts w:ascii="Garamond" w:eastAsia="Times New Roman" w:hAnsi="Garamond" w:cs="Times New Roman"/>
            <w:color w:val="0000FF"/>
            <w:u w:val="single"/>
            <w:lang w:val="en-US" w:eastAsia="fr-FR"/>
          </w:rPr>
          <w:t xml:space="preserve"> = Luft).</w:t>
        </w:r>
      </w:hyperlink>
      <w:r w:rsidRPr="005C3C9A">
        <w:rPr>
          <w:rFonts w:ascii="Garamond" w:eastAsia="Times New Roman" w:hAnsi="Garamond" w:cs="Times New Roman"/>
          <w:lang w:val="en-US" w:eastAsia="fr-FR"/>
        </w:rPr>
        <w:t xml:space="preserve">. Von seinem zehnten Jahr an war er zeitweise Stimmungen von Depression unterworfen, die am Nachmittag einsetzten und um die fünfte Stunde ihre Höhe erreichten. Dieses Symptom bestand noch zur Zeit der analytischen Behandlung. Die wiederkehrende Depression ersetzte den damaligen Fieber- oder Mattigkeitsanfall; die fünfte Stunde war entweder die Zeit der Fieberhöhe oder die der Koitusbeobachtung, wenn nicht beide Zeiten zusammenfallen </w:t>
      </w:r>
      <w:hyperlink r:id="rId1268" w:history="1">
        <w:r w:rsidRPr="005C3C9A">
          <w:rPr>
            <w:rFonts w:ascii="Garamond" w:eastAsia="Times New Roman" w:hAnsi="Garamond" w:cs="Times New Roman"/>
            <w:color w:val="0000FF"/>
            <w:u w:val="single"/>
            <w:lang w:val="en-US" w:eastAsia="fr-FR"/>
          </w:rPr>
          <w:t xml:space="preserve">[Fußnote]Man bringe damit zusammen, daß der Patient zu seinem Traum nur </w:t>
        </w:r>
        <w:r w:rsidRPr="005C3C9A">
          <w:rPr>
            <w:rFonts w:ascii="Garamond" w:eastAsia="Times New Roman" w:hAnsi="Garamond" w:cs="Times New Roman"/>
            <w:i/>
            <w:iCs/>
            <w:color w:val="0000FF"/>
            <w:u w:val="single"/>
            <w:lang w:val="en-US" w:eastAsia="fr-FR"/>
          </w:rPr>
          <w:t>fünf</w:t>
        </w:r>
        <w:r w:rsidRPr="005C3C9A">
          <w:rPr>
            <w:rFonts w:ascii="Garamond" w:eastAsia="Times New Roman" w:hAnsi="Garamond" w:cs="Times New Roman"/>
            <w:color w:val="0000FF"/>
            <w:u w:val="single"/>
            <w:lang w:val="en-US" w:eastAsia="fr-FR"/>
          </w:rPr>
          <w:t xml:space="preserve"> Wölfe gezeichnet hat, obwohl der Text des Traumes von 6 oder 7 spricht.</w:t>
        </w:r>
      </w:hyperlink>
      <w:r w:rsidRPr="005C3C9A">
        <w:rPr>
          <w:rFonts w:ascii="Garamond" w:eastAsia="Times New Roman" w:hAnsi="Garamond" w:cs="Times New Roman"/>
          <w:lang w:val="en-US" w:eastAsia="fr-FR"/>
        </w:rPr>
        <w:t xml:space="preserve">. Er befand sich wahrscheinlich gerade dieses Krankseins wegen im Zimmer der Eltern. Diese auch durch direkte Tradition erhärtete Erkrankung legt uns nahe, den Vorfall in den Sommer zu verlegen und damit für den am Weihnachtstag Geborenen ein Alter von n + 1½ Jahren anzunehmen. Er hatte also im Zimmer der Eltern in seinem Bettchen geschlafen und erwachte, etwa infolge des steigenden Fiebers, am Nachmittag, vielleicht um die später durch Depression ausgezeichnete fünfte Stunde. Es stimmt zur Annahme eines heißen Sommertages, wenn sich die Eltern halb entkleidet </w:t>
      </w:r>
      <w:hyperlink r:id="rId1269" w:history="1">
        <w:r w:rsidRPr="005C3C9A">
          <w:rPr>
            <w:rFonts w:ascii="Garamond" w:eastAsia="Times New Roman" w:hAnsi="Garamond" w:cs="Times New Roman"/>
            <w:color w:val="0000FF"/>
            <w:u w:val="single"/>
            <w:lang w:val="en-US" w:eastAsia="fr-FR"/>
          </w:rPr>
          <w:t xml:space="preserve">[Fußnote]In weißer Wäsche, die </w:t>
        </w:r>
        <w:r w:rsidRPr="005C3C9A">
          <w:rPr>
            <w:rFonts w:ascii="Garamond" w:eastAsia="Times New Roman" w:hAnsi="Garamond" w:cs="Times New Roman"/>
            <w:i/>
            <w:iCs/>
            <w:color w:val="0000FF"/>
            <w:u w:val="single"/>
            <w:lang w:val="en-US" w:eastAsia="fr-FR"/>
          </w:rPr>
          <w:t>weißen</w:t>
        </w:r>
        <w:r w:rsidRPr="005C3C9A">
          <w:rPr>
            <w:rFonts w:ascii="Garamond" w:eastAsia="Times New Roman" w:hAnsi="Garamond" w:cs="Times New Roman"/>
            <w:color w:val="0000FF"/>
            <w:u w:val="single"/>
            <w:lang w:val="en-US" w:eastAsia="fr-FR"/>
          </w:rPr>
          <w:t xml:space="preserve"> Wölfe.</w:t>
        </w:r>
      </w:hyperlink>
      <w:r w:rsidRPr="005C3C9A">
        <w:rPr>
          <w:rFonts w:ascii="Garamond" w:eastAsia="Times New Roman" w:hAnsi="Garamond" w:cs="Times New Roman"/>
          <w:lang w:val="en-US" w:eastAsia="fr-FR"/>
        </w:rPr>
        <w:t xml:space="preserve"> zu einem Nachmittagsschläfchen zurückgezogen hätten. Als er erwachte, wurde er Zeuge eines dreimal wiederholten </w:t>
      </w:r>
      <w:hyperlink r:id="rId1270" w:history="1">
        <w:r w:rsidRPr="005C3C9A">
          <w:rPr>
            <w:rFonts w:ascii="Garamond" w:eastAsia="Times New Roman" w:hAnsi="Garamond" w:cs="Times New Roman"/>
            <w:color w:val="0000FF"/>
            <w:u w:val="single"/>
            <w:lang w:val="en-US" w:eastAsia="fr-FR"/>
          </w:rPr>
          <w:t>[Fußnote]Woher dreimal? Er stellte plötzlich einmal die Behauptung auf, daß ich dieses Detail durch Deutung eruiert hätte. Das traf nicht zu. Es war ein spontaner, weiterer Kritik entzogener Einfall, den er nach seiner Gewohnheit mir zuschob und ihn durch diese Projektion vertrauenswürdig machte.</w:t>
        </w:r>
      </w:hyperlink>
      <w:r w:rsidRPr="005C3C9A">
        <w:rPr>
          <w:rFonts w:ascii="Garamond" w:eastAsia="Times New Roman" w:hAnsi="Garamond" w:cs="Times New Roman"/>
          <w:i/>
          <w:iCs/>
          <w:lang w:val="en-US" w:eastAsia="fr-FR"/>
        </w:rPr>
        <w:t>coitus a tergo</w:t>
      </w:r>
      <w:r w:rsidRPr="005C3C9A">
        <w:rPr>
          <w:rFonts w:ascii="Garamond" w:eastAsia="Times New Roman" w:hAnsi="Garamond" w:cs="Times New Roman"/>
          <w:lang w:val="en-US" w:eastAsia="fr-FR"/>
        </w:rPr>
        <w:t xml:space="preserve">, konnte das Genitale der Mutter wie das </w:t>
      </w:r>
      <w:r w:rsidRPr="005C3C9A">
        <w:rPr>
          <w:rFonts w:ascii="Garamond" w:eastAsia="Times New Roman" w:hAnsi="Garamond" w:cs="Times New Roman"/>
          <w:lang w:val="en-US" w:eastAsia="fr-FR"/>
        </w:rPr>
        <w:lastRenderedPageBreak/>
        <w:t xml:space="preserve">Glied des Vaters sehen und verstand den Vorgang wie dessen Bedeutung </w:t>
      </w:r>
      <w:hyperlink r:id="rId1271" w:history="1">
        <w:r w:rsidRPr="005C3C9A">
          <w:rPr>
            <w:rFonts w:ascii="Garamond" w:eastAsia="Times New Roman" w:hAnsi="Garamond" w:cs="Times New Roman"/>
            <w:color w:val="0000FF"/>
            <w:u w:val="single"/>
            <w:lang w:val="en-US" w:eastAsia="fr-FR"/>
          </w:rPr>
          <w:t>[Fußnote]Ich meine, er verstand ihn zur Zeit des Traumes mit 4 Jahren, nicht zur Zeit der Beobachtung. Mit 1½ Jahren holte er sich die Eindrücke, deren nachträgliches Verständnis ihm zur Zeit des Traumes durch seine Entwicklung, seine sexuelle Erregung und seine Sexualforschung ermöglicht wurde.</w:t>
        </w:r>
      </w:hyperlink>
      <w:r w:rsidRPr="005C3C9A">
        <w:rPr>
          <w:rFonts w:ascii="Garamond" w:eastAsia="Times New Roman" w:hAnsi="Garamond" w:cs="Times New Roman"/>
          <w:lang w:val="en-US" w:eastAsia="fr-FR"/>
        </w:rPr>
        <w:t>. Endlich störte er den Verkehr der Eltern auf eine Weise, von der späterhin die Rede sein wird.</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Im Grunde ist es nichts Außerordentliches, macht nicht den Eindruck des Produkts einer ausschweifenden Phantasie, daß ein junges, erst wenige Jahre verheiratetes Ehepaar an einen Nachmittagsschlaf zu heißer Sommerszeit einen zärtlichen Verkehr anschließt und sich dabei über die Gegenwart des 1½ Jahre alten, in seinem Bettchen schlafenden Knäbleins hinaussetzt. Ich meine vielmehr, es wäre etwas durchaus Banales, Alltägliches, und auch die erschlossene Stellung beim Koitus kann an diesem Urteil nichts ändern. Besonders da aus dem Beweismaterial nicht hervorgeht, daß der Koitus jedesmal in der Stellung von rückwärts vollzogen wurde. Ein einziges Mal hätte ja hingereicht, um dem Zuschauer die Gelegenheit zu Beobachtungen zu geben, die durch eine andere Lage der Liebenden erschwert oder ausgeschlossen wären. Der Inhalt dieser Szene selbst kann also kein Argument gegen ihre Glaubwürdigkeit sein. Das Bedenken der Unwahrscheinlichkeit wird sich gegen drei andere Punkte richten: dagegen, daß ein Kind in dem zarten Alter von 1½ Jahren imstande sein sollte, die Wahrnehmung eines so komplizierten Vorganges aufzunehmen und sie so getreu in seinem Unbewußten zu bewahren, zweitens dagegen, daß eine nachträgliche zum Verständnis vordringende Bearbeitung der so empfangenen Eindrücke zu 4 Jahren möglich ist, und endlich, daß es durch irgendein Verfahren gelingen sollte, die Einzelheiten einer solchen Szene, unter solchen Umständen erlebt und verstanden, in zusammenhängender und überzeugender Weise bewußt zu machenMan kann sich die erste dieser Schwierigkeiten nicht durch die Annahme erleichtern, das Kind sei zur Zeit der Beobachtung doch wahrscheinlich um ein Jahr älter gewesen, also 2½ Jahre alt, zu welcher Zeit es eventuell vollkommen sprachfähig sein mag. Für meinen Patienten war eine solche Zeitverschiebung durch alle Nebenumstände seines Falles fast ausgeschlossen. Übrigens wolle man in Betracht ziehen, daß solche Szenen von Beobachtung des elterlichen Koitus in der Analyse keineswegs selten aufgedeckt werden. Ihre Bedingung ist aber gerade, daß sie in die früheste Kinderzeit fallen. Je älter das Kind ist, desto sorgfältiger werden auf einem gewissen sozialen Niveau die Eltern dem Kinde die Gelegenheit zu solcher Beobachtung versagen..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Ich werde diese und andere Bedenken später sorgfältig prüfen, versichere dem Leser, daß ich nicht weniger kritisch als er gegen die Annahme einer solchen Beobachtung des Kindes eingestellt bin, und bitte ihn, sich mit mir zum </w:t>
      </w:r>
      <w:r w:rsidRPr="005C3C9A">
        <w:rPr>
          <w:rFonts w:ascii="Garamond" w:eastAsia="Times New Roman" w:hAnsi="Garamond" w:cs="Times New Roman"/>
          <w:i/>
          <w:iCs/>
          <w:lang w:val="en-US" w:eastAsia="fr-FR"/>
        </w:rPr>
        <w:t>vorläufigen</w:t>
      </w:r>
      <w:r w:rsidRPr="005C3C9A">
        <w:rPr>
          <w:rFonts w:ascii="Garamond" w:eastAsia="Times New Roman" w:hAnsi="Garamond" w:cs="Times New Roman"/>
          <w:lang w:val="en-US" w:eastAsia="fr-FR"/>
        </w:rPr>
        <w:t xml:space="preserve"> Glauben an die Realität dieser Szene zu entschließen. Zunächst wollen wir das Studium der Beziehungen dieser » </w:t>
      </w:r>
      <w:r w:rsidRPr="005C3C9A">
        <w:rPr>
          <w:rFonts w:ascii="Garamond" w:eastAsia="Times New Roman" w:hAnsi="Garamond" w:cs="Times New Roman"/>
          <w:i/>
          <w:iCs/>
          <w:lang w:val="en-US" w:eastAsia="fr-FR"/>
        </w:rPr>
        <w:t>Urszene</w:t>
      </w:r>
      <w:r w:rsidRPr="005C3C9A">
        <w:rPr>
          <w:rFonts w:ascii="Garamond" w:eastAsia="Times New Roman" w:hAnsi="Garamond" w:cs="Times New Roman"/>
          <w:lang w:val="en-US" w:eastAsia="fr-FR"/>
        </w:rPr>
        <w:t>« zum Traum, zu den Symptomen und zur Lebensgeschichte des Patienten fortsetzen. Wir werden gesondert verfolgen, welche Wirkungen vom wesentlichen Inhalt der Szene und von einem ihrer visuellen Eindrücke ausgegangen sind.</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Unter letzterem meine ich die Stellungen, welche er die Eltern einnehmen sah, die aufrechte des Mannes und die tierähnlich gebückte der Frau. Wir haben schon gehört, daß ihn in der Angstzeit die Schwester mit dem Bild im Märchenbuch zu schrecken pflegte, auf dem der Wolf aufrecht dargestellt war, einen Fuß vorgesetzt, die Tatzen ausgestreckt und die Ohren aufgestellt. Er ließ sich während der Kur die Mühe nicht verdrießen, in Antiquarläden nachzuspüren, bis er das Märchenbilderbuch seiner Kindheit wiedergefunden hatte, und erkannte sein Schreckbild in einer Illustration zur Geschichte vom »Wolf und den sieben Geißlein«. Er meinte, die Stellung des Wolfes auf diesem Bild hätte ihn an die des Vaters während der konstruierten Urszene erinnern können. Dieses Bild wurde jedenfalls zum Ausgangspunkt weiterer Angstwirkungen. Als er in seinem siebenten oder achten Jahr einmal die Ankündigung erhielt, morgen werde ein neuer Lehrer zu ihm kommen, träumte er in der nächstfolgenden Nacht von diesem Lehrer als Löwen, der sich laut brüllend in der Stellung des Wolfes auf jenem Bilde seinem Bette näherte, und erwachte wiederum mit Angst. Die Wolfsphobie war damals bereits überwunden, er hatte darum die Freiheit, sich ein neues Angsttier zu wählen, und anerkannte in diesem späten Traum den Lehrer als Vaterersatz. Jeder seiner Lehrer spielte in seinen späteren Kinderjahren die gleiche Vaterrolle und wurde mit dem Vatereinfluß zum Guten wie zum Bösen ausgestattet.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Das Schicksal schenkte ihm einen sonderbaren Anlaß, seine Wolfsphobie in der Gymnasialzeit aufzufrischen und die Relation, die ihr zugrunde lag, zum Ausgang schwerer Hemmungen zu machen. Der Lehrer, der den lateinischen Unterricht seiner Klasse leitete, hieß </w:t>
      </w:r>
      <w:r w:rsidRPr="005C3C9A">
        <w:rPr>
          <w:rFonts w:ascii="Garamond" w:eastAsia="Times New Roman" w:hAnsi="Garamond" w:cs="Times New Roman"/>
          <w:i/>
          <w:iCs/>
          <w:lang w:val="en-US" w:eastAsia="fr-FR"/>
        </w:rPr>
        <w:t>Wolf</w:t>
      </w:r>
      <w:r w:rsidRPr="005C3C9A">
        <w:rPr>
          <w:rFonts w:ascii="Garamond" w:eastAsia="Times New Roman" w:hAnsi="Garamond" w:cs="Times New Roman"/>
          <w:lang w:val="en-US" w:eastAsia="fr-FR"/>
        </w:rPr>
        <w:t xml:space="preserve">. Er war von Anfang an vor ihm eingeschüchtert, zog sich einmal eine schwere Beschimpfung von ihm zu, weil er in einer lateinischen Übersetzung einen dummen Fehler begangen hatte, und wurde von da an eine lähmende Angst vor diesem Lehrer nicht mehr los, die sich bald auf andere Lehrer übertrug. Aber die Gelegenheit, bei der er in der Übersetzung strauchelte, war auch nicht beziehungslos. Er hatte das lateinische Wort </w:t>
      </w:r>
      <w:r w:rsidRPr="005C3C9A">
        <w:rPr>
          <w:rFonts w:ascii="Garamond" w:eastAsia="Times New Roman" w:hAnsi="Garamond" w:cs="Times New Roman"/>
          <w:i/>
          <w:iCs/>
          <w:lang w:val="en-US" w:eastAsia="fr-FR"/>
        </w:rPr>
        <w:t>filius</w:t>
      </w:r>
      <w:r w:rsidRPr="005C3C9A">
        <w:rPr>
          <w:rFonts w:ascii="Garamond" w:eastAsia="Times New Roman" w:hAnsi="Garamond" w:cs="Times New Roman"/>
          <w:lang w:val="en-US" w:eastAsia="fr-FR"/>
        </w:rPr>
        <w:t xml:space="preserve"> zu </w:t>
      </w:r>
      <w:r w:rsidRPr="005C3C9A">
        <w:rPr>
          <w:rFonts w:ascii="Garamond" w:eastAsia="Times New Roman" w:hAnsi="Garamond" w:cs="Times New Roman"/>
          <w:lang w:val="en-US" w:eastAsia="fr-FR"/>
        </w:rPr>
        <w:lastRenderedPageBreak/>
        <w:t xml:space="preserve">übersetzen und tat es mit dem französischen </w:t>
      </w:r>
      <w:r w:rsidRPr="005C3C9A">
        <w:rPr>
          <w:rFonts w:ascii="Garamond" w:eastAsia="Times New Roman" w:hAnsi="Garamond" w:cs="Times New Roman"/>
          <w:i/>
          <w:iCs/>
          <w:lang w:val="en-US" w:eastAsia="fr-FR"/>
        </w:rPr>
        <w:t>fils</w:t>
      </w:r>
      <w:r w:rsidRPr="005C3C9A">
        <w:rPr>
          <w:rFonts w:ascii="Garamond" w:eastAsia="Times New Roman" w:hAnsi="Garamond" w:cs="Times New Roman"/>
          <w:lang w:val="en-US" w:eastAsia="fr-FR"/>
        </w:rPr>
        <w:t xml:space="preserve"> anstatt mit dem entsprechenden Wort der Muttersprache. Der Wolf war eben noch immer der Vater </w:t>
      </w:r>
      <w:hyperlink r:id="rId1272" w:history="1">
        <w:r w:rsidRPr="005C3C9A">
          <w:rPr>
            <w:rFonts w:ascii="Garamond" w:eastAsia="Times New Roman" w:hAnsi="Garamond" w:cs="Times New Roman"/>
            <w:color w:val="0000FF"/>
            <w:u w:val="single"/>
            <w:lang w:val="en-US" w:eastAsia="fr-FR"/>
          </w:rPr>
          <w:t>[Fußnote]Nach dieser Beschimpfung durch den Lehrer-Wolf erfuhr er als die allgemeine Meinung der Kollegen, daß der Lehrer zur Beschwichtigung – Geld von ihm erwarte. Darauf werden wir später zurückkommen. – Ich kann mir vorstellen, welche Erleichterung es für eine rationalistische Betrachtung einer solchen Kindergeschichte bedeuten würde, wenn sich annehmen ließe, die ganze Angst vor dem Wolf sei in Wirklichkeit von dem Lateinlehrer gleichen Namens ausgegangen, in die Kindheit zurückprojiziert worden und hätte in Anlehnung an die Märchenillustration die Phantasie der Urszene verursacht. Allein das ist unhaltbar; die zeitliche Priorität der Wolfsphobie und deren Verlegung in die Kindheitsjahre auf dem ersten Gut ist allzusicher bezeugt. Und der Traum mit 4 Jahren?</w:t>
        </w:r>
      </w:hyperlink>
      <w:r w:rsidRPr="005C3C9A">
        <w:rPr>
          <w:rFonts w:ascii="Garamond" w:eastAsia="Times New Roman" w:hAnsi="Garamond" w:cs="Times New Roman"/>
          <w:lang w:val="en-US" w:eastAsia="fr-FR"/>
        </w:rPr>
        <w: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Das erste der »passageren Symptome«Ferenczi (1912)., welches der Patient in der Behandlung produzierte, ging noch auf die Wolfsphobie und auf das Märchen von den sieben Geißlein zurück. In dem Zimmer, wo die ersten Sitzungen abgehalten wurden, befand sich eine große Wandkastenuhr gegenüber dem Patienten, der abgewandt von mir auf einem Divan lag. Es fiel mir auf, daß er von Zeit zu Zeit das Gesicht zu mir kehrte, mich sehr freundlich, wie begütigend ansah und dann den Blick von mir zur Uhr wendete. Ich meinte damals, er gebe so ein Zeichen seiner Sehnsucht nach Beendigung der Stunde. Lange Zeit später erinnerte mich der Patient an dieses Gebärdenspiel und gab mir dessen Erklärung, indem er daran erinnerte, daß das jüngste der sieben Geißlein ein Versteck im Kasten der Wanduhr fände, während die sechs Geschwister vom Wolf gefressen würden. Er wollte also damals sagen: Sei gut mit mir. Muß ich mich vor dir fürchten? Wirst du mich auffressen? Soll ich mich wie das jüngste Geißlein im Wandkasten vor dir verstecken?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Der Wolf, vor dem er sich fürchtete, war unzweifelhaft der Vater, aber die Wolfsangst war an die Bedingung der aufrechten Stellung gebunden. Seine Erinnerung behauptete mit großer Bestimmtheit, daß Bilder vom Wolf, der auf allen Vieren gehe oder wie im Rotkäppchenmärchen im Bett liege, ihn nicht geschreckt hätten. Nicht mindere Bedeutung zog die Stellung auf sich, die er nach unserer Konstruktion der Urszene das Weib hatte einnehmen sehen; diese Bedeutung blieb aber auf das sexuelle Gebiet beschränkt. Die auffälligste Erscheinung seines Liebeslebens nach der Reife waren Anfälle von zwanghafter sinnlicher Verliebtheit, die in rätselhafter Folge auftraten und wieder verschwanden, eine riesige Energie bei ihm auch in Zeiten sonstiger Hemmung entfesselten und seiner Beherrschung ganz entzogen waren. Ich muß die volle Würdigung dieser Zwangslieben wegen eines besonders wertvollen Zusammenhanges noch aufschieben, aber ich kann hier anführen, daß sie an eine bestimmte, seinem Bewußtsein verborgene Bedingung geknüpft waren, die sich erst in der Kur erkennen ließ. Das Weib mußte die Stellung eingenommen haben, die wir der Mutter in der Urszene zuschreiben. Große, auffällige Hinterbacken empfand er von der Pubertät an als den stärksten Reiz des Weibes; ein anderer Koitus als der von rückwärts bereitete ihm kaum Genuß. Die kritische Erwägung ist zwar berechtigt, hier einzuwenden, daß solche sexuelle Bevorzugung der hinteren Körperpartien ein allgemeiner Charakter der zur Zwangsneurose neigenden Personen sei und nicht zur Ableitung von einem besonderen Eindruck der Kinderzeit berechtige. Sie gehöre in das Gefüge der analerotischen Veranlagung und zu jenen archaischen Zügen, welche diese Konstitution auszeichnen. Man darf die Begattung von rückwärts </w:t>
      </w:r>
      <w:r w:rsidRPr="005C3C9A">
        <w:rPr>
          <w:rFonts w:ascii="Garamond" w:eastAsia="Times New Roman" w:hAnsi="Garamond" w:cs="Times New Roman"/>
          <w:i/>
          <w:iCs/>
          <w:lang w:val="en-US" w:eastAsia="fr-FR"/>
        </w:rPr>
        <w:t>– more ferarum</w:t>
      </w:r>
      <w:r w:rsidRPr="005C3C9A">
        <w:rPr>
          <w:rFonts w:ascii="Garamond" w:eastAsia="Times New Roman" w:hAnsi="Garamond" w:cs="Times New Roman"/>
          <w:lang w:val="en-US" w:eastAsia="fr-FR"/>
        </w:rPr>
        <w:t xml:space="preserve"> – doch wohl als die phylogenetisch ältere Form auffassen. Wir werden auch auf diesen Punkt in späterer Diskussion zurückkommen, wenn wir das Material für seine unbewußte Liebesbedingung nachgetragen haben.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Setzen wir nun in der Erörterung der Beziehungen zwischen Traum und Urszene fort. Nach unseren bisherigen Erwartungen sollte der Traum dem Kind, das sich auf die Erfüllung seiner Wünsche zu Weihnachten freut, das Bild der Sexualbefriedigung durch den Vater vorführen, wie er es in jener Urszene gesehen hatte, als Vorbild der eigenen Befriedigung, die er vom Vater ersehnt. Anstatt dieses Bild tritt aber das Material der Geschichte auf, die der Großvater kurz vorher erzählt hatte: Der Baum, die Wölfe, die Schwanzlosigkeit in der Form der Überkompensation in den buschigen Schwänzen der angeblichen Wölfe. Hier fehlt uns ein Zusammenhang, eine Assoziationsbrücke, die von dem Inhalt der Urgeschichte zu dem der Wolfsgeschichte hinüberleitet. Diese Verbindung wird wiederum durch die Stellung und nur durch diese gegeben. Der schwanzlose Wolf fordert in der Erzählung des Großvaters die andern auf, </w:t>
      </w:r>
      <w:r w:rsidRPr="005C3C9A">
        <w:rPr>
          <w:rFonts w:ascii="Garamond" w:eastAsia="Times New Roman" w:hAnsi="Garamond" w:cs="Times New Roman"/>
          <w:i/>
          <w:iCs/>
          <w:lang w:val="en-US" w:eastAsia="fr-FR"/>
        </w:rPr>
        <w:t>auf ihn zu steigen</w:t>
      </w:r>
      <w:r w:rsidRPr="005C3C9A">
        <w:rPr>
          <w:rFonts w:ascii="Garamond" w:eastAsia="Times New Roman" w:hAnsi="Garamond" w:cs="Times New Roman"/>
          <w:lang w:val="en-US" w:eastAsia="fr-FR"/>
        </w:rPr>
        <w:t xml:space="preserve">. Durch dieses Detail wurde die Erinnerung an das Bild der Urszene geweckt, auf diesem Weg konnte das Material der Urszene durch das der Wolfsgeschichte vertreten werden, dabei gleichzeitig die Zweizahl der Eltern in erwünschter Weise durch die Mehrzahl der Wölfe ersetzt. Eine nächste Wandlung erfuhr der Trauminhalt, indem das Material der Wolfsgeschichte sich dem Inhalt des Märchens von den sieben Geißlein anpaßte, die Siebenzahl von ihm entlehnte </w:t>
      </w:r>
      <w:hyperlink r:id="rId1273" w:history="1">
        <w:r w:rsidRPr="005C3C9A">
          <w:rPr>
            <w:rFonts w:ascii="Garamond" w:eastAsia="Times New Roman" w:hAnsi="Garamond" w:cs="Times New Roman"/>
            <w:color w:val="0000FF"/>
            <w:u w:val="single"/>
            <w:lang w:val="en-US" w:eastAsia="fr-FR"/>
          </w:rPr>
          <w:t xml:space="preserve">[Fußnote]6 oder 7 heißt es im Traum. 6 ist die </w:t>
        </w:r>
        <w:r w:rsidRPr="005C3C9A">
          <w:rPr>
            <w:rFonts w:ascii="Garamond" w:eastAsia="Times New Roman" w:hAnsi="Garamond" w:cs="Times New Roman"/>
            <w:color w:val="0000FF"/>
            <w:u w:val="single"/>
            <w:lang w:val="en-US" w:eastAsia="fr-FR"/>
          </w:rPr>
          <w:lastRenderedPageBreak/>
          <w:t>Anzahl der gefressenen Kinder, das siebente rettet sich in den Uhrkasten. Es bleibt strenges Gesetz der Traumdeutung, daß jede Einzelheit ihre Aufklärung finde.</w:t>
        </w:r>
      </w:hyperlink>
      <w:r w:rsidRPr="005C3C9A">
        <w:rPr>
          <w:rFonts w:ascii="Garamond" w:eastAsia="Times New Roman" w:hAnsi="Garamond" w:cs="Times New Roman"/>
          <w:lang w:val="en-US" w:eastAsia="fr-FR"/>
        </w:rPr>
        <w: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Die Materialwandlung: Urszene – Wolfsgeschichte – Märchen von den sieben Geißlein – ist die Spiegelung des Gedankenfortschritts während der Traumbildung: Sehnsucht nach sexueller Befriedigung durch den Vater – Einsicht in die daran geknüpfte Bedingung der Kastration – Angst vor dem Vater. Ich meine, der Angsttraum des vierjährigen Knaben ist erst jetzt restlos aufgeklärtNachdem uns die Synthese dieses Traumes gelungen ist, will ich versuchen, die Beziehungen des manifesten Trauminhaltes zu den latenten Traumgedanken übersichtlich darzustellen.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i/>
          <w:iCs/>
          <w:lang w:val="en-US" w:eastAsia="fr-FR"/>
        </w:rPr>
        <w:t>Es ist Nacht, ich liege in meinem Bette.</w:t>
      </w:r>
      <w:r w:rsidRPr="005C3C9A">
        <w:rPr>
          <w:rFonts w:ascii="Garamond" w:eastAsia="Times New Roman" w:hAnsi="Garamond" w:cs="Times New Roman"/>
          <w:lang w:val="en-US" w:eastAsia="fr-FR"/>
        </w:rPr>
        <w:t xml:space="preserve"> Das letztere ist der Beginn der Reproduktion der Urszene. »Es ist Nacht« ist Entstellung für: ich hatte geschlafen. Die Bemerkung: Ich weiß, es war Winter, als ich träumte, und Nachtzeit, bezieht sich auf die Erinnerung an den Traum, gehört nicht zu seinem Inhalt. Sie ist richtig, es war eine der Nächte vor dem Geburtstag resp. Weihnachtstag.</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i/>
          <w:iCs/>
          <w:lang w:val="en-US" w:eastAsia="fr-FR"/>
        </w:rPr>
        <w:t>Plötzlich geht das Fenster von selbst auf.</w:t>
      </w:r>
      <w:r w:rsidRPr="005C3C9A">
        <w:rPr>
          <w:rFonts w:ascii="Garamond" w:eastAsia="Times New Roman" w:hAnsi="Garamond" w:cs="Times New Roman"/>
          <w:lang w:val="en-US" w:eastAsia="fr-FR"/>
        </w:rPr>
        <w:t xml:space="preserve"> Zu übersetzen: Plötzlich erwache ich von selbst, Erinnerung der Urszene. Der Einfluß der Wolfsgeschichte, in der der Wolf durchs Fenster hereinspringt, macht sich modifizierend geltend und verwandelt den direkten in einen bildlichen Ausdruck. Gleichzeitig dient die Einführung des Fensters dazu, um den folgenden Trauminhalt in der Gegenwart unterzubringen. Am Weihnachtsabend geht die Türe plötzlich auf, und man sieht den Baum mit den Geschenken vor sich. Hier macht sich also der Einfluß der aktuellen Weihnachtserwartung geltend, welche die sexuelle Befriedigung miteinschließt.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i/>
          <w:iCs/>
          <w:lang w:val="en-US" w:eastAsia="fr-FR"/>
        </w:rPr>
        <w:t>Der große Nußbaum.</w:t>
      </w:r>
      <w:r w:rsidRPr="005C3C9A">
        <w:rPr>
          <w:rFonts w:ascii="Garamond" w:eastAsia="Times New Roman" w:hAnsi="Garamond" w:cs="Times New Roman"/>
          <w:lang w:val="en-US" w:eastAsia="fr-FR"/>
        </w:rPr>
        <w:t xml:space="preserve"> Vertreter des Christbaumes, also aktuell: überdies der Baum aus der Wolfsgeschichte, auf den sich der verfolgte Schneider flüchtet, unter dem die Wölfe lauern. Der hohe Baum ist auch, wie ich mich oft überzeugen konnte, ein Symbol der Beobachtung, des Voyeurtums. Wenn man auf dem Baume sitzt, kann man alles sehen, was unten vorgeht, und wird selbst nicht gesehen. Vgl. die bekannte Geschichte des Boccaccio und ähnliche Schnurren.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i/>
          <w:iCs/>
          <w:lang w:val="en-US" w:eastAsia="fr-FR"/>
        </w:rPr>
        <w:t>Die Wölfe.</w:t>
      </w:r>
      <w:r w:rsidRPr="005C3C9A">
        <w:rPr>
          <w:rFonts w:ascii="Garamond" w:eastAsia="Times New Roman" w:hAnsi="Garamond" w:cs="Times New Roman"/>
          <w:lang w:val="en-US" w:eastAsia="fr-FR"/>
        </w:rPr>
        <w:t xml:space="preserve"> Ihre Zahl: </w:t>
      </w:r>
      <w:r w:rsidRPr="005C3C9A">
        <w:rPr>
          <w:rFonts w:ascii="Garamond" w:eastAsia="Times New Roman" w:hAnsi="Garamond" w:cs="Times New Roman"/>
          <w:i/>
          <w:iCs/>
          <w:lang w:val="en-US" w:eastAsia="fr-FR"/>
        </w:rPr>
        <w:t>sechs oder sieben</w:t>
      </w:r>
      <w:r w:rsidRPr="005C3C9A">
        <w:rPr>
          <w:rFonts w:ascii="Garamond" w:eastAsia="Times New Roman" w:hAnsi="Garamond" w:cs="Times New Roman"/>
          <w:lang w:val="en-US" w:eastAsia="fr-FR"/>
        </w:rPr>
        <w:t>. In der Wolfsgeschichte ist es ein Rudel ohne angegebene Zahl. Die Zahlbestimmung zeigt den Einfluß des Märchens von den sieben Geißlein, von denen sechs gefressen werden. Die Ersetzung der Zweizahl in der Urszene durch eine Mehrzahl, welche in der Urszene absurd wäre, ist dem Widerstand als Entstellungsmittel willkommen. In der zum Traum gefertigten Zeichnung hat der Träumer die 5 zum Ausdruck gebracht, die wahrscheinlich die Angabe: es war Nacht, korrigiert.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i/>
          <w:iCs/>
          <w:lang w:eastAsia="fr-FR"/>
        </w:rPr>
        <w:t>Sie sitzen auf dem Baum.</w:t>
      </w:r>
      <w:r w:rsidRPr="005C3C9A">
        <w:rPr>
          <w:rFonts w:ascii="Garamond" w:eastAsia="Times New Roman" w:hAnsi="Garamond" w:cs="Times New Roman"/>
          <w:lang w:eastAsia="fr-FR"/>
        </w:rPr>
        <w:t xml:space="preserve"> </w:t>
      </w:r>
      <w:r w:rsidRPr="005C3C9A">
        <w:rPr>
          <w:rFonts w:ascii="Garamond" w:eastAsia="Times New Roman" w:hAnsi="Garamond" w:cs="Times New Roman"/>
          <w:lang w:val="en-US" w:eastAsia="fr-FR"/>
        </w:rPr>
        <w:t xml:space="preserve">Sie ersetzen zunächst die am Baum hängenden Weihnachtsgeschenke. </w:t>
      </w:r>
      <w:r w:rsidRPr="005C3C9A">
        <w:rPr>
          <w:rFonts w:ascii="Garamond" w:eastAsia="Times New Roman" w:hAnsi="Garamond" w:cs="Times New Roman"/>
          <w:lang w:eastAsia="fr-FR"/>
        </w:rPr>
        <w:t xml:space="preserve">Sie sind aber auch auf den Baum versetzt, weil das heißen kann, sie schauen. In der Geschichte des Großvaters lagern sie unten um den Baum. Ihr Verhältnis zum Baum ist also im Traum umgekehrt worden, woraus zu schließen ist, daß im Trauminhalt noch andere Umkehrungen des latenten Materials vorkommen. </w:t>
      </w:r>
      <w:r w:rsidRPr="005C3C9A">
        <w:rPr>
          <w:rFonts w:ascii="Garamond" w:eastAsia="Times New Roman" w:hAnsi="Garamond" w:cs="Times New Roman"/>
          <w:i/>
          <w:iCs/>
          <w:lang w:eastAsia="fr-FR"/>
        </w:rPr>
        <w:t>Sie schauen ihn mit gespannter Aufmerksamkeit an.</w:t>
      </w:r>
      <w:r w:rsidRPr="005C3C9A">
        <w:rPr>
          <w:rFonts w:ascii="Garamond" w:eastAsia="Times New Roman" w:hAnsi="Garamond" w:cs="Times New Roman"/>
          <w:lang w:eastAsia="fr-FR"/>
        </w:rPr>
        <w:t xml:space="preserve"> Dieser Zug ist ganz aus der Urszene, auf Kosten einer totalen Verkehrung in den Traum gekommen. </w:t>
      </w:r>
      <w:r w:rsidRPr="005C3C9A">
        <w:rPr>
          <w:rFonts w:ascii="Garamond" w:eastAsia="Times New Roman" w:hAnsi="Garamond" w:cs="Times New Roman"/>
          <w:i/>
          <w:iCs/>
          <w:lang w:eastAsia="fr-FR"/>
        </w:rPr>
        <w:t>Sie sind ganz weiß.</w:t>
      </w:r>
      <w:r w:rsidRPr="005C3C9A">
        <w:rPr>
          <w:rFonts w:ascii="Garamond" w:eastAsia="Times New Roman" w:hAnsi="Garamond" w:cs="Times New Roman"/>
          <w:lang w:eastAsia="fr-FR"/>
        </w:rPr>
        <w:t xml:space="preserve"> Dieser an sich unwesentliche, in der Erzählung des Träumers stark betonte Zug verdankt seine Intensität einer ausgiebigen Verschmelzung von Elementen aus allen Schichten des Materials, und vereinigt dann nebensächliche Details der anderen Traumquellen mit einem bedeutsameren Stück der Urszene. Diese letztere Determinierung entstammt wohl der Weiße der Bett- und Leibwäsche der Eltern, dazu das Weiß der Schafherden, der Schäferhunde als Anspielung auf seine Sexualforschungen an Tieren, das Weiß in den Märchen von den sieben Geißlein, in dem die Mutter an der Weiße ihrer Hand erkannt wird. </w:t>
      </w:r>
      <w:r w:rsidRPr="005C3C9A">
        <w:rPr>
          <w:rFonts w:ascii="Garamond" w:eastAsia="Times New Roman" w:hAnsi="Garamond" w:cs="Times New Roman"/>
          <w:lang w:val="en-US" w:eastAsia="fr-FR"/>
        </w:rPr>
        <w:t>Wir werden später die weiße Wäsche auch als Todesandeutung verstehen.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i/>
          <w:iCs/>
          <w:lang w:val="en-US" w:eastAsia="fr-FR"/>
        </w:rPr>
        <w:t>Sie sitzen regungslos da.</w:t>
      </w:r>
      <w:r w:rsidRPr="005C3C9A">
        <w:rPr>
          <w:rFonts w:ascii="Garamond" w:eastAsia="Times New Roman" w:hAnsi="Garamond" w:cs="Times New Roman"/>
          <w:lang w:val="en-US" w:eastAsia="fr-FR"/>
        </w:rPr>
        <w:t xml:space="preserve"> Hiemit wird dem auffälligsten Inhalt der beobachteten Szene widersprochen; der Bewegtheit, welche durch die Stellung, zu der sie führt, die Verbindung zwischen Urszene und Wolfsgeschichte herstellt.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i/>
          <w:iCs/>
          <w:lang w:eastAsia="fr-FR"/>
        </w:rPr>
        <w:t>Sie haben Schwänze wie Füchse.</w:t>
      </w:r>
      <w:r w:rsidRPr="005C3C9A">
        <w:rPr>
          <w:rFonts w:ascii="Garamond" w:eastAsia="Times New Roman" w:hAnsi="Garamond" w:cs="Times New Roman"/>
          <w:lang w:eastAsia="fr-FR"/>
        </w:rPr>
        <w:t xml:space="preserve"> Dies soll einem Ergebnis widersprechen, welches aus der Einwirkung der Urszene auf die Wolfsgeschichte gewonnen wurde und als der wichtigste Schluß der Sexualforschung anzuerkennen ist: Es gibt also wirklich eine Kastration. </w:t>
      </w:r>
      <w:r w:rsidRPr="005C3C9A">
        <w:rPr>
          <w:rFonts w:ascii="Garamond" w:eastAsia="Times New Roman" w:hAnsi="Garamond" w:cs="Times New Roman"/>
          <w:lang w:val="en-US" w:eastAsia="fr-FR"/>
        </w:rPr>
        <w:t>Der Schreck, mit dem dies Denkergebnis aufgenommen wird, bricht sich endlich im Traume Bahn und erzeugt dessen Schluß.</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i/>
          <w:iCs/>
          <w:lang w:val="en-US" w:eastAsia="fr-FR"/>
        </w:rPr>
        <w:t>Die Angst, von den Wölfen aufgefressen zu werden.</w:t>
      </w:r>
      <w:r w:rsidRPr="005C3C9A">
        <w:rPr>
          <w:rFonts w:ascii="Garamond" w:eastAsia="Times New Roman" w:hAnsi="Garamond" w:cs="Times New Roman"/>
          <w:lang w:val="en-US" w:eastAsia="fr-FR"/>
        </w:rPr>
        <w:t xml:space="preserve"> Sie erschien dem Träumer als nicht durch den Trauminhalt motiviert. Er sagte, ich hätte mich nicht fürchten müssen, denn die Wölfe sahen eher aus wie Füchse oder Hunde, sie fuhren auch nicht auf mich los, wie um mich zu beißen, sondern waren sehr ruhig und gar nicht schrecklich. Wir erkennen, daß die Traumarbeit sich eine Weile bemüht hat, die peinlichen Inhalte durch Verwandlung ins Gegenteil unschädlich zu machen. (Sie bewegen sich nicht, sie haben ja die schönsten Schwänze.) Bis endlich dieses Mittel versagt und die Angst losbricht. Sie findet ihren Ausdruck mit Hilfe des Märchens, in dem die Geißlein-Kinder vom Wolf-Vater gefressen werden. Möglicherweise </w:t>
      </w:r>
      <w:r w:rsidRPr="005C3C9A">
        <w:rPr>
          <w:rFonts w:ascii="Garamond" w:eastAsia="Times New Roman" w:hAnsi="Garamond" w:cs="Times New Roman"/>
          <w:lang w:val="en-US" w:eastAsia="fr-FR"/>
        </w:rPr>
        <w:lastRenderedPageBreak/>
        <w:t>hat dieser Märcheninhalt selbst an scherzhafte Drohungen des Vaters, wenn er mit dem Kinde spielte, erinnert, so daß die Angst, vom Wolf gefressen zu werden, ebensowohl Reminiszenz wie Verschiebungsersatz sein könnte.</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Die Wunschmotive dieses Traumes sind handgreifliche; zu den oberflächlichen Tageswünschen, Weihnachten mit seinen Geschenken möge schon da sein (Ungeduldstraum), gesellt sich der tiefere, um diese Zeit permanente Wunsch nach der Sexualbefriedigung durch den Vater, der sich zunächst durch den Wunsch, das wiederzusehen, was damals so fesselnd war, ersetzt. Dann verläuft der psychische Vorgang von der Erfüllung dieses Wunsches in der heraufbeschworenen Urszene bis zu der jetzt unvermeidlich gewordenen Ablehnung des Wunsches und der Verdrängung.</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Die Breite und Ausführlichkeit der Darstellung, zu der ich durch das Bemühen genötigt bin, dem Leser irgendein Äquivalent für die Beweiskraft einer selbstdurchgeführten Analyse zu bieten, mag ihn gleichzeitig davon abbringen, die Publikation von Analysen zu verlangen, die sich über mehrere Jahre erstreckt haben.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Über die pathogene Wirkung der Urszene und die Veränderung, welche deren Erweckung in seiner Sexualentwicklung hervorruft, kann ich mich nach allem, was bisher schon berührt wurde, kurz fassen. Wir werden nur diejenige Wirkung verfolgen, welcher der Traum Ausdruck gibt. Später werden wir uns klarmachen müssen, daß nicht etwa eine einzige Sexualströmung von der Urszene ausgegangen ist, sondern eine ganze Reihe von solchen, geradezu eine Aufsplitterung der Libido. Ferner werden wir uns vorhalten, daß die Aktivierung dieser Szene (ich vermeide absichtlich das Wort: Erinnerung) dieselbe Wirkung hat, als ob sie ein rezentes Erlebnis wäre. Die Szene wirkt nachträglich und hat unterdes, in dem Intervall zwischen 1½ und 4 Jahren, nichts von ihrer Frische eingebüßt. Vielleicht finden wir im weiteren noch einen Anhaltspunkt dafür, daß sie bestimmte Wirkungen bereits zur Zeit ihrer Wahrnehmung, also von 1½ Jahren an, geübt hat.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Wenn sich der Patient in die Situation der Urszene vertiefte, förderte er folgende Selbstwahrnehmungen zu Tage: Er habe vorher angenommen, der beobachtete Vorgang sei ein gewalttätiger Akt, allein dazu stimmte das vergnügte Gesicht nicht, das er die Mutter machen sah; er mußte erkennen, daß es sich um eine Befriedigung handleDer Aussage des Patienten tragen wir vielleicht am ehesten Rechnung, wenn wir annehmen, daß der Gegenstand seiner Beobachtung zuerst ein Koitus in normaler Stellung gewesen ist, der den Eindruck eines sadistischen Aktes erwecken muß. Erst nach diesem sei die Stellung gewechselt worden, so daß er Gelegenheit zu anderen Beobachtungen und Urteilen gewann. Allein diese Annahme ist nicht gesichert worden, scheint mir auch nicht unentbehrlich. Wir wollen über die abkürzende Darstellung des Textes die wirkliche Situation nicht außer Auge lassen, daß der Analysierte im Alter nach 25 Jahren Eindrücken und Regungen aus seinem vierten Jahr Worte verleiht, die er damals nicht gefunden hätte. Vernachlässigt man diese Bemerkung, so kann man es leicht komisch und unglaubwürdig finden, daß ein vierjähriges Kind solcher fachlicher Urteile und gelehrter Gedanken fähig sein sollte. Es ist dies einfach ein zweiter Fall von </w:t>
      </w:r>
      <w:r w:rsidRPr="005C3C9A">
        <w:rPr>
          <w:rFonts w:ascii="Garamond" w:eastAsia="Times New Roman" w:hAnsi="Garamond" w:cs="Times New Roman"/>
          <w:i/>
          <w:iCs/>
          <w:lang w:val="en-US" w:eastAsia="fr-FR"/>
        </w:rPr>
        <w:t>Nachträglichkeit</w:t>
      </w:r>
      <w:r w:rsidRPr="005C3C9A">
        <w:rPr>
          <w:rFonts w:ascii="Garamond" w:eastAsia="Times New Roman" w:hAnsi="Garamond" w:cs="Times New Roman"/>
          <w:lang w:val="en-US" w:eastAsia="fr-FR"/>
        </w:rPr>
        <w:t xml:space="preserve">. Das Kind empfängt mit 1½ Jahren einen Eindruck, auf den es nicht genügend reagieren kann, versteht ihn erst, wird von ihm ergriffen bei der Wiederbelebung des Eindrucks mit vier Jahren, und kann erst zwei Dezennien später in der Analyse mit bewußter Denktätigkeit erfassen, was damals in ihm vorgegangen. Der Analysierte setzt sich dann mit Recht über die drei Zeitphasen hinweg und setzt sein gegenwärtiges Ich in die längstvergangene Situation ein. Wir folgen ihm darin, denn bei korrekter Selbstbeobachtung und Deutung muß der Effekt so ausfallen, als ob man die Distanz zwischen der zweiten und der dritten Zeitphase vernachlässigen könnte. Auch haben wir kein anderes Mittel, die Vorgänge in der zweiten Phase zu beschreiben.. Das wesentliche Neue, das ihm die Beobachtung des Verkehrs der Eltern brachte, war die Überzeugung von der Wirklichkeit der Kastration, deren Möglichkeit seine Gedanken schon vorher beschäftigt hatte. (Der Anblick der beiden urinierenden Mädchen, die Drohung der Nanja, die Deutung der Gouvernante von den Zuckerstangen, die Erinnerung, daß der Vater eine Schlange in Stücke geschlagen.) Denn jetzt sah er mit eigenen Augen die Wunde, von der die Nanja gesprochen hatte, und verstand, daß ihr Vorhandensein eine Bedingung des Verkehrs mit dem Vater war. Er konnte sie nicht mehr wie bei der Beobachtung der kleinen Mädchen mit dem Popo verwechseln </w:t>
      </w:r>
      <w:hyperlink r:id="rId1274" w:history="1">
        <w:r w:rsidRPr="005C3C9A">
          <w:rPr>
            <w:rFonts w:ascii="Garamond" w:eastAsia="Times New Roman" w:hAnsi="Garamond" w:cs="Times New Roman"/>
            <w:color w:val="0000FF"/>
            <w:u w:val="single"/>
            <w:lang w:val="en-US" w:eastAsia="fr-FR"/>
          </w:rPr>
          <w:t>[Fußnote]Wie er sich mit diesem Anteil des Problems weiter auseinandersetzte, werden wir später bei der Verfolgung seiner Analerotik erfahren.</w:t>
        </w:r>
      </w:hyperlink>
      <w:r w:rsidRPr="005C3C9A">
        <w:rPr>
          <w:rFonts w:ascii="Garamond" w:eastAsia="Times New Roman" w:hAnsi="Garamond" w:cs="Times New Roman"/>
          <w:lang w:val="en-US" w:eastAsia="fr-FR"/>
        </w:rPr>
        <w:t>.</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Der Ausgang des Traumes war Angst, von der er sich nicht eher beruhigte, als bis er seine Nanja bei sich hatte. Er flüchtete sich also zu ihr vom Vater weg. Die Angst war eine Ablehnung des Wunsches nach Sexualbefriedigung durch den Vater, welches Streben ihm den Traum eingegeben hatte. Ihr Ausdruck: vom Wolf gefressen zu werden, war nur eine – wie wir hören werden: regressive – Umsetzung des Wunsches, vom Vater koitiert, d. h. so befriedigt zu werden wie die Mutter. Sein letztes Sexualziel, die </w:t>
      </w:r>
      <w:r w:rsidRPr="005C3C9A">
        <w:rPr>
          <w:rFonts w:ascii="Garamond" w:eastAsia="Times New Roman" w:hAnsi="Garamond" w:cs="Times New Roman"/>
          <w:lang w:val="en-US" w:eastAsia="fr-FR"/>
        </w:rPr>
        <w:lastRenderedPageBreak/>
        <w:t>passive Einstellung zum Vater, war einer Verdrängung erlegen, die Angst vor dem Vater in Gestalt der Wolfsphobie an ihre Stelle getreten.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Und die treibende Kraft dieser Verdrängung? Dem ganzen Sachverhalt nach konnte es nur die narzißtische Genitallibido sein, die sich als Sorge um sein männliches Glied gegen eine Befriedigung sträubte, für die der Verzicht auf dieses Glied Bedingung schien. Aus dem bedrohten Narzißmus schöpfte er die Männlichkeit, mit der er sich gegen die passive Einstellung zum Vater wehrte.</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 xml:space="preserve">Wir werden jetzt darauf aufmerksam, daß wir an diesem Punkte der Darstellung unsere Terminologie ändern müssen. </w:t>
      </w:r>
      <w:r w:rsidRPr="005C3C9A">
        <w:rPr>
          <w:rFonts w:ascii="Garamond" w:eastAsia="Times New Roman" w:hAnsi="Garamond" w:cs="Times New Roman"/>
          <w:lang w:eastAsia="fr-FR"/>
        </w:rPr>
        <w:t xml:space="preserve">Er hatte während des Traumes eine neue Phase seiner Sexualorganisation erreicht. </w:t>
      </w:r>
      <w:r w:rsidRPr="005C3C9A">
        <w:rPr>
          <w:rFonts w:ascii="Garamond" w:eastAsia="Times New Roman" w:hAnsi="Garamond" w:cs="Times New Roman"/>
          <w:lang w:val="en-US" w:eastAsia="fr-FR"/>
        </w:rPr>
        <w:t xml:space="preserve">Die sexuellen Gegensätze waren ihm bisher </w:t>
      </w:r>
      <w:r w:rsidRPr="005C3C9A">
        <w:rPr>
          <w:rFonts w:ascii="Garamond" w:eastAsia="Times New Roman" w:hAnsi="Garamond" w:cs="Times New Roman"/>
          <w:i/>
          <w:iCs/>
          <w:lang w:val="en-US" w:eastAsia="fr-FR"/>
        </w:rPr>
        <w:t>aktiv</w:t>
      </w:r>
      <w:r w:rsidRPr="005C3C9A">
        <w:rPr>
          <w:rFonts w:ascii="Garamond" w:eastAsia="Times New Roman" w:hAnsi="Garamond" w:cs="Times New Roman"/>
          <w:lang w:val="en-US" w:eastAsia="fr-FR"/>
        </w:rPr>
        <w:t xml:space="preserve"> und </w:t>
      </w:r>
      <w:r w:rsidRPr="005C3C9A">
        <w:rPr>
          <w:rFonts w:ascii="Garamond" w:eastAsia="Times New Roman" w:hAnsi="Garamond" w:cs="Times New Roman"/>
          <w:i/>
          <w:iCs/>
          <w:lang w:val="en-US" w:eastAsia="fr-FR"/>
        </w:rPr>
        <w:t>passiv</w:t>
      </w:r>
      <w:r w:rsidRPr="005C3C9A">
        <w:rPr>
          <w:rFonts w:ascii="Garamond" w:eastAsia="Times New Roman" w:hAnsi="Garamond" w:cs="Times New Roman"/>
          <w:lang w:val="en-US" w:eastAsia="fr-FR"/>
        </w:rPr>
        <w:t xml:space="preserve"> gewesen. Sein Sexualziel war seit der Verführung ein passives, am Genitale berührt zu werden, dann wandelte es sich durch Regression auf die frühere Stufe der sadistisch-analen Organisation in das masochistische, gezüchtigt, gestraft zu werden. Es war ihm gleichgültig, ob er dieses Ziel beim Mann oder Weib erreichen sollte. Er war ohne Rücksicht auf den Geschlechtsunterschied von der Nanja zum Vater gewandert, hatte von der Nanja verlangt, am Glied berührt zu werden, vom Vater die Züchtigung provozieren wollen. Das Genitale kam dabei außer Betracht; in der Phantasie, auf den Penis geschlagen zu werden, äußerte sich noch der durch die Regression verdeckte Zusammenhang. Nun führte ihn die Aktivierung der Urszene im Traum zur genitalen Organisation zurück. Er entdeckte die Vagina und die biologische Bedeutung von männlich und weiblich. Er verstand jetzt, aktiv sei gleich männlich, passiv aber weiblich. Sein passives Sexualziel hätte sich jetzt in ein weibliches verwandeln, den Ausdruck annehmen müssen: vom Vater koitiert zu werden, anstatt: von ihm auf das Genitale oder auf den Popo geschlagen zu werden. Dieses feminine Ziel verfiel nun der Verdrängung und mußte sich durch die Angst vor dem Wolf ersetzen lassen.</w:t>
      </w:r>
    </w:p>
    <w:p w:rsidR="00822836" w:rsidRPr="005C3C9A" w:rsidRDefault="00822836" w:rsidP="00822836">
      <w:pPr>
        <w:pStyle w:val="Sansinterligne"/>
        <w:rPr>
          <w:rFonts w:ascii="Garamond" w:eastAsia="Times New Roman" w:hAnsi="Garamond" w:cs="Times New Roman"/>
          <w:lang w:val="en-US" w:eastAsia="fr-FR"/>
        </w:rPr>
      </w:pPr>
      <w:r w:rsidRPr="005C3C9A">
        <w:rPr>
          <w:rFonts w:ascii="Garamond" w:eastAsia="Times New Roman" w:hAnsi="Garamond" w:cs="Times New Roman"/>
          <w:lang w:val="en-US" w:eastAsia="fr-FR"/>
        </w:rPr>
        <w:t>Wir müssen die Diskussion seiner Sexualentwicklung hier unterbrechen, bis aus späteren Stadien seiner Geschichte neues Licht auf diese früheren zurückfällt. Zur Würdigung der Wolfsphobie fügen wir noch hinzu, daß Vater und Mutter, beide, zu Wölfen wurden. Die Mutter spielte ja den kastrierten Wolf, der die anderen auf sich aufsteigen ließ, der Vater den aufsteigenden. Seine Angst bezog sich aber, wie wir ihn versichern gehört haben, nur auf den stehenden Wolf, also auf den Vater. Ferner muß uns auffallen, daß die Angst, in die der Traum ausging, ein Vorbild in der Erzählung des Großvaters hatte. In dieser wird ja der kastrierte Wolf, der die andern auf sich hat steigen lassen, von Angst befallen, sowie er an die Tatsache seiner Schwanzlosigkeit erinnert wird. Es scheint also, daß er sich während des Traumvorganges mit der kastrierten Mutter identifizierte und sich nun gegen dieses Ergebnis sträubte. In hoffentlich zutreffender Übersetzung: Wenn du vom Vater befriedigt werden willst, mußt du dir wie die Mutter die Kastration gefallen lassen; das will ich aber nicht. Also ein deutlicher Protest der Männlichkeit! Machen wir uns übrigens klar, daß die Sexualentwicklung des Falles, den wir hier verfolgen, für unsere Forschung den großen Nachteil hat, daß sie keine ungestörte ist. Sie wird zuerst durch die Verführung entscheidend beeinflußt und nun durch die Szene der Koitusbeobachtung abgelenkt, die nachträglich wie eine zweite Verführung wirkt.</w:t>
      </w:r>
    </w:p>
    <w:p w:rsidR="00822836" w:rsidRDefault="00822836" w:rsidP="00822836">
      <w:pPr>
        <w:pStyle w:val="Sansinterligne"/>
        <w:rPr>
          <w:rFonts w:ascii="Garamond" w:hAnsi="Garamond"/>
          <w:lang w:val="en-US"/>
        </w:rPr>
      </w:pPr>
    </w:p>
    <w:p w:rsidR="00822836" w:rsidRDefault="00822836" w:rsidP="00822836">
      <w:pPr>
        <w:rPr>
          <w:rFonts w:ascii="Garamond" w:hAnsi="Garamond"/>
          <w:lang w:val="en-US"/>
        </w:rPr>
      </w:pPr>
      <w:r>
        <w:rPr>
          <w:rFonts w:ascii="Garamond" w:hAnsi="Garamond"/>
          <w:lang w:val="en-US"/>
        </w:rPr>
        <w:br w:type="page"/>
      </w:r>
    </w:p>
    <w:p w:rsidR="00822836" w:rsidRPr="00A57530" w:rsidRDefault="00B437A1" w:rsidP="00822836">
      <w:pPr>
        <w:pStyle w:val="Sansinterligne"/>
        <w:rPr>
          <w:rFonts w:ascii="Garamond" w:hAnsi="Garamond"/>
          <w:b/>
          <w:lang w:val="en-US"/>
        </w:rPr>
      </w:pPr>
      <w:hyperlink w:anchor="WolfmanInhalt" w:history="1">
        <w:r w:rsidR="00822836" w:rsidRPr="00A57530">
          <w:rPr>
            <w:rStyle w:val="Lienhypertexte"/>
            <w:rFonts w:ascii="Garamond" w:hAnsi="Garamond"/>
            <w:b/>
            <w:lang w:val="en-US"/>
          </w:rPr>
          <w:t>V. Ei</w:t>
        </w:r>
        <w:bookmarkStart w:id="235" w:name="Wolfman5"/>
        <w:bookmarkEnd w:id="235"/>
        <w:r w:rsidR="00822836" w:rsidRPr="00A57530">
          <w:rPr>
            <w:rStyle w:val="Lienhypertexte"/>
            <w:rFonts w:ascii="Garamond" w:hAnsi="Garamond"/>
            <w:b/>
            <w:lang w:val="en-US"/>
          </w:rPr>
          <w:t>nige Diskussionen</w:t>
        </w:r>
      </w:hyperlink>
    </w:p>
    <w:p w:rsidR="00822836" w:rsidRDefault="00822836" w:rsidP="00822836">
      <w:pPr>
        <w:pStyle w:val="Sansinterligne"/>
        <w:rPr>
          <w:rFonts w:ascii="Garamond" w:hAnsi="Garamond"/>
          <w:lang w:val="en-US"/>
        </w:rPr>
      </w:pPr>
    </w:p>
    <w:p w:rsidR="00822836" w:rsidRPr="005C3C9A" w:rsidRDefault="00822836" w:rsidP="00822836">
      <w:pPr>
        <w:pStyle w:val="Sansinterligne"/>
        <w:rPr>
          <w:rFonts w:ascii="Garamond" w:hAnsi="Garamond"/>
          <w:lang w:val="en-US"/>
        </w:rPr>
      </w:pPr>
      <w:r w:rsidRPr="005C3C9A">
        <w:rPr>
          <w:rFonts w:ascii="Garamond" w:hAnsi="Garamond"/>
          <w:lang w:val="en-US"/>
        </w:rPr>
        <w:t>Eisbär und Walfisch, hat man gesagt, können nicht miteinander Krieg führen, weil sie, ein jeder auf sein Element beschränkt, nicht zueinander kommen. Ebenso unmöglich wird es mir, mit Arbeitern auf dem Gebiet der Psychologie oder der Neurotik zu diskutieren, die die Voraussetzungen der Psychoanalyse nicht anerkennen und ihre Ergebnisse für Artefakte halten. Daneben hat sich aber in den letzten Jahren eine Opposition von Anderen entwickelt, die, nach ihrem eigenen Vermeinen wenigstens, auf dem Boden der Analyse stehen, die Technik und Resultate derselben nicht bestreiten und sich nur für berechtigt halten, aus dem nämlichen Material andere Folgerungen abzuleiten und es anderen Auffassungen zu unterziehen.</w:t>
      </w:r>
    </w:p>
    <w:p w:rsidR="00822836" w:rsidRPr="005C3C9A" w:rsidRDefault="00822836" w:rsidP="00822836">
      <w:pPr>
        <w:pStyle w:val="Sansinterligne"/>
        <w:rPr>
          <w:rFonts w:ascii="Garamond" w:hAnsi="Garamond"/>
          <w:lang w:val="en-US"/>
        </w:rPr>
      </w:pPr>
      <w:r w:rsidRPr="005C3C9A">
        <w:rPr>
          <w:rFonts w:ascii="Garamond" w:hAnsi="Garamond"/>
          <w:lang w:val="en-US"/>
        </w:rPr>
        <w:t>Theoretischer Widerspruch ist aber zumeist unfruchtbar. Sowie man begonnen hat, sich von dem Material, aus dem man schöpfen soll, zu entfernen, läuft man Gefahr, sich an seinen Behauptungen zu berauschen und endlich Meinungen zu vertreten, denen jede Beobachtung widersprochen hätte. Es scheint mir darum ungleich zweckmäßiger, abweichende Auffassungen dadurch zu bekämpfen, daß man sie an einzelnen Fällen und Problemen erprobt.</w:t>
      </w:r>
    </w:p>
    <w:p w:rsidR="00822836" w:rsidRPr="005C3C9A" w:rsidRDefault="00822836" w:rsidP="00822836">
      <w:pPr>
        <w:pStyle w:val="Sansinterligne"/>
        <w:rPr>
          <w:rFonts w:ascii="Garamond" w:hAnsi="Garamond"/>
          <w:lang w:val="en-US"/>
        </w:rPr>
      </w:pPr>
      <w:r w:rsidRPr="005C3C9A">
        <w:rPr>
          <w:rFonts w:ascii="Garamond" w:hAnsi="Garamond"/>
          <w:lang w:val="en-US"/>
        </w:rPr>
        <w:t>Ich habe oben (S. 157 f.) ausgeführt, es werde gewiß für unwahrscheinlich gehalten werden, »daß ein Kind in dem zarten Alter von 1½ Jahren imstande sein sollte, die Wahrnehmungen eines so komplizierten Vorganges in sich aufzunehmen und sie so getreu in seinem Unbewußten zu bewahren, zweitens, daß eine nachträglich zum Verständnis vordringende Bearbeitung dieses Materials zu vier Jahren möglich ist, und endlich, daß es durch irgendein Verfahren gelingen sollte, die Einzelheiten einer solchen Szene, unter solchen Umständen erlebt und verstanden, in zusammenhängender und überzeugender Weise bewußt zu machen«.</w:t>
      </w:r>
    </w:p>
    <w:p w:rsidR="00822836" w:rsidRPr="005C3C9A" w:rsidRDefault="00822836" w:rsidP="00822836">
      <w:pPr>
        <w:pStyle w:val="Sansinterligne"/>
        <w:rPr>
          <w:rFonts w:ascii="Garamond" w:hAnsi="Garamond"/>
        </w:rPr>
      </w:pPr>
      <w:r w:rsidRPr="005C3C9A">
        <w:rPr>
          <w:rFonts w:ascii="Garamond" w:hAnsi="Garamond"/>
        </w:rPr>
        <w:t>Die letzte Frage ist eine rein faktische. Wer sich die Mühe nimmt, die Analyse mittels der vorgezeichneten Technik in solche Tiefen zu treiben, wird sich überzeugen, daß es sehr wohl möglich ist; wer es unterläßt und in irgendeiner höheren Schicht die Analyse unterbricht, hat sich des Urteils darüber begeben. Aber die Auffassung des von der Tiefenanalyse Erreichten ist damit nicht entschieden.</w:t>
      </w:r>
    </w:p>
    <w:p w:rsidR="00822836" w:rsidRPr="005C3C9A" w:rsidRDefault="00822836" w:rsidP="00822836">
      <w:pPr>
        <w:pStyle w:val="Sansinterligne"/>
        <w:rPr>
          <w:rFonts w:ascii="Garamond" w:hAnsi="Garamond"/>
          <w:lang w:val="en-US"/>
        </w:rPr>
      </w:pPr>
      <w:r w:rsidRPr="005C3C9A">
        <w:rPr>
          <w:rFonts w:ascii="Garamond" w:hAnsi="Garamond"/>
        </w:rPr>
        <w:t xml:space="preserve">Die beiden anderen Bedenken stützen sich auf eine Geringschätzung der frühinfantilen Eindrücke, denen so nachhaltige Wirkungen nicht zugetraut werden. </w:t>
      </w:r>
      <w:r w:rsidRPr="005C3C9A">
        <w:rPr>
          <w:rFonts w:ascii="Garamond" w:hAnsi="Garamond"/>
          <w:lang w:val="en-US"/>
        </w:rPr>
        <w:t>Sie wollen die Verursachung der Neurosen fast ausschließlich in den ernsthaften Konflikten des späteren Lebens suchen, und nehmen an, die Bedeutsamkeit der Kindheit werde uns in der Analyse nur durch die Neigung der Neurotiker vorgespiegelt, ihre gegenwärtigen Interessen in Reminiszenzen und Symbolen der frühen Vergangenheit auszudrücken. Mit solcher Einschätzung des infantilen Moments fiele manches weg, was zu den intimsten Eigentümlichkeiten der Analyse gehört hat, freilich auch vieles, was ihr Widerstände schafft und das Zutrauen der Außenstehenden entfremdet.</w:t>
      </w:r>
    </w:p>
    <w:p w:rsidR="00822836" w:rsidRPr="005C3C9A" w:rsidRDefault="00822836" w:rsidP="00822836">
      <w:pPr>
        <w:pStyle w:val="Sansinterligne"/>
        <w:rPr>
          <w:rFonts w:ascii="Garamond" w:hAnsi="Garamond"/>
          <w:lang w:val="en-US"/>
        </w:rPr>
      </w:pPr>
      <w:r w:rsidRPr="005C3C9A">
        <w:rPr>
          <w:rFonts w:ascii="Garamond" w:hAnsi="Garamond"/>
          <w:lang w:val="en-US"/>
        </w:rPr>
        <w:t>Wir stellen also zur Diskussion die Auffassung ein, solche frühinfantile Szenen, wie sie eine erschöpfende Analyse der Neurosen, z. B. unseres Falles liefert, seien nicht Reproduktionen realer Begebenheiten, denen man Einfluß auf die Gestaltung des späteren Lebens und auf die Symptombildung zuschreiben dürfe, sondern Phantasiebildungen, die der Zeit der Reife ihre Anregung entnehmen, zur gewissermaßen symbolischen Vertretung realer Wünsche und Interessen bestimmt sind, und die einer regressiven Tendenz, einer Abwendung von den Aufgaben der Gegenwart ihre Entstehung verdanken. Wenn dem so ist, dann kann man sich natürlich alle die befremdenden Zumutungen an das Seelenleben und die intellektuelle Leistung von Kindern im unmündigsten Alter ersparen.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Dieser Auffassung kommt außer dem uns allen gemeinsamen Wunsch nach Rationalisierung und Vereinfachung der schwierigen Aufgabe mancherlei Tatsächliches entgegen. Auch kann man im vorhinein ein Bedenken aus dem Wege räumen, welches sich gerade beim praktischen Analytiker erheben könnte. Man muß zugestehen, wenn die besprochene Auffassung dieser infantilen Szenen die richtige ist, dann wird an der Ausübung der Analyse zunächst nichts geändert. Hat der Neurotiker einmal die üble Eigentümlichkeit, sein Interesse von der Gegenwart abzuwenden und es an solche regressive Ersatzbildungen seiner Phantasie zu heften, so kann man gar nichts anderes tun, als ihm auf seinen Wegen zu folgen und ihm diese unbewußten Produktionen zum Bewußtsein zu bringen, denn sie sind, von ihrem realen Unwert ganz abzusehen, für uns höchst wertvoll als die derzeitigen Träger und Besitzer des Interesses, welches wir frei machen wollen, um es auf die Aufgaben der Gegenwart zu lenken. </w:t>
      </w:r>
      <w:r w:rsidRPr="005C3C9A">
        <w:rPr>
          <w:rFonts w:ascii="Garamond" w:hAnsi="Garamond"/>
        </w:rPr>
        <w:t xml:space="preserve">Die Analyse müßte genau ebenso verlaufen wie jene, die im naiven Zutrauen solche Phantasien für wahr nimmt. Erst am Ende der Analyse, nach der Aufdeckung dieser Phantasien, käme der Unterschied. Man würde dann dem Kranken sagen: »Nun gut; Ihre Neurose ist so verlaufen, als ob Sie in Ihren Kinderjahren solche Eindrücke empfangen und fortgesponnen hätten. Sie sehen wohl ein, daß dies nicht möglich ist. Es waren </w:t>
      </w:r>
      <w:r w:rsidRPr="005C3C9A">
        <w:rPr>
          <w:rFonts w:ascii="Garamond" w:hAnsi="Garamond"/>
        </w:rPr>
        <w:lastRenderedPageBreak/>
        <w:t xml:space="preserve">Produkte Ihrer Phantasietätigkeit zur Ablenkung von realen Aufgaben, die Ihnen bevorstanden. </w:t>
      </w:r>
      <w:r w:rsidRPr="005C3C9A">
        <w:rPr>
          <w:rFonts w:ascii="Garamond" w:hAnsi="Garamond"/>
          <w:lang w:val="en-US"/>
        </w:rPr>
        <w:t>Nun lassen Sie uns nachforschen, welches diese Aufgaben waren, und welche Verbindungswege zwischen diesen und Ihren Phantasien bestanden haben.« Ein zweiter, dem realen Leben zugewendeter Abschnitt der Behandlung würde nach dieser Erledigung der infantilen Phantasien einsetzen können.</w:t>
      </w:r>
    </w:p>
    <w:p w:rsidR="00822836" w:rsidRPr="005C3C9A" w:rsidRDefault="00822836" w:rsidP="00822836">
      <w:pPr>
        <w:pStyle w:val="Sansinterligne"/>
        <w:rPr>
          <w:rFonts w:ascii="Garamond" w:hAnsi="Garamond"/>
          <w:lang w:val="en-US"/>
        </w:rPr>
      </w:pPr>
      <w:r w:rsidRPr="005C3C9A">
        <w:rPr>
          <w:rFonts w:ascii="Garamond" w:hAnsi="Garamond"/>
          <w:lang w:val="en-US"/>
        </w:rPr>
        <w:t>Eine Abkürzung dieses Weges, also eine Abänderung der bisher geübten psychoanalytischen Kur, wäre technisch unzulässig. Wenn man dem Kranken diese Phantasien nicht in ihrem vollen Umfange bewußt macht, kann man ihm die Verfügung über das an sie gebundene Interesse nicht geben. Wenn man ihn von ihnen ablenkt, sobald man ihre Existenz und allgemeine Umrisse ahnt, unterstützt man nur das Werk der Verdrängung, durch das sie für alle Bemühungen des Kranken unantastbar geworden sind. Wenn man sie ihm frühzeitig entwertet, etwa indem man ihm eröffnet, es werde sich nur um Phantasien handeln, die ja keine reale Bedeutung haben, wird man nie seine Mitwirkung bereit finden, um sie dem Bewußtsein zuzuführen. Die analytische Technik dürfte also bei korrektem Vorgehen keine Änderung erfahren, wie immer man diese Infantilszenen einschätzt.</w:t>
      </w:r>
    </w:p>
    <w:p w:rsidR="00822836" w:rsidRPr="005C3C9A" w:rsidRDefault="00822836" w:rsidP="00822836">
      <w:pPr>
        <w:pStyle w:val="Sansinterligne"/>
        <w:rPr>
          <w:rFonts w:ascii="Garamond" w:hAnsi="Garamond"/>
          <w:lang w:val="en-US"/>
        </w:rPr>
      </w:pPr>
      <w:r w:rsidRPr="005C3C9A">
        <w:rPr>
          <w:rFonts w:ascii="Garamond" w:hAnsi="Garamond"/>
          <w:lang w:val="en-US"/>
        </w:rPr>
        <w:t>Ich habe erwähnt, daß die Auffassung dieser Szenen als regressiver Phantasien manche tatsächlichen Momente zu ihrer Unterstützung anrufen kann. Vor allem das eine: Diese Infantilszenen werden in der Kur – soweit meine Erfahrung bis jetzt reicht – nicht als Erinnerungen reproduziert, sie sind Ergebnisse der Konstruktion. Gewiß wird manchem der Streit schon durch dieses eine Zugeständnis entschieden scheinen.</w:t>
      </w:r>
    </w:p>
    <w:p w:rsidR="00822836" w:rsidRPr="005C3C9A" w:rsidRDefault="00822836" w:rsidP="00822836">
      <w:pPr>
        <w:pStyle w:val="Sansinterligne"/>
        <w:rPr>
          <w:rFonts w:ascii="Garamond" w:hAnsi="Garamond"/>
          <w:lang w:val="en-US"/>
        </w:rPr>
      </w:pPr>
      <w:r w:rsidRPr="005C3C9A">
        <w:rPr>
          <w:rFonts w:ascii="Garamond" w:hAnsi="Garamond"/>
          <w:lang w:val="en-US"/>
        </w:rPr>
        <w:t>Ich möchte nicht mißverstanden werden. Jeder Analytiker weiß und hat es unzählige Male erfahren, daß in einer gelungenen Kur der Patient eine ganze Anzahl spontaner Erinnerungen aus seinen Kinderjahren mitteilt, an deren Auftauchen – vielleicht erstmaligem Auftauchen – der Arzt sich völlig unschuldig fühlt, indem er durch keinerlei Konstruktionsversuch dem Kranken einen ähnlichen Inhalt nahegelegt hat. Diese vorher unbewußten Erinnerungen müssen nicht einmal immer wahr sein; sie können es sein, aber sie sind oft gegen die Wahrheit entstellt, mit phantasierten Elementen durchsetzt, ganz ähnlich wie die spontan erhalten gebliebenen sogenannten Deckerinnerungen. Ich will nur sagen: Szenen, wie die bei meinem Patienten, aus so früher Zeit und mit solchem Inhalt, die dann eine so außerordentliche Bedeutung für die Geschichte des Falles beanspruchen, werden in der Regel nicht als Erinnerungen reproduziert, sondern müssen schrittweise und mühselig aus einer Summe von Andeutungen erraten – konstruiert – werden. Es reicht auch für das Argument hin, wenn ich zugebe, daß solche Szenen bei den Fällen von Zwangsneurose nicht als Erinnerung bewußt werden, oder wenn ich die Angabe auf den einen Fall, den wir hier studieren, beschränke.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bin nun nicht der Meinung, daß diese Szenen notwendigerweise Phantasien sein müßten, weil sie nicht als Erinnerungen wiederkommen. Es scheint mir durchaus der Erinnerung gleichwertig, daß sie sich – wie in unserem Falle – durch Träume ersetzen, deren Analyse regelmäßig zu derselben Szene zurückführt, die in unermüdlicher Umarbeitung jedes Stück ihres Inhalts reproduzieren. Träumen ist ja auch ein Erinnern, wenn auch unter den Bedingungen der Nachtzeit und der Traumbildung. Durch diese Wiederkehr in Träumen erkläre ich mir, daß sich bei den Patienten selbst allmählich eine sichere Überzeugung von der Realität dieser Urszenen bildet, eine Überzeugung, die der auf Erinnerung gegründeten in nichts nachsteht </w:t>
      </w:r>
      <w:hyperlink r:id="rId1275"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 xml:space="preserve">Wie frühzeitig ich mich mit diesem Problem beschäftigt habe, mag eine Stelle aus der ersten Auflage meiner </w:t>
        </w:r>
        <w:r w:rsidRPr="005C3C9A">
          <w:rPr>
            <w:rStyle w:val="innerfusslink"/>
            <w:rFonts w:ascii="Garamond" w:hAnsi="Garamond"/>
            <w:i/>
            <w:iCs/>
            <w:color w:val="0000FF"/>
            <w:u w:val="single"/>
            <w:lang w:val="en-US"/>
          </w:rPr>
          <w:t>Traumdeutung</w:t>
        </w:r>
        <w:r w:rsidRPr="005C3C9A">
          <w:rPr>
            <w:rStyle w:val="innerfusslink"/>
            <w:rFonts w:ascii="Garamond" w:hAnsi="Garamond"/>
            <w:color w:val="0000FF"/>
            <w:u w:val="single"/>
            <w:lang w:val="en-US"/>
          </w:rPr>
          <w:t xml:space="preserve"> (1900) beweisen. Dort heißt es S. 126 zur Analyse der in einem Traum vorkommenden Rede: </w:t>
        </w:r>
        <w:r w:rsidRPr="005C3C9A">
          <w:rPr>
            <w:rStyle w:val="innerfusslink"/>
            <w:rFonts w:ascii="Garamond" w:hAnsi="Garamond"/>
            <w:i/>
            <w:iCs/>
            <w:color w:val="0000FF"/>
            <w:u w:val="single"/>
            <w:lang w:val="en-US"/>
          </w:rPr>
          <w:t>Das ist nicht mehr zu haben</w:t>
        </w:r>
        <w:r w:rsidRPr="005C3C9A">
          <w:rPr>
            <w:rStyle w:val="innerfusslink"/>
            <w:rFonts w:ascii="Garamond" w:hAnsi="Garamond"/>
            <w:color w:val="0000FF"/>
            <w:u w:val="single"/>
            <w:lang w:val="en-US"/>
          </w:rPr>
          <w:t xml:space="preserve">, diese Rede stammt von mir selbst; ich hatte ihr einige Tage vorher erklärt, »daß die ältesten Kindererlebnisse </w:t>
        </w:r>
        <w:r w:rsidRPr="005C3C9A">
          <w:rPr>
            <w:rStyle w:val="innerfusslink"/>
            <w:rFonts w:ascii="Garamond" w:hAnsi="Garamond"/>
            <w:i/>
            <w:iCs/>
            <w:color w:val="0000FF"/>
            <w:u w:val="single"/>
            <w:lang w:val="en-US"/>
          </w:rPr>
          <w:t>nicht mehr</w:t>
        </w:r>
        <w:r w:rsidRPr="005C3C9A">
          <w:rPr>
            <w:rStyle w:val="innerfusslink"/>
            <w:rFonts w:ascii="Garamond" w:hAnsi="Garamond"/>
            <w:color w:val="0000FF"/>
            <w:u w:val="single"/>
            <w:lang w:val="en-US"/>
          </w:rPr>
          <w:t xml:space="preserve"> als solche </w:t>
        </w:r>
        <w:r w:rsidRPr="005C3C9A">
          <w:rPr>
            <w:rStyle w:val="innerfusslink"/>
            <w:rFonts w:ascii="Garamond" w:hAnsi="Garamond"/>
            <w:i/>
            <w:iCs/>
            <w:color w:val="0000FF"/>
            <w:u w:val="single"/>
            <w:lang w:val="en-US"/>
          </w:rPr>
          <w:t>zu haben sind,</w:t>
        </w:r>
        <w:r w:rsidRPr="005C3C9A">
          <w:rPr>
            <w:rStyle w:val="innerfusslink"/>
            <w:rFonts w:ascii="Garamond" w:hAnsi="Garamond"/>
            <w:color w:val="0000FF"/>
            <w:u w:val="single"/>
            <w:lang w:val="en-US"/>
          </w:rPr>
          <w:t xml:space="preserve"> sondern durch ›Übertragungen‹ und Träume in der Analyse ersetzt werden.«</w:t>
        </w:r>
      </w:hyperlink>
      <w:r w:rsidRPr="005C3C9A">
        <w:rPr>
          <w:rFonts w:ascii="Garamond" w:hAnsi="Garamond"/>
          <w:lang w:val="en-US"/>
        </w:rPr>
        <w:t>.</w:t>
      </w:r>
    </w:p>
    <w:p w:rsidR="00822836" w:rsidRPr="005C3C9A" w:rsidRDefault="00822836" w:rsidP="00822836">
      <w:pPr>
        <w:pStyle w:val="Sansinterligne"/>
        <w:rPr>
          <w:rFonts w:ascii="Garamond" w:hAnsi="Garamond"/>
          <w:lang w:val="en-US"/>
        </w:rPr>
      </w:pPr>
      <w:r w:rsidRPr="005C3C9A">
        <w:rPr>
          <w:rFonts w:ascii="Garamond" w:hAnsi="Garamond"/>
          <w:lang w:val="en-US"/>
        </w:rPr>
        <w:t>Die Gegner brauchen freilich den Kampf gegen diese Argumente nicht als aussichtslos aufzugeben. Träume sind bekanntlich lenkbarDer Mechanismus des Traumes kann nicht beeinflußt werden, aber das Traummaterial läßt sich partiell kommandieren.. Und die Überzeugung des Analysierten kann ein Erfolg der Suggestion sein, für die immer noch eine Rolle im Kräftespiel der analytischen Behandlung gesucht wird. Der Psychotherapeut alten Schlages würde seinem Patienten suggerieren, daß er gesund ist, seine Hemmungen überwunden hat u. dgl.; der Psychoanalytiker aber, daß er als Kind dies oder jenes Erlebnis gehabt hat, das er jetzt erinnern müsse, um gesund zu werden. Das wäre der Unterschied zwischen beiden.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Machen wir uns klar, daß dieser letzte Erklärungsversuch der Gegner auf eine weit gründlichere Erledigung der Infantilszenen hinausläuft, als anfangs angekündigt wurde. Sie sollten nicht Wirklichkeiten sein, sondern Phantasien. Nun wird es offenbar: nicht Phantasien des Kranken, sondern des Analytikers selbst, die er aus irgendwelchen persönlichen Komplexen dem Analysierten aufdrängt. Der Analytiker freilich, der diesen Vorwurf hört, wird sich zu seiner Beruhigung vorführen, wie allmählich die Konstruktion dieser angeblich von ihm eingegebenen Phantasie zustande gekommen ist, wie unabhängig </w:t>
      </w:r>
      <w:r w:rsidRPr="005C3C9A">
        <w:rPr>
          <w:rFonts w:ascii="Garamond" w:hAnsi="Garamond"/>
          <w:lang w:val="en-US"/>
        </w:rPr>
        <w:lastRenderedPageBreak/>
        <w:t>sich doch deren Ausgestaltung in vielen Punkten von der ärztlichen Anregung benommen hat, wie von einer gewissen Phase der Behandlung an alles auf sie hin zu konvergieren schien, und wie nun in der Synthese die verschiedensten merkwürdigen Erfolge von ihr ausstrahlen, wie die großen und die kleinsten Probleme und Sonderbarkeiten der Krankengeschichte ihre Lösung in der einen Annahme fänden, und wird geltend machen, daß er sich nicht den Scharfsinn zutraut, eine Begebenheit auszuhecken, welche alle diese Ansprüche in einem erfüllen kann. Aber auch dieses Plädoyer wird nicht auf den anderen Teil wirken, der die Analyse nicht selbst erlebt hat. Raffinierte Selbsttäuschung – wird es von der einen Seite lauten, Stumpfheit der Beurteilung – von der anderen; eine Entscheidung wird nicht zu fällen sein.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Wenden wir uns zu einem anderen Moment, welches die gegnerische Auffassung der konstruierten Infantilszenen unterstützt. Es ist folgendes: Alle die Prozesse, welche zur Aufklärung dieser fraglichen Bildungen als Phantasien herangezogen worden sind, bestehen wirklich und sind als bedeutungsvoll anzuerkennen. Die Abwendung des Interesses von den Aufgaben des realen Lebens </w:t>
      </w:r>
      <w:hyperlink r:id="rId1276"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 xml:space="preserve">Ich ziehe aus guten Gründen vor zu sagen: Die Abwendung der </w:t>
        </w:r>
        <w:r w:rsidRPr="005C3C9A">
          <w:rPr>
            <w:rStyle w:val="innerfusslink"/>
            <w:rFonts w:ascii="Garamond" w:hAnsi="Garamond"/>
            <w:i/>
            <w:iCs/>
            <w:color w:val="0000FF"/>
            <w:u w:val="single"/>
            <w:lang w:val="en-US"/>
          </w:rPr>
          <w:t>Libido</w:t>
        </w:r>
        <w:r w:rsidRPr="005C3C9A">
          <w:rPr>
            <w:rStyle w:val="innerfusslink"/>
            <w:rFonts w:ascii="Garamond" w:hAnsi="Garamond"/>
            <w:color w:val="0000FF"/>
            <w:u w:val="single"/>
            <w:lang w:val="en-US"/>
          </w:rPr>
          <w:t xml:space="preserve"> von den aktuellen </w:t>
        </w:r>
        <w:r w:rsidRPr="005C3C9A">
          <w:rPr>
            <w:rStyle w:val="innerfusslink"/>
            <w:rFonts w:ascii="Garamond" w:hAnsi="Garamond"/>
            <w:i/>
            <w:iCs/>
            <w:color w:val="0000FF"/>
            <w:u w:val="single"/>
            <w:lang w:val="en-US"/>
          </w:rPr>
          <w:t>Konflikten</w:t>
        </w:r>
        <w:r w:rsidRPr="005C3C9A">
          <w:rPr>
            <w:rStyle w:val="innerfusslink"/>
            <w:rFonts w:ascii="Garamond" w:hAnsi="Garamond"/>
            <w:color w:val="0000FF"/>
            <w:u w:val="single"/>
            <w:lang w:val="en-US"/>
          </w:rPr>
          <w:t>.</w:t>
        </w:r>
      </w:hyperlink>
      <w:r w:rsidRPr="005C3C9A">
        <w:rPr>
          <w:rFonts w:ascii="Garamond" w:hAnsi="Garamond"/>
          <w:lang w:val="en-US"/>
        </w:rPr>
        <w:t>, die Existenz von Phantasien als Ersatzbildungen für die unterlassenen Aktionen, die regressive Tendenz, die sich in diesen Schöpfungen ausspricht – regressiv in mehr als einem Sinne, insofern gleichzeitig ein Zurückweichen vor dem Leben und ein Zurückgreifen auf die Vergangenheit eintritt –, all das trifft zu und läßt sich regelmäßig durch die Analyse bestätigen. Man sollte meinen, es würde auch hinreichen, die in Rede stehenden angeblichen frühinfantilen Reminiszenzen aufzuklären, und diese Erklärung hätte nach den ökonomischen Prinzipien der Wissenschaft das Vorrecht vor einer anderen, die ohne neue und befremdliche Annahmen nicht ausreichen kann.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gestatte mir, an dieser Stelle darauf aufmerksam zu machen, daß die Widersprüche in der heutigen psychoanalytischen Literatur gewöhnlich nach dem Prinzip des </w:t>
      </w:r>
      <w:r w:rsidRPr="005C3C9A">
        <w:rPr>
          <w:rFonts w:ascii="Garamond" w:hAnsi="Garamond"/>
          <w:i/>
          <w:iCs/>
          <w:lang w:val="en-US"/>
        </w:rPr>
        <w:t>pars pro toto</w:t>
      </w:r>
      <w:r w:rsidRPr="005C3C9A">
        <w:rPr>
          <w:rFonts w:ascii="Garamond" w:hAnsi="Garamond"/>
          <w:lang w:val="en-US"/>
        </w:rPr>
        <w:t xml:space="preserve"> angefertigt werden. Man greift aus einem hoch zusammengesetzten Ensemble einen Anteil der wirksamen Faktoren heraus, proklamiert diesen als die Wahrheit und widerspricht nun zu dessen Gunsten dem anderen Anteil und dem Ganzen. Sieht man etwa näher zu, welcher Gruppe dieser Vorzug zugefallen ist, so findet man, es ist die, welche das bereits anderswoher Bekannte enthält oder sich am ehesten ihm anschließt. So bei Jung die Aktualität und die Regression, bei Adler die egoistischen Motive. Zurückgelassen, als Irrtum verworfen, wird aber gerade das, was an der Psychoanalyse neu ist und ihr eigentümlich zukommt. Auf diesem Wege lassen sich die revolutionären Vorstöße der unbequemen Psychoanalyse am leichtesten zurückweisen.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Es ist nicht überflüssig hervorzuheben, daß keines der Momente, welche die gegnerische Auffassung zum Verständnis der Kindheitsszenen heranzieht, von Jung als Neuheit gelehrt zu werden brauchte. Der aktuelle Konflikt, die Abwendung von der Realität, die Ersatzbefriedigung in der Phantasie, die Regression auf Material der Vergangenheit, dies alles hat, und zwar in der nämlichen Zusammenfügung, vielleicht mit geringer Abänderung der Terminologie, von jeher einen integrierenden Bestandteil meiner eigenen Lehre gebildet. Es war nicht das Ganze derselben, nur der Anteil der Verursachung, der von der Realität her zur Neurosenbildung in regressiver Richtung einwirkt. Ich habe daneben noch Raum gelassen für einen zweiten progredienten Einfluß, der von den Kindheitseindrücken her wirkt, der vom Leben zurückweichenden Libido den Weg weist und die sonst unerklärliche Regression auf die Kindheit verstehen läßt. So wirken die beiden Momente nach meiner Auffassung bei der Symptombildung zusammen, aber ein früheres Zusammenwirken scheint mir ebenso bedeutungsvoll. Ich behaupte, daß </w:t>
      </w:r>
      <w:r w:rsidRPr="005C3C9A">
        <w:rPr>
          <w:rFonts w:ascii="Garamond" w:hAnsi="Garamond"/>
          <w:i/>
          <w:iCs/>
          <w:lang w:val="en-US"/>
        </w:rPr>
        <w:t>der Kindheitseinfluß sich bereits in der Anfangssituation der Neurosenbildung fühlbar macht, indem er in entscheidender Weise mitbestimmt, ob und an welcher Stelle das Individuum in der Bewältigung der realen Probleme des Lebens versagt</w:t>
      </w:r>
      <w:r w:rsidRPr="005C3C9A">
        <w:rPr>
          <w:rFonts w:ascii="Garamond" w:hAnsi="Garamond"/>
          <w:lang w:val="en-US"/>
        </w:rPr>
        <w:t>.</w:t>
      </w:r>
    </w:p>
    <w:p w:rsidR="00822836" w:rsidRPr="005C3C9A" w:rsidRDefault="00822836" w:rsidP="00822836">
      <w:pPr>
        <w:pStyle w:val="Sansinterligne"/>
        <w:rPr>
          <w:rFonts w:ascii="Garamond" w:hAnsi="Garamond"/>
          <w:lang w:val="en-US"/>
        </w:rPr>
      </w:pPr>
      <w:r w:rsidRPr="005C3C9A">
        <w:rPr>
          <w:rFonts w:ascii="Garamond" w:hAnsi="Garamond"/>
          <w:lang w:val="en-US"/>
        </w:rPr>
        <w:t>Im Streit steht also die Bedeutung des infantilen Moments. Die Aufgabe geht dahin, einen Fall zu finden, der diese Bedeutung, jedem Zweifel entzogen, erweisen kann. Ein solcher ist aber der Krankheitsfall, den wir hier so ausführlich behandeln, der durch den Charakter ausgezeichnet ist, daß der Neurose im späteren Leben eine Neurose in frühen Jahren der Kindheit vorhergeht. Gerade darum habe ich ja diesen Fall zur Mitteilung gewählt. Sollte jemand ihn etwa darum ablehnen wollen, weil ihm die Tierphobie nicht wichtig genug erscheint, um als selbständige Neurose anerkannt zu werden, so will ich ihn darauf verweisen, daß ohne Intervall an diese Phobie ein Zwangszeremoniell, Zwangshandlungen und Gedanken anschließen, von denen in den folgenden Abschnitten dieser Schrift die Rede sein wird.</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Eine neurotische Erkrankung im vierten oder fünften Jahr der Kindheit beweist vor allem, daß die infantilen Erlebnisse für sich allein imstande sind, eine Neurose zu produzieren, ohne daß es dazu der Flucht vor einer im Leben gestellten Aufgabe bedürfte. Man wird einwenden, daß auch an das Kind unausgesetzt Aufgaben herantreten, denen es sich vielleicht entziehen möchte. Das ist richtig, aber das Leben eines Kindes vor der Schulzeit ist leicht zu übersehen, man kann ja untersuchen, ob sich eine die Verursachung der Neurose bestimmende »Aufgabe« darin findet. Man entdeckt aber nichts anderes als </w:t>
      </w:r>
      <w:r w:rsidRPr="005C3C9A">
        <w:rPr>
          <w:rFonts w:ascii="Garamond" w:hAnsi="Garamond"/>
          <w:lang w:val="en-US"/>
        </w:rPr>
        <w:lastRenderedPageBreak/>
        <w:t>Triebregungen, deren Befriedigung dem Kind unmöglich, deren Bewältigung es nicht gewachsen ist, und die Quellen, aus denen diese fließen.</w:t>
      </w:r>
    </w:p>
    <w:p w:rsidR="00822836" w:rsidRPr="005C3C9A" w:rsidRDefault="00822836" w:rsidP="00822836">
      <w:pPr>
        <w:pStyle w:val="Sansinterligne"/>
        <w:rPr>
          <w:rFonts w:ascii="Garamond" w:hAnsi="Garamond"/>
          <w:lang w:val="en-US"/>
        </w:rPr>
      </w:pPr>
      <w:r w:rsidRPr="005C3C9A">
        <w:rPr>
          <w:rFonts w:ascii="Garamond" w:hAnsi="Garamond"/>
          <w:lang w:val="en-US"/>
        </w:rPr>
        <w:t>Die enorme Verkürzung des Intervalls zwischen dem Ausbruch der Neurose und der Zeit der in Rede stehenden Kindheitserlebnisse läßt, wie zu erwarten stand, das regressive Stück der Verursachung aufs äußerste einschrumpfen und bringt den progredienten Anteil derselben, den Einfluß früherer Eindrücke, unverdeckt zum Vorschein. Von diesem Verhältnis wird diese Krankengeschichte, wie ich hoffe, ein deutliches Bild geben. Auf die Frage nach der Natur der Urszenen oder frühesten in der Analyse eruierten Kindheitserlebnisse gibt die Kindheitsneurose noch aus anderen Gründen eine entscheidende Antwort.</w:t>
      </w:r>
    </w:p>
    <w:p w:rsidR="00822836" w:rsidRPr="005C3C9A" w:rsidRDefault="00822836" w:rsidP="00822836">
      <w:pPr>
        <w:pStyle w:val="Sansinterligne"/>
        <w:rPr>
          <w:rFonts w:ascii="Garamond" w:hAnsi="Garamond"/>
          <w:lang w:val="en-US"/>
        </w:rPr>
      </w:pPr>
      <w:r w:rsidRPr="005C3C9A">
        <w:rPr>
          <w:rFonts w:ascii="Garamond" w:hAnsi="Garamond"/>
          <w:lang w:val="en-US"/>
        </w:rPr>
        <w:t>Nehmen wir als unwidersprochene Voraussetzung an, daß eine solche Urszene technisch richtig entwickelt worden sei, daß sie unerläßlich sei zur zusammenfassenden Lösung aller Rätsel, welche uns die Symptomatik der Kindheitserkrankung aufgibt, daß alle Wirkungen von ihr ausstrahlen, wie alle Fäden der Analyse zu ihr hingeführt haben, so ist es mit Rücksicht auf ihren Inhalt unmöglich, daß sie etwas anderes sei als die Reproduktion einer vom Kinde erlebten Realität. Denn das Kind kann wie auch der Erwachsene Phantasien nur produzieren mit irgendwo erworbenem Material; die Wege dieser Erwerbung sind dem Kinde zum Teil (wie die Lektüre) verschlossen, der für die Erwerbung zu Gebote stehende Zeitraum ist kurz und leicht nach solchen Quellen zu durchforschen.</w:t>
      </w:r>
    </w:p>
    <w:p w:rsidR="00822836" w:rsidRPr="005C3C9A" w:rsidRDefault="00822836" w:rsidP="00822836">
      <w:pPr>
        <w:pStyle w:val="Sansinterligne"/>
        <w:rPr>
          <w:rFonts w:ascii="Garamond" w:hAnsi="Garamond"/>
          <w:lang w:val="en-US"/>
        </w:rPr>
      </w:pPr>
      <w:r w:rsidRPr="005C3C9A">
        <w:rPr>
          <w:rFonts w:ascii="Garamond" w:hAnsi="Garamond"/>
          <w:lang w:val="en-US"/>
        </w:rPr>
        <w:t>In unserem Falle enthält die Urszene das Bild des geschlechtlichen Verkehrs zwischen den Eltern in einer für gewisse Beobachtungen besonders günstigen Stellung. Es würde nun gar nichts für die Realität dieser Szene beweisen, wenn wir sie bei einem Kranken fänden, dessen Symptome, also die Wirkungen der Szene, irgendwann in seinem späteren Leben hervorgetreten wären. Ein solcher kann zu den verschiedensten Zeitpunkten des langen Intervalls die Eindrücke, Vorstellungen und Kenntnisse erworben haben, die er dann in ein Phantasiebild verwandelt, in seine Kindheit zurückprojiziert und an seine Eltern heftet. Aber wenn die Wirkungen einer solchen Szene im vierten und fünften Lebensjahr hervortreten, so muß das Kind diese Szene in noch früherem Alter mitangesehen haben. Dann bleiben aber alle die befremdenden Folgerungen aufrecht, die sich uns aus der Analyse der infantilen Neurose ergeben haben. Es sei denn, es wolle jemand annehmen, der Patient habe nicht nur diese Urszene unbewußt phantasiert, sondern ebenso seine Charakterveränderung, seine Wolfsangst und seinen religiösen Zwang konfabuliert, welcher Auskunft aber sein sonstiges nüchternes Wesen und die direkte Tradition in seiner Familie widersprechen würde. Es muß also dabei bleiben – ich sehe keine andere Möglichkeit –, entweder ist die von seiner Kindheitsneurose ausgehende Analyse überhaupt ein Wahnwitz, oder es ist alles so richtig, wie ich es oben dargestellt habe.</w:t>
      </w:r>
    </w:p>
    <w:p w:rsidR="00822836" w:rsidRPr="005C3C9A" w:rsidRDefault="00822836" w:rsidP="00822836">
      <w:pPr>
        <w:pStyle w:val="Sansinterligne"/>
        <w:rPr>
          <w:rFonts w:ascii="Garamond" w:hAnsi="Garamond"/>
          <w:lang w:val="en-US"/>
        </w:rPr>
      </w:pPr>
      <w:r w:rsidRPr="005C3C9A">
        <w:rPr>
          <w:rFonts w:ascii="Garamond" w:hAnsi="Garamond"/>
          <w:lang w:val="en-US"/>
        </w:rPr>
        <w:t>Wir haben an einer früheren Stelle auch an der Zweideutigkeit Anstoß genommen, daß des Patienten Vorliebe für die weiblichen Nates und für den Koitus in derjenigen Stellung, bei der diese besonders hervortreten, eine Ableitung von dem beobachteten Koitus der Eltern zu fordern schien, während doch solche Bevorzugung ein allgemeiner Zug der zur Zwangsneurose disponierten archaischen Konstitutionen ist. Hier bietet sich eine naheliegende Auskunft, die den Widerspruch als Überdeterminierung löst. Die Person, an welcher er diese Position beim Koitus beobachtet, war doch sein leiblicher Vater, von dem er diese konstitutionelle Vorliebe auch ererbt haben konnte. Weder die spätere Krankheit des Vaters noch die Familiengeschichte sprechen dagegen; ein Vatersbruder ist, wie bereits erwähnt, in einem Zustand gestorben, der als Ausgang eines schweren Zwangsleidens aufgefaßt werden muß.</w:t>
      </w:r>
    </w:p>
    <w:p w:rsidR="00822836" w:rsidRPr="005C3C9A" w:rsidRDefault="00822836" w:rsidP="00822836">
      <w:pPr>
        <w:pStyle w:val="Sansinterligne"/>
        <w:rPr>
          <w:rFonts w:ascii="Garamond" w:hAnsi="Garamond"/>
        </w:rPr>
      </w:pPr>
      <w:r w:rsidRPr="005C3C9A">
        <w:rPr>
          <w:rFonts w:ascii="Garamond" w:hAnsi="Garamond"/>
          <w:lang w:val="en-US"/>
        </w:rPr>
        <w:t xml:space="preserve">Wir erinnern uns in diesem Zusammenhange, daß die Schwester bei der Verführung des 3¼ jährigen Knaben gegen die brave alte Kinderfrau die sonderbare Verleumdung ausgesprochen, sie stelle alle Leute auf den Kopf und greife ihnen dann an die Genitalien (S. 140). Es mußte sich uns da die Idee aufdrängen, daß vielleicht auch die Schwester in ähnlich zartem Alter dieselbe Szene mitangesehen wie später der Bruder und sich daher die Anregung für das Auf-den-Kopf-Stellen beim sexuellen Akt geholt hätte. </w:t>
      </w:r>
      <w:r w:rsidRPr="005C3C9A">
        <w:rPr>
          <w:rFonts w:ascii="Garamond" w:hAnsi="Garamond"/>
        </w:rPr>
        <w:t>Diese Annahme brächte auch einen Hinweis auf eine Quelle ihrer eigenen sexuellen Voreiligkeit.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hatte ursprünglich nicht die Absicht, die Diskussion über den Realwert der »Urszenen« an dieser Stelle weiter zu führen, aber da ich unterdes veranlaßt worden bin, dieses Thema in meinen </w:t>
      </w:r>
      <w:r w:rsidRPr="005C3C9A">
        <w:rPr>
          <w:rFonts w:ascii="Garamond" w:hAnsi="Garamond"/>
          <w:i/>
          <w:iCs/>
          <w:lang w:val="en-US"/>
        </w:rPr>
        <w:t>Vorlesungen zur Einführung in die Psychoanalyse</w:t>
      </w:r>
      <w:r w:rsidRPr="005C3C9A">
        <w:rPr>
          <w:rFonts w:ascii="Garamond" w:hAnsi="Garamond"/>
          <w:lang w:val="en-US"/>
        </w:rPr>
        <w:t xml:space="preserve"> in breiterem Zusammenhange und nicht mehr in polemischer Absicht zu behandeln, so wäre es irreführend, wollte ich die Anwendung der dort bestimmenden Gesichtspunkte auf den uns hier vorliegenden Fall unterlassen. Ich setze also ergänzend und berichtigend fort: Es ist doch noch eine andere Auffassung der dem Traume zugrunde liegenden Urszene möglich, welche die vorhin getroffene Entscheidung um ein gutes Stück ablenkt und uns mancher Schwierigkeiten überhebt. Die Lehre, welche die Infantilszenen zu regressiven Symbolen herabdrücken will, wird zwar auch bei dieser Modifikation nichts gewinnen; sie scheint mir überhaupt durch diese – wie durch jede andere – Analyse einer Kinderneurose endgültig erledigt.</w:t>
      </w:r>
    </w:p>
    <w:p w:rsidR="00822836" w:rsidRPr="005C3C9A" w:rsidRDefault="00822836" w:rsidP="00822836">
      <w:pPr>
        <w:pStyle w:val="Sansinterligne"/>
        <w:rPr>
          <w:rFonts w:ascii="Garamond" w:hAnsi="Garamond"/>
          <w:lang w:val="en-US"/>
        </w:rPr>
      </w:pPr>
      <w:r w:rsidRPr="005C3C9A">
        <w:rPr>
          <w:rFonts w:ascii="Garamond" w:hAnsi="Garamond"/>
          <w:lang w:val="en-US"/>
        </w:rPr>
        <w:lastRenderedPageBreak/>
        <w:t xml:space="preserve">Ich meine nämlich, man kann sich den Sachverhalt auch in folgender Art zurechtlegen. Auf die Annahme, daß das Kind einen Koitus beobachtet, durch dessen Anblick es die Überzeugung gewonnen, daß die Kastration mehr sein könne als eine leere Drohung, können wir nicht verzichten; auch läßt uns die Bedeutung, welche späterhin den Stellungen von Mann und Weib für die Angstentwicklung und als Liebesbedingung zukommt, keine andere Wahl, als zu schließen, es müsse ein </w:t>
      </w:r>
      <w:r w:rsidRPr="005C3C9A">
        <w:rPr>
          <w:rFonts w:ascii="Garamond" w:hAnsi="Garamond"/>
          <w:i/>
          <w:iCs/>
          <w:lang w:val="en-US"/>
        </w:rPr>
        <w:t>coitus a tergo, more ferarum</w:t>
      </w:r>
      <w:r w:rsidRPr="005C3C9A">
        <w:rPr>
          <w:rFonts w:ascii="Garamond" w:hAnsi="Garamond"/>
          <w:lang w:val="en-US"/>
        </w:rPr>
        <w:t>, gewesen sein. Aber ein anderes Moment ist nicht so unersetzlich und mag fallengelassen werden. Es war vielleicht nicht ein Koitus der Eltern, sondern ein Tierkoitus, den das Kind beobachtet und dann auf die Eltern geschoben, als ob es erschlossen hätte, die Eltern machten es auch nicht anders.</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Dieser Auffassung kommt vor allem zugute, daß die Wölfe des Traumes ja eigentlich Schäferhunde sind und auch in der Zeichnung als solche erscheinen. Kurz vor dem Traum war der Knabe wiederholt zu den Schafherden mitgenommen worden, wo er solche große weiße Hunde sehen und sie wahrscheinlich auch beim Koitus beobachten konnte. Ich möchte auch die Dreizahl, die der Träumer ohne jede weitere Motivierung hinstellte, hieher beziehen und annehmen, es sei ihm im Gedächtnis geblieben, daß er drei solcher Beobachtungen an den Schäferhunden gemacht. Was in der erwartungsvollen Erregtheit seiner Traumnacht hinzukam, war dann die Übertragung des kürzlich gewonnenen Erinnerungsbildes mit </w:t>
      </w:r>
      <w:r w:rsidRPr="005C3C9A">
        <w:rPr>
          <w:rFonts w:ascii="Garamond" w:hAnsi="Garamond"/>
          <w:i/>
          <w:iCs/>
          <w:lang w:val="en-US"/>
        </w:rPr>
        <w:t>allen</w:t>
      </w:r>
      <w:r w:rsidRPr="005C3C9A">
        <w:rPr>
          <w:rFonts w:ascii="Garamond" w:hAnsi="Garamond"/>
          <w:lang w:val="en-US"/>
        </w:rPr>
        <w:t xml:space="preserve"> seinen Einzelheiten auf die Eltern, wodurch aber erst jene mächtigen Affektwirkungen ermöglicht wurden. Es gab jetzt ein nachträgliches Verständnis jener vielleicht vor wenigen Wochen oder Monaten empfangenen Eindrücke, ein Vorgang, wie ihn vielleicht jeder von uns an sich selbst erlebt haben mag. Die Übertragung von den koitierenden Hunden auf die Eltern vollzog sich nun nicht mittels eines an Worte gebundenen Schlußverfahrens, sondern indem eine reale Szene vom Beisammensein der Eltern in der Erinnerung aufgesucht wurde, welche sich mit der Koitussituation verschmelzen ließ. Alle in der Traumanalyse behaupteten Details der Szene mochten genau reproduziert sein. Es war wirklich an einem Sommernachmittag, während das Kind an Malaria litt, die Eltern waren in weißer Kleidung beide anwesend, als das Kind aus seinem Schlaf erwachte, aber – die Szene war harmlos. Das Übrige hatte der spätere Wunsch des Wißbegierigen, auch die Eltern bei ihrem Liebesverkehr zu belauschen, auf Grund seiner Erfahrungen an den Hunden hinzugefügt, und nun entfaltete die so phantasierte Szene alle die Wirkungen, die wir ihr nachgesagt haben, die nämlichen, als ob sie durchaus real gewesen und nicht aus zwei Bestandteilen, einem früheren indifferenten und einem späteren, höchst eindrucksvollen, zusammengekleistert worden wäre.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Es ist sofort ersichtlich, um wieviel das Maß der uns zugemuteten Glaubensleistung erleichtert wird. Wir brauchen nicht mehr anzunehmen, daß die Eltern den Koitus in Gegenwart des, wenn auch sehr jugendlichen, Kindes vollzogen haben, was für viele von uns eine unliebsame Vorstellung ist. Der Betrag der Nachträglichkeit wird sehr herabgesetzt; sie bezieht sich jetzt nur auf einige Monate des vierten Lebensjahres und greift überhaupt nicht in die dunklen ersten Kindheitsjahre zurück. An dem Verhalten des Kindes, welches von den Hunden auf die Eltern überträgt und sich vor dem Wolf anstatt vor dem Vater fürchtet, bleibt kaum etwas Befremdliches. Es befindet sich ja in der Entwicklungsphase seiner Weltanschauung, die in </w:t>
      </w:r>
      <w:r w:rsidRPr="005C3C9A">
        <w:rPr>
          <w:rFonts w:ascii="Garamond" w:hAnsi="Garamond"/>
          <w:i/>
          <w:iCs/>
          <w:lang w:val="en-US"/>
        </w:rPr>
        <w:t>Totem und Tabu</w:t>
      </w:r>
      <w:r w:rsidRPr="005C3C9A">
        <w:rPr>
          <w:rFonts w:ascii="Garamond" w:hAnsi="Garamond"/>
          <w:lang w:val="en-US"/>
        </w:rPr>
        <w:t xml:space="preserve"> als die Wiederkehr des Totemismus gekennzeichnet worden ist. Die Lehre, welche die Urszenen der Neurosen durch Zurückphantasieren aus späteren Zeiten aufklären will, scheint in unserer Beobachtung trotz des zarten Alters von vier Jahren bei unserem Neurotiker eine starke Unterstützung zu finden. So jung er ist, so hat er es doch zustande gebracht, einen Eindruck aus dem vierten Jahr durch ein phantasiertes Trauma mit l½ Jahren zu ersetzen; diese Regression erscheint aber weder rätselhaft noch tendenziös. Die Szene, die herzustellen war, mußte gewisse Bedingungen erfüllen, welche infolge der Lebensumstände des Träumers gerade nur in dieser frühen Zeit zu finden waren, wie z. B. die eine, daß er sich im Schlafzimmer der Eltern im Bette befand.</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Für die Richtigkeit der hier vorgeschlagenen Auffassung wird es aber den meisten Lesern geradezu entscheidend scheinen, was ich aus den analytischen Ergebnissen an anderen Fällen hinzugeben kann. Die Szene einer Beobachtung des Sexualverkehrs der Eltern in sehr früher Kindheit – sei sie nun reale Erinnerung oder Phantasie – ist in den Analysen neurotischer Menschenkinder wahrlich keine Seltenheit. Vielleicht findet sie sich ebenso häufig bei den nicht neurotisch Gewordenen. Vielleicht gehört sie zum regelmäßigen Bestand ihres – bewußten oder unbewußten – Erinnerungsschatzes. So oft ich aber eine solche Szene durch Analyse entwickeln konnte, zeigte sie dieselbe Eigentümlichkeit, die uns auch bei unserem Patienten stutzig machte, sie bezog sich auf den </w:t>
      </w:r>
      <w:r w:rsidRPr="005C3C9A">
        <w:rPr>
          <w:rFonts w:ascii="Garamond" w:hAnsi="Garamond"/>
          <w:i/>
          <w:iCs/>
          <w:lang w:val="en-US"/>
        </w:rPr>
        <w:t>coitus a tergo</w:t>
      </w:r>
      <w:r w:rsidRPr="005C3C9A">
        <w:rPr>
          <w:rFonts w:ascii="Garamond" w:hAnsi="Garamond"/>
          <w:lang w:val="en-US"/>
        </w:rPr>
        <w:t xml:space="preserve">, der allein dem Zuschauer die Inspektion der Genitalien ermöglicht. Da braucht man wohl nicht länger zu bezweifeln, daß es sich nur um eine Phantasie handelt, die vielleicht regelmäßig durch die Beobachtung des tierischen Sexualverkehrs angeregt wird. Ja noch mehr; ich habe angedeutet, daß meine Darstellung der »Urszene« unvollständig </w:t>
      </w:r>
      <w:r w:rsidRPr="005C3C9A">
        <w:rPr>
          <w:rFonts w:ascii="Garamond" w:hAnsi="Garamond"/>
          <w:lang w:val="en-US"/>
        </w:rPr>
        <w:lastRenderedPageBreak/>
        <w:t>geblieben ist, indem ich mir für später aufsparte mitzuteilen, auf welche Weise das Kind den Verkehr der Eltern stört. Ich muß jetzt hinzufügen, daß auch die Art dieser Störung in allen Fällen die nämliche ist.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kann mir denken, daß ich mich jetzt schweren Verdächtigungen von Seiten der Leser dieser Krankengeschichte ausgesetzt habe. Wenn mir diese Argumente zu Gunsten einer solchen Auffassung der »Urszene« zu Gebote standen, wie könnte ich es überhaupt verantworten, zuerst eine so absurd erscheinende andere zu vertreten? Oder sollte ich im Intervall zwischen der ersten Niederschrift der Krankengeschichte und diesem Zusatz jene neuen Erfahrungen gemacht haben, die mich zur Abänderung meiner anfänglichen Auffassung genötigt haben, und wollte dies aus irgendwelchen Motiven nicht eingestehen? Ich gestehe dafür etwas anderes ein: daß ich die Absicht habe, die Diskussion über den Realwert der Urszene diesmal mit einem </w:t>
      </w:r>
      <w:r w:rsidRPr="005C3C9A">
        <w:rPr>
          <w:rFonts w:ascii="Garamond" w:hAnsi="Garamond"/>
          <w:i/>
          <w:iCs/>
          <w:lang w:val="en-US"/>
        </w:rPr>
        <w:t>non liquet</w:t>
      </w:r>
      <w:r w:rsidRPr="005C3C9A">
        <w:rPr>
          <w:rFonts w:ascii="Garamond" w:hAnsi="Garamond"/>
          <w:lang w:val="en-US"/>
        </w:rPr>
        <w:t xml:space="preserve"> zu beschließen. Diese Krankengeschichte ist noch nicht zu Ende; in ihrem weiteren Verlauf wird ein Moment auftauchen, welches die Sicherheit stört, deren wir uns jetzt zu erfreuen glauben. Dann wird wohl nichts anderes übrig bleiben als der Verweis auf die Stellen in meinen </w:t>
      </w:r>
      <w:r w:rsidRPr="005C3C9A">
        <w:rPr>
          <w:rFonts w:ascii="Garamond" w:hAnsi="Garamond"/>
          <w:i/>
          <w:iCs/>
          <w:lang w:val="en-US"/>
        </w:rPr>
        <w:t>Vorlesungen</w:t>
      </w:r>
      <w:r w:rsidRPr="005C3C9A">
        <w:rPr>
          <w:rFonts w:ascii="Garamond" w:hAnsi="Garamond"/>
          <w:lang w:val="en-US"/>
        </w:rPr>
        <w:t>, in denen ich das Problem der Urphantasien oder Urszenen behandelt habe.]</w:t>
      </w:r>
    </w:p>
    <w:p w:rsidR="00822836" w:rsidRDefault="00822836" w:rsidP="00822836">
      <w:pPr>
        <w:pStyle w:val="Sansinterligne"/>
        <w:rPr>
          <w:rFonts w:ascii="Garamond" w:hAnsi="Garamond"/>
          <w:lang w:val="en-US"/>
        </w:rPr>
      </w:pPr>
    </w:p>
    <w:p w:rsidR="00822836" w:rsidRDefault="00822836" w:rsidP="00822836">
      <w:pPr>
        <w:rPr>
          <w:rFonts w:ascii="Garamond" w:hAnsi="Garamond"/>
          <w:lang w:val="en-US"/>
        </w:rPr>
      </w:pPr>
      <w:r>
        <w:rPr>
          <w:rFonts w:ascii="Garamond" w:hAnsi="Garamond"/>
          <w:lang w:val="en-US"/>
        </w:rPr>
        <w:br w:type="page"/>
      </w:r>
    </w:p>
    <w:p w:rsidR="00822836" w:rsidRPr="00244833" w:rsidRDefault="00B437A1" w:rsidP="00822836">
      <w:pPr>
        <w:pStyle w:val="Sansinterligne"/>
        <w:rPr>
          <w:rFonts w:ascii="Garamond" w:hAnsi="Garamond"/>
          <w:b/>
          <w:lang w:val="en-US"/>
        </w:rPr>
      </w:pPr>
      <w:hyperlink w:anchor="WolfmanInhalt" w:history="1">
        <w:r w:rsidR="00822836" w:rsidRPr="00244833">
          <w:rPr>
            <w:rStyle w:val="Lienhypertexte"/>
            <w:rFonts w:ascii="Garamond" w:hAnsi="Garamond"/>
            <w:b/>
            <w:lang w:val="en-US"/>
          </w:rPr>
          <w:t>VI. Di</w:t>
        </w:r>
        <w:bookmarkStart w:id="236" w:name="Wolfman6"/>
        <w:bookmarkEnd w:id="236"/>
        <w:r w:rsidR="00822836" w:rsidRPr="00244833">
          <w:rPr>
            <w:rStyle w:val="Lienhypertexte"/>
            <w:rFonts w:ascii="Garamond" w:hAnsi="Garamond"/>
            <w:b/>
            <w:lang w:val="en-US"/>
          </w:rPr>
          <w:t>e Zwangsneurose</w:t>
        </w:r>
      </w:hyperlink>
    </w:p>
    <w:p w:rsidR="00822836" w:rsidRDefault="00822836" w:rsidP="00822836">
      <w:pPr>
        <w:pStyle w:val="Sansinterligne"/>
        <w:rPr>
          <w:rFonts w:ascii="Garamond" w:hAnsi="Garamond"/>
          <w:lang w:val="en-US"/>
        </w:rPr>
      </w:pPr>
    </w:p>
    <w:p w:rsidR="00822836" w:rsidRPr="005C3C9A" w:rsidRDefault="00822836" w:rsidP="00822836">
      <w:pPr>
        <w:pStyle w:val="Sansinterligne"/>
        <w:rPr>
          <w:rFonts w:ascii="Garamond" w:hAnsi="Garamond"/>
          <w:lang w:val="en-US"/>
        </w:rPr>
      </w:pPr>
      <w:r w:rsidRPr="005C3C9A">
        <w:rPr>
          <w:rFonts w:ascii="Garamond" w:hAnsi="Garamond"/>
          <w:lang w:val="en-US"/>
        </w:rPr>
        <w:t>Zum dritten Mal erfuhr er nun eine Beeinflussung, die seine Entwicklung in entscheidender Weise abänderte. Als er 4½ Jahre alt war und sein Zustand von Reizbarkeit und Ängstlichkeit sich noch immer nicht gebessert hatte, entschloß sich die Mutter ihn mit der biblischen Geschichte bekannt zu machen, in der Hoffnung, ihn so abzulenken und zu erheben. Es gelang ihr auch, die Einführung der Religion machte der bisherigen Phase ein Ende, brachte aber eine Ablösung der Angstsymptome durch Zwangssymptome mit sich. Er hatte bisher nicht leicht einschlafen können, weil er fürchtete, ähnlich schlechte Dinge zu träumen wie in jener Nacht vor Weihnachten: er mußte jetzt vor dem Zubettgehen alle Heiligenbilder im Zimmer küssen, Gebete hersagen und ungezählte Kreuze über seine Person und sein Lager schlagen.</w:t>
      </w:r>
    </w:p>
    <w:p w:rsidR="00822836" w:rsidRPr="005C3C9A" w:rsidRDefault="00822836" w:rsidP="00822836">
      <w:pPr>
        <w:pStyle w:val="Sansinterligne"/>
        <w:rPr>
          <w:rFonts w:ascii="Garamond" w:hAnsi="Garamond"/>
          <w:lang w:val="en-US"/>
        </w:rPr>
      </w:pPr>
      <w:r w:rsidRPr="005C3C9A">
        <w:rPr>
          <w:rFonts w:ascii="Garamond" w:hAnsi="Garamond"/>
          <w:lang w:val="en-US"/>
        </w:rPr>
        <w:t>Seine Kindheit gliedert sich uns nun übersichtlich in folgende Epochen: erstens die Vorzeit bis zur Verführung (3¼ J.), in welche die Urszene fällt, zweitens die Zeit der Charakterveränderung bis zum Angsttraum (4 J.), drittens die Tierphobie bis zur Einführung in die Religion (4½ J.), und von da an die der Zwangsneurose bis nach dem zehnten Jahr. Eine momentane und glatte Ersetzung einer Phase durch die nächstfolgende liegt weder in der Natur der Verhältnisse, noch in der unseres Patienten, für den im Gegenteil die Erhaltung alles Vorangegangenen und die Koexistenz der verschiedenartigsten Strömungen charakteristisch waren. Die Schlimmheit schwand nicht, als die Angst auftrat, und setzte sich langsam abnehmend in die Zeit der Frömmigkeit fort. Von der Wolfsphobie ist aber in dieser letzten Phase nicht mehr die Rede. Die Zwangsneurose verlief diskontinuierlich; der erste Anfall war der längste und intensivste, andere traten zu acht und zehn Jahren auf, jedesmal nach Veranlassungen, die in ersichtlicher Beziehung zum Inhalt der Neurose standen. Die Mutter erzählte ihm die heilige Geschichte selbst und ließ ihm außerdem durch die Nanja aus einem Buch, das mit Illustrationen geschmückt war, darüber vorlesen. Das Hauptgewicht bei der Mitteilung fiel natürlich auf die Passionsgeschichte. Die Nanja, die sehr fromm und abergläubisch war, gab ihre Erläuterungen dazu, mußte aber auch alle Einwendungen und Zweifel des kleinen Kritikers anhören. Wenn die Kämpfe, die ihn nun zu erschüttern begannen, schließlich in einen Sieg des Glaubens ausliefen, so war der Einfluß der Nanja nicht unbeteiligt daran.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Was er mir als Erinnerung von seinen Reaktionen auf die Einführung in die Religion mitteilte, traf zunächst auf meinen entschiedenen Unglauben. Das konnten, meinte ich, nicht die Gedanken eines 4½- bis 5jährigen Kindes sein; wahrscheinlich schob er in diese frühe Vergangenheit zurück, was aus dem Nachdenken des bald 30jährigen Erwachsenen entsprang </w:t>
      </w:r>
      <w:hyperlink r:id="rId1277"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Ich machte auch wiederholt den Versuch, die Geschichte des Kranken wenigstens um ein Jahr vorzuschieben, also die Verführung auf 4¼ Jahre, den Traum auf den fünften Geburtstag usw. zu verlegen. An den Intervallen war ja nichts zu gewinnen, allein der Patient blieb auch hierin unbeugsam, ohne mich übrigens vom letzten Zweifel daran befreien zu können. Für den Eindruck, den seine Geschichte macht, und alle daran geknüpften Erörterungen und Folgerungen wäre ein solcher Aufschub um ein Jahr offenbar gleichgültig.</w:t>
        </w:r>
      </w:hyperlink>
      <w:r w:rsidRPr="005C3C9A">
        <w:rPr>
          <w:rFonts w:ascii="Garamond" w:hAnsi="Garamond"/>
          <w:lang w:val="en-US"/>
        </w:rPr>
        <w:t>. Allein der Patient wollte von dieser Korrektur nichts wissen; es gelang nicht, ihn wie bei so vielen anderen Urteilsverschiedenheiten zwischen uns zu überführen; der Zusammenhang seiner erinnerten Gedanken mit seinen berichteten Symptomen sowie deren Einfügung in seine sexuelle Entwicklung nötigten mich schließlich, vielmehr ihm Glauben zu schenken. Ich sagte mir dann auch, daß gerade die Kritik gegen die Lehren der Religion, die ich dem Kinde nicht zutrauen wollte, nur von einer verschwindenden Minderzahl der Erwachsenen zustande gebracht wird.</w:t>
      </w:r>
    </w:p>
    <w:p w:rsidR="00822836" w:rsidRPr="005C3C9A" w:rsidRDefault="00822836" w:rsidP="00822836">
      <w:pPr>
        <w:pStyle w:val="Sansinterligne"/>
        <w:rPr>
          <w:rFonts w:ascii="Garamond" w:hAnsi="Garamond"/>
          <w:lang w:val="en-US"/>
        </w:rPr>
      </w:pPr>
      <w:r w:rsidRPr="005C3C9A">
        <w:rPr>
          <w:rFonts w:ascii="Garamond" w:hAnsi="Garamond"/>
          <w:lang w:val="en-US"/>
        </w:rPr>
        <w:t>Ich werde nun das Material seiner Erinnerungen vorbringen und erst dann nach einem Weg suchen, der zum Verständnis desselben führt.</w:t>
      </w:r>
    </w:p>
    <w:p w:rsidR="00822836" w:rsidRPr="005C3C9A" w:rsidRDefault="00822836" w:rsidP="00822836">
      <w:pPr>
        <w:pStyle w:val="Sansinterligne"/>
        <w:rPr>
          <w:rFonts w:ascii="Garamond" w:hAnsi="Garamond"/>
          <w:lang w:val="en-US"/>
        </w:rPr>
      </w:pPr>
      <w:r w:rsidRPr="005C3C9A">
        <w:rPr>
          <w:rFonts w:ascii="Garamond" w:hAnsi="Garamond"/>
          <w:lang w:val="en-US"/>
        </w:rPr>
        <w:t>Der Eindruck, den er von der Erzählung der heiligen Geschichte empfing, war, wie er berichtet, anfangs kein angenehmer. Er sträubte sich zuerst gegen den Leidenscharakter der Person Christi, dann gegen den ganzen Zusammenhang seiner Geschichte. Er richtete seine unzufriedene Kritik gegen Gottvater. Wenn er allmächtig sei, so sei es seine Schuld, daß die Menschen schlecht seien und andere quälen, wofür sie dann in die Hölle kommen. Er hätte sie gut machen sollen; er sei selbst verantwortlich für alles Schlechte und alle Qualen. Er nahm Anstoß an dem Gebot, die andere Wange hinzuhalten, wenn man einen Schlag auf die eine empfangen habe, daran, daß Christus am Kreuz gewünscht habe, der Kelch solle an ihm vorübergehen, aber auch daran, daß kein Wunder geschehen sei, um ihn als Gottes Sohn zu erweisen. So war also sein Scharfsinn geweckt und wußte mit unerbittlicher Strenge die Schwächen der heiligen Dichtung auszuspüren.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Zu dieser rationalistischen Kritik gesellten sich aber sehr bald Grübeleien und Zweifel, die uns die Mitarbeit geheimer Regungen verraten können. Eine der ersten Fragen, die er an die Nanja richtete, war, ob Christus auch einen Hintern gehabt habe. Die Nanja gab die Auskunft, er sei ein Gott gewesen und </w:t>
      </w:r>
      <w:r w:rsidRPr="005C3C9A">
        <w:rPr>
          <w:rFonts w:ascii="Garamond" w:hAnsi="Garamond"/>
          <w:lang w:val="en-US"/>
        </w:rPr>
        <w:lastRenderedPageBreak/>
        <w:t>auch ein Mensch. Als Mensch habe er alles gehabt und getan wie die anderen Menschen. Das befriedigte ihn nun gar nicht, aber er wußte sich selbst zu trösten, indem er sich sagte, der Hintere sei ja nur die Fortsetzung der Beine. Die kaum beschwichtigte Angst, die heilige Person erniedrigen zu müssen, flammte wieder auf, als ihm die Frage auftauchte, ob Christus auch geschissen habe. Die Frage getraute er sich nicht, der frommen Nanja vorzulegen, aber er fand selbst eine Ausflucht, die sie ihm nicht hätte besser zeigen können. Da Christus Wein aus dem Nichts gemacht, hätte er auch das Essen zu nichts machen und sich so die Defäkation ersparen können.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Wir werden uns dem Verständnis dieser Grübeleien nähern, wenn wir an ein vorhin besprochenes Stück seiner Sexualentwicklung anknüpfen. Wir wissen, daß sich sein Sexualleben seit der Zurückweisung durch die Nanja und die damit verbundene Unterdrückung der beginnenden Genitalbetätigung nach den Richtungen des Sadismus und Masochismus entwickelt hatte. </w:t>
      </w:r>
      <w:r w:rsidRPr="005C3C9A">
        <w:rPr>
          <w:rFonts w:ascii="Garamond" w:hAnsi="Garamond"/>
        </w:rPr>
        <w:t xml:space="preserve">Er quälte, mißhandelte kleine Tiere, phantasierte vom Schlagen der Pferde, anderseits vom Geschlagenwerden des Thronfolgers </w:t>
      </w:r>
      <w:hyperlink r:id="rId1278" w:history="1">
        <w:r w:rsidRPr="005C3C9A">
          <w:rPr>
            <w:rStyle w:val="Lienhypertexte"/>
            <w:rFonts w:ascii="Garamond" w:hAnsi="Garamond"/>
          </w:rPr>
          <w:t>[Fußnote]</w:t>
        </w:r>
        <w:r w:rsidRPr="005C3C9A">
          <w:rPr>
            <w:rStyle w:val="innerfusslink"/>
            <w:rFonts w:ascii="Garamond" w:hAnsi="Garamond"/>
            <w:color w:val="0000FF"/>
            <w:u w:val="single"/>
          </w:rPr>
          <w:t>Besonders von Schlägen auf den Penis (S. 145).</w:t>
        </w:r>
      </w:hyperlink>
      <w:r w:rsidRPr="005C3C9A">
        <w:rPr>
          <w:rFonts w:ascii="Garamond" w:hAnsi="Garamond"/>
        </w:rPr>
        <w:t xml:space="preserve">. </w:t>
      </w:r>
      <w:r w:rsidRPr="005C3C9A">
        <w:rPr>
          <w:rFonts w:ascii="Garamond" w:hAnsi="Garamond"/>
          <w:lang w:val="en-US"/>
        </w:rPr>
        <w:t>Im Sadismus hielt er die uralte Identifizierung mit dem Vater aufrecht, im Masochismus hatte er sich diesen zum Sexualobjekt erkoren. Er befand sich voll in einer Phase der prägenitalen Organisation, in welcher ich die Disposition zur Zwangsneurose erblicke. Durch die Einwirkung jenes Traumes, der ihn unter den Einfluß der Urszene brachte, hätte er den Fortschritt zur genitalen Organisation machen und seinen Masochismus gegen den Vater in feminine Einstellung gegen ihn, in Homosexualität, verwandeln können. Allein dieser Traum brachte den Fortschritt nicht, er ging in Angst aus. Das Verhältnis zum Vater, das von dem Sexualziel, von ihm gezüchtigt zu werden, zum nächsten Ziel hätte führen sollen, vom Vater koitiert zu werden wie ein Weib, wurde durch den Einspruch seiner narzißtischen Männlichkeit auf eine noch primitivere Stufe zurückgeworfen und unter Verschiebung auf einen Vaterersatz als Angst, vom Wolf gefressen zu werden, abgespalten, aber keineswegs auf diese Weise erledigt. Vielmehr können wir dem kompliziert erscheinenden Sachverhalt nur gerecht werden, wenn wir an der Koexistenz der drei auf den Vater zielenden Sexualstrebungen festhalten. Er war vom Traume an im Unbewußten homosexuell, in der Neurose auf dem Niveau des Kannibalismus; herrschend blieb die frühere masochistische Einstellung. Alle drei Strömungen hatten passive Sexualziele; es war dasselbe Objekt, die nämliche Sexualregung, aber es hatte sich eine Spaltung derselben nach drei verschiedenen Niveaus herausgebildet.</w:t>
      </w:r>
    </w:p>
    <w:p w:rsidR="00822836" w:rsidRPr="005C3C9A" w:rsidRDefault="00822836" w:rsidP="00822836">
      <w:pPr>
        <w:pStyle w:val="Sansinterligne"/>
        <w:rPr>
          <w:rFonts w:ascii="Garamond" w:hAnsi="Garamond"/>
          <w:lang w:val="en-US"/>
        </w:rPr>
      </w:pPr>
      <w:r w:rsidRPr="005C3C9A">
        <w:rPr>
          <w:rFonts w:ascii="Garamond" w:hAnsi="Garamond"/>
          <w:lang w:val="en-US"/>
        </w:rPr>
        <w:t>Die Kenntnis der heiligen Geschichte gab ihm nun die Möglichkeit, die vorherrschende masochistische Einstellung zum Vater zu sublimieren. Er wurde Christus, was ihm durch den gleichen Geburtstag besonders erleichtert war. Damit war er etwas Großes geworden und auch – worauf vorläufig noch nicht genug Akzent fiel – ein Mann. In dem Zweifel, ob Christus einen Hintern haben kann, schimmert die verdrängte homosexuelle Einstellung durch, denn die Grübelei konnte nichts anderes bedeuten als die Frage, ob er vom Vater gebraucht werden könne wie ein Weib, wie die Mutter in der Urszene. Wenn wir zur Auflösung der anderen Zwangsideen kommen, werden wir diese Deutung bestätigt finden. Der Verdrängung der passiven Homosexualität entsprach nun das Bedenken, daß es schimpflich sei, die heilige Person mit solchen Zumutungen in Verbindung zu bringen. Man merkt, er bemühte sich, seine neue Sublimierung von dem Zusatz freizuhalten, den sie aus den Quellen des Verdrängten bezog. Aber es gelang ihm nicht.</w:t>
      </w:r>
    </w:p>
    <w:p w:rsidR="00822836" w:rsidRPr="005C3C9A" w:rsidRDefault="00822836" w:rsidP="00822836">
      <w:pPr>
        <w:pStyle w:val="Sansinterligne"/>
        <w:rPr>
          <w:rFonts w:ascii="Garamond" w:hAnsi="Garamond"/>
          <w:lang w:val="en-US"/>
        </w:rPr>
      </w:pPr>
      <w:r w:rsidRPr="005C3C9A">
        <w:rPr>
          <w:rFonts w:ascii="Garamond" w:hAnsi="Garamond"/>
          <w:lang w:val="en-US"/>
        </w:rPr>
        <w:t>Wir verstehen es noch nicht, warum er sich nun auch gegen den passiven Charakter Christi und gegen die Mißhandlung durch den Vater sträubte, und damit auch sein bisheriges masochistisches Ideal, selbst in seiner Sublimierung, zu verleugnen begann. Wir dürfen annehmen, daß dieser zweite Konflikt dem Hervortreten der erniedrigenden Zwangsgedanken aus dem ersten Konflikt (zwischen herrschender masochistischer und verdrängter homosexueller Strömung) besonders günstig war, denn es ist nur natürlich, daß sich in einem seelischen Konflikt alle Gegenstrebungen, wenn auch aus den verschiedensten Quellen, miteinander summieren. Das Motiv seines Sträubens und somit der an der Religion geübten Kritik werden wir aus neuen Mitteilungen kennenlernen.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Aus den Mitteilungen über die heilige Geschichte hatte auch seine Sexualforschung Gewinn gezogen. Bisher hatte er keinen Grund zur Annahme gehabt, daß die Kinder nur von der Frau kommen. Im Gegenteile, die Nanja hatte ihn glauben lassen, er sei das Kind des Vaters, die Schwester das der Mutter, und diese nähere Beziehung zum Vater war ihm sehr wertvoll gewesen. Nun hörte er, daß Maria die Gottesgebärerin hieß. Also kamen die Kinder von der Frau und die Angabe der Nanja war nicht mehr zu halten. Ferner wurde er durch die Erzählungen irre gemacht, wer eigentlich der Vater Christi war. Er war geneigt, Josef dafür zu halten, denn er hörte ja, daß sie immer mitsammen gelebt hatten, aber die Nanja sagte: Josef war nur </w:t>
      </w:r>
      <w:r w:rsidRPr="005C3C9A">
        <w:rPr>
          <w:rFonts w:ascii="Garamond" w:hAnsi="Garamond"/>
          <w:i/>
          <w:iCs/>
          <w:lang w:val="en-US"/>
        </w:rPr>
        <w:t>wie</w:t>
      </w:r>
      <w:r w:rsidRPr="005C3C9A">
        <w:rPr>
          <w:rFonts w:ascii="Garamond" w:hAnsi="Garamond"/>
          <w:lang w:val="en-US"/>
        </w:rPr>
        <w:t xml:space="preserve"> sein Vater, der eigentliche Vater sei Gott gewesen. Daraus konnte er nichts </w:t>
      </w:r>
      <w:r w:rsidRPr="005C3C9A">
        <w:rPr>
          <w:rFonts w:ascii="Garamond" w:hAnsi="Garamond"/>
          <w:lang w:val="en-US"/>
        </w:rPr>
        <w:lastRenderedPageBreak/>
        <w:t>machen. Er verstand nur soviel: wenn man überhaupt darüber diskutieren konnte, so war das Verhältnis zwischen Vater und Sohn kein so inniges, wie er sich's immer vorgestellt hatte.</w:t>
      </w:r>
    </w:p>
    <w:p w:rsidR="00822836" w:rsidRPr="005C3C9A" w:rsidRDefault="00822836" w:rsidP="00822836">
      <w:pPr>
        <w:pStyle w:val="Sansinterligne"/>
        <w:rPr>
          <w:rFonts w:ascii="Garamond" w:hAnsi="Garamond"/>
          <w:lang w:val="en-US"/>
        </w:rPr>
      </w:pPr>
      <w:r w:rsidRPr="005C3C9A">
        <w:rPr>
          <w:rFonts w:ascii="Garamond" w:hAnsi="Garamond"/>
          <w:lang w:val="en-US"/>
        </w:rPr>
        <w:t>Der Knabe fühlte gewissermaßen die Gefühlsambivalenz gegen den Vater, die in allen Religionen niedergelegt ist, heraus und griff seine Religion wegen der Lockerung dieses Vaterverhältnisses an. Natürlich hörte seine Opposition bald auf, ein Zweifel an der Wahrheit der Lehre zu sein, und wandte sich dafür direkt gegen die Person Gottes. Gott hatte seinen Sohn hart und grausam behandelt, aber er war nicht besser gegen die Menschen. Er hatte seinen Sohn geopfert und dasselbe von Abraham gefordert. Er begann Gott zu fürchten.</w:t>
      </w:r>
    </w:p>
    <w:p w:rsidR="00822836" w:rsidRPr="005C3C9A" w:rsidRDefault="00822836" w:rsidP="00822836">
      <w:pPr>
        <w:pStyle w:val="Sansinterligne"/>
        <w:rPr>
          <w:rFonts w:ascii="Garamond" w:hAnsi="Garamond"/>
          <w:lang w:val="en-US"/>
        </w:rPr>
      </w:pPr>
      <w:r w:rsidRPr="005C3C9A">
        <w:rPr>
          <w:rFonts w:ascii="Garamond" w:hAnsi="Garamond"/>
          <w:lang w:val="en-US"/>
        </w:rPr>
        <w:t>Wenn er Christus war, so war der Vater Gott. Aber der Gott, den ihm die Religion aufdrängte, war kein richtiger Ersatz für den Vater, den er geliebt hatte, und den er sich nicht wollte rauben lassen. Die Liebe zu diesem Vater schuf ihm seinen kritischen Scharfsinn. Er wehrte sich gegen Gott, um am Vater festhalten zu können, verteidigte dabei eigentlich den alten Vater gegen den neuen. Er hatte da ein schwieriges Stück der Ablösung vom Vater zu vollbringen.</w:t>
      </w:r>
    </w:p>
    <w:p w:rsidR="00822836" w:rsidRPr="005C3C9A" w:rsidRDefault="00822836" w:rsidP="00822836">
      <w:pPr>
        <w:pStyle w:val="Sansinterligne"/>
        <w:rPr>
          <w:rFonts w:ascii="Garamond" w:hAnsi="Garamond"/>
          <w:lang w:val="en-US"/>
        </w:rPr>
      </w:pPr>
      <w:r w:rsidRPr="005C3C9A">
        <w:rPr>
          <w:rFonts w:ascii="Garamond" w:hAnsi="Garamond"/>
          <w:lang w:val="en-US"/>
        </w:rPr>
        <w:t>Es war also die alte, in frühester Zeit offenbar gewordene Liebe zu seinem Vater, der er die Energie zur Bekämpfung Gottes und den Scharfsinn zur Kritik der Religion entnahm. Aber anderseits war diese Feindseligkeit gegen den neuen Gott auch kein ursprünglicher Akt, sie hatte ein Vorbild in einer feindseligen Regung gegen den Vater, die unter dem Einfluß des Angsttraumes entstanden war, und war im Grunde nur ein Wiederaufleben derselben. Die beiden gegensätzlichen Gefühlsregungen, die sein ganzes späteres Leben regieren sollten, trafen sich hier zum Ambivalenzkampfe beim Thema der Religion. Was sich aus diesem Kampfe als Symptom ergab, die blasphemischen Ideen, der Zwang, der ihn überfiel, Gott – Dreck, Gott – Schwein zu denken, war darum auch ein richtiges Kompromißergebnis, wie die Analyse dieser Ideen im Zusammenhange der Analerotik uns zeigen wird.</w:t>
      </w:r>
    </w:p>
    <w:p w:rsidR="00822836" w:rsidRPr="005C3C9A" w:rsidRDefault="00822836" w:rsidP="00822836">
      <w:pPr>
        <w:pStyle w:val="Sansinterligne"/>
        <w:rPr>
          <w:rFonts w:ascii="Garamond" w:hAnsi="Garamond"/>
          <w:lang w:val="en-US"/>
        </w:rPr>
      </w:pPr>
      <w:r w:rsidRPr="005C3C9A">
        <w:rPr>
          <w:rFonts w:ascii="Garamond" w:hAnsi="Garamond"/>
          <w:lang w:val="en-US"/>
        </w:rPr>
        <w:t>Einige andere Zwangssymptome von minder typischer Art führen ebenso sicher auf den Vater, lassen aber auch den Zusammenhang der Zwangsneurose mit den früheren Zufällen erkennen.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Zu dem Frömmigkeitszeremoniell, mit dem er am Ende seine Gotteslästerungen sühnte, gehörte auch das Gebot, unter gewissen Bedingungen in feierlicher Weise zu atmen. Beim Kreuzeschlagen mußte er jedesmal tief einatmen oder stark aushauchen. Hauch ist in seiner Sprache gleich Geist. Das war also die Rolle des Heiligen Geistes. Er mußte den Heiligen Geist einatmen oder die bösen Geister, von denen er gehört und gelesen hatte </w:t>
      </w:r>
      <w:hyperlink r:id="rId1279"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Dies Symptom hatte sich, wie wir hören werden, mit dem sechsten Jahr, als er lesen konnte, entwickelt.</w:t>
        </w:r>
      </w:hyperlink>
      <w:r w:rsidRPr="005C3C9A">
        <w:rPr>
          <w:rFonts w:ascii="Garamond" w:hAnsi="Garamond"/>
          <w:lang w:val="en-US"/>
        </w:rPr>
        <w:t>, ausatmen. Diesen bösen Geistern schrieb er auch die blasphemischen Gedanken zu, für die er sich soviel Buße auferlegen mußte. Er war aber genötigt auszuhauchen, wenn er Bettler, Krüppel, häßliche, alte, erbarmenswerte Leute sah, und diesen Zwang verstand er nicht, mit den Geistern zusammenzubringen. Er gab sich selbst nur die Rechenschaft, er tue es um nicht zu werden wie diese.</w:t>
      </w:r>
    </w:p>
    <w:p w:rsidR="00822836" w:rsidRPr="005C3C9A" w:rsidRDefault="00822836" w:rsidP="00822836">
      <w:pPr>
        <w:pStyle w:val="Sansinterligne"/>
        <w:rPr>
          <w:rFonts w:ascii="Garamond" w:hAnsi="Garamond"/>
          <w:lang w:val="en-US"/>
        </w:rPr>
      </w:pPr>
      <w:r w:rsidRPr="005C3C9A">
        <w:rPr>
          <w:rFonts w:ascii="Garamond" w:hAnsi="Garamond"/>
          <w:lang w:val="en-US"/>
        </w:rPr>
        <w:t>Dann brachte die Analyse im Anschluß an einen Traum die Aufklärung, daß das Ausatmen beim Anblick der bedauernswerten Personen erst nach dem sechsten Jahre begonnen hatte und an den Vater anschloß. Er hatte den Vater lange Monate nicht gesehen, als die Mutter einmal sagte, sie würde mit den Kindern in die Stadt fahren und ihnen etwas zeigen, was sie sehr erfreuen würde. Sie brachte sie dann in ein Sanatorium, in dem sie den Vater wiedersahen; er sah schlecht aus und tat dem Sohne sehr leid. Der Vater war also auch das Urbild all der Krüppel, Bettler und Armen, vor denen er ausatmen mußte, wie er sonst das Urbild der Fratzen ist, die man in Angstzuständen sieht, und der Karikaturen, die man zum Hohne zeichnet. Wir werden noch an anderer Stelle erfahren, daß diese Mitleidseinstellung auf ein besonderes Detail der Urszene zurückgeht, welches so spät in der Zwangsneurose zur Wirkung kam.</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Der Vorsatz, nicht zu werden wie diese, der sein Ausatmen vor den Krüppeln motivierte, war also die alte Vateridentifizierung, ins Negativ gewandelt. Doch kopierte er dabei den Vater auch im positiven Sinne, denn das starke Atmen war eine Nachahmung des Geräusches, das er beim Koitus vom Vater ausgehend gehört hatte </w:t>
      </w:r>
      <w:hyperlink r:id="rId1280"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Die reale Natur der Urszene vorausgesetzt!</w:t>
        </w:r>
      </w:hyperlink>
      <w:r w:rsidRPr="005C3C9A">
        <w:rPr>
          <w:rFonts w:ascii="Garamond" w:hAnsi="Garamond"/>
          <w:lang w:val="en-US"/>
        </w:rPr>
        <w:t>. Der Heilige Geist dankte seinen Ursprung diesem Zeichen der sinnlichen Erregung des Mannes. Durch die Verdrängung wurde dies Atmen zum bösen Geist, für den noch eine andere Genealogie bestand, die Malaria nämlich, an der er zur Zeit der Urszene gelitten hatte.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 Ablehnung dieser bösen Geister entsprach einem unverkennbar asketischen Zug, der sich noch in anderen Reaktionen äußerte. Als er hörte, daß Christus einmal böse Geister in Säue gebannt hatte, die dann in einen Abgrund stürzten, dachte er daran, daß die Schwester in ihren ersten Kinderjahren vor seiner Erinnerung vom Klippenweg des Hafens an den Strand herabgerollt war. Sie war auch so ein böser Geist und eine Sau; von hier führte ein kurzer Weg zu Gott – Schwein. Der Vater selbst hatte sich als ebenso von Sinnlichkeit beherrscht erwiesen. Als er die Geschichte der ersten Menschen erfuhr, fiel ihm </w:t>
      </w:r>
      <w:r w:rsidRPr="005C3C9A">
        <w:rPr>
          <w:rFonts w:ascii="Garamond" w:hAnsi="Garamond"/>
          <w:lang w:val="en-US"/>
        </w:rPr>
        <w:lastRenderedPageBreak/>
        <w:t>die Ähnlichkeit seines Schicksals mit dem Adams auf. Er wunderte sich heuchlerischerweise im Gespräch mit der Nanja, daß Adam sich durch ein Weib hatte ins Unglück stürzen lassen, und versprach der Nanja, er werde nie heiraten. Eine Verfeindung mit dem Weibe wegen der Verführung durch die Schwester schaffte sich um diese Zeit starken Ausdruck. Sie sollte ihn in seinem späteren Liebesleben noch oft genug stören. Die Schwester wurde ihm zur dauernden Verkörperung der Versuchung und der Sünde. Wenn er gebeichtet hatte, kam er sich rein und sündenfrei vor. Dann schien es ihm aber, als ob die Schwester darauf lauerte, ihn wieder in Sünde zu stürzen, und ehe er sich's versah, hatte er eine Streitszene mit der Schwester provoziert, durch die er wieder sündig wurde. So war er genötigt, die Tatsache der Verführung immer wieder von Neuem zu reproduzieren. Seine blasphemischen Gedanken hatte er übrigens, so sehr sie ihn drückten, niemals in der Beichte preisgegeben.</w:t>
      </w:r>
    </w:p>
    <w:p w:rsidR="00822836" w:rsidRPr="005C3C9A" w:rsidRDefault="00822836" w:rsidP="00822836">
      <w:pPr>
        <w:pStyle w:val="Sansinterligne"/>
        <w:rPr>
          <w:rFonts w:ascii="Garamond" w:hAnsi="Garamond"/>
          <w:lang w:val="en-US"/>
        </w:rPr>
      </w:pPr>
      <w:r w:rsidRPr="005C3C9A">
        <w:rPr>
          <w:rFonts w:ascii="Garamond" w:hAnsi="Garamond"/>
          <w:lang w:val="en-US"/>
        </w:rPr>
        <w:t>Wir sind unversehens in die Symptomatik der späteren Jahre der Zwangsneurose geraten und wollen darum mit Hinwegsetzung über soviel, was dazwischen liegt, über ihren Ausgang berichten. Wir wissen schon, daß sie, von ihrem permanenten Bestand abgesehen, zeitweise Verstärkungen erfuhr, das eine Mal, was uns noch nicht durchsichtig sein kann, als ein Knabe in derselben Straße starb, mit dem er sich identifizieren konnte. Als er zehn Jahre alt war, bekam er einen deutschen Hofmeister, der sehr bald großen Einfluß auf ihn gewann. Es ist sehr lehrreich, daß seine ganze schwere Frömmigkeit dahinschwand, um nie wieder aufzuleben, nachdem er gemerkt und in belehrenden Gesprächen mit dem Lehrer erfahren hatte, daß dieser Vaterersatz keinen Wert auf Frömmigkeit legte und nichts von der Wahrheit der Religion hielt. Die Frömmigkeit fiel mit der Abhängigkeit vom Vater, der nun von einem neuen, umgänglicheren Vater abgelöst wurde. Dies geschah allerdings nicht ohne ein letztes Aufflackern der Zwangsneurose, von dem der Zwang besonders erinnert wurde, an die Heilige Dreieinigkeit zu denken, so oft er auf der Straße drei Häufchen Kot beisammenliegen sah. Er gab eben nie einer Anregung nach, ohne noch einen Versuch zu machen, das Entwertete festzuhalten. Als der Lehrer ihm von den Grausamkeiten gegen die kleinen Tiere abredete, machte er auch diesen Untaten ein Ende, aber nicht, ohne sich vorher noch einmal im Zerschneiden von Raupen gründlich genug getan zu haben. Er benahm sich noch in der analytischen Behandlung ebenso, indem er eine passagere »negative Reaktion« entwickelte; nach jeder einschneidenden Lösung versuchte er für eine kurze Weile, deren Wirkung durch eine Verschlechterung des gelösten Symptoms zu negieren. Man weiß, daß Kinder sich ganz allgemein ähnlich gegen Verbote benehmen. Wenn man sie angefahren hat, weil sie z. B. ein unleidliches Geräusch produzieren, so wiederholen sie es nach dem Verbot noch einmal, ehe sie damit aufhören. Sie haben dabei erreicht, daß sie anscheinend freiwillig aufgehört und dem Verbot getrotzt haben.</w:t>
      </w:r>
    </w:p>
    <w:p w:rsidR="00822836" w:rsidRPr="005C3C9A" w:rsidRDefault="00822836" w:rsidP="00822836">
      <w:pPr>
        <w:pStyle w:val="Sansinterligne"/>
        <w:rPr>
          <w:rFonts w:ascii="Garamond" w:hAnsi="Garamond"/>
          <w:lang w:val="en-US"/>
        </w:rPr>
      </w:pPr>
      <w:r w:rsidRPr="005C3C9A">
        <w:rPr>
          <w:rFonts w:ascii="Garamond" w:hAnsi="Garamond"/>
          <w:lang w:val="en-US"/>
        </w:rPr>
        <w:t>Unter dem Einfluß des deutschen Lehrers entstand eine neue und bessere Sublimierung seines Sadismus, der entsprechend der nahen Pubertät damals die Oberhand über den Masochismus gewonnen hatte. Er begann fürs Soldatenwesen zu schwärmen, für Uniformen, Waffen und Pferde, und nährte damit kontinuierliche Tagträume. So war er unter dem Einfluß eines Mannes von seinen passiven Einstellungen losgekommen und befand sich zunächst in ziemlich normalen Bahnen. Eine Nachwirkung der Anhänglichkeit an den Lehrer, der ihn bald darauf verließ, war es, daß er in seinem späteren Leben das deutsche Element (Ärzte, Anstalten, Frauen) gegen das heimische (Vertretung des Vaters) bevorzugte, woraus noch die Übertragung in der Kur großen Vorteil zog.</w:t>
      </w:r>
    </w:p>
    <w:p w:rsidR="00822836" w:rsidRPr="005C3C9A" w:rsidRDefault="00822836" w:rsidP="00822836">
      <w:pPr>
        <w:pStyle w:val="Sansinterligne"/>
        <w:rPr>
          <w:rFonts w:ascii="Garamond" w:hAnsi="Garamond"/>
          <w:lang w:val="en-US"/>
        </w:rPr>
      </w:pPr>
      <w:r w:rsidRPr="005C3C9A">
        <w:rPr>
          <w:rFonts w:ascii="Garamond" w:hAnsi="Garamond"/>
          <w:lang w:val="en-US"/>
        </w:rPr>
        <w:t>In die Zeit vor der Befreiung durch den Lehrer fällt noch ein Traum, den ich erwähne, weil er bis zu seinem Auftauchen in der Kur vergessen war. Er sah sich auf einem Pferd reitend von einer riesigen Raupe verfolgt. Er erkannte in dem Traum eine Anspielung auf einen früheren aus der Zeit vor dem Lehrer, den wir längst gedeutet hatten. In diesem früheren Traum sah er den Teufel im schwarzen Gewand und in der aufrechten Stellung, die ihn seinerzeit am Wolf und am Löwen so sehr erschreckt hatte. Mit dem ausgestreckten Finger wies er auf eine riesige Schnecke hin. Er hatte bald erraten, daß dieser Teufel der Dämon aus einer bekannten Dichtung, der Traum selbst die Umarbeitung eines sehr verbreiteten Bildes sei, das den Dämon in einer Liebesszene mit einem Mädchen darstellte. Die Schnecke war an der Stelle des Weibes als exquisit weibliches Sexualsymbol. Durch die zeigende Gebärde des Dämons geleitet, konnten wir bald als den Sinn des Traumes angeben, daß er sich nach jemand sehne, der ihm die letzten noch fehlenden Belehrungen über die Rätsel des Geschlechtsverkehrs geben sollte, wie seinerzeit der Vater in der Urszene die ersten.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Zu dem späteren Traum, in dem das weibliche Symbol durch das männliche ersetzt war, erinnerte er ein bestimmtes Erlebnis kurz vorher. Er ritt eines Tages auf dem Landgut an einem schlafenden Bauern vorüber, neben dem sein Junge lag. Dieser weckte den Vater und sagte ihm etwas, worauf der Vater den Reitenden zu beschimpfen und zu verfolgen begann, so daß er sich rasch auf seinem Pferd entfernte. Dazu die zweite Erinnerung, daß es auf demselben Gut Bäume gab, die ganz weiß, ganz von Raupen </w:t>
      </w:r>
      <w:r w:rsidRPr="005C3C9A">
        <w:rPr>
          <w:rFonts w:ascii="Garamond" w:hAnsi="Garamond"/>
          <w:lang w:val="en-US"/>
        </w:rPr>
        <w:lastRenderedPageBreak/>
        <w:t>umsponnen waren. Wir verstehen, daß er auch vor der Realisierung der Phantasie die Flucht ergriff, daß der Sohn beim Vater schlafe, und daß er die weißen Bäume heranzog, um eine Anspielung an den Angsttraum von den weißen Wölfen auf dem Nußbaum herzustellen. Es war also ein direkter Ausbruch der Angst vor jener femininen Einstellung zum Mann, gegen die er sich zuerst durch die religiöse Sublimierung geschützt hatte und bald durch die militärische noch wirksamer schützen sollte.</w:t>
      </w:r>
    </w:p>
    <w:p w:rsidR="00822836" w:rsidRPr="005C3C9A" w:rsidRDefault="00822836" w:rsidP="00822836">
      <w:pPr>
        <w:pStyle w:val="Sansinterligne"/>
        <w:rPr>
          <w:rFonts w:ascii="Garamond" w:hAnsi="Garamond"/>
          <w:lang w:val="en-US"/>
        </w:rPr>
      </w:pPr>
      <w:r w:rsidRPr="005C3C9A">
        <w:rPr>
          <w:rFonts w:ascii="Garamond" w:hAnsi="Garamond"/>
          <w:lang w:val="en-US"/>
        </w:rPr>
        <w:t>Es wäre aber ein großer Irrtum anzunehmen, daß nach der Aufhebung der Zwangssymptome keine permanenten Wirkungen der Zwangsneurose übrig geblieben wären. Der Prozeß hatte zu einem Sieg des frommen Glaubens über die kritisch forschende Auflehnung geführt und hatte die Verdrängung der homosexuellen Einstellung zur Voraussetzung gehabt. Aus beiden Faktoren ergaben sich dauernde Nachteile. Die intellektuelle Betätigung blieb seit dieser ersten großen Niederlage schwer geschädigt. Es entwickelte sich kein Lerneifer, es zeigte sich nichts mehr von dem Scharfsinn, der seinerzeit im zarten Alter von fünf Jahren die Lehren der Religion kritisch zersetzt hatte. Die während jenes Angsttraumes erfolgte Verdrängung der überstarken Homosexualität reservierte diese bedeutungsvolle Regung für das Unbewußte, erhielt sie so bei der ursprünglichen Zieleinstellung und entzog sie all den Sublimierungen, zu denen sie sich sonst bietet. Es fehlten dem Patienten darum alle die sozialen Interessen, welche dem Leben Inhalt geben. Erst als in der analytischen Kur die Lösung dieser Fesselung der Homosexualität gelang, konnte sich der Sachverhalt zum Besseren wenden, und es war sehr merkwürdig mitzuerleben, wie – ohne direkte Mahnung des Arztes – jedes befreite Stück der homosexuellen Libido eine Anwendung im Leben und eine Anheftung an die großen gemeinsamen Geschäfte der Menschheit suchte.</w:t>
      </w:r>
    </w:p>
    <w:p w:rsidR="00822836" w:rsidRDefault="00822836" w:rsidP="00822836">
      <w:pPr>
        <w:rPr>
          <w:rFonts w:ascii="Garamond" w:hAnsi="Garamond"/>
          <w:lang w:val="en-US"/>
        </w:rPr>
      </w:pPr>
      <w:r>
        <w:rPr>
          <w:rFonts w:ascii="Garamond" w:hAnsi="Garamond"/>
          <w:lang w:val="en-US"/>
        </w:rPr>
        <w:br w:type="page"/>
      </w:r>
    </w:p>
    <w:p w:rsidR="00822836" w:rsidRPr="00244833" w:rsidRDefault="00B437A1" w:rsidP="00822836">
      <w:pPr>
        <w:pStyle w:val="Sansinterligne"/>
        <w:rPr>
          <w:rFonts w:ascii="Garamond" w:hAnsi="Garamond"/>
          <w:b/>
          <w:lang w:val="en-US"/>
        </w:rPr>
      </w:pPr>
      <w:hyperlink w:anchor="WolfmanInhalt" w:history="1">
        <w:r w:rsidR="00822836" w:rsidRPr="00244833">
          <w:rPr>
            <w:rStyle w:val="Lienhypertexte"/>
            <w:rFonts w:ascii="Garamond" w:hAnsi="Garamond"/>
            <w:b/>
            <w:lang w:val="en-US"/>
          </w:rPr>
          <w:t>VII. An</w:t>
        </w:r>
        <w:bookmarkStart w:id="237" w:name="Wolfman7"/>
        <w:bookmarkEnd w:id="237"/>
        <w:r w:rsidR="00822836" w:rsidRPr="00244833">
          <w:rPr>
            <w:rStyle w:val="Lienhypertexte"/>
            <w:rFonts w:ascii="Garamond" w:hAnsi="Garamond"/>
            <w:b/>
            <w:lang w:val="en-US"/>
          </w:rPr>
          <w:t>alerotik und Kastrationskomplex</w:t>
        </w:r>
      </w:hyperlink>
    </w:p>
    <w:p w:rsidR="00822836" w:rsidRDefault="00822836" w:rsidP="00822836">
      <w:pPr>
        <w:pStyle w:val="Sansinterligne"/>
        <w:rPr>
          <w:rFonts w:ascii="Garamond" w:hAnsi="Garamond"/>
          <w:lang w:val="en-US"/>
        </w:rPr>
      </w:pPr>
    </w:p>
    <w:p w:rsidR="00822836" w:rsidRPr="005C3C9A" w:rsidRDefault="00822836" w:rsidP="00822836">
      <w:pPr>
        <w:pStyle w:val="Sansinterligne"/>
        <w:rPr>
          <w:rFonts w:ascii="Garamond" w:hAnsi="Garamond"/>
          <w:lang w:val="en-US"/>
        </w:rPr>
      </w:pPr>
      <w:r w:rsidRPr="005C3C9A">
        <w:rPr>
          <w:rFonts w:ascii="Garamond" w:hAnsi="Garamond"/>
          <w:lang w:val="en-US"/>
        </w:rPr>
        <w:t>Ich bitte den Leser sich zu erinnern, daß ich diese Geschichte einer infantilen Neurose sozusagen als Nebenprodukt während der Analyse einer Erkrankung im reiferen Alter gewonnen habe. Ich mußte sie also aus noch kleineren Brocken zusammensetzen, als sonst der Synthese zu Gebote stehen. Diese sonst nicht schwierige Arbeit findet eine natürliche Grenze, wo es sich darum handelt, ein vieldimensionales Gebilde in die Ebene der Deskription zu bannen. Ich muß mich also damit begnügen, Gliederstücke vorzulegen, die der Leser zum lebenden Ganzen zusammenfügen mag. Die geschilderte Zwangsneurose entstand, wie wiederholt betont, auf dem Boden einer sadistisch-analen Konstitution. Es war aber bisher nur von dem einen Hauptfaktor, dem Sadismus und seinen Umwandlungen, die Rede. Alles, was die Analerotik betrifft, ist mit Absicht beiseite gelassen worden und soll hier gesammelt nachgetragen werden.</w:t>
      </w:r>
    </w:p>
    <w:p w:rsidR="00822836" w:rsidRPr="005C3C9A" w:rsidRDefault="00822836" w:rsidP="00822836">
      <w:pPr>
        <w:pStyle w:val="Sansinterligne"/>
        <w:rPr>
          <w:rFonts w:ascii="Garamond" w:hAnsi="Garamond"/>
          <w:lang w:val="en-US"/>
        </w:rPr>
      </w:pPr>
      <w:r w:rsidRPr="005C3C9A">
        <w:rPr>
          <w:rFonts w:ascii="Garamond" w:hAnsi="Garamond"/>
          <w:lang w:val="en-US"/>
        </w:rPr>
        <w:t>Die Analytiker sind längst einig darüber, daß den vielfachen Triebregungen, die man als Analerotik zusammenfaßt, eine außerordentliche, gar nicht zu überschätzende Bedeutung für den Aufbau des Sexuallebens und der seelischen Tätigkeit überhaupt zukommt. Ebenso, daß eine der wichtigsten Äußerungen der umgebildeten Erotik aus dieser Quelle in der Behandlung des Geldes vorliegt, welcher wertvolle Stoff im Laufe des Lebens das psychische Interesse an sich gezogen hat, das ursprünglich dem Kot, dem Produkt der Analzone, gebührte. Wir haben uns gewöhnt, das Interesse am Gelde, soweit es libidinöser und nicht rationeller Natur ist, auf Exkrementallust zurückzuführen und vom normalen Menschen zu verlangen, daß er sein Verhältnis zum Gelde durchaus von libidinösen Einflüssen frei halte und es nach realen Rücksichten regle.</w:t>
      </w:r>
    </w:p>
    <w:p w:rsidR="00822836" w:rsidRPr="005C3C9A" w:rsidRDefault="00822836" w:rsidP="00822836">
      <w:pPr>
        <w:pStyle w:val="Sansinterligne"/>
        <w:rPr>
          <w:rFonts w:ascii="Garamond" w:hAnsi="Garamond"/>
          <w:lang w:val="en-US"/>
        </w:rPr>
      </w:pPr>
      <w:r w:rsidRPr="005C3C9A">
        <w:rPr>
          <w:rFonts w:ascii="Garamond" w:hAnsi="Garamond"/>
          <w:lang w:val="en-US"/>
        </w:rPr>
        <w:t>Bei unserem Patienten war zur Zeit seiner späteren Erkrankung dies Verhältnis in besonders argem Maße gestört, und dies war nicht das Geringste an seiner Unselbständigkeit und Lebensuntüchtigkeit. Er war durch Erbschaft von Vater und Onkel sehr reich geworden, legte manifesterweise viel Wert darauf, für reich zu gelten, und konnte sich sehr kränken, wenn man ihn darin unterschätzte. Aber er wußte nicht, wieviel er besaß, was er verausgabte, was er übrig behielt. Es war schwer zu sagen, ob man ihn geizig oder verschwenderisch heißen sollte. Er benahm sich bald so, bald anders, niemals in einer Art, die auf eine konsequente Absicht hindeuten konnte. Nach einigen auffälligen Zügen, die ich weiter unten anführen werde, konnte man ihn für einen verstockten Geldprotzen halten, der in dem Reichtum den größten Vorzug seiner Person erblickt und Gefühlsinteressen neben Geldinteressen nicht einmal in Betracht ziehen läßt. Aber er schätzte andere nicht nach ihrem Reichtum ein und zeigte sich bei vielen Gelegenheiten vielmehr bescheiden, hilfsbereit und mitleidig. Das Geld war eben seiner bewußten Verfügung entzogen und bedeutete für ihn irgendetwas anderes.</w:t>
      </w:r>
    </w:p>
    <w:p w:rsidR="00822836" w:rsidRPr="005C3C9A" w:rsidRDefault="00822836" w:rsidP="00822836">
      <w:pPr>
        <w:pStyle w:val="Sansinterligne"/>
        <w:rPr>
          <w:rFonts w:ascii="Garamond" w:hAnsi="Garamond"/>
          <w:lang w:val="en-US"/>
        </w:rPr>
      </w:pPr>
      <w:r w:rsidRPr="005C3C9A">
        <w:rPr>
          <w:rFonts w:ascii="Garamond" w:hAnsi="Garamond"/>
          <w:lang w:val="en-US"/>
        </w:rPr>
        <w:t>Ich habe schon erwähnt (S. 142), daß ich die Art sehr bedenklich fand, wie er sich über den Verlust der Schwester, die in den letzten Jahren sein bester Kamerad geworden war, mit der Überlegung tröstete: Jetzt brauche er die Erbschaft von den Eltern nicht mit ihr zu teilen. Auffälliger vielleicht war noch die Ruhe, mit welcher er dies erzählen konnte, als hätte er kein Verständnis für die so eingestandene Gefühlsroheit. Die Analyse rehabilitierte ihn zwar, indem sie zeigte, daß der Schmerz um die Schwester nur eine Verschiebung erfahren hatte, aber es wurde nun erst recht unverständlich, daß er in der Bereicherung einen Ersatz für die Schwester hatte finden wollen.</w:t>
      </w:r>
    </w:p>
    <w:p w:rsidR="00822836" w:rsidRPr="005C3C9A" w:rsidRDefault="00822836" w:rsidP="00822836">
      <w:pPr>
        <w:pStyle w:val="Sansinterligne"/>
        <w:rPr>
          <w:rFonts w:ascii="Garamond" w:hAnsi="Garamond"/>
          <w:lang w:val="en-US"/>
        </w:rPr>
      </w:pPr>
      <w:r w:rsidRPr="005C3C9A">
        <w:rPr>
          <w:rFonts w:ascii="Garamond" w:hAnsi="Garamond"/>
          <w:lang w:val="en-US"/>
        </w:rPr>
        <w:t>Sein Benehmen in einem anderen Falle erschien ihm selbst rätselhaft. Nach dem Tode des Vaters wurde das hinterlassene Vermögen zwischen ihm und der Mutter aufgeteilt. Die Mutter verwaltete es und kam seinen Geldansprüchen, wie er selbst zugab, in tadelloser, freigebiger Weise entgegen. Dennoch pflegte jede Besprechung über Geldangelegenheiten zwischen ihnen mit den heftigsten Vorwürfen von seiner Seite zu endigen, daß sie ihn nicht liebe, daß sie daran denke, an ihm zu sparen, und daß sie ihn wahrscheinlich am liebsten tot sehen möchte, um allein über das Geld zu verfügen. Die Mutter beteuerte dann weinend ihre Uneigennützigkeit, er schämte sich und konnte mit Recht versichern, daß er das gar nicht von ihr denke, aber er war sicher, dieselbe Szene bei nächster Gelegenheit zu wiederholen.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Daß der Kot für ihn lange Zeit vor der Analyse Geldbedeutung gehabt hat, geht aus vielen Zufällen hervor, von denen ich zwei mitteilen will. In einer Zeit, da der Darm noch unbeteiligt an seinem Leiden war, besuchte er einmal in einer großen Stadt einen armen Vetter. Als er wegging, machte er sich Vorwürfe, daß er diesen Verwandten nicht mit Geld unterstütze, und bekam unmittelbar darauf den »vielleicht stärksten Stuhldrang seines Lebens«. Zwei Jahre später setzte er wirklich diesem Vetter eine Rente aus. Der andere Fall: Mit 18 Jahren während der Vorbereitung zur Maturitätsprüfung besuchte er einen Kollegen und verabredete mit ihm, was die gemeinsame Angst, bei der Prüfung durchzufallen, ratsam erscheinen ließ </w:t>
      </w:r>
      <w:hyperlink r:id="rId1281"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Der Patient teilte mit, daß seine Muttersprache die im Deutschen bekannte Verwendung des Wortes »Durchfall« zur Bezeichnung von Darmstörungen nicht kennt.</w:t>
        </w:r>
      </w:hyperlink>
      <w:r w:rsidRPr="005C3C9A">
        <w:rPr>
          <w:rFonts w:ascii="Garamond" w:hAnsi="Garamond"/>
          <w:lang w:val="en-US"/>
        </w:rPr>
        <w:t xml:space="preserve">. Man </w:t>
      </w:r>
      <w:r w:rsidRPr="005C3C9A">
        <w:rPr>
          <w:rFonts w:ascii="Garamond" w:hAnsi="Garamond"/>
          <w:lang w:val="en-US"/>
        </w:rPr>
        <w:lastRenderedPageBreak/>
        <w:t xml:space="preserve">hatte beschlossen, den Schuldiener zu bestechen, und sein Anteil an der aufzubringenden Summe war natürlicherweise der größte. Auf dem Heimwege dachte er, er wolle gern noch mehr geben, wenn er nur durchkomme, wenn ihm bei der Prüfung nur nichts passiere, und wirklich passierte ihm ein anderes Malheur, ehe er noch bei seiner Haustüre war </w:t>
      </w:r>
      <w:hyperlink r:id="rId1282"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Diese Redensart ist in der Muttersprache des Patienten gleichsinnig wie im Deutschen.</w:t>
        </w:r>
      </w:hyperlink>
      <w:r w:rsidRPr="005C3C9A">
        <w:rPr>
          <w:rFonts w:ascii="Garamond" w:hAnsi="Garamond"/>
          <w:lang w:val="en-US"/>
        </w:rPr>
        <w: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Wir sind darauf vorbereitet zu hören, daß er in seiner späteren Erkrankung an sehr hartnäckigen, wenn auch mit verschiedenen Anlässen schwankenden Störungen der Darmfunktion litt. Als er in meine Behandlung trat, hatte er sich an Lavements gewöhnt, die ihm ein Begleiter machte; spontane Entleerungen kamen Monate hindurch nicht vor, wenn nicht eine plötzliche Erregung von einer bestimmten Seite her dazukam, in deren Folge sich normale Darmtätigkeit für einige Tage herstellen konnte. Seine Hauptklage war, daß die Welt für ihn in einen Schleier gehüllt sei, oder er durch einen Schleier von der Welt getrennt sei. Dieser Schleier zerriß nur in dem einen Moment, wenn beim Lavement der Darminhalt den Darm verließ, und dann fühlte er sich auch wieder gesund und normal </w:t>
      </w:r>
      <w:hyperlink r:id="rId1283"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Dieselbe Wirkung, ob er das Lavement von einem anderen machen ließ oder es selbst besorgte.</w:t>
        </w:r>
      </w:hyperlink>
      <w:r w:rsidRPr="005C3C9A">
        <w:rPr>
          <w:rFonts w:ascii="Garamond" w:hAnsi="Garamond"/>
          <w:lang w:val="en-US"/>
        </w:rPr>
        <w:t>.</w:t>
      </w:r>
    </w:p>
    <w:p w:rsidR="00822836" w:rsidRPr="005C3C9A" w:rsidRDefault="00822836" w:rsidP="00822836">
      <w:pPr>
        <w:pStyle w:val="Sansinterligne"/>
        <w:rPr>
          <w:rFonts w:ascii="Garamond" w:hAnsi="Garamond"/>
          <w:lang w:val="en-US"/>
        </w:rPr>
      </w:pPr>
      <w:r w:rsidRPr="005C3C9A">
        <w:rPr>
          <w:rFonts w:ascii="Garamond" w:hAnsi="Garamond"/>
          <w:lang w:val="en-US"/>
        </w:rPr>
        <w:t>Der Kollege, an den ich den Patienten zur Begutachtung seines Darmzustandes wies, war einsichtsvoll genug, denselben für einen funktionellen oder selbst psychisch bedingten zu erklären und sich eingreifender Medikation zu enthalten. Übrigens nützte weder diese noch die angeordnete Diät. In den Jahren der analytischen Behandlung gab es keinen spontanen Stuhlgang (von jenen plötzlichen Beeinflussungen abgesehen). Der Kranke ließ sich überzeugen, daß jede intensivere Bearbeitung des störrischen Organs den Zustand noch verschlimmern würde, und gab sich damit zufrieden, ein- oder zweimal in der Woche durch ein Lavement oder ein Abführmittel eine Darmentleerung zu erzwingen.</w:t>
      </w:r>
    </w:p>
    <w:p w:rsidR="00822836" w:rsidRPr="005C3C9A" w:rsidRDefault="00822836" w:rsidP="00822836">
      <w:pPr>
        <w:pStyle w:val="Sansinterligne"/>
        <w:rPr>
          <w:rFonts w:ascii="Garamond" w:hAnsi="Garamond"/>
          <w:lang w:val="en-US"/>
        </w:rPr>
      </w:pPr>
      <w:r w:rsidRPr="005C3C9A">
        <w:rPr>
          <w:rFonts w:ascii="Garamond" w:hAnsi="Garamond"/>
          <w:lang w:val="en-US"/>
        </w:rPr>
        <w:t>Ich habe bei der Besprechung der Darmstörungen dem späteren Krankheitszustand des Patienten einen breiteren Raum gelassen, als es sonst im Plane dieser mit seiner Kindheitsneurose beschäftigten Arbeit liegt. Dafür waren zwei Gründe maßgebend, erstens, daß die Darmsymptomatik sich eigentlich wenig verändert aus der Kinderneurose in die spätere fortgesetzt hatte, und zweitens, daß ihr bei der Beendigung der Behandlung eine Hauptrolle zufiel.</w:t>
      </w:r>
    </w:p>
    <w:p w:rsidR="00822836" w:rsidRPr="005C3C9A" w:rsidRDefault="00822836" w:rsidP="00822836">
      <w:pPr>
        <w:pStyle w:val="Sansinterligne"/>
        <w:rPr>
          <w:rFonts w:ascii="Garamond" w:hAnsi="Garamond"/>
          <w:lang w:val="en-US"/>
        </w:rPr>
      </w:pPr>
      <w:r w:rsidRPr="005C3C9A">
        <w:rPr>
          <w:rFonts w:ascii="Garamond" w:hAnsi="Garamond"/>
          <w:lang w:val="en-US"/>
        </w:rPr>
        <w:t>Man weiß, welche Bedeutung der Zweifel für den Arzt hat, der eine Zwangsneurose analysiert. Er ist die stärkste Waffe des Kranken, das bevorzugte Mittel seines Widerstandes. Dank diesem Zweifel konnte auch unser Patient, hinter einer respektvollen Indifferenz verschanzt, Jahre hindurch die Bemühungen der Kur von sich abgleiten lassen. Es änderte sich nichts, und es fand sich kein Weg, ihn zu überzeugen. Endlich erkannte ich die Bedeutung der Darmstörung für meine Absichten; sie repräsentierte das Stückchen Hysterie, welches regelmäßig zu Grunde einer Zwangsneurose gefunden wird. Ich versprach dem Patienten die völlige Herstellung seiner Darmtätigkeit, machte seinen Unglauben durch diese Zusage offenkundig, und hatte dann die Befriedigung, seinen Zweifel schwinden zu sehen, als der Darm wie ein hysterisch affiziertes Organ bei der Arbeit »mitzusprechen« begann, und im Laufe weniger Wochen seine normale, so lange beeinträchtigte Funktion wiedergefunden hatte.</w:t>
      </w:r>
    </w:p>
    <w:p w:rsidR="00822836" w:rsidRPr="005C3C9A" w:rsidRDefault="00822836" w:rsidP="00822836">
      <w:pPr>
        <w:pStyle w:val="Sansinterligne"/>
        <w:rPr>
          <w:rFonts w:ascii="Garamond" w:hAnsi="Garamond"/>
          <w:lang w:val="en-US"/>
        </w:rPr>
      </w:pPr>
      <w:r w:rsidRPr="005C3C9A">
        <w:rPr>
          <w:rFonts w:ascii="Garamond" w:hAnsi="Garamond"/>
          <w:lang w:val="en-US"/>
        </w:rPr>
        <w:t>Ich kehre nun zur Kindheit des Patienten zurück, in eine Zeit, zu welcher der Kot unmöglich Geldbedeutung für ihn gehabt haben kann.</w:t>
      </w:r>
    </w:p>
    <w:p w:rsidR="00822836" w:rsidRPr="005C3C9A" w:rsidRDefault="00822836" w:rsidP="00822836">
      <w:pPr>
        <w:pStyle w:val="Sansinterligne"/>
        <w:rPr>
          <w:rFonts w:ascii="Garamond" w:hAnsi="Garamond"/>
          <w:lang w:val="en-US"/>
        </w:rPr>
      </w:pPr>
      <w:r w:rsidRPr="005C3C9A">
        <w:rPr>
          <w:rFonts w:ascii="Garamond" w:hAnsi="Garamond"/>
          <w:lang w:val="en-US"/>
        </w:rPr>
        <w:t>Darmstörungen sind sehr frühzeitig bei ihm aufgetreten, vor allem die häufigste und für das Kind normalste, die Inkontinenz. Wir haben aber gewiß recht, wenn wir für diese frühesten Vorfälle eine pathologische Erklärung ablehnen und in ihnen nur einen Beweis für die Absicht sehen, sich in der an die Entleerungsfunktion geknüpften Lust nicht stören oder aufhalten zu lassen. Ein starkes Vergnügen an analen Witzen und Schaustellungen, wie es sonst der natürlichen Derbheit mancher Gesellschaftsklassen entspricht, hatte sich bei ihm über den Beginn der späteren Erkrankung erhalten.</w:t>
      </w:r>
    </w:p>
    <w:p w:rsidR="00822836" w:rsidRPr="005C3C9A" w:rsidRDefault="00822836" w:rsidP="00822836">
      <w:pPr>
        <w:pStyle w:val="Sansinterligne"/>
        <w:rPr>
          <w:rFonts w:ascii="Garamond" w:hAnsi="Garamond"/>
          <w:lang w:val="en-US"/>
        </w:rPr>
      </w:pPr>
      <w:r w:rsidRPr="005C3C9A">
        <w:rPr>
          <w:rFonts w:ascii="Garamond" w:hAnsi="Garamond"/>
          <w:lang w:val="en-US"/>
        </w:rPr>
        <w:t>Zur Zeit der englischen Gouvernante traf es sich wiederholt, daß er und die Nanja das Schlafzimmer der Verhaßten teilen mußten. Die Nanja konstatierte dann mit Verständnis, daß er gerade in diesen Nächten ins Bett gemacht hatte, was sonst nicht mehr der Fall gewesen war. Er schämte sich dessen gar nicht; es war eine Äußerung des Trotzes gegen die Gouvernante.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Ein Jahr später (zu 4½ Jahren), in der Angstzeit, passierte es ihm, daß er bei Tage die Hose schmutzig machte. Er schämte sich entsetzlich, und jammerte, als er gereinigt wurde: er könne so nicht mehr leben. Dazwischen hatte sich also etwas verändert, auf dessen Spur wir durch die Verfolgung seiner Klage geführt wurden. Es stellte sich heraus, daß er die Worte: so könne er nicht mehr leben, jemand anderem nachgeredet hatte. Irgendeinmal </w:t>
      </w:r>
      <w:hyperlink r:id="rId1284"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Es ist nicht näher bestimmt worden, wann es war, aber jedenfalls vor dem Angsttraum mit vier Jahren, wahrscheinlich vor der Reise der Eltern.</w:t>
        </w:r>
      </w:hyperlink>
      <w:r w:rsidRPr="005C3C9A">
        <w:rPr>
          <w:rFonts w:ascii="Garamond" w:hAnsi="Garamond"/>
          <w:lang w:val="en-US"/>
        </w:rPr>
        <w:t xml:space="preserve"> hatte ihn die Mutter mitgenommen, während sie den Arzt, der sie besucht hatte, zur Bahnstation begleitete. Sie klagte während dieses Weges über ihre Schmerzen und Blutungen und brach in die nämlichen Worte aus: So </w:t>
      </w:r>
      <w:r w:rsidRPr="005C3C9A">
        <w:rPr>
          <w:rFonts w:ascii="Garamond" w:hAnsi="Garamond"/>
          <w:lang w:val="en-US"/>
        </w:rPr>
        <w:lastRenderedPageBreak/>
        <w:t>kann ich nicht mehr leben, ohne zu erwarten, daß das an der Hand geführte Kind sie im Gedächtnis behalten werde. Die Klage, die er übrigens in seiner späteren Krankheit ungezählte Male wiederholen sollte, bedeutete also eine – Identifizierung mit der Mutter.</w:t>
      </w:r>
    </w:p>
    <w:p w:rsidR="00822836" w:rsidRPr="005C3C9A" w:rsidRDefault="00822836" w:rsidP="00822836">
      <w:pPr>
        <w:pStyle w:val="Sansinterligne"/>
        <w:rPr>
          <w:rFonts w:ascii="Garamond" w:hAnsi="Garamond"/>
          <w:lang w:val="en-US"/>
        </w:rPr>
      </w:pPr>
      <w:r w:rsidRPr="005C3C9A">
        <w:rPr>
          <w:rFonts w:ascii="Garamond" w:hAnsi="Garamond"/>
          <w:lang w:val="en-US"/>
        </w:rPr>
        <w:t>Ein der Zeit und dem Inhalt nach fehlendes Mittelglied zwischen beiden Vorfällen stellte sich bald in der Erinnerung ein. Es geschah einmal zu Beginn seiner Angstzeit, daß die besorgte Mutter Warnungen ausgehen ließ, die Kinder vor der Dysenterie zu behüten, die in der Nähe des Gutes aufgetreten war. Er erkundigte sich, was das sei, und als er gehört hatte, bei der Dysenterie finde man Blut im Stuhl, wurde er sehr ängstlich und behauptete, daß auch in seinem Stuhlgang Blut sei; er fürchtete, an der Dysenterie zu sterben, ließ sich aber durch die Untersuchung überzeugen, daß er sich geirrt habe und nichts zu fürchten brauche. Wir verstehen, daß sich in dieser Angst die Identifizierung mit der Mutter durchsetzen wollte, von deren Blutungen er im Gespräch mit dem Arzt gehört hatte. Bei seinem späteren Identifizierungsversuch (mit 4½ Jahren) hatte er das Blut fallen gelassen; er verstand sich nicht mehr, vermeinte sich zu schämen und wußte nicht, daß er von Todesangst geschüttelt wurde, die sich in seiner Klage aber unzweideutig verriet.</w:t>
      </w:r>
    </w:p>
    <w:p w:rsidR="00822836" w:rsidRPr="005C3C9A" w:rsidRDefault="00822836" w:rsidP="00822836">
      <w:pPr>
        <w:pStyle w:val="Sansinterligne"/>
        <w:rPr>
          <w:rFonts w:ascii="Garamond" w:hAnsi="Garamond"/>
          <w:lang w:val="en-US"/>
        </w:rPr>
      </w:pPr>
      <w:r w:rsidRPr="005C3C9A">
        <w:rPr>
          <w:rFonts w:ascii="Garamond" w:hAnsi="Garamond"/>
          <w:lang w:val="en-US"/>
        </w:rPr>
        <w:t>Die unterleibsleidende Mutter war damals überhaupt ängstlich für sich und die Kinder; es ist durchaus wahrscheinlich, daß seine Ängstlichkeit sich neben ihren eigenen Motiven auf die Identifizierung mit der Mutter stützte.</w:t>
      </w:r>
    </w:p>
    <w:p w:rsidR="00822836" w:rsidRPr="005C3C9A" w:rsidRDefault="00822836" w:rsidP="00822836">
      <w:pPr>
        <w:pStyle w:val="Sansinterligne"/>
        <w:rPr>
          <w:rFonts w:ascii="Garamond" w:hAnsi="Garamond"/>
          <w:lang w:val="en-US"/>
        </w:rPr>
      </w:pPr>
      <w:r w:rsidRPr="005C3C9A">
        <w:rPr>
          <w:rFonts w:ascii="Garamond" w:hAnsi="Garamond"/>
          <w:lang w:val="en-US"/>
        </w:rPr>
        <w:t>Was sollte nun die Identifizierung mit der Mutter bedeuten?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Zwischen der kecken Verwendung der Inkontinenz mit 3½ Jahren und dem Entsetzen vor ihr mit 4½ Jahren liegt der Traum, mit dem seine Angstzeit begann, der ihm nachträgliches Verständnis der mit 1½ Jahren erlebten Szene </w:t>
      </w:r>
      <w:hyperlink r:id="rId1285"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Siehe vorhin S. 163–164.</w:t>
        </w:r>
      </w:hyperlink>
      <w:r w:rsidRPr="005C3C9A">
        <w:rPr>
          <w:rFonts w:ascii="Garamond" w:hAnsi="Garamond"/>
          <w:lang w:val="en-US"/>
        </w:rPr>
        <w:t xml:space="preserve"> und Aufklärung über die Rolle der Frau beim Geschlechtsakt brachte. Es liegt nahe, auch die Wandlung in seinem Verhalten gegen die Defäkation mit dieser großen Umwälzung zusammenzubringen. Dysenterie war ihm offenbar der Name der Krankheit, über die er die Mutter klagen gehört hatte, mit der man nicht leben könne; die Mutter galt ihm nicht als Unterleibs-, sondern als darmkrank. Unter dem Einfluß der Urszene erschloß sich ihm der Zusammenhang, daß die Mutter durch das, was der Vater mit ihr vorgenommen </w:t>
      </w:r>
      <w:hyperlink r:id="rId1286"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Wobei er ja wahrscheinlich nicht irreging.</w:t>
        </w:r>
      </w:hyperlink>
      <w:r w:rsidRPr="005C3C9A">
        <w:rPr>
          <w:rFonts w:ascii="Garamond" w:hAnsi="Garamond"/>
          <w:lang w:val="en-US"/>
        </w:rPr>
        <w:t>, krank geworden sei, und seine Angst, Blut im Stuhle zu haben, ebenso krank zu sein wie die Mutter, war die Ablehnung der Identifizierung mit der Mutter in jener sexuellen Szene, dieselbe Ablehnung, mit der er aus dem Traum erwacht war. Die Angst war aber auch der Beweis, daß er in der späteren Bearbeitung der Urszene sich an die Stelle der Mutter gesetzt, ihr diese Beziehung zum Vater geneidet hatte. Das Organ, an dem sich die Identifizierung mit dem Weibe, die passiv homosexuelle Einstellung zum Manne äußern konnte, war die Analzone. Die Störungen in der Funktion dieser Zone hatten nun die Bedeutung von femininen Zärtlichkeitsregungen bekommen und behielten sie auch während der späteren Erkrankung bei.</w:t>
      </w:r>
    </w:p>
    <w:p w:rsidR="00822836" w:rsidRPr="005C3C9A" w:rsidRDefault="00822836" w:rsidP="00822836">
      <w:pPr>
        <w:pStyle w:val="Sansinterligne"/>
        <w:rPr>
          <w:rFonts w:ascii="Garamond" w:hAnsi="Garamond"/>
          <w:lang w:val="en-US"/>
        </w:rPr>
      </w:pPr>
      <w:r w:rsidRPr="005C3C9A">
        <w:rPr>
          <w:rFonts w:ascii="Garamond" w:hAnsi="Garamond"/>
          <w:lang w:val="en-US"/>
        </w:rPr>
        <w:t>An dieser Stelle müssen wir nun einen Einwand anhören, dessen Diskussion viel zur Klärung der scheinbar verworrenen Sachlage beitragen kann. Wir haben ja annehmen müssen, daß er während des Traumvorganges verstanden, das Weib sei kastriert, habe anstatt des männlichen Gliedes eine Wunde, die dem Geschlechtsverkehr diene, die Kastration sei die Bedingung der Weiblichkeit, und dieses drohenden Verlustes wegen habe er die feminine Einstellung zum Manne verdrängt und sei mit Angst aus der homosexuellen Schwärmerei erwacht. Wie verträgt sich dies Verständnis des Geschlechtsverkehrs, diese Anerkennung der Vagina, mit der Auswahl des Darmes zur Identifizierung mit dem Weib? Ruhen die Darmsymptome nicht auf der wahrscheinlich älteren, der Kastrationsangst voll widersprechenden Auffassung, daß der Darmausgang die Stelle des sexuellen Verkehrs sei?</w:t>
      </w:r>
    </w:p>
    <w:p w:rsidR="00822836" w:rsidRPr="005C3C9A" w:rsidRDefault="00822836" w:rsidP="00822836">
      <w:pPr>
        <w:pStyle w:val="Sansinterligne"/>
        <w:rPr>
          <w:rFonts w:ascii="Garamond" w:hAnsi="Garamond"/>
        </w:rPr>
      </w:pPr>
      <w:r w:rsidRPr="005C3C9A">
        <w:rPr>
          <w:rFonts w:ascii="Garamond" w:hAnsi="Garamond"/>
          <w:lang w:val="en-US"/>
        </w:rPr>
        <w:t xml:space="preserve">Gewiß, dieser Widerspruch besteht, und die beiden Auffassungen vertragen sich gar nicht miteinander. </w:t>
      </w:r>
      <w:r w:rsidRPr="005C3C9A">
        <w:rPr>
          <w:rFonts w:ascii="Garamond" w:hAnsi="Garamond"/>
        </w:rPr>
        <w:t>Die Frage ist nur, ob sie sich zu vertragen brauchen. Unser Befremden rührt daher, daß wir immer geneigt sind, die unbewußten seelischen Vorgänge wie die bewußten zu behandeln und an die tiefgehenden Verschiedenheiten der beiden psychischen Systeme zu vergessen.</w:t>
      </w:r>
    </w:p>
    <w:p w:rsidR="00822836" w:rsidRPr="005C3C9A" w:rsidRDefault="00822836" w:rsidP="00822836">
      <w:pPr>
        <w:pStyle w:val="Sansinterligne"/>
        <w:rPr>
          <w:rFonts w:ascii="Garamond" w:hAnsi="Garamond"/>
          <w:lang w:val="en-US"/>
        </w:rPr>
      </w:pPr>
      <w:r w:rsidRPr="005C3C9A">
        <w:rPr>
          <w:rFonts w:ascii="Garamond" w:hAnsi="Garamond"/>
        </w:rPr>
        <w:t xml:space="preserve">Als die erregte Erwartung des Weihnachtstraumes ihm das Bild des einst beobachteten (oder konstruierten) Geschlechtsverkehres der Eltern vorzauberte, trat gewiß zuerst die alte Auffassung desselben auf, derzufolge die das Glied aufnehmende Körperstelle des Weibes der Darmausgang war. </w:t>
      </w:r>
      <w:r w:rsidRPr="005C3C9A">
        <w:rPr>
          <w:rFonts w:ascii="Garamond" w:hAnsi="Garamond"/>
          <w:lang w:val="en-US"/>
        </w:rPr>
        <w:t xml:space="preserve">Was konnte er auch anderes geglaubt haben, als er mit 1½ Jahren Zuschauer dieser Szene war? </w:t>
      </w:r>
      <w:hyperlink r:id="rId1287"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Oder solange er den Koitus der Hunde nicht verstand.</w:t>
        </w:r>
      </w:hyperlink>
      <w:r w:rsidRPr="005C3C9A">
        <w:rPr>
          <w:rFonts w:ascii="Garamond" w:hAnsi="Garamond"/>
          <w:lang w:val="en-US"/>
        </w:rPr>
        <w:t xml:space="preserve"> Aber nun kam das, was sich mit vier Jahren neu ereignete. Seine seitherigen Erfahrungen, die vernommenen Andeutungen der Kastration, wachten auf und warfen einen Zweifel auf die »Kloakentheorie«, legten ihm die Erkenntnis des Geschlechtsunterschiedes und der sexuellen Rolle des Weibes nahe. Er benahm sich dabei, wie sich überhaupt Kinder benehmen, denen man eine unerwünschte Aufklärung – eine sexuelle oder andersartige </w:t>
      </w:r>
      <w:r w:rsidRPr="005C3C9A">
        <w:rPr>
          <w:rFonts w:ascii="Garamond" w:hAnsi="Garamond"/>
          <w:lang w:val="en-US"/>
        </w:rPr>
        <w:lastRenderedPageBreak/>
        <w:t>– gibt. Er verwarf das Neue – in unserem Falle aus Motiven der Kastrationsangst – und hielt am Alten fest. Er entschied sich für den Darm gegen die Vagina in derselben Weise und aus ähnlichen Motiven, wie er später gegen Gott für den Vater Partei nahm. Die neue Aufklärung wurde abgewiesen, die alte Theorie festgehalten; die letztere durfte das Material für die Identifizierung mit dem Weib abgeben, die später als Angst vor dem Darmtod auftrat, und für die ersten religiösen Skrupel, ob Christus einen Hintern gehabt habe u. dgl. Nicht als ob die neue Einsicht wirkungslos geblieben wäre; ganz im Gegenteile, sie entfaltete eine außerordentlich starke Wirkung, indem sie zum Motiv wurde, den ganzen Traumvorgang in der Verdrängung zu erhalten und von späterer bewußter Verarbeitung auszuschließen. Aber damit war ihre Wirkung erschöpft; auf die Entscheidung des sexuellen Problems nahm sie keinen Einfluß. Es war freilich ein Widerspruch, daß von da an Kastrationsangst bestehen konnte neben der Identifizierung mit dem Weib mittels des Darmes, aber doch nur ein logischer Widerspruch, was nicht viel besagt. Der ganze Vorgang ist vielmehr jetzt charakteristisch dafür, wie das Unbewußte arbeitet. Eine Verdrängung ist etwas anderes als eine Verwerfung.</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Als wir die Genese der Wolfsphobie studierten, verfolgten wir die Wirkung der neuen Einsicht in den geschlechtlichen Akt; jetzt, wo wir die Störungen der Darmtätigkeit untersuchen, befinden wir uns auf dem Boden der alten Kloakentheorie. Die beiden Standpunkte bleiben durch eine Verdrängungsstufe voneinander getrennt. Die durch den Verdrängungsakt abgewiesene weibliche Einstellung zum Manne zieht sich gleichsam in die Darmsymptomatik zurück und äußert sich in den häufig auftretenden Diarrhöen, Obstipationen und Darmschmerzen der Kinderjahre. Die späteren sexuellen Phantasien, die auf der Grundlage richtiger Sexualerkenntnis aufgebaut sind, können sich nun in regressiver Weise als Darmstörungen äußern. Wir verstehen dieselben aber nicht, ehe wir den Bedeutungswandel des Kotes seit den ersten Kindheitstagen aufgedeckt haben </w:t>
      </w:r>
      <w:hyperlink r:id="rId1288"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Vgl.: ›Über Triebumsetzungen‹ usw.</w:t>
        </w:r>
      </w:hyperlink>
      <w:r w:rsidRPr="005C3C9A">
        <w:rPr>
          <w:rFonts w:ascii="Garamond" w:hAnsi="Garamond"/>
          <w:lang w:val="en-US"/>
        </w:rPr>
        <w:t>.</w:t>
      </w:r>
    </w:p>
    <w:p w:rsidR="00822836" w:rsidRPr="005C3C9A" w:rsidRDefault="00822836" w:rsidP="00822836">
      <w:pPr>
        <w:pStyle w:val="Sansinterligne"/>
        <w:rPr>
          <w:rFonts w:ascii="Garamond" w:hAnsi="Garamond"/>
          <w:lang w:val="en-US"/>
        </w:rPr>
      </w:pPr>
      <w:r w:rsidRPr="005C3C9A">
        <w:rPr>
          <w:rFonts w:ascii="Garamond" w:hAnsi="Garamond"/>
          <w:lang w:val="en-US"/>
        </w:rPr>
        <w:t>Ich habe an einer früheren Stelle erraten lassen, daß vom Inhalt der Urszene ein Stück zurückgehalten ist, das ich nun nachtragen kann. Das Kind unterbrach endlich das Beisammensein der Eltern durch eine Stuhlentleerung, die sein Geschrei motivieren konnte. Für die Kritik dieses Zusatzes gilt alles das, was ich vorhin von dem anderen Inhalt derselben Szene in Diskussion gezogen habe. Der Patient akzeptierte diesen von mir konstruierten Schlußakt und schien ihn durch »passagere Symptombildung« zu bestätigen. Ein weiterer Zusatz, den ich vorgeschlagen hatte, daß der Vater über die Störung unzufrieden seinem Unmut durch Schimpfen Luft gemacht hatte, mußte wegfallen. Das Material der Analyse reagierte nicht darauf.</w:t>
      </w:r>
    </w:p>
    <w:p w:rsidR="00822836" w:rsidRPr="005C3C9A" w:rsidRDefault="00822836" w:rsidP="00822836">
      <w:pPr>
        <w:pStyle w:val="Sansinterligne"/>
        <w:rPr>
          <w:rFonts w:ascii="Garamond" w:hAnsi="Garamond"/>
          <w:lang w:val="en-US"/>
        </w:rPr>
      </w:pPr>
      <w:r w:rsidRPr="005C3C9A">
        <w:rPr>
          <w:rFonts w:ascii="Garamond" w:hAnsi="Garamond"/>
          <w:lang w:val="en-US"/>
        </w:rPr>
        <w:t>Das Detail, das ich jetzt hinzugefügt habe, darf natürlich mit dem anderen Inhalt der Szene nicht in eine Linie gestellt werden. Es handelt sich bei ihm nicht um einen Eindruck von außen, dessen Wiederkehr man in soviel späteren Zeichen zu erwarten hat, sondern um eine eigene Reaktion des Kindes. Es würde sich an der ganzen Geschichte nichts ändern, wenn diese Äußerung damals unterblieben oder wenn sie von später her in den Vorgang der Szene eingesetzt wäre. Ihre Auffassung ist aber nicht zweifelhaft. Sie bedeutet eine Erregtheit der Analzone (im weitesten Sinne). In anderen Fällen ähnlicher Art hat eine solche Beobachtung des Sexualverkehrs mit einer Harnentleerung geendigt; ein erwachsener Mann würde unter den gleichen Verhältnissen eine Erektion verspüren. Daß unser Knäblein als Zeichen seiner sexuellen Erregung eine Darmentleerung produziert, ist als Charakter seiner mitgebrachten Sexualkonstitution zu beurteilen. Er stellt sich sofort passiv ein, zeigt mehr Neigung zur späteren Identifizierung mit dem Weibe als mit dem Manne.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Er verwendet dabei den Darminhalt wie jedes andere Kind in einer seiner ersten und ursprünglichsten Bedeutungen. Der Kot ist das erste </w:t>
      </w:r>
      <w:r w:rsidRPr="005C3C9A">
        <w:rPr>
          <w:rFonts w:ascii="Garamond" w:hAnsi="Garamond"/>
          <w:i/>
          <w:iCs/>
          <w:lang w:val="en-US"/>
        </w:rPr>
        <w:t>Geschenk</w:t>
      </w:r>
      <w:r w:rsidRPr="005C3C9A">
        <w:rPr>
          <w:rFonts w:ascii="Garamond" w:hAnsi="Garamond"/>
          <w:lang w:val="en-US"/>
        </w:rPr>
        <w:t xml:space="preserve">, das erste Zärtlichkeitsopfer des Kindes, ein Teil des eigenen Leibes, dessen man sich entäußert, aber auch nur zu Gunsten einer geliebten Person </w:t>
      </w:r>
      <w:hyperlink r:id="rId1289"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 xml:space="preserve">Ich glaube, es läßt sich leicht bestätigen, daß Säuglinge nur die Personen, die von ihnen gekannt und geliebt werden, mit ihren Exkrementen beschmutzen; Fremde würdigen sie dieser Auszeichnung nicht. In den </w:t>
        </w:r>
        <w:r w:rsidRPr="005C3C9A">
          <w:rPr>
            <w:rStyle w:val="innerfusslink"/>
            <w:rFonts w:ascii="Garamond" w:hAnsi="Garamond"/>
            <w:i/>
            <w:iCs/>
            <w:color w:val="0000FF"/>
            <w:u w:val="single"/>
            <w:lang w:val="en-US"/>
          </w:rPr>
          <w:t>Drei Abhandlungen zur Sexualtheorie</w:t>
        </w:r>
        <w:r w:rsidRPr="005C3C9A">
          <w:rPr>
            <w:rStyle w:val="innerfusslink"/>
            <w:rFonts w:ascii="Garamond" w:hAnsi="Garamond"/>
            <w:color w:val="0000FF"/>
            <w:u w:val="single"/>
            <w:lang w:val="en-US"/>
          </w:rPr>
          <w:t xml:space="preserve"> habe ich die allererste Verwendung des Kotes zur autoerotischen Reizung der Darmschleimhaut erwähnt; als Fortschritt schließt sich nun an, daß die Rücksicht auf ein Objekt für die Defäkation maßgebend wird, dem das Kind dabei gehorsam oder gefällig ist. Diese Relation setzt sjch dann fort, indem sich auch das ältere Kind nur von gewissen bevorzugten Personen auf den Topf setzen, beim Urinieren helfen läßt, wobei aber auch andere Befriedigungsabsichten in Betracht kommen.</w:t>
        </w:r>
      </w:hyperlink>
      <w:r w:rsidRPr="005C3C9A">
        <w:rPr>
          <w:rFonts w:ascii="Garamond" w:hAnsi="Garamond"/>
          <w:lang w:val="en-US"/>
        </w:rPr>
        <w:t xml:space="preserve">. Die Verwendung zum Trotz wie in unserem Falle mit 3½ Jahren gegen die Gouvernante ist nur die negative Wendung dieser früheren Geschenkbedeutung. Der </w:t>
      </w:r>
      <w:r w:rsidRPr="005C3C9A">
        <w:rPr>
          <w:rFonts w:ascii="Garamond" w:hAnsi="Garamond"/>
          <w:i/>
          <w:iCs/>
          <w:lang w:val="en-US"/>
        </w:rPr>
        <w:t>grumus merdae</w:t>
      </w:r>
      <w:r w:rsidRPr="005C3C9A">
        <w:rPr>
          <w:rFonts w:ascii="Garamond" w:hAnsi="Garamond"/>
          <w:lang w:val="en-US"/>
        </w:rPr>
        <w:t xml:space="preserve">, den die Einbrecher am Tatort hinterlassen, scheint beides zu bedeuten: den Hohn und die regressiv ausgedrückte Entschädigung. Immer, wenn eine höhere Stufe erreicht ist, kann die frühere noch im negativ erniedrigten Sinne Verwendung finden. Die Verdrängung findet ihren Ausdruck in der Gegensätzlichkeit </w:t>
      </w:r>
      <w:hyperlink r:id="rId1290"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 xml:space="preserve">Es gibt </w:t>
        </w:r>
        <w:r w:rsidRPr="005C3C9A">
          <w:rPr>
            <w:rStyle w:val="innerfusslink"/>
            <w:rFonts w:ascii="Garamond" w:hAnsi="Garamond"/>
            <w:color w:val="0000FF"/>
            <w:u w:val="single"/>
            <w:lang w:val="en-US"/>
          </w:rPr>
          <w:lastRenderedPageBreak/>
          <w:t>im Unbewußten bekanntlich kein »Nein«; Gegensätze fallen zusammen. Die Negation wird erst durch den Vorgang der Verdrängung eingeführt.</w:t>
        </w:r>
      </w:hyperlink>
      <w:r w:rsidRPr="005C3C9A">
        <w:rPr>
          <w:rFonts w:ascii="Garamond" w:hAnsi="Garamond"/>
          <w:lang w:val="en-US"/>
        </w:rPr>
        <w: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Auf einer späteren Stufe der Sexualentwicklung nimmt der Kot die Bedeutung des </w:t>
      </w:r>
      <w:r w:rsidRPr="005C3C9A">
        <w:rPr>
          <w:rFonts w:ascii="Garamond" w:hAnsi="Garamond"/>
          <w:i/>
          <w:iCs/>
          <w:lang w:val="en-US"/>
        </w:rPr>
        <w:t>Kindes</w:t>
      </w:r>
      <w:r w:rsidRPr="005C3C9A">
        <w:rPr>
          <w:rFonts w:ascii="Garamond" w:hAnsi="Garamond"/>
          <w:lang w:val="en-US"/>
        </w:rPr>
        <w:t xml:space="preserve"> an. Das Kind wird ja durch den After geboren wie der Stuhlgang. Die Geschenkbedeutung des Kotes läßt diese Wandlung leicht zu. Das Kind wird im Sprachgebrauch als ein »Geschenk« bezeichnet; es wird häufiger vom Weibe ausgesagt, daß sie dem Manne »ein Kind geschenkt« hat, aber im Gebrauch des Unbewußten wird mit Recht die andere Seite des Verhältnisses, daß das Weib das Kind vom Manne als Geschenk »empfangen« hat, ebenso berücksichtigt.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 </w:t>
      </w:r>
      <w:r w:rsidRPr="005C3C9A">
        <w:rPr>
          <w:rFonts w:ascii="Garamond" w:hAnsi="Garamond"/>
          <w:i/>
          <w:iCs/>
          <w:lang w:val="en-US"/>
        </w:rPr>
        <w:t>Geld</w:t>
      </w:r>
      <w:r w:rsidRPr="005C3C9A">
        <w:rPr>
          <w:rFonts w:ascii="Garamond" w:hAnsi="Garamond"/>
          <w:lang w:val="en-US"/>
        </w:rPr>
        <w:t>bedeutung des Kotes zweigt nach einer anderen Richtung von der Geschenkbedeutung ab.</w:t>
      </w:r>
    </w:p>
    <w:p w:rsidR="00822836" w:rsidRPr="005C3C9A" w:rsidRDefault="00822836" w:rsidP="00822836">
      <w:pPr>
        <w:pStyle w:val="Sansinterligne"/>
        <w:rPr>
          <w:rFonts w:ascii="Garamond" w:hAnsi="Garamond"/>
          <w:lang w:val="en-US"/>
        </w:rPr>
      </w:pPr>
      <w:r w:rsidRPr="005C3C9A">
        <w:rPr>
          <w:rFonts w:ascii="Garamond" w:hAnsi="Garamond"/>
          <w:lang w:val="en-US"/>
        </w:rPr>
        <w:t>Die frühe Deckerinnerung unseres Kranken, daß er einen ersten Wutanfall produziert, weil er zu Weihnachten nicht genug Geschenke bekommen habe, enthüllt nun ihren tieferen Sinn. Was er vermißte, war die Sexualbefriedigung, die er anal gefaßt hatte. Seine Sexualforschung war vor dem Traum darauf vorbereitet und hatte es während des Traumvorganges begriffen, daß der Sexualakt das Rätsel der Herkunft der kleinen Kinder löse. Er hatte die kleinen Kinder schon vor dem Traum nicht gemocht. Einmal fand er einen kleinen, noch nackten Vogel, der aus dem Nest gefallen war, hielt ihn für einen kleinen Menschen und grauste sich vor ihm. Die Analyse wies nach, daß all die kleinen Tiere, Raupen, Insekten, gegen die er wütete, ihm kleine Kinder bedeutet hattenEbenso das Ungeziefer, das in Träumen und Phobien häufig für die kleinen Kinder steht.. Sein Verhältnis zur älteren Schwester hatte ihm Anlaß gegeben, viel über die Beziehung der älteren Kinder zu den jüngeren nachzudenken; als ihm die Nanja einmal gesagt hatte, die Mutter habe ihn so lieb, weil er der jüngste sei, hatte er ein begreifliches Motiv bekommen zu wünschen, daß ihm kein jüngeres Kind nachfolgen möge. Die Angst vor diesem jüngsten wurde dann unter dem Einfluß des Traumes, der ihm den Verkehr der Eltern vorführte, neu belebt.</w:t>
      </w:r>
    </w:p>
    <w:p w:rsidR="00822836" w:rsidRPr="005C3C9A" w:rsidRDefault="00822836" w:rsidP="00822836">
      <w:pPr>
        <w:pStyle w:val="Sansinterligne"/>
        <w:rPr>
          <w:rFonts w:ascii="Garamond" w:hAnsi="Garamond"/>
          <w:lang w:val="en-US"/>
        </w:rPr>
      </w:pPr>
      <w:r w:rsidRPr="005C3C9A">
        <w:rPr>
          <w:rFonts w:ascii="Garamond" w:hAnsi="Garamond"/>
          <w:lang w:val="en-US"/>
        </w:rPr>
        <w:t>Wir sollen also zu den uns bereits bekannten eine neue Sexualströmung hinzufügen, die wie die anderen von der im Traum reproduzierten Urszene ausgeht. In der Identifizierung mit dem Weibe (der Mutter) ist er bereit, dem Vater ein Kind zu schenken, und eifersüchtig auf die Mutter, die das schon getan hat und vielleicht wieder tun wird.</w:t>
      </w:r>
    </w:p>
    <w:p w:rsidR="00822836" w:rsidRPr="005C3C9A" w:rsidRDefault="00822836" w:rsidP="00822836">
      <w:pPr>
        <w:pStyle w:val="Sansinterligne"/>
        <w:rPr>
          <w:rFonts w:ascii="Garamond" w:hAnsi="Garamond"/>
          <w:lang w:val="en-US"/>
        </w:rPr>
      </w:pPr>
      <w:r w:rsidRPr="005C3C9A">
        <w:rPr>
          <w:rFonts w:ascii="Garamond" w:hAnsi="Garamond"/>
          <w:lang w:val="en-US"/>
        </w:rPr>
        <w:t>Auf dem Umweg über den gemeinsamen Ausgang der Geschenkbedeutung kann nun das Geld die Kindbedeutung an sich ziehen und solcherart den Ausdruck der femininen (homosexuellen) Befriedigung übernehmen. Dieser Vorgang vollzog sich bei unserem Patienten, als er einmal zur Zeit, da beide Geschwister in einem deutschen Sanatorium weilten, sah, daß der Vater der Schwester zwei große Geldnoten gab. Er hatte den Vater in seiner Phantasie immer mit der Schwester verdächtigt; nun erwachte seine Eifersucht, er stürzte sich auf die Schwester, als sie allein waren, und forderte mit solchem Ungestüm und mit solchen Vorwürfen seinen Anteil am Gelde, daß ihm die Schwester weinend das Ganze hinwarf. Es war nicht allein das reale Geld gewesen, das ihn gereizt hatte, viel mehr noch das Kind, die anale Sexualbefriedigung vom Vater. Mit dieser konnte er sich dann trösten, als – zu Lebzeiten des Vaters – die Schwester gestorben war. Sein empörender Gedanke bei der Nachricht ihres Todes bedeutete eigentlich nichts anderes als: Jetzt bin ich das einzige Kind, jetzt muß der Vater mich allein liebhaben. Aber der homosexuelle Hintergrund dieser durchaus bewußtseinsfähigen Erwägung war so unerträglich, daß ihre Verkleidung in schmutzige Habsucht wohl als große Erleichterung ermöglicht wurde. Ähnlich wenn er nach dem Tode des Vaters der Mutter jene ungerechten Vorwürfe machte, daß sie ihn ums Geld betrügen wolle, daß sie das Geld lieber habe als ihn. Die alte Eifersucht, daß sie noch ein anderes Kind als ihn geliebt, die Möglichkeit, daß sie sich noch nach ihm ein anderes Kind gewünscht, zwangen ihn zu Beschuldigungen, deren Haltlosigkeit er selbst erkannte.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Durch diese Analyse der Kotbedeutung wird uns nun klargelegt, daß die Zwangsgedanken, die Gott in Verbindung mit Kot bringen mußten, noch etwas anderes bedeuteten als die Schmähung, für die er sie erkannte. Sie waren vielmehr echte Kompromißergebnisse, an denen eine zärtliche, hingebende Strömung ebenso Anteil hatte wie eine feindselig beschimpfende. »Gott – Kot« war wahrscheinlich eine Abkürzung für ein Anerbieten, wie man es im Leben auch in ungekürzter Form zu hören bekommt. »Auf Gott scheißen«, »Gott etwas scheißen« heißt auch, ihm ein Kind schenken, sich von ihm ein Kind schenken lassen. Die alte negativ erniedrigte Geschenkbedeutung und die später aus ihr entwickelte Kindbedeutung sind in den Zwangsworten miteinander vereinigt. In der letzteren kommt eine feminine Zärtlichkeit zum Ausdruck, die Bereitwilligkeit, auf seine Männlichkeit zu verzichten, wenn man dafür als Weib geliebt werden kann. Also gerade jene Regung gegen Gott, die in dem Wahnsystem des paranoischen Senatspräsidenten Schreber </w:t>
      </w:r>
      <w:hyperlink r:id="rId1291"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[Siehe ›Psychoanalytische Bemerkungen über einen autobiographisch beschriebenen Fall von Paranoia‹ (1911)]</w:t>
        </w:r>
      </w:hyperlink>
      <w:r w:rsidRPr="005C3C9A">
        <w:rPr>
          <w:rFonts w:ascii="Garamond" w:hAnsi="Garamond"/>
          <w:lang w:val="en-US"/>
        </w:rPr>
        <w:t xml:space="preserve"> in unzweideutigen Worten ausgesprochen wird.</w:t>
      </w:r>
    </w:p>
    <w:p w:rsidR="00822836" w:rsidRPr="005C3C9A" w:rsidRDefault="00822836" w:rsidP="00822836">
      <w:pPr>
        <w:pStyle w:val="Sansinterligne"/>
        <w:rPr>
          <w:rFonts w:ascii="Garamond" w:hAnsi="Garamond"/>
          <w:lang w:val="en-US"/>
        </w:rPr>
      </w:pPr>
      <w:r w:rsidRPr="005C3C9A">
        <w:rPr>
          <w:rFonts w:ascii="Garamond" w:hAnsi="Garamond"/>
          <w:lang w:val="en-US"/>
        </w:rPr>
        <w:lastRenderedPageBreak/>
        <w:t>Wenn ich später von der letzten Symptomlösung bei meinem Patienten berichten werde, wird sich noch einmal zeigen lassen, wie die Darmstörung sich in den Dienst der homosexuellen Strömung gestellt und die feminine Einstellung zum Vater ausgedrückt hatte. Eine neue Bedeutung des Kotes soll uns jetzt den Weg zur Besprechung des Kastrationskomplexes bahnen.</w:t>
      </w:r>
    </w:p>
    <w:p w:rsidR="00822836" w:rsidRPr="005C3C9A" w:rsidRDefault="00822836" w:rsidP="00822836">
      <w:pPr>
        <w:pStyle w:val="Sansinterligne"/>
        <w:rPr>
          <w:rFonts w:ascii="Garamond" w:hAnsi="Garamond"/>
        </w:rPr>
      </w:pPr>
      <w:r w:rsidRPr="005C3C9A">
        <w:rPr>
          <w:rFonts w:ascii="Garamond" w:hAnsi="Garamond"/>
          <w:lang w:val="en-US"/>
        </w:rPr>
        <w:t xml:space="preserve">Indem die Kotsäule die erogene Darmschleimhaut reizt, spielt sie die Rolle eines aktiven Organs für dieselbe, benimmt sie sich wie der Penis gegen die Vaginalschleimhaut und wird gleichsam zum Vorläufer desselben in der Epoche der Kloake. Das Hergeben des Kotes zu Gunsten (aus Liebe zu) einer anderen Person wird seinerseits zum Vorbild der Kastration, es ist der erste Fall des Verzichts auf ein Stück des eigenen KörpersAls welches der Kot durchaus vom Kinde behandelt wird., um die Gunst eines geliebten Anderen zu gewinnen. </w:t>
      </w:r>
      <w:r w:rsidRPr="005C3C9A">
        <w:rPr>
          <w:rFonts w:ascii="Garamond" w:hAnsi="Garamond"/>
        </w:rPr>
        <w:t xml:space="preserve">Die sonst narzißtische Liebe zu seinem Penis entbehrt also nicht eines Beitrages von seiten der Analerotik. Der Kot, das Kind, der Penis ergeben also eine Einheit, einen unbewußten Begriff – </w:t>
      </w:r>
      <w:r w:rsidRPr="005C3C9A">
        <w:rPr>
          <w:rFonts w:ascii="Garamond" w:hAnsi="Garamond"/>
          <w:i/>
          <w:iCs/>
        </w:rPr>
        <w:t>sit venia verbo</w:t>
      </w:r>
      <w:r w:rsidRPr="005C3C9A">
        <w:rPr>
          <w:rFonts w:ascii="Garamond" w:hAnsi="Garamond"/>
        </w:rPr>
        <w:t xml:space="preserve"> –, den des vom Körper abtrennbaren Kleinen. Auf diesen Verbindungswegen können sich Verschiebungen und Verstärkungen der Libidobesetzung vollziehen, die für die Pathologie von Bedeutung sind und von der Analyse aufgedeckt werden.</w:t>
      </w:r>
    </w:p>
    <w:p w:rsidR="00822836" w:rsidRPr="005C3C9A" w:rsidRDefault="00822836" w:rsidP="00822836">
      <w:pPr>
        <w:pStyle w:val="Sansinterligne"/>
        <w:rPr>
          <w:rFonts w:ascii="Garamond" w:hAnsi="Garamond"/>
          <w:lang w:val="en-US"/>
        </w:rPr>
      </w:pPr>
      <w:r w:rsidRPr="005C3C9A">
        <w:rPr>
          <w:rFonts w:ascii="Garamond" w:hAnsi="Garamond"/>
        </w:rPr>
        <w:t xml:space="preserve">Die anfängliche Stellungnahme unseres Patienten gegen das Problem der Kastration ist uns bekannt geworden. Er verwarf sie und blieb auf dem Standpunkt des Verkehrs im After. Wenn ich gesagt habe, daß er sie verwarf, so ist die nächste Bedeutung dieses Ausdrucks, daß er von ihr nichts wissen wollte im Sinne der Verdrängung. </w:t>
      </w:r>
      <w:r w:rsidRPr="005C3C9A">
        <w:rPr>
          <w:rFonts w:ascii="Garamond" w:hAnsi="Garamond"/>
          <w:lang w:val="en-US"/>
        </w:rPr>
        <w:t xml:space="preserve">Damit war eigentlich kein Urteil über ihre Existenz gefällt, aber es war so gut, als ob sie nicht existierte. Diese Einstellung kann aber nicht die definitive, nicht einmal für die Jahre seiner Kindheitsneurose geblieben sein. Späterhin finden sich gute Beweise dafür, daß er die Kastration als Tatsache anerkannt hatte. Er hatte sich auch in diesem Punkte benommen, wie es für sein Wesen kennzeichnend war, was uns allerdings die Darstellung wie die Einfühlung so außerordentlich erschwert. Er hatte sich zuerst gesträubt und dann nachgegeben, aber die eine Reaktion hatte die andere nicht aufgehoben. Am Ende bestanden bei ihm zwei gegensätzliche Strömungen nebeneinander, von denen die eine die Kastration verabscheute, die andere bereit war, sie anzunehmen und sich mit der Weiblichkeit als Ersatz zu trösten. Die dritte, älteste und tiefste, welche die Kastration einfach verworfen hatte, wobei das Urteil über ihre Realität noch nicht in Frage kam, war gewiß auch noch aktivierbar. Ich habe von eben diesem Patienten an anderer Stelle </w:t>
      </w:r>
      <w:hyperlink r:id="rId1292"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 xml:space="preserve">›Über </w:t>
        </w:r>
        <w:r w:rsidRPr="005C3C9A">
          <w:rPr>
            <w:rStyle w:val="innerfusslink"/>
            <w:rFonts w:ascii="Garamond" w:hAnsi="Garamond"/>
            <w:i/>
            <w:iCs/>
            <w:color w:val="0000FF"/>
            <w:u w:val="single"/>
            <w:lang w:val="en-US"/>
          </w:rPr>
          <w:t>fausse reconnaissance</w:t>
        </w:r>
        <w:r w:rsidRPr="005C3C9A">
          <w:rPr>
            <w:rStyle w:val="innerfusslink"/>
            <w:rFonts w:ascii="Garamond" w:hAnsi="Garamond"/>
            <w:color w:val="0000FF"/>
            <w:u w:val="single"/>
            <w:lang w:val="en-US"/>
          </w:rPr>
          <w:t xml:space="preserve"> (» </w:t>
        </w:r>
        <w:r w:rsidRPr="005C3C9A">
          <w:rPr>
            <w:rStyle w:val="innerfusslink"/>
            <w:rFonts w:ascii="Garamond" w:hAnsi="Garamond"/>
            <w:i/>
            <w:iCs/>
            <w:color w:val="0000FF"/>
            <w:u w:val="single"/>
            <w:lang w:val="en-US"/>
          </w:rPr>
          <w:t>déjà raconté</w:t>
        </w:r>
        <w:r w:rsidRPr="005C3C9A">
          <w:rPr>
            <w:rStyle w:val="innerfusslink"/>
            <w:rFonts w:ascii="Garamond" w:hAnsi="Garamond"/>
            <w:color w:val="0000FF"/>
            <w:u w:val="single"/>
            <w:lang w:val="en-US"/>
          </w:rPr>
          <w:t>«) während der psychoanalytischen Arbeit‹</w:t>
        </w:r>
      </w:hyperlink>
      <w:r w:rsidRPr="005C3C9A">
        <w:rPr>
          <w:rFonts w:ascii="Garamond" w:hAnsi="Garamond"/>
          <w:lang w:val="en-US"/>
        </w:rPr>
        <w:t xml:space="preserve"> eine Halluzination aus seinem fünften Jahr erzählt, zu der ich hier nur einen kurzen Kommentar hinzuzufügen habe: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»Als ich fünf Jahre alt war, spielte ich im Garten neben meiner Kinderfrau und schnitzelte mit meinem Taschenmesser an der Rinde eines jener Nußbäume, die auch in meinem Traum </w:t>
      </w:r>
      <w:hyperlink r:id="rId1293"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Vgl. ›Märchenstoffe in Träumen‹.</w:t>
        </w:r>
      </w:hyperlink>
      <w:r w:rsidRPr="005C3C9A">
        <w:rPr>
          <w:rFonts w:ascii="Garamond" w:hAnsi="Garamond"/>
          <w:lang w:val="en-US"/>
        </w:rPr>
        <w:t xml:space="preserve"> eine Rolle spielenKorrektur bei späterer Erzählung: »Ich glaube, ich schnitt nicht in den Baum. Das ist eine Verschmelzung mit einer anderen Erinnerung, die auch halluzinatorisch gefälscht sein muß; daß ich in einen Baum einen Schnitt mit dem Messer machte und daß dabei </w:t>
      </w:r>
      <w:r w:rsidRPr="005C3C9A">
        <w:rPr>
          <w:rFonts w:ascii="Garamond" w:hAnsi="Garamond"/>
          <w:i/>
          <w:iCs/>
          <w:lang w:val="en-US"/>
        </w:rPr>
        <w:t>Blut</w:t>
      </w:r>
      <w:r w:rsidRPr="005C3C9A">
        <w:rPr>
          <w:rFonts w:ascii="Garamond" w:hAnsi="Garamond"/>
          <w:lang w:val="en-US"/>
        </w:rPr>
        <w:t xml:space="preserve"> aus dem Baume kam.«. Plötzlich bemerkte ich mit unaussprechlichem Schrecken, daß ich mir den kleinen Finger der (rechten oder linken?) Hand so durchgeschnitten hatte, daß er nur noch an der Haut hing. Schmerz spürte ich keinen, aber eine große Angst. Ich getraute mich nicht, der wenige Schritte entfernten Kinderfrau etwas zu sagen, sank auf die nächste Bank und blieb da sitzen, unfähig, noch einen Blick auf den Finger zu werfen. Endlich wurde ich ruhig, faßte den Finger ins Auge, und siehe da, er war ganz unverletzt.«</w:t>
      </w:r>
    </w:p>
    <w:p w:rsidR="00822836" w:rsidRPr="005C3C9A" w:rsidRDefault="00822836" w:rsidP="00822836">
      <w:pPr>
        <w:pStyle w:val="Sansinterligne"/>
        <w:rPr>
          <w:rFonts w:ascii="Garamond" w:hAnsi="Garamond"/>
          <w:lang w:val="en-US"/>
        </w:rPr>
      </w:pPr>
      <w:r w:rsidRPr="005C3C9A">
        <w:rPr>
          <w:rFonts w:ascii="Garamond" w:hAnsi="Garamond"/>
          <w:lang w:val="en-US"/>
        </w:rPr>
        <w:t>Wir wissen, daß mit 4½ Jahren nach der Mitteilung der heiligen Geschichte bei ihm jene intensive Denkarbeit einsetzte, die in die Zwangsfrömmigkeit auslief. Wir dürfen also annehmen, daß diese Halluzination in die Zeit fällt, in der er sich zur Anerkennung der Realität der Kastration entschloß, und daß sie vielleicht gerade diesen Schritt markieren sollte. Auch die kleine Korrektur des Patienten ist nicht ohne Interesse. Wenn er dasselbe schaurige Erlebnis halluzinierte, das Tasso im »Befreiten Jerusalem« von seinem Helden Tancred berichtet, so ist wohl die Deutung gerechtfertigt, daß auch für meinen kleinen Patienten der Baum ein Weib bedeutete. Er spielte also dabei den Vater und brachte die ihm bekannten Blutungen der Mutter mit der von ihm erkannten Kastration der Frauen, »der Wunde«, in Beziehung.</w:t>
      </w:r>
    </w:p>
    <w:p w:rsidR="00822836" w:rsidRPr="005C3C9A" w:rsidRDefault="00822836" w:rsidP="00822836">
      <w:pPr>
        <w:pStyle w:val="Sansinterligne"/>
        <w:rPr>
          <w:rFonts w:ascii="Garamond" w:hAnsi="Garamond"/>
          <w:lang w:val="en-US"/>
        </w:rPr>
      </w:pPr>
      <w:r w:rsidRPr="005C3C9A">
        <w:rPr>
          <w:rFonts w:ascii="Garamond" w:hAnsi="Garamond"/>
          <w:lang w:val="en-US"/>
        </w:rPr>
        <w:t>Die Anregung zur Halluzination vom abgeschnittenen Finger gab ihm, wie er später berichtete, die Erzählung, daß einer Verwandten, die mit sechs Zehen geboren wurde, dieses überzählige Glied gleich nachher mit einem Beil abgehackt wurde. Die Frauen hatten also keinen Penis, weil er ihnen bei der Geburt abgenommen worden war. Auf diesem Wege akzeptierte er zur Zeit der Zwangsneurose, was er schon während des Traumvorganges erfahren und damals durch Verdrängung von sich gewiesen hatte. Auch die rituelle Beschneidung Christi, wie der Juden überhaupt, konnte ihm während der Lektüre der heiligen Geschichte und der Gespräche über sie nicht unbekannt bleiben.</w:t>
      </w:r>
    </w:p>
    <w:p w:rsidR="00822836" w:rsidRPr="005C3C9A" w:rsidRDefault="00822836" w:rsidP="00822836">
      <w:pPr>
        <w:pStyle w:val="Sansinterligne"/>
        <w:rPr>
          <w:rFonts w:ascii="Garamond" w:hAnsi="Garamond"/>
          <w:lang w:val="en-US"/>
        </w:rPr>
      </w:pPr>
      <w:r w:rsidRPr="005C3C9A">
        <w:rPr>
          <w:rFonts w:ascii="Garamond" w:hAnsi="Garamond"/>
          <w:lang w:val="en-US"/>
        </w:rPr>
        <w:lastRenderedPageBreak/>
        <w:t>Es ist ganz unzweifelhaft, daß ihm um diese Zeit der Vater zu jener Schreckensperson wurde, von der die Kastration droht. Der grausame Gott, mit dem er damals rang, der die Menschen schuldig werden läßt, um sie dann zu bestrafen, der seinen Sohn und die Söhne der Menschen opfert, warf seinen Charakter auf den Vater zurück, den er anderseits gegen diesen Gott zu verteidigen suchte. Der Knabe hat hier ein phylogenetisches Schema zu erfüllen und bringt es zustande, wenngleich seine persönlichen Erlebnisse nicht dazu stimmen mögen. Die Kastrationsdrohungen oder Andeutungen, die er erfahren hatte, waren vielmehr von Frauen ausgegangenWir wissen es von der Nanja und werden es von einer anderen Frau noch erfahren., aber das konnte das Endergebnis nicht für lange aufhalten. Am Ende wurde es doch der Vater, von dem er die Kastration befürchtete. In diesem Punkte siegte die Heredität über das akzidentelle Erleben; in der Vorgeschichte der Menschheit ist es gewiß der Vater gewesen, der die Kastration als Strafe übte und sie dann zur Beschneidung ermäßigte. Je weiter er auch im Verlaufe des Prozesses der Zwangsneurose in der Verdrängung der Sinnlichkeit kamSiehe die Belege dafür S. 184., desto natürlicher mußte es ihm werden, den Vater, den eigentlichen Vertreter der sinnlichen Betätigung, mit solchen bösen Absichten auszustatten.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 Identifizierung des Vaters mit dem Kastrator </w:t>
      </w:r>
      <w:hyperlink r:id="rId1294"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Zu den quälendsten, aber auch groteskesten Symptomen seines späteren Leidens gehörte sein Verhältnis zu jedem – Schneider, bei dem er ein Kleidungsstück bestellt hatte, sein Respekt und seine Schüchternheit vor dieser hohen Person, seine Versuche, sie durch unmäßige Trinkgelder für sich einzunehmen, und seine Verzweiflung über den Erfolg der Arbeit, wie immer sie ausgefallen sein mochte.</w:t>
        </w:r>
      </w:hyperlink>
      <w:r w:rsidRPr="005C3C9A">
        <w:rPr>
          <w:rFonts w:ascii="Garamond" w:hAnsi="Garamond"/>
          <w:lang w:val="en-US"/>
        </w:rPr>
        <w:t xml:space="preserve"> wurde bedeutungsvoll als die Quelle einer intensiven, bis zum Todeswunsch gesteigerten, unbewußten Feindseligkeit gegen ihn und der darauf reagierenden Schuldgefühle. Soweit benahm er sich aber normal, d. h. wie jeder Neurotiker, der von einem positiven Ödipuskomplex besessen ist. Das Merkwürdige war dann, daß auch hiefür bei ihm eine Gegenströmung existierte, bei der der Vater vielmehr der Kastrierte war und als solcher sein Mitleid herausforderte.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habe bei der Analyse des Atemzeremoniells beim Anblick von Krüppeln, Bettlern usw. zeigen können, daß auch dieses Symptom auf den Vater zurückging, der ihm als Kranker bei dem Besuch in der Anstalt leid getan hatte. Die Analyse gestattete, diesen Faden noch weiter zurückzuverfolgen. Es gab in sehr früher Zeit, wahrscheinlich noch vor der Verführung (3¼ Jahre) auf dem Gute einen armen Taglöhner, der das Wasser ins Haus zu tragen hatte. Er konnte nicht sprechen, angeblich weil man ihm die Zunge abgeschnitten hatte. Wahrscheinlich war es ein Taubstummer. Der Kleine liebte ihn sehr und bedauerte ihn von Herzen. Als er gestorben war, suchte er ihn am Himmel </w:t>
      </w:r>
      <w:hyperlink r:id="rId1295"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Ich erwähne in diesem Zusammenhange Träume, die später als der Angsttraum, aber noch auf dem ersten Gut vorfielen und die Koitusszene als Vorgang zwischen Himmelskörpern darstellten.</w:t>
        </w:r>
      </w:hyperlink>
      <w:r w:rsidRPr="005C3C9A">
        <w:rPr>
          <w:rFonts w:ascii="Garamond" w:hAnsi="Garamond"/>
          <w:lang w:val="en-US"/>
        </w:rPr>
        <w:t>. Das war also der erste von ihm bemitleidete Krüppel; nach dem Zusammenhang und der Anreihung in der Analyse unzweifelhaft ein Vaterersatz.</w:t>
      </w:r>
    </w:p>
    <w:p w:rsidR="00822836" w:rsidRPr="005C3C9A" w:rsidRDefault="00822836" w:rsidP="00822836">
      <w:pPr>
        <w:pStyle w:val="Sansinterligne"/>
        <w:rPr>
          <w:rFonts w:ascii="Garamond" w:hAnsi="Garamond"/>
          <w:lang w:val="en-US"/>
        </w:rPr>
      </w:pPr>
      <w:r w:rsidRPr="005C3C9A">
        <w:rPr>
          <w:rFonts w:ascii="Garamond" w:hAnsi="Garamond"/>
          <w:lang w:val="en-US"/>
        </w:rPr>
        <w:t>Die Analyse schloß an ihn die Erinnerung an andere ihm sympathische Diener an, von denen er hervorhob, daß sie kränklich oder Juden (Beschneidung!) gewesen waren. Auch der Lakai, der ihn bei seinem Malheur mit 4½ Jahren reinigen half, war ein Jude und schwindsüchtig und genoß sein Mitleid. Alle diese Personen fallen in die Zeit vor dem Besuch des Vaters im Sanatorium, also vor die Symptombildung, die vielmehr durch das Ausatmen eine Identifizierung mit den Bedauerten fernhalten sollte. Dann wandte sich die Analyse plötzlich im Anschluß an einen Traum in die Vorzeit zurück und ließ ihn die Behauptung aufstellen, daß er bei dem Koitus der Urszene das Verschwinden des Penis beobachtete, den Vater darum bemitleidet und sich über das Wiedererscheinen des verloren Geglaubten gefreut habe. Also eine neue Gefühlsregung, die wiederum von dieser Szene ausgeht. Der narzißtische Ursprung des Mitleids, für den das Wort selbst spricht, ist hier übrigens ganz unverkennbar.</w:t>
      </w:r>
    </w:p>
    <w:p w:rsidR="00822836" w:rsidRDefault="00822836" w:rsidP="00822836">
      <w:pPr>
        <w:rPr>
          <w:rFonts w:ascii="Garamond" w:hAnsi="Garamond"/>
          <w:lang w:val="en-US"/>
        </w:rPr>
      </w:pPr>
      <w:r>
        <w:rPr>
          <w:rFonts w:ascii="Garamond" w:hAnsi="Garamond"/>
          <w:lang w:val="en-US"/>
        </w:rPr>
        <w:br w:type="page"/>
      </w:r>
    </w:p>
    <w:p w:rsidR="00822836" w:rsidRPr="00822836" w:rsidRDefault="00B437A1" w:rsidP="00822836">
      <w:pPr>
        <w:pStyle w:val="Sansinterligne"/>
        <w:rPr>
          <w:rFonts w:ascii="Garamond" w:hAnsi="Garamond"/>
          <w:b/>
          <w:lang w:val="en-US"/>
        </w:rPr>
      </w:pPr>
      <w:hyperlink w:anchor="WolfmanInhalt" w:history="1">
        <w:r w:rsidR="00822836" w:rsidRPr="00822836">
          <w:rPr>
            <w:rStyle w:val="Lienhypertexte"/>
            <w:rFonts w:ascii="Garamond" w:hAnsi="Garamond"/>
            <w:b/>
            <w:lang w:val="en-US"/>
          </w:rPr>
          <w:t>VIII. Na</w:t>
        </w:r>
        <w:bookmarkStart w:id="238" w:name="Wolfman8"/>
        <w:bookmarkEnd w:id="238"/>
        <w:r w:rsidR="00822836" w:rsidRPr="00822836">
          <w:rPr>
            <w:rStyle w:val="Lienhypertexte"/>
            <w:rFonts w:ascii="Garamond" w:hAnsi="Garamond"/>
            <w:b/>
            <w:lang w:val="en-US"/>
          </w:rPr>
          <w:t>chträge aus der Urzeit – Lösung</w:t>
        </w:r>
      </w:hyperlink>
    </w:p>
    <w:p w:rsidR="00822836" w:rsidRPr="00822836" w:rsidRDefault="00822836" w:rsidP="00822836">
      <w:pPr>
        <w:pStyle w:val="Sansinterligne"/>
        <w:rPr>
          <w:rFonts w:ascii="Garamond" w:hAnsi="Garamond"/>
          <w:lang w:val="en-US"/>
        </w:rPr>
      </w:pPr>
    </w:p>
    <w:p w:rsidR="00822836" w:rsidRPr="005C3C9A" w:rsidRDefault="00822836" w:rsidP="00822836">
      <w:pPr>
        <w:pStyle w:val="Sansinterligne"/>
        <w:rPr>
          <w:rFonts w:ascii="Garamond" w:hAnsi="Garamond"/>
          <w:lang w:val="en-US"/>
        </w:rPr>
      </w:pPr>
      <w:r w:rsidRPr="005C3C9A">
        <w:rPr>
          <w:rFonts w:ascii="Garamond" w:hAnsi="Garamond"/>
          <w:lang w:val="en-US"/>
        </w:rPr>
        <w:t>In vielen Analysen geht es so zu, daß, wenn man sich dem Ende nähert, plötzlich neues Erinnerungsmaterial auftaucht, welches bisher sorgfältig verborgen gehalten wurde. Oder es wird einmal eine unscheinbare Bemerkung hingeworfen, in gleichgültigem Ton, als wäre es etwas Überflüssiges, zu dieser kommt ein andermal etwas hinzu, was den Arzt bereits aufhorchen läßt, und endlich erkennt man in jenem geringgeschätzten Brocken Erinnerung den Schlüssel zu den wichtigsten Geheimnissen, welche die Neurose des Kranken umkleidete.</w:t>
      </w:r>
    </w:p>
    <w:p w:rsidR="00822836" w:rsidRPr="005C3C9A" w:rsidRDefault="00822836" w:rsidP="00822836">
      <w:pPr>
        <w:pStyle w:val="Sansinterligne"/>
        <w:rPr>
          <w:rFonts w:ascii="Garamond" w:hAnsi="Garamond"/>
          <w:lang w:val="en-US"/>
        </w:rPr>
      </w:pPr>
      <w:r w:rsidRPr="005C3C9A">
        <w:rPr>
          <w:rFonts w:ascii="Garamond" w:hAnsi="Garamond"/>
          <w:lang w:val="en-US"/>
        </w:rPr>
        <w:t>Frühzeitig hatte mein Patient eine Erinnerung aus der Zeit erzählt, da seine Schlimmheit in Angst umzuschlagen pflegte. Er verfolgte einen schönen großen Schmetterling mit gelben Streifen, dessen große Flügel in spitze Fortsätze ausliefen – also einen Schwalbenschwanz. Plötzlich erfaßte ihn, als der Schmetterling sich auf eine Blume gesetzt hatte, eine schreckliche Angst vor dem Tier und er lief schreiend davon.</w:t>
      </w:r>
    </w:p>
    <w:p w:rsidR="00822836" w:rsidRPr="005C3C9A" w:rsidRDefault="00822836" w:rsidP="00822836">
      <w:pPr>
        <w:pStyle w:val="Sansinterligne"/>
        <w:rPr>
          <w:rFonts w:ascii="Garamond" w:hAnsi="Garamond"/>
          <w:lang w:val="en-US"/>
        </w:rPr>
      </w:pPr>
      <w:r w:rsidRPr="005C3C9A">
        <w:rPr>
          <w:rFonts w:ascii="Garamond" w:hAnsi="Garamond"/>
          <w:lang w:val="en-US"/>
        </w:rPr>
        <w:t>Diese Erinnerung kehrte von Zeit zu Zeit in der Analyse wieder und forderte ihre Erklärung, die sie lange nicht erhielt. Es war doch von vornherein anzunehmen, daß ein solches Detail nicht seinetwegen selbst einen Platz im Gedächtnis behalten hatte, sondern als Deckerinnerung Wichtigeres vertrat, womit es irgendwie verknüpft war. Er sagte eines Tages, ein Schmetterling heiße in seiner Sprache: Babuschka, altes Mütterchen; überhaupt seien ihm die Schmetterlinge wie Frauen und Mädchen, die Käfer und Raupen wie Knaben erschienen. Also mußte wohl die Erinnerung an ein weibliches Wesen bei jener Angstszene wach geworden sein. Ich will nicht verschweigen, daß ich damals die Möglichkeit vorschlug, die gelben Streifen des Schmetterlings hätten an die ähnliche Streifung eines Kleidungsstückes, das eine Frau trug, gemahnt. Ich tue das nur, um an einem Beispiel zu zeigen, wie unzureichend in der Regel die Kombination des Arztes zur Lösung der aufgeworfenen Fragen ist, wie sehr man Unrecht tut, die Phantasie und die Suggestion des Arztes für die Ergebnisse der Analyse verantwortlich zu machen.</w:t>
      </w:r>
    </w:p>
    <w:p w:rsidR="00822836" w:rsidRPr="005C3C9A" w:rsidRDefault="00822836" w:rsidP="00822836">
      <w:pPr>
        <w:pStyle w:val="Sansinterligne"/>
        <w:rPr>
          <w:rFonts w:ascii="Garamond" w:hAnsi="Garamond"/>
          <w:lang w:val="en-US"/>
        </w:rPr>
      </w:pPr>
      <w:r w:rsidRPr="005C3C9A">
        <w:rPr>
          <w:rFonts w:ascii="Garamond" w:hAnsi="Garamond"/>
          <w:lang w:val="en-US"/>
        </w:rPr>
        <w:t>In einem ganz anderen Zusammenhange, viele Monate später, machte dann der Patient die Bemerkung, das Öffnen und Schließen der Flügel, als der Schmetterling saß, hätte den unheimlichen Eindruck auf ihn gemacht. Dies wäre so gewesen, wie wenn eine Frau die Beine öffnet, und die Beine ergäben dann die Figur einer römischen V, bekanntlich die Stunde, um welche schon in seinen Knabenjahren, aber auch jetzt noch, eine Verdüsterung seiner Stimmung einzutreten pflegte.</w:t>
      </w:r>
    </w:p>
    <w:p w:rsidR="00822836" w:rsidRPr="005C3C9A" w:rsidRDefault="00822836" w:rsidP="00822836">
      <w:pPr>
        <w:pStyle w:val="Sansinterligne"/>
        <w:rPr>
          <w:rFonts w:ascii="Garamond" w:hAnsi="Garamond"/>
          <w:lang w:val="en-US"/>
        </w:rPr>
      </w:pPr>
      <w:r w:rsidRPr="005C3C9A">
        <w:rPr>
          <w:rFonts w:ascii="Garamond" w:hAnsi="Garamond"/>
          <w:lang w:val="en-US"/>
        </w:rPr>
        <w:t>Das war ein Einfall, auf den ich nie gekommen wäre, dessen Schätzung aber durch die Erwägung gewann, daß der darin bloßgelegte Assoziationsvorgang so recht infantilen Charakter hatte. Die Aufmerksamkeit der Kinder, habe ich oft bemerkt, wird durch Bewegungen weit mehr angezogen als durch ruhende Formen, und sie stellen oft Assoziationen auf Grund von ähnlicher Bewegung her, die von uns Erwachsenen vernachlässigt oder unterlassen werden.</w:t>
      </w:r>
    </w:p>
    <w:p w:rsidR="00822836" w:rsidRPr="005C3C9A" w:rsidRDefault="00822836" w:rsidP="00822836">
      <w:pPr>
        <w:pStyle w:val="Sansinterligne"/>
        <w:rPr>
          <w:rFonts w:ascii="Garamond" w:hAnsi="Garamond"/>
          <w:lang w:val="en-US"/>
        </w:rPr>
      </w:pPr>
      <w:r w:rsidRPr="005C3C9A">
        <w:rPr>
          <w:rFonts w:ascii="Garamond" w:hAnsi="Garamond"/>
          <w:lang w:val="en-US"/>
        </w:rPr>
        <w:t>Dann ruhte das kleine Problem wieder für lange Zeit. Ich will noch die wohlfeile Vermutung erwähnen, daß die spitzen oder stangenartigen Fortsätze der Schmetterlingsflügel eine Bedeutung als Genitalsymbole gehabt haben könnten.</w:t>
      </w:r>
    </w:p>
    <w:p w:rsidR="00822836" w:rsidRPr="005C3C9A" w:rsidRDefault="00822836" w:rsidP="00822836">
      <w:pPr>
        <w:pStyle w:val="Sansinterligne"/>
        <w:rPr>
          <w:rFonts w:ascii="Garamond" w:hAnsi="Garamond"/>
          <w:lang w:val="en-US"/>
        </w:rPr>
      </w:pPr>
      <w:r w:rsidRPr="005C3C9A">
        <w:rPr>
          <w:rFonts w:ascii="Garamond" w:hAnsi="Garamond"/>
          <w:lang w:val="en-US"/>
        </w:rPr>
        <w:t>Eines Tages tauchte schüchtern und undeutlich eine Art von Erinnerung auf, es müßte sehr frühe, noch vor der Kinderfrau, ein Kindermädchen gegeben haben, das ihn sehr lieb hatte. Sie hatte denselben Namen wie die Mutter. Gewiß erwiderte er ihre Zärtlichkeit. Also eine verschollene erste Liebe. Wir einigten uns aber, irgend etwas müßte da vorgefallen sein, was später von Wichtigkeit wurde.</w:t>
      </w:r>
    </w:p>
    <w:p w:rsidR="00822836" w:rsidRPr="005C3C9A" w:rsidRDefault="00822836" w:rsidP="00822836">
      <w:pPr>
        <w:pStyle w:val="Sansinterligne"/>
        <w:rPr>
          <w:rFonts w:ascii="Garamond" w:hAnsi="Garamond"/>
          <w:lang w:val="en-US"/>
        </w:rPr>
      </w:pPr>
      <w:r w:rsidRPr="005C3C9A">
        <w:rPr>
          <w:rFonts w:ascii="Garamond" w:hAnsi="Garamond"/>
        </w:rPr>
        <w:t xml:space="preserve">Dann korrigierte er ein anderes Mal seine Erinnerung. </w:t>
      </w:r>
      <w:r w:rsidRPr="005C3C9A">
        <w:rPr>
          <w:rFonts w:ascii="Garamond" w:hAnsi="Garamond"/>
          <w:lang w:val="en-US"/>
        </w:rPr>
        <w:t xml:space="preserve">Sie könne nicht so geheißen haben wie die Mutter, das war ein Irrtum von ihm, der natürlich bewies, daß sie ihm in der Erinnerung mit der Mutter zusammengeflossen war. Ihr richtiger Name sei ihm auch auf einem Umwege eingefallen. Er habe plötzlich an einen Lagerraum auf dem ersten Gute denken müssen, in dem das abgenommene Obst aufbewahrt wurde, und an eine gewisse Sorte Birnen von ausgezeichnetem Geschmack, große Birnen mit gelben Streifen auf ihrer Schale. Birne heißt in seiner Sprache </w:t>
      </w:r>
      <w:r w:rsidRPr="005C3C9A">
        <w:rPr>
          <w:rFonts w:ascii="Garamond" w:hAnsi="Garamond"/>
          <w:i/>
          <w:iCs/>
          <w:lang w:val="en-US"/>
        </w:rPr>
        <w:t>Gruscha</w:t>
      </w:r>
      <w:r w:rsidRPr="005C3C9A">
        <w:rPr>
          <w:rFonts w:ascii="Garamond" w:hAnsi="Garamond"/>
          <w:lang w:val="en-US"/>
        </w:rPr>
        <w:t>, und dies war auch der Name des Kindermädchens.</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Also wurde es klar, daß sich hinter der Deckerinnerung des gejagten Schmetterlings das Gedächtnis des Kindermädchens verbarg. </w:t>
      </w:r>
      <w:r w:rsidRPr="005C3C9A">
        <w:rPr>
          <w:rFonts w:ascii="Garamond" w:hAnsi="Garamond"/>
        </w:rPr>
        <w:t xml:space="preserve">Die gelben Streifen saßen aber nicht auf ihrem Kleid, sondern auf dem der Birne, die so hieß wie sie selbst. </w:t>
      </w:r>
      <w:r w:rsidRPr="005C3C9A">
        <w:rPr>
          <w:rFonts w:ascii="Garamond" w:hAnsi="Garamond"/>
          <w:lang w:val="en-US"/>
        </w:rPr>
        <w:t>Aber woher die Angst bei der Aktivierung der Erinnerung an sie? Die nächste plumpe Kombination hätte lauten können, bei diesem Mädchen habe er als kleines Kind zuerst die Bewegungen der Beine gesehen, die er sich mit dem Zeichen der römischen V fixiert hatte, Bewegungen, die das Genitale zugänglich machen. Wir ersparten uns diese Kombination und warteten auf weiteres Material.</w:t>
      </w:r>
    </w:p>
    <w:p w:rsidR="00822836" w:rsidRPr="005C3C9A" w:rsidRDefault="00822836" w:rsidP="00822836">
      <w:pPr>
        <w:pStyle w:val="Sansinterligne"/>
        <w:rPr>
          <w:rFonts w:ascii="Garamond" w:hAnsi="Garamond"/>
          <w:lang w:val="en-US"/>
        </w:rPr>
      </w:pPr>
      <w:r w:rsidRPr="005C3C9A">
        <w:rPr>
          <w:rFonts w:ascii="Garamond" w:hAnsi="Garamond"/>
          <w:lang w:val="en-US"/>
        </w:rPr>
        <w:lastRenderedPageBreak/>
        <w:t>Sehr bald kam nun die Erinnerung an eine Szene, unvollständig, aber soweit sie erhalten war, bestimmt. Gruscha lag auf dem Boden, neben ihr ein Kübel und ein aus Ruten gebundener kurzer Besen; er war dabei und sie neckte ihn oder machte ihn aus.</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Was daran fehlte, war von anderen Stellen her leicht einzusetzen. Er hatte in den ersten Monaten der Kur von einer zwanghaft aufgetretenen Verliebtheit in ein Bauernmädchen erzählt, bei der er sich mit 18 Jahren den Anlaß zu seiner späteren Erkrankung geholt hatte. Damals hatte er sich in der auffälligsten Weise gesträubt, den Namen des Mädchens mitzuteilen. Es war ein ganz vereinzelter Widerstand; er war der analytischen Grundregel sonst ohne Rückhalt gehorsam. Aber er behauptete, er müsse sich so sehr schämen, diesen Namen auszusprechen, weil er rein bäuerlich sei; ein vornehmeres Mädchen würde ihn nie tragen. Der Name, den man endlich erfuhr, war </w:t>
      </w:r>
      <w:r w:rsidRPr="005C3C9A">
        <w:rPr>
          <w:rFonts w:ascii="Garamond" w:hAnsi="Garamond"/>
          <w:i/>
          <w:iCs/>
          <w:lang w:val="en-US"/>
        </w:rPr>
        <w:t>Matrona</w:t>
      </w:r>
      <w:r w:rsidRPr="005C3C9A">
        <w:rPr>
          <w:rFonts w:ascii="Garamond" w:hAnsi="Garamond"/>
          <w:lang w:val="en-US"/>
        </w:rPr>
        <w:t>. Er hatte mütterlichen Klang. Das Schämen war offenbar deplaciert. Der Tatsache selbst, daß diese Verliebtheiten ausschließlich die niedrigsten Mädchen betrafen, schämte er sich nicht, nur des Namens. Wenn das Abenteuer mit der Matrona etwas Gemeinsames mit der Gruschaszene haben konnte, dann war das Schämen in diese frühe Begebenheit zurückzuversetzen.</w:t>
      </w:r>
    </w:p>
    <w:p w:rsidR="00822836" w:rsidRPr="005C3C9A" w:rsidRDefault="00822836" w:rsidP="00822836">
      <w:pPr>
        <w:pStyle w:val="Sansinterligne"/>
        <w:rPr>
          <w:rFonts w:ascii="Garamond" w:hAnsi="Garamond"/>
          <w:lang w:val="en-US"/>
        </w:rPr>
      </w:pPr>
      <w:r w:rsidRPr="005C3C9A">
        <w:rPr>
          <w:rFonts w:ascii="Garamond" w:hAnsi="Garamond"/>
          <w:lang w:val="en-US"/>
        </w:rPr>
        <w:t>Er hatte ein anderes Mal erzählt, als er die Geschichte von Johannes Huß erfuhr, wurde er von ihr sehr ergriffen, und seine Aufmerksamkeit blieb an den Bündeln von Reisig hängen, die man zu seinem Scheiterhaufen schleppte. Die Sympathie für Huß erweckt nun einen ganz bestimmten Verdacht; ich habe sie bei jugendlichen Patienten oft gefunden und immer auf dieselbe Weise aufklären können. Einer derselben hatte sogar eine dramatische Bearbeitung der Schicksale des Huß geliefert; er begann sein Drama an dem Tage zu schreiben, der ihm das Objekt seiner geheim gehaltenen Verliebtheit entzog. Huß stirbt den Feuertod, er wird wie andere, welche die gleiche Bedingung erfüllen, der Held der ehemaligen Enuretiker. Die Reisigbündel beim Scheiterhaufen des Huß stellte mein Patient selbst mit dem Besen (Rutenbündel) des Kindermädchens zusammen.</w:t>
      </w:r>
    </w:p>
    <w:p w:rsidR="00822836" w:rsidRPr="005C3C9A" w:rsidRDefault="00822836" w:rsidP="00822836">
      <w:pPr>
        <w:pStyle w:val="Sansinterligne"/>
        <w:rPr>
          <w:rFonts w:ascii="Garamond" w:hAnsi="Garamond"/>
          <w:lang w:val="en-US"/>
        </w:rPr>
      </w:pPr>
      <w:r w:rsidRPr="005C3C9A">
        <w:rPr>
          <w:rFonts w:ascii="Garamond" w:hAnsi="Garamond"/>
          <w:lang w:val="en-US"/>
        </w:rPr>
        <w:t>Dieses Material fügte sich zwanglos zusammen, um die Lücke in der Erinnerung der Szene mit der Gruscha auszufüllen. Er hatte, als er dem Mädchen beim Aufwaschen des Bodens zusah, ins Zimmer uriniert und sie darauf eine gewiß scherzhafte Kastrationsdrohung ausgesprochenEs ist sehr merkwürdig, daß die Reaktion der Beschämung so innig mit der unfreiwilligen (täglichen wie nächtlichen) Harnentleerung verbunden ist und nicht, wie man erwarten sollte, ebenso mit der Stuhlinkontinenz. Die Erfahrung läßt hierüber gar keinen Zweifel bestehen. Auch die regelmäßige Beziehung der Harninkontinenz zum Feuer gibt zu denken. Es ist möglich, daß in diesen Reaktionen und Zusammenhängen Niederschläge aus der Kulturgeschichte der Menschheit vorliegen, die tiefer hinabreichen als alles, was uns durch seine Spuren im Mythus und im Folklore erhalten ist..</w:t>
      </w:r>
    </w:p>
    <w:p w:rsidR="00822836" w:rsidRPr="005C3C9A" w:rsidRDefault="00822836" w:rsidP="00822836">
      <w:pPr>
        <w:pStyle w:val="Sansinterligne"/>
        <w:rPr>
          <w:rFonts w:ascii="Garamond" w:hAnsi="Garamond"/>
          <w:lang w:val="en-US"/>
        </w:rPr>
      </w:pPr>
      <w:r w:rsidRPr="005C3C9A">
        <w:rPr>
          <w:rFonts w:ascii="Garamond" w:hAnsi="Garamond"/>
          <w:lang w:val="en-US"/>
        </w:rPr>
        <w:t>Ich weiß nicht, ob die Leser schon erraten können, warum ich diese frühinfantile Episode so ausführlich mitgeteilt habeSie fällt etwa in die Zeit um 2½ Jahre, zwischen der angeblichen Koitusbeobachtung und der Verführung.. Sie stellt eine wichtige Verbindung her zwischen der Urszene und dem späteren Liebeszwang, der so entscheidend für sein Schicksal geworden ist, und führt überdies eine Liebesbedingung ein, welche diesen Zwang aufklärt.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Als er das Mädchen auf dem Boden liegen sah, mit dem Aufwaschen desselben beschäftigt, kniend, die Nates vorgestreckt, den Rücken horizontal gehalten, fand er an ihr die Stellung wieder, welche die Mutter in der Koitusszene eingenommen hatte. </w:t>
      </w:r>
      <w:r w:rsidRPr="005C3C9A">
        <w:rPr>
          <w:rFonts w:ascii="Garamond" w:hAnsi="Garamond"/>
        </w:rPr>
        <w:t xml:space="preserve">Sie wurde ihm zur Mutter, die sexuelle Erregung infolge der Aktivierung jenes Bildes </w:t>
      </w:r>
      <w:hyperlink r:id="rId1296" w:history="1">
        <w:r w:rsidRPr="005C3C9A">
          <w:rPr>
            <w:rStyle w:val="Lienhypertexte"/>
            <w:rFonts w:ascii="Garamond" w:hAnsi="Garamond"/>
          </w:rPr>
          <w:t>[Fußnote]</w:t>
        </w:r>
        <w:r w:rsidRPr="005C3C9A">
          <w:rPr>
            <w:rStyle w:val="innerfusslink"/>
            <w:rFonts w:ascii="Garamond" w:hAnsi="Garamond"/>
            <w:color w:val="0000FF"/>
            <w:u w:val="single"/>
          </w:rPr>
          <w:t>Vor dem Traume!</w:t>
        </w:r>
      </w:hyperlink>
      <w:r w:rsidRPr="005C3C9A">
        <w:rPr>
          <w:rFonts w:ascii="Garamond" w:hAnsi="Garamond"/>
        </w:rPr>
        <w:t xml:space="preserve"> </w:t>
      </w:r>
      <w:r w:rsidRPr="005C3C9A">
        <w:rPr>
          <w:rFonts w:ascii="Garamond" w:hAnsi="Garamond"/>
          <w:lang w:val="en-US"/>
        </w:rPr>
        <w:t>ergriff ihn, und er benahm sich männlich gegen sie wie der Vater, dessen Aktion er damals ja nur als ein Urinieren verstanden haben konnte. Sein auf den Boden Urinieren war eigentlich ein Verführungsversuch, und das Mädchen antwortete darauf mit einer Kastrationsdrohung, als ob sie ihn verstanden hätte.</w:t>
      </w:r>
    </w:p>
    <w:p w:rsidR="00822836" w:rsidRPr="005C3C9A" w:rsidRDefault="00822836" w:rsidP="00822836">
      <w:pPr>
        <w:pStyle w:val="Sansinterligne"/>
        <w:rPr>
          <w:rFonts w:ascii="Garamond" w:hAnsi="Garamond"/>
          <w:lang w:val="en-US"/>
        </w:rPr>
      </w:pPr>
      <w:r w:rsidRPr="005C3C9A">
        <w:rPr>
          <w:rFonts w:ascii="Garamond" w:hAnsi="Garamond"/>
          <w:lang w:val="en-US"/>
        </w:rPr>
        <w:t>Der von der Urszene ausgehende Zwang übertrug sich auf diese Szene mit der Gruscha und wirkte durch sie fort. Die Liebesbedingung erfuhr aber eine Abänderung, welche den Einfluß der zweiten Szene bezeugt; sie übertrug sich von der Position des Weibes auf dessen Tätigkeit in solcher Position. Dies wurde z. B. in dem Erlebnis mit der Matrona evident. Er machte einen Spaziergang durch das Dorf, welches zu dem (späteren) Gut gehörte, und sah am Rand des Teiches ein kniendes Bauernmädchen, damit beschäftigt, Wäsche im Teich zu waschen. Er verliebte sich in die Wäscherin augenblicklich und mit unwiderstehlicher Heftigkeit, obwohl er ihr Gesicht noch gar nicht sehen konnte. Sie war ihm durch Lage und Tätigkeit an die Stelle der Gruscha getreten. Wir verstehen nun, wie sich das Schämen, das dem Inhalt der Szene mit der Gruscha galt, an den Namen der Matrona knüpfen konnte.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Den zwingenden Einfluß der Gruschaszene zeigt noch deutlicher ein anderer Anfall von Verliebtheit, einige Jahre vorher. Ein junges Bauernmädchen, das im Hause Dienste leistete, hatte ihm schon lange gefallen, aber er hatte es über sich vermocht, sich ihr nicht zu nähern. </w:t>
      </w:r>
      <w:r w:rsidRPr="005C3C9A">
        <w:rPr>
          <w:rFonts w:ascii="Garamond" w:hAnsi="Garamond"/>
        </w:rPr>
        <w:t xml:space="preserve">Eines Tages packte ihn die </w:t>
      </w:r>
      <w:r w:rsidRPr="005C3C9A">
        <w:rPr>
          <w:rFonts w:ascii="Garamond" w:hAnsi="Garamond"/>
        </w:rPr>
        <w:lastRenderedPageBreak/>
        <w:t xml:space="preserve">Verliebtheit, als er sie allein im Zimmer traf. </w:t>
      </w:r>
      <w:r w:rsidRPr="005C3C9A">
        <w:rPr>
          <w:rFonts w:ascii="Garamond" w:hAnsi="Garamond"/>
          <w:lang w:val="en-US"/>
        </w:rPr>
        <w:t>Er fand sie auf dem Boden liegend, mit Aufwaschen beschäftigt, Kübel und Besen neben sich, also ganz wie das Mädchen in seiner Kindheit.</w:t>
      </w:r>
    </w:p>
    <w:p w:rsidR="00822836" w:rsidRPr="005C3C9A" w:rsidRDefault="00822836" w:rsidP="00822836">
      <w:pPr>
        <w:pStyle w:val="Sansinterligne"/>
        <w:rPr>
          <w:rFonts w:ascii="Garamond" w:hAnsi="Garamond"/>
        </w:rPr>
      </w:pPr>
      <w:r w:rsidRPr="005C3C9A">
        <w:rPr>
          <w:rFonts w:ascii="Garamond" w:hAnsi="Garamond"/>
          <w:lang w:val="en-US"/>
        </w:rPr>
        <w:t xml:space="preserve">Selbst seine definitive Objektwahl, die für sein Leben so bedeutungsvoll wurde, erweist sich durch ihre näheren Umstände, die hier nicht anzuführen sind, als abhängig von der gleichen Liebesbedingung, als ein Ausläufer des Zwanges, der von der Urszene aus über die Szene mit Gruscha seine Liebeswahl beherrschte. Ich habe an früherer Stelle bemerkt, daß ich das Bestreben zur Erniedrigung des Liebesobjekts bei dem Patienten wohl anerkenne. Es ist auf Reaktion gegen den Druck der ihm überlegenen Schwester zurückzuführen. Aber ich versprach damals zu zeigen, daß dies Motiv (S. 142) selbstherrlicher Natur nicht das einzig bestimmende gewesen ist, sondern eine tiefere Determinierung durch rein erotische Motive verdeckt. Die Erinnerung an das den Boden aufwaschende, allerdings in seiner Position erniedrigte, Kindermädchen brachte diese Motivierung zum Vorschein. Alle späteren Liebesobjekte waren Ersatzpersonen dieser einen, die selbst durch den Zufall der Situation zum ersten Mutterersatz geworden war. Der erste Einfall des Patienten zum Problem der Angst vor dem Schmetterling läßt sich nachträglich leicht als fernliegende Anspielung an die Urszene erkennen (die fünfte Stunde). Die Beziehung der Gruschaszene zur Kastrationsdrohung bestätigte er durch einen besonders sinnreichen Traum, den er auch selbst zu übersetzen verstand. </w:t>
      </w:r>
      <w:r w:rsidRPr="005C3C9A">
        <w:rPr>
          <w:rFonts w:ascii="Garamond" w:hAnsi="Garamond"/>
        </w:rPr>
        <w:t xml:space="preserve">Er sagte: Ich habe geträumt, </w:t>
      </w:r>
      <w:r w:rsidRPr="005C3C9A">
        <w:rPr>
          <w:rFonts w:ascii="Garamond" w:hAnsi="Garamond"/>
          <w:i/>
          <w:iCs/>
        </w:rPr>
        <w:t>ein Mann reißt einer Espe die Flügel aus</w:t>
      </w:r>
      <w:r w:rsidRPr="005C3C9A">
        <w:rPr>
          <w:rFonts w:ascii="Garamond" w:hAnsi="Garamond"/>
        </w:rPr>
        <w:t xml:space="preserve">. Espe? mußte ich fragen, was meinen Sie damit? – Nun, das Insekt mit den gelben Streifen am Leib, das stechen kann. Es muß eine Anspielung an die Gruscha, die gelbgestreifte Birne, sein. – </w:t>
      </w:r>
      <w:r w:rsidRPr="005C3C9A">
        <w:rPr>
          <w:rFonts w:ascii="Garamond" w:hAnsi="Garamond"/>
          <w:i/>
          <w:iCs/>
        </w:rPr>
        <w:t>Wespe</w:t>
      </w:r>
      <w:r w:rsidRPr="005C3C9A">
        <w:rPr>
          <w:rFonts w:ascii="Garamond" w:hAnsi="Garamond"/>
        </w:rPr>
        <w:t xml:space="preserve">, meinen Sie also, konnte ich korrigieren. – Heißt es Wespe? </w:t>
      </w:r>
      <w:r w:rsidRPr="005C3C9A">
        <w:rPr>
          <w:rFonts w:ascii="Garamond" w:hAnsi="Garamond"/>
          <w:lang w:val="en-US"/>
        </w:rPr>
        <w:t xml:space="preserve">Ich habe wirklich geglaubt, es heißt Espe. (Er bediente sich wie so viele andere seiner Fremdsprachigkeit zur Deckung von Symptomhandlungen.) </w:t>
      </w:r>
      <w:r w:rsidRPr="005C3C9A">
        <w:rPr>
          <w:rFonts w:ascii="Garamond" w:hAnsi="Garamond"/>
        </w:rPr>
        <w:t>Aber Espe, das bin ja ich, S. P. (die Initialen seines Namens). Die Espe ist natürlich eine verstümmelte Wespe. Der Traum sagt klar, er räche sich an der Gruscha für ihre Kastrationsandrohung.</w:t>
      </w:r>
    </w:p>
    <w:p w:rsidR="00822836" w:rsidRPr="005C3C9A" w:rsidRDefault="00822836" w:rsidP="00822836">
      <w:pPr>
        <w:pStyle w:val="Sansinterligne"/>
        <w:rPr>
          <w:rFonts w:ascii="Garamond" w:hAnsi="Garamond"/>
          <w:lang w:val="en-US"/>
        </w:rPr>
      </w:pPr>
      <w:r w:rsidRPr="005C3C9A">
        <w:rPr>
          <w:rFonts w:ascii="Garamond" w:hAnsi="Garamond"/>
        </w:rPr>
        <w:t xml:space="preserve">Die Aktion des 2½jährigen in der Szene mit Gruscha ist die erste uns bekanntgewordene Wirkung der Urszene, sie stellt ihn als Kopie des Vaters dar und läßt uns eine Entwicklungstendenz in der Richtung erkennen, die später den Namen der männlichen verdienen wird. </w:t>
      </w:r>
      <w:r w:rsidRPr="005C3C9A">
        <w:rPr>
          <w:rFonts w:ascii="Garamond" w:hAnsi="Garamond"/>
          <w:lang w:val="en-US"/>
        </w:rPr>
        <w:t>Durch die Verführung wird er in eine Passivität gedrängt, die allerdings auch schon durch sein Benehmen als Zuschauer beim elterlichen Verkehr vorbereitet ist.</w:t>
      </w:r>
    </w:p>
    <w:p w:rsidR="00822836" w:rsidRPr="005C3C9A" w:rsidRDefault="00822836" w:rsidP="00822836">
      <w:pPr>
        <w:pStyle w:val="Sansinterligne"/>
        <w:rPr>
          <w:rFonts w:ascii="Garamond" w:hAnsi="Garamond"/>
          <w:lang w:val="en-US"/>
        </w:rPr>
      </w:pPr>
      <w:r w:rsidRPr="005C3C9A">
        <w:rPr>
          <w:rFonts w:ascii="Garamond" w:hAnsi="Garamond"/>
          <w:lang w:val="en-US"/>
        </w:rPr>
        <w:t>Ich muß aus der Behandlungsgeschichte noch hervorheben, daß man den Eindruck empfing, mit der Bewältigung der Gruschaszene, des ersten Erlebnisses, das er wirklich erinnern konnte und ohne mein Vermuten und Dazutun erinnerte, sei die Aufgabe der Kur gelöst gewesen. Es gab von da an keine Widerstände mehr, man brauchte nur noch zu sammeln und zusammenzusetzen. Die alte Traumatheorie, die ja auf Eindrücke aus der psychoanalytischen Therapie aufgebaut war, kam mit einem Male wieder zur Geltung. Aus kritischem Interesse machte ich noch einmal den Versuch, dem Patienten eine andere Auffassung seiner Geschichte aufzudrängen, die dem nüchternen Verstand willkommener wäre. An der Szene mit Gruscha sei ja nicht zu zweifeln, aber sie bedeute an und für sich nichts und sei hinterher verstärkt worden durch Regression von den Ereignissen seiner Objektwahl, die sich infolge der Erniedrigungstendenz von der Schwester weg auf die Dienstmädchen geworfen hätte. Die Koitusbeobachtung aber sei eine Phantasie seiner späteren Jahre, deren historischer Kern die Beobachtung oder das Erlebnis etwa eines harmlosen Lavements gewesen sein könnte. Vielleicht meinen manche Leser, erst mit diesen Annahmen hätte ich mich dem Verständnis des Falles genähert; der Patient sah mich verständnislos und etwas verächtlich an, als ich ihm diese Auffassung vortrug, und reagierte niemals wieder auf dieselbe. Meine eigenen Argumente gegen solche Rationalisierung habe ich oben im Zusammenhange entwickelt.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 Gruschaszene enthält aber nicht nur die für das Leben des Patienten entscheidenden Bedingungen der Objektwahl und behütet uns so vor dem Irrtum, die Bedeutung der Erniedrigungstendenz gegen das Weib zu überschätzen. Sie vermag mich auch zu rechtfertigen, wenn ich es vorhin abgelehnt habe, die Zurückführung der Urszene auf eine kurz vor dem Traum angestellte Tierbeobachtung ohne jedes Bedenken als die einzig mögliche Lösung zu vertreten (S. 176 f.). Sie war in der Erinnerung des Patienten spontan und ohne mein Dazutun aufgetaucht. Die auf sie zurückgehende Angst vor dem gelbgestreiften Schmetterling bewies, daß sie einen bedeutungsvollen Inhalt gehabt hatte oder daß es möglich geworden war, ihrem Inhalt nachträglich solche Bedeutung zu verleihen. Dies Bedeutungsvolle, was in der Erinnerung fehlte, war durch die sie begleitenden Einfälle und die daran zu knüpfenden Schlüsse mit Sicherheit zu ergänzen. Es ergab sich dann, daß die Schmetterlingsangst durchaus analog war der Wolfsangst, in beiden Fällen Angst vor der Kastration, zunächst bezogen auf die Person, welche die Kastrationsdrohung zuerst ausgesprochen hatte, sodann auf die andere verlegt, an der sie nach dem </w:t>
      </w:r>
      <w:r w:rsidRPr="005C3C9A">
        <w:rPr>
          <w:rFonts w:ascii="Garamond" w:hAnsi="Garamond"/>
          <w:lang w:val="en-US"/>
        </w:rPr>
        <w:lastRenderedPageBreak/>
        <w:t>phylogenetischen Vorbild Anheftung finden mußte. Die Szene mit Gruscha war mit 2½ Jahren vorgefallen, das Angsterlebnis mit dem gelben Schmetterling aber sicherlich nach dem Angsttraum. Es ließ sich leicht verstehen, daß das spätere Verständnis für die Möglichkeit der Kastration nachträglich aus der Szene mit Gruscha die Angst entwickelt hatte; aber diese Szene selbst enthielt nichts Anstößiges oder Unwahrscheinliches, vielmehr durchaus banale Einzelheiten, an denen zu zweifeln man keinen Grund hatte. Nichts forderte dazu auf, sie auf eine Phantasie des Kindes zurückzuführen; es erscheint auch kaum möglich.</w:t>
      </w:r>
    </w:p>
    <w:p w:rsidR="00822836" w:rsidRPr="005C3C9A" w:rsidRDefault="00822836" w:rsidP="00822836">
      <w:pPr>
        <w:pStyle w:val="Sansinterligne"/>
        <w:rPr>
          <w:rFonts w:ascii="Garamond" w:hAnsi="Garamond"/>
          <w:lang w:val="en-US"/>
        </w:rPr>
      </w:pPr>
      <w:r w:rsidRPr="005C3C9A">
        <w:rPr>
          <w:rFonts w:ascii="Garamond" w:hAnsi="Garamond"/>
          <w:lang w:val="en-US"/>
        </w:rPr>
        <w:t>Es entsteht nun die Frage, sind wir berechtigt, in dem Urinieren des stehenden Knaben, während das auf den Knien liegende Mädchen den Boden aufwäscht, einen Beweis seiner sexuellen Erregtheit zu sehen? Dann würde diese Erregung den Einfluß eines früheren Eindrucks bezeugen, der ebensowohl die Tatsächlichkeit der Urszene, wie eine vor 2½ Jahren gemachte Beobachtung an Tieren sein könnte. Oder war jene Situation durchaus harmlos, die Harnentleerung des Kindes eine rein zufällige, und die ganze Szene wurde erst später in der Erinnerung sexualisiert, nachdem ähnliche Situationen als bedeutungsvoll erkannt worden waren?</w:t>
      </w:r>
    </w:p>
    <w:p w:rsidR="00822836" w:rsidRPr="005C3C9A" w:rsidRDefault="00822836" w:rsidP="00822836">
      <w:pPr>
        <w:pStyle w:val="Sansinterligne"/>
        <w:rPr>
          <w:rFonts w:ascii="Garamond" w:hAnsi="Garamond"/>
          <w:lang w:val="en-US"/>
        </w:rPr>
      </w:pPr>
      <w:r w:rsidRPr="005C3C9A">
        <w:rPr>
          <w:rFonts w:ascii="Garamond" w:hAnsi="Garamond"/>
          <w:lang w:val="en-US"/>
        </w:rPr>
        <w:t>Hier getraue ich mich nun zu keiner Entscheidung. Ich muß sagen, ich rechne es der Psychoanalyse bereits hoch an, daß sie zu solchen Fragestellungen gekommen ist. Aber ich kann es nicht verleugnen, daß die Szene mit Gruscha, die Rolle, die ihr in der Analyse zufiel, und die Wirkungen, die im Leben von ihr ausgingen, sich doch am ungezwungensten und vollständigsten erklären, wenn man die Urszene, die andere Male eine Phantasie sein mag, hier als Realität gelten läßt. Sie behauptet im Grunde nichts Unmögliches; die Annahme ihrer Realität verträgt sich auch ganz mit dem anregenden Einfluß der Tierbeobachtungen, auf welche die Schäferhunde des Traumbildes hindeuten.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Von diesem unbefriedigenden Abschluß wende ich mich zur Behandlung der Frage, die ich in den </w:t>
      </w:r>
      <w:r w:rsidRPr="005C3C9A">
        <w:rPr>
          <w:rFonts w:ascii="Garamond" w:hAnsi="Garamond"/>
          <w:i/>
          <w:iCs/>
          <w:lang w:val="en-US"/>
        </w:rPr>
        <w:t>Vorlesungen zur Einführung in die Psychoanalyse</w:t>
      </w:r>
      <w:r w:rsidRPr="005C3C9A">
        <w:rPr>
          <w:rFonts w:ascii="Garamond" w:hAnsi="Garamond"/>
          <w:lang w:val="en-US"/>
        </w:rPr>
        <w:t xml:space="preserve"> versucht habe. Ich möchte selbst gerne wissen, ob die Urszene bei meinem Patienten Phantasie oder reales Erlebnis war, aber mit Rücksicht auf andere ähnliche Fälle muß man sagen, es sei eigentlich nicht sehr wichtig, dies zu entscheiden. Die Szenen von Beobachtung des elterlichen Sexualverkehrs, von Verführung in der Kindheit und von Kastrationsandrohung sind unzweifelhafter ererbter Besitz, phylogenetische Erbschaft, aber sie können ebensowohl Erwerb persönlichen Erlebens sein. Bei meinem Patienten war die Verführung durch die ältere Schwester eine unbestreitbare Realität; warum nicht auch die Beobachtung des elterlichen Koitus?</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Wir sehen nur in der Urgeschichte der Neurose, daß das Kind zu diesem phylogenetischen Erleben greift, wo sein eigenes Erleben nicht ausreicht. Es füllt die Lücken der individuellen Wahrheit mit prähistorischer Wahrheit aus, setzt die Erfahrung der Vorahnen an die Stelle der eigenen Erfahrung ein. In der Anerkennung dieser phylogenetischen Erbschaft stimme ich mit Jung ( </w:t>
      </w:r>
      <w:r w:rsidRPr="005C3C9A">
        <w:rPr>
          <w:rFonts w:ascii="Garamond" w:hAnsi="Garamond"/>
          <w:i/>
          <w:iCs/>
          <w:lang w:val="en-US"/>
        </w:rPr>
        <w:t>Die Psychologie der unbewußten Prozesse</w:t>
      </w:r>
      <w:r w:rsidRPr="005C3C9A">
        <w:rPr>
          <w:rFonts w:ascii="Garamond" w:hAnsi="Garamond"/>
          <w:lang w:val="en-US"/>
        </w:rPr>
        <w:t xml:space="preserve">, 1917, eine Schrift, die meine </w:t>
      </w:r>
      <w:r w:rsidRPr="005C3C9A">
        <w:rPr>
          <w:rFonts w:ascii="Garamond" w:hAnsi="Garamond"/>
          <w:i/>
          <w:iCs/>
          <w:lang w:val="en-US"/>
        </w:rPr>
        <w:t>Vorlesungen</w:t>
      </w:r>
      <w:r w:rsidRPr="005C3C9A">
        <w:rPr>
          <w:rFonts w:ascii="Garamond" w:hAnsi="Garamond"/>
          <w:lang w:val="en-US"/>
        </w:rPr>
        <w:t xml:space="preserve"> nicht mehr beeinflussen konnte) völlig zusammen; aber ich halte es für methodisch unrichtig, zur Erklärung aus der Phylogenese zu greifen, ehe man die Möglichkeiten der Ontogenese erschöpft hat; ich sehe nicht ein, warum man der kindheitlichen Vorzeit hartnäckig eine Bedeutung bestreiten will, die man der Ahnenvorzeit bereitwillig zugesteht; ich kann nicht verkennen, daß die phylogenetischen Motive und Produktionen selbst der Aufklärung bedürftig sind, die ihnen in einer ganzen Reihe von Fällen aus der individuellen Kindheit zuteil werden kann, und zum Schlusse verwundere ich mich nicht darüber, wenn die Erhaltung der nämlichen Bedingungen beim einzelnen organisch wiedererstehen läßt, was diese einst in Vorzeiten geschaffen und als Disposition zum Wiedererwerb vererbt haben.]</w:t>
      </w:r>
    </w:p>
    <w:p w:rsidR="00822836" w:rsidRPr="005C3C9A" w:rsidRDefault="00822836" w:rsidP="00822836">
      <w:pPr>
        <w:pStyle w:val="Sansinterligne"/>
        <w:rPr>
          <w:rFonts w:ascii="Garamond" w:hAnsi="Garamond"/>
          <w:lang w:val="en-US"/>
        </w:rPr>
      </w:pPr>
      <w:r w:rsidRPr="005C3C9A">
        <w:rPr>
          <w:rFonts w:ascii="Garamond" w:hAnsi="Garamond"/>
          <w:lang w:val="en-US"/>
        </w:rPr>
        <w:t>In die Zwischenzeit zwischen Urszene und Verführung (1½–3¼ Jahre) ist noch der stumme Wasserträger einzuschieben, der für ihn Vaterersatz war wie die Gruscha Mutterersatz. Ich glaube, es ist unberechtigt, hier von einer Erniedrigungstendenz zu reden, wiewohl sich beide Eltern durch dienende Personen vertreten finden. Das Kind setzt sich über die sozialen Unterschiede hinweg, die ihm noch wenig bedeuten, und reiht auch geringere Leute an die Eltern an, wenn sie ihm ähnlich wie die Eltern Liebe entgegenbringen. Ebensowenig Bedeutung hat diese Tendenz für die Ersetzung der Eltern durch Tiere, deren Geringschätzung dem Kinde ganz ferne liegt. Ohne Rücksicht auf solche Erniedrigung werden Onkel und Tanten zum Elternersatz herangezogen, wie auch für unseren Patienten durch mehrfache Erinnerungen bezeugt ist.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In dieselbe Zeit gehört noch eine dunkle Kunde von einer Phase, in der er nichts essen wollte außer Süßigkeiten, so daß man Sorge für sein Fortkommen hatte. Man erzählte ihm von einem Onkel, der ebenso das Essen verweigert hatte und dann jung an der Auszehrung starb. Er hörte auch, daß er im Alter von drei Monaten so schwer krank gewesen war (an einer Lungenentzündung?), daß man schon das Totenhemd für ihn bereit gemacht hatte. Es gelang, ihn ängstlich zu machen, so daß er wieder aß; in </w:t>
      </w:r>
      <w:r w:rsidRPr="005C3C9A">
        <w:rPr>
          <w:rFonts w:ascii="Garamond" w:hAnsi="Garamond"/>
          <w:lang w:val="en-US"/>
        </w:rPr>
        <w:lastRenderedPageBreak/>
        <w:t>späteren Kindheitsjahren übertrieb er sogar diese Verpflichtung, wie um sich gegen den angedrohten Tod zu schützen. Die Todesangst, die man damals zu seinem Schutz wachgerufen hatte, zeigte sich später wieder, als die Mutter vor der Dysenteriegefahr warnte; sie provozierte noch später einen Anfall der Zwangsneurose (S. 184). Wir wollen versuchen, ihren Ursprüngen und Bedeutungen an späterer Stelle nachzugehen.</w:t>
      </w:r>
    </w:p>
    <w:p w:rsidR="00822836" w:rsidRPr="005C3C9A" w:rsidRDefault="00822836" w:rsidP="00822836">
      <w:pPr>
        <w:pStyle w:val="Sansinterligne"/>
        <w:rPr>
          <w:rFonts w:ascii="Garamond" w:hAnsi="Garamond"/>
          <w:lang w:val="en-US"/>
        </w:rPr>
      </w:pPr>
      <w:r w:rsidRPr="005C3C9A">
        <w:rPr>
          <w:rFonts w:ascii="Garamond" w:hAnsi="Garamond"/>
          <w:lang w:val="en-US"/>
        </w:rPr>
        <w:t>Für die Eßstörung möchte ich die Bedeutung einer allerersten neurotischen Erkrankung in Anspruch nehmen; so daß Eßstörung, Wolfsphobie, Zwangsfrömmigkeit die vollständige Reihe der infantilen Erkrankungen ergeben, welche die Disposition für den neurotischen Zusammenbruch in den Jahren nach der Pubertät mit sich bringen. Man wird mir entgegenhalten, daß wenige Kinder solchen Störungen wie einer vorübergehenden Eßunlust oder einer Tierphobie entgehen. Aber dies Argument ist mir sehr willkommen. Ich bin bereit zu behaupten, daß jede Neurose eines Erwachsenen sich über seiner Kinderneurose aufbaut, die aber nicht immer intensiv genug ist, um aufzufallen und als solche erkannt zu werden. Die theoretische Bedeutung der infantilen Neurosen für die Auffassung der Erkrankungen, die wir als Neurosen behandeln und nur von den Einwirkungen des späteren Lebens ableiten wollen, wird durch jenen Einwand nur gehoben. Hätte unser Patient nicht zu seiner Eßstörung und seiner Tierphobie noch die Zwangsfrömmigkeit hinzubekommen, so würde sich seine Geschichte von der anderer Menschenkinder nicht auffällig unterscheiden, und wir wären um wertvolle Materialien, die uns vor naheliegenden Irrtümern bewahren können, ärmer.</w:t>
      </w:r>
    </w:p>
    <w:p w:rsidR="00822836" w:rsidRPr="005C3C9A" w:rsidRDefault="00822836" w:rsidP="00822836">
      <w:pPr>
        <w:pStyle w:val="Sansinterligne"/>
        <w:rPr>
          <w:rFonts w:ascii="Garamond" w:hAnsi="Garamond"/>
          <w:lang w:val="en-US"/>
        </w:rPr>
      </w:pPr>
      <w:r w:rsidRPr="005C3C9A">
        <w:rPr>
          <w:rFonts w:ascii="Garamond" w:hAnsi="Garamond"/>
        </w:rPr>
        <w:t xml:space="preserve">Die Analyse wäre unbefriedigend, wenn sie nicht das Verständnis jener Klage brächte, in die der Patient sein Leiden zusammenfaßte. Sie lautete, daß ihm die Welt durch einen Schleier verhüllt sei, und die psychoanalytische Schulung weist die Erwartung ab, daß diese Worte bedeutungslos und wie zufällig gewählt sein sollten. Der Schleier zerriß – merkwürdigerweise – nur in einer Situation, nämlich, wenn infolge eines Lavements der Stuhlgang den After passierte. Dann fühlte er sich wieder wohl und sah die Welt für eine ganz kurze Weile klar. </w:t>
      </w:r>
      <w:r w:rsidRPr="005C3C9A">
        <w:rPr>
          <w:rFonts w:ascii="Garamond" w:hAnsi="Garamond"/>
          <w:lang w:val="en-US"/>
        </w:rPr>
        <w:t xml:space="preserve">Mit der Deutung dieses »Schleiers« ging es ähnlich schwierig wie bei der Schmetterlingsangst. Auch hielt er nicht an dem Schleier fest, dieser verflüchtigte sich ihm weiter zu einem Gefühl von Dämmerung, » </w:t>
      </w:r>
      <w:r w:rsidRPr="005C3C9A">
        <w:rPr>
          <w:rFonts w:ascii="Garamond" w:hAnsi="Garamond"/>
          <w:i/>
          <w:iCs/>
          <w:lang w:val="en-US"/>
        </w:rPr>
        <w:t>tenèbres</w:t>
      </w:r>
      <w:r w:rsidRPr="005C3C9A">
        <w:rPr>
          <w:rFonts w:ascii="Garamond" w:hAnsi="Garamond"/>
          <w:lang w:val="en-US"/>
        </w:rPr>
        <w:t>«, und anderen ungreifbaren Dingen.</w:t>
      </w:r>
    </w:p>
    <w:p w:rsidR="00822836" w:rsidRPr="005C3C9A" w:rsidRDefault="00822836" w:rsidP="00822836">
      <w:pPr>
        <w:pStyle w:val="Sansinterligne"/>
        <w:rPr>
          <w:rFonts w:ascii="Garamond" w:hAnsi="Garamond"/>
          <w:lang w:val="en-US"/>
        </w:rPr>
      </w:pPr>
      <w:r w:rsidRPr="005C3C9A">
        <w:rPr>
          <w:rFonts w:ascii="Garamond" w:hAnsi="Garamond"/>
          <w:lang w:val="en-US"/>
        </w:rPr>
        <w:t>Erst kurz vor dem Abschied von der Kur besann er sich, er habe gehört, daß er in einer »Glückshaube« zur Welt gekommen sei. Darum habe er sich immer für ein besonderes Glückskind gehalten, dem nichts Böses widerfahren könne. Erst dann verließ ihn diese Zuversicht, als er die gonorrhoische Erkrankung als schwere Beschädigung an seinem Körper anerkennen mußte. Vor dieser Kränkung seines Narzißmus brach er zusammen. Wir werden sagen, er wiederholte damit einen Mechanismus, der schon einmal bei ihm gespielt hatte. Auch seine Wolfsphobie brach aus, als er vor die Tatsache, daß eine Kastration möglich sei, gestellt wurde, und die Gonorrhöe reihte er offenbar der Kastration an.</w:t>
      </w:r>
    </w:p>
    <w:p w:rsidR="00822836" w:rsidRPr="005C3C9A" w:rsidRDefault="00822836" w:rsidP="00822836">
      <w:pPr>
        <w:pStyle w:val="Sansinterligne"/>
        <w:rPr>
          <w:rFonts w:ascii="Garamond" w:hAnsi="Garamond"/>
          <w:lang w:val="en-US"/>
        </w:rPr>
      </w:pPr>
      <w:r w:rsidRPr="005C3C9A">
        <w:rPr>
          <w:rFonts w:ascii="Garamond" w:hAnsi="Garamond"/>
          <w:lang w:val="en-US"/>
        </w:rPr>
        <w:t>Die Glückshaube ist also der Schleier, der ihn vor der Welt und ihm die Welt verhüllte. Seine Klage ist eigentlich eine erfüllte Wunschphantasie, sie zeigt ihn wieder in den Mutterleib zurückgekehrt, allerdings die Wunschphantasie der Weltflucht. Sie ist zu übersetzen: Ich bin so unglücklich im Leben, ich muß wieder in den Mutterschoß zurück.</w:t>
      </w:r>
    </w:p>
    <w:p w:rsidR="00822836" w:rsidRPr="005C3C9A" w:rsidRDefault="00822836" w:rsidP="00822836">
      <w:pPr>
        <w:pStyle w:val="Sansinterligne"/>
        <w:rPr>
          <w:rFonts w:ascii="Garamond" w:hAnsi="Garamond"/>
          <w:lang w:val="en-US"/>
        </w:rPr>
      </w:pPr>
      <w:r w:rsidRPr="005C3C9A">
        <w:rPr>
          <w:rFonts w:ascii="Garamond" w:hAnsi="Garamond"/>
          <w:lang w:val="en-US"/>
        </w:rPr>
        <w:t>Was soll es aber bedeuten, daß dieser symbolische, einmal real gewesene, Schleier in dem Moment der Stuhlentleerung nach dem Klysma zerreißt, daß seine Krankheit unter dieser Bedingung von ihm weicht? Der Zusammenhang gestattet uns zu antworten: Wenn der Geburtsschleier zerreißt, so erblickt er die Welt und wird wiedergeboren. Der Stuhlgang ist das Kind, als welches er zum zweitenmal zu einem glücklicheren Leben geboren wird. Das wäre also die Wiedergeburtsphantasie, auf die Jung kürzlich die Aufmerksamkeit gelenkt und der er eine so dominierende Stellung im Wunschleben der Neurotiker eingeräumt hat.</w:t>
      </w:r>
    </w:p>
    <w:p w:rsidR="00822836" w:rsidRPr="005C3C9A" w:rsidRDefault="00822836" w:rsidP="00822836">
      <w:pPr>
        <w:pStyle w:val="Sansinterligne"/>
        <w:rPr>
          <w:rFonts w:ascii="Garamond" w:hAnsi="Garamond"/>
          <w:lang w:val="en-US"/>
        </w:rPr>
      </w:pPr>
      <w:r w:rsidRPr="005C3C9A">
        <w:rPr>
          <w:rFonts w:ascii="Garamond" w:hAnsi="Garamond"/>
          <w:lang w:val="en-US"/>
        </w:rPr>
        <w:t>Das wäre schön, wenn es vollständig wäre. Gewisse Einzelheiten der Situation und die Rücksicht auf den erforderlichen Zusammenhang mit der speziellen Lebensgeschichte nötigen uns, die Deutung weiter zu führen. Die Bedingung der Wiedergeburt ist, daß ihm ein Mann ein Klysma verabreicht (diesen Mann hat er erst später notgedrungen selbst ersetzt). Das kann nur heißen, er hat sich mit der Mutter identifiziert, der Mann spielt den Vater, das Klysma wiederholt den Begattungsakt, als dessen Frucht das Kotkind – wiederum er – geboren wird. Die Wiedergeburtsphantasie ist also eng mit der Bedingung der sexuellen Befriedigung durch den Mann verknüpft. Die Übersetzung lautet jetzt also: Nur wenn er sich dem Weib substituieren, die Mutter ersetzen darf, um sich vom Vater befriedigen zu lassen und ihm ein Kind zu gebären, dann ist seine Krankheit von ihm gewichen. Die Wiedergeburtsphantasie war also hier nur eine verstümmelte, zensurierte Wiedergabe der homosexuellen Wunschphantasie.</w:t>
      </w:r>
    </w:p>
    <w:p w:rsidR="00822836" w:rsidRPr="005C3C9A" w:rsidRDefault="00822836" w:rsidP="00822836">
      <w:pPr>
        <w:pStyle w:val="Sansinterligne"/>
        <w:rPr>
          <w:rFonts w:ascii="Garamond" w:hAnsi="Garamond"/>
        </w:rPr>
      </w:pPr>
      <w:r w:rsidRPr="005C3C9A">
        <w:rPr>
          <w:rFonts w:ascii="Garamond" w:hAnsi="Garamond"/>
          <w:lang w:val="en-US"/>
        </w:rPr>
        <w:t xml:space="preserve">Sehen wir näher zu, so müssen wir eigentlich bemerken, daß der Kranke in dieser Bedingung seiner Heilung nur die Situation der sogenannten Urszene wiederholt: Damals wollte er sich der Mutter </w:t>
      </w:r>
      <w:r w:rsidRPr="005C3C9A">
        <w:rPr>
          <w:rFonts w:ascii="Garamond" w:hAnsi="Garamond"/>
          <w:lang w:val="en-US"/>
        </w:rPr>
        <w:lastRenderedPageBreak/>
        <w:t xml:space="preserve">unterschieben; das Kotkind hat er, wie wir längst vorher angenommen hatten, in jener Szene selbst produziert. Er ist noch immer fixiert, wie gebannt, an die Szene, die für sein Sexualleben entscheidend wurde, deren Wiederkehr in jener Traumnacht sein Kranksein eröffnete. </w:t>
      </w:r>
      <w:r w:rsidRPr="005C3C9A">
        <w:rPr>
          <w:rFonts w:ascii="Garamond" w:hAnsi="Garamond"/>
        </w:rPr>
        <w:t>Das Zerreißen des Schleiers ist analog dem Öffnen der Augen, dem Aufgehen der Fenster. Die Urszene ist zur Heilbedingung umgebildet worden.</w:t>
      </w:r>
    </w:p>
    <w:p w:rsidR="00822836" w:rsidRPr="005C3C9A" w:rsidRDefault="00822836" w:rsidP="00822836">
      <w:pPr>
        <w:pStyle w:val="Sansinterligne"/>
        <w:rPr>
          <w:rFonts w:ascii="Garamond" w:hAnsi="Garamond"/>
        </w:rPr>
      </w:pPr>
      <w:r w:rsidRPr="005C3C9A">
        <w:rPr>
          <w:rFonts w:ascii="Garamond" w:hAnsi="Garamond"/>
        </w:rPr>
        <w:t>Das, was durch die Klage, und was durch die Ausnahme dargestellt ist, kann man leicht zu einer Einheit zusammenziehen, die dann ihren ganzen Sinn offenbart. Er wünscht sich in den Mutterleib zurück, nicht um dann einfach wiedergeboren zu werden, sondern um dort beim Koitus vom Vater getroffen zu werden, von ihm die Befriedigung zu bekommen, ihm ein Kind zu gebären.</w:t>
      </w:r>
    </w:p>
    <w:p w:rsidR="00822836" w:rsidRPr="005C3C9A" w:rsidRDefault="00822836" w:rsidP="00822836">
      <w:pPr>
        <w:pStyle w:val="Sansinterligne"/>
        <w:rPr>
          <w:rFonts w:ascii="Garamond" w:hAnsi="Garamond"/>
        </w:rPr>
      </w:pPr>
      <w:r w:rsidRPr="005C3C9A">
        <w:rPr>
          <w:rFonts w:ascii="Garamond" w:hAnsi="Garamond"/>
        </w:rPr>
        <w:t xml:space="preserve">Vom Vater geboren worden zu sein, wie er anfänglich gemeint hatte, von ihm sexuell befriedigt zu werden, ihm ein Kind zu schenken, dies unter Preisgebung seiner Männlichkeit, und in der Sprache der Analerotik ausgedrückt: mit diesen Wünschen ist der Kreis der Fixierung an den Vater geschlossen, hiemit hat die Homosexualität ihren höchsten und intimsten Ausdruck gefunden </w:t>
      </w:r>
      <w:hyperlink r:id="rId1297" w:history="1">
        <w:r w:rsidRPr="005C3C9A">
          <w:rPr>
            <w:rStyle w:val="Lienhypertexte"/>
            <w:rFonts w:ascii="Garamond" w:hAnsi="Garamond"/>
          </w:rPr>
          <w:t>[Fußnote]</w:t>
        </w:r>
        <w:r w:rsidRPr="005C3C9A">
          <w:rPr>
            <w:rStyle w:val="innerfusslink"/>
            <w:rFonts w:ascii="Garamond" w:hAnsi="Garamond"/>
            <w:color w:val="0000FF"/>
            <w:u w:val="single"/>
          </w:rPr>
          <w:t>Der mögliche Nebensinn, daß der Schleier das Hymen darstellt, welches beim Verkehr mit dem Manne zerreißt, trifft nicht genau mit der Heilbedingung zusammen und hat keine Beziehung zum Leben des Patienten, für den die Virginität keine Bedeutung hatte.</w:t>
        </w:r>
      </w:hyperlink>
      <w:r w:rsidRPr="005C3C9A">
        <w:rPr>
          <w:rFonts w:ascii="Garamond" w:hAnsi="Garamond"/>
        </w:rPr>
        <w: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meine, von diesem Beispiel her fällt auch ein Licht auf Sinn und Ursprung der Mutterleibs- wie der Wiedergeburtsphantasie. Die erstere ist häufig so wie in unserem Falle aus der Bindung an den Vater hervorgegangen. Man wünscht sich in den Leib der Mutter, um sich ihr beim Koitus zu substituieren, ihre Stelle beim Vater einzunehmen. Die Wiedergeburtsphantasie ist wahrscheinlich regelmäßig eine Milderung, sozusagen ein Euphemismus, für die Phantasie des inzestuösen Verkehrs mit der Mutter, eine </w:t>
      </w:r>
      <w:r w:rsidRPr="005C3C9A">
        <w:rPr>
          <w:rFonts w:ascii="Garamond" w:hAnsi="Garamond"/>
          <w:i/>
          <w:iCs/>
          <w:lang w:val="en-US"/>
        </w:rPr>
        <w:t>anagogische</w:t>
      </w:r>
      <w:r w:rsidRPr="005C3C9A">
        <w:rPr>
          <w:rFonts w:ascii="Garamond" w:hAnsi="Garamond"/>
          <w:lang w:val="en-US"/>
        </w:rPr>
        <w:t xml:space="preserve"> Abkürzung derselben, um den Ausdruck von H. Silberer zu gebrauchen. Man wünscht sich in die Situation zurück, in der man sich in den Genitalien der Mutter befand, wobei sich der Mann mit seinem Penis identifiziert, durch ihn vertreten läßt. Dann enthüllen sich die beiden Phantasien als Gegenstücke, die je nach der männlichen oder weiblichen Einstellung des Betreffenden dem Wunsch nach dem Sexualverkehr mit dem Vater oder der Mutter Ausdruck geben. Es ist die Möglichkeit nicht abzuweisen, daß in der Klage und Heilbedingung unseres Patienten beide Phantasien, also auch beide Inzestwünsche, vereinigt sind.</w:t>
      </w:r>
    </w:p>
    <w:p w:rsidR="00822836" w:rsidRPr="005C3C9A" w:rsidRDefault="00822836" w:rsidP="00822836">
      <w:pPr>
        <w:pStyle w:val="Sansinterligne"/>
        <w:rPr>
          <w:rFonts w:ascii="Garamond" w:hAnsi="Garamond"/>
          <w:lang w:val="en-US"/>
        </w:rPr>
      </w:pPr>
      <w:r w:rsidRPr="005C3C9A">
        <w:rPr>
          <w:rFonts w:ascii="Garamond" w:hAnsi="Garamond"/>
          <w:lang w:val="en-US"/>
        </w:rPr>
        <w:t>Ich will noch einmal den Versuch machen, die letzten Ergebnisse der Analyse nach dem gegnerischen Vorbild umzudeuten: Der Patient beklagt seine Weltflucht in einer typischen Mutterleibsphantasie, erblickt seine Heilung allein in einer typischgefaßten Wiedergeburt. Diese letztere drückt er in analen Symptomen entsprechend seiner vorwiegenden Veranlagung aus. Nach dem Vorbild der analen Wiedergeburtsphantasie hat er sich eine Kinderszene zurechtgemacht, die seine Wünsche in archaisch symbolischen Ausdrucksmitteln wiederholt. Seine Symptome verketten sich dann, als ob sie von einer solchen Urszene ausgingen. Zu diesem ganzen Rückweg mußte er sich entschließen, weil er auf eine Lebensaufgabe stieß, für deren Lösung er zu faul war, oder weil er allen Grund hatte, seinen Minderwertigkeiten zu mißtrauen und sich durch solche Veranstaltungen am besten vor Zurücksetzung zu schützen meinte.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Das wäre alles gut und schön, wenn der Unglückliche nur nicht schon mit vier Jahren einen Traum gehabt hätte, mit dem seine Neurose begann, der durch die Erzählung des Großvaters vom Schneider und vom Wolf angeregt wurde und dessen Deutung die Annahme einer solchen Urszene notwendig macht. An diesen kleinlichen, aber unantastbaren Tatsachen scheitern leider die Erleichterungen, die uns die Theorien von Jung und Adler verschaffen wollen. Wie die Sachen liegen, scheint mir die Wiedergeburtsphantasie eher ein Abkömmling der Urszene, als umgekehrt die Urszene eine Spiegelung der Wiedergeburtsphantasie zu sein. Vielleicht darf man auch annehmen, der Patient sei damals, vier Jahre nach seiner Geburt, doch zu jung gewesen, um sich bereits eine Wiedergeburt zu wünschen. Aber dieses letztere Argument muß ich doch zurückziehen; meine eigenen Beobachtungen beweisen, daß man die Kinder unterschätzt hat und daß man nicht mehr weiß, was man ihnen zutrauen darfIch gebe zu, daß diese Frage die heikelste der ganzen analytischen Lehre ist. Ich habe nicht der Mitteilungen von Adler oder Jung bedurft, um mich mit der Möglichkeit kritisch zu beschäftigen, daß die von der Analyse behaupteten, vergessenen Kindheitserlebnisse – in unwahrscheinlich früher Kindheit erlebt! – vielmehr auf Phantasien beruhen, die bei späten Anlässen geschaffen werden, und daß man überall dort die Äußerung eines konstitutionellen Moments oder einer phylogenetisch erhaltenen Disposition anzunehmen habe, wo man die Nachwirkung eines solchen infantilen Eindrucks in den Analysen zu finden glaubt. Im Gegenteile, kein Zweifel hat mich mehr in Anspruch genommen, keine andere Unsicherheit entschiedener von Publikationen zurückgehalten. Sowohl die Rolle der Phantasien für die Symptombildung als auch das </w:t>
      </w:r>
      <w:r w:rsidRPr="005C3C9A">
        <w:rPr>
          <w:rFonts w:ascii="Garamond" w:hAnsi="Garamond"/>
          <w:lang w:val="en-US"/>
        </w:rPr>
        <w:lastRenderedPageBreak/>
        <w:t xml:space="preserve">»Zurückphantasieren« von späten Anregungen her in die Kindheit und das nachträgliche Sexualisieren derselben habe ich als erster kennengelehrt, worauf keiner der Gegner hingewiesen hat. </w:t>
      </w:r>
      <w:hyperlink r:id="rId1298"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 xml:space="preserve">Siehe </w:t>
        </w:r>
        <w:r w:rsidRPr="005C3C9A">
          <w:rPr>
            <w:rStyle w:val="innerfusslink"/>
            <w:rFonts w:ascii="Garamond" w:hAnsi="Garamond"/>
            <w:i/>
            <w:iCs/>
            <w:color w:val="0000FF"/>
            <w:u w:val="single"/>
            <w:lang w:val="en-US"/>
          </w:rPr>
          <w:t>Traumdeutung</w:t>
        </w:r>
        <w:r w:rsidRPr="005C3C9A">
          <w:rPr>
            <w:rStyle w:val="innerfusslink"/>
            <w:rFonts w:ascii="Garamond" w:hAnsi="Garamond"/>
            <w:color w:val="0000FF"/>
            <w:u w:val="single"/>
            <w:lang w:val="en-US"/>
          </w:rPr>
          <w:t>, und ›Bemerkungen über einen Fall von Zwangsneurose‹. Wenn ich dennoch die schwierigere und unwahrscheinlichere Auffassung als die meinige festgehalten habe, so geschah es mit Argumenten, wie sie der hier beschriebene Fall oder jede andere infantile Neurose dem Untersucher aufdrängen und die ich jetzt neuerdings den Lesern zur Entscheidung vorlege.</w:t>
        </w:r>
      </w:hyperlink>
      <w:r w:rsidRPr="005C3C9A">
        <w:rPr>
          <w:rFonts w:ascii="Garamond" w:hAnsi="Garamond"/>
          <w:lang w:val="en-US"/>
        </w:rPr>
        <w:t>.</w:t>
      </w:r>
    </w:p>
    <w:p w:rsidR="00822836" w:rsidRDefault="00822836" w:rsidP="00822836">
      <w:pPr>
        <w:rPr>
          <w:rFonts w:ascii="Garamond" w:hAnsi="Garamond"/>
          <w:lang w:val="en-US"/>
        </w:rPr>
      </w:pPr>
      <w:r>
        <w:rPr>
          <w:rFonts w:ascii="Garamond" w:hAnsi="Garamond"/>
          <w:lang w:val="en-US"/>
        </w:rPr>
        <w:br w:type="page"/>
      </w:r>
    </w:p>
    <w:p w:rsidR="00822836" w:rsidRPr="00244833" w:rsidRDefault="00B437A1" w:rsidP="00822836">
      <w:pPr>
        <w:pStyle w:val="Sansinterligne"/>
        <w:rPr>
          <w:rFonts w:ascii="Garamond" w:hAnsi="Garamond"/>
          <w:b/>
          <w:lang w:val="en-US"/>
        </w:rPr>
      </w:pPr>
      <w:hyperlink w:anchor="WolfmanInhalt" w:history="1">
        <w:r w:rsidR="00822836" w:rsidRPr="00244833">
          <w:rPr>
            <w:rStyle w:val="Lienhypertexte"/>
            <w:rFonts w:ascii="Garamond" w:hAnsi="Garamond"/>
            <w:b/>
            <w:lang w:val="en-US"/>
          </w:rPr>
          <w:t>IX. Zu</w:t>
        </w:r>
        <w:bookmarkStart w:id="239" w:name="Wolfman9"/>
        <w:bookmarkEnd w:id="239"/>
        <w:r w:rsidR="00822836" w:rsidRPr="00244833">
          <w:rPr>
            <w:rStyle w:val="Lienhypertexte"/>
            <w:rFonts w:ascii="Garamond" w:hAnsi="Garamond"/>
            <w:b/>
            <w:lang w:val="en-US"/>
          </w:rPr>
          <w:t>sammenfassungen und Probleme</w:t>
        </w:r>
      </w:hyperlink>
    </w:p>
    <w:p w:rsidR="00822836" w:rsidRDefault="00822836" w:rsidP="00822836">
      <w:pPr>
        <w:pStyle w:val="Sansinterligne"/>
        <w:rPr>
          <w:rFonts w:ascii="Garamond" w:hAnsi="Garamond"/>
          <w:lang w:val="en-US"/>
        </w:rPr>
      </w:pPr>
    </w:p>
    <w:p w:rsidR="00822836" w:rsidRPr="005C3C9A" w:rsidRDefault="00822836" w:rsidP="00822836">
      <w:pPr>
        <w:pStyle w:val="Sansinterligne"/>
        <w:rPr>
          <w:rFonts w:ascii="Garamond" w:hAnsi="Garamond"/>
          <w:lang w:val="en-US"/>
        </w:rPr>
      </w:pPr>
      <w:r w:rsidRPr="005C3C9A">
        <w:rPr>
          <w:rFonts w:ascii="Garamond" w:hAnsi="Garamond"/>
          <w:lang w:val="en-US"/>
        </w:rPr>
        <w:t>Ich weiß nicht, ob es dem Leser des vorstehenden Analysenberichtes gelungen ist, sich ein deutliches Bild von der Entstehung und Entwicklung des Krankseins bei meinem Patienten zu machen. Vielmehr ich fürchte, es ist nicht der Fall gewesen. Aber, so wenig ich sonst für die Kunst meiner Darstellung Partei genommen habe, diesmal möchte ich doch auf mildernde Umstände plädieren. Es ist eine Aufgabe gewesen, die noch niemals zuvor in Angriff genommen wurde, in die Beschreibung so frühe Phasen und so tiefe Schichten des Seelenlebens einzuführen, und es ist besser, man löst sie schlecht, als man ergreift vor ihr die Flucht, was ja überdies mit gewissen Gefahren für den Verzagten verbunden sein soll. Man zeigt also lieber kühnlich, daß man sich durch das Bewußtsein seiner Minderwertigkeiten nicht hat abhalten lassen.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Der Fall selbst war nicht besonders günstig. Was den Reichtum der Auskünfte über die Kindheit ermöglichte, daß man das Kind durch das Medium des Erwachsenen studieren konnte, mußte mit den ärgsten Zerstücklungen der Analyse und den entsprechenden Unvollständigkeiten in der Darstellung erkauft werden. Persönliche Eigentümlichkeiten, ein dem unsrigen fremder Nationalcharakter, machten die Einfühlung mühsam. Der Abstand zwischen der liebenswürdig entgegenkommenden Persönlichkeit des Kranken, seiner scharfen Intelligenz, vornehmen Denkungsart und seinem völlig ungebändigten Triebleben machte eine überlange Vorbereitungs- und Erziehungsarbeit notwendig, durch welche die Übersicht erschwert wurde. An dem Charakter des Falles, welcher der Beschreibung die härtesten Aufgaben stellte, ist der Patient selbst aber völlig unschuldig. Wir haben es in der Psychologie des Erwachsenen glücklich dahin gebracht, die seelischen Vorgänge in bewußte und unbewußte zu scheiden und beide in klaren Worten zu beschreiben. Beim Kinde läßt diese Unterscheidung uns beinahe im Stiche. Man ist oft in Verlegenheit anzugeben, was man als bewußt und was man als unbewußt bezeichnen möchte. Vorgänge, die die herrschenden geworden sind und die nach ihrem späteren Verhalten den bewußten gleichgestellt werden müssen, sind beim Kinde dennoch nicht bewußt gewesen. Man kann leicht verstehen, warum; das Bewußte hat beim Kinde noch nicht alle seine Charaktere gewonnen, es ist noch in der Entwicklung begriffen und besitzt nicht recht die Fähigkeit, sich in Sprachvorstellungen umzusetzen. Die Verwechslung, deren wir uns sonst regelmäßig schuldig machen, zwischen dem Phänomen, als Wahrnehmung im Bewußtsein aufzutreten, und der Zugehörigkeit zu einem angenommenen psychischen System, das wir irgendwie konventionell benennen sollten, das wir aber gleichfalls Bewußtsein (System </w:t>
      </w:r>
      <w:r w:rsidRPr="005C3C9A">
        <w:rPr>
          <w:rFonts w:ascii="Garamond" w:hAnsi="Garamond"/>
          <w:i/>
          <w:iCs/>
          <w:lang w:val="en-US"/>
        </w:rPr>
        <w:t>Bw</w:t>
      </w:r>
      <w:r w:rsidRPr="005C3C9A">
        <w:rPr>
          <w:rFonts w:ascii="Garamond" w:hAnsi="Garamond"/>
          <w:lang w:val="en-US"/>
        </w:rPr>
        <w:t>) heißen, diese Verwechslung ist harmlos bei der psychologischen Beschreibung des Erwachsenen, aber irreführend für die des kleinen Kindes. Auch die Einführung des »Vorbewußten« nützt hier nicht viel, denn das Vorbewußte des Kindes braucht sich mit dem des Erwachsenen ebensowenig zu decken. Man begnügt sich also damit, die Dunkelheit klar erkannt zu haben.</w:t>
      </w:r>
    </w:p>
    <w:p w:rsidR="00822836" w:rsidRPr="005C3C9A" w:rsidRDefault="00822836" w:rsidP="00822836">
      <w:pPr>
        <w:pStyle w:val="Sansinterligne"/>
        <w:rPr>
          <w:rFonts w:ascii="Garamond" w:hAnsi="Garamond"/>
          <w:lang w:val="en-US"/>
        </w:rPr>
      </w:pPr>
      <w:r w:rsidRPr="005C3C9A">
        <w:rPr>
          <w:rFonts w:ascii="Garamond" w:hAnsi="Garamond"/>
          <w:lang w:val="en-US"/>
        </w:rPr>
        <w:t>Es ist selbstverständlich, daß ein Fall wie der hier beschriebene Anlaß geben könnte, alle Ergebnisse und Probleme der Psychoanalyse in Diskussion zu ziehen. Es wäre eine unendliche und eine ungerechtfertigte Arbeit. Man muß sich sagen, daß man aus einem einzigen Fall nicht alles erfahren, an ihm nicht alles entscheiden kann, und sich darum begnügen, ihn für das zu verwerten, was er am deutlichsten zeigt. Die Erklärungsaufgabe in der Psychoanalyse ist überhaupt enge begrenzt. Zu erklären sind die auffälligen Symptombildungen durch Aufdeckung ihrer Genese; die psychischen Mechanismen und Triebvorgänge, zu denen man so geführt wird, sind nicht zu erklären, sondern zu beschreiben. Um aus den Feststellungen über diese beiden letzteren Punkte neue Allgemeinheiten zu gewinnen, sind zahlreiche solche gut und tief analysierte Fälle erforderlich. Sie sind nicht leicht zu haben, jeder einzelne verbraucht jahrelange Arbeit. Der Fortschritt in diesen Gebieten kann sich also nur langsam vollziehen. Die Versuchung liegt freilich sehr nahe, sich damit zu begnügen, daß man bei einer Anzahl von Personen die psychische Oberfläche »ankratzt« und das Unterlassene dann durch Spekulation ersetzt, die man unter die Patronanz irgendeiner philosophischen Richtung stellt. Man kann auch praktische Bedürfnisse zu Gunsten dieses Verfahrens geltend machen, aber die Bedürfnisse der Wissenschaft lassen sich durch kein Surrogat befriedigen.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will versuchen, eine synthetische Übersicht der Sexualentwicklung meines Patienten zu entwerfen, bei der ich mit den frühesten Anzeichen beginnen kann. Das erste, was wir über ihn hören, ist die Störung der Eßlust, die ich nach anderen Erfahrungen, aber doch mit aller Zurückhaltung, als den Erfolg eines Vorgangs auf sexuellem Gebiet auffassen will. Als die erste kenntliche Sexualorganisation habe ich die sogenannte </w:t>
      </w:r>
      <w:r w:rsidRPr="005C3C9A">
        <w:rPr>
          <w:rFonts w:ascii="Garamond" w:hAnsi="Garamond"/>
          <w:i/>
          <w:iCs/>
          <w:lang w:val="en-US"/>
        </w:rPr>
        <w:t>kannibale</w:t>
      </w:r>
      <w:r w:rsidRPr="005C3C9A">
        <w:rPr>
          <w:rFonts w:ascii="Garamond" w:hAnsi="Garamond"/>
          <w:lang w:val="en-US"/>
        </w:rPr>
        <w:t xml:space="preserve"> oder </w:t>
      </w:r>
      <w:r w:rsidRPr="005C3C9A">
        <w:rPr>
          <w:rFonts w:ascii="Garamond" w:hAnsi="Garamond"/>
          <w:i/>
          <w:iCs/>
          <w:lang w:val="en-US"/>
        </w:rPr>
        <w:t>orale</w:t>
      </w:r>
      <w:r w:rsidRPr="005C3C9A">
        <w:rPr>
          <w:rFonts w:ascii="Garamond" w:hAnsi="Garamond"/>
          <w:lang w:val="en-US"/>
        </w:rPr>
        <w:t xml:space="preserve"> betrachten müssen, in welcher die ursprüngliche Anlehnung der Sexualerregung an den Eßtrieb noch die Szene beherrscht. Direkte Äußerungen dieser Phase werden nicht zu erwarten sein, wohl aber Anzeichen bei eingetretenen Störungen. Die Beeinträchtigung des Eßtriebs – die natürlich sonst auch andere Ursachen haben kann – macht uns dann aufmerksam, daß eine </w:t>
      </w:r>
      <w:r w:rsidRPr="005C3C9A">
        <w:rPr>
          <w:rFonts w:ascii="Garamond" w:hAnsi="Garamond"/>
          <w:lang w:val="en-US"/>
        </w:rPr>
        <w:lastRenderedPageBreak/>
        <w:t>Bewältigung sexueller Erregung dem Organismus nicht gelungen ist. Das Sexualziel dieser Phase könnte nur der Kannibalismus, das Fressen sein; es kommt bei unserem Patienten durch Regression von einer höheren Stufe her in der Angst zum Vorschein: vom Wolf gefressen zu werden. Diese Angst mußten wir uns ja übersetzen: vom Vater koitiert zu werden. Es ist bekannt, daß es in weit vorgerückteren Jahren, bei Mädchen in den Zeiten der Pubertät oder bald nachher, eine Neurose gibt, welche die Sexualablehnung durch Anorexie ausdrückt; man wird sie in Beziehung zu dieser oralen Phase des Sexuallebens bringen dürfen. Auf der Höhe des verliebten Paroxysmus (»ich könnte dich fressen vor Liebe«) und im zärtlichen Verkehr mit kleinen Kindern, wobei der Erwachsene sich selbst wie infantil gebärdet, tritt das Liebesziel der oralen Organisation wieder auf. Ich habe an anderer Stelle die Vermutung ausgesprochen, daß der Vater unseres Patienten selbst das »zärtliche Schimpfen« gehabt, mit dem Kleinen Wolf oder Hund gespielt und ihn im Scherz mit dem Auffressen bedroht hat (S. 152). Der Patient hat diese Vermutung durch sein auffälliges Benehmen in der Übertragung nur bestätigt. So oft er vor Schwierigkeiten der Kur auf die Übertragung zurückwich, drohte er mit dem Auffressen und später mit allen anderen möglichen Mißhandlungen, was alles nur Ausdruck von Zärtlichkeit war.</w:t>
      </w:r>
    </w:p>
    <w:p w:rsidR="00822836" w:rsidRPr="005C3C9A" w:rsidRDefault="00822836" w:rsidP="00822836">
      <w:pPr>
        <w:pStyle w:val="Sansinterligne"/>
        <w:rPr>
          <w:rFonts w:ascii="Garamond" w:hAnsi="Garamond"/>
        </w:rPr>
      </w:pPr>
      <w:r w:rsidRPr="005C3C9A">
        <w:rPr>
          <w:rFonts w:ascii="Garamond" w:hAnsi="Garamond"/>
          <w:lang w:val="en-US"/>
        </w:rPr>
        <w:t xml:space="preserve">Der Sprachgebrauch hat gewisse Prägungen dieser oralen Sexualphase dauernd angenommen, er spricht von einem »appetitlichen« Liebesobjekt, nennt die Geliebte »süß«. </w:t>
      </w:r>
      <w:r w:rsidRPr="005C3C9A">
        <w:rPr>
          <w:rFonts w:ascii="Garamond" w:hAnsi="Garamond"/>
        </w:rPr>
        <w:t>Wir erinnern uns, daß unser kleiner Patient auch nur Süßes essen wollte. Süßigkeiten, Bonbons vertreten im Traume regelmäßig Liebkosungen, sexuelle Befriedigungen.</w:t>
      </w:r>
    </w:p>
    <w:p w:rsidR="00822836" w:rsidRPr="005C3C9A" w:rsidRDefault="00822836" w:rsidP="00822836">
      <w:pPr>
        <w:pStyle w:val="Sansinterligne"/>
        <w:rPr>
          <w:rFonts w:ascii="Garamond" w:hAnsi="Garamond"/>
        </w:rPr>
      </w:pPr>
      <w:r w:rsidRPr="005C3C9A">
        <w:rPr>
          <w:rFonts w:ascii="Garamond" w:hAnsi="Garamond"/>
        </w:rPr>
        <w:t>Es scheint, daß zu dieser Phase auch eine Angst gehört (im Falle von Störung natürlich), die als Lebensangst auftritt und sich an alles heften kann, was dem Kinde als geeignet bezeichnet wird. Bei unserem Patienten wurde sie dazu benützt, um ihn zur Überwindung seiner Eßunlust, ja zur Überkompensation derselben anzuleiten. Auf die mögliche Quelle seiner Eßstörung werden wir geleitet, wenn wir – auf dem Boden jener vielberedeten Annahme – daran erinnern, daß die Koitusbeobachtung, von welcher so viele nachträgliche Wirkungen ausgingen, in das Alter von 1½ Jahren, sicherlich vor der Zeit der Eßschwierigkeiten fällt. Vielleicht dürfen wir annehmen, daß sie die Prozesse der Sexualreifung beschleunigt und so auch direkte, wenn auch unscheinbare Wirkungen entfaltet hat.</w:t>
      </w:r>
    </w:p>
    <w:p w:rsidR="00822836" w:rsidRPr="005C3C9A" w:rsidRDefault="00822836" w:rsidP="00822836">
      <w:pPr>
        <w:pStyle w:val="Sansinterligne"/>
        <w:rPr>
          <w:rFonts w:ascii="Garamond" w:hAnsi="Garamond"/>
          <w:lang w:val="en-US"/>
        </w:rPr>
      </w:pPr>
      <w:r w:rsidRPr="005C3C9A">
        <w:rPr>
          <w:rFonts w:ascii="Garamond" w:hAnsi="Garamond"/>
        </w:rPr>
        <w:t xml:space="preserve">Ich weiß natürlich auch, daß man die Symptomatik dieser Periode, die Wolfsangst, die Eßstörung anders und einfacher erklären kann, ohne Rücksicht auf die Sexualität und eine prägenitale Organisationsstufe derselben. </w:t>
      </w:r>
      <w:r w:rsidRPr="005C3C9A">
        <w:rPr>
          <w:rFonts w:ascii="Garamond" w:hAnsi="Garamond"/>
          <w:lang w:val="en-US"/>
        </w:rPr>
        <w:t>Wer die Zeichen der Neurotik und den Zusammenhang der Erscheinungen gern vernachlässigt, wird diese andere Erklärung vorziehen, und ich werde ihn daran nicht hindern können. Es ist schwer, über diese Anfänge des Sexuallebens anders als auf den angezeigten Umwegen etwas Zwingendes zu eruieren.</w:t>
      </w:r>
    </w:p>
    <w:p w:rsidR="00822836" w:rsidRPr="005C3C9A" w:rsidRDefault="00822836" w:rsidP="00822836">
      <w:pPr>
        <w:pStyle w:val="Sansinterligne"/>
        <w:rPr>
          <w:rFonts w:ascii="Garamond" w:hAnsi="Garamond"/>
          <w:lang w:val="en-US"/>
        </w:rPr>
      </w:pPr>
      <w:r w:rsidRPr="005C3C9A">
        <w:rPr>
          <w:rFonts w:ascii="Garamond" w:hAnsi="Garamond"/>
          <w:lang w:val="en-US"/>
        </w:rPr>
        <w:t>Die Szene mit der Gruscha um (2½ Jahre) zeigt uns unseren Kleinen zu Beginn einer Entwicklung, welche die Anerkennung als normal verdient, vielleicht bis auf ihre Vorzeitigkeit: Identifizierung mit dem Vater, Harnerotik in Vertretung der Männlichkeit. Sie steht ja auch ganz unter dem Einfluß der Urszene. Die Vateridentifizierung haben wir bisher als eine narzißtische aufgefaßt, mit Rücksicht auf den Inhalt der Urszene können wir es nicht abweisen, daß sie bereits der Stufe der Genitalorganisation entspricht. Das männliche Genitale hat seine Rolle zu spielen begonnen und setzt sie unter dem Einfluß der Verführung durch die Schwester fort.</w:t>
      </w:r>
    </w:p>
    <w:p w:rsidR="00822836" w:rsidRPr="005C3C9A" w:rsidRDefault="00822836" w:rsidP="00822836">
      <w:pPr>
        <w:pStyle w:val="Sansinterligne"/>
        <w:rPr>
          <w:rFonts w:ascii="Garamond" w:hAnsi="Garamond"/>
        </w:rPr>
      </w:pPr>
      <w:r w:rsidRPr="005C3C9A">
        <w:rPr>
          <w:rFonts w:ascii="Garamond" w:hAnsi="Garamond"/>
          <w:lang w:val="en-US"/>
        </w:rPr>
        <w:t xml:space="preserve">Man bekommt aber den Eindruck, daß die Verführung nicht bloß die Entwicklung fördert, sondern sie noch in höherem Grade stört und ablenkt. </w:t>
      </w:r>
      <w:r w:rsidRPr="005C3C9A">
        <w:rPr>
          <w:rFonts w:ascii="Garamond" w:hAnsi="Garamond"/>
        </w:rPr>
        <w:t>Sie gibt ein passives Sexualziel, welches mit der Aktion des männlichen Genitales im Grunde unverträglich ist. Beim ersten äußeren Hindernis, bei der Kastrationsandeutung der Nanja, bricht (mit 3½ Jahren) die noch zaghafte genitale Organisation zusammen und regrediert auf die ihr vorhergehende Stufe der sadistisch-analen Organisation, welche vielleicht sonst mit ebenso leichten Anzeichen wie bei anderen Kindern durchlaufen worden wäre.</w:t>
      </w:r>
    </w:p>
    <w:p w:rsidR="00822836" w:rsidRPr="005C3C9A" w:rsidRDefault="00822836" w:rsidP="00822836">
      <w:pPr>
        <w:pStyle w:val="Sansinterligne"/>
        <w:rPr>
          <w:rFonts w:ascii="Garamond" w:hAnsi="Garamond"/>
          <w:lang w:val="en-US"/>
        </w:rPr>
      </w:pPr>
      <w:r w:rsidRPr="005C3C9A">
        <w:rPr>
          <w:rFonts w:ascii="Garamond" w:hAnsi="Garamond"/>
        </w:rPr>
        <w:t xml:space="preserve">Die sadistisch-anale Organisation ist leicht als Fortbildung der oralen zu erkennen. Die gewaltsame Muskelbetätigung am Objekt, die sie auszeichnet, findet ihre Stelle als vorbereitender Akt für das Fressen, das dann als Sexualziel ausfällt. Der vorbereitende Akt wird ein selbständiges Ziel. Die Neuheit gegen die vorige Stufe besteht wesentlich darin, daß das aufnehmende, passive Organ, von der Mundzone abgesondert, an der Analzone ausgebildet wird. </w:t>
      </w:r>
      <w:r w:rsidRPr="005C3C9A">
        <w:rPr>
          <w:rFonts w:ascii="Garamond" w:hAnsi="Garamond"/>
          <w:lang w:val="en-US"/>
        </w:rPr>
        <w:t>Biologische Parallelen oder die Auffassung der prägenitalen menschlichen Organisationen als Reste von Einrichtungen, die in manchen Tierklassen dauernd festgehalten werden, liegen hier sehr nahe. Die Konstituierung des Forschertriebes aus seinen Komponenten ist für diese Stufe gleichfalls charakteristisch.</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 Analerotik macht sich nicht auffällig bemerkbar. Der Kot hat unter dem Einfluß des Sadismus seine zärtliche gegen seine offensive Bedeutung vertauscht. An der Verwandlung des Sadismus in Masochismus </w:t>
      </w:r>
      <w:r w:rsidRPr="005C3C9A">
        <w:rPr>
          <w:rFonts w:ascii="Garamond" w:hAnsi="Garamond"/>
          <w:lang w:val="en-US"/>
        </w:rPr>
        <w:lastRenderedPageBreak/>
        <w:t>ist ein Schuldgefühl mitbeteiligt, welches auf Entwicklungsvorgänge in anderen als den sexuellen Sphären hinweist.</w:t>
      </w:r>
    </w:p>
    <w:p w:rsidR="00822836" w:rsidRPr="005C3C9A" w:rsidRDefault="00822836" w:rsidP="00822836">
      <w:pPr>
        <w:pStyle w:val="Sansinterligne"/>
        <w:rPr>
          <w:rFonts w:ascii="Garamond" w:hAnsi="Garamond"/>
          <w:lang w:val="en-US"/>
        </w:rPr>
      </w:pPr>
      <w:r w:rsidRPr="005C3C9A">
        <w:rPr>
          <w:rFonts w:ascii="Garamond" w:hAnsi="Garamond"/>
        </w:rPr>
        <w:t xml:space="preserve">Die Verführung setzt ihren Einfluß fort, indem sie die Passivität des Sexualziels aufrechterhält. Sie verwandelt jetzt den Sadismus zu einem großen Teil in sein passives Gegenstück, den Masochismus. Es ist fraglich, ob man den Charakter der Passivität ganz auf ihre Rechnung setzen darf, denn die Reaktion des 1½jährigen Kindes auf die Koitusbeobachtung war bereits vorwiegend eine passive. </w:t>
      </w:r>
      <w:r w:rsidRPr="005C3C9A">
        <w:rPr>
          <w:rFonts w:ascii="Garamond" w:hAnsi="Garamond"/>
          <w:lang w:val="en-US"/>
        </w:rPr>
        <w:t>Die sexuelle Miterregung äußerte sich in einer Stuhlentleerung, an der allerdings auch ein aktiver Anteil zu unterscheiden ist. Neben dem Masochismus, der seine Sexualstrebung beherrscht und sich in Phantasien äußert, bleibt auch der Sadismus bestehen und betätigt sich gegen kleine Tiere. Seine Sexualforschung hat von der Verführung an eingesetzt, wesentlich zwei Probleme in Angriff genommen, woher die Kinder kommen, und ob ein Verlust des Genitales möglich ist, und verwebt sich mit den Äußerungen seiner Triebregungen. Sie lenkt seine sadistischen Neigungen auf die kleinen Tiere als Repräsentanten der kleinen Kinder.</w:t>
      </w:r>
    </w:p>
    <w:p w:rsidR="00822836" w:rsidRPr="005C3C9A" w:rsidRDefault="00822836" w:rsidP="00822836">
      <w:pPr>
        <w:pStyle w:val="Sansinterligne"/>
        <w:rPr>
          <w:rFonts w:ascii="Garamond" w:hAnsi="Garamond"/>
          <w:lang w:val="en-US"/>
        </w:rPr>
      </w:pPr>
      <w:r w:rsidRPr="005C3C9A">
        <w:rPr>
          <w:rFonts w:ascii="Garamond" w:hAnsi="Garamond"/>
          <w:lang w:val="en-US"/>
        </w:rPr>
        <w:t>Wir haben die Schilderung bis in die Nähe des vierten Geburtstages geführt, zu welchem Zeitpunkt der Traum die Koitusbeobachtung von 1½ Jahren zur nachträglichen Wirkung bringt. Die Vorgänge, die sich nun abspielen, können wir weder vollständig erfassen, noch sie hinreichend beschreiben. Die Aktivierung des Bildes, das nun dank der vorgeschrittenen intellektuellen Entwicklung verstanden werden kann, wirkt wie ein frisches Ereignis, aber auch wie ein neues Trauma, ein fremder Eingriff analog der Verführung. Die abgebrochene genitale Organisation wird mit einem Schlage wieder eingesetzt, aber der im Traum vollzogene Fortschritt kann nicht festgehalten werden. Es kommt vielmehr durch einen Vorgang, den man nur einer Verdrängung gleichstellen kann, zur Ablehnung des Neuen und dessen Ersetzung durch eine Phobie.</w:t>
      </w:r>
    </w:p>
    <w:p w:rsidR="00822836" w:rsidRPr="005C3C9A" w:rsidRDefault="00822836" w:rsidP="00822836">
      <w:pPr>
        <w:pStyle w:val="Sansinterligne"/>
        <w:rPr>
          <w:rFonts w:ascii="Garamond" w:hAnsi="Garamond"/>
          <w:lang w:val="en-US"/>
        </w:rPr>
      </w:pPr>
      <w:r w:rsidRPr="005C3C9A">
        <w:rPr>
          <w:rFonts w:ascii="Garamond" w:hAnsi="Garamond"/>
          <w:lang w:val="en-US"/>
        </w:rPr>
        <w:t>Die sadistisch-anale Organisation bleibt also auch in der jetzt einsetzenden Phase der Tierphobie fortbestehen, nur sind ihr die Angsterscheinungen beigemengt. Das Kind setzt die sadistischen wie die masochistischen Betätigungen fort, doch reagierte es mit Angst gegen einen Teil derselben; die Verkehrung des Sadismus in sein Gegenteil macht wahrscheinlich weitere Fortschritte.</w:t>
      </w:r>
    </w:p>
    <w:p w:rsidR="00822836" w:rsidRPr="005C3C9A" w:rsidRDefault="00822836" w:rsidP="00822836">
      <w:pPr>
        <w:pStyle w:val="Sansinterligne"/>
        <w:rPr>
          <w:rFonts w:ascii="Garamond" w:hAnsi="Garamond"/>
          <w:lang w:val="en-US"/>
        </w:rPr>
      </w:pPr>
      <w:r w:rsidRPr="005C3C9A">
        <w:rPr>
          <w:rFonts w:ascii="Garamond" w:hAnsi="Garamond"/>
          <w:lang w:val="en-US"/>
        </w:rPr>
        <w:t>Aus der Analyse des Angsttraumes entnehmen wir, daß die Verdrängung sich an die Erkenntnis der Kastration anschließt. Das Neue wird verworfen, weil seine Annahme den Penis kosten würde. Eine sorgfältigere Überlegung läßt etwa folgendes erkennen: Das Verdrängte ist die homosexuelle Einstellung im genitalen Sinne, die sich unter dem Einfluß der Erkenntnis gebildet hatte. Sie bleibt nun aber fürs Unbewußte erhalten, als eine abgesperrte tiefere Schichtung konstituiert. Der Motor dieser Verdrängung scheint die narzißtische Männlichkeit des Genitales zu sein, die in einen längst vorbereiteten Konflikt mit der Passivität des homosexuellen Sexualzieles gerät. Die Verdrängung ist also ein Erfolg der Männlichkeit.</w:t>
      </w:r>
    </w:p>
    <w:p w:rsidR="00822836" w:rsidRPr="005C3C9A" w:rsidRDefault="00822836" w:rsidP="00822836">
      <w:pPr>
        <w:pStyle w:val="Sansinterligne"/>
        <w:rPr>
          <w:rFonts w:ascii="Garamond" w:hAnsi="Garamond"/>
          <w:lang w:val="en-US"/>
        </w:rPr>
      </w:pPr>
      <w:r w:rsidRPr="005C3C9A">
        <w:rPr>
          <w:rFonts w:ascii="Garamond" w:hAnsi="Garamond"/>
          <w:lang w:val="en-US"/>
        </w:rPr>
        <w:t>Man käme in Versuchung, von hier aus ein Stück der psychoanalytischen Theorie abzuändern. Man glaubt doch mit Händen zu greifen, daß es der Konflikt zwischen männlichen und weiblichen Strebungen, also die Bisexualität, ist, aus der die Verdrängung und Neurosenbildung hervorgeht. Allein diese Auffassung ist lückenhaft. Von den beiden widerstreitenden Sexualregungen ist die eine ichgerecht, die andere beleidigt das narzißtische Interesse; sie verfällt darum der Verdrängung. Es ist auch in diesem Falle das Ich, von dem die Verdrängung ins Werk gesetzt wird, zu Gunsten einer der sexuellen Strebungen. In anderen Fällen existiert ein solcher Konflikt zwischen Männlichkeit und Weiblichkeit nicht; es ist nur eine Sexualstrebung da, die Annahme heischt, aber gegen gewisse Mächte des Ichs verstößt und darum selbst verstoßen wird. Weit häufiger als Konflikte innerhalb der Sexualität selbst finden sich ja die anderen vor, die sich zwischen der Sexualität und den moralischen Ichtendenzen ergeben. Ein solcher moralischer Konflikt fehlt in unserem Falle. Die Betonung der Bisexualität als Motiv der Verdrängung wäre also zu enge; die des Konflikts zwischen Ich und Sexualstreben (Libido) deckt alle Vorkommnisse.</w:t>
      </w:r>
    </w:p>
    <w:p w:rsidR="00822836" w:rsidRPr="005C3C9A" w:rsidRDefault="00822836" w:rsidP="00822836">
      <w:pPr>
        <w:pStyle w:val="Sansinterligne"/>
        <w:rPr>
          <w:rFonts w:ascii="Garamond" w:hAnsi="Garamond"/>
          <w:lang w:val="en-US"/>
        </w:rPr>
      </w:pPr>
      <w:r w:rsidRPr="005C3C9A">
        <w:rPr>
          <w:rFonts w:ascii="Garamond" w:hAnsi="Garamond"/>
          <w:lang w:val="en-US"/>
        </w:rPr>
        <w:t>Der Lehre vom »männlichen Protest«, wie sie Adler ausgebildet hat, ist entgegenzuhalten, daß die Verdrängung keineswegs immer die Partei der Männlichkeit nimmt und die Weiblichkeit betrifft; in ganzen großen Klassen von Fällen ist es die Männlichkeit, die sich vom Ich die Verdrängung gefallen lassen muß.</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Eine gerechtere Würdigung des Verdrängungsvorganges in unserem Falle würde übrigens der narzißtischen Männlichkeit die Bedeutung des einzigen Motivs bestreiten. Die homosexuelle Einstellung, die während des Traumes zustande kommt, ist eine so intensive, daß das Ich des kleinen Menschen an ihrer Bewältigung versagt und sich durch den Verdrängungsvorgang ihrer erwehrt. Als Helfer bei dieser Absicht wird die ihr gegensätzliche narzißtische Männlichkeit des Genitales herangezogen. Daß alle narzißtischen Regungen vom Ich aus wirken und beim Ich verbleiben, die Verdrängungen gegen </w:t>
      </w:r>
      <w:r w:rsidRPr="005C3C9A">
        <w:rPr>
          <w:rFonts w:ascii="Garamond" w:hAnsi="Garamond"/>
          <w:lang w:val="en-US"/>
        </w:rPr>
        <w:lastRenderedPageBreak/>
        <w:t>libidinöse Objektbesetzungen gerichtet sind, soll nur zur Vermeidung von Mißverständnissen ausgesprochen werden.</w:t>
      </w:r>
    </w:p>
    <w:p w:rsidR="00822836" w:rsidRPr="005C3C9A" w:rsidRDefault="00822836" w:rsidP="00822836">
      <w:pPr>
        <w:pStyle w:val="Sansinterligne"/>
        <w:rPr>
          <w:rFonts w:ascii="Garamond" w:hAnsi="Garamond"/>
          <w:lang w:val="en-US"/>
        </w:rPr>
      </w:pPr>
      <w:r w:rsidRPr="005C3C9A">
        <w:rPr>
          <w:rFonts w:ascii="Garamond" w:hAnsi="Garamond"/>
          <w:lang w:val="en-US"/>
        </w:rPr>
        <w:t>Wenden wir uns von dem Vorgang der Verdrängung, dessen restlose Bewältigung uns vielleicht nicht geglückt ist, zu dem Zustand, der sich beim Erwachen aus dem Traum ergibt. Wäre es wirklich die Männlichkeit gewesen, die während des Traumvorganges über die Homosexualität (Weiblichkeit) gesiegt hat, so müßten wir nun eine aktive Sexualstrebung von bereits ausgesprochen männlichem Charakter als die herrschende finden. Davon ist keine Rede, das Wesentliche der Sexualorganisation hat sich nicht geändert, die sadistisch-anale Phase setzt ihren Bestand fort, sie ist die herrschende geblieben. Der Sieg der Männlichkeit zeigt sich bloß darin, daß nun auf die passiven Sexualziele der herrschenden Organisation (die masochistisch, aber nicht weiblich sind) mit Angst reagiert wird. Es ist keine sieghafte männliche Sexualregung vorhanden, sondern nur eine passive und ein Sträuben gegen dieselbe.</w:t>
      </w:r>
    </w:p>
    <w:p w:rsidR="00822836" w:rsidRPr="005C3C9A" w:rsidRDefault="00822836" w:rsidP="00822836">
      <w:pPr>
        <w:pStyle w:val="Sansinterligne"/>
        <w:rPr>
          <w:rFonts w:ascii="Garamond" w:hAnsi="Garamond"/>
          <w:lang w:val="en-US"/>
        </w:rPr>
      </w:pPr>
      <w:r w:rsidRPr="005C3C9A">
        <w:rPr>
          <w:rFonts w:ascii="Garamond" w:hAnsi="Garamond"/>
          <w:lang w:val="en-US"/>
        </w:rPr>
        <w:t>Ich kann mir vorstellen, welche Schwierigkeiten die ungewohnte, aber unerläßliche scharfe Scheidung von aktiv-männlich und passiv-weiblich dem Leser bereitet und will darum Wiederholungen nicht vermeiden. Den Zustand nach dem Traume kann man also in folgender Art beschreiben: Die Sexualstrebungen sind zerspalten worden, im Unbewußten ist die Stufe der genitalen Organisation erreicht und eine sehr intensive Homosexualität konstituiert, darüber besteht (virtuell im Bewußten) die frühere sadistische und überwiegend masochistische Sexualströmung, das Ich hat seine Stellung zur Sexualität im ganzen geändert, es befindet sich in Sexualablehnung und weist die herrschenden masochistischen Ziele mit Angst ab, wie es auf die tieferen homosexuellen mit der Bildung einer Phobie reagiert hat. Der Erfolg des Traumes war also nicht so sehr der Sieg einer männlichen Strömung, sondern die Reaktion gegen eine feminine und eine passive. Es wäre gewaltsam, dieser Reaktion den Charakter der Männlichkeit zuzuschreiben. Das Ich hat eben keine Sexualstrebungen, sondern nur das Interesse an seiner Selbstbewahrung und der Erhaltung seines Narzißmus.</w:t>
      </w:r>
    </w:p>
    <w:p w:rsidR="00822836" w:rsidRPr="005C3C9A" w:rsidRDefault="00822836" w:rsidP="00822836">
      <w:pPr>
        <w:pStyle w:val="Sansinterligne"/>
        <w:rPr>
          <w:rFonts w:ascii="Garamond" w:hAnsi="Garamond"/>
          <w:lang w:val="en-US"/>
        </w:rPr>
      </w:pPr>
      <w:r w:rsidRPr="005C3C9A">
        <w:rPr>
          <w:rFonts w:ascii="Garamond" w:hAnsi="Garamond"/>
        </w:rPr>
        <w:t xml:space="preserve">Fassen wir nun die Phobie ins Auge. Sie ist auf dem Niveau der genitalen Organisation entstanden, zeigt uns den relativ einfachen Mechanismus einer Angsthysterie. Das Ich schützt sich durch Angstentwicklung vor dem, was es als übermächtige Gefahr wertet, vor der homosexuellen Befriedigung. Doch hinterläßt der Verdrängungsvorgang eine nicht zu übersehende Spur. Das Objekt, an das sich das gefürchtete Sexualziel geknüpft hat, muß sich vor dem Bewußtsein durch ein anderes vertreten lassen. </w:t>
      </w:r>
      <w:r w:rsidRPr="005C3C9A">
        <w:rPr>
          <w:rFonts w:ascii="Garamond" w:hAnsi="Garamond"/>
          <w:lang w:val="en-US"/>
        </w:rPr>
        <w:t xml:space="preserve">Nicht die Angst vor dem </w:t>
      </w:r>
      <w:r w:rsidRPr="005C3C9A">
        <w:rPr>
          <w:rFonts w:ascii="Garamond" w:hAnsi="Garamond"/>
          <w:i/>
          <w:iCs/>
          <w:lang w:val="en-US"/>
        </w:rPr>
        <w:t>Vater</w:t>
      </w:r>
      <w:r w:rsidRPr="005C3C9A">
        <w:rPr>
          <w:rFonts w:ascii="Garamond" w:hAnsi="Garamond"/>
          <w:lang w:val="en-US"/>
        </w:rPr>
        <w:t xml:space="preserve">, sondern die vor dem </w:t>
      </w:r>
      <w:r w:rsidRPr="005C3C9A">
        <w:rPr>
          <w:rFonts w:ascii="Garamond" w:hAnsi="Garamond"/>
          <w:i/>
          <w:iCs/>
          <w:lang w:val="en-US"/>
        </w:rPr>
        <w:t>Wolf</w:t>
      </w:r>
      <w:r w:rsidRPr="005C3C9A">
        <w:rPr>
          <w:rFonts w:ascii="Garamond" w:hAnsi="Garamond"/>
          <w:lang w:val="en-US"/>
        </w:rPr>
        <w:t xml:space="preserve"> wird bewußt. Es bleibt auch nicht bei der Bildung der Phobie mit dem einen Inhalt. Der Wolf ersetzt sich eine ganze Weile später durch den Löwen. Mit den sadistischen Regungen gegen die kleinen Tiere konkurriert eine Phobie vor ihnen als Vertreter der Nebenbuhler, der möglichen kleinen Kinder. Besonders interessant ist die Entstehung der Schmetterlingsphobie. Es ist wie eine Wiederholung des Mechanismus, der im Traum die Wolfsphobie erzeugt hat. Durch eine zufällige Anregung wird ein altes Erlebnis aktiviert, die Szene mit Gruscha, deren Kastrationsdrohung nachträglich zur Wirkung kommt, während sie, als sie vorfiel, ohne Eindruck geblieben war </w:t>
      </w:r>
      <w:hyperlink r:id="rId1299"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Die Gruschaszene war, wie erwähnt, eine spontane Erinnerungsleistung des Patienten, an welcher eine Konstruktion oder Anregung des Arztes keinen Anteil hatte; die Lücke in ihr wurde von der Analyse in einer Weise ausgefüllt, die tadellos genannt werden muß, wenn man auf die Arbeitsweise der Analyse überhaupt Wert legt. Eine rationalistische Aufklärung dieser Phobie könnte nur sagen: Es sei nichts Ungewöhnliches, daß ein zur Ängstlichkeit disponiertes Kind auch einmal vor einem gelbstreifigen Schmetterling einen Angstanfall bekomme, wahrscheinlich infolge einer ererbten Angstneigung. (Vgl. Stanley Hall, ›A Synthetic Genetic Study of Fear‹, 1914). In Unwissenheit dieser Ursache suche es nun nach einer Kindheitsanknüpfung für diese Angst und benütze den Zufall der Namensgleichheit und der Wiederkehr der Streifen, um sich die Phantasie eines Abenteuers mit dem noch erinnerten Kindermädchen zu konstruieren. Wenn aber die Nebensachen der an sich harmlosen Begebenheit, Aufwaschen, Kübel, Besen im späteren Leben die Macht zeigen, dauernd und zwanghaft die Objektwahl des Menschen zu bestimmen, so fällt der Schmetterlingsphobie eine unbegreifliche Bedeutung zu. Der Sachverhalt wird mindestens ebenso merkwürdig wie der von mir behauptete, und der Gewinn aus der rationalistischen Auffassung dieser Szenen ist zerronnen. Die Gruschaszene wird uns also besonders wertvoll, da wir an ihr unser Urteil über die minder gesicherte Urszene vorbereiten können.</w:t>
        </w:r>
      </w:hyperlink>
      <w:r w:rsidRPr="005C3C9A">
        <w:rPr>
          <w:rFonts w:ascii="Garamond" w:hAnsi="Garamond"/>
          <w:lang w:val="en-US"/>
        </w:rPr>
        <w:t>.</w:t>
      </w:r>
    </w:p>
    <w:p w:rsidR="00822836" w:rsidRPr="005C3C9A" w:rsidRDefault="00822836" w:rsidP="00822836">
      <w:pPr>
        <w:pStyle w:val="Sansinterligne"/>
        <w:rPr>
          <w:rFonts w:ascii="Garamond" w:hAnsi="Garamond"/>
          <w:lang w:val="en-US"/>
        </w:rPr>
      </w:pPr>
      <w:r w:rsidRPr="005C3C9A">
        <w:rPr>
          <w:rFonts w:ascii="Garamond" w:hAnsi="Garamond"/>
          <w:lang w:val="en-US"/>
        </w:rPr>
        <w:t>Man kann sagen, die Angst, welche in die Bildung dieser Phobien eingeht, ist Kastrationsangst. Diese Aussage enthält keinen Widerspruch gegen die Auffassung, die Angst sei aus der Verdrängung homosexueller Libido hervorgegangen. In beiden Ausdrucksweisen meint man den nämlichen Vorgang, daß das Ich der homosexuellen Wunschregung Libido entzieht, welche in freischwebende Angst umgesetzt wird und sich dann in Phobien binden läßt. In der ersten Ausdrucksweise hat man nur das Motiv, welches das Ich treibt, mitbezeichnet.</w:t>
      </w:r>
    </w:p>
    <w:p w:rsidR="00822836" w:rsidRPr="005C3C9A" w:rsidRDefault="00822836" w:rsidP="00822836">
      <w:pPr>
        <w:pStyle w:val="Sansinterligne"/>
        <w:rPr>
          <w:rFonts w:ascii="Garamond" w:hAnsi="Garamond"/>
          <w:lang w:val="en-US"/>
        </w:rPr>
      </w:pPr>
      <w:r w:rsidRPr="005C3C9A">
        <w:rPr>
          <w:rFonts w:ascii="Garamond" w:hAnsi="Garamond"/>
          <w:lang w:val="en-US"/>
        </w:rPr>
        <w:lastRenderedPageBreak/>
        <w:t>Bei näherem Zusehen findet man nun, daß diese erste Erkrankung unseres Patienten (von der Eßstörung abzusehen) durch das Herausgreifen der Phobie nicht erschöpft wird, sondern als eine echte Hysterie verstanden werden muß, der neben Angstsymptomen auch Konversionserscheinungen zukommen. Ein Anteil der homosexuellen Regung wird in dem bei ihr beteiligten Organ festgehalten; der Darm benimmt sich von dann an und ebenso in der Spätzeit wie ein hysterisch affiziertes Organ. Die unbewußte, verdrängte Homosexualität hat sich in den Darm zurückgezogen. Gerade dieses Stück Hysterie hat dann bei der Lösung des späteren Krankseins die besten Dienste geleistet.</w:t>
      </w:r>
    </w:p>
    <w:p w:rsidR="00822836" w:rsidRPr="005C3C9A" w:rsidRDefault="00822836" w:rsidP="00822836">
      <w:pPr>
        <w:pStyle w:val="Sansinterligne"/>
        <w:rPr>
          <w:rFonts w:ascii="Garamond" w:hAnsi="Garamond"/>
          <w:lang w:val="en-US"/>
        </w:rPr>
      </w:pPr>
      <w:r w:rsidRPr="005C3C9A">
        <w:rPr>
          <w:rFonts w:ascii="Garamond" w:hAnsi="Garamond"/>
          <w:lang w:val="en-US"/>
        </w:rPr>
        <w:t>Nun soll es uns auch nicht am Mute mangeln, die noch komplizierteren Verhältnisse der Zwangsneurose in Angriff zu nehmen. Halten wir uns nochmals die Situation vor: eine herrschende masochistische und eine verdrängte homosexuelle Sexualströmung, dagegen ein in hysterischer Ablehnung befangenes Ich; welche Vorgänge wandeln diesen Zustand in den der Zwangsneurose um?</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 Verwandlung geschieht nicht spontan, durch innere Fortentwicklung, sondern durch fremden Einfluß von außen. Ihr sichtbarer Erfolg ist, daß das im Vordergrund stehende Verhältnis zum Vater, welches bisher in der Wolfsphobie Ausdruck gefunden hatte, sich nun in Zwangsfrömmigkeit äußert. Ich kann es nicht unterlassen, darauf hinzuweisen, daß der Vorgang bei diesem Patienten eine unzweideutige Bestätigung einer Behauptung liefert, die ich in </w:t>
      </w:r>
      <w:r w:rsidRPr="005C3C9A">
        <w:rPr>
          <w:rFonts w:ascii="Garamond" w:hAnsi="Garamond"/>
          <w:i/>
          <w:iCs/>
          <w:lang w:val="en-US"/>
        </w:rPr>
        <w:t>Totem und Tabu</w:t>
      </w:r>
      <w:r w:rsidRPr="005C3C9A">
        <w:rPr>
          <w:rFonts w:ascii="Garamond" w:hAnsi="Garamond"/>
          <w:lang w:val="en-US"/>
        </w:rPr>
        <w:t xml:space="preserve"> über das Verhältnis des Totemtieres zur Gottheit aufgestellt habe. Ich entschied mich dort dafür, daß die Gottesvorstellung nicht eine Fortentwicklung des Totem sei, sondern sich unabhängig von ihm aus der gemeinsamen Wurzel beider zu seiner Ablösung erhebe. Der Totem sei der erste Vaterersatz, der Gott aber ein späterer, in dem der Vater seine menschliche Gestalt wiedergewinne. So finden wir es auch bei unserem Patienten. Er macht in der Wolfsphobie das Stadium des totemistischen Vaterersatzes durch, welches nun abbricht und infolge neuer Relationen zwischen ihm und dem Vater durch eine Phase von religiöser Frömmigkeit ersetzt wird.</w:t>
      </w:r>
    </w:p>
    <w:p w:rsidR="00822836" w:rsidRPr="005C3C9A" w:rsidRDefault="00822836" w:rsidP="00822836">
      <w:pPr>
        <w:pStyle w:val="Sansinterligne"/>
        <w:rPr>
          <w:rFonts w:ascii="Garamond" w:hAnsi="Garamond"/>
          <w:lang w:val="en-US"/>
        </w:rPr>
      </w:pPr>
      <w:r w:rsidRPr="005C3C9A">
        <w:rPr>
          <w:rFonts w:ascii="Garamond" w:hAnsi="Garamond"/>
          <w:lang w:val="en-US"/>
        </w:rPr>
        <w:t>Der Einfluß, welcher diese Wandlung hervorruft, ist die durch die Mutter vermittelte Bekanntschaft mit den Lehren der Religion und mit der heiligen Geschichte. Das Ergebnis wird das von der Erziehung gewünschte. Der sadistisch-masochistischen Sexualorganisation wird ein langsames Ende bereitet, die Wolfsphobie verschwindet rasch, an Stelle der Angstablehnung der Sexualität tritt eine höhere Form der Unterdrückung derselben. Die Frömmigkeit wird zur herrschenden Macht im Leben des Kindes. Allein diese Überwindungen gehen nicht ohne Kämpfe vor sich, als deren Zeichen die blasphemischen Gedanken erscheinen und als deren Folge eine zwanghafte Übertreibung des religiösen Zeremoniells sich festsetzt.</w:t>
      </w:r>
    </w:p>
    <w:p w:rsidR="00822836" w:rsidRPr="005C3C9A" w:rsidRDefault="00822836" w:rsidP="00822836">
      <w:pPr>
        <w:pStyle w:val="Sansinterligne"/>
        <w:rPr>
          <w:rFonts w:ascii="Garamond" w:hAnsi="Garamond"/>
          <w:lang w:val="en-US"/>
        </w:rPr>
      </w:pPr>
      <w:r w:rsidRPr="005C3C9A">
        <w:rPr>
          <w:rFonts w:ascii="Garamond" w:hAnsi="Garamond"/>
          <w:lang w:val="en-US"/>
        </w:rPr>
        <w:t>Wenn wir von diesen pathologischen Phänomenen absehen, können wir sagen, die Religion hat in diesem Falle alles das geleistet, wofür sie in der Erziehung des Individuums eingesetzt wird. Sie hat seine Sexualstrebungen gebändigt, indem sie ihnen eine Sublimierung und feste Verankerung bot, seine familiären Beziehungen entwertet und damit einer drohenden Isolierung vorgebeugt, dadurch, daß sie ihm den Anschluß an die große Gemeinschaft der Menschen eröffnete. Das wilde, verängstigte Kind wurde sozial, gesittet und erziehbar.</w:t>
      </w:r>
    </w:p>
    <w:p w:rsidR="00822836" w:rsidRPr="005C3C9A" w:rsidRDefault="00822836" w:rsidP="00822836">
      <w:pPr>
        <w:pStyle w:val="Sansinterligne"/>
        <w:rPr>
          <w:rFonts w:ascii="Garamond" w:hAnsi="Garamond"/>
          <w:lang w:val="en-US"/>
        </w:rPr>
      </w:pPr>
      <w:r w:rsidRPr="005C3C9A">
        <w:rPr>
          <w:rFonts w:ascii="Garamond" w:hAnsi="Garamond"/>
          <w:lang w:val="en-US"/>
        </w:rPr>
        <w:t>Der Hauptmotor des religiösen Einflusses war die Identifizierung mit der Christusgestalt, die ihm durch die Zufälligkeit seines Geburtsdatums besonders nahegelegt war. Hier fand die übergroße Liebe zum Vater, welche die Verdrängung notwendig gemacht hatte, endlich einen Ausweg in eine ideale Sublimierung. Als Christus durfte man den Vater, der nun Gott hieß, mit einer Inbrunst lieben, die beim irdischen Vater vergeblich nach Entladung gesucht hatte. Die Wege, auf denen man diese Liebe bezeugen konnte, waren von der Religion angezeigt, an- ihnen haftete auch nicht das Schuldbewußtsein, das sich von den individuellen Liebesstrebungen nicht ablösen ließ. Wenn so die tiefste, bereits als unbewußte Homosexualität niedergeschlagene Sexualströmung noch drainiert werden konnte, so fand die oberflächlichere masochistische Strebung eine unvergleichliche Sublimierung ohne viel Verzicht in der Leidensgeschichte Christi, der sich im Auftrage und zu Ehren des göttlichen Vaters hatte mißhandeln und opfern lassen. So tat die Religion ihr Werk bei dem kleinen Entgleisten durch Mischung von Befriedigung, Sublimierung, Ablenkung vom Sinnlichen auf rein geistige Prozesse, und die Eröffnung sozialer Beziehungen, die sie dem Gläubigen bietet.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Sein anfängliches Sträuben gegen die Religion hatte drei verschiedene Ausgangspunkte. Erstens war es überhaupt, wovon wir schon Beispiele gesehen haben, seine Art, alle Neuheiten abzuwehren. Er verteidigte jede einmal eingenommene Libidoposition in der Angst vor dem Verlust bei ihrem Aufgeben und im Mißtrauen gegen die Wahrscheinlichkeit eines vollen Ersatzes durch die neu zu beziehende. Es ist das eine wichtige und fundamentale psychologische Besonderheit, die ich in den </w:t>
      </w:r>
      <w:r w:rsidRPr="005C3C9A">
        <w:rPr>
          <w:rFonts w:ascii="Garamond" w:hAnsi="Garamond"/>
          <w:i/>
          <w:iCs/>
          <w:lang w:val="en-US"/>
        </w:rPr>
        <w:t>Drei Abhandlungen zur Sexualtheorie</w:t>
      </w:r>
      <w:r w:rsidRPr="005C3C9A">
        <w:rPr>
          <w:rFonts w:ascii="Garamond" w:hAnsi="Garamond"/>
          <w:lang w:val="en-US"/>
        </w:rPr>
        <w:t xml:space="preserve"> als Fähigkeit zur </w:t>
      </w:r>
      <w:r w:rsidRPr="005C3C9A">
        <w:rPr>
          <w:rFonts w:ascii="Garamond" w:hAnsi="Garamond"/>
          <w:i/>
          <w:iCs/>
          <w:lang w:val="en-US"/>
        </w:rPr>
        <w:t>Fixierung</w:t>
      </w:r>
      <w:r w:rsidRPr="005C3C9A">
        <w:rPr>
          <w:rFonts w:ascii="Garamond" w:hAnsi="Garamond"/>
          <w:lang w:val="en-US"/>
        </w:rPr>
        <w:t xml:space="preserve"> aufgestellt habe. Jung hat sie unter dem Namen der psychischen »Trägheit« zur Hauptverursachung aller Mißerfolge der Neurotiker machen wollen. Ich glaube, mit </w:t>
      </w:r>
      <w:r w:rsidRPr="005C3C9A">
        <w:rPr>
          <w:rFonts w:ascii="Garamond" w:hAnsi="Garamond"/>
          <w:lang w:val="en-US"/>
        </w:rPr>
        <w:lastRenderedPageBreak/>
        <w:t xml:space="preserve">Unrecht, sie reicht viel weiter hinaus und spielt auch im Leben nicht Nervöser ihre bedeutsame Rolle. Die Leichtbeweglichkeit oder Schwerflüssigkeit der libidinösen, und ebenso der andersartigen Energiebesetzungen ist ein besonderer Charakter, der vielen Normalen und nicht einmal allen Nervösen eignet, und der bisher noch nicht in Zusammenhang mit anderem gebracht ist, etwas wie eine Primzahl nicht weiter zerteilbares. Wir wissen nur das eine, daß die Eigenschaft der Beweglichkeit psychischer Besetzungen mit dem Lebensalter auffällig zurückgeht. Sie hat uns eine der Indikationen für die Grenzen der psychoanalytischen Beeinflussung geliefert. Es gibt aber Personen, bei denen diese psychische Plastizität weit über die gewöhnliche Altersgrenze hinaus bestehen bleibt, und andere, bei denen sie sehr frühzeitig verloren geht. Sind es Neurotiker, so macht man mit Unbehagen die Entdeckung, daß unter scheinbar gleichen Verhältnissen bei ihnen Veränderungen nicht rückgängig zu machen sind, die man bei anderen mit Leichtigkeit bewältigt hat. Es ist also auch bei den Umsetzungen psychischer Vorgänge der Begriff einer </w:t>
      </w:r>
      <w:r w:rsidRPr="005C3C9A">
        <w:rPr>
          <w:rFonts w:ascii="Garamond" w:hAnsi="Garamond"/>
          <w:i/>
          <w:iCs/>
          <w:lang w:val="en-US"/>
        </w:rPr>
        <w:t>Entropie</w:t>
      </w:r>
      <w:r w:rsidRPr="005C3C9A">
        <w:rPr>
          <w:rFonts w:ascii="Garamond" w:hAnsi="Garamond"/>
          <w:lang w:val="en-US"/>
        </w:rPr>
        <w:t xml:space="preserve"> in Betracht zu ziehen, deren Maß sich einer Rückbildung des Geschehenen widersetzt.</w:t>
      </w:r>
    </w:p>
    <w:p w:rsidR="00822836" w:rsidRPr="005C3C9A" w:rsidRDefault="00822836" w:rsidP="00822836">
      <w:pPr>
        <w:pStyle w:val="Sansinterligne"/>
        <w:rPr>
          <w:rFonts w:ascii="Garamond" w:hAnsi="Garamond"/>
          <w:lang w:val="en-US"/>
        </w:rPr>
      </w:pPr>
      <w:r w:rsidRPr="005C3C9A">
        <w:rPr>
          <w:rFonts w:ascii="Garamond" w:hAnsi="Garamond"/>
          <w:lang w:val="en-US"/>
        </w:rPr>
        <w:t>Einen zweiten Angriffspunkt bot ihm die Tatsache, daß die Religionslehre selbst kein eindeutiges Verhältnis zu Gott-Vater zu ihrer Grundlage hat, sondern von den Anzeichen der ambivalenten Einstellung durchsetzt ist, welche über ihrer Entstehung gewaltet hat. Diese Ambivalenz spürte er mit der hochentwickelten eigenen heraus und knüpfte an sie jene scharfsinnige Kritik, welche uns von einem Kinde im fünften Lebensjahr so sehr Wunder nehmen mußte. Am bedeutsamsten war aber gewiß ein drittes Moment, auf dessen Wirkung wir die pathologischen Ergebnisse seines Kampfes gegen die Religion zurückführen dürfen. Die zum Manne drängende Strömung, welche von der Religion sublimiert werden sollte, war ja nicht mehr frei, sondern zum Teil durch Verdrängung abgesondert und damit der Sublimierung entzogen, an ihr ursprüngliches sexuelles Ziel gebunden. Kraft dieses Zusammenhanges strebte der verdrängte Anteil sich den Weg zum sublimierten Anteil zu bahnen oder ihn zu sich herabzuziehen. Die ersten Grübeleien, die die Person Christi umspannen, enthielten bereits die Frage, ob dieser sublime Sohn auch das im Unbewußten festgehaltene sexuelle Verhältnis zum Vater erfüllen könne. Die Abweisungen dieses Bestrebens hatten keinen anderen Erfolg, als scheinbar blasphemische Zwangsgedanken entstehen zu lassen, in denen sich die körperliche Zärtlichkeit für Gott in der Form seiner Erniedrigung durchsetzte. Ein heftiger Abwehrkampf gegen diese Kompromißbildungen mußte dann zur zwanghaften Übertreibung aller der Tätigkeiten führen, in denen die Frömmigkeit, die reine Liebe zu Gott, ihren vorgezeichneten Ausweg fand. Endlich hatte die Religion gesiegt, aber ihre triebhafte Fundierung erwies sich unvergleichlich stärker als die Haftbarkeit ihrer Sublimierungsprodukte. Sowie das Leben einen neuen Vaterersatz brachte, dessen Einfluß sich gegen die Religion richtete, wurde sie fallen gelassen und durch anderes ersetzt. Gedenken wir noch der interessanten Komplikation, daß die Frömmigkeit unter dem Einfluß von Frauen entstand (Mutter und Kinderfrau), während männlicher Einfluß die Befreiung von ihr ermöglichte.</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Die Entstehung der Zwangsneurose auf dem Boden der sadistisch-analen Sexualorganisation bestätigt im ganzen, was ich an anderer Stelle »über die Disposition zur Zwangsneurose« (1913 </w:t>
      </w:r>
      <w:r w:rsidRPr="005C3C9A">
        <w:rPr>
          <w:rFonts w:ascii="Garamond" w:hAnsi="Garamond"/>
          <w:i/>
          <w:iCs/>
          <w:lang w:val="en-US"/>
        </w:rPr>
        <w:t>i</w:t>
      </w:r>
      <w:r w:rsidRPr="005C3C9A">
        <w:rPr>
          <w:rFonts w:ascii="Garamond" w:hAnsi="Garamond"/>
          <w:lang w:val="en-US"/>
        </w:rPr>
        <w:t xml:space="preserve">) ausgeführt habe. Aber der vorherige Bestand einer starken Hysterie macht unseren Fall in dieser Hinsicht undurchsichtiger. Ich will die Übersicht über die Sexualentwicklung unseres Kranken beschließen, indem ich ein kurzes Streiflicht auf deren spätere Wandlungen werfe. Mit den Pubertätsjahren trat bei ihm die normal zu nennende, stark sinnliche, männliche Strömung mit dem Sexualziel der Genitalorganisation auf, deren Schicksale die Zeit bis zu seiner Späterkrankung füllen. Sie knüpfte direkt an die Gruschaszene an, entlehnte von ihr den Charakter zwanghafter, anfallsweise kommender und schwindender Verliebtheit und hatte mit den Hemmungen zu kämpfen, die von den Resten der infantilen Neurosen ausgingen. Mit einem gewaltsamen Durchbruch zum Weib hatte er sich endlich die volle Männlichkeit erkämpft; dies Sexualobjekt wurde von nun an festgehalten, aber er wurde des Besitzes nicht froh, denn eine starke, nun völlig unbewußte Hinneigung zum Manne, die alle Kräfte der früheren Phasen in sich vereinigte, zog ihn immer wieder vom weiblichen Objekt ab und nötigte ihn, in den Zwischenzeiten die Abhängigkeit vom Weib zu übertreiben. Er legte der Kur die Klage vor, daß er es beim Weibe nicht aushalten könne, und alle Arbeit richtete sich darauf, sein ihm unbewußtes Verhältnis zum Manne aufzudecken. Seine Kindheit war, um es formelhaft zusammenzufassen, durch das Schwanken zwischen Aktivität und Passivität ausgezeichnet gewesen, seine Pubertätszeit durch das Ringen um die Männlichkeit, und die Zeit von seiner Erkrankung an durch den Kampf um das Objekt der männlichen Strebung. Der Anlaß seiner Erkrankung fällt nicht unter die »neurotischen Erkrankungstypen«, die ich als Spezialfälle der »Versagung« zusammenfassen konnte›Über neurotische Erkrankungstypen‹ (1912)., und macht so auf eine Lücke in dieser Reihenbildung aufmerksam. Er brach zusammen, als eine organische Affektion des Genitales seine </w:t>
      </w:r>
      <w:r w:rsidRPr="005C3C9A">
        <w:rPr>
          <w:rFonts w:ascii="Garamond" w:hAnsi="Garamond"/>
          <w:lang w:val="en-US"/>
        </w:rPr>
        <w:lastRenderedPageBreak/>
        <w:t>Kastrationsangst aufleben machte, seinem Narzißmus Abbruch tat und ihn zwang, die Erwartung einer persönlichen Bevorzugung durch das Schicksal aufzugeben. Er erkrankte also an einer narzißtischen »Versagung«. Diese Überstärke seines Narzißmus stand in vollem Einklang mit den anderen Anzeichen einer gehemmten Sexualentwicklung, daß seine heterosexuelle Liebeswahl bei aller Energie so wenig psychische Strebungen in sich konzentrierte, und daß die homosexuelle Einstellung, die dem Narzißmus um so vieles näher liegt, sich als unbewußte Macht bei ihm mit solcher Zähigkeit behauptet hatte. Natürlich kann die psychoanalytische Kur bei solchen Störungen nicht einen momentanen Umschwung und eine Gleichstellung mit einer normalen Entwicklung herbeiführen, sondern nur die Hindernisse beseitigen und die Wege gangbar machen, damit die Einflüsse des Lebens die Entwicklung nach den besseren Richtungen durchsetzen können.</w:t>
      </w:r>
    </w:p>
    <w:p w:rsidR="00822836" w:rsidRPr="005C3C9A" w:rsidRDefault="00822836" w:rsidP="00822836">
      <w:pPr>
        <w:pStyle w:val="Sansinterligne"/>
        <w:rPr>
          <w:rFonts w:ascii="Garamond" w:hAnsi="Garamond"/>
          <w:lang w:val="en-US"/>
        </w:rPr>
      </w:pPr>
      <w:r w:rsidRPr="005C3C9A">
        <w:rPr>
          <w:rFonts w:ascii="Garamond" w:hAnsi="Garamond"/>
          <w:lang w:val="en-US"/>
        </w:rPr>
        <w:t>Als Besonderheiten seines psychischen Wesens, die von der psychoanalytischen Kur aufgedeckt, aber nicht weiter aufgeklärt und dementsprechend auch nicht unmittelbar beeinflußt werden konnten, stelle ich zusammen: die bereits besprochene Zähigkeit der Fixierung, die außerordentliche Ausbildung der Ambivalenzneigung, und als dritten Zug einer archaisch zu nennenden Konstitution die Fähigkeit, die verschiedenartigsten und widersprechendsten libidinösen Besetzungen alle nebeneinander funktionsfähig zu erhalten. Das beständige Schwanken zwischen denselben, durch welches Erledigung und Fortschritt lange Zeit ausgeschlossen erschienen, beherrschten das Krankheitsbild der Spätzeit, das ich ja hier nur streifen konnte. Ohne allen Zweifel war dies ein Zug aus der Charakteristik des Unbewußten, der sich bei ihm in die bewußt gewordenen Vorgänge fortgesetzt hatte; aber er zeigte sich nur an den Ergebnissen affektiver Regungen, auf rein logischen Gebieten bewies er vielmehr ein besonderes Geschick in der Aufspürung von Widersprüchen und Unverträglichkeiten. So empfing man von seinem Seelenleben einen Eindruck, wie ihn die altägyptische Religion macht, die dadurch für uns so unvorstellbar wird, daß sie die Entwicklungsstufen neben den Endprodukten konserviert, die ältesten Götter und Gottesbedeutungen wie die jüngsten fortsetzt, in eine Fläche ausbreitet, was in anderen Entwicklungen zu einem Tiefengebilde wird.</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habe nun zu Ende gebracht, was ich über diesen Krankheitsfall mitteilen wollte. Nur noch zwei der zahlreichen Probleme, die er anregt, scheinen mir einer besonderen Hervorhebung würdig. Das erste betrifft die phylogenetisch mitgebrachten Schemata, die wie philosophische »Kategorien« die Unterbringung der Lebenseindrücke besorgen. </w:t>
      </w:r>
      <w:r w:rsidRPr="005C3C9A">
        <w:rPr>
          <w:rFonts w:ascii="Garamond" w:hAnsi="Garamond"/>
        </w:rPr>
        <w:t xml:space="preserve">Ich möchte die Auffassung vertreten, sie seien Niederschläge der menschlichen Kulturgeschichte. Der Ödipuskomplex, der die Beziehung des Kindes zu den Eltern umfaßt, gehört zu ihnen, ist vielmehr das bestgekannte Beispiel dieser Art. Wo die Erlebnisse sich dem hereditären Schema nicht fügen, kommt es zu einer Umarbeitung derselben in der Phantasie, deren Werk im einzelnen zu verfolgen, gewiß nutzbringend wäre. Gerade diese Fälle sind geeignet, uns die selbständige Existenz des Schemas zu erweisen. Wir können oft bemerken, daß das Schema über das individuelle Erleben siegt, so wenn in unserem Falle der Vater zum Kastrator und Bedroher der kindlichen Sexualität wird, trotz eines sonst umgekehrten Ödipuskomplexes. </w:t>
      </w:r>
      <w:r w:rsidRPr="005C3C9A">
        <w:rPr>
          <w:rFonts w:ascii="Garamond" w:hAnsi="Garamond"/>
          <w:lang w:val="en-US"/>
        </w:rPr>
        <w:t>Eine andere Wirkung ist es, wenn die Amme an die Stelle der Mutter tritt oder mit ihr verschmolzen wird. Die Widersprüche des Erlebens gegen das Schema scheinen den infantilen Konflikten reichlichen Stoff zuzuführen.</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Das zweite Problem liegt von diesem nicht fernab, es ist aber ungleich bedeutsamer. Wenn man das Verhalten des vierjährigen Kindes gegen die reaktivierte Urszene in Betracht zieht </w:t>
      </w:r>
      <w:hyperlink r:id="rId1300"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Ich darf davon absehen, daß dies Verhalten erst zwei Dezennien später in Worte gefaßt werden konnte, denn alle Wirkungen, die wir von der Szene ableiten, haben sich ja in Form von Symptomen, Zwängen usw. bereits in der Kindheit und lange vor der Analyse geäußert. Dabei ist es gleichgültig, ob man sie als Urszene oder als Urphantasie gelten lassen will.</w:t>
        </w:r>
      </w:hyperlink>
      <w:r w:rsidRPr="005C3C9A">
        <w:rPr>
          <w:rFonts w:ascii="Garamond" w:hAnsi="Garamond"/>
          <w:lang w:val="en-US"/>
        </w:rPr>
        <w:t xml:space="preserve">, ja wenn man nur an die weit einfacheren Reaktionen des 1½jährigen Kindes beim Erleben dieser Szene denkt, kann man die Auffassung schwer von sich weisen, daß eine Art von schwer bestimmbarem Wissen, etwas wie eine Vorbereitung zum Verständnis, beim Kinde dabei mitwirkt </w:t>
      </w:r>
      <w:hyperlink r:id="rId1301"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Von neuem muß ich betonen, daß diese Überlegungen müßig wären, wenn Traum und Neurose nicht der Kindheitszeit selbst angehörten.</w:t>
        </w:r>
      </w:hyperlink>
      <w:r w:rsidRPr="005C3C9A">
        <w:rPr>
          <w:rFonts w:ascii="Garamond" w:hAnsi="Garamond"/>
          <w:lang w:val="en-US"/>
        </w:rPr>
        <w:t xml:space="preserve">. Worin dies bestehen mag, entzieht sich jeder Vorstellung; wir haben nur die eine ausgezeichnete Analogie mit dem weitgehenden </w:t>
      </w:r>
      <w:r w:rsidRPr="005C3C9A">
        <w:rPr>
          <w:rFonts w:ascii="Garamond" w:hAnsi="Garamond"/>
          <w:i/>
          <w:iCs/>
          <w:lang w:val="en-US"/>
        </w:rPr>
        <w:t>instinktiven</w:t>
      </w:r>
      <w:r w:rsidRPr="005C3C9A">
        <w:rPr>
          <w:rFonts w:ascii="Garamond" w:hAnsi="Garamond"/>
          <w:lang w:val="en-US"/>
        </w:rPr>
        <w:t xml:space="preserve"> Wissen der Tiere zur Verfügung.</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Gäbe es einen solchen instinktiven Besitz auch beim Menschen, so wäre es nicht zu verwundern, wenn er die Vorgänge des Sexuallebens ganz besonders beträfe, wenngleich er auf sie keineswegs beschränkt sein kann. Dieses Instinktive wäre der Kern des Unbewußten, eine primitive Geistestätigkeit, die später durch die zu erwerbende Menschheitsvernunft entthront und überlagert wird, aber so oft, vielleicht bei allen, die Kraft behält, höhere seelische Vorgänge zu sich herabzuziehen. Die Verdrängung wäre die Rückkehr zu dieser instinktiven Stufe, und der Mensch würde so mit seiner Fähigkeit zur Neurose seine große </w:t>
      </w:r>
      <w:r w:rsidRPr="005C3C9A">
        <w:rPr>
          <w:rFonts w:ascii="Garamond" w:hAnsi="Garamond"/>
          <w:lang w:val="en-US"/>
        </w:rPr>
        <w:lastRenderedPageBreak/>
        <w:t>Neuerwerbung bezahlen und durch die Möglichkeit der Neurosen die Existenz der früheren instinktartigen Vorstufe bezeugen. Die Bedeutung der frühen Kindheitstraumen läge aber darin, daß sie diesem Unbewußten einen Stoff zuführen, der es gegen die Aufzehrung durch die nachfolgende Entwicklung schützt.</w:t>
      </w:r>
    </w:p>
    <w:p w:rsidR="00822836" w:rsidRPr="005C3C9A" w:rsidRDefault="00822836" w:rsidP="00822836">
      <w:pPr>
        <w:pStyle w:val="Sansinterligne"/>
        <w:rPr>
          <w:rFonts w:ascii="Garamond" w:hAnsi="Garamond"/>
          <w:lang w:val="en-US"/>
        </w:rPr>
      </w:pPr>
      <w:r w:rsidRPr="005C3C9A">
        <w:rPr>
          <w:rFonts w:ascii="Garamond" w:hAnsi="Garamond"/>
          <w:lang w:val="en-US"/>
        </w:rPr>
        <w:t xml:space="preserve">Ich weiß, daß ähnliche Gedanken, die das hereditäre, phylogenetisch erworbene Moment im Seelenleben betonen, von verschiedenen Seiten ausgesprochen worden sind, ja ich meine, daß man allzu bereit war, ihnen einen Platz in der psychoanalytischen Würdigung einzuräumen. Sie erscheinen mir erst zulässig, wenn die Psychoanalyse in Einhaltung des korrekten Instanzenzuges auf die Spuren des Ererbten gerät, nachdem sie durch die Schichtung des individuell Erworbenen hindurchgedrungen ist </w:t>
      </w:r>
      <w:hyperlink r:id="rId1302" w:history="1">
        <w:r w:rsidRPr="005C3C9A">
          <w:rPr>
            <w:rStyle w:val="Lienhypertexte"/>
            <w:rFonts w:ascii="Garamond" w:hAnsi="Garamond"/>
            <w:lang w:val="en-US"/>
          </w:rPr>
          <w:t>[Fußnote]</w:t>
        </w:r>
        <w:r w:rsidRPr="005C3C9A">
          <w:rPr>
            <w:rStyle w:val="innerfusslink"/>
            <w:rFonts w:ascii="Garamond" w:hAnsi="Garamond"/>
            <w:color w:val="0000FF"/>
            <w:u w:val="single"/>
            <w:lang w:val="en-US"/>
          </w:rPr>
          <w:t xml:space="preserve">Ich stelle hier nochmals die Chronologie der in dieser Geschichte erwähnten Begebenheiten zusammen: </w:t>
        </w:r>
        <w:r w:rsidRPr="005C3C9A">
          <w:rPr>
            <w:rFonts w:ascii="Garamond" w:hAnsi="Garamond"/>
            <w:color w:val="0000FF"/>
            <w:u w:val="single"/>
            <w:lang w:val="en-US"/>
          </w:rPr>
          <w:br/>
        </w:r>
        <w:r w:rsidRPr="005C3C9A">
          <w:rPr>
            <w:rFonts w:ascii="Garamond" w:hAnsi="Garamond"/>
            <w:color w:val="0000FF"/>
            <w:u w:val="single"/>
            <w:lang w:val="en-US"/>
          </w:rPr>
          <w:br/>
        </w:r>
        <w:r w:rsidRPr="005C3C9A">
          <w:rPr>
            <w:rStyle w:val="innerfusslink"/>
            <w:rFonts w:ascii="Garamond" w:hAnsi="Garamond"/>
            <w:color w:val="0000FF"/>
            <w:u w:val="single"/>
            <w:lang w:val="en-US"/>
          </w:rPr>
          <w:t xml:space="preserve">Geboren am Weihnachtstag. </w:t>
        </w:r>
        <w:r w:rsidRPr="005C3C9A">
          <w:rPr>
            <w:rFonts w:ascii="Garamond" w:hAnsi="Garamond"/>
            <w:color w:val="0000FF"/>
            <w:u w:val="single"/>
            <w:lang w:val="en-US"/>
          </w:rPr>
          <w:br/>
        </w:r>
        <w:r w:rsidRPr="005C3C9A">
          <w:rPr>
            <w:rStyle w:val="innerfusslink"/>
            <w:rFonts w:ascii="Garamond" w:hAnsi="Garamond"/>
            <w:color w:val="0000FF"/>
            <w:u w:val="single"/>
          </w:rPr>
          <w:t xml:space="preserve">1½ Jahre: Malaria. Beobachtung des Koitus der Eltern oder jenes Beisammenseins derselben, in das er später die Koitusphantasie eintrug. </w:t>
        </w:r>
        <w:r w:rsidRPr="005C3C9A">
          <w:rPr>
            <w:rFonts w:ascii="Garamond" w:hAnsi="Garamond"/>
            <w:color w:val="0000FF"/>
            <w:u w:val="single"/>
          </w:rPr>
          <w:br/>
        </w:r>
        <w:r w:rsidRPr="005C3C9A">
          <w:rPr>
            <w:rStyle w:val="innerfusslink"/>
            <w:rFonts w:ascii="Garamond" w:hAnsi="Garamond"/>
            <w:color w:val="0000FF"/>
            <w:u w:val="single"/>
            <w:lang w:val="en-US"/>
          </w:rPr>
          <w:t xml:space="preserve">Kurz vor 2½ Jahren: Szene mit Gruscha. </w:t>
        </w:r>
        <w:r w:rsidRPr="005C3C9A">
          <w:rPr>
            <w:rFonts w:ascii="Garamond" w:hAnsi="Garamond"/>
            <w:color w:val="0000FF"/>
            <w:u w:val="single"/>
            <w:lang w:val="en-US"/>
          </w:rPr>
          <w:br/>
        </w:r>
        <w:r w:rsidRPr="005C3C9A">
          <w:rPr>
            <w:rStyle w:val="innerfusslink"/>
            <w:rFonts w:ascii="Garamond" w:hAnsi="Garamond"/>
            <w:color w:val="0000FF"/>
            <w:u w:val="single"/>
            <w:lang w:val="en-US"/>
          </w:rPr>
          <w:t xml:space="preserve">2½ Jahre: Deckerinnerung an Abreise der Eltern mit Schwester. Sie zeigt ihn allein mit der Nanja und verleugnet so Gruscha und Schwester. </w:t>
        </w:r>
        <w:r w:rsidRPr="005C3C9A">
          <w:rPr>
            <w:rFonts w:ascii="Garamond" w:hAnsi="Garamond"/>
            <w:color w:val="0000FF"/>
            <w:u w:val="single"/>
            <w:lang w:val="en-US"/>
          </w:rPr>
          <w:br/>
        </w:r>
        <w:r w:rsidRPr="005C3C9A">
          <w:rPr>
            <w:rStyle w:val="innerfusslink"/>
            <w:rFonts w:ascii="Garamond" w:hAnsi="Garamond"/>
            <w:color w:val="0000FF"/>
            <w:u w:val="single"/>
            <w:lang w:val="en-US"/>
          </w:rPr>
          <w:t xml:space="preserve">Vor 3¼ Jahren: Klage der Mutter vor dem Arzt. </w:t>
        </w:r>
        <w:r w:rsidRPr="005C3C9A">
          <w:rPr>
            <w:rFonts w:ascii="Garamond" w:hAnsi="Garamond"/>
            <w:color w:val="0000FF"/>
            <w:u w:val="single"/>
            <w:lang w:val="en-US"/>
          </w:rPr>
          <w:br/>
        </w:r>
        <w:r w:rsidRPr="005C3C9A">
          <w:rPr>
            <w:rStyle w:val="innerfusslink"/>
            <w:rFonts w:ascii="Garamond" w:hAnsi="Garamond"/>
            <w:color w:val="0000FF"/>
            <w:u w:val="single"/>
            <w:lang w:val="en-US"/>
          </w:rPr>
          <w:t xml:space="preserve">3¼ Jahre: Beginn der Verführung durch die Schwester, bald darauf Kastrationsdrohung der Nanja. </w:t>
        </w:r>
        <w:r w:rsidRPr="005C3C9A">
          <w:rPr>
            <w:rFonts w:ascii="Garamond" w:hAnsi="Garamond"/>
            <w:color w:val="0000FF"/>
            <w:u w:val="single"/>
            <w:lang w:val="en-US"/>
          </w:rPr>
          <w:br/>
        </w:r>
        <w:r w:rsidRPr="005C3C9A">
          <w:rPr>
            <w:rStyle w:val="innerfusslink"/>
            <w:rFonts w:ascii="Garamond" w:hAnsi="Garamond"/>
            <w:color w:val="0000FF"/>
            <w:u w:val="single"/>
            <w:lang w:val="en-US"/>
          </w:rPr>
          <w:t xml:space="preserve">3½ Jahre: Die englische Gouvernante, Beginn der Charakterveränderung. </w:t>
        </w:r>
        <w:r w:rsidRPr="005C3C9A">
          <w:rPr>
            <w:rFonts w:ascii="Garamond" w:hAnsi="Garamond"/>
            <w:color w:val="0000FF"/>
            <w:u w:val="single"/>
            <w:lang w:val="en-US"/>
          </w:rPr>
          <w:br/>
        </w:r>
        <w:r w:rsidRPr="005C3C9A">
          <w:rPr>
            <w:rStyle w:val="innerfusslink"/>
            <w:rFonts w:ascii="Garamond" w:hAnsi="Garamond"/>
            <w:color w:val="0000FF"/>
            <w:u w:val="single"/>
            <w:lang w:val="en-US"/>
          </w:rPr>
          <w:t xml:space="preserve">4 Jahre: Wolfstraum, Entstehung der Phobie. </w:t>
        </w:r>
        <w:r w:rsidRPr="005C3C9A">
          <w:rPr>
            <w:rFonts w:ascii="Garamond" w:hAnsi="Garamond"/>
            <w:color w:val="0000FF"/>
            <w:u w:val="single"/>
            <w:lang w:val="en-US"/>
          </w:rPr>
          <w:br/>
        </w:r>
        <w:r w:rsidRPr="005C3C9A">
          <w:rPr>
            <w:rStyle w:val="innerfusslink"/>
            <w:rFonts w:ascii="Garamond" w:hAnsi="Garamond"/>
            <w:color w:val="0000FF"/>
            <w:u w:val="single"/>
            <w:lang w:val="en-US"/>
          </w:rPr>
          <w:t xml:space="preserve">4½ Jahre: Einfluß der biblischen Geschichte. Auftreten der Zwangssymptome. </w:t>
        </w:r>
        <w:r w:rsidRPr="005C3C9A">
          <w:rPr>
            <w:rFonts w:ascii="Garamond" w:hAnsi="Garamond"/>
            <w:color w:val="0000FF"/>
            <w:u w:val="single"/>
            <w:lang w:val="en-US"/>
          </w:rPr>
          <w:br/>
        </w:r>
        <w:r w:rsidRPr="005C3C9A">
          <w:rPr>
            <w:rStyle w:val="innerfusslink"/>
            <w:rFonts w:ascii="Garamond" w:hAnsi="Garamond"/>
            <w:color w:val="0000FF"/>
            <w:u w:val="single"/>
          </w:rPr>
          <w:t xml:space="preserve">Kurz vor 5 Jahren: Halluzination des Fingerverlustes. </w:t>
        </w:r>
        <w:r w:rsidRPr="005C3C9A">
          <w:rPr>
            <w:rFonts w:ascii="Garamond" w:hAnsi="Garamond"/>
            <w:color w:val="0000FF"/>
            <w:u w:val="single"/>
          </w:rPr>
          <w:br/>
        </w:r>
        <w:r w:rsidRPr="005C3C9A">
          <w:rPr>
            <w:rStyle w:val="innerfusslink"/>
            <w:rFonts w:ascii="Garamond" w:hAnsi="Garamond"/>
            <w:color w:val="0000FF"/>
            <w:u w:val="single"/>
          </w:rPr>
          <w:t xml:space="preserve">5 Jahre: Verlassen des ersten Gutes. </w:t>
        </w:r>
        <w:r w:rsidRPr="005C3C9A">
          <w:rPr>
            <w:rFonts w:ascii="Garamond" w:hAnsi="Garamond"/>
            <w:color w:val="0000FF"/>
            <w:u w:val="single"/>
          </w:rPr>
          <w:br/>
        </w:r>
        <w:r w:rsidRPr="005C3C9A">
          <w:rPr>
            <w:rStyle w:val="innerfusslink"/>
            <w:rFonts w:ascii="Garamond" w:hAnsi="Garamond"/>
            <w:color w:val="0000FF"/>
            <w:u w:val="single"/>
            <w:lang w:val="en-US"/>
          </w:rPr>
          <w:t xml:space="preserve">Nach 6 Jahren: Besuch beim kranken Vater. </w:t>
        </w:r>
        <w:r w:rsidRPr="005C3C9A">
          <w:rPr>
            <w:rFonts w:ascii="Garamond" w:hAnsi="Garamond"/>
            <w:color w:val="0000FF"/>
            <w:u w:val="single"/>
            <w:lang w:val="en-US"/>
          </w:rPr>
          <w:br/>
        </w:r>
        <w:r w:rsidRPr="005C3C9A">
          <w:rPr>
            <w:rStyle w:val="innerfusslink"/>
            <w:rFonts w:ascii="Garamond" w:hAnsi="Garamond"/>
            <w:color w:val="0000FF"/>
            <w:u w:val="single"/>
            <w:lang w:val="en-US"/>
          </w:rPr>
          <w:t xml:space="preserve">8 Jahre und 10 Jahre: Letzte Ausbrüche der Zwangsneurose. </w:t>
        </w:r>
        <w:r w:rsidRPr="005C3C9A">
          <w:rPr>
            <w:rFonts w:ascii="Garamond" w:hAnsi="Garamond"/>
            <w:color w:val="0000FF"/>
            <w:u w:val="single"/>
            <w:lang w:val="en-US"/>
          </w:rPr>
          <w:br/>
        </w:r>
        <w:r w:rsidRPr="005C3C9A">
          <w:rPr>
            <w:rFonts w:ascii="Garamond" w:hAnsi="Garamond"/>
            <w:color w:val="0000FF"/>
            <w:u w:val="single"/>
            <w:lang w:val="en-US"/>
          </w:rPr>
          <w:br/>
        </w:r>
        <w:r w:rsidRPr="005C3C9A">
          <w:rPr>
            <w:rStyle w:val="innerfusslink"/>
            <w:rFonts w:ascii="Garamond" w:hAnsi="Garamond"/>
            <w:color w:val="0000FF"/>
            <w:u w:val="single"/>
            <w:lang w:val="en-US"/>
          </w:rPr>
          <w:t>Meine Darstellung hat es leicht gemacht zu erraten, daß der Patient Russe war. Ich entließ ihn nach meiner Schätzung als geheilt wenige Wochen vor dem unerwarteten Ausbruch des Weltkrieges und sah ihn erst wieder, als die Wechselfälle des Krieges den Zentralmächten den Zugang nach Südrußland eröffnet hatten. Dann kam er nach Wien und berichtete von einem unmittelbar nach Beendigung der Kur aufgetretenem Bestreben, sich vom Einfluß des Arztes loszureißen. In einigen Monaten Arbeit wurde nun ein noch nicht überwundenes Stück der Übertragung bewältigt; seither hat der Patient, dem der Krieg Heimat, Vermögen und alle Familienbeziehungen geraubt hatte, sich normal gefühlt und tadellos benommen. Vielleicht hat gerade sein Elend durch die Befriedigung seines Schuldgefühls zur Befestigung seiner Herstellung beigetragen.</w:t>
        </w:r>
      </w:hyperlink>
      <w:r w:rsidRPr="005C3C9A">
        <w:rPr>
          <w:rFonts w:ascii="Garamond" w:hAnsi="Garamond"/>
          <w:lang w:val="en-US"/>
        </w:rPr>
        <w:t>.</w:t>
      </w:r>
    </w:p>
    <w:p w:rsidR="00822836" w:rsidRPr="005C3C9A" w:rsidRDefault="00822836" w:rsidP="00822836">
      <w:pPr>
        <w:pStyle w:val="Sansinterligne"/>
        <w:rPr>
          <w:rFonts w:ascii="Garamond" w:hAnsi="Garamond"/>
          <w:lang w:val="en-US"/>
        </w:rPr>
      </w:pPr>
    </w:p>
    <w:p w:rsidR="00822836" w:rsidRPr="00405E14" w:rsidRDefault="00822836" w:rsidP="00822836">
      <w:pPr>
        <w:pStyle w:val="Sansinterligne"/>
        <w:rPr>
          <w:rFonts w:ascii="Garamond" w:hAnsi="Garamond"/>
          <w:lang w:val="en-US"/>
        </w:rPr>
      </w:pPr>
    </w:p>
    <w:p w:rsidR="00822836" w:rsidRPr="00405E14" w:rsidRDefault="00822836" w:rsidP="00822836">
      <w:pPr>
        <w:pStyle w:val="Sansinterligne"/>
        <w:rPr>
          <w:rFonts w:ascii="Garamond" w:hAnsi="Garamond"/>
          <w:lang w:val="en-US"/>
        </w:rPr>
      </w:pPr>
    </w:p>
    <w:p w:rsidR="00822836" w:rsidRPr="00487290" w:rsidRDefault="00822836" w:rsidP="00822836">
      <w:pPr>
        <w:pStyle w:val="Sansinterligne"/>
        <w:rPr>
          <w:rFonts w:ascii="Garamond" w:hAnsi="Garamond"/>
          <w:lang w:val="en-US"/>
        </w:rPr>
      </w:pPr>
    </w:p>
    <w:p w:rsidR="00822836" w:rsidRPr="00487290" w:rsidRDefault="00822836" w:rsidP="00822836">
      <w:pPr>
        <w:pStyle w:val="Sansinterligne"/>
        <w:rPr>
          <w:rFonts w:ascii="Garamond" w:hAnsi="Garamond"/>
          <w:lang w:val="en-US"/>
        </w:rPr>
      </w:pPr>
    </w:p>
    <w:p w:rsidR="00822836" w:rsidRPr="00393116" w:rsidRDefault="00822836" w:rsidP="00822836">
      <w:pPr>
        <w:pStyle w:val="Sansinterligne"/>
        <w:rPr>
          <w:rFonts w:ascii="Garamond" w:hAnsi="Garamond"/>
          <w:sz w:val="20"/>
          <w:szCs w:val="20"/>
          <w:lang w:val="en-US"/>
        </w:rPr>
      </w:pPr>
    </w:p>
    <w:p w:rsidR="00822836" w:rsidRPr="00393116" w:rsidRDefault="00822836" w:rsidP="00822836">
      <w:pPr>
        <w:pStyle w:val="Sansinterligne"/>
        <w:rPr>
          <w:rFonts w:ascii="Garamond" w:hAnsi="Garamond"/>
          <w:sz w:val="20"/>
          <w:szCs w:val="20"/>
          <w:lang w:val="en-US"/>
        </w:rPr>
      </w:pPr>
    </w:p>
    <w:p w:rsidR="00822836" w:rsidRPr="00393116" w:rsidRDefault="00822836" w:rsidP="00822836">
      <w:pPr>
        <w:pStyle w:val="Sansinterligne"/>
        <w:rPr>
          <w:rFonts w:ascii="Garamond" w:hAnsi="Garamond"/>
          <w:sz w:val="20"/>
          <w:szCs w:val="20"/>
          <w:lang w:val="en-US"/>
        </w:rPr>
      </w:pPr>
    </w:p>
    <w:p w:rsidR="00822836" w:rsidRPr="00393116" w:rsidRDefault="00822836" w:rsidP="00822836">
      <w:pPr>
        <w:pStyle w:val="Sansinterligne"/>
        <w:rPr>
          <w:rFonts w:ascii="Garamond" w:hAnsi="Garamond"/>
          <w:sz w:val="20"/>
          <w:szCs w:val="20"/>
          <w:lang w:val="en-US"/>
        </w:rPr>
      </w:pPr>
    </w:p>
    <w:p w:rsidR="00822836" w:rsidRPr="00393116" w:rsidRDefault="00822836" w:rsidP="00822836">
      <w:pPr>
        <w:pStyle w:val="Sansinterligne"/>
        <w:rPr>
          <w:rFonts w:ascii="Garamond" w:hAnsi="Garamond"/>
          <w:sz w:val="20"/>
          <w:szCs w:val="20"/>
          <w:lang w:val="en-US"/>
        </w:rPr>
      </w:pPr>
    </w:p>
    <w:p w:rsidR="00AD6ACB" w:rsidRPr="00822836" w:rsidRDefault="00AD6ACB" w:rsidP="00AD6ACB">
      <w:pPr>
        <w:rPr>
          <w:rFonts w:ascii="Garamond" w:hAnsi="Garamond"/>
          <w:lang w:val="en-US"/>
        </w:rPr>
      </w:pPr>
    </w:p>
    <w:p w:rsidR="00DF4073" w:rsidRPr="00AD6ACB" w:rsidRDefault="00DF4073" w:rsidP="00DF4073">
      <w:pPr>
        <w:pStyle w:val="Sansinterligne"/>
        <w:rPr>
          <w:rFonts w:ascii="Garamond" w:hAnsi="Garamond"/>
          <w:lang w:val="en-GB"/>
        </w:rPr>
      </w:pPr>
    </w:p>
    <w:p w:rsidR="00DF4073" w:rsidRPr="00AD6ACB" w:rsidRDefault="00DF4073" w:rsidP="00DF4073">
      <w:pPr>
        <w:rPr>
          <w:lang w:val="en-US"/>
        </w:rPr>
      </w:pPr>
    </w:p>
    <w:p w:rsidR="00A06A59" w:rsidRPr="00AD6ACB" w:rsidRDefault="00A06A59" w:rsidP="00A06A59">
      <w:pPr>
        <w:shd w:val="clear" w:color="auto" w:fill="FFFFFF"/>
        <w:tabs>
          <w:tab w:val="left" w:pos="7513"/>
          <w:tab w:val="left" w:pos="9639"/>
        </w:tabs>
        <w:spacing w:before="120" w:after="120" w:line="124" w:lineRule="atLeast"/>
        <w:ind w:left="-426" w:right="-567"/>
        <w:rPr>
          <w:rFonts w:ascii="Garamond" w:hAnsi="Garamond" w:cs="Arial"/>
          <w:color w:val="000000"/>
          <w:sz w:val="18"/>
          <w:szCs w:val="18"/>
          <w:lang w:val="en-US"/>
        </w:rPr>
      </w:pPr>
    </w:p>
    <w:p w:rsidR="00A06A59" w:rsidRPr="00AD6ACB" w:rsidRDefault="00A06A59" w:rsidP="00A06A59">
      <w:pPr>
        <w:tabs>
          <w:tab w:val="left" w:pos="7513"/>
          <w:tab w:val="left" w:pos="9639"/>
        </w:tabs>
        <w:ind w:left="-426" w:right="-567"/>
        <w:rPr>
          <w:rFonts w:ascii="Garamond" w:hAnsi="Garamond"/>
          <w:sz w:val="18"/>
          <w:szCs w:val="18"/>
          <w:lang w:val="en-US"/>
        </w:rPr>
      </w:pPr>
    </w:p>
    <w:p w:rsidR="00B03933" w:rsidRPr="00AD6ACB" w:rsidRDefault="00B03933" w:rsidP="00B03933">
      <w:pPr>
        <w:spacing w:before="100" w:beforeAutospacing="1" w:after="100" w:afterAutospacing="1" w:line="240" w:lineRule="auto"/>
        <w:rPr>
          <w:rFonts w:ascii="Garamond" w:eastAsia="Times New Roman" w:hAnsi="Garamond" w:cs="Times New Roman"/>
          <w:sz w:val="18"/>
          <w:szCs w:val="18"/>
          <w:lang w:val="en-US" w:eastAsia="fr-FR"/>
        </w:rPr>
      </w:pPr>
    </w:p>
    <w:p w:rsidR="00032727" w:rsidRPr="00032727" w:rsidRDefault="00032727" w:rsidP="00032727">
      <w:pPr>
        <w:rPr>
          <w:rFonts w:ascii="Garamond" w:hAnsi="Garamond"/>
          <w:lang w:val="en-US"/>
        </w:rPr>
      </w:pPr>
      <w:r w:rsidRPr="00032727">
        <w:rPr>
          <w:rFonts w:ascii="Garamond" w:hAnsi="Garamond"/>
          <w:lang w:val="en-US"/>
        </w:rPr>
        <w:lastRenderedPageBreak/>
        <w:t>De</w:t>
      </w:r>
      <w:bookmarkStart w:id="240" w:name="F67"/>
      <w:bookmarkEnd w:id="240"/>
      <w:r w:rsidRPr="00032727">
        <w:rPr>
          <w:rFonts w:ascii="Garamond" w:hAnsi="Garamond"/>
          <w:lang w:val="en-US"/>
        </w:rPr>
        <w:t>r Mann Moses und die monotheistische Religion</w:t>
      </w:r>
      <w:r>
        <w:rPr>
          <w:rFonts w:ascii="Garamond" w:hAnsi="Garamond"/>
          <w:lang w:val="en-US"/>
        </w:rPr>
        <w:t xml:space="preserve">     1939                                                   </w:t>
      </w:r>
      <w:hyperlink w:anchor="Werke" w:history="1">
        <w:r w:rsidRPr="0018684C">
          <w:rPr>
            <w:rStyle w:val="Lienhypertexte"/>
            <w:rFonts w:ascii="Garamond" w:hAnsi="Garamond"/>
            <w:lang w:val="en-US"/>
          </w:rPr>
          <w:t>Werke</w:t>
        </w:r>
      </w:hyperlink>
    </w:p>
    <w:p w:rsidR="00032727" w:rsidRPr="00032727" w:rsidRDefault="00032727" w:rsidP="00032727">
      <w:pPr>
        <w:rPr>
          <w:rFonts w:ascii="Garamond" w:hAnsi="Garamond"/>
          <w:lang w:val="en-US"/>
        </w:rPr>
      </w:pPr>
    </w:p>
    <w:p w:rsidR="00032727" w:rsidRPr="00032727" w:rsidRDefault="00032727" w:rsidP="00032727">
      <w:pPr>
        <w:rPr>
          <w:rFonts w:ascii="Garamond" w:hAnsi="Garamond"/>
          <w:lang w:val="en-US"/>
        </w:rPr>
      </w:pPr>
    </w:p>
    <w:p w:rsidR="00032727" w:rsidRPr="00032727" w:rsidRDefault="00032727" w:rsidP="00032727">
      <w:pPr>
        <w:rPr>
          <w:rFonts w:ascii="Garamond" w:hAnsi="Garamond"/>
          <w:lang w:val="en-US"/>
        </w:rPr>
      </w:pPr>
      <w:r w:rsidRPr="00032727">
        <w:rPr>
          <w:rFonts w:ascii="Garamond" w:hAnsi="Garamond"/>
          <w:lang w:val="en-US"/>
        </w:rPr>
        <w:t>In</w:t>
      </w:r>
      <w:bookmarkStart w:id="241" w:name="MosesINHALT"/>
      <w:bookmarkEnd w:id="241"/>
      <w:r w:rsidRPr="00032727">
        <w:rPr>
          <w:rFonts w:ascii="Garamond" w:hAnsi="Garamond"/>
          <w:lang w:val="en-US"/>
        </w:rPr>
        <w:t>halt</w:t>
      </w:r>
    </w:p>
    <w:p w:rsidR="00032727" w:rsidRPr="00090F57" w:rsidRDefault="00B437A1" w:rsidP="00CE4D4E">
      <w:pPr>
        <w:pStyle w:val="Sansinterligne"/>
        <w:numPr>
          <w:ilvl w:val="0"/>
          <w:numId w:val="3"/>
        </w:numPr>
        <w:rPr>
          <w:lang w:val="en-GB"/>
        </w:rPr>
      </w:pPr>
      <w:hyperlink w:anchor="Moses1" w:history="1">
        <w:r w:rsidR="00032727" w:rsidRPr="00090F57">
          <w:rPr>
            <w:rStyle w:val="Lienhypertexte"/>
            <w:rFonts w:ascii="Garamond" w:hAnsi="Garamond"/>
            <w:lang w:val="en-GB"/>
          </w:rPr>
          <w:t>I. Moses, ein Ägypter</w:t>
        </w:r>
      </w:hyperlink>
    </w:p>
    <w:p w:rsidR="00032727" w:rsidRPr="00090F57" w:rsidRDefault="00032727" w:rsidP="00CE4D4E">
      <w:pPr>
        <w:pStyle w:val="Sansinterligne"/>
        <w:numPr>
          <w:ilvl w:val="0"/>
          <w:numId w:val="3"/>
        </w:numPr>
        <w:rPr>
          <w:lang w:val="en-GB"/>
        </w:rPr>
      </w:pPr>
    </w:p>
    <w:p w:rsidR="00032727" w:rsidRPr="00090F57" w:rsidRDefault="00B437A1" w:rsidP="00CE4D4E">
      <w:pPr>
        <w:pStyle w:val="Sansinterligne"/>
        <w:numPr>
          <w:ilvl w:val="0"/>
          <w:numId w:val="3"/>
        </w:numPr>
        <w:rPr>
          <w:lang w:val="en-GB"/>
        </w:rPr>
      </w:pPr>
      <w:hyperlink w:anchor="Moses2" w:history="1">
        <w:r w:rsidR="00032727" w:rsidRPr="00090F57">
          <w:rPr>
            <w:rStyle w:val="Lienhypertexte"/>
            <w:rFonts w:ascii="Garamond" w:hAnsi="Garamond"/>
            <w:lang w:val="en-GB"/>
          </w:rPr>
          <w:t>II. Wenn Moses ein Ägypter war ...</w:t>
        </w:r>
      </w:hyperlink>
    </w:p>
    <w:p w:rsidR="00032727" w:rsidRPr="00090F57" w:rsidRDefault="00032727" w:rsidP="00032727">
      <w:pPr>
        <w:pStyle w:val="Sansinterligne"/>
        <w:rPr>
          <w:lang w:val="en-GB"/>
        </w:rPr>
      </w:pPr>
    </w:p>
    <w:p w:rsidR="00032727" w:rsidRPr="00090F57" w:rsidRDefault="00B437A1" w:rsidP="00CE4D4E">
      <w:pPr>
        <w:pStyle w:val="Sansinterligne"/>
        <w:numPr>
          <w:ilvl w:val="0"/>
          <w:numId w:val="3"/>
        </w:numPr>
        <w:rPr>
          <w:rStyle w:val="Lienhypertexte"/>
          <w:rFonts w:ascii="Garamond" w:hAnsi="Garamond"/>
          <w:lang w:val="en-GB"/>
        </w:rPr>
      </w:pPr>
      <w:r w:rsidRPr="00090F57">
        <w:rPr>
          <w:lang w:val="en-GB"/>
        </w:rPr>
        <w:fldChar w:fldCharType="begin"/>
      </w:r>
      <w:r w:rsidR="00032727" w:rsidRPr="00090F57">
        <w:rPr>
          <w:lang w:val="en-GB"/>
        </w:rPr>
        <w:instrText xml:space="preserve"> HYPERLINK  \l "Moses3" </w:instrText>
      </w:r>
      <w:r w:rsidRPr="00090F57">
        <w:rPr>
          <w:lang w:val="en-GB"/>
        </w:rPr>
        <w:fldChar w:fldCharType="separate"/>
      </w:r>
      <w:r w:rsidR="00032727" w:rsidRPr="00090F57">
        <w:rPr>
          <w:rStyle w:val="Lienhypertexte"/>
          <w:rFonts w:ascii="Garamond" w:hAnsi="Garamond"/>
          <w:lang w:val="en-GB"/>
        </w:rPr>
        <w:t>III. Moses, sein Volk und die monotheistische Religion</w:t>
      </w:r>
    </w:p>
    <w:p w:rsidR="00032727" w:rsidRPr="00090F57" w:rsidRDefault="00032727" w:rsidP="00032727">
      <w:pPr>
        <w:pStyle w:val="Sansinterligne"/>
        <w:rPr>
          <w:lang w:val="en-GB"/>
        </w:rPr>
      </w:pPr>
      <w:r w:rsidRPr="00090F57">
        <w:rPr>
          <w:rStyle w:val="Lienhypertexte"/>
          <w:rFonts w:ascii="Garamond" w:hAnsi="Garamond"/>
          <w:i/>
          <w:iCs/>
          <w:u w:val="none"/>
          <w:lang w:val="en-GB"/>
        </w:rPr>
        <w:t xml:space="preserve">            </w:t>
      </w:r>
      <w:r w:rsidRPr="00090F57">
        <w:rPr>
          <w:rStyle w:val="Lienhypertexte"/>
          <w:rFonts w:ascii="Garamond" w:hAnsi="Garamond"/>
          <w:i/>
          <w:iCs/>
          <w:lang w:val="en-GB"/>
        </w:rPr>
        <w:t>Erster Teil</w:t>
      </w:r>
      <w:r w:rsidR="00B437A1" w:rsidRPr="00090F57">
        <w:rPr>
          <w:lang w:val="en-GB"/>
        </w:rPr>
        <w:fldChar w:fldCharType="end"/>
      </w:r>
    </w:p>
    <w:p w:rsidR="00032727" w:rsidRPr="00090F57" w:rsidRDefault="00032727" w:rsidP="00032727">
      <w:pPr>
        <w:pStyle w:val="Sansinterligne"/>
        <w:rPr>
          <w:lang w:val="en-GB"/>
        </w:rPr>
      </w:pPr>
    </w:p>
    <w:p w:rsidR="00032727" w:rsidRPr="00090F57" w:rsidRDefault="00B437A1" w:rsidP="00032727">
      <w:pPr>
        <w:pStyle w:val="Sansinterligne"/>
        <w:ind w:left="720" w:firstLine="696"/>
        <w:rPr>
          <w:lang w:val="en-GB"/>
        </w:rPr>
      </w:pPr>
      <w:hyperlink w:anchor="Moses3_1_a" w:history="1">
        <w:r w:rsidR="00032727" w:rsidRPr="00090F57">
          <w:rPr>
            <w:rStyle w:val="Lienhypertexte"/>
            <w:rFonts w:ascii="Garamond" w:hAnsi="Garamond"/>
            <w:lang w:val="en-GB"/>
          </w:rPr>
          <w:t>Vorbemerkung I</w:t>
        </w:r>
      </w:hyperlink>
    </w:p>
    <w:p w:rsidR="00032727" w:rsidRPr="00090F57" w:rsidRDefault="00032727" w:rsidP="00032727">
      <w:pPr>
        <w:pStyle w:val="Sansinterligne"/>
        <w:rPr>
          <w:lang w:val="en-GB"/>
        </w:rPr>
      </w:pPr>
    </w:p>
    <w:p w:rsidR="00032727" w:rsidRPr="00090F57" w:rsidRDefault="00B437A1" w:rsidP="00032727">
      <w:pPr>
        <w:pStyle w:val="Sansinterligne"/>
        <w:ind w:left="720" w:firstLine="696"/>
        <w:rPr>
          <w:lang w:val="en-GB"/>
        </w:rPr>
      </w:pPr>
      <w:hyperlink w:anchor="Moses3_1_b" w:history="1">
        <w:r w:rsidR="00032727" w:rsidRPr="00090F57">
          <w:rPr>
            <w:rStyle w:val="Lienhypertexte"/>
            <w:rFonts w:ascii="Garamond" w:hAnsi="Garamond"/>
            <w:lang w:val="en-GB"/>
          </w:rPr>
          <w:t>Vorbemerkung</w:t>
        </w:r>
        <w:r w:rsidR="00032727" w:rsidRPr="00090F57">
          <w:rPr>
            <w:rStyle w:val="Lienhypertexte"/>
            <w:rFonts w:ascii="Garamond" w:hAnsi="Garamond" w:cs="Arial"/>
            <w:bCs/>
            <w:caps/>
            <w:lang w:val="en-GB"/>
          </w:rPr>
          <w:t xml:space="preserve"> II</w:t>
        </w:r>
      </w:hyperlink>
    </w:p>
    <w:p w:rsidR="00032727" w:rsidRPr="00090F57" w:rsidRDefault="00032727" w:rsidP="00032727">
      <w:pPr>
        <w:pStyle w:val="Sansinterligne"/>
        <w:rPr>
          <w:lang w:val="en-GB"/>
        </w:rPr>
      </w:pPr>
    </w:p>
    <w:p w:rsidR="00032727" w:rsidRPr="00090F57" w:rsidRDefault="00B437A1" w:rsidP="00CE4D4E">
      <w:pPr>
        <w:pStyle w:val="Sansinterligne"/>
        <w:numPr>
          <w:ilvl w:val="0"/>
          <w:numId w:val="3"/>
        </w:numPr>
        <w:rPr>
          <w:rFonts w:ascii="Garamond" w:hAnsi="Garamond"/>
          <w:szCs w:val="16"/>
          <w:lang w:val="en-US"/>
        </w:rPr>
      </w:pPr>
      <w:hyperlink w:anchor="Moses3_2" w:history="1">
        <w:r w:rsidR="00032727" w:rsidRPr="00090F57">
          <w:rPr>
            <w:rStyle w:val="Lienhypertexte"/>
            <w:rFonts w:ascii="Garamond" w:hAnsi="Garamond"/>
            <w:szCs w:val="16"/>
            <w:lang w:val="en-US"/>
          </w:rPr>
          <w:t>Zweiter Teil Zusammenfassung und Wiederholung</w:t>
        </w:r>
      </w:hyperlink>
    </w:p>
    <w:p w:rsidR="00032727" w:rsidRPr="00892712" w:rsidRDefault="00032727" w:rsidP="00032727">
      <w:pPr>
        <w:ind w:left="720"/>
        <w:rPr>
          <w:rFonts w:ascii="Garamond" w:hAnsi="Garamond"/>
          <w:color w:val="F38030"/>
          <w:lang w:val="en-GB"/>
        </w:rPr>
      </w:pPr>
    </w:p>
    <w:p w:rsidR="00032727" w:rsidRPr="00892712" w:rsidRDefault="00032727" w:rsidP="00032727">
      <w:pPr>
        <w:shd w:val="clear" w:color="auto" w:fill="FFFFFF"/>
        <w:spacing w:before="100" w:beforeAutospacing="1" w:after="100" w:afterAutospacing="1" w:line="124" w:lineRule="atLeast"/>
        <w:rPr>
          <w:rFonts w:ascii="Garamond" w:hAnsi="Garamond" w:cs="Arial"/>
          <w:color w:val="000000"/>
          <w:lang w:val="en-US"/>
        </w:rPr>
      </w:pPr>
    </w:p>
    <w:p w:rsidR="00032727" w:rsidRPr="00892712" w:rsidRDefault="00032727" w:rsidP="00032727">
      <w:pPr>
        <w:shd w:val="clear" w:color="auto" w:fill="FFFFFF"/>
        <w:spacing w:before="120" w:after="120" w:line="124" w:lineRule="atLeast"/>
        <w:rPr>
          <w:rFonts w:ascii="Garamond" w:hAnsi="Garamond" w:cs="Arial"/>
          <w:color w:val="000000"/>
          <w:lang w:val="en-US"/>
        </w:rPr>
      </w:pPr>
    </w:p>
    <w:p w:rsidR="00032727" w:rsidRPr="00892712" w:rsidRDefault="00032727" w:rsidP="00032727">
      <w:pPr>
        <w:shd w:val="clear" w:color="auto" w:fill="FFFFFF"/>
        <w:spacing w:before="88" w:after="88" w:line="306" w:lineRule="atLeast"/>
        <w:outlineLvl w:val="2"/>
        <w:rPr>
          <w:rFonts w:ascii="Garamond" w:hAnsi="Garamond" w:cs="Arial"/>
          <w:b/>
          <w:bCs/>
          <w:color w:val="F38030"/>
          <w:lang w:val="en-GB"/>
        </w:rPr>
      </w:pPr>
      <w:r>
        <w:rPr>
          <w:rFonts w:ascii="Garamond" w:hAnsi="Garamond" w:cs="Arial"/>
          <w:b/>
          <w:bCs/>
          <w:color w:val="F38030"/>
          <w:lang w:val="en-GB"/>
        </w:rPr>
        <w:br w:type="page"/>
      </w:r>
      <w:hyperlink w:anchor="MosesINHALT" w:history="1">
        <w:r w:rsidRPr="00E44B1F">
          <w:rPr>
            <w:rStyle w:val="Lienhypertexte"/>
            <w:rFonts w:ascii="Garamond" w:hAnsi="Garamond" w:cs="Arial"/>
            <w:b/>
            <w:bCs/>
            <w:lang w:val="en-GB"/>
          </w:rPr>
          <w:t>I. Mo</w:t>
        </w:r>
        <w:bookmarkStart w:id="242" w:name="Moses1"/>
        <w:bookmarkEnd w:id="242"/>
        <w:r w:rsidRPr="00E44B1F">
          <w:rPr>
            <w:rStyle w:val="Lienhypertexte"/>
            <w:rFonts w:ascii="Garamond" w:hAnsi="Garamond" w:cs="Arial"/>
            <w:b/>
            <w:bCs/>
            <w:lang w:val="en-GB"/>
          </w:rPr>
          <w:t>ses, ein Ägypter</w:t>
        </w:r>
      </w:hyperlink>
    </w:p>
    <w:p w:rsidR="00032727" w:rsidRDefault="00032727" w:rsidP="00032727">
      <w:pPr>
        <w:shd w:val="clear" w:color="auto" w:fill="FFFFFF"/>
        <w:spacing w:before="120" w:after="120" w:line="124" w:lineRule="atLeast"/>
        <w:rPr>
          <w:rFonts w:ascii="Garamond" w:hAnsi="Garamond" w:cs="Arial"/>
          <w:color w:val="000000"/>
          <w:lang w:val="en-GB"/>
        </w:rPr>
      </w:pP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Einem Volkstum den Mann abzusprechen, den es als den größten unter seinen Söhnen rühmt, ist nichts, was man gern oder leichthin unternehmen wird, zumal wenn man selbst diesem Volke angehört. Aber man wird sich durch kein Beispiel bewegen lassen, die Wahrheit zugunsten vermeintlicher nationaler Interessen zurückzusetzen, und man darf ja auch von der Klärung eines Sachverhalts einen Gewinn für unsere Einsicht erwarten.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Der Mann </w:t>
      </w:r>
      <w:r w:rsidRPr="00892712">
        <w:rPr>
          <w:rFonts w:ascii="Garamond" w:hAnsi="Garamond" w:cs="Arial"/>
          <w:i/>
          <w:iCs/>
          <w:color w:val="000000"/>
          <w:lang w:val="en-GB"/>
        </w:rPr>
        <w:t>Moses</w:t>
      </w:r>
      <w:r w:rsidRPr="00892712">
        <w:rPr>
          <w:rFonts w:ascii="Garamond" w:hAnsi="Garamond" w:cs="Arial"/>
          <w:color w:val="000000"/>
          <w:lang w:val="en-GB"/>
        </w:rPr>
        <w:t xml:space="preserve">, der dem jüdischen Volke Befreier, Gesetzgeber und Religionsstifter war, gehört so entlegenen Zeiten an, daß man die Vorfrage nicht umgehen kann, ob er eine historische Persönlichkeit oder eine Schöpfung der Sage ist. Wenn er gelebt hat, so war es im 13., vielleicht aber im 14. Jahrhundert vor unserer Zeitrechnung; wir haben keine andere Kunde von ihm als aus den heiligen Büchern und den schriftlich niedergelegten Traditionen der Juden. Wenn darum auch die Entscheidung der letzten Sicherheit entbehrt, so hat sich doch die überwiegende Mehrheit der Historiker dafür ausgesprochen, daß Moses wirklich gelebt und der an ihn geknüpfte Auszug aus Ägypten in der Tat stattgefunden hat. Man behauptet mit gutem Recht, daß die spätere Geschichte des Volkes </w:t>
      </w:r>
      <w:smartTag w:uri="urn:schemas-microsoft-com:office:smarttags" w:element="country-region">
        <w:smartTag w:uri="urn:schemas-microsoft-com:office:smarttags" w:element="place">
          <w:r w:rsidRPr="00892712">
            <w:rPr>
              <w:rFonts w:ascii="Garamond" w:hAnsi="Garamond" w:cs="Arial"/>
              <w:color w:val="000000"/>
              <w:lang w:val="en-GB"/>
            </w:rPr>
            <w:t>Israel</w:t>
          </w:r>
        </w:smartTag>
      </w:smartTag>
      <w:r w:rsidRPr="00892712">
        <w:rPr>
          <w:rFonts w:ascii="Garamond" w:hAnsi="Garamond" w:cs="Arial"/>
          <w:color w:val="000000"/>
          <w:lang w:val="en-GB"/>
        </w:rPr>
        <w:t xml:space="preserve"> unverständlich wäre, wenn man diese Voraussetzung nicht zugeben würde. Die heutige Wissenschaft ist ja überhaupt vorsichtiger geworden und verfährt weit schonungsvoller mit Überlieferungen als in den Anfangszeiten der historischen Kritik.</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Das erste, das an der Person Moses' unser Interesse anzieht, ist der Name, der im Hebräischen </w:t>
      </w:r>
      <w:r w:rsidRPr="00892712">
        <w:rPr>
          <w:rFonts w:ascii="Garamond" w:hAnsi="Garamond" w:cs="Arial"/>
          <w:i/>
          <w:iCs/>
          <w:color w:val="000000"/>
          <w:lang w:val="en-GB"/>
        </w:rPr>
        <w:t>Mosche</w:t>
      </w:r>
      <w:r w:rsidRPr="00892712">
        <w:rPr>
          <w:rFonts w:ascii="Garamond" w:hAnsi="Garamond" w:cs="Arial"/>
          <w:color w:val="000000"/>
          <w:lang w:val="en-GB"/>
        </w:rPr>
        <w:t xml:space="preserve"> lautet. Man darf fragen: Woher stammt er? Was bedeutet er? Bekanntlich bringt schon der Bericht in </w:t>
      </w:r>
      <w:r w:rsidRPr="00892712">
        <w:rPr>
          <w:rFonts w:ascii="Garamond" w:hAnsi="Garamond" w:cs="Arial"/>
          <w:i/>
          <w:iCs/>
          <w:color w:val="000000"/>
          <w:lang w:val="en-GB"/>
        </w:rPr>
        <w:t>Exodus</w:t>
      </w:r>
      <w:r w:rsidRPr="00892712">
        <w:rPr>
          <w:rFonts w:ascii="Garamond" w:hAnsi="Garamond" w:cs="Arial"/>
          <w:color w:val="000000"/>
          <w:lang w:val="en-GB"/>
        </w:rPr>
        <w:t xml:space="preserve">, Kap. 2, eine Antwort. </w:t>
      </w:r>
      <w:smartTag w:uri="urn:schemas-microsoft-com:office:smarttags" w:element="place">
        <w:r w:rsidRPr="00892712">
          <w:rPr>
            <w:rFonts w:ascii="Garamond" w:hAnsi="Garamond" w:cs="Arial"/>
            <w:color w:val="000000"/>
            <w:lang w:val="en-GB"/>
          </w:rPr>
          <w:t>Dort</w:t>
        </w:r>
      </w:smartTag>
      <w:r w:rsidRPr="00892712">
        <w:rPr>
          <w:rFonts w:ascii="Garamond" w:hAnsi="Garamond" w:cs="Arial"/>
          <w:color w:val="000000"/>
          <w:lang w:val="en-GB"/>
        </w:rPr>
        <w:t xml:space="preserve"> wird erzählt, daß die ägyptische Prinzessin, die das im Nil ausgesetzte Knäblein gerettet, ihm diesen Namen gegeben mit der etymologischen Begründung: »denn ich habe ihn aus dem Wasser gezogen«. Allein diese Erklärung ist offenbar unzulänglich. »Die biblische Deutung des Namens ›Der aus dem Wasser Gezogene‹«, urteilt ein Autor im </w:t>
      </w:r>
      <w:r w:rsidRPr="00892712">
        <w:rPr>
          <w:rFonts w:ascii="Garamond" w:hAnsi="Garamond" w:cs="Arial"/>
          <w:i/>
          <w:iCs/>
          <w:color w:val="000000"/>
          <w:lang w:val="en-GB"/>
        </w:rPr>
        <w:t>Jüdischen Lexikon</w:t>
      </w:r>
      <w:hyperlink r:id="rId1303"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Jüdisches Lexikon, begründet von Herlitz und Kirschner, Bd. 4 (1930). Jüdischer Verlag, Berlin.</w:t>
        </w:r>
      </w:hyperlink>
      <w:r w:rsidRPr="00892712">
        <w:rPr>
          <w:rFonts w:ascii="Garamond" w:hAnsi="Garamond" w:cs="Arial"/>
          <w:color w:val="000000"/>
          <w:lang w:val="en-GB"/>
        </w:rPr>
        <w:t>, »ist Volksetymologie, mit der schon die aktive hebräische Form (›Mosche‹ kann höchstens ›der Herauszieher‹ heißen) nicht in Einklang zu bringen ist.« Man kann diese Ablehnung mit zwei weiteren Gründen unterstützen, erstens, daß es unsinnig ist, einer ägyptischen Prinzessin eine Ableitung des Namens aus dem Hebräischen zuzuschreiben, und zweitens, daß das Wasser, aus dem das Kind gezogen wurde, höchstwahrscheinlich nicht das Wasser des Nils war.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Hingegen ist seit langem und von verschiedenen Seiten die Vermutung ausgesprochen worden, daß der Name Moses aus dem ägyptischen Sprachschatz herrührt. Anstatt alle Autoren anzuführen, die sich in diesem Sinn geäußert haben, will ich die entsprechende Stelle aus einem neueren Buch von J. H. Breasted übersetzt einschalten </w:t>
      </w:r>
      <w:hyperlink r:id="rId1304"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i/>
            <w:iCs/>
            <w:lang w:val="en-GB"/>
          </w:rPr>
          <w:t>The Dawn of Conscience</w:t>
        </w:r>
        <w:r w:rsidRPr="00892712">
          <w:rPr>
            <w:rStyle w:val="innerfusslink3"/>
            <w:rFonts w:ascii="Garamond" w:hAnsi="Garamond" w:cs="Arial"/>
            <w:b/>
            <w:bCs/>
            <w:lang w:val="en-GB"/>
          </w:rPr>
          <w:t xml:space="preserve"> (1934, p. 350)., einem Autor, dessen </w:t>
        </w:r>
        <w:r w:rsidRPr="00892712">
          <w:rPr>
            <w:rStyle w:val="innerfusslink3"/>
            <w:rFonts w:ascii="Garamond" w:hAnsi="Garamond" w:cs="Arial"/>
            <w:b/>
            <w:bCs/>
            <w:i/>
            <w:iCs/>
            <w:lang w:val="en-GB"/>
          </w:rPr>
          <w:t>History of Egypt</w:t>
        </w:r>
        <w:r w:rsidRPr="00892712">
          <w:rPr>
            <w:rStyle w:val="innerfusslink3"/>
            <w:rFonts w:ascii="Garamond" w:hAnsi="Garamond" w:cs="Arial"/>
            <w:b/>
            <w:bCs/>
            <w:lang w:val="en-GB"/>
          </w:rPr>
          <w:t xml:space="preserve"> (1906) als maßgebend geschätzt wird. »Es ist bemerkenswert, daß sein (dieses Führers) Name, Moses, ägyptisch war. Es ist einfach das ägyptische Wort ›mose‹, das ›Kind‹ bedeutet, und ist die Abkürzung von volleren Namensformen wie z. B. Amen-mose, das heißt Amon-Kind, oder Ptah-mose, Ptah-Kind, welche Namen selbst wieder Abkürzungen der längeren Sätze sind: Amon (hat geschenkt ein) Kind oder Ptah (hat geschenkt ein) Kind. Der Name ›Kind‹ wurde bald ein bequemer Ersatz für den weitläufigen, vollen Namen, und die Namensform ›Mose‹ findet sich auf ägyptischen Denkmälern nicht selten vor. Der Vater des Moses hatte seinem Sohn sicherlich einen mit Ptah oder Amon zusammengesetzten Namen gegeben, und der Gottesname fiel im täglichen Leben nach und nach aus, bis der Knabe einfach ›Mose‹ gerufen wurde. (Das ›s‹ am Ende des Namens Moses stammt aus der griechischen Übersetzung des Alten Testaments. Es gehört auch nicht dem Hebräischen an, wo der Name ›Mosche‹ lautet.)« Ich habe die Stelle wörtlich wiedergegeben und bin keineswegs bereit, die Verantwortung für ihre Einzelheiten zu teilen. Ich verwundere mich auch ein wenig, daß Breasted in seiner Aufzählung gerade die analogen theophoren Namen übergangen hat, die sich in der Liste der ägyptischen Könige vorfinden, wie </w:t>
        </w:r>
        <w:r w:rsidRPr="00892712">
          <w:rPr>
            <w:rStyle w:val="innerfusslink3"/>
            <w:rFonts w:ascii="Garamond" w:hAnsi="Garamond" w:cs="Arial"/>
            <w:b/>
            <w:bCs/>
            <w:i/>
            <w:iCs/>
            <w:lang w:val="en-GB"/>
          </w:rPr>
          <w:t>Ah-mose, Thut-mose</w:t>
        </w:r>
        <w:r w:rsidRPr="00892712">
          <w:rPr>
            <w:rStyle w:val="innerfusslink3"/>
            <w:rFonts w:ascii="Garamond" w:hAnsi="Garamond" w:cs="Arial"/>
            <w:b/>
            <w:bCs/>
            <w:lang w:val="en-GB"/>
          </w:rPr>
          <w:t xml:space="preserve"> (Tothmes) und </w:t>
        </w:r>
        <w:r w:rsidRPr="00892712">
          <w:rPr>
            <w:rStyle w:val="innerfusslink3"/>
            <w:rFonts w:ascii="Garamond" w:hAnsi="Garamond" w:cs="Arial"/>
            <w:b/>
            <w:bCs/>
            <w:i/>
            <w:iCs/>
            <w:lang w:val="en-GB"/>
          </w:rPr>
          <w:t>Ra-mose</w:t>
        </w:r>
        <w:r w:rsidRPr="00892712">
          <w:rPr>
            <w:rStyle w:val="innerfusslink3"/>
            <w:rFonts w:ascii="Garamond" w:hAnsi="Garamond" w:cs="Arial"/>
            <w:b/>
            <w:bCs/>
            <w:lang w:val="en-GB"/>
          </w:rPr>
          <w:t xml:space="preserve"> (Ramses).</w:t>
        </w:r>
      </w:hyperlink>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Nun sollte man erwarten, daß irgendeiner der vielen, die den Namen Moses als ägyptisch erkannt haben, auch den Schluß gezogen oder wenigstens die Möglichkeit erwogen hätte, daß der Träger des ägyptischen Namens selbst ein Ägypter gewesen sei. Für moderne Zeiten gestatten wir uns solche Schlüsse ohne Bedenken, obwohl gegenwärtig eine Person nicht einen Namen führt, sondern zwei, Familiennamen und </w:t>
      </w:r>
      <w:r w:rsidRPr="00892712">
        <w:rPr>
          <w:rFonts w:ascii="Garamond" w:hAnsi="Garamond" w:cs="Arial"/>
          <w:color w:val="000000"/>
          <w:lang w:val="en-GB"/>
        </w:rPr>
        <w:lastRenderedPageBreak/>
        <w:t xml:space="preserve">Vornamen, und obwohl Namensänderungen und Angleichungen unter neueren Bedingungen nicht ausgeschlossen sind. Wir sind dann keineswegs überrascht, bestätigt zu finden, daß der Dichter Chamisso französischer Abkunft ist, Napoleon Buonaparte dagegen italienischer und daß Benjamin Disraeli wirklich ein italienischer Jude ist, wie sein Name erwarten läßt. Und für alte und frühe Zeiten, sollte man meinen, müßte ein solcher Schluß vom Namen auf die Volkszugehörigkeit noch weit zuverlässiger sein und eigentlich zwingend erscheinen. Dennoch hat meines Wissens im Falle Moses' kein Historiker diesen Schluß gezogen, auch keiner von denen, die, wie gerade wieder Breasted, bereit sind anzunehmen, daß Moses »mit aller Weisheit der Ägypter« vertraut war (1934, p. 354) </w:t>
      </w:r>
      <w:hyperlink r:id="rId1305"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Obwohl die Vermutung, daß Moses Ägypter war, von den ältesten Zeiten bis zur Gegenwart häufig genug ohne Berufung auf den Namen geäußert wurde.</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Was da im Wege stand, ist nicht sicher zu erraten. Vielleicht war der Respekt vor der biblischen Tradition unüberwindlich. Vielleicht erschien die Vorstellung zu ungeheuerlich, daß der Mann Moses etwas anderes als ein Hebräer gewesen sein sollte. Jedenfalls stellt sich heraus, daß die Anerkennung des ägyptischen Namens nicht als entscheidend für die Beurteilung der Abkunft Moses' betrachtet, daß nichts weiter aus ihr gefolgert wird. Hält man die Frage nach der Nationalität dieses großen Mannes für bedeutsam, so wäre es wohl wünschenswert, neues Material zu deren Beantwortung vorzubringen.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Dies unternimmt meine kleine Abhandlung. Ihr Anspruch auf einen Platz in der Zeitschrift </w:t>
      </w:r>
      <w:r w:rsidRPr="00892712">
        <w:rPr>
          <w:rFonts w:ascii="Garamond" w:hAnsi="Garamond" w:cs="Arial"/>
          <w:i/>
          <w:iCs/>
          <w:color w:val="000000"/>
          <w:lang w:val="en-GB"/>
        </w:rPr>
        <w:t>Imago</w:t>
      </w:r>
      <w:r w:rsidRPr="00892712">
        <w:rPr>
          <w:rFonts w:ascii="Garamond" w:hAnsi="Garamond" w:cs="Arial"/>
          <w:color w:val="000000"/>
          <w:lang w:val="en-GB"/>
        </w:rPr>
        <w:t xml:space="preserve"> gründet sich darauf, daß ihr Beitrag eine Anwendung der Psychoanalyse zum Inhalt hat. Das so gewonnene Argument wird gewiß nur auf jene Minderheit von Lesern Eindruck machen, die mit analytischem Denken vertraut ist und dessen Ergebnisse zu schätzen weiß. Ihnen aber wird es hoffentlich bedeutsam scheinen.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Im Jahre 1909 hat O. Rank, damals noch unter meinem Einfluß, auf meine Anregung eine Schrift veröffentlicht, die betitelt ist </w:t>
      </w:r>
      <w:r w:rsidRPr="00892712">
        <w:rPr>
          <w:rFonts w:ascii="Garamond" w:hAnsi="Garamond" w:cs="Arial"/>
          <w:i/>
          <w:iCs/>
          <w:color w:val="000000"/>
          <w:lang w:val="en-GB"/>
        </w:rPr>
        <w:t>Der Mythusvon der Geburt des Helden</w:t>
      </w:r>
      <w:hyperlink r:id="rId1306"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Fünftes Heft der </w:t>
        </w:r>
        <w:r w:rsidRPr="00892712">
          <w:rPr>
            <w:rStyle w:val="innerfusslink3"/>
            <w:rFonts w:ascii="Garamond" w:hAnsi="Garamond" w:cs="Arial"/>
            <w:b/>
            <w:bCs/>
            <w:i/>
            <w:iCs/>
            <w:lang w:val="en-GB"/>
          </w:rPr>
          <w:t>Schriften zur angewandten Seelenkunde</w:t>
        </w:r>
        <w:r w:rsidRPr="00892712">
          <w:rPr>
            <w:rStyle w:val="innerfusslink3"/>
            <w:rFonts w:ascii="Garamond" w:hAnsi="Garamond" w:cs="Arial"/>
            <w:b/>
            <w:bCs/>
            <w:lang w:val="en-GB"/>
          </w:rPr>
          <w:t>, Fr. Deuticke, Wien. Es liegt mir ferne, den Wert der selbständigen Beiträge Ranks zu dieser Arbeit zu verkleinern.</w:t>
        </w:r>
      </w:hyperlink>
      <w:r w:rsidRPr="00892712">
        <w:rPr>
          <w:rFonts w:ascii="Garamond" w:hAnsi="Garamond" w:cs="Arial"/>
          <w:color w:val="000000"/>
          <w:lang w:val="en-GB"/>
        </w:rPr>
        <w:t>. Sie behandelt die Tatsache, daß fast alle bedeutenden Kulturvölker ... frühzeitig ihre Helden, sagenhaften Könige und Fürsten, Religionsstifter, Dynastie-, Reichs- und Städtegründer, kurz ihre Nationalheroen in Dichtungen und Sagen verherrlicht« haben. »Besonders haben sie die Geburts- und Jugendgeschichte dieser Personen mit phantastischen Zügen ausgestattet, deren verblüffende Ähnlichkeit, ja teilweise wörtliche Übereinstimmung bei verschiedenen, mitunter weit getrennten und völlig unabhängigen Völkern längst bekannt und vielen Forschern aufgefallen ist.« Konstruiert man nach dem Vorgang von Rank, etwa in Galtonscher Technik, eine »Durchschnittssage«, welche die wesentlichen Züge all dieser Geschichten heraushebt, so erhält man folgendes Bild:</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»Der Held ist das Kind </w:t>
      </w:r>
      <w:r w:rsidRPr="00892712">
        <w:rPr>
          <w:rFonts w:ascii="Garamond" w:hAnsi="Garamond" w:cs="Arial"/>
          <w:i/>
          <w:iCs/>
          <w:color w:val="000000"/>
          <w:lang w:val="en-GB"/>
        </w:rPr>
        <w:t>vornehmster</w:t>
      </w:r>
      <w:r w:rsidRPr="00892712">
        <w:rPr>
          <w:rFonts w:ascii="Garamond" w:hAnsi="Garamond" w:cs="Arial"/>
          <w:color w:val="000000"/>
          <w:lang w:val="en-GB"/>
        </w:rPr>
        <w:t xml:space="preserve"> Eltern, meist ein Königssohn.«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»Seiner Entstehung gehen Schwierigkeiten voraus, wie Enthaltsamkeit oder lange Unfruchtbarkeit oder heimlicher Verkehr der Eltern infolge äußerer Verbote oder Hindernisse. Während der Schwangerschaft oder schon früher erfolgt eine vor seiner Geburt warnende Verkündigung (Traum, Orakel), die meist dem Vater Gefahr droht.«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»Infolgedessen wird das neugeborene Kind meist auf Veranlassung des </w:t>
      </w:r>
      <w:r w:rsidRPr="00892712">
        <w:rPr>
          <w:rFonts w:ascii="Garamond" w:hAnsi="Garamond" w:cs="Arial"/>
          <w:i/>
          <w:iCs/>
          <w:color w:val="000000"/>
          <w:lang w:val="en-GB"/>
        </w:rPr>
        <w:t>Vaters oder der ihn vertretenden Person</w:t>
      </w:r>
      <w:r w:rsidRPr="00892712">
        <w:rPr>
          <w:rFonts w:ascii="Garamond" w:hAnsi="Garamond" w:cs="Arial"/>
          <w:color w:val="000000"/>
          <w:lang w:val="en-GB"/>
        </w:rPr>
        <w:t xml:space="preserve"> zur Tötung oder </w:t>
      </w:r>
      <w:r w:rsidRPr="00892712">
        <w:rPr>
          <w:rFonts w:ascii="Garamond" w:hAnsi="Garamond" w:cs="Arial"/>
          <w:i/>
          <w:iCs/>
          <w:color w:val="000000"/>
          <w:lang w:val="en-GB"/>
        </w:rPr>
        <w:t>Aussetzung</w:t>
      </w:r>
      <w:r w:rsidRPr="00892712">
        <w:rPr>
          <w:rFonts w:ascii="Garamond" w:hAnsi="Garamond" w:cs="Arial"/>
          <w:color w:val="000000"/>
          <w:lang w:val="en-GB"/>
        </w:rPr>
        <w:t xml:space="preserve"> bestimmt; in der Regel wird es in einem </w:t>
      </w:r>
      <w:r w:rsidRPr="00892712">
        <w:rPr>
          <w:rFonts w:ascii="Garamond" w:hAnsi="Garamond" w:cs="Arial"/>
          <w:i/>
          <w:iCs/>
          <w:color w:val="000000"/>
          <w:lang w:val="en-GB"/>
        </w:rPr>
        <w:t>Kästchen</w:t>
      </w:r>
      <w:r w:rsidRPr="00892712">
        <w:rPr>
          <w:rFonts w:ascii="Garamond" w:hAnsi="Garamond" w:cs="Arial"/>
          <w:color w:val="000000"/>
          <w:lang w:val="en-GB"/>
        </w:rPr>
        <w:t xml:space="preserve"> dem </w:t>
      </w:r>
      <w:r w:rsidRPr="00892712">
        <w:rPr>
          <w:rFonts w:ascii="Garamond" w:hAnsi="Garamond" w:cs="Arial"/>
          <w:i/>
          <w:iCs/>
          <w:color w:val="000000"/>
          <w:lang w:val="en-GB"/>
        </w:rPr>
        <w:t>Wasser</w:t>
      </w:r>
      <w:r w:rsidRPr="00892712">
        <w:rPr>
          <w:rFonts w:ascii="Garamond" w:hAnsi="Garamond" w:cs="Arial"/>
          <w:color w:val="000000"/>
          <w:lang w:val="en-GB"/>
        </w:rPr>
        <w:t xml:space="preserve"> übergeben.«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»Es wird dann von Tieren oder </w:t>
      </w:r>
      <w:r w:rsidRPr="00892712">
        <w:rPr>
          <w:rFonts w:ascii="Garamond" w:hAnsi="Garamond" w:cs="Arial"/>
          <w:i/>
          <w:iCs/>
          <w:color w:val="000000"/>
          <w:lang w:val="en-GB"/>
        </w:rPr>
        <w:t>geringen Leuten (Hirten) gerettet</w:t>
      </w:r>
      <w:r w:rsidRPr="00892712">
        <w:rPr>
          <w:rFonts w:ascii="Garamond" w:hAnsi="Garamond" w:cs="Arial"/>
          <w:color w:val="000000"/>
          <w:lang w:val="en-GB"/>
        </w:rPr>
        <w:t xml:space="preserve"> und von </w:t>
      </w:r>
      <w:r w:rsidRPr="00892712">
        <w:rPr>
          <w:rFonts w:ascii="Garamond" w:hAnsi="Garamond" w:cs="Arial"/>
          <w:i/>
          <w:iCs/>
          <w:color w:val="000000"/>
          <w:lang w:val="en-GB"/>
        </w:rPr>
        <w:t>einem weiblichen Tiere</w:t>
      </w:r>
      <w:r w:rsidRPr="00892712">
        <w:rPr>
          <w:rFonts w:ascii="Garamond" w:hAnsi="Garamond" w:cs="Arial"/>
          <w:color w:val="000000"/>
          <w:lang w:val="en-GB"/>
        </w:rPr>
        <w:t xml:space="preserve"> oder einem </w:t>
      </w:r>
      <w:r w:rsidRPr="00892712">
        <w:rPr>
          <w:rFonts w:ascii="Garamond" w:hAnsi="Garamond" w:cs="Arial"/>
          <w:i/>
          <w:iCs/>
          <w:color w:val="000000"/>
          <w:lang w:val="en-GB"/>
        </w:rPr>
        <w:t>geringen Weibe</w:t>
      </w:r>
      <w:r w:rsidRPr="00892712">
        <w:rPr>
          <w:rFonts w:ascii="Garamond" w:hAnsi="Garamond" w:cs="Arial"/>
          <w:color w:val="000000"/>
          <w:lang w:val="en-GB"/>
        </w:rPr>
        <w:t xml:space="preserve"> gesäugt.«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»Herangewachsen, findet es auf einem sehr wechselvollen Wege die vornehmen Eltern wieder, </w:t>
      </w:r>
      <w:r w:rsidRPr="00892712">
        <w:rPr>
          <w:rFonts w:ascii="Garamond" w:hAnsi="Garamond" w:cs="Arial"/>
          <w:i/>
          <w:iCs/>
          <w:color w:val="000000"/>
          <w:lang w:val="en-GB"/>
        </w:rPr>
        <w:t>rächt sich am Vater</w:t>
      </w:r>
      <w:r w:rsidRPr="00892712">
        <w:rPr>
          <w:rFonts w:ascii="Garamond" w:hAnsi="Garamond" w:cs="Arial"/>
          <w:color w:val="000000"/>
          <w:lang w:val="en-GB"/>
        </w:rPr>
        <w:t xml:space="preserve"> einerseits, wird </w:t>
      </w:r>
      <w:r w:rsidRPr="00892712">
        <w:rPr>
          <w:rFonts w:ascii="Garamond" w:hAnsi="Garamond" w:cs="Arial"/>
          <w:i/>
          <w:iCs/>
          <w:color w:val="000000"/>
          <w:lang w:val="en-GB"/>
        </w:rPr>
        <w:t>anerkannt</w:t>
      </w:r>
      <w:r w:rsidRPr="00892712">
        <w:rPr>
          <w:rFonts w:ascii="Garamond" w:hAnsi="Garamond" w:cs="Arial"/>
          <w:color w:val="000000"/>
          <w:lang w:val="en-GB"/>
        </w:rPr>
        <w:t xml:space="preserve"> anderseits und gelangt zu Größe und Ruhm.«</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älteste der historischen Personen, an welche dieser Geburtsmythus geknüpft wurde, ist Sargon von Agade, der Gründer von Babylon (um 2800 v. Chr.). Es ist grade für uns nicht ohne Interesse, den ihm selbst zugeschriebenen Bericht hier wiederzugeben: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»Sargon, der mächtige König, König von Agade bin ich. Meine Mutter war eine Vestalin, meinen Vater kannte ich nicht, während der Bruder meines Vaters das Gebirge bewohnte. In meiner Stadt Azupirani, welche am Ufer des Euphrats gelegen ist, wurde mit mir schwanger die Mutter, die Vestalin. </w:t>
      </w:r>
      <w:r w:rsidRPr="00892712">
        <w:rPr>
          <w:rFonts w:ascii="Garamond" w:hAnsi="Garamond" w:cs="Arial"/>
          <w:i/>
          <w:iCs/>
          <w:color w:val="000000"/>
          <w:lang w:val="en-GB"/>
        </w:rPr>
        <w:t xml:space="preserve">Im Verborgenen gebar sie </w:t>
      </w:r>
      <w:smartTag w:uri="urn:schemas-microsoft-com:office:smarttags" w:element="State">
        <w:smartTag w:uri="urn:schemas-microsoft-com:office:smarttags" w:element="place">
          <w:r w:rsidRPr="00892712">
            <w:rPr>
              <w:rFonts w:ascii="Garamond" w:hAnsi="Garamond" w:cs="Arial"/>
              <w:i/>
              <w:iCs/>
              <w:color w:val="000000"/>
              <w:lang w:val="en-GB"/>
            </w:rPr>
            <w:t>mich</w:t>
          </w:r>
        </w:smartTag>
      </w:smartTag>
      <w:r w:rsidRPr="00892712">
        <w:rPr>
          <w:rFonts w:ascii="Garamond" w:hAnsi="Garamond" w:cs="Arial"/>
          <w:i/>
          <w:iCs/>
          <w:color w:val="000000"/>
          <w:lang w:val="en-GB"/>
        </w:rPr>
        <w:t>. Sie legte mich in ein Gefäß von Schilfrohr</w:t>
      </w:r>
      <w:r w:rsidRPr="00892712">
        <w:rPr>
          <w:rFonts w:ascii="Garamond" w:hAnsi="Garamond" w:cs="Arial"/>
          <w:color w:val="000000"/>
          <w:lang w:val="en-GB"/>
        </w:rPr>
        <w:t xml:space="preserve">, verschloß mit Erdpech meine Türe </w:t>
      </w:r>
      <w:r w:rsidRPr="00892712">
        <w:rPr>
          <w:rFonts w:ascii="Garamond" w:hAnsi="Garamond" w:cs="Arial"/>
          <w:i/>
          <w:iCs/>
          <w:color w:val="000000"/>
          <w:lang w:val="en-GB"/>
        </w:rPr>
        <w:t xml:space="preserve">und ließ </w:t>
      </w:r>
      <w:smartTag w:uri="urn:schemas-microsoft-com:office:smarttags" w:element="State">
        <w:r w:rsidRPr="00892712">
          <w:rPr>
            <w:rFonts w:ascii="Garamond" w:hAnsi="Garamond" w:cs="Arial"/>
            <w:i/>
            <w:iCs/>
            <w:color w:val="000000"/>
            <w:lang w:val="en-GB"/>
          </w:rPr>
          <w:t>mich</w:t>
        </w:r>
      </w:smartTag>
      <w:r w:rsidRPr="00892712">
        <w:rPr>
          <w:rFonts w:ascii="Garamond" w:hAnsi="Garamond" w:cs="Arial"/>
          <w:i/>
          <w:iCs/>
          <w:color w:val="000000"/>
          <w:lang w:val="en-GB"/>
        </w:rPr>
        <w:t xml:space="preserve"> nieder in </w:t>
      </w:r>
      <w:r w:rsidRPr="00892712">
        <w:rPr>
          <w:rFonts w:ascii="Garamond" w:hAnsi="Garamond" w:cs="Arial"/>
          <w:i/>
          <w:iCs/>
          <w:color w:val="000000"/>
          <w:lang w:val="en-GB"/>
        </w:rPr>
        <w:lastRenderedPageBreak/>
        <w:t>den Strom</w:t>
      </w:r>
      <w:r w:rsidRPr="00892712">
        <w:rPr>
          <w:rFonts w:ascii="Garamond" w:hAnsi="Garamond" w:cs="Arial"/>
          <w:color w:val="000000"/>
          <w:lang w:val="en-GB"/>
        </w:rPr>
        <w:t xml:space="preserve">, welcher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nicht ertränkte. Der Strom führte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zu Akki, dem Wasserschöpfer. Akki, der Wasserschöpfer, in der Güte seines Herzens hob er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heraus. </w:t>
      </w:r>
      <w:r w:rsidRPr="00892712">
        <w:rPr>
          <w:rFonts w:ascii="Garamond" w:hAnsi="Garamond" w:cs="Arial"/>
          <w:i/>
          <w:iCs/>
          <w:color w:val="000000"/>
          <w:lang w:val="en-GB"/>
        </w:rPr>
        <w:t xml:space="preserve">Akki, der Wasserschöpfer, als seinen eigenen Sohn zog er </w:t>
      </w:r>
      <w:smartTag w:uri="urn:schemas-microsoft-com:office:smarttags" w:element="State">
        <w:smartTag w:uri="urn:schemas-microsoft-com:office:smarttags" w:element="place">
          <w:r w:rsidRPr="00892712">
            <w:rPr>
              <w:rFonts w:ascii="Garamond" w:hAnsi="Garamond" w:cs="Arial"/>
              <w:i/>
              <w:iCs/>
              <w:color w:val="000000"/>
              <w:lang w:val="en-GB"/>
            </w:rPr>
            <w:t>mich</w:t>
          </w:r>
        </w:smartTag>
      </w:smartTag>
      <w:r w:rsidRPr="00892712">
        <w:rPr>
          <w:rFonts w:ascii="Garamond" w:hAnsi="Garamond" w:cs="Arial"/>
          <w:i/>
          <w:iCs/>
          <w:color w:val="000000"/>
          <w:lang w:val="en-GB"/>
        </w:rPr>
        <w:t xml:space="preserve"> auf.</w:t>
      </w:r>
      <w:r w:rsidRPr="00892712">
        <w:rPr>
          <w:rFonts w:ascii="Garamond" w:hAnsi="Garamond" w:cs="Arial"/>
          <w:color w:val="000000"/>
          <w:lang w:val="en-GB"/>
        </w:rPr>
        <w:t xml:space="preserve"> Akki, der Wasserschöpfer, zu seinem Gärtner machte er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In meinem Gärtneramt gewann Istar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lieb, ich wurde König, und 45 Jahre übte ich die Königsherrschaft aus.«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uns vertrautesten Namen in der mit Sargon von Agade beginnenden Reihe sind Moses, Kyros und </w:t>
      </w:r>
      <w:smartTag w:uri="urn:schemas-microsoft-com:office:smarttags" w:element="City">
        <w:smartTag w:uri="urn:schemas-microsoft-com:office:smarttags" w:element="place">
          <w:r w:rsidRPr="00892712">
            <w:rPr>
              <w:rFonts w:ascii="Garamond" w:hAnsi="Garamond" w:cs="Arial"/>
              <w:color w:val="000000"/>
              <w:lang w:val="en-GB"/>
            </w:rPr>
            <w:t>Romulus</w:t>
          </w:r>
        </w:smartTag>
      </w:smartTag>
      <w:r w:rsidRPr="00892712">
        <w:rPr>
          <w:rFonts w:ascii="Garamond" w:hAnsi="Garamond" w:cs="Arial"/>
          <w:color w:val="000000"/>
          <w:lang w:val="en-GB"/>
        </w:rPr>
        <w:t>. Außerdem aber hat Rank eine große Anzahl von der Dichtung oder der Sage angehörigen Heldengestalten zusammengestellt, denen dieselbe Jugendgeschichte, entweder in ihrer Gänze oder in gut kenntlichen Teilstücken, nachgesagt wird, als: Ödipus, Karna, Paris, Telephos, Perseus, Herakles, Gilgamesch, Amphion und Zethos u. a.</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Quelle und Tendenz dieses Mythus sind uns durch die Untersuchungen von Rank bekannt gemacht worden. Ich brauche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nur mit knappen Andeutungen darauf zu beziehen. Ein Held ist, wer sich mutig gegen seinen Vater erhoben und ihn am Ende siegreich überwunden hat. Unser Mythus verfolgt diesen Kampf bis in die Urzeit des Individuums, indem er das Kind gegen den Willen des Vaters geboren und gegen seine böse Absicht gerettet werden läßt. Die Aussetzung im Kästchen ist eine unverkennbare symbolische Darstellung der Geburt, das Kästchen der Mutterleib, das Wasser das Geburtswasser. In ungezählten Träumen wird das Eltern-Kind-Verhältnis durch Aus-dem-Wasser-Ziehen oder Aus-dem-Wasser-Retten dargestellt. Wenn die Volksphantasie an eine hervorragende Persönlichkeit den hier behandelten Geburtsmythus heftet, so will sie den Betreffenden hiedurch als Helden anerkennen, verkünden, daß er das Schema eines Heldenlebens erfüllt hat. Die Quelle der ganzen Dichtung ist aber der sogenannte »Familienroman« des Kindes, in dem der Sohn auf die Veränderung seiner Gefühlsbeziehungen zu den Eltern, insbesondere zum Vater, reagiert. Die ersten Kinderjahre werden von einer großartigen Überschätzung des Vaters beherrscht, der entsprechend König und Königin in Traum und Märchen immer nur die Eltern bedeuten, während später unter dem Einfluß von Rivalität und realer Enttäuschung die Ablösung von den Eltern und die kritische Einstellung gegen den Vater einsetzt. Die beiden Familien des Mythus, die vornehme wie die niedrige, sind demnach beide Spiegelungen der eigenen Familie, wie sie dem Kind in aufeinander folgenden Lebenszeiten erscheinen.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Man darf behaupten, daß durch diese Aufklärungen sowohl die Verbreitung wie die Gleichartigkeit des Mythus von der Geburt des Helden voll verständlich werden. Um so mehr verdient es unser Interesse, daß die Geburts- und Aussetzungssage von Moses eine Sonderstellung einnimmt, ja, in einem wesentlichen Punkt den anderen widerspricht.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gehen von den zwei Familien aus, zwischen denen die Sage das Schicksal des Kindes spielen läßt. Wir wissen, daß sie in der analytischen Deutung zusammenfallen, sich nur zeitlich voneinander sondern. In der typischen Form der Sage ist die erste Familie, in die das Kind geboren wird, die vornehme, meist ein königliches Milieu; die zweite, in der das Kind aufwächst, die geringe oder erniedrigte, wie es übrigens den Verhältnissen, auf welche die Deutung zurückgeht, entspricht. Nur in der Ödipussage ist dieser Unterschied verwischt. Das aus der einen Königsfamilie ausgesetzte Kind wird von einem anderen Königspaar aufgenommen. Man sagt sich, es ist kaum ein Zufall, wenn gerade in diesem Beispiel die ursprüngliche Identität der beiden Familien auch in der Sage durchschimmert. Der soziale Kontrast der beiden Familien eröffnet dem Mythus, der, wie wir wissen, die Heldennatur des großen Mannes betonen soll, eine zweite Funktion, die besonders für historische Persönlichkeiten bedeutungsvoll wird. Er kann auch dazu verwendet werden, dem Helden einen Adelsbrief zu schaffen, ihn sozial zu erhöhen. So ist Kyros für die Meder ein fremder Eroberer, auf dem Wege der Aussetzungssage wird er zum Enkel des Mederkönigs. Ähnlich bei Romulus; wenn eine ihm entsprechende Person gelebt hat, so war es ein hergelaufener Abenteurer, ein Emporkömmling; durch die Sage wird er Abkomme und Erbe des Königshauses von Alba Longa.</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rPr>
        <w:t xml:space="preserve">Ganz anders ist es im Falle des Moses. </w:t>
      </w:r>
      <w:r w:rsidRPr="00892712">
        <w:rPr>
          <w:rFonts w:ascii="Garamond" w:hAnsi="Garamond" w:cs="Arial"/>
          <w:color w:val="000000"/>
          <w:lang w:val="en-GB"/>
        </w:rPr>
        <w:t xml:space="preserve">Hier ist die erste Familie, sonst die vornehme, bescheiden genug. Er ist das Kind jüdischer Leviten. Die zweite aber, die niedrige Familie, in der sonst der Held aufwächst, ist durch das Königshaus von Ägypten ersetzt; die Prinzessin zieht ihn als ihren eigenen Sohn auf. Diese Abweichung vom Typus hat auf viele befremdend gewirkt. Ed. Meyer und andere nach ihm haben angenommen, die Sage habe ursprünglich anders gelautet: Der Pharao sei durch einen prophetischen Traum </w:t>
      </w:r>
      <w:hyperlink r:id="rId1307"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Auch im Bericht von Flavius Josephus erwähnt.</w:t>
        </w:r>
      </w:hyperlink>
      <w:r w:rsidRPr="00892712">
        <w:rPr>
          <w:rFonts w:ascii="Garamond" w:hAnsi="Garamond" w:cs="Arial"/>
          <w:color w:val="000000"/>
          <w:lang w:val="en-GB"/>
        </w:rPr>
        <w:t xml:space="preserve"> gewarnt worden, daß ein Sohn seiner Tochter ihm und dem Reiche Gefahr bringen werde. Er läßt darum das Kind nach seiner Geburt im Nil aussetzen. Aber es wird von jüdischen Leuten gerettet und als ihr Kind aufgezogen. Zufolge von </w:t>
      </w:r>
      <w:r w:rsidRPr="00892712">
        <w:rPr>
          <w:rFonts w:ascii="Garamond" w:hAnsi="Garamond" w:cs="Arial"/>
          <w:color w:val="000000"/>
          <w:lang w:val="en-GB"/>
        </w:rPr>
        <w:lastRenderedPageBreak/>
        <w:t xml:space="preserve">»nationalen Motiven«, wie Rank es ausdrückt </w:t>
      </w:r>
      <w:hyperlink r:id="rId1308"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Rank (1909, p. 80, Anm.)</w:t>
        </w:r>
      </w:hyperlink>
      <w:r w:rsidRPr="00892712">
        <w:rPr>
          <w:rFonts w:ascii="Garamond" w:hAnsi="Garamond" w:cs="Arial"/>
          <w:color w:val="000000"/>
          <w:lang w:val="en-GB"/>
        </w:rPr>
        <w:t>, habe die Sage eine Umarbeitung in die uns bekannte Form erfahren.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Aber die nächste Überlegung lehrt, daß eine solche ursprüngliche Mosessage, die nicht mehr von den anderen abweicht, nicht bestanden haben kann. Denn die Sage ist entweder ägyptischen oder jüdischen Ursprungs. Der erste Fall schließt sich aus; Ägypter hatten kein Motiv, Moses zu verherrlichen, er war kein Held für sie. </w:t>
      </w:r>
      <w:r w:rsidRPr="00892712">
        <w:rPr>
          <w:rFonts w:ascii="Garamond" w:hAnsi="Garamond" w:cs="Arial"/>
          <w:color w:val="000000"/>
          <w:lang w:val="en-GB"/>
        </w:rPr>
        <w:t>Also sollte die Sage im jüdischen Volk geschaffen, d. h. in ihrer bekannten Form an die Person des Führers geknüpft worden sein. Allein dazu war sie ganz ungeeignet, denn was sollte dem Volke eine Sage fruchten, die seinen großen Mann zu einem Volksfremden machte?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In der Form, in der die Mosessage uns heute vorliegt, bleibt sie in bemerkenswerter Weise hinter ihren geheimen Absichten zurück. Wenn Moses kein Königssprosse ist, so kann ihn die Sage nicht zum Helden stempeln; wenn er ein Judenkind bleibt, hat sie nichts zu seiner Erhöhung getan. Nur ein Stückchen des ganzen Mythus bleibt wirksam, die Versicherung, daß das Kind starken äußeren Gewalten zum Trotz sich erhalten hat, und diesen Zug hat denn auch die Kindheitsgeschichte Jesu wiederholt, in der König Herodes die Rolle des Pharao übernimmt. Es steht uns dann wirklich frei anzunehmen, daß irgendein später, ungeschickter Bearbeiter des Sagenstoffes sich veranlaßt fand, etwas der klassischen, den Helden auszeichnenden Aussetzungssage Ähnliches bei seinem Helden Moses unterzubringen, was wegen der besonderen Verhältnisse des Falles zu ihm nicht passen konnte.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Mit diesem unbefriedigenden und überdies unsicheren Ergebnis müßte sich unsere Untersuchung begnügen und hätte auch nichts zur Beantwortung der Frage geleistet, ob Moses ein Ägypter war. Aber es gibt zur Würdigung der Aussetzungssage noch einen anderen, vielleicht hoffnungsvolleren Zugang.</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rPr>
        <w:t xml:space="preserve">Wir kehren zu den zwei Familien des Mythus zurück. Wir wissen, auf dem Niveau der analytischen Deutung sind sie identisch, auf mythischem Niveau unterscheiden sie sich als die vornehme und die niedrige. Wenn es sich aber um eine historische Person handelt, an die der Mythus geknüpft ist, dann gibt es ein drittes Niveau, das der Realität. </w:t>
      </w:r>
      <w:r w:rsidRPr="00892712">
        <w:rPr>
          <w:rFonts w:ascii="Garamond" w:hAnsi="Garamond" w:cs="Arial"/>
          <w:color w:val="000000"/>
          <w:lang w:val="en-GB"/>
        </w:rPr>
        <w:t>Die eine Familie ist die reale, in der die Person, der große Mann, wirklich geboren wurde und aufgewachsen ist; die andere ist fiktiv, vom Mythus in der Verfolgung seiner Absichten erdichtet. In der Regel fällt die reale Familie mit der niedrigen, die erdichtete mit der vornehmen zusammen. Im Falle Moses schien irgend etwas anders zu liegen. Und nun führt vielleicht der neue Gesichtspunkt zur Klärung, daß die erste Familie, die, aus der das Kind ausgesetzt wird, in allen Fällen, die sich verwerten lassen, die erfundene ist, die spätere aber, in der es aufgenommen wird und aufwächst, die wirkliche. Haben wir den Mut, diesen Satz als eine Allgemeinheit anzuerkennen, der wir auch die Mosessage unterwerfen, so erkennen wir mit einem Male klar: Moses ist ein – wahrscheinlich vornehmer – Ägypter, der durch die Sage zum Juden gemacht werden soll. Und das wäre unser Resultat! Die Aussetzung im Wasser war an ihrer richtigen Stelle; um sich der neuen Tendenz zu fügen, mußte ihre Absicht, nicht ohne Gewaltsamkeit, umgebogen werden; aus einer Preisgabe wurde sie zum Mittel der Rettung.</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Abweichung der Mosessage von allen anderen ihrer Art konnte aber auf eine Besonderheit der Mosesgeschichte zurückgeführt werden. Während sonst ein Held sich im Laufe seines Lebens über seine niedrigen Anfänge erhebt, begann das Heldenleben des Mannes Moses damit, daß er von seiner Höhe herabstieg, sich herabließ zu den Kindern Israels.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haben diese kleine Untersuchung in der Erwartung unternommen, aus ihr ein zweites, neues Argument für die Vermutung zu gewinnen, daß Moses ein Ägypter war. Wir haben gehört, daß das erste Argument, das aus dem Namen, auf viele keinen entscheidenden Eindruck gemacht hat </w:t>
      </w:r>
      <w:hyperlink r:id="rId1309"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So sagt z. B. Ed. Meyer (1905, p. 651): »Der Name Mose ist wahrscheinlich der Name </w:t>
        </w:r>
        <w:r w:rsidRPr="00892712">
          <w:rPr>
            <w:rStyle w:val="innerfusslink3"/>
            <w:rFonts w:ascii="Garamond" w:hAnsi="Garamond" w:cs="Arial"/>
            <w:b/>
            <w:bCs/>
            <w:i/>
            <w:iCs/>
            <w:lang w:val="en-GB"/>
          </w:rPr>
          <w:t>Pinchas</w:t>
        </w:r>
        <w:r w:rsidRPr="00892712">
          <w:rPr>
            <w:rStyle w:val="innerfusslink3"/>
            <w:rFonts w:ascii="Garamond" w:hAnsi="Garamond" w:cs="Arial"/>
            <w:b/>
            <w:bCs/>
            <w:lang w:val="en-GB"/>
          </w:rPr>
          <w:t xml:space="preserve"> in dem Priestergeschlecht von Silo ... zweifellos ägyptisch. Das beweist natürlich nicht, daß diese Geschlechter ägyptischen Ursprungs waren, wohl aber, daß sie Beziehungen zu Ägypten hatten.« Man kann freilich fragen, an welche Art von Beziehungen man dabei denken soll.</w:t>
        </w:r>
      </w:hyperlink>
      <w:r w:rsidRPr="00892712">
        <w:rPr>
          <w:rFonts w:ascii="Garamond" w:hAnsi="Garamond" w:cs="Arial"/>
          <w:color w:val="000000"/>
          <w:lang w:val="en-GB"/>
        </w:rPr>
        <w:t xml:space="preserve">. </w:t>
      </w:r>
      <w:r w:rsidRPr="00892712">
        <w:rPr>
          <w:rFonts w:ascii="Garamond" w:hAnsi="Garamond" w:cs="Arial"/>
          <w:color w:val="000000"/>
        </w:rPr>
        <w:t xml:space="preserve">Man muß darauf vorbereitet sein, daß das neue Argument, aus der Analyse der Aussetzungssage, kein besseres Glück haben wird. Die Einwendungen werden wohl lauten, daß die Verhältnisse der Bildung und Umgestaltung von Sagen doch zu undurchsichtig sind, um einen Schluß wie den unsrigen zu rechtfertigen, und daß die Traditionen über die Heldengestalt Moses in ihrer Verworrenheit, ihren Widersprüchen, mit </w:t>
      </w:r>
      <w:r w:rsidRPr="00892712">
        <w:rPr>
          <w:rFonts w:ascii="Garamond" w:hAnsi="Garamond" w:cs="Arial"/>
          <w:color w:val="000000"/>
        </w:rPr>
        <w:lastRenderedPageBreak/>
        <w:t xml:space="preserve">den unverkennbaren Anzeichen von jahrhundertelang fortgesetzter tendenziöser Umarbeitung und Überlagerung alle Bemühungen vereiteln müssen, den Kern von historischer Wahrheit dahinter ans Licht zu bringen. </w:t>
      </w:r>
      <w:r w:rsidRPr="00892712">
        <w:rPr>
          <w:rFonts w:ascii="Garamond" w:hAnsi="Garamond" w:cs="Arial"/>
          <w:color w:val="000000"/>
          <w:lang w:val="en-GB"/>
        </w:rPr>
        <w:t>Ich selbst teile diese ablehnende Einstellung nicht, aber ich bin auch nicht imstande, sie zurückzuweisen.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Wenn nicht mehr Sicherheit zu erreichen war, warum habe ich diese Untersuchung überhaupt zur Kenntnis der Öffentlichkeit gebracht? </w:t>
      </w:r>
      <w:r w:rsidRPr="00892712">
        <w:rPr>
          <w:rFonts w:ascii="Garamond" w:hAnsi="Garamond" w:cs="Arial"/>
          <w:color w:val="000000"/>
          <w:lang w:val="en-GB"/>
        </w:rPr>
        <w:t>Ich bedauere es, daß auch meine Rechtfertigung nicht über Andeutungen hinausgehen kann. Läßt man sich nämlich von den beiden hier angeführten Argumenten fortreißen und versucht, Ernst zu machen mit der Annahme, daß Moses ein vornehmer Ägypter war, so ergeben sich sehr interessante und weitreichende Perspektiven. Mit Hilfe gewisser, nicht weit abliegender Annahmen glaubt man die Motive zu verstehen, die Moses bei seinem ungewöhnlichen Schritt geleitet haben, und in engem Zusammenhang damit erfaßt man die mögliche Begründung von zahlreichen Charakteren und Besonderheiten der Gesetzgebung und der Religion, die er dem Volke der Juden gegeben hat, und wird selbst zu bedeutsamen Ansichten über die Entstehung der monotheistischen Religionen im allgemeinen angeregt. Allein Aufschlüsse so wichtiger Art kann man nicht allein auf psychologische Wahrscheinlichkeiten gründen. Wenn man das Ägyptertum Moses' als den einen historischen Anhalt gelten läßt, so bedarf man zum mindesten noch eines zweiten festen Punktes, um die Fülle der auftauchenden Möglichkeiten gegen die Kritik zu schützen, sie seien Erzeugnis der Phantasie und zu weit von der Wirklichkeit entfernt. Ein objektiver Nachweis, in welche Zeit das Leben Moses' und damit der Auszug aus Ägypten fällt, hätte etwa dem Bedürfnis genügt. Aber ein solcher fand sich nicht, und darum soll die Mitteilung aller weiteren Schlüsse aus der Einsicht, daß Moses ein Ägypter war, besser unterbleiben.</w:t>
      </w:r>
    </w:p>
    <w:p w:rsidR="00032727" w:rsidRPr="00892712" w:rsidRDefault="00032727" w:rsidP="00032727">
      <w:pPr>
        <w:shd w:val="clear" w:color="auto" w:fill="FFFFFF"/>
        <w:spacing w:before="88" w:after="88" w:line="306" w:lineRule="atLeast"/>
        <w:outlineLvl w:val="2"/>
        <w:rPr>
          <w:rFonts w:ascii="Garamond" w:hAnsi="Garamond" w:cs="Arial"/>
          <w:b/>
          <w:bCs/>
          <w:color w:val="F38030"/>
          <w:lang w:val="en-GB"/>
        </w:rPr>
      </w:pPr>
      <w:r>
        <w:rPr>
          <w:rFonts w:ascii="Garamond" w:hAnsi="Garamond" w:cs="Arial"/>
          <w:b/>
          <w:bCs/>
          <w:color w:val="F38030"/>
          <w:lang w:val="en-GB"/>
        </w:rPr>
        <w:br w:type="page"/>
      </w:r>
      <w:hyperlink w:anchor="MosesINHALT" w:history="1">
        <w:r w:rsidRPr="00E44B1F">
          <w:rPr>
            <w:rStyle w:val="Lienhypertexte"/>
            <w:rFonts w:ascii="Garamond" w:hAnsi="Garamond" w:cs="Arial"/>
            <w:b/>
            <w:bCs/>
            <w:lang w:val="en-GB"/>
          </w:rPr>
          <w:t>II. We</w:t>
        </w:r>
        <w:bookmarkStart w:id="243" w:name="Moses2"/>
        <w:bookmarkEnd w:id="243"/>
        <w:r w:rsidRPr="00E44B1F">
          <w:rPr>
            <w:rStyle w:val="Lienhypertexte"/>
            <w:rFonts w:ascii="Garamond" w:hAnsi="Garamond" w:cs="Arial"/>
            <w:b/>
            <w:bCs/>
            <w:lang w:val="en-GB"/>
          </w:rPr>
          <w:t>nn Moses ein Ägypter war ...</w:t>
        </w:r>
      </w:hyperlink>
    </w:p>
    <w:p w:rsidR="00032727" w:rsidRDefault="00032727" w:rsidP="00032727">
      <w:pPr>
        <w:shd w:val="clear" w:color="auto" w:fill="FFFFFF"/>
        <w:spacing w:before="120" w:after="120" w:line="124" w:lineRule="atLeast"/>
        <w:rPr>
          <w:rFonts w:ascii="Garamond" w:hAnsi="Garamond" w:cs="Arial"/>
          <w:color w:val="000000"/>
          <w:lang w:val="en-GB"/>
        </w:rPr>
      </w:pP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In einem früheren Beitrag zu dieser Zeitschrift </w:t>
      </w:r>
      <w:hyperlink r:id="rId1310"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Imago, Bd. 23 (1937), Heft 1: ›Moses, ein Ägypter‹.</w:t>
        </w:r>
      </w:hyperlink>
      <w:r w:rsidRPr="00892712">
        <w:rPr>
          <w:rFonts w:ascii="Garamond" w:hAnsi="Garamond" w:cs="Arial"/>
          <w:color w:val="000000"/>
          <w:lang w:val="en-GB"/>
        </w:rPr>
        <w:t xml:space="preserve"> habe ich die Vermutung, daß der Mann </w:t>
      </w:r>
      <w:r w:rsidRPr="00892712">
        <w:rPr>
          <w:rFonts w:ascii="Garamond" w:hAnsi="Garamond" w:cs="Arial"/>
          <w:i/>
          <w:iCs/>
          <w:color w:val="000000"/>
          <w:lang w:val="en-GB"/>
        </w:rPr>
        <w:t>Moses</w:t>
      </w:r>
      <w:r w:rsidRPr="00892712">
        <w:rPr>
          <w:rFonts w:ascii="Garamond" w:hAnsi="Garamond" w:cs="Arial"/>
          <w:color w:val="000000"/>
          <w:lang w:val="en-GB"/>
        </w:rPr>
        <w:t>, der Befreier und Gesetzgeber des jüdischen Volkes, kein Jude, sondern ein Ägypter war, durch ein neues Argument zu bekräftigen versucht. Daß sein Name aus dem ägyptischen Sprachschatz stammt, war längst bemerkt, wenn auch nicht entsprechend gewürdigt worden; ich habe hinzugefügt, daß die Deutung des an Moses geknüpften Aussetzungsmythus zum Schluß nötige, er sei ein Ägypter gewesen, den das Bedürfnis eines Volkes zum Juden machen wollte. Am Ende meines Aufsatzes habe ich gesagt, daß sich wichtige und weittragende Folgerungen aus der Annahme ableiten, daß Moses ein Ägypter gewesen sei; ich sei aber nicht bereit, öffentlich für diese einzutreten, denn sie ruhen nur auf psychologischen Wahrscheinlichkeiten und entbehren eines objektiven Beweises. Je bedeutsamer die so gewonnenen Einsichten sind, desto stärker verspüre man die Warnung, sie nicht ohne sichere Begründung dem kritischen Angriff der Umwelt auszusetzen, gleichsam wie ein ehernes Bild auf tönernen Füßen. Keine noch so verführerische Wahrscheinlichkeit schütze vor Irrtum; selbst wenn alle Teile eines Problems sich einzuordnen scheinen wie die Stücke eines Zusammenlegspieles, müßte man daran denken, daß das Wahrscheinliche nicht notwendig das Wahre sei und die Wahrheit nicht immer wahrscheinlich. Und endlich sei es nicht verlockend, den Scholastikern und Talmudisten angereiht zu werden, die es befriedigt, ihren Scharfsinn spielen zu lassen, gleichgültig dagegen, wie fremd der Wirklichkeit ihre Behauptung sein mag.</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Ungeachtet dieser Bedenken, die heute so schwer wiegen wie damals, ist aus dem Widerstreit meiner Motive der Entschluß hervorgegangen, auf jene erste Mitteilung diese Fortsetzung folgen zu lassen. Aber es ist wiederum nicht das Ganze und nicht das wichtigste Stück des Ganzen.</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Pr>
          <w:rFonts w:ascii="Garamond" w:hAnsi="Garamond" w:cs="Arial"/>
          <w:b/>
          <w:bCs/>
          <w:color w:val="000000"/>
          <w:lang w:val="en-GB"/>
        </w:rPr>
        <w:t>(</w:t>
      </w:r>
      <w:r w:rsidRPr="00E44B1F">
        <w:rPr>
          <w:rFonts w:ascii="Garamond" w:hAnsi="Garamond" w:cs="Arial"/>
          <w:b/>
          <w:bCs/>
          <w:color w:val="000000"/>
          <w:lang w:val="en-GB"/>
        </w:rPr>
        <w:t>1</w:t>
      </w:r>
      <w:r>
        <w:rPr>
          <w:rFonts w:ascii="Garamond" w:hAnsi="Garamond" w:cs="Arial"/>
          <w:b/>
          <w:bCs/>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Wenn also Moses ein Ägypter war – so ist der erste Gewinn aus dieser Annahme eine neue, schwer zu beantwortende Rätselfrage. Wenn ein Volk oder ein Stamm </w:t>
      </w:r>
      <w:hyperlink r:id="rId1311"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Wir haben keine Vorstellung davon, um welche Zahlen es sich beim Auszug aus Ägypten handelt.</w:t>
        </w:r>
      </w:hyperlink>
      <w:r w:rsidRPr="00892712">
        <w:rPr>
          <w:rFonts w:ascii="Garamond" w:hAnsi="Garamond" w:cs="Arial"/>
          <w:color w:val="000000"/>
          <w:lang w:val="en-GB"/>
        </w:rPr>
        <w:t xml:space="preserve"> sich zu einer großen Unternehmung anschickt, so ist nichts anderes zu erwarten, als daß einer von den Volksgenossen sich zum Führer aufwirft oder zu dieser Rolle durch Wahl bestimmt wird. Aber was einen vornehmen Ägypter – vielleicht Prinz, Priester, hoher Beamter – bewegen sollte, sich an die Spitze eines Haufens von eingewanderten, kulturell rückständigen Fremdlingen zu stellen und mit ihnen </w:t>
      </w:r>
      <w:smartTag w:uri="urn:schemas-microsoft-com:office:smarttags" w:element="place">
        <w:smartTag w:uri="urn:schemas-microsoft-com:office:smarttags" w:element="PlaceName">
          <w:r w:rsidRPr="00892712">
            <w:rPr>
              <w:rFonts w:ascii="Garamond" w:hAnsi="Garamond" w:cs="Arial"/>
              <w:color w:val="000000"/>
              <w:lang w:val="en-GB"/>
            </w:rPr>
            <w:t>das</w:t>
          </w:r>
        </w:smartTag>
        <w:r w:rsidRPr="00892712">
          <w:rPr>
            <w:rFonts w:ascii="Garamond" w:hAnsi="Garamond" w:cs="Arial"/>
            <w:color w:val="000000"/>
            <w:lang w:val="en-GB"/>
          </w:rPr>
          <w:t xml:space="preserve"> </w:t>
        </w:r>
        <w:smartTag w:uri="urn:schemas-microsoft-com:office:smarttags" w:element="PlaceType">
          <w:r w:rsidRPr="00892712">
            <w:rPr>
              <w:rFonts w:ascii="Garamond" w:hAnsi="Garamond" w:cs="Arial"/>
              <w:color w:val="000000"/>
              <w:lang w:val="en-GB"/>
            </w:rPr>
            <w:t>Land</w:t>
          </w:r>
        </w:smartTag>
      </w:smartTag>
      <w:r w:rsidRPr="00892712">
        <w:rPr>
          <w:rFonts w:ascii="Garamond" w:hAnsi="Garamond" w:cs="Arial"/>
          <w:color w:val="000000"/>
          <w:lang w:val="en-GB"/>
        </w:rPr>
        <w:t xml:space="preserve"> zu verlassen, das ist nicht leicht zu erraten. Die bekannte Verachtung des Ägypters für ein ihm fremdes Volkstum macht einen solchen Vorgang besonders unwahrscheinlich. Ja, ich möchte glauben, gerade darum haben selbst Historiker, die den Namen als ägyptisch erkannten und dem Mann alle Weisheit Ägyptens zuschrieben, die naheliegende Möglichkeit nicht aufnehmen wollen, daß Moses ein Ägypter war.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Zu dieser ersten Schwierigkeit kommt bald eine zweite hinzu. Wir dürfen nicht vergessen, daß Moses nicht nur der politische Führer der in Ägypten ansässigen Juden war, er war auch ihr Gesetzgeber, Erzieher und zwang sie in den Dienst einer neuen Religion, die noch heute nach ihm die mosaische genannt wird. Aber kommt ein einzelner Mensch so leicht dazu, eine neue Religion zu schaffen? Und wenn jemand die Religion eines anderen beeinflussen will, ist es nicht das natürlichste, daß er ihn zu seiner eigenen Religion bekehrt? Das Judenvolk in Ägypten war sicherlich nicht ohne irgendeine Form von Religion, und wenn Moses, der ihm eine neue gegeben, ein Ägypter war, so ist die Vermutung nicht abzuweisen, daß die andere, neue Religion die ägyptische war.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Dieser Möglichkeit steht etwas im Wege: die Tatsache des schärfsten Gegensatzes zwischen der auf Moses zurückgeführten jüdischen Religion und der ägyptischen. Die erstere ein großartig starrer Monotheismus; es gibt nur einen Gott, er ist einzig, allmächtig, unnahbar; man verträgt seinen Anblick nicht, darf sich kein Bild von ihm machen, nicht einmal seinen Namen aussprechen. In der ägyptischen Religion eine kaum übersehbare Schar von Gottheiten verschiedener Würdigkeit und Herkunft, einige Personifikationen von großen Naturmächten wie Himmel und Erde, Sonne und Mond, auch einmal eine Abstraktion wie die Maat (Wahrheit, Gerechtigkeit) oder eine Fratze wie der zwerghafte Bes, die meisten aber Lokalgötter aus der Zeit, da das Land in zahlreiche Gaue zerfallen war, tiergestaltig, als hätten sie die Entwicklung aus den alten Totemtieren noch nicht überwunden, unscharf voneinander unterschieden, kaum daß einzelnen besondere Funktionen zugewiesen sind. Die Hymnen zu Ehren dieser Götter sagen ungefähr von jedem </w:t>
      </w:r>
      <w:r w:rsidRPr="00892712">
        <w:rPr>
          <w:rFonts w:ascii="Garamond" w:hAnsi="Garamond" w:cs="Arial"/>
          <w:color w:val="000000"/>
          <w:lang w:val="en-GB"/>
        </w:rPr>
        <w:lastRenderedPageBreak/>
        <w:t>das nämliche aus, identifizieren sie miteinander ohne Bedenken in einer Weise, die uns hoffnungslos verwirren würde. Götternamen werden miteinander kombiniert, so daß der eine fast zum Beiwort des anderen herabsinkt; so heißt in der Blütezeit des »Neuen Reiches« der Hauptgott der Stadt Theben Amon-Re, in welcher Zusammensetzung der erste Teil den widderköpfigen Stadtgott bedeutet, während Re der Name des sperberköpfigen Sonnengottes von On ist. Magische und Zeremoniellhandlungen, Zaubersprüche und Amulette beherrschten den Dienst dieser Götter wie das tägliche Leben des Ägypters.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Manche dieser Verschiedenheiten mögen sich leicht aus dem prinzipiellen Gegensatz eines strengen Monotheismus zu einem uneingeschränkten Polytheismus ableiten. Andere sind offenbar Folgen des Unterschieds im geistigen Niveau, da die eine Religion primitiven Phasen sehr nahesteht, die andere sich zu den Höhen sublimer Abstraktion aufgeschwungen hat. Auf diese beiden Momente mag es zurückgehen, wenn man gelegentlich den Eindruck empfängt, der Gegensatz zwischen der mosaischen und der ägyptischen Religion sei ein gewollter und absichtlich verschärfter; z. B. wenn die eine jede Art von Magie und Zauberwesen aufs strengste verdammt, die doch in der anderen aufs üppigste wuchern. </w:t>
      </w:r>
      <w:smartTag w:uri="urn:schemas-microsoft-com:office:smarttags" w:element="place">
        <w:r w:rsidRPr="00892712">
          <w:rPr>
            <w:rFonts w:ascii="Garamond" w:hAnsi="Garamond" w:cs="Arial"/>
            <w:color w:val="000000"/>
            <w:lang w:val="en-GB"/>
          </w:rPr>
          <w:t>Oder</w:t>
        </w:r>
      </w:smartTag>
      <w:r w:rsidRPr="00892712">
        <w:rPr>
          <w:rFonts w:ascii="Garamond" w:hAnsi="Garamond" w:cs="Arial"/>
          <w:color w:val="000000"/>
          <w:lang w:val="en-GB"/>
        </w:rPr>
        <w:t xml:space="preserve"> wenn der unersättlichen Lust der Ägypter, ihre Götter in Ton, Stein und Erz zu verkörpern, der heute unsere Museen so viel verdanken, das rauhe Verbot entgegengestellt wird, irgendein lebendes oder gedachtes Wesen in einem Bildnis darzustellen. Aber es gibt noch einen anderen Gegensatz zwischen beiden Religionen, der durch die von uns versuchten Erklärungen nicht getroffen wird. Kein anderes Volk des Altertums hat soviel getan, um den Tod zu verleugnen, hat so peinlich vorgesorgt, eine Existenz im Jenseits zu ermöglichen, und dementsprechend war der Totengott Osiris, der Beherrscher dieser anderen Welt, der populärste und unbestrittenste aller ägyptischen Götter. Die altjüdische Religion hingegen hat auf die Unsterblichkeit voll verzichtet; der Möglichkeit einer Fortsetzung der Existenz nach dem Tode wird nirgends und niemals Erwähnung getan. Und dies ist um so merkwürdiger, als ja spätere Erfahrungen gezeigt haben, daß der Glaube an ein jenseitiges Dasein mit einer monotheistischen Religion sehr gut vereinbart werden kann.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hatten gehofft, die Annahme, Moses sei ein Ägypter gewesen, werde sich nach verschiedenen Richtungen als fruchtbar und aufklärend erweisen. Aber unsere erste Folgerung aus dieser Annahme, die neue Religion, die er den Juden gegeben, sei seine eigene, die ägyptische gewesen, ist an der Einsicht in die Verschiedenheit, ja Gegensätzlichkeit der beiden Religionen gescheitert.</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(2)</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Eine merkwürdige Tatsache der ägyptischen Religionsgeschichte, die erst spät erkannt und gewürdigt worden ist, eröffnet uns noch eine Aussicht. Es bleibt möglich, daß die Religion, die Moses seinem Judenvolke gab, doch seine eigene war, </w:t>
      </w:r>
      <w:r w:rsidRPr="00892712">
        <w:rPr>
          <w:rFonts w:ascii="Garamond" w:hAnsi="Garamond" w:cs="Arial"/>
          <w:i/>
          <w:iCs/>
          <w:color w:val="000000"/>
          <w:lang w:val="en-GB"/>
        </w:rPr>
        <w:t>eine</w:t>
      </w:r>
      <w:r w:rsidRPr="00892712">
        <w:rPr>
          <w:rFonts w:ascii="Garamond" w:hAnsi="Garamond" w:cs="Arial"/>
          <w:color w:val="000000"/>
          <w:lang w:val="en-GB"/>
        </w:rPr>
        <w:t xml:space="preserve"> ägyptische Religion, wenn auch nicht </w:t>
      </w:r>
      <w:r w:rsidRPr="00892712">
        <w:rPr>
          <w:rFonts w:ascii="Garamond" w:hAnsi="Garamond" w:cs="Arial"/>
          <w:i/>
          <w:iCs/>
          <w:color w:val="000000"/>
          <w:lang w:val="en-GB"/>
        </w:rPr>
        <w:t>die</w:t>
      </w:r>
      <w:r w:rsidRPr="00892712">
        <w:rPr>
          <w:rFonts w:ascii="Garamond" w:hAnsi="Garamond" w:cs="Arial"/>
          <w:color w:val="000000"/>
          <w:lang w:val="en-GB"/>
        </w:rPr>
        <w:t xml:space="preserve"> ägyptische.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In der glorreichen 18ten Dynastie, unter der Ägypten zuerst ein Weltreich wurde, kam um das Jahr 1375 v. Chr. ein junger Pharao auf den Thron, der zuerst Amenhotep (IV.) hieß wie sein Vater, später aber seinen Namen änderte, und nicht bloß seinen Namen. Dieser König unternahm es, seinen Ägyptern eine neue Religion aufzudrängen, die ihren jahrtausendealten Traditionen und all ihren vertrauten Lebensgewohnheiten zuwiderlief. Es war ein strenger Monotheismus, der erste Versuch dieser Art in der Weltgeschichte, soweit unsere Kenntnis reicht, und mit dem Glauben an einen einzigen Gott wurde wie unvermeidlich die religiöse Intoleranz geboren, die dem Altertum vorher – und noch lange nachher – fremd geblieben. Aber die Regierung Amenhoteps dauerte nur 17 Jahre; sehr bald nach seinem 1358 erfolgten Tode war die neue Religion hinweggefegt, das Andenken des ketzerischen Königs geächtet worden. Aus dem Trümmerfeld der neuen Residenz, die er erbaut und seinem Gott geweiht hatte, und aus den Inschriften in den zu ihr gehörigen Felsgräbern rührt das wenige her, was wir über ihn wissen. Alles, was wir über diese merkwürdige, ja einzigartige Persönlichkeit erfahren können, ist des höchsten Interesses würdig </w:t>
      </w:r>
      <w:hyperlink r:id="rId1312"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i/>
            <w:iCs/>
            <w:lang w:val="en-GB"/>
          </w:rPr>
          <w:t>The first individual in human history</w:t>
        </w:r>
        <w:r w:rsidRPr="00892712">
          <w:rPr>
            <w:rStyle w:val="innerfusslink3"/>
            <w:rFonts w:ascii="Garamond" w:hAnsi="Garamond" w:cs="Arial"/>
            <w:b/>
            <w:bCs/>
            <w:lang w:val="en-GB"/>
          </w:rPr>
          <w:t>, nennt ihn Breasted.</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Alles Neue muß seine Vorbereitungen und Vorbedingungen in Früherem haben. Die Ursprünge des ägyptischen Monotheismus lassen sich mit einiger Sicherheit ein Stück weit zurückverfolgen </w:t>
      </w:r>
      <w:hyperlink r:id="rId1313"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Das Nachfolgende hauptsächlich nach den Darstellungen von J. H. Breasted in seiner History of Egypt (1906) sowie in The Dawn of Conscience (1934) und den entsprechenden Abschnitten in The Cambridge Ancient History, Bd. 2.</w:t>
        </w:r>
      </w:hyperlink>
      <w:r w:rsidRPr="00892712">
        <w:rPr>
          <w:rFonts w:ascii="Garamond" w:hAnsi="Garamond" w:cs="Arial"/>
          <w:color w:val="000000"/>
          <w:lang w:val="en-GB"/>
        </w:rPr>
        <w:t xml:space="preserve">. In der Priesterschule des Sonnentempels zu On (Heliopolis) waren seit längerer Zeit Tendenzen tätig, um die Vorstellung eines universellen Gottes zu entwickeln und die ethische Seite seines Wesens zu betonen. Maat, die Göttin der Wahrheit, Ordnung, Gerechtigkeit war eine Tochter des Sonnengottes Re. Schon unter Amenhotep III., dem Vater und </w:t>
      </w:r>
      <w:r w:rsidRPr="00892712">
        <w:rPr>
          <w:rFonts w:ascii="Garamond" w:hAnsi="Garamond" w:cs="Arial"/>
          <w:color w:val="000000"/>
          <w:lang w:val="en-GB"/>
        </w:rPr>
        <w:lastRenderedPageBreak/>
        <w:t xml:space="preserve">Vorgänger des Reformators, nahm die Verehrung des Sonnengottes einen neuen Aufschwung, wahrscheinlich in Gegnerschaft zum übermächtig gewordenen Amon von Theben. Ein uralter Name des Sonnengottes Aton oder Atum wurde neu hervorgeholt, und in dieser </w:t>
      </w:r>
      <w:r w:rsidRPr="00892712">
        <w:rPr>
          <w:rFonts w:ascii="Garamond" w:hAnsi="Garamond" w:cs="Arial"/>
          <w:i/>
          <w:iCs/>
          <w:color w:val="000000"/>
          <w:lang w:val="en-GB"/>
        </w:rPr>
        <w:t>Atonreligion</w:t>
      </w:r>
      <w:r w:rsidRPr="00892712">
        <w:rPr>
          <w:rFonts w:ascii="Garamond" w:hAnsi="Garamond" w:cs="Arial"/>
          <w:color w:val="000000"/>
          <w:lang w:val="en-GB"/>
        </w:rPr>
        <w:t xml:space="preserve"> fand der junge König eine Bewegung vor, die er nicht erst zu erwecken brauchte, der er sich anschließen konnte.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politischen Verhältnisse Ägyptens hatten um diese Zeit begonnen, die ägyptische Religion nachhaltig zu beeinflussen. Durch die Waffentaten des großen Eroberers Thotmes III. war Ägypten eine Weltmacht geworden, im Süden war Nubien, im Norden Palästina, Syrien und ein Stück von Mesopotamien zum Reich hinzugekommen. Dieser Imperialismus spiegelte sich nun in der Religion als Universalismus und Monotheismus. Da die Fürsorge des Pharao jetzt außer Ägypten auch Nubien und Syrien umfaßte, mußte auch die Gottheit ihre nationale Beschränkung aufgeben, und wie der Pharao der einzige und unumschränkte Herrscher der dem Ägypter bekannten Welt war, so mußte wohl auch die neue Gottheit der Ägypter werden. Zudem war es natürlich, daß mit der Erweiterung der Reichsgrenzen Ägypten für ausländische Einflüsse zugänglicher wurde; manche der königlichen Frauen </w:t>
      </w:r>
      <w:hyperlink r:id="rId1314"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Vielleicht selbst Amenhoteps geliebte Gemahlin Nofretete.</w:t>
        </w:r>
      </w:hyperlink>
      <w:r w:rsidRPr="00892712">
        <w:rPr>
          <w:rFonts w:ascii="Garamond" w:hAnsi="Garamond" w:cs="Arial"/>
          <w:color w:val="000000"/>
          <w:lang w:val="en-GB"/>
        </w:rPr>
        <w:t xml:space="preserve"> waren asiatische Prinzessinnen, und möglicherweise waren selbst direkte Anregungen zum Monotheismus aus Syrien eingedrungen.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Amenhotep hat seinen Anschluß an den Sonnenkult von On niemals verleugnet. In den zwei Hymnen an den Aton, die uns durch die Inschriften in den Felsgräbern erhalten geblieben sind und wahrscheinlich von ihm selbst gedichtet wurden, preist er die Sonne als Schöpfer und Erhalter alles Lebenden in und außerhalb Ägyptens mit einer Inbrunst, wie sie erst viele Jahrhunderte später in den Psalmen zu Ehren des jüdischen Gottes Jahve wiederkehrt. </w:t>
      </w:r>
      <w:r w:rsidRPr="00892712">
        <w:rPr>
          <w:rFonts w:ascii="Garamond" w:hAnsi="Garamond" w:cs="Arial"/>
          <w:color w:val="000000"/>
          <w:lang w:val="en-GB"/>
        </w:rPr>
        <w:t xml:space="preserve">Er begnügte sich aber nicht mit dieser erstaunlichen Vorwegnahme der wissenschaftlichen Erkenntnis von der Wirkung der Sonnenstrahlung. Es ist kein Zweifel, daß er einen Schritt weiter ging, daß er die Sonne nicht als materielles Objekt verehrte, sondern als Symbol eines göttlichen Wesens, dessen Energie sich in ihren Strahlen kundgab </w:t>
      </w:r>
      <w:hyperlink r:id="rId1315"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Breasted (1906, p. 360): » </w:t>
        </w:r>
        <w:r w:rsidRPr="00892712">
          <w:rPr>
            <w:rStyle w:val="innerfusslink3"/>
            <w:rFonts w:ascii="Garamond" w:hAnsi="Garamond" w:cs="Arial"/>
            <w:b/>
            <w:bCs/>
            <w:i/>
            <w:iCs/>
            <w:lang w:val="en-GB"/>
          </w:rPr>
          <w:t>But however evident the Heliopolitan origin of the new State religion might be, it was not merely sun-worship; the word Aton was employed in the place of the old word for ›god‹</w:t>
        </w:r>
        <w:r w:rsidRPr="00892712">
          <w:rPr>
            <w:rStyle w:val="innerfusslink3"/>
            <w:rFonts w:ascii="Garamond" w:hAnsi="Garamond" w:cs="Arial"/>
            <w:b/>
            <w:bCs/>
            <w:lang w:val="en-GB"/>
          </w:rPr>
          <w:t xml:space="preserve"> (nuter) </w:t>
        </w:r>
        <w:r w:rsidRPr="00892712">
          <w:rPr>
            <w:rStyle w:val="innerfusslink3"/>
            <w:rFonts w:ascii="Garamond" w:hAnsi="Garamond" w:cs="Arial"/>
            <w:b/>
            <w:bCs/>
            <w:i/>
            <w:iCs/>
            <w:lang w:val="en-GB"/>
          </w:rPr>
          <w:t>and the god is clearly distinguished from the material sun.</w:t>
        </w:r>
        <w:r w:rsidRPr="00892712">
          <w:rPr>
            <w:rStyle w:val="innerfusslink3"/>
            <w:rFonts w:ascii="Garamond" w:hAnsi="Garamond" w:cs="Arial"/>
            <w:b/>
            <w:bCs/>
            <w:lang w:val="en-GB"/>
          </w:rPr>
          <w:t xml:space="preserve">« » </w:t>
        </w:r>
        <w:r w:rsidRPr="00892712">
          <w:rPr>
            <w:rStyle w:val="innerfusslink3"/>
            <w:rFonts w:ascii="Garamond" w:hAnsi="Garamond" w:cs="Arial"/>
            <w:b/>
            <w:bCs/>
            <w:i/>
            <w:iCs/>
            <w:lang w:val="en-GB"/>
          </w:rPr>
          <w:t>It is evident that what the king was deifying was the force, by which the Sun made itself felt on earth</w:t>
        </w:r>
        <w:r w:rsidRPr="00892712">
          <w:rPr>
            <w:rStyle w:val="innerfusslink3"/>
            <w:rFonts w:ascii="Garamond" w:hAnsi="Garamond" w:cs="Arial"/>
            <w:b/>
            <w:bCs/>
            <w:lang w:val="en-GB"/>
          </w:rPr>
          <w:t>« (Breasted, 1934, p. 279) – ähnlich das Urteil über eine Formel zu Ehren des Gottes bei A. Erman (1905): »Es sind ... Worte, die möglichst abstrakt ausdrücken sollen, daß man nicht das Gestirn selbst verehrt, sondern das Wesen, das sich in ihm offenbart.«</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werden dem König aber nicht gerecht, wenn wir ihn nur als den Anhänger und Förderer einer schon vor ihm bestehenden Atonreligion betrachten. Seine Tätigkeit war weit eingreifender. Er brachte etwas Neues hinzu, wodurch die Lehre vom universellen Gott erst zum Monotheismus wurde, das Moment der Ausschließlichkeit. In einer seiner Hymnen wird es direkt ausgesagt: »O Du einziger Gott, neben dem kein anderer ist.« </w:t>
      </w:r>
      <w:hyperlink r:id="rId1316"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Breasted (1906, p. 374 Anm.).</w:t>
        </w:r>
      </w:hyperlink>
      <w:r w:rsidRPr="00892712">
        <w:rPr>
          <w:rFonts w:ascii="Garamond" w:hAnsi="Garamond" w:cs="Arial"/>
          <w:color w:val="000000"/>
          <w:lang w:val="en-GB"/>
        </w:rPr>
        <w:t xml:space="preserve"> Und wir wollen nicht vergessen, daß für die Würdigung der neuen Lehre die Kenntnis ihres positiven Inhalts allein nicht genügt; beinahe ebenso wichtig ist ihre negative Seite, die Kenntnis dessen, was sie verwirft. Es wäre auch irrtümlich anzunehmen, daß die neue Religion mit einem Schlage fertig und voll gerüstet ins Leben gerufen wurde wie Athene aus dem Haupt des Zeus. Vielmehr spricht alles dafür, daß sie während der Regierung Amenhoteps allmählich erstarkte zu immer größerer Klarheit, Konsequenz, Schroffheit und Unduldsamkeit. Wahrscheinlich vollzog sich diese Entwicklung unter dem Einfluß der heftigen Gegnerschaft, die sich unter den Priestern des Amon gegen die Reform des Königs erhob. Im sechsten Jahre der Regierung Amenhoteps war die Verfeindung so weit gediehen, daß der König seinen Namen änderte, von dem der nun verpönte Gottesname Amon ein Teil war. Er nannte sich anstatt </w:t>
      </w:r>
      <w:r w:rsidRPr="00892712">
        <w:rPr>
          <w:rFonts w:ascii="Garamond" w:hAnsi="Garamond" w:cs="Arial"/>
          <w:i/>
          <w:iCs/>
          <w:color w:val="000000"/>
          <w:lang w:val="en-GB"/>
        </w:rPr>
        <w:t>Amenhotep</w:t>
      </w:r>
      <w:r w:rsidRPr="00892712">
        <w:rPr>
          <w:rFonts w:ascii="Garamond" w:hAnsi="Garamond" w:cs="Arial"/>
          <w:color w:val="000000"/>
          <w:lang w:val="en-GB"/>
        </w:rPr>
        <w:t xml:space="preserve"> jetzt </w:t>
      </w:r>
      <w:r w:rsidRPr="00892712">
        <w:rPr>
          <w:rFonts w:ascii="Garamond" w:hAnsi="Garamond" w:cs="Arial"/>
          <w:i/>
          <w:iCs/>
          <w:color w:val="000000"/>
          <w:lang w:val="en-GB"/>
        </w:rPr>
        <w:t>Ikhnaton</w:t>
      </w:r>
      <w:hyperlink r:id="rId1317"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Ich folge bei diesem Namen der englischen Schreibart (sonst </w:t>
        </w:r>
        <w:r w:rsidRPr="00892712">
          <w:rPr>
            <w:rStyle w:val="innerfusslink3"/>
            <w:rFonts w:ascii="Garamond" w:hAnsi="Garamond" w:cs="Arial"/>
            <w:b/>
            <w:bCs/>
            <w:i/>
            <w:iCs/>
            <w:lang w:val="en-GB"/>
          </w:rPr>
          <w:t>Akhenaton</w:t>
        </w:r>
        <w:r w:rsidRPr="00892712">
          <w:rPr>
            <w:rStyle w:val="innerfusslink3"/>
            <w:rFonts w:ascii="Garamond" w:hAnsi="Garamond" w:cs="Arial"/>
            <w:b/>
            <w:bCs/>
            <w:lang w:val="en-GB"/>
          </w:rPr>
          <w:t>). Der neue Name des Königs bedeutet ungefähr dasselbe wie sein früherer: Der Gott ist zufrieden. Vgl. unser Gotthold, Gottfried.. Aber nicht nur aus seinem Namen tilgte er den des verhaßten Gottes aus, sondern auch aus allen Inschriften und selbst dort, wo er sich im Namen seines Vaters Amenhotep III. fand. Bald nach der Namensänderung verließ Ikhnaton das von Amon beherrschte Theben und erbaute sich stromabwärts eine neue Residenz, die er Akhetaton (Horizont des Aton) nannte. Ihre Trümmerstätte heißt heute Tell-el-AmarnaDort wurde 1887 die für die Geschichtskenntnis so wichtige Korrespondenz der ägyptischen Könige mit den Freunden und Vasallen in Asien gefunden..</w:t>
        </w:r>
      </w:hyperlink>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lastRenderedPageBreak/>
        <w:t xml:space="preserve">Die Verfolgung des Königs traf Amon am härtesten, aber nicht ihn allein. Überall im Reiche wurden die Tempel geschlossen, der Gottesdienst untersagt, die Tempelgüter beschlagnahmt. Ja, der Eifer des Königs ging so weit, daß er die alten Denkmäler untersuchen ließ, um das Wort »Gott« in ihnen auszumerzen, wenn es in der Mehrzahl gebraucht war </w:t>
      </w:r>
      <w:hyperlink r:id="rId1318"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Breasted (1906, p. 363).</w:t>
        </w:r>
      </w:hyperlink>
      <w:r w:rsidRPr="00892712">
        <w:rPr>
          <w:rFonts w:ascii="Garamond" w:hAnsi="Garamond" w:cs="Arial"/>
          <w:color w:val="000000"/>
          <w:lang w:val="en-GB"/>
        </w:rPr>
        <w:t>. Es ist nicht zu verwundern, daß diese Maßnahmen Ikhnatons eine Stimmung fanatischer Rachsucht bei der unterdrückten Priesterschaft und beim unbefriedigten Volk hervorriefen, die sich nach des Königs Tode frei betätigen konnte. Die Atonreligion war nicht populär geworden, war wahrscheinlich auf einen kleinen Kreis um seine Person beschränkt geblieben. Der Ausgang Ikhnatons bleibt für uns in Dunkel gehüllt. Wir hören von einigen kurzlebigen, schattenhaften Nachfolgern aus seiner Familie. Schon sein Schwiegersohn Tutankhaton wurde genötigt, nach Theben zurückzukehren und in seinem Namen den Gott Aton durch Amon zu ersetzen. Dann folgte eine Zeit der Anarchie, bis es dem Feldherrn Haremhab 1350 gelang, die Ordnung wiederherzustellen. Die glorreiche 18te Dynastie war erloschen, gleichzeitig deren Eroberungen in Nubien und Asien verlorengegangen. In dieser trüben Zwischenzeit waren die alten Religionen Ägyptens wieder eingesetzt worden. Die Atonreligion war abgetan, die Residenz Ikhnatons zerstört und geplündert, sein Andenken als das eines Verbrechers geächtet.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Es dient einer bestimmten Absicht, wenn wir nun einige Punkte aus der negativen Charakteristik der Atonreligion herausheben. Zunächst, daß alles Mythische, Magische und Zauberische von ihr ausgeschlossen ist </w:t>
      </w:r>
      <w:hyperlink r:id="rId1319"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Weigall (1922, p. 120–21) sagt, Ikhnaton wollte nichts von einer Hölle wissen, gegen deren Schrecken man sich durch ungezählte Zauberformeln schützen sollte. » </w:t>
        </w:r>
        <w:r w:rsidRPr="00892712">
          <w:rPr>
            <w:rStyle w:val="innerfusslink3"/>
            <w:rFonts w:ascii="Garamond" w:hAnsi="Garamond" w:cs="Arial"/>
            <w:b/>
            <w:bCs/>
            <w:i/>
            <w:iCs/>
            <w:lang w:val="en-GB"/>
          </w:rPr>
          <w:t>Akhnaton flung all these formulae into the fire. Djins, bogies, spirits, monsters, demigods, demons and Osiris himself with all his court, were swept into the blaze and reduced to ashes.</w:t>
        </w:r>
        <w:r w:rsidRPr="00892712">
          <w:rPr>
            <w:rStyle w:val="innerfusslink3"/>
            <w:rFonts w:ascii="Garamond" w:hAnsi="Garamond" w:cs="Arial"/>
            <w:b/>
            <w:bCs/>
            <w:lang w:val="en-GB"/>
          </w:rPr>
          <w:t>«</w:t>
        </w:r>
      </w:hyperlink>
      <w:r w:rsidRPr="00892712">
        <w:rPr>
          <w:rFonts w:ascii="Garamond" w:hAnsi="Garamond" w:cs="Arial"/>
          <w:color w:val="000000"/>
        </w:rPr>
        <w:t xml:space="preserve">. Sodann die Art der Darstellung des Sonnengottes, nicht mehr wie in früher Zeit durch eine kleine Pyramide und einen Falken, sondern, was beinahe nüchtern zu nennen ist, durch eine runde Scheibe, von der Strahlen ausgehen, die in menschlichen Händen endigen. </w:t>
      </w:r>
      <w:r w:rsidRPr="00892712">
        <w:rPr>
          <w:rFonts w:ascii="Garamond" w:hAnsi="Garamond" w:cs="Arial"/>
          <w:color w:val="000000"/>
          <w:lang w:val="en-GB"/>
        </w:rPr>
        <w:t xml:space="preserve">Trotz aller Kunstfreudigkeit der Amarnaperiode ist eine andere Darstellung des Sonnengottes, ein persönliches Bild des Aton, nicht gefunden worden, und man darf es zuversichtlich sagen, es wird nicht gefunden werden </w:t>
      </w:r>
      <w:hyperlink r:id="rId1320"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A. Weigall (1922, p. 103): » </w:t>
        </w:r>
        <w:r w:rsidRPr="00892712">
          <w:rPr>
            <w:rStyle w:val="innerfusslink3"/>
            <w:rFonts w:ascii="Garamond" w:hAnsi="Garamond" w:cs="Arial"/>
            <w:b/>
            <w:bCs/>
            <w:i/>
            <w:iCs/>
            <w:lang w:val="en-GB"/>
          </w:rPr>
          <w:t>Akhnaton did not permit any graven image to be made of the Aton. The True God, said the King, had no form; and he held to this opinion throughout his life.</w:t>
        </w:r>
        <w:r w:rsidRPr="00892712">
          <w:rPr>
            <w:rStyle w:val="innerfusslink3"/>
            <w:rFonts w:ascii="Garamond" w:hAnsi="Garamond" w:cs="Arial"/>
            <w:b/>
            <w:bCs/>
            <w:lang w:val="en-GB"/>
          </w:rPr>
          <w:t>«.</w:t>
        </w:r>
      </w:hyperlink>
    </w:p>
    <w:p w:rsidR="00032727" w:rsidRPr="00032727" w:rsidRDefault="00032727" w:rsidP="00032727">
      <w:pPr>
        <w:shd w:val="clear" w:color="auto" w:fill="FFFFFF"/>
        <w:spacing w:before="120" w:after="120" w:line="124" w:lineRule="atLeast"/>
        <w:rPr>
          <w:rStyle w:val="fusslink"/>
          <w:rFonts w:ascii="Garamond" w:hAnsi="Garamond" w:cs="Arial"/>
          <w:color w:val="8B0000"/>
          <w:lang w:val="en-US"/>
        </w:rPr>
      </w:pPr>
      <w:r w:rsidRPr="00892712">
        <w:rPr>
          <w:rFonts w:ascii="Garamond" w:hAnsi="Garamond" w:cs="Arial"/>
          <w:color w:val="000000"/>
          <w:lang w:val="en-GB"/>
        </w:rPr>
        <w:t xml:space="preserve">Endlich das völlige Schweigen über den Totengott Osiris und das Totenreich. Weder die Hymnen noch die Grabinschriften wissen etwas von dem, was dem Herzen des Ägypters vielleicht am nächsten lag. Der Gegensatz zur Volksreligion kann nicht deutlicher veranschaulicht werden </w:t>
      </w:r>
      <w:hyperlink r:id="rId1321"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Erman (1905, p. 70): »vom Osiris und seinem Reich sollte man nichts mehr hören«. – Breasted (1934, p. 291): » </w:t>
        </w:r>
        <w:r w:rsidRPr="00892712">
          <w:rPr>
            <w:rStyle w:val="innerfusslink3"/>
            <w:rFonts w:ascii="Garamond" w:hAnsi="Garamond" w:cs="Arial"/>
            <w:b/>
            <w:bCs/>
            <w:i/>
            <w:iCs/>
            <w:lang w:val="en-GB"/>
          </w:rPr>
          <w:t>Osiris is completely ignored. He is never mentioned in any record of Ikhnaton or in any of the tombs at Amarna.</w:t>
        </w:r>
        <w:r w:rsidRPr="00892712">
          <w:rPr>
            <w:rStyle w:val="innerfusslink3"/>
            <w:rFonts w:ascii="Garamond" w:hAnsi="Garamond" w:cs="Arial"/>
            <w:b/>
            <w:bCs/>
            <w:lang w:val="en-GB"/>
          </w:rPr>
          <w:t>«.</w:t>
        </w:r>
      </w:hyperlink>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(3)</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möchten jetzt den Schluß wagen: Wenn Moses ein Ägypter war und wenn er den Juden seine eigene Religion übermittelte, so war es die des Ikhnaton, die Atonreligion.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haben vorhin die jüdische Religion mit der ägyptischen Volksreligion verglichen und die Gegensätzlichkeit zwischen beiden festgestellt. Nun sollen wir einen Vergleich der jüdischen mit der Atonreligion anstellen, in der Erwartung, die ursprüngliche Identität der beiden zu erweisen. Wir wissen, daß uns keine leichte Aufgabe gestellt ist. Von der Atonreligion wissen wir dank der Rachsucht der Amonpriester vielleicht zu wenig. Die mosaische Religion kennen wir nur in einer Endgestaltung, wie sie etwa 800 Jahre später in nachexilischer Zeit von der jüdischen Priesterschaft fixiert wurde. Sollten wir trotz dieser Ungunst des Materials einzelne Anzeichen finden, die unserer Annahme günstig sind, so werden wir sie hoch einschätzen dürfen.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Es gäbe einen kurzen Weg zum Erweis unserer These, daß die mosaische Religion nichts anderes ist als die des Aton, nämlich über ein Geständnis, eine Proklamation. Aber ich fürchte, man wird uns sagen, daß dieser Weg nicht gangbar ist. Das jüdische Glaubensbekenntnis lautet bekanntlich: »Schema Jisroel Adonai Elohenu Adonai Echod.« Wenn der Name des ägyptischen Aton (oder Atum) nicht nur zufällig an das hebräische Wort Adonai und den syrischen Gottesnamen Adonis anklingt, sondern infolge urzeitlicher Sprach- und Sinngemeinschaft, so könnte man jene jüdische Formel übersetzen: »Höre Israel, unser Gott Aton (Adonai) ist ein einziger Gott.« Ich bin leider völlig inkompetent, um diese Frage zu beantworten, konnte auch nur wenig darüber in der Literatur finden </w:t>
      </w:r>
      <w:hyperlink r:id="rId1322"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Nur einige Stellen bei Weigall (1922, </w:t>
        </w:r>
        <w:r w:rsidRPr="00892712">
          <w:rPr>
            <w:rStyle w:val="innerfusslink3"/>
            <w:rFonts w:ascii="Garamond" w:hAnsi="Garamond" w:cs="Arial"/>
            <w:b/>
            <w:bCs/>
            <w:lang w:val="en-GB"/>
          </w:rPr>
          <w:lastRenderedPageBreak/>
          <w:t>p. 12 und 19): »Der Gott Atum, der Re als die untergehende Sonne bezeichnete, war vielleicht gleichen Ursprungs wie der in Nordsyrien allgemein verehrte Aton, und eine ausländische Königin sowie ihr Gefolge mag sich darum eher zu Heliopolis hingezogen gefühlt haben als zu Theben.«</w:t>
        </w:r>
      </w:hyperlink>
      <w:r w:rsidRPr="00892712">
        <w:rPr>
          <w:rFonts w:ascii="Garamond" w:hAnsi="Garamond" w:cs="Arial"/>
          <w:color w:val="000000"/>
          <w:lang w:val="en-GB"/>
        </w:rPr>
        <w:t>, aber wahrscheinlich darf man es sich nicht so leicht machen. Übrigens werden wir auf die Probleme des Gottesnamens noch einmal zurückkommen müssen.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Ähnlichkeiten wie die Verschiedenheiten der beiden Religionen sind leicht ersichtlich, ohne uns viel Aufklärung zu bringen. Beide sind Formen eines strengen Monotheismus, und man wird von vornherein geneigt sein, was an ihnen Übereinstimmung ist, auf diesen Grundcharakter zurückzuführen. Der jüdische Monotheismus benimmt sich in manchen Punkten noch schroffer als der ägyptische, z. B. wenn er bildliche Darstellungen überhaupt verbietet. Der wesentlichste Unterschied zeigt sich – vom Gottesnamen abgesehen – darin, daß die jüdische Religion völlig von der Sonnenverehrung abgeht, an die sich die ägyptische noch angelehnt hatte. Beim Vergleich mit der ägyptischen Volksreligion hatten wir den Eindruck empfangen, daß außer dem prinzipiellen Gegensatz ein Moment von absichtlichem Widerspruch an der Verschiedenheit der beiden Religionen beteiligt wäre. Dieser Eindruck erscheint nun als berechtigt, wenn wir im Vergleich die jüdische durch die Atonreligion ersetzen, die Ikhnaton, wie wir wissen, in absichtlicher Feindseligkeit gegen die Volksreligion entwickelt hat. Wir hatten uns mit Recht darüber verwundert, daß die jüdische Religion vom Jenseits und vom Leben nach dem Tode nichts wissen will, denn eine solche Lehre wäre mit dem strengsten Monotheismus vereinbar. Diese Verwunderung schwindet, wenn wir von der jüdischen auf die Atonreligion zurückgehen und annehmen, daß diese Ablehnung von dort her übernommen worden ist, denn für Ikhnaton war sie eine Notwendigkeit bei der Bekämpfung der Volksreligion, in der der Totengott Osiris eine vielleicht größere Rolle spielte als irgendein Gott der Oberwelt. Die Übereinstimmung der jüdischen mit der Atonreligion in diesem wichtigen Punkte ist das erste starke Argument zugunsten unserer These. Wir werden hören, daß es nicht das einzige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Moses hat den Juden nicht nur eine neue Religion gegeben; man kann auch mit gleicher Bestimmtheit behaupten, daß er die Sitte der Beschneidung bei ihnen eingeführt hat. Diese Tatsache hat eine entscheidende Bedeutung für unser Problem und ist kaum je gewürdigt worden. Der biblische Bericht widerspricht ihr zwar mehrfach, er führt einerseits die Beschneidung in die Urväterzeit zurück als Zeichen des Bundes zwischen Gott und Abraham, anderseits erzählt er an einer ganz besonders dunkeln Stelle, daß Gott Moses zürnte, weil er den geheiligten Gebrauch vernachlässigt hatte, daß er ihn darum töten wollte und daß Moses' Ehefrau, eine Midianiterin, den bedrohten Mann durch rasche Ausführung der Operation vor Gottes Zorn rettete. Aber dies sind Entstellungen, die uns nicht irremachen dürfen; wir werden später Einsicht in ihre Motive gewinnen. Es bleibt bestehen, daß es auf die Frage, woher die Sitte der Beschneidung zu den Juden kam, nur eine Antwort gibt: aus Ägypten. Herodot, der »Vater der Geschichte«, teilt uns mit, daß die Sitte der Beschneidung in Ägypten seit langen Zeiten heimisch war, und seine Angaben sind durch die Befunde an Mumien, ja durch Darstellungen an den Wänden von Gräbern bestätigt worden. Kein anderes Volk des östlichen Mittelmeeres hat, soviel wir wissen, diese Sitte geübt; von den Semiten, Babyloniern, Sumerern ist es sicher anzunehmen, daß sie unbeschnitten waren. Von den Einwohnern Kanaans sagt es die biblische Geschichte selbst; es ist die Voraussetzung für den Ausgang des Abenteuers der Tochter Jakobs mit dem Prinzen von Sichem </w:t>
      </w:r>
      <w:hyperlink r:id="rId1323"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Wenn wir mit der biblischen Tradition so selbstherrlich und willkürlich verfahren, sie zur Bestätigung heranziehen, wo sie uns taugt, und sie unbedenklich verwerfen, wo sie uns widerspricht, so wissen wir sehr wohl, daß wir uns dadurch ernster methodischer Kritik aussetzen und die Beweiskraft unserer Ausführungen abschwächen. Aber es ist die einzige Art, wie man ein Material behandeln kann, von dem man mit Bestimmtheit weiß, daß seine Zuverlässigkeit durch den Einfluß entstellender Tendenzen schwer geschädigt worden ist. Eine gewisse Rechtfertigung hofft man später zu erwerben, wenn man jenen geheimen Motiven auf die Spur kommt. Sicherheit ist ja überhaupt nicht zu erreichen, und übrigens dürfen wir sagen, daß alle anderen Autoren ebenso verfahren sind.</w:t>
        </w:r>
      </w:hyperlink>
      <w:r w:rsidRPr="00892712">
        <w:rPr>
          <w:rFonts w:ascii="Garamond" w:hAnsi="Garamond" w:cs="Arial"/>
          <w:color w:val="000000"/>
          <w:lang w:val="en-GB"/>
        </w:rPr>
        <w:t xml:space="preserve">. Die Möglichkeit, daß die in Ägypten weilenden Juden die Sitte der Beschneidung auf anderem Wege angenommen haben als im Zusammenhange mit der Religionsstiftung Moses', dürfen wir als völlig haltlos abweisen. Nun halten wir fest, daß die Beschneidung als allgemeine Volkssitte in Ägypten geübt wurde, und nehmen für einen Augenblick die gebräuchliche Annahme hinzu, daß Moses ein Jude war, der seine Volksgenossen vom ägyptischen Frondienst befreien, sie zur Entwicklung einer selbständigen und selbstbewußten nationalen Existenz außer Landes führen wollte – wie es ja wirklich geschah –, welchen Sinn konnte es haben, daß er ihnen zur gleichen Zeit eine beschwerliche Sitte aufdrängte, die sie </w:t>
      </w:r>
      <w:r w:rsidRPr="00892712">
        <w:rPr>
          <w:rFonts w:ascii="Garamond" w:hAnsi="Garamond" w:cs="Arial"/>
          <w:color w:val="000000"/>
          <w:lang w:val="en-GB"/>
        </w:rPr>
        <w:lastRenderedPageBreak/>
        <w:t>gewissermaßen selbst zu Ägyptern machte, die ihre Erinnerung an Ägypten immer wachhalten mußte, während sein Streben doch nur aufs Gegenteil gerichtet sein konnte, daß sein Volk sich dem Lande der Knechtschaft entfremden und die Sehnsucht nach den »Fleischtöpfen Ägyptens« überwinden sollte? Nein, die Tatsache, von der wir ausgingen, und die Annahme, die wir an sie anfügten, sind so unvereinbar miteinander, daß man den Mut zu einer Schlußfolge findet: Wenn Moses den Juden nicht nur eine neue Religion, sondern auch das Gebot der Beschneidung gab, so war er kein Jude, sondern ein Ägypter, und dann war die mosaische Religion wahrscheinlich eine ägyptische, und zwar wegen des Gegensatzes zur Volksreligion die Religion des Aton, mit der die spätere jüdische Religion auch in einigen bemerkenswerten Punkten übereinstimmt.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haben bemerkt, daß unsere Annahme, Moses sei kein Jude, sondern ein Ägypter, ein neues Rätsel schafft. Die Handlungsweise, die beim Juden leicht verständlich schien, wird beim Ägypter unbegreiflich. Wenn wir aber Moses in die Zeit des Ikhnaton versetzen und in Beziehung zu diesem Pharao bringen, dann schwindet dieses Rätsel, und es enthüllt sich die Möglichkeit einer Motivierung, die alle unsere Fragen beantwortet. Gehen wir von der Voraussetzung aus, daß Moses ein vornehmer und hochstehender Mann war, vielleicht wirklich ein Mitglied des königlichen Hauses, wie die Sage von ihm behauptet. Er war gewiß seiner großen Fähigkeiten bewußt, ehrgeizig und tatkräftig; vielleicht schwebte ihm selbst das Ziel vor, eines Tages das Volk zu leiten, das Reich zu beherrschen. Dem Pharao nahe, war er ein überzeugter Anhänger der neuen Religion, deren Grundgedanken er sich zu eigen gemacht hatte. Mit dem Tod des Königs und dem Einsetzen der Reaktion sah er all seine Hoffnungen und Aussichten zerstört; wenn er seine ihm teuren Überzeugungen nicht abschwören wollte, hatte ihm Ägypten nichts mehr zu bieten, er hatte sein Vaterland verloren. In dieser Notlage fand er einen ungewöhnlichen Ausweg. Der Träumer Ikhnaton hatte sich seinem Volk entfremdet und hatte sein Weltreich zerbröckeln lassen. Moses' energischer Natur entsprach der Plan, ein neues Reich zu gründen, ein neues Volk zu finden, dem er die von Ägypten verschmähte Religion zur Verehrung schenken wollte. Es war, wie man erkennt, ein heldenhafter Versuch, das Schicksal zu bestreiten, sich nach zwei Richtungen zu entschädigen für die Verluste, die ihm die Katastrophe Ikhnatons gebracht hatte. Vielleicht war er zur Zeit Statthalter jener Grenzprovinz (Gosen), in der sich (noch zur Zeit der Hyksos?) gewisse semitische Stämme niedergelassen hatten. </w:t>
      </w:r>
      <w:r w:rsidRPr="00892712">
        <w:rPr>
          <w:rFonts w:ascii="Garamond" w:hAnsi="Garamond" w:cs="Arial"/>
          <w:color w:val="000000"/>
        </w:rPr>
        <w:t xml:space="preserve">Diese wählte er aus, daß sie sein neues Volk sein sollten. Eine weltgeschichtliche Entscheidung! </w:t>
      </w:r>
      <w:hyperlink r:id="rId1324" w:anchor="#" w:history="1">
        <w:r w:rsidRPr="00892712">
          <w:rPr>
            <w:rStyle w:val="fusslink"/>
            <w:rFonts w:ascii="Garamond" w:hAnsi="Garamond" w:cs="Arial"/>
            <w:b/>
            <w:bCs/>
            <w:color w:val="003399"/>
          </w:rPr>
          <w:t>[Fußnote]</w:t>
        </w:r>
        <w:r w:rsidRPr="00892712">
          <w:rPr>
            <w:rStyle w:val="innerfusslink3"/>
            <w:rFonts w:ascii="Garamond" w:hAnsi="Garamond" w:cs="Arial"/>
            <w:b/>
            <w:bCs/>
          </w:rPr>
          <w:t xml:space="preserve">Wenn Moses ein hoher Beamter war, so erleichtert dies unser Verständnis für die Führerrolle, die er bei den Juden übernahm; wenn ein Priester, dann lag es ihm nahe, als Religionsstifter aufzutreten. </w:t>
        </w:r>
        <w:r w:rsidRPr="00892712">
          <w:rPr>
            <w:rStyle w:val="innerfusslink3"/>
            <w:rFonts w:ascii="Garamond" w:hAnsi="Garamond" w:cs="Arial"/>
            <w:b/>
            <w:bCs/>
            <w:lang w:val="en-GB"/>
          </w:rPr>
          <w:t xml:space="preserve">In beiden Fällen wäre es die Fortsetzung seines bisherigen Berufs gewesen. </w:t>
        </w:r>
        <w:r w:rsidRPr="00892712">
          <w:rPr>
            <w:rStyle w:val="innerfusslink3"/>
            <w:rFonts w:ascii="Garamond" w:hAnsi="Garamond" w:cs="Arial"/>
            <w:b/>
            <w:bCs/>
          </w:rPr>
          <w:t xml:space="preserve">Ein Prinz des königlichen Hauses konnte leicht beides sein, Statthalter und Priester. In der Erzählung des Flavius Josephus ( </w:t>
        </w:r>
        <w:r w:rsidRPr="00892712">
          <w:rPr>
            <w:rStyle w:val="innerfusslink3"/>
            <w:rFonts w:ascii="Garamond" w:hAnsi="Garamond" w:cs="Arial"/>
            <w:b/>
            <w:bCs/>
            <w:i/>
            <w:iCs/>
          </w:rPr>
          <w:t>Antiquitates judaïcae</w:t>
        </w:r>
        <w:r w:rsidRPr="00892712">
          <w:rPr>
            <w:rStyle w:val="innerfusslink3"/>
            <w:rFonts w:ascii="Garamond" w:hAnsi="Garamond" w:cs="Arial"/>
            <w:b/>
            <w:bCs/>
          </w:rPr>
          <w:t>), der die Aussetzungssage annimmt, aber andere Traditionen als die biblische zu kennen scheint, hat Moses als ägyptischer Feldherr einen siegreichen Feldzug in Äthiopien durchgeführt.</w:t>
        </w:r>
      </w:hyperlink>
      <w:r w:rsidRPr="00892712">
        <w:rPr>
          <w:rFonts w:ascii="Garamond" w:hAnsi="Garamond" w:cs="Arial"/>
          <w:color w:val="000000"/>
        </w:rPr>
        <w:t xml:space="preserve"> </w:t>
      </w:r>
      <w:r w:rsidRPr="00892712">
        <w:rPr>
          <w:rFonts w:ascii="Garamond" w:hAnsi="Garamond" w:cs="Arial"/>
          <w:color w:val="000000"/>
          <w:lang w:val="en-GB"/>
        </w:rPr>
        <w:t>Er setzte sich mit ihnen ins Einvernehmen, stellte sich an ihre Spitze, besorgte ihre Abwanderung »mit starker Hand«. In vollem Gegensatz zur biblischen Tradition sollte man annehmen, daß sich dieser Auszug friedlich und ohne Verfolgung vollzog. Die Autorität Moses' ermöglichte ihn, und eine Zentralgewalt, die ihn hätte verhindern wollen, war damals nicht vorhanden.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Zufolge dieser unserer Konstruktion würde der Auszug aus Ägypten in die Zeit zwischen 1358 und 1350 fallen, d. h. nach dem Tode Ikhnatons und </w:t>
      </w:r>
      <w:r w:rsidRPr="00032727">
        <w:rPr>
          <w:rFonts w:ascii="Garamond" w:hAnsi="Garamond" w:cs="Arial"/>
          <w:i/>
          <w:iCs/>
          <w:color w:val="000000"/>
          <w:lang w:val="en-GB"/>
        </w:rPr>
        <w:t>vor</w:t>
      </w:r>
      <w:r w:rsidRPr="00032727">
        <w:rPr>
          <w:rFonts w:ascii="Garamond" w:hAnsi="Garamond" w:cs="Arial"/>
          <w:color w:val="000000"/>
          <w:lang w:val="en-GB"/>
        </w:rPr>
        <w:t xml:space="preserve"> der Herstellung der staatlichen Autorität durch Haremhab </w:t>
      </w:r>
      <w:hyperlink r:id="rId1325" w:anchor="#" w:history="1">
        <w:r w:rsidRPr="00032727">
          <w:rPr>
            <w:rStyle w:val="fusslink"/>
            <w:rFonts w:ascii="Garamond" w:hAnsi="Garamond" w:cs="Arial"/>
            <w:b/>
            <w:bCs/>
            <w:color w:val="003399"/>
            <w:lang w:val="en-GB"/>
          </w:rPr>
          <w:t>[Fußnote]</w:t>
        </w:r>
        <w:r w:rsidRPr="00032727">
          <w:rPr>
            <w:rStyle w:val="innerfusslink3"/>
            <w:rFonts w:ascii="Garamond" w:hAnsi="Garamond" w:cs="Arial"/>
            <w:b/>
            <w:bCs/>
            <w:lang w:val="en-GB"/>
          </w:rPr>
          <w:t>Das wäre etwa ein Jahrhundert früher, als die meisten Historiker annehmen, die ihn in die 19te Dynastie unter Merneptah verlegen. Vielleicht etwas später, denn die offizielle Geschichtsschreibung scheint das Interregnum in die Regierungszeit Haremhabs eingerechnet zu haben.</w:t>
        </w:r>
      </w:hyperlink>
      <w:r w:rsidRPr="00032727">
        <w:rPr>
          <w:rFonts w:ascii="Garamond" w:hAnsi="Garamond" w:cs="Arial"/>
          <w:color w:val="000000"/>
          <w:lang w:val="en-GB"/>
        </w:rPr>
        <w:t xml:space="preserve">. Das Ziel der Wanderung konnte nur das Land Kanaan sein. Dort waren nach dem Zusammenbruch der ägyptischen Herrschaft Scharen von kriegerischen Aramäern eingebrochen, erobernd und plündernd, und hatten so gezeigt, wo ein tüchtiges Volk sich neuen Landbesitz holen konnte. </w:t>
      </w:r>
      <w:r w:rsidRPr="00892712">
        <w:rPr>
          <w:rFonts w:ascii="Garamond" w:hAnsi="Garamond" w:cs="Arial"/>
          <w:color w:val="000000"/>
          <w:lang w:val="en-GB"/>
        </w:rPr>
        <w:t xml:space="preserve">Wir kennen diese Krieger aus den Briefen, die 1887 im Archiv der Ruinenstadt Amarna gefunden wurden. Sie werden dort </w:t>
      </w:r>
      <w:r w:rsidRPr="00892712">
        <w:rPr>
          <w:rFonts w:ascii="Garamond" w:hAnsi="Garamond" w:cs="Arial"/>
          <w:i/>
          <w:iCs/>
          <w:color w:val="000000"/>
          <w:lang w:val="en-GB"/>
        </w:rPr>
        <w:t>Habiru</w:t>
      </w:r>
      <w:r w:rsidRPr="00892712">
        <w:rPr>
          <w:rFonts w:ascii="Garamond" w:hAnsi="Garamond" w:cs="Arial"/>
          <w:color w:val="000000"/>
          <w:lang w:val="en-GB"/>
        </w:rPr>
        <w:t xml:space="preserve"> genannt, und der Name ist, man weiß nicht wie, auf die später kommenden jüdischen Eindringlinge – </w:t>
      </w:r>
      <w:r w:rsidRPr="00892712">
        <w:rPr>
          <w:rFonts w:ascii="Garamond" w:hAnsi="Garamond" w:cs="Arial"/>
          <w:i/>
          <w:iCs/>
          <w:color w:val="000000"/>
          <w:lang w:val="en-GB"/>
        </w:rPr>
        <w:t>Hebräer</w:t>
      </w:r>
      <w:r w:rsidRPr="00892712">
        <w:rPr>
          <w:rFonts w:ascii="Garamond" w:hAnsi="Garamond" w:cs="Arial"/>
          <w:color w:val="000000"/>
          <w:lang w:val="en-GB"/>
        </w:rPr>
        <w:t xml:space="preserve"> – übergegangen, die in den Amarnabriefen nicht gemeint sein können. Südlich von Palästina – in Kanaan – wohnten auch jene Stämme, die die nächsten Verwandten der jetzt aus Ägypten ausziehenden Juden waren. Die Motivierung, die wir für das Ganze des Auszugs erraten haben, deckt auch die Einsetzung der Beschneidung. Man weiß, in welcher Weise sich die Menschen, Völker wie Einzelne, zu diesem uralten, kaum mehr verstandenen Gebrauch verhalten. Denjenigen, die ihn nicht üben, erscheint er sehr befremdlich, und sie grausen sich ein wenig davor – die </w:t>
      </w:r>
      <w:r w:rsidRPr="00892712">
        <w:rPr>
          <w:rFonts w:ascii="Garamond" w:hAnsi="Garamond" w:cs="Arial"/>
          <w:color w:val="000000"/>
          <w:lang w:val="en-GB"/>
        </w:rPr>
        <w:lastRenderedPageBreak/>
        <w:t xml:space="preserve">anderen aber, die die Beschneidung angenommen haben, sind stolz darauf. Sie fühlen sich durch sie erhöht, wie geadelt, und schauen verächtlich auf die anderen herab, die ihnen als unrein gelten. Noch heute beschimpft der Türke den Christen als »unbeschnittenen Hund«. Es ist glaublich, daß Moses, der als Ägypter selbst beschnitten war, diese Einstellung teilte. </w:t>
      </w:r>
      <w:r w:rsidRPr="00892712">
        <w:rPr>
          <w:rFonts w:ascii="Garamond" w:hAnsi="Garamond" w:cs="Arial"/>
          <w:color w:val="000000"/>
        </w:rPr>
        <w:t xml:space="preserve">Die Juden, mit denen er das Vaterland verließ, sollten ihm ein besserer Ersatz für die Ägypter sein, die er im Lande zurückließ. Auf keinen Fall durften sie hinter diesen zurückstehen. Ein »geheiligtes Volk« wollte er aus ihnen machen, wie noch ausdrücklich im biblischen Text gesagt wird, und als Zeichen solcher Weihe führte er auch bei ihnen die Sitte ein, die sie den Ägyptern mindestens gleichstellte. Auch konnte es ihm nur willkommen sein, wenn sie durch ein solches Zeichen isoliert und von der Vermischung mit den Fremdvölkern abgehalten wurden, zu denen ihre Wanderung sie führen sollte, ähnlich wie die Ägypter selbst sich von allen Fremden abgesondert hatten </w:t>
      </w:r>
      <w:hyperlink r:id="rId1326" w:anchor="#" w:history="1">
        <w:r w:rsidRPr="00892712">
          <w:rPr>
            <w:rStyle w:val="fusslink"/>
            <w:rFonts w:ascii="Garamond" w:hAnsi="Garamond" w:cs="Arial"/>
            <w:b/>
            <w:bCs/>
            <w:color w:val="003399"/>
          </w:rPr>
          <w:t>[Fußnote]</w:t>
        </w:r>
        <w:r w:rsidRPr="00892712">
          <w:rPr>
            <w:rStyle w:val="innerfusslink3"/>
            <w:rFonts w:ascii="Garamond" w:hAnsi="Garamond" w:cs="Arial"/>
            <w:b/>
            <w:bCs/>
          </w:rPr>
          <w:t xml:space="preserve">Herodot, der Ägypten um 450 v. Chr. besuchte, gibt in seinem Reisebericht eine Charakteristik des ägyptischen Volkes, die eine erstaunliche Ähnlichkeit mit bekannten Zügen des späteren Judentums aufzeigt: »Sie sind überhaupt in allen Punkten frömmer als die übrigen Menschen, von denen sie sich auch schon durch manche ihrer Sitten trennen. So durch die Beschneidung, die sie zuerst, und zwar aus Reinlichkeitsgründen, eingeführt haben; des weiteren durch ihren Abscheu vor den Schweinen, der gewiß damit zusammenhängt, daß Set als ein schwarzes Schwein den Horus verwundet hatte, und endlich und am meisten durch ihre Ehrfurcht vor den Kühen, die sie nie essen oder opfern würden, weil sie damit die kuhhörnige Isis beleidigen würden. Deshalb würde kein Ägypter und keine Ägypterin je einen Griechen küssen oder sein Messer, seinen Bratspieß oder seinen Kessel gebrauchen oder von dem Fleisch eines (sonst) reinen Ochsen essen, das mit einem griechischen Messer geschnitten wäre ... sie sahen in hochmütiger Beschränktheit auf die anderen Völker herab, die unrein waren und den Göttern nicht so nahe standen wie sie.« </w:t>
        </w:r>
        <w:r w:rsidRPr="00892712">
          <w:rPr>
            <w:rStyle w:val="innerfusslink3"/>
            <w:rFonts w:ascii="Garamond" w:hAnsi="Garamond" w:cs="Arial"/>
            <w:b/>
            <w:bCs/>
            <w:lang w:val="en-GB"/>
          </w:rPr>
          <w:t xml:space="preserve">(Nach Erman, 1905, p. 181.) </w:t>
        </w:r>
        <w:r w:rsidRPr="00892712">
          <w:rPr>
            <w:rFonts w:ascii="Garamond" w:hAnsi="Garamond" w:cs="Arial"/>
            <w:b/>
            <w:bCs/>
            <w:color w:val="000000"/>
            <w:lang w:val="en-GB"/>
          </w:rPr>
          <w:br/>
        </w:r>
        <w:r w:rsidRPr="00892712">
          <w:rPr>
            <w:rFonts w:ascii="Garamond" w:hAnsi="Garamond" w:cs="Arial"/>
            <w:b/>
            <w:bCs/>
            <w:color w:val="000000"/>
            <w:lang w:val="en-GB"/>
          </w:rPr>
          <w:br/>
        </w:r>
        <w:r w:rsidRPr="00892712">
          <w:rPr>
            <w:rStyle w:val="innerfusslink3"/>
            <w:rFonts w:ascii="Garamond" w:hAnsi="Garamond" w:cs="Arial"/>
            <w:b/>
            <w:bCs/>
            <w:lang w:val="en-GB"/>
          </w:rPr>
          <w:t>Wir wollen natürlich Parallelen hiezu aus dem Leben des indischen Volkes nicht vergessen. Wer hat es übrigens dem jüdischen Dichter H. Heine im 19. Jahrhundert n. Chr. eingegeben, seine Religion zu beklagen als »die aus dem Niltal mitgeschleppte Plage, den altägyptisch ungesunden Glauben«?</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jüdische Tradition aber benahm sich später, als wäre sie durch die Schlußfolge bedrückt, die wir vorhin entwickelt haben. Wenn man zugestand, daß die Beschneidung eine ägyptische Sitte war, die Moses eingeführt hatte, so war das beinahe so viel wie eine Anerkennung, daß die Religion, die Moses ihnen überliefert, auch eine ägyptische gewesen war. Aber man hatte gute Gründe, diese Tatsache zu verleugnen; folglich mußte man auch dem Sachverhalt in betreff der Beschneidung widersprechen.</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(4)</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An dieser Stelle erwarte ich den Vorwurf, daß ich meine Konstruktion, die Moses, den Ägypter, in die Zeit von Ikhnaton versetzt, seinen Entschluß, sich des Judenvolkes anzunehmen, aus den derzeitigen politischen Zuständen im Lande ableitet, die Religion, die er seinen Schützlingen schenkt oder auferlegt, als die des Aton erkennt, die eben in Ägypten selbst zusammengebrochen war, daß ich diesen Aufbau von Mutmaßungen also mit allzugroßer, im Material nicht begründeter Bestimmtheit vorgetragen habe. Ich meine, der Vorwurf ist unberechtigt. Ich habe das Moment des Zweifels bereits in der Einleitung betont, es gleichsam vor die Klammer gesetzt, und durfte es mir dann ersparen, es bei jedem Posten innerhalb der Klammer zu wiederholen.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Einige meiner eigenen kritischen Bemerkungen dürfen die Erörterung fortsetzen. Das Kernstück unserer Aufstellung, die Abhängigkeit des jüdischen Monotheismus von der monotheistischen Episode in der Geschichte Ägyptens, ist von verschiedenen Autoren geahnt und angedeutet worden. Ich erspare mir, diese Stimmen hier wiederzugeben, da keine von ihnen anzugeben weiß, auf welchem Weg sich diese Beeinflussung vollzogen haben kann. Bleibt sie für uns an die Person des Moses geknüpft, so sind auch dann andere Möglichkeiten als die von uns bevorzugte zu erwägen. Es ist nicht anzunehmen, daß der Sturz der offiziellen Atonreligion die monotheistische Strömung in Ägypten völlig zu Ende gebracht hat. Die Priesterschule in On, von der sie ausgegangen war, überstand die Katastrophe und mochte noch Generationen nach Ikhnaton in den Bann ihrer Gedankengänge ziehen. Somit ist die Tat des Moses denkbar, auch wenn er nicht zur Zeit Ikhnatons lebte und nicht dessen persönlichen Einfluß erfahren hatte, wenn er nur Anhänger oder gar Mitglied der Schule von On war. Diese Möglichkeit würde den </w:t>
      </w:r>
      <w:r w:rsidRPr="00892712">
        <w:rPr>
          <w:rFonts w:ascii="Garamond" w:hAnsi="Garamond" w:cs="Arial"/>
          <w:color w:val="000000"/>
          <w:lang w:val="en-GB"/>
        </w:rPr>
        <w:lastRenderedPageBreak/>
        <w:t>Zeitpunkt des Auszugs verschieben und näher an das gewöhnlich angenommene Datum (im 13. Jahrhundert) heranrücken; sie hat aber sonst nichts, was sie empfiehlt. Die Einsicht in die Motive Moses' ginge verloren, und die Erleichterung des Auszugs durch die im Lande herrschende Anarchie fiele weg. Die nächsten Könige der 19ten Dynastie haben ein starkes Regiment geführt. Alle für den Auszug günstigen äußeren und inneren Bedingungen treffen nur in der Zeit unmittelbar nach dem Tode des Ketzerkönigs zusammen.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Juden besitzen eine reichhaltige außerbiblische Literatur, in der man die Sagen und Mythen findet, die sich im Verlauf der Jahrhunderte um die großartige Figur des ersten Führers und Religionsstifters gebildet, sie verklärt und verdunkelt haben. In diesem Material mögen Stücke guter Tradition versprengt sein, die in den fünf Büchern keinen Raum gefunden haben. Eine solche Sage schildert in ansprechender Weise, wie sich der Ehrgeiz des Mannes Moses schon in seiner Kindheit geäußert. Als ihn der Pharao einmal in die Arme nahm und im Spiele hochhob, riß ihm das dreijährige Knäblein die Krone vom Haupt und setzte sie seinem eigenen auf. Der König erschrak über dies Vorzeichen und versäumte nicht, seine Weisen darüber zu befragen </w:t>
      </w:r>
      <w:hyperlink r:id="rId1327"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Dieselbe Anekdote in leichter Abänderung bei Josephus.</w:t>
        </w:r>
      </w:hyperlink>
      <w:r w:rsidRPr="00892712">
        <w:rPr>
          <w:rFonts w:ascii="Garamond" w:hAnsi="Garamond" w:cs="Arial"/>
          <w:color w:val="000000"/>
          <w:lang w:val="en-GB"/>
        </w:rPr>
        <w:t>. Ein andermal wird von siegreichen Kriegstaten erzählt, die er als ägyptischer Feldherr in Äthiopien vollführt, und daran geknüpft, daß er aus Ägypten floh, weil er den Neid einer Partei am Hofe oder des Pharao selbst zu fürchten hatte. Die biblische Darstellung selbst legt Moses einige Züge bei, denen man Glaubwürdigkeit zusprechen möchte. Sie beschreibt ihn als zornmütig, leicht aufbrausend, wie er in der Entrüstung den brutalen Aufseher erschlägt, der einen jüdischen Arbeiter mißhandelt, wie er in der Erbitterung über den Abfall des Volkes die Gesetzestafeln zerschmettert, die er vom Berge Gottes geholt, ja Gott selbst straft ihn am Ende wegen einer Tat der Ungeduld; es wird nicht gesagt, was sie war. Da eine solche Eigenschaft nicht der Verherrlichung dient, könnte sie historischer Wahrheit entsprechen. Man kann auch die Möglichkeit nicht abweisen, daß manche Charakterzüge, die die Juden in die frühe Vorstellung ihres Gottes eintrugen, indem sie ihn eifervoll, streng und unerbittlich hießen, im Grunde von der Erinnerung an Moses hergenommen waren, denn in Wirklichkeit hatte nicht ein unsichtbarer Gott, hatte der Mann Moses sie aus Ägypten herausgeführt.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Ein anderer ihm zugeschriebener Zug hat besonderen Anspruch auf unser Interesse. Moses soll »schwer von Sprache« gewesen sein, also eine Sprachhemmung oder einen Sprachfehler besessen haben, so daß er bei den angeblichen Verhandlungen mit dem Pharao der Unterstützung des Aaron bedurfte, der sein Bruder genannt wird. Das mag wiederum historische Wahrheit sein und wäre ein erwünschter Beitrag zur Belebung der Physiognomie des großen Mannes. Es kann aber auch eine andere und wichtigere Bedeutung haben. Der Bericht mag in leichter Entstellung der Tatsache gedenken, daß Moses ein Anderssprachiger war, der mit seinen semitischen Neu-Ägyptern nicht ohne Dolmetsch verkehren konnte, wenigstens nicht zu Anfang ihrer Beziehungen. Also eine neue Bestätigung der These: Moses war ein Ägypter.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Nun aber, scheint es, ist unsere Arbeit zu einem vorläufigen Ende gekommen. Aus unserer Annahme, daß Moses ein Ägypter war, sei sie erwiesen oder nicht, können wir zunächst nichts weiter ableiten. Den biblischen Bericht über Moses und den Auszug kann kein Historiker für anderes halten als für fromme Dichtung, die eine entlegene Tradition im Dienste ihrer eigenen Tendenzen umgearbeitet hat. Wie die Tradition ursprünglich gelautet hat, ist uns unbekannt; welches die entstellenden Tendenzen waren, möchten wir gern erraten, werden aber durch die Unkenntnis der historischen Vorgänge im Dunkel erhalten. Daß unsere Rekonstruktion für so manche Prunkstücke der biblischen Erzählung wie die zehn Plagen, den Durchzug durchs Schilfmeer, die feierliche Gesetzgebung am Berge Sinai, keinen Raum hat, dieser Gegensatz kann uns nicht beirren. Aber es kann uns nicht gleichgültig lassen, wenn wir finden, daß wir in Widerspruch zu den Ergebnissen der nüchternen Geschichtsforschung unserer Tage geraten sind.</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Diese neueren Historiker, als deren Vertreter wir Ed. Meyer (1906) anerkennen mögen, schließen sich dem biblischen Bericht in einem entscheidenden Punkte an. Auch sie meinen, daß die jüdischen Stämme, aus denen später das Volk Israel hervorging, zu einem gewissen Zeitpunkt eine neue Religion angenommen haben. Aber dies Ereignis vollzog sich nicht in Ägypten, auch nicht am Fuße eines Berges auf der Sinaihalbinsel, sondern in einer Örtlichkeit, die Merîbat-Qadeš genannt wird, einer durch ihren Reichtum an Quellen und Brunnen ausgezeichneten Oase in dem Landstrich südlich von Palästina zwischen dem östlichen Ausgang der Sinaihalbinsel und dem Westrand von Arabien. Sie übernahmen dort die Verehrung eines Gottes Jahve, wahrscheinlich von dem arabischen Stamm der nahebei wohnenden Midianiter. Vermutlich waren auch andere Nachbarstämme Anhänger dieses Gottes.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lastRenderedPageBreak/>
        <w:t xml:space="preserve">Jahve war sicherlich ein Vulkangott. Nun ist Ägypten bekanntlich frei von Vulkanen, und auch die Berge der Sinaihalbinsel sind nie vulkanisch gewesen; dagegen finden sich Vulkane, die noch bis in späte Zeit tätig gewesen sein mögen, längs des Westrandes Arabiens. Einer dieser Berge muß also der Sinai-Horeb gewesen sein, den man sich als den Wohnsitz Jahves dachte </w:t>
      </w:r>
      <w:hyperlink r:id="rId1328"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An einigen Stellen des biblischen Textes ist noch stehengeblieben, daß Jahve vom Sinai herab nach Merîbat-Qadeš kam.</w:t>
        </w:r>
      </w:hyperlink>
      <w:r w:rsidRPr="00892712">
        <w:rPr>
          <w:rFonts w:ascii="Garamond" w:hAnsi="Garamond" w:cs="Arial"/>
          <w:color w:val="000000"/>
          <w:lang w:val="en-GB"/>
        </w:rPr>
        <w:t xml:space="preserve">. Trotz aller Umarbeitungen, die der biblische Bericht erlitten hat, läßt sich nach Ed. Meyer das ursprüngliche Charakterbild des Gottes rekonstruieren: Er ist ein unheimlicher, blutgieriger Dämon, der bei Nacht umgeht und das Tageslicht scheut </w:t>
      </w:r>
      <w:hyperlink r:id="rId1329"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Meyer (1906, p. 38, 58).</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Der Mittler zwischen Gott und Volk bei dieser Religionsstiftung wird Moses genannt. Er ist Schwiegersohn des midianitischen Priesters Jethro, hütete dessen Herden, als er die göttliche Berufung erfuhr. Er erhält auch in Qadeš den Besuch Jethros, der ihm Unterweisungen gibt.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Ed. Meyer sagt zwar, es sei ihm nie zweifelhaft gewesen, daß die Geschichte vom Aufenthalt in Ägypten und von der Katastrophe der Ägypter irgendeinen historischen Kern enthält </w:t>
      </w:r>
      <w:hyperlink r:id="rId1330"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Meyer (1906, p. 49).</w:t>
        </w:r>
      </w:hyperlink>
      <w:r w:rsidRPr="00892712">
        <w:rPr>
          <w:rFonts w:ascii="Garamond" w:hAnsi="Garamond" w:cs="Arial"/>
          <w:color w:val="000000"/>
          <w:lang w:val="en-GB"/>
        </w:rPr>
        <w:t>, aber er weiß offenbar nicht, wie er die von ihm anerkannte Tatsache unterbringen und verwerten soll. Nur die Sitte der Beschneidung ist er bereit, von Ägypten abzuleiten. Er bereichert unsere frühere Argumentation durch zwei wichtige Hinweise. Erstens, daß Josua das Volk zur Beschneidung auffordert, »um das Höhnen der Ägypter von sich abzuwälzen«, sodann durch das Zitat aus Herodot, daß die Phöniker (wohl die Juden) und die Syrer in Palästina selbst zugeben, die Beschneidung von den Ägyptern gelernt zu habenMeyer (1906, p. 449).. Aber für einen ägyptischen Moses hat er wenig übrig. »Der Moses, den wir kennen, ist der Ahnherr der Priester von Qadeš, also eine mit dem Kultus in Beziehung stehende Gestalt der genealogischen Sage, nicht eine geschichtliche Persönlichkeit. Es hat denn auch (abgesehen von denen, die die Tradition in Bausch und Bogen als geschichtliche Wahrheit hinnehmen) noch niemand von denen, die ihn als eine geschichtliche Gestalt behandeln, ihn mit irgendwelchem Inhalt zu erfüllen, ihn als eine konkrete Individualität darzustellen oder etwas anzugeben gewußt, was er geschaffen hätte und was sein geschichtliches Werk wäre.« Meyer (1906, p. 451).</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Dagegen wird er nicht müde, die Beziehung Moses' zu Qadeš und Midian zu betonen. »Die Gestalt des Moses, die mit Midian und den Kultusstätten in der Wüste eng verwachsen ist.« </w:t>
      </w:r>
      <w:hyperlink r:id="rId1331"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Meyer (1906, p. 49).</w:t>
        </w:r>
      </w:hyperlink>
      <w:r w:rsidRPr="00892712">
        <w:rPr>
          <w:rFonts w:ascii="Garamond" w:hAnsi="Garamond" w:cs="Arial"/>
          <w:color w:val="000000"/>
          <w:lang w:val="en-GB"/>
        </w:rPr>
        <w:t xml:space="preserve"> »Diese Gestalt des Mose ist nun mit Qadeš (</w:t>
      </w:r>
      <w:smartTag w:uri="urn:schemas-microsoft-com:office:smarttags" w:element="City">
        <w:smartTag w:uri="urn:schemas-microsoft-com:office:smarttags" w:element="place">
          <w:r w:rsidRPr="00892712">
            <w:rPr>
              <w:rFonts w:ascii="Garamond" w:hAnsi="Garamond" w:cs="Arial"/>
              <w:color w:val="000000"/>
              <w:lang w:val="en-GB"/>
            </w:rPr>
            <w:t>Massa</w:t>
          </w:r>
        </w:smartTag>
      </w:smartTag>
      <w:r w:rsidRPr="00892712">
        <w:rPr>
          <w:rFonts w:ascii="Garamond" w:hAnsi="Garamond" w:cs="Arial"/>
          <w:color w:val="000000"/>
          <w:lang w:val="en-GB"/>
        </w:rPr>
        <w:t xml:space="preserve"> und Merîba) untrennbar verbunden, die Verschwägerung mit dem midianitischen Priester bildet die Ergänzung dazu. Die Verbindung mit dem Exodus dagegen und vollends die Jugendgeschichte sind durchaus sekundär und lediglich die Folge der Einfügung Moses' in eine zusammenhängend fortlaufende Sagengeschichte.« </w:t>
      </w:r>
      <w:hyperlink r:id="rId1332" w:anchor="#" w:history="1">
        <w:r w:rsidRPr="00892712">
          <w:rPr>
            <w:rStyle w:val="fusslink"/>
            <w:rFonts w:ascii="Garamond" w:hAnsi="Garamond" w:cs="Arial"/>
            <w:b/>
            <w:bCs/>
            <w:color w:val="003399"/>
          </w:rPr>
          <w:t>[Fußnote]</w:t>
        </w:r>
        <w:r w:rsidRPr="00892712">
          <w:rPr>
            <w:rStyle w:val="innerfusslink3"/>
            <w:rFonts w:ascii="Garamond" w:hAnsi="Garamond" w:cs="Arial"/>
            <w:b/>
            <w:bCs/>
          </w:rPr>
          <w:t>Meyer (1906, p. 72).</w:t>
        </w:r>
      </w:hyperlink>
      <w:r w:rsidRPr="00892712">
        <w:rPr>
          <w:rFonts w:ascii="Garamond" w:hAnsi="Garamond" w:cs="Arial"/>
          <w:color w:val="000000"/>
        </w:rPr>
        <w:t xml:space="preserve"> Er verweist auch darauf, daß die in der Jugendgeschichte des Moses enthaltenen Motive später sämtlich fallengelassen werden. »Mose in Midian ist nicht mehr ein Ägypter und Enkel des Pharao, sondern ein Hirt, dem Jahve sich offenbart. </w:t>
      </w:r>
      <w:r w:rsidRPr="00892712">
        <w:rPr>
          <w:rFonts w:ascii="Garamond" w:hAnsi="Garamond" w:cs="Arial"/>
          <w:color w:val="000000"/>
          <w:lang w:val="en-GB"/>
        </w:rPr>
        <w:t>In den Erzählungen von den Plagen ist von seinen alten Beziehungen nicht mehr die Rede, so leicht sie sich effektvoll hätten verwerten lassen, und der Befehl, die israelitischen Knaben zu töten, ist vollkommen vergessen. Bei dem Auszug und dem Untergang der Ägypter spielt Mose überhaupt keine Rolle, er wird nicht einmal genannt. Der Heldencharakter, den die Kindheitssage voraussetzt, fehlt dem späteren Mose gänzlich; er ist nur noch der Gottesmann, ein von Jahve mit übernatürlichen Kräften ausgestatteter Wundertäter ...«</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können den Eindruck nicht bestreiten, dieser Moses von Qadeš und Midian, dem die Tradition selbst die Aufrichtung einer ehernen Schlange als Heilgott zuschreiben durfte, ist ein ganz anderer als der von uns erschlossene großherrliche Ägypter, der dem Volk eine Religion eröffnete, in der alle Magie und Zauberei aufs strengste verpönt war. Unser ägyptischer Moses ist vom midianitischen Moses vielleicht nicht weniger verschieden als der universelle Gott Aton von dem auf dem Götterberg hausenden Dämon Jahve. Und wenn wir den Ermittlungen der neueren Historiker irgendein Maß von Glauben schenken, müssen wir uns eingestehen, daß der Faden, den wir von der Annahme her spinnen wollten, Moses sei ein Ägypter gewesen, nun zum zweiten Mal abgerissen ist. Diesmal, wie es scheint, ohne Hoffnung auf Wiederanknüpfung.</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(5)</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Unerwarteterweise findet sich auch hier ein Ausweg. Die Bemühungen, in Moses eine Gestalt zu erkennen, die über den Priester von Qadeš hinausreicht, und die Großartigkeit zu bestätigen, welche die Tradition an ihm rühmt, sind auch nach Ed. Meyer nicht zur Ruhe gekommen (Gressmann u. a.). Im Jahre 1922 hat dann Ed. Sellin eine Entdeckung gemacht, die unser Problem entscheidend beeinflußt </w:t>
      </w:r>
      <w:hyperlink r:id="rId1333"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Ed. Sellin, Mose und seine Bedeutung für die israelitisch-jüdische Religionsgeschichte (1922).. Er fand beim Propheten Hosea (zweite Hälfte des achten Jahrhunderts) die unverkennbaren Anzeichen einer Tradition, die zum Inhalt hat, daß der Religionsstifter Moses in einem Aufstand seines widerspenstigen und halsstarrigen Volkes ein gewaltsames Ende fand. Gleichzeitig wurde die von ihm eingesetzte Religion abgeworfen. Diese Tradition ist aber nicht auf Hosea beschränkt, sie kehrt bei den meisten späteren Propheten wieder, ja, sie ist nach Sellin die Grundlage aller späteren messianischen Erwartungen geworden. Am Ausgang des babylonischen Exils entwickelte sich im jüdischen Volke die Hoffnung, der so schmählich Gemordete werde von den Toten wiederkommen und sein reuiges Volk, vielleicht dieses nicht allein, in das Reich einer dauernden Seligkeit führen. Die naheliegenden Beziehungen zum Schicksal eines späteren Religionsstifters liegen nicht auf unserem Weg.</w:t>
        </w:r>
      </w:hyperlink>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Ich bin natürlich wiederum nicht in der Lage zu entscheiden, ob Sellin die prophetischen Stellen richtig gedeutet hat. Aber wenn er recht hat, so darf man der von ihm erkannten Tradition historische Glaubwürdigkeit zusprechen, denn solche Dinge erdichtet man nicht leicht. Es fehlt an einem greifbaren Motiv dafür; haben sie sich aber wirklich ereignet, so versteht sich leicht, daß man sie vergessen will. Wir brauchen nicht alle Einzelheiten der Tradition anzunehmen. Sellin meint, daß Schittim im Ostjordanland als der Schauplatz der Gewalttat an Moses bezeichnet wird. Wir werden bald erkennen, daß eine solche Lokalität für unsere Überlegungen unannehmbar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entlehnen von Sellin die Annahme, daß der ägyptische Moses von den Juden erschlagen, die von ihm eingeführte Religion aufgegeben wurde. Sie gestattet uns, unsere Fäden weiterzuspinnen, ohne glaubwürdigen Ergebnissen der historischen Forschung zu widersprechen. Aber wir wagen es, uns sonst unabhängig von den Autoren zu halten, selbständig »einherzutreten auf der eigenen Spur«. Der Auszug aus Ägypten bleibt unser Ausgangspunkt. Es muß eine beträchtliche Anzahl von Personen gewesen sein, die mit Moses das Land verließ; ein kleiner Haufe hätte dem ehrgeizigen, auf Großes abzielenden Mann nicht der Mühe gelohnt. Wahrscheinlich hatten die Einwanderer lange genug im Lande geweilt, um sich zu einer ansehnlichen Volkszahl zu entwickeln. Aber wir werden gewiß nicht irren, wenn wir mit der Mehrzahl der Autoren annehmen, daß nur ein Bruchteil des späteren Judenvolkes die Schicksale in Ägypten erfahren hat. Mit anderen Worten, der aus Ägypten zurückgekehrte Stamm vereinigte sich später im Landstrich zwischen Ägypten und Kanaan mit anderen, verwandten Stämmen, die dort seit längerer Zeit ansässig gewesen waren. Ausdruck dieser Vereinigung, aus der das Volk </w:t>
      </w:r>
      <w:smartTag w:uri="urn:schemas-microsoft-com:office:smarttags" w:element="country-region">
        <w:smartTag w:uri="urn:schemas-microsoft-com:office:smarttags" w:element="place">
          <w:r w:rsidRPr="00892712">
            <w:rPr>
              <w:rFonts w:ascii="Garamond" w:hAnsi="Garamond" w:cs="Arial"/>
              <w:color w:val="000000"/>
              <w:lang w:val="en-GB"/>
            </w:rPr>
            <w:t>Israel</w:t>
          </w:r>
        </w:smartTag>
      </w:smartTag>
      <w:r w:rsidRPr="00892712">
        <w:rPr>
          <w:rFonts w:ascii="Garamond" w:hAnsi="Garamond" w:cs="Arial"/>
          <w:color w:val="000000"/>
          <w:lang w:val="en-GB"/>
        </w:rPr>
        <w:t xml:space="preserve"> hervorging, war die Annahme einer neuen, allen Stämmen gemeinsamen Religion, der des Jahve, welches Ereignis sich nach Ed. Meyer unter midianitischem Einfluß in Qadeš vollzog. Darauf fühlte sich das Volk stark genug, seinen Einbruch in </w:t>
      </w:r>
      <w:smartTag w:uri="urn:schemas-microsoft-com:office:smarttags" w:element="place">
        <w:smartTag w:uri="urn:schemas-microsoft-com:office:smarttags" w:element="PlaceName">
          <w:r w:rsidRPr="00892712">
            <w:rPr>
              <w:rFonts w:ascii="Garamond" w:hAnsi="Garamond" w:cs="Arial"/>
              <w:color w:val="000000"/>
              <w:lang w:val="en-GB"/>
            </w:rPr>
            <w:t>das</w:t>
          </w:r>
        </w:smartTag>
        <w:r w:rsidRPr="00892712">
          <w:rPr>
            <w:rFonts w:ascii="Garamond" w:hAnsi="Garamond" w:cs="Arial"/>
            <w:color w:val="000000"/>
            <w:lang w:val="en-GB"/>
          </w:rPr>
          <w:t xml:space="preserve"> </w:t>
        </w:r>
        <w:smartTag w:uri="urn:schemas-microsoft-com:office:smarttags" w:element="PlaceType">
          <w:r w:rsidRPr="00892712">
            <w:rPr>
              <w:rFonts w:ascii="Garamond" w:hAnsi="Garamond" w:cs="Arial"/>
              <w:color w:val="000000"/>
              <w:lang w:val="en-GB"/>
            </w:rPr>
            <w:t>Land</w:t>
          </w:r>
        </w:smartTag>
      </w:smartTag>
      <w:r w:rsidRPr="00892712">
        <w:rPr>
          <w:rFonts w:ascii="Garamond" w:hAnsi="Garamond" w:cs="Arial"/>
          <w:color w:val="000000"/>
          <w:lang w:val="en-GB"/>
        </w:rPr>
        <w:t xml:space="preserve"> Kanaan zu unternehmen. Mit diesem Hergang verträgt es sich nicht, daß die Katastrophe des Moses und seiner Religion im Ostjordanland vorfiel – sie muß lange vor der Vereinigung geschehen sein.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Es ist gewiß, daß recht verschiedene Elemente zum Aufbau des jüdischen Volkes zusammengetreten sind, aber den größten Unterschied unter diesen Stämmen muß es gemacht haben, ob sie den Aufenthalt in Ägypten, und was darauf folgte, miterlebt hatten oder nicht. Mit Rücksicht auf diesen Punkt kann man sagen, die Nation sei aus der Vereinigung von zwei Bestandteilen hervorgegangen, und dieser Tatsache entsprach es, daß sie auch nach einer kurzen Periode politischer Einheit in zwei Stücke, das Reich Israel und das Reich Juda, auseinanderbrach. Die Geschichte liebt solche Wiederherstellungen, in denen spätere Verschmelzungen rückgängig gemacht werden und frühere Trennungen wieder hervortreten. Das eindrucksvollste Beispiel dieser Art schuf bekanntlich die Reformation, als sie die Grenzlinie zwischen dem einst römisch gewesenen und dem unabhängig gebliebenen Germanien nach einem Intervall von mehr als einem Jahrtausend wieder zum Vorschein brachte. Für den Fall des jüdischen Volkes könnten wir eine so getreue Reproduktion des alten Tatbestands nicht erweisen; unsere Kenntnis dieser Zeiten ist zu unsicher, um die Behauptung zu gestatten, im Nordreich hätten sich die von jeher Ansässigen, im Südreich die aus Ägypten Zurückgekehrten wieder zusammengefunden, aber der spätere Zerfall kann auch hier nicht ohne Zusammenhang mit der früheren Verlötung gewesen sein. Die einstigen Ägypter waren wahrscheinlich in ihrer Volkszahl geringer als die anderen, aber sie erwiesen sich als die kulturell Stärkeren; sie übten einen mächtigeren Einfluß auf die weitere Entwicklung des Volkes, weil sie eine Tradition mitbrachten, die den anderen fehlte.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Vielleicht noch etwas anderes, was greifbarer war als eine Tradition. Zu den größten Rätseln der jüdischen Vorzeit gehört die Herkunft der Leviten. Sie werden von einem der zwölf Stämme Israels abgeleitet, vom </w:t>
      </w:r>
      <w:r w:rsidRPr="00892712">
        <w:rPr>
          <w:rFonts w:ascii="Garamond" w:hAnsi="Garamond" w:cs="Arial"/>
          <w:color w:val="000000"/>
          <w:lang w:val="en-GB"/>
        </w:rPr>
        <w:lastRenderedPageBreak/>
        <w:t xml:space="preserve">Stamme Levi, aber keine Tradition hat anzugeben gewagt, wo dieser Stamm ursprünglich saß oder welches Stück des eroberten Landes Kanaan ihm zugewiesen war. Sie besetzen die wichtigsten Priesterposten, aber sie werden doch von den Priestern unterschieden, ein Levit ist nicht notwendig ein Priester; es ist nicht der Name einer Kaste. </w:t>
      </w:r>
      <w:r w:rsidRPr="00892712">
        <w:rPr>
          <w:rFonts w:ascii="Garamond" w:hAnsi="Garamond" w:cs="Arial"/>
          <w:color w:val="000000"/>
        </w:rPr>
        <w:t xml:space="preserve">Unsere Voraussetzung über die Person des Moses legt uns eine Erklärung nahe. Es ist nicht glaubhaft, daß ein großer Herr wie der Ägypter Moses sich unbegleitet zu dem ihm fremden Volk begab. Er brachte gewiß sein Gefolge mit, seine nächsten Anhänger, seine Schreiber, sein Gesinde. Das waren ursprünglich die Leviten. Die Behauptung der Tradition, Moses war ein Levit, scheint eine durchsichtige Entstellung des Sachverhalts: Die Leviten waren die Leute des Moses. Diese Lösung wird durch die bereits in meinem früheren Aufsatz erwähnte Tatsache gestützt, daß einzig unter den Leviten später noch ägyptische Namen auftauchen </w:t>
      </w:r>
      <w:hyperlink r:id="rId1334" w:anchor="#" w:history="1">
        <w:r w:rsidRPr="00892712">
          <w:rPr>
            <w:rStyle w:val="fusslink"/>
            <w:rFonts w:ascii="Garamond" w:hAnsi="Garamond" w:cs="Arial"/>
            <w:b/>
            <w:bCs/>
            <w:color w:val="003399"/>
          </w:rPr>
          <w:t>[Fußnote]</w:t>
        </w:r>
        <w:r w:rsidRPr="00892712">
          <w:rPr>
            <w:rStyle w:val="innerfusslink3"/>
            <w:rFonts w:ascii="Garamond" w:hAnsi="Garamond" w:cs="Arial"/>
            <w:b/>
            <w:bCs/>
          </w:rPr>
          <w:t xml:space="preserve">Diese Annahme verträgt sich gut mit den Angaben Yahudas über den ägyptischen Einfluß auf das frühjüdische Schrifttum. Siehe A. S. Yahuda (1929).. Es ist anzunehmen, daß eine gute Anzahl dieser Mosesleute der Katastrophe entging, die ihn selbst und seine Religionsstiftung traf. </w:t>
        </w:r>
        <w:r w:rsidRPr="00892712">
          <w:rPr>
            <w:rStyle w:val="innerfusslink3"/>
            <w:rFonts w:ascii="Garamond" w:hAnsi="Garamond" w:cs="Arial"/>
            <w:b/>
            <w:bCs/>
            <w:lang w:val="en-GB"/>
          </w:rPr>
          <w:t>Sie vermehrten sich in den nächsten Generationen, verschmolzen mit dem Volke, in dem sie lebten, aber sie blieben ihrem Herrn treu, bewahrten das Andenken an ihn und pflegten die Tradition seiner Lehren. Zur Zeit der Vereinigung mit den Jahvegläubigen bildeten sie eine einflußreiche, den anderen kulturell überlegene Minorität.</w:t>
        </w:r>
      </w:hyperlink>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Ich stelle es vorläufig als Annahme hin, daß zwischen dem Untergang des Moses und der Religionsstiftung in Qadeš zwei Generationen, vielleicht selbst ein Jahrhundert verlief. Ich sehe keinen Weg, um zu entscheiden, ob die Neo-Ägypter, wie ich sie hier zur Unterscheidung nennen möchte, die Rückkehrer also, mit ihren Stammverwandten zusammentrafen, nachdem diese bereits die Jahvereligion angenommen hatten oder schon vorher. Man mag das letztere für wahrscheinlicher halten. Für das Endergebnis macht es keinen Unterschied. Was in Qadeš vorging, war ein Kompromiß, an dem der Anteil der Mosesstämme unverkennbar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dürfen uns hier wiederum auf das Zeugnis der Beschneidung berufen, die uns wiederholt, als Leitfossil sozusagen, die wichtigsten Dienste geleistet hat. Diese Sitte wurde auch in der Jahvereligion Gebot, und da sie unlösbar mit Ägypten verknüpft ist, kann ihre Annahme nur eine Konzession an die Mosesleute gewesen sein, die – oder die Leviten unter ihnen – auf dies Zeichen ihrer Heiligung nicht verzichten wollten. Soviel wollten sie von ihrer alten Religion retten, und dafür waren sie bereit, die neue Gottheit anzunehmen und was die Midianpriester von ihr erzählten. Es ist möglich, daß sie noch andere Konzessionen durchsetzten. Wir haben bereits erwähnt, daß das jüdische Ritual gewisse Einschränkungen im Gebrauch des Gottesnamens vorschrieb. Anstatt »Jahve« mußte »Adonai« gesprochen werden. Es liegt nahe, diese Vorschrift in unseren Zusammenhang zu bringen, aber es ist eine Vermutung ohne weiteren Anhalt. Das Verbot des Gottesnamens ist bekanntlich ein uraltes Tabu. Warum es gerade in der jüdischen Gesetzgebung aufgefrischt wurde, versteht man nicht; es ist nicht ausgeschlossen, daß dies unter dem Einfluß eines neuen Motivs geschah. Man braucht nicht anzunehmen, daß das Verbot konsequent durchgeführt wurde; für die Bildung theophorer Personennamen, also für Zusammensetzungen, blieb der Name des Gottes Jahve frei (Jochanan, Jehu, Josua). Aber es hatte doch mit diesem Namen eine besondere Bewandtnis. Es ist bekannt, daß die kritische Bibelforschung zwei Quellenschriften des Hexateuchs annimmt. Sie werden als J und als E bezeichnet, weil die eine den Gottesnamen »Jahve«, die andere den »Elohim« gebraucht. »Elohim« zwar, nicht »Adonai«, aber man mag der Bemerkung eines unserer Autoren gedenken: »Die verschiedenen Namen sind das deutliche Kennzeichen ursprünglich verschiedener Götter.« </w:t>
      </w:r>
      <w:hyperlink r:id="rId1335"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Gressmann (1913, p. 54).</w:t>
        </w:r>
      </w:hyperlink>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ließen die Beibehaltung der Beschneidung als Beweis dafür gelten, daß bei der Religionsstiftung in Qadeš ein Kompromiß stattgefunden hat. Den Inhalt desselben ersehen wir aus den übereinstimmenden Berichten von J und E, die also hierin auf eine gemeinsame Quelle (Niederschrift oder mündliche Tradition) zurückgehen. Die leitende Tendenz war, Größe und Macht des neuen Gottes Jahve zu erweisen. Da die Mosesleute so hohen Wert auf ihr Erlebnis des Auszugs aus Ägypten legten, mußte diese Befreiungstat Jahve verdankt werden, und dies Ereignis wurde mit Ausschmückungen versehen, die die schreckhafte Großartigkeit des Vulkangottes bekundeten, wie die Rauchsäule, die sich nachts in eine Feuersäule wandelte, der Sturm, der das Meer für eine Weile trockenlegte, so daß die Verfolger von den rückkehrenden Wassermassen ertränkt wurden. Dabei wurden der Auszug und die Religionsstiftung nahe aneinandergerückt, das lange Intervall zwischen beiden verleugnet; auch die Gesetzgebung vollzog sich nicht in Qadeš, sondern am Fuß des Gottesberges unter den Anzeichen eines vulkanischen Ausbruches. Aber diese Darstellung beging ein schweres Unrecht gegen das Andenken des Mannes Moses; er war es ja, </w:t>
      </w:r>
      <w:r w:rsidRPr="00892712">
        <w:rPr>
          <w:rFonts w:ascii="Garamond" w:hAnsi="Garamond" w:cs="Arial"/>
          <w:color w:val="000000"/>
          <w:lang w:val="en-GB"/>
        </w:rPr>
        <w:lastRenderedPageBreak/>
        <w:t>nicht der Vulkangott, der das Volk aus Ägypten befreit hatte. Somit war man ihm eine Entschädigung schuldig und fand sie darin, daß man Moses hinübernahm nach Qadeš oder an den Sinai-Horeb und ihn an die Stelle der midianitischen Priester setzte. Daß man durch diese Lösung eine zweite, unabweisbar dringende Tendenz befriedigte, werden wir später erörtern. Auf solche Weise hatte man gleichsam einen Ausgleich geschaffen; man ließ Jahve nach Ägypten übergreifen, der auf einem Berg in Midian hauste, und Moses' Existenz und Tätigkeit dafür nach Qadeš und bis ins Ostjordanland. Er wurde so mit der Person des späteren Religionsstifters, dem Schwiegersohn des Midianiters Jethro, verschmolzen, dem er seinen Namen Moses lieh. Aber von diesem anderen Moses wissen wir nichts Persönliches auszusagen – er wird durch den anderen, den ägyptischen Moses so völlig verdunkelt. Es sei denn, daß man die Widersprüche in der Charakteristik Moses' aufgreift, die sich im biblischen Bericht finden. Er wird uns oft genug als herrisch, jähzornig, ja gewalttätig geschildert, und doch wird auch von ihm gesagt, er sei der sanftmütigste und geduldigste aller Menschen gewesen. Es ist klar, diese letzteren Eigenschaften hätten dem Ägypter Moses, der mit seinem Volk so Großes und Schweres vorhatte, wenig getaugt; vielleicht gehörten sie dem anderen, dem Midianiter, an. Ich glaube, man ist berechtigt, die beiden Personen wieder voneinander zu scheiden und anzunehmen, daß der ägyptische Moses nie in Qadeš war und den Namen Jahve nie gehört hatte und daß der midianitische Moses Ägypten nie betreten hatte und von Aton nichts wußte. Zum Zwecke der Verlötung der beiden Personen fiel der Tradition oder der Sagenbildung die Aufgabe zu, den ägyptischen Moses nach Midian zu bringen, und wir haben gehört, daß mehr als eine Erklärung hiefür im Umlauf war.</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(6)</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sind darauf vorbereitet, neuerdings den Tadel zu hören, daß wir unsere Rekonstruktion der Urgeschichte des Volkes Israel mit allzugroßer, mit unberechtigter Sicherheit vorgetragen haben. Diese Kritik wird uns nicht schwer treffen, da sie in unserem eigenen Urteil einen Widerhall findet. Wir wissen selbst, unser Aufbau hat seine schwachen Stellen, aber er hat auch seine starken Seiten. Im ganzen überwiegt der Eindruck, daß es der Mühe lohnt, das Werk in der eingeschlagenen Richtung fortzusetzen. Der uns vorliegende biblische Bericht enthält wertvolle, ja unschätzbare historische Angaben, die aber durch den Einfluß mächtiger Tendenzen entstellt und mit den Produktionen dichterischer Erfindung ausgeschmückt worden sind. Während unserer bisherigen Bemühungen haben wir eine dieser entstellenden Tendenzen erraten können. Dieser Fund zeigt uns den weiteren Weg. Wir sollen andere solcher Tendenzen aufdecken. Haben wir Anhaltspunkte, um die durch sie erzeugten Entstellungen zu erkennen, so werden wir hinter ihnen neue Stücke des wahren Sachverhalts zum Vorschein bringen.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Lassen wir uns zunächst von der kritischen Bibelforschung erzählen, was sie über die Entstehungsgeschichte des Hexateuchs (der fünf Bücher Moses' und des Buches </w:t>
      </w:r>
      <w:r w:rsidRPr="00892712">
        <w:rPr>
          <w:rFonts w:ascii="Garamond" w:hAnsi="Garamond" w:cs="Arial"/>
          <w:i/>
          <w:iCs/>
          <w:color w:val="000000"/>
          <w:lang w:val="en-GB"/>
        </w:rPr>
        <w:t>Josua</w:t>
      </w:r>
      <w:r w:rsidRPr="00892712">
        <w:rPr>
          <w:rFonts w:ascii="Garamond" w:hAnsi="Garamond" w:cs="Arial"/>
          <w:color w:val="000000"/>
          <w:lang w:val="en-GB"/>
        </w:rPr>
        <w:t xml:space="preserve">, die uns hier allein interessieren) zu sagen weiß </w:t>
      </w:r>
      <w:hyperlink r:id="rId1336"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Encyclopaedia Britannica, XI. Auflage, 1910. Artikel: ›Bible‹.</w:t>
        </w:r>
      </w:hyperlink>
      <w:r w:rsidRPr="00892712">
        <w:rPr>
          <w:rFonts w:ascii="Garamond" w:hAnsi="Garamond" w:cs="Arial"/>
          <w:color w:val="000000"/>
          <w:lang w:val="en-GB"/>
        </w:rPr>
        <w:t xml:space="preserve">. Als älteste Quellenschrift gilt J, der Jahvist, den man in neuester Zeit als den Priester Ebjatar, einen Zeitgenossen des Königs David, erkennen will </w:t>
      </w:r>
      <w:hyperlink r:id="rId1337"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Siehe Auerbach (1932).</w:t>
        </w:r>
      </w:hyperlink>
      <w:r w:rsidRPr="00892712">
        <w:rPr>
          <w:rFonts w:ascii="Garamond" w:hAnsi="Garamond" w:cs="Arial"/>
          <w:color w:val="000000"/>
          <w:lang w:val="en-GB"/>
        </w:rPr>
        <w:t xml:space="preserve">. Etwas später, man weiß nicht, um wieviel, setzt man den sogenannten Elohisten an, der dem Nordreich angehört </w:t>
      </w:r>
      <w:hyperlink r:id="rId1338"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Jahvist und Elohist wurden zuerst 1753 von Astruc unterschieden.</w:t>
        </w:r>
      </w:hyperlink>
      <w:r w:rsidRPr="00892712">
        <w:rPr>
          <w:rFonts w:ascii="Garamond" w:hAnsi="Garamond" w:cs="Arial"/>
          <w:color w:val="000000"/>
          <w:lang w:val="en-GB"/>
        </w:rPr>
        <w:t xml:space="preserve">. Nach dem Untergang des Nordreiches 722 hat ein jüdischer Priester Stücke von J und E miteinander vereinigt und eigene Beiträge dazugetan. Seine Kompilation wird als JE bezeichnet. Im siebenten Jahrhundert kommt das </w:t>
      </w:r>
      <w:r w:rsidRPr="00892712">
        <w:rPr>
          <w:rFonts w:ascii="Garamond" w:hAnsi="Garamond" w:cs="Arial"/>
          <w:i/>
          <w:iCs/>
          <w:color w:val="000000"/>
          <w:lang w:val="en-GB"/>
        </w:rPr>
        <w:t>Deuteronomium</w:t>
      </w:r>
      <w:r w:rsidRPr="00892712">
        <w:rPr>
          <w:rFonts w:ascii="Garamond" w:hAnsi="Garamond" w:cs="Arial"/>
          <w:color w:val="000000"/>
          <w:lang w:val="en-GB"/>
        </w:rPr>
        <w:t xml:space="preserve">, das fünfte Buch, hinzu, angeblich als Ganzes im Tempel neu gefunden. In die Zeit nach der Zerstörung des Tempels (586), während des Exils und nach der Rückkehr wird die Umarbeitung versetzt, die man den »Priesterkodex« nennt; im fünften Jahrhundert erfährt das Werk seine endgültige Redaktion und ist seither nicht wesentlich verändert worden </w:t>
      </w:r>
      <w:hyperlink r:id="rId1339"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Es ist historisch gesichert, daß die endgültige Fixierung des jüdischen Typus der Erfolg der Reform von Esra und Nehemia im fünften Jahrhundert vor Christi Geburt war, also nachexilisch, unter der den Juden wohlwollenden Perserherrschaft. Nach unserer Rechnung waren damals etwa 900 Jahre seit dem Auftreten Moses' vergangen. In dieser Reform wurde mit den Bestimmungen Ernst gemacht, welche die Heiligung des gesamten Volkes bezweckten, wurde die Absonderung von den Umlebenden durch das Verbot der Mischehen durchgesetzt, der Pentateuch, das eigentliche Gesetzbuch, in seine definitive Form gebracht, jene Umarbeitung abgeschlossen, die als Priesterkodex bekannt ist. Es scheint aber gesichert, daß die Reform keine neuen Tendenzen einführte, sondern frühere Anregungen aufnahm und befestigte.</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lastRenderedPageBreak/>
        <w:t xml:space="preserve">Die Geschichte des Königs David und seiner Zeit ist höchstwahrscheinlich das Werk eines Zeitgenossen. Es ist richtige Geschichtsschreibung, fünfhundert Jahre vor Herodot, dem »Vater der Geschichte«. Man nähert sich dem Verständnis dieser Leistung, wenn man im Sinne unserer Annahme an ägyptischen Einfluß denkt </w:t>
      </w:r>
      <w:hyperlink r:id="rId1340"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Vgl. Yahuda (1929).. Es ist selbst die Vermutung aufgetaucht, daß die Israeliten jener Urzeit, also die Schreiber des Moses, nicht unbeteiligt an der Erfindung des ersten Alphabets gewesen sindWenn sie unter dem Druck des Bilderverbots standen, hatten sie sogar ein Motiv, die hieroglyphischc Bilderschrift zu verlassen, während sie ihre Schriftzeichen für den Ausdruck einer neuen Sprache zurichteten. – Vgl. Auerbach (1932, p. 142).</w:t>
        </w:r>
      </w:hyperlink>
      <w:r w:rsidRPr="00892712">
        <w:rPr>
          <w:rFonts w:ascii="Garamond" w:hAnsi="Garamond" w:cs="Arial"/>
          <w:color w:val="000000"/>
          <w:lang w:val="en-GB"/>
        </w:rPr>
        <w:t xml:space="preserve">. Inwieweit die Berichte über frühere Zeiten auf frühe Aufzeichnungen oder auf mündliche Traditionen zurückgehen und welche Zeitintervalle in den einzelnen Fällen zwischen Ereignis und Fixierung liegen, entzieht sich natürlich unserer Kenntnis. </w:t>
      </w:r>
      <w:r w:rsidRPr="00892712">
        <w:rPr>
          <w:rFonts w:ascii="Garamond" w:hAnsi="Garamond" w:cs="Arial"/>
          <w:color w:val="000000"/>
        </w:rPr>
        <w:t xml:space="preserve">Der Text aber, wie er uns heute vorliegt, erzählt uns genug auch über seine eigenen Schicksale. </w:t>
      </w:r>
      <w:r w:rsidRPr="00892712">
        <w:rPr>
          <w:rFonts w:ascii="Garamond" w:hAnsi="Garamond" w:cs="Arial"/>
          <w:color w:val="000000"/>
          <w:lang w:val="en-GB"/>
        </w:rPr>
        <w:t xml:space="preserve">Zwei einander entgegengesetzte Behandlungen haben ihre Spuren an ihm zurückgelassen. Einerseits haben sich Bearbeitungen seiner bemächtigt, die ihn im Sinne ihrer geheimen Absichten verfälscht, verstümmelt und erweitert, bis in sein Gegenteil verkehrt haben, anderseits hat eine schonungsvolle Pietät über ihm gewaltet, die alles erhalten wollte, wie sie es vorfand, gleichgültig, ob es zusammenstimmte oder sich selbst aufhob. So sind fast in allen Teilen auffällige Lücken, störende Wiederholungen, greifbare Widersprüche zustande gekommen, Anzeichen, die uns Dinge verraten, deren Mitteilung nicht beabsichtigt war. Es ist bei der Entstellung eines Textes ähnlich wie bei einem Mord. Die Schwierigkeit liegt nicht in der Ausführung der Tat, sondern in der Beseitigung ihrer Spuren. Man möchte dem Worte » </w:t>
      </w:r>
      <w:r w:rsidRPr="00892712">
        <w:rPr>
          <w:rFonts w:ascii="Garamond" w:hAnsi="Garamond" w:cs="Arial"/>
          <w:i/>
          <w:iCs/>
          <w:color w:val="000000"/>
          <w:lang w:val="en-GB"/>
        </w:rPr>
        <w:t>Entstellung</w:t>
      </w:r>
      <w:r w:rsidRPr="00892712">
        <w:rPr>
          <w:rFonts w:ascii="Garamond" w:hAnsi="Garamond" w:cs="Arial"/>
          <w:color w:val="000000"/>
          <w:lang w:val="en-GB"/>
        </w:rPr>
        <w:t>« den Doppelsinn verleihen, auf den es Anspruch hat, obwohl es heute keinen Gebrauch davon macht. Es sollte nicht nur bedeuten: in seiner Erscheinung verändern, sondern auch: an eine andere Stelle bringen, anderswohin verschieben. Somit dürfen wir in vielen Fällen von Textentstellung darauf rechnen, das Unterdrückte und Verleugnete doch irgendwo versteckt zu finden, wenn auch abgeändert und aus dem Zusammenhang gerissen. Es wird nur nicht immer leicht sein, es zu erkennen.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entstellenden Tendenzen, deren wir habhaft werden wollen, müssen schon auf die Traditionen vor allen Niederschriften eingewirkt haben. Die eine derselben, vielleicht die stärkste von allen, haben wir bereits entdeckt. Wir sagten, mit der Einsetzung des neuen Gottes Jahve in Qadeš ergab sich die Nötigung, etwas für seine Verherrlichung zu tun. Es ist richtiger zu sagen: man mußte ihn installieren, Raum für ihn schaffen, die Spuren früherer Religionen verwischen. Das scheint für die Religion der ansässigen Stämme restlos gelungen zu sein, wir hören nichts mehr von ihr. Mit den Rückkehrern hatte man es nicht so leicht, sie ließen sich den Auszug aus Ägypten, den Mann Moses und die Beschneidung nicht rauben. Sie waren also in Ägypten gewesen, aber sie hatten es wieder verlassen, und von nun an sollte jede Spur des ägyptischen Einflusses verleugnet werden. Den Mann Moses erledigte man, indem man ihn nach Midian und Qadeš versetzte und ihn mit dem Jahvepriester der Religionsstiftung verschmelzen ließ. Die Beschneidung, das gravierendste Anzeichen der Abhängigkeit von Ägypten, mußte man beibehalten, aber man versäumte die Versuche nicht, diese Sitte aller Evidenz zum Trotz von Ägypten abzulösen. Nur als absichtlichen Widerspruch gegen den verräterischen Sachverhalt kann man die rätselhafte, unverständlich stilisierte Stelle in </w:t>
      </w:r>
      <w:r w:rsidRPr="00892712">
        <w:rPr>
          <w:rFonts w:ascii="Garamond" w:hAnsi="Garamond" w:cs="Arial"/>
          <w:i/>
          <w:iCs/>
          <w:color w:val="000000"/>
          <w:lang w:val="en-GB"/>
        </w:rPr>
        <w:t>Exodus</w:t>
      </w:r>
      <w:r w:rsidRPr="00892712">
        <w:rPr>
          <w:rFonts w:ascii="Garamond" w:hAnsi="Garamond" w:cs="Arial"/>
          <w:color w:val="000000"/>
          <w:lang w:val="en-GB"/>
        </w:rPr>
        <w:t xml:space="preserve"> auffassen, daß Jahve einst dem Moses gezürnt, weil er die Beschneidung vernachlässigt hatte, und daß sein midianitisches Weib durch schleunige Ausführung der Operation sein Leben gerettet! Wir werden alsbald von einer anderen Erfindung hören, um das unbequeme Beweisstück unschädlich zu machen.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Man kann es kaum als das Auftreten einer neuen Tendenz bezeichnen, es ist vielmehr nur die Fortführung der früheren, wenn sich Bemühungen zeigen, die direkt in Abrede stellen, daß Jahve ein neuer, für die Juden fremder Gott gewesen sei. </w:t>
      </w:r>
      <w:r w:rsidRPr="00892712">
        <w:rPr>
          <w:rFonts w:ascii="Garamond" w:hAnsi="Garamond" w:cs="Arial"/>
          <w:color w:val="000000"/>
          <w:lang w:val="en-GB"/>
        </w:rPr>
        <w:t xml:space="preserve">In dieser Absicht werden die Sagen von den Urvätern des Volkes, Abraham, Isaak und Jakob, herangezogen. Jahve versichert, daß er schon der Gott dieser Väter gewesen sei; freilich, muß er selbst zugestehen, hätten sie ihn nicht unter diesem seinen Namen verehrt </w:t>
      </w:r>
      <w:hyperlink r:id="rId1341"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Die Einschränkungen im Gebrauch dieses neuen Namens werden dadurch nicht verständlicher, wohl aber suspekter.</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Er fügt nicht hinzu, unter welchem anderen. Und hier findet sich der Anlaß zu einem entscheidenden Streich gegen die ägyptische Herkunft der Beschneidungssitte. Jahve hat sie bereits von Abraham verlangt, hat sie als Zeichen des Bundes zwischen sich und Abrahams Nachkommen eingesetzt. Aber das war eine besonders ungeschickte Erfindung. Als Abzeichen, das einen von anderen absondern und vor anderen bevorzugen soll, wählt man etwas, was bei den anderen nicht vorzufinden ist, und nicht etwas, was Millionen anderer in gleicher Weise aufzeigen können. Ein Israelit, nach Ägypten versetzt, hätte ja alle </w:t>
      </w:r>
      <w:r w:rsidRPr="00892712">
        <w:rPr>
          <w:rFonts w:ascii="Garamond" w:hAnsi="Garamond" w:cs="Arial"/>
          <w:color w:val="000000"/>
          <w:lang w:val="en-GB"/>
        </w:rPr>
        <w:lastRenderedPageBreak/>
        <w:t xml:space="preserve">Ägypter als Bundesbrüder, als Brüder in Jahve, anerkennen müssen. Die Tatsache, daß die Beschneidung in Ägypten heimisch war, konnte den Israeliten, die den Text der Bibel schufen, unmöglich unbekannt sein. Die bei Ed. Meyer erwähnte Stelle aus </w:t>
      </w:r>
      <w:r w:rsidRPr="00892712">
        <w:rPr>
          <w:rFonts w:ascii="Garamond" w:hAnsi="Garamond" w:cs="Arial"/>
          <w:i/>
          <w:iCs/>
          <w:color w:val="000000"/>
          <w:lang w:val="en-GB"/>
        </w:rPr>
        <w:t>Josua</w:t>
      </w:r>
      <w:r w:rsidRPr="00892712">
        <w:rPr>
          <w:rFonts w:ascii="Garamond" w:hAnsi="Garamond" w:cs="Arial"/>
          <w:color w:val="000000"/>
          <w:lang w:val="en-GB"/>
        </w:rPr>
        <w:t xml:space="preserve"> gibt es selbst unbedenklich zu, aber sie sollte eben um jeden Preis verleugnet werden.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An religiöse Mythenbildungen wird man nicht den Anspruch stellen dürfen, daß sie auf logischen Zusammenhalt große Rücksicht nehmen. Sonst hätte das Volksempfinden berechtigten Anstoß an dem Verhalten einer Gottheit finden können, die mit den Ahnherren einen Vertrag mit gegenseitigen Verpflichtungen schließt, sich dann jahrhundertelang um die menschlichen Partner nicht kümmert, bis es ihr plötzlich einfällt, sich den Nachkommen von neuem zu offenbaren. Noch mehr befremdend wirkt die Vorstellung, daß ein Gott sich mit einem Male ein Volk »auswählt«, es zu seinem Volk und sich zu seinem Gott erklärt. Ich glaube, es ist der einzige solche Fall in der Geschichte der menschlichen Religionen. Sonst gehören Gott und Volk untrennbar zusammen, sie sind von allem Anfang an eines; man hört wohl manchmal davon, daß ein Volk einen anderen Gott annimmt, aber nie, daß ein Gott sich ein anderes Volk aussucht. Vielleicht nähern wir uns dem Verständnis dieses einmaligen Vorgangs, wenn wir der Beziehungen zwischen Moses und dem Judenvolke gedenken. Moses hatte sich zu den Juden herabgelassen, sie zu seinem Volk gemacht; sie waren sein »auserwähltes Volk« </w:t>
      </w:r>
      <w:hyperlink r:id="rId1342"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Jahve war unzweifelhaft ein Vulkangott. Für Einwohner Ägyptens bestand kein Anlaß, ihn zu verehren. Ich bin gewiß nicht der erste, der von dem Gleichklang des Namens </w:t>
        </w:r>
        <w:r w:rsidRPr="00892712">
          <w:rPr>
            <w:rStyle w:val="innerfusslink3"/>
            <w:rFonts w:ascii="Garamond" w:hAnsi="Garamond" w:cs="Arial"/>
            <w:b/>
            <w:bCs/>
            <w:i/>
            <w:iCs/>
            <w:lang w:val="en-GB"/>
          </w:rPr>
          <w:t>Jahve</w:t>
        </w:r>
        <w:r w:rsidRPr="00892712">
          <w:rPr>
            <w:rStyle w:val="innerfusslink3"/>
            <w:rFonts w:ascii="Garamond" w:hAnsi="Garamond" w:cs="Arial"/>
            <w:b/>
            <w:bCs/>
            <w:lang w:val="en-GB"/>
          </w:rPr>
          <w:t xml:space="preserve"> mit der Wurzel des anderen Götternamens Ju-piter (Jovis) betroffen wird. Der mit der Abkürzung des hebräischen Jahve zusammengesetzte Name </w:t>
        </w:r>
        <w:r w:rsidRPr="00892712">
          <w:rPr>
            <w:rStyle w:val="innerfusslink3"/>
            <w:rFonts w:ascii="Garamond" w:hAnsi="Garamond" w:cs="Arial"/>
            <w:b/>
            <w:bCs/>
            <w:i/>
            <w:iCs/>
            <w:lang w:val="en-GB"/>
          </w:rPr>
          <w:t>Jochanan</w:t>
        </w:r>
        <w:r w:rsidRPr="00892712">
          <w:rPr>
            <w:rStyle w:val="innerfusslink3"/>
            <w:rFonts w:ascii="Garamond" w:hAnsi="Garamond" w:cs="Arial"/>
            <w:b/>
            <w:bCs/>
            <w:lang w:val="en-GB"/>
          </w:rPr>
          <w:t xml:space="preserve"> (etwa: Gotthold, punisches Äquivalent: Hannibal) ist in den Formen Johann, John, Jean, Juan der beliebteste Vorname der europäischen Christenheit geworden. Wenn die Italiener ihn als </w:t>
        </w:r>
        <w:r w:rsidRPr="00892712">
          <w:rPr>
            <w:rStyle w:val="innerfusslink3"/>
            <w:rFonts w:ascii="Garamond" w:hAnsi="Garamond" w:cs="Arial"/>
            <w:b/>
            <w:bCs/>
            <w:i/>
            <w:iCs/>
            <w:lang w:val="en-GB"/>
          </w:rPr>
          <w:t>Giovanni</w:t>
        </w:r>
        <w:r w:rsidRPr="00892712">
          <w:rPr>
            <w:rStyle w:val="innerfusslink3"/>
            <w:rFonts w:ascii="Garamond" w:hAnsi="Garamond" w:cs="Arial"/>
            <w:b/>
            <w:bCs/>
            <w:lang w:val="en-GB"/>
          </w:rPr>
          <w:t xml:space="preserve"> wiedergeben und dann einen Tag der Woche </w:t>
        </w:r>
        <w:r w:rsidRPr="00892712">
          <w:rPr>
            <w:rStyle w:val="innerfusslink3"/>
            <w:rFonts w:ascii="Garamond" w:hAnsi="Garamond" w:cs="Arial"/>
            <w:b/>
            <w:bCs/>
            <w:i/>
            <w:iCs/>
            <w:lang w:val="en-GB"/>
          </w:rPr>
          <w:t>Giovedi</w:t>
        </w:r>
        <w:r w:rsidRPr="00892712">
          <w:rPr>
            <w:rStyle w:val="innerfusslink3"/>
            <w:rFonts w:ascii="Garamond" w:hAnsi="Garamond" w:cs="Arial"/>
            <w:b/>
            <w:bCs/>
            <w:lang w:val="en-GB"/>
          </w:rPr>
          <w:t xml:space="preserve"> heißen, so bringen sie eine Ähnlichkeit wieder ans Licht, die möglicherweise nichts, vielleicht sehr viel bedeutet. Es eröffnen sich hier weitreichende, aber auch sehr unsichere Perspektiven. Es scheint, daß die Länder um das östliche Becken des Mittelmeers in jenen dunkeln, der Geschichtsforschung kaum eröffneten Jahrhunderten der Schauplatz häufiger und heftiger vulkanischer Ausbrüche waren, die den Umwohnern den stärksten Eindruck machen mußten. Evans nimmt an, daß auch die endgültige Zerstörung des Minos-Palastes in Knossos die Folge eines Erdbebens war. Auf Kreta wurde damals, wie wahrscheinlich allgemein in der ägäischen Welt, die große Muttergottheit verehrt. Die Wahrnehmung, daß sie nicht imstande war, ihr Haus gegen die Angriffe einer stärkeren Macht zu schützen, mag dazu beigetragen haben, daß sie einer männlichen Gottheit den Platz räumen mußte, und dann hatte der Vulkangott das erste Anrecht darauf, sie zu ersetzen. Zeus ist ja immer noch der »Erderschütterer«. Es ist wenig zweifelhaft, daß sich in jenen dunkeln Zeiten die Ablösung der Muttergottheiten durch männliche Götter (die vielleicht ursprünglich Söhne waren?) vollzog. Besonders eindrucksvoll ist das Schicksal der Pallas Athene, die gewiß die lokale Form der Muttergottheit war, durch den religiösen Umsturz zur Tochter herabgesetzt, ihrer eigenen Mutter beraubt und durch die ihr auferlegte Jungfräulichkeit dauernd von der Mutterschaft ausgeschlossen wurde.</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Einbeziehung der Urväter diente auch noch einer anderen Absicht. Sie hatten in Kanaan gelebt, ihr Andenken war an bestimmte Örtlichkeiten des Landes geknüpft. Möglicherweise waren sie selbst ursprünglich kanaanäische Heroen oder lokale Göttergestalten, die dann von den eingewanderten Israeliten für ihre Vorgeschichte mit Beschlag belegt wurden. Wenn man sich auf sie berief, behauptete man gleichsam seine Bodenständigkeit und verwahrte sich gegen das Odium, das an dem landfremden Eroberer haftete. Es war eine geschickte Wendung, daß der Gott Jahve ihnen nur wiedergab, was ihre Vorfahren einmal besessen hatten.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In den späteren Beiträgen zum biblischen Text setzte sich die Absicht durch, die Erwähnung von Qadeš zu vermeiden. Die Stätte der Religionsstiftung wurde endgültig der Gottesberg Sinai-Horeb. Das Motiv hiefür ist nicht klar ersichtlich; vielleicht wollte man nicht an den Einfluß von Midian gemahnt werden. Aber alle späteren Entstellungen, insbesondere der Zeit des sogenannten Priesterkodex, dienen einer anderen Absicht. Man brauchte nicht mehr Berichte über Begebenheiten im gewünschten Sinne abzuändern, denn dies war längst geschehen. Sondern man bemühte sich, Gebote und Institutionen der Gegenwart in frühe Zeiten zurückzuversetzen, in der Regel sie auf mosaische Gesetzgebung zu begründen, um daher ihren Anspruch auf Heiligkeit und Verbindlichkeit abzuleiten. Sosehr man auf solche Weise das Bild der Vergangenheit verfälschen mochte, dies Verfahren entbehrt nicht einer </w:t>
      </w:r>
      <w:r w:rsidRPr="00892712">
        <w:rPr>
          <w:rFonts w:ascii="Garamond" w:hAnsi="Garamond" w:cs="Arial"/>
          <w:color w:val="000000"/>
          <w:lang w:val="en-GB"/>
        </w:rPr>
        <w:lastRenderedPageBreak/>
        <w:t>bestimmten psychologischen Berechtigung. Es spiegelte die Tatsache wider, daß im Laufe der langen Zeiten – vom Auszug aus Ägypten bis zur Fixierung des Bibeltextes unter Esra und Nehemia verflossen etwa 800 Jahre – die Jahvereligion sich zurückgebildet hatte zur Übereinstimmung, vielleicht bis zur Identität mit der ursprünglichen Religion des Moses.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Und dies ist das wesentliche Ergebnis, der schicksalsschwere Inhalt der jüdischen Religionsgeschichte.</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(7)</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Unter all den Begebenheiten der Vorzeit, die die späteren Dichter, Priester und Geschichtsschreiber zu bearbeiten unternahmen, hob sich eine heraus, deren Unterdrückung durch die nächstliegenden und besten menschlichen Motive geboten war. Es war die Ermordung des großen Führers und Befreiers Moses, die Sellin aus Andeutungen bei den Propheten erraten hat. Man kann die Aufstellung Sellins nicht phantastisch heißen, sie ist wahrscheinlich genug. Moses, aus der Schule Ikhnatons stammend, bediente sich auch keiner anderen Methoden als der König, er befahl, drängte dem Volke seinen Glauben auf </w:t>
      </w:r>
      <w:hyperlink r:id="rId1343"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In jenen Zeiten war eine andere Art der Beeinflussung auch kaum möglich.</w:t>
        </w:r>
      </w:hyperlink>
      <w:r w:rsidRPr="00892712">
        <w:rPr>
          <w:rFonts w:ascii="Garamond" w:hAnsi="Garamond" w:cs="Arial"/>
          <w:color w:val="000000"/>
          <w:lang w:val="en-GB"/>
        </w:rPr>
        <w:t xml:space="preserve">. Vielleicht war die Lehre des Moses noch schroffer als die seines Meisters, er brauchte die Anlehnung an den Sonnengott nicht festzuhalten, die Schule von On hatte für sein Fremdvolk keine Bedeutung. Moses wie Ikhnaton fanden dasselbe Schicksal, das aller aufgeklärten Despoten wartet. Das Judenvolk des Moses war ebensowenig imstande, eine so hoch vergeistigte Religion zu ertragen, in ihren Darbietungen eine Befriedigung ihrer Bedürfnisse zu finden, wie die Ägypter der 18ten Dynastie. In beiden Fällen geschah dasselbe, die Bevormundeten und Verkürzten erhoben sich und warfen die Last der ihnen auferlegten Religion ab. Aber während die zahmen Ägypter damit warteten, bis das Schicksal die geheiligte Person des Pharao beseitigt hatte, nahmen die wilden Semiten das Schicksal in ihre Hand und räumten den Tyrannen aus dem Wege </w:t>
      </w:r>
      <w:hyperlink r:id="rId1344"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Es ist wirklich bemerkenswert, wie wenig man in der jahrtausendelangen ägyptischen Geschichte von gewaltsamer Beseitigung oder Ermordung eines Pharao hört. Ein Vergleich, z. B. mit der assyrischen Geschichte, muß diese Verwunderung steigern. Natürlich kann dies daher kommen, daß die Geschichtsschreibung bei den Ägyptern ausschließlich offiziellen Absichten diente.</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Auch kann man nicht behaupten, daß der erhaltene Bibeltext uns nicht auf einen solchen Ausgang Moses' vorbereitet. Der Bericht über die »Wüstenwanderung« – die für die Zeit der Herrschaft Moses' stehen mag – schildert eine Kette von ernsthaften Empörungen gegen seine Autorität, die auch – nach Jahves Gebot – durch blutige Züchtigung unterdrückt werden. Man kann sich leicht vorstellen, daß einmal ein solcher Aufstand ein anderes Ende nahm, als der Text es haben will. Auch der Abfall des Volkes von der neuen Religion wird im Text erzählt, als Episode freilich. Es ist die Geschichte vom goldenen Kalb, in der mit geschickter Wendung das symbolisch zu verstehende Zerbrechen der Gesetzestafeln (»er hat das Gesetz gebrochen«) Moses selbst zugeschoben und durch seine zornige Entrüstung motiviert wird.</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Es kam eine Zeit, da man den Mord an Moses bedauerte und zu vergessen suchte. Sicherlich war es so zur Zeit des Zusammentreffens in Qadeš. Aber wenn man den Auszug näher heranrückte an die Religionsstiftung in der Oase und Moses an Stelle des anderen an ihr mitwirken ließ, so hatte man nicht nur den Anspruch der Mosesleute befriedigt, sondern auch die peinliche Tatsache seiner gewaltsamen Beseitigung erfolgreich verleugnet. In Wirklichkeit ist es sehr unwahrscheinlich, daß Moses an den Vorgängen in Qadeš hätte teilnehmen können, auch wenn sein Leben nicht verkürzt worden wäre.</w:t>
      </w:r>
    </w:p>
    <w:p w:rsidR="00032727" w:rsidRPr="00032727"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müssen hier den Versuch machen, die zeitlichen Verhältnisse dieser Begebenheiten aufzuklären. Wir haben den Auszug aus Ägypten in die Zeit nach dem Verlöschen der 18ten Dynastie versetzt (1350). Er mag damals oder eine Weile später erfolgt sein, denn die ägyptischen Chronisten haben die darauffolgenden Jahre der Anarchie in die Regierungszeit Haremhabs, der ihr ein Ende machte und bis 1315 herrschte, eingerechnet. Der nächste, aber auch der einzige Anhalt für die Chronologie ist durch die Stele Merneptahs gegeben (1225–15), die sich des Sieges über Isiraal (Israel) und der Verwüstung ihrer Saaten (?) rühmt. Die Verwertung dieser Inschrift ist leider zweifelhaft, man läßt sie als Beweis dafür gelten, daß israelitische Stämme damals schon in Kanaan ansässig waren </w:t>
      </w:r>
      <w:hyperlink r:id="rId1345"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Ed. Meyer (1906, p. 222 ff.).</w:t>
        </w:r>
      </w:hyperlink>
      <w:r w:rsidRPr="00892712">
        <w:rPr>
          <w:rFonts w:ascii="Garamond" w:hAnsi="Garamond" w:cs="Arial"/>
          <w:color w:val="000000"/>
          <w:lang w:val="en-GB"/>
        </w:rPr>
        <w:t xml:space="preserve">. Ed. Meyer schließt aus dieser Stele mit Recht, daß Merneptah nicht der Pharao des Auszugs gewesen sein kann, wie vorher gern angenommen wurde. Der Auszug muß einer früheren Zeit angehören. Die Frage nach dem Pharao des Auszugs erscheint uns überhaupt müßig. Es gab keinen Pharao des Auszugs, da dieser in ein Interregnum fiel. Aber auf das mögliche Datum der Vereinigung und Religionsannahme in Qadeš fällt auch durch die Entdeckung der Merneptah-Stele kein Licht. Irgendwann </w:t>
      </w:r>
      <w:r w:rsidRPr="00892712">
        <w:rPr>
          <w:rFonts w:ascii="Garamond" w:hAnsi="Garamond" w:cs="Arial"/>
          <w:color w:val="000000"/>
          <w:lang w:val="en-GB"/>
        </w:rPr>
        <w:lastRenderedPageBreak/>
        <w:t xml:space="preserve">zwischen 1350 und 1215, ist alles, was wir mit Sicherheit sagen können. Innerhalb dieses Jahrhunderts, vermuten wir, kommt der Auszug dem Eingangsdatum sehr nahe, ist der Vorgang in Qadeš vom Enddatum nicht zu weit entfernt. Den größeren Teil des Zeitraumes möchten wir für das Intervall zwischen beiden Ereignissen in Anspruch nehmen. Wir brauchen nämlich eine längere Zeit, bis sich nach der Ermordung Moses' die Leidenschaften bei den Rückkehrern beruhigt haben und der Einfluß der Mosesleute, der Leviten, so groß geworden ist, wie das Kompromiß in Qadeš es voraussetzt. Zwei Generationen, 60 Jahre, würden hiefür etwa ausreichen, aber es geht nur knapp zusammen. Die Folgerung aus der Merneptah-Stele kommt uns zu früh, und da wir erkennen, daß in unserem Aufbau hier eine Annahme nur auf einer anderen begründet ist, gestehen wir zu, daß diese Diskussion eine schwache Seite unserer Konstruktion aufdeckt. Leider ist alles, was mit der Niederlassung des jüdischen Volkes in Kanaan zusammenhängt, so ungeklärt und verworren. Es bleibt uns etwa die Auskunft, daß der Name auf der Israelstele sich nicht auf die Stämme bezieht, deren Schicksale wir zu verfolgen bemüht sind und die zum späteren Volk Israel zusammengetreten sind. </w:t>
      </w:r>
      <w:r w:rsidRPr="00032727">
        <w:rPr>
          <w:rFonts w:ascii="Garamond" w:hAnsi="Garamond" w:cs="Arial"/>
          <w:color w:val="000000"/>
          <w:lang w:val="en-GB"/>
        </w:rPr>
        <w:t xml:space="preserve">Ist doch auch der Name der </w:t>
      </w:r>
      <w:r w:rsidRPr="00032727">
        <w:rPr>
          <w:rFonts w:ascii="Garamond" w:hAnsi="Garamond" w:cs="Arial"/>
          <w:i/>
          <w:iCs/>
          <w:color w:val="000000"/>
          <w:lang w:val="en-GB"/>
        </w:rPr>
        <w:t>Habiru = Hebräer</w:t>
      </w:r>
      <w:r w:rsidRPr="00032727">
        <w:rPr>
          <w:rFonts w:ascii="Garamond" w:hAnsi="Garamond" w:cs="Arial"/>
          <w:color w:val="000000"/>
          <w:lang w:val="en-GB"/>
        </w:rPr>
        <w:t xml:space="preserve"> aus der Amarnazeit auf dies Volk übergegangen.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Wann immer die Vereinigung der Stämme zur Nation durch die Annahme einer gemeinsamen Religion vor sich ging, es hätte leicht ein für die Weltgeschichte recht gleichgültiger Akt werden können. Die neue Religion wäre vom Strom der Ereignisse weggeschwemmt worden, Jahve hätte seinen Platz einnehmen dürfen in der Prozession gewesener Götter, die der Dichter Flaubert gesehen hat, und von seinem Volk wären alle zwölf Stämme »verloren«gegangen, nicht nur die zehn, die von den Angelsachsen so lange gesucht worden sind. </w:t>
      </w:r>
      <w:r w:rsidRPr="00892712">
        <w:rPr>
          <w:rFonts w:ascii="Garamond" w:hAnsi="Garamond" w:cs="Arial"/>
          <w:color w:val="000000"/>
          <w:lang w:val="en-GB"/>
        </w:rPr>
        <w:t xml:space="preserve">Der Gott Jahve, dem der midianitische Moses damals ein neues Volk zuführte, war wahrscheinlich in keiner Hinsicht ein hervorragendes Wesen. Ein roher, engherziger Lokalgott, gewalttätig und blutdürstig; er hatte seinen Anhängern versprochen, ihnen das Land zu geben, in dem »Milch und Honig fließt«, und forderte sie auf, dessen gegenwärtige Einwohner auszurotten »mit der Schärfe des Schwertes«. Man darf sich verwundern, daß trotz aller Umarbeitungen in den biblischen Berichten so viel stehengelassen wurde, um sein ursprüngliches Wesen zu erkennen. Es ist nicht einmal sicher, daß seine Religion ein wirklicher Monotheismus war, daß sie den Gottheiten anderer Völker die Gottesnatur bestritt. Es reichte wahrscheinlich hin, daß der eigene Gott mächtiger war als alle fremden Götter. Wenn dann in der Folge alles anders verlief, als solche Ansätze erwarten ließen, so können wir die Ursache hiefür nur in einer einzigen Tatsache finden. Einem Teil des Volkes hatte der ägyptische Moses eine andere, höher vergeistigte Gottesvorstellung gegeben, die Idee einer einzigen, die ganze Welt umfassenden Gottheit, die nicht minder alliebend war als allmächtig, die, allem Zeremoniell und Zauber abhold, den Menschen ein Leben in Wahrheit und Gerechtigkeit zum höchsten Ziel setzte. Denn so unvollkommen unsere Berichte über die ethische Seite der Atonreligion sein mögen, es kann nicht bedeutungslos sein, daß Ikhnaton sich in seinen Inschriften regelmäßig bezeichnete als »lebend in Maat« (Wahrheit, Gerechtigkeit) </w:t>
      </w:r>
      <w:hyperlink r:id="rId1346"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Seine Hymnen betonen nicht nur die Universalität und Einzigkeit Gottes, sondern auch dessen liebevolle Fürsorge für alle Geschöpfe, fordern zur Freude an der Natur und zum Genuß ihrer Schönheit auf. Vgl. Breasted (1934).</w:t>
        </w:r>
      </w:hyperlink>
      <w:r w:rsidRPr="00892712">
        <w:rPr>
          <w:rFonts w:ascii="Garamond" w:hAnsi="Garamond" w:cs="Arial"/>
          <w:color w:val="000000"/>
          <w:lang w:val="en-GB"/>
        </w:rPr>
        <w:t xml:space="preserve">. Auf die Dauer machte es nichts aus, daß das Volk, wahrscheinlich nach kurzer Zeit, die Lehre des Moses verwarf und ihn selbst beseitigte. Es blieb die </w:t>
      </w:r>
      <w:r w:rsidRPr="00892712">
        <w:rPr>
          <w:rFonts w:ascii="Garamond" w:hAnsi="Garamond" w:cs="Arial"/>
          <w:i/>
          <w:iCs/>
          <w:color w:val="000000"/>
          <w:lang w:val="en-GB"/>
        </w:rPr>
        <w:t>Tradition</w:t>
      </w:r>
      <w:r w:rsidRPr="00892712">
        <w:rPr>
          <w:rFonts w:ascii="Garamond" w:hAnsi="Garamond" w:cs="Arial"/>
          <w:color w:val="000000"/>
          <w:lang w:val="en-GB"/>
        </w:rPr>
        <w:t xml:space="preserve"> davon, und ihr Einfluß erreichte, allerdings erst allmählich im Laufe der Jahrhunderte, was Moses selbst versagt geblieben war. Gott Jahve war zu unverdienten Ehren gekommen, als man von Qadeš an die Befreiungstat des Moses auf seine Rechnung schrieb, aber er hatte für diese Usurpation schwer zu büßen. Der Schatten des Gottes, dessen Stelle er eingenommen, wurde stärker als er; am Ende der Entwicklung war hinter seinem Wesen das des vergessenen mosaischen Gottes zum Vorschein gekommen. Niemand zweifelt daran, daß nur die Idee dieses anderen Gottes das Volk </w:t>
      </w:r>
      <w:smartTag w:uri="urn:schemas-microsoft-com:office:smarttags" w:element="country-region">
        <w:smartTag w:uri="urn:schemas-microsoft-com:office:smarttags" w:element="place">
          <w:r w:rsidRPr="00892712">
            <w:rPr>
              <w:rFonts w:ascii="Garamond" w:hAnsi="Garamond" w:cs="Arial"/>
              <w:color w:val="000000"/>
              <w:lang w:val="en-GB"/>
            </w:rPr>
            <w:t>Israel</w:t>
          </w:r>
        </w:smartTag>
      </w:smartTag>
      <w:r w:rsidRPr="00892712">
        <w:rPr>
          <w:rFonts w:ascii="Garamond" w:hAnsi="Garamond" w:cs="Arial"/>
          <w:color w:val="000000"/>
          <w:lang w:val="en-GB"/>
        </w:rPr>
        <w:t xml:space="preserve"> alle Schicksalsschläge überstehen ließ und es bis in unsere Zeiten am Leben erhielt.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Beim Endsieg des mosaischen Gottes über Jahve kann man den Anteil der Leviten nicht mehr feststellen. Diese hatten sich seinerzeit für Moses eingesetzt, als das Kompromiß in Qadeš geschlossen wurde, in noch lebendiger Erinnerung an den Herrn, dessen Gefolge und Landsgenossen sie waren. In den Jahrhunderten seither waren sie mit dem Volk verschmolzen oder mit der Priesterschaft, und es war die Hauptleistung der Priester geworden, das Ritual zu entwickeln und zu überwachen, überdies die heiligen Niederschriften zu behüten und nach ihren Absichten zu bearbeiten. Aber war nicht aller Opferdienst und alles Zeremoniell im Grunde nur Magie und Zauberwesen, wie es die alte Lehre Moses' bedingungslos verworfen hatte? Da erhoben sich aus der Mitte des Volkes in einer nicht mehr abreißenden Reihe Männer, nicht durch ihre Herkunft mit Moses verbunden, aber von der großen und mächtigen Tradition erfaßt, die allmählich im Dunkeln angewachsen war, und diese Männer, die Propheten, waren es, die </w:t>
      </w:r>
      <w:r w:rsidRPr="00892712">
        <w:rPr>
          <w:rFonts w:ascii="Garamond" w:hAnsi="Garamond" w:cs="Arial"/>
          <w:color w:val="000000"/>
          <w:lang w:val="en-GB"/>
        </w:rPr>
        <w:lastRenderedPageBreak/>
        <w:t>unermüdlich die alte mosaische Lehre verkündeten, die Gottheit verschmähe Opfer und Zeremoniell, sie fordere nur Glauben und ein Leben in Wahrheit und Gerechtigkeit (»Maat«). Die Bemühungen der Propheten hatten dauernden Erfolg; die Lehren, mit denen sie den alten Glauben wiederherstellten, wurden zum bleibenden Inhalt der jüdischen Religion. Es ist Ehre genug für das jüdische Volk, daß es eine solche Tradition erhalten und Männer hervorbringen konnte, die ihr eine Stimme liehen, auch wenn die Anregung dazu von außen, von einem großen fremden Mann gekommen war.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Ich würde mich mit dieser Darstellung nicht sicher fühlen, wenn ich mich nicht auf das Urteil anderer, sachkundiger Forscher berufen könnte, die die Bedeutung Moses' für die jüdische Religionsgeschichte im nämlichen Lichte sehen, auch wenn sie seine ägyptische Herkunft nicht anerkennen. So sagt z. B. Sellin (1922, p. 52): »Mithin haben wir uns die eigentliche Religion des Mose, den Glauben an den einen sittlichen Gott, den er verkündet, seitdem von vornherein als das Besitztum eines kleinen Kreises im Volke vorzustellen. Von vornherein dürfen wir nicht erwarten, jenen in dem offiziellen Kulte, in der Religion der Priester, in dem Glauben des Volkes anzutreffen. Wir können von vornherein nur damit rechnen, daß bald hie bald da einmal ein Funke wieder auftaucht von dem Geistesbrand, den er einst entzündet hat, daß seine Ideen nicht ausgestorben sind, sondern hie und da in aller Stille auf Glaube und Sitte eingewirkt haben, bis sie etwa früher oder später unter der Einwirkung besonderer Erlebnisse oder von seinem Geist besonders erfaßter Persönlichkeiten einmal wieder stärker hervorbrachen und Einfluß gewannen auf breitere Volksmassen. Unter diesem Gesichtswinkel ist von vornherein die altisraelitische Religionsgeschichte zu betrachten. Wer nach der Religion, wie sie uns nach den Geschichtsurkunden im Volksleben der ersten fünf Jahrhunderte in Kanaan entgegentritt, etwa die mosaische Religion konstruieren wollte, der würde den schwersten methodischen Fehler begehen.« Und deutlicher noch Volz (1907, p. 64). Er meint, »daß Moses' himmelhohes Werk zunächst nur ganz schwach und spärlich verstanden und durchgeführt wurde, bis es im Lauf der Jahrhunderte mehr und mehr eindrang und endlich in den großen Propheten gleichgeartete Geister fand, die das Werk des Einsamen fortsetzten«.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Hiemit wäre ich zum Abschluß meiner Arbeit gelangt, die ja nur der einzigen Absicht dienen sollte, die Gestalt eines ägyptischen Moses in den Zusammenhang der jüdischen Geschichte einzufügen. Um unser Ergebnis in der kürzesten Formel auszudrücken: Zu den bekannten Zweiheiten dieser Geschichte – </w:t>
      </w:r>
      <w:r w:rsidRPr="00892712">
        <w:rPr>
          <w:rFonts w:ascii="Garamond" w:hAnsi="Garamond" w:cs="Arial"/>
          <w:i/>
          <w:iCs/>
          <w:color w:val="000000"/>
          <w:lang w:val="en-GB"/>
        </w:rPr>
        <w:t>zwei</w:t>
      </w:r>
      <w:r w:rsidRPr="00892712">
        <w:rPr>
          <w:rFonts w:ascii="Garamond" w:hAnsi="Garamond" w:cs="Arial"/>
          <w:color w:val="000000"/>
          <w:lang w:val="en-GB"/>
        </w:rPr>
        <w:t xml:space="preserve"> Volksmassen, die zur Bildung der Nation zusammentreten, </w:t>
      </w:r>
      <w:r w:rsidRPr="00892712">
        <w:rPr>
          <w:rFonts w:ascii="Garamond" w:hAnsi="Garamond" w:cs="Arial"/>
          <w:i/>
          <w:iCs/>
          <w:color w:val="000000"/>
          <w:lang w:val="en-GB"/>
        </w:rPr>
        <w:t>zwei</w:t>
      </w:r>
      <w:r w:rsidRPr="00892712">
        <w:rPr>
          <w:rFonts w:ascii="Garamond" w:hAnsi="Garamond" w:cs="Arial"/>
          <w:color w:val="000000"/>
          <w:lang w:val="en-GB"/>
        </w:rPr>
        <w:t xml:space="preserve"> Reiche, in die diese Nation zerfällt, </w:t>
      </w:r>
      <w:r w:rsidRPr="00892712">
        <w:rPr>
          <w:rFonts w:ascii="Garamond" w:hAnsi="Garamond" w:cs="Arial"/>
          <w:i/>
          <w:iCs/>
          <w:color w:val="000000"/>
          <w:lang w:val="en-GB"/>
        </w:rPr>
        <w:t>zwei</w:t>
      </w:r>
      <w:r w:rsidRPr="00892712">
        <w:rPr>
          <w:rFonts w:ascii="Garamond" w:hAnsi="Garamond" w:cs="Arial"/>
          <w:color w:val="000000"/>
          <w:lang w:val="en-GB"/>
        </w:rPr>
        <w:t xml:space="preserve"> Gottesnamen in den Quellenschriften der Bibel – fügen wir zwei neue hinzu: </w:t>
      </w:r>
      <w:r w:rsidRPr="00892712">
        <w:rPr>
          <w:rFonts w:ascii="Garamond" w:hAnsi="Garamond" w:cs="Arial"/>
          <w:i/>
          <w:iCs/>
          <w:color w:val="000000"/>
          <w:lang w:val="en-GB"/>
        </w:rPr>
        <w:t>Zwei</w:t>
      </w:r>
      <w:r w:rsidRPr="00892712">
        <w:rPr>
          <w:rFonts w:ascii="Garamond" w:hAnsi="Garamond" w:cs="Arial"/>
          <w:color w:val="000000"/>
          <w:lang w:val="en-GB"/>
        </w:rPr>
        <w:t xml:space="preserve"> Religionsstiftungen, die erste durch die andere verdrängt und später doch siegreich hinter ihr zum Vorschein gekommen, </w:t>
      </w:r>
      <w:r w:rsidRPr="00892712">
        <w:rPr>
          <w:rFonts w:ascii="Garamond" w:hAnsi="Garamond" w:cs="Arial"/>
          <w:i/>
          <w:iCs/>
          <w:color w:val="000000"/>
          <w:lang w:val="en-GB"/>
        </w:rPr>
        <w:t>zwei</w:t>
      </w:r>
      <w:r w:rsidRPr="00892712">
        <w:rPr>
          <w:rFonts w:ascii="Garamond" w:hAnsi="Garamond" w:cs="Arial"/>
          <w:color w:val="000000"/>
          <w:lang w:val="en-GB"/>
        </w:rPr>
        <w:t xml:space="preserve"> Religionsstifter, die beide mit dem gleichen Namen Moses benannt werden und deren Persönlichkeiten wir voneinander zu sondern haben. Und alle diese Zweiheiten sind notwendige Folgen der ersten, der Tatsache, daß der eine Bestandteil des Volkes ein traumatisch zu wertendes Erlebnis gehabt hatte, das dem anderen fern geblieben war. Darüber hinaus gäbe es noch sehr viel zu erörtern, zu erklären und zu behaupten. Erst dann ließe sich eigentlich das Interesse an unserer rein historischen Studie rechtfertigen. Worin die eigentliche Natur einer Tradition besteht und worauf ihre besondere Macht beruht, wie unmöglich es ist, den persönlichen Einfluß einzelner großer Männer auf die Weltgeschichte zu leugnen, welchen Frevel an der großartigen Mannigfaltigkeit des Menschenlebens man begeht, wenn man nur Motive aus materiellen Bedürfnissen anerkennen will, aus welchen Quellen manche, besonders die religiösen Ideen die Kraft schöpfen, mit der sie Menschen wie Völker unterjochen – all dies am Spezialfall der jüdischen Geschichte zu studieren wäre eine verlockende Aufgabe. Eine solche Fortsetzung meiner Arbeit würde den Anschluß finden an Ausführungen, die ich vor 25 Jahren in </w:t>
      </w:r>
      <w:r w:rsidRPr="00892712">
        <w:rPr>
          <w:rFonts w:ascii="Garamond" w:hAnsi="Garamond" w:cs="Arial"/>
          <w:i/>
          <w:iCs/>
          <w:color w:val="000000"/>
          <w:lang w:val="en-GB"/>
        </w:rPr>
        <w:t>Totem und Tabu</w:t>
      </w:r>
      <w:r w:rsidRPr="00892712">
        <w:rPr>
          <w:rFonts w:ascii="Garamond" w:hAnsi="Garamond" w:cs="Arial"/>
          <w:color w:val="000000"/>
          <w:lang w:val="en-GB"/>
        </w:rPr>
        <w:t xml:space="preserve"> niedergelegt habe. Aber ich traue mir nicht mehr die Kraft zu, dies zu leisten.</w:t>
      </w:r>
    </w:p>
    <w:p w:rsidR="00032727" w:rsidRDefault="00032727" w:rsidP="00032727">
      <w:pPr>
        <w:shd w:val="clear" w:color="auto" w:fill="FFFFFF"/>
        <w:spacing w:before="88" w:after="88" w:line="306" w:lineRule="atLeast"/>
        <w:outlineLvl w:val="2"/>
        <w:rPr>
          <w:rFonts w:ascii="Garamond" w:hAnsi="Garamond" w:cs="Arial"/>
          <w:b/>
          <w:bCs/>
          <w:color w:val="F38030"/>
          <w:lang w:val="en-GB"/>
        </w:rPr>
      </w:pPr>
    </w:p>
    <w:p w:rsidR="00032727" w:rsidRPr="00E44B1F" w:rsidRDefault="00032727" w:rsidP="00032727">
      <w:pPr>
        <w:shd w:val="clear" w:color="auto" w:fill="FFFFFF"/>
        <w:spacing w:before="88" w:after="88" w:line="306" w:lineRule="atLeast"/>
        <w:outlineLvl w:val="2"/>
        <w:rPr>
          <w:rStyle w:val="Lienhypertexte"/>
          <w:rFonts w:ascii="Garamond" w:hAnsi="Garamond" w:cs="Arial"/>
          <w:b/>
          <w:bCs/>
          <w:lang w:val="en-GB"/>
        </w:rPr>
      </w:pPr>
      <w:r>
        <w:rPr>
          <w:rFonts w:ascii="Garamond" w:hAnsi="Garamond" w:cs="Arial"/>
          <w:b/>
          <w:bCs/>
          <w:color w:val="F38030"/>
          <w:lang w:val="en-GB"/>
        </w:rPr>
        <w:br w:type="page"/>
      </w:r>
      <w:r w:rsidR="00B437A1">
        <w:rPr>
          <w:rFonts w:ascii="Garamond" w:hAnsi="Garamond" w:cs="Arial"/>
          <w:b/>
          <w:bCs/>
          <w:color w:val="F38030"/>
          <w:lang w:val="en-GB"/>
        </w:rPr>
        <w:lastRenderedPageBreak/>
        <w:fldChar w:fldCharType="begin"/>
      </w:r>
      <w:r>
        <w:rPr>
          <w:rFonts w:ascii="Garamond" w:hAnsi="Garamond" w:cs="Arial"/>
          <w:b/>
          <w:bCs/>
          <w:color w:val="F38030"/>
          <w:lang w:val="en-GB"/>
        </w:rPr>
        <w:instrText xml:space="preserve"> HYPERLINK  \l "MosesINHALT" </w:instrText>
      </w:r>
      <w:r w:rsidR="00B437A1">
        <w:rPr>
          <w:rFonts w:ascii="Garamond" w:hAnsi="Garamond" w:cs="Arial"/>
          <w:b/>
          <w:bCs/>
          <w:color w:val="F38030"/>
          <w:lang w:val="en-GB"/>
        </w:rPr>
        <w:fldChar w:fldCharType="separate"/>
      </w:r>
      <w:r w:rsidRPr="00E44B1F">
        <w:rPr>
          <w:rStyle w:val="Lienhypertexte"/>
          <w:rFonts w:ascii="Garamond" w:hAnsi="Garamond" w:cs="Arial"/>
          <w:b/>
          <w:bCs/>
          <w:lang w:val="en-GB"/>
        </w:rPr>
        <w:t>III. Mo</w:t>
      </w:r>
      <w:bookmarkStart w:id="244" w:name="Moses3"/>
      <w:bookmarkEnd w:id="244"/>
      <w:r w:rsidRPr="00E44B1F">
        <w:rPr>
          <w:rStyle w:val="Lienhypertexte"/>
          <w:rFonts w:ascii="Garamond" w:hAnsi="Garamond" w:cs="Arial"/>
          <w:b/>
          <w:bCs/>
          <w:lang w:val="en-GB"/>
        </w:rPr>
        <w:t>ses, sein Volk und die monotheistische Religion</w:t>
      </w:r>
    </w:p>
    <w:p w:rsidR="00032727" w:rsidRPr="00892712" w:rsidRDefault="00032727" w:rsidP="00032727">
      <w:pPr>
        <w:shd w:val="clear" w:color="auto" w:fill="FFFFFF"/>
        <w:spacing w:before="88" w:after="88" w:line="306" w:lineRule="atLeast"/>
        <w:outlineLvl w:val="2"/>
        <w:rPr>
          <w:rFonts w:ascii="Garamond" w:hAnsi="Garamond" w:cs="Arial"/>
          <w:b/>
          <w:bCs/>
          <w:color w:val="F38030"/>
          <w:lang w:val="en-GB"/>
        </w:rPr>
      </w:pPr>
      <w:r w:rsidRPr="00E44B1F">
        <w:rPr>
          <w:rStyle w:val="Lienhypertexte"/>
          <w:rFonts w:ascii="Garamond" w:hAnsi="Garamond" w:cs="Arial"/>
          <w:b/>
          <w:bCs/>
          <w:i/>
          <w:iCs/>
          <w:lang w:val="en-GB"/>
        </w:rPr>
        <w:t>Erster Teil</w:t>
      </w:r>
      <w:r w:rsidR="00B437A1">
        <w:rPr>
          <w:rFonts w:ascii="Garamond" w:hAnsi="Garamond" w:cs="Arial"/>
          <w:b/>
          <w:bCs/>
          <w:color w:val="F38030"/>
          <w:lang w:val="en-GB"/>
        </w:rPr>
        <w:fldChar w:fldCharType="end"/>
      </w:r>
    </w:p>
    <w:p w:rsidR="00032727" w:rsidRDefault="00032727" w:rsidP="00032727">
      <w:pPr>
        <w:shd w:val="clear" w:color="auto" w:fill="FFFFFF"/>
        <w:spacing w:before="221" w:after="44" w:line="306" w:lineRule="atLeast"/>
        <w:outlineLvl w:val="3"/>
        <w:rPr>
          <w:rFonts w:ascii="Garamond" w:hAnsi="Garamond" w:cs="Arial"/>
          <w:b/>
          <w:bCs/>
          <w:color w:val="000000"/>
          <w:lang w:val="en-GB"/>
        </w:rPr>
      </w:pPr>
    </w:p>
    <w:p w:rsidR="00032727" w:rsidRPr="00892712" w:rsidRDefault="00B437A1" w:rsidP="00032727">
      <w:pPr>
        <w:shd w:val="clear" w:color="auto" w:fill="FFFFFF"/>
        <w:spacing w:before="221" w:after="44" w:line="306" w:lineRule="atLeast"/>
        <w:outlineLvl w:val="3"/>
        <w:rPr>
          <w:rFonts w:ascii="Garamond" w:hAnsi="Garamond" w:cs="Arial"/>
          <w:b/>
          <w:bCs/>
          <w:color w:val="000000"/>
          <w:lang w:val="en-GB"/>
        </w:rPr>
      </w:pPr>
      <w:hyperlink w:anchor="MosesINHALT" w:history="1">
        <w:r w:rsidR="00032727" w:rsidRPr="00E44B1F">
          <w:rPr>
            <w:rStyle w:val="Lienhypertexte"/>
            <w:rFonts w:ascii="Garamond" w:hAnsi="Garamond" w:cs="Arial"/>
            <w:b/>
            <w:bCs/>
            <w:lang w:val="en-GB"/>
          </w:rPr>
          <w:t>Vo</w:t>
        </w:r>
        <w:bookmarkStart w:id="245" w:name="Moses3_1_a"/>
        <w:bookmarkEnd w:id="245"/>
        <w:r w:rsidR="00032727" w:rsidRPr="00E44B1F">
          <w:rPr>
            <w:rStyle w:val="Lienhypertexte"/>
            <w:rFonts w:ascii="Garamond" w:hAnsi="Garamond" w:cs="Arial"/>
            <w:b/>
            <w:bCs/>
            <w:lang w:val="en-GB"/>
          </w:rPr>
          <w:t>rbemerkung I</w:t>
        </w:r>
      </w:hyperlink>
    </w:p>
    <w:p w:rsidR="00032727" w:rsidRPr="00892712" w:rsidRDefault="00032727" w:rsidP="00032727">
      <w:pPr>
        <w:shd w:val="clear" w:color="auto" w:fill="FFFFFF"/>
        <w:spacing w:before="120" w:after="120" w:line="124" w:lineRule="atLeast"/>
        <w:outlineLvl w:val="5"/>
        <w:rPr>
          <w:rFonts w:ascii="Garamond" w:hAnsi="Garamond" w:cs="Arial"/>
          <w:b/>
          <w:bCs/>
          <w:caps/>
          <w:color w:val="000000"/>
          <w:lang w:val="en-GB"/>
        </w:rPr>
      </w:pPr>
      <w:r w:rsidRPr="00892712">
        <w:rPr>
          <w:rFonts w:ascii="Garamond" w:hAnsi="Garamond" w:cs="Arial"/>
          <w:b/>
          <w:bCs/>
          <w:caps/>
          <w:color w:val="000000"/>
          <w:lang w:val="en-GB"/>
        </w:rPr>
        <w:t xml:space="preserve">( </w:t>
      </w:r>
      <w:r w:rsidRPr="00892712">
        <w:rPr>
          <w:rFonts w:ascii="Garamond" w:hAnsi="Garamond" w:cs="Arial"/>
          <w:b/>
          <w:bCs/>
          <w:i/>
          <w:iCs/>
          <w:caps/>
          <w:color w:val="000000"/>
          <w:lang w:val="en-GB"/>
        </w:rPr>
        <w:t>Vor dem März 1938</w:t>
      </w:r>
      <w:r w:rsidRPr="00892712">
        <w:rPr>
          <w:rFonts w:ascii="Garamond" w:hAnsi="Garamond" w:cs="Arial"/>
          <w:b/>
          <w:bCs/>
          <w:caps/>
          <w:color w:val="000000"/>
          <w:lang w:val="en-GB"/>
        </w:rPr>
        <w:t>)</w:t>
      </w:r>
    </w:p>
    <w:p w:rsidR="00032727" w:rsidRDefault="00032727" w:rsidP="00032727">
      <w:pPr>
        <w:shd w:val="clear" w:color="auto" w:fill="FFFFFF"/>
        <w:spacing w:before="120" w:after="120" w:line="124" w:lineRule="atLeast"/>
        <w:rPr>
          <w:rFonts w:ascii="Garamond" w:hAnsi="Garamond" w:cs="Arial"/>
          <w:color w:val="000000"/>
          <w:lang w:val="en-GB"/>
        </w:rPr>
      </w:pP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Mit der Verwegenheit dessen, der nichts oder wenig zu verlieren hat, gehe ich daran, einen gut begründeten Vorsatz zum zweitenmal zu brechen und den beiden Abhandlungen über Moses in </w:t>
      </w:r>
      <w:r w:rsidRPr="00892712">
        <w:rPr>
          <w:rFonts w:ascii="Garamond" w:hAnsi="Garamond" w:cs="Arial"/>
          <w:i/>
          <w:iCs/>
          <w:color w:val="000000"/>
          <w:lang w:val="en-GB"/>
        </w:rPr>
        <w:t>Imago</w:t>
      </w:r>
      <w:r w:rsidRPr="00892712">
        <w:rPr>
          <w:rFonts w:ascii="Garamond" w:hAnsi="Garamond" w:cs="Arial"/>
          <w:color w:val="000000"/>
          <w:lang w:val="en-GB"/>
        </w:rPr>
        <w:t xml:space="preserve"> (Bd. XXIII, Heft 1 und 3) das zurückgehaltene Endstück nachzuschicken. Ich schloß mit der Versicherung, ich wisse, daß meine Kräfte dazu nicht ausreichen würden, meinte natürlich die Abschwächung der schöpferischen Fähigkeiten, die mit dem hohen Alter einhergeht </w:t>
      </w:r>
      <w:hyperlink r:id="rId1347"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Ich teile nicht die Ansicht meines Altersgenossen, Bernard Shaw, daß die Menschen erst dann etwas Rechtes leisten würden, wenn sie 300 Jahre alt werden könnten. Mit der Verlängerung der Lebensdauer wäre nichts erreicht, es müßte denn vieles andere an den Lebensbedingungen vom Grunde aus geändert werden.</w:t>
        </w:r>
      </w:hyperlink>
      <w:r w:rsidRPr="00892712">
        <w:rPr>
          <w:rFonts w:ascii="Garamond" w:hAnsi="Garamond" w:cs="Arial"/>
          <w:color w:val="000000"/>
          <w:lang w:val="en-GB"/>
        </w:rPr>
        <w:t>, aber ich dachte auch an ein anderes Hemmnis.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leben in einer besonders merkwürdigen Zeit. Wir finden mit Erstaunen, daß der Fortschritt ein Bündnis mit der Barbarei geschlossen hat. In Sowjetrußland hat man es unternommen, etwa 100 Millionen in der Unterdrückung festgehaltener Menschen zu besseren Lebensformen zu erheben. Man war verwegen genug, ihnen das »Rauschgift« der Religion zu entziehen, und so weise, ihnen ein verständiges Maß von sexueller Freiheit zu geben, aber dabei unterwarf man sie dem grausamsten Zwang und raubte ihnen jede Möglichkeit der Denkfreiheit. Mit ähnlicher Gewalttätigkeit wird das italienische Volk zu Ordnung und Pflichtgefühl erzogen. Man empfindet es als Erleichterung von einer bedrückenden Sorge, wenn man im Fall des deutschen Volkes sieht, daß der Rückfall in nahezu vorgeschichtliche Barbarei auch ohne Anlehnung an irgendeine fortschrittliche Idee vor sich gehen kann. Immerhin hat es sich so gestaltet, daß heute die konservativen Demokratien die Hüter des kulturellen Fortschritts geworden sind und daß sonderbarerweise gerade die Institution der katholischen Kirche der Ausbreitung jener kulturellen Gefahr eine kräftige Abwehr entgegensetzt. Sie, bisher die unerbittliche Feindin der Denkfreiheit und des Fortschritts zur Erkenntnis der Wahrheit!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leben hier in einem </w:t>
      </w:r>
      <w:smartTag w:uri="urn:schemas-microsoft-com:office:smarttags" w:element="place">
        <w:smartTag w:uri="urn:schemas-microsoft-com:office:smarttags" w:element="PlaceName">
          <w:r w:rsidRPr="00892712">
            <w:rPr>
              <w:rFonts w:ascii="Garamond" w:hAnsi="Garamond" w:cs="Arial"/>
              <w:color w:val="000000"/>
              <w:lang w:val="en-GB"/>
            </w:rPr>
            <w:t>katholischen</w:t>
          </w:r>
        </w:smartTag>
        <w:r w:rsidRPr="00892712">
          <w:rPr>
            <w:rFonts w:ascii="Garamond" w:hAnsi="Garamond" w:cs="Arial"/>
            <w:color w:val="000000"/>
            <w:lang w:val="en-GB"/>
          </w:rPr>
          <w:t xml:space="preserve"> </w:t>
        </w:r>
        <w:smartTag w:uri="urn:schemas-microsoft-com:office:smarttags" w:element="PlaceType">
          <w:r w:rsidRPr="00892712">
            <w:rPr>
              <w:rFonts w:ascii="Garamond" w:hAnsi="Garamond" w:cs="Arial"/>
              <w:color w:val="000000"/>
              <w:lang w:val="en-GB"/>
            </w:rPr>
            <w:t>Land</w:t>
          </w:r>
        </w:smartTag>
      </w:smartTag>
      <w:r w:rsidRPr="00892712">
        <w:rPr>
          <w:rFonts w:ascii="Garamond" w:hAnsi="Garamond" w:cs="Arial"/>
          <w:color w:val="000000"/>
          <w:lang w:val="en-GB"/>
        </w:rPr>
        <w:t xml:space="preserve"> unter dem Schutz dieser Kirche, unsicher, wie lange er vorhalten wird. Solange er aber besteht, haben wir natürlich Bedenken, etwas zu tun, was die Feindschaft der Kirche erwecken muß. Es ist nicht Feigheit, sondern Vorsicht; der neue Feind, dem zu Dienst zu sein wir uns hüten wollen, ist gefährlicher als der alte, mit dem uns zu vertragen wir bereits gelernt haben. Die psychoanalytische Forschung, die wir pflegen, ist ohnedies der Gegenstand mißtrauischer Aufmerksamkeit von Seiten des Katholizismus. Wir werden nicht behaupten, es sei so mit Unrecht. Wenn unsere Arbeit uns zu einem Ergebnis führt, das die Religion auf eine Menschheitsneurose reduziert und ihre großartige Macht in der gleichen Weise aufklärt wie den neurotischen Zwang bei den einzelnen unserer Patienten, so sind wir sicher, den stärksten Unwillen der bei uns herrschenden Mächte auf uns zu ziehen. Nicht, daß wir etwas zu sagen hätten, was neu wäre, was wir nicht schon vor einem Vierteljahrhundert deutlich genug gesagt haben, aber das ist seither vergessen worden, und es kann nicht wirkungslos bleiben, wenn wir es heute wiederholen und an einem für alle Religionsstiftungen maßgebenden Beispiel erläutern. Es würde wahrscheinlich dazu führen, daß uns die Betätigung in der Psychoanalyse verboten wird. Jene gewalttätigen Methoden der Unterdrückung sind der Kirche ja keineswegs fremd, sie empfindet es vielmehr als Einbruch in ihre Vorrechte, wenn auch andere sich ihrer bedienen. Die Psychoanalyse aber, die im Laufe meines langen Lebens überallhin gekommen ist, hat noch immer kein Heim, das wertvoller für sie wäre als eben die Stadt, wo sie geboren und herangewachsen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Ich glaube es nicht nur, ich weiß es, daß ich mich durch dies andere Hindernis, durch die äußere Gefahr, abhalten lassen werde, den letzten Teil meiner Studie über Moses zu veröffentlichen. Ich habe noch einen Versuch gemacht, mir die Schwierigkeit aus dem Weg zu räumen, indem ich mir sagte, der Angst liege eine Überschätzung meiner persönlichen Bedeutung zugrunde. Wahrscheinlich werde es den maßgebenden Stellen recht gleichgültig sein, was ich über Moses und den Ursprung der monotheistischen Religionen </w:t>
      </w:r>
      <w:r w:rsidRPr="00892712">
        <w:rPr>
          <w:rFonts w:ascii="Garamond" w:hAnsi="Garamond" w:cs="Arial"/>
          <w:color w:val="000000"/>
          <w:lang w:val="en-GB"/>
        </w:rPr>
        <w:lastRenderedPageBreak/>
        <w:t xml:space="preserve">schreiben wolle. Aber ich fühle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da nicht sicher im Urteil. Viel eher erscheint es mir möglich, daß Bosheit und Sensationslust das wettmachen werden, was mir im Urteil der Mitwelt an Geltung fehlt. Ich werde diese Arbeit also nicht bekanntmachen, aber das braucht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nicht abzuhalten, sie zu schreiben. Besonders da ich sie schon einmal, vor jetzt zwei Jahren, niedergeschrieben habe, so daß ich sie bloß umzuarbeiten und an die beiden vorausgeschickten Aufsätze anzufügen habe. Sie mag dann in der Verborgenheit aufbewahrt bleiben, bis einmal die Zeit kommt, wann sie sich gefahrlos ans Licht wagen darf, oder bis man einem, der sich zu denselben Schlüssen und Meinungen bekennt, sagen kann, es war schon einmal in dunkleren Zeiten jemand da, der sich das nämliche wie du gedacht hat.</w:t>
      </w:r>
    </w:p>
    <w:p w:rsidR="00032727" w:rsidRDefault="00032727" w:rsidP="00032727">
      <w:pPr>
        <w:shd w:val="clear" w:color="auto" w:fill="FFFFFF"/>
        <w:spacing w:before="120" w:after="120" w:line="124" w:lineRule="atLeast"/>
        <w:outlineLvl w:val="5"/>
        <w:rPr>
          <w:rFonts w:ascii="Garamond" w:hAnsi="Garamond" w:cs="Arial"/>
          <w:b/>
          <w:bCs/>
          <w:caps/>
          <w:color w:val="000000"/>
          <w:lang w:val="en-GB"/>
        </w:rPr>
      </w:pPr>
      <w:r>
        <w:rPr>
          <w:rFonts w:ascii="Garamond" w:hAnsi="Garamond" w:cs="Arial"/>
          <w:b/>
          <w:bCs/>
          <w:caps/>
          <w:color w:val="000000"/>
          <w:lang w:val="en-GB"/>
        </w:rPr>
        <w:br w:type="page"/>
      </w:r>
      <w:hyperlink w:anchor="MosesINHALT" w:history="1">
        <w:r w:rsidRPr="00E44B1F">
          <w:rPr>
            <w:rStyle w:val="Lienhypertexte"/>
            <w:rFonts w:ascii="Garamond" w:hAnsi="Garamond" w:cs="Arial"/>
            <w:b/>
            <w:bCs/>
            <w:caps/>
            <w:lang w:val="en-GB"/>
          </w:rPr>
          <w:t>VO</w:t>
        </w:r>
        <w:bookmarkStart w:id="246" w:name="Moses3_1_b"/>
        <w:bookmarkEnd w:id="246"/>
        <w:r w:rsidRPr="00E44B1F">
          <w:rPr>
            <w:rStyle w:val="Lienhypertexte"/>
            <w:rFonts w:ascii="Garamond" w:hAnsi="Garamond" w:cs="Arial"/>
            <w:b/>
            <w:bCs/>
            <w:caps/>
            <w:lang w:val="en-GB"/>
          </w:rPr>
          <w:t>RBEMERKUNG II</w:t>
        </w:r>
      </w:hyperlink>
    </w:p>
    <w:p w:rsidR="00032727" w:rsidRPr="00032727" w:rsidRDefault="00032727" w:rsidP="00032727">
      <w:pPr>
        <w:shd w:val="clear" w:color="auto" w:fill="FFFFFF"/>
        <w:spacing w:before="120" w:after="120" w:line="124" w:lineRule="atLeast"/>
        <w:outlineLvl w:val="5"/>
        <w:rPr>
          <w:rFonts w:ascii="Garamond" w:hAnsi="Garamond" w:cs="Arial"/>
          <w:bCs/>
          <w:caps/>
          <w:color w:val="000000"/>
          <w:lang w:val="en-GB"/>
        </w:rPr>
      </w:pPr>
      <w:r w:rsidRPr="00892712">
        <w:rPr>
          <w:rFonts w:ascii="Garamond" w:hAnsi="Garamond" w:cs="Arial"/>
          <w:b/>
          <w:bCs/>
          <w:caps/>
          <w:color w:val="000000"/>
          <w:lang w:val="en-GB"/>
        </w:rPr>
        <w:t xml:space="preserve"> </w:t>
      </w:r>
      <w:r w:rsidRPr="00032727">
        <w:rPr>
          <w:rFonts w:ascii="Garamond" w:hAnsi="Garamond" w:cs="Arial"/>
          <w:bCs/>
          <w:caps/>
          <w:color w:val="000000"/>
          <w:lang w:val="en-GB"/>
        </w:rPr>
        <w:t xml:space="preserve">( </w:t>
      </w:r>
      <w:r w:rsidRPr="00032727">
        <w:rPr>
          <w:rFonts w:ascii="Garamond" w:hAnsi="Garamond" w:cs="Arial"/>
          <w:bCs/>
          <w:iCs/>
          <w:caps/>
          <w:color w:val="000000"/>
          <w:sz w:val="18"/>
          <w:szCs w:val="18"/>
          <w:lang w:val="en-GB"/>
        </w:rPr>
        <w:t>Im Juni 1938</w:t>
      </w:r>
      <w:r>
        <w:rPr>
          <w:rFonts w:ascii="Garamond" w:hAnsi="Garamond" w:cs="Arial"/>
          <w:bCs/>
          <w:i/>
          <w:iCs/>
          <w:caps/>
          <w:color w:val="000000"/>
          <w:lang w:val="en-GB"/>
        </w:rPr>
        <w:t xml:space="preserve"> </w:t>
      </w:r>
      <w:r w:rsidRPr="00032727">
        <w:rPr>
          <w:rFonts w:ascii="Garamond" w:hAnsi="Garamond" w:cs="Arial"/>
          <w:bCs/>
          <w:caps/>
          <w:color w:val="000000"/>
          <w:lang w:val="en-GB"/>
        </w:rPr>
        <w:t>)</w:t>
      </w:r>
    </w:p>
    <w:p w:rsidR="00032727" w:rsidRDefault="00032727" w:rsidP="00032727">
      <w:pPr>
        <w:shd w:val="clear" w:color="auto" w:fill="FFFFFF"/>
        <w:spacing w:before="120" w:after="120" w:line="124" w:lineRule="atLeast"/>
        <w:rPr>
          <w:rFonts w:ascii="Garamond" w:hAnsi="Garamond" w:cs="Arial"/>
          <w:color w:val="000000"/>
          <w:lang w:val="en-GB"/>
        </w:rPr>
      </w:pP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ganz besonderen Schwierigkeiten, die mich während der Abfassung dieser an die Person des Moses anknüpfenden Studie belastet haben – innere Bedenken sowie äußere Abhaltungen –, bringen es mit sich, daß dieser dritte, abschließende Aufsatz von zwei verschiedenen Vorreden eingeleitet wird, die einander widersprechen, ja einander aufheben. Denn in dem kurzen Zeitraum zwischen beiden haben sich die äußeren Verhältnisse des Schreibers gründlich geändert. Ich lebte damals unter dem Schutz der katholischen Kirche und stand unter der Angst, daß ich durch meine Publikation diesen Schutz verlieren und ein Arbeitsverbot für die Anhänger und Schüler der Psychoanalyse in Österreich heraufbeschwören würde. Und dann kam plötzlich die deutsche Invasion; der Katholizismus erwies sich, mit biblischen Worten zu reden, als ein »schwankes Rohr«. In der Gewißheit, jetzt nicht nur meiner Denkweise, sondern auch meiner »Rasse« wegen verfolgt zu werden, verließ ich mit vielen Freunden die Stadt, die mir von früher Kindheit an, durch 78 Jahre, Heimat gewesen war.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Ich fand die freundlichste Aufnahme in dem schönen, freien, großherzigen </w:t>
      </w:r>
      <w:smartTag w:uri="urn:schemas-microsoft-com:office:smarttags" w:element="country-region">
        <w:smartTag w:uri="urn:schemas-microsoft-com:office:smarttags" w:element="place">
          <w:r w:rsidRPr="00892712">
            <w:rPr>
              <w:rFonts w:ascii="Garamond" w:hAnsi="Garamond" w:cs="Arial"/>
              <w:color w:val="000000"/>
              <w:lang w:val="en-GB"/>
            </w:rPr>
            <w:t>England</w:t>
          </w:r>
        </w:smartTag>
      </w:smartTag>
      <w:r w:rsidRPr="00892712">
        <w:rPr>
          <w:rFonts w:ascii="Garamond" w:hAnsi="Garamond" w:cs="Arial"/>
          <w:color w:val="000000"/>
          <w:lang w:val="en-GB"/>
        </w:rPr>
        <w:t>. Hier lebe ich nun, ein gern gesehener Gast, atme auf, daß jener Druck von mir genommen ist und daß ich wieder reden und schreiben – bald hätte ich gesagt: denken darf, wie ich will oder muß. Ich wage es, das letzte Stück meiner Arbeit vor die Öffentlichkeit zu bringen.</w:t>
      </w:r>
    </w:p>
    <w:p w:rsidR="00032727" w:rsidRPr="00032727" w:rsidRDefault="00032727" w:rsidP="00032727">
      <w:pPr>
        <w:shd w:val="clear" w:color="auto" w:fill="FFFFFF"/>
        <w:spacing w:before="120" w:after="120" w:line="124" w:lineRule="atLeast"/>
        <w:rPr>
          <w:rFonts w:ascii="Garamond" w:hAnsi="Garamond" w:cs="Arial"/>
          <w:color w:val="000000"/>
          <w:lang w:val="en-US"/>
        </w:rPr>
      </w:pPr>
      <w:r w:rsidRPr="00032727">
        <w:rPr>
          <w:rFonts w:ascii="Garamond" w:hAnsi="Garamond" w:cs="Arial"/>
          <w:color w:val="000000"/>
          <w:lang w:val="en-US"/>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Keine äußeren Abhaltungen mehr oder wenigstens keine solchen, vor denen man zurückschrecken darf. Ich habe in den wenigen Wochen meines Aufenthalts hier eine Unzahl von Begrüßungen erhalten von Freunden, die sich meiner Anwesenheit freuten, von Unbekannten, ja Unbeteiligten, die nur ihrer Befriedigung darüber Ausdruck geben wollten, daß ich hier Freiheit und Sicherheit gefunden habe. Und dazu kamen, in einer für den Fremden überraschenden Häufigkeit, Zuschriften anderer Art, die sich um mein Seelenheil bemühten, die mir die Wege Christi weisen und mich über die Zukunft Israels aufklären wollten.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guten Leute, die so schrieben, können nicht viel von mir gewußt haben; aber ich erwarte, wenn diese Arbeit über Moses durch eine Übersetzung unter meinen neuen Volksgenossen bekannt wird, werde ich auch bei einer Anzahl von anderen genug von den Sympathien einbüßen, die sie mir jetzt entgegenbringen.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An den inneren Schwierigkeiten konnten politischer Umschwung und Wechsel des Wohnorts nichts verändern. Nach wie vor fühle ich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unsicher angesichts meiner eigenen Arbeit, vermisse ich das Bewußtsein der Einheit und Zusammengehörigkeit, das zwischen dem Autor und seinem Werk bestehen soll. </w:t>
      </w:r>
      <w:r w:rsidRPr="00892712">
        <w:rPr>
          <w:rFonts w:ascii="Garamond" w:hAnsi="Garamond" w:cs="Arial"/>
          <w:color w:val="000000"/>
        </w:rPr>
        <w:t xml:space="preserve">Nicht etwa, daß es mir an der Überzeugung von der Richtigkeit des Ergebnisses mangeln sollte. </w:t>
      </w:r>
      <w:r w:rsidRPr="00892712">
        <w:rPr>
          <w:rFonts w:ascii="Garamond" w:hAnsi="Garamond" w:cs="Arial"/>
          <w:color w:val="000000"/>
          <w:lang w:val="en-GB"/>
        </w:rPr>
        <w:t xml:space="preserve">Diese habe ich mir schon vor einem Vierteljahrhundert erworben, als ich das Buch über </w:t>
      </w:r>
      <w:r w:rsidRPr="00892712">
        <w:rPr>
          <w:rFonts w:ascii="Garamond" w:hAnsi="Garamond" w:cs="Arial"/>
          <w:i/>
          <w:iCs/>
          <w:color w:val="000000"/>
          <w:lang w:val="en-GB"/>
        </w:rPr>
        <w:t>Totem und Tabu</w:t>
      </w:r>
      <w:r w:rsidRPr="00892712">
        <w:rPr>
          <w:rFonts w:ascii="Garamond" w:hAnsi="Garamond" w:cs="Arial"/>
          <w:color w:val="000000"/>
          <w:lang w:val="en-GB"/>
        </w:rPr>
        <w:t xml:space="preserve"> schrieb, 1912, und sie hat sich seither nur verstärkt. Ich habe seit damals nicht mehr bezweifelt, daß die religiösen Phänomene nur nach dem Muster der uns vertrauten neurotischen Symptome des Individuums zu verstehen sind, als Wiederkehren von längst vergessenen, bedeutsamen Vorgängen in der Urgeschichte der menschlichen Familie, daß sie ihren zwanghaften Charakter eben diesem Ursprung verdanken und also kraft ihres Gehalts an </w:t>
      </w:r>
      <w:r w:rsidRPr="00892712">
        <w:rPr>
          <w:rFonts w:ascii="Garamond" w:hAnsi="Garamond" w:cs="Arial"/>
          <w:i/>
          <w:iCs/>
          <w:color w:val="000000"/>
          <w:lang w:val="en-GB"/>
        </w:rPr>
        <w:t>historischer</w:t>
      </w:r>
      <w:r w:rsidRPr="00892712">
        <w:rPr>
          <w:rFonts w:ascii="Garamond" w:hAnsi="Garamond" w:cs="Arial"/>
          <w:color w:val="000000"/>
          <w:lang w:val="en-GB"/>
        </w:rPr>
        <w:t xml:space="preserve"> Wahrheit auf die Menschen wirken. Meine Unsicherheit setzt erst ein, wenn ich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frage, ob es mir gelungen ist, diese Sätze für das hier gewählte Beispiel des jüdischen Monotheismus zu erweisen. Meiner Kritik erscheint diese vom Manne Moses ausgehende Arbeit wie eine Tänzerin, die auf einer Zehenspitze balanciert. Wenn ich mich nicht auf die eine analytische Deutung des Aussetzungsmythus stützen und von da aus zur Sellinschen Vermutung über den Ausgang des Moses übergreifen könnte, hätte das Ganze ungeschrieben bleiben müssen. Immerhin sei es jetzt gewagt.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Ich beginne damit, die Ergebnisse meiner zweiten, der rein historischen Studie über Moses zu resümieren. Sie werden hier keiner neuerlichen Kritik unterzogen werden, denn sie bilden die Voraussetzung der psychologischen Erörterungen, die von ihnen ausgehen und immer wieder auf sie zurückkommen.</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A. Die historische Voraussetzung</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lastRenderedPageBreak/>
        <w:t>Der historische Hintergrund der Ereignisse, die unser Interesse gefesselt haben, ist also folgender: Durch die Eroberungen der 18ten Dynastie ist Ägypten ein Weltreich geworden. Der neue Imperialismus spiegelt sich wider in der Entwicklung der religiösen Vorstellungen, wenn nicht des ganzen Volkes, so doch der herrschenden und geistig regsamen Oberschicht desselben. Unter dem Einfluß der Priester des Sonnengottes zu On (</w:t>
      </w:r>
      <w:smartTag w:uri="urn:schemas-microsoft-com:office:smarttags" w:element="City">
        <w:r w:rsidRPr="00892712">
          <w:rPr>
            <w:rFonts w:ascii="Garamond" w:hAnsi="Garamond" w:cs="Arial"/>
            <w:color w:val="000000"/>
            <w:lang w:val="en-GB"/>
          </w:rPr>
          <w:t>Heliopolis</w:t>
        </w:r>
      </w:smartTag>
      <w:r w:rsidRPr="00892712">
        <w:rPr>
          <w:rFonts w:ascii="Garamond" w:hAnsi="Garamond" w:cs="Arial"/>
          <w:color w:val="000000"/>
          <w:lang w:val="en-GB"/>
        </w:rPr>
        <w:t xml:space="preserve">), vielleicht verstärkt durch Anregungen von Asien her, erhebt sich die Idee eines universellen Gottes Aton, an dem die Einschränkung auf </w:t>
      </w:r>
      <w:smartTag w:uri="urn:schemas-microsoft-com:office:smarttags" w:element="place">
        <w:smartTag w:uri="urn:schemas-microsoft-com:office:smarttags" w:element="PlaceName">
          <w:r w:rsidRPr="00892712">
            <w:rPr>
              <w:rFonts w:ascii="Garamond" w:hAnsi="Garamond" w:cs="Arial"/>
              <w:color w:val="000000"/>
              <w:lang w:val="en-GB"/>
            </w:rPr>
            <w:t>ein</w:t>
          </w:r>
        </w:smartTag>
        <w:r w:rsidRPr="00892712">
          <w:rPr>
            <w:rFonts w:ascii="Garamond" w:hAnsi="Garamond" w:cs="Arial"/>
            <w:color w:val="000000"/>
            <w:lang w:val="en-GB"/>
          </w:rPr>
          <w:t xml:space="preserve"> </w:t>
        </w:r>
        <w:smartTag w:uri="urn:schemas-microsoft-com:office:smarttags" w:element="PlaceType">
          <w:r w:rsidRPr="00892712">
            <w:rPr>
              <w:rFonts w:ascii="Garamond" w:hAnsi="Garamond" w:cs="Arial"/>
              <w:color w:val="000000"/>
              <w:lang w:val="en-GB"/>
            </w:rPr>
            <w:t>Land</w:t>
          </w:r>
        </w:smartTag>
      </w:smartTag>
      <w:r w:rsidRPr="00892712">
        <w:rPr>
          <w:rFonts w:ascii="Garamond" w:hAnsi="Garamond" w:cs="Arial"/>
          <w:color w:val="000000"/>
          <w:lang w:val="en-GB"/>
        </w:rPr>
        <w:t xml:space="preserve"> und ein Volk nicht mehr haftet. Mit dem jungen Amenhotep IV. kommt ein Pharao zur Herrschaft, der kein höheres Interesse kennt als die Entwicklung dieser Gottesidee. Er erhebt die Atonreligion zur Staatsreligion, durch ihn wird der universelle Gott der </w:t>
      </w:r>
      <w:r w:rsidRPr="00892712">
        <w:rPr>
          <w:rFonts w:ascii="Garamond" w:hAnsi="Garamond" w:cs="Arial"/>
          <w:i/>
          <w:iCs/>
          <w:color w:val="000000"/>
          <w:lang w:val="en-GB"/>
        </w:rPr>
        <w:t>einzige</w:t>
      </w:r>
      <w:r w:rsidRPr="00892712">
        <w:rPr>
          <w:rFonts w:ascii="Garamond" w:hAnsi="Garamond" w:cs="Arial"/>
          <w:color w:val="000000"/>
          <w:lang w:val="en-GB"/>
        </w:rPr>
        <w:t xml:space="preserve"> Gott; alles, was man von anderen Göttern erzählt, ist Trug und Lüge. Mit großartiger Unerbittlichkeit widersteht er allen Versuchungen des magischen Denkens, verwirft er die besonders dem Ägypter so teure Illusion eines Lebens nach dem Tode. In einer erstaunlichen Ahnung späterer wissenschaftlicher Einsicht erkennt er in der Energie der Sonnenstrahlung die Quelle alles Lebens auf der Erde und verehrt sie als das Symbol der Macht seines Gottes. Er rühmt sich seiner Freude an der Schöpfung und seines Lebens in Maat (Wahrheit und Gerechtigkeit).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Es ist der erste und vielleicht reinste Fall einer monotheistischen Religion in der Menschheitsgeschichte; ein tieferer Einblick in die historischen und psychologischen Bedingungen seiner Entstehung wäre von unschätzbarem Wert. Aber es ist dafür gesorgt worden, daß nicht allzuviel Nachrichten über die Atonreligion auf uns kommen sollten. Schon unter den schwächlichen Nachfolgern Ikhnatons brach alles zusammen, was er geschaffen hatte. Die Rache der von ihm unterdrückten Priesterschaften wütete nun gegen sein Andenken, die Atonreligion wurde abgeschafft, die Residenz des als Frevler gebrandmarkten Pharao zerstört und geplündert. Um 1350 v. Chr. erlosch die 18te Dynastie; nach einer Zeit der Anarchie stellte der Feldherr Haremhab, der bis 1315 regierte, die Ordnung wieder her. Die Reform Ikhnatons schien eine zum Vergessen werden bestimmte Episode.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Soweit, was historisch festgestellt ist, und nun setzt unsere hypothetische Fortsetzung ein. Unter den Personen, die Ikhnaton nahestanden, befand sich ein Mann, der vielleicht Thothmes hieß, wie damals viele andere </w:t>
      </w:r>
      <w:hyperlink r:id="rId1348"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So hieß z. B. auch der Bildhauer, dessen Werkstätte in Tell-el-Amarna gefunden wurde.</w:t>
        </w:r>
      </w:hyperlink>
      <w:r w:rsidRPr="00892712">
        <w:rPr>
          <w:rFonts w:ascii="Garamond" w:hAnsi="Garamond" w:cs="Arial"/>
          <w:color w:val="000000"/>
          <w:lang w:val="en-GB"/>
        </w:rPr>
        <w:t xml:space="preserve"> </w:t>
      </w:r>
      <w:r w:rsidRPr="00892712">
        <w:rPr>
          <w:rFonts w:ascii="Garamond" w:hAnsi="Garamond" w:cs="Arial"/>
          <w:color w:val="000000"/>
        </w:rPr>
        <w:t xml:space="preserve">– es kommt auf den Namen nicht viel an, nur daß sein zweiter Bestandteil </w:t>
      </w:r>
      <w:r w:rsidRPr="00892712">
        <w:rPr>
          <w:rFonts w:ascii="Garamond" w:hAnsi="Garamond" w:cs="Arial"/>
          <w:i/>
          <w:iCs/>
          <w:color w:val="000000"/>
        </w:rPr>
        <w:t>-mose</w:t>
      </w:r>
      <w:r w:rsidRPr="00892712">
        <w:rPr>
          <w:rFonts w:ascii="Garamond" w:hAnsi="Garamond" w:cs="Arial"/>
          <w:color w:val="000000"/>
        </w:rPr>
        <w:t xml:space="preserve"> sein mußte. </w:t>
      </w:r>
      <w:r w:rsidRPr="00892712">
        <w:rPr>
          <w:rFonts w:ascii="Garamond" w:hAnsi="Garamond" w:cs="Arial"/>
          <w:color w:val="000000"/>
          <w:lang w:val="en-GB"/>
        </w:rPr>
        <w:t>Er war in hoher Stellung, überzeugter Anhänger der Atonreligion, aber im Gegensatz zum grüblerischen König energisch und leidenschaftlich. Für diesen Mann bedeuteten der Ausgang Ikhnatons und die Abschaffung seiner Religion das Ende all seiner Erwartungen. Nur als ein Geächteter oder als ein Abtrünniger konnte er in Ägypten leben bleiben. Er war vielleicht als Statthalter der Grenzprovinz in Berührung mit einem semitischen Volksstamm gekommen, der dort vor einigen Generationen eingewandert war. In der Not der Enttäuschung und Vereinsamung wandte er sich diesen Fremden zu, suchte bei ihnen die Entschädigung für seine Verluste. Er wählte sie zu seinem Volke, versuchte seine Ideale an ihnen zu realisieren. Nachdem er, begleitet von seinen Gefolgsleuten, mit ihnen Ägypten verlassen hatte, heiligte er sie durch das Zeichen der Beschneidung, gab ihnen Gesetze, führte sie in die Lehren der Atonreligion ein, die die Ägypter eben abgeworfen hatten. Vielleicht waren die Vorschriften, die dieser Mann Moses seinen Juden gab, noch schroffer als die seines Herrn und Lehrers Ikhnaton, vielleicht gab er auch die Anlehnung an den Sonnengott von On auf, an der dieser noch festgehalten hatte.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Für den Auszug aus Ägypten müssen wir die Zeit des Interregnums nach 1350 ansetzen. Die nächsten Zeiträume bis zum Vollzug der Besitzergreifung im Lande Kanaan sind besonders undurchsichtig. Aus dem Dunkel, das der biblische Bericht hier gelassen oder vielmehr geschaffen hat, konnte die Geschichtsforschung unserer Tage zwei Tatsachen herausgreifen. Die erste, von E. Sellin aufgedeckt, ist, daß die Juden, selbst nach der Aussage der Bibel störrisch und widerspenstig gegen ihren Gesetzgeber und Führer, sich eines Tages gegen ihn empörten, ihn erschlugen und die ihnen aufgedrängte Religion des Aton abwarfen wie früher die Ägypter. Die andere, von Ed. Meyer erwiesene, daß diese aus Ägypten zurückgekehrten Juden sich später mit anderen, ihnen nah verwandten Stämmen im Landgebiet zwischen Palästina, der Sinaihalbinsel und Arabien vereinigten und daß sie dort in einer wasserreichen Örtlichkeit Qadeš unter dem Einfluß der arabischen Midianiter eine neue Religion, die Verehrung des Vulkangottes Jahve, annahmen. Bald darauf waren sie bereit, als Eroberer in Kanaan einzubrechen.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zeitlichen Beziehungen dieser beiden Ereignisse zueinander und zum Auszug aus Ägypten sind sehr unsicher. Den nächsten historischen Anhaltspunkt gibt eine Stele des Pharao Merneptah (bis 1215), die im </w:t>
      </w:r>
      <w:r w:rsidRPr="00892712">
        <w:rPr>
          <w:rFonts w:ascii="Garamond" w:hAnsi="Garamond" w:cs="Arial"/>
          <w:color w:val="000000"/>
          <w:lang w:val="en-GB"/>
        </w:rPr>
        <w:lastRenderedPageBreak/>
        <w:t>Bericht über Kriegszüge in Syrien und Palästina »</w:t>
      </w:r>
      <w:smartTag w:uri="urn:schemas-microsoft-com:office:smarttags" w:element="country-region">
        <w:smartTag w:uri="urn:schemas-microsoft-com:office:smarttags" w:element="place">
          <w:r w:rsidRPr="00892712">
            <w:rPr>
              <w:rFonts w:ascii="Garamond" w:hAnsi="Garamond" w:cs="Arial"/>
              <w:color w:val="000000"/>
              <w:lang w:val="en-GB"/>
            </w:rPr>
            <w:t>Israel</w:t>
          </w:r>
        </w:smartTag>
      </w:smartTag>
      <w:r w:rsidRPr="00892712">
        <w:rPr>
          <w:rFonts w:ascii="Garamond" w:hAnsi="Garamond" w:cs="Arial"/>
          <w:color w:val="000000"/>
          <w:lang w:val="en-GB"/>
        </w:rPr>
        <w:t xml:space="preserve">« unter den Besiegten anführt. Nimmt man das Datum dieser Stele als einen </w:t>
      </w:r>
      <w:r w:rsidRPr="00892712">
        <w:rPr>
          <w:rFonts w:ascii="Garamond" w:hAnsi="Garamond" w:cs="Arial"/>
          <w:i/>
          <w:iCs/>
          <w:color w:val="000000"/>
          <w:lang w:val="en-GB"/>
        </w:rPr>
        <w:t>terminus ad quem</w:t>
      </w:r>
      <w:hyperlink r:id="rId1349"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Endtermin</w:t>
        </w:r>
      </w:hyperlink>
      <w:r w:rsidRPr="00892712">
        <w:rPr>
          <w:rFonts w:ascii="Garamond" w:hAnsi="Garamond" w:cs="Arial"/>
          <w:color w:val="000000"/>
          <w:lang w:val="en-GB"/>
        </w:rPr>
        <w:t>, so bleibt für den ganzen Ablauf vom Auszug an etwa ein Jahrhundert (nach 1350 bis vor 1215). Es ist aber möglich, daß der Name »Israel« sich noch nicht auf die Stämme bezieht, deren Schicksale wir verfolgen, und daß uns in Wirklichkeit ein längerer Zeitraum zur Verfügung steht. Die Niederlassung des späteren jüdischen Volkes in Kanaan war gewiß keine rasch ablaufende Eroberung, sondern ein Vorgang, der sich in Schüben vollzog und über längere Zeiten erstreckte. Machen wir uns von der Einschränkung durch die Merneptah-Stele frei, so können wir um so leichter ein Menschenalter (30 Jahre) als die Zeit des Moses ansehenDies würde der 40jährigen Wüstenwanderung des biblischen Textes entsprechen., dann mindestens zwei Generationen, wahrscheinlich aber mehr, bis zur Vereinigung in Qadeš vergehen lassen; das Intervall zwischen Qadeš und dem Aufbruch nach Kanaan braucht nur kurz zu sein; die jüdische Tradition hatte, wie in der vorigen Abhandlung gezeigt, gute Gründe, das Intervall zwischen Auszug und Religionsstiftung in Qadeš zu verkürzen; das Umgekehrte liegt im Interesse unserer Darstellung.</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Aber das ist alles noch Historie, Versuch, die Lücken unserer Geschichtskenntnis auszufüllen, zum Teil Wiederholung aus der zweiten Abhandlung in </w:t>
      </w:r>
      <w:r w:rsidRPr="00892712">
        <w:rPr>
          <w:rFonts w:ascii="Garamond" w:hAnsi="Garamond" w:cs="Arial"/>
          <w:i/>
          <w:iCs/>
          <w:color w:val="000000"/>
          <w:lang w:val="en-GB"/>
        </w:rPr>
        <w:t>Imago</w:t>
      </w:r>
      <w:r w:rsidRPr="00892712">
        <w:rPr>
          <w:rFonts w:ascii="Garamond" w:hAnsi="Garamond" w:cs="Arial"/>
          <w:color w:val="000000"/>
          <w:lang w:val="en-GB"/>
        </w:rPr>
        <w:t>. Unser Interesse folgt den Schicksalen des Moses und seiner Lehren, denen die Empörung der Juden nur scheinbar ein Ende gesetzt hatte. Aus dem Bericht des Jahvisten, der um das Jahr 1000 niedergeschrieben wurde, aber sich gewiß auf frühere Fixierungen stützte, haben wir erkannt, daß mit der Vereinigung und Religionsstiftung in Qadeš ein Kompromiß einherging, an dem beide Anteile noch gut zu unterscheiden sind. Dem einen Partner lag nur daran, die Neuheit und Fremdheit des Gottes Jahve zu verleugnen und seinen Anspruch auf die Ergebenheit des Volkes zu steigern, der andere wollte ihm teure Erinnerungen an die Befreiung aus Ägypten und an die großartige Gestalt des Führers Moses nicht preisgeben, und es gelang ihm auch, die Tatsache wie den Mann in der neuen Darstellung der Vorgeschichte unterzubringen, wenigstens das äußere Zeichen der Mosesreligion, die Beschneidung, zu erhalten und vielleicht gewisse Einschränkungen im Gebrauch des neuen Gottesnamens durchzusetzen. Wir haben gesagt, die Vertreter dieser Ansprüche waren die Nachkommen der Mosesleute, die Leviten, nur durch wenige Generationen von den Zeit- und Volksgenossen des Moses entfernt und noch durch lebendige Erinnerung an sein Andenken gebunden. Die poetisch ausgeschmückten Darstellungen, die wir dem Jahvisten und seinem späteren Konkurrenten, dem Elohisten, zuschreiben, waren wie die Grabbauten, unter denen die wahre Kunde von jenen frühen Dingen, von der Natur der mosaischen Religion und von der gewaltsamen Beseitigung des großen Mannes, dem Wissen der späteren Generationen entzogen, gleichsam ihre ewige Ruhe finden sollte. Und wenn wir den Vorgang richtig erraten haben, so ist auch weiter nichts Rätselhaftes an ihm; er könnte aber sehr wohl das definitive Ende der Mosesepisode in der Geschichte des jüdischen Volkes bedeutet haben.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Das Merkwürdige ist nun, daß dem nicht so ist, daß die stärksten Wirkungen jenes Erlebnisses des Volkes erst später zum Vorschein kommen, sich im Laufe vieler Jahrhunderte allmählich in die Wirklichkeit drängen sollten. Es ist nicht wahrscheinlich, daß Jahve sich im Charakter viel von den Göttern der umwohnenden Völker und Stämme unterschied; er rang zwar mit ihnen, wie die Völker selbst miteinander stritten, aber man darf annehmen, daß es einem Jahveverehrer jener Zeiten ebensowenig in den Sinn kam, die Existenz der Götter von Kanaan, Moab, Amalek usw. zu leugnen wie die Existenz der Völker, die an sie glaubten.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monotheistische Idee, die mit Ikhnaton aufgeblitzt war, war wieder verdunkelt und sollte noch lange Zeit im Dunkel bleiben. Funde auf der Insel Elephantine, dicht vor dem ersten Katarakt des Nils, haben die überraschende Kunde ergeben, daß dort eine seit Jahrhunderten angesiedelte jüdische Militärkolonie bestand, in deren Tempel neben dem Hauptgott Jahu zwei weibliche Gottheiten verehrt wurden, die eine Anat-Jahu genannt. Diese Juden waren allerdings vom Mutterlande abgeschnitten, hatten die religiöse Entwicklung daselbst nicht mitgemacht; die persische Reichsregierung (5. Jahrhundert) übermittelte ihnen die Kenntnis der neuen Kultvorschriften von Jerusalem </w:t>
      </w:r>
      <w:hyperlink r:id="rId1350"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Auerbach, Bd. 2 (1936).</w:t>
        </w:r>
      </w:hyperlink>
      <w:r w:rsidRPr="00892712">
        <w:rPr>
          <w:rFonts w:ascii="Garamond" w:hAnsi="Garamond" w:cs="Arial"/>
          <w:color w:val="000000"/>
          <w:lang w:val="en-GB"/>
        </w:rPr>
        <w:t>. Zu älteren Zeiten zurückkehrend, dürfen wir sagen, daß Gott Jahve gewiß keine Ähnlichkeit mit dem mosaischen Gott hatte. Aton war Pazifist gewesen wie sein Vertreter auf Erden, eigentlich sein Vorbild, der Pharao Ikhnaton, der untätig zusah, wie das von seinen Ahnen gewonnene Weltreich auseinanderfiel. Für ein Volk, das sich zur gewaltsamen Besitzergreifung neuer Wohnsitze anschickte, war Jahve sicherlich besser geeignet. Und alles, was am mosaischen Gott verehrungswürdig war, entzog sich überhaupt dem Verständnis der primitiven Masse.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lastRenderedPageBreak/>
        <w:t>Ich habe schon gesagt – und mich dabei gern auf die Übereinstimmung mit anderen berufen –, die zentrale Tatsache der jüdischen Religionsentwicklung sei gewesen, daß der Gott Jahve im Laufe der Zeiten seine eigenen Charaktere verlor und immer mehr Ähnlichkeit mit dem alten Gotte Moses', dem Aton, gewann. Es blieben zwar Unterschiede, die man auf den ersten Blick hoch einzuschätzen geneigt wäre, aber diese sind leicht aufzuklären. Aton hatte in Ägypten zu herrschen begonnen in einer glücklichen Zeit gesicherten Besitzes, und selbst als das Reich zu wanken begann, hatten seine Verehrer sich von der Störung abwenden können und fuhren fort, seine Schöpfungen zu preisen und zu genießen.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Dem jüdischen Volk brachte das Schicksal eine Reihe von schweren Prüfungen und schmerzlichen Erfahrungen, sein Gott wurde hart und strenge, wie verdüstert. Er behielt den Charakter des universellen Gottes bei, der über alle Länder und Völker waltet, aber die Tatsache, daß seine Verehrung von den Ägyptern auf die Juden übergegangen war, fand ihren Ausdruck in dem Zusatz, die Juden seien sein auserwähltes Volk, dessen besondere Verpflichtungen am Ende auch besonderen Lohn finden würden. Es mag dem Volke nicht leicht geworden sein, den Glauben an die Bevorzugung durch seinen allmächtigen Gott mit den traurigen Erfahrungen seiner unglücklichen Schicksale zu vereinen. Aber man ließ sich nicht irremachen, man steigerte sein eigenes Schuldgefühl, um seine Zweifel an Gott zu ersticken, und vielleicht wies man am Ende auf »Gottes unerforschlichen Ratschluß« hin, wie es die Frommen noch heute tun. Wenn man sich darüber verwundern wollte, daß er immer neue Gewalttäter auftreten ließ, von denen man unterworfen und mißhandelt wurde, die Assyrier, Babylonier, Perser, so erkannte man doch seine Macht darin, daß all diese bösen Feinde selbst wieder besiegt wurden und ihre Reiche verschwanden.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In drei wichtigen Punkten ist der spätere Judengott endlich dem alten mosaischen Gott gleich geworden. Der erste und entscheidende ist, daß er wirklich als der einzige Gott anerkannt wurde, neben dem ein anderer undenkbar war. Der Monotheismus Ikhnatons wurde von einem ganzen Volke ernst genommen, ja, dies Volk klammerte sich so sehr an diese Idee, daß sie der Hauptinhalt seines Geisteslebens wurde und daß ihm für anderes kein Interesse blieb. Das Volk und die in ihm herrschend gewordene Priesterschaft waren in diesem Punkte einig, aber während die Priester ihre Tätigkeit darin erschöpften, das Zeremoniell für seine Verehrung auszubauen, gerieten sie in Gegensatz zu intensiven Strömungen im Volke, die zwei andere der Lehren Moses' über seinen Gott wiederzubeleben suchten. Die Stimmen der Propheten wurden nicht müde zu verkünden, daß der Gott Zeremoniell und Opferdienst verschmähe und nur fordere, daß man an ihn glaube und ein Leben in Wahrheit und Gerechtigkeit führe. Und wenn sie die Einfachheit und Heiligkeit des Wüstenlebens priesen, so standen sie sicherlich unter dem Einfluß der mosaischen Ideale.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Es ist an der Zeit, die Frage aufzuwerfen, ob es überhaupt notwendig ist, den Einfluß des Moses auf die Endgestaltung der jüdischen Gottesvorstellung anzurufen, ob nicht die Annahme einer spontanen Entwicklung zu höherer Geistigkeit während eines über Jahrhunderte reichenden Kulturlebens genügt. Zu dieser Erklärungsmöglichkeit, die all unserem Rätselraten ein Ende setzen würde, ist zweierlei zu sagen. Erstens, daß sie nichts erklärt. Die gleichen Verhältnisse haben beim gewiß höchst begabten griechischen Volk nicht zum Monotheismus geführt, sondern zur Auflockerung der polytheistischen Religion und zum Beginn des philosophischen Denkens. In Ägypten war der Monotheismus erwachsen, soweit wir es verstehen, als eine Nebenwirkung des Imperialismus, Gott war die Spiegelung des ein großes Weltreich unumschränkt beherrschenden Pharao. Bei den Juden waren die politischen Zustände der Fortentwicklung von der Idee des exklusiven Volksgottes zu der des universellen Weltherrschers höchst ungünstig, und woher kam dieser winzigen und ohnmächtigen Nation die Vermessenheit, sich für das bevorzugte Lieblingskind des großen Herrn auszugeben? Die Frage nach der Entstehung des Monotheismus bei den Juden bliebe so unbeantwortet, oder man begnügte sich mit der geläufigen Antwort, das sei eben der Ausdruck des besonderen religiösen Genies dieses Volkes. Das Genie ist bekanntlich unbegreiflich und unverantwortlich, und darum soll man es nicht eher zur Erklärung anrufen, als bis jede andere Lösung versagt hat </w:t>
      </w:r>
      <w:hyperlink r:id="rId1351"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Dieselbe Erwägung gilt auch für den merkwürdigen Fall des William Shakespeare aus Stratford.</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Ferner trifft man auf die Tatsache, daß die jüdische Berichterstattung und Geschichtsschreibung selbst uns den Weg zeigt, indem sie, diesmal ohne sich selbst zu widersprechen, mit größter Entschiedenheit behauptet, die Idee eines einzigen Gottes sei dem Volke von Moses gebracht worden. Wenn es einen Einwand gegen die Glaubwürdigkeit dieser Versicherung gibt, so ist es der, daß die priesterliche Bearbeitung des uns vorliegenden Textes offenbar viel zuviel auf Moses zurückführt. Institutionen wie </w:t>
      </w:r>
      <w:r w:rsidRPr="00892712">
        <w:rPr>
          <w:rFonts w:ascii="Garamond" w:hAnsi="Garamond" w:cs="Arial"/>
          <w:color w:val="000000"/>
          <w:lang w:val="en-GB"/>
        </w:rPr>
        <w:lastRenderedPageBreak/>
        <w:t>Ritualvorschriften, die unverkennbar späteren Zeiten angehören, werden als mosaische Gebote ausgegeben, in der deutlichen Absicht, Autorität für sie zu gewinnen. Das ist für uns gewiß ein Grund zum Verdacht, aber nicht genügend für eine Verwerfung. Denn das tiefere Motiv einer solchen Übertreibung liegt klar zutage. Die priesterliche Darstellung will ein Kontinuum zwischen ihrer Gegenwart und der mosaischen Frühzeit herstellen, sie will gerade das verleugnen, was wir als die auffälligste Tatsache der jüdischen Religionsgeschichte bezeichnet haben, daß zwischen der Gesetzgebung des Moses und der späteren jüdischen Religion eine Lücke klafft, die zunächst vom Jahvedienst ausgefüllt und erst später langsam verstrichen wurde. Sie bestreitet diesen Vorgang mit allen Mitteln, obwohl seine historische Richtigkeit über jedem Zweifel feststeht, da bei der besonderen Behandlung, die der biblische Text erfahren hat, überreichliche Angaben stehengeblieben sind, die ihn erweisen. Die priesterliche Bearbeitung hat hier Ähnliches versucht wie jene entstellende Tendenz, die den neuen Gott Jahve zum Gott der Väter machte. Tragen wir diesem Motiv des Priesterkodex Rechnung, so wird es uns schwer, der Behauptung den Glauben zu versagen, daß wirklich Moses selbst seinen Juden die monotheistische Idee gegeben hat. Unsere Zustimmung sollte uns um so leichter werden, da wir zu sagen wissen, woher diese Idee zu Moses kam, was die jüdischen Priester gewiß nicht mehr gewußt haben.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Hier könnte jemand die Frage aufwerfen, was haben wir davon, wenn wir den jüdischen Monotheismus vom ägyptischen ableiten? Das Problem wird dadurch nur um ein Stück verschoben; von der Genese der monotheistischen Idee wissen wir darum nicht mehr. </w:t>
      </w:r>
      <w:r w:rsidRPr="00892712">
        <w:rPr>
          <w:rFonts w:ascii="Garamond" w:hAnsi="Garamond" w:cs="Arial"/>
          <w:color w:val="000000"/>
        </w:rPr>
        <w:t xml:space="preserve">Die Antwort darauf lautet, es ist keine Frage des Gewinns, sondern der Forschung. </w:t>
      </w:r>
      <w:r w:rsidRPr="00892712">
        <w:rPr>
          <w:rFonts w:ascii="Garamond" w:hAnsi="Garamond" w:cs="Arial"/>
          <w:color w:val="000000"/>
          <w:lang w:val="en-GB"/>
        </w:rPr>
        <w:t>Und vielleicht lernen wir etwas dabei, wenn wir den wirklichen Hergang erfahren.</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B. Latenzzeit und Tradition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bekennen uns also zu dem Glauben, daß die Idee eines einzigen Gottes sowie die Verwerfung des magisch wirkenden Zeremoniells und die Betonung der ethischen Forderung in seinem Namen tatsächlich mosaische Lehren waren, die zunächst kein Gehör fanden, aber nach dem Ablauf einer langen Zwischenzeit zur Wirkung kamen und sich endlich für die Dauer durchsetzten. Wie soll man sich eine solche verspätete Wirkung erklären, und wo begegnet man ähnlichen Phänomenen?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Der nächste Einfall sagt, sie seien nicht selten auf sehr verschiedenen Gebieten zu finden und kommen wahrscheinlich auf mannigfache Weise zustande, mehr oder weniger leicht verständlich. Greifen wir z. B. das Schicksal einer neuen wissenschaftlichen Theorie wie der Darwinschen Evolutionslehre heraus. Sie findet zunächst erbitterte Ablehnung, wird durch Jahrzehnte heftig umstritten, aber es braucht nicht länger als eine Generation, bis sie als großer Fortschritt zur Wahrheit anerkannt wird. </w:t>
      </w:r>
      <w:smartTag w:uri="urn:schemas-microsoft-com:office:smarttags" w:element="City">
        <w:r w:rsidRPr="00892712">
          <w:rPr>
            <w:rFonts w:ascii="Garamond" w:hAnsi="Garamond" w:cs="Arial"/>
            <w:color w:val="000000"/>
            <w:lang w:val="en-GB"/>
          </w:rPr>
          <w:t>Darwin</w:t>
        </w:r>
      </w:smartTag>
      <w:r w:rsidRPr="00892712">
        <w:rPr>
          <w:rFonts w:ascii="Garamond" w:hAnsi="Garamond" w:cs="Arial"/>
          <w:color w:val="000000"/>
          <w:lang w:val="en-GB"/>
        </w:rPr>
        <w:t xml:space="preserve"> selbst erreicht noch die Ehre eines Grabes oder Kenotaphs in </w:t>
      </w:r>
      <w:smartTag w:uri="urn:schemas-microsoft-com:office:smarttags" w:element="City">
        <w:smartTag w:uri="urn:schemas-microsoft-com:office:smarttags" w:element="place">
          <w:r w:rsidRPr="00892712">
            <w:rPr>
              <w:rFonts w:ascii="Garamond" w:hAnsi="Garamond" w:cs="Arial"/>
              <w:color w:val="000000"/>
              <w:lang w:val="en-GB"/>
            </w:rPr>
            <w:t>Westminster</w:t>
          </w:r>
        </w:smartTag>
      </w:smartTag>
      <w:r w:rsidRPr="00892712">
        <w:rPr>
          <w:rFonts w:ascii="Garamond" w:hAnsi="Garamond" w:cs="Arial"/>
          <w:color w:val="000000"/>
          <w:lang w:val="en-GB"/>
        </w:rPr>
        <w:t>. Ein solcher Fall läßt uns wenig zu enträtseln. Die neue Wahrheit hat affektive Widerstände wachgerufen, diese lassen sich durch Argumente vertreten, mit denen man die Beweise zu Gunsten der unliebsamen Lehre bestreiten kann, der Kampf der Meinungen nimmt eine gewisse Zeit in Anspruch, von Anfang an gibt es Anhänger und Gegner, die Anzahl wie die Gewichtigkeit der ersteren nimmt immer zu, bis sie am Ende die Oberhand haben; während der ganzen Zeit des Kampfes ist niemals vergessen worden, um was es sich handelt. Wir verwundern uns kaum, daß der ganze Ablauf eine längere Zeit gebraucht hat, würdigen es wahrscheinlich nicht genug, daß wir es mit einem Vorgang der Massenpsychologie zu tun haben.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Es hat keine Schwierigkeit, zu diesem Vorgang eine voll entsprechende Analogie im Seelenleben eines Einzelnen zu finden. Dies wäre der Fall, daß jemand etwas als neu erfährt, was er auf Grund gewisser Beweise als Wahrheit anerkennen soll, was aber manchen seiner Wünsche widerspricht und einige der ihm wertvollen Überzeugungen beleidigt. Er wird dann zögern, nach Gründen suchen, mit denen er das Neue bezweifeln kann, und wird eine Weile mit sich selbst kämpfen, bis er sich am Ende eingesteht: es ist doch so, obwohl ich es nicht leicht annehme, obwohl es mir peinlich ist, daran glauben zu müssen. Wir lernen daraus nur, daß es Zeit verbraucht, bis die Verstandesarbeit des Ichs Einwendungen überwunden hat, die durch starke affektive Besetzungen gehalten werden. Die Ähnlichkeit zwischen diesem Fall und dem, um dessen Verständnis wir uns bemühen, ist nicht sehr groß.</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Das nächste Beispiel, an das wir uns wenden, hat mit unserem Problem anscheinend noch weniger gemein. Es ereignet sich, daß ein Mensch scheinbar unbeschädigt die Stätte verläßt, an der er einen schreckhaften Unfall, z. B. einen Eisenbahnzusammenstoß, erlebt hat. Im Laufe der nächsten Wochen entwickelt er aber eine Reihe schwerer psychischer und motorischer Symptome, die man nur von seinem Schock, jener Erschütterung oder was sonst damals gewirkt hat, ableiten kann. </w:t>
      </w:r>
      <w:r w:rsidRPr="00032727">
        <w:rPr>
          <w:rFonts w:ascii="Garamond" w:hAnsi="Garamond" w:cs="Arial"/>
          <w:color w:val="000000"/>
          <w:lang w:val="en-GB"/>
        </w:rPr>
        <w:t xml:space="preserve">Er hat jetzt eine </w:t>
      </w:r>
      <w:r w:rsidRPr="00032727">
        <w:rPr>
          <w:rFonts w:ascii="Garamond" w:hAnsi="Garamond" w:cs="Arial"/>
          <w:color w:val="000000"/>
          <w:lang w:val="en-GB"/>
        </w:rPr>
        <w:lastRenderedPageBreak/>
        <w:t xml:space="preserve">»traumatische Neurose«. Das ist eine ganz unverständliche, also eine neue Tatsache. </w:t>
      </w:r>
      <w:r w:rsidRPr="00892712">
        <w:rPr>
          <w:rFonts w:ascii="Garamond" w:hAnsi="Garamond" w:cs="Arial"/>
          <w:color w:val="000000"/>
          <w:lang w:val="en-GB"/>
        </w:rPr>
        <w:t xml:space="preserve">Man heißt die Zeit, die zwischen dem Unfall und dem ersten Auftreten der Symptome verflossen ist, die »Inkubationszeit« in durchsichtiger Anspielung an die Pathologie der Infektionskrankheiten. Nachträglich muß es uns auffallen, daß trotz der fundamentalen Verschiedenheit der beiden Fälle zwischen dem Problem der traumatischen Neurose und dem des jüdischen Monotheismus doch in einem Punkt eine Übereinstimmung besteht. Nämlich in dem Charakter, den man die </w:t>
      </w:r>
      <w:r w:rsidRPr="00892712">
        <w:rPr>
          <w:rFonts w:ascii="Garamond" w:hAnsi="Garamond" w:cs="Arial"/>
          <w:i/>
          <w:iCs/>
          <w:color w:val="000000"/>
          <w:lang w:val="en-GB"/>
        </w:rPr>
        <w:t>Latenz</w:t>
      </w:r>
      <w:r w:rsidRPr="00892712">
        <w:rPr>
          <w:rFonts w:ascii="Garamond" w:hAnsi="Garamond" w:cs="Arial"/>
          <w:color w:val="000000"/>
          <w:lang w:val="en-GB"/>
        </w:rPr>
        <w:t xml:space="preserve"> heißen könnte. Nach unserer gesicherten Annahme gibt es ja in der jüdischen Religionsgeschichte eine lange Zeit nach dem Abfall von der Mosesreligion, in der von der monotheistischen Idee, von der Verschmähung des Zeremoniells und von der Überbetonung des Ethischen nichts verspürt wird. So werden wir auf die Möglichkeit vorbereitet, daß die Lösung unseres Problems in einer besonderen psychologischen Situation zu suchen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haben bereits wiederholt dargestellt, was in Qadeš geschah, als die beiden Anteile des späteren jüdischen Volkes zur Annahme einer neuen Religion zusammentraten. Auf der Seite derer, die in Ägypten gewesen waren, waren die Erinnerungen an den Auszug und an die Gestalt des Moses noch so stark und lebhaft, daß sie Aufnahme in einem Bericht über die Vorzeit forderten. Es waren vielleicht die Enkel von Personen, die Moses selbst gekannt hatten, und einige von ihnen fühlten sich noch als Ägypter und trugen ägyptische Namen. Sie hatten aber gute Motive, die Erinnerung an das Schicksal zu verdrängen, das ihrem Führer und Gesetzgeber bereitet worden war. Für die anderen war die Absicht maßgebend, den neuen Gott zu verherrlichen und seine Fremdheit zu bestreiten. Beide Teile hatten das gleiche Interesse daran, zu verleugnen, daß es bei ihnen eine frühere Religion gegeben hatte und welches ihr Inhalt gewesen war. So kam jenes erste Kompromiß zustande, das wahrscheinlich bald eine schriftliche Fixierung fand; die Leute aus Ägypten hatten die Schrift und die Lust zur Geschichtsschreibung mitgebracht, aber es sollte noch lange dauern, bis die Geschichtsschreibung erkannte, daß sie zur unerbittlichen Wahrhaftigkeit verpflichtet sei. Zunächst machte sie sich kein Gewissen daraus, ihre Berichte nach ihren jeweiligen Bedürfnissen und Tendenzen zu gestalten, als wäre ihr der Begriff der Verfälschung noch nicht aufgegangen. Infolge dieser Verhältnisse konnte sich ein Gegensatz herausbilden zwischen der schriftlichen Fixierung und der mündlichen Überlieferung desselben Stoffes, der </w:t>
      </w:r>
      <w:r w:rsidRPr="00892712">
        <w:rPr>
          <w:rFonts w:ascii="Garamond" w:hAnsi="Garamond" w:cs="Arial"/>
          <w:i/>
          <w:iCs/>
          <w:color w:val="000000"/>
          <w:lang w:val="en-GB"/>
        </w:rPr>
        <w:t>Tradition</w:t>
      </w:r>
      <w:r w:rsidRPr="00892712">
        <w:rPr>
          <w:rFonts w:ascii="Garamond" w:hAnsi="Garamond" w:cs="Arial"/>
          <w:color w:val="000000"/>
          <w:lang w:val="en-GB"/>
        </w:rPr>
        <w:t>. Was in der Niederschrift ausgelassen oder abgeändert worden war, konnte sehr wohl in der Tradition unversehrt erhalten geblieben sein. Die Tradition war die Ergänzung und zugleich der Widerspruch zur Geschichtsschreibung. Sie war dem Einfluß der entstellenden Tendenzen weniger unterworfen, vielleicht in manchen Stücken ganz entzogen, und konnte darum wahrhaftiger sein als der schriftlich fixierte Bericht. Ihre Zuverlässigkeit litt aber darunter, daß sie unbeständiger und unbestimmter war als die Niederschrift, mannigfachen Veränderungen und Verunstaltungen ausgesetzt, wenn sie durch mündliche Mitteilung von einer Generation auf die andere übertragen wurde. Eine solche Tradition konnte verschiedenartige Schicksale haben. Am ehesten sollten wir erwarten, daß sie von der Niederschrift erschlagen wird, sich neben ihr nicht zu behaupten vermag, immer schattenhafter wird und endlich in Vergessenheit gerät. Aber es sind auch andere Schicksale möglich; eines davon ist, daß die Tradition selbst in einer schriftlichen Fixierung endet, und von noch anderen werden wir im weiteren Verlauf zu handeln haben.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Für das Phänomen der Latenz in der jüdischen Religionsgeschichte, das uns beschäftigt, bietet sich nun die Erklärung, daß die von der sozusagen offiziellen Geschichtsschreibung absichtlich verleugneten Tatbestände und Inhalte in Wirklichkeit nie verlorengegangen sind. Die Kunde von ihnen lebte in Traditionen fort, die sich im Volke erhielten. Nach der Versicherung von Sellin war ja selbst über den Ausgang Moses' eine Tradition vorhanden, die der offiziellen Darstellung glatt widersprach und der Wahrheit weit näherkam. Dasselbe, dürfen wir annehmen, traf auch für anderes zu, was scheinbar zugleich mit Moses seinen Untergang gefunden hatte, für manche Inhalte der mosaischen Religion, die für die Überzahl der Zeitgenossen Moses' unannehmbar gewesen waren.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merkwürdige Tatsache, der wir hier begegnen, ist aber, daß diese Traditionen, anstatt sich mit der Zeit abzuschwächen, im Laufe der Jahrhunderte immer mächtiger wurden, sich in die späteren Bearbeitungen der offiziellen Berichterstattung eindrängten und endlich sich stark genug zeigten, um das Denken und Handeln des Volkes entscheidend zu beeinflussen. Welche Bedingungen diesen Ausgang ermöglicht haben, das entzieht sich allerdings zunächst unserer Kenntnis.</w:t>
      </w:r>
    </w:p>
    <w:p w:rsidR="00032727" w:rsidRPr="00892712" w:rsidRDefault="00032727" w:rsidP="00032727">
      <w:pPr>
        <w:shd w:val="clear" w:color="auto" w:fill="FFFFFF"/>
        <w:spacing w:before="120" w:after="120" w:line="124" w:lineRule="atLeast"/>
        <w:rPr>
          <w:rFonts w:ascii="Garamond" w:hAnsi="Garamond" w:cs="Arial"/>
          <w:color w:val="000000"/>
        </w:rPr>
      </w:pPr>
      <w:r w:rsidRPr="00892712">
        <w:rPr>
          <w:rFonts w:ascii="Garamond" w:hAnsi="Garamond" w:cs="Arial"/>
          <w:color w:val="000000"/>
          <w:lang w:val="en-GB"/>
        </w:rPr>
        <w:lastRenderedPageBreak/>
        <w:t xml:space="preserve">Diese Tatsache ist so merkwürdig, daß wir uns berechtigt fühlen, sie uns nochmals vorzuhalten. In ihr liegt unser Problem beschlossen. Das Judenvolk hatte die ihm von Moses gebrachte Atonreligion verlassen und sich der Verehrung eines anderen Gottes zugewendet, der sich wenig von den Baalim </w:t>
      </w:r>
      <w:hyperlink r:id="rId1352"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Götter, die bestimmten Örtern zugeordnet sind</w:t>
        </w:r>
      </w:hyperlink>
      <w:r w:rsidRPr="00892712">
        <w:rPr>
          <w:rFonts w:ascii="Garamond" w:hAnsi="Garamond" w:cs="Arial"/>
          <w:color w:val="000000"/>
          <w:lang w:val="en-GB"/>
        </w:rPr>
        <w:t xml:space="preserve"> der Nachbarvölker unterschied. Allen Bemühungen späterer Tendenzen gelang es nicht, diesen beschämenden Sachverhalt zu verschleiern. Aber die Mosesreligion war nicht spurlos untergegangen, eine Art von Erinnerung an sie hatte sich erhalten, eine vielleicht verdunkelte und entstellte Tradition. Und diese Tradition einer großen Vergangenheit war es, die gleichsam aus dem Hintergrund zu wirken fortfuhr, allmählich immer mehr Macht über die Geister gewann und es endlich erreichte, den Gott Jahve in den mosaischen Gott zu verwandeln und die vor langen Jahrhunderten eingesetzte und dann verlassene Religion des Moses wieder zum Leben zu erwecken. Daß eine verschollene Tradition eine so mächtige Wirkung auf das Seelenleben eines Volkes üben sollte, ist keine uns vertraute Vorstellung. </w:t>
      </w:r>
      <w:r w:rsidRPr="00892712">
        <w:rPr>
          <w:rFonts w:ascii="Garamond" w:hAnsi="Garamond" w:cs="Arial"/>
          <w:color w:val="000000"/>
        </w:rPr>
        <w:t>Wir finden uns da auf einem Gebiet der Massenpsychologie, in dem wir uns nicht heimisch fühlen. Wir halten Ausschau nach Analogien, nach Tatsachen von wenigstens ähnlicher Natur, wenn auch auf anderen Gebieten. Wir meinen, solche sind zu finden.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In den Zeiten, da sich bei den Juden die Wiederkehr der Mosesreligion vorbereitete, fand sich das griechische Volk im Besitz eines überaus reichen Schatzes von Geschlechtersagen und Heldenmythen. Im 9. oder 8. Jahrhundert, glaubt man, entstanden die beiden Homerischen Epen, die ihren Stoff diesem Sagenkreis entnahmen. Mit unseren heutigen psychologischen Einsichten hätte man lange vor Schliemann und Evans die Frage aufwerfen können: Woher nahmen die Griechen all das Sagenmaterial, das Homer und die großen attischen Dramatiker in ihren Meisterwerken verarbeiteten? Die Antwort hätte lauten müssen: Dies Volk hat wahrscheinlich in seiner Vorgeschichte eine Zeit von äußerem Glanz und kultureller Blüte erlebt, die in einer historischen Katastrophe untergegangen ist und von der sich in diesen Sagen eine dunkle Tradition erhalten hat. Die archäologische Forschung unserer Tage hat dann diese Vermutung bestätigt, die damals sicherlich für allzu gewagt erklärt worden wäre. Sie hat die Zeugnisse für die großartige minoisch-mykenische Kultur aufgedeckt, die auf dem griechischen Festland wahrscheinlich schon vor 1250 v. Chr. zu Ende kam. Bei den griechischen Historikern der späteren Zeit findet sich kaum ein Hinweis auf sie. Einmal die Bemerkung, daß es eine Zeit gab, da die Kreter die Seeherrschaft innehatten, der Name des Königs Minos und seines Palastes, des Labyrinths; das ist alles, sonst ist nichts von ihr übriggeblieben als die von den Dichtern aufgegriffenen Traditionen.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Es sind Volksepen noch bei anderen Völkern, bei den Deutschen, Indern, Finnen, bekannt geworden. Es fällt den Literarhistorikern zu zu untersuchen, ob deren Entstehung dieselben Bedingungen annehmen läßt wie im Falle der Griechen. Ich glaube, die Untersuchung wird ein positives Ergebnis bringen. Die Bedingung, die wir erkennen, ist: ein Stück Vorgeschichte, das unmittelbar nachher als inhaltreich, bedeutsam und großartig, vielleicht immer als heldenhaft erscheinen mußte, das aber so weit zurückliegt, so entlegenen Zeiten angehört, daß den späteren Geschlechtern nur eine dunkle und unvollständige Tradition von ihr Kunde gibt. Man hat sich darüber verwundert, daß das Epos als Kunstgattung in späteren Zeiten erloschen ist. Vielleicht liegt die Erklärung darin, daß seine Bedingung sich nicht mehr herstellte. Der alte Stoff war aufgearbeitet, und für alle späteren Begebenheiten war die Geschichtsschreibung an die Stelle der Tradition getreten. Die größten Heldentaten unserer Tage waren nicht imstande, ein Epos zu inspirieren, aber schon Alexander der Große hatte ein Recht zur Klage, daß er keinen Homer finden werde.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Längstvergangene Zeiten haben eine große, eine oft rätselhafte Anziehung für die Phantasie der Menschen. Sooft sie mit ihrer Gegenwart unzufrieden sind – und das sind sie oft genug –, wenden sie sich zurück in die Vergangenheit und hoffen, diesmal den nie erloschenen Traum von einem goldenen Zeitalter bewahrheiten zu können </w:t>
      </w:r>
      <w:hyperlink r:id="rId1353"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Diese Situation hat Macaulay seinen </w:t>
        </w:r>
        <w:r w:rsidRPr="00892712">
          <w:rPr>
            <w:rStyle w:val="innerfusslink3"/>
            <w:rFonts w:ascii="Garamond" w:hAnsi="Garamond" w:cs="Arial"/>
            <w:b/>
            <w:bCs/>
            <w:i/>
            <w:iCs/>
            <w:lang w:val="en-GB"/>
          </w:rPr>
          <w:t>Lays of Ancient Rome</w:t>
        </w:r>
        <w:r w:rsidRPr="00892712">
          <w:rPr>
            <w:rStyle w:val="innerfusslink3"/>
            <w:rFonts w:ascii="Garamond" w:hAnsi="Garamond" w:cs="Arial"/>
            <w:b/>
            <w:bCs/>
            <w:lang w:val="en-GB"/>
          </w:rPr>
          <w:t xml:space="preserve"> zugrunde gelegt. Er versetzt sich darin in die Rolle eines Sängers, der betrübt über die wüsten Parteikämpfe der Gegenwart seinen Zuhörern den Opfermut, die Einigkeit und den Patriotismus der Ahnen vorhält.. Wahrscheinlich stehen sie immer noch unter dem Zauber ihrer Kindheit, die ihnen von einer nicht unparteiischen Erinnerung als eine Zeit von ungestörter Seligkeit gespiegelt wird. Wenn von der Vergangenheit nur mehr die unvollständigen und verschwommenen Erinnerungen bestehen, die wir Tradition heißen, so ist das für den Künstler ein besonderer Anreiz, denn dann ist es ihm frei geworden, die Lücken der Erinnerung nach den Gelüsten seiner Phantasie auszufüllen und das Bild der Zeit, die er reproduzieren will, nach seinen Absichten zu gestalten. Beinahe könnte man sagen, je unbestimmter die Tradition </w:t>
        </w:r>
        <w:r w:rsidRPr="00892712">
          <w:rPr>
            <w:rStyle w:val="innerfusslink3"/>
            <w:rFonts w:ascii="Garamond" w:hAnsi="Garamond" w:cs="Arial"/>
            <w:b/>
            <w:bCs/>
            <w:lang w:val="en-GB"/>
          </w:rPr>
          <w:lastRenderedPageBreak/>
          <w:t>geworden ist, desto brauchbarer wird sie für den Dichter. Über die Bedeutung der Tradition für die Dichtung brauchen wir uns also nicht zu verwundern, und die Analogie zur Bedingtheit des Epos wird uns der befremdlichen Annahme geneigter machen, daß es bei den Juden die Mosestradition war, welche den Jahvedienst im Sinne der alten Mosesreligion verwandelte. Aber die beiden Fälle sind sonst noch zu sehr verschieden. Dort ist das Ergebnis eine Dichtung, hier eine Religion, und für letztere haben wir angenommen, daß sie unter dem Antrieb der Tradition mit einer Treue reproduziert wurde, zu der der Fall des Epos natürlich das Gegenstück nicht zeigen kann. Somit bleibt von unserem Problem genug übrig, um das Bedürfnis nach besser zutreffenden Analogien zu rechtfertigen.</w:t>
        </w:r>
      </w:hyperlink>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C. Die Analogie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einzige befriedigende Analogie zu dem merkwürdigen Vorgang, den wir in der jüdischen Religionsgeschichte erkannt haben, findet sich auf einem scheinbar weit abgelegenen Gebiet; aber sie ist sehr vollständig, sie kommt der Identität nahe. </w:t>
      </w:r>
      <w:smartTag w:uri="urn:schemas-microsoft-com:office:smarttags" w:element="place">
        <w:r w:rsidRPr="00892712">
          <w:rPr>
            <w:rFonts w:ascii="Garamond" w:hAnsi="Garamond" w:cs="Arial"/>
            <w:color w:val="000000"/>
            <w:lang w:val="en-GB"/>
          </w:rPr>
          <w:t>Dort</w:t>
        </w:r>
      </w:smartTag>
      <w:r w:rsidRPr="00892712">
        <w:rPr>
          <w:rFonts w:ascii="Garamond" w:hAnsi="Garamond" w:cs="Arial"/>
          <w:color w:val="000000"/>
          <w:lang w:val="en-GB"/>
        </w:rPr>
        <w:t xml:space="preserve"> begegnen uns wieder das Phänomen der Latenz, das Auftauchen unverständlicher, Erklärung heischender Erscheinungen und die Bedingung des frühen, später vergessenen Erlebnisses. Und ebenso der Charakter des Zwanges, der sich mit Überwältigung des logischen Denkens der Psyche aufdrängt, ein Zug, der z. B. bei der Genese des Epos nicht in Betracht kam.</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Diese Analogie trifft sich in der Psychopathologie bei der Genese der menschlichen Neurosen, also auf einem Gebiet, das der Einzelpsychologie angehört, während die religiösen Phänomene natürlich zur Massenpsychologie zu rechnen sind. Es wird sich zeigen, daß diese Analogie nicht so überraschend ist, wie man zunächst meinen würde, ja, daß sie eher einem Postulat entspricht.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früh erlebten, später vergessenen Eindrücke, denen wir eine so große Bedeutung für die Ätiologie der Neurosen zuschreiben, heißen wir </w:t>
      </w:r>
      <w:r w:rsidRPr="00892712">
        <w:rPr>
          <w:rFonts w:ascii="Garamond" w:hAnsi="Garamond" w:cs="Arial"/>
          <w:i/>
          <w:iCs/>
          <w:color w:val="000000"/>
          <w:lang w:val="en-GB"/>
        </w:rPr>
        <w:t>Traumen.</w:t>
      </w:r>
      <w:r w:rsidRPr="00892712">
        <w:rPr>
          <w:rFonts w:ascii="Garamond" w:hAnsi="Garamond" w:cs="Arial"/>
          <w:color w:val="000000"/>
          <w:lang w:val="en-GB"/>
        </w:rPr>
        <w:t xml:space="preserve"> Es mag dahingestellt bleiben, ob die Ätiologie der Neurosen allgemein als eine traumatische angesehen werden darf. Der naheliegende Einwand dagegen ist, daß sich nicht in allen Fällen ein offenkundiges Trauma aus der Urgeschichte des neurotischen Individuums herausheben läßt. Oft muß man sich bescheiden zu sagen, daß nichts anderes vorliegt als eine außergewöhnliche, abnorme Reaktion auf Erlebnisse und Anforderungen, die alle Individuen treffen und von ihnen in anderer, normal zu nennender Weise verarbeitet und erledigt werden. Wo zur Erklärung nichts anderes zur Verfügung steht als hereditäre und konstitutionelle Dispositionen, ist man begreiflicherweise versucht zu sagen, die Neurose werde nicht erworben, sondern entwickelt.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In diesem Zusammenhang heben sich aber zwei Punkte hervor. Der erste ist, daß die Genese der Neurose überall und jedesmal auf sehr frühe Kindheitseindrücke zurückgeht </w:t>
      </w:r>
      <w:hyperlink r:id="rId1354"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So daß es also unsinnig ist zu behaupten, man übe Psychoanalyse, wenn man gerade diese Urzeiten von der Erforschung und Berücksichtigung ausschließt, wie es von manchen Seiten geschieht.</w:t>
        </w:r>
      </w:hyperlink>
      <w:r w:rsidRPr="00892712">
        <w:rPr>
          <w:rFonts w:ascii="Garamond" w:hAnsi="Garamond" w:cs="Arial"/>
          <w:color w:val="000000"/>
          <w:lang w:val="en-GB"/>
        </w:rPr>
        <w:t xml:space="preserve">. Zweitens, es ist richtig, daß es Fälle gibt, die man als »traumatische« auszeichnet, weil die Wirkungen unverkennbar auf einen oder mehrere starke Eindrücke dieser Frühzeit zurückgehen, die sich einer normalen Erledigung entzogen haben, so daß man urteilen möchte, wären diese nicht vorgefallen, so wäre auch die Neurose nicht zustande gekommen. Es reichte nun für unsere Absichten hin, wenn wir die gesuchte Analogie nur auf diese traumatischen Fälle beschränken müßten. Aber die Kluft zwischen beiden Gruppen scheint nicht unüberbrückbar. Es ist sehr wohl möglich, beide ätiologischen Bedingungen in einer Auffassung zu vereinigen; es kommt nur darauf an, was man als traumatisch definiert. Wenn man annehmen darf, daß das Erlebnis den traumatischen Charakter nur infolge eines quantitativen Faktors erwirbt, daß also in allen Fällen die Schuld an einem Zuviel von Anspruch liegt, wenn das Erlebnis ungewöhnliche, pathologische Reaktionen hervorruft, so kann man leicht zur Auskunft gelangen, daß bei der einen Konstitution etwas als Trauma wirkt, was bei einer anderen keine solche Wirkung hätte. Es ergibt sich dann die Vorstellung einer gleitenden sog. </w:t>
      </w:r>
      <w:r w:rsidRPr="00892712">
        <w:rPr>
          <w:rFonts w:ascii="Garamond" w:hAnsi="Garamond" w:cs="Arial"/>
          <w:i/>
          <w:iCs/>
          <w:color w:val="000000"/>
          <w:lang w:val="en-GB"/>
        </w:rPr>
        <w:t>Ergänzungsreihe</w:t>
      </w:r>
      <w:r w:rsidRPr="00892712">
        <w:rPr>
          <w:rFonts w:ascii="Garamond" w:hAnsi="Garamond" w:cs="Arial"/>
          <w:color w:val="000000"/>
          <w:lang w:val="en-GB"/>
        </w:rPr>
        <w:t>, in der zwei Faktoren zur ätiologischen Erfüllung zusammentreten, ein Minder von einem durch ein Mehr vom anderen ausgeglichen wird, im allgemeinen ein Zusammenwirken beider stattfindet und nur an den beiden Enden der Reihe von einer einfachen Motivierung die Rede sein kann. Nach dieser Erwägung kann man die Unterscheidung von traumatischer und nicht traumatischer Ätiologie als für die von uns gesuchte Analogie unwesentlich beiseite lassen.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Vielleicht ist es trotz der Gefahr der Wiederholung zweckmäßig, hier die Tatsachen zusammenzustellen, welche die für uns bedeutsame Analogie enthalten. Es sind folgende: Es hat sich für unsere Forschung herausgestellt, daß das, was wir die Phänomene (Symptome) einer Neurose heißen, die Folgen von </w:t>
      </w:r>
      <w:r w:rsidRPr="00892712">
        <w:rPr>
          <w:rFonts w:ascii="Garamond" w:hAnsi="Garamond" w:cs="Arial"/>
          <w:color w:val="000000"/>
          <w:lang w:val="en-GB"/>
        </w:rPr>
        <w:lastRenderedPageBreak/>
        <w:t>gewissen Erlebnissen und Eindrücken sind, die wir eben darum als ätiologische Traumen anerkennen. Wir haben nun zwei Aufgaben vor uns: erstens die gemeinsamen Charaktere dieser Erlebnisse und zweitens die der neurotischen Symptome aufzusuchen, wobei gewisse Schematisierungen nicht vermieden zu werden brauchen.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Ad I: </w:t>
      </w:r>
      <w:r w:rsidRPr="00892712">
        <w:rPr>
          <w:rFonts w:ascii="Garamond" w:hAnsi="Garamond" w:cs="Arial"/>
          <w:i/>
          <w:iCs/>
          <w:color w:val="000000"/>
          <w:lang w:val="en-GB"/>
        </w:rPr>
        <w:t>a)</w:t>
      </w:r>
      <w:r w:rsidRPr="00892712">
        <w:rPr>
          <w:rFonts w:ascii="Garamond" w:hAnsi="Garamond" w:cs="Arial"/>
          <w:color w:val="000000"/>
          <w:lang w:val="en-GB"/>
        </w:rPr>
        <w:t xml:space="preserve"> Alle diese Traumen gehören der frühen Kindheit bis etwa zu 5 Jahren an. Eindrücke aus der Zeit der beginnenden Sprachfähigkeit heben sich als besonders interessant hervor; die Periode von 2–4 Jahren erscheint als die wichtigste; wann nach der Geburt diese Zeit der Empfänglichkeit beginnt, läßt sich nicht sicher feststellen, </w:t>
      </w:r>
      <w:r w:rsidRPr="00892712">
        <w:rPr>
          <w:rFonts w:ascii="Garamond" w:hAnsi="Garamond" w:cs="Arial"/>
          <w:i/>
          <w:iCs/>
          <w:color w:val="000000"/>
          <w:lang w:val="en-GB"/>
        </w:rPr>
        <w:t>b)</w:t>
      </w:r>
      <w:r w:rsidRPr="00892712">
        <w:rPr>
          <w:rFonts w:ascii="Garamond" w:hAnsi="Garamond" w:cs="Arial"/>
          <w:color w:val="000000"/>
          <w:lang w:val="en-GB"/>
        </w:rPr>
        <w:t xml:space="preserve"> Die betreffenden Erlebnisse sind in der Regel völlig vergessen, sie sind der Erinnerung nicht zugänglich, fallen in die Periode der infantilen Amnesie, die zumeist durch einzelne Erinnerungsreste, sog. Deckerinnerungen, durchbrochen wird. </w:t>
      </w:r>
      <w:r w:rsidRPr="00892712">
        <w:rPr>
          <w:rFonts w:ascii="Garamond" w:hAnsi="Garamond" w:cs="Arial"/>
          <w:i/>
          <w:iCs/>
          <w:color w:val="000000"/>
          <w:lang w:val="en-GB"/>
        </w:rPr>
        <w:t>c)</w:t>
      </w:r>
      <w:r w:rsidRPr="00892712">
        <w:rPr>
          <w:rFonts w:ascii="Garamond" w:hAnsi="Garamond" w:cs="Arial"/>
          <w:color w:val="000000"/>
          <w:lang w:val="en-GB"/>
        </w:rPr>
        <w:t xml:space="preserve"> Sie beziehen sich auf Eindrücke sexueller und aggressiver Natur, gewiß auch auf frühzeitige Schädigungen des Ichs (narzißtische Kränkungen). Dazu ist zu bemerken, daß so junge Kinder zwischen sexuellen und rein aggressiven Handlungen nicht scharf unterscheiden wie später (sadistisches Mißverständnis des Sexualaktes). Das Überwiegen des sexuellen Moments ist natürlich sehr auffällig und verlangt nach theoretischer Würdigung.</w:t>
      </w:r>
    </w:p>
    <w:p w:rsidR="00032727" w:rsidRPr="00892712" w:rsidRDefault="00032727" w:rsidP="00032727">
      <w:pPr>
        <w:shd w:val="clear" w:color="auto" w:fill="FFFFFF"/>
        <w:spacing w:before="120" w:after="120" w:line="124" w:lineRule="atLeast"/>
        <w:rPr>
          <w:rFonts w:ascii="Garamond" w:hAnsi="Garamond" w:cs="Arial"/>
          <w:color w:val="000000"/>
        </w:rPr>
      </w:pPr>
      <w:r w:rsidRPr="00892712">
        <w:rPr>
          <w:rFonts w:ascii="Garamond" w:hAnsi="Garamond" w:cs="Arial"/>
          <w:color w:val="000000"/>
          <w:lang w:val="en-GB"/>
        </w:rPr>
        <w:t xml:space="preserve">Diese drei Punkte – frühzeitliches Vorkommen innerhalb der ersten 5 Jahre, Vergessenheit, sexuell-aggressiver Inhalt – gehören eng zusammen. Die Traumen sind entweder Erlebnisse am eigenen Körper oder Sinneswahrnehmungen, meist von Gesehenem und Gehörtem, also Erlebnisse oder Eindrücke. Der Zusammenhang jener drei Punkte wird durch eine Theorie hergestellt, ein Ergebnis der analytischen Arbeit, die allein eine Kenntnis der vergessenen Erlebnisse vermitteln, greller, aber auch inkorrekter ausgedrückt, sie in die Erinnerung zurückbringen kann. Die Theorie lautet, daß im Gegensatz zur populären Meinung das Geschlechtsleben der Menschen – oder was ihm in späterer Zeit entspricht – eine Frühblüte zeigt, die mit etwa 5 Jahren zu Ende ist, worauf die sogenannte Latenzzeit – bis zur Pubertät – folgt, in der keine Fortentwicklung der Sexualität vor sich geht, ja das Erreichte rückgängig gemacht wird. Diese Lehre wird durch anatomische Untersuchung des Wachstums der inneren Genitalien bestätigt; sie führt zur Vermutung, daß der Mensch von einer Tierart abstammt, die mit 5 Jahren geschlechtsreif wurde, und weckt den Verdacht, daß der Aufschub und zweizeitige Ansatz des Sexuallebens aufs innigste mit der Geschichte der Menschwerdung zusammenhängt. Der Mensch scheint das einzige Tierwesen mit solcher Latenz und Sexualverspätung zu sein. Untersuchungen an Primaten, die meines Wissens nicht vorliegen, wären für die Prüfung der Theorie unerläßlich. </w:t>
      </w:r>
      <w:r w:rsidRPr="00892712">
        <w:rPr>
          <w:rFonts w:ascii="Garamond" w:hAnsi="Garamond" w:cs="Arial"/>
          <w:color w:val="000000"/>
        </w:rPr>
        <w:t xml:space="preserve">Psychologisch kann es nicht gleichgültig sein, daß die Periode der infantilen Amnesie mit dieser Frühzeit der Sexualität zusammenfällt. Vielleicht bringt dieser Sachverhalt die wirkliche Bedingung für die Möglichkeit der Neurose, die ja im gewissen Sinne ein menschliches Vorrecht ist und in dieser Betrachtung als ein Überbleibsel ( </w:t>
      </w:r>
      <w:r w:rsidRPr="00892712">
        <w:rPr>
          <w:rFonts w:ascii="Garamond" w:hAnsi="Garamond" w:cs="Arial"/>
          <w:i/>
          <w:iCs/>
          <w:color w:val="000000"/>
        </w:rPr>
        <w:t>survival</w:t>
      </w:r>
      <w:r w:rsidRPr="00892712">
        <w:rPr>
          <w:rFonts w:ascii="Garamond" w:hAnsi="Garamond" w:cs="Arial"/>
          <w:color w:val="000000"/>
        </w:rPr>
        <w:t>) der Urzeit erscheint wie gewisse Bestandstücke der Anatomie unseres Körpers.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Ad II, gemeinsame Eigenschaften oder Besonderheiten der neurotischen Phänomene: Es sind zwei Punkte hervorzuheben, </w:t>
      </w:r>
      <w:r w:rsidRPr="00892712">
        <w:rPr>
          <w:rFonts w:ascii="Garamond" w:hAnsi="Garamond" w:cs="Arial"/>
          <w:i/>
          <w:iCs/>
          <w:color w:val="000000"/>
          <w:lang w:val="en-GB"/>
        </w:rPr>
        <w:t>a)</w:t>
      </w:r>
      <w:r w:rsidRPr="00892712">
        <w:rPr>
          <w:rFonts w:ascii="Garamond" w:hAnsi="Garamond" w:cs="Arial"/>
          <w:color w:val="000000"/>
          <w:lang w:val="en-GB"/>
        </w:rPr>
        <w:t xml:space="preserve"> Die Wirkungen des Traumas sind von zweierlei Art, positive und negative. Die ersteren sind Bemühungen, das Trauma wieder zur Geltung zu bringen, also das vergessene Erlebnis zu erinnern, oder noch besser, es real zu machen, eine Wiederholung davon von neuem zu erleben, wenn es auch nur eine frühere Affektbeziehung war, dieselbe in einer analogen Beziehung zu einer anderen Person neu wiederaufleben zu lassen. Man faßt diese Bemühungen zusammen als </w:t>
      </w:r>
      <w:r w:rsidRPr="00892712">
        <w:rPr>
          <w:rFonts w:ascii="Garamond" w:hAnsi="Garamond" w:cs="Arial"/>
          <w:i/>
          <w:iCs/>
          <w:color w:val="000000"/>
          <w:lang w:val="en-GB"/>
        </w:rPr>
        <w:t>Fixierung</w:t>
      </w:r>
      <w:r w:rsidRPr="00892712">
        <w:rPr>
          <w:rFonts w:ascii="Garamond" w:hAnsi="Garamond" w:cs="Arial"/>
          <w:color w:val="000000"/>
          <w:lang w:val="en-GB"/>
        </w:rPr>
        <w:t xml:space="preserve"> an das Trauma und als </w:t>
      </w:r>
      <w:r w:rsidRPr="00892712">
        <w:rPr>
          <w:rFonts w:ascii="Garamond" w:hAnsi="Garamond" w:cs="Arial"/>
          <w:i/>
          <w:iCs/>
          <w:color w:val="000000"/>
          <w:lang w:val="en-GB"/>
        </w:rPr>
        <w:t>Wiederholungszwang</w:t>
      </w:r>
      <w:r w:rsidRPr="00892712">
        <w:rPr>
          <w:rFonts w:ascii="Garamond" w:hAnsi="Garamond" w:cs="Arial"/>
          <w:color w:val="000000"/>
          <w:lang w:val="en-GB"/>
        </w:rPr>
        <w:t>. Sie können in das sog. normale Ich aufgenommen werden und als ständige Tendenzen desselben ihm unwandelbare Charakterzüge verleihen, obwohl oder vielmehr gerade weil ihre wirkliche Begründung, ihr historischer Ursprung vergessen ist. So kann ein Mann, der seine Kindheit in übermäßiger, heute vergessener Mutterbindung verbracht hat, sein ganzes Leben über nach einer Frau suchen, von der er sich abhängig machen kann, von der er sich nähren und erhalten läßt. Ein Mädchen, das in früher Kindheit Objekt einer sexuellen Verführung wurde, kann ihr späteres Sexualleben darauf einrichten, immer wieder solche Angriffe zu provozieren. Es ist leicht zu erraten, daß wir durch solche Einsichten über das Problem der Neurose hinaus zum Verständnis der Charakterbildung überhaupt vordringen.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negativen Reaktionen verfolgen das entgegengesetzte Ziel, daß von den vergessenen Traumen nichts erinnert und nichts wiederholt werden soll. Wir können sie als </w:t>
      </w:r>
      <w:r w:rsidRPr="00892712">
        <w:rPr>
          <w:rFonts w:ascii="Garamond" w:hAnsi="Garamond" w:cs="Arial"/>
          <w:i/>
          <w:iCs/>
          <w:color w:val="000000"/>
          <w:lang w:val="en-GB"/>
        </w:rPr>
        <w:t>Abwehrreaktionen</w:t>
      </w:r>
      <w:r w:rsidRPr="00892712">
        <w:rPr>
          <w:rFonts w:ascii="Garamond" w:hAnsi="Garamond" w:cs="Arial"/>
          <w:color w:val="000000"/>
          <w:lang w:val="en-GB"/>
        </w:rPr>
        <w:t xml:space="preserve"> zusammenfassen. Ihr Hauptausdruck sind die sog. </w:t>
      </w:r>
      <w:r w:rsidRPr="00892712">
        <w:rPr>
          <w:rFonts w:ascii="Garamond" w:hAnsi="Garamond" w:cs="Arial"/>
          <w:i/>
          <w:iCs/>
          <w:color w:val="000000"/>
          <w:lang w:val="en-GB"/>
        </w:rPr>
        <w:t>Vermeidungen</w:t>
      </w:r>
      <w:r w:rsidRPr="00892712">
        <w:rPr>
          <w:rFonts w:ascii="Garamond" w:hAnsi="Garamond" w:cs="Arial"/>
          <w:color w:val="000000"/>
          <w:lang w:val="en-GB"/>
        </w:rPr>
        <w:t xml:space="preserve">, die sich zu </w:t>
      </w:r>
      <w:r w:rsidRPr="00892712">
        <w:rPr>
          <w:rFonts w:ascii="Garamond" w:hAnsi="Garamond" w:cs="Arial"/>
          <w:i/>
          <w:iCs/>
          <w:color w:val="000000"/>
          <w:lang w:val="en-GB"/>
        </w:rPr>
        <w:t>Hemmungen</w:t>
      </w:r>
      <w:r w:rsidRPr="00892712">
        <w:rPr>
          <w:rFonts w:ascii="Garamond" w:hAnsi="Garamond" w:cs="Arial"/>
          <w:color w:val="000000"/>
          <w:lang w:val="en-GB"/>
        </w:rPr>
        <w:t xml:space="preserve"> und </w:t>
      </w:r>
      <w:r w:rsidRPr="00892712">
        <w:rPr>
          <w:rFonts w:ascii="Garamond" w:hAnsi="Garamond" w:cs="Arial"/>
          <w:i/>
          <w:iCs/>
          <w:color w:val="000000"/>
          <w:lang w:val="en-GB"/>
        </w:rPr>
        <w:t>Phobien</w:t>
      </w:r>
      <w:r w:rsidRPr="00892712">
        <w:rPr>
          <w:rFonts w:ascii="Garamond" w:hAnsi="Garamond" w:cs="Arial"/>
          <w:color w:val="000000"/>
          <w:lang w:val="en-GB"/>
        </w:rPr>
        <w:t xml:space="preserve"> steigern können. Auch diese </w:t>
      </w:r>
      <w:r w:rsidRPr="00892712">
        <w:rPr>
          <w:rFonts w:ascii="Garamond" w:hAnsi="Garamond" w:cs="Arial"/>
          <w:color w:val="000000"/>
          <w:lang w:val="en-GB"/>
        </w:rPr>
        <w:lastRenderedPageBreak/>
        <w:t>negativen Reaktionen leisten die stärksten Beiträge zur Prägung des Charakters; im Grunde sind sie ebenso Fixierungen an das Trauma wie ihre Gegner, nur sind es Fixierungen mit entgegengesetzter Tendenz. Die Symptome der Neurose im engeren Sinne sind Kompromißbildungen, zu denen beiderlei von den Traumen ausgehende Strebungen zusammentreten, so daß bald der Anteil der einen, bald der anderen Richtung in ihnen überwiegenden Ausdruck findet. Durch diesen Gegensatz der Reaktionen werden Konflikte hergestellt, die regulärerweise zu keinem Abschluß kommen können.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i/>
          <w:iCs/>
          <w:color w:val="000000"/>
          <w:lang w:val="en-GB"/>
        </w:rPr>
        <w:t>b)</w:t>
      </w:r>
      <w:r w:rsidRPr="00892712">
        <w:rPr>
          <w:rFonts w:ascii="Garamond" w:hAnsi="Garamond" w:cs="Arial"/>
          <w:color w:val="000000"/>
          <w:lang w:val="en-GB"/>
        </w:rPr>
        <w:t xml:space="preserve"> Alle diese Phänomene, die Symptome wie die Einschränkungen des Ichs und die stabilen Charakterveränderungen, haben </w:t>
      </w:r>
      <w:r w:rsidRPr="00892712">
        <w:rPr>
          <w:rFonts w:ascii="Garamond" w:hAnsi="Garamond" w:cs="Arial"/>
          <w:i/>
          <w:iCs/>
          <w:color w:val="000000"/>
          <w:lang w:val="en-GB"/>
        </w:rPr>
        <w:t>Zwangs</w:t>
      </w:r>
      <w:r w:rsidRPr="00892712">
        <w:rPr>
          <w:rFonts w:ascii="Garamond" w:hAnsi="Garamond" w:cs="Arial"/>
          <w:color w:val="000000"/>
          <w:lang w:val="en-GB"/>
        </w:rPr>
        <w:t>charakter, d. h. bei großer psychischer Intensität zeigen sie eine weitgehende Unabhängigkeit von der Organisation der anderen seelischen Vorgänge, die den Forderungen der realen Außenwelt angepaßt sind, den Gesetzen des logischen Denkens gehorchen. Sie werden durch die äußere Realität nicht oder nicht genug beeinflußt, kümmern sich nicht um sie und um ihre psychische Vertretung, so daß sie leicht in aktiven Widerspruch zu beiden geraten. Sie sind gleichsam ein Staat im Staat, eine unzugängliche, zur Zusammenarbeit unbrauchbare Partei, der es aber gelingen kann, das andere, sog. Normale zu überwinden und in ihren Dienst zu zwingen. Geschieht dies, so ist damit die Herrschaft einer inneren psychischen Realität über die Realität der Außenwelt erreicht, der Weg zur Psychose eröffnet. Auch wo es nicht so weit kommt, ist die praktische Bedeutung dieser Verhältnisse kaum zu überschätzen. Die Lebenshemmung und Lebensunfähigkeit der von einer Neurose beherrschten Personen ist ein in der menschlichen Gesellschaft sehr bedeutsamer Faktor, und man darf in ihr den direkten Ausdruck ihrer Fixierung an ein frühes Stück ihrer Vergangenheit erkennen.</w:t>
      </w:r>
    </w:p>
    <w:p w:rsidR="00032727" w:rsidRPr="00032727"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Und nun fragen wir, was ist es mit der Latenz, die uns mit Rücksicht auf die Analogie besonders interessieren muß? An das Trauma der Kindheit kann sich ein neurotischer Ausbruch unmittelbar anschließen, eine Kindheitsneurose, erfüllt von den Bemühungen zur Abwehr, unter Bildung von Symptomen. </w:t>
      </w:r>
      <w:r w:rsidRPr="00892712">
        <w:rPr>
          <w:rFonts w:ascii="Garamond" w:hAnsi="Garamond" w:cs="Arial"/>
          <w:color w:val="000000"/>
          <w:lang w:val="en-GB"/>
        </w:rPr>
        <w:t>Sie kann längere Zeit anhalten, auffällige Störungen verursachen, aber auch latent verlaufen und übersehen werden. In ihr behält in der Regel die Abwehr die Oberhand; auf jeden Fall bleiben Ichveränderungen, den Narbenbildungen vergleichbar, zurück. Nur selten setzt sich die Kinderneurose ohne Unterbrechung in die Neurose des Erwachsenen fort. Weit häufiger wird sie abgelöst von einer Zeit anscheinend ungestörter Entwicklung, ein Vorgang, der durch das Dazwischentreten der physiologischen Latenzperiode unterstützt oder ermöglicht wird. Erst später tritt die Wandlung ein, mit der die endgültige Neurose als verspätete Wirkung des Traumas manifest wird. Dies geschieht entweder mit dem Einbruch der Pubertät oder eine Weile später. Im ersteren Falle, indem die durch die physische Reifung verstärkten Triebe nun den Kampf wiederaufnehmen können, in dem sie anfänglich der Abwehr unterlegen sind, im anderen Falle, weil die bei der Abwehr hergestellten Reaktionen und Ichveränderungen sich nun als hinderlich für die Erledigung der neuen Lebensaufgaben erweisen, so daß es nun zu schweren Konflikten zwischen den Anforderungen der realen Außenwelt und dem Ich kommt, das seine im Abwehrkampf mühsam erworbene Organisation bewahren will. Das Phänomen einer Latenz der Neurose zwischen den ersten Reaktionen auf das Trauma und dem späteren Ausbruch der Erkrankung muß als typisch anerkannt werden. Man darf diese Erkrankung auch als Heilungsversuch ansehen, als Bemühung, die durch den Einfluß des Traumas abgespaltenen Anteile des Ichs wieder mit dem übrigen zu versöhnen und zu einem gegen die Außenwelt machtvollen Ganzen zu vereinigen. Aber ein solcher Versuch gelingt nur selten, wenn nicht die analytische Arbeit zu Hilfe kommt, auch dann nicht immer, und er endet häufig genug in einer völligen Verwüstung und Zersplitterung des Ichs oder in dessen Überwältigung durch den frühzeitig abgespaltenen, vom Trauma beherrschten Anteil.</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Um die Überzeugung des Lesers zu gewinnen, wäre die ausführliche Mitteilung zahlreicher neurotischer Lebensgeschichten erforderlich. Aber bei der Weitläufigkeit und Schwierigkeit des Gegenstandes würde dies den Charakter dieser Arbeit völlig aufheben. Sie würde sich in eine Abhandlung über Neurosenlehre umwandeln und auch dann wahrscheinlich nur auf jene Minderzahl wirken, die das Studium und die Ausübung der Psychoanalyse zur Lebensaufgabe gewählt hat. Da ich mich hier an einen weiteren Kreis wende, kann ich nichts anderes tun, als den Leser ersuchen, daß er den im Vorstehenden abgekürzt mitgeteilten Ausführungen eine gewisse vorläufige Glaubwürdigkeit zugestehe, womit also das Zugeständnis meinerseits verbunden ist, daß er die Folgerungen, zu denen ich ihn führe, nur dann anzunehmen braucht, wenn die Lehren, die ihre Voraussetzungen sind, sich als richtig bewähren.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Ich kann immerhin versuchen, einen einzelnen Fall zu erzählen, der manche der erwähnten Eigentümlichkeiten der Neurose besonders deutlich erkennen läßt. Natürlich darf man von einem </w:t>
      </w:r>
      <w:r w:rsidRPr="00892712">
        <w:rPr>
          <w:rFonts w:ascii="Garamond" w:hAnsi="Garamond" w:cs="Arial"/>
          <w:color w:val="000000"/>
          <w:lang w:val="en-GB"/>
        </w:rPr>
        <w:lastRenderedPageBreak/>
        <w:t>einzigen Fall nicht erwarten, daß er alles zeigen wird, und braucht nicht enttäuscht zu sein, wenn er sich inhaltlich weit von dem entfernt, wozu wir die Analogie suchen.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Das Knäblein, das, wie so häufig in kleinbürgerlichen Familien, in den ersten Lebensjahren das Schlafzimmer mit den Eltern teilte, hatte wiederholt, ja regelmäßig Gelegenheit, im Alter der kaum erreichten Sprachfähigkeit die sexuellen Vorgänge zwischen den Eltern zu beobachten, manches zu sehen und mehr noch zu hören. In seiner späteren Neurose, die unmittelbar nach der ersten spontanen Pollution ausbricht, ist Schlafstörung das früheste und lästigste Symptom. Er wird außerordentlich empfindlich gegen nächtliche Geräusche und kann, einmal geweckt, den Schlaf nicht wiederfinden. Diese Schlafstörung war ein richtiges Kompromißsymptom, einerseits der Ausdruck seiner Abwehr gegen jene nächtlichen Wahrnehmungen, andererseits ein Versuch, das Wachsein wiederherzustellen, in dem er jenen Eindrücken lauschen konnte.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Durch solche Beobachtung frühzeitig zu aggressiver Männlichkeit geweckt, begann das Kind seinen kleinen Penis mit der Hand zu erregen und verschiedene sexuelle Angriffe auf die Mutter zu unternehmen, in der Identifizierung mit dem Vater, an dessen Stelle er sich dabei setzte. Das ging so fort, bis er sich endlich von der Mutter das Verbot holte, sein Glied zu berühren, und des weiteren die Drohung von ihr hörte, sie werde es dem Vater sagen und der ihm zur Strafe das sündige Glied wegnehmen. Diese Kastrationsdrohung hatte eine außerordentlich starke traumatische Wirkung auf den Knaben. </w:t>
      </w:r>
      <w:r w:rsidRPr="00892712">
        <w:rPr>
          <w:rFonts w:ascii="Garamond" w:hAnsi="Garamond" w:cs="Arial"/>
          <w:color w:val="000000"/>
        </w:rPr>
        <w:t xml:space="preserve">Er gab seine sexuelle Tätigkeit auf und änderte seinen Charakter. Anstatt sich mit dem Vater zu identifizieren, fürchtete er ihn, stellte sich passiv zu ihm ein und provozierte ihn durch gelegentliche Schlimmheit zu körperlichen Züchtigungen, die für ihn sexuelle Bedeutung hatten, so daß er sich dabei mit der mißhandelten Mutter identifizieren konnte. An die Mutter selbst klammerte er sich immer ängstlicher an, als ob er keinen Moment lang ihre Liebe entbehren könnte, in der er den Schutz gegen die vom Vater drohende Kastrationsgefahr erblickte. In dieser Modifikation des Ödipuskomplexes verbrachte er die Latenzzeit, die von auffälligen Störungen frei blieb. </w:t>
      </w:r>
      <w:r w:rsidRPr="00892712">
        <w:rPr>
          <w:rFonts w:ascii="Garamond" w:hAnsi="Garamond" w:cs="Arial"/>
          <w:color w:val="000000"/>
          <w:lang w:val="en-GB"/>
        </w:rPr>
        <w:t>Er wurde ein Musterknabe, hatte guten Erfolg in der Schule.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Soweit haben wir die unmittelbare Wirkung des Traumas verfolgt und die Tatsache der Latenz bestätigt.</w:t>
      </w:r>
    </w:p>
    <w:p w:rsidR="00032727" w:rsidRPr="00892712" w:rsidRDefault="00032727" w:rsidP="00032727">
      <w:pPr>
        <w:shd w:val="clear" w:color="auto" w:fill="FFFFFF"/>
        <w:spacing w:before="120" w:after="120" w:line="124" w:lineRule="atLeast"/>
        <w:rPr>
          <w:rFonts w:ascii="Garamond" w:hAnsi="Garamond" w:cs="Arial"/>
          <w:color w:val="000000"/>
        </w:rPr>
      </w:pPr>
      <w:r w:rsidRPr="00892712">
        <w:rPr>
          <w:rFonts w:ascii="Garamond" w:hAnsi="Garamond" w:cs="Arial"/>
          <w:color w:val="000000"/>
          <w:lang w:val="en-GB"/>
        </w:rPr>
        <w:t xml:space="preserve">Der Eintritt der Pubertät brachte die manifeste Neurose und offenbarte deren zweites Hauptsymptom, die sexuelle Impotenz. Er hatte die Empfindlichkeit seines Gliedes eingebüßt, versuchte nicht, es zu berühren, wagte nicht, sich einer Frau in sexueller Absicht zu nähern. </w:t>
      </w:r>
      <w:smartTag w:uri="urn:schemas-microsoft-com:office:smarttags" w:element="place">
        <w:r w:rsidRPr="00892712">
          <w:rPr>
            <w:rFonts w:ascii="Garamond" w:hAnsi="Garamond" w:cs="Arial"/>
            <w:color w:val="000000"/>
            <w:lang w:val="en-GB"/>
          </w:rPr>
          <w:t>Seine</w:t>
        </w:r>
      </w:smartTag>
      <w:r w:rsidRPr="00892712">
        <w:rPr>
          <w:rFonts w:ascii="Garamond" w:hAnsi="Garamond" w:cs="Arial"/>
          <w:color w:val="000000"/>
          <w:lang w:val="en-GB"/>
        </w:rPr>
        <w:t xml:space="preserve"> sexuelle Betätigung blieb eingeschränkt auf psychische Onanie mit sadistisch-masochistischen Phantasien, in denen man unschwer die Ausläufer jener frühen Koitusbeobachtungen an den Eltern erkennt. Der Schub verstärkter Männlichkeit, den die Pubertät mit sich bringt, wurde für wütenden Vaterhaß und Widersetzlichkeit gegen den Vater aufgewendet. Dies extreme, bis zur Selbstzerstörung rücksichtslose Verhältnis zum Vater verschuldete auch seinen Mißerfolg im Leben und seine Konflikte mit der Außenwelt. Er durfte es in seinem Beruf zu nichts bringen, weil der Vater ihn in diesen Beruf gedrängt hatte. </w:t>
      </w:r>
      <w:r w:rsidRPr="00892712">
        <w:rPr>
          <w:rFonts w:ascii="Garamond" w:hAnsi="Garamond" w:cs="Arial"/>
          <w:color w:val="000000"/>
        </w:rPr>
        <w:t>Er machte auch keine Freunde, stand nie gut zu seinen Vorgesetzten.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rPr>
        <w:t xml:space="preserve">Als er, mit diesen Symptomen und Unfähigkeiten behaftet, nach dem Tode des Vaters endlich eine Frau gefunden hatte, kamen wie als Kern seines Wesens Charakterzüge bei ihm zum Vorschein, die den Umgang mit ihm zur schweren Aufgabe für alle ihm Näherstehenden machten. </w:t>
      </w:r>
      <w:r w:rsidRPr="00892712">
        <w:rPr>
          <w:rFonts w:ascii="Garamond" w:hAnsi="Garamond" w:cs="Arial"/>
          <w:color w:val="000000"/>
          <w:lang w:val="en-GB"/>
        </w:rPr>
        <w:t xml:space="preserve">Er entwickelte eine absolut egoistische, despotische und brutale Persönlichkeit, der es offenbar Bedürfnis war, die anderen zu unterdrücken und zu kränken. Es war die getreue Kopie des Vaters, wie sich dessen Bild in seiner Erinnerung gestaltet hatte, also ein Wiederaufleben der Vateridentifizierung, in die sich seinerzeit der kleine Knabe aus sexuellen Motiven begeben hatte. In diesem Stück erkennen wir die </w:t>
      </w:r>
      <w:r w:rsidRPr="00892712">
        <w:rPr>
          <w:rFonts w:ascii="Garamond" w:hAnsi="Garamond" w:cs="Arial"/>
          <w:i/>
          <w:iCs/>
          <w:color w:val="000000"/>
          <w:lang w:val="en-GB"/>
        </w:rPr>
        <w:t>Wiederkehr</w:t>
      </w:r>
      <w:r w:rsidRPr="00892712">
        <w:rPr>
          <w:rFonts w:ascii="Garamond" w:hAnsi="Garamond" w:cs="Arial"/>
          <w:color w:val="000000"/>
          <w:lang w:val="en-GB"/>
        </w:rPr>
        <w:t xml:space="preserve"> des Verdrängten, die wir nebst den unmittelbaren Wirkungen des Traumas und dem Phänomen der Latenz unter den wesentlichen Zügen einer Neurose beschrieben haben.</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D. Anwendung</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Frühes Trauma – Abwehr – Latenz – Ausbruch der neurotischen Erkrankung – teilweise Wiederkehr des Verdrängten: so lautete die Formel, die wir für die Entwicklung einer Neurose aufgestellt haben. Der Leser wird nun eingeladen, den Schritt zur Annahme zu machen, daß im Leben der Menschenart Ähnliches vorgefallen ist wie in dem der Individuen. Also daß es auch hier Vorgänge gegeben hat sexuell-aggressiven Inhalts, die bleibende Folgen hinterlassen haben, aber zumeist abgewehrt, vergessen wurden, </w:t>
      </w:r>
      <w:r w:rsidRPr="00892712">
        <w:rPr>
          <w:rFonts w:ascii="Garamond" w:hAnsi="Garamond" w:cs="Arial"/>
          <w:color w:val="000000"/>
          <w:lang w:val="en-GB"/>
        </w:rPr>
        <w:lastRenderedPageBreak/>
        <w:t>später, nach langer Latenz zur Wirkung gekommen sind und Phänomene, den Symptomen ähnlich in Aufbau und Tendenz, geschaffen haben.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glauben diese Vorgänge erraten zu können und wollen zeigen, daß ihre symptomähnlichen Folgen die religiösen Phänomene sind. Da sich seit dem Auftauchen der Evolutionsidee nicht mehr bezweifeln läßt, daß das Menschengeschlecht eine Vorgeschichte hat, und da diese unbekannt, das heißt vergessen ist, hat ein solcher Schluß beinahe das Gewicht eines Postulats. Wenn wir erfahren, daß die wirksamen und vergessenen Traumen sich hier wie dort auf das Leben in der menschlichen Familie beziehen, werden wir dies als eine hocherwünschte, nicht vorhergesehene, von den bisherigen Erörterungen nicht erforderte Zugabe begrüßen.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Ich habe diese Behauptungen schon vor einem Vierteljahrhundert in meinem Buch </w:t>
      </w:r>
      <w:r w:rsidRPr="00892712">
        <w:rPr>
          <w:rFonts w:ascii="Garamond" w:hAnsi="Garamond" w:cs="Arial"/>
          <w:i/>
          <w:iCs/>
          <w:color w:val="000000"/>
          <w:lang w:val="en-GB"/>
        </w:rPr>
        <w:t>Totem und Tabu</w:t>
      </w:r>
      <w:r w:rsidRPr="00892712">
        <w:rPr>
          <w:rFonts w:ascii="Garamond" w:hAnsi="Garamond" w:cs="Arial"/>
          <w:color w:val="000000"/>
          <w:lang w:val="en-GB"/>
        </w:rPr>
        <w:t xml:space="preserve"> (1912–13) aufgestellt und brauche sie hier nur zu wiederholen. Die Konstruktion geht von einer Angabe Ch. Darwins aus und bezieht eine Vermutung von Atkinson ein. Sie besagt, daß in Urzeiten der Urmensch in kleinen Horden lebte, jede unter der Herrschaft eines starken Männchens. Die Zeit ist nicht angebbar, der Anschluß an die uns bekannten geologischen Epochen nicht erreicht, wahrscheinlich hatte es jenes Menschenwesen in der Sprachentwicklung noch nicht weit gebracht. Ein wesentliches Stück der Konstruktion ist die Annahme, daß die zu beschreibenden Schicksale alle Urmenschen, also alle unsere Ahnen betroffen haben.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Geschichte wird in großartiger Verdichtung erzählt, als ob sich ein einziges Mal zugetragen hätte, was sich in Wirklichkeit über Jahrtausende erstreckt hat und in dieser langen Zeit ungezählt oft wiederholt worden ist. Das starke Männchen war Herr und Vater der ganzen Horde, unbeschränkt in seiner Macht, die er gewalttätig gebrauchte. Alle weiblichen Wesen waren sein Eigentum, die Frauen und Töchter der eigenen Horde, wie vielleicht auch die aus anderen Horden geraubten. Das Schicksal der Söhne war ein hartes; wenn sie die Eifersucht des Vaters erregten, wurden sie erschlagen oder kastriert oder ausgetrieben. Sie waren darauf angewiesen, in kleinen Gemeinschaften zusammenzuleben und sich Frauen durch Raub zu verschaffen, wo es dann dem einen oder anderen gelingen konnte, sich zu einer ähnlichen Position emporzuarbeiten wie die des Vaters in der Urhorde. Eine Ausnahmestellung ergab sich aus natürlichen Gründen für die jüngsten Söhne, die durch die Liebe der Mütter geschützt aus dem Altern des Vaters Vorteil ziehen und ihn nach seinem Ableben ersetzen konnten. Sowohl von der Austreibung der älteren wie von der Bevorzugung der jüngsten Söhne glaubt man Nachklänge in Sagen und Märchen zu erkennen.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Der nächste, entscheidende Schritt zur Änderung dieser ersten Art von »sozialer« Organisation soll gewesen sein, daß die vertriebenen, in Gemeinschaft lebenden Brüder sich zusammentaten, den Vater überwältigten und ihn nach der Sitte jener Zeiten roh verzehrten. An diesem Kannibalismus braucht man keinen Anstoß zu nehmen, er ragt weit in spätere Zeiten hinein. Wesentlich ist es aber, daß wir diesen Urmenschen die nämlichen Gefühlseinstellungen zuschreiben, wie wir sie bei den Primitiven der Gegenwart, unseren Kindern, durch analytische Erforschung feststellen können. Also daß sie den Vater nicht nur haßten und fürchteten, sondern auch ihn als Vorbild verehrten, und daß jeder sich in Wirklichkeit an seine Stelle setzen wollte. Der kannibalistische Akt wird dann verständlich als Versuch, sich durch Einverleibung eines Stücks von ihm der Identifizierung mit ihm zu versichern.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Es ist anzunehmen, daß nach der Vatertötung eine längere Zeit folgte, in der die Brüder miteinander um das Vatererbe stritten, das ein jeder für sich allein gewinnen wollte. Die Einsicht in die Gefahren und die Erfolglosigkeit dieser Kämpfe, die Erinnerung an die gemeinsam vollbrachte Befreiungstat und die Gefühlsbindungen aneinander, die während der Zeiten der Vertreibung entstanden waren, führten endlich zu einer Einigung unter ihnen, einer Art von Gesellschaftsvertrag. Es entstand die erste Form einer sozialen Organisation mit </w:t>
      </w:r>
      <w:r w:rsidRPr="00892712">
        <w:rPr>
          <w:rFonts w:ascii="Garamond" w:hAnsi="Garamond" w:cs="Arial"/>
          <w:i/>
          <w:iCs/>
          <w:color w:val="000000"/>
          <w:lang w:val="en-GB"/>
        </w:rPr>
        <w:t>Triebverzicht</w:t>
      </w:r>
      <w:r w:rsidRPr="00892712">
        <w:rPr>
          <w:rFonts w:ascii="Garamond" w:hAnsi="Garamond" w:cs="Arial"/>
          <w:color w:val="000000"/>
          <w:lang w:val="en-GB"/>
        </w:rPr>
        <w:t xml:space="preserve">, Anerkennung von gegenseitigen </w:t>
      </w:r>
      <w:r w:rsidRPr="00892712">
        <w:rPr>
          <w:rFonts w:ascii="Garamond" w:hAnsi="Garamond" w:cs="Arial"/>
          <w:i/>
          <w:iCs/>
          <w:color w:val="000000"/>
          <w:lang w:val="en-GB"/>
        </w:rPr>
        <w:t>Verpflichtungen</w:t>
      </w:r>
      <w:r w:rsidRPr="00892712">
        <w:rPr>
          <w:rFonts w:ascii="Garamond" w:hAnsi="Garamond" w:cs="Arial"/>
          <w:color w:val="000000"/>
          <w:lang w:val="en-GB"/>
        </w:rPr>
        <w:t xml:space="preserve">, Einsetzung bestimmter, für unverbrüchlich (heilig) erklärter </w:t>
      </w:r>
      <w:r w:rsidRPr="00892712">
        <w:rPr>
          <w:rFonts w:ascii="Garamond" w:hAnsi="Garamond" w:cs="Arial"/>
          <w:i/>
          <w:iCs/>
          <w:color w:val="000000"/>
          <w:lang w:val="en-GB"/>
        </w:rPr>
        <w:t>Institutionen</w:t>
      </w:r>
      <w:r w:rsidRPr="00892712">
        <w:rPr>
          <w:rFonts w:ascii="Garamond" w:hAnsi="Garamond" w:cs="Arial"/>
          <w:color w:val="000000"/>
          <w:lang w:val="en-GB"/>
        </w:rPr>
        <w:t xml:space="preserve">, die Anfänge also von Moral und Recht. Jeder einzelne verzichtete auf das Ideal, die Vaterstellung für sich zu erwerben, auf den Besitz von Mutter und Schwestern. Damit war das </w:t>
      </w:r>
      <w:r w:rsidRPr="00892712">
        <w:rPr>
          <w:rFonts w:ascii="Garamond" w:hAnsi="Garamond" w:cs="Arial"/>
          <w:i/>
          <w:iCs/>
          <w:color w:val="000000"/>
          <w:lang w:val="en-GB"/>
        </w:rPr>
        <w:t>Inzesttabu</w:t>
      </w:r>
      <w:r w:rsidRPr="00892712">
        <w:rPr>
          <w:rFonts w:ascii="Garamond" w:hAnsi="Garamond" w:cs="Arial"/>
          <w:color w:val="000000"/>
          <w:lang w:val="en-GB"/>
        </w:rPr>
        <w:t xml:space="preserve"> und das Gebot der </w:t>
      </w:r>
      <w:r w:rsidRPr="00892712">
        <w:rPr>
          <w:rFonts w:ascii="Garamond" w:hAnsi="Garamond" w:cs="Arial"/>
          <w:i/>
          <w:iCs/>
          <w:color w:val="000000"/>
          <w:lang w:val="en-GB"/>
        </w:rPr>
        <w:t>Exogamie</w:t>
      </w:r>
      <w:r w:rsidRPr="00892712">
        <w:rPr>
          <w:rFonts w:ascii="Garamond" w:hAnsi="Garamond" w:cs="Arial"/>
          <w:color w:val="000000"/>
          <w:lang w:val="en-GB"/>
        </w:rPr>
        <w:t xml:space="preserve"> gegeben. Ein gutes Stück der durch die Beseitigung des Vaters frei gewordenen Machtvollkommenheit ging auf die Frauen über, es kam die Zeit des </w:t>
      </w:r>
      <w:r w:rsidRPr="00892712">
        <w:rPr>
          <w:rFonts w:ascii="Garamond" w:hAnsi="Garamond" w:cs="Arial"/>
          <w:i/>
          <w:iCs/>
          <w:color w:val="000000"/>
          <w:lang w:val="en-GB"/>
        </w:rPr>
        <w:t>Matriarchats</w:t>
      </w:r>
      <w:r w:rsidRPr="00892712">
        <w:rPr>
          <w:rFonts w:ascii="Garamond" w:hAnsi="Garamond" w:cs="Arial"/>
          <w:color w:val="000000"/>
          <w:lang w:val="en-GB"/>
        </w:rPr>
        <w:t xml:space="preserve">. </w:t>
      </w:r>
      <w:r w:rsidRPr="00892712">
        <w:rPr>
          <w:rFonts w:ascii="Garamond" w:hAnsi="Garamond" w:cs="Arial"/>
          <w:color w:val="000000"/>
        </w:rPr>
        <w:t xml:space="preserve">Das Andenken des Vaters lebte zu dieser Periode des »Brüderbundes« fort. </w:t>
      </w:r>
      <w:r w:rsidRPr="00892712">
        <w:rPr>
          <w:rFonts w:ascii="Garamond" w:hAnsi="Garamond" w:cs="Arial"/>
          <w:color w:val="000000"/>
          <w:lang w:val="en-GB"/>
        </w:rPr>
        <w:t xml:space="preserve">Ein starkes, vielleicht zuerst immer auch gefürchtetes Tier wurde als Vaterersatz gefunden. Eine solche Wahl mag uns befremdend erscheinen, aber die Kluft, die der Mensch später zwischen sich und dem Tier hergestellt hat, bestand nicht für den Primitiven und besteht auch nicht bei unseren Kindern, deren Tierphobien wir als Vaterangst verstehen konnten. Im Verhältnis zum Totemtier war die ursprüngliche Zwiespältigkeit (Ambivalenz) der Gefühlsbeziehung zum Vater voll erhalten. Der Totem galt einerseits als leiblicher </w:t>
      </w:r>
      <w:r w:rsidRPr="00892712">
        <w:rPr>
          <w:rFonts w:ascii="Garamond" w:hAnsi="Garamond" w:cs="Arial"/>
          <w:color w:val="000000"/>
          <w:lang w:val="en-GB"/>
        </w:rPr>
        <w:lastRenderedPageBreak/>
        <w:t>Ahnherr und Schutzgeist des Clans, er mußte verehrt und geschont werden, anderseits wurde ein Festtag eingesetzt, an dem ihm das Schicksal bereitet wurde, das der Urvater gefunden hatte. Er wurde von allen Genossen gemeinsam getötet und verzehrt (Totemmahlzeit nach Robertson Smith). Dieser große Festtag war in Wirklichkeit eine Triumphfeier des Sieges der verbündeten Söhne über den Vater.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Wo bleibt in diesem Zusammenhange die Religion? Ich meine, wir haben ein volles Recht, im Totemismus mit seiner Verehrung eines Vaterersatzes, der durch die Totemmahlzeit bezeugten Ambivalenz, der Einsetzung von Gedenkfeiern, von Verboten, deren Übertretung mit dem Tode bestraft wird – wir dürfen im Totemismus, sage ich, die erste Erscheinungsform der Religion in der menschlichen Geschichte erkennen und deren von Anfang an bestehende Verknüpfung mit sozialen Gestaltungen und moralischen Verpflichtungen bestätigen. Die weiteren Entwicklungen der Religion können wir hier nur in kürzester Überschau behandeln. Sie gehen ohne Zweifel parallel mit den kulturellen Fortschritten des Menschengeschlechts und den Veränderungen im Aufbau der menschlichen Gemeinschaften.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Der nächste Fortschritt vom Totemismus her ist die Vermenschlichung des verehrten Wesens. An die Stelle der Tiere treten menschliche Götter, deren Herkunft vom Totem nicht verhüllt ist. Entweder wird der Gott noch in Tiergestalt oder wenigstens mit dem Angesicht des Tieres gebildet, oder der Totem wird zum bevorzugten Begleiter des Gottes, von ihm unzertrennlich, oder die Sage läßt den Gott gerade dieses Tier erlegen, das doch nur seine Vorstufe war. An einer nicht leicht bestimmbaren Stelle dieser Entwicklung treten große Muttergottheiten auf, wahrscheinlich noch vor den männlichen Göttern, die sich dann lange Zeit neben diesen erhalten. Unterdes hat sich eine große soziale Umwälzung vollzogen. Das Mutterrecht wurde durch eine wiederhergestellte patriarchalische Ordnung abgelöst. Die neuen Väter erreichten freilich nie die Allmacht des Urvaters, es waren ihrer viele, die in größeren Verbänden, als die Horde gewesen war, miteinander lebten; sie mußten sich miteinander gut vertragen, blieben durch soziale Satzungen beschränkt. Wahrscheinlich entstanden die Muttergottheiten zur Zeit der Einschränkung des Matriarchats zur Entschädigung der zurückgesetzten Mütter. Die männlichen Gottheiten erscheinen zuerst als Söhne neben den großen Müttern, erst später nehmen sie deutlich die Züge von Vatergestalten an. Diese männlichen Götter des Polytheismus spiegeln die Verhältnisse der patriarchalischen Zeit wider. Sie sind zahlreich, beschränken einander gegenseitig, unterordnen sich gelegentlich einem überlegenen Obergott. Der nächste Schritt aber führt zu dem Thema, das uns hier beschäftigt, zur Wiederkehr des einen, einzigen, unumschränkt herrschenden Vatergottes.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Es ist zuzugeben, daß diese historische Übersicht lückenhaft und in manchen Punkten ungesichert ist. Aber wer unsere Konstruktion der Urgeschichte nur für phantastisch erklären wollte, der würde den Reichtum und die Beweiskraft des Materials, das in sie eingegangen ist, arg unterschätzen. Große Stücke der Vergangenheit, die hier zu einem Ganzen verknüpft werden, sind historisch bezeugt, der Totemismus, die Männerbünde. Anderes hat sich in ausgezeichneten Repliken erhalten. So ist es mehrmals einem Autor aufgefallen, wie getreu der Ritus der christlichen Kommunion, in der der Gläubige in symbolischer Form Blut und Fleisch seines Gottes sich einverleibt, Sinn und Inhalt der alten Totemmahlzeit wiederholt. Zahlreiche Überbleibsel der vergessenen Urzeit sind in den Sagen und Märchen der Völker erhalten, und in unerwarteter Reichhaltigkeit hat das analytische Studium des kindlichen Seelenlebens Stoff geliefert, um die Lücken unserer Kenntnis der Urzeiten auszufüllen. Als Beiträge zum Verständnis des so bedeutsamen Vaterverhältnisses brauche ich nur die Tierphobien, die so seltsam anmutende Furcht, vom Vater gefressen zu werden, und die ungeheure Intensität der Kastrationsangst anzuführen. Es ist nichts an unserer Konstruktion, was frei erfunden wäre, was sich nicht auf gute Grundlagen stützen könnte.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Nimmt man unsere Darstellung der Urgeschichte als im ganzen glaubwürdig an, so erkennt man in den religiösen Lehren und Riten zweierlei Elemente: einerseits Fixierungen an die alte Familiengeschichte und Überlebsel derselben, anderseits Wiederherstellungen des Vergangenen, Wiederkehren des Vergessenen nach langen Intervallen. Der letztere Anteil ist der, der, bisher übersehen und darum nicht verstanden, hier an wenigstens einem eindrucksvollen Beispiel erwiesen werden soll.</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Es ist besonderer Hervorhebung wert, daß jedes aus der Vergessenheit wiederkehrende Stück sich mit besonderer Macht durchsetzt, einen unvergleichlich starken Einfluß auf die Menschenmassen übt und einen unwiderstehlichen Anspruch auf Wahrheit erhebt, gegen den logischer Einspruch machtlos bleibt. Nach Art des </w:t>
      </w:r>
      <w:r w:rsidRPr="00892712">
        <w:rPr>
          <w:rFonts w:ascii="Garamond" w:hAnsi="Garamond" w:cs="Arial"/>
          <w:i/>
          <w:iCs/>
          <w:color w:val="000000"/>
          <w:lang w:val="en-GB"/>
        </w:rPr>
        <w:t>Credo quia absurdum</w:t>
      </w:r>
      <w:r w:rsidRPr="00892712">
        <w:rPr>
          <w:rFonts w:ascii="Garamond" w:hAnsi="Garamond" w:cs="Arial"/>
          <w:color w:val="000000"/>
          <w:lang w:val="en-GB"/>
        </w:rPr>
        <w:t xml:space="preserve">. Dieser merkwürdige Charakter läßt sich nur nach dem Muster des Irrwahns der Psychotiker verstehen. Wir haben längst begriffen, daß in der Wahnidee ein Stück </w:t>
      </w:r>
      <w:r w:rsidRPr="00892712">
        <w:rPr>
          <w:rFonts w:ascii="Garamond" w:hAnsi="Garamond" w:cs="Arial"/>
          <w:color w:val="000000"/>
          <w:lang w:val="en-GB"/>
        </w:rPr>
        <w:lastRenderedPageBreak/>
        <w:t xml:space="preserve">vergessener Wahrheit steckt, das sich bei seiner Wiederkehr Entstellungen und Mißverständnisse gefallenlassen mußte, und daß die zwanghafte Überzeugung, die sich für den Wahn herstellt, von diesem Wahrheitskern ausgeht und sich auf die umhüllenden Irrtümer ausbreitet. Einen solchen Gehalt an </w:t>
      </w:r>
      <w:r w:rsidRPr="00892712">
        <w:rPr>
          <w:rFonts w:ascii="Garamond" w:hAnsi="Garamond" w:cs="Arial"/>
          <w:i/>
          <w:iCs/>
          <w:color w:val="000000"/>
          <w:lang w:val="en-GB"/>
        </w:rPr>
        <w:t>historisch</w:t>
      </w:r>
      <w:r w:rsidRPr="00892712">
        <w:rPr>
          <w:rFonts w:ascii="Garamond" w:hAnsi="Garamond" w:cs="Arial"/>
          <w:color w:val="000000"/>
          <w:lang w:val="en-GB"/>
        </w:rPr>
        <w:t xml:space="preserve"> zu nennender Wahrheit müssen wir auch den Glaubenssätzen der Religionen zugestehen, die zwar den Charakter psychotischer Symptome an sich tragen, aber als Massenphänomene dem Fluch der Isolierung entzogen sind.</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Kein anderes Stück der Religionsgeschichte ist uns so durchsichtig geworden wie die Einsetzung des Monotheismus im Judentum und dessen Fortsetzung im Christentum, wenn wir die ähnlich lückenlos verständliche Entwicklung vom tierischen Totem zum menschlichen Gott mit seinem regelmäßigen Begleiter beiseite lassen. (Noch jeder der vier christlichen Evangelisten hat sein Lieblingstier.) Lassen wir vorläufig die pharaonische Weltherrschaft als Anlaß für das Auftauchen der monotheistischen Idee gelten, so sehen wir, daß diese, von ihrem Boden losgelöst und auf ein anderes Volk übertragen, von diesem Volk nach einer langen Zeit der Latenz Besitz ergreift, als kostbarster Besitz von ihm gehütet wird und nun ihrerseits das Volk am Leben erhält, indem sie ihm den Stolz der Auserwähltheit schenkt. Es ist die Religion des Urvaters, an die sich die Hoffnung auf Belohnung, Auszeichnung, endlich auf Weltherrschaft knüpft. Diese letztere Wunschphantasie, vom jüdischen Volk längst aufgegeben, lebt noch heute bei den Feinden des Volkes im Glauben an die Verschwörung der »Weisen von Zion« fort. Wir behalten uns vor, in einem späteren Abschnitt darzustellen, wie die besonderen Eigentümlichkeiten der Ägypten entlehnten monotheistischen Religion auf das jüdische Volk wirken und seinen Charakter für die Dauer prägen mußten durch die Ablehnung von Magie und Mystik, die Anregung zu Fortschritten in der Geistigkeit, die Aufforderung zu Sublimierungen, wie das Volk durch den Besitz der Wahrheit beseligt, überwältigt vom Bewußtsein der Auserwähltheit, zur Hochschätzung des Intellektuellen und zur Betonung des Ethischen gelangte und wie die traurigen Schicksale, die realen Enttäuschungen dieses Volkes alle diese Tendenzen verstärken konnten. Für jetzt wollen wir die Entwicklung in anderer Richtung verfolgen.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Wiedereinsetzung des Urvaters in seine historischen Rechte war ein großer Fortschritt, aber es konnte nicht das Ende sein. Auch die anderen Stücke der prähistorischen Tragödie drängten nach Anerkennung. Was diesen Prozeß in Gang brachte, ist nicht leicht zu erraten. Es scheint, daß ein wachsendes Schuldbewußtsein sich des jüdischen Volkes, vielleicht der ganzen damaligen Kulturwelt bemächtigt hatte als Vorläufer der Wiederkehr des verdrängten Inhalts. Bis dann einer aus diesem jüdischen Volk in der Justifizierung eines politisch-religiösen Agitators den Anlaß fand, mit dem eine neue, die christliche Religion sich vom Judentum ablöste. Paulus, ein römischer Jude aus </w:t>
      </w:r>
      <w:smartTag w:uri="urn:schemas-microsoft-com:office:smarttags" w:element="City">
        <w:smartTag w:uri="urn:schemas-microsoft-com:office:smarttags" w:element="place">
          <w:r w:rsidRPr="00892712">
            <w:rPr>
              <w:rFonts w:ascii="Garamond" w:hAnsi="Garamond" w:cs="Arial"/>
              <w:color w:val="000000"/>
              <w:lang w:val="en-GB"/>
            </w:rPr>
            <w:t>Tarsus</w:t>
          </w:r>
        </w:smartTag>
      </w:smartTag>
      <w:r w:rsidRPr="00892712">
        <w:rPr>
          <w:rFonts w:ascii="Garamond" w:hAnsi="Garamond" w:cs="Arial"/>
          <w:color w:val="000000"/>
          <w:lang w:val="en-GB"/>
        </w:rPr>
        <w:t xml:space="preserve">, griff dieses Schuldbewußtsein auf und führte es richtig auf seine urgeschichtliche Quelle zurück. Er nannte diese die »Erbsünde«, es war ein Verbrechen gegen Gott, das nur durch den Tod gesühnt werden konnte. Mit der Erbsünde war der Tod in die Welt gekommen. In Wirklichkeit war dies todwürdige Verbrechen der Mord am später vergötterten Urvater gewesen. Aber es wurde nicht die Mordtat erinnert, sondern anstatt dessen ihre Sühnung phantasiert, und darum konnte diese Phantasie als Erlösungsbotschaft ( </w:t>
      </w:r>
      <w:r w:rsidRPr="00892712">
        <w:rPr>
          <w:rFonts w:ascii="Garamond" w:hAnsi="Garamond" w:cs="Arial"/>
          <w:i/>
          <w:iCs/>
          <w:color w:val="000000"/>
          <w:lang w:val="en-GB"/>
        </w:rPr>
        <w:t>Evangelium</w:t>
      </w:r>
      <w:r w:rsidRPr="00892712">
        <w:rPr>
          <w:rFonts w:ascii="Garamond" w:hAnsi="Garamond" w:cs="Arial"/>
          <w:color w:val="000000"/>
          <w:lang w:val="en-GB"/>
        </w:rPr>
        <w:t>) begrüßt werden. Ein Sohn Gottes hatte sich als Unschuldiger töten lassen und damit die Schuld aller auf sich genommen. Es mußte ein Sohn sein, denn es war ja ein Mord am Vater gewesen. Wahrscheinlich hatten Traditionen aus orientalischen und griechischen Mysterien auf den Ausbau der Erlösungsphantasie Einfluß genommen. Das Wesentliche an ihr scheint Paulus' eigener Beitrag gewesen zu sein. Er war ein im eigentlichsten Sinn religiös veranlagter Mensch; die dunklen Spuren der Vergangenheit lauerten in seiner Seele, bereit zum Durchbruch in bewußtere Regionen.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Daß sich der Erlöser schuldlos geopfert hatte, war eine offenbar tendenziöse Entstellung, die dem logischen Verständnis Schwierigkeiten bereitete, denn wie soll ein an der Mordtat Unschuldiger die Schuld der Mörder auf sich nehmen können, dadurch, daß er sich selbst töten läßt? In der historischen Wirklichkeit bestand ein solcher Widerspruch nicht. Der »Erlöser« konnte kein anderer sein als der Hauptschuldige, der Anführer der Brüderbande, die den Vater überwältigt hatte. </w:t>
      </w:r>
      <w:smartTag w:uri="urn:schemas-microsoft-com:office:smarttags" w:element="place">
        <w:r w:rsidRPr="00892712">
          <w:rPr>
            <w:rFonts w:ascii="Garamond" w:hAnsi="Garamond" w:cs="Arial"/>
            <w:color w:val="000000"/>
            <w:lang w:val="en-GB"/>
          </w:rPr>
          <w:t>Ob</w:t>
        </w:r>
      </w:smartTag>
      <w:r w:rsidRPr="00892712">
        <w:rPr>
          <w:rFonts w:ascii="Garamond" w:hAnsi="Garamond" w:cs="Arial"/>
          <w:color w:val="000000"/>
          <w:lang w:val="en-GB"/>
        </w:rPr>
        <w:t xml:space="preserve"> es einen solchen Hauptrebellen und Anführer gegeben hat, muß man nach meinem Urteil unentschieden lassen. Es ist sehr wohl möglich, aber man muß auch in Betracht ziehen, daß jeder einzelne der Brüderbande gewiß den Wunsch hatte, für sich allein die Tat zu begehen und sich so eine Ausnahmestellung und einen Ersatz für die aufzugebende, in der Gemeinschaft untergehende Vateridentifizierung zu schaffen. Wenn es keinen solchen Anführer gab, dann ist Christus der Erbe einer unerfüllt gebliebenen Wunschphantasie, wenn ja, dann ist er sein Nachfolger und seine Reinkarnation. Aber gleichgültig, ob hier Phantasie oder Wiederkehr </w:t>
      </w:r>
      <w:r w:rsidRPr="00892712">
        <w:rPr>
          <w:rFonts w:ascii="Garamond" w:hAnsi="Garamond" w:cs="Arial"/>
          <w:color w:val="000000"/>
          <w:lang w:val="en-GB"/>
        </w:rPr>
        <w:lastRenderedPageBreak/>
        <w:t xml:space="preserve">einer vergessenen Realität vorliegt, jedenfalls ist an dieser Stelle der Ursprung der Vorstellung vom Heros zu finden, vom Helden, der sich ja immer gegen den Vater empört und ihn in irgendeiner Gestalt tötet </w:t>
      </w:r>
      <w:hyperlink r:id="rId1355"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Ernest Jones macht darauf aufmerksam, daß der Gott Mithras, der den Stier tötet, diesen Anführer darstellen könnte, der sich seiner Tat rühmt. Es ist bekannt, wie lange die Mithrasverehrung mit dem jungen Christentum um den Endsieg stritt.</w:t>
        </w:r>
      </w:hyperlink>
      <w:r w:rsidRPr="00892712">
        <w:rPr>
          <w:rFonts w:ascii="Garamond" w:hAnsi="Garamond" w:cs="Arial"/>
          <w:color w:val="000000"/>
          <w:lang w:val="en-GB"/>
        </w:rPr>
        <w:t>. Auch die wirkliche Begründung der sonst schwer nachweisbaren »tragischen Schuld« des Helden im Drama. Es ist kaum zu bezweifeln, daß der Held und der Chor im griechischen Drama diesen selben rebellischen Helden und die Brüderbande darstellen, und es ist nicht bedeutungslos, daß im Mittelalter das Theater mit der Darstellung der Passionsgeschichte wieder neu beginnt.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haben schon gesagt, daß die christliche Zeremonie der heiligen Kommunion, in der der Gläubige Blut und Fleisch des Heilands sich einverleibt, den Inhalt der alten Totemmahlzeit wiederholt, freilich nur in ihrem zärtlichen, die Verehrung ausdrückenden, nicht in ihrem aggressiven Sinn. Die Ambivalenz, die das Vaterverhältnis beherrscht, zeigte sich aber deutlich im Endergebnis der religiösen Neuerung. Angeblich zur Versöhnung des Vatergottes bestimmt, ging sie in dessen Entthronung und Beseitigung aus. Das Judentum war eine Vaterreligion gewesen, das Christentum wurde eine Sohnesreligion. Der alte Gottvater trat hinter Christus zurück, Christus, der Sohn, kam an seine Stelle, ganz so, wie es in jener Urzeit jeder Sohn ersehnt hatte. Paulus, der Fortsetzer des Judentums, wurde auch sein Zerstörer. Seinen Erfolg dankte er gewiß in erster Linie der Tatsache, daß er durch die Erlösungsidee das Schuldbewußtsein der Menschheit beschwor, aber daneben auch dem Umstand, daß er die Auserwähltheit seines Volkes und ihr sichtbares Anzeichen, die Beschneidung, aufgab, so daß die neue Religion eine universelle, alle Menschen umfassende werden konnte. Mag an diesem Schritt des Paulus auch seine persönliche Rachsucht Anteil gehabt haben ob des Widerspruchs, den seine Neuerung in jüdischen Kreisen fand, so war doch damit ein Charakter der alten Atonreligion wiederhergestellt, eine Einengung aufgehoben worden, die sie beim Übergang auf einen neuen Träger, auf das jüdische Volk, erworben hatte.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In manchen Hinsichten bedeutete die neue Religion eine kulturelle Regression gegen die ältere, jüdische, wie es ja beim Einbruch oder bei der Zulassung neuer Menschenmassen von niedrigerem Niveau regelmäßig der Fall ist. Die christliche Religion hielt die Höhe der Vergeistigung nicht ein, zu der sich das Judentum aufgeschwungen hatte. Sie war nicht mehr streng monotheistisch, übernahm von den umgebenden Völkern zahlreiche symbolische Riten, stellte die große Muttergottheit wieder her und fand Platz zur Unterbringung vieler Göttergestalten des Polytheismus in durchsichtiger Verhüllung, obzwar in untergeordneten Stellungen. Vor allem verschloß sie sich nicht wie die Atonreligion und die ihr nachfolgende mosaische dem Eindringen abergläubischer, magischer und mystischer Elemente, die für die geistige Entwicklung der nächsten zwei Jahrtausende eine schwere Hemmung bedeuten sollten.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Der Triumph des Christentums war ein erneuerter Sieg der Ammonspriester über den Gott Ikhnatons nach anderthalbtausendjährigem Intervall und auf erweitertem Schauplatz. Und doch war das Christentum religionsgeschichtlich, d. h. in bezug auf die Wiederkehr des Verdrängten, ein Fortschritt, die jüdische Religion von da ab gewissermaßen ein Fossil.</w:t>
      </w:r>
    </w:p>
    <w:p w:rsidR="00032727" w:rsidRPr="00032727"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Es wäre der Mühe wert zu verstehen, wie es kam, daß die monotheistische Idee grade auf das jüdische Volk einen so tiefen Eindruck machen und von ihm so zähe festgehalten werden konnte. Ich glaube, man kann diese Frage beantworten. Das Schicksal hatte dem jüdischen Volke die Großtat und Untat der Urzeit, die Vatertötung, nähergerückt, indem es dasselbe veranlaßte, sie an der Person des Moses, einer hervorragenden Vatergestalt, zu wiederholen. Es war ein Fall von »Agieren«, anstatt zu erinnern, wie er sich so häufig während der analytischen Arbeit am Neurotiker ereignet. Auf die Anregung zur Erinnerung, die ihnen die Lehre Moses' brachte, reagierten sie aber mit der Verleugnung ihrer Aktion, blieben bei der Anerkennung des großen Vaters stehen und sperrten sich so den Zugang zur Stelle, an der später Paulus die Fortsetzung der Urgeschichte anknüpfen sollte. Es ist kaum gleichgültig oder zufällig, daß die gewaltsame Tötung eines anderen großen Mannes auch der Ausgangspunkt für die religiöse Neuschöpfung des Paulus wurde. Eines Mannes, den eine kleine Anzahl von Anhängern in Judäa für den Sohn Gottes und den angekündigten Messias hielt, auf den auch später ein Stück der dem Moses angedichteten Kindheitsgeschichte überging, von dem wir aber in Wirklichkeit kaum mehr Sicheres wissen als von Moses selbst, nicht wissen, ob er wirklich der große Lehrer war, den die Evangelien schildern, oder ob nicht vielmehr die Tatsache und die Umstände seines Todes entscheidend wurden für die Bedeutung, die seine Person gewonnen hat. </w:t>
      </w:r>
      <w:r w:rsidRPr="00032727">
        <w:rPr>
          <w:rFonts w:ascii="Garamond" w:hAnsi="Garamond" w:cs="Arial"/>
          <w:color w:val="000000"/>
          <w:lang w:val="en-GB"/>
        </w:rPr>
        <w:t>Paulus, der sein Apostel wurde, hat ihn selbst nicht gekannt.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lastRenderedPageBreak/>
        <w:t xml:space="preserve">Die von Sellin aus ihren Spuren in der Tradition erkannte, merkwürdigerweise auch vom jungen Goethe ohne jeden Beweis angenommene Tötung des Moses durch sein Judenvolk </w:t>
      </w:r>
      <w:hyperlink r:id="rId1356" w:anchor="#" w:history="1">
        <w:r w:rsidRPr="00032727">
          <w:rPr>
            <w:rStyle w:val="fusslink"/>
            <w:rFonts w:ascii="Garamond" w:hAnsi="Garamond" w:cs="Arial"/>
            <w:b/>
            <w:bCs/>
            <w:color w:val="003399"/>
            <w:lang w:val="en-GB"/>
          </w:rPr>
          <w:t>[Fußnote]</w:t>
        </w:r>
        <w:r w:rsidRPr="00032727">
          <w:rPr>
            <w:rStyle w:val="innerfusslink3"/>
            <w:rFonts w:ascii="Garamond" w:hAnsi="Garamond" w:cs="Arial"/>
            <w:b/>
            <w:bCs/>
            <w:lang w:val="en-GB"/>
          </w:rPr>
          <w:t>›Israel in der Wüste‹; Bd. 7 der Weimarer Ausgabe, S. 170.</w:t>
        </w:r>
      </w:hyperlink>
      <w:r w:rsidRPr="00032727">
        <w:rPr>
          <w:rFonts w:ascii="Garamond" w:hAnsi="Garamond" w:cs="Arial"/>
          <w:color w:val="000000"/>
          <w:lang w:val="en-GB"/>
        </w:rPr>
        <w:t xml:space="preserve"> </w:t>
      </w:r>
      <w:r w:rsidRPr="00892712">
        <w:rPr>
          <w:rFonts w:ascii="Garamond" w:hAnsi="Garamond" w:cs="Arial"/>
          <w:color w:val="000000"/>
          <w:lang w:val="en-GB"/>
        </w:rPr>
        <w:t xml:space="preserve">wird so ein unentbehrliches Stück unserer Konstruktion, ein wichtiges Bindeglied zwischen dem vergessenen Vorgang der Urzeit und dem späten Wiederauftauchen in der Form der monotheistischen Religionen </w:t>
      </w:r>
      <w:hyperlink r:id="rId1357"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 xml:space="preserve">Vgl. zu diesem Thema die bekannten Ausführungen von Frazer, </w:t>
        </w:r>
        <w:r w:rsidRPr="00892712">
          <w:rPr>
            <w:rStyle w:val="innerfusslink3"/>
            <w:rFonts w:ascii="Garamond" w:hAnsi="Garamond" w:cs="Arial"/>
            <w:b/>
            <w:bCs/>
            <w:i/>
            <w:iCs/>
            <w:lang w:val="en-GB"/>
          </w:rPr>
          <w:t>The Golden Bough</w:t>
        </w:r>
        <w:r w:rsidRPr="00892712">
          <w:rPr>
            <w:rStyle w:val="innerfusslink3"/>
            <w:rFonts w:ascii="Garamond" w:hAnsi="Garamond" w:cs="Arial"/>
            <w:b/>
            <w:bCs/>
            <w:lang w:val="en-GB"/>
          </w:rPr>
          <w:t xml:space="preserve">, Part III, </w:t>
        </w:r>
        <w:r w:rsidRPr="00892712">
          <w:rPr>
            <w:rStyle w:val="innerfusslink3"/>
            <w:rFonts w:ascii="Garamond" w:hAnsi="Garamond" w:cs="Arial"/>
            <w:b/>
            <w:bCs/>
            <w:i/>
            <w:iCs/>
            <w:lang w:val="en-GB"/>
          </w:rPr>
          <w:t>The Dying God</w:t>
        </w:r>
        <w:r w:rsidRPr="00892712">
          <w:rPr>
            <w:rStyle w:val="innerfusslink3"/>
            <w:rFonts w:ascii="Garamond" w:hAnsi="Garamond" w:cs="Arial"/>
            <w:b/>
            <w:bCs/>
            <w:lang w:val="en-GB"/>
          </w:rPr>
          <w:t>.</w:t>
        </w:r>
      </w:hyperlink>
      <w:r w:rsidRPr="00892712">
        <w:rPr>
          <w:rFonts w:ascii="Garamond" w:hAnsi="Garamond" w:cs="Arial"/>
          <w:color w:val="000000"/>
          <w:lang w:val="en-GB"/>
        </w:rPr>
        <w:t>. Es ist eine ansprechende Vermutung, daß die Reue um den Mord an Moses den Antrieb zur Wunschphantasie vom Messias gab, der wiederkommen und seinem Volk die Erlösung und die versprochene Weltherrschaft bringen sollte. Wenn Moses dieser erste Messias war, dann ist Christus sein Ersatzmann und Nachfolger geworden, dann konnte auch Paulus mit einer gewissen historischen Berechtigung den Völkern zurufen: »Sehet, der Messias ist wirklich gekommen, er ist ja vor euren Augen hingemordet worden.« Dann ist auch an der Auferstehung Christi ein Stück historischer Wahrheit, denn er war der wiedergekehrte Urvater der primitiven Horde, verklärt und als Sohn an die Stelle des Vaters gerückt.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US"/>
        </w:rPr>
        <w:t xml:space="preserve">Das arme jüdische Volk, das mit gewohnter Hartnäckigkeit den Mord am Vater zu verleugnen fortfuhr, hat im Laufe der Zeiten schwer dafür gebüßt. </w:t>
      </w:r>
      <w:r w:rsidRPr="00892712">
        <w:rPr>
          <w:rFonts w:ascii="Garamond" w:hAnsi="Garamond" w:cs="Arial"/>
          <w:color w:val="000000"/>
          <w:lang w:val="en-GB"/>
        </w:rPr>
        <w:t xml:space="preserve">Es wurde ihm immer wieder vorgehalten: Ihr habt unseren Gott getötet. Und dieser Vorwurf hat recht, wenn man ihn richtig übersetzt. Er lautet dann auf die Geschichte der Religionen bezogen: Ihr wollt nicht </w:t>
      </w:r>
      <w:r w:rsidRPr="00892712">
        <w:rPr>
          <w:rFonts w:ascii="Garamond" w:hAnsi="Garamond" w:cs="Arial"/>
          <w:i/>
          <w:iCs/>
          <w:color w:val="000000"/>
          <w:lang w:val="en-GB"/>
        </w:rPr>
        <w:t>zugeben</w:t>
      </w:r>
      <w:r w:rsidRPr="00892712">
        <w:rPr>
          <w:rFonts w:ascii="Garamond" w:hAnsi="Garamond" w:cs="Arial"/>
          <w:color w:val="000000"/>
          <w:lang w:val="en-GB"/>
        </w:rPr>
        <w:t xml:space="preserve">, daß ihr Gott (das Urbild Gottes, den Urvater, und seine späteren Reinkarnationen) gemordet habt. Ein Zusatz sollte aussagen: Wir haben freilich dasselbe getan, aber wir haben es </w:t>
      </w:r>
      <w:r w:rsidRPr="00892712">
        <w:rPr>
          <w:rFonts w:ascii="Garamond" w:hAnsi="Garamond" w:cs="Arial"/>
          <w:i/>
          <w:iCs/>
          <w:color w:val="000000"/>
          <w:lang w:val="en-GB"/>
        </w:rPr>
        <w:t>zugestanden</w:t>
      </w:r>
      <w:r w:rsidRPr="00892712">
        <w:rPr>
          <w:rFonts w:ascii="Garamond" w:hAnsi="Garamond" w:cs="Arial"/>
          <w:color w:val="000000"/>
          <w:lang w:val="en-GB"/>
        </w:rPr>
        <w:t>, und wir sind seither entsühnt. Nicht alle Vorwürfe, mit denen der Antisemitismus die Nachkommen des jüdischen Volkes verfolgt, können sich auf eine ähnliche Rechtfertigung berufen. Ein Phänomen von der Intensität und Dauerhaftigkeit des Judenhasses der Völker muß natürlich mehr als nur einen Grund haben. Man kann eine ganze Reihe von Gründen erraten, manche offenkundig aus der Realität abgeleitet, die keiner Deutung bedürfen, andere, tieferliegende, aus geheimen Quellen stammend, die man als die spezifischen Motive anerkennen möchte. Von den ersteren ist der Vorwurf der Landfremdheit wohl der hinfälligste, denn an vielen heute vom Antisemitismus beherrschten Orten gehören die Juden zu den ältesten Anteilen der Bevölkerung oder sind selbst früher zur Stelle gewesen als die gegenwärtigen Einwohner. Das trifft z. B. zu für die Stadt Köln, wohin die Juden mit den Römern kamen, ehe sie noch von Germanen besetzt wurde. Andere Begründungen des Judenhasses sind stärker, so der Umstand, daß sie zumeist als Minoritäten unter anderen Völkern leben, denn das Gemeinschaftsgefühl der Massen braucht zu seiner Ergänzung die Feindseligkeit gegen eine außenstehende Minderzahl, und die numerische Schwäche dieser Ausgeschlossenen fordert zu deren Unterdrückung auf. Ganz unverzeihlich sind aber zwei andere Eigenheiten der Juden. Erstens, daß sie in manchen Hinsichten verschieden sind von ihren »Wirtsvölkern«. Nicht grundverschieden, denn sie sind nicht fremdrassige Asiaten, wie die Feinde behaupten, sondern zumeist aus Resten der mediterranen Völker zusammengesetzt und Erben der Mittelmeerkultur. Aber sie sind doch anders, oft in undefinierbarer Art anders als zumal die nordischen Völker, und die Intoleranz der Massen äußert sich merkwürdigerweise gegen kleine Unterschiede stärker als gegen fundamentale Differenzen.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Noch stärker wirkt der zweite Punkt, nämlich daß sie allen Bedrückungen trotzen, daß es den grausamsten Verfolgungen nicht gelungen ist, sie auszurotten, ja, daß sie vielmehr die Fähigkeit zeigen, sich im Erwerbsleben zu behaupten und, wo man sie zuläßt, wertvolle Beiträge zu allen kulturellen Leistungen zu machen.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tieferen Motive des Judenhasses wurzeln in längst vergangenen Zeiten, sie wirken aus dem Unbewußten der Völker, und ich bin darauf gefaßt, daß sie zunächst nicht glaubwürdig erscheinen werden. Ich wage die Behauptung, daß die Eifersucht auf das Volk, welches sich für das erstgeborene, bevorzugte Kind Gottvaters ausgab, bei den anderen heute noch nicht überwunden ist, so als ob sie dem Anspruch Glauben geschenkt hätten. Ferner hat unter den Sitten, durch die sich die Juden absonderten, die der Beschneidung einen unliebsamen, unheimlichen Eindruck gemacht, der sich wohl durch die Mahnung an die gefürchtete Kastration erklärt und damit an ein gern vergessenes Stück der urzeitlichen Vergangenheit rührt. Und endlich das späteste Motiv dieser Reihe, man sollte nicht vergessen, daß alle diese Völker, die sich heute im Judenhaß hervortun, erst in späthistorischen Zeiten Christen geworden sind, oft durch blutigen Zwang dazu getrieben. Man könnte sagen, sie sind alle »schlecht getauft«, unter einer dünnen Tünche von Christentum sind sie geblieben, was ihre Ahnen waren, die einem barbarischen Polytheismus huldigten. Sie haben ihren Groll gegen die neue, ihnen aufgedrängte Religion nicht überwunden, aber sie haben ihn auf die Quelle verschoben, von der das Christentum zu ihnen kam. Die Tatsache, daß die Evangelien eine Geschichte erzählen, die unter Juden und eigentlich nur von Juden </w:t>
      </w:r>
      <w:r w:rsidRPr="00892712">
        <w:rPr>
          <w:rFonts w:ascii="Garamond" w:hAnsi="Garamond" w:cs="Arial"/>
          <w:color w:val="000000"/>
          <w:lang w:val="en-GB"/>
        </w:rPr>
        <w:lastRenderedPageBreak/>
        <w:t>handelt, hat ihnen eine solche Verschiebung erleichtert. Ihr Judenhaß ist im Grunde Christenhaß, und man braucht sich nicht zu wundern, daß in der deutschen nationalsozialistischen Revolution diese innige Beziehung der zwei monotheistischen Religionen in der feindseligen Behandlung beider so deutlichen Ausdruck findet.</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E. Schwierigkeiten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Vielleicht ist es im Vorstehenden geglückt, die Analogie zwischen neurotischen Vorgängen und den religiösen Geschehnissen durchzuführen und damit auf den unvermuteten Ursprung der letzteren hinzuweisen. Bei dieser Übertragung aus der Individual- in die Massenpsychologie stellen sich zwei Schwierigkeiten heraus von verschiedener Natur und Würdigkeit, denen wir uns jetzt zuwenden müssen. Die erste ist, daß wir hier nur einen Fall aus der reichhaltigen Phänomenologie der Religionen behandelt, kein Licht geworfen haben auf die anderen. Mit Bedauern muß der Autor eingestehen, daß er nicht mehr geben kann als diese eine Probe, daß sein Fachwissen nicht ausreicht, um die Untersuchung zu vervollständigen. Er kann aus seiner beschränkten Kenntnis etwa noch hinzufügen, der Fall der mahomedanischen Religionsstiftung erscheine ihm wie eine abgekürzte Wiederholung der jüdischen, als deren Nachahmung sie auftrat. Es scheint ja, daß der Prophet ursprünglich die Absicht hatte, für sich und sein Volk das Judentum voll anzunehmen. Die Wiedergewinnung des einzigen großen Urvaters brachte bei den Arabern eine außerordentliche Hebung des Selbstbewußtseins hervor, die zu großen weltlichen Erfolgen führte, sich aber auch in ihnen erschöpfte. </w:t>
      </w:r>
      <w:r w:rsidRPr="00892712">
        <w:rPr>
          <w:rFonts w:ascii="Garamond" w:hAnsi="Garamond" w:cs="Arial"/>
          <w:color w:val="000000"/>
        </w:rPr>
        <w:t xml:space="preserve">Allah zeigte sich seinem auserwählten Volk weit dankbarer als seinerzeit Jahve dem seinen. </w:t>
      </w:r>
      <w:r w:rsidRPr="00892712">
        <w:rPr>
          <w:rFonts w:ascii="Garamond" w:hAnsi="Garamond" w:cs="Arial"/>
          <w:color w:val="000000"/>
          <w:lang w:val="en-GB"/>
        </w:rPr>
        <w:t>Aber die innere Entwicklung der neuen Religion kam bald zum Stillstand, vielleicht weil es an der Vertiefung fehlte, die im jüdischen Falle der Mord am Religionsstifter verursacht hatte. Die anscheinend rationalistischen Religionen des Ostens sind ihrem Kern nach Ahnenkult, machen also auch halt bei einer frühen Stufe der Rekonstruktion des Vergangenen. Wenn es richtig ist, daß bei primitiven Völkern der Jetztzeit die Anerkennung eines höchsten Wesens als einziger Inhalt ihrer Religion gefunden wird, so kann man dies nur als Verkümmerung der Religionsentwicklung auffassen und in Beziehung setzen zu den ungezählten Fällen rudimentärer Neurosen, die man auf jenem anderen Gebiet konstatiert. Warum es hier wie dort nicht weitergegangen ist, dafür fehlt uns in beiden Fällen das Verständnis. Man muß daran denken, die individuelle Begabung dieser Völker, die Richtung ihrer Tätigkeit und ihrer allgemeinen sozialen Zustände dafür verantwortlich zu machen. Übrigens ist es eine gute Regel der analytischen Arbeit, daß man sich mit der Erklärung des Vorhandenen begnüge und sich nicht bemühe zu erklären, was nicht zustande gekommen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zweite Schwierigkeit bei dieser Übertragung auf die Massenpsychologie ist weit bedeutsamer, weil sie ein neues Problem von prinzipieller Natur aufwirft. Es stellt sich die Frage, in welcher Form ist die wirksame Tradition im Leben der Völker vorhanden, eine Frage, die es beim Individuum nicht gibt, denn hier ist sie durch die Existenz der Erinnerungsspuren des Vergangenen im Unbewußten erledigt. Gehen wir auf unser historisches Beispiel zurück. Wir haben das Kompromiß in Qadeš auf den Fortbestand einer mächtigen Tradition bei den aus Ägypten Zurückgekehrten begründet. Dieser Fall birgt kein Problem. Nach unserer Annahme stützte sich eine solche Tradition auf bewußte Erinnerung an mündliche Mitteilungen, die die damals Lebenden von ihren Vorfahren, nur zwei oder drei Generationen zurück, empfangen hatten, und letztere waren Teilnehmer und Augenzeugen der betreffenden Ereignisse gewesen. Aber können wir für die späteren Jahrhunderte dasselbe glauben, daß die Tradition immer ein auf normale Weise mitgeteiltes Wissen zur Grundlage hatte, das vom Ahn auf den Enkel übertragen worden? Welches die Personen waren, die ein solches Wissen bewahrten und es mündlich fortpflanzten, läßt sich nicht mehr wie im früheren Falle angeben. Nach Sellin war die Tradition vom Mord an Moses in Priesterkreisen immer vorhanden, bis sie endlich ihren schriftlichen Ausdruck fand, der allein es Sellin möglich machte, sie zu erraten. Aber sie kann nur wenigen bekannt gewesen sein, sie war nicht Volksgut. Und reicht das aus, um ihre Wirkung zu erklären? Kann man einem solchen Wissen von wenigen die Macht zuschreiben, die Massen so nachhaltig zu ergreifen, wenn es zu ihrer Kenntnis kommt? Es sieht doch eher so aus, als müßte auch in der unwissenden Masse etwas vorhanden sein, was dem Wissen der wenigen irgendwie verwandt ist und ihm entgegenkommt, wenn es geäußert wird.</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Beurteilung wird noch schwieriger, wenn wir uns zum analogen Fall aus der Urzeit wenden. Daß es einen Urvater von den bekannten Eigenschaften gegeben und welches Schicksal ihn betroffen, ist im Laufe der Jahrtausende ganz gewiß vergessen worden, auch kann man keine mündliche Tradition davon </w:t>
      </w:r>
      <w:r w:rsidRPr="00892712">
        <w:rPr>
          <w:rFonts w:ascii="Garamond" w:hAnsi="Garamond" w:cs="Arial"/>
          <w:color w:val="000000"/>
          <w:lang w:val="en-GB"/>
        </w:rPr>
        <w:lastRenderedPageBreak/>
        <w:t>wie im Falle Moses annehmen. In welchem Sinne kommt also eine Tradition überhaupt in Betracht? In welcher Form kann sie vorhanden gewesen sein?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Um es Lesern leichter zu machen, die nicht gewillt oder nicht vorbereitet sind, sich in einen komplizierten psychologischen Sachverhalt zu vertiefen, werde ich das Ergebnis der nun folgenden Untersuchung voranstellen. Ich meine, die Übereinstimmung zwischen dem Individuum und der Masse ist in diesem Punkt eine fast vollkommene, auch in den Massen bleibt der Eindruck der Vergangenheit in unbewußten Erinnerungsspuren erhalten.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Beim Individuum glauben wir klarzusehen. Die Erinnerungsspur des früh Erlebten ist in ihm erhalten geblieben, nur in einem besonderen psychologischen Zustand. Man kann sagen, das Individuum hat es immer gewußt, so wie man eben um das Verdrängte weiß. Wir haben uns da bestimmte, durch die Analyse unschwer zu erhärtende Vorstellungen gebildet, wie etwas vergessen werden und wie es nach einer Weile wieder zum Vorschein kommen kann. Das Vergessene ist nicht ausgelöscht, sondern nur »verdrängt«, seine Erinnerungsspuren sind in aller Frische vorhanden, aber durch »Gegenbesetzungen« isoliert. Sie können nicht in den Verkehr mit den anderen intellektuellen Vorgängen eintreten, sind unbewußt, dem Bewußtsein unzugänglich. Es kann auch sein, daß gewisse Anteile des Verdrängten sich dem Prozeß entzogen haben, der Erinnerung zugänglich bleiben, gelegentlich im Bewußtsein auftauchen, aber auch dann sind sie isoliert, wie Fremdkörper außer Zusammenhang mit dem anderen. Es kann so sein, aber es braucht nicht so zu sein, die Verdrängung kann auch vollständig sein, und an diesen Fall wollen wir uns für das Weitere halten.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Dies Verdrängte behält seinen Auftrieb, sein Streben, zum Bewußtsein vorzudringen. Es erreicht sein Ziel unter drei Bedingungen, 1) wenn die Stärke der Gegenbesetzung herabgesetzt wird durch Krankheitsprozesse, die das andere, das sogenannte Ich, befallen, oder durch eine andere Verteilung der Besetzungsenergien in diesem Ich, wie es regelmäßig im Schlafzustand geschieht; 2) wenn die am Verdrängten haftenden Triebanteile eine besondere Verstärkung erfahren, wofür die Vorgänge während der Pubertät das beste Beispiel geben; 3) wenn im rezenten Erleben zu irgendeiner Zeit Eindrücke, Erlebnisse auftreten, die dem Verdrängten so ähnlich sind, daß sie es zu erwecken vermögen. Dann verstärkt sich das Rezente durch die latente Energie des Verdrängten, und das Verdrängte kommt hinter dem Rezenten mit seiner Hilfe zur Wirkung. In keinem dieser drei Fälle kommt das bisher Verdrängte glatt, unverändert zum Bewußtsein, sondern immer muß es sich Entstellungen gefallen lassen, die den Einfluß des nicht ganz überwundenen Widerstandes aus der Gegenbesetzung bezeugen oder den modifizierenden Einfluß des rezenten Erlebnisses oder beides.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Als Kennzeichen und Anhalt zur Orientierung hat uns die Unterscheidung gedient, ob ein psychischer Vorgang bewußt oder unbewußt ist. Das Verdrängte ist unbewußt. Nun wäre es eine erfreuliche Vereinfachung, wenn dieser Satz auch eine Umkehrung zuließe, wenn also die Differenz der Qualitäten bewußt (bw) und unbewußt (ubw) zusammenfiele mit der Scheidung: ichzugehörig und verdrängt. Die Tatsache, daß es in unserem Seelenleben solche isolierten und unbewußten Dinge gibt, wäre neu und wichtig genug. In Wirklichkeit liegt es komplizierter. Es ist richtig, daß alles Verdrängte unbewußt ist, aber nicht mehr richtig, daß alles, was zum Ich gehört, bewußt ist. Wir werden darauf aufmerksam, daß das Bewußtsein eine flüchtige Qualität ist, die einem psychischen Vorgang nur vorübergehend anhaftet. Wir müssen darum für unsere Zwecke »bewußt« ersetzen durch »bewußtseinsfähig« und nennen diese Qualität »vorbewußt« (vbw). Wir sagen dann richtiger, das Ich ist wesentlich vorbewußt (virtuell bewußt), aber Anteile des Ichs sind unbewußt.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Diese letztere Feststellung lehrt uns, daß die Qualitäten, an die wir uns bisher gehalten haben, zur Orientierung im Dunkel des Seelenlebens nicht ausreichen. Wir müssen eine andere Unterscheidung einführen, die nicht mehr qualitativ, sondern </w:t>
      </w:r>
      <w:r w:rsidRPr="00892712">
        <w:rPr>
          <w:rFonts w:ascii="Garamond" w:hAnsi="Garamond" w:cs="Arial"/>
          <w:i/>
          <w:iCs/>
          <w:color w:val="000000"/>
          <w:lang w:val="en-GB"/>
        </w:rPr>
        <w:t>topisch</w:t>
      </w:r>
      <w:r w:rsidRPr="00892712">
        <w:rPr>
          <w:rFonts w:ascii="Garamond" w:hAnsi="Garamond" w:cs="Arial"/>
          <w:color w:val="000000"/>
          <w:lang w:val="en-GB"/>
        </w:rPr>
        <w:t xml:space="preserve"> und, was ihr einen besonderen Wert verleiht, gleichzeitig </w:t>
      </w:r>
      <w:r w:rsidRPr="00892712">
        <w:rPr>
          <w:rFonts w:ascii="Garamond" w:hAnsi="Garamond" w:cs="Arial"/>
          <w:i/>
          <w:iCs/>
          <w:color w:val="000000"/>
          <w:lang w:val="en-GB"/>
        </w:rPr>
        <w:t>genetisch</w:t>
      </w:r>
      <w:r w:rsidRPr="00892712">
        <w:rPr>
          <w:rFonts w:ascii="Garamond" w:hAnsi="Garamond" w:cs="Arial"/>
          <w:color w:val="000000"/>
          <w:lang w:val="en-GB"/>
        </w:rPr>
        <w:t xml:space="preserve"> ist. Wir sondern jetzt in unserem Seelenleben, das wir als einen aus mehreren Instanzen, Bezirken, Provinzen zusammengesetzten Apparat auffassen, eine Region, die wir das eigentliche </w:t>
      </w:r>
      <w:r w:rsidRPr="00892712">
        <w:rPr>
          <w:rFonts w:ascii="Garamond" w:hAnsi="Garamond" w:cs="Arial"/>
          <w:i/>
          <w:iCs/>
          <w:color w:val="000000"/>
          <w:lang w:val="en-GB"/>
        </w:rPr>
        <w:t>Ich</w:t>
      </w:r>
      <w:r w:rsidRPr="00892712">
        <w:rPr>
          <w:rFonts w:ascii="Garamond" w:hAnsi="Garamond" w:cs="Arial"/>
          <w:color w:val="000000"/>
          <w:lang w:val="en-GB"/>
        </w:rPr>
        <w:t xml:space="preserve"> heißen, von einer anderen, die wir das </w:t>
      </w:r>
      <w:r w:rsidRPr="00892712">
        <w:rPr>
          <w:rFonts w:ascii="Garamond" w:hAnsi="Garamond" w:cs="Arial"/>
          <w:i/>
          <w:iCs/>
          <w:color w:val="000000"/>
          <w:lang w:val="en-GB"/>
        </w:rPr>
        <w:t>Es</w:t>
      </w:r>
      <w:r w:rsidRPr="00892712">
        <w:rPr>
          <w:rFonts w:ascii="Garamond" w:hAnsi="Garamond" w:cs="Arial"/>
          <w:color w:val="000000"/>
          <w:lang w:val="en-GB"/>
        </w:rPr>
        <w:t xml:space="preserve"> nennen. Das Es ist das ältere, das Ich hat sich aus ihm wie eine Rindenschicht durch den Einfluß der Außenwelt entwickelt. Im Es greifen unsere ursprünglichen Triebe an, alle Vorgänge im Es verlaufen unbewußt. Das Ich deckt sich, wie wir bereits erwähnt haben, mit dem Bereich des Vorbewußten, es enthält Anteile, die normalerweise unbewußt bleiben. Für die psychischen Vorgänge im Es gelten ganz andere Gesetze des Ablaufs und der </w:t>
      </w:r>
      <w:r w:rsidRPr="00892712">
        <w:rPr>
          <w:rFonts w:ascii="Garamond" w:hAnsi="Garamond" w:cs="Arial"/>
          <w:color w:val="000000"/>
          <w:lang w:val="en-GB"/>
        </w:rPr>
        <w:lastRenderedPageBreak/>
        <w:t>gegenseitigen Beeinflussung, als die im Ich herrschen. In Wirklichkeit ist es ja die Entdeckung dieser Unterschiede, die uns zu unserer neuen Auffassung geleitet hat und diese rechtfertigt.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Das </w:t>
      </w:r>
      <w:r w:rsidRPr="00892712">
        <w:rPr>
          <w:rFonts w:ascii="Garamond" w:hAnsi="Garamond" w:cs="Arial"/>
          <w:i/>
          <w:iCs/>
          <w:color w:val="000000"/>
          <w:lang w:val="en-GB"/>
        </w:rPr>
        <w:t>Verdrängte</w:t>
      </w:r>
      <w:r w:rsidRPr="00892712">
        <w:rPr>
          <w:rFonts w:ascii="Garamond" w:hAnsi="Garamond" w:cs="Arial"/>
          <w:color w:val="000000"/>
          <w:lang w:val="en-GB"/>
        </w:rPr>
        <w:t xml:space="preserve"> ist dem Es zuzurechnen und unterliegt auch den Mechanismen desselben, es sondert sich nur in Hinsicht der Genese von ihm ab. Die Differenzierung vollzieht sich in der Frühzeit, während sich das Ich aus dem Es entwickelt. Dann wird ein Teil der Inhalte des Es vom Ich aufgenommen und auf den vorbewußten Zustand gehoben, ein anderer Teil wird von dieser Übersetzung nicht betroffen und bleibt als das eigentliche Unbewußte im Es zurück. Im weiteren Verlauf der Ichbildung werden aber gewisse psychische Eindrücke und Vorgänge im Ich durch einen Abwehrprozeß ausgeschlossen; der Charakter des Vorbewußten wird ihnen entzogen, so daß sie wiederum zu Bestandteilen des Es erniedrigt worden sind. Dies ist also das »Verdrängte« im Es. Was den Verkehr zwischen beiden seelischen Provinzen betrifft, so nehmen wir also an, daß einerseits der unbewußte Vorgang im Es aufs Niveau des Vorbewußten gehoben und dem Ich einverleibt wird und daß anderseits Vorbewußtes im Ich den umgekehrten Weg machen und ins Es zurückversetzt werden kann. Es bleibt außerhalb unseres gegenwärtigen Interesses, daß sich später im Ich ein besonderer Bezirk, der des »Über-Ich«, abgrenzt.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Das alles mag weit entfernt von einfach scheinen, aber wenn man sich mit der ungewohnten räumlichen Auffassung des seelischen Apparats befreundet hat, kann es der Vorstellung doch keine besonderen Schwierigkeiten bereiten. Ich füge noch die Bemerkung an, daß die hier entwickelte psychische Topik nichts mit der Gehirnanatomie zu tun hat, sie eigentlich nur an einer Stelle streift. Das Unbefriedigende an dieser Vorstellung, das ich so deutlich wie jeder andere verspüre, geht von unserer völligen Unwissenheit über die </w:t>
      </w:r>
      <w:r w:rsidRPr="00892712">
        <w:rPr>
          <w:rFonts w:ascii="Garamond" w:hAnsi="Garamond" w:cs="Arial"/>
          <w:i/>
          <w:iCs/>
          <w:color w:val="000000"/>
          <w:lang w:val="en-GB"/>
        </w:rPr>
        <w:t>dynamische</w:t>
      </w:r>
      <w:r w:rsidRPr="00892712">
        <w:rPr>
          <w:rFonts w:ascii="Garamond" w:hAnsi="Garamond" w:cs="Arial"/>
          <w:color w:val="000000"/>
          <w:lang w:val="en-GB"/>
        </w:rPr>
        <w:t xml:space="preserve"> Natur der seelischen Vorgänge aus. Wir sagen uns, was eine bewußte Vorstellung von einer vorbewußten, diese von einer unbewußten unterscheidet, kann nichts anderes sein als eine Modifikation, vielleicht auch eine andere Verteilung der psychischen Energie. Wir sprechen von Besetzungen und Überbesetzungen, aber darüber hinaus fehlt uns jede Kenntnis und sogar jeder Ansatz zu einer brauchbaren Arbeitshypothese. Über das Phänomen des Bewußtseins können wir noch angeben, daß es ursprünglich an der Wahrnehmung hängt. Alle Empfindungen, die durch Wahrnehmung von Schmerz-, Getast-, Gehörs- oder Gesichtsreizungen entstehen, sind am ehesten bewußt. Die Denkvorgänge und was ihnen im Es analog sein mag, sind an sich unbewußt und erwerben sich den Zugang zum Bewußtsein durch Verknüpfung mit Erinnerungsresten von Wahrnehmungen des Gesichts und Gehörs auf dem Wege der Sprachfunktion. Beim Tier, dem die Sprache fehlt, müssen diese Verhältnisse einfacher liegen.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Eindrücke der frühen Traumen, von denen wir ausgegangen sind, werden entweder nicht ins Vorbewußte übersetzt oder bald durch die Verdrängung in den Eszustand zurückversetzt. Ihre Erinnerungsreste sind dann unbewußt und wirken vom Es aus. Wir glauben ihr weiteres Schicksal gut verfolgen zu können, solange es sich bei ihnen um Selbsterlebtes handelt. Eine neue Komplikation tritt aber hinzu, wenn wir auf die Wahrscheinlichkeit aufmerksam werden, daß im psychischen Leben des Individuums nicht nur selbsterlebte, sondern auch bei der Geburt mitgebrachte Inhalte wirksam sein mögen, Stücke von phylogenetischer Herkunft, eine </w:t>
      </w:r>
      <w:r w:rsidRPr="00892712">
        <w:rPr>
          <w:rFonts w:ascii="Garamond" w:hAnsi="Garamond" w:cs="Arial"/>
          <w:i/>
          <w:iCs/>
          <w:color w:val="000000"/>
          <w:lang w:val="en-GB"/>
        </w:rPr>
        <w:t>archaische Erbschaft</w:t>
      </w:r>
      <w:r w:rsidRPr="00892712">
        <w:rPr>
          <w:rFonts w:ascii="Garamond" w:hAnsi="Garamond" w:cs="Arial"/>
          <w:color w:val="000000"/>
          <w:lang w:val="en-GB"/>
        </w:rPr>
        <w:t>. Es entstehen dann die Fragen, worin besteht diese, was enthält sie, was sind ihre Beweise?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nächste und sicherste Antwort lautet, sie besteht in bestimmten Dispositionen, wie sie allen Lebewesen eigen sind. Also in der Fähigkeit und Neigung, bestimmte Entwicklungsrichtungen einzuschlagen und auf gewisse Erregungen, Eindrücke und Reize in einer besonderen Weise zu reagieren. Da die Erfahrung zeigt, daß sich bei den Einzelwesen der Menschenart in dieser Hinsicht Differenzen ergeben, so schließt die archaische Erbschaft diese Differenzen ein, sie stellen dar, was man als das </w:t>
      </w:r>
      <w:r w:rsidRPr="00892712">
        <w:rPr>
          <w:rFonts w:ascii="Garamond" w:hAnsi="Garamond" w:cs="Arial"/>
          <w:i/>
          <w:iCs/>
          <w:color w:val="000000"/>
          <w:lang w:val="en-GB"/>
        </w:rPr>
        <w:t>konstitutionelle</w:t>
      </w:r>
      <w:r w:rsidRPr="00892712">
        <w:rPr>
          <w:rFonts w:ascii="Garamond" w:hAnsi="Garamond" w:cs="Arial"/>
          <w:color w:val="000000"/>
          <w:lang w:val="en-GB"/>
        </w:rPr>
        <w:t xml:space="preserve"> Moment im Einzelnen anerkennt. Da nun alle Menschen wenigstens in ihrer Frühzeit ungefähr das nämliche erleben, reagieren sie darauf auch in gleichartiger Weise, und es konnte der Zweifel entstehen, ob man nicht diese Reaktionen mitsamt ihren individuellen Differenzen der archaischen Erbschaft zurechnen soll. Der Zweifel ist abzuweisen; durch die Tatsache dieser Gleichartigkeit wird unsere Kenntnis von der archaischen Erbschaft nicht bereichert.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Indes hat die analytische Forschung einzelne Ergebnisse gebracht, die uns zu denken geben. Da ist zunächst die Allgemeinheit der Sprachsymbolik. Die symbolische Vertretung eines Gegenstands durch einen anderen – dasselbe ist bei Verrichtungen der Fall – ist all unseren Kindern geläufig und wie selbstverständlich. Wir können ihnen nicht nachweisen, wie sie es erlernt haben, und müssen in vielen </w:t>
      </w:r>
      <w:r w:rsidRPr="00892712">
        <w:rPr>
          <w:rFonts w:ascii="Garamond" w:hAnsi="Garamond" w:cs="Arial"/>
          <w:color w:val="000000"/>
          <w:lang w:val="en-GB"/>
        </w:rPr>
        <w:lastRenderedPageBreak/>
        <w:t>Fällen zugestehen, daß ein Erlernen unmöglich ist. Es handelt sich um ein ursprüngliches Wissen, das der Erwachsene später vergessen hat. Er verwendet die nämlichen Symbole zwar in seinen Träumen, aber er versteht sie nicht, wenn der Analytiker sie ihm nicht deutet, und auch dann schenkt er der Übersetzung ungern Glauben. Wenn er sich einer der so häufigen Redensarten bedient hat, in denen sich diese Symbolik fixiert findet, so muß er zugestehen, daß ihm deren eigentlicher Sinn völlig entgangen ist. Die Symbolik setzt sich auch über die Verschiedenheiten der Sprachen hinweg; Untersuchungen würden wahrscheinlich ergeben, daß sie ubiquitär ist, bei allen Völkern die nämliche. Hier scheint also ein gesicherter Fall von archaischer Erbschaft aus der Zeit der Sprachentwicklung vorzuliegen, aber man könnte immer noch eine andere Erklärung versuchen. Man könnte sagen, es handle sich um Denkbeziehungen zwischen Vorstellungen, die sich während der historischen Sprachentwicklung hergestellt hatten und die nun jedesmal wiederholt werden müssen, wo eine Sprachentwicklung individuell durchgemacht wird. Es wäre dann ein Fall von Vererbung einer Denkdisposition wie sonst einer Triebdisposition und wiederum kein neuer Beitrag zu unserem Problem.</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analytische Arbeit hat aber auch anderes zutage gefördert, was in seiner Tragweite über das Bisherige hinausreicht. Wenn wir die Reaktionen auf die frühen Traumen studieren, sind wir oft genug überrascht zu finden, daß sie sich nicht strenge an das wirklich selbst Erlebte halten, sondern sich in einer Weise von ihm entfernen, die weit besser zum Vorbild eines phylogenetischen Ereignisses paßt und ganz allgemein nur durch dessen Einfluß erklärt werden kann. Das Verhalten des neurotischen Kindes zu seinen Eltern im Ödipus- und Kastrationskomplex ist überreich an solchen Reaktionen, die individuell ungerechtfertigt erscheinen und erst phylogenetisch, durch die Beziehung auf das Erleben früherer Geschlechter, begreiflich werden. Es wäre durchaus der Mühe wert, dies Material, auf das ich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hier berufen kann, der Öffentlichkeit gesammelt vorzulegen. Seine Beweiskraft erscheint mir stark genug, um den weiteren Schritt zu wagen und die Behauptung aufzustellen, daß die archaische Erbschaft des Menschen nicht nur Dispositionen, sondern auch Inhalte umfaßt, Erinnerungsspuren an das Erleben früherer Generationen. Damit wären Umfang wie Bedeutung der archaischen Erbschaft in bedeutungsvoller Weise gesteigert.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Bei näherer Besinnung müssen wir uns eingestehen, daß wir uns seit langem so benommen haben, als stände die Vererbung von Erinnerungsspuren an das von Voreltern Erlebte, unabhängig von direkter Mitteilung und von dem Einfluß der Erziehung durch Beispiel, nicht in Frage. Wenn wir von dem Fortbestand einer alten Tradition in einem Volk, von der Bildung eines Volkscharakters sprechen, hatten wir meist eine solche ererbte Tradition und nicht eine durch Mitteilung fortgepflanzte im Sinne. </w:t>
      </w:r>
      <w:smartTag w:uri="urn:schemas-microsoft-com:office:smarttags" w:element="place">
        <w:r w:rsidRPr="00892712">
          <w:rPr>
            <w:rFonts w:ascii="Garamond" w:hAnsi="Garamond" w:cs="Arial"/>
            <w:color w:val="000000"/>
            <w:lang w:val="en-GB"/>
          </w:rPr>
          <w:t>Oder</w:t>
        </w:r>
      </w:smartTag>
      <w:r w:rsidRPr="00892712">
        <w:rPr>
          <w:rFonts w:ascii="Garamond" w:hAnsi="Garamond" w:cs="Arial"/>
          <w:color w:val="000000"/>
          <w:lang w:val="en-GB"/>
        </w:rPr>
        <w:t xml:space="preserve"> wir haben wenigstens zwischen den beiden nicht unterschieden und uns nicht klargemacht, welche Kühnheit wir durch solche Vernachlässigung begehen. Unsere Sachlage wird allerdings durch die gegenwärtige Einstellung der biologischen Wissenschaft erschwert, die von der Vererbung erworbener Eigenschaften auf die Nachkommen nichts wissen will. Aber wir gestehen in aller Bescheidenheit, daß wir trotzdem diesen Faktor in der biologischen Entwicklung nicht entbehren können. Es handelt sich zwar in beiden Fällen nicht um das gleiche, dort um erworbene Eigenschaften, die schwer zu fassen sind, hier um Erinnerungsspuren an äußere Eindrücke, gleichsam Greifbares. Aber es wird wohl sein, daß wir uns im Grunde das eine nicht ohne das andere vorstellen können. Wenn wir den Fortbestand solcher Erinnerungsspuren in der archaischen Erbschaft annehmen, haben wir die Kluft zwischen Individual- und Massenpsychologie überbrückt, können die Völker behandeln wie den einzelnen Neurotiker. Zugegeben, daß wir für die Erinnerungsspuren in der archaischen Erbschaft derzeit keinen stärkeren Beweis haben als jene Resterscheinungen der analytischen Arbeit, die eine Ableitung aus der Phylogenese erfordern, so erscheint uns dieser Beweis doch stark genug, um einen solchen Sachverhalt zu postulieren. Wenn es anders ist, kommen wir weder in der Analyse noch in der Massenpsychologie auf dem eingeschlagenen Weg einen Schritt weiter. Es ist eine unvermeidliche Kühnheit.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tun damit auch noch etwas anderes. Wir verringern die Kluft, die frühere Zeiten menschlicher Überhebung allzuweit zwischen Mensch und Tier aufgerissen haben. Wenn die sogenannten Instinkte der Tiere, die ihnen gestatten, sich von Anfang an in der neuen Lebenssituation so zu benehmen, als wäre sie eine alte, längst vertraute, wenn dies Instinktleben der Tiere überhaupt eine Erklärung zuläßt, so kann es nur die sein, daß sie die Erfahrungen ihrer Art in die neue eigene Existenz mitbringen, also Erinnerungen an das von ihren Voreltern Erlebte in sich bewahrt haben. Beim Menschentier wäre es im Grunde auch nicht anders. Den Instinkten der Tiere entspricht seine eigene archaische Erbschaft, sei sie auch von anderem Umfang und Inhalt.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lastRenderedPageBreak/>
        <w:t>Nach diesen Erörterungen trage ich kein Bedenken auszusprechen, die Menschen haben es – in jener besonderen Weise – immer gewußt, daß sie einmal einen Urvater besessen und erschlagen haben.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Zwei weitere Fragen sind hier zu beantworten. Erstens, unter welchen Bedingungen tritt eine solche Erinnerung in die archaische Erbschaft ein; zweitens, unter welchen Umständen kann sie aktiv werden, d. h. aus ihrem unbewußten Zustand im Es zum Bewußtsein, wenn auch verändert und entstellt, vordringen? Die Antwort auf die erste Frage ist leicht zu formulieren: Wenn das Ereignis wichtig genug war oder sich oft genug wiederholt hat oder beides. Für den Fall der Vatertötung sind beide Bedingungen erfüllt. Zur zweiten Frage ist zu bemerken: Es mögen eine ganze Anzahl von Einflüssen in Betracht kommen, die nicht alle bekannt zu sein brauchen, auch ist ein spontaner Ablauf denkbar in Analogie zum Vorgang bei manchen Neurosen. Sicherlich ist aber von entscheidender Bedeutung die Erweckung der vergessenen Erinnerungsspur durch eine rezente reale Wiederholung des Ereignisses. Eine solche Wiederholung war der Mord an Moses; später der vermeintliche Justizmord an Christus, so daß diese Begebenheiten in den Vordergrund der Verursachung rücken. Es ist, als ob die Genese des Monotheismus diese Vorfälle nicht hätte entbehren können. Man wird an den Ausspruch des Dichters erinnert:</w:t>
      </w:r>
    </w:p>
    <w:p w:rsidR="00032727" w:rsidRPr="00892712" w:rsidRDefault="00032727" w:rsidP="00032727">
      <w:pPr>
        <w:pStyle w:val="vers1"/>
        <w:shd w:val="clear" w:color="auto" w:fill="FFFFFF"/>
        <w:spacing w:line="124" w:lineRule="atLeast"/>
        <w:rPr>
          <w:rFonts w:ascii="Garamond" w:hAnsi="Garamond" w:cs="Arial"/>
          <w:color w:val="000000"/>
          <w:sz w:val="22"/>
          <w:szCs w:val="22"/>
        </w:rPr>
      </w:pPr>
      <w:r w:rsidRPr="00892712">
        <w:rPr>
          <w:rFonts w:ascii="Garamond" w:hAnsi="Garamond" w:cs="Arial"/>
          <w:color w:val="000000"/>
          <w:sz w:val="22"/>
          <w:szCs w:val="22"/>
          <w:lang w:val="en-GB"/>
        </w:rPr>
        <w:t xml:space="preserve">»Was unsterblich im Gesang soll leben, </w:t>
      </w:r>
      <w:r w:rsidRPr="00892712">
        <w:rPr>
          <w:rFonts w:ascii="Garamond" w:hAnsi="Garamond" w:cs="Arial"/>
          <w:color w:val="000000"/>
          <w:sz w:val="22"/>
          <w:szCs w:val="22"/>
          <w:lang w:val="en-GB"/>
        </w:rPr>
        <w:br/>
        <w:t xml:space="preserve">muß im Leben untergehen.« </w:t>
      </w:r>
      <w:hyperlink r:id="rId1358" w:anchor="#" w:history="1">
        <w:r w:rsidRPr="00892712">
          <w:rPr>
            <w:rStyle w:val="fusslink"/>
            <w:rFonts w:ascii="Garamond" w:hAnsi="Garamond" w:cs="Arial"/>
            <w:b/>
            <w:bCs/>
            <w:color w:val="003399"/>
            <w:sz w:val="22"/>
            <w:szCs w:val="22"/>
          </w:rPr>
          <w:t>[Fußnote]</w:t>
        </w:r>
        <w:r w:rsidRPr="00892712">
          <w:rPr>
            <w:rStyle w:val="innerfusslink3"/>
            <w:rFonts w:ascii="Garamond" w:hAnsi="Garamond" w:cs="Arial"/>
            <w:b/>
            <w:bCs/>
            <w:sz w:val="22"/>
            <w:szCs w:val="22"/>
          </w:rPr>
          <w:t>Schiller, ›Die Götter Griechenlands‹.</w:t>
        </w:r>
      </w:hyperlink>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rPr>
        <w:t xml:space="preserve">Zum Schluß eine Bemerkung, die ein psychologisches Argument beibringt. Eine Tradition, die nur auf Mitteilung gegründet wäre, könnte nicht den Zwangscharakter erzeugen, der den religiösen Phänomenen zukommt. Sie würde angehört, beurteilt, eventuell abgewiesen werden wie jede andere Nachricht von außen, erreichte nie das Privileg der Befreiung vom Zwang des logischen Denkens. Sie muß erst das Schicksal der Verdrängung, den Zustand des Verweilens im Unbewußten durchgemacht haben, ehe sie bei ihrer Wiederkehr so mächtige Wirkungen entfalten, die Massen in ihren Bann zwingen kann, wie wir es an der religiösen Tradition mit Erstaunen und bisher ohne Verständnis gesehen haben. </w:t>
      </w:r>
      <w:r w:rsidRPr="00892712">
        <w:rPr>
          <w:rFonts w:ascii="Garamond" w:hAnsi="Garamond" w:cs="Arial"/>
          <w:color w:val="000000"/>
          <w:lang w:val="en-GB"/>
        </w:rPr>
        <w:t>Und diese Überlegung fällt schwer ins Gewicht, um uns glauben zu machen, daß die Dinge wirklich so vorgefallen sind, wie wir zu schildern bemüht waren, oder wenigstens so ähnlich.</w:t>
      </w:r>
    </w:p>
    <w:p w:rsidR="00032727" w:rsidRPr="00032727" w:rsidRDefault="00032727" w:rsidP="00032727">
      <w:pPr>
        <w:shd w:val="clear" w:color="auto" w:fill="FFFFFF"/>
        <w:spacing w:before="88" w:after="88" w:line="306" w:lineRule="atLeast"/>
        <w:outlineLvl w:val="2"/>
        <w:rPr>
          <w:rFonts w:ascii="Garamond" w:hAnsi="Garamond" w:cs="Arial"/>
          <w:b/>
          <w:bCs/>
          <w:color w:val="F38030"/>
          <w:lang w:val="en-US"/>
        </w:rPr>
      </w:pPr>
    </w:p>
    <w:p w:rsidR="00032727" w:rsidRPr="00E44B1F" w:rsidRDefault="00B437A1" w:rsidP="00032727">
      <w:pPr>
        <w:shd w:val="clear" w:color="auto" w:fill="FFFFFF"/>
        <w:spacing w:before="88" w:after="88" w:line="306" w:lineRule="atLeast"/>
        <w:outlineLvl w:val="2"/>
        <w:rPr>
          <w:rStyle w:val="Lienhypertexte"/>
          <w:rFonts w:ascii="Garamond" w:hAnsi="Garamond" w:cs="Arial"/>
          <w:b/>
          <w:bCs/>
          <w:lang w:val="en-US"/>
        </w:rPr>
      </w:pPr>
      <w:r>
        <w:rPr>
          <w:rFonts w:ascii="Garamond" w:hAnsi="Garamond" w:cs="Arial"/>
          <w:b/>
          <w:bCs/>
          <w:color w:val="F38030"/>
          <w:lang w:val="en-US"/>
        </w:rPr>
        <w:fldChar w:fldCharType="begin"/>
      </w:r>
      <w:r w:rsidR="00032727">
        <w:rPr>
          <w:rFonts w:ascii="Garamond" w:hAnsi="Garamond" w:cs="Arial"/>
          <w:b/>
          <w:bCs/>
          <w:color w:val="F38030"/>
          <w:lang w:val="en-US"/>
        </w:rPr>
        <w:instrText xml:space="preserve"> HYPERLINK  \l "MosesINHALT" </w:instrText>
      </w:r>
      <w:r>
        <w:rPr>
          <w:rFonts w:ascii="Garamond" w:hAnsi="Garamond" w:cs="Arial"/>
          <w:b/>
          <w:bCs/>
          <w:color w:val="F38030"/>
          <w:lang w:val="en-US"/>
        </w:rPr>
        <w:fldChar w:fldCharType="separate"/>
      </w:r>
      <w:r w:rsidR="00032727" w:rsidRPr="00E44B1F">
        <w:rPr>
          <w:rStyle w:val="Lienhypertexte"/>
          <w:rFonts w:ascii="Garamond" w:hAnsi="Garamond" w:cs="Arial"/>
          <w:b/>
          <w:bCs/>
          <w:lang w:val="en-US"/>
        </w:rPr>
        <w:t>Zw</w:t>
      </w:r>
      <w:bookmarkStart w:id="247" w:name="Moses3_2"/>
      <w:bookmarkEnd w:id="247"/>
      <w:r w:rsidR="00032727" w:rsidRPr="00E44B1F">
        <w:rPr>
          <w:rStyle w:val="Lienhypertexte"/>
          <w:rFonts w:ascii="Garamond" w:hAnsi="Garamond" w:cs="Arial"/>
          <w:b/>
          <w:bCs/>
          <w:lang w:val="en-US"/>
        </w:rPr>
        <w:t>eiter Teil</w:t>
      </w:r>
    </w:p>
    <w:p w:rsidR="00032727" w:rsidRPr="00892712" w:rsidRDefault="00032727" w:rsidP="00032727">
      <w:pPr>
        <w:shd w:val="clear" w:color="auto" w:fill="FFFFFF"/>
        <w:spacing w:before="88" w:after="88" w:line="306" w:lineRule="atLeast"/>
        <w:outlineLvl w:val="2"/>
        <w:rPr>
          <w:rFonts w:ascii="Garamond" w:hAnsi="Garamond" w:cs="Arial"/>
          <w:b/>
          <w:bCs/>
          <w:color w:val="F38030"/>
          <w:lang w:val="en-US"/>
        </w:rPr>
      </w:pPr>
      <w:r w:rsidRPr="00E44B1F">
        <w:rPr>
          <w:rStyle w:val="Lienhypertexte"/>
          <w:rFonts w:ascii="Garamond" w:hAnsi="Garamond" w:cs="Arial"/>
          <w:b/>
          <w:bCs/>
          <w:lang w:val="en-US"/>
        </w:rPr>
        <w:t>Zusammenfassung und Wiederholung</w:t>
      </w:r>
      <w:r w:rsidR="00B437A1">
        <w:rPr>
          <w:rFonts w:ascii="Garamond" w:hAnsi="Garamond" w:cs="Arial"/>
          <w:b/>
          <w:bCs/>
          <w:color w:val="F38030"/>
          <w:lang w:val="en-US"/>
        </w:rPr>
        <w:fldChar w:fldCharType="end"/>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Der nun folgende Teil dieser Studie kann nicht ohne weitläufige Erklärungen und Entschuldigungen in die Öffentlichkeit geschickt werden. Er ist nämlich nichts anderes als eine getreue, oft wörtliche Wiederholung des ersten Teils, verkürzt in manchen kritischen Untersuchungen und vermehrt um Zusätze, die sich auf das Problem, wie entstand der besondere Charakter des jüdischen Volkes, beziehen. Ich weiß, daß eine solche Art der Darstellung ebenso unzweckmäßig wie unkünstlerisch ist. Ich mißbillige sie selbst uneingeschränkt.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Warum habe ich sie nicht vermieden? Die Antwort darauf ist für </w:t>
      </w:r>
      <w:smartTag w:uri="urn:schemas-microsoft-com:office:smarttags" w:element="State">
        <w:smartTag w:uri="urn:schemas-microsoft-com:office:smarttags" w:element="place">
          <w:r w:rsidRPr="00892712">
            <w:rPr>
              <w:rFonts w:ascii="Garamond" w:hAnsi="Garamond" w:cs="Arial"/>
              <w:color w:val="000000"/>
              <w:lang w:val="en-GB"/>
            </w:rPr>
            <w:t>mich</w:t>
          </w:r>
        </w:smartTag>
      </w:smartTag>
      <w:r w:rsidRPr="00892712">
        <w:rPr>
          <w:rFonts w:ascii="Garamond" w:hAnsi="Garamond" w:cs="Arial"/>
          <w:color w:val="000000"/>
          <w:lang w:val="en-GB"/>
        </w:rPr>
        <w:t xml:space="preserve"> nicht schwer zu finden, aber nicht leicht einzugestehen. Ich war nicht imstande, die Spuren der immerhin ungewöhnlichen Entstehungsgeschichte dieser Arbeit zu verwischen.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In Wirklichkeit ist sie zweimal geschrieben worden. Zuerst vor einigen Jahren in Wien, wo ich nicht an die Möglichkeit glaubte, sie veröffentlichen zu können. Ich beschloß, sie liegenzulassen, aber sie quälte mich wie ein unerlöster Geist, und ich fand den Ausweg, zwei Stücke von ihr selbständig zu machen und in unserer Zeitschrift </w:t>
      </w:r>
      <w:r w:rsidRPr="00892712">
        <w:rPr>
          <w:rFonts w:ascii="Garamond" w:hAnsi="Garamond" w:cs="Arial"/>
          <w:i/>
          <w:iCs/>
          <w:color w:val="000000"/>
          <w:lang w:val="en-GB"/>
        </w:rPr>
        <w:t>Imago</w:t>
      </w:r>
      <w:r w:rsidRPr="00892712">
        <w:rPr>
          <w:rFonts w:ascii="Garamond" w:hAnsi="Garamond" w:cs="Arial"/>
          <w:color w:val="000000"/>
          <w:lang w:val="en-GB"/>
        </w:rPr>
        <w:t xml:space="preserve"> zu publizieren, den psychoanalytischen Auftakt des Ganzen (›Moses, ein Ägypter‹) und die darauf gebaute historische Konstruktion (›Wenn Moses ein Ägypter war ...‹). Den Rest, der das eigentlich Anstößige und Gefährliche enthielt, die Anwendung auf die Genese des Monotheismus und die Auffassung der Religion überhaupt, hielt ich zurück, wie ich meinte, für immer. Da kam im März 1938 die unerwartete deutsche Invasion, zwang mich, die Heimat zu verlassen, befreite mich aber auch von der Sorge, durch meine Veröffentlichung ein Verbot der Psychoanalyse dort heraufzubeschwören, wo sie noch geduldet war. Kaum in </w:t>
      </w:r>
      <w:smartTag w:uri="urn:schemas-microsoft-com:office:smarttags" w:element="country-region">
        <w:smartTag w:uri="urn:schemas-microsoft-com:office:smarttags" w:element="place">
          <w:r w:rsidRPr="00892712">
            <w:rPr>
              <w:rFonts w:ascii="Garamond" w:hAnsi="Garamond" w:cs="Arial"/>
              <w:color w:val="000000"/>
              <w:lang w:val="en-GB"/>
            </w:rPr>
            <w:t>England</w:t>
          </w:r>
        </w:smartTag>
      </w:smartTag>
      <w:r w:rsidRPr="00892712">
        <w:rPr>
          <w:rFonts w:ascii="Garamond" w:hAnsi="Garamond" w:cs="Arial"/>
          <w:color w:val="000000"/>
          <w:lang w:val="en-GB"/>
        </w:rPr>
        <w:t xml:space="preserve"> eingetroffen, fand ich die Versuchung unwiderstehlich, meine verhaltene Weisheit der Welt zugänglich zu machen, und begann, das dritte Stück der Studie im Anschluß an die beiden bereits erschienenen umzuarbeiten. Damit war natürlich eine teilweise Umordnung des Materials verbunden. Nun gelang es mir nicht, den ganzen Stoff in dieser zweiten Bearbeitung </w:t>
      </w:r>
      <w:r w:rsidRPr="00892712">
        <w:rPr>
          <w:rFonts w:ascii="Garamond" w:hAnsi="Garamond" w:cs="Arial"/>
          <w:color w:val="000000"/>
          <w:lang w:val="en-GB"/>
        </w:rPr>
        <w:lastRenderedPageBreak/>
        <w:t>unterzubringen; anderseits konnte ich mich nicht entschließen, auf die früheren ganz zu verzichten, und so kam die Auskunft zustande, daß ich ein ganzes Stück der ersten Darstellung unverändert an die zweite anschloß, womit eben der Nachteil einer weitgehenden Wiederholung verbunden war.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Nun könnte ich mich mit der Erwägung trösten, die Dinge, die ich behandle, seien immerhin so neu und so bedeutsam, abgesehen davon, wieweit meine Darstellung derselben richtig ist, daß es kein Unglück sein kann, wenn das Publikum veranlaßt wird, darüber zweimal das nämliche zu lesen. Es gibt Dinge, die mehr als einmal gesagt werden sollen und die nicht oft genug gesagt werden können. </w:t>
      </w:r>
      <w:r w:rsidRPr="00892712">
        <w:rPr>
          <w:rFonts w:ascii="Garamond" w:hAnsi="Garamond" w:cs="Arial"/>
          <w:color w:val="000000"/>
        </w:rPr>
        <w:t xml:space="preserve">Aber es muß der freie Entschluß des Lesers dabei sein, bei dem Gegenstand zu verweilen oder auf ihn zurückzukommen. </w:t>
      </w:r>
      <w:r w:rsidRPr="00892712">
        <w:rPr>
          <w:rFonts w:ascii="Garamond" w:hAnsi="Garamond" w:cs="Arial"/>
          <w:color w:val="000000"/>
          <w:lang w:val="en-GB"/>
        </w:rPr>
        <w:t>Es darf nicht in der Art erschlichen werden, daß man ihm in demselben Buch das Gleiche zweimal vorsetzt. Das bleibt eine Ungeschicklichkeit, für die man den Tadel auf sich nehmen muß. Die Schöpferkraft eines Autors folgt leider nicht immer seinem Willen; das Werk gerät, wie es kann, und stellt sich dem Verfasser oft wie unabhängig, ja wie fremd gegenüber</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 xml:space="preserve">A. Das Volk </w:t>
      </w:r>
      <w:smartTag w:uri="urn:schemas-microsoft-com:office:smarttags" w:element="country-region">
        <w:smartTag w:uri="urn:schemas-microsoft-com:office:smarttags" w:element="place">
          <w:r w:rsidRPr="00892712">
            <w:rPr>
              <w:rFonts w:ascii="Garamond" w:hAnsi="Garamond" w:cs="Arial"/>
              <w:b/>
              <w:bCs/>
              <w:color w:val="000000"/>
              <w:lang w:val="en-GB"/>
            </w:rPr>
            <w:t>Israel</w:t>
          </w:r>
        </w:smartTag>
      </w:smartTag>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Wenn man sich klar darüber ist, daß ein Verfahren wie das unsrige, vom überlieferten Stoff anzunehmen, was uns brauchbar scheint, zu verwerfen, was uns nicht taugt, und die einzelnen Stücke nach der psychologischen Wahrscheinlichkeit zusammenzusetzen – daß eine solche Technik keine Sicherheit gibt, die Wahrheit zu finden, dann fragt man mit Recht, wozu man eine solche Arbeit überhaupt unternimmt. Die Antwort beruft sich auf ihr Ergebnis. Wenn man die Strenge der Anforderungen an eine historisch-psychologische Untersuchung weit mildert, wird es vielleicht möglich sein, Probleme zu klären, die immer der Aufmerksamkeit würdig schienen und die infolge rezenter Ereignisse sich von neuem dem Beobachter aufdrängen. Man weiß, von allen Völkern, die im Altertum um das Becken des Mittelmeers gewohnt haben, ist das jüdische Volk nahezu das einzige, das heute dem Namen und wohl auch der Substanz nach noch besteht. Mit beispielloser Widerstandsfähigkeit hat es Unglücksfällen und Mißhandlungen getrotzt, besondere Charakterzüge entwickelt und sich nebstbei die herzliche Abneigung aller anderen Völker erworben. Woher diese Lebensfähigkeit der Juden kommt und wie ihr Charakter mit ihren Schicksalen zusammenhängt, davon möchte man gerne mehr verstehen.</w:t>
      </w:r>
    </w:p>
    <w:p w:rsidR="00032727" w:rsidRPr="00892712" w:rsidRDefault="00032727" w:rsidP="00032727">
      <w:pPr>
        <w:shd w:val="clear" w:color="auto" w:fill="FFFFFF"/>
        <w:spacing w:before="120" w:after="120" w:line="124" w:lineRule="atLeast"/>
        <w:rPr>
          <w:rFonts w:ascii="Garamond" w:hAnsi="Garamond" w:cs="Arial"/>
          <w:color w:val="000000"/>
        </w:rPr>
      </w:pPr>
      <w:r w:rsidRPr="00892712">
        <w:rPr>
          <w:rFonts w:ascii="Garamond" w:hAnsi="Garamond" w:cs="Arial"/>
          <w:color w:val="000000"/>
          <w:lang w:val="en-GB"/>
        </w:rPr>
        <w:t xml:space="preserve">Man darf von einem Charakterzug der Juden ausgehen, der ihr Verhältnis zu den anderen beherrscht. Es ist kein Zweifel daran, sie haben eine besonders hohe Meinung von sich, halten sich für vornehmer, höherstehend, den anderen überlegen, von denen sie auch durch viele ihrer Sitten geschieden sind </w:t>
      </w:r>
      <w:hyperlink r:id="rId1359"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Die in alten Zeiten so häufige Schmähung, die Juden seien »Aussätzige« (s. Manetho) hat wohl den Sinn einer Projektion: »Sie halten sich von uns so fern, als ob wir Aussätzige wären.«</w:t>
        </w:r>
      </w:hyperlink>
      <w:r w:rsidRPr="00892712">
        <w:rPr>
          <w:rFonts w:ascii="Garamond" w:hAnsi="Garamond" w:cs="Arial"/>
          <w:color w:val="000000"/>
        </w:rPr>
        <w:t>. Dabei beseelt sie eine besondere Zuversicht im Leben, wie sie durch den geheimen Besitz eines kostbaren Gutes verliehen wird, eine Art von Optimismus; Fromme würden es Gottvertrauen nennen.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kennen den Grund dieses Verhaltens und wissen, was ihr geheimer Schatz ist. Sie halten sich wirklich für das von Gott auserwählte Volk, glauben ihm besonders nahezustehen, und dies macht sie stolz und zuversichtlich. Nach guten Nachrichten benahmen sie sich schon in hellenistischen Zeiten so wie heute, der Jude war also damals schon fertig, und die Griechen, unter denen und neben denen sie lebten, reagierten auf die jüdische Eigenart in der nämlichen Weise wie die heutigen »Wirtsvölker«. Man könnte meinen, sie reagierten, als ob auch sie an den Vorzug glaubten, den das Volk </w:t>
      </w:r>
      <w:smartTag w:uri="urn:schemas-microsoft-com:office:smarttags" w:element="country-region">
        <w:smartTag w:uri="urn:schemas-microsoft-com:office:smarttags" w:element="place">
          <w:r w:rsidRPr="00892712">
            <w:rPr>
              <w:rFonts w:ascii="Garamond" w:hAnsi="Garamond" w:cs="Arial"/>
              <w:color w:val="000000"/>
              <w:lang w:val="en-GB"/>
            </w:rPr>
            <w:t>Israel</w:t>
          </w:r>
        </w:smartTag>
      </w:smartTag>
      <w:r w:rsidRPr="00892712">
        <w:rPr>
          <w:rFonts w:ascii="Garamond" w:hAnsi="Garamond" w:cs="Arial"/>
          <w:color w:val="000000"/>
          <w:lang w:val="en-GB"/>
        </w:rPr>
        <w:t xml:space="preserve"> für sich in Anspruch nahm. Wenn man der erklärte Liebling des gefürchteten Vaters ist, braucht man sich über die Eifersucht der Geschwister nicht zu verwundern, und wozu diese Eifersucht führen kann, zeigt sehr schön die jüdische Sage von Josef und seinen Brüdern. Der Verlauf der Weltgeschichte schien dann die jüdische Anmaßung zu rechtfertigen, denn als es später Gott gefiel, der Menschheit einen Messias und Erlöser zu senden, wählte er ihn wiederum aus dem Volke der Juden. Die anderen Völker hätten damals Anlaß gehabt, sich zu sagen: »Wirklich, sie haben recht gehabt, sie sind das von Gott auserwählte Volk.« Aber es geschah anstatt dessen, daß ihnen die Erlösung durch Jesus Christus nur eine Verstärkung ihres Judenhasses brachte, während die Juden selbst aus dieser zweiten Bevorzugung keinen Vorteil zogen, da sie den Erlöser nicht anerkannten.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Auf Grund unserer früheren Erörterungen dürfen wir nun behaupten, daß es der Mann Moses war, der dem jüdischen Volk diesen für alle Zukunft bedeutsamen Zug aufgeprägt hat. Er hob ihr Selbstgefühl durch die Versicherung, daß sie Gottes auserwähltes Volk seien, er legte ihnen die Heiligung auf und verpflichtete sie zur Absonderung von den anderen. Nicht etwa, daß es den anderen Völkern an Selbstgefühl gemangelt hätte. Genau wie heute hielt sich auch damals jede Nation für besser als jede </w:t>
      </w:r>
      <w:r w:rsidRPr="00892712">
        <w:rPr>
          <w:rFonts w:ascii="Garamond" w:hAnsi="Garamond" w:cs="Arial"/>
          <w:color w:val="000000"/>
          <w:lang w:val="en-GB"/>
        </w:rPr>
        <w:lastRenderedPageBreak/>
        <w:t>andere. Aber das Selbstgefühl der Juden erfuhr durch Moses eine religiöse Verankerung, es wurde ein Teil ihres religiösen Glaubens. Durch ihre besonders innige Beziehung zu ihrem Gott erwarben sie einen Anteil an seiner Großartigkeit. Und da wir wissen, daß hinter dem Gott, der die Juden ausgewählt und aus Ägypten befreit hat, die Person Moses' steht, die grade das, vorgeblich in seinem Auftrag, getan hatte, getrauen wir uns zu sagen: Es war der eine Mann Moses, der die Juden geschaffen hat. Ihm dankt dieses Volk seine Zählebigkeit, aber auch viel von der Feindseligkeit, die es erfahren hat und noch erfährt.</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B. Der große Mann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Wie ist es möglich, daß ein einzelner Mensch eine so außerordentliche Wirksamkeit entfaltet, daß er aus indifferenten Individuen und Familien ein Volk formt, ihm seinen endgültigen Charakter prägt und sein Schicksal für Jahrtausende bestimmt? Ist eine solche Annahme nicht ein Rückschritt auf die Denkungsart, die die Schöpfermythen und Heldenverehrung entstehen ließ, auf Zeiten, in denen die Geschichtsschreibung sich in der Berichterstattung der Taten und Schicksale einzelner Personen, Herrscher oder Eroberer erschöpfte? Die Neigung der Neuzeit geht vielmehr dahin, die Vorgänge der Menschheitsgeschichte auf verstecktere, allgemeine und unpersönliche Momente zurückzuführen, auf den zwingenden Einfluß ökonomischer Verhältnisse, den Wechsel in der Ernährungsweise, die Fortschritte im Gebrauch von Materialien und Werkzeugen, auf Wanderungen, die durch Volksvermehrung und Veränderungen des Klimas veranlaßt werden. Den Einzelpersonen fällt dabei keine andere Rolle zu als die von Exponenten oder Repräsentanten von Massenstrebungen, welche notwendigerweise ihren Ausdruck finden mußten und ihn mehr zufälligerweise in jenen Personen fanden.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Das sind durchaus berechtigte Gesichtspunkte, aber sie geben uns Anlaß, an eine bedeutsame Unstimmigkeit zwischen der Einstellung unseres Denkorgans und der Einrichtung der Welt zu mahnen, die mittels unseres Denkens erfaßt werden soll. Unserem allerdings gebieterischen Kausalbedürfnis genügt es, wenn jeder Vorgang </w:t>
      </w:r>
      <w:r w:rsidRPr="00892712">
        <w:rPr>
          <w:rFonts w:ascii="Garamond" w:hAnsi="Garamond" w:cs="Arial"/>
          <w:i/>
          <w:iCs/>
          <w:color w:val="000000"/>
          <w:lang w:val="en-GB"/>
        </w:rPr>
        <w:t>eine</w:t>
      </w:r>
      <w:r w:rsidRPr="00892712">
        <w:rPr>
          <w:rFonts w:ascii="Garamond" w:hAnsi="Garamond" w:cs="Arial"/>
          <w:color w:val="000000"/>
          <w:lang w:val="en-GB"/>
        </w:rPr>
        <w:t xml:space="preserve"> nachweisbare Ursache hat. In der Wirklichkeit außerhalb uns ist das aber kaum so der Fall; vielmehr scheint jedes Ereignis überdeterminiert zu sein, stellt sich als die Wirkung mehrerer konvergierender Ursachen heraus. Durch die unübersehbare Komplikation des Geschehens geschreckt, ergreift unsere Forschung Partei für den einen Zusammenhang gegen einen anderen, stellt Gegensätze auf, die nicht bestehen, nur durch die Zerreißung von umfassenderen Beziehungen entstanden sind </w:t>
      </w:r>
      <w:hyperlink r:id="rId1360"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Ich protestiere aber gegen das Mißverständnis, als wollte ich sagen, die Welt sei so kompliziert, daß jede Behauptung, die man aufstellt, irgendwo ein Stück der Wahrheit treffen muß. Nein, unser Denken hat sich die Freiheit bewahrt, Abhängigkeiten und Zusammenhänge aufzufinden, denen nichts in der Wirklichkeit entspricht, und schätzt diese Gabe offenbar sehr hoch, da es innerhalb wie außerhalb der Wissenschaft so reichlichen Gebrauch von ihr macht.</w:t>
        </w:r>
      </w:hyperlink>
      <w:r w:rsidRPr="00892712">
        <w:rPr>
          <w:rFonts w:ascii="Garamond" w:hAnsi="Garamond" w:cs="Arial"/>
          <w:color w:val="000000"/>
          <w:lang w:val="en-GB"/>
        </w:rPr>
        <w:t>. Wenn uns also die Untersuchung eines bestimmten Falles den überragenden Einfluß einer einzelnen Persönlichkeit beweist, so braucht uns unser Gewissen nicht vorzuwerfen, daß wir mit dieser Annahme der Lehre von der Bedeutung jener allgemeinen, unpersönlichen Faktoren ins Gesicht geschlagen haben. Es ist grundsätzlich Raum für beides. Bei der Genese des Monotheismus können wir allerdings auf kein anderes äußeres Moment hinweisen als auf das bereits erwähnte, daß diese Entwicklung mit der Herstellung intimerer Beziehungen zwischen verschiedenen Nationen und dem Aufbau eines großen Reiches verknüpft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wahren also dem »großen Mann« seine Stelle in der Kette oder vielmehr im Netzwerk der Verursachungen. Aber vielleicht wird es nicht ganz zwecklos sein zu fragen, unter welchen Bedingungen wir diesen Ehrennamen vergeben. Wir sind überrascht zu finden, daß es nicht ganz leicht ist, diese Frage zu beantworten. Eine erste Formulierung: wenn ein Mensch die Eigenschaften, die wir hochschätzen, in besonders hohem Maß besitzt, ist offenbar nach allen Richtungen unzutreffend. Schönheit z. B. und Muskelstärke, so beneidet sie auch sein mögen, geben keinen Anspruch auf »Größe«. </w:t>
      </w:r>
      <w:r w:rsidRPr="00892712">
        <w:rPr>
          <w:rFonts w:ascii="Garamond" w:hAnsi="Garamond" w:cs="Arial"/>
          <w:color w:val="000000"/>
        </w:rPr>
        <w:t xml:space="preserve">Es müßten also geistige Qualitäten sein, psychische und intellektuelle Vorzüge. Bei letzteren kommt uns das Bedenken, daß wir einen Menschen, der ein außerordentlicher Könner auf einem bestimmten Gebiet ist, darum doch nicht ohne weiteres einen großen Mann heißen würden. Gewiß nicht einen Meister des Schachspiels oder einen Virtuosen auf einem Musikinstrument, aber auch nicht leicht einen ausgezeichneten Künstler oder Forscher. Es entspricht uns, in solchem Falle zu sagen, er sei ein großer Dichter, Maler, Mathematiker oder Physiker, ein Bahnbrecher auf dem Feld dieser oder jener Tätigkeit, aber wir halten mit der Anerkennung, er sei ein großer Mann, zurück. Wenn wir z. B. Goethe, Leonardo da Vinci, Beethoven unbedenklich für große Männer erklären, so muß uns noch etwas anderes bewegen als die Bewunderung </w:t>
      </w:r>
      <w:r w:rsidRPr="00892712">
        <w:rPr>
          <w:rFonts w:ascii="Garamond" w:hAnsi="Garamond" w:cs="Arial"/>
          <w:color w:val="000000"/>
        </w:rPr>
        <w:lastRenderedPageBreak/>
        <w:t xml:space="preserve">ihrer großartigen Schöpfungen. Wären nicht grade solche Beispiele im Wege, so würde man wahrscheinlich auf die Idee kommen, der Name »ein großer Mann« sei vorzugsweise für Männer der Tat reserviert, also Eroberer, Feldherrn, Herrscher, und anerkenne die Größe ihrer Leistung, die Stärke der Wirkung, die von ihnen ausging. </w:t>
      </w:r>
      <w:r w:rsidRPr="00892712">
        <w:rPr>
          <w:rFonts w:ascii="Garamond" w:hAnsi="Garamond" w:cs="Arial"/>
          <w:color w:val="000000"/>
          <w:lang w:val="en-GB"/>
        </w:rPr>
        <w:t>Aber auch dies ist unbefriedigend und wird voll widerlegt durch unsere Verurteilung so vieler nichtswürdiger Personen, denen man doch die Wirkung auf Mit- und Nachwelt nicht bestreiten kann. Auch den Erfolg wird man nicht zum Kennzeichen der Größe wählen dürfen, wenn man an die Überzahl von großen Männern denkt, die, anstatt Erfolg zu haben, im Unglück zugrunde gegangen sind.</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So wird man vorläufig der Entscheidung geneigt, es verlohne sich nicht, nach einem eindeutig bestimmten Inhalt des Begriffs »großer Mann« zu suchen. Es sei nur eine locker gebrauchte und ziemlich willkürlich vergebene Anerkennung der überdimensionalen Entwicklung gewisser menschlicher Eigenschaften in ziemlicher Annäherung an den ursprünglichen Wortsinn der »Größe«. Auch dürfen wir uns besinnen, daß uns nicht so sehr das Wesen des großen Mannes interessiert als die Frage, wodurch er auf seine Nebenmenschen wirkt. Wir werden aber diese Untersuchung möglichst abkürzen, weil sie uns weit von unserem Ziel abzuführen droht.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Lassen wir es also gelten, daß der große Mann seine Mitmenschen auf zwei Wegen beeinflußt, durch seine Persönlichkeit und durch die Idee, für die er sich einsetzt. Diese Idee mag ein altes Wunschgebilde der Massen betonen oder ihnen ein neues Wunschziel zeigen oder in noch anderer Weise die Masse in ihren Bann ziehen. Mitunter – und das ist gewiß der ursprünglichere Fall – wirkt die Persönlichkeit allein, und die Idee spielt eine recht geringfügige Rolle. Warum der große Mann überhaupt zu einer Bedeutung kommen sollte, das ist uns keinen Augenblick unklar. Wir wissen, es besteht bei der Masse der Menschen ein starkes Bedürfnis nach einer Autorität, die man bewundern kann, der man sich beugt, von der man beherrscht, eventuell sogar mißhandelt wird. </w:t>
      </w:r>
      <w:r w:rsidRPr="00892712">
        <w:rPr>
          <w:rFonts w:ascii="Garamond" w:hAnsi="Garamond" w:cs="Arial"/>
          <w:color w:val="000000"/>
        </w:rPr>
        <w:t xml:space="preserve">Aus der Psychologie des Einzelmenschen haben wir erfahren, woher dies Bedürfnis der Masse stammt. </w:t>
      </w:r>
      <w:r w:rsidRPr="00892712">
        <w:rPr>
          <w:rFonts w:ascii="Garamond" w:hAnsi="Garamond" w:cs="Arial"/>
          <w:color w:val="000000"/>
          <w:lang w:val="en-GB"/>
        </w:rPr>
        <w:t>Es ist die Sehnsucht nach dem Vater, die jedem von seiner Kindheit her innewohnt, nach demselben Vater, den überwunden zu haben der Held der Sage sich rühmt. Und nun mag uns die Erkenntnis dämmern, daß alle Züge, mit denen wir den großen Mann ausstatten, Vaterzüge sind, daß in dieser Übereinstimmung das von uns vergeblich gesuchte Wesen des großen Mannes besteht. Die Entschiedenheit der Gedanken, die Stärke des Willens, die Wucht der Taten gehören dem Vaterbilde zu, vor allem aber die Selbständigkeit und Unabhängigkeit des großen Mannes, seine göttliche Unbekümmertheit, die sich zur Rücksichtslosigkeit steigern darf. Man muß ihn bewundern, darf ihm vertrauen, aber man kann nicht umhin, ihn auch zu fürchten. Wir hätten uns vom Wortlaut leiten lassen sollen; wer anders als der Vater soll denn in der Kindheit der »große Mann« gewesen sein!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Unzweifelhaft war es ein gewaltiges Vatervorbild, das sich in der Person des Moses zu den armen jüdischen Fronarbeitern herabließ, um ihnen zu versichern, daß sie seine lieben Kinder seien. Und nicht minder überwältigend muß die Vorstellung eines einzigen, ewigen, allmächtigen Gottes auf sie gewirkt haben, dem sie nicht zu gering waren, um einen Bund mit ihnen zu schließen, und der für sie zu sorgen versprach, wenn sie seiner Verehrung treu blieben. Wahrscheinlich wurde es ihnen nicht leicht, das Bild des Mannes Moses von dem seines Gottes zu scheiden, und sie ahnten recht darin, denn Moses mag Züge seiner eigenen Person in den Charakter seines Gottes eingetragen haben wie die Zornmütigkeit und Unerbittlichkeit. Und wenn sie dann einmal diesen ihren großen Mann erschlugen, so wiederholten sie nur eine Untat, die sich in Urzeiten als Gesetz gegen den göttlichen König gerichtet hatte und die, wie wir wissen, auf ein noch älteres Vorbild zurückging </w:t>
      </w:r>
      <w:hyperlink r:id="rId1361"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Vgl. Frazer, loc. cit.</w:t>
        </w:r>
      </w:hyperlink>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Ist uns so auf der einen Seite die Gestalt des großen Mannes ins Göttliche gewachsen, so ist es anderseits Zeit, sich zu besinnen, daß auch der Vater einmal ein Kind gewesen war. Die große religiöse Idee, die der Mann Moses vertrat, war nach unseren Ausführungen nicht sein Eigentum; er hatte sie von seinem König Ikhnaton übernommen. Und dieser, dessen Größe als Religionsstifter unzweideutig bezeugt ist, folgte vielleicht Anregungen, die durch Vermittlung seiner Mutter oder auf anderen Wegen – aus dem näheren oder ferneren Asien – zu ihm gelangt waren.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Weiter können wir die Verkettung nicht verfolgen, aber wenn diese ersten Stücke richtig erkannt sind, dann ist die monotheistische Idee bumerangartig in </w:t>
      </w:r>
      <w:smartTag w:uri="urn:schemas-microsoft-com:office:smarttags" w:element="place">
        <w:smartTag w:uri="urn:schemas-microsoft-com:office:smarttags" w:element="PlaceName">
          <w:r w:rsidRPr="00892712">
            <w:rPr>
              <w:rFonts w:ascii="Garamond" w:hAnsi="Garamond" w:cs="Arial"/>
              <w:color w:val="000000"/>
              <w:lang w:val="en-GB"/>
            </w:rPr>
            <w:t>das</w:t>
          </w:r>
        </w:smartTag>
        <w:r w:rsidRPr="00892712">
          <w:rPr>
            <w:rFonts w:ascii="Garamond" w:hAnsi="Garamond" w:cs="Arial"/>
            <w:color w:val="000000"/>
            <w:lang w:val="en-GB"/>
          </w:rPr>
          <w:t xml:space="preserve"> </w:t>
        </w:r>
        <w:smartTag w:uri="urn:schemas-microsoft-com:office:smarttags" w:element="PlaceType">
          <w:r w:rsidRPr="00892712">
            <w:rPr>
              <w:rFonts w:ascii="Garamond" w:hAnsi="Garamond" w:cs="Arial"/>
              <w:color w:val="000000"/>
              <w:lang w:val="en-GB"/>
            </w:rPr>
            <w:t>Land</w:t>
          </w:r>
        </w:smartTag>
      </w:smartTag>
      <w:r w:rsidRPr="00892712">
        <w:rPr>
          <w:rFonts w:ascii="Garamond" w:hAnsi="Garamond" w:cs="Arial"/>
          <w:color w:val="000000"/>
          <w:lang w:val="en-GB"/>
        </w:rPr>
        <w:t xml:space="preserve"> ihrer Herkunft zurückgekommen. Es erscheint so unfruchtbar, das Verdienst eines Einzelnen um eine neue Idee feststellen zu wollen. Viele haben offenbar an ihrer Entwicklung mitgetan und Beiträge zu ihr geleistet. Anderseits wäre es offenkundiges Unrecht, die Kette der Verursachung bei Moses abzubrechen und zu vernachlässigen, was seine Nachfolger und Fortsetzer, die jüdischen Propheten, geleistet haben. Die Saat des Monotheismus </w:t>
      </w:r>
      <w:r w:rsidRPr="00892712">
        <w:rPr>
          <w:rFonts w:ascii="Garamond" w:hAnsi="Garamond" w:cs="Arial"/>
          <w:color w:val="000000"/>
          <w:lang w:val="en-GB"/>
        </w:rPr>
        <w:lastRenderedPageBreak/>
        <w:t xml:space="preserve">war in Ägypten nicht aufgegangen. Dasselbe hätte in </w:t>
      </w:r>
      <w:smartTag w:uri="urn:schemas-microsoft-com:office:smarttags" w:element="country-region">
        <w:smartTag w:uri="urn:schemas-microsoft-com:office:smarttags" w:element="place">
          <w:r w:rsidRPr="00892712">
            <w:rPr>
              <w:rFonts w:ascii="Garamond" w:hAnsi="Garamond" w:cs="Arial"/>
              <w:color w:val="000000"/>
              <w:lang w:val="en-GB"/>
            </w:rPr>
            <w:t>Israel</w:t>
          </w:r>
        </w:smartTag>
      </w:smartTag>
      <w:r w:rsidRPr="00892712">
        <w:rPr>
          <w:rFonts w:ascii="Garamond" w:hAnsi="Garamond" w:cs="Arial"/>
          <w:color w:val="000000"/>
          <w:lang w:val="en-GB"/>
        </w:rPr>
        <w:t xml:space="preserve"> geschehen können, nachdem das Volk die beschwerliche und anspruchsvolle Religion abgeschüttelt hatte. Aber aus dem jüdischen Volk erhoben sich immer wieder Männer, die die verblassende Tradition auffrischten, die Mahnungen und Anforderungen Moses' erneuerten und nicht rasteten, ehe das Verlorene wiederhergestellt war. In der stetigen Bemühung von Jahrhunderten und endlich durch zwei große Reformen, die eine vor, die andere nach dem babylonischen Exil, vollzog sich die Verwandlung des Volksgottes Jahve in den Gott, dessen Verehrung Moses den Juden aufgedrängt hatte. Und es ist der Beweis einer besonderen psychischen Eignung in der Masse, die zum jüdischen Volk geworden war, wenn sie so viele Personen hervorbringen konnte, die bereit waren, die Beschwerden der Mosesreligion auf sich zu nehmen, für den Lohn des Auserwähltseins und vielleicht noch andere Prämien von ähnlichem Rang.</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C. Der Fortschritt in der Geistigkeit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Um nachhaltige psychische Wirkungen bei einem Volke zu erzielen, reicht es offenbar nicht hin, ihm zu versichern, es sei von der Gottheit auserlesen. Man muß es ihm auch irgendwie beweisen, wenn es daran glauben und aus dem Glauben Konsequenzen ziehen soll. In der Mosesreligion diente der Auszug aus Ägypten als dieser Beweis; Gott oder Moses in seinem Namen wurde nicht müde, sich auf diese Gunstbezeugung zu berufen. Das Passahfest wurde eingesetzt, um die Erinnerung an dies Ereignis festzuhalten, oder vielmehr ein altbestehendes Fest mit dem Inhalt dieser Erinnerung erfüllt. Aber es war doch nur eine Erinnerung, der Auszug gehörte einer verschwommenen Vergangenheit an. In der Gegenwart waren die Zeichen von Gottes Gunst recht spärlich, die Schicksale des Volkes deuteten eher auf seine Ungnade hin. Primitive Völker pflegten ihre Götter abzusetzen oder selbst zu züchtigen, wenn sie nicht ihre Pflicht erfüllten, ihnen Sieg, Glück und Behagen zu gewähren. Könige sind zu allen Zeiten nicht anders behandelt worden als Götter; eine alte Identität beweist sich darin, die Entstehung aus gemeinsamer Wurzel. Auch moderne Völker pflegen also ihre Könige zu verjagen, wenn der Glanz ihrer Regierung durch Niederlagen mit den dazugehörigen Verlusten an Land und Geld gestört wird. Warum aber das Volk </w:t>
      </w:r>
      <w:smartTag w:uri="urn:schemas-microsoft-com:office:smarttags" w:element="country-region">
        <w:smartTag w:uri="urn:schemas-microsoft-com:office:smarttags" w:element="place">
          <w:r w:rsidRPr="00892712">
            <w:rPr>
              <w:rFonts w:ascii="Garamond" w:hAnsi="Garamond" w:cs="Arial"/>
              <w:color w:val="000000"/>
              <w:lang w:val="en-GB"/>
            </w:rPr>
            <w:t>Israel</w:t>
          </w:r>
        </w:smartTag>
      </w:smartTag>
      <w:r w:rsidRPr="00892712">
        <w:rPr>
          <w:rFonts w:ascii="Garamond" w:hAnsi="Garamond" w:cs="Arial"/>
          <w:color w:val="000000"/>
          <w:lang w:val="en-GB"/>
        </w:rPr>
        <w:t xml:space="preserve"> seinem Gott immer nur unterwürfiger anhing, je schlechter es von ihm behandelt wurde, das ist ein Problem, welches wir vorläufig bestehen lassen müssen.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Es mag uns die Anregung geben zu untersuchen, ob die Mosesreligion dem Volke nichts anderes gebracht hatte als die Steigerung des Selbstgefühls durch das Bewußtsein der Auserwähltheit. Und das nächste Moment ist wirklich leicht zu finden. Die Religion brachte den Juden auch eine weit großartigere Gottesvorstellung oder, wie man nüchterner sagen könnte, die Vorstellung eines großartigeren Gottes. Wer an diesen Gott glaubte, hatte gewissermaßen Anteil an seiner Größe, durfte sich selbst gehoben fühlen. Das ist für einen Ungläubigen nicht ganz selbstverständlich, aber vielleicht erfaßt man es leichter durch den Hinweis auf das Hochgefühl eines Briten in einem fremden, durch Aufruhr unsicher gewordenen Land, das dem Angehörigen irgendeines kontinentalen Kleinstaates völlig abgeht. Der Brite rechnet nämlich damit, daß sein </w:t>
      </w:r>
      <w:r w:rsidRPr="00892712">
        <w:rPr>
          <w:rFonts w:ascii="Garamond" w:hAnsi="Garamond" w:cs="Arial"/>
          <w:i/>
          <w:iCs/>
          <w:color w:val="000000"/>
          <w:lang w:val="en-GB"/>
        </w:rPr>
        <w:t>Government</w:t>
      </w:r>
      <w:r w:rsidRPr="00892712">
        <w:rPr>
          <w:rFonts w:ascii="Garamond" w:hAnsi="Garamond" w:cs="Arial"/>
          <w:color w:val="000000"/>
          <w:lang w:val="en-GB"/>
        </w:rPr>
        <w:t xml:space="preserve"> ein Kriegsschiff ausschicken wird, wenn ihm ein Härchen gekrümmt wird, und daß die Aufständischen es sehr wohl wissen, während der Kleinstaat überhaupt kein Kriegsschiff besitzt. Der Stolz auf die Größe des </w:t>
      </w:r>
      <w:smartTag w:uri="urn:schemas-microsoft-com:office:smarttags" w:element="place">
        <w:r w:rsidRPr="00892712">
          <w:rPr>
            <w:rFonts w:ascii="Garamond" w:hAnsi="Garamond" w:cs="Arial"/>
            <w:i/>
            <w:iCs/>
            <w:color w:val="000000"/>
            <w:lang w:val="en-GB"/>
          </w:rPr>
          <w:t>British Empire</w:t>
        </w:r>
      </w:smartTag>
      <w:r w:rsidRPr="00892712">
        <w:rPr>
          <w:rFonts w:ascii="Garamond" w:hAnsi="Garamond" w:cs="Arial"/>
          <w:color w:val="000000"/>
          <w:lang w:val="en-GB"/>
        </w:rPr>
        <w:t xml:space="preserve"> hat also auch eine Wurzel im Bewußtsein der größeren Sicherheit, des Schutzes, den der einzelne Brite genießt. Das mag bei der Vorstellung des großartigen Gottes ähnlich sein, und da man schwerlich beanspruchen wird, Gott in der Verwaltung der Welt zu assistieren, fließt der Stolz auf die Gottesgröße mit dem auf das Auserwähltsein zusammen.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Unter den Vorschriften der Mosesreligion findet sich eine, die bedeutungsvoller ist, als man zunächst erkennt. Es ist das Verbot, sich ein Bild von Gott zu machen, also der Zwang, einen Gott zu verehren, den man nicht sehen kann. Wir vermuten, daß Moses in diesem Punkt die Strenge der Atonreligion überboten hat; vielleicht wollte er nur konsequent sein, sein Gott hatte dann weder einen Namen noch ein Angesicht, vielleicht war es eine neue Vorkehrung gegen magische Mißbräuche. Aber wenn man dies Verbot annahm, mußte es eine tiefgreifende Wirkung ausüben. Denn es bedeutete eine Zurücksetzung der sinnlichen Wahrnehmung gegen eine abstrakt zu nennende Vorstellung, einen Triumph der Geistigkeit über die Sinnlichkeit, strenggenommen einen Triebverzicht mit seinen psychologisch notwendigen Folgen.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Um glaubwürdig zu finden, was auf den ersten Blick nicht einleuchtend scheint, muß man sich an andere Vorgänge gleichen Charakters in der Entwicklung der menschlichen Kultur erinnern. Der früheste unter ihnen, der wichtigste vielleicht, verschwimmt im Dunkel der Urzeit. Seine erstaunlichen Wirkungen nötigen uns, ihn zu behaupten. Bei unseren Kindern, bei den Neurotikern unter den Erwachsenen wie bei den primitiven Völkern finden wir das seelische Phänomen, das wir als den Glauben an die »Allmacht der </w:t>
      </w:r>
      <w:r w:rsidRPr="00892712">
        <w:rPr>
          <w:rFonts w:ascii="Garamond" w:hAnsi="Garamond" w:cs="Arial"/>
          <w:color w:val="000000"/>
          <w:lang w:val="en-GB"/>
        </w:rPr>
        <w:lastRenderedPageBreak/>
        <w:t xml:space="preserve">Gedanken« bezeichnen. Nach unserem Urteil ist es eine Überschätzung des Einflusses, den unsere seelischen, hier die intellektuellen Akte auf die Veränderung der Außenwelt üben können. </w:t>
      </w:r>
      <w:r w:rsidRPr="00032727">
        <w:rPr>
          <w:rFonts w:ascii="Garamond" w:hAnsi="Garamond" w:cs="Arial"/>
          <w:color w:val="000000"/>
        </w:rPr>
        <w:t xml:space="preserve">Im Grunde ruht ja alle Magie, die Vorläuferin unserer Technik, auf dieser Voraussetzung. Auch aller Zauber der Worte gehört hieher und die Überzeugung von der Macht, die mit der Kenntnis und dem Aussprechen eines Namens verbunden ist. Wir nehmen an, daß die »Allmacht der Gedanken« der Ausdruck des Stolzes der Menschheit war auf die Entwicklung der Sprache, die eine so außerordentliche Förderung der intellektuellen Tätigkeiten zur Folge hatte. Es eröffnete sich das neue Reich der Geistigkeit, in dem Vorstellungen, Erinnerungen und Schlußprozesse maßgebend wurden, im Gegensatz zur niedrigeren psychischen Tätigkeit, die unmittelbare Wahrnehmungen der Sinnesorgane zum Inhalt hatte. </w:t>
      </w:r>
      <w:r w:rsidRPr="00892712">
        <w:rPr>
          <w:rFonts w:ascii="Garamond" w:hAnsi="Garamond" w:cs="Arial"/>
          <w:color w:val="000000"/>
          <w:lang w:val="en-GB"/>
        </w:rPr>
        <w:t>Es war gewiß eine der wichtigsten Etappen auf dem Wege zur Menschwerdung.</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Weit greifbarer tritt uns ein anderer Vorgang späterer Zeit entgegen. Unter dem Einfluß äußerer Momente, die wir hier nicht zu verfolgen brauchen, die zum Teil auch nicht genügend bekannt sind, geschah es, daß die matriarchalische Gesellschaftsordnung von der patriarchalischen abgelöst wurde, womit natürlich ein Umsturz der bisherigen Rechtsverhältnisse verbunden war. Man glaubt den Nachklang dieser Revolution noch in der </w:t>
      </w:r>
      <w:r w:rsidRPr="00892712">
        <w:rPr>
          <w:rFonts w:ascii="Garamond" w:hAnsi="Garamond" w:cs="Arial"/>
          <w:i/>
          <w:iCs/>
          <w:color w:val="000000"/>
          <w:lang w:val="en-GB"/>
        </w:rPr>
        <w:t>Orestie</w:t>
      </w:r>
      <w:r w:rsidRPr="00892712">
        <w:rPr>
          <w:rFonts w:ascii="Garamond" w:hAnsi="Garamond" w:cs="Arial"/>
          <w:color w:val="000000"/>
          <w:lang w:val="en-GB"/>
        </w:rPr>
        <w:t xml:space="preserve"> des Äschylos zu verspüren. Aber diese Wendung von der Mutter zum Vater bezeichnet überdies einen Sieg der Geistigkeit über die Sinnlichkeit, also einen Kulturfortschritt, denn die Mutterschaft ist durch das Zeugnis der Sinne erwiesen, während die Vaterschaft eine Annahme ist, auf einen Schluß und auf eine Voraussetzung aufgebaut. Die Parteinahme, die den Denkvorgang über die sinnliche Wahrnehmung erhebt, bewährt sich als ein folgenschwerer Schritt.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Irgendwann zwischen den beiden vorerwähnten Fällen ereignete sich ein anderer, der am meisten Verwandtschaft zeigt mit dem von uns in der Religionsgeschichte untersuchten. Der Mensch fand sich veranlaßt, überhaupt »geistige« Mächte anzuerkennen, d. h. solche, die mit den Sinnen, speziell mit dem Gesicht, nicht erfaßt werden können, aber doch unzweifelhafte, sogar überstarke Wirkungen äußern. Wenn wir uns dem Zeugnis der Sprache anvertrauen dürften, war es die bewegte Luft, die das Vorbild der Geistigkeit abgab, denn der Geist entlehnt den Namen vom Windhauch ( </w:t>
      </w:r>
      <w:r w:rsidRPr="00892712">
        <w:rPr>
          <w:rFonts w:ascii="Garamond" w:hAnsi="Garamond" w:cs="Arial"/>
          <w:i/>
          <w:iCs/>
          <w:color w:val="000000"/>
          <w:lang w:val="en-GB"/>
        </w:rPr>
        <w:t>animus, spiritus</w:t>
      </w:r>
      <w:r w:rsidRPr="00892712">
        <w:rPr>
          <w:rFonts w:ascii="Garamond" w:hAnsi="Garamond" w:cs="Arial"/>
          <w:color w:val="000000"/>
          <w:lang w:val="en-GB"/>
        </w:rPr>
        <w:t xml:space="preserve">, hebräisch: </w:t>
      </w:r>
      <w:r w:rsidRPr="00892712">
        <w:rPr>
          <w:rFonts w:ascii="Garamond" w:hAnsi="Garamond" w:cs="Arial"/>
          <w:i/>
          <w:iCs/>
          <w:color w:val="000000"/>
          <w:lang w:val="en-GB"/>
        </w:rPr>
        <w:t>ruach</w:t>
      </w:r>
      <w:r w:rsidRPr="00892712">
        <w:rPr>
          <w:rFonts w:ascii="Garamond" w:hAnsi="Garamond" w:cs="Arial"/>
          <w:color w:val="000000"/>
          <w:lang w:val="en-GB"/>
        </w:rPr>
        <w:t>, Hauch). Damit war auch die Entdeckung der Seele gegeben als des geistigen Prinzips im einzelnen Menschen. Die Beobachtung fand die bewegte Luft im Atmen des Menschen wieder, das mit dem Tode aufhört; noch heute haucht der Sterbende seine Seele aus. Nun aber war dem Menschen das Geisterreich eröffnet; er war bereit, die Seele, die er bei sich entdeckt hatte, allem anderen in der Natur zuzutrauen. Die ganze Welt wurde beseelt, und die Wissenschaft, die soviel später kam, hatte genug zu tun, um einen Teil der Welt wieder zu entseelen, ist auch noch heute mit dieser Aufgabe nicht fertig geworden.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Durch das mosaische Verbot wurde Gott auf eine höhere Stufe der Geistigkeit gehoben, der Weg eröffnet für weitere Abänderungen der Gottesvorstellung, von denen noch zu berichten ist. Aber zunächst darf uns eine andere Wirkung desselben beschäftigen. Alle solchen Fortschritte in der Geistigkeit haben den Erfolg, das Selbstgefühl der Person zu steigern, sie stolz zu machen, so daß sie sich anderen überlegen fühlt, die im Banne der Sinnlichkeit verblieben sind. Wir wissen, daß Moses den Juden das Hochgefühl vermittelt hatte, ein auserwähltes Volk zu sein; durch die Entmaterialisierung Gottes kam ein neues, wertvolles Stück zu dem geheimen Schatz des Volkes hinzu. Die Juden behielten die Richtung auf geistige Interessen bei, das politische Unglück der Nation lehrte sie, den einzigen Besitz, der ihnen geblieben war, ihr Schrifttum, seinem Werte nach einzuschätzen. Unmittelbar nach der Zerstörung des Tempels in </w:t>
      </w:r>
      <w:smartTag w:uri="urn:schemas-microsoft-com:office:smarttags" w:element="City">
        <w:smartTag w:uri="urn:schemas-microsoft-com:office:smarttags" w:element="place">
          <w:r w:rsidRPr="00892712">
            <w:rPr>
              <w:rFonts w:ascii="Garamond" w:hAnsi="Garamond" w:cs="Arial"/>
              <w:color w:val="000000"/>
              <w:lang w:val="en-GB"/>
            </w:rPr>
            <w:t>Jerusalem</w:t>
          </w:r>
        </w:smartTag>
      </w:smartTag>
      <w:r w:rsidRPr="00892712">
        <w:rPr>
          <w:rFonts w:ascii="Garamond" w:hAnsi="Garamond" w:cs="Arial"/>
          <w:color w:val="000000"/>
          <w:lang w:val="en-GB"/>
        </w:rPr>
        <w:t xml:space="preserve"> durch Titus erbat sich Rabbi Jochanan ben Sakkai die Erlaubnis, die erste Thoraschule in Jabne zu eröffnen. Fortan war es die Heilige Schrift und die geistige Bemühung um sie, die das versprengte Volk zusammenhielt.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Soviel ist allgemein bekannt und angenommen. Ich wollte nur einfügen, daß diese charakteristische Entwicklung des jüdischen Wesens durch das Verbot Moses', Gott in sichtbarer Gestalt zu verehren, eingeleitet wurde.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Der Vorrang, der durch etwa 2000 Jahre im Leben des jüdischen Volkes geistigen Bestrebungen eingeräumt war, hat natürlich seine Wirkung getan; er half, die Roheit und die Neigung zur Gewalttat einzudämmen, die sich einzustellen pflegen, wo die Entwicklung der Muskelkraft Volksideal ist. Die Harmonie in der Ausbildung geistiger und körperlicher Tätigkeit, wie das griechische Volk sie erreichte, blieb den Juden versagt. Im Zwiespalt trafen sie wenigstens die Entscheidung für das Höherwertige.</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D. Triebverzicht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lastRenderedPageBreak/>
        <w:t>Es ist nicht selbstverständlich und nicht ohne weiteres einzusehen, warum ein Fortschritt in der Geistigkeit, eine Zurücksetzung der Sinnlichkeit das Selbstbewußtsein einer Person wie eines Volkes erhöhen sollte. Das scheint einen bestimmten Wertmaßstab vorauszusetzen und eine andere Person oder Instanz, die ihn handhabt. Wir wenden uns zur Klärung an einen analogen Fall aus der Psychologie des Individuums, der uns verständlich geworden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Erhebt das Es in einem menschlichen Wesen einen Triebanspruch erotischer oder aggressiver Natur, so ist das Einfachste und Natürlichste, daß das Ich, dem der Denk- und der Muskelapparat zur Verfügung steht, ihn durch eine Aktion befriedigt. Diese Befriedigung des Triebes wird vom Ich als Lust empfunden, wie die Unbefriedigung unzweifelhaft Quelle von Unlust geworden wäre. Nun kann sich der Fall ereignen, daß das Ich die Triebbefriedigung mit Rücksicht auf äußere Hindernisse unterläßt, nämlich dann, wenn es einsieht, daß die betreffende Aktion eine ernste Gefahr für das Ich hervorrufen würde. Ein solches Abstehen von der Befriedigung, ein Triebverzicht infolge äußerer Abhaltung, wie wir sagen: im Gehorsam gegen das Realitätsprinzip, ist auf keinen Fall lustvoll. Der Triebverzicht würde eine anhaltende Unlustspannung zur Folge haben, wenn es nicht gelänge, die Triebstärke selbst durch Energieverschiebungen herabzusetzen. Der Triebverzicht kann aber auch aus anderen, wie wir mit Recht sagen, </w:t>
      </w:r>
      <w:r w:rsidRPr="00892712">
        <w:rPr>
          <w:rFonts w:ascii="Garamond" w:hAnsi="Garamond" w:cs="Arial"/>
          <w:i/>
          <w:iCs/>
          <w:color w:val="000000"/>
          <w:lang w:val="en-GB"/>
        </w:rPr>
        <w:t>inneren</w:t>
      </w:r>
      <w:r w:rsidRPr="00892712">
        <w:rPr>
          <w:rFonts w:ascii="Garamond" w:hAnsi="Garamond" w:cs="Arial"/>
          <w:color w:val="000000"/>
          <w:lang w:val="en-GB"/>
        </w:rPr>
        <w:t xml:space="preserve"> Gründen erzwungen werden. Im Laufe der individuellen Entwicklung wird ein Anteil der hemmenden Mächte in der Außenwelt verinnerlicht, es bildet sich im Ich eine Instanz, die sich beobachtend, kritisierend und verbietend dem übrigen entgegenstellt. Wir nennen diese neue Instanz das </w:t>
      </w:r>
      <w:r w:rsidRPr="00892712">
        <w:rPr>
          <w:rFonts w:ascii="Garamond" w:hAnsi="Garamond" w:cs="Arial"/>
          <w:i/>
          <w:iCs/>
          <w:color w:val="000000"/>
          <w:lang w:val="en-GB"/>
        </w:rPr>
        <w:t>Über-Ich</w:t>
      </w:r>
      <w:r w:rsidRPr="00892712">
        <w:rPr>
          <w:rFonts w:ascii="Garamond" w:hAnsi="Garamond" w:cs="Arial"/>
          <w:color w:val="000000"/>
          <w:lang w:val="en-GB"/>
        </w:rPr>
        <w:t>. Von nun an hat das Ich, ehe es die vom Es geforderten Triebbefriedigungen ins Werk setzt, nicht nur auf die Gefahren der Außenwelt, sondern auch auf den Einspruch des Über-Ichs Rücksicht zu nehmen und wird um so mehr Anlässe haben, die Triebbefriedigung zu unterlassen. Während aber der Triebverzicht aus äußeren Gründen nur unlustvoll ist, hat der aus inneren Gründen, aus Gehorsam gegen das Über-Ich, eine andere ökonomische Wirkung. Er bringt außer der unvermeidlichen Unlustfolge dem Ich auch einen Lustgewinn, eine Ersatzbefriedigung gleichsam. Das Ich fühlt sich gehoben, es wird stolz auf den Triebverzicht wie auf eine wertvolle Leistung. Den Mechanismus dieses Lustgewinns glauben wir zu verstehen. Das Über-Ich ist Nachfolger und Vertreter der Eltern (und Erzieher), die die Handlungen des Individuums in seiner ersten Lebensperiode beaufsichtigt hatten; es setzt die Funktionen derselben fast ohne Veränderung fort. Es hält das Ich in dauernder Abhängigkeit, es übt einen ständigen Druck auf dasselbe aus. Das Ich ist ganz wie in der Kindheit besorgt, die Liebe des Oberherrn aufs Spiel zu setzen, empfindet seine Anerkennung als Befreiung und Befriedigung, seine Vorwürfe als Gewissensbisse. Wenn das Ich dem Über-Ich das Opfer eines Triebverzichts gebracht hat, erwartet es als Belohnung dafür, von ihm mehr geliebt zu werden. Das Bewußtsein, diese Liebe zu verdienen, empfindet es als Stolz. Zur Zeit, da die Autorität noch nicht als Über-Ich verinnerlicht war, konnte die Beziehung zwischen drohendem Liebesverlust und Triebanspruch die nämliche sein. Es gab ein Gefühl von Sicherheit und Befriedigung, wenn man aus Liebe zu den Eltern einen Triebverzicht zustande gebracht hatte. Den eigentümlich narzißtischen Charakter des Stolzes konnte dies gute Gefühl erst annehmen, nachdem die Autorität selbst ein Teil des Ichs geworden war.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Was leistet uns diese Aufklärung der Befriedigung durch Triebverzicht für das Verständnis der Vorgänge, die wir studieren wollen, der Hebung des Selbstbewußtseins bei Fortschritten der Geistigkeit? Anscheinend sehr wenig. Die Verhältnisse liegen ganz anders. Es handelt sich um keinen Triebverzicht, und es ist keine zweite Person oder Instanz da, der zuliebe das Opfer gebracht wird. An der zweiten Behauptung wird man bald schwankend werden. Man kann sagen, der große Mann ist eben die Autorität, der zuliebe man die Leistung vollbringt, und da der große Mann selbst dank seiner Ähnlichkeit mit dem Vater wirkt, darf man sich nicht verwundern, wenn ihm in der Massenpsychologie die Rolle des Über-Ichs zufällt. Das würde also auch für den Mann Moses im Verhältnis zum Judenvolk gelten. Im anderen Punkte will sich aber keine richtige Analogie herstellen. Der Fortschritt in der Geistigkeit besteht darin, daß man gegen die direkte Sinneswahrnehmung zu Gunsten der sogenannten höheren intellektuellen Prozesse entscheidet, also der Erinnerungen, Überlegungen, Schlußvorgänge. Daß man z. B. bestimmt, die Vaterschaft ist wichtiger als die Mutterschaft, obwohl sie nicht wie letztere durch das Zeugnis der Sinne erweisbar ist. Darum soll das Kind den Namen des Vaters tragen und nach ihm erben. </w:t>
      </w:r>
      <w:smartTag w:uri="urn:schemas-microsoft-com:office:smarttags" w:element="place">
        <w:r w:rsidRPr="00892712">
          <w:rPr>
            <w:rFonts w:ascii="Garamond" w:hAnsi="Garamond" w:cs="Arial"/>
            <w:color w:val="000000"/>
            <w:lang w:val="en-GB"/>
          </w:rPr>
          <w:t>Oder</w:t>
        </w:r>
      </w:smartTag>
      <w:r w:rsidRPr="00892712">
        <w:rPr>
          <w:rFonts w:ascii="Garamond" w:hAnsi="Garamond" w:cs="Arial"/>
          <w:color w:val="000000"/>
          <w:lang w:val="en-GB"/>
        </w:rPr>
        <w:t xml:space="preserve">: unser Gott ist der größte und mächtigste, obwohl er unsichtbar ist wie der Sturmwind und die Seele. </w:t>
      </w:r>
      <w:r w:rsidRPr="00892712">
        <w:rPr>
          <w:rFonts w:ascii="Garamond" w:hAnsi="Garamond" w:cs="Arial"/>
          <w:color w:val="000000"/>
        </w:rPr>
        <w:t xml:space="preserve">Die Abweisung eines sexuellen oder aggressiven Triebanspruches scheint etwas davon ganz Verschiedenes zu sein. </w:t>
      </w:r>
      <w:r w:rsidRPr="00892712">
        <w:rPr>
          <w:rFonts w:ascii="Garamond" w:hAnsi="Garamond" w:cs="Arial"/>
          <w:color w:val="000000"/>
          <w:lang w:val="en-GB"/>
        </w:rPr>
        <w:t xml:space="preserve">Auch ist bei manchen Fortschritten der Geistigkeit, z. B. beim Sieg des Vaterrechts, die Autorität nicht aufzeigbar, die den Maßstab für das abgibt, was als höher geachtet werden soll. Der Vater kann es in diesem Falle nicht sein, denn er wird erst durch den Fortschritt zur Autorität erhoben. Man steht also vor </w:t>
      </w:r>
      <w:r w:rsidRPr="00892712">
        <w:rPr>
          <w:rFonts w:ascii="Garamond" w:hAnsi="Garamond" w:cs="Arial"/>
          <w:color w:val="000000"/>
          <w:lang w:val="en-GB"/>
        </w:rPr>
        <w:lastRenderedPageBreak/>
        <w:t xml:space="preserve">dem Phänomen, daß in der Entwicklung der Menschheit die Sinnlichkeit allmählich von der Geistigkeit überwältigt wird und daß die Menschen sich durch jeden solchen Fortschritt stolz und gehoben fühlen. Man weiß aber nicht zu sagen, warum das so sein sollte. Später ereignet es sich dann noch, daß die Geistigkeit selbst von dem ganz rätselhaften emotionellen Phänomen des Glaubens überwältigt wird. Das ist das berühmte </w:t>
      </w:r>
      <w:r w:rsidRPr="00892712">
        <w:rPr>
          <w:rFonts w:ascii="Garamond" w:hAnsi="Garamond" w:cs="Arial"/>
          <w:i/>
          <w:iCs/>
          <w:color w:val="000000"/>
          <w:lang w:val="en-GB"/>
        </w:rPr>
        <w:t>Credo quia absurdum</w:t>
      </w:r>
      <w:r w:rsidRPr="00892712">
        <w:rPr>
          <w:rFonts w:ascii="Garamond" w:hAnsi="Garamond" w:cs="Arial"/>
          <w:color w:val="000000"/>
          <w:lang w:val="en-GB"/>
        </w:rPr>
        <w:t>, und auch wer dies zustande gebracht hat, sieht es als eine Höchstleistung an. Vielleicht ist das Gemeinsame all dieser psychologischen Situationen etwas anderes. Vielleicht erklärt der Mensch einfach das für das Höhere, was das Schwierigere ist, und sein Stolz ist bloß der durch das Bewußtsein einer überwundenen Schwierigkeit gesteigerte Narzißmus.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Das sind gewiß wenig fruchtbare Erörterungen, und man könnte meinen, sie haben mit unserer Untersuchung, was den Charakter des jüdischen Volkes bestimmt hat, überhaupt nichts zu tun. Das wäre nur ein Vorteil für uns, aber eine gewisse Zugehörigkeit zu unserem Problem verrät sich doch durch eine Tatsache, die uns später noch mehr beschäftigen wird. Die Religion, die mit dem Verbot begonnen hat, sich ein Bild von Gott zu machen, entwickelt sich im Laufe der Jahrhunderte immer mehr zu einer Religion der Triebverzichte. </w:t>
      </w:r>
      <w:r w:rsidRPr="00892712">
        <w:rPr>
          <w:rFonts w:ascii="Garamond" w:hAnsi="Garamond" w:cs="Arial"/>
          <w:color w:val="000000"/>
        </w:rPr>
        <w:t xml:space="preserve">Nicht daß sie sexuelle Abstinenz fordern würde, sie begnügt sich mit einer merklichen Einengung der sexuellen Freiheit. </w:t>
      </w:r>
      <w:r w:rsidRPr="00892712">
        <w:rPr>
          <w:rFonts w:ascii="Garamond" w:hAnsi="Garamond" w:cs="Arial"/>
          <w:color w:val="000000"/>
          <w:lang w:val="en-GB"/>
        </w:rPr>
        <w:t>Aber Gott wird der Sexualität völlig entrückt und zum Ideal ethischer Vollkommenheit erhoben. Ethik ist aber Triebeinschränkung. Die Propheten werden nicht müde zu mahnen, daß Gott nichts anderes von seinem Volke verlange als gerechte und tugendhafte Lebensführung, also Enthaltung von allen Triebbefriedigungen, die auch noch von unserer heutigen Moral als lasterhaft verurteilt werden. Und selbst die Forderung, an ihn zu glauben, scheint gegen den Ernst dieser ethischen Forderungen zurückzutreten. Somit scheint der Triebverzicht eine hervorragende Rolle in der Religion zu spielen, auch wenn er nicht von Anfang an in ihr hervortritt.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Hier ist aber Raum für einen Einspruch, der ein Mißverständnis abwehren soll. Mag es auch scheinen, daß der Triebverzicht und die auf ihn gegründete Ethik nicht zum wesentlichen Inhalt der Religion gehört, so ist er doch genetisch aufs innigste mit ihr verbunden. Der Totemismus, die erste Form einer Religion, die wir erkennen, bringt als unerläßliche Bestände des Systems eine Anzahl von Geboten und Verboten mit sich, die natürlich nichts anderes als Triebverzichte bedeuten, die Verehrung des Totem, die das Verbot einschließt, ihn zu schädigen oder zu töten, die Exogamie, also den Verzicht auf die leidenschaftlich begehrten Mütter und Schwestern in der Horde, das Zugeständnis gleicher Rechte für alle Mitglieder des Brüderbundes, also die Einschränkung der Tendenz zu gewalttätiger Rivalität unter ihnen. In diesen Bestimmungen müssen wir die ersten Anfänge einer sittlichen und sozialen Ordnung erblicken. Es entgeht uns nicht, daß sich hier zwei verschiedene Motivierungen geltend machen. Die beiden ersten Verbote liegen im Sinne des beseitigten Vaters, sie setzen gleichsam seinen Willen fort; das dritte Gebot, das der Gleichberechtigung der Bundesbrüder, sieht vom Willen des Vaters ab, es rechtfertigt sich durch die Berufung auf die Notwendigkeit, die neue Ordnung, die nach der Beseitigung des Vaters entstanden war, für die Dauer zu erhalten. Sonst wäre der Rückfall in den früheren Zustand unvermeidlich geworden. Hier sondern sich die sozialen Gebote von den anderen ab, die, wie wir sagen dürfen, direkt aus religiösen Beziehungen stammen.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In der abgekürzten Entwicklung des menschlichen Einzelwesens wiederholt sich das wesentliche Stück dieses Hergangs. Auch hier ist es die Autorität der Eltern, im wesentlichen die des unumschränkten, mit der Macht zur Strafe drohenden Vaters, die das Kind zu Triebverzichten auffordert, die für dasselbe festsetzt, was ihm erlaubt und was ihm verboten ist. Was beim Kinde »brav« oder »schlimm« heißt, wird später, wenn Gesellschaft und Über-Ich an die Stelle der Eltern getreten sind, »gut« und »böse«, tugendhaft oder lasterhaft genannt werden, aber es ist immer noch das nämliche, Triebverzicht durch den Druck der den Vater ersetzenden, ihn fortsetzenden Autorität.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Diese Einsichten erfahren eine weitere Vertiefung, wenn wir eine Untersuchung des merkwürdigen Begriffs der Heiligkeit unternehmen. Was erscheint uns eigentlich als »heilig« in Hervorhebung von anderem, das wir hochschätzen und als wichtig und bedeutungsvoll anerkennen? Einerseits ist der Zusammenhang des Heiligen mit dem Religiösen unverkennbar, er wird in aufdringlicher Weise betont; alles Religiöse ist heilig, es ist geradezu der Kern der Heiligkeit. Anderseits wird unser Urteil durch die zahlreichen Versuche gestört, den Charakter der Heiligkeit für soviel anderes, Personen, Institutionen, Verrichtungen in Anspruch zu nehmen, die wenig mit Religion zu tun haben. Diese Bemühungen dienen offenkundigen Tendenzen. Wir wollen von dem Verbotcharakter ausgehen, der so fest am Heiligen haftet. Das Heilige ist offenbar etwas, was nicht berührt werden darf. Ein heiliges Verbot ist sehr stark affektiv betont, aber eigentlich ohne rationelle Begründung. Denn warum sollte es z. B. ein so besonders schweres </w:t>
      </w:r>
      <w:r w:rsidRPr="00892712">
        <w:rPr>
          <w:rFonts w:ascii="Garamond" w:hAnsi="Garamond" w:cs="Arial"/>
          <w:color w:val="000000"/>
          <w:lang w:val="en-GB"/>
        </w:rPr>
        <w:lastRenderedPageBreak/>
        <w:t>Verbrechen sein, Inzest mit Tochter oder Schwester zu begehen, soviel ärger als jeder andere Sexualverkehr? Fragt man nach einer solchen Begründung, so wird man gewiß hören, daß sich alle unsere Gefühle dagegen sträuben. Aber das heißt nur, daß man das Verbot für selbstverständlich hält, daß man es nicht zu begründen weiß.</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Nichtigkeit einer solchen Erklärung ist leicht genug zu erweisen. Was angeblich unsere heiligsten Gefühle beleidigt, war in den Herrscherfamilien der alten Ägypter und anderer frühen Völker allgemeine Sitte, man möchte sagen geheiligter Brauch. Es war selbstverständlich, daß der Pharao in seiner Schwester seine erste und vornehmste Frau fand, und die späten Nachfolger der Pharaonen, die griechischen Ptolemäer, zögerten nicht, dies Vorbild nachzuahmen. Soweit drängt sich uns eher die Einsicht auf, daß der Inzest – in diesem Falle zwischen Bruder und Schwester – ein Vorrecht war, das gewöhnlichen Sterblichen entzogen, aber den die Götter vertretenden Königen vorbehalten war, wie ja auch die Welt der griechischen und der germanischen Sage keinen Anstoß an solchen inzestuösen Beziehungen nahm. Man darf vermuten, daß die ängstliche Wahrung der Ebenbürtigkeit in unserem Hochadel noch ein Residuum dieses alten Privilegs ist, und kann feststellen, daß infolge der über so viele Generationen fortgesetzten Inzucht in den höchsten sozialen Schichten Europa heute nur von Mitgliedern einer und einer zweiten Familie regiert wird.</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Der Hinweis auf den Inzest bei Göttern, Königen und Heroen hilft auch mit zur Erledigung eines anderen Versuches, der die Inzestscheu biologisch erklären will, sie auf ein dunkles Wissen um die Schädlichkeit der Inzucht zurückführt. Es ist aber nicht einmal sicher, daß eine Gefahr der Schädigung durch die Inzucht besteht, geschweige denn, daß die Primitiven sie erkannt und gegen sie reagiert hätten. Die Unsicherheit in der Bestimmung der erlaubten und der verbotenen Verwandtschaftsgrade spricht ebensowenig für die Annahme eines »natürlichen Gefühls« als Urgrund der Inzestscheu.</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Unsere Konstruktion der Vorgeschichte drängt uns eine andere Erklärung auf. Das Gebiet der Exogamie, dessen negativer Ausdruck die Inzestscheu ist, lag im Willen des Vaters und setzte diesen Willen nach seiner Beseitigung fort. Daher die Stärke seiner affektiven Betonung und die Unmöglichkeit einer rationellen Begründung, also seine Heiligkeit. Wir erwarten zuversichtlich, daß die Untersuchung aller anderen Fälle von heiligem Verbot zu demselben Ergebnis führen würde wie im Falle der Inzestscheu, daß das Heilige ursprünglich nichts anderes ist als der fortgesetzte Wille des Urvaters. Damit fiele auch ein Licht auf die bisher unverständliche Ambivalenz der Worte, die den Begriff der Heiligkeit ausdrücken. Es ist die Ambivalenz, die das Verhältnis zum Vater überhaupt beherrscht. » </w:t>
      </w:r>
      <w:r w:rsidRPr="00892712">
        <w:rPr>
          <w:rFonts w:ascii="Garamond" w:hAnsi="Garamond" w:cs="Arial"/>
          <w:i/>
          <w:iCs/>
          <w:color w:val="000000"/>
          <w:lang w:val="en-GB"/>
        </w:rPr>
        <w:t>Sacer</w:t>
      </w:r>
      <w:r w:rsidRPr="00892712">
        <w:rPr>
          <w:rFonts w:ascii="Garamond" w:hAnsi="Garamond" w:cs="Arial"/>
          <w:color w:val="000000"/>
          <w:lang w:val="en-GB"/>
        </w:rPr>
        <w:t xml:space="preserve">« bedeutet nicht nur »heilig«, »geweiht«, sondern auch etwas, was wir nur mit »verrucht«, »verabscheuenswert« übersetzen können (» </w:t>
      </w:r>
      <w:r w:rsidRPr="00892712">
        <w:rPr>
          <w:rFonts w:ascii="Garamond" w:hAnsi="Garamond" w:cs="Arial"/>
          <w:i/>
          <w:iCs/>
          <w:color w:val="000000"/>
          <w:lang w:val="en-GB"/>
        </w:rPr>
        <w:t>auri sacra fames</w:t>
      </w:r>
      <w:r w:rsidRPr="00892712">
        <w:rPr>
          <w:rFonts w:ascii="Garamond" w:hAnsi="Garamond" w:cs="Arial"/>
          <w:color w:val="000000"/>
          <w:lang w:val="en-GB"/>
        </w:rPr>
        <w:t>«). Der Wille des Vaters aber war nicht nur etwas, woran man nicht rühren durfte, was man hoch in Ehren halten mußte, sondern auch etwas, wovor man erschauerte, weil es einen schmerzlichen Triebverzicht erforderte. Wenn wir hören, daß Moses sein Volk»heiligte« durch die Einführung der Sitte der Beschneidung, so verstehen wir jetzt den tiefen Sinn dieser Behauptung. Die Beschneidung ist der symbolische Ersatz der Kastration, die der Urvater einst aus der Fülle seiner Machtvollkommenheit über die Söhne verhängt hatte, und wer dies Symbol annahm, zeigte damit, daß er bereit war, sich dem Willen des Vaters zu unterwerfen, auch wenn er ihm das schmerzlichste Opfer auferlegte.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Um zur Ethik zurückzukehren, dürfen wir abschließend sagen: Ein Teil ihrer Vorschriften rechtfertigt sich auf rationelle Weise durch die Notwendigkeit, die Rechte der Gemeinschaft gegen den Einzelnen, die Rechte des Einzelnen gegen die Gesellschaft und die der Individuen gegeneinander abzugrenzen. Was aber an der Ethik uns großartig, geheimnisvoll, in mystischer Weise selbstverständlich erscheint, das dankt diese Charaktere dem Zusammenhang mit der Religion, der Herkunft aus dem Willen des Vaters.</w:t>
      </w:r>
    </w:p>
    <w:p w:rsidR="00032727" w:rsidRPr="00892712" w:rsidRDefault="00032727" w:rsidP="00032727">
      <w:pPr>
        <w:shd w:val="clear" w:color="auto" w:fill="FFFFFF"/>
        <w:spacing w:before="221" w:after="44" w:line="306" w:lineRule="atLeast"/>
        <w:outlineLvl w:val="3"/>
        <w:rPr>
          <w:rFonts w:ascii="Garamond" w:hAnsi="Garamond" w:cs="Arial"/>
          <w:b/>
          <w:bCs/>
          <w:color w:val="000000"/>
          <w:lang w:val="en-GB"/>
        </w:rPr>
      </w:pPr>
      <w:r w:rsidRPr="00892712">
        <w:rPr>
          <w:rFonts w:ascii="Garamond" w:hAnsi="Garamond" w:cs="Arial"/>
          <w:b/>
          <w:bCs/>
          <w:color w:val="000000"/>
          <w:lang w:val="en-GB"/>
        </w:rPr>
        <w:t>E. Der Wahrheitsgehalt der Religion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Wie beneidenswert erscheinen uns, den Armen im Glauben, jene Forscher, die von der Existenz eines höchsten Wesens überzeugt sind! Für diesen großen Geist hat die Welt keine Probleme, weil er selbst alle ihre Einrichtungen geschaffen hat. Wie umfassend, erschöpfend und endgültig sind die Lehren der Gläubigen im Vergleich mit den mühseligen, armseligen und stückhaften Erklärungsversuchen, die das Äußerste sind, was wir zustande bringen! Der göttliche Geist, der selbst das Ideal ethischer Vollkommenheit ist, hat den Menschen die Kenntnis dieses Ideals eingepflanzt und gleichzeitig den Drang, ihr Wesen dem Ideal anzugleichen. Sie verspüren unmittelbar, was höher und edler und was niedriger und gemeiner ist. Ihr Empfindungsleben ist auf ihre jeweilige Distanz vom Ideal eingestellt. Es </w:t>
      </w:r>
      <w:r w:rsidRPr="00892712">
        <w:rPr>
          <w:rFonts w:ascii="Garamond" w:hAnsi="Garamond" w:cs="Arial"/>
          <w:color w:val="000000"/>
          <w:lang w:val="en-GB"/>
        </w:rPr>
        <w:lastRenderedPageBreak/>
        <w:t>bringt ihnen hohe Befriedigung, wenn sie, im Perihel gleichsam, ihm näherkommen, es straft sich durch schwere Unlust, wenn sie, im Aphel, sich von ihm entfernt haben. Das ist alles so einfach und so unerschütterlich festgelegt. Wir können nur bedauern, wenn gewisse Lebenserfahrungen und Weltbeobachtungen es uns unmöglich machen, die Voraussetzung eines solchen höchsten Wesens anzunehmen. Als hätte die Welt der Rätsel nicht genug, wird uns die neue Aufgabe gestellt zu verstehen, wie jene anderen den Glauben an das göttliche Wesen erwerben konnten und woher dieser Glaube seine ungeheure, »Vernunft und Wissenschaft« überwältigende Macht bezieht.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Kehren wir zu dem bescheideneren Problem zurück, das uns bisher beschäftigt hat. Wir wollten erklären, woher der eigentümliche Charakter des jüdischen Volkes rührt, der wahrscheinlich auch seine Erhaltung bis auf den heutigen Tag ermöglicht hat. Wir fanden, der Mann Moses hat diesen Charakter geprägt, dadurch, daß er ihnen eine Religion gab, welche ihr Selbstgefühl so erhöhte, daß sie sich allen anderen Völkern überlegen glaubten. Sie erhielten sich dann dadurch, daß sie sich von den anderen fernhielten. Blutvermischungen störten dabei wenig, denn was sie zusammenhielt, war ein ideelles Moment, der gemeinsame Besitz bestimmter intellektueller und emotioneller Güter. Die Mosesreligion hatte diese Wirkung, weil sie 1) das Volk Anteil nehmen ließ an der Großartigkeit einer neuen Gottesvorstellung, 2) weil sie behauptete, daß dies Volk von diesem großen Gott auserwählt und für die Beweise seiner besonderen Gunst bestimmt war, 3) weil sie dem Volk einen Fortschritt in der Geistigkeit aufnötigte, der, an sich bedeutungsvoll genug, überdies den Weg zur Hochschätzung der intellektuellen Arbeit und zu weiteren Triebverzichten eröffnete.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Dies ist unser Ergebnis, und obwohl wir nichts davon zurücknehmen mögen, können wir uns doch nicht verhehlen, daß es irgendwie unbefriedigend ist. Die Verursachung deckt sozusagen nicht den Erfolg, die Tatsache, die wir erklären wollen, scheint von einer anderen Größenordnung als alles, wodurch wir sie erklären. Wäre es möglich, daß alle unsere bisherigen Untersuchungen nicht die ganze Motivierung aufgedeckt haben, sondern nur eine gewissermaßen oberflächliche Schicht, und dahinter noch ein anderes, sehr bedeutsames Moment auf Entdeckung wartet? Bei der außerordentlichen Komplikation aller Verursachung in Leben und Geschichte mußte man auf etwas dergleichen gefaßt sein. Der Zugang zu dieser tieferen Motivierung ergäbe sich an einer bestimmten Stelle der vorstehenden Erörterungen. Die Religion des Moses hat ihre Wirkungen nicht unmittelbar geübt, sondern in einer merkwürdig indirekten Weise. Das will nicht besagen, sie habe nicht sofort gewirkt, sie habe lange Zeiten, Jahrhunderte gebraucht, um ihre volle Wirkung zu entfalten, denn soviel versteht sich von selbst, wenn es sich um die Ausprägung eines Volkscharakters handelt. Sondern die Einschränkung bezieht sich auf eine Tatsache, die wir der jüdischen Religionsgeschichte entnommen, oder, wenn man will, in sie eingetragen haben. Wir haben gesagt, das jüdische Volk warf die Mosesreligion nach einer gewissen Zeit wieder ab – ob vollständig, ob einige ihrer Vorschriften beibehalten wurden, können wir nicht erraten. Mit der Annahme, daß in den langen Zeiten der Besitzergreifung Kanaans und des Ringens mit den dort wohnenden Völkern die Jahvereligion sich nicht wesentlich von der Verehrung der anderen Baalim unterschied, stehen wir auf historischem Boden trotz aller Anstrengungen späterer Tendenzen, diesen beschämenden Sachverhalt zu verschleiern. Die Mosesreligion war aber nicht spurlos untergegangen, eine Art von Erinnerung an sie hatte sich erhalten, verdunkelt und entstellt, vielleicht bei einzelnen Mitgliedern der Priesterkaste durch alte Aufzeichnungen gestützt. Und diese Tradition einer großen Vergangenheit war es, die aus dem Hintergrunde gleichsam zu wirken fortfuhr, allmählich immer mehr Macht über die Geister gewann und es endlich erreichte, den Gott Jahve in den Gott Moses' zu verwandeln und die vor langen Jahrhunderten eingesetzte und dann verlassene Religion Moses' wieder zum Leben zu erwecken.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Wir haben in einem früheren Abschnitt dieser Abhandlung erörtert, welche Annahme unabweisbar scheint, wenn wir eine solche Leistung der Tradition begreiflich finden sollen.</w:t>
      </w:r>
    </w:p>
    <w:p w:rsidR="00032727" w:rsidRPr="00032727" w:rsidRDefault="00032727" w:rsidP="00032727">
      <w:pPr>
        <w:shd w:val="clear" w:color="auto" w:fill="FFFFFF"/>
        <w:spacing w:before="221" w:after="44" w:line="306" w:lineRule="atLeast"/>
        <w:outlineLvl w:val="3"/>
        <w:rPr>
          <w:rFonts w:ascii="Garamond" w:hAnsi="Garamond" w:cs="Arial"/>
          <w:b/>
          <w:bCs/>
          <w:color w:val="000000"/>
          <w:lang w:val="en-GB"/>
        </w:rPr>
      </w:pPr>
      <w:r w:rsidRPr="00032727">
        <w:rPr>
          <w:rFonts w:ascii="Garamond" w:hAnsi="Garamond" w:cs="Arial"/>
          <w:b/>
          <w:bCs/>
          <w:color w:val="000000"/>
          <w:lang w:val="en-GB"/>
        </w:rPr>
        <w:t>F. Die Wiederkehr des Verdrängten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Es gibt nun eine Menge ähnlicher Vorgänge unter denen, die uns die analytische Erforschung des Seelenlebens kennen gelehrt hat. </w:t>
      </w:r>
      <w:r w:rsidRPr="00032727">
        <w:rPr>
          <w:rFonts w:ascii="Garamond" w:hAnsi="Garamond" w:cs="Arial"/>
          <w:color w:val="000000"/>
          <w:lang w:val="en-US"/>
        </w:rPr>
        <w:t xml:space="preserve">Einen Teil derselben heißt man pathologisch, andere rechnet man in die Mannigfaltigkeit der Normalität ein. Aber darauf kommt es wenig an, denn die Grenzen zwischen beiden sind nicht scharf gezogen, die Mechanismen sind im weiten Ausmaß die nämlichen, und es ist weit wichtiger, ob die betreffenden Veränderungen sich am Ich selbst vollziehen oder ob sie sich ihm fremd entgegenstellen, wo sie dann Symptome genannt werden. </w:t>
      </w:r>
      <w:r w:rsidRPr="00892712">
        <w:rPr>
          <w:rFonts w:ascii="Garamond" w:hAnsi="Garamond" w:cs="Arial"/>
          <w:color w:val="000000"/>
          <w:lang w:val="en-GB"/>
        </w:rPr>
        <w:t xml:space="preserve">Aus der Fülle des Materials hebe ich zunächst Fälle hervor, die sich auf Charakterentwicklung beziehen. Das junge Mädchen hat sich in den </w:t>
      </w:r>
      <w:r w:rsidRPr="00892712">
        <w:rPr>
          <w:rFonts w:ascii="Garamond" w:hAnsi="Garamond" w:cs="Arial"/>
          <w:color w:val="000000"/>
          <w:lang w:val="en-GB"/>
        </w:rPr>
        <w:lastRenderedPageBreak/>
        <w:t>entschiedensten Gegensatz zu seiner Mutter gebracht, alle Eigenschaften gepflegt, die sie an der Mutter vermißt, und alles vermieden, was an die Mutter erinnert. Wir dürfen ergänzen, daß sie in früheren Jahren wie jedes weibliche Kind eine Identifizierung mit der Mutter vorgenommen hatte und sich nun energisch gegen diese auflehnt. Wenn aber dieses Mädchen heiratet, selbst Frau und Mutter wird, dürfen wir nicht erstaunt sein zu finden, daß sie anfängt, ihrer befeindeten Mutter immer mehr ähnlich zu werden, bis sich schließlich die überwundene Mutteridentifizierung unverkennbar wiederhergestellt hat. Das gleiche ereignet sich auch bei Knaben, und selbst der große Goethe, der in seiner Geniezeit den steifen und pedantischen Vater gewiß geringgeschätzt hat, entwickelte im Alter Züge, die dem Charakterbild des Vaters angehörten. Auffälliger kann der Erfolg noch werden, wo der Gegensatz zwischen beiden Personen schärfer ist. Ein junger Mann, dem es zum Schicksal wurde, neben einem nichtswürdigen Vater aufzuwachsen, entwickelte sich zunächst, ihm zum Trotz, zu einem tüchtigen, zuverlässigen und ehrenhaften Menschen. Auf der Höhe des Lebens schlug sein Charakter um, und er verhielt sich von nun an so, als ob er sich diesen selben Vater zum Vorbild genommen hätte. Um den Zusammenhang mit unserem Thema nicht zu verlieren, muß man im Sinne behalten, daß zu Anfang eines solchen Ablaufs immer eine frühkindliche Identifizierung mit dem Vater steht. Diese wird dann verstoßen, selbst überkompensiert, und hat sich am Ende wieder durchgesetzt.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Es ist längst Gemeingut geworden, daß die Erlebnisse der ersten fünf Jahre einen bestimmenden Einfluß auf das Leben nehmen, dem sich nichts Späteres widersetzen kann. Über die Art, wie sich diese frühen Eindrücke gegen alle Einwirkungen reiferer Lebenszeiten behaupten, wäre viel Wissenswertes zu sagen, das nicht hierher gehört. Weniger bekannt dürfte aber sein, daß die stärkste zwangsartige Beeinflussung von jenen Eindrücken herrührt, die das Kind zu einer Zeit treffen, da wir seinen psychischen Apparat für noch nicht vollkommen aufnahmefähig halten müssen. An der Tatsache selbst ist nicht zu zweifeln, sie ist so befremdend, daß wir uns ihr Verständnis durch den Vergleich mit einer photographischen Aufnahme erleichtern dürfen, die nach einem beliebigen Aufschub entwickelt und in ein Bild verwandelt werden mag. Immerhin weist man gern darauf hin, daß ein phantasievoller Dichter mit der Poeten gestatteten Kühnheit diese unsere unbequeme Entdeckung vorweggenommen hat. E. T. A. Hoffmann pflegte den Reichtum an Gestalten, die sich ihm für seine Dichtungen zur Verfügung stellten, auf den Wechsel der Bilder und Eindrücke während einer wochenlangen Reise im Postwagen zurückzuführen, die er noch als Säugling an der Mutterbrust erlebt hatte. Was die Kinder im Alter von zwei Jahren erlebt und nicht verstanden haben, brauchen sie außer in Träumen nie zu erinnern. Erst durch eine psychoanalytische Behandlung kann es ihnen bekannt werden, aber es bricht zu irgendeiner späteren Zeit mit Zwangsimpulsen in ihr Leben ein, dirigiert ihre Handlungen, drängt ihnen Sympathien und Antipathien auf, entscheidet oft genug über ihre Liebeswahl, die so häufig rationell nicht zu begründen ist. Es ist nicht zu verkennen, in welchen zwei Punkten diese Tatsachen unser Problem berühren. Erstens in der Entlegenheit der Zeit </w:t>
      </w:r>
      <w:hyperlink r:id="rId1362" w:anchor="#" w:history="1">
        <w:r w:rsidRPr="00892712">
          <w:rPr>
            <w:rStyle w:val="fusslink"/>
            <w:rFonts w:ascii="Garamond" w:hAnsi="Garamond" w:cs="Arial"/>
            <w:b/>
            <w:bCs/>
            <w:color w:val="003399"/>
            <w:lang w:val="en-GB"/>
          </w:rPr>
          <w:t>[Fußnote]</w:t>
        </w:r>
        <w:r w:rsidRPr="00892712">
          <w:rPr>
            <w:rStyle w:val="innerfusslink3"/>
            <w:rFonts w:ascii="Garamond" w:hAnsi="Garamond" w:cs="Arial"/>
            <w:b/>
            <w:bCs/>
            <w:lang w:val="en-GB"/>
          </w:rPr>
          <w:t>Auch hierin darf ein Dichter das Wort haben. Um seine Bindung zu erklären, erfindet er: »Du warst in abgelebten Zeiten meine Schwester oder meine Frau.« (Goethe, Bd. 4 der Weimarer Ausgabe, S. 97.)</w:t>
        </w:r>
      </w:hyperlink>
      <w:r w:rsidRPr="00892712">
        <w:rPr>
          <w:rFonts w:ascii="Garamond" w:hAnsi="Garamond" w:cs="Arial"/>
          <w:color w:val="000000"/>
          <w:lang w:val="en-GB"/>
        </w:rPr>
        <w:t>, die hier als das eigentlich maßgebende Moment erkannt wird, z. B. in dem besonderen Zustand der Erinnerung, die wir bei diesen Kindheitserlebnissen als »unbewußt« klassifizieren. Wir erwarten hierin eine Analogie mit dem Zustand zu finden, den wir der Tradition im Seelenleben des Volkes zuschreiben möchten. Freilich war es nicht leicht, die Vorstellung des Unbewußten in die Massenpsychologie einzutragen.</w:t>
      </w:r>
    </w:p>
    <w:p w:rsidR="00032727" w:rsidRPr="00892712" w:rsidRDefault="00032727" w:rsidP="00032727">
      <w:pPr>
        <w:shd w:val="clear" w:color="auto" w:fill="FFFFFF"/>
        <w:spacing w:before="120" w:after="120" w:line="124" w:lineRule="atLeast"/>
        <w:rPr>
          <w:rFonts w:ascii="Garamond" w:hAnsi="Garamond" w:cs="Arial"/>
          <w:color w:val="000000"/>
        </w:rPr>
      </w:pPr>
      <w:r w:rsidRPr="00892712">
        <w:rPr>
          <w:rFonts w:ascii="Garamond" w:hAnsi="Garamond" w:cs="Arial"/>
          <w:color w:val="000000"/>
          <w:lang w:val="en-GB"/>
        </w:rPr>
        <w:t xml:space="preserve">Regelmäßige Beiträge zu den von uns gesuchten Phänomenen bringen die Mechanismen, die zur Neurosenbildung führen. Auch hier fallen die maßgebenden Ereignisse in frühen Kinderzeiten vor, aber der Akzent ruht dabei nicht auf der Zeit, sondern auf dem Vorgang, der dem Ereignis entgegentritt, auf der Reaktion gegen dasselbe. In schematischer Darstellung kann man sagen: Als Folge des Erlebnisses erhebt sich ein Triebanspruch, der nach Befriedigung verlangt. Das Ich verweigert diese Befriedigung, entweder weil es durch die Größe des Anspruchs gelähmt wird oder weil es in ihm eine Gefahr erkennt. Die erstere dieser Begründungen ist die ursprünglichere, beide laufen auf die Vermeidung einer Gefahrsituation hinaus. Das Ich erwehrt sich der Gefahr durch den Prozeß der Verdrängung. Die Triebregung wird irgendwie gehemmt, der Anlaß mit den zugehörigen Wahrnehmungen und Vorstellungen vergessen. Damit ist aber der Prozeß nicht abgeschlossen, der Trieb hat entweder seine Stärke behalten, oder er sammelt sie wieder, oder er wird durch einen neuen Anlaß wieder geweckt. Er erneuert dann seinen Anspruch, und da ihm der Weg zur normalen Befriedigung durch das, was wir die Verdrängungsnarbe nennen können, verschlossen bleibt, bahnt er sich irgendwo an einer schwachen Stelle einen anderen Weg zu einer sogenannten Ersatzbefriedigung, die nun als Symptom zum Vorschein </w:t>
      </w:r>
      <w:r w:rsidRPr="00892712">
        <w:rPr>
          <w:rFonts w:ascii="Garamond" w:hAnsi="Garamond" w:cs="Arial"/>
          <w:color w:val="000000"/>
          <w:lang w:val="en-GB"/>
        </w:rPr>
        <w:lastRenderedPageBreak/>
        <w:t xml:space="preserve">kommt, ohne die Einwilligung, aber auch ohne das Verständnis des Ichs. Alle Phänomene der Symptombildung können mit gutem Recht als »Wiederkehr des Verdrängten« beschrieben werden. Ihr auszeichnender Charakter ist aber die weitgehende Entstellung, die das Wiederkehrende im Vergleich zum Ursprünglichen erfahren hat. </w:t>
      </w:r>
      <w:r w:rsidRPr="00892712">
        <w:rPr>
          <w:rFonts w:ascii="Garamond" w:hAnsi="Garamond" w:cs="Arial"/>
          <w:color w:val="000000"/>
        </w:rPr>
        <w:t>Vielleicht wird man meinen, daß wir uns mit der letzten Gruppe von Tatsachen zu weit von der Ähnlichkeit mit der Tradition entfernt haben. Aber es soll uns nicht gereuen, wenn wir damit in die Nähe der Probleme des Triebverzichts gekommen sind.</w:t>
      </w:r>
    </w:p>
    <w:p w:rsidR="00032727" w:rsidRPr="00892712" w:rsidRDefault="00032727" w:rsidP="00032727">
      <w:pPr>
        <w:shd w:val="clear" w:color="auto" w:fill="FFFFFF"/>
        <w:spacing w:before="221" w:after="44" w:line="306" w:lineRule="atLeast"/>
        <w:outlineLvl w:val="3"/>
        <w:rPr>
          <w:rFonts w:ascii="Garamond" w:hAnsi="Garamond" w:cs="Arial"/>
          <w:b/>
          <w:bCs/>
          <w:color w:val="000000"/>
        </w:rPr>
      </w:pPr>
      <w:r w:rsidRPr="00892712">
        <w:rPr>
          <w:rFonts w:ascii="Garamond" w:hAnsi="Garamond" w:cs="Arial"/>
          <w:b/>
          <w:bCs/>
          <w:color w:val="000000"/>
        </w:rPr>
        <w:t>G. Die historische Wahrheit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rPr>
        <w:t xml:space="preserve">Wir haben alle diese psychologischen Exkurse unternommen, um es uns glaubhafter zu machen, daß die Mosesreligion ihre Wirkung auf das jüdische Volk erst als Tradition durchgesetzt hat. Mehr als eine gewisse Wahrscheinlichkeit haben wir wahrscheinlich nicht zustande gebracht. Aber nehmen wir an, es sei uns der volle Nachweis gelungen; es bliebe doch der Eindruck, daß wir bloß dem qualitativen Faktor der Anforderung genügt haben, nicht auch dem quantitativen. </w:t>
      </w:r>
      <w:r w:rsidRPr="00892712">
        <w:rPr>
          <w:rFonts w:ascii="Garamond" w:hAnsi="Garamond" w:cs="Arial"/>
          <w:color w:val="000000"/>
          <w:lang w:val="en-GB"/>
        </w:rPr>
        <w:t>Allem, was mit der Entstehung einer Religion, gewiß auch der jüdischen, zu tun hat, hängt etwas Großartiges an, das durch unsere bisherigen Erklärungen nicht gedeckt wird. Es müßte noch ein anderes Moment beteiligt sein, für das es wenig Analoges und nichts Gleichartiges gibt, etwas Einziges und etwas von der gleichen Größenordnung wie das, was daraus geworden ist, wie die Religion selbst.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Versuchen wir, uns dem Gegenstand von der Gegenseite zu nähern. </w:t>
      </w:r>
      <w:r w:rsidRPr="00892712">
        <w:rPr>
          <w:rFonts w:ascii="Garamond" w:hAnsi="Garamond" w:cs="Arial"/>
          <w:color w:val="000000"/>
          <w:lang w:val="en-GB"/>
        </w:rPr>
        <w:t xml:space="preserve">Wir verstehen, daß der Primitive einen Gott braucht als Weltschöpfer, Stammesoberhaupt, persönlichen Fürsorger. Dieser Gott hat seine Stelle hinter den verstorbenen Vätern, von denen die Tradition noch etwas zu sagen weiß. Der Mensch späterer Zeiten, unserer Zeit, benimmt sich in der gleichen Weise. Auch er bleibt infantil und schutzbedürftig selbst als Erwachsener; er meint, er kann den Anhalt an seinem Gott nicht entbehren. Soviel ist unbestritten, aber minder leicht ist es zu verstehen, warum es nur einen einzigen Gott geben darf, warum grade der Fortschritt vom Henotheismus zum Monotheismus die überwältigende Bedeutung erwirbt. Gewiß nimmt, wie wir es ausgeführt haben, der Gläubige Anteil an der Größe seines Gottes, und je größer der Gott, desto zuverlässiger der Schutz, den er spenden kann. </w:t>
      </w:r>
      <w:r w:rsidRPr="00892712">
        <w:rPr>
          <w:rFonts w:ascii="Garamond" w:hAnsi="Garamond" w:cs="Arial"/>
          <w:color w:val="000000"/>
        </w:rPr>
        <w:t xml:space="preserve">Aber die Macht eines Gottes hat nicht seine Einzigkeit zur notwendigen Voraussetzung. Viele Völker sahen nur eine Verherrlichung ihres Obergottes darin, wenn er andere, ihm untergebene Gottheiten beherrschte, und nicht eine Verkleinerung seiner Größe, wenn andere außer ihm existierten. </w:t>
      </w:r>
      <w:r w:rsidRPr="00892712">
        <w:rPr>
          <w:rFonts w:ascii="Garamond" w:hAnsi="Garamond" w:cs="Arial"/>
          <w:color w:val="000000"/>
          <w:lang w:val="en-GB"/>
        </w:rPr>
        <w:t>Auch bedeutete es ja ein Opfer an Intimität, wenn dieser Gott universell wurde und sich um alle Länder und Völker bekümmerte. Man teilte gleichsam seinen Gott mit den Fremden und mußte sich dafür durch den Vorbehalt, daß man von ihm bevorzugt sei, entschädigen. Man kann auch noch geltend machen, daß die Vorstellung des einzigen Gottes selbst einen Fortschritt in der Geistigkeit bedeute, aber man kann den Punkt so hoch unmöglich schätzen.</w:t>
      </w:r>
    </w:p>
    <w:p w:rsidR="00032727" w:rsidRPr="00032727" w:rsidRDefault="00032727" w:rsidP="00032727">
      <w:pPr>
        <w:shd w:val="clear" w:color="auto" w:fill="FFFFFF"/>
        <w:spacing w:before="120" w:after="120" w:line="124" w:lineRule="atLeast"/>
        <w:rPr>
          <w:rFonts w:ascii="Garamond" w:hAnsi="Garamond" w:cs="Arial"/>
          <w:color w:val="000000"/>
          <w:lang w:val="en-US"/>
        </w:rPr>
      </w:pPr>
      <w:r w:rsidRPr="00892712">
        <w:rPr>
          <w:rFonts w:ascii="Garamond" w:hAnsi="Garamond" w:cs="Arial"/>
          <w:color w:val="000000"/>
          <w:lang w:val="en-GB"/>
        </w:rPr>
        <w:t xml:space="preserve">Für diese offenkundige Lücke in der Motivierung wissen nun die Frommgläubigen eine zureichende Ausfüllung. Sie sagen, die Idee eines einzigen Gottes hat darum so überwältigend auf die Menschen gewirkt, weil sie ein Stück der ewigen </w:t>
      </w:r>
      <w:r w:rsidRPr="00892712">
        <w:rPr>
          <w:rFonts w:ascii="Garamond" w:hAnsi="Garamond" w:cs="Arial"/>
          <w:i/>
          <w:iCs/>
          <w:color w:val="000000"/>
          <w:lang w:val="en-GB"/>
        </w:rPr>
        <w:t>Wahrheit</w:t>
      </w:r>
      <w:r w:rsidRPr="00892712">
        <w:rPr>
          <w:rFonts w:ascii="Garamond" w:hAnsi="Garamond" w:cs="Arial"/>
          <w:color w:val="000000"/>
          <w:lang w:val="en-GB"/>
        </w:rPr>
        <w:t xml:space="preserve"> ist, die, lange verhüllt, endlich zum Vorschein kam und dann alle mit sich fortreißen mußte. </w:t>
      </w:r>
      <w:r w:rsidRPr="00032727">
        <w:rPr>
          <w:rFonts w:ascii="Garamond" w:hAnsi="Garamond" w:cs="Arial"/>
          <w:color w:val="000000"/>
          <w:lang w:val="en-US"/>
        </w:rPr>
        <w:t>Wir müssen zugeben, ein Moment dieser Art ist endlich der Größe des Gegenstands wie des Erfolgs angemessen.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Auch wir möchten diese Lösung annehmen. Aber wir stoßen auf ein Bedenken. Das fromme Argument ruht auf einer optimistisch-idealistischen Voraussetzung. Es hat sich sonst nicht feststellen lassen, daß der menschliche Intellekt eine besonders feine Witterung für die Wahrheit besitzt und daß das menschliche Seelenleben eine besondere Geneigtheit zeigt, die Wahrheit anzuerkennen. Wir haben eher im Gegenteil erfahren, daß unser Intellekt sehr leicht ohne alle Warnung irregeht und daß nichts leichter von uns geglaubt wird, als was, ohne Rücksicht auf die Wahrheit, unseren Wunschillusionen entgegenkommt. Darum müssen wir unserer Zustimmung eine Einschränkung anfügen. Wir glauben auch, daß die Lösung der Frommen die Wahrheit enthält, aber nicht die </w:t>
      </w:r>
      <w:r w:rsidRPr="00892712">
        <w:rPr>
          <w:rFonts w:ascii="Garamond" w:hAnsi="Garamond" w:cs="Arial"/>
          <w:i/>
          <w:iCs/>
          <w:color w:val="000000"/>
          <w:lang w:val="en-GB"/>
        </w:rPr>
        <w:t>materielle</w:t>
      </w:r>
      <w:r w:rsidRPr="00892712">
        <w:rPr>
          <w:rFonts w:ascii="Garamond" w:hAnsi="Garamond" w:cs="Arial"/>
          <w:color w:val="000000"/>
          <w:lang w:val="en-GB"/>
        </w:rPr>
        <w:t xml:space="preserve">, sondern die </w:t>
      </w:r>
      <w:r w:rsidRPr="00892712">
        <w:rPr>
          <w:rFonts w:ascii="Garamond" w:hAnsi="Garamond" w:cs="Arial"/>
          <w:i/>
          <w:iCs/>
          <w:color w:val="000000"/>
          <w:lang w:val="en-GB"/>
        </w:rPr>
        <w:t>historische</w:t>
      </w:r>
      <w:r w:rsidRPr="00892712">
        <w:rPr>
          <w:rFonts w:ascii="Garamond" w:hAnsi="Garamond" w:cs="Arial"/>
          <w:color w:val="000000"/>
          <w:lang w:val="en-GB"/>
        </w:rPr>
        <w:t xml:space="preserve"> Wahrheit. Und wir nehmen uns das Recht, eine gewisse Entstellung zu korrigieren, welche diese Wahrheit bei ihrer Wiederkehr erfahren hat. Das heißt, wir glauben nicht, daß es einen einzigen großen Gott heute gibt, sondern daß es in Urzeiten eine einzige Person gegeben hat, die damals übergroß erscheinen mußte und die dann zur Gottheit erhöht in der Erinnerung der Menschen wiedergekehrt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hatten angenommen, daß die Moses-Religion zunächst verworfen und halb vergessen wurde und dann als Tradition zum Durchbruch kam. Wir nehmen jetzt an, daß dieser Vorgang sich damals zum zweiten Mal wiederholte. Als Moses dem Volk die Idee des einzigen Gottes brachte, war sie nichts Neues, sondern sie bedeutete die Wiederbelebung eines Erlebnisses aus den Urzeiten der menschlichen Familie, </w:t>
      </w:r>
      <w:r w:rsidRPr="00892712">
        <w:rPr>
          <w:rFonts w:ascii="Garamond" w:hAnsi="Garamond" w:cs="Arial"/>
          <w:color w:val="000000"/>
          <w:lang w:val="en-GB"/>
        </w:rPr>
        <w:lastRenderedPageBreak/>
        <w:t>das dem bewußten Gedächtnis der Menschen längst entschwunden war. Aber es war so wichtig gewesen, hatte so tief einschneidende Veränderungen im Leben der Menschen erzeugt oder angebahnt, daß man nicht umhin kann zu glauben, es habe irgendwelche dauernden Spuren, einer Tradition vergleichbar, in der menschlichen Seele hinterlassen.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Wir haben aus den Psychoanalysen von Einzelpersonen erfahren, daß ihre frühesten Eindrücke, zu einer Zeit aufgenommen, da das Kind noch kaum sprachfähig war, irgend einmal Wirkungen von Zwangscharakter äußern, ohne selbst bewußt erinnert zu werden. Wir halten uns berechtigt, dasselbe von den frühesten Erlebnissen der ganzen Menschheit anzunehmen. Eine dieser Wirkungen wäre das Auftauchen der Idee eines einzigen großen Gottes, die man als zwar entstellte, aber durchaus berechtigte Erinnerung anerkennen muß. Eine solche Idee hat Zwangscharakter, sie muß Glauben finden. Soweit ihre Entstellung reicht, darf man sie als </w:t>
      </w:r>
      <w:r w:rsidRPr="00892712">
        <w:rPr>
          <w:rFonts w:ascii="Garamond" w:hAnsi="Garamond" w:cs="Arial"/>
          <w:i/>
          <w:iCs/>
          <w:color w:val="000000"/>
          <w:lang w:val="en-GB"/>
        </w:rPr>
        <w:t>Wahn</w:t>
      </w:r>
      <w:r w:rsidRPr="00892712">
        <w:rPr>
          <w:rFonts w:ascii="Garamond" w:hAnsi="Garamond" w:cs="Arial"/>
          <w:color w:val="000000"/>
          <w:lang w:val="en-GB"/>
        </w:rPr>
        <w:t xml:space="preserve"> bezeichnen, insofern sie die Wiederkehr des Vergangenen bringt, muß man sie </w:t>
      </w:r>
      <w:r w:rsidRPr="00892712">
        <w:rPr>
          <w:rFonts w:ascii="Garamond" w:hAnsi="Garamond" w:cs="Arial"/>
          <w:i/>
          <w:iCs/>
          <w:color w:val="000000"/>
          <w:lang w:val="en-GB"/>
        </w:rPr>
        <w:t>Wahrheit</w:t>
      </w:r>
      <w:r w:rsidRPr="00892712">
        <w:rPr>
          <w:rFonts w:ascii="Garamond" w:hAnsi="Garamond" w:cs="Arial"/>
          <w:color w:val="000000"/>
          <w:lang w:val="en-GB"/>
        </w:rPr>
        <w:t xml:space="preserve"> heißen. Auch der psychiatrische Wahn enthält ein Stückchen Wahrheit, und die Überzeugung des Kranken greift von dieser Wahrheit aus auf die wahnhafte Umhüllung über.</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Was nun folgt, ist bis zum Ende eine wenig abgeänderte Wiederholung der Ausführungen im ersten Teil.</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Im Jahre 1912 habe ich in </w:t>
      </w:r>
      <w:r w:rsidRPr="00892712">
        <w:rPr>
          <w:rFonts w:ascii="Garamond" w:hAnsi="Garamond" w:cs="Arial"/>
          <w:i/>
          <w:iCs/>
          <w:color w:val="000000"/>
          <w:lang w:val="en-GB"/>
        </w:rPr>
        <w:t>Totem und Tabu</w:t>
      </w:r>
      <w:r w:rsidRPr="00892712">
        <w:rPr>
          <w:rFonts w:ascii="Garamond" w:hAnsi="Garamond" w:cs="Arial"/>
          <w:color w:val="000000"/>
          <w:lang w:val="en-GB"/>
        </w:rPr>
        <w:t xml:space="preserve"> versucht, die alte Situation, von der solche Wirkungen ausgingen, zu rekonstruieren. Ich habe </w:t>
      </w:r>
      <w:smartTag w:uri="urn:schemas-microsoft-com:office:smarttags" w:element="State">
        <w:r w:rsidRPr="00892712">
          <w:rPr>
            <w:rFonts w:ascii="Garamond" w:hAnsi="Garamond" w:cs="Arial"/>
            <w:color w:val="000000"/>
            <w:lang w:val="en-GB"/>
          </w:rPr>
          <w:t>mich</w:t>
        </w:r>
      </w:smartTag>
      <w:r w:rsidRPr="00892712">
        <w:rPr>
          <w:rFonts w:ascii="Garamond" w:hAnsi="Garamond" w:cs="Arial"/>
          <w:color w:val="000000"/>
          <w:lang w:val="en-GB"/>
        </w:rPr>
        <w:t xml:space="preserve"> dabei gewisser theoretischer Gedanken von </w:t>
      </w:r>
      <w:smartTag w:uri="urn:schemas-microsoft-com:office:smarttags" w:element="country-region">
        <w:smartTag w:uri="urn:schemas-microsoft-com:office:smarttags" w:element="place">
          <w:r w:rsidRPr="00892712">
            <w:rPr>
              <w:rFonts w:ascii="Garamond" w:hAnsi="Garamond" w:cs="Arial"/>
              <w:color w:val="000000"/>
              <w:lang w:val="en-GB"/>
            </w:rPr>
            <w:t>Ch.</w:t>
          </w:r>
        </w:smartTag>
      </w:smartTag>
      <w:r w:rsidRPr="00892712">
        <w:rPr>
          <w:rFonts w:ascii="Garamond" w:hAnsi="Garamond" w:cs="Arial"/>
          <w:color w:val="000000"/>
          <w:lang w:val="en-GB"/>
        </w:rPr>
        <w:t xml:space="preserve"> Darwin, Atkinson, besonders aber von W. Robertson Smith bedient und sie mit Funden und Andeutungen aus der Psychoanalyse kombiniert. Von Darwin entlehnte ich die Hypothese, daß die Menschen ursprünglich in kleinen Horden lebten, eine jede unter der Gewaltherrschaft eines älteren Männchens, das sich alle Weibchen aneignete und die jungen Männer, auch seine Söhne, züchtigte oder beseitigte. Von Atkinson in Fortsetzung dieser Schilderung, daß dies patriarchalische System sein Ende fand in einer Empörung der Söhne, die sich gegen den Vater vereinigten, ihn überwältigten und gemeinsam verzehrten. Im Anschluß an die Totemtheorie von Robertson Smith nahm ich an, daß nachher die Vaterhorde dem totemistischen Brüderclan Platz machte. Um miteinander in Frieden leben zu können, verzichteten die siegreichen Brüder auf die Frauen, derentwegen sie doch den Vater erschlagen hatten, und legten sich Exogamie auf. Die väterliche Macht war gebrochen, die Familien nach Mutterrecht eingerichtet. Die ambivalente Gefühlseinstellung der Söhne gegen den Vater blieb über die ganze weitere Entwicklung in Kraft. An Stelle des Vaters wurde ein bestimmtes Tier als Totem eingesetzt; es galt als Ahnherr und Schutzgeist, durfte nicht geschädigt oder getötet werden, aber einmal im Jahr fand sich die ganze Männergemeinschaft zu einem Festmahl zusammen, bei dem das sonst verehrte Totemtier in Stücke gerissen und gemeinsam verzehrt wurde. Niemand durfte sich von diesem Mahle ausschließen, es war die feierliche Wiederholung der Vatertötung, mit der die soziale Ordnung, Sittengesetze und Religion ihren Anfang genommen hatten. Die Übereinstimmung der Robertson Smithschen Totemmahlzeit mit dem christlichen Abendmahl ist manchen Autoren vor mir aufgefallen.</w:t>
      </w:r>
    </w:p>
    <w:p w:rsidR="00032727" w:rsidRPr="00032727"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Ich halte an diesem Aufbau noch heute fest. Ich habe wiederholt heftige Vorwürfe zu hören bekommen, daß ich in späteren Auflagen des Buches meine Meinungen nicht abgeändert habe, nachdem doch neuere Ethnologen die Aufstellungen von Robertson Smith einmütig verworfen und zum Teil andere, ganz abweichende Theorien vorgebracht haben. Ich habe zu entgegnen, daß mir diese angeblichen Fortschritte wohl bekannt sind. Aber ich bin weder von der Richtigkeit dieser Neuerungen noch von den Irrtümern Robertson Smiths überzeugt worden. Ein Widerspruch ist noch keine Widerlegung, eine Neuerung nicht notwendig ein Fortschritt. Vor allem aber, ich bin nicht Ethnologe, sondern Psychoanalytiker. Ich hatte das Recht, aus der ethnologischen Literatur herauszugreifen, was ich für die analytische Arbeit brauchen konnte. Die Arbeiten des genialen Robertson Smith haben mir wertvolle Berührungen mit dem psychologischen Material der Analyse, Anknüpfungen für dessen Verwertung gegeben. </w:t>
      </w:r>
      <w:r w:rsidRPr="00032727">
        <w:rPr>
          <w:rFonts w:ascii="Garamond" w:hAnsi="Garamond" w:cs="Arial"/>
          <w:color w:val="000000"/>
          <w:lang w:val="en-GB"/>
        </w:rPr>
        <w:t>Mit seinen Gegnern traf ich nie zusammen.</w:t>
      </w:r>
    </w:p>
    <w:p w:rsidR="00032727" w:rsidRPr="00032727" w:rsidRDefault="00032727" w:rsidP="00032727">
      <w:pPr>
        <w:shd w:val="clear" w:color="auto" w:fill="FFFFFF"/>
        <w:spacing w:before="221" w:after="44" w:line="306" w:lineRule="atLeast"/>
        <w:outlineLvl w:val="3"/>
        <w:rPr>
          <w:rFonts w:ascii="Garamond" w:hAnsi="Garamond" w:cs="Arial"/>
          <w:b/>
          <w:bCs/>
          <w:color w:val="000000"/>
          <w:lang w:val="en-GB"/>
        </w:rPr>
      </w:pPr>
      <w:r w:rsidRPr="00032727">
        <w:rPr>
          <w:rFonts w:ascii="Garamond" w:hAnsi="Garamond" w:cs="Arial"/>
          <w:b/>
          <w:bCs/>
          <w:color w:val="000000"/>
          <w:lang w:val="en-GB"/>
        </w:rPr>
        <w:t>H. Die geschichtliche Entwicklung</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032727">
        <w:rPr>
          <w:rFonts w:ascii="Garamond" w:hAnsi="Garamond" w:cs="Arial"/>
          <w:color w:val="000000"/>
          <w:lang w:val="en-GB"/>
        </w:rPr>
        <w:t xml:space="preserve">Ich kann den Inhalt von </w:t>
      </w:r>
      <w:r w:rsidRPr="00032727">
        <w:rPr>
          <w:rFonts w:ascii="Garamond" w:hAnsi="Garamond" w:cs="Arial"/>
          <w:i/>
          <w:iCs/>
          <w:color w:val="000000"/>
          <w:lang w:val="en-GB"/>
        </w:rPr>
        <w:t>Totem und Tabu</w:t>
      </w:r>
      <w:r w:rsidRPr="00032727">
        <w:rPr>
          <w:rFonts w:ascii="Garamond" w:hAnsi="Garamond" w:cs="Arial"/>
          <w:color w:val="000000"/>
          <w:lang w:val="en-GB"/>
        </w:rPr>
        <w:t xml:space="preserve"> hier nicht ausführlicher wiederholen, aber ich muß für die Ausfüllung der langen Strecke zwischen jener angenommenen Urzeit und dem Sieg des Monotheismus in historischen Zeiten sorgen. Nachdem das Ensemble von Brüderclan, Mutterrecht, Exogamie und Totemismus eingerichtet war, setzte eine Entwicklung ein, die als langsame »Wiederkehr des Verdrängten« </w:t>
      </w:r>
      <w:r w:rsidRPr="00032727">
        <w:rPr>
          <w:rFonts w:ascii="Garamond" w:hAnsi="Garamond" w:cs="Arial"/>
          <w:color w:val="000000"/>
          <w:lang w:val="en-GB"/>
        </w:rPr>
        <w:lastRenderedPageBreak/>
        <w:t xml:space="preserve">zu beschreiben ist. Den Terminus »das Verdrängte« gebrauchen wir hier im uneigentlichen Sinn. Es handelt sich um etwas Vergangenes, Verschollenes, Überwundenes im Völkerleben, das wir dem Verdrängten im Seelenleben des Einzelnen gleichzustellen wagen. </w:t>
      </w:r>
      <w:r w:rsidRPr="00892712">
        <w:rPr>
          <w:rFonts w:ascii="Garamond" w:hAnsi="Garamond" w:cs="Arial"/>
          <w:color w:val="000000"/>
          <w:lang w:val="en-GB"/>
        </w:rPr>
        <w:t>In welcher psychologischen Form dies Vergangene während der Zeit seiner Verdunkelung vorhanden war, wissen wir zunächst nicht zu sagen. Es wird uns nicht leicht, die Begriffe der Einzelpsychologie auf die Psychologie der Massen zu übertragen, und ich glaube nicht, daß wir etwas erreichen, wenn wir den Begriff eines »kollektiven« Unbewußten einführen. Der Inhalt des Unbewußten ist ja überhaupt kollektiv, allgemeiner Besitz der Menschen. Wir behelfen uns also vorläufig mit dem Gebrauch von Analogien. Die Vorgänge, die wir hier im Völkerleben studieren, sind den uns aus der Psychopathologie bekannten sehr ähnlich, aber doch nicht ganz die nämlichen. Wir entschließen uns endlich zur Annahme, daß die psychischen Niederschläge jener Urzeiten Erbgut geworden waren, in jeder neuen Generation nur der Erweckung, nicht der Erwerbung bedürftig. Wir denken hierbei an das Beispiel der sicherlich »mitgeborenen« Symbolik, die aus der Zeit der Sprachentwicklung stammt, allen Kindern vertraut ist, ohne daß sie eine Unterweisung erhalten hätten, und die bei allen Völkern trotz der Verschiedenheit der Sprachen gleich lautet. Was uns etwa noch an Sicherheit fehlt, gewinnen wir aus anderen Ergebnissen der psychoanalytischen Forschung. Wir erfahren, daß unsere Kinder in einer Anzahl von bedeutsamen Relationen nicht so reagieren, wie es ihrem eigenen Erleben entspricht, sondern instinktmäßig, den Tieren vergleichbar, wie es nur durch phylogenetischen Erwerb erklärlich ist.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Wiederkehr des Verdrängten vollzieht sich langsam, gewiß nicht spontan, sondern unter dem Einfluß all der Änderungen in den Lebensbedingungen, welche die Kulturgeschichte der Menschen erfüllen. Ich kann hier weder eine Übersicht dieser Abhängigkeiten noch eine mehr als lückenhafte Aufzählung der Etappen dieser Wiederkehr geben. Der Vater wird wiederum das Oberhaupt der Familie, längst nicht so unbeschränkt, wie es der Vater der Urhorde gewesen war. Das Totemtier weicht dem Gotte in noch sehr deutlichen Übergängen. Zunächst trägt der menschengestaltige Gott noch den Kopf des Tieres, später verwandelt er sich mit Vorliebe in dies bestimmte Tier, dann wird dies Tier ihm heilig und sein Lieblingsbegleiter, oder er hat das Tier getötet und trägt selbst den Beinamen danach. Zwischen dem Totemtier und dem Gotte taucht der Heros auf, häufig als Vorstufe der Vergottung. Die Idee einer höchsten Gottheit scheint sich frühzeitig einzustellen, zunächst nur schattenhaft, ohne Einmengung in die täglichen Interessen des Menschen. Mit dem Zusammenschluß der Stämme und Völker zu größeren Einheiten organisieren sich auch die Götter zu Familien, zu Hierarchien. Einer unter ihnen wird häufig zum Oberherrn über Götter und Menschen erhöht. Zögernd geschieht dann der weitere Schritt, nur einem Gott zu zollen, und endlich erfolgt die Entscheidung, einem einzigen Gott alle Macht einzuräumen und keine anderen Götter neben ihm zu dulden. Erst damit war die Herrlichkeit des Urhordenvaters wiederhergestellt, und die ihm geltenden Affekte konnten wiederholt werden.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erste Wirkung des Zusammentreffens mit dem so lange Vermißten und Ersehnten war überwältigend und so, wie die Tradition der Gesetzgebung vom Berge Sinai sie beschreibt. Bewunderung, Ehrfurcht und Dankbarkeit dafür, daß man Gnade gefunden in seinen Augen – die Mosesreligion kennt keine anderen als diese positiven Gefühle gegen den Vatergott. Die Überzeugung von seiner Unwiderstehlichkeit, die Unterwerfung unter seinen Willen können bei dem hilflosen, eingeschüchterten Sohn des Hordenvaters nicht unbedingter gewesen sein, ja, sie werden erst durch die Versetzung in das primitive und infantile Milieu voll begreiflich. Kindliche Gefühlsregungen sind in ganz anderem Ausmaß als die Erwachsener intensiv und unausschöpfbar tief, nur die religiöse Ekstase kann das wiederbringen. So ist ein Rausch der Gottesergebenheit die nächste Reaktion auf die Wiederkehr des großen Vaters.</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Die Richtung dieser Vaterreligion war damit für alle Zeiten festgelegt, doch war ihre Entwicklung damit nicht abgeschlossen. Zum Wesen des Vaterverhältnisses gehört die Ambivalenz; es konnte nicht ausbleiben, daß sich im Laufe der Zeiten auch jene Feindseligkeit regen wollte, die einst die Söhne angetrieben, den bewunderten und gefürchteten Vater zu töten. Im Rahmen der Mosesreligion war für den direkten Ausdruck des mörderischen Vaterhasses kein Raum; nur eine mächtige Reaktion auf ihn konnte zum Vorschein kommen, das Schuldbewußtsein wegen dieser Feindseligkeit, das schlechte Gewissen, man habe sich gegen Gott versündigt und höre nicht auf zu sündigen. Dieses Schuldbewußtsein, das von den Propheten ohne Unterlaß wachgehalten wurde, das bald einen integrierenden Inhalt des religiösen Systems bildete, hatte noch eine andere, oberflächliche Motivierung, die seine wirkliche Herkunft geschickt maskierte. Es ging dem Volke schlecht, die auf Gottes Gunst gesetzten Hoffnungen wollten sich nicht erfüllen, es war nicht leicht, an der über alles geliebten Illusion festzuhalten, daß man Gottes auserwähltes Volk sei. Wollte man auf dieses Glück nicht verzichten, so bot </w:t>
      </w:r>
      <w:r w:rsidRPr="00892712">
        <w:rPr>
          <w:rFonts w:ascii="Garamond" w:hAnsi="Garamond" w:cs="Arial"/>
          <w:color w:val="000000"/>
          <w:lang w:val="en-GB"/>
        </w:rPr>
        <w:lastRenderedPageBreak/>
        <w:t>das Schuldgefühl ob der eigenen Sündhaftigkeit eine willkommene Entschuldung Gottes. Man verdiente nichts Besseres, als von ihm bestraft zu werden, weil man seine Gebote nicht hielt, und im Bedürfnis, dieses Schuldgefühl, das unersättlich war und aus soviel tieferer Quelle kam, zu befriedigen, mußte man diese Gebote immer strenger, peinlicher und auch kleinlicher werden lassen. In einem neuen Rausch moralischer Askese legte man sich immer neue Triebverzichte auf und erreichte dabei wenigstens in Lehre und Vorschrift ethische Höhen, die den anderen alten Völkern unzugänglich geblieben waren. In dieser Höherentwicklung erblicken viele Juden den zweiten Hauptcharakter und die zweite große Leistung ihrer Religion. Aus unseren Erörterungen soll hervorgehen, wie sie mit der ersteren, der Idee des einzigen Gottes, zusammenhängt. Diese Ethik kann aber ihren Ursprung aus dem Schuldbewußtsein wegen der unterdrückten Gottesfeindschaft nicht verleugnen. Sie hat den unabgeschlossenen und unabschließbaren Charakter zwangsneurotischer Reaktionsbildungen; man errät auch, daß sie den geheimen Absichten der Bestrafung dient.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Die weitere Entwicklung geht über das Judentum hinaus. Das übrige, was von der Urvatertragödie wiederkehrte, war mit der Mosesreligion in keiner Art mehr vereinbar. Das Schuldbewußtsein jener Zeit war längst nicht mehr auf das jüdische Volk beschränkt, es hatte als ein dumpfes Unbehagen, als eine Unheilsahnung, deren Grund niemand anzugeben wußte, alle Mittelmeervölker ergriffen. Die Geschichtsschreibung unserer Tage spricht von einem Altern der antiken Kultur; ich vermute, sie hat nur Gelegenheitsursachen und Beihilfen zu jener Völkerverstimmung erfaßt. Die Klärung der bedrückten Situation ging vom Judentum aus. Ungeachtet aller Annäherungen und Vorbereitungen ringsum war es doch ein jüdischer Mann Saulus aus Tarsus, der sich als römischer Bürger Paulus nannte, in dessen Geist zuerst die Erkenntnis durchbrach: »Wir sind so unglücklich, weil wir Gottvater getötet haben.« Und es ist überaus verständlich, daß er dies Stück Wahrheit nicht anders erfassen konnte als in der wahnhaften Einkleidung der frohen Botschaft: »Wir sind von aller Schuld erlöst, seitdem einer von uns sein Leben geopfert hat, um uns zu entsühnen.« In dieser Formulierung war die Tötung Gottes natürlich nicht erwähnt, aber ein Verbrechen, das durch einen Opfertod gesühnt werden mußte, konnte nur ein Mord gewesen sein. Und die Vermittlung zwischen dem Wahn und der historischen Wahrheit stellte die Versicherung her, daß das Opfer Gottes Sohn gewesen sei. Mit der Kraft, die ihm aus der Quelle historischer Wahrheit zufloß, warf dieser neue Glaube alle Hindernisse nieder; an die Stelle der beseligenden Auserwähltheit trat nun die befreiende Erlösung. Aber die Tatsache der Vatertötung hatte bei ihrer Rückkehr in die Erinnerung der Menschheit größere Widerstände zu überwinden als die andere, die den Inhalt des Monotheismus ausgemacht hatte; sie mußte sich auch eine stärkere Entstellung gefallen lassen. Das unnennbare Verbrechen wurde ersetzt durch die Annahme einer eigentlich schattenhaften Erbsünde.</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 xml:space="preserve">Erbsünde und Erlösung durch den Opfertod wurden die Grundpfeiler der neuen, durch Paulus begründeten Religion. </w:t>
      </w:r>
      <w:smartTag w:uri="urn:schemas-microsoft-com:office:smarttags" w:element="place">
        <w:r w:rsidRPr="00892712">
          <w:rPr>
            <w:rFonts w:ascii="Garamond" w:hAnsi="Garamond" w:cs="Arial"/>
            <w:color w:val="000000"/>
            <w:lang w:val="en-GB"/>
          </w:rPr>
          <w:t>Ob</w:t>
        </w:r>
      </w:smartTag>
      <w:r w:rsidRPr="00892712">
        <w:rPr>
          <w:rFonts w:ascii="Garamond" w:hAnsi="Garamond" w:cs="Arial"/>
          <w:color w:val="000000"/>
          <w:lang w:val="en-GB"/>
        </w:rPr>
        <w:t xml:space="preserve"> es in der Brüderschar, die sich gegen den Urvater empörte, wirklich einen Anführer und Anstifter der Mordtat gegeben hat oder ob diese Gestalt von der Phantasie der Dichter zur Heroisierung der eigenen Person später geschaffen und in die Tradition eingefügt wurde, muß dahingestellt bleiben. Nachdem die christliche Lehre den Rahmen des Judentums gesprengt hatte, nahm sie Bestandteile aus vielen anderen Quellen auf, verzichtete auf manche Züge des reinen Monotheismus, schmiegte sich in vielen Einzelheiten dem Rituale der übrigen Mittelmeervölker an. Es war, als ob neuerdings Ägypten Rache nähme an den Erben des Ikhnaton. Beachtenswert ist, in welcher Weise die neue Religion sich mit der alten Ambivalenz im Vaterverhältnis auseinandersetzte. Ihr Hauptinhalt war zwar die Versöhnung mit Gottvater, die Sühne des an ihm begangenen Verbrechens, aber die andere Seite der Gefühlsbeziehung zeigte sich darin, daß der Sohn, der die Sühne auf sich genommen, selbst Gott wurde neben dem Vater und eigentlich an Stelle des Vaters. Aus einer Vaterreligion hervorgegangen, wurde das Christentum eine Sohnesreligion. Dem Verhängnis, den Vater beseitigen zu müssen, ist es nicht entgangen.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rPr>
        <w:t xml:space="preserve">Nur ein Teil des jüdischen Volkes nahm die neue Lehre an. </w:t>
      </w:r>
      <w:r w:rsidRPr="00892712">
        <w:rPr>
          <w:rFonts w:ascii="Garamond" w:hAnsi="Garamond" w:cs="Arial"/>
          <w:color w:val="000000"/>
          <w:lang w:val="en-GB"/>
        </w:rPr>
        <w:t xml:space="preserve">Jene, die sich dessen weigerten, heißen noch heute Juden. Sie sind durch diese Scheidung noch schärfer von den anderen abgesondert als vorher. Sie mußten von der neuen Religionsgemeinschaft, die außer Juden Ägypter, Griechen, Syrer, Römer und endlich auch Germanen aufgenommen hat, den Vorwurf hören, daß sie Gott gemordet haben. Unverkürzt würde dieser Vorwurf lauten: »Sie wollen es nicht wahrhaben, daß sie Gott gemordet haben, während wir es zugeben und von dieser Schuld gereinigt worden sind.« Man sieht dann leicht ein, wieviel Wahrheit hinter diesem Vorwurf steckt. Warum es den Juden unmöglich gewesen ist, den Fortschritt mitzumachen, den das Bekenntnis zum Gottesmord bei aller Entstellung enthielt, wäre Gegenstand einer </w:t>
      </w:r>
      <w:r w:rsidRPr="00892712">
        <w:rPr>
          <w:rFonts w:ascii="Garamond" w:hAnsi="Garamond" w:cs="Arial"/>
          <w:color w:val="000000"/>
          <w:lang w:val="en-GB"/>
        </w:rPr>
        <w:lastRenderedPageBreak/>
        <w:t>besonderen Untersuchung. Sie haben damit gewissermaßen eine tragische Schuld auf sich geladen; man hat sie dafür schwer büßen lassen.</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w:t>
      </w:r>
    </w:p>
    <w:p w:rsidR="00032727" w:rsidRPr="00892712" w:rsidRDefault="00032727" w:rsidP="00032727">
      <w:pPr>
        <w:shd w:val="clear" w:color="auto" w:fill="FFFFFF"/>
        <w:spacing w:before="120" w:after="120" w:line="124" w:lineRule="atLeast"/>
        <w:rPr>
          <w:rFonts w:ascii="Garamond" w:hAnsi="Garamond" w:cs="Arial"/>
          <w:color w:val="000000"/>
          <w:lang w:val="en-GB"/>
        </w:rPr>
      </w:pPr>
      <w:r w:rsidRPr="00892712">
        <w:rPr>
          <w:rFonts w:ascii="Garamond" w:hAnsi="Garamond" w:cs="Arial"/>
          <w:color w:val="000000"/>
          <w:lang w:val="en-GB"/>
        </w:rPr>
        <w:t>Unsere Untersuchung hat vielleicht einiges Licht auf die Frage geworfen, wie das jüdische Volk die Eigenschaften erworben hat, die es kennzeichnen. Weniger Aufklärung fand das Problem, wieso sie sich bis auf den heutigen Tag als Individualität erhalten konnten. Aber erschöpfende Beantwortungen solcher Rätsel wird man billigerweise weder verlangen noch erwarten dürfen. Ein Beitrag, nach den eingangs erwähnten Einschränkungen zu beurteilen, ist alles, was ich bieten kann.</w:t>
      </w:r>
    </w:p>
    <w:p w:rsidR="00032727" w:rsidRPr="00892712" w:rsidRDefault="00032727" w:rsidP="00032727">
      <w:pPr>
        <w:shd w:val="clear" w:color="auto" w:fill="FFFFFF"/>
        <w:spacing w:before="120" w:after="120" w:line="124" w:lineRule="atLeast"/>
        <w:rPr>
          <w:rFonts w:ascii="Garamond" w:hAnsi="Garamond" w:cs="Arial"/>
          <w:color w:val="000000"/>
          <w:lang w:val="en-GB"/>
        </w:rPr>
      </w:pPr>
    </w:p>
    <w:p w:rsidR="004E00C6" w:rsidRPr="004E00C6" w:rsidRDefault="00032727" w:rsidP="00032727">
      <w:pPr>
        <w:shd w:val="clear" w:color="auto" w:fill="FFFFFF"/>
        <w:spacing w:before="120" w:after="120" w:line="124" w:lineRule="atLeast"/>
        <w:rPr>
          <w:rFonts w:ascii="Garamond" w:hAnsi="Garamond" w:cs="Arial"/>
          <w:color w:val="000000"/>
          <w:lang w:val="en-US"/>
        </w:rPr>
      </w:pPr>
      <w:r w:rsidRPr="004E00C6">
        <w:rPr>
          <w:rFonts w:ascii="Garamond" w:hAnsi="Garamond" w:cs="Arial"/>
          <w:color w:val="000000"/>
          <w:lang w:val="en-US"/>
        </w:rPr>
        <w:t>-------------------------------------------------------------------------------------------------------------------------</w:t>
      </w:r>
    </w:p>
    <w:p w:rsidR="004E00C6" w:rsidRPr="004E00C6" w:rsidRDefault="004E00C6">
      <w:pPr>
        <w:rPr>
          <w:rFonts w:ascii="Garamond" w:hAnsi="Garamond" w:cs="Arial"/>
          <w:color w:val="000000"/>
          <w:lang w:val="en-US"/>
        </w:rPr>
      </w:pPr>
      <w:r w:rsidRPr="004E00C6">
        <w:rPr>
          <w:rFonts w:ascii="Garamond" w:hAnsi="Garamond" w:cs="Arial"/>
          <w:color w:val="000000"/>
          <w:lang w:val="en-US"/>
        </w:rPr>
        <w:br w:type="page"/>
      </w:r>
    </w:p>
    <w:p w:rsidR="004E00C6" w:rsidRPr="00506316" w:rsidRDefault="004E00C6" w:rsidP="004E00C6">
      <w:pPr>
        <w:pStyle w:val="Sansinterligne"/>
        <w:rPr>
          <w:rFonts w:ascii="Garamond" w:hAnsi="Garamond"/>
          <w:sz w:val="24"/>
          <w:szCs w:val="24"/>
          <w:lang w:val="en-US"/>
        </w:rPr>
      </w:pPr>
      <w:r w:rsidRPr="00506316">
        <w:rPr>
          <w:rFonts w:ascii="Garamond" w:hAnsi="Garamond"/>
          <w:sz w:val="24"/>
          <w:szCs w:val="24"/>
          <w:lang w:val="en-US"/>
        </w:rPr>
        <w:lastRenderedPageBreak/>
        <w:t>Das Un</w:t>
      </w:r>
      <w:bookmarkStart w:id="248" w:name="F68"/>
      <w:bookmarkEnd w:id="248"/>
      <w:r w:rsidRPr="00506316">
        <w:rPr>
          <w:rFonts w:ascii="Garamond" w:hAnsi="Garamond"/>
          <w:sz w:val="24"/>
          <w:szCs w:val="24"/>
          <w:lang w:val="en-US"/>
        </w:rPr>
        <w:t>behagen in der Kultur</w:t>
      </w:r>
      <w:r>
        <w:rPr>
          <w:rFonts w:ascii="Garamond" w:hAnsi="Garamond"/>
          <w:sz w:val="24"/>
          <w:szCs w:val="24"/>
          <w:lang w:val="en-US"/>
        </w:rPr>
        <w:t xml:space="preserve">                                                                                   </w:t>
      </w:r>
      <w:hyperlink w:anchor="Werke" w:history="1">
        <w:r w:rsidRPr="0018684C">
          <w:rPr>
            <w:rStyle w:val="Lienhypertexte"/>
            <w:rFonts w:ascii="Garamond" w:hAnsi="Garamond"/>
            <w:lang w:val="en-US"/>
          </w:rPr>
          <w:t>Werke</w:t>
        </w:r>
      </w:hyperlink>
    </w:p>
    <w:p w:rsidR="004E00C6" w:rsidRPr="00506316" w:rsidRDefault="004E00C6" w:rsidP="004E00C6">
      <w:pPr>
        <w:pStyle w:val="Sansinterligne"/>
        <w:rPr>
          <w:rFonts w:ascii="Garamond" w:hAnsi="Garamond"/>
          <w:lang w:val="en-US"/>
        </w:rPr>
      </w:pPr>
      <w:r w:rsidRPr="00506316">
        <w:rPr>
          <w:rFonts w:ascii="Garamond" w:hAnsi="Garamond"/>
          <w:lang w:val="en-US"/>
        </w:rPr>
        <w:t> </w:t>
      </w:r>
    </w:p>
    <w:p w:rsidR="004E00C6" w:rsidRPr="00506316" w:rsidRDefault="004E00C6" w:rsidP="004E00C6">
      <w:pPr>
        <w:pStyle w:val="Sansinterligne"/>
        <w:rPr>
          <w:rFonts w:ascii="Garamond" w:hAnsi="Garamond"/>
          <w:lang w:val="en-US"/>
        </w:rPr>
      </w:pPr>
      <w:r w:rsidRPr="00506316">
        <w:rPr>
          <w:rFonts w:ascii="Garamond" w:hAnsi="Garamond"/>
          <w:lang w:val="en-US"/>
        </w:rPr>
        <w:t>(1930)</w:t>
      </w:r>
    </w:p>
    <w:p w:rsidR="004E00C6" w:rsidRPr="00506316" w:rsidRDefault="004E00C6" w:rsidP="004E00C6">
      <w:pPr>
        <w:pStyle w:val="Sansinterligne"/>
        <w:rPr>
          <w:rFonts w:ascii="Garamond" w:hAnsi="Garamond"/>
          <w:lang w:val="en-US"/>
        </w:rPr>
      </w:pPr>
      <w:r w:rsidRPr="00506316">
        <w:rPr>
          <w:rFonts w:ascii="Garamond" w:hAnsi="Garamond"/>
          <w:lang w:val="en-US"/>
        </w:rPr>
        <w:t>  </w:t>
      </w:r>
    </w:p>
    <w:p w:rsidR="004E00C6" w:rsidRPr="00506316" w:rsidRDefault="004E00C6" w:rsidP="004E00C6">
      <w:pPr>
        <w:pStyle w:val="Sansinterligne"/>
        <w:rPr>
          <w:rFonts w:ascii="Garamond" w:hAnsi="Garamond"/>
          <w:sz w:val="15"/>
          <w:szCs w:val="15"/>
          <w:lang w:val="en-US"/>
        </w:rPr>
      </w:pPr>
      <w:r w:rsidRPr="00506316">
        <w:rPr>
          <w:rFonts w:ascii="Garamond" w:hAnsi="Garamond"/>
          <w:sz w:val="15"/>
          <w:szCs w:val="15"/>
          <w:lang w:val="en-US"/>
        </w:rPr>
        <w:t xml:space="preserve">[Erstveröffentlichung: Wien, </w:t>
      </w:r>
      <w:r w:rsidRPr="00506316">
        <w:rPr>
          <w:rFonts w:ascii="Garamond" w:hAnsi="Garamond"/>
          <w:i/>
          <w:iCs/>
          <w:sz w:val="15"/>
          <w:szCs w:val="15"/>
          <w:lang w:val="en-US"/>
        </w:rPr>
        <w:t>Internationaler Psychoanalytischer Verlag</w:t>
      </w:r>
      <w:r w:rsidRPr="00506316">
        <w:rPr>
          <w:rFonts w:ascii="Garamond" w:hAnsi="Garamond"/>
          <w:sz w:val="15"/>
          <w:szCs w:val="15"/>
          <w:lang w:val="en-US"/>
        </w:rPr>
        <w:t>, 1930</w:t>
      </w:r>
      <w:r w:rsidRPr="00506316">
        <w:rPr>
          <w:rFonts w:ascii="Garamond" w:hAnsi="Garamond"/>
          <w:i/>
          <w:iCs/>
          <w:sz w:val="15"/>
          <w:szCs w:val="15"/>
          <w:lang w:val="en-US"/>
        </w:rPr>
        <w:t>a</w:t>
      </w:r>
      <w:r w:rsidRPr="00506316">
        <w:rPr>
          <w:rFonts w:ascii="Garamond" w:hAnsi="Garamond"/>
          <w:sz w:val="15"/>
          <w:szCs w:val="15"/>
          <w:lang w:val="en-US"/>
        </w:rPr>
        <w:t>. — Gesammelte Werke, Bd. 14, S. 419-506.]</w:t>
      </w:r>
    </w:p>
    <w:p w:rsidR="004E00C6" w:rsidRPr="00506316" w:rsidRDefault="004E00C6" w:rsidP="004E00C6">
      <w:pPr>
        <w:pStyle w:val="Sansinterligne"/>
        <w:rPr>
          <w:rFonts w:ascii="Garamond" w:hAnsi="Garamond"/>
          <w:sz w:val="15"/>
          <w:szCs w:val="15"/>
          <w:lang w:val="en-US"/>
        </w:rPr>
      </w:pPr>
    </w:p>
    <w:p w:rsidR="004E00C6" w:rsidRPr="00506316" w:rsidRDefault="004E00C6" w:rsidP="004E00C6">
      <w:pPr>
        <w:pStyle w:val="Sansinterligne"/>
        <w:rPr>
          <w:rFonts w:ascii="Garamond" w:hAnsi="Garamond"/>
          <w:sz w:val="15"/>
          <w:szCs w:val="15"/>
          <w:lang w:val="en-US"/>
        </w:rPr>
      </w:pPr>
    </w:p>
    <w:p w:rsidR="004E00C6" w:rsidRDefault="004E00C6" w:rsidP="00090F57">
      <w:pPr>
        <w:pStyle w:val="Sansinterligne"/>
        <w:tabs>
          <w:tab w:val="left" w:pos="8080"/>
        </w:tabs>
        <w:rPr>
          <w:rFonts w:ascii="Garamond" w:hAnsi="Garamond"/>
          <w:lang w:val="en-US"/>
        </w:rPr>
      </w:pPr>
      <w:r w:rsidRPr="00506316">
        <w:rPr>
          <w:rFonts w:ascii="Garamond" w:hAnsi="Garamond"/>
          <w:lang w:val="en-US"/>
        </w:rPr>
        <w:t>In</w:t>
      </w:r>
      <w:bookmarkStart w:id="249" w:name="Kultur"/>
      <w:bookmarkStart w:id="250" w:name="KulturINHALT"/>
      <w:bookmarkEnd w:id="249"/>
      <w:bookmarkEnd w:id="250"/>
      <w:r w:rsidRPr="00506316">
        <w:rPr>
          <w:rFonts w:ascii="Garamond" w:hAnsi="Garamond"/>
          <w:lang w:val="en-US"/>
        </w:rPr>
        <w:t>halt</w:t>
      </w:r>
    </w:p>
    <w:p w:rsidR="004E00C6" w:rsidRDefault="004E00C6" w:rsidP="004E00C6">
      <w:pPr>
        <w:pStyle w:val="Sansinterligne"/>
        <w:rPr>
          <w:rFonts w:ascii="Garamond" w:hAnsi="Garamond"/>
          <w:lang w:val="en-US"/>
        </w:rPr>
      </w:pPr>
    </w:p>
    <w:p w:rsidR="004E00C6" w:rsidRDefault="00B437A1" w:rsidP="00CE4D4E">
      <w:pPr>
        <w:pStyle w:val="Sansinterligne"/>
        <w:numPr>
          <w:ilvl w:val="0"/>
          <w:numId w:val="7"/>
        </w:numPr>
        <w:rPr>
          <w:rFonts w:ascii="Garamond" w:hAnsi="Garamond"/>
          <w:lang w:val="en-US"/>
        </w:rPr>
      </w:pPr>
      <w:hyperlink w:anchor="Kultur1" w:history="1">
        <w:r w:rsidR="004E00C6" w:rsidRPr="00506316">
          <w:rPr>
            <w:rStyle w:val="Lienhypertexte"/>
            <w:rFonts w:ascii="Garamond" w:hAnsi="Garamond"/>
            <w:kern w:val="36"/>
            <w:lang w:val="en-US" w:eastAsia="fr-FR"/>
          </w:rPr>
          <w:t>I.  Gefühl der Hilflosigkeit als Ursache des Bedürfnisses nach Religion</w:t>
        </w:r>
      </w:hyperlink>
    </w:p>
    <w:p w:rsidR="004E00C6" w:rsidRDefault="004E00C6" w:rsidP="004E00C6">
      <w:pPr>
        <w:pStyle w:val="Sansinterligne"/>
        <w:rPr>
          <w:rFonts w:ascii="Garamond" w:hAnsi="Garamond"/>
          <w:lang w:val="en-US"/>
        </w:rPr>
      </w:pPr>
    </w:p>
    <w:p w:rsidR="004E00C6" w:rsidRPr="00506316" w:rsidRDefault="00B437A1" w:rsidP="00CE4D4E">
      <w:pPr>
        <w:pStyle w:val="Sansinterligne"/>
        <w:numPr>
          <w:ilvl w:val="0"/>
          <w:numId w:val="7"/>
        </w:numPr>
      </w:pPr>
      <w:hyperlink w:anchor="Kultur2" w:history="1">
        <w:r w:rsidR="004E00C6" w:rsidRPr="00506316">
          <w:rPr>
            <w:rStyle w:val="Lienhypertexte"/>
            <w:rFonts w:ascii="Garamond" w:hAnsi="Garamond"/>
            <w:kern w:val="36"/>
            <w:lang w:eastAsia="fr-FR"/>
          </w:rPr>
          <w:t>II.  Das Glück als Ziel des menschlichen Strebens</w:t>
        </w:r>
      </w:hyperlink>
    </w:p>
    <w:p w:rsidR="004E00C6" w:rsidRPr="00506316" w:rsidRDefault="004E00C6" w:rsidP="004E00C6">
      <w:pPr>
        <w:pStyle w:val="Sansinterligne"/>
        <w:rPr>
          <w:kern w:val="36"/>
          <w:lang w:eastAsia="fr-FR"/>
        </w:rPr>
      </w:pPr>
    </w:p>
    <w:p w:rsidR="004E00C6" w:rsidRPr="00506316" w:rsidRDefault="00B437A1" w:rsidP="00CE4D4E">
      <w:pPr>
        <w:pStyle w:val="Sansinterligne"/>
        <w:numPr>
          <w:ilvl w:val="0"/>
          <w:numId w:val="7"/>
        </w:numPr>
        <w:rPr>
          <w:rFonts w:ascii="Garamond" w:hAnsi="Garamond"/>
        </w:rPr>
      </w:pPr>
      <w:hyperlink w:anchor="Kultur3" w:history="1">
        <w:r w:rsidR="004E00C6" w:rsidRPr="00506316">
          <w:rPr>
            <w:rStyle w:val="Lienhypertexte"/>
            <w:rFonts w:ascii="Garamond" w:hAnsi="Garamond"/>
            <w:kern w:val="36"/>
            <w:lang w:val="en-US" w:eastAsia="fr-FR"/>
          </w:rPr>
          <w:t>III.  Gründe für das Unbehagen in der Kultur</w:t>
        </w:r>
      </w:hyperlink>
      <w:r w:rsidR="004E00C6" w:rsidRPr="00506316">
        <w:rPr>
          <w:rFonts w:ascii="Garamond" w:hAnsi="Garamond"/>
          <w:sz w:val="15"/>
          <w:szCs w:val="15"/>
        </w:rPr>
        <w:t xml:space="preserve"> </w:t>
      </w:r>
    </w:p>
    <w:p w:rsidR="004E00C6" w:rsidRDefault="004E00C6" w:rsidP="004E00C6">
      <w:pPr>
        <w:pStyle w:val="Paragraphedeliste"/>
        <w:rPr>
          <w:rFonts w:ascii="Garamond" w:hAnsi="Garamond"/>
          <w:sz w:val="15"/>
          <w:szCs w:val="15"/>
        </w:rPr>
      </w:pPr>
    </w:p>
    <w:p w:rsidR="004E00C6" w:rsidRPr="00506316" w:rsidRDefault="00B437A1" w:rsidP="00CE4D4E">
      <w:pPr>
        <w:pStyle w:val="Sansinterligne"/>
        <w:numPr>
          <w:ilvl w:val="0"/>
          <w:numId w:val="7"/>
        </w:numPr>
        <w:rPr>
          <w:rFonts w:ascii="Garamond" w:hAnsi="Garamond"/>
          <w:lang w:val="en-US"/>
        </w:rPr>
      </w:pPr>
      <w:hyperlink w:anchor="Kultur4" w:history="1">
        <w:r w:rsidR="004E00C6" w:rsidRPr="00506316">
          <w:rPr>
            <w:rStyle w:val="Lienhypertexte"/>
            <w:rFonts w:ascii="Garamond" w:hAnsi="Garamond"/>
            <w:kern w:val="36"/>
            <w:lang w:val="en-US" w:eastAsia="fr-FR"/>
          </w:rPr>
          <w:t>IV.  Zwei Säulen der Kultur: Eros und Ananke, Liebe und Not</w:t>
        </w:r>
      </w:hyperlink>
      <w:r w:rsidR="004E00C6" w:rsidRPr="00506316">
        <w:rPr>
          <w:rFonts w:ascii="Garamond" w:hAnsi="Garamond"/>
          <w:sz w:val="15"/>
          <w:szCs w:val="15"/>
          <w:lang w:val="en-US"/>
        </w:rPr>
        <w:t xml:space="preserve"> </w:t>
      </w:r>
    </w:p>
    <w:p w:rsidR="004E00C6" w:rsidRDefault="004E00C6" w:rsidP="004E00C6">
      <w:pPr>
        <w:pStyle w:val="Paragraphedeliste"/>
        <w:rPr>
          <w:rFonts w:ascii="Garamond" w:hAnsi="Garamond"/>
          <w:sz w:val="15"/>
          <w:szCs w:val="15"/>
          <w:lang w:val="en-US"/>
        </w:rPr>
      </w:pPr>
    </w:p>
    <w:p w:rsidR="004E00C6" w:rsidRPr="00506316" w:rsidRDefault="00B437A1" w:rsidP="00CE4D4E">
      <w:pPr>
        <w:pStyle w:val="Sansinterligne"/>
        <w:numPr>
          <w:ilvl w:val="0"/>
          <w:numId w:val="7"/>
        </w:numPr>
        <w:rPr>
          <w:rFonts w:ascii="Garamond" w:hAnsi="Garamond"/>
          <w:lang w:val="en-US"/>
        </w:rPr>
      </w:pPr>
      <w:hyperlink w:anchor="Kultur5" w:history="1">
        <w:r w:rsidR="004E00C6" w:rsidRPr="00506316">
          <w:rPr>
            <w:rStyle w:val="Lienhypertexte"/>
            <w:rFonts w:ascii="Garamond" w:hAnsi="Garamond"/>
            <w:kern w:val="36"/>
            <w:lang w:val="en-US" w:eastAsia="fr-FR"/>
          </w:rPr>
          <w:t>V.  Einschränkung der Sexualität und Agression zugunsten der Sicherheit</w:t>
        </w:r>
      </w:hyperlink>
      <w:r w:rsidR="004E00C6" w:rsidRPr="00506316">
        <w:rPr>
          <w:rFonts w:ascii="Garamond" w:hAnsi="Garamond"/>
          <w:sz w:val="15"/>
          <w:szCs w:val="15"/>
          <w:lang w:val="en-US"/>
        </w:rPr>
        <w:t xml:space="preserve"> </w:t>
      </w:r>
    </w:p>
    <w:p w:rsidR="004E00C6" w:rsidRDefault="004E00C6" w:rsidP="004E00C6">
      <w:pPr>
        <w:pStyle w:val="Paragraphedeliste"/>
        <w:rPr>
          <w:rFonts w:ascii="Garamond" w:hAnsi="Garamond"/>
          <w:sz w:val="15"/>
          <w:szCs w:val="15"/>
          <w:lang w:val="en-US"/>
        </w:rPr>
      </w:pPr>
    </w:p>
    <w:p w:rsidR="004E00C6" w:rsidRPr="00506316" w:rsidRDefault="00B437A1" w:rsidP="00CE4D4E">
      <w:pPr>
        <w:pStyle w:val="Sansinterligne"/>
        <w:numPr>
          <w:ilvl w:val="0"/>
          <w:numId w:val="7"/>
        </w:numPr>
        <w:rPr>
          <w:rFonts w:ascii="Garamond" w:hAnsi="Garamond"/>
          <w:lang w:val="en-US"/>
        </w:rPr>
      </w:pPr>
      <w:hyperlink w:anchor="Kultur6" w:history="1">
        <w:r w:rsidR="004E00C6" w:rsidRPr="00506316">
          <w:rPr>
            <w:rStyle w:val="Lienhypertexte"/>
            <w:rFonts w:ascii="Garamond" w:hAnsi="Garamond"/>
            <w:kern w:val="36"/>
            <w:lang w:eastAsia="fr-FR"/>
          </w:rPr>
          <w:t>VI.  Der Todes- und Destruktionstrieb</w:t>
        </w:r>
      </w:hyperlink>
      <w:r w:rsidR="004E00C6" w:rsidRPr="00506316">
        <w:rPr>
          <w:rFonts w:ascii="Garamond" w:hAnsi="Garamond"/>
          <w:sz w:val="15"/>
          <w:szCs w:val="15"/>
          <w:lang w:val="en-US"/>
        </w:rPr>
        <w:t xml:space="preserve"> </w:t>
      </w:r>
    </w:p>
    <w:p w:rsidR="004E00C6" w:rsidRDefault="004E00C6" w:rsidP="004E00C6">
      <w:pPr>
        <w:pStyle w:val="Paragraphedeliste"/>
        <w:rPr>
          <w:rFonts w:ascii="Garamond" w:hAnsi="Garamond"/>
          <w:sz w:val="15"/>
          <w:szCs w:val="15"/>
          <w:lang w:val="en-US"/>
        </w:rPr>
      </w:pPr>
    </w:p>
    <w:p w:rsidR="004E00C6" w:rsidRPr="00506316" w:rsidRDefault="00B437A1" w:rsidP="00CE4D4E">
      <w:pPr>
        <w:pStyle w:val="Sansinterligne"/>
        <w:numPr>
          <w:ilvl w:val="0"/>
          <w:numId w:val="7"/>
        </w:numPr>
        <w:rPr>
          <w:rFonts w:ascii="Garamond" w:hAnsi="Garamond"/>
          <w:lang w:val="en-US"/>
        </w:rPr>
      </w:pPr>
      <w:hyperlink w:anchor="Kultur7" w:history="1">
        <w:r w:rsidR="004E00C6" w:rsidRPr="00506316">
          <w:rPr>
            <w:rStyle w:val="Lienhypertexte"/>
            <w:rFonts w:ascii="Garamond" w:hAnsi="Garamond"/>
            <w:kern w:val="36"/>
            <w:lang w:val="en-US" w:eastAsia="fr-FR"/>
          </w:rPr>
          <w:t>VII.  Entwicklung des Über-Ichs und seiner Strenge</w:t>
        </w:r>
      </w:hyperlink>
      <w:r w:rsidR="004E00C6" w:rsidRPr="00506316">
        <w:rPr>
          <w:rFonts w:ascii="Garamond" w:hAnsi="Garamond"/>
          <w:sz w:val="15"/>
          <w:szCs w:val="15"/>
          <w:lang w:val="en-US"/>
        </w:rPr>
        <w:t xml:space="preserve"> </w:t>
      </w:r>
    </w:p>
    <w:p w:rsidR="004E00C6" w:rsidRDefault="004E00C6" w:rsidP="004E00C6">
      <w:pPr>
        <w:pStyle w:val="Paragraphedeliste"/>
        <w:rPr>
          <w:rFonts w:ascii="Garamond" w:hAnsi="Garamond"/>
          <w:sz w:val="15"/>
          <w:szCs w:val="15"/>
          <w:lang w:val="en-US"/>
        </w:rPr>
      </w:pPr>
    </w:p>
    <w:p w:rsidR="004E00C6" w:rsidRPr="00506316" w:rsidRDefault="00B437A1" w:rsidP="00CE4D4E">
      <w:pPr>
        <w:pStyle w:val="Sansinterligne"/>
        <w:numPr>
          <w:ilvl w:val="0"/>
          <w:numId w:val="7"/>
        </w:numPr>
        <w:rPr>
          <w:rFonts w:ascii="Garamond" w:hAnsi="Garamond"/>
          <w:lang w:val="en-US"/>
        </w:rPr>
      </w:pPr>
      <w:hyperlink w:anchor="Kultur8" w:history="1">
        <w:r w:rsidR="004E00C6" w:rsidRPr="00506316">
          <w:rPr>
            <w:rStyle w:val="Lienhypertexte"/>
            <w:rFonts w:ascii="Garamond" w:hAnsi="Garamond"/>
            <w:kern w:val="36"/>
            <w:lang w:val="en-US" w:eastAsia="fr-FR"/>
          </w:rPr>
          <w:t>VIII.  Schlussfolgerungen</w:t>
        </w:r>
      </w:hyperlink>
      <w:r w:rsidR="004E00C6" w:rsidRPr="00506316">
        <w:rPr>
          <w:rFonts w:ascii="Garamond" w:hAnsi="Garamond"/>
          <w:sz w:val="15"/>
          <w:szCs w:val="15"/>
          <w:lang w:val="en-US"/>
        </w:rPr>
        <w:t xml:space="preserve"> </w:t>
      </w:r>
      <w:r w:rsidR="004E00C6" w:rsidRPr="00506316">
        <w:rPr>
          <w:rFonts w:ascii="Garamond" w:hAnsi="Garamond"/>
          <w:sz w:val="15"/>
          <w:szCs w:val="15"/>
          <w:lang w:val="en-US"/>
        </w:rPr>
        <w:br w:type="page"/>
      </w:r>
    </w:p>
    <w:p w:rsidR="004E00C6" w:rsidRPr="00506316" w:rsidRDefault="004E00C6" w:rsidP="004E00C6">
      <w:pPr>
        <w:spacing w:before="100" w:beforeAutospacing="1" w:after="100" w:afterAutospacing="1" w:line="240" w:lineRule="auto"/>
        <w:outlineLvl w:val="0"/>
        <w:rPr>
          <w:rFonts w:ascii="Garamond" w:eastAsia="Times New Roman" w:hAnsi="Garamond" w:cs="Times New Roman"/>
          <w:b/>
          <w:bCs/>
          <w:kern w:val="36"/>
          <w:lang w:val="en-US" w:eastAsia="fr-FR"/>
        </w:rPr>
      </w:pPr>
    </w:p>
    <w:p w:rsidR="004E00C6" w:rsidRPr="00506316" w:rsidRDefault="00B437A1" w:rsidP="004E00C6">
      <w:pPr>
        <w:pStyle w:val="Sansinterligne"/>
        <w:rPr>
          <w:rFonts w:ascii="Garamond" w:hAnsi="Garamond"/>
          <w:kern w:val="36"/>
          <w:lang w:val="en-US" w:eastAsia="fr-FR"/>
        </w:rPr>
      </w:pPr>
      <w:hyperlink w:anchor="KulturINHALT" w:history="1">
        <w:r w:rsidR="004E00C6" w:rsidRPr="00506316">
          <w:rPr>
            <w:rStyle w:val="Lienhypertexte"/>
            <w:rFonts w:ascii="Garamond" w:hAnsi="Garamond"/>
            <w:kern w:val="36"/>
            <w:lang w:val="en-US" w:eastAsia="fr-FR"/>
          </w:rPr>
          <w:t>I.  Ge</w:t>
        </w:r>
        <w:bookmarkStart w:id="251" w:name="Kultur1"/>
        <w:bookmarkEnd w:id="251"/>
        <w:r w:rsidR="004E00C6" w:rsidRPr="00506316">
          <w:rPr>
            <w:rStyle w:val="Lienhypertexte"/>
            <w:rFonts w:ascii="Garamond" w:hAnsi="Garamond"/>
            <w:kern w:val="36"/>
            <w:lang w:val="en-US" w:eastAsia="fr-FR"/>
          </w:rPr>
          <w:t>fühl der Hilflosigkeit als Ursache des Bedürfnisses nach Religion</w:t>
        </w:r>
      </w:hyperlink>
    </w:p>
    <w:p w:rsidR="004E00C6" w:rsidRPr="00506316" w:rsidRDefault="004E00C6" w:rsidP="004E00C6">
      <w:pPr>
        <w:pStyle w:val="Sansinterligne"/>
        <w:rPr>
          <w:rFonts w:ascii="Garamond" w:hAnsi="Garamond"/>
          <w:lang w:val="en-US" w:eastAsia="fr-FR"/>
        </w:rPr>
      </w:pP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Man kann sich des Eindrucks nicht erwehren, daß die Menschen gemeinhin mit falschen Maßstäben messen, Macht, Erfolg und Reichtum für sich anstreben und bei anderen bewundern, die wahren Werte des Lebens aber unterschätzen. Und doch ist man bei jedem solchen allgemeinen Urteil in Gefahr, an die Buntheit der Menschenwelt und ihres seelischen Lebens zu vergessen. Es gibt einzelne Männer, denen sich die Verehrung ihrer Zeitgenossen nicht versagt, obwohl ihre Größe auf Eigenschaften und Leistungen ruht, die den Zielen und Idealen der Menge durchaus fremd sind. Man wird leicht annehmen wollen, daß es doch nur eine Minderzahl ist, welche diese großen Männer anerkennt, während die große Mehrheit nichts von ihnen wissen will. Aber es dürfte nicht so einfach zugehen, dank den Unstimmigkeiten zwischen dem Denken und dem Handeln der Menschen und der Vielstimmigkeit ihrer Wunschregungen.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Einer dieser ausgezeichneten Männer nennt sich in Briefen meinen Freund. Ich hatte ihm meine kleine Schrift zugeschickt, welche die Religion als Illusion behandelt, und er antwortete, er wäre mit meinem Urteil über die Religion ganz einverstanden, bedauerte aber, daß ich die eigentliche Quelle der Religiosität nicht gewürdigt hätte. Diese sei ein besonderes Gefühl, das ihn selbst nie zu verlassen pflege, das er von vielen anderen bestätigt gefunden und bei Millionen Menschen voraussetzen dürfe. Ein Gefühl, das er die Empfindung der »Ewigkeit« nennen möchte, ein Gefühl wie von etwas Unbegrenztem, Schrankenlosem, gleichsam »Ozeanischem«. Dies Gefühl sei eine rein subjektive Tatsache, kein Glaubenssatz; keine Zusicherung persönlicher Fortdauer knüpfe sich daran, aber es sei die Quelle der religiösen Energie, die von den verschiedenen Kirchen und Religionssystemen gefaßt, in bestimmte Kanäle geleitet und gewiß auch aufgezehrt werde. Nur auf Grund dieses ozeanischen Gefühls dürfe man sich religiös heißen, auch wenn man jeden Glauben und jede Illusion ablehne.</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Diese Äußerung meines verehrten Freundes, der selbst einmal den Zauber der Illusion poetisch gewürdigt hat, brachte mir nicht geringe Schwierigkei</w:t>
      </w:r>
      <w:r w:rsidRPr="00506316">
        <w:rPr>
          <w:rFonts w:ascii="Garamond" w:hAnsi="Garamond"/>
          <w:lang w:val="en-US" w:eastAsia="fr-FR"/>
        </w:rPr>
        <w:softHyphen/>
        <w:t>ten.</w:t>
      </w:r>
      <w:r w:rsidRPr="00506316">
        <w:rPr>
          <w:rFonts w:ascii="Garamond" w:hAnsi="Garamond"/>
          <w:vertAlign w:val="superscript"/>
          <w:lang w:val="en-US" w:eastAsia="fr-FR"/>
        </w:rPr>
        <w:t>1)</w:t>
      </w:r>
      <w:r w:rsidRPr="00506316">
        <w:rPr>
          <w:rFonts w:ascii="Garamond" w:hAnsi="Garamond"/>
          <w:lang w:val="en-US" w:eastAsia="fr-FR"/>
        </w:rPr>
        <w:t xml:space="preserve"> Ich selbst kann dies »ozeanische« Gefühl nicht in mir entdecken. Es ist nicht bequem, Gefühle wissenschaftlich zu bearbeiten. Man kann versuchen, ihre physiologischen Anzeichen zu beschreiben. Wo dies nicht angeht — ich fürchte, auch das ozeanische Gefühl wird sich einer solchen Charakteristik entziehen —, bleibt doch nichts übrig, als sich an den Vorstellungsinhalt zu halten, der sich assoziativ am ehesten zum Gefühl gesellt. Habe ich meinen Freund richtig verstanden, so meint er dasselbe, was ein origineller und ziemlich absonderlicher Dichter seinem Helden als Trost vor dem frei</w:t>
      </w:r>
      <w:r w:rsidRPr="00506316">
        <w:rPr>
          <w:rFonts w:ascii="Garamond" w:hAnsi="Garamond"/>
          <w:lang w:val="en-US" w:eastAsia="fr-FR"/>
        </w:rPr>
        <w:softHyphen/>
        <w:t>gewählten Tod mitgibt: »Aus dieser Welt können wir nicht fallen.«</w:t>
      </w:r>
      <w:r w:rsidRPr="00506316">
        <w:rPr>
          <w:rFonts w:ascii="Garamond" w:hAnsi="Garamond"/>
          <w:vertAlign w:val="superscript"/>
          <w:lang w:val="en-US" w:eastAsia="fr-FR"/>
        </w:rPr>
        <w:t>2)</w:t>
      </w:r>
      <w:r w:rsidRPr="00506316">
        <w:rPr>
          <w:rFonts w:ascii="Garamond" w:hAnsi="Garamond"/>
          <w:lang w:val="en-US" w:eastAsia="fr-FR"/>
        </w:rPr>
        <w:t xml:space="preserve"> Also ein Gefühl der unauflösbaren Verbundenheit, der Zusammengehörigkeit mit dem Ganzen der Außenwelt. Ich möchte sagen, für mich hat dies eher den Charakter einer intellektuellen Einsicht, gewiß nicht ohne begleitenden Gefühlston, wie er aber auch bei anderen Denkakten von ähnlicher Tragweite nicht fehlen wird. An meiner Person könnte ich mich von der primären Natur eines solchen Gefühls nicht überzeugen. Darum darf ich aber sein tatsächliches Vorkommen bei anderen nicht bestreiten. Es fragt sich nur, ob es richtig gedeutet wird und ob es als </w:t>
      </w:r>
      <w:r w:rsidRPr="00506316">
        <w:rPr>
          <w:rFonts w:ascii="Garamond" w:hAnsi="Garamond"/>
          <w:i/>
          <w:iCs/>
          <w:lang w:val="en-US" w:eastAsia="fr-FR"/>
        </w:rPr>
        <w:t>»fons et origo«</w:t>
      </w:r>
      <w:r w:rsidRPr="00506316">
        <w:rPr>
          <w:rFonts w:ascii="Garamond" w:hAnsi="Garamond"/>
          <w:lang w:val="en-US" w:eastAsia="fr-FR"/>
        </w:rPr>
        <w:t xml:space="preserve"> aller religiösen Bedürfnisse anerkannt werden soll.</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Ich habe nichts vorzubringen, was die Lösung dieses Problems entschei</w:t>
      </w:r>
      <w:r w:rsidRPr="00506316">
        <w:rPr>
          <w:rFonts w:ascii="Garamond" w:hAnsi="Garamond"/>
          <w:lang w:val="en-US" w:eastAsia="fr-FR"/>
        </w:rPr>
        <w:softHyphen/>
        <w:t xml:space="preserve">dend beeinflussen würde. Die Idee, daß der Mensch durch ein unmittelbares, von Anfang an hierauf gerichtetes Gefühl Kunde von seinem Zusammenhang mit der Umwelt erhalten sollte, klingt so fremdartig, fügt sich so übel in das Gewebe unserer Psychologie, daß eine psychoanalytische, d. i. genetische Ableitung eines solchen Gefühls versucht werden darf. Dann stellt sich uns folgender Gedankengang zur Verfügung: Normalerweise ist uns nichts gesicherter als das Gefühl unseres Selbst, unseres eigenen Ichs. Dies Ich erscheint uns selbständig, einheitlich, gegen alles andere gut abgesetzt. Daß dieser Anschein ein Trug ist, daß das Ich sich vielmehr nach innen ohne scharfe Grenze in ein unbewußt seelisches Wesen fortsetzt, das wir als Es bezeichnen, dem es gleichsam als Fassade dient, das hat uns erst die psychoanalytische Forschung gelehrt, die uns noch viele Auskünfte über das Verhältnis des Ichs zum Es schuldet. Aber nach außen wenigstens scheint das Ich klare und scharfe Grenzlinien zu behaupten. Nur in einem Zustand, einem außergewöhnlichen zwar, den man aber nicht als krankhaft verurteilen kann, wird es anders. Auf der Höhe der Verliebtheit droht die Grenze zwischen Ich und Objekt zu verschwimmen. Allen Zeugnissen der Sinne entgegen behauptet der Verliebte, daß Ich und Du eines seien, und ist bereit, sich, als ob es so wäre, zu benehmen. Was vorübergehend durch eine physiologische Funktion aufgehoben werden kann, muß natürlich auch durch krankhafte Vorgänge gestört werden können. Die Pathologie lehrt uns eine große Anzahl von Zuständen kennen, in denen die Abgrenzung des Ichs gegen die Außenwelt unsicher wird </w:t>
      </w:r>
      <w:r w:rsidRPr="00506316">
        <w:rPr>
          <w:rFonts w:ascii="Garamond" w:hAnsi="Garamond"/>
          <w:lang w:val="en-US" w:eastAsia="fr-FR"/>
        </w:rPr>
        <w:lastRenderedPageBreak/>
        <w:t>oder die Grenzen wirklich unrichtig gezogen werden; Fälle, in denen uns Teile des eigenen Körpers, ja Stücke des eigenen Seelenlebens, Wahrnehmungen, Gedanken, Gefühle wie fremd und dem Ich nicht zugehörig erscheinen, andere, in denen man der Außenwelt zuschiebt, was offenbar im Ich entstanden ist und von ihm anerkannt werden sollte. Also ist auch das Ichgefühl Störungen unterworfen, und die Ichgrenzen sind nicht beständig.</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Eine weitere Überlegung sagt: Dies Ichgefühl des Erwachsenen kann nicht von Anfang an so gewesen sein. Es muß eine Entwicklung durchge</w:t>
      </w:r>
      <w:r w:rsidRPr="00506316">
        <w:rPr>
          <w:rFonts w:ascii="Garamond" w:hAnsi="Garamond"/>
          <w:lang w:val="en-US" w:eastAsia="fr-FR"/>
        </w:rPr>
        <w:softHyphen/>
        <w:t>macht haben, die sich begreiflicherweise nicht nachweisen, aber mit ziemlicher Wahrscheinlichkeit konstruieren läßt.</w:t>
      </w:r>
      <w:r w:rsidRPr="00506316">
        <w:rPr>
          <w:rFonts w:ascii="Garamond" w:hAnsi="Garamond"/>
          <w:vertAlign w:val="superscript"/>
          <w:lang w:val="en-US" w:eastAsia="fr-FR"/>
        </w:rPr>
        <w:t>3)</w:t>
      </w:r>
      <w:r w:rsidRPr="00506316">
        <w:rPr>
          <w:rFonts w:ascii="Garamond" w:hAnsi="Garamond"/>
          <w:lang w:val="en-US" w:eastAsia="fr-FR"/>
        </w:rPr>
        <w:t xml:space="preserve"> Der Säugling sondert noch nicht sein Ich von einer Außenwelt als Quelle der auf ihn einströmenden Empfindungen. Er lernt es allmählich auf verschiedene Anregungen hin. Es muß ihm den stärksten Eindruck machen, daß manche der Erregungsquellen, in denen er später seine Körperorgane erkennen wird, ihm jederzeit Empfindungen zusenden können, während andere sich ihm zeitweise entziehen — darunter das Begehrteste: die Mutterbrust — und erst durch ein Hilfe heischendes Schreien herbeigeholt werden. Damit stellt sich dem Ich zuerst ein »Objekt« entgegen, als etwas, was sich »außerhalb« befindet und erst durch eine besondere Aktion in die Erscheinung gedrängt wird. Einen weiteren Antrieb zur Loslösung des Ichs von der Empfindungsmasse, also zur Anerkennung eines »Draußen«, einer Außenwelt, geben die häufigen, vielfältigen, unvermeidlichen Schmerz- und Unlustempfindungen, die das unumschränkt herrschende Lustprinzip aufheben und vermeiden heißt. Es entsteht die Tendenz, alles, was Quelle solcher Unlust werden kann, vom Ich abzusondern, es nach außen zu werfen, ein reines Lust-Ich zu bilden, dem ein fremdes, drohendes Draußen gegenübersteht. Die Grenzen dieses primitiven Lust-Ichs können der Berichtigung durch die Erfahrung nicht entgehen. Manches, was man als lustspendend nicht aufgeben möchte, ist doch nicht Ich, ist Objekt, und manche Qual, die man hinausweisen will, erweist sich doch als unabtrennbar vom Ich, als innerer Herkunft. Man lernt ein Verfahren kennen, wie man durch absichtliche Lenkung der Sinnes</w:t>
      </w:r>
      <w:r w:rsidRPr="00506316">
        <w:rPr>
          <w:rFonts w:ascii="Garamond" w:hAnsi="Garamond"/>
          <w:lang w:val="en-US" w:eastAsia="fr-FR"/>
        </w:rPr>
        <w:softHyphen/>
        <w:t>tätigkeit und geeignete Muskelaktion Innerliches — dem Ich Angehöriges — und Äußerliches — einer Außenwelt Entstammendes — unterscheiden kann, und tut damit den ersten Schritt zur Einsetzung des Realitätsprinzips, das die weitere Entwicklung beherrschen soll. Diese Unterscheidung dient natürlich der praktischen Absicht, sich der verspürten und der drohenden Unlust</w:t>
      </w:r>
      <w:r w:rsidRPr="00506316">
        <w:rPr>
          <w:rFonts w:ascii="Garamond" w:hAnsi="Garamond"/>
          <w:lang w:val="en-US" w:eastAsia="fr-FR"/>
        </w:rPr>
        <w:softHyphen/>
        <w:t>empfindungen zu erwehren. Daß das Ich zur Abwehr gewisser Unluster</w:t>
      </w:r>
      <w:r w:rsidRPr="00506316">
        <w:rPr>
          <w:rFonts w:ascii="Garamond" w:hAnsi="Garamond"/>
          <w:lang w:val="en-US" w:eastAsia="fr-FR"/>
        </w:rPr>
        <w:softHyphen/>
        <w:t>regungen aus seinem Inneren keine anderen Methoden zur Anwendung bringt, als deren es sich gegen Unlust von außen bedient, wird dann der Ausgangspunkt bedeutsamer krankhafter Störungen.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Auf solche Art löst sich also das Ich von der Außenwelt. Richtiger gesagt: Ursprünglich enthält das Ich alles, später scheidet es eine Außenwelt von sich ab. Unser heutiges Ichgefühl ist also nur ein eingeschrumpfter Rest eines weit umfassenderen, ja — eines allumfassenden Gefühls, welches einer innigeren Verbundenheit des Ichs mit der Umwelt entsprach. Wenn wir annehmen dürfen, daß dieses primäre Ichgefühl sich im Seelenleben vieler Menschen — in größerem oder geringerem Ausmaße — erhalten hat, so würde es sich dem enger und schärfer umgrenzten Ichgefühl der Reifezeit wie eine Art Gegenstück an die Seite stellen, und die zu ihm passenden Vorstellungsinhalte wären gerade die der Unbegrenztheit und der Verbun</w:t>
      </w:r>
      <w:r w:rsidRPr="00506316">
        <w:rPr>
          <w:rFonts w:ascii="Garamond" w:hAnsi="Garamond"/>
          <w:lang w:val="en-US" w:eastAsia="fr-FR"/>
        </w:rPr>
        <w:softHyphen/>
        <w:t>denheit mit dem All, dieselben, mit denen mein Freund das »ozeanische« Gefühl erläutert. Haben wir aber ein Recht zur Annahme des Überlebens des Ursprünglichen neben dem Späteren, das aus ihm geworden ist?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Unzweifelhaft; ein solches Vorkommnis ist weder auf seelischem noch auf anderen Gebieten befremdend. Für die Tierreihe halten wir an der Annahme fest, daß die höchstentwickelten Arten aus den niedrigsten hervorgegangen sind. Doch finden wir alle einfachen Lebensformen noch heute unter den Lebenden. Das Geschlecht der großen Saurier ist ausgestorben und hat den Säugetieren Platz gemacht, aber ein richtiger Vertreter dieses Geschlechts, das Krokodil, lebt noch mit uns. Die Analogie mag zu entlegen sein, krankt auch an dem Umstand, daß die überlebenden niedrigen Arten zumeist nicht die richtigen Ahnen der heutigen, höher entwickelten sind. Die Zwischen</w:t>
      </w:r>
      <w:r w:rsidRPr="00506316">
        <w:rPr>
          <w:rFonts w:ascii="Garamond" w:hAnsi="Garamond"/>
          <w:lang w:val="en-US" w:eastAsia="fr-FR"/>
        </w:rPr>
        <w:softHyphen/>
        <w:t>glieder sind in der Regel ausgestorben und nur durch Rekonstruktion bekannt. Auf seelischem Gebiet hingegen ist die Erhaltung des Primitiven neben dem daraus entstandenen Umgewandelten so häufig, daß es sich erübrigt, es durch Beispiele zu beweisen. Meist ist dieses Vorkommen Folge einer Entwicklungsspaltung. Ein quantitativer Anteil einer Einstellung, einer Triebregung, ist unverändert erhalten geblieben, ein anderer hat die weitere Entwicklung erfahren.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Wir rühren hiermit an das allgemeinere Problem der Erhaltung im Psychischen, das kaum noch Bearbeitung gefunden hat, aber so reizvoll und bedeutsam ist, daß wir ihm auch bei unzureichendem Anlaß eine Weile Aufmerksamkeit schenken dürfen. Seitdem wir den Irrtum überwunden haben, daß das uns geläufige Vergessen eine Zerstörung der Gedächtnis</w:t>
      </w:r>
      <w:r w:rsidRPr="00506316">
        <w:rPr>
          <w:rFonts w:ascii="Garamond" w:hAnsi="Garamond"/>
          <w:lang w:val="en-US" w:eastAsia="fr-FR"/>
        </w:rPr>
        <w:softHyphen/>
        <w:t xml:space="preserve">spur, also eine Vernichtung bedeutet, neigen wir zu der entgegengesetzten Annahme, daß im Seelenleben nichts, was einmal gebildet wurde, untergehen </w:t>
      </w:r>
      <w:r w:rsidRPr="00506316">
        <w:rPr>
          <w:rFonts w:ascii="Garamond" w:hAnsi="Garamond"/>
          <w:lang w:val="en-US" w:eastAsia="fr-FR"/>
        </w:rPr>
        <w:lastRenderedPageBreak/>
        <w:t>kann, daß alles irgendwie erhalten bleibt und unter geeigneten Umständen, z. B. durch eine so weit reichende Regression, wieder zum Vorschein gebracht werden kann. Man versuche sich durch einen Vergleich aus einem anderen Gebret klarzumachen, was diese Annahme zum Inhalt hat. Wir greifen etwa die Entwicklung der Ewigen Stadt als Beispiel auf.</w:t>
      </w:r>
      <w:r w:rsidRPr="00506316">
        <w:rPr>
          <w:rFonts w:ascii="Garamond" w:hAnsi="Garamond"/>
          <w:vertAlign w:val="superscript"/>
          <w:lang w:val="en-US" w:eastAsia="fr-FR"/>
        </w:rPr>
        <w:t>4)</w:t>
      </w:r>
      <w:r w:rsidRPr="00506316">
        <w:rPr>
          <w:rFonts w:ascii="Garamond" w:hAnsi="Garamond"/>
          <w:lang w:val="en-US" w:eastAsia="fr-FR"/>
        </w:rPr>
        <w:t xml:space="preserve"> Historiker belehren uns, das älteste Rom war die </w:t>
      </w:r>
      <w:r w:rsidRPr="00506316">
        <w:rPr>
          <w:rFonts w:ascii="Garamond" w:hAnsi="Garamond"/>
          <w:i/>
          <w:iCs/>
          <w:lang w:val="en-US" w:eastAsia="fr-FR"/>
        </w:rPr>
        <w:t>Roma Quadrata,</w:t>
      </w:r>
      <w:r w:rsidRPr="00506316">
        <w:rPr>
          <w:rFonts w:ascii="Garamond" w:hAnsi="Garamond"/>
          <w:lang w:val="en-US" w:eastAsia="fr-FR"/>
        </w:rPr>
        <w:t xml:space="preserve"> eine umzäumte Ansiedlung auf dem Palatin. Dann folgte die Phase des </w:t>
      </w:r>
      <w:r w:rsidRPr="00506316">
        <w:rPr>
          <w:rFonts w:ascii="Garamond" w:hAnsi="Garamond"/>
          <w:i/>
          <w:iCs/>
          <w:lang w:val="en-US" w:eastAsia="fr-FR"/>
        </w:rPr>
        <w:t>Septimontium,</w:t>
      </w:r>
      <w:r w:rsidRPr="00506316">
        <w:rPr>
          <w:rFonts w:ascii="Garamond" w:hAnsi="Garamond"/>
          <w:lang w:val="en-US" w:eastAsia="fr-FR"/>
        </w:rPr>
        <w:t xml:space="preserve"> eine Vereinigung der Niederlassungen auf den einzelnen Hügeln, darauf die Stadt, die durch die Servianische Mauer begrenzt wurde, und noch später, nach all den Umwandlungen der republikanischen und der früheren Kaiserzeit die Stadt, die Kaiser Aurelianus durch seine Mauern umschloß. Wir wollen die Wandlungen der Stadt nicht weiter verfolgen und uns fragen, was ein Besucher, den wir mit den vollkommensten historischen und topographischen Kenntnissen ausgestattet denken, im heutigen Rom von diesen frühen Stadien noch vorfinden mag. Die Aurelianische Mauer wird er bis auf wenige Durchbrüche fast unverändert sehen. An einzelnen Stellen kann er Strecken des Servianischen Walles durch Ausgrabung zutage gefördert finden. Wenn er genug weiß — mehr als die heutige Archäologie —, kann er vielleicht den ganzen Verlauf dieser Mauer und den Umriß der </w:t>
      </w:r>
      <w:r w:rsidRPr="00506316">
        <w:rPr>
          <w:rFonts w:ascii="Garamond" w:hAnsi="Garamond"/>
          <w:i/>
          <w:iCs/>
          <w:lang w:val="en-US" w:eastAsia="fr-FR"/>
        </w:rPr>
        <w:t>Roma Quadrata</w:t>
      </w:r>
      <w:r w:rsidRPr="00506316">
        <w:rPr>
          <w:rFonts w:ascii="Garamond" w:hAnsi="Garamond"/>
          <w:lang w:val="en-US" w:eastAsia="fr-FR"/>
        </w:rPr>
        <w:t xml:space="preserve"> ins Stadtbild einzeichnen. Von den Gebäuden, die einst diese alten Rahmen ausgefüllt haben, findet er nichts oder geringe Reste, denn sie bestehen nicht mehr. Das Äußerste, was ihm die beste Kenntnis des Roms der Republik leisten kann, wäre, daß er die Stellen anzugeben weiß, wo die Tempel und öffentlichen Gebäude dieser Zeit gestanden hatten. Was jetzt diese Stellen einnimmt, sind Ruinen, aber nicht ihrer selbst, sondern ihrer Erneuerungen aus späteren Zeiten nach Bränden und Zerstörungen. Es bedarf kaum noch einer besonderen Erwähnung, daß alle diese Überreste des alten Roms als Einsprengungen in das Gewirre einer Großstadt aus den letzten Jahrhunderten seit der Renaissance erscheinen. Manches Alte ist gewiß noch im Boden der Stadt oder unter ihren modernen Bauwerken begraben. Dies ist die Art der Erhaltung des Vergangenen, die uns an historischen Stätten wie Rom entgegentritt.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Nun machen wir die phantastische Annahme, Rom sei nicht eine mensch</w:t>
      </w:r>
      <w:r w:rsidRPr="00506316">
        <w:rPr>
          <w:rFonts w:ascii="Garamond" w:hAnsi="Garamond"/>
          <w:lang w:val="en-US" w:eastAsia="fr-FR"/>
        </w:rPr>
        <w:softHyphen/>
        <w:t>liche Wohnstätte, sondern ein psychisches Wesen von ähnlich langer und reichhaltiger Vergangenheit, in dem also nichts, was einmal zustande gekom</w:t>
      </w:r>
      <w:r w:rsidRPr="00506316">
        <w:rPr>
          <w:rFonts w:ascii="Garamond" w:hAnsi="Garamond"/>
          <w:lang w:val="en-US" w:eastAsia="fr-FR"/>
        </w:rPr>
        <w:softHyphen/>
        <w:t>men war, untergegangen ist, in dem neben der letzten Entwicklungsphase auch alle früheren noch fortbestehen. Das würde für Rom also bedeuten, daß auf dem Palatin die Kaiserpaläste und das Septizonium des Septimius Severus sich noch zur alten Höhe erheben, daß die Engelsburg noch auf ihren Zinnen die schönen Statuen trägt, mit denen sie bis zur Gotenbelagerung geschmückt war, usw. Aber noch mehr: an der Stelle des Palazzo Caffarelli stünde wieder, ohne daß man dieses Gebäude abzutragen brauchte, der Tempel des Kapitolinischen Jupiter, und zwar dieser nicht nur in seiner letzten Gestalt, wie ihn die Römer der Kaiserzeit sahen, sondern auch in seiner frühesten, als er noch etruskische Formen zeigte und mit tönernen Antifixen geziert war. Wo jetzt das Coliseo steht, könnten wir auch die verschwundene Domus aurea des Nero bewundern; auf dem Pantheonplatze fänden wir nicht nur das heutige Pantheon, wie es uns von Hadrian hinterlassen wurde, sondern auf demselben Grund auch den ursprünglichen Bau des M. Agrippa; ja, derselbe Boden trüge die Kirche Maria sopra Minerva und den alten Tempel, über dem sie gebaut ist. Und dabei brauchte es vielleicht nur eine Änderung der Blickrichtung oder des Standpunktes von Seiten des Beobachters, um den einen oder den anderen Anblick hervorzurufen.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Es hat offenbar keinen Sinn, diese Phantasie weiter auszuspinnen, sie führt zu Unvorstellbarem, ja zu Absurdem. Wenn wir das historische Nacheinander räumlich darstellen wollen, kann es nur durch ein Nebeneinander im Raum geschehen; derselbe Raum verträgt nicht zweierlei Ausfüllung. Unser Versuch scheint eine müßige Spielerei zu sein; er hat nur eine Rechtfertigung; er zeigt uns, wie weit wir davon entfernt sind, die Eigentümlichkeiten des seelischen Lebens durch anschauliche Darstellung zu bewältigen.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Zu einem Einwand sollten wir noch Stellung nehmen. Er fragt uns, warum wir gerade die Vergangenheit einer Stadt ausgewählt haben, um sie mit der seelischen Vergangenheit zu vergleichen. Die Annahme der Erhaltung alles Vergangenen gilt auch für das Seelenleben nur unter der Bedingung, daß das Organ der Psyche intakt geblieben ist, daß sein Gewebe nicht durch Trauma oder Entzündung gelitten hat. Zerstörende Einwirkungen, die man diesen Krankheitsursachen gleichstellen könnte, werden aber in der Geschichte keiner Stadt vermißt, auch wenn sie eine minder bewegte Vergangenheit gehabt hat als Rom, auch wenn sie, wie London, kaum je von einem Feind heimgesucht wurde. Die friedlichste Entwicklung einer Stadt schließt Demolierungen und Ersetzungen von Bauwerken ein, und darum ist die Stadt von vorneherein für einen solchen Vergleich mit einem seelischen Organismus ungeeignet.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Wir weichen diesem Einwand, wenden uns unter Verzicht auf eine ein</w:t>
      </w:r>
      <w:r w:rsidRPr="00506316">
        <w:rPr>
          <w:rFonts w:ascii="Garamond" w:hAnsi="Garamond"/>
          <w:lang w:val="en-US" w:eastAsia="fr-FR"/>
        </w:rPr>
        <w:softHyphen/>
        <w:t>drucksvolle Kontrastwirkung zu einem immerhin verwandteren Vergleichs</w:t>
      </w:r>
      <w:r w:rsidRPr="00506316">
        <w:rPr>
          <w:rFonts w:ascii="Garamond" w:hAnsi="Garamond"/>
          <w:lang w:val="en-US" w:eastAsia="fr-FR"/>
        </w:rPr>
        <w:softHyphen/>
        <w:t xml:space="preserve">objekt, wie es der tierische oder menschliche Leib ist. Aber auch hier finden wir das nämliche. Die früheren Phasen der Entwicklung sind in keinem Sinn mehr erhalten, sie </w:t>
      </w:r>
      <w:r w:rsidRPr="00506316">
        <w:rPr>
          <w:rFonts w:ascii="Garamond" w:hAnsi="Garamond"/>
          <w:lang w:val="en-US" w:eastAsia="fr-FR"/>
        </w:rPr>
        <w:lastRenderedPageBreak/>
        <w:t>sind in den späteren, zu denen sie den Stoff geliefert haben, aufgegangen. Der Embryo läßt sich im Erwachsenen nicht nachweisen, die Thymusdrüse, die das Kind besaß, ist nach der Pubertät durch Bindegewebe ersetzt, aber selbst nicht mehr vorhanden; in den Röhrenknochen des reifen Mannes kann ich zwar den Umriß des kindlichen Knochens einzeichnen, aber dieser selbst ist vergangen, indem er sich streckte und verdickte, bis er seine endgültige Form erhielt. Es bleibt dabei, daß eine solche Erhaltung aller Vorstufen neben der Endgestaltung nur im Seelischen möglich ist und daß wir nicht in der Lage sind, uns dies Vorkommen anschaulich zu machen.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Vielleicht gehen wir in dieser Annahme zu weit. Vielleicht sollten wir uns zu behaupten begnügen, daß das Vergangene im Seelenleben erhalten bleiben </w:t>
      </w:r>
      <w:r w:rsidRPr="00506316">
        <w:rPr>
          <w:rFonts w:ascii="Garamond" w:hAnsi="Garamond"/>
          <w:i/>
          <w:iCs/>
          <w:lang w:val="en-US" w:eastAsia="fr-FR"/>
        </w:rPr>
        <w:t>kann,</w:t>
      </w:r>
      <w:r w:rsidRPr="00506316">
        <w:rPr>
          <w:rFonts w:ascii="Garamond" w:hAnsi="Garamond"/>
          <w:lang w:val="en-US" w:eastAsia="fr-FR"/>
        </w:rPr>
        <w:t xml:space="preserve"> nicht </w:t>
      </w:r>
      <w:r w:rsidRPr="00506316">
        <w:rPr>
          <w:rFonts w:ascii="Garamond" w:hAnsi="Garamond"/>
          <w:i/>
          <w:iCs/>
          <w:lang w:val="en-US" w:eastAsia="fr-FR"/>
        </w:rPr>
        <w:t>notwendigerweise</w:t>
      </w:r>
      <w:r w:rsidRPr="00506316">
        <w:rPr>
          <w:rFonts w:ascii="Garamond" w:hAnsi="Garamond"/>
          <w:lang w:val="en-US" w:eastAsia="fr-FR"/>
        </w:rPr>
        <w:t xml:space="preserve"> zerstört werden muß. Es ist immerhin möglich, daß auch im Psychischen manches Alte — in der Norm oder ausnahmsweise — so weit verwischt oder aufgezehrt wird, daß es durch keinen Vorgang mehr wiederhergestellt und wiederbelebt werden kann, oder daß die Erhaltung allgemein an gewisse günstige Bedingungen geknüpft ist. Es ist möglich, aber wir wissen nichts darüber. Wir dürfen nur daran festhalten, daß die Erhaltung des Vergangenen im Seelenleben eher Regel als befremdliche Ausnahme ist.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Wenn wir so durchaus bereit sind anzuerkennen, es gebe bei vielen Menschen ein »ozeanisches« Gefühl, und geneigt, es auf eine frühe Phase des Ichgefühls zurückzuführen, erhebt sich die weitere Frage, welchen Anspruch hat dieses Gefühl, als die Quelle der religiösen Bedürfnisse angesehen zu werden.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Mir erscheint dieser Anspruch nicht zwingend. </w:t>
      </w:r>
      <w:r w:rsidRPr="00506316">
        <w:rPr>
          <w:rFonts w:ascii="Garamond" w:hAnsi="Garamond"/>
          <w:lang w:eastAsia="fr-FR"/>
        </w:rPr>
        <w:t>Ein Gefühl kann doch nur dann eine Energiequelle sein, wenn es selbst der Ausdruck eines starken Bedürfnisses ist. Für die religiösen Bedürfnisse scheint mir die Ableitung von der infantilen Hilflosigkeit und der durch sie geweckten Vatersehnsucht unabweisbar, zumal da sich dies Gefühl nicht einfach aus dem kindlichen Leben fortsetzt, sondern durch die Angst vor der Übermacht des Schicksals dauernd erhalten wird. Ein ähnlich starkes Bedürfnis aus der Kindheit wie das nach dem Vaterschutz wüßte ich nicht anzugeben. Damit ist die Rolle des ozeanischen Gefühls, das etwa die Wiederherstellung des uneinge</w:t>
      </w:r>
      <w:r w:rsidRPr="00506316">
        <w:rPr>
          <w:rFonts w:ascii="Garamond" w:hAnsi="Garamond"/>
          <w:lang w:eastAsia="fr-FR"/>
        </w:rPr>
        <w:softHyphen/>
        <w:t xml:space="preserve">schränkten Narzißmus anstreben könnte, vom Vordergrund abgedrängt. </w:t>
      </w:r>
      <w:r w:rsidRPr="00506316">
        <w:rPr>
          <w:rFonts w:ascii="Garamond" w:hAnsi="Garamond"/>
          <w:lang w:val="en-US" w:eastAsia="fr-FR"/>
        </w:rPr>
        <w:t>Bis zum Gefühl der kindlichen Hilflosigkeit kann man den Ursprung der religiösen Einstellung in klaren Umrissen verfolgen. Es mag noch anderes dahinterstecken, aber das verhüllt einstweilen der Nebel.</w:t>
      </w:r>
    </w:p>
    <w:p w:rsidR="004E00C6" w:rsidRPr="004E00C6" w:rsidRDefault="004E00C6" w:rsidP="004E00C6">
      <w:pPr>
        <w:pStyle w:val="Sansinterligne"/>
        <w:rPr>
          <w:rFonts w:ascii="Garamond" w:hAnsi="Garamond"/>
          <w:lang w:val="en-US" w:eastAsia="fr-FR"/>
        </w:rPr>
      </w:pPr>
      <w:r w:rsidRPr="00506316">
        <w:rPr>
          <w:rFonts w:ascii="Garamond" w:hAnsi="Garamond"/>
          <w:lang w:val="en-US" w:eastAsia="fr-FR"/>
        </w:rPr>
        <w:t xml:space="preserve">Ich kann mir vorstellen, daß das ozeanische Gefühl nachträglich in Beziehungen zur Religion geraten ist. Dies Eins-Sein mit dem All, was als Gedankeninhalt ihm zugehört, spricht uns ja an wie ein erster Versuch einer religiösen Tröstung, wie ein anderer Weg zur Ableugnung der Gefahr, die das Ich als von der Außenwelt drohend erkennt. Ich wiederhole das Bekenntnis, daß es mir sehr beschwerlich ist, mit diesen kaum faßbaren Größen zu arbeiten. Ein anderer meiner Freunde, den ein unstillbarer Wissensdrang zu den ungewöhnlichsten Experimenten getrieben und endlich zum Allwisser gemacht hat, versicherte mir, daß man in den Yogapraktiken durch Abwendung von der Außenwelt, durch Bindung der Aufmerksamkeit an körperliche Funktionen, durch besondere Weisen der Atmung tatsächlich neue Empfindungen und Allgemeingefühle in sich erwecken kann, die er als Regressionen zu uralten, längst überlagerten Zuständen des Seelenlebens auffassen will. Er sieht in ihnen eine sozusagen physiologische Begründung vieler Weisheiten der Mystik. Beziehungen zu manchen dunklen Modifikationen des Seelenlebens, wie Trance und Ekstase, lägen hier nahe. </w:t>
      </w:r>
      <w:r w:rsidRPr="004E00C6">
        <w:rPr>
          <w:rFonts w:ascii="Garamond" w:hAnsi="Garamond"/>
          <w:lang w:val="en-US" w:eastAsia="fr-FR"/>
        </w:rPr>
        <w:t>Allein mich drängt es, auch einmal mit den Worten des Schillerschen Tauchers auszurufen:</w:t>
      </w:r>
    </w:p>
    <w:p w:rsidR="004E00C6" w:rsidRPr="004E00C6" w:rsidRDefault="004E00C6" w:rsidP="004E00C6">
      <w:pPr>
        <w:pStyle w:val="Sansinterligne"/>
        <w:rPr>
          <w:rFonts w:ascii="Garamond" w:hAnsi="Garamond"/>
          <w:lang w:val="en-US" w:eastAsia="fr-FR"/>
        </w:rPr>
      </w:pPr>
      <w:r w:rsidRPr="004E00C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»Es freue sich, wer da atmet im rosigen Licht.«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eastAsia="fr-FR"/>
        </w:rPr>
      </w:pPr>
      <w:r w:rsidRPr="00506316">
        <w:rPr>
          <w:rFonts w:ascii="Garamond" w:hAnsi="Garamond"/>
          <w:lang w:eastAsia="fr-FR"/>
        </w:rPr>
        <w:t>____________________</w:t>
      </w:r>
    </w:p>
    <w:p w:rsidR="004E00C6" w:rsidRPr="00506316" w:rsidRDefault="004E00C6" w:rsidP="004E00C6">
      <w:pPr>
        <w:pStyle w:val="Sansinterligne"/>
        <w:rPr>
          <w:rFonts w:ascii="Garamond" w:hAnsi="Garamond"/>
          <w:lang w:eastAsia="fr-FR"/>
        </w:rPr>
      </w:pPr>
      <w:r w:rsidRPr="00506316">
        <w:rPr>
          <w:rFonts w:ascii="Garamond" w:hAnsi="Garamond"/>
          <w:vertAlign w:val="superscript"/>
          <w:lang w:eastAsia="fr-FR"/>
        </w:rPr>
        <w:t>1)</w:t>
      </w:r>
      <w:r w:rsidRPr="00506316">
        <w:rPr>
          <w:rFonts w:ascii="Garamond" w:hAnsi="Garamond"/>
          <w:lang w:eastAsia="fr-FR"/>
        </w:rPr>
        <w:t xml:space="preserve"> </w:t>
      </w:r>
      <w:r w:rsidRPr="00506316">
        <w:rPr>
          <w:rFonts w:ascii="Garamond" w:hAnsi="Garamond"/>
          <w:i/>
          <w:iCs/>
          <w:lang w:eastAsia="fr-FR"/>
        </w:rPr>
        <w:t>Liluli</w:t>
      </w:r>
      <w:r w:rsidRPr="00506316">
        <w:rPr>
          <w:rFonts w:ascii="Garamond" w:hAnsi="Garamond"/>
          <w:lang w:eastAsia="fr-FR"/>
        </w:rPr>
        <w:t xml:space="preserve">. — Seit dem Erscheinen der beiden Bücher </w:t>
      </w:r>
      <w:r w:rsidRPr="00506316">
        <w:rPr>
          <w:rFonts w:ascii="Garamond" w:hAnsi="Garamond"/>
          <w:i/>
          <w:iCs/>
          <w:lang w:eastAsia="fr-FR"/>
        </w:rPr>
        <w:t>La vie de Ramakrishna</w:t>
      </w:r>
      <w:r w:rsidRPr="00506316">
        <w:rPr>
          <w:rFonts w:ascii="Garamond" w:hAnsi="Garamond"/>
          <w:lang w:eastAsia="fr-FR"/>
        </w:rPr>
        <w:t xml:space="preserve">  und </w:t>
      </w:r>
      <w:r w:rsidRPr="00506316">
        <w:rPr>
          <w:rFonts w:ascii="Garamond" w:hAnsi="Garamond"/>
          <w:i/>
          <w:iCs/>
          <w:lang w:eastAsia="fr-FR"/>
        </w:rPr>
        <w:t>La vie de Vivekananda</w:t>
      </w:r>
      <w:r w:rsidRPr="00506316">
        <w:rPr>
          <w:rFonts w:ascii="Garamond" w:hAnsi="Garamond"/>
          <w:lang w:eastAsia="fr-FR"/>
        </w:rPr>
        <w:t xml:space="preserve"> (1930) brauche ich nicht mehr zu verbergen, daß der im Text gemeinte Freund Romain Rolland ist.</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2)</w:t>
      </w:r>
      <w:r w:rsidRPr="00506316">
        <w:rPr>
          <w:rFonts w:ascii="Garamond" w:hAnsi="Garamond"/>
          <w:lang w:val="en-US" w:eastAsia="fr-FR"/>
        </w:rPr>
        <w:t xml:space="preserve"> D. Chr. Grabbe, </w:t>
      </w:r>
      <w:r w:rsidRPr="00506316">
        <w:rPr>
          <w:rFonts w:ascii="Garamond" w:hAnsi="Garamond"/>
          <w:i/>
          <w:iCs/>
          <w:lang w:val="en-US" w:eastAsia="fr-FR"/>
        </w:rPr>
        <w:t>Hannibal:</w:t>
      </w:r>
      <w:r w:rsidRPr="00506316">
        <w:rPr>
          <w:rFonts w:ascii="Garamond" w:hAnsi="Garamond"/>
          <w:lang w:val="en-US" w:eastAsia="fr-FR"/>
        </w:rPr>
        <w:t xml:space="preserve"> »Ja, aus der Welt werden wir nicht fallen. Wir sind einmal darin.«</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3)</w:t>
      </w:r>
      <w:r w:rsidRPr="00506316">
        <w:rPr>
          <w:rFonts w:ascii="Garamond" w:hAnsi="Garamond"/>
          <w:lang w:val="en-US" w:eastAsia="fr-FR"/>
        </w:rPr>
        <w:t xml:space="preserve"> S. die zahlreichen Arbeiten über Ichentwicklung und Ichgefühl von Ferenczi, Entwicklungsstufen des Wirklichkeitssinnes‹ (1913), bis zu den Beiträgen von P.Federn 1926, 1927 und später.</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4)</w:t>
      </w:r>
      <w:r w:rsidRPr="00506316">
        <w:rPr>
          <w:rFonts w:ascii="Garamond" w:hAnsi="Garamond"/>
          <w:lang w:val="en-US" w:eastAsia="fr-FR"/>
        </w:rPr>
        <w:t xml:space="preserve"> Nach </w:t>
      </w:r>
      <w:r w:rsidRPr="00506316">
        <w:rPr>
          <w:rFonts w:ascii="Garamond" w:hAnsi="Garamond"/>
          <w:i/>
          <w:iCs/>
          <w:lang w:val="en-US" w:eastAsia="fr-FR"/>
        </w:rPr>
        <w:t>The Cambridge Ancient History,</w:t>
      </w:r>
      <w:r w:rsidRPr="00506316">
        <w:rPr>
          <w:rFonts w:ascii="Garamond" w:hAnsi="Garamond"/>
          <w:lang w:val="en-US" w:eastAsia="fr-FR"/>
        </w:rPr>
        <w:t xml:space="preserve"> Bd. 7 (1928): ›The Founding of Rome‹ by Hugh Last.</w:t>
      </w:r>
    </w:p>
    <w:p w:rsidR="004E00C6" w:rsidRPr="00506316" w:rsidRDefault="004E00C6" w:rsidP="004E00C6">
      <w:pPr>
        <w:pStyle w:val="Sansinterligne"/>
        <w:rPr>
          <w:rFonts w:ascii="Garamond" w:hAnsi="Garamond"/>
          <w:lang w:val="en-US"/>
        </w:rPr>
      </w:pPr>
      <w:r w:rsidRPr="00506316">
        <w:rPr>
          <w:rFonts w:ascii="Garamond" w:hAnsi="Garamond"/>
          <w:lang w:val="en-US"/>
        </w:rPr>
        <w:br w:type="page"/>
      </w:r>
    </w:p>
    <w:p w:rsidR="004E00C6" w:rsidRPr="00506316" w:rsidRDefault="00B437A1" w:rsidP="004E00C6">
      <w:pPr>
        <w:pStyle w:val="Sansinterligne"/>
        <w:rPr>
          <w:rFonts w:ascii="Garamond" w:hAnsi="Garamond"/>
          <w:kern w:val="36"/>
          <w:lang w:eastAsia="fr-FR"/>
        </w:rPr>
      </w:pPr>
      <w:hyperlink w:anchor="KulturINHALT" w:history="1">
        <w:r w:rsidR="004E00C6" w:rsidRPr="00506316">
          <w:rPr>
            <w:rStyle w:val="Lienhypertexte"/>
            <w:rFonts w:ascii="Garamond" w:hAnsi="Garamond"/>
            <w:kern w:val="36"/>
            <w:lang w:eastAsia="fr-FR"/>
          </w:rPr>
          <w:t>II.  Da</w:t>
        </w:r>
        <w:bookmarkStart w:id="252" w:name="Kultur2"/>
        <w:bookmarkEnd w:id="252"/>
        <w:r w:rsidR="004E00C6" w:rsidRPr="00506316">
          <w:rPr>
            <w:rStyle w:val="Lienhypertexte"/>
            <w:rFonts w:ascii="Garamond" w:hAnsi="Garamond"/>
            <w:kern w:val="36"/>
            <w:lang w:eastAsia="fr-FR"/>
          </w:rPr>
          <w:t>s Glück als Ziel des menschlichen Strebens</w:t>
        </w:r>
      </w:hyperlink>
    </w:p>
    <w:p w:rsidR="004E00C6" w:rsidRPr="00506316" w:rsidRDefault="004E00C6" w:rsidP="004E00C6">
      <w:pPr>
        <w:pStyle w:val="Sansinterligne"/>
        <w:rPr>
          <w:rFonts w:ascii="Garamond" w:hAnsi="Garamond"/>
          <w:lang w:eastAsia="fr-FR"/>
        </w:rPr>
      </w:pPr>
    </w:p>
    <w:p w:rsidR="004E00C6" w:rsidRPr="00506316" w:rsidRDefault="004E00C6" w:rsidP="004E00C6">
      <w:pPr>
        <w:pStyle w:val="Sansinterligne"/>
        <w:rPr>
          <w:rFonts w:ascii="Garamond" w:hAnsi="Garamond"/>
          <w:lang w:val="en-US" w:eastAsia="fr-FR"/>
        </w:rPr>
      </w:pPr>
      <w:r w:rsidRPr="00506316">
        <w:rPr>
          <w:rFonts w:ascii="Garamond" w:hAnsi="Garamond"/>
          <w:lang w:eastAsia="fr-FR"/>
        </w:rPr>
        <w:t xml:space="preserve">In meiner Schrift </w:t>
      </w:r>
      <w:r w:rsidRPr="00506316">
        <w:rPr>
          <w:rFonts w:ascii="Garamond" w:hAnsi="Garamond"/>
          <w:i/>
          <w:iCs/>
          <w:lang w:eastAsia="fr-FR"/>
        </w:rPr>
        <w:t>Die Zukunft einer Illusion</w:t>
      </w:r>
      <w:r w:rsidRPr="00506316">
        <w:rPr>
          <w:rFonts w:ascii="Garamond" w:hAnsi="Garamond"/>
          <w:lang w:eastAsia="fr-FR"/>
        </w:rPr>
        <w:t xml:space="preserve"> handelte es sich weit weniger um die tiefsten Quellen des religiösen Gefühls, als vielmehr um das, was der gemeine Mann unter seiner Religion versteht, um das System von Lehren und Verheißungen, das ihm einerseits die Rätsel dieser Welt mit beneidenswerter Vollständigkeit aufklärt, anderseits ihm zusichert, daß eine sorgsame Vorsehung über sein Leben wachen und etwaige Versagungen in einer jenseitigen Existenz gutmachen wird. </w:t>
      </w:r>
      <w:r w:rsidRPr="00506316">
        <w:rPr>
          <w:rFonts w:ascii="Garamond" w:hAnsi="Garamond"/>
          <w:lang w:val="en-US" w:eastAsia="fr-FR"/>
        </w:rPr>
        <w:t>Diese Vorsehung kann der gemeine Mann sich nicht anders als in der Person eines großartig erhöhten Vaters vorstellen. Nur ein solcher kann die Bedürfnisse des Menschenkindes kennen, durch seine Bitten erweicht, durch die Zeichen seiner Reue beschwichtigt werden. Das Ganze ist so offenkundig infantil, so wirklichkeitsfremd, daß es einer menschenfreundlichen Gesinnung schmerzlich wird zu denken, die große Mehrheit der Sterblichen werde sich niemals über diese Auffassung des Lebens erheben können. Noch beschämender wirkt es zu erfahren, ein wie großer Anteil der heute Lebenden, die es einsehen müssen, daß diese Religion nicht zu halten ist, doch Stück für Stück von ihr in kläglichen Rückzugsgefechten zu verteidigen sucht. Man möchte sich in die Reihen der Gläubigen mengen, um den Philosophen, die den Gott der Religion zu retten glauben, indem sie ihn durch ein unpersönliches, schattenhaft abstraktes Prinzip ersetzen, die Mahnung vorzuhalten: »Du sollst den Namen des Herrn nicht zum Eitlen anrufen!« Wenn einige der größten Geister vergangener Zeiten das gleiche getan haben, so darf man sich hierin nicht auf sie berufen. Man weiß, warum sie so mußten.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Wir kehren zum gemeinen Mann und zu seiner Religion zurück, der einzigen, die diesen Namen tragen sollte. Da tritt uns zunächst die bekannte Äußerung eines unserer großen Dichter und Weisen entgegen, die sich über das Verhältnis der Religion zur Kunst und Wissenschaft ausspricht. Sie lautet: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»Wer Wissenschaft und Kunst besitzt,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hat auch Religion;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Wer jene beiden nicht besitzt,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der habe Religion!«</w:t>
      </w:r>
      <w:r w:rsidRPr="00506316">
        <w:rPr>
          <w:rFonts w:ascii="Garamond" w:hAnsi="Garamond"/>
          <w:vertAlign w:val="superscript"/>
          <w:lang w:val="en-US" w:eastAsia="fr-FR"/>
        </w:rPr>
        <w:t>1)</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Dieser Spruch bringt einerseits die Religion in einen Gegensatz zu den beiden Höchstleistungen des Menschen, anderseits behauptet er, daß sie einander in ihrem Lebenswert vertreten oder ersetzen können. Wenn wir auch dem gemeinen Mann die Religion bestreiten wollen, haben wir offenbar die Autorität des Dichters nicht auf unserer Seite. Wir versuchen einen besonderen Weg, um uns der Würdigung seines Satzes zu nähern. Das Leben, wie es uns auferlegt ist, ist zu schwer für uns, es bringt uns zuviel Schmerzen, Enttäuschungen, unlösbare Aufgaben. Um es zu ertragen, können wir Linderungsmittel nicht entbehren. (»Es geht nicht ohne Hilfskon</w:t>
      </w:r>
      <w:r w:rsidRPr="00506316">
        <w:rPr>
          <w:rFonts w:ascii="Garamond" w:hAnsi="Garamond"/>
          <w:lang w:val="en-US" w:eastAsia="fr-FR"/>
        </w:rPr>
        <w:softHyphen/>
        <w:t>struktionen«, hat uns Theodor Fontane gesagt.) Solcher Mittel gibt es viel</w:t>
      </w:r>
      <w:r w:rsidRPr="00506316">
        <w:rPr>
          <w:rFonts w:ascii="Garamond" w:hAnsi="Garamond"/>
          <w:lang w:val="en-US" w:eastAsia="fr-FR"/>
        </w:rPr>
        <w:softHyphen/>
        <w:t>leicht dreierlei: mächtige Ablenkungen, die uns unser Elend geringschätzen lassen. Ersatzbefriedigungen, die es verringern, Rauschstoffe, die uns für dasselbe unempfindlich machen. Irgend etwas dieser Art ist unerläßlich.</w:t>
      </w:r>
      <w:r w:rsidRPr="00506316">
        <w:rPr>
          <w:rFonts w:ascii="Garamond" w:hAnsi="Garamond"/>
          <w:vertAlign w:val="superscript"/>
          <w:lang w:val="en-US" w:eastAsia="fr-FR"/>
        </w:rPr>
        <w:t>2)</w:t>
      </w:r>
      <w:r w:rsidRPr="00506316">
        <w:rPr>
          <w:rFonts w:ascii="Garamond" w:hAnsi="Garamond"/>
          <w:lang w:val="en-US" w:eastAsia="fr-FR"/>
        </w:rPr>
        <w:t xml:space="preserve"> Auf die Ablenkungen zielt Voltaire, wenn er seinen Candide in den Rat ausklingen läßt, seinen Garten zu bearbeiten; solch eine Ablenkung ist auch die wissenschaftliche Tätigkeit. Die Ersatzbefriedigungen, wie die Kunst sie bietet, sind gegen die Realität Illusionen, darum nicht minder psychisch wirksam dank der Rolle, die die Phantasie im Seelenleben behauptet hat. Die Rauschmittel beeinflussen unser Körperliches, ändern seinen Chemismus. Es ist nicht einfach, die Stellung der Religion innerhalb dieser Reihe anzugeben. Wir werden weiter ausholen müssen.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Die Frage nach dem Zweck des menschlichen Lebens ist ungezählte Male gestellt worden; sie hat noch nie eine befriedigende Antwort gefunden, läßt eine solche vielleicht überhaupt nicht zu. Manche Fragesteller haben hinzu</w:t>
      </w:r>
      <w:r w:rsidRPr="00506316">
        <w:rPr>
          <w:rFonts w:ascii="Garamond" w:hAnsi="Garamond"/>
          <w:lang w:val="en-US" w:eastAsia="fr-FR"/>
        </w:rPr>
        <w:softHyphen/>
        <w:t>gefügt: wenn sich ergeben sollte, daß das Leben keinen Zweck hat, dann würde es jeden Wert für sie verlieren. Aber diese Drohung ändert nichts. Es scheint vielmehr, daß man ein Recht dazu hat, die Frage abzulehnen. Ihre Voraussetzung scheint jene menschliche Überhebung, von der wir soviel andere Äußerungen bereits kennen. Von einem Zweck des Lebens der Tiere wird nicht gesprochen, wenn deren Bestimmung nicht etwa darin besteht, dem Menschen zu dienen. Allein auch das ist nicht haltbar, denn mit vielen Tieren weiß der Mensch nichts anzufangen — außer, daß er sie beschreibt, klassifiziert, studiert —, und ungezählte Tierarten haben sich auch dieser Verwendung entzogen, indem sie lebten und ausstarben, ehe der Mensch sie gesehen hatte. Es ist wiederum nur die Religion, die die Frage nach einem Zweck des Lebens zu beantworten weiß. Man wird kaum irren zu entscheiden, daß die Idee eines Lebenszweckes mit dem religiösen System steht und fällt.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lastRenderedPageBreak/>
        <w:t>Wir wenden uns darum der anspruchsloseren Frage zu, was die Menschen selbst durch ihr Verhalten als Zweck und Absicht ihres Lebens erkennen lassen, was sie vom Leben fordern, in ihm erreichen wollen. Die Antwort darauf ist kaum zu verfehlen; sie streben nach dem Glück, sie wollen glücklich werden und so bleiben. Dies Streben hat zwei Seiten, ein positives und ein negatives Ziel, es will einerseits die Abwesenheit von Schmerz und Unlust, anderseits das Erleben starker Lustgefühle. Im engeren Wortsinne wird »Glück« nur auf das letztere bezogen. Entsprechend dieser Zweiteilung der Ziele entfaltet sich die Tätigkeit der Menschen nach zwei Richtungen, je nachdem sie das eine oder das andere dieser Ziele — vorwiegend oder selbst ausschließlich — zu verwirklichen sucht.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Es ist, wie man merkt, einfach das Programm des Lustprinzips, das den Lebenszweck setzt. Dies Prinzip beherrscht die Leistung des seelischen Apparates vom Anfang an; an seiner Zweckdienlichkeit kann kein Zweifel sein, und doch ist sein Programm im Hader mit der ganzen Welt, mit dem Makrokosmos ebensowohl wie mit dem Mikrokosmos. Es ist überhaupt nicht durchführbar, alle Einrichtungen des Alls widerstreben ihm; man möchte sagen, die Absicht, daß der Mensch »glücklich« sei, ist im Plan der »Schöpfung« nicht enthalten. Was man im strengsten Sinne Glück heißt, entspringt der eher plötzlichen Befriedigung hoch aufgestauter Bedürfnisse und ist seiner Natur nach nur als episodisches Phänomen möglich. Jede Fortdauer einer vom Lustprinzip ersehnten Situation ergibt nur ein Gefühl von lauem Behagen; wir sind so eingerichtet, daß wir nur den Kontrast intensiv genießen können, den Zustand nur sehr wenig.</w:t>
      </w:r>
      <w:r w:rsidRPr="00506316">
        <w:rPr>
          <w:rFonts w:ascii="Garamond" w:hAnsi="Garamond"/>
          <w:vertAlign w:val="superscript"/>
          <w:lang w:val="en-US" w:eastAsia="fr-FR"/>
        </w:rPr>
        <w:t>3)</w:t>
      </w:r>
      <w:r w:rsidRPr="00506316">
        <w:rPr>
          <w:rFonts w:ascii="Garamond" w:hAnsi="Garamond"/>
          <w:lang w:val="en-US" w:eastAsia="fr-FR"/>
        </w:rPr>
        <w:t xml:space="preserve"> Somit sind unsere Glücks</w:t>
      </w:r>
      <w:r w:rsidRPr="00506316">
        <w:rPr>
          <w:rFonts w:ascii="Garamond" w:hAnsi="Garamond"/>
          <w:lang w:val="en-US" w:eastAsia="fr-FR"/>
        </w:rPr>
        <w:softHyphen/>
        <w:t>möglichkeiten schon durch unsere Konstitution beschränkt. Weit weniger Schwierigkeiten hat es, Unglück zu erfahren. Von drei Seiten droht das Leiden, vom eigenen Körper her, der, zu Verfall und Auflösung bestimmt, sogar Schmerz und Angst als Warnungssignale nicht entbehren kann, von der Außenwelt, die mit übermächtigen, unerbittlichen, zerstörenden Kräften gegen uns wüten kann, und endlich aus den Beziehungen zu anderen Menschen. Das Leiden, das aus dieser Quelle stammt, empfinden wir vielleicht schmerzlicher als jedes andere; wir sind geneigt, es als eine gewissermaßen überflüssige Zutat anzusehen, obwohl es nicht weniger schicksalsmäßig unabwendbar sein dürfte als das Leiden anderer Herkunft.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____________________</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1)</w:t>
      </w:r>
      <w:r w:rsidRPr="00506316">
        <w:rPr>
          <w:rFonts w:ascii="Garamond" w:hAnsi="Garamond"/>
          <w:lang w:val="en-US" w:eastAsia="fr-FR"/>
        </w:rPr>
        <w:t xml:space="preserve"> Goethe in den </w:t>
      </w:r>
      <w:r w:rsidRPr="00506316">
        <w:rPr>
          <w:rFonts w:ascii="Garamond" w:hAnsi="Garamond"/>
          <w:i/>
          <w:iCs/>
          <w:lang w:val="en-US" w:eastAsia="fr-FR"/>
        </w:rPr>
        <w:t>Zahmen Xenien</w:t>
      </w:r>
      <w:r w:rsidRPr="00506316">
        <w:rPr>
          <w:rFonts w:ascii="Garamond" w:hAnsi="Garamond"/>
          <w:lang w:val="en-US" w:eastAsia="fr-FR"/>
        </w:rPr>
        <w:t xml:space="preserve"> IX (Gedichte aus dem Nachlaß).</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2)</w:t>
      </w:r>
      <w:r w:rsidRPr="00506316">
        <w:rPr>
          <w:rFonts w:ascii="Garamond" w:hAnsi="Garamond"/>
          <w:lang w:val="en-US" w:eastAsia="fr-FR"/>
        </w:rPr>
        <w:t xml:space="preserve"> Auf erniedrigtem Niveau sagt Wilhelm Busch in der </w:t>
      </w:r>
      <w:r w:rsidRPr="00506316">
        <w:rPr>
          <w:rFonts w:ascii="Garamond" w:hAnsi="Garamond"/>
          <w:i/>
          <w:iCs/>
          <w:lang w:val="en-US" w:eastAsia="fr-FR"/>
        </w:rPr>
        <w:t>Frommen Helene</w:t>
      </w:r>
      <w:r w:rsidRPr="00506316">
        <w:rPr>
          <w:rFonts w:ascii="Garamond" w:hAnsi="Garamond"/>
          <w:lang w:val="en-US" w:eastAsia="fr-FR"/>
        </w:rPr>
        <w:t xml:space="preserve"> dasselbe: »Wer Sorgen hat, hat auch Likör.«</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3)</w:t>
      </w:r>
      <w:r w:rsidRPr="00506316">
        <w:rPr>
          <w:rFonts w:ascii="Garamond" w:hAnsi="Garamond"/>
          <w:lang w:val="en-US" w:eastAsia="fr-FR"/>
        </w:rPr>
        <w:t xml:space="preserve"> Goethe mahnt sogar: »Nichts ist schwerer zu ertragen als eine Reihe von schönen Tagen.«</w:t>
      </w:r>
    </w:p>
    <w:p w:rsidR="004E00C6" w:rsidRPr="00506316" w:rsidRDefault="004E00C6" w:rsidP="004E00C6">
      <w:pPr>
        <w:pStyle w:val="Sansinterligne"/>
        <w:rPr>
          <w:rFonts w:ascii="Garamond" w:hAnsi="Garamond"/>
          <w:lang w:eastAsia="fr-FR"/>
        </w:rPr>
      </w:pPr>
      <w:r w:rsidRPr="00506316">
        <w:rPr>
          <w:rFonts w:ascii="Garamond" w:hAnsi="Garamond"/>
          <w:lang w:eastAsia="fr-FR"/>
        </w:rPr>
        <w:t>Das mag immerhin eine Übertreibung sein.</w:t>
      </w:r>
    </w:p>
    <w:p w:rsidR="004E00C6" w:rsidRPr="00506316" w:rsidRDefault="004E00C6" w:rsidP="004E00C6">
      <w:pPr>
        <w:pStyle w:val="Sansinterligne"/>
        <w:rPr>
          <w:rFonts w:ascii="Garamond" w:hAnsi="Garamond"/>
          <w:lang w:val="en-US"/>
        </w:rPr>
      </w:pPr>
      <w:r w:rsidRPr="00506316">
        <w:rPr>
          <w:rFonts w:ascii="Garamond" w:hAnsi="Garamond"/>
          <w:lang w:val="en-US"/>
        </w:rPr>
        <w:t>[II.: Techniken der Leidabwehr und Glücksgewinnung: Intoxikation, Sublimierung u.a.]</w:t>
      </w:r>
    </w:p>
    <w:p w:rsidR="004E00C6" w:rsidRPr="00506316" w:rsidRDefault="004E00C6" w:rsidP="004E00C6">
      <w:pPr>
        <w:pStyle w:val="Sansinterligne"/>
        <w:rPr>
          <w:rFonts w:ascii="Garamond" w:hAnsi="Garamond"/>
          <w:lang w:val="en-US"/>
        </w:rPr>
      </w:pPr>
    </w:p>
    <w:p w:rsidR="004E00C6" w:rsidRPr="00506316" w:rsidRDefault="004E00C6" w:rsidP="004E00C6">
      <w:pPr>
        <w:pStyle w:val="Sansinterligne"/>
        <w:rPr>
          <w:rFonts w:ascii="Garamond" w:hAnsi="Garamond"/>
          <w:lang w:val="en-US"/>
        </w:rPr>
      </w:pPr>
      <w:r w:rsidRPr="00506316">
        <w:rPr>
          <w:rFonts w:ascii="Garamond" w:hAnsi="Garamond"/>
          <w:lang w:val="en-US"/>
        </w:rPr>
        <w:t>Kein Wunder, wenn unter dem Druck dieser Leidensmöglichkeiten die Menschen ihren Glücksanspruch zu ermäßigen pflegen, wie ja auch das Lustprinzip selbst sich unter dem Einfluß der Außenwelt zum bescheideneren Realitätsprinzip umbildete, wenn man sich bereits glücklich preist, dem Unglück entgangen zu sein, das Leiden überstanden zu haben, wenn ganz allgemein die Aufgabe der Leidvermeidung die der Lustgewinnung in den Hintergrund drängt. Die Überlegung lehrt, daß man die Lösung dieser Auf gäbe auf sehr verschiedenen Wegen versuchen kann; alle diese Wege sind von den einzelnen Schulen der Lebensweisheit empfohlen und von den Menschen begangen worden. Uneingeschränkte Befriedigung aller Bedürf</w:t>
      </w:r>
      <w:r w:rsidRPr="00506316">
        <w:rPr>
          <w:rFonts w:ascii="Garamond" w:hAnsi="Garamond"/>
          <w:lang w:val="en-US"/>
        </w:rPr>
        <w:softHyphen/>
        <w:t>nisse drängt sich als die verlockendste Art der Lebensführung vor, aber das heißt den Genuß vor die Vorsicht setzen und straft sich nach kurzem Betrieb. Die anderen Methoden, bei denen die Vermeidung von Unlust die vorwiegende Absicht ist, scheiden sich je nach der Unlustquelle, der sie die größere Aufmerksamkeit zuwenden. Es gibt da extreme und gemäßigte Verfahren, einseitige und solche, die zugleich an mehreren Stellen angreifen. Gewollte Vereinsamung, Fernhaltung von den anderen ist der nächstliegende Schutz gegen das Leid, das einem aus menschlichen Beziehungen erwachsen kann. Man versteht: das Glück, das man auf diesem Weg erreichen kann, ist das der Ruhe. Gegen die gefürchtete Außenwelt kann man sich nicht anders als durch irgendeine Art der Abwendung verteidigen, wenn man diese Aufgabe für sich allein lösen will. Es gibt freilich einen anderen und besseren Weg, indem man als ein Mitglied der menschlichen Gemeinschaft mit Hilfe der von der Wissenschaft geleiteten Technik zum Angriff auf die Natur übergeht und sie menschlichem Willen unterwirft. Man arbeitet dann mit allen am Glück aller. Die interessantesten Methoden zur Leidverhütung sind aber die, die den eigenen Organismus zu beeinflussen versuchen. Endlich ist alles Leid nur Empfindung, es besteht nur, insofern wir es verspüren, und wir verspüren es nur infolge gewisser Einrichtungen unseres Organismus.</w:t>
      </w:r>
    </w:p>
    <w:p w:rsidR="004E00C6" w:rsidRPr="00506316" w:rsidRDefault="004E00C6" w:rsidP="004E00C6">
      <w:pPr>
        <w:pStyle w:val="Sansinterligne"/>
        <w:rPr>
          <w:rFonts w:ascii="Garamond" w:hAnsi="Garamond"/>
          <w:lang w:val="en-US"/>
        </w:rPr>
      </w:pPr>
      <w:r w:rsidRPr="00506316">
        <w:rPr>
          <w:rFonts w:ascii="Garamond" w:hAnsi="Garamond"/>
          <w:lang w:val="en-US"/>
        </w:rPr>
        <w:lastRenderedPageBreak/>
        <w:t>Die roheste, aber auch wirksamste Methode solcher Beeinflussung ist die chemische, die Intoxikation. Ich glaube nicht, daß irgendwer ihren Mecha</w:t>
      </w:r>
      <w:r w:rsidRPr="00506316">
        <w:rPr>
          <w:rFonts w:ascii="Garamond" w:hAnsi="Garamond"/>
          <w:lang w:val="en-US"/>
        </w:rPr>
        <w:softHyphen/>
        <w:t>nismus durchschaut, aber es ist Tatsache, daß es körperfremde Stoffe gibt, deren Anwesenheit in Blut und Geweben uns unmittelbare Lustempfindungen verschafft, aber auch die Bedingungen unseres Empfindungslebens so verändert, daß wir zur Aufnahme von Unlustregungen untauglich werden. Beide Wirkungen erfolgen nicht nur gleichzeitig, sie scheinen auch innig miteinander verknüpft. Es muß aber auch in unserem eigenen Chemismus Stoffe geben, die ähnliches leisten, denn wir kennen wenigstens einen krankhaften Zustand, die Manie, in dem dies rauschähnliche Verhalten zustande kommt, ohne daß ein Rauschgift eingeführt worden wäre. Überdies zeigt unser normales Seelenleben Schwankungen von erleichterter oder erschwerter Lustentbindung, mit denen eine verringerte oder vergrößerte Empfänglichkeit für Unlust parallel geht. Es ist sehr zu bedauern, daß diese toxische Seite der seelischen Vorgänge sich der wissenschaftlichen Erforschung bisher entzogen hat. Die Leistung der Rauschmittel im Kampf um das Glück und zur Fernhaltung des Elends wird so sehr als Wohltat geschätzt, daß Individuen wie Völker ihnen eine feste Stellung in ihrer Libidoökonomie eingeräumt haben. Man dankt ihnen nicht nur den unmittelbaren Lustgewinn, sondern auch ein heiß ersehntes Stück Unabhängigkeit von der Außenwelt. Man weiß doch, daß man mit Hilfe des »Sorgenbrechers« sich jederzeit dem Druck der Realität entziehen und in einer eigenen Welt mit besseren Empfindungsbedingungen Zuflucht finden kann. Es ist bekannt, daß gerade diese Eigenschaft der Rauschmittel auch ihre Gefahr und Schädlichkeit bedingt. Sie tragen unter Umständen die Schuld daran, daß große Energiebeträge, die zur Verbesserung des menschlichen Loses verwendet werden könnten, nutzlos verlorengehen.</w:t>
      </w:r>
    </w:p>
    <w:p w:rsidR="004E00C6" w:rsidRPr="00506316" w:rsidRDefault="004E00C6" w:rsidP="004E00C6">
      <w:pPr>
        <w:pStyle w:val="Sansinterligne"/>
        <w:rPr>
          <w:rFonts w:ascii="Garamond" w:hAnsi="Garamond"/>
          <w:lang w:val="en-US"/>
        </w:rPr>
      </w:pPr>
      <w:r w:rsidRPr="00506316">
        <w:rPr>
          <w:rFonts w:ascii="Garamond" w:hAnsi="Garamond"/>
          <w:lang w:val="en-US"/>
        </w:rPr>
        <w:t>Der komplizierte Bau unseres seelischen Apparats gestattet aber auch eine ganze Reihe anderer Beeinflussungen. Wie Triebbefriedigung Glück ist, so wird es Ursache schweren Leidens, wenn die Außenwelt uns darben läßt, die Sättigung unserer Bedürfnisse verweigert. Man kann also hoffen, durch Einwirkung auf diese Triebregungen von einem Teil des Leidens frei zu werden. Diese Art der Leidabwehr greift nicht mehr am Empfindungsapparat an, sie sucht der inneren Quellen der Bedürfnisse Herr zu werden. In extremer Weise geschieht dies, indem man die Triebe ertötet, wie die orientalische Lebensweisheit lehrt und die Yogapraxis ausführt. Gelingt es, so hat man damit freilich auch alle andere Tätigkeit aufgegeben (das Leben geopfert), auf anderem Wege wieder nur das Glück der Ruhe erworben. Den gleichen Weg verfolgt man bei ermäßigten Zielen, wenn man nur die Beherr</w:t>
      </w:r>
      <w:r w:rsidRPr="00506316">
        <w:rPr>
          <w:rFonts w:ascii="Garamond" w:hAnsi="Garamond"/>
          <w:lang w:val="en-US"/>
        </w:rPr>
        <w:softHyphen/>
        <w:t>schung des Trieblebens anstrebt. Das Herrschende sind dann die höheren psychischen Instanzen, die sich dem Realitätsprinzip unterworfen haben. Hierbei wird die Absicht der Befriedigung keineswegs aufgegeben; ein gewisser Schutz gegen Leiden wird dadurch erreicht, daß die Unbefriedigung der in Abhängigkeit gehaltenen Triebe nicht so schmerzlich empfunden wird wie die der ungehemmten. Dagegen steht aber eine unleugbare Herab</w:t>
      </w:r>
      <w:r w:rsidRPr="00506316">
        <w:rPr>
          <w:rFonts w:ascii="Garamond" w:hAnsi="Garamond"/>
          <w:lang w:val="en-US"/>
        </w:rPr>
        <w:softHyphen/>
        <w:t>setzung der Genußmöglichkeiten. Das Glücksgefühl bei Befriedigung einer wilden, vom Ich ungebändigten Triebregung ist unvergleichlich intensiver als das bei Sättigung eines gezähmten Triebes. Die Unwiderstehlichkeit perverser Impulse, vielleicht der Anreiz des Verbotenen überhaupt, findet hierin eine ökonomische Erklärung.</w:t>
      </w:r>
    </w:p>
    <w:p w:rsidR="004E00C6" w:rsidRPr="00506316" w:rsidRDefault="004E00C6" w:rsidP="004E00C6">
      <w:pPr>
        <w:pStyle w:val="Sansinterligne"/>
        <w:rPr>
          <w:rFonts w:ascii="Garamond" w:hAnsi="Garamond"/>
          <w:lang w:val="en-US"/>
        </w:rPr>
      </w:pPr>
      <w:r w:rsidRPr="00506316">
        <w:rPr>
          <w:rFonts w:ascii="Garamond" w:hAnsi="Garamond"/>
          <w:lang w:val="en-US"/>
        </w:rPr>
        <w:t>Eine andere Technik der Leidabwehr bedient sich der Libidoverschie</w:t>
      </w:r>
      <w:r w:rsidRPr="00506316">
        <w:rPr>
          <w:rFonts w:ascii="Garamond" w:hAnsi="Garamond"/>
          <w:lang w:val="en-US"/>
        </w:rPr>
        <w:softHyphen/>
        <w:t>bungen, welche unser seelischer Apparat gestattet, durch die seine Funktion so viel an Geschmeidigkeit gewinnt. Die zu lösende Aufgabe ist, die Triebziele solcherart zu verlegen, daß sie von der Versagung der Außenwelt nicht getroffen werden können. Die Sublimierung der Triebe leiht dazu ihre Hilfe. Am meisten erreicht man, wenn man den Lustgewinn aus den Quellen psychischer und intellektueller Arbeit genügend zu erhöhen versteht. Das Schicksal kann einem dann wenig anhaben. Die Befriedigung solcher Art, wie die Freude des Künstlers am Schaffen, an der Verkörperung seiner Phantasiegebilde, die des Forschers an der Lösung von Problemen und am Erkennen der Wahrheit, haben eine besondere Qualität, die wir gewiß eines Tages werden metapsychologisch charakterisieren können. Derzeit können wir nur bildweise sagen, sie erscheinen uns »feiner und höher«, aber ihre Intensität ist im Vergleich mit der aus der Sättigung grober, primärer Triebregungen gedämpft; sie erschüttern nicht unsere Leiblichkeit. Die Schwäche dieser Methode liegt aber darin, daß sie nicht allgemein verwendbar, nur wenigen Menschen zugänglich ist. Sie setzt besondere, im wirksamen Ausmaß nicht gerade häufige Anlagen und Begabungen voraus. Auch diesen wenigen kann sie nicht vollkommenen Leidensschutz gewähren, sie schafft ihnen keinen für die Pfeile des Schicksals undurchdringlichen Panzer, und sie pflegt zu versagen, wenn der eigene Leib die Quelle des Leidens wird.</w:t>
      </w:r>
      <w:r w:rsidRPr="00506316">
        <w:rPr>
          <w:rFonts w:ascii="Garamond" w:hAnsi="Garamond"/>
          <w:vertAlign w:val="superscript"/>
          <w:lang w:val="en-US"/>
        </w:rPr>
        <w:t>4)</w:t>
      </w:r>
    </w:p>
    <w:p w:rsidR="004E00C6" w:rsidRPr="00506316" w:rsidRDefault="004E00C6" w:rsidP="004E00C6">
      <w:pPr>
        <w:pStyle w:val="Sansinterligne"/>
        <w:rPr>
          <w:rFonts w:ascii="Garamond" w:hAnsi="Garamond"/>
          <w:lang w:val="en-US"/>
        </w:rPr>
      </w:pPr>
      <w:r w:rsidRPr="00506316">
        <w:rPr>
          <w:rFonts w:ascii="Garamond" w:hAnsi="Garamond"/>
          <w:lang w:val="en-US"/>
        </w:rPr>
        <w:t xml:space="preserve">Wenn schon bei diesem Verfahren die Absicht deutlich wird, sich von der Außenwelt unabhängig zu machen, indem man seine Befriedigungen in inneren, psychischen Vorgängen sucht, so treten die gleichen Züge noch stärker bei dem nächsten hervor. Hier wird der Zusammenhang mit der Realität noch mehr </w:t>
      </w:r>
      <w:r w:rsidRPr="00506316">
        <w:rPr>
          <w:rFonts w:ascii="Garamond" w:hAnsi="Garamond"/>
          <w:lang w:val="en-US"/>
        </w:rPr>
        <w:lastRenderedPageBreak/>
        <w:t>gelockert, die Befriedigung wird aus Illusionen gewonnen, die man als solche erkennt, ohne sich durch deren Abweichung von der Wirklichkeit im Genuß stören zu lassen. Das Gebiet, aus dem diese Illusionen stammen, ist das des Phantasielebens; es wurde seinerzeit, als sich die Entwicklung des Realitätssinnes vollzog, ausdrücklich den Ansprüchen der Realitätsprüfung entzogen und blieb für die Erfüllung schwer durchsetzbarer Wünsche bestimmt. Obenan unter diesen Phantasiebefriedigungen steht der Genuß an Werken der Kunst, der auch dem nicht selbst Schöpferischen durch die Vermittlung des Künstlers zugänglich gemacht wird.</w:t>
      </w:r>
      <w:r w:rsidRPr="00506316">
        <w:rPr>
          <w:rFonts w:ascii="Garamond" w:hAnsi="Garamond"/>
          <w:vertAlign w:val="superscript"/>
          <w:lang w:val="en-US"/>
        </w:rPr>
        <w:t>5)</w:t>
      </w:r>
      <w:r w:rsidRPr="00506316">
        <w:rPr>
          <w:rFonts w:ascii="Garamond" w:hAnsi="Garamond"/>
          <w:lang w:val="en-US"/>
        </w:rPr>
        <w:t xml:space="preserve"> Wer für den Einfluß der Kunst empfänglich ist, weiß ihn als Lustquelle und Lebenströstung nicht hoch genug einzuschätzen. Doch vermag die milde Narkose, in die uns die Kunst versetzt, nicht mehr als eine flüchtige Entrückung aus den Nöten des Lebens herbeizuführen und ist nicht stark genug, um reales Elend vergessen zu machen.</w:t>
      </w:r>
    </w:p>
    <w:p w:rsidR="004E00C6" w:rsidRPr="00506316" w:rsidRDefault="004E00C6" w:rsidP="004E00C6">
      <w:pPr>
        <w:pStyle w:val="Sansinterligne"/>
        <w:rPr>
          <w:rFonts w:ascii="Garamond" w:hAnsi="Garamond"/>
          <w:lang w:val="en-US"/>
        </w:rPr>
      </w:pPr>
      <w:r w:rsidRPr="00506316">
        <w:rPr>
          <w:rFonts w:ascii="Garamond" w:hAnsi="Garamond"/>
          <w:lang w:val="en-US"/>
        </w:rPr>
        <w:t>Energischer und gründlicher geht ein anderes Verfahren vor, das den einzigen Feind in der Realität erblickt, die die Quelle alles Leids ist, mit der sich nicht leben läßt, mit der man darum alle Beziehungen abbrechen muß, wenn man in irgendeinem Sinne glücklich sein will. Der Eremit kehrt dieser Welt den Rücken, er will nichts mit ihr zu schaffen haben. Aber man kann mehr tun, man kann sie umschafFen wollen, anstatt ihrer eine andere aufbauen, in der die unerträglichsten Züge ausgetilgt und durch andere im Sinne der eigenen Wünsche ersetzt sind. Wer in verzweifelter Empörung diesen Weg zum Glück einschlägt, wird in der Regel nichts erreichen; die Wirklichkeit ist zu stark für ihn. Er wird ein Wahnsinniger, der in der Durchsetzung seines Wahns meist keine Helfer findet. Es wird aber behauptet, daß jeder von uns sich in irgendeinem Punkte ähnlich wie der Paranoiker benimmt, eine ihm unleidliche Seite der Welt durch eine Wunschbildung korrigiert und diesen Wahn in die Realität einträgt. Eine besondere Bedeutung beansprucht der Fall, daß eine größere Anzahl von Menschen gemeinsam den Versuch unternimmt, sich Glücksversicherung und Leidensschutz durch wahnhafte Umbildung der Wirklichkeit zu schaffen. Als solchen Massenwahn müssen wir auch die Religionen der Menschheit kennzeichnen. Den Wahn erkennt natürlich niemals, wer ihn selbst noch teilt.</w:t>
      </w:r>
    </w:p>
    <w:p w:rsidR="004E00C6" w:rsidRPr="00506316" w:rsidRDefault="004E00C6" w:rsidP="004E00C6">
      <w:pPr>
        <w:pStyle w:val="Sansinterligne"/>
        <w:rPr>
          <w:rFonts w:ascii="Garamond" w:hAnsi="Garamond"/>
          <w:lang w:val="en-US"/>
        </w:rPr>
      </w:pPr>
      <w:r w:rsidRPr="00506316">
        <w:rPr>
          <w:rFonts w:ascii="Garamond" w:hAnsi="Garamond"/>
          <w:lang w:val="en-US"/>
        </w:rPr>
        <w:t>Ich glaube nicht, daß diese Aufzählung der Methoden, wie die Menschen das Glück zu gewinnen und das Leiden fernzuhalten bemüht sind, vollständig ist, weiß auch, daß der Stoff andere Anordnungen zuläßt. Eines dieser Verfahren habe ich noch nicht angeführt; nicht daß ich daran vergessen hätte, sondern weil es uns noch in anderem Zusammenhange beschäftigen wird. Wie wäre es auch möglich, gerade an diese Technik der Lebenskunst zu vergessen! Sie zeichnet sich durch die merkwürdigste Vereinigung von charakteristischen Zügen aus. Sie strebt natürlich auch die Unabhängigkeit vom Schicksal — so nennen wir es am besten — an und verlegt in dieser Absicht die Befriedigung in innere seelische Vorgänge, bedient sich dabei der vorhin erwähnten Verschiebbarkeit der Libido, aber sie wendet sich nicht von der Außenwelt ab, klammert sich im Gegenteil an deren Objekte und gewinnt das Glück aus einer Gefühlsbeziehung zu ihnen. Sie gibt sich dabei auch nicht mit dem gleichsam müde resignierenden Ziel der Unlustvermeidung zufrieden, eher geht sie achtlos an diesem vorbei und hält am ursprünglichen, leiden</w:t>
      </w:r>
      <w:r w:rsidRPr="00506316">
        <w:rPr>
          <w:rFonts w:ascii="Garamond" w:hAnsi="Garamond"/>
          <w:lang w:val="en-US"/>
        </w:rPr>
        <w:softHyphen/>
        <w:t>schaftlichen Streben nach positiver Glückserfüllung fest. Vielleicht kommt sie diesem Ziele wirklich näher als jede andere Methode. Ich meine natürlich jene Richtung des Lebens, welche die Liebe zum Mittelpunkt nimmt, alle Befriedigung aus dem Lieben und Geliebtwerden erwartet. Eine solche psychische Einstellung liegt uns allen nahe genug; eine der Erscheinungs</w:t>
      </w:r>
      <w:r w:rsidRPr="00506316">
        <w:rPr>
          <w:rFonts w:ascii="Garamond" w:hAnsi="Garamond"/>
          <w:lang w:val="en-US"/>
        </w:rPr>
        <w:softHyphen/>
        <w:t>formen der Liebe, die geschlechtliche Liebe, hat uns die stärkste Erfahrung einer überwältigenden Lustempfindung vermittelt und so das Vorbild für unser Glücksstreben gegeben. Was ist natürlicher, als daß wir dabei beharren, das Glück auf demselben Wege zu suchen, auf dem wir es zuerst begegnet haben. Die schwache Seite dieser Lebenstechnik liegt klar zutage; sonst wäre es auch keinem Menschen eingefallen, diesen Weg zum Glück für einen anderen zu verlassen. Niemals sind wir ungeschützter gegen das Leiden, als wenn wir lieben, niemals hilfloser unglücklich, als wenn wir das geliebte Objekt oder seine Liebe verloren haben. Aber die auf den Glückswert der Liebe gegründete Lebenstechnik ist damit nicht erledigt, es ist viel mehr darüber zu sagen.</w:t>
      </w:r>
    </w:p>
    <w:p w:rsidR="004E00C6" w:rsidRPr="00506316" w:rsidRDefault="004E00C6" w:rsidP="004E00C6">
      <w:pPr>
        <w:pStyle w:val="Sansinterligne"/>
        <w:rPr>
          <w:rFonts w:ascii="Garamond" w:hAnsi="Garamond"/>
          <w:lang w:val="en-US"/>
        </w:rPr>
      </w:pPr>
      <w:r w:rsidRPr="00506316">
        <w:rPr>
          <w:rFonts w:ascii="Garamond" w:hAnsi="Garamond"/>
          <w:lang w:val="en-US"/>
        </w:rPr>
        <w:t>Hier kann man den interessanten Fall anschließen, daß das Lebensglück vorwiegend im Genüsse der Schönheit gesucht wird, wo immer sie sich unseren Sinnen und unserem Urteil zeigt, der Schönheit menschlicher Formen und Gesten, von Naturobjekten und Landschaften, künstlerischen und selbst wissenschaftlichen Schöpfungen. Diese ästhetische Einstellung zum Lebens</w:t>
      </w:r>
      <w:r w:rsidRPr="00506316">
        <w:rPr>
          <w:rFonts w:ascii="Garamond" w:hAnsi="Garamond"/>
          <w:lang w:val="en-US"/>
        </w:rPr>
        <w:softHyphen/>
        <w:t>ziel bietet wenig Schutz gegen drohende Leiden, vermag aber für vieles zu entschädigen. Der Genuß an der Schönheit hat einen besonderen, milde berauschenden Empfindungscharakter. Ein Nutzen der Schönheit liegt nicht klar zutage, ihre kulturelle Notwendigkeit ist nicht einzusehen, und doch könnte man sie in der Kultur nicht vermissen. Die Wissenschaft der Ästhetik untersucht die Bedingungen, unter denen das Schöne empfunden wird; über Natur und Herkunft der Schönheit hat sie keine Aufklärung geben können; wie gebräuchlich, wird die Ergebnislosigkeit durch einen Aufwand an voll</w:t>
      </w:r>
      <w:r w:rsidRPr="00506316">
        <w:rPr>
          <w:rFonts w:ascii="Garamond" w:hAnsi="Garamond"/>
          <w:lang w:val="en-US"/>
        </w:rPr>
        <w:softHyphen/>
        <w:t xml:space="preserve">tönenden, inhaltsarmen Worten </w:t>
      </w:r>
      <w:r w:rsidRPr="00506316">
        <w:rPr>
          <w:rFonts w:ascii="Garamond" w:hAnsi="Garamond"/>
          <w:lang w:val="en-US"/>
        </w:rPr>
        <w:lastRenderedPageBreak/>
        <w:t>verhüllt. Leider weiß auch die Psychoanalyse über die Schönheit am wenigsten zu sagen. Einzig die Ableitung aus dem Gebiet des Sexualempfindens scheint gesichert; es wäre ein vorbildliches Beispiel einer zielgehemmten Regung. Die »Schönheit« und der »Reiz« sind ursprünglich Eigenschaften des Sexualobjekts. Es ist bemerkenswert, daß die Genitalien selbst, deren Anblick immer erregend wirkt, doch fast nie als schön beurteilt werden, dagegen scheint der Charakter der Schönheit an gewissen sekundären Geschlechtsmerkmalen zu haften.</w:t>
      </w:r>
    </w:p>
    <w:p w:rsidR="004E00C6" w:rsidRPr="00506316" w:rsidRDefault="004E00C6" w:rsidP="004E00C6">
      <w:pPr>
        <w:pStyle w:val="Sansinterligne"/>
        <w:rPr>
          <w:rFonts w:ascii="Garamond" w:hAnsi="Garamond"/>
          <w:lang w:val="en-US"/>
        </w:rPr>
      </w:pPr>
      <w:r w:rsidRPr="00506316">
        <w:rPr>
          <w:rFonts w:ascii="Garamond" w:hAnsi="Garamond"/>
          <w:lang w:val="en-US"/>
        </w:rPr>
        <w:t>Trotz dieser Unvollständigkeit getraue ich mich bereits einiger unsere Untersuchung abschließenden Bemerkungen. Das Programm, welches uns das Lustprinzip aufdrängt, glücklich zu werden, ist nicht zu erfüllen, doch darf man — nein, kann man — die Bemühungen, es irgendwie der Erfüllung näherzubringen, nicht aufgeben. Man kann sehr verschiedene Wege dahin einschlagen, entweder den positiven Inhalt des Ziels, den Lustgewinn, oder den negativen, die Unlustvermeidung, voranstellen. Auf keinem dieser Wege können wir alles, was wir begehren, erreichen. Das Glück in jenem ermäßigten Sinn, in dem es als möglich erkannt wird, ist ein Problem der individuellen Libidoökonomie. Es gibt hier keinen Rat, der für alle taugt; ein jeder muß selbst versuchen, auf welche besondere Fasson er selig werden kann. Die mannigfachsten Faktoren werden sich geltend machen, um seiner Wahl die Wege zu weisen. Es kommt darauf an, wieviel reale Befriedigung er von der Außenwelt zu erwarten hat und inwieweit er veranlaßt ist, sich von ihr unabhängig zu machen; zuletzt auch, wieviel Kraft er sich zutraut, diese nach seinen Wünschen abzuändern. Schon dabei wird außer den äußeren Verhältnissen die psychische Konstitution des Individuums entscheidend werden. Der vorwiegend erotische Mensch wird die Gefühlsbeziehungen zu anderen Personen voranstellen, der eher selbstgenügsame Narzißtische die wesentlichen Befriedigungen in seinen inneren seelischen Vorgängen suchen, der Tatenmensch von der Außenwelt nicht ablassen, an der er seine Kraft erproben kann. Für den mittleren dieser Typen wird die Art seiner Begabung und das Ausmaß der ihm möglichen Triebsublimierung dafür bestimmend werden, wohin er seine Interessen verlegen soll. Jede extreme Entscheidung wird sich dadurch strafen, daß sie das Individuum den Gefahren aussetzt, die die Unzulänglichkeit der ausschließend gewählten Lebenstechnik mit sich bringt. Wie der vorsichtige Kaufmann es vermeidet, sein ganzes Kapital an einer Stelle festzulegen, so wird vielleicht auch die Lebensweisheit raten, nicht alle Befriedigung von einer einzigen Strebung zu erwarten. Der Erfolg ist niemals sicher, er hängt vom Zusammentreffen vieler Momente ab, von keinem vielleicht mehr als von der Fähigkeit der psychi</w:t>
      </w:r>
      <w:r w:rsidRPr="00506316">
        <w:rPr>
          <w:rFonts w:ascii="Garamond" w:hAnsi="Garamond"/>
          <w:lang w:val="en-US"/>
        </w:rPr>
        <w:softHyphen/>
        <w:t>schen Konstitution, ihre Funktion der Umwelt anzupassen und diese für Lustgewinn auszunützen. Wer eine besonders ungünstige Triebkonstitution mitgebracht und die zur späteren Leistung unerläßliche Umbildung und Neuordnung seiner Libidokomponenten nicht regelrecht durchgemacht hat, wird es schwer haben, aus seiner äußeren Situation Glück zu gewinnen, zumal wenn er vor schwierigere Aufgaben gestellt wird. Als letzte Lebens</w:t>
      </w:r>
      <w:r w:rsidRPr="00506316">
        <w:rPr>
          <w:rFonts w:ascii="Garamond" w:hAnsi="Garamond"/>
          <w:lang w:val="en-US"/>
        </w:rPr>
        <w:softHyphen/>
        <w:t>technik, die ihm wenigstens Ersatzbefriedigungen verspricht, bietet sich ihm die Flucht in die neurotische Krankheit, die er meist schon in jungen Jahren vollzieht. Wer dann in späterer Lebenszeit seine Bemühungen um das Glück vereitelt sieht, findet noch Trost im Lustgewinn der chronischen Intoxikation, oder er unternimmt den verzweifelten Auflehnungsversuch der Psychose.</w:t>
      </w:r>
      <w:r w:rsidRPr="00506316">
        <w:rPr>
          <w:rFonts w:ascii="Garamond" w:hAnsi="Garamond"/>
          <w:vertAlign w:val="superscript"/>
          <w:lang w:val="en-US"/>
        </w:rPr>
        <w:t>6)</w:t>
      </w:r>
    </w:p>
    <w:p w:rsidR="004E00C6" w:rsidRPr="00506316" w:rsidRDefault="004E00C6" w:rsidP="004E00C6">
      <w:pPr>
        <w:pStyle w:val="Sansinterligne"/>
        <w:rPr>
          <w:rFonts w:ascii="Garamond" w:hAnsi="Garamond"/>
          <w:lang w:val="en-US"/>
        </w:rPr>
      </w:pPr>
      <w:r w:rsidRPr="00506316">
        <w:rPr>
          <w:rFonts w:ascii="Garamond" w:hAnsi="Garamond"/>
          <w:lang w:val="en-US"/>
        </w:rPr>
        <w:t>Die Religion beeinträchtigt dieses Spiel der Auswahl und Anpassung, indem sie ihren Weg zum Glückserwerb und Leidensschutz allen in gleicher Weise aufdrängt. Ihre Technik besteht darin, den Wert des Lebens herabzudrücken und das Bild der realen Welt wahnhaft zu entstellen, was die Einschüchterung der Intelligenz zur Voraussetzung hat. Um diesen Preis, durch gewaltsame Fixierung eines psychischen Infantilismus und Einbe</w:t>
      </w:r>
      <w:r w:rsidRPr="00506316">
        <w:rPr>
          <w:rFonts w:ascii="Garamond" w:hAnsi="Garamond"/>
          <w:lang w:val="en-US"/>
        </w:rPr>
        <w:softHyphen/>
        <w:t>ziehung in einen Massenwahn gelingt es der Religion, vielen Menschen die individuelle Neurose zu ersparen. Aber kaum mehr; es gibt, wie wir gesagt haben, viele Wege, die zu dem Glück führen können, wie es dem Menschen erreichbar ist, keinen, der sicher dahin leitet. Auch die Religion kann ihr Versprechen nicht halten. Wenn der Gläubige sich endlich genötigt findet, von Gottes »unerforschlichem Ratschluß« zu reden, so gesteht er damit ein, daß ihm als letzte Trostmöglichkeit und Lustquelle im Leiden nur die bedingungslose Unterwerfung übriggeblieben ist. Und wenn er zu dieser bereit ist, hätte er sich wahrscheinlich den Umweg ersparen können.</w:t>
      </w:r>
    </w:p>
    <w:p w:rsidR="004E00C6" w:rsidRPr="00506316" w:rsidRDefault="004E00C6" w:rsidP="004E00C6">
      <w:pPr>
        <w:pStyle w:val="Sansinterligne"/>
        <w:rPr>
          <w:rFonts w:ascii="Garamond" w:hAnsi="Garamond"/>
          <w:lang w:val="en-US"/>
        </w:rPr>
      </w:pPr>
      <w:r w:rsidRPr="00506316">
        <w:rPr>
          <w:rFonts w:ascii="Garamond" w:hAnsi="Garamond"/>
          <w:lang w:val="en-US"/>
        </w:rPr>
        <w:t> </w:t>
      </w:r>
    </w:p>
    <w:p w:rsidR="004E00C6" w:rsidRPr="004E00C6" w:rsidRDefault="004E00C6" w:rsidP="004E00C6">
      <w:pPr>
        <w:pStyle w:val="Sansinterligne"/>
        <w:rPr>
          <w:rFonts w:ascii="Garamond" w:hAnsi="Garamond"/>
          <w:lang w:val="en-US"/>
        </w:rPr>
      </w:pPr>
      <w:r w:rsidRPr="004E00C6">
        <w:rPr>
          <w:rFonts w:ascii="Garamond" w:hAnsi="Garamond"/>
          <w:lang w:val="en-US"/>
        </w:rPr>
        <w:t>____________________</w:t>
      </w:r>
    </w:p>
    <w:p w:rsidR="004E00C6" w:rsidRPr="00506316" w:rsidRDefault="004E00C6" w:rsidP="004E00C6">
      <w:pPr>
        <w:pStyle w:val="Sansinterligne"/>
        <w:rPr>
          <w:rFonts w:ascii="Garamond" w:hAnsi="Garamond"/>
          <w:lang w:val="en-US"/>
        </w:rPr>
      </w:pPr>
      <w:r w:rsidRPr="004E00C6">
        <w:rPr>
          <w:rFonts w:ascii="Garamond" w:hAnsi="Garamond"/>
          <w:vertAlign w:val="superscript"/>
          <w:lang w:val="en-US"/>
        </w:rPr>
        <w:t>4)</w:t>
      </w:r>
      <w:r w:rsidRPr="004E00C6">
        <w:rPr>
          <w:rFonts w:ascii="Garamond" w:hAnsi="Garamond"/>
          <w:lang w:val="en-US"/>
        </w:rPr>
        <w:t xml:space="preserve"> Wenn nicht besondere Veranlagung den Lebensinteressen gebieterisch die Richtung vorschreibt, kann die gemeine, jedermann zugängliche Berufsarbeit an die Stelle rücken, die ihr von dem weisen Ratschlag Voltaires angewiesen wird. Es ist nicht möglich, die Bedeutung der Arbeit für die Libidoökonomie im Rahmen einer knappen Übersicht ausreichend zu würdigen. </w:t>
      </w:r>
      <w:r w:rsidRPr="00506316">
        <w:rPr>
          <w:rFonts w:ascii="Garamond" w:hAnsi="Garamond"/>
          <w:lang w:val="en-US"/>
        </w:rPr>
        <w:t>Keine andere Technik der Lebens</w:t>
      </w:r>
      <w:r w:rsidRPr="00506316">
        <w:rPr>
          <w:rFonts w:ascii="Garamond" w:hAnsi="Garamond"/>
          <w:lang w:val="en-US"/>
        </w:rPr>
        <w:softHyphen/>
        <w:t xml:space="preserve">führung bindet den Einzelnen so fest an die Realität als die Betonung der Arbeit, die ihn wenigstens in ein Stück der Realität, in die menschliche Gemeinschaft sicher einfügt. Die Möglichkeit, ein starkes Ausmaß </w:t>
      </w:r>
      <w:r w:rsidRPr="00506316">
        <w:rPr>
          <w:rFonts w:ascii="Garamond" w:hAnsi="Garamond"/>
          <w:lang w:val="en-US"/>
        </w:rPr>
        <w:lastRenderedPageBreak/>
        <w:t>libidinöser Komponenten, narzißtische, aggressive und selbst erotische, auf die Berufsarbeit und auf die mit ihr verknüpften menschlichen Beziehungen zu verschieben, leiht ihr einen Wert, der hinter ihrer Unerläßlichkeit zur Behauptung und Rechtfertigung der Existenz in der Gesellschaft nicht zurücksteht. Besondere Befriedigung vermittelt die Berufstätigkeit, wenn sie eine frei gewählte ist, also bestehende Neigungen, fortgeführte oder konstitutionell verstärkte Triebregungen durch Sublimie-rung nutzbar zu machen gestattet. Und dennoch wird Arbeit als Weg zum Glück von den Menschen wenig geschätzt. Man drängt sich nicht zu ihr wie zu anderen Möglichkeiten der Befriedigung. Die große Mehrzahl der Menschen arbeitet nur notgedrungen, und aus dieser natürlichen Arbeitsscheu der Menschen leiten sich die schwierigsten sozialen Probleme ab.</w:t>
      </w:r>
    </w:p>
    <w:p w:rsidR="004E00C6" w:rsidRPr="00506316" w:rsidRDefault="004E00C6" w:rsidP="004E00C6">
      <w:pPr>
        <w:pStyle w:val="Sansinterligne"/>
        <w:rPr>
          <w:rFonts w:ascii="Garamond" w:hAnsi="Garamond"/>
          <w:lang w:val="en-US"/>
        </w:rPr>
      </w:pPr>
      <w:r w:rsidRPr="00506316">
        <w:rPr>
          <w:rFonts w:ascii="Garamond" w:hAnsi="Garamond"/>
          <w:vertAlign w:val="superscript"/>
          <w:lang w:val="en-US"/>
        </w:rPr>
        <w:t>5)</w:t>
      </w:r>
      <w:r w:rsidRPr="00506316">
        <w:rPr>
          <w:rFonts w:ascii="Garamond" w:hAnsi="Garamond"/>
          <w:lang w:val="en-US"/>
        </w:rPr>
        <w:t xml:space="preserve"> Vgl. Formulierungen über die zwei Prinzipien des psychischen Ge</w:t>
      </w:r>
      <w:r w:rsidRPr="00506316">
        <w:rPr>
          <w:rFonts w:ascii="Garamond" w:hAnsi="Garamond"/>
          <w:lang w:val="en-US"/>
        </w:rPr>
        <w:softHyphen/>
        <w:t xml:space="preserve">schehens‹ (1911 </w:t>
      </w:r>
      <w:r w:rsidRPr="00506316">
        <w:rPr>
          <w:rFonts w:ascii="Garamond" w:hAnsi="Garamond"/>
          <w:i/>
          <w:iCs/>
          <w:lang w:val="en-US"/>
        </w:rPr>
        <w:t>b),</w:t>
      </w:r>
      <w:r w:rsidRPr="00506316">
        <w:rPr>
          <w:rFonts w:ascii="Garamond" w:hAnsi="Garamond"/>
          <w:lang w:val="en-US"/>
        </w:rPr>
        <w:t xml:space="preserve"> und </w:t>
      </w:r>
      <w:r w:rsidRPr="00506316">
        <w:rPr>
          <w:rFonts w:ascii="Garamond" w:hAnsi="Garamond"/>
          <w:i/>
          <w:iCs/>
          <w:lang w:val="en-US"/>
        </w:rPr>
        <w:t>Vorlesungen zur Einführung in die Psychoanalyse</w:t>
      </w:r>
      <w:r w:rsidRPr="00506316">
        <w:rPr>
          <w:rFonts w:ascii="Garamond" w:hAnsi="Garamond"/>
          <w:lang w:val="en-US"/>
        </w:rPr>
        <w:t xml:space="preserve"> (1916-17), XXIII.</w:t>
      </w:r>
    </w:p>
    <w:p w:rsidR="004E00C6" w:rsidRPr="00506316" w:rsidRDefault="004E00C6" w:rsidP="004E00C6">
      <w:pPr>
        <w:pStyle w:val="Sansinterligne"/>
        <w:rPr>
          <w:rFonts w:ascii="Garamond" w:hAnsi="Garamond"/>
          <w:lang w:val="en-US"/>
        </w:rPr>
      </w:pPr>
      <w:r w:rsidRPr="00506316">
        <w:rPr>
          <w:rFonts w:ascii="Garamond" w:hAnsi="Garamond"/>
          <w:vertAlign w:val="superscript"/>
          <w:lang w:val="en-US"/>
        </w:rPr>
        <w:t>6)</w:t>
      </w:r>
      <w:r w:rsidRPr="00506316">
        <w:rPr>
          <w:rFonts w:ascii="Garamond" w:hAnsi="Garamond"/>
          <w:lang w:val="en-US"/>
        </w:rPr>
        <w:t xml:space="preserve"> Es drängt mich, wenigstens auf eine der Lücken hinzuweisen, die in obiger Darstellung geblieben sind. Eine Betrachtung der menschlichen Glücksmöglichkeiten sollte es nicht unterlassen, das relative Verhältnis des Narzißmus zur Objektlibido in Rechnung zu bringen. Man verlangt zu wissen, was es für die Libidoökonomie bedeutet, im wesentlichen auf sich selbst gestellt zu sein. —</w:t>
      </w:r>
    </w:p>
    <w:p w:rsidR="004E00C6" w:rsidRPr="00506316" w:rsidRDefault="004E00C6" w:rsidP="004E00C6">
      <w:pPr>
        <w:pStyle w:val="Sansinterligne"/>
        <w:rPr>
          <w:rFonts w:ascii="Garamond" w:hAnsi="Garamond"/>
          <w:lang w:val="en-US"/>
        </w:rPr>
      </w:pPr>
      <w:r w:rsidRPr="00506316">
        <w:rPr>
          <w:rFonts w:ascii="Garamond" w:hAnsi="Garamond"/>
          <w:lang w:val="en-US"/>
        </w:rPr>
        <w:br w:type="page"/>
      </w:r>
    </w:p>
    <w:p w:rsidR="004E00C6" w:rsidRPr="00506316" w:rsidRDefault="00B437A1" w:rsidP="004E00C6">
      <w:pPr>
        <w:pStyle w:val="Sansinterligne"/>
        <w:rPr>
          <w:rFonts w:ascii="Garamond" w:hAnsi="Garamond"/>
          <w:kern w:val="36"/>
          <w:lang w:val="en-US" w:eastAsia="fr-FR"/>
        </w:rPr>
      </w:pPr>
      <w:hyperlink w:anchor="KulturINHALT" w:history="1">
        <w:r w:rsidR="004E00C6" w:rsidRPr="00506316">
          <w:rPr>
            <w:rStyle w:val="Lienhypertexte"/>
            <w:rFonts w:ascii="Garamond" w:hAnsi="Garamond"/>
            <w:kern w:val="36"/>
            <w:lang w:val="en-US" w:eastAsia="fr-FR"/>
          </w:rPr>
          <w:t>III.  Gr</w:t>
        </w:r>
        <w:bookmarkStart w:id="253" w:name="Kultur3"/>
        <w:bookmarkEnd w:id="253"/>
        <w:r w:rsidR="004E00C6" w:rsidRPr="00506316">
          <w:rPr>
            <w:rStyle w:val="Lienhypertexte"/>
            <w:rFonts w:ascii="Garamond" w:hAnsi="Garamond"/>
            <w:kern w:val="36"/>
            <w:lang w:val="en-US" w:eastAsia="fr-FR"/>
          </w:rPr>
          <w:t>ünde für das Unbehagen in der Kultur</w:t>
        </w:r>
      </w:hyperlink>
    </w:p>
    <w:p w:rsidR="004E00C6" w:rsidRPr="00506316" w:rsidRDefault="004E00C6" w:rsidP="004E00C6">
      <w:pPr>
        <w:pStyle w:val="Sansinterligne"/>
        <w:rPr>
          <w:rFonts w:ascii="Garamond" w:hAnsi="Garamond"/>
          <w:lang w:val="en-US" w:eastAsia="fr-FR"/>
        </w:rPr>
      </w:pP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Unsere Untersuchung über das Glück hat uns bisher nicht viel gelehrt, was nicht allgemein bekannt ist. Auch wenn wir sie mit der Frage fortsetzen, warum es für die Menschen so schwer ist, glücklich zu werden, scheint die Aussicht, Neues zu erfahren, nicht viel größer. Wir haben die Antwort bereits gegeben, indem wir auf die drei Quellen hinwiesen, aus denen unser Leiden kommt: die Übermacht der Natur, die Hinfälligkeit unseres eigenen Körpers und die Unzulänglichkeit der Einrichtungen, welche die Beziehungen der Menschen zueinander in Familie, Staat und Gesellschaft regeln. In betreff der beiden ersten kann unser Urteil nicht lange schwanken; es zwingt uns zur Anerkennung dieser Leidensquellen und zur Ergebung ins Unvermeid</w:t>
      </w:r>
      <w:r w:rsidRPr="00506316">
        <w:rPr>
          <w:rFonts w:ascii="Garamond" w:hAnsi="Garamond"/>
          <w:lang w:val="en-US" w:eastAsia="fr-FR"/>
        </w:rPr>
        <w:softHyphen/>
        <w:t>liche. Wir werden die Natur nie vollkommen beherrschen, unser Organismus, selbst ein Stück dieser Natur, wird immer ein vergängliches, in Anpassung und Leistung beschränktes Gebilde bleiben. Von dieser Erkenntnis geht keine lähmende Wirkung aus; im Gegenteil, sie weist unserer Tätigkeit die Richtung. Können wir nicht alles Leiden aufheben, so doch manches, und anderes lindern, mehrtausendjährige Erfahrung hat uns davon überzeugt. Anders verhalten wir uns zur dritten, zur sozialen Leidensquelle. Diese wollen wir überhaupt nicht gelten lassen, können nicht einsehen, warum die von uns selbst geschaffenen Einrichtungen nicht vielmehr Schutz und Wohltat für uns alle sein sollten. Allerdings, wenn wir bedenken, wie schlecht uns gerade dieses Stück der Leidverhütung gelungen ist, erwacht der Verdacht, es könnte auch hier ein Stück der unbesiegbaren Natur dahinterstecken, diesmal unserer eigenen psychischen Beschaffenheit.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Auf dem Wege, uns mit dieser Möglichkeit zu beschäftigen, treffen wir auf eine Behauptung, die so erstaunlich ist, daß wir bei ihr verweilen wollen. Sie lautet, einen großen Teil der Schuld an unserem Elend trage unsere sogenannte Kultur; wir wären viel glücklicher, wenn wir sie aufgeben und in primitive Verhältnisse zurückfinden würden. Ich heiße sie erstaunlich, weil — wie immer man den Begriff Kultur bestimmen mag — es doch feststeht, daß alles, womit wir uns gegen die Bedrohung aus den Quellen des Leidens zu schützen versuchen, eben der nämlichen Kultur zugehört.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Auf welchem Weg sind wohl so viele Menschen zu diesem Standpunkt befremdlicher Kulturfeindlichkeit gekommen?</w:t>
      </w:r>
      <w:r w:rsidRPr="00506316">
        <w:rPr>
          <w:rFonts w:ascii="Garamond" w:hAnsi="Garamond"/>
          <w:i/>
          <w:iCs/>
          <w:lang w:val="en-US" w:eastAsia="fr-FR"/>
        </w:rPr>
        <w:t xml:space="preserve"> </w:t>
      </w:r>
      <w:r w:rsidRPr="00506316">
        <w:rPr>
          <w:rFonts w:ascii="Garamond" w:hAnsi="Garamond"/>
          <w:lang w:val="en-US" w:eastAsia="fr-FR"/>
        </w:rPr>
        <w:t>Ich meine, eine tiefe, lang bestehende Unzufriedenheit mit dem jeweiligen Kulturzustand stellte den Boden her, auf dem sich dann bei bestimmten historischen Anlässen eine Verurteilung erhob. Den letzten und den vorletzten dieser Anlässe glaube ich zu erkennen; ich bin nicht gelehrt genug, um die Kette derselben weit genug in die Geschichte der menschlichen Art zurückzuverfolgen. Schon beim Sieg des Christentums über die heidnischen Religionen muß ein solcher kultur</w:t>
      </w:r>
      <w:r w:rsidRPr="00506316">
        <w:rPr>
          <w:rFonts w:ascii="Garamond" w:hAnsi="Garamond"/>
          <w:lang w:val="en-US" w:eastAsia="fr-FR"/>
        </w:rPr>
        <w:softHyphen/>
        <w:t>feindlicher Faktor beteiligt gewesen sein. Der durch die christliche Lehre vollzogenen Entwertung des irdischen Lebens stand er ja sehr nahe. Die vorletzte Veranlassung ergab sich, als man im Fortschritt der Entdeckungs</w:t>
      </w:r>
      <w:r w:rsidRPr="00506316">
        <w:rPr>
          <w:rFonts w:ascii="Garamond" w:hAnsi="Garamond"/>
          <w:lang w:val="en-US" w:eastAsia="fr-FR"/>
        </w:rPr>
        <w:softHyphen/>
        <w:t>reisen in Berührung mit primitiven Völkern und Stämmen kam. Bei ungenü</w:t>
      </w:r>
      <w:r w:rsidRPr="00506316">
        <w:rPr>
          <w:rFonts w:ascii="Garamond" w:hAnsi="Garamond"/>
          <w:lang w:val="en-US" w:eastAsia="fr-FR"/>
        </w:rPr>
        <w:softHyphen/>
        <w:t>gender Beobachtung und mißverständlicher Auffassung ihrer Sitten und Gebräuche schienen sie den Europäern ein einfaches, bedürfnisarmes, glückliches Leben zu führen, wie es den kulturell überlegenen Besuchern unerreichbar war. Die spätere Erfahrung hat manches Urteil dieser Art berichtigt; in vielen Fällen hatte man irrtümlich ein Maß von Lebenserleich</w:t>
      </w:r>
      <w:r w:rsidRPr="00506316">
        <w:rPr>
          <w:rFonts w:ascii="Garamond" w:hAnsi="Garamond"/>
          <w:lang w:val="en-US" w:eastAsia="fr-FR"/>
        </w:rPr>
        <w:softHyphen/>
        <w:t>terung, das der Großmut der Natur und der Bequemlichkeit in der Befriedigung der großen Bedürfnisse zu danken war, der Abwesenheit von verwickelten kulturellen Anforderungen zugeschrieben. Die letzte Veran</w:t>
      </w:r>
      <w:r w:rsidRPr="00506316">
        <w:rPr>
          <w:rFonts w:ascii="Garamond" w:hAnsi="Garamond"/>
          <w:lang w:val="en-US" w:eastAsia="fr-FR"/>
        </w:rPr>
        <w:softHyphen/>
        <w:t>lassung ist uns besonders vertraut; sie trat auf, als man den Mechanismus der Neurosen kennenlernte, die das bißchen Glück des Kulturmenschen zu untergraben drohen. Man fand, daß der Mensch neurotisch wird, weil er das Maß von Versagung nicht ertragen kann, das ihm die Gesellschaft im Dienste ihrer kulturellen Ideale auferlegt, und man schloß daraus, daß es eine Rückkehr zu Glücksmöglichkeiten bedeutete, wenn diese Anforderungen aufgehoben oder sehr herabgesetzt würden.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Es kommt noch ein Moment der Enttäuschung dazu. In den letzten Generationen haben die Menschen außerordentliche Fortschritte in den Naturwissenschaften und in ihrer technischen Anwendung gemacht, ihre Herrschaft über die Natur in einer früher unvorstellbaren Weise befestigt. Die Einzelheiten dieser Fortschritte sind allgemein bekannt, es erübrigt sich, sie aufzuzählen. Die Menschen sind stolz auf diese Errungenschaften und haben ein Recht dazu. Aber sie glauben bemerkt zu haben, daß diese neu gewon</w:t>
      </w:r>
      <w:r w:rsidRPr="00506316">
        <w:rPr>
          <w:rFonts w:ascii="Garamond" w:hAnsi="Garamond"/>
          <w:lang w:val="en-US" w:eastAsia="fr-FR"/>
        </w:rPr>
        <w:softHyphen/>
        <w:t>nene Verfügung über Raum und Zeit, diese Unterwerfung der Naturkräfte, die Erfüllung jahrtausendealter Sehnsucht, das Maß von Lustbefriedigung, das sie vom Leben erwarten, nicht erhöht, sie nach ihren Empfindungen nicht glücklicher gemacht hat. Man sollte sich begnügen, aus dieser Feststellung den Schluß zu ziehen, die Macht über die Natur sei nicht die einzige Bedingung des Menschenglücks, wie sie ja auch nicht das einzige Ziel der Kulturbestrebungen ist, und nicht die Wertlosigkeit der technischen Fort</w:t>
      </w:r>
      <w:r w:rsidRPr="00506316">
        <w:rPr>
          <w:rFonts w:ascii="Garamond" w:hAnsi="Garamond"/>
          <w:lang w:val="en-US" w:eastAsia="fr-FR"/>
        </w:rPr>
        <w:softHyphen/>
        <w:t xml:space="preserve">schritte für unsere Glücksökonomie daraus ableiten. Man möchte einwenden, ist es denn nicht ein </w:t>
      </w:r>
      <w:r w:rsidRPr="00506316">
        <w:rPr>
          <w:rFonts w:ascii="Garamond" w:hAnsi="Garamond"/>
          <w:lang w:val="en-US" w:eastAsia="fr-FR"/>
        </w:rPr>
        <w:lastRenderedPageBreak/>
        <w:t>positiver Lustgewinn, ein unzweideutiger Zuwachs an Glücksgefühl, wenn ich beliebig oft die Stimme des Kindes hören kann, das Hunderte von Kilometern entfernt von mir lebt, wenn ich die kürzeste Zeit nach der Landung des Freundes erfahren kann, daß er die lange, beschwer</w:t>
      </w:r>
      <w:r w:rsidRPr="00506316">
        <w:rPr>
          <w:rFonts w:ascii="Garamond" w:hAnsi="Garamond"/>
          <w:lang w:val="en-US" w:eastAsia="fr-FR"/>
        </w:rPr>
        <w:softHyphen/>
        <w:t>liche Reise gut bestanden hat? Bedeutet es nichts, daß es der Medizin gelungen ist, die Sterblichkeit der kleinen Kinder, die Infektionsgefahr der gebärenden Frauen so außerordentlich herabzusetzen, ja die mittlere Lebensdauer des Kulturmenschen um eine beträchtliche Anzahl von Jahren zu verlängern? Und solcher Wohltaten, die wir dem vielgeschmähten Zeitalter der wissenschaftlichen und technischen Fortschritte verdanken, können wir noch eine große Reihe anführen; — aber da läßt sich die Stimme der pessi</w:t>
      </w:r>
      <w:r w:rsidRPr="00506316">
        <w:rPr>
          <w:rFonts w:ascii="Garamond" w:hAnsi="Garamond"/>
          <w:lang w:val="en-US" w:eastAsia="fr-FR"/>
        </w:rPr>
        <w:softHyphen/>
        <w:t>mistischen Kritik vernehmen und mahnt, die meisten dieser Befriedigungen folgten dem Muster jenes »billigen Vergnügens«, das in einer gewissen Anekdote angepriesen wird. Man verschafft sich diesen Genuß, indem man in kalter Winternacht ein Bein nackt aus der Decke herausstreckt und es dann wieder einzieht. Gäbe es keine Eisenbahn, die die Entfernungen überwindet, so hätte das Kind die Vaterstadt nie verlassen, man brauchte kein Telephon, um seine Stimme zu hören. Wäre nicht die Schiffahrt über den Ozean eingerichtet, so hätte der Freund nicht die Seereise unternommen, ich brauchte den Telegraphen nicht, um meine Sorge um ihn zu beschwichtigen. Was nützt uns die Einschränkung der Kindersterblichkeit, wenn gerade sie uns die äußerste Zurückhaltung in der Kinderzeugung aufnötigt, so daß wir im ganzen doch nicht mehr Kinder aufziehen als in den Zeiten vor der Herrschaft der Hygiene, dabei aber unser Sexualleben in der Ehe unter schwierige Bedingungen gebracht und wahrscheinlich der wohltätigen, natürlichen Auslese entgegengearbeitet haben? Und was soll uns endlich ein langes Leben, wenn es beschwerlich, arm an Freuden und so leidvoll ist, daß wir den Tod nur als Erlöser bewillkommnen können?</w:t>
      </w:r>
    </w:p>
    <w:p w:rsidR="004E00C6" w:rsidRPr="00506316" w:rsidRDefault="004E00C6" w:rsidP="004E00C6">
      <w:pPr>
        <w:pStyle w:val="Sansinterligne"/>
        <w:rPr>
          <w:rFonts w:ascii="Garamond" w:hAnsi="Garamond"/>
          <w:lang w:val="en-US" w:eastAsia="fr-FR"/>
        </w:rPr>
      </w:pPr>
      <w:r w:rsidRPr="004E00C6">
        <w:rPr>
          <w:rFonts w:ascii="Garamond" w:hAnsi="Garamond"/>
          <w:lang w:val="en-US" w:eastAsia="fr-FR"/>
        </w:rPr>
        <w:t>Es scheint festzustehen, daß wir uns in unserer heutigen Kultur nicht wohl fühlen, aber es ist sehr schwer, sich ein Urteil darüber zu bilden, ob und inwieweit die Menschen früherer Zeiten sich glücklicher gefühlt haben und welchen Anteil ihre Kulturbedingungen daran hatten. Wir werden immer die Neigung haben, das Elend objektiv zu erfassen, d. h. uns mit unseren Ansprüchen und Empfänglichkeiten in jene Bedingungen zu versetzen, um dann zu prüfen, welche Anlässe zu Glücks- und Unglücksempfindungen wir in ihnen fänden. Diese Art der Betrachtung, die objektiv erscheint, weil sie von den Variationen der subjektiven Empfindlichkeit absieht, ist natürlich die subjektivste, die möglich ist, indem sie an die Stelle aller anderen unbe</w:t>
      </w:r>
      <w:r w:rsidRPr="004E00C6">
        <w:rPr>
          <w:rFonts w:ascii="Garamond" w:hAnsi="Garamond"/>
          <w:lang w:val="en-US" w:eastAsia="fr-FR"/>
        </w:rPr>
        <w:softHyphen/>
        <w:t>kannten seelischen Verfassungen die eigene einsetzt. Das Glück ist aber etwas durchaus Subjektives. Wir mögen noch so sehr vor gewissen Situationen zurückschrecken, der des antiken Galeerensklaven, des Bauern im 30jährigen Krieg, des Opfers der heiligen Inquisition, des Juden, der den Pogrom erwartet, es ist uns doch unmöglich, uns in diese Personen einzufühlen, die Veränderungen zu erraten, die ursprüngliche Stumpfheit, allmähliche Abstumpfung, Einstellung der Erwartungen, gröbere und feinere Weisen der Narkotisierung in der Empfänglichkeit für Lust- und Unlust</w:t>
      </w:r>
      <w:r w:rsidRPr="004E00C6">
        <w:rPr>
          <w:rFonts w:ascii="Garamond" w:hAnsi="Garamond"/>
          <w:lang w:val="en-US" w:eastAsia="fr-FR"/>
        </w:rPr>
        <w:softHyphen/>
        <w:t xml:space="preserve">empfindungen herbeigeführt haben. </w:t>
      </w:r>
      <w:r w:rsidRPr="00506316">
        <w:rPr>
          <w:rFonts w:ascii="Garamond" w:hAnsi="Garamond"/>
          <w:lang w:val="en-US" w:eastAsia="fr-FR"/>
        </w:rPr>
        <w:t>Im Falle äußerster Leidmöglichkeit werden auch bestimmte seelische Schutzvorrichtungen in Tätigkeit versetzt. Es scheint mir unfruchtbar, diese Seite des Problems weiter zu verfolgen.</w:t>
      </w:r>
    </w:p>
    <w:p w:rsidR="004E00C6" w:rsidRDefault="004E00C6" w:rsidP="004E00C6">
      <w:pPr>
        <w:pStyle w:val="Sansinterligne"/>
        <w:rPr>
          <w:rFonts w:ascii="Garamond" w:hAnsi="Garamond"/>
          <w:lang w:val="en-US"/>
        </w:rPr>
      </w:pPr>
    </w:p>
    <w:p w:rsidR="004E00C6" w:rsidRPr="00506316" w:rsidRDefault="004E00C6" w:rsidP="004E00C6">
      <w:pPr>
        <w:pStyle w:val="Sansinterligne"/>
        <w:rPr>
          <w:rFonts w:ascii="Garamond" w:hAnsi="Garamond"/>
          <w:lang w:val="en-US"/>
        </w:rPr>
      </w:pPr>
      <w:r w:rsidRPr="00506316">
        <w:rPr>
          <w:rFonts w:ascii="Garamond" w:hAnsi="Garamond"/>
          <w:lang w:val="en-US"/>
        </w:rPr>
        <w:t>[III.: Das Wesen der Kultur]</w:t>
      </w:r>
    </w:p>
    <w:p w:rsidR="004E00C6" w:rsidRPr="00506316" w:rsidRDefault="004E00C6" w:rsidP="004E00C6">
      <w:pPr>
        <w:pStyle w:val="Sansinterligne"/>
        <w:rPr>
          <w:rFonts w:ascii="Garamond" w:hAnsi="Garamond"/>
          <w:lang w:val="en-US"/>
        </w:rPr>
      </w:pPr>
    </w:p>
    <w:p w:rsidR="004E00C6" w:rsidRPr="00506316" w:rsidRDefault="004E00C6" w:rsidP="004E00C6">
      <w:pPr>
        <w:pStyle w:val="Sansinterligne"/>
        <w:rPr>
          <w:rFonts w:ascii="Garamond" w:hAnsi="Garamond"/>
          <w:lang w:val="en-US"/>
        </w:rPr>
      </w:pPr>
      <w:r w:rsidRPr="00506316">
        <w:rPr>
          <w:rFonts w:ascii="Garamond" w:hAnsi="Garamond"/>
          <w:lang w:val="en-US"/>
        </w:rPr>
        <w:t>Es ist Zeit, daß wir uns um das Wesen dieser Kultur kümmern, deren Glückswert in Zweifel gezogen wird. Wir werden keine Formel fordern, die dieses Wesen in wenigen Worten ausdrückt, noch ehe wir etwas aus der Untersuchung erfahren haben. Es genügt uns also zu wiederholen, daß das Wort »Kultur« die ganze Summe der Leistungen und Einrichtungen bezeich</w:t>
      </w:r>
      <w:r w:rsidRPr="00506316">
        <w:rPr>
          <w:rFonts w:ascii="Garamond" w:hAnsi="Garamond"/>
          <w:lang w:val="en-US"/>
        </w:rPr>
        <w:softHyphen/>
        <w:t>net, in denen sich unser Leben von dem unserer tierischen Ahnen entfernt und die zwei Zwecken dienen: dem Schutz des Menschen gegen die Natur und der Regelung der Beziehungen der Menschen untereinander. Um mehr zu verstehen, werden wir die Züge der Kultur im einzelnen zusammen</w:t>
      </w:r>
      <w:r w:rsidRPr="00506316">
        <w:rPr>
          <w:rFonts w:ascii="Garamond" w:hAnsi="Garamond"/>
          <w:lang w:val="en-US"/>
        </w:rPr>
        <w:softHyphen/>
        <w:t>suchen, wie sie sich in menschlichen Gemeinschaften zeigen. Wir lassen uns dabei ohne Bedenken vom Sprachgebrauch, oder wie man auch sagt: Sprachgefühl, leiten im Vertrauen darauf, daß wir so inneren Einsichten gerecht werden, die sich dem Ausdruck in abstrakten Worten noch widersetzen.</w:t>
      </w:r>
    </w:p>
    <w:p w:rsidR="004E00C6" w:rsidRPr="00506316" w:rsidRDefault="004E00C6" w:rsidP="004E00C6">
      <w:pPr>
        <w:pStyle w:val="Sansinterligne"/>
        <w:rPr>
          <w:rFonts w:ascii="Garamond" w:hAnsi="Garamond"/>
          <w:lang w:val="en-US"/>
        </w:rPr>
      </w:pPr>
      <w:r w:rsidRPr="00506316">
        <w:rPr>
          <w:rFonts w:ascii="Garamond" w:hAnsi="Garamond"/>
          <w:lang w:val="en-US"/>
        </w:rPr>
        <w:t>Der Eingang ist leicht: Als kulturell anerkennen wir alle Tätigkeiten und Werte, die dem Menschen nützen, indem sie ihm die Erde dienstbar machen, ihn gegen die Gewalt der Naturkräfte schützen u. dgl. Über diese Seite des Kulturellen besteht ja am wenigsten Zweifel. Um weit genug zurückzugehen, die ersten kulturellen Taten waren der Gebrauch von Werkzeugen, die Zähmung des Feuers, der Bau von Wohnstätten. Unter ihnen ragt die Zähmung des Feuers als eine ganz außerordentliche, vorbildlose Leistung hervor,</w:t>
      </w:r>
      <w:r w:rsidRPr="00506316">
        <w:rPr>
          <w:rFonts w:ascii="Garamond" w:hAnsi="Garamond"/>
          <w:vertAlign w:val="superscript"/>
          <w:lang w:val="en-US"/>
        </w:rPr>
        <w:t>1)</w:t>
      </w:r>
      <w:r w:rsidRPr="00506316">
        <w:rPr>
          <w:rFonts w:ascii="Garamond" w:hAnsi="Garamond"/>
          <w:lang w:val="en-US"/>
        </w:rPr>
        <w:t xml:space="preserve"> mit den anderen schlug der Mensch Wege ein, die er seither immer weiter verfolgt hat, </w:t>
      </w:r>
      <w:r w:rsidRPr="00506316">
        <w:rPr>
          <w:rFonts w:ascii="Garamond" w:hAnsi="Garamond"/>
          <w:lang w:val="en-US"/>
        </w:rPr>
        <w:lastRenderedPageBreak/>
        <w:t>zu denen die Anregung leicht zu erraten ist. Mit all seinen Werkzeugen vervollkommnet der Mensch seine Organe — die motorischen wie die sensorischen — oder räumt die Schranken für ihre Leistung weg. Die Motoren stellen ihm riesige Kräfte zur Verfügung, die er wie seine Muskeln in beliebige Richtungen schicken kann, das Schiff und das Flugzeug machen, daß weder Wasser noch Luft seine Fortbewegung hindern können. Mit der Brille korrigiert er die Mängel der Linse in seinem Auge, mit dem Fernrohr schaut er in entfernte Weiten, mit dem Mikroskop überwindet er die Grenzen der Sichtbarkeit, die durch den Bau seiner Netzhaut abgesteckt werden. In der photographischen Kamera hat er ein Instrument geschaffen, das die flüchtigen Seheindrücke festhält, was ihm die Grammophonplatte für die ebenso vergänglichen Schalleindrücke leisten muß, beides im Grunde Materialisationen des ihm gegebenen Vermögens der Erinnerung, seines Gedächtnisses. Mit Hilfe des Telephons hört er aus Entfernungen, die selbst das Märchen als unerreichbar respektieren würde; die Schrift ist ursprünglich die Sprache des Abwesenden, das Wohnhaus ein Ersatz für den Mutterleib, die erste, wahrscheinlich noch immer ersehnte Behausung, in der man sicher war und sich so wohl fühlte.</w:t>
      </w:r>
    </w:p>
    <w:p w:rsidR="004E00C6" w:rsidRPr="00506316" w:rsidRDefault="004E00C6" w:rsidP="004E00C6">
      <w:pPr>
        <w:pStyle w:val="Sansinterligne"/>
        <w:rPr>
          <w:rFonts w:ascii="Garamond" w:hAnsi="Garamond"/>
          <w:lang w:val="en-US"/>
        </w:rPr>
      </w:pPr>
      <w:r w:rsidRPr="00506316">
        <w:rPr>
          <w:rFonts w:ascii="Garamond" w:hAnsi="Garamond"/>
          <w:lang w:val="en-US"/>
        </w:rPr>
        <w:t>Es klingt nicht nur wie ein Märchen, es ist direkt die Erfüllung aller — nein, der meisten — Märchenwünsche, was der Mensch durch seine Wissenschaft und Technik auf dieser Erde hergestellt hat, in der er zuerst als ein schwa</w:t>
      </w:r>
      <w:r w:rsidRPr="00506316">
        <w:rPr>
          <w:rFonts w:ascii="Garamond" w:hAnsi="Garamond"/>
          <w:lang w:val="en-US"/>
        </w:rPr>
        <w:softHyphen/>
        <w:t xml:space="preserve">ches Tierwesen auftrat und in die jedes Individuum seiner Art wiederum als hilfloser Säugling — </w:t>
      </w:r>
      <w:r w:rsidRPr="00506316">
        <w:rPr>
          <w:rFonts w:ascii="Garamond" w:hAnsi="Garamond"/>
          <w:i/>
          <w:iCs/>
          <w:lang w:val="en-US"/>
        </w:rPr>
        <w:t>»oh inch of nature!«</w:t>
      </w:r>
      <w:r w:rsidRPr="00506316">
        <w:rPr>
          <w:rFonts w:ascii="Garamond" w:hAnsi="Garamond"/>
          <w:lang w:val="en-US"/>
        </w:rPr>
        <w:t xml:space="preserve"> — eintreten muß. All diesen Besitz darf er als Kulturerwerb ansprechen. Er hatte sich seit langen Zeiten eine Idealvorstellung von Allmacht und Allwissenheit gebildet, die er in seinen Göttern verkörperte. Ihnen schrieb er alles zu, was seinen Wünschen unerreichbar schien — oder ihm verboten war. Man darf also sagen, diese Götter waren Kulturideale. Nun hat er sich der Erreichung dieses Ideals sehr angenähert, ist beinahe selbst ein Gott geworden. Freilich nur so, wie man nach allgemein menschlichem Urteil Ideale zu erreichen pflegt. Nicht vollkommen, in einigen Stücken gar nicht, in anderen nur so halbwegs. Der Mensch ist sozusagen eine Art Prothesengott geworden, recht großartig, wenn er alle seine Hilfsorgane anlegt, aber sie sind nicht mit ihm verwachsen und machen ihm gelegentlich noch viel zu schaffen. Er hat übrigens ein Recht, sich damit zu trösten, daß diese Entwicklung nicht gerade mit dem Jahr 1930 A. D. abgeschlossen sein wird. Ferne Zeiten werden neue, wahrscheinlich unvorstellbar große Fortschritte auf diesem Gebiete der Kultur mit sich bringen, die Gottähnlichkeit noch weiter steigern. Im Interesse unserer Untersuchung wollen wir aber auch nicht daran vergessen, daß der heutige Mensch sich in seiner Gottähnlichkeit nicht glücklich fühlt.</w:t>
      </w:r>
    </w:p>
    <w:p w:rsidR="004E00C6" w:rsidRPr="00506316" w:rsidRDefault="004E00C6" w:rsidP="004E00C6">
      <w:pPr>
        <w:pStyle w:val="Sansinterligne"/>
        <w:rPr>
          <w:rFonts w:ascii="Garamond" w:hAnsi="Garamond"/>
          <w:lang w:val="en-US"/>
        </w:rPr>
      </w:pPr>
      <w:r w:rsidRPr="00506316">
        <w:rPr>
          <w:rFonts w:ascii="Garamond" w:hAnsi="Garamond"/>
          <w:lang w:val="en-US"/>
        </w:rPr>
        <w:t xml:space="preserve">Wir anerkennen also die Kulturhöhe eines Landes, wenn wir finden, daß alles in ihm gepflegt und zweckmäßig besorgt wird, was der Ausnützung der Erde durch den Menschen und dem Schutz desselben vor den Naturkräften dienlich, also kurz zusammengefaßt: ihm nützlich ist. In einem solchen Land seien Flüsse, die mit Überschwemmungen drohen, in ihrem Lauf reguliert, ihr Wasser durch Kanäle hingeleitet, wo es entbehrt wird. Der Erdboden werde sorgfältig bearbeitet und mit den Gewächsen beschickt, die er zu tragen geeignet ist, die mineralischen Schätze der Tiefe emsig zutage gefördert und zu den verlangten Werkzeugen und Geräten verarbeitet. Die Verkehrsmittel seien reichlich, rasch und zuverlässig, die wilden und gefährlichen Tiere seien ausgerottet, die Zucht der zu Haustieren gezähmten sei in Blüte. Wir haben aber an die Kultur noch andere Anforderungen zu stellen und hoffen bemerkenswerterweise sie in denselben Ländern verwirklicht zu finden. Als wollten wir unseren zuerst erhobenen Anspruch verleugnen, begrüßen wir es auch als kulturell, wenn wir sehen, daß sich die Sorgfalt der Menschen auch Dingen zuwendet, die ganz und gar nicht nützlich sind, eher unnütz erscheinen, z. B. wenn die in einer Stadt als Spielplätze und Luftreservoirs notwendigen Gartenflächen auch Blumenbeete tragen oder wenn die Fenster der Wohnungen mit Blumentöpfen geschmückt sind. Wir merken bald, das Unnütze, dessen Schätzung wir von der Kultur erwarten, ist die Schönheit; wir fordern, daß der Kulturmensch die Schönheit verehre, wo sie ihm in der Natur begegnet, und sie herstelle an Gegenständen, soweit seiner Hände Arbeit es vermag. Weit entfernt, daß unsere Ansprüche an die Kultur damit erschöpft wären. Wir verlangen noch die Zeichen von Reinlichkeit und Ordnung zu sehen. Wir denken nicht hoch von der Kultur einer englischen Landstadt zur Zeit Shakespeares, wenn wir lesen, daß ein hoher Misthaufen vor der Türe seines väterlichen Hauses in Stratford lagerte; wir sind ungehalten und schelten es »barbarisch«, was der Gegensatz zu kulturell ist, wenn wir die Wege des Wiener Waldes mit weggeworfenen Papieren bestreut finden. Unsauberkeit jeder Art scheint uns mit Kultur unvereinbar; auch auf den menschlichen Körper dehnen wir die Forderung der Reinlichkeit aus, hören mit Erstaunen, welch üblen Geruch die Person des </w:t>
      </w:r>
      <w:r w:rsidRPr="00506316">
        <w:rPr>
          <w:rFonts w:ascii="Garamond" w:hAnsi="Garamond"/>
          <w:i/>
          <w:iCs/>
          <w:lang w:val="en-US"/>
        </w:rPr>
        <w:t>Roi Soleil</w:t>
      </w:r>
      <w:r w:rsidRPr="00506316">
        <w:rPr>
          <w:rFonts w:ascii="Garamond" w:hAnsi="Garamond"/>
          <w:lang w:val="en-US"/>
        </w:rPr>
        <w:t xml:space="preserve"> zu verbreiten pflegte, und schütteln den Kopf, wenn uns auf Isola Bella die winzige Waschschüssel gezeigt wird, deren sich Napoleon bei seiner Morgentoilette bediente. Ja, wir sind nicht überrascht, wenn jemand den Gebrauch von Seife direkt als Kulturmesser aufstellt. Ähnlich ist es mit der Ordnung, die ebenso wie die Reinlichkeit sich ganz auf Menschenwerk bezieht. Aber während wir </w:t>
      </w:r>
      <w:r w:rsidRPr="00506316">
        <w:rPr>
          <w:rFonts w:ascii="Garamond" w:hAnsi="Garamond"/>
          <w:lang w:val="en-US"/>
        </w:rPr>
        <w:lastRenderedPageBreak/>
        <w:t>Reinlichkeit in der Natur nicht erwarten dürfen, ist die Ordnung vielmehr der Natur abgelauscht; die Beobachtung der großen astronomischen Regelmäßigkeiten hat dem Menschen nicht nur das Vorbild, sondem die ersten Anhaltspunkte für die Einführung der Ordnung in sein Leben gegeben. Die Ordnung ist eine Art Wiederholungszwang, die durch einmalige Einrichtung entscheidet, wann, wo und wie etwas getan werden soll, so daß man in jedem gleichen Falle Zögern und Schwanken erspart. Die Wohltat der Ordnung ist ganz unleugbar, sie ermöglicht dem Menschen die beste Ausnützung von Raum und Zeit, während sie seine psychischen Kräfte schont. Man hätte ein Recht zu erwarten, daß sie sich von Anfang an und zwanglos im menschlichen Tun durchsetzt, und darf erstaunen, daß dies nicht der Fall ist, daß der Mensch vielmehr einen natürlichen Hang zur Nachlässigkeit, Unregelmäßigkeit und Unzuverlässigkeit in seiner Arbeit an den Tag legt und erst mühselig zur Nachahmung der himmlischen Vorbilder erzogen werden muß.</w:t>
      </w:r>
    </w:p>
    <w:p w:rsidR="004E00C6" w:rsidRPr="00506316" w:rsidRDefault="004E00C6" w:rsidP="004E00C6">
      <w:pPr>
        <w:pStyle w:val="Sansinterligne"/>
        <w:rPr>
          <w:rFonts w:ascii="Garamond" w:hAnsi="Garamond"/>
        </w:rPr>
      </w:pPr>
      <w:r w:rsidRPr="00506316">
        <w:rPr>
          <w:rFonts w:ascii="Garamond" w:hAnsi="Garamond"/>
          <w:lang w:val="en-US"/>
        </w:rPr>
        <w:t xml:space="preserve">Schönheit, Reinlichkeit und Ordnung nehmen offenbar eine besondere Stellung unter den Kulturanforderungen ein. Niemand wird behaupten, daß sie ebenso lebenswichtig seien wie die Beherrschung der Naturkräfte und andere Momente, die wir noch kennenlernen sollen, und doch wird niemand gern sie als Nebensächlichkeiten zurückstellen wollen. Daß die Kultur nicht allein auf Nutzen bedacht ist, zeigt schon das Beispiel der Schönheit, die wir unter den Interessen der Kultur nicht vermissen wollen. Der Nutzen der Ordnung ist ganz offenbar; bei der Reinlichkeit haben wir zu bedenken, daß sie auch von der Hygiene gefordert wird, und können vermuten, daß dieser Zusammenhang den Menschen auch vor der Zeit einer wissenschaftlichen Krankheitsverhütung nicht ganz fremd war. </w:t>
      </w:r>
      <w:r w:rsidRPr="00506316">
        <w:rPr>
          <w:rFonts w:ascii="Garamond" w:hAnsi="Garamond"/>
        </w:rPr>
        <w:t>Aber der Nutzen erklärt uns das Streben nicht ganz; es muß noch etwas anderes im Spiele sein.</w:t>
      </w:r>
    </w:p>
    <w:p w:rsidR="004E00C6" w:rsidRPr="00506316" w:rsidRDefault="004E00C6" w:rsidP="004E00C6">
      <w:pPr>
        <w:pStyle w:val="Sansinterligne"/>
        <w:rPr>
          <w:rFonts w:ascii="Garamond" w:hAnsi="Garamond"/>
          <w:lang w:val="en-US"/>
        </w:rPr>
      </w:pPr>
      <w:r w:rsidRPr="00506316">
        <w:rPr>
          <w:rFonts w:ascii="Garamond" w:hAnsi="Garamond"/>
        </w:rPr>
        <w:t xml:space="preserve">Durch keinen anderen Zug vermeinen wir aber die Kultur besser zu kennzeichnen als durch die Schätzung und Pflege der höheren psychischen Tätigkeiten, der intellektuellen, wissenschaftlichen und künstlerischen Leistungen, der führenden Rolle, welche den Idean im Leben der Menschen eingeräumt wird. </w:t>
      </w:r>
      <w:r w:rsidRPr="00506316">
        <w:rPr>
          <w:rFonts w:ascii="Garamond" w:hAnsi="Garamond"/>
          <w:lang w:val="en-US"/>
        </w:rPr>
        <w:t>Unter diesen Ideen stehen obenan die religiösen Systeme, auf deren verwickelten Aufbau ich an anderer Stelle Licht zu werfen versuchte; neben ihnen die philosophischen Spekulationen und endlich, was man die Idealbildungen der Menschen heißen kann, ihre Vorstellungen von einer möglichen Vollkommenheit der einzelnen Person, des Volkes, der ganzen Menschheit und die Anforderungen, die sie auf Grund solcher Vorstellungen erheben. Daß diese Schöpfungen nicht unabhängig vonein</w:t>
      </w:r>
      <w:r w:rsidRPr="00506316">
        <w:rPr>
          <w:rFonts w:ascii="Garamond" w:hAnsi="Garamond"/>
          <w:lang w:val="en-US"/>
        </w:rPr>
        <w:softHyphen/>
        <w:t>ander sind, vielmehr innig untereinander verwoben, erschwert sowohl ihre Darstellung wie ihre psychologische Ableitung. Wenn wir ganz allgemein annehmen, die Triebfeder aller menschlichen Tätigkeiten sei das Streben nach den beiden zusammenfließenden Zielen, Nutzen und Lustgewinn, so müssen wir dasselbe auch für die hier angeführten kulturellen Äußerungen gelten lassen, obwohl es nur für die wissenschaftliche und künstlerische Tätigkeit leicht ersichtlich ist. Man kann aber nicht bezweifeln, daß auch die anderen starken Bedürfnissen der Menschen entsprechen, vielleicht solchen, die nur bei einer Minderzahl entwickelt sind. Auch darf man sich nicht durch Werturteile über einzelne dieser religiösen, philosophischen Systeme und dieser Ideale beirren lassen; ob man die höchste Leistung des Menschengeistes in ihnen sucht oder ob man sie als Verirrungen beklagt, man muß anerkennen, daß ihr Vorhandensein, besonders ihre Vorherrschaft, einen Hochstand der Kultur bedeutet.</w:t>
      </w:r>
    </w:p>
    <w:p w:rsidR="004E00C6" w:rsidRPr="00506316" w:rsidRDefault="004E00C6" w:rsidP="004E00C6">
      <w:pPr>
        <w:pStyle w:val="Sansinterligne"/>
        <w:rPr>
          <w:rFonts w:ascii="Garamond" w:hAnsi="Garamond"/>
          <w:lang w:val="en-US"/>
        </w:rPr>
      </w:pPr>
      <w:r w:rsidRPr="00506316">
        <w:rPr>
          <w:rFonts w:ascii="Garamond" w:hAnsi="Garamond"/>
          <w:lang w:val="en-US"/>
        </w:rPr>
        <w:t>Als letzten, gewiß nicht unwichtigsten Charakterzug einer Kultur haben wir zu würdigen, in welcher Weise die Beziehungen der Menschen zuein</w:t>
      </w:r>
      <w:r w:rsidRPr="00506316">
        <w:rPr>
          <w:rFonts w:ascii="Garamond" w:hAnsi="Garamond"/>
          <w:lang w:val="en-US"/>
        </w:rPr>
        <w:softHyphen/>
        <w:t>ander, die sozialen Beziehungen, geregelt sind, die den Menschen als Nachbarn, als Hilfskraft, als Sexualobjekt eines anderen, als Mitglied einer Familie, eines Staates betreffen. Es wird hier besonders schwer, sich von bestimmten Idealforderungen frei zu halten und das, was überhaupt kulturell ist, zu erfassen. Vielleicht beginnt man mit der Erklärung, das kulturelle Element sei mit dem ersten Versuch, diese sozialen Beziehungen zu regeln, gegeben. Unterbliebe ein solcher Versuch, so wären diese Beziehungen der Willkür des Einzelnen unterworfen, d. h. der physisch Stärkere würde sie im Sinne seiner Interessen und Triebregungen entscheiden. Daran änderte sich nichts, wenn dieser Stärkere seinerseits einen einzelnen noch Stärkeren fände. Das menschliche Zusammenleben wird erst ermöglicht, wenn sich eine Mehrheit zusammenfindet, die stärker ist als jeder Einzelne und gegen jeden Einzelnen zusammenhält. Die Macht dieser Gemeinschaft stellt sich nun als »Recht« der Macht des Einzelnen, die als »rohe Gewalt« verurteilt wird, entgegen. Diese Ersetzung der Macht des Einzelnen durch die der Gemeinschaft ist der entscheidende kulturelle Schritt. Ihr Wesen besteht darin, daß sich die Mitglieder der Gemeinschaft in ihren Befriedigungsmög</w:t>
      </w:r>
      <w:r w:rsidRPr="00506316">
        <w:rPr>
          <w:rFonts w:ascii="Garamond" w:hAnsi="Garamond"/>
          <w:lang w:val="en-US"/>
        </w:rPr>
        <w:softHyphen/>
        <w:t xml:space="preserve">lichkeiten beschränken, während der Einzelne keine solche Schranke kannte. Die nächste kulturelle Anforderung ist also die der Gerechtigkeit, d. h. die Versicherung, daß die einmal gegebene Rechtsordnung nicht wieder zu Gunsten eines Einzelnen durchbrochen werde. Über den ethischen Wert eines solchen Rechts wird hiermit nicht entschieden. Der </w:t>
      </w:r>
      <w:r w:rsidRPr="00506316">
        <w:rPr>
          <w:rFonts w:ascii="Garamond" w:hAnsi="Garamond"/>
          <w:lang w:val="en-US"/>
        </w:rPr>
        <w:lastRenderedPageBreak/>
        <w:t>weitere Weg der kulturellen Entwicklung scheint dahin zu streben, daß dieses Recht nicht mehr der Willensausdruck einer kleinen Gemeinschaft — Kaste, Bevölkerungs</w:t>
      </w:r>
      <w:r w:rsidRPr="00506316">
        <w:rPr>
          <w:rFonts w:ascii="Garamond" w:hAnsi="Garamond"/>
          <w:lang w:val="en-US"/>
        </w:rPr>
        <w:softHyphen/>
        <w:t>schichte, Volksstammes — sei, welche sich zu anderen und vielleicht umfas</w:t>
      </w:r>
      <w:r w:rsidRPr="00506316">
        <w:rPr>
          <w:rFonts w:ascii="Garamond" w:hAnsi="Garamond"/>
          <w:lang w:val="en-US"/>
        </w:rPr>
        <w:softHyphen/>
        <w:t>senderen solchen Massen wieder wie ein gewalttätiges Individuum verhält. Das Endergebnis soll ein Recht sein, zu dem alle — wenigstens alle Gemeinschaftsfähigen — durch ihre Triebopfer beigetragen haben und das keinen — wiederum mit der gleichen Ausnahme — zum Opfer der rohen Gewalt werden läßt.</w:t>
      </w:r>
    </w:p>
    <w:p w:rsidR="004E00C6" w:rsidRPr="00506316" w:rsidRDefault="004E00C6" w:rsidP="004E00C6">
      <w:pPr>
        <w:pStyle w:val="Sansinterligne"/>
        <w:rPr>
          <w:rFonts w:ascii="Garamond" w:hAnsi="Garamond"/>
          <w:lang w:val="en-US"/>
        </w:rPr>
      </w:pPr>
      <w:r w:rsidRPr="00506316">
        <w:rPr>
          <w:rFonts w:ascii="Garamond" w:hAnsi="Garamond"/>
        </w:rPr>
        <w:t xml:space="preserve">Die individuelle Freiheit ist kein Kulturgut. </w:t>
      </w:r>
      <w:r w:rsidRPr="00506316">
        <w:rPr>
          <w:rFonts w:ascii="Garamond" w:hAnsi="Garamond"/>
          <w:lang w:val="en-US"/>
        </w:rPr>
        <w:t>Sie war am größten vor jeder Kultur, allerdings damals meist ohne Wert, weil das Individuum kaum imstande war, sie zu verteidigen. Durch die Kulturentwicklung erfährt sie Einschränkungen, und die Gerechtigkeit fordert, daß keinem diese Einschrän</w:t>
      </w:r>
      <w:r w:rsidRPr="00506316">
        <w:rPr>
          <w:rFonts w:ascii="Garamond" w:hAnsi="Garamond"/>
          <w:lang w:val="en-US"/>
        </w:rPr>
        <w:softHyphen/>
        <w:t>kungen erspart werden. Was sich in einer menschlichen Gemeinschaft als Freiheitsdrang rührt, kann Auflehnung gegen eine bestehende Ungerechtigkeit sein und so einer weiteren Entwicklung der Kultur günstig werden, mit der Kultur verträglich bleiben. Es kann aber auch dem Rest der ursprünglichen, von der Kultur ungebändigten Persönlichkeit entstammen und so Grundlage der Kulturfeindseligkeit werden. Der Freiheitsdrang richtet sich also gegen bestimmte Formen und Ansprüche der Kultur oder gegen Kultur überhaupt. Es scheint nicht, daß man den Menschen durch irgendwelche Beeinflussung dazu bringen kann, seine Natur in die eines Termiten umzuwandeln, er wird wohl immer seinen Anspruch auf individuelle Freiheit gegen den Willen der Masse verteidigen. Ein gut Teil des Ringens der Menschheit staut sich um die eine Aufgabe, einen zweckmäßigen, d. h. beglückenden Ausgleich zwischen diesen individuellen und den kulturellen Massenansprüchen zu finden, es ist eines ihrer Schicksalsprobleme, ob dieser Ausgleich durch eine bestimmte Gestaltung der Kultur erreichbar oder ob der Konflikt unversöhnlich ist.</w:t>
      </w:r>
    </w:p>
    <w:p w:rsidR="004E00C6" w:rsidRPr="00506316" w:rsidRDefault="004E00C6" w:rsidP="004E00C6">
      <w:pPr>
        <w:pStyle w:val="Sansinterligne"/>
        <w:rPr>
          <w:rFonts w:ascii="Garamond" w:hAnsi="Garamond"/>
          <w:lang w:val="en-US"/>
        </w:rPr>
      </w:pPr>
      <w:r w:rsidRPr="00506316">
        <w:rPr>
          <w:rFonts w:ascii="Garamond" w:hAnsi="Garamond"/>
          <w:lang w:val="en-US"/>
        </w:rPr>
        <w:t xml:space="preserve">Indem wir uns vom gemeinen Empfinden sagen ließen, welche Züge im Leben der Menschen kulturell zu nennen sind, haben wir einen deutlichen Eindruck vom Gesamtbild der Kultur bekommen, freilich zunächst nichts erfahren, was nicht allgemein bekannt ist. Dabei haben wir uns gehütet, dem Vorurteil beizustimmen, Kultur sei gleichbedeutend mit Vervollkommnung, sei der Weg zur Vollkommenheit, die dem Menschen vorgezeichnet ist. Nun aber drängt sich uns eine Auffassung auf, die vielleicht anderswohin führt. </w:t>
      </w:r>
      <w:r w:rsidRPr="00506316">
        <w:rPr>
          <w:rFonts w:ascii="Garamond" w:hAnsi="Garamond"/>
        </w:rPr>
        <w:t xml:space="preserve">Die Kulturentwicklung erscheint uns als ein eigenartiger Prozeß, der über die Menschheit abläuft, an dem uns manches wie vertraut anmutet. </w:t>
      </w:r>
      <w:r w:rsidRPr="00506316">
        <w:rPr>
          <w:rFonts w:ascii="Garamond" w:hAnsi="Garamond"/>
          <w:lang w:val="en-US"/>
        </w:rPr>
        <w:t>Diesen Prozeß können wir durch die Veränderungen charakterisieren, die er mit den bekannten menschlichen Triebanlagen vornimmt, deren Befriedigung doch die ökonomische Aufgabe unseres Lebens ist. Einige dieser Triebe werden in solcher Weise aufgezehrt, daß an ihrer Stelle etwas auftritt, was wir beim Einzelindividuum als Charaktereigenschaft beschreiben. Das merkwürdigste Beispiel dieses Vorganges haben wir an der Analerotik des jugendlichen Menschen gefunden. Sein ursprüngliches Interesse an der Exkretions</w:t>
      </w:r>
      <w:r w:rsidRPr="00506316">
        <w:rPr>
          <w:rFonts w:ascii="Garamond" w:hAnsi="Garamond"/>
          <w:lang w:val="en-US"/>
        </w:rPr>
        <w:softHyphen/>
        <w:t>funktion, ihren Organen und Produkten wandelt sich im Lauf des Wachstums in die Gruppe von Eigenschaften um, die uns als Sparsamkeit, Sinn für Ordnung und Reinlichkeit bekannt sind, die, an und für sich wertvoll und willkommen, sich zu auffälliger Vorherrschaft steigern können und dann das ergeben, was man den Analcharakter heißt. Wie das zugeht, wissen wir nicht, an der Richtigkeit dieser Auffassung ist kein Zweifel.</w:t>
      </w:r>
      <w:r w:rsidRPr="00506316">
        <w:rPr>
          <w:rFonts w:ascii="Garamond" w:hAnsi="Garamond"/>
          <w:vertAlign w:val="superscript"/>
          <w:lang w:val="en-US"/>
        </w:rPr>
        <w:t>2)</w:t>
      </w:r>
      <w:r w:rsidRPr="00506316">
        <w:rPr>
          <w:rFonts w:ascii="Garamond" w:hAnsi="Garamond"/>
          <w:lang w:val="en-US"/>
        </w:rPr>
        <w:t xml:space="preserve"> Nun haben wir gefunden, daß Ordnung und Reinlichkeit wesentliche Kulturansprüche sind, obgleich ihre Lebensnotwendigkeit nicht gerade einleuchtet, ebensowenig wie ihre Eignung als Genußquellen. </w:t>
      </w:r>
      <w:r w:rsidRPr="00506316">
        <w:rPr>
          <w:rFonts w:ascii="Garamond" w:hAnsi="Garamond"/>
        </w:rPr>
        <w:t xml:space="preserve">An dieser Stelle mußte sich uns die Ähnlichkeit des Kulturprozesses mit der Libidoentwicklung des Einzelnen zuerst aufdrängen. </w:t>
      </w:r>
      <w:r w:rsidRPr="00506316">
        <w:rPr>
          <w:rFonts w:ascii="Garamond" w:hAnsi="Garamond"/>
          <w:lang w:val="en-US"/>
        </w:rPr>
        <w:t xml:space="preserve">Andere Triebe werden dazu veranlaßt, die Bedingungen ihrer Befriedigung zu verschieben, auf andere Wege zu verlegen, was in den meisten Fällen mit der uns wohlbekannten </w:t>
      </w:r>
      <w:r w:rsidRPr="00506316">
        <w:rPr>
          <w:rFonts w:ascii="Garamond" w:hAnsi="Garamond"/>
          <w:i/>
          <w:iCs/>
          <w:lang w:val="en-US"/>
        </w:rPr>
        <w:t>Sublimierung</w:t>
      </w:r>
      <w:r w:rsidRPr="00506316">
        <w:rPr>
          <w:rFonts w:ascii="Garamond" w:hAnsi="Garamond"/>
          <w:lang w:val="en-US"/>
        </w:rPr>
        <w:t xml:space="preserve"> (der Triebziele) zusammenfällt, in anderen sich noch von ihr sondern läßt. Die Trieb</w:t>
      </w:r>
      <w:r w:rsidRPr="00506316">
        <w:rPr>
          <w:rFonts w:ascii="Garamond" w:hAnsi="Garamond"/>
          <w:lang w:val="en-US"/>
        </w:rPr>
        <w:softHyphen/>
        <w:t>sublimierung ist ein besonders hervorstechender Zug der Kulturentwicklung, sie macht es möglich, daß höhere psychische Tätigkeiten, wissenschaftliche, künstlerische, ideologische, eine so bedeutsame Rolle im Kulturleben spielen. Wenn man dem ersten Eindruck nachgibt, ist man versucht zu sagen, die Sublimierung sei überhaupt ein von der Kultur erzwungenes Triebschicksal. Aber man tut besser, sich das noch länger zu überlegen. Drittens endlich, und das scheint das Wichtigste, ist es unmöglich zu übersehen, in welchem Ausmaß die Kultur auf Triebverzicht aufgebaut ist, wie sehr sie gerade die Nichtbefriedigung (Unterdrückung, Verdrängung oder sonst etwas?) von mächtigen Trieben zur Voraussetzung hat. Diese »Kulturversagung« beherrscht das große Gebiet der sozialen Beziehungen der Menschen; wir wissen bereits, sie ist die Ursache der Feindseligkeit, gegen die alle Kulturen zu kämpfen haben. Sie wird auch an unsere wissenschaftliche Arbeit schwere Anforderungen stellen, wir haben da viel Aufklärung zu geben. Es ist nicht leicht zu verstehen, wie man es möglich macht, einem Trieb die Befriedigung zu entziehen. Es ist gar nicht so ungefährlich; wenn man es nicht ökonomisch kompensiert, kann man sich auf ernste Störungen gefaßt machen.</w:t>
      </w:r>
    </w:p>
    <w:p w:rsidR="004E00C6" w:rsidRPr="00506316" w:rsidRDefault="004E00C6" w:rsidP="004E00C6">
      <w:pPr>
        <w:pStyle w:val="Sansinterligne"/>
        <w:rPr>
          <w:rFonts w:ascii="Garamond" w:hAnsi="Garamond"/>
          <w:lang w:val="en-US"/>
        </w:rPr>
      </w:pPr>
      <w:r w:rsidRPr="00506316">
        <w:rPr>
          <w:rFonts w:ascii="Garamond" w:hAnsi="Garamond"/>
          <w:lang w:val="en-US"/>
        </w:rPr>
        <w:lastRenderedPageBreak/>
        <w:t>Wenn wir aber wissen wollen, welchen Wert unsere Auffassung der Kulturentwicklung als eines besonderen Prozesses, vergleichbar der normalen Reifung des Individuums, beanspruchen kann, müssen wir offenbar ein anderes Problem in Angriff nehmen, uns die Frage stellen, welchen Einflüssen die Kulturentwicklung ihren Ursprung dankt, wie sie entstanden ist und wodurch ihr Lauf bestimmt wurde.</w:t>
      </w:r>
    </w:p>
    <w:p w:rsidR="004E00C6" w:rsidRPr="00506316" w:rsidRDefault="004E00C6" w:rsidP="004E00C6">
      <w:pPr>
        <w:pStyle w:val="Sansinterligne"/>
        <w:rPr>
          <w:rFonts w:ascii="Garamond" w:hAnsi="Garamond"/>
          <w:lang w:val="en-US"/>
        </w:rPr>
      </w:pPr>
      <w:r w:rsidRPr="00506316">
        <w:rPr>
          <w:rFonts w:ascii="Garamond" w:hAnsi="Garamond"/>
          <w:lang w:val="en-US"/>
        </w:rPr>
        <w:t> </w:t>
      </w:r>
    </w:p>
    <w:p w:rsidR="004E00C6" w:rsidRPr="004E00C6" w:rsidRDefault="004E00C6" w:rsidP="004E00C6">
      <w:pPr>
        <w:pStyle w:val="Sansinterligne"/>
        <w:rPr>
          <w:rFonts w:ascii="Garamond" w:hAnsi="Garamond"/>
          <w:lang w:val="en-US"/>
        </w:rPr>
      </w:pPr>
      <w:r w:rsidRPr="004E00C6">
        <w:rPr>
          <w:rFonts w:ascii="Garamond" w:hAnsi="Garamond"/>
          <w:lang w:val="en-US"/>
        </w:rPr>
        <w:t>_________________</w:t>
      </w:r>
    </w:p>
    <w:p w:rsidR="004E00C6" w:rsidRPr="00506316" w:rsidRDefault="004E00C6" w:rsidP="004E00C6">
      <w:pPr>
        <w:pStyle w:val="Sansinterligne"/>
        <w:rPr>
          <w:rFonts w:ascii="Garamond" w:hAnsi="Garamond"/>
          <w:lang w:val="en-US"/>
        </w:rPr>
      </w:pPr>
      <w:r w:rsidRPr="004E00C6">
        <w:rPr>
          <w:rFonts w:ascii="Garamond" w:hAnsi="Garamond"/>
          <w:vertAlign w:val="superscript"/>
          <w:lang w:val="en-US"/>
        </w:rPr>
        <w:t>1)</w:t>
      </w:r>
      <w:r w:rsidRPr="004E00C6">
        <w:rPr>
          <w:rFonts w:ascii="Garamond" w:hAnsi="Garamond"/>
          <w:lang w:val="en-US"/>
        </w:rPr>
        <w:t xml:space="preserve"> Psychoanalytisches Material, unvollständig, nicht sicher deutbar, läßt doch wenigstens eine — phantastisch klingende — Vermutung über den Ursprung dieser menschlichen Großtat zu. </w:t>
      </w:r>
      <w:r w:rsidRPr="00506316">
        <w:rPr>
          <w:rFonts w:ascii="Garamond" w:hAnsi="Garamond"/>
          <w:lang w:val="en-US"/>
        </w:rPr>
        <w:t xml:space="preserve">Als wäre der Urmensch gewohnt gewesen, wenn er dem Feuer begegnete, eine infantile Lust an ihm zu befriedigen, indem er es durch seinen Harnstrahl auslöschte. An der ursprünglichen phallischen Auffassung der züngelnden, sich in die Höhe reckenden Flamme kann nach vorhandenen Sagen kein Zweifel sein. Das Feuerlöschen durch Urinieren — auf das noch die späten Riesenkinder Gulliver in Liliput und Rabelais' Gargantua zurückgreifen — war also wie ein sexueller Akt mit einem Mann, ein Genuß der männlichen Potenz im homosexuellen Wettkampf. Wer zuerst auf diese Lust verzichtete, das Feuer verschonte, konnte es mit sich forttragen und in seinen Dienst zwingen. </w:t>
      </w:r>
      <w:r w:rsidRPr="00506316">
        <w:rPr>
          <w:rFonts w:ascii="Garamond" w:hAnsi="Garamond"/>
        </w:rPr>
        <w:t xml:space="preserve">Dadurch daß er das Feuer seiner eigenen sexuellen Erregung dämpfte, hatte er die Naturkraft des Feuers gezähmt. </w:t>
      </w:r>
      <w:r w:rsidRPr="00506316">
        <w:rPr>
          <w:rFonts w:ascii="Garamond" w:hAnsi="Garamond"/>
          <w:lang w:val="en-US"/>
        </w:rPr>
        <w:t>Diese große kulturelle Eroberung wäre also der Lohn für einen Triebverzicht. Und weiter, als hätte man das Weib zur Hüterin des auf dem häuslichen Herd gefangengehaltenen Feuers bestellt, weil ihr anatomischer Bau es ihr verbietet, einer solchen Lustversuchung nachzugeben. Es ist auch bemerkenswert, wie regelmäßig die analytischen Erfahrungen den Zusammenhang von Ehrgeiz, Feuer und Harnerotik bezeugen. —</w:t>
      </w:r>
    </w:p>
    <w:p w:rsidR="004E00C6" w:rsidRPr="00506316" w:rsidRDefault="004E00C6" w:rsidP="004E00C6">
      <w:pPr>
        <w:pStyle w:val="Sansinterligne"/>
        <w:rPr>
          <w:rFonts w:ascii="Garamond" w:hAnsi="Garamond"/>
          <w:lang w:val="en-US"/>
        </w:rPr>
      </w:pPr>
      <w:r w:rsidRPr="00506316">
        <w:rPr>
          <w:rFonts w:ascii="Garamond" w:hAnsi="Garamond"/>
          <w:vertAlign w:val="superscript"/>
          <w:lang w:val="en-US"/>
        </w:rPr>
        <w:t>2)</w:t>
      </w:r>
      <w:r w:rsidRPr="00506316">
        <w:rPr>
          <w:rFonts w:ascii="Garamond" w:hAnsi="Garamond"/>
          <w:lang w:val="en-US"/>
        </w:rPr>
        <w:t xml:space="preserve"> S. ›Charakter und Analerotik‹ (1908 </w:t>
      </w:r>
      <w:r w:rsidRPr="00506316">
        <w:rPr>
          <w:rFonts w:ascii="Garamond" w:hAnsi="Garamond"/>
          <w:i/>
          <w:iCs/>
          <w:lang w:val="en-US"/>
        </w:rPr>
        <w:t>b)</w:t>
      </w:r>
      <w:r w:rsidRPr="00506316">
        <w:rPr>
          <w:rFonts w:ascii="Garamond" w:hAnsi="Garamond"/>
          <w:lang w:val="en-US"/>
        </w:rPr>
        <w:t xml:space="preserve"> und zahlreiche weitere Beiträge von E. Jones u.a.</w:t>
      </w:r>
    </w:p>
    <w:p w:rsidR="004E00C6" w:rsidRPr="00506316" w:rsidRDefault="004E00C6" w:rsidP="004E00C6">
      <w:pPr>
        <w:pStyle w:val="Sansinterligne"/>
        <w:rPr>
          <w:rFonts w:ascii="Garamond" w:hAnsi="Garamond"/>
          <w:lang w:val="en-US"/>
        </w:rPr>
      </w:pPr>
      <w:r w:rsidRPr="00506316">
        <w:rPr>
          <w:rFonts w:ascii="Garamond" w:hAnsi="Garamond"/>
          <w:lang w:val="en-US"/>
        </w:rPr>
        <w:br w:type="page"/>
      </w:r>
    </w:p>
    <w:p w:rsidR="004E00C6" w:rsidRPr="00506316" w:rsidRDefault="00B437A1" w:rsidP="004E00C6">
      <w:pPr>
        <w:pStyle w:val="Sansinterligne"/>
        <w:rPr>
          <w:rFonts w:ascii="Garamond" w:hAnsi="Garamond"/>
          <w:kern w:val="36"/>
          <w:lang w:val="en-US" w:eastAsia="fr-FR"/>
        </w:rPr>
      </w:pPr>
      <w:hyperlink w:anchor="KulturINHALT" w:history="1">
        <w:r w:rsidR="004E00C6" w:rsidRPr="00506316">
          <w:rPr>
            <w:rStyle w:val="Lienhypertexte"/>
            <w:rFonts w:ascii="Garamond" w:hAnsi="Garamond"/>
            <w:kern w:val="36"/>
            <w:lang w:val="en-US" w:eastAsia="fr-FR"/>
          </w:rPr>
          <w:t>IV.  Zw</w:t>
        </w:r>
        <w:bookmarkStart w:id="254" w:name="Kultur4"/>
        <w:bookmarkEnd w:id="254"/>
        <w:r w:rsidR="004E00C6" w:rsidRPr="00506316">
          <w:rPr>
            <w:rStyle w:val="Lienhypertexte"/>
            <w:rFonts w:ascii="Garamond" w:hAnsi="Garamond"/>
            <w:kern w:val="36"/>
            <w:lang w:val="en-US" w:eastAsia="fr-FR"/>
          </w:rPr>
          <w:t>ei Säulen der Kultur: Eros und Ananke, Liebe und Not</w:t>
        </w:r>
      </w:hyperlink>
    </w:p>
    <w:p w:rsidR="004E00C6" w:rsidRPr="00506316" w:rsidRDefault="004E00C6" w:rsidP="004E00C6">
      <w:pPr>
        <w:pStyle w:val="Sansinterligne"/>
        <w:rPr>
          <w:rFonts w:ascii="Garamond" w:hAnsi="Garamond"/>
          <w:lang w:val="en-US" w:eastAsia="fr-FR"/>
        </w:rPr>
      </w:pP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Diese Aufgabe scheint übergroß, man darf seine Verzagtheit eingestehen. Hier das wenige, was ich erraten konnte.</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Nachdem der Urmensch entdeckt hatte, daß es — wörtlich so verstanden — in seiner Hand lag, sein Los auf der Erde durch Arbeit zu verbessern, konnte es ihm nicht gleichgültig sein, ob ein anderer mit oder gegen ihn arbeitete. Der andere gewann für ihn den Wert des Mitarbeiters, mit dem zusammen zu leben nützlich war. Noch vorher, in seiner affenähnlichen Vorzeit, hatte er die Gewohnheit angenommen, Familien zu bilden; die Mitglieder der Familie waren wahrscheinlich seine ersten Helfer. Vermutlich hing die Gründung der Familie damit zusammen, daß das Bedürfnis genitaler Befriedigung nicht mehr wie ein Gast auftrat, der plötzlich bei einem erscheint und nach seiner Abreise lange nichts mehr von sich hören läßt, sondern sich als Dauermieter beim Einzelnen niederließ. Damit bekam das Männchen ein Motiv, das Weib oder allgemeiner: die Sexualobjekte bei sich zu behalten; die Weibchen, die sich von ihren hilflosen Jungen nicht trennen wollten, mußten auch in deren Interesse beim stärkeren Männchen bleiben.</w:t>
      </w:r>
      <w:r w:rsidRPr="00506316">
        <w:rPr>
          <w:rFonts w:ascii="Garamond" w:hAnsi="Garamond"/>
          <w:vertAlign w:val="superscript"/>
          <w:lang w:val="en-US" w:eastAsia="fr-FR"/>
        </w:rPr>
        <w:t>1)</w:t>
      </w:r>
      <w:r w:rsidRPr="00506316">
        <w:rPr>
          <w:rFonts w:ascii="Garamond" w:hAnsi="Garamond"/>
          <w:lang w:val="en-US" w:eastAsia="fr-FR"/>
        </w:rPr>
        <w:t xml:space="preserve"> In dieser primitiven Familie vermissen wir noch einen wesentlichen Zug der Kultur; die Willkür des Oberhauptes und Vaters war unbeschränkt. In </w:t>
      </w:r>
      <w:r w:rsidRPr="00506316">
        <w:rPr>
          <w:rFonts w:ascii="Garamond" w:hAnsi="Garamond"/>
          <w:i/>
          <w:iCs/>
          <w:lang w:val="en-US" w:eastAsia="fr-FR"/>
        </w:rPr>
        <w:t>Totem und Tabu</w:t>
      </w:r>
      <w:r w:rsidRPr="00506316">
        <w:rPr>
          <w:rFonts w:ascii="Garamond" w:hAnsi="Garamond"/>
          <w:lang w:val="en-US" w:eastAsia="fr-FR"/>
        </w:rPr>
        <w:t xml:space="preserve"> habe ich versucht, den Weg aufzuzeigen, der von dieser Familie zur nächsten Stufe des Zusammenlebens in Form der Brüderbünde führte. Bei der Überwältigung des Vaters hatten die Söhne die Erfahrung gemacht, daß eine Vereinigung stärker sein kann als der Einzelne. Die totemistische Kultur ruht auf den Einschränkungen, die sie zur Aufrechthaltung des neuen Zustandes einander auferlegen mußten. Die Tabuvorschriften waren das erste »Recht«. Das Zusammenleben der Menschen war also zweifach begründet durch den Zwang zur Arbeit, den die äußere Not schuf, und durch die Macht der Liebe, die von seiten des Mannes das Sexualobjekt im Weibe, von Seiten des Weibes das von ihr abgelöste Teilstück des Kindes nicht entbehren wollte. Eros und Ananke sind auch die Eltern der menschlichen Kultur geworden. Der erste Kulturerfolg war, daß nun auch eine größere Anzahl von Menschen in Gemeinschaft bleiben konnten. Und da beide großen Mächte dabei zusammenwirkten, könnte man erwarten, daß sich die weitere Entwicklung glatt vollziehen würde, zu immer besserer Beherrschung der Außenwelt wie zur weiteren Ausdehnung der von der Gemeinschaft umfaßten Menschenzahl. Man versteht auch nicht leicht, wie diese Kultur auf ihre Teilnehmer anders als beglückend wirken kann.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Ehe wir noch untersuchen, woher eine Störung kommen kann, lassen wir uns durch die Anerkennung der Liebe als einer Grundlage der Kultur ablen</w:t>
      </w:r>
      <w:r w:rsidRPr="00506316">
        <w:rPr>
          <w:rFonts w:ascii="Garamond" w:hAnsi="Garamond"/>
          <w:lang w:val="en-US" w:eastAsia="fr-FR"/>
        </w:rPr>
        <w:softHyphen/>
        <w:t>ken, um eine Lücke in einer früheren Erörterung auszufüllen. Wir sagten, die Erfahrung, daß die geschlechtliche (genitale) Liebe dem Menschen die stärksten Befriedigungserlebnisse gewähre, ihm eigentlich das Vorbild für alles Glück gebe, müßte es nahegelegt haben, die Glücksbefriedigung im Leben auch weiterhin auf dem Gebiet der geschlechtlichen Beziehungen zu suchen, die genitale Erotik in den Mittelpunkt des Lebens zu stellen. Wir setzten fort, daß man sich auf diesem Wege in bedenklichster Weise von einem Stück der Außenwelt, nämlich vom gewählten Liebesobjekt, abhängig mache und dem stärksten Leiden aussetze, wenn man von diesem ver</w:t>
      </w:r>
      <w:r w:rsidRPr="00506316">
        <w:rPr>
          <w:rFonts w:ascii="Garamond" w:hAnsi="Garamond"/>
          <w:lang w:val="en-US" w:eastAsia="fr-FR"/>
        </w:rPr>
        <w:softHyphen/>
        <w:t>schmäht werde oder es durch Untreue oder Tod verliere. Die Weisen aller Zeiten haben darum nachdrücklichst von diesem Lebensweg abgeraten; er hat dennoch für eine große Anzahl von Menschenkindern seine Anziehung nicht verloren.</w:t>
      </w:r>
    </w:p>
    <w:p w:rsidR="004E00C6" w:rsidRPr="00506316" w:rsidRDefault="004E00C6" w:rsidP="004E00C6">
      <w:pPr>
        <w:pStyle w:val="Sansinterligne"/>
        <w:rPr>
          <w:rFonts w:ascii="Garamond" w:hAnsi="Garamond"/>
          <w:lang w:eastAsia="fr-FR"/>
        </w:rPr>
      </w:pPr>
      <w:r w:rsidRPr="00506316">
        <w:rPr>
          <w:rFonts w:ascii="Garamond" w:hAnsi="Garamond"/>
          <w:lang w:val="en-US" w:eastAsia="fr-FR"/>
        </w:rPr>
        <w:t>Einer geringen Minderzahl wird es durch ihre Konstitution ermöglicht, das Glück doch auf dem Wege der Liebe zu finden, wobei aber weitgehende seelische Abänderungen der Liebesfunktion unerläßlich sind. Diese Personen machen sich von der Zustimmung des Objekts unabhängig, indem sie den Hauptwert vom Geliebtwerden auf das eigene Lieben verschieben, sie schützen sich gegen dessen Verlust, indem sie ihre Liebe nicht auf einzelne Objekte, sondern in gleichem Maße auf alle Menschen richten, und sie vermei</w:t>
      </w:r>
      <w:r w:rsidRPr="00506316">
        <w:rPr>
          <w:rFonts w:ascii="Garamond" w:hAnsi="Garamond"/>
          <w:lang w:val="en-US" w:eastAsia="fr-FR"/>
        </w:rPr>
        <w:softHyphen/>
        <w:t xml:space="preserve">den die Schwankungen und Enttäuschungen der genitalen Liebe dadurch, daß sie von deren Sexualziel ablenken, den Trieb in eine </w:t>
      </w:r>
      <w:r w:rsidRPr="00506316">
        <w:rPr>
          <w:rFonts w:ascii="Garamond" w:hAnsi="Garamond"/>
          <w:i/>
          <w:iCs/>
          <w:lang w:val="en-US" w:eastAsia="fr-FR"/>
        </w:rPr>
        <w:t>zielgehemmte</w:t>
      </w:r>
      <w:r w:rsidRPr="00506316">
        <w:rPr>
          <w:rFonts w:ascii="Garamond" w:hAnsi="Garamond"/>
          <w:lang w:val="en-US" w:eastAsia="fr-FR"/>
        </w:rPr>
        <w:t xml:space="preserve"> Regung verwandeln. Was sie auf diese Art bei sich zustande bringen, der Zustand eines gleichschwebenden, unbeirrbaren, zärtlichen Empfindens, hat mit dem stürmisch bewegten, genitalen Liebesleben, von dem es doch abgeleitet ist, nicht mehr viel äußere Ähnlichkeit. Der heilige Franciscus von Assisi mag es in dieser Ausnützung der Liebe für das innere Glücksgefühl am weitesten gebracht haben; was wir als eine der Techniken der Erfüllung des Lustprinzips erkennen, ist auch vielfach in Beziehung zur Religion gebracht worden, mit der es in jenen entlegenen Regionen zusammenhängen mag, wo die Unterscheidung des Ichs von den Objekten und dieser voneinander vernachlässigt wird. Eine ethische Betrachtung, deren tiefere Motivierung uns noch offenbar werden wird, will in dieser Bereitschaft zur allgemeinen Menschen- und Weltliebe die höchste Einstellung sehen, zu der sich der Mensch erheben kann. Wir möchten schon hier unsere zwei hauptsächlichen </w:t>
      </w:r>
      <w:r w:rsidRPr="00506316">
        <w:rPr>
          <w:rFonts w:ascii="Garamond" w:hAnsi="Garamond"/>
          <w:lang w:val="en-US" w:eastAsia="fr-FR"/>
        </w:rPr>
        <w:lastRenderedPageBreak/>
        <w:t xml:space="preserve">Bedenken nicht zurückhalten. </w:t>
      </w:r>
      <w:r w:rsidRPr="00506316">
        <w:rPr>
          <w:rFonts w:ascii="Garamond" w:hAnsi="Garamond"/>
          <w:lang w:eastAsia="fr-FR"/>
        </w:rPr>
        <w:t>Eine Liebe, die nicht auswählt, scheint uns einen Teil ihres eigenen Werts einzubüßen, indem sie an dem Objekt ein Unrecht tut. Und weiter: es sind nicht alle Menschen liebenswert.</w:t>
      </w:r>
    </w:p>
    <w:p w:rsidR="004E00C6" w:rsidRPr="00506316" w:rsidRDefault="004E00C6" w:rsidP="004E00C6">
      <w:pPr>
        <w:pStyle w:val="Sansinterligne"/>
        <w:rPr>
          <w:rFonts w:ascii="Garamond" w:hAnsi="Garamond"/>
          <w:lang w:val="en-US" w:eastAsia="fr-FR"/>
        </w:rPr>
      </w:pPr>
      <w:r w:rsidRPr="00506316">
        <w:rPr>
          <w:rFonts w:ascii="Garamond" w:hAnsi="Garamond"/>
          <w:lang w:eastAsia="fr-FR"/>
        </w:rPr>
        <w:t xml:space="preserve">Jene Liebe, welche die Familie gründete, bleibt in ihrer ursprünglichen Ausprägung, in der sie auf direkte sexuelle Befriedigung nicht verzichtet, sowie in ihrer Modifikation als zielgehemmte Zärtlichkeit in der Kultur weiter wirksam. </w:t>
      </w:r>
      <w:r w:rsidRPr="00506316">
        <w:rPr>
          <w:rFonts w:ascii="Garamond" w:hAnsi="Garamond"/>
          <w:lang w:val="en-US" w:eastAsia="fr-FR"/>
        </w:rPr>
        <w:t>In beiden Formen setzt sie ihre Funktion fort, eine größere Anzahl von Menschen aneinander zu binden und in intensiverer Art, als es dem Interesse der Arbeitsgemeinschaft gelingt. Die Nachlässigkeit der Sprache in der Anwendung des Wortes »Liebe« findet eine genetische Rechtfertigung. Liebe nennt man die Beziehung zwischen Mann und Weib, die auf Grund ihrer genitalen Bedürfnisse eine Familie gegründet haben, Liebe aber auch die positiven Gefühle zwischen Eltern und Kindern, zwischen den Geschwistern in der Familie, obwohl wir diese Beziehung als zielgehemmte Liebe, als Zärtlichkeit, beschreiben müssen. Die zielgehemmte Liebe war eben ursprünglich vollsinnliche Liebe und ist es im Unbewußten des Menschen noch immer. Beide, vollsinnliche und zielgehemmte Liebe, greifen über die Familie hinaus und stellen neue Bindungen an bisher Fremde her. Die genitale Liebe führt zu neuen Familienbildungen, die zielgehemmte zu »Freundschaften«, welche kulturell wichtig werden, weil sie manchen Beschränkungen der genitalen Liebe, z. B. deren Ausschließlichkeit, entgehen. Aber das Verhältnis der Liebe zur Kultur verliert im Verlaufe der Entwicklung seine Eindeutigkeit. Einerseits widersetzt sich die Liebe den Interessen der Kultur, anderseits bedroht die Kultur die Liebe mit empfindlichen Einschränkungen.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Diese Entzweiung scheint unvermeidlich; ihr Grund ist nicht sofort zu erkennen. Sie äußert sich zunächst als ein Konflikt zwischen der Familie und der größeren Gemeinschaft, der der Einzelne angehört. Wir haben bereits erraten, daß es eine der Hauptbestrebungen der Kultur ist, die Menschen zu großen Einheiten zusammenzuballen. Die Familie will aber das Individuum nicht freigeben. Je inniger der Zusammenhalt der Familienmitglieder ist, desto mehr sind sie oft geneigt, sich von anderen abzuschließen, desto schwieriger wird ihnen der Eintritt in den größeren Lebenskreis. Die phylogenetisch ältere, in der Kindheit allein bestehende Weise des Zusammenlebens wehrt sich, von der später erworbenen, kulturellen abgelöst zu werden. Die Ablösung von der Familie wird für jeden Jugendlichen zu einer Aufgabe, bei deren Lösung ihn die Gesellschaft oft durch Pubertäts- und Aufnahmsriten unterstützt. Man gewinnt den Eindruck, dies seien Schwierigkeiten, die jeder psychischen, ja im Grunde auch jeder organischen Entwicklung anhängen.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Ferner treten bald die Frauen in einen Gegensatz zur Kulturströmung und entfalten ihren verzögernden und zurückhaltenden Einfluß, dieselben, die anfangs durch die Forderungen ihrer Liebe das Fundament der Kultur gelegt hatten. Die Frauen vertreten die Interessen der Familie und des Sexual</w:t>
      </w:r>
      <w:r w:rsidRPr="00506316">
        <w:rPr>
          <w:rFonts w:ascii="Garamond" w:hAnsi="Garamond"/>
          <w:lang w:val="en-US" w:eastAsia="fr-FR"/>
        </w:rPr>
        <w:softHyphen/>
        <w:t>lebens; die Kulturarbeit ist immer mehr Sache der Männer geworden, stellt ihnen immer schwierigere Aufgaben, nötigt sie zu Triebsublimierungen, denen die Frauen wenig gewachsen sind. Da der Mensch nicht über unbegrenzte Quantitäten psychischer Energie verfügt, muß er seine Aufgaben durch zweckmäßige Verteilung der Libido erledigen. Was er für kulturelle Zwecke verbraucht, entzieht er großenteils den Frauen und dem Sexualleben: das beständige Zusammensein mit Männern, seine Abhängigkeit von den Beziehungen zu ihnen entfremden ihn sogar seinen Aufgaben als Ehemann und Vater. So sieht sich die Frau durch die Ansprüche der Kultur in den Hintergrund gedrängt und tritt zu ihr in ein feindliches Verhältnis.</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Von Seiten der Kultur ist die Tendenz zur Einschränkung des Sexuallebens nicht minder deutlich als die andere zur Ausdehnung des Kulturkreises. Schon die erste Kulturphase, die des Totemismus, bringt das Verbot der inzes</w:t>
      </w:r>
      <w:r w:rsidRPr="00506316">
        <w:rPr>
          <w:rFonts w:ascii="Garamond" w:hAnsi="Garamond"/>
          <w:lang w:val="en-US" w:eastAsia="fr-FR"/>
        </w:rPr>
        <w:softHyphen/>
        <w:t>tuösen Objektwahl mit sich, vielleicht die einschneidendste Verstümmelung, die das menschliche Liebesleben im Laufe der Zeiten erfahren hat. Durch Tabu, Gesetz und Sitte werden weitere Einschränkungen hergestellt, die sowohl die Männer als die Frauen betreffen. Nicht alle Kulturen gehen darin gleich weit; die wirtschaftliche Struktur der Gesellschaft beeinflußt auch das Maß der restlichen Sexualfreiheit. Wir wissen schon, daß die Kultur dabei dem Zwang der ökonomischen Notwendigkeit folgt, da sie der Sexualität einen großen Betrag der psychischen Energie entziehen muß, die sie selbst verbraucht. Dabei benimmt sich die Kultur gegen die Sexualität wie ein Volks</w:t>
      </w:r>
      <w:r w:rsidRPr="00506316">
        <w:rPr>
          <w:rFonts w:ascii="Garamond" w:hAnsi="Garamond"/>
          <w:lang w:val="en-US" w:eastAsia="fr-FR"/>
        </w:rPr>
        <w:softHyphen/>
        <w:t xml:space="preserve">stamm oder eine Schichte der Bevölkerung, die eine andere ihrer Ausbeutung unterworfen hat. Die Angst vor dem Aufstand der Unterdrückten treibt zu strengen Vorsichtsmaßregeln. Einen Höhepunkt solcher Entwicklung zeigt unsere westeuropäische Kultur. Es ist psychologisch durchaus berechtigt, daß sie damit einsetzt, die Äußerungen des kindlichen Sexuallebens zu verpönen, denn die Eindämmung der sexuellen Gelüste der Erwachsenen hat keine Aussicht, wenn ihr nicht in der Kindheit vorgearbeitet wurde. Nur läßt es sich auf keine Art rechtfertigen, daß die Kulturgesellschaft so weit gegangen ist, diese leicht nachweisbaren, ja </w:t>
      </w:r>
      <w:r w:rsidRPr="00506316">
        <w:rPr>
          <w:rFonts w:ascii="Garamond" w:hAnsi="Garamond"/>
          <w:lang w:val="en-US" w:eastAsia="fr-FR"/>
        </w:rPr>
        <w:lastRenderedPageBreak/>
        <w:t>auffälligen Phänomene auch zu leugnen. Die Objektwahl des geschlechtsreifen Individuums wird auf das gegenteilige Geschlecht eingeengt, die meisten außergenitalen Befriedi</w:t>
      </w:r>
      <w:r w:rsidRPr="00506316">
        <w:rPr>
          <w:rFonts w:ascii="Garamond" w:hAnsi="Garamond"/>
          <w:lang w:val="en-US" w:eastAsia="fr-FR"/>
        </w:rPr>
        <w:softHyphen/>
        <w:t>gungen als Perversionen untersagt. Die in diesen Verboten kundgegebene Forderung eines für alle gleichartigen Sexuallebens setzt sich über die Ungleichheiten in der angeborenen und erworbenen Sexualkonstitution der Menschen hinaus, schneidet eine ziemliche Anzahl von ihnen vom Sexualgenuß ab und wird so die Quelle schwerer Ungerechtigkeit. Der Erfolg dieser einschränkenden Maßregeln könnte nun sein, daß bei denen, die normal, die nicht konstitutionell daran verhindert sind, alles Sexualinteresse ohne Einbuße in die offen gelassenen Kanäle einströmt. Aber was von der Ächtung frei bleibt, die heterosexuelle genitale Liebe, wird durch die Beschränkungen der Legitimität und der Einehe weiter beeinträchtigt. Die heutige Kultur gibt deutlich zu erkennen, daß sie sexuelle Beziehungen nur auf Grund einer einmaligen, unauflösbaren Bindung eines Mannes an ein Weib gestatten will, daß sie die Sexualität als selbständige Lustquelle nicht mag und sie nur als bisher unersetzte Quelle für die Vermehrung der Menschen zu dulden gesinnt ist.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Das ist natürlich ein Extrem. Es ist bekannt, daß es sich als undurch</w:t>
      </w:r>
      <w:r w:rsidRPr="00506316">
        <w:rPr>
          <w:rFonts w:ascii="Garamond" w:hAnsi="Garamond"/>
          <w:lang w:val="en-US" w:eastAsia="fr-FR"/>
        </w:rPr>
        <w:softHyphen/>
        <w:t>führbar, selbst für kürzere Zeiten, erwiesen hat. Nur die Schwächlinge haben sich einem so weitgehenden Einbruch in ihre Sexualfreiheit gefügt, stärkere Naturen nur unter einer kompensierenden Bedingung, von der später die Rede sein kann. Die Kulturgesellschaft hat sich genötigt gesehen, viele Überschreitungen stillschweigend zuzulassen, die sie nach ihren Satzungen hätte verfolgen müssen. Doch darf man nicht nach der anderen Seite irregehen und annehmen, eine solche kulturelle Einstellung sei überhaupt harmlos, weil sie nicht alle ihre Absichten erreiche. Das Sexualleben des Kulturmenschen ist doch schwer geschädigt, es macht mitunter den Eindruck einer in Rückbildung befindlichen Funktion, wie unser Gebiß und unsere Kopfhaare als Organe zu sein scheinen. Man hat wahrscheinlich ein Recht anzunehmen, daß seine Bedeutung als Quelle von Glücksempfindungen, also in der Erfüllung unseres Lebenszweckes, empfindlich nachgelassen hat.</w:t>
      </w:r>
      <w:r w:rsidRPr="00506316">
        <w:rPr>
          <w:rFonts w:ascii="Garamond" w:hAnsi="Garamond"/>
          <w:vertAlign w:val="superscript"/>
          <w:lang w:val="en-US" w:eastAsia="fr-FR"/>
        </w:rPr>
        <w:t>2)</w:t>
      </w:r>
      <w:r w:rsidRPr="00506316">
        <w:rPr>
          <w:rFonts w:ascii="Garamond" w:hAnsi="Garamond"/>
          <w:lang w:val="en-US" w:eastAsia="fr-FR"/>
        </w:rPr>
        <w:t xml:space="preserve"> Manchmal glaubt man zu erkennen, es sei nicht allein der Druck der Kultur, sondern etwas am Wesen der Funktion selbst versage uns die volle Befriedigung und dränge uns auf andere Wege. Es mag ein Irrtum sein, es ist schwer zu entscheiden.</w:t>
      </w:r>
      <w:r w:rsidRPr="00506316">
        <w:rPr>
          <w:rFonts w:ascii="Garamond" w:hAnsi="Garamond"/>
          <w:vertAlign w:val="superscript"/>
          <w:lang w:val="en-US" w:eastAsia="fr-FR"/>
        </w:rPr>
        <w:t>3)</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____________________</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1)</w:t>
      </w:r>
      <w:r w:rsidRPr="00506316">
        <w:rPr>
          <w:rFonts w:ascii="Garamond" w:hAnsi="Garamond"/>
          <w:lang w:val="en-US" w:eastAsia="fr-FR"/>
        </w:rPr>
        <w:t xml:space="preserve"> Die organische Periodizität des Sexualvorgangs ist zwar erhalten geblieben, aber ihr Einfluß auf die psychische Sexualerregung hat sich eher ins Gegenteil verkehrt. Diese Veränderung hängt am ehesten zusammen mit dem Zurücktreten der Geruchsreize, durch welche der Menstruationsvorgang auf die männliche Psyche einwirkte. Deren Rolle wurde von Gesichtserregungen übernommen, die im Gegen</w:t>
      </w:r>
      <w:r w:rsidRPr="00506316">
        <w:rPr>
          <w:rFonts w:ascii="Garamond" w:hAnsi="Garamond"/>
          <w:lang w:val="en-US" w:eastAsia="fr-FR"/>
        </w:rPr>
        <w:softHyphen/>
        <w:t>satz zu den intermittierenden Geruchsreizen eine permanente Wirkung unterhalten konnten. Das Tabu der Menstruation entstammt dieser »organischen Verdrängung« als Abwehr einer überwundenen Entwicklungsphase; alle anderen Motivierungen sind wahrscheinlich sekundärer Natur. (Vgl. C. D. Daly, 1927.) Dieser Vorgang wiederholt sich auf anderem Niveau, wenn die Götter einer überholten Kulturperiode zu Dämonen werden. Das Zurücktreten der Geruchsreize scheint aber selbst Folge der Abwendung des Menschen von der Erde, des Entschlusses zum aufrechten Gang, der nun die bisher gedeckten Genitalien sichtbar und schutzbedürftig macht und so das Schämen hervorruft. Am Beginne des verhängnisvollen Kulturprozesses stünde also die Aufrichtung des Menschen. Die Verkettung läuft von hier aus über die Entwertung der Geruchsreize und die Isolierung der Periode zum Obergewicht der Gesichtsreize, Sichtbarwerden der Genitalien, weiter zur Kontinuität der Sexualerregung, Gründung der Familie und damit zur Schwelle der menschlichen Kultur. Dies ist nur eine theoretische Spekulation, aber wichtig genug, um eine exakte Nachprüfung an den Lebensverhältnissen der dem Menschen nahestehenden Tiere zu verdienen.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Auch in dem Kulturstreben nach Reinlichkeit, das in hygienischen Rücksichten eine nachträgliche Rechtfertigung findet, aber sich bereits vor dieser Einsicht ge</w:t>
      </w:r>
      <w:r w:rsidRPr="00506316">
        <w:rPr>
          <w:rFonts w:ascii="Garamond" w:hAnsi="Garamond"/>
          <w:lang w:val="en-US" w:eastAsia="fr-FR"/>
        </w:rPr>
        <w:softHyphen/>
        <w:t>äußert hat, ist ein soziales Moment unverkennbar. Der Antrieb zur Reinlichkeit entspringt dem Drang nach Beseitigung der Exkremente, die der Sinneswahrneh</w:t>
      </w:r>
      <w:r w:rsidRPr="00506316">
        <w:rPr>
          <w:rFonts w:ascii="Garamond" w:hAnsi="Garamond"/>
          <w:lang w:val="en-US" w:eastAsia="fr-FR"/>
        </w:rPr>
        <w:softHyphen/>
        <w:t xml:space="preserve">mung unangenehm geworden sind. Wir wissen, daß es in der Kinderstube anders ist. Die Exkremente erregen beim Kinde keinen Abscheu, erscheinen ihm als losgelöster Teil seines Körpers wertvoll. Die Erziehung dringt hier besonders energisch auf die Beschleunigung des bevorstehenden Entwicklungsganges, der die Exkremente wertlos, ekelhaft, abscheulich und verwerflich machen soll. Eine solche Umwertung wäre kaum möglich, wenn diese dem Körper entzogenen Stoffe nicht durch ihre starken Gerüche verurteilt wären, an dem Schicksal teilzunehmen, das nach der Aufrichtung des Menschen vom Boden den Geruchsreizen vorbehalten ist. Die Analerotik erliegt also zunächst der »organischen Verdrängung«, die den Weg zur Kultur gebahnt hat. Der soziale Faktor, der die weitere Umwandlung der Analerotik besorgt, bezeugt sich durch die Tatsache, daß trotz aller </w:t>
      </w:r>
      <w:r w:rsidRPr="00506316">
        <w:rPr>
          <w:rFonts w:ascii="Garamond" w:hAnsi="Garamond"/>
          <w:lang w:val="en-US" w:eastAsia="fr-FR"/>
        </w:rPr>
        <w:lastRenderedPageBreak/>
        <w:t>Entwicklungsfortschritte dem Menschen der Geruch der eigenen Exkremente kaum anstößig ist, immer nur der der Ausscheidungen des anderen. Der Unreinliche, d. h. der, der seine Exkremente nicht verbirgt, beleidigt also den anderen, zeigt keine Rücksicht für ihn, und dasselbe besagen ja auch die kräftigsten, gebräuchlichsten Beschimpfungen. Es wäre auch unverständlich, daß der Mensch den Namen seines treuesten Freundes in der Tierwelt als Schimpfwort verwendet, wenn der Hund nicht durch zwei Eigenschaften die Verachtung des Menschen auf sich zöge, daß er ein Geruchstier ist, das sich vor Exkrementen nicht scheut, und daß er sich seiner sexuellen Funktionen nicht schämt.</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2)</w:t>
      </w:r>
      <w:r w:rsidRPr="00506316">
        <w:rPr>
          <w:rFonts w:ascii="Garamond" w:hAnsi="Garamond"/>
          <w:lang w:val="en-US" w:eastAsia="fr-FR"/>
        </w:rPr>
        <w:t xml:space="preserve"> Unter den Dichtungen des feinsinnigen Engländers J. Galsworthy, der sich heute allgemeiner Anerkennung erfreut, schätzte ich früh eine kleine Geschichte, be</w:t>
      </w:r>
      <w:r w:rsidRPr="00506316">
        <w:rPr>
          <w:rFonts w:ascii="Garamond" w:hAnsi="Garamond"/>
          <w:lang w:val="en-US" w:eastAsia="fr-FR"/>
        </w:rPr>
        <w:softHyphen/>
        <w:t>titelt: ›The Apple-Tree‹. Sie zeigt in eindringlicher Weise, wie im Leben des heutigen Kulturmenschen für die einfache, natürliche Liebe zweier Menschenkinder kein Raum mehr ist.</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3)</w:t>
      </w:r>
      <w:r w:rsidRPr="00506316">
        <w:rPr>
          <w:rFonts w:ascii="Garamond" w:hAnsi="Garamond"/>
          <w:lang w:val="en-US" w:eastAsia="fr-FR"/>
        </w:rPr>
        <w:t xml:space="preserve"> Folgende Bemerkungen, um die oben ausgesprochene Vermutung zu stützen: Auch der Mensch ist ein Tierwesen von unzweideutig bisexueller Anlage. Das Individuum entspricht einer Verschmelzung zweier symmetrischer Hälften, von denen nach Ansicht mancher Forscher die eine rein männlich, die andere weiblich ist. Ebensowohl ist es möglich, daß jede Hälfte ursprünglich hermaphroditisch war. Die Geschlechtlichkeit ist eine biologische Tatsache, die, obwohl von außerordentlicher Bedeutung für das Seelenleben, psychologisch schwer zu erfassen ist. Wir sind gewohnt zu sagen: jeder Mensch zeige sowohl männliche als weibliche Trieb</w:t>
      </w:r>
      <w:r w:rsidRPr="00506316">
        <w:rPr>
          <w:rFonts w:ascii="Garamond" w:hAnsi="Garamond"/>
          <w:lang w:val="en-US" w:eastAsia="fr-FR"/>
        </w:rPr>
        <w:softHyphen/>
        <w:t>regungen, Bedürfnisse, Eigenschaften, aber den Charakter des Männlichen und Weiblichen kann zwar die Anatomie, aber nicht die Psychologie aufzeigen. Für sie verblaßt der geschlechtliche Gegensatz zu dem von Aktivität und Passivität, wobei wir allzu unbedenklich die Aktivität mit der Männlichkeit, die Passivität mit der Weiblichkeit zusammenfallen lassen, was sich in der Tierreihe keineswegs ausnahms</w:t>
      </w:r>
      <w:r w:rsidRPr="00506316">
        <w:rPr>
          <w:rFonts w:ascii="Garamond" w:hAnsi="Garamond"/>
          <w:lang w:val="en-US" w:eastAsia="fr-FR"/>
        </w:rPr>
        <w:softHyphen/>
        <w:t>los bestätigt. Die Lehre von der Bisexualität liegt noch sehr im dunkeln, und daß sie noch keine Verknüpfung mit der Trieblehre gefunden hat, müssen wir in der Psychoanalyse als schwere Störung verspüren. Wie dem auch sein mag, wenn wir als tatsächlich annehmen, daß der Einzelne in seinem Sexualleben männliche wie weibliche Wünsche befriedigen will, sind wir für die Möglichkeit vorbereitet, daß diese Ansprüche nicht durch das nämliche Objekt erfüllt werden und daß sie einander stören, wenn es nicht gelingt, sie auseinanderzuhalten und jede Regung in eine besondere, ihr angemessene Bahn zu leiten. Eine andere Schwierigkeit ergibt sich daraus, daß der erotischen Beziehung außer der ihr eigenen sadistischen Komponente so häufig ein Betrag von direkter Aggressionsneigung beigesellt ist. Das Liebesobjekt wird diesen Komplikationen nicht immer soviel Verständnis und Toleranz entgegenbringen wie jene Bäuerin, die sich beklagt, daß ihr Mann sie nicht mehr liebt, weil er sie seit einer Woche nicht mehr geprügelt hat.</w:t>
      </w:r>
    </w:p>
    <w:p w:rsidR="004E00C6" w:rsidRPr="00506316" w:rsidRDefault="004E00C6" w:rsidP="004E00C6">
      <w:pPr>
        <w:pStyle w:val="Sansinterligne"/>
        <w:rPr>
          <w:rFonts w:ascii="Garamond" w:hAnsi="Garamond"/>
          <w:lang w:val="en-US" w:eastAsia="fr-FR"/>
        </w:rPr>
      </w:pPr>
      <w:r w:rsidRPr="004E00C6">
        <w:rPr>
          <w:rFonts w:ascii="Garamond" w:hAnsi="Garamond"/>
          <w:lang w:val="en-US" w:eastAsia="fr-FR"/>
        </w:rPr>
        <w:t>Am tiefsten reicht aber die Vermutung, die an die Ausführungen in der Anmer</w:t>
      </w:r>
      <w:r w:rsidRPr="004E00C6">
        <w:rPr>
          <w:rFonts w:ascii="Garamond" w:hAnsi="Garamond"/>
          <w:lang w:val="en-US" w:eastAsia="fr-FR"/>
        </w:rPr>
        <w:softHyphen/>
        <w:t xml:space="preserve">kung S. 229 f. anknüpft, daß mit der Aufrichtung des Menschen und der Entwertung des Geruchssinnes die gesamte Sexualität, nicht nur die Analerotik, ein Opfer der organischen Verdrängung zu werden drohte, so daß seither die sexuelle Funktion von einem weiter nicht zu begründenden Widerstreben begleitet wird, das eine volle Befriedigung verhindert und vom Sexualziel wegdrängt zu Sublimierungen und Libidoverschiebungen. </w:t>
      </w:r>
      <w:r w:rsidRPr="00506316">
        <w:rPr>
          <w:rFonts w:ascii="Garamond" w:hAnsi="Garamond"/>
          <w:lang w:val="en-US" w:eastAsia="fr-FR"/>
        </w:rPr>
        <w:t>Ich weiß, daß Bleuler (1913) einmal auf das Vorhandensein einer solchen ursprünglichen abweisenden Einstellung zum Sexualleben hingewiesen hat. An der Tatsache des ›</w:t>
      </w:r>
      <w:r w:rsidRPr="00506316">
        <w:rPr>
          <w:rFonts w:ascii="Garamond" w:hAnsi="Garamond"/>
          <w:i/>
          <w:iCs/>
          <w:lang w:val="en-US" w:eastAsia="fr-FR"/>
        </w:rPr>
        <w:t>Inter urinas et faeces naseimur</w:t>
      </w:r>
      <w:r w:rsidRPr="00506316">
        <w:rPr>
          <w:rFonts w:ascii="Garamond" w:hAnsi="Garamond"/>
          <w:lang w:val="en-US" w:eastAsia="fr-FR"/>
        </w:rPr>
        <w:t>‹ [wir werden zwischen Urin und Faeces geboren] nehmen alle Neurotiker und viele außer ihnen Anstoß. Die Genitalien erzeugen auch starke Geruchsempfindungen, die vielen Menschen uner</w:t>
      </w:r>
      <w:r w:rsidRPr="00506316">
        <w:rPr>
          <w:rFonts w:ascii="Garamond" w:hAnsi="Garamond"/>
          <w:lang w:val="en-US" w:eastAsia="fr-FR"/>
        </w:rPr>
        <w:softHyphen/>
        <w:t>träglich sind und ihnen den Sexualverkehr verleiden. So ergäbe sich als tiefste Wurzel der mit der Kultur fortschreitenden Sexualverdrängung die organische Abwehr der mit dem aufrechten Gang gewonnenen neuen Lebensform gegen die frühere animalische Existenz, ein Resultat wissenschaftlicher Erforschung, das sich in merkwürdiger Weise mit oft laut gewordenen banalen Vorurteilen deckt. Immerhin sind dies derzeit nur ungesicherte, von der Wissenschaft nicht erhärtete Möglich</w:t>
      </w:r>
      <w:r w:rsidRPr="00506316">
        <w:rPr>
          <w:rFonts w:ascii="Garamond" w:hAnsi="Garamond"/>
          <w:lang w:val="en-US" w:eastAsia="fr-FR"/>
        </w:rPr>
        <w:softHyphen/>
        <w:t xml:space="preserve">keiten. Wir wollen auch nicht vergessen, daß trotz der unleugbaren Entwertung der Geruchsreize es selbst in Europa Völker gibt, die die starken, uns so widrigen Genitalgerüche als Reizmittel der Sexualität hochschätzen und auf sie nicht verzichten wollen. (Siehe die folkloristischen Erhebungen auf die ›Umfrage‹ von Iwan Bloch ›Über den Geruchssinn in der </w:t>
      </w:r>
      <w:r w:rsidRPr="00506316">
        <w:rPr>
          <w:rFonts w:ascii="Garamond" w:hAnsi="Garamond"/>
          <w:i/>
          <w:iCs/>
          <w:lang w:val="en-US" w:eastAsia="fr-FR"/>
        </w:rPr>
        <w:t>vita sexualis</w:t>
      </w:r>
      <w:r w:rsidRPr="00506316">
        <w:rPr>
          <w:rFonts w:ascii="Garamond" w:hAnsi="Garamond"/>
          <w:lang w:val="en-US" w:eastAsia="fr-FR"/>
        </w:rPr>
        <w:t xml:space="preserve">‹ in verschiedenen Jahrgängen der </w:t>
      </w:r>
      <w:r w:rsidRPr="00506316">
        <w:rPr>
          <w:rFonts w:ascii="Garamond" w:hAnsi="Garamond"/>
          <w:i/>
          <w:iCs/>
          <w:lang w:val="en-US" w:eastAsia="fr-FR"/>
        </w:rPr>
        <w:t>Anthroprophyteia</w:t>
      </w:r>
      <w:r w:rsidRPr="00506316">
        <w:rPr>
          <w:rFonts w:ascii="Garamond" w:hAnsi="Garamond"/>
          <w:lang w:val="en-US" w:eastAsia="fr-FR"/>
        </w:rPr>
        <w:t xml:space="preserve"> von Friedrich S. Krauß.)</w:t>
      </w:r>
    </w:p>
    <w:p w:rsidR="004E00C6" w:rsidRPr="00506316" w:rsidRDefault="004E00C6" w:rsidP="004E00C6">
      <w:pPr>
        <w:pStyle w:val="Sansinterligne"/>
        <w:rPr>
          <w:rFonts w:ascii="Garamond" w:hAnsi="Garamond"/>
          <w:lang w:val="en-US"/>
        </w:rPr>
      </w:pPr>
      <w:r w:rsidRPr="00506316">
        <w:rPr>
          <w:rFonts w:ascii="Garamond" w:hAnsi="Garamond"/>
          <w:lang w:val="en-US"/>
        </w:rPr>
        <w:br w:type="page"/>
      </w:r>
    </w:p>
    <w:p w:rsidR="004E00C6" w:rsidRPr="00506316" w:rsidRDefault="00B437A1" w:rsidP="004E00C6">
      <w:pPr>
        <w:pStyle w:val="Sansinterligne"/>
        <w:rPr>
          <w:rFonts w:ascii="Garamond" w:hAnsi="Garamond"/>
          <w:kern w:val="36"/>
          <w:lang w:val="en-US" w:eastAsia="fr-FR"/>
        </w:rPr>
      </w:pPr>
      <w:hyperlink w:anchor="KulturINHALT" w:history="1">
        <w:r w:rsidR="004E00C6" w:rsidRPr="00506316">
          <w:rPr>
            <w:rStyle w:val="Lienhypertexte"/>
            <w:rFonts w:ascii="Garamond" w:hAnsi="Garamond"/>
            <w:kern w:val="36"/>
            <w:lang w:val="en-US" w:eastAsia="fr-FR"/>
          </w:rPr>
          <w:t>V.  Ei</w:t>
        </w:r>
        <w:bookmarkStart w:id="255" w:name="Kultur5"/>
        <w:bookmarkEnd w:id="255"/>
        <w:r w:rsidR="004E00C6" w:rsidRPr="00506316">
          <w:rPr>
            <w:rStyle w:val="Lienhypertexte"/>
            <w:rFonts w:ascii="Garamond" w:hAnsi="Garamond"/>
            <w:kern w:val="36"/>
            <w:lang w:val="en-US" w:eastAsia="fr-FR"/>
          </w:rPr>
          <w:t>nschränkung der Sexualität und Agression zugunsten der Sicherheit</w:t>
        </w:r>
      </w:hyperlink>
    </w:p>
    <w:p w:rsidR="004E00C6" w:rsidRPr="00506316" w:rsidRDefault="004E00C6" w:rsidP="004E00C6">
      <w:pPr>
        <w:pStyle w:val="Sansinterligne"/>
        <w:rPr>
          <w:rFonts w:ascii="Garamond" w:hAnsi="Garamond"/>
          <w:lang w:val="en-US" w:eastAsia="fr-FR"/>
        </w:rPr>
      </w:pP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Die psychoanalytische Arbeit hat uns gelehrt, daß gerade diese Versa</w:t>
      </w:r>
      <w:r w:rsidRPr="00506316">
        <w:rPr>
          <w:rFonts w:ascii="Garamond" w:hAnsi="Garamond"/>
          <w:lang w:val="en-US" w:eastAsia="fr-FR"/>
        </w:rPr>
        <w:softHyphen/>
        <w:t>gungen des Sexuallebens von den sogenannten Neurotikern nicht vertragen werden. Sie schaffen sich in ihren Symptomen Ersatzbefriedigungen, die aber entweder an sich Leiden schaffen oder Leidensquelle werden, indem sie ihnen Schwierigkeiten mit Umwelt und Gesellschaft bereiten. Das letztere ist leicht verständlich, das andere gibt uns ein neues Rätsel auf. Die Kultur verlangt aber noch andere Opfer als an Sexualbefriedigung.</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Wir haben die Schwierigkeiten der Kulturentwicklung als eine allgemeine Entwicklungsschwierigkeit aufgefaßt, indem wir sie auf die Trägheit der Libido zurückführten, auf deren Abneigung, eine alte Position gegen eine neue zu verlassen. Wir sagen ungefähr dasselbe, wenn wir den Gegensatz zwischen Kultur und Sexualität davon ableiten, daß die sexuelle Liebe ein Verhältnis zwischen zwei Personen ist, bei dem ein Dritter nur überflüssig oder störend sein kann, während die Kultur auf Beziehungen unter einer größeren Menschenanzahl ruht. Auf der Höhe eines Liebesverhältnisses bleibt kein Interesse für die Umwelt übrig; das Liebespaar genügt sich selbst, braucht auch nicht das gemeinsame Kind, um glücklich zu sein. In keinem anderen Falle verrät der Eros so deutlich den Kern seines Wesens, die Absicht, aus mehreren eines zu machen, aber wenn er dies, wie es sprichwörtlich geworden ist, in der Verliebtheit zweier Menschen zueinander erreicht hat, will er darüber nicht hinausgehen.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Wir können uns bisher sehr gut vorstellen, daß eine Kulturgemeinschaft: aus solchen Doppelindividuen bestünde, die, in sich libidinös gesättigt, durch das Band der Arbeits- und Interessengemeinschaft miteinander verknüpft sind. </w:t>
      </w:r>
      <w:r w:rsidRPr="00506316">
        <w:rPr>
          <w:rFonts w:ascii="Garamond" w:hAnsi="Garamond"/>
          <w:lang w:eastAsia="fr-FR"/>
        </w:rPr>
        <w:t xml:space="preserve">In diesem Falle brauchte die Kultur der Sexualität keine Energie zu entziehen. Aber dieser wünschenswerte Zustand besteht nicht und hat niemals bestanden; die Wirklichkeit zeigt uns, daß die Kultur sich nicht mit den ihr bisher zugestandenen Bindungen begnügt, daß sie die Mitglieder der Gemeinschaft auch libidinös aneinander binden will, daß sie sich aller Mittel hiezu bedient, jeden Weg begünstigt, starke Identifizierungen unter ihnen herzustellen, im größten Ausmaße zielgehemmte Libido aufbietet, um die Gemeinschaftsbande durch Freundschaftsbeziehungen zu kräftigen. </w:t>
      </w:r>
      <w:r w:rsidRPr="00506316">
        <w:rPr>
          <w:rFonts w:ascii="Garamond" w:hAnsi="Garamond"/>
          <w:lang w:val="en-US" w:eastAsia="fr-FR"/>
        </w:rPr>
        <w:t>Zur Erfüllung dieser Absichten wird die Einschränkung des Sexuallebens unvermeidlich. Uns fehlt aber die Einsicht in die Notwendigkeit, welche die Kultur auf diesen Weg drängt und ihre Gegnerschaft zur Sexualität begründet. Es muß sich um einen von uns noch nicht entdeckten störenden Faktor handeln.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Eine der sogenannten Idealforderungen der Kulturgesellschaft kann uns hier die Spur zeigen. Sie lautet: »Du sollst den Nächsten lieben wie dich selbst«; sie ist weltberühmt, gewiß älter als das Christentum, das sie als seinen stolzesten Anspruch vorweist, aber sicherlich nicht sehr alt; in historischen Zeiten war sie den Menschen noch fremd. Wir wollen uns naiv zu ihr einstellen, als hörten wir von ihr zum ersten Male. Dann können wir ein Gefühl von Überraschung und Befremden nicht unterdrücken. Warum sollen wir das? Was soll es uns helfen? Vor allem aber, wie bringen wir das zustande? Wie wird es uns möglich? Meine Liebe ist etwas mir Wertvolles, das ich nicht ohne Rechenschaft verwerfen darf. Sie legt mir Pflichten auf, die ich mit Opfern zu erfüllen bereit sein muß. Wenn ich einen anderen liebe, muß er es auf irgendeine Art verdienen. (Ich sehe von dem Nutzen, den er mir bringen kann, sowie von seiner möglichen Bedeutung als Sexualobjekt für mich ab; diese beiden Arten der Beziehung kommen für die Vorschrift der Nächstenliebe nicht in Betracht.) Er verdient es, wenn er mir in wichtigen Stücken so ähnlich ist, daß ich in ihm mich selbst lieben kann; er verdient es, wenn er so viel vollkommener ist als ich, daß ich mein Ideal von meiner eigenen Person in ihm lieben kann; ich muß ihn lieben, wenn er der Sohn meines Freundes ist, denn der Schmerz des Freundes, wenn ihm ein Leid zustößt, wäre auch mein Schmerz, ich müßte ihn teilen. Aber wenn er mir fremd ist und mich durch keinen eigenen Wert, keine bereits erworbene Bedeutung für mein Gefühlsleben anziehen kann, wird es mir schwer, ihn zu lieben. Ich tue sogar unrecht damit, denn meine Liebe wird von all den Meinen als Bevorzugung geschätzt; es ist ein Unrecht an ihnen, wenn ich den Fremden ihnen gleichstelle. Wenn ich ihn aber lieben soll, mit jener Weltliebe, bloß weil er auch ein Wesen dieser Erde ist, wie das Insekt, der Regenwurm, die Ringelnatter, dann wird, fürchte ich, ein geringer Betrag Liebe auf ihn entfallen, unmöglich so viel, als ich nach dem Urteil der Vernunft berechtigt bin, für mich selbst zurückzubehalten. Wozu eine so feierlich auftretende Vorschrift, wenn ihre Erfüllung sich nicht als vernünftig empfehlen kann?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Wenn ich näher zusehe, finde ich noch mehr Schwierigkeiten. Dieser Fremde ist nicht nur im allgemeinen nicht liebenswert, ich muß ehrlich bekennen, er hat mehr Anspruch auf meine Feindseligkeit, sogar auf meinen Haß. Er scheint nicht die mindeste Liebe für mich zu haben, bezeigt mir nicht die geringste Rücksicht. Wenn es ihm einen Nutzen bringt, hat er kein Bedenken, mich zu schädigen, fragt sich dabei auch nicht, ob die Höhe seines Nutzens der Größe des Schadens, den er mir zufügt, entspricht. Ja, er </w:t>
      </w:r>
      <w:r w:rsidRPr="00506316">
        <w:rPr>
          <w:rFonts w:ascii="Garamond" w:hAnsi="Garamond"/>
          <w:lang w:val="en-US" w:eastAsia="fr-FR"/>
        </w:rPr>
        <w:lastRenderedPageBreak/>
        <w:t>braucht nicht einmal einen Nutzen davon zu haben; wenn er nur irgendeine Lust damit befriedigen kann, macht er sich nichts daraus, mich zu verspotten, zu beleidigen, zu verleumden, seine Macht an mir zu zeigen, und je sicherer er sich fühlt, je hilfloser ich bin, desto sicherer darf ich dies Benehmen gegen mich von ihm erwarten. Wenn er sich anders verhält, wenn er mir als Fremdem Rücksicht und Schonung erweist, bin ich ohnedies, ohne jene Vorschrift bereit, es ihm in ähnlicher Weise zu vergelten. Ja, wenn jenes großartige Gebot lauten würde: »Liebe deinen Nächsten, wie dein Nächster dich liebt«, dann würde ich nicht widersprechen. Es gibt ein zweites Gebot, das mir noch unfaßbarer scheint und ein noch heftigeres Sträuben in mir entfesselt. Es heißt: »Liebe deine Feinde.« Wenn ich's recht überlege, habe ich unrecht, es als eine noch stärkere Zumutung abzuweisen. Es ist im Grunde dasselbe</w:t>
      </w:r>
      <w:r w:rsidRPr="00506316">
        <w:rPr>
          <w:rFonts w:ascii="Garamond" w:hAnsi="Garamond"/>
          <w:i/>
          <w:iCs/>
          <w:lang w:val="en-US" w:eastAsia="fr-FR"/>
        </w:rPr>
        <w:t>.</w:t>
      </w:r>
      <w:r w:rsidRPr="00506316">
        <w:rPr>
          <w:rFonts w:ascii="Garamond" w:hAnsi="Garamond"/>
          <w:vertAlign w:val="superscript"/>
          <w:lang w:val="en-US" w:eastAsia="fr-FR"/>
        </w:rPr>
        <w:t>1)</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Ich glaube nun von einer würdevollen Stimme die Mahnung zu hören: »Eben darum, weil der Nächste nicht liebenswert und eher dein Feind ist, sollst du ihn lieben wie dich selbst.« Ich verstehe dann, das ist ein ähnlicher Fall wie das </w:t>
      </w:r>
      <w:r w:rsidRPr="00506316">
        <w:rPr>
          <w:rFonts w:ascii="Garamond" w:hAnsi="Garamond"/>
          <w:i/>
          <w:iCs/>
          <w:lang w:val="en-US" w:eastAsia="fr-FR"/>
        </w:rPr>
        <w:t>Credo quia absurdum.</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Es ist nun sehr wahrscheinlich, daß der Nächste, wenn er aufgefordert wird, mich so zu lieben wie sich selbst, genauso antworten wird wie ich und mich mit den nämlichen Begründungen abweisen wird. Ich hoffe, nicht mit demselben objektiven Recht, aber dasselbe wird auch er meinen. Immerhin gibt es Unterschiede im Verhalten der Menschen, die die Ethik mit Hinwegsetzung über deren Bedingtheit als »gut« und »böse« klassifiziert. Solange diese unleugbaren Unterschiede nicht aufgehoben sind, bedeutet die Befolgung der hohen ethischen Forderungen eine Schädigung der Kulturabsichten, indem sie direkte Prämien für das Bösesein aufstellt. Man kann hier die Erinnerung an einen Vorgang nicht abweisen, der sich in der französischen Kammer zutrug, als über die Todesstrafe verhandelt wurde; ein Redner hatte sich leidenschaftlich für ihre Abschaffung eingesetzt und erntete stürmischen Beifall, bis eine Stimme aus dem Saale die Worte dazwischenrief: </w:t>
      </w:r>
      <w:r w:rsidRPr="00506316">
        <w:rPr>
          <w:rFonts w:ascii="Garamond" w:hAnsi="Garamond"/>
          <w:i/>
          <w:iCs/>
          <w:lang w:val="en-US" w:eastAsia="fr-FR"/>
        </w:rPr>
        <w:t>»Que messieurs les assassins commencent!</w:t>
      </w:r>
      <w:r w:rsidRPr="00506316">
        <w:rPr>
          <w:rFonts w:ascii="Garamond" w:hAnsi="Garamond"/>
          <w:lang w:val="en-US" w:eastAsia="fr-FR"/>
        </w:rPr>
        <w: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Das gern verleugnete Stück Wirklichkeit hinter alledem ist, daß der Mensch nicht ein sanftes, liebebedürftiges Wesen ist, das sich höchstens, wenn angegriffen, auch zu verteidigen vermag, sondern daß er zu seinen Triebbegabungen auch einen mächtigen Anteil von Aggressionsneigung rechnen darf. Infolgedessen ist ihm der Nächste nicht nur möglicher Helfer und Sexualobjekt, sondern auch eine Versuchung, seine Aggression an ihm zu befriedigen, seine Arbeitskraft ohne Entschädigung auszunützen, ihn ohne seine Einwilligung sexuell zu gebrauchen, sich in den Besitz seiner Habe zu setzen, ihn zu demütigen, ihm Schmerzen zu bereiten, zu martern und zu töten. </w:t>
      </w:r>
      <w:r w:rsidRPr="00506316">
        <w:rPr>
          <w:rFonts w:ascii="Garamond" w:hAnsi="Garamond"/>
          <w:i/>
          <w:iCs/>
          <w:lang w:val="en-US" w:eastAsia="fr-FR"/>
        </w:rPr>
        <w:t>Homo homini lupus</w:t>
      </w:r>
      <w:r w:rsidRPr="00506316">
        <w:rPr>
          <w:rFonts w:ascii="Garamond" w:hAnsi="Garamond"/>
          <w:lang w:val="en-US" w:eastAsia="fr-FR"/>
        </w:rPr>
        <w:t>; wer hat nach allen Erfahrungen des Lebens und der Geschichte den Mut, diesen Satz zu bestreiten? Diese grausame Aggression wartet in der Regel eine Provokation ab oder stellt sich in den Dienst einer anderen Absicht, deren Ziel auch mit milderen Mitteln zu erreichen wäre. Unter ihr günstigen Umständen, wenn die seelischen Gegenkräfte, die sie sonst hemmen, weggefallen sind, äußert sie sich auch spontan, enthüllt den Menschen als wilde Bestie, der die Schonung der eigenen Art fremd ist. Wer die Greuel der Völkerwanderung, der Einbrüche der Hunnen, der sogenannten Mongolen unter Dschengis Khan und Timurlenk, der Eroberung Jerusalems durch die frommen Kreuzfahrer, ja selbst noch die Schrecken des letzten Weltkriegs in seine Erinnerung ruft, wird sich vor der Tatsächlichkeit dieser Auffassung demütig beugen müssen.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Die Existenz dieser Aggressionsneigung, die wir bei uns selbst verspüren können, beim anderen mit Recht voraussetzen, ist das Moment, das unser Verhältnis zum Nächsten stört und die Kultur zu ihrem Aufwand nötigt. Infolge dieser primären Feindseligkeit der Menschen gegeneinander ist die Kulturgesellschaft beständig vom Zerfall bedroht. Das Interesse der Arbeits</w:t>
      </w:r>
      <w:r w:rsidRPr="00506316">
        <w:rPr>
          <w:rFonts w:ascii="Garamond" w:hAnsi="Garamond"/>
          <w:lang w:val="en-US" w:eastAsia="fr-FR"/>
        </w:rPr>
        <w:softHyphen/>
        <w:t>gemeinschaft würde sie nicht zusammenhalten, triebhafte Leidenschaften sind stärker als vernünftige Interessen. Die Kultur muß alles aufbieten, um den Aggressionstrieben der Menschen Schranken zu setzen, ihre Äußerungen durch psychische Reaktionsbildungen niederzuhalten. Daher also das Aufge</w:t>
      </w:r>
      <w:r w:rsidRPr="00506316">
        <w:rPr>
          <w:rFonts w:ascii="Garamond" w:hAnsi="Garamond"/>
          <w:lang w:val="en-US" w:eastAsia="fr-FR"/>
        </w:rPr>
        <w:softHyphen/>
        <w:t>bot von Methoden, die die Menschen zu Identifizierungen und zielgehemmten Liebesbeziehungen antreiben sollen, daher die Einschränkung des Sexual</w:t>
      </w:r>
      <w:r w:rsidRPr="00506316">
        <w:rPr>
          <w:rFonts w:ascii="Garamond" w:hAnsi="Garamond"/>
          <w:lang w:val="en-US" w:eastAsia="fr-FR"/>
        </w:rPr>
        <w:softHyphen/>
        <w:t>lebens und daher auch das Idealgebot, den Nächsten so zu lieben wie sich selbst, das sich wirklich dadurch rechtfertigt, daß nichts anderes der ur</w:t>
      </w:r>
      <w:r w:rsidRPr="00506316">
        <w:rPr>
          <w:rFonts w:ascii="Garamond" w:hAnsi="Garamond"/>
          <w:lang w:val="en-US" w:eastAsia="fr-FR"/>
        </w:rPr>
        <w:softHyphen/>
        <w:t>sprünglichen menschlichen Natur so sehr zuwiderläuft. Durch alle ihre Mühen hat diese Kulturbestrebung bisher nicht sehr viel erreicht. Die gröbsten Aus</w:t>
      </w:r>
      <w:r w:rsidRPr="00506316">
        <w:rPr>
          <w:rFonts w:ascii="Garamond" w:hAnsi="Garamond"/>
          <w:lang w:val="en-US" w:eastAsia="fr-FR"/>
        </w:rPr>
        <w:softHyphen/>
        <w:t>schreitungen der brutalen Gewalt hofft sie zu verhüten, indem sie sich selbst das Recht beilegt, an den Verbrechern Gewalt zu üben, aber die vorsichtige</w:t>
      </w:r>
      <w:r w:rsidRPr="00506316">
        <w:rPr>
          <w:rFonts w:ascii="Garamond" w:hAnsi="Garamond"/>
          <w:lang w:val="en-US" w:eastAsia="fr-FR"/>
        </w:rPr>
        <w:softHyphen/>
        <w:t>ren und feineren Äußerungen der menschlichen Aggression vermag das Gesetz nicht zu erfassen. Jeder von uns kommt dahin, die Erwartungen, die er in der Jugend an seine Mitmenschen geknüpft, als Illusionen fallenzu</w:t>
      </w:r>
      <w:r w:rsidRPr="00506316">
        <w:rPr>
          <w:rFonts w:ascii="Garamond" w:hAnsi="Garamond"/>
          <w:lang w:val="en-US" w:eastAsia="fr-FR"/>
        </w:rPr>
        <w:softHyphen/>
        <w:t xml:space="preserve">lassen, und kann erfahren, wie sehr ihm das Leben durch deren Übelwollen erschwert und schmerzhaft gemacht wird. Dabei wäre es ein Unrecht, der Kultur vorzuwerfen, daß sie Streit und Wettkampf aus den menschlichen Betätigungen ausschließen </w:t>
      </w:r>
      <w:r w:rsidRPr="00506316">
        <w:rPr>
          <w:rFonts w:ascii="Garamond" w:hAnsi="Garamond"/>
          <w:lang w:val="en-US" w:eastAsia="fr-FR"/>
        </w:rPr>
        <w:lastRenderedPageBreak/>
        <w:t>will. Diese sind sicherlich unentbehrlich, aber Gegnerschaft ist nicht notwendig Feindschaft, wird nur zum Anlaß für sie mißbraucht.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Die Kommunisten glauben den Weg zur Erlösung vom Übel gefunden zu haben. Der Mensch ist eindeutig gut, seinem Nächsten wohlgesinnt, aber die Einrichtung des privaten Eigentums hat seine Natur verdorben. Besitz an privaten Gütern gibt dem einen die Macht und damit die Versuchung, den Nächsten zu mißhandeln; der vom Besitz Ausgeschlossene muß sich in Feind</w:t>
      </w:r>
      <w:r w:rsidRPr="00506316">
        <w:rPr>
          <w:rFonts w:ascii="Garamond" w:hAnsi="Garamond"/>
          <w:lang w:val="en-US" w:eastAsia="fr-FR"/>
        </w:rPr>
        <w:softHyphen/>
        <w:t>seligkeit gegen den Unterdrücker auflehnen. Wenn man das Privateigentum aufhebt, alle Güter gemeinsam macht und alle Menschen an deren Genuß teilnehmen läßt, werden Übelwollen und Feindseligkeit unter den Menschen verschwinden. Da alle Bedürfnisse befriedigt sind, wird keiner Grund haben, in dem anderen seinen Feind zu sehen; der notwendigen Arbeit werden sich alle bereitwillig unterziehen. Ich habe nichts mit der wirtschaftlichen Kritik des kommunistischen Systems zu tun, ich kann nicht untersuchen, ob die Abschaffung des privaten Eigentums zweckdienlich und vorteilhaft ist.</w:t>
      </w:r>
      <w:r w:rsidRPr="00506316">
        <w:rPr>
          <w:rFonts w:ascii="Garamond" w:hAnsi="Garamond"/>
          <w:vertAlign w:val="superscript"/>
          <w:lang w:val="en-US" w:eastAsia="fr-FR"/>
        </w:rPr>
        <w:t>2)</w:t>
      </w:r>
      <w:r w:rsidRPr="00506316">
        <w:rPr>
          <w:rFonts w:ascii="Garamond" w:hAnsi="Garamond"/>
          <w:lang w:val="en-US" w:eastAsia="fr-FR"/>
        </w:rPr>
        <w:t xml:space="preserve"> Aber seine psychologische Voraussetzung vermag ich als haltlose Illusion zu erkennen. Mit der Aufhebung des Privateigentums entzieht man der menschlichen Aggressionslust eines ihrer Werkzeuge, gewiß ein starkes und gewiß nicht das stärkste. An den Unterschieden von Macht und Einfluß, welche die Aggression für ihre Absichten mißbraucht, daran hat man nichts geändert, auch an ihrem Wesen nicht. Sie ist nicht durch das Eigentum geschaffen worden, herrschte fast uneingeschränkt in Urzeiten, als das Eigentum noch sehr armselig war, zeigt sich bereits in der Kinderstube, kaum daß das Eigentum seine anale Urform aufgegeben hat, bildet den Bodensatz aller zärtlichen und Liebesbeziehungen unter den Menschen, vielleicht mit alleiniger Ausnahme der einer Mutter zu ihrem männlichen Kind. Räumt man das persönliche Anrecht auf dingliche Güter weg, so bleibt noch das Vorrecht aus sexuellen Beziehungen, das die Quelle der stärksten Mißgunst und der heftigsten Feindseligkeit unter den sonst gleichgestellten Menschen werden muß. Hebt man auch dieses auf durch die völlige Befreiung des Sexuallebens, beseitigt also die Familie, die Keimzelle der Kultur, so läßt sich zwar nicht vorhersehen, welche neuen Wege die Kulturentwicklung einschlagen kann, aber eines darf man erwarten, daß der unzerstörbare Zug der menschlichen Natur ihr auch dorthin folgen wird.</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Es wird den Menschen offenbar nicht leicht, auf die Befriedigung dieser ihrer Aggressionsneigung zu verzichten; sie fühlen sich nicht wohl dabei. Der Vorteil eines kleineren Kulturkreises, daß er dem Trieb einen Ausweg an der Befeindung der Außenstehenden gestattet, ist nicht geringzuschätzen. Es ist immer möglich, eine größere Menge von Menschen in Liebe aneinander zu binden, wenn nur andere für die Äußerung der Aggression übrigbleiben. Ich habe mich einmal mit dem Phänomen beschäftigt, daß gerade benachbarte und einander auch sonst nahestehende Gemeinschaften sich gegenseitig befehden und verspotten, so Spanier und Portugiesen, Nord- und Süddeutsche, Engländer und Schotten usw</w:t>
      </w:r>
      <w:r w:rsidRPr="00506316">
        <w:rPr>
          <w:rFonts w:ascii="Garamond" w:hAnsi="Garamond"/>
          <w:i/>
          <w:iCs/>
          <w:lang w:val="en-US" w:eastAsia="fr-FR"/>
        </w:rPr>
        <w:t>.</w:t>
      </w:r>
      <w:r w:rsidRPr="00506316">
        <w:rPr>
          <w:rFonts w:ascii="Garamond" w:hAnsi="Garamond"/>
          <w:lang w:val="en-US" w:eastAsia="fr-FR"/>
        </w:rPr>
        <w:t xml:space="preserve"> Ich gab ihm den Namen »Narzißmus der kleinen Differenzen«, der nicht viel zur Erklärung beiträgt. Man erkennt nun darin eine bequeme und relativ harmlose Befriedigung der Aggressionsneigung, durch die den Mitgliedern der Gemeinschaft das Zusammenhalten erleichtert wird. Das überallhin versprengte Volk der Juden hat sich in dieser Weise anerkennenswerte Verdienste um die Kulturen seiner Wirtsvölker erworben; leider haben alle Judengemetzel des Mittelalters nicht ausgereicht, dieses Zeitalter friedlicher und sicherer für seine christlichen Genossen zu gestalten. Nachdem der Apostel Paulus die allgemeine Menschenliebe zum Fundament seiner christlichen Gemeinde gemacht hatte, war die äußerste Intoleranz des Christentums gegen die draußen Verbliebenen eine unvermeidliche Folge geworden; den Römern, die ihr staatliches Gemeinwesen nicht auf die Liebe begründet hatten, war religiöse Unduldsamkeit fremd gewesen, obwohl die Religion bei ihnen Sache des Staates und der Staat von Religion durchtränkt war. Es war auch kein unverständlicher Zufall, daß der Traum einer germanischen Weltherrschaft zu seiner Ergänzung den Antisemitismus aufrief, und man erkennt es als begreiflich, daß der Versuch, eine neue kommunistische Kultur in Rußland aufzurichten, in der Verfolgung der Bourgeois seine psychologische Unterstützung findet. Man fragt sich nur besorgt, was die Sowjets anfangen werden, nachdem sie ihre Bourgeois ausgerottet haben.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Wenn die Kultur nicht allein der Sexualität, sondern auch der Aggressionsneigung des Menschen so große Opfer auferlegt, so verstehen wir es besser, daß es dem Menschen schwer wird, sich in ihr beglückt zu finden. Der Urmensch hatte es in der Tat darin besser, da er keine Triebeinschränkungen kannte. Zum Ausgleich war seine Sicherheit, solches Glück lange zu genießen, eine sehr geringe. Der Kulturmensch hat für ein Stück Glücksmöglichkeit ein Stück Sicherheit eingetauscht. Wir wollen aber nicht vergessen, daß in der Urfamilie nur das Oberhaupt sich solcher Triebfreiheit erfreute; die anderen lebten in sklavischer Unterdrückung. Der Gegensatz zwischen einer die Vorteile der Kultur genießenden Minderheit und einer dieser Vorteile beraubten Mehrzahl war also in jener Urzeit der Kultur aufs Äußerste getrieben. Über den heute lebenden Primitiven haben wir durch sorgfältigere Erkundung erfahren, daß sein Triebleben </w:t>
      </w:r>
      <w:r w:rsidRPr="00506316">
        <w:rPr>
          <w:rFonts w:ascii="Garamond" w:hAnsi="Garamond"/>
          <w:lang w:val="en-US" w:eastAsia="fr-FR"/>
        </w:rPr>
        <w:lastRenderedPageBreak/>
        <w:t>keineswegs ob seiner Freiheit beneidet werden darf; es unterliegt Einschränkungen von anderer Art, aber vielleicht von größerer Strenge als das des modernen Kulturmenschen.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Wenn wir gegen unseren jetzigen Kulturzustand mit Recht einwenden, wie unzureichend er unsere Forderungen an eine beglückende Lebensordnung erfüllt, wieviel Leid er gewähren läßt, das wahrscheinlich zu vermeiden wäre, wenn wir mit schonungsloser Kritik die Wurzeln seiner Unvollkommenheit aufzudecken streben, üben wir gewiß unser gutes Recht und zeigen uns nicht als Kulturfeinde. Wir dürfen erwarten, allmählich solche Abänderungen unserer Kultur durchzusetzen, die unsere Bedürfnisse besser befriedigen und jener Kritik entgehen. Aber vielleicht machen wir uns auch mit der Idee vertraut, daß es Schwierigkeiten gibt, die dem Wesen der Kultur anhaften und die keinem Reformversuch weichen werden. Außer den Aufgaben der Triebeinschränkung, auf die wir vorbereitet sind, drängt sich uns die Gefahr eines Zustandes auf, den man »das psychologische Elend der Masse« benennen kann. Diese Gefahr droht am ehesten, wo die gesellschaftliche Bindung hauptsächlich durch Identifizierung der Teilnehmer untereinander hergestellt wird, während Führerindividualitäten nicht zu jener Bedeutung kommen, die ihnen bei der Massenbildung zufallen sollte.</w:t>
      </w:r>
      <w:r w:rsidRPr="00506316">
        <w:rPr>
          <w:rFonts w:ascii="Garamond" w:hAnsi="Garamond"/>
          <w:vertAlign w:val="superscript"/>
          <w:lang w:val="en-US" w:eastAsia="fr-FR"/>
        </w:rPr>
        <w:t>3)</w:t>
      </w:r>
      <w:r w:rsidRPr="00506316">
        <w:rPr>
          <w:rFonts w:ascii="Garamond" w:hAnsi="Garamond"/>
          <w:lang w:val="en-US" w:eastAsia="fr-FR"/>
        </w:rPr>
        <w:t xml:space="preserve"> Der gegenwärtige Kulturzustand Amerikas gäbe eine gute Gelegenheit, diesen befürchteten Kulturschaden zu studieren. Aber ich vermeide die Versuchung, in die Kritik der Kultur Amerikas einzugehen; ich will nicht den Eindruck hervorrufen, als wollte ich mich selbst amerikanischer Methoden bedienen.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__________________</w:t>
      </w:r>
    </w:p>
    <w:p w:rsidR="004E00C6" w:rsidRPr="004E00C6" w:rsidRDefault="004E00C6" w:rsidP="004E00C6">
      <w:pPr>
        <w:pStyle w:val="Sansinterligne"/>
        <w:rPr>
          <w:rFonts w:ascii="Garamond" w:hAnsi="Garamond"/>
          <w:lang w:val="en-US" w:eastAsia="fr-FR"/>
        </w:rPr>
      </w:pPr>
      <w:r w:rsidRPr="00506316">
        <w:rPr>
          <w:rFonts w:ascii="Garamond" w:hAnsi="Garamond"/>
          <w:vertAlign w:val="superscript"/>
          <w:lang w:val="en-US" w:eastAsia="fr-FR"/>
        </w:rPr>
        <w:t>1)</w:t>
      </w:r>
      <w:r w:rsidRPr="00506316">
        <w:rPr>
          <w:rFonts w:ascii="Garamond" w:hAnsi="Garamond"/>
          <w:lang w:val="en-US" w:eastAsia="fr-FR"/>
        </w:rPr>
        <w:t xml:space="preserve"> Ein großer Dichter darf sich gestatten, schwer verpönte psychologische Wahrheiten wenigstens scherzend zum Ausdruck zu bringen. So gesteht H.Heine: »Ich habe die friedlichste Gesinnung. Meine Wünsche sind: eine bescheidene Hütte, ein Strohdach, aber ein gutes Bett, gutes Essen, Milch und Butter, sehr frisch, vor dem Fenster Blumen, vor der Tür einige schöne Baume, und wenn der liebe Gott mich ganz glücklich machen will, läßt er mich die Freude erleben, daß an diesen Bäumen etwa sechs bis sieben meiner Feinde aufgehängt werden. Mit gerührtem Herzen werde ich ihnen vor ihrem Tode alle Unbill verzeihen, die sie mir im Leben zugefügt — ja, man muß seinen Feinden verzeihen, aber nicht früher, als bis sie gehenkt werden.« </w:t>
      </w:r>
      <w:r w:rsidRPr="004E00C6">
        <w:rPr>
          <w:rFonts w:ascii="Garamond" w:hAnsi="Garamond"/>
          <w:lang w:val="en-US" w:eastAsia="fr-FR"/>
        </w:rPr>
        <w:t xml:space="preserve">(Heine, </w:t>
      </w:r>
      <w:r w:rsidRPr="004E00C6">
        <w:rPr>
          <w:rFonts w:ascii="Garamond" w:hAnsi="Garamond"/>
          <w:i/>
          <w:iCs/>
          <w:lang w:val="en-US" w:eastAsia="fr-FR"/>
        </w:rPr>
        <w:t>Gedanken und Einfälle</w:t>
      </w:r>
      <w:r w:rsidRPr="004E00C6">
        <w:rPr>
          <w:rFonts w:ascii="Garamond" w:hAnsi="Garamond"/>
          <w:lang w:val="en-US" w:eastAsia="fr-FR"/>
        </w:rPr>
        <w:t>.)</w:t>
      </w:r>
    </w:p>
    <w:p w:rsidR="004E00C6" w:rsidRPr="004E00C6" w:rsidRDefault="004E00C6" w:rsidP="004E00C6">
      <w:pPr>
        <w:pStyle w:val="Sansinterligne"/>
        <w:rPr>
          <w:rFonts w:ascii="Garamond" w:hAnsi="Garamond"/>
          <w:lang w:val="en-US" w:eastAsia="fr-FR"/>
        </w:rPr>
      </w:pPr>
      <w:r w:rsidRPr="004E00C6">
        <w:rPr>
          <w:rFonts w:ascii="Garamond" w:hAnsi="Garamond"/>
          <w:vertAlign w:val="superscript"/>
          <w:lang w:val="en-US" w:eastAsia="fr-FR"/>
        </w:rPr>
        <w:t>2)</w:t>
      </w:r>
      <w:r w:rsidRPr="004E00C6">
        <w:rPr>
          <w:rFonts w:ascii="Garamond" w:hAnsi="Garamond"/>
          <w:lang w:val="en-US" w:eastAsia="fr-FR"/>
        </w:rPr>
        <w:t xml:space="preserve"> Wer in seinen eigenen jungen Jahren das Elend der Armut verkostet, die Gleichgiltigkeit und den Hochmut der Besitzenden erfahren hat, sollte vor dem Verdacht geschützt sein, daß er kein Verständnis und kein Wohlwollen für die Bestrebungen hat, die Besitzungleichheit der Menschen und was sich aus ihr ableitet, zu bekämpfen. Freilich, wenn sich dieser Kampf auf die abstrakte Gerechtigkeits</w:t>
      </w:r>
      <w:r w:rsidRPr="004E00C6">
        <w:rPr>
          <w:rFonts w:ascii="Garamond" w:hAnsi="Garamond"/>
          <w:lang w:val="en-US" w:eastAsia="fr-FR"/>
        </w:rPr>
        <w:softHyphen/>
        <w:t>forderung der Gleichheit aller Menschen berufen will, liegt der Einwand zu nahe, daß die Natur durch die höchst ungleichmäßige körperliche Ausstattung und geistige Begabung der Einzelnen Ungerechtigkeiten eingesetzt hat, gegen die es keine Abhilfe gibt.</w:t>
      </w:r>
    </w:p>
    <w:p w:rsidR="004E00C6" w:rsidRPr="00506316" w:rsidRDefault="004E00C6" w:rsidP="004E00C6">
      <w:pPr>
        <w:pStyle w:val="Sansinterligne"/>
        <w:rPr>
          <w:rFonts w:ascii="Garamond" w:hAnsi="Garamond"/>
          <w:lang w:eastAsia="fr-FR"/>
        </w:rPr>
      </w:pPr>
      <w:r w:rsidRPr="00506316">
        <w:rPr>
          <w:rFonts w:ascii="Garamond" w:hAnsi="Garamond"/>
          <w:vertAlign w:val="superscript"/>
          <w:lang w:eastAsia="fr-FR"/>
        </w:rPr>
        <w:t>3)</w:t>
      </w:r>
      <w:r w:rsidRPr="00506316">
        <w:rPr>
          <w:rFonts w:ascii="Garamond" w:hAnsi="Garamond"/>
          <w:lang w:eastAsia="fr-FR"/>
        </w:rPr>
        <w:t xml:space="preserve"> S.: </w:t>
      </w:r>
      <w:r w:rsidRPr="00506316">
        <w:rPr>
          <w:rFonts w:ascii="Garamond" w:hAnsi="Garamond"/>
          <w:i/>
          <w:iCs/>
          <w:lang w:eastAsia="fr-FR"/>
        </w:rPr>
        <w:t>Massenpsychologie und Ich-Analyse</w:t>
      </w:r>
      <w:r w:rsidRPr="00506316">
        <w:rPr>
          <w:rFonts w:ascii="Garamond" w:hAnsi="Garamond"/>
          <w:lang w:eastAsia="fr-FR"/>
        </w:rPr>
        <w:t xml:space="preserve"> (1921 c).</w:t>
      </w:r>
    </w:p>
    <w:p w:rsidR="004E00C6" w:rsidRPr="00506316" w:rsidRDefault="004E00C6" w:rsidP="004E00C6">
      <w:pPr>
        <w:pStyle w:val="Sansinterligne"/>
        <w:rPr>
          <w:rFonts w:ascii="Garamond" w:hAnsi="Garamond"/>
        </w:rPr>
      </w:pPr>
      <w:r w:rsidRPr="00506316">
        <w:rPr>
          <w:rFonts w:ascii="Garamond" w:hAnsi="Garamond"/>
        </w:rPr>
        <w:br w:type="page"/>
      </w:r>
    </w:p>
    <w:p w:rsidR="004E00C6" w:rsidRPr="00506316" w:rsidRDefault="00B437A1" w:rsidP="004E00C6">
      <w:pPr>
        <w:pStyle w:val="Sansinterligne"/>
        <w:rPr>
          <w:rFonts w:ascii="Garamond" w:hAnsi="Garamond"/>
          <w:kern w:val="36"/>
          <w:lang w:eastAsia="fr-FR"/>
        </w:rPr>
      </w:pPr>
      <w:hyperlink w:anchor="KulturINHALT" w:history="1">
        <w:r w:rsidR="004E00C6" w:rsidRPr="00506316">
          <w:rPr>
            <w:rStyle w:val="Lienhypertexte"/>
            <w:rFonts w:ascii="Garamond" w:hAnsi="Garamond"/>
            <w:kern w:val="36"/>
            <w:lang w:eastAsia="fr-FR"/>
          </w:rPr>
          <w:t>VI.  De</w:t>
        </w:r>
        <w:bookmarkStart w:id="256" w:name="Kultur6"/>
        <w:bookmarkEnd w:id="256"/>
        <w:r w:rsidR="004E00C6" w:rsidRPr="00506316">
          <w:rPr>
            <w:rStyle w:val="Lienhypertexte"/>
            <w:rFonts w:ascii="Garamond" w:hAnsi="Garamond"/>
            <w:kern w:val="36"/>
            <w:lang w:eastAsia="fr-FR"/>
          </w:rPr>
          <w:t>r Todes- und Destruktionstrieb</w:t>
        </w:r>
      </w:hyperlink>
    </w:p>
    <w:p w:rsidR="004E00C6" w:rsidRPr="00506316" w:rsidRDefault="004E00C6" w:rsidP="004E00C6">
      <w:pPr>
        <w:pStyle w:val="Sansinterligne"/>
        <w:rPr>
          <w:rFonts w:ascii="Garamond" w:hAnsi="Garamond"/>
          <w:lang w:eastAsia="fr-FR"/>
        </w:rPr>
      </w:pPr>
    </w:p>
    <w:p w:rsidR="004E00C6" w:rsidRPr="00506316" w:rsidRDefault="004E00C6" w:rsidP="004E00C6">
      <w:pPr>
        <w:pStyle w:val="Sansinterligne"/>
        <w:rPr>
          <w:rFonts w:ascii="Garamond" w:hAnsi="Garamond"/>
          <w:lang w:eastAsia="fr-FR"/>
        </w:rPr>
      </w:pPr>
      <w:r w:rsidRPr="00506316">
        <w:rPr>
          <w:rFonts w:ascii="Garamond" w:hAnsi="Garamond"/>
          <w:lang w:eastAsia="fr-FR"/>
        </w:rPr>
        <w:t>Ich habe bei keiner Arbeit so stark die Empfindung gehabt wie diesmal, daß ich allgemein Bekanntes darstelle, Papier und Tinte, in weiterer Folge Setzerarbeit und Druckerschwärze aufbiete, um eigentlich selbstverständ</w:t>
      </w:r>
      <w:r w:rsidRPr="00506316">
        <w:rPr>
          <w:rFonts w:ascii="Garamond" w:hAnsi="Garamond"/>
          <w:lang w:eastAsia="fr-FR"/>
        </w:rPr>
        <w:softHyphen/>
        <w:t>liche Dinge zu erzählen. Darum greife ich es gerne auf, wenn sich der Anschein ergibt, daß die Anerkennung eines besonderen, selbständigen Aggressionstriebes eine Abänderung der psychoanalytischen Trieblehre bedeutet.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Es wird sich zeigen, daß dem nicht so ist, daß es sich bloß darum handelt, eine Wendung, die längst vollzogen worden ist, schärfer zu fassen und in ihre Konsequenzen zu verfolgen. Von allen langsam entwickelten Stücken der analytischen Theorie hat sich die Trieblehre am mühseligsten vorwärts getastet. Und sie war doch dem Ganzen so unentbehrlich, daß irgend etwas an ihre Stelle gerückt werden mußte. In der vollen Ratlosigkeit der Anfänge gab mir der Satz des Dichterphilosophen Schiller den ersten Anhalt, daß »Hunger und Liebe« das Getriebe der Welt zusammenhalten. Der Hunger konnte als Vertreter jener Triebe gelten, die das Einzelwesen erhalten wollen, die Liebe strebt nach Objekten; ihre Hauptfunktion, von der Natur in jeder Weise begünstigt, ist die Erhaltung der Art. So traten zuerst Ichtriebe und Objekttriebe einander gegenüber. Für die Energie der letzteren, und ausschließlich für sie, führte ich den Namen Libido ein; somit lief der Gegensatz zwischen den Ichtrieben und den aufs Objekt gerichteten »libidinösen« Trieben der Liebe im weitesten Sinne. Einer von diesen Objekttrieben, der sadistische, tat sich zwar dadurch hervor, daß sein Ziel so gar nicht liebevoll war, auch schloß er sich offenbar in manchen Stücken den Ichtrieben an, konnte seine nahe Verwandtschaft mit Bemächtigungstrieben ohne libidinöse Absicht nicht verbergen, aber man kam über diese Unstimmigkeit hinweg; der Sadismus gehörte doch offenbar zum Sexualleben, das grausame Spiel konnte das zärtliche ersetzen. Die Neurose erschien als der Ausgang eines Kampfes zwischen dem Interesse der Selbstbewahrung und den Anforderungen der Libido, ein Kampf, in dem das Ich gesiegt hatte, aber um den Preis schwerer Leiden und Verzichte.</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Jeder Analytiker wird zugeben, daß dies auch heute nicht wie ein längst überwundener Irrtum klingt. Doch wurde eine Abänderung unerläßlich, als unsere Forschung vom Verdrängten zum Verdrängenden, von den Objekt</w:t>
      </w:r>
      <w:r w:rsidRPr="00506316">
        <w:rPr>
          <w:rFonts w:ascii="Garamond" w:hAnsi="Garamond"/>
          <w:lang w:val="en-US" w:eastAsia="fr-FR"/>
        </w:rPr>
        <w:softHyphen/>
        <w:t>trieben zum Ich fortschritt. Entscheidend wurde hier die Einführung des Begriffes Narzißmus, d. h. die Einsicht, daß das Ich selbst mit Libido besetzt ist, sogar deren ursprüngliche Heimstätte sei und gewissermaßen auch ihr Hauptquartier bleibe. Diese narzißtische Libido wendet sich den Objekten zu, wird so zur Objektlibido und kann sich in narzißtische Libido zurück</w:t>
      </w:r>
      <w:r w:rsidRPr="00506316">
        <w:rPr>
          <w:rFonts w:ascii="Garamond" w:hAnsi="Garamond"/>
          <w:lang w:val="en-US" w:eastAsia="fr-FR"/>
        </w:rPr>
        <w:softHyphen/>
        <w:t xml:space="preserve">verwandeln. Der Begriff Narzißmus machte es möglich, die traumatische Neurose sowie viele den Psychosen nahestehende Affektionen und diese selbst analytisch zu erfassen. Die Deutung der Übertragungsneurosen als Versuche des Ichs, sich der Sexualität zu erwehren, brauchte nicht verlassen zu werden, aber der Begriff der Libido geriet in Gefahr. Da auch die Ichtriebe libidinös waren, schien es eine Weile unvermeidlich, Libido mit Triebenergie überhaupt zusammenfallen zu lassen, wie C. G. Jung schon früher gewollt hatte. Doch blieb etwas zurück wie eine noch nicht zu begründende Gewißheit, daß die Triebe nicht alle von gleicher Art sein können. Den nächsten Schritt machte ich in </w:t>
      </w:r>
      <w:r w:rsidRPr="00506316">
        <w:rPr>
          <w:rFonts w:ascii="Garamond" w:hAnsi="Garamond"/>
          <w:i/>
          <w:iCs/>
          <w:lang w:val="en-US" w:eastAsia="fr-FR"/>
        </w:rPr>
        <w:t>Jenseits des Lustprinzips</w:t>
      </w:r>
      <w:r w:rsidRPr="00506316">
        <w:rPr>
          <w:rFonts w:ascii="Garamond" w:hAnsi="Garamond"/>
          <w:lang w:val="en-US" w:eastAsia="fr-FR"/>
        </w:rPr>
        <w:t xml:space="preserve"> (1920 g), als mir der Wiederholungszwang und der konservative Charakter des Trieblebens zuerst auffiel. Ausgehend von Spekulationen über den Anfang des Lebens und von biologischen Parallelen zog ich den Schluß, es müsse außer dem Trieb, die lebende Substanz zu erhalten und zu immer größeren Einheiten zusammenzufassen,</w:t>
      </w:r>
      <w:r w:rsidRPr="00506316">
        <w:rPr>
          <w:rFonts w:ascii="Garamond" w:hAnsi="Garamond"/>
          <w:vertAlign w:val="superscript"/>
          <w:lang w:val="en-US" w:eastAsia="fr-FR"/>
        </w:rPr>
        <w:t>1)</w:t>
      </w:r>
      <w:r w:rsidRPr="00506316">
        <w:rPr>
          <w:rFonts w:ascii="Garamond" w:hAnsi="Garamond"/>
          <w:lang w:val="en-US" w:eastAsia="fr-FR"/>
        </w:rPr>
        <w:t xml:space="preserve"> einen anderen, ihm gegensätzlichen geben, der diese Einheiten aufzulösen und in den uranfänglichen, anorganischen Zustand zurückzuführen strebe. Also außer dem Eros einen Todestrieb; aus dem Zusammen- und Gegeneinanderwirkendieser beiden ließen sich die Phänomene des Lebens erklären. Nun war es nicht leicht, die Tätigkeit dieses angenommenen Todestriebs aufzuzeigen. Die Äußerungen des Eros waren auffällig und geräuschvoll genug; man konnte annehmen, daß der Todestrieb stumm im Inneren des Lebewesens an dessen Auflösung arbeite, aber das war natürlich kein Nachweis. Weiter führte die Idee, daß sich ein Anteil des Triebes gegen die Außenwelt wende und dann als Trieb zur Aggression und Destruktion zum Vorschein komme. Der Trieb würde so selbst in den Dienst des Eros gezwängt, indem das Lebewesen anderes, Belebtes wie Unbelebtes, anstatt seines eigenen Selbst vernichtete. Umgekehrt würde die Einschränkung dieser Aggression nach außen die ohnehin immer vor sich gehende Selbstzerstörung steigern müssen. Gleichzeitig konnte man aus diesem Beispiel erraten, daß die beiden Triebarten selten — vielleicht niemals — voneinander isoliert auftreten, sondern sich in verschiedenen, sehr wechselnden Mengungsverhältnissen miteinander legieren und dadurch unserem Urteil unkenntlich machen. Im längst als Partialtrieb der Sexualität bekannten Sadismus hätte man eine derartige besonders starke Legierung des Liebesstrebens mit dem Destruktionstrieb vor sich, wie in seinem Widerpart, im </w:t>
      </w:r>
      <w:r w:rsidRPr="00506316">
        <w:rPr>
          <w:rFonts w:ascii="Garamond" w:hAnsi="Garamond"/>
          <w:lang w:val="en-US" w:eastAsia="fr-FR"/>
        </w:rPr>
        <w:lastRenderedPageBreak/>
        <w:t>Masochismus, eine Verbindung der nach innen gerichteten Destruktion mit der Sexualität, durch welche die sonst unwahrnehmbare Strebung eben auffällig und fühlbar wird.</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Die Annahme des Todes- oder Destruktionstriebes hat selbst in analyti</w:t>
      </w:r>
      <w:r w:rsidRPr="00506316">
        <w:rPr>
          <w:rFonts w:ascii="Garamond" w:hAnsi="Garamond"/>
          <w:lang w:val="en-US" w:eastAsia="fr-FR"/>
        </w:rPr>
        <w:softHyphen/>
        <w:t>schen Kreisen Widerstand gefunden; ich weiß, daß vielfach die Neigung besteht, alles, was an der Liebe gefährlich und feindselig gefunden wird, lieber einer ursprünglichen Bipolarität ihres eigenen Wesens zuzuschreiben. Ich hatte die hier entwickelten Auffassungen anfangs nur versuchsweise vertreten, aber im Laufe der Zeit haben sie eine solche Macht über mich gewonnen, daß ich nicht mehr anders denken kann. Ich meine, sie sind theoretisch ungleich brauchbarer als alle möglichen anderen, sie stellen jene Vereinfachung ohne Vernachlässigung oder Vergewaltigung der Tatsachen her, nach der wir in der wissenschaftlichen Arbeit streben. Ich erkenne, daß wir im Sadismus und Masochismus die stark mit Erotik legierten Äußerungen des nach außen und nach innen gerichteten Destruktionstriebes immer vor uns gesehen haben, aber ich verstehe nicht mehr, daß wir die Ubiquität der nicht erotischen Aggression und Destruktion übersehen und versäumen konnten, ihr die gebührende Stellung in der Deutung des Lebens einzuräumen. (Die nach innen gewendete Destruktionssucht entzieht sich ja, wenn sie nicht erotisch gefärbt ist, meist der Wahrnehmung.) Ich erinnere mich meiner eigenen Abwehr, als die Idee des Destruktionstriebs zuerst in der psychoanalytischen Literatur auftauchte, und wie lange es dauerte, bis ich für sie empfänglich wurde. Daß andere dieselbe Ablehnung zeigten und noch zeigen, verwundert mich weniger. Denn die Kindlein, sie hören es nicht gerne</w:t>
      </w:r>
      <w:r w:rsidRPr="00506316">
        <w:rPr>
          <w:rFonts w:ascii="Garamond" w:hAnsi="Garamond"/>
          <w:i/>
          <w:iCs/>
          <w:lang w:val="en-US" w:eastAsia="fr-FR"/>
        </w:rPr>
        <w:t xml:space="preserve">, </w:t>
      </w:r>
      <w:r w:rsidRPr="00506316">
        <w:rPr>
          <w:rFonts w:ascii="Garamond" w:hAnsi="Garamond"/>
          <w:lang w:val="en-US" w:eastAsia="fr-FR"/>
        </w:rPr>
        <w:t>wenn die angeborene Neigung des Menschen zum »Bösen«, zur Aggression, Destruktion und damit auch zur Grausamkeit erwähnt wird. Gott hat sie ja zum Ebenbild seiner eigenen Vollkommenheit geschaffen, man will nicht daran gemahnt werden, wie schwer es ist, die — trotz der Beteuerungen der Christian Science — unleugbare Existenz des Bösen mit seiner Allmacht oder seiner Allgüte zu vereinen. Der Teufel wäre zur Entschuldigung Gottes die beste Auskunft, er würde dabei dieselbe ökonomisch entlastende Rolle übernehmen wie der Jude in der Welt des arischen Ideals. Aber selbst dann: man kann doch von Gott ebensowohl Rechenschaft für die Existenz des Teufels verlangen wie für die des Bösen, das er verkörpert. Angesichts dieser Schwierigkeiten ist es für jedermann ratsam, an geeigneter Stelle eine tiefe Verbeugung vor der tief sittlichen Natur des Menschen zu machen; es verhilft einem zur allgemeinen Beliebtheit, und es wird einem manches dafür nachgesehen.</w:t>
      </w:r>
      <w:r w:rsidRPr="00506316">
        <w:rPr>
          <w:rFonts w:ascii="Garamond" w:hAnsi="Garamond"/>
          <w:vertAlign w:val="superscript"/>
          <w:lang w:val="en-US" w:eastAsia="fr-FR"/>
        </w:rPr>
        <w:t>2)</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Der Name Libido kann wiederum für die Kraftäußerungen des Eros ver</w:t>
      </w:r>
      <w:r w:rsidRPr="00506316">
        <w:rPr>
          <w:rFonts w:ascii="Garamond" w:hAnsi="Garamond"/>
          <w:lang w:val="en-US" w:eastAsia="fr-FR"/>
        </w:rPr>
        <w:softHyphen/>
        <w:t>wendet werden, um sie von der Energie des Todestriebs zu sondern.</w:t>
      </w:r>
      <w:r w:rsidRPr="00506316">
        <w:rPr>
          <w:rFonts w:ascii="Garamond" w:hAnsi="Garamond"/>
          <w:vertAlign w:val="superscript"/>
          <w:lang w:val="en-US" w:eastAsia="fr-FR"/>
        </w:rPr>
        <w:t>3)</w:t>
      </w:r>
      <w:r w:rsidRPr="00506316">
        <w:rPr>
          <w:rFonts w:ascii="Garamond" w:hAnsi="Garamond"/>
          <w:lang w:val="en-US" w:eastAsia="fr-FR"/>
        </w:rPr>
        <w:t xml:space="preserve"> Es ist zuzugestehen, daß wir letzteren um so viel schwerer erfassen, gewisser</w:t>
      </w:r>
      <w:r w:rsidRPr="00506316">
        <w:rPr>
          <w:rFonts w:ascii="Garamond" w:hAnsi="Garamond"/>
          <w:lang w:val="en-US" w:eastAsia="fr-FR"/>
        </w:rPr>
        <w:softHyphen/>
        <w:t>maßen nur als Rückstand hinter dem Eros erraten und daß er sich uns entzieht, wo er nicht durch die Legierung mit dem Eros verraten wird. Im Sadismus, wo er das erotische Ziel in seinem Sinne umbiegt, dabei doch das sexuelle Streben voll befriedigt, gelingt uns die klarste Einsicht in sein Wesen und seine Beziehung zum Eros. Aber auch wo er ohne sexuelle Absicht auftritt, noch in der blindesten Zerstörungswut läßt sich nicht verkennen, daß seine Befriedigung mit einem außerordentlich hohen narzißtischen Genuß verknüpft ist, indem sie dem Ich die Erfüllung seiner alten Allmachtswünsche zeigt. Gemäßigt und gebändigt, gleichsam zielgehemmt, muß der Destruktionstrieb, auf die Objekte gerichtet, dem Ich die Befriedigung seiner Lebensbedürfnisse und die Herrschaft über die Natur verschaffen. Da seine Annahme wesentlich auf theoretischen Gründen ruht, muß man zugeben, daß sie auch gegen theoretische Einwendungen nicht voll gesichert ist. Aber so erscheint es uns eben jetzt beim gegenwärtigen Stand unserer Einsichten; zukünftige Forschung und Überlegung wird gewiß die entscheidende Klarheit bringen.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Für alles Weitere stelle ich mich also auf den Standpunkt, daß die Aggressionsneigung eine ursprüngliche, selbständige Triebanlage des Menschen ist, und komme darauf zurück, daß die Kultur ihr stärkstes Hindernis in ihr findet. Irgendeinmal im Laufe dieser Untersuchung hat sich uns die Einsicht aufgedrängt, die Kultur sei ein besonderer Prozeß, der über die Menschheit abläuft, und wir stehen noch immer unter dem Banne dieser Idee. Wir fügen hinzu, sie sei ein Prozeß im Dienste des Eros, der vereinzelte menschliche Individuen, später Familien, dann Stämme, Völker, Nationen zu einer großen Einheit, der Menschheit, zusammenfassen wolle. Warum das geschehen müsse, wissen wir nicht; das sei eben das Werk des Eros. Diese Menschenmengen sollen libidinös aneinander gebunden werden; die Notwendigkeit allein, die Vorteile der Arbeitsgemeinschaft werden sie nicht zusammenhalten. Diesem Programm der Kultur widersetzt sich aber der natürliche Aggressionstrieb der Menschen, die Feindseligkeit eines gegen alle und aller gegen einen. Dieser Aggressionstrieb ist der Abkömmling und Hauptvertreter des Todestriebes, den wir neben dem Eros gefunden haben, der sich mit ihm in die Weltherrschaft teilt. Und nun, meine ich, ist uns der Sinn der Kulturentwicklung nicht mehr dunkel. Sie muß uns den Kampf zwischen Eros und Tod, Lebenstrieb und Destruktionstrieb zeigen, wie er sich an der Menschenart vollzieht. Dieser Kampf ist der wesentliche Inhalt des Lebens überhaupt, und darum ist die </w:t>
      </w:r>
      <w:r w:rsidRPr="00506316">
        <w:rPr>
          <w:rFonts w:ascii="Garamond" w:hAnsi="Garamond"/>
          <w:lang w:val="en-US" w:eastAsia="fr-FR"/>
        </w:rPr>
        <w:lastRenderedPageBreak/>
        <w:t>Kulturentwicklung kurzweg zu bezeichnen als der Lebenskampf der Menschenart.</w:t>
      </w:r>
      <w:r w:rsidRPr="00506316">
        <w:rPr>
          <w:rFonts w:ascii="Garamond" w:hAnsi="Garamond"/>
          <w:vertAlign w:val="superscript"/>
          <w:lang w:val="en-US" w:eastAsia="fr-FR"/>
        </w:rPr>
        <w:t>4)</w:t>
      </w:r>
      <w:r w:rsidRPr="00506316">
        <w:rPr>
          <w:rFonts w:ascii="Garamond" w:hAnsi="Garamond"/>
          <w:lang w:val="en-US" w:eastAsia="fr-FR"/>
        </w:rPr>
        <w:t xml:space="preserve"> Und diesen Streit der Giganten wollen unsere Kinderfrauen beschwichtigen mit dem »Eiapopeia vom Himmel!«</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________________</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1)</w:t>
      </w:r>
      <w:r w:rsidRPr="00506316">
        <w:rPr>
          <w:rFonts w:ascii="Garamond" w:hAnsi="Garamond"/>
          <w:lang w:val="en-US" w:eastAsia="fr-FR"/>
        </w:rPr>
        <w:t xml:space="preserve"> Der Gegensatz, in den hierbei die rastlose Ausbreitungstendenz des Eros zur allgemeinen konservativen Natur der Triebe tritt, ist auffällig und kann der Ausgangspunkt weiterer Problemstellungen werden.</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2)</w:t>
      </w:r>
      <w:r w:rsidRPr="00506316">
        <w:rPr>
          <w:rFonts w:ascii="Garamond" w:hAnsi="Garamond"/>
          <w:lang w:val="en-US" w:eastAsia="fr-FR"/>
        </w:rPr>
        <w:t xml:space="preserve"> Ganz besonders überzeugend wirkt die Identifizierung des bösen Prinzips mit dem Destruktionstrieb in Goethes Mephistopheles:</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»Denn alles, was entsteht,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Ist wert, daß es zugrunde geht.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 . . . . . . . . . . . .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So ist denn alles, was Ihr Sünde,</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Zerstörung, kurz das Böse nennt,</w:t>
      </w:r>
    </w:p>
    <w:p w:rsidR="004E00C6" w:rsidRPr="004E00C6" w:rsidRDefault="004E00C6" w:rsidP="004E00C6">
      <w:pPr>
        <w:pStyle w:val="Sansinterligne"/>
        <w:rPr>
          <w:rFonts w:ascii="Garamond" w:hAnsi="Garamond"/>
          <w:lang w:val="en-US" w:eastAsia="fr-FR"/>
        </w:rPr>
      </w:pPr>
      <w:r w:rsidRPr="004E00C6">
        <w:rPr>
          <w:rFonts w:ascii="Garamond" w:hAnsi="Garamond"/>
          <w:lang w:val="en-US" w:eastAsia="fr-FR"/>
        </w:rPr>
        <w:t>Mein eigentliches Element.«</w:t>
      </w:r>
    </w:p>
    <w:p w:rsidR="004E00C6" w:rsidRPr="004E00C6" w:rsidRDefault="004E00C6" w:rsidP="004E00C6">
      <w:pPr>
        <w:pStyle w:val="Sansinterligne"/>
        <w:rPr>
          <w:rFonts w:ascii="Garamond" w:hAnsi="Garamond"/>
          <w:lang w:val="en-US" w:eastAsia="fr-FR"/>
        </w:rPr>
      </w:pPr>
      <w:r w:rsidRPr="004E00C6">
        <w:rPr>
          <w:rFonts w:ascii="Garamond" w:hAnsi="Garamond"/>
          <w:lang w:val="en-US" w:eastAsia="fr-FR"/>
        </w:rPr>
        <w:t>Als seinen Gegner nennt der Teufel selbst nicht das Heilige, das Gute, sondern die Kraft der Natur zum Zeugen, zur Mehrung des Lebens, also den Eros.</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 . . . . . . . . . . . .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»Der Luft, dem Wasser, wie der Erden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Entwinden tausend Keime sich,</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Im Trocknen, Feuchten, Warmen, Kalten!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Hätt' ich mir nicht die Flamme vorbehalten,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Ich hätte nichts Aparts für mich.«</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3)</w:t>
      </w:r>
      <w:r w:rsidRPr="00506316">
        <w:rPr>
          <w:rFonts w:ascii="Garamond" w:hAnsi="Garamond"/>
          <w:lang w:val="en-US" w:eastAsia="fr-FR"/>
        </w:rPr>
        <w:t xml:space="preserve"> Unsere gegenwärtige Auffassung kann man ungefähr in dem Satz ausdrücken, daß an jeder Triebäußerung Libido beteiligt ist, aber daß nicht alles an ihr Libido ist.</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4)</w:t>
      </w:r>
      <w:r w:rsidRPr="00506316">
        <w:rPr>
          <w:rFonts w:ascii="Garamond" w:hAnsi="Garamond"/>
          <w:lang w:val="en-US" w:eastAsia="fr-FR"/>
        </w:rPr>
        <w:t xml:space="preserve"> Wahrscheinlich mit der näheren Bestimmung: wie er sich von einem gewissen» noch zu erratenden Ereignis an gestalten mußte.</w:t>
      </w:r>
    </w:p>
    <w:p w:rsidR="004E00C6" w:rsidRPr="00506316" w:rsidRDefault="004E00C6" w:rsidP="004E00C6">
      <w:pPr>
        <w:pStyle w:val="Sansinterligne"/>
        <w:rPr>
          <w:rFonts w:ascii="Garamond" w:hAnsi="Garamond"/>
          <w:lang w:val="en-US"/>
        </w:rPr>
      </w:pPr>
      <w:r w:rsidRPr="00506316">
        <w:rPr>
          <w:rFonts w:ascii="Garamond" w:hAnsi="Garamond"/>
          <w:lang w:val="en-US"/>
        </w:rPr>
        <w:br w:type="page"/>
      </w:r>
    </w:p>
    <w:p w:rsidR="004E00C6" w:rsidRPr="00506316" w:rsidRDefault="00B437A1" w:rsidP="004E00C6">
      <w:pPr>
        <w:pStyle w:val="Sansinterligne"/>
        <w:rPr>
          <w:rFonts w:ascii="Garamond" w:hAnsi="Garamond"/>
          <w:kern w:val="36"/>
          <w:lang w:val="en-US" w:eastAsia="fr-FR"/>
        </w:rPr>
      </w:pPr>
      <w:hyperlink w:anchor="KulturINHALT" w:history="1">
        <w:r w:rsidR="004E00C6" w:rsidRPr="00506316">
          <w:rPr>
            <w:rStyle w:val="Lienhypertexte"/>
            <w:rFonts w:ascii="Garamond" w:hAnsi="Garamond"/>
            <w:kern w:val="36"/>
            <w:lang w:val="en-US" w:eastAsia="fr-FR"/>
          </w:rPr>
          <w:t>VII.  En</w:t>
        </w:r>
        <w:bookmarkStart w:id="257" w:name="Kultur7"/>
        <w:bookmarkEnd w:id="257"/>
        <w:r w:rsidR="004E00C6" w:rsidRPr="00506316">
          <w:rPr>
            <w:rStyle w:val="Lienhypertexte"/>
            <w:rFonts w:ascii="Garamond" w:hAnsi="Garamond"/>
            <w:kern w:val="36"/>
            <w:lang w:val="en-US" w:eastAsia="fr-FR"/>
          </w:rPr>
          <w:t>twicklung des Über-Ichs und seiner Strenge</w:t>
        </w:r>
      </w:hyperlink>
    </w:p>
    <w:p w:rsidR="004E00C6" w:rsidRPr="00506316" w:rsidRDefault="004E00C6" w:rsidP="004E00C6">
      <w:pPr>
        <w:pStyle w:val="Sansinterligne"/>
        <w:rPr>
          <w:rFonts w:ascii="Garamond" w:hAnsi="Garamond"/>
          <w:lang w:val="en-US" w:eastAsia="fr-FR"/>
        </w:rPr>
      </w:pP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Warum zeigen unsere Verwandten, die Tiere, keinen solchen Kulturkampf</w:t>
      </w:r>
      <w:r>
        <w:rPr>
          <w:rFonts w:ascii="Garamond" w:hAnsi="Garamond"/>
          <w:lang w:val="en-US" w:eastAsia="fr-FR"/>
        </w:rPr>
        <w:t xml:space="preserve"> </w:t>
      </w:r>
      <w:r w:rsidRPr="00506316">
        <w:rPr>
          <w:rFonts w:ascii="Garamond" w:hAnsi="Garamond"/>
          <w:lang w:val="en-US" w:eastAsia="fr-FR"/>
        </w:rPr>
        <w:t>? Oh, wir wissen es nicht. Sehr wahrscheinlich haben einige unter ihnen, die Bienen, Ameisen, Termiten durch Jahrhunderttausende gerungen, bis sie jene staatlichen Institutionen, jene Verteilung der Funktionen, jene Einschränkung der Individuen gefunden haben, die wir heute bei ihnen bewundern. Kennzeichnend für unseren gegenwärtigen Zustand ist es, daß unsere Empfindungen uns sagen, in keinem dieser Tierstaaten und in keiner der dort dem Einzelwesen zugeteilten Rollen würden wir uns glücklich schätzen. Bei anderen Tierarten mag es zum zeitweiligen Ausgleich zwischen den Einflüssen der Umwelt und den in ihnen sich bekämpfenden Trieben, somit zu einem Stillstand der Entwicklung gekommen sein. Beim Urmenschen mag ein neuer Vorstoß der Libido ein neuerliches Sträuben des Destruktions</w:t>
      </w:r>
      <w:r w:rsidRPr="00506316">
        <w:rPr>
          <w:rFonts w:ascii="Garamond" w:hAnsi="Garamond"/>
          <w:lang w:val="en-US" w:eastAsia="fr-FR"/>
        </w:rPr>
        <w:softHyphen/>
        <w:t>triebes angefacht haben. Es ist da sehr viel zu fragen, worauf es noch keine Antwort gibt.</w:t>
      </w:r>
    </w:p>
    <w:p w:rsidR="004E00C6" w:rsidRPr="00506316" w:rsidRDefault="004E00C6" w:rsidP="004E00C6">
      <w:pPr>
        <w:pStyle w:val="Sansinterligne"/>
        <w:rPr>
          <w:rFonts w:ascii="Garamond" w:hAnsi="Garamond"/>
          <w:lang w:val="en-US" w:eastAsia="fr-FR"/>
        </w:rPr>
      </w:pPr>
      <w:r w:rsidRPr="00506316">
        <w:rPr>
          <w:rFonts w:ascii="Garamond" w:hAnsi="Garamond"/>
          <w:lang w:eastAsia="fr-FR"/>
        </w:rPr>
        <w:t xml:space="preserve">Eine andere Frage liegt uns näher. Welcher Mittel bedient sich die Kultur, um die ihr entgegenstehende Aggression zu hemmen, unschädlich zu machen, vielleicht auszuschalten? </w:t>
      </w:r>
      <w:r w:rsidRPr="00506316">
        <w:rPr>
          <w:rFonts w:ascii="Garamond" w:hAnsi="Garamond"/>
          <w:lang w:val="en-US" w:eastAsia="fr-FR"/>
        </w:rPr>
        <w:t>Einige solcher Methoden haben wir bereits kennengelernt, die anscheinend wichtigste aber noch nicht. Wir können sie an der Entwicklungsgeschichte des Einzelnen studieren. Was geht mit ihm vor, um seine Aggressionslust unschädlich zu machen? Etwas sehr Merkwür</w:t>
      </w:r>
      <w:r w:rsidRPr="00506316">
        <w:rPr>
          <w:rFonts w:ascii="Garamond" w:hAnsi="Garamond"/>
          <w:lang w:val="en-US" w:eastAsia="fr-FR"/>
        </w:rPr>
        <w:softHyphen/>
        <w:t>diges, das wir nicht erraten hätten und das doch so naheliegt. Die Aggres</w:t>
      </w:r>
      <w:r w:rsidRPr="00506316">
        <w:rPr>
          <w:rFonts w:ascii="Garamond" w:hAnsi="Garamond"/>
          <w:lang w:val="en-US" w:eastAsia="fr-FR"/>
        </w:rPr>
        <w:softHyphen/>
        <w:t>sion wird introjiziert, verinnerlicht, eigentlich aber dorthin zurückgeschickt, woher sie gekommen ist, also gegen das eigene Ich gewendet. Dort wird sie von einem Anteil des Ichs übernommen, das sich als Über-Ich dem übrigen entgegenstellt und nun als »Gewissen« gegen das Ich dieselbe strenge Aggressionsbereitschaft ausübt, die das Ich gerne an anderen, fremden Individuen befriedigt hätte. Die Spannung zwischen dem gestrengen Über-Ich und dem ihm unterworfenen Ich heißen wir Schuldbewußtsein; sie äußert sich als Strafbedürfnis. Die Kultur bewältigt also die gefährliche Aggressionslust des Individuums, indem sie es schwächt, entwaffnet und durch eine Instanz in seinem Inneren, wie durch eine Besatzung in der eroberten Stadt, überwachen läßt.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Über die Entstehung des Schuldgefühls denkt der Analytiker anders als sonst die Psychologen; auch ihm wird es nicht leicht, darüber Rechenschaft zu geben. Zunächst, wenn man fragt, wie kommt einer zu einem Schuld</w:t>
      </w:r>
      <w:r w:rsidRPr="00506316">
        <w:rPr>
          <w:rFonts w:ascii="Garamond" w:hAnsi="Garamond"/>
          <w:lang w:val="en-US" w:eastAsia="fr-FR"/>
        </w:rPr>
        <w:softHyphen/>
        <w:t>gefühl, erhält man eine Antwort, der man nicht widersprechen kann: man fühlt sich schuldig (Fromme sagen: sündig), wenn man etwas getan hat, was man als »böse« erkennt. Dann merkt man, wie wenig diese Antwort gibt. Vielleicht nach einigem Schwanken wird man hinzusetzen, auch wer dies Böse nicht getan hat, sondern bloß die Absicht, es zu tun, bei sich erkennt, kann sich für schuldig halten, und dann wird man die Frage aufwerfen, warum hier die Absicht der Ausführung gleichgeachtet wird. Beide Fälle setzen aber voraus, daß man das Böse bereits als verwerflich, als von der Ausführung auszuschließen erkannt hat. Wie kommt man zu dieser Entscheidung? Ein ursprüngliches, sozusagen natürliches Unterscheidungs</w:t>
      </w:r>
      <w:r w:rsidRPr="00506316">
        <w:rPr>
          <w:rFonts w:ascii="Garamond" w:hAnsi="Garamond"/>
          <w:lang w:val="en-US" w:eastAsia="fr-FR"/>
        </w:rPr>
        <w:softHyphen/>
        <w:t>vermögen für Gut und Böse darf man ablehnen. Das Böse ist oft gar nicht das dem Ich Schädliche oder Gefährliche, im Gegenteil auch etwas, was ihm erwünscht ist, ihm Vergnügen bereitet. Darin zeigt sich also fremder Einfluß; dieser bestimmt, was Gut und Böse heißen soll. Da eigene Empfindung den Menschen nicht auf denselben Weg geführt hätte, muß er ein Motiv haben, sich diesem fremden Einfluß zu unterwerfen. Es ist in seiner Hilflosigkeit und Abhängigkeit von anderen leicht zu entdecken, kann am besten als Angst vor dem Liebesverlust bezeichnet werden. Verliert er die Liebe des anderen, von dem er abhängig ist, so büßt er auch den Schutz vor mancherlei Gefahren ein, setzt sich vor allem der Gefahr aus, daß dieser Übermächtige ihm in der Form der Bestrafung seine Überlegenheit erweist. Das Böse ist also anfänglich dasjenige, wofür man mit Liebesverlust bedroht wird; aus Angst vor diesem Verlust muß man es vermeiden. Darum macht es auch wenig aus, ob man das Böse bereits getan hat oder es erst tun will; in beiden Fällen tritt die Gefahr erst ein, wenn die Autorität es entdeckt, und diese würde sich in beiden Fällen ähnlich benehmen.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Man heißt diesen Zustand »schlechtes Gewissen«, aber eigentlich ver</w:t>
      </w:r>
      <w:r w:rsidRPr="00506316">
        <w:rPr>
          <w:rFonts w:ascii="Garamond" w:hAnsi="Garamond"/>
          <w:lang w:val="en-US" w:eastAsia="fr-FR"/>
        </w:rPr>
        <w:softHyphen/>
        <w:t>dient er diesen Namen nicht, denn auf dieser Stufe ist das Schuldbewußtsein offenbar nur Angst vor dem Liebesverlust, »soziale« Angst. Beim kleinen Kind kann es niemals etwas anderes sein, aber auch bei vielen Erwachsenen ändert sich nicht mehr daran, als daß an Stelle des Vaters oder beider Eltern die größere menschliche Gemeinschaft tritt. Darum gestatten sie sich regelmäßig, das Böse, das ihnen Annehmlichkeiten verspricht, auszuführen, wenn sie nur sicher sind, daß die Autorität nichts davon erfährt oder ihnen nichts anhaben kann, und ihre Angst gilt allein der Entdeckung.</w:t>
      </w:r>
      <w:r w:rsidRPr="00506316">
        <w:rPr>
          <w:rFonts w:ascii="Garamond" w:hAnsi="Garamond"/>
          <w:vertAlign w:val="superscript"/>
          <w:lang w:val="en-US" w:eastAsia="fr-FR"/>
        </w:rPr>
        <w:t>1)</w:t>
      </w:r>
      <w:r w:rsidRPr="00506316">
        <w:rPr>
          <w:rFonts w:ascii="Garamond" w:hAnsi="Garamond"/>
          <w:lang w:val="en-US" w:eastAsia="fr-FR"/>
        </w:rPr>
        <w:t xml:space="preserve"> Mit diesem Zustand hat die Gesellschaft unserer Tage im allgemeinen zu rechnen.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Eine große Änderung tritt erst ein, wenn die Autorität durch die Aufrichtung eines Über-Ichs verinnerlicht wird. Damit werden die Gewissensphänomene auf eine neue Stufe gehoben, im Grunde </w:t>
      </w:r>
      <w:r w:rsidRPr="00506316">
        <w:rPr>
          <w:rFonts w:ascii="Garamond" w:hAnsi="Garamond"/>
          <w:lang w:val="en-US" w:eastAsia="fr-FR"/>
        </w:rPr>
        <w:lastRenderedPageBreak/>
        <w:t>sollte man erst jetzt von Gewissen und Schuldgefühl sprechen.</w:t>
      </w:r>
      <w:r w:rsidRPr="00506316">
        <w:rPr>
          <w:rFonts w:ascii="Garamond" w:hAnsi="Garamond"/>
          <w:vertAlign w:val="superscript"/>
          <w:lang w:val="en-US" w:eastAsia="fr-FR"/>
        </w:rPr>
        <w:t>2)</w:t>
      </w:r>
      <w:r w:rsidRPr="00506316">
        <w:rPr>
          <w:rFonts w:ascii="Garamond" w:hAnsi="Garamond"/>
          <w:lang w:val="en-US" w:eastAsia="fr-FR"/>
        </w:rPr>
        <w:t xml:space="preserve"> Jetzt entfällt auch die Angst vor dem Entdecktwerden und vollends der Unterschied zwischen Böses tun und Böses wollen, denn vor dem Über-Ich kann sich nichts verbergen, auch Gedanken nicht. Der reale Ernst der Situation ist allerdings vergangen, denn die neue Autorität, das Über-Ich, hat unseres Glaubens kein Motiv, das Ich, mit dem es innig zusammengehört, zu mißhandeln. Aber der Einfluß der Genese, der das Vergangene und Überwundene weiterleben läßt, äußert sich darin, daß es im Grunde so bleibt, wie es zu Anfang war. Das Über-Ich peinigt das sündige Ich mit den nämlichen Angstempfindungen und lauert auf Gelegenheiten, es von der Außenwelt bestrafen zu lassen.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Auf dieser zweiten Entwicklungsstufe zeigt das Gewissen eine Eigen</w:t>
      </w:r>
      <w:r w:rsidRPr="00506316">
        <w:rPr>
          <w:rFonts w:ascii="Garamond" w:hAnsi="Garamond"/>
          <w:lang w:val="en-US" w:eastAsia="fr-FR"/>
        </w:rPr>
        <w:softHyphen/>
        <w:t>tümlichkeit, die der ersten fremd war und die nicht mehr leicht zu erklären ist. Es benimmt sich nämlich um so strenger und mißtrauischer, je tugendhafter der Mensch ist, so daß am Ende gerade die es in der Heiligkeit am weitesten gebracht, sich der ärgsten Sündhaftigkeit beschuldigen. Die Tugend büßt dabei ein Stück des ihr zugesagten Lohnes ein, das gefügige und enthaltsame Ich genießt nicht das Vertrauen seines Mentors, bemüht sich, wie es scheint, vergeblich, es zu erwerben. Nun wird man bereit sein einzuwenden: das seien künstlich zurechtgemachte Schwierigkeiten. Das strengere und wachsamere Gewissen sei eben der ihn kennzeichnende Zug des sittlichen Menschen, und wenn die Heiligen sich für Sünder ausgeben, so täten sie es nicht mit Unrecht unter Berufung auf die Versuchungen zur Triebbefriedigung, denen sie in besonders hohem Maße ausgesetzt sind, da Versuchungen bekanntlich durch beständige Versagung nur wachsen, während sie bei gelegentlicher Befriedigung wenigstens zeitweilig nachlassen. Eine andere Tatsache des an Problemen so reichen Gebiets der Ethik ist die, daß Mißgeschick, also äußere Versagung die Macht des Gewissens im Über-Ich so sehr fördert. Solange es dem Menschen gut geht, ist auch sein Gewissen milde und läßt dem Ich allerlei angehen; wenn ihn ein Unglück getroffen hat, hält er Einkehr in sich, erkennt seine Sündhaftigkeit, steigert seine Gewissensansprüche, legt sich Enthaltungen auf und bestraft sich durch Bußen.</w:t>
      </w:r>
      <w:r w:rsidRPr="00506316">
        <w:rPr>
          <w:rFonts w:ascii="Garamond" w:hAnsi="Garamond"/>
          <w:vertAlign w:val="superscript"/>
          <w:lang w:val="en-US" w:eastAsia="fr-FR"/>
        </w:rPr>
        <w:t>3)</w:t>
      </w:r>
      <w:r w:rsidRPr="00506316">
        <w:rPr>
          <w:rFonts w:ascii="Garamond" w:hAnsi="Garamond"/>
          <w:lang w:val="en-US" w:eastAsia="fr-FR"/>
        </w:rPr>
        <w:t xml:space="preserve"> Ganze Völker haben sich ebenso benommen und benehmen sich noch immer so. Aber dies erklärt sich bequem aus der ursprünglichen infantilen Stufe des Gewissens, die also nach der Introjektion ins Über-Ich nicht verlassen wird, sondern neben und hinter ihr fortbesteht. Das Schicksal wird als Ersatz der Elterninstanz angesehen; wenn man Unglück hat, bedeutet es, daß man von dieser höchsten Macht nicht mehr geliebt wird, und von diesem Liebesverlust bedroht, beugt man sich von neuem vor der Elternvertretung im Über-Ich, die man im Glück vernachlässigen wollte. Dies wird besonders deutlich, wenn man in streng religiösem Sinne im Schicksal nur den Ausdruck des göttlichen Willens erkennt. Das Volk Israel hatte sich für Gottes bevorzugtes Kind gehalten, und als der große Vater Unglück nach Unglück über dies sein Volk hereinbrechen ließ, wurde es nicht etwa irre an dieser Beziehung oder zweifelte an Gottes Macht und Gerechtigkeit, sondern erzeugte die Propheten, die ihm seine Sündhaftigkeit vorhielten, und schuf aus seinem Schuldbewußtsein die überstrengen Vorschriften seiner Priesterreligion. Es ist merkwürdig, wie anders sich der Primitive benimmt! Wenn er Unglück gehabt hat, gibt er nicht sich die Schuld, sondern dem Fetisch, der offenbar seine Schuldigkeit nicht getan hat, und verprügelt ihn, anstatt sich selbst zu bestrafen.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Wir kennen also zwei Ursprünge des Schuldgefühls, den aus der Angst vor der Autorität und den späteren aus der Angst vor dem Über-Ich. Das erstere zwingt dazu, auf Triebbefriedigungen zu verzichten, das andere drängt, da man den Fortbestand der verbotenen Wünsche vor dem Über-Ich nicht verbergen kann, außerdem zur Bestrafung. Wir haben auch gehört, wie man die Strenge des Über-Ichs, also die Gewissensforderung, verstehen kann. Sie setzt einfach die Strenge der äußeren Autorität, die von ihr abgelöst und teilweise ersetzt wird, fort. Wir sehen nun, in welcher Beziehung der Triebverzicht zum Schuldbewußtsein steht. Ursprünglich ist ja der Triebverzicht die Folge der Angst vor der äußeren Autorität; man verzichtet auf Befriedigungen, um deren Liebe nicht zu verlieren. Hat man diesen Verzicht geleistet, so ist man sozusagen mit ihr quitt, es sollte kein Schuldgefühl erübrigen. Anders ist es im Falle der Angst vor dem Über-Ich. Hier hilft der Triebverzicht nicht genug, denn der Wunsch bleibt bestehen und läßt sich vor dem Über-Ich nicht verheimlichen. Es wird also trotz des erfolgten Verzichts ein Schuldgefühl zustande kommen, und dies ist ein großer ökonomischer Nachteil der Über-Ich-Einsetzung, wie man sagen kann, der Gewissensbildung. Der Triebverzicht hat nun keine voll befreiende Wirkung mehr, die tugendhafte Enthaltung wird nicht mehr durch die Sicherung der Liebe gelohnt, für ein drohendes äußeres Unglück — Liebesverlust und Strafe von Seiten der äußeren Autorität — hat man ein andauerndes inneres Unglück, die Spannung des Schuldbewußtseins, eingetauscht.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Diese Verhältnisse sind so verwickelt und zugleich so wichtig, daß ich sie trotz der Gefahren der Wiederholung noch von anderer Seite angreifen möchte. Die zeitliche Reihenfolge wäre also die: zunächst Triebverzicht infolge der Angst vor der Aggression der </w:t>
      </w:r>
      <w:r w:rsidRPr="00506316">
        <w:rPr>
          <w:rFonts w:ascii="Garamond" w:hAnsi="Garamond"/>
          <w:i/>
          <w:iCs/>
          <w:lang w:val="en-US" w:eastAsia="fr-FR"/>
        </w:rPr>
        <w:t>äußeren</w:t>
      </w:r>
      <w:r w:rsidRPr="00506316">
        <w:rPr>
          <w:rFonts w:ascii="Garamond" w:hAnsi="Garamond"/>
          <w:lang w:val="en-US" w:eastAsia="fr-FR"/>
        </w:rPr>
        <w:t xml:space="preserve"> Autorität — darauf läuft ja die Angst vor </w:t>
      </w:r>
      <w:r w:rsidRPr="00506316">
        <w:rPr>
          <w:rFonts w:ascii="Garamond" w:hAnsi="Garamond"/>
          <w:lang w:val="en-US" w:eastAsia="fr-FR"/>
        </w:rPr>
        <w:lastRenderedPageBreak/>
        <w:t xml:space="preserve">dem Liebesverlust hinaus, die Liebe schützt vor dieser Aggression der Strafe —, dann Aufrichtung der </w:t>
      </w:r>
      <w:r w:rsidRPr="00506316">
        <w:rPr>
          <w:rFonts w:ascii="Garamond" w:hAnsi="Garamond"/>
          <w:i/>
          <w:iCs/>
          <w:lang w:val="en-US" w:eastAsia="fr-FR"/>
        </w:rPr>
        <w:t>inneren</w:t>
      </w:r>
      <w:r w:rsidRPr="00506316">
        <w:rPr>
          <w:rFonts w:ascii="Garamond" w:hAnsi="Garamond"/>
          <w:lang w:val="en-US" w:eastAsia="fr-FR"/>
        </w:rPr>
        <w:t xml:space="preserve"> Autorität, Triebverzicht infolge der Angst vor ihr, Gewissensangst. Im zweiten Falle Gleichwertung von böser Tat und böser Absicht, daher Schuldbewußtsein, Strafbedürfnis. Die Aggression des Gewissens konserviert die Aggression der Autorität. Soweit ist es wohl klar geworden, aber wo bleibt Raum für den das Gewissen verstärkenden Einfluß des Unglücks (des von außen auferlegten Verzichts), für die außerordentliche Strenge des Gewissens bei den Besten und Fügsam</w:t>
      </w:r>
      <w:r w:rsidRPr="00506316">
        <w:rPr>
          <w:rFonts w:ascii="Garamond" w:hAnsi="Garamond"/>
          <w:lang w:val="en-US" w:eastAsia="fr-FR"/>
        </w:rPr>
        <w:softHyphen/>
        <w:t>sten? Wir haben beide Besonderheiten des Gewissens bereits erklärt, aber wahrscheinlich den Eindruck übrigbehalten, daß diese Erklärungen nicht bis zum Grunde reichen, einen Rest unerklärt lassen. Und hier greift endlich eine Idee ein, die durchaus der Psychoanalyse eigen und dem gewöhnlichen Denken der Menschen fremd ist. Sie ist von solcher Art, daß sie uns verstehen läßt, wie uns der Gegenstand so verworren und undurchsichtig erscheinen mußte. Sie sagt nämlich, anfangs ist zwar das Gewissen (richtiger: die Angst, die später Gewissen wird) Ursache des Triebverzichts, aber später kehrt sich das Verhältnis um. Jeder Triebverzicht wird nun eine dynamische Quelle des Gewissens, jeder neue Verzicht steigert dessen Strenge und Intoleranz, und wenn wir es nur mit der uns bekannten Entstehungsgeschichte des Gewissens besser in Einklang bringen könnten, wären wir versucht, uns zu dem paradoxen Satz zu bekennen: Das Gewissen ist die Folge des Trieb Verzichts; oder: Der (uns von außen auferlegte) Triebverzicht schafft das Gewissen, das dann weiteren Triebverzicht fordert.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Eigentlich ist der Widerspruch dieses Satzes gegen die gegebene Genese des Gewissens nicht so groß, und wir sehen einen Weg, ihn weiter zu ver</w:t>
      </w:r>
      <w:r w:rsidRPr="00506316">
        <w:rPr>
          <w:rFonts w:ascii="Garamond" w:hAnsi="Garamond"/>
          <w:lang w:val="en-US" w:eastAsia="fr-FR"/>
        </w:rPr>
        <w:softHyphen/>
        <w:t>ringern. Greifen wir zum Zwecke einer leichteren Darstellung das Beispiel des Aggressionstriebes heraus und nehmen wir an, es handle sich in diesen Verhältnissen immer um Aggressionsverzicht. Dies soll natürlich nur eine vorläufige Annahme sein. Die Wirkung des Triebverzichts auf das Gewissen geht dann so vor sich, daß jedes Stück Aggression, dessen Befriedigung wir unterlassen, vom Über-Ich übernommen wird und dessen Aggression (gegen das Ich) steigert. Es stimmt dazu nicht recht, daß die ursprüngliche Aggression des Gewissens die fortgesetzte Strenge der äußeren Autorität ist, also mit Verzicht nichts zu tun hat. Diese Unstimmigkeit bringen wir aber zum Schwinden, wenn wir für diese erste Aggressionsausstattung des Über-Ichs eine andere Ableitung annehmen. Gegen die Autorität, welche das Kind an den ersten, aber auch bedeutsamsten Befriedigungen verhindert, muß sich bei diesem ein erhebliches Maß von Aggressionsneigung entwickelt haben, gleichgiltig welcher Art die geforderten Triebentsagungen waren. Notgedrungen mußte das Kind auf die Befriedigung dieser rachsüchtigen Aggression verzichten. Es hilft sich aus dieser schwierigen ökonomischen Situation auf dem Wege bekannter Mechanismen, indem es diese unangreif</w:t>
      </w:r>
      <w:r w:rsidRPr="00506316">
        <w:rPr>
          <w:rFonts w:ascii="Garamond" w:hAnsi="Garamond"/>
          <w:lang w:val="en-US" w:eastAsia="fr-FR"/>
        </w:rPr>
        <w:softHyphen/>
        <w:t>bare Autorität durch Identifizierung in sich aufnimmt, die nun das Über-Ich wird und in den Besitz all der Aggression gerät, die man gern als Kind gegen sie ausgeübt hätte. Das Ich des Kindes muß sich mit der traurigen Rolle der so erniedrigten Autorität — des Vaters — begnügen. Es ist eine Umkehrung der Situation, wie so häufig. »Wenn ich der Vater wäre und du das Kind, ich würde dich schlecht behandeln.« Die Beziehung zwischen Über-Ich und Ich ist die durch den Wunsch entstellte Wiederkehr realer Beziehungen zwischen dem noch ungeteilten Ich und einem äußeren Objekt. Auch das ist typisch. Der wesentliche Unterschied aber ist, daß die ursprüngliche Strenge des Über-Ichs nicht — oder nicht so sehr — die ist, die man von ihm erfahren hat oder die man ihm zumutet, sondern die eigene Aggression gegen ihn vertritt. Wenn das zutrifft, darf man wirklich behaupten, das Gewissen sei im Anfang entstanden durch die Unterdrückung einer Aggression und verstärke sich im weiteren Verlauf durch neue solche Unterdrückungen.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Welche der beiden Auffassungen hat nun recht? Die frühere, die uns genetisch so unanfechtbar erschien, oder die neuere, welche die Theorie in so willkommener Weise abrundet? Offenbar, auch nach dem Zeugnis der direkten Beobachtung, sind beide berechtigt; sie widerstreiten einander nicht, treffen sogar an einer Stelle zusammen, denn die rachsüchtige Aggression des Kindes wird durch das Maß der strafenden Aggression, die es vom Vater erwartet, mitbestimmt werden. Die Erfahrung aber lehrt, daß die Strenge des Über-Ichs, das ein Kind entwickelt, keineswegs die Strenge der Behandlung, die es selbst erfahren hat, wiedergibt.</w:t>
      </w:r>
      <w:r w:rsidRPr="00506316">
        <w:rPr>
          <w:rFonts w:ascii="Garamond" w:hAnsi="Garamond"/>
          <w:vertAlign w:val="superscript"/>
          <w:lang w:val="en-US" w:eastAsia="fr-FR"/>
        </w:rPr>
        <w:t>4)</w:t>
      </w:r>
      <w:r w:rsidRPr="00506316">
        <w:rPr>
          <w:rFonts w:ascii="Garamond" w:hAnsi="Garamond"/>
          <w:lang w:val="en-US" w:eastAsia="fr-FR"/>
        </w:rPr>
        <w:t xml:space="preserve"> Sie erscheint unabhängig von ihr, bei sehr milder Erziehung kann ein Kind ein sehr strenges Gewissen bekommen. Doch wäre es auch unrichtig, wollte man diese Unabhängigkeit übertreiben; es ist nicht schwer, sich zu überzeugen, daß die Strenge der Erziehung auch auf die Bildung des kindlichen Über-Ichs einen starken Einfluß übt. Es kommt darauf hinaus, daß bei der Bildung des Über-Ichs und Entstehung des Gewissens mitgebrachte konstitutionelle Faktoren und Einflüsse des Milieus der realen Umgebung zusammenwirken, und das ist keineswegs befremdend, sondern die allgemeine ätiologische Bedingung all solcher Vorgänge.</w:t>
      </w:r>
      <w:r w:rsidRPr="00506316">
        <w:rPr>
          <w:rFonts w:ascii="Garamond" w:hAnsi="Garamond"/>
          <w:vertAlign w:val="superscript"/>
          <w:lang w:val="en-US" w:eastAsia="fr-FR"/>
        </w:rPr>
        <w:t>5)</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Man kann auch sagen, wenn das Kind auf die ersten großen Triebversa</w:t>
      </w:r>
      <w:r w:rsidRPr="00506316">
        <w:rPr>
          <w:rFonts w:ascii="Garamond" w:hAnsi="Garamond"/>
          <w:lang w:val="en-US" w:eastAsia="fr-FR"/>
        </w:rPr>
        <w:softHyphen/>
        <w:t xml:space="preserve">gungen mit überstarker Aggression und entsprechender Strenge des Über-Ichs reagiert, folgt es dabei einem phylogenetischen Vorbild und </w:t>
      </w:r>
      <w:r w:rsidRPr="00506316">
        <w:rPr>
          <w:rFonts w:ascii="Garamond" w:hAnsi="Garamond"/>
          <w:lang w:val="en-US" w:eastAsia="fr-FR"/>
        </w:rPr>
        <w:lastRenderedPageBreak/>
        <w:t>setzt sich über die aktuell gerechtfertigte Reaktion hinaus, denn der Vater der Vorzeit war gewiß fürchterlich, und ihm durfte man das äußerste Maß von Aggression zumuten. Die Unterschiede der beiden Auffassungen von der Genese des Gewissens verringern sich also noch mehr, wenn man von der individuellen zur phylogenetischen Entwicklungsgeschichte übergeht. Dafür zeigt sich ein neuer, bedeutsamer Unterschied in diesen beiden Vorgängen. Wir können nicht über die Annahme hinaus, daß das Schuldgefühl der Menschheit aus dem Ödipuskomplex stammt und bei der Tötung des Vaters durch die Brüdervereinigung erworben wurde. Damals wurde eine Aggression nicht unterdrückt, sondern ausgeführt, dieselbe Aggression, deren Unterdrückung beim Kinde die Quelle des Schuldgefühls sein soll. Nun würde ich mich nicht verwundern, wenn ein Leser ärgerlich ausriefe: »Es ist also ganz gleichgültig, ob man den Vater umbringt oder nicht, ein Schuldgefühl bekommt man auf alle Fälle! Da darf man sich einige Zweifel erlauben. Entweder ist es falsch, daß das Schuldgefühl von unterdrückten Aggressionen herrührt, oder die ganze Geschichte von der Vatertötung ist ein Roman, und die Urmenschenkinder haben ihre Väter nicht häufiger umgebracht, als es die heutigen pflegen. Übrigens, wenn es kein Roman, sondern plausible Historie ist, so hätte man einen Fall, in dem das geschieht, was alle Welt erwartet, nämlich, daß man sich schuldig fühlt, weil man wirklich etwas, was nicht zu rechtfertigen ist, getan hat. Und für diesen Fall, der sich immerhin alle Tage ereignet, ist uns die Psychoanalyse die Erklärung schuldig geblieben.«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Das ist wahr und soll nachgeholt werden. </w:t>
      </w:r>
      <w:r w:rsidRPr="00506316">
        <w:rPr>
          <w:rFonts w:ascii="Garamond" w:hAnsi="Garamond"/>
          <w:lang w:eastAsia="fr-FR"/>
        </w:rPr>
        <w:t xml:space="preserve">Es ist auch kein besonderes Geheimnis. </w:t>
      </w:r>
      <w:r w:rsidRPr="00506316">
        <w:rPr>
          <w:rFonts w:ascii="Garamond" w:hAnsi="Garamond"/>
          <w:lang w:val="en-US" w:eastAsia="fr-FR"/>
        </w:rPr>
        <w:t xml:space="preserve">Wenn man ein Schuldgefühl hat, nachdem und weil man etwas verbrochen hat, so sollte man dies Gefühl eher </w:t>
      </w:r>
      <w:r w:rsidRPr="00506316">
        <w:rPr>
          <w:rFonts w:ascii="Garamond" w:hAnsi="Garamond"/>
          <w:i/>
          <w:iCs/>
          <w:lang w:val="en-US" w:eastAsia="fr-FR"/>
        </w:rPr>
        <w:t>Reue</w:t>
      </w:r>
      <w:r w:rsidRPr="00506316">
        <w:rPr>
          <w:rFonts w:ascii="Garamond" w:hAnsi="Garamond"/>
          <w:lang w:val="en-US" w:eastAsia="fr-FR"/>
        </w:rPr>
        <w:t xml:space="preserve"> nennen. Es bezieht sich nur auf eine Tat, setzt natürlich voraus, daß ein </w:t>
      </w:r>
      <w:r w:rsidRPr="00506316">
        <w:rPr>
          <w:rFonts w:ascii="Garamond" w:hAnsi="Garamond"/>
          <w:i/>
          <w:iCs/>
          <w:lang w:val="en-US" w:eastAsia="fr-FR"/>
        </w:rPr>
        <w:t>Gewissen,</w:t>
      </w:r>
      <w:r w:rsidRPr="00506316">
        <w:rPr>
          <w:rFonts w:ascii="Garamond" w:hAnsi="Garamond"/>
          <w:lang w:val="en-US" w:eastAsia="fr-FR"/>
        </w:rPr>
        <w:t xml:space="preserve"> die Bereitschaft, sich schuldig zu fühlen, bereits vor der Tat bestand. Eine solche Reue kann uns also nie dazu verhelfen, den Ursprung des Gewissens und des Schuldgefühls überhaupt zu finden. Der Hergang dieser alltäglichen Fälle ist gewöhnlich der, daß ein Triebbedürfnis die Stärke erworben hat, seine Befriedigung gegen das in seiner Stärke auch nur begrenzte Gewissen durchzusetzen, und daß mit der natürlichen Abschwächung des Bedürfnisses durch seine Befriedigung das frühere Kräfteverhältnis wiederhergestellt wird. Die Psychoanalyse tut also recht daran, den Fall des Schuldgefühls aus Reue von diesen Erörterungen auszuschließen, so häufig er auch vorkommt und so groß seine praktische Bedeutung auch ist.</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Aber wenn das menschliche Schuldgefühl auf die Tötung des Urvaters zurückgeht, das war doch ein Fall von »Reue«, und damals soll der Voraus</w:t>
      </w:r>
      <w:r w:rsidRPr="00506316">
        <w:rPr>
          <w:rFonts w:ascii="Garamond" w:hAnsi="Garamond"/>
          <w:lang w:val="en-US" w:eastAsia="fr-FR"/>
        </w:rPr>
        <w:softHyphen/>
        <w:t>setzung nach Gewissen und Schuldgefühl vor der Tat nicht bestanden haben? Woher kam in diesem Fall die Reue? Gewiß, dieser Fall muß uns das Geheimnis des Schuldgefühls aufklären, unseren Verlegenheiten ein Ende machen. Und ich meine, er leistet es auch. Diese Reue war das Ergebnis der uranfänglichen Gefühlsambivalenz gegen den Vater, die Söhne haßten ihn, aber sie liebten ihn auch; nachdem der Haß durch die Aggression befriedigt war, kam in der Reue über die Tat die Liebe zum Vorschein, richtete durch Identifizierung mit dem Vater das Über-Ich auf, gab ihm die Macht des Vaters wie zur Bestrafung für die gegen ihn verübte Tat der Aggression, schuf die Einschränkungen, die eine Wiederholung der Tat verhüten sollten. Und da die Aggressionsneigung gegen den Vater sich in den folgenden Geschlechtern wiederholte, blieb auch das Schuldgefühl bestehen und verstärkte sich von neuem durch jede unterdrückte und dem Über-Ich übertragene Aggression. Nun, meine ich, erfassen wir endlich zweierlei in voller Klarheit, den Anteil der Liebe an der Entstehung des Gewissens und die verhängnisvolle Unvermeidlichkeit des Schuldgefühls. Es ist wirklich nicht entscheidend, ob man den Vater getötet oder sich der Tat enthalten hat, man muß sich in beiden Fällen schuldig finden, denn das Schuldgefühl ist der Ausdruck des Ambivalenzkonflikts, des ewigen Kampfes zwischen dem Eros und dem Destruktions- oder Todestrieb. Dieser Konflikt wird angefacht, sobald den Menschen die Aufgabe des Zusammenlebens gestellt wird; solange diese Gemeinschaft nur die Form der Familie kennt, muß er sich im Ödipuskomplex äußern, das Gewissen einsetzen, das erste Schuldgefühl schaffen. Wenn eine Erweiterung dieser Gemeinschaft versucht wird, wird derselbe Konflikt in Formen, die von der Vergangenheit abhängig sind, fortgesetzt, verstärkt und hat eine weitere Steigerung des Schuldgefühls zur Folge. Da die Kultur einem inneren erotischen Antrieb gehorcht, der sie die Menschen zu einer innig verbundenen Masse vereinigen heißt, kann sie dies Ziel nur auf dem Wege einer immer wachsenden Verstärkung des Schuldgefühls erreichen. Was am Vater begonnen wurde, vollendet sich an der Masse. Ist die Kultur der notwendige Entwicklungsgang von der Familie zur Menschheit, so ist unablösbar mit ihr verbunden, als Folge des mitgeborenen Ambivalenz</w:t>
      </w:r>
      <w:r w:rsidRPr="00506316">
        <w:rPr>
          <w:rFonts w:ascii="Garamond" w:hAnsi="Garamond"/>
          <w:lang w:val="en-US" w:eastAsia="fr-FR"/>
        </w:rPr>
        <w:softHyphen/>
        <w:t>konflikts, als Folge des ewigen Haders zwischen Liebe und Todesstreben, die Steigerung des Schuldgefühls vielleicht bis zu Höhen, die der Einzelne schwer erträglich findet. Man gedenkt der ergreifenden Anklage des großen Dichters gegen die »himmlischen Mächte«:</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eastAsia="fr-FR"/>
        </w:rPr>
      </w:pPr>
      <w:r w:rsidRPr="00506316">
        <w:rPr>
          <w:rFonts w:ascii="Garamond" w:hAnsi="Garamond"/>
          <w:lang w:eastAsia="fr-FR"/>
        </w:rPr>
        <w:lastRenderedPageBreak/>
        <w:t>»Ihr führt ins Leben uns hinein,</w:t>
      </w:r>
    </w:p>
    <w:p w:rsidR="004E00C6" w:rsidRPr="00506316" w:rsidRDefault="004E00C6" w:rsidP="004E00C6">
      <w:pPr>
        <w:pStyle w:val="Sansinterligne"/>
        <w:rPr>
          <w:rFonts w:ascii="Garamond" w:hAnsi="Garamond"/>
          <w:lang w:eastAsia="fr-FR"/>
        </w:rPr>
      </w:pPr>
      <w:r w:rsidRPr="00506316">
        <w:rPr>
          <w:rFonts w:ascii="Garamond" w:hAnsi="Garamond"/>
          <w:lang w:eastAsia="fr-FR"/>
        </w:rPr>
        <w:t>Ihr laßt den Armen schuldig werden,</w:t>
      </w:r>
    </w:p>
    <w:p w:rsidR="004E00C6" w:rsidRPr="00506316" w:rsidRDefault="004E00C6" w:rsidP="004E00C6">
      <w:pPr>
        <w:pStyle w:val="Sansinterligne"/>
        <w:rPr>
          <w:rFonts w:ascii="Garamond" w:hAnsi="Garamond"/>
          <w:lang w:eastAsia="fr-FR"/>
        </w:rPr>
      </w:pPr>
      <w:r w:rsidRPr="00506316">
        <w:rPr>
          <w:rFonts w:ascii="Garamond" w:hAnsi="Garamond"/>
          <w:lang w:eastAsia="fr-FR"/>
        </w:rPr>
        <w:t>Dann überlaßt Ihr ihn der Pein,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xml:space="preserve">Denn jede Schuld rächt sich auf Erden.« </w:t>
      </w:r>
      <w:r w:rsidRPr="00506316">
        <w:rPr>
          <w:rFonts w:ascii="Garamond" w:hAnsi="Garamond"/>
          <w:vertAlign w:val="superscript"/>
          <w:lang w:val="en-US" w:eastAsia="fr-FR"/>
        </w:rPr>
        <w:t>6)</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Und man darf wohl aufseufzen bei der Erkenntnis, daß es einzelnen Menschen gegeben ist, aus dem Wirbel der eigenen Gefühle die tiefsten Einsichten doch eigentlich mühelos heraufzuholen, zu denen wir anderen uns durch qualvolle Unsicherheit und rastloses Tasten den Weg zu bahnen haben.</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 </w:t>
      </w: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________________</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1)</w:t>
      </w:r>
      <w:r w:rsidRPr="00506316">
        <w:rPr>
          <w:rFonts w:ascii="Garamond" w:hAnsi="Garamond"/>
          <w:lang w:val="en-US" w:eastAsia="fr-FR"/>
        </w:rPr>
        <w:t xml:space="preserve"> Man denke an Rousseaus berühmten Mandarin!</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2)</w:t>
      </w:r>
      <w:r w:rsidRPr="00506316">
        <w:rPr>
          <w:rFonts w:ascii="Garamond" w:hAnsi="Garamond"/>
          <w:lang w:val="en-US" w:eastAsia="fr-FR"/>
        </w:rPr>
        <w:t xml:space="preserve"> Daß in dieser übersichtlichen Darstellung scharf getrennt wird, was sich in Wirklichkeit in fließenden Übergängen vollzieht, daß es sich nicht um die Existenz eines Über-Ichs allein, sondern um dessen relative Stärke und Einflußsphäre handelt, wird jeder Einsichtige verstehen und in Rechnung bringen. Alles Bisherige über Gewissen und Schuld ist ja allgemein bekannt und nahezu unbestritten.</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3)</w:t>
      </w:r>
      <w:r w:rsidRPr="00506316">
        <w:rPr>
          <w:rFonts w:ascii="Garamond" w:hAnsi="Garamond"/>
          <w:lang w:val="en-US" w:eastAsia="fr-FR"/>
        </w:rPr>
        <w:t xml:space="preserve"> Diese Förderung der Moral durch Mißgeschick behandelt Mark Twain in einer köstlichen kleinen Geschichte: </w:t>
      </w:r>
      <w:r w:rsidRPr="00506316">
        <w:rPr>
          <w:rFonts w:ascii="Garamond" w:hAnsi="Garamond"/>
          <w:i/>
          <w:iCs/>
          <w:lang w:val="en-US" w:eastAsia="fr-FR"/>
        </w:rPr>
        <w:t>The First Melon I ever Stole.</w:t>
      </w:r>
      <w:r w:rsidRPr="00506316">
        <w:rPr>
          <w:rFonts w:ascii="Garamond" w:hAnsi="Garamond"/>
          <w:lang w:val="en-US" w:eastAsia="fr-FR"/>
        </w:rPr>
        <w:t xml:space="preserve"> Diese erste Melone ist zufällig unreif. Ich hörte Mark Twain diese kleine Geschichte selbst vortragen. Nachdem er ihren Titel ausgesprochen hatte, hielt er inne und fragte sich wie zweifelnd: </w:t>
      </w:r>
      <w:r w:rsidRPr="00506316">
        <w:rPr>
          <w:rFonts w:ascii="Garamond" w:hAnsi="Garamond"/>
          <w:i/>
          <w:iCs/>
          <w:lang w:val="en-US" w:eastAsia="fr-FR"/>
        </w:rPr>
        <w:t>»Was it the first?«</w:t>
      </w:r>
      <w:r w:rsidRPr="00506316">
        <w:rPr>
          <w:rFonts w:ascii="Garamond" w:hAnsi="Garamond"/>
          <w:lang w:val="en-US" w:eastAsia="fr-FR"/>
        </w:rPr>
        <w:t xml:space="preserve"> Damit hatte er alles gesagt. Die erste war also nicht die einzige geblieben.</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4)</w:t>
      </w:r>
      <w:r w:rsidRPr="00506316">
        <w:rPr>
          <w:rFonts w:ascii="Garamond" w:hAnsi="Garamond"/>
          <w:lang w:val="en-US" w:eastAsia="fr-FR"/>
        </w:rPr>
        <w:t xml:space="preserve"> Wie von Melanie Klein und anderen, englischen Autoren richtig hervorgehoben wurde.</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5)</w:t>
      </w:r>
      <w:r w:rsidRPr="00506316">
        <w:rPr>
          <w:rFonts w:ascii="Garamond" w:hAnsi="Garamond"/>
          <w:i/>
          <w:iCs/>
          <w:lang w:val="en-US" w:eastAsia="fr-FR"/>
        </w:rPr>
        <w:t xml:space="preserve"> </w:t>
      </w:r>
      <w:r w:rsidRPr="00506316">
        <w:rPr>
          <w:rFonts w:ascii="Garamond" w:hAnsi="Garamond"/>
          <w:lang w:val="en-US" w:eastAsia="fr-FR"/>
        </w:rPr>
        <w:t xml:space="preserve">Fr. Alexander hat in der </w:t>
      </w:r>
      <w:r w:rsidRPr="00506316">
        <w:rPr>
          <w:rFonts w:ascii="Garamond" w:hAnsi="Garamond"/>
          <w:i/>
          <w:iCs/>
          <w:lang w:val="en-US" w:eastAsia="fr-FR"/>
        </w:rPr>
        <w:t>Psychoanalyse der Gesamtpersönlichkeit</w:t>
      </w:r>
      <w:r w:rsidRPr="00506316">
        <w:rPr>
          <w:rFonts w:ascii="Garamond" w:hAnsi="Garamond"/>
          <w:lang w:val="en-US" w:eastAsia="fr-FR"/>
        </w:rPr>
        <w:t xml:space="preserve"> (1927) die beiden Haupttypen der pathogenen Erziehungsmethoden, die Überstrenge und die Verwöhnung, im Anschluß an Aichhorns Studie über die Verwahrlosung zutreffend gewürdigt. Der »übermäßig weiche und nachsichtige« Vater wird beim Kinde Anlaß zur Bildung eines überstrengen Über-Ichs werden, weil diesem Kind unter dem Eindruck der Liebe, die es empfängt, kein anderer Ausweg für seine Aggression bleibt als die Wendung nach innen. Beim Verwahrlosten, der ohne Liebe erzogen wurde, entfällt die Spannung zwischen Ich und Über-Ich, seine ganze Aggression kann sich nach außen richten. Sieht man also von einem anzunehmenden konstitutionellen Faktor ab, so darf man sagen, das strenge Gewissen entstehe aus dem Zusammenwirken zweier Lebenseinflüsse, der Triebversagung, welche die Aggression entfesselt, und der Liebeserfahrung, welche diese Aggression nach innen wendet und dem Über-Ich überträgt.</w:t>
      </w:r>
    </w:p>
    <w:p w:rsidR="004E00C6" w:rsidRPr="00506316" w:rsidRDefault="004E00C6" w:rsidP="004E00C6">
      <w:pPr>
        <w:pStyle w:val="Sansinterligne"/>
        <w:rPr>
          <w:rFonts w:ascii="Garamond" w:hAnsi="Garamond"/>
          <w:lang w:val="en-US" w:eastAsia="fr-FR"/>
        </w:rPr>
      </w:pPr>
      <w:r w:rsidRPr="00506316">
        <w:rPr>
          <w:rFonts w:ascii="Garamond" w:hAnsi="Garamond"/>
          <w:vertAlign w:val="superscript"/>
          <w:lang w:val="en-US" w:eastAsia="fr-FR"/>
        </w:rPr>
        <w:t>6)</w:t>
      </w:r>
      <w:r w:rsidRPr="00506316">
        <w:rPr>
          <w:rFonts w:ascii="Garamond" w:hAnsi="Garamond"/>
          <w:lang w:val="en-US" w:eastAsia="fr-FR"/>
        </w:rPr>
        <w:t xml:space="preserve"> Goethe, Lieder des Harfners in </w:t>
      </w:r>
      <w:r w:rsidRPr="00506316">
        <w:rPr>
          <w:rFonts w:ascii="Garamond" w:hAnsi="Garamond"/>
          <w:i/>
          <w:iCs/>
          <w:lang w:val="en-US" w:eastAsia="fr-FR"/>
        </w:rPr>
        <w:t>Wilhelm Meister.</w:t>
      </w:r>
    </w:p>
    <w:p w:rsidR="004E00C6" w:rsidRPr="00506316" w:rsidRDefault="004E00C6" w:rsidP="004E00C6">
      <w:pPr>
        <w:pStyle w:val="Sansinterligne"/>
        <w:rPr>
          <w:rFonts w:ascii="Garamond" w:hAnsi="Garamond"/>
          <w:lang w:val="en-US"/>
        </w:rPr>
      </w:pPr>
      <w:r w:rsidRPr="00506316">
        <w:rPr>
          <w:rFonts w:ascii="Garamond" w:hAnsi="Garamond"/>
          <w:lang w:val="en-US"/>
        </w:rPr>
        <w:br w:type="page"/>
      </w:r>
    </w:p>
    <w:p w:rsidR="004E00C6" w:rsidRPr="00506316" w:rsidRDefault="00B437A1" w:rsidP="004E00C6">
      <w:pPr>
        <w:pStyle w:val="Sansinterligne"/>
        <w:rPr>
          <w:rFonts w:ascii="Garamond" w:hAnsi="Garamond"/>
          <w:kern w:val="36"/>
          <w:lang w:val="en-US" w:eastAsia="fr-FR"/>
        </w:rPr>
      </w:pPr>
      <w:hyperlink w:anchor="KulturINHALT" w:history="1">
        <w:r w:rsidR="004E00C6" w:rsidRPr="00506316">
          <w:rPr>
            <w:rStyle w:val="Lienhypertexte"/>
            <w:rFonts w:ascii="Garamond" w:hAnsi="Garamond"/>
            <w:kern w:val="36"/>
            <w:lang w:val="en-US" w:eastAsia="fr-FR"/>
          </w:rPr>
          <w:t>VIII.  Sch</w:t>
        </w:r>
        <w:bookmarkStart w:id="258" w:name="Kultur8"/>
        <w:bookmarkEnd w:id="258"/>
        <w:r w:rsidR="004E00C6" w:rsidRPr="00506316">
          <w:rPr>
            <w:rStyle w:val="Lienhypertexte"/>
            <w:rFonts w:ascii="Garamond" w:hAnsi="Garamond"/>
            <w:kern w:val="36"/>
            <w:lang w:val="en-US" w:eastAsia="fr-FR"/>
          </w:rPr>
          <w:t>lussfolgerungen</w:t>
        </w:r>
      </w:hyperlink>
    </w:p>
    <w:p w:rsidR="004E00C6" w:rsidRPr="00506316" w:rsidRDefault="004E00C6" w:rsidP="004E00C6">
      <w:pPr>
        <w:pStyle w:val="Sansinterligne"/>
        <w:rPr>
          <w:rFonts w:ascii="Garamond" w:hAnsi="Garamond"/>
          <w:lang w:val="en-US" w:eastAsia="fr-FR"/>
        </w:rPr>
      </w:pPr>
    </w:p>
    <w:p w:rsidR="004E00C6" w:rsidRPr="00506316" w:rsidRDefault="004E00C6" w:rsidP="004E00C6">
      <w:pPr>
        <w:pStyle w:val="Sansinterligne"/>
        <w:rPr>
          <w:rFonts w:ascii="Garamond" w:hAnsi="Garamond"/>
          <w:lang w:val="en-US" w:eastAsia="fr-FR"/>
        </w:rPr>
      </w:pPr>
      <w:r w:rsidRPr="00506316">
        <w:rPr>
          <w:rFonts w:ascii="Garamond" w:hAnsi="Garamond"/>
          <w:lang w:val="en-US" w:eastAsia="fr-FR"/>
        </w:rPr>
        <w:t>Am Ende eines solchen Weges angelangt, muß der Autor seine Leser um Entschuldigung bitten, daß er ihnen kein geschickter Führer gewesen, ihnen das Erlebnis öder Strecken und beschwerlicher Umwege nicht erspart hat. Es ist kein Zweifel, daß man es besser machen kann. Ich will versuchen, nachträglich etwas gutzumachen.</w:t>
      </w:r>
    </w:p>
    <w:p w:rsidR="004E00C6" w:rsidRDefault="004E00C6" w:rsidP="004E00C6">
      <w:pPr>
        <w:pStyle w:val="Sansinterligne"/>
        <w:rPr>
          <w:rFonts w:ascii="Garamond" w:hAnsi="Garamond"/>
          <w:lang w:val="en-US"/>
        </w:rPr>
      </w:pPr>
    </w:p>
    <w:p w:rsidR="004E00C6" w:rsidRPr="00506316" w:rsidRDefault="004E00C6" w:rsidP="004E00C6">
      <w:pPr>
        <w:pStyle w:val="Sansinterligne"/>
        <w:rPr>
          <w:rFonts w:ascii="Garamond" w:hAnsi="Garamond"/>
          <w:lang w:val="en-US"/>
        </w:rPr>
      </w:pPr>
      <w:r w:rsidRPr="00506316">
        <w:rPr>
          <w:rFonts w:ascii="Garamond" w:hAnsi="Garamond"/>
          <w:lang w:val="en-US"/>
        </w:rPr>
        <w:t>[VIII. Schlussfolgerungen: Glückseinbuße durch die Steigerung des Schuldgefühls als Preis für den Kulturfortschritt]</w:t>
      </w:r>
    </w:p>
    <w:p w:rsidR="004E00C6" w:rsidRPr="00506316" w:rsidRDefault="004E00C6" w:rsidP="004E00C6">
      <w:pPr>
        <w:pStyle w:val="Sansinterligne"/>
        <w:rPr>
          <w:rFonts w:ascii="Garamond" w:hAnsi="Garamond"/>
          <w:lang w:val="en-US"/>
        </w:rPr>
      </w:pPr>
    </w:p>
    <w:p w:rsidR="004E00C6" w:rsidRPr="00506316" w:rsidRDefault="004E00C6" w:rsidP="004E00C6">
      <w:pPr>
        <w:pStyle w:val="Sansinterligne"/>
        <w:rPr>
          <w:rFonts w:ascii="Garamond" w:hAnsi="Garamond"/>
          <w:lang w:val="en-US"/>
        </w:rPr>
      </w:pPr>
      <w:r w:rsidRPr="00506316">
        <w:rPr>
          <w:rFonts w:ascii="Garamond" w:hAnsi="Garamond"/>
          <w:lang w:val="en-US"/>
        </w:rPr>
        <w:t>Zunächst vermute ich bei den Lesern den Eindruck, daß die Erörterungen über das Schuldgefühl den Rahmen dieses Aufsatzes sprengen, indem sie zuviel Raum für sich einnehmen und ihren anderen Inhalt, mit dem sie nicht immer innig zusammenhängen, an den Rand drängen. Das mag den Aufbau der Abhandlung gestört haben, entspricht aber durchaus der Absicht, das Schuldgefühl als das wichtigste Problem der Kulturentwicklung hinzustellen und darzutun, daß der Preis für den Kulturfortschritt in der Glückseinbuße durch die Erhöhung des Schuldgefühls bezahlt wird.</w:t>
      </w:r>
      <w:r w:rsidRPr="00506316">
        <w:rPr>
          <w:rFonts w:ascii="Garamond" w:hAnsi="Garamond"/>
          <w:vertAlign w:val="superscript"/>
          <w:lang w:val="en-US"/>
        </w:rPr>
        <w:t>1)</w:t>
      </w:r>
      <w:r w:rsidRPr="00506316">
        <w:rPr>
          <w:rFonts w:ascii="Garamond" w:hAnsi="Garamond"/>
          <w:lang w:val="en-US"/>
        </w:rPr>
        <w:t xml:space="preserve"> Was an diesem Satz, dem Endergebnis unserer Untersuchung, noch befremdlich klingt, läßt sich wahrscheinlich auf das ganz sonderbare, noch durchaus unverstandene Verhältnis des Schuldgefühls zu unserem Bewußtsein zurückführen. In den gemeinen, uns als normal geltenden Fällen von Reue macht es sich dem Bewußtsein deutlich genug wahrnehmbar; wir sind doch gewöhnt, anstatt Schuldgefühl »Schuldbewußtsein« zu sagen. Aus dem Studium der Neurosen, denen wir doch die wertvollsten Winke zum Verständnis des Normalen danken, ergeben sich widerspruchsvolle Verhältnisse. Bei einer dieser Affektionen, der Zwangsneurose, drängt sich das Schuldgefühl überlaut dem Bewußtsein auf, es beherrscht das Krankheitsbild wie das Leben der Kranken, läßt kaum anderes neben sich aufkommen. Aber in den meisten anderen Fällen und Formen von Neurose bleibt es völlig unbewußt, ohne darum geringfügigere Wirkungen zu äußern. Die Kranken glauben uns nicht, wenn wir ihnen ein »unbewußtes Schuldgefühl« zumuten; um nur halbwegs von ihnen verstanden zu werden, erzählen wir ihnen von einem unbewußten Strafbedürfnis, in dem sich das Schuldgefühl äußert. Aber die Beziehung zur Neurosenform darf nicht überschätzt werden; es gibt auch bei der Zwangsneurose Typen von Kranken, die ihr Schuldgefühl nicht wahrnehmen oder es als ein quälendes Unbehagen, eine Art von Angst erst dann empfinden, wenn sie an der Ausführung gewisser Handlungen verhindert werden. Diese Dinge sollte man endlich einmal verstehen können, man kann es noch nicht. Vielleicht ist hier die Bemerkung willkommen, daß das Schuldgefühl im Grunde nichts ist als eine topische Abart der Angst, in seinen späteren Phasen fällt es ganz mit der </w:t>
      </w:r>
      <w:r w:rsidRPr="00506316">
        <w:rPr>
          <w:rFonts w:ascii="Garamond" w:hAnsi="Garamond"/>
          <w:i/>
          <w:iCs/>
          <w:lang w:val="en-US"/>
        </w:rPr>
        <w:t>Angst vor dem Über-Icb</w:t>
      </w:r>
      <w:r w:rsidRPr="00506316">
        <w:rPr>
          <w:rFonts w:ascii="Garamond" w:hAnsi="Garamond"/>
          <w:lang w:val="en-US"/>
        </w:rPr>
        <w:t xml:space="preserve"> zusammen. Und bei der Angst zeigen sich im Verhältnis zum Bewußtsein dieselben außerordentlichen Variationen. Irgendwie steckt die Angst hinter allen Symptomen, aber bald nimmt sie lärmend das Bewußtsein ganz für sich in Anspruch, bald verbirgt sie sich so vollkommen, daß wir genötigt sind, von unbewußter Angst oder — wenn wir ein reineres psychologisches Gewissen haben wollen, da ja die Angst zunächst nur eine Empfindung ist — von Angstmöglichkeiten zu reden. Und darum ist es sehr wohl denkbar, daß auch das durch die Kultur erzeugte Schuldbewußtsein nicht als solches erkannt wird, zum großen Teil unbewußt bleibt oder als ein Unbehagen, eine Unzufriedenheit zum Vorschein kommt, für die man andere Motivierungen sucht. Die Religionen wenigstens haben die Rolle des Schuldgefühls in der Kultur nie verkannt. Sie treten ja, was ich an anderer Stelle nicht gewürdigt hatte,</w:t>
      </w:r>
      <w:r w:rsidRPr="00506316">
        <w:rPr>
          <w:rFonts w:ascii="Garamond" w:hAnsi="Garamond"/>
          <w:vertAlign w:val="superscript"/>
          <w:lang w:val="en-US"/>
        </w:rPr>
        <w:t>2)</w:t>
      </w:r>
      <w:r w:rsidRPr="00506316">
        <w:rPr>
          <w:rFonts w:ascii="Garamond" w:hAnsi="Garamond"/>
          <w:lang w:val="en-US"/>
        </w:rPr>
        <w:t xml:space="preserve"> auch mit dem Anspruch auf, die Menschheit von diesem Schuldgefühl, das sie Sünde heißen, zu erlösen. Aus der Art, wie im Christentum diese Erlösung gewonnen wird, durch den Opfertod eines Einzelnen, der damit eine allen gemeinsame Schuld auf sich nimmt, haben wir ja einen Schluß darauf gezogen, welches der erste Anlaß zur Erwerbung dieser Urschuld, mit der auch die Kultur begann, gewesen sein mag.</w:t>
      </w:r>
      <w:r w:rsidRPr="00506316">
        <w:rPr>
          <w:rFonts w:ascii="Garamond" w:hAnsi="Garamond"/>
          <w:vertAlign w:val="superscript"/>
          <w:lang w:val="en-US"/>
        </w:rPr>
        <w:t>3)</w:t>
      </w:r>
    </w:p>
    <w:p w:rsidR="004E00C6" w:rsidRPr="00506316" w:rsidRDefault="004E00C6" w:rsidP="004E00C6">
      <w:pPr>
        <w:pStyle w:val="Sansinterligne"/>
        <w:rPr>
          <w:rFonts w:ascii="Garamond" w:hAnsi="Garamond"/>
          <w:lang w:val="en-US"/>
        </w:rPr>
      </w:pPr>
      <w:r w:rsidRPr="00506316">
        <w:rPr>
          <w:rFonts w:ascii="Garamond" w:hAnsi="Garamond"/>
          <w:lang w:val="en-US"/>
        </w:rPr>
        <w:t>Es kann nicht sehr wichtig werden, mag aber nicht überflüssig sein, daß wir die Bedeutung einiger Worte wie: Über-Ich, Gewissen, Schuldgefühl, Strafbedürfnis, Reue erläutern, die wir vielleicht oft zu lose und eines fürs andere gebraucht haben. Alle beziehen sich auf dasselbe Verhältnis, benennen aber verschiedene Seiten desselben. Das Über-Ich ist eine von uns erschlossene Instanz, das Gewissen eine Funktion, die wir ihm neben anderen zuschreiben, die die Handlungen und Absichten des Ichs zu über</w:t>
      </w:r>
      <w:r w:rsidRPr="00506316">
        <w:rPr>
          <w:rFonts w:ascii="Garamond" w:hAnsi="Garamond"/>
          <w:lang w:val="en-US"/>
        </w:rPr>
        <w:softHyphen/>
        <w:t>wachen und zu beurteilen hat, eine zensorische Tätigkeit ausübt. Das Schuldgefühl, die Härte des Über-Ichs, ist also dasselbe wie die Strenge des Gewissens, ist die dem Ich zugeteilte Wahrnehmung, daß es in solcher Weise überwacht wird, die Abschätzung der Spannung zwischen seinen Strebungen und den Forderungen des ÜberIchs, und die der ganzen Beziehung zugrunde liegende Angst vor dieser kritischen Instanz, das Strafbedürfnis, ist eine Triebäußerung des Ichs, das unter dem Einfluß des sadistischen Über-</w:t>
      </w:r>
      <w:r w:rsidRPr="00506316">
        <w:rPr>
          <w:rFonts w:ascii="Garamond" w:hAnsi="Garamond"/>
          <w:lang w:val="en-US"/>
        </w:rPr>
        <w:lastRenderedPageBreak/>
        <w:t>Ichs masochistisch geworden ist, d. h. ein Stück des in ihm vorhandenen Triebes zur inneren Destruktion zu einer erotischen Bindung an das Über-Ich verwendet. Vom Gewissen sollte man nicht eher sprechen, als bis ein Über-Ich nachweisbar ist; vom Schuldbewußtsein muß man zugeben, daß es früher besteht als das Über-Ich, also auch als das Gewissen. Es ist dann der unmittelbare Ausdruck der Angst vor der äußeren Autorität, die Anerkennung der Spannung zwischen dem Ich und dieser letzteren, der direkte Abkömmling des Konflikts zwischen dem Bedürfnis nach deren Liebe und dem Drang nach Triebbefriedigung, dessen Hemmung die Neigung zur Aggression erzeugt. Die Übereinanderlagerung dieser beiden Schichten des Schuldgefühls — aus Angst vor der äußeren und vor der inneren Autorität — hat uns manchen Einblick in die Beziehungen des Gewissens erschwert. Reue ist eine Gesamtbezeichnung für die Reaktion des Ichs in einem Falle des Schuldgefühls, enthält das wenig umgewandelte Empfindungsmaterial der dahinter wirksamen Angst, ist selbst eine Strafe und kann das Strafbedürfnis einschließen; auch sie kann also älter sein als das Gewissen.</w:t>
      </w:r>
    </w:p>
    <w:p w:rsidR="004E00C6" w:rsidRPr="00506316" w:rsidRDefault="004E00C6" w:rsidP="004E00C6">
      <w:pPr>
        <w:pStyle w:val="Sansinterligne"/>
        <w:rPr>
          <w:rFonts w:ascii="Garamond" w:hAnsi="Garamond"/>
          <w:lang w:val="en-US"/>
        </w:rPr>
      </w:pPr>
      <w:r w:rsidRPr="00506316">
        <w:rPr>
          <w:rFonts w:ascii="Garamond" w:hAnsi="Garamond"/>
          <w:lang w:val="en-US"/>
        </w:rPr>
        <w:t>Es kann auch nichts schaden, daß wir uns nochmals die Widersprüche vorführen, die uns eine Weile bei unserer Untersuchung verwirrt haben. Das Schuldgefühl sollte einmal die Folge unterlassener Aggressionen sein, aber ein andermal und gerade bei seinem historischen Anfang, der Vatertötung, die Folge einer ausgeführten Aggression. Wir fanden auch den Ausweg aus dieser Schwierigkeit. Die Einsetzung der inneren Autorität, des Über-Ichs, hat eben die Verhältnisse gründlich geändert. Vorher fiel das Schuldgefühl mit der Reue zusammen; wir merken dabei, daß die Bezeichnung Reue für die Reaktion nach wirklicher Ausführung der Aggression zu reservieren ist. Nachher verlor infolge der Allwissenheit des Über-Ichs der Unterschied zwischen beabsichtigter und erfüllter Aggression seine Kraft; nun konnte sowohl eine wirklich ausgeführte Gewalttat Schuldgefühl erzeugen — wie alle Welt weiß — als auch eine bloß beabsichtigte — wie die Psychoanalyse erkannt hat. Über die Veränderung der psychologischen Situation hinweg hinterläßt der Ambivalenzkonflikt der beiden Urtriebe die nämliche Wirkung. Die Versuchung liegt nahe, hier die Lösung des Rätsels von der wechsel</w:t>
      </w:r>
      <w:r w:rsidRPr="00506316">
        <w:rPr>
          <w:rFonts w:ascii="Garamond" w:hAnsi="Garamond"/>
          <w:lang w:val="en-US"/>
        </w:rPr>
        <w:softHyphen/>
        <w:t xml:space="preserve">vollen Beziehung des Schuldgefühls zum Bewußtsein zu suchen. </w:t>
      </w:r>
      <w:r w:rsidRPr="00506316">
        <w:rPr>
          <w:rFonts w:ascii="Garamond" w:hAnsi="Garamond"/>
        </w:rPr>
        <w:t xml:space="preserve">Das Schuldgefühl aus Reue über die böse Tat müßte immer bewußt sein, das aus Wahrnehmung des bösen Impulses könnte unbewußt bleiben. </w:t>
      </w:r>
      <w:r w:rsidRPr="00506316">
        <w:rPr>
          <w:rFonts w:ascii="Garamond" w:hAnsi="Garamond"/>
          <w:lang w:val="en-US"/>
        </w:rPr>
        <w:t>Allein so einfach ist das nicht, die Zwangsneurose widerspricht dem energisch. Der zweite Widerspruch war, daß die aggressive Energie, mit der man das Über-Ich ausgestattet denkt, nach einer Auffassung bloß die Strafenergie der äußeren Autorität fortsetzt und für das Seelenleben erhält, während eine andere Auffassung meint, es sei vielmehr die nicht zur Verwendung gelangte eigene Aggression, die man gegen diese hemmende Autorität aufbringt. Die erste Lehre schien sich der Geschichte, die zweite der Theorie des Schuld</w:t>
      </w:r>
      <w:r w:rsidRPr="00506316">
        <w:rPr>
          <w:rFonts w:ascii="Garamond" w:hAnsi="Garamond"/>
          <w:lang w:val="en-US"/>
        </w:rPr>
        <w:softHyphen/>
        <w:t>gefühls besser anzupassen. Eingehendere Überlegung hat den anscheinend unversöhnlichen Gegensatz beinahe allzuviel verwischt; es blieb als wesentlich und gemeinsam übrig, daß es sich um eine nach innen verscho</w:t>
      </w:r>
      <w:r w:rsidRPr="00506316">
        <w:rPr>
          <w:rFonts w:ascii="Garamond" w:hAnsi="Garamond"/>
          <w:lang w:val="en-US"/>
        </w:rPr>
        <w:softHyphen/>
        <w:t>bene Aggression handelt. Die klinische Beobachtung gestattet wiederum, wirklich zwei Quellen für die dem Über-Ich zugeschriebene Aggression zu unterscheiden, von denen im einzelnen Fall die eine oder die andere die stärkere Wirkung ausübt, die im allgemeinen aber zusammenwirken.</w:t>
      </w:r>
    </w:p>
    <w:p w:rsidR="004E00C6" w:rsidRPr="00506316" w:rsidRDefault="004E00C6" w:rsidP="004E00C6">
      <w:pPr>
        <w:pStyle w:val="Sansinterligne"/>
        <w:rPr>
          <w:rFonts w:ascii="Garamond" w:hAnsi="Garamond"/>
          <w:lang w:val="en-US"/>
        </w:rPr>
      </w:pPr>
      <w:r w:rsidRPr="00506316">
        <w:rPr>
          <w:rFonts w:ascii="Garamond" w:hAnsi="Garamond"/>
          <w:lang w:val="en-US"/>
        </w:rPr>
        <w:t>Hier ist, meine ich, der Ort, eine Auffassung ernsthaft zu vertreten, die ich vorhin zur vorläufigen Annahme empfohlen hatte. In der neuesten analyti</w:t>
      </w:r>
      <w:r w:rsidRPr="00506316">
        <w:rPr>
          <w:rFonts w:ascii="Garamond" w:hAnsi="Garamond"/>
          <w:lang w:val="en-US"/>
        </w:rPr>
        <w:softHyphen/>
        <w:t>schen Literatur zeigt sich eine Vorliebe für die Lehre, daß jede Art von Versagung, jede verhinderte Triebbefriedigung eine Steigerung des Schuld</w:t>
      </w:r>
      <w:r w:rsidRPr="00506316">
        <w:rPr>
          <w:rFonts w:ascii="Garamond" w:hAnsi="Garamond"/>
          <w:lang w:val="en-US"/>
        </w:rPr>
        <w:softHyphen/>
        <w:t>gefühls zur Folge habe oder haben könnte.</w:t>
      </w:r>
      <w:r w:rsidRPr="00506316">
        <w:rPr>
          <w:rFonts w:ascii="Garamond" w:hAnsi="Garamond"/>
          <w:vertAlign w:val="superscript"/>
          <w:lang w:val="en-US"/>
        </w:rPr>
        <w:t>4)</w:t>
      </w:r>
      <w:r w:rsidRPr="00506316">
        <w:rPr>
          <w:rFonts w:ascii="Garamond" w:hAnsi="Garamond"/>
          <w:lang w:val="en-US"/>
        </w:rPr>
        <w:t xml:space="preserve"> Ich glaube, man schafft sich eine große theoretische Erleichterung, wenn man das nur von den </w:t>
      </w:r>
      <w:r w:rsidRPr="00506316">
        <w:rPr>
          <w:rFonts w:ascii="Garamond" w:hAnsi="Garamond"/>
          <w:i/>
          <w:iCs/>
          <w:lang w:val="en-US"/>
        </w:rPr>
        <w:t>aggressiven</w:t>
      </w:r>
      <w:r w:rsidRPr="00506316">
        <w:rPr>
          <w:rFonts w:ascii="Garamond" w:hAnsi="Garamond"/>
          <w:lang w:val="en-US"/>
        </w:rPr>
        <w:t xml:space="preserve"> Trieben gelten läßt, und man wird nicht viel finden, was dieser Annahme widerspricht. Wie soll man es denn dynamisch und ökonomisch erklären, daß an Stelle eines nicht erfüllten </w:t>
      </w:r>
      <w:r w:rsidRPr="00506316">
        <w:rPr>
          <w:rFonts w:ascii="Garamond" w:hAnsi="Garamond"/>
          <w:i/>
          <w:iCs/>
          <w:lang w:val="en-US"/>
        </w:rPr>
        <w:t>erotischen</w:t>
      </w:r>
      <w:r w:rsidRPr="00506316">
        <w:rPr>
          <w:rFonts w:ascii="Garamond" w:hAnsi="Garamond"/>
          <w:lang w:val="en-US"/>
        </w:rPr>
        <w:t xml:space="preserve"> Anspruchs eine Steigerung des Schuldgefühls auftritt? Das scheint doch nur auf dem Umwege möglich, daß die Verhinderung der erotischen Befriedigung ein Stück Aggressionsneigung gegen die Person hervorruft, welche die Befriedigung stört, und daß diese Aggression selbst wieder unterdrückt werden muß. Dann aber ist es doch nur die Aggression, die sich in Schuldgefühl umwandelt, indem sie unterdrückt und dem Überich zugeschoben wird. Ich bin überzeugt, wir werden viele Vorgänge einfacher und durchsichtiger darstellen können, wenn wir den Fund der Psychoanalyse zur Ableitung des Schuldgefühls auf die aggressiven Triebe einschränken. Die Befragung des klinischen Materials gibt hier keine eindeutige Antwort, weil unserer Voraussetzung gemäß die beiden Triebarten kaum jemals rein, voneinander isoliert, auftreten; aber die Würdigung extremer Fälle wird wohl nach der Richtung weisen, die ich erwarte. Ich bin versucht, von dieser strengeren Auffassung einen ersten Nutzen zu ziehen, indem ich sie auf den Verdrängungsvorgang anwende. Die Symptome der Neurosen sind, wie wir gelernt haben, wesentlich Ersatz</w:t>
      </w:r>
      <w:r w:rsidRPr="00506316">
        <w:rPr>
          <w:rFonts w:ascii="Garamond" w:hAnsi="Garamond"/>
          <w:lang w:val="en-US"/>
        </w:rPr>
        <w:softHyphen/>
        <w:t xml:space="preserve">befriedigungen für unerfüllte sexuelle Wünsche. Im Laufe der analytischen Arbeit haben wir zu unserer Überraschung erfahren, daß vielleicht jede Neurose einen Betrag von unbewußtem Schuldgefühl verhüllt, der wiederum die Symptome durch ihre Verwendung zur Strafe befestigt. Nun liegt </w:t>
      </w:r>
      <w:r w:rsidRPr="00506316">
        <w:rPr>
          <w:rFonts w:ascii="Garamond" w:hAnsi="Garamond"/>
          <w:lang w:val="en-US"/>
        </w:rPr>
        <w:lastRenderedPageBreak/>
        <w:t>es nahe, den Satz zu formulieren: wenn eine Triebstrebung der Verdrängung unterliegt, so werden ihre libidinösen Anteile in Symptome, ihre aggressiven Komponenten in Schuldgefühl umgesetzt. Auch wenn dieser Satz nur in durchschnittlicher Annäherung richtig ist, verdient er unser Interesse.</w:t>
      </w:r>
    </w:p>
    <w:p w:rsidR="004E00C6" w:rsidRPr="00506316" w:rsidRDefault="004E00C6" w:rsidP="004E00C6">
      <w:pPr>
        <w:pStyle w:val="Sansinterligne"/>
        <w:rPr>
          <w:rFonts w:ascii="Garamond" w:hAnsi="Garamond"/>
          <w:lang w:val="en-US"/>
        </w:rPr>
      </w:pPr>
      <w:r w:rsidRPr="00506316">
        <w:rPr>
          <w:rFonts w:ascii="Garamond" w:hAnsi="Garamond"/>
          <w:lang w:val="en-US"/>
        </w:rPr>
        <w:t> </w:t>
      </w:r>
    </w:p>
    <w:p w:rsidR="004E00C6" w:rsidRPr="00506316" w:rsidRDefault="004E00C6" w:rsidP="004E00C6">
      <w:pPr>
        <w:pStyle w:val="Sansinterligne"/>
        <w:rPr>
          <w:rFonts w:ascii="Garamond" w:hAnsi="Garamond"/>
          <w:lang w:val="en-US"/>
        </w:rPr>
      </w:pPr>
      <w:r w:rsidRPr="00506316">
        <w:rPr>
          <w:rFonts w:ascii="Garamond" w:hAnsi="Garamond"/>
          <w:lang w:val="en-US"/>
        </w:rPr>
        <w:t>__________________</w:t>
      </w:r>
    </w:p>
    <w:p w:rsidR="004E00C6" w:rsidRPr="00506316" w:rsidRDefault="004E00C6" w:rsidP="004E00C6">
      <w:pPr>
        <w:pStyle w:val="Sansinterligne"/>
        <w:rPr>
          <w:rFonts w:ascii="Garamond" w:hAnsi="Garamond"/>
          <w:lang w:val="en-US"/>
        </w:rPr>
      </w:pPr>
      <w:r w:rsidRPr="00506316">
        <w:rPr>
          <w:rFonts w:ascii="Garamond" w:hAnsi="Garamond"/>
          <w:vertAlign w:val="superscript"/>
          <w:lang w:val="en-US"/>
        </w:rPr>
        <w:t>1)</w:t>
      </w:r>
      <w:r w:rsidRPr="00506316">
        <w:rPr>
          <w:rFonts w:ascii="Garamond" w:hAnsi="Garamond"/>
          <w:lang w:val="en-US"/>
        </w:rPr>
        <w:t xml:space="preserve"> »So macht Gewissen Feige aus uns allen...«</w:t>
      </w:r>
    </w:p>
    <w:p w:rsidR="004E00C6" w:rsidRPr="00506316" w:rsidRDefault="004E00C6" w:rsidP="004E00C6">
      <w:pPr>
        <w:pStyle w:val="Sansinterligne"/>
        <w:rPr>
          <w:rFonts w:ascii="Garamond" w:hAnsi="Garamond"/>
          <w:lang w:val="en-US"/>
        </w:rPr>
      </w:pPr>
      <w:r w:rsidRPr="004E00C6">
        <w:rPr>
          <w:rFonts w:ascii="Garamond" w:hAnsi="Garamond"/>
          <w:lang w:val="en-US"/>
        </w:rPr>
        <w:t xml:space="preserve">Daß sie dem jugendlichen Menschen verheimlicht, welche Rolle die Sexualität in seinem Leben spielen wird, ist nicht der einzige Vorwurf, den man gegen die heutige Erziehung erheben muß. </w:t>
      </w:r>
      <w:r w:rsidRPr="00506316">
        <w:rPr>
          <w:rFonts w:ascii="Garamond" w:hAnsi="Garamond"/>
        </w:rPr>
        <w:t xml:space="preserve">Sie sündigt außerdem darin, daß sie ihn nicht auf die Aggression vorbereitet, deren Objekt er zu werden bestimmt ist. Indem sie die Jugend mit so unrichtiger psychologischer Orientierung ins Leben entläßt, benimmt sich die Erziehung nicht anders, als wenn man Leute, die auf eine Polarexpedition gehen, mit Sommerkleidern und Karten der oberitalischen Seen ausrüsten würde. Dabei wird ein gewisser Mißbrauch der ethischen Forderungen deutlich. Die Strenge derselben würde nicht viel schaden, wenn die Erziehung sagte: »So sollten die Menschen sein, um glücklich zu werden und andere glücklich zu machen; aber man muß damit rechnen, daß sie nicht so sind.« </w:t>
      </w:r>
      <w:r w:rsidRPr="00506316">
        <w:rPr>
          <w:rFonts w:ascii="Garamond" w:hAnsi="Garamond"/>
          <w:lang w:val="en-US"/>
        </w:rPr>
        <w:t>Anstatt dessen läßt man den Jugendlichen glauben, daß alle anderen die ethischen Vorschriften erfüllen, also tugendhaft sind. Damit begründet man die Forderung, daß er auch so werde.</w:t>
      </w:r>
    </w:p>
    <w:p w:rsidR="004E00C6" w:rsidRPr="00506316" w:rsidRDefault="004E00C6" w:rsidP="004E00C6">
      <w:pPr>
        <w:pStyle w:val="Sansinterligne"/>
        <w:rPr>
          <w:rFonts w:ascii="Garamond" w:hAnsi="Garamond"/>
        </w:rPr>
      </w:pPr>
      <w:r w:rsidRPr="00506316">
        <w:rPr>
          <w:rFonts w:ascii="Garamond" w:hAnsi="Garamond"/>
          <w:vertAlign w:val="superscript"/>
        </w:rPr>
        <w:t>2)</w:t>
      </w:r>
      <w:r w:rsidRPr="00506316">
        <w:rPr>
          <w:rFonts w:ascii="Garamond" w:hAnsi="Garamond"/>
        </w:rPr>
        <w:t xml:space="preserve"> Ich meine: </w:t>
      </w:r>
      <w:r w:rsidRPr="00506316">
        <w:rPr>
          <w:rFonts w:ascii="Garamond" w:hAnsi="Garamond"/>
          <w:i/>
          <w:iCs/>
        </w:rPr>
        <w:t>Die Zukunft einer Illusion</w:t>
      </w:r>
      <w:r w:rsidRPr="00506316">
        <w:rPr>
          <w:rFonts w:ascii="Garamond" w:hAnsi="Garamond"/>
        </w:rPr>
        <w:t xml:space="preserve"> (1927c).</w:t>
      </w:r>
    </w:p>
    <w:p w:rsidR="004E00C6" w:rsidRPr="00506316" w:rsidRDefault="004E00C6" w:rsidP="004E00C6">
      <w:pPr>
        <w:pStyle w:val="Sansinterligne"/>
        <w:rPr>
          <w:rFonts w:ascii="Garamond" w:hAnsi="Garamond"/>
          <w:lang w:val="en-US"/>
        </w:rPr>
      </w:pPr>
      <w:r w:rsidRPr="00506316">
        <w:rPr>
          <w:rFonts w:ascii="Garamond" w:hAnsi="Garamond"/>
          <w:vertAlign w:val="superscript"/>
          <w:lang w:val="en-US"/>
        </w:rPr>
        <w:t>3)</w:t>
      </w:r>
      <w:r w:rsidRPr="00506316">
        <w:rPr>
          <w:rFonts w:ascii="Garamond" w:hAnsi="Garamond"/>
          <w:lang w:val="en-US"/>
        </w:rPr>
        <w:t xml:space="preserve"> </w:t>
      </w:r>
      <w:r w:rsidRPr="00506316">
        <w:rPr>
          <w:rFonts w:ascii="Garamond" w:hAnsi="Garamond"/>
          <w:i/>
          <w:iCs/>
          <w:lang w:val="en-US"/>
        </w:rPr>
        <w:t>Totem und Tabu</w:t>
      </w:r>
      <w:r w:rsidRPr="00506316">
        <w:rPr>
          <w:rFonts w:ascii="Garamond" w:hAnsi="Garamond"/>
          <w:lang w:val="en-US"/>
        </w:rPr>
        <w:t xml:space="preserve"> (1912-13).</w:t>
      </w:r>
    </w:p>
    <w:p w:rsidR="004E00C6" w:rsidRPr="00506316" w:rsidRDefault="004E00C6" w:rsidP="004E00C6">
      <w:pPr>
        <w:pStyle w:val="Sansinterligne"/>
        <w:rPr>
          <w:rFonts w:ascii="Garamond" w:hAnsi="Garamond"/>
          <w:lang w:val="en-US"/>
        </w:rPr>
      </w:pPr>
      <w:r w:rsidRPr="00506316">
        <w:rPr>
          <w:rFonts w:ascii="Garamond" w:hAnsi="Garamond"/>
          <w:vertAlign w:val="superscript"/>
          <w:lang w:val="en-US"/>
        </w:rPr>
        <w:t>4)</w:t>
      </w:r>
      <w:r w:rsidRPr="00506316">
        <w:rPr>
          <w:rFonts w:ascii="Garamond" w:hAnsi="Garamond"/>
          <w:lang w:val="en-US"/>
        </w:rPr>
        <w:t xml:space="preserve"> Insbesondere bei E. Jones, Susan Isaacs, Melanie Klein; wie ich verstehe, aber auch bei Reik und Alexander.</w:t>
      </w:r>
    </w:p>
    <w:p w:rsidR="004E00C6" w:rsidRDefault="004E00C6" w:rsidP="004E00C6">
      <w:pPr>
        <w:pStyle w:val="Sansinterligne"/>
        <w:rPr>
          <w:rFonts w:ascii="Garamond" w:hAnsi="Garamond"/>
          <w:lang w:val="en-US"/>
        </w:rPr>
      </w:pPr>
    </w:p>
    <w:p w:rsidR="004E00C6" w:rsidRPr="00506316" w:rsidRDefault="004E00C6" w:rsidP="004E00C6">
      <w:pPr>
        <w:pStyle w:val="Sansinterligne"/>
        <w:rPr>
          <w:rFonts w:ascii="Garamond" w:hAnsi="Garamond"/>
          <w:lang w:val="en-US"/>
        </w:rPr>
      </w:pPr>
      <w:r w:rsidRPr="00506316">
        <w:rPr>
          <w:rFonts w:ascii="Garamond" w:hAnsi="Garamond"/>
          <w:lang w:val="en-US"/>
        </w:rPr>
        <w:t>[VIII. Schlussfolgerungen: Analogie zwischen der Entwicklung der Kultur und des Individuums]</w:t>
      </w:r>
    </w:p>
    <w:p w:rsidR="004E00C6" w:rsidRPr="00506316" w:rsidRDefault="004E00C6" w:rsidP="004E00C6">
      <w:pPr>
        <w:pStyle w:val="Sansinterligne"/>
        <w:rPr>
          <w:rFonts w:ascii="Garamond" w:hAnsi="Garamond"/>
          <w:lang w:val="en-US"/>
        </w:rPr>
      </w:pPr>
    </w:p>
    <w:p w:rsidR="004E00C6" w:rsidRPr="00506316" w:rsidRDefault="004E00C6" w:rsidP="004E00C6">
      <w:pPr>
        <w:pStyle w:val="Sansinterligne"/>
        <w:rPr>
          <w:rFonts w:ascii="Garamond" w:hAnsi="Garamond"/>
          <w:lang w:val="en-US"/>
        </w:rPr>
      </w:pPr>
      <w:r w:rsidRPr="00506316">
        <w:rPr>
          <w:rFonts w:ascii="Garamond" w:hAnsi="Garamond"/>
          <w:lang w:val="en-US"/>
        </w:rPr>
        <w:t>Manche Leser dieser Abhandlung mögen auch unter dem Eindruck stehen, daß sie die Formel vom Kampf zwischen Eros und Todestrieb zu oft gehört haben. Sie sollte den Kulturprozeß kennzeichnen, der über die Menschheit abläuft, wurde aber auch auf die Entwicklung des Einzelnen bezogen und sollte überdies das Geheimnis des organischen Lebens überhaupt enthüllt haben. Es scheint unabweisbar, die Beziehungen dieser drei Vorgänge zueinander zu untersuchen. Nun ist die Wiederkehr derselben Formel durch die Erwägung gerechtfertigt, daß der Kulturprozeß der Menschheit wie die Entwicklung des Einzelnen auch Lebensvorgänge sind, also am allgemeinsten Charakter des Lebens Anteil haben müssen. Anderseits trägt gerade darum der Nachweis dieses allgemeinen Zuges nichts zur Unterscheidung bei, solange dieser nicht durch besondere Bedingungen eingeengt wird. Wir können uns also erst bei der Aussage beruhigen, der Kulturprozeß sei jene Modifikation des Lebensprozesses, die er unter dem Einfluß einer vom Eros gestellten, von der Ananke, der realen Not angeregten Aufgabe erfährt, und diese Aufgabe ist die Vereinigung vereinzelter Menschen zu einer unter sich libidinös verbundenen Gemeinschaft. Fassen wir aber die Beziehung zwischen dem Kulturprozeß der Menschheit und dem Entwicklungs- oder Erziehungsprozeß des einzelnen Menschen ins Auge, so werden wir uns ohne viel Schwanken dafür entscheiden, daß die beiden sehr ähnlicher Natur sind, wenn nicht überhaupt derselbe Vorgang an andersartigen Objekten. Der Kulturprozeß der Menschenart ist natürlich eine Abstraktion von höherer Ordnung als die Entwicklung des Einzelnen, darum schwerer anschaulich zu erfassen, und die Aufspürung von Analogien soll nicht zwanghaft übertrieben werden; aber bei der Gleichartigkeit der Ziele — hier die Einreihung eines Einzelnen in eine menschliche Masse, dort die Herstellung einer Massen</w:t>
      </w:r>
      <w:r w:rsidRPr="00506316">
        <w:rPr>
          <w:rFonts w:ascii="Garamond" w:hAnsi="Garamond"/>
          <w:lang w:val="en-US"/>
        </w:rPr>
        <w:softHyphen/>
        <w:t>einheit aus vielen Einzelnen — kann die Ähnlichkeit der dazu verwendeten Mittel und der zustande kommenden Phänomene nicht überraschen. Ein die beiden Vorgänge unterscheidender Zug darf wegen seiner außerordentlichen Bedeutsamkeit nicht lange unerwähnt bleiben. Im Entwicklungsprozeß des Einzelmenschen wird das Programm des Lustprinzips, Glücksbefriedigung zu finden, als Hauptziel festgehalten, die Einreihung in oder Anpassung an eine menschliche Gemeinschaft erscheint als eine kaum zu vermeidende Bedin</w:t>
      </w:r>
      <w:r w:rsidRPr="00506316">
        <w:rPr>
          <w:rFonts w:ascii="Garamond" w:hAnsi="Garamond"/>
          <w:lang w:val="en-US"/>
        </w:rPr>
        <w:softHyphen/>
        <w:t xml:space="preserve">gung, die auf dem Wege zur Erreichung dieses Glücksziels erfüllt werden soll. Ginge es ohne diese Bedingung, so wäre es vielleicht besser. Anders ausgedrückt: die individuelle Entwicklung erscheint uns als ein Produkt der Interferenz zweier Strebungen, des Strebens nach Glück, das wir gewöhnlich »egoistisch«, und des Strebens nach Vereinigung mit den anderen in der Gemeinschaft, das wir »altruistisch« heißen. Beide Bezeichnungen gehen nicht viel über die Oberfläche hinaus. In der individuellen Entwicklung fällt, wie gesagt, der Hauptakzent meist auf die egoistische oder Glücksstrebung, die andere, »kulturell« zu nennende, begnügt sich in der Regel mit der Rolle einer Einschränkung. Anders beim Kulturprozeß; hier ist das Ziel der Herstellung einer Einheit aus den </w:t>
      </w:r>
      <w:r w:rsidRPr="00506316">
        <w:rPr>
          <w:rFonts w:ascii="Garamond" w:hAnsi="Garamond"/>
          <w:lang w:val="en-US"/>
        </w:rPr>
        <w:lastRenderedPageBreak/>
        <w:t>menschlichen Individuen bei weitem die Hauptsache, das Ziel der Beglückung besteht zwar noch, aber es wird in den Hintergrund gedrängt; fast scheint es, die Schöpfung einer großen menschlichen Gemeinschaft würde am besten gelingen, wenn man sich um das Glück des Einzelnen nicht zu kümmern brauchte. Der Entwicklungsprozeß des Einzelnen darf also seine besonderen Züge haben, die sich im Kulturprozeß der Menschheit nicht wiederfinden; nur insofern dieser erstere Vorgang den Anschluß an die Gemeinschaft: zum Ziel hat, muß er mit dem letzteren zusammenfallen.</w:t>
      </w:r>
    </w:p>
    <w:p w:rsidR="004E00C6" w:rsidRPr="00506316" w:rsidRDefault="004E00C6" w:rsidP="004E00C6">
      <w:pPr>
        <w:pStyle w:val="Sansinterligne"/>
        <w:rPr>
          <w:rFonts w:ascii="Garamond" w:hAnsi="Garamond"/>
          <w:lang w:val="en-US"/>
        </w:rPr>
      </w:pPr>
      <w:r w:rsidRPr="00506316">
        <w:rPr>
          <w:rFonts w:ascii="Garamond" w:hAnsi="Garamond"/>
          <w:lang w:val="en-US"/>
        </w:rPr>
        <w:t>Wie der Planet noch um seinen Zentralkörper kreist, außer daß er um die eigene Achse rotiert, so nimmt auch der einzelne Mensch am Entwicklungs</w:t>
      </w:r>
      <w:r w:rsidRPr="00506316">
        <w:rPr>
          <w:rFonts w:ascii="Garamond" w:hAnsi="Garamond"/>
          <w:lang w:val="en-US"/>
        </w:rPr>
        <w:softHyphen/>
        <w:t>gang der Menschheit teil, während er seinen eigenen Lebensweg geht. Aber unserem blöden Auge scheint das Kräftespiel am Himmel zu ewig gleicher Ordnung erstarrt; im organischen Geschehen sehen wir noch, wie die Kräfte miteinander ringen und die Ergebnisse des Konflikts sich beständig verändern. So haben auch die beiden Strebungen, die nach individuellem Glück und die nach menschlichem Anschluß, bei jedem Individuum miteinander zu kämpfen, so müssen die beiden Prozesse der individuellen und der Kulturentwicklung einander feindlich begegnen und sich gegenseitig den Boden bestreiten. Aber dieser Kampf zwischen Individuum und Gesellschaft ist nicht ein Abkömmling des wahrscheinlich unversöhnlichen Gegensatzes der Urtriebe, Eros und Tod, er bedeutet einen Zwist im Haushalt der Libido, vergleichbar dem Streit um die Aufteilung der Libido zwischen dem Ich und den Objekten, und er läßt einen endlichen Ausgleich zu beim Individuum, wie hoffentlich auch in der Zukunft der Kultur, mag er gegenwärtig das Leben des Einzelnen noch so sehr beschweren.</w:t>
      </w:r>
    </w:p>
    <w:p w:rsidR="004E00C6" w:rsidRPr="00506316" w:rsidRDefault="004E00C6" w:rsidP="004E00C6">
      <w:pPr>
        <w:pStyle w:val="Sansinterligne"/>
        <w:rPr>
          <w:rFonts w:ascii="Garamond" w:hAnsi="Garamond"/>
          <w:lang w:val="en-US"/>
        </w:rPr>
      </w:pPr>
      <w:r w:rsidRPr="00506316">
        <w:rPr>
          <w:rFonts w:ascii="Garamond" w:hAnsi="Garamond"/>
          <w:lang w:val="en-US"/>
        </w:rPr>
        <w:t>Die Analogie zwischen dem Kulturprozeß und dem Entwicklungsweg des Individuums läßt sich um ein bedeutsames Stück erweitern. Man darf nämlich behaupten, daß auch die Gemeinschaft ein Über-Ich ausbildet, unter dessen Einfluß sich die Kulturentwicklung vollzieht. Es mag eine verlockende Aufgabe für einen Kenner menschlicher Kulturen sein, diese Gleichstellung ins einzelne zu verfolgen. Ich will mich auf die Hervorhebung einiger auffälliger Punkte beschränken. Das Überich einer Kulturepoche hat einen ähnlichen Ursprung wie das des Einzelmenschen, es ruht auf dem Eindruck, den große Führerpersönlichkeiten hinterlassen haben, Menschen von überwältigender Geisteskraft oder solche, in denen eine der menschlichen Strebungen die stärkste und reinste, darum oft auch einseitigste Ausbildung gefunden hat. Die Analogie geht in vielen Fällen noch weiter, indem diese Personen — häufig genug, wenn auch nicht immer — zu ihrer Lebenszeit von den anderen verspottet, mißhandelt oder selbst auf grausame Art beseitigt wurden, wie ja auch der Urvater erst lange nach seiner gewaltsamen Tötung zur Göttlichkeit aufstieg. Für diese Schicksalsverknüpfung ist gerade die Person Jesu Christi das ergreifendste Beispiel, wenn sie nicht etwa dem Mythus angehört, der sie in dunkler Erinnerung an jenen Urvorgang ins Leben rief. Ein anderer Punkt der Übereinstimmung ist, daß das Kultur-Über-Ich ganz wie das des Einzelnen strenge Idealforderungen aufstellt, deren Nichtbefolgung durch »Gewissensangst« gestraft wird. Ja, hier stellt sich der merkwürdige Fall her, daß die hierher gehörigen seelischen Vorgänge uns von der Seite der Masse vertrauter, dem Bewußtsein zugänglicher sind, als sie es beim Einzelmen</w:t>
      </w:r>
      <w:r w:rsidRPr="00506316">
        <w:rPr>
          <w:rFonts w:ascii="Garamond" w:hAnsi="Garamond"/>
          <w:lang w:val="en-US"/>
        </w:rPr>
        <w:softHyphen/>
        <w:t>schen werden können. Bei diesem machen sich nur die Aggressionen des Über-Ichs im Falle der Spannung als Vorwürfe überlaut vernehmbar, während die Forderungen selbst im Hintergrunde oft unbewußt bleiben. Bringt man sie zur bewußten Erkenntnis, so zeigt sich, daß sie mit den Vorschriften des jeweiligen Kultur-Über-Ichs zusammenfallen. An dieser Stelle sind sozusagen beide Vorgänge, der kulturelle Entwicklungsprozeß der Menge und der eigene des Individuums, regelmäßig miteinander verklebt. Manche Äußerun</w:t>
      </w:r>
      <w:r w:rsidRPr="00506316">
        <w:rPr>
          <w:rFonts w:ascii="Garamond" w:hAnsi="Garamond"/>
          <w:lang w:val="en-US"/>
        </w:rPr>
        <w:softHyphen/>
        <w:t>gen und Eigenschaften des Über-Ichs können darum leichter an seinem Verhalten in der Kulturgemeinschaft als beim Einzelnen erkannt werden.</w:t>
      </w:r>
    </w:p>
    <w:p w:rsidR="004E00C6" w:rsidRPr="00506316" w:rsidRDefault="004E00C6" w:rsidP="004E00C6">
      <w:pPr>
        <w:pStyle w:val="Sansinterligne"/>
        <w:rPr>
          <w:rFonts w:ascii="Garamond" w:hAnsi="Garamond"/>
          <w:lang w:val="en-US"/>
        </w:rPr>
      </w:pPr>
      <w:r w:rsidRPr="00506316">
        <w:rPr>
          <w:rFonts w:ascii="Garamond" w:hAnsi="Garamond"/>
          <w:lang w:val="en-US"/>
        </w:rPr>
        <w:t xml:space="preserve">Das Kultur-Über-Ich hat seine Ideale ausgebildet und erhebt seine Forderungen. Unter den letzteren werden die, welche die Beziehungen der Menschen zueinander betreffen, als Ethik zusammengefaßt. Zu allen Zeiten wurde auf diese Ethik der größte Wert gelegt, als ob man gerade von ihr besonders wichtige Leistungen erwartete. Und wirklich wendet sich die Ethik jenem Punkt zu, der als die wundeste Stelle jeder Kultur leicht kenntlich ist. Die Ethik ist also als ein therapeutischer Versuch aufzufassen, als Bemühung, durch ein Gebot des Über-Ichs zu erreichen, was bisher durch sonstige Kulturarbeit nicht zu erreichen war. Wir wissen bereits, es fragt sich hier darum, wie das größte Hindernis der Kultur, die konstitutionelle Neigung der Menschen zur Aggression gegeneinander, wegzuräumen ist, und gerade darum wird uns das wahrscheinlich jüngste der kulturellen Uber-Ich-Gebote besonders interessant, das Gebot: »Liebe deinen Nächsten wie dich selbst.«  In der Neurosenforschung und Neurosentherapie kommen wir dazu, zwei Vorwürfe gegen das Über-Ich des Einzelnen zu erheben: Es kümmert sich in der Strenge seiner Gebote und Verbote zu wenig um das Glück des Ichs, indem es die Widerstände gegen die Befolgung, die Triebstärke des Es und die Schwierigkeiten der realen Umwelt, nicht genügend in </w:t>
      </w:r>
      <w:r w:rsidRPr="00506316">
        <w:rPr>
          <w:rFonts w:ascii="Garamond" w:hAnsi="Garamond"/>
          <w:lang w:val="en-US"/>
        </w:rPr>
        <w:lastRenderedPageBreak/>
        <w:t>Rechnung bringt. Wir sind daher in therapeutischer Absicht sehr oft genötigt, das Über-Ich zu bekämpfen, und bemühen uns, seine Ansprüche zu erniedrigen. Ganz ähnliche Einwendungen können wir gegen die ethischen Forderungen des Kultur-Über-Ichs erheben. Auch dies kümmert sich nicht genug um die Tatsachen der seelischen Konstitution des Menschen, es erläßt ein Gebot und fragt nicht, ob es dem Menschen möglich ist, es zu befolgen. Vielmehr, es nimmt an, daß dem Ich des Menschen alles psychologisch möglich ist, was man ihm aufträgt, daß dem Ich die unumschränkte Herrschaft über sein Es zusteht. Das ist ein Irrtum, und auch bei den sogenannt normalen Menschen läßt sich die Beherrschung des Es nicht über bestimmte Grenzen steigern. Fordert man mehr, so erzeugt man beim Einzelnen Auflehnung oder Neurose oder macht ihn unglücklich. Das Gebot »Liebe deinen Nächsten wie dich selbst« ist die stärkste Abwehr der menschlichen Aggression und ein ausgezeichnetes Beispiel für das unpsychologische Vorgehen des Kultur-Uber-Ichs. Das Gebot ist undurchführbar; eine so großartige Inflation der Liebe kann nur deren Wert herabsetzen, nicht die Not beseitigen. Die Kultur vernachlässigt all das; sie mahnt nur, je schwerer die Befolgung der Vorschrift ist, desto verdienstvoller ist sie. Allein wer in der gegenwärtigen Kultur eine solche Vorschrift einhält, setzt sich nur in Nachteil gegen den, der sich über sie hinaussetzt. Wie gewaltig muß das Kulturhindernis der Aggression sein, wenn die Abwehr derselben ebenso unglücklich machen kann wie die Aggression selbst! Die sogenannte natürliche Ethik hat hier nichts zu bieten außer der narzißtischen Befriedigung, sich für besser halten zu dürfen, als die anderen sind. Die Ethik, die sich an die Religion anlehnt, läßt hier ihre Versprechungen eines besseren Jenseits eingreifen. Ich meine, solange sich die Tugend nicht schon auf Erden lohnt, wird die Ethik vergeblich predigen. Es scheint auch mir unzweifelhaft, daß eine reale Veränderung in den Beziehungen der Menschen zum Besitz hier mehr Abhilfe bringen wird als jedes ethische Gebot; doch wird diese Einsicht bei den Sozialisten durch ein neuerliches idealistisches Verkennen der menschlichen Natur getrübt und für die Ausführung entwertet.</w:t>
      </w:r>
    </w:p>
    <w:p w:rsidR="004E00C6" w:rsidRPr="00506316" w:rsidRDefault="004E00C6" w:rsidP="004E00C6">
      <w:pPr>
        <w:pStyle w:val="Sansinterligne"/>
        <w:rPr>
          <w:rFonts w:ascii="Garamond" w:hAnsi="Garamond"/>
          <w:lang w:val="en-US"/>
        </w:rPr>
      </w:pPr>
      <w:r w:rsidRPr="00506316">
        <w:rPr>
          <w:rFonts w:ascii="Garamond" w:hAnsi="Garamond"/>
          <w:lang w:val="en-US"/>
        </w:rPr>
        <w:t>Die Betrachtungsweise, die in den Erscheinungen der Kulturentwicklung die Rolle eines Über-Ichs verfolgen will, scheint mir noch andere Aufschlüsse zu versprechen. Ich eile zum Abschluß. Einer Frage kann ich allerdings schwer ausweichen. Wenn die Kulturentwicklung so weitgehende Ähnlichkeit mit der des Einzelnen hat und mit denselben Mitteln arbeitet, soll man nicht zur Diagnose berechtigt sein, daß manche Kulturen — oder Kulturepochen — möglicherweise die ganze Menschheit — unter dem Einfluß der Kulturstrebun</w:t>
      </w:r>
      <w:r w:rsidRPr="00506316">
        <w:rPr>
          <w:rFonts w:ascii="Garamond" w:hAnsi="Garamond"/>
          <w:lang w:val="en-US"/>
        </w:rPr>
        <w:softHyphen/>
        <w:t>gen »neurotisch« geworden sind? An die analytische Zergliederung dieser Neurosen könnten therapeutische Vorschläge anschließen, die auf großes praktisches Interesse Anspruch hätten. Ich könnte nicht sagen, daß ein sol</w:t>
      </w:r>
      <w:r w:rsidRPr="00506316">
        <w:rPr>
          <w:rFonts w:ascii="Garamond" w:hAnsi="Garamond"/>
          <w:lang w:val="en-US"/>
        </w:rPr>
        <w:softHyphen/>
        <w:t xml:space="preserve">cher Versuch zur Übertragung der Psychoanalyse auf die Kulturgemeinschaft unsinnig oder zur Unfruchtbarkeit verurteilt wäre. Aber man müßte sehr vorsichtig sein, nicht vergessen, daß es sich doch nur um Analogien handelt und daß es nicht nur bei Menschen, sondern auch bei Begriffen gefährlich ist, sie aus der Sphäre zu reißen, in der sie entstanden und entwickelt worden sind. </w:t>
      </w:r>
      <w:r w:rsidRPr="00506316">
        <w:rPr>
          <w:rFonts w:ascii="Garamond" w:hAnsi="Garamond"/>
        </w:rPr>
        <w:t xml:space="preserve">Auch stößt die Diagnose der Gemeinschaftsneurosen auf eine besondere Schwierigkeit. Bei der Einzelneurose dient uns als nächster Anhalt der Kontrast, in dem sich der Kranke von seiner als »normal« angenommenen Umgebung abhebt. </w:t>
      </w:r>
      <w:r w:rsidRPr="00506316">
        <w:rPr>
          <w:rFonts w:ascii="Garamond" w:hAnsi="Garamond"/>
          <w:lang w:val="en-US"/>
        </w:rPr>
        <w:t>Ein solcher Hintergrund entfällt bei einer gleichartig affizierten Masse, er müßte anderswoher geholt werden. Und was die therapeutische Verwendung der Einsicht betrifft, was hülfe die zutreffendste Analyse der sozialen Neurose, da niemand die Autorität besitzt, der Masse die Therapie aufzudrängen? Trotz aller dieser Erschwerungen darf man erwarten, daß jemand eines Tages das Wagnis einer solchen Pathologie der kulturellen Gemeinschaften unternehmen wird.</w:t>
      </w:r>
    </w:p>
    <w:p w:rsidR="004E00C6" w:rsidRDefault="004E00C6" w:rsidP="004E00C6">
      <w:pPr>
        <w:pStyle w:val="Sansinterligne"/>
        <w:rPr>
          <w:rFonts w:ascii="Garamond" w:hAnsi="Garamond"/>
          <w:lang w:val="en-US"/>
        </w:rPr>
      </w:pPr>
    </w:p>
    <w:p w:rsidR="004E00C6" w:rsidRPr="00506316" w:rsidRDefault="004E00C6" w:rsidP="004E00C6">
      <w:pPr>
        <w:pStyle w:val="Sansinterligne"/>
        <w:rPr>
          <w:rFonts w:ascii="Garamond" w:hAnsi="Garamond"/>
          <w:lang w:val="en-US"/>
        </w:rPr>
      </w:pPr>
      <w:r w:rsidRPr="00506316">
        <w:rPr>
          <w:rFonts w:ascii="Garamond" w:hAnsi="Garamond"/>
          <w:lang w:val="en-US"/>
        </w:rPr>
        <w:t>[VIII. Schlussfolgerungen: Schicksalsfrage der Beherrschung des Agrresions- und Selbstvernichtungstriebs]</w:t>
      </w:r>
    </w:p>
    <w:p w:rsidR="004E00C6" w:rsidRPr="00506316" w:rsidRDefault="004E00C6" w:rsidP="004E00C6">
      <w:pPr>
        <w:pStyle w:val="Sansinterligne"/>
        <w:rPr>
          <w:rFonts w:ascii="Garamond" w:hAnsi="Garamond"/>
          <w:lang w:val="en-US"/>
        </w:rPr>
      </w:pPr>
    </w:p>
    <w:p w:rsidR="004E00C6" w:rsidRPr="00506316" w:rsidRDefault="004E00C6" w:rsidP="004E00C6">
      <w:pPr>
        <w:pStyle w:val="Sansinterligne"/>
        <w:rPr>
          <w:rFonts w:ascii="Garamond" w:hAnsi="Garamond"/>
          <w:lang w:val="en-US"/>
        </w:rPr>
      </w:pPr>
      <w:r w:rsidRPr="00506316">
        <w:rPr>
          <w:rFonts w:ascii="Garamond" w:hAnsi="Garamond"/>
          <w:lang w:val="en-US"/>
        </w:rPr>
        <w:t>Eine Wertung der menschlichen Kultur zu geben liegt mir aus den ver</w:t>
      </w:r>
      <w:r w:rsidRPr="00506316">
        <w:rPr>
          <w:rFonts w:ascii="Garamond" w:hAnsi="Garamond"/>
          <w:lang w:val="en-US"/>
        </w:rPr>
        <w:softHyphen/>
        <w:t xml:space="preserve">schiedensten Motiven sehr ferne. Ich habe mich bemüht, das enthusiastische Vorurteil von mir abzuhalten, unsere Kultur sei das Kostbarste, was wir besitzen oder erwerben können und ihr Weg müsse uns notwendigerweise zu Höhen ungeahnter Vollkommenheit führen. Ich kann wenigstens ohne Entrüstung den Kritiker anhören, der meint, wenn man die Ziele der Kulturstrebung und die Mittel, deren sie sich bedient, ins Auge faßt, müsse man zu dem Schlüsse kommen, die ganze Anstrengung sei nicht der Mühe wert und das Ergebnis könne nur ein Zustand sein, den der Einzelne unerträglich finden muß. Meine Unparteilichkeit wird mir dadurch leicht, daß ich über all diese Dinge sehr wenig weiß, mit Sicherheit nur das eine, daß die Werturteile der Menschen unbedingt von ihren Glückswünschen geleitet werden, also ein Versuch sind, ihre Illusionen mit Argumenten zu stützen. Ich verstünde es sehr wohl, wenn jemand den zwangsläufigen Charakter der </w:t>
      </w:r>
      <w:r w:rsidRPr="00506316">
        <w:rPr>
          <w:rFonts w:ascii="Garamond" w:hAnsi="Garamond"/>
          <w:lang w:val="en-US"/>
        </w:rPr>
        <w:lastRenderedPageBreak/>
        <w:t>menschlichen Kultur hervorheben und z. B. sagen würde, die Neigung zur Einschränkung des Sexuallebens oder zur Durchsetzung des Humanitäts</w:t>
      </w:r>
      <w:r w:rsidRPr="00506316">
        <w:rPr>
          <w:rFonts w:ascii="Garamond" w:hAnsi="Garamond"/>
          <w:lang w:val="en-US"/>
        </w:rPr>
        <w:softHyphen/>
        <w:t>ideals auf Kosten der natürlichen Auslese seien Entwicklungsrichtungen, die sich nicht abwenden und nicht ablenken lassen und denen man sich am besten beugt, wie wenn es Naturnotwendigkeiten wären. Ich kenne auch die Einwendung dagegen, daß solche Strebungen, die man für unüberwindbar hielt, oft im Laufe der Menschheitsgeschichte beiseite geworfen und durch andere ersetzt worden sind. So sinkt mir der Mut, vor meinen Mitmenschen als Prophet aufzustehen, und ich beuge mich ihrem Vorwurf, daß ich ihnen keinen Trost zu bringen weiß, denn das verlangen sie im Grunde alle, die wildesten Revolutionäre nicht weniger leidenschaftlich als die bravsten Frommgläubigen.</w:t>
      </w:r>
    </w:p>
    <w:p w:rsidR="004E00C6" w:rsidRPr="00F20BA5" w:rsidRDefault="004E00C6" w:rsidP="004E00C6">
      <w:pPr>
        <w:pStyle w:val="Sansinterligne"/>
        <w:rPr>
          <w:rFonts w:ascii="Garamond" w:hAnsi="Garamond"/>
          <w:lang w:val="en-US"/>
        </w:rPr>
      </w:pPr>
      <w:r w:rsidRPr="004E00C6">
        <w:rPr>
          <w:rFonts w:ascii="Garamond" w:hAnsi="Garamond"/>
          <w:lang w:val="en-US"/>
        </w:rPr>
        <w:t>Die Schicksalsfrage der Menschenart scheint mir zu sein, ob und in welchem Maße es ihrer Kulturentwicklung gelingen wird, der Störung des Zusammenlebens durch den menschlichen Aggressions- und Selbstvernich</w:t>
      </w:r>
      <w:r w:rsidRPr="004E00C6">
        <w:rPr>
          <w:rFonts w:ascii="Garamond" w:hAnsi="Garamond"/>
          <w:lang w:val="en-US"/>
        </w:rPr>
        <w:softHyphen/>
        <w:t xml:space="preserve">tungstrieb Herr zu werden. In diesem Bezug verdient vielleicht gerade die gegenwärtige Zeit ein besonderes Interesse. Die Menschen haben es jetzt in der Beherrschung der Naturkräfte so weit gebracht, daß sie es mit deren Hilfe leicht haben, einander bis auf den letzten Mann auszurotten. Sie wissen das, daher ein gut Stück ihrer gegenwärtigen Unruhe, ihres Unglücks, ihrer Angststimmung. Und nun ist zu erwarten, daß die andere der beiden »himmlischen Mächte«, der ewige Eros, eine Anstrengung machen wird, um sich im Kampf mit seinem ebenso unsterblichen Gegner zu behaupten. </w:t>
      </w:r>
      <w:r w:rsidRPr="00F20BA5">
        <w:rPr>
          <w:rFonts w:ascii="Garamond" w:hAnsi="Garamond"/>
          <w:lang w:val="en-US"/>
        </w:rPr>
        <w:t>Aber wer kann den Erfolg und Ausgang voraussehen?</w:t>
      </w:r>
    </w:p>
    <w:p w:rsidR="00646842" w:rsidRPr="00F20BA5" w:rsidRDefault="00646842" w:rsidP="004E00C6">
      <w:pPr>
        <w:pStyle w:val="Sansinterligne"/>
        <w:rPr>
          <w:rFonts w:ascii="Garamond" w:hAnsi="Garamond"/>
          <w:lang w:val="en-US"/>
        </w:rPr>
      </w:pPr>
    </w:p>
    <w:p w:rsidR="00646842" w:rsidRPr="00F20BA5" w:rsidRDefault="00646842">
      <w:pPr>
        <w:rPr>
          <w:rFonts w:ascii="Garamond" w:hAnsi="Garamond"/>
          <w:lang w:val="en-US"/>
        </w:rPr>
      </w:pPr>
      <w:r w:rsidRPr="00F20BA5">
        <w:rPr>
          <w:rFonts w:ascii="Garamond" w:hAnsi="Garamond"/>
          <w:lang w:val="en-US"/>
        </w:rPr>
        <w:br w:type="page"/>
      </w:r>
    </w:p>
    <w:p w:rsidR="00646842" w:rsidRPr="00F20BA5" w:rsidRDefault="00646842" w:rsidP="00646842">
      <w:pPr>
        <w:rPr>
          <w:rFonts w:ascii="Garamond" w:hAnsi="Garamond"/>
          <w:lang w:val="en-US"/>
        </w:rPr>
      </w:pPr>
    </w:p>
    <w:p w:rsidR="00646842" w:rsidRPr="00F20BA5" w:rsidRDefault="00646842" w:rsidP="00646842">
      <w:pPr>
        <w:rPr>
          <w:rFonts w:ascii="Garamond" w:hAnsi="Garamond"/>
          <w:sz w:val="28"/>
          <w:szCs w:val="28"/>
          <w:lang w:val="en-US"/>
        </w:rPr>
      </w:pPr>
      <w:r w:rsidRPr="00F20BA5">
        <w:rPr>
          <w:rFonts w:ascii="Garamond" w:hAnsi="Garamond"/>
          <w:sz w:val="28"/>
          <w:szCs w:val="28"/>
          <w:lang w:val="en-US"/>
        </w:rPr>
        <w:t>Dr</w:t>
      </w:r>
      <w:bookmarkStart w:id="259" w:name="F69"/>
      <w:bookmarkEnd w:id="259"/>
      <w:r w:rsidRPr="00F20BA5">
        <w:rPr>
          <w:rFonts w:ascii="Garamond" w:hAnsi="Garamond"/>
          <w:sz w:val="28"/>
          <w:szCs w:val="28"/>
          <w:lang w:val="en-US"/>
        </w:rPr>
        <w:t xml:space="preserve">ei Abhandlungen zur Sexualtheorie  1905                                               </w:t>
      </w:r>
      <w:hyperlink w:anchor="Werke" w:history="1">
        <w:r w:rsidRPr="0018684C">
          <w:rPr>
            <w:rStyle w:val="Lienhypertexte"/>
            <w:rFonts w:ascii="Garamond" w:hAnsi="Garamond"/>
            <w:lang w:val="en-US"/>
          </w:rPr>
          <w:t>Werke</w:t>
        </w:r>
      </w:hyperlink>
    </w:p>
    <w:p w:rsidR="00646842" w:rsidRPr="00F20BA5" w:rsidRDefault="00646842" w:rsidP="00646842">
      <w:pPr>
        <w:rPr>
          <w:rFonts w:ascii="Garamond" w:hAnsi="Garamond"/>
          <w:sz w:val="28"/>
          <w:szCs w:val="28"/>
          <w:lang w:val="en-US"/>
        </w:rPr>
      </w:pPr>
    </w:p>
    <w:p w:rsidR="00646842" w:rsidRPr="00866B42" w:rsidRDefault="00646842" w:rsidP="00646842">
      <w:pPr>
        <w:rPr>
          <w:rFonts w:ascii="Garamond" w:hAnsi="Garamond"/>
          <w:sz w:val="28"/>
          <w:szCs w:val="28"/>
        </w:rPr>
      </w:pPr>
      <w:r w:rsidRPr="00866B42">
        <w:rPr>
          <w:rFonts w:ascii="Garamond" w:hAnsi="Garamond"/>
          <w:sz w:val="28"/>
          <w:szCs w:val="28"/>
        </w:rPr>
        <w:t>In</w:t>
      </w:r>
      <w:bookmarkStart w:id="260" w:name="Drei_Abhandlungen_Inhalt"/>
      <w:bookmarkEnd w:id="260"/>
      <w:r w:rsidRPr="00866B42">
        <w:rPr>
          <w:rFonts w:ascii="Garamond" w:hAnsi="Garamond"/>
          <w:sz w:val="28"/>
          <w:szCs w:val="28"/>
        </w:rPr>
        <w:t>halt</w:t>
      </w:r>
    </w:p>
    <w:p w:rsidR="00646842" w:rsidRPr="00866B42" w:rsidRDefault="00646842" w:rsidP="00646842">
      <w:pPr>
        <w:rPr>
          <w:rFonts w:ascii="Garamond" w:hAnsi="Garamond"/>
          <w:sz w:val="28"/>
          <w:szCs w:val="28"/>
        </w:rPr>
      </w:pPr>
    </w:p>
    <w:p w:rsidR="00646842" w:rsidRPr="00985EE8" w:rsidRDefault="00B437A1" w:rsidP="00985EE8">
      <w:pPr>
        <w:pStyle w:val="Sansinterligne"/>
        <w:rPr>
          <w:rFonts w:ascii="Garamond" w:hAnsi="Garamond"/>
        </w:rPr>
      </w:pPr>
      <w:hyperlink w:anchor="Drei_Abhandlungen_Vorworte" w:history="1">
        <w:r w:rsidR="00646842" w:rsidRPr="00985EE8">
          <w:rPr>
            <w:rStyle w:val="Lienhypertexte"/>
            <w:rFonts w:ascii="Garamond" w:hAnsi="Garamond"/>
          </w:rPr>
          <w:t>Vorworte</w:t>
        </w:r>
      </w:hyperlink>
    </w:p>
    <w:p w:rsidR="00646842" w:rsidRPr="00985EE8" w:rsidRDefault="00646842" w:rsidP="00985EE8">
      <w:pPr>
        <w:pStyle w:val="Sansinterligne"/>
        <w:rPr>
          <w:rFonts w:ascii="Garamond" w:hAnsi="Garamond"/>
        </w:rPr>
      </w:pPr>
    </w:p>
    <w:p w:rsidR="00646842" w:rsidRPr="00985EE8" w:rsidRDefault="00B437A1" w:rsidP="00985EE8">
      <w:pPr>
        <w:pStyle w:val="Sansinterligne"/>
        <w:rPr>
          <w:rFonts w:ascii="Garamond" w:hAnsi="Garamond"/>
        </w:rPr>
      </w:pPr>
      <w:hyperlink w:anchor="Drei_Abhandlungen_1" w:history="1">
        <w:r w:rsidR="00646842" w:rsidRPr="00985EE8">
          <w:rPr>
            <w:rStyle w:val="Lienhypertexte"/>
            <w:rFonts w:ascii="Garamond" w:hAnsi="Garamond"/>
          </w:rPr>
          <w:t>I. Die sexuellen Abirrungen</w:t>
        </w:r>
      </w:hyperlink>
    </w:p>
    <w:p w:rsidR="00646842" w:rsidRPr="00985EE8" w:rsidRDefault="00646842" w:rsidP="00985EE8">
      <w:pPr>
        <w:pStyle w:val="Sansinterligne"/>
        <w:rPr>
          <w:rFonts w:ascii="Garamond" w:hAnsi="Garamond"/>
        </w:rPr>
      </w:pPr>
    </w:p>
    <w:p w:rsidR="00646842" w:rsidRPr="00985EE8" w:rsidRDefault="00B437A1" w:rsidP="00985EE8">
      <w:pPr>
        <w:pStyle w:val="Sansinterligne"/>
        <w:rPr>
          <w:rFonts w:ascii="Garamond" w:hAnsi="Garamond"/>
        </w:rPr>
      </w:pPr>
      <w:hyperlink w:anchor="Drei_Abhandlungen_2" w:history="1">
        <w:r w:rsidR="00646842" w:rsidRPr="00985EE8">
          <w:rPr>
            <w:rStyle w:val="Lienhypertexte"/>
            <w:rFonts w:ascii="Garamond" w:hAnsi="Garamond"/>
          </w:rPr>
          <w:t>II. Die infantile Sexualität</w:t>
        </w:r>
      </w:hyperlink>
    </w:p>
    <w:p w:rsidR="00646842" w:rsidRPr="00985EE8" w:rsidRDefault="00646842" w:rsidP="00985EE8">
      <w:pPr>
        <w:pStyle w:val="Sansinterligne"/>
        <w:rPr>
          <w:rFonts w:ascii="Garamond" w:hAnsi="Garamond"/>
        </w:rPr>
      </w:pPr>
    </w:p>
    <w:p w:rsidR="00646842" w:rsidRPr="00866B42" w:rsidRDefault="00B437A1" w:rsidP="00985EE8">
      <w:pPr>
        <w:pStyle w:val="Sansinterligne"/>
        <w:rPr>
          <w:rFonts w:ascii="Garamond" w:hAnsi="Garamond"/>
          <w:sz w:val="28"/>
          <w:szCs w:val="28"/>
        </w:rPr>
      </w:pPr>
      <w:hyperlink w:anchor="Drei_Abhandlungen_3" w:history="1">
        <w:r w:rsidR="00646842" w:rsidRPr="00F20BA5">
          <w:rPr>
            <w:rStyle w:val="Lienhypertexte"/>
            <w:rFonts w:ascii="Garamond" w:hAnsi="Garamond"/>
          </w:rPr>
          <w:t>III. Die Umgestaltung der Pubertät</w:t>
        </w:r>
      </w:hyperlink>
    </w:p>
    <w:p w:rsidR="00646842" w:rsidRPr="00866B42" w:rsidRDefault="00646842" w:rsidP="00646842">
      <w:pPr>
        <w:rPr>
          <w:rFonts w:ascii="Garamond" w:hAnsi="Garamond"/>
        </w:rPr>
      </w:pPr>
    </w:p>
    <w:p w:rsidR="00646842" w:rsidRPr="00866B42" w:rsidRDefault="00646842" w:rsidP="00646842">
      <w:pPr>
        <w:rPr>
          <w:rFonts w:ascii="Garamond" w:hAnsi="Garamond"/>
        </w:rPr>
      </w:pPr>
    </w:p>
    <w:p w:rsidR="00646842" w:rsidRPr="00866B42" w:rsidRDefault="00646842" w:rsidP="00646842">
      <w:pPr>
        <w:rPr>
          <w:rFonts w:ascii="Garamond" w:hAnsi="Garamond"/>
        </w:rPr>
      </w:pPr>
    </w:p>
    <w:p w:rsidR="00646842" w:rsidRPr="00F20BA5" w:rsidRDefault="00646842" w:rsidP="00646842">
      <w:pPr>
        <w:rPr>
          <w:rFonts w:ascii="Garamond" w:hAnsi="Garamond"/>
          <w:color w:val="F38030"/>
        </w:rPr>
      </w:pPr>
    </w:p>
    <w:p w:rsidR="00646842" w:rsidRPr="00866B42" w:rsidRDefault="00646842" w:rsidP="00646842">
      <w:pPr>
        <w:rPr>
          <w:rFonts w:ascii="Garamond" w:hAnsi="Garamond"/>
        </w:rPr>
      </w:pPr>
    </w:p>
    <w:p w:rsidR="00646842" w:rsidRPr="00866B42" w:rsidRDefault="00646842" w:rsidP="00646842">
      <w:pPr>
        <w:rPr>
          <w:rFonts w:ascii="Garamond" w:hAnsi="Garamond"/>
        </w:rPr>
      </w:pPr>
    </w:p>
    <w:p w:rsidR="00646842" w:rsidRPr="00866B42" w:rsidRDefault="00646842" w:rsidP="00646842">
      <w:pPr>
        <w:rPr>
          <w:rFonts w:ascii="Garamond" w:hAnsi="Garamond"/>
        </w:rPr>
      </w:pPr>
    </w:p>
    <w:p w:rsidR="00646842" w:rsidRPr="00866B42" w:rsidRDefault="00646842" w:rsidP="00646842">
      <w:pPr>
        <w:rPr>
          <w:rFonts w:ascii="Garamond" w:hAnsi="Garamond"/>
        </w:rPr>
      </w:pPr>
    </w:p>
    <w:p w:rsidR="00646842" w:rsidRPr="00866B42" w:rsidRDefault="00646842" w:rsidP="00646842">
      <w:pPr>
        <w:rPr>
          <w:rFonts w:ascii="Garamond" w:hAnsi="Garamond"/>
        </w:rPr>
      </w:pPr>
      <w:r w:rsidRPr="00866B42">
        <w:rPr>
          <w:rFonts w:ascii="Garamond" w:hAnsi="Garamond"/>
        </w:rPr>
        <w:br w:type="page"/>
      </w:r>
      <w:hyperlink w:anchor="Drei_Abhandlungen_Inhalt" w:history="1">
        <w:r w:rsidRPr="00866B42">
          <w:rPr>
            <w:rStyle w:val="Lienhypertexte"/>
            <w:rFonts w:ascii="Garamond" w:hAnsi="Garamond"/>
          </w:rPr>
          <w:t>Vo</w:t>
        </w:r>
        <w:bookmarkStart w:id="261" w:name="Drei_Abhandlungen_Vorworte"/>
        <w:bookmarkEnd w:id="261"/>
        <w:r w:rsidRPr="00866B42">
          <w:rPr>
            <w:rStyle w:val="Lienhypertexte"/>
            <w:rFonts w:ascii="Garamond" w:hAnsi="Garamond"/>
          </w:rPr>
          <w:t>rworte</w:t>
        </w:r>
      </w:hyperlink>
    </w:p>
    <w:p w:rsidR="00646842" w:rsidRPr="00866B42" w:rsidRDefault="00646842" w:rsidP="00646842">
      <w:pPr>
        <w:rPr>
          <w:rFonts w:ascii="Garamond" w:hAnsi="Garamond"/>
        </w:rPr>
      </w:pPr>
    </w:p>
    <w:p w:rsidR="00646842" w:rsidRPr="00866B42" w:rsidRDefault="00646842" w:rsidP="00646842">
      <w:pPr>
        <w:rPr>
          <w:rFonts w:ascii="Garamond" w:hAnsi="Garamond"/>
        </w:rPr>
      </w:pPr>
      <w:r w:rsidRPr="00866B42">
        <w:rPr>
          <w:rFonts w:ascii="Garamond" w:hAnsi="Garamond"/>
        </w:rPr>
        <w:t>Vorwort zur zweiten Auflage</w:t>
      </w:r>
    </w:p>
    <w:p w:rsidR="00646842" w:rsidRPr="00866B42" w:rsidRDefault="00646842" w:rsidP="00646842">
      <w:pPr>
        <w:rPr>
          <w:rFonts w:ascii="Garamond" w:hAnsi="Garamond"/>
        </w:rPr>
      </w:pPr>
      <w:r w:rsidRPr="00866B42">
        <w:rPr>
          <w:rFonts w:ascii="Garamond" w:hAnsi="Garamond"/>
        </w:rPr>
        <w:t xml:space="preserve">Der Verfasser, der sich über die Lücken und Dunkelheiten dieser kleinen Schrift nicht täuscht, hat doch der Versuchung widerstanden, die Forschungsergebnisse der letzten fünf Jahre in sie einzutragen und dabei ihren einheitlichen dokumentarischen Charakter zu zerstören. </w:t>
      </w:r>
      <w:r w:rsidRPr="00866B42">
        <w:rPr>
          <w:rFonts w:ascii="Garamond" w:hAnsi="Garamond"/>
          <w:lang w:val="en-GB"/>
        </w:rPr>
        <w:t xml:space="preserve">Er bringt also den ursprünglichen Wortlaut mit geringen Abänderungen wieder und begnügt sich mit dem Zusätze einiger Fußnoten, die sich von den älteren Anmerkungen durch das vorgesetzte Zeichen * unterscheiden </w:t>
      </w:r>
      <w:hyperlink r:id="rId1363"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[Die Sternchen sind in allen folgenden Auflagen wieder weggefallen.]</w:t>
        </w:r>
      </w:hyperlink>
      <w:r w:rsidRPr="00866B42">
        <w:rPr>
          <w:rFonts w:ascii="Garamond" w:hAnsi="Garamond"/>
        </w:rPr>
        <w:t>. Im übrigen ist es sein sehnlicher Wunsch, daß dieses Buch rasch veralten möge, indem das Neue, was es einst gebracht, allgemein angenommen und das Unzulängliche, das sich in ihm findet, durch Richtigeres ersetzt wird.</w:t>
      </w:r>
    </w:p>
    <w:p w:rsidR="00646842" w:rsidRDefault="00646842" w:rsidP="00646842">
      <w:pPr>
        <w:rPr>
          <w:rFonts w:ascii="Garamond" w:hAnsi="Garamond"/>
          <w:lang w:val="en-GB"/>
        </w:rPr>
      </w:pPr>
      <w:r w:rsidRPr="00866B42">
        <w:rPr>
          <w:rFonts w:ascii="Garamond" w:hAnsi="Garamond"/>
          <w:lang w:val="en-GB"/>
        </w:rPr>
        <w:t>Wien, im Dezember 1909.</w:t>
      </w:r>
    </w:p>
    <w:p w:rsidR="00646842" w:rsidRPr="00866B42" w:rsidRDefault="00646842" w:rsidP="00646842">
      <w:pPr>
        <w:rPr>
          <w:rFonts w:ascii="Garamond" w:hAnsi="Garamond"/>
          <w:lang w:val="en-GB"/>
        </w:rPr>
      </w:pPr>
    </w:p>
    <w:p w:rsidR="00646842" w:rsidRPr="00866B42" w:rsidRDefault="00646842" w:rsidP="00646842">
      <w:pPr>
        <w:rPr>
          <w:rFonts w:ascii="Garamond" w:hAnsi="Garamond"/>
          <w:lang w:val="en-GB"/>
        </w:rPr>
      </w:pPr>
      <w:r w:rsidRPr="00866B42">
        <w:rPr>
          <w:rFonts w:ascii="Garamond" w:hAnsi="Garamond"/>
          <w:lang w:val="en-GB"/>
        </w:rPr>
        <w:t>Vorwort zur dritten Auflage</w:t>
      </w:r>
    </w:p>
    <w:p w:rsidR="00646842" w:rsidRPr="00866B42" w:rsidRDefault="00646842" w:rsidP="00646842">
      <w:pPr>
        <w:rPr>
          <w:rFonts w:ascii="Garamond" w:hAnsi="Garamond"/>
          <w:lang w:val="en-GB"/>
        </w:rPr>
      </w:pPr>
      <w:r w:rsidRPr="00866B42">
        <w:rPr>
          <w:rFonts w:ascii="Garamond" w:hAnsi="Garamond"/>
          <w:lang w:val="en-GB"/>
        </w:rPr>
        <w:t xml:space="preserve">Nachdem ich durch ein Jahrzehnt Aufnahme und Wirkung dieses Buches beobachtet, möchte ich dessen dritte Auflage mit einigen Vorbemerkungen versehen, die gegen Mißverständnisse und unerfüllbare Ansprüche an dasselbe gerichtet sind. Es sei also vor allem betont, daß die Darstellung hierin durchweg von der alltäglichen ärztlichen Erfahrung ausgeht, welche durch die Ergebnisse der psychoanalytischen Untersuchung vertieft und wissenschaftlich bedeutsam gemacht werden soll. Die drei </w:t>
      </w:r>
      <w:r w:rsidRPr="00866B42">
        <w:rPr>
          <w:rFonts w:ascii="Garamond" w:hAnsi="Garamond"/>
          <w:i/>
          <w:iCs/>
          <w:lang w:val="en-GB"/>
        </w:rPr>
        <w:t>Abhandlungen zur Sexualtheorie</w:t>
      </w:r>
      <w:r w:rsidRPr="00866B42">
        <w:rPr>
          <w:rFonts w:ascii="Garamond" w:hAnsi="Garamond"/>
          <w:lang w:val="en-GB"/>
        </w:rPr>
        <w:t xml:space="preserve"> können nichts anderes enthalten, als was die Psychoanalyse anzunehmen nötigt oder zu bestätigen gestattet. Es ist darum ausgeschlossen, daß sie sich jemals zu einer »Sexualtheorie« erweitern ließen, und begreiflich, daß sie zu manchen wichtigen Problemen des Sexuallebens überhaupt nicht Stellung nehmen. Man wolle aber darum nicht glauben, daß diese übergangenen Kapitel des großen Themas dem Autor unbekannt geblieben sind oder von ihm als nebensächlich vernachlässigt wurden.</w:t>
      </w:r>
    </w:p>
    <w:p w:rsidR="00646842" w:rsidRPr="00866B42" w:rsidRDefault="00646842" w:rsidP="00646842">
      <w:pPr>
        <w:rPr>
          <w:rFonts w:ascii="Garamond" w:hAnsi="Garamond"/>
          <w:lang w:val="en-GB"/>
        </w:rPr>
      </w:pPr>
      <w:r w:rsidRPr="00866B42">
        <w:rPr>
          <w:rFonts w:ascii="Garamond" w:hAnsi="Garamond"/>
          <w:lang w:val="en-GB"/>
        </w:rPr>
        <w:t>Die Abhängigkeit dieser Schrift von den psychoanalytischen Erfahrungen, die zu ihrer Abfassung angeregt haben, zeigt sich aber nicht nur in der Auswahl, sondern auch in der Anordnung des Stoffes. Überall wird ein gewisser Instanzenzug eingehalten, werden die akzidentellen Momente vorangestellt, die dispositionellen im Hintergrunde gelassen und wird die ontogenetische Entwicklung vor der phylogenetischen berücksichtigt. Das Akzidentelle spielt nämlich die Hauptrolle in der Analyse, es wird durch sie fast restlos bewältigt; das Dispositionelle kommt erst hinter ihm zum Vorschein als etwas, was durch das Erleben geweckt wird, dessen Würdigung aber weit über das Arbeitsgebiet der Psychoanalyse hinausführt.</w:t>
      </w:r>
    </w:p>
    <w:p w:rsidR="00646842" w:rsidRPr="00866B42" w:rsidRDefault="00646842" w:rsidP="00646842">
      <w:pPr>
        <w:rPr>
          <w:rFonts w:ascii="Garamond" w:hAnsi="Garamond"/>
          <w:lang w:val="en-GB"/>
        </w:rPr>
      </w:pPr>
      <w:r w:rsidRPr="00866B42">
        <w:rPr>
          <w:rFonts w:ascii="Garamond" w:hAnsi="Garamond"/>
          <w:lang w:val="en-GB"/>
        </w:rPr>
        <w:t>Ein ähnliches Verhältnis beherrscht die Relation zwischen Onto- und Phylogenese. Die Ontogenese kann als eine Wiederholung der Phylogenese angesehen werden, soweit diese nicht durch ein rezenteres Erleben abgeändert wird. Die phylogenetische Anlage macht sich hinter dem ontogenetischen Vorgang bemerkbar. Im Grunde aber ist die Disposition eben der Niederschlag eines früheren Erlebens der Art, zu welchem das neuere Erleben des Einzelwesens als Summe der akzidentellen Momente hinzukommt.</w:t>
      </w:r>
    </w:p>
    <w:p w:rsidR="00646842" w:rsidRPr="00866B42" w:rsidRDefault="00646842" w:rsidP="00646842">
      <w:pPr>
        <w:rPr>
          <w:rFonts w:ascii="Garamond" w:hAnsi="Garamond"/>
          <w:lang w:val="en-GB"/>
        </w:rPr>
      </w:pPr>
      <w:r w:rsidRPr="00866B42">
        <w:rPr>
          <w:rFonts w:ascii="Garamond" w:hAnsi="Garamond"/>
          <w:lang w:val="en-GB"/>
        </w:rPr>
        <w:t xml:space="preserve">Neben der durchgängigen Abhängigkeit von der psychoanalytischen Forschung muß ich die vorsätzliche Unabhängigkeit von der biologischen Forschung als Charakter dieser meiner Arbeit hervorheben. Ich habe es sorgfältig vermieden, wissenschaftliche Erwartungen aus der allgemeinen Sexualbiologie oder aus der spezieller Tierarten in das Studium einzutragen, welches uns an der Sexualfunktion des Menschen durch die Technik der Psychoanalyse ermöglicht wird. Mein Ziel war allerdings zu erkunden, wieviel zur </w:t>
      </w:r>
      <w:r w:rsidRPr="00866B42">
        <w:rPr>
          <w:rFonts w:ascii="Garamond" w:hAnsi="Garamond"/>
          <w:lang w:val="en-GB"/>
        </w:rPr>
        <w:lastRenderedPageBreak/>
        <w:t>Biologie des menschlichen Sexuallebens mit den Mitteln der psychologischen Erforschung zu erraten ist; ich durfte auf Anschlüsse und Übereinstimmungen hinweisen, die sich bei dieser Untersuchung ergaben, aber ich brauchte mich nicht beirren zu lassen, wenn die psychoanalytische Methode in manchen wichtigen Punkten zu Ansichten und Ergebnissen führte, die von den bloß biologisch gestützten erheblich abwichen.</w:t>
      </w:r>
    </w:p>
    <w:p w:rsidR="00646842" w:rsidRPr="00866B42" w:rsidRDefault="00646842" w:rsidP="00646842">
      <w:pPr>
        <w:rPr>
          <w:rFonts w:ascii="Garamond" w:hAnsi="Garamond"/>
          <w:lang w:val="en-GB"/>
        </w:rPr>
      </w:pPr>
      <w:r w:rsidRPr="00866B42">
        <w:rPr>
          <w:rFonts w:ascii="Garamond" w:hAnsi="Garamond"/>
          <w:lang w:val="en-GB"/>
        </w:rPr>
        <w:t xml:space="preserve">Ich habe in dieser dritten Auflage reichliche Einschaltungen vorgenommen, aber darauf verzichtet, dieselben wie in der vorigen Auflage durch besondere Zeichen kenntlich zu machen. – Die wissenschaftliche Arbeit auf unserem Gebiete hat gegenwärtig ihre Fortschritte verlangsamt, doch waren gewisse Ergänzungen dieser Schrift unentbehrlich, wenn sie mit der neueren psychoanalytischen Literatur in Fühlung bleiben sollte </w:t>
      </w:r>
      <w:hyperlink r:id="rId1364"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Nach der zweiten Auflage (1910) hat im gleichen Jahr A. A. Brill in New York eine englische, 1911 N. Ossipow in Moskau eine russische Übersetzung veröffentlicht.</w:t>
        </w:r>
      </w:hyperlink>
      <w:r w:rsidRPr="00866B42">
        <w:rPr>
          <w:rFonts w:ascii="Garamond" w:hAnsi="Garamond"/>
          <w:lang w:val="en-GB"/>
        </w:rPr>
        <w:t>.</w:t>
      </w:r>
    </w:p>
    <w:p w:rsidR="00646842" w:rsidRPr="00866B42" w:rsidRDefault="00646842" w:rsidP="00646842">
      <w:pPr>
        <w:rPr>
          <w:rFonts w:ascii="Garamond" w:hAnsi="Garamond"/>
        </w:rPr>
      </w:pPr>
      <w:r w:rsidRPr="00866B42">
        <w:rPr>
          <w:rFonts w:ascii="Garamond" w:hAnsi="Garamond"/>
        </w:rPr>
        <w:t>Wien, im Oktober 1914.</w:t>
      </w:r>
    </w:p>
    <w:p w:rsidR="00646842" w:rsidRPr="00866B42" w:rsidRDefault="00646842" w:rsidP="00646842">
      <w:pPr>
        <w:rPr>
          <w:rFonts w:ascii="Garamond" w:hAnsi="Garamond"/>
        </w:rPr>
      </w:pPr>
    </w:p>
    <w:p w:rsidR="00646842" w:rsidRPr="00866B42" w:rsidRDefault="00646842" w:rsidP="00646842">
      <w:pPr>
        <w:rPr>
          <w:rFonts w:ascii="Garamond" w:hAnsi="Garamond"/>
        </w:rPr>
      </w:pPr>
      <w:r w:rsidRPr="00866B42">
        <w:rPr>
          <w:rFonts w:ascii="Garamond" w:hAnsi="Garamond"/>
        </w:rPr>
        <w:t>Vorwort zur vierten Auflage</w:t>
      </w:r>
    </w:p>
    <w:p w:rsidR="00646842" w:rsidRPr="00866B42" w:rsidRDefault="00646842" w:rsidP="00646842">
      <w:pPr>
        <w:rPr>
          <w:rFonts w:ascii="Garamond" w:hAnsi="Garamond"/>
        </w:rPr>
      </w:pPr>
      <w:r w:rsidRPr="00866B42">
        <w:rPr>
          <w:rFonts w:ascii="Garamond" w:hAnsi="Garamond"/>
          <w:lang w:val="en-GB"/>
        </w:rPr>
        <w:t xml:space="preserve">Nachdem die Fluten der Kriegszeit sich verzogen haben, darf man mit Befriedigung feststellen, daß das Interesse für die psychoanalytische Forschung in der großen Welt ungeschädigt geblieben ist. </w:t>
      </w:r>
      <w:r w:rsidRPr="00866B42">
        <w:rPr>
          <w:rFonts w:ascii="Garamond" w:hAnsi="Garamond"/>
        </w:rPr>
        <w:t>Doch haben nicht alle Teile der Lehre das gleiche Schicksal erfahren. Die rein psychologischen Aufstellungen und Ermittlungen der Psychoanalyse über das Unbewußte, die Verdrängung, den Konflikt, der zur Krankheit führt, den Krankheitsgewinn, die Mechanismen der Symptombildung u. a. erfreuen sich wachsender Anerkennung und finden selbst bei prinzipiellen Gegnern Beachtung. Das an die Biologie angrenzende Stück der Lehre, dessen Grundlage in dieser kleinen Schrift gegeben wird, ruft noch immer unverminderten Widerspruch hervor und hat selbst Personen, die sich eine Zeitlang intensiv mit der Psychoanalyse beschäftigt hatten, zum Abfall von ihr und zu neuen Auffassungen bewogen, durch welche die Rolle des sexuellen Moments für das normale und krankhafte Seelenleben wieder eingeschränkt werden sollte.</w:t>
      </w:r>
    </w:p>
    <w:p w:rsidR="00646842" w:rsidRPr="00866B42" w:rsidRDefault="00646842" w:rsidP="00646842">
      <w:pPr>
        <w:rPr>
          <w:rFonts w:ascii="Garamond" w:hAnsi="Garamond"/>
        </w:rPr>
      </w:pPr>
      <w:r w:rsidRPr="00866B42">
        <w:rPr>
          <w:rFonts w:ascii="Garamond" w:hAnsi="Garamond"/>
        </w:rPr>
        <w:t>Ich kann mich trotzdem nicht zur Annahme entschließen, daß dieser Teil der psychoanalytischen Lehre sich von der zu erratenden Wirklichkeit viel weiter entfernen könnte als der andere. Erinnerung und immer wieder von neuem wiederholte Prüfung sagen mir, daß er aus ebenso sorgfältiger und erwartungsloser Beobachtung hervorgegangen ist, und die Erklärung jener Dissoziation in der öffentlichen Anerkennung bereitet keine Schwierigkeiten. Erstens können nur solche Forscher die hier beschriebenen Anfänge des menschlichen Sexuallebens bestätigen, die Geduld und technisches Geschick genug besitzen, um die Analyse bis in die ersten Kindheitsjahre des Patienten vorzutragen. Es fehlt häufig auch an der Möglichkeit hiezu, da das ärztliche Handeln eine scheinbar raschere Erledigung des Krankheitsfalles verlangt. Andere aber als Ärzte, welche die Psychoanalyse üben, haben überhaupt keinen Zugang zu diesem Gebiet und keine Möglichkeit, sich ein Urteil zu bilden, das der Beeinflussung durch ihre eigenen Abneigungen und Vorurteile entzogen wäre. Verstünden es die Menschen, aus der direkten Beobachtung der Kinder zu lernen, so hätten diese drei Abhandlungen überhaupt ungeschrieben bleiben können.</w:t>
      </w:r>
    </w:p>
    <w:p w:rsidR="00646842" w:rsidRPr="00866B42" w:rsidRDefault="00646842" w:rsidP="00646842">
      <w:pPr>
        <w:rPr>
          <w:rFonts w:ascii="Garamond" w:hAnsi="Garamond"/>
          <w:lang w:val="en-GB"/>
        </w:rPr>
      </w:pPr>
      <w:r w:rsidRPr="00866B42">
        <w:rPr>
          <w:rFonts w:ascii="Garamond" w:hAnsi="Garamond"/>
        </w:rPr>
        <w:t xml:space="preserve">Dann aber muß man sich daran erinnern, daß einiges vom Inhalt dieser Schrift, die Betonung der Bedeutung des Sexuallebens für alle menschlichen Leistungen und die hier versuchte Erweiterung des Begriffes der Sexualität, von jeher die stärksten Motive für den Widerstand gegen die Psychoanalyse abgegeben hat. In dem Bedürfnis nach volltönenden Schlagworten ist man so weit gegangen, von dem »Pansexualismus« der Psychoanalyse zu reden und ihr den unsinnigen Vorwurf zu machen, sie erkläre »alles« aus der Sexualität. </w:t>
      </w:r>
      <w:r w:rsidRPr="00866B42">
        <w:rPr>
          <w:rFonts w:ascii="Garamond" w:hAnsi="Garamond"/>
          <w:lang w:val="en-GB"/>
        </w:rPr>
        <w:t xml:space="preserve">Man könnte sich darüber verwundern, wenn man imstande wäre, an die </w:t>
      </w:r>
      <w:r w:rsidRPr="00866B42">
        <w:rPr>
          <w:rFonts w:ascii="Garamond" w:hAnsi="Garamond"/>
          <w:lang w:val="en-GB"/>
        </w:rPr>
        <w:lastRenderedPageBreak/>
        <w:t xml:space="preserve">verwirrende und vergeßlich machende Wirkung affektiver Momente selbst zu vergessen. Denn der Philosoph Arthur Schopenhauer hat bereits vor geraumer Zeit den Menschen vorgehalten, in welchem Maß ihr Tun und Trachten durch sexuelle Strebungen – im gewohnten Sinne des Wortes – bestimmt wird, und eine Welt von Lesern sollte doch unfähig gewesen sein, sich eine so packende Mahnung so völlig aus dem Sinne zu schlagen! Was aber die »Ausdehnung« des Begriffes der Sexualität betrifft, die durch die Analyse von Kindern und von sogenannten Perversen notwendig wird, so mögen alle, die von ihrem höheren Standpunkt verächtlich auf die Psychoanalyse herabschauen, sich erinnern lassen, wie nahe die erweiterte Sexualität der Psychoanalyse mit dem </w:t>
      </w:r>
      <w:r w:rsidRPr="00866B42">
        <w:rPr>
          <w:rFonts w:ascii="Garamond" w:hAnsi="Garamond"/>
          <w:i/>
          <w:iCs/>
          <w:lang w:val="en-GB"/>
        </w:rPr>
        <w:t>Eros</w:t>
      </w:r>
      <w:r w:rsidRPr="00866B42">
        <w:rPr>
          <w:rFonts w:ascii="Garamond" w:hAnsi="Garamond"/>
          <w:lang w:val="en-GB"/>
        </w:rPr>
        <w:t xml:space="preserve"> des göttlichen Plato zusammentrifft. (S. Nachmansohn, 1915.)</w:t>
      </w:r>
    </w:p>
    <w:p w:rsidR="00646842" w:rsidRPr="00866B42" w:rsidRDefault="00646842" w:rsidP="00646842">
      <w:pPr>
        <w:rPr>
          <w:rFonts w:ascii="Garamond" w:hAnsi="Garamond"/>
          <w:lang w:val="en-GB"/>
        </w:rPr>
      </w:pPr>
      <w:r w:rsidRPr="00866B42">
        <w:rPr>
          <w:rFonts w:ascii="Garamond" w:hAnsi="Garamond"/>
          <w:lang w:val="en-GB"/>
        </w:rPr>
        <w:t>Wien, im Mai 1920</w:t>
      </w:r>
    </w:p>
    <w:p w:rsidR="00646842" w:rsidRPr="00866B42" w:rsidRDefault="00646842" w:rsidP="00646842">
      <w:pPr>
        <w:rPr>
          <w:rFonts w:ascii="Garamond" w:hAnsi="Garamond"/>
          <w:color w:val="F38030"/>
          <w:lang w:val="en-GB"/>
        </w:rPr>
      </w:pPr>
      <w:r w:rsidRPr="00866B42">
        <w:rPr>
          <w:rFonts w:ascii="Garamond" w:hAnsi="Garamond"/>
          <w:color w:val="F38030"/>
          <w:lang w:val="en-GB"/>
        </w:rPr>
        <w:br w:type="page"/>
      </w:r>
      <w:hyperlink w:anchor="Drei_Abhandlungen_Inhalt" w:history="1">
        <w:r w:rsidRPr="00866B42">
          <w:rPr>
            <w:rStyle w:val="Lienhypertexte"/>
            <w:rFonts w:ascii="Garamond" w:hAnsi="Garamond"/>
            <w:lang w:val="en-GB"/>
          </w:rPr>
          <w:t>I. Di</w:t>
        </w:r>
        <w:bookmarkStart w:id="262" w:name="Drei_Abhandlungen_1"/>
        <w:bookmarkEnd w:id="262"/>
        <w:r w:rsidRPr="00866B42">
          <w:rPr>
            <w:rStyle w:val="Lienhypertexte"/>
            <w:rFonts w:ascii="Garamond" w:hAnsi="Garamond"/>
            <w:lang w:val="en-GB"/>
          </w:rPr>
          <w:t>e sexuellen Abirrungen</w:t>
        </w:r>
      </w:hyperlink>
      <w:r w:rsidRPr="00866B42">
        <w:rPr>
          <w:rFonts w:ascii="Garamond" w:hAnsi="Garamond"/>
          <w:color w:val="F38030"/>
          <w:lang w:val="en-GB"/>
        </w:rPr>
        <w:t xml:space="preserve"> </w:t>
      </w:r>
    </w:p>
    <w:p w:rsidR="00646842" w:rsidRPr="00866B42" w:rsidRDefault="00646842" w:rsidP="00646842">
      <w:pPr>
        <w:rPr>
          <w:rFonts w:ascii="Garamond" w:hAnsi="Garamond"/>
          <w:color w:val="F38030"/>
          <w:lang w:val="en-GB"/>
        </w:rPr>
      </w:pPr>
    </w:p>
    <w:p w:rsidR="00646842" w:rsidRPr="00866B42" w:rsidRDefault="00B437A1" w:rsidP="00646842">
      <w:pPr>
        <w:rPr>
          <w:rFonts w:ascii="Garamond" w:hAnsi="Garamond"/>
          <w:lang w:val="en-GB"/>
        </w:rPr>
      </w:pPr>
      <w:hyperlink r:id="rId1365" w:anchor="#" w:history="1">
        <w:r w:rsidR="00646842" w:rsidRPr="00866B42">
          <w:rPr>
            <w:rStyle w:val="fusslink"/>
            <w:rFonts w:ascii="Garamond" w:hAnsi="Garamond" w:cs="Arial"/>
            <w:b/>
            <w:bCs/>
            <w:color w:val="003399"/>
            <w:lang w:val="en-GB"/>
          </w:rPr>
          <w:t>[Fußnote]</w:t>
        </w:r>
        <w:r w:rsidR="00646842" w:rsidRPr="00866B42">
          <w:rPr>
            <w:rStyle w:val="innerfusslink3"/>
            <w:rFonts w:ascii="Garamond" w:hAnsi="Garamond" w:cs="Arial"/>
            <w:b/>
            <w:bCs/>
            <w:lang w:val="en-GB"/>
          </w:rPr>
          <w:t xml:space="preserve">Die in der ersten Abhandlung enthaltenen Angaben sind aus den bekannten Publikationen von v. Krafft-Ebing, Moll, Moebius, Havelock Ellis, v. Schrenck-Notzing, Löwenfeld, Eulenburg, I. Bloch, M. Hirschfeld und aus den Arbeiten in dem vom letzteren herausgegebenen </w:t>
        </w:r>
        <w:r w:rsidR="00646842" w:rsidRPr="00866B42">
          <w:rPr>
            <w:rStyle w:val="innerfusslink3"/>
            <w:rFonts w:ascii="Garamond" w:hAnsi="Garamond" w:cs="Arial"/>
            <w:b/>
            <w:bCs/>
            <w:i/>
            <w:iCs/>
            <w:lang w:val="en-GB"/>
          </w:rPr>
          <w:t>Jahrbuch für sexuelle Zwischenstufen</w:t>
        </w:r>
        <w:r w:rsidR="00646842" w:rsidRPr="00866B42">
          <w:rPr>
            <w:rStyle w:val="innerfusslink3"/>
            <w:rFonts w:ascii="Garamond" w:hAnsi="Garamond" w:cs="Arial"/>
            <w:b/>
            <w:bCs/>
            <w:lang w:val="en-GB"/>
          </w:rPr>
          <w:t xml:space="preserve"> geschöpft. Da an diesen Stellen auch die übrige Literatur des Themas aufgeführt ist, habe ich mir detaillierte Nachweise ersparen können. – Die durch psychoanalytische Untersuchung Invertierter gewonnenen Einsichten ruhen auf Mitteilungen von I. Sadger und auf eigener Erfahrung.</w:t>
        </w:r>
      </w:hyperlink>
    </w:p>
    <w:p w:rsidR="00646842" w:rsidRPr="00866B42" w:rsidRDefault="00646842" w:rsidP="00646842">
      <w:pPr>
        <w:rPr>
          <w:rFonts w:ascii="Garamond" w:hAnsi="Garamond"/>
          <w:lang w:val="en-GB"/>
        </w:rPr>
      </w:pPr>
      <w:r w:rsidRPr="00866B42">
        <w:rPr>
          <w:rFonts w:ascii="Garamond" w:hAnsi="Garamond"/>
          <w:lang w:val="en-GB"/>
        </w:rPr>
        <w:t xml:space="preserve">Die Tatsache geschlechtlicher Bedürfnisse bei Mensch und Tier drückt man in der Biologie durch die Annahme eines »Geschlechtstriebes« aus. Man folgt dabei der Analogie mit dem Trieb nach Nahrungsaufnahme, dem Hunger. Eine dem Worte »Hunger« entsprechende Bezeichnung fehlt der Volkssprache; die Wissenschaft gebraucht als solche » </w:t>
      </w:r>
      <w:r w:rsidRPr="00866B42">
        <w:rPr>
          <w:rFonts w:ascii="Garamond" w:hAnsi="Garamond"/>
          <w:i/>
          <w:iCs/>
          <w:lang w:val="en-GB"/>
        </w:rPr>
        <w:t>Libido</w:t>
      </w:r>
      <w:r w:rsidRPr="00866B42">
        <w:rPr>
          <w:rFonts w:ascii="Garamond" w:hAnsi="Garamond"/>
          <w:lang w:val="en-GB"/>
        </w:rPr>
        <w:t xml:space="preserve">« </w:t>
      </w:r>
      <w:hyperlink r:id="rId1366"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Das einzig angemessene Wort der deutschen Sprache »Lust« ist leider vieldeutig und benennt ebensowohl die Empfindung des Bedürfnisses als die der Befriedigung.</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Die populäre Meinung macht sich ganz bestimmte Vorstellungen von der Natur und den Eigenschaften dieses Geschlechtstriebes. Er soll der Kindheit fehlen, sich um die Zeit und im Zusammenhang mit dem Reifungsvorgang der Pubertät einstellen, sich in den Erscheinungen unwiderstehlicher Anziehung äußern, die das eine Geschlecht auf das andere ausübt, und sein Ziel soll die geschlechtliche Vereinigung sein oder wenigstens solche Handlungen, welche auf dem Wege zu dieser liegen.</w:t>
      </w:r>
    </w:p>
    <w:p w:rsidR="00646842" w:rsidRPr="00866B42" w:rsidRDefault="00646842" w:rsidP="00646842">
      <w:pPr>
        <w:rPr>
          <w:rFonts w:ascii="Garamond" w:hAnsi="Garamond"/>
          <w:lang w:val="en-GB"/>
        </w:rPr>
      </w:pPr>
      <w:r w:rsidRPr="00866B42">
        <w:rPr>
          <w:rFonts w:ascii="Garamond" w:hAnsi="Garamond"/>
          <w:lang w:val="en-GB"/>
        </w:rPr>
        <w:t>Wir haben aber allen Grund, in diesen Angaben ein sehr ungetreues Abbild der Wirklichkeit zu erblicken; faßt man sie schärfer ins Auge, so erweisen sie sich überreich an Irrtümern, Ungenauigkeiten und Voreiligkeiten.</w:t>
      </w:r>
    </w:p>
    <w:p w:rsidR="00646842" w:rsidRPr="00866B42" w:rsidRDefault="00646842" w:rsidP="00646842">
      <w:pPr>
        <w:rPr>
          <w:rFonts w:ascii="Garamond" w:hAnsi="Garamond"/>
          <w:lang w:val="en-GB"/>
        </w:rPr>
      </w:pPr>
      <w:r w:rsidRPr="00866B42">
        <w:rPr>
          <w:rFonts w:ascii="Garamond" w:hAnsi="Garamond"/>
          <w:lang w:val="en-GB"/>
        </w:rPr>
        <w:t xml:space="preserve">Führen wir zwei Termini ein: heißen wir die Person, von welcher die geschlechtliche Anziehung ausgeht, das </w:t>
      </w:r>
      <w:r w:rsidRPr="00866B42">
        <w:rPr>
          <w:rFonts w:ascii="Garamond" w:hAnsi="Garamond"/>
          <w:i/>
          <w:iCs/>
          <w:lang w:val="en-GB"/>
        </w:rPr>
        <w:t>Sexualobjekt</w:t>
      </w:r>
      <w:r w:rsidRPr="00866B42">
        <w:rPr>
          <w:rFonts w:ascii="Garamond" w:hAnsi="Garamond"/>
          <w:lang w:val="en-GB"/>
        </w:rPr>
        <w:t xml:space="preserve">, die Handlung, nach welcher der Trieb drängt, das </w:t>
      </w:r>
      <w:r w:rsidRPr="00866B42">
        <w:rPr>
          <w:rFonts w:ascii="Garamond" w:hAnsi="Garamond"/>
          <w:i/>
          <w:iCs/>
          <w:lang w:val="en-GB"/>
        </w:rPr>
        <w:t>Sexualziel</w:t>
      </w:r>
      <w:r w:rsidRPr="00866B42">
        <w:rPr>
          <w:rFonts w:ascii="Garamond" w:hAnsi="Garamond"/>
          <w:lang w:val="en-GB"/>
        </w:rPr>
        <w:t>, so weist uns die wissenschaftlich gesichtete Erfahrung zahlreiche Abweichungen in bezug auf beide, Sexualobjekt und Sexualziel, nach, deren Verhältnis zur angenommenen Norm eingehende Untersuchung fordert.</w:t>
      </w:r>
    </w:p>
    <w:p w:rsidR="00646842" w:rsidRPr="00866B42" w:rsidRDefault="00646842" w:rsidP="00646842">
      <w:pPr>
        <w:rPr>
          <w:rFonts w:ascii="Garamond" w:hAnsi="Garamond"/>
          <w:lang w:val="en-GB"/>
        </w:rPr>
      </w:pPr>
      <w:r w:rsidRPr="00866B42">
        <w:rPr>
          <w:rFonts w:ascii="Garamond" w:hAnsi="Garamond"/>
          <w:lang w:val="en-GB"/>
        </w:rPr>
        <w:t>(1) Abweichungen in bezug auf das Sexualobjekt</w:t>
      </w:r>
    </w:p>
    <w:p w:rsidR="00646842" w:rsidRPr="00866B42" w:rsidRDefault="00646842" w:rsidP="00646842">
      <w:pPr>
        <w:rPr>
          <w:rFonts w:ascii="Garamond" w:hAnsi="Garamond"/>
        </w:rPr>
      </w:pPr>
      <w:r w:rsidRPr="00866B42">
        <w:rPr>
          <w:rFonts w:ascii="Garamond" w:hAnsi="Garamond"/>
          <w:lang w:val="en-GB"/>
        </w:rPr>
        <w:t xml:space="preserve">Der populären Theorie des Geschlechtstriebes entspricht am schönsten die poetische Fabel von der Teilung des Menschen in zwei Hälften – Mann und Weib –, die sich in der Liebe wieder zu vereinigen streben. Es wirkt darum wie eine große Überraschung zu hören, daß es Männer gibt, für die nicht das Weib, sondern der Mann, Weiber, für die nicht der Mann, sondern das Weib das Sexualobjekt darstellt. </w:t>
      </w:r>
      <w:r w:rsidRPr="00866B42">
        <w:rPr>
          <w:rFonts w:ascii="Garamond" w:hAnsi="Garamond"/>
        </w:rPr>
        <w:t xml:space="preserve">Man heißt solche Personen Konträrsexuale oder besser Invertierte, die Tatsache die der </w:t>
      </w:r>
      <w:r w:rsidRPr="00866B42">
        <w:rPr>
          <w:rFonts w:ascii="Garamond" w:hAnsi="Garamond"/>
          <w:i/>
          <w:iCs/>
        </w:rPr>
        <w:t>Inversion</w:t>
      </w:r>
      <w:r w:rsidRPr="00866B42">
        <w:rPr>
          <w:rFonts w:ascii="Garamond" w:hAnsi="Garamond"/>
        </w:rPr>
        <w:t xml:space="preserve">. Die Zahl solcher Personen ist sehr erheblich, wiewohl deren sichere Ermittlung Schwierigkeiten unterliegt </w:t>
      </w:r>
      <w:hyperlink r:id="rId1367" w:anchor="#" w:history="1">
        <w:r w:rsidRPr="00866B42">
          <w:rPr>
            <w:rStyle w:val="fusslink"/>
            <w:rFonts w:ascii="Garamond" w:hAnsi="Garamond" w:cs="Arial"/>
            <w:b/>
            <w:bCs/>
            <w:color w:val="003399"/>
          </w:rPr>
          <w:t>[Fußnote]</w:t>
        </w:r>
        <w:r w:rsidRPr="00866B42">
          <w:rPr>
            <w:rStyle w:val="innerfusslink3"/>
            <w:rFonts w:ascii="Garamond" w:hAnsi="Garamond" w:cs="Arial"/>
            <w:b/>
            <w:bCs/>
          </w:rPr>
          <w:t>Vergleiche über diese Schwierigkeiten sowie über Versuche, die Verhältniszahl der Invertierten zu eruieren, die Arbeit von M. Hirschfeld (1904).</w:t>
        </w:r>
      </w:hyperlink>
      <w:r w:rsidRPr="00866B42">
        <w:rPr>
          <w:rFonts w:ascii="Garamond" w:hAnsi="Garamond"/>
        </w:rPr>
        <w:t>.</w:t>
      </w:r>
    </w:p>
    <w:p w:rsidR="00646842" w:rsidRPr="00646842" w:rsidRDefault="00646842" w:rsidP="00646842">
      <w:pPr>
        <w:rPr>
          <w:rFonts w:ascii="Garamond" w:hAnsi="Garamond"/>
        </w:rPr>
      </w:pPr>
      <w:r w:rsidRPr="00646842">
        <w:rPr>
          <w:rFonts w:ascii="Garamond" w:hAnsi="Garamond"/>
          <w:i/>
          <w:iCs/>
        </w:rPr>
        <w:t>(A) Die Inversion</w:t>
      </w:r>
    </w:p>
    <w:p w:rsidR="00646842" w:rsidRPr="00646842" w:rsidRDefault="00646842" w:rsidP="00646842">
      <w:pPr>
        <w:rPr>
          <w:rFonts w:ascii="Garamond" w:hAnsi="Garamond"/>
        </w:rPr>
      </w:pPr>
      <w:r w:rsidRPr="00646842">
        <w:rPr>
          <w:rFonts w:ascii="Garamond" w:hAnsi="Garamond"/>
        </w:rPr>
        <w:t>Verhalten der Invertierten. Die betreffenden Personen verhalten sich nach verschiedenen Richtungen ganz verschieden.</w:t>
      </w:r>
    </w:p>
    <w:p w:rsidR="00646842" w:rsidRPr="00866B42" w:rsidRDefault="00646842" w:rsidP="00646842">
      <w:pPr>
        <w:rPr>
          <w:rFonts w:ascii="Garamond" w:hAnsi="Garamond"/>
          <w:lang w:val="en-GB"/>
        </w:rPr>
      </w:pPr>
      <w:r w:rsidRPr="00646842">
        <w:rPr>
          <w:rFonts w:ascii="Garamond" w:hAnsi="Garamond"/>
          <w:i/>
          <w:iCs/>
        </w:rPr>
        <w:t>(a)</w:t>
      </w:r>
      <w:r w:rsidRPr="00646842">
        <w:rPr>
          <w:rFonts w:ascii="Garamond" w:hAnsi="Garamond"/>
        </w:rPr>
        <w:t xml:space="preserve"> Sie sind </w:t>
      </w:r>
      <w:r w:rsidRPr="00646842">
        <w:rPr>
          <w:rFonts w:ascii="Garamond" w:hAnsi="Garamond"/>
          <w:i/>
          <w:iCs/>
        </w:rPr>
        <w:t>absolut</w:t>
      </w:r>
      <w:r w:rsidRPr="00646842">
        <w:rPr>
          <w:rFonts w:ascii="Garamond" w:hAnsi="Garamond"/>
        </w:rPr>
        <w:t xml:space="preserve"> invertiert, das heißt, ihr Sexualobjekt kann nur gleichgeschlechtlich sein, während das gegensätzliche Geschlecht für sie niemals Gegenstand der geschlechtlichen Sehnsucht ist, sondern sie kühl </w:t>
      </w:r>
      <w:r w:rsidRPr="00646842">
        <w:rPr>
          <w:rFonts w:ascii="Garamond" w:hAnsi="Garamond"/>
        </w:rPr>
        <w:lastRenderedPageBreak/>
        <w:t xml:space="preserve">läßt oder selbst sexuelle Abneigung bei ihnen hervorruft. </w:t>
      </w:r>
      <w:r w:rsidRPr="00866B42">
        <w:rPr>
          <w:rFonts w:ascii="Garamond" w:hAnsi="Garamond"/>
          <w:lang w:val="en-GB"/>
        </w:rPr>
        <w:t>Als Männer sind sie dann durch Abneigung unfähig, den normalen Geschlechtsakt auszuführen, oder vermissen bei dessen Ausführung jeden Genuß.</w:t>
      </w:r>
    </w:p>
    <w:p w:rsidR="00646842" w:rsidRPr="00866B42" w:rsidRDefault="00646842" w:rsidP="00646842">
      <w:pPr>
        <w:rPr>
          <w:rFonts w:ascii="Garamond" w:hAnsi="Garamond"/>
          <w:lang w:val="en-GB"/>
        </w:rPr>
      </w:pPr>
      <w:r w:rsidRPr="00866B42">
        <w:rPr>
          <w:rFonts w:ascii="Garamond" w:hAnsi="Garamond"/>
          <w:i/>
          <w:iCs/>
          <w:lang w:val="en-GB"/>
        </w:rPr>
        <w:t>(b)</w:t>
      </w:r>
      <w:r w:rsidRPr="00866B42">
        <w:rPr>
          <w:rFonts w:ascii="Garamond" w:hAnsi="Garamond"/>
          <w:lang w:val="en-GB"/>
        </w:rPr>
        <w:t xml:space="preserve"> Sie sind </w:t>
      </w:r>
      <w:r w:rsidRPr="00866B42">
        <w:rPr>
          <w:rFonts w:ascii="Garamond" w:hAnsi="Garamond"/>
          <w:i/>
          <w:iCs/>
          <w:lang w:val="en-GB"/>
        </w:rPr>
        <w:t>amphigen invertiert</w:t>
      </w:r>
      <w:r w:rsidRPr="00866B42">
        <w:rPr>
          <w:rFonts w:ascii="Garamond" w:hAnsi="Garamond"/>
          <w:lang w:val="en-GB"/>
        </w:rPr>
        <w:t xml:space="preserve"> (psychosexuell-hermaphroditisch), das heißt, ihr Sexualobjekt kann ebensowohl dem gleichen wie dem anderen Geschlecht angehören; der Inversion fehlt also der Charakter der Ausschließlichkeit.</w:t>
      </w:r>
    </w:p>
    <w:p w:rsidR="00646842" w:rsidRPr="00866B42" w:rsidRDefault="00646842" w:rsidP="00646842">
      <w:pPr>
        <w:rPr>
          <w:rFonts w:ascii="Garamond" w:hAnsi="Garamond"/>
          <w:lang w:val="en-GB"/>
        </w:rPr>
      </w:pPr>
      <w:r w:rsidRPr="00866B42">
        <w:rPr>
          <w:rFonts w:ascii="Garamond" w:hAnsi="Garamond"/>
          <w:i/>
          <w:iCs/>
          <w:lang w:val="en-GB"/>
        </w:rPr>
        <w:t>(c)</w:t>
      </w:r>
      <w:r w:rsidRPr="00866B42">
        <w:rPr>
          <w:rFonts w:ascii="Garamond" w:hAnsi="Garamond"/>
          <w:lang w:val="en-GB"/>
        </w:rPr>
        <w:t xml:space="preserve"> Sie sind </w:t>
      </w:r>
      <w:r w:rsidRPr="00866B42">
        <w:rPr>
          <w:rFonts w:ascii="Garamond" w:hAnsi="Garamond"/>
          <w:i/>
          <w:iCs/>
          <w:lang w:val="en-GB"/>
        </w:rPr>
        <w:t>okkasionell</w:t>
      </w:r>
      <w:r w:rsidRPr="00866B42">
        <w:rPr>
          <w:rFonts w:ascii="Garamond" w:hAnsi="Garamond"/>
          <w:lang w:val="en-GB"/>
        </w:rPr>
        <w:t xml:space="preserve"> invertiert, das heißt, unter gewissen äußeren Bedingungen, von denen die Unzugänglichkeit des normalen Sexualobjektes und die Nachahmung obenan stehen, können sie eine Person des gleichen Geschlechtes zum Sexualobjekt nehmen und im Sexualakt mit ihr Befriedigung empfinden.</w:t>
      </w:r>
    </w:p>
    <w:p w:rsidR="00646842" w:rsidRPr="00866B42" w:rsidRDefault="00646842" w:rsidP="00646842">
      <w:pPr>
        <w:rPr>
          <w:rFonts w:ascii="Garamond" w:hAnsi="Garamond"/>
          <w:lang w:val="en-GB"/>
        </w:rPr>
      </w:pPr>
      <w:r w:rsidRPr="00866B42">
        <w:rPr>
          <w:rFonts w:ascii="Garamond" w:hAnsi="Garamond"/>
          <w:lang w:val="en-GB"/>
        </w:rPr>
        <w:t xml:space="preserve">Die Invertierten zeigen ferner ein mannigfaltiges Verhalten in ihrem Urteil über die Besonderheit ihres Geschlechtstriebes. Die einen nehmen die Inversion als selbstverständlich hin wie der Normale die Richtung seiner Libido und vertreten mit Schärfe deren Gleichberechtigung mit der normalen. Andere aber lehnen sich gegen die Tatsache ihrer Inversion auf und empfinden dieselbe als krankhaften Zwang </w:t>
      </w:r>
      <w:hyperlink r:id="rId1368"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Ein solches Sträuben gegen den Zwang zur Inversion könnte die Bedingung der Beeinflußbarkeit durch Suggestivbehandlung oder Psychoanalyse abgeben.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Weitere Variationen betreffen die zeitlichen Verhältnisse. Die Eigentümlichkeit der Inversion datiert bei dem Individuum entweder von jeher, soweit seine Erinnerung zurückreicht, oder dieselbe hat sich ihm erst zu einer bestimmten Zeit vor oder nach der Pubertät bemerkbar gemacht </w:t>
      </w:r>
      <w:hyperlink r:id="rId1369"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Es ist von mehreren Seiten mit Recht betont worden, daß die autobiographischen Angaben der Invertierten über das zeitliche Auftreten der Inversionsneigung unzuverlässig sind, da dieselben die Beweise für ihr heterosexuelles Empfinden aus ihrem Gedächtnis verdrängt haben könnten. – Die Psychoanalyse hat diesen Verdacht für die ihr zugänglich gewordenen Fälle von Inversion bestätigt und deren Anamnese durch die Ausfüllung der Kindheitsamnesie in entscheidender Weise verändert.</w:t>
        </w:r>
      </w:hyperlink>
      <w:r w:rsidRPr="00866B42">
        <w:rPr>
          <w:rFonts w:ascii="Garamond" w:hAnsi="Garamond"/>
          <w:lang w:val="en-GB"/>
        </w:rPr>
        <w:t>. Der Charakter bleibt entweder durchs ganze Leben erhalten oder tritt zeitweise zurück oder stellt eine Episode auf dem Wege zur normalen Entwicklung dar; ja er kann sich erst spät im Leben nach Ablauf einer langen Periode normaler Sexualtätigkeit äußern. Auch ein periodisches Schwanken zwischen dem normalen und dem invertierten Sexualobjekt ist beobachtet worden. Besonders interessant sind Fälle, in denen sich die Libido im Sinne der Inversion ändert, nachdem eine peinliche Erfahrung mit dem normalen Sexualobjekt gemacht worden ist.</w:t>
      </w:r>
    </w:p>
    <w:p w:rsidR="00646842" w:rsidRPr="00866B42" w:rsidRDefault="00646842" w:rsidP="00646842">
      <w:pPr>
        <w:rPr>
          <w:rFonts w:ascii="Garamond" w:hAnsi="Garamond"/>
          <w:lang w:val="en-GB"/>
        </w:rPr>
      </w:pPr>
      <w:r w:rsidRPr="00866B42">
        <w:rPr>
          <w:rFonts w:ascii="Garamond" w:hAnsi="Garamond"/>
          <w:lang w:val="en-GB"/>
        </w:rPr>
        <w:t>Diese verschiedenen Reihen von Variationen bestehen im allgemeinen unabhängig nebeneinander. Von der extremsten Form kann man etwa regelmäßig annehmen, daß die Inversion seit sehr früher Zeit bestanden hat und daß die Person sich mit ihrer Eigentümlichkeit einig fühlt.</w:t>
      </w:r>
    </w:p>
    <w:p w:rsidR="00646842" w:rsidRPr="00866B42" w:rsidRDefault="00646842" w:rsidP="00646842">
      <w:pPr>
        <w:rPr>
          <w:rFonts w:ascii="Garamond" w:hAnsi="Garamond"/>
          <w:lang w:val="en-GB"/>
        </w:rPr>
      </w:pPr>
      <w:r w:rsidRPr="00866B42">
        <w:rPr>
          <w:rFonts w:ascii="Garamond" w:hAnsi="Garamond"/>
          <w:lang w:val="en-GB"/>
        </w:rPr>
        <w:t>Viele Autoren würden sich weigern, die hier aufgezählten Fälle zu einer Einheit zusammenzufassen, und ziehen es vor, die Unterschiede anstatt der Gemeinsamen dieser Gruppen zu betonen, was mit der von ihnen beliebten Beurteilung der Inversion zusammenhängt. Allein so berechtigt Sonderungen sein mögen, so ist doch nicht zu verkennen, daß alle Zwischenstufen reichlich aufzufinden sind, so daß die Reihenbildung sich gleichsam von selbst aufdrängt.</w:t>
      </w:r>
    </w:p>
    <w:p w:rsidR="00646842" w:rsidRPr="00866B42" w:rsidRDefault="00646842" w:rsidP="00646842">
      <w:pPr>
        <w:rPr>
          <w:rFonts w:ascii="Garamond" w:hAnsi="Garamond"/>
          <w:lang w:val="en-GB"/>
        </w:rPr>
      </w:pPr>
      <w:r w:rsidRPr="00866B42">
        <w:rPr>
          <w:rFonts w:ascii="Garamond" w:hAnsi="Garamond"/>
          <w:lang w:val="en-GB"/>
        </w:rPr>
        <w:t>Auffassung der Inversion. Die erste Würdigung der Inversion bestand in der Auffassung, sie sei ein angeborenes Zeichen nervöser Degeneration, und war im Einklange mit der Tatsache, daß die ärztlichen Beobachter zuerst bei Nervenkranken oder Personen, die solchen Eindruck machten, auf sie gestoßen waren. In dieser Charakteristik sind zwei Angaben enthalten, die unabhängig voneinander beurteilt werden sollen: das Angeborensein und die Degeneration.</w:t>
      </w:r>
    </w:p>
    <w:p w:rsidR="00646842" w:rsidRPr="00866B42" w:rsidRDefault="00646842" w:rsidP="00646842">
      <w:pPr>
        <w:rPr>
          <w:rFonts w:ascii="Garamond" w:hAnsi="Garamond"/>
          <w:lang w:val="en-GB"/>
        </w:rPr>
      </w:pPr>
      <w:r w:rsidRPr="00866B42">
        <w:rPr>
          <w:rFonts w:ascii="Garamond" w:hAnsi="Garamond"/>
          <w:lang w:val="en-GB"/>
        </w:rPr>
        <w:lastRenderedPageBreak/>
        <w:t>Degeneration. Die Degeneration unterliegt den Einwänden, die sich gegen die wahllose Verwendung des Wortes überhaupt erheben. Es ist doch Sitte geworden, jede Art von Krankheitsäußerung, die nicht gerade traumatischen oder infektiösen Ursprunges ist, der Degeneration zuzurechnen. Die Magnansche Einteilung der Degenerierten hat es selbst ermöglicht, daß die vorzüglichste Allgemeingestaltung der Nervenleistung die Anwendbarkeit des Begriffes Degeneration nicht auszuschließen braucht. Unter solchen Umständen darf man fragen, welchen Nutzen und welchen neuen Inhalt das Urteil »Degeneration« überhaupt noch besitzt. Es scheint zweckmäßiger, von Degeneration nicht zu sprechen:</w:t>
      </w:r>
    </w:p>
    <w:p w:rsidR="00646842" w:rsidRPr="00866B42" w:rsidRDefault="00646842" w:rsidP="00646842">
      <w:pPr>
        <w:rPr>
          <w:rFonts w:ascii="Garamond" w:hAnsi="Garamond"/>
          <w:lang w:val="en-GB"/>
        </w:rPr>
      </w:pPr>
      <w:r w:rsidRPr="00866B42">
        <w:rPr>
          <w:rFonts w:ascii="Garamond" w:hAnsi="Garamond"/>
          <w:lang w:val="en-GB"/>
        </w:rPr>
        <w:t>(1) wo nicht mehrere schwere Abweichungen von der Norm zusammentreffen;</w:t>
      </w:r>
    </w:p>
    <w:p w:rsidR="00646842" w:rsidRPr="00646842" w:rsidRDefault="00646842" w:rsidP="00646842">
      <w:pPr>
        <w:rPr>
          <w:rFonts w:ascii="Garamond" w:hAnsi="Garamond"/>
          <w:lang w:val="en-US"/>
        </w:rPr>
      </w:pPr>
      <w:r w:rsidRPr="00866B42">
        <w:rPr>
          <w:rFonts w:ascii="Garamond" w:hAnsi="Garamond"/>
          <w:lang w:val="en-GB"/>
        </w:rPr>
        <w:t xml:space="preserve">(2) wo nicht Leistungs- und Existenzfähigkeit im allgemeinen schwer geschädigt erscheinen </w:t>
      </w:r>
      <w:hyperlink r:id="rId1370"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Mit welchen Vorbehalten die Diagnose auf Degeneration zu stellen ist und welch geringe praktische Bedeutung ihr zukommt, kann man aus den Ausführungen von Moebius (1900) entnehmen: »Überblickt man nun das weite Gebiet der Entartung, auf das hier einige Schlaglichter geworfen worden sind, so sieht man ohneweiters ein, daß es sehr geringen Wert hat, Entartung überhaupt zu diagnostizieren.«</w:t>
        </w:r>
      </w:hyperlink>
      <w:r w:rsidRPr="00646842">
        <w:rPr>
          <w:rFonts w:ascii="Garamond" w:hAnsi="Garamond"/>
          <w:lang w:val="en-US"/>
        </w:rPr>
        <w:t>.</w:t>
      </w:r>
    </w:p>
    <w:p w:rsidR="00646842" w:rsidRPr="00646842" w:rsidRDefault="00646842" w:rsidP="00646842">
      <w:pPr>
        <w:rPr>
          <w:rFonts w:ascii="Garamond" w:hAnsi="Garamond"/>
          <w:lang w:val="en-US"/>
        </w:rPr>
      </w:pPr>
      <w:r w:rsidRPr="00646842">
        <w:rPr>
          <w:rFonts w:ascii="Garamond" w:hAnsi="Garamond"/>
          <w:lang w:val="en-US"/>
        </w:rPr>
        <w:t>Daß die Invertierten nicht Degenerierte in diesem berechtigten Sinne sind, geht aus mehreren Tatsachen hervor:</w:t>
      </w:r>
    </w:p>
    <w:p w:rsidR="00646842" w:rsidRPr="00646842" w:rsidRDefault="00646842" w:rsidP="00646842">
      <w:pPr>
        <w:rPr>
          <w:rFonts w:ascii="Garamond" w:hAnsi="Garamond"/>
          <w:lang w:val="en-US"/>
        </w:rPr>
      </w:pPr>
      <w:r w:rsidRPr="00646842">
        <w:rPr>
          <w:rFonts w:ascii="Garamond" w:hAnsi="Garamond"/>
          <w:lang w:val="en-US"/>
        </w:rPr>
        <w:t>(1) Man findet die Inversion bei Personen, die keine sonstigen schweren Abweichungen von der Norm zeigen;</w:t>
      </w:r>
    </w:p>
    <w:p w:rsidR="00646842" w:rsidRPr="00646842" w:rsidRDefault="00646842" w:rsidP="00646842">
      <w:pPr>
        <w:rPr>
          <w:rFonts w:ascii="Garamond" w:hAnsi="Garamond"/>
          <w:lang w:val="en-US"/>
        </w:rPr>
      </w:pPr>
      <w:r w:rsidRPr="00646842">
        <w:rPr>
          <w:rFonts w:ascii="Garamond" w:hAnsi="Garamond"/>
          <w:lang w:val="en-US"/>
        </w:rPr>
        <w:t xml:space="preserve">(2) desgleichen bei Personen, deren Leistungsfähigkeit nicht gestört ist, ja, die sich durch besonders hohe intellektuelle Entwicklung und ethische Kultur auszeichnen </w:t>
      </w:r>
      <w:hyperlink r:id="rId1371" w:anchor="#" w:history="1">
        <w:r w:rsidRPr="00646842">
          <w:rPr>
            <w:rStyle w:val="fusslink"/>
            <w:rFonts w:ascii="Garamond" w:hAnsi="Garamond" w:cs="Arial"/>
            <w:b/>
            <w:bCs/>
            <w:color w:val="003399"/>
            <w:lang w:val="en-US"/>
          </w:rPr>
          <w:t>[Fußnote]</w:t>
        </w:r>
        <w:r w:rsidRPr="00646842">
          <w:rPr>
            <w:rStyle w:val="innerfusslink3"/>
            <w:rFonts w:ascii="Garamond" w:hAnsi="Garamond" w:cs="Arial"/>
            <w:b/>
            <w:bCs/>
            <w:lang w:val="en-US"/>
          </w:rPr>
          <w:t>Es muß den Wortführern des »Uranismus« zugestanden werden, daß einige der hervorragendsten Männer, von denen wir überhaupt Kunde haben, Invertierte, vielleicht sogar absolut Invertierte waren.</w:t>
        </w:r>
      </w:hyperlink>
      <w:r w:rsidRPr="00646842">
        <w:rPr>
          <w:rFonts w:ascii="Garamond" w:hAnsi="Garamond"/>
          <w:lang w:val="en-US"/>
        </w:rPr>
        <w:t>.</w:t>
      </w:r>
    </w:p>
    <w:p w:rsidR="00646842" w:rsidRPr="00646842" w:rsidRDefault="00646842" w:rsidP="00646842">
      <w:pPr>
        <w:rPr>
          <w:rFonts w:ascii="Garamond" w:hAnsi="Garamond"/>
          <w:lang w:val="en-US"/>
        </w:rPr>
      </w:pPr>
      <w:r w:rsidRPr="00646842">
        <w:rPr>
          <w:rFonts w:ascii="Garamond" w:hAnsi="Garamond"/>
          <w:lang w:val="en-US"/>
        </w:rPr>
        <w:t>(3) Wenn man von den Patienten seiner ärztlichen Erfahrung absieht und einen weiteren Gesichtskreis zu umfassen strebt, stößt man nach zwei Richtungen auf Tatsachen, welche die Inversion als Degenerationszeichen aufzufassen verbieten.</w:t>
      </w:r>
    </w:p>
    <w:p w:rsidR="00646842" w:rsidRPr="00866B42" w:rsidRDefault="00646842" w:rsidP="00646842">
      <w:pPr>
        <w:rPr>
          <w:rFonts w:ascii="Garamond" w:hAnsi="Garamond"/>
          <w:lang w:val="en-GB"/>
        </w:rPr>
      </w:pPr>
      <w:r w:rsidRPr="00866B42">
        <w:rPr>
          <w:rFonts w:ascii="Garamond" w:hAnsi="Garamond"/>
          <w:i/>
          <w:iCs/>
          <w:lang w:val="en-GB"/>
        </w:rPr>
        <w:t>(a)</w:t>
      </w:r>
      <w:r w:rsidRPr="00866B42">
        <w:rPr>
          <w:rFonts w:ascii="Garamond" w:hAnsi="Garamond"/>
          <w:lang w:val="en-GB"/>
        </w:rPr>
        <w:t xml:space="preserve"> Man muß Wert darauf legen, daß die Inversion eine häufige Erscheinung, fast eine mit wichtigen Funktionen betraute Institution bei den alten Völkern auf der Höhe ihrer Kultur war;</w:t>
      </w:r>
    </w:p>
    <w:p w:rsidR="00646842" w:rsidRPr="00866B42" w:rsidRDefault="00646842" w:rsidP="00646842">
      <w:pPr>
        <w:rPr>
          <w:rFonts w:ascii="Garamond" w:hAnsi="Garamond"/>
          <w:lang w:val="en-GB"/>
        </w:rPr>
      </w:pPr>
      <w:r w:rsidRPr="00866B42">
        <w:rPr>
          <w:rFonts w:ascii="Garamond" w:hAnsi="Garamond"/>
          <w:i/>
          <w:iCs/>
          <w:lang w:val="en-GB"/>
        </w:rPr>
        <w:t>(b)</w:t>
      </w:r>
      <w:r w:rsidRPr="00866B42">
        <w:rPr>
          <w:rFonts w:ascii="Garamond" w:hAnsi="Garamond"/>
          <w:lang w:val="en-GB"/>
        </w:rPr>
        <w:t xml:space="preserve"> man findet sie ungemein verbreitet bei vielen wilden und primitiven Völkern, während man den Begriff der Degeneration auf die hohe Zivilisation zu beschränken gewohnt ist (I. Bloch); selbst unter den zivilisierten Völkern Europas haben Klima und Rasse auf die Verbreitung und die Beurteilung der Inversion den mächtigsten Einfluß </w:t>
      </w:r>
      <w:hyperlink r:id="rId1372"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In der Auffassung der Inversion sind die pathologischen Gesichtspunkte von anthropologischen abgelöst worden. Diese Wandlung bleibt das Verdienst von I. Bloch (1902–3), welcher Autor auch die Tatsache der Inversion bei den alten Kulturvölkern nachdrücklich zur Geltung gebracht hat.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Angeborensein. Das Angeborensein ist, wie begreiflich, nur für die erste, extremste Klasse der Invertierten behauptet worden, und zwar auf Grund der Versicherung dieser Personen, daß sich bei ihnen zu keiner Zeit des Lebens eine andere Richtung des Sexualtriebes gezeigt habe. Schon das Vorkommen der beiden anderen Klassen, speziell der dritten, ist schwer mit der Auffassung eines angeborenen Charakters zu vereinen. Daher die Neigung der Vertreter dieser Ansicht, die Gruppe der absolut Invertierten von allen anderen abzulösen, was den Verzicht auf eine allgemein gültige Auffassung der Inversion zur Folge hat. Die Inversion wäre demnach in einer Reihe von Fällen ein angeborener Charakter; in anderen könnte sie auf andere Art entstanden sein.</w:t>
      </w:r>
    </w:p>
    <w:p w:rsidR="00646842" w:rsidRPr="00866B42" w:rsidRDefault="00646842" w:rsidP="00646842">
      <w:pPr>
        <w:rPr>
          <w:rFonts w:ascii="Garamond" w:hAnsi="Garamond"/>
          <w:lang w:val="en-GB"/>
        </w:rPr>
      </w:pPr>
      <w:r w:rsidRPr="00866B42">
        <w:rPr>
          <w:rFonts w:ascii="Garamond" w:hAnsi="Garamond"/>
          <w:lang w:val="en-GB"/>
        </w:rPr>
        <w:lastRenderedPageBreak/>
        <w:t xml:space="preserve">Den Gegensatz zu dieser Auffassung bildet die andere, daß die Inversion ein </w:t>
      </w:r>
      <w:r w:rsidRPr="00866B42">
        <w:rPr>
          <w:rFonts w:ascii="Garamond" w:hAnsi="Garamond"/>
          <w:i/>
          <w:iCs/>
          <w:lang w:val="en-GB"/>
        </w:rPr>
        <w:t>erworbener</w:t>
      </w:r>
      <w:r w:rsidRPr="00866B42">
        <w:rPr>
          <w:rFonts w:ascii="Garamond" w:hAnsi="Garamond"/>
          <w:lang w:val="en-GB"/>
        </w:rPr>
        <w:t xml:space="preserve"> Charakter des Geschlechtstriebes sei. Sie stützt sich darauf, daß</w:t>
      </w:r>
    </w:p>
    <w:p w:rsidR="00646842" w:rsidRPr="00866B42" w:rsidRDefault="00646842" w:rsidP="00646842">
      <w:pPr>
        <w:rPr>
          <w:rFonts w:ascii="Garamond" w:hAnsi="Garamond"/>
          <w:lang w:val="en-GB"/>
        </w:rPr>
      </w:pPr>
      <w:r w:rsidRPr="00866B42">
        <w:rPr>
          <w:rFonts w:ascii="Garamond" w:hAnsi="Garamond"/>
          <w:lang w:val="en-GB"/>
        </w:rPr>
        <w:t>(1) bei vielen (auch absolut) Invertierten ein frühzeitig im Leben einwirkender sexueller Eindruck nachweisbar ist, als dessen fortdauernde Folge sich die homosexuelle Neigung darstellt,</w:t>
      </w:r>
    </w:p>
    <w:p w:rsidR="00646842" w:rsidRPr="00866B42" w:rsidRDefault="00646842" w:rsidP="00646842">
      <w:pPr>
        <w:rPr>
          <w:rFonts w:ascii="Garamond" w:hAnsi="Garamond"/>
          <w:lang w:val="en-GB"/>
        </w:rPr>
      </w:pPr>
      <w:r w:rsidRPr="00866B42">
        <w:rPr>
          <w:rFonts w:ascii="Garamond" w:hAnsi="Garamond"/>
          <w:lang w:val="en-GB"/>
        </w:rPr>
        <w:t>(2) daß bei vielen anderen sich die äußeren begünstigenden und hemmenden Einflüsse des Lebens aufzeigen lassen, die zu einer früheren oder späteren Zeit zur Fixierung der Inversion geführt haben (ausschließlicher Verkehr mit dem gleichen Geschlecht, Gemeinschaft im Kriege, Detention in Gefängnissen, Gefahren des heterosexuellen Verkehrs, Zölibat, geschlechtliche Schwäche usw.),</w:t>
      </w:r>
    </w:p>
    <w:p w:rsidR="00646842" w:rsidRPr="00866B42" w:rsidRDefault="00646842" w:rsidP="00646842">
      <w:pPr>
        <w:rPr>
          <w:rFonts w:ascii="Garamond" w:hAnsi="Garamond"/>
          <w:lang w:val="en-GB"/>
        </w:rPr>
      </w:pPr>
      <w:r w:rsidRPr="00866B42">
        <w:rPr>
          <w:rFonts w:ascii="Garamond" w:hAnsi="Garamond"/>
          <w:lang w:val="en-GB"/>
        </w:rPr>
        <w:t>(3) daß die Inversion durch hypnotische Suggestion aufgehoben werden kann, was bei einem angeborenen Charakter wundernehmen würde.</w:t>
      </w:r>
    </w:p>
    <w:p w:rsidR="00646842" w:rsidRPr="00866B42" w:rsidRDefault="00646842" w:rsidP="00646842">
      <w:pPr>
        <w:rPr>
          <w:rFonts w:ascii="Garamond" w:hAnsi="Garamond"/>
          <w:lang w:val="en-GB"/>
        </w:rPr>
      </w:pPr>
      <w:r w:rsidRPr="00866B42">
        <w:rPr>
          <w:rFonts w:ascii="Garamond" w:hAnsi="Garamond"/>
          <w:lang w:val="en-GB"/>
        </w:rPr>
        <w:t>Vom Standpunkt dieser Anschauung kann man die Sicherheit des Vorkommens einer angeborenen Inversion überhaupt bestreiten. Man kann einwenden (Havelock Ellis), daß ein genaueres Examen der für angeborene Inversion in Anspruch genommenen Fälle wahrscheinlich gleichfalls ein für die Richtung der Libido bestimmendes Erlebnis der frühen Kindheit zutage fördern würde, welches bloß im bewußten Gedächtnis der Person nicht bewahrt worden ist, aber durch geeignete Beeinflussung zur Erinnerung gebracht werden könnte. Die Inversion könnte man nach diesen Autoren nur als eine häufige Variation des Geschlechtstriebes bezeichnen, die durch eine Anzahl äußerer Lebensumstände bestimmt werden kann.</w:t>
      </w:r>
    </w:p>
    <w:p w:rsidR="00646842" w:rsidRPr="00866B42" w:rsidRDefault="00646842" w:rsidP="00646842">
      <w:pPr>
        <w:rPr>
          <w:rFonts w:ascii="Garamond" w:hAnsi="Garamond"/>
          <w:lang w:val="en-GB"/>
        </w:rPr>
      </w:pPr>
      <w:r w:rsidRPr="00866B42">
        <w:rPr>
          <w:rFonts w:ascii="Garamond" w:hAnsi="Garamond"/>
          <w:lang w:val="en-GB"/>
        </w:rPr>
        <w:t>Der scheinbar so gewonnenen Sicherheit macht aber die Gegenbemerkung ein Ende, daß nachweisbar viele Personen die nämlichen sexuellen Beeinflussungen (auch in früher Jugend: Verführung, mutuelle Onanie) erfahren, ohne durch sie invertiert zu werden oder dauernd so zu bleiben. So wird man zur Vermutung gedrängt, daß die Alternative angeboren–erworben entweder unvollständig ist oder die bei der Inversion vorliegenden Verhältnisse nicht deckt.</w:t>
      </w:r>
    </w:p>
    <w:p w:rsidR="00646842" w:rsidRPr="00866B42" w:rsidRDefault="00646842" w:rsidP="00646842">
      <w:pPr>
        <w:rPr>
          <w:rFonts w:ascii="Garamond" w:hAnsi="Garamond"/>
          <w:lang w:val="en-GB"/>
        </w:rPr>
      </w:pPr>
      <w:r w:rsidRPr="00866B42">
        <w:rPr>
          <w:rFonts w:ascii="Garamond" w:hAnsi="Garamond"/>
          <w:lang w:val="en-GB"/>
        </w:rPr>
        <w:t>Erklärung der Inversion. Weder mit der Annahme, die Inversion sei angeboren, noch mit der anderen, sie werde erworben, ist das Wesen der Inversion erklärt. Im ersten Falle muß man sich äußern, was an ihr angeboren ist, wenn man sich nicht der rohesten Erklärung anschließt, daß eine Person die Verknüpfung des Sexualtriebes mit einem bestimmten Sexualobjekt angeboren mitbringt. Im anderen Falle fragt es sich, ob die mannigfachen akzidentellen Einflüsse hinreichen, die Erwerbung zu erklären, ohne daß ihnen etwas an dem Individuum entgegenkommen müsse. Die Verneinung dieses letzten Momentes ist nach unseren früheren Ausführungen unstatthaft.</w:t>
      </w:r>
    </w:p>
    <w:p w:rsidR="00646842" w:rsidRPr="00866B42" w:rsidRDefault="00646842" w:rsidP="00646842">
      <w:pPr>
        <w:rPr>
          <w:rFonts w:ascii="Garamond" w:hAnsi="Garamond"/>
          <w:lang w:val="en-GB"/>
        </w:rPr>
      </w:pPr>
      <w:r w:rsidRPr="00866B42">
        <w:rPr>
          <w:rFonts w:ascii="Garamond" w:hAnsi="Garamond"/>
          <w:lang w:val="en-GB"/>
        </w:rPr>
        <w:t xml:space="preserve">Heranziehung der Bisexualität. Zur Erklärung der Möglichkeit einer sexuellen Inversion ist seit Frank Lydston, Kiernan und Chevalier eine Gedankenreihe herangezogen worden, welche einen neuen Widerspruch gegen die populäre Meinung enthält. Dieser gilt ein Mensch entweder als Mann oder als Weib. Die Wissenschaft kennt aber Fälle, in denen die Geschlechtscharaktere verwischt erscheinen und somit die Geschlechtsbestimmung erschwert wird; zunächst auf anatomischem Gebiet. Die Genitalien dieser Personen vereinigen männliche und weibliche Charaktere (Hermaphroditismus). In seltenen Fällen sind nebeneinander beiderlei Geschlechtsapparate ausgebildet (wahrer Hermaphroditismus); zu allermeist findet man beiderseitige Verkümmerung </w:t>
      </w:r>
      <w:hyperlink r:id="rId1373"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Vergleiche die letzten ausführlichen Darstellungen des somatischen Hermaphroditismus: Taruffi (1903) und die Arbeiten von Neugebauer in mehreren Bänden des </w:t>
        </w:r>
        <w:r w:rsidRPr="00866B42">
          <w:rPr>
            <w:rStyle w:val="innerfusslink3"/>
            <w:rFonts w:ascii="Garamond" w:hAnsi="Garamond" w:cs="Arial"/>
            <w:b/>
            <w:bCs/>
            <w:i/>
            <w:iCs/>
            <w:lang w:val="en-GB"/>
          </w:rPr>
          <w:t>Jahrbuches für sexuelle Zwischenstufen</w:t>
        </w:r>
        <w:r w:rsidRPr="00866B42">
          <w:rPr>
            <w:rStyle w:val="innerfusslink3"/>
            <w:rFonts w:ascii="Garamond" w:hAnsi="Garamond" w:cs="Arial"/>
            <w:b/>
            <w:bCs/>
            <w:lang w:val="en-GB"/>
          </w:rPr>
          <w: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Das Bedeutsame an diesen Abnormitäten ist aber, daß sie in unerwarteter Weise das Verständnis der normalen Bildung erleichtern. Ein gewisser Grad von anatomischem Hermaphroditismus gehört nämlich der Norm an; bei keinem normal gebildeten männlichen oder weiblichen Individuum werden die Spuren </w:t>
      </w:r>
      <w:r w:rsidRPr="00866B42">
        <w:rPr>
          <w:rFonts w:ascii="Garamond" w:hAnsi="Garamond"/>
          <w:lang w:val="en-GB"/>
        </w:rPr>
        <w:lastRenderedPageBreak/>
        <w:t>vom Apparat des anderen Geschlechtes vermißt, die entweder funktionslos als rudimentäre Organe fortbestehen oder selbst zur Übernahme anderer Funktionen umgebildet worden sind.</w:t>
      </w:r>
    </w:p>
    <w:p w:rsidR="00646842" w:rsidRPr="00866B42" w:rsidRDefault="00646842" w:rsidP="00646842">
      <w:pPr>
        <w:rPr>
          <w:rFonts w:ascii="Garamond" w:hAnsi="Garamond"/>
          <w:lang w:val="en-GB"/>
        </w:rPr>
      </w:pPr>
      <w:r w:rsidRPr="00866B42">
        <w:rPr>
          <w:rFonts w:ascii="Garamond" w:hAnsi="Garamond"/>
          <w:lang w:val="en-GB"/>
        </w:rPr>
        <w:t>Die Auffassung, die sich aus diesen lange bekannten anatomischen Tatsachen ergibt, ist die einer ursprünglich bisexuellen Veranlagung, die sich im Laufe der Entwicklung bis zur Monosexualität mit geringen Resten des verkümmerten Geschlechtes verändert.</w:t>
      </w:r>
    </w:p>
    <w:p w:rsidR="00646842" w:rsidRPr="00866B42" w:rsidRDefault="00646842" w:rsidP="00646842">
      <w:pPr>
        <w:rPr>
          <w:rFonts w:ascii="Garamond" w:hAnsi="Garamond"/>
          <w:lang w:val="en-GB"/>
        </w:rPr>
      </w:pPr>
      <w:r w:rsidRPr="00866B42">
        <w:rPr>
          <w:rFonts w:ascii="Garamond" w:hAnsi="Garamond"/>
          <w:lang w:val="en-GB"/>
        </w:rPr>
        <w:t>Es lag nahe, diese Auffassung aufs psychische Gebiet zu übertragen und die Inversion in ihren Abarten als Ausdruck eines psychischen Hermaphroditismus zu verstehen. Um die Frage zu entscheiden, bedurfte es nur noch eines regelmäßigen Zusammentreffens der Inversion mit den seelischen und somatischen Zeichen des Hermaphroditismus.</w:t>
      </w:r>
    </w:p>
    <w:p w:rsidR="00646842" w:rsidRPr="00866B42" w:rsidRDefault="00646842" w:rsidP="00646842">
      <w:pPr>
        <w:rPr>
          <w:rFonts w:ascii="Garamond" w:hAnsi="Garamond"/>
          <w:lang w:val="en-GB"/>
        </w:rPr>
      </w:pPr>
      <w:r w:rsidRPr="00866B42">
        <w:rPr>
          <w:rFonts w:ascii="Garamond" w:hAnsi="Garamond"/>
          <w:lang w:val="en-GB"/>
        </w:rPr>
        <w:t>Allein diese nächste Erwartung schlägt fehl. So nahe darf man sich die Beziehungen zwischen dem angenommenen psychischen und dem nachweisbaren anatomischen Zwittertum nicht vorstellen. Was man bei den Invertierten findet, ist häufig eine Herabsetzung des Geschlechtstriebes überhaupt (Havelock Ellis) und leichte anatomische Verkümmerung der Organe. Häufig, aber keineswegs regelmäßig oder auch nur überwiegend. Somit muß man erkennen, daß Inversion und somatischer Hermaphroditismus im ganzen unabhängig voneinander sind.</w:t>
      </w:r>
    </w:p>
    <w:p w:rsidR="00646842" w:rsidRPr="00866B42" w:rsidRDefault="00646842" w:rsidP="00646842">
      <w:pPr>
        <w:rPr>
          <w:rFonts w:ascii="Garamond" w:hAnsi="Garamond"/>
          <w:lang w:val="en-GB"/>
        </w:rPr>
      </w:pPr>
      <w:r w:rsidRPr="00866B42">
        <w:rPr>
          <w:rFonts w:ascii="Garamond" w:hAnsi="Garamond"/>
          <w:lang w:val="en-GB"/>
        </w:rPr>
        <w:t>Man hat ferner großen Wert auf die sogenannten sekundären und tertiären Geschlechtscharaktere gelegt und deren gehäuftes Vorkommen bei den Invertierten betont (H. Ellis). Auch daran ist vieles zutreffend, aber man darf nicht vergessen, daß die sekundären und tertiären Geschlechtscharaktere überhaupt recht häufig beim anderen Geschlecht auftreten und so Andeutungen von Zwittertum herstellen, ohne daß dabei das Sexualobjekt sich im Sinne einer Inversion abgeändert zeigte.</w:t>
      </w:r>
    </w:p>
    <w:p w:rsidR="00646842" w:rsidRPr="00866B42" w:rsidRDefault="00646842" w:rsidP="00646842">
      <w:pPr>
        <w:rPr>
          <w:rFonts w:ascii="Garamond" w:hAnsi="Garamond"/>
          <w:lang w:val="en-GB"/>
        </w:rPr>
      </w:pPr>
      <w:r w:rsidRPr="00866B42">
        <w:rPr>
          <w:rFonts w:ascii="Garamond" w:hAnsi="Garamond"/>
          <w:lang w:val="en-GB"/>
        </w:rPr>
        <w:t xml:space="preserve">Der psychische Hermaphroditismus würde an Leibhaftigkeit gewinnen, wenn mit der Inversion des Sexualobjektes wenigstens ein Umschlag der sonstigen seelischen Eigenschaften, Triebe und Charakterzüge in die fürs andere Geschlecht bezeichnende Abänderung parallelliefe. Allein eine solche Charakterinversion darf man mit einiger Regelmäßigkeit nur bei den invertierten Frauen erwarten, bei den Männern ist die vollste seelische Männlichkeit mit der Inversion vereinbar. Hält man an der Aufstellung eines seelischen Hermaphroditismus fest, so muß man hinzufügen, daß dessen Äußerungen auf verschiedenen Gebieten eine nur geringe gegenseitige Bedingtheit erkennen lassen. </w:t>
      </w:r>
      <w:r w:rsidRPr="00646842">
        <w:rPr>
          <w:rFonts w:ascii="Garamond" w:hAnsi="Garamond"/>
          <w:lang w:val="en-GB"/>
        </w:rPr>
        <w:t xml:space="preserve">Das gleiche gilt übrigens auch für das somatische Zwittertum; nach Halban </w:t>
      </w:r>
      <w:hyperlink r:id="rId1374" w:anchor="#" w:history="1">
        <w:r w:rsidRPr="00646842">
          <w:rPr>
            <w:rStyle w:val="fusslink"/>
            <w:rFonts w:ascii="Garamond" w:hAnsi="Garamond" w:cs="Arial"/>
            <w:b/>
            <w:bCs/>
            <w:color w:val="003399"/>
            <w:lang w:val="en-GB"/>
          </w:rPr>
          <w:t>[Fußnote]</w:t>
        </w:r>
        <w:r w:rsidRPr="00646842">
          <w:rPr>
            <w:rStyle w:val="innerfusslink3"/>
            <w:rFonts w:ascii="Garamond" w:hAnsi="Garamond" w:cs="Arial"/>
            <w:b/>
            <w:bCs/>
            <w:lang w:val="en-GB"/>
          </w:rPr>
          <w:t>J. Halban (1903). Siehe dort auch die Literatur des Gegenstandes.</w:t>
        </w:r>
      </w:hyperlink>
      <w:r w:rsidRPr="00646842">
        <w:rPr>
          <w:rFonts w:ascii="Garamond" w:hAnsi="Garamond"/>
          <w:lang w:val="en-GB"/>
        </w:rPr>
        <w:t xml:space="preserve"> </w:t>
      </w:r>
      <w:r w:rsidRPr="00866B42">
        <w:rPr>
          <w:rFonts w:ascii="Garamond" w:hAnsi="Garamond"/>
          <w:lang w:val="en-GB"/>
        </w:rPr>
        <w:t>sind auch die einzelnen Organverkümmerungen und sekundären Geschlechtscharaktere in ihrem Auftreten ziemlich unabhängig voneinander.</w:t>
      </w:r>
    </w:p>
    <w:p w:rsidR="00646842" w:rsidRPr="00866B42" w:rsidRDefault="00646842" w:rsidP="00646842">
      <w:pPr>
        <w:rPr>
          <w:rFonts w:ascii="Garamond" w:hAnsi="Garamond"/>
          <w:lang w:val="en-GB"/>
        </w:rPr>
      </w:pPr>
      <w:r w:rsidRPr="00866B42">
        <w:rPr>
          <w:rFonts w:ascii="Garamond" w:hAnsi="Garamond"/>
          <w:lang w:val="en-GB"/>
        </w:rPr>
        <w:t xml:space="preserve">Die Bisexualitätslehre ist in ihrer rohesten Form von einem Wortführer der männlichen Invertierten ausgesprochen worden: weibliches Gehirn im männlichen Körper. Allein wir kennen die Charaktere eines »weiblichen Gehirns« nicht. Der Ersatz des psychologischen Problems durch das anatomische ist ebenso müßig wie unberechtigt. Der Erklärungsversuch v. Krafft-Ebings scheint exakter gefaßt als der Ulrichs', ist aber im Wesen von ihm nicht verschieden; v. Krafft-Ebing meint, daß die bisexuelle Anlage dem Individuum ebenso männliche und weibliche Gehirnzentren mitgibt wie somatische Geschlechtsorgane. Diese Zentren entwickeln sich erst zur Zeit der Pubertät, zumeist unter dem Einflüsse der von ihnen in der Anlage unabhängigen Geschlechtsdrüse. Von den männlichen und weiblichen »Zentren« gilt aber dasselbe wie vom männlichen und weiblichen Gehirn, und nebenbei wissen wir nicht einmal, ob wir für die Geschlechtsfunktionen abgegrenzte Gehirnstellen (»Zentren«) wie etwa für die Sprache annehmen dürfen </w:t>
      </w:r>
      <w:hyperlink r:id="rId1375"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Der erste, der zur Erklärung der Inversion die Bisexualität herangezogen, soll (nach einem Literaturbericht im sechsten Band des </w:t>
        </w:r>
        <w:r w:rsidRPr="00866B42">
          <w:rPr>
            <w:rStyle w:val="innerfusslink3"/>
            <w:rFonts w:ascii="Garamond" w:hAnsi="Garamond" w:cs="Arial"/>
            <w:b/>
            <w:bCs/>
            <w:i/>
            <w:iCs/>
            <w:lang w:val="en-GB"/>
          </w:rPr>
          <w:t>Jahrbuches für sexuelle Zwischenstufen</w:t>
        </w:r>
        <w:r w:rsidRPr="00866B42">
          <w:rPr>
            <w:rStyle w:val="innerfusslink3"/>
            <w:rFonts w:ascii="Garamond" w:hAnsi="Garamond" w:cs="Arial"/>
            <w:b/>
            <w:bCs/>
            <w:lang w:val="en-GB"/>
          </w:rPr>
          <w:t xml:space="preserve">) E. Gley gewesen sein, der einen Aufsatz (›Les aberrations d'instinct sexuel‹) schon im Jänner 1884 in der </w:t>
        </w:r>
        <w:r w:rsidRPr="00866B42">
          <w:rPr>
            <w:rStyle w:val="innerfusslink3"/>
            <w:rFonts w:ascii="Garamond" w:hAnsi="Garamond" w:cs="Arial"/>
            <w:b/>
            <w:bCs/>
            <w:i/>
            <w:iCs/>
            <w:lang w:val="en-GB"/>
          </w:rPr>
          <w:t>Revue philosophique</w:t>
        </w:r>
        <w:r w:rsidRPr="00866B42">
          <w:rPr>
            <w:rStyle w:val="innerfusslink3"/>
            <w:rFonts w:ascii="Garamond" w:hAnsi="Garamond" w:cs="Arial"/>
            <w:b/>
            <w:bCs/>
            <w:lang w:val="en-GB"/>
          </w:rPr>
          <w:t xml:space="preserve"> veröffentlichte. – Es ist übrigens bemerkenswert, daß die Mehrzahl der Autoren, welche die Inversion auf Bisexualität zurückführen, dieses Moment nicht </w:t>
        </w:r>
        <w:r w:rsidRPr="00866B42">
          <w:rPr>
            <w:rStyle w:val="innerfusslink3"/>
            <w:rFonts w:ascii="Garamond" w:hAnsi="Garamond" w:cs="Arial"/>
            <w:b/>
            <w:bCs/>
            <w:lang w:val="en-GB"/>
          </w:rPr>
          <w:lastRenderedPageBreak/>
          <w:t xml:space="preserve">allein für die Invertierten, sondern für alle Normalgewordenen zur Geltung bringen und folgerichtig die Inversion als das Ergebnis einer Entwicklungsstörung auffassen. So bereits Chevalier (1893). Krafft-Ebing (1895) spricht davon, daß eine Fülle von Beobachtungen bestehen, »aus denen sich mindestens die virtuelle Fortexistenz dieses zweiten Zentrums (des unterlegenen Geschlechtes) ergibt«. Ein Dr. Arduin (›Die Frauenfrage und die sexuellen Zwischenstufen‹) stellt im zweiten Band des </w:t>
        </w:r>
        <w:r w:rsidRPr="00866B42">
          <w:rPr>
            <w:rStyle w:val="innerfusslink3"/>
            <w:rFonts w:ascii="Garamond" w:hAnsi="Garamond" w:cs="Arial"/>
            <w:b/>
            <w:bCs/>
            <w:i/>
            <w:iCs/>
            <w:lang w:val="en-GB"/>
          </w:rPr>
          <w:t>Jahrbuches für sexuelle Zwischenstufen</w:t>
        </w:r>
        <w:r w:rsidRPr="00866B42">
          <w:rPr>
            <w:rStyle w:val="innerfusslink3"/>
            <w:rFonts w:ascii="Garamond" w:hAnsi="Garamond" w:cs="Arial"/>
            <w:b/>
            <w:bCs/>
            <w:lang w:val="en-GB"/>
          </w:rPr>
          <w:t xml:space="preserve"> 1900 die Behauptung auf: »daß in jedem Menschen männliche und weibliche Elemente vorhanden sind (vgl. dieses </w:t>
        </w:r>
        <w:r w:rsidRPr="00866B42">
          <w:rPr>
            <w:rStyle w:val="innerfusslink3"/>
            <w:rFonts w:ascii="Garamond" w:hAnsi="Garamond" w:cs="Arial"/>
            <w:b/>
            <w:bCs/>
            <w:i/>
            <w:iCs/>
            <w:lang w:val="en-GB"/>
          </w:rPr>
          <w:t>Jahrbuch</w:t>
        </w:r>
        <w:r w:rsidRPr="00866B42">
          <w:rPr>
            <w:rStyle w:val="innerfusslink3"/>
            <w:rFonts w:ascii="Garamond" w:hAnsi="Garamond" w:cs="Arial"/>
            <w:b/>
            <w:bCs/>
            <w:lang w:val="en-GB"/>
          </w:rPr>
          <w:t xml:space="preserve">, Bd. I, 1899: ›Die objektive Diagnose der Homosexualität‹ von Dr. M. Hirschfeld, S. 8–9 u. f.), nur – der Geschlechtszugehörigkeit entsprechend – die einen unverhältnismäßig stärker entwickelt als die anderen, soweit es sich um heterosexuelle Personen handelt . . .« – Für G. Herman (1903) steht es fest, »daß in jedem Weibe männliche, in jedem Manne weibliche Keime und Eigenschaften enthalten sind« usw. – 1906 hat dann W. Fließ einen Eigentumsanspruch auf die Idee der Bisexualität (im Sinne einer </w:t>
        </w:r>
        <w:r w:rsidRPr="00866B42">
          <w:rPr>
            <w:rStyle w:val="innerfusslink3"/>
            <w:rFonts w:ascii="Garamond" w:hAnsi="Garamond" w:cs="Arial"/>
            <w:b/>
            <w:bCs/>
            <w:i/>
            <w:iCs/>
            <w:lang w:val="en-GB"/>
          </w:rPr>
          <w:t>Zweigeschlechtlichkeit</w:t>
        </w:r>
        <w:r w:rsidRPr="00866B42">
          <w:rPr>
            <w:rStyle w:val="innerfusslink3"/>
            <w:rFonts w:ascii="Garamond" w:hAnsi="Garamond" w:cs="Arial"/>
            <w:b/>
            <w:bCs/>
            <w:lang w:val="en-GB"/>
          </w:rPr>
          <w:t>) erhoben. – In nicht fachlichen Kreisen wird die Aufstellung der menschlichen Bisexualität als eine Leistung des jung verstorbenen Philosophen O. Weininger betrachtet, der diese Idee zur Grundlage eines ziemlich unbesonnenen Buches (1903) genommen hat. Die obenstehenden Nachweise mögen zeigen, wie wenig begründet dieser Anspruch war.</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Zwei Gedanken bleiben nach diesen Erörterungen immerhin bestehen: daß auch für die Inversion eine bisexuelle Veranlagung in Betracht kommt, nur daß wir nicht wissen, worin diese Anlage über die anatomische Gestaltung hinaus besteht, und daß es sich um Störungen handelt, welche den Geschlechtstrieb in seiner Entwicklung betreffen.</w:t>
      </w:r>
    </w:p>
    <w:p w:rsidR="00646842" w:rsidRPr="00866B42" w:rsidRDefault="00646842" w:rsidP="00646842">
      <w:pPr>
        <w:rPr>
          <w:rFonts w:ascii="Garamond" w:hAnsi="Garamond"/>
          <w:lang w:val="en-GB"/>
        </w:rPr>
      </w:pPr>
      <w:r w:rsidRPr="00866B42">
        <w:rPr>
          <w:rFonts w:ascii="Garamond" w:hAnsi="Garamond"/>
        </w:rPr>
        <w:t xml:space="preserve">Sexualobjekt der Invertierten. Die Theorie des psychischen Hermaphroditismus setzt voraus, daß das Sexualobjekt des Invertierten das dem normalen entgegengesetzte sei. </w:t>
      </w:r>
      <w:r w:rsidRPr="00866B42">
        <w:rPr>
          <w:rFonts w:ascii="Garamond" w:hAnsi="Garamond"/>
          <w:lang w:val="en-GB"/>
        </w:rPr>
        <w:t>Der invertierte Mann unterliege wie das Weib dem Zauber, der von den männlichen Eigenschaften des Körpers und der Seele ausgeht, er fühle sich selbst als Weib und suche den Mann.</w:t>
      </w:r>
    </w:p>
    <w:p w:rsidR="00646842" w:rsidRPr="00866B42" w:rsidRDefault="00646842" w:rsidP="00646842">
      <w:pPr>
        <w:rPr>
          <w:rFonts w:ascii="Garamond" w:hAnsi="Garamond"/>
          <w:lang w:val="en-GB"/>
        </w:rPr>
      </w:pPr>
      <w:r w:rsidRPr="00866B42">
        <w:rPr>
          <w:rFonts w:ascii="Garamond" w:hAnsi="Garamond"/>
          <w:lang w:val="en-GB"/>
        </w:rPr>
        <w:t>Aber wiewohl dies für eine ganze Reihe von Invertierten zutrifft, so ist es doch weit entfernt, einen allgemeinen Charakter der Inversion zu verraten. Es ist kein Zweifel, daß ein großer Teil der männlichen Invertierten den psychischen Charakter der Männlichkeit bewahrt hat, verhältnismäßig wenig sekundäre Charaktere des anderen Geschlechtes an sich trägt und in seinem Sexualobjekt eigentlich weibliche psychische Züge sucht. Wäre dies anders, so bliebe es unverständlich, wozu die männliche Prostitution, die sich den Invertierten anbietet – heute wie im Altertum –, in allen Äußerlichkeiten der Kleidung und Haltung die Weiber kopiert; diese Nachahmung müßte ja sonst das Ideal der Invertierten beleidigen. Bei den Griechen, wo die männlichsten Männer unter den Invertierten erscheinen, ist es klar, daß nicht der männliche Charakter des Knaben, sondern seine körperliche Annäherung an das Weib sowie seine weiblichen seelischen Eigenschaften, Schüchternheit, Zurückhaltung, Lern- und Hilfsbedürftigkeit die Liebe des Mannes entzündeten. Sobald der Knabe ein Mann wurde, hörte er auf, ein Sexualobjekt für den Mann zu sein, und wurde etwa selbst ein Knabenliebhaber. Das Sexualobjekt ist also in diesem Falle, wie in vielen anderen, nicht das gleiche Geschlecht, sondern die Vereinigung beider Geschlechtscharaktere, das Kompromiß etwa zwischen einer Regung, die nach dem Manne, und einer, die nach dem Weibe verlangt, mit der festgehaltenen Bedingung der Männlichkeit des Körpers (der Genitalien), sozusagen die Spiegelung der eigenen bisexuellen Natur.</w:t>
      </w:r>
    </w:p>
    <w:p w:rsidR="00646842" w:rsidRPr="00866B42" w:rsidRDefault="00646842" w:rsidP="00646842">
      <w:pPr>
        <w:rPr>
          <w:rFonts w:ascii="Garamond" w:hAnsi="Garamond"/>
          <w:lang w:val="en-GB"/>
        </w:rPr>
      </w:pPr>
      <w:r w:rsidRPr="00866B42">
        <w:rPr>
          <w:rFonts w:ascii="Garamond" w:hAnsi="Garamond"/>
          <w:lang w:val="en-GB"/>
        </w:rPr>
        <w:t xml:space="preserve">Die Psychoanalyse hat bisher zwar keine volle Aufklärung über die Herkunft der Inversion gebracht, aber doch den psychischen Mechanismus ihrer Entstehung aufgedeckt und die in Betracht kommenden Fragestellungen wesentlich bereichert. Wir haben bei allen untersuchten Fällen festgestellt, daß die später Invertierten in den ersten Jahren ihrer Kindheit eine Phase von sehr intensiver, aber kurzlebiger Fixierung an das Weib (meist an die Mutter) durchmachen, nach deren Überwindung sie sich mit dem Weib </w:t>
      </w:r>
      <w:r w:rsidRPr="00866B42">
        <w:rPr>
          <w:rFonts w:ascii="Garamond" w:hAnsi="Garamond"/>
          <w:lang w:val="en-GB"/>
        </w:rPr>
        <w:lastRenderedPageBreak/>
        <w:t>identifizieren und sich selbst zum Sexualobjekt nehmen, das heißt vom Narzißmus ausgehend jugendliche und der eigenen Person ähnliche Männer aufsuchen, die sie so lieben wollen, wie die Mutter sie geliebt hat. Wir haben ferner sehr häufig gefunden, daß angeblich Invertierte gegen den Reiz des Weibes keineswegs unempfindlich waren, sondern die durch das Weib hervorgerufene Erregung fortlaufend auf ein männliches Objekt transponierten. Sie wiederholten so während ihres ganzen Lebens den Mechanismus, durch welchen ihre Inversion entstanden war. Ihr zwanghaftes Streben nach dem Manne erwies sich als bedingt durch ihre ruhelose Flucht vor dem Weibe.</w:t>
      </w:r>
    </w:p>
    <w:p w:rsidR="00646842" w:rsidRPr="00866B42" w:rsidRDefault="00646842" w:rsidP="00646842">
      <w:pPr>
        <w:rPr>
          <w:rFonts w:ascii="Garamond" w:hAnsi="Garamond"/>
          <w:lang w:val="en-GB"/>
        </w:rPr>
      </w:pPr>
      <w:r w:rsidRPr="00866B42">
        <w:rPr>
          <w:rFonts w:ascii="Garamond" w:hAnsi="Garamond"/>
          <w:lang w:val="en-GB"/>
        </w:rPr>
        <w:t xml:space="preserve">Die psychoanalytische Forschung widersetzt sich mit aller Entschiedenheit dem Versuche, die Homosexuellen als eine besonders geartete Gruppe von den anderen Menschen abzutrennen. Indem sie auch andere als die manifest kundgegebenen Sexualerregungen studiert, erfährt sie, daß alle Menschen der gleichgeschlechtlichen Objektwahl fähig sind und dieselbe auch im Unbewußten vollzogen haben. Ja die Bindungen libidinöser Gefühle an Personen des gleichen Geschlechtes spielen als Faktoren im normalen Seelenleben keine geringere und als Motoren der Erkrankung eine größere Rolle als die, welche dem entgegengesetzten Geschlecht gelten. Der Psychoanalyse erscheint vielmehr die Unabhängigkeit der Objektwahl vom Geschlecht des Objektes, die gleich freie Verfügung über männliche und weibliche Objekte, wie sie im Kindesalter, in primitiven Zuständen und frühhistorischen Zeiten zu beobachten ist, als das Ursprüngliche, aus dem sich durch Einschränkung nach der einen oder der anderen Seite der normale wie der Inversionstypus entwickeln. Im Sinne der Psychoanalyse ist also auch das ausschließliche sexuelle Interesse des Mannes für das Weib ein der Aufklärung bedürftiges Problem und keine Selbstverständlichkeit, der eine im Grunde chemische Anziehung zu unterlegen ist. Die Entscheidung über das endgültige Sexualverhalten fällt erst nach der Pubertät und ist das Ergebnis einer noch nicht übersehbaren Reihe von Faktoren, die teils konstitutioneller, teils aber akzidenteller Natur sind. Gewiß können einzelne dieser Faktoren so übergroß ausfallen, daß sie das Resultat in ihrem Sinne beeinflussen. Im allgemeinen aber wird die Vielheit der bestimmenden Momente durch die Mannigfaltigkeit der Ausgänge im manifesten Sexualverhalten der Menschen gespiegelt. Bei den Inversionstypen ist durchwegs das Vorherrschen archaischer Konstitutionen und primitiver psychischer Mechanismen zu bestätigen. Die Geltung der </w:t>
      </w:r>
      <w:r w:rsidRPr="00866B42">
        <w:rPr>
          <w:rFonts w:ascii="Garamond" w:hAnsi="Garamond"/>
          <w:i/>
          <w:iCs/>
          <w:lang w:val="en-GB"/>
        </w:rPr>
        <w:t>narzißtischen Objektwahl</w:t>
      </w:r>
      <w:r w:rsidRPr="00866B42">
        <w:rPr>
          <w:rFonts w:ascii="Garamond" w:hAnsi="Garamond"/>
          <w:lang w:val="en-GB"/>
        </w:rPr>
        <w:t xml:space="preserve"> und </w:t>
      </w:r>
      <w:r w:rsidRPr="00866B42">
        <w:rPr>
          <w:rFonts w:ascii="Garamond" w:hAnsi="Garamond"/>
          <w:i/>
          <w:iCs/>
          <w:lang w:val="en-GB"/>
        </w:rPr>
        <w:t>die Festhaltung</w:t>
      </w:r>
      <w:r w:rsidRPr="00866B42">
        <w:rPr>
          <w:rFonts w:ascii="Garamond" w:hAnsi="Garamond"/>
          <w:lang w:val="en-GB"/>
        </w:rPr>
        <w:t xml:space="preserve"> der erotischen Bedeutung der </w:t>
      </w:r>
      <w:r w:rsidRPr="00866B42">
        <w:rPr>
          <w:rFonts w:ascii="Garamond" w:hAnsi="Garamond"/>
          <w:i/>
          <w:iCs/>
          <w:lang w:val="en-GB"/>
        </w:rPr>
        <w:t>Analzone</w:t>
      </w:r>
      <w:r w:rsidRPr="00866B42">
        <w:rPr>
          <w:rFonts w:ascii="Garamond" w:hAnsi="Garamond"/>
          <w:lang w:val="en-GB"/>
        </w:rPr>
        <w:t xml:space="preserve"> erscheinen als deren wesentlichste Charaktere. Man gewinnt aber nichts, wenn man auf Grund solcher konstitutioneller Eigenheiten die extremsten Inversionstypen von den anderen sondert. Was sich bei diesen als anscheinend zureichende Begründung findet, läßt sich ebenso, nur in geringerer Stärke, in der Konstitution von Übergangstypen und bei manifest Normalen nachweisen. Die Unterschiede in den Ergebnissen mögen qualitativer Natur sein: die Analyse zeigt, daß die Unterschiede in den Bedingungen nur quantitative sind. Unter den akzidentellen Beeinflussungen der Objektwahl haben wir die Versagung (die frühzeitige Sexualeinschüchterung) bemerkenswert gefunden und sind auch darauf aufmerksam geworden, daß das Vorhandensein beider Elternteile eine wichtige Rolle spielt. Der Wegfall eines starken Vaters in der Kindheit begünstigt nicht selten die Inversion. Man darf endlich die Forderung aufstellen, daß die Inversion des Sexualobjektes von der Mischung der Geschlechtscharaktere im Subjekt begrifflich strenge zu sondern ist. Ein gewisses Maß von Unabhängigkeit ist auch in dieser Relation unverkennbar.</w:t>
      </w:r>
    </w:p>
    <w:p w:rsidR="00646842" w:rsidRPr="00866B42" w:rsidRDefault="00646842" w:rsidP="00646842">
      <w:pPr>
        <w:rPr>
          <w:rFonts w:ascii="Garamond" w:hAnsi="Garamond"/>
          <w:lang w:val="en-GB"/>
        </w:rPr>
      </w:pPr>
      <w:r w:rsidRPr="00866B42">
        <w:rPr>
          <w:rFonts w:ascii="Garamond" w:hAnsi="Garamond"/>
          <w:lang w:val="en-GB"/>
        </w:rPr>
        <w:t xml:space="preserve">Eine Reihe bedeutsamer Gesichtspunkte zur Frage der Inversion hat Ferenczi (1914) vorgebracht. Ferenczi rügt mit Recht, daß man unter dem Namen »Homosexualität«, den er durch den besseren »Homoerotik« ersetzen will, eine Anzahl von sehr verschiedenen, in organischer wie in psychischer Hinsicht ungleichwertigen Zuständen zusammenwirft, weil sie das Symptom der Inversion gemeinsam haben. Er fordert scharfe Unterscheidung wenigstens zwischen den beiden Typen des </w:t>
      </w:r>
      <w:r w:rsidRPr="00866B42">
        <w:rPr>
          <w:rFonts w:ascii="Garamond" w:hAnsi="Garamond"/>
          <w:i/>
          <w:iCs/>
          <w:lang w:val="en-GB"/>
        </w:rPr>
        <w:t>Subjekthomoerotikers</w:t>
      </w:r>
      <w:r w:rsidRPr="00866B42">
        <w:rPr>
          <w:rFonts w:ascii="Garamond" w:hAnsi="Garamond"/>
          <w:lang w:val="en-GB"/>
        </w:rPr>
        <w:t xml:space="preserve">, der sich als Weib fühlt und benimmt, und des </w:t>
      </w:r>
      <w:r w:rsidRPr="00866B42">
        <w:rPr>
          <w:rFonts w:ascii="Garamond" w:hAnsi="Garamond"/>
          <w:i/>
          <w:iCs/>
          <w:lang w:val="en-GB"/>
        </w:rPr>
        <w:t>Objekthomoerotikers</w:t>
      </w:r>
      <w:r w:rsidRPr="00866B42">
        <w:rPr>
          <w:rFonts w:ascii="Garamond" w:hAnsi="Garamond"/>
          <w:lang w:val="en-GB"/>
        </w:rPr>
        <w:t xml:space="preserve">, der durchaus männlich ist und nur das weibliche Objekt gegen ein gleichgeschlechtliches vertauscht hat. Den ersteren anerkennt er als richtige »sexuelle Zwischenstufe« im Sinne von Magnus Hirschfeld, den zweiten bezeichnet er – minder glücklich – als Zwangsneurotiker. Das Sträuben gegen die Inversionsneigung sowie die Möglichkeit psychischer </w:t>
      </w:r>
      <w:r w:rsidRPr="00866B42">
        <w:rPr>
          <w:rFonts w:ascii="Garamond" w:hAnsi="Garamond"/>
          <w:lang w:val="en-GB"/>
        </w:rPr>
        <w:lastRenderedPageBreak/>
        <w:t>Beeinflussung kämen nur beim Objekthomoerotiker in Betracht. Auch nach Anerkennung dieser beiden Typen darf man hinzufügen, daß bei vielen Personen ein Maß von Subjekthomoerotik mit einem Anteil von Objekthomoerotik vermengt gefunden wird.</w:t>
      </w:r>
    </w:p>
    <w:p w:rsidR="00646842" w:rsidRPr="00866B42" w:rsidRDefault="00646842" w:rsidP="00646842">
      <w:pPr>
        <w:rPr>
          <w:rFonts w:ascii="Garamond" w:hAnsi="Garamond"/>
          <w:lang w:val="en-GB"/>
        </w:rPr>
      </w:pPr>
      <w:r w:rsidRPr="00866B42">
        <w:rPr>
          <w:rFonts w:ascii="Garamond" w:hAnsi="Garamond"/>
          <w:lang w:val="en-GB"/>
        </w:rPr>
        <w:t>In den letzten Jahren haben Arbeiten von Biologen, in erster Linie die von Eugen Steinach, ein helles Licht auf die organischen Bedingungen der Homoerotik sowie der Geschlechtscharaktere überhaupt geworfen.</w:t>
      </w:r>
    </w:p>
    <w:p w:rsidR="00646842" w:rsidRPr="00866B42" w:rsidRDefault="00646842" w:rsidP="00646842">
      <w:pPr>
        <w:rPr>
          <w:rFonts w:ascii="Garamond" w:hAnsi="Garamond"/>
          <w:lang w:val="en-GB"/>
        </w:rPr>
      </w:pPr>
      <w:r w:rsidRPr="00866B42">
        <w:rPr>
          <w:rFonts w:ascii="Garamond" w:hAnsi="Garamond"/>
          <w:lang w:val="en-GB"/>
        </w:rPr>
        <w:t>Durch das experimentelle Verfahren der Kastration mit nachfolgender Einpflanzung von Keimdrüsen des anderen Geschlechtes gelang es, bei verschiedenen Säugetierarten Männchen in Weibchen zu verwandeln und umgekehrt. Die Verwandlung betraf mehr oder minder vollständig die somatischen Geschlechtscharaktere und das psychosexuelle Verhalten (also Subjekt- und Objekterotik). Als Träger dieser geschlechtsbestimmenden Kraft wird nicht der Anteil der Keimdrüse betrachtet, welcher die Geschlechtszellen bildet, sondern das sogenannte interstitielle Gewebe des Organes (die »Pubertätsdrüse«).</w:t>
      </w:r>
    </w:p>
    <w:p w:rsidR="00646842" w:rsidRPr="00866B42" w:rsidRDefault="00646842" w:rsidP="00646842">
      <w:pPr>
        <w:rPr>
          <w:rFonts w:ascii="Garamond" w:hAnsi="Garamond"/>
          <w:lang w:val="en-GB"/>
        </w:rPr>
      </w:pPr>
      <w:r w:rsidRPr="00866B42">
        <w:rPr>
          <w:rFonts w:ascii="Garamond" w:hAnsi="Garamond"/>
          <w:lang w:val="en-GB"/>
        </w:rPr>
        <w:t>In einem Falle gelang die geschlechtliche Umstimmung auch bei einem Manne, der seine Hoden durch tuberkulöse Erkrankung eingebüßt hatte. Er hatte sich im Geschlechtsleben als passiver Homosexueller weiblich benommen und zeigte sehr deutlich ausgeprägte weibliche Geschlechtscharaktere sekundärer Art (in Behaarung, Bartwuchs, Fettansatz an Mammae und Hüften). Nach der Einpflanzung eines kryptorchen Menschenhodens begann dieser Mann sich in männlicher Weise zu benehmen und seine Libido in normaler Weise aufs Weib zu richten. Gleichzeitig schwanden die somatischen femininen Charaktere. (A. Lipschütz, 1919.)</w:t>
      </w:r>
    </w:p>
    <w:p w:rsidR="00646842" w:rsidRPr="00866B42" w:rsidRDefault="00646842" w:rsidP="00646842">
      <w:pPr>
        <w:rPr>
          <w:rFonts w:ascii="Garamond" w:hAnsi="Garamond"/>
          <w:lang w:val="en-GB"/>
        </w:rPr>
      </w:pPr>
      <w:r w:rsidRPr="00866B42">
        <w:rPr>
          <w:rFonts w:ascii="Garamond" w:hAnsi="Garamond"/>
          <w:lang w:val="en-GB"/>
        </w:rPr>
        <w:t>Es wäre ungerechtfertigt zu behaupten, daß durch diese schönen Versuche die Lehre von der Inversion auf eine neue Basis gestellt wird, und voreilig von ihnen geradezu einen Weg zur allgemeinen »Heilung« der Homosexualität zu erwarten. W. Fließ hat mit Recht betont, daß diese experimentellen Erfahrungen die Lehre von der allgemeinen bisexuellen Anlage der höheren Tiere nicht entwerten. Es erscheint mir vielmehr wahrscheinlich, daß sich aus weiteren solchen Untersuchungen eine direkte Bestätigung der angenommenen Bisexualität ergeben wird.</w:t>
      </w:r>
    </w:p>
    <w:p w:rsidR="00646842" w:rsidRPr="00866B42" w:rsidRDefault="00646842" w:rsidP="00646842">
      <w:pPr>
        <w:rPr>
          <w:rFonts w:ascii="Garamond" w:hAnsi="Garamond"/>
          <w:lang w:val="en-GB"/>
        </w:rPr>
      </w:pPr>
      <w:r w:rsidRPr="00866B42">
        <w:rPr>
          <w:rFonts w:ascii="Garamond" w:hAnsi="Garamond"/>
          <w:lang w:val="en-GB"/>
        </w:rPr>
        <w:t>Eindeutiger sind die Verhältnisse beim Weibe, wo die aktiv Invertierten besonders häufig somatische und seelische Charaktere des Mannes an sich tragen und das Weibliche von ihrem Sexualobjekt verlangen, wiewohl auch hier sich bei näherer Kenntnis größere Buntheit herausstellen dürfte.</w:t>
      </w:r>
    </w:p>
    <w:p w:rsidR="00646842" w:rsidRPr="00866B42" w:rsidRDefault="00646842" w:rsidP="00646842">
      <w:pPr>
        <w:rPr>
          <w:rFonts w:ascii="Garamond" w:hAnsi="Garamond"/>
          <w:lang w:val="en-GB"/>
        </w:rPr>
      </w:pPr>
      <w:r w:rsidRPr="00866B42">
        <w:rPr>
          <w:rFonts w:ascii="Garamond" w:hAnsi="Garamond"/>
          <w:lang w:val="en-GB"/>
        </w:rPr>
        <w:t xml:space="preserve">Sexualziel der Invertierten. Die wichtige festzuhaltende Tatsache ist, daß das Sexualziel bei der Inversion keineswegs einheitlich genannt werden kann. Bei Männern fällt Verkehr </w:t>
      </w:r>
      <w:r w:rsidRPr="00866B42">
        <w:rPr>
          <w:rFonts w:ascii="Garamond" w:hAnsi="Garamond"/>
          <w:i/>
          <w:iCs/>
          <w:lang w:val="en-GB"/>
        </w:rPr>
        <w:t>per anum</w:t>
      </w:r>
      <w:r w:rsidRPr="00866B42">
        <w:rPr>
          <w:rFonts w:ascii="Garamond" w:hAnsi="Garamond"/>
          <w:lang w:val="en-GB"/>
        </w:rPr>
        <w:t xml:space="preserve"> durchaus nicht mit Inversion zusammen; Masturbation ist ebenso häufig das ausschließliche Ziel, und Einschränkungen des Sexualzieles – bis zur bloßen Gefühlsergießung – sind hier sogar häufiger als bei der heterosexuellen Liebe. Auch bei Frauen sind die Sexualziele der Invertierten mannigfaltig; darunter scheint die Berührung mit der Mundschleimhaut bevorzugt.</w:t>
      </w:r>
    </w:p>
    <w:p w:rsidR="00646842" w:rsidRPr="00866B42" w:rsidRDefault="00646842" w:rsidP="00646842">
      <w:pPr>
        <w:rPr>
          <w:rFonts w:ascii="Garamond" w:hAnsi="Garamond"/>
          <w:lang w:val="en-GB"/>
        </w:rPr>
      </w:pPr>
      <w:r w:rsidRPr="00866B42">
        <w:rPr>
          <w:rFonts w:ascii="Garamond" w:hAnsi="Garamond"/>
          <w:lang w:val="en-GB"/>
        </w:rPr>
        <w:t xml:space="preserve">Schlußfolgerung. Wir sehen uns zwar außerstande, die Entstehung der Inversion aus dem bisher vorliegenden Material befriedigend aufzuklären, können aber merken, daß wir bei dieser Untersuchung zu einer Einsicht gelangt sind, die uns bedeutsamer werden kann als die Lösung der obigen Aufgabe. Wir werden aufmerksam gemacht, daß wir uns die Verknüpfung des Sexualtriebes mit dem Sexualobjekt als eine zu innige vorgestellt haben. Die Erfahrung an den für abnorm gehaltenen Fällen lehrt uns, daß hier zwischen Sexualtrieb und Sexualobjekt eine Verlötung vorliegt, die wir bei der Gleichförmigkeit der normalen Gestaltung, wo der Trieb das Objekt mitzubringen scheint, in Gefahr sind zu übersehen. Wir werden so angewiesen, die Verknüpfung zwischen Trieb und Objekt in unseren Gedanken zu lockern. </w:t>
      </w:r>
      <w:r w:rsidRPr="00866B42">
        <w:rPr>
          <w:rFonts w:ascii="Garamond" w:hAnsi="Garamond"/>
          <w:lang w:val="en-GB"/>
        </w:rPr>
        <w:lastRenderedPageBreak/>
        <w:t>Der Geschlechtstrieb ist wahrscheinlich zunächst unabhängig von seinem Objekt und verdankt wohl auch nicht den Reizen desselben seine Entstehung.</w:t>
      </w:r>
    </w:p>
    <w:p w:rsidR="00646842" w:rsidRPr="00866B42" w:rsidRDefault="00646842" w:rsidP="00646842">
      <w:pPr>
        <w:rPr>
          <w:rFonts w:ascii="Garamond" w:hAnsi="Garamond"/>
          <w:lang w:val="en-GB"/>
        </w:rPr>
      </w:pPr>
      <w:r w:rsidRPr="00866B42">
        <w:rPr>
          <w:rFonts w:ascii="Garamond" w:hAnsi="Garamond"/>
          <w:i/>
          <w:iCs/>
          <w:lang w:val="en-GB"/>
        </w:rPr>
        <w:t>(B) Geschlechtsunreife und Tiere als Sexualobjekte</w:t>
      </w:r>
    </w:p>
    <w:p w:rsidR="00646842" w:rsidRPr="00866B42" w:rsidRDefault="00646842" w:rsidP="00646842">
      <w:pPr>
        <w:rPr>
          <w:rFonts w:ascii="Garamond" w:hAnsi="Garamond"/>
          <w:lang w:val="en-GB"/>
        </w:rPr>
      </w:pPr>
      <w:r w:rsidRPr="00866B42">
        <w:rPr>
          <w:rFonts w:ascii="Garamond" w:hAnsi="Garamond"/>
          <w:lang w:val="en-GB"/>
        </w:rPr>
        <w:t>Während die Personen, deren Sexualobjekte nicht dem normalerweise dazu geeigneten Geschlechte angehören, die Invertierten also, dem Beobachter als eine gesammelte Anzahl von sonst vielleicht vollwertigen Individuen entgegentreten, erscheinen die Fälle, in denen geschlechtsunreife Personen (Kinder) zu Sexualobjekten erkoren werden, von vornherein als vereinzelte Verirrungen. Nur ausnahmsweise sind Kinder die ausschließlichen Sexualobjekte; zumeist gelangen sie zu dieser Rolle, wenn ein feige und impotent gewordenes Individuum sich zu solchem Surrogat versteht oder ein impulsiver (unaufschiebbarer) Trieb sich zur Zeit keines geeigneteren Objektes bemächtigen kann. Immerhin wirft es ein Licht auf die Natur des Geschlechtstriebes, daß er so viel Variation und solche Herabsetzung seines Objektes zuläßt, was der Hunger, der sein Objekt weit energischer festhält, nur im äußersten Falle gestatten würde. Eine ähnliche Bemerkung gilt für den besonders unter dem Landvolke gar nicht seltenen sexuellen Verkehr mit Tieren, wobei sich etwa die Geschlechtsanziehung über die Artschranke hinwegsetzt.</w:t>
      </w:r>
    </w:p>
    <w:p w:rsidR="00646842" w:rsidRPr="00866B42" w:rsidRDefault="00646842" w:rsidP="00646842">
      <w:pPr>
        <w:rPr>
          <w:rFonts w:ascii="Garamond" w:hAnsi="Garamond"/>
          <w:lang w:val="en-GB"/>
        </w:rPr>
      </w:pPr>
      <w:r w:rsidRPr="00866B42">
        <w:rPr>
          <w:rFonts w:ascii="Garamond" w:hAnsi="Garamond"/>
          <w:lang w:val="en-GB"/>
        </w:rPr>
        <w:t>Aus ästhetischen Gründen möchte man gern diese wie andere schwere Verirrungen des Geschlechtstriebes den Geisteskranken zuweisen, aber dies geht nicht an. Die Erfahrung lehrt, daß man bei diesen letzteren keine anderen Störungen des Geschlechtstriebes beobachtet als bei Gesunden, ganzen Rassen und Ständen. So findet sich sexueller Mißbrauch von Kindern mit unheimlicher Häufigkeit bei Lehrern und Wartepersonen, bloß weil sich diesen die beste Gelegenheit dazu bietet. Die Geisteskranken zeigen die betreffende Verirrung nur etwa gesteigert oder, was besonders bedeutsam ist, zur Ausschließlichkeit erhoben und an Stelle der normalen Sexualbefriedigung gerückt.</w:t>
      </w:r>
    </w:p>
    <w:p w:rsidR="00646842" w:rsidRPr="00866B42" w:rsidRDefault="00646842" w:rsidP="00646842">
      <w:pPr>
        <w:rPr>
          <w:rFonts w:ascii="Garamond" w:hAnsi="Garamond"/>
          <w:lang w:val="en-GB"/>
        </w:rPr>
      </w:pPr>
      <w:r w:rsidRPr="00866B42">
        <w:rPr>
          <w:rFonts w:ascii="Garamond" w:hAnsi="Garamond"/>
          <w:lang w:val="en-GB"/>
        </w:rPr>
        <w:t>Dieses sehr merkwürdige Verhältnis der sexuellen Variationen zur Stufenleiter von der Gesundheit bis zur Geistesstörung gibt zu denken. Ich würde meinen, die zu erklärende Tatsache wäre ein Hinweis darauf, daß die Regungen des Geschlechtslebens zu jenen gehören, die auch normalerweise von den höheren Seelentätigkeiten am schlechtesten beherrscht werden. Wer in sonst irgendeiner Beziehung geistig abnorm ist, in sozialer, ethischer Hinsicht, der ist es nach meiner Erfahrung regelmäßig in seinem Sexualleben. Aber viele sind abnorm im Sexualleben, die in allen anderen Punkten dem Durchschnitt entsprechen, die menschliche Kulturentwicklung, deren schwacher Punkt die Sexualität bleibt, in ihrer Person mitgemacht haben.</w:t>
      </w:r>
    </w:p>
    <w:p w:rsidR="00646842" w:rsidRPr="00866B42" w:rsidRDefault="00646842" w:rsidP="00646842">
      <w:pPr>
        <w:rPr>
          <w:rFonts w:ascii="Garamond" w:hAnsi="Garamond"/>
          <w:lang w:val="en-GB"/>
        </w:rPr>
      </w:pPr>
      <w:r w:rsidRPr="00866B42">
        <w:rPr>
          <w:rFonts w:ascii="Garamond" w:hAnsi="Garamond"/>
          <w:lang w:val="en-GB"/>
        </w:rPr>
        <w:t xml:space="preserve">Als allgemeinstes Ergebnis dieser Erörterungen würden wir aber die Einsicht herausgreifen, daß unter einer großen Anzahl von Bedingungen und bei überraschend viel Individuen die Art und der Wert des Sexualobjektes in den Hintergrund treten. Etwas anderes ist am Sexualtrieb das Wesentliche und Konstante </w:t>
      </w:r>
      <w:hyperlink r:id="rId1376"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Der eingreifendste Unterschied zwischen dem Liebesleben der Alten Welt und dem unsrigen liegt wohl darin, daß die Antike den Akzent auf den Trieb selbst, wir aber auf dessen Objekt verlegen. Die Alten feierten den Trieb und waren bereit, auch ein minderwertiges Objekt durch ihn zu adeln, während wir die Triebbetätigung an sich geringschätzen und sie nur durch die Vorzüge des Objekts entschuldigen lassen.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(2) Abweichungen in bezug auf das Sexualziel</w:t>
      </w:r>
    </w:p>
    <w:p w:rsidR="00646842" w:rsidRPr="00866B42" w:rsidRDefault="00646842" w:rsidP="00646842">
      <w:pPr>
        <w:rPr>
          <w:rFonts w:ascii="Garamond" w:hAnsi="Garamond"/>
          <w:lang w:val="en-GB"/>
        </w:rPr>
      </w:pPr>
      <w:r w:rsidRPr="00866B42">
        <w:rPr>
          <w:rFonts w:ascii="Garamond" w:hAnsi="Garamond"/>
          <w:lang w:val="en-GB"/>
        </w:rPr>
        <w:t xml:space="preserve">Als normales Sexualziel gilt die Vereinigung der Genitalien in dem als Begattung bezeichneten Akte, der zur Lösung der sexuellen Spannung und zum zeitweiligen Erlöschen des Sexualtriebes führt (Befriedigung analog der Sättigung beim Hunger). Doch sind bereits am normalsten Sexualvorgang jene Ansätze kenntlich, deren Ausbildung zu den Abirrungen führt, die man als </w:t>
      </w:r>
      <w:r w:rsidRPr="00866B42">
        <w:rPr>
          <w:rFonts w:ascii="Garamond" w:hAnsi="Garamond"/>
          <w:i/>
          <w:iCs/>
          <w:lang w:val="en-GB"/>
        </w:rPr>
        <w:t>Perversionen</w:t>
      </w:r>
      <w:r w:rsidRPr="00866B42">
        <w:rPr>
          <w:rFonts w:ascii="Garamond" w:hAnsi="Garamond"/>
          <w:lang w:val="en-GB"/>
        </w:rPr>
        <w:t xml:space="preserve"> beschrieben hat. Es werden nämlich gewisse intermediäre (auf dem Wege zur Begattung liegende) Beziehungen zum Sexualobjekt, wie </w:t>
      </w:r>
      <w:r w:rsidRPr="00866B42">
        <w:rPr>
          <w:rFonts w:ascii="Garamond" w:hAnsi="Garamond"/>
          <w:lang w:val="en-GB"/>
        </w:rPr>
        <w:lastRenderedPageBreak/>
        <w:t xml:space="preserve">das Betasten und Beschauen desselben, als vorläufige Sexualziele anerkannt. Diese Betätigungen sind einerseits selbst mit Lust verbunden, andererseits steigern sie die Erregung, welche bis zur Erreichung des endgültigen Sexualzieles andauern soll. Eine bestimmte dieser Berührungen, die der beiderseitigen Lippenschleimhaut, hat ferner als Kuß bei vielen Völkern (die höchstzivilisierten darunter) einen hohen sexuellen Wert erhalten, obwohl die dabei in Betracht kommenden Körperteile nicht dem Geschlechtsapparat angehören, sondern den Eingang zum Verdauungskanal bilden. Hiemit sind also Momente gegeben, welche die Perversionen an das normale Sexualleben anknüpfen lassen und auch zur Einteilung derselben verwendbar sind. Die Perversionen sind entweder </w:t>
      </w:r>
      <w:r w:rsidRPr="00866B42">
        <w:rPr>
          <w:rFonts w:ascii="Garamond" w:hAnsi="Garamond"/>
          <w:i/>
          <w:iCs/>
          <w:lang w:val="en-GB"/>
        </w:rPr>
        <w:t>a)</w:t>
      </w:r>
      <w:r w:rsidRPr="00866B42">
        <w:rPr>
          <w:rFonts w:ascii="Garamond" w:hAnsi="Garamond"/>
          <w:lang w:val="en-GB"/>
        </w:rPr>
        <w:t xml:space="preserve"> anatomische </w:t>
      </w:r>
      <w:r w:rsidRPr="00866B42">
        <w:rPr>
          <w:rFonts w:ascii="Garamond" w:hAnsi="Garamond"/>
          <w:i/>
          <w:iCs/>
          <w:lang w:val="en-GB"/>
        </w:rPr>
        <w:t>Überschreitungen</w:t>
      </w:r>
      <w:r w:rsidRPr="00866B42">
        <w:rPr>
          <w:rFonts w:ascii="Garamond" w:hAnsi="Garamond"/>
          <w:lang w:val="en-GB"/>
        </w:rPr>
        <w:t xml:space="preserve"> der für die geschlechtliche Vereinigung bestimmten Körpergebiete oder </w:t>
      </w:r>
      <w:r w:rsidRPr="00866B42">
        <w:rPr>
          <w:rFonts w:ascii="Garamond" w:hAnsi="Garamond"/>
          <w:i/>
          <w:iCs/>
          <w:lang w:val="en-GB"/>
        </w:rPr>
        <w:t>b)</w:t>
      </w:r>
      <w:r w:rsidRPr="00866B42">
        <w:rPr>
          <w:rFonts w:ascii="Garamond" w:hAnsi="Garamond"/>
          <w:lang w:val="en-GB"/>
        </w:rPr>
        <w:t xml:space="preserve">  </w:t>
      </w:r>
      <w:r w:rsidRPr="00866B42">
        <w:rPr>
          <w:rFonts w:ascii="Garamond" w:hAnsi="Garamond"/>
          <w:i/>
          <w:iCs/>
          <w:lang w:val="en-GB"/>
        </w:rPr>
        <w:t>Verweilungen</w:t>
      </w:r>
      <w:r w:rsidRPr="00866B42">
        <w:rPr>
          <w:rFonts w:ascii="Garamond" w:hAnsi="Garamond"/>
          <w:lang w:val="en-GB"/>
        </w:rPr>
        <w:t xml:space="preserve"> bei den intermediären Relationen zum Sexualobjekt, die normalerweise auf dem Wege zum endgültigen Sexualziel rasch durchschritten werden sollen.</w:t>
      </w:r>
    </w:p>
    <w:p w:rsidR="00646842" w:rsidRPr="00866B42" w:rsidRDefault="00646842" w:rsidP="00646842">
      <w:pPr>
        <w:rPr>
          <w:rFonts w:ascii="Garamond" w:hAnsi="Garamond"/>
          <w:lang w:val="en-GB"/>
        </w:rPr>
      </w:pPr>
      <w:r w:rsidRPr="00866B42">
        <w:rPr>
          <w:rFonts w:ascii="Garamond" w:hAnsi="Garamond"/>
          <w:i/>
          <w:iCs/>
          <w:lang w:val="en-GB"/>
        </w:rPr>
        <w:t>(A) Anatomische Überschreitungen</w:t>
      </w:r>
    </w:p>
    <w:p w:rsidR="00646842" w:rsidRPr="00866B42" w:rsidRDefault="00646842" w:rsidP="00646842">
      <w:pPr>
        <w:rPr>
          <w:rFonts w:ascii="Garamond" w:hAnsi="Garamond"/>
          <w:lang w:val="en-GB"/>
        </w:rPr>
      </w:pPr>
      <w:r w:rsidRPr="00866B42">
        <w:rPr>
          <w:rFonts w:ascii="Garamond" w:hAnsi="Garamond"/>
          <w:lang w:val="en-GB"/>
        </w:rPr>
        <w:t xml:space="preserve">Überschätzung des Sexualobjektes. Die psychische Wertschätzung, deren das Sexualobjekt als Wunschziel des Sexualtriebes teilhaftig wird, beschränkt sich in den seltensten Fällen auf dessen Genitalien, sondern greift auf den ganzen Körper desselben über und hat die Tendenz, alle vom Sexualobjekt ausgehenden Sensationen mit einzubeziehen. Die gleiche Überschätzung strahlt auf das psychische Gebiet aus und zeigt sich als logische Verblendung (Urteilsschwäche) angesichts der seelischen Leistungen und Vollkommenheiten des Sexualobjektes sowie als gläubige Gefügigkeit gegen die von letzterem ausgehenden Urteile. Die Gläubigkeit der Liebe wird so zu einer wichtigen, wenn nicht zur uranfänglichen Quelle der </w:t>
      </w:r>
      <w:r w:rsidRPr="00866B42">
        <w:rPr>
          <w:rFonts w:ascii="Garamond" w:hAnsi="Garamond"/>
          <w:i/>
          <w:iCs/>
          <w:lang w:val="en-GB"/>
        </w:rPr>
        <w:t>Autorität</w:t>
      </w:r>
      <w:hyperlink r:id="rId1377"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Ich kann mir nicht versagen, hiebei an die gläubige Gefügigkeit der Hypnotisierten gegen ihren Hypnotiseur zu erinnern, welche mich vermuten läßt, daß das Wesen der Hypnose in die unbewußte Fixierung der Libido auf die Person des Hypnotiseurs (vermittels der masochistischen Komponente des Sexualtriebes) zu verlegen ist. – S. Ferenczi hat diesen Charakter der Suggerierbarkeit mit dem »Elternkomplex« verknüpft. (1909.)</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Diese Sexualüberschätzung ist es nun, welche sich mit der Einschränkung des Sexualzieles auf die Vereinigung der eigentlichen Genitalien so schlecht verträgt und Vornahmen an anderen Körperteilen zu Sexualzielen erheben hilft </w:t>
      </w:r>
      <w:hyperlink r:id="rId1378"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Es ist indes zu bemerken, daß die Sexualüberschätzung nicht bei allen Mechanismen der Objektwahl ausgebildet wird und daß wir späterhin eine andere und direktere Erklärung für die sexuelle Rolle der anderen Körperteile kennenlernen werden. Das Moment des »Reizhungers«, das von Hoche und I. Bloch zur Erklärung des Übergreifens von sexuellem Interesse auf andere Körperteile als die Genitalien herangezogen wird, scheint mir diese Bedeutung nicht zu verdienen. Die verschiedenen Wege, auf denen die Libido wandelt, verhalten sich zueinander von Anfang an wie kommunizierende Röhren, und man muß dem Phänomen der Kollateralströmung Rechnung tragen.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Die Bedeutung des Moments der Sexualüberschätzung läßt sich am ehesten beim Manne studieren, dessen Liebesleben allein der Erforschung zugänglich geworden ist, während das des Weibes zum Teil infolge der Kulturverkümmerung, zum anderen Teil durch die konventionelle Verschwiegenheit und Unaufrichtigkeit der Frauen in ein noch undurchdringliches Dunkel gehüllt ist </w:t>
      </w:r>
      <w:hyperlink r:id="rId1379"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Das Weib läßt in typischen Fällen eine »Sexualüberschätzung« des Mannes vermissen, versäumt dieselbe aber fast niemals gegen das von ihr geborene Kind.</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rPr>
        <w:t xml:space="preserve">Sexuelle Verwendung der Lippen-Mund-Schleimhaut. </w:t>
      </w:r>
      <w:r w:rsidRPr="00866B42">
        <w:rPr>
          <w:rFonts w:ascii="Garamond" w:hAnsi="Garamond"/>
          <w:lang w:val="en-GB"/>
        </w:rPr>
        <w:t xml:space="preserve">Die Verwendung des Mundes als Sexualorgan gilt als Perversion, wenn die Lippen (Zunge) der einen Person mit den Genitalien der anderen in Berührung gebracht werden, nicht aber, wenn beider Teile Lippenschleimhäute einander berühren. In letzterer Ausnahme liegt die Anknüpfung ans Normale. Wer die anderen wohl seit den Urzeiten der Menschheit gebräuchlichen Praktiken als Perversionen verabscheut, der gibt dabei einem deutlichen </w:t>
      </w:r>
      <w:r w:rsidRPr="00866B42">
        <w:rPr>
          <w:rFonts w:ascii="Garamond" w:hAnsi="Garamond"/>
          <w:i/>
          <w:iCs/>
          <w:lang w:val="en-GB"/>
        </w:rPr>
        <w:t>Ekelgefühl</w:t>
      </w:r>
      <w:r w:rsidRPr="00866B42">
        <w:rPr>
          <w:rFonts w:ascii="Garamond" w:hAnsi="Garamond"/>
          <w:lang w:val="en-GB"/>
        </w:rPr>
        <w:t xml:space="preserve"> nach, </w:t>
      </w:r>
      <w:r w:rsidRPr="00866B42">
        <w:rPr>
          <w:rFonts w:ascii="Garamond" w:hAnsi="Garamond"/>
          <w:lang w:val="en-GB"/>
        </w:rPr>
        <w:lastRenderedPageBreak/>
        <w:t>welches ihn vor der Annahme eines solchen Sexualzieles schützt. Die Grenze dieses Ekels ist aber häufig rein konventionell; wer etwa mit Inbrunst die Lippen eines schönen Mädchens küßt, wird vielleicht das Zahnbürstchen desselben nur mit Ekel gebrauchen können, wenngleich kein Grund zur Annahme vorliegt, daß seine eigene Mundhöhle, vor der ihm nicht ekelt, reinlicher sei als die des Mädchens. Man wird hier auf das Moment des Ekels aufmerksam, welches der libidinösen Überschätzung des Sexualobjekts in den Weg tritt, seinerseits aber durch die Libido überwunden werden kann. In dem Ekel möchte man eine der Mächte erblicken, welche die Einschränkung des Sexualzieles zustande gebracht haben. In der Regel machen diese vor den Genitalien selbst halt. Es ist aber kein Zweifel, daß auch die Genitalien des anderen Geschlechts an und für sich Gegenstand des Ekels sein können und daß dieses Verhalten zur Charakteristik aller Hysterischen (zumal der weiblichen) gehört. Die Stärke des Sexualtriebes liebt es, sich in der Überwindung dieses Ekels zu betätigen. (S. u.)</w:t>
      </w:r>
    </w:p>
    <w:p w:rsidR="00646842" w:rsidRPr="00866B42" w:rsidRDefault="00646842" w:rsidP="00646842">
      <w:pPr>
        <w:rPr>
          <w:rFonts w:ascii="Garamond" w:hAnsi="Garamond"/>
          <w:lang w:val="en-GB"/>
        </w:rPr>
      </w:pPr>
      <w:r w:rsidRPr="00866B42">
        <w:rPr>
          <w:rFonts w:ascii="Garamond" w:hAnsi="Garamond"/>
          <w:lang w:val="en-GB"/>
        </w:rPr>
        <w:t>Sexuelle Verwendung der Afteröffnung. Klarer noch als im früheren Falle erkennt man bei der Inanspruchnahme des Afters, daß es der Ekel ist, welcher dieses Sexualziel zur Perversion stempelt. Man lege mir aber die Bemerkung nicht als Parteinahme aus, daß die Begründung dieses Ekels, diese Körperpartie diene der Exkretion und komme mit dem Ekelhaften an sich – den Exkrementen – in Berührung, nicht viel stichhältiger ist als etwa die Begründung, welche hysterische Mädchen für ihren Ekel vor dem männlichen Genitale abgeben: es diene der Harnentleerung.</w:t>
      </w:r>
    </w:p>
    <w:p w:rsidR="00646842" w:rsidRPr="00866B42" w:rsidRDefault="00646842" w:rsidP="00646842">
      <w:pPr>
        <w:rPr>
          <w:rFonts w:ascii="Garamond" w:hAnsi="Garamond"/>
          <w:lang w:val="en-GB"/>
        </w:rPr>
      </w:pPr>
      <w:r w:rsidRPr="00866B42">
        <w:rPr>
          <w:rFonts w:ascii="Garamond" w:hAnsi="Garamond"/>
          <w:lang w:val="en-GB"/>
        </w:rPr>
        <w:t>Die sexuelle Rolle der Afterschleimhaut ist keineswegs auf den Verkehr zwischen Männern beschränkt, ihre Bevorzugung hat nichts für das invertierte Fühlen Charakteristisches. Es scheint im Gegenteil, daß die Pädikatio des Mannes ihre Rolle der Analogie mit dem Akt beim Weibe verdankt, während gegenseitige Masturbation das Sexualziel ist, welches sich beim Verkehr Invertierter am ehesten ergibt.</w:t>
      </w:r>
    </w:p>
    <w:p w:rsidR="00646842" w:rsidRPr="00866B42" w:rsidRDefault="00646842" w:rsidP="00646842">
      <w:pPr>
        <w:rPr>
          <w:rFonts w:ascii="Garamond" w:hAnsi="Garamond"/>
          <w:lang w:val="en-GB"/>
        </w:rPr>
      </w:pPr>
      <w:r w:rsidRPr="00866B42">
        <w:rPr>
          <w:rFonts w:ascii="Garamond" w:hAnsi="Garamond"/>
          <w:lang w:val="en-GB"/>
        </w:rPr>
        <w:t>Bedeutung anderer Körperstellen. Das sexuelle Übergreifen auf andere Körperstellen bietet in all seinen Variationen nichts prinzipiell Neues, fügt nichts zur Kenntnis des Sexualtriebes hinzu, der hierin nur seine Absicht verkündet, sich des Sexualobjekts nach allen Richtungen zu bemächtigen. Neben der Sexualüberschätzung meldet sich aber bei den anatomischen Überschreitungen ein zweites, der populären Kenntnis fremdartiges Moment. Gewisse Körperstellen, wie die Mund- und Afterschleimhaut, die immer wieder in diesen Praktiken auftreten, erheben gleichsam den Anspruch, selbst als Genitalien betrachtet und behandelt zu werden. Wir werden hören, wie dieser Anspruch durch die Entwicklung des Sexualtriebes gerechtfertigt und wie er in der Symptomatologie gewisser Krankheitszustände erfüllt wird.</w:t>
      </w:r>
    </w:p>
    <w:p w:rsidR="00646842" w:rsidRPr="00866B42" w:rsidRDefault="00646842" w:rsidP="00646842">
      <w:pPr>
        <w:rPr>
          <w:rFonts w:ascii="Garamond" w:hAnsi="Garamond"/>
          <w:lang w:val="en-GB"/>
        </w:rPr>
      </w:pPr>
      <w:r w:rsidRPr="00866B42">
        <w:rPr>
          <w:rFonts w:ascii="Garamond" w:hAnsi="Garamond"/>
          <w:lang w:val="en-GB"/>
        </w:rPr>
        <w:t xml:space="preserve">Ungeeigneter Ersatz des Sexualobjekt-Fetischismus. Einen ganz besonderen Eindruck ergeben jene Fälle, in denen das normale Sexualobjekt ersetzt wird durch ein anderes, das zu ihm in Beziehung steht, dabei aber völlig ungeeignet ist, dem normalen Sexualziel zu dienen. Wir hätten nach den Gesichtspunkten der Einteilung wohl besser getan, diese höchst interessante Gruppe von Abirrungen des Sexualtriebes schon bei den Abweichungen in bezug auf das Sexualobjekt zu erwähnen, verschoben es aber, bis wir das Moment der </w:t>
      </w:r>
      <w:r w:rsidRPr="00866B42">
        <w:rPr>
          <w:rFonts w:ascii="Garamond" w:hAnsi="Garamond"/>
          <w:i/>
          <w:iCs/>
          <w:lang w:val="en-GB"/>
        </w:rPr>
        <w:t>Sexualüberschätzung</w:t>
      </w:r>
      <w:r w:rsidRPr="00866B42">
        <w:rPr>
          <w:rFonts w:ascii="Garamond" w:hAnsi="Garamond"/>
          <w:lang w:val="en-GB"/>
        </w:rPr>
        <w:t xml:space="preserve"> kennengelernt hatten, von welchem diese Erscheinungen abhängen, mit denen ein Aufgeben des Sexualzieles verbunden ist.</w:t>
      </w:r>
    </w:p>
    <w:p w:rsidR="00646842" w:rsidRPr="00866B42" w:rsidRDefault="00646842" w:rsidP="00646842">
      <w:pPr>
        <w:rPr>
          <w:rFonts w:ascii="Garamond" w:hAnsi="Garamond"/>
          <w:lang w:val="en-GB"/>
        </w:rPr>
      </w:pPr>
      <w:r w:rsidRPr="00866B42">
        <w:rPr>
          <w:rFonts w:ascii="Garamond" w:hAnsi="Garamond"/>
          <w:lang w:val="en-GB"/>
        </w:rPr>
        <w:t>Der Ersatz für das Sexualobjekt ist ein im allgemeinen für sexuelle Zwecke sehr wenig geeigneter Körperteil (Fuß, Haar) oder ein unbelebtes Objekt, welches in nachweisbarer Relation mit der Sexualperson, am besten mit der Sexualität derselben, steht. (Stücke der Kleidung, weiße Wäsche.) Dieser Ersatz wird nicht mit Unrecht mit dem Fetisch verglichen, in dem der Wilde seinen Gott verkörpert sieht.</w:t>
      </w:r>
    </w:p>
    <w:p w:rsidR="00646842" w:rsidRPr="00866B42" w:rsidRDefault="00646842" w:rsidP="00646842">
      <w:pPr>
        <w:rPr>
          <w:rFonts w:ascii="Garamond" w:hAnsi="Garamond"/>
          <w:lang w:val="en-GB"/>
        </w:rPr>
      </w:pPr>
      <w:r w:rsidRPr="00866B42">
        <w:rPr>
          <w:rFonts w:ascii="Garamond" w:hAnsi="Garamond"/>
          <w:lang w:val="en-GB"/>
        </w:rPr>
        <w:t xml:space="preserve">Den Übergang zu den Fällen von Fetischismus mit Verzicht auf ein normales oder perverses Sexualziel bilden Fälle, in denen eine fetischistische Bedingung am Sexualobjekt erfordert wird, wenn das Sexualziel erreicht werden soll. (Bestimmte Haarfarbe, Kleidung, selbst Körperfehler.) Keine andere ans Pathologische streifende Variation des Sexualtriebes hat so viel Anspruch auf unser Interesse wie diese durch die Sonderbarkeit der durch sie veranlaßten Erscheinungen. Eine gewisse Herabsetzung des </w:t>
      </w:r>
      <w:r w:rsidRPr="00866B42">
        <w:rPr>
          <w:rFonts w:ascii="Garamond" w:hAnsi="Garamond"/>
          <w:lang w:val="en-GB"/>
        </w:rPr>
        <w:lastRenderedPageBreak/>
        <w:t xml:space="preserve">Strebens nach dem normalen Sexualziel scheint für alle Fälle Voraussetzung (exekutive Schwäche des Sexualapparates) </w:t>
      </w:r>
      <w:hyperlink r:id="rId1380"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Diese Schwäche entspräche der </w:t>
        </w:r>
        <w:r w:rsidRPr="00866B42">
          <w:rPr>
            <w:rStyle w:val="innerfusslink3"/>
            <w:rFonts w:ascii="Garamond" w:hAnsi="Garamond" w:cs="Arial"/>
            <w:b/>
            <w:bCs/>
            <w:i/>
            <w:iCs/>
            <w:lang w:val="en-GB"/>
          </w:rPr>
          <w:t>konstitutionellen</w:t>
        </w:r>
        <w:r w:rsidRPr="00866B42">
          <w:rPr>
            <w:rStyle w:val="innerfusslink3"/>
            <w:rFonts w:ascii="Garamond" w:hAnsi="Garamond" w:cs="Arial"/>
            <w:b/>
            <w:bCs/>
            <w:lang w:val="en-GB"/>
          </w:rPr>
          <w:t xml:space="preserve"> Voraussetzung. Die Psychoanalyse hat als </w:t>
        </w:r>
        <w:r w:rsidRPr="00866B42">
          <w:rPr>
            <w:rStyle w:val="innerfusslink3"/>
            <w:rFonts w:ascii="Garamond" w:hAnsi="Garamond" w:cs="Arial"/>
            <w:b/>
            <w:bCs/>
            <w:i/>
            <w:iCs/>
            <w:lang w:val="en-GB"/>
          </w:rPr>
          <w:t>akzidentelle</w:t>
        </w:r>
        <w:r w:rsidRPr="00866B42">
          <w:rPr>
            <w:rStyle w:val="innerfusslink3"/>
            <w:rFonts w:ascii="Garamond" w:hAnsi="Garamond" w:cs="Arial"/>
            <w:b/>
            <w:bCs/>
            <w:lang w:val="en-GB"/>
          </w:rPr>
          <w:t xml:space="preserve"> Bedingung die frühzeitige Sexualeinschüchterung nachgewiesen, welche vom normalen Sexualziel abdrängt und zum Ersatz desselben anregt.</w:t>
        </w:r>
      </w:hyperlink>
      <w:r w:rsidRPr="00866B42">
        <w:rPr>
          <w:rFonts w:ascii="Garamond" w:hAnsi="Garamond"/>
          <w:lang w:val="en-GB"/>
        </w:rPr>
        <w:t>. Die Anknüpfung ans Normale wird durch die psychologisch notwendige Überschätzung des Sexualobjektes vermittelt, welche unvermeidlich auf alles mit demselben assoziativ Verbundene übergreift. Ein gewisser Grad von solchem Fetischismus ist daher dem normalen Lieben regelmäßig eigen, besonders in jenen Stadien der Verliebtheit, in welchen das normale Sexualziel unerreichbar oder dessen Erfüllung aufgehoben erscheint.</w:t>
      </w:r>
    </w:p>
    <w:p w:rsidR="00646842" w:rsidRPr="00866B42" w:rsidRDefault="00646842" w:rsidP="00646842">
      <w:pPr>
        <w:rPr>
          <w:rFonts w:ascii="Garamond" w:hAnsi="Garamond"/>
          <w:lang w:val="en-GB"/>
        </w:rPr>
      </w:pPr>
      <w:r w:rsidRPr="00866B42">
        <w:rPr>
          <w:rFonts w:ascii="Garamond" w:hAnsi="Garamond"/>
          <w:lang w:val="en-GB"/>
        </w:rPr>
        <w:t xml:space="preserve">»Schaff' mir ein Halstuch von ihrer Brust, </w:t>
      </w:r>
      <w:r w:rsidRPr="00866B42">
        <w:rPr>
          <w:rFonts w:ascii="Garamond" w:hAnsi="Garamond"/>
          <w:lang w:val="en-GB"/>
        </w:rPr>
        <w:br/>
        <w:t>Ein Strumpfband meiner Liebeslust!«</w:t>
      </w:r>
    </w:p>
    <w:p w:rsidR="00646842" w:rsidRPr="00866B42" w:rsidRDefault="00646842" w:rsidP="00646842">
      <w:pPr>
        <w:rPr>
          <w:rFonts w:ascii="Garamond" w:hAnsi="Garamond"/>
          <w:lang w:val="en-GB"/>
        </w:rPr>
      </w:pPr>
      <w:r w:rsidRPr="00866B42">
        <w:rPr>
          <w:rFonts w:ascii="Garamond" w:hAnsi="Garamond"/>
          <w:lang w:val="en-GB"/>
        </w:rPr>
        <w:t>Der pathologische Fall tritt erst ein, wenn sich das Streben nach dem Fetisch über solche Bedingung hinaus fixiert und sich an die Stelle des normalen Zieles setzt, ferner wenn sich der Fetisch von der bestimmten Person loslöst, zum alleinigen Sexualobjekt wird. Es sind dies die allgemeinen Bedingungen für das Übergehen bloßer Variationen des Geschlechtstriebes in pathologische Verirrungen.</w:t>
      </w:r>
    </w:p>
    <w:p w:rsidR="00646842" w:rsidRPr="00866B42" w:rsidRDefault="00646842" w:rsidP="00646842">
      <w:pPr>
        <w:rPr>
          <w:rFonts w:ascii="Garamond" w:hAnsi="Garamond"/>
          <w:lang w:val="en-GB"/>
        </w:rPr>
      </w:pPr>
      <w:r w:rsidRPr="00866B42">
        <w:rPr>
          <w:rFonts w:ascii="Garamond" w:hAnsi="Garamond"/>
          <w:lang w:val="en-GB"/>
        </w:rPr>
        <w:t xml:space="preserve">In der Auswahl des Fetisch zeigt sich, wie Binet zuerst behauptet hat und dann später durch zahlreiche Belege erwiesen worden ist, der fortwirkende Einfluß eines zumeist in früher Kindheit empfangenen sexuellen Eindruckes, was man der sprichwörtlichen Haftfähigkeit einer ersten Liebe beim Normalen (» </w:t>
      </w:r>
      <w:r w:rsidRPr="00866B42">
        <w:rPr>
          <w:rFonts w:ascii="Garamond" w:hAnsi="Garamond"/>
          <w:i/>
          <w:iCs/>
          <w:lang w:val="en-GB"/>
        </w:rPr>
        <w:t>on revient toujours à ses premiers amours</w:t>
      </w:r>
      <w:r w:rsidRPr="00866B42">
        <w:rPr>
          <w:rFonts w:ascii="Garamond" w:hAnsi="Garamond"/>
          <w:lang w:val="en-GB"/>
        </w:rPr>
        <w:t xml:space="preserve">«) an die Seite stellen darf. Eine solche Ableitung ist besonders deutlich bei Fällen mit bloß fetischistischer Bedingtheit des Sexualobjektes. Der Bedeutung frühzeitiger sexueller Eindrücke werden wir noch an anderer Stelle begegnen </w:t>
      </w:r>
      <w:hyperlink r:id="rId1381"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Tiefer eindringende psychoanalytische Untersuchung hat zu einer berechtigten Kritik der Binetschen Behauptung geführt. Alle hieher gehörigen Beobachtungen haben ein erstes Zusammentreffen mit dem Fetisch zum Inhalt, in welchem sich dieser bereits im Besitz des sexuellen Interesses zeigt, ohne daß man aus den Begleitumständen verstehen könnte, wie er zu diesem Besitz gekommen ist. Auch fallen alle diese »frühzeitigen« Sexualeindrücke in die Zeit nach dem fünften, sechsten Jahr, während die Psychoanalyse daran zweifeln läßt, ob sich pathologische Fixierungen so spät neubilden können. Der wirkliche Sachverhalt ist der, daß hinter der ersten Erinnerung an das Auftreten des Fetisch eine untergegangene und vergessene Phase der Sexualentwicklung liegt, die durch den Fetisch wie durch eine »Deckerinnerung« vertreten wird, deren Rest und Niederschlag der Fetisch also darstellt. Die Wendung dieser in die ersten Kindheitsjahre fallenden Phase zum Fetischismus sowie die Auswahl des Fetisch selbst sind konstitutionell determiniert.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In anderen Fällen ist es eine dem Betroffenen meist nicht bewußte symbolische Gedankenverbindung, welche zum Ersatz des Objektes durch den Fetisch geführt hat. Die Wege dieser Verbindungen sind nicht immer mit Sicherheit nachzuweisen (der Fuß ist ein uraltes sexuelles Symbol, schon im Mythus </w:t>
      </w:r>
      <w:hyperlink r:id="rId1382"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Dementsprechend der Schuh oder Pantoffel Symbol des weiblichen Genitales.</w:t>
        </w:r>
      </w:hyperlink>
      <w:r w:rsidRPr="00866B42">
        <w:rPr>
          <w:rFonts w:ascii="Garamond" w:hAnsi="Garamond"/>
          <w:lang w:val="en-GB"/>
        </w:rPr>
        <w:t xml:space="preserve">, »Pelz« verdankt seine Fetischrolle wohl der Assoziation mit der Behaarung des </w:t>
      </w:r>
      <w:r w:rsidRPr="00866B42">
        <w:rPr>
          <w:rFonts w:ascii="Garamond" w:hAnsi="Garamond"/>
          <w:i/>
          <w:iCs/>
          <w:lang w:val="en-GB"/>
        </w:rPr>
        <w:t>mons Veneris</w:t>
      </w:r>
      <w:r w:rsidRPr="00866B42">
        <w:rPr>
          <w:rFonts w:ascii="Garamond" w:hAnsi="Garamond"/>
          <w:lang w:val="en-GB"/>
        </w:rPr>
        <w:t xml:space="preserve">); doch scheint auch solche Symbolik nicht immer unabhängig von sexuellen Erlebnissen der Kinderzeit </w:t>
      </w:r>
      <w:hyperlink r:id="rId1383"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Die Psychoanalyse hat eine der noch vorhandenen Lücken im Verständnis des Fetischismus ausgefüllt, indem sie auf die Bedeutung einer durch Verdrängung verlorengegangenen koprophilen </w:t>
        </w:r>
        <w:r w:rsidRPr="00866B42">
          <w:rPr>
            <w:rStyle w:val="innerfusslink3"/>
            <w:rFonts w:ascii="Garamond" w:hAnsi="Garamond" w:cs="Arial"/>
            <w:b/>
            <w:bCs/>
            <w:i/>
            <w:iCs/>
            <w:lang w:val="en-GB"/>
          </w:rPr>
          <w:t>Riechlust</w:t>
        </w:r>
        <w:r w:rsidRPr="00866B42">
          <w:rPr>
            <w:rStyle w:val="innerfusslink3"/>
            <w:rFonts w:ascii="Garamond" w:hAnsi="Garamond" w:cs="Arial"/>
            <w:b/>
            <w:bCs/>
            <w:lang w:val="en-GB"/>
          </w:rPr>
          <w:t xml:space="preserve"> für die Auswahl des Fetisch hinwies. Fuß und Haar sind stark riechende Objekte, die nach dem Verzicht auf die unlustig gewordene Geruchsempfindung zu Fetischen erhoben werden. In der dem Fußfetischismus entsprechenden Perversion ist demgemäß nur der schmutzige und übelriechende Fuß das Sexualobjekt. Ein anderer Beitrag zur Aufklärung der fetischistischen Bevorzugung des Fußes ergibt sich aus den infantilen Sexualtheorien. (S. u.) Der </w:t>
        </w:r>
        <w:r w:rsidRPr="00866B42">
          <w:rPr>
            <w:rStyle w:val="innerfusslink3"/>
            <w:rFonts w:ascii="Garamond" w:hAnsi="Garamond" w:cs="Arial"/>
            <w:b/>
            <w:bCs/>
            <w:lang w:val="en-GB"/>
          </w:rPr>
          <w:lastRenderedPageBreak/>
          <w:t xml:space="preserve">Fuß ersetzt den schwer vermißten Penis des Weibes. – In manchen Fällen von Fußfetischismus ließ sich zeigen, daß der ursprünglich auf das Genitale gerichtete </w:t>
        </w:r>
        <w:r w:rsidRPr="00866B42">
          <w:rPr>
            <w:rStyle w:val="innerfusslink3"/>
            <w:rFonts w:ascii="Garamond" w:hAnsi="Garamond" w:cs="Arial"/>
            <w:b/>
            <w:bCs/>
            <w:i/>
            <w:iCs/>
            <w:lang w:val="en-GB"/>
          </w:rPr>
          <w:t>Schautrieb</w:t>
        </w:r>
        <w:r w:rsidRPr="00866B42">
          <w:rPr>
            <w:rStyle w:val="innerfusslink3"/>
            <w:rFonts w:ascii="Garamond" w:hAnsi="Garamond" w:cs="Arial"/>
            <w:b/>
            <w:bCs/>
            <w:lang w:val="en-GB"/>
          </w:rPr>
          <w:t>, der seinem Objekt von unten her nahe kommen wollte, durch Verbot und Verdrängung auf dem Wege aufgehalten wurde und darum Fuß oder Schuh als Fetisch festhielt. Das weibliche Genitale wurde dabei, der infantilen Erwartung entsprechend, als ein männliches vorgestellt.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i/>
          <w:iCs/>
          <w:lang w:val="en-GB"/>
        </w:rPr>
        <w:t>(B) Fixierungen von vorläufigen Sexualzielen</w:t>
      </w:r>
    </w:p>
    <w:p w:rsidR="00646842" w:rsidRPr="00866B42" w:rsidRDefault="00646842" w:rsidP="00646842">
      <w:pPr>
        <w:rPr>
          <w:rFonts w:ascii="Garamond" w:hAnsi="Garamond"/>
          <w:lang w:val="en-GB"/>
        </w:rPr>
      </w:pPr>
      <w:r w:rsidRPr="00866B42">
        <w:rPr>
          <w:rFonts w:ascii="Garamond" w:hAnsi="Garamond"/>
          <w:lang w:val="en-GB"/>
        </w:rPr>
        <w:t>Auftreten neuer Absichten. Alle äußeren und inneren Bedingungen, welche das Erreichen des normalen Sexualzieles erschweren oder in die Ferne rücken (Impotenz, Kostbarkeit des Sexualobjektes, Gefahren des Sexualaktes), unterstützen wie begreiflich die Neigung, bei den vorbereitenden Akten zu verweilen und neue Sexualziele aus ihnen zu gestalten, die an die Stelle des normalen treten können. Bei näherer Prüfung zeigt sich stets, daß die anscheinend fremdartigsten dieser neuen Absichten doch bereits beim normalen Sexualvorgang angedeutet sind.</w:t>
      </w:r>
    </w:p>
    <w:p w:rsidR="00646842" w:rsidRPr="00866B42" w:rsidRDefault="00646842" w:rsidP="00646842">
      <w:pPr>
        <w:rPr>
          <w:rFonts w:ascii="Garamond" w:hAnsi="Garamond"/>
          <w:lang w:val="en-GB"/>
        </w:rPr>
      </w:pPr>
      <w:r w:rsidRPr="00866B42">
        <w:rPr>
          <w:rFonts w:ascii="Garamond" w:hAnsi="Garamond"/>
          <w:lang w:val="en-GB"/>
        </w:rPr>
        <w:t>Betasten und Beschauen. Ein gewisses Maß von Tasten ist wenigstens für den Menschen zur Erreichung des normalen Sexualzieles unerläßlich. Auch ist es allgemein bekannt, welche Lustquelle einerseits, welcher Zufluß neuer Erregung andererseits durch die Berührungsempfindungen von der Haut des Sexualobjektes gewonnen wird. Somit kann das Verweilen beim Betasten, falls der Sexualakt überhaupt nur weitergeht, kaum zu den Perversionen gezählt werden.</w:t>
      </w:r>
    </w:p>
    <w:p w:rsidR="00646842" w:rsidRPr="00866B42" w:rsidRDefault="00646842" w:rsidP="00646842">
      <w:pPr>
        <w:rPr>
          <w:rFonts w:ascii="Garamond" w:hAnsi="Garamond"/>
          <w:lang w:val="en-GB"/>
        </w:rPr>
      </w:pPr>
      <w:r w:rsidRPr="00866B42">
        <w:rPr>
          <w:rFonts w:ascii="Garamond" w:hAnsi="Garamond"/>
          <w:lang w:val="en-GB"/>
        </w:rPr>
        <w:t xml:space="preserve">Ähnlich ist es mit dem in letzter Linie vom Tasten abgeleiteten Sehen. Der optische Eindruck bleibt der Weg, auf dem die libidinöse Erregung am häufigsten geweckt wird und auf dessen Gangbarkeit – wenn diese teleologische Betrachtungsweise zulässig ist – die Zuchtwahl rechnet, indem sie das Sexualobjekt sich zur Schönheit entwickeln läßt. Die mit der Kultur fortschreitende Verhüllung des Körpers hält die sexuelle Neugierde wach, welche danach strebt, sich das Sexualobjekt durch Enthüllung der verborgenen Teile zu ergänzen, die aber ins Künstlerische abgelenkt (»sublimiert«) werden kann, wenn man ihr Interesse von den Genitalien weg auf die Körperbildung im ganzen zu lenken vermag </w:t>
      </w:r>
      <w:hyperlink r:id="rId1384"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Es scheint mir unzweifelhaft, daß der Begriff des »Schönen« auf dem Boden der Sexualerregung wurzelt und ursprünglich das sexuell Reizende (»die Reize«) bedeutet. Es steht im Zusammenhange damit, daß wir die Genitalien selbst, deren Anblick die stärkste sexuelle Erregung hervorruft, eigentlich niemals »schön« finden können.</w:t>
        </w:r>
      </w:hyperlink>
      <w:r w:rsidRPr="00866B42">
        <w:rPr>
          <w:rFonts w:ascii="Garamond" w:hAnsi="Garamond"/>
          <w:lang w:val="en-GB"/>
        </w:rPr>
        <w:t xml:space="preserve">. Ein Verweilen bei diesem intermediären Sexualziel des sexuell betonten Schauens kommt in gewissem Grade den meisten Normalen zu, ja es gibt ihnen die Möglichkeit, einen gewissen Betrag ihrer Libido auf höhere künstlerische Ziele zu richten. Zur Perversion wird die Schaulust im Gegenteil, </w:t>
      </w:r>
      <w:r w:rsidRPr="00866B42">
        <w:rPr>
          <w:rFonts w:ascii="Garamond" w:hAnsi="Garamond"/>
          <w:i/>
          <w:iCs/>
          <w:lang w:val="en-GB"/>
        </w:rPr>
        <w:t>a)</w:t>
      </w:r>
      <w:r w:rsidRPr="00866B42">
        <w:rPr>
          <w:rFonts w:ascii="Garamond" w:hAnsi="Garamond"/>
          <w:lang w:val="en-GB"/>
        </w:rPr>
        <w:t xml:space="preserve"> wenn sie sich ausschließlich auf die Genitalien einschränkt, </w:t>
      </w:r>
      <w:r w:rsidRPr="00866B42">
        <w:rPr>
          <w:rFonts w:ascii="Garamond" w:hAnsi="Garamond"/>
          <w:i/>
          <w:iCs/>
          <w:lang w:val="en-GB"/>
        </w:rPr>
        <w:t>b)</w:t>
      </w:r>
      <w:r w:rsidRPr="00866B42">
        <w:rPr>
          <w:rFonts w:ascii="Garamond" w:hAnsi="Garamond"/>
          <w:lang w:val="en-GB"/>
        </w:rPr>
        <w:t xml:space="preserve"> wenn sie sich mit der Überwindung des Ekels verbindet ( </w:t>
      </w:r>
      <w:r w:rsidRPr="00866B42">
        <w:rPr>
          <w:rFonts w:ascii="Garamond" w:hAnsi="Garamond"/>
          <w:i/>
          <w:iCs/>
          <w:lang w:val="en-GB"/>
        </w:rPr>
        <w:t>voyeurs:</w:t>
      </w:r>
      <w:r w:rsidRPr="00866B42">
        <w:rPr>
          <w:rFonts w:ascii="Garamond" w:hAnsi="Garamond"/>
          <w:lang w:val="en-GB"/>
        </w:rPr>
        <w:t xml:space="preserve"> Zuschauer bei den Exkretionsfunktionen), </w:t>
      </w:r>
      <w:r w:rsidRPr="00866B42">
        <w:rPr>
          <w:rFonts w:ascii="Garamond" w:hAnsi="Garamond"/>
          <w:i/>
          <w:iCs/>
          <w:lang w:val="en-GB"/>
        </w:rPr>
        <w:t>c)</w:t>
      </w:r>
      <w:r w:rsidRPr="00866B42">
        <w:rPr>
          <w:rFonts w:ascii="Garamond" w:hAnsi="Garamond"/>
          <w:lang w:val="en-GB"/>
        </w:rPr>
        <w:t xml:space="preserve"> wenn sie das normale Sexualziel, anstatt es vorzubereiten, verdrängt. Letzteres ist in ausgeprägter Weise bei den Exhibitionisten der Fall, die, wenn ich nach mehreren Analysen schließen darf, ihre Genitalien zeigen, um als Gegenleistung die Genitalien des anderen Teiles zu Gesicht zu bekommen </w:t>
      </w:r>
      <w:hyperlink r:id="rId1385"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Der Analyse enthüllt diese Perversion – sowie die meisten anderen – eine unerwartete Vielfältigkeit ihrer Motive und Bedeutungen. Der Exhibitionszwang zum Beispiel ist auch stark abhängig vom Kastrationskomplex; er betont immer wieder die Integrität des eigenen (männlichen) Genitales und wiederholt die infantile Befriedigung über das Fehlen des Gliedes im weiblichen.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Bei der Perversion, deren Streben das Schauen und Beschautwerden ist, tritt ein sehr merkwürdiger Charakter hervor, der uns bei der nächstfolgenden Abirrung noch intensiver beschäftigen wird. Das Sexualziel ist hiebei nämlich in zweifacher Ausbildung vorhanden, in </w:t>
      </w:r>
      <w:r w:rsidRPr="00866B42">
        <w:rPr>
          <w:rFonts w:ascii="Garamond" w:hAnsi="Garamond"/>
          <w:i/>
          <w:iCs/>
          <w:lang w:val="en-GB"/>
        </w:rPr>
        <w:t>aktiver</w:t>
      </w:r>
      <w:r w:rsidRPr="00866B42">
        <w:rPr>
          <w:rFonts w:ascii="Garamond" w:hAnsi="Garamond"/>
          <w:lang w:val="en-GB"/>
        </w:rPr>
        <w:t xml:space="preserve"> und in </w:t>
      </w:r>
      <w:r w:rsidRPr="00866B42">
        <w:rPr>
          <w:rFonts w:ascii="Garamond" w:hAnsi="Garamond"/>
          <w:i/>
          <w:iCs/>
          <w:lang w:val="en-GB"/>
        </w:rPr>
        <w:t>passiver</w:t>
      </w:r>
      <w:r w:rsidRPr="00866B42">
        <w:rPr>
          <w:rFonts w:ascii="Garamond" w:hAnsi="Garamond"/>
          <w:lang w:val="en-GB"/>
        </w:rPr>
        <w:t xml:space="preserve"> Form.</w:t>
      </w:r>
    </w:p>
    <w:p w:rsidR="00646842" w:rsidRPr="00866B42" w:rsidRDefault="00646842" w:rsidP="00646842">
      <w:pPr>
        <w:rPr>
          <w:rFonts w:ascii="Garamond" w:hAnsi="Garamond"/>
          <w:lang w:val="en-GB"/>
        </w:rPr>
      </w:pPr>
      <w:r w:rsidRPr="00866B42">
        <w:rPr>
          <w:rFonts w:ascii="Garamond" w:hAnsi="Garamond"/>
          <w:lang w:val="en-GB"/>
        </w:rPr>
        <w:t xml:space="preserve">Die Macht, welche der Schaulust entgegensteht und eventuell durch sie aufgehoben wird, ist die </w:t>
      </w:r>
      <w:r w:rsidRPr="00866B42">
        <w:rPr>
          <w:rFonts w:ascii="Garamond" w:hAnsi="Garamond"/>
          <w:i/>
          <w:iCs/>
          <w:lang w:val="en-GB"/>
        </w:rPr>
        <w:t>Scham</w:t>
      </w:r>
      <w:r w:rsidRPr="00866B42">
        <w:rPr>
          <w:rFonts w:ascii="Garamond" w:hAnsi="Garamond"/>
          <w:lang w:val="en-GB"/>
        </w:rPr>
        <w:t xml:space="preserve"> (wie vorhin der Ekel).</w:t>
      </w:r>
    </w:p>
    <w:p w:rsidR="00646842" w:rsidRPr="00866B42" w:rsidRDefault="00646842" w:rsidP="00646842">
      <w:pPr>
        <w:rPr>
          <w:rFonts w:ascii="Garamond" w:hAnsi="Garamond"/>
          <w:lang w:val="en-GB"/>
        </w:rPr>
      </w:pPr>
      <w:r w:rsidRPr="00866B42">
        <w:rPr>
          <w:rFonts w:ascii="Garamond" w:hAnsi="Garamond"/>
          <w:lang w:val="en-GB"/>
        </w:rPr>
        <w:lastRenderedPageBreak/>
        <w:t xml:space="preserve">Sadismus und Masochismus. Die Neigung, dem Sexualobjekt Schmerz zuzufügen, und ihr Gegenstück, diese häufigste und bedeutsamste aller Perversionen, ist in ihren beiden Gestaltungen, der aktiven und der passiven, von v. Krafft-Ebing als </w:t>
      </w:r>
      <w:r w:rsidRPr="00866B42">
        <w:rPr>
          <w:rFonts w:ascii="Garamond" w:hAnsi="Garamond"/>
          <w:i/>
          <w:iCs/>
          <w:lang w:val="en-GB"/>
        </w:rPr>
        <w:t>Sadismus</w:t>
      </w:r>
      <w:r w:rsidRPr="00866B42">
        <w:rPr>
          <w:rFonts w:ascii="Garamond" w:hAnsi="Garamond"/>
          <w:lang w:val="en-GB"/>
        </w:rPr>
        <w:t xml:space="preserve"> und </w:t>
      </w:r>
      <w:r w:rsidRPr="00866B42">
        <w:rPr>
          <w:rFonts w:ascii="Garamond" w:hAnsi="Garamond"/>
          <w:i/>
          <w:iCs/>
          <w:lang w:val="en-GB"/>
        </w:rPr>
        <w:t>Masochismus</w:t>
      </w:r>
      <w:r w:rsidRPr="00866B42">
        <w:rPr>
          <w:rFonts w:ascii="Garamond" w:hAnsi="Garamond"/>
          <w:lang w:val="en-GB"/>
        </w:rPr>
        <w:t xml:space="preserve"> (passiv) benannt worden. Andere Autoren ziehen die engere Bezeichnung </w:t>
      </w:r>
      <w:r w:rsidRPr="00866B42">
        <w:rPr>
          <w:rFonts w:ascii="Garamond" w:hAnsi="Garamond"/>
          <w:i/>
          <w:iCs/>
          <w:lang w:val="en-GB"/>
        </w:rPr>
        <w:t>Algolagnie</w:t>
      </w:r>
      <w:r w:rsidRPr="00866B42">
        <w:rPr>
          <w:rFonts w:ascii="Garamond" w:hAnsi="Garamond"/>
          <w:lang w:val="en-GB"/>
        </w:rPr>
        <w:t xml:space="preserve"> vor, welche die Lust am Schmerz, die Grausamkeit, betont, während bei den Namen, die v. Krafft-Ebing gewählt hat, die Lust an jeder Art von Demütigung und Unterwerfung in den Vordergrund gestellt wird.</w:t>
      </w:r>
    </w:p>
    <w:p w:rsidR="00646842" w:rsidRPr="00646842" w:rsidRDefault="00646842" w:rsidP="00646842">
      <w:pPr>
        <w:rPr>
          <w:rFonts w:ascii="Garamond" w:hAnsi="Garamond"/>
          <w:lang w:val="en-GB"/>
        </w:rPr>
      </w:pPr>
      <w:r w:rsidRPr="00646842">
        <w:rPr>
          <w:rFonts w:ascii="Garamond" w:hAnsi="Garamond"/>
          <w:lang w:val="en-GB"/>
        </w:rPr>
        <w:t xml:space="preserve">Für die aktive Algolagnie, den Sadismus, sind die Wurzeln im Normalen leicht nachzuweisen. Die Sexualität der meisten Männer zeigt eine Beimengung von </w:t>
      </w:r>
      <w:r w:rsidRPr="00646842">
        <w:rPr>
          <w:rFonts w:ascii="Garamond" w:hAnsi="Garamond"/>
          <w:i/>
          <w:iCs/>
          <w:lang w:val="en-GB"/>
        </w:rPr>
        <w:t>Aggression</w:t>
      </w:r>
      <w:r w:rsidRPr="00646842">
        <w:rPr>
          <w:rFonts w:ascii="Garamond" w:hAnsi="Garamond"/>
          <w:lang w:val="en-GB"/>
        </w:rPr>
        <w:t xml:space="preserve">, von Neigung zur Überwältigung, deren biologische Bedeutung in der Notwendigkeit liegen dürfte, den Widerstand des Sexualobjektes noch anders als durch die Akte der </w:t>
      </w:r>
      <w:r w:rsidRPr="00646842">
        <w:rPr>
          <w:rFonts w:ascii="Garamond" w:hAnsi="Garamond"/>
          <w:i/>
          <w:iCs/>
          <w:lang w:val="en-GB"/>
        </w:rPr>
        <w:t>Werbung</w:t>
      </w:r>
      <w:r w:rsidRPr="00646842">
        <w:rPr>
          <w:rFonts w:ascii="Garamond" w:hAnsi="Garamond"/>
          <w:lang w:val="en-GB"/>
        </w:rPr>
        <w:t xml:space="preserve"> zu überwinden. Der Sadismus entspräche dann einer selbständig gewordenen, übertriebenen, durch Verschiebung an die Hauptstelle gerückten aggressiven Komponente des Sexualtriebes.</w:t>
      </w:r>
    </w:p>
    <w:p w:rsidR="00646842" w:rsidRPr="00866B42" w:rsidRDefault="00646842" w:rsidP="00646842">
      <w:pPr>
        <w:rPr>
          <w:rFonts w:ascii="Garamond" w:hAnsi="Garamond"/>
          <w:lang w:val="en-GB"/>
        </w:rPr>
      </w:pPr>
      <w:r w:rsidRPr="00646842">
        <w:rPr>
          <w:rFonts w:ascii="Garamond" w:hAnsi="Garamond"/>
          <w:lang w:val="en-GB"/>
        </w:rPr>
        <w:t xml:space="preserve">Der Begriff des Sadismus schwankt im Sprachgebrauch von einer bloß aktiven, sodann gewalttätigen Einstellung gegen das Sexualobjekt bis zur ausschließlichen Bindung der Befriedigung an die Unterwerfung und Mißhandlung desselben. </w:t>
      </w:r>
      <w:r w:rsidRPr="00866B42">
        <w:rPr>
          <w:rFonts w:ascii="Garamond" w:hAnsi="Garamond"/>
          <w:lang w:val="en-GB"/>
        </w:rPr>
        <w:t>Strenge genommen, hat nur der letztere extreme Fall Anspruch auf den Namen einer Perversion.</w:t>
      </w:r>
    </w:p>
    <w:p w:rsidR="00646842" w:rsidRPr="00866B42" w:rsidRDefault="00646842" w:rsidP="00646842">
      <w:pPr>
        <w:rPr>
          <w:rFonts w:ascii="Garamond" w:hAnsi="Garamond"/>
          <w:lang w:val="en-GB"/>
        </w:rPr>
      </w:pPr>
      <w:r w:rsidRPr="00866B42">
        <w:rPr>
          <w:rFonts w:ascii="Garamond" w:hAnsi="Garamond"/>
          <w:lang w:val="en-GB"/>
        </w:rPr>
        <w:t xml:space="preserve">In ähnlicher Weise umfaßt die Bezeichnung Masochismus alle passiven Einstellungen zum Sexualleben und Sexualobjekt, als deren äußerste die Bindung der Befriedigung an das Erleiden von physischem oder seelischem Schmerz von seiten des Sexualobjektes erscheint. Der Masochismus als Perversion scheint sich vom normalen Sexualziel weiter zu entfernen als sein Gegenstück; es darf zunächst bezweifelt werden, ob er jemals primär auftritt oder nicht vielmehr regelmäßig durch Umbildung aus dem Sadismus entsteht </w:t>
      </w:r>
      <w:hyperlink r:id="rId1386"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Spätere Überlegungen, die sich auf bestimmte Annahmen über die Struktur des seelischen Apparates und über die in ihm wirksamen Triebarten stützen konnten, haben mein Urteil über den Masochismus weitgehend verändert. Ich wurde dazu geführt, einen </w:t>
        </w:r>
        <w:r w:rsidRPr="00866B42">
          <w:rPr>
            <w:rStyle w:val="innerfusslink3"/>
            <w:rFonts w:ascii="Garamond" w:hAnsi="Garamond" w:cs="Arial"/>
            <w:b/>
            <w:bCs/>
            <w:i/>
            <w:iCs/>
            <w:lang w:val="en-GB"/>
          </w:rPr>
          <w:t>primären</w:t>
        </w:r>
        <w:r w:rsidRPr="00866B42">
          <w:rPr>
            <w:rStyle w:val="innerfusslink3"/>
            <w:rFonts w:ascii="Garamond" w:hAnsi="Garamond" w:cs="Arial"/>
            <w:b/>
            <w:bCs/>
            <w:lang w:val="en-GB"/>
          </w:rPr>
          <w:t xml:space="preserve"> – </w:t>
        </w:r>
        <w:r w:rsidRPr="00866B42">
          <w:rPr>
            <w:rStyle w:val="innerfusslink3"/>
            <w:rFonts w:ascii="Garamond" w:hAnsi="Garamond" w:cs="Arial"/>
            <w:b/>
            <w:bCs/>
            <w:i/>
            <w:iCs/>
            <w:lang w:val="en-GB"/>
          </w:rPr>
          <w:t>erogenen</w:t>
        </w:r>
        <w:r w:rsidRPr="00866B42">
          <w:rPr>
            <w:rStyle w:val="innerfusslink3"/>
            <w:rFonts w:ascii="Garamond" w:hAnsi="Garamond" w:cs="Arial"/>
            <w:b/>
            <w:bCs/>
            <w:lang w:val="en-GB"/>
          </w:rPr>
          <w:t xml:space="preserve"> – Masochismus anzuerkennen, aus dem sich zwei spätere Formen, der </w:t>
        </w:r>
        <w:r w:rsidRPr="00866B42">
          <w:rPr>
            <w:rStyle w:val="innerfusslink3"/>
            <w:rFonts w:ascii="Garamond" w:hAnsi="Garamond" w:cs="Arial"/>
            <w:b/>
            <w:bCs/>
            <w:i/>
            <w:iCs/>
            <w:lang w:val="en-GB"/>
          </w:rPr>
          <w:t>feminine</w:t>
        </w:r>
        <w:r w:rsidRPr="00866B42">
          <w:rPr>
            <w:rStyle w:val="innerfusslink3"/>
            <w:rFonts w:ascii="Garamond" w:hAnsi="Garamond" w:cs="Arial"/>
            <w:b/>
            <w:bCs/>
            <w:lang w:val="en-GB"/>
          </w:rPr>
          <w:t xml:space="preserve"> und der </w:t>
        </w:r>
        <w:r w:rsidRPr="00866B42">
          <w:rPr>
            <w:rStyle w:val="innerfusslink3"/>
            <w:rFonts w:ascii="Garamond" w:hAnsi="Garamond" w:cs="Arial"/>
            <w:b/>
            <w:bCs/>
            <w:i/>
            <w:iCs/>
            <w:lang w:val="en-GB"/>
          </w:rPr>
          <w:t>moralische</w:t>
        </w:r>
        <w:r w:rsidRPr="00866B42">
          <w:rPr>
            <w:rStyle w:val="innerfusslink3"/>
            <w:rFonts w:ascii="Garamond" w:hAnsi="Garamond" w:cs="Arial"/>
            <w:b/>
            <w:bCs/>
            <w:lang w:val="en-GB"/>
          </w:rPr>
          <w:t xml:space="preserve"> Masochismus, entwickeln. Durch Rückwendung des im Leben unverbrauchten Sadismus gegen die eigene Person entsteht ein </w:t>
        </w:r>
        <w:r w:rsidRPr="00866B42">
          <w:rPr>
            <w:rStyle w:val="innerfusslink3"/>
            <w:rFonts w:ascii="Garamond" w:hAnsi="Garamond" w:cs="Arial"/>
            <w:b/>
            <w:bCs/>
            <w:i/>
            <w:iCs/>
            <w:lang w:val="en-GB"/>
          </w:rPr>
          <w:t>sekundärer</w:t>
        </w:r>
        <w:r w:rsidRPr="00866B42">
          <w:rPr>
            <w:rStyle w:val="innerfusslink3"/>
            <w:rFonts w:ascii="Garamond" w:hAnsi="Garamond" w:cs="Arial"/>
            <w:b/>
            <w:bCs/>
            <w:lang w:val="en-GB"/>
          </w:rPr>
          <w:t xml:space="preserve"> Masochismus, der sich zum primären hinzuaddiert. (S. ›Das ökonomische Problem des Masochismus‹, 1924  </w:t>
        </w:r>
        <w:r w:rsidRPr="00866B42">
          <w:rPr>
            <w:rStyle w:val="innerfusslink3"/>
            <w:rFonts w:ascii="Garamond" w:hAnsi="Garamond" w:cs="Arial"/>
            <w:b/>
            <w:bCs/>
            <w:i/>
            <w:iCs/>
            <w:lang w:val="en-GB"/>
          </w:rPr>
          <w:t>c</w:t>
        </w:r>
        <w:r w:rsidRPr="00866B42">
          <w:rPr>
            <w:rStyle w:val="innerfusslink3"/>
            <w:rFonts w:ascii="Garamond" w:hAnsi="Garamond" w:cs="Arial"/>
            <w:b/>
            <w:bCs/>
            <w:lang w:val="en-GB"/>
          </w:rPr>
          <w:t>.)</w:t>
        </w:r>
      </w:hyperlink>
      <w:r w:rsidRPr="00866B42">
        <w:rPr>
          <w:rFonts w:ascii="Garamond" w:hAnsi="Garamond"/>
          <w:lang w:val="en-GB"/>
        </w:rPr>
        <w:t>. Häufig läßt sich erkennen, daß der Masochismus nichts anderes ist als eine Fortsetzung des Sadismus in Wendung gegen die eigene Person, welche dabei zunächst die Stelle des Sexualobjekts vertritt. Die klinische Analyse extremer Fälle von masochistischer Perversion führt auf das Zusammenwirken einer großen Reihe von Momenten, welche die ursprüngliche passive Sexualeinstellung übertreiben und fixieren. (Kastrationskomplex, Schuldbewußtsein.)</w:t>
      </w:r>
    </w:p>
    <w:p w:rsidR="00646842" w:rsidRPr="00866B42" w:rsidRDefault="00646842" w:rsidP="00646842">
      <w:pPr>
        <w:rPr>
          <w:rFonts w:ascii="Garamond" w:hAnsi="Garamond"/>
          <w:lang w:val="en-GB"/>
        </w:rPr>
      </w:pPr>
      <w:r w:rsidRPr="00866B42">
        <w:rPr>
          <w:rFonts w:ascii="Garamond" w:hAnsi="Garamond"/>
          <w:lang w:val="en-GB"/>
        </w:rPr>
        <w:t>Der Schmerz, der hiebei überwunden wird, reiht sich dem Ekel und der Scham an, die sich der Libido als Widerstände entgegengestellt hatten.</w:t>
      </w:r>
    </w:p>
    <w:p w:rsidR="00646842" w:rsidRPr="00866B42" w:rsidRDefault="00646842" w:rsidP="00646842">
      <w:pPr>
        <w:rPr>
          <w:rFonts w:ascii="Garamond" w:hAnsi="Garamond"/>
          <w:lang w:val="en-GB"/>
        </w:rPr>
      </w:pPr>
      <w:r w:rsidRPr="00866B42">
        <w:rPr>
          <w:rFonts w:ascii="Garamond" w:hAnsi="Garamond"/>
          <w:lang w:val="en-GB"/>
        </w:rPr>
        <w:t>Sadismus und Masochismus nehmen unter den Perversionen eine besondere Stellung ein, da der ihnen zugrunde liegende Gegensatz von Aktivität und Passivität zu den allgemeinen Charakteren des Sexuallebens gehört.</w:t>
      </w:r>
    </w:p>
    <w:p w:rsidR="00646842" w:rsidRPr="00866B42" w:rsidRDefault="00646842" w:rsidP="00646842">
      <w:pPr>
        <w:rPr>
          <w:rFonts w:ascii="Garamond" w:hAnsi="Garamond"/>
          <w:lang w:val="en-GB"/>
        </w:rPr>
      </w:pPr>
      <w:r w:rsidRPr="00866B42">
        <w:rPr>
          <w:rFonts w:ascii="Garamond" w:hAnsi="Garamond"/>
          <w:lang w:val="en-GB"/>
        </w:rPr>
        <w:t xml:space="preserve">Daß Grausamkeit und Sexualtrieb innigst zusammengehören, lehrt die Kulturgeschichte der Menschheit über jeden Zweifel, aber in der Aufklärung dieses Zusammenhanges ist man über die Betonung des aggressiven Moments der Libido nicht hinausgekommen. Nach einigen Autoren ist diese dem Sexualtrieb beigemengte Aggression eigentlich ein Rest kannibalischer Gelüste, also eine Mitbeteiligung des Bemächtigungsapparates, welcher der Befriedigung des anderen, ontogenetisch älteren großen Bedürfnisses dient </w:t>
      </w:r>
      <w:hyperlink r:id="rId1387"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Vgl. hiezu die spätere Mitteilung über die prägenitalen Phasen der Sexualentwicklung, in welcher diese Ansicht bestätigt wird.</w:t>
        </w:r>
      </w:hyperlink>
      <w:r w:rsidRPr="00866B42">
        <w:rPr>
          <w:rFonts w:ascii="Garamond" w:hAnsi="Garamond"/>
          <w:lang w:val="en-GB"/>
        </w:rPr>
        <w:t xml:space="preserve">. Es ist auch behauptet worden, daß jeder </w:t>
      </w:r>
      <w:r w:rsidRPr="00866B42">
        <w:rPr>
          <w:rFonts w:ascii="Garamond" w:hAnsi="Garamond"/>
          <w:lang w:val="en-GB"/>
        </w:rPr>
        <w:lastRenderedPageBreak/>
        <w:t xml:space="preserve">Schmerz an und für sich die Möglichkeit einer Lustempfindung enthalte. Wir wollen uns mit dem Eindruck begnügen, daß die Aufklärung dieser Perversion keineswegs befriedigend gegeben ist und daß möglicherweise hiebei mehrere seelische Strebungen sich zu einem Effekt vereinigen </w:t>
      </w:r>
      <w:hyperlink r:id="rId1388"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Aus der zuletzt zitierten Untersuchung leitet sich für das Gegensatzpaar Sadismus–Masochismus eine auf den Triebursprung begründete Sonderstellung ab, durch welche es aus der Reihe der anderen »Perversionen« herausgehoben wird.</w:t>
        </w:r>
      </w:hyperlink>
      <w:r w:rsidRPr="00866B42">
        <w:rPr>
          <w:rFonts w:ascii="Garamond" w:hAnsi="Garamond"/>
          <w:lang w:val="en-GB"/>
        </w:rPr>
        <w:t>.</w:t>
      </w:r>
    </w:p>
    <w:p w:rsidR="00646842" w:rsidRPr="00866B42" w:rsidRDefault="00646842" w:rsidP="00646842">
      <w:pPr>
        <w:rPr>
          <w:rFonts w:ascii="Garamond" w:hAnsi="Garamond"/>
        </w:rPr>
      </w:pPr>
      <w:r w:rsidRPr="00866B42">
        <w:rPr>
          <w:rFonts w:ascii="Garamond" w:hAnsi="Garamond"/>
          <w:lang w:val="en-GB"/>
        </w:rPr>
        <w:t xml:space="preserve">Die auffälligste Eigentümlichkeit dieser Perversion liegt aber darin, daß ihre aktive und ihre passive Form regelmäßig bei der nämlichen Person mitsammen angetroffen werden. Wer Lust daran empfindet, anderen Schmerz in sexueller Relation zu erzeugen, der ist auch befähigt, den Schmerz als Lust zu genießen, der ihm aus sexuellen Beziehungen erwachsen kann. Ein Sadist ist immer auch gleichzeitig ein Masochist, wenngleich die aktive oder die passive Seite der Perversion bei ihm stärker ausgebildet sein und seine vorwiegende sexuelle Betätigung darstellen kann </w:t>
      </w:r>
      <w:hyperlink r:id="rId1389"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Anstatt vieler Belege für diese Behauptung zitiere ich nur die eine Stelle aus Havelock Ellis (1903): »Alle bekannten Fälle von Sadismus und Masochismus, selbst die von v. Krafft-Ebing zitierten, zeigen beständig (wie schon Colin, Scott und Féré nachgewiesen) Spuren beider Gruppen von Erscheinungen an ein und demselben Individuum.«</w:t>
        </w:r>
      </w:hyperlink>
      <w:r w:rsidRPr="00866B42">
        <w:rPr>
          <w:rFonts w:ascii="Garamond" w:hAnsi="Garamond"/>
        </w:rPr>
        <w:t>.</w:t>
      </w:r>
    </w:p>
    <w:p w:rsidR="00646842" w:rsidRPr="00866B42" w:rsidRDefault="00646842" w:rsidP="00646842">
      <w:pPr>
        <w:rPr>
          <w:rFonts w:ascii="Garamond" w:hAnsi="Garamond"/>
        </w:rPr>
      </w:pPr>
      <w:r w:rsidRPr="00866B42">
        <w:rPr>
          <w:rFonts w:ascii="Garamond" w:hAnsi="Garamond"/>
        </w:rPr>
        <w:t xml:space="preserve">Wir sehen so gewisse der Perversionsneigungen regelmäßig als </w:t>
      </w:r>
      <w:r w:rsidRPr="00866B42">
        <w:rPr>
          <w:rFonts w:ascii="Garamond" w:hAnsi="Garamond"/>
          <w:i/>
          <w:iCs/>
        </w:rPr>
        <w:t>Gegensatzpaare</w:t>
      </w:r>
      <w:r w:rsidRPr="00866B42">
        <w:rPr>
          <w:rFonts w:ascii="Garamond" w:hAnsi="Garamond"/>
        </w:rPr>
        <w:t xml:space="preserve"> auftreten, was mit Hinblick auf später beizubringendes Material eine hohe theoretische Bedeutung beanspruchen darf </w:t>
      </w:r>
      <w:hyperlink r:id="rId1390" w:anchor="#" w:history="1">
        <w:r w:rsidRPr="00866B42">
          <w:rPr>
            <w:rStyle w:val="fusslink"/>
            <w:rFonts w:ascii="Garamond" w:hAnsi="Garamond" w:cs="Arial"/>
            <w:b/>
            <w:bCs/>
            <w:color w:val="003399"/>
          </w:rPr>
          <w:t>[Fußnote]</w:t>
        </w:r>
        <w:r w:rsidRPr="00866B42">
          <w:rPr>
            <w:rStyle w:val="innerfusslink3"/>
            <w:rFonts w:ascii="Garamond" w:hAnsi="Garamond" w:cs="Arial"/>
            <w:b/>
            <w:bCs/>
          </w:rPr>
          <w:t>Vgl. die spätere Erwähnung der »Ambivalenz«.</w:t>
        </w:r>
      </w:hyperlink>
      <w:r w:rsidRPr="00866B42">
        <w:rPr>
          <w:rFonts w:ascii="Garamond" w:hAnsi="Garamond"/>
        </w:rPr>
        <w:t>. Es ist ferner einleuchtend, daß die Existenz des Gegensatzpaares Sadismus–Masochismus aus der Aggressionsbeimengung nicht ohneweiters ableitbar ist. Dagegen wäre man versucht, solche gleichzeitig vorhandene Gegensätze mit dem in der Bisexualität vereinten Gegensatz von männlich und weiblich in Beziehung zu setzen, für welchen in der Psychoanalyse häufig der von aktiv und passiv einzusetzen ist.</w:t>
      </w:r>
    </w:p>
    <w:p w:rsidR="00646842" w:rsidRPr="00866B42" w:rsidRDefault="00646842" w:rsidP="00646842">
      <w:pPr>
        <w:rPr>
          <w:rFonts w:ascii="Garamond" w:hAnsi="Garamond"/>
        </w:rPr>
      </w:pPr>
      <w:r w:rsidRPr="00866B42">
        <w:rPr>
          <w:rFonts w:ascii="Garamond" w:hAnsi="Garamond"/>
        </w:rPr>
        <w:t>(3) Allgemeines über alle Perversionen</w:t>
      </w:r>
    </w:p>
    <w:p w:rsidR="00646842" w:rsidRPr="00866B42" w:rsidRDefault="00646842" w:rsidP="00646842">
      <w:pPr>
        <w:rPr>
          <w:rFonts w:ascii="Garamond" w:hAnsi="Garamond"/>
        </w:rPr>
      </w:pPr>
      <w:r w:rsidRPr="00866B42">
        <w:rPr>
          <w:rFonts w:ascii="Garamond" w:hAnsi="Garamond"/>
        </w:rPr>
        <w:t>Variation und Krankheit. Die Ärzte, welche die Perversionen zuerst an ausgeprägten Beispielen und unter besonderen Bedingungen studiert haben, sind natürlich geneigt gewesen, ihnen den Charakter eines Krankheits- oder Degenerationszeichens zuzusprechen, ganz ähnlich wie bei der Inversion. Indes ist es hier leichter als dort, diese Auffassung abzulehnen. Die alltägliche Erfahrung hat gezeigt, daß die meisten dieser Überschreitungen, wenigstens die minder argen unter ihnen, einen selten fehlenden Bestandteil des Sexuallebens der Gesunden bilden und von ihnen wie andere Intimitäten auch beurteilt werden. Wo die Verhältnisse es begünstigen, kann auch der Normale eine solche Perversion eine ganze Zeit lang an die Stelle des normalen Sexualzieles setzen oder ihr einen Platz neben diesem einräumen. Bei keinem Gesunden dürfte irgendein pervers zu nennender Zusatz zum normalen Sexualziel fehlen, und diese Allgemeinheit genügt für sich allein, um die Unzweckmäßigkeit einer vorwurfsvollen Verwendung des Namens Perversion darzutun. Gerade auf dem Gebiete des Sexuallebens stößt man auf besondere, eigentlich derzeit unlösbare Schwierigkeiten, wenn man eine scharfe Grenze zwischen bloßer Variation innerhalb der physiologischen Breite und krankhaften Symptomen ziehen will.</w:t>
      </w:r>
    </w:p>
    <w:p w:rsidR="00646842" w:rsidRPr="00866B42" w:rsidRDefault="00646842" w:rsidP="00646842">
      <w:pPr>
        <w:rPr>
          <w:rFonts w:ascii="Garamond" w:hAnsi="Garamond"/>
          <w:lang w:val="en-GB"/>
        </w:rPr>
      </w:pPr>
      <w:r w:rsidRPr="00866B42">
        <w:rPr>
          <w:rFonts w:ascii="Garamond" w:hAnsi="Garamond"/>
        </w:rPr>
        <w:t xml:space="preserve">Bei manchen dieser Perversionen ist immerhin die Qualität des neuen Sexualzieles eine solche, daß sie nach besonderer Würdigung verlangt. Gewisse der Perversionen entfernen sich inhaltlich so weit vom Normalen, daß wir nicht umhinkönnen, sie für »krankhaft« zu erklären, insbesondere jene, in denen der Sexualtrieb in der Überwindung der Widerstände (Scham, Ekel, Grauen, Schmerz) erstaunliche Leistungen vollführt (Kotlecken, Leichenmißbrauch). </w:t>
      </w:r>
      <w:r w:rsidRPr="00866B42">
        <w:rPr>
          <w:rFonts w:ascii="Garamond" w:hAnsi="Garamond"/>
          <w:lang w:val="en-GB"/>
        </w:rPr>
        <w:t xml:space="preserve">Doch darf man auch in diesen Fällen sich nicht der sicheren Erwartung hingeben, in den Tätern regelmäßig Personen mit andersartigen schweren Abnormitäten oder Geisteskranke zu entdecken. Man kommt auch hier nicht über die Tatsache hinaus, daß Personen, die sich sonst normal verhalten, auf dem Gebiete des Sexuallebens allein, unter der Herrschaft des ungezügeltsten </w:t>
      </w:r>
      <w:r w:rsidRPr="00866B42">
        <w:rPr>
          <w:rFonts w:ascii="Garamond" w:hAnsi="Garamond"/>
          <w:lang w:val="en-GB"/>
        </w:rPr>
        <w:lastRenderedPageBreak/>
        <w:t>aller Triebe, sich als Kranke dokumentieren. Manifeste Abnormität in anderen Lebensrelationen pflegt hingegen jedesmal einen Hintergrund von abnormem sexuellen Verhalten zu zeigen.</w:t>
      </w:r>
    </w:p>
    <w:p w:rsidR="00646842" w:rsidRPr="00866B42" w:rsidRDefault="00646842" w:rsidP="00646842">
      <w:pPr>
        <w:rPr>
          <w:rFonts w:ascii="Garamond" w:hAnsi="Garamond"/>
          <w:lang w:val="en-GB"/>
        </w:rPr>
      </w:pPr>
      <w:r w:rsidRPr="00866B42">
        <w:rPr>
          <w:rFonts w:ascii="Garamond" w:hAnsi="Garamond"/>
          <w:lang w:val="en-GB"/>
        </w:rPr>
        <w:t xml:space="preserve">In der Mehrzahl der Fälle können wir den Charakter des Krankhaften bei der Perversion nicht im Inhalt des neuen Sexualzieles, sondern in dessen Verhältnis zum Normalen finden. Wenn die Perversion nicht </w:t>
      </w:r>
      <w:r w:rsidRPr="00866B42">
        <w:rPr>
          <w:rFonts w:ascii="Garamond" w:hAnsi="Garamond"/>
          <w:i/>
          <w:iCs/>
          <w:lang w:val="en-GB"/>
        </w:rPr>
        <w:t>neben</w:t>
      </w:r>
      <w:r w:rsidRPr="00866B42">
        <w:rPr>
          <w:rFonts w:ascii="Garamond" w:hAnsi="Garamond"/>
          <w:lang w:val="en-GB"/>
        </w:rPr>
        <w:t xml:space="preserve"> dem Normalen (Sexualziel und Objekt) auftritt, wo günstige Umstände dieselbe fördern und ungünstige das Normale verhindern, sondern wenn sie das Normale unter allen Umständen verdrängt und ersetzt hat – in der </w:t>
      </w:r>
      <w:r w:rsidRPr="00866B42">
        <w:rPr>
          <w:rFonts w:ascii="Garamond" w:hAnsi="Garamond"/>
          <w:i/>
          <w:iCs/>
          <w:lang w:val="en-GB"/>
        </w:rPr>
        <w:t>Ausschließlichkeit</w:t>
      </w:r>
      <w:r w:rsidRPr="00866B42">
        <w:rPr>
          <w:rFonts w:ascii="Garamond" w:hAnsi="Garamond"/>
          <w:lang w:val="en-GB"/>
        </w:rPr>
        <w:t xml:space="preserve"> und in der </w:t>
      </w:r>
      <w:r w:rsidRPr="00866B42">
        <w:rPr>
          <w:rFonts w:ascii="Garamond" w:hAnsi="Garamond"/>
          <w:i/>
          <w:iCs/>
          <w:lang w:val="en-GB"/>
        </w:rPr>
        <w:t>Fixierung</w:t>
      </w:r>
      <w:r w:rsidRPr="00866B42">
        <w:rPr>
          <w:rFonts w:ascii="Garamond" w:hAnsi="Garamond"/>
          <w:lang w:val="en-GB"/>
        </w:rPr>
        <w:t xml:space="preserve"> also der Perversion sehen wir zu allermeist die Berechtigung, sie als ein krankhaftes Symptom zu beurteilen.</w:t>
      </w:r>
    </w:p>
    <w:p w:rsidR="00646842" w:rsidRPr="00866B42" w:rsidRDefault="00646842" w:rsidP="00646842">
      <w:pPr>
        <w:rPr>
          <w:rFonts w:ascii="Garamond" w:hAnsi="Garamond"/>
          <w:lang w:val="en-GB"/>
        </w:rPr>
      </w:pPr>
      <w:r w:rsidRPr="00866B42">
        <w:rPr>
          <w:rFonts w:ascii="Garamond" w:hAnsi="Garamond"/>
          <w:lang w:val="en-GB"/>
        </w:rPr>
        <w:t>Die seelische Beteiligung bei den Perversionen. Vielleicht gerade bei den abscheulichsten Perversionen muß man die ausgiebigste psychische Beteiligung zur Umwandlung des Sexualtriebes anerkennen. Es ist hier ein Stück seelischer Arbeit geleistet, dem man trotz seines greulichen Erfolges den Wert einer Idealisierung des Triebes nicht absprechen kann. Die Allgewalt der Liebe zeigt sich vielleicht nirgends stärker als in diesen ihren Verirrungen. Das Höchste und das Niedrigste hängen in der Sexualität überall am innigsten aneinander (»vom Himmel durch die Welt zur Hölle«).</w:t>
      </w:r>
    </w:p>
    <w:p w:rsidR="00646842" w:rsidRPr="00866B42" w:rsidRDefault="00646842" w:rsidP="00646842">
      <w:pPr>
        <w:rPr>
          <w:rFonts w:ascii="Garamond" w:hAnsi="Garamond"/>
          <w:lang w:val="en-GB"/>
        </w:rPr>
      </w:pPr>
      <w:r w:rsidRPr="00866B42">
        <w:rPr>
          <w:rFonts w:ascii="Garamond" w:hAnsi="Garamond"/>
          <w:lang w:val="en-GB"/>
        </w:rPr>
        <w:t xml:space="preserve">Zwei Ergebnisse. Bei dem Studium der Perversionen hat sich uns die Einsieht ergeben, daß der Sexualtrieb gegen gewisse seelische Mächte als Widerstände anzukämpfen hat, unter denen Scham und Ekel am deutlichsten hervorgetreten sind. Es ist die Vermutung gestattet, daß diese Mächte daran beteiligt sind, den Trieb innerhalb der als normal geltenden Schranken zu bannen, und wenn sie sich im Individuum früher entwickelt haben, ehe der Sexualtrieb seine volle Stärke erlangte, so waren sie es wohl, die ihm die Richtung seiner Entwicklung angewiesen haben </w:t>
      </w:r>
      <w:hyperlink r:id="rId1391"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Man muß diese die Sexualentwicklung eindämmenden Mächte – Ekel, Scham und Moralität – andererseits auch als historische Niederschläge der äußeren Hemmungen ansehen, welche der Sexualtrieb in der Psychogenese der Menschheit erfahren hat. Man macht die Beobachtung, daß sie in der Entwicklung des einzelnen zu ihrer Zeit wie spontan auf die Winke der Erziehung und Beeinflussung hin auftreten.</w:t>
        </w:r>
      </w:hyperlink>
      <w:r w:rsidRPr="00866B42">
        <w:rPr>
          <w:rFonts w:ascii="Garamond" w:hAnsi="Garamond"/>
          <w:lang w:val="en-GB"/>
        </w:rPr>
        <w:t>.</w:t>
      </w:r>
    </w:p>
    <w:p w:rsidR="00646842" w:rsidRPr="00866B42" w:rsidRDefault="00646842" w:rsidP="00646842">
      <w:pPr>
        <w:rPr>
          <w:rFonts w:ascii="Garamond" w:hAnsi="Garamond"/>
        </w:rPr>
      </w:pPr>
      <w:r w:rsidRPr="00866B42">
        <w:rPr>
          <w:rFonts w:ascii="Garamond" w:hAnsi="Garamond"/>
          <w:lang w:val="en-GB"/>
        </w:rPr>
        <w:t xml:space="preserve">Wir haben ferner die Bemerkung gemacht, daß einige der untersuchten Perversionen nur durch das Zusammentreten von mehreren Motiven verständlich werden. </w:t>
      </w:r>
      <w:r w:rsidRPr="00866B42">
        <w:rPr>
          <w:rFonts w:ascii="Garamond" w:hAnsi="Garamond"/>
        </w:rPr>
        <w:t xml:space="preserve">Wenn sie eine Analyse – Zersetzung – zulassen, müssen sie zusammengesetzter Natur sein. Hieraus können wir einen Wink entnehmen, daß vielleicht der Sexualtrieb selbst nichts Einfaches, sondern aus Komponenten zusammengesetzt ist, die sich in den Perversionen wieder von ihm ablösen. Die Klinik hätte uns so auf </w:t>
      </w:r>
      <w:r w:rsidRPr="00866B42">
        <w:rPr>
          <w:rFonts w:ascii="Garamond" w:hAnsi="Garamond"/>
          <w:i/>
          <w:iCs/>
        </w:rPr>
        <w:t>Verschmelzungen</w:t>
      </w:r>
      <w:r w:rsidRPr="00866B42">
        <w:rPr>
          <w:rFonts w:ascii="Garamond" w:hAnsi="Garamond"/>
        </w:rPr>
        <w:t xml:space="preserve"> aufmerksam gemacht, die in dem gleichförmigen normalen Verhalten ihren Ausdruck eingebüßt haben </w:t>
      </w:r>
      <w:hyperlink r:id="rId1392" w:anchor="#" w:history="1">
        <w:r w:rsidRPr="00866B42">
          <w:rPr>
            <w:rStyle w:val="fusslink"/>
            <w:rFonts w:ascii="Garamond" w:hAnsi="Garamond" w:cs="Arial"/>
            <w:b/>
            <w:bCs/>
            <w:color w:val="003399"/>
          </w:rPr>
          <w:t>[Fußnote]</w:t>
        </w:r>
        <w:r w:rsidRPr="00866B42">
          <w:rPr>
            <w:rStyle w:val="innerfusslink3"/>
            <w:rFonts w:ascii="Garamond" w:hAnsi="Garamond" w:cs="Arial"/>
            <w:b/>
            <w:bCs/>
          </w:rPr>
          <w:t>Ich bemerke vorgreifend über die Entstehung der Perversionen, daß man Grund hat anzunehmen, es sei vor der Fixierung derselben, ganz ähnlich wie beim Fetischismus, ein Ansatz normaler Sexualentwicklung vorhanden gewesen. Die analytische Untersuchung hat bisher in einzelnen Fällen zeigen können, daß auch die Perversion der Rückstand einer Entwicklung zum Ödipuskomplex ist, nach dessen Verdrängung die der Anlage nach stärkste Komponente des Sexualtriebes wieder hervorgetreten ist.</w:t>
        </w:r>
      </w:hyperlink>
      <w:r w:rsidRPr="00866B42">
        <w:rPr>
          <w:rFonts w:ascii="Garamond" w:hAnsi="Garamond"/>
        </w:rPr>
        <w:t>.</w:t>
      </w:r>
    </w:p>
    <w:p w:rsidR="00646842" w:rsidRPr="00866B42" w:rsidRDefault="00646842" w:rsidP="00646842">
      <w:pPr>
        <w:rPr>
          <w:rFonts w:ascii="Garamond" w:hAnsi="Garamond"/>
        </w:rPr>
      </w:pPr>
      <w:r w:rsidRPr="00866B42">
        <w:rPr>
          <w:rFonts w:ascii="Garamond" w:hAnsi="Garamond"/>
        </w:rPr>
        <w:t>(4) Der Sexualtrieb bei den Neurotikern</w:t>
      </w:r>
    </w:p>
    <w:p w:rsidR="00646842" w:rsidRPr="00866B42" w:rsidRDefault="00646842" w:rsidP="00646842">
      <w:pPr>
        <w:rPr>
          <w:rFonts w:ascii="Garamond" w:hAnsi="Garamond"/>
        </w:rPr>
      </w:pPr>
      <w:r w:rsidRPr="00866B42">
        <w:rPr>
          <w:rFonts w:ascii="Garamond" w:hAnsi="Garamond"/>
        </w:rPr>
        <w:t>Die Psychoanalyse. Einen wichtigen Beitrag zur Kenntnis des Sexualtriebes bei Personen, die den Normalen mindestens nahestehen, gewinnt man aus einer Quelle, die nur auf einem bestimmten Wege zugänglich ist. Es gibt nur ein Mittel, über das Geschlechtsleben der sogenannten Psychoneurotiker (Hysterie, Zwangsneurose, fälschlich sogenannte Neurasthenie, sicherlich auch Dementia praecox, Paranoia) gründliche und nicht irreleitende Aufschlüsse zu erhalten, nämlich wenn man sie der psychoanalytischen Erforschung unterwirft, deren sich das von J. Breuer und mir 1893 eingesetzte, damals »kathartisch« genannte Heilverfahren bedient.</w:t>
      </w:r>
    </w:p>
    <w:p w:rsidR="00646842" w:rsidRPr="00866B42" w:rsidRDefault="00646842" w:rsidP="00646842">
      <w:pPr>
        <w:rPr>
          <w:rFonts w:ascii="Garamond" w:hAnsi="Garamond"/>
          <w:lang w:val="en-GB"/>
        </w:rPr>
      </w:pPr>
      <w:r w:rsidRPr="00866B42">
        <w:rPr>
          <w:rFonts w:ascii="Garamond" w:hAnsi="Garamond"/>
        </w:rPr>
        <w:lastRenderedPageBreak/>
        <w:t xml:space="preserve">Ich muß vorausschicken, respektive aus anderen Veröffentlichungen wiederholen, daß diese Psychoneurosen, soweit meine Erfahrungen reichen, auf sexuellen Triebkräften beruhen. Ich meine dies nicht etwa so, daß die Energie des Sexualtriebes einen Beitrag zu den Kräften liefert, welche die krankhaften Erscheinungen (Symptome) unterhalten, sondern ich will ausdrücklich behaupten, daß dieser Anteil der einzig konstante und die wichtigste Energiequelle der Neurose ist, so daß das Sexualleben der betreffenden Personen sich entweder ausschließlich oder vorwiegend oder nur teilweise in diesen Symptomen äußert. </w:t>
      </w:r>
      <w:r w:rsidRPr="00866B42">
        <w:rPr>
          <w:rFonts w:ascii="Garamond" w:hAnsi="Garamond"/>
          <w:lang w:val="en-GB"/>
        </w:rPr>
        <w:t xml:space="preserve">Die Symptome sind, wie ich es an anderer Stelle ausgedrückt habe, die Sexualbetätigung der Kranken. Den Beweis für diese Behauptung hat mir eine seit fünfundzwanzig Jahren sich mehrende Anzahl von Psychoanalysen hysterischer und anderer Nervöser geliefert, über deren Ergebnisse im einzelnen ich an anderen Orten ausführliche Rechenschaft gegeben habe und noch weiter geben werde </w:t>
      </w:r>
      <w:hyperlink r:id="rId1393"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Es ist nur eine Vervollständigung und nicht eine Verringerung dieser Aussage, wenn ich sie dahin abändere: Die nervösen Symptome beruhen einerseits auf dem Anspruch der libidinösen Triebe, andererseits auf dem Einspruch des Ichs, der Reaktion gegen dieselben.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Die Psychoanalyse beseitigt die Symptome Hysterischer unter der Voraussetzung, daß dieselben der Ersatz – die Transkription gleichsam – für eine Reihe von affektbesetzten seelischen Vorgängen, Wünschen und Strebungen sind, denen durch einen besonderen psychischen Prozeß (die </w:t>
      </w:r>
      <w:r w:rsidRPr="00866B42">
        <w:rPr>
          <w:rFonts w:ascii="Garamond" w:hAnsi="Garamond"/>
          <w:i/>
          <w:iCs/>
          <w:lang w:val="en-GB"/>
        </w:rPr>
        <w:t>Verdrängung</w:t>
      </w:r>
      <w:r w:rsidRPr="00866B42">
        <w:rPr>
          <w:rFonts w:ascii="Garamond" w:hAnsi="Garamond"/>
          <w:lang w:val="en-GB"/>
        </w:rPr>
        <w:t xml:space="preserve">) der Zugang zur Erledigung durch bewußtseinsfähige psychische Tätigkeit versagt worden ist. Diese also im Zustande des Unbewußten zurückgehaltenen Gedankenbildungen streben nach einem ihrem Affektwert gemäßen Ausdruck, einer </w:t>
      </w:r>
      <w:r w:rsidRPr="00866B42">
        <w:rPr>
          <w:rFonts w:ascii="Garamond" w:hAnsi="Garamond"/>
          <w:i/>
          <w:iCs/>
          <w:lang w:val="en-GB"/>
        </w:rPr>
        <w:t>Abfuhr</w:t>
      </w:r>
      <w:r w:rsidRPr="00866B42">
        <w:rPr>
          <w:rFonts w:ascii="Garamond" w:hAnsi="Garamond"/>
          <w:lang w:val="en-GB"/>
        </w:rPr>
        <w:t xml:space="preserve">, und finden eine solche bei der Hysterie durch den Vorgang der </w:t>
      </w:r>
      <w:r w:rsidRPr="00866B42">
        <w:rPr>
          <w:rFonts w:ascii="Garamond" w:hAnsi="Garamond"/>
          <w:i/>
          <w:iCs/>
          <w:lang w:val="en-GB"/>
        </w:rPr>
        <w:t>Konversion</w:t>
      </w:r>
      <w:r w:rsidRPr="00866B42">
        <w:rPr>
          <w:rFonts w:ascii="Garamond" w:hAnsi="Garamond"/>
          <w:lang w:val="en-GB"/>
        </w:rPr>
        <w:t xml:space="preserve"> in somatischen Phänomenen – eben den hysterischen Symptomen. Bei der kunstgerechten, mit Hilfe einer besonderen Technik durchgeführten Rückverwandlung der Symptome in nun bewußtgewordene, affektbesetzte Vorstellungen ist man also imstande, über die Natur und die Abkunft dieser früher unbewußten psychischen Bildungen das Genaueste zu erfahren.</w:t>
      </w:r>
    </w:p>
    <w:p w:rsidR="00646842" w:rsidRPr="00866B42" w:rsidRDefault="00646842" w:rsidP="00646842">
      <w:pPr>
        <w:rPr>
          <w:rFonts w:ascii="Garamond" w:hAnsi="Garamond"/>
        </w:rPr>
      </w:pPr>
      <w:r w:rsidRPr="00866B42">
        <w:rPr>
          <w:rFonts w:ascii="Garamond" w:hAnsi="Garamond"/>
          <w:lang w:val="en-GB"/>
        </w:rPr>
        <w:t xml:space="preserve">Ergebnisse der Psychoanalyse. Es ist auf diese Weise in Erfahrung gebracht worden, daß die Symptome einen Ersatz für Strebungen darstellen, die ihre Kraft der Quelle des Sexualtriebes entnehmen. Im vollen Einklange damit steht, was wir über den Charakter der hier zum Muster für alle Psychoneurotiker genommenen Hysteriker von ihrer Erkrankung und über die Anlässe zur Erkrankung wissen. Der hysterische Charakter läßt ein Stück </w:t>
      </w:r>
      <w:r w:rsidRPr="00866B42">
        <w:rPr>
          <w:rFonts w:ascii="Garamond" w:hAnsi="Garamond"/>
          <w:i/>
          <w:iCs/>
          <w:lang w:val="en-GB"/>
        </w:rPr>
        <w:t>Sexualverdrängung</w:t>
      </w:r>
      <w:r w:rsidRPr="00866B42">
        <w:rPr>
          <w:rFonts w:ascii="Garamond" w:hAnsi="Garamond"/>
          <w:lang w:val="en-GB"/>
        </w:rPr>
        <w:t xml:space="preserve"> erkennen, welches über das normale Maß hinausgeht, eine Steigerung der Widerstände gegen den Sexualtrieb, die uns als Scham, Ekel und Moral bekannt geworden sind, eine wie instinktive Flucht vor der intellektuellen Beschäftigung mit dem Sexualproblem, welche in ausgeprägten Fällen den Erfolg hat, die volle sexuelle Unwissenheit noch bis in die Jahre der erlangten Geschlechtsreife zu bewahren </w:t>
      </w:r>
      <w:hyperlink r:id="rId1394"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i/>
            <w:iCs/>
            <w:lang w:val="en-GB"/>
          </w:rPr>
          <w:t>Studien über Hysterie</w:t>
        </w:r>
        <w:r w:rsidRPr="00866B42">
          <w:rPr>
            <w:rStyle w:val="innerfusslink3"/>
            <w:rFonts w:ascii="Garamond" w:hAnsi="Garamond" w:cs="Arial"/>
            <w:b/>
            <w:bCs/>
            <w:lang w:val="en-GB"/>
          </w:rPr>
          <w:t>, 1895. (Breuer und Freud.) J. Breuer sagt von seiner Patientin, an der er die kathartische Methode zuerst geübt hat: »Das sexuale Moment war erstaunlich unentwickelt.«</w:t>
        </w:r>
      </w:hyperlink>
      <w:r w:rsidRPr="00866B42">
        <w:rPr>
          <w:rFonts w:ascii="Garamond" w:hAnsi="Garamond"/>
        </w:rPr>
        <w:t>.</w:t>
      </w:r>
    </w:p>
    <w:p w:rsidR="00646842" w:rsidRPr="00866B42" w:rsidRDefault="00646842" w:rsidP="00646842">
      <w:pPr>
        <w:rPr>
          <w:rFonts w:ascii="Garamond" w:hAnsi="Garamond"/>
        </w:rPr>
      </w:pPr>
      <w:r w:rsidRPr="00866B42">
        <w:rPr>
          <w:rFonts w:ascii="Garamond" w:hAnsi="Garamond"/>
        </w:rPr>
        <w:t>Dieser für die Hysterie wesentliche Charakterzug wird für die grobe Beobachtung nicht selten durch das Vorhandensein des zweiten konstitutionellen Faktors der Hysterie, durch die übermächtige Ausbildung des Sexualtriebes verdeckt, allein die psychologische Analyse weiß ihn jedesmal aufzudecken und die widerspruchsvolle Rätselhaftigkeit der Hysterie durch die Feststellung des Gegensatzpaares von übergroßem sexuellen Bedürfnis und zu weit getriebener Sexualablehnung zu lösen.</w:t>
      </w:r>
    </w:p>
    <w:p w:rsidR="00646842" w:rsidRPr="00866B42" w:rsidRDefault="00646842" w:rsidP="00646842">
      <w:pPr>
        <w:rPr>
          <w:rFonts w:ascii="Garamond" w:hAnsi="Garamond"/>
          <w:lang w:val="en-GB"/>
        </w:rPr>
      </w:pPr>
      <w:r w:rsidRPr="00866B42">
        <w:rPr>
          <w:rFonts w:ascii="Garamond" w:hAnsi="Garamond"/>
        </w:rPr>
        <w:t xml:space="preserve">Der Anlaß zur Erkrankung ergibt sich für die hysterisch disponierte Person, wenn infolge der fortschreitenden eigenen Reifung oder äußerer Lebensverhältnisse die reale Sexualforderung ernsthaft an sie herantritt. Zwischen dem Drängen des Triebes und dem Widerstreben der Sexualablehnung stellt sich dann der Ausweg der Krankheit her, der den Konflikt nicht löst, sondern ihm durch die Verwandlung der libidinösen Strebungen in Symptome zu entgehen sucht. </w:t>
      </w:r>
      <w:r w:rsidRPr="00866B42">
        <w:rPr>
          <w:rFonts w:ascii="Garamond" w:hAnsi="Garamond"/>
          <w:lang w:val="en-GB"/>
        </w:rPr>
        <w:t xml:space="preserve">Es ist nur eine scheinbare Ausnahme, wenn eine hysterische Person, ein Mann etwa, an einer banalen Gemütsbewegung, an einem Konflikt, in dessen </w:t>
      </w:r>
      <w:r w:rsidRPr="00866B42">
        <w:rPr>
          <w:rFonts w:ascii="Garamond" w:hAnsi="Garamond"/>
          <w:lang w:val="en-GB"/>
        </w:rPr>
        <w:lastRenderedPageBreak/>
        <w:t>Mittelpunkt nicht das sexuelle Interesse steht, erkrankt. Die Psychoanalyse kann dann regelmäßig nachweisen, daß es die sexuelle Komponente des Konflikts ist, welche die Erkrankung ermöglicht hat, indem sie die seelischen Vorgänge der normalen Erledigung entzog.</w:t>
      </w:r>
    </w:p>
    <w:p w:rsidR="00646842" w:rsidRPr="00866B42" w:rsidRDefault="00646842" w:rsidP="00646842">
      <w:pPr>
        <w:rPr>
          <w:rFonts w:ascii="Garamond" w:hAnsi="Garamond"/>
          <w:lang w:val="en-GB"/>
        </w:rPr>
      </w:pPr>
      <w:r w:rsidRPr="00866B42">
        <w:rPr>
          <w:rFonts w:ascii="Garamond" w:hAnsi="Garamond"/>
          <w:lang w:val="en-GB"/>
        </w:rPr>
        <w:t xml:space="preserve">Neurose und Perversion. Ein guter Teil des Widerspruches gegen diese meine Aufstellungen erklärt sich wohl daraus, daß man die Sexualität, von welcher ich die psychoneurotischen Symptome ableite, mit dem normalen Sexualtrieb zusammenfallen ließ. Allein die Psychoanalyse lehrt noch mehr. Sie zeigt, daß die Symptome keineswegs allein auf Kosten des sogenannten </w:t>
      </w:r>
      <w:r w:rsidRPr="00866B42">
        <w:rPr>
          <w:rFonts w:ascii="Garamond" w:hAnsi="Garamond"/>
          <w:i/>
          <w:iCs/>
          <w:lang w:val="en-GB"/>
        </w:rPr>
        <w:t>normalen</w:t>
      </w:r>
      <w:r w:rsidRPr="00866B42">
        <w:rPr>
          <w:rFonts w:ascii="Garamond" w:hAnsi="Garamond"/>
          <w:lang w:val="en-GB"/>
        </w:rPr>
        <w:t xml:space="preserve"> Sexualtriebes entstehen (wenigstens nicht ausschließlich oder vorwiegend), sondern den konvertierten Ausdruck von Trieben darstellen, welche man als </w:t>
      </w:r>
      <w:r w:rsidRPr="00866B42">
        <w:rPr>
          <w:rFonts w:ascii="Garamond" w:hAnsi="Garamond"/>
          <w:i/>
          <w:iCs/>
          <w:lang w:val="en-GB"/>
        </w:rPr>
        <w:t>perverse</w:t>
      </w:r>
      <w:r w:rsidRPr="00866B42">
        <w:rPr>
          <w:rFonts w:ascii="Garamond" w:hAnsi="Garamond"/>
          <w:lang w:val="en-GB"/>
        </w:rPr>
        <w:t xml:space="preserve"> (im weitesten Sinne) bezeichnen würde, wenn sie sich ohne Ablenkung vom Bewußtsein direkt in Phantasievorsätzen und Taten äußern könnten. Die Symptome bilden sich also zum Teil auf Kosten </w:t>
      </w:r>
      <w:r w:rsidRPr="00866B42">
        <w:rPr>
          <w:rFonts w:ascii="Garamond" w:hAnsi="Garamond"/>
          <w:i/>
          <w:iCs/>
          <w:lang w:val="en-GB"/>
        </w:rPr>
        <w:t>abnormer</w:t>
      </w:r>
      <w:r w:rsidRPr="00866B42">
        <w:rPr>
          <w:rFonts w:ascii="Garamond" w:hAnsi="Garamond"/>
          <w:lang w:val="en-GB"/>
        </w:rPr>
        <w:t xml:space="preserve"> Sexualität; </w:t>
      </w:r>
      <w:r w:rsidRPr="00866B42">
        <w:rPr>
          <w:rFonts w:ascii="Garamond" w:hAnsi="Garamond"/>
          <w:i/>
          <w:iCs/>
          <w:lang w:val="en-GB"/>
        </w:rPr>
        <w:t>die Neurose ist sozusagen das Negativ der Perversion</w:t>
      </w:r>
      <w:hyperlink r:id="rId1395"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Die klar bewußten Phantasien der Perversen, die unter günstigen Umständen in Veranstaltungen umgesetzt werden, die in feindlichem Sinne auf andere projizierten Wahnbefürchtungen der Paranoiker und die unbewußten Phantasien der Hysteriker, die man durch Psychoanalyse hinter ihren Symptomen aufdeckt, fallen inhaltlich bis in einzelne Details zusammen.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Der Sexualtrieb der Psychoneurotiker läßt alle die Abirrungen erkennen, die wir als Variationen des normalen und als Äußerungen des krankhaften Sexuallebens studiert haben.</w:t>
      </w:r>
    </w:p>
    <w:p w:rsidR="00646842" w:rsidRPr="00866B42" w:rsidRDefault="00646842" w:rsidP="00646842">
      <w:pPr>
        <w:rPr>
          <w:rFonts w:ascii="Garamond" w:hAnsi="Garamond"/>
          <w:lang w:val="en-GB"/>
        </w:rPr>
      </w:pPr>
      <w:r w:rsidRPr="00866B42">
        <w:rPr>
          <w:rFonts w:ascii="Garamond" w:hAnsi="Garamond"/>
          <w:i/>
          <w:iCs/>
          <w:lang w:val="en-GB"/>
        </w:rPr>
        <w:t>(a)</w:t>
      </w:r>
      <w:r w:rsidRPr="00866B42">
        <w:rPr>
          <w:rFonts w:ascii="Garamond" w:hAnsi="Garamond"/>
          <w:lang w:val="en-GB"/>
        </w:rPr>
        <w:t xml:space="preserve"> Bei allen Neurotikern (ohne Ausnahme) finden sich im unbewußten Seelenleben Regungen von Inversion, Fixierung von Libido auf Personen des gleichen Geschlechts. Ohne tief eindringende Erörterung ist es nicht möglich, die Bedeutung dieses Moments für die Gestaltung des Krankheitsbildes entsprechend zu würdigen; ich kann nur versichern, daß die unbewußte Inversionsneigung niemals fehlt und insbesondere zur Aufklärung der männlichen Hysterie die größten Dienste leistet </w:t>
      </w:r>
      <w:hyperlink r:id="rId1396"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Psychoneurose vergesellschaftet sich auch sehr oft mit manifester Inversion, wobei die heterosexuelle Strömung der vollen Unterdrückung zum Opfer gefallen ist. – Ich lasse nur einer mir zuteil gewordenen Anregung Recht widerfahren, wenn ich mitteile, daß erst private Äußerungen von W. Fließ in Berlin mich auf die notwendige Allgemeinheit der Inversionsneigung bei den Psychoneurotikern aufmerksam gemacht haben, nachdem ich diese in einzelnen Fällen aufgedeckt hatte. – Diese nicht genug gewürdigte Tatsache müßte alle Theorien der Homosexualität entscheidend beeinflussen.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i/>
          <w:iCs/>
          <w:lang w:val="en-GB"/>
        </w:rPr>
        <w:t>(b)</w:t>
      </w:r>
      <w:r w:rsidRPr="00866B42">
        <w:rPr>
          <w:rFonts w:ascii="Garamond" w:hAnsi="Garamond"/>
          <w:lang w:val="en-GB"/>
        </w:rPr>
        <w:t xml:space="preserve"> Es sind bei den Psychoneurotikern alle Neigungen zu den anatomischen Überschreitungen im Unbewußten und als Symptombildner nachweisbar, unter ihnen mit besonderer Häufigkeit und Intensität diejenigen, welche für Mund- und Afterschleimhaut die Rolle von Genitalien in Anspruch nehmen.</w:t>
      </w:r>
    </w:p>
    <w:p w:rsidR="00646842" w:rsidRPr="00866B42" w:rsidRDefault="00646842" w:rsidP="00646842">
      <w:pPr>
        <w:rPr>
          <w:rFonts w:ascii="Garamond" w:hAnsi="Garamond"/>
          <w:lang w:val="en-GB"/>
        </w:rPr>
      </w:pPr>
      <w:r w:rsidRPr="00866B42">
        <w:rPr>
          <w:rFonts w:ascii="Garamond" w:hAnsi="Garamond"/>
          <w:i/>
          <w:iCs/>
          <w:lang w:val="en-GB"/>
        </w:rPr>
        <w:t>(c)</w:t>
      </w:r>
      <w:r w:rsidRPr="00866B42">
        <w:rPr>
          <w:rFonts w:ascii="Garamond" w:hAnsi="Garamond"/>
          <w:lang w:val="en-GB"/>
        </w:rPr>
        <w:t xml:space="preserve"> Eine ganz hervorragende Rolle unter den Symptombildnern der Psychoneurosen spielen die zumeist in Gegensatzpaaren auftretenden Partialtriebe, die wir als Bringer neuer Sexualziele kennengelernt haben, der Trieb der Schaulust und der Exhibition und der aktiv und passiv ausgebildete Trieb zur Grausamkeit. Der Beitrag des letzteren ist zum Verständnis der Leidensnatur der Symptome unentbehrlich und beherrscht fast regelmäßig ein Stück des sozialen Verhaltens der Kranken. Vermittels dieser Grausamkeitsverknüpfung der Libido geht auch die Verwandlung von Liebe in Haß, von zärtlichen in feindselige Regungen vor sich, die für eine große Reihe von neurotischen Fällen, ja, wie es scheint, für die Paranoia im ganzen charakteristisch ist.</w:t>
      </w:r>
    </w:p>
    <w:p w:rsidR="00646842" w:rsidRPr="00866B42" w:rsidRDefault="00646842" w:rsidP="00646842">
      <w:pPr>
        <w:rPr>
          <w:rFonts w:ascii="Garamond" w:hAnsi="Garamond"/>
          <w:lang w:val="en-GB"/>
        </w:rPr>
      </w:pPr>
      <w:r w:rsidRPr="00866B42">
        <w:rPr>
          <w:rFonts w:ascii="Garamond" w:hAnsi="Garamond"/>
          <w:lang w:val="en-GB"/>
        </w:rPr>
        <w:t>Das Interesse an diesen Ergebnissen wird noch durch einige Besonderheiten des Tatbestandes erhöht.</w:t>
      </w:r>
    </w:p>
    <w:p w:rsidR="00646842" w:rsidRPr="00866B42" w:rsidRDefault="00646842" w:rsidP="00646842">
      <w:pPr>
        <w:rPr>
          <w:rFonts w:ascii="Garamond" w:hAnsi="Garamond"/>
          <w:lang w:val="en-GB"/>
        </w:rPr>
      </w:pPr>
      <w:r w:rsidRPr="00866B42">
        <w:rPr>
          <w:rFonts w:ascii="Garamond" w:hAnsi="Garamond"/>
          <w:i/>
          <w:iCs/>
          <w:lang w:val="en-GB"/>
        </w:rPr>
        <w:t>(</w:t>
      </w:r>
      <w:r w:rsidRPr="00866B42">
        <w:rPr>
          <w:rFonts w:ascii="Garamond" w:hAnsi="Garamond"/>
          <w:i/>
          <w:iCs/>
        </w:rPr>
        <w:t>α</w:t>
      </w:r>
      <w:r w:rsidRPr="00866B42">
        <w:rPr>
          <w:rFonts w:ascii="Garamond" w:hAnsi="Garamond"/>
          <w:i/>
          <w:iCs/>
          <w:lang w:val="en-GB"/>
        </w:rPr>
        <w:t>)</w:t>
      </w:r>
      <w:r w:rsidRPr="00866B42">
        <w:rPr>
          <w:rFonts w:ascii="Garamond" w:hAnsi="Garamond"/>
          <w:lang w:val="en-GB"/>
        </w:rPr>
        <w:t xml:space="preserve"> Wo ein solcher Trieb im Unbewußten aufgefunden wird, welcher der Paarung mit einem Gegensatze fähig ist, da läßt sich regelmäßig auch dieser letztere als wirksam nachweisen. Jede »aktive« Perversion wird also hier von ihrem passiven Widerpart begleitet; wer im Unbewußten Exhibitionist ist, der ist auch </w:t>
      </w:r>
      <w:r w:rsidRPr="00866B42">
        <w:rPr>
          <w:rFonts w:ascii="Garamond" w:hAnsi="Garamond"/>
          <w:lang w:val="en-GB"/>
        </w:rPr>
        <w:lastRenderedPageBreak/>
        <w:t xml:space="preserve">gleichzeitig </w:t>
      </w:r>
      <w:r w:rsidRPr="00866B42">
        <w:rPr>
          <w:rFonts w:ascii="Garamond" w:hAnsi="Garamond"/>
          <w:i/>
          <w:iCs/>
          <w:lang w:val="en-GB"/>
        </w:rPr>
        <w:t>voyeur</w:t>
      </w:r>
      <w:r w:rsidRPr="00866B42">
        <w:rPr>
          <w:rFonts w:ascii="Garamond" w:hAnsi="Garamond"/>
          <w:lang w:val="en-GB"/>
        </w:rPr>
        <w:t>, wer an den Folgen der Verdrängung sadistischer Regungen leidet, bei dem findet sich ein anderer Zuzug zu den Symptomen aus den Quellen masochistischer Neigung. Die volle Übereinstimmung mit dem Verhalten der entsprechenden »positiven« Perversionen ist gewiß sehr beachtenswert. Im Krankheitsbilde spielt aber die eine oder die andere der gegensätzlichen Neigungen die überwiegende Rolle.</w:t>
      </w:r>
    </w:p>
    <w:p w:rsidR="00646842" w:rsidRPr="00646842" w:rsidRDefault="00646842" w:rsidP="00646842">
      <w:pPr>
        <w:rPr>
          <w:rFonts w:ascii="Garamond" w:hAnsi="Garamond"/>
          <w:lang w:val="en-GB"/>
        </w:rPr>
      </w:pPr>
      <w:r w:rsidRPr="00866B42">
        <w:rPr>
          <w:rFonts w:ascii="Garamond" w:hAnsi="Garamond"/>
          <w:i/>
          <w:iCs/>
          <w:lang w:val="en-GB"/>
        </w:rPr>
        <w:t>(</w:t>
      </w:r>
      <w:r w:rsidRPr="00866B42">
        <w:rPr>
          <w:rFonts w:ascii="Garamond" w:hAnsi="Garamond"/>
          <w:i/>
          <w:iCs/>
        </w:rPr>
        <w:t>β</w:t>
      </w:r>
      <w:r w:rsidRPr="00866B42">
        <w:rPr>
          <w:rFonts w:ascii="Garamond" w:hAnsi="Garamond"/>
          <w:i/>
          <w:iCs/>
          <w:lang w:val="en-GB"/>
        </w:rPr>
        <w:t>)</w:t>
      </w:r>
      <w:r w:rsidRPr="00866B42">
        <w:rPr>
          <w:rFonts w:ascii="Garamond" w:hAnsi="Garamond"/>
          <w:lang w:val="en-GB"/>
        </w:rPr>
        <w:t xml:space="preserve"> In einem ausgeprägteren Falle von Psychoneurose findet man nur selten einen einzigen dieser perversen Triebe entwickelt, meist eine größere Anzahl derselben und in der Regel Spuren von allen; der einzelne Trieb ist aber in seiner Intensität unabhängig von der Ausbildung der anderen. </w:t>
      </w:r>
      <w:r w:rsidRPr="00646842">
        <w:rPr>
          <w:rFonts w:ascii="Garamond" w:hAnsi="Garamond"/>
          <w:lang w:val="en-GB"/>
        </w:rPr>
        <w:t>Auch dazu ergibt uns das Studium der »positiven« Perversionen das genaue Gegenstück.</w:t>
      </w:r>
    </w:p>
    <w:p w:rsidR="00646842" w:rsidRPr="00866B42" w:rsidRDefault="00646842" w:rsidP="00646842">
      <w:pPr>
        <w:rPr>
          <w:rFonts w:ascii="Garamond" w:hAnsi="Garamond"/>
          <w:lang w:val="en-GB"/>
        </w:rPr>
      </w:pPr>
      <w:r w:rsidRPr="00866B42">
        <w:rPr>
          <w:rFonts w:ascii="Garamond" w:hAnsi="Garamond"/>
          <w:lang w:val="en-GB"/>
        </w:rPr>
        <w:t>(5) Partialtriebe und erogene Zonen</w:t>
      </w:r>
    </w:p>
    <w:p w:rsidR="00646842" w:rsidRPr="00866B42" w:rsidRDefault="00646842" w:rsidP="00646842">
      <w:pPr>
        <w:rPr>
          <w:rFonts w:ascii="Garamond" w:hAnsi="Garamond"/>
          <w:lang w:val="en-GB"/>
        </w:rPr>
      </w:pPr>
      <w:r w:rsidRPr="00866B42">
        <w:rPr>
          <w:rFonts w:ascii="Garamond" w:hAnsi="Garamond"/>
          <w:lang w:val="en-GB"/>
        </w:rPr>
        <w:t xml:space="preserve">Halten wir zusammen, was wir aus der Untersuchung der positiven und der negativen Perversionen erfahren haben, so liegt es nahe, dieselben auf eine Reihe von »Partialtrieben« zurückzuführen, die aber nichts Primäres sind, sondern eine weitere Zerlegung zulassen. Unter einem »Trieb« können wir zunächst nichts anderes verstehen als die psychische Repräsentanz einer kontinuierlich fließenden, innersomatischen Reizquelle, zum Unterschiede vom »Reiz«, der durch vereinzelte und von außen kommende Erregungen hergestellt wird. Trieb ist so einer der Begriffe der Abgrenzung des Seelischen vom Körperlichen. Die einfachste und nächstliegende Annahme über die Natur der Triebe wäre, daß sie an sich keine Qualität besitzen, sondern nur als Maße von Arbeitsanforderung für das Seelenleben in Betracht kommen. Was die Triebe voneinander unterscheidet und mit spezifischen Eigenschaften ausstattet, ist deren Beziehung zu ihren somatischen </w:t>
      </w:r>
      <w:r w:rsidRPr="00866B42">
        <w:rPr>
          <w:rFonts w:ascii="Garamond" w:hAnsi="Garamond"/>
          <w:i/>
          <w:iCs/>
          <w:lang w:val="en-GB"/>
        </w:rPr>
        <w:t>Quellen</w:t>
      </w:r>
      <w:r w:rsidRPr="00866B42">
        <w:rPr>
          <w:rFonts w:ascii="Garamond" w:hAnsi="Garamond"/>
          <w:lang w:val="en-GB"/>
        </w:rPr>
        <w:t xml:space="preserve"> und ihren </w:t>
      </w:r>
      <w:r w:rsidRPr="00866B42">
        <w:rPr>
          <w:rFonts w:ascii="Garamond" w:hAnsi="Garamond"/>
          <w:i/>
          <w:iCs/>
          <w:lang w:val="en-GB"/>
        </w:rPr>
        <w:t>Zielen</w:t>
      </w:r>
      <w:r w:rsidRPr="00866B42">
        <w:rPr>
          <w:rFonts w:ascii="Garamond" w:hAnsi="Garamond"/>
          <w:lang w:val="en-GB"/>
        </w:rPr>
        <w:t xml:space="preserve">. Die Quelle des Triebes ist ein erregender Vorgang in einem Organ, und das nächste Ziel des Triebes liegt in der Aufhebung dieses Organreizes </w:t>
      </w:r>
      <w:hyperlink r:id="rId1397"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Die Trieblehre ist das bedeutsamste, aber auch das unfertigste Stück der psychoanalytischen Theorie. In meinen späteren Arbeiten ( </w:t>
        </w:r>
        <w:r w:rsidRPr="00866B42">
          <w:rPr>
            <w:rStyle w:val="innerfusslink3"/>
            <w:rFonts w:ascii="Garamond" w:hAnsi="Garamond" w:cs="Arial"/>
            <w:b/>
            <w:bCs/>
            <w:i/>
            <w:iCs/>
            <w:lang w:val="en-GB"/>
          </w:rPr>
          <w:t>Jenseits des Lustprinzips</w:t>
        </w:r>
        <w:r w:rsidRPr="00866B42">
          <w:rPr>
            <w:rStyle w:val="innerfusslink3"/>
            <w:rFonts w:ascii="Garamond" w:hAnsi="Garamond" w:cs="Arial"/>
            <w:b/>
            <w:bCs/>
            <w:lang w:val="en-GB"/>
          </w:rPr>
          <w:t xml:space="preserve">, 1920  </w:t>
        </w:r>
        <w:r w:rsidRPr="00866B42">
          <w:rPr>
            <w:rStyle w:val="innerfusslink3"/>
            <w:rFonts w:ascii="Garamond" w:hAnsi="Garamond" w:cs="Arial"/>
            <w:b/>
            <w:bCs/>
            <w:i/>
            <w:iCs/>
            <w:lang w:val="en-GB"/>
          </w:rPr>
          <w:t>g</w:t>
        </w:r>
        <w:r w:rsidRPr="00866B42">
          <w:rPr>
            <w:rStyle w:val="innerfusslink3"/>
            <w:rFonts w:ascii="Garamond" w:hAnsi="Garamond" w:cs="Arial"/>
            <w:b/>
            <w:bCs/>
            <w:lang w:val="en-GB"/>
          </w:rPr>
          <w:t xml:space="preserve">, </w:t>
        </w:r>
        <w:r w:rsidRPr="00866B42">
          <w:rPr>
            <w:rStyle w:val="innerfusslink3"/>
            <w:rFonts w:ascii="Garamond" w:hAnsi="Garamond" w:cs="Arial"/>
            <w:b/>
            <w:bCs/>
            <w:i/>
            <w:iCs/>
            <w:lang w:val="en-GB"/>
          </w:rPr>
          <w:t>Das Ich und das Es</w:t>
        </w:r>
        <w:r w:rsidRPr="00866B42">
          <w:rPr>
            <w:rStyle w:val="innerfusslink3"/>
            <w:rFonts w:ascii="Garamond" w:hAnsi="Garamond" w:cs="Arial"/>
            <w:b/>
            <w:bCs/>
            <w:lang w:val="en-GB"/>
          </w:rPr>
          <w:t xml:space="preserve">, 1923  </w:t>
        </w:r>
        <w:r w:rsidRPr="00866B42">
          <w:rPr>
            <w:rStyle w:val="innerfusslink3"/>
            <w:rFonts w:ascii="Garamond" w:hAnsi="Garamond" w:cs="Arial"/>
            <w:b/>
            <w:bCs/>
            <w:i/>
            <w:iCs/>
            <w:lang w:val="en-GB"/>
          </w:rPr>
          <w:t>b</w:t>
        </w:r>
        <w:r w:rsidRPr="00866B42">
          <w:rPr>
            <w:rStyle w:val="innerfusslink3"/>
            <w:rFonts w:ascii="Garamond" w:hAnsi="Garamond" w:cs="Arial"/>
            <w:b/>
            <w:bCs/>
            <w:lang w:val="en-GB"/>
          </w:rPr>
          <w:t>) habe ich weitere Beiträge zur Trieblehre entwickelt.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Eine weitere vorläufige Annahme in der Trieblehre, welcher wir uns nicht entziehen können, besagt, daß von den Körperorganen Erregungen von zweierlei Art geliefert werden, die in Differenzen chemischer Natur begründet sind. Die eine dieser Arten von Erregung bezeichnen wir als die spezifisch sexuelle und das betreffende Organ als die » </w:t>
      </w:r>
      <w:r w:rsidRPr="00866B42">
        <w:rPr>
          <w:rFonts w:ascii="Garamond" w:hAnsi="Garamond"/>
          <w:i/>
          <w:iCs/>
          <w:lang w:val="en-GB"/>
        </w:rPr>
        <w:t>erogene Zone</w:t>
      </w:r>
      <w:r w:rsidRPr="00866B42">
        <w:rPr>
          <w:rFonts w:ascii="Garamond" w:hAnsi="Garamond"/>
          <w:lang w:val="en-GB"/>
        </w:rPr>
        <w:t xml:space="preserve">« des von ihm ausgehenden sexuellen Partialtriebes </w:t>
      </w:r>
      <w:hyperlink r:id="rId1398"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Es ist nicht leicht, diese Annahmen, die aus dem Studium einer bestimmten Klasse von neurotischen Erkrankungen geschöpft sind, hier zu rechtfertigen. Andererseits wird es aber unmöglich, etwas Stichhältiges über die Triebe auszusagen, wenn man sich die Erwähnung dieser Voraussetzungen erspart.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Bei den Perversionsneigungen, die für Mundhöhle und Afteröffnung sexuelle Bedeutung in Anspruch nehmen, ist die Rolle der erogenen Zone ohneweiters ersichtlich. Dieselbe benimmt sich in jeder Hinsicht wie ein Stück des Geschlechtsapparates. Bei der Hysterie werden diese Körperstellen und die von ihnen ausgehenden Schleimhauttrakte in ganz ähnlicher Weise der Sitz von neuen Sensationen und Innervationsänderungen – ja von Vorgängen, die man der Erektion vergleichen kann – wie die eigentlichen Genitalien unter den Erregungen der normalen Geschlechtsvorgänge.</w:t>
      </w:r>
    </w:p>
    <w:p w:rsidR="00646842" w:rsidRPr="00866B42" w:rsidRDefault="00646842" w:rsidP="00646842">
      <w:pPr>
        <w:rPr>
          <w:rFonts w:ascii="Garamond" w:hAnsi="Garamond"/>
          <w:lang w:val="en-GB"/>
        </w:rPr>
      </w:pPr>
      <w:r w:rsidRPr="00866B42">
        <w:rPr>
          <w:rFonts w:ascii="Garamond" w:hAnsi="Garamond"/>
          <w:lang w:val="en-GB"/>
        </w:rPr>
        <w:t xml:space="preserve">Die Bedeutung der erogenen Zonen als Nebenapparate und Surrogate der Genitalien tritt unter den Psychoneurosen bei der Hysterie am deutlichsten hervor, womit aber nicht behauptet werden soll, daß sie für die anderen Erkrankungsformen geringer einzuschätzen ist. Sie ist hier nur unkenntlicher, weil sich bei diesen (Zwangsneurose, Paranoia) die Symptombildung in Regionen des seelischen Apparates vollzieht, die weiter ab von den einzelnen Zentralstellen für die Körperbeherrschung liegen. Bei der Zwangsneurose ist die Bedeutung der Impulse, welche neue Sexualziele schaffen und von erogenen Zonen unabhängig erscheinen, das Auffälligere. Doch entspricht bei der Schau- und Exhibitionslust das Auge einer erogenen </w:t>
      </w:r>
      <w:r w:rsidRPr="00866B42">
        <w:rPr>
          <w:rFonts w:ascii="Garamond" w:hAnsi="Garamond"/>
          <w:lang w:val="en-GB"/>
        </w:rPr>
        <w:lastRenderedPageBreak/>
        <w:t xml:space="preserve">Zone, bei der Schmerz- und Grausamkeitskomponente des Sexualtriebes ist es die Haut, welche die gleiche Rolle übernimmt, die Haut, die sich an besonderen Körperstellen zu Sinnesorganen differenziert und zur Schleimhaut modifiziert hat, also die erogene Zone </w:t>
      </w:r>
      <w:r w:rsidRPr="00866B42">
        <w:rPr>
          <w:rFonts w:ascii="Garamond" w:hAnsi="Garamond"/>
        </w:rPr>
        <w:t>κατ</w:t>
      </w:r>
      <w:r w:rsidRPr="00866B42">
        <w:rPr>
          <w:rFonts w:ascii="Garamond" w:hAnsi="Garamond"/>
          <w:lang w:val="en-GB"/>
        </w:rPr>
        <w:t xml:space="preserve">' </w:t>
      </w:r>
      <w:r w:rsidRPr="00866B42">
        <w:rPr>
          <w:rFonts w:ascii="Garamond" w:hAnsi="Garamond"/>
        </w:rPr>
        <w:t>εξοχήν</w:t>
      </w:r>
      <w:r w:rsidRPr="00866B42">
        <w:rPr>
          <w:rFonts w:ascii="Garamond" w:hAnsi="Garamond"/>
          <w:lang w:val="en-GB"/>
        </w:rPr>
        <w:t xml:space="preserve"> </w:t>
      </w:r>
      <w:hyperlink r:id="rId1399"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Man muß hier der Aufstellung von Moll gedenken, welche den Sexualtrieb in Kontrektations- und Detumeszenz </w:t>
        </w:r>
        <w:r w:rsidRPr="00866B42">
          <w:rPr>
            <w:rStyle w:val="footnote3"/>
            <w:rFonts w:ascii="Garamond" w:hAnsi="Garamond"/>
            <w:b/>
            <w:bCs/>
            <w:lang w:val="en-GB"/>
          </w:rPr>
          <w:t>Abschwellen, Ruhigwerden</w:t>
        </w:r>
        <w:r w:rsidRPr="00866B42">
          <w:rPr>
            <w:rStyle w:val="innerfusslink3"/>
            <w:rFonts w:ascii="Garamond" w:hAnsi="Garamond" w:cs="Arial"/>
            <w:b/>
            <w:bCs/>
            <w:lang w:val="en-GB"/>
          </w:rPr>
          <w:t>trieb zerlegt. Kontrektation bedeutet ein Bedürfnis nach Hautberührung.</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(6) Erklärung des scheinbaren Überwiegens perverser Sexualität bei den Psychoneurosen</w:t>
      </w:r>
    </w:p>
    <w:p w:rsidR="00646842" w:rsidRPr="00866B42" w:rsidRDefault="00646842" w:rsidP="00646842">
      <w:pPr>
        <w:rPr>
          <w:rFonts w:ascii="Garamond" w:hAnsi="Garamond"/>
          <w:lang w:val="en-GB"/>
        </w:rPr>
      </w:pPr>
      <w:r w:rsidRPr="00866B42">
        <w:rPr>
          <w:rFonts w:ascii="Garamond" w:hAnsi="Garamond"/>
          <w:lang w:val="en-GB"/>
        </w:rPr>
        <w:t xml:space="preserve">Durch die vorstehenden Erörterungen ist die Sexualität der Psychoneurotiker in ein möglicherweise falsches Licht gerückt worden. Es hat den Anschein bekommen, als näherten sich die Psychoneurotiker in ihrem sexuellen Verhalten der Anlage nach sehr den Perversen und entfernten sich dafür um ebensoviel von den Normalen. Nun ist sehr wohl möglich, daß die konstitutionelle Disposition dieser Kranken außer einem übergroßen Maß von Sexualverdrängung und einer übermächtigen Stärke des Sexualtriebes eine ungewöhnliche Neigung zur Perversion im weitesten Sinne mitenthält, allein die Untersuchung leichterer Fälle zeigt, daß letztere Annahme nicht unbedingt erforderlich ist oder daß zum mindesten bei der Beurteilung der krankhaften Effekte die Wirkung eines Faktors in Abzug gebracht werden muß. Bei den meisten Psychoneurotikern tritt die Erkrankung erst nach der Pubertätszeit auf unter der Anforderung des normalen Sexuallebens. Gegen dieses richtet sich vor allem die Verdrängung. </w:t>
      </w:r>
      <w:smartTag w:uri="urn:schemas-microsoft-com:office:smarttags" w:element="place">
        <w:r w:rsidRPr="00866B42">
          <w:rPr>
            <w:rFonts w:ascii="Garamond" w:hAnsi="Garamond"/>
            <w:lang w:val="en-GB"/>
          </w:rPr>
          <w:t>Oder</w:t>
        </w:r>
      </w:smartTag>
      <w:r w:rsidRPr="00866B42">
        <w:rPr>
          <w:rFonts w:ascii="Garamond" w:hAnsi="Garamond"/>
          <w:lang w:val="en-GB"/>
        </w:rPr>
        <w:t xml:space="preserve"> spätere Erkrankungen stellen sich her, indem der Libido auf normalem Wege die Befriedigung versagt wird. In beiden Fällen verhält sich die Libido wie ein Strom, dessen Hauptbett verlegt wird; sie füllt die kollateralen Wege aus, die bisher vielleicht leer geblieben waren. Somit kann auch die scheinbar so große (allerdings negative) Perversionsneigung der Psychoneurotiker eine kollateral bedingte, muß jedenfalls eine kollateral erhöhte sein. Die Tatsache ist eben, daß man die Sexualverdrängung als inneres Moment jenen äußeren anreihen muß, welche wie Freiheitseinschränkung, Unzugänglichkeit des normalen Sexualobjekts, Gefahren des normalen Sexualaktes usw. Perversionen bei Individuen entstehen lassen, welche sonst vielleicht normal geblieben wären.</w:t>
      </w:r>
    </w:p>
    <w:p w:rsidR="00646842" w:rsidRPr="00866B42" w:rsidRDefault="00646842" w:rsidP="00646842">
      <w:pPr>
        <w:rPr>
          <w:rFonts w:ascii="Garamond" w:hAnsi="Garamond"/>
          <w:lang w:val="en-GB"/>
        </w:rPr>
      </w:pPr>
      <w:r w:rsidRPr="00866B42">
        <w:rPr>
          <w:rFonts w:ascii="Garamond" w:hAnsi="Garamond"/>
          <w:lang w:val="en-GB"/>
        </w:rPr>
        <w:t>In den einzelnen Fällen von Neurose mag es sich hierin verschieden verhalten, das eine Mal die angeborene Höhe der Perversionsneigung, das andere Mal die kollaterale Hebung derselben durch die Abdrängung der Libido vom normalen Sexualziel und Sexualobjekt das Maßgebendere sein. Es wäre unrecht, eine Gegensätzlichkeit zu konstruieren, wo ein Kooperationsverhältnis vorliegt. Ihre größten Leistungen wird die Neurose jedesmal zustande bringen, wenn Konstitution und Erleben in demselben Sinne zusammenwirken. Eine ausgesprochene Konstitution wird etwa der Unterstützung durch die Lebenseindrücke entbehren können, eine ausgiebige Erschütterung im Leben etwa die Neurose auch bei durchschnittlicher Konstitution zustande bringen. Diese Gesichtspunkte gelten übrigens in gleicher Weise für die ätiologische Bedeutung von Angeborenem und akzidentell Erlebtem auch auf anderen Gebieten.</w:t>
      </w:r>
    </w:p>
    <w:p w:rsidR="00646842" w:rsidRPr="00866B42" w:rsidRDefault="00646842" w:rsidP="00646842">
      <w:pPr>
        <w:rPr>
          <w:rFonts w:ascii="Garamond" w:hAnsi="Garamond"/>
          <w:lang w:val="en-GB"/>
        </w:rPr>
      </w:pPr>
      <w:r w:rsidRPr="00866B42">
        <w:rPr>
          <w:rFonts w:ascii="Garamond" w:hAnsi="Garamond"/>
          <w:lang w:val="en-GB"/>
        </w:rPr>
        <w:t xml:space="preserve">Bevorzugt man die Annahme, daß eine besonders ausgebildete Neigung zu Perversionen doch zu den Eigentümlichkeiten der psychoneurotischen Konstitution gehört, so eröffnet sich die Aussicht, je nach dem angeborenen Vorwiegen dieser oder jener erogenen Zone, dieses oder jenes Partialtriebes eine Mannigfaltigkeit solcher Konstitutionen unterscheiden zu können. </w:t>
      </w:r>
      <w:smartTag w:uri="urn:schemas-microsoft-com:office:smarttags" w:element="place">
        <w:r w:rsidRPr="00866B42">
          <w:rPr>
            <w:rFonts w:ascii="Garamond" w:hAnsi="Garamond"/>
            <w:lang w:val="en-GB"/>
          </w:rPr>
          <w:t>Ob</w:t>
        </w:r>
      </w:smartTag>
      <w:r w:rsidRPr="00866B42">
        <w:rPr>
          <w:rFonts w:ascii="Garamond" w:hAnsi="Garamond"/>
          <w:lang w:val="en-GB"/>
        </w:rPr>
        <w:t xml:space="preserve"> der perversen Veranlagung eine besondere Beziehung zur Auswahl der Erkrankungsform zukommt, dies ist wie so vieles auf diesem Gebiete noch nicht untersucht.</w:t>
      </w:r>
    </w:p>
    <w:p w:rsidR="00646842" w:rsidRPr="00866B42" w:rsidRDefault="00646842" w:rsidP="00646842">
      <w:pPr>
        <w:rPr>
          <w:rFonts w:ascii="Garamond" w:hAnsi="Garamond"/>
        </w:rPr>
      </w:pPr>
      <w:r w:rsidRPr="00866B42">
        <w:rPr>
          <w:rFonts w:ascii="Garamond" w:hAnsi="Garamond"/>
        </w:rPr>
        <w:t>(7) Verweis auf den Infantilismus der Sexualität</w:t>
      </w:r>
    </w:p>
    <w:p w:rsidR="00646842" w:rsidRPr="00866B42" w:rsidRDefault="00646842" w:rsidP="00646842">
      <w:pPr>
        <w:rPr>
          <w:rFonts w:ascii="Garamond" w:hAnsi="Garamond"/>
        </w:rPr>
      </w:pPr>
      <w:r w:rsidRPr="00866B42">
        <w:rPr>
          <w:rFonts w:ascii="Garamond" w:hAnsi="Garamond"/>
        </w:rPr>
        <w:t xml:space="preserve">Durch den Nachweis der perversen Regungen als Symptombildner bei den Psychoneurosen haben wir die Anzahl der Menschen, die man den Perversen zurechnen könnte, in ganz außerordentlicher Weise gesteigert. Nicht nur, daß die Neurotiker selbst eine sehr zahlreiche Menschenklasse darstellen, es ist auch in Betracht zu ziehen, daß die Neurosen von allen ihren Ausbildungen her in lückenlosen Reihen zur </w:t>
      </w:r>
      <w:r w:rsidRPr="00866B42">
        <w:rPr>
          <w:rFonts w:ascii="Garamond" w:hAnsi="Garamond"/>
        </w:rPr>
        <w:lastRenderedPageBreak/>
        <w:t>Gesundheit abklingen; hat doch Moebius mit guter Berechtigung sagen können: wir sind alle ein wenig hysterisch. Somit werden wir durch die außerordentliche Verbreitung der Perversionen zu der Annahme gedrängt, daß auch die Anlage zu den Perversionen keine seltene Besonderheit, sondern ein Stück der für normal geltenden Konstitution sein müsse.</w:t>
      </w:r>
    </w:p>
    <w:p w:rsidR="00646842" w:rsidRPr="00866B42" w:rsidRDefault="00646842" w:rsidP="00646842">
      <w:pPr>
        <w:rPr>
          <w:rFonts w:ascii="Garamond" w:hAnsi="Garamond"/>
          <w:lang w:val="en-GB"/>
        </w:rPr>
      </w:pPr>
      <w:r w:rsidRPr="00866B42">
        <w:rPr>
          <w:rFonts w:ascii="Garamond" w:hAnsi="Garamond"/>
        </w:rPr>
        <w:t xml:space="preserve">Wir haben gehört, daß es strittig ist, ob die Perversionen auf angeborene Bedingungen zurückgehen oder durch zufällige Erlebnisse entstehen, wie es Binet für den Fetischismus angenommen hat. </w:t>
      </w:r>
      <w:r w:rsidRPr="00866B42">
        <w:rPr>
          <w:rFonts w:ascii="Garamond" w:hAnsi="Garamond"/>
          <w:lang w:val="en-GB"/>
        </w:rPr>
        <w:t xml:space="preserve">Nun bietet sich uns die Entscheidung, daß den Perversionen allerdings etwas Angeborenes zugrunde liegt, aber etwas, </w:t>
      </w:r>
      <w:r w:rsidRPr="00866B42">
        <w:rPr>
          <w:rFonts w:ascii="Garamond" w:hAnsi="Garamond"/>
          <w:i/>
          <w:iCs/>
          <w:lang w:val="en-GB"/>
        </w:rPr>
        <w:t>was allen Menschen angeboren</w:t>
      </w:r>
      <w:r w:rsidRPr="00866B42">
        <w:rPr>
          <w:rFonts w:ascii="Garamond" w:hAnsi="Garamond"/>
          <w:lang w:val="en-GB"/>
        </w:rPr>
        <w:t xml:space="preserve"> ist, als Anlage in seiner Intensität schwanken mag und der Hervorhebung durch Lebenseinflüsse wartet. Es handelt sich um angeborene, in der Konstitution gegebene Wurzeln des Sexualtriebes, die sich in der einen Reihe von Fällen zu den wirklichen Trägern der Sexualtätigkeit entwickeln (Perverse), andere Male eine ungenügende Unterdrückung (Verdrängung) erfahren, so daß sie auf einem Umweg als Krankheitssymptome einen beträchtlichen Teil der sexuellen Energie an sich ziehen können, während sie in den günstigsten Fällen zwischen beiden Extremen durch wirksame Einschränkung und sonstige Verarbeitung das sogenannte normale Sexualleben entstehen lassen.</w:t>
      </w:r>
    </w:p>
    <w:p w:rsidR="00646842" w:rsidRPr="00866B42" w:rsidRDefault="00646842" w:rsidP="00646842">
      <w:pPr>
        <w:rPr>
          <w:rFonts w:ascii="Garamond" w:hAnsi="Garamond"/>
          <w:lang w:val="en-GB"/>
        </w:rPr>
      </w:pPr>
      <w:r w:rsidRPr="00866B42">
        <w:rPr>
          <w:rFonts w:ascii="Garamond" w:hAnsi="Garamond"/>
          <w:lang w:val="en-GB"/>
        </w:rPr>
        <w:t>Wir werden uns aber ferner sagen, daß die angenommene Konstitution, welche die Keime zu allen Perversionen aufweist, nur beim Kinde aufzeigbar sein wird, wenngleich bei ihm alle Triebe nur in bescheidenen Intensitäten auftreten können. Ahnt uns so die Formel, daß die Neurotiker den infantilen Zustand ihrer Sexualität beibehalten haben oder auf ihn zurückversetzt worden sind, so wird sich unser Interesse dem Sexualleben des Kindes zuwenden, und wir werden das Spiel der Einflüsse verfolgen wollen, die den Entwicklungsprozeß der kindlichen Sexualität bis zum Ausgang in Perversion, Neurose oder normales Geschlechtsleben beherrschen.</w:t>
      </w:r>
    </w:p>
    <w:p w:rsidR="00646842" w:rsidRPr="00866B42" w:rsidRDefault="00646842" w:rsidP="00646842">
      <w:pPr>
        <w:rPr>
          <w:rFonts w:ascii="Garamond" w:hAnsi="Garamond"/>
          <w:color w:val="F38030"/>
        </w:rPr>
      </w:pPr>
      <w:r w:rsidRPr="005C1841">
        <w:rPr>
          <w:rFonts w:ascii="Garamond" w:hAnsi="Garamond"/>
          <w:color w:val="F38030"/>
        </w:rPr>
        <w:br w:type="page"/>
      </w:r>
      <w:hyperlink w:anchor="Drei_Abhandlungen_Inhalt" w:history="1">
        <w:r w:rsidRPr="00866B42">
          <w:rPr>
            <w:rStyle w:val="Lienhypertexte"/>
            <w:rFonts w:ascii="Garamond" w:hAnsi="Garamond"/>
          </w:rPr>
          <w:t>II. Di</w:t>
        </w:r>
        <w:bookmarkStart w:id="263" w:name="Drei_Abhandlungen_2"/>
        <w:bookmarkEnd w:id="263"/>
        <w:r w:rsidRPr="00866B42">
          <w:rPr>
            <w:rStyle w:val="Lienhypertexte"/>
            <w:rFonts w:ascii="Garamond" w:hAnsi="Garamond"/>
          </w:rPr>
          <w:t>e infantile Sexualität</w:t>
        </w:r>
      </w:hyperlink>
      <w:r w:rsidRPr="00866B42">
        <w:rPr>
          <w:rFonts w:ascii="Garamond" w:hAnsi="Garamond"/>
          <w:color w:val="F38030"/>
        </w:rPr>
        <w:t xml:space="preserve">  </w:t>
      </w:r>
    </w:p>
    <w:p w:rsidR="00646842" w:rsidRPr="00866B42" w:rsidRDefault="00646842" w:rsidP="00646842">
      <w:pPr>
        <w:rPr>
          <w:rFonts w:ascii="Garamond" w:hAnsi="Garamond"/>
        </w:rPr>
      </w:pPr>
    </w:p>
    <w:p w:rsidR="00646842" w:rsidRPr="00866B42" w:rsidRDefault="00646842" w:rsidP="00646842">
      <w:pPr>
        <w:rPr>
          <w:rFonts w:ascii="Garamond" w:hAnsi="Garamond"/>
          <w:lang w:val="en-GB"/>
        </w:rPr>
      </w:pPr>
      <w:r w:rsidRPr="00866B42">
        <w:rPr>
          <w:rFonts w:ascii="Garamond" w:hAnsi="Garamond"/>
        </w:rPr>
        <w:t xml:space="preserve">Vernachlässigung des Infantilen. </w:t>
      </w:r>
      <w:r w:rsidRPr="00866B42">
        <w:rPr>
          <w:rFonts w:ascii="Garamond" w:hAnsi="Garamond"/>
          <w:lang w:val="en-GB"/>
        </w:rPr>
        <w:t>Es ist ein Stück der populären Meinung über den Geschlechtstrieb, daß er der Kindheit fehle und erst in der als Pubertät bezeichneten Lebensperiode erwache. Allein dies ist nicht nur ein einfacher, sondern sogar ein folgenschwerer Irrtum, da er hauptsächlich unsere gegenwärtige Unkenntnis der grundlegenden Verhältnisse des Sexuallebens verschuldet. Ein gründliches Studium der Sexualäußerungen in der Kindheit würde uns wahrscheinlich die wesentlichen Züge des Geschlechtstriebes aufdecken, seine Entwicklung verraten und seine Zusammensetzung aus verschiedenen Quellen zeigen.</w:t>
      </w:r>
    </w:p>
    <w:p w:rsidR="00646842" w:rsidRPr="00866B42" w:rsidRDefault="00646842" w:rsidP="00646842">
      <w:pPr>
        <w:rPr>
          <w:rFonts w:ascii="Garamond" w:hAnsi="Garamond"/>
          <w:lang w:val="en-GB"/>
        </w:rPr>
      </w:pPr>
      <w:r w:rsidRPr="00866B42">
        <w:rPr>
          <w:rFonts w:ascii="Garamond" w:hAnsi="Garamond"/>
          <w:lang w:val="en-GB"/>
        </w:rPr>
        <w:t xml:space="preserve">Es ist bemerkenswert, daß die Autoren, welche sich mit der Erklärung der Eigenschaften und Reaktionen des erwachsenen Individuums beschäftigen, jener Vorzeit, welche durch die Lebensdauer der Ahnen gegeben ist, so viel mehr Aufmerksamkeit geschenkt, also der Erblichkeit so viel mehr Einfluß zugesprochen haben als der anderen Vorzeit, welche bereits in die individuelle Existenz der Person fällt, der Kindheit nämlich. Man sollte doch meinen, der Einfluß dieser Lebensperiode wäre leichter zu verstehen und hätte ein Anrecht, vor dem der Erblichkeit berücksichtigt zu werden </w:t>
      </w:r>
      <w:hyperlink r:id="rId1400"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Es ist ja auch nicht möglich, den der Erblichkeit gebührenden Anteil richtig zu erkennen, ehe man den der Kindheit zugehörigen gewürdigt hat.</w:t>
        </w:r>
      </w:hyperlink>
      <w:r w:rsidRPr="00866B42">
        <w:rPr>
          <w:rFonts w:ascii="Garamond" w:hAnsi="Garamond"/>
          <w:lang w:val="en-GB"/>
        </w:rPr>
        <w:t xml:space="preserve">. Man findet zwar in der Literatur gelegentliche Notizen über frühzeitige Sexualbetätigung bei kleinen Kindern, über Erektionen, Masturbation und selbst koitusähnliche Vornahmen, aber immer nur als ausnahmsweise Vorgänge, als Kuriosa oder als abschreckende Beispiele voreiliger Verderbtheit angeführt. Kein Autor hat meines Wissens die Gesetzmäßigkeit eines Sexualtriebes in der Kindheit klar erkannt, und in den zahlreich gewordenen Schriften über die Entwicklung des Kindes wird das Kapitel »Sexuelle Entwicklung« meist übergangen </w:t>
      </w:r>
      <w:hyperlink r:id="rId1401"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Die hier niedergeschriebene Behauptung erschien mir selbst nachträglich als so gewagt, daß ich mir vorsetzte, sie durch nochmalige Durchsicht der Literatur zu prüfen. Das Ergebnis dieser Überprüfung war, daß ich sie unverändert stehenließ. Die wissenschaftliche Bearbeitung der leiblichen wie der seelischen Phänomene der Sexualität im Kindesalter befindet sich in den ersten Anfängen. Ein Autor S. Bell (1902), äußert: » </w:t>
        </w:r>
        <w:r w:rsidRPr="00866B42">
          <w:rPr>
            <w:rStyle w:val="innerfusslink3"/>
            <w:rFonts w:ascii="Garamond" w:hAnsi="Garamond" w:cs="Arial"/>
            <w:b/>
            <w:bCs/>
            <w:i/>
            <w:iCs/>
            <w:lang w:val="en-GB"/>
          </w:rPr>
          <w:t>I know of no scientist, who has given a careful analysis of the emotion as it is seen in the adolescent.</w:t>
        </w:r>
        <w:r w:rsidRPr="00866B42">
          <w:rPr>
            <w:rStyle w:val="innerfusslink3"/>
            <w:rFonts w:ascii="Garamond" w:hAnsi="Garamond" w:cs="Arial"/>
            <w:b/>
            <w:bCs/>
            <w:lang w:val="en-GB"/>
          </w:rPr>
          <w:t xml:space="preserve">« – Somatische Sexualäußerungen aus der Zeit vor der Pubertät haben nur im Zusammenhange mit Entartungserscheinungen und als Zeichen von Entartung Aufmerksamkeit gewonnen. – Ein Kapitel über das Liebesleben der Kinder fehlt in allen Darstellungen der Psychologie dieses Alters, die ich gelesen habe, so in den bekannten Werken von Preyer, Baldwin (1895), Perez (1886), Strümpell (1899), Karl Groos (1904), Th. Heller (1904), Sully (1895) und anderen. Den besten Eindruck von dem heutigen Stande auf diesem Gebiet holt man sich aus der Zeitschrift </w:t>
        </w:r>
        <w:r w:rsidRPr="00866B42">
          <w:rPr>
            <w:rStyle w:val="innerfusslink3"/>
            <w:rFonts w:ascii="Garamond" w:hAnsi="Garamond" w:cs="Arial"/>
            <w:b/>
            <w:bCs/>
            <w:i/>
            <w:iCs/>
            <w:lang w:val="en-GB"/>
          </w:rPr>
          <w:t>Die Kinderfehler</w:t>
        </w:r>
        <w:r w:rsidRPr="00866B42">
          <w:rPr>
            <w:rStyle w:val="innerfusslink3"/>
            <w:rFonts w:ascii="Garamond" w:hAnsi="Garamond" w:cs="Arial"/>
            <w:b/>
            <w:bCs/>
            <w:lang w:val="en-GB"/>
          </w:rPr>
          <w:t xml:space="preserve"> (von 1896 an). – Doch gewinnt man die Überzeugung, daß die Existenz der Liebe im Kindesalter nicht mehr entdeckt zu werden braucht. Perez (1886) tritt für sie ein; bei K. Groos (1899) findet sich als allgemein bekannt erwähnt, »daß manche Kinder schon sehr früh für sexuelle Regungen zugänglich sind und dem anderen Geschlecht gegenüber einen Drang nach Berührungen empfinden« (S. 326); der früheste Fall von Auftreten geschlechtlicher Liebesregungen ( </w:t>
        </w:r>
        <w:r w:rsidRPr="00866B42">
          <w:rPr>
            <w:rStyle w:val="innerfusslink3"/>
            <w:rFonts w:ascii="Garamond" w:hAnsi="Garamond" w:cs="Arial"/>
            <w:b/>
            <w:bCs/>
            <w:i/>
            <w:iCs/>
            <w:lang w:val="en-GB"/>
          </w:rPr>
          <w:t>sexlove</w:t>
        </w:r>
        <w:r w:rsidRPr="00866B42">
          <w:rPr>
            <w:rStyle w:val="innerfusslink3"/>
            <w:rFonts w:ascii="Garamond" w:hAnsi="Garamond" w:cs="Arial"/>
            <w:b/>
            <w:bCs/>
            <w:lang w:val="en-GB"/>
          </w:rPr>
          <w:t xml:space="preserve">) in der Beobachtungsreihe von S. Bell (1902) betraf ein Kind in der Mitte des dritten Jahres. – Vergleiche hiezu noch Havelock Ellis, </w:t>
        </w:r>
        <w:r w:rsidRPr="00866B42">
          <w:rPr>
            <w:rStyle w:val="innerfusslink3"/>
            <w:rFonts w:ascii="Garamond" w:hAnsi="Garamond" w:cs="Arial"/>
            <w:b/>
            <w:bCs/>
            <w:i/>
            <w:iCs/>
            <w:lang w:val="en-GB"/>
          </w:rPr>
          <w:t>Das Geschlechtsgefühl</w:t>
        </w:r>
        <w:r w:rsidRPr="00866B42">
          <w:rPr>
            <w:rStyle w:val="innerfusslink3"/>
            <w:rFonts w:ascii="Garamond" w:hAnsi="Garamond" w:cs="Arial"/>
            <w:b/>
            <w:bCs/>
            <w:lang w:val="en-GB"/>
          </w:rPr>
          <w:t xml:space="preserve"> (übersetzt von Kurella), 1903, Appendix, II. </w:t>
        </w:r>
        <w:r w:rsidRPr="00866B42">
          <w:rPr>
            <w:rFonts w:ascii="Garamond" w:hAnsi="Garamond"/>
            <w:lang w:val="en-GB"/>
          </w:rPr>
          <w:br/>
        </w:r>
        <w:r w:rsidRPr="00866B42">
          <w:rPr>
            <w:rFonts w:ascii="Garamond" w:hAnsi="Garamond"/>
            <w:lang w:val="en-GB"/>
          </w:rPr>
          <w:br/>
        </w:r>
        <w:r w:rsidRPr="00866B42">
          <w:rPr>
            <w:rStyle w:val="innerfusslink3"/>
            <w:rFonts w:ascii="Garamond" w:hAnsi="Garamond" w:cs="Arial"/>
            <w:b/>
            <w:bCs/>
            <w:lang w:val="en-GB"/>
          </w:rPr>
          <w:t xml:space="preserve">Das obenstehende Urteil über die Literatur der infantilen Sexualität braucht seit dem Erscheinen des großangelegten Werkes von Stanley Hall (1904) nicht mehr aufrechterhalten zu werden. – Das rezente Buch von A. Moll (1909) bietet keinen Anlaß zu einer solchen Modifikation. Siehe </w:t>
        </w:r>
        <w:r w:rsidRPr="00866B42">
          <w:rPr>
            <w:rStyle w:val="innerfusslink3"/>
            <w:rFonts w:ascii="Garamond" w:hAnsi="Garamond" w:cs="Arial"/>
            <w:b/>
            <w:bCs/>
            <w:lang w:val="en-GB"/>
          </w:rPr>
          <w:lastRenderedPageBreak/>
          <w:t>dagegen: Bleuler (1908). – Ein Buch von Frau Dr. H. v. Hug-Hellmuth (1913) hat seither dem vernachlässigten sexuellen Faktor vollauf Rechnung getragen.</w:t>
        </w:r>
      </w:hyperlink>
      <w:r w:rsidRPr="00866B42">
        <w:rPr>
          <w:rFonts w:ascii="Garamond" w:hAnsi="Garamond"/>
          <w:lang w:val="en-GB"/>
        </w:rPr>
        <w:t>.</w:t>
      </w:r>
    </w:p>
    <w:p w:rsidR="00646842" w:rsidRPr="00646842" w:rsidRDefault="00646842" w:rsidP="00646842">
      <w:pPr>
        <w:rPr>
          <w:rFonts w:ascii="Garamond" w:hAnsi="Garamond"/>
          <w:lang w:val="en-GB"/>
        </w:rPr>
      </w:pPr>
      <w:r w:rsidRPr="00866B42">
        <w:rPr>
          <w:rFonts w:ascii="Garamond" w:hAnsi="Garamond"/>
          <w:lang w:val="en-GB"/>
        </w:rPr>
        <w:t xml:space="preserve">Infantile Amnesie. Den Grund für diese merkwürdige Vernachlässigung suche ich zum Teil in den konventionellen Rücksichten, denen die Autoren infolge ihrer eigenen Erziehung Rechnung tragen, zum anderen Teil in einem psychischen Phänomen, welches sich bis jetzt selbst der Erklärung entzogen hat. Ich meine hiemit die eigentümliche </w:t>
      </w:r>
      <w:r w:rsidRPr="00866B42">
        <w:rPr>
          <w:rFonts w:ascii="Garamond" w:hAnsi="Garamond"/>
          <w:i/>
          <w:iCs/>
          <w:lang w:val="en-GB"/>
        </w:rPr>
        <w:t>Amnesie</w:t>
      </w:r>
      <w:r w:rsidRPr="00866B42">
        <w:rPr>
          <w:rFonts w:ascii="Garamond" w:hAnsi="Garamond"/>
          <w:lang w:val="en-GB"/>
        </w:rPr>
        <w:t xml:space="preserve">, welche den meisten Menschen (nicht allen!) die ersten Jahre ihrer Kindheit bis zum 6. oder 8. Lebensjahre verhüllt. Es ist uns bisher noch nicht eingefallen, uns über die Tatsache dieser Amnesie zu verwundern; aber wir hätten guten Grund dazu. Denn man berichtet uns, daß wir in diesen Jahren, von denen wir später nichts im Gedächtnis behalten haben als einige unverständliche Erinnerungsbrocken, lebhaft auf Eindrücke reagiert hätten, daß wir Schmerz und Freude in menschlicher Weise zu äußern verstanden, Liebe, Eifersucht und andere Leidenschaften gezeigt, die uns damals heftig bewegten, ja daß wir Aussprüche getan, die von den Erwachsenen als gute Beweise für Einsicht und beginnende Urteilsfähigkeit gemerkt wurden. Und von alledem wissen wir als Erwachsene aus eigenem nichts. Warum bleibt unser Gedächtnis so sehr hinter unseren anderen seelischen Tätigkeiten zurück? Wir haben doch Grund zu glauben, daß es zu keiner anderen Lebenszeit aufnahms- und reproduktionsfähiger ist als gerade in den Jahren der Kindheit </w:t>
      </w:r>
      <w:hyperlink r:id="rId1402"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Eines der mit den frühesten Kindheitserinnerungen verknüpften Probleme habe ich in einem Aufsatze ›Über Deckerinnerungen‹ (1899  </w:t>
        </w:r>
        <w:r w:rsidRPr="00866B42">
          <w:rPr>
            <w:rStyle w:val="innerfusslink3"/>
            <w:rFonts w:ascii="Garamond" w:hAnsi="Garamond" w:cs="Arial"/>
            <w:b/>
            <w:bCs/>
            <w:i/>
            <w:iCs/>
            <w:lang w:val="en-GB"/>
          </w:rPr>
          <w:t>a</w:t>
        </w:r>
        <w:r w:rsidRPr="00866B42">
          <w:rPr>
            <w:rStyle w:val="innerfusslink3"/>
            <w:rFonts w:ascii="Garamond" w:hAnsi="Garamond" w:cs="Arial"/>
            <w:b/>
            <w:bCs/>
            <w:lang w:val="en-GB"/>
          </w:rPr>
          <w:t xml:space="preserve">) zu lösen versucht. </w:t>
        </w:r>
        <w:r w:rsidRPr="00646842">
          <w:rPr>
            <w:rStyle w:val="innerfusslink3"/>
            <w:rFonts w:ascii="Garamond" w:hAnsi="Garamond" w:cs="Arial"/>
            <w:b/>
            <w:bCs/>
            <w:lang w:val="en-GB"/>
          </w:rPr>
          <w:t xml:space="preserve">Vgl. </w:t>
        </w:r>
        <w:r w:rsidRPr="00646842">
          <w:rPr>
            <w:rStyle w:val="innerfusslink3"/>
            <w:rFonts w:ascii="Garamond" w:hAnsi="Garamond" w:cs="Arial"/>
            <w:b/>
            <w:bCs/>
            <w:i/>
            <w:iCs/>
            <w:lang w:val="en-GB"/>
          </w:rPr>
          <w:t>Zur Psychopathologie des Alltagslebens</w:t>
        </w:r>
        <w:r w:rsidRPr="00646842">
          <w:rPr>
            <w:rStyle w:val="innerfusslink3"/>
            <w:rFonts w:ascii="Garamond" w:hAnsi="Garamond" w:cs="Arial"/>
            <w:b/>
            <w:bCs/>
            <w:lang w:val="en-GB"/>
          </w:rPr>
          <w:t xml:space="preserve"> (1901  </w:t>
        </w:r>
        <w:r w:rsidRPr="00646842">
          <w:rPr>
            <w:rStyle w:val="innerfusslink3"/>
            <w:rFonts w:ascii="Garamond" w:hAnsi="Garamond" w:cs="Arial"/>
            <w:b/>
            <w:bCs/>
            <w:i/>
            <w:iCs/>
            <w:lang w:val="en-GB"/>
          </w:rPr>
          <w:t>b</w:t>
        </w:r>
        <w:r w:rsidRPr="00646842">
          <w:rPr>
            <w:rStyle w:val="innerfusslink3"/>
            <w:rFonts w:ascii="Garamond" w:hAnsi="Garamond" w:cs="Arial"/>
            <w:b/>
            <w:bCs/>
            <w:lang w:val="en-GB"/>
          </w:rPr>
          <w:t>), IV. Kap.</w:t>
        </w:r>
      </w:hyperlink>
      <w:r w:rsidRPr="00646842">
        <w:rPr>
          <w:rFonts w:ascii="Garamond" w:hAnsi="Garamond"/>
          <w:lang w:val="en-GB"/>
        </w:rPr>
        <w:t>.</w:t>
      </w:r>
    </w:p>
    <w:p w:rsidR="00646842" w:rsidRPr="00646842" w:rsidRDefault="00646842" w:rsidP="00646842">
      <w:pPr>
        <w:rPr>
          <w:rFonts w:ascii="Garamond" w:hAnsi="Garamond"/>
          <w:lang w:val="en-GB"/>
        </w:rPr>
      </w:pPr>
      <w:r w:rsidRPr="00646842">
        <w:rPr>
          <w:rFonts w:ascii="Garamond" w:hAnsi="Garamond"/>
          <w:lang w:val="en-GB"/>
        </w:rPr>
        <w:t>Auf der anderen Seite müssen wir annehmen oder können uns durch psychologische Untersuchung an anderen davon überzeugen, daß die nämlichen Eindrücke, die wir vergessen haben, nichtsdestoweniger die tiefsten Spuren in unserem Seelenleben hinterlassen haben und bestimmend für unsere ganze spätere Entwicklung geworden sind. Es kann sich also um gar keinen wirklichen Untergang der Kindheitseindrücke handeln, sondern um eine Amnesie ähnlich jener, die wir bei den Neurotikern für spätere Erlebnisse beobachten und deren Wesen in einer bloßen Abhaltung vom Bewußtsein (Verdrängung) besteht. Aber welche Kräfte bringen diese Verdrängung der Kindheitseindrücke zustande? Wer dieses Rätsel löste, hätte wohl auch die hysterische Amnesie aufgeklärt.</w:t>
      </w:r>
    </w:p>
    <w:p w:rsidR="00646842" w:rsidRPr="00866B42" w:rsidRDefault="00646842" w:rsidP="00646842">
      <w:pPr>
        <w:rPr>
          <w:rFonts w:ascii="Garamond" w:hAnsi="Garamond"/>
          <w:lang w:val="en-GB"/>
        </w:rPr>
      </w:pPr>
      <w:r w:rsidRPr="00646842">
        <w:rPr>
          <w:rFonts w:ascii="Garamond" w:hAnsi="Garamond"/>
          <w:lang w:val="en-GB"/>
        </w:rPr>
        <w:t xml:space="preserve">Immerhin wollen wir nicht versäumen hervorzuheben, daß die Existenz der infantilen Amnesie einen neuen Vergleichspunkt zwischen dem Seelenzustand des Kindes und dem des Psychoneurotikers schafft. Einem anderen sind wir schon früher begegnet, als sich uns die Formel aufdrängte, daß die Sexualität der Psychoneurotiker den kindlichen Standpunkt bewahrt hat oder auf ihn zurückgeführt worden ist. </w:t>
      </w:r>
      <w:r w:rsidRPr="00866B42">
        <w:rPr>
          <w:rFonts w:ascii="Garamond" w:hAnsi="Garamond"/>
          <w:lang w:val="en-GB"/>
        </w:rPr>
        <w:t>Wenn nicht am Ende die infantile Amnesie selbst wieder mit den sexuellen Regungen der Kindheit in Beziehung zu bringen ist!</w:t>
      </w:r>
    </w:p>
    <w:p w:rsidR="00646842" w:rsidRPr="00866B42" w:rsidRDefault="00646842" w:rsidP="00646842">
      <w:pPr>
        <w:rPr>
          <w:rFonts w:ascii="Garamond" w:hAnsi="Garamond"/>
          <w:lang w:val="en-GB"/>
        </w:rPr>
      </w:pPr>
      <w:r w:rsidRPr="00866B42">
        <w:rPr>
          <w:rFonts w:ascii="Garamond" w:hAnsi="Garamond"/>
          <w:lang w:val="en-GB"/>
        </w:rPr>
        <w:t xml:space="preserve">Es ist übrigens mehr als ein bloßes Spiel des Witzes, die infantile Amnesie mit der hysterischen zu verknüpfen. Die hysterische Amnesie, die der Verdrängung dient, wird nur durch den Umstand erklärlich, daß das Individuum bereits einen Schatz von Erinnerungsspuren besitzt, welche der bewußten Verfügung entzogen sind und die nun mit assoziativer Bindung das an sich reißen, worauf vom Bewußten her die abstoßenden Kräfte der Verdrängung wirken </w:t>
      </w:r>
      <w:hyperlink r:id="rId1403"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Man kann den Mechanismus der Verdrängung nicht verstehen, wenn man nur einen dieser beiden zusammenwirkenden Vorgänge berücksichtigt. Zum Vergleich möge die Art dienen, wie der Tourist auf die Spitze der großen Pyramide von Gizeh befördert wird; er wird von der einen Seite gestoßen, von der anderen Seite gezogen.</w:t>
        </w:r>
      </w:hyperlink>
      <w:r w:rsidRPr="00866B42">
        <w:rPr>
          <w:rFonts w:ascii="Garamond" w:hAnsi="Garamond"/>
          <w:lang w:val="en-GB"/>
        </w:rPr>
        <w:t>. Ohne infantile Amnesie, kann man sagen, gäbe es keine hysterische Amnesie.</w:t>
      </w:r>
    </w:p>
    <w:p w:rsidR="00646842" w:rsidRPr="00866B42" w:rsidRDefault="00646842" w:rsidP="00646842">
      <w:pPr>
        <w:rPr>
          <w:rFonts w:ascii="Garamond" w:hAnsi="Garamond"/>
          <w:lang w:val="en-GB"/>
        </w:rPr>
      </w:pPr>
      <w:r w:rsidRPr="00866B42">
        <w:rPr>
          <w:rFonts w:ascii="Garamond" w:hAnsi="Garamond"/>
          <w:lang w:val="en-GB"/>
        </w:rPr>
        <w:t xml:space="preserve">Ich meine nun, daß die infantile Amnesie, die für jeden einzelnen seine Kindheit zu einer gleichsam </w:t>
      </w:r>
      <w:r w:rsidRPr="00866B42">
        <w:rPr>
          <w:rFonts w:ascii="Garamond" w:hAnsi="Garamond"/>
          <w:i/>
          <w:iCs/>
          <w:lang w:val="en-GB"/>
        </w:rPr>
        <w:t>prähistorischen</w:t>
      </w:r>
      <w:r w:rsidRPr="00866B42">
        <w:rPr>
          <w:rFonts w:ascii="Garamond" w:hAnsi="Garamond"/>
          <w:lang w:val="en-GB"/>
        </w:rPr>
        <w:t xml:space="preserve"> Vorzeit macht und ihm die Anfänge seines eigenen Geschlechtslebens verdeckt, die Schuld daran trägt, wenn man der kindlichen Lebensperiode einen Wert für die Entwicklung des Sexuallebens im </w:t>
      </w:r>
      <w:r w:rsidRPr="00866B42">
        <w:rPr>
          <w:rFonts w:ascii="Garamond" w:hAnsi="Garamond"/>
          <w:lang w:val="en-GB"/>
        </w:rPr>
        <w:lastRenderedPageBreak/>
        <w:t>allgemeinen nicht zutraut. Ein einzelner Beobachter kann die so entstandene Lücke in unserem Wissen nicht ausfüllen. Ich habe bereits 1896 die Bedeutung der Kinderjahre für die Entstehung gewisser wichtiger, vom Geschlechtsleben abhängiger Phänomene betont und seither nicht aufgehört, das infantile Moment für die Sexualität in den Vordergrund zu rücken.</w:t>
      </w:r>
    </w:p>
    <w:p w:rsidR="00646842" w:rsidRPr="00866B42" w:rsidRDefault="00646842" w:rsidP="00646842">
      <w:pPr>
        <w:rPr>
          <w:rFonts w:ascii="Garamond" w:hAnsi="Garamond"/>
          <w:lang w:val="en-GB"/>
        </w:rPr>
      </w:pPr>
      <w:r w:rsidRPr="00866B42">
        <w:rPr>
          <w:rFonts w:ascii="Garamond" w:hAnsi="Garamond"/>
          <w:lang w:val="en-GB"/>
        </w:rPr>
        <w:t>[1] Die sexuelle Latenzperiode der Kindheit und ihre Durchbrechungen</w:t>
      </w:r>
    </w:p>
    <w:p w:rsidR="00646842" w:rsidRPr="00866B42" w:rsidRDefault="00646842" w:rsidP="00646842">
      <w:pPr>
        <w:rPr>
          <w:rFonts w:ascii="Garamond" w:hAnsi="Garamond"/>
          <w:lang w:val="en-GB"/>
        </w:rPr>
      </w:pPr>
      <w:r w:rsidRPr="00866B42">
        <w:rPr>
          <w:rFonts w:ascii="Garamond" w:hAnsi="Garamond"/>
          <w:lang w:val="en-GB"/>
        </w:rPr>
        <w:t xml:space="preserve">Die außerordentlich häufigen Befunde von angeblich regelwidrigen und ausnahmsartigen sexuellen Regungen in der Kindheit sowie die Aufdeckung der bis dahin unbewußten Kindheitserinnerungen der Neurotiker gestatten etwa folgendes Bild von dem sexuellen Verhalten der Kinderzeit zu entwerfen </w:t>
      </w:r>
      <w:hyperlink r:id="rId1404"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Letzteres Material wird durch die berechtigte Erwartung verwertbar, daß die Kinderjahre der späteren Neurotiker hierin nicht wesentlich, nur in Hinsicht der Intensität und Deutlichkeit, von denen später Gesunder abweichen dürften.</w:t>
        </w:r>
      </w:hyperlink>
      <w:r w:rsidRPr="00866B42">
        <w:rPr>
          <w:rFonts w:ascii="Garamond" w:hAnsi="Garamond"/>
          <w:lang w:val="en-GB"/>
        </w:rPr>
        <w:t>:</w:t>
      </w:r>
    </w:p>
    <w:p w:rsidR="00646842" w:rsidRPr="00866B42" w:rsidRDefault="00646842" w:rsidP="00646842">
      <w:pPr>
        <w:rPr>
          <w:rFonts w:ascii="Garamond" w:hAnsi="Garamond"/>
          <w:lang w:val="en-GB"/>
        </w:rPr>
      </w:pPr>
      <w:r w:rsidRPr="00646842">
        <w:rPr>
          <w:rFonts w:ascii="Garamond" w:hAnsi="Garamond"/>
          <w:lang w:val="en-GB"/>
        </w:rPr>
        <w:t xml:space="preserve">Es scheint gewiß, daß das Neugeborene Keime von sexuellen Regungen mitbringt, die sich eine Zeitlang weiterentwickeln, dann aber einer fortschreitenden Unterdrückung unterliegen, welche selbst wieder durch regelrechte Vorstöße der Sexualentwicklung durchbrochen und durch individuelle Eigenheiten aufgehalten werden kann. Über die Gesetzmäßigkeit und die Periodizität dieses oszillierenden Entwicklungsganges ist nichts Gesichertes bekannt. Es scheint aber, daß das Sexualleben der Kinder sich zumeist um das dritte oder vierte Lebensjahr in einer der Beobachtung zugänglichen Form zum Ausdruck bringt </w:t>
      </w:r>
      <w:hyperlink r:id="rId1405" w:anchor="#" w:history="1">
        <w:r w:rsidRPr="00646842">
          <w:rPr>
            <w:rStyle w:val="fusslink"/>
            <w:rFonts w:ascii="Garamond" w:hAnsi="Garamond" w:cs="Arial"/>
            <w:b/>
            <w:bCs/>
            <w:color w:val="003399"/>
            <w:lang w:val="en-GB"/>
          </w:rPr>
          <w:t>[Fußnote]</w:t>
        </w:r>
        <w:r w:rsidRPr="00646842">
          <w:rPr>
            <w:rStyle w:val="innerfusslink3"/>
            <w:rFonts w:ascii="Garamond" w:hAnsi="Garamond" w:cs="Arial"/>
            <w:b/>
            <w:bCs/>
            <w:lang w:val="en-GB"/>
          </w:rPr>
          <w:t xml:space="preserve">Eine mögliche anatomische Analogie zu dem von mir behaupteten Verhalten der infantilen Sexualfunktion wäre durch den Fund von Bayer (1902) gegeben, daß die inneren Geschlechtsorgane (Uterus) Neugeborener in der Regel größer sind als die älterer Kinder. Indes ist die Auffassung dieser durch Halban auch für andere Teile des Genitalapparates festgestellten Involution nach der Geburt nicht sichergestellt. Nach Halban (1904) ist dieser Rückbildungsvorgang nach wenigen Wochen des Extrauterinlebens abgelaufen. – Die Autoren, welche den interstitiellen Anteil der Keimdrüse als das geschlechtsbestimmende Organ betrachten, sind durch anatomische Untersuchungen dazu geführt worden, ihrerseits von infantiler Sexualität und sexueller Latenzzeit zu reden. Ich zitiere aus dem S. 58 [in der Anmerkung 14] erwähnten Buche von Lipschütz über die Pubertätsdrüse: »Man wird den Tatsachen viel eher gerecht, wenn man sagt, daß die Ausreifung der Geschlechtsmerkmale, wie sie sich in der Pubertät vollzieht, nur auf einem um diese Zeit stark beschleunigten Ablauf von Vorgängen beruht, die schon viel früher begonnen haben – unserer Auffassung nach schon im embryonalen Leben.« </w:t>
        </w:r>
        <w:r w:rsidRPr="00866B42">
          <w:rPr>
            <w:rStyle w:val="innerfusslink3"/>
            <w:rFonts w:ascii="Garamond" w:hAnsi="Garamond" w:cs="Arial"/>
            <w:b/>
            <w:bCs/>
            <w:lang w:val="en-GB"/>
          </w:rPr>
          <w:t xml:space="preserve">(1919, 168.) – » </w:t>
        </w:r>
        <w:r w:rsidRPr="00866B42">
          <w:rPr>
            <w:rStyle w:val="innerfusslink3"/>
            <w:rFonts w:ascii="Garamond" w:hAnsi="Garamond" w:cs="Arial"/>
            <w:b/>
            <w:bCs/>
            <w:i/>
            <w:iCs/>
            <w:lang w:val="en-GB"/>
          </w:rPr>
          <w:t>Was man bisher als Pubertät schlechtweg bezeichnet hat, ist wahrscheinlich nur eine zweite große Phase der Pubertät, die um die Mitte des zweiten Jahrzehntes einsetzt.</w:t>
        </w:r>
        <w:r w:rsidRPr="00866B42">
          <w:rPr>
            <w:rStyle w:val="innerfusslink3"/>
            <w:rFonts w:ascii="Garamond" w:hAnsi="Garamond" w:cs="Arial"/>
            <w:b/>
            <w:bCs/>
            <w:lang w:val="en-GB"/>
          </w:rPr>
          <w:t xml:space="preserve">.. Das Kindesalter, von der Geburt bis zu Beginn der zweiten großen Phase gerechnet, könnte man als die › </w:t>
        </w:r>
        <w:r w:rsidRPr="00866B42">
          <w:rPr>
            <w:rStyle w:val="innerfusslink3"/>
            <w:rFonts w:ascii="Garamond" w:hAnsi="Garamond" w:cs="Arial"/>
            <w:b/>
            <w:bCs/>
            <w:i/>
            <w:iCs/>
            <w:lang w:val="en-GB"/>
          </w:rPr>
          <w:t>intermediäre Phase der Pubertät</w:t>
        </w:r>
        <w:r w:rsidRPr="00866B42">
          <w:rPr>
            <w:rStyle w:val="innerfusslink3"/>
            <w:rFonts w:ascii="Garamond" w:hAnsi="Garamond" w:cs="Arial"/>
            <w:b/>
            <w:bCs/>
            <w:lang w:val="en-GB"/>
          </w:rPr>
          <w:t xml:space="preserve">‹ bezeichnen.« (Ibid., 170.) – Diese in einem Referat von Ferenczi (1920) hervorgehobene Übereinstimmung anatomischer Befunde mit der psychologischen Beobachtung wird durch die eine Angabe gestört, daß der » </w:t>
        </w:r>
        <w:r w:rsidRPr="00866B42">
          <w:rPr>
            <w:rStyle w:val="innerfusslink3"/>
            <w:rFonts w:ascii="Garamond" w:hAnsi="Garamond" w:cs="Arial"/>
            <w:b/>
            <w:bCs/>
            <w:i/>
            <w:iCs/>
            <w:lang w:val="en-GB"/>
          </w:rPr>
          <w:t>erste Gipfelpunkt</w:t>
        </w:r>
        <w:r w:rsidRPr="00866B42">
          <w:rPr>
            <w:rStyle w:val="innerfusslink3"/>
            <w:rFonts w:ascii="Garamond" w:hAnsi="Garamond" w:cs="Arial"/>
            <w:b/>
            <w:bCs/>
            <w:lang w:val="en-GB"/>
          </w:rPr>
          <w:t>« der Entwicklung des Sexualorgans in die frühe Embryonalzeit fällt, während die kindliche Frühblüte des Sexuallebens in das dritte und vierte Lebensjahr zu verlegen ist. Die volle Gleichzeitigkeit der anatomischen Ausbildung mit der psychischen Entwicklung ist natürlich nicht erforderlich. Die betreffenden Untersuchungen sind an der Keimdrüse des Menschen gemacht worden. Da den Tieren eine Latenzzeit im psychologischen Sinne nicht zukommt, läge viel daran zu wissen, ob die anatomischen Befunde, auf deren Grund die Autoren zwei Gipfelpunkte der Sexualentwicklung annehmen, auch an anderen höheren Tieren nachweisbar sind.</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Die Sexualhemmungen. Während dieser Periode totaler oder bloß partieller Latenz werden die seelischen Mächte aufgebaut, die später dem Sexualtrieb als Hemmnisse in den Weg treten und gleichwie Dämme </w:t>
      </w:r>
      <w:r w:rsidRPr="00866B42">
        <w:rPr>
          <w:rFonts w:ascii="Garamond" w:hAnsi="Garamond"/>
          <w:lang w:val="en-GB"/>
        </w:rPr>
        <w:lastRenderedPageBreak/>
        <w:t>seine Richtung beengen werden (der Ekel, das Schamgefühl, die ästhetischen und moralischen Idealanforderungen). Man gewinnt beim Kulturkinde den Eindruck, daß der Aufbau dieser Dämme ein Werk der Erziehung ist, und sicherlich tut die Erziehung viel dazu. In Wirklichkeit ist diese Entwicklung eine organisch bedingte, hereditär fixierte und kann sich gelegentlich ganz ohne Mithilfe der Erziehung herstellen. Die Erziehung verbleibt durchaus in dem ihr angewiesenen Machtbereich, wenn sie sich darauf einschränkt, das organisch Vorgezeichnete nachzuziehen und es etwas sauberer und tiefer auszuprägen.</w:t>
      </w:r>
    </w:p>
    <w:p w:rsidR="00646842" w:rsidRPr="00866B42" w:rsidRDefault="00646842" w:rsidP="00646842">
      <w:pPr>
        <w:rPr>
          <w:rFonts w:ascii="Garamond" w:hAnsi="Garamond"/>
          <w:lang w:val="en-GB"/>
        </w:rPr>
      </w:pPr>
      <w:r w:rsidRPr="00866B42">
        <w:rPr>
          <w:rFonts w:ascii="Garamond" w:hAnsi="Garamond"/>
          <w:lang w:val="en-GB"/>
        </w:rPr>
        <w:t xml:space="preserve">Reaktionsbildung und Sublimierung. Mit welchen Mitteln werden diese für die spätere persönliche Kultur und Normalität so bedeutsamen Konstruktionen aufgeführt? Wahrscheinlich auf Kosten der infantilen Sexualregungen selbst, deren Zufluß also auch in dieser Latenzperiode nicht aufgehört hat, deren Energie aber – ganz oder zum größten Teil – von der sexuellen Verwendung abgeleitet und anderen Zwecken zugeführt wird. Die Kulturhistoriker scheinen einig in der Annahme, daß durch solche Ablenkung sexueller Triebkräfte von sexuellen Zielen und Hinlenkung auf neue Ziele, ein Prozeß, der den Namen </w:t>
      </w:r>
      <w:r w:rsidRPr="00866B42">
        <w:rPr>
          <w:rFonts w:ascii="Garamond" w:hAnsi="Garamond"/>
          <w:i/>
          <w:iCs/>
          <w:lang w:val="en-GB"/>
        </w:rPr>
        <w:t>Sublimierung</w:t>
      </w:r>
      <w:r w:rsidRPr="00866B42">
        <w:rPr>
          <w:rFonts w:ascii="Garamond" w:hAnsi="Garamond"/>
          <w:lang w:val="en-GB"/>
        </w:rPr>
        <w:t xml:space="preserve"> verdient, mächtige Komponenten für alle kulturellen Leistungen gewonnen werden. Wir würden also hinzufügen, daß der nämliche Prozeß in der Entwicklung des einzelnen Individuums spielt, und seinen Beginn in die sexuelle Latenzperiode der Kindheit verlegen </w:t>
      </w:r>
      <w:hyperlink r:id="rId1406"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Die Bezeichnung »sexuelle Latenzperiode« entlehne ich ebenfalls von W. Fließ.</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Auch über den Mechanismus einer solchen Sublimierung kann man eine Vermutung wagen. Die sexuellen Regungen dieser Kinderjahre wären einerseits unverwendbar, da die Fortpflanzungsfunktionen aufgeschoben sind, was den Hauptcharakter der Latenzperiode ausmacht, andererseits wären sie an sich pervers, das heißt von erogenen Zonen ausgehend und von Trieben getragen, welche bei der Entwicklungsrichtung des Individuums nur Unlustempfindungen hervorrufen könnten. Sie rufen daher seelische Gegenkräfte (Reaktionsregungen) wach, die zur wirksamen Unterdrückung solcher Unlust die erwähnten psychischen Dämme: Ekel, Scham und Moral, aufbauen </w:t>
      </w:r>
      <w:hyperlink r:id="rId1407"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In dem hier besprochenen Falle geht die Sublimierung sexueller Triebkräfte auf dem Wege der Reaktionsbildung vor sich. Im allgemeinen darf man aber Sublimierung und Reaktionsbildung als zwei verschiedene Prozesse begrifflich voneinander scheiden. Es kann auch Sublimierungen durch andere und einfachere Mechanismen geben.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Durchbrüche der Latenzzeit. Ohne uns über die hypothetische Natur und die mangelhafte Klarheit unserer Einsichten in die Vorgänge der kindlichen Latenz- oder Aufschubsperiode zu täuschen, wollen wir zur Wirklichkeit zurückkehren, um anzugeben, daß solche Verwendung der infantilen Sexualität ein Erziehungsideal darstellt, von dem die Entwicklung der einzelnen meist an irgendeiner Stelle und oft in erheblichem Maße abweicht. Es bricht zeitweise ein Stück Sexualäußerung durch, das sich der Sublimierung entzogen hat, oder es erhält sich eine sexuelle Betätigung durch die ganze Dauer der Latenzperiode bis zum verstärkten Hervorbrechen des Sexualtriebes in der Pubertät. Die Erzieher benehmen sich, insofern sie überhaupt der Kindersexualität Aufmerksamkeit schenken, genauso, als teilten sie unsere Ansichten über die Bildung der moralischen Abwehrmächte auf Kosten der Sexualität und als wüßten sie, daß sexuelle Betätigung das Kind unerziehbar macht, denn sie verfolgen alle sexuellen Äußerungen des Kindes als »Laster«, ohne viel gegen sie ausrichten zu können. Wir aber haben allen Grund, diesen von der Erziehung gefürchteten Phänomenen Interesse zuzuwenden, denn wir erwarten von ihnen den Aufschluß über die ursprüngliche Gestaltung des Geschlechtstriebs.</w:t>
      </w:r>
    </w:p>
    <w:p w:rsidR="00646842" w:rsidRPr="00866B42" w:rsidRDefault="00646842" w:rsidP="00646842">
      <w:pPr>
        <w:rPr>
          <w:rFonts w:ascii="Garamond" w:hAnsi="Garamond"/>
          <w:lang w:val="en-GB"/>
        </w:rPr>
      </w:pPr>
      <w:r w:rsidRPr="00866B42">
        <w:rPr>
          <w:rFonts w:ascii="Garamond" w:hAnsi="Garamond"/>
          <w:lang w:val="en-GB"/>
        </w:rPr>
        <w:t>[2] Die Äußerungen der infantilen Sexualität</w:t>
      </w:r>
    </w:p>
    <w:p w:rsidR="00646842" w:rsidRPr="00866B42" w:rsidRDefault="00646842" w:rsidP="00646842">
      <w:pPr>
        <w:rPr>
          <w:rFonts w:ascii="Garamond" w:hAnsi="Garamond"/>
          <w:lang w:val="en-GB"/>
        </w:rPr>
      </w:pPr>
      <w:r w:rsidRPr="00866B42">
        <w:rPr>
          <w:rFonts w:ascii="Garamond" w:hAnsi="Garamond"/>
          <w:lang w:val="en-GB"/>
        </w:rPr>
        <w:t xml:space="preserve">Das Lutschen. Aus später zu ersehenden Motiven wollen wir unter den infantilen Sexualäußerungen das </w:t>
      </w:r>
      <w:r w:rsidRPr="00866B42">
        <w:rPr>
          <w:rFonts w:ascii="Garamond" w:hAnsi="Garamond"/>
          <w:i/>
          <w:iCs/>
          <w:lang w:val="en-GB"/>
        </w:rPr>
        <w:t>Ludeln</w:t>
      </w:r>
      <w:r w:rsidRPr="00866B42">
        <w:rPr>
          <w:rFonts w:ascii="Garamond" w:hAnsi="Garamond"/>
          <w:lang w:val="en-GB"/>
        </w:rPr>
        <w:t xml:space="preserve"> (Wonnesaugen) zum Muster nehmen, dem der ungarische Kinderarzt Lindner eine ausgezeichnete Studie gewidmet hat (1879).</w:t>
      </w:r>
    </w:p>
    <w:p w:rsidR="00646842" w:rsidRPr="00866B42" w:rsidRDefault="00646842" w:rsidP="00646842">
      <w:pPr>
        <w:rPr>
          <w:rFonts w:ascii="Garamond" w:hAnsi="Garamond"/>
          <w:lang w:val="en-GB"/>
        </w:rPr>
      </w:pPr>
      <w:r w:rsidRPr="00866B42">
        <w:rPr>
          <w:rFonts w:ascii="Garamond" w:hAnsi="Garamond"/>
          <w:lang w:val="en-GB"/>
        </w:rPr>
        <w:lastRenderedPageBreak/>
        <w:t xml:space="preserve">Das </w:t>
      </w:r>
      <w:r w:rsidRPr="00866B42">
        <w:rPr>
          <w:rFonts w:ascii="Garamond" w:hAnsi="Garamond"/>
          <w:i/>
          <w:iCs/>
          <w:lang w:val="en-GB"/>
        </w:rPr>
        <w:t>Ludeln</w:t>
      </w:r>
      <w:r w:rsidRPr="00866B42">
        <w:rPr>
          <w:rFonts w:ascii="Garamond" w:hAnsi="Garamond"/>
          <w:lang w:val="en-GB"/>
        </w:rPr>
        <w:t xml:space="preserve"> oder </w:t>
      </w:r>
      <w:r w:rsidRPr="00866B42">
        <w:rPr>
          <w:rFonts w:ascii="Garamond" w:hAnsi="Garamond"/>
          <w:i/>
          <w:iCs/>
          <w:lang w:val="en-GB"/>
        </w:rPr>
        <w:t>Lutschen</w:t>
      </w:r>
      <w:r w:rsidRPr="00866B42">
        <w:rPr>
          <w:rFonts w:ascii="Garamond" w:hAnsi="Garamond"/>
          <w:lang w:val="en-GB"/>
        </w:rPr>
        <w:t xml:space="preserve">, das schon beim Säugling auftritt und bis in die Jahre der Reife fortgesetzt werden oder sich durchs ganze Leben erhalten kann, besteht in einer rhythmisch wiederholten saugenden Berührung mit dem Munde (den Lippen), wobei der Zweck der Nahrungsaufnahme ausgeschlossen ist. Ein Teil der Lippe selbst, die Zunge, eine beliebige andere erreichbare Hautstelle – selbst die große Zehe – werden zum Objekt genommen, an dem das Saugen ausgeführt wird. Ein dabei auftretender Greiftrieb äußert sich etwa durch gleichzeitiges rhythmisches Zupfen am Ohrläppchen und kann sich eines Teiles einer anderen Person (meist ihres Ohres) zu gleichem Zwecke bemächtigen. Das Wonnesaugen ist mit voller Aufzehrung der Aufmerksamkeit verbunden, führt entweder zum Einschlafen oder selbst zu einer motorischen Reaktion in einer Art von Orgasmus </w:t>
      </w:r>
      <w:hyperlink r:id="rId1408"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Hier erweist sich bereits, was fürs ganze Leben Gültigkeit hat, daß sexuelle Befriedigung das beste Schlafmittel ist. Die meisten Fälle von nervöser Schlaflosigkeit gehen auf sexuelle Unbefriedigung zurück. Es ist bekannt, daß gewissenlose Kinderfrauen die schreienden Kinder durch Streichen an den Genitalien einschläfern.</w:t>
        </w:r>
      </w:hyperlink>
      <w:r w:rsidRPr="00866B42">
        <w:rPr>
          <w:rFonts w:ascii="Garamond" w:hAnsi="Garamond"/>
          <w:lang w:val="en-GB"/>
        </w:rPr>
        <w:t>. Nicht selten kombiniert sich mit dem Wonnesaugen die reibende Berührung gewisser empfindlicher Körperstellen, der Brust, der äußeren Genitalien. Auf diesem Wege gelangen viele Kinder vom Ludeln zur Masturbation.</w:t>
      </w:r>
    </w:p>
    <w:p w:rsidR="00646842" w:rsidRPr="00866B42" w:rsidRDefault="00646842" w:rsidP="00646842">
      <w:pPr>
        <w:rPr>
          <w:rFonts w:ascii="Garamond" w:hAnsi="Garamond"/>
          <w:lang w:val="en-GB"/>
        </w:rPr>
      </w:pPr>
      <w:r w:rsidRPr="00866B42">
        <w:rPr>
          <w:rFonts w:ascii="Garamond" w:hAnsi="Garamond"/>
          <w:lang w:val="en-GB"/>
        </w:rPr>
        <w:t xml:space="preserve">Lindner selbst hat die sexuelle Natur dieses Tuns klar erkannt und rückhaltlos betont. In der Kinderstube wird das Ludeln häufig den anderen sexuellen »Unarten« des Kindes gleichgestellt. Von seiten zahlreicher Kinder- und Nervenärzte ist ein sehr energischer Einspruch gegen diese Auffassung erhoben worden, der zum Teil gewiß auf der Verwechslung von »sexuell« und »genital« beruht. Dieser Widerspruch wirft die schwierige und nicht abzuweisende Frage auf, an welchem allgemeinen Charakter wir die sexuellen Äußerungen des Kindes erkennen wollen. Ich meine, daß der Zusammenhang der Erscheinungen, in welchen wir durch die psychoanalytische Untersuchung Einsicht gewonnen haben, uns berechtigt, das Ludeln als eine sexuelle Äußerung in Anspruch zu nehmen und gerade an ihm die wesentlichen Züge der infantilen Sexualbetätigung zu studieren </w:t>
      </w:r>
      <w:hyperlink r:id="rId1409"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Ein Dr. Galant hat 1919 im </w:t>
        </w:r>
        <w:r w:rsidRPr="00866B42">
          <w:rPr>
            <w:rStyle w:val="innerfusslink3"/>
            <w:rFonts w:ascii="Garamond" w:hAnsi="Garamond" w:cs="Arial"/>
            <w:b/>
            <w:bCs/>
            <w:i/>
            <w:iCs/>
            <w:lang w:val="en-GB"/>
          </w:rPr>
          <w:t>Neurol. Zentralbl.</w:t>
        </w:r>
        <w:r w:rsidRPr="00866B42">
          <w:rPr>
            <w:rStyle w:val="innerfusslink3"/>
            <w:rFonts w:ascii="Garamond" w:hAnsi="Garamond" w:cs="Arial"/>
            <w:b/>
            <w:bCs/>
            <w:lang w:val="en-GB"/>
          </w:rPr>
          <w:t xml:space="preserve"> Nr. 20 unter dem Titel ›Das Lutscherli‹ das Bekenntnis eines erwachsenen Mädchens veröffentlicht, welches diese kindliche Sexualbetätigung nicht aufgegeben hat und die Befriedigung durch das Lutschen als völlig analog einer sexuellen Befriedigung, insbesondere durch den Kuß des Geliebten, schildert. »Nicht alle Küsse gleichen einem Lutscherli: nein, nein, lange nicht alle! Man kann nicht schreiben, wie wohlig es einem durch den ganzen Körper beim Lutschen geht; man ist einfach weg von dieser Welt, man ist ganz zufrieden und wunschlos glücklich. Es ist ein wunderbares Gefühl; man verlangt nichts als Ruhe, Ruhe, die gar nicht unterbrochen werden soll. Es ist einfach unsagbar schön: man spürt keinen Schmerz, kein Weh und Ach, man ist entrückt in eine andere Welt.«</w:t>
        </w:r>
      </w:hyperlink>
      <w:r w:rsidRPr="00866B42">
        <w:rPr>
          <w:rFonts w:ascii="Garamond" w:hAnsi="Garamond"/>
          <w:lang w:val="en-GB"/>
        </w:rPr>
        <w:t>.</w:t>
      </w:r>
    </w:p>
    <w:p w:rsidR="00646842" w:rsidRPr="00646842" w:rsidRDefault="00646842" w:rsidP="00646842">
      <w:pPr>
        <w:rPr>
          <w:rFonts w:ascii="Garamond" w:hAnsi="Garamond"/>
          <w:lang w:val="en-GB"/>
        </w:rPr>
      </w:pPr>
      <w:r w:rsidRPr="00866B42">
        <w:rPr>
          <w:rFonts w:ascii="Garamond" w:hAnsi="Garamond"/>
          <w:lang w:val="en-GB"/>
        </w:rPr>
        <w:t xml:space="preserve">Autoerotismus. Wir haben die Verpflichtung, dieses Beispiel eingehend zu würdigen. Heben wir als den auffälligsten Charakter dieser Sexualbetätigung hervor, daß der Trieb nicht auf andere Personen gerichtet ist; er befriedigt sich am eigenen Körper, er ist </w:t>
      </w:r>
      <w:r w:rsidRPr="00866B42">
        <w:rPr>
          <w:rFonts w:ascii="Garamond" w:hAnsi="Garamond"/>
          <w:i/>
          <w:iCs/>
          <w:lang w:val="en-GB"/>
        </w:rPr>
        <w:t>autoerotisch</w:t>
      </w:r>
      <w:r w:rsidRPr="00866B42">
        <w:rPr>
          <w:rFonts w:ascii="Garamond" w:hAnsi="Garamond"/>
          <w:lang w:val="en-GB"/>
        </w:rPr>
        <w:t xml:space="preserve">, um es mit einem glücklichen, von Havelock Ellis eingeführten Namen zu sagen </w:t>
      </w:r>
      <w:hyperlink r:id="rId1410"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H. Ellis hat den Terminus »autoerotisch« allerdings etwas anders bestimmt, im Sinne einer Erregung, die nicht von außen hervorgerufen wird, sondern im Innern selbst entspringt. </w:t>
        </w:r>
        <w:r w:rsidRPr="00646842">
          <w:rPr>
            <w:rStyle w:val="innerfusslink3"/>
            <w:rFonts w:ascii="Garamond" w:hAnsi="Garamond" w:cs="Arial"/>
            <w:b/>
            <w:bCs/>
            <w:lang w:val="en-GB"/>
          </w:rPr>
          <w:t>Für die Psychoanalyse ist nicht die Genese, sondern die Beziehung zu einem Objekt das Wesentliche.</w:t>
        </w:r>
      </w:hyperlink>
      <w:r w:rsidRPr="006468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Es ist ferner deutlich, daß die Handlung des lutschenden Kindes durch das Suchen nach einer – bereits erlebten und nun erinnerten – Lust bestimmt wird. Durch das rhythmische Saugen an einer Haut- oder Schleimhautstelle findet es dann im einfachsten Falle die Befriedigung. Es ist auch leicht zu erraten, bei welchen Anlässen das Kind die ersten Erfahrungen dieser Lust gemacht hat, die es nun zu erneuern strebt. Die erste und lebenswichtigste Tätigkeit des Kindes, das Saugen an der Mutterbrust (oder an ihren Surrogaten), muß es bereits mit dieser Lust vertraut gemacht haben. Wir würden sagen, die Lippen des Kindes haben sich benommen wie eine </w:t>
      </w:r>
      <w:r w:rsidRPr="00866B42">
        <w:rPr>
          <w:rFonts w:ascii="Garamond" w:hAnsi="Garamond"/>
          <w:i/>
          <w:iCs/>
          <w:lang w:val="en-GB"/>
        </w:rPr>
        <w:t>erogene Zone</w:t>
      </w:r>
      <w:r w:rsidRPr="00866B42">
        <w:rPr>
          <w:rFonts w:ascii="Garamond" w:hAnsi="Garamond"/>
          <w:lang w:val="en-GB"/>
        </w:rPr>
        <w:t xml:space="preserve">, und die Reizung durch den warmen Milchstrom war </w:t>
      </w:r>
      <w:r w:rsidRPr="00866B42">
        <w:rPr>
          <w:rFonts w:ascii="Garamond" w:hAnsi="Garamond"/>
          <w:lang w:val="en-GB"/>
        </w:rPr>
        <w:lastRenderedPageBreak/>
        <w:t xml:space="preserve">wohl die Ursache der Lustempfindung. Anfangs war wohl die Befriedigung der erogenen Zone mit der Befriedigung des Nahrungsbedürfnisses vergesellschaftet. Die Sexualbetätigung lehnt sich zunächst an eine der zur Lebenserhaltung dienenden Funktionen an und macht sich erst später von ihr selbständig. Wer ein Kind gesättigt von der Brust zurücksinken sieht, mit geröteten Wangen und seligem Lächeln in Schlaf verfallen, der wird sich sagen müssen, daß dieses Bild auch für den Ausdruck der sexuellen Befriedigung im späteren Leben maßgebend bleibt. Nun wird das Bedürfnis nach Wiederholung der sexuellen Befriedigung von dem Bedürfnis nach Nahrungsaufnahme getrennt, eine Trennung, die unvermeidlich ist, wenn die Zähne erscheinen und die Nahrung nicht mehr ausschließlich eingesogen, sondern gekaut wird. Eines fremden Objektes bedient sich das Kind zum Saugen nicht, sondern lieber einer eigenen Hautstelle, weil diese ihm bequemer ist, weil es sich so von der Außenwelt unabhängig macht, die es zu beherrschen noch nicht vermag, und weil es sich solcherart gleichsam eine zweite, wenngleich minderwertige erogene Zone schafft. Die Minderwertigkeit dieser zweiten Stelle wird es später mit dazu veranlassen, die gleichartigen Teile, die Lippen, einer anderen Person zu suchen. (»Schade, daß ich </w:t>
      </w:r>
      <w:smartTag w:uri="urn:schemas-microsoft-com:office:smarttags" w:element="State">
        <w:smartTag w:uri="urn:schemas-microsoft-com:office:smarttags" w:element="place">
          <w:r w:rsidRPr="00866B42">
            <w:rPr>
              <w:rFonts w:ascii="Garamond" w:hAnsi="Garamond"/>
              <w:lang w:val="en-GB"/>
            </w:rPr>
            <w:t>mich</w:t>
          </w:r>
        </w:smartTag>
      </w:smartTag>
      <w:r w:rsidRPr="00866B42">
        <w:rPr>
          <w:rFonts w:ascii="Garamond" w:hAnsi="Garamond"/>
          <w:lang w:val="en-GB"/>
        </w:rPr>
        <w:t xml:space="preserve"> nicht küssen kann«, möchte man ihm unterlegen.)</w:t>
      </w:r>
    </w:p>
    <w:p w:rsidR="00646842" w:rsidRPr="00866B42" w:rsidRDefault="00646842" w:rsidP="00646842">
      <w:pPr>
        <w:rPr>
          <w:rFonts w:ascii="Garamond" w:hAnsi="Garamond"/>
          <w:lang w:val="en-GB"/>
        </w:rPr>
      </w:pPr>
      <w:r w:rsidRPr="00866B42">
        <w:rPr>
          <w:rFonts w:ascii="Garamond" w:hAnsi="Garamond"/>
          <w:lang w:val="en-GB"/>
        </w:rPr>
        <w:t xml:space="preserve">Nicht alle Kinder lutschen. Es ist anzunehmen, daß jene Kinder dazu gelangen, bei denen die erogene Bedeutung der Lippenzone konstitutionell verstärkt ist. Bleibt diese erhalten, so werden diese Kinder als Erwachsene Kußfeinschmecker werden, zu perversen Küssen neigen oder als Männer ein kräftiges Motiv zum Trinken und Rauchen mitbringen. Kommt aber die Verdrängung hinzu, so werden sie Ekel vor dem </w:t>
      </w:r>
      <w:smartTag w:uri="urn:schemas-microsoft-com:office:smarttags" w:element="City">
        <w:smartTag w:uri="urn:schemas-microsoft-com:office:smarttags" w:element="place">
          <w:r w:rsidRPr="00866B42">
            <w:rPr>
              <w:rFonts w:ascii="Garamond" w:hAnsi="Garamond"/>
              <w:lang w:val="en-GB"/>
            </w:rPr>
            <w:t>Essen</w:t>
          </w:r>
        </w:smartTag>
      </w:smartTag>
      <w:r w:rsidRPr="00866B42">
        <w:rPr>
          <w:rFonts w:ascii="Garamond" w:hAnsi="Garamond"/>
          <w:lang w:val="en-GB"/>
        </w:rPr>
        <w:t xml:space="preserve"> empfinden und hysterisches Erbrechen produzieren. Kraft der Gemeinsamkeit der Lippenzone wird die Verdrängung auf den Nahrungstrieb übergreifen. Viele meiner Patientinnen mit Eßstörungen, hysterischem Globus, Schnüren im Hals und Erbrechen waren in den Kinderjahren energische Ludlerinnen gewesen.</w:t>
      </w:r>
    </w:p>
    <w:p w:rsidR="00646842" w:rsidRPr="00866B42" w:rsidRDefault="00646842" w:rsidP="00646842">
      <w:pPr>
        <w:rPr>
          <w:rFonts w:ascii="Garamond" w:hAnsi="Garamond"/>
          <w:lang w:val="en-GB"/>
        </w:rPr>
      </w:pPr>
      <w:r w:rsidRPr="00866B42">
        <w:rPr>
          <w:rFonts w:ascii="Garamond" w:hAnsi="Garamond"/>
          <w:lang w:val="en-GB"/>
        </w:rPr>
        <w:t xml:space="preserve">Am Lutschen oder Wonnesaugen haben wir bereits die drei wesentlichen Charaktere einer infantilen Sexualäußerung bemerken können. Dieselbe entsteht in </w:t>
      </w:r>
      <w:r w:rsidRPr="00866B42">
        <w:rPr>
          <w:rFonts w:ascii="Garamond" w:hAnsi="Garamond"/>
          <w:i/>
          <w:iCs/>
          <w:lang w:val="en-GB"/>
        </w:rPr>
        <w:t>Anlehnung</w:t>
      </w:r>
      <w:r w:rsidRPr="00866B42">
        <w:rPr>
          <w:rFonts w:ascii="Garamond" w:hAnsi="Garamond"/>
          <w:lang w:val="en-GB"/>
        </w:rPr>
        <w:t xml:space="preserve"> an eine der lebenswichtigen Körperfunktionen, sie kennt noch kein Sexualobjekt, ist </w:t>
      </w:r>
      <w:r w:rsidRPr="00866B42">
        <w:rPr>
          <w:rFonts w:ascii="Garamond" w:hAnsi="Garamond"/>
          <w:i/>
          <w:iCs/>
          <w:lang w:val="en-GB"/>
        </w:rPr>
        <w:t>autoerotisch</w:t>
      </w:r>
      <w:r w:rsidRPr="00866B42">
        <w:rPr>
          <w:rFonts w:ascii="Garamond" w:hAnsi="Garamond"/>
          <w:lang w:val="en-GB"/>
        </w:rPr>
        <w:t xml:space="preserve">, und ihr Sexualziel steht unter der Herrschaft einer </w:t>
      </w:r>
      <w:r w:rsidRPr="00866B42">
        <w:rPr>
          <w:rFonts w:ascii="Garamond" w:hAnsi="Garamond"/>
          <w:i/>
          <w:iCs/>
          <w:lang w:val="en-GB"/>
        </w:rPr>
        <w:t>erogenen Zone</w:t>
      </w:r>
      <w:r w:rsidRPr="00866B42">
        <w:rPr>
          <w:rFonts w:ascii="Garamond" w:hAnsi="Garamond"/>
          <w:lang w:val="en-GB"/>
        </w:rPr>
        <w:t>. Nehmen wir vorweg, daß diese Charaktere auch für die meisten anderen Betätigungen der infantilen Sexualtriebe gelten.</w:t>
      </w:r>
    </w:p>
    <w:p w:rsidR="00646842" w:rsidRPr="00866B42" w:rsidRDefault="00646842" w:rsidP="00646842">
      <w:pPr>
        <w:rPr>
          <w:rFonts w:ascii="Garamond" w:hAnsi="Garamond"/>
        </w:rPr>
      </w:pPr>
      <w:r w:rsidRPr="00866B42">
        <w:rPr>
          <w:rFonts w:ascii="Garamond" w:hAnsi="Garamond"/>
        </w:rPr>
        <w:t>[3] Das Sexualziel der infantilen Sexualität</w:t>
      </w:r>
    </w:p>
    <w:p w:rsidR="00646842" w:rsidRPr="00866B42" w:rsidRDefault="00646842" w:rsidP="00646842">
      <w:pPr>
        <w:rPr>
          <w:rFonts w:ascii="Garamond" w:hAnsi="Garamond"/>
        </w:rPr>
      </w:pPr>
      <w:r w:rsidRPr="00866B42">
        <w:rPr>
          <w:rFonts w:ascii="Garamond" w:hAnsi="Garamond"/>
        </w:rPr>
        <w:t>Charaktere erogener Zonen. Aus dem Beispiel des Ludelns ist zur Kennzeichnung einer erogenen Zone noch mancherlei zu entnehmen. Es ist eine Haut- oder Schleimhautstelle, an der Reizungen von gewisser Art eine Lustempfindung von bestimmter Qualität hervorrufen. Es ist kein Zweifel, daß die lusterzeugenden Reize an besondere Bedingungen gebunden sind; wir kennen dieselben nicht. Der rhythmische Charakter muß unter ihnen eine Rolle spielen, die Analogie mit dem Kitzelreiz drängt sich auf. Minder ausgemacht scheint es, ob man den Charakter der durch den Reiz hervorgerufenen Lustempfindung als einen »besonderen« bezeichnen darf, wo in dieser Besonderheit eben das sexuelle Moment enthalten wäre. In Sachen der Lust und Unlust tappt die Psychologie noch so sehr im dunkeln, daß die vorsichtigste Annahme die empfehlenswerteste sein wird. Wir werden später vielleicht auf Gründe stoßen, welche die Besonderheitsqualität der Lustempfindung zu unterstützen scheinen.</w:t>
      </w:r>
    </w:p>
    <w:p w:rsidR="00646842" w:rsidRPr="00866B42" w:rsidRDefault="00646842" w:rsidP="00646842">
      <w:pPr>
        <w:rPr>
          <w:rFonts w:ascii="Garamond" w:hAnsi="Garamond"/>
        </w:rPr>
      </w:pPr>
      <w:r w:rsidRPr="00866B42">
        <w:rPr>
          <w:rFonts w:ascii="Garamond" w:hAnsi="Garamond"/>
          <w:lang w:val="en-GB"/>
        </w:rPr>
        <w:t xml:space="preserve">Die erogene Eigenschaft kann einzelnen Körperstellen in ausgezeichneter Weise anhaften. </w:t>
      </w:r>
      <w:r w:rsidRPr="00866B42">
        <w:rPr>
          <w:rFonts w:ascii="Garamond" w:hAnsi="Garamond"/>
        </w:rPr>
        <w:t xml:space="preserve">Es gibt prädestinierte erogene Zonen, wie das Beispiel des Ludelns zeigt. Dasselbe Beispiel lehrt aber auch, daß jede beliebige andere Haut- und Schleimhautstelle die Dienste einer erogenen Zone auf sich nehmen kann, also eine gewisse Eignung dazu mitbringen muß. Die Qualität des Reizes hat also mit der Erzeugung der Lustempfindung mehr zutun als die Beschaffenheit der Körperstelle. Das ludelnde Kind sucht an seinem Körper herum und wählt sich irgendeine Stelle zum Wonnesaugen aus, die ihm dann durch Gewöhnung die bevorzugte wird; wenn es zufällig dabei auf eine der prädestinierten Stellen stößt (Brustwarze, </w:t>
      </w:r>
      <w:r w:rsidRPr="00866B42">
        <w:rPr>
          <w:rFonts w:ascii="Garamond" w:hAnsi="Garamond"/>
        </w:rPr>
        <w:lastRenderedPageBreak/>
        <w:t xml:space="preserve">Genitalien), so verbleibt freilich dieser der Vorzug. Die ganz analoge Verschiebbarkeit kehrt dann in der Symptomatologie der Hysterie wieder. Bei dieser Neurose betrifft die Verdrängung die eigentlichen Genitalzonen am allermeisten, und diese geben ihre Reizbarkeit an die übrigen, sonst im reifen Leben zurückgesetzten erogenen Zonen ab, die sich dann ganz wie Genitalien gebärden. Aber außerdem kann ganz wie beim Ludeln jede beliebige andere Körperstelle mit der Erregbarkeit der Genitalien ausgestattet und zur erogenen Zone erhoben werden. Erogene und hysterogene Zonen zeigen die nämlichen Charaktere </w:t>
      </w:r>
      <w:hyperlink r:id="rId1411" w:anchor="#" w:history="1">
        <w:r w:rsidRPr="00866B42">
          <w:rPr>
            <w:rStyle w:val="fusslink"/>
            <w:rFonts w:ascii="Garamond" w:hAnsi="Garamond" w:cs="Arial"/>
            <w:b/>
            <w:bCs/>
            <w:color w:val="003399"/>
          </w:rPr>
          <w:t>[Fußnote]</w:t>
        </w:r>
        <w:r w:rsidRPr="00866B42">
          <w:rPr>
            <w:rStyle w:val="innerfusslink3"/>
            <w:rFonts w:ascii="Garamond" w:hAnsi="Garamond" w:cs="Arial"/>
            <w:b/>
            <w:bCs/>
          </w:rPr>
          <w:t>Weitere Überlegungen und die Verwertung anderer Beobachtungen führen dazu, die Eigenschaft der Erogeneität allen Körperstellen und inneren Organen zuzusprechen. Vgl. hiezu weiter unten über den Narzißmus.</w:t>
        </w:r>
      </w:hyperlink>
      <w:r w:rsidRPr="00866B42">
        <w:rPr>
          <w:rFonts w:ascii="Garamond" w:hAnsi="Garamond"/>
        </w:rPr>
        <w:t>.</w:t>
      </w:r>
    </w:p>
    <w:p w:rsidR="00646842" w:rsidRPr="00866B42" w:rsidRDefault="00646842" w:rsidP="00646842">
      <w:pPr>
        <w:rPr>
          <w:rFonts w:ascii="Garamond" w:hAnsi="Garamond"/>
          <w:lang w:val="en-GB"/>
        </w:rPr>
      </w:pPr>
      <w:r w:rsidRPr="00866B42">
        <w:rPr>
          <w:rFonts w:ascii="Garamond" w:hAnsi="Garamond"/>
        </w:rPr>
        <w:t xml:space="preserve">Infantiles Sexualziel. Das Sexualziel des infantilen Triebes besteht darin, die Befriedigung durch die geeignete Reizung der so oder so gewählten erogenen Zone hervorzurufen. Diese Befriedigung muß vorher erlebt worden sein, um ein Bedürfnis nach ihrer Wiederholung zurückzulassen, und wir dürfen darauf vorbereitet sein, daß die Natur sichere Vorrichtungen getroffen hat, um dieses Erleben der Befriedigung nicht dem Zufalle zu überlassen </w:t>
      </w:r>
      <w:hyperlink r:id="rId1412" w:anchor="#" w:history="1">
        <w:r w:rsidRPr="00866B42">
          <w:rPr>
            <w:rStyle w:val="fusslink"/>
            <w:rFonts w:ascii="Garamond" w:hAnsi="Garamond" w:cs="Arial"/>
            <w:b/>
            <w:bCs/>
            <w:color w:val="003399"/>
          </w:rPr>
          <w:t>[Fußnote]</w:t>
        </w:r>
        <w:r w:rsidRPr="00866B42">
          <w:rPr>
            <w:rStyle w:val="innerfusslink3"/>
            <w:rFonts w:ascii="Garamond" w:hAnsi="Garamond" w:cs="Arial"/>
            <w:b/>
            <w:bCs/>
          </w:rPr>
          <w:t>Man kann es in biologischen Erörterungen kaum vermeiden, sich der teleologischen Denkweise zu bedienen, obwohl man weiß, daß man im einzelnen Falle gegen den Irrtum nicht gesichert ist.</w:t>
        </w:r>
      </w:hyperlink>
      <w:r w:rsidRPr="00866B42">
        <w:rPr>
          <w:rFonts w:ascii="Garamond" w:hAnsi="Garamond"/>
        </w:rPr>
        <w:t xml:space="preserve">. Die Veranstaltung, welche diesen Zweck für die Lippenzone erfüllt, haben wir bereits kennengelernt, es ist die gleichzeitige Verknüpfung dieser Körperstelle mit der Nahrungsaufnahme. Andere ähnliche Vorrichtungen werden uns noch als Quellen der Sexualität begegnen. Der Zustand des Bedürfnisses nach Wiederholung der Befriedigung verrät sich durch zweierlei: durch ein eigentümliches Spannungsgefühl, welches an sich mehr den Charakter der Unlust hat, und durch eine </w:t>
      </w:r>
      <w:r w:rsidRPr="00866B42">
        <w:rPr>
          <w:rFonts w:ascii="Garamond" w:hAnsi="Garamond"/>
          <w:i/>
          <w:iCs/>
        </w:rPr>
        <w:t>zentral bedingte</w:t>
      </w:r>
      <w:r w:rsidRPr="00866B42">
        <w:rPr>
          <w:rFonts w:ascii="Garamond" w:hAnsi="Garamond"/>
        </w:rPr>
        <w:t xml:space="preserve">, in die peripherische erogene Zone projizierte Juck- oder Reizempfindung. Man kann das Sexualziel darum auch so formulieren, es käme darauf an, die projizierte Reizempfindung an der erogenen Zone durch denjenigen äußeren Reiz zu ersetzen, welcher die Reizempfindung aufhebt, indem er die Empfindung der Befriedigung hervorruft. </w:t>
      </w:r>
      <w:r w:rsidRPr="00866B42">
        <w:rPr>
          <w:rFonts w:ascii="Garamond" w:hAnsi="Garamond"/>
          <w:lang w:val="en-GB"/>
        </w:rPr>
        <w:t>Dieser äußere Reiz wird zumeist in einer Manipulation bestehen, die analog dem Saugen ist.</w:t>
      </w:r>
    </w:p>
    <w:p w:rsidR="00646842" w:rsidRPr="00866B42" w:rsidRDefault="00646842" w:rsidP="00646842">
      <w:pPr>
        <w:rPr>
          <w:rFonts w:ascii="Garamond" w:hAnsi="Garamond"/>
          <w:lang w:val="en-GB"/>
        </w:rPr>
      </w:pPr>
      <w:r w:rsidRPr="00866B42">
        <w:rPr>
          <w:rFonts w:ascii="Garamond" w:hAnsi="Garamond"/>
          <w:lang w:val="en-GB"/>
        </w:rPr>
        <w:t>Es ist nur im vollen Einklang mit unserem physiologischen Wissen, wenn es vorkommt, daß das Bedürfnis auch peripherisch, durch eine wirkliche Veränderung an der erogenen Zone geweckt wird. Es wirkt nur einigermaßen befremdend, da der eine Reiz zu seiner Aufhebung nach einem zweiten, an derselben Stelle angebrachten zu verlangen scheint.</w:t>
      </w:r>
    </w:p>
    <w:p w:rsidR="00646842" w:rsidRPr="00866B42" w:rsidRDefault="00646842" w:rsidP="00646842">
      <w:pPr>
        <w:rPr>
          <w:rFonts w:ascii="Garamond" w:hAnsi="Garamond"/>
          <w:lang w:val="en-GB"/>
        </w:rPr>
      </w:pPr>
      <w:r w:rsidRPr="00866B42">
        <w:rPr>
          <w:rFonts w:ascii="Garamond" w:hAnsi="Garamond"/>
          <w:lang w:val="en-GB"/>
        </w:rPr>
        <w:t>[4] Die masturbatorischen Sexualäußerungen</w:t>
      </w:r>
    </w:p>
    <w:p w:rsidR="00646842" w:rsidRPr="00866B42" w:rsidRDefault="00B437A1" w:rsidP="00646842">
      <w:pPr>
        <w:rPr>
          <w:rFonts w:ascii="Garamond" w:hAnsi="Garamond"/>
          <w:lang w:val="en-GB"/>
        </w:rPr>
      </w:pPr>
      <w:hyperlink r:id="rId1413" w:anchor="#" w:history="1">
        <w:r w:rsidR="00646842" w:rsidRPr="00866B42">
          <w:rPr>
            <w:rStyle w:val="fusslink"/>
            <w:rFonts w:ascii="Garamond" w:hAnsi="Garamond" w:cs="Arial"/>
            <w:b/>
            <w:bCs/>
            <w:color w:val="003399"/>
            <w:lang w:val="en-GB"/>
          </w:rPr>
          <w:t>[Fußnote]</w:t>
        </w:r>
        <w:r w:rsidR="00646842" w:rsidRPr="00866B42">
          <w:rPr>
            <w:rStyle w:val="innerfusslink3"/>
            <w:rFonts w:ascii="Garamond" w:hAnsi="Garamond" w:cs="Arial"/>
            <w:b/>
            <w:bCs/>
            <w:lang w:val="en-GB"/>
          </w:rPr>
          <w:t xml:space="preserve">Vgl. hiezu die sehr reichhaltige, aber meist in den Gesichtspunkten unorientierte Literatur über Onanie, z. B. Rohleder (1899), ferner das II. Heft der </w:t>
        </w:r>
        <w:r w:rsidR="00646842" w:rsidRPr="00866B42">
          <w:rPr>
            <w:rStyle w:val="innerfusslink3"/>
            <w:rFonts w:ascii="Garamond" w:hAnsi="Garamond" w:cs="Arial"/>
            <w:b/>
            <w:bCs/>
            <w:i/>
            <w:iCs/>
            <w:lang w:val="en-GB"/>
          </w:rPr>
          <w:t>Diskussionen der Wiener Psychoanalytischen Vereinigung, Die Onanie</w:t>
        </w:r>
        <w:r w:rsidR="00646842" w:rsidRPr="00866B42">
          <w:rPr>
            <w:rStyle w:val="innerfusslink3"/>
            <w:rFonts w:ascii="Garamond" w:hAnsi="Garamond" w:cs="Arial"/>
            <w:b/>
            <w:bCs/>
            <w:lang w:val="en-GB"/>
          </w:rPr>
          <w:t>, Wiesbaden 1912.</w:t>
        </w:r>
      </w:hyperlink>
    </w:p>
    <w:p w:rsidR="00646842" w:rsidRPr="00866B42" w:rsidRDefault="00646842" w:rsidP="00646842">
      <w:pPr>
        <w:rPr>
          <w:rFonts w:ascii="Garamond" w:hAnsi="Garamond"/>
          <w:lang w:val="en-GB"/>
        </w:rPr>
      </w:pPr>
      <w:r w:rsidRPr="00866B42">
        <w:rPr>
          <w:rFonts w:ascii="Garamond" w:hAnsi="Garamond"/>
          <w:lang w:val="en-GB"/>
        </w:rPr>
        <w:t>Es kann uns nur höchst erfreulich sein zu finden, daß wir von der Sexualbetätigung des Kindes nicht mehr viel Wichtiges zu lernen haben, nachdem uns der Trieb von einer einzigen erogenen Zone her verständlich geworden ist. Die deutlichsten Unterschiede beziehen sich auf die zur Befriedigung notwendige Vornahme, die für die Lippenzone im Saugen bestand und die je nach Lage und Beschaffenheit der anderen Zonen durch andere Muskelaktionen ersetzt werden muß.</w:t>
      </w:r>
    </w:p>
    <w:p w:rsidR="00646842" w:rsidRPr="00866B42" w:rsidRDefault="00646842" w:rsidP="00646842">
      <w:pPr>
        <w:rPr>
          <w:rFonts w:ascii="Garamond" w:hAnsi="Garamond"/>
          <w:lang w:val="en-GB"/>
        </w:rPr>
      </w:pPr>
      <w:r w:rsidRPr="00866B42">
        <w:rPr>
          <w:rFonts w:ascii="Garamond" w:hAnsi="Garamond"/>
          <w:lang w:val="en-GB"/>
        </w:rPr>
        <w:t xml:space="preserve">Betätigung der Afterzone. Die Afterzone ist ähnlich wie die Lippenzone durch ihre Lage geeignet, eine </w:t>
      </w:r>
      <w:r w:rsidRPr="00866B42">
        <w:rPr>
          <w:rFonts w:ascii="Garamond" w:hAnsi="Garamond"/>
          <w:i/>
          <w:iCs/>
          <w:lang w:val="en-GB"/>
        </w:rPr>
        <w:t>Anlehnung</w:t>
      </w:r>
      <w:r w:rsidRPr="00866B42">
        <w:rPr>
          <w:rFonts w:ascii="Garamond" w:hAnsi="Garamond"/>
          <w:lang w:val="en-GB"/>
        </w:rPr>
        <w:t xml:space="preserve"> der Sexualität an andere Körperfunktionen zu vermitteln. Man muß sich die erogene Bedeutung dieser Körperstelle als ursprünglich sehr groß vorstellen. Durch die Psychoanalyse erfährt man dann nicht ohne Verwunderung, welche Umwandlungen mit den von hier ausgehenden sexuellen Erregungen normalerweise vorgenommen werden und wie häufig der Zone noch ein beträchtliches Stück genitaler Reizbarkeit fürs Leben verbleibt </w:t>
      </w:r>
      <w:hyperlink r:id="rId1414"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Vgl. die Aufsätze ›Charakter und Analerotik‹ (1908  </w:t>
        </w:r>
        <w:r w:rsidRPr="00866B42">
          <w:rPr>
            <w:rStyle w:val="innerfusslink3"/>
            <w:rFonts w:ascii="Garamond" w:hAnsi="Garamond" w:cs="Arial"/>
            <w:b/>
            <w:bCs/>
            <w:i/>
            <w:iCs/>
            <w:lang w:val="en-GB"/>
          </w:rPr>
          <w:t>b</w:t>
        </w:r>
        <w:r w:rsidRPr="00866B42">
          <w:rPr>
            <w:rStyle w:val="innerfusslink3"/>
            <w:rFonts w:ascii="Garamond" w:hAnsi="Garamond" w:cs="Arial"/>
            <w:b/>
            <w:bCs/>
            <w:lang w:val="en-GB"/>
          </w:rPr>
          <w:t xml:space="preserve">) und ›Über Triebumsetzungen insbesondere der Analerotik‹ (1917  </w:t>
        </w:r>
        <w:r w:rsidRPr="00866B42">
          <w:rPr>
            <w:rStyle w:val="innerfusslink3"/>
            <w:rFonts w:ascii="Garamond" w:hAnsi="Garamond" w:cs="Arial"/>
            <w:b/>
            <w:bCs/>
            <w:i/>
            <w:iCs/>
            <w:lang w:val="en-GB"/>
          </w:rPr>
          <w:t>c</w:t>
        </w:r>
        <w:r w:rsidRPr="00866B42">
          <w:rPr>
            <w:rStyle w:val="innerfusslink3"/>
            <w:rFonts w:ascii="Garamond" w:hAnsi="Garamond" w:cs="Arial"/>
            <w:b/>
            <w:bCs/>
            <w:lang w:val="en-GB"/>
          </w:rPr>
          <w:t>).</w:t>
        </w:r>
      </w:hyperlink>
      <w:r w:rsidRPr="00866B42">
        <w:rPr>
          <w:rFonts w:ascii="Garamond" w:hAnsi="Garamond"/>
          <w:lang w:val="en-GB"/>
        </w:rPr>
        <w:t xml:space="preserve">. Die so häufigen </w:t>
      </w:r>
      <w:r w:rsidRPr="00866B42">
        <w:rPr>
          <w:rFonts w:ascii="Garamond" w:hAnsi="Garamond"/>
          <w:lang w:val="en-GB"/>
        </w:rPr>
        <w:lastRenderedPageBreak/>
        <w:t>Darmstörungen der Kinderjahre sorgen dafür, daß es der Zone an intensiven Erregungen nicht fehle. Darmkatarrhe im zartesten Alter machen »nervös«, wie man sich ausdrückt; bei späterer neurotischer Erkrankung nehmen sie einen bestimmenden Einfluß auf den symptomatischen Ausdruck der Neurose, welcher sie die ganze Summe von Darmstörungen zur Verfügung stellen. Mit Hinblick auf die wenigstens in Umwandlung erhalten gebliebene erogene Bedeutung der Darmausgangszone darf man auch die hämorrhoidalen Einflüsse nicht verlachen, denen die ältere Medizin für die Erklärung neurotischer Zustände soviel Gewicht beigelegt hat.</w:t>
      </w:r>
    </w:p>
    <w:p w:rsidR="00646842" w:rsidRPr="00866B42" w:rsidRDefault="00646842" w:rsidP="00646842">
      <w:pPr>
        <w:rPr>
          <w:rFonts w:ascii="Garamond" w:hAnsi="Garamond"/>
          <w:lang w:val="en-GB"/>
        </w:rPr>
      </w:pPr>
      <w:r w:rsidRPr="00866B42">
        <w:rPr>
          <w:rFonts w:ascii="Garamond" w:hAnsi="Garamond"/>
          <w:lang w:val="en-GB"/>
        </w:rPr>
        <w:t>Kinder, welche die erogene Reizbarkeit der Afterzone ausnützen, verraten sich dadurch, daß sie die Stuhlmassen zurückhalten, bis dieselben durch ihre Anhäufung heftige Muskelkontraktionen anregen und beim Durchgang durch den After einen starken Reiz auf die Schleimhaut ausüben können. Dabei muß wohl neben der schmerzhaften die Wollustempfindung zustande kommen. Es ist eines der besten Vorzeichen späterer Absonderlichkeit oder Nervosität, wenn ein Säugling sich hartnäckig weigert, den Darm zu entleeren, wenn er auf den Topf gesetzt wird, also wenn es dem Pfleger beliebt, sondern diese Funktion seinem eigenen Belieben vorbehält. Es kommt ihm natürlich nicht darauf an, sein Lager schmutzig zu machen; er sorgt nur, daß ihm der Lustnebengewinn bei der Defäkation nicht entgehe. Die Erzieher ahnen wiederum das Richtige, wenn sie solche Kinder, die sich diese Verrichtungen »aufheben«, schlimm nennen.</w:t>
      </w:r>
    </w:p>
    <w:p w:rsidR="00646842" w:rsidRPr="00866B42" w:rsidRDefault="00646842" w:rsidP="00646842">
      <w:pPr>
        <w:rPr>
          <w:rFonts w:ascii="Garamond" w:hAnsi="Garamond"/>
          <w:lang w:val="en-GB"/>
        </w:rPr>
      </w:pPr>
      <w:r w:rsidRPr="00866B42">
        <w:rPr>
          <w:rFonts w:ascii="Garamond" w:hAnsi="Garamond"/>
          <w:lang w:val="en-GB"/>
        </w:rPr>
        <w:t xml:space="preserve">Der Darminhalt, der als Reizkörper für eine sexuell empfindliche Schleimhautfläche sich wie der Vorläufer eines anderen Organs benimmt, welches erst nach der Kindheitsphase in Aktion treten soll, hat für den Säugling noch andere wichtige Bedeutungen. Er wird offenbar wie ein zugehöriger Körperteil behandelt, stellt das erste »Geschenk« dar, durch dessen Entäußerung die Gefügigkeit, durch dessen Verweigerung der Trotz des kleinen Wesens gegen seine Umgebung ausgedrückt werden kann. Vom »Geschenk« aus gewinnt er dann später die Bedeutung des »Kindes«, das nach einer der infantilen Sexualtheorien durch </w:t>
      </w:r>
      <w:smartTag w:uri="urn:schemas-microsoft-com:office:smarttags" w:element="City">
        <w:smartTag w:uri="urn:schemas-microsoft-com:office:smarttags" w:element="place">
          <w:r w:rsidRPr="00866B42">
            <w:rPr>
              <w:rFonts w:ascii="Garamond" w:hAnsi="Garamond"/>
              <w:lang w:val="en-GB"/>
            </w:rPr>
            <w:t>Essen</w:t>
          </w:r>
        </w:smartTag>
      </w:smartTag>
      <w:r w:rsidRPr="00866B42">
        <w:rPr>
          <w:rFonts w:ascii="Garamond" w:hAnsi="Garamond"/>
          <w:lang w:val="en-GB"/>
        </w:rPr>
        <w:t xml:space="preserve"> erworben und durch den Darm geboren wird.</w:t>
      </w:r>
    </w:p>
    <w:p w:rsidR="00646842" w:rsidRPr="00866B42" w:rsidRDefault="00646842" w:rsidP="00646842">
      <w:pPr>
        <w:rPr>
          <w:rFonts w:ascii="Garamond" w:hAnsi="Garamond"/>
          <w:lang w:val="en-GB"/>
        </w:rPr>
      </w:pPr>
      <w:r w:rsidRPr="00866B42">
        <w:rPr>
          <w:rFonts w:ascii="Garamond" w:hAnsi="Garamond"/>
          <w:lang w:val="en-GB"/>
        </w:rPr>
        <w:t xml:space="preserve">Die Zurückhaltung der Fäkalmassen, die also anfangs eine absichtliche ist, um sie zur gleichsam masturbatorischen Reizung der Afterzone zu benützen oder in der Relation zu den Pflegepersonen zu verwenden, ist übrigens eine der Wurzeln der bei den Neuropathen so häufigen Obstipation. Die ganze Bedeutung der Afterzone spiegelt sich dann in der Tatsache, daß man nur wenige Neurotiker findet, die nicht ihre besonderen skatologischen Gebräuche, Zeremonien und dergleichen hätten, die von ihnen sorgfältig geheimgehalten werden </w:t>
      </w:r>
      <w:hyperlink r:id="rId1415"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In einer Arbeit, welche unser Verständnis für die Bedeutung der Analerotik außerordentlich vertieft (1916), hat Lou Andreas-Salomé ausgeführt, daß die Geschichte des ersten Verbotes, welches an das Kind herantritt, des Verbotes, aus der Analtätigkeit und ihren Produkten Lust zu gewinnen, für seine ganze Entwicklung maßgebend wird. Das kleine Wesen muß bei diesem Anlasse zuerst die seinen Triebregungen feindliche Umwelt ahnen, sein eigenes Wesen von diesem Fremden sondern lernen und dann die erste »Verdrängung« an seinen Lustmöglichkeiten vollziehen. Das »Anale« bleibt von da an das Symbol für alles zu Verwerfende, vom Leben Abzuscheidende. Der später geforderten reinlichen Scheidung von Anal- und Genitalvorgängen widersetzen sich die nahen anatomischen und funktionellen Analogien und Beziehungen zwischen beiden. Der Genitalapparat bleibt der Kloake benachbart, »ist ihr beim Weibe sogar nur abgemietet«.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Echte masturbatorische Reizung der Afterzone mit Hilfe des Fingers, durch zentral bedingtes oder peripherisch unterhaltenes Jucken hervorgerufen, ist bei älteren Kindern keineswegs selten.</w:t>
      </w:r>
    </w:p>
    <w:p w:rsidR="00646842" w:rsidRPr="00866B42" w:rsidRDefault="00646842" w:rsidP="00646842">
      <w:pPr>
        <w:rPr>
          <w:rFonts w:ascii="Garamond" w:hAnsi="Garamond"/>
          <w:lang w:val="en-GB"/>
        </w:rPr>
      </w:pPr>
      <w:r w:rsidRPr="00866B42">
        <w:rPr>
          <w:rFonts w:ascii="Garamond" w:hAnsi="Garamond"/>
          <w:lang w:val="en-GB"/>
        </w:rPr>
        <w:t xml:space="preserve">Betätigung der Genitalzonen. Unter den erogenen Zonen des kindlichen Körpers befindet sich eine, die gewiß nicht die erste Rolle spielt, auch nicht die Trägerin der ältesten sexuellen Regungen sein kann, die aber zu großen Dingen in der Zukunft bestimmt ist. Sie ist beim männlichen wie beim weiblichen Kind in </w:t>
      </w:r>
      <w:r w:rsidRPr="00866B42">
        <w:rPr>
          <w:rFonts w:ascii="Garamond" w:hAnsi="Garamond"/>
          <w:lang w:val="en-GB"/>
        </w:rPr>
        <w:lastRenderedPageBreak/>
        <w:t>Beziehung zur Harnentleerung gebracht (Eichel, Klitoris) und beim ersteren in einen Schleimhautsack einbezogen, so daß es ihr an Reizungen durch Sekrete, welche die sexuelle Erregung frühzeitig anfachen können, nicht fehlen kann. Die sexuellen Betätigungen dieser erogenen Zone, die den wirklichen Geschlechtsteilen angehört, sind ja der Beginn des später »normalen« Geschlechtslebens.</w:t>
      </w:r>
    </w:p>
    <w:p w:rsidR="00646842" w:rsidRPr="00866B42" w:rsidRDefault="00646842" w:rsidP="00646842">
      <w:pPr>
        <w:rPr>
          <w:rFonts w:ascii="Garamond" w:hAnsi="Garamond"/>
          <w:lang w:val="en-GB"/>
        </w:rPr>
      </w:pPr>
      <w:r w:rsidRPr="00866B42">
        <w:rPr>
          <w:rFonts w:ascii="Garamond" w:hAnsi="Garamond"/>
          <w:lang w:val="en-GB"/>
        </w:rPr>
        <w:t xml:space="preserve">Durch die anatomische Lage, die Überströmung mit Sekreten, durch die Waschungen und Reibungen der Körperpflege und durch gewisse akzidentelle Erregungen (wie die Wanderungen von Eingeweidewürmern bei Mädchen) wird es unvermeidlich, daß die Lustempfindung, welche diese Körperstelle zu ergeben fähig ist, sich dem Kinde schon im Säuglingsalter bemerkbar mache und ein Bedürfnis nach ihrer Wiederholung erwecke. Überblickt man die Summe der vorliegenden Einrichtungen und bedenkt, daß die Maßregeln zur Reinhaltung kaum anders wirken können als die Verunreinigung, so wird man sich kaum der Auffassung entziehen können, daß durch die Säuglingsonanie, der kaum ein Individuum entgeht, das künftige Primat dieser erogenen Zone für die Geschlechtstätigkeit festgelegt wird. Die den Reiz beseitigende und die Befriedigung auslösende Aktion besteht in einer reibenden Berührung mit der Hand oder in einem gewiß reflektorisch vorgebildeten Druck durch die Hand oder die zusammenschließenden Oberschenkel. Letztere Vornahme ist die beim Mädchen weitaus häufigere. Beim Knaben weist die Bevorzugung der Hand bereits darauf hin, welchen wichtigen Beitrag zur männlichen Sexualtätigkeit der Bemächtigungstrieb einst leisten wird </w:t>
      </w:r>
      <w:hyperlink r:id="rId1416"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Ungewöhnliche Techniken bei der Ausführung der Onanie in späteren Jahren scheinen auf den Einfluß eines überwundenen Onanieverbotes hinzuweisen.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Es wird der Klarheit nur förderlich sein, wenn ich angebe, daß man drei Phasen der infantilen Masturbation zu unterscheiden hat. Die erste von ihnen gehört der Säuglingszeit an, die zweite der kurzen Blütezeit der Sexualbetätigung um das vierte Lebensjahr, erst die dritte entspricht der oft ausschließlich gewürdigten Pubertätsonanie.</w:t>
      </w:r>
    </w:p>
    <w:p w:rsidR="00646842" w:rsidRPr="00866B42" w:rsidRDefault="00646842" w:rsidP="00646842">
      <w:pPr>
        <w:rPr>
          <w:rFonts w:ascii="Garamond" w:hAnsi="Garamond"/>
          <w:lang w:val="en-GB"/>
        </w:rPr>
      </w:pPr>
      <w:r w:rsidRPr="00866B42">
        <w:rPr>
          <w:rFonts w:ascii="Garamond" w:hAnsi="Garamond"/>
          <w:lang w:val="en-GB"/>
        </w:rPr>
        <w:t xml:space="preserve">Die zweite Phase der kindlichen Masturbation. Die Säuglingsonanie scheint nach kurzer Zeit zu schwinden, doch kann mit der ununterbrochenen Fortsetzung derselben bis zur Pubertät bereits die erste große Abweichung von der für den Kulturmenschen anzustrebenden Entwicklung gegeben sein. Irgend einmal in den Kinderjahren nach der Säuglingszeit, gewöhnlich vor dem vierten Jahr, pflegt der Sexualtrieb dieser Genitalzone wieder zu erwachen und dann wiederum eine Zeitlang bis zu einer neuen Unterdrückung anzuhalten oder sich ohne Unterbrechung fortzusetzen. Die möglichen Verhältnisse sind sehr mannigfaltig und können nur durch genauere Zergliederung einzelner Fälle erörtert werden. Aber alle Einzelheiten dieser </w:t>
      </w:r>
      <w:r w:rsidRPr="00866B42">
        <w:rPr>
          <w:rFonts w:ascii="Garamond" w:hAnsi="Garamond"/>
          <w:i/>
          <w:iCs/>
          <w:lang w:val="en-GB"/>
        </w:rPr>
        <w:t>zweiten</w:t>
      </w:r>
      <w:r w:rsidRPr="00866B42">
        <w:rPr>
          <w:rFonts w:ascii="Garamond" w:hAnsi="Garamond"/>
          <w:lang w:val="en-GB"/>
        </w:rPr>
        <w:t xml:space="preserve"> infantilen Sexualbetätigung hinterlassen die tiefsten (unbewußten) Eindrucksspuren im Gedächtnis der Person, bestimmen die Entwicklung ihres Charakters, wenn sie gesund bleibt, und die Symptomatik ihrer Neurose, wenn sie nach der Pubertät erkrankt </w:t>
      </w:r>
      <w:hyperlink r:id="rId1417"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Warum das Schuldbewußtsein der Neurotiker regelmäßig, wie noch kürzlich Bleuler anerkannt hat, an die erinnerte onanistische Betätigung, meist der Pubertätszeit, anknüpft, harrt noch einer erschöpfenden analytischen Aufklärung. Der gröbste und wichtigste Faktor dieser Bedingtheit dürfte wohl die Tatsache sein, daß die Onanie ja die Exekutive der ganzen infantilen Sexualität darstellt und darum befähigt ist, das dieser anhaftende Schuldgefühl zu übernehmen.</w:t>
        </w:r>
      </w:hyperlink>
      <w:r w:rsidRPr="00866B42">
        <w:rPr>
          <w:rFonts w:ascii="Garamond" w:hAnsi="Garamond"/>
          <w:lang w:val="en-GB"/>
        </w:rPr>
        <w:t>. Im letzteren Falle findet man diese Sexualperiode vergessen, die für sie zeugenden bewußten Erinnerungen verschoben; – ich habe schon erwähnt, daß ich auch die normale infantile Amnesie mit dieser infantilen Sexualbetätigung in Zusammenhang bringen möchte. Durch psychoanalytische Erforschung gelingt es, das Vergessene bewußtzumachen und damit einen Zwang zu beseitigen, der vom unbewußten psychischen Material ausgeht.</w:t>
      </w:r>
    </w:p>
    <w:p w:rsidR="00646842" w:rsidRPr="00866B42" w:rsidRDefault="00646842" w:rsidP="00646842">
      <w:pPr>
        <w:rPr>
          <w:rFonts w:ascii="Garamond" w:hAnsi="Garamond"/>
          <w:lang w:val="en-GB"/>
        </w:rPr>
      </w:pPr>
      <w:r w:rsidRPr="00866B42">
        <w:rPr>
          <w:rFonts w:ascii="Garamond" w:hAnsi="Garamond"/>
          <w:lang w:val="en-GB"/>
        </w:rPr>
        <w:t xml:space="preserve">Wiederkehr der Säuglingsmasturbation. Die Sexualerregung der Säuglingszeit kehrt in den bezeichneten Kinderjahren entweder als zentral bedingter Kitzelreiz wieder, der zur onanistischen Befriedigung auffordert, oder als pollutionsartiger Vorgang, der analog der Pollution der Reifezeit die Befriedigung </w:t>
      </w:r>
      <w:r w:rsidRPr="00866B42">
        <w:rPr>
          <w:rFonts w:ascii="Garamond" w:hAnsi="Garamond"/>
          <w:lang w:val="en-GB"/>
        </w:rPr>
        <w:lastRenderedPageBreak/>
        <w:t xml:space="preserve">ohne Mithilfe einer Aktion erreicht. Letzterer Fall ist der bei Mädchen und in der zweiten Hälfte der Kindheit häufigere, in seiner Bedingtheit nicht ganz verständlich und scheint oft – nicht regelmäßig – eine Periode früherer aktiver Onanie zur Voraussetzung zu haben. Die Symptomatik dieser Sexualäußerungen ist armselig; für den noch unentwickelten Geschlechtsapparat gibt meist der Harnapparat, gleichsam als sein Vormund, Zeichen. Die meisten sogenannten Blasenleiden dieser Zeit sind sexuelle Störungen; die </w:t>
      </w:r>
      <w:r w:rsidRPr="00866B42">
        <w:rPr>
          <w:rFonts w:ascii="Garamond" w:hAnsi="Garamond"/>
          <w:i/>
          <w:iCs/>
          <w:lang w:val="en-GB"/>
        </w:rPr>
        <w:t>enuresis nocturna</w:t>
      </w:r>
      <w:r w:rsidRPr="00866B42">
        <w:rPr>
          <w:rFonts w:ascii="Garamond" w:hAnsi="Garamond"/>
          <w:lang w:val="en-GB"/>
        </w:rPr>
        <w:t xml:space="preserve"> entspricht, wo sie nicht einen epileptischen Anfall darstellt, einer Pollution.</w:t>
      </w:r>
    </w:p>
    <w:p w:rsidR="00646842" w:rsidRPr="00866B42" w:rsidRDefault="00646842" w:rsidP="00646842">
      <w:pPr>
        <w:rPr>
          <w:rFonts w:ascii="Garamond" w:hAnsi="Garamond"/>
          <w:lang w:val="en-GB"/>
        </w:rPr>
      </w:pPr>
      <w:r w:rsidRPr="00866B42">
        <w:rPr>
          <w:rFonts w:ascii="Garamond" w:hAnsi="Garamond"/>
          <w:lang w:val="en-GB"/>
        </w:rPr>
        <w:t xml:space="preserve">Für das Wiederauftreten der sexuellen Tätigkeit sind innere Ursachen und äußere Anlässe maßgebend, die beide in neurotischen Erkrankungsfällen aus der Gestaltung der Symptome zu erraten und durch die psychoanalytische Forschung mit Sicherheit aufzudecken sind. Von den inneren Ursachen wird später die Rede sein; die zufälligen äußeren Anlässe gewinnen um diese Zeit eine große und nachhaltige Bedeutung. Voran steht der Einfluß der Verführung, die das Kind vorzeitig als Sexualobjekt behandelt und es unter eindrucksvollen Umständen die Befriedigung von den Genitalzonen kennen lehrt, welche sich onanistisch zu erneuern es dann meist gezwungen bleibt. Solche Beeinflussung kann von Erwachsenen oder anderen Kindern ausgehen; ich kann nicht zugestehen, daß ich in meiner Abhandlung 1896 ›Über die Ätiologie der Hysterie‹ die Häufigkeit oder die Bedeutung derselben überschätzt habe, wenngleich ich damals noch nicht wußte, daß normal gebliebene Individuen in ihren Kinderjahren die nämlichen Erlebnisse gehabt haben können, und darum die Verführung höher wertete als die in der sexuellen Konstitution und Entwicklung gegebenen Faktoren </w:t>
      </w:r>
      <w:hyperlink r:id="rId1418"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Havelock Ellis bringt in einem Anhang zu seiner Studie über das </w:t>
        </w:r>
        <w:r w:rsidRPr="00866B42">
          <w:rPr>
            <w:rStyle w:val="innerfusslink3"/>
            <w:rFonts w:ascii="Garamond" w:hAnsi="Garamond" w:cs="Arial"/>
            <w:b/>
            <w:bCs/>
            <w:i/>
            <w:iCs/>
            <w:lang w:val="en-GB"/>
          </w:rPr>
          <w:t>Geschlechtsgefühl</w:t>
        </w:r>
        <w:r w:rsidRPr="00866B42">
          <w:rPr>
            <w:rStyle w:val="innerfusslink3"/>
            <w:rFonts w:ascii="Garamond" w:hAnsi="Garamond" w:cs="Arial"/>
            <w:b/>
            <w:bCs/>
            <w:lang w:val="en-GB"/>
          </w:rPr>
          <w:t xml:space="preserve"> (1903) eine Anzahl autobiographischer Berichte von später vorwiegend normal gebliebenen Personen über ihre ersten geschlechtlichen Regungen in der Kindheit und die Anlässe derselben. Diese Berichte leiden natürlich an dem Mangel, daß sie die durch die infantile Amnesie verdeckte, prähistorische Vorzeit des Geschlechtslebens nicht enthalten, welche nur durch Psychoanalyse bei einem neurotisch gewordenen Individuum ergänzt werden kann. Dieselben sind aber trotzdem in mehr als einer Hinsicht wertvoll, und Erkundigungen der gleichen Art haben mich zu der im Text erwähnten Modifikation meiner ätiologischen Annahmen bestimmt.</w:t>
        </w:r>
      </w:hyperlink>
      <w:r w:rsidRPr="00866B42">
        <w:rPr>
          <w:rFonts w:ascii="Garamond" w:hAnsi="Garamond"/>
          <w:lang w:val="en-GB"/>
        </w:rPr>
        <w:t>. Es ist selbstverständlich, daß es der Verführung nicht bedarf, um das Sexualleben des Kindes zu wecken, daß solche Erweckung auch spontan aus inneren Ursachen vor sich gehen kann.</w:t>
      </w:r>
    </w:p>
    <w:p w:rsidR="00646842" w:rsidRPr="00866B42" w:rsidRDefault="00646842" w:rsidP="00646842">
      <w:pPr>
        <w:rPr>
          <w:rFonts w:ascii="Garamond" w:hAnsi="Garamond"/>
          <w:lang w:val="en-GB"/>
        </w:rPr>
      </w:pPr>
      <w:r w:rsidRPr="00866B42">
        <w:rPr>
          <w:rFonts w:ascii="Garamond" w:hAnsi="Garamond"/>
          <w:lang w:val="en-GB"/>
        </w:rPr>
        <w:t>Polymorph perverse Anlage. Es ist lehrreich, daß das Kind unter dem Einfluß der Verführung polymorph pervers werden, zu allen möglichen Überschreitungen verleitet werden kann. Dies zeigt, daß es die Eignung dazu in seiner Anlage mitbringt; die Ausführung findet darum geringe Widerstände, weil die seelischen Dämme gegen sexuelle Ausschreitungen, Scham, Ekel und Moral, je nach dem Alter des Kindes noch nicht aufgeführt oder erst in Bildung begriffen sind. Das Kind verhält sich hierin nicht anders als etwa das unkultivierte Durchschnittsweib, bei dem die nämliche polymorph perverse Veranlagung erhalten bleibt. Dieses kann unter den gewöhnlichen Bedingungen etwa sexuell normal bleiben, unter der Leitung eines geschickten Verführers wird es an allen Perversionen Geschmack finden und dieselben für seine Sexualbetätigung festhalten. Die nämliche polymorphe, also infantile Anlage beutet dann die Dirne für ihre Berufstätigkeit aus, und bei der riesigen Anzahl der prostituierten Frauen und solcher, denen man die Eignung zur Prostitution zusprechen muß, obwohl sie dem Berufe entgangen sind, wird es endgültig unmöglich, in der gleichmäßigen Anlage zu allen Perversionen nicht das allgemein Menschliche und Ursprüngliche zu erkennen.</w:t>
      </w:r>
    </w:p>
    <w:p w:rsidR="00646842" w:rsidRPr="00866B42" w:rsidRDefault="00646842" w:rsidP="00646842">
      <w:pPr>
        <w:rPr>
          <w:rFonts w:ascii="Garamond" w:hAnsi="Garamond"/>
          <w:lang w:val="en-GB"/>
        </w:rPr>
      </w:pPr>
      <w:r w:rsidRPr="00866B42">
        <w:rPr>
          <w:rFonts w:ascii="Garamond" w:hAnsi="Garamond"/>
          <w:lang w:val="en-GB"/>
        </w:rPr>
        <w:t xml:space="preserve">Partialtriebe. Im übrigen hilft der Einfluß der Verführung nicht dazu, die anfänglichen Verhältnisse des Geschlechtstriebes zu enthüllen, sondern verwirrt unsere Einsicht in dieselben, indem er dem Kinde vorzeitig das Sexualobjekt zuführt, nach dem der infantile Sexualtrieb zunächst kein Bedürfnis zeigt. Indes müssen wir zugestehen, daß auch das kindliche Sexualleben, bei allem Überwiegen der Herrschaft erogener Zonen, Komponenten zeigt, für welche andere Personen als Sexualobjekte von Anfang an in Betracht kommen. Solcher Art sind die in gewisser Unabhängigkeit von erogenen Zonen auftretenden </w:t>
      </w:r>
      <w:r w:rsidRPr="00866B42">
        <w:rPr>
          <w:rFonts w:ascii="Garamond" w:hAnsi="Garamond"/>
          <w:lang w:val="en-GB"/>
        </w:rPr>
        <w:lastRenderedPageBreak/>
        <w:t xml:space="preserve">Triebe der Schau- und Zeigelust und der Grausamkeit, die in ihre innigen Beziehungen zum Genitalleben erst später eintreten, aber schon in den Kinderjahren als zunächst von der erogenen Sexualtätigkeit gesonderte, selbständige Strebungen bemerkbar werden. Das kleine Kind ist vor allem schamlos und zeigt in gewissen frühen Jahren ein unzweideutiges Vergnügen an der Entblößung seines Körpers mit besonderer Hervorhebung der Geschlechtsteile. Das Gegenstück dieser als pervers geltenden Neigung, die Neugierde, Genitalien anderer Personen zu sehen, wird wahrscheinlich erst in etwas späteren Kinderjahren offenkundig, wenn das Hindernis des Schamgefühles bereits eine gewisse Entwicklung erreicht hat. Unter dem Einfluß der Verführung kann die Schauperversion eine große Bedeutung für das Sexualleben des Kindes erreichen. Doch muß ich aus meinen Erforschungen der Kinderjahre Gesunder wie neurotisch Kranker den Schluß ziehen, daß der Schautrieb beim Kinde als spontane Sexualäußerung aufzutreten vermag. Kleine Kinder, deren Aufmerksamkeit einmal auf die eigenen Genitalien – meist masturbatorisch – gelenkt ist, pflegen den weiteren Fortschritt ohne fremdes Dazutun zu treffen und lebhaftes Interesse für die Genitalien ihrer Gespielen zu entwickeln. Da sich die Gelegenheit, solche Neugierde zu befriedigen, meist nur bei der Befriedigung der beiden exkrementellen Bedürfnisse ergibt, werden solche Kinder zu </w:t>
      </w:r>
      <w:r w:rsidRPr="00866B42">
        <w:rPr>
          <w:rFonts w:ascii="Garamond" w:hAnsi="Garamond"/>
          <w:i/>
          <w:iCs/>
          <w:lang w:val="en-GB"/>
        </w:rPr>
        <w:t>voyeurs</w:t>
      </w:r>
      <w:r w:rsidRPr="00866B42">
        <w:rPr>
          <w:rFonts w:ascii="Garamond" w:hAnsi="Garamond"/>
          <w:lang w:val="en-GB"/>
        </w:rPr>
        <w:t>, eifrigen Zuschauern bei der Harn- und Kotentleerung anderer. Nach eingetretener Verdrängung dieser Neigungen bleibt die Neugierde, fremde Genitalien (des eigenen oder des anderen Geschlechtes) zu sehen, als quälender Drang bestehen, der bei manchen neurotischen Fällen dann die stärkste Triebkraft für die Symptombildung abgibt.</w:t>
      </w:r>
    </w:p>
    <w:p w:rsidR="00646842" w:rsidRPr="00866B42" w:rsidRDefault="00646842" w:rsidP="00646842">
      <w:pPr>
        <w:rPr>
          <w:rFonts w:ascii="Garamond" w:hAnsi="Garamond"/>
          <w:lang w:val="en-GB"/>
        </w:rPr>
      </w:pPr>
      <w:r w:rsidRPr="00866B42">
        <w:rPr>
          <w:rFonts w:ascii="Garamond" w:hAnsi="Garamond"/>
          <w:lang w:val="en-GB"/>
        </w:rPr>
        <w:t>In noch größerer Unabhängigkeit von der sonstigen, an erogene Zonen gebundenen Sexualbetätigung entwickelt sich beim Kinde die Grausamkeitskomponente des Sexualtriebes. Grausamkeit liegt dem kindlichen Charakter überhaupt nahe, da das Hemmnis, welches den Bemächtigungstrieb vor dem Schmerz des anderen haltmachen läßt, die Fähigkeit zum Mitleiden, sich verhältnismäßig spät ausbildet. Die gründliche psychologische Analyse dieses Triebes ist bekanntlich noch nicht geglückt; wir dürfen annehmen, daß die grausame Regung vom Bemächtigungstrieb herstammt und zu einer Zeit im Sexualleben auftritt, da die Genitalien noch nicht ihre spätere Rolle aufgenommen haben. Sie beherrscht dann eine Phase des Sexuallebens, die wir später als prägenitale Organisation beschreiben werden. Kinder, die sich durch besondere Grausamkeit gegen Tiere und Gespielen auszeichnen, erwecken gewöhnlich mit Recht den Verdacht auf intensive und vorzeitige Sexualbetätigung von erogenen Zonen her, und bei gleichzeitiger Frühreife aller sexuellen Triebe scheint die erogene Sexualbetätigung doch die primäre zu sein. Der Wegfall der Mitleidsschranke bringt die Gefahr mit sich, daß diese in der Kindheit erfolgte Verknüpfung der grausamen mit den erogenen Trieben sich späterhin im Leben als unlösbar erweise.</w:t>
      </w:r>
    </w:p>
    <w:p w:rsidR="00646842" w:rsidRPr="00866B42" w:rsidRDefault="00646842" w:rsidP="00646842">
      <w:pPr>
        <w:rPr>
          <w:rFonts w:ascii="Garamond" w:hAnsi="Garamond"/>
          <w:lang w:val="en-GB"/>
        </w:rPr>
      </w:pPr>
      <w:r w:rsidRPr="00866B42">
        <w:rPr>
          <w:rFonts w:ascii="Garamond" w:hAnsi="Garamond"/>
          <w:lang w:val="en-GB"/>
        </w:rPr>
        <w:t xml:space="preserve">Als eine erogene Wurzel des passiven Triebes zur Grausamkeit (des Masochismus) ist die schmerzhafte Reizung der Gesäßhaut allen Erziehern seit dem Selbstbekenntnis Jean Jacques Rousseaus bekannt. Sie haben hieraus mit Recht die Forderung abgeleitet, daß die körperliche Züchtigung, die zumeist diese Körperpartie trifft, bei all den Kindern zu unterbleiben habe, bei denen durch die späteren Anforderungen der Kulturerziehung die Libido auf die kollateralen Wege gedrängt werden mag </w:t>
      </w:r>
      <w:hyperlink r:id="rId1419"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Zu den obenstehenden Behauptungen über die infantile Sexualität war ich im Jahre 1905 wesentlich durch die Resultate psychoanalytischer Erforschung von Erwachsenen berechtigt. Die direkte Beobachtung am Kinde konnte damals nicht im vollen Ausmaß benützt werden und hatte nur vereinzelte Winke und wertvolle Bestätigungen ergeben. Seither ist es gelungen, durch die Analyse einzelner Fälle von nervöser Erkrankung im zarten Kindesalter einen direkten Einblick in die infantile Psychosexualität zu gewinnen. Ich kann mit Befriedigung darauf verweisen, daß die direkte Beobachtung die Schlüsse aus der Psychoanalyse voll bekräftigt und somit ein gutes Zeugnis für die Verläßlichkeit dieser letzteren Forschungsmethode abgegeben hat. – Die ›Analyse der Phobie eines fünfjährigen Knaben‹ (1909  </w:t>
        </w:r>
        <w:r w:rsidRPr="00866B42">
          <w:rPr>
            <w:rStyle w:val="innerfusslink3"/>
            <w:rFonts w:ascii="Garamond" w:hAnsi="Garamond" w:cs="Arial"/>
            <w:b/>
            <w:bCs/>
            <w:i/>
            <w:iCs/>
            <w:lang w:val="en-GB"/>
          </w:rPr>
          <w:t>b</w:t>
        </w:r>
        <w:r w:rsidRPr="00866B42">
          <w:rPr>
            <w:rStyle w:val="innerfusslink3"/>
            <w:rFonts w:ascii="Garamond" w:hAnsi="Garamond" w:cs="Arial"/>
            <w:b/>
            <w:bCs/>
            <w:lang w:val="en-GB"/>
          </w:rPr>
          <w:t xml:space="preserve">) hat überdies manches Neue gelehrt, worauf man von der Psychoanalyse her nicht vorbereitet war, z. B. das Hinaufreichen einer sexuellen Symbolik, einer Darstellung des Sexuellen durch nicht sexuelle Objekte und Relationen </w:t>
        </w:r>
        <w:r w:rsidRPr="00866B42">
          <w:rPr>
            <w:rStyle w:val="innerfusslink3"/>
            <w:rFonts w:ascii="Garamond" w:hAnsi="Garamond" w:cs="Arial"/>
            <w:b/>
            <w:bCs/>
            <w:lang w:val="en-GB"/>
          </w:rPr>
          <w:lastRenderedPageBreak/>
          <w:t xml:space="preserve">bis in diese ersten Jahre der Sprachbeherrschung. Ferner wurde ich auf einen Mangel der obenstehenden Darstellung aufmerksam gemacht, welche im Interesse der Übersichtlichkeit die begriffliche Scheidung der beiden Phasen von </w:t>
        </w:r>
        <w:r w:rsidRPr="00866B42">
          <w:rPr>
            <w:rStyle w:val="innerfusslink3"/>
            <w:rFonts w:ascii="Garamond" w:hAnsi="Garamond" w:cs="Arial"/>
            <w:b/>
            <w:bCs/>
            <w:i/>
            <w:iCs/>
            <w:lang w:val="en-GB"/>
          </w:rPr>
          <w:t>Autoerotismus</w:t>
        </w:r>
        <w:r w:rsidRPr="00866B42">
          <w:rPr>
            <w:rStyle w:val="innerfusslink3"/>
            <w:rFonts w:ascii="Garamond" w:hAnsi="Garamond" w:cs="Arial"/>
            <w:b/>
            <w:bCs/>
            <w:lang w:val="en-GB"/>
          </w:rPr>
          <w:t xml:space="preserve"> und </w:t>
        </w:r>
        <w:r w:rsidRPr="00866B42">
          <w:rPr>
            <w:rStyle w:val="innerfusslink3"/>
            <w:rFonts w:ascii="Garamond" w:hAnsi="Garamond" w:cs="Arial"/>
            <w:b/>
            <w:bCs/>
            <w:i/>
            <w:iCs/>
            <w:lang w:val="en-GB"/>
          </w:rPr>
          <w:t>Objektliebe</w:t>
        </w:r>
        <w:r w:rsidRPr="00866B42">
          <w:rPr>
            <w:rStyle w:val="innerfusslink3"/>
            <w:rFonts w:ascii="Garamond" w:hAnsi="Garamond" w:cs="Arial"/>
            <w:b/>
            <w:bCs/>
            <w:lang w:val="en-GB"/>
          </w:rPr>
          <w:t xml:space="preserve"> auch als eine zeitliche Trennung beschreibt. Man erfährt aber aus den zitierten Analysen (sowie aus den Mitteilungen von Bell, s. oben, S. 81–2, Anm. [40]), daß Kinder im Alter von drei bis fünf Jahren einer sehr deutlichen, von starken Affekten begleiteten </w:t>
        </w:r>
        <w:r w:rsidRPr="00866B42">
          <w:rPr>
            <w:rStyle w:val="innerfusslink3"/>
            <w:rFonts w:ascii="Garamond" w:hAnsi="Garamond" w:cs="Arial"/>
            <w:b/>
            <w:bCs/>
            <w:i/>
            <w:iCs/>
            <w:lang w:val="en-GB"/>
          </w:rPr>
          <w:t>Objektwahl</w:t>
        </w:r>
        <w:r w:rsidRPr="00866B42">
          <w:rPr>
            <w:rStyle w:val="innerfusslink3"/>
            <w:rFonts w:ascii="Garamond" w:hAnsi="Garamond" w:cs="Arial"/>
            <w:b/>
            <w:bCs/>
            <w:lang w:val="en-GB"/>
          </w:rPr>
          <w:t xml:space="preserve"> fähig sind.</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[5] Die infantile Sexualforschung</w:t>
      </w:r>
    </w:p>
    <w:p w:rsidR="00646842" w:rsidRPr="00866B42" w:rsidRDefault="00646842" w:rsidP="00646842">
      <w:pPr>
        <w:rPr>
          <w:rFonts w:ascii="Garamond" w:hAnsi="Garamond"/>
          <w:lang w:val="en-GB"/>
        </w:rPr>
      </w:pPr>
      <w:r w:rsidRPr="00866B42">
        <w:rPr>
          <w:rFonts w:ascii="Garamond" w:hAnsi="Garamond"/>
          <w:lang w:val="en-GB"/>
        </w:rPr>
        <w:t>Der Wißtrieb. Um dieselbe Zeit, da das Sexualleben des Kindes seine erste Blüte erreicht, vom dritten bis zum fünften Jahr, stellen sich bei ihm auch die Anfänge jener Tätigkeit ein, die man dem Wiß- oder Forschertrieb zuschreibt. Der Wißtrieb kann weder zu den elementaren Triebkomponenten gerechnet noch ausschließlich der Sexualität untergeordnet werden. Sein Tun entspricht einerseits einer sublimierten Weise der Bemächtigung, anderseits arbeitet er mit der Energie der Schaulust. Seine Beziehungen zum Sexualleben sind aber besonders bedeutsame, denn wir haben aus der Psychoanalyse erfahren, daß der Wißtrieb der Kinder unvermutet früh und in unerwartet intensiver Weise von den sexuellen Problemen angezogen, ja vielleicht erst durch sie geweckt wird.</w:t>
      </w:r>
    </w:p>
    <w:p w:rsidR="00646842" w:rsidRPr="00866B42" w:rsidRDefault="00646842" w:rsidP="00646842">
      <w:pPr>
        <w:rPr>
          <w:rFonts w:ascii="Garamond" w:hAnsi="Garamond"/>
          <w:lang w:val="en-GB"/>
        </w:rPr>
      </w:pPr>
      <w:r w:rsidRPr="00866B42">
        <w:rPr>
          <w:rFonts w:ascii="Garamond" w:hAnsi="Garamond"/>
          <w:lang w:val="en-GB"/>
        </w:rPr>
        <w:t>Das Rätsel der Sphinx. Nicht theoretische, sondern praktische Interessen sind es, die das Werk der Forschertätigkeit beim Kinde in Gang bringen. Die Bedrohung seiner Existenzbedingungen durch die erfahrene oder vermutete Ankunft eines neuen Kindes, die Furcht vor dem mit diesem Ereignis verbundenen Verlust an Fürsorge und Liebe machen das Kind nachdenklich und scharfsinnig. Das erste Problem, mit dem es sich beschäftigt, ist entsprechend dieser Erweckungsgeschichte auch nicht die Frage des Geschlechtsunterschiedes, sondern das Rätsel: Woher kommen die Kinder? In einer Entstellung, die man leicht rückgängig machen kann, ist dies auch das Rätsel, welches die thebaische Sphinx aufzugeben hat. Die Tatsache der beiden Geschlechter nimmt das Kind vielmehr zunächst ohne Sträuben und Bedenken hin. Es ist dem männlichen Kinde selbstverständlich, ein Genitale wie das seinige bei allen Personen, die es kennt, vorauszusetzen, und unmöglich, den Mangel eines solchen mit seiner Vorstellung dieser anderen zu vereinen.</w:t>
      </w:r>
    </w:p>
    <w:p w:rsidR="00646842" w:rsidRPr="00866B42" w:rsidRDefault="00646842" w:rsidP="00646842">
      <w:pPr>
        <w:rPr>
          <w:rFonts w:ascii="Garamond" w:hAnsi="Garamond"/>
          <w:lang w:val="en-GB"/>
        </w:rPr>
      </w:pPr>
      <w:r w:rsidRPr="00866B42">
        <w:rPr>
          <w:rFonts w:ascii="Garamond" w:hAnsi="Garamond"/>
          <w:lang w:val="en-GB"/>
        </w:rPr>
        <w:t xml:space="preserve">Kastrationskomplex und Penisneid. Diese Überzeugung wird vom Knaben energisch festgehalten, gegen die sich bald ergebenden Widersprüche der Beobachtung hartnäckig verteidigt und erst nach schweren inneren Kämpfen (Kastrationskomplex) aufgegeben. Die Ersatzbildungen dieses verlorengegangenen Penis des Weibes spielen in der Gestaltung mannigfacher Perversionen eine große Rolle </w:t>
      </w:r>
      <w:hyperlink r:id="rId1420"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Man hat das Recht, auch von einem Kastrationskomplex bei Frauen zu sprechen. Männliche wie weibliche Kinder bilden die Theorie, daß auch das Weib ursprünglich einen Penis hatte, der durch Kastration verlorengegangen ist. Die endlich gewonnene Überzeugung, daß das Weib keinen Penis besitzt, hinterläßt beim männlichen Individuum oft eine dauernde Geringschätzung des anderen Geschlechts</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Die Annahme des nämlichen (männlichen) Genitales bei allen Menschen ist die erste der merkwürdigen und folgenschweren infantilen Sexualtheorien. Es nützt dem Kinde wenig, wenn die biologische Wissenschaft seinem Vorurteile recht geben und die weibliche Klitoris als einen richtigen Penisersatz anerkennen muß. Das kleine Mädchen verfällt nicht in ähnliche Abweisungen, wenn es das anders gestaltete Genitale des Knaben erblickt. Es ist sofort bereit, es anzuerkennen, und es unterliegt dem Penisneide, der in dem für die Folge wichtigen Wunsch, auch ein Bub zu sein, gipfelt.</w:t>
      </w:r>
    </w:p>
    <w:p w:rsidR="00646842" w:rsidRPr="00866B42" w:rsidRDefault="00646842" w:rsidP="00646842">
      <w:pPr>
        <w:rPr>
          <w:rFonts w:ascii="Garamond" w:hAnsi="Garamond"/>
          <w:lang w:val="en-GB"/>
        </w:rPr>
      </w:pPr>
      <w:r w:rsidRPr="00866B42">
        <w:rPr>
          <w:rFonts w:ascii="Garamond" w:hAnsi="Garamond"/>
          <w:lang w:val="en-GB"/>
        </w:rPr>
        <w:t xml:space="preserve">Geburtstheorien. Viele Menschen wissen deutlich zu erinnern, wie intensiv sie sich in der Vorpubertätszeit für die Frage interessiert haben, woher die Kinder kommen. Die anatomischen Lösungen lauteten damals ganz verschiedenartig; sie kommen aus der Brust oder werden aus dem Leib geschnitten, oder der Nabel öffnet sich, um sie durchzulassen </w:t>
      </w:r>
      <w:hyperlink r:id="rId1421"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Der Reichtum an Sexualtheorien ist in diesen späteren </w:t>
        </w:r>
        <w:r w:rsidRPr="00866B42">
          <w:rPr>
            <w:rStyle w:val="innerfusslink3"/>
            <w:rFonts w:ascii="Garamond" w:hAnsi="Garamond" w:cs="Arial"/>
            <w:b/>
            <w:bCs/>
            <w:lang w:val="en-GB"/>
          </w:rPr>
          <w:lastRenderedPageBreak/>
          <w:t>Kinderjahren ein sehr großer. Im Text sind hievon nur wenige Beispiele angeführt.</w:t>
        </w:r>
      </w:hyperlink>
      <w:r w:rsidRPr="00866B42">
        <w:rPr>
          <w:rFonts w:ascii="Garamond" w:hAnsi="Garamond"/>
          <w:lang w:val="en-GB"/>
        </w:rPr>
        <w:t>. An die entsprechende Forschung der frühen Kinderjahre erinnert man sich nur selten außerhalb der Analyse; sie ist längst der Verdrängung verfallen, aber ihre Ergebnisse waren durchaus einheitliche. Man bekommt die Kinder, indem man etwas Bestimmtes ißt (wie im Märchen), und sie werden durch den Darm wie ein Stuhlabgang geboren. Diese kindlichen Theorien mahnen an Einrichtungen im Tierreiche, speziell an die Kloake der Typen, die niedriger stehen als die Säugetiere.</w:t>
      </w:r>
    </w:p>
    <w:p w:rsidR="00646842" w:rsidRPr="00866B42" w:rsidRDefault="00646842" w:rsidP="00646842">
      <w:pPr>
        <w:rPr>
          <w:rFonts w:ascii="Garamond" w:hAnsi="Garamond"/>
          <w:lang w:val="en-GB"/>
        </w:rPr>
      </w:pPr>
      <w:r w:rsidRPr="00866B42">
        <w:rPr>
          <w:rFonts w:ascii="Garamond" w:hAnsi="Garamond"/>
          <w:lang w:val="en-GB"/>
        </w:rPr>
        <w:t>Sadistische Auffassung des Sexualverkehrs. Werden Kinder in so zartem Alter Zuschauer des sexuellen Verkehres zwischen Erwachsenen, wozu die Überzeugung der Großen, das kleine Kind könne noch nichts Sexuelles verstehen, die Anlässe schafft, so können sie nicht umhin, den Sexualakt als eine Art von Mißhandlung oder Überwältigung, also im sadistischen Sinne aufzufassen. Die Psychoanalyse läßt uns auch erfahren, daß ein solcher frühkindlicher Eindruck viel zur Disposition für eine spätere sadistische Verschiebung des Sexualzieles beiträgt. Des weiteren beschäftigen sich Kinder viel mit dem Problem, worin der Geschlechtsverkehr oder, wie sie es erfassen, das Verheiratetsein bestehen mag, und suchen die Lösung des Geheimnisses meist in einer Gemeinschaft, die durch die Harn- oder Kotfunktion vermittelt wird.</w:t>
      </w:r>
    </w:p>
    <w:p w:rsidR="00646842" w:rsidRPr="00866B42" w:rsidRDefault="00646842" w:rsidP="00646842">
      <w:pPr>
        <w:rPr>
          <w:rFonts w:ascii="Garamond" w:hAnsi="Garamond"/>
          <w:lang w:val="en-GB"/>
        </w:rPr>
      </w:pPr>
      <w:r w:rsidRPr="00866B42">
        <w:rPr>
          <w:rFonts w:ascii="Garamond" w:hAnsi="Garamond"/>
          <w:lang w:val="en-GB"/>
        </w:rPr>
        <w:t>Das typische Mißlingen der kindlichen Sexualforschung. Im allgemeinen kann man von den kindlichen Sexualtheorien aussagen, daß sie Abbilder der eigenen sexuellen Konstitution des Kindes sind und trotz ihrer grotesken Irrtümer von mehr Verständnis für die Sexualvorgänge zeugen, als man ihren Schöpfern zugemutet hätte. Die Kinder nehmen auch die Schwangerschaftsveränderungen der Mutter wahr und wissen sie richtig zu deuten; die Storchfabel wird sehr oft vor Hörern erzählt, die ihr ein tiefes, aber meist stummes Mißtrauen entgegenbringen. Aber da der kindlichen Sexualforschung zwei Elemente unbekannt bleiben, die Rolle des befruchtenden Samens und die Existenz der weiblichen Geschlechtsöffnung – die nämlichen Punkte übrigens, in denen die infantile Organisation noch rückständig ist –, bleibt das Bemühen der infantilen Forscher doch regelmäßig unfruchtbar und endet in einem Verzicht, der nicht selten eine dauernde Schädigung des Wißtriebes zurückläßt. Die Sexualforschung dieser frühen Kinderjahre wird immer einsam betrieben; sie bedeutet einen ersten Schritt zur selbständigen Orientierung in der Welt und setzt eine starke Entfremdung des Kindes von den Personen seiner Umgebung, die vorher sein volles Vertrauen genossen hatten.</w:t>
      </w:r>
    </w:p>
    <w:p w:rsidR="00646842" w:rsidRPr="00866B42" w:rsidRDefault="00646842" w:rsidP="00646842">
      <w:pPr>
        <w:rPr>
          <w:rFonts w:ascii="Garamond" w:hAnsi="Garamond"/>
          <w:lang w:val="en-GB"/>
        </w:rPr>
      </w:pPr>
      <w:r w:rsidRPr="00866B42">
        <w:rPr>
          <w:rFonts w:ascii="Garamond" w:hAnsi="Garamond"/>
          <w:lang w:val="en-GB"/>
        </w:rPr>
        <w:t>[6] Entwicklungsphasen der sexuellen Organisation</w:t>
      </w:r>
    </w:p>
    <w:p w:rsidR="00646842" w:rsidRPr="00866B42" w:rsidRDefault="00646842" w:rsidP="00646842">
      <w:pPr>
        <w:rPr>
          <w:rFonts w:ascii="Garamond" w:hAnsi="Garamond"/>
          <w:lang w:val="en-GB"/>
        </w:rPr>
      </w:pPr>
      <w:r w:rsidRPr="00866B42">
        <w:rPr>
          <w:rFonts w:ascii="Garamond" w:hAnsi="Garamond"/>
          <w:lang w:val="en-GB"/>
        </w:rPr>
        <w:t>Wir haben bisher als Charaktere des infantilen Sexuallebens hervorgehoben, daß es wesentlich autoerotisch ist (sein Objekt am eigenen Leibe findet) und daß seine einzelnen Partialtriebe im ganzen unverknüpft und unabhängig voneinander dem Lusterwerb nachstreben. Den Ausgang der Entwicklung bildet das sogenannte normale Sexualleben des Erwachsenen, in welchem der Lusterwerb in den Dienst der Fortpflanzungsfunktion getreten ist und die Partialtriebe unter dem Primat einer einzigen erogenen Zone eine feste Organisation zur Erreichung des Sexualzieles an einem fremden Sexualobjekt gebildet haben.</w:t>
      </w:r>
    </w:p>
    <w:p w:rsidR="00646842" w:rsidRPr="00866B42" w:rsidRDefault="00646842" w:rsidP="00646842">
      <w:pPr>
        <w:rPr>
          <w:rFonts w:ascii="Garamond" w:hAnsi="Garamond"/>
          <w:lang w:val="en-GB"/>
        </w:rPr>
      </w:pPr>
      <w:r w:rsidRPr="00866B42">
        <w:rPr>
          <w:rFonts w:ascii="Garamond" w:hAnsi="Garamond"/>
          <w:lang w:val="en-GB"/>
        </w:rPr>
        <w:t>Prägenitale Organisationen. Das Studium der Hemmungen und Störungen in diesem Entwicklungsgange mit Hilfe der Psychoanalyse gestattet uns nun Ansätze und Vorstufen einer solchen Organisation der Partialtriebe zu erkennen, die gleichfalls eine Art von sexuellem Regime ergeben. Diese Phasen der Sexualorganisation werden normalerweise glatt durchlaufen, ohne sich durch mehr als Andeutungen zu verraten. Nur in pathologischen Fällen werden sie aktiviert und für grobe Beobachtung kenntlich.</w:t>
      </w:r>
    </w:p>
    <w:p w:rsidR="00646842" w:rsidRPr="00646842" w:rsidRDefault="00646842" w:rsidP="00646842">
      <w:pPr>
        <w:rPr>
          <w:rFonts w:ascii="Garamond" w:hAnsi="Garamond"/>
          <w:lang w:val="en-GB"/>
        </w:rPr>
      </w:pPr>
      <w:r w:rsidRPr="00646842">
        <w:rPr>
          <w:rFonts w:ascii="Garamond" w:hAnsi="Garamond"/>
          <w:lang w:val="en-GB"/>
        </w:rPr>
        <w:t xml:space="preserve">Organisationen des Sexuallebens, in denen die Genitalzonen noch nicht in ihre vorherrschende Rolle eingetreten sind, wollen wir </w:t>
      </w:r>
      <w:r w:rsidRPr="00646842">
        <w:rPr>
          <w:rFonts w:ascii="Garamond" w:hAnsi="Garamond"/>
          <w:i/>
          <w:iCs/>
          <w:lang w:val="en-GB"/>
        </w:rPr>
        <w:t>prägenitale</w:t>
      </w:r>
      <w:r w:rsidRPr="00646842">
        <w:rPr>
          <w:rFonts w:ascii="Garamond" w:hAnsi="Garamond"/>
          <w:lang w:val="en-GB"/>
        </w:rPr>
        <w:t xml:space="preserve"> heißen. Wir haben bisher zwei derselben kennengelernt, die wie Rückfälle auf frühtierische Zustände anmuten.</w:t>
      </w:r>
    </w:p>
    <w:p w:rsidR="00646842" w:rsidRPr="00866B42" w:rsidRDefault="00646842" w:rsidP="00646842">
      <w:pPr>
        <w:rPr>
          <w:rFonts w:ascii="Garamond" w:hAnsi="Garamond"/>
          <w:lang w:val="en-GB"/>
        </w:rPr>
      </w:pPr>
      <w:r w:rsidRPr="00646842">
        <w:rPr>
          <w:rFonts w:ascii="Garamond" w:hAnsi="Garamond"/>
          <w:lang w:val="en-GB"/>
        </w:rPr>
        <w:lastRenderedPageBreak/>
        <w:t xml:space="preserve">Eine erste solche prägenitale Sexualorganisation ist die </w:t>
      </w:r>
      <w:r w:rsidRPr="00646842">
        <w:rPr>
          <w:rFonts w:ascii="Garamond" w:hAnsi="Garamond"/>
          <w:i/>
          <w:iCs/>
          <w:lang w:val="en-GB"/>
        </w:rPr>
        <w:t>orale</w:t>
      </w:r>
      <w:r w:rsidRPr="00646842">
        <w:rPr>
          <w:rFonts w:ascii="Garamond" w:hAnsi="Garamond"/>
          <w:lang w:val="en-GB"/>
        </w:rPr>
        <w:t xml:space="preserve"> oder, wenn wir wollen, </w:t>
      </w:r>
      <w:r w:rsidRPr="00646842">
        <w:rPr>
          <w:rFonts w:ascii="Garamond" w:hAnsi="Garamond"/>
          <w:i/>
          <w:iCs/>
          <w:lang w:val="en-GB"/>
        </w:rPr>
        <w:t>kannibalische</w:t>
      </w:r>
      <w:r w:rsidRPr="00646842">
        <w:rPr>
          <w:rFonts w:ascii="Garamond" w:hAnsi="Garamond"/>
          <w:lang w:val="en-GB"/>
        </w:rPr>
        <w:t xml:space="preserve">. Die Sexualtätigkeit ist hier von der Nahrungsaufnahme noch nicht gesondert, Gegensätze innerhalb derselben nicht differenziert. Das Objekt der einen Tätigkeit ist auch das der anderen, das Sexualziel besteht in der </w:t>
      </w:r>
      <w:r w:rsidRPr="00646842">
        <w:rPr>
          <w:rFonts w:ascii="Garamond" w:hAnsi="Garamond"/>
          <w:i/>
          <w:iCs/>
          <w:lang w:val="en-GB"/>
        </w:rPr>
        <w:t>Einverleibung</w:t>
      </w:r>
      <w:r w:rsidRPr="00646842">
        <w:rPr>
          <w:rFonts w:ascii="Garamond" w:hAnsi="Garamond"/>
          <w:lang w:val="en-GB"/>
        </w:rPr>
        <w:t xml:space="preserve"> des Objektes, dem Vorbild dessen, was späterhin als </w:t>
      </w:r>
      <w:r w:rsidRPr="00646842">
        <w:rPr>
          <w:rFonts w:ascii="Garamond" w:hAnsi="Garamond"/>
          <w:i/>
          <w:iCs/>
          <w:lang w:val="en-GB"/>
        </w:rPr>
        <w:t>Identifizierung</w:t>
      </w:r>
      <w:r w:rsidRPr="00646842">
        <w:rPr>
          <w:rFonts w:ascii="Garamond" w:hAnsi="Garamond"/>
          <w:lang w:val="en-GB"/>
        </w:rPr>
        <w:t xml:space="preserve"> eine so bedeutsame psychische Rolle spielen wird. Als Rest dieser fiktiven, uns durch die Pathologie aufgenötigten Organisationsphase kann das Lutschen angesehen werden, in dem die Sexualtätigkeit, von der Ernährungstätigkeit abgelöst, das fremde Objekt gegen eines am eigenen Körper aufgegeben hat </w:t>
      </w:r>
      <w:hyperlink r:id="rId1422" w:anchor="#" w:history="1">
        <w:r w:rsidRPr="00646842">
          <w:rPr>
            <w:rStyle w:val="fusslink"/>
            <w:rFonts w:ascii="Garamond" w:hAnsi="Garamond" w:cs="Arial"/>
            <w:b/>
            <w:bCs/>
            <w:color w:val="003399"/>
            <w:lang w:val="en-GB"/>
          </w:rPr>
          <w:t>[Fußnote]</w:t>
        </w:r>
        <w:r w:rsidRPr="00646842">
          <w:rPr>
            <w:rStyle w:val="innerfusslink3"/>
            <w:rFonts w:ascii="Garamond" w:hAnsi="Garamond" w:cs="Arial"/>
            <w:b/>
            <w:bCs/>
            <w:lang w:val="en-GB"/>
          </w:rPr>
          <w:t xml:space="preserve">Vgl. über Reste dieser Phase bei erwachsenen Neurotikern die Arbeit von Abraham (1916). </w:t>
        </w:r>
        <w:r w:rsidRPr="00866B42">
          <w:rPr>
            <w:rStyle w:val="innerfusslink3"/>
            <w:rFonts w:ascii="Garamond" w:hAnsi="Garamond" w:cs="Arial"/>
            <w:b/>
            <w:bCs/>
            <w:lang w:val="en-GB"/>
          </w:rPr>
          <w:t>In einer späteren Arbeit (1924) hat Abraham sowohl diese orale als auch die spätere sadistisch-anale Phase in zwei Unterabteilungen zerlegt, für welche das verschiedene Verhalten zum Objekt charakteristisch ist.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Eine zweite prägenitale Phase ist die der </w:t>
      </w:r>
      <w:r w:rsidRPr="00866B42">
        <w:rPr>
          <w:rFonts w:ascii="Garamond" w:hAnsi="Garamond"/>
          <w:i/>
          <w:iCs/>
          <w:lang w:val="en-GB"/>
        </w:rPr>
        <w:t>sadistisch-analen</w:t>
      </w:r>
      <w:r w:rsidRPr="00866B42">
        <w:rPr>
          <w:rFonts w:ascii="Garamond" w:hAnsi="Garamond"/>
          <w:lang w:val="en-GB"/>
        </w:rPr>
        <w:t xml:space="preserve"> Organisation. Hier ist die Gegensätzlichkeit, welche das Sexualleben durchzieht, bereits ausgebildet; sie kann aber noch nicht </w:t>
      </w:r>
      <w:r w:rsidRPr="00866B42">
        <w:rPr>
          <w:rFonts w:ascii="Garamond" w:hAnsi="Garamond"/>
          <w:i/>
          <w:iCs/>
          <w:lang w:val="en-GB"/>
        </w:rPr>
        <w:t>männlich</w:t>
      </w:r>
      <w:r w:rsidRPr="00866B42">
        <w:rPr>
          <w:rFonts w:ascii="Garamond" w:hAnsi="Garamond"/>
          <w:lang w:val="en-GB"/>
        </w:rPr>
        <w:t xml:space="preserve"> und </w:t>
      </w:r>
      <w:r w:rsidRPr="00866B42">
        <w:rPr>
          <w:rFonts w:ascii="Garamond" w:hAnsi="Garamond"/>
          <w:i/>
          <w:iCs/>
          <w:lang w:val="en-GB"/>
        </w:rPr>
        <w:t>weiblich</w:t>
      </w:r>
      <w:r w:rsidRPr="00866B42">
        <w:rPr>
          <w:rFonts w:ascii="Garamond" w:hAnsi="Garamond"/>
          <w:lang w:val="en-GB"/>
        </w:rPr>
        <w:t xml:space="preserve">, sondern muß </w:t>
      </w:r>
      <w:r w:rsidRPr="00866B42">
        <w:rPr>
          <w:rFonts w:ascii="Garamond" w:hAnsi="Garamond"/>
          <w:i/>
          <w:iCs/>
          <w:lang w:val="en-GB"/>
        </w:rPr>
        <w:t>aktiv</w:t>
      </w:r>
      <w:r w:rsidRPr="00866B42">
        <w:rPr>
          <w:rFonts w:ascii="Garamond" w:hAnsi="Garamond"/>
          <w:lang w:val="en-GB"/>
        </w:rPr>
        <w:t xml:space="preserve"> und </w:t>
      </w:r>
      <w:r w:rsidRPr="00866B42">
        <w:rPr>
          <w:rFonts w:ascii="Garamond" w:hAnsi="Garamond"/>
          <w:i/>
          <w:iCs/>
          <w:lang w:val="en-GB"/>
        </w:rPr>
        <w:t>passiv</w:t>
      </w:r>
      <w:r w:rsidRPr="00866B42">
        <w:rPr>
          <w:rFonts w:ascii="Garamond" w:hAnsi="Garamond"/>
          <w:lang w:val="en-GB"/>
        </w:rPr>
        <w:t xml:space="preserve"> benannt werden. Die Aktivität wird durch den Bemächtigungstrieb von Seiten der Körpermuskulatur hergestellt, als Organ mit passivem Sexualziel macht sich vor allem die erogene Darmschleimhaut geltend; für beide Strebungen sind Objekte vorhanden, die aber nicht zusammenfallen. Daneben betätigen sich andere Partialtriebe in autoerotischer Weise. In dieser Phase sind also die sexuelle Polarität und das fremde Objekt bereits nachweisbar. Die Organisation und die Unterordnung unter die Fortpflanzungsfunktion stehen noch aus </w:t>
      </w:r>
      <w:hyperlink r:id="rId1423"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Abraham macht (im letzterwähnten Aufsatze) darauf aufmerksam, daß der After aus dem </w:t>
        </w:r>
        <w:r w:rsidRPr="00866B42">
          <w:rPr>
            <w:rStyle w:val="innerfusslink3"/>
            <w:rFonts w:ascii="Garamond" w:hAnsi="Garamond" w:cs="Arial"/>
            <w:b/>
            <w:bCs/>
            <w:i/>
            <w:iCs/>
            <w:lang w:val="en-GB"/>
          </w:rPr>
          <w:t>Urmund</w:t>
        </w:r>
        <w:r w:rsidRPr="00866B42">
          <w:rPr>
            <w:rStyle w:val="innerfusslink3"/>
            <w:rFonts w:ascii="Garamond" w:hAnsi="Garamond" w:cs="Arial"/>
            <w:b/>
            <w:bCs/>
            <w:lang w:val="en-GB"/>
          </w:rPr>
          <w:t xml:space="preserve"> der embryonalen Anlagen hervorgeht, was wie ein biologisches Vorbild der psychosexuellen Entwicklung erscheint.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Ambivalenz. Diese Form der Sexualorganisation kann sich bereits durchs Leben erhalten und ein großes Stück der Sexualbetätigung dauernd an sich reißen. Die Vorherrschaft des Sadismus und die Kloakenrolle der analen Zone geben ihr ein exquisit archaisches Gepräge. Als weiterer Charakter gehört ihr an, daß die Triebgegensatzpaare in annähernd gleicher Weise ausgebildet sind, welches Verhalten mit dem glücklichen, von Bleuler eingeführten Namen </w:t>
      </w:r>
      <w:r w:rsidRPr="00866B42">
        <w:rPr>
          <w:rFonts w:ascii="Garamond" w:hAnsi="Garamond"/>
          <w:i/>
          <w:iCs/>
          <w:lang w:val="en-GB"/>
        </w:rPr>
        <w:t>Ambivalenz</w:t>
      </w:r>
      <w:r w:rsidRPr="00866B42">
        <w:rPr>
          <w:rFonts w:ascii="Garamond" w:hAnsi="Garamond"/>
          <w:lang w:val="en-GB"/>
        </w:rPr>
        <w:t xml:space="preserve"> bezeichnet wird.</w:t>
      </w:r>
    </w:p>
    <w:p w:rsidR="00646842" w:rsidRPr="00866B42" w:rsidRDefault="00646842" w:rsidP="00646842">
      <w:pPr>
        <w:rPr>
          <w:rFonts w:ascii="Garamond" w:hAnsi="Garamond"/>
          <w:lang w:val="en-GB"/>
        </w:rPr>
      </w:pPr>
      <w:r w:rsidRPr="00866B42">
        <w:rPr>
          <w:rFonts w:ascii="Garamond" w:hAnsi="Garamond"/>
          <w:lang w:val="en-GB"/>
        </w:rPr>
        <w:t>Die Annahme der prägenitalen Organisationen des Sexuallebens ruht auf der Analyse der Neurosen und ist unabhängig von deren Kenntnis kaum zu würdigen. Wir dürfen erwarten, daß die fortgesetzte analytische Bemühung uns noch weit mehr Aufschlüsse über Aufbau und Entwicklung der normalen Sexualfunktion vorbereitet.</w:t>
      </w:r>
    </w:p>
    <w:p w:rsidR="00646842" w:rsidRPr="00866B42" w:rsidRDefault="00646842" w:rsidP="00646842">
      <w:pPr>
        <w:rPr>
          <w:rFonts w:ascii="Garamond" w:hAnsi="Garamond"/>
        </w:rPr>
      </w:pPr>
      <w:r w:rsidRPr="00866B42">
        <w:rPr>
          <w:rFonts w:ascii="Garamond" w:hAnsi="Garamond"/>
          <w:lang w:val="en-GB"/>
        </w:rPr>
        <w:t xml:space="preserve">Um das Bild des infantilen Sexuallebens zu vervollständigen, muß man hinzunehmen, daß häufig oder regelmäßig bereits in den Kinderjahren eine Objektwahl vollzogen wird, wie wir sie als charakteristisch für die Entwicklungsphase der Pubertät hingestellt haben, in der Weise, daß sämtliche Sexualbestrebungen die Richtung auf eine einzige Person nehmen, an der sie ihre Ziele erreichen wollen. Dies ist dann die größte Annäherung an die definitive Gestaltung des Sexuallebens nach der Pubertät, die in den Kinderjahren möglich ist. Der Unterschied von letzterer liegt nur noch darin, daß die Zusammenfassung der Partialtriebe und deren Unterordnung unter das Primat der Genitalien in der Kindheit nicht oder nur sehr unvollkommen durchgesetzt wird. Die Herstellung dieses Primats im Dienste der Fortpflanzung ist also die letzte Phase, welche die Sexualorganisation durchläuft </w:t>
      </w:r>
      <w:hyperlink r:id="rId1424"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Diese Darstellung habe ich später (1923) selbst dahin verändert, daß ich nach den beiden prägenitalen Organisationen in die Kindheitsentwicklung eine dritte Phase einschaltete, welche bereits den Namen einer genitalen verdient, ein Sexualobjekt und ein Maß von Konvergenz der Sexualstrebungen auf dies Objekt zeigt, sich aber in einem wesentlichen Punkt von der definitiven Organisation der Geschlechtsreife unterscheidet. </w:t>
        </w:r>
        <w:r w:rsidRPr="00866B42">
          <w:rPr>
            <w:rStyle w:val="innerfusslink3"/>
            <w:rFonts w:ascii="Garamond" w:hAnsi="Garamond" w:cs="Arial"/>
            <w:b/>
            <w:bCs/>
          </w:rPr>
          <w:t xml:space="preserve">Sie kennt nämlich nur eine Art von Genitale, das männliche. Ich habe sie darum die </w:t>
        </w:r>
        <w:r w:rsidRPr="00866B42">
          <w:rPr>
            <w:rStyle w:val="innerfusslink3"/>
            <w:rFonts w:ascii="Garamond" w:hAnsi="Garamond" w:cs="Arial"/>
            <w:b/>
            <w:bCs/>
            <w:i/>
            <w:iCs/>
          </w:rPr>
          <w:t>phallische</w:t>
        </w:r>
        <w:r w:rsidRPr="00866B42">
          <w:rPr>
            <w:rStyle w:val="innerfusslink3"/>
            <w:rFonts w:ascii="Garamond" w:hAnsi="Garamond" w:cs="Arial"/>
            <w:b/>
            <w:bCs/>
          </w:rPr>
          <w:t xml:space="preserve"> Organisationsstufe genannt (Die infantile Genitalorganisation). Ihr </w:t>
        </w:r>
        <w:r w:rsidRPr="00866B42">
          <w:rPr>
            <w:rStyle w:val="innerfusslink3"/>
            <w:rFonts w:ascii="Garamond" w:hAnsi="Garamond" w:cs="Arial"/>
            <w:b/>
            <w:bCs/>
          </w:rPr>
          <w:lastRenderedPageBreak/>
          <w:t>biologisches Vorbild ist nach Abraham die indifferente, für beide Geschlechter gleichartige Genitalanlage des Embryos.</w:t>
        </w:r>
      </w:hyperlink>
      <w:r w:rsidRPr="00866B42">
        <w:rPr>
          <w:rFonts w:ascii="Garamond" w:hAnsi="Garamond"/>
        </w:rPr>
        <w:t>.</w:t>
      </w:r>
    </w:p>
    <w:p w:rsidR="00646842" w:rsidRPr="00866B42" w:rsidRDefault="00646842" w:rsidP="00646842">
      <w:pPr>
        <w:rPr>
          <w:rFonts w:ascii="Garamond" w:hAnsi="Garamond"/>
          <w:lang w:val="en-GB"/>
        </w:rPr>
      </w:pPr>
      <w:r w:rsidRPr="00866B42">
        <w:rPr>
          <w:rFonts w:ascii="Garamond" w:hAnsi="Garamond"/>
        </w:rPr>
        <w:t xml:space="preserve">Zweizeitige Objektwahl. </w:t>
      </w:r>
      <w:r w:rsidRPr="00866B42">
        <w:rPr>
          <w:rFonts w:ascii="Garamond" w:hAnsi="Garamond"/>
          <w:lang w:val="en-GB"/>
        </w:rPr>
        <w:t>Man kann es als ein typisches Vorkommnis ansprechen, daß die Objektwahl zweizeitig, in zwei Schüben erfolgt. Der erste Schub nimmt in den Jahren zwischen zwei und fünf seinen Anfang und wird durch die Latenzzeit zum Stillstand oder zur Rückbildung gebracht; er ist durch die infantile Natur seiner Sexualziele ausgezeichnet. Der zweite setzt mit der Pubertät ein und bestimmt die definitive Gestaltung des Sexuallebens.</w:t>
      </w:r>
    </w:p>
    <w:p w:rsidR="00646842" w:rsidRPr="00866B42" w:rsidRDefault="00646842" w:rsidP="00646842">
      <w:pPr>
        <w:rPr>
          <w:rFonts w:ascii="Garamond" w:hAnsi="Garamond"/>
          <w:lang w:val="en-GB"/>
        </w:rPr>
      </w:pPr>
      <w:r w:rsidRPr="00866B42">
        <w:rPr>
          <w:rFonts w:ascii="Garamond" w:hAnsi="Garamond"/>
          <w:lang w:val="en-GB"/>
        </w:rPr>
        <w:t xml:space="preserve">Die Tatsache der zweizeitigen Objektwahl, die sich im wesentlichen auf die Wirkung der Latenzzeit reduziert, wird aber höchst bedeutungsvoll für die Störung dieses Endzustandes. Die Ergebnisse der infantilen Objektwahl ragen in die spätere Zeit hinein; sie sind entweder als solche erhalten geblieben, oder sie erfahren zur Zeit der Pubertät selbst eine Auffrischung. Infolge der Verdrängungsentwicklung, welche zwischen beiden Phasen liegt, erweisen sie sich aber als unverwendbar. Ihre Sexualziele haben eine Milderung erfahren, und sie stellen nun das dar, was wir als die </w:t>
      </w:r>
      <w:r w:rsidRPr="00866B42">
        <w:rPr>
          <w:rFonts w:ascii="Garamond" w:hAnsi="Garamond"/>
          <w:i/>
          <w:iCs/>
          <w:lang w:val="en-GB"/>
        </w:rPr>
        <w:t>zärtliche</w:t>
      </w:r>
      <w:r w:rsidRPr="00866B42">
        <w:rPr>
          <w:rFonts w:ascii="Garamond" w:hAnsi="Garamond"/>
          <w:lang w:val="en-GB"/>
        </w:rPr>
        <w:t xml:space="preserve"> Strömung des Sexuallebens bezeichnen können. Erst die psychoanalytische Untersuchung kann nachweisen, daß sich hinter dieser Zärtlichkeit, Verehrung und Hochachtung die alten, jetzt unbrauchbar gewordenen Sexualstrebungen der infantilen Partialtriebe verbergen. Die Objektwahl der Pubertätszeit muß auf die infantilen Objekte verzichten und als </w:t>
      </w:r>
      <w:r w:rsidRPr="00866B42">
        <w:rPr>
          <w:rFonts w:ascii="Garamond" w:hAnsi="Garamond"/>
          <w:i/>
          <w:iCs/>
          <w:lang w:val="en-GB"/>
        </w:rPr>
        <w:t>sinnliche</w:t>
      </w:r>
      <w:r w:rsidRPr="00866B42">
        <w:rPr>
          <w:rFonts w:ascii="Garamond" w:hAnsi="Garamond"/>
          <w:lang w:val="en-GB"/>
        </w:rPr>
        <w:t xml:space="preserve"> Strömung von neuem beginnen. Das Nichtzusammentreffen der beiden Strömungen hat oft genug die Folge, daß eines der Ideale des Sexuallebens, die Vereinigung aller Begehrungen in einem Objekt, nicht erreicht werden kann.</w:t>
      </w:r>
    </w:p>
    <w:p w:rsidR="00646842" w:rsidRPr="00866B42" w:rsidRDefault="00646842" w:rsidP="00646842">
      <w:pPr>
        <w:rPr>
          <w:rFonts w:ascii="Garamond" w:hAnsi="Garamond"/>
          <w:lang w:val="en-GB"/>
        </w:rPr>
      </w:pPr>
      <w:r w:rsidRPr="00866B42">
        <w:rPr>
          <w:rFonts w:ascii="Garamond" w:hAnsi="Garamond"/>
          <w:lang w:val="en-GB"/>
        </w:rPr>
        <w:t>[7] Quelle der infantilen Sexualität</w:t>
      </w:r>
    </w:p>
    <w:p w:rsidR="00646842" w:rsidRPr="00866B42" w:rsidRDefault="00646842" w:rsidP="00646842">
      <w:pPr>
        <w:rPr>
          <w:rFonts w:ascii="Garamond" w:hAnsi="Garamond"/>
          <w:lang w:val="en-GB"/>
        </w:rPr>
      </w:pPr>
      <w:r w:rsidRPr="00866B42">
        <w:rPr>
          <w:rFonts w:ascii="Garamond" w:hAnsi="Garamond"/>
          <w:lang w:val="en-GB"/>
        </w:rPr>
        <w:t xml:space="preserve">In dem Bemühen, die Ursprünge des Sexualtriebes zu verfolgen, haben wir bisher gefunden, daß die sexuelle Erregung entsteht </w:t>
      </w:r>
      <w:r w:rsidRPr="00866B42">
        <w:rPr>
          <w:rFonts w:ascii="Garamond" w:hAnsi="Garamond"/>
          <w:i/>
          <w:iCs/>
          <w:lang w:val="en-GB"/>
        </w:rPr>
        <w:t>a)</w:t>
      </w:r>
      <w:r w:rsidRPr="00866B42">
        <w:rPr>
          <w:rFonts w:ascii="Garamond" w:hAnsi="Garamond"/>
          <w:lang w:val="en-GB"/>
        </w:rPr>
        <w:t xml:space="preserve">als Nachbildung einer im Anschluß an andere organische Vorgänge erlebten Befriedigung, </w:t>
      </w:r>
      <w:r w:rsidRPr="00866B42">
        <w:rPr>
          <w:rFonts w:ascii="Garamond" w:hAnsi="Garamond"/>
          <w:i/>
          <w:iCs/>
          <w:lang w:val="en-GB"/>
        </w:rPr>
        <w:t>b)</w:t>
      </w:r>
      <w:r w:rsidRPr="00866B42">
        <w:rPr>
          <w:rFonts w:ascii="Garamond" w:hAnsi="Garamond"/>
          <w:lang w:val="en-GB"/>
        </w:rPr>
        <w:t xml:space="preserve">durch geeignete peripherische Reizung erogener Zonen, </w:t>
      </w:r>
      <w:r w:rsidRPr="00866B42">
        <w:rPr>
          <w:rFonts w:ascii="Garamond" w:hAnsi="Garamond"/>
          <w:i/>
          <w:iCs/>
          <w:lang w:val="en-GB"/>
        </w:rPr>
        <w:t>c)</w:t>
      </w:r>
      <w:r w:rsidRPr="00866B42">
        <w:rPr>
          <w:rFonts w:ascii="Garamond" w:hAnsi="Garamond"/>
          <w:lang w:val="en-GB"/>
        </w:rPr>
        <w:t>als Ausdruck einiger uns in ihrer Herkunft noch nicht voll verständlicher »Triebe« wie der Schautrieb und der Trieb zur Grausamkeit. Die aus späterer Zeit auf die Kindheit zurückgreifende psychoanalytische Forschung und die gleichzeitige Beobachtung des Kindes wirken nun zusammen, um uns noch andere regelmäßig fließende Quellen für die sexuelle Erregung aufzuzeigen. Die Kindheitsbeobachtung hat den Nachteil, daß sie leicht mißzuverstehende Objekte bearbeitet, die Psychoanalyse wird dadurch erschwert, daß sie zu ihren Objekten wie zu ihren Schlüssen nur auf großen Umwegen gelangen kann; in ihrem Zusammenwirken erzielen aber beide Methoden einen genügenden Grad von Sicherheit der Erkenntnis.</w:t>
      </w:r>
    </w:p>
    <w:p w:rsidR="00646842" w:rsidRPr="00866B42" w:rsidRDefault="00646842" w:rsidP="00646842">
      <w:pPr>
        <w:rPr>
          <w:rFonts w:ascii="Garamond" w:hAnsi="Garamond"/>
          <w:lang w:val="en-GB"/>
        </w:rPr>
      </w:pPr>
      <w:r w:rsidRPr="00866B42">
        <w:rPr>
          <w:rFonts w:ascii="Garamond" w:hAnsi="Garamond"/>
          <w:lang w:val="en-GB"/>
        </w:rPr>
        <w:t>Bei der Untersuchung der erogenen Zonen haben wir bereits gefunden, daß diese Hautstellen bloß eine besondere Steigerung einer Art von Reizbarkeit zeigen, welche in gewissem Grade der ganzen Hautoberfläche zukommt. Wir werden also nicht erstaunt sein zu erfahren, daß gewissen Arten allgemeiner Hautreizung sehr deutliche erogene Wirkungen zuzuschreiben sind. Unter diesen heben wir vor allem die Temperaturreize hervor; vielleicht wird so auch unser Verständnis für die therapeutische Wirkung warmer Bäder vorbereitet.</w:t>
      </w:r>
    </w:p>
    <w:p w:rsidR="00646842" w:rsidRPr="00866B42" w:rsidRDefault="00646842" w:rsidP="00646842">
      <w:pPr>
        <w:rPr>
          <w:rFonts w:ascii="Garamond" w:hAnsi="Garamond"/>
          <w:lang w:val="en-GB"/>
        </w:rPr>
      </w:pPr>
      <w:r w:rsidRPr="00866B42">
        <w:rPr>
          <w:rFonts w:ascii="Garamond" w:hAnsi="Garamond"/>
          <w:lang w:val="en-GB"/>
        </w:rPr>
        <w:t xml:space="preserve">Mechanische Erregungen. Ferner müssen wir hier die Erzeugung sexueller Erregung durch rhythmische mechanische Erschütterungen des Körpers anreihen, an denen wir dreierlei Reizeinwirkungen zu sondern haben, die auf den Sinnesapparat der Vestibularnerven, die auf die Haut und auf die tiefen Teile (Muskeln, Gelenkapparate). Wegen der dabei entstehenden Lustempfindungen es ist der Hervorhebung wert, daß wir hier eine ganze Strecke weit »sexuelle Erregung« und »Befriedigung« unterschiedslos gebrauchen dürfen, und legt uns die Pflicht auf, später nach einer Erklärung zu suchen; es ist also ein Beweis für die durch gewisse mechanische Körpererschütterungen erzeugte Lust, daß Kinder passive Bewegungsspiele, wie Schaukeln und Fliegenlassen, so sehr lieben und unaufhörlich nach Wiederholung davon verlangen </w:t>
      </w:r>
      <w:hyperlink r:id="rId1425"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Manche Personen wissen sich zu erinnern, daß sie beim Schaukeln den Anprall der </w:t>
        </w:r>
        <w:r w:rsidRPr="00866B42">
          <w:rPr>
            <w:rStyle w:val="innerfusslink3"/>
            <w:rFonts w:ascii="Garamond" w:hAnsi="Garamond" w:cs="Arial"/>
            <w:b/>
            <w:bCs/>
            <w:lang w:val="en-GB"/>
          </w:rPr>
          <w:lastRenderedPageBreak/>
          <w:t>bewegten Luft an den Genitalien direkt als sexuelle Lust verspürt haben</w:t>
        </w:r>
      </w:hyperlink>
      <w:r w:rsidRPr="00866B42">
        <w:rPr>
          <w:rFonts w:ascii="Garamond" w:hAnsi="Garamond"/>
          <w:lang w:val="en-GB"/>
        </w:rPr>
        <w:t xml:space="preserve">. Das Wiegen wird bekanntlich zur Einschläferung unruhiger Kinder regelmäßig angewendet. Die Erschütterungen der Wagenfahrt und später der Eisenbahnfahrt üben eine so faszinierende Wirkung auf ältere Kinder aus, daß wenigstens alle Knaben irgend einmal im Leben Kondukteure und Kutscher werden wollen. Den Vorgängen auf der Eisenbahn pflegen sie ein rätselhaftes Interesse von außerordentlicher Höhe zuzuwenden und dieselben im Alter der Phantasietätigkeit (kurz vor der Pubertät) zum Kern einer exquisit sexuellen Symbolik zu machen. Der Zwang zu solcher Verknüpfung des Eisenbahnfahrens mit der Sexualität geht offenbar von dem Lustcharakter der Bewegungsempfindungen aus. Kommt dann die Verdrängung hinzu, die so vieles von den kindlichen Bevorzugungen ins Gegenteil umschlagen läßt, so werden dieselben Personen als Heranwachsende oder Erwachsene auf Wiegen und Schaukeln mit Übelkeit reagieren, durch eine Eisenbahnfahrt furchtbar erschöpft werden oder zu Angstanfällen auf der Fahrt neigen und sich durch </w:t>
      </w:r>
      <w:r w:rsidRPr="00866B42">
        <w:rPr>
          <w:rFonts w:ascii="Garamond" w:hAnsi="Garamond"/>
          <w:i/>
          <w:iCs/>
          <w:lang w:val="en-GB"/>
        </w:rPr>
        <w:t>Eisenbahnangst</w:t>
      </w:r>
      <w:r w:rsidRPr="00866B42">
        <w:rPr>
          <w:rFonts w:ascii="Garamond" w:hAnsi="Garamond"/>
          <w:lang w:val="en-GB"/>
        </w:rPr>
        <w:t xml:space="preserve"> vor der Wiederholung der peinlichen Erfahrung schützen.</w:t>
      </w:r>
    </w:p>
    <w:p w:rsidR="00646842" w:rsidRPr="00866B42" w:rsidRDefault="00646842" w:rsidP="00646842">
      <w:pPr>
        <w:rPr>
          <w:rFonts w:ascii="Garamond" w:hAnsi="Garamond"/>
          <w:lang w:val="en-GB"/>
        </w:rPr>
      </w:pPr>
      <w:r w:rsidRPr="00866B42">
        <w:rPr>
          <w:rFonts w:ascii="Garamond" w:hAnsi="Garamond"/>
          <w:lang w:val="en-GB"/>
        </w:rPr>
        <w:t>Hier reiht sich dann – noch unverstanden – die Tatsache an, daß durch Zusammentreffen von Schreck und mechanischer Erschütterung die schwere hysteriforme traumatische Neurose erzeugt wird. Man darf wenigstens annehmen, daß diese Einflüsse, die in geringen Intensitäten zu Quellen sexueller Erregung werden, in übergroßem Maße einwirkend eine tiefe Zerrüttung des sexuellen Mechanismus oder Chemismus hervorrufen.</w:t>
      </w:r>
    </w:p>
    <w:p w:rsidR="00646842" w:rsidRPr="00866B42" w:rsidRDefault="00646842" w:rsidP="00646842">
      <w:pPr>
        <w:rPr>
          <w:rFonts w:ascii="Garamond" w:hAnsi="Garamond"/>
          <w:lang w:val="en-GB"/>
        </w:rPr>
      </w:pPr>
      <w:r w:rsidRPr="00866B42">
        <w:rPr>
          <w:rFonts w:ascii="Garamond" w:hAnsi="Garamond"/>
          <w:lang w:val="en-GB"/>
        </w:rPr>
        <w:t xml:space="preserve">Muskeltätigkeit. Daß ausgiebige aktive Muskelbetätigung für das Kind ein Bedürfnis ist, aus dessen Befriedigung es außerordentliche Lust schöpft, ist bekannt. Ob diese Lust etwas mit der Sexualität zu tun hat, ob sie selbst sexuelle Befriedigung einschließt oder Anlaß zu sexueller Erregung werden kann, das mag kritischen Erwägungen unterliegen, die sich ja auch wohl gegen die im vorigen enthaltene Aufstellung richten werden, daß die Lust durch die Empfindungen passiver Bewegung sexueller Art ist oder sexuell erregend wirkt. Tatsache ist aber, daß eine Reihe von Personen berichten, sie hätten die ersten Zeichen der Erregtheit an ihren Genitalien während des Raufens oder Ringens mit ihren Gespielen erlebt, in welcher Situation außer der allgemeinen Muskelanstrengung noch die ausgiebige Hautberührung mit dem Gegner wirksam wird. Die Neigung zum Muskelstreit mit einer bestimmten Person, wie in späteren Jahren zum Wortstreit (»Was sich liebt, das neckt sich«), gehört zu den guten Vorzeichen der auf diese Person gerichteten Objektwahl. In der Beförderung der sexuellen Erregung durch Muskeltätigkeit wäre eine der Wurzeln des sadistischen Triebes zu erkennen. Für viele Individuen wird die infantile Verknüpfung zwischen Raufen und sexueller Erregung mitbestimmend für die später bevorzugte Richtung ihres Geschlechtstriebes </w:t>
      </w:r>
      <w:hyperlink r:id="rId1426"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Die Analyse der Fälle von neurotischer Gehstörung und Raumangst hebt den Zweifel an der sexuellen Natur der Bewegungslust auf. Die moderne Kulturerziehung bedient sich bekanntlich des Sports im großen Umfang, um die Jugend von der Sexualbetätigung abzulenken; richtiger wäre es zu sagen, sie ersetzt ihr den Sexualgenuß durch die Bewegungslust und drängt die Sexualbetätigung auf eine ihrer autoerotischen Komponenten zurück.</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Affektvorgänge. Minderem Zweifel unterliegen die weiteren Quellen sexueller Erregung beim Kinde. Es ist leicht, durch gleichzeitige Beobachtung wie durch spätere Erforschung festzustellen, daß alle intensiveren Affektvorgänge, selbst die schreckhaften Erregungen auf die Sexualität übergreifen, was übrigens einen Beitrag zum Verständnis der pathogenen Wirkung solcher Gemütsbewegungen liefern kann. Beim Schulkinde kann die Angst, geprüft zu werden, die Spannung einer sich schwer lösenden Aufgabe für den Durchbruch sexueller Äußerungen wie für das Verhältnis zur Schule bedeutsam werden, indem unter solchen Umständen häufig genug ein Reizgefühl auftritt, welches zur Berührung der Genitalien auffordert, oder ein pollutionsartiger Vorgang mit all seinen verwirrenden Folgen. Das Benehmen der Kinder in der Schule, welches den Lehrern Rätsel genug aufgibt, verdient überhaupt in Beziehung zur keimenden Sexualität derselben gesetzt zu werden. Die sexuell erregende Wirkung mancher an sich unlustigen Affekte, des Ängstigens, Schauderns, Grausens, erhält sich bei einer großen Anzahl Menschen auch durchs reife Leben und ist wohl die Erklärung dafür, daß soviel Personen der Gelegenheit </w:t>
      </w:r>
      <w:r w:rsidRPr="00866B42">
        <w:rPr>
          <w:rFonts w:ascii="Garamond" w:hAnsi="Garamond"/>
          <w:lang w:val="en-GB"/>
        </w:rPr>
        <w:lastRenderedPageBreak/>
        <w:t>zu solchen Sensationen nachjagen, wenn nur gewisse Nebenumstände (die Angehörigkeit zu einer Scheinwelt, Lektüre, Theater) den Ernst der Unlustempfindung dämpfen.</w:t>
      </w:r>
    </w:p>
    <w:p w:rsidR="00646842" w:rsidRPr="00866B42" w:rsidRDefault="00646842" w:rsidP="00646842">
      <w:pPr>
        <w:rPr>
          <w:rFonts w:ascii="Garamond" w:hAnsi="Garamond"/>
        </w:rPr>
      </w:pPr>
      <w:r w:rsidRPr="00866B42">
        <w:rPr>
          <w:rFonts w:ascii="Garamond" w:hAnsi="Garamond"/>
          <w:lang w:val="en-GB"/>
        </w:rPr>
        <w:t xml:space="preserve">Ließe sich annehmen, daß auch intensiven schmerzhaften Empfindungen die gleiche erogene Wirkung zukommt, zumal wenn der Schmerz durch eine Nebenbedingung abgetönt oder ferner gehalten wird, so läge in diesem Verhältnis eine der Hauptwurzeln für den masochistisch-sadistischen Trieb, in dessen vielfältige Zusammengesetztheit wir so allmählich Einblick gewinnen </w:t>
      </w:r>
      <w:hyperlink r:id="rId1427"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(Der sogenannte »erogene« Masochismus.)</w:t>
        </w:r>
      </w:hyperlink>
      <w:r w:rsidRPr="00866B42">
        <w:rPr>
          <w:rFonts w:ascii="Garamond" w:hAnsi="Garamond"/>
        </w:rPr>
        <w:t>.</w:t>
      </w:r>
    </w:p>
    <w:p w:rsidR="00646842" w:rsidRPr="00866B42" w:rsidRDefault="00646842" w:rsidP="00646842">
      <w:pPr>
        <w:rPr>
          <w:rFonts w:ascii="Garamond" w:hAnsi="Garamond"/>
        </w:rPr>
      </w:pPr>
      <w:r w:rsidRPr="00866B42">
        <w:rPr>
          <w:rFonts w:ascii="Garamond" w:hAnsi="Garamond"/>
        </w:rPr>
        <w:t>Intellektuelle Arbeit. Endlich ist es unverkennbar, daß die Konzentration der Aufmerksamkeit auf eine intellektuelle Leistung und geistige Anspannung überhaupt bei vielen jugendlichen wie reiferen Personen eine sexuelle Miterregung zur Folge hat, die wohl als die einzig berechtigte Grundlage für die sonst so zweifelhafte Ableitung nervöser Störungen von geistiger »Überarbeitung« zu gelten hat.</w:t>
      </w:r>
    </w:p>
    <w:p w:rsidR="00646842" w:rsidRPr="00866B42" w:rsidRDefault="00646842" w:rsidP="00646842">
      <w:pPr>
        <w:rPr>
          <w:rFonts w:ascii="Garamond" w:hAnsi="Garamond"/>
          <w:lang w:val="en-GB"/>
        </w:rPr>
      </w:pPr>
      <w:r w:rsidRPr="00866B42">
        <w:rPr>
          <w:rFonts w:ascii="Garamond" w:hAnsi="Garamond"/>
        </w:rPr>
        <w:t xml:space="preserve">Überblicken wir nun nach diesen weder vollständig noch vollzählig mitgeteilten Proben und Andeutungen die Quellen der kindlichen Sexualerregung, so lassen sich folgende Allgemeinheiten ahnen oder erkennen: Es scheint auf die ausgiebigste Weise dafür gesorgt, daß der Prozeß der Sexualerregung dessen Wesen uns nun freilich recht rätselhaft geworden ist in Gang gebracht werde. </w:t>
      </w:r>
      <w:r w:rsidRPr="00866B42">
        <w:rPr>
          <w:rFonts w:ascii="Garamond" w:hAnsi="Garamond"/>
          <w:lang w:val="en-GB"/>
        </w:rPr>
        <w:t>Es sorgen dafür vor allem in mehr oder minder direkter Weise die Erregungen der sensiblen Oberflächen Haut und Sinnesorgane, am unmittelbarsten die Reizeinwirkungen auf gewisse als erogene Zonen zu bezeichnende Stellen. Bei diesen Quellen der Sexualerregung ist wohl die Qualität der Reize das Maßgebende, wenngleich das Moment der Intensität (beim Schmerz) nicht völlig gleichgültig ist. Aber überdies sind Veranstaltungen im Organismus vorhanden, welche zur Folge haben, daß die Sexualerregung als Nebenwirkung bei einer großen Reihe innerer Vorgänge entsteht, sobald die Intensität dieser Vorgänge nur gewisse quantitative Grenzen überstiegen hat. Was wir die Partialtriebe der Sexualität genannt haben, leitet sich entweder direkt aus diesen inneren Quellen der Sexualerregung ab oder setzt sich aus Beiträgen von solchen Quellen und von erogenen Zonen zusammen. Es ist möglich, daß nichts Bedeutsameres im Organismus vorfällt, was nicht seine Komponente zur Erregung des Sexualtriebes abzugeben hätte.</w:t>
      </w:r>
    </w:p>
    <w:p w:rsidR="00646842" w:rsidRPr="00866B42" w:rsidRDefault="00646842" w:rsidP="00646842">
      <w:pPr>
        <w:rPr>
          <w:rFonts w:ascii="Garamond" w:hAnsi="Garamond"/>
          <w:lang w:val="en-GB"/>
        </w:rPr>
      </w:pPr>
      <w:r w:rsidRPr="00866B42">
        <w:rPr>
          <w:rFonts w:ascii="Garamond" w:hAnsi="Garamond"/>
          <w:lang w:val="en-GB"/>
        </w:rPr>
        <w:t>Es scheint mir derzeit nicht möglich, diese allgemeinen Sätze zu größerer Klarheit und Sicherheit zu bringen, und ich mache dafür zwei Momente verantwortlich, erstens die Neuheit der ganzen Betrachtungsweise und zweitens den Umstand, daß uns das Wesen der Sexualerregung völlig unbekannt ist. Doch möchte ich auf zwei Bemerkungen nicht verzichten, welche Ausblicke ins Weite zu eröffnen versprechen:</w:t>
      </w:r>
    </w:p>
    <w:p w:rsidR="00646842" w:rsidRPr="00866B42" w:rsidRDefault="00646842" w:rsidP="00646842">
      <w:pPr>
        <w:rPr>
          <w:rFonts w:ascii="Garamond" w:hAnsi="Garamond"/>
          <w:lang w:val="en-GB"/>
        </w:rPr>
      </w:pPr>
      <w:r w:rsidRPr="00866B42">
        <w:rPr>
          <w:rFonts w:ascii="Garamond" w:hAnsi="Garamond"/>
          <w:lang w:val="en-GB"/>
        </w:rPr>
        <w:t>Verschiedene Sexualkonstitutionen.</w:t>
      </w:r>
      <w:r w:rsidRPr="00866B42">
        <w:rPr>
          <w:rFonts w:ascii="Garamond" w:hAnsi="Garamond"/>
          <w:i/>
          <w:iCs/>
          <w:lang w:val="en-GB"/>
        </w:rPr>
        <w:t>a)</w:t>
      </w:r>
      <w:r w:rsidRPr="00866B42">
        <w:rPr>
          <w:rFonts w:ascii="Garamond" w:hAnsi="Garamond"/>
          <w:lang w:val="en-GB"/>
        </w:rPr>
        <w:t xml:space="preserve"> So wie wir vorhin einmal die Möglichkeit sahen, eine Mannigfaltigkeit der angeborenen sexuellen Konstitutionen durch die verschiedenartige Ausbildung der erogenen Zonen zu begründen, so können wir nun das gleiche mit Einbeziehung der indirekten Quellen der Sexualerregung versuchen. Wir dürfen annehmen, daß diese Quellen zwar bei allen Individuen Zuflüsse liefern, aber nicht alle bei allen Personen gleich starke, und daß in der bevorzugten Ausbildung der einzelnen Quellen zur Sexualerregung ein weiterer Beitrag zur Differenzierung der verschiedenen Sexualkonstitutionen gelegen sein wird </w:t>
      </w:r>
      <w:hyperlink r:id="rId1428"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Als unabweisbare Folgerung aus den obigen Ausführungen ergibt sich, daß jedem Individuum eine Oral-, Anal-, Harnerotik usw. zugesprochen werden muß und daß die Konstatierung der diesen entsprechenden seelischen Komplexe kein Urteil auf Abnormität oder Neurose bedeutet. Die Unterschiede, die das Normale vom Abnormen trennen, können nur in der relativen Stärke der einzelnen Komponenten des Sexualtriebes und in der Verwendung liegen, die sie im Laufe der Entwicklung erfahren.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Wege wechselseitiger Beeinflussung.</w:t>
      </w:r>
      <w:r w:rsidRPr="00866B42">
        <w:rPr>
          <w:rFonts w:ascii="Garamond" w:hAnsi="Garamond"/>
          <w:i/>
          <w:iCs/>
          <w:lang w:val="en-GB"/>
        </w:rPr>
        <w:t>b)</w:t>
      </w:r>
      <w:r w:rsidRPr="00866B42">
        <w:rPr>
          <w:rFonts w:ascii="Garamond" w:hAnsi="Garamond"/>
          <w:lang w:val="en-GB"/>
        </w:rPr>
        <w:t xml:space="preserve"> Indem wir die so fange festgehaltene figürliche Ausdrucksweise fallenlassen, in der wir von »Quellen« der Sexualerregung sprachen, können wir auf die Vermutung gelangen, daß alle die Verbindungswege, die von anderen Funktionen her zur Sexualität führen, auch in </w:t>
      </w:r>
      <w:r w:rsidRPr="00866B42">
        <w:rPr>
          <w:rFonts w:ascii="Garamond" w:hAnsi="Garamond"/>
          <w:lang w:val="en-GB"/>
        </w:rPr>
        <w:lastRenderedPageBreak/>
        <w:t>umgekehrter Richtung gangbar sein müssen. Ist wie zum Beispiel der beiden Funktionen gemeinsame Besitz der Lippenzone der Grund dafür, daß bei der Nahrungsaufnahme Sexualbefriedigung entsteht, so vermittelt uns dasselbe Moment auch das Verständnis der Störungen in der Nahrungsaufnahme, wenn die erogenen Funktionen der gemeinsamen Zone gestört sind. Wissen wir einmal, daß Konzentration der Aufmerksamkeit Sexualerregung hervorzurufen vermag, so wird uns die Annahme nahegelegt, daß durch Einwirkung auf demselben Wege, nur in umgekehrter Richtung, der Zustand der Sexualerregung die Verfügbarkeit über die lenkbare Aufmerksamkeit beeinflußt. Ein gutes Stück der Symptomatologie der Neurosen, die ich von Störungen der Sexualvorgänge ableite, äußert sich in Störungen der anderen nicht sexuellen Körperfunktionen, und diese bisher unverständliche Einwirkung wird minder rätselhaft, wenn sie nur das Gegenstück zu den Beeinflussungen darstellt, unter denen die Produktion der Sexualerregung steht.</w:t>
      </w:r>
    </w:p>
    <w:p w:rsidR="00646842" w:rsidRPr="00866B42" w:rsidRDefault="00646842" w:rsidP="00646842">
      <w:pPr>
        <w:rPr>
          <w:rFonts w:ascii="Garamond" w:hAnsi="Garamond"/>
          <w:lang w:val="en-GB"/>
        </w:rPr>
      </w:pPr>
      <w:r w:rsidRPr="00866B42">
        <w:rPr>
          <w:rFonts w:ascii="Garamond" w:hAnsi="Garamond"/>
          <w:lang w:val="en-GB"/>
        </w:rPr>
        <w:t>Die nämlichen Wege aber, auf denen Sexualstörungen auf die übrigen Körperfunktionen übergreifen, müßten auch in der Gesundheit einer anderen wichtigen Leistung dienen. Auf ihnen müßte sich die Heranziehung der sexuellen Triebkräfte zu anderen als sexuellen Zielen, also die Sublimierung der Sexualität vollziehen. Wir müssen mit dem Eingeständnis schließen, daß über diese gewiß vorhandenen, wahrscheinlich nach beiden Richtungen gangbaren Wege noch sehr wenig Sicheres bekannt ist.</w:t>
      </w:r>
    </w:p>
    <w:p w:rsidR="00646842" w:rsidRPr="00866B42" w:rsidRDefault="00646842" w:rsidP="00646842">
      <w:pPr>
        <w:rPr>
          <w:rFonts w:ascii="Garamond" w:hAnsi="Garamond"/>
          <w:color w:val="F38030"/>
          <w:lang w:val="en-GB"/>
        </w:rPr>
      </w:pPr>
      <w:r w:rsidRPr="00866B42">
        <w:rPr>
          <w:rFonts w:ascii="Garamond" w:hAnsi="Garamond"/>
          <w:color w:val="F38030"/>
          <w:lang w:val="en-GB"/>
        </w:rPr>
        <w:br w:type="page"/>
      </w:r>
      <w:hyperlink w:anchor="Drei_Abhandlungen_Inhalt" w:history="1">
        <w:r w:rsidRPr="00866B42">
          <w:rPr>
            <w:rStyle w:val="Lienhypertexte"/>
            <w:rFonts w:ascii="Garamond" w:hAnsi="Garamond"/>
            <w:lang w:val="en-GB"/>
          </w:rPr>
          <w:t>III. Di</w:t>
        </w:r>
        <w:bookmarkStart w:id="264" w:name="Drei_Abhandlungen_3"/>
        <w:bookmarkEnd w:id="264"/>
        <w:r w:rsidRPr="00866B42">
          <w:rPr>
            <w:rStyle w:val="Lienhypertexte"/>
            <w:rFonts w:ascii="Garamond" w:hAnsi="Garamond"/>
            <w:lang w:val="en-GB"/>
          </w:rPr>
          <w:t>e Umgestaltung der Pubertät</w:t>
        </w:r>
      </w:hyperlink>
    </w:p>
    <w:p w:rsidR="00646842" w:rsidRPr="00866B42" w:rsidRDefault="00646842" w:rsidP="00646842">
      <w:pPr>
        <w:rPr>
          <w:rFonts w:ascii="Garamond" w:hAnsi="Garamond"/>
          <w:color w:val="F38030"/>
          <w:lang w:val="en-GB"/>
        </w:rPr>
      </w:pPr>
    </w:p>
    <w:p w:rsidR="00646842" w:rsidRPr="00866B42" w:rsidRDefault="00646842" w:rsidP="00646842">
      <w:pPr>
        <w:rPr>
          <w:rFonts w:ascii="Garamond" w:hAnsi="Garamond"/>
          <w:lang w:val="en-GB"/>
        </w:rPr>
      </w:pPr>
      <w:r w:rsidRPr="00866B42">
        <w:rPr>
          <w:rFonts w:ascii="Garamond" w:hAnsi="Garamond"/>
          <w:lang w:val="en-GB"/>
        </w:rPr>
        <w:t xml:space="preserve">Mit dem Eintritt der Pubertät setzen die Wandlungen ein, welche das infantile Sexualleben in seine endgültige normale Gestaltung überführen sollen. Der Sexualtrieb war bisher vorwiegend autoerotisch, er findet nun das Sexualobjekt. Er betätigte sich bisher von einzelnen Trieben und erogenen Zonen aus, die unabhängig voneinander eine gewisse Lust als einziges Sexualziel suchten. Nun wird ein neues Sexualziel gegeben, zu dessen Erreichung alle Partialtriebe zusammenwirken, während die erogenen Zonen sich dem Primat der Genitalzone unterordnen </w:t>
      </w:r>
      <w:hyperlink r:id="rId1429"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Die im Text gegebene schematische Darstellung will die Differenzen hervorheben. Inwieweit sich die infantile Sexualität durch ihre Objektwahl und die Ausbildung der phallischen Phase der definitiven Sexualorganisation annähert, ist vorhin, S.104f., ausgeführt worden.</w:t>
        </w:r>
      </w:hyperlink>
      <w:r w:rsidRPr="00866B42">
        <w:rPr>
          <w:rFonts w:ascii="Garamond" w:hAnsi="Garamond"/>
          <w:lang w:val="en-GB"/>
        </w:rPr>
        <w:t>. Da das neue Sexualziel den beiden Geschlechtern sehr verschiedene Funktionen anweist, geht deren Sexualentwicklung nun weit auseinander. Die des Mannes ist die konsequentere, auch unserem Verständnis leichter zugängliche, während beim Weibe sogar eine Art Rückbildung auftritt. Die Normalität des Geschlechtslebens wird nur durch das exakte Zusammentreffen der beiden auf Sexualobjekt und Sexualziel gerichteten Strömungen, der zärtlichen und der sinnlichen, gewährleistet, von denen die erstere in sich faßt, was von der infantilen Frühblüte der Sexualität erübrigt. Es ist wie der Durchschlag eines Tunnels von beiden Seiten her.</w:t>
      </w:r>
    </w:p>
    <w:p w:rsidR="00646842" w:rsidRPr="00866B42" w:rsidRDefault="00646842" w:rsidP="00646842">
      <w:pPr>
        <w:rPr>
          <w:rFonts w:ascii="Garamond" w:hAnsi="Garamond"/>
          <w:lang w:val="en-GB"/>
        </w:rPr>
      </w:pPr>
      <w:r w:rsidRPr="00866B42">
        <w:rPr>
          <w:rFonts w:ascii="Garamond" w:hAnsi="Garamond"/>
          <w:lang w:val="en-GB"/>
        </w:rPr>
        <w:t>Das neue Sexualziel besteht beim Manne in der Entladung der Geschlechtsprodukte; es ist dem früheren, der Erreichung von Lust, keineswegs fremd, vielmehr ist der höchste Betrag von Lust an diesen Endakt des Sexualvorganges geknüpft. Der Sexualtrieb stellt sich jetzt in den Dienst der Fortpflanzungsfunktion; er wird sozusagen altruistisch. Soll diese Umwandlung gelingen, so muß beim Vorgang derselben mit den ursprünglichen Anlagen und allen Eigentümlichkeiten der Triebe gerechnet werden.</w:t>
      </w:r>
    </w:p>
    <w:p w:rsidR="00646842" w:rsidRPr="00866B42" w:rsidRDefault="00646842" w:rsidP="00646842">
      <w:pPr>
        <w:rPr>
          <w:rFonts w:ascii="Garamond" w:hAnsi="Garamond"/>
          <w:lang w:val="en-GB"/>
        </w:rPr>
      </w:pPr>
      <w:r w:rsidRPr="00866B42">
        <w:rPr>
          <w:rFonts w:ascii="Garamond" w:hAnsi="Garamond"/>
          <w:lang w:val="en-GB"/>
        </w:rPr>
        <w:t>Wie bei jeder anderen Gelegenheit, wo im Organismus neue Verknüpfungen und Zusammensetzungen zu komplizierten Mechanismen stattfinden sollen, ist auch hier die Gelegenheit zu krankhaften Störungen durch Unterbleiben dieser Neuordnungen gegeben. Alle krankhaften Störungen des Geschlechtslebens sind mit gutem Rechte als Entwicklungshemmungen zu betrachten.</w:t>
      </w:r>
    </w:p>
    <w:p w:rsidR="00646842" w:rsidRPr="00866B42" w:rsidRDefault="00646842" w:rsidP="00646842">
      <w:pPr>
        <w:rPr>
          <w:rFonts w:ascii="Garamond" w:hAnsi="Garamond"/>
          <w:lang w:val="en-GB"/>
        </w:rPr>
      </w:pPr>
      <w:r w:rsidRPr="00866B42">
        <w:rPr>
          <w:rFonts w:ascii="Garamond" w:hAnsi="Garamond"/>
          <w:lang w:val="en-GB"/>
        </w:rPr>
        <w:t>[1] Das Primat der Genitalzonen und die Vorlust</w:t>
      </w:r>
    </w:p>
    <w:p w:rsidR="00646842" w:rsidRPr="00866B42" w:rsidRDefault="00646842" w:rsidP="00646842">
      <w:pPr>
        <w:rPr>
          <w:rFonts w:ascii="Garamond" w:hAnsi="Garamond"/>
          <w:lang w:val="en-GB"/>
        </w:rPr>
      </w:pPr>
      <w:r w:rsidRPr="00866B42">
        <w:rPr>
          <w:rFonts w:ascii="Garamond" w:hAnsi="Garamond"/>
          <w:lang w:val="en-GB"/>
        </w:rPr>
        <w:t>Von dem beschriebenen Entwicklungsgang liegen Ausgang und Endziel klar vor unseren Augen. Die vermittelnden Übergänge sind uns noch vielfach dunkel; wir werden an ihnen mehr als ein Rätsel bestehen lassen müssen.</w:t>
      </w:r>
    </w:p>
    <w:p w:rsidR="00646842" w:rsidRPr="00866B42" w:rsidRDefault="00646842" w:rsidP="00646842">
      <w:pPr>
        <w:rPr>
          <w:rFonts w:ascii="Garamond" w:hAnsi="Garamond"/>
          <w:lang w:val="en-GB"/>
        </w:rPr>
      </w:pPr>
      <w:r w:rsidRPr="00866B42">
        <w:rPr>
          <w:rFonts w:ascii="Garamond" w:hAnsi="Garamond"/>
          <w:lang w:val="en-GB"/>
        </w:rPr>
        <w:t>Man hat das Auffälligste an den Pubertätsvorgängen zum Wesentlichen derselben gewählt, das manifeste Wachstum der äußeren Genitalien, an denen sich die Latenzperiode der Kindheit durch relative Wachstumshemmung geäußert hatte. Gleichzeitig ist die Entwicklung der inneren Genitalien so weit vorgeschritten, daß sie Geschlechtsprodukte zu liefern, respektive zur Gestaltung eines neuen Lebewesens aufzunehmen vermögen. Ein höchst komplizierter Apparat ist so fertig geworden, der seiner Inanspruchnahme harrt.</w:t>
      </w:r>
    </w:p>
    <w:p w:rsidR="00646842" w:rsidRPr="00866B42" w:rsidRDefault="00646842" w:rsidP="00646842">
      <w:pPr>
        <w:rPr>
          <w:rFonts w:ascii="Garamond" w:hAnsi="Garamond"/>
        </w:rPr>
      </w:pPr>
      <w:r w:rsidRPr="00866B42">
        <w:rPr>
          <w:rFonts w:ascii="Garamond" w:hAnsi="Garamond"/>
          <w:lang w:val="en-GB"/>
        </w:rPr>
        <w:t xml:space="preserve">Dieser Apparat soll durch Reize in Gang gebracht werden, und nun läßt uns die Beobachtung erkennen, daß Reize ihn auf dreierlei Wegen angreifen können, von der Außenwelt her durch Erregung der uns schon bekannten erogenen Zonen, von dem organischen Innern her auf noch zu erforschenden Wegen und von dem Seelenleben aus, welches selbst eine Aufbewahrungsstätte äußerer Eindrücke und eine Aufnahmsstelle innerer Erregungen darstellt. Auf allen drei Wegen wird das nämliche hervorgerufen, ein Zustand, der als »sexuelle Erregtheit« bezeichnet wird und sich durch zweierlei Zeichen kundgibt, seelische und somatische. Das seelische Anzeichen besteht in einem eigentümlichen Spannungsgefühl von </w:t>
      </w:r>
      <w:r w:rsidRPr="00866B42">
        <w:rPr>
          <w:rFonts w:ascii="Garamond" w:hAnsi="Garamond"/>
          <w:lang w:val="en-GB"/>
        </w:rPr>
        <w:lastRenderedPageBreak/>
        <w:t xml:space="preserve">höchst drängendem Charakter; unter den mannigfaltigen körperlichen steht an erster Stelle eine Reihe von Veränderungen an den Genitalien, die einen unzweifelhaften Sinn haben, den der Bereitschaft, der Vorbereitung zum Sexualakt. </w:t>
      </w:r>
      <w:r w:rsidRPr="00866B42">
        <w:rPr>
          <w:rFonts w:ascii="Garamond" w:hAnsi="Garamond"/>
        </w:rPr>
        <w:t>(Die Erektion des männlichen Gliedes, das Feuchtwerden der Scheide.)</w:t>
      </w:r>
    </w:p>
    <w:p w:rsidR="00646842" w:rsidRPr="00646842" w:rsidRDefault="00646842" w:rsidP="00646842">
      <w:pPr>
        <w:rPr>
          <w:rFonts w:ascii="Garamond" w:hAnsi="Garamond"/>
          <w:lang w:val="en-GB"/>
        </w:rPr>
      </w:pPr>
      <w:r w:rsidRPr="00866B42">
        <w:rPr>
          <w:rFonts w:ascii="Garamond" w:hAnsi="Garamond"/>
        </w:rPr>
        <w:t xml:space="preserve">Die Sexualspannung. An den Spannungscharakter der sexuellen Erregtheit knüpft ein Problem an, dessen Lösung ebenso schwierig wie für die Auffassung der Sexualvorgänge bedeutsam wäre. </w:t>
      </w:r>
      <w:r w:rsidRPr="00866B42">
        <w:rPr>
          <w:rFonts w:ascii="Garamond" w:hAnsi="Garamond"/>
          <w:lang w:val="en-GB"/>
        </w:rPr>
        <w:t xml:space="preserve">Trotz aller in der Psychologie darüber herrschenden Meinungsverschiedenheiten muß ich daran festhalten, daß ein Spannungsgefühl den Unlustcharakter an sich tragen muß. Für </w:t>
      </w:r>
      <w:smartTag w:uri="urn:schemas-microsoft-com:office:smarttags" w:element="State">
        <w:smartTag w:uri="urn:schemas-microsoft-com:office:smarttags" w:element="place">
          <w:r w:rsidRPr="00866B42">
            <w:rPr>
              <w:rFonts w:ascii="Garamond" w:hAnsi="Garamond"/>
              <w:lang w:val="en-GB"/>
            </w:rPr>
            <w:t>mich</w:t>
          </w:r>
        </w:smartTag>
      </w:smartTag>
      <w:r w:rsidRPr="00866B42">
        <w:rPr>
          <w:rFonts w:ascii="Garamond" w:hAnsi="Garamond"/>
          <w:lang w:val="en-GB"/>
        </w:rPr>
        <w:t xml:space="preserve"> ist entscheidend, daß ein solches Gefühl den Drang nach Veränderung der psychischen Situation mit sich bringt, treibend wirkt, was dem Wesen der empfundenen Lust völlig fremd ist. Rechnet man aber die Spannung der sexuellen Erregtheit zu den Unlustgefühlen, so stößt man sich an der Tatsache, daß dieselbe unzweifelhaft lustvoll empfunden wird. Überall ist bei der durch die Sexualvorgänge erzeugten Spannung Lust dabei; selbst bei den Vorbereitungsveränderungen der Genitalien ist eine Art von Befriedigungsgefühl deutlich. </w:t>
      </w:r>
      <w:r w:rsidRPr="00646842">
        <w:rPr>
          <w:rFonts w:ascii="Garamond" w:hAnsi="Garamond"/>
          <w:lang w:val="en-GB"/>
        </w:rPr>
        <w:t>Wie hängen nun diese Unlustspannung und dieses Lustgefühl zusammen?</w:t>
      </w:r>
    </w:p>
    <w:p w:rsidR="00646842" w:rsidRPr="00866B42" w:rsidRDefault="00646842" w:rsidP="00646842">
      <w:pPr>
        <w:rPr>
          <w:rFonts w:ascii="Garamond" w:hAnsi="Garamond"/>
          <w:lang w:val="en-GB"/>
        </w:rPr>
      </w:pPr>
      <w:r w:rsidRPr="00646842">
        <w:rPr>
          <w:rFonts w:ascii="Garamond" w:hAnsi="Garamond"/>
          <w:lang w:val="en-GB"/>
        </w:rPr>
        <w:t xml:space="preserve">Alles, was mit dem Lust- und Unlustproblem zusammenhängt, rührt an eine der wundesten Stellen der heutigen Psychologie. Wir wollen versuchen, möglichst aus den Bedingungen des uns vorliegenden Falles zu lernen, und es vermeiden, dem Problem in seiner Gänze näher zu treten </w:t>
      </w:r>
      <w:hyperlink r:id="rId1430" w:anchor="#" w:history="1">
        <w:r w:rsidRPr="00646842">
          <w:rPr>
            <w:rStyle w:val="fusslink"/>
            <w:rFonts w:ascii="Garamond" w:hAnsi="Garamond" w:cs="Arial"/>
            <w:b/>
            <w:bCs/>
            <w:color w:val="003399"/>
            <w:lang w:val="en-GB"/>
          </w:rPr>
          <w:t>[Fußnote]</w:t>
        </w:r>
        <w:r w:rsidRPr="00646842">
          <w:rPr>
            <w:rStyle w:val="innerfusslink3"/>
            <w:rFonts w:ascii="Garamond" w:hAnsi="Garamond" w:cs="Arial"/>
            <w:b/>
            <w:bCs/>
            <w:lang w:val="en-GB"/>
          </w:rPr>
          <w:t xml:space="preserve">Vgl. einen Versuch zur Lösung dieses Problems in den einleitenden Bemerkungen meines Aufsatzes Das ökonomische Problem des Masochismus (1924 </w:t>
        </w:r>
        <w:r w:rsidRPr="00646842">
          <w:rPr>
            <w:rStyle w:val="innerfusslink3"/>
            <w:rFonts w:ascii="Garamond" w:hAnsi="Garamond" w:cs="Arial"/>
            <w:b/>
            <w:bCs/>
            <w:i/>
            <w:iCs/>
            <w:lang w:val="en-GB"/>
          </w:rPr>
          <w:t>c</w:t>
        </w:r>
        <w:r w:rsidRPr="00646842">
          <w:rPr>
            <w:rStyle w:val="innerfusslink3"/>
            <w:rFonts w:ascii="Garamond" w:hAnsi="Garamond" w:cs="Arial"/>
            <w:b/>
            <w:bCs/>
            <w:lang w:val="en-GB"/>
          </w:rPr>
          <w:t>).</w:t>
        </w:r>
      </w:hyperlink>
      <w:r w:rsidRPr="00646842">
        <w:rPr>
          <w:rFonts w:ascii="Garamond" w:hAnsi="Garamond"/>
          <w:lang w:val="en-GB"/>
        </w:rPr>
        <w:t xml:space="preserve">. </w:t>
      </w:r>
      <w:r w:rsidRPr="00866B42">
        <w:rPr>
          <w:rFonts w:ascii="Garamond" w:hAnsi="Garamond"/>
          <w:lang w:val="en-GB"/>
        </w:rPr>
        <w:t>Werfen wir zunächst einen Blick auf die Art, wie die erogenen Zonen sich der neuen Ordnung einfügen. Ihnen fällt eine wichtige Rolle bei der Einleitung der sexuellen Erregung zu. Die dem Sexualobjekt vielleicht entlegenste, das Auge, kommt unter den Verhältnissen der Objektwerbung am häufigsten in die Lage, durch jene besondere Qualität der Erregung, deren Anlaß wir am Sexualobjekt als Schönheit bezeichnen, gereizt zu werden. Die Vorzüge des Sexualobjektes werden darum auch »Reize« geheißen. Mit dieser Reizung ist einerseits bereits Lust verbunden, andererseits ist eine Steigerung der sexuellen Erregtheit oder ein Hervorrufen derselben, wo sie noch fehlt, ihre Folge. Kommt die Erregung einer anderen erogenen Zone, zum Beispiel der tastenden Hand, hinzu, so ist der Effekt der gleiche, Lustempfindung einerseits, die sich bald durch die Lust aus den Bereitschaftsveränderungen verstärkt, weitere Steigerung der Sexualspannung andererseits, die bald in deutlichste Unlust übergeht, wenn ihr nicht gestattet wird, weitere Lust herbeizuführen. Durchsichtiger ist vielleicht noch ein anderer Fall, wenn zum Beispiel bei einer sexuell nicht erregten Person eine erogene Zone, etwa die Brusthaut eines Weibes, durch Berührung gereizt wird. Diese Berührung ruft bereits ein Lustgefühl hervor, ist aber gleichzeitig wie nichts anderes geeignet, die sexuelle Erregung zu wecken, die nach einem Mehr von Lust verlangt. Wie es zugeht, daß die empfundene Lust das Bedürfnis nach größerer Lust hervorruft, das ist eben das Problem.</w:t>
      </w:r>
    </w:p>
    <w:p w:rsidR="00646842" w:rsidRPr="00866B42" w:rsidRDefault="00646842" w:rsidP="00646842">
      <w:pPr>
        <w:rPr>
          <w:rFonts w:ascii="Garamond" w:hAnsi="Garamond"/>
          <w:lang w:val="en-GB"/>
        </w:rPr>
      </w:pPr>
      <w:r w:rsidRPr="00866B42">
        <w:rPr>
          <w:rFonts w:ascii="Garamond" w:hAnsi="Garamond"/>
          <w:lang w:val="en-GB"/>
        </w:rPr>
        <w:t xml:space="preserve">Vorlust-Mechanismus. Die Rolle aber, die dabei den erogenen Zonen zufällt, ist klar. Was für eine galt, gilt für alle. Sie werden sämtlich dazu verwendet, durch ihre geeignete Reizung einen gewissen Betrag von Lust zu liefern, von dem die Steigerung der Spannung ausgeht, welche ihrerseits die nötige motorische Energie aufzubringen hat, um den Sexualakt zu Ende zu führen. Das vorletzte Stück desselben ist wiederum die geeignete Reizung einer erogenen Zone, der Genitalzone selbst an der </w:t>
      </w:r>
      <w:r w:rsidRPr="00866B42">
        <w:rPr>
          <w:rFonts w:ascii="Garamond" w:hAnsi="Garamond"/>
          <w:i/>
          <w:iCs/>
          <w:lang w:val="en-GB"/>
        </w:rPr>
        <w:t>glans penis</w:t>
      </w:r>
      <w:r w:rsidRPr="00866B42">
        <w:rPr>
          <w:rFonts w:ascii="Garamond" w:hAnsi="Garamond"/>
          <w:lang w:val="en-GB"/>
        </w:rPr>
        <w:t>, durch das dazu geeignetste Objekt, die Schleimhaut der Scheide, und unter der Lust, welche diese Erregung gewährt, wird diesmal auf reflektorischem Wege die motorische Energie gewonnen, welche die Herausbeförderung der Geschlechtsstoffe besorgt. Diese letzte Lust ist ihrer Intensität nach die höchste, in ihrem Mechanismus von der früheren verschieden. Sie wird ganz durch Entlastung hervorgerufen, ist ganz Befriedigungslust, und mit ihr erlischt zeitweilig die Spannung der Libido.</w:t>
      </w:r>
    </w:p>
    <w:p w:rsidR="00646842" w:rsidRPr="00866B42" w:rsidRDefault="00646842" w:rsidP="00646842">
      <w:pPr>
        <w:rPr>
          <w:rFonts w:ascii="Garamond" w:hAnsi="Garamond"/>
          <w:lang w:val="en-GB"/>
        </w:rPr>
      </w:pPr>
      <w:r w:rsidRPr="00866B42">
        <w:rPr>
          <w:rFonts w:ascii="Garamond" w:hAnsi="Garamond"/>
          <w:lang w:val="en-GB"/>
        </w:rPr>
        <w:t xml:space="preserve">Es scheint mir nicht unberechtigt, diesen Unterschied in dem Wesen der Lust durch Erregung erogener Zonen und der anderen bei Entleerung der Sexualstoffe durch eine Namengebung zu fixieren. Die erstere kann passend als </w:t>
      </w:r>
      <w:r w:rsidRPr="00866B42">
        <w:rPr>
          <w:rFonts w:ascii="Garamond" w:hAnsi="Garamond"/>
          <w:i/>
          <w:iCs/>
          <w:lang w:val="en-GB"/>
        </w:rPr>
        <w:t>Vorlust</w:t>
      </w:r>
      <w:r w:rsidRPr="00866B42">
        <w:rPr>
          <w:rFonts w:ascii="Garamond" w:hAnsi="Garamond"/>
          <w:lang w:val="en-GB"/>
        </w:rPr>
        <w:t xml:space="preserve"> bezeichnet werden im Gegensatz zur </w:t>
      </w:r>
      <w:r w:rsidRPr="00866B42">
        <w:rPr>
          <w:rFonts w:ascii="Garamond" w:hAnsi="Garamond"/>
          <w:i/>
          <w:iCs/>
          <w:lang w:val="en-GB"/>
        </w:rPr>
        <w:t>Endlust</w:t>
      </w:r>
      <w:r w:rsidRPr="00866B42">
        <w:rPr>
          <w:rFonts w:ascii="Garamond" w:hAnsi="Garamond"/>
          <w:lang w:val="en-GB"/>
        </w:rPr>
        <w:t xml:space="preserve"> oder Befriedigungslust der </w:t>
      </w:r>
      <w:r w:rsidRPr="00866B42">
        <w:rPr>
          <w:rFonts w:ascii="Garamond" w:hAnsi="Garamond"/>
          <w:lang w:val="en-GB"/>
        </w:rPr>
        <w:lastRenderedPageBreak/>
        <w:t>Sexualtätigkeit. Die Vorlust ist dann dasselbe, was bereits der infantile Sexualtrieb, wenngleich in verjüngtem Maße, ergeben konnte; die Endlust ist neu, also wahrscheinlich an Bedingungen geknüpft, die erst mit der Pubertät eingetreten sind. Die Formel für die neue Funktion der erogenen Zonen lautete nun: Sie werden dazu verwendet, um mittels der von ihnen wie im infantilen Leben zu gewinnenden Vorlust die Herbeiführung der größeren Befriedigungslust zu ermöglichen.</w:t>
      </w:r>
    </w:p>
    <w:p w:rsidR="00646842" w:rsidRPr="00866B42" w:rsidRDefault="00646842" w:rsidP="00646842">
      <w:pPr>
        <w:rPr>
          <w:rFonts w:ascii="Garamond" w:hAnsi="Garamond"/>
          <w:lang w:val="en-GB"/>
        </w:rPr>
      </w:pPr>
      <w:r w:rsidRPr="00866B42">
        <w:rPr>
          <w:rFonts w:ascii="Garamond" w:hAnsi="Garamond"/>
          <w:lang w:val="en-GB"/>
        </w:rPr>
        <w:t xml:space="preserve">Ich habe vor kurzem ein anderes Beispiel, aus einem ganz verschiedenen Gebiet des seelischen Geschehens erläutern können, in welchem gleichfalls ein größerer Lusteffekt vermöge einer geringfügigeren Lustempfindung, die dabei wie eine Verlockungsprämie wirkt, erzielt wird. Dort ergab sich auch die Gelegenheit, auf das Wesen der Lust näher einzugehen </w:t>
      </w:r>
      <w:hyperlink r:id="rId1431"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Siehe meine 1905 erschienene Studie </w:t>
        </w:r>
        <w:r w:rsidRPr="00866B42">
          <w:rPr>
            <w:rStyle w:val="innerfusslink3"/>
            <w:rFonts w:ascii="Garamond" w:hAnsi="Garamond" w:cs="Arial"/>
            <w:b/>
            <w:bCs/>
            <w:i/>
            <w:iCs/>
            <w:lang w:val="en-GB"/>
          </w:rPr>
          <w:t>Der Witz und seine Beziehung zum Unbewußten</w:t>
        </w:r>
        <w:r w:rsidRPr="00866B42">
          <w:rPr>
            <w:rStyle w:val="innerfusslink3"/>
            <w:rFonts w:ascii="Garamond" w:hAnsi="Garamond" w:cs="Arial"/>
            <w:b/>
            <w:bCs/>
            <w:lang w:val="en-GB"/>
          </w:rPr>
          <w:t>. Die durch die Witztechnik gewonnene »Vorlust« wird dazu verwendet, eine größere Lust durch die Aufhebung innerer Hemmungen frei zu machen.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Gefahren der Vorlust. Der Zusammenhang der Vorlust aber mit dem infantilen Sexualleben wird durch die pathogene Rolle, die ihr zufallen kann, bekräftigt. Aus dem Mechanismus, in dem die Vorlust aufgenommen ist, ergibt sich für die Erreichung des normalen Sexualzieles offenbar eine Gefahr, die dann eintritt, wenn an irgendeiner Stelle der vorbereitenden Sexualvorgänge die Vorlust zu groß, ihr Spannungsanteil zu gering ausfallen sollte. Dann entfällt die Triebkraft, um den Sexualvorgang weiter fortzusetzen, der ganze Weg verkürzt sich, die betreffende vorbereitende Aktion tritt an Stelle des normalen Sexualziels. Dieser schädliche Fall hat erfahrungsgemäß zur Bedingung, daß die betreffende erogene Zone oder der entsprechende Partialtrieb schon im infantilen Leben in ungewöhnlichem Maße zur Lustgewinnung beigetragen hatte. Kommen noch Momente hinzu, welche auf die Fixierung hinwirken, so entsteht leicht fürs spätere Leben ein Zwang, welcher sich der Einordnung dieser einen Vorlust in einen neuen Zusammenhang widersetzt. Solcherart ist in der Tat der Mechanismus vieler Perversionen, die ein Verweilen bei vorbereitenden Akten des Sexualvorganges darstellen.</w:t>
      </w:r>
    </w:p>
    <w:p w:rsidR="00646842" w:rsidRPr="00866B42" w:rsidRDefault="00646842" w:rsidP="00646842">
      <w:pPr>
        <w:rPr>
          <w:rFonts w:ascii="Garamond" w:hAnsi="Garamond"/>
          <w:lang w:val="en-GB"/>
        </w:rPr>
      </w:pPr>
      <w:r w:rsidRPr="00866B42">
        <w:rPr>
          <w:rFonts w:ascii="Garamond" w:hAnsi="Garamond"/>
          <w:lang w:val="en-GB"/>
        </w:rPr>
        <w:t>Das Fehlschlagen der Funktion des Sexualmechanismus durch die Schuld der Vorlust wird am ehesten vermieden, wenn das Primat der Genitalzonen gleichfalls bereits im infantilen Leben vorgezeichnet ist. Dazu scheinen die Anstalten wirklich in der zweiten Hälfte der Kinderzeit (von acht Jahren bis zur Pubertät) getroffen zu sein. Die Genitalzonen benehmen sich in diesen Jahren bereits in ähnlicher Weise wie zur Zeit der Reife, sie werden der Sitz von Erregungssensationen und Bereitschaftsveränderungen, wenn irgendwelche Lust durch Befriedigung anderer erogener Zonen empfunden wird, obwohl dieser Effekt noch zwecklos bleibt, das heißt nichts dazu beiträgt, den Sexualvorgang fortzusetzen. Es entsteht also bereits in den Kinderjahren neben der Befriedigungslust ein gewisser Betrag von Sexualspannung, obwohl minder konstant und weniger ausgiebig, und nun können wir verstehen, warum wir bei der Erörterung der Quellen der Sexualität mit ebenso gutem Recht sagen konnten, der betreffende Vorgang wirke sexuell befriedigend, wie er wirke sexuell erregend. Wir merken, daß wir auf dem Wege zur Erkenntnis uns die Unterschiede des infantilen und des reifen Sexuallebens zunächst übertrieben groß vorgestellt haben, und tragen nun die Korrektur nach. Nicht nur die Abweichungen vom normalen Sexualleben, sondern auch die normale Gestaltung desselben wird durch die infantilen Äußerungen der Sexualität bestimmt.</w:t>
      </w:r>
    </w:p>
    <w:p w:rsidR="00646842" w:rsidRPr="00866B42" w:rsidRDefault="00646842" w:rsidP="00646842">
      <w:pPr>
        <w:rPr>
          <w:rFonts w:ascii="Garamond" w:hAnsi="Garamond"/>
          <w:lang w:val="en-GB"/>
        </w:rPr>
      </w:pPr>
      <w:r w:rsidRPr="00866B42">
        <w:rPr>
          <w:rFonts w:ascii="Garamond" w:hAnsi="Garamond"/>
          <w:lang w:val="en-GB"/>
        </w:rPr>
        <w:t>[2] Das Problem der Sexualerregung</w:t>
      </w:r>
    </w:p>
    <w:p w:rsidR="00646842" w:rsidRPr="00866B42" w:rsidRDefault="00646842" w:rsidP="00646842">
      <w:pPr>
        <w:rPr>
          <w:rFonts w:ascii="Garamond" w:hAnsi="Garamond"/>
          <w:lang w:val="en-GB"/>
        </w:rPr>
      </w:pPr>
      <w:r w:rsidRPr="00866B42">
        <w:rPr>
          <w:rFonts w:ascii="Garamond" w:hAnsi="Garamond"/>
          <w:lang w:val="en-GB"/>
        </w:rPr>
        <w:t xml:space="preserve">Es ist uns durchaus unaufgeklärt geblieben, woher die Sexualspannung rührt, die bei der Befriedigung erogener Zonen gleichzeitig mit der Lust entsteht, und welches das Wesen derselben ist </w:t>
      </w:r>
      <w:hyperlink r:id="rId1432"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Es ist überaus lehrreich, daß die deutsche Sprache der im Text erwähnten Rolle der vorbereitenden sexuellen Erregungen, welche gleichzeitig einen Anteil Befriedigung und einen Beitrag zur Sexualspannung liefern, im Gebrauche des Wortes »Lust« Rechnung trägt. »Lust« ist </w:t>
        </w:r>
        <w:r w:rsidRPr="00866B42">
          <w:rPr>
            <w:rStyle w:val="innerfusslink3"/>
            <w:rFonts w:ascii="Garamond" w:hAnsi="Garamond" w:cs="Arial"/>
            <w:b/>
            <w:bCs/>
            <w:lang w:val="en-GB"/>
          </w:rPr>
          <w:lastRenderedPageBreak/>
          <w:t>doppelsinnig und bezeichnet ebensowohl die Empfindung der Sexualspannung (Ich habe Lust = ich möchte, ich verspüre den Drang) als auch die der Befriedigung.</w:t>
        </w:r>
      </w:hyperlink>
      <w:r w:rsidRPr="00866B42">
        <w:rPr>
          <w:rFonts w:ascii="Garamond" w:hAnsi="Garamond"/>
          <w:lang w:val="en-GB"/>
        </w:rPr>
        <w:t>. Die nächste Vermutung, diese Spannung ergebe sich irgendwie aus der Lust selbst, ist nicht nur an sich sehr unwahrscheinlich, sie wird auch hinfällig, da bei der größten Lust, die an die Entleerung der Geschlechtsprodukte geknüpft ist, keine Spannung erzeugt, sondern alle Spannung aufgehoben wird. Lust und Sexualspannung können also nur in indirekter Weise zusammenhängen.</w:t>
      </w:r>
    </w:p>
    <w:p w:rsidR="00646842" w:rsidRPr="00866B42" w:rsidRDefault="00646842" w:rsidP="00646842">
      <w:pPr>
        <w:rPr>
          <w:rFonts w:ascii="Garamond" w:hAnsi="Garamond"/>
          <w:lang w:val="en-GB"/>
        </w:rPr>
      </w:pPr>
      <w:r w:rsidRPr="00646842">
        <w:rPr>
          <w:rFonts w:ascii="Garamond" w:hAnsi="Garamond"/>
          <w:lang w:val="en-GB"/>
        </w:rPr>
        <w:t xml:space="preserve">Rolle der Sexualstoffe. Außer der Tatsache, daß normalerweise allein die Entlastung von den Sexualstoffen der Sexualerregung ein Ende macht, hat man noch andere Anhaltspunkte, die Sexualspannung in Beziehung zu den Sexualprodukten zu bringen. Bei enthaltsamem Leben pflegt der Geschlechtsapparat in wechselnden, aber nicht regellosen Perioden nächtlicherweise sich unter Lustempfindung und während der Traumhalluzination eines sexuellen Aktes der Sexualstoffe zu entledigen, und für diesen Vorgang die nächtliche Pollution ist die Auffassung schwer abzuweisen, daß die Sexualspannung, die den kurzen halluzinatorischen Weg zum Ersatz des Aktes zu finden weiß, eine Funktion der Samenanhäufung in den Reservoirs für die Geschlechtsprodukte sei. Im gleichen Sinne sprechen die Erfahrungen, die man über die Erschöpfbarkeit des sexuellen Mechanismus macht. Bei entleertem Samenvorrat ist nicht nur die Ausführung des Sexualaktes unmöglich, es versagt auch die Reizbarkeit der erogenen Zonen, deren geeignete Erregung dann keine Lust hervorrufen kann. </w:t>
      </w:r>
      <w:r w:rsidRPr="00866B42">
        <w:rPr>
          <w:rFonts w:ascii="Garamond" w:hAnsi="Garamond"/>
          <w:lang w:val="en-GB"/>
        </w:rPr>
        <w:t>Wir erfahren so nebenbei, daß ein gewisses Maß sexueller Spannung selbst für die Erregbarkeit der erogenen Zonen erforderlich ist.</w:t>
      </w:r>
    </w:p>
    <w:p w:rsidR="00646842" w:rsidRPr="00866B42" w:rsidRDefault="00646842" w:rsidP="00646842">
      <w:pPr>
        <w:rPr>
          <w:rFonts w:ascii="Garamond" w:hAnsi="Garamond"/>
          <w:lang w:val="en-GB"/>
        </w:rPr>
      </w:pPr>
      <w:r w:rsidRPr="00866B42">
        <w:rPr>
          <w:rFonts w:ascii="Garamond" w:hAnsi="Garamond"/>
          <w:lang w:val="en-GB"/>
        </w:rPr>
        <w:t>Man würde so zur Annahme gedrängt, die, wenn ich nicht irre, ziemlich allgemein verbreitet ist, daß die Anhäufung der Sexualstoffe die Sexualspannung schafft und unterhält, etwa indem der Druck dieser Produkte auf die Wandung ihrer Behälter als Reiz auf ein spinales Zentrum wirkt, dessen Zustand von höheren Zentren wahrgenommen wird und dann für das Bewußtsein die bekannte Spannungsempfindung ergibt. Wenn die Erregung erogener Zonen die Sexualspannung steigert, so könnte dies nur so zugehen, daß die erogenen Zonen in vorgebildeter anatomischer Verbindung mit diesen Zentren stehen, den Tonus der Erregung daselbst erhöhen, bei genügender Sexualspannung den sexuellen Akt in Gang bringen und bei ungenügender die Produktion der Geschlechtsstoffe anregen.</w:t>
      </w:r>
    </w:p>
    <w:p w:rsidR="00646842" w:rsidRPr="00866B42" w:rsidRDefault="00646842" w:rsidP="00646842">
      <w:pPr>
        <w:rPr>
          <w:rFonts w:ascii="Garamond" w:hAnsi="Garamond"/>
          <w:lang w:val="en-GB"/>
        </w:rPr>
      </w:pPr>
      <w:r w:rsidRPr="00866B42">
        <w:rPr>
          <w:rFonts w:ascii="Garamond" w:hAnsi="Garamond"/>
          <w:lang w:val="en-GB"/>
        </w:rPr>
        <w:t>Die Schwäche dieser Lehre, die man z.B. in v.Krafft-Ebings Darstellung der Sexualvorgänge angenommen findet, liegt darin, daß sie, für die Geschlechtstätigkeit des reifen Mannes geschaffen, auf dreierlei Verhältnisse wenig Rücksicht nimmt, deren Aufklärung sie gleichfalls liefern sollte. Es sind dies die Verhältnisse beim Kinde, beim Weibe und beim männlichen Kastraten. In allen drei Fällen ist von einer Anhäufung von Geschlechtsprodukten im gleichen Sinne wie beim Manne nicht die Rede, was die glatte Anwendung des Schemas erschwert; doch ist ohneweiters zuzugeben, daß sich Auskünfte finden ließen, welche die Unterordnung auch dieser Fälle ermöglichen würden. Auf jeden Fall bleibt die Warnung bestehen, dem Faktor der Anhäufung der Geschlechtsprodukte nicht Leistungen aufzubürden, deren er unfähig scheint.</w:t>
      </w:r>
    </w:p>
    <w:p w:rsidR="00646842" w:rsidRPr="00866B42" w:rsidRDefault="00646842" w:rsidP="00646842">
      <w:pPr>
        <w:rPr>
          <w:rFonts w:ascii="Garamond" w:hAnsi="Garamond"/>
          <w:lang w:val="en-GB"/>
        </w:rPr>
      </w:pPr>
      <w:r w:rsidRPr="00866B42">
        <w:rPr>
          <w:rFonts w:ascii="Garamond" w:hAnsi="Garamond"/>
          <w:lang w:val="en-GB"/>
        </w:rPr>
        <w:t xml:space="preserve">Einschätzung der inneren Geschlechtsteile. Daß die Sexualerregung in beachtenswertem Grade unabhängig von der Produktion der Geschlechtsstoffe sein kann, scheinen die Beobachtungen an männlichen Kastraten zu ergeben, bei denen gelegentlich die Libido der Beeinträchtigung durch die Operation entgeht, wenngleich das entgegengesetzte Verhalten, das ja die Operation motiviert, die Regel ist. Überdies weiß man ja längst, daß Krankheiten, welche die Produktion der männlichen Geschlechtszellen vernichtet haben, die Libido und Potenz des nun sterilen Individuums ungeschädigt lassen. Es ist dann keineswegs so verwunderlich, wie C.Rieger es hinstellt, daß der Verlust der männlichen Keimdrüsen im reiferen Alter ohne weiteren Einfluß auf das seelische Verhalten des Individuums bleiben kann. Die im zarten Alter vor der Pubertät vorgenommene Kastration nähert sich zwar in ihrer Wirkung dem Ziel einer Aufhebung der Geschlechtscharaktere, allein auch dabei könnte außer dem Verlust der </w:t>
      </w:r>
      <w:r w:rsidRPr="00866B42">
        <w:rPr>
          <w:rFonts w:ascii="Garamond" w:hAnsi="Garamond"/>
          <w:lang w:val="en-GB"/>
        </w:rPr>
        <w:lastRenderedPageBreak/>
        <w:t>Geschlechtsdrüsen an sich eine mit deren Wegfall verknüpfte Entwicklungshemmung anderer Faktoren in Betracht kommen.</w:t>
      </w:r>
    </w:p>
    <w:p w:rsidR="00646842" w:rsidRPr="00866B42" w:rsidRDefault="00646842" w:rsidP="00646842">
      <w:pPr>
        <w:rPr>
          <w:rFonts w:ascii="Garamond" w:hAnsi="Garamond"/>
          <w:lang w:val="en-GB"/>
        </w:rPr>
      </w:pPr>
      <w:r w:rsidRPr="00866B42">
        <w:rPr>
          <w:rFonts w:ascii="Garamond" w:hAnsi="Garamond"/>
          <w:lang w:val="en-GB"/>
        </w:rPr>
        <w:t>Chemische Theorie. Tierversuche mit Entfernung der Keimdrüsen (Hoden und Ovarien) und entsprechend variierter Einpflanzung neuer solcher Organe bei Wirbeltieren (s. das zitierte Werk von Lipschütz, S.84f., Anm14.) haben endlich ein partielles Licht auf die Herkunft der Sexualerregung geworfen und dabei die Bedeutung einer etwaigen Anhäufung der zelligen Geschlechtsprodukte noch weiter zurückgedrängt. Es ist dem Experiment möglich geworden (E.Steinach), ein Männchen in ein Weibchen und umgekehrt ein Weibchen in ein Männchen zu verwandeln, wobei sich das psychosexuelle Verhalten des Tieres entsprechend den somatischen Geschlechtscharakteren und gleichzeitig mit ihnen änderte. Dieser geschlechtsbestimmende Einfluß soll aber nicht dem Anteil der Keimdrüse zukommen, welcher die spezifischen Geschlechtszellen (Samenfäden und Ei) erzeugt, sondern dem interstitiellen Gewebe derselben, welches darum von den Autoren als »Pubertätsdrüse« hervorgehoben wird. Es ist sehr wohl möglich, daß weitere Untersuchungen ergeben, die Pubertätsdrüse sei normalerweise zwittrig angelegt, wodurch die Lehre von der Bisexualität der höheren Tiere anatomisch begründet würde, und es ist schon jetzt wahrscheinlich, daß sie nicht das einzige Organ ist, welches mit der Produktion der Sexualerregung und der Geschlechtscharaktere zu tun hat. Jedenfalls schließt dieser neue biologische Fund an das an, was wir schon vorher über die Rolle der Schilddrüse für die Sexualität erfahren haben. Wir dürfen nun glauben, daß im interstitiellen Anteil der Keimdrüsen besondere chemische Stoffe erzeugt werden, die, vom Blutstrom aufgenommen, die Ladung bestimmter Anteile des Zentralnervensystems mit sexueller Spannung zustande kommen lassen, wie wir ja solche Umsetzung eines toxischen Reizes in einen besonderen Organreiz von anderen dem Körper als fremd eingeführten Giftstoffen kennen. Wie die Sexualerregung durch Reizung erogener Zonen bei vorheriger Ladung der zentralen Apparate entsteht und welche Verwicklungen von rein toxischen und physiologischen Reizwirkungen sich bei diesen Sexualvorgängen ergeben, das auch nur hypothetisch zu behandeln, kann keine zeitgemäße Aufgabe sein. Es genüge uns als wesentlich an dieser Auffassung der Sexualvorgänge, die Annahme besonderer, dem Sexualstoffwechsel entstammender Stoffe festzuhalten. Denn diese anscheinend willkürliche Aufstellung wird durch eine wenig beachtete, aber höchst beachtenswerte Einsicht unterstützt. Die Neurosen, welche sich nur auf Störungen des Sexuallebens zurückführen lassen, zeigen die größte klinische Ähnlichkeit mit den Phänomenen der Intoxikation und Abstinenz, welche sich durch die habituelle Einführung Lust erzeugender Giftstoffe (Alkaloide) ergeben.</w:t>
      </w:r>
    </w:p>
    <w:p w:rsidR="00646842" w:rsidRPr="00866B42" w:rsidRDefault="00646842" w:rsidP="00646842">
      <w:pPr>
        <w:rPr>
          <w:rFonts w:ascii="Garamond" w:hAnsi="Garamond"/>
          <w:lang w:val="en-GB"/>
        </w:rPr>
      </w:pPr>
      <w:r w:rsidRPr="00866B42">
        <w:rPr>
          <w:rFonts w:ascii="Garamond" w:hAnsi="Garamond"/>
          <w:lang w:val="en-GB"/>
        </w:rPr>
        <w:t>[3] Die Libidotheorie</w:t>
      </w:r>
    </w:p>
    <w:p w:rsidR="00646842" w:rsidRPr="00866B42" w:rsidRDefault="00646842" w:rsidP="00646842">
      <w:pPr>
        <w:rPr>
          <w:rFonts w:ascii="Garamond" w:hAnsi="Garamond"/>
          <w:lang w:val="en-GB"/>
        </w:rPr>
      </w:pPr>
      <w:r w:rsidRPr="00866B42">
        <w:rPr>
          <w:rFonts w:ascii="Garamond" w:hAnsi="Garamond"/>
          <w:lang w:val="en-GB"/>
        </w:rPr>
        <w:t xml:space="preserve">Mit diesen Vermutungen über die chemische Grundlage der Sexualerregung stehen in guter Übereinstimmung die Hilfsvorstellungen, die wir uns zur Bewältigung der psychischen Äußerungen des Sexuallebens geschaffen haben. Wir haben uns den Begriff der </w:t>
      </w:r>
      <w:r w:rsidRPr="00866B42">
        <w:rPr>
          <w:rFonts w:ascii="Garamond" w:hAnsi="Garamond"/>
          <w:i/>
          <w:iCs/>
          <w:lang w:val="en-GB"/>
        </w:rPr>
        <w:t>Libido</w:t>
      </w:r>
      <w:r w:rsidRPr="00866B42">
        <w:rPr>
          <w:rFonts w:ascii="Garamond" w:hAnsi="Garamond"/>
          <w:lang w:val="en-GB"/>
        </w:rPr>
        <w:t xml:space="preserve"> festgelegt als einer quantitativ veränderlichen Kraft, welche Vorgänge und Umsetzungen auf dem Gebiete der Sexualerregung messen könnte. Diese Libido sondern wir von der Energie, die den seelischen Prozessen allgemein unterzulegen ist, mit Beziehung auf ihren besonderen Ursprung und verleihen ihr so auch einen qualitativen Charakter. In der Sonderung von libidinöser und anderer psychischer Energie drücken wir die Voraussetzung aus, daß sich die Sexualvorgänge des Organismus durch einen besonderen Chemismus von den Ernährungsvorgängen unterscheiden. Die Analyse der Perversionen und Psychoneurosen hat uns zur Einsicht gebracht, daß diese Sexualerregung nicht von den sogenannten Geschlechtsteilen allein, sondern von allen Körperorganen geliefert wird. Wir bilden uns also die Vorstellung eines Libidoquantums, dessen psychische Vertretung wir die </w:t>
      </w:r>
      <w:r w:rsidRPr="00866B42">
        <w:rPr>
          <w:rFonts w:ascii="Garamond" w:hAnsi="Garamond"/>
          <w:i/>
          <w:iCs/>
          <w:lang w:val="en-GB"/>
        </w:rPr>
        <w:t>Ichlibido</w:t>
      </w:r>
      <w:r w:rsidRPr="00866B42">
        <w:rPr>
          <w:rFonts w:ascii="Garamond" w:hAnsi="Garamond"/>
          <w:lang w:val="en-GB"/>
        </w:rPr>
        <w:t xml:space="preserve"> heißen, dessen Produktion, Vergrößerung oder Verminderung, Verteilung und Verschiebung uns die Erklärungsmöglichkeiten für die beobachteten psychosexuellen Phänomene bieten soll.</w:t>
      </w:r>
    </w:p>
    <w:p w:rsidR="00646842" w:rsidRPr="00866B42" w:rsidRDefault="00646842" w:rsidP="00646842">
      <w:pPr>
        <w:rPr>
          <w:rFonts w:ascii="Garamond" w:hAnsi="Garamond"/>
        </w:rPr>
      </w:pPr>
      <w:r w:rsidRPr="00646842">
        <w:rPr>
          <w:rFonts w:ascii="Garamond" w:hAnsi="Garamond"/>
          <w:lang w:val="en-GB"/>
        </w:rPr>
        <w:lastRenderedPageBreak/>
        <w:t xml:space="preserve">Dem analytischen Studium bequem zugänglich wird diese Ichlibido aber nur, wenn sie die psychische Verwendung zur Besetzung von Sexualobjekten gefunden hat, also zur </w:t>
      </w:r>
      <w:r w:rsidRPr="00646842">
        <w:rPr>
          <w:rFonts w:ascii="Garamond" w:hAnsi="Garamond"/>
          <w:i/>
          <w:iCs/>
          <w:lang w:val="en-GB"/>
        </w:rPr>
        <w:t>Objektlibido</w:t>
      </w:r>
      <w:r w:rsidRPr="00646842">
        <w:rPr>
          <w:rFonts w:ascii="Garamond" w:hAnsi="Garamond"/>
          <w:lang w:val="en-GB"/>
        </w:rPr>
        <w:t xml:space="preserve"> geworden ist. Wir sehen sie dann sich auf Objekte konzentrieren, an ihnen fixieren oder aber diese Objekte verlassen, von ihnen auf andere übergehen und von diesen Positionen aus die Sexualbetätigung des Individuums lenken, die zur Befriedigung, das heißt zum partiellen und zeitweisen Erlöschen der Libido führt. </w:t>
      </w:r>
      <w:r w:rsidRPr="00866B42">
        <w:rPr>
          <w:rFonts w:ascii="Garamond" w:hAnsi="Garamond"/>
        </w:rPr>
        <w:t>Die Psychoanalyse der sogenannten Übertragungsneurosen (Hysterie und Zwangsneurose) gestattet uns hier einen sicheren Einblick.</w:t>
      </w:r>
    </w:p>
    <w:p w:rsidR="00646842" w:rsidRPr="00866B42" w:rsidRDefault="00646842" w:rsidP="00646842">
      <w:pPr>
        <w:rPr>
          <w:rFonts w:ascii="Garamond" w:hAnsi="Garamond"/>
        </w:rPr>
      </w:pPr>
      <w:r w:rsidRPr="00866B42">
        <w:rPr>
          <w:rFonts w:ascii="Garamond" w:hAnsi="Garamond"/>
        </w:rPr>
        <w:t xml:space="preserve">Von den Schicksalen der Objektlibido können wir noch erkennen, daß sie von den Objekten abgezogen, in besonderen Spannungszuständen schwebend erhalten und endlich ins Ich zurückgeholt wird, so daß sie wieder zur Ichlibido geworden ist. Die Ichlibido heißen wir im Gegensatz zur Objektlibido auch </w:t>
      </w:r>
      <w:r w:rsidRPr="00866B42">
        <w:rPr>
          <w:rFonts w:ascii="Garamond" w:hAnsi="Garamond"/>
          <w:i/>
          <w:iCs/>
        </w:rPr>
        <w:t>narzißtische</w:t>
      </w:r>
      <w:r w:rsidRPr="00866B42">
        <w:rPr>
          <w:rFonts w:ascii="Garamond" w:hAnsi="Garamond"/>
        </w:rPr>
        <w:t xml:space="preserve"> Libido. Von der Psychoanalyse aus schauen wir wie über eine Grenze, deren Überschreitung uns nicht gestattet ist, in das Getriebe der narzißtischen Libido hinein und bilden uns eine Vorstellung von dem Verhältnis der beiden </w:t>
      </w:r>
      <w:hyperlink r:id="rId1433" w:anchor="#" w:history="1">
        <w:r w:rsidRPr="00866B42">
          <w:rPr>
            <w:rStyle w:val="fusslink"/>
            <w:rFonts w:ascii="Garamond" w:hAnsi="Garamond" w:cs="Arial"/>
            <w:b/>
            <w:bCs/>
            <w:color w:val="003399"/>
          </w:rPr>
          <w:t>[Fußnote]</w:t>
        </w:r>
        <w:r w:rsidRPr="00866B42">
          <w:rPr>
            <w:rStyle w:val="innerfusslink3"/>
            <w:rFonts w:ascii="Garamond" w:hAnsi="Garamond" w:cs="Arial"/>
            <w:b/>
            <w:bCs/>
          </w:rPr>
          <w:t>Diese Beschränkung hat nicht mehr ihre frühere Giltigkeit, seitdem auch andere als die »Übertragungsneurosen« der Psychoanalyse in größerem Ausmaße zugänglich geworden sind.</w:t>
        </w:r>
      </w:hyperlink>
      <w:r w:rsidRPr="00866B42">
        <w:rPr>
          <w:rFonts w:ascii="Garamond" w:hAnsi="Garamond"/>
        </w:rPr>
        <w:t>. Die narzißtische oder Ichlibido erscheint uns als das große Reservoir, aus welchem die Objektbesetzungen ausgeschickt und in welches sie wieder einbezogen werden, die narzißtische Libidobesetzung des Ichs als der in der ersten Kindheit realisierte Urzustand, welcher durch die späteren Aussendungen der Libido nur verdeckt wird, im Grunde hinter denselben erhalten geblieben ist.</w:t>
      </w:r>
    </w:p>
    <w:p w:rsidR="00646842" w:rsidRPr="00866B42" w:rsidRDefault="00646842" w:rsidP="00646842">
      <w:pPr>
        <w:rPr>
          <w:rFonts w:ascii="Garamond" w:hAnsi="Garamond"/>
        </w:rPr>
      </w:pPr>
      <w:r w:rsidRPr="00866B42">
        <w:rPr>
          <w:rFonts w:ascii="Garamond" w:hAnsi="Garamond"/>
        </w:rPr>
        <w:t xml:space="preserve">Die Aufgabe einer Libidotheorie der neurotischen und psychotischen Störungen müßte sein, alle beobachteten Phänomene und erschlossenen Vorgänge in den Terminis der Libidoökonomie auszudrücken. Es ist leicht zu erraten, daß den Schicksalen der Ichlibido dabei die größere Bedeutung zufallen wird, besonders wo es sich um die Erklärung der tieferen psychotischen Störungen handelt. Die Schwierigkeit liegt dann darin, daß das Mittel unserer Untersuchung, die Psychoanalyse, uns vorläufig nur über die Wandlungen an der Objektlibido sichere Auskunft bringt </w:t>
      </w:r>
      <w:hyperlink r:id="rId1434" w:anchor="#" w:history="1">
        <w:r w:rsidRPr="00866B42">
          <w:rPr>
            <w:rStyle w:val="fusslink"/>
            <w:rFonts w:ascii="Garamond" w:hAnsi="Garamond" w:cs="Arial"/>
            <w:b/>
            <w:bCs/>
            <w:color w:val="003399"/>
          </w:rPr>
          <w:t>[Fußnote]</w:t>
        </w:r>
        <w:r w:rsidRPr="00866B42">
          <w:rPr>
            <w:rStyle w:val="innerfusslink3"/>
            <w:rFonts w:ascii="Garamond" w:hAnsi="Garamond" w:cs="Arial"/>
            <w:b/>
            <w:bCs/>
          </w:rPr>
          <w:t>Siehe obige Anmerkung.</w:t>
        </w:r>
      </w:hyperlink>
      <w:r w:rsidRPr="00866B42">
        <w:rPr>
          <w:rFonts w:ascii="Garamond" w:hAnsi="Garamond"/>
        </w:rPr>
        <w:t xml:space="preserve">, die Ichlibido aber von den anderen im Ich wirkenden Energien nicht ohneweiters zu scheiden vermag </w:t>
      </w:r>
      <w:hyperlink r:id="rId1435" w:anchor="#" w:history="1">
        <w:r w:rsidRPr="00866B42">
          <w:rPr>
            <w:rStyle w:val="fusslink"/>
            <w:rFonts w:ascii="Garamond" w:hAnsi="Garamond" w:cs="Arial"/>
            <w:b/>
            <w:bCs/>
            <w:color w:val="003399"/>
          </w:rPr>
          <w:t>[Fußnote]</w:t>
        </w:r>
        <w:r w:rsidRPr="00866B42">
          <w:rPr>
            <w:rStyle w:val="innerfusslink3"/>
            <w:rFonts w:ascii="Garamond" w:hAnsi="Garamond" w:cs="Arial"/>
            <w:b/>
            <w:bCs/>
          </w:rPr>
          <w:t xml:space="preserve">S. ›Zur Einführung des Narzißmus (1914 </w:t>
        </w:r>
        <w:r w:rsidRPr="00866B42">
          <w:rPr>
            <w:rStyle w:val="innerfusslink3"/>
            <w:rFonts w:ascii="Garamond" w:hAnsi="Garamond" w:cs="Arial"/>
            <w:b/>
            <w:bCs/>
            <w:i/>
            <w:iCs/>
          </w:rPr>
          <w:t>c</w:t>
        </w:r>
        <w:r w:rsidRPr="00866B42">
          <w:rPr>
            <w:rStyle w:val="innerfusslink3"/>
            <w:rFonts w:ascii="Garamond" w:hAnsi="Garamond" w:cs="Arial"/>
            <w:b/>
            <w:bCs/>
          </w:rPr>
          <w:t>). Der Terminus »Narzißmus« ist nicht, wie dort irrtümlich angegeben, von Näcke, sondern von H.Ellis geschaffen worden.</w:t>
        </w:r>
      </w:hyperlink>
      <w:r w:rsidRPr="00866B42">
        <w:rPr>
          <w:rFonts w:ascii="Garamond" w:hAnsi="Garamond"/>
        </w:rPr>
        <w:t>. Eine Fortführung der Libidotheorie ist deshalb vorläufig nur auf dem Wege der Spekulation möglich. Man verzichtet aber auf allen Gewinn aus der bisherigen psychoanalytischen Beobachtung, wenn man nach dem Vorgang von C.G.Jung den Begriff der Libido selbst verflüchtigt, indem man sie mit der psychischen Triebkraft überhaupt zusammenfallen läßt.</w:t>
      </w:r>
    </w:p>
    <w:p w:rsidR="00646842" w:rsidRPr="00866B42" w:rsidRDefault="00646842" w:rsidP="00646842">
      <w:pPr>
        <w:rPr>
          <w:rFonts w:ascii="Garamond" w:hAnsi="Garamond"/>
          <w:lang w:val="en-GB"/>
        </w:rPr>
      </w:pPr>
      <w:r w:rsidRPr="00866B42">
        <w:rPr>
          <w:rFonts w:ascii="Garamond" w:hAnsi="Garamond"/>
          <w:lang w:val="en-GB"/>
        </w:rPr>
        <w:t>Die Sonderung der sexuellen Triebregungen von den anderen und somit die Einschränkung des Begriffes Libido auf diese ersteren findet eine starke Unterstützung in der vorhin erörterten Annahme eines besonderen Chemismus der Sexualfunktion.</w:t>
      </w:r>
    </w:p>
    <w:p w:rsidR="00646842" w:rsidRPr="00646842" w:rsidRDefault="00646842" w:rsidP="00646842">
      <w:pPr>
        <w:rPr>
          <w:rFonts w:ascii="Garamond" w:hAnsi="Garamond"/>
          <w:lang w:val="en-GB"/>
        </w:rPr>
      </w:pPr>
      <w:r w:rsidRPr="00646842">
        <w:rPr>
          <w:rFonts w:ascii="Garamond" w:hAnsi="Garamond"/>
          <w:lang w:val="en-GB"/>
        </w:rPr>
        <w:t>[4] Differenzierung von Mann und Weib</w:t>
      </w:r>
    </w:p>
    <w:p w:rsidR="00646842" w:rsidRPr="00866B42" w:rsidRDefault="00646842" w:rsidP="00646842">
      <w:pPr>
        <w:rPr>
          <w:rFonts w:ascii="Garamond" w:hAnsi="Garamond"/>
          <w:lang w:val="en-GB"/>
        </w:rPr>
      </w:pPr>
      <w:r w:rsidRPr="00646842">
        <w:rPr>
          <w:rFonts w:ascii="Garamond" w:hAnsi="Garamond"/>
          <w:lang w:val="en-GB"/>
        </w:rPr>
        <w:t xml:space="preserve">Es ist bekannt, daß erst mit der Pubertät sich die scharfe Sonderung des männlichen und weiblichen Charakters herstellt, ein Gegensatz, der dann wie kein anderer die Lebensgestaltung der Menschen entscheidend beeinflußt. Männliche und weibliche Anlage sind allerdings schon im Kindesalter gut kenntlich; die Entwicklung der Sexualitätshemmungen (Scham, Ekel, Mitleid usw.) erfolgt beim kleinen Mädchen frühzeitiger und gegen geringeren Widerstand als beim Knaben; die Neigung zur Sexualverdrängung erscheint überhaupt größer; wo sich Partialtriebe der Sexualität bemerkbar machen, bevorzugen sie die passive Form. Die autoerotische Betätigung der erogenen Zonen ist aber bei beiden Geschlechtern die nämliche, und durch diese Übereinstimmung ist die Möglichkeit eines Geschlechtsunterschiedes, wie er sich nach der Pubertät herstellt, für die Kindheit aufgehoben. Mit </w:t>
      </w:r>
      <w:r w:rsidRPr="00646842">
        <w:rPr>
          <w:rFonts w:ascii="Garamond" w:hAnsi="Garamond"/>
          <w:lang w:val="en-GB"/>
        </w:rPr>
        <w:lastRenderedPageBreak/>
        <w:t xml:space="preserve">Rücksicht auf die autoerotischen und masturbatorischen Sexualäußerungen könnte man den Satz aufstellen, die Sexualität der kleinen Mädchen habe durchaus männlichen Charakter. Ja, wüßte man den Begriffen »männlich und weiblich« einen bestimmteren Inhalt zu geben, so ließe sich auch die Behauptung vertreten, die Libido sei regelmäßig und gesetzmäßig männlicher Natur, ob sie nun beim Manne oder beim Weibe vorkomme und abgesehen von ihrem Objekt, mag dies der Mann oder das Weib sein </w:t>
      </w:r>
      <w:hyperlink r:id="rId1436" w:anchor="#" w:history="1">
        <w:r w:rsidRPr="00646842">
          <w:rPr>
            <w:rStyle w:val="fusslink"/>
            <w:rFonts w:ascii="Garamond" w:hAnsi="Garamond" w:cs="Arial"/>
            <w:b/>
            <w:bCs/>
            <w:color w:val="003399"/>
            <w:lang w:val="en-GB"/>
          </w:rPr>
          <w:t>[Fußnote]</w:t>
        </w:r>
        <w:r w:rsidRPr="00646842">
          <w:rPr>
            <w:rStyle w:val="innerfusslink3"/>
            <w:rFonts w:ascii="Garamond" w:hAnsi="Garamond" w:cs="Arial"/>
            <w:b/>
            <w:bCs/>
            <w:lang w:val="en-GB"/>
          </w:rPr>
          <w:t xml:space="preserve">Es ist unerläßlich, sich klarzumachen, daß die Begriffe »männlich« und »weiblich«, deren Inhalt der gewöhnlichen Meinung so unzweideutig erscheint, in der Wissenschaft zu den verworrensten gehören und nach mindestens </w:t>
        </w:r>
        <w:r w:rsidRPr="00646842">
          <w:rPr>
            <w:rStyle w:val="innerfusslink3"/>
            <w:rFonts w:ascii="Garamond" w:hAnsi="Garamond" w:cs="Arial"/>
            <w:b/>
            <w:bCs/>
            <w:i/>
            <w:iCs/>
            <w:lang w:val="en-GB"/>
          </w:rPr>
          <w:t>drei</w:t>
        </w:r>
        <w:r w:rsidRPr="00646842">
          <w:rPr>
            <w:rStyle w:val="innerfusslink3"/>
            <w:rFonts w:ascii="Garamond" w:hAnsi="Garamond" w:cs="Arial"/>
            <w:b/>
            <w:bCs/>
            <w:lang w:val="en-GB"/>
          </w:rPr>
          <w:t xml:space="preserve"> Richtungen zu zerlegen sind. </w:t>
        </w:r>
        <w:r w:rsidRPr="00866B42">
          <w:rPr>
            <w:rStyle w:val="innerfusslink3"/>
            <w:rFonts w:ascii="Garamond" w:hAnsi="Garamond" w:cs="Arial"/>
            <w:b/>
            <w:bCs/>
            <w:lang w:val="en-GB"/>
          </w:rPr>
          <w:t xml:space="preserve">Man gebraucht männlich und weiblich bald im Sinne von </w:t>
        </w:r>
        <w:r w:rsidRPr="00866B42">
          <w:rPr>
            <w:rStyle w:val="innerfusslink3"/>
            <w:rFonts w:ascii="Garamond" w:hAnsi="Garamond" w:cs="Arial"/>
            <w:b/>
            <w:bCs/>
            <w:i/>
            <w:iCs/>
            <w:lang w:val="en-GB"/>
          </w:rPr>
          <w:t>Aktivität</w:t>
        </w:r>
        <w:r w:rsidRPr="00866B42">
          <w:rPr>
            <w:rStyle w:val="innerfusslink3"/>
            <w:rFonts w:ascii="Garamond" w:hAnsi="Garamond" w:cs="Arial"/>
            <w:b/>
            <w:bCs/>
            <w:lang w:val="en-GB"/>
          </w:rPr>
          <w:t xml:space="preserve"> und </w:t>
        </w:r>
        <w:r w:rsidRPr="00866B42">
          <w:rPr>
            <w:rStyle w:val="innerfusslink3"/>
            <w:rFonts w:ascii="Garamond" w:hAnsi="Garamond" w:cs="Arial"/>
            <w:b/>
            <w:bCs/>
            <w:i/>
            <w:iCs/>
            <w:lang w:val="en-GB"/>
          </w:rPr>
          <w:t>Passivität</w:t>
        </w:r>
        <w:r w:rsidRPr="00866B42">
          <w:rPr>
            <w:rStyle w:val="innerfusslink3"/>
            <w:rFonts w:ascii="Garamond" w:hAnsi="Garamond" w:cs="Arial"/>
            <w:b/>
            <w:bCs/>
            <w:lang w:val="en-GB"/>
          </w:rPr>
          <w:t xml:space="preserve">, bald im </w:t>
        </w:r>
        <w:r w:rsidRPr="00866B42">
          <w:rPr>
            <w:rStyle w:val="innerfusslink3"/>
            <w:rFonts w:ascii="Garamond" w:hAnsi="Garamond" w:cs="Arial"/>
            <w:b/>
            <w:bCs/>
            <w:i/>
            <w:iCs/>
            <w:lang w:val="en-GB"/>
          </w:rPr>
          <w:t>biologischen</w:t>
        </w:r>
        <w:r w:rsidRPr="00866B42">
          <w:rPr>
            <w:rStyle w:val="innerfusslink3"/>
            <w:rFonts w:ascii="Garamond" w:hAnsi="Garamond" w:cs="Arial"/>
            <w:b/>
            <w:bCs/>
            <w:lang w:val="en-GB"/>
          </w:rPr>
          <w:t xml:space="preserve"> und dann auch im </w:t>
        </w:r>
        <w:r w:rsidRPr="00866B42">
          <w:rPr>
            <w:rStyle w:val="innerfusslink3"/>
            <w:rFonts w:ascii="Garamond" w:hAnsi="Garamond" w:cs="Arial"/>
            <w:b/>
            <w:bCs/>
            <w:i/>
            <w:iCs/>
            <w:lang w:val="en-GB"/>
          </w:rPr>
          <w:t>soziologischen</w:t>
        </w:r>
        <w:r w:rsidRPr="00866B42">
          <w:rPr>
            <w:rStyle w:val="innerfusslink3"/>
            <w:rFonts w:ascii="Garamond" w:hAnsi="Garamond" w:cs="Arial"/>
            <w:b/>
            <w:bCs/>
            <w:lang w:val="en-GB"/>
          </w:rPr>
          <w:t xml:space="preserve"> Sinne. Die erste dieser drei Bedeutungen ist die wesentliche und die in der Psychoanalyse zumeist verwertbare. Ihr entspricht es, wenn die Libido oben im Text als männlich bezeichnet wird, denn der Trieb ist immer aktiv, auch wo er sich ein passives Ziel gesetzt hat. Die zweite, biologische Bedeutung von männlich und weiblich ist die, welche die klarste Bestimmung zuläßt. Männlich und weiblich sind hier durch die Anwesenheit der Samen-, respektive Eizelle und durch die von ihnen ausgehenden Funktionen charakterisiert. Die Aktivität und ihre Nebenäußerungen, stärkere Muskelentwicklung, Aggression, größere Intensität der Libido, sind in der Regel mit der biologischen Männlichkeit verlötet, aber nicht notwendigerweise verknüpft, denn es gibt Tiergattungen, bei denen diese Eigenschaften vielmehr dem Weibchen zugeteilt sind. Die dritte, soziologische Bedeutung erhält ihren Inhalt durch die Beobachtung der wirklich existierenden männlichen und weiblichen Individuen. Diese ergibt für den Menschen, daß weder im psychologischen noch im biologischen Sinne eine reine Männlichkeit oder Weiblichkeit gefunden wird. Jede Einzelperson weist vielmehr eine Vermengung ihres biologischen Geschlechtscharakters mit biologischen Zügen des anderen Geschlechts und eine Vereinigung von Aktivität und Passivität auf, sowohl insofern diese psychischen Charakterzüge von den biologischen abhängen als auch insoweit sie unabhängig von ihnen sind.</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Seitdem ich mit dem Gesichtspunkte der Bisexualität bekannt geworden bin, halte ich dieses Moment für das hier maßgebende und meine, ohne der Bisexualität Rechnung zu tragen, wird man kaum zum Verständnis der tatsächlich zu beobachtenden Sexualäußerungen von Mann und Weib gelangen können.</w:t>
      </w:r>
    </w:p>
    <w:p w:rsidR="00646842" w:rsidRPr="00866B42" w:rsidRDefault="00646842" w:rsidP="00646842">
      <w:pPr>
        <w:rPr>
          <w:rFonts w:ascii="Garamond" w:hAnsi="Garamond"/>
          <w:lang w:val="en-GB"/>
        </w:rPr>
      </w:pPr>
      <w:r w:rsidRPr="00866B42">
        <w:rPr>
          <w:rFonts w:ascii="Garamond" w:hAnsi="Garamond"/>
          <w:lang w:val="en-GB"/>
        </w:rPr>
        <w:t>Leitzonen bei Mann und Weib. Von diesem abgesehen, kann ich nur noch folgendes hinzufügen: Die leitende erogene Zone ist auch beim weiblichen Kinde an der Klitoris gelegen, der männlichen Genitalzone an der Eichel also homolog. Alles, was ich über Masturbation bei kleinen Mädchen in Erfahrung bringen konnte, betraf die Klitoris und nicht die für die späteren Geschlechtsfunktionen bedeutsamen Partien des äußeren Genitales. Ich zweifle selbst daran, daß das weibliche Kind unter dem Einflusse der Verführung zu etwas anderem als zur Klitorismasturbation gelangen kann, es sei denn ganz ausnahmsweise. Die gerade bei kleinen Mädchen so häufigen Spontanentladungen der sexuellen Erregtheit äußern sich in Zuckungen der Klitoris, und die häufigen Erektionen derselben ermöglichen es den Mädchen, die Sexualäußerungen des anderen Geschlechts auch ohne Unterweisung richtig zu beurteilen, indem sie einfach die Empfindungen der eigenen Sexualvorgänge auf die Knaben übertragen.</w:t>
      </w:r>
    </w:p>
    <w:p w:rsidR="00646842" w:rsidRPr="00866B42" w:rsidRDefault="00646842" w:rsidP="00646842">
      <w:pPr>
        <w:rPr>
          <w:rFonts w:ascii="Garamond" w:hAnsi="Garamond"/>
          <w:lang w:val="en-GB"/>
        </w:rPr>
      </w:pPr>
      <w:r w:rsidRPr="00866B42">
        <w:rPr>
          <w:rFonts w:ascii="Garamond" w:hAnsi="Garamond"/>
          <w:lang w:val="en-GB"/>
        </w:rPr>
        <w:t xml:space="preserve">Will man das Weibwerden des kleinen Mädchens verstehen, so muß man die weiteren Schicksale dieser Klitoriserregbarkeit verfolgen. Die Pubertät, welche dem Knaben jenen großen Vorstoß der Libido bringt, kennzeichnet sich für das Mädchen durch eine neuerliche Verdrängungswelle, von der gerade die Klitorissexualität betroffen wird. Es ist ein Stück männlichen Sexuallebens, was dabei der Verdrängung verfällt. Die bei dieser Pubertätsverdrängung des Weibes geschaffene Verstärkung der Sexualhemmnisse ergibt dann einen Reiz für die Libido des Mannes und nötigt dieselbe zur Steigerung ihrer Leistungen: mit der Höhe der Libido steigt dann auch die Sexualüberschätzung, die nur für das sich weigernde, seine Sexualität verleugnende Weib im vollen Maße zu haben ist. Die Klitoris behält dann die Rolle, wenn sie </w:t>
      </w:r>
      <w:r w:rsidRPr="00866B42">
        <w:rPr>
          <w:rFonts w:ascii="Garamond" w:hAnsi="Garamond"/>
          <w:lang w:val="en-GB"/>
        </w:rPr>
        <w:lastRenderedPageBreak/>
        <w:t>beim endlich zugelassenen Sexualakt selbst erregt wird, diese Erregung an die benachbarten weiblichen Teile weiterzuleiten, etwa wie ein Span Kienholz dazu benützt werden kann, das härtere Brennholz in Brand zu setzen. Es nimmt oft eine gewisse Zeit in Anspruch, bis sich diese Übertragung vollzogen hat, während welcher dann das junge Weib anästhetisch ist. Diese Anästhesie kann eine dauernde werden, wenn die Klitoriszone ihre Erregbarkeit abzugeben sich weigert, was gerade durch ausgiebige Betätigung im Kinderleben vorbereitet wird. Es ist bekannt, daß die Anästhesie der Frauen häufig nur eine scheinbare, eine lokale ist. Sie sind anästhetisch am Scheideneingang, aber keineswegs unerregbar von der Klitoris oder selbst von anderen Zonen aus. Zu diesen erogenen Anlässen der Anästhesie gesellen sich dann noch die psychischen, gleichfalls durch Verdrängung bedingten.</w:t>
      </w:r>
    </w:p>
    <w:p w:rsidR="00646842" w:rsidRPr="00866B42" w:rsidRDefault="00646842" w:rsidP="00646842">
      <w:pPr>
        <w:rPr>
          <w:rFonts w:ascii="Garamond" w:hAnsi="Garamond"/>
          <w:lang w:val="en-GB"/>
        </w:rPr>
      </w:pPr>
      <w:r w:rsidRPr="00866B42">
        <w:rPr>
          <w:rFonts w:ascii="Garamond" w:hAnsi="Garamond"/>
          <w:lang w:val="en-GB"/>
        </w:rPr>
        <w:t>Ist die Übertragung der erogenen Reizbarkeit von der Klitoris auf den Scheideneingang gelungen, so hat damit das Weib seine für die spätere Sexualbetätigung leitende Zone gewechselt, während der Mann die seinige von der Kindheit an beibehalten hat. In diesem Wechsel der leitenden erogenen Zone sowie in dem Verdrängungsschub der Pubertät, der gleichsam die infantile Männlichkeit beiseite schafft, liegen die Hauptbedingungen für die Bevorzugung des Weibes zur Neurose, insbesondere zur Hysterie. Diese Bedingungen hängen also mit dem Wesen der Weiblichkeit innigst zusammen.</w:t>
      </w:r>
    </w:p>
    <w:p w:rsidR="00646842" w:rsidRPr="00866B42" w:rsidRDefault="00646842" w:rsidP="00646842">
      <w:pPr>
        <w:rPr>
          <w:rFonts w:ascii="Garamond" w:hAnsi="Garamond"/>
          <w:lang w:val="en-GB"/>
        </w:rPr>
      </w:pPr>
      <w:r w:rsidRPr="00866B42">
        <w:rPr>
          <w:rFonts w:ascii="Garamond" w:hAnsi="Garamond"/>
          <w:lang w:val="en-GB"/>
        </w:rPr>
        <w:t>[5] Die Objektfindung</w:t>
      </w:r>
    </w:p>
    <w:p w:rsidR="00646842" w:rsidRPr="00866B42" w:rsidRDefault="00646842" w:rsidP="00646842">
      <w:pPr>
        <w:rPr>
          <w:rFonts w:ascii="Garamond" w:hAnsi="Garamond"/>
          <w:lang w:val="en-GB"/>
        </w:rPr>
      </w:pPr>
      <w:r w:rsidRPr="00866B42">
        <w:rPr>
          <w:rFonts w:ascii="Garamond" w:hAnsi="Garamond"/>
          <w:lang w:val="en-GB"/>
        </w:rPr>
        <w:t xml:space="preserve">Während durch die Pubertätsvorgänge das Primat der Genitalzonen festgelegt wird und das Vordrängen des erigiert gewordenen Gliedes beim Manne gebieterisch auf das neue Sexualziel hinweist, auf das Eindringen in eine die Genitalzone erregende Körperhöhle, vollzieht sich von psychischer Seite her die Objektfindung, für welche von der frühesten Kindheit an vorgearbeitet worden ist. Als die anfänglichste Sexualbefriedigung noch mit der Nahrungsaufnahme verbunden war, hatte der Sexualtrieb ein Sexualobjekt außerhalb des eigenen Körpers in der Mutterbrust. Er verlor es nur später, vielleicht gerade zur Zeit, als es dem Kinde möglich wurde, die Gesamtvorstellung der Person, welcher das ihm Befriedigung spendende Organ angehörte, zu bilden. Der Geschlechtstrieb wird dann in der Regel autoerotisch, und erst nach Überwindung der Latenzzeit stellt sich das ursprüngliche Verhältnis wieder her. Nicht ohne guten Grund ist das Saugen des Kindes an der Brust der Mutter vorbildlich für jede Liebesbeziehung geworden. Die Objektfindung ist eigentlich eine Wiederfindung </w:t>
      </w:r>
      <w:hyperlink r:id="rId1437"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Die Psychoanalyse lehrt, daß es zwei Wege der Objektfindung gibt, erstens die im Text besprochene, die in </w:t>
        </w:r>
        <w:r w:rsidRPr="00866B42">
          <w:rPr>
            <w:rStyle w:val="innerfusslink3"/>
            <w:rFonts w:ascii="Garamond" w:hAnsi="Garamond" w:cs="Arial"/>
            <w:b/>
            <w:bCs/>
            <w:i/>
            <w:iCs/>
            <w:lang w:val="en-GB"/>
          </w:rPr>
          <w:t>Anlehnung</w:t>
        </w:r>
        <w:r w:rsidRPr="00866B42">
          <w:rPr>
            <w:rStyle w:val="innerfusslink3"/>
            <w:rFonts w:ascii="Garamond" w:hAnsi="Garamond" w:cs="Arial"/>
            <w:b/>
            <w:bCs/>
            <w:lang w:val="en-GB"/>
          </w:rPr>
          <w:t xml:space="preserve"> an die frühinfantilen Vorbilder vor sich geht, und zweitens die </w:t>
        </w:r>
        <w:r w:rsidRPr="00866B42">
          <w:rPr>
            <w:rStyle w:val="innerfusslink3"/>
            <w:rFonts w:ascii="Garamond" w:hAnsi="Garamond" w:cs="Arial"/>
            <w:b/>
            <w:bCs/>
            <w:i/>
            <w:iCs/>
            <w:lang w:val="en-GB"/>
          </w:rPr>
          <w:t>narzißtische</w:t>
        </w:r>
        <w:r w:rsidRPr="00866B42">
          <w:rPr>
            <w:rStyle w:val="innerfusslink3"/>
            <w:rFonts w:ascii="Garamond" w:hAnsi="Garamond" w:cs="Arial"/>
            <w:b/>
            <w:bCs/>
            <w:lang w:val="en-GB"/>
          </w:rPr>
          <w:t>, die das eigene Ich sucht und im anderen wiederfindet. Diese letztere hat eine besonders große Bedeutung für die pathologischen Ausgänge, fügt sich aber nicht in den hier behandelten Zusammenhang.</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Sexualobjekte der Säuglingszeit. Aber von dieser ersten und wichtigsten aller sexuellen Beziehungen bleibt auch nach der Abtrennung der Sexualtätigkeit von der Nahrungsaufnahme ein wichtiges Stück übrig, welches die Objektwahl vorbereiten, das verlorene Glück also wiederherstellen hilft. Die ganze Latenzzeit über lernt das Kind andere Personen, die seiner Hilflosigkeit abhelfen und seine Bedürfnisse befriedigen, </w:t>
      </w:r>
      <w:r w:rsidRPr="00866B42">
        <w:rPr>
          <w:rFonts w:ascii="Garamond" w:hAnsi="Garamond"/>
          <w:i/>
          <w:iCs/>
          <w:lang w:val="en-GB"/>
        </w:rPr>
        <w:t>lieben</w:t>
      </w:r>
      <w:r w:rsidRPr="00866B42">
        <w:rPr>
          <w:rFonts w:ascii="Garamond" w:hAnsi="Garamond"/>
          <w:lang w:val="en-GB"/>
        </w:rPr>
        <w:t xml:space="preserve">, durchaus nach dem Muster und in Fortsetzung seines Säuglingsverhältnisses zur Amme. Man wird sich vielleicht sträuben wollen, die zärtlichen Gefühle und die Wertschätzung des Kindes für seine Pflegepersonen mit der geschlechtlichen Liebe zu identifizieren, allein ich meine, eine genauere psychologische Untersuchung wird diese Identität über jeden Zweifel hinaus feststellen können. Der Verkehr des Kindes mit seiner Pflegeperson ist für dasselbe eine unaufhörlich fließende Quelle sexueller Erregung und Befriedigung von erogenen Zonen aus, zumal da letztere in der Regel doch die Mutter das Kind selbst mit Gefühlen bedenkt, die aus ihrem Sexualleben stammen, es streichelt, küßt und wiegt und ganz deutlich zum Ersatz für ein vollgültiges Sexualobjekt nimmt </w:t>
      </w:r>
      <w:hyperlink r:id="rId1438"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Wem diese Auffassung »frevelhaft« dünkt, der lese die fast gleichsinnige Behandlung des Verhältnisses zwischen Mutter und Kind bei Havelock Ellis nach. ( </w:t>
        </w:r>
        <w:r w:rsidRPr="00866B42">
          <w:rPr>
            <w:rStyle w:val="innerfusslink3"/>
            <w:rFonts w:ascii="Garamond" w:hAnsi="Garamond" w:cs="Arial"/>
            <w:b/>
            <w:bCs/>
            <w:i/>
            <w:iCs/>
            <w:lang w:val="en-GB"/>
          </w:rPr>
          <w:t>Das Geschlechtsgefühl</w:t>
        </w:r>
        <w:r w:rsidRPr="00866B42">
          <w:rPr>
            <w:rStyle w:val="innerfusslink3"/>
            <w:rFonts w:ascii="Garamond" w:hAnsi="Garamond" w:cs="Arial"/>
            <w:b/>
            <w:bCs/>
            <w:lang w:val="en-GB"/>
          </w:rPr>
          <w:t>, S.16.)</w:t>
        </w:r>
      </w:hyperlink>
      <w:r w:rsidRPr="00866B42">
        <w:rPr>
          <w:rFonts w:ascii="Garamond" w:hAnsi="Garamond"/>
          <w:lang w:val="en-GB"/>
        </w:rPr>
        <w:t xml:space="preserve">. Die Mutter würde </w:t>
      </w:r>
      <w:r w:rsidRPr="00866B42">
        <w:rPr>
          <w:rFonts w:ascii="Garamond" w:hAnsi="Garamond"/>
          <w:lang w:val="en-GB"/>
        </w:rPr>
        <w:lastRenderedPageBreak/>
        <w:t>wahrscheinlich erschrecken, wenn man ihr die Aufklärung gäbe, daß sie mit all ihren Zärtlichkeiten den Sexualtrieb ihres Kindes weckt und dessen spätere Intensität vorbereitet. Sie hält ihr Tun für asexuelle »reine« Liebe, da sie es doch sorgsam vermeidet, den Genitalien des Kindes mehr Erregungen zuzuführen, als bei der Körperpflege unumgänglich ist. Aber der Geschlechtstrieb wird nicht nur durch Erregung der Genitalzone geweckt, wie wir ja wissen; was wir Zärtlichkeit heißen, wird unfehlbar eines Tages seine Wirkung auch auf die Genitalzonen äußern. Verstünde die Mutter mehr von der hohen Bedeutung der Triebe für das gesamte Seelenleben, für alle ethischen und psychischen Leistungen, so würde sie sich übrigens auch nach der Aufklärung alle Selbstvorwürfe ersparen. Sie erfüllt nur ihre Aufgabe, wenn sie das Kind lieben lehrt; es soll ja ein tüchtiger Mensch mit energischem Sexualbedürfnis werden und in seinem Leben all das vollbringen, wozu der Trieb den Menschen drängt. Ein Zuviel von elterlicher Zärtlichkeit wird freilich schädlich werden, indem es die sexuelle Reifung beschleunigt, auch dadurch, daß es das Kind »verwöhnt«, es unfähig macht, im späteren Leben auf Liebe zeitweilig zu verzichten oder sich mit einem geringeren Maß davon zu begnügen. Es ist eines der besten Vorzeichen späterer Nervosität, wenn das Kind sich unersättlich in seinem Verlangen nach Zärtlichkeit der Eltern erweist, und anderseits werden gerade neuropathische Eltern, die ja meist zur maßlosen Zärtlichkeit neigen, durch ihre Liebkosungen die Disposition des Kindes zur neurotischen Erkrankung am ehesten erwecken. Man ersieht übrigens aus diesem Beispiel, daß es für neurotische Eltern direktere Wege als den der Vererbung gibt, ihre Störung auf die Kinder zu übertragen.</w:t>
      </w:r>
    </w:p>
    <w:p w:rsidR="00646842" w:rsidRPr="00866B42" w:rsidRDefault="00646842" w:rsidP="00646842">
      <w:pPr>
        <w:rPr>
          <w:rFonts w:ascii="Garamond" w:hAnsi="Garamond"/>
          <w:lang w:val="en-GB"/>
        </w:rPr>
      </w:pPr>
      <w:r w:rsidRPr="00866B42">
        <w:rPr>
          <w:rFonts w:ascii="Garamond" w:hAnsi="Garamond"/>
          <w:lang w:val="en-GB"/>
        </w:rPr>
        <w:t xml:space="preserve">Infantile Angst. Die Kinder selbst benehmen sich von frühen Jahren an, als sei ihre Anhänglichkeit an ihre Pflegepersonen von der Natur der sexuellen Liebe. Die Angst der Kinder ist ursprünglich nichts anderes als der Ausdruck dafür, daß sie die geliebte Person vermissen; sie kommen darum jedem Fremden mit Angst entgegen; sie fürchten sich in der Dunkelheit, weil man in dieser die geliebte Person nicht sieht, und lassen sich beruhigen, wenn sie dieselbe in der Dunkelheit bei der Hand fassen können. Man überschätzt die Wirkung aller Kinderschrecken und gruseligen Erzählungen der Kinderfrauen, wenn man diesen schuld gibt, daß sie die Ängstlichkeit der Kinder erzeugen. Kinder, die zur Ängstlichkeit neigen, nehmen nur solche Erzählungen auf, die an anderen durchaus nicht haften wollen; und zur Ängstlichkeit neigen nur Kinder mit übergroßem oder vorzeitig entwickeltem oder durch Verzärtelung anspruchsvoll gewordenem Sexualtrieb. Das Kind benimmt sich hiebei wie der Erwachsene, indem es seine Libido in Angst verwandelt, sowie es sie nicht zur Befriedigung zu bringen vermag, und der Erwachsene wird sich dafür, wenn er durch unbefriedigte Libido neurotisch geworden ist, in seiner Angst wie ein Kind benehmen, sich zu fürchten beginnen, sowie er allein, das heißt ohne eine Person ist, deren Liebe er sicher zu sein glaubt, und diese seine Angst durch die kindischesten Maßregeln beschwichtigen wollen </w:t>
      </w:r>
      <w:hyperlink r:id="rId1439"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Die Aufklärung über die Herkunft der kindlichen Angst verdanke ich einem dreijährigen Knaben, den ich einmal aus einem dunklen Zimmer bitten hörte: »Tante, sprich mit mir; ich fürchte mich, weil es so dunkel ist.« Die Tante rief ihn an: »Was hast du denn davon? Du siehst mich ja nicht.« »Das macht nichts«, antwortete das Kind, »wenn jemand spricht, wird es hell.« Er fürchtete sich also nicht vor der Dunkelheit, sondern weil er eine geliebte Person vermißte, und konnte versprechen, sich zu beruhigen, sobald er einen Beweis von deren Anwesenheit empfangen hatte. Daß die neurotische Angst aus der Libido entsteht, ein Umwandlungsprodukt derselben darstellt, sich also etwa so zu ihr verhält wie der Essig zum Wein, ist eines der bedeutsamsten Resultate der psychoanalytischen Forschung. Eine weitere Diskussion dieses Problems siehe in meinen </w:t>
        </w:r>
        <w:r w:rsidRPr="00866B42">
          <w:rPr>
            <w:rStyle w:val="innerfusslink3"/>
            <w:rFonts w:ascii="Garamond" w:hAnsi="Garamond" w:cs="Arial"/>
            <w:b/>
            <w:bCs/>
            <w:i/>
            <w:iCs/>
            <w:lang w:val="en-GB"/>
          </w:rPr>
          <w:t>Vorlesungen zur Einführung in die Psychoanalyse</w:t>
        </w:r>
        <w:r w:rsidRPr="00866B42">
          <w:rPr>
            <w:rStyle w:val="innerfusslink3"/>
            <w:rFonts w:ascii="Garamond" w:hAnsi="Garamond" w:cs="Arial"/>
            <w:b/>
            <w:bCs/>
            <w:lang w:val="en-GB"/>
          </w:rPr>
          <w:t xml:space="preserve"> (1916-17), woselbst wohl auch nicht die endgültige Aufklärung erreicht worden ist.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Inzestschranke. Wenn die Zärtlichkeit der Eltern zum Kinde es glücklich vermieden hat, den Sexualtrieb desselben vorzeitig, das heißt ehe die körperlichen Bedingungen der Pubertät gegeben sind, in solcher Stärke zu wecken, daß die seelische Erregung in unverkennbarer Weise zum Genitalsystem durchbricht, so kann sie ihre Aufgabe erfüllen, dieses Kind im Alter der Reife bei der Wahl des Sexualobjekts zu leiten. </w:t>
      </w:r>
      <w:r w:rsidRPr="00866B42">
        <w:rPr>
          <w:rFonts w:ascii="Garamond" w:hAnsi="Garamond"/>
          <w:lang w:val="en-GB"/>
        </w:rPr>
        <w:lastRenderedPageBreak/>
        <w:t xml:space="preserve">Gewiß läge es dem Kinde am nächsten, diejenigen Personen selbst zu Sexualobjekten zu wählen, die es mit einer sozusagen abgedämpften Libido seit seiner Kindheit liebt </w:t>
      </w:r>
      <w:hyperlink r:id="rId1440"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Vgl. hiezu das auf S. 105 über die Objektwahl des Kindes Gesagte: die »zärtliche Strömung«.</w:t>
        </w:r>
      </w:hyperlink>
      <w:r w:rsidRPr="00866B42">
        <w:rPr>
          <w:rFonts w:ascii="Garamond" w:hAnsi="Garamond"/>
          <w:lang w:val="en-GB"/>
        </w:rPr>
        <w:t xml:space="preserve">. Aber durch den Aufschub der sexuellen Reifung ist die Zeit gewonnen worden, neben anderen Sexualhemmnissen die Inzestschranke aufzurichten, jene moralischen Vorschriften in sich aufzunehmen, welche die geliebten Personen der Kindheit als Blutsverwandte ausdrücklich von der Objektwahl ausschließen. Die Beachtung dieser Schranke ist vor allem eine Kulturforderung der Gesellschaft, welche sich gegen die Aufzehrung von Interessen durch die Familie wehren muß, die sie für die Herstellung höherer sozialer Einheiten braucht, und darum mit allen Mitteln dahin wirkt, bei jedem einzelnen, speziell beim Jüngling, den in der Kindheit allein maßgebenden Zusammenhang mit seiner Familie zu lockern </w:t>
      </w:r>
      <w:hyperlink r:id="rId1441"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Die Inzestschranke gehört wahrscheinlich zu den historischen Erwerbungen der Menschheit und dürfte wie andere Moraltabus bereits bei vielen Individuen durch organische Vererbung fixiert sein. (Vgl. meine Schrift: </w:t>
        </w:r>
        <w:r w:rsidRPr="00866B42">
          <w:rPr>
            <w:rStyle w:val="innerfusslink3"/>
            <w:rFonts w:ascii="Garamond" w:hAnsi="Garamond" w:cs="Arial"/>
            <w:b/>
            <w:bCs/>
            <w:i/>
            <w:iCs/>
            <w:lang w:val="en-GB"/>
          </w:rPr>
          <w:t>Totem und Tabu</w:t>
        </w:r>
        <w:r w:rsidRPr="00866B42">
          <w:rPr>
            <w:rStyle w:val="innerfusslink3"/>
            <w:rFonts w:ascii="Garamond" w:hAnsi="Garamond" w:cs="Arial"/>
            <w:b/>
            <w:bCs/>
            <w:lang w:val="en-GB"/>
          </w:rPr>
          <w:t xml:space="preserve"> 191213.) Doch zeigt die psychoanalytische Untersuchung, wie intensiv noch der einzelne in seinen Entwicklungszeiten mit der Inzestversuchung ringt und wie häufig er sie in Phantasien und selbst in der Realität übertritt.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Die Objektwahl wird aber zunächst in der Vorstellung vollzogen, und das Geschlechtsleben der eben reifenden Jugend hat kaum einen anderen Spielraum, als sich in Phantasien, das heißt in nicht zur Ausführung bestimmten Vorstellungen zu ergehen </w:t>
      </w:r>
      <w:hyperlink r:id="rId1442"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Die Phantasien der Pubertätszeit knüpfen an die in der Kindheit verlassene infantile Sexualforschung an, reichen wohl auch ein Stück in die Latenzzeit zurück. Sie können ganz oder zum großen Teil unbewußt gehalten werden, entziehen sich darum häufig einer genauen Datierung. Sie haben große Bedeutung für die Entstehung mannigfaltiger Symptome, indem sie geradezu die Vorstufen derselben abgeben, also die Formen herstellen, in denen die verdrängten Libidokomponenten ihre Befriedigung finden. Ebenso sind sie die Vorlagen der nächtlichen Phantasien, die als Träume bewußt werden. Träume sind häufig nichts anderes als Wiederbelebungen solcher Phantasien unter dem Einfluß und in Anlehnung an einen aus dem Wachleben erübrigten Tagesreiz (»Tagesreste«). Unter den sexuellen Phantasien der Pubertätszeit ragen einige hervor, welche durch allgemeinstes Vorkommen und weitgehende Unabhängigkeit vom Erleben des einzelnen ausgezeichnet sind. So die Phantasien von der Belauschung des elterlichen Geschlechtsverkehrs, von der frühen Verführung durch geliebte Personen, von der Kastrationsdrohung, die Mutterleibsphantasien, deren Inhalt Verweilen und selbst Erlebnisse im Mutterleib sind, und der sogenannte »Familienroman«, in welchem der Heranwachsende auf den Unterschied seiner Einstellung zu den Eltern jetzt und in der Kindheit reagiert. Die nahen Beziehungen dieser Phantasien zum Mythus hat für das letzte Beispiel O.Rank in seiner Schrift </w:t>
        </w:r>
        <w:r w:rsidRPr="00866B42">
          <w:rPr>
            <w:rStyle w:val="innerfusslink3"/>
            <w:rFonts w:ascii="Garamond" w:hAnsi="Garamond" w:cs="Arial"/>
            <w:b/>
            <w:bCs/>
            <w:i/>
            <w:iCs/>
            <w:lang w:val="en-GB"/>
          </w:rPr>
          <w:t>Der Mythus von der Geburt des Helden</w:t>
        </w:r>
        <w:r w:rsidRPr="00866B42">
          <w:rPr>
            <w:rStyle w:val="innerfusslink3"/>
            <w:rFonts w:ascii="Garamond" w:hAnsi="Garamond" w:cs="Arial"/>
            <w:b/>
            <w:bCs/>
            <w:lang w:val="en-GB"/>
          </w:rPr>
          <w:t xml:space="preserve"> 1909 aufgezeigt. </w:t>
        </w:r>
        <w:r w:rsidRPr="00866B42">
          <w:rPr>
            <w:rFonts w:ascii="Garamond" w:hAnsi="Garamond"/>
            <w:lang w:val="en-GB"/>
          </w:rPr>
          <w:br/>
        </w:r>
        <w:r w:rsidRPr="00866B42">
          <w:rPr>
            <w:rFonts w:ascii="Garamond" w:hAnsi="Garamond"/>
            <w:lang w:val="en-GB"/>
          </w:rPr>
          <w:br/>
        </w:r>
        <w:r w:rsidRPr="00866B42">
          <w:rPr>
            <w:rStyle w:val="innerfusslink3"/>
            <w:rFonts w:ascii="Garamond" w:hAnsi="Garamond" w:cs="Arial"/>
            <w:b/>
            <w:bCs/>
            <w:lang w:val="en-GB"/>
          </w:rPr>
          <w:t xml:space="preserve">Man sagt mit Recht, daß der Ödipuskomplex der Kernkomplex der Neurosen ist, das wesentliche Stück im Inhalt der Neurose darstellt. In ihm gipfelt die infantile Sexualität, welche durch ihre Nachwirkungen die Sexualität des Erwachsenen entscheidend beeinflußt. Jedem menschlichen Neuankömmling ist die Aufgabe gestellt, den Ödipuskomplex zu bewältigen; wer es nicht zustande bringt, ist der Neurose verfallen. Der Fortschritt der psychoanalytischen Arbeit hat diese Bedeutung des Ödipuskomplexes immer schärfer gezeichnet; seine Anerkennung ist das Schibboleth geworden, welches die Anhänger der Psychoanalyse von ihren Gegnern scheidet. </w:t>
        </w:r>
        <w:r w:rsidRPr="00866B42">
          <w:rPr>
            <w:rFonts w:ascii="Garamond" w:hAnsi="Garamond"/>
            <w:lang w:val="en-GB"/>
          </w:rPr>
          <w:br/>
        </w:r>
        <w:r w:rsidRPr="00866B42">
          <w:rPr>
            <w:rFonts w:ascii="Garamond" w:hAnsi="Garamond"/>
            <w:lang w:val="en-GB"/>
          </w:rPr>
          <w:br/>
        </w:r>
        <w:r w:rsidRPr="00866B42">
          <w:rPr>
            <w:rStyle w:val="innerfusslink3"/>
            <w:rFonts w:ascii="Garamond" w:hAnsi="Garamond" w:cs="Arial"/>
            <w:b/>
            <w:bCs/>
            <w:lang w:val="en-GB"/>
          </w:rPr>
          <w:t xml:space="preserve">In einer anderen Schrift ( </w:t>
        </w:r>
        <w:r w:rsidRPr="00866B42">
          <w:rPr>
            <w:rStyle w:val="innerfusslink3"/>
            <w:rFonts w:ascii="Garamond" w:hAnsi="Garamond" w:cs="Arial"/>
            <w:b/>
            <w:bCs/>
            <w:i/>
            <w:iCs/>
            <w:lang w:val="en-GB"/>
          </w:rPr>
          <w:t>Das Trauma der Geburt,</w:t>
        </w:r>
        <w:r w:rsidRPr="00866B42">
          <w:rPr>
            <w:rStyle w:val="innerfusslink3"/>
            <w:rFonts w:ascii="Garamond" w:hAnsi="Garamond" w:cs="Arial"/>
            <w:b/>
            <w:bCs/>
            <w:lang w:val="en-GB"/>
          </w:rPr>
          <w:t xml:space="preserve"> 1924) hat Rank die Mutterbindung auf die embryonale Vorzeit zurückgeführt und so die biologische Grundlage des Ödipuskomplexes aufgezeigt. Die Inzestschranke leitet er abweichend vom Vorstehenden von dem traumatischen Eindruck der Geburtsangst ab.</w:t>
        </w:r>
      </w:hyperlink>
      <w:r w:rsidRPr="00866B42">
        <w:rPr>
          <w:rFonts w:ascii="Garamond" w:hAnsi="Garamond"/>
          <w:lang w:val="en-GB"/>
        </w:rPr>
        <w:t>.</w:t>
      </w:r>
    </w:p>
    <w:p w:rsidR="00646842" w:rsidRPr="00646842" w:rsidRDefault="00646842" w:rsidP="00646842">
      <w:pPr>
        <w:rPr>
          <w:rFonts w:ascii="Garamond" w:hAnsi="Garamond"/>
          <w:lang w:val="en-GB"/>
        </w:rPr>
      </w:pPr>
      <w:r w:rsidRPr="00646842">
        <w:rPr>
          <w:rFonts w:ascii="Garamond" w:hAnsi="Garamond"/>
          <w:lang w:val="en-GB"/>
        </w:rPr>
        <w:lastRenderedPageBreak/>
        <w:t xml:space="preserve">In diesen Phantasien treten bei allen Menschen die infantilen Neigungen, nun durch den somatischen Nachdruck verstärkt, wieder auf, und unter ihnen in gesetzmäßiger Häufigkeit und an erster Stelle die meist bereits durch die Geschlechtsanziehung differenzierte Sexualregung des Kindes für die Eltern, des Sohnes für die Mutter und der Tochter für den Vater </w:t>
      </w:r>
      <w:hyperlink r:id="rId1443" w:anchor="#" w:history="1">
        <w:r w:rsidRPr="00646842">
          <w:rPr>
            <w:rStyle w:val="fusslink"/>
            <w:rFonts w:ascii="Garamond" w:hAnsi="Garamond" w:cs="Arial"/>
            <w:b/>
            <w:bCs/>
            <w:color w:val="003399"/>
            <w:lang w:val="en-GB"/>
          </w:rPr>
          <w:t>[Fußnote]</w:t>
        </w:r>
        <w:r w:rsidRPr="00646842">
          <w:rPr>
            <w:rStyle w:val="innerfusslink3"/>
            <w:rFonts w:ascii="Garamond" w:hAnsi="Garamond" w:cs="Arial"/>
            <w:b/>
            <w:bCs/>
            <w:lang w:val="en-GB"/>
          </w:rPr>
          <w:t xml:space="preserve">Vergleiche die Ausführungen über das unvermeidliche Verhängnis in der Ödipusfabel ( </w:t>
        </w:r>
        <w:r w:rsidRPr="00646842">
          <w:rPr>
            <w:rStyle w:val="innerfusslink3"/>
            <w:rFonts w:ascii="Garamond" w:hAnsi="Garamond" w:cs="Arial"/>
            <w:b/>
            <w:bCs/>
            <w:i/>
            <w:iCs/>
            <w:lang w:val="en-GB"/>
          </w:rPr>
          <w:t>Traumdeutung</w:t>
        </w:r>
        <w:r w:rsidRPr="00646842">
          <w:rPr>
            <w:rStyle w:val="innerfusslink3"/>
            <w:rFonts w:ascii="Garamond" w:hAnsi="Garamond" w:cs="Arial"/>
            <w:b/>
            <w:bCs/>
            <w:lang w:val="en-GB"/>
          </w:rPr>
          <w:t xml:space="preserve">, 1900 </w:t>
        </w:r>
        <w:r w:rsidRPr="00646842">
          <w:rPr>
            <w:rStyle w:val="innerfusslink3"/>
            <w:rFonts w:ascii="Garamond" w:hAnsi="Garamond" w:cs="Arial"/>
            <w:b/>
            <w:bCs/>
            <w:i/>
            <w:iCs/>
            <w:lang w:val="en-GB"/>
          </w:rPr>
          <w:t>a</w:t>
        </w:r>
        <w:r w:rsidRPr="00646842">
          <w:rPr>
            <w:rStyle w:val="innerfusslink3"/>
            <w:rFonts w:ascii="Garamond" w:hAnsi="Garamond" w:cs="Arial"/>
            <w:b/>
            <w:bCs/>
            <w:lang w:val="en-GB"/>
          </w:rPr>
          <w:t>).</w:t>
        </w:r>
      </w:hyperlink>
      <w:r w:rsidRPr="00646842">
        <w:rPr>
          <w:rFonts w:ascii="Garamond" w:hAnsi="Garamond"/>
          <w:lang w:val="en-GB"/>
        </w:rPr>
        <w:t>. Gleichzeitig mit der Überwindung und Verwerfung dieser deutlich inzestuösen Phantasien wird eine der bedeutsamsten, aber auch schmerzhaftesten, psychischen Leistungen der Pubertätszeit vollzogen, die Ablösung von der Autorität der Eltern, durch welche erst der für den Kulturfortschritt so wichtige Gegensatz der neuen Generation zur alten geschaffen wird. Auf jeder der Stationen des Entwicklungsganges, den die Individuen durchmachen sollen, wird eine Anzahl derselben zurückgehalten, und so gibt es auch Personen, welche die Autorität der Eltern nie überwunden und ihre Zärtlichkeit von denselben nicht oder nur sehr unvollständig zurückgezogen haben. Es sind zumeist Mädchen, die so zur Freude der Eltern weit über die Pubertät hinaus bei der vollen Kinderliebe verbleiben, und da wird es dann sehr lehrreich zu finden, daß es diesen Mädchen in ihrer späteren Ehe an dem Vermögen gebricht, ihren Männern das Gebührende zu schenken. Sie werden kühle Ehefrauen und bleiben sexuell anästhetisch. Man lernt daraus, daß die anscheinend nicht sexuelle Liebe zu den Eltern und die geschlechtliche Liebe aus denselben Quellen gespeist werden, das heißt, daß die erstere nur einer infantilen Fixierung der Libido entspricht.</w:t>
      </w:r>
    </w:p>
    <w:p w:rsidR="00646842" w:rsidRPr="00866B42" w:rsidRDefault="00646842" w:rsidP="00646842">
      <w:pPr>
        <w:rPr>
          <w:rFonts w:ascii="Garamond" w:hAnsi="Garamond"/>
          <w:lang w:val="en-GB"/>
        </w:rPr>
      </w:pPr>
      <w:r w:rsidRPr="00866B42">
        <w:rPr>
          <w:rFonts w:ascii="Garamond" w:hAnsi="Garamond"/>
          <w:lang w:val="en-GB"/>
        </w:rPr>
        <w:t xml:space="preserve">Je mehr man sich den tieferen Störungen der psychosexuellen Entwicklung nähert, desto unverkennbarer tritt die Bedeutung der inzestuösen Objektwahl hervor. Bei den Psychoneurotikern verbleibt infolge von Sexualablehnung ein großes Stück oder das Ganze der psychosexuellen Tätigkeit zur Objektfindung im Unbewußten. Für die Mädchen mit übergroßem Zärtlichkeitsbedürfnis und ebensolchem Grausen vor den realen Anforderungen des Sexuallebens wird es zu einer unwiderstehlichen Versuchung, sich einerseits das Ideal der asexuellen Liebe im Leben zu verwirklichen und andererseits ihre Libido hinter einer Zärtlichkeit, die sie ohne Selbstvorwurf äußern dürfen, zu verbergen, indem sie die infantile, in der Pubertät aufgefrischte Neigung zu Eltern oder Geschwistern fürs Leben festhalten. Die Psychoanalyse kann solchen Personen mühelos nachweisen, daß sie in diese ihre Blutsverwandten im gemeinverständlichen Sinne des Wortes </w:t>
      </w:r>
      <w:r w:rsidRPr="00866B42">
        <w:rPr>
          <w:rFonts w:ascii="Garamond" w:hAnsi="Garamond"/>
          <w:i/>
          <w:iCs/>
          <w:lang w:val="en-GB"/>
        </w:rPr>
        <w:t>verliebt</w:t>
      </w:r>
      <w:r w:rsidRPr="00866B42">
        <w:rPr>
          <w:rFonts w:ascii="Garamond" w:hAnsi="Garamond"/>
          <w:lang w:val="en-GB"/>
        </w:rPr>
        <w:t xml:space="preserve"> sind, indem sie mit Hilfe der Symptome und anderen Krankheitsäußerungen ihre unbewußten Gedanken aufspürt und in bewußte übersetzt. Auch wo ein vorerst Gesunder nach einer unglücklichen Liebeserfahrung erkrankt ist, kann man als den Mechanismus solcher Erkrankung die Rückwendung seiner Libido auf die infantil bevorzugten Personen mit Sicherheit aufdecken.</w:t>
      </w:r>
    </w:p>
    <w:p w:rsidR="00646842" w:rsidRPr="00866B42" w:rsidRDefault="00646842" w:rsidP="00646842">
      <w:pPr>
        <w:rPr>
          <w:rFonts w:ascii="Garamond" w:hAnsi="Garamond"/>
          <w:lang w:val="en-GB"/>
        </w:rPr>
      </w:pPr>
      <w:r w:rsidRPr="00866B42">
        <w:rPr>
          <w:rFonts w:ascii="Garamond" w:hAnsi="Garamond"/>
          <w:lang w:val="en-GB"/>
        </w:rPr>
        <w:t xml:space="preserve">Nachwirkung der infantilen Objektwahl. Auch wer die inzestuöse Fixierung seiner Libido glücklich vermieden hat, ist dem Einfluß derselben nicht völlig entzogen. Es ist ein deutlicher Nachklang dieser Entwicklungsphase, wenn die erste ernsthafte Verliebtheit des jungen Mannes, wie so häufig, einem reifen Weibe, die des Mädchens einem älteren, mit Autorität ausgestatteten Manne gilt, die ihnen das Bild der Mutter und des Vaters beleben können </w:t>
      </w:r>
      <w:hyperlink r:id="rId1444"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Siehe meinen Aufsatz ›Über einen besonderen Typus der Objektwahl beim Manne (1910 </w:t>
        </w:r>
        <w:r w:rsidRPr="00866B42">
          <w:rPr>
            <w:rStyle w:val="innerfusslink3"/>
            <w:rFonts w:ascii="Garamond" w:hAnsi="Garamond" w:cs="Arial"/>
            <w:b/>
            <w:bCs/>
            <w:i/>
            <w:iCs/>
            <w:lang w:val="en-GB"/>
          </w:rPr>
          <w:t>h</w:t>
        </w:r>
        <w:r w:rsidRPr="00866B42">
          <w:rPr>
            <w:rStyle w:val="innerfusslink3"/>
            <w:rFonts w:ascii="Garamond" w:hAnsi="Garamond" w:cs="Arial"/>
            <w:b/>
            <w:bCs/>
            <w:lang w:val="en-GB"/>
          </w:rPr>
          <w:t>).</w:t>
        </w:r>
      </w:hyperlink>
      <w:r w:rsidRPr="00866B42">
        <w:rPr>
          <w:rFonts w:ascii="Garamond" w:hAnsi="Garamond"/>
          <w:lang w:val="en-GB"/>
        </w:rPr>
        <w:t xml:space="preserve">. In freierer Anlehnung an diese Vorbilder geht wohl die Objektwahl überhaupt vor sich. Vor allem sucht der Mann nach dem Erinnerungsbild der Mutter, wie es ihn seit den Anfängen der Kindheit beherrscht; im vollen Einklang steht es damit, wenn sich die noch lebende Mutter gegen diese ihre Erneuerung sträubt und ihr mit Feindseligkeit begegnet. Bei solcher Bedeutung der kindlichen Beziehungen zu den Eltern für die spätere Wahl des Sexualobjekts ist es leicht zu verstehen, daß jede Störung dieser Kindheitsbeziehungen die schwersten Folgen für das Sexualleben nach der Reife zeitigt; auch die Eifersucht des Liebenden ermangelt nie der infantilen Wurzel oder wenigstens der infantilen Verstärkung. Zwistigkeiten zwischen den Eltern selbst, unglückliche Ehe derselben, bedingen die schwerste Prädisposition für gestörte Sexualentwicklung oder neurotische Erkrankung der Kinder. Die infantile Neigung zu den Eltern ist wohl die wichtigste, aber nicht die einzige der Spuren, die, in der Pubertät aufgefrischt, dann der Objektwahl den Weg weisen. Andere Ansätze </w:t>
      </w:r>
      <w:r w:rsidRPr="00866B42">
        <w:rPr>
          <w:rFonts w:ascii="Garamond" w:hAnsi="Garamond"/>
          <w:lang w:val="en-GB"/>
        </w:rPr>
        <w:lastRenderedPageBreak/>
        <w:t xml:space="preserve">derselben Herkunft gestatten dem Manne noch immer in Anlehnung an seine Kindheit mehr als eine einzige </w:t>
      </w:r>
      <w:r w:rsidRPr="00866B42">
        <w:rPr>
          <w:rFonts w:ascii="Garamond" w:hAnsi="Garamond"/>
          <w:i/>
          <w:iCs/>
          <w:lang w:val="en-GB"/>
        </w:rPr>
        <w:t>Sexualreihe</w:t>
      </w:r>
      <w:r w:rsidRPr="00866B42">
        <w:rPr>
          <w:rFonts w:ascii="Garamond" w:hAnsi="Garamond"/>
          <w:lang w:val="en-GB"/>
        </w:rPr>
        <w:t xml:space="preserve"> zu entwickeln, ganz verschiedene Bedingungen für die Objektwahl auszubilden </w:t>
      </w:r>
      <w:hyperlink r:id="rId1445"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Ungezählte Eigentümlichkeiten des menschlichen Liebeslebens sowie das Zwanghafte der Verliebtheit selbst sind überhaupt nur durch die Rückbeziehung auf die Kindheit und als Wirkungsreste derselben zu verstehen.</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Verhütung der Inversion. Eine bei der Objektwahl sich ergebende Aufgabe liegt darin, das entgegengesetzte Geschlecht nicht zu verfehlen. Sie wird, wie bekannt, nicht ohne einiges Tasten gelöst. Die ersten Regungen nach der Pubertät gehen häufig genug ohne dauernden Schaden irre. Dessoir hat mit Recht darauf aufmerksam gemacht, welche Gesetzmäßigkeit sich in den schwärmerischen Freundschaften von Jünglingen und Mädchen für ihresgleichen verrät. Die größte Macht, welche eine dauernde Inversion des Sexualobjektes abwehrt, ist gewiß die Anziehung, welche die entgegengesetzten Geschlechtscharaktere füreinander äußern; zur Erklärung derselben kann im Zusammenhange dieser Erörterungen nichts gegeben werden </w:t>
      </w:r>
      <w:hyperlink r:id="rId1446"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Es ist hier der Ort, auf eine gewiß phantastische, aber überaus geistreiche Schrift von Ferenczi ( </w:t>
        </w:r>
        <w:r w:rsidRPr="00866B42">
          <w:rPr>
            <w:rStyle w:val="innerfusslink3"/>
            <w:rFonts w:ascii="Garamond" w:hAnsi="Garamond" w:cs="Arial"/>
            <w:b/>
            <w:bCs/>
            <w:i/>
            <w:iCs/>
            <w:lang w:val="en-GB"/>
          </w:rPr>
          <w:t>Versuch einer Genitaltheorie</w:t>
        </w:r>
        <w:r w:rsidRPr="00866B42">
          <w:rPr>
            <w:rStyle w:val="innerfusslink3"/>
            <w:rFonts w:ascii="Garamond" w:hAnsi="Garamond" w:cs="Arial"/>
            <w:b/>
            <w:bCs/>
            <w:lang w:val="en-GB"/>
          </w:rPr>
          <w:t>, 1924) hinzuweisen, in der das Geschlechtsleben der höheren Tiere aus ihrer biologischen Entwicklungsgeschichte abgeleitet wird.</w:t>
        </w:r>
      </w:hyperlink>
      <w:r w:rsidRPr="00866B42">
        <w:rPr>
          <w:rFonts w:ascii="Garamond" w:hAnsi="Garamond"/>
          <w:lang w:val="en-GB"/>
        </w:rPr>
        <w:t>. Aber dieser Faktor reicht für sich allein nicht hin, die Inversion auszuschließen; es kommen wohl allerlei unterstützende Momente hinzu. Vor allem die Autoritätshemmung der Gesellschaft; wo die Inversion nicht als Verbrechen betrachtet wird, da kann man die Erfahrung machen, daß sie den sexuellen Neigungen nicht weniger Individuen voll entspricht. Ferner darf man für den Mann annehmen, daß die Kindererinnerung an die Zärtlichkeit der Mutter und anderer weiblicher Personen, denen er als Kind überantwortet war, energisch mithilft, seine Wahl auf das Weib zu lenken, während die von seiten des Vaters erfahrene frühzeitige Sexualeinschüchterung und die Konkurrenzeinstellung zu ihm vom gleichen Geschlechte ablenkt. Beide Momente gelten aber auch für das Mädchen, dessen Sexualbetätigung unter der besonderen Obhut der Mutter steht. Es ergibt sich so eine feindliche Beziehung zum eigenen Geschlecht, welche die Objektwahl entscheidend in dem für normal geltenden Sinn beeinflußt. Die Erziehung der Knaben durch männliche Personen (Sklaven in der antiken Welt) scheint die Homosexualität zu begünstigen; beim heutigen Adel wird die Häufigkeit der Inversion wohl durch die Verwendung männlicher Dienerschaft wie durch die geringere persönliche Fürsorge der Mütter für ihre Kinder um etwas verständlicher. Bei manchen Hysterischen ergibt sich, daß der frühzeitige Wegfall einer Person des Elternpaares (durch Tod, Ehescheidung, Entfremdung), worauf dann die übrigbleibende die ganze Liebe des Kindes an sich gezogen hatte, die Bedingung für das Geschlecht der später zum Sexualobjekt gewählten Person festgestellt und damit auch die dauernde Inversion ermöglicht hat.</w:t>
      </w:r>
    </w:p>
    <w:p w:rsidR="00646842" w:rsidRPr="00866B42" w:rsidRDefault="00646842" w:rsidP="00646842">
      <w:pPr>
        <w:rPr>
          <w:rFonts w:ascii="Garamond" w:hAnsi="Garamond"/>
          <w:lang w:val="en-GB"/>
        </w:rPr>
      </w:pPr>
      <w:r w:rsidRPr="00866B42">
        <w:rPr>
          <w:rFonts w:ascii="Garamond" w:hAnsi="Garamond"/>
          <w:lang w:val="en-GB"/>
        </w:rPr>
        <w:t>Zusammenfassung</w:t>
      </w:r>
    </w:p>
    <w:p w:rsidR="00646842" w:rsidRPr="00866B42" w:rsidRDefault="00646842" w:rsidP="00646842">
      <w:pPr>
        <w:rPr>
          <w:rFonts w:ascii="Garamond" w:hAnsi="Garamond"/>
          <w:lang w:val="en-GB"/>
        </w:rPr>
      </w:pPr>
      <w:r w:rsidRPr="00866B42">
        <w:rPr>
          <w:rFonts w:ascii="Garamond" w:hAnsi="Garamond"/>
          <w:lang w:val="en-GB"/>
        </w:rPr>
        <w:t xml:space="preserve">Es ist an der Zeit, eine Zusammenfassung zu versuchen. Wir sind von den Abirrungen des Geschlechtstriebes in bezug auf sein Objekt und sein Ziel ausgegangen, haben die Fragestellung vorgefunden, ob diese aus angeborener Anlage entspringen oder infolge der Einflüsse des Lebens erworben werden. Die Beantwortung dieser Frage ergab sich uns aus der Einsicht in die Verhältnisse des Geschlechtstriebes bei den Psychoneurotikern, einer zahlreichen und den Gesunden nicht fernestehenden Menschengruppe, welche Einsicht wir durch psychoanalytische Untersuchung gewonnen hatten. Wir fanden so, daß bei diesen Personen die Neigungen zu allen Perversionen als unbewußte Mächte nachweisbar sind und sich als Symptombildner verraten, und konnten sagen, die Neurose sei gleichsam ein Negativ der Perversion. Angesichts der nun erkannten großen Verbreitung der Perversionsneigungen drängte sich uns der Gesichtspunkt auf, daß die Anlage zu den Perversionen die ursprüngliche allgemeine Anlage des menschlichen Geschlechtstriebes sei, aus welcher das normale Sexualverhalten infolge organischer Veränderungen und psychischer Hemmungen im Laufe der Reifung entwickelt werde. Die ursprüngliche Anlage hofften wir im Kindesalter aufzeigen zu können; unter den die Richtung des Sexualtriebes einschränkenden Mächten hoben wir Scham, Ekel, Mitleid und die sozialen Konstruktionen </w:t>
      </w:r>
      <w:r w:rsidRPr="00866B42">
        <w:rPr>
          <w:rFonts w:ascii="Garamond" w:hAnsi="Garamond"/>
          <w:lang w:val="en-GB"/>
        </w:rPr>
        <w:lastRenderedPageBreak/>
        <w:t>der Moral und Autorität hervor. So mußten wir in jeder fixierten Abirrung vom normalen Geschlechtsleben ein Stück Entwicklungshemmung und Infantilismus erblicken. Die Bedeutung der Variationen der ursprünglichen Anlage mußten wir in den Vordergrund stellen, zwischen ihnen und den Einflüssen des Lebens aber ein Verhältnis von Kooperation und nicht von Gegensätzlichkeit annehmen. Anderseits erschien uns, da die ursprüngliche Anlage eine komplexe sein mußte, der Geschlechtstrieb selbst als etwas aus vielen Faktoren Zusammengesetztes, das in den Perversionen gleichsam in seine Komponenten zerfällt. Somit erwiesen sich die Perversionen einerseits als Hemmungen, andererseits als Dissoziationen der normalen Entwicklung. Beide Auffassungen vereinigten sich in der Annahme, daß der Geschlechtstrieb des Erwachsenen durch die Zusammenfassung vielfacher Regungen des Kinderlebens zu einer Einheit, einer Strebung mit einem einzigen Ziel entstehe.</w:t>
      </w:r>
    </w:p>
    <w:p w:rsidR="00646842" w:rsidRPr="00866B42" w:rsidRDefault="00646842" w:rsidP="00646842">
      <w:pPr>
        <w:rPr>
          <w:rFonts w:ascii="Garamond" w:hAnsi="Garamond"/>
          <w:lang w:val="en-GB"/>
        </w:rPr>
      </w:pPr>
      <w:r w:rsidRPr="00866B42">
        <w:rPr>
          <w:rFonts w:ascii="Garamond" w:hAnsi="Garamond"/>
          <w:lang w:val="en-GB"/>
        </w:rPr>
        <w:t xml:space="preserve">Wir fügten noch die Aufklärung für das Überwiegen der perversen Neigungen bei den Psychoneurotikern bei, indem wir dieses als kollaterale Füllung von Nebenbahnen bei Verlegung des Hauptstrombettes durch die »Verdrängung« erkannten, und wandten uns dann der Betrachtung des Sexuallebens im Kindesalter zu </w:t>
      </w:r>
      <w:hyperlink r:id="rId1447"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Dies gilt nicht nur für die in der Neurose »negativ« auftretenden Perversionsneigungen, sondern ebenso für die positiven, eigentlich so benannten Perversionen. Diese letzteren sind also nicht bloß auf die Fixierung der infantilen Neigungen zurückzuführen, sondern auch auf die Regression zu denselben infolge der Verlegung anderer Bahnen der Sexualströmung. Darum sind auch die positiven Perversionen der psychoanalytischen Therapie zugänglich.</w:t>
        </w:r>
      </w:hyperlink>
      <w:r w:rsidRPr="00866B42">
        <w:rPr>
          <w:rFonts w:ascii="Garamond" w:hAnsi="Garamond"/>
          <w:lang w:val="en-GB"/>
        </w:rPr>
        <w:t xml:space="preserve">. Wir fanden es bedauerlich, daß man dem Kindesalter den Sexualtrieb abgesprochen und die nicht selten zu beobachtenden Sexualäußerungen des Kindes als regelwidrige Vorkommnisse beschrieben hat. Es schien uns vielmehr, daß das Kind Keime von Sexualtätigkeit mit zur Welt bringt und schon bei der Nahrungsaufnahme sexuelle Befriedigung mitgenießt, die es sich dann in der gut gekannten Tätigkeit des »Ludelns« immer wieder zu verschaffen sucht. Die Sexualbetätigung des Kindes entwickle sich aber nicht im gleichen Schritt wie seine sonstigen Funktionen, sondern trete nach einer kurzen Blüteperiode vom zweiten bis zum fünften Jahre in die sogenannte Latenzperiode ein. In derselben würde die Produktion sexueller Erregung keineswegs eingestellt, sondern halte an und liefere einen Vorrat von Energie, der großenteils zu anderen als sexuellen Zwecken verwendet werde, nämlich einerseits zur Abgabe der sexuellen Komponenten für soziale Gefühle, anderseits (vermittels Verdrängung und Reaktionsbildung) zum Aufbau der späteren Sexualschranken. Demnach würden die Mächte, die dazu bestimmt sind, den Sexualtrieb in gewissen Bahnen zu erhalten, im Kindesalter auf Kosten der großenteils perversen Sexualregungen und unter Mithilfe der Erziehung aufgebaut. Ein anderer Teil der infantilen Sexualregungen entgehe diesen Verwendungen und könne sich als Sexualbetätigung äußern. </w:t>
      </w:r>
      <w:r w:rsidRPr="00866B42">
        <w:rPr>
          <w:rFonts w:ascii="Garamond" w:hAnsi="Garamond"/>
        </w:rPr>
        <w:t xml:space="preserve">Man könne dann erfahren, daß die Sexualerregung des Kindes aus vielerlei Quellen fließe. Vor allem entstehe Befriedigung durch die geeignete sensible Erregung sogenannter erogener Zonen, als welche wahrscheinlich jede Hautstelle und jedes Sinnesorgan, wahrscheinlich jedes Organ, fungieren könne, während gewisse ausgezeichnete erogene Zonen existieren, deren Erregung durch gewisse organische Vorrichtungen von Anfang an gesichert sei. Ferner entstehe sexuelle Erregung gleichsam als Nebenprodukt bei einer großen Reihe von Vorgängen im Organismus, sobald dieselben nur eine gewisse Intensität erreichen, ganz besonders bei allen stärkeren Gemütsbewegungen, seien sie auch peinlicher Natur. </w:t>
      </w:r>
      <w:r w:rsidRPr="00866B42">
        <w:rPr>
          <w:rFonts w:ascii="Garamond" w:hAnsi="Garamond"/>
          <w:lang w:val="en-GB"/>
        </w:rPr>
        <w:t xml:space="preserve">Die Erregungen aus all diesen Quellen setzten sich noch nicht zusammen, sondern verfolgten jede vereinzelt ihr Ziel, welches bloß der Gewinn einer gewissen Lust ist. Der Geschlechtstrieb sei also im Kindesalter </w:t>
      </w:r>
      <w:r w:rsidRPr="00866B42">
        <w:rPr>
          <w:rFonts w:ascii="Garamond" w:hAnsi="Garamond"/>
          <w:i/>
          <w:iCs/>
          <w:lang w:val="en-GB"/>
        </w:rPr>
        <w:t>nicht zentriert</w:t>
      </w:r>
      <w:r w:rsidRPr="00866B42">
        <w:rPr>
          <w:rFonts w:ascii="Garamond" w:hAnsi="Garamond"/>
          <w:lang w:val="en-GB"/>
        </w:rPr>
        <w:t xml:space="preserve"> und zunächst objektlos, </w:t>
      </w:r>
      <w:r w:rsidRPr="00866B42">
        <w:rPr>
          <w:rFonts w:ascii="Garamond" w:hAnsi="Garamond"/>
          <w:i/>
          <w:iCs/>
          <w:lang w:val="en-GB"/>
        </w:rPr>
        <w:t>autoerotisch</w:t>
      </w:r>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Noch während der Kinderjahre beginne die erogene Zone der Genitalien sich bemerkbar zu machen, entweder in der Art, daß sie wie jede andere erogene Zone auf geeignete sensible Reizung Befriedigung ergebe, oder indem auf nicht ganz verständliche Weise mit der Befriedigung von anderen Quellen her gleichzeitig eine Sexualerregung erzeugt werde, die zu der Genitalzone eine besondere Beziehung erhalte. Wir haben es bedauern müssen, daß eine genügende Aufklärung des Verhältnisses zwischen </w:t>
      </w:r>
      <w:r w:rsidRPr="00866B42">
        <w:rPr>
          <w:rFonts w:ascii="Garamond" w:hAnsi="Garamond"/>
          <w:lang w:val="en-GB"/>
        </w:rPr>
        <w:lastRenderedPageBreak/>
        <w:t>Sexualbefriedigung und Sexualerregung sowie zwischen der Tätigkeit der Genitalzone und der übrigen Quellen der Sexualität nicht zu erreichen war.</w:t>
      </w:r>
    </w:p>
    <w:p w:rsidR="00646842" w:rsidRPr="00866B42" w:rsidRDefault="00646842" w:rsidP="00646842">
      <w:pPr>
        <w:rPr>
          <w:rFonts w:ascii="Garamond" w:hAnsi="Garamond"/>
          <w:lang w:val="en-GB"/>
        </w:rPr>
      </w:pPr>
      <w:r w:rsidRPr="00866B42">
        <w:rPr>
          <w:rFonts w:ascii="Garamond" w:hAnsi="Garamond"/>
          <w:lang w:val="en-GB"/>
        </w:rPr>
        <w:t xml:space="preserve">Durch das Studium der neurotischen Störungen haben wir gemerkt, daß sich im kindlichen Sexualleben von allem Anfang an Ansätze zu einer Organisation der sexuellen Triebkomponenten erkennen lassen. In einer ersten, sehr frühen Phase steht die </w:t>
      </w:r>
      <w:r w:rsidRPr="00866B42">
        <w:rPr>
          <w:rFonts w:ascii="Garamond" w:hAnsi="Garamond"/>
          <w:i/>
          <w:iCs/>
          <w:lang w:val="en-GB"/>
        </w:rPr>
        <w:t>Oralerotik</w:t>
      </w:r>
      <w:r w:rsidRPr="00866B42">
        <w:rPr>
          <w:rFonts w:ascii="Garamond" w:hAnsi="Garamond"/>
          <w:lang w:val="en-GB"/>
        </w:rPr>
        <w:t xml:space="preserve"> im Vordergrunde; eine zweite dieser » </w:t>
      </w:r>
      <w:r w:rsidRPr="00866B42">
        <w:rPr>
          <w:rFonts w:ascii="Garamond" w:hAnsi="Garamond"/>
          <w:i/>
          <w:iCs/>
          <w:lang w:val="en-GB"/>
        </w:rPr>
        <w:t>prägenitalen</w:t>
      </w:r>
      <w:r w:rsidRPr="00866B42">
        <w:rPr>
          <w:rFonts w:ascii="Garamond" w:hAnsi="Garamond"/>
          <w:lang w:val="en-GB"/>
        </w:rPr>
        <w:t xml:space="preserve">« Organisationen wird durch die Vorherrschaft des </w:t>
      </w:r>
      <w:r w:rsidRPr="00866B42">
        <w:rPr>
          <w:rFonts w:ascii="Garamond" w:hAnsi="Garamond"/>
          <w:i/>
          <w:iCs/>
          <w:lang w:val="en-GB"/>
        </w:rPr>
        <w:t>Sadismus</w:t>
      </w:r>
      <w:r w:rsidRPr="00866B42">
        <w:rPr>
          <w:rFonts w:ascii="Garamond" w:hAnsi="Garamond"/>
          <w:lang w:val="en-GB"/>
        </w:rPr>
        <w:t xml:space="preserve"> und der </w:t>
      </w:r>
      <w:r w:rsidRPr="00866B42">
        <w:rPr>
          <w:rFonts w:ascii="Garamond" w:hAnsi="Garamond"/>
          <w:i/>
          <w:iCs/>
          <w:lang w:val="en-GB"/>
        </w:rPr>
        <w:t>Analerotik</w:t>
      </w:r>
      <w:r w:rsidRPr="00866B42">
        <w:rPr>
          <w:rFonts w:ascii="Garamond" w:hAnsi="Garamond"/>
          <w:lang w:val="en-GB"/>
        </w:rPr>
        <w:t xml:space="preserve"> charakterisiert, erst in einer dritten Phase (die sich beim Kind nur bis zum Primat des Phallus entwickelt) wird das Sexualleben durch den Anteil der eigentlichen Genitalzonen mitbestimmt.</w:t>
      </w:r>
    </w:p>
    <w:p w:rsidR="00646842" w:rsidRPr="00866B42" w:rsidRDefault="00646842" w:rsidP="00646842">
      <w:pPr>
        <w:rPr>
          <w:rFonts w:ascii="Garamond" w:hAnsi="Garamond"/>
          <w:lang w:val="en-GB"/>
        </w:rPr>
      </w:pPr>
      <w:r w:rsidRPr="00866B42">
        <w:rPr>
          <w:rFonts w:ascii="Garamond" w:hAnsi="Garamond"/>
          <w:lang w:val="en-GB"/>
        </w:rPr>
        <w:t>Wir haben dann als eine der überraschendsten Ermittlungen feststellen müssen, daß diese Frühblüte des infantilen Sexuallebens (zwei bis fünf Jahre) auch eine Objektwahl mit all den reichen, seelischen Leistungen zeitigt, so daß die daran geknüpfte, ihr entsprechende Phase trotz der mangelnden Zusammenfassung der einzelnen Triebkomponenten und der Unsicherheit des Sexualzieles als bedeutsamer Vorläufer der späteren endgültigen Sexualorganisation einzuschätzen ist.</w:t>
      </w:r>
    </w:p>
    <w:p w:rsidR="00646842" w:rsidRPr="00866B42" w:rsidRDefault="00646842" w:rsidP="00646842">
      <w:pPr>
        <w:rPr>
          <w:rFonts w:ascii="Garamond" w:hAnsi="Garamond"/>
          <w:lang w:val="en-GB"/>
        </w:rPr>
      </w:pPr>
      <w:r w:rsidRPr="00866B42">
        <w:rPr>
          <w:rFonts w:ascii="Garamond" w:hAnsi="Garamond"/>
          <w:lang w:val="en-GB"/>
        </w:rPr>
        <w:t xml:space="preserve">Die Tatsache des </w:t>
      </w:r>
      <w:r w:rsidRPr="00866B42">
        <w:rPr>
          <w:rFonts w:ascii="Garamond" w:hAnsi="Garamond"/>
          <w:i/>
          <w:iCs/>
          <w:lang w:val="en-GB"/>
        </w:rPr>
        <w:t>zweizeitigen Ansatzes</w:t>
      </w:r>
      <w:r w:rsidRPr="00866B42">
        <w:rPr>
          <w:rFonts w:ascii="Garamond" w:hAnsi="Garamond"/>
          <w:lang w:val="en-GB"/>
        </w:rPr>
        <w:t xml:space="preserve"> der Sexualentwicklung beim Menschen, also die Unterbrechung dieser Entwicklung durch die Latenzzeit, erschien uns besonderer Beachtung würdig. Sie scheint eine der Bedingungen für die Eignung des Menschen zur Entwicklung einer höheren Kultur, aber auch für seine Neigung zur Neurose zu enthalten. Bei der tierischen Verwandtschaft des Menschen ist unseres Wissens etwas Analoges nicht nachweisbar. Die Ableitung der Herkunft dieser menschlichen Eigenschaft müßte man in der Urgeschichte der Menschenart suchen.</w:t>
      </w:r>
    </w:p>
    <w:p w:rsidR="00646842" w:rsidRPr="00866B42" w:rsidRDefault="00646842" w:rsidP="00646842">
      <w:pPr>
        <w:rPr>
          <w:rFonts w:ascii="Garamond" w:hAnsi="Garamond"/>
          <w:lang w:val="en-GB"/>
        </w:rPr>
      </w:pPr>
      <w:r w:rsidRPr="00866B42">
        <w:rPr>
          <w:rFonts w:ascii="Garamond" w:hAnsi="Garamond"/>
          <w:lang w:val="en-GB"/>
        </w:rPr>
        <w:t>Welches Maß von sexuellen Betätigungen im Kindesalter noch als normal, der weiteren Entwicklung nicht abträglich, bezeichnet werden darf, konnten wir nicht sagen. Der Charakter der Sexualäußerungen erwies sich als vorwiegend masturbatorisch. Wir stellten ferner durch Erfahrungen fest, daß die äußeren Einflüsse der Verführung vorzeitige Durchbrüche der Latenzzeit bis zur Aufhebung derselben hervorrufen können und daß sich dabei der Geschlechtstrieb des Kindes in der Tat als polymorph pervers bewährt; ferner, daß jede solche frühzeitige Sexualtätigkeit die Erziehbarkeit des Kindes beeinträchtigt.</w:t>
      </w:r>
    </w:p>
    <w:p w:rsidR="00646842" w:rsidRPr="00866B42" w:rsidRDefault="00646842" w:rsidP="00646842">
      <w:pPr>
        <w:rPr>
          <w:rFonts w:ascii="Garamond" w:hAnsi="Garamond"/>
          <w:lang w:val="en-GB"/>
        </w:rPr>
      </w:pPr>
      <w:r w:rsidRPr="00866B42">
        <w:rPr>
          <w:rFonts w:ascii="Garamond" w:hAnsi="Garamond"/>
          <w:lang w:val="en-GB"/>
        </w:rPr>
        <w:t>Trotz der Lückenhaftigkeit unserer Einsichten in das infantile Sexualleben mußten wir dann den Versuch machen, die durch das Auftreten der Pubertät gesetzten Veränderungen desselben zu studieren. Wir griffen zwei derselben als die maßgebenden heraus, die Unterordnung aller sonstigen Ursprünge der Sexualerregung unter das Primat der Genitalzonen und den Prozeß der Objektfindung. Beide sind im Kinderleben bereits vorgebildet. Die erstere vollzieht sich durch den Mechanismus der Ausnützung der Vorlust, wobei die sonst selbständigen sexuellen Akte, die mit Lust und Erregung verbunden sind, zu vorbereitenden Akten für das neue Sexualziel, die Entleerung der Geschlechtsprodukte, werden, dessen Erreichung unter riesiger Lust der Sexualerregung ein Ende macht. Wir hatten dabei die Differenzierung des geschlechtlichen Wesens zu Mann und Weib zu berücksichtigen und fanden, daß zum Weibwerden eine neuerliche Verdrängung erforderlich ist, welche ein Stück infantiler Männlichkeit aufhebt und das Weib für den Wechsel der leitenden Genitalzone vorbereitet. Die Objektwahl endlich fanden wir geleitet durch die infantilen, zur Pubertät aufgefrischten Andeutungen sexueller Neigung des Kindes zu seinen Eltern und Pflegepersonen und durch die mittlerweile aufgerichtete Inzestschranke von diesen Personen weg auf ihnen ähnliche gelenkt. Fügen wir endlich noch hinzu, daß während der Übergangszeit der Pubertät die somatischen und die psychischen Entwicklungsvorgänge eine Weile unverknüpft nebeneinander hergehen, bis mit dem Durchbruch einer intensiven seelischen Liebesregung zur Innervation der Genitalien die normalerweise erforderte Einheit der Liebesfunktion hergestellt wird.</w:t>
      </w:r>
    </w:p>
    <w:p w:rsidR="00646842" w:rsidRPr="00866B42" w:rsidRDefault="00646842" w:rsidP="00646842">
      <w:pPr>
        <w:rPr>
          <w:rFonts w:ascii="Garamond" w:hAnsi="Garamond"/>
          <w:lang w:val="en-GB"/>
        </w:rPr>
      </w:pPr>
      <w:r w:rsidRPr="00866B42">
        <w:rPr>
          <w:rFonts w:ascii="Garamond" w:hAnsi="Garamond"/>
          <w:lang w:val="en-GB"/>
        </w:rPr>
        <w:t xml:space="preserve">Entwicklungsstörende Momente. Jeder Schritt auf diesem langen Entwicklungswege kann zur Fixierungsstelle, jede Fuge dieser verwickelten Zusammensetzung zum Anlaß der Dissoziation des Geschlechtstriebes werden, wie wir bereits an verschiedenen Beispielen erörtert haben. Es erübrigt uns </w:t>
      </w:r>
      <w:r w:rsidRPr="00866B42">
        <w:rPr>
          <w:rFonts w:ascii="Garamond" w:hAnsi="Garamond"/>
          <w:lang w:val="en-GB"/>
        </w:rPr>
        <w:lastRenderedPageBreak/>
        <w:t>noch, eine Übersicht der verschiedenen, die Entwicklung störenden inneren und äußeren Momente zu geben und beizufügen, an welcher Stelle des Mechanismus die von ihnen ausgehende Störung angreift. Was wir da in einer Reihe anführen, kann freilich unter sich nicht gleichwertig sein, und wir müssen auf Schwierigkeiten rechnen, den einzelnen Momenten die ihnen gebührende Abschätzung zuzuteilen.</w:t>
      </w:r>
    </w:p>
    <w:p w:rsidR="00646842" w:rsidRPr="00866B42" w:rsidRDefault="00646842" w:rsidP="00646842">
      <w:pPr>
        <w:rPr>
          <w:rFonts w:ascii="Garamond" w:hAnsi="Garamond"/>
          <w:lang w:val="en-GB"/>
        </w:rPr>
      </w:pPr>
      <w:r w:rsidRPr="00866B42">
        <w:rPr>
          <w:rFonts w:ascii="Garamond" w:hAnsi="Garamond"/>
          <w:lang w:val="en-GB"/>
        </w:rPr>
        <w:t xml:space="preserve">Konstitution und Heredität. An erster Stelle ist hier die angeborene </w:t>
      </w:r>
      <w:r w:rsidRPr="00866B42">
        <w:rPr>
          <w:rFonts w:ascii="Garamond" w:hAnsi="Garamond"/>
          <w:i/>
          <w:iCs/>
          <w:lang w:val="en-GB"/>
        </w:rPr>
        <w:t>Verschiedenheit der sexuellen Konstitution</w:t>
      </w:r>
      <w:r w:rsidRPr="00866B42">
        <w:rPr>
          <w:rFonts w:ascii="Garamond" w:hAnsi="Garamond"/>
          <w:lang w:val="en-GB"/>
        </w:rPr>
        <w:t xml:space="preserve"> zu nennen, auf die wahrscheinlich das Hauptgewicht entfällt, die aber, wie begreiflich, nur aus ihren späteren Äußerungen und dann nicht immer mit großer Sicherheit zu erschließen ist. Wir stellen uns unter ihr ein Überwiegen dieser oder jener der mannigfachen Quellen der Sexualerregung vor und glauben, daß solche Verschiedenheit der Anlagen in dem Endergebnis jedenfalls zum Ausdruck kommen muß, auch wenn dies sich innerhalb der Grenzen des Normalen zu halten vermag. Gewiß sind auch solche Variationen der ursprünglichen Anlage denkbar, welche notwendigerweise und ohne weitere Mithilfe zur Ausbildung eines abnormen Sexuallebens führen müssen. Man kann dieselben dann »degenerative« heißen und als Ausdruck ererbter Verschlechterung betrachten. Ich habe in diesem Zusammenhange eine merkwürdige Tatsache zu berichten. Bei mehr als der Hälfte meiner psychotherapeutisch behandelten schweren Fälle von Hysterie, Zwangsneurose usw. ist mir der Nachweis der vor der Ehe überstandenen Syphilis der Väter sicher gelungen, sei es, daß diese an Tabes oder progressiver Paralyse gelitten hatten, sei es, daß deren luetische Erkrankung sich anderswie anamnestisch feststellen ließ. Ich bemerke ausdrücklich, daß die später neurotischen Kinder keine körperlichen Zeichen von hereditärer Lues an sich trugen, so daß eben die abnorme sexuelle Konstitution als der letzte Ausläufer der luetischen Erbschaft zu betrachten war. So fern es mir nun liegt, die Abkunft von syphilitischen Eltern als regelmäßige oder unentbehrliche ätiologische Bedingung der neuropathischen Konstitution hinzustellen, so halte ich doch das von mir beobachtete Zusammentreffen für nicht zufällig und nicht bedeutungslos.</w:t>
      </w:r>
    </w:p>
    <w:p w:rsidR="00646842" w:rsidRPr="00866B42" w:rsidRDefault="00646842" w:rsidP="00646842">
      <w:pPr>
        <w:rPr>
          <w:rFonts w:ascii="Garamond" w:hAnsi="Garamond"/>
          <w:lang w:val="en-GB"/>
        </w:rPr>
      </w:pPr>
      <w:r w:rsidRPr="00866B42">
        <w:rPr>
          <w:rFonts w:ascii="Garamond" w:hAnsi="Garamond"/>
          <w:lang w:val="en-GB"/>
        </w:rPr>
        <w:t>Die hereditären Verhältnisse der positiv Perversen sind minder gut bekannt, weil dieselben sich der Erkundung zu entziehen wissen. Doch hat man Grund anzunehmen, daß bei den Perversionen ähnliches wie bei den Neurosen gilt. Nicht selten findet man nämlich Perversion und Psychoneurose in denselben Familien auf die verschiedenen Geschlechter so verteilt, daß die männlichen Mitglieder oder eines derselben positiv pervers, die weiblichen aber der Verdrängungsneigung ihres Geschlechts entsprechend negativ pervers, hysterisch sind, ein guter Beleg für die von uns gefundenen Wesensbeziehungen zwischen den beiden Störungen.</w:t>
      </w:r>
    </w:p>
    <w:p w:rsidR="00646842" w:rsidRPr="00866B42" w:rsidRDefault="00646842" w:rsidP="00646842">
      <w:pPr>
        <w:rPr>
          <w:rFonts w:ascii="Garamond" w:hAnsi="Garamond"/>
          <w:lang w:val="en-GB"/>
        </w:rPr>
      </w:pPr>
      <w:r w:rsidRPr="00866B42">
        <w:rPr>
          <w:rFonts w:ascii="Garamond" w:hAnsi="Garamond"/>
          <w:lang w:val="en-GB"/>
        </w:rPr>
        <w:t xml:space="preserve">Weitere Verarbeitung. Man kann indes den Standpunkt nicht vertreten, als ob mit dem Ansatz der verschiedenen Komponenten in der sexuellen Konstitution die Entscheidung über die Gestaltung des Sexuallebens eindeutig bestimmt wäre. Die Bedingtheit setzt sich vielmehr fort, und weitere Möglichkeiten ergeben sich je nach dem Schicksal, welches die aus den einzelnen Quellen stammenden Sexualitätszuflüsse erfahren. Diese </w:t>
      </w:r>
      <w:r w:rsidRPr="00866B42">
        <w:rPr>
          <w:rFonts w:ascii="Garamond" w:hAnsi="Garamond"/>
          <w:i/>
          <w:iCs/>
          <w:lang w:val="en-GB"/>
        </w:rPr>
        <w:t>weitere Verarbeitung</w:t>
      </w:r>
      <w:r w:rsidRPr="00866B42">
        <w:rPr>
          <w:rFonts w:ascii="Garamond" w:hAnsi="Garamond"/>
          <w:lang w:val="en-GB"/>
        </w:rPr>
        <w:t xml:space="preserve"> ist offenbar das endgültig Entscheidende, während die der Beschreibung nach gleiche Konstitution zu drei verschiedenen Endausgängen führen kann. [1]Wenn sich alle die Anlagen in ihrem als abnorm angenommenen relativen Verhältnis erhalten und mit der Reifung verstärken, so kann nur ein perverses Sexualleben das Endergebnis sein. Die Analyse solcher abnormer konstitutioneller Anlagen ist noch nicht ordentlich in Angriff genommen worden, doch kennen wir bereits Fälle, die in solchen Annahmen mit Leichtigkeit ihre Erklärung finden. Die Autoren meinen zum Beispiel von einer ganzen Reihe von Fixationsperversionen, dieselben hätten eine angeborene Schwäche des Sexualtriebes zur notwendigen Voraussetzung. In dieser Form scheint mir die Aufstellung unhaltbar; sie wird aber sinnreich, wenn eine konstitutionelle Schwäche des einen Faktors des Sexualtriebes, der genitalen Zone, gemeint ist, welche Zone späterhin die Zusammenfassung der einzelnen Sexualbetätigungen zum Ziel der Fortpflanzung als Funktion übernimmt. Diese in der Pubertät geforderte Zusammenfassung muß dann mißlingen, und die stärkste der anderen Sexualitätskomponenten wird ihre Betätigung als Perversion durchsetzen </w:t>
      </w:r>
      <w:hyperlink r:id="rId1448"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Man sieht dabei häufig, daß in der Pubertätszeit zunächst eine normale Sexualströmung einsetzt, welche aber infolge ihrer inneren Schwäche vor </w:t>
        </w:r>
        <w:r w:rsidRPr="00866B42">
          <w:rPr>
            <w:rStyle w:val="innerfusslink3"/>
            <w:rFonts w:ascii="Garamond" w:hAnsi="Garamond" w:cs="Arial"/>
            <w:b/>
            <w:bCs/>
            <w:lang w:val="en-GB"/>
          </w:rPr>
          <w:lastRenderedPageBreak/>
          <w:t>den ersten äußeren Hindernissen zusammenbricht und dann von der Regression auf die perverse Fixierung abgelöst wird.</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Verdrängung. [2] Ein anderer Ausgang ergibt sich, wenn im Laufe der Entwicklung einzelne der überstark angelegten Komponenten den Prozeß der </w:t>
      </w:r>
      <w:r w:rsidRPr="00866B42">
        <w:rPr>
          <w:rFonts w:ascii="Garamond" w:hAnsi="Garamond"/>
          <w:i/>
          <w:iCs/>
          <w:lang w:val="en-GB"/>
        </w:rPr>
        <w:t>Verdrängung</w:t>
      </w:r>
      <w:r w:rsidRPr="00866B42">
        <w:rPr>
          <w:rFonts w:ascii="Garamond" w:hAnsi="Garamond"/>
          <w:lang w:val="en-GB"/>
        </w:rPr>
        <w:t xml:space="preserve"> erfahren, von dem man festhalten muß, daß er einer Aufhebung nicht gleichkommt. Die betreffenden Erregungen werden dabei wie sonst erzeugt, aber durch psychische Verhinderung von der Erreichung ihres Zieles abgehalten und auf mannigfache andere Wege gedrängt, bis sie sich als Symptome zum Ausdruck gebracht haben. Das Ergebnis kann ein annähernd normales Sexualleben sein meist ein eingeschränktes, aber ergänzt durch psychoneurotische Krankheit. Gerade diese Fälle sind uns durch die psychoanalytische Erforschung Neurotischer gut bekannt geworden. Das Sexualleben solcher Personen hat wie das der Perversen begonnen, ein ganzes Stück ihrer Kindheit ist mit perverser Sexualtätigkeit ausgefüllt, die sich gelegentlich weit über die Reifezeit erstreckt; dann erfolgt aus inneren Ursachen meist noch vor der Pubertät, aber hie und da sogar spät nachher ein Verdrängungsumschlag, und von nun an tritt, ohne daß die alten Regungen erlöschen, Neurose an die Stelle der Perversion. Man wird an das Sprichwort »Junge Hure, alte Betschwester« erinnert, nur daß die Jugend hier allzu kurz ausgefallen ist. Diese Ablösung der Perversion durch die Neurose im Leben derselben Person muß man ebenso wie die vorhin angeführte Verteilung von Perversion und Neurose auf verschiedene Personen derselben Familie mit der Einsicht, daß die Neurose das Negativ der Perversion ist, zusammenhalten.</w:t>
      </w:r>
    </w:p>
    <w:p w:rsidR="00646842" w:rsidRPr="00866B42" w:rsidRDefault="00646842" w:rsidP="00646842">
      <w:pPr>
        <w:rPr>
          <w:rFonts w:ascii="Garamond" w:hAnsi="Garamond"/>
          <w:lang w:val="en-GB"/>
        </w:rPr>
      </w:pPr>
      <w:r w:rsidRPr="00866B42">
        <w:rPr>
          <w:rFonts w:ascii="Garamond" w:hAnsi="Garamond"/>
          <w:lang w:val="en-GB"/>
        </w:rPr>
        <w:t xml:space="preserve">Sublimierung. [3] Der dritte Ausgang bei abnormer konstitutioneller Anlage wird durch den Prozeß der » </w:t>
      </w:r>
      <w:r w:rsidRPr="00866B42">
        <w:rPr>
          <w:rFonts w:ascii="Garamond" w:hAnsi="Garamond"/>
          <w:i/>
          <w:iCs/>
          <w:lang w:val="en-GB"/>
        </w:rPr>
        <w:t>Sublimierung</w:t>
      </w:r>
      <w:r w:rsidRPr="00866B42">
        <w:rPr>
          <w:rFonts w:ascii="Garamond" w:hAnsi="Garamond"/>
          <w:lang w:val="en-GB"/>
        </w:rPr>
        <w:t xml:space="preserve">« ermöglicht, bei welchem den überstarken Erregungen aus einzelnen Sexualitätsquellen Abfluß und Verwendung auf andere Gebiete eröffnet wird, so daß eine nicht unerhebliche Steigerung der psychischen Leistungsfähigkeit aus der an sich gefährlichen Veranlagung resultiert. Eine der Quellen der Kunstbetätigung ist hier zu finden, und je nachdem solche Sublimierung eine vollständige oder unvollständige ist, wird die Charakteranalyse hochbegabter, insbesondere künstlerisch veranlagter Personen jedes Mengungsverhältnis zwischen Leistungsfähigkeit, Perversion und Neurose ergeben. Eine Unterart der Sublimierung ist wohl die Unterdrückung durch </w:t>
      </w:r>
      <w:r w:rsidRPr="00866B42">
        <w:rPr>
          <w:rFonts w:ascii="Garamond" w:hAnsi="Garamond"/>
          <w:i/>
          <w:iCs/>
          <w:lang w:val="en-GB"/>
        </w:rPr>
        <w:t>Reaktionsbildung</w:t>
      </w:r>
      <w:r w:rsidRPr="00866B42">
        <w:rPr>
          <w:rFonts w:ascii="Garamond" w:hAnsi="Garamond"/>
          <w:lang w:val="en-GB"/>
        </w:rPr>
        <w:t xml:space="preserve">, die, wie wir gefunden haben, bereits in der Latenzzeit des Kindes beginnt, um sich im günstigen Falle durchs ganze Leben fortzusetzen. Was wir den »Charakter« eines Menschen heißen, ist zum guten Teil mit dem Material sexueller Erregungen aufgebaut und setzt sich aus seit der Kindheit fixierten Trieben, aus durch Sublimierung gewonnenen und aus solchen Konstruktionen zusammen, die zur wirksamen Niederhaltung perverser, als unverwendbar erkannter Regungen bestimmt sind </w:t>
      </w:r>
      <w:hyperlink r:id="rId1449"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Bei einigen Charakterzügen ist selbst ein Zusammenhang mit bestimmten erogenen Komponenten erkannt worden. So leiten sich Trotz, Sparsamkeit und Ordentlichkeit aus der Verwendung der Analerotik ab. Der Ehrgeiz wird durch eine starke urethralerotische Anlage bestimmt.</w:t>
        </w:r>
      </w:hyperlink>
      <w:r w:rsidRPr="00866B42">
        <w:rPr>
          <w:rFonts w:ascii="Garamond" w:hAnsi="Garamond"/>
          <w:lang w:val="en-GB"/>
        </w:rPr>
        <w:t xml:space="preserve">. Somit kann die allgemein perverse Sexualanlage der Kindheit als die Quelle einer Reihe unserer Tugenden geschätzt werden, insofern sie durch Reaktionsbildung zur Schaffung derselben Anstoß gibt </w:t>
      </w:r>
      <w:hyperlink r:id="rId1450"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 xml:space="preserve">Ein Menschenkenner wie E. Zola schildert in </w:t>
        </w:r>
        <w:r w:rsidRPr="00866B42">
          <w:rPr>
            <w:rStyle w:val="innerfusslink3"/>
            <w:rFonts w:ascii="Garamond" w:hAnsi="Garamond" w:cs="Arial"/>
            <w:b/>
            <w:bCs/>
            <w:i/>
            <w:iCs/>
            <w:lang w:val="en-GB"/>
          </w:rPr>
          <w:t>La joie de vivre</w:t>
        </w:r>
        <w:r w:rsidRPr="00866B42">
          <w:rPr>
            <w:rStyle w:val="innerfusslink3"/>
            <w:rFonts w:ascii="Garamond" w:hAnsi="Garamond" w:cs="Arial"/>
            <w:b/>
            <w:bCs/>
            <w:lang w:val="en-GB"/>
          </w:rPr>
          <w:t xml:space="preserve"> ein Mädchen, das in heiterer Selbstentäußerung alles, was es besitzt und beanspruchen könnte, sein Vermögen und seine Lebenswünsche geliebten Personen ohne Entlohnung zum Opfer bringt. Die Kindheit dieses Mädchens ist von einem unersättlichen Zärtlichkeitsbedürfnis beherrscht, das sie bei einer Gelegenheit von Zurücksetzung gegen eine andere in Grausamkeit verfallen läßt.</w:t>
        </w:r>
      </w:hyperlink>
      <w:r w:rsidRPr="00866B42">
        <w:rPr>
          <w:rFonts w:ascii="Garamond" w:hAnsi="Garamond"/>
          <w:lang w:val="en-GB"/>
        </w:rPr>
        <w:t>.</w:t>
      </w:r>
    </w:p>
    <w:p w:rsidR="00646842" w:rsidRPr="00866B42" w:rsidRDefault="00646842" w:rsidP="00646842">
      <w:pPr>
        <w:rPr>
          <w:rFonts w:ascii="Garamond" w:hAnsi="Garamond"/>
          <w:lang w:val="en-GB"/>
        </w:rPr>
      </w:pPr>
      <w:r w:rsidRPr="00866B42">
        <w:rPr>
          <w:rFonts w:ascii="Garamond" w:hAnsi="Garamond"/>
          <w:lang w:val="en-GB"/>
        </w:rPr>
        <w:t xml:space="preserve">Akzidentell Erlebtes. Gegenüber den Sexualentbindungen, Verdrängungsschüben und Sublimierungen, letztere beide Vorgänge, deren innere Bedingungen uns völlig unbekannt sind, treten alle anderen Einflüsse weit an Bedeutung zurück. Wer Verdrängungen und Sublimierungen mit zur konstitutionellen Anlage rechnet, als die Lebensäußerungen derselben betrachtet, der hat allerdings das Recht zu behaupten, daß die Endgestaltung des Sexuallebens vor allem das Ergebnis der angeborenen Konstitution ist. Indes wird kein Einsichtiger bestreiten, daß in solchem Zusammenwirken von Faktoren auch Raum für die </w:t>
      </w:r>
      <w:r w:rsidRPr="00866B42">
        <w:rPr>
          <w:rFonts w:ascii="Garamond" w:hAnsi="Garamond"/>
          <w:lang w:val="en-GB"/>
        </w:rPr>
        <w:lastRenderedPageBreak/>
        <w:t>modifizierenden Einflüsse des akzidentell in der Kindheit und späterhin Erlebten bleibt. Es ist nicht leicht, die Wirksamkeit der konstitutionellen und der akzidentellen Faktoren in ihrem Verhältnis zueinander abzuschätzen. In der Theorie neigt man immer zur Überschätzung der ersteren; die therapeutische Praxis hebt die Bedeutsamkeit der letzteren hervor. Man sollte auf keinen Fall vergessen, daß zwischen den beiden ein Verhältnis von Kooperation und nicht von Ausschließung besteht. Das konstitutionelle Moment muß auf Erlebnisse warten, die es zur Geltung bringen, das akzidentelle bedarf einer Anlehnung an die Konstitution, um zur Wirkung zu kommen. Man kann sich für die Mehrzahl der Fälle eine sogenannte »Ergänzungsreihe« vorstellen, in welcher die fallenden Intensitäten des einen Faktors durch die steigenden des anderen ausgeglichen werden, hat aber keinen Grund, die Existenz extremer Fälle an den Enden der Reihe zu leugnen.</w:t>
      </w:r>
    </w:p>
    <w:p w:rsidR="00646842" w:rsidRPr="00866B42" w:rsidRDefault="00646842" w:rsidP="00646842">
      <w:pPr>
        <w:rPr>
          <w:rFonts w:ascii="Garamond" w:hAnsi="Garamond"/>
          <w:lang w:val="en-GB"/>
        </w:rPr>
      </w:pPr>
      <w:r w:rsidRPr="00866B42">
        <w:rPr>
          <w:rFonts w:ascii="Garamond" w:hAnsi="Garamond"/>
          <w:lang w:val="en-GB"/>
        </w:rPr>
        <w:t xml:space="preserve">Der psychoanalytischen Forschung entspricht es noch besser, wenn man den Erlebnissen der frühen Kindheit unter den akzidentellen Momenten eine Vorzugsstellung einräumt. Die eine ätiologische Reihe zerlegt sich dann in zwei, die man die </w:t>
      </w:r>
      <w:r w:rsidRPr="00866B42">
        <w:rPr>
          <w:rFonts w:ascii="Garamond" w:hAnsi="Garamond"/>
          <w:i/>
          <w:iCs/>
          <w:lang w:val="en-GB"/>
        </w:rPr>
        <w:t>dispositionelle</w:t>
      </w:r>
      <w:r w:rsidRPr="00866B42">
        <w:rPr>
          <w:rFonts w:ascii="Garamond" w:hAnsi="Garamond"/>
          <w:lang w:val="en-GB"/>
        </w:rPr>
        <w:t xml:space="preserve"> und die </w:t>
      </w:r>
      <w:r w:rsidRPr="00866B42">
        <w:rPr>
          <w:rFonts w:ascii="Garamond" w:hAnsi="Garamond"/>
          <w:i/>
          <w:iCs/>
          <w:lang w:val="en-GB"/>
        </w:rPr>
        <w:t>definitive</w:t>
      </w:r>
      <w:r w:rsidRPr="00866B42">
        <w:rPr>
          <w:rFonts w:ascii="Garamond" w:hAnsi="Garamond"/>
          <w:lang w:val="en-GB"/>
        </w:rPr>
        <w:t xml:space="preserve"> heißen kann. In der ersteren wirken Konstitution und akzidentelle Kindheitserlebnisse ebenso zusammen wie in der zweiten Disposition und spätere traumatische Erlebnisse. Alle die Sexualentwicklung schädigenden Momente äußern ihre Wirkung in der Weise, daß sie eine </w:t>
      </w:r>
      <w:r w:rsidRPr="00866B42">
        <w:rPr>
          <w:rFonts w:ascii="Garamond" w:hAnsi="Garamond"/>
          <w:i/>
          <w:iCs/>
          <w:lang w:val="en-GB"/>
        </w:rPr>
        <w:t>Regression,</w:t>
      </w:r>
      <w:r w:rsidRPr="00866B42">
        <w:rPr>
          <w:rFonts w:ascii="Garamond" w:hAnsi="Garamond"/>
          <w:lang w:val="en-GB"/>
        </w:rPr>
        <w:t xml:space="preserve"> eine Rückkehr zu einer früheren Entwicklungsphase hervorrufen.</w:t>
      </w:r>
    </w:p>
    <w:p w:rsidR="00646842" w:rsidRPr="00866B42" w:rsidRDefault="00646842" w:rsidP="00646842">
      <w:pPr>
        <w:rPr>
          <w:rFonts w:ascii="Garamond" w:hAnsi="Garamond"/>
          <w:lang w:val="en-GB"/>
        </w:rPr>
      </w:pPr>
      <w:r w:rsidRPr="00866B42">
        <w:rPr>
          <w:rFonts w:ascii="Garamond" w:hAnsi="Garamond"/>
          <w:lang w:val="en-GB"/>
        </w:rPr>
        <w:t> </w:t>
      </w:r>
    </w:p>
    <w:p w:rsidR="00646842" w:rsidRPr="00646842" w:rsidRDefault="00646842" w:rsidP="00646842">
      <w:pPr>
        <w:rPr>
          <w:rFonts w:ascii="Garamond" w:hAnsi="Garamond"/>
          <w:lang w:val="en-GB"/>
        </w:rPr>
      </w:pPr>
      <w:r w:rsidRPr="00646842">
        <w:rPr>
          <w:rFonts w:ascii="Garamond" w:hAnsi="Garamond"/>
          <w:lang w:val="en-GB"/>
        </w:rPr>
        <w:t>Wir setzen hier unsere Aufgabe fort, die uns als einflußreich für die Sexualentwicklung bekannt gewordenen Momente aufzuzählen, sei es, daß diese wirksame Mächte oder bloß Äußerungen solcher darstellen.</w:t>
      </w:r>
    </w:p>
    <w:p w:rsidR="00646842" w:rsidRPr="00646842" w:rsidRDefault="00646842" w:rsidP="00646842">
      <w:pPr>
        <w:rPr>
          <w:rFonts w:ascii="Garamond" w:hAnsi="Garamond"/>
          <w:lang w:val="en-GB"/>
        </w:rPr>
      </w:pPr>
      <w:r w:rsidRPr="00646842">
        <w:rPr>
          <w:rFonts w:ascii="Garamond" w:hAnsi="Garamond"/>
          <w:lang w:val="en-GB"/>
        </w:rPr>
        <w:t xml:space="preserve">Frühreife. Ein solches Moment ist die spontane sexuelle </w:t>
      </w:r>
      <w:r w:rsidRPr="00646842">
        <w:rPr>
          <w:rFonts w:ascii="Garamond" w:hAnsi="Garamond"/>
          <w:i/>
          <w:iCs/>
          <w:lang w:val="en-GB"/>
        </w:rPr>
        <w:t>Frühreife,</w:t>
      </w:r>
      <w:r w:rsidRPr="00646842">
        <w:rPr>
          <w:rFonts w:ascii="Garamond" w:hAnsi="Garamond"/>
          <w:lang w:val="en-GB"/>
        </w:rPr>
        <w:t xml:space="preserve"> die wenigstens in der Ätiologie der Neurosen mit Sicherheit nachweisbar ist, wenngleich sie so wenig wie andere Momente für sich allein zur Verursachung hinreicht. Sie äußert sich in Durchbrechung, Verkürzung oder Aufhebung der infantilen Latenzzeit und wird zur Ursache von Störungen, indem sie Sexualäußerungen veranlaßt, die einerseits wegen des unfertigen Zustandes der Sexualhemmungen, andererseits infolge des unentwickelten Genitalsystems nur den Charakter von Perversionen an sich tragen können. Diese Perversionsneigungen mögen sich nun als solche erhalten oder nach eingetretenen Verdrängungen zu Triebkräften neurotischer Symptome werden; auf alle Fälle erschwert die sexuelle Frühreife die wünschenswerte spätere Beherrschung des Sexualtriebes durch die höheren seelischen Instanzen und steigert den zwangartigen Charakter, den die psychischen Vertretungen des Triebes ohnedies in Anspruch nehmen. Die sexuelle Frühreife geht häufig vorzeitiger intellektueller Entwicklung parallel; als solche findet sie sich in der Kindheitsgeschichte der bedeutendsten und leistungsfähigsten Individuen; sie scheint dann nicht ebenso pathogen zu wirken, wie wenn sie isoliert auftritt.</w:t>
      </w:r>
    </w:p>
    <w:p w:rsidR="00646842" w:rsidRPr="00866B42" w:rsidRDefault="00646842" w:rsidP="00646842">
      <w:pPr>
        <w:rPr>
          <w:rFonts w:ascii="Garamond" w:hAnsi="Garamond"/>
          <w:lang w:val="en-GB"/>
        </w:rPr>
      </w:pPr>
      <w:r w:rsidRPr="00866B42">
        <w:rPr>
          <w:rFonts w:ascii="Garamond" w:hAnsi="Garamond"/>
          <w:lang w:val="en-GB"/>
        </w:rPr>
        <w:t xml:space="preserve">Zeitliche Momente. Ebenso wie die Frühreife fordern andere Momente Berücksichtigung, die man als » </w:t>
      </w:r>
      <w:r w:rsidRPr="00866B42">
        <w:rPr>
          <w:rFonts w:ascii="Garamond" w:hAnsi="Garamond"/>
          <w:i/>
          <w:iCs/>
          <w:lang w:val="en-GB"/>
        </w:rPr>
        <w:t>zeitliche</w:t>
      </w:r>
      <w:r w:rsidRPr="00866B42">
        <w:rPr>
          <w:rFonts w:ascii="Garamond" w:hAnsi="Garamond"/>
          <w:lang w:val="en-GB"/>
        </w:rPr>
        <w:t xml:space="preserve">« mit der Frühreife zusammenfassen kann. Es scheint phylogenetisch festgelegt, in welcher Reihenfolge die einzelnen Triebregungen aktiviert werden und wie lange sie sich äußern können, bis sie dem Einfluß einer neu auftretenden Triebregung oder einer typischen Verdrängung unterliegen. Allein sowohl in dieser zeitlichen Aufeinanderfolge wie in der Zeitdauer derselben scheinen Variationen vorzukommen, die auf das Endergebnis einen bestimmenden Einfluß üben müssen. Es kann nicht gleichgültig sein, ob eine gewisse Strömung früher oder später auftritt als ihre Gegenströmung, denn die Wirkung einer Verdrängung ist nicht rückgängig zu machen: eine zeitliche Abweichung in der Zusammensetzung der Komponenten ergibt regelmäßig eine Änderung des Resultats. Andererseits nehmen besonders intensiv auftretende Triebregungen oft einen überraschend schnellen Ablauf, z.B. die heterosexuelle Bindung der später manifest Homosexuellen. Die am heftigsten einsetzenden Strebungen der Kinderjahre rechtfertigen nicht die Befürchtung, daß sie den Charakter des Erwachsenen dauernd </w:t>
      </w:r>
      <w:r w:rsidRPr="00866B42">
        <w:rPr>
          <w:rFonts w:ascii="Garamond" w:hAnsi="Garamond"/>
          <w:lang w:val="en-GB"/>
        </w:rPr>
        <w:lastRenderedPageBreak/>
        <w:t>beherrschen werden; man darf ebensowohl erwarten, daß sie verschwinden werden, um ihrem Gegenteil Platz zu machen. (»Gestrenge Herren regieren nicht lange.«) Worauf solche zeitliche Verwirrungen der Entwicklungsvorgänge rückführbar sind, vermögen wir auch nicht in Andeutungen anzugeben. Es eröffnet sich hier ein Ausblick auf eine tiefere Phalanx von biologischen, vielleicht auch historischen Problemen, denen wir uns noch nicht auf Kampfesweite angenähert haben.</w:t>
      </w:r>
    </w:p>
    <w:p w:rsidR="00646842" w:rsidRPr="00866B42" w:rsidRDefault="00646842" w:rsidP="00646842">
      <w:pPr>
        <w:rPr>
          <w:rFonts w:ascii="Garamond" w:hAnsi="Garamond"/>
          <w:lang w:val="en-GB"/>
        </w:rPr>
      </w:pPr>
      <w:r w:rsidRPr="00866B42">
        <w:rPr>
          <w:rFonts w:ascii="Garamond" w:hAnsi="Garamond"/>
          <w:lang w:val="en-GB"/>
        </w:rPr>
        <w:t xml:space="preserve">Haftbarkeit. Die Bedeutung aller frühzeitigen Sexualäußerungen wird durch einen psychischen Faktor unbekannter Herkunft gesteigert, den man derzeit freilich nur als eine psychologische Vorläufigkeit hinstellen kann. Ich meine die erhöhte </w:t>
      </w:r>
      <w:r w:rsidRPr="00866B42">
        <w:rPr>
          <w:rFonts w:ascii="Garamond" w:hAnsi="Garamond"/>
          <w:i/>
          <w:iCs/>
          <w:lang w:val="en-GB"/>
        </w:rPr>
        <w:t>Haftbarkeit</w:t>
      </w:r>
      <w:r w:rsidRPr="00866B42">
        <w:rPr>
          <w:rFonts w:ascii="Garamond" w:hAnsi="Garamond"/>
          <w:lang w:val="en-GB"/>
        </w:rPr>
        <w:t xml:space="preserve"> oder </w:t>
      </w:r>
      <w:r w:rsidRPr="00866B42">
        <w:rPr>
          <w:rFonts w:ascii="Garamond" w:hAnsi="Garamond"/>
          <w:i/>
          <w:iCs/>
          <w:lang w:val="en-GB"/>
        </w:rPr>
        <w:t>Fixierbarkeit</w:t>
      </w:r>
      <w:r w:rsidRPr="00866B42">
        <w:rPr>
          <w:rFonts w:ascii="Garamond" w:hAnsi="Garamond"/>
          <w:lang w:val="en-GB"/>
        </w:rPr>
        <w:t xml:space="preserve"> dieser Eindrücke des Sexuallebens, die man bei späteren Neurotikern wie bei Perversen zur Ergänzung des Tatbestandes hinzunehmen muß, da die gleichen vorzeitigen Sexualäußerungen bei anderen Personen sich nicht so tief einprägen können, daß sie zwangartig auf Wiederholung hinwirken und dem Sexualtrieb für alle Lebenszeit seine Wege vorzuschreiben vermögen. Vielleicht liegt ein Stück der Aufklärung für diese Haftbarkeit in einem anderen psychischen Moment, welches wir in der Verursachung der Neurosen nicht missen können, nämlich in dem Übergewicht, welches im Seelenleben den Erinnerungsspuren im Vergleich mit den rezenten Eindrücken zufällt. Dieses Moment ist offenbar von der intellektuellen Ausbildung abhängig und wächst mit der Höhe der persönlichen Kultur. Im Gegensatz hiezu ist der Wilde als das »unglückselige Kind des Augenblickes« charakterisiert worden </w:t>
      </w:r>
      <w:hyperlink r:id="rId1451" w:anchor="#" w:history="1">
        <w:r w:rsidRPr="00866B42">
          <w:rPr>
            <w:rStyle w:val="fusslink"/>
            <w:rFonts w:ascii="Garamond" w:hAnsi="Garamond" w:cs="Arial"/>
            <w:b/>
            <w:bCs/>
            <w:color w:val="003399"/>
            <w:lang w:val="en-GB"/>
          </w:rPr>
          <w:t>[Fußnote]</w:t>
        </w:r>
        <w:r w:rsidRPr="00866B42">
          <w:rPr>
            <w:rStyle w:val="innerfusslink3"/>
            <w:rFonts w:ascii="Garamond" w:hAnsi="Garamond" w:cs="Arial"/>
            <w:b/>
            <w:bCs/>
            <w:lang w:val="en-GB"/>
          </w:rPr>
          <w:t>Möglicherweise ist die Erhöhung der Haftbarkeit auch der Erfolg einer besonders intensiven somatischen Sexualäußerung früherer Jahre.</w:t>
        </w:r>
      </w:hyperlink>
      <w:r w:rsidRPr="00866B42">
        <w:rPr>
          <w:rFonts w:ascii="Garamond" w:hAnsi="Garamond"/>
          <w:lang w:val="en-GB"/>
        </w:rPr>
        <w:t>. Wegen der gegensätzlichen Beziehung zwischen Kultur und freier Sexualitätsentwicklung, deren Folgen weit in die Gestaltung unseres Lebens verfolgt werden können, ist es auf niedriger Kultur- oder Gesellschaftsstufe so wenig, auf höherer so sehr fürs spätere Leben bedeutsam, wie das sexuelle Leben des Kindes verlaufen ist.</w:t>
      </w:r>
    </w:p>
    <w:p w:rsidR="00646842" w:rsidRPr="00866B42" w:rsidRDefault="00646842" w:rsidP="00646842">
      <w:pPr>
        <w:rPr>
          <w:rFonts w:ascii="Garamond" w:hAnsi="Garamond"/>
          <w:lang w:val="en-GB"/>
        </w:rPr>
      </w:pPr>
      <w:r w:rsidRPr="00866B42">
        <w:rPr>
          <w:rFonts w:ascii="Garamond" w:hAnsi="Garamond"/>
          <w:lang w:val="en-GB"/>
        </w:rPr>
        <w:t>Fixierung. Die Begünstigung durch die eben erwähnten psychischen Momente kommt nun den akzidentell erlebten Anregungen der kindlichen Sexualität zugute. Die letzteren (Verführung durch andere Kinder oder Erwachsene in erster Linie) bringen das Material bei, welches mit Hilfe der ersteren zur dauernden Störung fixiert werden kann. Ein guter Teil der später beobachteten Abweichungen vom normalen Sexualleben ist so bei Neurotikern wie bei Perversen durch die Eindrücke der angeblich sexualfreien Kindheitsperiode von Anfang an festgelegt. In die Verursachung teilen sich das Entgegenkommen der Konstitution, die Frühreife, die Eigenschaft der erhöhten Haftbarkeit und die zufällige Anregung des Sexualtriebes durch fremden Einfluß.</w:t>
      </w:r>
    </w:p>
    <w:p w:rsidR="00646842" w:rsidRPr="00866B42" w:rsidRDefault="00646842" w:rsidP="00646842">
      <w:pPr>
        <w:rPr>
          <w:rFonts w:ascii="Garamond" w:hAnsi="Garamond"/>
          <w:lang w:val="en-GB"/>
        </w:rPr>
      </w:pPr>
      <w:r w:rsidRPr="00866B42">
        <w:rPr>
          <w:rFonts w:ascii="Garamond" w:hAnsi="Garamond"/>
          <w:lang w:val="en-GB"/>
        </w:rPr>
        <w:t> </w:t>
      </w:r>
    </w:p>
    <w:p w:rsidR="00646842" w:rsidRPr="00866B42" w:rsidRDefault="00646842" w:rsidP="00646842">
      <w:pPr>
        <w:rPr>
          <w:rFonts w:ascii="Garamond" w:hAnsi="Garamond"/>
          <w:lang w:val="en-GB"/>
        </w:rPr>
      </w:pPr>
      <w:r w:rsidRPr="00866B42">
        <w:rPr>
          <w:rFonts w:ascii="Garamond" w:hAnsi="Garamond"/>
          <w:lang w:val="en-GB"/>
        </w:rPr>
        <w:t>Der unbefriedigende Schluß aber, der sich aus diesen Untersuchungen über die Störungen des Sexuallebens ergibt, geht dahin, daß wir von den biologischen Vorgängen, in denen das Wesen der Sexualität besteht, lange nicht genug wissen, um aus unseren vereinzelten Einsichten eine zum Verständnis des Normalen wie des Pathologischen genügende Theorie zu gestalten.</w:t>
      </w:r>
    </w:p>
    <w:p w:rsidR="00646842" w:rsidRPr="00866B42" w:rsidRDefault="00646842" w:rsidP="00646842">
      <w:pPr>
        <w:rPr>
          <w:rFonts w:ascii="Garamond" w:hAnsi="Garamond"/>
          <w:lang w:val="en-GB"/>
        </w:rPr>
      </w:pPr>
    </w:p>
    <w:p w:rsidR="00646842" w:rsidRPr="00866B42" w:rsidRDefault="00646842" w:rsidP="00646842">
      <w:pPr>
        <w:rPr>
          <w:rFonts w:ascii="Garamond" w:hAnsi="Garamond"/>
          <w:lang w:val="en-GB"/>
        </w:rPr>
      </w:pPr>
    </w:p>
    <w:p w:rsidR="00646842" w:rsidRPr="00866B42" w:rsidRDefault="00646842" w:rsidP="00646842">
      <w:pPr>
        <w:rPr>
          <w:rFonts w:ascii="Garamond" w:hAnsi="Garamond"/>
          <w:lang w:val="en-GB"/>
        </w:rPr>
      </w:pPr>
    </w:p>
    <w:p w:rsidR="00646842" w:rsidRPr="00646842" w:rsidRDefault="00646842" w:rsidP="00646842">
      <w:pPr>
        <w:rPr>
          <w:rFonts w:ascii="Garamond" w:hAnsi="Garamond"/>
          <w:lang w:val="en-GB"/>
        </w:rPr>
      </w:pPr>
    </w:p>
    <w:p w:rsidR="00646842" w:rsidRPr="00646842" w:rsidRDefault="00646842" w:rsidP="00646842">
      <w:pPr>
        <w:rPr>
          <w:rFonts w:ascii="Garamond" w:hAnsi="Garamond"/>
          <w:lang w:val="en-GB"/>
        </w:rPr>
      </w:pPr>
      <w:r w:rsidRPr="00646842">
        <w:rPr>
          <w:rFonts w:ascii="Garamond" w:hAnsi="Garamond"/>
          <w:lang w:val="en-GB"/>
        </w:rPr>
        <w:t xml:space="preserve">  </w:t>
      </w:r>
    </w:p>
    <w:p w:rsidR="00646842" w:rsidRPr="00646842" w:rsidRDefault="00646842" w:rsidP="00646842">
      <w:pPr>
        <w:rPr>
          <w:rFonts w:ascii="Garamond" w:hAnsi="Garamond"/>
          <w:lang w:val="en-GB"/>
        </w:rPr>
      </w:pPr>
    </w:p>
    <w:p w:rsidR="00062BE4" w:rsidRPr="002F7766" w:rsidRDefault="00062BE4" w:rsidP="00062BE4">
      <w:pPr>
        <w:rPr>
          <w:rFonts w:ascii="Garamond" w:hAnsi="Garamond"/>
          <w:lang w:val="en-GB"/>
        </w:rPr>
      </w:pPr>
      <w:r w:rsidRPr="00062BE4">
        <w:rPr>
          <w:rFonts w:ascii="Garamond" w:hAnsi="Garamond"/>
          <w:lang w:val="en-GB"/>
        </w:rPr>
        <w:lastRenderedPageBreak/>
        <w:t>Vo</w:t>
      </w:r>
      <w:bookmarkStart w:id="265" w:name="F70"/>
      <w:bookmarkEnd w:id="265"/>
      <w:r w:rsidRPr="00062BE4">
        <w:rPr>
          <w:rFonts w:ascii="Garamond" w:hAnsi="Garamond"/>
          <w:lang w:val="en-GB"/>
        </w:rPr>
        <w:t>rlesungen zur Einführung in die Psychoanalyse</w:t>
      </w:r>
      <w:r w:rsidRPr="002F7766">
        <w:rPr>
          <w:rFonts w:ascii="Garamond" w:hAnsi="Garamond"/>
          <w:lang w:val="en-GB"/>
        </w:rPr>
        <w:t>.</w:t>
      </w:r>
      <w:r>
        <w:rPr>
          <w:rFonts w:ascii="Garamond" w:hAnsi="Garamond"/>
          <w:lang w:val="en-GB"/>
        </w:rPr>
        <w:t xml:space="preserve">   </w:t>
      </w:r>
      <w:r w:rsidRPr="002F7766">
        <w:rPr>
          <w:rFonts w:ascii="Garamond" w:hAnsi="Garamond"/>
          <w:lang w:val="en-GB"/>
        </w:rPr>
        <w:t>(1916-17)</w:t>
      </w:r>
      <w:r>
        <w:rPr>
          <w:rFonts w:ascii="Garamond" w:hAnsi="Garamond"/>
          <w:lang w:val="en-GB"/>
        </w:rPr>
        <w:t xml:space="preserve">                                                 </w:t>
      </w:r>
      <w:hyperlink w:anchor="Werke" w:history="1">
        <w:r w:rsidRPr="0018684C">
          <w:rPr>
            <w:rStyle w:val="Lienhypertexte"/>
            <w:rFonts w:ascii="Garamond" w:hAnsi="Garamond"/>
            <w:lang w:val="en-US"/>
          </w:rPr>
          <w:t>Werke</w:t>
        </w:r>
      </w:hyperlink>
    </w:p>
    <w:p w:rsidR="00062BE4" w:rsidRDefault="00062BE4" w:rsidP="00062BE4">
      <w:pPr>
        <w:rPr>
          <w:rFonts w:ascii="Garamond" w:hAnsi="Garamond"/>
          <w:lang w:val="en-GB"/>
        </w:rPr>
      </w:pPr>
    </w:p>
    <w:p w:rsidR="00062BE4" w:rsidRDefault="00062BE4" w:rsidP="00062BE4">
      <w:pPr>
        <w:rPr>
          <w:rFonts w:ascii="Garamond" w:hAnsi="Garamond"/>
          <w:lang w:val="en-GB"/>
        </w:rPr>
      </w:pPr>
    </w:p>
    <w:p w:rsidR="00062BE4" w:rsidRDefault="00062BE4" w:rsidP="00062BE4">
      <w:pPr>
        <w:rPr>
          <w:rFonts w:ascii="Garamond" w:hAnsi="Garamond" w:cs="Arial"/>
          <w:b/>
          <w:bCs/>
          <w:color w:val="003399"/>
          <w:lang w:val="en-US"/>
        </w:rPr>
      </w:pPr>
      <w:r w:rsidRPr="002F7766">
        <w:rPr>
          <w:rFonts w:ascii="Garamond" w:hAnsi="Garamond"/>
          <w:lang w:val="en-GB"/>
        </w:rPr>
        <w:t>In</w:t>
      </w:r>
      <w:bookmarkStart w:id="266" w:name="Vorlesungen_Inhalt"/>
      <w:bookmarkEnd w:id="266"/>
      <w:r w:rsidRPr="002F7766">
        <w:rPr>
          <w:rFonts w:ascii="Garamond" w:hAnsi="Garamond"/>
          <w:lang w:val="en-GB"/>
        </w:rPr>
        <w:t>halt</w:t>
      </w:r>
    </w:p>
    <w:p w:rsidR="00062BE4" w:rsidRPr="00985EE8" w:rsidRDefault="00B437A1" w:rsidP="00CE4D4E">
      <w:pPr>
        <w:numPr>
          <w:ilvl w:val="0"/>
          <w:numId w:val="8"/>
        </w:numPr>
        <w:spacing w:after="0" w:line="240" w:lineRule="auto"/>
        <w:rPr>
          <w:rFonts w:ascii="Garamond" w:hAnsi="Garamond" w:cs="Arial"/>
          <w:bCs/>
          <w:color w:val="003399"/>
          <w:lang w:val="en-US"/>
        </w:rPr>
      </w:pPr>
      <w:hyperlink w:anchor="Vorlesungen_Vortwort" w:history="1">
        <w:r w:rsidR="00062BE4" w:rsidRPr="00985EE8">
          <w:rPr>
            <w:rStyle w:val="Lienhypertexte"/>
            <w:rFonts w:ascii="Garamond" w:hAnsi="Garamond" w:cs="Arial"/>
            <w:bCs/>
            <w:lang w:val="en-US"/>
          </w:rPr>
          <w:t>Vorwort</w:t>
        </w:r>
      </w:hyperlink>
    </w:p>
    <w:p w:rsidR="00062BE4" w:rsidRPr="00985EE8" w:rsidRDefault="00B437A1" w:rsidP="00CE4D4E">
      <w:pPr>
        <w:numPr>
          <w:ilvl w:val="0"/>
          <w:numId w:val="8"/>
        </w:numPr>
        <w:spacing w:after="0" w:line="240" w:lineRule="auto"/>
        <w:rPr>
          <w:rFonts w:ascii="Garamond" w:hAnsi="Garamond" w:cs="Arial"/>
          <w:lang w:val="en-US"/>
        </w:rPr>
      </w:pPr>
      <w:hyperlink w:anchor="Vorlesungen_1" w:history="1">
        <w:r w:rsidR="00062BE4" w:rsidRPr="00985EE8">
          <w:rPr>
            <w:rStyle w:val="Lienhypertexte"/>
            <w:rFonts w:ascii="Garamond" w:hAnsi="Garamond" w:cs="Arial"/>
            <w:bCs/>
            <w:lang w:val="en-US"/>
          </w:rPr>
          <w:t>Vorlesung  1. Einleitung</w:t>
        </w:r>
      </w:hyperlink>
    </w:p>
    <w:p w:rsidR="00062BE4" w:rsidRPr="00985EE8" w:rsidRDefault="00B437A1" w:rsidP="00CE4D4E">
      <w:pPr>
        <w:numPr>
          <w:ilvl w:val="0"/>
          <w:numId w:val="8"/>
        </w:numPr>
        <w:spacing w:after="0" w:line="240" w:lineRule="auto"/>
        <w:rPr>
          <w:rFonts w:ascii="Garamond" w:hAnsi="Garamond" w:cs="Arial"/>
          <w:lang w:val="en-US"/>
        </w:rPr>
      </w:pPr>
      <w:hyperlink w:anchor="Vorlesungen_2" w:history="1">
        <w:r w:rsidR="00062BE4" w:rsidRPr="00985EE8">
          <w:rPr>
            <w:rStyle w:val="Lienhypertexte"/>
            <w:rFonts w:ascii="Garamond" w:hAnsi="Garamond" w:cs="Arial"/>
            <w:bCs/>
            <w:lang w:val="en-US"/>
          </w:rPr>
          <w:t>Vorlesung  2. Die Fehlleistungen</w:t>
        </w:r>
      </w:hyperlink>
    </w:p>
    <w:p w:rsidR="00062BE4" w:rsidRPr="00985EE8" w:rsidRDefault="00B437A1" w:rsidP="00CE4D4E">
      <w:pPr>
        <w:numPr>
          <w:ilvl w:val="0"/>
          <w:numId w:val="8"/>
        </w:numPr>
        <w:spacing w:after="0" w:line="240" w:lineRule="auto"/>
        <w:rPr>
          <w:rFonts w:ascii="Garamond" w:hAnsi="Garamond" w:cs="Arial"/>
          <w:lang w:val="en-US"/>
        </w:rPr>
      </w:pPr>
      <w:hyperlink w:anchor="Vorlesungen_3" w:history="1">
        <w:r w:rsidR="00062BE4" w:rsidRPr="00985EE8">
          <w:rPr>
            <w:rStyle w:val="Lienhypertexte"/>
            <w:rFonts w:ascii="Garamond" w:hAnsi="Garamond" w:cs="Arial"/>
            <w:bCs/>
            <w:lang w:val="en-US"/>
          </w:rPr>
          <w:t>Vorlesung  3 . Die Fehlleistungen (Fortsetzung)</w:t>
        </w:r>
      </w:hyperlink>
    </w:p>
    <w:p w:rsidR="00062BE4" w:rsidRPr="00985EE8" w:rsidRDefault="00B437A1" w:rsidP="00CE4D4E">
      <w:pPr>
        <w:numPr>
          <w:ilvl w:val="0"/>
          <w:numId w:val="8"/>
        </w:numPr>
        <w:spacing w:after="0" w:line="240" w:lineRule="auto"/>
        <w:rPr>
          <w:rFonts w:ascii="Garamond" w:hAnsi="Garamond" w:cs="Arial"/>
          <w:lang w:val="en-US"/>
        </w:rPr>
      </w:pPr>
      <w:hyperlink w:anchor="Vorlesungen_4" w:history="1">
        <w:r w:rsidR="00062BE4" w:rsidRPr="00985EE8">
          <w:rPr>
            <w:rStyle w:val="Lienhypertexte"/>
            <w:rFonts w:ascii="Garamond" w:hAnsi="Garamond" w:cs="Arial"/>
            <w:bCs/>
            <w:lang w:val="en-US"/>
          </w:rPr>
          <w:t>Vorlesung  4 . Die Fehlleistungen (Schluß)</w:t>
        </w:r>
      </w:hyperlink>
    </w:p>
    <w:p w:rsidR="00062BE4" w:rsidRPr="00985EE8" w:rsidRDefault="00B437A1" w:rsidP="00CE4D4E">
      <w:pPr>
        <w:numPr>
          <w:ilvl w:val="0"/>
          <w:numId w:val="8"/>
        </w:numPr>
        <w:spacing w:after="0" w:line="240" w:lineRule="auto"/>
        <w:rPr>
          <w:rFonts w:ascii="Garamond" w:hAnsi="Garamond" w:cs="Arial"/>
          <w:lang w:val="en-GB"/>
        </w:rPr>
      </w:pPr>
      <w:hyperlink w:anchor="Vorlesungen_5" w:history="1">
        <w:r w:rsidR="00062BE4" w:rsidRPr="00985EE8">
          <w:rPr>
            <w:rStyle w:val="Lienhypertexte"/>
            <w:rFonts w:ascii="Garamond" w:hAnsi="Garamond" w:cs="Arial"/>
            <w:bCs/>
            <w:lang w:val="en-GB"/>
          </w:rPr>
          <w:t>Vorlesung  5 . [Der Traum] Schwierigkeiten und erste Annäherungen</w:t>
        </w:r>
      </w:hyperlink>
    </w:p>
    <w:p w:rsidR="00062BE4" w:rsidRPr="00985EE8" w:rsidRDefault="00B437A1" w:rsidP="00CE4D4E">
      <w:pPr>
        <w:numPr>
          <w:ilvl w:val="0"/>
          <w:numId w:val="8"/>
        </w:numPr>
        <w:spacing w:after="0" w:line="240" w:lineRule="auto"/>
        <w:rPr>
          <w:rFonts w:ascii="Garamond" w:hAnsi="Garamond" w:cs="Arial"/>
        </w:rPr>
      </w:pPr>
      <w:hyperlink w:anchor="Vorlesungen_6" w:history="1">
        <w:r w:rsidR="00062BE4" w:rsidRPr="00985EE8">
          <w:rPr>
            <w:rStyle w:val="Lienhypertexte"/>
            <w:rFonts w:ascii="Garamond" w:hAnsi="Garamond" w:cs="Arial"/>
            <w:bCs/>
          </w:rPr>
          <w:t>Vorlesung  6 . [Der Traum] Voraussetzungen und Technik der Deutung</w:t>
        </w:r>
      </w:hyperlink>
    </w:p>
    <w:p w:rsidR="00062BE4" w:rsidRPr="00985EE8" w:rsidRDefault="00B437A1" w:rsidP="00CE4D4E">
      <w:pPr>
        <w:numPr>
          <w:ilvl w:val="0"/>
          <w:numId w:val="8"/>
        </w:numPr>
        <w:spacing w:after="0" w:line="240" w:lineRule="auto"/>
        <w:rPr>
          <w:rFonts w:ascii="Garamond" w:hAnsi="Garamond" w:cs="Arial"/>
          <w:lang w:val="en-GB"/>
        </w:rPr>
      </w:pPr>
      <w:hyperlink w:anchor="Vorlesungen_7" w:history="1">
        <w:r w:rsidR="00062BE4" w:rsidRPr="00985EE8">
          <w:rPr>
            <w:rStyle w:val="Lienhypertexte"/>
            <w:rFonts w:ascii="Garamond" w:hAnsi="Garamond" w:cs="Arial"/>
            <w:bCs/>
            <w:lang w:val="en-GB"/>
          </w:rPr>
          <w:t>Vorlesung  7 . Manifester Trauminhalt und latente Traumgedanken</w:t>
        </w:r>
      </w:hyperlink>
    </w:p>
    <w:p w:rsidR="00062BE4" w:rsidRPr="00985EE8" w:rsidRDefault="00B437A1" w:rsidP="00CE4D4E">
      <w:pPr>
        <w:numPr>
          <w:ilvl w:val="0"/>
          <w:numId w:val="8"/>
        </w:numPr>
        <w:spacing w:after="0" w:line="240" w:lineRule="auto"/>
        <w:rPr>
          <w:rFonts w:ascii="Garamond" w:hAnsi="Garamond" w:cs="Arial"/>
        </w:rPr>
      </w:pPr>
      <w:hyperlink w:anchor="Vorlesungen_8" w:history="1">
        <w:r w:rsidR="00062BE4" w:rsidRPr="00985EE8">
          <w:rPr>
            <w:rStyle w:val="Lienhypertexte"/>
            <w:rFonts w:ascii="Garamond" w:hAnsi="Garamond" w:cs="Arial"/>
            <w:bCs/>
          </w:rPr>
          <w:t>Vorlesung  8 . Kinderträume</w:t>
        </w:r>
      </w:hyperlink>
    </w:p>
    <w:p w:rsidR="00062BE4" w:rsidRPr="00985EE8" w:rsidRDefault="00B437A1" w:rsidP="00CE4D4E">
      <w:pPr>
        <w:numPr>
          <w:ilvl w:val="0"/>
          <w:numId w:val="8"/>
        </w:numPr>
        <w:spacing w:after="0" w:line="240" w:lineRule="auto"/>
        <w:rPr>
          <w:rFonts w:ascii="Garamond" w:hAnsi="Garamond" w:cs="Arial"/>
        </w:rPr>
      </w:pPr>
      <w:hyperlink w:anchor="Vorlesungen_9" w:history="1">
        <w:r w:rsidR="00062BE4" w:rsidRPr="00985EE8">
          <w:rPr>
            <w:rStyle w:val="Lienhypertexte"/>
            <w:rFonts w:ascii="Garamond" w:hAnsi="Garamond" w:cs="Arial"/>
            <w:bCs/>
          </w:rPr>
          <w:t>Vorlesung  9 . Die Traumzensur</w:t>
        </w:r>
      </w:hyperlink>
    </w:p>
    <w:p w:rsidR="00062BE4" w:rsidRPr="00985EE8" w:rsidRDefault="00B437A1" w:rsidP="00CE4D4E">
      <w:pPr>
        <w:numPr>
          <w:ilvl w:val="0"/>
          <w:numId w:val="8"/>
        </w:numPr>
        <w:spacing w:after="0" w:line="240" w:lineRule="auto"/>
        <w:rPr>
          <w:rFonts w:ascii="Garamond" w:hAnsi="Garamond" w:cs="Arial"/>
          <w:lang w:val="en-US"/>
        </w:rPr>
      </w:pPr>
      <w:hyperlink w:anchor="Vorlesungen_10" w:history="1">
        <w:r w:rsidR="00062BE4" w:rsidRPr="00985EE8">
          <w:rPr>
            <w:rStyle w:val="Lienhypertexte"/>
            <w:rFonts w:ascii="Garamond" w:hAnsi="Garamond" w:cs="Arial"/>
            <w:bCs/>
            <w:lang w:val="en-US"/>
          </w:rPr>
          <w:t>Vorlesung 10 . Die Symbolik im Traum</w:t>
        </w:r>
      </w:hyperlink>
    </w:p>
    <w:p w:rsidR="00062BE4" w:rsidRPr="00985EE8" w:rsidRDefault="00B437A1" w:rsidP="00CE4D4E">
      <w:pPr>
        <w:numPr>
          <w:ilvl w:val="0"/>
          <w:numId w:val="8"/>
        </w:numPr>
        <w:spacing w:after="0" w:line="240" w:lineRule="auto"/>
        <w:rPr>
          <w:rFonts w:ascii="Garamond" w:hAnsi="Garamond" w:cs="Arial"/>
          <w:lang w:val="en-US"/>
        </w:rPr>
      </w:pPr>
      <w:hyperlink w:anchor="Vorlesungen_11" w:history="1">
        <w:r w:rsidR="00062BE4" w:rsidRPr="00985EE8">
          <w:rPr>
            <w:rStyle w:val="Lienhypertexte"/>
            <w:rFonts w:ascii="Garamond" w:hAnsi="Garamond" w:cs="Arial"/>
            <w:bCs/>
            <w:lang w:val="en-US"/>
          </w:rPr>
          <w:t>Vorlesung 11 . Die Traumarbeit</w:t>
        </w:r>
      </w:hyperlink>
    </w:p>
    <w:p w:rsidR="00062BE4" w:rsidRPr="00985EE8" w:rsidRDefault="00B437A1" w:rsidP="00CE4D4E">
      <w:pPr>
        <w:numPr>
          <w:ilvl w:val="0"/>
          <w:numId w:val="8"/>
        </w:numPr>
        <w:spacing w:after="0" w:line="240" w:lineRule="auto"/>
        <w:rPr>
          <w:rFonts w:ascii="Garamond" w:hAnsi="Garamond" w:cs="Arial"/>
        </w:rPr>
      </w:pPr>
      <w:hyperlink w:anchor="Vorlesungen_12" w:history="1">
        <w:r w:rsidR="00062BE4" w:rsidRPr="00985EE8">
          <w:rPr>
            <w:rStyle w:val="Lienhypertexte"/>
            <w:rFonts w:ascii="Garamond" w:hAnsi="Garamond" w:cs="Arial"/>
            <w:bCs/>
          </w:rPr>
          <w:t>Vorlesung 12 . Analysen von Traumbeispielen</w:t>
        </w:r>
      </w:hyperlink>
    </w:p>
    <w:p w:rsidR="00062BE4" w:rsidRPr="00985EE8" w:rsidRDefault="00B437A1" w:rsidP="00CE4D4E">
      <w:pPr>
        <w:numPr>
          <w:ilvl w:val="0"/>
          <w:numId w:val="8"/>
        </w:numPr>
        <w:spacing w:after="0" w:line="240" w:lineRule="auto"/>
        <w:rPr>
          <w:rFonts w:ascii="Garamond" w:hAnsi="Garamond" w:cs="Arial"/>
        </w:rPr>
      </w:pPr>
      <w:hyperlink w:anchor="Vorlesungen_13" w:history="1">
        <w:r w:rsidR="00062BE4" w:rsidRPr="00985EE8">
          <w:rPr>
            <w:rStyle w:val="Lienhypertexte"/>
            <w:rFonts w:ascii="Garamond" w:hAnsi="Garamond" w:cs="Arial"/>
            <w:bCs/>
          </w:rPr>
          <w:t>Vorlesung 13 . Archaische Züge und Infantilismus des Traumes</w:t>
        </w:r>
      </w:hyperlink>
    </w:p>
    <w:p w:rsidR="00062BE4" w:rsidRPr="00985EE8" w:rsidRDefault="00B437A1" w:rsidP="00CE4D4E">
      <w:pPr>
        <w:numPr>
          <w:ilvl w:val="0"/>
          <w:numId w:val="8"/>
        </w:numPr>
        <w:spacing w:after="0" w:line="240" w:lineRule="auto"/>
        <w:rPr>
          <w:rFonts w:ascii="Garamond" w:hAnsi="Garamond" w:cs="Arial"/>
        </w:rPr>
      </w:pPr>
      <w:hyperlink w:anchor="Vorlesungen_14" w:history="1">
        <w:r w:rsidR="00062BE4" w:rsidRPr="00985EE8">
          <w:rPr>
            <w:rStyle w:val="Lienhypertexte"/>
            <w:rFonts w:ascii="Garamond" w:hAnsi="Garamond" w:cs="Arial"/>
            <w:bCs/>
          </w:rPr>
          <w:t>Vorlesung 14 . Die Wunscherfüllung</w:t>
        </w:r>
      </w:hyperlink>
    </w:p>
    <w:p w:rsidR="00062BE4" w:rsidRPr="00985EE8" w:rsidRDefault="00B437A1" w:rsidP="00CE4D4E">
      <w:pPr>
        <w:numPr>
          <w:ilvl w:val="0"/>
          <w:numId w:val="8"/>
        </w:numPr>
        <w:spacing w:after="0" w:line="240" w:lineRule="auto"/>
        <w:rPr>
          <w:rFonts w:ascii="Garamond" w:hAnsi="Garamond" w:cs="Arial"/>
        </w:rPr>
      </w:pPr>
      <w:hyperlink w:anchor="Vorlesungen_15" w:history="1">
        <w:r w:rsidR="00062BE4" w:rsidRPr="00985EE8">
          <w:rPr>
            <w:rStyle w:val="Lienhypertexte"/>
            <w:rFonts w:ascii="Garamond" w:hAnsi="Garamond" w:cs="Arial"/>
            <w:bCs/>
          </w:rPr>
          <w:t>Vorlesung 15 . Unsicherheiten und Kritiken</w:t>
        </w:r>
      </w:hyperlink>
    </w:p>
    <w:p w:rsidR="00062BE4" w:rsidRPr="00985EE8" w:rsidRDefault="00B437A1" w:rsidP="00CE4D4E">
      <w:pPr>
        <w:numPr>
          <w:ilvl w:val="0"/>
          <w:numId w:val="8"/>
        </w:numPr>
        <w:spacing w:after="0" w:line="240" w:lineRule="auto"/>
        <w:rPr>
          <w:rFonts w:ascii="Garamond" w:hAnsi="Garamond" w:cs="Arial"/>
        </w:rPr>
      </w:pPr>
      <w:hyperlink w:anchor="Vorlesungen_16" w:history="1">
        <w:r w:rsidR="00062BE4" w:rsidRPr="00985EE8">
          <w:rPr>
            <w:rStyle w:val="Lienhypertexte"/>
            <w:rFonts w:ascii="Garamond" w:hAnsi="Garamond" w:cs="Arial"/>
            <w:bCs/>
          </w:rPr>
          <w:t>Vorlesung 16 . Psychoanalyse und Psychiatrie</w:t>
        </w:r>
      </w:hyperlink>
    </w:p>
    <w:p w:rsidR="00062BE4" w:rsidRPr="00985EE8" w:rsidRDefault="00B437A1" w:rsidP="00CE4D4E">
      <w:pPr>
        <w:numPr>
          <w:ilvl w:val="0"/>
          <w:numId w:val="8"/>
        </w:numPr>
        <w:spacing w:after="0" w:line="240" w:lineRule="auto"/>
        <w:rPr>
          <w:rFonts w:ascii="Garamond" w:hAnsi="Garamond" w:cs="Arial"/>
          <w:lang w:val="en-US"/>
        </w:rPr>
      </w:pPr>
      <w:hyperlink w:anchor="Vorlesungen_17" w:history="1">
        <w:r w:rsidR="00062BE4" w:rsidRPr="00985EE8">
          <w:rPr>
            <w:rStyle w:val="Lienhypertexte"/>
            <w:rFonts w:ascii="Garamond" w:hAnsi="Garamond" w:cs="Arial"/>
            <w:bCs/>
            <w:lang w:val="en-US"/>
          </w:rPr>
          <w:t>Vorlesung 17 . Der Sinn der Symptome</w:t>
        </w:r>
      </w:hyperlink>
    </w:p>
    <w:p w:rsidR="00062BE4" w:rsidRPr="00985EE8" w:rsidRDefault="00B437A1" w:rsidP="00CE4D4E">
      <w:pPr>
        <w:numPr>
          <w:ilvl w:val="0"/>
          <w:numId w:val="8"/>
        </w:numPr>
        <w:spacing w:after="0" w:line="240" w:lineRule="auto"/>
        <w:rPr>
          <w:rFonts w:ascii="Garamond" w:hAnsi="Garamond" w:cs="Arial"/>
          <w:lang w:val="en-GB"/>
        </w:rPr>
      </w:pPr>
      <w:hyperlink w:anchor="Vorlesungen_18" w:history="1">
        <w:r w:rsidR="00062BE4" w:rsidRPr="00985EE8">
          <w:rPr>
            <w:rStyle w:val="Lienhypertexte"/>
            <w:rFonts w:ascii="Garamond" w:hAnsi="Garamond" w:cs="Arial"/>
            <w:bCs/>
            <w:lang w:val="en-GB"/>
          </w:rPr>
          <w:t>Vorlesung 18 . Die Fixierung an das Trauma, das Unbewußte</w:t>
        </w:r>
      </w:hyperlink>
    </w:p>
    <w:p w:rsidR="00062BE4" w:rsidRPr="00985EE8" w:rsidRDefault="00B437A1" w:rsidP="00CE4D4E">
      <w:pPr>
        <w:numPr>
          <w:ilvl w:val="0"/>
          <w:numId w:val="8"/>
        </w:numPr>
        <w:spacing w:after="0" w:line="240" w:lineRule="auto"/>
        <w:rPr>
          <w:rFonts w:ascii="Garamond" w:hAnsi="Garamond" w:cs="Arial"/>
        </w:rPr>
      </w:pPr>
      <w:hyperlink w:anchor="Vorlesungen_19" w:history="1">
        <w:r w:rsidR="00062BE4" w:rsidRPr="00985EE8">
          <w:rPr>
            <w:rStyle w:val="Lienhypertexte"/>
            <w:rFonts w:ascii="Garamond" w:hAnsi="Garamond" w:cs="Arial"/>
            <w:bCs/>
          </w:rPr>
          <w:t>Vorlesung 19 . Widerstand und Verdrängung</w:t>
        </w:r>
      </w:hyperlink>
    </w:p>
    <w:p w:rsidR="00062BE4" w:rsidRPr="00985EE8" w:rsidRDefault="00B437A1" w:rsidP="00CE4D4E">
      <w:pPr>
        <w:numPr>
          <w:ilvl w:val="0"/>
          <w:numId w:val="8"/>
        </w:numPr>
        <w:spacing w:after="0" w:line="240" w:lineRule="auto"/>
        <w:rPr>
          <w:rFonts w:ascii="Garamond" w:hAnsi="Garamond" w:cs="Arial"/>
        </w:rPr>
      </w:pPr>
      <w:hyperlink w:anchor="Vorlesungen_20" w:history="1">
        <w:r w:rsidR="00062BE4" w:rsidRPr="00985EE8">
          <w:rPr>
            <w:rStyle w:val="Lienhypertexte"/>
            <w:rFonts w:ascii="Garamond" w:hAnsi="Garamond" w:cs="Arial"/>
            <w:bCs/>
          </w:rPr>
          <w:t>Vorlesung 20 . Das menschliche Sexualleben</w:t>
        </w:r>
      </w:hyperlink>
    </w:p>
    <w:p w:rsidR="00062BE4" w:rsidRPr="00985EE8" w:rsidRDefault="00B437A1" w:rsidP="00CE4D4E">
      <w:pPr>
        <w:numPr>
          <w:ilvl w:val="0"/>
          <w:numId w:val="8"/>
        </w:numPr>
        <w:spacing w:after="0" w:line="240" w:lineRule="auto"/>
        <w:rPr>
          <w:rFonts w:ascii="Garamond" w:hAnsi="Garamond" w:cs="Arial"/>
        </w:rPr>
      </w:pPr>
      <w:hyperlink w:anchor="Vorlesungen_21" w:history="1">
        <w:r w:rsidR="00062BE4" w:rsidRPr="00985EE8">
          <w:rPr>
            <w:rStyle w:val="Lienhypertexte"/>
            <w:rFonts w:ascii="Garamond" w:hAnsi="Garamond" w:cs="Arial"/>
            <w:bCs/>
          </w:rPr>
          <w:t>Vorlesung 21 . Libidoentwicklung und Sexualorganisationen</w:t>
        </w:r>
      </w:hyperlink>
    </w:p>
    <w:p w:rsidR="00062BE4" w:rsidRPr="00985EE8" w:rsidRDefault="00B437A1" w:rsidP="00CE4D4E">
      <w:pPr>
        <w:numPr>
          <w:ilvl w:val="0"/>
          <w:numId w:val="8"/>
        </w:numPr>
        <w:spacing w:after="0" w:line="240" w:lineRule="auto"/>
        <w:rPr>
          <w:rFonts w:ascii="Garamond" w:hAnsi="Garamond" w:cs="Arial"/>
        </w:rPr>
      </w:pPr>
      <w:hyperlink w:anchor="Vorlesungen_22" w:history="1">
        <w:r w:rsidR="00062BE4" w:rsidRPr="00985EE8">
          <w:rPr>
            <w:rStyle w:val="Lienhypertexte"/>
            <w:rFonts w:ascii="Garamond" w:hAnsi="Garamond" w:cs="Arial"/>
            <w:bCs/>
            <w:lang w:val="en-GB"/>
          </w:rPr>
          <w:t xml:space="preserve">Vorlesung 22 . Gesichtspunkte der Entwicklung und Regression. </w:t>
        </w:r>
        <w:r w:rsidR="00062BE4" w:rsidRPr="00985EE8">
          <w:rPr>
            <w:rStyle w:val="Lienhypertexte"/>
            <w:rFonts w:ascii="Garamond" w:hAnsi="Garamond" w:cs="Arial"/>
            <w:bCs/>
          </w:rPr>
          <w:t>Ätiologie</w:t>
        </w:r>
      </w:hyperlink>
    </w:p>
    <w:p w:rsidR="00062BE4" w:rsidRPr="00985EE8" w:rsidRDefault="00B437A1" w:rsidP="00CE4D4E">
      <w:pPr>
        <w:numPr>
          <w:ilvl w:val="0"/>
          <w:numId w:val="8"/>
        </w:numPr>
        <w:spacing w:after="0" w:line="240" w:lineRule="auto"/>
        <w:rPr>
          <w:rFonts w:ascii="Garamond" w:hAnsi="Garamond" w:cs="Arial"/>
          <w:lang w:val="en-US"/>
        </w:rPr>
      </w:pPr>
      <w:hyperlink w:anchor="Vorlesungen_23" w:history="1">
        <w:r w:rsidR="00062BE4" w:rsidRPr="00985EE8">
          <w:rPr>
            <w:rStyle w:val="Lienhypertexte"/>
            <w:rFonts w:ascii="Garamond" w:hAnsi="Garamond" w:cs="Arial"/>
            <w:bCs/>
            <w:lang w:val="en-US"/>
          </w:rPr>
          <w:t>Vorlesung 23 . Die Wege der Symptombildung</w:t>
        </w:r>
      </w:hyperlink>
    </w:p>
    <w:p w:rsidR="00062BE4" w:rsidRPr="00985EE8" w:rsidRDefault="00B437A1" w:rsidP="00CE4D4E">
      <w:pPr>
        <w:numPr>
          <w:ilvl w:val="0"/>
          <w:numId w:val="8"/>
        </w:numPr>
        <w:spacing w:after="0" w:line="240" w:lineRule="auto"/>
        <w:rPr>
          <w:rFonts w:ascii="Garamond" w:hAnsi="Garamond" w:cs="Arial"/>
        </w:rPr>
      </w:pPr>
      <w:hyperlink w:anchor="Vorlesungen_24" w:history="1">
        <w:r w:rsidR="00062BE4" w:rsidRPr="00985EE8">
          <w:rPr>
            <w:rStyle w:val="Lienhypertexte"/>
            <w:rFonts w:ascii="Garamond" w:hAnsi="Garamond" w:cs="Arial"/>
            <w:bCs/>
          </w:rPr>
          <w:t>Vorlesung 24 . Die gemeine Nervosität</w:t>
        </w:r>
      </w:hyperlink>
    </w:p>
    <w:p w:rsidR="00062BE4" w:rsidRPr="00985EE8" w:rsidRDefault="00B437A1" w:rsidP="00CE4D4E">
      <w:pPr>
        <w:numPr>
          <w:ilvl w:val="0"/>
          <w:numId w:val="8"/>
        </w:numPr>
        <w:spacing w:after="0" w:line="240" w:lineRule="auto"/>
        <w:rPr>
          <w:rFonts w:ascii="Garamond" w:hAnsi="Garamond" w:cs="Arial"/>
        </w:rPr>
      </w:pPr>
      <w:hyperlink w:anchor="Vorlesungen_25" w:history="1">
        <w:r w:rsidR="00062BE4" w:rsidRPr="00985EE8">
          <w:rPr>
            <w:rStyle w:val="Lienhypertexte"/>
            <w:rFonts w:ascii="Garamond" w:hAnsi="Garamond" w:cs="Arial"/>
            <w:bCs/>
          </w:rPr>
          <w:t>Vorlesung 25 . Die Angst</w:t>
        </w:r>
      </w:hyperlink>
    </w:p>
    <w:p w:rsidR="00062BE4" w:rsidRPr="00985EE8" w:rsidRDefault="00B437A1" w:rsidP="00CE4D4E">
      <w:pPr>
        <w:numPr>
          <w:ilvl w:val="0"/>
          <w:numId w:val="8"/>
        </w:numPr>
        <w:spacing w:after="0" w:line="240" w:lineRule="auto"/>
        <w:rPr>
          <w:rFonts w:ascii="Garamond" w:hAnsi="Garamond" w:cs="Arial"/>
          <w:lang w:val="en-GB"/>
        </w:rPr>
      </w:pPr>
      <w:hyperlink w:anchor="Vorlesungen_26" w:history="1">
        <w:r w:rsidR="00062BE4" w:rsidRPr="00985EE8">
          <w:rPr>
            <w:rStyle w:val="Lienhypertexte"/>
            <w:rFonts w:ascii="Garamond" w:hAnsi="Garamond" w:cs="Arial"/>
            <w:bCs/>
            <w:lang w:val="en-GB"/>
          </w:rPr>
          <w:t>Vorlesung 26 . Die Libidotheorie und der Narzißmus</w:t>
        </w:r>
      </w:hyperlink>
    </w:p>
    <w:p w:rsidR="00062BE4" w:rsidRPr="00985EE8" w:rsidRDefault="00B437A1" w:rsidP="00CE4D4E">
      <w:pPr>
        <w:numPr>
          <w:ilvl w:val="0"/>
          <w:numId w:val="8"/>
        </w:numPr>
        <w:spacing w:after="0" w:line="240" w:lineRule="auto"/>
        <w:rPr>
          <w:rFonts w:ascii="Garamond" w:hAnsi="Garamond" w:cs="Arial"/>
        </w:rPr>
      </w:pPr>
      <w:hyperlink w:anchor="Vorlesungen_27" w:history="1">
        <w:r w:rsidR="00062BE4" w:rsidRPr="00985EE8">
          <w:rPr>
            <w:rStyle w:val="Lienhypertexte"/>
            <w:rFonts w:ascii="Garamond" w:hAnsi="Garamond" w:cs="Arial"/>
            <w:bCs/>
          </w:rPr>
          <w:t>Vorlesung 27 . Die Übertragung</w:t>
        </w:r>
      </w:hyperlink>
    </w:p>
    <w:p w:rsidR="00062BE4" w:rsidRPr="00985EE8" w:rsidRDefault="00B437A1" w:rsidP="00CE4D4E">
      <w:pPr>
        <w:numPr>
          <w:ilvl w:val="0"/>
          <w:numId w:val="8"/>
        </w:numPr>
        <w:spacing w:after="0" w:line="240" w:lineRule="auto"/>
        <w:rPr>
          <w:rFonts w:ascii="Garamond" w:hAnsi="Garamond" w:cs="Arial"/>
          <w:bCs/>
          <w:color w:val="003399"/>
        </w:rPr>
      </w:pPr>
      <w:hyperlink w:anchor="Vorlesungen_28" w:history="1">
        <w:r w:rsidR="00062BE4" w:rsidRPr="00985EE8">
          <w:rPr>
            <w:rStyle w:val="Lienhypertexte"/>
            <w:rFonts w:ascii="Garamond" w:hAnsi="Garamond" w:cs="Arial"/>
            <w:bCs/>
          </w:rPr>
          <w:t>Vorlesung 28 . Die analytische Therapie</w:t>
        </w:r>
      </w:hyperlink>
    </w:p>
    <w:p w:rsidR="00062BE4" w:rsidRPr="002F7766" w:rsidRDefault="00062BE4" w:rsidP="00062BE4">
      <w:pPr>
        <w:ind w:left="720"/>
        <w:rPr>
          <w:rFonts w:ascii="Garamond" w:hAnsi="Garamond" w:cs="Arial"/>
        </w:rPr>
      </w:pPr>
      <w:r>
        <w:rPr>
          <w:rFonts w:ascii="Garamond" w:hAnsi="Garamond" w:cs="Arial"/>
          <w:b/>
          <w:bCs/>
          <w:color w:val="003399"/>
        </w:rPr>
        <w:br w:type="page"/>
      </w:r>
    </w:p>
    <w:p w:rsidR="00062BE4" w:rsidRPr="002F7766" w:rsidRDefault="00062BE4" w:rsidP="00062BE4">
      <w:pPr>
        <w:rPr>
          <w:rFonts w:ascii="Garamond" w:hAnsi="Garamond" w:cs="Arial"/>
        </w:rPr>
      </w:pPr>
    </w:p>
    <w:p w:rsidR="00062BE4" w:rsidRPr="002F7766" w:rsidRDefault="00B437A1" w:rsidP="00062BE4">
      <w:pPr>
        <w:rPr>
          <w:rFonts w:ascii="Garamond" w:hAnsi="Garamond" w:cs="Arial"/>
          <w:b/>
          <w:bCs/>
          <w:lang w:val="en-GB"/>
        </w:rPr>
      </w:pPr>
      <w:hyperlink w:anchor="Vorlesungen_Inhalt" w:history="1">
        <w:r w:rsidR="00062BE4" w:rsidRPr="002F7766">
          <w:rPr>
            <w:rStyle w:val="Lienhypertexte"/>
            <w:rFonts w:ascii="Garamond" w:hAnsi="Garamond" w:cs="Arial"/>
            <w:b/>
            <w:bCs/>
            <w:lang w:val="en-GB"/>
          </w:rPr>
          <w:t>Vo</w:t>
        </w:r>
        <w:bookmarkStart w:id="267" w:name="Vorlesungen_Vortwort"/>
        <w:bookmarkEnd w:id="267"/>
        <w:r w:rsidR="00062BE4" w:rsidRPr="002F7766">
          <w:rPr>
            <w:rStyle w:val="Lienhypertexte"/>
            <w:rFonts w:ascii="Garamond" w:hAnsi="Garamond" w:cs="Arial"/>
            <w:b/>
            <w:bCs/>
            <w:lang w:val="en-GB"/>
          </w:rPr>
          <w:t>rwort</w:t>
        </w:r>
      </w:hyperlink>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 xml:space="preserve">Was ich hier als »Einführung in die Psychoanalyse« der Öffentlichkeit übergebe, will auf keine Weise in Wettbewerb mit den bereits vorliegenden Gesamtdarstellungen dieses Wissensgebietes treten. </w:t>
      </w:r>
      <w:r w:rsidRPr="002F7766">
        <w:rPr>
          <w:rFonts w:ascii="Garamond" w:hAnsi="Garamond" w:cs="Arial"/>
        </w:rPr>
        <w:t xml:space="preserve">(Hitschmann, </w:t>
      </w:r>
      <w:r w:rsidRPr="002F7766">
        <w:rPr>
          <w:rFonts w:ascii="Garamond" w:hAnsi="Garamond" w:cs="Arial"/>
          <w:i/>
          <w:iCs/>
        </w:rPr>
        <w:t>Freuds Neurosenlehre</w:t>
      </w:r>
      <w:r w:rsidRPr="002F7766">
        <w:rPr>
          <w:rFonts w:ascii="Garamond" w:hAnsi="Garamond" w:cs="Arial"/>
        </w:rPr>
        <w:t xml:space="preserve">, 2. Aufl., 1913; Pfister, </w:t>
      </w:r>
      <w:r w:rsidRPr="002F7766">
        <w:rPr>
          <w:rFonts w:ascii="Garamond" w:hAnsi="Garamond" w:cs="Arial"/>
          <w:i/>
          <w:iCs/>
        </w:rPr>
        <w:t>Die psychoanalytische Methode</w:t>
      </w:r>
      <w:r w:rsidRPr="002F7766">
        <w:rPr>
          <w:rFonts w:ascii="Garamond" w:hAnsi="Garamond" w:cs="Arial"/>
        </w:rPr>
        <w:t xml:space="preserve">, 1913; Leo Kaplan, </w:t>
      </w:r>
      <w:r w:rsidRPr="002F7766">
        <w:rPr>
          <w:rFonts w:ascii="Garamond" w:hAnsi="Garamond" w:cs="Arial"/>
          <w:i/>
          <w:iCs/>
        </w:rPr>
        <w:t>Grundzüge der Psychoanalyse</w:t>
      </w:r>
      <w:r w:rsidRPr="002F7766">
        <w:rPr>
          <w:rFonts w:ascii="Garamond" w:hAnsi="Garamond" w:cs="Arial"/>
        </w:rPr>
        <w:t xml:space="preserve">, 1914; Régis et Hesnard, </w:t>
      </w:r>
      <w:r w:rsidRPr="002F7766">
        <w:rPr>
          <w:rFonts w:ascii="Garamond" w:hAnsi="Garamond" w:cs="Arial"/>
          <w:i/>
          <w:iCs/>
        </w:rPr>
        <w:t>La Psychoanalyse des névroses et des psychoses</w:t>
      </w:r>
      <w:r w:rsidRPr="002F7766">
        <w:rPr>
          <w:rFonts w:ascii="Garamond" w:hAnsi="Garamond" w:cs="Arial"/>
        </w:rPr>
        <w:t xml:space="preserve">, Paris 1914; Adolf F. Meijer, </w:t>
      </w:r>
      <w:r w:rsidRPr="002F7766">
        <w:rPr>
          <w:rFonts w:ascii="Garamond" w:hAnsi="Garamond" w:cs="Arial"/>
          <w:i/>
          <w:iCs/>
        </w:rPr>
        <w:t>De Behandeling van Zenuwzieken door Psycho-Analyse,</w:t>
      </w:r>
      <w:r w:rsidRPr="002F7766">
        <w:rPr>
          <w:rFonts w:ascii="Garamond" w:hAnsi="Garamond" w:cs="Arial"/>
        </w:rPr>
        <w:t xml:space="preserve"> Amsterdam 1915.) </w:t>
      </w:r>
      <w:r w:rsidRPr="002F7766">
        <w:rPr>
          <w:rFonts w:ascii="Garamond" w:hAnsi="Garamond" w:cs="Arial"/>
          <w:lang w:val="en-GB"/>
        </w:rPr>
        <w:t>Es ist die getreue Wiedergabe von Vorlesungen, die ich in den zwei Wintersemestern 1915/6 und 1916/7 vor einer aus Ärzten und Laien und aus beiden Geschlechtern gemischten Zuhörerschaft gehalten habe.</w:t>
      </w:r>
    </w:p>
    <w:p w:rsidR="00062BE4" w:rsidRPr="002F7766" w:rsidRDefault="00062BE4" w:rsidP="00062BE4">
      <w:pPr>
        <w:rPr>
          <w:rFonts w:ascii="Garamond" w:hAnsi="Garamond" w:cs="Arial"/>
          <w:lang w:val="en-GB"/>
        </w:rPr>
      </w:pPr>
      <w:r w:rsidRPr="002F7766">
        <w:rPr>
          <w:rFonts w:ascii="Garamond" w:hAnsi="Garamond" w:cs="Arial"/>
          <w:lang w:val="en-GB"/>
        </w:rPr>
        <w:t>Alle Eigentümlichkeiten, durch welche diese Arbeit den Lesern des Buches auffallen wird, erklären sich aus den Bedingungen ihrer Entstehung. Es war nicht möglich, in der Darstellung die kühle Ruhe einer wissenschaftlichen Abhandlung zu wahren; vielmehr mußte sich der Redner zur Aufgabe machen, die Aufmerksamkeit der Zuhörer während eines fast zweistündigen Vortrags nicht erlahmen zu lassen. Die Rücksicht auf die momentane Wirkung machte es unvermeidlich, daß derselbe Gegenstand eine wiederholte Behandlung fand, z. B. das eine Mal im Zusammenhang der Traumdeutung und dann später in dem der Neurosenprobleme. Die Anordnung des Stoffes brachte es auch mit sich, daß manche wichtige Themen, wie z. B. das des Unbewußten, nicht an einer einzigen Stelle erschöpfend gewürdigt werden konnten, sondern zu wiederholten Malen aufgenommen und wieder fallengelassen wurden, bis sich eine neue Gelegenheit ergab, etwas zu ihrer Kenntnis hinzuzufügen.</w:t>
      </w:r>
    </w:p>
    <w:p w:rsidR="00062BE4" w:rsidRPr="002F7766" w:rsidRDefault="00062BE4" w:rsidP="00062BE4">
      <w:pPr>
        <w:rPr>
          <w:rFonts w:ascii="Garamond" w:hAnsi="Garamond" w:cs="Arial"/>
          <w:lang w:val="en-GB"/>
        </w:rPr>
      </w:pPr>
      <w:r w:rsidRPr="002F7766">
        <w:rPr>
          <w:rFonts w:ascii="Garamond" w:hAnsi="Garamond" w:cs="Arial"/>
          <w:lang w:val="en-GB"/>
        </w:rPr>
        <w:t>Wer mit der psychoanalytischen Literatur vertraut ist, wird in dieser »Einführung« wenig finden, was ihm nicht aus anderen, weit ausführlicheren Veröffentlichungen bekannt sein könnte. Doch hat das Bedürfnis nach Abrundung und Zusammenfassung des Stoffes den Verfasser genötigt, in einzelnen Abschnitten (bei der Ätiologie der Angst, den hysterischen Phantasien) auch bisher zurückgehaltenes Material heranzuziehen.</w:t>
      </w:r>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Wien, im Frühjahr 1917</w:t>
      </w:r>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Freud</w:t>
      </w:r>
    </w:p>
    <w:p w:rsidR="00062BE4" w:rsidRPr="002F7766" w:rsidRDefault="00062BE4" w:rsidP="00062BE4">
      <w:pPr>
        <w:rPr>
          <w:rFonts w:ascii="Garamond" w:hAnsi="Garamond" w:cs="Arial"/>
          <w:b/>
          <w:bCs/>
          <w:color w:val="F38030"/>
          <w:lang w:val="en-GB"/>
        </w:rPr>
      </w:pPr>
      <w:r>
        <w:rPr>
          <w:rFonts w:ascii="Garamond" w:hAnsi="Garamond" w:cs="Arial"/>
          <w:b/>
          <w:bCs/>
          <w:color w:val="F38030"/>
          <w:lang w:val="en-GB"/>
        </w:rPr>
        <w:br w:type="page"/>
      </w:r>
      <w:r w:rsidRPr="002F7766">
        <w:rPr>
          <w:rFonts w:ascii="Garamond" w:hAnsi="Garamond" w:cs="Arial"/>
          <w:b/>
          <w:bCs/>
          <w:color w:val="F38030"/>
          <w:lang w:val="en-GB"/>
        </w:rPr>
        <w:lastRenderedPageBreak/>
        <w:t>Erster Teil</w:t>
      </w:r>
    </w:p>
    <w:p w:rsidR="00062BE4" w:rsidRPr="002F7766" w:rsidRDefault="00062BE4" w:rsidP="00062BE4">
      <w:pPr>
        <w:rPr>
          <w:rFonts w:ascii="Garamond" w:hAnsi="Garamond" w:cs="Arial"/>
          <w:b/>
          <w:bCs/>
          <w:color w:val="F38030"/>
          <w:lang w:val="en-GB"/>
        </w:rPr>
      </w:pPr>
      <w:r w:rsidRPr="002F7766">
        <w:rPr>
          <w:rFonts w:ascii="Garamond" w:hAnsi="Garamond" w:cs="Arial"/>
          <w:b/>
          <w:bCs/>
          <w:color w:val="F38030"/>
          <w:lang w:val="en-GB"/>
        </w:rPr>
        <w:t>Die Fehlleistungen</w:t>
      </w:r>
    </w:p>
    <w:p w:rsidR="00062BE4" w:rsidRPr="002F7766" w:rsidRDefault="00062BE4" w:rsidP="00062BE4">
      <w:pPr>
        <w:rPr>
          <w:rFonts w:ascii="Garamond" w:hAnsi="Garamond" w:cs="Arial"/>
          <w:b/>
          <w:bCs/>
          <w:lang w:val="en-GB"/>
        </w:rPr>
      </w:pPr>
      <w:r w:rsidRPr="002F7766">
        <w:rPr>
          <w:rFonts w:ascii="Garamond" w:hAnsi="Garamond" w:cs="Arial"/>
          <w:b/>
          <w:bCs/>
          <w:lang w:val="en-GB"/>
        </w:rPr>
        <w:t>(1916)</w:t>
      </w:r>
    </w:p>
    <w:p w:rsidR="00062BE4" w:rsidRDefault="00062BE4" w:rsidP="00062BE4">
      <w:pPr>
        <w:rPr>
          <w:rFonts w:ascii="Garamond" w:hAnsi="Garamond" w:cs="Arial"/>
          <w:b/>
          <w:bCs/>
          <w:lang w:val="en-GB"/>
        </w:rPr>
      </w:pPr>
    </w:p>
    <w:p w:rsidR="00062BE4" w:rsidRPr="002F7766" w:rsidRDefault="00B437A1" w:rsidP="00062BE4">
      <w:pPr>
        <w:rPr>
          <w:rFonts w:ascii="Garamond" w:hAnsi="Garamond" w:cs="Arial"/>
          <w:b/>
          <w:bCs/>
          <w:lang w:val="en-GB"/>
        </w:rPr>
      </w:pPr>
      <w:hyperlink w:anchor="Vorlesungen_Inhalt" w:history="1">
        <w:r w:rsidR="00062BE4" w:rsidRPr="002F7766">
          <w:rPr>
            <w:rStyle w:val="Lienhypertexte"/>
            <w:rFonts w:ascii="Garamond" w:hAnsi="Garamond" w:cs="Arial"/>
            <w:b/>
            <w:bCs/>
            <w:lang w:val="en-GB"/>
          </w:rPr>
          <w:t>1. Vo</w:t>
        </w:r>
        <w:bookmarkStart w:id="268" w:name="Vorlesungen_1"/>
        <w:bookmarkEnd w:id="268"/>
        <w:r w:rsidR="00062BE4" w:rsidRPr="002F7766">
          <w:rPr>
            <w:rStyle w:val="Lienhypertexte"/>
            <w:rFonts w:ascii="Garamond" w:hAnsi="Garamond" w:cs="Arial"/>
            <w:b/>
            <w:bCs/>
            <w:lang w:val="en-GB"/>
          </w:rPr>
          <w:t>rlesung. Einleitung</w:t>
        </w:r>
      </w:hyperlink>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Ich weiß nicht, wieviel die einzelnen von Ihnen aus ihrer Lektüre oder vom Hörensagen über die Psychoanalyse wissen. Ich bin aber durch den Wortlaut meiner Ankündigung – Elementare Einführung in die Psychoanalyse – verpflichtet, Sie so zu behandeln, als wüßten Sie nichts und bedürften einer ersten Unterweisung.</w:t>
      </w:r>
    </w:p>
    <w:p w:rsidR="00062BE4" w:rsidRPr="002F7766" w:rsidRDefault="00062BE4" w:rsidP="00062BE4">
      <w:pPr>
        <w:rPr>
          <w:rFonts w:ascii="Garamond" w:hAnsi="Garamond" w:cs="Arial"/>
          <w:lang w:val="en-GB"/>
        </w:rPr>
      </w:pPr>
      <w:r w:rsidRPr="002F7766">
        <w:rPr>
          <w:rFonts w:ascii="Garamond" w:hAnsi="Garamond" w:cs="Arial"/>
          <w:lang w:val="en-GB"/>
        </w:rPr>
        <w:t>Soviel darf ich allerdings voraussetzen, daß Sie wissen, die Psychoanalyse sei ein Verfahren, wie man nervös Kranke ärztlich behandelt, und da kann ich Ihnen gleich ein Beispiel dafür geben, wie auf diesem Gebiet so manches anders, oft geradezu verkehrt, vor sich geht als sonst in der Medizin. Wenn wir sonst einen Kranken einer ihm neuen ärztlichen Technik unterziehen, so werden wir in der Regel die Beschwerden derselben vor ihm herabsetzen und ihm zuversichtliche Versprechungen wegen des Erfolges der Behandlung geben. Ich meine, wir sind berechtigt dazu, denn wir steigern durch solches Benehmen die Wahrscheinlichkeit des Erfolges. Wenn wir aber einen Neurotiker in psychoanalytische Behandlung nehmen, so verfahren wir anders. Wir halten ihm die Schwierigkeiten der Methode vor, ihre Zeitdauer, die Anstrengungen und die Opfer, die sie kostet, und was den Erfolg anbelangt, so sagen wir, wir können ihn nicht sicher versprechen, er hänge von seinem Benehmen ab, von seinem Verständnis, seiner Gefügigkeit, seiner Ausdauer. Wir haben natürlich gute Motive für ein anscheinend so verkehrtes Benehmen, in welche Sie vielleicht später einmal Einsicht gewinnen werden.</w:t>
      </w:r>
    </w:p>
    <w:p w:rsidR="00062BE4" w:rsidRPr="002F7766" w:rsidRDefault="00062BE4" w:rsidP="00062BE4">
      <w:pPr>
        <w:rPr>
          <w:rFonts w:ascii="Garamond" w:hAnsi="Garamond" w:cs="Arial"/>
          <w:lang w:val="en-GB"/>
        </w:rPr>
      </w:pPr>
      <w:r w:rsidRPr="002F7766">
        <w:rPr>
          <w:rFonts w:ascii="Garamond" w:hAnsi="Garamond" w:cs="Arial"/>
          <w:lang w:val="en-GB"/>
        </w:rPr>
        <w:t xml:space="preserve">Seien Sie nun nicht böse, wenn ich Sie zunächst ähnlich behandle wie diese neurotischen Kranken. Ich rate Ihnen eigentlich ab,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ein zweites Mal anzuhören. Ich werde Ihnen in dieser Absicht vorführen, welche Unvollkommenheiten notwendigerweise dem Unterricht in der Psychoanalyse anhaften und welche Schwierigkeiten der Erwerbung eines eigenen Urteils entgegenstehen. Ich werde Ihnen zeigen, wie die ganze Richtung Ihrer Vorbildung und alle Ihre Denkgewohnheiten Sie unvermeidlich zu Gegnern der Psychoanalyse machen müßten und wieviel Sie in sich zu überwinden hätten, um dieser instinktiven Gegnerschaft Herr zu werden. Was Sie an Verständnis für die Psychoanalyse aus meinen Mitteilungen gewinnen werden, kann ich Ihnen natürlich nicht vorhersagen, aber soviel kann ich Ihnen versprechen, daß Sie durch das Anhören derselben nicht erlernt haben werden, eine psychoanalytische Untersuchung vorzunehmen oder eine solche Behandlung durchzuführen. Sollte sich aber gar jemand unter Ihnen finden, der sich nicht durch eine flüchtige Bekanntschaft mit der Psychoanalyse befriedigt fühlte, sondern in eine dauernde Beziehung zu ihr treten möchte, so werde ich ihm nicht nur abraten, sondern ihn direkt davor warnen. Wie die Dinge derzeit stehen, würde er sich durch eine solche Berufswahl jede Möglichkeit eines Erfolges an einer Universität zerstören, und wenn er als ausübender Arzt ins Leben geht, wird er sich in einer Gesellschaft finden, welche seine Bestrebungen nicht versteht, ihn mißtrauisch und feindselig betrachtet und alle bösen, in ihr lauernden Geister gegen ihn losläßt. Vielleicht können Sie gerade aus den Begleiterscheinungen des heute in Europa wütenden Krieges eine ungefähre Schätzung ableiten, wieviele Legionen das sein mögen.</w:t>
      </w:r>
    </w:p>
    <w:p w:rsidR="00062BE4" w:rsidRPr="002F7766" w:rsidRDefault="00062BE4" w:rsidP="00062BE4">
      <w:pPr>
        <w:rPr>
          <w:rFonts w:ascii="Garamond" w:hAnsi="Garamond" w:cs="Arial"/>
        </w:rPr>
      </w:pPr>
      <w:r w:rsidRPr="002F7766">
        <w:rPr>
          <w:rFonts w:ascii="Garamond" w:hAnsi="Garamond" w:cs="Arial"/>
          <w:lang w:val="en-GB"/>
        </w:rPr>
        <w:t xml:space="preserve">Es gibt immerhin Personen genug, für welche etwas, was ein neues Stück Erkenntnis werden kann, trotz solcher Unbequemlichkeiten seine Anziehung behält. Sollten einige von Ihnen von dieser Art sein und mit Hinwegsetzung über meine Abmahnungen das nächste Mal hier wieder erscheinen, so werden Sie mir </w:t>
      </w:r>
      <w:r w:rsidRPr="002F7766">
        <w:rPr>
          <w:rFonts w:ascii="Garamond" w:hAnsi="Garamond" w:cs="Arial"/>
          <w:lang w:val="en-GB"/>
        </w:rPr>
        <w:lastRenderedPageBreak/>
        <w:t xml:space="preserve">willkommen sein. </w:t>
      </w:r>
      <w:r w:rsidRPr="002F7766">
        <w:rPr>
          <w:rFonts w:ascii="Garamond" w:hAnsi="Garamond" w:cs="Arial"/>
        </w:rPr>
        <w:t>Sie haben aber alle ein Anrecht darauf zu erfahren, welches die angedeuteten Schwierigkeiten der Psychoanalyse sind.</w:t>
      </w:r>
    </w:p>
    <w:p w:rsidR="00062BE4" w:rsidRPr="002F7766" w:rsidRDefault="00062BE4" w:rsidP="00062BE4">
      <w:pPr>
        <w:rPr>
          <w:rFonts w:ascii="Garamond" w:hAnsi="Garamond" w:cs="Arial"/>
          <w:lang w:val="en-GB"/>
        </w:rPr>
      </w:pPr>
      <w:r w:rsidRPr="002F7766">
        <w:rPr>
          <w:rFonts w:ascii="Garamond" w:hAnsi="Garamond" w:cs="Arial"/>
          <w:lang w:val="en-GB"/>
        </w:rPr>
        <w:t>Zunächst die der Unterweisung, des Unterrichts in der Psychoanalyse. Sie sind im medizinischen Unterricht daran gewöhnt worden zu sehen. Sie sehen das anatomische Präparat, den Niederschlag bei der chemischen Reaktion, die Verkürzung des Muskels als Erfolg der Reizung seiner Nerven. Später zeigt man Ihren Sinnen den Kranken, die Symptome seines Leidens, die Produkte des krankhaften Prozesses, ja in zahlreichen Fällen die Erreger der Krankheit in isoliertem Zustande. In den chirurgischen Fächern werden Sie Zeugen der Eingriffe, durch welche man dem Kranken Hilfe leistet, und dürfen die Ausführung derselben selbst versuchen. Selbst in der Psychiatrie führt Ihnen die Demonstration des Kranken an seinem veränderten Mienenspiel, seiner Redeweise und seinem Benehmen eine Fülle von Beobachtungen zu, die Ihnen tiefgehende Eindrücke hinterlassen. So spielt der medizinische Lehrer vorwiegend die Rolle eines Führers und Erklärers, der Sie durch ein Museum begleitet, während Sie eine unmittelbare Beziehung zu den Objekten gewinnen und sich durch eigene Wahrnehmung von der Existenz der neuen Tatsachen überzeugt zu haben glauben.</w:t>
      </w:r>
    </w:p>
    <w:p w:rsidR="00062BE4" w:rsidRPr="002F7766" w:rsidRDefault="00062BE4" w:rsidP="00062BE4">
      <w:pPr>
        <w:rPr>
          <w:rFonts w:ascii="Garamond" w:hAnsi="Garamond" w:cs="Arial"/>
          <w:lang w:val="en-GB"/>
        </w:rPr>
      </w:pPr>
      <w:r w:rsidRPr="002F7766">
        <w:rPr>
          <w:rFonts w:ascii="Garamond" w:hAnsi="Garamond" w:cs="Arial"/>
        </w:rPr>
        <w:t xml:space="preserve">Das ist leider alles anders in der Psychoanalyse. </w:t>
      </w:r>
      <w:r w:rsidRPr="002F7766">
        <w:rPr>
          <w:rFonts w:ascii="Garamond" w:hAnsi="Garamond" w:cs="Arial"/>
          <w:lang w:val="en-GB"/>
        </w:rPr>
        <w:t>In der analytischen Behandlung geht nichts anderes vor als ein Austausch von Worten zwischen dem Analysierten und dem Arzt. Der Patient spricht, erzählt von vergangenen Erlebnissen und gegenwärtigen Eindrücken, klagt, bekennt seine Wünsche und Gefühlsregungen. Der Arzt hört zu, sucht die Gedankengänge des Patienten zu dirigieren, mahnt, drängt seine Aufmerksamkeit nach gewissen Richtungen, gibt ihm Aufklärungen und beobachtet die Reaktionen von Verständnis oder von Ablehnung, welche er so beim Kranken hervorruft. Die ungebildeten Angehörigen unserer Kranken – denen nur Sichtbares und Greifbares imponiert, am liebsten Handlungen, wie man sie im Kinotheater sieht – versäumen es auch nie, ihre Zweifel zu äußern, wie man »durch bloße Reden etwas gegen die Krankheit ausrichten kann«. Das ist natürlich ebenso kurzsinnig wie inkonsequent gedacht. Es sind ja dieselben Leute, die so sicher wissen, daß sich die Kranken ihre Symptome »bloß einbilden«. Worte waren ursprünglich Zauber, und das Wort hat noch heute viel von seiner alten Zauberkraft bewahrt. Durch Worte kann ein Mensch den anderen selig machen oder zur Verzweiflung treiben, durch Worte überträgt der Lehrer sein Wissen auf die Schüler, durch Worte reißt der Redner die Versammlung der Zuhörer mit sich fort und bestimmt ihre Urteile und Entscheidungen. Worte rufen Affekte hervor und sind das allgemeine Mittel zur Beeinflussung der Menschen untereinander. Wir werden also die Verwendung der Worte in der Psychotherapie nicht geringschätzen und werden zufrieden sein, wenn wir Zuhörer der Worte sein können, die zwischen dem Analytiker und seinem Patienten gewechselt werden.</w:t>
      </w:r>
    </w:p>
    <w:p w:rsidR="00062BE4" w:rsidRPr="002F7766" w:rsidRDefault="00062BE4" w:rsidP="00062BE4">
      <w:pPr>
        <w:rPr>
          <w:rFonts w:ascii="Garamond" w:hAnsi="Garamond" w:cs="Arial"/>
          <w:lang w:val="en-GB"/>
        </w:rPr>
      </w:pPr>
      <w:r w:rsidRPr="002F7766">
        <w:rPr>
          <w:rFonts w:ascii="Garamond" w:hAnsi="Garamond" w:cs="Arial"/>
          <w:lang w:val="en-GB"/>
        </w:rPr>
        <w:t>Aber auch das können wir nicht. Das Gespräch, in dem die psychoanalytische Behandlung besteht, verträgt keinen Zuhörer; es läßt sich nicht demonstrieren. Man kann natürlich auch einen Neurastheniker oder Hysteriker in einer psychiatrischen Vorlesung den Lernenden vorstellen. Er erzählt dann von seinen Klagen und Symptomen, aber auch von nichts anderem. Die Mitteilungen, deren die Analyse bedarf, macht er nur unter der Bedingung einer besonderen Gefühlsbindung an den Arzt; er würde verstummen, sobald er einen einzigen, ihm indifferenten Zeugen bemerkte. Denn diese Mitteilungen betreffen das Intimste seines Seelenlebens, alles was er als sozial selbständige Person vor anderen verbergen muß, und im weiteren alles, was er als einheitliche Persönlichkeit sich selbst nicht eingestehen will.</w:t>
      </w:r>
    </w:p>
    <w:p w:rsidR="00062BE4" w:rsidRPr="002F7766" w:rsidRDefault="00062BE4" w:rsidP="00062BE4">
      <w:pPr>
        <w:rPr>
          <w:rFonts w:ascii="Garamond" w:hAnsi="Garamond" w:cs="Arial"/>
          <w:lang w:val="en-GB"/>
        </w:rPr>
      </w:pPr>
      <w:r w:rsidRPr="002F7766">
        <w:rPr>
          <w:rFonts w:ascii="Garamond" w:hAnsi="Garamond" w:cs="Arial"/>
          <w:lang w:val="en-GB"/>
        </w:rPr>
        <w:t>Sie können also eine psychoanalytische Behandlung nicht mitanhören. Sie können nur von ihr hören und werden die Psychoanalyse im strengsten Sinne des Wortes nur vom Hörensagen kennenlernen. Durch diese Unterweisung gleichsam aus zweiter Hand kommen Sie in ganz ungewohnte Bedingungen für eine Urteilbildung. Es hängt offenbar das meiste davon ab, welchen Glauben Sie dem Gewährsmann schenken können.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Nehmen Sie einmal an, Sie wären nicht in eine psychiatrische, sondern in eine historische Vorlesung gegangen und der Vortragende erzählte Ihnen vom Leben und von den Kriegstaten Alexanders des Großen. Was für Motive hätten Sie, an die Wahrhaftigkeit seiner Mitteilungen zu glauben? Zunächst scheint die Sachlage noch ungünstiger zu sein als im Falle der Psychoanalyse, denn der Geschichtsprofessor war so wenig Teilnehmer an den Kriegszügen Alexanders wie Sie; der Psychoanalytiker berichtet Ihnen doch wenigstens von Dingen, bei denen er selbst eine Rolle gespielt hat. Aber dann kommt die Reihe an das, was den Historiker beglaubigt. Er kann Sie auf die Berichte von alten Schriftstellern verweisen, die entweder selbst zeitgenössisch waren oder den fraglichen Ereignissen doch näher standen, also auf die Bücher des Diodor, Plutarch, Arrian u. a.; er kann Ihnen Abbildungen der erhaltenen Münzen und Statuen des Königs vorlegen und eine Photographie des pompejanischen Mosaiks der Schlacht bei Issos durch Ihre Reihen gehen lassen. Strenge genommen beweisen alle diese Dokumente doch nur, daß schon frühere Generationen an die Existenz Alexanders und an die Realität seiner Taten geglaubt haben, und Ihre Kritik dürfte hier von neuem einsetzen. Sie wird dann finden, daß nicht alles über Alexander Berichtete glaubwürdig oder in seinen Einzelheiten sicherzustellen ist, aber ich kann doch nicht annehmen, daß Sie den Vorlesungssaal als Zweifler an der Realität Alexanders des Großen verlassen werden. Ihre Entscheidung wird hauptsächlich durch zwei Erwägungen bestimmt werden, erstens, daß der Vortragende kein denkbares Motiv hat, etwas vor Ihnen als real auszugeben, was er nicht selbst dafür hält, und zweitens, daß alle erreichbaren Geschichtsbücher die Ereignisse in ungefähr ähnlicher Art darstellen. Wenn Sie dann auf die Prüfung der älteren Quellen eingehen, werden Sie dieselben Momente berücksichtigen, die möglichen Motive der Gewährsmänner und die Übereinstimmung der Zeugnisse untereinander. Das Ergebnis der Prüfung wird im Falle Alexanders sicherlich beruhigend sein, wahrscheinlich anders ausfallen, wenn es sich um Persönlichkeiten wie Moses oder Nimrod handelt. Welche Zweifel Sie aber gegen die Glaubwürdigkeit des psychoanalytischen Berichterstatters erheben können, werden Sie bei späteren Anlässen deutlich genug erkennen.</w:t>
      </w:r>
    </w:p>
    <w:p w:rsidR="00062BE4" w:rsidRPr="002F7766" w:rsidRDefault="00062BE4" w:rsidP="00062BE4">
      <w:pPr>
        <w:rPr>
          <w:rFonts w:ascii="Garamond" w:hAnsi="Garamond" w:cs="Arial"/>
          <w:lang w:val="en-GB"/>
        </w:rPr>
      </w:pPr>
      <w:r w:rsidRPr="002F7766">
        <w:rPr>
          <w:rFonts w:ascii="Garamond" w:hAnsi="Garamond" w:cs="Arial"/>
          <w:lang w:val="en-GB"/>
        </w:rPr>
        <w:t>Nun werden Sie ein Recht zu der Frage haben: Wenn es keine objektive Beglaubigung der Psychoanalyse gibt und keine Möglichkeit, sie zu demonstrieren, wie kann man überhaupt Psychoanalyse erlernen und sich von der Wahrheit ihrer Behauptungen überzeugen? Dies Erlernen ist wirklich nicht leicht, und es haben auch nicht viele Menschen die Psychoanalyse ordentlich gelernt, aber es gibt natürlich doch einen gangbaren Weg. Psychoanalyse erlernt man zunächst am eigenen Leib, durch das Studium der eigenen Persönlichkeit. Es ist das nicht ganz, was man Selbstbeobachtung heißt, aber man kann es ihr zur Not subsumieren. Es gibt eine ganze Reihe von sehr häufigen und allgemein bekannten seelischen Phänomenen, die man nach einiger Unterweisung in der Technik an sich selbst zu Gegenständen der Analyse machen kann. Dabei holt man sich die gesuchte Überzeugung von der Realität der Vorgänge, welche die Psychoanalyse beschreibt, und von der Richtigkeit ihrer Auffassungen. Allerdings sind dem Fortschritte auf diesem Wege bestimmte Grenzen gesetzt. Man kommt viel weiter, wenn man sich selbst von einem kundigen Analytiker analysieren läßt, die Wirkungen der Analyse am eigenen Ich erlebt und dabei die Gelegenheit benützt, dem anderen die feinere Technik des Verfahrens abzulauschen. Dieser ausgezeichnete Weg ist natürlich immer nur für eine einzelne Person, niemals für ein ganzes Kolleg auf einmal gangbar.</w:t>
      </w:r>
    </w:p>
    <w:p w:rsidR="00062BE4" w:rsidRPr="002F7766" w:rsidRDefault="00062BE4" w:rsidP="00062BE4">
      <w:pPr>
        <w:rPr>
          <w:rFonts w:ascii="Garamond" w:hAnsi="Garamond" w:cs="Arial"/>
          <w:lang w:val="en-GB"/>
        </w:rPr>
      </w:pPr>
      <w:r w:rsidRPr="002F7766">
        <w:rPr>
          <w:rFonts w:ascii="Garamond" w:hAnsi="Garamond" w:cs="Arial"/>
          <w:lang w:val="en-GB"/>
        </w:rPr>
        <w:t xml:space="preserve">Für eine zweite Schwierigkeit in Ihrem Verhältnis zur Psychoanalyse kann ich nicht mehr diese, muß ich Sie selbst, meine Hörer, verantwortlich machen, wenigstens insoweit Sie bisher medizinische Studien betrieben haben. Ihre Vorbildung hat Ihrer Denktätigkeit eine bestimmte Richtung gegeben, die weit von der Psychoanalyse abführt. Sie sind darin geschult worden, die Funktionen des Organismus und ihre Störungen anatomisch zu begründen, chemisch und physikalisch zu erklären und biologisch zu erfassen, aber kein Anteil Ihres Interesses ist auf das psychische Leben gelenkt worden, in dem doch die Leistung dieses wunderbar komplizierten Organismus gipfelt. Darum ist Ihnen eine psychologische Denkweise fremd geblieben, und Sie haben sich gewöhnt, eine solche mißtrauisch zu betrachten, ihr den Charakter </w:t>
      </w:r>
      <w:r w:rsidRPr="002F7766">
        <w:rPr>
          <w:rFonts w:ascii="Garamond" w:hAnsi="Garamond" w:cs="Arial"/>
          <w:lang w:val="en-GB"/>
        </w:rPr>
        <w:lastRenderedPageBreak/>
        <w:t>der Wissenschaftlichkeit abzusprechen und sie den Laien, Dichtern, Naturphilosophen und Mystikern zu überlassen. Diese Einschränkung ist gewiß ein Schaden für Ihre ärztliche Tätigkeit, denn der Kranke wird Ihnen, wie es bei allen menschlichen Beziehungen Regel ist, zunächst seine seelische Fassade entgegenbringen, und ich fürchte, Sie werden zur Strafe genötigt sein, einen Anteil des therapeutischen Einflusses, den Sie anstreben, den von Ihnen so verachteten Laienärzten, Naturheilkünstlern und Mystikern zu überlassen.</w:t>
      </w:r>
    </w:p>
    <w:p w:rsidR="00062BE4" w:rsidRPr="002F7766" w:rsidRDefault="00062BE4" w:rsidP="00062BE4">
      <w:pPr>
        <w:rPr>
          <w:rFonts w:ascii="Garamond" w:hAnsi="Garamond" w:cs="Arial"/>
          <w:lang w:val="en-GB"/>
        </w:rPr>
      </w:pPr>
      <w:r w:rsidRPr="002F7766">
        <w:rPr>
          <w:rFonts w:ascii="Garamond" w:hAnsi="Garamond" w:cs="Arial"/>
          <w:lang w:val="en-GB"/>
        </w:rPr>
        <w:t>Ich verkenne nicht, welche Entschuldigung man für diesen Mangel Ihrer Vorbildung gelten lassen muß. Es fehlt die philosophische Hilfswissenschaft, welche für Ihre ärztlichen Absichten dienstbar gemacht werden könnte. Weder die spekulative Philosophie noch die deskriptive Psychologie oder die an die Sinnesphysiologie anschließende sogenannte experimentelle Psychologie, wie sie in den Schulen gelehrt werden, sind imstande, Ihnen über die Beziehung zwischen dem Körperlichen und Seelischen etwas Brauchbares zu sagen und Ihnen die Schlüssel zum Verständnis einer möglichen Störung der seelischen Funktionen in die Hand zu geben. Innerhalb der Medizin beschäftigt sich zwar die Psychiatrie damit, die beobachteten Seelenstörungen zu beschreiben und zu klinischen Krankheitsbildern zusammenzustellen, aber in guten Stunden zweifeln die Psychiater selbst daran, ob ihre rein deskriptiven Aufstellungen den Namen einer Wissenschaft verdienen. Die Symptome, welche diese Krankheitsbilder zusammensetzen, sind nach ihrer Herkunft, ihrem Mechanismus und in ihrer gegenseitigen Verknüpfung unerkannt; es entsprechen ihnen entweder keine nachweisbaren Veränderungen des anatomischen Organs der Seele oder solche, aus denen sie eine Aufklärung nicht finden können. Einer therapeutischen Beeinflussung sind diese Seelenstörungen nur dann zugänglich, wenn sie sich als Nebenwirkungen einer sonstigen organischen Affektion erkennen lassen.</w:t>
      </w:r>
    </w:p>
    <w:p w:rsidR="00062BE4" w:rsidRPr="002F7766" w:rsidRDefault="00062BE4" w:rsidP="00062BE4">
      <w:pPr>
        <w:rPr>
          <w:rFonts w:ascii="Garamond" w:hAnsi="Garamond" w:cs="Arial"/>
          <w:lang w:val="en-GB"/>
        </w:rPr>
      </w:pPr>
      <w:r w:rsidRPr="002F7766">
        <w:rPr>
          <w:rFonts w:ascii="Garamond" w:hAnsi="Garamond" w:cs="Arial"/>
          <w:lang w:val="en-GB"/>
        </w:rPr>
        <w:t>Hier ist die Lücke, welche die Psychoanalyse auszufüllen bestrebt ist. Sie will der Psychiatrie die vermißte psychologische Grundlage geben, sie hofft, den gemeinsamen Boden aufzudecken, von dem aus das Zusammentreffen körperlicher mit seelischer Störung verständlich wird. Zu diesem Zweck muß sie sich von jeder ihr fremden Voraussetzung anatomischer, chemischer oder physiologischer Natur frei halten, durchaus mit rein psychologischen Hilfsbegriffen arbeiten, und gerade darum, fürchte ich, wird sie Ihnen zunächst fremdartig erscheinen.</w:t>
      </w:r>
    </w:p>
    <w:p w:rsidR="00062BE4" w:rsidRPr="002F7766" w:rsidRDefault="00062BE4" w:rsidP="00062BE4">
      <w:pPr>
        <w:rPr>
          <w:rFonts w:ascii="Garamond" w:hAnsi="Garamond" w:cs="Arial"/>
          <w:lang w:val="en-GB"/>
        </w:rPr>
      </w:pPr>
      <w:r w:rsidRPr="002F7766">
        <w:rPr>
          <w:rFonts w:ascii="Garamond" w:hAnsi="Garamond" w:cs="Arial"/>
          <w:lang w:val="en-GB"/>
        </w:rPr>
        <w:t>An der nächsten Schwierigkeit will ich Sie, Ihre Vorbildung oder Einstellung, nicht mitschuldig machen. Mit zweien ihrer Aufstellungen beleidigt die Psychoanalyse die ganze Welt und zieht sich deren Abneigung zu; die eine davon verstößt gegen ein intellektuelles, die andere gegen ein ästhetisch-moralisches Vorurteil. Lassen Sie uns nicht zu gering von diesen Vorurteilen denken; es sind machtvolle Dinge, Niederschläge von nützlichen, ja notwendigen Entwicklungen der Menschheit. Sie werden durch affektive Kräfte festgehalten, und der Kampf gegen sie ist ein schwerer.</w:t>
      </w:r>
    </w:p>
    <w:p w:rsidR="00062BE4" w:rsidRPr="00062BE4" w:rsidRDefault="00062BE4" w:rsidP="00062BE4">
      <w:pPr>
        <w:rPr>
          <w:rFonts w:ascii="Garamond" w:hAnsi="Garamond" w:cs="Arial"/>
        </w:rPr>
      </w:pPr>
      <w:r w:rsidRPr="002F7766">
        <w:rPr>
          <w:rFonts w:ascii="Garamond" w:hAnsi="Garamond" w:cs="Arial"/>
          <w:lang w:val="en-GB"/>
        </w:rPr>
        <w:t xml:space="preserve">Die erste dieser unliebsamen Behauptungen der Psychoanalyse besagt, daß die seelischen Vorgänge an und für sich unbewußt sind und die bewußten bloß einzelne Akte und Anteile des ganzen Seelenlebens. Erinnern Sie sich, daß wir im Gegenteile gewöhnt sind, Psychisches und Bewußtes zu identifizieren. Das Bewußtsein gilt uns geradezu als der definierende Charakter des Psychischen, Psychologie als die Lehre von den Inhalten des Bewußtseins. Ja, so selbstverständlich erscheint uns diese Gleichstellung, daß wir einen Widerspruch gegen sie als offenkundigen Widersinn zu empfinden glauben, und doch kann die Psychoanalyse nicht umhin, diesen Widerspruch zu erheben, sie kann die Identität von Bewußtem und Seelischem nicht annehmen. </w:t>
      </w:r>
      <w:r w:rsidRPr="00062BE4">
        <w:rPr>
          <w:rFonts w:ascii="Garamond" w:hAnsi="Garamond" w:cs="Arial"/>
        </w:rPr>
        <w:t xml:space="preserve">Ihre Definition des Seelischen lautet, es seien Vorgänge von der Art des Fühlens, Denkens, Wollens, und sie muß vertreten, daß es unbewußtes Denken und ungewußtes Wollen gibt. Damit hat sie aber von vornherein die Sympathie aller Freunde nüchterner Wissenschaftlichkeit verscherzt und sich in den Verdacht einer phantastischen Geheimlehre gebracht, die im Dunkeln bauen, im Trüben fischen möchte. Sie aber, meine Hörer, können natürlich noch nicht verstehen, mit welchem Recht ich einen Satz von so abstrakter Natur wie: »Das Seelische ist das Bewußte« für ein Vorurteil </w:t>
      </w:r>
      <w:r w:rsidRPr="00062BE4">
        <w:rPr>
          <w:rFonts w:ascii="Garamond" w:hAnsi="Garamond" w:cs="Arial"/>
        </w:rPr>
        <w:lastRenderedPageBreak/>
        <w:t>ausgeben kann, können auch nicht erraten, welche Entwicklung zur Verleugnung des Unbewußten geführt haben kann, wenn ein solches existieren sollte, und welcher Vorteil sich bei dieser Verleugnung ergeben haben mag. Es klingt wie ein leerer Wortstreit, ob man das Psychische mit dem Bewußten zusammenfallen lassen oder es darüber hinaus erstrecken soll, und doch kann ich Ihnen versichern, daß mit der Annahme unbewußter Seelenvorgänge eine entscheidende Neuorientierung in Welt und Wissenschaft angebahnt ist.</w:t>
      </w:r>
    </w:p>
    <w:p w:rsidR="00062BE4" w:rsidRPr="00062BE4" w:rsidRDefault="00062BE4" w:rsidP="00062BE4">
      <w:pPr>
        <w:rPr>
          <w:rFonts w:ascii="Garamond" w:hAnsi="Garamond" w:cs="Arial"/>
        </w:rPr>
      </w:pPr>
      <w:r w:rsidRPr="00062BE4">
        <w:rPr>
          <w:rFonts w:ascii="Garamond" w:hAnsi="Garamond" w:cs="Arial"/>
        </w:rPr>
        <w:t>Ebensowenig können Sie ahnen, ein wie inniger Zusammenhang diese erste Kühnheit der Psychoanalyse mit der nun zu erwähnenden zweiten verknüpft. Dieser andere Satz, den die Psychoanalyse als eines ihrer Ergebnisse verkündet, enthält nämlich die Behauptung, daß Triebregungen, welche man nur als sexuelle im engeren wie im weiteren Sinn bezeichnen kann, eine ungemein große und bisher nie genug gewürdigte Rolle in der Verursachung der Nerven- und Geisteskrankheiten spielen. Ja noch mehr, daß dieselben sexuellen Regungen auch mit nicht zu unterschätzenden Beiträgen an den höchsten kulturellen, künstlerischen und sozialen Schöpfungen des Menschengeistes beteiligt sind.</w:t>
      </w:r>
    </w:p>
    <w:p w:rsidR="00062BE4" w:rsidRPr="002F7766" w:rsidRDefault="00062BE4" w:rsidP="00062BE4">
      <w:pPr>
        <w:rPr>
          <w:rFonts w:ascii="Garamond" w:hAnsi="Garamond" w:cs="Arial"/>
          <w:lang w:val="en-GB"/>
        </w:rPr>
      </w:pPr>
      <w:r w:rsidRPr="002F7766">
        <w:rPr>
          <w:rFonts w:ascii="Garamond" w:hAnsi="Garamond" w:cs="Arial"/>
        </w:rPr>
        <w:t xml:space="preserve">Nach meiner Erfahrung ist die Abneigung gegen dieses Resultat der psychoanalytischen Forschung die bedeutsamste Quelle des Widerstandes, auf den sie gestoßen ist. Wollen Sie wissen, wie wir uns das erklären? Wir glauben, die Kultur ist unter dem Antrieb der Lebensnot auf Kosten der Triebbefriedigung geschaffen worden, und sie wird zum großen Teil immer wieder von neuem erschaffen, indem der Einzelne, der neu in die menschliche Gemeinschaft eintritt, die Opfer an Triebbefriedigung zu Gunsten des Ganzen wiederholt. Unter den so verwendeten Triebkräften spielen die der Sexualregungen eine bedeutsame Rolle; sie werden dabei sublimiert, d. h. von ihren sexuellen Zielen abgelenkt und auf sozial höherstehende, nicht mehr sexuelle, gerichtet. Dieser Aufbau ist aber labil, die Sexualtriebe sind schlecht gebändigt, es besteht bei jedem Einzelnen, der sich dem Kulturwerk anschließen soll, die Gefahr, daß sich seine Sexualtriebe dieser Verwendung weigern. Die Gesellschaft glaubt an keine stärkere Bedrohung ihrer Kultur, als ihr durch die Befreiung der Sexualtriebe und deren Wiederkehr zu ihren ursprünglichen Zielen erwachsen würde. Die Gesellschaft liebt es also nicht, an dieses heikle Stück ihrer Begründung gemahnt zu werden, sie hat gar kein Interesse daran, daß die Stärke der Sexualtriebe anerkannt und die Bedeutung des Sexuallebens für den einzelnen klargelegt werde, sie hat vielmehr in erziehlicher Absicht den Weg eingeschlagen, die Aufmerksamkeit von diesem ganzen Gebiet abzulenken. Darum verträgt sie das genannte Forschungsresultat der Psychoanalyse nicht, möchte es am liebsten als ästhetisch abstoßend, moralisch verwerflich oder als gefährlich brandmarken. </w:t>
      </w:r>
      <w:r w:rsidRPr="002F7766">
        <w:rPr>
          <w:rFonts w:ascii="Garamond" w:hAnsi="Garamond" w:cs="Arial"/>
          <w:lang w:val="en-GB"/>
        </w:rPr>
        <w:t>Aber mit solchen Einwürfen kann man einem angeblich objektiven Ergebnis wissenschaftlicher Arbeit nichts anhaben. Der Widerspruch muß aufs intellektuelle Gebiet übersetzt werden, wenn er laut werden soll. Nun liegt es in der menschlichen Natur, daß man geneigt ist, etwas für unrichtig zu halten, wenn man es nicht mag, und dann ist es leicht, Argumente dagegen zu finden. Die Gesellschaft macht also das Unliebsame zum Unrichtigen, bestreitet die Wahrheiten der Psychoanalyse mit logischen und sachlichen Argumenten, aber aus affektiven Quellen, und hält diese Einwendungen als Vorurteile gegen alle Versuche der Widerlegung fest.</w:t>
      </w:r>
    </w:p>
    <w:p w:rsidR="00062BE4" w:rsidRPr="002F7766" w:rsidRDefault="00062BE4" w:rsidP="00062BE4">
      <w:pPr>
        <w:rPr>
          <w:rFonts w:ascii="Garamond" w:hAnsi="Garamond" w:cs="Arial"/>
          <w:lang w:val="en-GB"/>
        </w:rPr>
      </w:pPr>
      <w:r w:rsidRPr="002F7766">
        <w:rPr>
          <w:rFonts w:ascii="Garamond" w:hAnsi="Garamond" w:cs="Arial"/>
          <w:lang w:val="en-GB"/>
        </w:rPr>
        <w:t>Wir aber dürfen behaupten, meine Damen und Herren, daß wir bei der Aufstellung jenes beanständeten Satzes überhaupt keine Tendenz verfolgt haben. Wir wollten nur einer Tatsächlichkeit Ausdruck geben, die wir in mühseliger Arbeit erkannt zu haben glaubten. Wir nehmen auch jetzt das Recht in Anspruch, die Einmengung solcher praktischer Rücksichten in die wissenschaftliche Arbeit unbedingt zurückzuweisen, auch ehe wir untersucht haben, ob die Befürchtung, welche uns diese Rücksichten diktieren will, berechtigt ist oder nicht.</w:t>
      </w:r>
    </w:p>
    <w:p w:rsidR="00062BE4" w:rsidRPr="002F7766" w:rsidRDefault="00062BE4" w:rsidP="00062BE4">
      <w:pPr>
        <w:rPr>
          <w:rFonts w:ascii="Garamond" w:hAnsi="Garamond" w:cs="Arial"/>
          <w:lang w:val="en-GB"/>
        </w:rPr>
      </w:pPr>
      <w:r w:rsidRPr="002F7766">
        <w:rPr>
          <w:rFonts w:ascii="Garamond" w:hAnsi="Garamond" w:cs="Arial"/>
          <w:lang w:val="en-GB"/>
        </w:rPr>
        <w:t>Das wären nun einige der Schwierigkeiten, welche Ihrer Beschäftigung mit der Psychoanalyse entgegenstehen. Es ist vielleicht mehr als genug für den Anfang. Wenn Sie deren Eindruck überwinden können, wollen wir fortsetzen.</w:t>
      </w:r>
    </w:p>
    <w:p w:rsidR="00062BE4" w:rsidRPr="002F7766" w:rsidRDefault="00062BE4" w:rsidP="00062BE4">
      <w:pPr>
        <w:rPr>
          <w:rFonts w:ascii="Garamond" w:hAnsi="Garamond" w:cs="Arial"/>
          <w:b/>
          <w:bCs/>
          <w:lang w:val="en-GB"/>
        </w:rPr>
      </w:pPr>
      <w:r>
        <w:rPr>
          <w:rFonts w:ascii="Garamond" w:hAnsi="Garamond" w:cs="Arial"/>
          <w:b/>
          <w:bCs/>
          <w:lang w:val="en-GB"/>
        </w:rPr>
        <w:br w:type="page"/>
      </w:r>
      <w:bookmarkStart w:id="269" w:name="Vorlesungen_2"/>
      <w:r w:rsidR="00B437A1">
        <w:rPr>
          <w:rFonts w:ascii="Garamond" w:hAnsi="Garamond" w:cs="Arial"/>
          <w:b/>
          <w:bCs/>
          <w:lang w:val="en-GB"/>
        </w:rPr>
        <w:lastRenderedPageBreak/>
        <w:fldChar w:fldCharType="begin"/>
      </w:r>
      <w:r>
        <w:rPr>
          <w:rFonts w:ascii="Garamond" w:hAnsi="Garamond" w:cs="Arial"/>
          <w:b/>
          <w:bCs/>
          <w:lang w:val="en-GB"/>
        </w:rPr>
        <w:instrText xml:space="preserve"> HYPERLINK  \l "Vorlesungen_Inhalt" </w:instrText>
      </w:r>
      <w:r w:rsidR="00B437A1">
        <w:rPr>
          <w:rFonts w:ascii="Garamond" w:hAnsi="Garamond" w:cs="Arial"/>
          <w:b/>
          <w:bCs/>
          <w:lang w:val="en-GB"/>
        </w:rPr>
        <w:fldChar w:fldCharType="separate"/>
      </w:r>
      <w:r w:rsidRPr="002F7766">
        <w:rPr>
          <w:rStyle w:val="Lienhypertexte"/>
          <w:rFonts w:ascii="Garamond" w:hAnsi="Garamond" w:cs="Arial"/>
          <w:b/>
          <w:bCs/>
          <w:lang w:val="en-GB"/>
        </w:rPr>
        <w:t>2. Vorlesung. Die Fehlleistungen</w:t>
      </w:r>
      <w:bookmarkEnd w:id="269"/>
      <w:r w:rsidR="00B437A1">
        <w:rPr>
          <w:rFonts w:ascii="Garamond" w:hAnsi="Garamond" w:cs="Arial"/>
          <w:b/>
          <w:bCs/>
          <w:lang w:val="en-GB"/>
        </w:rPr>
        <w:fldChar w:fldCharType="end"/>
      </w:r>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 xml:space="preserve">Meine Damen und Herren! Wir beginnen nicht mit Voraussetzungen, sondern mit einer Untersuchung. Zu deren Objekt wählen wir gewisse Phänomene, die sehr häufig, sehr bekannt und sehr wenig gewürdigt sind, die insofern nichts mit Krankheiten zu tun haben, als sie bei jedem Gesunden beobachtet werden können. Es sind dies die sogenannten </w:t>
      </w:r>
      <w:r w:rsidRPr="002F7766">
        <w:rPr>
          <w:rFonts w:ascii="Garamond" w:hAnsi="Garamond" w:cs="Arial"/>
          <w:i/>
          <w:iCs/>
          <w:lang w:val="en-GB"/>
        </w:rPr>
        <w:t>Fehlleistungen</w:t>
      </w:r>
      <w:r w:rsidRPr="002F7766">
        <w:rPr>
          <w:rFonts w:ascii="Garamond" w:hAnsi="Garamond" w:cs="Arial"/>
          <w:lang w:val="en-GB"/>
        </w:rPr>
        <w:t xml:space="preserve"> des Menschen, wie wenn jemand etwas sagen will und dafür ein anderes Wort sagt, das </w:t>
      </w:r>
      <w:r w:rsidRPr="002F7766">
        <w:rPr>
          <w:rFonts w:ascii="Garamond" w:hAnsi="Garamond" w:cs="Arial"/>
          <w:i/>
          <w:iCs/>
          <w:lang w:val="en-GB"/>
        </w:rPr>
        <w:t>Versprechen</w:t>
      </w:r>
      <w:r w:rsidRPr="002F7766">
        <w:rPr>
          <w:rFonts w:ascii="Garamond" w:hAnsi="Garamond" w:cs="Arial"/>
          <w:lang w:val="en-GB"/>
        </w:rPr>
        <w:t xml:space="preserve">, oder ihm dasselbe beim Schreiben geschieht, was er entweder bemerken kann oder nicht; oder wenn jemand im Druck oder in der Schrift etwas anderes liest, als was da zu lesen ist, das </w:t>
      </w:r>
      <w:r w:rsidRPr="002F7766">
        <w:rPr>
          <w:rFonts w:ascii="Garamond" w:hAnsi="Garamond" w:cs="Arial"/>
          <w:i/>
          <w:iCs/>
          <w:lang w:val="en-GB"/>
        </w:rPr>
        <w:t>Verlesen</w:t>
      </w:r>
      <w:r w:rsidRPr="002F7766">
        <w:rPr>
          <w:rFonts w:ascii="Garamond" w:hAnsi="Garamond" w:cs="Arial"/>
          <w:lang w:val="en-GB"/>
        </w:rPr>
        <w:t xml:space="preserve">; ebenso wenn er etwas falsch hört, was zu ihm gesagt wird, das </w:t>
      </w:r>
      <w:r w:rsidRPr="002F7766">
        <w:rPr>
          <w:rFonts w:ascii="Garamond" w:hAnsi="Garamond" w:cs="Arial"/>
          <w:i/>
          <w:iCs/>
          <w:lang w:val="en-GB"/>
        </w:rPr>
        <w:t>Verhören</w:t>
      </w:r>
      <w:r w:rsidRPr="002F7766">
        <w:rPr>
          <w:rFonts w:ascii="Garamond" w:hAnsi="Garamond" w:cs="Arial"/>
          <w:lang w:val="en-GB"/>
        </w:rPr>
        <w:t xml:space="preserve">, natürlich ohne daß eine organische Störung seines Hörvermögens dabei in Betracht kommt. Eine andere Reihe solcher Erscheinungen hat ein </w:t>
      </w:r>
      <w:r w:rsidRPr="002F7766">
        <w:rPr>
          <w:rFonts w:ascii="Garamond" w:hAnsi="Garamond" w:cs="Arial"/>
          <w:i/>
          <w:iCs/>
          <w:lang w:val="en-GB"/>
        </w:rPr>
        <w:t>Vergessen</w:t>
      </w:r>
      <w:r w:rsidRPr="002F7766">
        <w:rPr>
          <w:rFonts w:ascii="Garamond" w:hAnsi="Garamond" w:cs="Arial"/>
          <w:lang w:val="en-GB"/>
        </w:rPr>
        <w:t xml:space="preserve"> zur Grundlage, aber kein dauerndes, sondern ein nur zeitweiliges, z. B. wenn jemand einen </w:t>
      </w:r>
      <w:r w:rsidRPr="002F7766">
        <w:rPr>
          <w:rFonts w:ascii="Garamond" w:hAnsi="Garamond" w:cs="Arial"/>
          <w:i/>
          <w:iCs/>
          <w:lang w:val="en-GB"/>
        </w:rPr>
        <w:t>Namen</w:t>
      </w:r>
      <w:r w:rsidRPr="002F7766">
        <w:rPr>
          <w:rFonts w:ascii="Garamond" w:hAnsi="Garamond" w:cs="Arial"/>
          <w:lang w:val="en-GB"/>
        </w:rPr>
        <w:t xml:space="preserve"> nicht finden kann, den er doch kennt und regelmäßig wiedererkennt, oder wenn er einen </w:t>
      </w:r>
      <w:r w:rsidRPr="002F7766">
        <w:rPr>
          <w:rFonts w:ascii="Garamond" w:hAnsi="Garamond" w:cs="Arial"/>
          <w:i/>
          <w:iCs/>
          <w:lang w:val="en-GB"/>
        </w:rPr>
        <w:t>Vorsatz</w:t>
      </w:r>
      <w:r w:rsidRPr="002F7766">
        <w:rPr>
          <w:rFonts w:ascii="Garamond" w:hAnsi="Garamond" w:cs="Arial"/>
          <w:lang w:val="en-GB"/>
        </w:rPr>
        <w:t xml:space="preserve"> auszuführen vergißt, den er doch später erinnert, also nur für einen gewissen Zeitpunkt vergessen hatte. In einer dritten Reihe entfällt diese Bedingung des nur Zeitweiligen, z. B. beim </w:t>
      </w:r>
      <w:r w:rsidRPr="002F7766">
        <w:rPr>
          <w:rFonts w:ascii="Garamond" w:hAnsi="Garamond" w:cs="Arial"/>
          <w:i/>
          <w:iCs/>
          <w:lang w:val="en-GB"/>
        </w:rPr>
        <w:t>Verlegen</w:t>
      </w:r>
      <w:r w:rsidRPr="002F7766">
        <w:rPr>
          <w:rFonts w:ascii="Garamond" w:hAnsi="Garamond" w:cs="Arial"/>
          <w:lang w:val="en-GB"/>
        </w:rPr>
        <w:t xml:space="preserve">, wenn jemand einen Gegenstand irgendwo unterbringt und ihn nicht mehr aufzufinden weiß, oder beim ganz analogen </w:t>
      </w:r>
      <w:r w:rsidRPr="002F7766">
        <w:rPr>
          <w:rFonts w:ascii="Garamond" w:hAnsi="Garamond" w:cs="Arial"/>
          <w:i/>
          <w:iCs/>
          <w:lang w:val="en-GB"/>
        </w:rPr>
        <w:t>Verlieren</w:t>
      </w:r>
      <w:r w:rsidRPr="002F7766">
        <w:rPr>
          <w:rFonts w:ascii="Garamond" w:hAnsi="Garamond" w:cs="Arial"/>
          <w:lang w:val="en-GB"/>
        </w:rPr>
        <w:t xml:space="preserve">. Es liegt da ein Vergessen vor, welches man anders behandelt als anderes Vergessen, über das man sich wundert oder ärgert, anstatt es begreiflich zu finden. Daran schließen sich gewisse </w:t>
      </w:r>
      <w:r w:rsidRPr="002F7766">
        <w:rPr>
          <w:rFonts w:ascii="Garamond" w:hAnsi="Garamond" w:cs="Arial"/>
          <w:i/>
          <w:iCs/>
          <w:lang w:val="en-GB"/>
        </w:rPr>
        <w:t>Irrtümer</w:t>
      </w:r>
      <w:r w:rsidRPr="002F7766">
        <w:rPr>
          <w:rFonts w:ascii="Garamond" w:hAnsi="Garamond" w:cs="Arial"/>
          <w:lang w:val="en-GB"/>
        </w:rPr>
        <w:t>, bei denen wieder die Zeitweiligkeit zum Vorschein kommt, indem man eine Zeitlang etwas glaubt, wovon man doch vorher und später weiß, daß es anders ist, und eine Anzahl von ähnlichen Erscheinungen unter verschiedenen Namen.</w:t>
      </w:r>
    </w:p>
    <w:p w:rsidR="00062BE4" w:rsidRPr="002F7766" w:rsidRDefault="00062BE4" w:rsidP="00062BE4">
      <w:pPr>
        <w:rPr>
          <w:rFonts w:ascii="Garamond" w:hAnsi="Garamond" w:cs="Arial"/>
          <w:lang w:val="en-GB"/>
        </w:rPr>
      </w:pPr>
      <w:r w:rsidRPr="002F7766">
        <w:rPr>
          <w:rFonts w:ascii="Garamond" w:hAnsi="Garamond" w:cs="Arial"/>
          <w:lang w:val="en-GB"/>
        </w:rPr>
        <w:t>Es sind das alles Vorfälle, deren innere Verwandtschaft durch die gleiche Bezeichnung mit der Vorsilbe »ver-« zum Ausdruck kommt, fast alle von unwichtiger Natur, meist von sehr flüchtigem Bestand, ohne viel Bedeutung im Leben der Menschen. Nur selten erhebt sich eines davon wie das Verlieren von Gegenständen zu einer gewissen praktischen Wichtigkeit. Sie finden darum auch nicht viel Aufmerksamkeit, erregen nur schwache Affekte usw.</w:t>
      </w:r>
    </w:p>
    <w:p w:rsidR="00062BE4" w:rsidRPr="002F7766" w:rsidRDefault="00062BE4" w:rsidP="00062BE4">
      <w:pPr>
        <w:rPr>
          <w:rFonts w:ascii="Garamond" w:hAnsi="Garamond" w:cs="Arial"/>
          <w:lang w:val="en-GB"/>
        </w:rPr>
      </w:pPr>
      <w:r w:rsidRPr="002F7766">
        <w:rPr>
          <w:rFonts w:ascii="Garamond" w:hAnsi="Garamond" w:cs="Arial"/>
          <w:lang w:val="en-GB"/>
        </w:rPr>
        <w:t>Für diese Phänomene will ich also jetzt Ihre Aufmerksamkeit in Anspruch nehmen. Sie aber werden mir unmutig entgegenhalten: »Es gibt soviel großartige Rätsel in der Welt wie in der engeren des Seelenlebens, so viele Wunder auf dem Gebiet der Seelenstörungen, die Aufklärung fordern und verdienen, daß es wirklich mutwillig scheint, Arbeit und Interesse an solche Kleinigkeiten zu vergeuden. Wenn Sie uns verständlich machen könnten, wieso ein Mensch mit gesunden Augen und Ohren bei lichtem Tag Dinge sehen und hören kann, die es nicht gibt, warum ein anderer sich plötzlich von denen verfolgt glaubt, die ihm bisher die Liebsten waren, oder mit der scharfsinnigsten Begründung Wahngebilde vertritt, die jedem Kinde als unsinnig erscheinen müssen, dann würden wir etwas von der Psychoanalyse halten, aber wenn sie nichts anderes kann, als uns damit zu beschäftigen, warum ein Festredner einmal ein Wort für ein anderes sagt oder warum eine Hausfrau ihre Schlüssel verlegt hat und ähnliche Nichtigkeiten, dann werden auch wir mit unserer Zeit und unserem Interesse etwas Besseres anzufangen wissen.«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würde Ihnen antworten: Geduld, meine Damen und Herren! Ich meine, Ihre Kritik ist nicht auf der richtigen Spur. Es ist wahr, die Psychoanalyse kann nicht von sich rühmen, daß sie sich nie mit Kleinigkeiten abgegeben hat. Im Gegenteil, ihren Beobachtungsstoff bilden gewöhnlich jene unscheinbaren Vorkommnisse, die von den anderen Wissenschaften als allzu geringfügig beiseite geworfen werden, sozusagen der Abhub der Erscheinungswelt. Aber verwechseln Sie in Ihrer Kritik nicht die Großartigkeit der Probleme mit der Auffälligkeit der Anzeichen? Gibt es nicht sehr bedeutungsvolle Dinge, die sich unter gewissen Bedingungen und zu gewissen Zeiten nur durch ganz schwache Anzeichen verraten können? Ich könnte Ihnen mit Leichtigkeit mehrere solche Situationen anführen. Aus welchen geringfügigen Anzeichen schließen Sie, die jungen Männer unter Ihnen, daß Sie die Neigung einer Dame </w:t>
      </w:r>
      <w:r w:rsidRPr="002F7766">
        <w:rPr>
          <w:rFonts w:ascii="Garamond" w:hAnsi="Garamond" w:cs="Arial"/>
          <w:lang w:val="en-GB"/>
        </w:rPr>
        <w:lastRenderedPageBreak/>
        <w:t>gewonnen haben? Warten Sie dafür eine ausdrückliche Liebeserklärung, eine stürmische Umarmung ab, oder reicht Ihnen nicht ein von anderen kaum bemerkter Blick, eine flüchtige Bewegung, eine Verlängerung des Händedrucks um eine Sekunde aus? Und wenn Sie als Kriminalbeamter an der Untersuchung einer Mordtat beteiligt sind, erwarten Sie dann wirklich zu finden, daß der Mörder seine Photographie samt beigefügter Adresse an dem Tatorte zurückgelassen hat, oder werden Sie sich nicht notwendigerweise mit schwächeren und undeutlicheren Spuren der gesuchten Persönlichkeit begnügen? Lassen Sie uns also die kleinen Anzeichen nicht unterschätzen; vielleicht gelingt es, von ihnen aus Größerem auf die Spur zu kommen. Und dann, ich denke wie Sie, daß die großen Probleme in Welt und Wissenschaft das erste Anrecht an unser Interesse haben. Aber es nützt meistens nur sehr wenig, wenn man den lauten Vorsatz faßt, sich jetzt der Erforschung dieses oder jenes großen Problems zuzuwenden. Man weiß dann oft nicht, wohin man den nächsten Schritt richten soll. In der wissenschaftlichen Arbeit ist es aussichtsreicher, das anzugreifen, was man gerade vor sich hat und zu dessen Erforschung sich ein Weg ergibt. Macht man das recht gründlich, voraussetzungs- und erwartungslos und hat man Glück, so kann sich infolge des Zusammenhanges, der alles mit allem verknüpft, auch das Kleine mit dem Großen, auch aus so anspruchsloser Arbeit ein Zugang zum Studium der großen Probleme ergeben.</w:t>
      </w:r>
    </w:p>
    <w:p w:rsidR="00062BE4" w:rsidRPr="002F7766" w:rsidRDefault="00062BE4" w:rsidP="00062BE4">
      <w:pPr>
        <w:rPr>
          <w:rFonts w:ascii="Garamond" w:hAnsi="Garamond" w:cs="Arial"/>
          <w:lang w:val="en-GB"/>
        </w:rPr>
      </w:pPr>
      <w:r w:rsidRPr="002F7766">
        <w:rPr>
          <w:rFonts w:ascii="Garamond" w:hAnsi="Garamond" w:cs="Arial"/>
          <w:lang w:val="en-GB"/>
        </w:rPr>
        <w:t>So würde ich also sprechen, um Ihr Interesse bei der Behandlung der anscheinend so nichtigen Fehlleistungen der Gesunden festzuhalten. Wir wollen jetzt irgend jemanden, dem die Psychoanalyse fremd ist, heranziehen und ihn fragen, wie er sich das Vorkommen solcher Dinge erklärt.</w:t>
      </w:r>
    </w:p>
    <w:p w:rsidR="00062BE4" w:rsidRPr="002F7766" w:rsidRDefault="00062BE4" w:rsidP="00062BE4">
      <w:pPr>
        <w:rPr>
          <w:rFonts w:ascii="Garamond" w:hAnsi="Garamond" w:cs="Arial"/>
          <w:lang w:val="en-GB"/>
        </w:rPr>
      </w:pPr>
      <w:r w:rsidRPr="002F7766">
        <w:rPr>
          <w:rFonts w:ascii="Garamond" w:hAnsi="Garamond" w:cs="Arial"/>
          <w:lang w:val="en-GB"/>
        </w:rPr>
        <w:t xml:space="preserve">Er wird gewiß zuerst antworten: O, das ist keiner Erklärung wert; das sind kleine Zufälligkeiten. Was meint der Mann damit? Will er behaupten, daß es noch so kleine Geschehnisse gibt, die aus der Verkettung des Weltgeschehens herausfallen, die ebensogut nicht sein könnten, wie sie sind? Wenn jemand so den natürlichen Determinismus an einer einzigen Stelle durchbricht, hat er die ganze wissenschaftliche Weltanschauung über den Haufen geworfen. Man darf ihm dann vorhalten, um wie vieles konsequenter sich selbst die religiöse Weltanschauung benimmt, wenn sie nachdrücklich versichert, es falle kein Sperling vom Dach ohne Gottes besonderen Willen. Ich meine, unser Freund wird die Konsequenz aus seiner ersten Antwort nicht ziehen wollen, er wird einlenken und sagen, wenn er diese Dinge studiere, finde er allerdings Erklärungen für sie. Es handle sich um kleine Entgleisungen der Funktion, Ungenauigkeiten der seelischen Leistung, deren Bedingungen sich angeben ließen. Ein Mensch, der sonst richtig sprechen kann, mag sich in der Rede versprechen, 1. wenn er leicht unwohl und ermüdet ist, 2. wenn er aufgeregt, 3. wenn er von anderen Dingen überstark in Anspruch genommen ist. Es ist leicht, diese Angaben zu bestätigen. Das Versprechen tritt wirklich besonders häufig auf, wenn man ermüdet ist, Kopfschmerzen hat oder vor einer Migräne steht. Unter denselben Umständen ereignet sich leicht das Vergessen von Eigennamen. Manche Personen sind daran gewöhnt, an diesem Entfallen der Eigennamen die herannahende Migräne zu erkennen. Auch in der Aufregung verwechselt man oft die Worte, aber auch die Dinge, man »vergreift sich«, und das Vergessen von Vorsätzen sowie eine Menge von anderen unbeabsichtigten Handlungen wird auffällig, wenn man zerstreut, d. h. eigentlich auf etwas anderes konzentriert ist. Ein bekanntes Beispiel solcher Zerstreutheit ist der Professor der </w:t>
      </w:r>
      <w:r w:rsidRPr="002F7766">
        <w:rPr>
          <w:rFonts w:ascii="Garamond" w:hAnsi="Garamond" w:cs="Arial"/>
          <w:i/>
          <w:iCs/>
          <w:lang w:val="en-GB"/>
        </w:rPr>
        <w:t>Fliegenden Blätter</w:t>
      </w:r>
      <w:r w:rsidRPr="002F7766">
        <w:rPr>
          <w:rFonts w:ascii="Garamond" w:hAnsi="Garamond" w:cs="Arial"/>
          <w:lang w:val="en-GB"/>
        </w:rPr>
        <w:t>, der seinen Schirm stehenläßt und seinen Hut verwechselt, weil er an die Probleme denkt, die er in seinem nächsten Buch behandeln wird. Beispiele dafür, wie man Vorsätze, die man gefaßt, Versprechungen, die man gemacht hat, vergessen kann, weil man inzwischen etwas erlebt hat, wovon man stark in Anspruch genommen wurde, kennt jeder von uns aus eigener Erfahrung.</w:t>
      </w:r>
    </w:p>
    <w:p w:rsidR="00062BE4" w:rsidRPr="002F7766" w:rsidRDefault="00062BE4" w:rsidP="00062BE4">
      <w:pPr>
        <w:rPr>
          <w:rFonts w:ascii="Garamond" w:hAnsi="Garamond" w:cs="Arial"/>
          <w:lang w:val="en-GB"/>
        </w:rPr>
      </w:pPr>
      <w:r w:rsidRPr="002F7766">
        <w:rPr>
          <w:rFonts w:ascii="Garamond" w:hAnsi="Garamond" w:cs="Arial"/>
          <w:lang w:val="en-GB"/>
        </w:rPr>
        <w:t xml:space="preserve">Das klingt so ganz verständig und scheint auch gegen Widerspruch gefeit zu sein. Es ist vielleicht nicht sehr interessant, nicht so, wie wir es erwartet haben. Fassen wir diese Erklärungen der Fehlleistungen näher ins Auge. Die Bedingungen, die für das Zustandekommen dieser Phänomene angegeben werden, sind unter sich nicht gleichartig. Unwohlsein und Zirkulationsstörung geben eine physiologische Begründung für die Beeinträchtigung der normalen Funktion; Erregung, Ermüdung, Ablenkung sind Momente anderer Art, die man psycho-physiologische nennen könnte. Diese letzteren lassen sich leicht in </w:t>
      </w:r>
      <w:r w:rsidRPr="002F7766">
        <w:rPr>
          <w:rFonts w:ascii="Garamond" w:hAnsi="Garamond" w:cs="Arial"/>
          <w:lang w:val="en-GB"/>
        </w:rPr>
        <w:lastRenderedPageBreak/>
        <w:t>Theorie übersetzen. Sowohl durch die Ermüdung wie durch die Ablenkung, vielleicht auch durch die allgemeine Erregung, wird eine Verteilung der Aufmerksamkeit hervorgerufen, die zur Folge haben kann, daß sich der betreffenden Leistung zu wenig Aufmerksamkeit zuwendet. Diese Leistung kann dann besonders leicht gestört, ungenau ausgeführt werden. Leichtes Kranksein, Abänderungen der Blutversorgung im nervösen Zentralorgan können dieselbe Wirkung haben, indem sie das maßgebende Moment, die Verteilung der Aufmerksamkeit in ähnlicher Weise beeinflussen. Es würde sich also in allen Fällen um die Effekte einer Aufmerksamkeitsstörung handeln, entweder aus organischen oder aus psychischen Ursachen.</w:t>
      </w:r>
    </w:p>
    <w:p w:rsidR="00062BE4" w:rsidRPr="002F7766" w:rsidRDefault="00062BE4" w:rsidP="00062BE4">
      <w:pPr>
        <w:rPr>
          <w:rFonts w:ascii="Garamond" w:hAnsi="Garamond" w:cs="Arial"/>
          <w:lang w:val="en-GB"/>
        </w:rPr>
      </w:pPr>
      <w:r w:rsidRPr="002F7766">
        <w:rPr>
          <w:rFonts w:ascii="Garamond" w:hAnsi="Garamond" w:cs="Arial"/>
        </w:rPr>
        <w:t xml:space="preserve">Dabei scheint nicht viel für unser psychoanalytisches Interesse herauszuschauen. Wir könnten uns versucht fühlen, das Thema wieder aufzugeben. Allerdings, wenn wir näher auf die Beobachtungen eingehen, stimmt nicht alles zu dieser Aufmerksamkeitstheorie der Fehlleistungen oder leitet sich wenigstens nicht natürlich aus ihr ab. Wir machen die Erfahrung, daß solche Fehlhandlungen und solches Vergessen auch bei Personen vorkommen, die </w:t>
      </w:r>
      <w:r w:rsidRPr="002F7766">
        <w:rPr>
          <w:rFonts w:ascii="Garamond" w:hAnsi="Garamond" w:cs="Arial"/>
          <w:i/>
          <w:iCs/>
        </w:rPr>
        <w:t>nicht</w:t>
      </w:r>
      <w:r w:rsidRPr="002F7766">
        <w:rPr>
          <w:rFonts w:ascii="Garamond" w:hAnsi="Garamond" w:cs="Arial"/>
        </w:rPr>
        <w:t xml:space="preserve"> ermüdet, zerstreut oder aufgeregt sind, sondern sich nach jeder Richtung in ihrem Normalzustand befinden, es sei denn, man wolle den Betreffenden gerade wegen der Fehlleistung nachträglich eine Aufgeregtheit zuschreiben, zu welcher sie sich aber selbst nicht bekennen. Es kann auch nicht so einfach zugehen, daß eine Leistung durch die Steigerung der auf sie gerichteten Aufmerksamkeit garantiert, durch die Herabsetzung derselben gefährdet wird. Es gibt eine große Menge von Verrichtungen, die man rein automatisch, mit sehr geringer Aufmerksamkeit vollzieht und dabei doch ganz sicher ausführt. </w:t>
      </w:r>
      <w:r w:rsidRPr="002F7766">
        <w:rPr>
          <w:rFonts w:ascii="Garamond" w:hAnsi="Garamond" w:cs="Arial"/>
          <w:lang w:val="en-GB"/>
        </w:rPr>
        <w:t xml:space="preserve">Der Spaziergänger, der kaum weiß, wo er geht, hält doch den richtigen Weg ein und macht am Ziele halt, ohne sich </w:t>
      </w:r>
      <w:r w:rsidRPr="002F7766">
        <w:rPr>
          <w:rFonts w:ascii="Garamond" w:hAnsi="Garamond" w:cs="Arial"/>
          <w:i/>
          <w:iCs/>
          <w:lang w:val="en-GB"/>
        </w:rPr>
        <w:t>vergangen</w:t>
      </w:r>
      <w:r w:rsidRPr="002F7766">
        <w:rPr>
          <w:rFonts w:ascii="Garamond" w:hAnsi="Garamond" w:cs="Arial"/>
          <w:lang w:val="en-GB"/>
        </w:rPr>
        <w:t xml:space="preserve"> zu haben. Wenigstens in der Regel trifft er es so. Der geübte Klavierspieler greift, ohne daran zu denken, die richtigen Tasten. Er kann sich natürlich auch einmal vergreifen, aber wenn das automatische Spielen die Gefahr des Vergreifens steigerte, müßte gerade der Virtuose, dessen Spiel durch große Übung ganz und gar automatisch geworden ist, dieser Gefahr am meisten ausgesetzt sein. Wir sehen im Gegenteil, daß viele Verrichtungen ganz besonders sicher geraten, wenn sie nicht Gegenstand einer besonders hohen Aufmerksamkeit sind, und daß das Mißgeschick der Fehlleistung gerade dann auftreten kann, wenn an der richtigen Leistung besonders viel gelegen ist, eine Ablenkung der nötigen Aufmerksamkeit also sicherlich nicht stattfindet. Man kann dann sagen, das sei der Effekt der »Aufregung«, aber wir verstehen nicht, warum die Aufregung die Zuwendung der Aufmerksamkeit zu dem mit soviel Interesse Beabsichtigten nicht vielmehr steigert. Wenn jemand in einer wichtigen Rede oder mündlichen Verhandlung durch ein Versprechen das Gegenteil von dem sagt, was er zu sagen beabsichtigt, so ist das nach der psycho-physiologischen oder Aufmerksamkeitstheorie kaum zu erklären.</w:t>
      </w:r>
    </w:p>
    <w:p w:rsidR="00062BE4" w:rsidRPr="002F7766" w:rsidRDefault="00062BE4" w:rsidP="00062BE4">
      <w:pPr>
        <w:rPr>
          <w:rFonts w:ascii="Garamond" w:hAnsi="Garamond" w:cs="Arial"/>
          <w:lang w:val="en-GB"/>
        </w:rPr>
      </w:pPr>
      <w:r w:rsidRPr="002F7766">
        <w:rPr>
          <w:rFonts w:ascii="Garamond" w:hAnsi="Garamond" w:cs="Arial"/>
          <w:lang w:val="en-GB"/>
        </w:rPr>
        <w:t xml:space="preserve">Es gibt auch bei den Fehlleistungen so viele kleine Nebenerscheinungen, die man nicht versteht und die uns durch die bisherigen Aufklärungen nicht nähergebracht werden. Wenn man z. B. einen Namen zeitweilig vergessen hat, so ärgert man sich darüber, will ihn durchaus erinnern und kann von der Aufgabe nicht ablassen. Warum gelingt es dem Geärgerten so überaus selten, seine Aufmerksamkeit, wie er doch möchte, auf das Wort zu lenken, das ihm, wie er sagt, »auf der Zunge liegt« und das er sofort erkennt, wenn es vor ihm ausgesprochen wird?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es kommen Fälle vor, in denen die Fehlleistungen sich vervielfältigen, sich miteinander verketten, einander ersetzen. Das erste Mal hatte man ein Rendezvous vergessen; das nächste Mal, für das man den Vorsatz, ja nicht zu vergessen, gefaßt hat, stellt es sich heraus, daß man sich irrtümlich eine andere Stunde gemerkt hat. Man sucht sich auf Umwegen auf ein vergessenes Wort zu besinnen, dabei entfällt einem ein zweiter Name, der beim Aufsuchen des ersten hätte behilflich sein können. Geht man jetzt diesem zweiten Namen nach, so entzieht sich ein dritter usw. Dasselbe kann sich bekanntlich auch bei Druckfehlern ereignen, die ja als Fehlleistungen des Setzers aufzufassen sind. Ein solcher hartnäckiger Druckfehler soll sich einmal in ein sozialdemokratisches Blatt eingeschlichen haben. In dem Berichte über eine gewisse Festlichkeit war zu lesen: Unter den Anwesenden bemerkte man auch seine Hoheit, den </w:t>
      </w:r>
      <w:r w:rsidRPr="002F7766">
        <w:rPr>
          <w:rFonts w:ascii="Garamond" w:hAnsi="Garamond" w:cs="Arial"/>
          <w:i/>
          <w:iCs/>
          <w:lang w:val="en-GB"/>
        </w:rPr>
        <w:t>Korn</w:t>
      </w:r>
      <w:r w:rsidRPr="002F7766">
        <w:rPr>
          <w:rFonts w:ascii="Garamond" w:hAnsi="Garamond" w:cs="Arial"/>
          <w:lang w:val="en-GB"/>
        </w:rPr>
        <w:t xml:space="preserve">prinzen. Am nächsten Tag wurde eine Korrektur </w:t>
      </w:r>
      <w:r w:rsidRPr="002F7766">
        <w:rPr>
          <w:rFonts w:ascii="Garamond" w:hAnsi="Garamond" w:cs="Arial"/>
          <w:lang w:val="en-GB"/>
        </w:rPr>
        <w:lastRenderedPageBreak/>
        <w:t xml:space="preserve">versucht. Das Blatt entschuldigte sich und schrieb: Es hätte natürlich heißen sollen: den </w:t>
      </w:r>
      <w:r w:rsidRPr="002F7766">
        <w:rPr>
          <w:rFonts w:ascii="Garamond" w:hAnsi="Garamond" w:cs="Arial"/>
          <w:i/>
          <w:iCs/>
          <w:lang w:val="en-GB"/>
        </w:rPr>
        <w:t>Knor</w:t>
      </w:r>
      <w:r w:rsidRPr="002F7766">
        <w:rPr>
          <w:rFonts w:ascii="Garamond" w:hAnsi="Garamond" w:cs="Arial"/>
          <w:lang w:val="en-GB"/>
        </w:rPr>
        <w:t>prinzen. Man spricht in solchen Fällen gerne vom Druckfehlerteufel, vom Kobold des Setzkastens und dergleichen, Ausdrücke, die jedenfalls über eine psycho-physiologische Theorie des Druckfehlers hinausgehen.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weiß auch nicht, ob Ihnen bekannt ist, daß man das Versprechen provozieren, sozusagen durch Suggestion hervorrufen kann. Eine Anekdote berichtet hiezu: Als einmal ein Neuling auf der Bühne mit der wichtigen Rolle betraut war, in der </w:t>
      </w:r>
      <w:r w:rsidRPr="002F7766">
        <w:rPr>
          <w:rFonts w:ascii="Garamond" w:hAnsi="Garamond" w:cs="Arial"/>
          <w:i/>
          <w:iCs/>
          <w:lang w:val="en-GB"/>
        </w:rPr>
        <w:t>Jungfrau von Orleans</w:t>
      </w:r>
      <w:r w:rsidRPr="002F7766">
        <w:rPr>
          <w:rFonts w:ascii="Garamond" w:hAnsi="Garamond" w:cs="Arial"/>
          <w:lang w:val="en-GB"/>
        </w:rPr>
        <w:t xml:space="preserve"> dem König zu melden, daß der Connetable sein Schwert zurückschickt, machte sich ein Heldendarsteller den Scherz, während der Probe dem schüchternen Anfänger wiederholt anstatt dieses Textes vorzusagen: Der Komfortabel schickt sein Pferd zurück, und er erreichte seine Absicht. In der Vorstellung debütierte der Unglückliche wirklich mit dieser abgeänderten Meldung, obwohl er genug gewarnt war oder vielleicht gerade darum.</w:t>
      </w:r>
    </w:p>
    <w:p w:rsidR="00062BE4" w:rsidRPr="002F7766" w:rsidRDefault="00062BE4" w:rsidP="00062BE4">
      <w:pPr>
        <w:rPr>
          <w:rFonts w:ascii="Garamond" w:hAnsi="Garamond" w:cs="Arial"/>
          <w:lang w:val="en-GB"/>
        </w:rPr>
      </w:pPr>
      <w:r w:rsidRPr="002F7766">
        <w:rPr>
          <w:rFonts w:ascii="Garamond" w:hAnsi="Garamond" w:cs="Arial"/>
          <w:lang w:val="en-GB"/>
        </w:rPr>
        <w:t>Alle diese kleinen Züge der Fehlleistungen werden durch die Theorie der Aufmerksamkeitsentziehung nicht gerade aufgeklärt. Aber darum braucht diese Theorie noch nicht falsch zu sein. Es fehlt ihr vielleicht an etwas, an einer Ergänzung, damit sie voll befriedigend werde. Aber auch manche der Fehlleistungen selbst können noch von einer anderen Seite betrachtet werden.</w:t>
      </w:r>
    </w:p>
    <w:p w:rsidR="00062BE4" w:rsidRPr="002F7766" w:rsidRDefault="00062BE4" w:rsidP="00062BE4">
      <w:pPr>
        <w:rPr>
          <w:rFonts w:ascii="Garamond" w:hAnsi="Garamond" w:cs="Arial"/>
          <w:lang w:val="en-GB"/>
        </w:rPr>
      </w:pPr>
      <w:r w:rsidRPr="002F7766">
        <w:rPr>
          <w:rFonts w:ascii="Garamond" w:hAnsi="Garamond" w:cs="Arial"/>
          <w:lang w:val="en-GB"/>
        </w:rPr>
        <w:t xml:space="preserve">Greifen wir als die für unsere Absichten geeignetste unter den Fehlleistungen das </w:t>
      </w:r>
      <w:r w:rsidRPr="002F7766">
        <w:rPr>
          <w:rFonts w:ascii="Garamond" w:hAnsi="Garamond" w:cs="Arial"/>
          <w:i/>
          <w:iCs/>
          <w:lang w:val="en-GB"/>
        </w:rPr>
        <w:t>Versprechen</w:t>
      </w:r>
      <w:r w:rsidRPr="002F7766">
        <w:rPr>
          <w:rFonts w:ascii="Garamond" w:hAnsi="Garamond" w:cs="Arial"/>
          <w:lang w:val="en-GB"/>
        </w:rPr>
        <w:t xml:space="preserve"> heraus. Wir könnten ebensogut das Verschreiben oder Verlesen wählen. Da müssen wir uns denn einmal sagen, daß wir bisher nur danach gefragt haben, wann, unter welchen Bedingungen man sich verspricht, und auch nur darauf eine Antwort bekommen haben. Man kann aber auch sein Interesse anders richten und wissen wollen, warum man sich gerade in dieser Weise verspricht und in keiner anderen; man kann das in Betracht ziehen, was beim Versprechen herauskommt. Sie sehen ein, solange man nicht diese Frage beantwortet, den Effekt des Versprechens aufklärt, bleibt das Phänomen nach seiner psychologischen Seite eine Zufälligkeit, mag es auch eine physiologische Erklärung gefunden haben. Wenn sich mir ein Versprechen ereignet, könnte ich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offenbar in unendlich vielen Weisen versprechen, für das eine richtige Wort eines von tausend anderen sagen, ungezählt viele Entstellungen an dem richtigen Wort vornehmen. Gibt es nun irgend etwas, was mir im besonderen Falle von allen möglichen gerade die eine Weise des Versprechens aufdrängt, oder bleibt das Zufall, Willkür und läßt sich zu dieser Frage vielleicht überhaupt nichts Vernünftiges vorbringen?</w:t>
      </w:r>
    </w:p>
    <w:p w:rsidR="00062BE4" w:rsidRPr="002F7766" w:rsidRDefault="00062BE4" w:rsidP="00062BE4">
      <w:pPr>
        <w:rPr>
          <w:rFonts w:ascii="Garamond" w:hAnsi="Garamond" w:cs="Arial"/>
          <w:lang w:val="en-GB"/>
        </w:rPr>
      </w:pPr>
      <w:r w:rsidRPr="002F7766">
        <w:rPr>
          <w:rFonts w:ascii="Garamond" w:hAnsi="Garamond" w:cs="Arial"/>
          <w:lang w:val="en-GB"/>
        </w:rPr>
        <w:t xml:space="preserve">Zwei Autoren, Meringer und Mayer (ein Philologe und ein Psychiater), haben denn auch im Jahre 1895 den Versuch gemacht, die Frage des Versprechens von dieser Seite her anzugreifen. Sie haben Beispiele gesammelt und zunächst nach rein deskriptiven Gesichtspunkten beschrieben. Das gibt natürlich noch keine Erklärung, kann aber den Weg zu ihr finden lassen. Sie unterscheiden die Entstellungen, welche die intendierte Rede durch das Versprechen erfährt, als: Vertauschungen, Vorklänge, Nachklänge, Vermengungen (Kontaminationen) und Ersetzungen (Substitutionen). Ich werde Ihnen von diesen Hauptgruppen der beiden Autoren Beispiele vorführen. Ein Fall von Vertauschung ist es, wenn jemand sagt: </w:t>
      </w:r>
      <w:r w:rsidRPr="002F7766">
        <w:rPr>
          <w:rFonts w:ascii="Garamond" w:hAnsi="Garamond" w:cs="Arial"/>
          <w:i/>
          <w:iCs/>
          <w:lang w:val="en-GB"/>
        </w:rPr>
        <w:t>Die Milo von Venus</w:t>
      </w:r>
      <w:r w:rsidRPr="002F7766">
        <w:rPr>
          <w:rFonts w:ascii="Garamond" w:hAnsi="Garamond" w:cs="Arial"/>
          <w:lang w:val="en-GB"/>
        </w:rPr>
        <w:t xml:space="preserve"> anstatt: Die Venus von Milo (Vertauschung in der Reihenfolge der Worte); ein Vorklang: Es war mir </w:t>
      </w:r>
      <w:r w:rsidRPr="002F7766">
        <w:rPr>
          <w:rFonts w:ascii="Garamond" w:hAnsi="Garamond" w:cs="Arial"/>
          <w:i/>
          <w:iCs/>
          <w:lang w:val="en-GB"/>
        </w:rPr>
        <w:t>auf der Schwest</w:t>
      </w:r>
      <w:r w:rsidRPr="002F7766">
        <w:rPr>
          <w:rFonts w:ascii="Garamond" w:hAnsi="Garamond" w:cs="Arial"/>
          <w:lang w:val="en-GB"/>
        </w:rPr>
        <w:t xml:space="preserve">... auf der Brust so schwer; ein Nachklang wäre der bekannte verunglückte Toast: Ich fordere Sie </w:t>
      </w:r>
      <w:r w:rsidRPr="002F7766">
        <w:rPr>
          <w:rFonts w:ascii="Garamond" w:hAnsi="Garamond" w:cs="Arial"/>
          <w:i/>
          <w:iCs/>
          <w:lang w:val="en-GB"/>
        </w:rPr>
        <w:t>auf, auf</w:t>
      </w:r>
      <w:r w:rsidRPr="002F7766">
        <w:rPr>
          <w:rFonts w:ascii="Garamond" w:hAnsi="Garamond" w:cs="Arial"/>
          <w:lang w:val="en-GB"/>
        </w:rPr>
        <w:t xml:space="preserve"> das Wohl unseres Chefs </w:t>
      </w:r>
      <w:r w:rsidRPr="002F7766">
        <w:rPr>
          <w:rFonts w:ascii="Garamond" w:hAnsi="Garamond" w:cs="Arial"/>
          <w:i/>
          <w:iCs/>
          <w:lang w:val="en-GB"/>
        </w:rPr>
        <w:t>aufzustoßen</w:t>
      </w:r>
      <w:r w:rsidRPr="002F7766">
        <w:rPr>
          <w:rFonts w:ascii="Garamond" w:hAnsi="Garamond" w:cs="Arial"/>
          <w:lang w:val="en-GB"/>
        </w:rPr>
        <w:t xml:space="preserve">. Diese drei Formen des Versprechens sind nicht gerade häufig. Weit zahlreicher werden Sie die Beobachtung finden, in denen das Versprechen durch eine Zusammenziehung oder Vermengung entsteht, z. B. wenn ein Herr eine Dame auf der Straße mit den Worten anspricht: Wenn Sie gestatten, mein Fräulein, möchte ich Sie gerne </w:t>
      </w:r>
      <w:r w:rsidRPr="002F7766">
        <w:rPr>
          <w:rFonts w:ascii="Garamond" w:hAnsi="Garamond" w:cs="Arial"/>
          <w:i/>
          <w:iCs/>
          <w:lang w:val="en-GB"/>
        </w:rPr>
        <w:t>begleit-digen</w:t>
      </w:r>
      <w:r w:rsidRPr="002F7766">
        <w:rPr>
          <w:rFonts w:ascii="Garamond" w:hAnsi="Garamond" w:cs="Arial"/>
          <w:lang w:val="en-GB"/>
        </w:rPr>
        <w:t xml:space="preserve">. In dem Mischwort steckt außer </w:t>
      </w:r>
      <w:r w:rsidRPr="002F7766">
        <w:rPr>
          <w:rFonts w:ascii="Garamond" w:hAnsi="Garamond" w:cs="Arial"/>
          <w:i/>
          <w:iCs/>
          <w:lang w:val="en-GB"/>
        </w:rPr>
        <w:t>Begleiten</w:t>
      </w:r>
      <w:r w:rsidRPr="002F7766">
        <w:rPr>
          <w:rFonts w:ascii="Garamond" w:hAnsi="Garamond" w:cs="Arial"/>
          <w:lang w:val="en-GB"/>
        </w:rPr>
        <w:t xml:space="preserve"> offenbar auch das </w:t>
      </w:r>
      <w:r w:rsidRPr="002F7766">
        <w:rPr>
          <w:rFonts w:ascii="Garamond" w:hAnsi="Garamond" w:cs="Arial"/>
          <w:i/>
          <w:iCs/>
          <w:lang w:val="en-GB"/>
        </w:rPr>
        <w:t>Beleidigen</w:t>
      </w:r>
      <w:r w:rsidRPr="002F7766">
        <w:rPr>
          <w:rFonts w:ascii="Garamond" w:hAnsi="Garamond" w:cs="Arial"/>
          <w:lang w:val="en-GB"/>
        </w:rPr>
        <w:t xml:space="preserve">. (Nebenbei, der junge Mann wird bei der Dame nicht viel Erfolg gehabt haben.) Als eine Ersetzung führen M. und M. den Fall an, daß einer sagt: Ich gebe die Präparate in den </w:t>
      </w:r>
      <w:r w:rsidRPr="002F7766">
        <w:rPr>
          <w:rFonts w:ascii="Garamond" w:hAnsi="Garamond" w:cs="Arial"/>
          <w:i/>
          <w:iCs/>
          <w:lang w:val="en-GB"/>
        </w:rPr>
        <w:t>Brief</w:t>
      </w:r>
      <w:r w:rsidRPr="002F7766">
        <w:rPr>
          <w:rFonts w:ascii="Garamond" w:hAnsi="Garamond" w:cs="Arial"/>
          <w:lang w:val="en-GB"/>
        </w:rPr>
        <w:t xml:space="preserve">kasten anstatt </w:t>
      </w:r>
      <w:r w:rsidRPr="002F7766">
        <w:rPr>
          <w:rFonts w:ascii="Garamond" w:hAnsi="Garamond" w:cs="Arial"/>
          <w:i/>
          <w:iCs/>
          <w:lang w:val="en-GB"/>
        </w:rPr>
        <w:t>Brüt</w:t>
      </w:r>
      <w:r w:rsidRPr="002F7766">
        <w:rPr>
          <w:rFonts w:ascii="Garamond" w:hAnsi="Garamond" w:cs="Arial"/>
          <w:lang w:val="en-GB"/>
        </w:rPr>
        <w:t>kasten u. dgl.</w:t>
      </w:r>
    </w:p>
    <w:p w:rsidR="00062BE4" w:rsidRPr="002F7766" w:rsidRDefault="00062BE4" w:rsidP="00062BE4">
      <w:pPr>
        <w:rPr>
          <w:rFonts w:ascii="Garamond" w:hAnsi="Garamond" w:cs="Arial"/>
          <w:lang w:val="en-GB"/>
        </w:rPr>
      </w:pPr>
      <w:r w:rsidRPr="002F7766">
        <w:rPr>
          <w:rFonts w:ascii="Garamond" w:hAnsi="Garamond" w:cs="Arial"/>
          <w:lang w:val="en-GB"/>
        </w:rPr>
        <w:t xml:space="preserve">Der Erklärungsversuch, den die beiden Autoren auf ihre Sammlung von Beispielen gründen, ist ganz besonders unzulänglich. Sie meinen, daß die Laute und Silben eines Wortes verschiedene Wertigkeit haben </w:t>
      </w:r>
      <w:r w:rsidRPr="002F7766">
        <w:rPr>
          <w:rFonts w:ascii="Garamond" w:hAnsi="Garamond" w:cs="Arial"/>
          <w:lang w:val="en-GB"/>
        </w:rPr>
        <w:lastRenderedPageBreak/>
        <w:t xml:space="preserve">und daß die Innervation des hochwertigen Elements die der minderwertigen störend beeinflussen kann. Dabei fußen sie offenbar auf den an sich gar nicht so häufigen Vor- und Nachklängen; für andere Erfolge des Versprechens kommen diese Lautbevorzugungen, wenn sie überhaupt existieren, gar nicht in Betracht. Am häufigsten verspricht man sich doch, indem man anstatt eines Wortes ein anderes, ihm sehr ähnliches sagt, und diese Ähnlichkeit genügt vielen zur Erklärung des Versprechens. Zum Beispiel ein Professor in seiner Antrittsrede: Ich bin nicht </w:t>
      </w:r>
      <w:r w:rsidRPr="002F7766">
        <w:rPr>
          <w:rFonts w:ascii="Garamond" w:hAnsi="Garamond" w:cs="Arial"/>
          <w:i/>
          <w:iCs/>
          <w:lang w:val="en-GB"/>
        </w:rPr>
        <w:t>geneigt</w:t>
      </w:r>
      <w:r w:rsidRPr="002F7766">
        <w:rPr>
          <w:rFonts w:ascii="Garamond" w:hAnsi="Garamond" w:cs="Arial"/>
          <w:lang w:val="en-GB"/>
        </w:rPr>
        <w:t xml:space="preserve"> (geeignet), die Verdienste meines sehr geschätzten Vorgängers zu würdigen.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ein anderer Professor: Beim weiblichen Genitale hat man trotz vieler </w:t>
      </w:r>
      <w:r w:rsidRPr="002F7766">
        <w:rPr>
          <w:rFonts w:ascii="Garamond" w:hAnsi="Garamond" w:cs="Arial"/>
          <w:i/>
          <w:iCs/>
          <w:lang w:val="en-GB"/>
        </w:rPr>
        <w:t>Versuchungen</w:t>
      </w:r>
      <w:r w:rsidRPr="002F7766">
        <w:rPr>
          <w:rFonts w:ascii="Garamond" w:hAnsi="Garamond" w:cs="Arial"/>
          <w:lang w:val="en-GB"/>
        </w:rPr>
        <w:t>... Pardon: Versuche...</w:t>
      </w:r>
    </w:p>
    <w:p w:rsidR="00062BE4" w:rsidRPr="002F7766" w:rsidRDefault="00062BE4" w:rsidP="00062BE4">
      <w:pPr>
        <w:rPr>
          <w:rFonts w:ascii="Garamond" w:hAnsi="Garamond" w:cs="Arial"/>
          <w:lang w:val="en-GB"/>
        </w:rPr>
      </w:pPr>
      <w:r w:rsidRPr="002F7766">
        <w:rPr>
          <w:rFonts w:ascii="Garamond" w:hAnsi="Garamond" w:cs="Arial"/>
          <w:lang w:val="en-GB"/>
        </w:rPr>
        <w:t xml:space="preserve">Die gewöhnlichste und auch die auffälligste Art des Versprechens ist aber die zum genauen Gegenteil dessen, was man zu sagen beabsichtigt. Dabei kommt man natürlich von den Lautbeziehungen und Ähnlichkeitswirkungen weit ab und kann sich zum Ersatz dafür darauf berufen, daß Gegensätze eine starke begriffliche Verwandtschaft miteinander haben und einander in der psychologischen Assoziation besonders nahestehen. Es gibt historische Beispiele dieser Art: Ein Präsident unseres Abgeordnetenhauses eröffnete einmal die Sitzung mit den Worten: Meine Herren, ich konstatiere die Anwesenheit von ... Mitgliedern und erkläre somit die Sitzung für </w:t>
      </w:r>
      <w:r w:rsidRPr="002F7766">
        <w:rPr>
          <w:rFonts w:ascii="Garamond" w:hAnsi="Garamond" w:cs="Arial"/>
          <w:i/>
          <w:iCs/>
          <w:lang w:val="en-GB"/>
        </w:rPr>
        <w:t>geschlossen</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Ähnlich verführerisch wie die Gegensatzbeziehung wirkt dann irgendeine andere geläufige Assoziation, die unter Umständen recht unpassend auftauchen kann. So wird z. B. erzählt, daß bei einer Festlichkeit zu Ehren der Heirat eines Kindes von H. Helmholtz mit einem Kinde des bekannten Entdeckers und Großindustriellen W. Siemens der berühmte Physiologe Du Bois-Reymond die Festrede zu halten hatte. Er schloß seinen sicherlich glänzenden Toast mit den Worten: Also es lebe die neue Firma: Siemens und – Halske! Das war natürlich der Namen der alten Firma. Die Zusammenstellung der beiden Namen mußte dem Berliner ebenso geläufig sein wie etwa dem Wiener die: Riedel und Beutel.</w:t>
      </w:r>
    </w:p>
    <w:p w:rsidR="00062BE4" w:rsidRPr="002F7766" w:rsidRDefault="00062BE4" w:rsidP="00062BE4">
      <w:pPr>
        <w:rPr>
          <w:rFonts w:ascii="Garamond" w:hAnsi="Garamond" w:cs="Arial"/>
          <w:lang w:val="en-GB"/>
        </w:rPr>
      </w:pPr>
      <w:r w:rsidRPr="002F7766">
        <w:rPr>
          <w:rFonts w:ascii="Garamond" w:hAnsi="Garamond" w:cs="Arial"/>
          <w:lang w:val="en-GB"/>
        </w:rPr>
        <w:t>So müssen wir also zu den Lautbeziehungen und zur Wortähnlichkeit noch den Einfluß der Wortassoziationen hinzunehmen. Aber damit nicht genug. In einer Reihe von Fällen scheint die Aufklärung des beobachteten Versprechens nicht eher zu gelingen, als bis wir mit in Betracht gezogen haben, was einen Satz vorher gesprochen oder auch nur gedacht wurde. Also wiederum ein Fall von Nachklingen, wie der von Meringer betonte, nur von größerer Ferne her. – Ich muß gestehen, ich habe im ganzen den Eindruck, als wären wir jetzt einem Verständnis der Fehlleistung des Versprechens ferner gerückt denn je!</w:t>
      </w:r>
    </w:p>
    <w:p w:rsidR="00062BE4" w:rsidRPr="002F7766" w:rsidRDefault="00062BE4" w:rsidP="00062BE4">
      <w:pPr>
        <w:rPr>
          <w:rFonts w:ascii="Garamond" w:hAnsi="Garamond" w:cs="Arial"/>
          <w:lang w:val="en-GB"/>
        </w:rPr>
      </w:pPr>
      <w:r w:rsidRPr="002F7766">
        <w:rPr>
          <w:rFonts w:ascii="Garamond" w:hAnsi="Garamond" w:cs="Arial"/>
          <w:lang w:val="en-GB"/>
        </w:rPr>
        <w:t>Indes, ich hoffe nicht irrezugehen, wenn ich es ausspreche, daß wir alle während der eben angestellten Untersuchung einen neuen Eindruck von den Beispielen des Versprechens bekommen haben, bei dem zu verweilen sich doch lohnen könnte. Wir hatten die Bedingungen untersucht, unter denen ein Versprechen überhaupt zustande kommt, dann die Einflüsse, welche die Art der Entstellung durch das Versprechen bestimmen, aber den Effekt des Versprechens für sich allein, ohne Rücksicht auf seine Entstehung, haben wir noch gar nicht ins Auge gefaßt. Entschließen wir uns auch dazu, so müssen wir endlich den Mut finden zu sagen: In einigen der Beispiele hat ja auch das einen Sinn, was beim Versprechen zustande gekommen ist. Was heißt das, es hat einen Sinn? Nun, es will sagen, daß der Effekt des Versprechens vielleicht ein Recht darauf hat, selbst als ein vollgültiger psychischer Akt, der auch sein eigenes Ziel verfolgt, als eine Äußerung von Inhalt und Bedeutung aufgefaßt zu werden. Wir haben bisher immer von Fehlhandlungen gesprochen, aber jetzt scheint es, als ob manchmal die Fehlhandlung selbst eine ganz ordentliche Handlung wäre, die sich nur an die Stelle der anderen, erwarteten oder beabsichtigten Handlung gesetzt hat.</w:t>
      </w:r>
    </w:p>
    <w:p w:rsidR="00062BE4" w:rsidRPr="002F7766" w:rsidRDefault="00062BE4" w:rsidP="00062BE4">
      <w:pPr>
        <w:rPr>
          <w:rFonts w:ascii="Garamond" w:hAnsi="Garamond" w:cs="Arial"/>
          <w:lang w:val="en-GB"/>
        </w:rPr>
      </w:pPr>
      <w:r w:rsidRPr="002F7766">
        <w:rPr>
          <w:rFonts w:ascii="Garamond" w:hAnsi="Garamond" w:cs="Arial"/>
          <w:lang w:val="en-GB"/>
        </w:rPr>
        <w:t xml:space="preserve">Dieser eigene Sinn der Fehlhandlung scheint ja in einzelnen Fällen greifbar und unverkennbar zu sein. Wenn der Präsident die Sitzung des Abgeordnetenhauses mit den ersten Worten schließt, anstatt sie zu eröffnen, so sind wir infolge unserer Kenntnis der Verhältnisse, unter denen sich dies Versprechen </w:t>
      </w:r>
      <w:r w:rsidRPr="002F7766">
        <w:rPr>
          <w:rFonts w:ascii="Garamond" w:hAnsi="Garamond" w:cs="Arial"/>
          <w:lang w:val="en-GB"/>
        </w:rPr>
        <w:lastRenderedPageBreak/>
        <w:t xml:space="preserve">vollzog, geneigt, diese Fehlhandlung sinnvoll zu finden. Er erwartet sich nichts Gutes von der Sitzung und wäre froh, sie sofort wieder abbrechen zu können. Das Aufzeigen dieses Sinnes, also die Deutung dieses Versprechens macht uns gar keine Schwierigkeiten.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wenn eine Dame anscheinend anerkennend eine andere fragt: Diesen reizenden neuen Hut haben Sie sich wohl selbst </w:t>
      </w:r>
      <w:r w:rsidRPr="002F7766">
        <w:rPr>
          <w:rFonts w:ascii="Garamond" w:hAnsi="Garamond" w:cs="Arial"/>
          <w:i/>
          <w:iCs/>
          <w:lang w:val="en-GB"/>
        </w:rPr>
        <w:t>aufgepatzt?</w:t>
      </w:r>
      <w:r w:rsidRPr="002F7766">
        <w:rPr>
          <w:rFonts w:ascii="Garamond" w:hAnsi="Garamond" w:cs="Arial"/>
          <w:lang w:val="en-GB"/>
        </w:rPr>
        <w:t xml:space="preserve"> – so wird keine Wissenschaftlichkeit der Welt uns abhalten können, aus diesem Versprechen eine Äußerung herauszuhören: Dieser Hut ist eine </w:t>
      </w:r>
      <w:r w:rsidRPr="002F7766">
        <w:rPr>
          <w:rFonts w:ascii="Garamond" w:hAnsi="Garamond" w:cs="Arial"/>
          <w:i/>
          <w:iCs/>
          <w:lang w:val="en-GB"/>
        </w:rPr>
        <w:t>Patzerei</w:t>
      </w:r>
      <w:r w:rsidRPr="002F7766">
        <w:rPr>
          <w:rFonts w:ascii="Garamond" w:hAnsi="Garamond" w:cs="Arial"/>
          <w:lang w:val="en-GB"/>
        </w:rPr>
        <w:t xml:space="preserve">.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wenn eine als energisch bekannte Dame erzählt: Mein Mann hat den Doktor gefragt, welche Diät er einhalten soll. Der Doktor hat aber gesagt, er braucht keine Diät, er kann </w:t>
      </w:r>
      <w:smartTag w:uri="urn:schemas-microsoft-com:office:smarttags" w:element="City">
        <w:smartTag w:uri="urn:schemas-microsoft-com:office:smarttags" w:element="place">
          <w:r w:rsidRPr="002F7766">
            <w:rPr>
              <w:rFonts w:ascii="Garamond" w:hAnsi="Garamond" w:cs="Arial"/>
              <w:lang w:val="en-GB"/>
            </w:rPr>
            <w:t>essen</w:t>
          </w:r>
        </w:smartTag>
      </w:smartTag>
      <w:r w:rsidRPr="002F7766">
        <w:rPr>
          <w:rFonts w:ascii="Garamond" w:hAnsi="Garamond" w:cs="Arial"/>
          <w:lang w:val="en-GB"/>
        </w:rPr>
        <w:t xml:space="preserve"> und trinken, was </w:t>
      </w:r>
      <w:r w:rsidRPr="002F7766">
        <w:rPr>
          <w:rFonts w:ascii="Garamond" w:hAnsi="Garamond" w:cs="Arial"/>
          <w:i/>
          <w:iCs/>
          <w:lang w:val="en-GB"/>
        </w:rPr>
        <w:t>ich</w:t>
      </w:r>
      <w:r w:rsidRPr="002F7766">
        <w:rPr>
          <w:rFonts w:ascii="Garamond" w:hAnsi="Garamond" w:cs="Arial"/>
          <w:lang w:val="en-GB"/>
        </w:rPr>
        <w:t xml:space="preserve"> will, so ist dies Versprechen doch anderseits der unverkennbare Ausdruck eines konsequenten Programms.</w:t>
      </w:r>
    </w:p>
    <w:p w:rsidR="00062BE4" w:rsidRPr="002F7766" w:rsidRDefault="00062BE4" w:rsidP="00062BE4">
      <w:pPr>
        <w:rPr>
          <w:rFonts w:ascii="Garamond" w:hAnsi="Garamond" w:cs="Arial"/>
          <w:lang w:val="en-GB"/>
        </w:rPr>
      </w:pPr>
      <w:r w:rsidRPr="002F7766">
        <w:rPr>
          <w:rFonts w:ascii="Garamond" w:hAnsi="Garamond" w:cs="Arial"/>
          <w:lang w:val="en-GB"/>
        </w:rPr>
        <w:t xml:space="preserve">Meine Damen und Herren, wenn es sich herausstellen sollte, daß nicht nur einige wenige Fälle von Versprechen und von Fehlleistungen überhaupt einen </w:t>
      </w:r>
      <w:r w:rsidRPr="002F7766">
        <w:rPr>
          <w:rFonts w:ascii="Garamond" w:hAnsi="Garamond" w:cs="Arial"/>
          <w:i/>
          <w:iCs/>
          <w:lang w:val="en-GB"/>
        </w:rPr>
        <w:t>Sinn</w:t>
      </w:r>
      <w:r w:rsidRPr="002F7766">
        <w:rPr>
          <w:rFonts w:ascii="Garamond" w:hAnsi="Garamond" w:cs="Arial"/>
          <w:lang w:val="en-GB"/>
        </w:rPr>
        <w:t xml:space="preserve"> haben, sondern eine größere Anzahl von ihnen, so wird unvermeidlich dieser Sinn der Fehlleistungen, von dem bisher noch nicht die Rede war, für uns das Interessanteste werden und alle anderen Gesichtspunkte mit Recht in den Hintergrund drängen. Wir können dann alle physiologischen oder psycho-physiologischen Momente beiseite lassen und dürfen uns rein psychologischen Untersuchungen über den Sinn, d. i. die Bedeutung, die Absicht der Fehlleistung hingeben. Wir werden es also nicht verabsäumen, demnächst ein größeres Beobachtungsmaterial auf diese Erwartung zu prüfen.</w:t>
      </w:r>
    </w:p>
    <w:p w:rsidR="00062BE4" w:rsidRPr="002F7766" w:rsidRDefault="00062BE4" w:rsidP="00062BE4">
      <w:pPr>
        <w:rPr>
          <w:rFonts w:ascii="Garamond" w:hAnsi="Garamond" w:cs="Arial"/>
          <w:lang w:val="en-GB"/>
        </w:rPr>
      </w:pPr>
      <w:r w:rsidRPr="002F7766">
        <w:rPr>
          <w:rFonts w:ascii="Garamond" w:hAnsi="Garamond" w:cs="Arial"/>
          <w:lang w:val="en-GB"/>
        </w:rPr>
        <w:t>Ehe wir aber diesen Vorsatz ausführen, möchte ich Sie einladen, mit mir eine andere Spur zu verfolgen. Es ist wiederholt vorgekommen, daß ein Dichter sich des Versprechens oder einer anderen Fehlleistung als Mittels der dichterischen Darstellung bedient hat. Diese Tatsache muß uns für sich allein beweisen, daß er die Fehlleistung, das Versprechen z. B., für etwas Sinnvolles hält, denn er produziert es ja absichtlich. Es geht doch nicht so vor, daß der Dichter sich zufällig verschreibt und dann sein Verschreiben bei seiner Figur als ein Versprechen bestehen läßt. Er will uns durch das Versprechen etwas zum Verständnis bringen, und wir können ja nachsehen, was das sein mag, ob er uns etwa andeuten will, daß die betreffende Person zerstreut und ermüdet ist oder eine Migräne zu erwarten hat. Natürlich wollen wir es nicht überschätzen, wenn das Versprechen vom Dichter als sinnvoll gebraucht wird. Es könnte doch in Wirklichkeit sinnlos sein, eine psychische Zufälligkeit oder nur in ganz seltenen Fällen sinnreich, und der Dichter behielte das Recht, es durch die Ausstattung mit Sinn zu vergeistigen, um es für seine Zwecke zu gebrauchen. Zu verwundern wäre es aber auch nicht, wenn wir über das Versprechen vom Dichter mehr zu erfahren hätten als vom Philologen und vom Psychiater.</w:t>
      </w:r>
    </w:p>
    <w:p w:rsidR="00062BE4" w:rsidRPr="002F7766" w:rsidRDefault="00062BE4" w:rsidP="00062BE4">
      <w:pPr>
        <w:rPr>
          <w:rFonts w:ascii="Garamond" w:hAnsi="Garamond" w:cs="Arial"/>
          <w:lang w:val="en-GB"/>
        </w:rPr>
      </w:pPr>
      <w:r w:rsidRPr="002F7766">
        <w:rPr>
          <w:rFonts w:ascii="Garamond" w:hAnsi="Garamond" w:cs="Arial"/>
          <w:lang w:val="en-GB"/>
        </w:rPr>
        <w:t xml:space="preserve">Ein solches Beispiel von Versprechen findet sich in </w:t>
      </w:r>
      <w:r w:rsidRPr="002F7766">
        <w:rPr>
          <w:rFonts w:ascii="Garamond" w:hAnsi="Garamond" w:cs="Arial"/>
          <w:i/>
          <w:iCs/>
          <w:lang w:val="en-GB"/>
        </w:rPr>
        <w:t>Wallenstein</w:t>
      </w:r>
      <w:r w:rsidRPr="002F7766">
        <w:rPr>
          <w:rFonts w:ascii="Garamond" w:hAnsi="Garamond" w:cs="Arial"/>
          <w:lang w:val="en-GB"/>
        </w:rPr>
        <w:t xml:space="preserve"> ( </w:t>
      </w:r>
      <w:r w:rsidRPr="002F7766">
        <w:rPr>
          <w:rFonts w:ascii="Garamond" w:hAnsi="Garamond" w:cs="Arial"/>
          <w:i/>
          <w:iCs/>
          <w:lang w:val="en-GB"/>
        </w:rPr>
        <w:t>Piccolomini</w:t>
      </w:r>
      <w:r w:rsidRPr="002F7766">
        <w:rPr>
          <w:rFonts w:ascii="Garamond" w:hAnsi="Garamond" w:cs="Arial"/>
          <w:lang w:val="en-GB"/>
        </w:rPr>
        <w:t>, erster Aufzug, fünfter Auftritt). Max Piccolomini hat in der vorhergehenden Szene aufs leidenschaftlichste für den Herzog Partei genommen und dabei von den Segnungen des Friedens geschwärmt, die sich ihm auf seiner Reise enthüllt, während er die Tochter Wallensteins ins Lager begleitete. Er läßt seinen Vater und den Abgesandten des Hofes, Questenberg, in voller Bestürzung zurück. Und nun geht der fünfte Auftritt weiter:</w:t>
      </w:r>
    </w:p>
    <w:p w:rsidR="00062BE4" w:rsidRPr="002F7766" w:rsidRDefault="00062BE4" w:rsidP="00062BE4">
      <w:pPr>
        <w:rPr>
          <w:rFonts w:ascii="Garamond" w:hAnsi="Garamond" w:cs="Arial"/>
          <w:lang w:val="en-GB"/>
        </w:rPr>
      </w:pPr>
      <w:r w:rsidRPr="002F7766">
        <w:rPr>
          <w:rFonts w:ascii="Garamond" w:hAnsi="Garamond" w:cs="Arial"/>
          <w:b/>
          <w:bCs/>
          <w:lang w:val="en-GB"/>
        </w:rPr>
        <w:t>Questenberg</w:t>
      </w:r>
      <w:r w:rsidRPr="002F7766">
        <w:rPr>
          <w:rFonts w:ascii="Garamond" w:hAnsi="Garamond" w:cs="Arial"/>
          <w:lang w:val="en-GB"/>
        </w:rPr>
        <w:t xml:space="preserve"> O weh uns! Steht es so? </w:t>
      </w:r>
      <w:r w:rsidRPr="002F7766">
        <w:rPr>
          <w:rFonts w:ascii="Garamond" w:hAnsi="Garamond" w:cs="Arial"/>
          <w:lang w:val="en-GB"/>
        </w:rPr>
        <w:br/>
        <w:t xml:space="preserve">Freund, und wir lassen ihn in diesem Wahn </w:t>
      </w:r>
      <w:r w:rsidRPr="002F7766">
        <w:rPr>
          <w:rFonts w:ascii="Garamond" w:hAnsi="Garamond" w:cs="Arial"/>
          <w:lang w:val="en-GB"/>
        </w:rPr>
        <w:br/>
        <w:t xml:space="preserve">Dahingehn, rufen ihn nicht gleich </w:t>
      </w:r>
      <w:r w:rsidRPr="002F7766">
        <w:rPr>
          <w:rFonts w:ascii="Garamond" w:hAnsi="Garamond" w:cs="Arial"/>
          <w:lang w:val="en-GB"/>
        </w:rPr>
        <w:br/>
        <w:t xml:space="preserve">Zurück, daß wir die Augen auf der Stelle </w:t>
      </w:r>
      <w:r w:rsidRPr="002F7766">
        <w:rPr>
          <w:rFonts w:ascii="Garamond" w:hAnsi="Garamond" w:cs="Arial"/>
          <w:lang w:val="en-GB"/>
        </w:rPr>
        <w:br/>
        <w:t>Ihm öffnen?</w:t>
      </w:r>
    </w:p>
    <w:p w:rsidR="00062BE4" w:rsidRPr="002F7766" w:rsidRDefault="00062BE4" w:rsidP="00062BE4">
      <w:pPr>
        <w:rPr>
          <w:rFonts w:ascii="Garamond" w:hAnsi="Garamond" w:cs="Arial"/>
          <w:lang w:val="en-GB"/>
        </w:rPr>
      </w:pPr>
      <w:r w:rsidRPr="002F7766">
        <w:rPr>
          <w:rFonts w:ascii="Garamond" w:hAnsi="Garamond" w:cs="Arial"/>
          <w:b/>
          <w:bCs/>
          <w:lang w:val="en-GB"/>
        </w:rPr>
        <w:t>Octavio</w:t>
      </w:r>
      <w:r w:rsidRPr="002F7766">
        <w:rPr>
          <w:rFonts w:ascii="Garamond" w:hAnsi="Garamond" w:cs="Arial"/>
          <w:lang w:val="en-GB"/>
        </w:rPr>
        <w:t>(aus einem tiefen Nachdenken zu sich kommend)</w:t>
      </w:r>
      <w:r w:rsidRPr="002F7766">
        <w:rPr>
          <w:rFonts w:ascii="Garamond" w:hAnsi="Garamond" w:cs="Arial"/>
          <w:lang w:val="en-GB"/>
        </w:rPr>
        <w:br/>
        <w:t xml:space="preserve">Mir hat er sie jetzt geöffnet, </w:t>
      </w:r>
      <w:r w:rsidRPr="002F7766">
        <w:rPr>
          <w:rFonts w:ascii="Garamond" w:hAnsi="Garamond" w:cs="Arial"/>
          <w:lang w:val="en-GB"/>
        </w:rPr>
        <w:br/>
        <w:t xml:space="preserve">Und mehr erblick ich, als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freut.</w:t>
      </w:r>
    </w:p>
    <w:p w:rsidR="00062BE4" w:rsidRPr="002F7766" w:rsidRDefault="00062BE4" w:rsidP="00062BE4">
      <w:pPr>
        <w:rPr>
          <w:rFonts w:ascii="Garamond" w:hAnsi="Garamond" w:cs="Arial"/>
          <w:lang w:val="en-GB"/>
        </w:rPr>
      </w:pPr>
      <w:r w:rsidRPr="002F7766">
        <w:rPr>
          <w:rFonts w:ascii="Garamond" w:hAnsi="Garamond" w:cs="Arial"/>
          <w:b/>
          <w:bCs/>
          <w:lang w:val="en-GB"/>
        </w:rPr>
        <w:t>Questenberg</w:t>
      </w:r>
      <w:r w:rsidRPr="002F7766">
        <w:rPr>
          <w:rFonts w:ascii="Garamond" w:hAnsi="Garamond" w:cs="Arial"/>
          <w:lang w:val="en-GB"/>
        </w:rPr>
        <w:t xml:space="preserve"> Was ist es, Freund?</w:t>
      </w:r>
    </w:p>
    <w:p w:rsidR="00062BE4" w:rsidRPr="002F7766" w:rsidRDefault="00062BE4" w:rsidP="00062BE4">
      <w:pPr>
        <w:rPr>
          <w:rFonts w:ascii="Garamond" w:hAnsi="Garamond" w:cs="Arial"/>
          <w:lang w:val="en-GB"/>
        </w:rPr>
      </w:pPr>
      <w:r w:rsidRPr="002F7766">
        <w:rPr>
          <w:rFonts w:ascii="Garamond" w:hAnsi="Garamond" w:cs="Arial"/>
          <w:b/>
          <w:bCs/>
          <w:lang w:val="en-GB"/>
        </w:rPr>
        <w:lastRenderedPageBreak/>
        <w:t>Octavio</w:t>
      </w:r>
      <w:r w:rsidRPr="002F7766">
        <w:rPr>
          <w:rFonts w:ascii="Garamond" w:hAnsi="Garamond" w:cs="Arial"/>
          <w:lang w:val="en-GB"/>
        </w:rPr>
        <w:t xml:space="preserve"> Fluch über diese Reise!</w:t>
      </w:r>
    </w:p>
    <w:p w:rsidR="00062BE4" w:rsidRPr="002F7766" w:rsidRDefault="00062BE4" w:rsidP="00062BE4">
      <w:pPr>
        <w:rPr>
          <w:rFonts w:ascii="Garamond" w:hAnsi="Garamond" w:cs="Arial"/>
          <w:lang w:val="en-GB"/>
        </w:rPr>
      </w:pPr>
      <w:r w:rsidRPr="002F7766">
        <w:rPr>
          <w:rFonts w:ascii="Garamond" w:hAnsi="Garamond" w:cs="Arial"/>
          <w:b/>
          <w:bCs/>
          <w:lang w:val="en-GB"/>
        </w:rPr>
        <w:t>Questenberg</w:t>
      </w:r>
      <w:r w:rsidRPr="002F7766">
        <w:rPr>
          <w:rFonts w:ascii="Garamond" w:hAnsi="Garamond" w:cs="Arial"/>
          <w:lang w:val="en-GB"/>
        </w:rPr>
        <w:t xml:space="preserve"> Wieso? Was ist es?</w:t>
      </w:r>
    </w:p>
    <w:p w:rsidR="00062BE4" w:rsidRPr="002F7766" w:rsidRDefault="00062BE4" w:rsidP="00062BE4">
      <w:pPr>
        <w:rPr>
          <w:rFonts w:ascii="Garamond" w:hAnsi="Garamond" w:cs="Arial"/>
          <w:lang w:val="en-GB"/>
        </w:rPr>
      </w:pPr>
      <w:r w:rsidRPr="002F7766">
        <w:rPr>
          <w:rFonts w:ascii="Garamond" w:hAnsi="Garamond" w:cs="Arial"/>
          <w:b/>
          <w:bCs/>
          <w:lang w:val="en-GB"/>
        </w:rPr>
        <w:t>Octavio</w:t>
      </w:r>
      <w:r w:rsidRPr="002F7766">
        <w:rPr>
          <w:rFonts w:ascii="Garamond" w:hAnsi="Garamond" w:cs="Arial"/>
          <w:lang w:val="en-GB"/>
        </w:rPr>
        <w:t xml:space="preserve"> Kommen Sie – Ich muß </w:t>
      </w:r>
      <w:r w:rsidRPr="002F7766">
        <w:rPr>
          <w:rFonts w:ascii="Garamond" w:hAnsi="Garamond" w:cs="Arial"/>
          <w:lang w:val="en-GB"/>
        </w:rPr>
        <w:br/>
        <w:t xml:space="preserve">Sogleich die unglückselige Spur verfolgen, </w:t>
      </w:r>
      <w:r w:rsidRPr="002F7766">
        <w:rPr>
          <w:rFonts w:ascii="Garamond" w:hAnsi="Garamond" w:cs="Arial"/>
          <w:lang w:val="en-GB"/>
        </w:rPr>
        <w:br/>
        <w:t>Mit meinen Augen sehen – kommen Sie (will ihn fortführen)</w:t>
      </w:r>
    </w:p>
    <w:p w:rsidR="00062BE4" w:rsidRPr="002F7766" w:rsidRDefault="00062BE4" w:rsidP="00062BE4">
      <w:pPr>
        <w:rPr>
          <w:rFonts w:ascii="Garamond" w:hAnsi="Garamond" w:cs="Arial"/>
          <w:lang w:val="en-GB"/>
        </w:rPr>
      </w:pPr>
      <w:r w:rsidRPr="002F7766">
        <w:rPr>
          <w:rFonts w:ascii="Garamond" w:hAnsi="Garamond" w:cs="Arial"/>
          <w:b/>
          <w:bCs/>
          <w:lang w:val="en-GB"/>
        </w:rPr>
        <w:t>Questenberg</w:t>
      </w:r>
      <w:r w:rsidRPr="002F7766">
        <w:rPr>
          <w:rFonts w:ascii="Garamond" w:hAnsi="Garamond" w:cs="Arial"/>
          <w:lang w:val="en-GB"/>
        </w:rPr>
        <w:t xml:space="preserve"> Was denn? Wohin?</w:t>
      </w:r>
    </w:p>
    <w:p w:rsidR="00062BE4" w:rsidRPr="002F7766" w:rsidRDefault="00062BE4" w:rsidP="00062BE4">
      <w:pPr>
        <w:rPr>
          <w:rFonts w:ascii="Garamond" w:hAnsi="Garamond" w:cs="Arial"/>
          <w:lang w:val="en-GB"/>
        </w:rPr>
      </w:pPr>
      <w:r w:rsidRPr="002F7766">
        <w:rPr>
          <w:rFonts w:ascii="Garamond" w:hAnsi="Garamond" w:cs="Arial"/>
          <w:b/>
          <w:bCs/>
          <w:lang w:val="en-GB"/>
        </w:rPr>
        <w:t>Octavio</w:t>
      </w:r>
      <w:r w:rsidRPr="002F7766">
        <w:rPr>
          <w:rFonts w:ascii="Garamond" w:hAnsi="Garamond" w:cs="Arial"/>
          <w:lang w:val="en-GB"/>
        </w:rPr>
        <w:t xml:space="preserve"> (pressiert) Zu ihr!</w:t>
      </w:r>
    </w:p>
    <w:p w:rsidR="00062BE4" w:rsidRPr="002F7766" w:rsidRDefault="00062BE4" w:rsidP="00062BE4">
      <w:pPr>
        <w:rPr>
          <w:rFonts w:ascii="Garamond" w:hAnsi="Garamond" w:cs="Arial"/>
          <w:lang w:val="en-GB"/>
        </w:rPr>
      </w:pPr>
      <w:r w:rsidRPr="002F7766">
        <w:rPr>
          <w:rFonts w:ascii="Garamond" w:hAnsi="Garamond" w:cs="Arial"/>
          <w:b/>
          <w:bCs/>
          <w:lang w:val="en-GB"/>
        </w:rPr>
        <w:t>Questenberg</w:t>
      </w:r>
      <w:r w:rsidRPr="002F7766">
        <w:rPr>
          <w:rFonts w:ascii="Garamond" w:hAnsi="Garamond" w:cs="Arial"/>
          <w:lang w:val="en-GB"/>
        </w:rPr>
        <w:t xml:space="preserve"> Zu –</w:t>
      </w:r>
    </w:p>
    <w:p w:rsidR="00062BE4" w:rsidRPr="002F7766" w:rsidRDefault="00062BE4" w:rsidP="00062BE4">
      <w:pPr>
        <w:rPr>
          <w:rFonts w:ascii="Garamond" w:hAnsi="Garamond" w:cs="Arial"/>
          <w:lang w:val="en-GB"/>
        </w:rPr>
      </w:pPr>
      <w:r w:rsidRPr="002F7766">
        <w:rPr>
          <w:rFonts w:ascii="Garamond" w:hAnsi="Garamond" w:cs="Arial"/>
          <w:b/>
          <w:bCs/>
          <w:lang w:val="en-GB"/>
        </w:rPr>
        <w:t>Octavio</w:t>
      </w:r>
      <w:r w:rsidRPr="002F7766">
        <w:rPr>
          <w:rFonts w:ascii="Garamond" w:hAnsi="Garamond" w:cs="Arial"/>
          <w:lang w:val="en-GB"/>
        </w:rPr>
        <w:t xml:space="preserve"> (korrigiert sich) Zum Herzog! Gehen wir</w:t>
      </w:r>
    </w:p>
    <w:p w:rsidR="00062BE4" w:rsidRPr="002F7766" w:rsidRDefault="00062BE4" w:rsidP="00062BE4">
      <w:pPr>
        <w:rPr>
          <w:rFonts w:ascii="Garamond" w:hAnsi="Garamond" w:cs="Arial"/>
          <w:lang w:val="en-GB"/>
        </w:rPr>
      </w:pPr>
      <w:r w:rsidRPr="002F7766">
        <w:rPr>
          <w:rFonts w:ascii="Garamond" w:hAnsi="Garamond" w:cs="Arial"/>
          <w:lang w:val="en-GB"/>
        </w:rPr>
        <w:t>usw.</w:t>
      </w:r>
    </w:p>
    <w:p w:rsidR="00062BE4" w:rsidRPr="002F7766" w:rsidRDefault="00062BE4" w:rsidP="00062BE4">
      <w:pPr>
        <w:rPr>
          <w:rFonts w:ascii="Garamond" w:hAnsi="Garamond" w:cs="Arial"/>
          <w:lang w:val="en-GB"/>
        </w:rPr>
      </w:pPr>
      <w:r w:rsidRPr="002F7766">
        <w:rPr>
          <w:rFonts w:ascii="Garamond" w:hAnsi="Garamond" w:cs="Arial"/>
          <w:lang w:val="en-GB"/>
        </w:rPr>
        <w:t xml:space="preserve">Octavio wollte sagen »zu ihm«, zum Herzog, verspricht sich aber und verrät durch seine Worte » </w:t>
      </w:r>
      <w:r w:rsidRPr="002F7766">
        <w:rPr>
          <w:rFonts w:ascii="Garamond" w:hAnsi="Garamond" w:cs="Arial"/>
          <w:i/>
          <w:iCs/>
          <w:lang w:val="en-GB"/>
        </w:rPr>
        <w:t>zu ihr</w:t>
      </w:r>
      <w:r w:rsidRPr="002F7766">
        <w:rPr>
          <w:rFonts w:ascii="Garamond" w:hAnsi="Garamond" w:cs="Arial"/>
          <w:lang w:val="en-GB"/>
        </w:rPr>
        <w:t>« uns wenigstens, daß er den Einfluß, welcher den jungen Kriegshelden für den Frieden schwärmen macht, sehr wohl erkannt hat.</w:t>
      </w:r>
    </w:p>
    <w:p w:rsidR="00062BE4" w:rsidRPr="002F7766" w:rsidRDefault="00062BE4" w:rsidP="00062BE4">
      <w:pPr>
        <w:rPr>
          <w:rFonts w:ascii="Garamond" w:hAnsi="Garamond" w:cs="Arial"/>
          <w:lang w:val="en-GB"/>
        </w:rPr>
      </w:pPr>
      <w:r w:rsidRPr="002F7766">
        <w:rPr>
          <w:rFonts w:ascii="Garamond" w:hAnsi="Garamond" w:cs="Arial"/>
          <w:lang w:val="en-GB"/>
        </w:rPr>
        <w:t xml:space="preserve">Ein noch eindrucksvolleres Beispiel hat O. Rank bei Shakespeare entdeckt. Es findet sich im </w:t>
      </w:r>
      <w:r w:rsidRPr="002F7766">
        <w:rPr>
          <w:rFonts w:ascii="Garamond" w:hAnsi="Garamond" w:cs="Arial"/>
          <w:i/>
          <w:iCs/>
          <w:lang w:val="en-GB"/>
        </w:rPr>
        <w:t>Kaufmann von Venedig</w:t>
      </w:r>
      <w:r w:rsidRPr="002F7766">
        <w:rPr>
          <w:rFonts w:ascii="Garamond" w:hAnsi="Garamond" w:cs="Arial"/>
          <w:lang w:val="en-GB"/>
        </w:rPr>
        <w:t xml:space="preserve"> in der berühmten Szene der Wahl des glücklichen Liebhabers zwischen den drei Kästchen, und ich kann vielleicht nichts Besseres tun, als Ihnen die kurze Darstellung von Rank hier vorlesen.</w:t>
      </w:r>
    </w:p>
    <w:p w:rsidR="00062BE4" w:rsidRPr="002F7766" w:rsidRDefault="00062BE4" w:rsidP="00062BE4">
      <w:pPr>
        <w:rPr>
          <w:rFonts w:ascii="Garamond" w:hAnsi="Garamond" w:cs="Arial"/>
          <w:lang w:val="en-GB"/>
        </w:rPr>
      </w:pPr>
      <w:r w:rsidRPr="002F7766">
        <w:rPr>
          <w:rFonts w:ascii="Garamond" w:hAnsi="Garamond" w:cs="Arial"/>
          <w:lang w:val="en-GB"/>
        </w:rPr>
        <w:t xml:space="preserve">»Ein dichterisch überaus fein motiviertes und technisch glänzend verwertetes </w:t>
      </w:r>
      <w:r w:rsidRPr="002F7766">
        <w:rPr>
          <w:rFonts w:ascii="Garamond" w:hAnsi="Garamond" w:cs="Arial"/>
          <w:i/>
          <w:iCs/>
          <w:lang w:val="en-GB"/>
        </w:rPr>
        <w:t>Versprechen</w:t>
      </w:r>
      <w:r w:rsidRPr="002F7766">
        <w:rPr>
          <w:rFonts w:ascii="Garamond" w:hAnsi="Garamond" w:cs="Arial"/>
          <w:lang w:val="en-GB"/>
        </w:rPr>
        <w:t xml:space="preserve">, welches wie das von Freud im </w:t>
      </w:r>
      <w:r w:rsidRPr="002F7766">
        <w:rPr>
          <w:rFonts w:ascii="Garamond" w:hAnsi="Garamond" w:cs="Arial"/>
          <w:i/>
          <w:iCs/>
          <w:lang w:val="en-GB"/>
        </w:rPr>
        <w:t>Wallenstein</w:t>
      </w:r>
      <w:r w:rsidRPr="002F7766">
        <w:rPr>
          <w:rFonts w:ascii="Garamond" w:hAnsi="Garamond" w:cs="Arial"/>
          <w:lang w:val="en-GB"/>
        </w:rPr>
        <w:t xml:space="preserve"> aufgezeigte verrät, daß die Dichter Mechanismus und Sinn dieser Fehlleistung wohl kennen und deren Verständnis auch beim Zuhörer voraussetzen, findet sich in Shakespeares </w:t>
      </w:r>
      <w:r w:rsidRPr="002F7766">
        <w:rPr>
          <w:rFonts w:ascii="Garamond" w:hAnsi="Garamond" w:cs="Arial"/>
          <w:i/>
          <w:iCs/>
          <w:lang w:val="en-GB"/>
        </w:rPr>
        <w:t>Kaufmann von Venedig</w:t>
      </w:r>
      <w:r w:rsidRPr="002F7766">
        <w:rPr>
          <w:rFonts w:ascii="Garamond" w:hAnsi="Garamond" w:cs="Arial"/>
          <w:lang w:val="en-GB"/>
        </w:rPr>
        <w:t xml:space="preserve"> (dritter Aufzug, zweite Szene). Die durch den Willen ihres Vaters an die Wahl eines Gatten durch das Los gefesselte Porzia ist bisher allen ihren unliebsamen Freiern durch das Glück des Zufalls entronnen. Da sie endlich in Bassanio den Bewerber gefunden hat, dem sie wirklich zugetan ist, muß sie fürchten, daß auch er das falsche Los ziehen werde. Sie möchte ihm nun am liebsten sagen, daß er auch in diesem Falle ihrer Liebe sicher sein könne, ist aber durch ihr Gelübde daran gehindert. In diesem inneren Zwiespalte läßt sie der Dichter zu dem willkommenen Freier sagen:</w:t>
      </w:r>
    </w:p>
    <w:p w:rsidR="00062BE4" w:rsidRPr="002F7766" w:rsidRDefault="00062BE4" w:rsidP="00062BE4">
      <w:pPr>
        <w:rPr>
          <w:rFonts w:ascii="Garamond" w:hAnsi="Garamond" w:cs="Arial"/>
        </w:rPr>
      </w:pPr>
      <w:r w:rsidRPr="002F7766">
        <w:rPr>
          <w:rFonts w:ascii="Garamond" w:hAnsi="Garamond" w:cs="Arial"/>
          <w:lang w:val="en-GB"/>
        </w:rPr>
        <w:t xml:space="preserve">Ich bitt Euch, wartet; ein, zwei Tage noch, </w:t>
      </w:r>
      <w:r w:rsidRPr="002F7766">
        <w:rPr>
          <w:rFonts w:ascii="Garamond" w:hAnsi="Garamond" w:cs="Arial"/>
          <w:lang w:val="en-GB"/>
        </w:rPr>
        <w:br/>
        <w:t xml:space="preserve">Bevor Ihr wagt: denn wählt ihr falsch, so büße </w:t>
      </w:r>
      <w:r w:rsidRPr="002F7766">
        <w:rPr>
          <w:rFonts w:ascii="Garamond" w:hAnsi="Garamond" w:cs="Arial"/>
          <w:lang w:val="en-GB"/>
        </w:rPr>
        <w:br/>
        <w:t xml:space="preserve">Ich Euern Umgang ein; darum verzieht. </w:t>
      </w:r>
      <w:r w:rsidRPr="002F7766">
        <w:rPr>
          <w:rFonts w:ascii="Garamond" w:hAnsi="Garamond" w:cs="Arial"/>
          <w:lang w:val="en-GB"/>
        </w:rPr>
        <w:br/>
        <w:t xml:space="preserve">Ein Etwas sagt mir ( </w:t>
      </w:r>
      <w:r w:rsidRPr="002F7766">
        <w:rPr>
          <w:rFonts w:ascii="Garamond" w:hAnsi="Garamond" w:cs="Arial"/>
          <w:i/>
          <w:iCs/>
          <w:lang w:val="en-GB"/>
        </w:rPr>
        <w:t>doch es ist nicht Liebe</w:t>
      </w:r>
      <w:r w:rsidRPr="002F7766">
        <w:rPr>
          <w:rFonts w:ascii="Garamond" w:hAnsi="Garamond" w:cs="Arial"/>
          <w:lang w:val="en-GB"/>
        </w:rPr>
        <w:t xml:space="preserve">), </w:t>
      </w:r>
      <w:r w:rsidRPr="002F7766">
        <w:rPr>
          <w:rFonts w:ascii="Garamond" w:hAnsi="Garamond" w:cs="Arial"/>
          <w:lang w:val="en-GB"/>
        </w:rPr>
        <w:br/>
        <w:t xml:space="preserve">Ich möcht Euch nicht verlieren; – – – </w:t>
      </w:r>
      <w:r w:rsidRPr="002F7766">
        <w:rPr>
          <w:rFonts w:ascii="Garamond" w:hAnsi="Garamond" w:cs="Arial"/>
          <w:lang w:val="en-GB"/>
        </w:rPr>
        <w:br/>
        <w:t xml:space="preserve">– – – Ich könnt Euch leiten </w:t>
      </w:r>
      <w:r w:rsidRPr="002F7766">
        <w:rPr>
          <w:rFonts w:ascii="Garamond" w:hAnsi="Garamond" w:cs="Arial"/>
          <w:lang w:val="en-GB"/>
        </w:rPr>
        <w:br/>
        <w:t xml:space="preserve">Zur rechten Wahl, dann bräch ich meinen Eid; </w:t>
      </w:r>
      <w:r w:rsidRPr="002F7766">
        <w:rPr>
          <w:rFonts w:ascii="Garamond" w:hAnsi="Garamond" w:cs="Arial"/>
          <w:lang w:val="en-GB"/>
        </w:rPr>
        <w:br/>
        <w:t xml:space="preserve">Das will ich nicht; so könnt Ihr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verfehlen. </w:t>
      </w:r>
      <w:r w:rsidRPr="002F7766">
        <w:rPr>
          <w:rFonts w:ascii="Garamond" w:hAnsi="Garamond" w:cs="Arial"/>
          <w:lang w:val="en-GB"/>
        </w:rPr>
        <w:br/>
        <w:t xml:space="preserve">Doch wenn Ihr's tut, macht Ihr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sündlich wünschen, </w:t>
      </w:r>
      <w:r w:rsidRPr="002F7766">
        <w:rPr>
          <w:rFonts w:ascii="Garamond" w:hAnsi="Garamond" w:cs="Arial"/>
          <w:lang w:val="en-GB"/>
        </w:rPr>
        <w:br/>
        <w:t xml:space="preserve">Ich hätt' ihn nur gebrochen. O, der Augen, </w:t>
      </w:r>
      <w:r w:rsidRPr="002F7766">
        <w:rPr>
          <w:rFonts w:ascii="Garamond" w:hAnsi="Garamond" w:cs="Arial"/>
          <w:lang w:val="en-GB"/>
        </w:rPr>
        <w:br/>
        <w:t xml:space="preserve">Die </w:t>
      </w:r>
      <w:smartTag w:uri="urn:schemas-microsoft-com:office:smarttags" w:element="State">
        <w:r w:rsidRPr="002F7766">
          <w:rPr>
            <w:rFonts w:ascii="Garamond" w:hAnsi="Garamond" w:cs="Arial"/>
            <w:lang w:val="en-GB"/>
          </w:rPr>
          <w:t>mich</w:t>
        </w:r>
      </w:smartTag>
      <w:r w:rsidRPr="002F7766">
        <w:rPr>
          <w:rFonts w:ascii="Garamond" w:hAnsi="Garamond" w:cs="Arial"/>
          <w:lang w:val="en-GB"/>
        </w:rPr>
        <w:t xml:space="preserve"> so übersehn und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geteilt! </w:t>
      </w:r>
      <w:r w:rsidRPr="002F7766">
        <w:rPr>
          <w:rFonts w:ascii="Garamond" w:hAnsi="Garamond" w:cs="Arial"/>
          <w:lang w:val="en-GB"/>
        </w:rPr>
        <w:br/>
      </w:r>
      <w:r w:rsidRPr="002F7766">
        <w:rPr>
          <w:rFonts w:ascii="Garamond" w:hAnsi="Garamond" w:cs="Arial"/>
          <w:i/>
          <w:iCs/>
          <w:lang w:val="en-GB"/>
        </w:rPr>
        <w:t xml:space="preserve">Halb bin ich Euer, die andre Hälfte Euer – </w:t>
      </w:r>
      <w:r w:rsidRPr="002F7766">
        <w:rPr>
          <w:rFonts w:ascii="Garamond" w:hAnsi="Garamond" w:cs="Arial"/>
          <w:i/>
          <w:iCs/>
          <w:lang w:val="en-GB"/>
        </w:rPr>
        <w:br/>
        <w:t>Mein wollt ich sagen;</w:t>
      </w:r>
      <w:r w:rsidRPr="002F7766">
        <w:rPr>
          <w:rFonts w:ascii="Garamond" w:hAnsi="Garamond" w:cs="Arial"/>
          <w:lang w:val="en-GB"/>
        </w:rPr>
        <w:t xml:space="preserve"> doch wenn mein, dann Euer, </w:t>
      </w:r>
      <w:r w:rsidRPr="002F7766">
        <w:rPr>
          <w:rFonts w:ascii="Garamond" w:hAnsi="Garamond" w:cs="Arial"/>
          <w:lang w:val="en-GB"/>
        </w:rPr>
        <w:br/>
        <w:t xml:space="preserve">Und so ganz Euer. </w:t>
      </w:r>
      <w:hyperlink r:id="rId1452" w:anchor="#" w:history="1">
        <w:r w:rsidRPr="002F7766">
          <w:rPr>
            <w:rStyle w:val="fusslink"/>
            <w:rFonts w:ascii="Garamond" w:hAnsi="Garamond" w:cs="Arial"/>
            <w:b/>
            <w:bCs/>
            <w:color w:val="003399"/>
          </w:rPr>
          <w:t>[Fußnote]</w:t>
        </w:r>
        <w:r w:rsidRPr="002F7766">
          <w:rPr>
            <w:rStyle w:val="innerfusslink3"/>
            <w:rFonts w:ascii="Garamond" w:hAnsi="Garamond" w:cs="Arial"/>
            <w:b/>
            <w:bCs/>
          </w:rPr>
          <w:t>Nach der Übersetzung von Schlegel und Tieck.</w:t>
        </w:r>
      </w:hyperlink>
    </w:p>
    <w:p w:rsidR="00062BE4" w:rsidRPr="002F7766" w:rsidRDefault="00062BE4" w:rsidP="00062BE4">
      <w:pPr>
        <w:rPr>
          <w:rFonts w:ascii="Garamond" w:hAnsi="Garamond" w:cs="Arial"/>
        </w:rPr>
      </w:pPr>
      <w:r w:rsidRPr="002F7766">
        <w:rPr>
          <w:rFonts w:ascii="Garamond" w:hAnsi="Garamond" w:cs="Arial"/>
        </w:rPr>
        <w:lastRenderedPageBreak/>
        <w:t xml:space="preserve">Gerade das, was sie ihm also bloß leise andeuten möchte, weil sie es eigentlich ihm überhaupt verschweigen sollte, daß sie nämlich schon vor der Wahl </w:t>
      </w:r>
      <w:r w:rsidRPr="002F7766">
        <w:rPr>
          <w:rFonts w:ascii="Garamond" w:hAnsi="Garamond" w:cs="Arial"/>
          <w:i/>
          <w:iCs/>
        </w:rPr>
        <w:t>ganz</w:t>
      </w:r>
      <w:r w:rsidRPr="002F7766">
        <w:rPr>
          <w:rFonts w:ascii="Garamond" w:hAnsi="Garamond" w:cs="Arial"/>
        </w:rPr>
        <w:t xml:space="preserve"> die Seine sei und ihn liebe, das läßt der Dichter mit bewundernswertem psychologischen Feingefühl in dem Versprechen sich offen durchdrängen und weiß durch diesen Kunstgriff die unerträgliche Ungewißheit des Liebenden sowie die gleichgestimmte Spannung des Zuhörers über den Ausgang der Wahl zu beruhigen.«</w:t>
      </w:r>
    </w:p>
    <w:p w:rsidR="00062BE4" w:rsidRPr="002F7766" w:rsidRDefault="00062BE4" w:rsidP="00062BE4">
      <w:pPr>
        <w:rPr>
          <w:rFonts w:ascii="Garamond" w:hAnsi="Garamond" w:cs="Arial"/>
          <w:lang w:val="en-GB"/>
        </w:rPr>
      </w:pPr>
      <w:r w:rsidRPr="002F7766">
        <w:rPr>
          <w:rFonts w:ascii="Garamond" w:hAnsi="Garamond" w:cs="Arial"/>
          <w:lang w:val="en-GB"/>
        </w:rPr>
        <w:t>Wollen Sie noch bemerken, wie fein Porzia zwischen den beiden Aussagen, die in dem Versprechen enthalten sind, am Ende vermittelt, wie sie den zwischen ihnen bestehenden Widerspruch aufhebt und schließlich doch dem Versprechen recht gibt:</w:t>
      </w:r>
    </w:p>
    <w:p w:rsidR="00062BE4" w:rsidRPr="002F7766" w:rsidRDefault="00062BE4" w:rsidP="00062BE4">
      <w:pPr>
        <w:rPr>
          <w:rFonts w:ascii="Garamond" w:hAnsi="Garamond" w:cs="Arial"/>
          <w:lang w:val="en-GB"/>
        </w:rPr>
      </w:pPr>
      <w:r w:rsidRPr="002F7766">
        <w:rPr>
          <w:rFonts w:ascii="Garamond" w:hAnsi="Garamond" w:cs="Arial"/>
          <w:lang w:val="en-GB"/>
        </w:rPr>
        <w:t xml:space="preserve">Doch, wenn mein, dann Euer, </w:t>
      </w:r>
      <w:r w:rsidRPr="002F7766">
        <w:rPr>
          <w:rFonts w:ascii="Garamond" w:hAnsi="Garamond" w:cs="Arial"/>
          <w:lang w:val="en-GB"/>
        </w:rPr>
        <w:br/>
        <w:t>Und so ganz Euer.</w:t>
      </w:r>
    </w:p>
    <w:p w:rsidR="00062BE4" w:rsidRPr="002F7766" w:rsidRDefault="00062BE4" w:rsidP="00062BE4">
      <w:pPr>
        <w:rPr>
          <w:rFonts w:ascii="Garamond" w:hAnsi="Garamond" w:cs="Arial"/>
          <w:lang w:val="en-GB"/>
        </w:rPr>
      </w:pPr>
      <w:r w:rsidRPr="002F7766">
        <w:rPr>
          <w:rFonts w:ascii="Garamond" w:hAnsi="Garamond" w:cs="Arial"/>
          <w:lang w:val="en-GB"/>
        </w:rPr>
        <w:t xml:space="preserve">Gelegentlich hat auch ein der Medizin fernestehender Denker den Sinn einer Fehlleistung mit einer Bemerkung aufgedeckt und uns die Bemühung um deren Aufklärung vorweggenommen. Sie kennen alle den geistreichen Satiriker Lichtenberg (1742–1799), von dem Goethe gesagt hat: Wo er einen Spaß macht, liegt ein Problem verborgen. Nun gelegentlich kommt durch den Spaß auch die Lösung des Problems zutage. Lichtenberg notiert in seinen witzigen und satirischen Einfällen den Satz: Er las immer </w:t>
      </w:r>
      <w:r w:rsidRPr="002F7766">
        <w:rPr>
          <w:rFonts w:ascii="Garamond" w:hAnsi="Garamond" w:cs="Arial"/>
          <w:i/>
          <w:iCs/>
          <w:lang w:val="en-GB"/>
        </w:rPr>
        <w:t>Agamemnon</w:t>
      </w:r>
      <w:r w:rsidRPr="002F7766">
        <w:rPr>
          <w:rFonts w:ascii="Garamond" w:hAnsi="Garamond" w:cs="Arial"/>
          <w:lang w:val="en-GB"/>
        </w:rPr>
        <w:t xml:space="preserve"> anstatt »angenommen«, so sehr hatte er den Homer gelesen. Das ist wirklich die Theorie des Verlesens.</w:t>
      </w:r>
    </w:p>
    <w:p w:rsidR="00062BE4" w:rsidRPr="002F7766" w:rsidRDefault="00062BE4" w:rsidP="00062BE4">
      <w:pPr>
        <w:rPr>
          <w:rFonts w:ascii="Garamond" w:hAnsi="Garamond" w:cs="Arial"/>
          <w:lang w:val="en-GB"/>
        </w:rPr>
      </w:pPr>
      <w:r w:rsidRPr="002F7766">
        <w:rPr>
          <w:rFonts w:ascii="Garamond" w:hAnsi="Garamond" w:cs="Arial"/>
          <w:lang w:val="en-GB"/>
        </w:rPr>
        <w:t>Das nächstemal wollen wir prüfen, ob wir in der Auffassung der Fehlleistungen mit den Dichtern gehen können.</w:t>
      </w:r>
    </w:p>
    <w:p w:rsidR="00062BE4" w:rsidRDefault="00062BE4" w:rsidP="00062BE4">
      <w:pPr>
        <w:rPr>
          <w:rFonts w:ascii="Garamond" w:hAnsi="Garamond" w:cs="Arial"/>
          <w:b/>
          <w:bCs/>
          <w:lang w:val="en-GB"/>
        </w:rPr>
      </w:pPr>
    </w:p>
    <w:p w:rsidR="00062BE4" w:rsidRPr="002F7766"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2F7766">
          <w:rPr>
            <w:rStyle w:val="Lienhypertexte"/>
            <w:rFonts w:ascii="Garamond" w:hAnsi="Garamond" w:cs="Arial"/>
            <w:b/>
            <w:bCs/>
            <w:lang w:val="en-GB"/>
          </w:rPr>
          <w:t>3. Vo</w:t>
        </w:r>
        <w:bookmarkStart w:id="270" w:name="Vorlesungen_3"/>
        <w:bookmarkEnd w:id="270"/>
        <w:r w:rsidRPr="002F7766">
          <w:rPr>
            <w:rStyle w:val="Lienhypertexte"/>
            <w:rFonts w:ascii="Garamond" w:hAnsi="Garamond" w:cs="Arial"/>
            <w:b/>
            <w:bCs/>
            <w:lang w:val="en-GB"/>
          </w:rPr>
          <w:t>rlesung. Die Fehlleistungen (Fortsetzung)</w:t>
        </w:r>
      </w:hyperlink>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Wir sind das vorigemal auf den Einfall gekommen, die Fehlleistung nicht im Verhältnis zu der von ihr gestörten, beabsichtigten Leistung zu betrachten, sondern an und für sich, haben den Eindruck empfangen, daß sie in einzelnen Fällen ihren eigenen Sinn zu verraten scheint, und haben uns gesagt, wenn es in größerem Umfange zu bestätigen wäre, daß die Fehlleistung einen Sinn hat, so würde uns dieser Sinn bald interessanter werden als die Untersuchung der Umstände, unter denen die Fehlleistung zustande kommt.</w:t>
      </w:r>
    </w:p>
    <w:p w:rsidR="00062BE4" w:rsidRPr="002F7766" w:rsidRDefault="00062BE4" w:rsidP="00062BE4">
      <w:pPr>
        <w:rPr>
          <w:rFonts w:ascii="Garamond" w:hAnsi="Garamond" w:cs="Arial"/>
          <w:lang w:val="en-GB"/>
        </w:rPr>
      </w:pPr>
      <w:r w:rsidRPr="002F7766">
        <w:rPr>
          <w:rFonts w:ascii="Garamond" w:hAnsi="Garamond" w:cs="Arial"/>
          <w:lang w:val="en-GB"/>
        </w:rPr>
        <w:t>Einigen wir uns noch einmal darüber, was wir unter dem »Sinn« eines psychischen Vorganges verstehen wollen. Nichts anderes als die Absicht, der er dient, und seine Stellung in einer psychischen Reihe. Für die meisten unserer Untersuchungen können wir »Sinn« auch durch »Absicht«, »Tendenz« ersetzen. War es also nur ein täuschender Schein oder eine poetische Erhöhung der Fehlleistung, wenn wir in ihr eine Absicht zu erkennen glaubten?</w:t>
      </w:r>
    </w:p>
    <w:p w:rsidR="00062BE4" w:rsidRPr="002F7766" w:rsidRDefault="00062BE4" w:rsidP="00062BE4">
      <w:pPr>
        <w:rPr>
          <w:rFonts w:ascii="Garamond" w:hAnsi="Garamond" w:cs="Arial"/>
          <w:lang w:val="en-GB"/>
        </w:rPr>
      </w:pPr>
      <w:r w:rsidRPr="002F7766">
        <w:rPr>
          <w:rFonts w:ascii="Garamond" w:hAnsi="Garamond" w:cs="Arial"/>
          <w:lang w:val="en-GB"/>
        </w:rPr>
        <w:t xml:space="preserve">Bleiben wir den Beispielen des Versprechens treu und überblicken eine größere Anzahl solcher Beobachtungen. Da finden wir denn ganze Kategorien von Fällen, in denen die Absicht, der Sinn des Versprechens klar zutage liegt. Vor allem die, in denen das Gegenteil an die Stelle des Beabsichtigten tritt. Der Präsident sagt in der Eröffnungsrede: »Ich erkläre die Sitzung für geschlossen.« Das ist doch unzweideutig. Sinn und Absicht seiner Fehlrede ist, daß er die Sitzung schließen will. »Er sagt es ja selbst«, möchte man dazu zitieren; wir brauchen ihn ja nur beim Wort zu nehmen. Stören Sie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jetzt nicht mit der Einrede, daß dies nicht möglich ist, daß wir ja wissen, er wollte die Sitzung nicht schließen, sondern eröffnen, und daß er selbst, den wir eben als oberste Instanz anerkannt haben, bestätigen kann, daß er eröffnen wollte. Sie vergessen dabei, daß wir übereingekommen sind, die Fehlleistung zunächst an und für sich zu betrachten; ihr Verhältnis zur Intention, die sie stört, soll erst später zur Sprache kommen. Sie machen sich sonst eines logischen Fehlers schuldig, durch den Sie das in Behandlung stehende Problem glatt wegeskamotieren, was im Englischen </w:t>
      </w:r>
      <w:r w:rsidRPr="002F7766">
        <w:rPr>
          <w:rFonts w:ascii="Garamond" w:hAnsi="Garamond" w:cs="Arial"/>
          <w:i/>
          <w:iCs/>
          <w:lang w:val="en-GB"/>
        </w:rPr>
        <w:t>begging the question</w:t>
      </w:r>
      <w:r w:rsidRPr="002F7766">
        <w:rPr>
          <w:rFonts w:ascii="Garamond" w:hAnsi="Garamond" w:cs="Arial"/>
          <w:lang w:val="en-GB"/>
        </w:rPr>
        <w:t xml:space="preserve"> heißt.</w:t>
      </w:r>
    </w:p>
    <w:p w:rsidR="00062BE4" w:rsidRPr="002F7766" w:rsidRDefault="00062BE4" w:rsidP="00062BE4">
      <w:pPr>
        <w:rPr>
          <w:rFonts w:ascii="Garamond" w:hAnsi="Garamond" w:cs="Arial"/>
          <w:lang w:val="en-GB"/>
        </w:rPr>
      </w:pPr>
      <w:r w:rsidRPr="002F7766">
        <w:rPr>
          <w:rFonts w:ascii="Garamond" w:hAnsi="Garamond" w:cs="Arial"/>
          <w:lang w:val="en-GB"/>
        </w:rPr>
        <w:t xml:space="preserve">In anderen Fällen, wo man sich nicht gerade zum Gegenteil versprochen hat, kann doch durch das Versprechen ein gegensätzlicher Sinn zum Ausdruck kommen. »Ich bin nicht </w:t>
      </w:r>
      <w:r w:rsidRPr="002F7766">
        <w:rPr>
          <w:rFonts w:ascii="Garamond" w:hAnsi="Garamond" w:cs="Arial"/>
          <w:i/>
          <w:iCs/>
          <w:lang w:val="en-GB"/>
        </w:rPr>
        <w:t>geneigt</w:t>
      </w:r>
      <w:r w:rsidRPr="002F7766">
        <w:rPr>
          <w:rFonts w:ascii="Garamond" w:hAnsi="Garamond" w:cs="Arial"/>
          <w:lang w:val="en-GB"/>
        </w:rPr>
        <w:t>, die Verdienste meines Vorgängers zu würdigen.« Geneigt ist nicht das Gegenteil von geeignet, aber es ist ein offenes Geständnis, in scharfem Gegensatz zur Situation, in welcher der Redner sprechen soll.</w:t>
      </w:r>
    </w:p>
    <w:p w:rsidR="00062BE4" w:rsidRPr="002F7766" w:rsidRDefault="00062BE4" w:rsidP="00062BE4">
      <w:pPr>
        <w:rPr>
          <w:rFonts w:ascii="Garamond" w:hAnsi="Garamond" w:cs="Arial"/>
          <w:lang w:val="en-GB"/>
        </w:rPr>
      </w:pPr>
      <w:r w:rsidRPr="002F7766">
        <w:rPr>
          <w:rFonts w:ascii="Garamond" w:hAnsi="Garamond" w:cs="Arial"/>
          <w:lang w:val="en-GB"/>
        </w:rPr>
        <w:t xml:space="preserve">In noch anderen Fällen fügt das Versprechen zu dem beabsichtigten Sinne einfach einen zweiten hinzu. Der Satz hört sich dann an wie eine Zusammenziehung, Verkürzung, Verdichtung aus mehreren Sätzen. So die energische Dame: Er kann </w:t>
      </w:r>
      <w:smartTag w:uri="urn:schemas-microsoft-com:office:smarttags" w:element="City">
        <w:smartTag w:uri="urn:schemas-microsoft-com:office:smarttags" w:element="place">
          <w:r w:rsidRPr="002F7766">
            <w:rPr>
              <w:rFonts w:ascii="Garamond" w:hAnsi="Garamond" w:cs="Arial"/>
              <w:lang w:val="en-GB"/>
            </w:rPr>
            <w:t>essen</w:t>
          </w:r>
        </w:smartTag>
      </w:smartTag>
      <w:r w:rsidRPr="002F7766">
        <w:rPr>
          <w:rFonts w:ascii="Garamond" w:hAnsi="Garamond" w:cs="Arial"/>
          <w:lang w:val="en-GB"/>
        </w:rPr>
        <w:t xml:space="preserve"> und trinken, was </w:t>
      </w:r>
      <w:r w:rsidRPr="002F7766">
        <w:rPr>
          <w:rFonts w:ascii="Garamond" w:hAnsi="Garamond" w:cs="Arial"/>
          <w:i/>
          <w:iCs/>
          <w:lang w:val="en-GB"/>
        </w:rPr>
        <w:t>ich</w:t>
      </w:r>
      <w:r w:rsidRPr="002F7766">
        <w:rPr>
          <w:rFonts w:ascii="Garamond" w:hAnsi="Garamond" w:cs="Arial"/>
          <w:lang w:val="en-GB"/>
        </w:rPr>
        <w:t xml:space="preserve"> will. Das ist gerade so, als ob sie erzählt hätte: Er kann </w:t>
      </w:r>
      <w:smartTag w:uri="urn:schemas-microsoft-com:office:smarttags" w:element="City">
        <w:smartTag w:uri="urn:schemas-microsoft-com:office:smarttags" w:element="place">
          <w:r w:rsidRPr="002F7766">
            <w:rPr>
              <w:rFonts w:ascii="Garamond" w:hAnsi="Garamond" w:cs="Arial"/>
              <w:lang w:val="en-GB"/>
            </w:rPr>
            <w:t>essen</w:t>
          </w:r>
        </w:smartTag>
      </w:smartTag>
      <w:r w:rsidRPr="002F7766">
        <w:rPr>
          <w:rFonts w:ascii="Garamond" w:hAnsi="Garamond" w:cs="Arial"/>
          <w:lang w:val="en-GB"/>
        </w:rPr>
        <w:t xml:space="preserve"> und trinken, was er will; aber was hat er denn zu wollen? An seiner statt will ich. Die Versprechen machen oft den Eindruck solcher Verkürzungen, z. B. wenn ein Anatomieprofessor nach seinem Vortrag über die Nasenhöhle fragt, ob die Hörer es auch verstanden haben, und ob der allgemeinen Bejahung fortsetzt: Ich glaube kaum, denn die Leute, welche die Nasenhöhle verstehen, kann man selbst in einer Millionenstadt an </w:t>
      </w:r>
      <w:r w:rsidRPr="002F7766">
        <w:rPr>
          <w:rFonts w:ascii="Garamond" w:hAnsi="Garamond" w:cs="Arial"/>
          <w:i/>
          <w:iCs/>
          <w:lang w:val="en-GB"/>
        </w:rPr>
        <w:t>einem Finger...</w:t>
      </w:r>
      <w:r w:rsidRPr="002F7766">
        <w:rPr>
          <w:rFonts w:ascii="Garamond" w:hAnsi="Garamond" w:cs="Arial"/>
          <w:lang w:val="en-GB"/>
        </w:rPr>
        <w:t xml:space="preserve"> Pardon, an den Fingern einer Hand abzählen. Die verkürzte Rede hat auch ihren Sinn; sie sagt, es gibt nur einen Menschen, der das versteht.</w:t>
      </w:r>
    </w:p>
    <w:p w:rsidR="00062BE4" w:rsidRPr="002F7766" w:rsidRDefault="00062BE4" w:rsidP="00062BE4">
      <w:pPr>
        <w:rPr>
          <w:rFonts w:ascii="Garamond" w:hAnsi="Garamond" w:cs="Arial"/>
          <w:lang w:val="en-GB"/>
        </w:rPr>
      </w:pPr>
      <w:r w:rsidRPr="002F7766">
        <w:rPr>
          <w:rFonts w:ascii="Garamond" w:hAnsi="Garamond" w:cs="Arial"/>
          <w:lang w:val="en-GB"/>
        </w:rPr>
        <w:t xml:space="preserve">Diesen Gruppen von Fällen, in denen die Fehlleistung ihren Sinn selbst zum Vorschein bringt, stehen andere gegenüber, in denen das Versprechen nichts an sich Sinnreiches geliefert hat, die also unseren Erwartungen energisch widersprechen. Wenn jemand durch Versprechen einen Eigennamen verdreht oder ungebräuchliche Lautfolgen zusammenstellt, so scheint durch diese sehr häufigen Vorkommnisse die Frage, ob alle Fehlhandlungen etwas Sinnreiches leisten, bereits im ablehnenden Sinne entschieden zu sein. Allein bei näherem Eingehen auf solche Beispiele zeigt es sich, daß ein Verständnis dieser </w:t>
      </w:r>
      <w:r w:rsidRPr="002F7766">
        <w:rPr>
          <w:rFonts w:ascii="Garamond" w:hAnsi="Garamond" w:cs="Arial"/>
          <w:lang w:val="en-GB"/>
        </w:rPr>
        <w:lastRenderedPageBreak/>
        <w:t>Entstellungen leicht möglich wird, ja daß der Unterschied zwischen diesen dunkleren und früheren klaren Fällen gar nicht so groß ist.</w:t>
      </w:r>
    </w:p>
    <w:p w:rsidR="00062BE4" w:rsidRPr="002F7766" w:rsidRDefault="00062BE4" w:rsidP="00062BE4">
      <w:pPr>
        <w:rPr>
          <w:rFonts w:ascii="Garamond" w:hAnsi="Garamond" w:cs="Arial"/>
          <w:lang w:val="en-GB"/>
        </w:rPr>
      </w:pPr>
      <w:r w:rsidRPr="002F7766">
        <w:rPr>
          <w:rFonts w:ascii="Garamond" w:hAnsi="Garamond" w:cs="Arial"/>
          <w:lang w:val="en-GB"/>
        </w:rPr>
        <w:t xml:space="preserve">Ein Herr, nach dem Befinden seines Pferdes befragt, antwortet: Ja, das </w:t>
      </w:r>
      <w:r w:rsidRPr="002F7766">
        <w:rPr>
          <w:rFonts w:ascii="Garamond" w:hAnsi="Garamond" w:cs="Arial"/>
          <w:i/>
          <w:iCs/>
          <w:lang w:val="en-GB"/>
        </w:rPr>
        <w:t>draut...</w:t>
      </w:r>
      <w:r w:rsidRPr="002F7766">
        <w:rPr>
          <w:rFonts w:ascii="Garamond" w:hAnsi="Garamond" w:cs="Arial"/>
          <w:lang w:val="en-GB"/>
        </w:rPr>
        <w:t xml:space="preserve"> Das dauert vielleicht noch einen Monat. Befragt, was er eigentlich sagen wollte, erklärt er, er habe gedacht, das sei eine </w:t>
      </w:r>
      <w:r w:rsidRPr="002F7766">
        <w:rPr>
          <w:rFonts w:ascii="Garamond" w:hAnsi="Garamond" w:cs="Arial"/>
          <w:i/>
          <w:iCs/>
          <w:lang w:val="en-GB"/>
        </w:rPr>
        <w:t>traurige</w:t>
      </w:r>
      <w:r w:rsidRPr="002F7766">
        <w:rPr>
          <w:rFonts w:ascii="Garamond" w:hAnsi="Garamond" w:cs="Arial"/>
          <w:lang w:val="en-GB"/>
        </w:rPr>
        <w:t xml:space="preserve"> Geschichte, der Zusammenstoß von »dauert« und »traurig« habe jenes »draut« ergeben. (Meringer und Mayer.)</w:t>
      </w:r>
    </w:p>
    <w:p w:rsidR="00062BE4" w:rsidRPr="002F7766" w:rsidRDefault="00062BE4" w:rsidP="00062BE4">
      <w:pPr>
        <w:rPr>
          <w:rFonts w:ascii="Garamond" w:hAnsi="Garamond" w:cs="Arial"/>
          <w:lang w:val="en-GB"/>
        </w:rPr>
      </w:pPr>
      <w:r w:rsidRPr="002F7766">
        <w:rPr>
          <w:rFonts w:ascii="Garamond" w:hAnsi="Garamond" w:cs="Arial"/>
          <w:lang w:val="en-GB"/>
        </w:rPr>
        <w:t xml:space="preserve">Ein anderer erzählt von irgendwelchen Vorgängen, die er beanständet, und setzt fort: Dann aber sind Tatsachen zum </w:t>
      </w:r>
      <w:r w:rsidRPr="002F7766">
        <w:rPr>
          <w:rFonts w:ascii="Garamond" w:hAnsi="Garamond" w:cs="Arial"/>
          <w:i/>
          <w:iCs/>
          <w:lang w:val="en-GB"/>
        </w:rPr>
        <w:t>Vorschwein</w:t>
      </w:r>
      <w:r w:rsidRPr="002F7766">
        <w:rPr>
          <w:rFonts w:ascii="Garamond" w:hAnsi="Garamond" w:cs="Arial"/>
          <w:lang w:val="en-GB"/>
        </w:rPr>
        <w:t xml:space="preserve"> gekommen... Auf Anfragen bestätigt er, daß er diese Vorgänge als </w:t>
      </w:r>
      <w:r w:rsidRPr="002F7766">
        <w:rPr>
          <w:rFonts w:ascii="Garamond" w:hAnsi="Garamond" w:cs="Arial"/>
          <w:i/>
          <w:iCs/>
          <w:lang w:val="en-GB"/>
        </w:rPr>
        <w:t>Schweinereien</w:t>
      </w:r>
      <w:r w:rsidRPr="002F7766">
        <w:rPr>
          <w:rFonts w:ascii="Garamond" w:hAnsi="Garamond" w:cs="Arial"/>
          <w:lang w:val="en-GB"/>
        </w:rPr>
        <w:t xml:space="preserve"> bezeichnen wollte. »Vorschein« und »Schweinerei« haben mitsammen das sonderbare »Vorschwein« entstehen lassen. (Meringer und Mayer.)</w:t>
      </w:r>
    </w:p>
    <w:p w:rsidR="00062BE4" w:rsidRPr="002F7766" w:rsidRDefault="00062BE4" w:rsidP="00062BE4">
      <w:pPr>
        <w:rPr>
          <w:rFonts w:ascii="Garamond" w:hAnsi="Garamond" w:cs="Arial"/>
          <w:lang w:val="en-GB"/>
        </w:rPr>
      </w:pPr>
      <w:r w:rsidRPr="002F7766">
        <w:rPr>
          <w:rFonts w:ascii="Garamond" w:hAnsi="Garamond" w:cs="Arial"/>
          <w:lang w:val="en-GB"/>
        </w:rPr>
        <w:t xml:space="preserve">Erinnern Sie sich an den Fall des jungen Mannes, der die ihm unbekannte Dame </w:t>
      </w:r>
      <w:r w:rsidRPr="002F7766">
        <w:rPr>
          <w:rFonts w:ascii="Garamond" w:hAnsi="Garamond" w:cs="Arial"/>
          <w:i/>
          <w:iCs/>
          <w:lang w:val="en-GB"/>
        </w:rPr>
        <w:t>begleitdigen</w:t>
      </w:r>
      <w:r w:rsidRPr="002F7766">
        <w:rPr>
          <w:rFonts w:ascii="Garamond" w:hAnsi="Garamond" w:cs="Arial"/>
          <w:lang w:val="en-GB"/>
        </w:rPr>
        <w:t xml:space="preserve"> wollte. Wir hatten uns die Freiheit genommen, diese Wortbildung in </w:t>
      </w:r>
      <w:r w:rsidRPr="002F7766">
        <w:rPr>
          <w:rFonts w:ascii="Garamond" w:hAnsi="Garamond" w:cs="Arial"/>
          <w:i/>
          <w:iCs/>
          <w:lang w:val="en-GB"/>
        </w:rPr>
        <w:t>begleiten</w:t>
      </w:r>
      <w:r w:rsidRPr="002F7766">
        <w:rPr>
          <w:rFonts w:ascii="Garamond" w:hAnsi="Garamond" w:cs="Arial"/>
          <w:lang w:val="en-GB"/>
        </w:rPr>
        <w:t xml:space="preserve"> und </w:t>
      </w:r>
      <w:r w:rsidRPr="002F7766">
        <w:rPr>
          <w:rFonts w:ascii="Garamond" w:hAnsi="Garamond" w:cs="Arial"/>
          <w:i/>
          <w:iCs/>
          <w:lang w:val="en-GB"/>
        </w:rPr>
        <w:t>beleidigen</w:t>
      </w:r>
      <w:r w:rsidRPr="002F7766">
        <w:rPr>
          <w:rFonts w:ascii="Garamond" w:hAnsi="Garamond" w:cs="Arial"/>
          <w:lang w:val="en-GB"/>
        </w:rPr>
        <w:t xml:space="preserve"> zu zerlegen, und fühlten uns dieser Deutung sicher, ohne für sie Bestätigung zu fordern. Sie ersehen aus diesen Beispielen, daß auch diese dunkleren Fälle des Versprechens sich durch das Zusammentreffen, die </w:t>
      </w:r>
      <w:r w:rsidRPr="002F7766">
        <w:rPr>
          <w:rFonts w:ascii="Garamond" w:hAnsi="Garamond" w:cs="Arial"/>
          <w:i/>
          <w:iCs/>
          <w:lang w:val="en-GB"/>
        </w:rPr>
        <w:t>Interferenz</w:t>
      </w:r>
      <w:r w:rsidRPr="002F7766">
        <w:rPr>
          <w:rFonts w:ascii="Garamond" w:hAnsi="Garamond" w:cs="Arial"/>
          <w:lang w:val="en-GB"/>
        </w:rPr>
        <w:t>, zweier verschiedener Redeabsichten erklären lassen; die Unterschiede entstehen nur dadurch, daß einmal die eine Absicht die andere völlig ersetzt (substituiert), so bei den Versprechen zum Gegenteil, während sie sich ein andermal damit begnügen muß, sie zu entstellen oder zu modifizieren, so daß Mischbildungen zustandekommen, die an sich mehr oder minder sinnreich erscheinen.</w:t>
      </w:r>
    </w:p>
    <w:p w:rsidR="00062BE4" w:rsidRPr="002F7766" w:rsidRDefault="00062BE4" w:rsidP="00062BE4">
      <w:pPr>
        <w:rPr>
          <w:rFonts w:ascii="Garamond" w:hAnsi="Garamond" w:cs="Arial"/>
          <w:lang w:val="en-GB"/>
        </w:rPr>
      </w:pPr>
      <w:r w:rsidRPr="002F7766">
        <w:rPr>
          <w:rFonts w:ascii="Garamond" w:hAnsi="Garamond" w:cs="Arial"/>
        </w:rPr>
        <w:t xml:space="preserve">Wir glauben jetzt das Geheimnis einer großen Anzahl von Versprechen erfaßt zu haben. </w:t>
      </w:r>
      <w:r w:rsidRPr="002F7766">
        <w:rPr>
          <w:rFonts w:ascii="Garamond" w:hAnsi="Garamond" w:cs="Arial"/>
          <w:lang w:val="en-GB"/>
        </w:rPr>
        <w:t xml:space="preserve">Halten wir an dieser Einsicht fest, so werden wir noch andere bisher rätselhafte Gruppen verstehen können. Beim Namenentstellen können wir z. B. nicht annehmen, daß es sich immer um die Konkurrenz zweier ähnlicher und doch verschiedener Namen handelt. Aber die zweite Absicht ist doch unschwer zu erraten. Die Entstellung eines Namens kommt außerhalb des Versprechens häufig genug vor; sie versucht den Namen übelklingend oder an etwas Niedriges anklingend zu machen und ist eine bekannte Art oder Unart der Schmähung, auf die der gebildete Mensch bald verzichten lernt, aber nicht gerne verzichtet. Er gestattet sich dieselbe noch oft als »Witz« von allerdings sehr geringer Würde. Um nur ein grelles und häßliches Beispiel dieser Namensentstellung anzuführen, erwähne ich, daß man den Namen des Präsidenten der französischen Republik, Poincaré, in diesen Zeiten in »Schweinskarré« umgewandelt hat. Es liegt also nahe, auch beim Versprechen eine solche schmähende Absicht anzunehmen, die sich in der Entstellung des Namens durchsetzt. Ähnliche Aufklärungen drängen sich uns in Fortführung unserer Auffassung für gewisse Fälle des Versprechens mit komischem oder absurdem Effekt auf. »Ich fordere Sie auf, auf das Wohl unseres Chefs </w:t>
      </w:r>
      <w:r w:rsidRPr="002F7766">
        <w:rPr>
          <w:rFonts w:ascii="Garamond" w:hAnsi="Garamond" w:cs="Arial"/>
          <w:i/>
          <w:iCs/>
          <w:lang w:val="en-GB"/>
        </w:rPr>
        <w:t>auf</w:t>
      </w:r>
      <w:r w:rsidRPr="002F7766">
        <w:rPr>
          <w:rFonts w:ascii="Garamond" w:hAnsi="Garamond" w:cs="Arial"/>
          <w:lang w:val="en-GB"/>
        </w:rPr>
        <w:t xml:space="preserve">zustoßen.« Hier wird eine feierliche Stimmung unerwarteterweise durch das Eindringen eines Wortes gestört, das eine unappetitliche Vorstellung erweckt, und wir können nach dem Vorbild gewisser Schimpf- und Trutzreden kaum anderes vermuten, als daß sich eine Tendenz zum Ausdruck bringen will, die der vorgeschobenen Verehrung energisch widerspricht und etwa sagen will: Glaubt doch nicht daran, das ist nicht mein Ernst, ich pfeif auf den Kerl u. dgl. Ganz Ähnliches gilt für Versprechen, die aus harmlosen Worten unanständige und obszöne machen, wie </w:t>
      </w:r>
      <w:r w:rsidRPr="002F7766">
        <w:rPr>
          <w:rFonts w:ascii="Garamond" w:hAnsi="Garamond" w:cs="Arial"/>
          <w:i/>
          <w:iCs/>
          <w:lang w:val="en-GB"/>
        </w:rPr>
        <w:t>Apopos</w:t>
      </w:r>
      <w:r w:rsidRPr="002F7766">
        <w:rPr>
          <w:rFonts w:ascii="Garamond" w:hAnsi="Garamond" w:cs="Arial"/>
          <w:lang w:val="en-GB"/>
        </w:rPr>
        <w:t xml:space="preserve"> für Apropos, oder </w:t>
      </w:r>
      <w:r w:rsidRPr="002F7766">
        <w:rPr>
          <w:rFonts w:ascii="Garamond" w:hAnsi="Garamond" w:cs="Arial"/>
          <w:i/>
          <w:iCs/>
          <w:lang w:val="en-GB"/>
        </w:rPr>
        <w:t>Eischeißweibchen</w:t>
      </w:r>
      <w:r w:rsidRPr="002F7766">
        <w:rPr>
          <w:rFonts w:ascii="Garamond" w:hAnsi="Garamond" w:cs="Arial"/>
          <w:lang w:val="en-GB"/>
        </w:rPr>
        <w:t xml:space="preserve"> für Eiweißscheibchen. (Meringer und Mayer.)</w:t>
      </w:r>
    </w:p>
    <w:p w:rsidR="00062BE4" w:rsidRPr="002F7766" w:rsidRDefault="00062BE4" w:rsidP="00062BE4">
      <w:pPr>
        <w:rPr>
          <w:rFonts w:ascii="Garamond" w:hAnsi="Garamond" w:cs="Arial"/>
          <w:lang w:val="en-GB"/>
        </w:rPr>
      </w:pPr>
      <w:r w:rsidRPr="002F7766">
        <w:rPr>
          <w:rFonts w:ascii="Garamond" w:hAnsi="Garamond" w:cs="Arial"/>
          <w:lang w:val="en-GB"/>
        </w:rPr>
        <w:t>Wir kennen bei vielen Menschen eine solche Tendenz, einem gewissen Lustgewinn zuliebe harmlose Worte absichtlich in obszöne zu entstellen; sie gilt für witzig, und in Wirklichkeit müssen wir bei einem Menschen, von dem wir solches hören, erst erkunden, ob er es absichtlich als Witz geäußert hat oder ob es ihm als Versprechen passiert ist.</w:t>
      </w:r>
    </w:p>
    <w:p w:rsidR="00062BE4" w:rsidRPr="002F7766" w:rsidRDefault="00062BE4" w:rsidP="00062BE4">
      <w:pPr>
        <w:rPr>
          <w:rFonts w:ascii="Garamond" w:hAnsi="Garamond" w:cs="Arial"/>
          <w:lang w:val="en-GB"/>
        </w:rPr>
      </w:pPr>
      <w:r w:rsidRPr="002F7766">
        <w:rPr>
          <w:rFonts w:ascii="Garamond" w:hAnsi="Garamond" w:cs="Arial"/>
          <w:lang w:val="en-GB"/>
        </w:rPr>
        <w:t xml:space="preserve">Nun, da hätten wir ja mit verhältnismäßig geringer Mühe das Rätsel der Fehlleistungen gelöst! Sie sind nicht Zufälligkeiten, sondern ernsthafte seelische Akte, sie haben ihren Sinn, sie entstehen durch das Zusammenwirken – vielleicht besser: Gegeneinanderwirken zweier verschiedener Absichten. Aber nun </w:t>
      </w:r>
      <w:r w:rsidRPr="002F7766">
        <w:rPr>
          <w:rFonts w:ascii="Garamond" w:hAnsi="Garamond" w:cs="Arial"/>
          <w:lang w:val="en-GB"/>
        </w:rPr>
        <w:lastRenderedPageBreak/>
        <w:t xml:space="preserve">kann ich auch verstehen, daß Sie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mit einer Fülle von Fragen und Zweifeln überschütten wollen, die zu beantworten und zu erledigen sind, ehe wir uns dieses ersten Resultats unserer Arbeit freuen dürfen. Ich will Sie gewiß nicht zu voreiligen Entscheidungen antreiben. Lassen Sie uns alles der Reihe nach, eines nach dem anderen, in kühle Erwägung ziehen.</w:t>
      </w:r>
    </w:p>
    <w:p w:rsidR="00062BE4" w:rsidRPr="002F7766" w:rsidRDefault="00062BE4" w:rsidP="00062BE4">
      <w:pPr>
        <w:rPr>
          <w:rFonts w:ascii="Garamond" w:hAnsi="Garamond" w:cs="Arial"/>
          <w:lang w:val="en-GB"/>
        </w:rPr>
      </w:pPr>
      <w:r w:rsidRPr="002F7766">
        <w:rPr>
          <w:rFonts w:ascii="Garamond" w:hAnsi="Garamond" w:cs="Arial"/>
          <w:lang w:val="en-GB"/>
        </w:rPr>
        <w:t xml:space="preserve">Was wollen Sie mir wohl sagen? </w:t>
      </w:r>
      <w:smartTag w:uri="urn:schemas-microsoft-com:office:smarttags" w:element="place">
        <w:r w:rsidRPr="002F7766">
          <w:rPr>
            <w:rFonts w:ascii="Garamond" w:hAnsi="Garamond" w:cs="Arial"/>
            <w:lang w:val="en-GB"/>
          </w:rPr>
          <w:t>Ob</w:t>
        </w:r>
      </w:smartTag>
      <w:r w:rsidRPr="002F7766">
        <w:rPr>
          <w:rFonts w:ascii="Garamond" w:hAnsi="Garamond" w:cs="Arial"/>
          <w:lang w:val="en-GB"/>
        </w:rPr>
        <w:t xml:space="preserve"> ich meine, daß diese Aufklärung für alle Fälle von Versprechen gilt oder nur für eine gewisse Anzahl? </w:t>
      </w:r>
      <w:smartTag w:uri="urn:schemas-microsoft-com:office:smarttags" w:element="place">
        <w:r w:rsidRPr="002F7766">
          <w:rPr>
            <w:rFonts w:ascii="Garamond" w:hAnsi="Garamond" w:cs="Arial"/>
            <w:lang w:val="en-GB"/>
          </w:rPr>
          <w:t>Ob</w:t>
        </w:r>
      </w:smartTag>
      <w:r w:rsidRPr="002F7766">
        <w:rPr>
          <w:rFonts w:ascii="Garamond" w:hAnsi="Garamond" w:cs="Arial"/>
          <w:lang w:val="en-GB"/>
        </w:rPr>
        <w:t xml:space="preserve"> man dieselbe Auffassung auch auf die vielen anderen Arten von Fehlleistungen ausdehnen darf, auf das Verlesen, Verschreiben, Vergessen, Vergreifen, Verlegen usw.? Was denn die Momente der Ermüdung, Erregung, Zerstreutheit, die Aufmerksamkeitsstörung angesichts der psychischen Natur der Fehlleistungen noch zu bedeuten haben? Ferner, man sieht ja wohl, daß von den beiden konkurrierenden Tendenzen der Fehlleistungen die eine immer offenkundig ist, die andere aber nicht immer. Was man dann tut, um diese letztere zu erraten, und wenn man glaubt, sie erraten zu haben, wie man den Nachweis führt, daß sie nicht bloß wahrscheinlich, sondern die einzig richtige ist? Haben Sie noch etwas zu fragen? Wenn nicht, so setze ich selbst fort. Ich erinnere Sie daran, daß uns eigentlich an den Fehlleistungen selbst nicht viel gelegen ist, daß wir aus ihrem Studium nur etwas für die Psychoanalyse Verwertbares lernen wollten. Darum stelle ich die Frage auf: was sind das für Absichten oder Tendenzen, die andere in solcher Weise stören können, und welche Beziehungen bestehen zwischen den störenden Tendenzen und den gestörten? So fängt unsere Arbeit erst nach der Lösung des Problems von neuem an.</w:t>
      </w:r>
    </w:p>
    <w:p w:rsidR="00062BE4" w:rsidRPr="002F7766" w:rsidRDefault="00062BE4" w:rsidP="00062BE4">
      <w:pPr>
        <w:rPr>
          <w:rFonts w:ascii="Garamond" w:hAnsi="Garamond" w:cs="Arial"/>
          <w:lang w:val="en-GB"/>
        </w:rPr>
      </w:pPr>
      <w:r w:rsidRPr="002F7766">
        <w:rPr>
          <w:rFonts w:ascii="Garamond" w:hAnsi="Garamond" w:cs="Arial"/>
          <w:lang w:val="en-GB"/>
        </w:rPr>
        <w:t>Also, ob dies die Aufklärung aller Fälle von Versprechen ist? Ich bin sehr geneigt, dies zu glauben, und zwar darum, weil sich jedesmal, so oft man einen Fall von Versprechen untersucht, eine derartige Auflösung finden läßt. Aber es läßt sich auch nicht beweisen, daß ein Versprechen ohne solchen Mechanismus nicht vorfallen kann. Es mag so sein; für uns ist es theoretisch gleichgültig, denn die Schlüsse, welche wir für die Einführung in die Psychoanalyse ziehen wollen, bleiben bestehen, wenn auch nur, was gewiß nicht der Fall ist, eine Minderzahl von Fällen des Versprechens unserer Auffassung unterliegen sollte. Die nächste Frage, ob wir auf die anderen Arten der Fehlleistungen das ausdehnen dürfen, was sich uns für das Versprechen ergeben hat, will ich vorgreifend mit ja beantworten. Sie werden sich selbst davon überzeugen, wenn wir uns dazu wenden, Beispiele des Verschreibens, Vergreifens usw. in Untersuchung zu ziehen. Ich schlage Ihnen aber aus technischen Gründen vor, diese Arbeit aufzuschieben, bis wir das Versprechen selbst noch gründlicher behandelt haben.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Frage, was die von den Autoren in den Vordergrund gerückten Momente der Zirkulationsstörung, Ermüdung, Erregung, Zerstreutheit, die Theorie der Aufmerksamkeitsstörung uns noch bedeuten können, wenn wir den beschriebenen psychischen Mechanismus des Versprechens annehmen, verdient eine eingehendere Beantwortung. Bemerken Sie wohl, wir bestreiten diese Momente nicht. Es kommt überhaupt nicht so häufig vor, daß die Psychoanalyse etwas bestreitet, was von anderer Seite behauptet wird; sie fügt in der Regel nur etwas Neues hinzu, und gelegentlich trifft es sich freilich, daß dies bisher Übersehene und nun neu Dazugekommene gerade das Wesentliche ist. Der Einfluß der physiologischen Dispositionen, die durch leichtes Unwohlsein, Zirkulationsstörungen, Erschöpfungszustände gegeben werden, ist für das Zustandekommen des Versprechens ohne weiteres anzuerkennen; tägliche und persönliche Erfahrung kann Sie davon überzeugen. Aber wie wenig ist damit erklärt! Vor allem sind es nicht notwendige Bedingungen der Fehlleistung. Das Versprechen ist ebensowohl bei voller Gesundheit und normalem Befinden möglich. Diese körperlichen Momente haben also nur den Wert von Erleichterungen und Begünstigungen für den eigentümlichen seelischen Mechanismus des Versprechens. Ich habe für diese Beziehung einmal ein Gleichnis gebraucht, das ich nun wiederholen werde, weil ich es durch kein besseres zu ersetzen weiß. Nehmen Sie an, ich ginge in dunkler Nachtstunde an einem einsamen Orte, würde dort von einem Strolch überfallen, der mir Uhr und Börse wegnimmt, und trüge dann, weil ich das Gesicht des Räubers nicht deutlich gesehen habe, meine Klage auf der nächsten Polizeistation mit den Worten vor: Einsamkeit und Dunkelheit haben mich soeben meiner Kostbarkeiten </w:t>
      </w:r>
      <w:r w:rsidRPr="002F7766">
        <w:rPr>
          <w:rFonts w:ascii="Garamond" w:hAnsi="Garamond" w:cs="Arial"/>
          <w:lang w:val="en-GB"/>
        </w:rPr>
        <w:lastRenderedPageBreak/>
        <w:t>beraubt. Der Polizeikommissär kann mir darauf sagen: Sie scheinen da mit Unrecht einer extrem mechanistischen Auffassung zu huldigen. Stellen wir den Sachverhalt lieber so dar: Unter dem Schutz der Dunkelheit, von der Einsamkeit begünstigt, hat Ihnen ein unbekannter Räuber Ihre Wertsachen entrissen. Die wesentliche Aufgabe an Ihrem Falle scheint mir zu sein, daß wir den Räuber ausfindig machen. Vielleicht können wir ihm dann den Raub wieder abnehmen.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psycho-physiologischen Momente wie Aufregung, Zerstreutheit, Aufmerksamkeitsstörung leisten uns offenbar sehr wenig für die Zwecke der Erklärung. Es sind nur Redensarten, spanische Wände, hinter welche zu gucken wir uns nicht abhalten lassen sollen. Es fragt sich vielmehr, was hier die Erregung, die besondere Ablenkung der Aufmerksamkeit hervorgerufen hat. Die Lauteinflüsse, Wortähnlichkeiten und die von den Worten auslaufenden gebräuchlichen Assoziationen sind wiederum als bedeutsam anzuerkennen. Sie erleichtern das Versprechen, indem sie ihm die Wege weisen, die es wandeln kann. Aber wenn ich einen Weg vor mir habe, ist damit auch wie selbstverständlich entschieden, daß ich ihn gehen werde? Es bedarf noch eines Motivs, damit ich </w:t>
      </w:r>
      <w:smartTag w:uri="urn:schemas-microsoft-com:office:smarttags" w:element="State">
        <w:r w:rsidRPr="002F7766">
          <w:rPr>
            <w:rFonts w:ascii="Garamond" w:hAnsi="Garamond" w:cs="Arial"/>
            <w:lang w:val="en-GB"/>
          </w:rPr>
          <w:t>mich</w:t>
        </w:r>
      </w:smartTag>
      <w:r w:rsidRPr="002F7766">
        <w:rPr>
          <w:rFonts w:ascii="Garamond" w:hAnsi="Garamond" w:cs="Arial"/>
          <w:lang w:val="en-GB"/>
        </w:rPr>
        <w:t xml:space="preserve"> zu ihm entschließe, und überdies einer Kraft, die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auf diesem Wege vorwärts bringt. Diese Laut- und Wortbeziehungen sind also auch nur wie die körperlichen Dispositionen Begünstigungen des Versprechens und können seine eigentliche Aufklärung nicht geben. Denken Sie doch daran, in einer ungeheuern Überzahl von Fällen wird meine Rede nicht durch den Umstand gestört, daß die von mir gebrauchten Worte durch Klangähnlichkeit an andere erinnern, daß sie mit ihren Gegenteilen innig verknüpft sind oder daß gebräuchliche Assoziationen von ihnen ausgehen. Man könnte noch mit dem Philosophen Wundt die Auskunft finden, daß das Versprechen zustande kommt, wenn infolge von körperlicher Erschöpfung die Assoziationsneigungen die Oberhand über die sonstige Redeintention gewinnen. Das ließe sich sehr gut hören, wenn dem nicht die Erfahrung widerspräche, nach deren Zeugnis in einer Reihe von Fällen die körperlichen, in einer anderen die Assoziationsbegünstigungen des Versprechens vermißt werden.</w:t>
      </w:r>
    </w:p>
    <w:p w:rsidR="00062BE4" w:rsidRPr="002F7766" w:rsidRDefault="00062BE4" w:rsidP="00062BE4">
      <w:pPr>
        <w:rPr>
          <w:rFonts w:ascii="Garamond" w:hAnsi="Garamond" w:cs="Arial"/>
          <w:lang w:val="en-GB"/>
        </w:rPr>
      </w:pPr>
      <w:r w:rsidRPr="002F7766">
        <w:rPr>
          <w:rFonts w:ascii="Garamond" w:hAnsi="Garamond" w:cs="Arial"/>
          <w:lang w:val="en-GB"/>
        </w:rPr>
        <w:t>Besonders interessant ist mir aber Ihre nächste Frage, auf welche Weise man die beiden miteinander in Interferenz tretenden Tendenzen feststellt. Sie ahnen wahrscheinlich nicht, wie folgenschwer sie ist. Nicht wahr, die eine der beiden, die gestörte Tendenz, ist immer unzweifelhaft: die Person, welche die Fehlleistung begeht, kennt sie und bekennt sich zu ihr. Anlaß zu Zweifeln und Bedenken kann nur die andere, die störende, geben. Nun, wir haben schon gehört und Sie haben es gewiß nicht vergessen, daß in einer Reihe von Fällen diese andere Tendenz ebenso deutlich ist. Sie wird durch den Effekt des Versprechens angezeigt, wenn wir nur den Mut haben, diesen Effekt für sich gelten zu lassen. Der Präsident, der sich zum Gegenteil verspricht – es ist klar, er will die Sitzung eröffnen, aber ebenso klar, er möchte sie auch schließen. Das ist so deutlich, daß zum Deuten nichts übrig bleibt. Aber die anderen Fälle, in denen die störende Tendenz die ursprüngliche nur entstellt, ohne sich selbst ganz zum Ausdruck zu bringen, wie errät man bei ihnen die störende Tendenz aus der Entstellung?</w:t>
      </w:r>
    </w:p>
    <w:p w:rsidR="00062BE4" w:rsidRPr="002F7766" w:rsidRDefault="00062BE4" w:rsidP="00062BE4">
      <w:pPr>
        <w:rPr>
          <w:rFonts w:ascii="Garamond" w:hAnsi="Garamond" w:cs="Arial"/>
          <w:lang w:val="en-GB"/>
        </w:rPr>
      </w:pPr>
      <w:r w:rsidRPr="002F7766">
        <w:rPr>
          <w:rFonts w:ascii="Garamond" w:hAnsi="Garamond" w:cs="Arial"/>
          <w:lang w:val="en-GB"/>
        </w:rPr>
        <w:t xml:space="preserve">In einer ersten Reihe von Fällen auf sehr einfache und sichere Weise, auf dieselbe Weise nämlich, wie man die gestörte Tendenz feststellt. Diese läßt man sich ja vom Redner unmittelbar mitteilen; nach dem Versprechen stellt er den ursprünglich beabsichtigten Wortlaut sofort wieder her. »Das </w:t>
      </w:r>
      <w:r w:rsidRPr="002F7766">
        <w:rPr>
          <w:rFonts w:ascii="Garamond" w:hAnsi="Garamond" w:cs="Arial"/>
          <w:i/>
          <w:iCs/>
          <w:lang w:val="en-GB"/>
        </w:rPr>
        <w:t>draut</w:t>
      </w:r>
      <w:r w:rsidRPr="002F7766">
        <w:rPr>
          <w:rFonts w:ascii="Garamond" w:hAnsi="Garamond" w:cs="Arial"/>
          <w:lang w:val="en-GB"/>
        </w:rPr>
        <w:t xml:space="preserve">, nein, das dauert vielleicht noch einen Monat.« </w:t>
      </w:r>
      <w:r w:rsidRPr="002F7766">
        <w:rPr>
          <w:rFonts w:ascii="Garamond" w:hAnsi="Garamond" w:cs="Arial"/>
        </w:rPr>
        <w:t xml:space="preserve">Nun, die entstellende Tendenz läßt man gleichfalls von ihm aussprechen. Man fragt ihn: Ja, warum haben Sie denn zuerst »draut« gesagt? Er antwortet: Ich wollte sagen: Das ist eine </w:t>
      </w:r>
      <w:r w:rsidRPr="002F7766">
        <w:rPr>
          <w:rFonts w:ascii="Garamond" w:hAnsi="Garamond" w:cs="Arial"/>
          <w:i/>
          <w:iCs/>
        </w:rPr>
        <w:t>traurige</w:t>
      </w:r>
      <w:r w:rsidRPr="002F7766">
        <w:rPr>
          <w:rFonts w:ascii="Garamond" w:hAnsi="Garamond" w:cs="Arial"/>
        </w:rPr>
        <w:t xml:space="preserve"> Geschichte, und im anderen Falle, beim Versprechen »Vorschwein«, bestätigt er Ihnen ebenso, daß er zuerst sagen wollte: Das ist eine </w:t>
      </w:r>
      <w:r w:rsidRPr="002F7766">
        <w:rPr>
          <w:rFonts w:ascii="Garamond" w:hAnsi="Garamond" w:cs="Arial"/>
          <w:i/>
          <w:iCs/>
        </w:rPr>
        <w:t>Schweinerei,</w:t>
      </w:r>
      <w:r w:rsidRPr="002F7766">
        <w:rPr>
          <w:rFonts w:ascii="Garamond" w:hAnsi="Garamond" w:cs="Arial"/>
        </w:rPr>
        <w:t xml:space="preserve"> sich aber dann mäßigte und in eine andere Aussage einlenkte. </w:t>
      </w:r>
      <w:r w:rsidRPr="002F7766">
        <w:rPr>
          <w:rFonts w:ascii="Garamond" w:hAnsi="Garamond" w:cs="Arial"/>
          <w:lang w:val="en-GB"/>
        </w:rPr>
        <w:t xml:space="preserve">Die Feststellung der entstellenden Tendenz ist hier also ebenso sicher gelungen wie die der entstellten. Ich habe auch nicht ohne Absicht hier Beispiele herangezogen, deren Mitteilung und Auflösung weder von mir noch von einem meiner Anhänger herrühren. Doch war in diesen beiden Fällen ein gewisser Eingriff notwendig, um die Lösung zu fördern. Man mußte den Redner fragen, warum er sich so versprochen habe, was er zu dem Versprechen zu sagen wisse. Sonst wäre er vielleicht an seinem Versprechen vorbeigegangen, ohne es aufklären zu wollen. Befragt, gab er aber die Erklärung mit </w:t>
      </w:r>
      <w:r w:rsidRPr="002F7766">
        <w:rPr>
          <w:rFonts w:ascii="Garamond" w:hAnsi="Garamond" w:cs="Arial"/>
          <w:lang w:val="en-GB"/>
        </w:rPr>
        <w:lastRenderedPageBreak/>
        <w:t>dem ersten Einfall, der ihm kam. Und nun sehen Sie, dieser kleine Eingriff und sein Erfolg, das ist bereits eine Psychoanalyse und das Vorbild jeder psychoanalytischen Untersuchung, die wir im weiteren anstellen werden.</w:t>
      </w:r>
    </w:p>
    <w:p w:rsidR="00062BE4" w:rsidRPr="002F7766" w:rsidRDefault="00062BE4" w:rsidP="00062BE4">
      <w:pPr>
        <w:rPr>
          <w:rFonts w:ascii="Garamond" w:hAnsi="Garamond" w:cs="Arial"/>
          <w:lang w:val="en-GB"/>
        </w:rPr>
      </w:pPr>
      <w:r w:rsidRPr="002F7766">
        <w:rPr>
          <w:rFonts w:ascii="Garamond" w:hAnsi="Garamond" w:cs="Arial"/>
          <w:lang w:val="en-GB"/>
        </w:rPr>
        <w:t>Bin ich nun zu mißtrauisch, wenn ich vermute, daß in demselben Moment, da die Psychoanalyse vor Ihnen auftaucht, auch der Widerstand gegen sie bei Ihnen sein Haupt erhebt? Haben Sie nicht Lust, mir einzuwenden, daß die Auskunft der befragten Person, die das Versprechen geleistet, nicht völlig beweiskräftig sei? Er habe natürlich das Bestreben, meinen Sie, der Aufforderung zu folgen, das Versprechen zu erklären, und da sage er eben das erste beste, was ihm einfalle, wenn es ihm zu einer solchen Erklärung tauglich erscheine. Ein Beweis, daß das Versprechen wirklich so zugegangen, sei damit nicht gegeben. Ja es könne so sein, aber ebensowohl auch anders. Es hätte ihm auch etwas anderes einfallen können, was ebenso gut und vielleicht besser gepaßt hätte.</w:t>
      </w:r>
    </w:p>
    <w:p w:rsidR="00062BE4" w:rsidRPr="002F7766" w:rsidRDefault="00062BE4" w:rsidP="00062BE4">
      <w:pPr>
        <w:rPr>
          <w:rFonts w:ascii="Garamond" w:hAnsi="Garamond" w:cs="Arial"/>
          <w:lang w:val="en-GB"/>
        </w:rPr>
      </w:pPr>
      <w:r w:rsidRPr="002F7766">
        <w:rPr>
          <w:rFonts w:ascii="Garamond" w:hAnsi="Garamond" w:cs="Arial"/>
          <w:lang w:val="en-GB"/>
        </w:rPr>
        <w:t xml:space="preserve">Es ist merkwürdig, wie wenig Respekt Sie im Grunde vor einer psychischen Tatsache haben! Denken Sie sich, jemand habe die chemische Analyse einer gewissen Substanz vorgenommen und von einem Bestandteil derselben ein gewisses Gewicht, so und soviel Milligramm, gewonnen. Aus dieser Gewichtsmenge lassen sich bestimmte Schlüsse ziehen. Glauben Sie nun, daß es je einem Chemiker einfallen wird, diese Schlüsse mit der Motivierung zu bemängeln: die isolierte Substanz hätte auch ein anderes Gewicht haben können? Jeder beugt sich vor der Tatsache, daß es eben dies Gewicht und kein anderes war, und baut auf ihr zuversichtlich seine weiteren Schlüsse auf. Nur wenn die psychische Tatsache vorliegt, daß dem Befragten ein bestimmter Einfall gekommen ist, dann lassen Sie das nicht gelten und sagen, es hätte ihm auch etwas anderes einfallen können! Sie haben eben die Illusion einer psychischen Freiheit in sich und mögen auf sie nicht verzichten. Es tut mir leid, daß ich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hierin in schärfstem Widerspruch zu Ihnen befinde.</w:t>
      </w:r>
    </w:p>
    <w:p w:rsidR="00062BE4" w:rsidRPr="002F7766" w:rsidRDefault="00062BE4" w:rsidP="00062BE4">
      <w:pPr>
        <w:rPr>
          <w:rFonts w:ascii="Garamond" w:hAnsi="Garamond" w:cs="Arial"/>
          <w:lang w:val="en-GB"/>
        </w:rPr>
      </w:pPr>
      <w:r w:rsidRPr="002F7766">
        <w:rPr>
          <w:rFonts w:ascii="Garamond" w:hAnsi="Garamond" w:cs="Arial"/>
          <w:lang w:val="en-GB"/>
        </w:rPr>
        <w:t xml:space="preserve">Nun werden Sie hier abbrechen, aber nur um den Widerstand an einer anderen Stelle wiederaufzunehmen. Sie fahren fort: Wir verstehen, daß es die besondere Technik der Psychoanalyse ist, sich die Lösung ihrer Probleme von den Analysierten selbst sagen zu lassen. Nun nehmen wir ein anderes Beispiel her, jenes, in dem der Festredner die Versammlung auffordert, auf das Wohl des Chefs </w:t>
      </w:r>
      <w:r w:rsidRPr="002F7766">
        <w:rPr>
          <w:rFonts w:ascii="Garamond" w:hAnsi="Garamond" w:cs="Arial"/>
          <w:i/>
          <w:iCs/>
          <w:lang w:val="en-GB"/>
        </w:rPr>
        <w:t>auf</w:t>
      </w:r>
      <w:r w:rsidRPr="002F7766">
        <w:rPr>
          <w:rFonts w:ascii="Garamond" w:hAnsi="Garamond" w:cs="Arial"/>
          <w:lang w:val="en-GB"/>
        </w:rPr>
        <w:t xml:space="preserve">zustoßen. Sie sagen, die störende Intention ist in diesem Falle die der Schmähung: sie ist es, die sich dem Ausdruck der Verehrung widersetzt. </w:t>
      </w:r>
      <w:r w:rsidRPr="002F7766">
        <w:rPr>
          <w:rFonts w:ascii="Garamond" w:hAnsi="Garamond" w:cs="Arial"/>
        </w:rPr>
        <w:t xml:space="preserve">Aber das ist bloße Deutung von Ihrer Seite, gestützt auf Beobachtungen </w:t>
      </w:r>
      <w:r w:rsidRPr="002F7766">
        <w:rPr>
          <w:rFonts w:ascii="Garamond" w:hAnsi="Garamond" w:cs="Arial"/>
          <w:i/>
          <w:iCs/>
        </w:rPr>
        <w:t>außerhalb</w:t>
      </w:r>
      <w:r w:rsidRPr="002F7766">
        <w:rPr>
          <w:rFonts w:ascii="Garamond" w:hAnsi="Garamond" w:cs="Arial"/>
        </w:rPr>
        <w:t xml:space="preserve"> des Versprechens. </w:t>
      </w:r>
      <w:r w:rsidRPr="002F7766">
        <w:rPr>
          <w:rFonts w:ascii="Garamond" w:hAnsi="Garamond" w:cs="Arial"/>
          <w:lang w:val="en-GB"/>
        </w:rPr>
        <w:t>Wenn Sie in diesem Falle den Urheber des Versprechens befragen, wird er Ihnen nicht bestätigen, daß er eine Schmähung beabsichtigte; er wird es vielmehr energisch in Abrede stellen. Warum geben Sie Ihre unbeweisbare Deutung nicht gegen diesen klaren Einspruch auf?</w:t>
      </w:r>
    </w:p>
    <w:p w:rsidR="00062BE4" w:rsidRPr="002F7766" w:rsidRDefault="00062BE4" w:rsidP="00062BE4">
      <w:pPr>
        <w:rPr>
          <w:rFonts w:ascii="Garamond" w:hAnsi="Garamond" w:cs="Arial"/>
          <w:lang w:val="en-GB"/>
        </w:rPr>
      </w:pPr>
      <w:r w:rsidRPr="002F7766">
        <w:rPr>
          <w:rFonts w:ascii="Garamond" w:hAnsi="Garamond" w:cs="Arial"/>
          <w:lang w:val="en-GB"/>
        </w:rPr>
        <w:t xml:space="preserve">Ja, diesmal haben Sie etwas Starkes herausgefunden. Ich stelle mir den unbekannten Festredner vor; er ist wahrscheinlich ein Assistent des gefeierten Chefs, vielleicht schon Privatdozent, ein junger Mann mit den besten Lebenschancen. Ich will in ihn drängen, ob er nicht doch etwas verspürt hat, was sich der Aufforderung zur Verehrung des Chefs widersetzt haben mag. Da komme ich aber schön an. Er wird ungeduldig und fährt plötzlich auf mich los: »Sie, jetzt hören's einmal auf mit Ihrer Ausfragerei, sonst werd' ich ungemütlich. Sie verderben mir noch die ganze Karriere durch Ihre Verdächtigungen. Ich hab' einfach </w:t>
      </w:r>
      <w:r w:rsidRPr="002F7766">
        <w:rPr>
          <w:rFonts w:ascii="Garamond" w:hAnsi="Garamond" w:cs="Arial"/>
          <w:i/>
          <w:iCs/>
          <w:lang w:val="en-GB"/>
        </w:rPr>
        <w:t>auf</w:t>
      </w:r>
      <w:r w:rsidRPr="002F7766">
        <w:rPr>
          <w:rFonts w:ascii="Garamond" w:hAnsi="Garamond" w:cs="Arial"/>
          <w:lang w:val="en-GB"/>
        </w:rPr>
        <w:t xml:space="preserve">stoßen anstatt anstoßen gesagt, weil ich im selben Satz schon zweimal vorher </w:t>
      </w:r>
      <w:r w:rsidRPr="002F7766">
        <w:rPr>
          <w:rFonts w:ascii="Garamond" w:hAnsi="Garamond" w:cs="Arial"/>
          <w:i/>
          <w:iCs/>
          <w:lang w:val="en-GB"/>
        </w:rPr>
        <w:t>auf</w:t>
      </w:r>
      <w:r w:rsidRPr="002F7766">
        <w:rPr>
          <w:rFonts w:ascii="Garamond" w:hAnsi="Garamond" w:cs="Arial"/>
          <w:lang w:val="en-GB"/>
        </w:rPr>
        <w:t xml:space="preserve"> ausgesprochen habe. Das ist das, was der Meringer einen Nachklang heißt, und weiter ist daran nichts zu deuteln. Verstehen Sie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Basta.« Hm, das ist eine überraschende Reaktion, eine wirklich energische Ablehnung. Ich sehe, bei dem jungen Mann ist nichts auszurichten, denke mir aber auch, er verrät ein starkes persönliches Interesse daran, daß seine Fehlleistung keinen Sinn haben soll. Sie werden vielleicht auch finden, es ist nicht recht, daß er gleich so grob wird bei einer rein theoretischen Untersuchung, aber schließlich, werden Sie meinen, muß er doch eigentlich wissen, was er sagen wollte und was nicht. So, muß er das? Das wäre vielleicht noch die Frage.</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Jetzt glauben Sie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aber in der Hand zu haben. Das ist also Ihre Technik, höre ich Sie sagen. Wenn der Betreffende, der ein Versprechen von sich gegeben hat, etwas dazu sagt, was Ihnen paßt, dann erklären Sie ihn für die letzte entscheidende Autorität darüber. »Er sagt es ja selbst!« Wenn Ihnen aber das, was er sagt, nicht in Ihren Kram paßt, dann behaupten Sie auf einmal, der gilt nichts, dem braucht man nicht zu glauben.</w:t>
      </w:r>
    </w:p>
    <w:p w:rsidR="00062BE4" w:rsidRPr="002F7766" w:rsidRDefault="00062BE4" w:rsidP="00062BE4">
      <w:pPr>
        <w:rPr>
          <w:rFonts w:ascii="Garamond" w:hAnsi="Garamond" w:cs="Arial"/>
          <w:lang w:val="en-GB"/>
        </w:rPr>
      </w:pPr>
      <w:r w:rsidRPr="002F7766">
        <w:rPr>
          <w:rFonts w:ascii="Garamond" w:hAnsi="Garamond" w:cs="Arial"/>
          <w:lang w:val="en-GB"/>
        </w:rPr>
        <w:t>Das stimmt allerdings. Ich kann Ihnen aber einen ähnlichen Fall vorstellen, in dem es ebenso ungeheuerlich zugeht. Wenn ein Angeklagter vor dem Richter sich zu seiner Tat bekennt, so glaubt der Richter dem Geständnis; wenn er aber leugnet, so glaubt ihm der Richter nicht. Wäre es anders, so gäbe es keine Rechtspflege, und trotz gelegentlicher Irrtümer müssen Sie dieses System doch wohl gelten lassen.</w:t>
      </w:r>
    </w:p>
    <w:p w:rsidR="00062BE4" w:rsidRPr="002F7766" w:rsidRDefault="00062BE4" w:rsidP="00062BE4">
      <w:pPr>
        <w:rPr>
          <w:rFonts w:ascii="Garamond" w:hAnsi="Garamond" w:cs="Arial"/>
          <w:lang w:val="en-GB"/>
        </w:rPr>
      </w:pPr>
      <w:r w:rsidRPr="002F7766">
        <w:rPr>
          <w:rFonts w:ascii="Garamond" w:hAnsi="Garamond" w:cs="Arial"/>
          <w:lang w:val="en-GB"/>
        </w:rPr>
        <w:t>Ja, sind Sie denn der Richter, und der, welcher ein Versprechen begangen hat, ein vor Ihnen Angeklagter? Ist denn ein Versprechen ein Vergehen?</w:t>
      </w:r>
    </w:p>
    <w:p w:rsidR="00062BE4" w:rsidRPr="002F7766" w:rsidRDefault="00062BE4" w:rsidP="00062BE4">
      <w:pPr>
        <w:rPr>
          <w:rFonts w:ascii="Garamond" w:hAnsi="Garamond" w:cs="Arial"/>
          <w:lang w:val="en-GB"/>
        </w:rPr>
      </w:pPr>
      <w:r w:rsidRPr="002F7766">
        <w:rPr>
          <w:rFonts w:ascii="Garamond" w:hAnsi="Garamond" w:cs="Arial"/>
          <w:lang w:val="en-GB"/>
        </w:rPr>
        <w:t>Vielleicht brauchen wir selbst diesen Vergleich nicht abzulehnen. Aber sehen Sie nur, zu welchen tiefgreifenden Differenzen wir bei einiger Vertiefung in die scheinbar so harmlosen Probleme der Fehlleistungen gekommen sind. Differenzen, die wir derzeit noch gar nicht auszugleichen verstehen. Ich biete Ihnen ein vorläufiges Kompromiß an auf Grund des Gleichnisses vom Richter und vom Angeklagten. Sie sollen mir zugeben, daß der Sinn einer Fehlleistung keinen Zweifel zuläßt, wenn der Analysierte ihn selbst zugibt. Ich will Ihnen dafür zugestehen, daß ein direkter Beweis des vermuteten Sinnes nicht zu erreichen ist, wenn der Analysierte die Auskunft verweigert, natürlich ebenso, wenn er nicht zur Hand ist, um uns Auskunft zu geben. Wir sind dann, wie im Falle der Rechtspflege, auf Indizien angewiesen, welche uns eine Entscheidung einmal mehr, ein andermal weniger wahrscheinlich machen können. Bei Gericht muß man aus praktischen Gründen auch auf Indizienbeweise hin schuldig sprechen. Für uns besteht eine solche Nötigung nicht; wir sind aber auch nicht gezwungen, auf die Verwertung solcher Indizien zu verzichten. Es wäre ein Irrtum zu glauben, daß eine Wissenschaft aus lauter streng bewiesenen Lehrsätzen besteht, und ein Unrecht, solches zu fordern. Diese Forderung erhebt nur ein autoritätssüchtiges Gemüt, welches das Bedürfnis hat, seinen religiösen Katechismus durch einen anderen, wenn auch wissenschaftlichen, zu ersetzen. Die Wissenschaft hat in ihrem Katechismus nur wenige apodiktische Sätze, sonst Behauptungen, die sie bis zu gewissen Stufengraden von Wahrscheinlichkeit gefördert hat. Es ist geradezu ein Zeichen von wissenschaftlicher Denkungsart, wenn man an diesen Annäherungen an die Gewißheit sein Genüge finden und die konstruktive Arbeit trotz der mangelnden letzten Bekräftigungen fortsetzen kann.</w:t>
      </w:r>
    </w:p>
    <w:p w:rsidR="00062BE4" w:rsidRPr="002F7766" w:rsidRDefault="00062BE4" w:rsidP="00062BE4">
      <w:pPr>
        <w:rPr>
          <w:rFonts w:ascii="Garamond" w:hAnsi="Garamond" w:cs="Arial"/>
          <w:lang w:val="en-GB"/>
        </w:rPr>
      </w:pPr>
      <w:r w:rsidRPr="002F7766">
        <w:rPr>
          <w:rFonts w:ascii="Garamond" w:hAnsi="Garamond" w:cs="Arial"/>
          <w:lang w:val="en-GB"/>
        </w:rPr>
        <w:t>Woher nehmen wir aber die Anhaltspunkte für unsere Deutungen, die Indizien für unseren Beweis im Falle, daß die Aussage des Analysierten den Sinn der Fehlleistung nicht selbst aufklärt? Von verschiedenen Seiten her. Zunächst aus der Analogie mit Phänomenen außerhalb der Fehlleistungen, z. B. wenn wir behaupten, daß das Namenentstellen als Versprechen denselben schmähenden Sinn hat wie das absichtliche Namenverdrehen. Sodann aber aus der psychischen Situation, in welcher sich die Fehlleistung ereignet, aus unserer Kenntnis des Charakters der Person, welche die Fehlhandlung begeht, und der Eindrücke, welche diese Person vor der Fehlleistung betroffen haben, auf die sie möglicherweise mit dieser Fehlleistung reagiert. In der Regel geht es so vor sich, daß wir nach allgemeinen Grundsätzen die Deutung der Fehlleistung vollziehen, die also zunächst nur eine Vermutung, ein Vorschlag zur Deutung ist, und uns dann die Bestätigung aus der Untersuchung der psychischen Situation holen. Manchmal müssen wir auch kommende Ereignisse abwarten, welche sich durch die Fehlleistung gleichsam angekündigt haben, um unsere Vermutung bekräftigt zu finden.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kann Ihnen die Belege hiezu nicht leichter erbringen, wenn ich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auf das Gebiet des Versprechens einschränken soll, obwohl sich auch hier einzelne gute Beispiele ergeben. Der junge Mann, der eine Dame </w:t>
      </w:r>
      <w:r w:rsidRPr="002F7766">
        <w:rPr>
          <w:rFonts w:ascii="Garamond" w:hAnsi="Garamond" w:cs="Arial"/>
          <w:i/>
          <w:iCs/>
          <w:lang w:val="en-GB"/>
        </w:rPr>
        <w:t>begleitdigen</w:t>
      </w:r>
      <w:r w:rsidRPr="002F7766">
        <w:rPr>
          <w:rFonts w:ascii="Garamond" w:hAnsi="Garamond" w:cs="Arial"/>
          <w:lang w:val="en-GB"/>
        </w:rPr>
        <w:t xml:space="preserve"> möchte, ist gewiß ein Schüchterner; die Dame, deren Mann essen und trinken darf, was </w:t>
      </w:r>
      <w:r w:rsidRPr="002F7766">
        <w:rPr>
          <w:rFonts w:ascii="Garamond" w:hAnsi="Garamond" w:cs="Arial"/>
          <w:i/>
          <w:iCs/>
          <w:lang w:val="en-GB"/>
        </w:rPr>
        <w:t>sie</w:t>
      </w:r>
      <w:r w:rsidRPr="002F7766">
        <w:rPr>
          <w:rFonts w:ascii="Garamond" w:hAnsi="Garamond" w:cs="Arial"/>
          <w:lang w:val="en-GB"/>
        </w:rPr>
        <w:t xml:space="preserve"> will, </w:t>
      </w:r>
      <w:r w:rsidRPr="002F7766">
        <w:rPr>
          <w:rFonts w:ascii="Garamond" w:hAnsi="Garamond" w:cs="Arial"/>
          <w:lang w:val="en-GB"/>
        </w:rPr>
        <w:lastRenderedPageBreak/>
        <w:t xml:space="preserve">kenne ich als eine der energischen Frauen, die das Regiment im Hause zu führen verstehen.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nehmen Sie folgenden Fall: In einer Generalversammlung der »Concordia« hält ein junges Mitglied eine heftige Oppositionsrede, in deren Verlauf er die Vereinsleitung als die Herren » </w:t>
      </w:r>
      <w:r w:rsidRPr="002F7766">
        <w:rPr>
          <w:rFonts w:ascii="Garamond" w:hAnsi="Garamond" w:cs="Arial"/>
          <w:i/>
          <w:iCs/>
          <w:lang w:val="en-GB"/>
        </w:rPr>
        <w:t>Vorschuß</w:t>
      </w:r>
      <w:r w:rsidRPr="002F7766">
        <w:rPr>
          <w:rFonts w:ascii="Garamond" w:hAnsi="Garamond" w:cs="Arial"/>
          <w:lang w:val="en-GB"/>
        </w:rPr>
        <w:t xml:space="preserve">mitglieder« anredet, was aus Vorstand und </w:t>
      </w:r>
      <w:r w:rsidRPr="002F7766">
        <w:rPr>
          <w:rFonts w:ascii="Garamond" w:hAnsi="Garamond" w:cs="Arial"/>
          <w:i/>
          <w:iCs/>
          <w:lang w:val="en-GB"/>
        </w:rPr>
        <w:t>Ausschuß</w:t>
      </w:r>
      <w:r w:rsidRPr="002F7766">
        <w:rPr>
          <w:rFonts w:ascii="Garamond" w:hAnsi="Garamond" w:cs="Arial"/>
          <w:lang w:val="en-GB"/>
        </w:rPr>
        <w:t xml:space="preserve"> zusammengesetzt erscheint. Wir werden vermuten, daß sich bei ihm eine störende Tendenz gegen seine Opposition regte, die sich auf etwas, was mit einem Vorschuß zu tun hatte, stützen konnte. In der Tat erfahren wir von unserem Gewährsmann, daß der Redner in steten Geldnöten war und gerade damals ein Darlehensgesuch eingebracht hatte. Als störende Intention ist also wirklich der Gedanke einzusetzen: mäßige dich in deiner Opposition; es sind dieselben Leute, die dir den Vorschuß bewilligen sollen.</w:t>
      </w:r>
    </w:p>
    <w:p w:rsidR="00062BE4" w:rsidRPr="002F7766" w:rsidRDefault="00062BE4" w:rsidP="00062BE4">
      <w:pPr>
        <w:rPr>
          <w:rFonts w:ascii="Garamond" w:hAnsi="Garamond" w:cs="Arial"/>
          <w:lang w:val="en-GB"/>
        </w:rPr>
      </w:pPr>
      <w:r w:rsidRPr="002F7766">
        <w:rPr>
          <w:rFonts w:ascii="Garamond" w:hAnsi="Garamond" w:cs="Arial"/>
          <w:lang w:val="en-GB"/>
        </w:rPr>
        <w:t>Ich kann Ihnen aber eine reiche Auswahl solcher Indizienbeweise vorlegen, wenn ich auf das weite Gebiet der anderen Fehlleistungen übergreife.</w:t>
      </w:r>
    </w:p>
    <w:p w:rsidR="00062BE4" w:rsidRPr="002F7766" w:rsidRDefault="00062BE4" w:rsidP="00062BE4">
      <w:pPr>
        <w:rPr>
          <w:rFonts w:ascii="Garamond" w:hAnsi="Garamond" w:cs="Arial"/>
          <w:lang w:val="en-GB"/>
        </w:rPr>
      </w:pPr>
      <w:r w:rsidRPr="002F7766">
        <w:rPr>
          <w:rFonts w:ascii="Garamond" w:hAnsi="Garamond" w:cs="Arial"/>
          <w:lang w:val="en-GB"/>
        </w:rPr>
        <w:t>Wenn jemand einen ihm sonst vertrauten Eigennamen vergißt oder ihn trotz aller Mühe nur schwer behalten kann, so liegt uns die Annahme nahe, daß er etwas gegen den Träger dieses Namens hat, so daß er nicht gerne an ihn denken mag; nehmen Sie die nachstehenden Aufdeckungen der psychischen Situation, in welcher diese Fehlleistung eintrat, hinzu:</w:t>
      </w:r>
    </w:p>
    <w:p w:rsidR="00062BE4" w:rsidRPr="002F7766" w:rsidRDefault="00062BE4" w:rsidP="00062BE4">
      <w:pPr>
        <w:rPr>
          <w:rFonts w:ascii="Garamond" w:hAnsi="Garamond" w:cs="Arial"/>
          <w:lang w:val="en-GB"/>
        </w:rPr>
      </w:pPr>
      <w:r w:rsidRPr="002F7766">
        <w:rPr>
          <w:rFonts w:ascii="Garamond" w:hAnsi="Garamond" w:cs="Arial"/>
          <w:lang w:val="en-GB"/>
        </w:rPr>
        <w:t xml:space="preserve">»Ein Herr Y verliebte sich erfolglos in eine Dame, welche bald darauf einen Herrn X heiratete. Trotzdem nun Herr Y den Herrn X schon seit geraumer Zeit kennt und sogar in geschäftlichen Verbindungen mit ihm steht, vergißt er immer und immer wieder dessen Namen, so daß er sich mehrere Male bei anderen Leuten danach erkundigen mußte, als er mit Herrn X korrespondieren wollte.« </w:t>
      </w:r>
      <w:hyperlink r:id="rId1453"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Nach C. G. Jung.</w:t>
        </w:r>
      </w:hyperlink>
    </w:p>
    <w:p w:rsidR="00062BE4" w:rsidRPr="002F7766" w:rsidRDefault="00062BE4" w:rsidP="00062BE4">
      <w:pPr>
        <w:rPr>
          <w:rFonts w:ascii="Garamond" w:hAnsi="Garamond" w:cs="Arial"/>
          <w:lang w:val="en-GB"/>
        </w:rPr>
      </w:pPr>
      <w:r w:rsidRPr="002F7766">
        <w:rPr>
          <w:rFonts w:ascii="Garamond" w:hAnsi="Garamond" w:cs="Arial"/>
          <w:lang w:val="en-GB"/>
        </w:rPr>
        <w:t>Herr Y will offenbar nichts von seinem glücklichen Rivalen wissen. »Nicht gedacht soll seiner werden.«</w:t>
      </w:r>
    </w:p>
    <w:p w:rsidR="00062BE4" w:rsidRPr="002F7766" w:rsidRDefault="00062BE4" w:rsidP="00062BE4">
      <w:pPr>
        <w:rPr>
          <w:rFonts w:ascii="Garamond" w:hAnsi="Garamond" w:cs="Arial"/>
          <w:lang w:val="en-GB"/>
        </w:rPr>
      </w:pP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Eine Dame erkundigt sich bei dem Arzt nach einer gemeinsamen Bekannten, nennt sie aber bei ihrem Mädchennamen. Den in der Heirat angenommenen Namen hat sie vergessen. Sie gesteht dann zu, daß sie mit dieser Heirat sehr unzufrieden war und den Mann dieser Freundin nicht </w:t>
      </w:r>
      <w:smartTag w:uri="urn:schemas-microsoft-com:office:smarttags" w:element="City">
        <w:smartTag w:uri="urn:schemas-microsoft-com:office:smarttags" w:element="place">
          <w:r w:rsidRPr="002F7766">
            <w:rPr>
              <w:rFonts w:ascii="Garamond" w:hAnsi="Garamond" w:cs="Arial"/>
              <w:lang w:val="en-GB"/>
            </w:rPr>
            <w:t>leiden</w:t>
          </w:r>
        </w:smartTag>
      </w:smartTag>
      <w:r w:rsidRPr="002F7766">
        <w:rPr>
          <w:rFonts w:ascii="Garamond" w:hAnsi="Garamond" w:cs="Arial"/>
          <w:lang w:val="en-GB"/>
        </w:rPr>
        <w:t xml:space="preserve"> mochte </w:t>
      </w:r>
      <w:hyperlink r:id="rId1454"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Nach A. A. Brill.</w:t>
        </w:r>
      </w:hyperlink>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Wir werden vom Namenvergessen noch in anderen Hinsichten manches zu sagen haben; jetzt interessiert uns vorwiegend die psychische Situation, in welche das Vergessen fällt.</w:t>
      </w:r>
    </w:p>
    <w:p w:rsidR="00062BE4" w:rsidRPr="002F7766" w:rsidRDefault="00062BE4" w:rsidP="00062BE4">
      <w:pPr>
        <w:rPr>
          <w:rFonts w:ascii="Garamond" w:hAnsi="Garamond" w:cs="Arial"/>
          <w:lang w:val="en-GB"/>
        </w:rPr>
      </w:pPr>
      <w:r w:rsidRPr="002F7766">
        <w:rPr>
          <w:rFonts w:ascii="Garamond" w:hAnsi="Garamond" w:cs="Arial"/>
          <w:lang w:val="en-GB"/>
        </w:rPr>
        <w:t xml:space="preserve">Das Vergessen von Vorsätzen läßt sich ganz allgemein auf eine gegensätzliche Strömung zurückführen, welche den Vorsatz nicht ausführen will. So denken aber nicht nur wir in der Psychoanalyse, sondern es ist die allgemeine Auffassung der Menschen, der sie im Leben alle anhängen, die sie erst in der Theorie verleugnen. Der Gönner, der sich vor seinem Schützling entschuldigt, er habe dessen Bitte vergessen, ist vor ihm nicht gerechtfertigt. Der Schützling denkt sofort: Dem liegt nichts daran; er hat es zwar versprochen, aber er will es eigentlich nicht tun. In gewissen Beziehungen ist daher auch im Leben das Vergessen verpönt, die Differenz zwischen der populären und der psychoanalytischen Auffassung dieser Fehlleistungen scheint aufgehoben. Stellen Sie sich eine Hausfrau vor, die den Gast mit den Worten empfängt: Was, heute kommen Sie? Ich habe ja ganz vergessen, daß ich Sie für heute eingeladen hatte.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den jungen Mann, welcher der Geliebten gestehen sollte, daß er vergessen hatte, das letztbesprochene Rendezvous einzuhalten. Er wird es gewiß nicht gestehen, lieber aus dem Stegreife die unwahrscheinlichsten Hindernisse erfinden, die ihn damals abgehalten haben zu kommen und es ihm seither unmöglich gemacht haben, davon Nachricht zu geben. Daß in militärischen Dingen die Entschuldigung, etwas vergessen zu haben, nichts nützt und vor keiner Strafe schützt, wissen wir alle und müssen es berechtigt finden. Hier sind mit einem Male alle Menschen darin einig, daß eine bestimmte Fehlhandlung sinnreich ist und welchen Sinn sie hat. Warum sind sie nicht konsequent genug, diese </w:t>
      </w:r>
      <w:r w:rsidRPr="002F7766">
        <w:rPr>
          <w:rFonts w:ascii="Garamond" w:hAnsi="Garamond" w:cs="Arial"/>
          <w:lang w:val="en-GB"/>
        </w:rPr>
        <w:lastRenderedPageBreak/>
        <w:t>Einsicht auf die anderen Fehlleistungen auszudehnen und sich voll zu ihr zu bekennen? Es gibt natürlich auch hierauf eine Antwort.</w:t>
      </w:r>
    </w:p>
    <w:p w:rsidR="00062BE4" w:rsidRPr="002F7766" w:rsidRDefault="00062BE4" w:rsidP="00062BE4">
      <w:pPr>
        <w:rPr>
          <w:rFonts w:ascii="Garamond" w:hAnsi="Garamond" w:cs="Arial"/>
          <w:lang w:val="en-GB"/>
        </w:rPr>
      </w:pPr>
      <w:r w:rsidRPr="002F7766">
        <w:rPr>
          <w:rFonts w:ascii="Garamond" w:hAnsi="Garamond" w:cs="Arial"/>
          <w:lang w:val="en-GB"/>
        </w:rPr>
        <w:t xml:space="preserve">Wenn der Sinn dieses Vergessens von Vorsätzen auch den Laien so wenig zweifelhaft ist, so werden Sie um so weniger überrascht sein zu finden, daß Dichter diese Fehlleistung in demselben Sinne verwerten. Wer von Ihnen </w:t>
      </w:r>
      <w:r w:rsidRPr="002F7766">
        <w:rPr>
          <w:rFonts w:ascii="Garamond" w:hAnsi="Garamond" w:cs="Arial"/>
          <w:i/>
          <w:iCs/>
          <w:lang w:val="en-GB"/>
        </w:rPr>
        <w:t>Cäsar und Kleopatra</w:t>
      </w:r>
      <w:r w:rsidRPr="002F7766">
        <w:rPr>
          <w:rFonts w:ascii="Garamond" w:hAnsi="Garamond" w:cs="Arial"/>
          <w:lang w:val="en-GB"/>
        </w:rPr>
        <w:t xml:space="preserve"> von B. Shaw gesehen oder gelesen hat, wird sich erinnern, daß der scheidende Cäsar in der letzten Szene von der Idee verfolgt wird, er habe sich noch etwas vorgenommen, was er aber jetzt vergessen habe. Endlich stellt sich heraus, was das ist: von der Kleopatra Abschied zu nehmen. Diese kleine Veranstaltung des Dichters will dem großen Cäsar eine Überlegenheit zuschreiben, die er nicht besaß und nach der er gar nicht strebte. Sie können aus den geschichtlichen Quellen erfahren, daß Cäsar die Kleopatra nach Rom nachkommen ließ und daß sie dort mit ihrem kleinen Cäsarion weilte, als Cäsar ermordet wurde, worauf sie flüchtend die Stadt verließ.</w:t>
      </w:r>
    </w:p>
    <w:p w:rsidR="00062BE4" w:rsidRPr="002F7766" w:rsidRDefault="00062BE4" w:rsidP="00062BE4">
      <w:pPr>
        <w:rPr>
          <w:rFonts w:ascii="Garamond" w:hAnsi="Garamond" w:cs="Arial"/>
          <w:lang w:val="en-GB"/>
        </w:rPr>
      </w:pPr>
      <w:r w:rsidRPr="002F7766">
        <w:rPr>
          <w:rFonts w:ascii="Garamond" w:hAnsi="Garamond" w:cs="Arial"/>
          <w:lang w:val="en-GB"/>
        </w:rPr>
        <w:t xml:space="preserve">Die Fälle des Vergessens von Vorsätzen sind im allgemeinen so klar, daß sie für unsere Absicht, Indizien für den Sinn der Fehlleistung aus der psychischen Situation abzuleiten, wenig brauchbar sind. Wenden wir uns darum zu einer besonders vieldeutigen und undurchsichtigen Fehlhandlung, zum Verlieren und Verlegen. Daß beim Verlieren, einer oft so schmerzlich empfundenen Zufälligkeit, wir selbst mit einer Absicht beteiligt sein sollten, werden Sie gewiß nicht glaubwürdig finden. Aber es gibt reichlich Beobachtungen wie diese: Ein junger Mann verliert seinen Crayon, der ihm sehr lieb gewesen war. Tags zuvor hatte er einen Brief von seinem Schwager erhalten, der mit den Worten schloß: Ich habe vorläufig weder Lust noch Zeit, Deinen Leichtsinn und Deine Faulheit zu unterstützen </w:t>
      </w:r>
      <w:hyperlink r:id="rId1455"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Nach B. Dattner.</w:t>
        </w:r>
      </w:hyperlink>
      <w:r w:rsidRPr="002F7766">
        <w:rPr>
          <w:rFonts w:ascii="Garamond" w:hAnsi="Garamond" w:cs="Arial"/>
          <w:lang w:val="en-GB"/>
        </w:rPr>
        <w:t>. Der Bleistift war aber gerade ein Geschenk dieses Schwagers. Ohne dieses Zusammentreffen könnten wir natürlich nicht behaupten, daß an diesem Verlieren die Absicht beteiligt war, sich der Sache zu entledigen. Ähnliche Fälle sind sehr häufig. Man verliert Gegenstände, wenn man sich mit dem Geber derselben verfeindet hat und nicht mehr an ihn erinnert werden will, oder auch, wenn man sie selbst nicht mehr mag und sich einen Vorwand schaffen will, sie durch andere und bessere zu ersetzen. Derselben Absicht gegen einen Gegenstand dient natürlich auch das Fallenlassen, Zerbrechen, Zerschlagen. Kann man es für zufällig halten, wenn ein Schulkind gerade vor seinem Geburtstag seine Gebrauchsgegenstände verliert, ruiniert, zerbricht, z. B. seine Schultasche und seine Taschenuhr?</w:t>
      </w:r>
    </w:p>
    <w:p w:rsidR="00062BE4" w:rsidRPr="002F7766" w:rsidRDefault="00062BE4" w:rsidP="00062BE4">
      <w:pPr>
        <w:rPr>
          <w:rFonts w:ascii="Garamond" w:hAnsi="Garamond" w:cs="Arial"/>
          <w:lang w:val="en-GB"/>
        </w:rPr>
      </w:pPr>
      <w:r w:rsidRPr="002F7766">
        <w:rPr>
          <w:rFonts w:ascii="Garamond" w:hAnsi="Garamond" w:cs="Arial"/>
          <w:lang w:val="en-GB"/>
        </w:rPr>
        <w:t>Wer genug oft die Pein erlebt hat, etwas nicht auffinden zu können, was er selbst weggelegt hat, wird auch an die Absicht beim Verlegen nicht glauben wollen. Und doch sind die Beispiele gar nicht selten, in denen die Begleitumstände des Verlegens auf eine Tendenz hinweisen, den Gegenstand zeitweilig oder dauernd zu beseitigen. Vielleicht das schönste Beispiel dieser Art ist folgendes:</w:t>
      </w:r>
    </w:p>
    <w:p w:rsidR="00062BE4" w:rsidRPr="002F7766" w:rsidRDefault="00062BE4" w:rsidP="00062BE4">
      <w:pPr>
        <w:rPr>
          <w:rFonts w:ascii="Garamond" w:hAnsi="Garamond" w:cs="Arial"/>
          <w:lang w:val="en-GB"/>
        </w:rPr>
      </w:pPr>
      <w:r w:rsidRPr="002F7766">
        <w:rPr>
          <w:rFonts w:ascii="Garamond" w:hAnsi="Garamond" w:cs="Arial"/>
          <w:lang w:val="en-GB"/>
        </w:rPr>
        <w:t xml:space="preserve">Ein jüngerer Mann erzählt mir: »Es gab vor einigen Jahren Mißverständnisse in meiner Ehe, ich fand meine Frau zu kühl, und obwohl ich ihre vortrefflichen Eigenschaften gerne anerkannte, lebten wir ohne Zärtlichkeit nebeneinander. Eines Tages brachte sie mir von einem Spaziergange ein Buch mit, das sie gekauft hatte, weil es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interessieren dürfte. Ich dankte für dieses Zeichen von ›Aufmerksamkeit‹, versprach das Buch zu lesen, legte es mir zurecht und fand es nicht wieder. Monate vergingen so, in denen ich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gelegentlich an dies verschollene Buch erinnerte und es auch vergeblich aufzufinden versuchte. Etwa ein halbes Jahr später erkrankte meine, getrennt von uns wohnende, geliebte Mutter. Meine Frau verließ das Haus, um ihre Schwiegermutter zu pflegen. Der Zustand der Kranken wurde ernst und gab meiner Frau Gelegenheit, sich von ihren besten Seiten zu zeigen. Eines Abends komme ich begeistert von der Leistung meiner Frau und dankerfüllt gegen sie nach Hause. Ich trete zu meinem Schreibtisch, öffne ohne bestimmte Absicht, aber wie mit somnambuler Sicherheit eine bestimmte Lade desselben, und zu oberst in ihr finde ich das so lange vermißte, das verlegte Buch.«</w:t>
      </w:r>
    </w:p>
    <w:p w:rsidR="00062BE4" w:rsidRPr="002F7766" w:rsidRDefault="00062BE4" w:rsidP="00062BE4">
      <w:pPr>
        <w:rPr>
          <w:rFonts w:ascii="Garamond" w:hAnsi="Garamond" w:cs="Arial"/>
        </w:rPr>
      </w:pPr>
      <w:r w:rsidRPr="002F7766">
        <w:rPr>
          <w:rFonts w:ascii="Garamond" w:hAnsi="Garamond" w:cs="Arial"/>
        </w:rPr>
        <w:t>Mit dem Erlöschen des Motivs fand auch das Verlegtsein des Gegenstandes ein Ende.</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Meine Damen und Herren! Ich könnte diese Sammlung von Beispielen ins Ungemessene vermehren. Ich will es aber hier nicht tun. In meiner </w:t>
      </w:r>
      <w:r w:rsidRPr="002F7766">
        <w:rPr>
          <w:rFonts w:ascii="Garamond" w:hAnsi="Garamond" w:cs="Arial"/>
          <w:i/>
          <w:iCs/>
          <w:lang w:val="en-GB"/>
        </w:rPr>
        <w:t>Psychopathologie des Alltagslebens</w:t>
      </w:r>
      <w:r w:rsidRPr="002F7766">
        <w:rPr>
          <w:rFonts w:ascii="Garamond" w:hAnsi="Garamond" w:cs="Arial"/>
          <w:lang w:val="en-GB"/>
        </w:rPr>
        <w:t xml:space="preserve"> (1901 zuerst erschienen) finden Sie ohnedies eine überreiche Kasuistik zum Studium der Fehlleistungen </w:t>
      </w:r>
      <w:hyperlink r:id="rId1456"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Ebenso in den Sammlungen von Maeder (franz.), A. A. Brill (engl.), E. Jones (engl.), J. Stärcke (holländ.) u. a.</w:t>
        </w:r>
      </w:hyperlink>
      <w:r w:rsidRPr="002F7766">
        <w:rPr>
          <w:rFonts w:ascii="Garamond" w:hAnsi="Garamond" w:cs="Arial"/>
          <w:lang w:val="en-GB"/>
        </w:rPr>
        <w:t xml:space="preserve">. Alle diese Beispiele ergeben immer wieder das nämliche; sie machen Ihnen wahrscheinlich, daß Fehlleistungen einen Sinn haben, und zeigen Ihnen, wie man diesen Sinn aus den Begleitumständen errät oder bestätigt. Ich fasse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heute kürzer, weil wir uns ja auf die Absicht eingeschränkt haben, aus dem Studium dieser Phänomene Gewinn für eine Vorbereitung zur Psychoanalyse zu ziehen. Nur auf zwei Gruppen von Beobachtungen muß ich hier noch eingehen, auf die gehäuften und kombinierten Fehlleistungen und auf die Bestätigung unserer Deutungen durch später eintreffende Ereignisse.</w:t>
      </w:r>
    </w:p>
    <w:p w:rsidR="00062BE4" w:rsidRPr="002F7766" w:rsidRDefault="00062BE4" w:rsidP="00062BE4">
      <w:pPr>
        <w:rPr>
          <w:rFonts w:ascii="Garamond" w:hAnsi="Garamond" w:cs="Arial"/>
          <w:lang w:val="en-GB"/>
        </w:rPr>
      </w:pPr>
      <w:r w:rsidRPr="002F7766">
        <w:rPr>
          <w:rFonts w:ascii="Garamond" w:hAnsi="Garamond" w:cs="Arial"/>
          <w:lang w:val="en-GB"/>
        </w:rPr>
        <w:t xml:space="preserve">Die gehäuften und kombinierten Fehlleistungen sind gewiß die höchste Blüte ihrer Gattung. Käme es uns darauf an, zu beweisen, daß Fehlleistungen einen Sinn haben können, so hätten wir uns von vorneherein auf sie beschränkt, denn bei ihnen ist der Sinn selbst für eine stumpfe Einsicht unverkennbar und weiß sich dem kritischesten Urteil aufzudrängen. Die Häufung der Äußerungen verrät eine Hartnäckigkeit, wie sie dem Zufall fast niemals zukommt, aber dem Vorsatz gut ansteht. Endlich die Vertauschung der einzelnen Arten von Fehlleistung miteinander zeigt uns, was das Wichtige und Wesentliche der Fehlleistung ist: nicht die Form derselben oder die Mittel, deren sie sich bedient, sondern die Absicht, der sie selbst dient und die auf den verschiedensten Wegen erreicht werden soll. So will ich Ihnen einen Fall von wiederholtem Vergessen vorführen: E. Jones erzählt, daß er einmal aus ihm unbekannten Motiven einen Brief mehrere Tage lang auf seinem Schreibtisch hatte liegen lassen. Endlich entschloß er sich dazu, ihn aufzugeben, erhielt ihn aber vom » </w:t>
      </w:r>
      <w:r w:rsidRPr="002F7766">
        <w:rPr>
          <w:rFonts w:ascii="Garamond" w:hAnsi="Garamond" w:cs="Arial"/>
          <w:i/>
          <w:iCs/>
          <w:lang w:val="en-GB"/>
        </w:rPr>
        <w:t>Dead letter office</w:t>
      </w:r>
      <w:r w:rsidRPr="002F7766">
        <w:rPr>
          <w:rFonts w:ascii="Garamond" w:hAnsi="Garamond" w:cs="Arial"/>
          <w:lang w:val="en-GB"/>
        </w:rPr>
        <w:t>« zurück, denn er hatte vergessen, die Adresse zu schreiben. Nachdem er ihn adressiert hatte, brachte er ihn zur Post, aber diesmal ohne Briefmarke. Und nun mußte er sich die Abneigung, den Brief überhaupt abzusenden, endlich eingestehen.</w:t>
      </w:r>
    </w:p>
    <w:p w:rsidR="00062BE4" w:rsidRPr="002F7766" w:rsidRDefault="00062BE4" w:rsidP="00062BE4">
      <w:pPr>
        <w:rPr>
          <w:rFonts w:ascii="Garamond" w:hAnsi="Garamond" w:cs="Arial"/>
          <w:lang w:val="en-GB"/>
        </w:rPr>
      </w:pPr>
      <w:r w:rsidRPr="002F7766">
        <w:rPr>
          <w:rFonts w:ascii="Garamond" w:hAnsi="Garamond" w:cs="Arial"/>
          <w:lang w:val="en-GB"/>
        </w:rPr>
        <w:t xml:space="preserve">In einem anderen Falle kombiniert sich ein Vergreifen mit einem Verlegen. Eine Dame reist mit ihrem Schwager, einem berühmten Künstler, nach Rom. Der Besucher wird von den in Rom lebenden Deutschen sehr gefeiert und erhält unter anderem eine goldene Medaille antiker Herkunft zum Geschenk. Die Dame kränkt sich darüber, daß ihr Schwager das schöne Stück nicht genug zu schätzen weiß. Nachdem sie, von ihrer Schwester abgelöst, wieder zu Hause angelangt ist, entdeckt sie beim Auspacken, daß sie die Medaille – sie weiß nicht wie – mitgenommen hat. Sie teilt es sofort dem Schwager brieflich mit und kündigt ihm an, daß sie das Entführte am nächsten Tage nach Rom zurückschicken wird. Am nächsten Tage aber ist die Medaille so geschickt verlegt, daß sie unauffindbar und unabsendbar ist, und dann dämmert der Dame, was ihre »Zerstreutheit« bedeute, nämlich, daß sie das Stück für sich selbst behalten wolle </w:t>
      </w:r>
      <w:hyperlink r:id="rId1457"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Nach R. Reitler.</w:t>
        </w:r>
      </w:hyperlink>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Ich habe Ihnen schon früher ein Beispiel der Kombination eines Vergessens mit einem Irrtum berichtet, wie jemand ein erstesmal ein Rendezvous vergißt und das zweitemal mit dem Vorsatz, gewiß nicht zu vergessen, zu einer anderen als der verabredeten Stunde erscheint. Einen ganz analogen Fall hat mir aus seinem eigenen Erleben ein Freund erzählt, der außer wissenschaftlichen auch literarische Interessen verfolgt. Er sagt: »Ich habe vor einigen Jahren die Wahl in den Ausschuß einer bestimmten literarischen Vereinigung angenommen, weil ich vermutete, die Gesellschaft könnte mir einmal behilflich sein, eine Aufführung meines Dramas durchzusetzen, und nahm regelmäßig, wenn auch ohne viel Interesse, an den jeden Freitag stattfindenden Sitzungen teil. Vor einigen Monaten erhielt ich nun die Zusicherung einer Aufführung am Theater in F. und seither passierte es mir regelmäßig, daß ich die Sitzungen jenes Vereins </w:t>
      </w:r>
      <w:r w:rsidRPr="002F7766">
        <w:rPr>
          <w:rFonts w:ascii="Garamond" w:hAnsi="Garamond" w:cs="Arial"/>
          <w:i/>
          <w:iCs/>
          <w:lang w:val="en-GB"/>
        </w:rPr>
        <w:t>vergaß</w:t>
      </w:r>
      <w:r w:rsidRPr="002F7766">
        <w:rPr>
          <w:rFonts w:ascii="Garamond" w:hAnsi="Garamond" w:cs="Arial"/>
          <w:lang w:val="en-GB"/>
        </w:rPr>
        <w:t xml:space="preserve">. Als ich Ihre Schrift über diese Dinge las, schämte ich mich meines Vergessens, machte mir Vorwürfe, es sei doch eine Gemeinheit, daß ich jetzt ausbleibe, nachdem ich die Leute nicht mehr brauche, und beschloß, nächsten Freitag gewiß nicht zu vergessen. Ich erinnerte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an diesen Vorsatz immer wieder, bis ich ihn ausführte und vor der Tür des Sitzungssaales stand. Zu meinem Erstaunen war </w:t>
      </w:r>
      <w:r w:rsidRPr="002F7766">
        <w:rPr>
          <w:rFonts w:ascii="Garamond" w:hAnsi="Garamond" w:cs="Arial"/>
          <w:lang w:val="en-GB"/>
        </w:rPr>
        <w:lastRenderedPageBreak/>
        <w:t xml:space="preserve">sie geschlossen, die Sitzung war schon vorüber; ich hatte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nämlich im Tage geirrt: es war schon Samstag!«</w:t>
      </w:r>
    </w:p>
    <w:p w:rsidR="00062BE4" w:rsidRPr="002F7766" w:rsidRDefault="00062BE4" w:rsidP="00062BE4">
      <w:pPr>
        <w:rPr>
          <w:rFonts w:ascii="Garamond" w:hAnsi="Garamond" w:cs="Arial"/>
          <w:lang w:val="en-GB"/>
        </w:rPr>
      </w:pPr>
      <w:r w:rsidRPr="002F7766">
        <w:rPr>
          <w:rFonts w:ascii="Garamond" w:hAnsi="Garamond" w:cs="Arial"/>
          <w:lang w:val="en-GB"/>
        </w:rPr>
        <w:t>Es wäre reizvoll genug, ähnliche Beobachtungen zu sammeln, aber ich gehe weiter; ich will Sie einen Blick auf jene Fälle werfen lassen, in denen unsere Deutung auf Bestätigung durch die Zukunft warten muß.</w:t>
      </w:r>
    </w:p>
    <w:p w:rsidR="00062BE4" w:rsidRPr="002F7766" w:rsidRDefault="00062BE4" w:rsidP="00062BE4">
      <w:pPr>
        <w:rPr>
          <w:rFonts w:ascii="Garamond" w:hAnsi="Garamond" w:cs="Arial"/>
          <w:lang w:val="en-GB"/>
        </w:rPr>
      </w:pPr>
      <w:r w:rsidRPr="002F7766">
        <w:rPr>
          <w:rFonts w:ascii="Garamond" w:hAnsi="Garamond" w:cs="Arial"/>
          <w:lang w:val="en-GB"/>
        </w:rPr>
        <w:t xml:space="preserve">Die Hauptbedingung dieser Fälle ist begreiflicherweise, daß die gegenwärtige psychische Situation uns unbekannt oder unserer Erkundigung unzugänglich ist. Dann hat unsere Deutung nur den Wert einer Vermutung, der wir selbst nicht zuviel Gewicht beilegen wollen. Später ereignet sich aber etwas, was uns zeigt, wie berechtigt unsere Deutung schon damals war. Einst war ich als Gast bei einem jungverheirateten Paare und hörte die junge Frau lachend ihr letztes Erlebnis erzählen, wie sie am Tage nach der Rückkehr von der Reise wieder ihre ledige Schwester aufgesucht habe, um mit ihr, wie in früheren Zeiten, Einkäufe zu machen, während der Ehemann seinen Geschäften nachging. Plötzlich sei ihr ein Herr auf der anderen Seite der Straße aufgefallen und sie habe, ihre Schwester anstoßend, gerufen: Schau, dort geht ja der Herr L. Sie hatte vergessen, daß dieser Herr seit einigen Wochen ihr Ehegemahl war. </w:t>
      </w:r>
      <w:smartTag w:uri="urn:schemas-microsoft-com:office:smarttags" w:element="State">
        <w:r w:rsidRPr="002F7766">
          <w:rPr>
            <w:rFonts w:ascii="Garamond" w:hAnsi="Garamond" w:cs="Arial"/>
            <w:lang w:val="en-GB"/>
          </w:rPr>
          <w:t>Mich</w:t>
        </w:r>
      </w:smartTag>
      <w:r w:rsidRPr="002F7766">
        <w:rPr>
          <w:rFonts w:ascii="Garamond" w:hAnsi="Garamond" w:cs="Arial"/>
          <w:lang w:val="en-GB"/>
        </w:rPr>
        <w:t xml:space="preserve"> schauerte bei dieser Erzählung, aber ich getraute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der Folgerung nicht. Die kleine Geschichte fiel mir erst Jahre später wieder ein, nachdem diese Ehe den unglücklichsten Ausgang genommen hatte.</w:t>
      </w:r>
    </w:p>
    <w:p w:rsidR="00062BE4" w:rsidRPr="002F7766" w:rsidRDefault="00062BE4" w:rsidP="00062BE4">
      <w:pPr>
        <w:rPr>
          <w:rFonts w:ascii="Garamond" w:hAnsi="Garamond" w:cs="Arial"/>
          <w:lang w:val="en-GB"/>
        </w:rPr>
      </w:pPr>
      <w:r w:rsidRPr="002F7766">
        <w:rPr>
          <w:rFonts w:ascii="Garamond" w:hAnsi="Garamond" w:cs="Arial"/>
          <w:lang w:val="en-GB"/>
        </w:rPr>
        <w:t>A. Maeder erzählt von einer Dame, die am Tage vor ihrer Hochzeit ihr Hochzeitskleid zu probieren vergessen hatte und sich zur Verzweiflung der Schneiderin erst spät abends daran erinnerte. Er bringt es in Zusammenhang mit diesem Vergessen, daß sie bald nachher von ihrem Manne geschieden war. – Ich kenne eine jetzt von ihrem Manne geschiedene Dame, die bei der Verwaltung ihres Vermögens Dokumente häufig mit ihrem Mädchennamen unterzeichnet hat, viele Jahre vorher, ehe sie diesen wirklich annahm. – Ich weiß von anderen Frauen, die auf der Hochzeitsreise ihren Ehering verloren haben, und weiß auch, daß der Verlauf der Ehe diesem Zufall Sinn verliehen hat. Und nun noch ein grelles Beispiel mit besserem Ausgang. Man erzählt von einem berühmten deutschen Chemiker, daß seine Ehe darum nicht zustande kam, weil er die Stunde der Trauung vergessen hatte und anstatt in die Kirche ins Laboratorium gegangen war. Er war so klug, es bei dem einen Versuch bewenden zu lassen, und starb unverehelicht in hohem Alter.</w:t>
      </w:r>
    </w:p>
    <w:p w:rsidR="00062BE4" w:rsidRPr="002F7766" w:rsidRDefault="00062BE4" w:rsidP="00062BE4">
      <w:pPr>
        <w:rPr>
          <w:rFonts w:ascii="Garamond" w:hAnsi="Garamond" w:cs="Arial"/>
          <w:lang w:val="en-GB"/>
        </w:rPr>
      </w:pPr>
      <w:r w:rsidRPr="002F7766">
        <w:rPr>
          <w:rFonts w:ascii="Garamond" w:hAnsi="Garamond" w:cs="Arial"/>
          <w:lang w:val="en-GB"/>
        </w:rPr>
        <w:t>Vielleicht ist Ihnen auch der Einfall gekommen, daß in diesen Beispielen die Fehlhandlungen an die Stelle der Omina oder Vorzeichen der Alten getreten sind. Und wirklich, ein Teil der Omina waren nichts anderes als Fehlleistungen, z. B. wenn jemand stolperte oder niederfiel. Ein anderer Teil trug allerdings die Charaktere des objektiven Geschehens, nicht die des subjektiven Tuns. Aber Sie würden nicht glauben, wie schwer es manchmal wird, bei einem bestimmten Vorkommnis zu entscheiden, ob es zu der einen oder zu der anderen Gruppe gehört. Das Tun versteht es so häufig, sich als ein passives Erleben zu maskieren.</w:t>
      </w:r>
    </w:p>
    <w:p w:rsidR="00062BE4" w:rsidRPr="002F7766" w:rsidRDefault="00062BE4" w:rsidP="00062BE4">
      <w:pPr>
        <w:rPr>
          <w:rFonts w:ascii="Garamond" w:hAnsi="Garamond" w:cs="Arial"/>
          <w:lang w:val="en-GB"/>
        </w:rPr>
      </w:pPr>
      <w:r w:rsidRPr="002F7766">
        <w:rPr>
          <w:rFonts w:ascii="Garamond" w:hAnsi="Garamond" w:cs="Arial"/>
          <w:lang w:val="en-GB"/>
        </w:rPr>
        <w:t>Jeder von uns, der auf längere Lebenserfahrung zurückblicken kann, wird sich wahrscheinlich sagen, daß er sich viele Enttäuschungen und schmerzliche Überraschungen erspart hätte, wenn er den Mut und Entschluß gefunden, die kleinen Fehlhandlungen im Verkehr der Menschen als Vorzeichen zu deuten und als Anzeichen ihrer noch geheimgehaltenen Absichten zu verwerten. Man wagt es meist nicht; man käme sich so vor, als würde man auf dem Umwege über die Wissenschaft wieder abergläubisch werden. Es treffen ja auch nicht alle Vorzeichen ein, und Sie werden aus unseren Theorien verstehen, daß sie nicht alle einzutreffen brauchen.</w:t>
      </w:r>
    </w:p>
    <w:p w:rsidR="00062BE4" w:rsidRPr="002F7766"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2F7766">
          <w:rPr>
            <w:rStyle w:val="Lienhypertexte"/>
            <w:rFonts w:ascii="Garamond" w:hAnsi="Garamond" w:cs="Arial"/>
            <w:b/>
            <w:bCs/>
            <w:lang w:val="en-GB"/>
          </w:rPr>
          <w:t>4. Vo</w:t>
        </w:r>
        <w:bookmarkStart w:id="271" w:name="Vorlesungen_4"/>
        <w:bookmarkEnd w:id="271"/>
        <w:r w:rsidRPr="002F7766">
          <w:rPr>
            <w:rStyle w:val="Lienhypertexte"/>
            <w:rFonts w:ascii="Garamond" w:hAnsi="Garamond" w:cs="Arial"/>
            <w:b/>
            <w:bCs/>
            <w:lang w:val="en-GB"/>
          </w:rPr>
          <w:t>rlesung. Die Fehlleistungen (Schluß)</w:t>
        </w:r>
      </w:hyperlink>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Daß die Fehlleistungen einen Sinn haben, dürfen wir doch als das Ergebnis unserer bisherigen Bemühungen hinstellen und zur Grundlage unserer weiteren Untersuchungen nehmen. Nochmals sei betont, daß wir nicht behaupten – und für unsere Zwecke der Behauptung nicht bedürfen –, daß jede einzelne vorkommende Fehlleistung sinnreich sei, wiewohl ich das für wahrscheinlich halte. Es genügt uns, wenn wir einen solchen Sinn relativ häufig bei den verschiedenen Formen der Fehlleistung nachweisen. Diese verschiedenen Formen verhalten sich übrigens in dieser Hinsicht verschieden. Beim Versprechen, Verschreiben usw. mögen Fälle mit rein physiologischer Begründung vorkommen, bei den auf Vergessen beruhenden Arten (Namen und Vorsatzvergessen, Verlegen usw.) kann ich an solche nicht glauben, ein Verlieren gibt es sehr wahrscheinlich, das als unbeabsichtigt zu erkennen ist; die im Leben vorfallenden Irrtümer sind überhaupt nur zu einem gewissen Anteil unseren Gesichtspunkten unterworfen. Diese Einschränkungen wollen Sie im Auge behalten, wenn wir fortan davon ausgehen, daß Fehlleistungen psychische Akte sind und durch die Interferenz zweier Absichten entstehen.</w:t>
      </w:r>
    </w:p>
    <w:p w:rsidR="00062BE4" w:rsidRPr="002F7766" w:rsidRDefault="00062BE4" w:rsidP="00062BE4">
      <w:pPr>
        <w:rPr>
          <w:rFonts w:ascii="Garamond" w:hAnsi="Garamond" w:cs="Arial"/>
        </w:rPr>
      </w:pPr>
      <w:r w:rsidRPr="002F7766">
        <w:rPr>
          <w:rFonts w:ascii="Garamond" w:hAnsi="Garamond" w:cs="Arial"/>
        </w:rPr>
        <w:t>Es ist dies das erste Resultat der Psychoanalyse. Von dem Vorkommen solcher Interferenzen und der Möglichkeit, daß dieselben derartige Erscheinungen zur Folge haben, hat die Psychologie bisher nichts gewußt. Wir haben das Gebiet der psychischen Erscheinungswelt um ein ganz ansehnliches Stück erweitert und Phänomene für die Psychologie erobert, die ihr früher nicht zugerechnet wurden.</w:t>
      </w:r>
    </w:p>
    <w:p w:rsidR="00062BE4" w:rsidRPr="002F7766" w:rsidRDefault="00062BE4" w:rsidP="00062BE4">
      <w:pPr>
        <w:rPr>
          <w:rFonts w:ascii="Garamond" w:hAnsi="Garamond" w:cs="Arial"/>
          <w:lang w:val="en-GB"/>
        </w:rPr>
      </w:pPr>
      <w:r w:rsidRPr="002F7766">
        <w:rPr>
          <w:rFonts w:ascii="Garamond" w:hAnsi="Garamond" w:cs="Arial"/>
        </w:rPr>
        <w:t xml:space="preserve">Verweilen wir noch einen Moment bei der Behauptung, die Fehlleistungen seien »psychische Akte«. Enthält sie mehr als unsere sonstige Aussage, sie hätten einen Sinn? </w:t>
      </w:r>
      <w:r w:rsidRPr="002F7766">
        <w:rPr>
          <w:rFonts w:ascii="Garamond" w:hAnsi="Garamond" w:cs="Arial"/>
          <w:lang w:val="en-GB"/>
        </w:rPr>
        <w:t>Ich glaube nicht; sie ist vielmehr eher unbestimmter und mißverständlicher. Alles, was man am Seelenleben beobachten kann, wird man gelegentlich als seelisches Phänomen bezeichnen. Es wird bald darauf ankommen, ob die einzelne seelische Äußerung direkt aus körperlichen, organischen, materiellen Einwirkungen hervorgegangen ist, in welchem Falle ihre Untersuchung nicht der Psychologie zufällt, oder ob sie sich zunächst aus anderen seelischen Vorgängen ableitet, hinter denen dann irgendwo die Reihe der organischen Einwirkungen anfängt. Den letzteren Sachverhalt haben wir im Auge, wenn wir eine Erscheinung als einen seelischen Vorgang bezeichnen, und darum ist es zweckmäßiger, unsere Aussage in die Form zu kleiden: die Erscheinung sei sinnreich, habe einen Sinn. Unter Sinn verstehen wir Bedeutung, Absicht, Tendenz und Stellung in einer Reihe psychischer Zusammenhänge.</w:t>
      </w:r>
    </w:p>
    <w:p w:rsidR="00062BE4" w:rsidRPr="002F7766" w:rsidRDefault="00062BE4" w:rsidP="00062BE4">
      <w:pPr>
        <w:rPr>
          <w:rFonts w:ascii="Garamond" w:hAnsi="Garamond" w:cs="Arial"/>
          <w:lang w:val="en-GB"/>
        </w:rPr>
      </w:pPr>
      <w:r w:rsidRPr="002F7766">
        <w:rPr>
          <w:rFonts w:ascii="Garamond" w:hAnsi="Garamond" w:cs="Arial"/>
          <w:lang w:val="en-GB"/>
        </w:rPr>
        <w:t xml:space="preserve">Es gibt eine Anzahl anderer Erscheinungen, welche den Fehlleistungen sehr nahestehen, auf welche aber dieser Name nicht mehr paßt. Wir nennen sie </w:t>
      </w:r>
      <w:r w:rsidRPr="002F7766">
        <w:rPr>
          <w:rFonts w:ascii="Garamond" w:hAnsi="Garamond" w:cs="Arial"/>
          <w:i/>
          <w:iCs/>
          <w:lang w:val="en-GB"/>
        </w:rPr>
        <w:t>Zufalls-</w:t>
      </w:r>
      <w:r w:rsidRPr="002F7766">
        <w:rPr>
          <w:rFonts w:ascii="Garamond" w:hAnsi="Garamond" w:cs="Arial"/>
          <w:lang w:val="en-GB"/>
        </w:rPr>
        <w:t xml:space="preserve"> und </w:t>
      </w:r>
      <w:r w:rsidRPr="002F7766">
        <w:rPr>
          <w:rFonts w:ascii="Garamond" w:hAnsi="Garamond" w:cs="Arial"/>
          <w:i/>
          <w:iCs/>
          <w:lang w:val="en-GB"/>
        </w:rPr>
        <w:t>Symptomhandlungen</w:t>
      </w:r>
      <w:r w:rsidRPr="002F7766">
        <w:rPr>
          <w:rFonts w:ascii="Garamond" w:hAnsi="Garamond" w:cs="Arial"/>
          <w:lang w:val="en-GB"/>
        </w:rPr>
        <w:t>. Sie haben gleichfalls den Charakter des Unmotivierten, Unscheinbaren und Unwichtigen, überdies aber deutlicher den des Überflüssigen. Von den Fehlhandlungen unterscheidet sie der Wegfall einer anderen Intention, mit der sie zusammenstoßen und die durch sie gestört wird. Sie übergehen andererseits ohne Grenze in die Gesten und Bewegungen, welche wir zum Ausdruck der Gemütsbewegungen rechnen. Zu diesen Zufallshandlungen gehören alle wie spielend ausgeführten, anscheinend zwecklosen Verrichtungen an unserer Kleidung, Teilen unseres Körpers, an Gegenständen, die uns erreichbar sind, sowie die Unterlassungen derselben, ferner die Melodien, die wir vor uns hinsummen. Ich vertrete vor Ihnen die Behauptung, daß alle diese Phänomene sinnreich und deutbar sind in derselben Weise wie die Fehlhandlungen, kleine Anzeichen von anderen wichtigeren seelischen Vorgängen, vollgültige psychische Akte. Aber ich gedenke bei dieser neuen Erweiterung des Gebiets seelischer Erscheinungen nicht zu verweilen, sondern zu den Fehlleistungen zurückzukehren, an denen sich die für die Psychoanalyse wichtigen Fragestellungen mit weit größerer Deutlichkeit herausarbeiten lassen.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interessantesten Fragen, die wir bei den Fehlleistungen gestellt und noch nicht beantwortet haben, sind wohl die folgenden: Wir haben gesagt, daß die Fehlleistungen Ergebnisse der Interferenz von zwei </w:t>
      </w:r>
      <w:r w:rsidRPr="002F7766">
        <w:rPr>
          <w:rFonts w:ascii="Garamond" w:hAnsi="Garamond" w:cs="Arial"/>
          <w:lang w:val="en-GB"/>
        </w:rPr>
        <w:lastRenderedPageBreak/>
        <w:t>verschiedenen Intentionen sind, von denen die eine die gestörte, die andere die störende heißen kann. Die gestörten Intentionen geben zu weiteren Fragen keinen Anlaß, aber von den anderen wollen wir wissen, erstens, was sind das für Intentionen, die als Störung anderer auftreten, und zweitens, wie verhalten sich die störenden zu den gestörten?</w:t>
      </w:r>
    </w:p>
    <w:p w:rsidR="00062BE4" w:rsidRPr="002F7766" w:rsidRDefault="00062BE4" w:rsidP="00062BE4">
      <w:pPr>
        <w:rPr>
          <w:rFonts w:ascii="Garamond" w:hAnsi="Garamond" w:cs="Arial"/>
          <w:lang w:val="en-GB"/>
        </w:rPr>
      </w:pPr>
      <w:r w:rsidRPr="002F7766">
        <w:rPr>
          <w:rFonts w:ascii="Garamond" w:hAnsi="Garamond" w:cs="Arial"/>
          <w:lang w:val="en-GB"/>
        </w:rPr>
        <w:t>Gestatten Sie, daß ich wiederum das Versprechen zum Repräsentanten der ganzen Gattung nehme und daß ich die zweite Frage eher beantworte als die erste.</w:t>
      </w:r>
    </w:p>
    <w:p w:rsidR="00062BE4" w:rsidRPr="002F7766" w:rsidRDefault="00062BE4" w:rsidP="00062BE4">
      <w:pPr>
        <w:rPr>
          <w:rFonts w:ascii="Garamond" w:hAnsi="Garamond" w:cs="Arial"/>
          <w:lang w:val="en-GB"/>
        </w:rPr>
      </w:pPr>
      <w:r w:rsidRPr="002F7766">
        <w:rPr>
          <w:rFonts w:ascii="Garamond" w:hAnsi="Garamond" w:cs="Arial"/>
          <w:lang w:val="en-GB"/>
        </w:rPr>
        <w:t xml:space="preserve">Die störende Intention beim Versprechen kann in inhaltlicher Beziehung zur gestörten stehen, dann enthält sie einen Widerspruch gegen sie, eine Berichtigung oder Ergänzung zu ihr.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der dunklere und interessantere Fall, die störende Intention hat inhaltlich nichts mit der gestörten zu tun.</w:t>
      </w:r>
    </w:p>
    <w:p w:rsidR="00062BE4" w:rsidRPr="002F7766" w:rsidRDefault="00062BE4" w:rsidP="00062BE4">
      <w:pPr>
        <w:rPr>
          <w:rFonts w:ascii="Garamond" w:hAnsi="Garamond" w:cs="Arial"/>
          <w:lang w:val="en-GB"/>
        </w:rPr>
      </w:pPr>
      <w:r w:rsidRPr="002F7766">
        <w:rPr>
          <w:rFonts w:ascii="Garamond" w:hAnsi="Garamond" w:cs="Arial"/>
          <w:lang w:val="en-GB"/>
        </w:rPr>
        <w:t xml:space="preserve">Belege für die erstere der beiden Beziehungen können wir in den uns bereits bekannten und in ähnlichen Beispielen mühelos finden. Fast in allen Fällen von Versprechen zum Gegenteil drückt die störende Intention den Gegensatz zur gestörten aus, ist die Fehlleistung die Darstellung des Konflikts zwischen zwei unvereinbaren Strebungen. </w:t>
      </w:r>
      <w:r w:rsidRPr="002F7766">
        <w:rPr>
          <w:rFonts w:ascii="Garamond" w:hAnsi="Garamond" w:cs="Arial"/>
        </w:rPr>
        <w:t xml:space="preserve">Ich erkläre die Sitzung für eröffnet, möchte sie aber lieber schon geschlossen haben, ist der Sinn des Versprechens des Präsidenten. Eine politische Zeitung, die der Bestechlichkeit beschuldigt worden ist, verteidigt sich in einem Artikel, der in den Worten gipfeln soll: Unsere Leser werden uns das Zeugnis ausstellen, daß wir immer in </w:t>
      </w:r>
      <w:r w:rsidRPr="002F7766">
        <w:rPr>
          <w:rFonts w:ascii="Garamond" w:hAnsi="Garamond" w:cs="Arial"/>
          <w:i/>
          <w:iCs/>
        </w:rPr>
        <w:t>uneigennützigster</w:t>
      </w:r>
      <w:r w:rsidRPr="002F7766">
        <w:rPr>
          <w:rFonts w:ascii="Garamond" w:hAnsi="Garamond" w:cs="Arial"/>
        </w:rPr>
        <w:t xml:space="preserve"> Weise für das Wohl der Allgemeinheit eingetreten sind. </w:t>
      </w:r>
      <w:r w:rsidRPr="002F7766">
        <w:rPr>
          <w:rFonts w:ascii="Garamond" w:hAnsi="Garamond" w:cs="Arial"/>
          <w:lang w:val="en-GB"/>
        </w:rPr>
        <w:t xml:space="preserve">Der mit der Abfassung der Verteidigung betraute Redakteur schreibt aber: in </w:t>
      </w:r>
      <w:r w:rsidRPr="002F7766">
        <w:rPr>
          <w:rFonts w:ascii="Garamond" w:hAnsi="Garamond" w:cs="Arial"/>
          <w:i/>
          <w:iCs/>
          <w:lang w:val="en-GB"/>
        </w:rPr>
        <w:t>eigennützigster</w:t>
      </w:r>
      <w:r w:rsidRPr="002F7766">
        <w:rPr>
          <w:rFonts w:ascii="Garamond" w:hAnsi="Garamond" w:cs="Arial"/>
          <w:lang w:val="en-GB"/>
        </w:rPr>
        <w:t xml:space="preserve"> Weise. Das heißt, er denkt: So muß ich zwar schreiben, aber ich weiß es anders. Ein Volksvertreter, der dazu auffordert, dem Kaiser </w:t>
      </w:r>
      <w:r w:rsidRPr="002F7766">
        <w:rPr>
          <w:rFonts w:ascii="Garamond" w:hAnsi="Garamond" w:cs="Arial"/>
          <w:i/>
          <w:iCs/>
          <w:lang w:val="en-GB"/>
        </w:rPr>
        <w:t>rückhaltlos</w:t>
      </w:r>
      <w:r w:rsidRPr="002F7766">
        <w:rPr>
          <w:rFonts w:ascii="Garamond" w:hAnsi="Garamond" w:cs="Arial"/>
          <w:lang w:val="en-GB"/>
        </w:rPr>
        <w:t xml:space="preserve"> die Wahrheit zu sagen, muß eine Stimme in seinem Innern anhören, die ob seiner Kühnheit erschrickt und durch ein Versprechen das rückhaltlos in </w:t>
      </w:r>
      <w:r w:rsidRPr="002F7766">
        <w:rPr>
          <w:rFonts w:ascii="Garamond" w:hAnsi="Garamond" w:cs="Arial"/>
          <w:i/>
          <w:iCs/>
          <w:lang w:val="en-GB"/>
        </w:rPr>
        <w:t>rückgratlos</w:t>
      </w:r>
      <w:r w:rsidRPr="002F7766">
        <w:rPr>
          <w:rFonts w:ascii="Garamond" w:hAnsi="Garamond" w:cs="Arial"/>
          <w:lang w:val="en-GB"/>
        </w:rPr>
        <w:t xml:space="preserve"> verwandelt </w:t>
      </w:r>
      <w:hyperlink r:id="rId1458"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Im deutschen Reichstag, Nov. 1908.</w:t>
        </w:r>
      </w:hyperlink>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In den Ihnen bekannten Beispielen, die den Eindruck von Zusammenziehungen und Verkürzungen machen, handelt es sich um Berichtigungen, Zusätze oder Fortsetzungen, mit denen sich eine zweite Tendenz neben der ersten zur Geltung bringt. Es sind da Dinge zum </w:t>
      </w:r>
      <w:r w:rsidRPr="002F7766">
        <w:rPr>
          <w:rFonts w:ascii="Garamond" w:hAnsi="Garamond" w:cs="Arial"/>
          <w:i/>
          <w:iCs/>
          <w:lang w:val="en-GB"/>
        </w:rPr>
        <w:t>Vorschein</w:t>
      </w:r>
      <w:r w:rsidRPr="002F7766">
        <w:rPr>
          <w:rFonts w:ascii="Garamond" w:hAnsi="Garamond" w:cs="Arial"/>
          <w:lang w:val="en-GB"/>
        </w:rPr>
        <w:t xml:space="preserve"> gekommen, aber sag' es lieber gerad' heraus, es waren </w:t>
      </w:r>
      <w:r w:rsidRPr="002F7766">
        <w:rPr>
          <w:rFonts w:ascii="Garamond" w:hAnsi="Garamond" w:cs="Arial"/>
          <w:i/>
          <w:iCs/>
          <w:lang w:val="en-GB"/>
        </w:rPr>
        <w:t>Schweinereien</w:t>
      </w:r>
      <w:r w:rsidRPr="002F7766">
        <w:rPr>
          <w:rFonts w:ascii="Garamond" w:hAnsi="Garamond" w:cs="Arial"/>
          <w:lang w:val="en-GB"/>
        </w:rPr>
        <w:t xml:space="preserve">; also: es sind Dinge zum </w:t>
      </w:r>
      <w:r w:rsidRPr="002F7766">
        <w:rPr>
          <w:rFonts w:ascii="Garamond" w:hAnsi="Garamond" w:cs="Arial"/>
          <w:i/>
          <w:iCs/>
          <w:lang w:val="en-GB"/>
        </w:rPr>
        <w:t>Vorschwein</w:t>
      </w:r>
      <w:r w:rsidRPr="002F7766">
        <w:rPr>
          <w:rFonts w:ascii="Garamond" w:hAnsi="Garamond" w:cs="Arial"/>
          <w:lang w:val="en-GB"/>
        </w:rPr>
        <w:t xml:space="preserve"> gekommen. – Die Leute, die das verstehen, kann man an den </w:t>
      </w:r>
      <w:r w:rsidRPr="002F7766">
        <w:rPr>
          <w:rFonts w:ascii="Garamond" w:hAnsi="Garamond" w:cs="Arial"/>
          <w:i/>
          <w:iCs/>
          <w:lang w:val="en-GB"/>
        </w:rPr>
        <w:t>Fingern einer Hand abzählen</w:t>
      </w:r>
      <w:r w:rsidRPr="002F7766">
        <w:rPr>
          <w:rFonts w:ascii="Garamond" w:hAnsi="Garamond" w:cs="Arial"/>
          <w:lang w:val="en-GB"/>
        </w:rPr>
        <w:t xml:space="preserve">; aber nein, es gibt doch eigentlich nur </w:t>
      </w:r>
      <w:r w:rsidRPr="002F7766">
        <w:rPr>
          <w:rFonts w:ascii="Garamond" w:hAnsi="Garamond" w:cs="Arial"/>
          <w:i/>
          <w:iCs/>
          <w:lang w:val="en-GB"/>
        </w:rPr>
        <w:t>einen</w:t>
      </w:r>
      <w:r w:rsidRPr="002F7766">
        <w:rPr>
          <w:rFonts w:ascii="Garamond" w:hAnsi="Garamond" w:cs="Arial"/>
          <w:lang w:val="en-GB"/>
        </w:rPr>
        <w:t xml:space="preserve">, der das versteht, also: an </w:t>
      </w:r>
      <w:r w:rsidRPr="002F7766">
        <w:rPr>
          <w:rFonts w:ascii="Garamond" w:hAnsi="Garamond" w:cs="Arial"/>
          <w:i/>
          <w:iCs/>
          <w:lang w:val="en-GB"/>
        </w:rPr>
        <w:t>einem Finger</w:t>
      </w:r>
      <w:r w:rsidRPr="002F7766">
        <w:rPr>
          <w:rFonts w:ascii="Garamond" w:hAnsi="Garamond" w:cs="Arial"/>
          <w:lang w:val="en-GB"/>
        </w:rPr>
        <w:t xml:space="preserve"> abzählen. – Oder, mein Mann kann </w:t>
      </w:r>
      <w:smartTag w:uri="urn:schemas-microsoft-com:office:smarttags" w:element="City">
        <w:smartTag w:uri="urn:schemas-microsoft-com:office:smarttags" w:element="place">
          <w:r w:rsidRPr="002F7766">
            <w:rPr>
              <w:rFonts w:ascii="Garamond" w:hAnsi="Garamond" w:cs="Arial"/>
              <w:lang w:val="en-GB"/>
            </w:rPr>
            <w:t>essen</w:t>
          </w:r>
        </w:smartTag>
      </w:smartTag>
      <w:r w:rsidRPr="002F7766">
        <w:rPr>
          <w:rFonts w:ascii="Garamond" w:hAnsi="Garamond" w:cs="Arial"/>
          <w:lang w:val="en-GB"/>
        </w:rPr>
        <w:t xml:space="preserve"> und trinken, was er will. Aber Sie wissen ja, </w:t>
      </w:r>
      <w:r w:rsidRPr="002F7766">
        <w:rPr>
          <w:rFonts w:ascii="Garamond" w:hAnsi="Garamond" w:cs="Arial"/>
          <w:i/>
          <w:iCs/>
          <w:lang w:val="en-GB"/>
        </w:rPr>
        <w:t>ich</w:t>
      </w:r>
      <w:r w:rsidRPr="002F7766">
        <w:rPr>
          <w:rFonts w:ascii="Garamond" w:hAnsi="Garamond" w:cs="Arial"/>
          <w:lang w:val="en-GB"/>
        </w:rPr>
        <w:t xml:space="preserve"> dulde es überhaupt nicht, daß er etwas will; also: er darf </w:t>
      </w:r>
      <w:smartTag w:uri="urn:schemas-microsoft-com:office:smarttags" w:element="City">
        <w:smartTag w:uri="urn:schemas-microsoft-com:office:smarttags" w:element="place">
          <w:r w:rsidRPr="002F7766">
            <w:rPr>
              <w:rFonts w:ascii="Garamond" w:hAnsi="Garamond" w:cs="Arial"/>
              <w:lang w:val="en-GB"/>
            </w:rPr>
            <w:t>essen</w:t>
          </w:r>
        </w:smartTag>
      </w:smartTag>
      <w:r w:rsidRPr="002F7766">
        <w:rPr>
          <w:rFonts w:ascii="Garamond" w:hAnsi="Garamond" w:cs="Arial"/>
          <w:lang w:val="en-GB"/>
        </w:rPr>
        <w:t xml:space="preserve"> und trinken, was </w:t>
      </w:r>
      <w:r w:rsidRPr="002F7766">
        <w:rPr>
          <w:rFonts w:ascii="Garamond" w:hAnsi="Garamond" w:cs="Arial"/>
          <w:i/>
          <w:iCs/>
          <w:lang w:val="en-GB"/>
        </w:rPr>
        <w:t>ich</w:t>
      </w:r>
      <w:r w:rsidRPr="002F7766">
        <w:rPr>
          <w:rFonts w:ascii="Garamond" w:hAnsi="Garamond" w:cs="Arial"/>
          <w:lang w:val="en-GB"/>
        </w:rPr>
        <w:t xml:space="preserve"> will. In all diesen Fällen geht also das Versprechen aus dem Inhalt der gestörten Intention selbst hervor oder es knüpft an ihn an.</w:t>
      </w:r>
    </w:p>
    <w:p w:rsidR="00062BE4" w:rsidRPr="002F7766" w:rsidRDefault="00062BE4" w:rsidP="00062BE4">
      <w:pPr>
        <w:rPr>
          <w:rFonts w:ascii="Garamond" w:hAnsi="Garamond" w:cs="Arial"/>
          <w:lang w:val="en-GB"/>
        </w:rPr>
      </w:pPr>
      <w:r w:rsidRPr="002F7766">
        <w:rPr>
          <w:rFonts w:ascii="Garamond" w:hAnsi="Garamond" w:cs="Arial"/>
          <w:lang w:val="en-GB"/>
        </w:rPr>
        <w:t>Die andere Art der Beziehung zwischen den beiden interferierenden Intentionen wirkt befremdend. Wenn die störende Intention nichts mit dem Inhalt der gestörten zu tun hat, woher kommt sie denn und woher rührt es, daß sie sich gerade an solcher Stelle als Störung bemerkbar macht? Die Beobachtung, die hier allein Antwort geben kann, läßt erkennen, daß die Störung von einem Gedankengang herrührt, der die betreffende Person kurz vorher beschäftigt hatte und der nun in solcher Weise nachwirkt, gleichgültig ob er bereits Ausdruck in der Rede gefunden hat oder nicht. Sie ist also wirklich als Nachklang zu bezeichnen, aber nicht notwendig als Nachklang von gesprochenen Worten. Es fehlt auch hier nicht an einem assoziativen Zusammenhang zwischen dem Störenden und dem Gestörten, aber er ist nicht im Inhalt gegeben, sondern künstlich, oft auf sehr gezwungenen Verbindungswegen hergestellt.</w:t>
      </w:r>
    </w:p>
    <w:p w:rsidR="00062BE4" w:rsidRPr="002F7766" w:rsidRDefault="00062BE4" w:rsidP="00062BE4">
      <w:pPr>
        <w:rPr>
          <w:rFonts w:ascii="Garamond" w:hAnsi="Garamond" w:cs="Arial"/>
          <w:lang w:val="en-GB"/>
        </w:rPr>
      </w:pPr>
      <w:r w:rsidRPr="002F7766">
        <w:rPr>
          <w:rFonts w:ascii="Garamond" w:hAnsi="Garamond" w:cs="Arial"/>
          <w:lang w:val="en-GB"/>
        </w:rPr>
        <w:t xml:space="preserve">Hören Sie ein einfaches Beispiel hiefür an, das ich selbst beobachtet habe. Ich treffe einmal in unseren schönen Dolomiten mit zwei Wiener Damen zusammen, die als Touristinnen verkleidet sind. Ich begleite sie ein Stück weit, und wir besprechen die Genüsse, aber auch die Beschwerden der touristischen Lebensweise. Die eine der Damen gibt zu, daß diese Art, den Tag zu verbringen, manches Unbequeme hat. Es ist wahr, sagt sie, daß es gar nicht angenehm ist, wenn man so in der Sonne den ganzen Tag marschiert ist und Bluse und Hemd ganz durchgeschwitzt sind. In diesem Satze hat sie einmal eine kleine </w:t>
      </w:r>
      <w:r w:rsidRPr="002F7766">
        <w:rPr>
          <w:rFonts w:ascii="Garamond" w:hAnsi="Garamond" w:cs="Arial"/>
          <w:lang w:val="en-GB"/>
        </w:rPr>
        <w:lastRenderedPageBreak/>
        <w:t xml:space="preserve">Stockung zu überwinden. Dann setzt sie fort: Wenn man aber dann nach </w:t>
      </w:r>
      <w:r w:rsidRPr="002F7766">
        <w:rPr>
          <w:rFonts w:ascii="Garamond" w:hAnsi="Garamond" w:cs="Arial"/>
          <w:i/>
          <w:iCs/>
          <w:lang w:val="en-GB"/>
        </w:rPr>
        <w:t>Hose</w:t>
      </w:r>
      <w:r w:rsidRPr="002F7766">
        <w:rPr>
          <w:rFonts w:ascii="Garamond" w:hAnsi="Garamond" w:cs="Arial"/>
          <w:lang w:val="en-GB"/>
        </w:rPr>
        <w:t xml:space="preserve"> kommt und sich umkleiden kann... </w:t>
      </w:r>
      <w:r w:rsidRPr="002F7766">
        <w:rPr>
          <w:rFonts w:ascii="Garamond" w:hAnsi="Garamond" w:cs="Arial"/>
        </w:rPr>
        <w:t xml:space="preserve">Wir haben dies Versprechen nicht analysiert, aber ich meine, Sie können es leicht verstehen. </w:t>
      </w:r>
      <w:r w:rsidRPr="002F7766">
        <w:rPr>
          <w:rFonts w:ascii="Garamond" w:hAnsi="Garamond" w:cs="Arial"/>
          <w:lang w:val="en-GB"/>
        </w:rPr>
        <w:t xml:space="preserve">Die Dame hatte die Absicht gehabt, die Aufzählung vollständiger zu halten und zu sagen: Bluse, Hemd und Hose. Aus Motiven der Wohlanständigkeit war die Erwähnung der Hose unterblieben, aber in dem nächsten, inhaltlich ganz unabhängigen Satz kam das nicht ausgesprochene Wort als Verunstaltung des ähnlich lautenden »nach </w:t>
      </w:r>
      <w:r w:rsidRPr="002F7766">
        <w:rPr>
          <w:rFonts w:ascii="Garamond" w:hAnsi="Garamond" w:cs="Arial"/>
          <w:i/>
          <w:iCs/>
          <w:lang w:val="en-GB"/>
        </w:rPr>
        <w:t>Hause</w:t>
      </w:r>
      <w:r w:rsidRPr="002F7766">
        <w:rPr>
          <w:rFonts w:ascii="Garamond" w:hAnsi="Garamond" w:cs="Arial"/>
          <w:lang w:val="en-GB"/>
        </w:rPr>
        <w:t>« zum Vorschein.</w:t>
      </w:r>
    </w:p>
    <w:p w:rsidR="00062BE4" w:rsidRPr="002F7766" w:rsidRDefault="00062BE4" w:rsidP="00062BE4">
      <w:pPr>
        <w:rPr>
          <w:rFonts w:ascii="Garamond" w:hAnsi="Garamond" w:cs="Arial"/>
          <w:lang w:val="en-GB"/>
        </w:rPr>
      </w:pPr>
      <w:r w:rsidRPr="002F7766">
        <w:rPr>
          <w:rFonts w:ascii="Garamond" w:hAnsi="Garamond" w:cs="Arial"/>
          <w:lang w:val="en-GB"/>
        </w:rPr>
        <w:t>Nun können wir uns aber der lange aufgesparten Hauptfrage zuwenden, was für Intentionen es sind, die sich in ungewöhnlicher Weise als Störungen anderer zum Ausdruck bringen. Nun selbstverständlich sehr verschiedene, in denen wir aber das Gemeinsame finden wollen. Untersuchen wir eine Reihe von Beispielen daraufhin, so werden sie sich uns alsbald in drei Gruppen sondern. Zur ersten Gruppe gehören die Fälle, in denen die störende Tendenz dem Redner bekannt ist, überdies aber vor dem Versprechen von ihm verspürt wurde. So gibt beim Versprechen »Vorschwein« der Sprecher nicht nur zu, daß er das Urteil »Schweinereien« über die betreffenden Vorgänge gefällt hat, sondern auch, daß er die Absicht hatte, von der er später zurücktrat, ihm auch wörtlichen Ausdruck zu geben. Eine zweite Gruppe bilden andere Fälle, in denen die störende Tendenz vom Sprecher gleichfalls als die seinige anerkannt wird, aber er weiß nichts davon, daß sie gerade vor dem Versprechen bei ihm aktiv war. Er akzeptiert also unsere Deutung seines Versprechens, bleibt aber doch in gewissem Maße verwundert über sie. Beispiele für dieses Verhalten lassen sich von anderen Fehlleistungen vielleicht leichter geben als gerade vom Versprechen. In einer dritten Gruppe wird die Deutung der störenden Intention vom Sprecher energisch abgelehnt; er bestreitet nicht nur, daß sie sich vor dem Versprechen in ihm geregt, sondern er will behaupten, daß sie ihm überhaupt völlig fremd ist. Erinnern Sie sich an das Beispiel vom »Aufstoßen« und an die geradezu unhöfliche Abweisung, die ich mir durch die Aufdeckung der störenden Intention von diesem Sprecher geholt habe. Sie wissen, daß wir in der Auffassung dieser Fälle noch keine Einigung erzielt haben. Ich würde mir aus dem Widerspruch des Toastredners nichts machen und unbeirrbar an meiner Deutung festhalten, während Sie, meine ich, doch unter dem Eindrucke seines Sträubens stehen und in Erwägung ziehen, ob man nicht auf die Deutung solcher Fehlleistungen verzichten und sie als rein physiologische Akte im voranalytischen Sinne gelten lassen soll. Ich kann mir denken, was Sie abschreckt. Meine Deutung schließt die Annahme ein, daß sich bei dem Sprecher Intentionen äußern können, von denen er selbst nichts weiß, die ich aber aus Indizien erschließen kann. Vor einer so neuartigen und folgenschweren Annahme machen Sie halt. Ich verstehe das und gebe Ihnen insoweit recht. Aber stellen wir das eine fest: Wenn Sie die an so vielen Beispielen erhärtete Auffassung der Fehlleistungen konsequent durchführen wollen, müssen Sie sich zu der genannten befremdenden Annahme entschließen. Können Sie das nicht, so müssen Sie auf das kaum erworbene Verständnis der Fehlleistungen wiederum verzichten.</w:t>
      </w:r>
    </w:p>
    <w:p w:rsidR="00062BE4" w:rsidRPr="002F7766" w:rsidRDefault="00062BE4" w:rsidP="00062BE4">
      <w:pPr>
        <w:rPr>
          <w:rFonts w:ascii="Garamond" w:hAnsi="Garamond" w:cs="Arial"/>
          <w:lang w:val="en-GB"/>
        </w:rPr>
      </w:pPr>
      <w:r w:rsidRPr="002F7766">
        <w:rPr>
          <w:rFonts w:ascii="Garamond" w:hAnsi="Garamond" w:cs="Arial"/>
          <w:lang w:val="en-GB"/>
        </w:rPr>
        <w:t xml:space="preserve">Verweilen wir noch bei dem, was die drei Gruppen einigt, was den drei Mechanismen des Versprechens gemeinsam ist. Das ist zum Glück unverkennbar. In den beiden ersten Gruppen wird die störende Tendenz vom Sprecher anerkannt; in der ersten kommt noch hinzu, daß sie sich unmittelbar vor dem Versprechen gemeldet hat. In beiden Fällen </w:t>
      </w:r>
      <w:r w:rsidRPr="002F7766">
        <w:rPr>
          <w:rFonts w:ascii="Garamond" w:hAnsi="Garamond" w:cs="Arial"/>
          <w:i/>
          <w:iCs/>
          <w:lang w:val="en-GB"/>
        </w:rPr>
        <w:t>ist sie aber zurückgedrängt worden. Der Sprecher hat sich entschlossen, sienicht in Rede umzusetzen, und dann passiert ihm das Versprechen, d. h. dann setzt sich die zurückgedrängte Tendenz gegen seinen Willen in eine Äußerung um, indem sie den Ausdruck der von ihm zugelassenen Intention abändert, sich mit ihm vermengt oder sich geradezu an seine Stelle setzt</w:t>
      </w:r>
      <w:r w:rsidRPr="002F7766">
        <w:rPr>
          <w:rFonts w:ascii="Garamond" w:hAnsi="Garamond" w:cs="Arial"/>
          <w:lang w:val="en-GB"/>
        </w:rPr>
        <w:t>. Dies ist also der Mechanismus des Versprechens.</w:t>
      </w:r>
    </w:p>
    <w:p w:rsidR="00062BE4" w:rsidRPr="002F7766" w:rsidRDefault="00062BE4" w:rsidP="00062BE4">
      <w:pPr>
        <w:rPr>
          <w:rFonts w:ascii="Garamond" w:hAnsi="Garamond" w:cs="Arial"/>
          <w:lang w:val="en-GB"/>
        </w:rPr>
      </w:pPr>
      <w:r w:rsidRPr="002F7766">
        <w:rPr>
          <w:rFonts w:ascii="Garamond" w:hAnsi="Garamond" w:cs="Arial"/>
          <w:lang w:val="en-GB"/>
        </w:rPr>
        <w:t xml:space="preserve">Ich kann von meinem Standpunkt auch den Vorgang in unserer dritten Gruppe in den schönsten Einklang mit dem hier beschriebenen Mechanismus bringen. Ich brauche nur anzunehmen, daß diese drei Gruppen durch die verschieden weit reichende Zurückdrängung einer Intention unterschieden werden. In der ersten ist die Intention vorhanden und macht sich vor der Äußerung des Sprechers ihm bemerkbar; erst dann erfährt sie die Zurückweisung, für welche sie sich im Versprechen entschädigt. In der zweiten Gruppe reicht die Zurückweisung weiter; die Intention wird bereits vor der Redeäußerung nicht mehr bemerkbar. Merkwürdig, daß sie dadurch keineswegs abgehalten wird, sich an der Verursachung des </w:t>
      </w:r>
      <w:r w:rsidRPr="002F7766">
        <w:rPr>
          <w:rFonts w:ascii="Garamond" w:hAnsi="Garamond" w:cs="Arial"/>
          <w:lang w:val="en-GB"/>
        </w:rPr>
        <w:lastRenderedPageBreak/>
        <w:t xml:space="preserve">Versprechens zu beteiligen! Durch dies Verhalten wird uns aber die Erklärung für den Vorgang bei der dritten Gruppe erleichtert. Ich werde so kühn sein, anzunehmen, daß sich in der Fehlleistung auch noch eine Tendenz äußern kann, welche seit längerer Zeit, vielleicht seit sehr langer Zeit, zurückgedrängt ist, nicht bemerkt wird und darum vom Sprecher direkt verleugnet werden kann. Aber lassen Sie selbst das Problem der dritten Gruppe beiseite; Sie müssen aus den Beobachtungen an den anderen Fällen den Schluß ziehen, daß die </w:t>
      </w:r>
      <w:r w:rsidRPr="002F7766">
        <w:rPr>
          <w:rFonts w:ascii="Garamond" w:hAnsi="Garamond" w:cs="Arial"/>
          <w:i/>
          <w:iCs/>
          <w:lang w:val="en-GB"/>
        </w:rPr>
        <w:t>Unterdrückung der vorhandenen Absicht, etwas zu sagen, die unerläßliche Bedingung dafür ist, daß ein Versprechen zustande kommt</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Wir dürfen nun behaupten, daß wir im Verständnis der Fehlleistungen weitere Fortschritte gemacht haben. Wir wissen nicht nur, daß sie seelische Akte sind, an denen man Sinn und Absicht erkennen kann, nicht nur, daß sie durch die Interferenz von zwei verschiedenen Intentionen entstehen, sondern außerdem noch, daß die eine dieser Intentionen eine gewisse Zurückdrängung von der Ausführung erfahren haben muß, um sich durch die Störung der anderen äußern zu können. Sie muß selbst erst gestört worden sein, ehe sie zur störenden werden kann. Eine vollständige Erklärung der Phänomene, die wir Fehlleistungen nennen, ist damit natürlich noch nicht gewonnen. Wir sehen sofort weitere Fragen auftauchen und ahnen überhaupt, daß sich um so mehr Anlässe zu neuen Fragen ergeben werden, je weiter wir im Verständnis kommen. Wir können z. B. fragen, warum es nicht viel einfacher zugeht. Wenn die Absicht besteht, eine gewisse Tendenz zurückzudrängen anstatt sie auszuführen, so sollte diese Zurückdrängung so gelingen, daß eben nichts von jener zum Ausdruck kommt, oder sie könnte auch mißlingen, so daß die zurückgedrängte Tendenz sich vollen Ausdruck schafft. Die Fehlleistungen sind aber Kompromißergebnisse, sie bedeuten ein halbes Gelingen und ein halbes Mißlingen für jede der beiden Absichten, die gefährdete Intention wird weder ganz unterdrückt, noch setzt sie sich – von Einzelfällen abgesehen – ganz unversehrt durch. Wir können uns denken, daß besondere Bedingungen für das Zustandekommen solcher Interferenz- oder Kompromißergebnisse vorhanden sein müssen, aber wir können auch nicht einmal ahnen, welcher Art sie sein können. Ich glaube auch nicht, daß wir diese uns unbekannten Verhältnisse durch weitere Vertiefung in das Studium der Fehlleistungen aufdecken könnten. Es wird vielmehr notwendig sein, vorher noch andere dunkle Gebiete des Seelenlebens zu durchforschen; erst die Analogien, die uns dort begegnen, können uns den Mut geben, jene Annahmen aufzustellen, die für eine tiefer reichende Aufklärung der Fehlleistungen erforderlich sind. Und noch eines! Auch das Arbeiten mit kleinen Anzeichen, wie wir es auf diesem Gebiete beständig üben, bringt seine Gefahren mit sich. Es gibt eine seelische Erkrankung, die kombinatorische Paranoia, bei welcher die Verwertung solcher kleiner Anzeichen in uneingeschränkter Weise betrieben wird, und ich werde mich natürlich nicht dafür einsetzen, daß die auf dieser Grundlage aufgebauten Schlüsse durchwegs richtig sind. Vor solchen Gefahren kann uns nur die breite Basis unserer Beobachtungen bewahren, die Wiederholung ähnlicher Eindrücke aus den verschiedensten Gebieten des Seelenlebens.</w:t>
      </w:r>
    </w:p>
    <w:p w:rsidR="00062BE4" w:rsidRPr="002F7766" w:rsidRDefault="00062BE4" w:rsidP="00062BE4">
      <w:pPr>
        <w:rPr>
          <w:rFonts w:ascii="Garamond" w:hAnsi="Garamond" w:cs="Arial"/>
          <w:lang w:val="en-GB"/>
        </w:rPr>
      </w:pPr>
      <w:r w:rsidRPr="002F7766">
        <w:rPr>
          <w:rFonts w:ascii="Garamond" w:hAnsi="Garamond" w:cs="Arial"/>
          <w:lang w:val="en-GB"/>
        </w:rPr>
        <w:t xml:space="preserve">Wir werden also die Analyse der Fehlleistungen hier verlassen. An eines darf ich Sie aber noch mahnen; wollen Sie die Art, wie wir diese Phänomene behandelt haben, als vorbildlich im Gedächtnis behalten. Sie können an diesem Beispiel ersehen, welches die Absichten unserer Psychologie sind. Wir wollen die Erscheinungen nicht bloß beschreiben und klassifizieren, sondern sie als Anzeichen eines Kräftespiels in der Seele begreifen, als Äußerung von zielstrebigen Tendenzen, die zusammen oder gegeneinander arbeiten. Wir bemühen uns um eine </w:t>
      </w:r>
      <w:r w:rsidRPr="002F7766">
        <w:rPr>
          <w:rFonts w:ascii="Garamond" w:hAnsi="Garamond" w:cs="Arial"/>
          <w:i/>
          <w:iCs/>
          <w:lang w:val="en-GB"/>
        </w:rPr>
        <w:t>dynamische Auffassung</w:t>
      </w:r>
      <w:r w:rsidRPr="002F7766">
        <w:rPr>
          <w:rFonts w:ascii="Garamond" w:hAnsi="Garamond" w:cs="Arial"/>
          <w:lang w:val="en-GB"/>
        </w:rPr>
        <w:t xml:space="preserve"> der seelischen Erscheinungen. Die wahrgenommenen Phänomene müssen in unserer Auffassung gegen die nur angenommenen Strebungen zurücktreten.</w:t>
      </w:r>
    </w:p>
    <w:p w:rsidR="00062BE4" w:rsidRPr="002F7766" w:rsidRDefault="00062BE4" w:rsidP="00062BE4">
      <w:pPr>
        <w:rPr>
          <w:rFonts w:ascii="Garamond" w:hAnsi="Garamond" w:cs="Arial"/>
        </w:rPr>
      </w:pPr>
      <w:r w:rsidRPr="002F7766">
        <w:rPr>
          <w:rFonts w:ascii="Garamond" w:hAnsi="Garamond" w:cs="Arial"/>
          <w:lang w:val="en-GB"/>
        </w:rPr>
        <w:t xml:space="preserve">Wir wollen also bei den Fehlleistungen nicht weiter in die Tiefe gehen, aber wir können noch einen Streifzug durch die Breite dieses Gebiets unternehmen, auf dem wir Bekanntes wiederfinden und einiges Neue aufspüren werden. Wir halten uns dabei an die Einteilung in die bereits eingangs aufgestellten drei Gruppen des Versprechens mit den beigeordneten Formen des Verschreibens, Verlesens, Verhörens, des Vergessens mit seinen Unterteilungen je nach dem vergessenen Objekte (Eigennamen, Fremdworten, </w:t>
      </w:r>
      <w:r w:rsidRPr="002F7766">
        <w:rPr>
          <w:rFonts w:ascii="Garamond" w:hAnsi="Garamond" w:cs="Arial"/>
          <w:lang w:val="en-GB"/>
        </w:rPr>
        <w:lastRenderedPageBreak/>
        <w:t xml:space="preserve">Vorsätzen, Eindrücken) und des Vergreifens, Verlegens, Verlierens. </w:t>
      </w:r>
      <w:r w:rsidRPr="002F7766">
        <w:rPr>
          <w:rFonts w:ascii="Garamond" w:hAnsi="Garamond" w:cs="Arial"/>
        </w:rPr>
        <w:t>Die Irrtümer, soweit sie für uns in Betracht kommen, schließen sich teils dem Vergessen, teils dem Vergreifen an.</w:t>
      </w:r>
    </w:p>
    <w:p w:rsidR="00062BE4" w:rsidRPr="002F7766" w:rsidRDefault="00062BE4" w:rsidP="00062BE4">
      <w:pPr>
        <w:rPr>
          <w:rFonts w:ascii="Garamond" w:hAnsi="Garamond" w:cs="Arial"/>
          <w:lang w:val="en-GB"/>
        </w:rPr>
      </w:pPr>
      <w:r w:rsidRPr="002F7766">
        <w:rPr>
          <w:rFonts w:ascii="Garamond" w:hAnsi="Garamond" w:cs="Arial"/>
          <w:lang w:val="en-GB"/>
        </w:rPr>
        <w:t xml:space="preserve">Vom </w:t>
      </w:r>
      <w:r w:rsidRPr="002F7766">
        <w:rPr>
          <w:rFonts w:ascii="Garamond" w:hAnsi="Garamond" w:cs="Arial"/>
          <w:i/>
          <w:iCs/>
          <w:lang w:val="en-GB"/>
        </w:rPr>
        <w:t>Versprechen</w:t>
      </w:r>
      <w:r w:rsidRPr="002F7766">
        <w:rPr>
          <w:rFonts w:ascii="Garamond" w:hAnsi="Garamond" w:cs="Arial"/>
          <w:lang w:val="en-GB"/>
        </w:rPr>
        <w:t xml:space="preserve"> haben wir bereits so eingehend gehandelt und doch noch einiges hinzuzufügen. Es knüpfen sich an das Versprechen kleinere affektive Phänomene, die nicht ganz ohne Interesse sind. Es will niemand sich gerne versprochen haben; man überhört auch oft das eigene Versprechen, niemals das eines anderen. Das Versprechen ist auch in gewissem Sinne ansteckend; es ist gar nicht leicht, über das Versprechen zu reden, ohne dabei selbst in Versprechen zu verfallen. Die geringfügigsten Formen des Versprechens, die gerade keine besonderen Aufklärungen über versteckte seelische Vorgänge zu geben haben, sind doch in ihrer Motivierung unschwer zu durchschauen. Wenn jemand z. B. einen langen Vokal kurz gesprochen hat infolge einer beliebig motivierten, bei diesem Wort eingetretenen Störung, so dehnt er dafür einen bald darauf folgenden kurzen Vokal und begeht ein neues Versprechen, indem er das frühere kompensiert. Dasselbe, wenn er einen Doppelvokal unrein und nachlässig ausgesprochen hat, z. B. ein </w:t>
      </w:r>
      <w:r w:rsidRPr="002F7766">
        <w:rPr>
          <w:rFonts w:ascii="Garamond" w:hAnsi="Garamond" w:cs="Arial"/>
          <w:i/>
          <w:iCs/>
          <w:lang w:val="en-GB"/>
        </w:rPr>
        <w:t>en</w:t>
      </w:r>
      <w:r w:rsidRPr="002F7766">
        <w:rPr>
          <w:rFonts w:ascii="Garamond" w:hAnsi="Garamond" w:cs="Arial"/>
          <w:lang w:val="en-GB"/>
        </w:rPr>
        <w:t xml:space="preserve"> oder </w:t>
      </w:r>
      <w:r w:rsidRPr="002F7766">
        <w:rPr>
          <w:rFonts w:ascii="Garamond" w:hAnsi="Garamond" w:cs="Arial"/>
          <w:i/>
          <w:iCs/>
          <w:lang w:val="en-GB"/>
        </w:rPr>
        <w:t>oi</w:t>
      </w:r>
      <w:r w:rsidRPr="002F7766">
        <w:rPr>
          <w:rFonts w:ascii="Garamond" w:hAnsi="Garamond" w:cs="Arial"/>
          <w:lang w:val="en-GB"/>
        </w:rPr>
        <w:t xml:space="preserve"> wie </w:t>
      </w:r>
      <w:r w:rsidRPr="002F7766">
        <w:rPr>
          <w:rFonts w:ascii="Garamond" w:hAnsi="Garamond" w:cs="Arial"/>
          <w:i/>
          <w:iCs/>
          <w:lang w:val="en-GB"/>
        </w:rPr>
        <w:t>ei</w:t>
      </w:r>
      <w:r w:rsidRPr="002F7766">
        <w:rPr>
          <w:rFonts w:ascii="Garamond" w:hAnsi="Garamond" w:cs="Arial"/>
          <w:lang w:val="en-GB"/>
        </w:rPr>
        <w:t xml:space="preserve">; er sucht es gutzumachen, indem er ein nachfolgendes </w:t>
      </w:r>
      <w:r w:rsidRPr="002F7766">
        <w:rPr>
          <w:rFonts w:ascii="Garamond" w:hAnsi="Garamond" w:cs="Arial"/>
          <w:i/>
          <w:iCs/>
          <w:lang w:val="en-GB"/>
        </w:rPr>
        <w:t>ei</w:t>
      </w:r>
      <w:r w:rsidRPr="002F7766">
        <w:rPr>
          <w:rFonts w:ascii="Garamond" w:hAnsi="Garamond" w:cs="Arial"/>
          <w:lang w:val="en-GB"/>
        </w:rPr>
        <w:t xml:space="preserve"> zu </w:t>
      </w:r>
      <w:r w:rsidRPr="002F7766">
        <w:rPr>
          <w:rFonts w:ascii="Garamond" w:hAnsi="Garamond" w:cs="Arial"/>
          <w:i/>
          <w:iCs/>
          <w:lang w:val="en-GB"/>
        </w:rPr>
        <w:t>eu</w:t>
      </w:r>
      <w:r w:rsidRPr="002F7766">
        <w:rPr>
          <w:rFonts w:ascii="Garamond" w:hAnsi="Garamond" w:cs="Arial"/>
          <w:lang w:val="en-GB"/>
        </w:rPr>
        <w:t xml:space="preserve"> oder </w:t>
      </w:r>
      <w:r w:rsidRPr="002F7766">
        <w:rPr>
          <w:rFonts w:ascii="Garamond" w:hAnsi="Garamond" w:cs="Arial"/>
          <w:i/>
          <w:iCs/>
          <w:lang w:val="en-GB"/>
        </w:rPr>
        <w:t>oi</w:t>
      </w:r>
      <w:r w:rsidRPr="002F7766">
        <w:rPr>
          <w:rFonts w:ascii="Garamond" w:hAnsi="Garamond" w:cs="Arial"/>
          <w:lang w:val="en-GB"/>
        </w:rPr>
        <w:t xml:space="preserve"> verändert. Dabei scheint eine Rücksicht auf den Zuhörer maßgebend zu sein, der nicht glauben soll, es sei dem Redner gleichgültig, wie er die Muttersprache behandle. Die zweite kompensierende Entstellung hat geradezu die Absicht, den Hörer auf die erste aufmerksam zu machen und ihm zu versichern, daß sie auch dem Redner nicht entgangen ist. Die häufigsten, einfachsten und geringfügigsten Fälle des Versprechens bestehen in Zusammenziehungen und Vorklängen, die sich an unscheinbaren Redeteilen äußern. Man verspricht sich in einem längeren Satz z. B. derart, daß das letzte Wort der beabsichtigten Redeintention vorklingt. Das macht den Eindruck einer gewissen Ungeduld, mit dem Satze fertig zu werden, und bezeugt im allgemeinen ein gewisses Widerstreben gegen die Mitteilung dieses Satzes oder gegen die Rede überhaupt. Wir kommen so zu Grenzfällen, in denen sich die Unterschiede zwischen der psychoanalytischen und der gemeinen physiologischen Auffassung des Versprechens vermischen. Wir nehmen an, daß in diesen Fällen eine die Redeintention störende Tendenz vorhanden ist; sie kann aber nur anzeigen, daß sie vorhanden ist, und nicht, was sie selbst beabsichtigt. Die Störung, die sie hervorruft, folgt dann irgendwelchen Lautbeeinflussungen oder Assoziationsanziehungen und kann als Ablenkung der Aufmerksamkeit von der Redeintention aufgefaßt werden. Aber weder diese Aufmerksamkeitsstörung noch die wirksam gewordenen Assoziationsneigungen treffen das Wesen des Vorgangs. Dies bleibt doch der Hinweis auf die Existenz einer die Redeabsicht störenden Intention, deren Natur nur diesmal nicht aus ihren Wirkungen erraten werden kann, wie es in allen besser ausgeprägten Fällen des Versprechens möglich ist.</w:t>
      </w:r>
    </w:p>
    <w:p w:rsidR="00062BE4" w:rsidRPr="002F7766" w:rsidRDefault="00062BE4" w:rsidP="00062BE4">
      <w:pPr>
        <w:rPr>
          <w:rFonts w:ascii="Garamond" w:hAnsi="Garamond" w:cs="Arial"/>
          <w:lang w:val="en-GB"/>
        </w:rPr>
      </w:pPr>
      <w:r w:rsidRPr="002F7766">
        <w:rPr>
          <w:rFonts w:ascii="Garamond" w:hAnsi="Garamond" w:cs="Arial"/>
          <w:lang w:val="en-GB"/>
        </w:rPr>
        <w:t xml:space="preserve">Das </w:t>
      </w:r>
      <w:r w:rsidRPr="002F7766">
        <w:rPr>
          <w:rFonts w:ascii="Garamond" w:hAnsi="Garamond" w:cs="Arial"/>
          <w:i/>
          <w:iCs/>
          <w:lang w:val="en-GB"/>
        </w:rPr>
        <w:t>Verschreiben,</w:t>
      </w:r>
      <w:r w:rsidRPr="002F7766">
        <w:rPr>
          <w:rFonts w:ascii="Garamond" w:hAnsi="Garamond" w:cs="Arial"/>
          <w:lang w:val="en-GB"/>
        </w:rPr>
        <w:t xml:space="preserve"> zu dem ich nun übergehe, stimmt mit dem Versprechen soweit überein, daß wir keine neuen Gesichtspunkte zu erwarten haben. Vielleicht wird uns eine kleine Nachlese beschieden sein. Die so verbreiteten kleinen Verschreibungen, Zusammenziehungen, Vorwegnahmen späterer, besonders der letzten Worte deuten wiederum auf eine allgemeine Schreibunlust und Ungeduld fertig zu werden; ausgeprägtere Effekte des Verschreibens lassen Natur und Absicht der störenden Tendenz erkennen. Im allgemeinen weiß man, wenn man in einem Brief ein Verschreiben findet, daß beim Schreiber nicht alles in Ordnung war; was sich bei ihm geregt hat, kann man nicht immer feststellen. Das Verschreiben wird häufig von dem, der es begeht, ebensowenig bemerkt wie das Versprechen. Auffällig ist dann folgende Beobachtung: Es gibt ja Menschen, welche die Gewohnheit üben, jeden Brief, den sie geschrieben haben, vor der Absendung nochmals durchzulesen. Andere pflegen dies nicht; wenn sie es aber ausnahmsweise einmal tun, haben sie dann immer Gelegenheit, ein auffälliges Verschreiben aufzufinden und zu korrigieren. Wie ist das zu erklären? Das sieht so aus, als wüßten diese Leute doch, daß sie sich bei der Abfassung des Briefes verschrieben haben. Sollen wir das wirklich glauben?</w:t>
      </w:r>
    </w:p>
    <w:p w:rsidR="00062BE4" w:rsidRPr="002F7766" w:rsidRDefault="00062BE4" w:rsidP="00062BE4">
      <w:pPr>
        <w:rPr>
          <w:rFonts w:ascii="Garamond" w:hAnsi="Garamond" w:cs="Arial"/>
          <w:lang w:val="en-GB"/>
        </w:rPr>
      </w:pPr>
      <w:r w:rsidRPr="002F7766">
        <w:rPr>
          <w:rFonts w:ascii="Garamond" w:hAnsi="Garamond" w:cs="Arial"/>
          <w:lang w:val="en-GB"/>
        </w:rPr>
        <w:t xml:space="preserve">An die praktische Bedeutung des Verschreibens knüpft sich ein interessantes Problem. Sie erinnern sich vielleicht an den Fall eines Mörders H., der sich Kulturen von höchst gefährlichen Krankheitserregern von wissenschaftlichen Instituten zu verschaffen wußte, indem er sich für einen Bakterienforscher ausgab, der </w:t>
      </w:r>
      <w:r w:rsidRPr="002F7766">
        <w:rPr>
          <w:rFonts w:ascii="Garamond" w:hAnsi="Garamond" w:cs="Arial"/>
          <w:lang w:val="en-GB"/>
        </w:rPr>
        <w:lastRenderedPageBreak/>
        <w:t>aber diese Kulturen dazu gebrauchte, um ihm nahestehende Personen auf diese modernste Weise aus dem Wege zu räumen. Dieser Mann beklagte sich nun einmal bei der Leitung eines solchen Instituts über die Unwirksamkeit der ihm geschickten Kulturen, verschrieb sich aber dabei, und an Stelle der Worte »bei meinen Versuchen an Mäusen oder Meerschweinchen« stand deutlich zu lesen, »bei meinen Versuchen an Menschen«. Dies Verschreiben fiel auch den Ärzten des Instituts auf; sie zogen aber, soviel ich weiß, keine Konsequenzen daraus. Nun, was meinen Sie? Hätten die Ärzte nicht vielmehr das Verschreiben als Geständnis annehmen und eine Untersuchung anregen müssen, durch welche dem Mörder rechtzeitig das Handwerk gelegt worden wäre? Ist in diesem Falle nicht die Unkenntnis unserer Auffassung der Fehlleistungen die Ursache eines praktisch bedeutsamen Versäumnisses geworden? Nun, ich meine, ein solches Verschreiben erschiene mir gewiß als sehr verdächtig, aber seiner Verwendung als Geständnis steht etwas sehr Gewichtiges im Wege. So einfach ist die Sache nicht. Das Verschreiben ist sicherlich ein Indizium, aber für sich allein hätte es zur Einleitung einer Untersuchung nicht hingereicht. Daß der Mann von dem Gedanken beschäftigt ist, Menschen zu infizieren, das sagt das Verschreiben allerdings, aber es läßt nicht entscheiden, ob dieser Gedanke den Wert eines klaren schädlichen Vorsatzes oder den einer praktisch belanglosen Phantasie hat. Es ist sogar möglich, daß der Mensch, der sich so verschrieben hat, mit der besten subjektiven Berechtigung diese Phantasie verleugnen und sie als etwas ihm gänzlich Fremdes von sich weisen wird. Wenn wir später den Unterschied zwischen psychischer und materieller Realität ins Auge fassen, werden Sie diese Möglichkeiten noch besser verstehen können. Es ist dies aber wieder ein Fall, in dem eine Fehlleistung nachträglich zu ungeahnter Bedeutung gekommen ist.</w:t>
      </w:r>
    </w:p>
    <w:p w:rsidR="00062BE4" w:rsidRPr="002F7766" w:rsidRDefault="00062BE4" w:rsidP="00062BE4">
      <w:pPr>
        <w:rPr>
          <w:rFonts w:ascii="Garamond" w:hAnsi="Garamond" w:cs="Arial"/>
          <w:lang w:val="en-GB"/>
        </w:rPr>
      </w:pPr>
      <w:r w:rsidRPr="002F7766">
        <w:rPr>
          <w:rFonts w:ascii="Garamond" w:hAnsi="Garamond" w:cs="Arial"/>
          <w:lang w:val="en-GB"/>
        </w:rPr>
        <w:t xml:space="preserve">Beim </w:t>
      </w:r>
      <w:r w:rsidRPr="002F7766">
        <w:rPr>
          <w:rFonts w:ascii="Garamond" w:hAnsi="Garamond" w:cs="Arial"/>
          <w:i/>
          <w:iCs/>
          <w:lang w:val="en-GB"/>
        </w:rPr>
        <w:t>Verlesen</w:t>
      </w:r>
      <w:r w:rsidRPr="002F7766">
        <w:rPr>
          <w:rFonts w:ascii="Garamond" w:hAnsi="Garamond" w:cs="Arial"/>
          <w:lang w:val="en-GB"/>
        </w:rPr>
        <w:t xml:space="preserve"> treffen wir auf eine psychische Situation, die sich von der des Versprechens und Verschreibens deutlich unterscheidet. Die eine der beiden miteinander konkurrierenden Tendenzen ist hier durch eine sensorische Anregung ersetzt und vielleicht darum weniger resistent. Was man zu lesen hat, ist ja nicht eine Produktion des eigenen Seelenlebens wie etwas, was man zu schreiben vorhat. In einer großen Mehrzahl besteht daher das Verlesen in einer vollen Substitution. Man ersetzt das zu lesende Wort durch ein anderes, ohne daß eine inhaltliche Beziehung zwischen dem Text und dem Effekt des Verlesens zu bestehen braucht, in der Regel in Anlehnung an eine Wortähnlichkeit. Lichtenbergs Beispiel: </w:t>
      </w:r>
      <w:r w:rsidRPr="002F7766">
        <w:rPr>
          <w:rFonts w:ascii="Garamond" w:hAnsi="Garamond" w:cs="Arial"/>
          <w:i/>
          <w:iCs/>
          <w:lang w:val="en-GB"/>
        </w:rPr>
        <w:t>Agamemnon</w:t>
      </w:r>
      <w:r w:rsidRPr="002F7766">
        <w:rPr>
          <w:rFonts w:ascii="Garamond" w:hAnsi="Garamond" w:cs="Arial"/>
          <w:lang w:val="en-GB"/>
        </w:rPr>
        <w:t xml:space="preserve"> anstatt </w:t>
      </w:r>
      <w:r w:rsidRPr="002F7766">
        <w:rPr>
          <w:rFonts w:ascii="Garamond" w:hAnsi="Garamond" w:cs="Arial"/>
          <w:i/>
          <w:iCs/>
          <w:lang w:val="en-GB"/>
        </w:rPr>
        <w:t>angenommen</w:t>
      </w:r>
      <w:r w:rsidRPr="002F7766">
        <w:rPr>
          <w:rFonts w:ascii="Garamond" w:hAnsi="Garamond" w:cs="Arial"/>
          <w:lang w:val="en-GB"/>
        </w:rPr>
        <w:t xml:space="preserve"> ist das beste dieser Gruppe. Will man die störende, das Verlesen erzeugende Tendenz kennenlernen, so darf man den verlesenen Text ganz beiseite lassen und kann die analytische Untersuchung mit den beiden Fragen einleiten, welcher Einfall sich als der nächste zum Effekt des Verlesens ergibt und in welcher Situation das Verlesen vorgefallen ist. Mitunter reicht die Kenntnis der letzteren für sich allein zur Aufklärung des Verlesens hin, z. B. wenn jemand in gewissen Nöten in einer ihm fremden Stadt herumwandert und auf einer großen Tafel eines ersten Stockes das Wort </w:t>
      </w:r>
      <w:r w:rsidRPr="002F7766">
        <w:rPr>
          <w:rFonts w:ascii="Garamond" w:hAnsi="Garamond" w:cs="Arial"/>
          <w:i/>
          <w:iCs/>
          <w:lang w:val="en-GB"/>
        </w:rPr>
        <w:t>Klosetthaus</w:t>
      </w:r>
      <w:r w:rsidRPr="002F7766">
        <w:rPr>
          <w:rFonts w:ascii="Garamond" w:hAnsi="Garamond" w:cs="Arial"/>
          <w:lang w:val="en-GB"/>
        </w:rPr>
        <w:t xml:space="preserve"> liest. Er hat gerade noch Zeit, sich darüber zu verwundern, daß die Tafel so hoch angebracht ist, ehe er entdeckt, daß dort streng genommen </w:t>
      </w:r>
      <w:r w:rsidRPr="002F7766">
        <w:rPr>
          <w:rFonts w:ascii="Garamond" w:hAnsi="Garamond" w:cs="Arial"/>
          <w:i/>
          <w:iCs/>
          <w:lang w:val="en-GB"/>
        </w:rPr>
        <w:t>Korsetthaus</w:t>
      </w:r>
      <w:r w:rsidRPr="002F7766">
        <w:rPr>
          <w:rFonts w:ascii="Garamond" w:hAnsi="Garamond" w:cs="Arial"/>
          <w:lang w:val="en-GB"/>
        </w:rPr>
        <w:t xml:space="preserve"> zu lesen steht. In anderen Fällen bedarf gerade das vom Inhalt des Textes unabhängige Verlesen einer eingehenden Analyse, die ohne Übung in der psychoanalytischen Technik und ohne Zutrauen zu ihr nicht durchzuführen ist. Meist ist es aber leichter, sich die Aufklärung eines Verlesens zu schaffen. Das substituierte Wort verrät nach dem Beispiel </w:t>
      </w:r>
      <w:r w:rsidRPr="002F7766">
        <w:rPr>
          <w:rFonts w:ascii="Garamond" w:hAnsi="Garamond" w:cs="Arial"/>
          <w:i/>
          <w:iCs/>
          <w:lang w:val="en-GB"/>
        </w:rPr>
        <w:t>Agamemnon</w:t>
      </w:r>
      <w:r w:rsidRPr="002F7766">
        <w:rPr>
          <w:rFonts w:ascii="Garamond" w:hAnsi="Garamond" w:cs="Arial"/>
          <w:lang w:val="en-GB"/>
        </w:rPr>
        <w:t xml:space="preserve"> ohne weiteres den Gedankenkreis, aus welchem die Störung hervorgeht. In diesen Kriegszeiten ist es z. B. sehr gewöhnlich, daß man die Namen der Städte und Heerführer und die militärischen Ausdrücke, die einen beständig umschwirren, überall hineinliest, wo einem ein ähnliches Wortbild entgegenkommt. Was einen interessiert und beschäftigt, das setzt sich so an Stelle des Fremden und noch Uninteressanten. Die Nachbilder der Gedanken trüben die neue Wahrnehmung.</w:t>
      </w:r>
    </w:p>
    <w:p w:rsidR="00062BE4" w:rsidRPr="002F7766" w:rsidRDefault="00062BE4" w:rsidP="00062BE4">
      <w:pPr>
        <w:rPr>
          <w:rFonts w:ascii="Garamond" w:hAnsi="Garamond" w:cs="Arial"/>
          <w:lang w:val="en-GB"/>
        </w:rPr>
      </w:pPr>
      <w:r w:rsidRPr="002F7766">
        <w:rPr>
          <w:rFonts w:ascii="Garamond" w:hAnsi="Garamond" w:cs="Arial"/>
          <w:lang w:val="en-GB"/>
        </w:rPr>
        <w:t>Es fehlt auch beim Verlesen nicht an Fällen von anderer Art, in denen der Text des Gelesenen selbst die störende Tendenz erweckt, durch welche er dann meist in sein Gegenteil verwandelt wird. Man sollte etwas Unerwünschtes lesen und überzeugt sich durch die Analyse, daß ein intensiver Wunsch zur Ablehnung des Gelesenen für dessen Abänderung verantwortlich zu machen ist.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Bei den ersterwähnten häufigeren Fällen des Verlesens kommen zwei Momente zu kurz, denen wir im Mechanismus der Fehlleistungen eine wichtige Rolle zugeteilt haben: der Konflikt zweier Tendenzen und die Zurückdrängung der einen, die sich durch den Effekt der Fehlleistung entschädigt. Nicht daß beim Verlesen etwas dem Gegensätzliches aufzufinden wäre, aber die Vordringlichkeit des zum Verlesen führenden Gedankeninhalts ist doch weit auffälliger als die Zurückdrängung, die dieser vorher erfahren haben mag. Gerade diese beiden Momente treten uns bei den verschiedenen Situationen der Fehlleistung durch Vergessen am greifbarsten entgegen.</w:t>
      </w:r>
    </w:p>
    <w:p w:rsidR="00062BE4" w:rsidRPr="002F7766" w:rsidRDefault="00062BE4" w:rsidP="00062BE4">
      <w:pPr>
        <w:rPr>
          <w:rFonts w:ascii="Garamond" w:hAnsi="Garamond" w:cs="Arial"/>
          <w:lang w:val="en-GB"/>
        </w:rPr>
      </w:pPr>
      <w:r w:rsidRPr="002F7766">
        <w:rPr>
          <w:rFonts w:ascii="Garamond" w:hAnsi="Garamond" w:cs="Arial"/>
          <w:lang w:val="en-GB"/>
        </w:rPr>
        <w:t xml:space="preserve">Das </w:t>
      </w:r>
      <w:r w:rsidRPr="002F7766">
        <w:rPr>
          <w:rFonts w:ascii="Garamond" w:hAnsi="Garamond" w:cs="Arial"/>
          <w:i/>
          <w:iCs/>
          <w:lang w:val="en-GB"/>
        </w:rPr>
        <w:t>Vergessen von Vorsätzen</w:t>
      </w:r>
      <w:r w:rsidRPr="002F7766">
        <w:rPr>
          <w:rFonts w:ascii="Garamond" w:hAnsi="Garamond" w:cs="Arial"/>
          <w:lang w:val="en-GB"/>
        </w:rPr>
        <w:t xml:space="preserve"> ist geradezu eindeutig, seine Deutung wird, wie wir gehört haben, auch vom Laien nicht bestritten. Die den Vorsatz störende Tendenz ist jedesmal eine Gegenabsicht, ein Nichtwollen, von dem uns nur zu wissen erübrigt, warum es sich nicht anders und nicht unverhüllter zum Ausdruck bringt. Aber das Vorhandensein dieses Gegenwillens ist unzweifelhaft. Manchmal gelingt es auch, etwas von den Motiven zu erraten, die diesen Gegenwillen nötigen, sich zu verbergen, und allemal hat er durch die Fehlleistung aus dem Verborgenen seine Absicht erreicht, während ihm die Abweisung sicher wäre, wenn er als offener Widerspruch aufträte. Wenn zwischen dem Vorsatz und seiner Ausführung eine wichtige Veränderung der psychischen Situation eingetreten ist, derzufolge die Ausführung des Vorsatzes nicht in Frage käme, dann tritt das Vergessen des Vorsatzes aus dem Rahmen der Fehlleistung heraus. Man wundert sich nicht mehr darüber und sieht ein, daß es überflüssig gewesen wäre, den Vorsatz zu erinnern; er war dann dauernd oder zeitweilig erloschen. Eine Fehlleistung kann das Vergessen des Vorsatzes nur dann heißen, wenn wir an eine solche Unterbrechung desselben nicht glauben können.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Fälle von Vorsatzvergessen sind im allgemeinen so einförmig und durchsichtig, daß sie eben darum für unsere Untersuchung kein Interesse haben. An zwei Stellen können wir aber doch aus dem Studium dieser Fehlleistung etwas Neues lernen. Wir haben gesagt, das Vergessen, also Nichtausführen eines Vorsatzes, weist auf einen ihm feindlichen Gegenwillen hin. Das bleibt wohl bestehen, aber der Gegenwille kann nach der Aussage unserer Untersuchungen von zweierlei Art sein, ein direkter oder ein vermittelter. Was unter dem letzteren gemeint ist, läßt sich am besten an ein oder zwei Beispielen erläutern. Wenn der Gönner vergißt, bei einer dritten Person ein Fürwort für seinen Schützling einzulegen, so kann dies geschehen, weil er sich für den Schützling eigentlich nicht sehr interessiert und darum auch zur Fürsprache keine große Lust hat. In diesem Sinne wird jedenfalls der Schützling das Vergessen des Gönners verstehen. Es kann aber auch komplizierter zugehen. Der Gegenwille gegen die Ausführung des Vorsatzes kann beim Gönner von anderer Seite kommen und an ganz anderer Stelle angreifen. Er braucht mit dem Schützling nichts zu tun zu haben, sondern richtet sich etwa gegen die dritte Person, bei welcher die Fürsprache erfolgen soll. Sie sehen also, welche Bedenken auch hier der praktischen Verwendung unserer Deutungen entgegenstehen. Der Schützling gerät trotz der richtigen Deutung des Vergessens in Gefahr, allzu mißtrauisch zu werden und seinem Gönner schweres Unrecht zu tun.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wenn jemand das Rendezvous vergißt, das einzuhalten er dem anderen versprochen und sich selbst vorgenommen hat, so wird die häufigste Begründung wohl die direkte Abneigung gegen das Zusammentreffen mit dieser Person sein. Aber die Analyse könnte hier den Nachweis erbringen, daß die störende Tendenz nicht der Person gilt, sondern sich gegen den Platz richtet, an welchem das Zusammentreffen stattfinden soll und der infolge einer an ihn geknüpften peinlichen Erinnerung gemieden wird. Oder: wenn jemand einen Brief aufzugeben vergißt, so kann sich die Gegentendenz auf den Inhalt des Briefes selbst stützen; es ist aber keineswegs ausgeschlossen, daß der Brief an sich harmlos ist und der Gegentendenz nur darum verfällt, weil irgend etwas an ihm an einen anderen, früher einmal geschriebenen Brief erinnert, der dem Gegenwillen allerdings einen direkten Angriffspunkt geboten hat. Man kann dann sagen, der Gegenwille hat sich hier von jenem früheren Brief, wo er berechtigt war, auf den gegenwärtigen übertragen, bei dem er eigentlich nichts zu wollen hat. Sie sehen also, daß man bei der </w:t>
      </w:r>
      <w:r w:rsidRPr="002F7766">
        <w:rPr>
          <w:rFonts w:ascii="Garamond" w:hAnsi="Garamond" w:cs="Arial"/>
          <w:lang w:val="en-GB"/>
        </w:rPr>
        <w:lastRenderedPageBreak/>
        <w:t>Verwertung unserer berechtigten Deutungen doch Zurückhaltung und Vorsicht üben muß; was psychologisch gleichwertig ist, kann praktisch doch recht vieldeutig sein.</w:t>
      </w:r>
    </w:p>
    <w:p w:rsidR="00062BE4" w:rsidRPr="002F7766" w:rsidRDefault="00062BE4" w:rsidP="00062BE4">
      <w:pPr>
        <w:rPr>
          <w:rFonts w:ascii="Garamond" w:hAnsi="Garamond" w:cs="Arial"/>
          <w:lang w:val="en-GB"/>
        </w:rPr>
      </w:pPr>
      <w:r w:rsidRPr="002F7766">
        <w:rPr>
          <w:rFonts w:ascii="Garamond" w:hAnsi="Garamond" w:cs="Arial"/>
          <w:lang w:val="en-GB"/>
        </w:rPr>
        <w:t xml:space="preserve">Phänomene wie diese werden Ihnen sehr ungewöhnlich erscheinen. Vielleicht sind Sie geneigt anzunehmen, daß der »indirekte« Gegenwille den Vorgang als einen bereits pathologischen charakterisiert. Ich kann Ihnen aber versichern, daß er auch im Rahmen der Norm und der Gesundheit vorkommt. Mißverstehen Sie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übrigens nicht. Ich will keineswegs selbst die Unzuverlässigkeit unserer analytischen Deutungen zugestehen. </w:t>
      </w:r>
      <w:r w:rsidRPr="002F7766">
        <w:rPr>
          <w:rFonts w:ascii="Garamond" w:hAnsi="Garamond" w:cs="Arial"/>
        </w:rPr>
        <w:t xml:space="preserve">Die besprochene Vieldeutigkeit des Vorsatzvergessens besteht ja nur, solange wir keine Analyse des Falles vorgenommen haben und nur auf Grund unserer allgemeinen Voraussetzungen deuten. </w:t>
      </w:r>
      <w:r w:rsidRPr="002F7766">
        <w:rPr>
          <w:rFonts w:ascii="Garamond" w:hAnsi="Garamond" w:cs="Arial"/>
          <w:lang w:val="en-GB"/>
        </w:rPr>
        <w:t>Wenn wir die Analyse mit der betreffenden Person ausführen, erfahren wir jedesmal mit genügender Sicherheit, ob es ein direkter Gegenwille ist oder woher er sonst rührt.</w:t>
      </w:r>
    </w:p>
    <w:p w:rsidR="00062BE4" w:rsidRPr="002F7766" w:rsidRDefault="00062BE4" w:rsidP="00062BE4">
      <w:pPr>
        <w:rPr>
          <w:rFonts w:ascii="Garamond" w:hAnsi="Garamond" w:cs="Arial"/>
          <w:lang w:val="en-GB"/>
        </w:rPr>
      </w:pPr>
      <w:r w:rsidRPr="002F7766">
        <w:rPr>
          <w:rFonts w:ascii="Garamond" w:hAnsi="Garamond" w:cs="Arial"/>
          <w:lang w:val="en-GB"/>
        </w:rPr>
        <w:t>Ein zweiter Punkt ist der folgende: Wenn wir in einer Überzahl von Fällen bestätigt finden, daß das Vergessen eines Vorsatzes auf einen Gegenwillen zurückgeht, so bekommen wir Mut, diese Lösung auch auf eine andere Reihe von Fällen auszudehnen, in denen die analysierte Person den von uns erschlossenen Gegenwillen nicht bestätigt, sondern verleugnet. Nehmen Sie als Beispiele hierfür die überaus häufigen Vorkommnisse, daß man vergißt, Bücher, die man entlehnt hat, zurückzustellen, Rechnungen oder Schulden zu bezahlen. Wir werden so kühn sein, dem Betreffenden vorzuhalten, daß bei ihm die Absicht besteht, die Bücher zu behalten und die Schulden nicht zu bezahlen, während er diese Absicht leugnen, aber nicht imstande sein wird, uns für sein Benehmen eine andere Erklärung zu geben. Daraufhin setzen wir fort, er habe die Absicht, nur wisse er nichts von ihr; es genüge uns aber, daß sie sich durch den Effekt des Vergessens bei ihm verrate. Jener kann uns wiederholen, er habe eben vergessen. Sie erkennen jetzt die Situation als eine, in welcher wir uns bereits früher einmal befunden haben. Wenn wir unsere so vielfältig als berechtigt erwiesenen Deutungen der Fehlleistungen konsequent fortführen wollen, werden wir unausweichlich zu der Annahme gedrängt, daß es Tendenzen beim Menschen gibt, welche wirksam werden können, ohne daß er von ihnen weiß. Damit setzen wir uns aber in Widerspruch zu allen das Leben und die Psychologie beherrschenden Anschauungen.</w:t>
      </w:r>
    </w:p>
    <w:p w:rsidR="00062BE4" w:rsidRPr="002F7766" w:rsidRDefault="00062BE4" w:rsidP="00062BE4">
      <w:pPr>
        <w:rPr>
          <w:rFonts w:ascii="Garamond" w:hAnsi="Garamond" w:cs="Arial"/>
          <w:lang w:val="en-GB"/>
        </w:rPr>
      </w:pPr>
      <w:r w:rsidRPr="002F7766">
        <w:rPr>
          <w:rFonts w:ascii="Garamond" w:hAnsi="Garamond" w:cs="Arial"/>
          <w:lang w:val="en-GB"/>
        </w:rPr>
        <w:t xml:space="preserve">Das </w:t>
      </w:r>
      <w:r w:rsidRPr="002F7766">
        <w:rPr>
          <w:rFonts w:ascii="Garamond" w:hAnsi="Garamond" w:cs="Arial"/>
          <w:i/>
          <w:iCs/>
          <w:lang w:val="en-GB"/>
        </w:rPr>
        <w:t>Vergessen von Eigen- und Fremdnamen</w:t>
      </w:r>
      <w:r w:rsidRPr="002F7766">
        <w:rPr>
          <w:rFonts w:ascii="Garamond" w:hAnsi="Garamond" w:cs="Arial"/>
          <w:lang w:val="en-GB"/>
        </w:rPr>
        <w:t xml:space="preserve"> sowie Fremdworten läßt sich in gleicher Weise auf eine Gegenabsicht zurückführen, welche sich entweder direkt oder indirekt gegen den betreffenden Namen richtet. Von solcher direkter Abneigung habe ich Ihnen bereits früher einmal mehrere Beispiele vorgeführt. Die indirekte Verursachung ist aber hier besonders häufig und erfordert meist sorgfältige Analysen zu ihrer Feststellung. So z. B. hat in dieser Kriegszeit, die uns gezwungen hat, so viele unserer früheren Neigungen aufzugeben, auch die Verfügung über das Erinnern von Eigennamen infolge der sonderbarsten Verknüpfungen sehr gelitten. Vor kurzem ist es mir geschehen, daß ich den Namen der harmlosen mährischen Stadt </w:t>
      </w:r>
      <w:r w:rsidRPr="002F7766">
        <w:rPr>
          <w:rFonts w:ascii="Garamond" w:hAnsi="Garamond" w:cs="Arial"/>
          <w:i/>
          <w:iCs/>
          <w:lang w:val="en-GB"/>
        </w:rPr>
        <w:t>Bisenz</w:t>
      </w:r>
      <w:r w:rsidRPr="002F7766">
        <w:rPr>
          <w:rFonts w:ascii="Garamond" w:hAnsi="Garamond" w:cs="Arial"/>
          <w:lang w:val="en-GB"/>
        </w:rPr>
        <w:t xml:space="preserve"> nicht reproduzieren konnte, und die Analyse ergab, daß keine direkte Verfeindung Schuld daran trug, sondern der Anklang an den Namen des Palazzo </w:t>
      </w:r>
      <w:r w:rsidRPr="002F7766">
        <w:rPr>
          <w:rFonts w:ascii="Garamond" w:hAnsi="Garamond" w:cs="Arial"/>
          <w:i/>
          <w:iCs/>
          <w:lang w:val="en-GB"/>
        </w:rPr>
        <w:t>Bisenzi</w:t>
      </w:r>
      <w:r w:rsidRPr="002F7766">
        <w:rPr>
          <w:rFonts w:ascii="Garamond" w:hAnsi="Garamond" w:cs="Arial"/>
          <w:lang w:val="en-GB"/>
        </w:rPr>
        <w:t xml:space="preserve"> in Orvieto, in dem ich sonst zu wiederholten Malen gerne gewohnt hatte. Als Motiv der gegen dies Namenerinnern gerichteten Tendenz tritt uns hier zum erstenmal ein Prinzip entgegen, welches uns später seine ganze großartige Bedeutung für die Verursachung neurotischer Symptome enthüllen wird: die Abneigung des Gedächtnisses, etwas zu erinnern, was mit Unlustempfindungen verknüpft war und bei der Reproduktion diese Unlust erneuern würde. Diese Absicht zur Vermeidung von Unlust aus der Erinnerung oder anderen psychischen Akten, die psychische Flucht vor der Unlust, dürfen wir als das letzte wirksame Motiv nicht nur fürs Namenvergessen, sondern auch für viele andere Fehlleistungen, wie Unterlassungen, Irrtümer u. a. anerkennen.</w:t>
      </w:r>
    </w:p>
    <w:p w:rsidR="00062BE4" w:rsidRPr="002F7766" w:rsidRDefault="00062BE4" w:rsidP="00062BE4">
      <w:pPr>
        <w:rPr>
          <w:rFonts w:ascii="Garamond" w:hAnsi="Garamond" w:cs="Arial"/>
          <w:lang w:val="en-GB"/>
        </w:rPr>
      </w:pPr>
      <w:r w:rsidRPr="002F7766">
        <w:rPr>
          <w:rFonts w:ascii="Garamond" w:hAnsi="Garamond" w:cs="Arial"/>
          <w:lang w:val="en-GB"/>
        </w:rPr>
        <w:t xml:space="preserve">Das Namenvergessen scheint aber psycho-physiologisch besonders erleichtert zu sein und stellt sich daher auch in Fällen ein, welche die Einmengung eines Unlustmotivs nicht bestätigen lassen. Wenn einer einmal zum Namenvergessen neigt, so können Sie bei ihm durch analytische Untersuchung feststellen, daß ihm nicht nur darum Namen entfallen, weil er sie selbst nicht mag oder weil sie ihn an Unliebsames mahnen, </w:t>
      </w:r>
      <w:r w:rsidRPr="002F7766">
        <w:rPr>
          <w:rFonts w:ascii="Garamond" w:hAnsi="Garamond" w:cs="Arial"/>
          <w:lang w:val="en-GB"/>
        </w:rPr>
        <w:lastRenderedPageBreak/>
        <w:t>sondern auch darum, weil derselbe Name bei ihm einem anderen Assoziationskreis angehört, zu dem er innigere Beziehungen hat. Der Name wird dort gleichsam festgehalten und den anderen momentan aktivierten Assoziationen verweigert. Wenn Sie sich an die Kunststücke der Mnemotechnik erinnern, so werden Sie mit einigem Befremden feststellen, daß man Namen infolge derselben Zusammenhänge vergißt, die man sonst absichtlich herstellt, um sie vor dem Vergessen zu schützen. Das auffälligste Beispiel hierfür geben Eigennamen von Personen, die begreiflicherweise für verschiedene Leute ganz verschiedene psychische Wertigkeit besitzen müssen. Nehmen Sie z. B. einen Vornamen wie Theodor. Dem einen von Ihnen wird er nichts Besonderes bedeuten; für den anderen ist es der Name seines Vaters, Bruders, Freundes oder der eigene. Die analytische Erfahrung wird Ihnen dann zeigen, daß der erstere nicht in Gefahr ist zu vergessen, daß eine gewisse fremde Person diesen Namen führt, während die anderen beständig geneigt sein werden, dem Fremden einen Namen vorzuenthalten, der ihnen für intime Beziehungen reserviert erscheint. Nehmen Sie nun an, daß diese assoziative Hemmung mit der Wirkung des Unlustprinzips und überdies mit einem indirekten Mechanismus zusammentreffen kann, so werden Sie erst imstande sein, sich von der Komplikation der Verursachung des zeitweiligen Namenvergessens eine zutreffende Vorstellung zu machen. Eine sachgerechte Analyse deckt Ihnen aber alle diese Verwicklungen restlos auf.</w:t>
      </w:r>
    </w:p>
    <w:p w:rsidR="00062BE4" w:rsidRPr="002F7766" w:rsidRDefault="00062BE4" w:rsidP="00062BE4">
      <w:pPr>
        <w:rPr>
          <w:rFonts w:ascii="Garamond" w:hAnsi="Garamond" w:cs="Arial"/>
          <w:lang w:val="en-GB"/>
        </w:rPr>
      </w:pPr>
      <w:r w:rsidRPr="002F7766">
        <w:rPr>
          <w:rFonts w:ascii="Garamond" w:hAnsi="Garamond" w:cs="Arial"/>
          <w:lang w:val="en-GB"/>
        </w:rPr>
        <w:t xml:space="preserve">Das </w:t>
      </w:r>
      <w:r w:rsidRPr="002F7766">
        <w:rPr>
          <w:rFonts w:ascii="Garamond" w:hAnsi="Garamond" w:cs="Arial"/>
          <w:i/>
          <w:iCs/>
          <w:lang w:val="en-GB"/>
        </w:rPr>
        <w:t>Vergessen von Eindrücken und Erlebnissen</w:t>
      </w:r>
      <w:r w:rsidRPr="002F7766">
        <w:rPr>
          <w:rFonts w:ascii="Garamond" w:hAnsi="Garamond" w:cs="Arial"/>
          <w:lang w:val="en-GB"/>
        </w:rPr>
        <w:t xml:space="preserve"> zeigt die Wirkung der Tendenz, Unangenehmes von der Erinnerung fernzuhalten, noch viel deutlicher und ausschließlicher als das Namenvergessen. Es gehört natürlich nicht in seinem vollen Umfang zu den Fehlleistungen, sondern nur insoferne es uns, am Maßstabe unserer gewohnten Erfahrung gemessen, auffällig und unberechtigt erscheint, also z. B. wenn das Vergessen zu frische oder zu wichtige Eindrücke betrifft oder solche, deren Ausfall eine Lücke in einen sonst gut erinnerten Zusammenhang reißt. Warum und wieso wir überhaupt vergessen können, darunter Erlebnisse, welche uns gewiß den tiefsten Eindruck hinterlassen haben, wie die Ereignisse unserer ersten Kindheitsjahre, das ist ein ganz anderes Problem, bei welchem die Abwehr gegen Unlustregungen eine gewisse Rolle spielt, aber lange nicht alles erklärt. Daß unangenehme Eindrücke leicht vergessen werden, ist eine nicht zu bezweifelnde Tatsache. Verschiedene Psychologen haben sie bemerkt, und der große Darwin empfing einen so starken Eindruck von ihr, daß er sich die »goldene Regel« aufstellte, Beobachtungen, welche seiner Theorie ungünstig schienen, mit besonderer Sorgfalt zu notieren, da er sich überzeugt hatte, daß gerade sie in seinem Gedächtnisse nicht haften wollten.</w:t>
      </w:r>
    </w:p>
    <w:p w:rsidR="00062BE4" w:rsidRPr="002F7766" w:rsidRDefault="00062BE4" w:rsidP="00062BE4">
      <w:pPr>
        <w:rPr>
          <w:rFonts w:ascii="Garamond" w:hAnsi="Garamond" w:cs="Arial"/>
          <w:lang w:val="en-GB"/>
        </w:rPr>
      </w:pPr>
      <w:r w:rsidRPr="002F7766">
        <w:rPr>
          <w:rFonts w:ascii="Garamond" w:hAnsi="Garamond" w:cs="Arial"/>
          <w:lang w:val="en-GB"/>
        </w:rPr>
        <w:t>Wer von diesem Prinzip der Abwehr gegen die Erinnerungsunlust durch das Vergessen zuerst hört, versäumt selten den Einwand zu erheben, daß er vielmehr die Erfahrung gemacht hat, daß gerade Peinliches schwer zu vergessen ist, indem es gegen den Willen der Person immer wiederkehrt, um sie zu quälen, z. B. die Erinnerung an Kränkungen und Demütigungen. Auch diese Tatsache ist richtig, aber der Einwand trifft nicht zu. Es ist wichtig, daß man rechtzeitig beginne mit der Tatsache zu rechnen, das Seelenleben sei ein Kampf- und Tummelplatz entgegengesetzter Tendenzen, oder nicht dynamisch ausgedrückt, es bestehe aus Widersprüchen und Gegensatzpaaren. Der Nachweis einer bestimmten Tendenz leistet nichts für den Ausschluß einer ihr gegensätzlichen; es ist Raum für beide vorhanden. Es kommt nur darauf an, wie sich die Gegensätze zueinander stellen, welche Wirkungen von dem einen und welche von dem anderen ausgehen.</w:t>
      </w:r>
    </w:p>
    <w:p w:rsidR="00062BE4" w:rsidRPr="002F7766" w:rsidRDefault="00062BE4" w:rsidP="00062BE4">
      <w:pPr>
        <w:rPr>
          <w:rFonts w:ascii="Garamond" w:hAnsi="Garamond" w:cs="Arial"/>
          <w:lang w:val="en-GB"/>
        </w:rPr>
      </w:pPr>
      <w:r w:rsidRPr="002F7766">
        <w:rPr>
          <w:rFonts w:ascii="Garamond" w:hAnsi="Garamond" w:cs="Arial"/>
          <w:lang w:val="en-GB"/>
        </w:rPr>
        <w:t xml:space="preserve">Das </w:t>
      </w:r>
      <w:r w:rsidRPr="002F7766">
        <w:rPr>
          <w:rFonts w:ascii="Garamond" w:hAnsi="Garamond" w:cs="Arial"/>
          <w:i/>
          <w:iCs/>
          <w:lang w:val="en-GB"/>
        </w:rPr>
        <w:t>Verlieren und Verlegen</w:t>
      </w:r>
      <w:r w:rsidRPr="002F7766">
        <w:rPr>
          <w:rFonts w:ascii="Garamond" w:hAnsi="Garamond" w:cs="Arial"/>
          <w:lang w:val="en-GB"/>
        </w:rPr>
        <w:t xml:space="preserve"> sind uns besonders interessant durch ihre Vieldeutigkeit, also durch die Mannigfaltigkeit der Tendenzen, in deren Dienst diese Fehlleistungen treten können. Allen Fällen gemeinsam ist, daß man etwas verlieren wollte, verschieden aber, aus welchem Grund und zu welchem Zweck. Man verliert eine Sache, wenn sie schadhaft geworden ist, wenn man die Absicht hat, sie durch eine bessere zu ersetzen, wenn sie aufgehört hat einem lieb zu sein, wenn sie von einer Person herrührt, zu der sich die Beziehungen verschlechtert haben, oder wenn sie unter Umständen erworben wurde, deren man nicht mehr gedenken will. Demselben Zweck kann auch das Fallenlassen, Beschädigen, Zerbrechen der Sache dienen. Im Leben der Gesellschaft soll die Erfahrung gemacht worden sein, daß aufgezwungene </w:t>
      </w:r>
      <w:r w:rsidRPr="002F7766">
        <w:rPr>
          <w:rFonts w:ascii="Garamond" w:hAnsi="Garamond" w:cs="Arial"/>
          <w:lang w:val="en-GB"/>
        </w:rPr>
        <w:lastRenderedPageBreak/>
        <w:t>und uneheliche Kinder weit hinfälliger sind als die rechtmäßig empfangenen. Es bedarf für dies Ergebnis nicht der groben Technik der sogenannten Engelmacherinnen; ein gewisser Nachlaß in der Sorgfalt der Kinderpflege soll voll ausreichen. Mit der Bewahrung der Dinge könnte es ebenso zugehen wie mit der der Kinder.</w:t>
      </w:r>
    </w:p>
    <w:p w:rsidR="00062BE4" w:rsidRPr="002F7766" w:rsidRDefault="00062BE4" w:rsidP="00062BE4">
      <w:pPr>
        <w:rPr>
          <w:rFonts w:ascii="Garamond" w:hAnsi="Garamond" w:cs="Arial"/>
          <w:lang w:val="en-GB"/>
        </w:rPr>
      </w:pPr>
      <w:r w:rsidRPr="002F7766">
        <w:rPr>
          <w:rFonts w:ascii="Garamond" w:hAnsi="Garamond" w:cs="Arial"/>
          <w:lang w:val="en-GB"/>
        </w:rPr>
        <w:t>Dann aber können Dinge zum Verlieren bestimmt werden, ohne daß sie etwas an ihrem Wert eingebüßt haben, wenn nämlich die Absicht besteht, etwas dem Schicksal zu opfern, um einen anderen gefürchteten Verlust abzuwehren. Solche Schicksalsbeschwörungen sind nach der Aussage der Analyse unter uns noch sehr häufig, unser Verlieren ist darum oft ein freiwilliges Opfern. Ebenso kann sich das Verlieren in den Dienst des Trotzes und der Selbstbestrafung stellen; kurz, die entfernteren Motivierungen der Tendenz, ein Ding durch Verlieren von sich zu tun, sind unübersehbar.</w:t>
      </w:r>
    </w:p>
    <w:p w:rsidR="00062BE4" w:rsidRPr="002F7766" w:rsidRDefault="00062BE4" w:rsidP="00062BE4">
      <w:pPr>
        <w:rPr>
          <w:rFonts w:ascii="Garamond" w:hAnsi="Garamond" w:cs="Arial"/>
          <w:lang w:val="en-GB"/>
        </w:rPr>
      </w:pPr>
      <w:r w:rsidRPr="002F7766">
        <w:rPr>
          <w:rFonts w:ascii="Garamond" w:hAnsi="Garamond" w:cs="Arial"/>
          <w:lang w:val="en-GB"/>
        </w:rPr>
        <w:t xml:space="preserve">Das </w:t>
      </w:r>
      <w:r w:rsidRPr="002F7766">
        <w:rPr>
          <w:rFonts w:ascii="Garamond" w:hAnsi="Garamond" w:cs="Arial"/>
          <w:i/>
          <w:iCs/>
          <w:lang w:val="en-GB"/>
        </w:rPr>
        <w:t>Vergreifen</w:t>
      </w:r>
      <w:r w:rsidRPr="002F7766">
        <w:rPr>
          <w:rFonts w:ascii="Garamond" w:hAnsi="Garamond" w:cs="Arial"/>
          <w:lang w:val="en-GB"/>
        </w:rPr>
        <w:t xml:space="preserve"> wird wie andere Irrtümer häufig dazu benützt, um Wünsche zu erfüllen, die man sich versagen soll. Die Absicht maskiert sich dabei als glücklicher Zufall. So z. B. wenn man, wie es einem unserer Freunde geschah, unter deutlichem Gegenwillen einen Besuch mit der Eisenbahn in der Nähe der Stadt machen soll und dann in der Umsteigestation irrtümlich in den Zug einsteigt, der einen wieder zur Stadt zurückführt, oder wenn man auf der Reise durchaus einen längeren Aufenthalt in einer Zwischenstation nehmen möchte, aber wegen bestimmter Verpflichtungen nicht nehmen soll und man dann einen gewissen Anschluß übersieht oder versäumt, so daß man zu der gewünschten Unterbrechung gezwungen ist. Oder wie es bei einem meiner Patienten zuging, dem ich untersagt hatte, seine Geliebte telephonisch anzurufen, der aber »irrtümlich«, »in Gedanken«, eine falsche Nummer aussprach, als er mit mir telephonieren wollte, so daß er plötzlich mit seiner Geliebten verbunden war. Ein hübsches, auch praktisch bedeutsames Beispiel von direktem Fehlgreifen bringt die Beobachtung eines Ingenieurs zur Vorgeschichte einer Sachbeschädigung:</w:t>
      </w:r>
    </w:p>
    <w:p w:rsidR="00062BE4" w:rsidRPr="00062BE4" w:rsidRDefault="00062BE4" w:rsidP="00062BE4">
      <w:pPr>
        <w:rPr>
          <w:rFonts w:ascii="Garamond" w:hAnsi="Garamond" w:cs="Arial"/>
          <w:lang w:val="en-GB"/>
        </w:rPr>
      </w:pPr>
      <w:r w:rsidRPr="00062BE4">
        <w:rPr>
          <w:rFonts w:ascii="Garamond" w:hAnsi="Garamond" w:cs="Arial"/>
          <w:lang w:val="en-GB"/>
        </w:rPr>
        <w:t>»Vor einiger Zeit arbeitete ich mit mehreren Kollegen im Laboratorium der Hochschule an einer Reihe komplizierter Elastizitätsversuche, eine Arbeit, die wir freiwillig übernommen hatten, die aber begann, mehr Zeit zu beanspruchen, als wir erwartet hatten. Als ich eines Tages wieder mit meinem Kollegen F. ins Laboratorium ging, äußerte dieser, wie unangenehm es ihm gerade heute sei, so viel Zeit zu verlieren, er hätte zu Hause so viel anderes zu tun; ich konnte ihm nur beistimmen und äußerte noch halb scherzhaft, auf einen Vorfall der vergangenen Woche anspielend: ›Hoffentlich wird wieder die Maschine versagen, so daß wir die Arbeit abbrechen und früher weggehen können.!‹</w:t>
      </w:r>
    </w:p>
    <w:p w:rsidR="00062BE4" w:rsidRPr="002F7766" w:rsidRDefault="00062BE4" w:rsidP="00062BE4">
      <w:pPr>
        <w:rPr>
          <w:rFonts w:ascii="Garamond" w:hAnsi="Garamond" w:cs="Arial"/>
          <w:lang w:val="en-GB"/>
        </w:rPr>
      </w:pPr>
      <w:r w:rsidRPr="00062BE4">
        <w:rPr>
          <w:rFonts w:ascii="Garamond" w:hAnsi="Garamond" w:cs="Arial"/>
          <w:lang w:val="en-GB"/>
        </w:rPr>
        <w:t xml:space="preserve">Bei der Arbeitsteilung trifft es sich, daß Kollege F. das Ventil der Presse zu steuern bekommt, d. h., er hat die Druckflüssigkeit aus dem Akkumulator durch vorsichtiges Öffnen des Ventils langsam in den Zylinder der hydraulischen Presse einzulassen; der Leiter des Versuches steht beim Manometer und ruft, wenn der richtige Druck erreicht ist, ein lautes ›Halt‹. </w:t>
      </w:r>
      <w:r w:rsidRPr="002F7766">
        <w:rPr>
          <w:rFonts w:ascii="Garamond" w:hAnsi="Garamond" w:cs="Arial"/>
          <w:lang w:val="en-GB"/>
        </w:rPr>
        <w:t>Auf dieses Kommando faßt F. das Ventil und dreht es mit aller Kraft – nach links (alle Ventile werden ausnahmslos nach rechts geschlossen!). Dadurch wird plötzlich der volle Druck des Akkumulators in der Presse wirksam, worauf die Rohrleitung nicht eingerichtet ist, so daß sofort eine Rohrverbindung platzt – ein ganz harmloser Maschinendefekt, der uns jedoch zwingt, für heute die Arbeit einzustellen und nach Hause zu gehen.</w:t>
      </w:r>
    </w:p>
    <w:p w:rsidR="00062BE4" w:rsidRPr="002F7766" w:rsidRDefault="00062BE4" w:rsidP="00062BE4">
      <w:pPr>
        <w:rPr>
          <w:rFonts w:ascii="Garamond" w:hAnsi="Garamond" w:cs="Arial"/>
          <w:lang w:val="en-GB"/>
        </w:rPr>
      </w:pPr>
      <w:r w:rsidRPr="002F7766">
        <w:rPr>
          <w:rFonts w:ascii="Garamond" w:hAnsi="Garamond" w:cs="Arial"/>
          <w:lang w:val="en-GB"/>
        </w:rPr>
        <w:t>Charakteristisch ist übrigens, daß einige Zeit nachher, als wir diesen Vorfall besprachen, Freund F. sich an meine von mir mit Sicherheit erinnerte Äußerung absolut nicht erinnern wollte.«</w:t>
      </w:r>
    </w:p>
    <w:p w:rsidR="00062BE4" w:rsidRPr="002F7766" w:rsidRDefault="00062BE4" w:rsidP="00062BE4">
      <w:pPr>
        <w:rPr>
          <w:rFonts w:ascii="Garamond" w:hAnsi="Garamond" w:cs="Arial"/>
          <w:lang w:val="en-GB"/>
        </w:rPr>
      </w:pPr>
      <w:r w:rsidRPr="002F7766">
        <w:rPr>
          <w:rFonts w:ascii="Garamond" w:hAnsi="Garamond" w:cs="Arial"/>
          <w:lang w:val="en-GB"/>
        </w:rPr>
        <w:t>Von hier können Sie auf die Vermutung kommen, daß es nicht immer der harmlose Zufall ist, der die Hände Ihres Dienstpersonals zu so gefährlichen Feinden ihres Hausbesitzes macht. Sie können aber auch die Frage aufwerfen, ob es jedesmal Zufall ist, wenn man sich selbst beschädigt und seine eigene Integrität in Gefahr bringt. Anregungen, die Sie gelegentlich an der Hand der Analyse von Beobachtungen auf ihren Wert prüfen mögen.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Meine geehrten Zuhörer! Das ist lange nicht alles, was über die Fehlleistungen zu sagen wäre. Es gibt da noch viel zu erforschen und zu diskutieren. Aber ich bin zufrieden, wenn Sie aus unseren bisherigen Erörterungen darüber eine gewisse Erschütterung Ihrer bisherigen Anschauungen und einen Grad von Bereitschaft für die Annahme neuer gewonnen haben. Im übrigen bescheide ich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Sie vor einer ungeklärten Sachlage zu belassen. Wir können aus dem Studium der Fehlleistungen nicht alle unsere Lehrsätze beweisen und sind auch mit keinem Beweis auf dieses Material allein angewiesen. Der große Wert der Fehlleistungen für unsere Zwecke liegt darin, daß es sehr häufige, auch an der eigenen Person leicht zu beobachtende Erscheinungen sind, deren Zustandekommen das Kranksein durchaus nicht zur Voraussetzung hat. Nur eine Ihrer unbeantworteten Fragen möchte ich am Schlusse noch zu Worte kommen lassen: Wenn die Menschen sich, wie wir's an vielen Beispielen gesehen haben, dem Verständnis der Fehlleistungen so sehr annähern und sich oft so benehmen, als ob sie deren Sinn durchschauen würden, wie ist es möglich, daß sie dieselben Phänomene doch ganz allgemein als zufällig, sinn- und bedeutungslos hinstellen und der psychoanalytischen Aufklärung derselben so energisch widerstreben können?</w:t>
      </w:r>
    </w:p>
    <w:p w:rsidR="00062BE4" w:rsidRPr="002F7766" w:rsidRDefault="00062BE4" w:rsidP="00062BE4">
      <w:pPr>
        <w:rPr>
          <w:rFonts w:ascii="Garamond" w:hAnsi="Garamond" w:cs="Arial"/>
          <w:lang w:val="en-GB"/>
        </w:rPr>
      </w:pPr>
      <w:r w:rsidRPr="002F7766">
        <w:rPr>
          <w:rFonts w:ascii="Garamond" w:hAnsi="Garamond" w:cs="Arial"/>
          <w:lang w:val="en-GB"/>
        </w:rPr>
        <w:t>Sie haben recht, das ist auffällig und fordert eine Erklärung. Aber ich werde sie Ihnen nicht geben, sondern Sie langsam zu den Zusammenhängen hinführen, aus denen sich Ihnen die Erklärung ohne mein Dazutun aufdrängen wird.</w:t>
      </w:r>
    </w:p>
    <w:p w:rsidR="00062BE4" w:rsidRPr="002F7766" w:rsidRDefault="00062BE4" w:rsidP="00062BE4">
      <w:pPr>
        <w:rPr>
          <w:rFonts w:ascii="Garamond" w:hAnsi="Garamond" w:cs="Arial"/>
          <w:b/>
          <w:bCs/>
          <w:color w:val="F38030"/>
          <w:lang w:val="en-GB"/>
        </w:rPr>
      </w:pPr>
      <w:r w:rsidRPr="002F7766">
        <w:rPr>
          <w:rFonts w:ascii="Garamond" w:hAnsi="Garamond" w:cs="Arial"/>
          <w:b/>
          <w:bCs/>
          <w:color w:val="F38030"/>
          <w:lang w:val="en-GB"/>
        </w:rPr>
        <w:t>Zweiter Teil</w:t>
      </w:r>
    </w:p>
    <w:p w:rsidR="00062BE4" w:rsidRPr="002F7766" w:rsidRDefault="00062BE4" w:rsidP="00062BE4">
      <w:pPr>
        <w:rPr>
          <w:rFonts w:ascii="Garamond" w:hAnsi="Garamond" w:cs="Arial"/>
          <w:b/>
          <w:bCs/>
          <w:color w:val="F38030"/>
          <w:lang w:val="en-GB"/>
        </w:rPr>
      </w:pPr>
      <w:r w:rsidRPr="002F7766">
        <w:rPr>
          <w:rFonts w:ascii="Garamond" w:hAnsi="Garamond" w:cs="Arial"/>
          <w:b/>
          <w:bCs/>
          <w:color w:val="F38030"/>
          <w:lang w:val="en-GB"/>
        </w:rPr>
        <w:t>Der Traum</w:t>
      </w:r>
    </w:p>
    <w:p w:rsidR="00062BE4" w:rsidRPr="002F7766" w:rsidRDefault="00062BE4" w:rsidP="00062BE4">
      <w:pPr>
        <w:rPr>
          <w:rFonts w:ascii="Garamond" w:hAnsi="Garamond" w:cs="Arial"/>
          <w:b/>
          <w:bCs/>
          <w:lang w:val="en-GB"/>
        </w:rPr>
      </w:pPr>
      <w:r w:rsidRPr="002F7766">
        <w:rPr>
          <w:rFonts w:ascii="Garamond" w:hAnsi="Garamond" w:cs="Arial"/>
          <w:b/>
          <w:bCs/>
          <w:lang w:val="en-GB"/>
        </w:rPr>
        <w:t>(1916)</w:t>
      </w:r>
    </w:p>
    <w:p w:rsidR="00062BE4" w:rsidRPr="002F7766"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2F7766">
          <w:rPr>
            <w:rStyle w:val="Lienhypertexte"/>
            <w:rFonts w:ascii="Garamond" w:hAnsi="Garamond" w:cs="Arial"/>
            <w:b/>
            <w:bCs/>
            <w:lang w:val="en-GB"/>
          </w:rPr>
          <w:t>5. Vo</w:t>
        </w:r>
        <w:bookmarkStart w:id="272" w:name="Vorlesungen_5"/>
        <w:bookmarkEnd w:id="272"/>
        <w:r w:rsidRPr="002F7766">
          <w:rPr>
            <w:rStyle w:val="Lienhypertexte"/>
            <w:rFonts w:ascii="Garamond" w:hAnsi="Garamond" w:cs="Arial"/>
            <w:b/>
            <w:bCs/>
            <w:lang w:val="en-GB"/>
          </w:rPr>
          <w:t>rlesung. [Der Traum] Schwierigkeiten und erste Annäherungen</w:t>
        </w:r>
      </w:hyperlink>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 xml:space="preserve">Meine Damen und Herren! Eines Tages machte man die Entdeckung, daß die Leidenssymptome gewisser Nervöser einen Sinn haben </w:t>
      </w:r>
      <w:hyperlink r:id="rId1459"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Josef Breuer in den Jahren 1880–1882. Vgl. hiezu meine in Amerika 1909 gehaltenen Vorlesungen ›Über Psychoanalyse‹ und ›Zur Geschichte der psychoanalytischen Bewegung‹.</w:t>
        </w:r>
      </w:hyperlink>
      <w:r w:rsidRPr="002F7766">
        <w:rPr>
          <w:rFonts w:ascii="Garamond" w:hAnsi="Garamond" w:cs="Arial"/>
          <w:lang w:val="en-GB"/>
        </w:rPr>
        <w:t>. Daraufhin wurde das psychoanalytische Heilverfahren begründet. In dieser Behandlung ereignete es sich, daß die Kranken an Stelle ihrer Symptome auch Träume vorbrachten. Somit entstand die Vermutung, daß auch diese Träume einen Sinn haben.</w:t>
      </w:r>
    </w:p>
    <w:p w:rsidR="00062BE4" w:rsidRPr="002F7766" w:rsidRDefault="00062BE4" w:rsidP="00062BE4">
      <w:pPr>
        <w:rPr>
          <w:rFonts w:ascii="Garamond" w:hAnsi="Garamond" w:cs="Arial"/>
          <w:lang w:val="en-GB"/>
        </w:rPr>
      </w:pPr>
      <w:r w:rsidRPr="002F7766">
        <w:rPr>
          <w:rFonts w:ascii="Garamond" w:hAnsi="Garamond" w:cs="Arial"/>
          <w:lang w:val="en-GB"/>
        </w:rPr>
        <w:t>Wir werden aber nicht diesen historischen Weg gehen, sondern den umgekehrten einschlagen. Wir wollen den Sinn der Träume nachweisen, als Vorbereitung zum Studium der Neurosen. Diese Verkehrung ist gerechtfertigt, denn das Studium des Traumes ist nicht nur die beste Vorbereitung für das der Neurosen, der Traum selbst ist auch ein neurotisches Symptom, und zwar eines, das den für uns unschätzbaren Vorteil hat, bei allen Gesunden vorzukommen. Ja, wenn alle Menschen gesund wären und nur träumen würden, so könnten wir aus ihren Träumen fast alle die Einsichten gewinnen, zu denen die Untersuchung der Neurosen geführt hat.</w:t>
      </w:r>
    </w:p>
    <w:p w:rsidR="00062BE4" w:rsidRPr="002F7766" w:rsidRDefault="00062BE4" w:rsidP="00062BE4">
      <w:pPr>
        <w:rPr>
          <w:rFonts w:ascii="Garamond" w:hAnsi="Garamond" w:cs="Arial"/>
          <w:lang w:val="en-GB"/>
        </w:rPr>
      </w:pPr>
      <w:r w:rsidRPr="002F7766">
        <w:rPr>
          <w:rFonts w:ascii="Garamond" w:hAnsi="Garamond" w:cs="Arial"/>
          <w:lang w:val="en-GB"/>
        </w:rPr>
        <w:t>So wird also der Traum zum Objekt der psychoanalytischen Forschung. Wieder ein gewöhnliches, geringgeschätztes Phänomen, scheinbar ohne praktischen Wert wie die Fehlleistungen, mit denen er ja das Vorkommen bei Gesunden gemein hat. Aber sonst sind die Bedingungen für unsere Arbeit eher ungünstiger. Die Fehlleistungen waren nur von der Wissenschaft vernachlässigt worden, man hatte sich wenig um sie bekümmert; aber schließlich war es keine Schande, sich mit ihnen zu beschäftigen. Man sagte, es gibt zwar Wichtigeres, aber vielleicht kann auch dabei etwas herauskommen. Die Beschäftigung mit dem Traum ist aber nicht bloß unpraktisch und überflüssig, sondern direkt schimpflich; sie bringt das Odium der Unwissenschaftlichkeit mit sich, weckt den Verdacht einer persönlichen Hinneigung zum Mystizismus. Daß ein Mediziner sich mit dem Traume abgeben sollte, wo es selbst in der Neuropathologie und Psychiatrie soviel Ernsthafteres gibt: Tumoren bis zu Apfelgröße, die das Organ des Seelenlebens komprimieren, Blutergüsse, chronische Entzündungen, bei denen man die Veränderungen der Gewebsteile unter dem Mikroskop demonstrieren kann! Nein, der Traum ist ein allzu geringfügiges und der Erforschung unwürdiges Objekt.</w:t>
      </w:r>
    </w:p>
    <w:p w:rsidR="00062BE4" w:rsidRPr="002F7766" w:rsidRDefault="00062BE4" w:rsidP="00062BE4">
      <w:pPr>
        <w:rPr>
          <w:rFonts w:ascii="Garamond" w:hAnsi="Garamond" w:cs="Arial"/>
          <w:lang w:val="en-GB"/>
        </w:rPr>
      </w:pPr>
      <w:r w:rsidRPr="002F7766">
        <w:rPr>
          <w:rFonts w:ascii="Garamond" w:hAnsi="Garamond" w:cs="Arial"/>
          <w:lang w:val="en-GB"/>
        </w:rPr>
        <w:t>Noch dazu eines, dessen Beschaffenheit selbst allen Anforderungen exakter Forschung trotzt. Man ist ja in der Traumforschung nicht einmal des Objekts sicher. Eine Wahnidee z. B. tritt einem klar und bestimmt umrissen entgegen. Ich bin der Kaiser von China, sagt der Kranke laut. Aber der Traum? Er ist meist überhaupt nicht zu erzählen. Wenn jemand einen Traum erzählt, hat er eine Garantie, daß er ihn richtig erzählt hat, und nicht vielmehr während der Erzählung verändert, etwas dazu erfindet, durch die Unbestimmtheit seiner Erinnerung gezwungen? Die meisten Träume können überhaupt nicht erinnert werden, sind bis auf kleine Fragmente vergessen. Und auf die Deutung dieses Materials soll eine wissenschaftliche Psychologie oder eine Methode der Behandlung von Kranken begründet werden?</w:t>
      </w:r>
    </w:p>
    <w:p w:rsidR="00062BE4" w:rsidRPr="002F7766" w:rsidRDefault="00062BE4" w:rsidP="00062BE4">
      <w:pPr>
        <w:rPr>
          <w:rFonts w:ascii="Garamond" w:hAnsi="Garamond" w:cs="Arial"/>
          <w:lang w:val="en-GB"/>
        </w:rPr>
      </w:pPr>
      <w:r w:rsidRPr="002F7766">
        <w:rPr>
          <w:rFonts w:ascii="Garamond" w:hAnsi="Garamond" w:cs="Arial"/>
          <w:lang w:val="en-GB"/>
        </w:rPr>
        <w:t xml:space="preserve">Ein gewisses Übermaß in einer Beurteilung darf uns mißtrauisch machen. Die Einwendungen gegen den Traum als Objekt der Forschung gehen offenbar zu weit. Mit der Unwichtigkeit haben wir schon bei den Fehlleistungen zu tun gehabt. Wir haben uns gesagt, große Dinge können sich auch in kleinen Anzeichen äußern. Was die Unbestimmtheit des Traumes betrifft, so ist sie eben ein Charakter wie ein anderer; man kann den Dingen ihren Charakter nicht vorschreiben. Es gibt übrigens auch klare und bestimmte Träume. Es gibt auch andere Objekte der psychiatrischen Forschung, die an demselben Charakter der Unbestimmtheit </w:t>
      </w:r>
      <w:smartTag w:uri="urn:schemas-microsoft-com:office:smarttags" w:element="City">
        <w:smartTag w:uri="urn:schemas-microsoft-com:office:smarttags" w:element="place">
          <w:r w:rsidRPr="002F7766">
            <w:rPr>
              <w:rFonts w:ascii="Garamond" w:hAnsi="Garamond" w:cs="Arial"/>
              <w:lang w:val="en-GB"/>
            </w:rPr>
            <w:t>leiden</w:t>
          </w:r>
        </w:smartTag>
      </w:smartTag>
      <w:r w:rsidRPr="002F7766">
        <w:rPr>
          <w:rFonts w:ascii="Garamond" w:hAnsi="Garamond" w:cs="Arial"/>
          <w:lang w:val="en-GB"/>
        </w:rPr>
        <w:t xml:space="preserve">, z. B. in vielen Fällen die Zwangsvorstellungen, mit denen sich doch respektable, angesehene Psychiater beschäftigt haben. Ich will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an den letzten Fall erinnern, der in meiner ärztlichen Tätigkeit vorgekommen ist. Die Kranke stellte sich mir mit den Worten vor: Ich habe ein </w:t>
      </w:r>
      <w:r w:rsidRPr="002F7766">
        <w:rPr>
          <w:rFonts w:ascii="Garamond" w:hAnsi="Garamond" w:cs="Arial"/>
          <w:lang w:val="en-GB"/>
        </w:rPr>
        <w:lastRenderedPageBreak/>
        <w:t>gewisses Gefühl, als ob ich ein lebendes Wesen – ein Kind? – doch nicht, eher einen Hund – beschädigt hätte oder beschädigen gewollt hätte, vielleicht es von einer Brücke heruntergestoßen – oder etwas anderes. Dem Schaden der unsicheren Erinnerung an den Traum können wir abhelfen, wenn wir festsetzen, eben das, was der Träumer erzählt, habe als sein Traum zu gelten, ohne Rücksicht auf alles, was er vergessen oder in der Erinnerung verändert haben mag. Endlich kann man nicht einmal so allgemein behaupten, daß der Traum etwas Unwichtiges sei. Es ist uns aus eigener Erfahrung bekannt, daß die Stimmung, in der man aus einem Traum erwacht, sich über den ganzen Tag fortsetzen kann; es sind Fälle von den Ärzten beobachtet worden, in denen eine Geisteskrankheit mit einem Traum beginnt und eine aus diesem Traum stammende Wahnidee festhält; es wird von historischen Personen berichtet, daß sie die Anregung zu wichtigen Taten aus Träumen geschöpft haben. Wir werden darum fragen, woher kommt eigentlich die Verachtung der wissenschaftlichen Kreise für den Traum ? Ich meine, sie ist die Reaktion auf die Überschätzung früherer Zeiten. Die Rekonstruktion der Vergangenheit ist bekanntlich nicht leicht, aber dies dürfen wir mit Sicherheit annehmen – gestatten Sie mir den Scherz –, daß bereits unsere Vorfahren vor 3000 Jahren und mehr in ähnlicher Weise wie wir geträumt haben. Soviel wir wissen, haben die alten Völker alle den Träumen große Bedeutung beigelegt und sie für praktisch verwertbar gehalten. Sie haben ihnen Anzeichen für die Zukunft entnommen, Vorbedeutungen in ihnen gesucht. Für die Griechen und andere Orientalen mag zuzeiten ein Feldzug ohne Traumdeuter so unmöglich gewesen sein wie heutzutage ohne Fliegeraufklärer. Als Alexander der Große seinen Eroberungszug unternahm, befanden sich die berühmtesten Traumdeuter in seinem Gefolge. Die Stadt Tyrus, die damals noch auf einer Insel lag, leistete dem König so heftigen Widerstand, daß er sich mit dem Gedanken trug, ihre Belagerung aufzugeben. Da träumte er eines Nachts einen wie im Triumph tanzenden Satyrn, und als er diesen Traum seinen Traumdeutern vortrug, erhielt er den Bescheid, es sei ihm der Sieg über die Stadt verkündet worden. Er befahl den Angriff und nahm Tyrus ein. Bei Etruskern und Römern waren andere Methoden zur Erkundung der Zukunft in Gebrauch, aber die Traumdeutung wurde während der ganzen hellenistisch-römischen Zeit gepflegt und hochgehalten. Von der damit beschäftigten Literatur ist uns wenigstens das Hauptwerk erhalten, das Buch des Artemidoros aus Daldis, den man in die Lebenszeit des Kaisers Hadrian versetzt. Wie es dann kam, daß die Kunst der Traumdeutung verfiel und der Traum in Mißkredit geriet, weiß ich Ihnen nicht zu sagen. Die Aufklärung kann nicht viel Anteil daran gehabt haben, denn das dunkle Mittelalter hat weit absurdere Dinge als die antike Traumdeutung getreu bewahrt. Tatsache ist es, daß das Interesse am Traum allmählich zum Aberglauben herabsank und sich nur bei den Ungebildeten behaupten konnte. Der letzte Mißbrauch der Traumdeutung noch in unseren Tagen sucht aus den Träumen die Zahlen zu erfahren, die zur Ziehung im kleinen Lotto prädestiniert sind. Dagegen hat die exakte Wissenschaft der Jetztzeit sich wiederholt mit dem Traume beschäftigt, aber immer nur in der Absicht, ihre physiologischen Theorien auf ihn anzuwenden. Den Ärzten galt der Traum natürlich als ein nicht psychischer Akt, als die Äußerung somatischer Reize im Seelenleben. Binz erklärt 1878 den Traum »für einen körperlichen, in allen Fällen unnützen, in vielen Fällen geradezu krankhaften Vorgang, über welchem Weltseele und Unsterblichkeit so hoch erhaben stehen, wie der blaue Äther über einer unkrautbewachsenen Sandfläche in tiefster Niederung«. Maury vergleicht ihn mit den ungeordneten Zuckungen des Veitstanzes im Gegensatz zu den koordinierten Bewegungen des normalen Menschen; ein alter Vergleich setzt den Inhalt des Traumes in Parallele zu den Tönen, welche »die zehn Finger eines der Musik unkundigen Menschen, die über die Tasten des Instrumentes hinlaufen«, hervorbringen würden.</w:t>
      </w:r>
    </w:p>
    <w:p w:rsidR="00062BE4" w:rsidRPr="002F7766" w:rsidRDefault="00062BE4" w:rsidP="00062BE4">
      <w:pPr>
        <w:rPr>
          <w:rFonts w:ascii="Garamond" w:hAnsi="Garamond" w:cs="Arial"/>
          <w:lang w:val="en-GB"/>
        </w:rPr>
      </w:pPr>
      <w:r w:rsidRPr="002F7766">
        <w:rPr>
          <w:rFonts w:ascii="Garamond" w:hAnsi="Garamond" w:cs="Arial"/>
          <w:lang w:val="en-GB"/>
        </w:rPr>
        <w:t xml:space="preserve">Deuten heißt einen verborgenen Sinn finden; davon kann bei dieser Einschätzung der Traumleistung natürlich keine Rede sein. Sehen Sie die Beschreibung des Traumes bei Wundt, Jodl und anderen neueren Philosophen nach; sie begnügt sich mit der Aufzählung der Abweichungen des Traumlebens vom wachen Denken in einer den Traum herabsetzenden Absicht, hebt den Zerfall der Assoziationen, die Aufhebung der Kritik, die Ausschaltung alles Wissens und andere Zeichen geminderter Leistung hervor. Der einzig wertvolle Beitrag zur Kenntnis des Traumes, den wir der exakten Wissenschaft verdanken, bezieht sich auf den Einfluß körperlicher, während des Schlafes einwirkender Reize auf den Trauminhalt. Wir besitzen </w:t>
      </w:r>
      <w:r w:rsidRPr="002F7766">
        <w:rPr>
          <w:rFonts w:ascii="Garamond" w:hAnsi="Garamond" w:cs="Arial"/>
          <w:lang w:val="en-GB"/>
        </w:rPr>
        <w:lastRenderedPageBreak/>
        <w:t xml:space="preserve">von einem kürzlich verstorbenen norwegischen Autor, J. Mourly Vold, zwei dicke Bände experimentaler Traumforschungen (1910 und 1912 ins Deutsche übersetzt), welche sich fast nur mit den Erfolgen der Stellungsveränderungen der Gliedmaßen beschäftigen. Sie werden uns als Vorbilder der exakten Traumforschung angepriesen. Können Sie sich nun denken, was die exakte Wissenschaft dazu sagen würde, wenn sie erführe, daß wir den Versuch machen wollen, den </w:t>
      </w:r>
      <w:r w:rsidRPr="002F7766">
        <w:rPr>
          <w:rFonts w:ascii="Garamond" w:hAnsi="Garamond" w:cs="Arial"/>
          <w:i/>
          <w:iCs/>
          <w:lang w:val="en-GB"/>
        </w:rPr>
        <w:t>Sinn</w:t>
      </w:r>
      <w:r w:rsidRPr="002F7766">
        <w:rPr>
          <w:rFonts w:ascii="Garamond" w:hAnsi="Garamond" w:cs="Arial"/>
          <w:lang w:val="en-GB"/>
        </w:rPr>
        <w:t xml:space="preserve"> der Träume zu finden? Vielleicht, daß sie es sogar schon gesagt hat. Aber wir wollen uns nicht abschrecken lassen. Wenn die Fehlleistungen Sinn haben konnten, kann es der Traum auch, und die Fehlleistungen haben in sehr vielen Fällen einen Sinn, der der exakten Forschung entgangen ist. Bekennen wir uns nur zum Vorurteil der Alten und des Volkes und treten wir in die Fußstapfen der antiken Traumdeuter.</w:t>
      </w:r>
    </w:p>
    <w:p w:rsidR="00062BE4" w:rsidRPr="002F7766" w:rsidRDefault="00062BE4" w:rsidP="00062BE4">
      <w:pPr>
        <w:rPr>
          <w:rFonts w:ascii="Garamond" w:hAnsi="Garamond" w:cs="Arial"/>
          <w:lang w:val="en-GB"/>
        </w:rPr>
      </w:pPr>
      <w:r w:rsidRPr="002F7766">
        <w:rPr>
          <w:rFonts w:ascii="Garamond" w:hAnsi="Garamond" w:cs="Arial"/>
          <w:lang w:val="en-GB"/>
        </w:rPr>
        <w:t>Vor allem müssen wir uns über unsere Aufgabe orientieren, im Gebiet der Träume Umschau halten. Was ist denn ein Traum? Es ist schwer, dies in einem Satz zu sagen. Wir wollen aber doch keine Definition versuchen, wo der Hinweis auf den jedermann bekannten Stoff genügt. Aber wir sollten das Wesentliche des Traumes herausheben. Wo ist das zu finden? Es gibt so ungeheure Verschiedenheiten innerhalb des Rahmens, der unser Gebiet umschließt, Verschiedenheiten nach jeder Richtung. Wesentlich wird wohl sein, was wir als allen Träumen gemeinsam aufzeigen können.</w:t>
      </w:r>
    </w:p>
    <w:p w:rsidR="00062BE4" w:rsidRPr="002F7766" w:rsidRDefault="00062BE4" w:rsidP="00062BE4">
      <w:pPr>
        <w:rPr>
          <w:rFonts w:ascii="Garamond" w:hAnsi="Garamond" w:cs="Arial"/>
          <w:lang w:val="en-GB"/>
        </w:rPr>
      </w:pPr>
      <w:r w:rsidRPr="002F7766">
        <w:rPr>
          <w:rFonts w:ascii="Garamond" w:hAnsi="Garamond" w:cs="Arial"/>
          <w:lang w:val="en-GB"/>
        </w:rPr>
        <w:t>Ja, das erste allen Träumen Gemeinsame wäre, daß wir dabei schlafen. Das Träumen ist offenbar das Seelenleben während des Schlafes, das mit dem des Wachens gewisse Ähnlichkeiten hat und sich durch große Unterschiede dagegen absetzt. Das war schon die Definition des Aristoteles. Vielleicht bestehen zwischen Traum und Schlaf noch nähere Beziehungen. Man kann durch einen Traum geweckt werden, man hat sehr oft einen Traum, wenn man spontan erwacht oder wenn man gewaltsam aus dem Schlafe gestört wird. Der Traum scheint also ein Zwischenzustand zwischen Schlafen und Wachen zu sein. So werden wir auf den Schlaf hingewiesen. Was ist nun der Schlaf?</w:t>
      </w:r>
    </w:p>
    <w:p w:rsidR="00062BE4" w:rsidRPr="002F7766" w:rsidRDefault="00062BE4" w:rsidP="00062BE4">
      <w:pPr>
        <w:rPr>
          <w:rFonts w:ascii="Garamond" w:hAnsi="Garamond" w:cs="Arial"/>
          <w:lang w:val="en-GB"/>
        </w:rPr>
      </w:pPr>
      <w:r w:rsidRPr="002F7766">
        <w:rPr>
          <w:rFonts w:ascii="Garamond" w:hAnsi="Garamond" w:cs="Arial"/>
          <w:lang w:val="en-GB"/>
        </w:rPr>
        <w:t xml:space="preserve">Das ist ein physiologisches oder biologisches Problem, an dem noch vieles strittig ist. Wir können da nichts entscheiden, aber ich meine, wir dürfen eine psychologische Charakteristik des Schlafes versuchen. Der Schlaf ist ein Zustand, in welchem ich nichts von der äußeren Welt wissen will, mein Interesse von ihr abgezogen habe. Ich versetze </w:t>
      </w:r>
      <w:smartTag w:uri="urn:schemas-microsoft-com:office:smarttags" w:element="State">
        <w:r w:rsidRPr="002F7766">
          <w:rPr>
            <w:rFonts w:ascii="Garamond" w:hAnsi="Garamond" w:cs="Arial"/>
            <w:lang w:val="en-GB"/>
          </w:rPr>
          <w:t>mich</w:t>
        </w:r>
      </w:smartTag>
      <w:r w:rsidRPr="002F7766">
        <w:rPr>
          <w:rFonts w:ascii="Garamond" w:hAnsi="Garamond" w:cs="Arial"/>
          <w:lang w:val="en-GB"/>
        </w:rPr>
        <w:t xml:space="preserve"> in den Schlaf, indem ich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von ihr zurückziehe und ihre Reize von mir abhalte. Ich schlafe auch ein, wenn ich von ihr ermüdet bin. Beim Einschlafen sage ich also zur Außenwelt: Laß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in Ruhe, denn ich will schlafen. Umgekehrt sagt das Kind: Ich geh' noch nicht schlafen, ich bin nicht müde, will noch etwas erleben. Die biologische Tendenz des Schlafes scheint also die Erholung zu sein, sein psychologischer Charakter das Aussetzen des Interesses an der Welt. Unser Verhältnis zur Welt, in die wir so ungern gekommen sind, scheint es mit sich zu bringen, daß wir sie nicht ohne Unterbrechung aushalten. Wir ziehen uns darum zeitweise in den vorweltlichen Zustand zurück, in die Mutterleibsexistenz also. Wir schaffen uns wenigstens ganz ähnliche Verhältnisse, wie sie damals bestanden: warm, dunkel und reizlos. Einige von uns rollen sich noch zu einem engen Paket zusammen und nehmen zum Schlafen eine ähnliche Körperhaltung wie im Mutterleibe ein. Es sieht so aus, als hätte die Welt auch uns Erwachsene nicht ganz, nur zu zwei Dritteilen; zu einem Drittel sind wir überhaupt noch ungeboren. Jedes Erwachen am Morgen ist dann wie eine neue Geburt. Wir sprechen auch vom Zustand nach dem Schlaf mit den Worten: wir sind wie neugeboren, wobei wir über das Allgemeingefühl des Neugeborenen eine wahrscheinlich sehr falsche Voraussetzung machen. Es ist anzunehmen, daß dieser sich vielmehr sehr unbehaglich fühlt. Wir sagen auch vom Geborenwerden: das Licht der Welt erblicken.</w:t>
      </w:r>
    </w:p>
    <w:p w:rsidR="00062BE4" w:rsidRPr="002F7766" w:rsidRDefault="00062BE4" w:rsidP="00062BE4">
      <w:pPr>
        <w:rPr>
          <w:rFonts w:ascii="Garamond" w:hAnsi="Garamond" w:cs="Arial"/>
          <w:lang w:val="en-GB"/>
        </w:rPr>
      </w:pPr>
      <w:r w:rsidRPr="002F7766">
        <w:rPr>
          <w:rFonts w:ascii="Garamond" w:hAnsi="Garamond" w:cs="Arial"/>
          <w:lang w:val="en-GB"/>
        </w:rPr>
        <w:t xml:space="preserve">Wenn das der Schlaf ist, so steht der Traum überhaupt nicht auf seinem Programm, scheint vielmehr eine unwillkommene Zutat. Wir meinen auch, daß der traumlose Schlaf der beste, der einzig richtige ist. Es soll keine seelische Tätigkeit im Schlaf geben; rührt sich diese doch, so ist uns eben die Herstellung des fötalen Ruhezustandes nicht gelungen; Reste von Seelentätigkeit haben sich nicht ganz vermeiden lassen. Diese Reste, das wäre das Träumen. Dann scheint es aber wirklich, daß der Traum keinen Sinn zu haben </w:t>
      </w:r>
      <w:r w:rsidRPr="002F7766">
        <w:rPr>
          <w:rFonts w:ascii="Garamond" w:hAnsi="Garamond" w:cs="Arial"/>
          <w:lang w:val="en-GB"/>
        </w:rPr>
        <w:lastRenderedPageBreak/>
        <w:t>braucht. Bei den Fehlleistungen lag es anders; es waren doch Tätigkeiten während des Wachens. Aber wenn ich schlafe, die seelische Tätigkeit ganz eingestellt habe und nur gewisse Reste derselben nicht unterdrücken konnte, so ist es gar nicht notwendig, daß diese Reste einen Sinn haben. Ich kann diesen Sinn sogar nicht brauchen, da ja das übrige meines Seelenlebens schläft. Es kann sich da wirklich nur um zuckungsartige Reaktionen handeln, nur um solche seelische Phänomene, die direkt auf somatischen Anreiz hin erfolgen. Die Träume wären also die den Schlaf störenden Reste der seelischen Tätigkeit des Wachens, und wir dürfen den Vorsatz fassen, das für die Psychoanalyse ungeeignete Thema alsbald wieder zu verlassen.</w:t>
      </w:r>
    </w:p>
    <w:p w:rsidR="00062BE4" w:rsidRPr="002F7766" w:rsidRDefault="00062BE4" w:rsidP="00062BE4">
      <w:pPr>
        <w:rPr>
          <w:rFonts w:ascii="Garamond" w:hAnsi="Garamond" w:cs="Arial"/>
          <w:lang w:val="en-GB"/>
        </w:rPr>
      </w:pPr>
      <w:r w:rsidRPr="002F7766">
        <w:rPr>
          <w:rFonts w:ascii="Garamond" w:hAnsi="Garamond" w:cs="Arial"/>
        </w:rPr>
        <w:t xml:space="preserve">Indes, wenn der Traum auch überflüssig ist, er existiert doch, und wir. können versuchen, uns von dieser Existenz Rechenschaft zu geben. Warum schläft das Seelenleben nicht ein? Wahrscheinlich, weil etwas der Seele keine Ruhe läßt. </w:t>
      </w:r>
      <w:r w:rsidRPr="002F7766">
        <w:rPr>
          <w:rFonts w:ascii="Garamond" w:hAnsi="Garamond" w:cs="Arial"/>
          <w:lang w:val="en-GB"/>
        </w:rPr>
        <w:t>Es wirken Reize auf sie ein, und sie muß darauf reagieren. Der Traum ist also die Art, wie die Seele auf die im Schlafzustand einwirkenden Reize reagiert. Wir merken hier einen Zugang zum Verständnis des Traumes. Wir können nun bei verschiedenen Träumen danach suchen, welches die Reize sind, die den Schlaf stören wollen und auf die mit Träumen reagiert wird. Soweit hätten wir das erste Gemeinsame aller Träume aufgearbeitet.</w:t>
      </w:r>
    </w:p>
    <w:p w:rsidR="00062BE4" w:rsidRPr="002F7766" w:rsidRDefault="00062BE4" w:rsidP="00062BE4">
      <w:pPr>
        <w:rPr>
          <w:rFonts w:ascii="Garamond" w:hAnsi="Garamond" w:cs="Arial"/>
          <w:lang w:val="en-GB"/>
        </w:rPr>
      </w:pPr>
      <w:r w:rsidRPr="002F7766">
        <w:rPr>
          <w:rFonts w:ascii="Garamond" w:hAnsi="Garamond" w:cs="Arial"/>
          <w:lang w:val="en-GB"/>
        </w:rPr>
        <w:t>Gibt es noch ein anderes Gemeinsames? Ja, es ist unverkennbar, aber viel schwieriger zu erfassen und zu beschreiben. Die seelischen Vorgänge im Schlaf haben auch einen ganz anderen Charakter als die des Wachens. Man erlebt vielerlei im Traum und glaubt daran, während man doch nichts erlebt als vielleicht den einen störenden Reiz. Man erlebt es vorwiegend in visuellen Bildern; es können auch Gefühle dabei sein, auch Gedanken mittendurch, es können auch die anderen Sinne etwas erleben, aber vorwiegend sind es doch Bilder. Ein Teil der Schwierigkeit des Traumerzählens kommt daher, daß wir diese Bilder in Worte zu übersetzen haben. Ich könnte es zeichnen, sagt uns der Träumer oft, aber ich weiß nicht, wie ich es sagen soll. Das ist nun eigentlich keine reduzierte seelische Tätigkeit wie die des Schwachsinnigen im Vergleich zum Genialen; es ist etwas qualitativ anderes, aber schwer zu sagen, worin der Unterschied liegt. G. Th. Fechner äußert einmal die Vermutung, der Schauplatz, auf dem sich die Träume (in der Seele) abspielen, sei ein anderer als der des wachen Vorstellungslebens. Das verstehen wir zwar nicht, wissen nicht, was wir uns dabei denken sollen, aber den Eindruck der Fremdartigkeit, den uns die meisten Träume machen, gibt es wirklich wieder. Auch der Vergleich der Traumtätigkeit mit den Leistungen einer unmusikalischen Hand versagt hier. Das Klavier wird doch jedenfalls mit denselben Tönen antworten, wenn auch nicht mit Melodien, sobald der Zufall über seine Tasten fährt. Diese zweite Gemeinsamkeit aller Träume wollen wir, wenn sie auch unverstanden sein mag, sorgfältig im Auge behalten.</w:t>
      </w:r>
    </w:p>
    <w:p w:rsidR="00062BE4" w:rsidRPr="002F7766" w:rsidRDefault="00062BE4" w:rsidP="00062BE4">
      <w:pPr>
        <w:rPr>
          <w:rFonts w:ascii="Garamond" w:hAnsi="Garamond" w:cs="Arial"/>
          <w:lang w:val="en-GB"/>
        </w:rPr>
      </w:pPr>
      <w:r w:rsidRPr="002F7766">
        <w:rPr>
          <w:rFonts w:ascii="Garamond" w:hAnsi="Garamond" w:cs="Arial"/>
          <w:lang w:val="en-GB"/>
        </w:rPr>
        <w:t xml:space="preserve">Gibt es noch weitere Gemeinsamkeiten? Ich finde keine, sehe überall nur Verschiedenheiten, und zwar in allen Hinsichten. Sowohl was die scheinbare Dauer, als auch was die Deutlichkeit, die Affektbeteiligung, die Haltbarkeit u. a. betrifft. Das alles ist eigentlich nicht so, wie wir es bei der notgedrungenen, dürftigen, zuckungsartigen Abwehr eines Reizes erwarten könnten. Was die Dimension der Träume anbelangt, so gibt es sehr kurze, die nur ein Bild oder wenige, einen Gedanken, ja nur ein Wort enthalten; andere, die ungemein reich an Inhalt sind, ganze Romane aufführen und lange zu dauern scheinen. Es gibt Träume, die so deutlich sind wie das Erleben, so deutlich, daß wir sie eine Zeitlang nach dem Erwachen noch nicht als Träume erkennen; andere, die unsäglich schwach sind, schattenhaft und verschwommen; ja in einem und demselben Traum können die überstarken und die kaum faßbar undeutlichen Partien miteinander abwechseln. Träume können ganz sinnvoll sein oder wenigstens kohärent, ja sogar geistreich, phantastisch schön; andere wiederum sind verworren, wie schwachsinnig, absurd, oft geradezu toll. Es gibt Träume, die uns ganz kaltlassen, andere, in denen alle Affekte laut werden, ein Schmerz bis zum Weinen, eine Angst bis zum Erwachen, Verwunderung, Entzücken usw. Träume werden meist nach dem Erwachen rasch vergessen, oder sie halten sich einen Tag lang in der Weise, daß sie bis zum Abend immer mehr blaß und lückenhaft erinnert werden; andere erhalten sich so gut, z. B. Kindheitsträume, daß sie 30 Jahre später wie frisches Erleben vor dem Gedächtnis stehen. Träume können wie die Individuen ein einziges Mal </w:t>
      </w:r>
      <w:r w:rsidRPr="002F7766">
        <w:rPr>
          <w:rFonts w:ascii="Garamond" w:hAnsi="Garamond" w:cs="Arial"/>
          <w:lang w:val="en-GB"/>
        </w:rPr>
        <w:lastRenderedPageBreak/>
        <w:t>auftreten, niemals wieder, oder sie wiederholen sich bei derselben Person unverändert oder mit kleinen Abweichungen. Kurz, dies bißchen nächtliche Seelentätigkeit verfügt über ein riesiges Repertoire, kann eigentlich noch alles, was die Seele bei Tag schafft, aber es ist doch nie dasselbe.</w:t>
      </w:r>
    </w:p>
    <w:p w:rsidR="00062BE4" w:rsidRPr="002F7766" w:rsidRDefault="00062BE4" w:rsidP="00062BE4">
      <w:pPr>
        <w:rPr>
          <w:rFonts w:ascii="Garamond" w:hAnsi="Garamond" w:cs="Arial"/>
          <w:lang w:val="en-GB"/>
        </w:rPr>
      </w:pPr>
      <w:r w:rsidRPr="002F7766">
        <w:rPr>
          <w:rFonts w:ascii="Garamond" w:hAnsi="Garamond" w:cs="Arial"/>
          <w:lang w:val="en-GB"/>
        </w:rPr>
        <w:t>Man könnte versuchen, von diesen Mannigfaltigkeiten des Traumes Rechenschaft zu geben, indem man annimmt, sie entsprechen verschiedenen Zwischenstadien zwischen dem Schlafen und dem Wachen, verschiedenen Stufen des unvollständigen Schlafes. Ja, aber dann müßte mit Wert, Inhalt und Deutlichkeit der Traumleistung auch die Klarheit, daß es ein Traum ist, zunehmen, da sich die Seele bei solchem Träumen dem Erwachen nähert, und es dürfte nicht vorkommen, daß unmittelbar neben ein deutliches und vernünftiges Traumstückchen ein unsinniges oder undeutliches gesetzt wird, worauf dann wieder ein gutes Stück Arbeit folgt. So rasch könnte die Seele ihre Schlaftiefe gewiß nicht wechseln. Diese Erklärung leistet also nichts; es geht überhaupt nicht kurzerhand.</w:t>
      </w:r>
    </w:p>
    <w:p w:rsidR="00062BE4" w:rsidRPr="002F7766" w:rsidRDefault="00062BE4" w:rsidP="00062BE4">
      <w:pPr>
        <w:rPr>
          <w:rFonts w:ascii="Garamond" w:hAnsi="Garamond" w:cs="Arial"/>
          <w:lang w:val="en-GB"/>
        </w:rPr>
      </w:pPr>
      <w:r w:rsidRPr="002F7766">
        <w:rPr>
          <w:rFonts w:ascii="Garamond" w:hAnsi="Garamond" w:cs="Arial"/>
          <w:lang w:val="en-GB"/>
        </w:rPr>
        <w:t xml:space="preserve">Wir wollen vorläufig auf den »Sinn« des Traumes verzichten und dafür versuchen, uns von dem Gemeinsamen der Träume aus einen Weg zum besseren Verständnis derselben zu bahnen. Aus der Beziehung der Träume zum Schlafzustand haben wir geschlossen, daß der Traum die Reaktion auf einen den Schlaf störenden Reiz ist. Wie wir gehört haben, ist dies auch der einzige Punkt, an dem uns die exakte experimentelle Psychologie zu Hilfe kommen kann; sie erbringt den Nachweis, daß während des Schlafes zugeführte Reize im Traume erscheinen. Es sind viele solche Untersuchungen bis auf die des bereits genannten Mourly Vold angestellt worden; jeder von uns ist auch wohl selbst in die Lage gekommen, dies Ergebnis durch gelegentliche persönliche Beobachtung zu bestätigen. Ich will zur Mitteilung einige ältere Experimente auswählen. Maury ließ solche Versuche an seiner eigenen Person ausführen. Man ließ ihn im Traum Kölnerwasser riechen. Er träumte, daß er in Kairo im Laden von Johann Maria Farina sei, und daran schlossen sich weitere tolle Abenteuer.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man kneifte ihn leicht in den Nacken; er träumte von einem aufgelegten Blasenpflaster und von einem Arzt, der ihn in seiner Kindheit behandelt hatte.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man goß ihm einen Tropfen Wasser auf die Stirne. Er war dann in Italien, schwitzte heftig und trank den weißen Wein von Orvieto.</w:t>
      </w:r>
    </w:p>
    <w:p w:rsidR="00062BE4" w:rsidRPr="002F7766" w:rsidRDefault="00062BE4" w:rsidP="00062BE4">
      <w:pPr>
        <w:rPr>
          <w:rFonts w:ascii="Garamond" w:hAnsi="Garamond" w:cs="Arial"/>
          <w:lang w:val="en-GB"/>
        </w:rPr>
      </w:pPr>
      <w:r w:rsidRPr="002F7766">
        <w:rPr>
          <w:rFonts w:ascii="Garamond" w:hAnsi="Garamond" w:cs="Arial"/>
          <w:lang w:val="en-GB"/>
        </w:rPr>
        <w:t>Was uns an diesen experimentell erzeugten Träumen auffällt, werden wir vielleicht noch deutlicher an einer anderen Reihe von Reizträumen erfassen können. Es sind drei Träume, von einem geistreichen Beobachter, Hildebrandt, mitgeteilt, sämtlich Reaktionen auf den Lärm eines Weckers:</w:t>
      </w:r>
    </w:p>
    <w:p w:rsidR="00062BE4" w:rsidRPr="002F7766" w:rsidRDefault="00062BE4" w:rsidP="00062BE4">
      <w:pPr>
        <w:rPr>
          <w:rFonts w:ascii="Garamond" w:hAnsi="Garamond" w:cs="Arial"/>
          <w:lang w:val="en-GB"/>
        </w:rPr>
      </w:pPr>
      <w:r w:rsidRPr="002F7766">
        <w:rPr>
          <w:rFonts w:ascii="Garamond" w:hAnsi="Garamond" w:cs="Arial"/>
          <w:lang w:val="en-GB"/>
        </w:rPr>
        <w:t xml:space="preserve">»Also ich gehe an einem Frühlingsmorgen spazieren und schlendre durch die grünenden Felder weiter bis zu einem benachbarten Dorfe, dort sehe ich die Bewohner in Feierkleidern, das Gesangbuch unter dem Arme, zahlreich der Kirche zuwandern. Richtig! es ist ja Sonntag und der Frühgottesdienst wird bald beginnen. Ich beschließe, an diesem teilzunehmen, zuvor aber, weil ich etwas echauffiert bin, auf dem die Kirche umgebenden Friedhofe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abzukühlen. Während ich hier verschiedene Grabschriften lese, höre ich den Glöckner den Turm hinansteigen und sehe nun in der Höhe des letzteren die kleine Dorfglocke, die das Zeichen zum Beginn der Andacht geben wird. Noch eine ganze Weile hängt sie bewegungslos da, dann fängt sie an zu schwingen – und plötzlich ertönen ihre Schläge hell und durchdringend – so hell und durchdringend, daß sie meinem Schlafe ein Ende machen. Die Glockentöne aber kommen von dem Wecker.«</w:t>
      </w:r>
    </w:p>
    <w:p w:rsidR="00062BE4" w:rsidRPr="002F7766" w:rsidRDefault="00062BE4" w:rsidP="00062BE4">
      <w:pPr>
        <w:rPr>
          <w:rFonts w:ascii="Garamond" w:hAnsi="Garamond" w:cs="Arial"/>
          <w:lang w:val="en-GB"/>
        </w:rPr>
      </w:pPr>
      <w:r w:rsidRPr="002F7766">
        <w:rPr>
          <w:rFonts w:ascii="Garamond" w:hAnsi="Garamond" w:cs="Arial"/>
          <w:lang w:val="en-GB"/>
        </w:rPr>
        <w:t xml:space="preserve">»Eine zweite Kombination. Es ist heller Wintertag; die Straßen sind hoch mit Schnee bedeckt. Ich habe meine Teilnahme an einer Schlittenfahrt zugesagt, muß aber lange warten, bis die Meldung erfolgt, der Schlitten stehe vor der Tür. Jetzt erfolgen die Vorbereitungen zum Einsteigen – der Pelz wird angelegt, der Fußsack hervorgeholt – und endlich sitze ich auf meinem Platze. Aber noch verzögert sich die Abfahrt, bis die Zügel den harrenden Rossen das fühlbare Zeichen geben. Nun ziehen diese an; die kräftig geschüttelten Schellen beginnen ihre wohlbekannte Janitscharenmusik mit einer Mächtigkeit, die </w:t>
      </w:r>
      <w:r w:rsidRPr="002F7766">
        <w:rPr>
          <w:rFonts w:ascii="Garamond" w:hAnsi="Garamond" w:cs="Arial"/>
          <w:lang w:val="en-GB"/>
        </w:rPr>
        <w:lastRenderedPageBreak/>
        <w:t>augenblicklich das Spinngewebe des Traumes zerreißt. Wieder ist's nichts anderes als der schrille Ton der Weckerglocke.«</w:t>
      </w:r>
    </w:p>
    <w:p w:rsidR="00062BE4" w:rsidRPr="002F7766" w:rsidRDefault="00062BE4" w:rsidP="00062BE4">
      <w:pPr>
        <w:rPr>
          <w:rFonts w:ascii="Garamond" w:hAnsi="Garamond" w:cs="Arial"/>
          <w:lang w:val="en-GB"/>
        </w:rPr>
      </w:pPr>
      <w:r w:rsidRPr="002F7766">
        <w:rPr>
          <w:rFonts w:ascii="Garamond" w:hAnsi="Garamond" w:cs="Arial"/>
          <w:lang w:val="en-GB"/>
        </w:rPr>
        <w:t>»Noch das dritte Beispiel! Ich sehe ein Küchenmädchen mit einigen Dutzend aufgetürmter Teller den Korridor entlang zum Speisezimmer schreiten. Die Porzellansäule in ihren Armen scheint mir in Gefahr, das Gleichgewicht zu verlieren. ›Nimm dich in acht‹, warne ich, ›die ganze Ladung wird zur Erde fallen.‹ Natürlich bleibt der obligate Widerspruch nicht aus: man sei dergleichen schon gewohnt usw., währenddessen ich immer noch mit Blicken der Besorgnis die Wandelnde begleite. Richtig, an der Türschwelle erfolgt ein Straucheln – das zerbrechliche Geschirr fällt und rasselt und prasselt in hundert Scherben auf dem Fußboden umher. Aber – das endlos sich fortsetzende Getön ist doch, wie ich bald merke, kein eigentliches Rasseln, sondern ein richtiges Klingeln; – und mit diesem Klingeln hat, wie nunmehr der Erwachende erkennt, nur der Wecker seine Schuldigkeit getan.«</w:t>
      </w:r>
    </w:p>
    <w:p w:rsidR="00062BE4" w:rsidRPr="002F7766" w:rsidRDefault="00062BE4" w:rsidP="00062BE4">
      <w:pPr>
        <w:rPr>
          <w:rFonts w:ascii="Garamond" w:hAnsi="Garamond" w:cs="Arial"/>
          <w:lang w:val="en-GB"/>
        </w:rPr>
      </w:pPr>
      <w:r w:rsidRPr="002F7766">
        <w:rPr>
          <w:rFonts w:ascii="Garamond" w:hAnsi="Garamond" w:cs="Arial"/>
          <w:lang w:val="en-GB"/>
        </w:rPr>
        <w:t>Diese Träume sind recht hübsch, ganz sinnvoll, gar nicht so inkohärent, wie Träume sonst zu sein pflegen. Wir wollen sie deswegen nicht beanständen. Das Gemeinsame an ihnen ist, daß die Situation jedesmal in einen Lärm ausgeht, den man beim Erwachen als den des Weckers agnosziert. Wir sehen also hier, wie ein Traum erzeugt wird, aber erfahren auch noch etwas anderes. Der Traum erkennt den Wecker nicht, – dieser kommt auch im Traum nicht vor –, sondern er ersetzt das Weckergeräusch durch ein anderes, er deutet den Reiz, der den Schlaf aufhebt, deutet ihn aber jedesmal in einer anderen Weise. Warum das? Darauf gibt es keine Antwort, das scheint willkürlich zu sein. Den Traum verstehen, hieße aber angeben können, warum er gerade diesen Lärm und keinen anderen zur Deutung des Weckerreizes gewählt hat. In ganz analoger Weise muß man gegen die Mauryschen Experimente einwenden, man sehe wohl, daß der zugeführte Reiz im Traume auftritt, aber warum gerade in dieser Form, das erfahre man nicht, und das scheint aus der Natur des schlafstörenden Reizes gar nicht zu folgen. Auch schließt in den Mauryschen Versuchen an den direkten Reizerfolg meist eine Unmenge von anderem Traummaterial an, z. B. die tollen Abenteuer im Kölnerwassertraum, für die man keine Rechenschaft zu geben weiß.</w:t>
      </w:r>
    </w:p>
    <w:p w:rsidR="00062BE4" w:rsidRPr="002F7766" w:rsidRDefault="00062BE4" w:rsidP="00062BE4">
      <w:pPr>
        <w:rPr>
          <w:rFonts w:ascii="Garamond" w:hAnsi="Garamond" w:cs="Arial"/>
          <w:lang w:val="en-GB"/>
        </w:rPr>
      </w:pPr>
      <w:r w:rsidRPr="002F7766">
        <w:rPr>
          <w:rFonts w:ascii="Garamond" w:hAnsi="Garamond" w:cs="Arial"/>
          <w:lang w:val="en-GB"/>
        </w:rPr>
        <w:t xml:space="preserve">Nun wollen Sie bedenken, daß die Weckträume noch die besten Chancen bieten, den Einfluß äußerer schlafstörender Reize festzustellen. In den meisten anderen Fällen wird es schwieriger werden. Man wacht nicht aus allen Träumen auf, und wenn man des Morgens einen Traum der Nacht erinnert, wie soll man dann einen störenden Reiz auffinden, der vielleicht zur Nachtzeit eingewirkt hat? Mir gelang es einmal, einen solchen Schallreiz nachträglich zu konstatieren, natürlich nur infolge besonderer Umstände. Ich erwachte eines Morgens in einem Tiroler Höhenort mit dem Wissen, ich habe geträumt, der Papst sei gestorben. Ich konnte mir den Traum nicht erklären, aber dann fragte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meine Frau: Hast du heute gegen Morgen das entsetzliche Glockengeläute gehört, das von allen Kirchen und Kapellen losgelassen wurde? Nein, ich hatte nichts gehört, mein Schlaf ist resistenter, aber ich verstand dank dieser Mitteilung meinen Traum. Wie oft mögen solche Reizungen den Schläfer zum Träumen anregen, ohne daß er nachträgliche Kunde von ihnen erhält? Vielleicht sehr oft, vielleicht auch nicht. Wenn der Reiz nicht mehr nachweisbar ist, läßt sich auch keine Überzeugung davon gewinnen. Wir sind ohnedies von der Schätzung der schlafstörenden äußeren Reize zurückgekommen, seitdem wir wissen, daß sie uns nur ein Stückchen des Traumes und nicht die ganze Traumreaktion erklären können.</w:t>
      </w:r>
    </w:p>
    <w:p w:rsidR="00062BE4" w:rsidRPr="002F7766" w:rsidRDefault="00062BE4" w:rsidP="00062BE4">
      <w:pPr>
        <w:rPr>
          <w:rFonts w:ascii="Garamond" w:hAnsi="Garamond" w:cs="Arial"/>
          <w:lang w:val="en-GB"/>
        </w:rPr>
      </w:pPr>
      <w:r w:rsidRPr="002F7766">
        <w:rPr>
          <w:rFonts w:ascii="Garamond" w:hAnsi="Garamond" w:cs="Arial"/>
          <w:lang w:val="en-GB"/>
        </w:rPr>
        <w:t xml:space="preserve">Wir brauchen darum diese Theorie nicht ganz aufzugeben. Sie ist außerdem einer Fortsetzung fähig. Es ist offenbar gleichgültig, wodurch der Schlaf gestört und die Seele zum Träumen angeregt werden soll. </w:t>
      </w:r>
      <w:r w:rsidRPr="002F7766">
        <w:rPr>
          <w:rFonts w:ascii="Garamond" w:hAnsi="Garamond" w:cs="Arial"/>
        </w:rPr>
        <w:t xml:space="preserve">Wenn es nicht jedesmal ein von außen kommender Sinnesreiz sein kann, so mag dafür ein von den inneren Organen ausgehender, sogenannter Leibreiz eintreten. </w:t>
      </w:r>
      <w:r w:rsidRPr="002F7766">
        <w:rPr>
          <w:rFonts w:ascii="Garamond" w:hAnsi="Garamond" w:cs="Arial"/>
          <w:lang w:val="en-GB"/>
        </w:rPr>
        <w:t xml:space="preserve">Diese Vermutung liegt sehr nahe, sie entspricht auch der populärsten Ansicht über die Entstehung der Träume. Träume kommen vom Magen, hört man oft sagen. Leider wird auch hier der Fall als häufig zu vermuten sein, daß ein Leibreiz, der zur Nachtzeit eingewirkt hat, nach dem Erwachen nicht mehr nachweisbar und somit unbeweisbar geworden ist. Aber wir wollen nicht übersehen, wieviel gute Erfahrungen die Ableitung der Träume vom Leibreiz </w:t>
      </w:r>
      <w:r w:rsidRPr="002F7766">
        <w:rPr>
          <w:rFonts w:ascii="Garamond" w:hAnsi="Garamond" w:cs="Arial"/>
          <w:lang w:val="en-GB"/>
        </w:rPr>
        <w:lastRenderedPageBreak/>
        <w:t>unterstützen. Es ist im allgemeinen unzweifelhaft, daß der Zustand der inneren Organe den Traum beeinflussen kann. Die Beziehung manches Trauminhalts zu einer Überfüllung der Harnblase oder zu einem Erregungszustand der Geschlechtsorgane ist so deutlich, daß sie nicht verkannt werden kann. Von diesen durchsichtigen Fällen her kommt man zu anderen, in denen sich aus dem Inhalt der Träume wenigstens eine berechtigte Vermutung ableiten läßt, daß solche Leibreize eingewirkt haben, indem sich in diesem Inhalt etwas findet, was als Verarbeitung, Darstellung, Deutung dieser Reize aufgefaßt werden kann. Der Traumforscher Scherner (1861) hat die Herleitung des Traumes von Organreizen besonders nachdrücklich vertreten und einige schöne Beispiele für sie erbracht. Wenn er z. B. in einem Traum »zwei Reihen schöner Knaben blonden Haares und zarter Gesichtsfarbe, in Kampflust einander gegenüberstehen, aufeinander losgehen, sich gegenseitig greifen, voneinander wieder loslassen, die alte Stellung wieder einnehmen und den ganzen Vorgang von neuem machen« sieht, so ist die Deutung dieser Knabenreihen als der Zähne an und für sich ansprechend, und sie scheint ihre volle Bekräftigung zu finden, wenn nach dieser Szene der Träumer »sich einen langen Zahn aus dem Kiefer herauszieht«. Auch die Deutung von »langen, schmalen, gewundenen Gängen« auf Darmreiz scheint stichhaltig und bestätigt die Aufstellung von Scherner, daß der Traum vor allem das den Reiz ausschickende Organ durch ihm ähnliche Gegenstände darzustellen sucht. Wir müssen also bereit sein zuzugeben, daß innere Reize für den Traum dieselbe Rolle spielen können wie äußere. Leider unterliegt ihre Schätzung auch denselben Einwendungen. In einer großen Anzahl von Fällen bleibt die Deutung auf Leibreiz unsicher oder unbeweisbar; nicht alle Träume, sondern nur ein gewisser Anteil derselben erweckt den Verdacht, daß innere Organreize bei ihrer Entstehung beteiligt waren, und endlich wird der innere Leibreiz so wenig wie der äußere Sinnesreiz imstande sein, vom Traum mehr zu erklären, als was der direkten Reaktion auf den Reiz entspricht. Woher dann das übrige des Traumes kommt, bleibt dunkel.</w:t>
      </w:r>
    </w:p>
    <w:p w:rsidR="00062BE4" w:rsidRPr="002F7766" w:rsidRDefault="00062BE4" w:rsidP="00062BE4">
      <w:pPr>
        <w:rPr>
          <w:rFonts w:ascii="Garamond" w:hAnsi="Garamond" w:cs="Arial"/>
          <w:lang w:val="en-GB"/>
        </w:rPr>
      </w:pPr>
      <w:r w:rsidRPr="002F7766">
        <w:rPr>
          <w:rFonts w:ascii="Garamond" w:hAnsi="Garamond" w:cs="Arial"/>
          <w:lang w:val="en-GB"/>
        </w:rPr>
        <w:t xml:space="preserve">Merken wir uns aber eine Eigentümlichkeit des Traumlebens, die bei dem Studium dieser Reizeinwirkungen zum Vorschein kommt. Der Traum bringt den Reiz nicht einfach wieder, sondern er verarbeitet ihn, er spielt auf ihn an, reiht ihn in einen Zusammenhang ein, ersetzt ihn durch etwas anderes. Das ist eine Seite der Traumarbeit, die uns interessieren muß, weil sie vielleicht näher an das Wesen des Traumes heranführt: Wenn jemand auf eine Anregung hin etwas macht, so braucht diese Anregung darum das Werk nicht zu erschöpfen. Der </w:t>
      </w:r>
      <w:r w:rsidRPr="002F7766">
        <w:rPr>
          <w:rFonts w:ascii="Garamond" w:hAnsi="Garamond" w:cs="Arial"/>
          <w:i/>
          <w:iCs/>
          <w:lang w:val="en-GB"/>
        </w:rPr>
        <w:t>Macbeth</w:t>
      </w:r>
      <w:r w:rsidRPr="002F7766">
        <w:rPr>
          <w:rFonts w:ascii="Garamond" w:hAnsi="Garamond" w:cs="Arial"/>
          <w:lang w:val="en-GB"/>
        </w:rPr>
        <w:t xml:space="preserve"> Shakespeares z. B. ist ein Gelegenheitsstück, zur Thronbesteigung des Königs gedichtet, der zuerst die Kronen der drei Länder auf seinem Haupt vereinigte. Aber deckt diese historische Veranlassung den Inhalt des Dramas, erklärt sie uns dessen Größen und Rätsel? Vielleicht sind die auf den Schlafenden wirkenden Außen- und Innenreize auch nur die Anreger des Traumes, von dessen Wesen uns damit nichts verraten wird.</w:t>
      </w:r>
    </w:p>
    <w:p w:rsidR="00062BE4" w:rsidRPr="002F7766" w:rsidRDefault="00062BE4" w:rsidP="00062BE4">
      <w:pPr>
        <w:rPr>
          <w:rFonts w:ascii="Garamond" w:hAnsi="Garamond" w:cs="Arial"/>
          <w:lang w:val="en-GB"/>
        </w:rPr>
      </w:pPr>
      <w:r w:rsidRPr="002F7766">
        <w:rPr>
          <w:rFonts w:ascii="Garamond" w:hAnsi="Garamond" w:cs="Arial"/>
          <w:lang w:val="en-GB"/>
        </w:rPr>
        <w:t xml:space="preserve">Das andere Gemeinsame des Traumes, seine psychische Besonderheit, ist einerseits schwer faßbar und gibt anderseits keinen Anhaltspunkt zur weiteren Verfolgung. Im Traum erleben wir zumeist etwas in visuellen Formen. Können dafür die Reize einen Aufschluß geben? Ist es in Wirklichkeit der Reiz, den wir erleben? Warum ist dann das Erleben visuell, wenn Augenreizung nur in den seltensten Fällen den Traum angeregt hat?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läßt sich, wenn wir Reden träumen, nachweisen, daß während des Schlafes ein Gespräch oder ihm ähnliche Geräusche an unser Ohr gedrungen sind? Diese Möglichkeit getraue ich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mit Entschiedenheit abzuweisen.</w:t>
      </w:r>
    </w:p>
    <w:p w:rsidR="00062BE4" w:rsidRPr="002F7766" w:rsidRDefault="00062BE4" w:rsidP="00062BE4">
      <w:pPr>
        <w:rPr>
          <w:rFonts w:ascii="Garamond" w:hAnsi="Garamond" w:cs="Arial"/>
          <w:lang w:val="en-GB"/>
        </w:rPr>
      </w:pPr>
      <w:r w:rsidRPr="002F7766">
        <w:rPr>
          <w:rFonts w:ascii="Garamond" w:hAnsi="Garamond" w:cs="Arial"/>
          <w:lang w:val="en-GB"/>
        </w:rPr>
        <w:t xml:space="preserve">Wenn wir von den Gemeinsamkeiten der Träume nicht weiterkommen, so wollen wir's vielleicht mit ihren Verschiedenheiten versuchen. Die Träume sind ja oft sinnlos, verworren, absurd; aber es gibt sinnvolle, nüchterne, vernünftige. Sehen wir zu, ob uns die letzteren, sinnvollen, etwas Aufschluß über die unsinnigen geben können. Ich teile Ihnen den letzten vernünftigen Traum mit, der mir erzählt worden ist, den Traum eines jungen Mannes: »Ich bin in der Kärtnerstraße spazierengegangen, habe dort den Herrn X. getroffen, dem ich mich für eine Weile angeschlossen habe, dann bin ich ins Restaurant gegangen. Zwei Damen und ein Herr haben sich an meinen Tisch gesetzt. Ich habe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zuerst darüber geärgert und wollte sie nicht anschauen. Dann habe ich hingeschaut und gefunden, daß sie ganz nett sind.« Der </w:t>
      </w:r>
      <w:r w:rsidRPr="002F7766">
        <w:rPr>
          <w:rFonts w:ascii="Garamond" w:hAnsi="Garamond" w:cs="Arial"/>
          <w:lang w:val="en-GB"/>
        </w:rPr>
        <w:lastRenderedPageBreak/>
        <w:t xml:space="preserve">Träumer bemerkt dazu, daß er am Abend vor dem Traum wirklich in der Kärntnerstraße gegangen, was sein gewohnter Weg ist, und dort den Herrn X. getroffen hat. Der andere Teil des Traumes ist keine direkte Reminiszenz, sondern hat nur eine gewisse Ähnlichkeit mit einem Erlebnis vor längerer Zeit.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ein anderer nüchterner Traum, der einer Dame: »Ihr Mann fragt: Soll man das Klavier nicht stimmen lassen? Sie: Es lohnt nicht, es muß ohnedies neu beledert werden.« Dieser Traum wiederholt ein Gespräch, welches sich ohne viel Veränderung am Tage vor dem Traum zwischen ihrem Mann und ihr abgespielt hat. Was lernen wir aus diesen beiden nüchternen Träumen? Nichts anderes, als daß sich Wiederholungen aus dem Leben des Tages oder Anknüpfungen an dasselbe in ihnen finden. Das wäre schon etwas, wenn es sich von den Träumen allgemein aussagen ließe. Aber davon ist keine Rede, auch dies gilt nur für eine Minderzahl; in den meisten Träumen ist von einer Anknüpfung an den Vortag nichts zu finden, und auf die unsinnigen und absurden Träume fällt von hier aus kein Licht. Wir wissen nur, daß wir auf eine neue Aufgabe gestoßen sind. Wir wollen nicht nur wissen, was ein Traum sagt, sondern wenn er es, wie in unseren Beispielen, deutlich sagt, wollen wir auch wissen, warum und wozu man dies Bekannte, erst kürzlich Erlebte, im Traum wiederholt.</w:t>
      </w:r>
    </w:p>
    <w:p w:rsidR="00062BE4" w:rsidRPr="002F7766" w:rsidRDefault="00062BE4" w:rsidP="00062BE4">
      <w:pPr>
        <w:rPr>
          <w:rFonts w:ascii="Garamond" w:hAnsi="Garamond" w:cs="Arial"/>
          <w:lang w:val="en-GB"/>
        </w:rPr>
      </w:pPr>
      <w:r w:rsidRPr="002F7766">
        <w:rPr>
          <w:rFonts w:ascii="Garamond" w:hAnsi="Garamond" w:cs="Arial"/>
          <w:lang w:val="en-GB"/>
        </w:rPr>
        <w:t>Ich glaube, Sie werden wie ich müde sein, Versuche wie unsere bisherigen fortzusetzen. Wir sehen eben, alles Interesse für ein Problem ist unzureichend, wenn man nicht auch einen Weg kennt, den man einschlagen kann, daß er zur Lösung hinführe. Wir haben diesen Weg bis jetzt nicht. Die experimentelle Psychologie hat uns nichts gebracht als einige sehr schätzbare Angaben über die Bedeutung der Reize als Traumanreger. Von der Philosophie haben wir nichts zu erwarten, als daß sie uns neuerdings hochmütig die intellektuelle Minderwertigkeit unseres Objekts vorhalte; bei den okkulten Wissenschaften wollen wir doch keine Anleihe machen. Geschichte und Volksmeinung sagen uns, der Traum sei sinnreich und bedeutungsvoll, er blicke in die Zukunft; das ist doch schwer anzunehmen und gewiß nicht beweisbar. So läuft unsere erste Bemühung in volle Ratlosigkeit aus.</w:t>
      </w:r>
    </w:p>
    <w:p w:rsidR="00062BE4" w:rsidRPr="002F7766" w:rsidRDefault="00062BE4" w:rsidP="00062BE4">
      <w:pPr>
        <w:rPr>
          <w:rFonts w:ascii="Garamond" w:hAnsi="Garamond" w:cs="Arial"/>
          <w:lang w:val="en-GB"/>
        </w:rPr>
      </w:pPr>
      <w:r w:rsidRPr="002F7766">
        <w:rPr>
          <w:rFonts w:ascii="Garamond" w:hAnsi="Garamond" w:cs="Arial"/>
          <w:lang w:val="en-GB"/>
        </w:rPr>
        <w:t xml:space="preserve">Unerwarteterweise kommt uns ein Wink von einer Seite zu, nach der wir bisher nicht geblickt haben. Der Sprachgebrauch, der ja nichts Zufälliges, sondern der Niederschlag alter Erkenntnis ist, der freilich nicht ohne Vorsicht verwertet werden darf – unsere Sprache also kennt etwas, was sie merkwürdigerweise »Tagträumen« heißt. Tagträume sind Phantasien (Produktionen der Phantasie); es sind sehr allgemeine Phänomene, wiederum bei Gesunden ebenso zu beobachten wie bei Kranken und bei der eigenen Person dem Studium leicht zugänglich. Das Auffälligste an diesen phantastischen Bildungen ist, daß sie den Namen »Tagträume« erhalten haben, denn von beiden Gemeinsamen der Träume haben sie nichts an sich. Der Beziehung zum Schlafzustande widerspricht schon ihr Name, und was das zweite Gemeinsame betrifft, so erlebt, halluziniert man in ihnen nichts, sondern stellt sich etwas vor; man weiß, daß man phantasiert, sieht nicht, sondern denkt. Diese Tagträume treten in der Vorpubertät, oft schon in der späteren Kinderzeit auf, halten bis in die Jahre der Reife an, werden dann entweder aufgegeben oder bis ins späteste Alter festgehalten. Der Inhalt dieser Phantasien wird von einer sehr durchsichtigen Motivierung beherrscht. Es sind Szenen und Begebenheiten, in denen die egoistischen, Ehrgeiz- und Machtbedürfnisse, oder die erotischen Wünsche der Person Befriedigung finden. Bei jungen Männern stehen meist die ehrgeizigen Phantasien voran, bei den Frauen, die ihren Ehrgeiz auf Liebeserfolge geworfen haben, die erotischen. Aber oft genug zeigt sich auch bei den Männern die erotische Bedürftigkeit im Hintergrunde; alle Heldentaten und Erfolge sollen doch nur um die Bewunderung und Gunst der Frauen werben. Sonst sind diese Tagträume sehr mannigfaltig und erfahren wechselvolle Schicksale. Sie werden entweder, ein jeder von ihnen, nach kurzer Zeit fallengelassen und durch einen neuen ersetzt, oder sie werden festgehalten, zu langen Geschichten ausgesponnen und passen sich den Veränderungen der Lebensverhältnisse an. Sie gehen sozusagen mit der Zeit und empfangen von ihr eine »Zeitmarke«, die den Einfluß der neuen Situation bezeugt. Sie sind das Rohmaterial der poetischen Produktion, denn aus seinen Tagträumen macht der Dichter durch gewisse Umformungen, Verkleidungen und Verzichte die Situationen, die er in seine Novellen, Romane, Theaterstücke einsetzt. Der Held der </w:t>
      </w:r>
      <w:r w:rsidRPr="002F7766">
        <w:rPr>
          <w:rFonts w:ascii="Garamond" w:hAnsi="Garamond" w:cs="Arial"/>
          <w:lang w:val="en-GB"/>
        </w:rPr>
        <w:lastRenderedPageBreak/>
        <w:t>Tagträume ist aber immer die eigene Person, entweder direkt oder in einer durchsichtigen Identifizierung mit einem anderen.</w:t>
      </w:r>
    </w:p>
    <w:p w:rsidR="00062BE4" w:rsidRPr="002F7766" w:rsidRDefault="00062BE4" w:rsidP="00062BE4">
      <w:pPr>
        <w:rPr>
          <w:rFonts w:ascii="Garamond" w:hAnsi="Garamond" w:cs="Arial"/>
          <w:lang w:val="en-GB"/>
        </w:rPr>
      </w:pPr>
      <w:r w:rsidRPr="002F7766">
        <w:rPr>
          <w:rFonts w:ascii="Garamond" w:hAnsi="Garamond" w:cs="Arial"/>
          <w:lang w:val="en-GB"/>
        </w:rPr>
        <w:t>Vielleicht tragen die Tagträume diesen Namen wegen der gleichen Beziehung zur Wirklichkeit, um anzudeuten, daß ihr Inhalt ebensowenig real zu nehmen sei wie der der Träume. Vielleicht aber ruht diese Namensgemeinschaft doch auf einem uns noch unbekannten psychischen Charakter des Traumes, einem der von uns gesuchten. Es ist auch möglich, daß wir überhaupt unrecht tun, wenn wir diese Gleichheit der Bezeichnung als bedeutungsvoll verwerten wollen. Das kann ja erst später geklärt werden.</w:t>
      </w:r>
    </w:p>
    <w:p w:rsidR="00062BE4" w:rsidRPr="002F7766"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2F7766">
          <w:rPr>
            <w:rStyle w:val="Lienhypertexte"/>
            <w:rFonts w:ascii="Garamond" w:hAnsi="Garamond" w:cs="Arial"/>
            <w:b/>
            <w:bCs/>
            <w:lang w:val="en-GB"/>
          </w:rPr>
          <w:t>6. Vo</w:t>
        </w:r>
        <w:bookmarkStart w:id="273" w:name="Vorlesungen_6"/>
        <w:bookmarkEnd w:id="273"/>
        <w:r w:rsidRPr="002F7766">
          <w:rPr>
            <w:rStyle w:val="Lienhypertexte"/>
            <w:rFonts w:ascii="Garamond" w:hAnsi="Garamond" w:cs="Arial"/>
            <w:b/>
            <w:bCs/>
            <w:lang w:val="en-GB"/>
          </w:rPr>
          <w:t>rlesung. [Der Traum] Voraussetzungen und Technik der Deutung</w:t>
        </w:r>
      </w:hyperlink>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 xml:space="preserve">Meine Damen und Herren! Also wir bedürfen eines neuen Weges, einer Methode, um in der Erforschung des Traumes von der Stelle zu kommen. Ich mache Ihnen nun einen naheliegenden Vorschlag. Nehmen wir als Voraussetzung für alles Weitere an, </w:t>
      </w:r>
      <w:r w:rsidRPr="002F7766">
        <w:rPr>
          <w:rFonts w:ascii="Garamond" w:hAnsi="Garamond" w:cs="Arial"/>
          <w:i/>
          <w:iCs/>
          <w:lang w:val="en-GB"/>
        </w:rPr>
        <w:t>daß der Traum kein somatisches, sondern ein psychisches Phänomen ist</w:t>
      </w:r>
      <w:r w:rsidRPr="002F7766">
        <w:rPr>
          <w:rFonts w:ascii="Garamond" w:hAnsi="Garamond" w:cs="Arial"/>
          <w:lang w:val="en-GB"/>
        </w:rPr>
        <w:t>. Was das bedeutet, wissen Sie, aber was berechtigt uns zu dieser Annahme? Nichts, aber wir sind auch nicht gehindert, sie zu machen. Die Sache liegt so: Wenn der Traum ein somatisches Phänomen ist, geht er uns nichts an; er kann uns nur unter der Voraussetzung, daß er ein seelisches Phänomen ist, interessieren. Wir arbeiten also unter der Voraussetzung, er sei es wirklich, um zu sehen, was dabei herauskommt. Das Ergebnis unserer Arbeit wird darüber entscheiden, ob wir an der Annahme festhalten und sie nun ihrerseits als ein Resultat vertreten dürfen. Was wollen wir denn eigentlich erreichen, wozu arbeiten wir? Wir wollen, was man in der Wissenschaft überhaupt anstrebt, ein Verständnis der Phänomene, die Herstellung eines Zusammenhanges zwischen ihnen, und in letzter Ferne, wo es möglich ist, eine Erweiterung unserer Macht über sie.</w:t>
      </w:r>
    </w:p>
    <w:p w:rsidR="00062BE4" w:rsidRPr="002F7766" w:rsidRDefault="00062BE4" w:rsidP="00062BE4">
      <w:pPr>
        <w:rPr>
          <w:rFonts w:ascii="Garamond" w:hAnsi="Garamond" w:cs="Arial"/>
          <w:lang w:val="en-GB"/>
        </w:rPr>
      </w:pPr>
      <w:r w:rsidRPr="002F7766">
        <w:rPr>
          <w:rFonts w:ascii="Garamond" w:hAnsi="Garamond" w:cs="Arial"/>
          <w:lang w:val="en-GB"/>
        </w:rPr>
        <w:t xml:space="preserve">Wir setzen also die Arbeit unter der Annahme fort, daß der Traum ein psychisches Phänomen ist. Dann ist er eine Leistung und Äußerung des Träumers, aber eine solche, die uns nichts sagt, die wir nicht verstehen. Was tun Sie nun in dem Falle, daß ich eine Ihnen unverständliche Äußerung von mir gebe?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fragen, nicht wahr? Warum sollen wir nicht dasselbe tun dürfen, </w:t>
      </w:r>
      <w:r w:rsidRPr="002F7766">
        <w:rPr>
          <w:rFonts w:ascii="Garamond" w:hAnsi="Garamond" w:cs="Arial"/>
          <w:i/>
          <w:iCs/>
          <w:lang w:val="en-GB"/>
        </w:rPr>
        <w:t>den Träumer befragen, was sein Traum bedeutet?</w:t>
      </w:r>
      <w:r w:rsidRPr="002F7766">
        <w:rPr>
          <w:rFonts w:ascii="Garamond" w:hAnsi="Garamond" w:cs="Arial"/>
          <w:lang w:val="en-GB"/>
        </w:rPr>
        <w:t xml:space="preserve"> Erinnern Sie sich, wir befanden uns schon einmal in dieser Situation. Es war bei der Untersuchung gewisser Fehlleistungen, eines Falles von Versprechen. Jemand hatte gesagt: Da sind Dinge zum Vorschwein gekommen, und darauf fragten wir – nein, zum Glück nicht wir, sondern andere, die der Psychoanalyse ganz fernstehen, da fragten ihn diese anderen, was er mit dieser unverständlichen Rede wolle. Er antwortete sofort, daß er die Absicht gehabt hatte zu sagen: das waren Schweinereien, daß er aber diese Absicht zurückgedrängt gegen die andere, gemilderte: da sind Dinge zum Vorschein gekommen. Ich erklärte Ihnen schon damals, diese Erkundigung sei das Vorbild jeder psychoanalytischen Untersuchung, und Sie verstehen jetzt, daß die Psychoanalyse die Technik befolgt, sich soweit es nur angeht die Lösung ihrer Rätsel von den Untersuchten selbst sagen zu lassen. So soll uns auch der Träumer selbst sagen, was sein Traum bedeutet.</w:t>
      </w:r>
    </w:p>
    <w:p w:rsidR="00062BE4" w:rsidRPr="002F7766" w:rsidRDefault="00062BE4" w:rsidP="00062BE4">
      <w:pPr>
        <w:rPr>
          <w:rFonts w:ascii="Garamond" w:hAnsi="Garamond" w:cs="Arial"/>
          <w:lang w:val="en-GB"/>
        </w:rPr>
      </w:pPr>
      <w:r w:rsidRPr="002F7766">
        <w:rPr>
          <w:rFonts w:ascii="Garamond" w:hAnsi="Garamond" w:cs="Arial"/>
          <w:lang w:val="en-GB"/>
        </w:rPr>
        <w:t xml:space="preserve">Aber so einfach geht das bekanntlich beim Traum nicht. Bei den Fehlleistungen ging es in einer Anzahl von Fällen; dann kamen wir zu anderen, in denen der Befragte nichts sagen wollte, ja sogar die Antwort, die wir ihm nahelegten, entrüstet zurückwies. Beim Traum fehlen uns die Fälle der ersten Art völlig; der Träumer sagt immer, er weiß nichts. Zurückweisen kann er unsere Deutung nicht, da wir ihm keine vorzulegen haben. So sollten wir also unseren Versuch wieder aufgeben? Da er nichts weiß und wir nichts wissen und ein Dritter erst recht nichts wissen kann, gibt's wohl keine Aussicht, es zu erfahren. Ja, wenn Sie wollen, geben Sie den Versuch auf. Wenn Sie aber anders wollen, so können Sie den Weg mit mir fortsetzen. Ich sage Ihnen nämlich, es ist doch sehr wohl möglich, ja sehr wahrscheinlich, daß der Träumer es doch weiß, was sein Traum bedeutet, </w:t>
      </w:r>
      <w:r w:rsidRPr="002F7766">
        <w:rPr>
          <w:rFonts w:ascii="Garamond" w:hAnsi="Garamond" w:cs="Arial"/>
          <w:i/>
          <w:iCs/>
          <w:lang w:val="en-GB"/>
        </w:rPr>
        <w:t>nur weiß er nicht, daß er es weiß, und glaubt darum, daß er es nicht weiß</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Sie werden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aufmerksam machen, daß ich da wiederum eine Annahme einführe, schon die zweite in diesem kurzen Zusammenhange, und den Anspruch meines Verfahrens auf Glaubwürdigkeit enorm herabsetze. Unter der Voraussetzung, daß der Traum ein psychisches Phänomen ist, unter der weiteren Voraussetzung, daß es seelische Dinge im Menschen gibt, die er weiß, ohne zu wissen, daß er sie weiß, usw. Dann braucht man nur die innere Unwahrscheinlichkeit jeder dieser beiden Voraussetzungen ins Auge zu fassen, um beruhigt sein Interesse von den Schlüssen aus ihnen abzuwenden.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Ja, meine Damen und Herren, ich habe Sie nicht hieher kommen lassen, um Ihnen etwas vorzuspiegeln oder zu verhehlen. Ich habe zwar »Elementare Vorlesungen zur Einführung in die Psychoanalyse« angekündigt, aber damit habe ich keine Darstellung </w:t>
      </w:r>
      <w:r w:rsidRPr="002F7766">
        <w:rPr>
          <w:rFonts w:ascii="Garamond" w:hAnsi="Garamond" w:cs="Arial"/>
          <w:i/>
          <w:iCs/>
          <w:lang w:val="en-GB"/>
        </w:rPr>
        <w:t>in usum delphini</w:t>
      </w:r>
      <w:r w:rsidRPr="002F7766">
        <w:rPr>
          <w:rFonts w:ascii="Garamond" w:hAnsi="Garamond" w:cs="Arial"/>
          <w:lang w:val="en-GB"/>
        </w:rPr>
        <w:t xml:space="preserve"> beabsichtigt, die Ihnen einen glatten Zusammenhang zeigen soll mit sorgfältigem Verstecken aller Schwierigkeiten, Ausfüllung der Lücken, Übermalen der Zweifel, damit Sie ruhigen Gemüts glauben sollen, Sie haben etwas Neues gelernt. Nein, gerade darum, weil Sie Anfänger sind, wollte ich Ihnen unsere Wissenschaft zeigen, wie sie ist, mit ihren Unebenheiten und Härten, Anforderungen und Bedenken. Ich weiß nämlich, daß es in keiner Wissenschaft anders ist und besonders in ihren Anfängen gar nicht anders sein kann. Ich weiß auch, daß der Unterricht sich sonst bemüht, diese Schwierigkeiten und Unvollkommenheiten dem Lernenden zunächst zu verbergen. Aber das geht bei der Psychoanalyse nicht. Ich habe also wirklich zwei Voraussetzungen gemacht, die eine innerhalb der anderen, und wem das Ganze zu mühselig und zu unsicher ist, oder wer an höhere Sicherheiten und elegantere Ableitungen gewöhnt ist, der braucht nicht weiter mitzugehen. Ich meine nur, der soll psychologische Probleme überhaupt in Ruhe lassen, denn es ist zu besorgen, daß er die exakten und sicheren Wege, die er zu begehen bereit ist, hier nicht gangbar findet. Es ist auch ganz überflüssig, daß eine Wissenschaft, die etwas zu bieten hat, um Gehör und um Anhänger werbe. Ihre Ergebnisse müssen für sie Stimmung machen, und sie kann abwarten, bis diese sich Aufmerksamkeit erzwungen haben.</w:t>
      </w:r>
    </w:p>
    <w:p w:rsidR="00062BE4" w:rsidRPr="002F7766" w:rsidRDefault="00062BE4" w:rsidP="00062BE4">
      <w:pPr>
        <w:rPr>
          <w:rFonts w:ascii="Garamond" w:hAnsi="Garamond" w:cs="Arial"/>
          <w:lang w:val="en-GB"/>
        </w:rPr>
      </w:pPr>
      <w:r w:rsidRPr="002F7766">
        <w:rPr>
          <w:rFonts w:ascii="Garamond" w:hAnsi="Garamond" w:cs="Arial"/>
          <w:lang w:val="en-GB"/>
        </w:rPr>
        <w:t>Diejenigen von Ihnen aber, die bei der Sache verbleiben wollen, kann ich daran mahnen, daß meine beiden Annahmen nicht gleichwertig sind. Die erste, der Traum sei ein seelisches Phänomen, ist die Voraussetzung, die wir durch den Erfolg unserer Arbeit erweisen wollen; die andere ist bereits auf einem anderen Gebiete erwiesen, und ich nehme mir bloß die Freiheit, sie von dorther auf unsere Probleme zu übertragen.</w:t>
      </w:r>
    </w:p>
    <w:p w:rsidR="00062BE4" w:rsidRPr="002F7766" w:rsidRDefault="00062BE4" w:rsidP="00062BE4">
      <w:pPr>
        <w:rPr>
          <w:rFonts w:ascii="Garamond" w:hAnsi="Garamond" w:cs="Arial"/>
          <w:lang w:val="en-GB"/>
        </w:rPr>
      </w:pPr>
      <w:r w:rsidRPr="002F7766">
        <w:rPr>
          <w:rFonts w:ascii="Garamond" w:hAnsi="Garamond" w:cs="Arial"/>
          <w:lang w:val="en-GB"/>
        </w:rPr>
        <w:t xml:space="preserve">Wo, auf welchem Gebiet sollte der Beweis erbracht worden sein, daß es ein Wissen gibt, von dem der Mensch doch nichts weiß, wie wir es hier für den Träumer annehmen wollen? Das wäre doch eine merkwürdige, überraschende, unsere Auffassung des Seelenlebens verändernde Tatsache, die sich nicht zu verbergen brauchte. Nebenbei eine Tatsache, die sich in ihrer Benennung selbst aufhebt und doch etwas Wirkliches sein will, eine </w:t>
      </w:r>
      <w:r w:rsidRPr="002F7766">
        <w:rPr>
          <w:rFonts w:ascii="Garamond" w:hAnsi="Garamond" w:cs="Arial"/>
          <w:i/>
          <w:iCs/>
          <w:lang w:val="en-GB"/>
        </w:rPr>
        <w:t>contradictio in adjecto</w:t>
      </w:r>
      <w:r w:rsidRPr="002F7766">
        <w:rPr>
          <w:rFonts w:ascii="Garamond" w:hAnsi="Garamond" w:cs="Arial"/>
          <w:lang w:val="en-GB"/>
        </w:rPr>
        <w:t>. Nun, sie verbirgt sich auch gar nicht. Es liegt nicht an ihr, wenn man nichts von ihr weiß oder sich nicht genügend um sie kümmert. So wenig, wie es unsere Schuld ist, daß alle diese psychologischen Probleme von Personen abgeurteilt werden, die sich von all den hiefür entscheidenden Beobachtungen und Erfahrungen ferngehalten haben.</w:t>
      </w:r>
    </w:p>
    <w:p w:rsidR="00062BE4" w:rsidRPr="002F7766" w:rsidRDefault="00062BE4" w:rsidP="00062BE4">
      <w:pPr>
        <w:rPr>
          <w:rFonts w:ascii="Garamond" w:hAnsi="Garamond" w:cs="Arial"/>
          <w:lang w:val="en-GB"/>
        </w:rPr>
      </w:pPr>
      <w:r w:rsidRPr="002F7766">
        <w:rPr>
          <w:rFonts w:ascii="Garamond" w:hAnsi="Garamond" w:cs="Arial"/>
          <w:lang w:val="en-GB"/>
        </w:rPr>
        <w:t xml:space="preserve">Der Beweis ist auf dem Gebiet der hypnotischen Erscheinungen erbracht worden. Als ich im Jahre 1889 die ungemein eindrucksvollen Demonstrationen von Liébeault und Bernheim in </w:t>
      </w:r>
      <w:smartTag w:uri="urn:schemas-microsoft-com:office:smarttags" w:element="City">
        <w:smartTag w:uri="urn:schemas-microsoft-com:office:smarttags" w:element="place">
          <w:r w:rsidRPr="002F7766">
            <w:rPr>
              <w:rFonts w:ascii="Garamond" w:hAnsi="Garamond" w:cs="Arial"/>
              <w:lang w:val="en-GB"/>
            </w:rPr>
            <w:t>Nancy</w:t>
          </w:r>
        </w:smartTag>
      </w:smartTag>
      <w:r w:rsidRPr="002F7766">
        <w:rPr>
          <w:rFonts w:ascii="Garamond" w:hAnsi="Garamond" w:cs="Arial"/>
          <w:lang w:val="en-GB"/>
        </w:rPr>
        <w:t xml:space="preserve"> mitansah, war ich auch Zeuge des folgenden Versuches. Wenn man einen Mann in den somnambulen Zustand versetzt hatte, ihn in diesem alles mögliche halluzinatorisch erleben ließ und ihn dann aufweckte, so schien er zunächst von den Vorgängen während seines hypnotischen Schlafes nichts zu wissen. Bernheim forderte ihn dann direkt auf zu erzählen, was sich mit ihm während der Hypnose zugetragen. Er behauptete, er wisse sich an nichts zu erinnern. Aber Bernheim bestand darauf, er drang in den Mann, versicherte ihm, er wisse es, müsse sich daran erinnern, und siehe da, der Mann wurde schwankend, begann sich zu besinnen, erinnerte zuerst wie schattenhaft eines der ihm suggerierten Erlebnisse, dann ein anderes Stück, die Erinnerung wurde immer deutlicher, immer vollständiger, und endlich war sie lückenlos zutage gefördert. Da er es aber nachher wußte und inzwischen von keiner anderen Seite etwas erfahren hatte, ist der Schluß berechtigt, daß er um diese Erinnerungen auch vorher gewußt hat. Sie waren ihm nur unzugänglich, er wußte nicht, daß er sie wisse, er glaubte, daß er sie nicht wisse. Also ganz der Fall, den wir beim Träumer vermuten.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hoffe, Sie werden von der Feststellung dieser Tatsache überrascht sein und mich fragen: Warum haben Sie sich auf diesen Beweis nicht schon früher, bei den Fehlleistungen berufen, als wir dazu kamen, </w:t>
      </w:r>
      <w:r w:rsidRPr="002F7766">
        <w:rPr>
          <w:rFonts w:ascii="Garamond" w:hAnsi="Garamond" w:cs="Arial"/>
          <w:lang w:val="en-GB"/>
        </w:rPr>
        <w:lastRenderedPageBreak/>
        <w:t xml:space="preserve">dem Mann, der sich versprochen hatte, Redeabsichten zuzuschreiben, von denen er nichts wußte und die er verleugnete? Wenn jemand von Erlebnissen nichts zu wissen glaubt, deren Erinnerung er doch in sich trägt, so ist es nicht mehr so unwahrscheinlich, daß er auch von anderen seelischen Vorgängen in seinem Innern nichts weiß. Dies Argument hätte uns gewiß Eindruck gemacht und uns im Verständnis der Fehlleistungen gefördert. Gewiß hätte ich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schon damals darauf berufen können, aber ich sparte es auf bis zu einer anderen Stelle, an der es notwendiger wäre. Die Fehlleistungen haben sich zum Teil selbst aufgeklärt, zum anderen Teil hinterließen sie uns die Mahnung, dem Zusammenhang der Erscheinungen zuliebe die Existenz solcher seelischer Vorgänge, von denen man nichts weiß, doch anzunehmen. Beim Traum sind wir gezwungen, Erklärungen von anderswoher heranzuziehen, und überdies rechne ich damit, daß Sie hier eine Übertragung von der Hypnose her leichter zulassen werden. Der Zustand, in dem wir eine Fehlleistung vollziehen, muß Ihnen als der normale erscheinen, er hat mit dem hypnotischen keine Ähnlichkeit. Dagegen besteht eine deutliche Verwandtschaft zwischen dem hypnotischen Zustand und dem Schlafzustand, welcher die Bedingung des Träumens ist. Die Hypnose heißt ja ein künstlicher Schlaf; wir sagen der Person, die wir hypnotisieren: schlafen Sie, und die Suggestionen, die wir erteilen, sind den Träumen des natürlichen Schlafes vergleichbar. Die psychischen Situationen sind in beiden Fällen wirklich analoge. Im natürlichen Schlaf ziehen wir unser Interesse von der ganzen Außenwelt zurück, im hypnotischen wiederum von der ganzen Welt, aber mit Ausnahme der einen Person, die uns hypnotisiert hat, mit welcher wir im Rapport bleiben. Übrigens ist der sogenannte Ammenschlaf, bei dem die Amme im Rapport mit dem Kind bleibt und nur von diesem zu erwecken ist, ein normales Seitenstück zum hypnotischen. Die Übertragung eines Verhältnisses von der Hypnose auf den natürlichen Schlaf scheint also kein so kühnes Wagnis. Die Annahme, daß auch beim Träumer ein Wissen um seinen Traum vorhanden ist, das ihm nur unzugänglich ist, so daß er es selbst nicht glaubt, ist nicht völlig aus der Luft gegriffen. Merken wir uns übrigens, daß sich an dieser Stelle ein dritter Zugang zum Studium des Traumes eröffnet; von den schlafstörenden Reizen aus, von den Tagträumen und jetzt noch von den suggerierten Träumen des hypnotischen Zustandes.</w:t>
      </w:r>
    </w:p>
    <w:p w:rsidR="00062BE4" w:rsidRPr="002F7766" w:rsidRDefault="00062BE4" w:rsidP="00062BE4">
      <w:pPr>
        <w:rPr>
          <w:rFonts w:ascii="Garamond" w:hAnsi="Garamond" w:cs="Arial"/>
          <w:lang w:val="en-GB"/>
        </w:rPr>
      </w:pPr>
      <w:r w:rsidRPr="002F7766">
        <w:rPr>
          <w:rFonts w:ascii="Garamond" w:hAnsi="Garamond" w:cs="Arial"/>
          <w:lang w:val="en-GB"/>
        </w:rPr>
        <w:t>Nun kehren wir vielleicht mit gesteigertem Zutrauen zu unserer Aufgabe zurück. Es ist also sehr wahrscheinlich, daß der Träumer um seinen Traum weiß; es handelt sich nur darum, ihm möglich zu machen, daß er sein Wissen auffindet und es uns mitteilt. Wir verlangen nicht, daß er uns sofort den Sinn seines Traumes sage, aber die Herkunft desselben, den Gedanken- und Interessenkreis, aus dem er stammt, wird er auffinden können. Im Falle der Fehlleistung, erinnern Sie sich, wurde er gefragt, wie er zu dem Fehlwort »Vorschwein« gekommen war, und sein nächster Einfall gab uns die Aufklärung. Unsere Technik beim Traume ist nun eine sehr einfache, diesem Beispiel nachgeahmte. Wir werden ihn wiederum fragen, wie er zu dem Traume gekommen ist, und seine nächste Aussage soll wieder als Aufklärung angesehen werden. Wir setzen uns also über den Unterschied, ob er etwas zu wissen glaubt oder nicht glaubt, hinaus und behandeln beide Fälle wie einen einzigen.</w:t>
      </w:r>
    </w:p>
    <w:p w:rsidR="00062BE4" w:rsidRPr="002F7766" w:rsidRDefault="00062BE4" w:rsidP="00062BE4">
      <w:pPr>
        <w:rPr>
          <w:rFonts w:ascii="Garamond" w:hAnsi="Garamond" w:cs="Arial"/>
          <w:lang w:val="en-GB"/>
        </w:rPr>
      </w:pPr>
      <w:r w:rsidRPr="002F7766">
        <w:rPr>
          <w:rFonts w:ascii="Garamond" w:hAnsi="Garamond" w:cs="Arial"/>
          <w:lang w:val="en-GB"/>
        </w:rPr>
        <w:t>Diese Technik ist gewiß sehr einfach, aber ich fürchte, sie wird Ihre schärfste Opposition hervorrufen. Sie werden sagen: Eine neue Annahme, die dritte! Und die unwahrscheinlichste von allen! Wenn ich den Träumer frage, was ihm zum Traum einfällt, soll gerade sein nächster Einfall die gewünschte Aufklärung bringen? Aber es braucht ihm ja gar nichts einzufallen, oder es kann ihm Gott weiß was einfallen. Wir können nicht einsehen, worauf sich eine solche Erwartung stützt. Das heißt wirklich zuviel Gottvertrauen zeigen an einer Stelle, wo etwas mehr Kritik besser passen würde. Überdies ist ja ein Traum nicht ein einzelnes Fehlwort, sondern besteht aus vielen Elementen. An welchen Einfall soll man sich da halten?</w:t>
      </w:r>
    </w:p>
    <w:p w:rsidR="00062BE4" w:rsidRPr="002F7766" w:rsidRDefault="00062BE4" w:rsidP="00062BE4">
      <w:pPr>
        <w:rPr>
          <w:rFonts w:ascii="Garamond" w:hAnsi="Garamond" w:cs="Arial"/>
          <w:lang w:val="en-GB"/>
        </w:rPr>
      </w:pPr>
      <w:r w:rsidRPr="002F7766">
        <w:rPr>
          <w:rFonts w:ascii="Garamond" w:hAnsi="Garamond" w:cs="Arial"/>
          <w:lang w:val="en-GB"/>
        </w:rPr>
        <w:t xml:space="preserve">Sie haben in allem Nebensächlichen recht. Ein Traum unterscheidet sich von einem Versprechen auch in der Vielheit seiner Elemente. Dem muß die Technik Rechnung tragen. Ich schlage Ihnen also vor, daß wir den Traum in seine Elemente zerteilen und die Untersuchung für jedes Element gesondert anstellen; dann ist die Analogie mit dem Versprechen wieder hergestellt. Auch darin haben Sie recht, daß der zu den einzelnen Traumelementen Befragte antworten kann, es falle ihm nichts ein. Es gibt Fälle, in denen wir </w:t>
      </w:r>
      <w:r w:rsidRPr="002F7766">
        <w:rPr>
          <w:rFonts w:ascii="Garamond" w:hAnsi="Garamond" w:cs="Arial"/>
          <w:lang w:val="en-GB"/>
        </w:rPr>
        <w:lastRenderedPageBreak/>
        <w:t>diese Antwort gelten lassen, und Sie werden später hören, welche. Es sind bemerkenswerterweise solche Fälle, in denen wir selbst bestimmte Einfälle haben können. Aber im allgemeinen werden wir dem Träumer, wenn er keinen Einfall zu haben behauptet, widersprechen, wir werden in ihn drängen, werden ihm versichern, daß er einen Einfall haben müsse und – werden recht bekommen. Er wird einen Einfall dazu bringen, irgendeinen, uns gleichgültig, welchen. Gewisse Auskünfte, die man historische nennen kann, wird er besonders leicht erteilen. Er wird sagen: Das ist etwas, was gestern vorgefallen ist (wie in den beiden uns bekannt gewordenen »nüchternen Träumen«), oder: Das erinnert mich an etwas, was sich vor kurzer Zeit ereignet hat – und auf diese Art werden wir bemerken, daß die Anknüpfungen der Träume an Eindrücke der letzten Tage weit häufiger sind, als wir zuerst geglaubt haben. Endlich wird er sich auch vom Traum aus an fernerliegende, eventuell sogar an weit zurückliegende Begebenheiten erinnern.</w:t>
      </w:r>
    </w:p>
    <w:p w:rsidR="00062BE4" w:rsidRPr="002F7766" w:rsidRDefault="00062BE4" w:rsidP="00062BE4">
      <w:pPr>
        <w:rPr>
          <w:rFonts w:ascii="Garamond" w:hAnsi="Garamond" w:cs="Arial"/>
          <w:lang w:val="en-GB"/>
        </w:rPr>
      </w:pPr>
      <w:r w:rsidRPr="002F7766">
        <w:rPr>
          <w:rFonts w:ascii="Garamond" w:hAnsi="Garamond" w:cs="Arial"/>
        </w:rPr>
        <w:t xml:space="preserve">In der Hauptsache aber haben Sie unrecht. Wenn Sie meinen, es sei willkürlich anzunehmen, daß der nächste Einfall des Träumers gerade das Gesuchte bringen oder zu ihm führen müsse, der Einfall könne vielmehr ganz beliebig und außer Zusammenhang mit dem Gesuchten sein, es sei nur eine Äußerung meines Gottvertrauens, wenn ich es anders erwarte, so irren Sie groß. Ich habe mir schon einmal die Freiheit genommen, Ihnen vorzuhalten, daß ein tief wurzelnder Glaube an psychische Freiheit und Willkürlichkeit in Ihnen steckt, der aber ganz unwissenschaftlich ist und vor der Anforderung eines auch das Seelenleben beherrschenden Determinismus die Segel streichen muß. </w:t>
      </w:r>
      <w:r w:rsidRPr="002F7766">
        <w:rPr>
          <w:rFonts w:ascii="Garamond" w:hAnsi="Garamond" w:cs="Arial"/>
          <w:lang w:val="en-GB"/>
        </w:rPr>
        <w:t>Ich bitte Sie, es als eine Tatsache zu respektieren, daß dem Gefragten dies eingefallen ist und nichts anderes. Aber ich setze nicht dem einen Glauben einen anderen entgegen. Es läßt sich beweisen, daß der Einfall, den der Gefragte produziert, nicht willkürlich, nicht unbestimmbar ist, nicht außer Zusammenhang mit dem von uns Gesuchten steht. Ja, ich habe unlängst erfahren – ohne übrigens zuviel Wert darauf zu legen –, daß auch die experimentelle Psychologie solche Beweise vorgebracht hat.</w:t>
      </w:r>
    </w:p>
    <w:p w:rsidR="00062BE4" w:rsidRPr="002F7766" w:rsidRDefault="00062BE4" w:rsidP="00062BE4">
      <w:pPr>
        <w:rPr>
          <w:rFonts w:ascii="Garamond" w:hAnsi="Garamond" w:cs="Arial"/>
          <w:lang w:val="en-GB"/>
        </w:rPr>
      </w:pPr>
      <w:r w:rsidRPr="002F7766">
        <w:rPr>
          <w:rFonts w:ascii="Garamond" w:hAnsi="Garamond" w:cs="Arial"/>
          <w:lang w:val="en-GB"/>
        </w:rPr>
        <w:t xml:space="preserve">Bei der Bedeutung des Gegenstandes bitte ich um Ihre besondere Aufmerksamkeit. Wenn ich jemand auffordere zu sagen, was ihm zu einem bestimmten Element des Traumes einfällt, so verlange ich von ihm, daß er sich der freien Assoziation </w:t>
      </w:r>
      <w:r w:rsidRPr="002F7766">
        <w:rPr>
          <w:rFonts w:ascii="Garamond" w:hAnsi="Garamond" w:cs="Arial"/>
          <w:i/>
          <w:iCs/>
          <w:lang w:val="en-GB"/>
        </w:rPr>
        <w:t>unter Festhaltung einer Ausgangsvorstellung</w:t>
      </w:r>
      <w:r w:rsidRPr="002F7766">
        <w:rPr>
          <w:rFonts w:ascii="Garamond" w:hAnsi="Garamond" w:cs="Arial"/>
          <w:lang w:val="en-GB"/>
        </w:rPr>
        <w:t xml:space="preserve"> überlasse. Dies erfordert eine besondere Einstellung der Aufmerksamkeit, die ganz anders ist als beim Nachdenken und das Nachdenken ausschließt. Manche treffen eine solche Einstellung leicht; andere zeigen bei dem Versuch ein unglaublich hohes Maß von Ungeschicklichkeit. Es gibt nun einen höheren Grad von Freiheit der Assoziation, wenn ich nämlich auch diese Ausgangsvorstellung fallenlasse und etwa nur Art und Gattung des Einfalles festlege, z. B. bestimme, daß man sich einen Eigennamen oder eine Zahl frei einfallen lassen solle. Dieser Einfall müßte noch willkürlicher, noch unberechenbarer sein als der bei unserer Technik verwendete. Es läßt sich aber zeigen, daß er jedesmal strenge determiniert wird durch wichtige innere Einstellungen, die im Moment, da sie wirken, uns nicht bekannt sind, ebensowenig bekannt wie die störenden Tendenzen der Fehlleistungen und die provozierenden der Zufallshandlungen.</w:t>
      </w:r>
    </w:p>
    <w:p w:rsidR="00062BE4" w:rsidRPr="002F7766" w:rsidRDefault="00062BE4" w:rsidP="00062BE4">
      <w:pPr>
        <w:rPr>
          <w:rFonts w:ascii="Garamond" w:hAnsi="Garamond" w:cs="Arial"/>
          <w:lang w:val="en-GB"/>
        </w:rPr>
      </w:pPr>
      <w:r w:rsidRPr="002F7766">
        <w:rPr>
          <w:rFonts w:ascii="Garamond" w:hAnsi="Garamond" w:cs="Arial"/>
          <w:lang w:val="en-GB"/>
        </w:rPr>
        <w:t>Ich und viele andere nach mir haben wiederholt solche Untersuchungen für Namen und Zahlen, die man sich ohne jeden Anhalt einfallen läßt, angestellt, einige derselben auch veröffentlicht. Man verfährt dabei in der Weise, daß man zu dem aufgetauchten Namen fortlaufende Assoziationen weckt, die also nicht mehr ganz frei, sondern wie die Einfälle zu den Traumelementen einmal gebunden sind, und dies so lange, bis man den Antrieb dazu erschöpft findet. Dann hat man aber auch Motivierung und Bedeutung des freien Nameneinfalls aufgeklärt. Die Versuche ergeben immer wieder das nämliche, ihre Mitteilung erstreckt sich oft über reiches Material und macht weitläufige Ausführungen notwendig. Die Assoziationen der frei aufgetauchten Zahlen sind vielleicht die beweisendsten; sie laufen so schnell ab und gehen mit so unbegreiflicher Sicherheit auf ein verhülltes Ziel los, daß sie wirklich verblüffend wirken. Ich will Ihnen nur ein Beispiel einer solchen Namenanalyse mitteilen, weil es sich günstigerweise mit wenig Material erledigen läßt.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Im Laufe der Behandlung eines jungen Mannes komme ich auf dieses Thema zu sprechen und erwähne den Satz, daß man sich trotz der anscheinenden Willkür doch keinen Namen einfallen lassen kann, der sich nicht als enge bedingt durch die nächstliegenden Verhältnisse, die Eigentümlichkeiten der Versuchsperson und ihre momentane Situation erwiese. Da er zweifelt, schlage ich ihm vor, ohne Aufschub selbst einen solchen Versuch zu machen. Ich weiß, daß er besonders zahlreiche Beziehungen jeder Art zu Frauen und Mädchen unterhält, und meine darum, er werde eine besonders große Auswahl haben, wenn er sich gerade einen Frauennamen einfallen lasse. Er ist damit einverstanden. Zu meinem, oder vielleicht zu seinem Erstaunen, bricht aber jetzt keineswegs eine Lawine von Frauennamen über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los, sondern er bleibt eine Weile stumm und gesteht dann, daß ihm ein einziger Name in den Sinn gekommen sei, kein anderer daneben: </w:t>
      </w:r>
      <w:r w:rsidRPr="002F7766">
        <w:rPr>
          <w:rFonts w:ascii="Garamond" w:hAnsi="Garamond" w:cs="Arial"/>
          <w:i/>
          <w:iCs/>
          <w:lang w:val="en-GB"/>
        </w:rPr>
        <w:t>Albine</w:t>
      </w:r>
      <w:r w:rsidRPr="002F7766">
        <w:rPr>
          <w:rFonts w:ascii="Garamond" w:hAnsi="Garamond" w:cs="Arial"/>
          <w:lang w:val="en-GB"/>
        </w:rPr>
        <w:t xml:space="preserve">. – Wie merkwürdig, aber was knüpft sich für Sie an diesen Namen? Wieviel Albinen kennen Sie? Sonderbar, er kannte keine Albine, und es fiel ihm zu diesem Namen auch weiter nichts ein. So konnte man annehmen, die Analyse sei mißlungen; aber nein, sie war nur bereits vollendet, es war kein weiterer Einfall erforderlich. Der Mann hatte selbst ungewöhnlich helle Farben, in den Gesprächen der Kur hatte ich ihn wiederholt scherzhaft einen </w:t>
      </w:r>
      <w:r w:rsidRPr="002F7766">
        <w:rPr>
          <w:rFonts w:ascii="Garamond" w:hAnsi="Garamond" w:cs="Arial"/>
          <w:i/>
          <w:iCs/>
          <w:lang w:val="en-GB"/>
        </w:rPr>
        <w:t>Albino</w:t>
      </w:r>
      <w:r w:rsidRPr="002F7766">
        <w:rPr>
          <w:rFonts w:ascii="Garamond" w:hAnsi="Garamond" w:cs="Arial"/>
          <w:lang w:val="en-GB"/>
        </w:rPr>
        <w:t xml:space="preserve"> genannt; wir waren eben damit beschäftigt, den weiblichen Anteil an seiner Konstitution festzustellen. Er war also selbst diese Albine, das derzeit interessanteste Frauenzimmer.</w:t>
      </w:r>
    </w:p>
    <w:p w:rsidR="00062BE4" w:rsidRPr="002F7766" w:rsidRDefault="00062BE4" w:rsidP="00062BE4">
      <w:pPr>
        <w:rPr>
          <w:rFonts w:ascii="Garamond" w:hAnsi="Garamond" w:cs="Arial"/>
          <w:lang w:val="en-GB"/>
        </w:rPr>
      </w:pPr>
      <w:r w:rsidRPr="002F7766">
        <w:rPr>
          <w:rFonts w:ascii="Garamond" w:hAnsi="Garamond" w:cs="Arial"/>
          <w:lang w:val="en-GB"/>
        </w:rPr>
        <w:t xml:space="preserve">Ebenso erweisen sich Melodien, die einem unvermittelt einfallen, als bedingt durch und zugehörig zu einem Gedankenzug, der ein Recht hat, einen zu beschäftigen, ohne daß man um diese Aktivität weiß. Es ist dann leicht zu zeigen, daß die Beziehung zur Melodie an deren Text oder an ihre Herkunft anknüpft; ich muß aber so vorsichtig sein, diese Behauptung nicht auf wirklich musikalische Menschen auszudehnen, über die ich zufällig keine Erfahrung habe. Bei solchen mag der musikalische Gehalt der Melodie für ihr Auftauchen maßgebend sein. Häufiger ist gewiß der erstere Fall. So weiß ich von einem jungen Manne, der von der allerdings reizenden Melodie des Parisliedes aus der </w:t>
      </w:r>
      <w:r w:rsidRPr="002F7766">
        <w:rPr>
          <w:rFonts w:ascii="Garamond" w:hAnsi="Garamond" w:cs="Arial"/>
          <w:i/>
          <w:iCs/>
          <w:lang w:val="en-GB"/>
        </w:rPr>
        <w:t>Schönen Helena</w:t>
      </w:r>
      <w:r w:rsidRPr="002F7766">
        <w:rPr>
          <w:rFonts w:ascii="Garamond" w:hAnsi="Garamond" w:cs="Arial"/>
          <w:lang w:val="en-GB"/>
        </w:rPr>
        <w:t xml:space="preserve"> eine Zeitlang geradezu verfolgt wurde, bis ihn die Analyse auf die derzeitige Konkurrenz einer »Ida« mit einer »Helene« in seinem Interesse aufmerksam machte.</w:t>
      </w:r>
    </w:p>
    <w:p w:rsidR="00062BE4" w:rsidRPr="002F7766" w:rsidRDefault="00062BE4" w:rsidP="00062BE4">
      <w:pPr>
        <w:rPr>
          <w:rFonts w:ascii="Garamond" w:hAnsi="Garamond" w:cs="Arial"/>
          <w:lang w:val="en-GB"/>
        </w:rPr>
      </w:pPr>
      <w:r w:rsidRPr="002F7766">
        <w:rPr>
          <w:rFonts w:ascii="Garamond" w:hAnsi="Garamond" w:cs="Arial"/>
          <w:lang w:val="en-GB"/>
        </w:rPr>
        <w:t xml:space="preserve">Wenn also die ganz frei auftauchenden Einfälle in solcher Weise bedingt und in einen bestimmten Zusammenhang eingeordnet sind, so werden wir wohl mit Recht schließen, daß Einfälle mit einer einzigen Gebundenheit, der an eine Ausgangsvorstellung, nicht minder bedingt sein können. Die Untersuchung zeigt wirklich, daß sie außer der Gebundenheit, die wir ihnen durch die Ausgangsvorstellung mitgegeben haben, eine zweite Abhängigkeit von affektmächtigen Gedanken- und Interessenkreisen, </w:t>
      </w:r>
      <w:r w:rsidRPr="002F7766">
        <w:rPr>
          <w:rFonts w:ascii="Garamond" w:hAnsi="Garamond" w:cs="Arial"/>
          <w:i/>
          <w:iCs/>
          <w:lang w:val="en-GB"/>
        </w:rPr>
        <w:t>Komplexen</w:t>
      </w:r>
      <w:r w:rsidRPr="002F7766">
        <w:rPr>
          <w:rFonts w:ascii="Garamond" w:hAnsi="Garamond" w:cs="Arial"/>
          <w:lang w:val="en-GB"/>
        </w:rPr>
        <w:t>, erkennen lassen, deren Mitwirkung im Moment nicht bekannt, also unbewußt ist.</w:t>
      </w:r>
    </w:p>
    <w:p w:rsidR="00062BE4" w:rsidRPr="002F7766" w:rsidRDefault="00062BE4" w:rsidP="00062BE4">
      <w:pPr>
        <w:rPr>
          <w:rFonts w:ascii="Garamond" w:hAnsi="Garamond" w:cs="Arial"/>
        </w:rPr>
      </w:pPr>
      <w:r w:rsidRPr="002F7766">
        <w:rPr>
          <w:rFonts w:ascii="Garamond" w:hAnsi="Garamond" w:cs="Arial"/>
          <w:lang w:val="en-GB"/>
        </w:rPr>
        <w:t xml:space="preserve">Einfälle von solcher Gebundenheit sind Gegenstand sehr lehrreicher experimenteller Untersuchungen gewesen, die in der Geschichte der Psychoanalyse eine bemerkenswerte Rolle gespielt haben. Die Wundtsche Schule hatte das sogenannte Assoziationsexperiment angegeben, bei welchem der Versuchsperson der Auftrag erteilt wird, auf ein ihr zugerufenes </w:t>
      </w:r>
      <w:r w:rsidRPr="002F7766">
        <w:rPr>
          <w:rFonts w:ascii="Garamond" w:hAnsi="Garamond" w:cs="Arial"/>
          <w:i/>
          <w:iCs/>
          <w:lang w:val="en-GB"/>
        </w:rPr>
        <w:t>Reizwort</w:t>
      </w:r>
      <w:r w:rsidRPr="002F7766">
        <w:rPr>
          <w:rFonts w:ascii="Garamond" w:hAnsi="Garamond" w:cs="Arial"/>
          <w:lang w:val="en-GB"/>
        </w:rPr>
        <w:t xml:space="preserve"> möglichst rasch mit einer beliebigen </w:t>
      </w:r>
      <w:r w:rsidRPr="002F7766">
        <w:rPr>
          <w:rFonts w:ascii="Garamond" w:hAnsi="Garamond" w:cs="Arial"/>
          <w:i/>
          <w:iCs/>
          <w:lang w:val="en-GB"/>
        </w:rPr>
        <w:t>Reaktion</w:t>
      </w:r>
      <w:r w:rsidRPr="002F7766">
        <w:rPr>
          <w:rFonts w:ascii="Garamond" w:hAnsi="Garamond" w:cs="Arial"/>
          <w:lang w:val="en-GB"/>
        </w:rPr>
        <w:t xml:space="preserve"> zu antworten. Man kann dann das Intervall studieren, das zwischen Reiz und Reaktion verläuft, die Natur der als Reaktion gegebenen Antwort, den etwaigen Irrtum bei einer späteren Wiederholung desselben Versuches und ähnliches. Die Züricher Schule unter der Führung von Bleuler und Jung hat die Erklärung der beim Assoziationsexperiment erfolgenden Reaktionen gegeben, indem sie die Versuchsperson aufforderte, die von ihr erhaltenen Reaktionen durch nachträgliche Assoziationen zu erläutern, wenn sie etwas Auffälliges an sich trugen. Es stellte sich dann heraus, daß diese auffälligen Reaktionen in der schärfsten Weise durch die Komplexe der Versuchsperson determiniert waren. </w:t>
      </w:r>
      <w:r w:rsidRPr="002F7766">
        <w:rPr>
          <w:rFonts w:ascii="Garamond" w:hAnsi="Garamond" w:cs="Arial"/>
        </w:rPr>
        <w:t>Bleuler und Jung hatten damit die erste Brücke von der Experimentalpsychologie zur Psychoanalyse geschlagen.</w:t>
      </w:r>
    </w:p>
    <w:p w:rsidR="00062BE4" w:rsidRPr="002F7766" w:rsidRDefault="00062BE4" w:rsidP="00062BE4">
      <w:pPr>
        <w:rPr>
          <w:rFonts w:ascii="Garamond" w:hAnsi="Garamond" w:cs="Arial"/>
        </w:rPr>
      </w:pPr>
      <w:r w:rsidRPr="002F7766">
        <w:rPr>
          <w:rFonts w:ascii="Garamond" w:hAnsi="Garamond" w:cs="Arial"/>
        </w:rPr>
        <w:t xml:space="preserve">In solcher Weise belehrt, werden Sie sagen können: Wir anerkennen jetzt, daß freie Einfälle determiniert sind, nicht willkürlich, wie wir geglaubt haben. Wir geben dies auch für die Einfälle zu den Elementen des Traumes zu. Aber das ist es ja nicht, worauf es uns ankommt. Sie behaupten ja, daß der Einfall zum </w:t>
      </w:r>
      <w:r w:rsidRPr="002F7766">
        <w:rPr>
          <w:rFonts w:ascii="Garamond" w:hAnsi="Garamond" w:cs="Arial"/>
        </w:rPr>
        <w:lastRenderedPageBreak/>
        <w:t>Traumelement durch den uns nicht bekannten psychischen Hintergrund eben dieses Elements determiniert sein wird. Das scheint uns nicht erwiesen. Wir erwarten schon, daß sich der Einfall zum Traumelement durch einen der Komplexe des Träumers bestimmt zeigen wird, aber was nützt uns das? Das führt uns nicht zum Verständnis des Traumes, sondern wie das Assoziationsexperiment zur Kenntnis dieser sogenannten Komplexe. Was haben diese aber mit dem Traum zu tun?</w:t>
      </w:r>
    </w:p>
    <w:p w:rsidR="00062BE4" w:rsidRPr="002F7766" w:rsidRDefault="00062BE4" w:rsidP="00062BE4">
      <w:pPr>
        <w:rPr>
          <w:rFonts w:ascii="Garamond" w:hAnsi="Garamond" w:cs="Arial"/>
          <w:lang w:val="en-GB"/>
        </w:rPr>
      </w:pPr>
      <w:r w:rsidRPr="002F7766">
        <w:rPr>
          <w:rFonts w:ascii="Garamond" w:hAnsi="Garamond" w:cs="Arial"/>
        </w:rPr>
        <w:t xml:space="preserve">Sie haben recht, aber Sie übersehen ein Moment. Übrigens gerade jenes, wegen dessen ich das Assoziationsexperiment nicht zum Ausgangspunkt für diese Darstellung gewählt habe. </w:t>
      </w:r>
      <w:r w:rsidRPr="002F7766">
        <w:rPr>
          <w:rFonts w:ascii="Garamond" w:hAnsi="Garamond" w:cs="Arial"/>
          <w:lang w:val="en-GB"/>
        </w:rPr>
        <w:t>Bei diesem Experiment wird die eine Determinante der Reaktion, nämlich das Reizwort, von uns willkürlich gewählt. Die Reaktion ist dann eine Vermittlung zwischen diesem Reizwort und dem eben geweckten Komplex der Versuchsperson. Beim Traum ist das Reizwort ersetzt durch etwas, was selbst aus dem Seelenleben des Träumers, aus ihm unbekannten Quellen, stammt, also sehr leicht selbst ein »Komplexabkömmling« sein könnte. Es ist darum die Erwartung nicht gerade phantastisch, daß auch die an die Traumelemente angeknüpften weiteren Einfälle durch keinen anderen Komplex als den des Elements selbst bestimmt sein und auch zu dessen Aufdeckung führen werden.</w:t>
      </w:r>
    </w:p>
    <w:p w:rsidR="00062BE4" w:rsidRPr="002F7766" w:rsidRDefault="00062BE4" w:rsidP="00062BE4">
      <w:pPr>
        <w:rPr>
          <w:rFonts w:ascii="Garamond" w:hAnsi="Garamond" w:cs="Arial"/>
          <w:lang w:val="en-GB"/>
        </w:rPr>
      </w:pPr>
      <w:r w:rsidRPr="002F7766">
        <w:rPr>
          <w:rFonts w:ascii="Garamond" w:hAnsi="Garamond" w:cs="Arial"/>
          <w:lang w:val="en-GB"/>
        </w:rPr>
        <w:t xml:space="preserve">Lassen Sie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an einem anderen Falle zeigen, daß es tatsächlich so ist, wie wir es für unseren Fall erwarten. Das Entfallen von Eigennamen ist eigentlich ein ausgezeichnetes Vorbild für den Fall der Traumanalyse; nur ist hier in einer Person beisammen, was bei der Traumdeutung auf zwei Personen verteilt ist. Wenn ich einen Namen zeitweilig vergessen habe, so habe ich doch die Sicherheit in mir, daß ich den Namen weiß; jene Sicherheit, die wir uns für den Träumer erst auf dem Umwege über das Bernheimsche Experiment aneignen konnten. Der vergessene und doch gewußte Name ist mir aber nicht zugänglich. Nachdenken, wenn auch noch so angestrengtes, hilft dabei nichts, das sagt mir bald die Erfahrung. Ich kann mir aber jedesmal an Stelle des vergessenen Namens einen oder mehrere Ersatznamen einfallen lassen. Wenn mir ein solcher Ersatzname spontan eingefallen ist, dann wird erst die Übereinstimmung dieser Situation mit der der Traumanalyse evident. Das Traumelement ist ja auch nicht das Richtige, nur ein Ersatz für etwas anderes, für das Eigentliche, das ich nicht kenne und durch die Traumanalyse auffinden soll. Der Unterschied liegt wiederum nur darin, daß ich beim Namenvergessen den Ersatz unbedenklich als das Uneigentliche erkenne, während wir diese Auffassung für das Traumelement erst mühselig erwerben mußten. Nun gibt es auch beim Namenvergessen einen Weg, vom Ersatz zum unbewußten Eigentlichen, zum vergessenen Namen zu kommen. Wenn ich meine Aufmerksamkeit auf diese Ersatznamen richte und weitere Einfälle zu ihnen kommen lasse, so gelange ich nach kürzeren oder längeren Umwegen zum vergessenen Namen und finde dabei, daß die spontanen Ersatznamen wie die von mir hervorgerufenen mit dem vergessenen in Beziehung standen, durch ihn determiniert waren.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will Ihnen eine Analyse dieser Art vorführen: Eines Tages bemerke ich, daß ich über den Namen jenes Ländchens an der Riviera, dessen Hauptort Monte Carlo ist, nicht verfüge. Es ist zu ärgerlich, aber es ist so. Ich versenke mich in all mein Wissen um dieses Land, denke an den Fürsten Albert aus dem Hause Lusignan, an seine Ehen, seine Vorliebe für Tiefseeforschungen und was ich sonst zusammentragen kann, aber es hilft mir nichts. Ich gebe also das Nachdenken auf und lasse mir an Stelle des verlorenen Ersatznamen einfallen. Sie kommen rasch. </w:t>
      </w:r>
      <w:r w:rsidRPr="002F7766">
        <w:rPr>
          <w:rFonts w:ascii="Garamond" w:hAnsi="Garamond" w:cs="Arial"/>
          <w:i/>
          <w:iCs/>
          <w:lang w:val="en-GB"/>
        </w:rPr>
        <w:t>Monte Carlo</w:t>
      </w:r>
      <w:r w:rsidRPr="002F7766">
        <w:rPr>
          <w:rFonts w:ascii="Garamond" w:hAnsi="Garamond" w:cs="Arial"/>
          <w:lang w:val="en-GB"/>
        </w:rPr>
        <w:t xml:space="preserve"> selbst, dann </w:t>
      </w:r>
      <w:r w:rsidRPr="002F7766">
        <w:rPr>
          <w:rFonts w:ascii="Garamond" w:hAnsi="Garamond" w:cs="Arial"/>
          <w:i/>
          <w:iCs/>
          <w:lang w:val="en-GB"/>
        </w:rPr>
        <w:t xml:space="preserve">Piemont, Albanien, </w:t>
      </w:r>
      <w:smartTag w:uri="urn:schemas-microsoft-com:office:smarttags" w:element="City">
        <w:smartTag w:uri="urn:schemas-microsoft-com:office:smarttags" w:element="place">
          <w:r w:rsidRPr="002F7766">
            <w:rPr>
              <w:rFonts w:ascii="Garamond" w:hAnsi="Garamond" w:cs="Arial"/>
              <w:i/>
              <w:iCs/>
              <w:lang w:val="en-GB"/>
            </w:rPr>
            <w:t>Montevideo</w:t>
          </w:r>
        </w:smartTag>
      </w:smartTag>
      <w:r w:rsidRPr="002F7766">
        <w:rPr>
          <w:rFonts w:ascii="Garamond" w:hAnsi="Garamond" w:cs="Arial"/>
          <w:i/>
          <w:iCs/>
          <w:lang w:val="en-GB"/>
        </w:rPr>
        <w:t>, Colico</w:t>
      </w:r>
      <w:r w:rsidRPr="002F7766">
        <w:rPr>
          <w:rFonts w:ascii="Garamond" w:hAnsi="Garamond" w:cs="Arial"/>
          <w:lang w:val="en-GB"/>
        </w:rPr>
        <w:t xml:space="preserve">. Albanien fällt mir in dieser Reihe zuerst auf, es ersetzt sich alsbald durch </w:t>
      </w:r>
      <w:smartTag w:uri="urn:schemas-microsoft-com:office:smarttags" w:element="country-region">
        <w:smartTag w:uri="urn:schemas-microsoft-com:office:smarttags" w:element="place">
          <w:r w:rsidRPr="002F7766">
            <w:rPr>
              <w:rFonts w:ascii="Garamond" w:hAnsi="Garamond" w:cs="Arial"/>
              <w:i/>
              <w:iCs/>
              <w:lang w:val="en-GB"/>
            </w:rPr>
            <w:t>Montenegro</w:t>
          </w:r>
        </w:smartTag>
      </w:smartTag>
      <w:r w:rsidRPr="002F7766">
        <w:rPr>
          <w:rFonts w:ascii="Garamond" w:hAnsi="Garamond" w:cs="Arial"/>
          <w:i/>
          <w:iCs/>
          <w:lang w:val="en-GB"/>
        </w:rPr>
        <w:t>,</w:t>
      </w:r>
      <w:r w:rsidRPr="002F7766">
        <w:rPr>
          <w:rFonts w:ascii="Garamond" w:hAnsi="Garamond" w:cs="Arial"/>
          <w:lang w:val="en-GB"/>
        </w:rPr>
        <w:t xml:space="preserve"> wohl nach dem Gegensatze von Weiß und Schwarz. Dann sehe ich, daß vier dieser Ersatznamen die nämliche Silbe </w:t>
      </w:r>
      <w:r w:rsidRPr="002F7766">
        <w:rPr>
          <w:rFonts w:ascii="Garamond" w:hAnsi="Garamond" w:cs="Arial"/>
          <w:i/>
          <w:iCs/>
          <w:lang w:val="en-GB"/>
        </w:rPr>
        <w:t>mon</w:t>
      </w:r>
      <w:r w:rsidRPr="002F7766">
        <w:rPr>
          <w:rFonts w:ascii="Garamond" w:hAnsi="Garamond" w:cs="Arial"/>
          <w:lang w:val="en-GB"/>
        </w:rPr>
        <w:t xml:space="preserve"> enthalten; ich habe plötzlich das vergessene Wort und rufe laut: </w:t>
      </w:r>
      <w:smartTag w:uri="urn:schemas-microsoft-com:office:smarttags" w:element="country-region">
        <w:smartTag w:uri="urn:schemas-microsoft-com:office:smarttags" w:element="place">
          <w:r w:rsidRPr="002F7766">
            <w:rPr>
              <w:rFonts w:ascii="Garamond" w:hAnsi="Garamond" w:cs="Arial"/>
              <w:i/>
              <w:iCs/>
              <w:lang w:val="en-GB"/>
            </w:rPr>
            <w:t>Monaco</w:t>
          </w:r>
        </w:smartTag>
      </w:smartTag>
      <w:r w:rsidRPr="002F7766">
        <w:rPr>
          <w:rFonts w:ascii="Garamond" w:hAnsi="Garamond" w:cs="Arial"/>
          <w:lang w:val="en-GB"/>
        </w:rPr>
        <w:t xml:space="preserve">. Die Ersatznamen sind also wirklich vom vergessenen ausgegangen, die vier ersten von der ersten Silbe, der letzte bringt die Silbenfolge und die ganze Endsilbe wieder. Nebenbei kann ich auch leicht finden, was mir den Namen für eine Zeit weggenommen hat. </w:t>
      </w:r>
      <w:smartTag w:uri="urn:schemas-microsoft-com:office:smarttags" w:element="country-region">
        <w:smartTag w:uri="urn:schemas-microsoft-com:office:smarttags" w:element="place">
          <w:r w:rsidRPr="002F7766">
            <w:rPr>
              <w:rFonts w:ascii="Garamond" w:hAnsi="Garamond" w:cs="Arial"/>
              <w:lang w:val="en-GB"/>
            </w:rPr>
            <w:t>Monaco</w:t>
          </w:r>
        </w:smartTag>
      </w:smartTag>
      <w:r w:rsidRPr="002F7766">
        <w:rPr>
          <w:rFonts w:ascii="Garamond" w:hAnsi="Garamond" w:cs="Arial"/>
          <w:lang w:val="en-GB"/>
        </w:rPr>
        <w:t xml:space="preserve"> gehört auch zu </w:t>
      </w:r>
      <w:r w:rsidRPr="002F7766">
        <w:rPr>
          <w:rFonts w:ascii="Garamond" w:hAnsi="Garamond" w:cs="Arial"/>
          <w:i/>
          <w:iCs/>
          <w:lang w:val="en-GB"/>
        </w:rPr>
        <w:t>München</w:t>
      </w:r>
      <w:r w:rsidRPr="002F7766">
        <w:rPr>
          <w:rFonts w:ascii="Garamond" w:hAnsi="Garamond" w:cs="Arial"/>
          <w:lang w:val="en-GB"/>
        </w:rPr>
        <w:t xml:space="preserve"> als dessen italienischer Name; diese Stadt hat den hemmenden Einfluß ausgeübt.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Das Beispiel ist gewiß schön, aber zu einfach. In anderen Fällen müßte man zu den ersten Ersatznamen eine größere Reihe von Einfällen nehmen, dann wäre die Analogie mit der Traumanalyse deutlicher. Ich habe auch solche Erfahrungen gemacht. Als mich einmal ein Fremder einlud, italienischen Wein mit ihm zu trinken, ergab es sich im Wirtshause, daß er den Namen jenes Weines vergessen hatte, den er, weil er ihm im besten Gedenken geblieben war, zu bestellen beabsichtigte. Aus einer Fülle von disparaten Ersatzeinfällen, die dem Anderen an Stelle des vergessenen Namens kamen, konnte ich den Schluß ziehen, daß die Rücksicht auf irgendeine Hedwig ihm den Namen des Weines weggenommen hatte, und wirklich bestätigte er nicht nur, daß er diesen Wein zuerst in Gesellschaft einer Hedwig verkostet, sondern fand auch durch diese Aufdeckung seinen Namen wieder. Er war zu der Zeit glücklich verheiratet, und jene Hedwig gehörte früheren, nicht gerne erinnerten Zeiten an.</w:t>
      </w:r>
    </w:p>
    <w:p w:rsidR="00062BE4" w:rsidRPr="002F7766" w:rsidRDefault="00062BE4" w:rsidP="00062BE4">
      <w:pPr>
        <w:rPr>
          <w:rFonts w:ascii="Garamond" w:hAnsi="Garamond" w:cs="Arial"/>
          <w:lang w:val="en-GB"/>
        </w:rPr>
      </w:pPr>
      <w:r w:rsidRPr="002F7766">
        <w:rPr>
          <w:rFonts w:ascii="Garamond" w:hAnsi="Garamond" w:cs="Arial"/>
          <w:lang w:val="en-GB"/>
        </w:rPr>
        <w:t>Was beim Namenvergessen möglich ist, muß auch in der Traumdeutung gelingen können, vom Ersatz aus durch anknüpfende Assoziationen das verhaltene Eigentliche zugänglich zu machen. Von den Assoziationen zum Traumelement dürfen wir nach dem Beispiel des Namenvergessens annehmen, daß sie sowohl durch das Traumelement als durch das unbewußte Eigentliche desselben determiniert sein werden. Somit hätten wir einiges zur Rechtfertigung unserer Technik vorgebracht.</w:t>
      </w:r>
    </w:p>
    <w:p w:rsidR="00062BE4" w:rsidRPr="002F7766"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2F7766">
          <w:rPr>
            <w:rStyle w:val="Lienhypertexte"/>
            <w:rFonts w:ascii="Garamond" w:hAnsi="Garamond" w:cs="Arial"/>
            <w:b/>
            <w:bCs/>
            <w:lang w:val="en-GB"/>
          </w:rPr>
          <w:t>7. Vo</w:t>
        </w:r>
        <w:bookmarkStart w:id="274" w:name="Vorlesungen_7"/>
        <w:bookmarkEnd w:id="274"/>
        <w:r w:rsidRPr="002F7766">
          <w:rPr>
            <w:rStyle w:val="Lienhypertexte"/>
            <w:rFonts w:ascii="Garamond" w:hAnsi="Garamond" w:cs="Arial"/>
            <w:b/>
            <w:bCs/>
            <w:lang w:val="en-GB"/>
          </w:rPr>
          <w:t>rlesung. Manifester Trauminhalt und latente Traumgedanken</w:t>
        </w:r>
      </w:hyperlink>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Sie sehen, wir haben die Fehlleistungen nicht ohne Nutzen studiert. Dank diesen Bemühungen haben wir – unter den Ihnen bekannten Voraussetzungen – zweierlei erworben, eine Auffassung des Traumelements und eine Technik der Traumdeutung. Die Auffassung des Traumelements geht dahin, es sei ein Uneigentliches, ein Ersatz für etwas anderes, dem Träumer Unbekanntes, ähnlich wie die Tendenz der Fehlleistung, ein Ersatz für etwas, wovon das Wissen im Träumer vorhanden, aber ihm unzugänglich ist. Wir hoffen, dieselbe Auffassung auf den ganzen Traum, der aus solchen Elementen besteht, übertragen zu können. Unsere Technik besteht darin, durch freie Assoziation zu diesen Elementen andere Ersatzbildungen auftauchen zu lassen, aus denen wir das Verborgene erraten können.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schlage Ihnen jetzt vor, eine Abänderung unserer Nomenklatur eintreten zu lassen, die unsere Beweglichkeit erleichtern soll. Anstatt verborgen, unzugänglich, uneigentlich sagen wir, indem wir die richtige Beschreibung geben, dem Bewußtsein des Träumers unzugänglich oder </w:t>
      </w:r>
      <w:r w:rsidRPr="002F7766">
        <w:rPr>
          <w:rFonts w:ascii="Garamond" w:hAnsi="Garamond" w:cs="Arial"/>
          <w:i/>
          <w:iCs/>
          <w:lang w:val="en-GB"/>
        </w:rPr>
        <w:t>unbewußt</w:t>
      </w:r>
      <w:r w:rsidRPr="002F7766">
        <w:rPr>
          <w:rFonts w:ascii="Garamond" w:hAnsi="Garamond" w:cs="Arial"/>
          <w:lang w:val="en-GB"/>
        </w:rPr>
        <w:t xml:space="preserve">. Wir meinen damit nichts anderes, als was Ihnen die Beziehung auf das entfallene Wort oder auf die störende Tendenz der Fehlleistung vorhalten kann, nämlich </w:t>
      </w:r>
      <w:r w:rsidRPr="002F7766">
        <w:rPr>
          <w:rFonts w:ascii="Garamond" w:hAnsi="Garamond" w:cs="Arial"/>
          <w:i/>
          <w:iCs/>
          <w:lang w:val="en-GB"/>
        </w:rPr>
        <w:t>derzeit unbewußt</w:t>
      </w:r>
      <w:r w:rsidRPr="002F7766">
        <w:rPr>
          <w:rFonts w:ascii="Garamond" w:hAnsi="Garamond" w:cs="Arial"/>
          <w:lang w:val="en-GB"/>
        </w:rPr>
        <w:t xml:space="preserve">. Natürlich dürfen wir im Gegensatz hierzu die Traumelemente selbst und die durch Assoziation neu gewonnenen Ersatzvorstellungen </w:t>
      </w:r>
      <w:r w:rsidRPr="002F7766">
        <w:rPr>
          <w:rFonts w:ascii="Garamond" w:hAnsi="Garamond" w:cs="Arial"/>
          <w:i/>
          <w:iCs/>
          <w:lang w:val="en-GB"/>
        </w:rPr>
        <w:t>bewußte</w:t>
      </w:r>
      <w:r w:rsidRPr="002F7766">
        <w:rPr>
          <w:rFonts w:ascii="Garamond" w:hAnsi="Garamond" w:cs="Arial"/>
          <w:lang w:val="en-GB"/>
        </w:rPr>
        <w:t xml:space="preserve"> heißen. Irgendeine theoretische Konstruktion ist mit dieser Namengebung noch nicht verbunden. Der Gebrauch des Wortes »unbewußt« als einer zutreffenden und leicht verständlichen Beschreibung ist tadellos.</w:t>
      </w:r>
    </w:p>
    <w:p w:rsidR="00062BE4" w:rsidRPr="002F7766" w:rsidRDefault="00062BE4" w:rsidP="00062BE4">
      <w:pPr>
        <w:rPr>
          <w:rFonts w:ascii="Garamond" w:hAnsi="Garamond" w:cs="Arial"/>
          <w:lang w:val="en-GB"/>
        </w:rPr>
      </w:pPr>
      <w:r w:rsidRPr="002F7766">
        <w:rPr>
          <w:rFonts w:ascii="Garamond" w:hAnsi="Garamond" w:cs="Arial"/>
          <w:lang w:val="en-GB"/>
        </w:rPr>
        <w:t>Übertragen wir unsere Auffassung vom einzelnen Element auf den ganzen Traum, so ergibt sich also, daß der Traum als Ganzes der entstellte Ersatz für etwas anderes, Unbewußtes, ist, und als die Aufgabe der Traumdeutung, dieses Unbewußte zu finden. Daraus leiten sich aber sofort drei wichtige Regeln ab, die wir während der Arbeit an der Traumdeutung befolgen sollen:</w:t>
      </w:r>
    </w:p>
    <w:p w:rsidR="00062BE4" w:rsidRPr="002F7766" w:rsidRDefault="00062BE4" w:rsidP="00062BE4">
      <w:pPr>
        <w:rPr>
          <w:rFonts w:ascii="Garamond" w:hAnsi="Garamond" w:cs="Arial"/>
          <w:lang w:val="en-GB"/>
        </w:rPr>
      </w:pPr>
      <w:r w:rsidRPr="002F7766">
        <w:rPr>
          <w:rFonts w:ascii="Garamond" w:hAnsi="Garamond" w:cs="Arial"/>
          <w:lang w:val="en-GB"/>
        </w:rPr>
        <w:t>1) Man kümmere sich nicht um das, was der Traum zu besagen scheint, sei er verständig oder absurd, klar oder verworren, da es doch auf keinen Fall das von uns gesuchte Unbewußte ist (eine naheliegende Einschränkung dieser Regel wird sich uns aufdrängen); 2) man beschränke die Arbeit darauf, zu jedem Element die Ersatzvorstellungen zu erwecken, denke nicht über sie nach, prüfe sie nicht, ob sie etwas Passendes enthalten, kümmere sich nicht darum, wie weit sie vom Traumelement abführen; 3) man warte ab, bis sich das verborgene, gesuchte Unbewußte von selbst einstellt, genau so wie das entfallene Wort Monaco bei dem beschriebenen Versuch.</w:t>
      </w:r>
    </w:p>
    <w:p w:rsidR="00062BE4" w:rsidRPr="002F7766" w:rsidRDefault="00062BE4" w:rsidP="00062BE4">
      <w:pPr>
        <w:rPr>
          <w:rFonts w:ascii="Garamond" w:hAnsi="Garamond" w:cs="Arial"/>
          <w:lang w:val="en-GB"/>
        </w:rPr>
      </w:pPr>
      <w:r w:rsidRPr="002F7766">
        <w:rPr>
          <w:rFonts w:ascii="Garamond" w:hAnsi="Garamond" w:cs="Arial"/>
          <w:lang w:val="en-GB"/>
        </w:rPr>
        <w:t>Wir verstehen jetzt auch, inwiefern es gleichgültig ist, wie viel, wie wenig, vor allem aber wie getreu oder wie unsicher man den Traum erinnert. Der erinnerte Traum ist ja doch nicht das Eigentliche, sondern ein entstellter Ersatz dafür, der uns dazu verhelfen soll, durch Erweckung von anderen Ersatzbildungen dem Eigentlichen näherzukommen, das Unbewußte des Traumes bewußtzumachen. War also unsere Erinnerung ungetreu, so hat sie einfach an diesem Ersatz eine weitere Entstellung vorgenommen, die übrigens auch nicht unmotiviert sein kann.</w:t>
      </w:r>
    </w:p>
    <w:p w:rsidR="00062BE4" w:rsidRPr="002F7766" w:rsidRDefault="00062BE4" w:rsidP="00062BE4">
      <w:pPr>
        <w:rPr>
          <w:rFonts w:ascii="Garamond" w:hAnsi="Garamond" w:cs="Arial"/>
          <w:lang w:val="en-GB"/>
        </w:rPr>
      </w:pPr>
      <w:r w:rsidRPr="002F7766">
        <w:rPr>
          <w:rFonts w:ascii="Garamond" w:hAnsi="Garamond" w:cs="Arial"/>
          <w:lang w:val="en-GB"/>
        </w:rPr>
        <w:t xml:space="preserve">Man kann die Deutungsarbeit an eigenen Träumen wie an denen anderer vollziehen. An eigenen lernt man sogar mehr, der Vorgang fällt beweisender aus. Versucht man dies also, so bemerkt man, daß etwas sich der Arbeit widersetzt. Man bekommt zwar Einfälle, läßt sie aber nicht alle gewähren. Es machen sich prüfende und auswählende Einflüsse geltend. Bei dem einen Einfall sagt man sich: Nein, das paßt nicht dazu, gehört nicht hierher, bei einem anderen: das ist zu unsinnig, bei einem dritten: das ist ganz nebensächlich, und man kann ferner beobachten, wie man mit solchen Einwendungen die Einfälle, noch ehe sie ganz klar geworden sind, erstickt und endlich auch vertreibt. Also einerseits hängt man sich zu sehr an die Ausgangsvorstellung, ans Traumelement selbst, anderseits stört man durch eine Auswahl das Ergebnis der freien Assoziation. Ist man bei der Traumdeutung nicht allein, läßt man seinen Traum von </w:t>
      </w:r>
      <w:r w:rsidRPr="002F7766">
        <w:rPr>
          <w:rFonts w:ascii="Garamond" w:hAnsi="Garamond" w:cs="Arial"/>
          <w:lang w:val="en-GB"/>
        </w:rPr>
        <w:lastRenderedPageBreak/>
        <w:t>einem anderen deuten, so wird man sehr deutlich noch ein anderes Motiv bemerken, welches man für diese unerlaubte Auswahl verwendet. Man sagt sich dann gelegentlich: Nein, dieser Einfall ist zu unangenehm, den will oder kann ich nicht mitteilen.</w:t>
      </w:r>
    </w:p>
    <w:p w:rsidR="00062BE4" w:rsidRPr="002F7766" w:rsidRDefault="00062BE4" w:rsidP="00062BE4">
      <w:pPr>
        <w:rPr>
          <w:rFonts w:ascii="Garamond" w:hAnsi="Garamond" w:cs="Arial"/>
          <w:lang w:val="en-GB"/>
        </w:rPr>
      </w:pPr>
      <w:r w:rsidRPr="002F7766">
        <w:rPr>
          <w:rFonts w:ascii="Garamond" w:hAnsi="Garamond" w:cs="Arial"/>
          <w:lang w:val="en-GB"/>
        </w:rPr>
        <w:t>Diese Einwendungen drohen offenbar den Erfolg unserer Arbeit zu stören. Man muß sich gegen sie schützen, und man tut dies bei der eigenen Person durch den festen Vorsatz, ihnen nicht nachzugeben; wenn man den Traum eines anderen deutet, indem man ihm als unverbrüchliche Regel angibt, er dürfe keinen Einfall von der Mitteilung ausschließen, auch wenn sich eine der vier Einwendungen gegen ihn erhebe, er sei zu unwichtig, zu unsinnig, gehöre nicht hierher oder er sei zu peinlich für die Mitteilung. Er verspricht, diese Regel zu befolgen, und man darf sich dann darüber ärgern, wie schlecht er vorkommendenfalls dies Versprechen hält. Man wird sich dafür zuerst die Erklärung geben, daß ihm trotz der autoritativen Versicherung die Berechtigung der freien Assoziation nicht eingeleuchtet hat, und wird vielleicht daran denken, ihn zuerst theoretisch zu gewinnen, indem man ihm Schriften zu lesen gibt oder ihn in Vorlesungen schickt, durch welche er zum Anhänger unserer Anschauungen über die freie Assoziation umgewandelt werden kann. Aber von solchen Mißgriffen wird man durch die Beobachtung abgehalten, daß bei der eigenen Person, deren Überzeugung man doch sicher sein darf, die nämlichen kritischen Einwendungen gegen gewisse Einfälle auftauchen, die erst nachträglich, gewissermaßen in zweiter Instanz, beseitigt werden.</w:t>
      </w:r>
    </w:p>
    <w:p w:rsidR="00062BE4" w:rsidRPr="002F7766" w:rsidRDefault="00062BE4" w:rsidP="00062BE4">
      <w:pPr>
        <w:rPr>
          <w:rFonts w:ascii="Garamond" w:hAnsi="Garamond" w:cs="Arial"/>
          <w:lang w:val="en-GB"/>
        </w:rPr>
      </w:pPr>
      <w:r w:rsidRPr="002F7766">
        <w:rPr>
          <w:rFonts w:ascii="Garamond" w:hAnsi="Garamond" w:cs="Arial"/>
          <w:lang w:val="en-GB"/>
        </w:rPr>
        <w:t xml:space="preserve">Anstatt sich über den Ungehorsam des Träumers zu ärgern, kann man diese Erfahrungen verwerten, um etwas Neues aus ihnen zu lernen, etwas, was umso wichtiger ist, je weniger man darauf vorbereitet war. Man versteht, die Arbeit der Traumdeutung vollzieht sich gegen einen </w:t>
      </w:r>
      <w:r w:rsidRPr="002F7766">
        <w:rPr>
          <w:rFonts w:ascii="Garamond" w:hAnsi="Garamond" w:cs="Arial"/>
          <w:i/>
          <w:iCs/>
          <w:lang w:val="en-GB"/>
        </w:rPr>
        <w:t>Widerstand</w:t>
      </w:r>
      <w:r w:rsidRPr="002F7766">
        <w:rPr>
          <w:rFonts w:ascii="Garamond" w:hAnsi="Garamond" w:cs="Arial"/>
          <w:lang w:val="en-GB"/>
        </w:rPr>
        <w:t xml:space="preserve">, der ihr entgegengesetzt wird und dessen Äußerungen jene kritischen Einwendungen sind. Dieser Widerstand ist unabhängig von der theoretischen Überzeugung des Träumers. Ja, man lernt noch mehr. Man macht die Erfahrung, daß eine solche kritische Einwendung niemals recht behält. Im Gegenteile, die Einfälle, die man so unterdrücken möchte, erweisen sich </w:t>
      </w:r>
      <w:r w:rsidRPr="002F7766">
        <w:rPr>
          <w:rFonts w:ascii="Garamond" w:hAnsi="Garamond" w:cs="Arial"/>
          <w:i/>
          <w:iCs/>
          <w:lang w:val="en-GB"/>
        </w:rPr>
        <w:t>ausnahmslos</w:t>
      </w:r>
      <w:r w:rsidRPr="002F7766">
        <w:rPr>
          <w:rFonts w:ascii="Garamond" w:hAnsi="Garamond" w:cs="Arial"/>
          <w:lang w:val="en-GB"/>
        </w:rPr>
        <w:t xml:space="preserve"> als die wichtigsten, für das Auffinden des Unbewußten entscheidenden. Es ist geradezu eine Auszeichnung, wenn ein Einfall von einer solchen Einwendung begleitet wird.</w:t>
      </w:r>
    </w:p>
    <w:p w:rsidR="00062BE4" w:rsidRPr="002F7766" w:rsidRDefault="00062BE4" w:rsidP="00062BE4">
      <w:pPr>
        <w:rPr>
          <w:rFonts w:ascii="Garamond" w:hAnsi="Garamond" w:cs="Arial"/>
          <w:lang w:val="en-GB"/>
        </w:rPr>
      </w:pPr>
      <w:r w:rsidRPr="002F7766">
        <w:rPr>
          <w:rFonts w:ascii="Garamond" w:hAnsi="Garamond" w:cs="Arial"/>
          <w:lang w:val="en-GB"/>
        </w:rPr>
        <w:t>Dieser Widerstand ist etwas völlig Neues, ein Phänomen, welches wir auf Grund unserer Voraussetzungen gefunden haben, ohne daß es in diesen enthalten gewesen wäre. Wir sind von diesem neuen Faktor in unserer Rechnung nicht gerade angenehm überrascht. Wir ahnen schon, er wird unsere Arbeit nicht erleichtern. Er könnte uns dazu verführen, die ganze Bemühung um den Traum stehenzulassen. Etwas so Unwichtiges wie der Traum und dazu solche Schwierigkeiten anstatt einer glatten Technik! Aber anderseits könnten uns gerade diese Schwierigkeiten reizen und vermuten lassen, daß die Arbeit der Mühe wert sein wird. Wir stoßen regelmäßig auf Widerstände, wenn wir vom Ersatz, den das Traumelement bedeutet, zu seinem versteckten Unbewußten vordringen wollen. Also dürfen wir denken, es muß hinter dem Ersatz etwas Bedeutsames versteckt sein. Wozu sonst die Schwierigkeiten, die das Verbergen aufrechterhalten wollen? Wenn ein Kind die geballte Hand nicht aufmachen will, um zu zeigen, was es in ihr hat, dann ist es gewiß etwas Unrechtes, was es nicht haben soll.</w:t>
      </w:r>
    </w:p>
    <w:p w:rsidR="00062BE4" w:rsidRPr="002F7766" w:rsidRDefault="00062BE4" w:rsidP="00062BE4">
      <w:pPr>
        <w:rPr>
          <w:rFonts w:ascii="Garamond" w:hAnsi="Garamond" w:cs="Arial"/>
          <w:lang w:val="en-GB"/>
        </w:rPr>
      </w:pPr>
      <w:r w:rsidRPr="002F7766">
        <w:rPr>
          <w:rFonts w:ascii="Garamond" w:hAnsi="Garamond" w:cs="Arial"/>
          <w:lang w:val="en-GB"/>
        </w:rPr>
        <w:t>Im Augenblick, da wir die dynamische Vorstellung eines Widerstandes in unseren Sachverhalt einführen, müssen wir auch daran denken, daß dieses Moment etwas quantitativ Variables ist. Es kann größere und kleinere Widerstände geben, und wir sind darauf vorbereitet, daß sich diese Unterschiede auch während unserer Arbeit zeigen werden. Vielleicht bringen wir damit eine andere Erfahrung zusammen, die wir auch bei der Arbeit der Traumdeutung machen. Es bedarf nämlich manchmal nur eines einzigen oder einiger weniger Einfälle, um uns vom Traumelement zu seinem Unbewußten zu bringen, während andere Male lange Ketten von Assoziationen und die Überwindung vieler kritischer Einwendungen dazu erfordert wird.</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Wir werden uns sagen, diese Verschiedenheiten hängen mit den wechselnden Größen des Widerstandes zusammen, und werden wahrscheinlich recht behalten. Wenn der Widerstand gering ist, so ist auch der Ersatz vom Unbewußten nicht weit entfernt; ein großer Widerstand bringt aber große Entstellungen des Unbewußten und damit einen langen Rückzug vom Ersatz zum Unbewußten mit sich.</w:t>
      </w:r>
    </w:p>
    <w:p w:rsidR="00062BE4" w:rsidRPr="002F7766" w:rsidRDefault="00062BE4" w:rsidP="00062BE4">
      <w:pPr>
        <w:rPr>
          <w:rFonts w:ascii="Garamond" w:hAnsi="Garamond" w:cs="Arial"/>
          <w:lang w:val="en-GB"/>
        </w:rPr>
      </w:pPr>
      <w:r w:rsidRPr="002F7766">
        <w:rPr>
          <w:rFonts w:ascii="Garamond" w:hAnsi="Garamond" w:cs="Arial"/>
          <w:lang w:val="en-GB"/>
        </w:rPr>
        <w:t>Jetzt wäre es vielleicht an der Zeit, einen Traum herzunehmen und unsere Technik an ihm zu versuchen, ob sich unsere an sie geknüpften Erwartungen bestätigen. Ja, aber welchen Traum sollen wir dazu wählen? Sie glauben nicht, wie schwer mir diese Entscheidung fällt, und ich kann Ihnen auch noch nicht begreiflich machen, worin die Schwierigkeiten liegen. Es muß offenbar Träume geben, die im ganzen wenig Entstellung erfahren haben, und es wäre das beste, mit solchen anzufangen. Aber welche Träume sind die am wenigsten entstellten? Die verständigen und nicht verworrenen, von denen ich Ihnen bereits zwei Beispiele vorgelegt habe? Da würden wir sehr irregehen. Die Untersuchung zeigt, daß diese Träume einen außerordentlich hohen Grad von Entstellung erfahren haben. Wenn ich aber unter Verzicht auf eine besondere Bedingung einen beliebigen Traum herausgreife, so werden Sie wahrscheinlich sehr enttäuscht werden. Es kann sein, daß wir eine solche Fülle von Einfällen zu den einzelnen Traumelementen zu merken oder zu verzeichnen haben, daß die Arbeit vollkommen unübersichtlich wird. Schreiben wir uns den Traum nieder und halten die Niederschrift aller dazu sich ergebenden Einfälle dagegen, so können diese leicht ein Vielfaches des Traumtextes ausmachen. Am zweckmäßigsten schiene es also, mehrere kurze Träume zur Analyse auszusuchen, von denen jeder uns wenigstens etwas sagen oder bestätigen kann. Dazu werden wir uns auch entschließen, wenn die Erfahrung uns nicht etwa anzeigen sollte, wo wir die wenig entstellten Träume wirklich finden können.</w:t>
      </w:r>
    </w:p>
    <w:p w:rsidR="00062BE4" w:rsidRPr="002F7766" w:rsidRDefault="00062BE4" w:rsidP="00062BE4">
      <w:pPr>
        <w:rPr>
          <w:rFonts w:ascii="Garamond" w:hAnsi="Garamond" w:cs="Arial"/>
          <w:lang w:val="en-GB"/>
        </w:rPr>
      </w:pPr>
      <w:r w:rsidRPr="002F7766">
        <w:rPr>
          <w:rFonts w:ascii="Garamond" w:hAnsi="Garamond" w:cs="Arial"/>
          <w:lang w:val="en-GB"/>
        </w:rPr>
        <w:t>Ich weiß aber noch eine andere Erleichterung, die überdies auf unserem Wege liegt. Anstatt die Deutung ganzer Träume in Angriff zu nehmen, wollen wir uns auf einzelne Traumelemente beschränken und an einer Reihe von Beispielen verfolgen, wie diese durch die Anwendung unserer Technik Aufklärung finden.</w:t>
      </w:r>
    </w:p>
    <w:p w:rsidR="00062BE4" w:rsidRPr="002F7766" w:rsidRDefault="00062BE4" w:rsidP="00062BE4">
      <w:pPr>
        <w:rPr>
          <w:rFonts w:ascii="Garamond" w:hAnsi="Garamond" w:cs="Arial"/>
          <w:lang w:val="en-GB"/>
        </w:rPr>
      </w:pPr>
      <w:r w:rsidRPr="002F7766">
        <w:rPr>
          <w:rFonts w:ascii="Garamond" w:hAnsi="Garamond" w:cs="Arial"/>
          <w:lang w:val="en-GB"/>
        </w:rPr>
        <w:t xml:space="preserve">a) Eine Dame erzählt, sie habe als Kind sehr oft geträumt, </w:t>
      </w:r>
      <w:r w:rsidRPr="002F7766">
        <w:rPr>
          <w:rFonts w:ascii="Garamond" w:hAnsi="Garamond" w:cs="Arial"/>
          <w:i/>
          <w:iCs/>
          <w:lang w:val="en-GB"/>
        </w:rPr>
        <w:t>der liebe Gott habe einen spitzen Papierhut auf dem Kopf</w:t>
      </w:r>
      <w:r w:rsidRPr="002F7766">
        <w:rPr>
          <w:rFonts w:ascii="Garamond" w:hAnsi="Garamond" w:cs="Arial"/>
          <w:lang w:val="en-GB"/>
        </w:rPr>
        <w:t xml:space="preserve">. Wie wollen Sie das ohne die Hilfe der Träumerin verstehen? Es klingt ja ganz unsinnig. Es ist nicht mehr unsinnig, wenn uns die Dame berichtet, daß man ihr als Kind bei Tische einen solchen Hut aufzusetzen pflegte, weil sie es nicht unterlassen konnte, auf die Teller der Geschwister zu schielen, ob eines von ihnen mehr bekommen habe als sie. Der Hut sollte also wie ein Scheuleder wirken. Übrigens eine historische Auskunft und ohne jede Schwierigkeit gegeben. Die Deutung dieses Elements und damit des ganzen kurzen Traumes ergibt sich leicht mit Hilfe eines weiteren Einfalls der Träumerin. »Da ich gehört hatte, der liebe Gott sei allwissend und sehe alles«, sagt sie, »so kann der Traum nur bedeuten, daß ich alles weiß und alles sehe wie der liebe Gott, auch wenn man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daran hindern will.« Dieses Beispiel ist vielleicht zu einfach.</w:t>
      </w:r>
    </w:p>
    <w:p w:rsidR="00062BE4" w:rsidRPr="002F7766" w:rsidRDefault="00062BE4" w:rsidP="00062BE4">
      <w:pPr>
        <w:rPr>
          <w:rFonts w:ascii="Garamond" w:hAnsi="Garamond" w:cs="Arial"/>
          <w:lang w:val="en-GB"/>
        </w:rPr>
      </w:pPr>
      <w:r w:rsidRPr="002F7766">
        <w:rPr>
          <w:rFonts w:ascii="Garamond" w:hAnsi="Garamond" w:cs="Arial"/>
          <w:lang w:val="en-GB"/>
        </w:rPr>
        <w:t xml:space="preserve">b) Eine skeptische Patientin hat einen längeren Traum, in dem es vorkommt, daß ihr gewisse Personen von meinem Buch über den »Witz« erzählen und es sehr loben. Dann wird etwas erwähnt von einem </w:t>
      </w:r>
      <w:r w:rsidRPr="002F7766">
        <w:rPr>
          <w:rFonts w:ascii="Garamond" w:hAnsi="Garamond" w:cs="Arial"/>
          <w:i/>
          <w:iCs/>
          <w:lang w:val="en-GB"/>
        </w:rPr>
        <w:t>»Kanal«, vielleicht ein anderes Buch, in dem Kanal vorkommt, oder sonst etwas mit Kanal... sie weiß es nicht ...es ist ganz unklar</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Nun werden Sie gewiß zu glauben geneigt sein, daß das Element »Kanal« sich der Deutung entziehen wird, weil es selbst so unbestimmt ist. Sie haben mit der vermuteten Schwierigkeit recht, aber es ist nicht darum schwer, weil es undeutlich ist, sondern es ist undeutlich aus einem anderen Grund, demselben, der auch die Deutung schwer macht. Der Träumerin fällt zu Kanal nichts ein; ich weiß natürlich auch nichts zu sagen. Eine Weile später, in Wahrheit am nächsten Tage, erzählt sie, es sei ihr eingefallen, was </w:t>
      </w:r>
      <w:r w:rsidRPr="002F7766">
        <w:rPr>
          <w:rFonts w:ascii="Garamond" w:hAnsi="Garamond" w:cs="Arial"/>
          <w:i/>
          <w:iCs/>
          <w:lang w:val="en-GB"/>
        </w:rPr>
        <w:t>vielleicht</w:t>
      </w:r>
      <w:r w:rsidRPr="002F7766">
        <w:rPr>
          <w:rFonts w:ascii="Garamond" w:hAnsi="Garamond" w:cs="Arial"/>
          <w:lang w:val="en-GB"/>
        </w:rPr>
        <w:t xml:space="preserve"> dazugehört. Auch ein Witz nämlich, den sie erzählen gehört hat. Auf einem Schiff zwischen </w:t>
      </w:r>
      <w:smartTag w:uri="urn:schemas-microsoft-com:office:smarttags" w:element="City">
        <w:r w:rsidRPr="002F7766">
          <w:rPr>
            <w:rFonts w:ascii="Garamond" w:hAnsi="Garamond" w:cs="Arial"/>
            <w:lang w:val="en-GB"/>
          </w:rPr>
          <w:t>Dover</w:t>
        </w:r>
      </w:smartTag>
      <w:r w:rsidRPr="002F7766">
        <w:rPr>
          <w:rFonts w:ascii="Garamond" w:hAnsi="Garamond" w:cs="Arial"/>
          <w:lang w:val="en-GB"/>
        </w:rPr>
        <w:t xml:space="preserve"> und </w:t>
      </w:r>
      <w:smartTag w:uri="urn:schemas-microsoft-com:office:smarttags" w:element="City">
        <w:smartTag w:uri="urn:schemas-microsoft-com:office:smarttags" w:element="place">
          <w:r w:rsidRPr="002F7766">
            <w:rPr>
              <w:rFonts w:ascii="Garamond" w:hAnsi="Garamond" w:cs="Arial"/>
              <w:lang w:val="en-GB"/>
            </w:rPr>
            <w:t>Calais</w:t>
          </w:r>
        </w:smartTag>
      </w:smartTag>
      <w:r w:rsidRPr="002F7766">
        <w:rPr>
          <w:rFonts w:ascii="Garamond" w:hAnsi="Garamond" w:cs="Arial"/>
          <w:lang w:val="en-GB"/>
        </w:rPr>
        <w:t xml:space="preserve"> unterhält sich ein bekannter Schriftsteller mit einem Engländer, welcher in einem gewissen Zusammenhange den Satz zitiert: </w:t>
      </w:r>
      <w:r w:rsidRPr="002F7766">
        <w:rPr>
          <w:rFonts w:ascii="Garamond" w:hAnsi="Garamond" w:cs="Arial"/>
          <w:i/>
          <w:iCs/>
          <w:lang w:val="en-GB"/>
        </w:rPr>
        <w:t>Du sublime au ridicule il n'y a qu'un pas.</w:t>
      </w:r>
      <w:r w:rsidRPr="002F7766">
        <w:rPr>
          <w:rFonts w:ascii="Garamond" w:hAnsi="Garamond" w:cs="Arial"/>
          <w:lang w:val="en-GB"/>
        </w:rPr>
        <w:t xml:space="preserve"> Der Schriftsteller antwortet: </w:t>
      </w:r>
      <w:r w:rsidRPr="002F7766">
        <w:rPr>
          <w:rFonts w:ascii="Garamond" w:hAnsi="Garamond" w:cs="Arial"/>
          <w:i/>
          <w:iCs/>
          <w:lang w:val="en-GB"/>
        </w:rPr>
        <w:t xml:space="preserve">Oui, le </w:t>
      </w:r>
      <w:r w:rsidRPr="002F7766">
        <w:rPr>
          <w:rFonts w:ascii="Garamond" w:hAnsi="Garamond" w:cs="Arial"/>
          <w:i/>
          <w:iCs/>
          <w:lang w:val="en-GB"/>
        </w:rPr>
        <w:lastRenderedPageBreak/>
        <w:t>pas de Calais</w:t>
      </w:r>
      <w:r w:rsidRPr="002F7766">
        <w:rPr>
          <w:rFonts w:ascii="Garamond" w:hAnsi="Garamond" w:cs="Arial"/>
          <w:lang w:val="en-GB"/>
        </w:rPr>
        <w:t xml:space="preserve">, – womit er sagen will, daß er Frankreich großartig und </w:t>
      </w:r>
      <w:smartTag w:uri="urn:schemas-microsoft-com:office:smarttags" w:element="country-region">
        <w:smartTag w:uri="urn:schemas-microsoft-com:office:smarttags" w:element="place">
          <w:r w:rsidRPr="002F7766">
            <w:rPr>
              <w:rFonts w:ascii="Garamond" w:hAnsi="Garamond" w:cs="Arial"/>
              <w:lang w:val="en-GB"/>
            </w:rPr>
            <w:t>England</w:t>
          </w:r>
        </w:smartTag>
      </w:smartTag>
      <w:r w:rsidRPr="002F7766">
        <w:rPr>
          <w:rFonts w:ascii="Garamond" w:hAnsi="Garamond" w:cs="Arial"/>
          <w:lang w:val="en-GB"/>
        </w:rPr>
        <w:t xml:space="preserve"> lächerlich findet. </w:t>
      </w:r>
      <w:r w:rsidRPr="002F7766">
        <w:rPr>
          <w:rFonts w:ascii="Garamond" w:hAnsi="Garamond" w:cs="Arial"/>
        </w:rPr>
        <w:t xml:space="preserve">Der </w:t>
      </w:r>
      <w:r w:rsidRPr="002F7766">
        <w:rPr>
          <w:rFonts w:ascii="Garamond" w:hAnsi="Garamond" w:cs="Arial"/>
          <w:i/>
          <w:iCs/>
        </w:rPr>
        <w:t>Pas de Calais</w:t>
      </w:r>
      <w:r w:rsidRPr="002F7766">
        <w:rPr>
          <w:rFonts w:ascii="Garamond" w:hAnsi="Garamond" w:cs="Arial"/>
        </w:rPr>
        <w:t xml:space="preserve"> ist aber doch ein Kanal, der Ärmelkanal nämlich, </w:t>
      </w:r>
      <w:r w:rsidRPr="002F7766">
        <w:rPr>
          <w:rFonts w:ascii="Garamond" w:hAnsi="Garamond" w:cs="Arial"/>
          <w:i/>
          <w:iCs/>
        </w:rPr>
        <w:t>Canal la manche</w:t>
      </w:r>
      <w:r w:rsidRPr="002F7766">
        <w:rPr>
          <w:rFonts w:ascii="Garamond" w:hAnsi="Garamond" w:cs="Arial"/>
        </w:rPr>
        <w:t xml:space="preserve">. Ob ich meine, daß dieser Einfall etwas mit dem Traum zu tun hat? Gewiß, meine ich, er gibt wirklich die Lösung des rätselhaften Traumelements. Oder wollen Sie bezweifeln, daß dieser Witz bereits vor dem Traum als das Unbewußte des Elements »Kanal« vorhanden war, können Sie annehmen, daß er nachträglich hinzugefunden wurde? Der Einfall bezeugt nämlich die Skepsis, die sich bei ihr hinter aufdringlicher Bewunderung verbirgt, und der Widerstand ist wohl der gemeinsame Grund für beides, sowohl, daß ihr der Einfall so zögernd gekommen, als auch dafür, daß das entsprechende Traumelement so unbestimmt ausgefallen ist. Blicken Sie hier auf das Verhältnis des Traumelements zu seinem Unbewußten. </w:t>
      </w:r>
      <w:r w:rsidRPr="002F7766">
        <w:rPr>
          <w:rFonts w:ascii="Garamond" w:hAnsi="Garamond" w:cs="Arial"/>
          <w:lang w:val="en-GB"/>
        </w:rPr>
        <w:t>Es ist wie ein Stückchen dieses Unbewußten, wie eine Anspielung darauf; durch seine Isolierung ist es ganz unverständlich geworden.</w:t>
      </w:r>
    </w:p>
    <w:p w:rsidR="00062BE4" w:rsidRPr="002F7766" w:rsidRDefault="00062BE4" w:rsidP="00062BE4">
      <w:pPr>
        <w:rPr>
          <w:rFonts w:ascii="Garamond" w:hAnsi="Garamond" w:cs="Arial"/>
          <w:lang w:val="en-GB"/>
        </w:rPr>
      </w:pPr>
      <w:r w:rsidRPr="002F7766">
        <w:rPr>
          <w:rFonts w:ascii="Garamond" w:hAnsi="Garamond" w:cs="Arial"/>
          <w:lang w:val="en-GB"/>
        </w:rPr>
        <w:t xml:space="preserve">c) Ein Patient träumt in längerem Zusammenhange: </w:t>
      </w:r>
      <w:r w:rsidRPr="002F7766">
        <w:rPr>
          <w:rFonts w:ascii="Garamond" w:hAnsi="Garamond" w:cs="Arial"/>
          <w:i/>
          <w:iCs/>
          <w:lang w:val="en-GB"/>
        </w:rPr>
        <w:t>Um einen Tisch von besonderer Form sitzen mehrere Mitglieder seiner Familie</w:t>
      </w:r>
      <w:r w:rsidRPr="002F7766">
        <w:rPr>
          <w:rFonts w:ascii="Garamond" w:hAnsi="Garamond" w:cs="Arial"/>
          <w:lang w:val="en-GB"/>
        </w:rPr>
        <w:t xml:space="preserve"> usw. Zu diesem Tisch fällt ihm ein, daß er ein solches Möbelstück bei einem Besuch bei einer bestimmten Familie gesehen hat. Dann setzen sich seine Gedanken fort: In dieser Familie hat es ein besonderes Verhältnis zwischen Vater und Sohn gegeben, und bald setzt er hinzu, daß es eigentlich zwischen ihm und seinem Vater ebenso steht. Der Tisch ist also in den Traum aufgenommen, um diese Parallele zu bezeichnen.</w:t>
      </w:r>
    </w:p>
    <w:p w:rsidR="00062BE4" w:rsidRPr="002F7766" w:rsidRDefault="00062BE4" w:rsidP="00062BE4">
      <w:pPr>
        <w:rPr>
          <w:rFonts w:ascii="Garamond" w:hAnsi="Garamond" w:cs="Arial"/>
          <w:lang w:val="en-GB"/>
        </w:rPr>
      </w:pPr>
      <w:r w:rsidRPr="002F7766">
        <w:rPr>
          <w:rFonts w:ascii="Garamond" w:hAnsi="Garamond" w:cs="Arial"/>
          <w:lang w:val="en-GB"/>
        </w:rPr>
        <w:t xml:space="preserve">Dieser Träumer war mit den Anforderungen der Traumdeutung längst vertraut. Ein anderer hätte vielleicht Anstoß daran genommen, daß ein so geringfügiges Detail wie die Form eines Tisches zum Objekt der Nachforschung genommen wird. Wir erklären wirklich nichts im Traum für zufällig oder gleichgültig und erwarten uns Aufschluß gerade von der Aufklärung so geringfügiger unmotivierter Details. Sie werden sich vielleicht noch darüber verwundern, daß die Traumarbeit den Gedanken »bei uns geht es ebenso zu wie bei denen« gerade durch die Auswahl des Tisches zum Ausdruck bringt. Aber auch das erklärt sich, wenn Sie hören, daß die betreffende Familie den Namen: </w:t>
      </w:r>
      <w:r w:rsidRPr="002F7766">
        <w:rPr>
          <w:rFonts w:ascii="Garamond" w:hAnsi="Garamond" w:cs="Arial"/>
          <w:i/>
          <w:iCs/>
          <w:lang w:val="en-GB"/>
        </w:rPr>
        <w:t>Tischler</w:t>
      </w:r>
      <w:r w:rsidRPr="002F7766">
        <w:rPr>
          <w:rFonts w:ascii="Garamond" w:hAnsi="Garamond" w:cs="Arial"/>
          <w:lang w:val="en-GB"/>
        </w:rPr>
        <w:t xml:space="preserve"> trägt. Indem der Träumer seine Angehörigen an diesem Tisch Platz nehmen läßt, sagt er, sie seien auch Tischler. Bemerken Sie übrigens, wie man notgedrungen bei der Mitteilung solcher Traumdeutungen indiskret werden muß. Sie haben damit eine der Ihnen angedeuteten Schwierigkeiten in der Auswahl von Beispielen erraten. Ich hätte dieses Beispiel leicht durch ein anderes ersetzen können, aber wahrscheinlich hätte ich diese Indiskretion nur um den Preis vermieden, daß ich an ihrer Statt eine andere begehe.</w:t>
      </w:r>
    </w:p>
    <w:p w:rsidR="00062BE4" w:rsidRPr="002F7766" w:rsidRDefault="00062BE4" w:rsidP="00062BE4">
      <w:pPr>
        <w:rPr>
          <w:rFonts w:ascii="Garamond" w:hAnsi="Garamond" w:cs="Arial"/>
          <w:lang w:val="en-GB"/>
        </w:rPr>
      </w:pPr>
      <w:r w:rsidRPr="002F7766">
        <w:rPr>
          <w:rFonts w:ascii="Garamond" w:hAnsi="Garamond" w:cs="Arial"/>
          <w:lang w:val="en-GB"/>
        </w:rPr>
        <w:t xml:space="preserve">Es scheint mir an der Zeit, zwei Termini einzuführen, die wir längst hätten verwenden können. Wir wollen das, was der Traum erzählt, den </w:t>
      </w:r>
      <w:r w:rsidRPr="002F7766">
        <w:rPr>
          <w:rFonts w:ascii="Garamond" w:hAnsi="Garamond" w:cs="Arial"/>
          <w:i/>
          <w:iCs/>
          <w:lang w:val="en-GB"/>
        </w:rPr>
        <w:t>manifesten Trauminhalt</w:t>
      </w:r>
      <w:r w:rsidRPr="002F7766">
        <w:rPr>
          <w:rFonts w:ascii="Garamond" w:hAnsi="Garamond" w:cs="Arial"/>
          <w:lang w:val="en-GB"/>
        </w:rPr>
        <w:t xml:space="preserve"> nennen, das Verborgene, zu dem wir durch die Verfolgung der Einfälle kommen sollen, die </w:t>
      </w:r>
      <w:r w:rsidRPr="002F7766">
        <w:rPr>
          <w:rFonts w:ascii="Garamond" w:hAnsi="Garamond" w:cs="Arial"/>
          <w:i/>
          <w:iCs/>
          <w:lang w:val="en-GB"/>
        </w:rPr>
        <w:t>latenten Traumgedanken</w:t>
      </w:r>
      <w:r w:rsidRPr="002F7766">
        <w:rPr>
          <w:rFonts w:ascii="Garamond" w:hAnsi="Garamond" w:cs="Arial"/>
          <w:lang w:val="en-GB"/>
        </w:rPr>
        <w:t xml:space="preserve">. Wir achten dann auf die Beziehungen zwischen manifestem Trauminhalt und latenten Traumgedanken, wie sie sich in diesen Beispielen zeigen. Es können sehr verschiedene solche Beziehungen bestehen. In den Beispielen a) und b) ist das manifeste Element auch ein Bestandteil der latenten Gedanken, aber nur ein kleines Stück davon. Von einem großen zusammengesetzten psychischen Gebilde in den unbewußten Traumgedanken ist ein Stückchen auch in den manifesten Traum gelangt, wie ein Fragment davon oder in anderen Fällen wie eine Anspielung darauf, wie ein Stichwort, eine Verkürzung im Telegraphenstil. Die Deutungsarbeit hat diesen </w:t>
      </w:r>
      <w:smartTag w:uri="urn:schemas-microsoft-com:office:smarttags" w:element="place">
        <w:r w:rsidRPr="002F7766">
          <w:rPr>
            <w:rFonts w:ascii="Garamond" w:hAnsi="Garamond" w:cs="Arial"/>
            <w:lang w:val="en-GB"/>
          </w:rPr>
          <w:t>Brocken</w:t>
        </w:r>
      </w:smartTag>
      <w:r w:rsidRPr="002F7766">
        <w:rPr>
          <w:rFonts w:ascii="Garamond" w:hAnsi="Garamond" w:cs="Arial"/>
          <w:lang w:val="en-GB"/>
        </w:rPr>
        <w:t xml:space="preserve"> oder diese Andeutung zum Ganzen zu vervollständigen, wie es besonders schön im Beispiel b) gelungen ist. Die eine Art der Entstellung, in welcher die Traumarbeit besteht, ist also der Ersatz durch ein Bruchstück oder eine Anspielung. In c) ist überdies ein anderes Verhältnis zu erkennen, welches wir in den nachfolgenden Beispielen reiner und deutlicher ausgedrückt sehen.</w:t>
      </w:r>
    </w:p>
    <w:p w:rsidR="00062BE4" w:rsidRPr="002F7766" w:rsidRDefault="00062BE4" w:rsidP="00062BE4">
      <w:pPr>
        <w:rPr>
          <w:rFonts w:ascii="Garamond" w:hAnsi="Garamond" w:cs="Arial"/>
          <w:lang w:val="en-GB"/>
        </w:rPr>
      </w:pPr>
      <w:r w:rsidRPr="002F7766">
        <w:rPr>
          <w:rFonts w:ascii="Garamond" w:hAnsi="Garamond" w:cs="Arial"/>
          <w:lang w:val="en-GB"/>
        </w:rPr>
        <w:t xml:space="preserve">d) Der Träumer </w:t>
      </w:r>
      <w:r w:rsidRPr="002F7766">
        <w:rPr>
          <w:rFonts w:ascii="Garamond" w:hAnsi="Garamond" w:cs="Arial"/>
          <w:i/>
          <w:iCs/>
          <w:lang w:val="en-GB"/>
        </w:rPr>
        <w:t>zieht eine</w:t>
      </w:r>
      <w:r w:rsidRPr="002F7766">
        <w:rPr>
          <w:rFonts w:ascii="Garamond" w:hAnsi="Garamond" w:cs="Arial"/>
          <w:lang w:val="en-GB"/>
        </w:rPr>
        <w:t xml:space="preserve"> (bestimmte, ihm bekannte) </w:t>
      </w:r>
      <w:r w:rsidRPr="002F7766">
        <w:rPr>
          <w:rFonts w:ascii="Garamond" w:hAnsi="Garamond" w:cs="Arial"/>
          <w:i/>
          <w:iCs/>
          <w:lang w:val="en-GB"/>
        </w:rPr>
        <w:t>Dame hinter dem Bett hervor</w:t>
      </w:r>
      <w:r w:rsidRPr="002F7766">
        <w:rPr>
          <w:rFonts w:ascii="Garamond" w:hAnsi="Garamond" w:cs="Arial"/>
          <w:lang w:val="en-GB"/>
        </w:rPr>
        <w:t xml:space="preserve">. Er findet selbst durch den ersten Einfall den Sinn dieses Traumelements. Es heißt: er gibt dieser Dame den </w:t>
      </w:r>
      <w:r w:rsidRPr="002F7766">
        <w:rPr>
          <w:rFonts w:ascii="Garamond" w:hAnsi="Garamond" w:cs="Arial"/>
          <w:i/>
          <w:iCs/>
          <w:lang w:val="en-GB"/>
        </w:rPr>
        <w:t>Vorzug</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e) Ein anderer träumt, </w:t>
      </w:r>
      <w:r w:rsidRPr="002F7766">
        <w:rPr>
          <w:rFonts w:ascii="Garamond" w:hAnsi="Garamond" w:cs="Arial"/>
          <w:i/>
          <w:iCs/>
          <w:lang w:val="en-GB"/>
        </w:rPr>
        <w:t>sein Bruder stecke in einem Kasten.</w:t>
      </w:r>
      <w:r w:rsidRPr="002F7766">
        <w:rPr>
          <w:rFonts w:ascii="Garamond" w:hAnsi="Garamond" w:cs="Arial"/>
          <w:lang w:val="en-GB"/>
        </w:rPr>
        <w:t xml:space="preserve"> Der erste Einfall ersetzt Kasten durch </w:t>
      </w:r>
      <w:r w:rsidRPr="002F7766">
        <w:rPr>
          <w:rFonts w:ascii="Garamond" w:hAnsi="Garamond" w:cs="Arial"/>
          <w:i/>
          <w:iCs/>
          <w:lang w:val="en-GB"/>
        </w:rPr>
        <w:t>Schrank,</w:t>
      </w:r>
      <w:r w:rsidRPr="002F7766">
        <w:rPr>
          <w:rFonts w:ascii="Garamond" w:hAnsi="Garamond" w:cs="Arial"/>
          <w:lang w:val="en-GB"/>
        </w:rPr>
        <w:t xml:space="preserve"> und der zweite gibt darauf die Deutung: der Bruder </w:t>
      </w:r>
      <w:r w:rsidRPr="002F7766">
        <w:rPr>
          <w:rFonts w:ascii="Garamond" w:hAnsi="Garamond" w:cs="Arial"/>
          <w:i/>
          <w:iCs/>
          <w:lang w:val="en-GB"/>
        </w:rPr>
        <w:t>schränkt sich ein</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rPr>
        <w:lastRenderedPageBreak/>
        <w:t xml:space="preserve">f) Der Träumer </w:t>
      </w:r>
      <w:r w:rsidRPr="002F7766">
        <w:rPr>
          <w:rFonts w:ascii="Garamond" w:hAnsi="Garamond" w:cs="Arial"/>
          <w:i/>
          <w:iCs/>
        </w:rPr>
        <w:t>steigt auf einen Berg, von dem er eine außerordentliche, weite Aussicht hat</w:t>
      </w:r>
      <w:r w:rsidRPr="002F7766">
        <w:rPr>
          <w:rFonts w:ascii="Garamond" w:hAnsi="Garamond" w:cs="Arial"/>
        </w:rPr>
        <w:t xml:space="preserve">. Das klingt ja ganz rationell, es ist vielleicht nichts zu deuten daran, sondern nur zu erkunden, an welche Reminiszenz der Traum rührt und aus welchem Motiv sie hier geweckt wurde. </w:t>
      </w:r>
      <w:r w:rsidRPr="002F7766">
        <w:rPr>
          <w:rFonts w:ascii="Garamond" w:hAnsi="Garamond" w:cs="Arial"/>
          <w:lang w:val="en-GB"/>
        </w:rPr>
        <w:t xml:space="preserve">Allein Sie irren; es zeigt sich, daß dieser Traum gerade so deutungsbedürftig war wie irgendein anderer, verworrener. Dem Träumer fällt dazu nämlich nichts von eigenen Bergbesteigungen ein, sondern er gedenkt des Umstandes, daß ein Bekannter von ihm eine » </w:t>
      </w:r>
      <w:r w:rsidRPr="002F7766">
        <w:rPr>
          <w:rFonts w:ascii="Garamond" w:hAnsi="Garamond" w:cs="Arial"/>
          <w:i/>
          <w:iCs/>
          <w:lang w:val="en-GB"/>
        </w:rPr>
        <w:t>Rundschau</w:t>
      </w:r>
      <w:r w:rsidRPr="002F7766">
        <w:rPr>
          <w:rFonts w:ascii="Garamond" w:hAnsi="Garamond" w:cs="Arial"/>
          <w:lang w:val="en-GB"/>
        </w:rPr>
        <w:t>« herausgibt, die sich mit unseren Beziehungen zu den fernsten Erdteilen beschäftigt. Der latente Traumgedanke ist also hier eine Identifizierung des Träumers mit dem »Rundschauer«.</w:t>
      </w:r>
    </w:p>
    <w:p w:rsidR="00062BE4" w:rsidRPr="002F7766" w:rsidRDefault="00062BE4" w:rsidP="00062BE4">
      <w:pPr>
        <w:rPr>
          <w:rFonts w:ascii="Garamond" w:hAnsi="Garamond" w:cs="Arial"/>
          <w:lang w:val="en-GB"/>
        </w:rPr>
      </w:pPr>
      <w:r w:rsidRPr="002F7766">
        <w:rPr>
          <w:rFonts w:ascii="Garamond" w:hAnsi="Garamond" w:cs="Arial"/>
          <w:lang w:val="en-GB"/>
        </w:rPr>
        <w:t>Sie finden hier einen neuen Typus der Beziehung zwischen manifestem und latentem Traumelement. Das erstere ist nicht so sehr eine Entstellung des letzteren als eine Darstellung desselben, eine plastische, konkrete Verbildlichung, die ihren Ausgang vom Wortlaute nimmt. Allerdings gerade dadurch wieder eine Entstellung, denn wir haben beim Wort längst vergessen, aus welchem konkreten Bild es hervorgegangen ist, und erkennen es darum in seiner Ersetzung durch das Bild nicht wieder. Wenn Sie daran denken, daß der manifeste Traum vorwiegend aus visuellen Bildern, seltener aus Gedanken und Worten besteht, können Sie erraten, daß dieser Art der Beziehung eine besondere Bedeutung für die Traumbildung zukommt. Sie sehen auch, daß es auf diesem Wege möglich wird, für eine große Reihe abstrakter Gedanken Ersatzbilder im manifesten Traum zu scharfen, die doch der Absicht des Verbergens dienen. Es ist dies die Technik unseres Bilderrätsels. Woher der Anschein des Witzigen kommt, den solche Darstellungen an sich tragen, das ist eine besondere Frage, die wir hier nicht zu berühren brauchen.</w:t>
      </w:r>
    </w:p>
    <w:p w:rsidR="00062BE4" w:rsidRPr="002F7766" w:rsidRDefault="00062BE4" w:rsidP="00062BE4">
      <w:pPr>
        <w:rPr>
          <w:rFonts w:ascii="Garamond" w:hAnsi="Garamond" w:cs="Arial"/>
          <w:lang w:val="en-GB"/>
        </w:rPr>
      </w:pPr>
      <w:r w:rsidRPr="002F7766">
        <w:rPr>
          <w:rFonts w:ascii="Garamond" w:hAnsi="Garamond" w:cs="Arial"/>
          <w:lang w:val="en-GB"/>
        </w:rPr>
        <w:t>Eine vierte Art der Beziehung zwischen manifestem und latentem Element muß ich Ihnen noch verschweigen, bis ihr Stichwort in der Technik gefallen ist. Ich werde Ihnen auch dann keine vollständige Aufzählung gegeben haben, aber es reicht so für unsere Zwecke aus.</w:t>
      </w:r>
    </w:p>
    <w:p w:rsidR="00062BE4" w:rsidRPr="002F7766" w:rsidRDefault="00062BE4" w:rsidP="00062BE4">
      <w:pPr>
        <w:rPr>
          <w:rFonts w:ascii="Garamond" w:hAnsi="Garamond" w:cs="Arial"/>
          <w:lang w:val="en-GB"/>
        </w:rPr>
      </w:pPr>
      <w:r w:rsidRPr="002F7766">
        <w:rPr>
          <w:rFonts w:ascii="Garamond" w:hAnsi="Garamond" w:cs="Arial"/>
        </w:rPr>
        <w:t xml:space="preserve">Haben Sie nun den Mut, die Deutung eines ganzen Traumes zu wagen? </w:t>
      </w:r>
      <w:r w:rsidRPr="002F7766">
        <w:rPr>
          <w:rFonts w:ascii="Garamond" w:hAnsi="Garamond" w:cs="Arial"/>
          <w:lang w:val="en-GB"/>
        </w:rPr>
        <w:t>Machen wir den Versuch, ob wir für diese Aufgabe gut genug ausgerüstet sind. Ich werde natürlich keinen der dunkelsten wählen, aber doch einen, der die Eigenschaften eines Traumes in guter Ausprägung zeigt.</w:t>
      </w:r>
    </w:p>
    <w:p w:rsidR="00062BE4" w:rsidRPr="002F7766" w:rsidRDefault="00062BE4" w:rsidP="00062BE4">
      <w:pPr>
        <w:rPr>
          <w:rFonts w:ascii="Garamond" w:hAnsi="Garamond" w:cs="Arial"/>
          <w:lang w:val="en-GB"/>
        </w:rPr>
      </w:pPr>
      <w:r w:rsidRPr="002F7766">
        <w:rPr>
          <w:rFonts w:ascii="Garamond" w:hAnsi="Garamond" w:cs="Arial"/>
          <w:lang w:val="en-GB"/>
        </w:rPr>
        <w:t xml:space="preserve">Also eine junge, aber schon seit vielen Jahren verheiratete Dame träumt: </w:t>
      </w:r>
      <w:r w:rsidRPr="002F7766">
        <w:rPr>
          <w:rFonts w:ascii="Garamond" w:hAnsi="Garamond" w:cs="Arial"/>
          <w:i/>
          <w:iCs/>
          <w:lang w:val="en-GB"/>
        </w:rPr>
        <w:t>Sie sitzt mit ihrem Manne im Theater, eine Seite des Parketts ist ganz unbesetzt. Ihr Mann erzählt ihr, Elise L. und ihr Bräutigam hätten auch gehen wollen, hätten aber nur schlechte Sitze bekommen, 3 für 1 fl. 50 kr., und die konnten sie ja nicht nehmen. Sie meint, es wäre auch kein Unglück gewesen.</w:t>
      </w:r>
    </w:p>
    <w:p w:rsidR="00062BE4" w:rsidRPr="002F7766" w:rsidRDefault="00062BE4" w:rsidP="00062BE4">
      <w:pPr>
        <w:rPr>
          <w:rFonts w:ascii="Garamond" w:hAnsi="Garamond" w:cs="Arial"/>
          <w:lang w:val="en-GB"/>
        </w:rPr>
      </w:pPr>
      <w:r w:rsidRPr="002F7766">
        <w:rPr>
          <w:rFonts w:ascii="Garamond" w:hAnsi="Garamond" w:cs="Arial"/>
          <w:lang w:val="en-GB"/>
        </w:rPr>
        <w:t xml:space="preserve">Das erste, was uns die Träumerin berichtet, ist, daß der Anlaß zum Traum im manifesten Inhalt desselben berührt wird. Ihr Mann hatte ihr wirklich erzählt, daß Elise L., eine ungefähr gleichaltrige Bekannte, sich jetzt verlobt hat. Der Traum ist die Reaktion auf diese Mitteilung. Wir wissen bereits, daß es für viele Träume leicht wird, einen solchen Anlaß vom Vortag für sie nachzuweisen, und daß diese Herleitungen vom Träumer oft ohne Schwierigkeiten angegeben werden. </w:t>
      </w:r>
      <w:r w:rsidRPr="002F7766">
        <w:rPr>
          <w:rFonts w:ascii="Garamond" w:hAnsi="Garamond" w:cs="Arial"/>
        </w:rPr>
        <w:t xml:space="preserve">Auskünfte derselben Art stellt uns die Träumerin auch für andere Elemente des manifesten Traumes zur Verfügung. Woher das Detail, daß eine Seite des Parketts unbesetzt ist? Es ist eine Anspielung auf eine reale Begebenheit der vorigen Woche. Sie hatte sich vorgenommen, in eine gewisse Theatervorstellung zu gehen, und darum </w:t>
      </w:r>
      <w:r w:rsidRPr="002F7766">
        <w:rPr>
          <w:rFonts w:ascii="Garamond" w:hAnsi="Garamond" w:cs="Arial"/>
          <w:i/>
          <w:iCs/>
        </w:rPr>
        <w:t>frühzeitig</w:t>
      </w:r>
      <w:r w:rsidRPr="002F7766">
        <w:rPr>
          <w:rFonts w:ascii="Garamond" w:hAnsi="Garamond" w:cs="Arial"/>
        </w:rPr>
        <w:t xml:space="preserve"> Karten genommen, so früh, daß sie Vorverkaufsgebühr zahlen mußte. </w:t>
      </w:r>
      <w:r w:rsidRPr="002F7766">
        <w:rPr>
          <w:rFonts w:ascii="Garamond" w:hAnsi="Garamond" w:cs="Arial"/>
          <w:lang w:val="en-GB"/>
        </w:rPr>
        <w:t xml:space="preserve">Als sie ins Theater kamen, zeigte es sich, wie überflüssig ihre Sorge gewesen war, denn </w:t>
      </w:r>
      <w:r w:rsidRPr="002F7766">
        <w:rPr>
          <w:rFonts w:ascii="Garamond" w:hAnsi="Garamond" w:cs="Arial"/>
          <w:i/>
          <w:iCs/>
          <w:lang w:val="en-GB"/>
        </w:rPr>
        <w:t>eine Seite des Parketts war fast leer</w:t>
      </w:r>
      <w:r w:rsidRPr="002F7766">
        <w:rPr>
          <w:rFonts w:ascii="Garamond" w:hAnsi="Garamond" w:cs="Arial"/>
          <w:lang w:val="en-GB"/>
        </w:rPr>
        <w:t xml:space="preserve">. Es wäre Zeit gewesen, wenn sie die Karten am Tage der Vorstellung selbst gekauft hätte. Ihr Mann unterließ es auch nicht, sie wegen dieser </w:t>
      </w:r>
      <w:r w:rsidRPr="002F7766">
        <w:rPr>
          <w:rFonts w:ascii="Garamond" w:hAnsi="Garamond" w:cs="Arial"/>
          <w:i/>
          <w:iCs/>
          <w:lang w:val="en-GB"/>
        </w:rPr>
        <w:t>Voreiligkeit</w:t>
      </w:r>
      <w:r w:rsidRPr="002F7766">
        <w:rPr>
          <w:rFonts w:ascii="Garamond" w:hAnsi="Garamond" w:cs="Arial"/>
          <w:lang w:val="en-GB"/>
        </w:rPr>
        <w:t xml:space="preserve"> zu necken. – Woher die 1 fl. 50 kr.? Aus einem ganz anderen Zusammenhange, der mit dem vorigen nichts zu tun hat, aber gleichfalls auf eine Nachricht vom letzten Tage anspielt. Ihre Schwägerin hatte von ihrem Mann die Summe von 150 fl. zum Geschenk bekommen und hatte nichts Eiligeres zu tun, die dumme Gans, als zum Juwelier zu laufen und das Geld gegen ein Schmuckstück einzutauschen. – Woher die 3? Dazu weiß sie nichts, wenn man nicht etwa den Einfall gelten lassen will, </w:t>
      </w:r>
      <w:r w:rsidRPr="002F7766">
        <w:rPr>
          <w:rFonts w:ascii="Garamond" w:hAnsi="Garamond" w:cs="Arial"/>
          <w:lang w:val="en-GB"/>
        </w:rPr>
        <w:lastRenderedPageBreak/>
        <w:t>daß die Braut, Elise L., nur um 3 Monate jünger ist als sie, die seit fast zehn Jahren verheiratete Frau. Und der Unsinn, daß man drei Karten nimmt, wenn man nur zu zweien ist? Dazu sagt sie nichts, verweigert überhaupt alle weiteren Einfälle und Auskünfte.</w:t>
      </w:r>
    </w:p>
    <w:p w:rsidR="00062BE4" w:rsidRPr="002F7766" w:rsidRDefault="00062BE4" w:rsidP="00062BE4">
      <w:pPr>
        <w:rPr>
          <w:rFonts w:ascii="Garamond" w:hAnsi="Garamond" w:cs="Arial"/>
          <w:lang w:val="en-GB"/>
        </w:rPr>
      </w:pPr>
      <w:r w:rsidRPr="002F7766">
        <w:rPr>
          <w:rFonts w:ascii="Garamond" w:hAnsi="Garamond" w:cs="Arial"/>
          <w:lang w:val="en-GB"/>
        </w:rPr>
        <w:t xml:space="preserve">Sie hat uns aber doch so viel Material in ihren wenigen Einfällen zugetragen, daß daraus das Erraten der latenten Traumgedanken möglich wird. Es muß auffallen, daß in ihren Mitteilungen zum Traum an mehreren Stellen Zeitbestimmungen hervortreten, die eine Gemeinsamkeit zwischen verschiedenen Partien des Materials begründen. Sie hat die Eintrittskarten ins Theater </w:t>
      </w:r>
      <w:r w:rsidRPr="002F7766">
        <w:rPr>
          <w:rFonts w:ascii="Garamond" w:hAnsi="Garamond" w:cs="Arial"/>
          <w:i/>
          <w:iCs/>
          <w:lang w:val="en-GB"/>
        </w:rPr>
        <w:t>zu früh</w:t>
      </w:r>
      <w:r w:rsidRPr="002F7766">
        <w:rPr>
          <w:rFonts w:ascii="Garamond" w:hAnsi="Garamond" w:cs="Arial"/>
          <w:lang w:val="en-GB"/>
        </w:rPr>
        <w:t xml:space="preserve"> besorgt, </w:t>
      </w:r>
      <w:r w:rsidRPr="002F7766">
        <w:rPr>
          <w:rFonts w:ascii="Garamond" w:hAnsi="Garamond" w:cs="Arial"/>
          <w:i/>
          <w:iCs/>
          <w:lang w:val="en-GB"/>
        </w:rPr>
        <w:t>voreilig</w:t>
      </w:r>
      <w:r w:rsidRPr="002F7766">
        <w:rPr>
          <w:rFonts w:ascii="Garamond" w:hAnsi="Garamond" w:cs="Arial"/>
          <w:lang w:val="en-GB"/>
        </w:rPr>
        <w:t xml:space="preserve"> genommen, so daß sie sie überzahlen mußte; die Schwägerin hat sich in ähnlicher Weise </w:t>
      </w:r>
      <w:r w:rsidRPr="002F7766">
        <w:rPr>
          <w:rFonts w:ascii="Garamond" w:hAnsi="Garamond" w:cs="Arial"/>
          <w:i/>
          <w:iCs/>
          <w:lang w:val="en-GB"/>
        </w:rPr>
        <w:t>beeilt</w:t>
      </w:r>
      <w:r w:rsidRPr="002F7766">
        <w:rPr>
          <w:rFonts w:ascii="Garamond" w:hAnsi="Garamond" w:cs="Arial"/>
          <w:lang w:val="en-GB"/>
        </w:rPr>
        <w:t xml:space="preserve">, ihr Geld zum Juwelier zu tragen, um sich einen Schmuck dafür zu kaufen, als ob sie es </w:t>
      </w:r>
      <w:r w:rsidRPr="002F7766">
        <w:rPr>
          <w:rFonts w:ascii="Garamond" w:hAnsi="Garamond" w:cs="Arial"/>
          <w:i/>
          <w:iCs/>
          <w:lang w:val="en-GB"/>
        </w:rPr>
        <w:t>versäumen</w:t>
      </w:r>
      <w:r w:rsidRPr="002F7766">
        <w:rPr>
          <w:rFonts w:ascii="Garamond" w:hAnsi="Garamond" w:cs="Arial"/>
          <w:lang w:val="en-GB"/>
        </w:rPr>
        <w:t xml:space="preserve"> würde. Nehmen wir zu dem so betonten »zu früh«, »voreilig« die Veranlassung des Traumes hinzu, die Nachricht, daß die nur um 3 Monate </w:t>
      </w:r>
      <w:r w:rsidRPr="002F7766">
        <w:rPr>
          <w:rFonts w:ascii="Garamond" w:hAnsi="Garamond" w:cs="Arial"/>
          <w:i/>
          <w:iCs/>
          <w:lang w:val="en-GB"/>
        </w:rPr>
        <w:t>jüngere</w:t>
      </w:r>
      <w:r w:rsidRPr="002F7766">
        <w:rPr>
          <w:rFonts w:ascii="Garamond" w:hAnsi="Garamond" w:cs="Arial"/>
          <w:lang w:val="en-GB"/>
        </w:rPr>
        <w:t xml:space="preserve"> Freundin jetzt doch einen tüchtigen Mann bekommen hat, und die in dem Schimpf auf die Schwägerin ausgedrückte Kritik: es sei </w:t>
      </w:r>
      <w:r w:rsidRPr="002F7766">
        <w:rPr>
          <w:rFonts w:ascii="Garamond" w:hAnsi="Garamond" w:cs="Arial"/>
          <w:i/>
          <w:iCs/>
          <w:lang w:val="en-GB"/>
        </w:rPr>
        <w:t>unsinnig</w:t>
      </w:r>
      <w:r w:rsidRPr="002F7766">
        <w:rPr>
          <w:rFonts w:ascii="Garamond" w:hAnsi="Garamond" w:cs="Arial"/>
          <w:lang w:val="en-GB"/>
        </w:rPr>
        <w:t>, sich so zu übereilen, so tritt uns wie spontan folgende Konstruktion der latenten Traumgedanken entgegen, für welche der manifeste Traum ein arg entstellter Ersatz ist:</w:t>
      </w:r>
    </w:p>
    <w:p w:rsidR="00062BE4" w:rsidRPr="002F7766" w:rsidRDefault="00062BE4" w:rsidP="00062BE4">
      <w:pPr>
        <w:rPr>
          <w:rFonts w:ascii="Garamond" w:hAnsi="Garamond" w:cs="Arial"/>
          <w:lang w:val="en-GB"/>
        </w:rPr>
      </w:pPr>
      <w:r w:rsidRPr="002F7766">
        <w:rPr>
          <w:rFonts w:ascii="Garamond" w:hAnsi="Garamond" w:cs="Arial"/>
          <w:lang w:val="en-GB"/>
        </w:rPr>
        <w:t xml:space="preserve">»Es war doch ein </w:t>
      </w:r>
      <w:r w:rsidRPr="002F7766">
        <w:rPr>
          <w:rFonts w:ascii="Garamond" w:hAnsi="Garamond" w:cs="Arial"/>
          <w:i/>
          <w:iCs/>
          <w:lang w:val="en-GB"/>
        </w:rPr>
        <w:t>Unsinn</w:t>
      </w:r>
      <w:r w:rsidRPr="002F7766">
        <w:rPr>
          <w:rFonts w:ascii="Garamond" w:hAnsi="Garamond" w:cs="Arial"/>
          <w:lang w:val="en-GB"/>
        </w:rPr>
        <w:t xml:space="preserve"> von mir, </w:t>
      </w:r>
      <w:smartTag w:uri="urn:schemas-microsoft-com:office:smarttags" w:element="place">
        <w:smartTag w:uri="urn:schemas-microsoft-com:office:smarttags" w:element="State">
          <w:r w:rsidRPr="002F7766">
            <w:rPr>
              <w:rFonts w:ascii="Garamond" w:hAnsi="Garamond" w:cs="Arial"/>
              <w:lang w:val="en-GB"/>
            </w:rPr>
            <w:t>mich</w:t>
          </w:r>
        </w:smartTag>
      </w:smartTag>
      <w:r w:rsidRPr="002F7766">
        <w:rPr>
          <w:rFonts w:ascii="Garamond" w:hAnsi="Garamond" w:cs="Arial"/>
          <w:lang w:val="en-GB"/>
        </w:rPr>
        <w:t xml:space="preserve"> mit der Heirat so zu beeilen! An dem Beispiel der Elise sehe ich, daß ich auch noch später einen Mann bekommen hätte.« (Die Übereilung dargestellt durch ihr Benehmen beim Kartenkauf und das der Schwägerin beim Schmuckeinkauf. Für das Heiraten tritt als Ersatz das Ins-Theater-Gehen ein.) Das wäre der Hauptgedanke; vielleicht können wir fortsetzen, obwohl mit geringerer Sicherheit, weil die Analyse an diesen Stellen auf Äußerungen der Träumerin nicht hätte verzichten sollen: »Und einen 100mal besseren hätte ich für das Geld bekommen!« (150 fl. ist 100mal mehr als 1 fl. 50.) Wenn wir für das Geld die Mitgift einsetzen dürften, so hieße es, daß man sich den Mann durch die Mitgift erkauft; sowohl der Schmuck wie auch die schlechten Karten stünden an Stelle des Mannes. Noch erwünschter wäre es, wenn gerade das Element »3 Karten« etwas mit einem Mann zu tun hätte. Aber soweit reicht unser Verständnis noch nicht. Wir haben nur erraten, der Traum drückt die </w:t>
      </w:r>
      <w:r w:rsidRPr="002F7766">
        <w:rPr>
          <w:rFonts w:ascii="Garamond" w:hAnsi="Garamond" w:cs="Arial"/>
          <w:i/>
          <w:iCs/>
          <w:lang w:val="en-GB"/>
        </w:rPr>
        <w:t>Geringschätzung</w:t>
      </w:r>
      <w:r w:rsidRPr="002F7766">
        <w:rPr>
          <w:rFonts w:ascii="Garamond" w:hAnsi="Garamond" w:cs="Arial"/>
          <w:lang w:val="en-GB"/>
        </w:rPr>
        <w:t xml:space="preserve"> ihres eigenen Mannes und das Bedauern, </w:t>
      </w:r>
      <w:r w:rsidRPr="002F7766">
        <w:rPr>
          <w:rFonts w:ascii="Garamond" w:hAnsi="Garamond" w:cs="Arial"/>
          <w:i/>
          <w:iCs/>
          <w:lang w:val="en-GB"/>
        </w:rPr>
        <w:t>so früh geheiratet</w:t>
      </w:r>
      <w:r w:rsidRPr="002F7766">
        <w:rPr>
          <w:rFonts w:ascii="Garamond" w:hAnsi="Garamond" w:cs="Arial"/>
          <w:lang w:val="en-GB"/>
        </w:rPr>
        <w:t xml:space="preserve"> zu haben, aus.</w:t>
      </w:r>
    </w:p>
    <w:p w:rsidR="00062BE4" w:rsidRPr="002F7766" w:rsidRDefault="00062BE4" w:rsidP="00062BE4">
      <w:pPr>
        <w:rPr>
          <w:rFonts w:ascii="Garamond" w:hAnsi="Garamond" w:cs="Arial"/>
          <w:lang w:val="en-GB"/>
        </w:rPr>
      </w:pPr>
      <w:r w:rsidRPr="002F7766">
        <w:rPr>
          <w:rFonts w:ascii="Garamond" w:hAnsi="Garamond" w:cs="Arial"/>
          <w:lang w:val="en-GB"/>
        </w:rPr>
        <w:t>Mein Urteil ist, daß wir von dem Ergebnis dieser ersten Traumdeutung mehr überrascht und verwirrt als befriedigt sein werden. Zuviel auf einmal dringt da auf uns ein, mehr, als wir jetzt schon bewältigen können. Wir merken schon, daß wir die Lehren dieser Traumdeutung nicht erschöpfen werden. Beeilen wir uns herauszugreifen, was wir als gesicherte neue Einsicht erkennen.</w:t>
      </w:r>
    </w:p>
    <w:p w:rsidR="00062BE4" w:rsidRPr="002F7766" w:rsidRDefault="00062BE4" w:rsidP="00062BE4">
      <w:pPr>
        <w:rPr>
          <w:rFonts w:ascii="Garamond" w:hAnsi="Garamond" w:cs="Arial"/>
          <w:lang w:val="en-GB"/>
        </w:rPr>
      </w:pPr>
      <w:r w:rsidRPr="002F7766">
        <w:rPr>
          <w:rFonts w:ascii="Garamond" w:hAnsi="Garamond" w:cs="Arial"/>
          <w:lang w:val="en-GB"/>
        </w:rPr>
        <w:t>Erstens: Es ist merkwürdig, in den latenten Gedanken fällt der Hauptakzent auf das Element der Voreiligkeit; im manifesten Traum ist gerade davon nichts zu finden. Ohne die Analyse hätten wir keine Ahnung haben können, daß dieses Moment irgendeine Rolle spielt. Es scheint also möglich, daß gerade die Hauptsache, das Zentrale der unbewußten Gedanken, im manifesten Traum ausbleibt. Dadurch muß der Eindruck des ganzen Traumes gründlich verwandelt werden. Zweitens: Im Traum findet sich eine unsinnige Zusammenstellung, 3 für 1 fl. 50; in den Traumgedanken erraten wir den Satz: Es war ein Unsinn (so früh zu heiraten). Kann man es abweisen, daß dieser Gedanke »es war ein Unsinn« gerade durch die Aufnahme eines absurden Elements in den manifesten Traum dargestellt wird? Drittens: Ein vergleichender Blick lehrt, daß die Beziehung zwischen manifesten und latenten Elementen keine einfache ist, keinesfalls von der Art, daß immer ein manifestes Element ein latentes ersetzt. Es muß vielmehr eine Massenbeziehung zwischen beiden Lagern sein, innerhalb deren ein manifestes Element mehrere latente vertreten oder ein latentes durch mehrere manifeste ersetzt sein kann.</w:t>
      </w:r>
    </w:p>
    <w:p w:rsidR="00062BE4" w:rsidRPr="002F7766" w:rsidRDefault="00062BE4" w:rsidP="00062BE4">
      <w:pPr>
        <w:rPr>
          <w:rFonts w:ascii="Garamond" w:hAnsi="Garamond" w:cs="Arial"/>
          <w:lang w:val="en-GB"/>
        </w:rPr>
      </w:pPr>
      <w:r w:rsidRPr="002F7766">
        <w:rPr>
          <w:rFonts w:ascii="Garamond" w:hAnsi="Garamond" w:cs="Arial"/>
          <w:lang w:val="en-GB"/>
        </w:rPr>
        <w:t xml:space="preserve">Was den Sinn des Traumes und das Verhalten der Träumerin zu ihm betrifft, wäre gleichfalls viel Überraschendes zu sagen. Sie anerkennt wohl die Deutung, aber sie wundert sich über sie. Sie hat nicht gewußt, daß sie ihren Mann so geringschätzt; sie weiß auch nicht, warum sie ihn so geringschätzen sollte. </w:t>
      </w:r>
      <w:r w:rsidRPr="002F7766">
        <w:rPr>
          <w:rFonts w:ascii="Garamond" w:hAnsi="Garamond" w:cs="Arial"/>
          <w:lang w:val="en-GB"/>
        </w:rPr>
        <w:lastRenderedPageBreak/>
        <w:t>Daran ist also noch vieles unverständlich. Ich glaube wirklich, wir sind noch nicht für eine Traumdeutung ausgerüstet und müssen uns erst weitere Unterweisung und Vorbereitung holen.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2F7766">
          <w:rPr>
            <w:rStyle w:val="Lienhypertexte"/>
            <w:rFonts w:ascii="Garamond" w:hAnsi="Garamond" w:cs="Arial"/>
            <w:b/>
            <w:bCs/>
            <w:lang w:val="en-GB"/>
          </w:rPr>
          <w:t>8. Vo</w:t>
        </w:r>
        <w:bookmarkStart w:id="275" w:name="Vorlesungen_8"/>
        <w:bookmarkEnd w:id="275"/>
        <w:r w:rsidRPr="002F7766">
          <w:rPr>
            <w:rStyle w:val="Lienhypertexte"/>
            <w:rFonts w:ascii="Garamond" w:hAnsi="Garamond" w:cs="Arial"/>
            <w:b/>
            <w:bCs/>
            <w:lang w:val="en-GB"/>
          </w:rPr>
          <w:t>rlesung. Kinderträume</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Wir stehen unter dem Eindrucke, daß wir zu rasch vorgegangen sind. Greifen wir um ein Stück zurück. Ehe wir den letzten Versuch unternahmen, die Schwierigkeit der Traumentstellung durch unsere Technik zu bewältigen, hatten wir uns gesagt, es wäre das Beste, sie zu umgehen, indem wir uns an Träume halten, bei denen die Entstellung weggefallen oder sehr geringfügig ausgefallen ist, wenn es solche gibt. Wir weichen dabei wiederum von der Entwicklungsgeschichte unserer Erkenntnis ab, denn in Wirklichkeit ist man erst nach konsequenter Anwendung der Deutungstechnik und nach vollzogener Analyse der entstellten Träume auf die Existenz solcher von Entstellung freier aufmerksam geworden.</w:t>
      </w:r>
    </w:p>
    <w:p w:rsidR="00062BE4" w:rsidRPr="002F7766" w:rsidRDefault="00062BE4" w:rsidP="00062BE4">
      <w:pPr>
        <w:rPr>
          <w:rFonts w:ascii="Garamond" w:hAnsi="Garamond" w:cs="Arial"/>
          <w:lang w:val="en-GB"/>
        </w:rPr>
      </w:pPr>
      <w:r w:rsidRPr="002F7766">
        <w:rPr>
          <w:rFonts w:ascii="Garamond" w:hAnsi="Garamond" w:cs="Arial"/>
          <w:lang w:val="en-GB"/>
        </w:rPr>
        <w:t>Die Träume, die wir suchen, finden sich bei Kindern. Sie sind kurz, klar, kohärent, leicht zu verstehen, unzweideutig und doch unzweifelhafte Träume. Glauben Sie aber nicht, daß alle Träume von Kindern dieser Art sind. Auch die Traumentstellung setzt sehr früh im Kindesalter ein, und es sind Träume von fünf- bis achtjährigen Kindern verzeichnet worden, die bereits alle Charaktere der späteren an sich tragen. Wenn Sie sich aber auf das Alter vom Beginn der kenntlichen seelischen Tätigkeit bis zum vierten oder fünften Jahr beschränken, werden Sie eine Reihe von Träumen aufbringen, die den infantil zu nennenden Charakter haben, und dann in späteren Kinderjahren einzelne derselben Art finden können. Ja auch bei erwachsenen Personen fallen unter gewissen Bedingungen Träume vor, die ganz den typisch infantilen gleichen.</w:t>
      </w:r>
    </w:p>
    <w:p w:rsidR="00062BE4" w:rsidRPr="002F7766" w:rsidRDefault="00062BE4" w:rsidP="00062BE4">
      <w:pPr>
        <w:rPr>
          <w:rFonts w:ascii="Garamond" w:hAnsi="Garamond" w:cs="Arial"/>
          <w:lang w:val="en-GB"/>
        </w:rPr>
      </w:pPr>
      <w:r w:rsidRPr="002F7766">
        <w:rPr>
          <w:rFonts w:ascii="Garamond" w:hAnsi="Garamond" w:cs="Arial"/>
          <w:lang w:val="en-GB"/>
        </w:rPr>
        <w:t>An diesen Kinderträumen können wir nun mit großer Leichtigkeit und Sicherheit Aufschlüsse über das Wesen des Traumes gewinnen, von denen wir hoffen wollen, daß sie sich als entscheidend und allgemein gültig erweisen werden.</w:t>
      </w:r>
    </w:p>
    <w:p w:rsidR="00062BE4" w:rsidRPr="002F7766" w:rsidRDefault="00062BE4" w:rsidP="00062BE4">
      <w:pPr>
        <w:rPr>
          <w:rFonts w:ascii="Garamond" w:hAnsi="Garamond" w:cs="Arial"/>
        </w:rPr>
      </w:pPr>
      <w:r w:rsidRPr="002F7766">
        <w:rPr>
          <w:rFonts w:ascii="Garamond" w:hAnsi="Garamond" w:cs="Arial"/>
          <w:lang w:val="en-GB"/>
        </w:rPr>
        <w:t xml:space="preserve">1. Man bedarf zum Verständnis dieser Träume keiner Analyse, keiner Anwendung einer Technik. Man braucht das Kind, welches seinen Traum erzählt, nicht zu befragen. Aber man muß ein Stück Erzählung aus dem Leben des Kindes dazugeben. Es gibt jedesmal ein Erlebnis vom Tage vorher, welches uns den Traum erklärt. </w:t>
      </w:r>
      <w:r w:rsidRPr="002F7766">
        <w:rPr>
          <w:rFonts w:ascii="Garamond" w:hAnsi="Garamond" w:cs="Arial"/>
        </w:rPr>
        <w:t>Der Traum ist die Reaktion des Seelenlebens im Schlafe auf dieses Erlebnis des Tages.</w:t>
      </w:r>
    </w:p>
    <w:p w:rsidR="00062BE4" w:rsidRPr="002F7766" w:rsidRDefault="00062BE4" w:rsidP="00062BE4">
      <w:pPr>
        <w:rPr>
          <w:rFonts w:ascii="Garamond" w:hAnsi="Garamond" w:cs="Arial"/>
          <w:lang w:val="en-GB"/>
        </w:rPr>
      </w:pPr>
      <w:r w:rsidRPr="002F7766">
        <w:rPr>
          <w:rFonts w:ascii="Garamond" w:hAnsi="Garamond" w:cs="Arial"/>
          <w:lang w:val="en-GB"/>
        </w:rPr>
        <w:t>Wir wollen uns einige Beispiele anhören, um unsere weiteren Schlüsse an sie anzulehnen.</w:t>
      </w:r>
    </w:p>
    <w:p w:rsidR="00062BE4" w:rsidRPr="002F7766" w:rsidRDefault="00062BE4" w:rsidP="00062BE4">
      <w:pPr>
        <w:rPr>
          <w:rFonts w:ascii="Garamond" w:hAnsi="Garamond" w:cs="Arial"/>
          <w:lang w:val="en-GB"/>
        </w:rPr>
      </w:pPr>
      <w:r w:rsidRPr="002F7766">
        <w:rPr>
          <w:rFonts w:ascii="Garamond" w:hAnsi="Garamond" w:cs="Arial"/>
          <w:lang w:val="en-GB"/>
        </w:rPr>
        <w:t xml:space="preserve">a) Ein Knabe von 22 Monaten soll als Gratulant einen Korb mit Kirschen verschenken. Er tut es offenbar sehr ungern, obwohl man ihm verspricht, daß er einige davon selbst bekommen wird. Am nächsten Morgen erzählt er als seinen Traum: </w:t>
      </w:r>
      <w:r w:rsidRPr="002F7766">
        <w:rPr>
          <w:rFonts w:ascii="Garamond" w:hAnsi="Garamond" w:cs="Arial"/>
          <w:i/>
          <w:iCs/>
          <w:lang w:val="en-GB"/>
        </w:rPr>
        <w:t>He(r)mann alle Kirschen aufgessen</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b) Ein Mädchen von 3¼ Jahren wird zum erstenmal über den See gefahren. Beim Aussteigen will sie das Boot nicht verlassen und weint bitterlich. </w:t>
      </w:r>
      <w:r w:rsidRPr="002F7766">
        <w:rPr>
          <w:rFonts w:ascii="Garamond" w:hAnsi="Garamond" w:cs="Arial"/>
        </w:rPr>
        <w:t xml:space="preserve">Die Zeit der Seefahrt scheint ihr zu rasch vergangen zu sein. </w:t>
      </w:r>
      <w:r w:rsidRPr="002F7766">
        <w:rPr>
          <w:rFonts w:ascii="Garamond" w:hAnsi="Garamond" w:cs="Arial"/>
          <w:lang w:val="en-GB"/>
        </w:rPr>
        <w:t xml:space="preserve">Am nächsten Morgen: </w:t>
      </w:r>
      <w:r w:rsidRPr="002F7766">
        <w:rPr>
          <w:rFonts w:ascii="Garamond" w:hAnsi="Garamond" w:cs="Arial"/>
          <w:i/>
          <w:iCs/>
          <w:lang w:val="en-GB"/>
        </w:rPr>
        <w:t>Heute nachts bin ich auf dem See gefahren</w:t>
      </w:r>
      <w:r w:rsidRPr="002F7766">
        <w:rPr>
          <w:rFonts w:ascii="Garamond" w:hAnsi="Garamond" w:cs="Arial"/>
          <w:lang w:val="en-GB"/>
        </w:rPr>
        <w:t>. Wir dürfen wohl ergänzen, daß diese Fahrt länger angedauert hat.</w:t>
      </w:r>
    </w:p>
    <w:p w:rsidR="00062BE4" w:rsidRPr="002F7766" w:rsidRDefault="00062BE4" w:rsidP="00062BE4">
      <w:pPr>
        <w:rPr>
          <w:rFonts w:ascii="Garamond" w:hAnsi="Garamond" w:cs="Arial"/>
          <w:lang w:val="en-GB"/>
        </w:rPr>
      </w:pPr>
      <w:r w:rsidRPr="002F7766">
        <w:rPr>
          <w:rFonts w:ascii="Garamond" w:hAnsi="Garamond" w:cs="Arial"/>
          <w:lang w:val="en-GB"/>
        </w:rPr>
        <w:t xml:space="preserve">c) Ein 5¼ jähriger Knabe wird auf einen Ausflug ins Escherntal bei Hallstatt mitgenommen. Er hatte gehört, Hallstatt liege am Fuße des Dachsteins. Für diesen Berg hatte er viel Interesse bezeugt. Von der Wohnung in Aussee war der Dachstein schön zu sehen und mit dem Fernrohr konnte man die Simonyhütte auf demselben ausnehmen. Das Kind hatte sich wiederholt bemüht, sie durchs Fernrohr zu erblicken; es war unbekannt geblieben, mit welchem Erfolge. Der Ausflug begann in erwartungsvoll heiterer Stimmung. So oft ein neuer Berg in Sicht kam, fragte der Knabe: Ist das der Dachstein? Er wurde immer mehr verstimmt, je öfter man ihm diese Frage verneint hatte, verstummte später ganz und wollte einen kleinen Steig zum Wasserfall nicht mitmachen. Man hielt ihn für übermüdet, aber am nächsten Morgen erzählte er ganz selig: Heute nachts habe ich geträumt, </w:t>
      </w:r>
      <w:r w:rsidRPr="002F7766">
        <w:rPr>
          <w:rFonts w:ascii="Garamond" w:hAnsi="Garamond" w:cs="Arial"/>
          <w:i/>
          <w:iCs/>
          <w:lang w:val="en-GB"/>
        </w:rPr>
        <w:t>daß wir auf der Simonyhütte gewesen sind</w:t>
      </w:r>
      <w:r w:rsidRPr="002F7766">
        <w:rPr>
          <w:rFonts w:ascii="Garamond" w:hAnsi="Garamond" w:cs="Arial"/>
          <w:lang w:val="en-GB"/>
        </w:rPr>
        <w:t xml:space="preserve">. In </w:t>
      </w:r>
      <w:r w:rsidRPr="002F7766">
        <w:rPr>
          <w:rFonts w:ascii="Garamond" w:hAnsi="Garamond" w:cs="Arial"/>
          <w:lang w:val="en-GB"/>
        </w:rPr>
        <w:lastRenderedPageBreak/>
        <w:t>dieser Erwartung hatte er sich also an dem Ausflug beteiligt. Von Einzelheiten gab er nur an, was er vorher gehört hatte: Man geht sechs Stunden lang auf Stufen hinauf.</w:t>
      </w:r>
    </w:p>
    <w:p w:rsidR="00062BE4" w:rsidRPr="002F7766" w:rsidRDefault="00062BE4" w:rsidP="00062BE4">
      <w:pPr>
        <w:rPr>
          <w:rFonts w:ascii="Garamond" w:hAnsi="Garamond" w:cs="Arial"/>
          <w:lang w:val="en-GB"/>
        </w:rPr>
      </w:pPr>
      <w:r w:rsidRPr="002F7766">
        <w:rPr>
          <w:rFonts w:ascii="Garamond" w:hAnsi="Garamond" w:cs="Arial"/>
          <w:lang w:val="en-GB"/>
        </w:rPr>
        <w:t>Diese drei Träume werden für alle gewünschten Auskünfte hinreichen.</w:t>
      </w:r>
    </w:p>
    <w:p w:rsidR="00062BE4" w:rsidRPr="002F7766" w:rsidRDefault="00062BE4" w:rsidP="00062BE4">
      <w:pPr>
        <w:rPr>
          <w:rFonts w:ascii="Garamond" w:hAnsi="Garamond" w:cs="Arial"/>
          <w:lang w:val="en-GB"/>
        </w:rPr>
      </w:pPr>
      <w:r w:rsidRPr="002F7766">
        <w:rPr>
          <w:rFonts w:ascii="Garamond" w:hAnsi="Garamond" w:cs="Arial"/>
          <w:lang w:val="en-GB"/>
        </w:rPr>
        <w:t xml:space="preserve">2. Wir sehen, diese Kinderträume sind nicht sinnlos; es sind </w:t>
      </w:r>
      <w:r w:rsidRPr="002F7766">
        <w:rPr>
          <w:rFonts w:ascii="Garamond" w:hAnsi="Garamond" w:cs="Arial"/>
          <w:i/>
          <w:iCs/>
          <w:lang w:val="en-GB"/>
        </w:rPr>
        <w:t>verständliche, vollgültige, seelische Akte</w:t>
      </w:r>
      <w:r w:rsidRPr="002F7766">
        <w:rPr>
          <w:rFonts w:ascii="Garamond" w:hAnsi="Garamond" w:cs="Arial"/>
          <w:lang w:val="en-GB"/>
        </w:rPr>
        <w:t>. Erinnern Sie sich an das, was ich Ihnen als das medizinische Urteil über den Traum vorgestellt habe, an das Gleichnis von den musikunkundigen Fingern, die über die Tasten des Klaviers hinfahren. Es wird Ihnen nicht entgehen, wie scharf sich diese Kinderträume dieser Auffassung widersetzen. Es wäre aber auch zu sonderbar, wenn gerade das Kind im Schlafe volle seelische Leistungen zustande brächte, wo sich der Erwachsene im gleichen Falle mit zuckungsartigen Reaktionen begnügt. Wir haben auch allen Grund, dem Kinde den besseren und tieferen Schlaf zuzutrauen.</w:t>
      </w:r>
    </w:p>
    <w:p w:rsidR="00062BE4" w:rsidRPr="002F7766" w:rsidRDefault="00062BE4" w:rsidP="00062BE4">
      <w:pPr>
        <w:rPr>
          <w:rFonts w:ascii="Garamond" w:hAnsi="Garamond" w:cs="Arial"/>
          <w:lang w:val="en-GB"/>
        </w:rPr>
      </w:pPr>
      <w:r w:rsidRPr="002F7766">
        <w:rPr>
          <w:rFonts w:ascii="Garamond" w:hAnsi="Garamond" w:cs="Arial"/>
          <w:lang w:val="en-GB"/>
        </w:rPr>
        <w:t xml:space="preserve">3. Diese Träume entbehren der Traumentstellung; bedürfen darum auch keiner Deutungsarbeit. Manifester und latenter Traum fallen hier zusammen. </w:t>
      </w:r>
      <w:r w:rsidRPr="002F7766">
        <w:rPr>
          <w:rFonts w:ascii="Garamond" w:hAnsi="Garamond" w:cs="Arial"/>
          <w:i/>
          <w:iCs/>
          <w:lang w:val="en-GB"/>
        </w:rPr>
        <w:t>Die Traumentstellung gehört also nicht zum Wesen des Traumes.</w:t>
      </w:r>
      <w:r w:rsidRPr="002F7766">
        <w:rPr>
          <w:rFonts w:ascii="Garamond" w:hAnsi="Garamond" w:cs="Arial"/>
          <w:lang w:val="en-GB"/>
        </w:rPr>
        <w:t xml:space="preserve"> Ich darf annehmen, daß Ihnen damit ein Stein vom Herzen fällt. Aber ein Stückchen Traumentstellung, eine gewisse Differenz zwischen dem manifesten Trauminhalt und den latenten Traumgedanken werden wir bei näherer Überlegung auch diesen Träumen zugestehen.</w:t>
      </w:r>
    </w:p>
    <w:p w:rsidR="00062BE4" w:rsidRPr="002F7766" w:rsidRDefault="00062BE4" w:rsidP="00062BE4">
      <w:pPr>
        <w:rPr>
          <w:rFonts w:ascii="Garamond" w:hAnsi="Garamond" w:cs="Arial"/>
          <w:lang w:val="en-GB"/>
        </w:rPr>
      </w:pPr>
      <w:r w:rsidRPr="002F7766">
        <w:rPr>
          <w:rFonts w:ascii="Garamond" w:hAnsi="Garamond" w:cs="Arial"/>
          <w:lang w:val="en-GB"/>
        </w:rPr>
        <w:t xml:space="preserve">4. Der Kindertraum ist die Reaktion auf ein Erlebnis des Tages, welches ein Bedauern, eine Sehnsucht, einen unerledigten Wunsch zurückgelassen hat. </w:t>
      </w:r>
      <w:r w:rsidRPr="002F7766">
        <w:rPr>
          <w:rFonts w:ascii="Garamond" w:hAnsi="Garamond" w:cs="Arial"/>
          <w:i/>
          <w:iCs/>
          <w:lang w:val="en-GB"/>
        </w:rPr>
        <w:t>Der Traum bringt die direkte, unverhüllte Erfüllung dieses Wunsches.</w:t>
      </w:r>
      <w:r w:rsidRPr="002F7766">
        <w:rPr>
          <w:rFonts w:ascii="Garamond" w:hAnsi="Garamond" w:cs="Arial"/>
          <w:lang w:val="en-GB"/>
        </w:rPr>
        <w:t xml:space="preserve"> Denken Sie nun an unsere Erörterungen über die Rolle körperlicher Reize von außen oder von innen als Schlafstörer und Anreger der Träume. Wir sind mit ganz sicheren Tatsachen darüber bekannt geworden, konnten uns aber nur eine kleine Anzahl von Träumen auf solche Art erklären. In diesen Kinderträumen deutet nichts auf die Einwirkung solcher somatischer Reize; wir können darin nicht irregehen, denn die Träume sind voll verständlich und leicht zu übersehen. </w:t>
      </w:r>
      <w:r w:rsidRPr="002F7766">
        <w:rPr>
          <w:rFonts w:ascii="Garamond" w:hAnsi="Garamond" w:cs="Arial"/>
        </w:rPr>
        <w:t xml:space="preserve">Aber darum brauchen wir die Reizätiologie des Traumes nicht aufzugeben. Wir können nur fragen, warum haben wir von Anfang an vergessen, daß es außer den körperlichen auch seelische schlafstörende Reize gibt? Wir wissen doch, daß es diese Erregungen sind, welche die Schlafstörung des Erwachsenen zumeist verschulden, indem sie ihn daran verhindern, die seelische Verfassung des Einschlafens, die Abziehung des Interesses von der Welt, bei sich herzustellen. </w:t>
      </w:r>
      <w:r w:rsidRPr="002F7766">
        <w:rPr>
          <w:rFonts w:ascii="Garamond" w:hAnsi="Garamond" w:cs="Arial"/>
          <w:lang w:val="en-GB"/>
        </w:rPr>
        <w:t>Er möchte das Leben nicht unterbrechen, sondern lieber die Arbeit an den Dingen, die ihn beschäftigen, fortsetzen, und darum schläft er nicht. Ein solcher seelischer, den Schlaf störender Reiz ist also für das Kind der unerledigte Wunsch, auf welchen es mit dem Traum reagiert.</w:t>
      </w:r>
    </w:p>
    <w:p w:rsidR="00062BE4" w:rsidRPr="002F7766" w:rsidRDefault="00062BE4" w:rsidP="00062BE4">
      <w:pPr>
        <w:rPr>
          <w:rFonts w:ascii="Garamond" w:hAnsi="Garamond" w:cs="Arial"/>
          <w:lang w:val="en-GB"/>
        </w:rPr>
      </w:pPr>
      <w:r w:rsidRPr="002F7766">
        <w:rPr>
          <w:rFonts w:ascii="Garamond" w:hAnsi="Garamond" w:cs="Arial"/>
          <w:lang w:val="en-GB"/>
        </w:rPr>
        <w:t xml:space="preserve">5. Von hier erhalten wir auf dem kürzesten Wege Aufschluß über die Funktion des Traumes. Der Traum als Reaktion auf den psychischen Reiz muß den Wert einer Erledigung dieses Reizes haben, so daß er beseitigt ist und der Schlaf fortgesetzt werden kann. Wie diese Erledigung durch den Traum dynamisch ermöglicht wird, wissen wir noch nicht, aber wir merken bereits, daß </w:t>
      </w:r>
      <w:r w:rsidRPr="002F7766">
        <w:rPr>
          <w:rFonts w:ascii="Garamond" w:hAnsi="Garamond" w:cs="Arial"/>
          <w:i/>
          <w:iCs/>
          <w:lang w:val="en-GB"/>
        </w:rPr>
        <w:t>der Traum nicht der Schlafstörer</w:t>
      </w:r>
      <w:r w:rsidRPr="002F7766">
        <w:rPr>
          <w:rFonts w:ascii="Garamond" w:hAnsi="Garamond" w:cs="Arial"/>
          <w:lang w:val="en-GB"/>
        </w:rPr>
        <w:t xml:space="preserve"> ist, als den man ihn schilt, </w:t>
      </w:r>
      <w:r w:rsidRPr="002F7766">
        <w:rPr>
          <w:rFonts w:ascii="Garamond" w:hAnsi="Garamond" w:cs="Arial"/>
          <w:i/>
          <w:iCs/>
          <w:lang w:val="en-GB"/>
        </w:rPr>
        <w:t>sondern der Schlafhüter, der Beseitiger vonSchlafstörungen.</w:t>
      </w:r>
      <w:r w:rsidRPr="002F7766">
        <w:rPr>
          <w:rFonts w:ascii="Garamond" w:hAnsi="Garamond" w:cs="Arial"/>
          <w:lang w:val="en-GB"/>
        </w:rPr>
        <w:t xml:space="preserve"> Wir finden zwar, wir hätten besser geschlafen, wenn nicht der Traum gewesen wäre, aber wir haben unrecht; in Wirklichkeit hätten wir ohne die Hilfe des Traumes überhaupt nicht geschlafen. Es ist sein Verdienst, daß wir soweit gut geschlafen haben. Er konnte es nicht vermeiden, uns etwas zu stören, so wie der Nachtwächter oft nicht umhin kann, einigen Lärm zu machen, während er die Ruhestörer verjagt, die uns durch den Lärm wecken wollen.</w:t>
      </w:r>
    </w:p>
    <w:p w:rsidR="00062BE4" w:rsidRPr="002F7766" w:rsidRDefault="00062BE4" w:rsidP="00062BE4">
      <w:pPr>
        <w:rPr>
          <w:rFonts w:ascii="Garamond" w:hAnsi="Garamond" w:cs="Arial"/>
          <w:lang w:val="en-GB"/>
        </w:rPr>
      </w:pPr>
      <w:r w:rsidRPr="002F7766">
        <w:rPr>
          <w:rFonts w:ascii="Garamond" w:hAnsi="Garamond" w:cs="Arial"/>
        </w:rPr>
        <w:t xml:space="preserve">6. Daß ein Wunsch der Erreger des Traumes ist, die Erfüllung dieses Wunsches der Inhalt des Traumes, das ist der eine Hauptcharakter des Traumes. </w:t>
      </w:r>
      <w:r w:rsidRPr="002F7766">
        <w:rPr>
          <w:rFonts w:ascii="Garamond" w:hAnsi="Garamond" w:cs="Arial"/>
          <w:lang w:val="en-GB"/>
        </w:rPr>
        <w:t xml:space="preserve">Der andere ebenso konstante ist, daß der Traum nicht einfach einen Gedanken zum Ausdruck bringt, sondern als halluzinatorisches Erlebnis diesen Wunsch als erfüllt darstellt. </w:t>
      </w:r>
      <w:r w:rsidRPr="002F7766">
        <w:rPr>
          <w:rFonts w:ascii="Garamond" w:hAnsi="Garamond" w:cs="Arial"/>
          <w:i/>
          <w:iCs/>
          <w:lang w:val="en-GB"/>
        </w:rPr>
        <w:t>Ich möchte auf dem See fahren</w:t>
      </w:r>
      <w:r w:rsidRPr="002F7766">
        <w:rPr>
          <w:rFonts w:ascii="Garamond" w:hAnsi="Garamond" w:cs="Arial"/>
          <w:lang w:val="en-GB"/>
        </w:rPr>
        <w:t xml:space="preserve">, lautet der Wunsch, der den Traum anregt; der Traum selbst hat zum Inhalt: </w:t>
      </w:r>
      <w:r w:rsidRPr="002F7766">
        <w:rPr>
          <w:rFonts w:ascii="Garamond" w:hAnsi="Garamond" w:cs="Arial"/>
          <w:i/>
          <w:iCs/>
          <w:lang w:val="en-GB"/>
        </w:rPr>
        <w:t>ich fahre auf dem See</w:t>
      </w:r>
      <w:r w:rsidRPr="002F7766">
        <w:rPr>
          <w:rFonts w:ascii="Garamond" w:hAnsi="Garamond" w:cs="Arial"/>
          <w:lang w:val="en-GB"/>
        </w:rPr>
        <w:t xml:space="preserve">. Ein Unterschied zwischen latentem und manifestem Traum, eine Entstellung des latenten Traumgedankens bleibt also auch für diese einfachen Kinderträume bestehen, </w:t>
      </w:r>
      <w:r w:rsidRPr="002F7766">
        <w:rPr>
          <w:rFonts w:ascii="Garamond" w:hAnsi="Garamond" w:cs="Arial"/>
          <w:i/>
          <w:iCs/>
          <w:lang w:val="en-GB"/>
        </w:rPr>
        <w:t>die Umsetzung des Gedankens in Erlebnis</w:t>
      </w:r>
      <w:r w:rsidRPr="002F7766">
        <w:rPr>
          <w:rFonts w:ascii="Garamond" w:hAnsi="Garamond" w:cs="Arial"/>
          <w:lang w:val="en-GB"/>
        </w:rPr>
        <w:t xml:space="preserve">. Bei der Deutung des Traumes muß vor allem dieses Stück Veränderung </w:t>
      </w:r>
      <w:r w:rsidRPr="002F7766">
        <w:rPr>
          <w:rFonts w:ascii="Garamond" w:hAnsi="Garamond" w:cs="Arial"/>
          <w:lang w:val="en-GB"/>
        </w:rPr>
        <w:lastRenderedPageBreak/>
        <w:t xml:space="preserve">rückgängig gemacht werden. Wenn sich dies als ein allgemeinster Charakter des Traumes herausstellen sollte, dann ist das vorhin mitgeteilte Traumfragment » </w:t>
      </w:r>
      <w:r w:rsidRPr="002F7766">
        <w:rPr>
          <w:rFonts w:ascii="Garamond" w:hAnsi="Garamond" w:cs="Arial"/>
          <w:i/>
          <w:iCs/>
          <w:lang w:val="en-GB"/>
        </w:rPr>
        <w:t>ich sehe meinen Bruder in einem Kasten</w:t>
      </w:r>
      <w:r w:rsidRPr="002F7766">
        <w:rPr>
          <w:rFonts w:ascii="Garamond" w:hAnsi="Garamond" w:cs="Arial"/>
          <w:lang w:val="en-GB"/>
        </w:rPr>
        <w:t xml:space="preserve">« also nicht zu übersetzen »mein Bruder schränkt sich ein«, sondern »ich möchte, daß mein Bruder sich einschränke, </w:t>
      </w:r>
      <w:r w:rsidRPr="002F7766">
        <w:rPr>
          <w:rFonts w:ascii="Garamond" w:hAnsi="Garamond" w:cs="Arial"/>
          <w:i/>
          <w:iCs/>
          <w:lang w:val="en-GB"/>
        </w:rPr>
        <w:t>mein Bruder soll sich einschränken</w:t>
      </w:r>
      <w:r w:rsidRPr="002F7766">
        <w:rPr>
          <w:rFonts w:ascii="Garamond" w:hAnsi="Garamond" w:cs="Arial"/>
          <w:lang w:val="en-GB"/>
        </w:rPr>
        <w:t>«. Von den beiden hier aufgeführten allgemeinen Charakteren des Traumes hat offenbar der zweite mehr Aussicht auf Anerkennung ohne Widerspruch als der erstere. Wir werden erst durch weitausgreifende Untersuchungen sicherstellen können, daß der Erreger des Traumes immer ein Wunsch sein muß und nicht auch eine Besorgnis, ein Vorsatz oder Vorwurf sein kann, aber davon wird der andere Charakter unberührt bleiben, daß der Traum diesen Reiz nicht einfach wiedergibt, sondern ihn durch eine Art von Erleben aufhebt, beseitigt, erledigt.</w:t>
      </w:r>
    </w:p>
    <w:p w:rsidR="00062BE4" w:rsidRPr="002F7766" w:rsidRDefault="00062BE4" w:rsidP="00062BE4">
      <w:pPr>
        <w:rPr>
          <w:rFonts w:ascii="Garamond" w:hAnsi="Garamond" w:cs="Arial"/>
          <w:lang w:val="en-GB"/>
        </w:rPr>
      </w:pPr>
      <w:smartTag w:uri="urn:schemas-microsoft-com:office:smarttags" w:element="metricconverter">
        <w:smartTagPr>
          <w:attr w:name="ProductID" w:val="7. In"/>
        </w:smartTagPr>
        <w:r w:rsidRPr="002F7766">
          <w:rPr>
            <w:rFonts w:ascii="Garamond" w:hAnsi="Garamond" w:cs="Arial"/>
            <w:lang w:val="en-GB"/>
          </w:rPr>
          <w:t>7. In</w:t>
        </w:r>
      </w:smartTag>
      <w:r w:rsidRPr="002F7766">
        <w:rPr>
          <w:rFonts w:ascii="Garamond" w:hAnsi="Garamond" w:cs="Arial"/>
          <w:lang w:val="en-GB"/>
        </w:rPr>
        <w:t xml:space="preserve"> Anknüpfung an diese Charaktere des Traumes können wir auch die Vergleichung des Traumes mit der Fehlleistung wieder aufnehmen. Bei letzterer unterscheiden wir eine störende Tendenz und eine gestörte, und die Fehlleistung war ein Kompromiß zwischen beiden. In dasselbe Schema fügt sich auch der Traum. Die gestörte Tendenz kann bei ihm keine andere sein als die zu schlafen. Die störende ersetzen wir durch den psychischen Reiz, sagen wir also durch den Wunsch, der auf seine Erledigung dringt, weil wir bisher keinen anderen schlafstörenden seelischen Reiz kennengelernt haben. Der Traum ist auch hier ein Kompromißergebnis. Man schläft, aber man erlebt doch die Aufhebung eines Wunsches; man befriedigt einen Wunsch, setzt dabei aber den Schlaf fort. Beides ist zum Teil durchgesetzt und zum Teil aufgegeben.</w:t>
      </w:r>
    </w:p>
    <w:p w:rsidR="00062BE4" w:rsidRPr="002F7766" w:rsidRDefault="00062BE4" w:rsidP="00062BE4">
      <w:pPr>
        <w:rPr>
          <w:rFonts w:ascii="Garamond" w:hAnsi="Garamond" w:cs="Arial"/>
          <w:lang w:val="en-GB"/>
        </w:rPr>
      </w:pPr>
      <w:r w:rsidRPr="002F7766">
        <w:rPr>
          <w:rFonts w:ascii="Garamond" w:hAnsi="Garamond" w:cs="Arial"/>
          <w:lang w:val="en-GB"/>
        </w:rPr>
        <w:t xml:space="preserve">8. Erinnern Sie sich, wir erhofften uns einmal einen Zugang zum Verständnis der Traumprobleme aus der Tatsache, daß gewisse für uns sehr durchsichtige Phantasiebildungen » </w:t>
      </w:r>
      <w:r w:rsidRPr="002F7766">
        <w:rPr>
          <w:rFonts w:ascii="Garamond" w:hAnsi="Garamond" w:cs="Arial"/>
          <w:i/>
          <w:iCs/>
          <w:lang w:val="en-GB"/>
        </w:rPr>
        <w:t>Tagträume</w:t>
      </w:r>
      <w:r w:rsidRPr="002F7766">
        <w:rPr>
          <w:rFonts w:ascii="Garamond" w:hAnsi="Garamond" w:cs="Arial"/>
          <w:lang w:val="en-GB"/>
        </w:rPr>
        <w:t>« genannt werden. Diese Tagträume sind nun wirklich Wunscherfüllungen, Erfüllungen von ehrgeizigen und erotischen Wünschen, die uns wohlbekannt sind, aber es sind gedachte, wenn auch lebhaft vorgestellte, niemals halluzinatorisch erlebte. Von den beiden Hauptcharakteren des Traumes wird also hier der minder gesicherte festgehalten, während der andere als vom Schlafzustand abhängig und im Wachleben nicht realisierbar ganz entfällt. Im Sprachgebrauch liegt also eine Ahnung davon, daß die Wunscherfüllung ein Hauptcharakter des Traumes ist. Nebenbei, wenn das Erleben im Traum nur ein durch die Bedingungen des Schlafzustandes ermöglichtes, umgewandeltes Vorstellen, also ein »nächtliches Tagträumen« ist, so verstehen wir bereits, daß der Vorgang der Traumbildung den nächtlichen Reiz aufheben und Befriedigung bringen kann, denn auch das Tagträumen ist eine mit Befriedigung verbundene Tätigkeit und wird ja nur dieser wegen gepflegt.</w:t>
      </w:r>
    </w:p>
    <w:p w:rsidR="00062BE4" w:rsidRPr="002F7766" w:rsidRDefault="00062BE4" w:rsidP="00062BE4">
      <w:pPr>
        <w:rPr>
          <w:rFonts w:ascii="Garamond" w:hAnsi="Garamond" w:cs="Arial"/>
          <w:lang w:val="en-GB"/>
        </w:rPr>
      </w:pPr>
      <w:r w:rsidRPr="002F7766">
        <w:rPr>
          <w:rFonts w:ascii="Garamond" w:hAnsi="Garamond" w:cs="Arial"/>
          <w:lang w:val="en-GB"/>
        </w:rPr>
        <w:t>Aber nicht nur dieser, auch anderer Sprachgebrauch äußert sich in demselben Sinne. Bekannte Sprichwörter sagen: das Schwein träumt von Eicheln, die Gans vom Mais; oder fragen: wovon träumt das Huhn? von Hirse. Das Sprichwort steigt also noch weiter hinab als wir, vom Kind zum Tier, und behauptet, der Inhalt des Traumes sei die Befriedigung eines Bedürfnisses. So viele Redewendungen scheinen dasselbe anzudeuten, wie: »traumhaft schön«, »das wäre mir im Traum nicht eingefallen«, »das habe ich mir in meinen kühnsten Träumen nicht vorgestellt«. Es liegt da eine offenbare Parteinahme des Sprachgebrauchs vor. Es gibt ja auch Angstträume und Träume mit peinlichem oder indifferentem Inhalt, aber sie haben den Sprachgebrauch nicht angeregt. Er kennt zwar »böse« Träume, aber der Traum schlechtweg ist ihm doch nur die holde Wunscherfüllung. Es gibt auch kein Sprichwort, das uns versichern würde, das Schwein oder die Gans träumen vom Geschlachtetwerden.</w:t>
      </w:r>
    </w:p>
    <w:p w:rsidR="00062BE4" w:rsidRPr="002F7766" w:rsidRDefault="00062BE4" w:rsidP="00062BE4">
      <w:pPr>
        <w:rPr>
          <w:rFonts w:ascii="Garamond" w:hAnsi="Garamond" w:cs="Arial"/>
          <w:lang w:val="en-GB"/>
        </w:rPr>
      </w:pPr>
      <w:r w:rsidRPr="002F7766">
        <w:rPr>
          <w:rFonts w:ascii="Garamond" w:hAnsi="Garamond" w:cs="Arial"/>
          <w:lang w:val="en-GB"/>
        </w:rPr>
        <w:t>Es ist natürlich undenkbar, daß der wunscherfüllende Charakter des Traumes von den Autoren über den Traum nicht bemerkt worden wäre. Dies ist vielmehr sehr oft der Fall gewesen, aber es ist keinem von ihnen eingefallen, diesen Charakter als allgemeinen anzuerkennen und zum Angelpunkt der Traumerklärung zu nehmen. Wir können uns wohl denken und werden auch darauf eingehen, was sie davon abgehalten haben mag.</w:t>
      </w:r>
    </w:p>
    <w:p w:rsidR="00062BE4" w:rsidRPr="002F7766" w:rsidRDefault="00062BE4" w:rsidP="00062BE4">
      <w:pPr>
        <w:rPr>
          <w:rFonts w:ascii="Garamond" w:hAnsi="Garamond" w:cs="Arial"/>
        </w:rPr>
      </w:pPr>
      <w:r w:rsidRPr="002F7766">
        <w:rPr>
          <w:rFonts w:ascii="Garamond" w:hAnsi="Garamond" w:cs="Arial"/>
          <w:lang w:val="en-GB"/>
        </w:rPr>
        <w:lastRenderedPageBreak/>
        <w:t xml:space="preserve">Sehen Sie nun aber, welche Fülle von Aufklärungen wir aus der Würdigung der Kinderträume gewonnen haben, und das fast mühelos! Die Funktion des Traumes als Hüter des Schlafes, seine Entstehung aus zwei konkurrierenden Tendenzen, von denen die eine konstant bleibt, das Schlafverlangen, die andere einen psychischen Reiz zu befriedigen strebt, der Beweis, daß der Traum ein sinnreicher, psychischer Akt ist, seine beiden Hauptcharaktere: Wunscherfüllung und halluzinatorisches Erleben. Und dabei konnten wir fast vergessen, daß wir Psychoanalyse treiben. Außer der Anknüpfung an die Fehlleistungen hatte unsere Arbeit kein spezifisches Gepräge. </w:t>
      </w:r>
      <w:r w:rsidRPr="002F7766">
        <w:rPr>
          <w:rFonts w:ascii="Garamond" w:hAnsi="Garamond" w:cs="Arial"/>
        </w:rPr>
        <w:t>Jeder Psychologe, der von den Voraussetzungen der Psychoanalyse nichts weiß, hätte diese Aufklärung der Kinderträume geben können. Warum hat es keiner getan?</w:t>
      </w:r>
    </w:p>
    <w:p w:rsidR="00062BE4" w:rsidRPr="002F7766" w:rsidRDefault="00062BE4" w:rsidP="00062BE4">
      <w:pPr>
        <w:rPr>
          <w:rFonts w:ascii="Garamond" w:hAnsi="Garamond" w:cs="Arial"/>
        </w:rPr>
      </w:pPr>
      <w:r w:rsidRPr="002F7766">
        <w:rPr>
          <w:rFonts w:ascii="Garamond" w:hAnsi="Garamond" w:cs="Arial"/>
        </w:rPr>
        <w:t>Gäbe es nur solche Träume wie die infantilen, so wäre das Problem gelöst, unsere Aufgabe erledigt, und zwar ohne den Träumer auszufragen, ohne das Unbewußte heranzuziehen und ohne die freie Assoziation in Anspruch zu nehmen. Nun hier liegt offenbar die Fortsetzung unserer Aufgabe. Wir haben schon wiederholt die Erfahrung gemacht, daß Charaktere, die für allgemein gültig ausgegeben waren, sich dann nur für eine gewisse Art und Anzahl von Träumen bestätigt haben. Es handelt sich also für uns darum, ob die aus den Kinderträumen erschlossenen allgemeinen Charaktere haltbarer sind, ob sie auch für jene Träume gelten, die nicht durchsichtig sind, deren manifester Inhalt keine Beziehung zu einem erübrigten Tageswunsch erkennen läßt. Wir haben die Auffassung, daß diese anderen Träume eine weitgehende Entstellung erfahren haben und darum zunächst nicht zu beurteilen sind. Wir ahnen auch, zur Aufklärung dieser Entstellung werden wir der psychoanalytischen Technik bedürfen, die wir für das eben gewonnene Verständnis der Kinderträume entbehren konnten.</w:t>
      </w:r>
    </w:p>
    <w:p w:rsidR="00062BE4" w:rsidRPr="002F7766" w:rsidRDefault="00062BE4" w:rsidP="00062BE4">
      <w:pPr>
        <w:rPr>
          <w:rFonts w:ascii="Garamond" w:hAnsi="Garamond" w:cs="Arial"/>
          <w:lang w:val="en-GB"/>
        </w:rPr>
      </w:pPr>
      <w:r w:rsidRPr="002F7766">
        <w:rPr>
          <w:rFonts w:ascii="Garamond" w:hAnsi="Garamond" w:cs="Arial"/>
          <w:lang w:val="en-GB"/>
        </w:rPr>
        <w:t xml:space="preserve">Es gibt jedenfalls noch eine Klasse von Träumen, die unentstellt sind und sich wie die Kinderträume leicht als Wunscherfüllungen erkennen lassen. Es sind jene, die das ganze Leben hindurch durch die imperativen Körperbedürfnisse hervorgerufen werden, den Hunger, den Durst, das Sexualbedürfnis, also Wunscherfüllungen als Reaktionen auf innere Körperreize. So habe ich von einem 19 Monate alten Mädchen einen Traum notiert, der aus einem Menü unter Hinzufügung ihres Namens bestand ( </w:t>
      </w:r>
      <w:r w:rsidRPr="002F7766">
        <w:rPr>
          <w:rFonts w:ascii="Garamond" w:hAnsi="Garamond" w:cs="Arial"/>
          <w:i/>
          <w:iCs/>
          <w:lang w:val="en-GB"/>
        </w:rPr>
        <w:t>Anna F...., Er(d)beer, Hochbeer, Eier(s)peis, Papp</w:t>
      </w:r>
      <w:r w:rsidRPr="002F7766">
        <w:rPr>
          <w:rFonts w:ascii="Garamond" w:hAnsi="Garamond" w:cs="Arial"/>
          <w:lang w:val="en-GB"/>
        </w:rPr>
        <w:t xml:space="preserve">) als Reaktion auf einen Hungertag wegen gestörter Verdauung, welche Erkrankung gerade auf die im Traum zweimal auftretende Frucht zurückgeführt worden war. Gleichzeitig mußte auch die Großmutter, deren Alter das der Enkelin eben zu siebzig ergänzte, infolge der Unruhe ihrer Wanderniere einen Tag lang fasten, und sie träumte in derselben Nacht, daß sie ausgebeten (zu Gaste) sei und die besten Leckerbissen vorgesetzt erhalte. Beobachtungen an Gefangenen, die man hungern läßt, und an Personen, die auf Reisen und Expeditionen Entbehrungen zu ertragen haben, lehren, daß unter diesen Bedingungen regelmäßig von der Befriedigung dieser Bedürfnisse geträumt wird. So berichtet Otto Nordenskjöld in seinem Buche </w:t>
      </w:r>
      <w:r w:rsidRPr="002F7766">
        <w:rPr>
          <w:rFonts w:ascii="Garamond" w:hAnsi="Garamond" w:cs="Arial"/>
          <w:i/>
          <w:iCs/>
          <w:lang w:val="en-GB"/>
        </w:rPr>
        <w:t>Antarctic</w:t>
      </w:r>
      <w:r w:rsidRPr="002F7766">
        <w:rPr>
          <w:rFonts w:ascii="Garamond" w:hAnsi="Garamond" w:cs="Arial"/>
          <w:lang w:val="en-GB"/>
        </w:rPr>
        <w:t xml:space="preserve"> (1904) über die mit ihm überwinterte Mannschaft (Bd. 1, </w:t>
      </w:r>
      <w:smartTag w:uri="urn:schemas-microsoft-com:office:smarttags" w:element="metricconverter">
        <w:smartTagPr>
          <w:attr w:name="ProductID" w:val="336 f"/>
        </w:smartTagPr>
        <w:r w:rsidRPr="002F7766">
          <w:rPr>
            <w:rFonts w:ascii="Garamond" w:hAnsi="Garamond" w:cs="Arial"/>
            <w:lang w:val="en-GB"/>
          </w:rPr>
          <w:t>336 f</w:t>
        </w:r>
      </w:smartTag>
      <w:r w:rsidRPr="002F7766">
        <w:rPr>
          <w:rFonts w:ascii="Garamond" w:hAnsi="Garamond" w:cs="Arial"/>
          <w:lang w:val="en-GB"/>
        </w:rPr>
        <w:t xml:space="preserve">.): »Sehr bezeichnend für die Richtung unserer innersten Gedanken waren unsere Träume, die nie lebhafter und zahlreicher waren als gerade jetzt. Selbst diejenigen unserer Kameraden, die sonst nur ausnahmsweise träumten, hatten jetzt des Morgens, wenn wir unsere letzten Erfahrungen aus dieser Phantasiewelt miteinander austauschten, lange Geschichten zu erzählen. Alle handelten sie von jener äußeren Welt, die uns jetzt so fern lag, waren aber oft unseren jetzigen Verhältnissen angepaßt... Essen und Trinken waren übrigens die Mittelpunkte, um die sich unsere Träume am häufigsten drehten. Einer von uns, der nächtlicherweise darin exzellierte, auf große Mittagsgesellschaften zu gehen, war seelenfroh, wenn er des Morgens berichten konnte, ›daß er ein Diner von drei Gängen eingenommen habe‹; ein anderer träumte von Tabak, von ganzen Bergen Tabak; wieder andere von dem Schiff, das mit vollen Segeln auf dem offenen Wasser daherkam. Noch ein anderer Traum verdient der Erwähnung: Der Briefträger kommt mit der Post und gibt eine lange Erklärung, warum diese so lange habe auf sich warten lassen, er habe sie verkehrt abgeliefert und erst nach großer Mühe sei es ihm gelungen, sie wiederzuerlangen. Natürlich beschäftigte man sich im Schlaf mit noch unmöglicheren Dingen, aber der Mangel an Phantasie in fast allen Träumen, die ich selbst träumte oder erzählen hörte, war ganz auffallend. </w:t>
      </w:r>
      <w:r w:rsidRPr="002F7766">
        <w:rPr>
          <w:rFonts w:ascii="Garamond" w:hAnsi="Garamond" w:cs="Arial"/>
        </w:rPr>
        <w:lastRenderedPageBreak/>
        <w:t xml:space="preserve">Es würde sicher von großem psychologischen Interesse sein, wenn alle diese Träume aufgezeichnet würden. </w:t>
      </w:r>
      <w:r w:rsidRPr="002F7766">
        <w:rPr>
          <w:rFonts w:ascii="Garamond" w:hAnsi="Garamond" w:cs="Arial"/>
          <w:lang w:val="en-GB"/>
        </w:rPr>
        <w:t>Man wird aber leicht verstehen können, wie ersehnt der Schlaf war, da er uns alles bieten konnte, was ein jeder von uns am glühendsten begehrte.« Nach Du Prel zitiere ich noch: »Mungo Park, auf einer Reise in Afrika dem Verschmachten nahe, träumte ohne Aufhören von wasserreichen Tälern und Auen seiner Heimat. So sah sich auch der von Hunger gequälte Trenck in der Sternschanze zu Magdeburg von üppigen Mahlzeiten umgeben, und George Back, Teilnehmer der ersten Expedition Franklins, als er infolge furchtbarer Entbehrungen dem Hungertode nahe war, träumte stets und gleichmäßig von reichen Mahlzeiten.«</w:t>
      </w:r>
    </w:p>
    <w:p w:rsidR="00062BE4" w:rsidRPr="002F7766" w:rsidRDefault="00062BE4" w:rsidP="00062BE4">
      <w:pPr>
        <w:rPr>
          <w:rFonts w:ascii="Garamond" w:hAnsi="Garamond" w:cs="Arial"/>
          <w:lang w:val="en-GB"/>
        </w:rPr>
      </w:pPr>
      <w:r w:rsidRPr="002F7766">
        <w:rPr>
          <w:rFonts w:ascii="Garamond" w:hAnsi="Garamond" w:cs="Arial"/>
          <w:lang w:val="en-GB"/>
        </w:rPr>
        <w:t>Wer sich durch den Genuß scharf gewürzter Speisen zur Abendmahlzeit nächtlichen Durst erzeugt, der träumt dann leicht, daß er trinke. Es ist natürlich unmöglich, ein stärkeres Eß- oder Trinkbedürfnis durch den Traum zu erledigen; man wacht aus solchen Träumen durstig auf und muß nun reales Wasser zu sich nehmen. Die Leistung des Traumes ist in diesem Falle praktisch geringfügig, aber es ist nicht minder klar, daß sie zu dem Zweck aufgeboten wurde, den Schlaf gegen den zum Erwachen und zur Handlung drängenden Reiz festzuhalten. Über geringere Intensitäten dieser Bedürfnisse helfen die Befriedigungsträume oftmals hinweg.</w:t>
      </w:r>
    </w:p>
    <w:p w:rsidR="00062BE4" w:rsidRPr="002F7766" w:rsidRDefault="00062BE4" w:rsidP="00062BE4">
      <w:pPr>
        <w:rPr>
          <w:rFonts w:ascii="Garamond" w:hAnsi="Garamond" w:cs="Arial"/>
          <w:lang w:val="en-GB"/>
        </w:rPr>
      </w:pPr>
      <w:r w:rsidRPr="002F7766">
        <w:rPr>
          <w:rFonts w:ascii="Garamond" w:hAnsi="Garamond" w:cs="Arial"/>
          <w:lang w:val="en-GB"/>
        </w:rPr>
        <w:t>Ebenso schafft der Traum unter dem Einfluß der Sexualreize Befriedigungen, die aber erwähnenswerte Besonderheiten zeigen. Infolge der Eigenschaft des Sexualtriebs, von seinem Objekt um einen Grad weniger abhängig zu sein als Hunger und Durst, kann die Befriedigung im Pollutionstraum eine reale sein, und infolge gewisser später zu erwähnender Schwierigkeiten in der Beziehung zum Objekt kommt es besonders häufig vor, daß sich die reale Befriedigung doch mit einem undeutlichen oder entstellten Trauminhalt verbindet. Diese Eigentümlichkeit der Pollutionsträume macht sie, wie O. Rank bemerkt hat, zu günstigen Objekten für das Studium der Traumentstellung. Alle Bedürfnisträume Erwachsener pflegen übrigens außer der Befriedigung noch anderes zu enthalten, was rein psychischen Reizquellen entstammt und zu seinem Verständnis der Deutung bedarf.</w:t>
      </w:r>
    </w:p>
    <w:p w:rsidR="00062BE4" w:rsidRPr="002F7766" w:rsidRDefault="00062BE4" w:rsidP="00062BE4">
      <w:pPr>
        <w:rPr>
          <w:rFonts w:ascii="Garamond" w:hAnsi="Garamond" w:cs="Arial"/>
          <w:lang w:val="en-GB"/>
        </w:rPr>
      </w:pPr>
      <w:r w:rsidRPr="002F7766">
        <w:rPr>
          <w:rFonts w:ascii="Garamond" w:hAnsi="Garamond" w:cs="Arial"/>
          <w:lang w:val="en-GB"/>
        </w:rPr>
        <w:t>Wir wollen übrigens nicht behaupten, daß die nach infantiler Art gebildeten Wunscherfüllungsträume der Erwachsenen nur als Reaktionen auf die genannten imperativen Bedürfnisse vorkommen. Wir kennen ebensowohl kurze und klare Träume dieser Art unter dem Einfluß gewisser dominierender Situationen, die aus unzweifelhaft psychischen Reizquellen herrühren. So z. B. die Ungeduldsträume, wenn jemand die Vorbereitungen zu einer Reise, zu einer für ihn bedeutsamen Schaustellung, zu einem Vortrag, Besuch getroffen hat und nun die verfrühte Erfüllung seiner Erwartung träumt, sich also in der Nacht vor dem Erlebnis an seinem Ziel angekommen, im Theater, im Gespräch mit dem Besuchten sieht. Oder, die mit Recht so genannten Bequemlichkeitsträume, wenn jemand, der gerne den Schlaf verlängert, träumt, daß er bereits aufgestanden ist, sich wäscht oder sich in der Schule befindet, während er in Wirklichkeit weiterschläft, also lieber im Traum aufsteht als in Wirklichkeit. Der Wunsch zu schlafen, den wir als regelmäßig an der Traumbildung beteiligt erkannt haben, wird in diesen Träumen laut und zeigt sich in ihnen als der wesentliche Traumbildner. Das Bedürfnis zu schlafen stellt sich mit gutem Recht den anderen großen körperlichen Bedürfnissen zur Seite.</w:t>
      </w:r>
    </w:p>
    <w:p w:rsidR="00062BE4" w:rsidRPr="002F7766" w:rsidRDefault="00062BE4" w:rsidP="00062BE4">
      <w:pPr>
        <w:rPr>
          <w:rFonts w:ascii="Garamond" w:hAnsi="Garamond" w:cs="Arial"/>
          <w:lang w:val="en-GB"/>
        </w:rPr>
      </w:pPr>
      <w:r w:rsidRPr="002F7766">
        <w:rPr>
          <w:rFonts w:ascii="Garamond" w:hAnsi="Garamond" w:cs="Arial"/>
          <w:lang w:val="en-GB"/>
        </w:rPr>
        <w:t>Ich zeige Ihnen hier an der Reproduktion eines Schwindschen Bildes aus der Schackgalerie in München, wie richtig der Maler die Entstehung eines Traumes aus einer dominierenden Situation erfaßt hat. Es ist der »Traum eines Gefangenen«, der nichts anderes als seine Befreiung zum Inhalt haben kann. Es ist sehr hübsch, daß die Befreiung durch das Fenster erfolgen soll, denn durch das Fenster ist der Lichtreiz eingedrungen, der dem Schlaf des Gefangenen ein Ende macht. Die übereinanderstehenden Gnomen repräsentieren wohl die eigenen sukzessiven Stellungen, die er beim Emporklettern zur Höhe des Fensters einzunehmen hätte, und irre ich nicht, lege ich dem Künstler dabei nicht zuviel Absichtlichkeit unter, so trägt der oberste der Gnomen, welcher das Gitter durchsägt, also das tut, was der Gefangene selbst möchte, die nämlichen Züge wie er selbst.</w:t>
      </w:r>
    </w:p>
    <w:p w:rsidR="00062BE4" w:rsidRPr="002F7766" w:rsidRDefault="00062BE4" w:rsidP="00062BE4">
      <w:pPr>
        <w:rPr>
          <w:rFonts w:ascii="Garamond" w:hAnsi="Garamond" w:cs="Arial"/>
        </w:rPr>
      </w:pPr>
      <w:r>
        <w:rPr>
          <w:rFonts w:ascii="Garamond" w:hAnsi="Garamond" w:cs="Arial"/>
          <w:noProof/>
          <w:lang w:eastAsia="fr-FR"/>
        </w:rPr>
        <w:lastRenderedPageBreak/>
        <w:drawing>
          <wp:inline distT="0" distB="0" distL="0" distR="0">
            <wp:extent cx="4382135" cy="6506210"/>
            <wp:effectExtent l="19050" t="0" r="0" b="0"/>
            <wp:docPr id="48" name="Image 27" descr="gef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fangen"/>
                    <pic:cNvPicPr>
                      <a:picLocks noChangeAspect="1" noChangeArrowheads="1"/>
                    </pic:cNvPicPr>
                  </pic:nvPicPr>
                  <pic:blipFill>
                    <a:blip r:embed="rId1460" cstate="print"/>
                    <a:srcRect/>
                    <a:stretch>
                      <a:fillRect/>
                    </a:stretch>
                  </pic:blipFill>
                  <pic:spPr bwMode="auto">
                    <a:xfrm>
                      <a:off x="0" y="0"/>
                      <a:ext cx="4382135" cy="6506210"/>
                    </a:xfrm>
                    <a:prstGeom prst="rect">
                      <a:avLst/>
                    </a:prstGeom>
                    <a:noFill/>
                    <a:ln w="9525">
                      <a:noFill/>
                      <a:miter lim="800000"/>
                      <a:headEnd/>
                      <a:tailEnd/>
                    </a:ln>
                  </pic:spPr>
                </pic:pic>
              </a:graphicData>
            </a:graphic>
          </wp:inline>
        </w:drawing>
      </w:r>
    </w:p>
    <w:p w:rsidR="00062BE4" w:rsidRPr="002F7766" w:rsidRDefault="00062BE4" w:rsidP="00062BE4">
      <w:pPr>
        <w:rPr>
          <w:rFonts w:ascii="Garamond" w:hAnsi="Garamond" w:cs="Arial"/>
          <w:lang w:val="en-GB"/>
        </w:rPr>
      </w:pPr>
      <w:r w:rsidRPr="002F7766">
        <w:rPr>
          <w:rFonts w:ascii="Garamond" w:hAnsi="Garamond" w:cs="Arial"/>
          <w:lang w:val="en-GB"/>
        </w:rPr>
        <w:t>Bei allen anderen Träumen außer den Kinderträumen und denen von infantilem Typus tritt uns, wie gesagt, die Traumentstellung hindernd in den Weg. Wir können zunächst nicht sagen, ob auch sie Wunscherfüllungen sind, wie wir vermuten; wir erraten aus ihrem manifesten Inhalt nicht, welchem psychischen Reiz sie ihren Ursprung verdanken, und wir können nicht erweisen, daß sie sich gleichfalls um die Wegschaffung oder Erledigung dieses Reizes bemühen. Sie müssen wohl gedeutet, d. h. übersetzt werden, ihre Entstellung rückgängig gemacht, ihr manifester Inhalt durch den latenten ersetzt, ehe wir ein Urteil darüber fällen können, ob das an den infantilen Träumen Gefundene für alle Träume Gültigkeit beanspruchen darf.</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2F7766">
          <w:rPr>
            <w:rStyle w:val="Lienhypertexte"/>
            <w:rFonts w:ascii="Garamond" w:hAnsi="Garamond" w:cs="Arial"/>
            <w:b/>
            <w:bCs/>
            <w:lang w:val="en-GB"/>
          </w:rPr>
          <w:t>9. Vo</w:t>
        </w:r>
        <w:bookmarkStart w:id="276" w:name="Vorlesungen_9"/>
        <w:bookmarkEnd w:id="276"/>
        <w:r w:rsidRPr="002F7766">
          <w:rPr>
            <w:rStyle w:val="Lienhypertexte"/>
            <w:rFonts w:ascii="Garamond" w:hAnsi="Garamond" w:cs="Arial"/>
            <w:b/>
            <w:bCs/>
            <w:lang w:val="en-GB"/>
          </w:rPr>
          <w:t>rlesung. Die Traumzensur</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 xml:space="preserve">Meine Damen und Herren! Entstehung, Wesen und Funktion des Traumes haben wir aus dem Studium der Kinderträume kennengelernt. </w:t>
      </w:r>
      <w:r w:rsidRPr="002F7766">
        <w:rPr>
          <w:rFonts w:ascii="Garamond" w:hAnsi="Garamond" w:cs="Arial"/>
          <w:i/>
          <w:iCs/>
          <w:lang w:val="en-GB"/>
        </w:rPr>
        <w:t>Die Träume sind Beseitigungen schlafstörender (psychischer) Reize auf dem Wege der halluzinierten Befriedigung.</w:t>
      </w:r>
      <w:r w:rsidRPr="002F7766">
        <w:rPr>
          <w:rFonts w:ascii="Garamond" w:hAnsi="Garamond" w:cs="Arial"/>
          <w:lang w:val="en-GB"/>
        </w:rPr>
        <w:t xml:space="preserve"> Von den Träumen der Erwachsenen haben wir allerdings nur eine Gruppe aufklären können, jene, die wir als Träume von infantilem Typus bezeichnet haben. Was es mit den anderen ist, wissen wir noch nicht, aber wir verstehen sie auch nicht. Wir haben vorläufig ein Resultat gewonnen, dessen Bedeutung wir nicht unterschätzen wollen. Jedesmal, wenn uns ein Traum voll verständlich ist, erweist er sich als eine halluzinierte Wunscherfüllung. Dies Zusammentreffen kann nicht zufällig und nicht gleichgültig sein. Von einem Traum anderer Art nehmen wir auf Grund verschiedener Überlegungen und in Analogie zur Auffassung der Fehlleistungen an, daß er ein entstellter Ersatz für einen unbekannten Inhalt ist und erst auf diesen zurückgeführt werden muß. Die Untersuchung, das Verständnis dieser </w:t>
      </w:r>
      <w:r w:rsidRPr="002F7766">
        <w:rPr>
          <w:rFonts w:ascii="Garamond" w:hAnsi="Garamond" w:cs="Arial"/>
          <w:i/>
          <w:iCs/>
          <w:lang w:val="en-GB"/>
        </w:rPr>
        <w:t>Traumentstellung</w:t>
      </w:r>
      <w:r w:rsidRPr="002F7766">
        <w:rPr>
          <w:rFonts w:ascii="Garamond" w:hAnsi="Garamond" w:cs="Arial"/>
          <w:lang w:val="en-GB"/>
        </w:rPr>
        <w:t xml:space="preserve"> ist nun unsere nächste Aufgabe.</w:t>
      </w:r>
    </w:p>
    <w:p w:rsidR="00062BE4" w:rsidRPr="002F7766" w:rsidRDefault="00062BE4" w:rsidP="00062BE4">
      <w:pPr>
        <w:rPr>
          <w:rFonts w:ascii="Garamond" w:hAnsi="Garamond" w:cs="Arial"/>
          <w:lang w:val="en-GB"/>
        </w:rPr>
      </w:pPr>
      <w:r w:rsidRPr="002F7766">
        <w:rPr>
          <w:rFonts w:ascii="Garamond" w:hAnsi="Garamond" w:cs="Arial"/>
          <w:lang w:val="en-GB"/>
        </w:rPr>
        <w:t xml:space="preserve">Die Traumentstellung ist dasjenige, was uns den Traum fremdartig und unverständlich erscheinen läßt. Wir wollen mehrerlei von ihr wissen: erstens, wovon sie herrührt, ihren Dynamismus, zweitens, was sie macht, und endlich, wie sie es macht. Wir können auch sagen, die Traumentstellung ist das Werk der Traumarbeit. Wir wollen die Traumarbeit beschreiben und auf die in ihr wirkenden Kräfte zurückführen. Und nun hören Sie folgenden Traum an. Er ist von einer Dame unseres Kreises </w:t>
      </w:r>
      <w:hyperlink r:id="rId1461"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Frau Dr. von Hug-Hellmuth</w:t>
        </w:r>
      </w:hyperlink>
      <w:r w:rsidRPr="002F7766">
        <w:rPr>
          <w:rFonts w:ascii="Garamond" w:hAnsi="Garamond" w:cs="Arial"/>
          <w:lang w:val="en-GB"/>
        </w:rPr>
        <w:t xml:space="preserve"> verzeichnet worden, stammt nach ihrer Auskunft von einer hochangesehenen, feingebildeten älteren Dame her. Eine Analyse dieses Traumes ist nicht angestellt worden. Unsere Referentin bemerkt, daß es für Psychoanalytiker keiner Deutung bedürfe. Die Träumerin selbst hat ihn auch nicht gedeutet, aber sie hat ihn beurteilt und so verurteilt, als ob sie ihn zu deuten verstünde. Denn sie äußerte über ihn: Und solches abscheuliche, dumme Zeug träumt einer Frau von 50 Jahren, die Tag und Nacht keinen anderen Gedanken hat als die Sorge um ihr Kind!</w:t>
      </w:r>
    </w:p>
    <w:p w:rsidR="00062BE4" w:rsidRPr="002F7766" w:rsidRDefault="00062BE4" w:rsidP="00062BE4">
      <w:pPr>
        <w:rPr>
          <w:rFonts w:ascii="Garamond" w:hAnsi="Garamond" w:cs="Arial"/>
          <w:lang w:val="en-GB"/>
        </w:rPr>
      </w:pPr>
      <w:r w:rsidRPr="002F7766">
        <w:rPr>
          <w:rFonts w:ascii="Garamond" w:hAnsi="Garamond" w:cs="Arial"/>
          <w:lang w:val="en-GB"/>
        </w:rPr>
        <w:t xml:space="preserve">Und nun der Traum von den »Liebesdiensten«. </w:t>
      </w:r>
      <w:r w:rsidRPr="002F7766">
        <w:rPr>
          <w:rFonts w:ascii="Garamond" w:hAnsi="Garamond" w:cs="Arial"/>
          <w:i/>
          <w:iCs/>
          <w:lang w:val="en-GB"/>
        </w:rPr>
        <w:t>»Sie geht ins Garnisonsspital Nr. 1 und sagt dem Posten beim Tor, sie müsse den Oberarzt ...</w:t>
      </w:r>
      <w:r w:rsidRPr="002F7766">
        <w:rPr>
          <w:rFonts w:ascii="Garamond" w:hAnsi="Garamond" w:cs="Arial"/>
          <w:lang w:val="en-GB"/>
        </w:rPr>
        <w:t xml:space="preserve"> (sie nennt einen ihr unbekannten Namen) </w:t>
      </w:r>
      <w:r w:rsidRPr="002F7766">
        <w:rPr>
          <w:rFonts w:ascii="Garamond" w:hAnsi="Garamond" w:cs="Arial"/>
          <w:i/>
          <w:iCs/>
          <w:lang w:val="en-GB"/>
        </w:rPr>
        <w:t xml:space="preserve">sprechen, da sie im Spitale Dienst tun wolle. Dabei betont sie das Wort ›Dienst‹ so, daß der Unteroffizier sofort merkt, es handle sich um ›Liebes‹dienste. </w:t>
      </w:r>
      <w:r w:rsidRPr="002F7766">
        <w:rPr>
          <w:rFonts w:ascii="Garamond" w:hAnsi="Garamond" w:cs="Arial"/>
          <w:i/>
          <w:iCs/>
        </w:rPr>
        <w:t xml:space="preserve">Da sie eine alte Frau ist, läßt er sie nach einigem Zögern passieren. </w:t>
      </w:r>
      <w:r w:rsidRPr="002F7766">
        <w:rPr>
          <w:rFonts w:ascii="Garamond" w:hAnsi="Garamond" w:cs="Arial"/>
          <w:i/>
          <w:iCs/>
          <w:lang w:val="en-GB"/>
        </w:rPr>
        <w:t>Statt aber zum Oberarzt zu kommen, gelangt sie in ein großes, düsteres Zimmer, in dem viele Offiziere und Militärärzte an einem langen Tisch stehen und sitzen. Sie wendet sich mit ihrem Antrag an einen Stabsarzt, der sie nach wenigen Worten schon versteht. Der Wortlaut ihrer Rede im Traum ist: ›Ich und zahlreiche andere Frauen und junge Mädchen Wiens sind bereit, den Soldaten, Mannschaft und Offiziere ohne Unterschied,...‹ Hier folgt im Traum ein Gemurmel. Daß dasselbe aber von allen Anwesenden richtig verstanden wird, zeigen ihr die teils verlegenen, teils hämischen Mienen der Offiziere. Die Dame fährt fort: ›Ich weiß, daß unser Entschluß befremdend klingt, aber es ist uns bitterernst. Der Soldat im Feld wird auch nicht gefragt, ob er sterben will oder nicht.‹ Ein minutenlanges peinliches Schweigen folgt. Der Stabsarzt legt ihr den Arm um die Mitte und sagt: ›Gnädige Frau, nehmen Sie den Fall, es würde tatsächlich dazu kommen,...‹ (Gemurmel). Sie entzieht sich seinem Arm mit dem Gedanken: Es ist doch einer wie der andere, und erwidert: ›Mein Gott, ich bin eine alte Frau und werde vielleicht gar nicht in die Lage kommen. Übrigens eine Bedingung müßte eingehalten werden: die Berücksichtigung des Alters; daß nicht eine ältere Frau einem ganz jungen Burschen... (Gemurmel); das wäre entsetzliche – Der Stabsarzt: ›Ich verstehe vollkommen.‹ Einige Offiziere, darunter einer, der sich in jungen Jahren um sie beworben hatte, lachen hell auf, und die Dame wünscht zu dem ihr bekannten Oberarzt geführt zu werden, damit alles ins reine gebracht werde. Dabei fällt ihr zur größten Bestürzung ein, daß sie seinen Namen nicht kennt. Der Stabsarzt weist sie trotzdem sehr höflich und respektvoll an, über eine sehr schmale eiserne Wendeltreppe, die direkt von dem Zimmer aus in die oberen Stockwerke führt, in den zweiten Stock zu gehen. Im Hinaufsteigenhört sie einen Offizier sagen: ›Das ist ein kolossaler Entschluß, gleichgültig, ob eine jung oder alt ist; alle Achtung!‹</w:t>
      </w:r>
    </w:p>
    <w:p w:rsidR="00062BE4" w:rsidRPr="002F7766" w:rsidRDefault="00062BE4" w:rsidP="00062BE4">
      <w:pPr>
        <w:rPr>
          <w:rFonts w:ascii="Garamond" w:hAnsi="Garamond" w:cs="Arial"/>
          <w:lang w:val="en-GB"/>
        </w:rPr>
      </w:pPr>
      <w:r w:rsidRPr="002F7766">
        <w:rPr>
          <w:rFonts w:ascii="Garamond" w:hAnsi="Garamond" w:cs="Arial"/>
          <w:i/>
          <w:iCs/>
          <w:lang w:val="en-GB"/>
        </w:rPr>
        <w:t>Mit dem Gefühle, einfach ihre Pflicht zu tun, geht sie eine endlose Treppe hinauf.</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Dieser Traum wiederholt sich innerhalb weniger Wochen noch zweimal mit – wie die Dame bemerkt – ganz unbedeutenden und recht sinnlosen Abänderungen.«</w:t>
      </w:r>
    </w:p>
    <w:p w:rsidR="00062BE4" w:rsidRPr="002F7766" w:rsidRDefault="00062BE4" w:rsidP="00062BE4">
      <w:pPr>
        <w:rPr>
          <w:rFonts w:ascii="Garamond" w:hAnsi="Garamond" w:cs="Arial"/>
          <w:lang w:val="en-GB"/>
        </w:rPr>
      </w:pPr>
      <w:r w:rsidRPr="002F7766">
        <w:rPr>
          <w:rFonts w:ascii="Garamond" w:hAnsi="Garamond" w:cs="Arial"/>
          <w:lang w:val="en-GB"/>
        </w:rPr>
        <w:t xml:space="preserve">Der Traum entspricht in seinem Fortlauf einer Tagesphantasie: er hat nur wenige Bruchstellen, und manche Einzelheit in seinem Inhalt hätte durch Erkundigung geklärt werden können, was, wie Sie wissen, unterblieben ist. Das Auffällige und für uns Interessante ist aber, daß der Traum mehrere Lücken zeigt, Lücken, nicht der Erinnerung, sondern des Inhaltes. An drei Stellen ist der Inhalt wie ausgelöscht; die Reden, in denen diese Lücken angebracht sind, werden durch ein Gemurmel unterbrochen. </w:t>
      </w:r>
      <w:r w:rsidRPr="002F7766">
        <w:rPr>
          <w:rFonts w:ascii="Garamond" w:hAnsi="Garamond" w:cs="Arial"/>
        </w:rPr>
        <w:t xml:space="preserve">Da wir keine Analyse angestellt haben, steht uns strenge genommen auch kein Recht zu, etwas über den Sinn des Traumes zu äußern. Allein es sind Andeutungen gegeben, aus denen sich etwas folgern läßt, z. B. im Worte »Liebesdienste«, und vor allem nötigen die Stücke der Reden, welche dem Gemurmel unmittelbar vorhergehen, zu Ergänzungen, welche nicht anders als eindeutig ausfallen können. Setzen wir diese ein, so ergibt sich eine Phantasie des Inhalts, daß die Träumerin bereit ist, in Erfüllung einer patriotischen Pflicht, ihre Person zur Befriedigung der Liebesbedürfnisse des Militärs, Offiziere wie Mannschaft, zur Verfügung zu stellen. Das ist gewiß höchst anstößig, ein Muster einer frech libidinösen Phantasie, aber – es kommt im Traume gar nicht vor. </w:t>
      </w:r>
      <w:r w:rsidRPr="002F7766">
        <w:rPr>
          <w:rFonts w:ascii="Garamond" w:hAnsi="Garamond" w:cs="Arial"/>
          <w:lang w:val="en-GB"/>
        </w:rPr>
        <w:t>Gerade dort, wo der Zusammenhang dieses Bekenntnis fordern würde, findet sich im manifesten Traume ein undeutliches Gemurmel, ist etwas verlorengegangen oder unterdrückt worden.</w:t>
      </w:r>
    </w:p>
    <w:p w:rsidR="00062BE4" w:rsidRPr="002F7766" w:rsidRDefault="00062BE4" w:rsidP="00062BE4">
      <w:pPr>
        <w:rPr>
          <w:rFonts w:ascii="Garamond" w:hAnsi="Garamond" w:cs="Arial"/>
          <w:lang w:val="en-GB"/>
        </w:rPr>
      </w:pPr>
      <w:r w:rsidRPr="002F7766">
        <w:rPr>
          <w:rFonts w:ascii="Garamond" w:hAnsi="Garamond" w:cs="Arial"/>
          <w:lang w:val="en-GB"/>
        </w:rPr>
        <w:t>Ich hoffe, Sie erkennen es als naheliegend, daß eben die Anstößigkeit dieser Stellen das Motiv zu ihrer Unterdrückung war. Wo finden Sie aber eine Parallele zu diesem Vorkommnis? Sie brauchen in unseren Tagen nicht weit zu suchen. Nehmen Sie irgendeine politische Zeitung zur Hand, Sie werden finden, daß von Stelle zu Stelle der Text weggeblieben ist und an seiner Statt die Weiße des Papiers schimmert. Sie wissen, das ist das Werk der Zeitungszensur. An diesen leer gewordenen Stellen stand etwas, was der hohen Zensurbehörde mißliebig war, und darum wurde es entfernt. Sie meinen, es ist schade darum, es wird wohl das Interessanteste gewesen sein, es war »die beste Stelle«.</w:t>
      </w:r>
    </w:p>
    <w:p w:rsidR="00062BE4" w:rsidRPr="002F7766" w:rsidRDefault="00062BE4" w:rsidP="00062BE4">
      <w:pPr>
        <w:rPr>
          <w:rFonts w:ascii="Garamond" w:hAnsi="Garamond" w:cs="Arial"/>
          <w:lang w:val="en-GB"/>
        </w:rPr>
      </w:pPr>
      <w:r w:rsidRPr="002F7766">
        <w:rPr>
          <w:rFonts w:ascii="Garamond" w:hAnsi="Garamond" w:cs="Arial"/>
          <w:lang w:val="en-GB"/>
        </w:rPr>
        <w:t>Andere Male hat die Zensur nicht auf den fertigen Satz gewirkt. Der Autor hat vorhergesehen, welche Stellen die Beanständung durch die Zensur zu erwarten haben, und hat sie darum vorbeugend gemildert, leicht modifiziert oder sich mit Annäherungen und Anspielungen an das, was ihm eigentlich aus der Feder fließen wollte, begnügt. Dann hat auch das Blatt keine leeren Stellen, aber aus gewissen Umschweifen und Dunkelheiten des Ausdrucks werden Sie die im vorhinein geübte Rücksicht auf die Zensur erraten können.</w:t>
      </w:r>
    </w:p>
    <w:p w:rsidR="00062BE4" w:rsidRPr="002F7766" w:rsidRDefault="00062BE4" w:rsidP="00062BE4">
      <w:pPr>
        <w:rPr>
          <w:rFonts w:ascii="Garamond" w:hAnsi="Garamond" w:cs="Arial"/>
          <w:lang w:val="en-GB"/>
        </w:rPr>
      </w:pPr>
      <w:r w:rsidRPr="002F7766">
        <w:rPr>
          <w:rFonts w:ascii="Garamond" w:hAnsi="Garamond" w:cs="Arial"/>
          <w:lang w:val="en-GB"/>
        </w:rPr>
        <w:t xml:space="preserve">Nun, wir halten diese Parallele fest. Wir sagen, auch die ausgelassenen, durch ein Gemurmel verhüllten Traumreden sind einer Zensur zum Opfer gebracht worden. Wir sprechen direkt von einer </w:t>
      </w:r>
      <w:r w:rsidRPr="002F7766">
        <w:rPr>
          <w:rFonts w:ascii="Garamond" w:hAnsi="Garamond" w:cs="Arial"/>
          <w:i/>
          <w:iCs/>
          <w:lang w:val="en-GB"/>
        </w:rPr>
        <w:t>Traumzensur</w:t>
      </w:r>
      <w:r w:rsidRPr="002F7766">
        <w:rPr>
          <w:rFonts w:ascii="Garamond" w:hAnsi="Garamond" w:cs="Arial"/>
          <w:lang w:val="en-GB"/>
        </w:rPr>
        <w:t>, der ein Stück Anteil an der Traumentstellung zuzuschreiben ist. Überall, wo Lücken im manifesten Traum sind, hat die Traumzensur sie verschuldet. Wir sollten auch weitergehen und eine Äußerung der Zensur jedesmal dort erkennen, wo ein Traumelement besonders schwach, unbestimmt und zweifelhaft unter anderen, deutlicher ausgebildeten erinnert wird. Aber nur selten äußert sich diese Zensur so unverhohlen, so naiv, möchte man sagen, wie in dem Beispiel des Traumes von den »Liebesdiensten«. Weit öfter bringt sich die Zensur nach dem zweiten Typus zur Geltung, durch die Produktion von Abschwächungen, Annäherungen, Anspielungen an Stelle des Eigentlichen.</w:t>
      </w:r>
    </w:p>
    <w:p w:rsidR="00062BE4" w:rsidRPr="002F7766" w:rsidRDefault="00062BE4" w:rsidP="00062BE4">
      <w:pPr>
        <w:rPr>
          <w:rFonts w:ascii="Garamond" w:hAnsi="Garamond" w:cs="Arial"/>
          <w:lang w:val="en-GB"/>
        </w:rPr>
      </w:pPr>
      <w:r w:rsidRPr="002F7766">
        <w:rPr>
          <w:rFonts w:ascii="Garamond" w:hAnsi="Garamond" w:cs="Arial"/>
          <w:lang w:val="en-GB"/>
        </w:rPr>
        <w:t xml:space="preserve">Für eine dritte Wirkungsweise der Traumzensur weiß ich keine Parallele aus dem Walten der Zeitungszensur; ich kann aber gerade diese an dem einzigen bisher analysierten Traumbeispiel demonstrieren. Sie erinnern sich an den Traum von den »drei schlechten Theaterkarten für 1 fl. 50«. In den latenten Gedanken dieses Traumes stand das Element »voreilig, zu früh« im Vordergrunde. Es hieß: Es war ein Unsinn, so </w:t>
      </w:r>
      <w:r w:rsidRPr="002F7766">
        <w:rPr>
          <w:rFonts w:ascii="Garamond" w:hAnsi="Garamond" w:cs="Arial"/>
          <w:i/>
          <w:iCs/>
          <w:lang w:val="en-GB"/>
        </w:rPr>
        <w:t>früh</w:t>
      </w:r>
      <w:r w:rsidRPr="002F7766">
        <w:rPr>
          <w:rFonts w:ascii="Garamond" w:hAnsi="Garamond" w:cs="Arial"/>
          <w:lang w:val="en-GB"/>
        </w:rPr>
        <w:t xml:space="preserve"> zu heiraten – es war auch unsinnig, sich so </w:t>
      </w:r>
      <w:r w:rsidRPr="002F7766">
        <w:rPr>
          <w:rFonts w:ascii="Garamond" w:hAnsi="Garamond" w:cs="Arial"/>
          <w:i/>
          <w:iCs/>
          <w:lang w:val="en-GB"/>
        </w:rPr>
        <w:t>früh</w:t>
      </w:r>
      <w:r w:rsidRPr="002F7766">
        <w:rPr>
          <w:rFonts w:ascii="Garamond" w:hAnsi="Garamond" w:cs="Arial"/>
          <w:lang w:val="en-GB"/>
        </w:rPr>
        <w:t xml:space="preserve"> Theaterkarten zu besorgen –, es war lächerlich von der Schwägerin, ihr Geld so </w:t>
      </w:r>
      <w:r w:rsidRPr="002F7766">
        <w:rPr>
          <w:rFonts w:ascii="Garamond" w:hAnsi="Garamond" w:cs="Arial"/>
          <w:i/>
          <w:iCs/>
          <w:lang w:val="en-GB"/>
        </w:rPr>
        <w:t>eilig</w:t>
      </w:r>
      <w:r w:rsidRPr="002F7766">
        <w:rPr>
          <w:rFonts w:ascii="Garamond" w:hAnsi="Garamond" w:cs="Arial"/>
          <w:lang w:val="en-GB"/>
        </w:rPr>
        <w:t xml:space="preserve"> auszugeben, um sich dafür einen Schmuck zu kaufen. </w:t>
      </w:r>
      <w:r w:rsidRPr="002F7766">
        <w:rPr>
          <w:rFonts w:ascii="Garamond" w:hAnsi="Garamond" w:cs="Arial"/>
          <w:lang w:val="en-GB"/>
        </w:rPr>
        <w:lastRenderedPageBreak/>
        <w:t>Von diesem zentralen Element der Traumgedanken ist nichts in den manifesten Traum übergegangen; hier ist das Ins-Theater-Gehen und Karten-Bekommen in den Mittelpunkt gerückt. Durch diese Verschiebung des Akzents, diese Umgruppierung der Inhaltselemente, wird der manifeste Traum den latenten Traumgedanken so unähnlich, daß niemand diese letzteren hinter dem ersteren vermuten würde. Diese Akzentverschiebung ist ein Hauptmittel der Traumentstellung und gibt dem Traum jene Fremdartigkeit, deren wegen ihn der Träumer selbst nicht als seine eigene Produktion anerkennen möchte.</w:t>
      </w:r>
    </w:p>
    <w:p w:rsidR="00062BE4" w:rsidRPr="002F7766" w:rsidRDefault="00062BE4" w:rsidP="00062BE4">
      <w:pPr>
        <w:rPr>
          <w:rFonts w:ascii="Garamond" w:hAnsi="Garamond" w:cs="Arial"/>
          <w:lang w:val="en-GB"/>
        </w:rPr>
      </w:pPr>
      <w:r w:rsidRPr="002F7766">
        <w:rPr>
          <w:rFonts w:ascii="Garamond" w:hAnsi="Garamond" w:cs="Arial"/>
          <w:lang w:val="en-GB"/>
        </w:rPr>
        <w:t xml:space="preserve">Auslassung, Modifikation, Umgruppierung des Materials sind also die Wirkungen der Traumzensur und die Mittel der Traumentstellung, Die Traumzensur selbst ist der Urheber oder einer der Urheber der Traumentstellung, deren Untersuchung uns jetzt beschäftigt. Modifikation und Umordnung sind wir auch gewohnt, als » </w:t>
      </w:r>
      <w:r w:rsidRPr="002F7766">
        <w:rPr>
          <w:rFonts w:ascii="Garamond" w:hAnsi="Garamond" w:cs="Arial"/>
          <w:i/>
          <w:iCs/>
          <w:lang w:val="en-GB"/>
        </w:rPr>
        <w:t>Verschiebung</w:t>
      </w:r>
      <w:r w:rsidRPr="002F7766">
        <w:rPr>
          <w:rFonts w:ascii="Garamond" w:hAnsi="Garamond" w:cs="Arial"/>
          <w:lang w:val="en-GB"/>
        </w:rPr>
        <w:t>« zusammenzufassen.</w:t>
      </w:r>
    </w:p>
    <w:p w:rsidR="00062BE4" w:rsidRPr="002F7766" w:rsidRDefault="00062BE4" w:rsidP="00062BE4">
      <w:pPr>
        <w:rPr>
          <w:rFonts w:ascii="Garamond" w:hAnsi="Garamond" w:cs="Arial"/>
          <w:lang w:val="en-GB"/>
        </w:rPr>
      </w:pPr>
      <w:r w:rsidRPr="002F7766">
        <w:rPr>
          <w:rFonts w:ascii="Garamond" w:hAnsi="Garamond" w:cs="Arial"/>
          <w:lang w:val="en-GB"/>
        </w:rPr>
        <w:t>Nach diesen Bemerkungen über die Wirkungen der Traumzensur wenden wir uns nun ihrem Dynamismus zu. Ich hoffe, Sie nehmen den Ausdruck nicht allzu anthropomorph und stellen sich unter dem Traumzensor nicht ein kleines gestrenges Männlein oder einen Geist vor, der in einem Gehirnkämmerlein wohnt und dort seines Amtes waltet, aber auch nicht allzu lokalisatorisch, so daß Sie an ein »Gehirnzentrum« denken, von dem ein solcher zensurierender Einfluß ausgeht, welcher mit der Beschädigung oder Entfernung dieses Zentrums aufgehoben wäre. Es ist vorläufig nichts weiter als ein gut brauchbarer Terminus für eine dynamische Beziehung. Dieses Wort hindert uns nicht zu fragen, von welchen Tendenzen solcher Einfluß geübt wird und auf welche; wir werden auch nicht überrascht sein zu erfahren, daß wir schon früher einmal auf die Traumzensur gestoßen sind, vielleicht ohne sie zu erkennen.</w:t>
      </w:r>
    </w:p>
    <w:p w:rsidR="00062BE4" w:rsidRPr="002F7766" w:rsidRDefault="00062BE4" w:rsidP="00062BE4">
      <w:pPr>
        <w:rPr>
          <w:rFonts w:ascii="Garamond" w:hAnsi="Garamond" w:cs="Arial"/>
          <w:lang w:val="en-GB"/>
        </w:rPr>
      </w:pPr>
      <w:r w:rsidRPr="002F7766">
        <w:rPr>
          <w:rFonts w:ascii="Garamond" w:hAnsi="Garamond" w:cs="Arial"/>
          <w:lang w:val="en-GB"/>
        </w:rPr>
        <w:t xml:space="preserve">Das ist nämlich wirklich der Fall gewesen. Erinnern Sie sich, daß wir eine überraschende Erfahrung machten, als wir unsere Technik der freien Assoziation anzuwenden begannen. Wir bekamen da zu spüren, daß sich unseren Bemühungen, vom Traumelement zum unbewußten Element zu gelangen, dessen Ersatz es ist, ein </w:t>
      </w:r>
      <w:r w:rsidRPr="002F7766">
        <w:rPr>
          <w:rFonts w:ascii="Garamond" w:hAnsi="Garamond" w:cs="Arial"/>
          <w:i/>
          <w:iCs/>
          <w:lang w:val="en-GB"/>
        </w:rPr>
        <w:t>Widerstand</w:t>
      </w:r>
      <w:r w:rsidRPr="002F7766">
        <w:rPr>
          <w:rFonts w:ascii="Garamond" w:hAnsi="Garamond" w:cs="Arial"/>
          <w:lang w:val="en-GB"/>
        </w:rPr>
        <w:t xml:space="preserve"> entgegenstellte. Dieser Widerstand, sagten wir, kann verschieden groß sein, das eine Mal riesig, das andere Mal recht geringfügig. Im letzteren Falle brauchen wir für unsere Deutungsarbeit nur wenige Zwischenglieder zu passieren; wenn er aber groß ist, dann haben wir lange Assoziationsketten vom Element her zu durchmessen, werden weit von diesem weggeführt und müssen unterwegs alle die Schwierigkeiten überwinden, die sich als kritische Einwendungen gegen den Einfall ausgeben. Was uns bei der Deutungsarbeit als Widerstand entgegentritt, das müssen wir nun als Traumzensur in die Traumarbeit eintragen. Der Deutungswiderstand ist nur die Objektivierung der Traumzensur. Er beweist uns auch, daß die Kraft der Zensur sich nicht damit erschöpft hat, die Traumentstellung herbeizuführen, und seither erloschen ist, sondern daß diese Zensur als dauernde Institution mit der Absicht, die Entstellung aufrechtzuhalten, fortbesteht. Übrigens wie der Widerstand bei der Deutung für jedes Element in seiner Stärke wechselte, so ist auch die durch Zensur herbeigeführte Entstellung in demselben Traume für jedes Element verschieden groß ausgefallen. Vergleicht man manifesten und latenten Traum, so sieht man, einzelne latente Elemente sind völlig eliminiert worden, andere mehr oder weniger modifiziert, und noch andere sind unverändert, ja vielleicht verstärkt in den manifesten Trauminhalt hinübergenommen worden.</w:t>
      </w:r>
    </w:p>
    <w:p w:rsidR="00062BE4" w:rsidRPr="002F7766" w:rsidRDefault="00062BE4" w:rsidP="00062BE4">
      <w:pPr>
        <w:rPr>
          <w:rFonts w:ascii="Garamond" w:hAnsi="Garamond" w:cs="Arial"/>
          <w:lang w:val="en-GB"/>
        </w:rPr>
      </w:pPr>
      <w:r w:rsidRPr="002F7766">
        <w:rPr>
          <w:rFonts w:ascii="Garamond" w:hAnsi="Garamond" w:cs="Arial"/>
          <w:lang w:val="en-GB"/>
        </w:rPr>
        <w:t xml:space="preserve">Wir wollten aber untersuchen, welche Tendenzen die Zensur ausüben und gegen welche. Nun diese für das Verständnis des Traumes, ja vielleicht des Menschenlebens, fundamentale Frage ist, wenn wir die Reihe der zur Deutung gelangten Träume überblicken, leicht zu beantworten. Die Tendenzen, welche die Zensur ausüben, sind solche, welche vom wachen Urteilen des Träumers anerkannt werden, mit denen er sich einig fühlt. Seien Sie versichert, wenn Sie eine korrekt durchgeführte Deutung eines eigenen Traumes ablehnen, so tun Sie es aus denselben Motiven, mit denen die Traumzensur geübt, die Traumentstellung produziert und die Deutung notwendig gemacht wurde. Denken Sie an den Traum unserer 50jährigen Dame. Sie findet ihren Traum, ohne ihn gedeutet zu haben, abscheulich, würde noch entrüsteter gewesen </w:t>
      </w:r>
      <w:r w:rsidRPr="002F7766">
        <w:rPr>
          <w:rFonts w:ascii="Garamond" w:hAnsi="Garamond" w:cs="Arial"/>
          <w:lang w:val="en-GB"/>
        </w:rPr>
        <w:lastRenderedPageBreak/>
        <w:t>sein, wenn ihr Frau Dr. v. Hug etwas von der unerläßlichen Deutung mitgeteilt hätte, und eben dieser Verurteilung wegen haben sich in ihrem Traum die anstößigsten Stellen durch ein Gemurmel ersetzt.</w:t>
      </w:r>
    </w:p>
    <w:p w:rsidR="00062BE4" w:rsidRPr="002F7766" w:rsidRDefault="00062BE4" w:rsidP="00062BE4">
      <w:pPr>
        <w:rPr>
          <w:rFonts w:ascii="Garamond" w:hAnsi="Garamond" w:cs="Arial"/>
          <w:lang w:val="en-GB"/>
        </w:rPr>
      </w:pPr>
      <w:r w:rsidRPr="002F7766">
        <w:rPr>
          <w:rFonts w:ascii="Garamond" w:hAnsi="Garamond" w:cs="Arial"/>
          <w:lang w:val="en-GB"/>
        </w:rPr>
        <w:t xml:space="preserve">Die Tendenzen aber, </w:t>
      </w:r>
      <w:r w:rsidRPr="002F7766">
        <w:rPr>
          <w:rFonts w:ascii="Garamond" w:hAnsi="Garamond" w:cs="Arial"/>
          <w:i/>
          <w:iCs/>
          <w:lang w:val="en-GB"/>
        </w:rPr>
        <w:t>gegen</w:t>
      </w:r>
      <w:r w:rsidRPr="002F7766">
        <w:rPr>
          <w:rFonts w:ascii="Garamond" w:hAnsi="Garamond" w:cs="Arial"/>
          <w:lang w:val="en-GB"/>
        </w:rPr>
        <w:t xml:space="preserve"> welche sich die Traumzensur richtet, muß man zunächst vom Standpunkt dieser Instanz selbst beschreiben. Dann kann man nur sagen, sie seien durchaus verwerflicher Natur, anstößig in ethischer, ästhetischer, sozialer Hinsicht, Dinge, an die man gar nicht zu denken wagt oder nur mit Abscheu denkt. Vor allem sind diese zensurierten und im Traum zu einem entstellten Ausdruck gelangten Wünsche Äußerungen eines schranken- und rücksichtslosen Egoismus. Und zwar kommt das eigene Ich in jedem Traum vor und spielt in jedem die Hauptrolle, auch wenn es sich für den manifesten Inhalt gut zu verbergen weiß. Dieser » </w:t>
      </w:r>
      <w:r w:rsidRPr="002F7766">
        <w:rPr>
          <w:rFonts w:ascii="Garamond" w:hAnsi="Garamond" w:cs="Arial"/>
          <w:i/>
          <w:iCs/>
          <w:lang w:val="en-GB"/>
        </w:rPr>
        <w:t>sacro egoismo</w:t>
      </w:r>
      <w:r w:rsidRPr="002F7766">
        <w:rPr>
          <w:rFonts w:ascii="Garamond" w:hAnsi="Garamond" w:cs="Arial"/>
          <w:lang w:val="en-GB"/>
        </w:rPr>
        <w:t>« des Traumes ist gewiß nicht außer Zusammenhang mit der Einstellung zum Schlafen, die ja in der Abziehung des Interesses von der ganzen Außenwelt besteht.</w:t>
      </w:r>
    </w:p>
    <w:p w:rsidR="00062BE4" w:rsidRPr="002F7766" w:rsidRDefault="00062BE4" w:rsidP="00062BE4">
      <w:pPr>
        <w:rPr>
          <w:rFonts w:ascii="Garamond" w:hAnsi="Garamond" w:cs="Arial"/>
          <w:lang w:val="en-GB"/>
        </w:rPr>
      </w:pPr>
      <w:r w:rsidRPr="002F7766">
        <w:rPr>
          <w:rFonts w:ascii="Garamond" w:hAnsi="Garamond" w:cs="Arial"/>
          <w:lang w:val="en-GB"/>
        </w:rPr>
        <w:t>Das aller ethischen Fesseln entledigte Ich weiß sich auch einig mit allen Ansprüchen des Sexualstrebens, solchen, die längst von unserer ästhetischen Erziehung verurteilt worden sind, und solchen, die allen sittlichen Beschränkungsforderungen widersprechen. Das Lustbestreben – die Libido, wie wir sagen – wählt seine Objekte hemmungslos, und zwar die verbotenen am liebsten. Nicht nur das Weib des anderen, sondern vor allem inzestuöse, durch menschliche Übereinkunft geheiligte Objekte, die Mutter und die Schwester beim Manne, den Vater und den Bruder beim Weibe. (Auch der Traum unserer 50jährigen Dame ist ein inzestuöser, seine Libido unverkennbar auf den Sohn gerichtet.) Gelüste, die wir ferne von der menschlichen Natur glauben, zeigen sich stark genug, Träume zu erregen. Auch der Haß tobt sich schrankenlos aus. Rache- und Todeswünsche gegen die nächststehenden, im Leben geliebtesten Personen, die Eltern, Geschwister, den Ehepartner, die eigenen Kinder sind nichts Ungewöhnliches. Diese zensurierten Wünsche scheinen aus einer wahren Hölle aufzusteigen; keine Zensur scheint uns nach der Deutung im Wachen hart genug gegen sie zu sein.</w:t>
      </w:r>
    </w:p>
    <w:p w:rsidR="00062BE4" w:rsidRPr="002F7766" w:rsidRDefault="00062BE4" w:rsidP="00062BE4">
      <w:pPr>
        <w:rPr>
          <w:rFonts w:ascii="Garamond" w:hAnsi="Garamond" w:cs="Arial"/>
          <w:lang w:val="en-GB"/>
        </w:rPr>
      </w:pPr>
      <w:r w:rsidRPr="002F7766">
        <w:rPr>
          <w:rFonts w:ascii="Garamond" w:hAnsi="Garamond" w:cs="Arial"/>
          <w:lang w:val="en-GB"/>
        </w:rPr>
        <w:t>Machen Sie aber aus diesem bösen Inhalt dem Traum selbst keinen Vorwurf. Sie vergessen doch nicht, daß er die harmlose, ja nützliche Funktion hat, den Schlaf vor Störung zu bewahren. Solche Schlechtigkeit liegt nicht im Wesen des Traumes. Sie wissen ja auch, daß es Träume gibt, die sich als Befriedigung berechtigter Wünsche und dringender körperlicher Bedürfnisse erkennen lassen. Diese haben allerdings keine Traumentstellung; sie brauchen sie aber auch nicht, sie können ihrer Funktion genügen, ohne die ethischen und ästhetischen Tendenzen des Ichs zu beleidigen. Auch halten Sie sich vor, daß die Traumentstellung zwei Faktoren proportional ist. Einerseits wird sie um so größer, je ärger der zu zensurierende Wunsch ist, anderseits aber auch, je strenger derzeit die Anforderungen der Zensur auftreten. Ein junges, strenge erzogenes und sprödes Mädchen wird darum mit unerbittlicher Zensur Traumregungen entstellen, welche wir Ärzte z. B. als gestattete, harmlos libidinöse Wünsche anerkennen müßten und die die Träumerin selbst ein Dezennium später so beurteilen wird.</w:t>
      </w:r>
    </w:p>
    <w:p w:rsidR="00062BE4" w:rsidRPr="002F7766" w:rsidRDefault="00062BE4" w:rsidP="00062BE4">
      <w:pPr>
        <w:rPr>
          <w:rFonts w:ascii="Garamond" w:hAnsi="Garamond" w:cs="Arial"/>
          <w:lang w:val="en-GB"/>
        </w:rPr>
      </w:pPr>
      <w:r w:rsidRPr="002F7766">
        <w:rPr>
          <w:rFonts w:ascii="Garamond" w:hAnsi="Garamond" w:cs="Arial"/>
          <w:lang w:val="en-GB"/>
        </w:rPr>
        <w:t xml:space="preserve">Im übrigen sind wir noch lange nicht so weit, uns über dies Ergebnis unserer Deutungsarbeit entrüsten zu dürfen. Ich glaube, daß wir es noch nicht recht verstehen; vor allem aber obliegt uns die Aufgabe, es gegen gewisse Anfechtungen sicherzustellen. Es ist gar nicht schwer, einen Haken daran zu finden. Unsere Traumdeutungen sind unter den Voraussetzungen gemacht, die wir vorhin einbekannt haben, daß der Traum überhaupt einen Sinn habe, daß man die Existenz derzeit unbewußter seelischer Vorgänge vom hypnotischen auf den normalen Schlaf übertragen dürfe und daß alle Einfälle determiniert seien. Wären wir auf Grund dieser Voraussetzungen zu plausiblen Resultaten der Traumdeutung gekommen, so hätten wir mit Recht geschlossen, diese Voraussetzungen seien richtig gewesen. Wie aber, wenn diese Ergebnisse so aussehen, wie ich es eben geschildert habe? Dann liegt es doch nahe zu sagen: Es sind unmögliche, unsinnige, zum mindesten sehr unwahrscheinliche Resultate, also war etwas an den Voraussetzungen falsch. Entweder ist der Traum doch kein psychisches Phänomen, oder es gibt nichts Unbewußtes im Normalzustand, oder unsere Technik hat irgendwo ein Leck. Ist das nicht einfacher und befriedigender </w:t>
      </w:r>
      <w:r w:rsidRPr="002F7766">
        <w:rPr>
          <w:rFonts w:ascii="Garamond" w:hAnsi="Garamond" w:cs="Arial"/>
          <w:lang w:val="en-GB"/>
        </w:rPr>
        <w:lastRenderedPageBreak/>
        <w:t>anzunehmen als alle die Scheußlichkeiten, die wir auf Grund unserer Voraussetzungen angeblich aufgedeckt haben?</w:t>
      </w:r>
    </w:p>
    <w:p w:rsidR="00062BE4" w:rsidRPr="002F7766" w:rsidRDefault="00062BE4" w:rsidP="00062BE4">
      <w:pPr>
        <w:rPr>
          <w:rFonts w:ascii="Garamond" w:hAnsi="Garamond" w:cs="Arial"/>
          <w:lang w:val="en-GB"/>
        </w:rPr>
      </w:pPr>
      <w:r w:rsidRPr="002F7766">
        <w:rPr>
          <w:rFonts w:ascii="Garamond" w:hAnsi="Garamond" w:cs="Arial"/>
          <w:lang w:val="en-GB"/>
        </w:rPr>
        <w:t xml:space="preserve">Beides! Sowohl einfacher als auch befriedigender, aber darum nicht notwendig richtiger. Lassen wir uns Zeit, die Sache ist noch nicht spruchreif. Vor allem können wir die Kritik gegen unsere Traumdeutungen noch verstärken. Daß die Ergebnisse derselben so unerfreulich und unappetitlich sind, fiele vielleicht nicht so schwer ins Gewicht. Ein stärkeres Argument ist es, daß die Träumer, denen wir aus der Deutung ihrer Träume solche Wunschtendenzen zuschieben, diese aufs nachdrücklichste und mit guten Gründen von sich weisen. Was? sagt der eine, Sie wollen mir aus dem Traume nachweisen, daß es mir leid um die Summen tut, die ich für die Ausstattung meiner Schwester und die Erziehung meines Bruders aufgewendet habe? Aber das kann ja nicht sein; ich arbeite ja nur für meine Geschwister, ich habe kein anderes Interesse im Leben, als meine Pflichten gegen sie zu erfüllen, wie ich es als Ältester unserer seligen Mutter versprochen habe.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eine Träumerin sagt: Ich soll meinem Manne den Tod wünschen. Das ist ja ein empörender Unsinn! Nicht nur, daß wir in der glücklichsten Ehe leben – das werden Sie mir wahrscheinlich nicht glauben –, sein Tod würde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auch um alles bringen, was ich sonst in der Welt besitze.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ein anderer wird uns erwidern: Ich soll sinnliche Wünsche auf meine Schwester richten? Das ist lächerlich; ich mache mir gar nichts aus ihr; wir stehen schlecht miteinander und ich habe seit Jahren kein Wort mit ihr gewechselt. Wir würden es vielleicht noch leicht nehmen, wenn diese Träumer die ihnen zugedeuteten Tendenzen nicht bestätigten oder verleugneten; wir könnten sagen, das sind eben Dinge, die sie von sich nicht wissen. Aber daß sie das genaue Gegenteil eines solchen gedeuteten Wunsches in sich verspüren und uns die Vorherrschaft dieses Gegensatzes durch ihre Lebensführung beweisen können, das muß uns doch endlich stutzig machen. Wäre es jetzt nicht an der Zeit, die ganze Arbeit an der Traumdeutung als etwas, was durch seine Resultate </w:t>
      </w:r>
      <w:r w:rsidRPr="002F7766">
        <w:rPr>
          <w:rFonts w:ascii="Garamond" w:hAnsi="Garamond" w:cs="Arial"/>
          <w:i/>
          <w:iCs/>
          <w:lang w:val="en-GB"/>
        </w:rPr>
        <w:t>ad absurdum</w:t>
      </w:r>
      <w:r w:rsidRPr="002F7766">
        <w:rPr>
          <w:rFonts w:ascii="Garamond" w:hAnsi="Garamond" w:cs="Arial"/>
          <w:lang w:val="en-GB"/>
        </w:rPr>
        <w:t xml:space="preserve"> geführt ist, beiseite zuwerfen? Nein, noch immer nicht. Auch dieses stärkere Argument zerbricht, wenn wir es kritisch angreifen. Vorausgesetzt, daß es unbewußte Tendenzen im Seelenleben gibt, so hat es gar keine Beweiskraft, wenn die ihnen entgegengesetzten im bewußten Leben als herrschend nachgewiesen werden. Vielleicht gibt es im Seelenleben auch Raum für gegensätzliche Tendenzen, für Widersprüche, die nebeneinander bestehen; ja möglicherweise ist gerade die Vorherrschaft der einen Regung eine Bedingung für das Unbewußtsein ihres Gegensatzes. Es bleibt also doch bei den zuerst erhobenen Einwendungen, die Resultate der Traumdeutung seien nicht einfach und sehr unerfreulich. Aufs erste ist zu erwidern, daß Sie mit aller Schwärmerei für das Einfache nicht eines der Traumprobleme lösen können; Sie müssen sich da schon zur Annahme komplizierter Verhältnisse bequemen. Und zum zweiten, daß Sie offenbar unrecht daran tun, ein Wohlgefallen oder eine Abstoßung, die Sie verspüren, als Motiv für ein wissenschaftliches Urteil zu verwenden. Was macht es, daß Ihnen die Resultate der Traumdeutung unerfreulich, ja beschämend und widerwärtig erscheinen? </w:t>
      </w:r>
      <w:r w:rsidRPr="002F7766">
        <w:rPr>
          <w:rFonts w:ascii="Garamond" w:hAnsi="Garamond" w:cs="Arial"/>
          <w:i/>
          <w:iCs/>
        </w:rPr>
        <w:t>Ça n'empêche pas d'exister</w:t>
      </w:r>
      <w:r w:rsidRPr="002F7766">
        <w:rPr>
          <w:rFonts w:ascii="Garamond" w:hAnsi="Garamond" w:cs="Arial"/>
        </w:rPr>
        <w:t xml:space="preserve">, habe ich als junger Doktor meinen Meister Charcot in ähnlichem Falle sagen gehört. </w:t>
      </w:r>
      <w:r w:rsidRPr="002F7766">
        <w:rPr>
          <w:rFonts w:ascii="Garamond" w:hAnsi="Garamond" w:cs="Arial"/>
          <w:lang w:val="en-GB"/>
        </w:rPr>
        <w:t>Es heißt demütig sein, seine Sympathien und Antipathien fein zurückstellen, wenn man erfahren will, was in dieser Welt real ist. Wenn Ihnen ein Physiker beweisen kann, daß das organische Leben dieser Erde binnen kurzer Frist einer völligen Erstarrung weichen muß, getrauen Sie sich auch ihm zu entgegnen: Das kann nicht sein; diese Aussicht ist zu unerfreulich? Ich meine, Sie werden schweigen, bis ein anderer Physiker kommt und dem ersten einen Fehler in seinen Voraussetzungen oder Berechnungen nachweist. Wenn Sie von sich weisen, was Ihnen unangenehm ist, so wiederholen Sie vielmehr den Mechanismus der Traumbildung, anstatt ihn zu verstehen und ihn zu überwinden.</w:t>
      </w:r>
    </w:p>
    <w:p w:rsidR="00062BE4" w:rsidRPr="002F7766" w:rsidRDefault="00062BE4" w:rsidP="00062BE4">
      <w:pPr>
        <w:rPr>
          <w:rFonts w:ascii="Garamond" w:hAnsi="Garamond" w:cs="Arial"/>
          <w:lang w:val="en-GB"/>
        </w:rPr>
      </w:pPr>
      <w:r w:rsidRPr="002F7766">
        <w:rPr>
          <w:rFonts w:ascii="Garamond" w:hAnsi="Garamond" w:cs="Arial"/>
          <w:lang w:val="en-GB"/>
        </w:rPr>
        <w:t xml:space="preserve">Sie versprechen dann vielleicht, von dem abstoßenden Charakter der zensurierten Traumwünsche abzusehen, und ziehen sich auf das Argument zurück, es sei doch unwahrscheinlich, daß man dem Bösen in der Konstitution des Menschen einen so breiten Raum zugestehen solle. Aber berechtigen Sie Ihre eigenen Erfahrungen dazu, das zu sagen? Ich will nicht davon sprechen, wie Sie sich selbst erscheinen mögen, aber haben Sie so viel Wohlwollen bei Ihren Vorgesetzten und Konkurrenten gefunden, so viel </w:t>
      </w:r>
      <w:r w:rsidRPr="002F7766">
        <w:rPr>
          <w:rFonts w:ascii="Garamond" w:hAnsi="Garamond" w:cs="Arial"/>
          <w:lang w:val="en-GB"/>
        </w:rPr>
        <w:lastRenderedPageBreak/>
        <w:t xml:space="preserve">Ritterlichkeit bei Ihren Feinden und so wenig Neid in Ihrer Gesellschaft, daß sie sich verpflichtet fühlen müssen, gegen den Anteil des egoistisch Bösen an der menschlichen Natur aufzutreten? Ist Ihnen nicht bekannt, wie unbeherrscht und unzuverlässig der Durchschnitt der Menschen in allen Angelegenheiten des Sexuallebens ist? </w:t>
      </w:r>
      <w:smartTag w:uri="urn:schemas-microsoft-com:office:smarttags" w:element="place">
        <w:r w:rsidRPr="002F7766">
          <w:rPr>
            <w:rFonts w:ascii="Garamond" w:hAnsi="Garamond" w:cs="Arial"/>
            <w:lang w:val="en-GB"/>
          </w:rPr>
          <w:t>Oder</w:t>
        </w:r>
      </w:smartTag>
      <w:r w:rsidRPr="002F7766">
        <w:rPr>
          <w:rFonts w:ascii="Garamond" w:hAnsi="Garamond" w:cs="Arial"/>
          <w:lang w:val="en-GB"/>
        </w:rPr>
        <w:t xml:space="preserve"> wissen Sie nicht, daß alle Übergriffe und Ausschreitungen, von denen wir nächtlich träumen, alltäglich von wachen Menschen als Verbrechen wirklich begangen werden? Was tut die Psychoanalyse hier anders als das alte Wort von Plato bestätigen, daß die Guten diejenigen sind, welche sich begnügen, von dem zu träumen, was die anderen, die Bösen wirklich tun?</w:t>
      </w:r>
    </w:p>
    <w:p w:rsidR="00062BE4" w:rsidRPr="002F7766" w:rsidRDefault="00062BE4" w:rsidP="00062BE4">
      <w:pPr>
        <w:rPr>
          <w:rFonts w:ascii="Garamond" w:hAnsi="Garamond" w:cs="Arial"/>
        </w:rPr>
      </w:pPr>
      <w:r w:rsidRPr="002F7766">
        <w:rPr>
          <w:rFonts w:ascii="Garamond" w:hAnsi="Garamond" w:cs="Arial"/>
          <w:lang w:val="en-GB"/>
        </w:rPr>
        <w:t xml:space="preserve">Und nun blicken Sie vom Individuellen weg auf den großen Krieg, der noch immer Europa verheert, denken Sie an das Unmaß von Brutalität, Grausamkeit und Verlogenheit, das sich jetzt in der Kulturwelt breitmachen darf. Glauben Sie wirklich, daß es einer Handvoll gewissenloser Streber und Verführer geglückt wäre, all diese bösen Geister zu entfesseln, wenn die Millionen von Geführten nicht mitschuldig wären? </w:t>
      </w:r>
      <w:r w:rsidRPr="002F7766">
        <w:rPr>
          <w:rFonts w:ascii="Garamond" w:hAnsi="Garamond" w:cs="Arial"/>
        </w:rPr>
        <w:t>Getrauen Sie sich auch unter diesen Verhältnissen, für den Ausschluß des Bösen aus der seelischen Konstitution des Menschen eine Lanze zu brechen?</w:t>
      </w:r>
    </w:p>
    <w:p w:rsidR="00062BE4" w:rsidRPr="002F7766" w:rsidRDefault="00062BE4" w:rsidP="00062BE4">
      <w:pPr>
        <w:rPr>
          <w:rFonts w:ascii="Garamond" w:hAnsi="Garamond" w:cs="Arial"/>
          <w:lang w:val="en-GB"/>
        </w:rPr>
      </w:pPr>
      <w:r w:rsidRPr="002F7766">
        <w:rPr>
          <w:rFonts w:ascii="Garamond" w:hAnsi="Garamond" w:cs="Arial"/>
        </w:rPr>
        <w:t xml:space="preserve">Sie werden mir vorhalten, ich beurteile den Krieg einseitig; er habe auch das Schönste und Edelste der Menschen zum Vorschein gebracht, ihren Heldenmut, ihre Selbstaufopferung, ihr soziales Fühlen. </w:t>
      </w:r>
      <w:r w:rsidRPr="002F7766">
        <w:rPr>
          <w:rFonts w:ascii="Garamond" w:hAnsi="Garamond" w:cs="Arial"/>
          <w:lang w:val="en-GB"/>
        </w:rPr>
        <w:t>Gewiß, aber machen Sie sich hier nicht mitschuldig an der Ungerechtigkeit, die man so oft an der Psychoanalyse begangen hat, indem man ihr vorgeworfen, das eine zu leugnen, weil sie das andere behauptet. Es ist nicht unsere Absicht, die edlen Strebungen der menschlichen Natur abzuleugnen, noch haben wir je etwas dazu getan, sie in ihrem Wert herabzusetzen. Im Gegenteile; ich zeige Ihnen nicht nur die zensurierten bösen Traumwünsche, sondern auch die Zensur, welche sie unterdrückt und unkenntlich macht. Bei dem Bösen im Menschen verweilen wir nur darum mit stärkerem Nachdruck, weil die anderen es verleugnen, wodurch das menschliche Seelenleben zwar nicht besser, aber unverständlich wird. Wenn wir dann die einseitig ethische Wertung aufgeben, werden wir für das Verhältnis des Bösen zum Guten in der menschlichen Natur gewiß die richtigere Formel finden können.</w:t>
      </w:r>
    </w:p>
    <w:p w:rsidR="00062BE4" w:rsidRPr="002F7766" w:rsidRDefault="00062BE4" w:rsidP="00062BE4">
      <w:pPr>
        <w:rPr>
          <w:rFonts w:ascii="Garamond" w:hAnsi="Garamond" w:cs="Arial"/>
          <w:lang w:val="en-GB"/>
        </w:rPr>
      </w:pPr>
      <w:r w:rsidRPr="002F7766">
        <w:rPr>
          <w:rFonts w:ascii="Garamond" w:hAnsi="Garamond" w:cs="Arial"/>
          <w:lang w:val="en-GB"/>
        </w:rPr>
        <w:t>Es bleibt also dabei. Wir brauchen die Ergebnisse unserer Arbeit an der Traumdeutung nicht aufzugeben, wenn wir sie auch befremdend finden müssen. Vielleicht können wir uns später auf anderem Wege ihrem Verständnis nähern. Vorläufig halten wir fest: Die Traumentstellung ist eine Folge der Zensur, welche von anerkannten Tendenzen des Ichs gegen irgendwie anstößige Wunschregungen ausgeübt wird, die sich nächtlicherweile, während des Schlafes, in uns rühren. Freilich, warum gerade nächtlicherweile und woher diese verwerflichen Wünsche stammen, daran bleibt noch viel zu fragen und zu erforschen.</w:t>
      </w:r>
    </w:p>
    <w:p w:rsidR="00062BE4" w:rsidRPr="002F7766" w:rsidRDefault="00062BE4" w:rsidP="00062BE4">
      <w:pPr>
        <w:rPr>
          <w:rFonts w:ascii="Garamond" w:hAnsi="Garamond" w:cs="Arial"/>
          <w:lang w:val="en-GB"/>
        </w:rPr>
      </w:pPr>
      <w:r w:rsidRPr="002F7766">
        <w:rPr>
          <w:rFonts w:ascii="Garamond" w:hAnsi="Garamond" w:cs="Arial"/>
          <w:lang w:val="en-GB"/>
        </w:rPr>
        <w:t xml:space="preserve">Es wäre aber Unrecht, wenn wir jetzt versäumten, ein anderes Ergebnis dieser Untersuchungen gebührend hervorzuheben. Die Traumwünsche, die uns im Schlafe stören wollen, sind uns unbekannt, wir erfahren von ihnen ja erst durch die Traumdeutung; sie sind also als derzeit unbewußte im besprochenen Sinne zu bezeichnen. Aber wir müssen uns sagen, sie sind auch mehr als derzeit unbewußt. Der Träumer verleugnet sie ja auch, wie wir in so vielen Fällen erfahren haben, nachdem er sie durch die Deutung des Traumes kennengelernt hat. Es wiederholt sich dann der Fall, dem wir zuerst bei der Deutung des Versprechens »Aufstoßen« begegnet sind, als der Toastredner empört versicherte, daß ihm weder damals noch je zuvor eine unehrerbietige Regung gegen seinen Chef bewußt geworden. Wir hatten schon damals an dem Wert einer solchen Versicherung gezweifelt und dieselbe durch die Annahme ersetzt, daß der Redner dauernd nichts von dieser in ihm vorhandenen Regung weiß. Solches wiederholt sich nun bei jeder Deutung eines stark entstellten Traumes und gewinnt somit an Bedeutung für unsere Auffassung. Wir sind nun bereit anzunehmen, daß es im Seelenleben Vorgänge, Tendenzen gibt, von denen man überhaupt nichts weiß, seit langer Zeit nichts weiß, vielleicht sogar niemals etwas gewußt hat. Das Unbewußte erhält damit für uns einen neuen Sinn; das »derzeit« oder »zeitweilig« schwindet aus seinem Wesen, es kann auch </w:t>
      </w:r>
      <w:r w:rsidRPr="002F7766">
        <w:rPr>
          <w:rFonts w:ascii="Garamond" w:hAnsi="Garamond" w:cs="Arial"/>
          <w:i/>
          <w:iCs/>
          <w:lang w:val="en-GB"/>
        </w:rPr>
        <w:t>dauernd</w:t>
      </w:r>
      <w:r w:rsidRPr="002F7766">
        <w:rPr>
          <w:rFonts w:ascii="Garamond" w:hAnsi="Garamond" w:cs="Arial"/>
          <w:lang w:val="en-GB"/>
        </w:rPr>
        <w:t xml:space="preserve"> unbewußt bedeuten, nicht bloß »derzeit latent«. Natürlich werden wir auch darüber ein anderes Mal mehr hören müssen.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2F7766">
          <w:rPr>
            <w:rStyle w:val="Lienhypertexte"/>
            <w:rFonts w:ascii="Garamond" w:hAnsi="Garamond" w:cs="Arial"/>
            <w:b/>
            <w:bCs/>
            <w:lang w:val="en-GB"/>
          </w:rPr>
          <w:t>10. Vo</w:t>
        </w:r>
        <w:bookmarkStart w:id="277" w:name="Vorlesungen_10"/>
        <w:bookmarkEnd w:id="277"/>
        <w:r w:rsidRPr="002F7766">
          <w:rPr>
            <w:rStyle w:val="Lienhypertexte"/>
            <w:rFonts w:ascii="Garamond" w:hAnsi="Garamond" w:cs="Arial"/>
            <w:b/>
            <w:bCs/>
            <w:lang w:val="en-GB"/>
          </w:rPr>
          <w:t>rlesung. Die Symbolik im Traum</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Wir haben gefunden, daß die Traumentstellung, welche uns im Verständnis des Traumes stört, Folge einer zensurierenden Tätigkeit ist, die sich gegen die unannehmbaren, unbewußten Wunschregungen richtet. Aber wir haben natürlich nicht behauptet, daß die Zensur der einzige Faktor ist, der die Traumentstellung verschuldet, und wirklich können wir bei weiterem Studium des Traumes die Entdeckung machen, daß an diesem Effekt noch andere Momente beteiligt sind. Das ist soviel, als sagten wir, auch wenn die Traumzensur ausgeschaltet wäre, wären wir doch nicht imstande, die Träume zu verstehen, wäre der manifeste Traum noch nicht mit den latenten Traumgedanken identisch.</w:t>
      </w:r>
    </w:p>
    <w:p w:rsidR="00062BE4" w:rsidRPr="002F7766" w:rsidRDefault="00062BE4" w:rsidP="00062BE4">
      <w:pPr>
        <w:rPr>
          <w:rFonts w:ascii="Garamond" w:hAnsi="Garamond" w:cs="Arial"/>
          <w:lang w:val="en-GB"/>
        </w:rPr>
      </w:pPr>
      <w:r w:rsidRPr="002F7766">
        <w:rPr>
          <w:rFonts w:ascii="Garamond" w:hAnsi="Garamond" w:cs="Arial"/>
          <w:lang w:val="en-GB"/>
        </w:rPr>
        <w:t>Dieses andere Moment, das den Traum undurchsichtig macht, diesen neuen Beitrag zur Traumentstellung entdecken wir, indem wir auf eine Lücke in unserer Technik aufmerksam werden. Ich habe Ihnen schon zugestanden, daß den Analysierten zu einzelnen Elementen des Traumes mitunter wirklich nichts einfällt. Freilich geschieht dies nicht so oft, wie diese es behaupten; in sehr vielen Fällen läßt sich der Einfall doch noch durch Beharrlichkeit erzwingen. Aber es bleiben doch Fälle übrig, in denen die Assoziation versagt, oder, wenn erzwungen, nicht liefert, was wir von ihr erwarten. Geschieht dies während einer psychoanalytischen Behandlung, so kommt ihm eine besondere Bedeutung zu, mit welcher wir es hier nicht zu tun haben. Es ereignet sich aber auch bei der Traumdeutung mit normalen Personen oder bei der Deutung eigener Träume. Überzeugt man sich, daß in solchen Fällen alles Drängen nichts nützt, so macht man endlich die Entdeckung, daß der unerwünschte Zufall regelmäßig bei bestimmten Traumelementen eintrifft, und fängt an, eine neue Gesetzmäßigkeit dort zu erkennen, wo man zuerst nur ein ausnahmsweises Versagen der Technik zu erfahren glaubte.</w:t>
      </w:r>
    </w:p>
    <w:p w:rsidR="00062BE4" w:rsidRPr="002F7766" w:rsidRDefault="00062BE4" w:rsidP="00062BE4">
      <w:pPr>
        <w:rPr>
          <w:rFonts w:ascii="Garamond" w:hAnsi="Garamond" w:cs="Arial"/>
          <w:lang w:val="en-GB"/>
        </w:rPr>
      </w:pPr>
      <w:r w:rsidRPr="002F7766">
        <w:rPr>
          <w:rFonts w:ascii="Garamond" w:hAnsi="Garamond" w:cs="Arial"/>
          <w:lang w:val="en-GB"/>
        </w:rPr>
        <w:t>Man kommt auf solche Weise zur Versuchung, diese »stummen« Traumelemente selbst zu deuten, aus eigenen Mitteln eine Übersetzung derselben vorzunehmen. Es drängt sich einem auf, daß man jedesmal einen befriedigenden Sinn erhält, wenn man sich dieser Ersetzung getraut, während der Traum sinnlos bleibt und der Zusammenhang unterbrochen ist, solange man sich zu solchem Eingriff nicht entschließt. Die Häufung vieler durchaus ähnlicher Fälle übernimmt es dann, unserem zunächst schüchternen Versuch die geforderte Sicherheit zu geben. Ich stelle das alles ein bißchen schematisch dar, aber zu Unterrichtszwecken ist es doch gestattet, und es ist auch nicht verfälscht, sondern bloß vereinfacht.</w:t>
      </w:r>
    </w:p>
    <w:p w:rsidR="00062BE4" w:rsidRPr="002F7766" w:rsidRDefault="00062BE4" w:rsidP="00062BE4">
      <w:pPr>
        <w:rPr>
          <w:rFonts w:ascii="Garamond" w:hAnsi="Garamond" w:cs="Arial"/>
          <w:lang w:val="en-GB"/>
        </w:rPr>
      </w:pPr>
      <w:r w:rsidRPr="002F7766">
        <w:rPr>
          <w:rFonts w:ascii="Garamond" w:hAnsi="Garamond" w:cs="Arial"/>
          <w:lang w:val="en-GB"/>
        </w:rPr>
        <w:t>Auf diese Weise erhält man für eine Reihe von Traumelementen konstante Übersetzungen, also ganz ähnlich, wie man es in unseren populären Traumbüchern für alle geträumten Dinge findet. Sie vergessen doch nicht, daß bei unserer Assoziationstechnik niemals konstante Ersetzungen der Traumelemente zutage kommen.</w:t>
      </w:r>
    </w:p>
    <w:p w:rsidR="00062BE4" w:rsidRPr="002F7766" w:rsidRDefault="00062BE4" w:rsidP="00062BE4">
      <w:pPr>
        <w:rPr>
          <w:rFonts w:ascii="Garamond" w:hAnsi="Garamond" w:cs="Arial"/>
          <w:lang w:val="en-GB"/>
        </w:rPr>
      </w:pPr>
      <w:r w:rsidRPr="002F7766">
        <w:rPr>
          <w:rFonts w:ascii="Garamond" w:hAnsi="Garamond" w:cs="Arial"/>
          <w:lang w:val="en-GB"/>
        </w:rPr>
        <w:t>Sie werden nun sofort sagen, dieser Weg zur Deutung erscheine Ihnen noch weit unsicherer und angreifbarer als der frühere mittels der freien Einfälle. Aber es kommt doch noch etwas anderes hinzu. Wenn man nämlich durch die Erfahrung genug solcher konstanter Ersetzungen gesammelt hat, dann sagt man sich einmal, daß man diese Stücke der Traumdeutung tatsächlich aus eigener Kenntnis hätte bestreiten sollen, daß sie wirklich ohne die Einfälle des Träumers verständlich sein konnten. Woher man ihre Bedeutung kennen müßte, das wird sich in der zweiten Hälfte unserer Auseinandersetzung ergeben.</w:t>
      </w:r>
    </w:p>
    <w:p w:rsidR="00062BE4" w:rsidRPr="002F7766" w:rsidRDefault="00062BE4" w:rsidP="00062BE4">
      <w:pPr>
        <w:rPr>
          <w:rFonts w:ascii="Garamond" w:hAnsi="Garamond" w:cs="Arial"/>
        </w:rPr>
      </w:pPr>
      <w:r w:rsidRPr="002F7766">
        <w:rPr>
          <w:rFonts w:ascii="Garamond" w:hAnsi="Garamond" w:cs="Arial"/>
          <w:lang w:val="en-GB"/>
        </w:rPr>
        <w:t xml:space="preserve">Eine solche konstante Beziehung zwischen einem Traumelement und seiner Übersetzung heißen wir eine </w:t>
      </w:r>
      <w:r w:rsidRPr="002F7766">
        <w:rPr>
          <w:rFonts w:ascii="Garamond" w:hAnsi="Garamond" w:cs="Arial"/>
          <w:i/>
          <w:iCs/>
          <w:lang w:val="en-GB"/>
        </w:rPr>
        <w:t>symbolische</w:t>
      </w:r>
      <w:r w:rsidRPr="002F7766">
        <w:rPr>
          <w:rFonts w:ascii="Garamond" w:hAnsi="Garamond" w:cs="Arial"/>
          <w:lang w:val="en-GB"/>
        </w:rPr>
        <w:t xml:space="preserve">, das Traumelement selbst ein </w:t>
      </w:r>
      <w:r w:rsidRPr="002F7766">
        <w:rPr>
          <w:rFonts w:ascii="Garamond" w:hAnsi="Garamond" w:cs="Arial"/>
          <w:i/>
          <w:iCs/>
          <w:lang w:val="en-GB"/>
        </w:rPr>
        <w:t>Symbol</w:t>
      </w:r>
      <w:r w:rsidRPr="002F7766">
        <w:rPr>
          <w:rFonts w:ascii="Garamond" w:hAnsi="Garamond" w:cs="Arial"/>
          <w:lang w:val="en-GB"/>
        </w:rPr>
        <w:t xml:space="preserve"> des unbewußten Traumgedankens. Sie erinnern sich, daß ich früher, bei der Untersuchung der Beziehungen zwischen Traumelementen und ihren Eigentlichen drei solcher Beziehungen unterschieden habe, die des Teils vom Ganzen, die der Anspielung und die der Verbildlichung. </w:t>
      </w:r>
      <w:r w:rsidRPr="002F7766">
        <w:rPr>
          <w:rFonts w:ascii="Garamond" w:hAnsi="Garamond" w:cs="Arial"/>
        </w:rPr>
        <w:t xml:space="preserve">Eine vierte habe ich Ihnen damals angekündigt, aber nicht genannt. Diese vierte ist nun die hier eingeführte symbolische. An sie knüpfen sich sehr interessante Diskussionen, denen wir uns </w:t>
      </w:r>
      <w:r w:rsidRPr="002F7766">
        <w:rPr>
          <w:rFonts w:ascii="Garamond" w:hAnsi="Garamond" w:cs="Arial"/>
        </w:rPr>
        <w:lastRenderedPageBreak/>
        <w:t>zuwenden wollen, ehe wir unsere speziellen Beobachtungen über Symbolik darlegen. Die Symbolik ist vielleicht das merkwürdigste Kapitel der Traumlehre.</w:t>
      </w:r>
    </w:p>
    <w:p w:rsidR="00062BE4" w:rsidRPr="002F7766" w:rsidRDefault="00062BE4" w:rsidP="00062BE4">
      <w:pPr>
        <w:rPr>
          <w:rFonts w:ascii="Garamond" w:hAnsi="Garamond" w:cs="Arial"/>
          <w:lang w:val="en-GB"/>
        </w:rPr>
      </w:pPr>
      <w:r w:rsidRPr="002F7766">
        <w:rPr>
          <w:rFonts w:ascii="Garamond" w:hAnsi="Garamond" w:cs="Arial"/>
        </w:rPr>
        <w:t xml:space="preserve">Vor allem: Indem die Symbole feststehende Übersetzungen sind, realisieren sie im gewissen Ausmaße das Ideal der antiken wie der populären Traumdeutung, von dem wir uns durch unsere Technik weit entfernt hatten. Sie gestatten uns unter Umständen, einen Traum zu deuten, ohne den Träumer zu befragen, der ja zum Symbol ohnedies nichts zu sagen weiß. Kennt man die gebräuchlichen Traumsymbole und dazu die Person des Träumers, die Verhältnisse, unter denen er lebt, und die Eindrücke, nach welchen der Traum vorgefallen ist, so ist man oft in der Lage, einen Traum ohne weiteres zu deuten, ihn gleichsam vom Blatt weg zu übersetzen. Ein solches Kunststück schmeichelt dem Traumdeuter und imponiert dem Träumer; es sticht wohltuend von der mühseligen Arbeit beim Ausfragen des Träumers ab. </w:t>
      </w:r>
      <w:r w:rsidRPr="002F7766">
        <w:rPr>
          <w:rFonts w:ascii="Garamond" w:hAnsi="Garamond" w:cs="Arial"/>
          <w:lang w:val="en-GB"/>
        </w:rPr>
        <w:t>Lassen Sie sich aber hierdurch nicht verführen. Es ist nicht unsere Aufgabe, Kunststücke zu machen. Die auf Symbolkenntnis beruhende Deutung ist keine Technik, welche die assoziative ersetzen oder sich mit ihr messen kann. Sie ist eine Ergänzung zu ihr und liefert nur in sie eingefügt brauchbare Resultate. Was aber die Kenntnis der psychischen Situation des Träumers betrifft, so wollen Sie erwägen, daß Sie nicht nur Träume von gut Bekannten zur Deutung bekommen, daß Sie in der Regel die Tagesereignisse, welche die Traumerreger sind, nicht kennen, und daß die Einfälle des Analysierten Ihnen gerade die Kenntnis dessen, was man die psychische Situation heißt, zutragen.</w:t>
      </w:r>
    </w:p>
    <w:p w:rsidR="00062BE4" w:rsidRPr="002F7766" w:rsidRDefault="00062BE4" w:rsidP="00062BE4">
      <w:pPr>
        <w:rPr>
          <w:rFonts w:ascii="Garamond" w:hAnsi="Garamond" w:cs="Arial"/>
          <w:lang w:val="en-GB"/>
        </w:rPr>
      </w:pPr>
      <w:r w:rsidRPr="002F7766">
        <w:rPr>
          <w:rFonts w:ascii="Garamond" w:hAnsi="Garamond" w:cs="Arial"/>
          <w:lang w:val="en-GB"/>
        </w:rPr>
        <w:t>Es ist ferner ganz besonders merkwürdig, auch mit Rücksicht auf später zu erwähnende Zusammenhänge, daß gegen die Existenz der Symbolbeziehung zwischen Traum und Unbewußtem wiederum die heftigsten Widerstände laut geworden sind. Selbst Personen von Urteil und Ansehen, die sonst ein weites Stück Weges mit der Psychoanalyse gegangen sind, haben hier die Gefolgschaft versagt. Um so merkwürdiger aber ist dies Verhalten, als erstens die Symbolik nicht allein dem Traum eigentümlich oder für ihn charakteristisch ist, und zweitens die Symbolik im Traume gar nicht von der Psychoanalyse entdeckt wurde, wiewohl diese sonst nicht arm an überraschenden Entdeckungen ist. Als Entdecker der Traumsymbolik ist, wenn man ihr überhaupt einen Anfang in modernen Zeiten zuschreiben will, der Philosoph K. A. Scherner (1861) zu nennen. Die Psychoanalyse hat die Funde Scherners bestätigt und in allerdings einschneidender Weise modifiziert.</w:t>
      </w:r>
    </w:p>
    <w:p w:rsidR="00062BE4" w:rsidRPr="002F7766" w:rsidRDefault="00062BE4" w:rsidP="00062BE4">
      <w:pPr>
        <w:rPr>
          <w:rFonts w:ascii="Garamond" w:hAnsi="Garamond" w:cs="Arial"/>
          <w:lang w:val="en-GB"/>
        </w:rPr>
      </w:pPr>
      <w:r w:rsidRPr="002F7766">
        <w:rPr>
          <w:rFonts w:ascii="Garamond" w:hAnsi="Garamond" w:cs="Arial"/>
          <w:lang w:val="en-GB"/>
        </w:rPr>
        <w:t>Nun werden Sie etwas vom Wesen der Traumsymbolik und Beispiele für sie hören wollen. Ich will Ihnen gerne mitteilen, was ich weiß, aber ich gestehe Ihnen, daß unser Verständnis nicht so weit reicht, wie wir gerne möchten.</w:t>
      </w:r>
    </w:p>
    <w:p w:rsidR="00062BE4" w:rsidRPr="002F7766" w:rsidRDefault="00062BE4" w:rsidP="00062BE4">
      <w:pPr>
        <w:rPr>
          <w:rFonts w:ascii="Garamond" w:hAnsi="Garamond" w:cs="Arial"/>
          <w:lang w:val="en-GB"/>
        </w:rPr>
      </w:pPr>
      <w:r w:rsidRPr="002F7766">
        <w:rPr>
          <w:rFonts w:ascii="Garamond" w:hAnsi="Garamond" w:cs="Arial"/>
          <w:lang w:val="en-GB"/>
        </w:rPr>
        <w:t xml:space="preserve">Das Wesen der Symbolbeziehung ist ein Vergleich, aber nicht ein beliebiger. Man ahnt für diesen Vergleich eine besondere Bedingtheit, kann aber nicht sagen, worin diese besteht. Nicht alles, womit wir einen Gegenstand oder einen Vorgang vergleichen können, tritt auch im Traum als Symbol dafür auf. Anderseits symbolisiert der Traum auch nicht alles Beliebige, sondern nur bestimmte Elemente der latenten Traumgedanken. Es gibt also hier Beschränkungen nach beiden Seiten hin. Man muß auch zugeben, daß der Begriff des Symbols derzeit nicht scharf abzugrenzen ist, er verschwimmt gegen die Ersetzung, Darstellung und dgl., nähert sich selbst der Anspielung. Bei einer Reihe von Symbolen ist der zugrundeliegende Vergleich sinnfällig. Daneben gibt es andere Symbole, bei denen wir uns die Frage stellen müssen, wo denn das Gemeinsame, das </w:t>
      </w:r>
      <w:r w:rsidRPr="002F7766">
        <w:rPr>
          <w:rFonts w:ascii="Garamond" w:hAnsi="Garamond" w:cs="Arial"/>
          <w:i/>
          <w:iCs/>
          <w:lang w:val="en-GB"/>
        </w:rPr>
        <w:t>Tertium comparationis</w:t>
      </w:r>
      <w:r w:rsidRPr="002F7766">
        <w:rPr>
          <w:rFonts w:ascii="Garamond" w:hAnsi="Garamond" w:cs="Arial"/>
          <w:lang w:val="en-GB"/>
        </w:rPr>
        <w:t xml:space="preserve"> dieses vermutlichen Vergleichs zu suchen sei. Dann mögen wir es bei näherer Überlegung auffinden, oder es kann uns wirklich verborgen bleiben. Es ist ferner sonderbar, wenn das Symbol eine Vergleichung ist, daß dieser Vergleich sich nicht durch die Assoziation bloßlegen läßt, auch daß der Träumer den Vergleich nicht kennt, sich seiner bedient, ohne um ihn zu wissen. Ja noch mehr, daß der Träumer nicht einmal Lust hat, diesen Vergleich anzuerkennen, nachdem er ihm vorgeführt worden ist. Sie sehen also, eine Symbolbeziehung ist eine Vergleichung von ganz besonderer Art, deren Begründung von uns noch nicht klar erfaßt wird. Vielleicht lassen sich später Hinweise auf dieses Unbekannte finden.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Der Umfang der Dinge, die im Traume symbolische Darstellung finden, ist nicht groß. Der menschliche Leib als Ganzes, die Eltern, Kinder, Geschwister, Geburt, Tod, Nacktheit – und dann noch eines. Die einzig typische, d. h. regelmäßige Darstellung der menschlichen Person als Ganzes ist die als </w:t>
      </w:r>
      <w:r w:rsidRPr="002F7766">
        <w:rPr>
          <w:rFonts w:ascii="Garamond" w:hAnsi="Garamond" w:cs="Arial"/>
          <w:i/>
          <w:iCs/>
          <w:lang w:val="en-GB"/>
        </w:rPr>
        <w:t>Haus</w:t>
      </w:r>
      <w:r w:rsidRPr="002F7766">
        <w:rPr>
          <w:rFonts w:ascii="Garamond" w:hAnsi="Garamond" w:cs="Arial"/>
          <w:lang w:val="en-GB"/>
        </w:rPr>
        <w:t xml:space="preserve">, wie Scherner erkannt hat, der diesem Symbol sogar eine überragende Bedeutung, die ihm nicht zukommt, zuteilen wollte. Es kommt im Traume vor, daß man, bald lustvoll, bald ängstlich von Häuserfassaden herabklettert. Die mit ganz glatten Mauern sind Männer; die aber mit Vorsprüngen und Balkonen versehen sind, an welchen man sich anhalten kann, das sind Frauen. Die Eltern erscheinen im Traum als </w:t>
      </w:r>
      <w:r w:rsidRPr="002F7766">
        <w:rPr>
          <w:rFonts w:ascii="Garamond" w:hAnsi="Garamond" w:cs="Arial"/>
          <w:i/>
          <w:iCs/>
          <w:lang w:val="en-GB"/>
        </w:rPr>
        <w:t>Kaiser</w:t>
      </w:r>
      <w:r w:rsidRPr="002F7766">
        <w:rPr>
          <w:rFonts w:ascii="Garamond" w:hAnsi="Garamond" w:cs="Arial"/>
          <w:lang w:val="en-GB"/>
        </w:rPr>
        <w:t xml:space="preserve"> und </w:t>
      </w:r>
      <w:r w:rsidRPr="002F7766">
        <w:rPr>
          <w:rFonts w:ascii="Garamond" w:hAnsi="Garamond" w:cs="Arial"/>
          <w:i/>
          <w:iCs/>
          <w:lang w:val="en-GB"/>
        </w:rPr>
        <w:t>Kaiserin</w:t>
      </w:r>
      <w:r w:rsidRPr="002F7766">
        <w:rPr>
          <w:rFonts w:ascii="Garamond" w:hAnsi="Garamond" w:cs="Arial"/>
          <w:lang w:val="en-GB"/>
        </w:rPr>
        <w:t xml:space="preserve">, König und Königin oder als andere Respektspersonen; der Traum ist also hier sehr pietätsvoll. Minder zärtlich verfährt er gegen Kinder und Geschwister; diese werden als </w:t>
      </w:r>
      <w:r w:rsidRPr="002F7766">
        <w:rPr>
          <w:rFonts w:ascii="Garamond" w:hAnsi="Garamond" w:cs="Arial"/>
          <w:i/>
          <w:iCs/>
          <w:lang w:val="en-GB"/>
        </w:rPr>
        <w:t>kleine Tiere, Ungeziefer</w:t>
      </w:r>
      <w:r w:rsidRPr="002F7766">
        <w:rPr>
          <w:rFonts w:ascii="Garamond" w:hAnsi="Garamond" w:cs="Arial"/>
          <w:lang w:val="en-GB"/>
        </w:rPr>
        <w:t xml:space="preserve"> symbolisiert. Die Geburt findet fast regelmäßig eine Darstellung durch eine Beziehung zum </w:t>
      </w:r>
      <w:r w:rsidRPr="002F7766">
        <w:rPr>
          <w:rFonts w:ascii="Garamond" w:hAnsi="Garamond" w:cs="Arial"/>
          <w:i/>
          <w:iCs/>
          <w:lang w:val="en-GB"/>
        </w:rPr>
        <w:t>Wasser</w:t>
      </w:r>
      <w:r w:rsidRPr="002F7766">
        <w:rPr>
          <w:rFonts w:ascii="Garamond" w:hAnsi="Garamond" w:cs="Arial"/>
          <w:lang w:val="en-GB"/>
        </w:rPr>
        <w:t xml:space="preserve">; entweder man stürzt ins Wasser oder man steigt aus ihm heraus, man rettet eine Person aus dem Wasser oder wird von ihr gerettet, d. h. man hat eine mütterliche Beziehung zu ihr. Das Sterben wird im Traum durch </w:t>
      </w:r>
      <w:r w:rsidRPr="002F7766">
        <w:rPr>
          <w:rFonts w:ascii="Garamond" w:hAnsi="Garamond" w:cs="Arial"/>
          <w:i/>
          <w:iCs/>
          <w:lang w:val="en-GB"/>
        </w:rPr>
        <w:t>Abreisen, mit der Eisenbahn Fahren</w:t>
      </w:r>
      <w:r w:rsidRPr="002F7766">
        <w:rPr>
          <w:rFonts w:ascii="Garamond" w:hAnsi="Garamond" w:cs="Arial"/>
          <w:lang w:val="en-GB"/>
        </w:rPr>
        <w:t xml:space="preserve"> ersetzt, das Totsein durch verschiedene dunkle, wie zaghafte Andeutungen, die Nacktheit durch </w:t>
      </w:r>
      <w:r w:rsidRPr="002F7766">
        <w:rPr>
          <w:rFonts w:ascii="Garamond" w:hAnsi="Garamond" w:cs="Arial"/>
          <w:i/>
          <w:iCs/>
          <w:lang w:val="en-GB"/>
        </w:rPr>
        <w:t>Kleider</w:t>
      </w:r>
      <w:r w:rsidRPr="002F7766">
        <w:rPr>
          <w:rFonts w:ascii="Garamond" w:hAnsi="Garamond" w:cs="Arial"/>
          <w:lang w:val="en-GB"/>
        </w:rPr>
        <w:t xml:space="preserve"> und </w:t>
      </w:r>
      <w:r w:rsidRPr="002F7766">
        <w:rPr>
          <w:rFonts w:ascii="Garamond" w:hAnsi="Garamond" w:cs="Arial"/>
          <w:i/>
          <w:iCs/>
          <w:lang w:val="en-GB"/>
        </w:rPr>
        <w:t>Uniformen</w:t>
      </w:r>
      <w:r w:rsidRPr="002F7766">
        <w:rPr>
          <w:rFonts w:ascii="Garamond" w:hAnsi="Garamond" w:cs="Arial"/>
          <w:lang w:val="en-GB"/>
        </w:rPr>
        <w:t>. Sie sehen, wie hier die Grenzen zwischen symbolischer und anspielungsartiger Darstellung verschwimmen.</w:t>
      </w:r>
    </w:p>
    <w:p w:rsidR="00062BE4" w:rsidRPr="002F7766" w:rsidRDefault="00062BE4" w:rsidP="00062BE4">
      <w:pPr>
        <w:rPr>
          <w:rFonts w:ascii="Garamond" w:hAnsi="Garamond" w:cs="Arial"/>
          <w:lang w:val="en-GB"/>
        </w:rPr>
      </w:pPr>
      <w:r w:rsidRPr="002F7766">
        <w:rPr>
          <w:rFonts w:ascii="Garamond" w:hAnsi="Garamond" w:cs="Arial"/>
          <w:lang w:val="en-GB"/>
        </w:rPr>
        <w:t xml:space="preserve">Im Vergleich zur Armseligkeit dieser Aufzählung muß es auffallen, daß Objekte und Inhalte eines anderen Kreises durch eine außerordentlich reichhaltige Symbolik dargestellt werden. </w:t>
      </w:r>
      <w:r w:rsidRPr="002F7766">
        <w:rPr>
          <w:rFonts w:ascii="Garamond" w:hAnsi="Garamond" w:cs="Arial"/>
        </w:rPr>
        <w:t xml:space="preserve">Es ist dies der Kreis des Sexuallebens, der Genitalien, der Geschlechtsvorgänge, des Geschlechtsverkehrs. Die übergroße Mehrzahl der Symbole im Traum sind Sexualsymbole. Es stellt sich dabei ein merkwürdiges Mißverhältnis heraus. Der bezeichneten Inhalte sind nur wenige, der Symbole für sie ungemein viele, so daß jedes dieser Dinge durch zahlreiche, nahezu gleichwertige Symbole ausgedrückt werden kann. </w:t>
      </w:r>
      <w:r w:rsidRPr="002F7766">
        <w:rPr>
          <w:rFonts w:ascii="Garamond" w:hAnsi="Garamond" w:cs="Arial"/>
          <w:lang w:val="en-GB"/>
        </w:rPr>
        <w:t>Bei der Deutung ergibt sich dann etwas, was allgemein Anstoß erregt. Die Symboldeutungen sind im Gegensatze zur Mannigfaltigkeit der Traumdarstellungen sehr monoton. Das mißfällt jedem, der davon erfährt; aber was ist dagegen zu tun?</w:t>
      </w:r>
    </w:p>
    <w:p w:rsidR="00062BE4" w:rsidRPr="002F7766" w:rsidRDefault="00062BE4" w:rsidP="00062BE4">
      <w:pPr>
        <w:rPr>
          <w:rFonts w:ascii="Garamond" w:hAnsi="Garamond" w:cs="Arial"/>
          <w:lang w:val="en-GB"/>
        </w:rPr>
      </w:pPr>
      <w:r w:rsidRPr="002F7766">
        <w:rPr>
          <w:rFonts w:ascii="Garamond" w:hAnsi="Garamond" w:cs="Arial"/>
          <w:lang w:val="en-GB"/>
        </w:rPr>
        <w:t xml:space="preserve">Da es das erstemal ist, daß in dieser Vorlesung von Inhalten des Sexuallebens gesprochen wird, bin ich Ihnen Rechenschaft über die Art schuldig, wie ich dieses Thema zu behandeln gedenke. Die Psychoanalyse findet keinen Anlaß zu Verhüllungen und Andeutungen, hält es nicht für nötig, sich der Beschäftigung mit diesem wichtigen Stoff zu schämen, meint, es sei korrekt und anständig, alles bei seinem richtigen Namen zu nennen, und hofft, auf solche Weise störende Nebengedanken am ehesten fernezuhalten. Daran kann der Umstand, daß man vor einem aus beiden Geschlechtern gemischten Zuhörerkreis spricht, nichts ändern. So wie es keine Wissenschaft </w:t>
      </w:r>
      <w:r w:rsidRPr="002F7766">
        <w:rPr>
          <w:rFonts w:ascii="Garamond" w:hAnsi="Garamond" w:cs="Arial"/>
          <w:i/>
          <w:iCs/>
          <w:lang w:val="en-GB"/>
        </w:rPr>
        <w:t>in usum delphini</w:t>
      </w:r>
      <w:r w:rsidRPr="002F7766">
        <w:rPr>
          <w:rFonts w:ascii="Garamond" w:hAnsi="Garamond" w:cs="Arial"/>
          <w:lang w:val="en-GB"/>
        </w:rPr>
        <w:t xml:space="preserve"> gibt, so auch keine für Backfischchen, und die Damen unter Ihnen haben durch ihr Erscheinen in diesem Hörsaal zu verstehen gegeben, daß sie den Männern gleichgestellt werden wollen.</w:t>
      </w:r>
    </w:p>
    <w:p w:rsidR="00062BE4" w:rsidRPr="002F7766" w:rsidRDefault="00062BE4" w:rsidP="00062BE4">
      <w:pPr>
        <w:rPr>
          <w:rFonts w:ascii="Garamond" w:hAnsi="Garamond" w:cs="Arial"/>
          <w:lang w:val="en-GB"/>
        </w:rPr>
      </w:pPr>
      <w:r w:rsidRPr="002F7766">
        <w:rPr>
          <w:rFonts w:ascii="Garamond" w:hAnsi="Garamond" w:cs="Arial"/>
          <w:lang w:val="en-GB"/>
        </w:rPr>
        <w:t xml:space="preserve">Für das männliche Genitale also hat der Traum eine Anzahl von symbolisch zu nennenden Darstellungen, bei denen das gemeinsame der Vergleichung meist sehr einleuchtend ist. Vor allem ist für das männliche Genitale im ganzen die heilige Zahl 3 symbolisch bedeutsam. Der auffälligere und beiden Geschlechtern interessante Bestandteil des Genitales, das männliche Glied, findet symbolischen Ersatz erstens durch Dinge, die ihm in der Form ähnlich, also lang und hochragend sind, wie: </w:t>
      </w:r>
      <w:r w:rsidRPr="002F7766">
        <w:rPr>
          <w:rFonts w:ascii="Garamond" w:hAnsi="Garamond" w:cs="Arial"/>
          <w:i/>
          <w:iCs/>
          <w:lang w:val="en-GB"/>
        </w:rPr>
        <w:t>Stöcke, Schirme, Stangen, Bäume</w:t>
      </w:r>
      <w:r w:rsidRPr="002F7766">
        <w:rPr>
          <w:rFonts w:ascii="Garamond" w:hAnsi="Garamond" w:cs="Arial"/>
          <w:lang w:val="en-GB"/>
        </w:rPr>
        <w:t xml:space="preserve"> und dgl. Ferner durch Gegenstände, die die Eigenschaft des In-den-Körper-Eindringens und Verletzens mit dem Bezeichneten gemein haben, also spitzige </w:t>
      </w:r>
      <w:r w:rsidRPr="002F7766">
        <w:rPr>
          <w:rFonts w:ascii="Garamond" w:hAnsi="Garamond" w:cs="Arial"/>
          <w:i/>
          <w:iCs/>
          <w:lang w:val="en-GB"/>
        </w:rPr>
        <w:t>Waffen</w:t>
      </w:r>
      <w:r w:rsidRPr="002F7766">
        <w:rPr>
          <w:rFonts w:ascii="Garamond" w:hAnsi="Garamond" w:cs="Arial"/>
          <w:lang w:val="en-GB"/>
        </w:rPr>
        <w:t xml:space="preserve"> jeder Art, </w:t>
      </w:r>
      <w:r w:rsidRPr="002F7766">
        <w:rPr>
          <w:rFonts w:ascii="Garamond" w:hAnsi="Garamond" w:cs="Arial"/>
          <w:i/>
          <w:iCs/>
          <w:lang w:val="en-GB"/>
        </w:rPr>
        <w:t>Messer, Dolche, Lanzen, Säbel</w:t>
      </w:r>
      <w:r w:rsidRPr="002F7766">
        <w:rPr>
          <w:rFonts w:ascii="Garamond" w:hAnsi="Garamond" w:cs="Arial"/>
          <w:lang w:val="en-GB"/>
        </w:rPr>
        <w:t xml:space="preserve">, aber ebenso durch Schießwaffen: </w:t>
      </w:r>
      <w:r w:rsidRPr="002F7766">
        <w:rPr>
          <w:rFonts w:ascii="Garamond" w:hAnsi="Garamond" w:cs="Arial"/>
          <w:i/>
          <w:iCs/>
          <w:lang w:val="en-GB"/>
        </w:rPr>
        <w:t>Gewehre, Pistolen</w:t>
      </w:r>
      <w:r w:rsidRPr="002F7766">
        <w:rPr>
          <w:rFonts w:ascii="Garamond" w:hAnsi="Garamond" w:cs="Arial"/>
          <w:lang w:val="en-GB"/>
        </w:rPr>
        <w:t xml:space="preserve"> und den durch seine Form so sehr dazu tauglichen </w:t>
      </w:r>
      <w:r w:rsidRPr="002F7766">
        <w:rPr>
          <w:rFonts w:ascii="Garamond" w:hAnsi="Garamond" w:cs="Arial"/>
          <w:i/>
          <w:iCs/>
          <w:lang w:val="en-GB"/>
        </w:rPr>
        <w:t>Revolver</w:t>
      </w:r>
      <w:r w:rsidRPr="002F7766">
        <w:rPr>
          <w:rFonts w:ascii="Garamond" w:hAnsi="Garamond" w:cs="Arial"/>
          <w:lang w:val="en-GB"/>
        </w:rPr>
        <w:t xml:space="preserve">. In den ängstlichen Träumen der Mädchen spielt die Verfolgung durch einen Mann mit einem Messer oder einer Schußwaffe eine große Rolle. Es ist dies der vielleicht häufigste Fall der Traumsymbolik, den Sie sich nun leicht übersetzen können. Ohne weiteres verständlich ist auch der Ersatz des männlichen Gliedes durch Gegenstände, aus denen Wasser fließt: </w:t>
      </w:r>
      <w:r w:rsidRPr="002F7766">
        <w:rPr>
          <w:rFonts w:ascii="Garamond" w:hAnsi="Garamond" w:cs="Arial"/>
          <w:i/>
          <w:iCs/>
          <w:lang w:val="en-GB"/>
        </w:rPr>
        <w:t>Wasserhähne, Gießkannen, Springbrunnen</w:t>
      </w:r>
      <w:r w:rsidRPr="002F7766">
        <w:rPr>
          <w:rFonts w:ascii="Garamond" w:hAnsi="Garamond" w:cs="Arial"/>
          <w:lang w:val="en-GB"/>
        </w:rPr>
        <w:t xml:space="preserve">, und durch andere Objekte, die einer Verlängerung fähig sind, wie </w:t>
      </w:r>
      <w:r w:rsidRPr="002F7766">
        <w:rPr>
          <w:rFonts w:ascii="Garamond" w:hAnsi="Garamond" w:cs="Arial"/>
          <w:i/>
          <w:iCs/>
          <w:lang w:val="en-GB"/>
        </w:rPr>
        <w:t>Hängelampen, vorschiebbare Bleistifte</w:t>
      </w:r>
      <w:r w:rsidRPr="002F7766">
        <w:rPr>
          <w:rFonts w:ascii="Garamond" w:hAnsi="Garamond" w:cs="Arial"/>
          <w:lang w:val="en-GB"/>
        </w:rPr>
        <w:t xml:space="preserve"> usw. Daß </w:t>
      </w:r>
      <w:r w:rsidRPr="002F7766">
        <w:rPr>
          <w:rFonts w:ascii="Garamond" w:hAnsi="Garamond" w:cs="Arial"/>
          <w:i/>
          <w:iCs/>
          <w:lang w:val="en-GB"/>
        </w:rPr>
        <w:t xml:space="preserve">Bleistifte, Federstiele, </w:t>
      </w:r>
      <w:r w:rsidRPr="002F7766">
        <w:rPr>
          <w:rFonts w:ascii="Garamond" w:hAnsi="Garamond" w:cs="Arial"/>
          <w:i/>
          <w:iCs/>
          <w:lang w:val="en-GB"/>
        </w:rPr>
        <w:lastRenderedPageBreak/>
        <w:t>Nagelfeilen, Hämmer</w:t>
      </w:r>
      <w:r w:rsidRPr="002F7766">
        <w:rPr>
          <w:rFonts w:ascii="Garamond" w:hAnsi="Garamond" w:cs="Arial"/>
          <w:lang w:val="en-GB"/>
        </w:rPr>
        <w:t xml:space="preserve"> und andere </w:t>
      </w:r>
      <w:r w:rsidRPr="002F7766">
        <w:rPr>
          <w:rFonts w:ascii="Garamond" w:hAnsi="Garamond" w:cs="Arial"/>
          <w:i/>
          <w:iCs/>
          <w:lang w:val="en-GB"/>
        </w:rPr>
        <w:t>Instrumente</w:t>
      </w:r>
      <w:r w:rsidRPr="002F7766">
        <w:rPr>
          <w:rFonts w:ascii="Garamond" w:hAnsi="Garamond" w:cs="Arial"/>
          <w:lang w:val="en-GB"/>
        </w:rPr>
        <w:t xml:space="preserve"> unzweifelhafte männliche Sexualsymbole sind, hängt mit einer gleichfalls nicht ferneliegenden Auffassung des Organs zusammen.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merkwürdige Eigenschaft des Gliedes, sich gegen die Schwerkraft aufrichten zu können, eine Teilerscheinung der Erektion, führt zur Symboldarstellung durch </w:t>
      </w:r>
      <w:r w:rsidRPr="002F7766">
        <w:rPr>
          <w:rFonts w:ascii="Garamond" w:hAnsi="Garamond" w:cs="Arial"/>
          <w:i/>
          <w:iCs/>
          <w:lang w:val="en-GB"/>
        </w:rPr>
        <w:t>Luftballone, Flugmaschinen</w:t>
      </w:r>
      <w:r w:rsidRPr="002F7766">
        <w:rPr>
          <w:rFonts w:ascii="Garamond" w:hAnsi="Garamond" w:cs="Arial"/>
          <w:lang w:val="en-GB"/>
        </w:rPr>
        <w:t xml:space="preserve"> und neuesten Datums durch das </w:t>
      </w:r>
      <w:r w:rsidRPr="002F7766">
        <w:rPr>
          <w:rFonts w:ascii="Garamond" w:hAnsi="Garamond" w:cs="Arial"/>
          <w:i/>
          <w:iCs/>
          <w:lang w:val="en-GB"/>
        </w:rPr>
        <w:t>Zeppelinsche Luftschiff</w:t>
      </w:r>
      <w:r w:rsidRPr="002F7766">
        <w:rPr>
          <w:rFonts w:ascii="Garamond" w:hAnsi="Garamond" w:cs="Arial"/>
          <w:lang w:val="en-GB"/>
        </w:rPr>
        <w:t xml:space="preserve">. Der Traum kennt aber noch eine andere, weit ausdrucksvollere Art, die Erektion zu symbolisieren. Er macht das Geschlechtsglied zum Wesentlichen der ganzen Person und läßt diese selbst </w:t>
      </w:r>
      <w:r w:rsidRPr="002F7766">
        <w:rPr>
          <w:rFonts w:ascii="Garamond" w:hAnsi="Garamond" w:cs="Arial"/>
          <w:i/>
          <w:iCs/>
          <w:lang w:val="en-GB"/>
        </w:rPr>
        <w:t>fliegen</w:t>
      </w:r>
      <w:r w:rsidRPr="002F7766">
        <w:rPr>
          <w:rFonts w:ascii="Garamond" w:hAnsi="Garamond" w:cs="Arial"/>
          <w:lang w:val="en-GB"/>
        </w:rPr>
        <w:t>. Lassen Sie sich's nicht nahegehen, daß die oft so schönen Flugträume, die wir alle kennen, als Träume von allgemeiner sexueller Erregung, als Erektionsträume gedeutet werden müssen. Unter den psychoanalytischen Forschern hat P. Federn diese Deutung gegen jeden Zweifel sichergestellt, aber auch der für seine Nüchternheit vielbelobte Mourly Vold, der jene Traumexperimente mit künstlichen Stellungen der Arme und Beine durchgeführt hat und der der Psychoanalyse wirklich fernestand, vielleicht nichts von ihr wußte, ist durch seine Untersuchungen zu demselben Schluß gekommen. Machen Sie auch keinen Einwand daraus, daß Frauen dieselben Flugträume haben können. Erinnern Sie sich vielmehr daran, daß unsere Träume Wunscherfüllungen sein wollen und daß der Wunsch, ein Mann zu sein, sich bei der Frau so häufig, bewußt oder unbewußt, findet. Auch daß es der Frau möglich ist, diesen Wunsch durch dieselben Sensationen wie der Mann zu realisieren, wird keinen der Anatomie Kundigen irremachen können. Das Weib besitzt in seinen Genitalien eben auch ein kleines Glied in der Ähnlichkeit des männlichen, und dieses kleine Glied, die Clitoris, spielt sogar im Kindesalter und im Alter vor dem Geschlechtsverkehr die nämliche Rolle wie das große Glied des Mannes.</w:t>
      </w:r>
    </w:p>
    <w:p w:rsidR="00062BE4" w:rsidRPr="002F7766" w:rsidRDefault="00062BE4" w:rsidP="00062BE4">
      <w:pPr>
        <w:rPr>
          <w:rFonts w:ascii="Garamond" w:hAnsi="Garamond" w:cs="Arial"/>
          <w:lang w:val="en-GB"/>
        </w:rPr>
      </w:pPr>
      <w:r w:rsidRPr="002F7766">
        <w:rPr>
          <w:rFonts w:ascii="Garamond" w:hAnsi="Garamond" w:cs="Arial"/>
          <w:lang w:val="en-GB"/>
        </w:rPr>
        <w:t xml:space="preserve">Zu den weniger gut verständlichen männlichen Sexualsymbolen gehören gewisse </w:t>
      </w:r>
      <w:r w:rsidRPr="002F7766">
        <w:rPr>
          <w:rFonts w:ascii="Garamond" w:hAnsi="Garamond" w:cs="Arial"/>
          <w:i/>
          <w:iCs/>
          <w:lang w:val="en-GB"/>
        </w:rPr>
        <w:t>Reptilien</w:t>
      </w:r>
      <w:r w:rsidRPr="002F7766">
        <w:rPr>
          <w:rFonts w:ascii="Garamond" w:hAnsi="Garamond" w:cs="Arial"/>
          <w:lang w:val="en-GB"/>
        </w:rPr>
        <w:t xml:space="preserve"> und </w:t>
      </w:r>
      <w:r w:rsidRPr="002F7766">
        <w:rPr>
          <w:rFonts w:ascii="Garamond" w:hAnsi="Garamond" w:cs="Arial"/>
          <w:i/>
          <w:iCs/>
          <w:lang w:val="en-GB"/>
        </w:rPr>
        <w:t>Fische</w:t>
      </w:r>
      <w:r w:rsidRPr="002F7766">
        <w:rPr>
          <w:rFonts w:ascii="Garamond" w:hAnsi="Garamond" w:cs="Arial"/>
          <w:lang w:val="en-GB"/>
        </w:rPr>
        <w:t xml:space="preserve">, vor allem das berühmte Symbol der </w:t>
      </w:r>
      <w:r w:rsidRPr="002F7766">
        <w:rPr>
          <w:rFonts w:ascii="Garamond" w:hAnsi="Garamond" w:cs="Arial"/>
          <w:i/>
          <w:iCs/>
          <w:lang w:val="en-GB"/>
        </w:rPr>
        <w:t>Schlange</w:t>
      </w:r>
      <w:r w:rsidRPr="002F7766">
        <w:rPr>
          <w:rFonts w:ascii="Garamond" w:hAnsi="Garamond" w:cs="Arial"/>
          <w:lang w:val="en-GB"/>
        </w:rPr>
        <w:t xml:space="preserve">. Warum </w:t>
      </w:r>
      <w:r w:rsidRPr="002F7766">
        <w:rPr>
          <w:rFonts w:ascii="Garamond" w:hAnsi="Garamond" w:cs="Arial"/>
          <w:i/>
          <w:iCs/>
          <w:lang w:val="en-GB"/>
        </w:rPr>
        <w:t>Hut</w:t>
      </w:r>
      <w:r w:rsidRPr="002F7766">
        <w:rPr>
          <w:rFonts w:ascii="Garamond" w:hAnsi="Garamond" w:cs="Arial"/>
          <w:lang w:val="en-GB"/>
        </w:rPr>
        <w:t xml:space="preserve"> und </w:t>
      </w:r>
      <w:r w:rsidRPr="002F7766">
        <w:rPr>
          <w:rFonts w:ascii="Garamond" w:hAnsi="Garamond" w:cs="Arial"/>
          <w:i/>
          <w:iCs/>
          <w:lang w:val="en-GB"/>
        </w:rPr>
        <w:t>Mantel</w:t>
      </w:r>
      <w:r w:rsidRPr="002F7766">
        <w:rPr>
          <w:rFonts w:ascii="Garamond" w:hAnsi="Garamond" w:cs="Arial"/>
          <w:lang w:val="en-GB"/>
        </w:rPr>
        <w:t xml:space="preserve"> dieselbe Verwendung gefunden haben, ist gewiß nicht leicht zu erraten, aber deren Symbolbedeutung ist ganz unzweifelhaft. Endlich kann man sich noch fragen, ob man den Ersatz des männlichen Gliedes durch ein anderes Glied, den Fuß oder die Hand, als einen symbolischen bezeichnen darf. Ich glaube, man wird durch den Zusammenhang und durch die weiblichen Gegenstücke dazu genötigt.</w:t>
      </w:r>
    </w:p>
    <w:p w:rsidR="00062BE4" w:rsidRPr="002F7766" w:rsidRDefault="00062BE4" w:rsidP="00062BE4">
      <w:pPr>
        <w:rPr>
          <w:rFonts w:ascii="Garamond" w:hAnsi="Garamond" w:cs="Arial"/>
          <w:lang w:val="en-GB"/>
        </w:rPr>
      </w:pPr>
      <w:r w:rsidRPr="002F7766">
        <w:rPr>
          <w:rFonts w:ascii="Garamond" w:hAnsi="Garamond" w:cs="Arial"/>
          <w:lang w:val="en-GB"/>
        </w:rPr>
        <w:t xml:space="preserve">Das weibliche Genitale wird symbolisch dargestellt durch alle jene Objekte, die seine Eigenschaft teilen, einen Hohlraum einzuschließen, der etwas in sich aufnehmen kann. Also durch </w:t>
      </w:r>
      <w:r w:rsidRPr="002F7766">
        <w:rPr>
          <w:rFonts w:ascii="Garamond" w:hAnsi="Garamond" w:cs="Arial"/>
          <w:i/>
          <w:iCs/>
          <w:lang w:val="en-GB"/>
        </w:rPr>
        <w:t>Schachte, Gruben</w:t>
      </w:r>
      <w:r w:rsidRPr="002F7766">
        <w:rPr>
          <w:rFonts w:ascii="Garamond" w:hAnsi="Garamond" w:cs="Arial"/>
          <w:lang w:val="en-GB"/>
        </w:rPr>
        <w:t xml:space="preserve"> und </w:t>
      </w:r>
      <w:r w:rsidRPr="002F7766">
        <w:rPr>
          <w:rFonts w:ascii="Garamond" w:hAnsi="Garamond" w:cs="Arial"/>
          <w:i/>
          <w:iCs/>
          <w:lang w:val="en-GB"/>
        </w:rPr>
        <w:t>Höhlen</w:t>
      </w:r>
      <w:r w:rsidRPr="002F7766">
        <w:rPr>
          <w:rFonts w:ascii="Garamond" w:hAnsi="Garamond" w:cs="Arial"/>
          <w:lang w:val="en-GB"/>
        </w:rPr>
        <w:t xml:space="preserve">, durch </w:t>
      </w:r>
      <w:r w:rsidRPr="002F7766">
        <w:rPr>
          <w:rFonts w:ascii="Garamond" w:hAnsi="Garamond" w:cs="Arial"/>
          <w:i/>
          <w:iCs/>
          <w:lang w:val="en-GB"/>
        </w:rPr>
        <w:t>Gefäße</w:t>
      </w:r>
      <w:r w:rsidRPr="002F7766">
        <w:rPr>
          <w:rFonts w:ascii="Garamond" w:hAnsi="Garamond" w:cs="Arial"/>
          <w:lang w:val="en-GB"/>
        </w:rPr>
        <w:t xml:space="preserve"> und </w:t>
      </w:r>
      <w:r w:rsidRPr="002F7766">
        <w:rPr>
          <w:rFonts w:ascii="Garamond" w:hAnsi="Garamond" w:cs="Arial"/>
          <w:i/>
          <w:iCs/>
          <w:lang w:val="en-GB"/>
        </w:rPr>
        <w:t>Flaschen</w:t>
      </w:r>
      <w:r w:rsidRPr="002F7766">
        <w:rPr>
          <w:rFonts w:ascii="Garamond" w:hAnsi="Garamond" w:cs="Arial"/>
          <w:lang w:val="en-GB"/>
        </w:rPr>
        <w:t xml:space="preserve">, durch </w:t>
      </w:r>
      <w:r w:rsidRPr="002F7766">
        <w:rPr>
          <w:rFonts w:ascii="Garamond" w:hAnsi="Garamond" w:cs="Arial"/>
          <w:i/>
          <w:iCs/>
          <w:lang w:val="en-GB"/>
        </w:rPr>
        <w:t>Schachteln, Dosen, Koffer, Büchsen, Kisten, Taschen usw.</w:t>
      </w:r>
      <w:r w:rsidRPr="002F7766">
        <w:rPr>
          <w:rFonts w:ascii="Garamond" w:hAnsi="Garamond" w:cs="Arial"/>
          <w:lang w:val="en-GB"/>
        </w:rPr>
        <w:t xml:space="preserve"> Auch das </w:t>
      </w:r>
      <w:r w:rsidRPr="002F7766">
        <w:rPr>
          <w:rFonts w:ascii="Garamond" w:hAnsi="Garamond" w:cs="Arial"/>
          <w:i/>
          <w:iCs/>
          <w:lang w:val="en-GB"/>
        </w:rPr>
        <w:t>Schiff</w:t>
      </w:r>
      <w:r w:rsidRPr="002F7766">
        <w:rPr>
          <w:rFonts w:ascii="Garamond" w:hAnsi="Garamond" w:cs="Arial"/>
          <w:lang w:val="en-GB"/>
        </w:rPr>
        <w:t xml:space="preserve"> gehört in diese Reihe. Manche Symbole haben mehr Beziehung auf den Mutterleib als auf das Genitale des Weibes, so: </w:t>
      </w:r>
      <w:r w:rsidRPr="002F7766">
        <w:rPr>
          <w:rFonts w:ascii="Garamond" w:hAnsi="Garamond" w:cs="Arial"/>
          <w:i/>
          <w:iCs/>
          <w:lang w:val="en-GB"/>
        </w:rPr>
        <w:t>Schränke, Öfen</w:t>
      </w:r>
      <w:r w:rsidRPr="002F7766">
        <w:rPr>
          <w:rFonts w:ascii="Garamond" w:hAnsi="Garamond" w:cs="Arial"/>
          <w:lang w:val="en-GB"/>
        </w:rPr>
        <w:t xml:space="preserve"> und vor allem das </w:t>
      </w:r>
      <w:r w:rsidRPr="002F7766">
        <w:rPr>
          <w:rFonts w:ascii="Garamond" w:hAnsi="Garamond" w:cs="Arial"/>
          <w:i/>
          <w:iCs/>
          <w:lang w:val="en-GB"/>
        </w:rPr>
        <w:t>Zimmer</w:t>
      </w:r>
      <w:r w:rsidRPr="002F7766">
        <w:rPr>
          <w:rFonts w:ascii="Garamond" w:hAnsi="Garamond" w:cs="Arial"/>
          <w:lang w:val="en-GB"/>
        </w:rPr>
        <w:t xml:space="preserve">. Die Zimmersymbolik stößt hier an die Haussymbolik, </w:t>
      </w:r>
      <w:r w:rsidRPr="002F7766">
        <w:rPr>
          <w:rFonts w:ascii="Garamond" w:hAnsi="Garamond" w:cs="Arial"/>
          <w:i/>
          <w:iCs/>
          <w:lang w:val="en-GB"/>
        </w:rPr>
        <w:t>Türe</w:t>
      </w:r>
      <w:r w:rsidRPr="002F7766">
        <w:rPr>
          <w:rFonts w:ascii="Garamond" w:hAnsi="Garamond" w:cs="Arial"/>
          <w:lang w:val="en-GB"/>
        </w:rPr>
        <w:t xml:space="preserve"> und </w:t>
      </w:r>
      <w:r w:rsidRPr="002F7766">
        <w:rPr>
          <w:rFonts w:ascii="Garamond" w:hAnsi="Garamond" w:cs="Arial"/>
          <w:i/>
          <w:iCs/>
          <w:lang w:val="en-GB"/>
        </w:rPr>
        <w:t>Tor</w:t>
      </w:r>
      <w:r w:rsidRPr="002F7766">
        <w:rPr>
          <w:rFonts w:ascii="Garamond" w:hAnsi="Garamond" w:cs="Arial"/>
          <w:lang w:val="en-GB"/>
        </w:rPr>
        <w:t xml:space="preserve"> werden wiederum zu Symbolen der Genitalöffnung. Aber auch Stoffe sind Symbole des Weibes, das </w:t>
      </w:r>
      <w:r w:rsidRPr="002F7766">
        <w:rPr>
          <w:rFonts w:ascii="Garamond" w:hAnsi="Garamond" w:cs="Arial"/>
          <w:i/>
          <w:iCs/>
          <w:lang w:val="en-GB"/>
        </w:rPr>
        <w:t>Holz</w:t>
      </w:r>
      <w:r w:rsidRPr="002F7766">
        <w:rPr>
          <w:rFonts w:ascii="Garamond" w:hAnsi="Garamond" w:cs="Arial"/>
          <w:lang w:val="en-GB"/>
        </w:rPr>
        <w:t xml:space="preserve">, das </w:t>
      </w:r>
      <w:r w:rsidRPr="002F7766">
        <w:rPr>
          <w:rFonts w:ascii="Garamond" w:hAnsi="Garamond" w:cs="Arial"/>
          <w:i/>
          <w:iCs/>
          <w:lang w:val="en-GB"/>
        </w:rPr>
        <w:t>Papier</w:t>
      </w:r>
      <w:r w:rsidRPr="002F7766">
        <w:rPr>
          <w:rFonts w:ascii="Garamond" w:hAnsi="Garamond" w:cs="Arial"/>
          <w:lang w:val="en-GB"/>
        </w:rPr>
        <w:t xml:space="preserve">, und Gegenstände, die aus diesen Stoffen bestehen, wie der </w:t>
      </w:r>
      <w:r w:rsidRPr="002F7766">
        <w:rPr>
          <w:rFonts w:ascii="Garamond" w:hAnsi="Garamond" w:cs="Arial"/>
          <w:i/>
          <w:iCs/>
          <w:lang w:val="en-GB"/>
        </w:rPr>
        <w:t>Tisch</w:t>
      </w:r>
      <w:r w:rsidRPr="002F7766">
        <w:rPr>
          <w:rFonts w:ascii="Garamond" w:hAnsi="Garamond" w:cs="Arial"/>
          <w:lang w:val="en-GB"/>
        </w:rPr>
        <w:t xml:space="preserve"> und das </w:t>
      </w:r>
      <w:r w:rsidRPr="002F7766">
        <w:rPr>
          <w:rFonts w:ascii="Garamond" w:hAnsi="Garamond" w:cs="Arial"/>
          <w:i/>
          <w:iCs/>
          <w:lang w:val="en-GB"/>
        </w:rPr>
        <w:t>Buch</w:t>
      </w:r>
      <w:r w:rsidRPr="002F7766">
        <w:rPr>
          <w:rFonts w:ascii="Garamond" w:hAnsi="Garamond" w:cs="Arial"/>
          <w:lang w:val="en-GB"/>
        </w:rPr>
        <w:t xml:space="preserve">. Von Tieren sind wenigstens </w:t>
      </w:r>
      <w:r w:rsidRPr="002F7766">
        <w:rPr>
          <w:rFonts w:ascii="Garamond" w:hAnsi="Garamond" w:cs="Arial"/>
          <w:i/>
          <w:iCs/>
          <w:lang w:val="en-GB"/>
        </w:rPr>
        <w:t>Schnecke</w:t>
      </w:r>
      <w:r w:rsidRPr="002F7766">
        <w:rPr>
          <w:rFonts w:ascii="Garamond" w:hAnsi="Garamond" w:cs="Arial"/>
          <w:lang w:val="en-GB"/>
        </w:rPr>
        <w:t xml:space="preserve"> und </w:t>
      </w:r>
      <w:r w:rsidRPr="002F7766">
        <w:rPr>
          <w:rFonts w:ascii="Garamond" w:hAnsi="Garamond" w:cs="Arial"/>
          <w:i/>
          <w:iCs/>
          <w:lang w:val="en-GB"/>
        </w:rPr>
        <w:t>Muschel</w:t>
      </w:r>
      <w:r w:rsidRPr="002F7766">
        <w:rPr>
          <w:rFonts w:ascii="Garamond" w:hAnsi="Garamond" w:cs="Arial"/>
          <w:lang w:val="en-GB"/>
        </w:rPr>
        <w:t xml:space="preserve"> als unverkennbare weibliche Symbole anzuführen; von Körperteilen der </w:t>
      </w:r>
      <w:r w:rsidRPr="002F7766">
        <w:rPr>
          <w:rFonts w:ascii="Garamond" w:hAnsi="Garamond" w:cs="Arial"/>
          <w:i/>
          <w:iCs/>
          <w:lang w:val="en-GB"/>
        </w:rPr>
        <w:t>Mund</w:t>
      </w:r>
      <w:r w:rsidRPr="002F7766">
        <w:rPr>
          <w:rFonts w:ascii="Garamond" w:hAnsi="Garamond" w:cs="Arial"/>
          <w:lang w:val="en-GB"/>
        </w:rPr>
        <w:t xml:space="preserve"> zur Vertretung der Genitalöffnung, von Bauwerken </w:t>
      </w:r>
      <w:r w:rsidRPr="002F7766">
        <w:rPr>
          <w:rFonts w:ascii="Garamond" w:hAnsi="Garamond" w:cs="Arial"/>
          <w:i/>
          <w:iCs/>
          <w:lang w:val="en-GB"/>
        </w:rPr>
        <w:t>Kirche</w:t>
      </w:r>
      <w:r w:rsidRPr="002F7766">
        <w:rPr>
          <w:rFonts w:ascii="Garamond" w:hAnsi="Garamond" w:cs="Arial"/>
          <w:lang w:val="en-GB"/>
        </w:rPr>
        <w:t xml:space="preserve"> und </w:t>
      </w:r>
      <w:r w:rsidRPr="002F7766">
        <w:rPr>
          <w:rFonts w:ascii="Garamond" w:hAnsi="Garamond" w:cs="Arial"/>
          <w:i/>
          <w:iCs/>
          <w:lang w:val="en-GB"/>
        </w:rPr>
        <w:t>Kapelle.</w:t>
      </w:r>
      <w:r w:rsidRPr="002F7766">
        <w:rPr>
          <w:rFonts w:ascii="Garamond" w:hAnsi="Garamond" w:cs="Arial"/>
          <w:lang w:val="en-GB"/>
        </w:rPr>
        <w:t xml:space="preserve"> Wie Sie sehen, sind nicht alle Symbole gleich gut verständlich.</w:t>
      </w:r>
    </w:p>
    <w:p w:rsidR="00062BE4" w:rsidRPr="002F7766" w:rsidRDefault="00062BE4" w:rsidP="00062BE4">
      <w:pPr>
        <w:rPr>
          <w:rFonts w:ascii="Garamond" w:hAnsi="Garamond" w:cs="Arial"/>
          <w:lang w:val="en-GB"/>
        </w:rPr>
      </w:pPr>
      <w:r w:rsidRPr="002F7766">
        <w:rPr>
          <w:rFonts w:ascii="Garamond" w:hAnsi="Garamond" w:cs="Arial"/>
          <w:lang w:val="en-GB"/>
        </w:rPr>
        <w:t xml:space="preserve">Zu den Genitalien müssen die Brüste gerechnet werden, die wie die größeren Hemisphären des weiblichen Körpers ihre Darstellung finden in </w:t>
      </w:r>
      <w:r w:rsidRPr="002F7766">
        <w:rPr>
          <w:rFonts w:ascii="Garamond" w:hAnsi="Garamond" w:cs="Arial"/>
          <w:i/>
          <w:iCs/>
          <w:lang w:val="en-GB"/>
        </w:rPr>
        <w:t>Äpfeln, Pfirsichen, Früchten</w:t>
      </w:r>
      <w:r w:rsidRPr="002F7766">
        <w:rPr>
          <w:rFonts w:ascii="Garamond" w:hAnsi="Garamond" w:cs="Arial"/>
          <w:lang w:val="en-GB"/>
        </w:rPr>
        <w:t xml:space="preserve"> überhaupt. Die Genitalbehaarung beider Geschlechter beschreibt der Traum als </w:t>
      </w:r>
      <w:r w:rsidRPr="002F7766">
        <w:rPr>
          <w:rFonts w:ascii="Garamond" w:hAnsi="Garamond" w:cs="Arial"/>
          <w:i/>
          <w:iCs/>
          <w:lang w:val="en-GB"/>
        </w:rPr>
        <w:t>Wald</w:t>
      </w:r>
      <w:r w:rsidRPr="002F7766">
        <w:rPr>
          <w:rFonts w:ascii="Garamond" w:hAnsi="Garamond" w:cs="Arial"/>
          <w:lang w:val="en-GB"/>
        </w:rPr>
        <w:t xml:space="preserve"> und </w:t>
      </w:r>
      <w:r w:rsidRPr="002F7766">
        <w:rPr>
          <w:rFonts w:ascii="Garamond" w:hAnsi="Garamond" w:cs="Arial"/>
          <w:i/>
          <w:iCs/>
          <w:lang w:val="en-GB"/>
        </w:rPr>
        <w:t>Gebüsch</w:t>
      </w:r>
      <w:r w:rsidRPr="002F7766">
        <w:rPr>
          <w:rFonts w:ascii="Garamond" w:hAnsi="Garamond" w:cs="Arial"/>
          <w:lang w:val="en-GB"/>
        </w:rPr>
        <w:t xml:space="preserve">. Die komplizierte Topographie der weiblichen Geschlechtsteile macht es begreiflich, daß diese sehr häufig als </w:t>
      </w:r>
      <w:r w:rsidRPr="002F7766">
        <w:rPr>
          <w:rFonts w:ascii="Garamond" w:hAnsi="Garamond" w:cs="Arial"/>
          <w:i/>
          <w:iCs/>
          <w:lang w:val="en-GB"/>
        </w:rPr>
        <w:t>Landschaft</w:t>
      </w:r>
      <w:r w:rsidRPr="002F7766">
        <w:rPr>
          <w:rFonts w:ascii="Garamond" w:hAnsi="Garamond" w:cs="Arial"/>
          <w:lang w:val="en-GB"/>
        </w:rPr>
        <w:t xml:space="preserve"> mit Fels, Wald und Wasser dargestellt werden, während der imposante Mechanismus des männlichen Geschlechtsapparates dazu führt, daß alle Arten von schwer zu beschreibenden komplizierten </w:t>
      </w:r>
      <w:r w:rsidRPr="002F7766">
        <w:rPr>
          <w:rFonts w:ascii="Garamond" w:hAnsi="Garamond" w:cs="Arial"/>
          <w:i/>
          <w:iCs/>
          <w:lang w:val="en-GB"/>
        </w:rPr>
        <w:t>Maschinen</w:t>
      </w:r>
      <w:r w:rsidRPr="002F7766">
        <w:rPr>
          <w:rFonts w:ascii="Garamond" w:hAnsi="Garamond" w:cs="Arial"/>
          <w:lang w:val="en-GB"/>
        </w:rPr>
        <w:t xml:space="preserve"> Symbole desselben werden.</w:t>
      </w:r>
    </w:p>
    <w:p w:rsidR="00062BE4" w:rsidRPr="002F7766" w:rsidRDefault="00062BE4" w:rsidP="00062BE4">
      <w:pPr>
        <w:rPr>
          <w:rFonts w:ascii="Garamond" w:hAnsi="Garamond" w:cs="Arial"/>
          <w:lang w:val="en-GB"/>
        </w:rPr>
      </w:pPr>
      <w:r w:rsidRPr="002F7766">
        <w:rPr>
          <w:rFonts w:ascii="Garamond" w:hAnsi="Garamond" w:cs="Arial"/>
          <w:lang w:val="en-GB"/>
        </w:rPr>
        <w:t xml:space="preserve">Ein erwähnenswertes Symbol des weiblichen Genitales ist noch das </w:t>
      </w:r>
      <w:r w:rsidRPr="002F7766">
        <w:rPr>
          <w:rFonts w:ascii="Garamond" w:hAnsi="Garamond" w:cs="Arial"/>
          <w:i/>
          <w:iCs/>
          <w:lang w:val="en-GB"/>
        </w:rPr>
        <w:t>Schmuckkästchen</w:t>
      </w:r>
      <w:r w:rsidRPr="002F7766">
        <w:rPr>
          <w:rFonts w:ascii="Garamond" w:hAnsi="Garamond" w:cs="Arial"/>
          <w:lang w:val="en-GB"/>
        </w:rPr>
        <w:t xml:space="preserve">; </w:t>
      </w:r>
      <w:r w:rsidRPr="002F7766">
        <w:rPr>
          <w:rFonts w:ascii="Garamond" w:hAnsi="Garamond" w:cs="Arial"/>
          <w:i/>
          <w:iCs/>
          <w:lang w:val="en-GB"/>
        </w:rPr>
        <w:t>Schmuck</w:t>
      </w:r>
      <w:r w:rsidRPr="002F7766">
        <w:rPr>
          <w:rFonts w:ascii="Garamond" w:hAnsi="Garamond" w:cs="Arial"/>
          <w:lang w:val="en-GB"/>
        </w:rPr>
        <w:t xml:space="preserve"> und </w:t>
      </w:r>
      <w:r w:rsidRPr="002F7766">
        <w:rPr>
          <w:rFonts w:ascii="Garamond" w:hAnsi="Garamond" w:cs="Arial"/>
          <w:i/>
          <w:iCs/>
          <w:lang w:val="en-GB"/>
        </w:rPr>
        <w:t>Schatz</w:t>
      </w:r>
      <w:r w:rsidRPr="002F7766">
        <w:rPr>
          <w:rFonts w:ascii="Garamond" w:hAnsi="Garamond" w:cs="Arial"/>
          <w:lang w:val="en-GB"/>
        </w:rPr>
        <w:t xml:space="preserve"> sind Bezeichnungen der geliebten Person auch im Traume; </w:t>
      </w:r>
      <w:r w:rsidRPr="002F7766">
        <w:rPr>
          <w:rFonts w:ascii="Garamond" w:hAnsi="Garamond" w:cs="Arial"/>
          <w:i/>
          <w:iCs/>
          <w:lang w:val="en-GB"/>
        </w:rPr>
        <w:t>Süßigkeiten</w:t>
      </w:r>
      <w:r w:rsidRPr="002F7766">
        <w:rPr>
          <w:rFonts w:ascii="Garamond" w:hAnsi="Garamond" w:cs="Arial"/>
          <w:lang w:val="en-GB"/>
        </w:rPr>
        <w:t xml:space="preserve"> eine häufige Darstellung des Geschlechtsgenusses. Die Befriedigung am eigenen Genitale wird durch jede Art von </w:t>
      </w:r>
      <w:r w:rsidRPr="002F7766">
        <w:rPr>
          <w:rFonts w:ascii="Garamond" w:hAnsi="Garamond" w:cs="Arial"/>
          <w:i/>
          <w:iCs/>
          <w:lang w:val="en-GB"/>
        </w:rPr>
        <w:t>Spielen</w:t>
      </w:r>
      <w:r w:rsidRPr="002F7766">
        <w:rPr>
          <w:rFonts w:ascii="Garamond" w:hAnsi="Garamond" w:cs="Arial"/>
          <w:lang w:val="en-GB"/>
        </w:rPr>
        <w:t xml:space="preserve"> angedeutet, auch durch das </w:t>
      </w:r>
      <w:r w:rsidRPr="002F7766">
        <w:rPr>
          <w:rFonts w:ascii="Garamond" w:hAnsi="Garamond" w:cs="Arial"/>
          <w:i/>
          <w:iCs/>
          <w:lang w:val="en-GB"/>
        </w:rPr>
        <w:t>Klavierspiel</w:t>
      </w:r>
      <w:r w:rsidRPr="002F7766">
        <w:rPr>
          <w:rFonts w:ascii="Garamond" w:hAnsi="Garamond" w:cs="Arial"/>
          <w:lang w:val="en-GB"/>
        </w:rPr>
        <w:t xml:space="preserve">. Exquisit symbolische Darstellungen der Onanie sind das </w:t>
      </w:r>
      <w:r w:rsidRPr="002F7766">
        <w:rPr>
          <w:rFonts w:ascii="Garamond" w:hAnsi="Garamond" w:cs="Arial"/>
          <w:i/>
          <w:iCs/>
          <w:lang w:val="en-GB"/>
        </w:rPr>
        <w:t>Gleiten</w:t>
      </w:r>
      <w:r w:rsidRPr="002F7766">
        <w:rPr>
          <w:rFonts w:ascii="Garamond" w:hAnsi="Garamond" w:cs="Arial"/>
          <w:lang w:val="en-GB"/>
        </w:rPr>
        <w:t xml:space="preserve"> und </w:t>
      </w:r>
      <w:r w:rsidRPr="002F7766">
        <w:rPr>
          <w:rFonts w:ascii="Garamond" w:hAnsi="Garamond" w:cs="Arial"/>
          <w:i/>
          <w:iCs/>
          <w:lang w:val="en-GB"/>
        </w:rPr>
        <w:t>Rutschen</w:t>
      </w:r>
      <w:r w:rsidRPr="002F7766">
        <w:rPr>
          <w:rFonts w:ascii="Garamond" w:hAnsi="Garamond" w:cs="Arial"/>
          <w:lang w:val="en-GB"/>
        </w:rPr>
        <w:t xml:space="preserve"> </w:t>
      </w:r>
      <w:r w:rsidRPr="002F7766">
        <w:rPr>
          <w:rFonts w:ascii="Garamond" w:hAnsi="Garamond" w:cs="Arial"/>
          <w:lang w:val="en-GB"/>
        </w:rPr>
        <w:lastRenderedPageBreak/>
        <w:t xml:space="preserve">sowie das </w:t>
      </w:r>
      <w:r w:rsidRPr="002F7766">
        <w:rPr>
          <w:rFonts w:ascii="Garamond" w:hAnsi="Garamond" w:cs="Arial"/>
          <w:i/>
          <w:iCs/>
          <w:lang w:val="en-GB"/>
        </w:rPr>
        <w:t>Abreißen eines Astes</w:t>
      </w:r>
      <w:r w:rsidRPr="002F7766">
        <w:rPr>
          <w:rFonts w:ascii="Garamond" w:hAnsi="Garamond" w:cs="Arial"/>
          <w:lang w:val="en-GB"/>
        </w:rPr>
        <w:t xml:space="preserve">. Ein besonders merkwürdiges Traumsymbol ist der </w:t>
      </w:r>
      <w:r w:rsidRPr="002F7766">
        <w:rPr>
          <w:rFonts w:ascii="Garamond" w:hAnsi="Garamond" w:cs="Arial"/>
          <w:i/>
          <w:iCs/>
          <w:lang w:val="en-GB"/>
        </w:rPr>
        <w:t>Zahnausfall</w:t>
      </w:r>
      <w:r w:rsidRPr="002F7766">
        <w:rPr>
          <w:rFonts w:ascii="Garamond" w:hAnsi="Garamond" w:cs="Arial"/>
          <w:lang w:val="en-GB"/>
        </w:rPr>
        <w:t xml:space="preserve"> oder das </w:t>
      </w:r>
      <w:r w:rsidRPr="002F7766">
        <w:rPr>
          <w:rFonts w:ascii="Garamond" w:hAnsi="Garamond" w:cs="Arial"/>
          <w:i/>
          <w:iCs/>
          <w:lang w:val="en-GB"/>
        </w:rPr>
        <w:t>Zahnausziehen</w:t>
      </w:r>
      <w:r w:rsidRPr="002F7766">
        <w:rPr>
          <w:rFonts w:ascii="Garamond" w:hAnsi="Garamond" w:cs="Arial"/>
          <w:lang w:val="en-GB"/>
        </w:rPr>
        <w:t xml:space="preserve">. Es bedeutet sicherlich zunächst die Kastration als Bestrafung für die Onanie. Besondere Darstellungen für den Verkehr der Geschlechter findet man im Traume weniger zahlreich, als man nach den bisherigen Mitteilungen erwarten konnte. Rhythmische Tätigkeiten wie </w:t>
      </w:r>
      <w:r w:rsidRPr="002F7766">
        <w:rPr>
          <w:rFonts w:ascii="Garamond" w:hAnsi="Garamond" w:cs="Arial"/>
          <w:i/>
          <w:iCs/>
          <w:lang w:val="en-GB"/>
        </w:rPr>
        <w:t>Tanzen, Reiten</w:t>
      </w:r>
      <w:r w:rsidRPr="002F7766">
        <w:rPr>
          <w:rFonts w:ascii="Garamond" w:hAnsi="Garamond" w:cs="Arial"/>
          <w:lang w:val="en-GB"/>
        </w:rPr>
        <w:t xml:space="preserve"> und </w:t>
      </w:r>
      <w:r w:rsidRPr="002F7766">
        <w:rPr>
          <w:rFonts w:ascii="Garamond" w:hAnsi="Garamond" w:cs="Arial"/>
          <w:i/>
          <w:iCs/>
          <w:lang w:val="en-GB"/>
        </w:rPr>
        <w:t>Steigen</w:t>
      </w:r>
      <w:r w:rsidRPr="002F7766">
        <w:rPr>
          <w:rFonts w:ascii="Garamond" w:hAnsi="Garamond" w:cs="Arial"/>
          <w:lang w:val="en-GB"/>
        </w:rPr>
        <w:t xml:space="preserve"> sind hier zu nennen, auch gewaltsame Erlebnisse wie das </w:t>
      </w:r>
      <w:r w:rsidRPr="002F7766">
        <w:rPr>
          <w:rFonts w:ascii="Garamond" w:hAnsi="Garamond" w:cs="Arial"/>
          <w:i/>
          <w:iCs/>
          <w:lang w:val="en-GB"/>
        </w:rPr>
        <w:t>Überfahrenwerden</w:t>
      </w:r>
      <w:r w:rsidRPr="002F7766">
        <w:rPr>
          <w:rFonts w:ascii="Garamond" w:hAnsi="Garamond" w:cs="Arial"/>
          <w:lang w:val="en-GB"/>
        </w:rPr>
        <w:t xml:space="preserve">. Dazu gewisse </w:t>
      </w:r>
      <w:r w:rsidRPr="002F7766">
        <w:rPr>
          <w:rFonts w:ascii="Garamond" w:hAnsi="Garamond" w:cs="Arial"/>
          <w:i/>
          <w:iCs/>
          <w:lang w:val="en-GB"/>
        </w:rPr>
        <w:t>Handwerkstätigkeiten</w:t>
      </w:r>
      <w:r w:rsidRPr="002F7766">
        <w:rPr>
          <w:rFonts w:ascii="Garamond" w:hAnsi="Garamond" w:cs="Arial"/>
          <w:lang w:val="en-GB"/>
        </w:rPr>
        <w:t xml:space="preserve"> und natürlich die </w:t>
      </w:r>
      <w:r w:rsidRPr="002F7766">
        <w:rPr>
          <w:rFonts w:ascii="Garamond" w:hAnsi="Garamond" w:cs="Arial"/>
          <w:i/>
          <w:iCs/>
          <w:lang w:val="en-GB"/>
        </w:rPr>
        <w:t>Bedrohung mit Waffen</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Sie müssen sich die Verwendung wie die Übersetzung dieser Symbole nicht ganz einfach vorstellen. Es kommt dabei allerlei vor, was unserer Erwartung widerspricht. So scheint es zum Beispiel kaum glaublich, daß in diesen symbolischen Darstellungen die Geschlechtsunterschiede oft nicht scharf auseinandergehalten werden. Manche Symbole bedeuten ein Genitale überhaupt, gleichgültig ob ein männliches oder weibliches, z. B. das </w:t>
      </w:r>
      <w:r w:rsidRPr="002F7766">
        <w:rPr>
          <w:rFonts w:ascii="Garamond" w:hAnsi="Garamond" w:cs="Arial"/>
          <w:i/>
          <w:iCs/>
          <w:lang w:val="en-GB"/>
        </w:rPr>
        <w:t>kleine</w:t>
      </w:r>
      <w:r w:rsidRPr="002F7766">
        <w:rPr>
          <w:rFonts w:ascii="Garamond" w:hAnsi="Garamond" w:cs="Arial"/>
          <w:lang w:val="en-GB"/>
        </w:rPr>
        <w:t xml:space="preserve"> Kind, der </w:t>
      </w:r>
      <w:r w:rsidRPr="002F7766">
        <w:rPr>
          <w:rFonts w:ascii="Garamond" w:hAnsi="Garamond" w:cs="Arial"/>
          <w:i/>
          <w:iCs/>
          <w:lang w:val="en-GB"/>
        </w:rPr>
        <w:t>kleine</w:t>
      </w:r>
      <w:r w:rsidRPr="002F7766">
        <w:rPr>
          <w:rFonts w:ascii="Garamond" w:hAnsi="Garamond" w:cs="Arial"/>
          <w:lang w:val="en-GB"/>
        </w:rPr>
        <w:t xml:space="preserve"> Sohn oder die </w:t>
      </w:r>
      <w:r w:rsidRPr="002F7766">
        <w:rPr>
          <w:rFonts w:ascii="Garamond" w:hAnsi="Garamond" w:cs="Arial"/>
          <w:i/>
          <w:iCs/>
          <w:lang w:val="en-GB"/>
        </w:rPr>
        <w:t>kleine</w:t>
      </w:r>
      <w:r w:rsidRPr="002F7766">
        <w:rPr>
          <w:rFonts w:ascii="Garamond" w:hAnsi="Garamond" w:cs="Arial"/>
          <w:lang w:val="en-GB"/>
        </w:rPr>
        <w:t xml:space="preserve"> Tochter. Ein andermal kann ein vorwiegend männliches Symbol für ein weibliches Genitale gebraucht werden oder umgekehrt. Man versteht das nicht, ehe man Einsicht in die Entwicklung der Sexualvorstellungen der Menschen gewonnen hat. In manchen Fällen mag diese Zweideutigkeit der Symbole eine nur scheinbare sein; die eklatantesten unter den Symbolen wie </w:t>
      </w:r>
      <w:r w:rsidRPr="002F7766">
        <w:rPr>
          <w:rFonts w:ascii="Garamond" w:hAnsi="Garamond" w:cs="Arial"/>
          <w:i/>
          <w:iCs/>
          <w:lang w:val="en-GB"/>
        </w:rPr>
        <w:t>Waffen, Tasche, Kiste</w:t>
      </w:r>
      <w:r w:rsidRPr="002F7766">
        <w:rPr>
          <w:rFonts w:ascii="Garamond" w:hAnsi="Garamond" w:cs="Arial"/>
          <w:lang w:val="en-GB"/>
        </w:rPr>
        <w:t xml:space="preserve"> sind auch von dieser bisexuellen Verwendung ausgenommen.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will nun nicht von dem Dargestellten, sondern vom Symbol ausgehen, eine Übersicht geben, aus welchen Gebieten die Sexualsymbole zumeist entnommen werden, und einige Nachträge anfügen mit besonderer Rücksicht auf die Symbole mit unverstandenem Gemeinsamen. Solch ein dunkles Symbol ist der </w:t>
      </w:r>
      <w:r w:rsidRPr="002F7766">
        <w:rPr>
          <w:rFonts w:ascii="Garamond" w:hAnsi="Garamond" w:cs="Arial"/>
          <w:i/>
          <w:iCs/>
          <w:lang w:val="en-GB"/>
        </w:rPr>
        <w:t>Hut</w:t>
      </w:r>
      <w:r w:rsidRPr="002F7766">
        <w:rPr>
          <w:rFonts w:ascii="Garamond" w:hAnsi="Garamond" w:cs="Arial"/>
          <w:lang w:val="en-GB"/>
        </w:rPr>
        <w:t xml:space="preserve">, vielleicht die Kopfbedeckung überhaupt, in der Regel mit männlicher Bedeutung, doch auch der weiblichen fähig. Ebenso bedeutet der </w:t>
      </w:r>
      <w:r w:rsidRPr="002F7766">
        <w:rPr>
          <w:rFonts w:ascii="Garamond" w:hAnsi="Garamond" w:cs="Arial"/>
          <w:i/>
          <w:iCs/>
          <w:lang w:val="en-GB"/>
        </w:rPr>
        <w:t>Mantel</w:t>
      </w:r>
      <w:r w:rsidRPr="002F7766">
        <w:rPr>
          <w:rFonts w:ascii="Garamond" w:hAnsi="Garamond" w:cs="Arial"/>
          <w:lang w:val="en-GB"/>
        </w:rPr>
        <w:t xml:space="preserve"> einen Mann, vielleicht nicht immer mit Genitalbeziehung. Es steht Ihnen frei, zu fragen, warum. Die herabhängende und vom Weib nicht getragene </w:t>
      </w:r>
      <w:r w:rsidRPr="002F7766">
        <w:rPr>
          <w:rFonts w:ascii="Garamond" w:hAnsi="Garamond" w:cs="Arial"/>
          <w:i/>
          <w:iCs/>
          <w:lang w:val="en-GB"/>
        </w:rPr>
        <w:t>Krawatte</w:t>
      </w:r>
      <w:r w:rsidRPr="002F7766">
        <w:rPr>
          <w:rFonts w:ascii="Garamond" w:hAnsi="Garamond" w:cs="Arial"/>
          <w:lang w:val="en-GB"/>
        </w:rPr>
        <w:t xml:space="preserve"> ist ein deutlich männliches Symbol. </w:t>
      </w:r>
      <w:r w:rsidRPr="002F7766">
        <w:rPr>
          <w:rFonts w:ascii="Garamond" w:hAnsi="Garamond" w:cs="Arial"/>
          <w:i/>
          <w:iCs/>
          <w:lang w:val="en-GB"/>
        </w:rPr>
        <w:t>Weiße Wäsche, Leinen</w:t>
      </w:r>
      <w:r w:rsidRPr="002F7766">
        <w:rPr>
          <w:rFonts w:ascii="Garamond" w:hAnsi="Garamond" w:cs="Arial"/>
          <w:lang w:val="en-GB"/>
        </w:rPr>
        <w:t xml:space="preserve"> überhaupt ist weiblich; </w:t>
      </w:r>
      <w:r w:rsidRPr="002F7766">
        <w:rPr>
          <w:rFonts w:ascii="Garamond" w:hAnsi="Garamond" w:cs="Arial"/>
          <w:i/>
          <w:iCs/>
          <w:lang w:val="en-GB"/>
        </w:rPr>
        <w:t>Kleider, Uniformen</w:t>
      </w:r>
      <w:r w:rsidRPr="002F7766">
        <w:rPr>
          <w:rFonts w:ascii="Garamond" w:hAnsi="Garamond" w:cs="Arial"/>
          <w:lang w:val="en-GB"/>
        </w:rPr>
        <w:t xml:space="preserve"> sind, wie wir schon gehört haben, Ersatz für Nacktheit, Körperformen; der </w:t>
      </w:r>
      <w:r w:rsidRPr="002F7766">
        <w:rPr>
          <w:rFonts w:ascii="Garamond" w:hAnsi="Garamond" w:cs="Arial"/>
          <w:i/>
          <w:iCs/>
          <w:lang w:val="en-GB"/>
        </w:rPr>
        <w:t>Schuh, Pantoffel</w:t>
      </w:r>
      <w:r w:rsidRPr="002F7766">
        <w:rPr>
          <w:rFonts w:ascii="Garamond" w:hAnsi="Garamond" w:cs="Arial"/>
          <w:lang w:val="en-GB"/>
        </w:rPr>
        <w:t xml:space="preserve">, ein weibliches Genitale, </w:t>
      </w:r>
      <w:r w:rsidRPr="002F7766">
        <w:rPr>
          <w:rFonts w:ascii="Garamond" w:hAnsi="Garamond" w:cs="Arial"/>
          <w:i/>
          <w:iCs/>
          <w:lang w:val="en-GB"/>
        </w:rPr>
        <w:t>Tisch</w:t>
      </w:r>
      <w:r w:rsidRPr="002F7766">
        <w:rPr>
          <w:rFonts w:ascii="Garamond" w:hAnsi="Garamond" w:cs="Arial"/>
          <w:lang w:val="en-GB"/>
        </w:rPr>
        <w:t xml:space="preserve"> und </w:t>
      </w:r>
      <w:r w:rsidRPr="002F7766">
        <w:rPr>
          <w:rFonts w:ascii="Garamond" w:hAnsi="Garamond" w:cs="Arial"/>
          <w:i/>
          <w:iCs/>
          <w:lang w:val="en-GB"/>
        </w:rPr>
        <w:t>Holz</w:t>
      </w:r>
      <w:r w:rsidRPr="002F7766">
        <w:rPr>
          <w:rFonts w:ascii="Garamond" w:hAnsi="Garamond" w:cs="Arial"/>
          <w:lang w:val="en-GB"/>
        </w:rPr>
        <w:t xml:space="preserve"> wurden als rätselhafte, aber sicherlich weibliche Symbole bereits erwähnt. </w:t>
      </w:r>
      <w:r w:rsidRPr="002F7766">
        <w:rPr>
          <w:rFonts w:ascii="Garamond" w:hAnsi="Garamond" w:cs="Arial"/>
          <w:i/>
          <w:iCs/>
          <w:lang w:val="en-GB"/>
        </w:rPr>
        <w:t>Leiter, Stiege, Treppe</w:t>
      </w:r>
      <w:r w:rsidRPr="002F7766">
        <w:rPr>
          <w:rFonts w:ascii="Garamond" w:hAnsi="Garamond" w:cs="Arial"/>
          <w:lang w:val="en-GB"/>
        </w:rPr>
        <w:t>, respektive das Gehen auf ihnen, sind sichere Symbole des Geschlechtsverkehres. Bei näherer Überlegung wird uns die Rhythmik dieses Gehens als Gemeinsames auffallen, vielleicht auch das Anwachsen der Erregung, Atemnot, je höher man steigt.</w:t>
      </w:r>
    </w:p>
    <w:p w:rsidR="00062BE4" w:rsidRPr="002F7766" w:rsidRDefault="00062BE4" w:rsidP="00062BE4">
      <w:pPr>
        <w:rPr>
          <w:rFonts w:ascii="Garamond" w:hAnsi="Garamond" w:cs="Arial"/>
          <w:lang w:val="en-GB"/>
        </w:rPr>
      </w:pPr>
      <w:r w:rsidRPr="002F7766">
        <w:rPr>
          <w:rFonts w:ascii="Garamond" w:hAnsi="Garamond" w:cs="Arial"/>
          <w:lang w:val="en-GB"/>
        </w:rPr>
        <w:t xml:space="preserve">Die </w:t>
      </w:r>
      <w:r w:rsidRPr="002F7766">
        <w:rPr>
          <w:rFonts w:ascii="Garamond" w:hAnsi="Garamond" w:cs="Arial"/>
          <w:i/>
          <w:iCs/>
          <w:lang w:val="en-GB"/>
        </w:rPr>
        <w:t>Landschaft</w:t>
      </w:r>
      <w:r w:rsidRPr="002F7766">
        <w:rPr>
          <w:rFonts w:ascii="Garamond" w:hAnsi="Garamond" w:cs="Arial"/>
          <w:lang w:val="en-GB"/>
        </w:rPr>
        <w:t xml:space="preserve"> haben wir als Darstellung des weiblichen Genitales schon gewürdigt. </w:t>
      </w:r>
      <w:r w:rsidRPr="002F7766">
        <w:rPr>
          <w:rFonts w:ascii="Garamond" w:hAnsi="Garamond" w:cs="Arial"/>
          <w:i/>
          <w:iCs/>
          <w:lang w:val="en-GB"/>
        </w:rPr>
        <w:t>Berg</w:t>
      </w:r>
      <w:r w:rsidRPr="002F7766">
        <w:rPr>
          <w:rFonts w:ascii="Garamond" w:hAnsi="Garamond" w:cs="Arial"/>
          <w:lang w:val="en-GB"/>
        </w:rPr>
        <w:t xml:space="preserve"> und </w:t>
      </w:r>
      <w:r w:rsidRPr="002F7766">
        <w:rPr>
          <w:rFonts w:ascii="Garamond" w:hAnsi="Garamond" w:cs="Arial"/>
          <w:i/>
          <w:iCs/>
          <w:lang w:val="en-GB"/>
        </w:rPr>
        <w:t>Fels</w:t>
      </w:r>
      <w:r w:rsidRPr="002F7766">
        <w:rPr>
          <w:rFonts w:ascii="Garamond" w:hAnsi="Garamond" w:cs="Arial"/>
          <w:lang w:val="en-GB"/>
        </w:rPr>
        <w:t xml:space="preserve"> sind Symbole des männlichen Gliedes; der </w:t>
      </w:r>
      <w:r w:rsidRPr="002F7766">
        <w:rPr>
          <w:rFonts w:ascii="Garamond" w:hAnsi="Garamond" w:cs="Arial"/>
          <w:i/>
          <w:iCs/>
          <w:lang w:val="en-GB"/>
        </w:rPr>
        <w:t>Garten</w:t>
      </w:r>
      <w:r w:rsidRPr="002F7766">
        <w:rPr>
          <w:rFonts w:ascii="Garamond" w:hAnsi="Garamond" w:cs="Arial"/>
          <w:lang w:val="en-GB"/>
        </w:rPr>
        <w:t xml:space="preserve"> ein häufiges Symbol des weiblichen Genitales. Die </w:t>
      </w:r>
      <w:r w:rsidRPr="002F7766">
        <w:rPr>
          <w:rFonts w:ascii="Garamond" w:hAnsi="Garamond" w:cs="Arial"/>
          <w:i/>
          <w:iCs/>
          <w:lang w:val="en-GB"/>
        </w:rPr>
        <w:t>Frucht</w:t>
      </w:r>
      <w:r w:rsidRPr="002F7766">
        <w:rPr>
          <w:rFonts w:ascii="Garamond" w:hAnsi="Garamond" w:cs="Arial"/>
          <w:lang w:val="en-GB"/>
        </w:rPr>
        <w:t xml:space="preserve"> steht nicht für das Kind, sondern für die Brüste. </w:t>
      </w:r>
      <w:r w:rsidRPr="002F7766">
        <w:rPr>
          <w:rFonts w:ascii="Garamond" w:hAnsi="Garamond" w:cs="Arial"/>
          <w:i/>
          <w:iCs/>
          <w:lang w:val="en-GB"/>
        </w:rPr>
        <w:t>Wilde Tiere</w:t>
      </w:r>
      <w:r w:rsidRPr="002F7766">
        <w:rPr>
          <w:rFonts w:ascii="Garamond" w:hAnsi="Garamond" w:cs="Arial"/>
          <w:lang w:val="en-GB"/>
        </w:rPr>
        <w:t xml:space="preserve"> bedeuten sinnlich erregte Menschen, des weiteren böse Triebe, Leidenschaften. </w:t>
      </w:r>
      <w:r w:rsidRPr="002F7766">
        <w:rPr>
          <w:rFonts w:ascii="Garamond" w:hAnsi="Garamond" w:cs="Arial"/>
          <w:i/>
          <w:iCs/>
          <w:lang w:val="en-GB"/>
        </w:rPr>
        <w:t>Blüten</w:t>
      </w:r>
      <w:r w:rsidRPr="002F7766">
        <w:rPr>
          <w:rFonts w:ascii="Garamond" w:hAnsi="Garamond" w:cs="Arial"/>
          <w:lang w:val="en-GB"/>
        </w:rPr>
        <w:t xml:space="preserve"> und </w:t>
      </w:r>
      <w:r w:rsidRPr="002F7766">
        <w:rPr>
          <w:rFonts w:ascii="Garamond" w:hAnsi="Garamond" w:cs="Arial"/>
          <w:i/>
          <w:iCs/>
          <w:lang w:val="en-GB"/>
        </w:rPr>
        <w:t>Blumen</w:t>
      </w:r>
      <w:r w:rsidRPr="002F7766">
        <w:rPr>
          <w:rFonts w:ascii="Garamond" w:hAnsi="Garamond" w:cs="Arial"/>
          <w:lang w:val="en-GB"/>
        </w:rPr>
        <w:t xml:space="preserve"> bezeichnen das Genitale des Weibes oder spezieller die Jungfräulichkeit. Sie vergessen nicht, daß die Blüten wirklich die Genitalien der Pflanzen sind.</w:t>
      </w:r>
    </w:p>
    <w:p w:rsidR="00062BE4" w:rsidRPr="002F7766" w:rsidRDefault="00062BE4" w:rsidP="00062BE4">
      <w:pPr>
        <w:rPr>
          <w:rFonts w:ascii="Garamond" w:hAnsi="Garamond" w:cs="Arial"/>
          <w:lang w:val="en-GB"/>
        </w:rPr>
      </w:pPr>
      <w:r w:rsidRPr="002F7766">
        <w:rPr>
          <w:rFonts w:ascii="Garamond" w:hAnsi="Garamond" w:cs="Arial"/>
          <w:lang w:val="en-GB"/>
        </w:rPr>
        <w:t xml:space="preserve">Das </w:t>
      </w:r>
      <w:r w:rsidRPr="002F7766">
        <w:rPr>
          <w:rFonts w:ascii="Garamond" w:hAnsi="Garamond" w:cs="Arial"/>
          <w:i/>
          <w:iCs/>
          <w:lang w:val="en-GB"/>
        </w:rPr>
        <w:t>Zimmer</w:t>
      </w:r>
      <w:r w:rsidRPr="002F7766">
        <w:rPr>
          <w:rFonts w:ascii="Garamond" w:hAnsi="Garamond" w:cs="Arial"/>
          <w:lang w:val="en-GB"/>
        </w:rPr>
        <w:t xml:space="preserve"> kennen wir bereits als Symbol. Die Darstellung kann sich hier fortsetzen, indem die Fenster, Ein- und Ausgänge des Zimmers die Bedeutung der Körperöffnungen übernehmen. Auch das </w:t>
      </w:r>
      <w:r w:rsidRPr="002F7766">
        <w:rPr>
          <w:rFonts w:ascii="Garamond" w:hAnsi="Garamond" w:cs="Arial"/>
          <w:i/>
          <w:iCs/>
          <w:lang w:val="en-GB"/>
        </w:rPr>
        <w:t>Offen-</w:t>
      </w:r>
      <w:r w:rsidRPr="002F7766">
        <w:rPr>
          <w:rFonts w:ascii="Garamond" w:hAnsi="Garamond" w:cs="Arial"/>
          <w:lang w:val="en-GB"/>
        </w:rPr>
        <w:t xml:space="preserve"> oder </w:t>
      </w:r>
      <w:r w:rsidRPr="002F7766">
        <w:rPr>
          <w:rFonts w:ascii="Garamond" w:hAnsi="Garamond" w:cs="Arial"/>
          <w:i/>
          <w:iCs/>
          <w:lang w:val="en-GB"/>
        </w:rPr>
        <w:t>Verschlossensein</w:t>
      </w:r>
      <w:r w:rsidRPr="002F7766">
        <w:rPr>
          <w:rFonts w:ascii="Garamond" w:hAnsi="Garamond" w:cs="Arial"/>
          <w:lang w:val="en-GB"/>
        </w:rPr>
        <w:t xml:space="preserve"> des Zimmers fügt sich dieser Symbolik, und der </w:t>
      </w:r>
      <w:r w:rsidRPr="002F7766">
        <w:rPr>
          <w:rFonts w:ascii="Garamond" w:hAnsi="Garamond" w:cs="Arial"/>
          <w:i/>
          <w:iCs/>
          <w:lang w:val="en-GB"/>
        </w:rPr>
        <w:t>Schlüssel</w:t>
      </w:r>
      <w:r w:rsidRPr="002F7766">
        <w:rPr>
          <w:rFonts w:ascii="Garamond" w:hAnsi="Garamond" w:cs="Arial"/>
          <w:lang w:val="en-GB"/>
        </w:rPr>
        <w:t>, der öffnet, ist ein sicheres männliches Symbol.</w:t>
      </w:r>
    </w:p>
    <w:p w:rsidR="00062BE4" w:rsidRPr="002F7766" w:rsidRDefault="00062BE4" w:rsidP="00062BE4">
      <w:pPr>
        <w:rPr>
          <w:rFonts w:ascii="Garamond" w:hAnsi="Garamond" w:cs="Arial"/>
          <w:lang w:val="en-GB"/>
        </w:rPr>
      </w:pPr>
      <w:r w:rsidRPr="002F7766">
        <w:rPr>
          <w:rFonts w:ascii="Garamond" w:hAnsi="Garamond" w:cs="Arial"/>
          <w:lang w:val="en-GB"/>
        </w:rPr>
        <w:t>Das wäre nun Material zur Traumsymbolik. Es ist nicht vollständig und könnte sowohl vertieft als auch verbreitert werden. Aber ich meine, es wird Ihnen mehr als genug scheinen, vielleicht Sie unwillig machen. Sie werden fragen: Lebe ich also wirklich inmitten von Sexualsymbolen? Sind alle Gegenstände, die mich umgeben, alle Kleider, die ich anlege, alle Dinge, die ich in die Hand nehme, immer wieder Sexualsymbole und nichts anderes? Es gibt wirklich Anlaß genug zu verwunderten Fragen, und die erste derselben lautet: Woher wir denn eigentlich die Bedeutung dieser Traumsymbole kennen sollen, zu denen uns der Träumer selbst keine oder nur unzureichende Auskunft gibt?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Ich antworte: aus sehr verschiedenen Quellen, aus den Märchen und Mythen, Schwänken und Witzen, aus dem Folklore, d. i. der Kunde von den Sitten, Gebräuchen, Sprüchen und Liedern der Völker, aus dem poetischen und dem gemeinen Sprachgebrauch. Überall hier findet sich dieselbe Symbolik vor, und an manchen dieser Stellen verstehen wir sie ohne weitere Unterweisung. Wenn wir diesen Quellen im einzelnen nachgehen, werden wir so viele Parallelen zur Traumsymbolik finden, daß wir unserer Deutungen sicher werden müssen.</w:t>
      </w:r>
    </w:p>
    <w:p w:rsidR="00062BE4" w:rsidRPr="002F7766" w:rsidRDefault="00062BE4" w:rsidP="00062BE4">
      <w:pPr>
        <w:rPr>
          <w:rFonts w:ascii="Garamond" w:hAnsi="Garamond" w:cs="Arial"/>
          <w:lang w:val="en-GB"/>
        </w:rPr>
      </w:pPr>
      <w:r w:rsidRPr="002F7766">
        <w:rPr>
          <w:rFonts w:ascii="Garamond" w:hAnsi="Garamond" w:cs="Arial"/>
          <w:lang w:val="en-GB"/>
        </w:rPr>
        <w:t xml:space="preserve">Der menschliche Leib, sagten wir, findet nach Scherner im Traum häufig eine Darstellung durch das Symbol des Hauses. In der Fortführung dieser Darstellung sind dann Fenster, Türen und Tore, die Eingänge in die Körperhöhlen, die Fassaden glatt oder mit Balkonen und Vorsprüngen zum Anhalten versehen. Dieselbe Symbolik findet sich aber in unserem Sprachgebrauch, wenn wir einen gut Bekannten vertraulich als » </w:t>
      </w:r>
      <w:r w:rsidRPr="002F7766">
        <w:rPr>
          <w:rFonts w:ascii="Garamond" w:hAnsi="Garamond" w:cs="Arial"/>
          <w:i/>
          <w:iCs/>
          <w:lang w:val="en-GB"/>
        </w:rPr>
        <w:t>altes Haus</w:t>
      </w:r>
      <w:r w:rsidRPr="002F7766">
        <w:rPr>
          <w:rFonts w:ascii="Garamond" w:hAnsi="Garamond" w:cs="Arial"/>
          <w:lang w:val="en-GB"/>
        </w:rPr>
        <w:t xml:space="preserve">« begrüßen, wenn wir davon sprechen, einem eins </w:t>
      </w:r>
      <w:r w:rsidRPr="002F7766">
        <w:rPr>
          <w:rFonts w:ascii="Garamond" w:hAnsi="Garamond" w:cs="Arial"/>
          <w:i/>
          <w:iCs/>
          <w:lang w:val="en-GB"/>
        </w:rPr>
        <w:t>aufs Dachl</w:t>
      </w:r>
      <w:r w:rsidRPr="002F7766">
        <w:rPr>
          <w:rFonts w:ascii="Garamond" w:hAnsi="Garamond" w:cs="Arial"/>
          <w:lang w:val="en-GB"/>
        </w:rPr>
        <w:t xml:space="preserve"> zu geben, oder von einem anderen behaupten, es sei bei ihm nicht richtig im </w:t>
      </w:r>
      <w:r w:rsidRPr="002F7766">
        <w:rPr>
          <w:rFonts w:ascii="Garamond" w:hAnsi="Garamond" w:cs="Arial"/>
          <w:i/>
          <w:iCs/>
          <w:lang w:val="en-GB"/>
        </w:rPr>
        <w:t>Oberstübchen</w:t>
      </w:r>
      <w:r w:rsidRPr="002F7766">
        <w:rPr>
          <w:rFonts w:ascii="Garamond" w:hAnsi="Garamond" w:cs="Arial"/>
          <w:lang w:val="en-GB"/>
        </w:rPr>
        <w:t xml:space="preserve">. In der Anatomie heißen die Körperöffnungen direkt die </w:t>
      </w:r>
      <w:r w:rsidRPr="002F7766">
        <w:rPr>
          <w:rFonts w:ascii="Garamond" w:hAnsi="Garamond" w:cs="Arial"/>
          <w:i/>
          <w:iCs/>
          <w:lang w:val="en-GB"/>
        </w:rPr>
        <w:t>Leibespforten</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Daß wir die Eltern im Traume als kaiserliche und königliche Paare antreffen, ist ja zunächst überraschend. Aber es findet seine Parallele in den Märchen. Dämmert uns nicht die Einsicht, daß die vielen Märchen, die anheben: Es war einmal </w:t>
      </w:r>
      <w:r w:rsidRPr="002F7766">
        <w:rPr>
          <w:rFonts w:ascii="Garamond" w:hAnsi="Garamond" w:cs="Arial"/>
          <w:i/>
          <w:iCs/>
          <w:lang w:val="en-GB"/>
        </w:rPr>
        <w:t>ein König und eine Königin</w:t>
      </w:r>
      <w:r w:rsidRPr="002F7766">
        <w:rPr>
          <w:rFonts w:ascii="Garamond" w:hAnsi="Garamond" w:cs="Arial"/>
          <w:lang w:val="en-GB"/>
        </w:rPr>
        <w:t xml:space="preserve">, nichts anderes sagen wollen als: Es waren einmal ein Vater und eine Mutter? In der Familie heißen wir die Kinder scherzhaft Prinzen, den ältesten aber den Kronprinzen. Der König selbst nennt sich </w:t>
      </w:r>
      <w:r w:rsidRPr="002F7766">
        <w:rPr>
          <w:rFonts w:ascii="Garamond" w:hAnsi="Garamond" w:cs="Arial"/>
          <w:i/>
          <w:iCs/>
          <w:lang w:val="en-GB"/>
        </w:rPr>
        <w:t>Landesvater</w:t>
      </w:r>
      <w:r w:rsidRPr="002F7766">
        <w:rPr>
          <w:rFonts w:ascii="Garamond" w:hAnsi="Garamond" w:cs="Arial"/>
          <w:lang w:val="en-GB"/>
        </w:rPr>
        <w:t xml:space="preserve">. Kleine Kinder bezeichnen wir scherzhaft als </w:t>
      </w:r>
      <w:r w:rsidRPr="002F7766">
        <w:rPr>
          <w:rFonts w:ascii="Garamond" w:hAnsi="Garamond" w:cs="Arial"/>
          <w:i/>
          <w:iCs/>
          <w:lang w:val="en-GB"/>
        </w:rPr>
        <w:t>Würmer</w:t>
      </w:r>
      <w:r w:rsidRPr="002F7766">
        <w:rPr>
          <w:rFonts w:ascii="Garamond" w:hAnsi="Garamond" w:cs="Arial"/>
          <w:lang w:val="en-GB"/>
        </w:rPr>
        <w:t xml:space="preserve"> und sagen mitleidig: </w:t>
      </w:r>
      <w:r w:rsidRPr="002F7766">
        <w:rPr>
          <w:rFonts w:ascii="Garamond" w:hAnsi="Garamond" w:cs="Arial"/>
          <w:i/>
          <w:iCs/>
          <w:lang w:val="en-GB"/>
        </w:rPr>
        <w:t>das arme Wurm</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Kehren wir zur Haussymbolik zurück. Wenn wir die Vorsprünge der Häuser im Traume zum Anhalten benützen, mahnt das nicht an die bekannte Volksrede auf einen stark entwickelten Busen: Die hat etwas zum </w:t>
      </w:r>
      <w:r w:rsidRPr="002F7766">
        <w:rPr>
          <w:rFonts w:ascii="Garamond" w:hAnsi="Garamond" w:cs="Arial"/>
          <w:i/>
          <w:iCs/>
          <w:lang w:val="en-GB"/>
        </w:rPr>
        <w:t>Anhalten?</w:t>
      </w:r>
      <w:r w:rsidRPr="002F7766">
        <w:rPr>
          <w:rFonts w:ascii="Garamond" w:hAnsi="Garamond" w:cs="Arial"/>
          <w:lang w:val="en-GB"/>
        </w:rPr>
        <w:t xml:space="preserve"> Das Volk äußert sich in solchem Falle noch anders, es sagt: Die hat viel </w:t>
      </w:r>
      <w:r w:rsidRPr="002F7766">
        <w:rPr>
          <w:rFonts w:ascii="Garamond" w:hAnsi="Garamond" w:cs="Arial"/>
          <w:i/>
          <w:iCs/>
          <w:lang w:val="en-GB"/>
        </w:rPr>
        <w:t>Holz</w:t>
      </w:r>
      <w:r w:rsidRPr="002F7766">
        <w:rPr>
          <w:rFonts w:ascii="Garamond" w:hAnsi="Garamond" w:cs="Arial"/>
          <w:lang w:val="en-GB"/>
        </w:rPr>
        <w:t xml:space="preserve"> vor dem Haus, als wollte es unserer Deutung zu Hilfe kommen, daß Holz ein weibliches, mütterliches Symbol ist.</w:t>
      </w:r>
    </w:p>
    <w:p w:rsidR="00062BE4" w:rsidRPr="002F7766" w:rsidRDefault="00062BE4" w:rsidP="00062BE4">
      <w:pPr>
        <w:rPr>
          <w:rFonts w:ascii="Garamond" w:hAnsi="Garamond" w:cs="Arial"/>
          <w:lang w:val="en-GB"/>
        </w:rPr>
      </w:pPr>
      <w:r w:rsidRPr="002F7766">
        <w:rPr>
          <w:rFonts w:ascii="Garamond" w:hAnsi="Garamond" w:cs="Arial"/>
          <w:lang w:val="en-GB"/>
        </w:rPr>
        <w:t xml:space="preserve">Zu Holz noch anderes. Wir werden nicht verstehen, wie dieser Stoff zur Vertretung des Mütterlichen, Weiblichen, gelangt ist. Da mag uns die Sprachvergleichung an die Hand gehen. Unser deutsches Wort Holz soll gleichen Stammes sein wie das griechische ?ëç, was Stoff, Rohstoff bedeutet. Es würde da der nicht gerade seltene Fall vorliegen, daß ein allgemeiner Stoffname schließlich für einen besonderen Stoff reserviert worden ist. Nun gibt es eine Insel im Ozean, die den Namen </w:t>
      </w:r>
      <w:r w:rsidRPr="002F7766">
        <w:rPr>
          <w:rFonts w:ascii="Garamond" w:hAnsi="Garamond" w:cs="Arial"/>
          <w:i/>
          <w:iCs/>
          <w:lang w:val="en-GB"/>
        </w:rPr>
        <w:t>Madeira</w:t>
      </w:r>
      <w:r w:rsidRPr="002F7766">
        <w:rPr>
          <w:rFonts w:ascii="Garamond" w:hAnsi="Garamond" w:cs="Arial"/>
          <w:lang w:val="en-GB"/>
        </w:rPr>
        <w:t xml:space="preserve"> führt. Diesen Namen haben ihr die Portugiesen bei der Entdeckung gegeben, weil sie damals über und über bewaldet war. </w:t>
      </w:r>
      <w:r w:rsidRPr="002F7766">
        <w:rPr>
          <w:rFonts w:ascii="Garamond" w:hAnsi="Garamond" w:cs="Arial"/>
          <w:i/>
          <w:iCs/>
          <w:lang w:val="en-GB"/>
        </w:rPr>
        <w:t>Madeira</w:t>
      </w:r>
      <w:r w:rsidRPr="002F7766">
        <w:rPr>
          <w:rFonts w:ascii="Garamond" w:hAnsi="Garamond" w:cs="Arial"/>
          <w:lang w:val="en-GB"/>
        </w:rPr>
        <w:t xml:space="preserve"> heißt nämlich in der Sprache der Portugiesen: Holz. Sie erkennen aber, daß </w:t>
      </w:r>
      <w:r w:rsidRPr="002F7766">
        <w:rPr>
          <w:rFonts w:ascii="Garamond" w:hAnsi="Garamond" w:cs="Arial"/>
          <w:i/>
          <w:iCs/>
          <w:lang w:val="en-GB"/>
        </w:rPr>
        <w:t>madeira</w:t>
      </w:r>
      <w:r w:rsidRPr="002F7766">
        <w:rPr>
          <w:rFonts w:ascii="Garamond" w:hAnsi="Garamond" w:cs="Arial"/>
          <w:lang w:val="en-GB"/>
        </w:rPr>
        <w:t xml:space="preserve"> nichts anderes ist als das wenig veränderte lateinische Wort </w:t>
      </w:r>
      <w:r w:rsidRPr="002F7766">
        <w:rPr>
          <w:rFonts w:ascii="Garamond" w:hAnsi="Garamond" w:cs="Arial"/>
          <w:i/>
          <w:iCs/>
          <w:lang w:val="en-GB"/>
        </w:rPr>
        <w:t>materia</w:t>
      </w:r>
      <w:r w:rsidRPr="002F7766">
        <w:rPr>
          <w:rFonts w:ascii="Garamond" w:hAnsi="Garamond" w:cs="Arial"/>
          <w:lang w:val="en-GB"/>
        </w:rPr>
        <w:t>, das wiederum Stoff im allgemeinen bedeutet. Materia ist nun von mater, Mutter, abgeleitet. Der Stoff, aus dem etwas besteht, ist gleichsam sein mütterlicher Anteil. In dem symbolischen Gebrauch von Holz für Weib, Mutter, lebt also diese alte Auffassung fort.</w:t>
      </w:r>
    </w:p>
    <w:p w:rsidR="00062BE4" w:rsidRPr="002F7766" w:rsidRDefault="00062BE4" w:rsidP="00062BE4">
      <w:pPr>
        <w:rPr>
          <w:rFonts w:ascii="Garamond" w:hAnsi="Garamond" w:cs="Arial"/>
          <w:lang w:val="en-GB"/>
        </w:rPr>
      </w:pPr>
      <w:r w:rsidRPr="002F7766">
        <w:rPr>
          <w:rFonts w:ascii="Garamond" w:hAnsi="Garamond" w:cs="Arial"/>
          <w:lang w:val="en-GB"/>
        </w:rPr>
        <w:t xml:space="preserve">Die Geburt wird im Traume regelmäßig durch eine Beziehung zum Wasser ausgedrückt; man stürzt ins Wasser oder kommt aus dem Wasser, das heißt: man gebärt oder man wird geboren. Nun vergessen wir nicht, daß sich dies Symbol in zweifacher Weise auf entwicklungsgeschichtliche Wahrheit berufen kann. Nicht nur, daß alle Landsäugetiere, auch die Vorahnen des Menschen, aus Wassertieren hervorgegangen sind, – das wäre die fernerliegende Tatsache, – auch jedes einzelne Säugetier, jeder Mensch, hat die erste Phase seiner Existenz im Wasser zugebracht, nämlich als Embryo im Fruchtwasser im Leib seiner Mutter gelebt und ist mit der Geburt aus dem Wasser gekommen. Ich will nicht behaupten, daß der Träumer dies weiß, dagegen vertrete ich, daß er es nicht zu wissen braucht. Etwas anderes weiß der Träumer wahrscheinlich daher, daß man es ihm in seiner Kindheit gesagt hat, und selbst dafür will ich behaupten, daß ihm dies Wissen nichts zur Symbolbildung beigetragen hat. Man hat ihm in der Kinderstube erzählt, daß der Storch die Kinder bringt, aber woher holt er sie? Aus dem Teich, aus dem Brunnen, also wiederum aus dem Wasser. Einer meiner Patienten, dem diese Auskunft gegeben worden war, damals ein </w:t>
      </w:r>
      <w:r w:rsidRPr="002F7766">
        <w:rPr>
          <w:rFonts w:ascii="Garamond" w:hAnsi="Garamond" w:cs="Arial"/>
          <w:lang w:val="en-GB"/>
        </w:rPr>
        <w:lastRenderedPageBreak/>
        <w:t>kleines Gräflein, war hernach einen ganzen Nachmittag lang verschollen. Man fand ihn endlich am Rande des Schloßteichs liegend, das Gesichtchen über den Wasserspiegel gebeugt und eifrig spähend, ob er die Kindlein auf dem Grunde des Wassers erschauen könnte.</w:t>
      </w:r>
    </w:p>
    <w:p w:rsidR="00062BE4" w:rsidRPr="002F7766" w:rsidRDefault="00062BE4" w:rsidP="00062BE4">
      <w:pPr>
        <w:rPr>
          <w:rFonts w:ascii="Garamond" w:hAnsi="Garamond" w:cs="Arial"/>
          <w:lang w:val="en-GB"/>
        </w:rPr>
      </w:pPr>
      <w:r w:rsidRPr="002F7766">
        <w:rPr>
          <w:rFonts w:ascii="Garamond" w:hAnsi="Garamond" w:cs="Arial"/>
          <w:lang w:val="en-GB"/>
        </w:rPr>
        <w:t xml:space="preserve">In den Mythen von der Geburt des Helden, die O. Rank einer vergleichenden Untersuchung unterzogen hat, – der älteste ist der des Königs Sargon von Agade, etwa 2800 v. Chr. – spielt die Aussetzung ins Wasser und die Rettung aus dem Wasser eine überwiegende Rolle. Rank hat erkannt, daß dies Darstellungen der Geburt sind, analog der im Traume üblichen. Wenn man im Traum eine Person aus dem Wasser rettet, macht man sich zu ihrer Mutter oder zur Mutter schlechtweg; im Mythus bekennt sich eine Person, die ein Kind aus dem Wasser rettet, als die richtige Mutter des Kindes. In einem bekannten Scherz wird der intelligente Judenknabe gefragt, wer denn die Mutter des Moses war. Er antwortet unbedenklich: die Prinzessin. Aber nein, wird ihm vorgehalten, die hat ihn ja nur aus dem Wasser gezogen. So sagt </w:t>
      </w:r>
      <w:r w:rsidRPr="002F7766">
        <w:rPr>
          <w:rFonts w:ascii="Garamond" w:hAnsi="Garamond" w:cs="Arial"/>
          <w:i/>
          <w:iCs/>
          <w:lang w:val="en-GB"/>
        </w:rPr>
        <w:t>sie</w:t>
      </w:r>
      <w:r w:rsidRPr="002F7766">
        <w:rPr>
          <w:rFonts w:ascii="Garamond" w:hAnsi="Garamond" w:cs="Arial"/>
          <w:lang w:val="en-GB"/>
        </w:rPr>
        <w:t>, repliziert er und beweist damit, daß er die richtige Deutung des Mythus gefunden hat.</w:t>
      </w:r>
    </w:p>
    <w:p w:rsidR="00062BE4" w:rsidRPr="002F7766" w:rsidRDefault="00062BE4" w:rsidP="00062BE4">
      <w:pPr>
        <w:rPr>
          <w:rFonts w:ascii="Garamond" w:hAnsi="Garamond" w:cs="Arial"/>
          <w:lang w:val="en-GB"/>
        </w:rPr>
      </w:pPr>
      <w:r w:rsidRPr="002F7766">
        <w:rPr>
          <w:rFonts w:ascii="Garamond" w:hAnsi="Garamond" w:cs="Arial"/>
          <w:lang w:val="en-GB"/>
        </w:rPr>
        <w:t xml:space="preserve">Das Abreisen bedeutet im Traum Sterben. Es ist auch der Brauch der Kinderstube, wenn sich das Kind nach dem Verbleib eines Verstorbenen erkundigt, den es vermißt, ihm zu sagen, er sei </w:t>
      </w:r>
      <w:r w:rsidRPr="002F7766">
        <w:rPr>
          <w:rFonts w:ascii="Garamond" w:hAnsi="Garamond" w:cs="Arial"/>
          <w:i/>
          <w:iCs/>
          <w:lang w:val="en-GB"/>
        </w:rPr>
        <w:t>verreist</w:t>
      </w:r>
      <w:r w:rsidRPr="002F7766">
        <w:rPr>
          <w:rFonts w:ascii="Garamond" w:hAnsi="Garamond" w:cs="Arial"/>
          <w:lang w:val="en-GB"/>
        </w:rPr>
        <w:t xml:space="preserve">. Wiederum möchte ich dem Glauben widersprechen, daß das Traumsymbol von dieser gegen das Kind gebrauchten Ausrede stammt. Der Dichter bedient sich derselben Symbolbeziehung, wenn er vom Jenseits als vom unentdeckten Land spricht, von dessen Bezirk kein </w:t>
      </w:r>
      <w:r w:rsidRPr="002F7766">
        <w:rPr>
          <w:rFonts w:ascii="Garamond" w:hAnsi="Garamond" w:cs="Arial"/>
          <w:i/>
          <w:iCs/>
          <w:lang w:val="en-GB"/>
        </w:rPr>
        <w:t>Reisender</w:t>
      </w:r>
      <w:r w:rsidRPr="002F7766">
        <w:rPr>
          <w:rFonts w:ascii="Garamond" w:hAnsi="Garamond" w:cs="Arial"/>
          <w:lang w:val="en-GB"/>
        </w:rPr>
        <w:t xml:space="preserve"> ( </w:t>
      </w:r>
      <w:r w:rsidRPr="002F7766">
        <w:rPr>
          <w:rFonts w:ascii="Garamond" w:hAnsi="Garamond" w:cs="Arial"/>
          <w:i/>
          <w:iCs/>
          <w:lang w:val="en-GB"/>
        </w:rPr>
        <w:t>no traveller</w:t>
      </w:r>
      <w:r w:rsidRPr="002F7766">
        <w:rPr>
          <w:rFonts w:ascii="Garamond" w:hAnsi="Garamond" w:cs="Arial"/>
          <w:lang w:val="en-GB"/>
        </w:rPr>
        <w:t>) wiederkehrt. Auch im Alltag ist es uns durchaus gebräuchlich, von der letzten Reise zu sprechen. Jeder Kenner des alten Ritus weiß, wie ernst z. B. im altägyptischen Glauben die Vorstellung von einer Reise ins Land des Todes genommen wurde. In vielen Exemplaren ist uns das Totenbuch erhalten, welches wie ein Bädeker der Mumie auf diese Reise mitgegeben wurde. Seitdem die Begräbnisstätten von den Wohnstätten abgesondert worden sind, ist ja auch die letzte Reise des Verstorbenen eine Realität geworden.</w:t>
      </w:r>
    </w:p>
    <w:p w:rsidR="00062BE4" w:rsidRPr="002F7766" w:rsidRDefault="00062BE4" w:rsidP="00062BE4">
      <w:pPr>
        <w:rPr>
          <w:rFonts w:ascii="Garamond" w:hAnsi="Garamond" w:cs="Arial"/>
          <w:lang w:val="en-GB"/>
        </w:rPr>
      </w:pPr>
      <w:r w:rsidRPr="002F7766">
        <w:rPr>
          <w:rFonts w:ascii="Garamond" w:hAnsi="Garamond" w:cs="Arial"/>
          <w:lang w:val="en-GB"/>
        </w:rPr>
        <w:t xml:space="preserve">Ebensowenig ist etwa die Genitalsymbolik etwas, was dem Traume allein zukommt. Jeder von Ihnen wird wohl einmal so unhöflich gewesen sein, eine Frau eine » </w:t>
      </w:r>
      <w:r w:rsidRPr="002F7766">
        <w:rPr>
          <w:rFonts w:ascii="Garamond" w:hAnsi="Garamond" w:cs="Arial"/>
          <w:i/>
          <w:iCs/>
          <w:lang w:val="en-GB"/>
        </w:rPr>
        <w:t>alte Schachtel</w:t>
      </w:r>
      <w:r w:rsidRPr="002F7766">
        <w:rPr>
          <w:rFonts w:ascii="Garamond" w:hAnsi="Garamond" w:cs="Arial"/>
          <w:lang w:val="en-GB"/>
        </w:rPr>
        <w:t xml:space="preserve">« zu nennen, vielleicht ohne zu wissen, daß er sich dabei eines Genitalsymbols bedient. Im Neuen Testament heißt es: Das Weib ist ein schwaches </w:t>
      </w:r>
      <w:r w:rsidRPr="002F7766">
        <w:rPr>
          <w:rFonts w:ascii="Garamond" w:hAnsi="Garamond" w:cs="Arial"/>
          <w:i/>
          <w:iCs/>
          <w:lang w:val="en-GB"/>
        </w:rPr>
        <w:t>Gefäß</w:t>
      </w:r>
      <w:r w:rsidRPr="002F7766">
        <w:rPr>
          <w:rFonts w:ascii="Garamond" w:hAnsi="Garamond" w:cs="Arial"/>
          <w:lang w:val="en-GB"/>
        </w:rPr>
        <w:t xml:space="preserve">. Die heiligen Schriften der Juden sind in ihrem dem poetischen so angenäherten Stil erfüllt von sexualsymbolischen Ausdrücken, die nicht immer richtig verstanden worden sind und deren Auslegung z. B. im Hohen Lied zu manchen Mißverständnissen geführt hat. In der späteren hebräischen Literatur ist die Darstellung des Weibes als Haus, wobei die Tür die Geschlechtsöffnung vertritt, eine sehr verbreitete. Der Mann beklagt sich z. B. im Falle der fehlenden Jungfräulichkeit, daß er </w:t>
      </w:r>
      <w:r w:rsidRPr="002F7766">
        <w:rPr>
          <w:rFonts w:ascii="Garamond" w:hAnsi="Garamond" w:cs="Arial"/>
          <w:i/>
          <w:iCs/>
          <w:lang w:val="en-GB"/>
        </w:rPr>
        <w:t>die Tür geöffnet</w:t>
      </w:r>
      <w:r w:rsidRPr="002F7766">
        <w:rPr>
          <w:rFonts w:ascii="Garamond" w:hAnsi="Garamond" w:cs="Arial"/>
          <w:lang w:val="en-GB"/>
        </w:rPr>
        <w:t xml:space="preserve"> gefunden hat. Auch das Symbol Tisch für Weib ist in dieser Literatur bekannt. Die Frau sagt von ihrem Manne: Ich ordnete ihm den Tisch, er </w:t>
      </w:r>
      <w:r w:rsidRPr="002F7766">
        <w:rPr>
          <w:rFonts w:ascii="Garamond" w:hAnsi="Garamond" w:cs="Arial"/>
          <w:i/>
          <w:iCs/>
          <w:lang w:val="en-GB"/>
        </w:rPr>
        <w:t>aber wendete ihn um</w:t>
      </w:r>
      <w:r w:rsidRPr="002F7766">
        <w:rPr>
          <w:rFonts w:ascii="Garamond" w:hAnsi="Garamond" w:cs="Arial"/>
          <w:lang w:val="en-GB"/>
        </w:rPr>
        <w:t xml:space="preserve">. Lahme Kinder sollen dadurch entstehen, daß der Mann </w:t>
      </w:r>
      <w:r w:rsidRPr="002F7766">
        <w:rPr>
          <w:rFonts w:ascii="Garamond" w:hAnsi="Garamond" w:cs="Arial"/>
          <w:i/>
          <w:iCs/>
          <w:lang w:val="en-GB"/>
        </w:rPr>
        <w:t>den Tisch umwendet</w:t>
      </w:r>
      <w:r w:rsidRPr="002F7766">
        <w:rPr>
          <w:rFonts w:ascii="Garamond" w:hAnsi="Garamond" w:cs="Arial"/>
          <w:lang w:val="en-GB"/>
        </w:rPr>
        <w:t>. Ich entnehme diese Belege einer Abhandlung von L. Levy in Brunn: ›Die Sexualsymbolik der Bibel und des Talmuds‹.</w:t>
      </w:r>
    </w:p>
    <w:p w:rsidR="00062BE4" w:rsidRPr="002F7766" w:rsidRDefault="00062BE4" w:rsidP="00062BE4">
      <w:pPr>
        <w:rPr>
          <w:rFonts w:ascii="Garamond" w:hAnsi="Garamond" w:cs="Arial"/>
          <w:lang w:val="en-GB"/>
        </w:rPr>
      </w:pPr>
      <w:r w:rsidRPr="002F7766">
        <w:rPr>
          <w:rFonts w:ascii="Garamond" w:hAnsi="Garamond" w:cs="Arial"/>
          <w:lang w:val="en-GB"/>
        </w:rPr>
        <w:t xml:space="preserve">Daß auch die Schiffe des Traumes Weiber bedeuten, machen uns die Etymologen glaubwürdig, die behaupten, Schiff sei ursprünglich der Name eines tönernen Gefäßes gewesen und sei dasselbe Wort wie </w:t>
      </w:r>
      <w:r w:rsidRPr="002F7766">
        <w:rPr>
          <w:rFonts w:ascii="Garamond" w:hAnsi="Garamond" w:cs="Arial"/>
          <w:i/>
          <w:iCs/>
          <w:lang w:val="en-GB"/>
        </w:rPr>
        <w:t>Schaff</w:t>
      </w:r>
      <w:r w:rsidRPr="002F7766">
        <w:rPr>
          <w:rFonts w:ascii="Garamond" w:hAnsi="Garamond" w:cs="Arial"/>
          <w:lang w:val="en-GB"/>
        </w:rPr>
        <w:t xml:space="preserve">. Daß der Ofen ein Weib und Mutterleib ist, wird uns durch die griechische Sage von Periander von Korinth und seiner Frau Melissa bestätigt. Als nach Herodots Bericht der Tyrann den Schatten seiner heißgeliebten, aber aus Eifersucht von ihm ermordeten Gemahlin beschwor, um eine Auskunft von ihr zu bekommen, beglaubigte sich die Tote durch die Mahnung, daß er, Periander, </w:t>
      </w:r>
      <w:r w:rsidRPr="002F7766">
        <w:rPr>
          <w:rFonts w:ascii="Garamond" w:hAnsi="Garamond" w:cs="Arial"/>
          <w:i/>
          <w:iCs/>
          <w:lang w:val="en-GB"/>
        </w:rPr>
        <w:t>sein Brot in einen kalten Ofen geschoben</w:t>
      </w:r>
      <w:r w:rsidRPr="002F7766">
        <w:rPr>
          <w:rFonts w:ascii="Garamond" w:hAnsi="Garamond" w:cs="Arial"/>
          <w:lang w:val="en-GB"/>
        </w:rPr>
        <w:t xml:space="preserve">, als Verhüllung eines Vorganges, der keiner anderen Person bekannt sein konnte. In der von F. S. Krauß herausgegebenen </w:t>
      </w:r>
      <w:r w:rsidRPr="002F7766">
        <w:rPr>
          <w:rFonts w:ascii="Garamond" w:hAnsi="Garamond" w:cs="Arial"/>
          <w:i/>
          <w:iCs/>
          <w:lang w:val="en-GB"/>
        </w:rPr>
        <w:t>Anthropophyteia</w:t>
      </w:r>
      <w:r w:rsidRPr="002F7766">
        <w:rPr>
          <w:rFonts w:ascii="Garamond" w:hAnsi="Garamond" w:cs="Arial"/>
          <w:lang w:val="en-GB"/>
        </w:rPr>
        <w:t xml:space="preserve">, einem unersetzlichen Quellenwerk für alles, was das Geschlechtsleben der Völker betrifft, lesen wir, daß man in einer bestimmten deutschen Landschaft von einer Frau, die entbunden hat, sagt: </w:t>
      </w:r>
      <w:r w:rsidRPr="002F7766">
        <w:rPr>
          <w:rFonts w:ascii="Garamond" w:hAnsi="Garamond" w:cs="Arial"/>
          <w:i/>
          <w:iCs/>
          <w:lang w:val="en-GB"/>
        </w:rPr>
        <w:t>Der Ofen ist bei ihr zusammengebrochen</w:t>
      </w:r>
      <w:r w:rsidRPr="002F7766">
        <w:rPr>
          <w:rFonts w:ascii="Garamond" w:hAnsi="Garamond" w:cs="Arial"/>
          <w:lang w:val="en-GB"/>
        </w:rPr>
        <w:t>. Die Feuerbereitung und alles, was mit ihr zusammenhängt, ist auf das innigste von Sexualsymbolik durchsetzt. Stets ist die Flamme ein männliches Genitale, und die Feuerstelle, der Herd, ein weiblicher Schoß.</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Wenn Sie sich vielleicht darüber verwundert haben, wie häufig Landschaften im Traum zur Darstellung des weiblichen Genitales verwendet werden, so lassen Sie sich von den Mythologen belehren, welche Rolle </w:t>
      </w:r>
      <w:r w:rsidRPr="002F7766">
        <w:rPr>
          <w:rFonts w:ascii="Garamond" w:hAnsi="Garamond" w:cs="Arial"/>
          <w:i/>
          <w:iCs/>
          <w:lang w:val="en-GB"/>
        </w:rPr>
        <w:t>Mutter Erde</w:t>
      </w:r>
      <w:r w:rsidRPr="002F7766">
        <w:rPr>
          <w:rFonts w:ascii="Garamond" w:hAnsi="Garamond" w:cs="Arial"/>
          <w:lang w:val="en-GB"/>
        </w:rPr>
        <w:t xml:space="preserve"> in den Vorstellungen und Kulten der alten Zeit gespielt hat und wie die Auffassung des Ackerbaues von dieser Symbolik bestimmt wurde. Daß das Zimmer im Traum ein Frauenzimmer vorstellt, werden Sie geneigt sein aus unserem Sprachgebrauch abzuleiten, der Frauenzimmer anstatt Frau setzt, also die menschliche Person durch die für sie bestimmte Räumlichkeit vertreten werden läßt. So ähnlich sprechen wir von der »Hohen Pforte« und meinen damit den Sultan und seine Regierung; auch der Name des altägyptischen Herrschers </w:t>
      </w:r>
      <w:r w:rsidRPr="002F7766">
        <w:rPr>
          <w:rFonts w:ascii="Garamond" w:hAnsi="Garamond" w:cs="Arial"/>
          <w:i/>
          <w:iCs/>
          <w:lang w:val="en-GB"/>
        </w:rPr>
        <w:t>Pharao</w:t>
      </w:r>
      <w:r w:rsidRPr="002F7766">
        <w:rPr>
          <w:rFonts w:ascii="Garamond" w:hAnsi="Garamond" w:cs="Arial"/>
          <w:lang w:val="en-GB"/>
        </w:rPr>
        <w:t xml:space="preserve"> bedeutete nichts anderes als »großer Hofraum«. (Im alten Orient sind die Höfe zwischen den Doppeltoren der Stadt Orte der Zusammenkunft wie in der klassischen Welt die Marktplätze.) Allein ich meine, diese Ableitung ist eine allzu oberflächliche. Es ist mir wahrscheinlicher, daß das Zimmer als der den Menschen umschließende Raum zum Symbol des Weibes geworden ist. Das Haus kennen wir ja schon in solcher Bedeutung; aus der Mythologie und aus dem poetischen Stil dürfen wir </w:t>
      </w:r>
      <w:r w:rsidRPr="002F7766">
        <w:rPr>
          <w:rFonts w:ascii="Garamond" w:hAnsi="Garamond" w:cs="Arial"/>
          <w:i/>
          <w:iCs/>
          <w:lang w:val="en-GB"/>
        </w:rPr>
        <w:t>Stadt, Burg, Schloß, Festung</w:t>
      </w:r>
      <w:r w:rsidRPr="002F7766">
        <w:rPr>
          <w:rFonts w:ascii="Garamond" w:hAnsi="Garamond" w:cs="Arial"/>
          <w:lang w:val="en-GB"/>
        </w:rPr>
        <w:t xml:space="preserve"> als weitere Symbole für das Weib hinzunehmen. Die Frage wäre an Träumen solcher Personen, die nicht Deutsch sprechen und es nicht verstehen, leicht zu entscheiden. Ich habe in den letzten Jahren vorwiegend fremdsprachige Patienten behandelt und glaube mich zu erinnern, daß in deren Träumen das Zimmer gleichfalls ein Frauenzimmer bedeutete, obwohl sie keinen analogen Sprachgebrauch in ihren Sprachen hatten. Es sind noch andere Anzeichen dafür vorhanden, daß die Symbolbeziehung über die Sprachgrenzen hinausgehen kann, was übrigens schon der alte Traumforscher Schubert behauptet hat. Indes, keiner meiner Träumer war des Deutschen völlig unkundig, so daß ich diese Unterscheidung jenen Psychoanalytikern überlassen muß, die in anderen Ländern an einsprachigen Personen Erfahrungen sammeln können.</w:t>
      </w:r>
    </w:p>
    <w:p w:rsidR="00062BE4" w:rsidRPr="002F7766" w:rsidRDefault="00062BE4" w:rsidP="00062BE4">
      <w:pPr>
        <w:rPr>
          <w:rFonts w:ascii="Garamond" w:hAnsi="Garamond" w:cs="Arial"/>
          <w:lang w:val="en-GB"/>
        </w:rPr>
      </w:pPr>
      <w:r w:rsidRPr="002F7766">
        <w:rPr>
          <w:rFonts w:ascii="Garamond" w:hAnsi="Garamond" w:cs="Arial"/>
          <w:lang w:val="en-GB"/>
        </w:rPr>
        <w:t xml:space="preserve">Unter den Symboldarstellungen des männlichen Genitales ist kaum eine, die nicht im scherzhaften, vulgären oder im poetischen Sprachgebrauch, zumal bei den altklassischen Dichtern, wiederkehrte. Es kommen hierfür aber nicht nur die im Traume auftretenden Symbole in Betracht, sondern auch neue, z. B. die Werkzeuge verschiedener Verrichtungen, in erster Reihe der Pflug. Im übrigen nahen wir mit der Symboldarstellung des Männlichen einem sehr ausgedehnten und vielumstrittenen Gebiet, von dem wir uns aus ökonomischen Motiven fernehalten wollen. Nur dem einen, gleichsam aus der Reihe fallenden Symbol der 3 möchte ich einige Bemerkungen widmen. Ob diese Zahl nicht etwa ihre Heiligkeit dieser Symbolbeziehung verdankt, bleibe dahingestellt. Gesichert scheint aber, daß manche in der Natur vorkommende dreiteilige Dinge ihre Verwendung zu Wappen und Emblemen von solcher Symbolbedeutung ableiten, z. B. das Kleeblatt. Auch die dreiteilige sogenannte französische Lilie und das sonderbare Wappen zweier so weit voneinander entfernten Inseln wie Sizilien und die Isle of Man, das </w:t>
      </w:r>
      <w:r w:rsidRPr="002F7766">
        <w:rPr>
          <w:rFonts w:ascii="Garamond" w:hAnsi="Garamond" w:cs="Arial"/>
          <w:i/>
          <w:iCs/>
          <w:lang w:val="en-GB"/>
        </w:rPr>
        <w:t>Triskeles</w:t>
      </w:r>
      <w:r w:rsidRPr="002F7766">
        <w:rPr>
          <w:rFonts w:ascii="Garamond" w:hAnsi="Garamond" w:cs="Arial"/>
          <w:lang w:val="en-GB"/>
        </w:rPr>
        <w:t xml:space="preserve"> (drei halbgebeugte Beine von einem Mittelpunkt ausgehend) sollen nur Umstilisierungen eines männlichen Genitales sein. Ebenbilder des männlichen Gliedes galten im Altertum als die kräftigsten Abwehrmittel ( </w:t>
      </w:r>
      <w:r w:rsidRPr="002F7766">
        <w:rPr>
          <w:rFonts w:ascii="Garamond" w:hAnsi="Garamond" w:cs="Arial"/>
          <w:i/>
          <w:iCs/>
          <w:lang w:val="en-GB"/>
        </w:rPr>
        <w:t>Apotropaea</w:t>
      </w:r>
      <w:r w:rsidRPr="002F7766">
        <w:rPr>
          <w:rFonts w:ascii="Garamond" w:hAnsi="Garamond" w:cs="Arial"/>
          <w:lang w:val="en-GB"/>
        </w:rPr>
        <w:t xml:space="preserve">) gegen böse Einflüsse, und es steht im Zusammenhange damit, daß die glückbringenden Amulette unserer Zeit sämtlich leicht als Genital- oder Sexualsymbole zu erkennen sind. Betrachten wir eine solche Sammlung, wie sie etwa in Form kleiner silberner Anhängsel getragen wird: ein vierblättriges Kleeblatt, ein Schwein, ein Pilz, ein Hufeisen, eine Leiter, ein Rauchfangkehrer. Das vierblättrige Kleeblatt ist an die Stelle des eigentlich zum Symbol geeigneten dreiblättrigen getreten; das Schwein ist ein altes Fruchtbarkeitssymbol; der Pilz ist ein unzweifelhaftes Penissymbol, es gibt Pilze, die ihrer unverkennbaren Ähnlichkeit mit dem männlichen Glied ihren systematischen Namen verdanken ( </w:t>
      </w:r>
      <w:r w:rsidRPr="002F7766">
        <w:rPr>
          <w:rFonts w:ascii="Garamond" w:hAnsi="Garamond" w:cs="Arial"/>
          <w:i/>
          <w:iCs/>
          <w:lang w:val="en-GB"/>
        </w:rPr>
        <w:t>Phallus impudicus</w:t>
      </w:r>
      <w:r w:rsidRPr="002F7766">
        <w:rPr>
          <w:rFonts w:ascii="Garamond" w:hAnsi="Garamond" w:cs="Arial"/>
          <w:lang w:val="en-GB"/>
        </w:rPr>
        <w:t xml:space="preserve">); das Hufeisen wiederholt den Umriß der weiblichen Geschlechtsöffnung, und der Rauchfangkehrer, der die Leiter trägt, taugt in diese Gemeinschaft, weil er eine jener Hantierungen übt, mit denen der Geschlechtsverkehr vulgärerweise verglichen wird (S. die </w:t>
      </w:r>
      <w:r w:rsidRPr="002F7766">
        <w:rPr>
          <w:rFonts w:ascii="Garamond" w:hAnsi="Garamond" w:cs="Arial"/>
          <w:i/>
          <w:iCs/>
          <w:lang w:val="en-GB"/>
        </w:rPr>
        <w:t>Anthropophyteia</w:t>
      </w:r>
      <w:r w:rsidRPr="002F7766">
        <w:rPr>
          <w:rFonts w:ascii="Garamond" w:hAnsi="Garamond" w:cs="Arial"/>
          <w:lang w:val="en-GB"/>
        </w:rPr>
        <w:t xml:space="preserve">). Seine Leiter haben wir im Traume als Sexualsymbol kennengelernt; der deutsche Sprachgebrauch kommt uns hier zu Hilfe, der uns zeigt, wie das Wort »steigen« in exquisit sexuellem Sinn angewendet wird. Man sagt: » </w:t>
      </w:r>
      <w:r w:rsidRPr="002F7766">
        <w:rPr>
          <w:rFonts w:ascii="Garamond" w:hAnsi="Garamond" w:cs="Arial"/>
          <w:i/>
          <w:iCs/>
          <w:lang w:val="en-GB"/>
        </w:rPr>
        <w:t>Den Frauen nachsteigen</w:t>
      </w:r>
      <w:r w:rsidRPr="002F7766">
        <w:rPr>
          <w:rFonts w:ascii="Garamond" w:hAnsi="Garamond" w:cs="Arial"/>
          <w:lang w:val="en-GB"/>
        </w:rPr>
        <w:t xml:space="preserve">« und »ein alter </w:t>
      </w:r>
      <w:r w:rsidRPr="002F7766">
        <w:rPr>
          <w:rFonts w:ascii="Garamond" w:hAnsi="Garamond" w:cs="Arial"/>
          <w:i/>
          <w:iCs/>
          <w:lang w:val="en-GB"/>
        </w:rPr>
        <w:t>Steiger</w:t>
      </w:r>
      <w:r w:rsidRPr="002F7766">
        <w:rPr>
          <w:rFonts w:ascii="Garamond" w:hAnsi="Garamond" w:cs="Arial"/>
          <w:lang w:val="en-GB"/>
        </w:rPr>
        <w:t xml:space="preserve">«. Im Französischen, wo die Stufe </w:t>
      </w:r>
      <w:r w:rsidRPr="002F7766">
        <w:rPr>
          <w:rFonts w:ascii="Garamond" w:hAnsi="Garamond" w:cs="Arial"/>
          <w:i/>
          <w:iCs/>
          <w:lang w:val="en-GB"/>
        </w:rPr>
        <w:t>la marche</w:t>
      </w:r>
      <w:r w:rsidRPr="002F7766">
        <w:rPr>
          <w:rFonts w:ascii="Garamond" w:hAnsi="Garamond" w:cs="Arial"/>
          <w:lang w:val="en-GB"/>
        </w:rPr>
        <w:t xml:space="preserve"> heißt, finden wir ganz analog für einen alten Lebemann den Ausdruck » </w:t>
      </w:r>
      <w:r w:rsidRPr="002F7766">
        <w:rPr>
          <w:rFonts w:ascii="Garamond" w:hAnsi="Garamond" w:cs="Arial"/>
          <w:i/>
          <w:iCs/>
          <w:lang w:val="en-GB"/>
        </w:rPr>
        <w:t>un vieux marcheur</w:t>
      </w:r>
      <w:r w:rsidRPr="002F7766">
        <w:rPr>
          <w:rFonts w:ascii="Garamond" w:hAnsi="Garamond" w:cs="Arial"/>
          <w:lang w:val="en-GB"/>
        </w:rPr>
        <w:t xml:space="preserve">«. Daß der Geschlechtsverkehr vieler </w:t>
      </w:r>
      <w:r w:rsidRPr="002F7766">
        <w:rPr>
          <w:rFonts w:ascii="Garamond" w:hAnsi="Garamond" w:cs="Arial"/>
          <w:lang w:val="en-GB"/>
        </w:rPr>
        <w:lastRenderedPageBreak/>
        <w:t xml:space="preserve">großer Tiere ein Steigen, </w:t>
      </w:r>
      <w:r w:rsidRPr="002F7766">
        <w:rPr>
          <w:rFonts w:ascii="Garamond" w:hAnsi="Garamond" w:cs="Arial"/>
          <w:i/>
          <w:iCs/>
          <w:lang w:val="en-GB"/>
        </w:rPr>
        <w:t>Besteigen</w:t>
      </w:r>
      <w:r w:rsidRPr="002F7766">
        <w:rPr>
          <w:rFonts w:ascii="Garamond" w:hAnsi="Garamond" w:cs="Arial"/>
          <w:lang w:val="en-GB"/>
        </w:rPr>
        <w:t xml:space="preserve"> des Weibchens, zur Voraussetzung hat, ist diesem Zusammenhang wahrscheinlich nicht fremd.</w:t>
      </w:r>
    </w:p>
    <w:p w:rsidR="00062BE4" w:rsidRPr="002F7766" w:rsidRDefault="00062BE4" w:rsidP="00062BE4">
      <w:pPr>
        <w:rPr>
          <w:rFonts w:ascii="Garamond" w:hAnsi="Garamond" w:cs="Arial"/>
          <w:lang w:val="en-GB"/>
        </w:rPr>
      </w:pPr>
      <w:r w:rsidRPr="002F7766">
        <w:rPr>
          <w:rFonts w:ascii="Garamond" w:hAnsi="Garamond" w:cs="Arial"/>
          <w:lang w:val="en-GB"/>
        </w:rPr>
        <w:t>Das Abreißen eines Astes als symbolische Darstellung der Onanie stimmt nicht nur zu vulgären Bezeichnungen des onanistischen Aktes, sondern hat auch weitgehende mythologische Parallelen. Besonders merkwürdig ist aber die Darstellung der Onanie oder besser der Strafe dafür, der Kastration, durch Zahnausfall und Zahnausreißen, weil sich dazu ein Gegenstück aus der Völkerkunde findet, das den wenigsten Träumern bekannt sein dürfte. Es scheint mir nicht zweifelhaft, daß die bei so vielen Völkern geübte Beschneidung ein Äquivalent und eine Ablösung der Kastration ist. Und nun wird uns berichtet, daß in Australien gewisse primitive Stämme die Beschneidung als Pubertätsritus ausführen (zur Mannbarkeitsfeier der Jugend), während andere, ganz nahe wohnende, an Stelle dieses Aktes das Ausschlagen eines Zahnes gesetzt haben.</w:t>
      </w:r>
    </w:p>
    <w:p w:rsidR="00062BE4" w:rsidRPr="002F7766" w:rsidRDefault="00062BE4" w:rsidP="00062BE4">
      <w:pPr>
        <w:rPr>
          <w:rFonts w:ascii="Garamond" w:hAnsi="Garamond" w:cs="Arial"/>
          <w:lang w:val="en-GB"/>
        </w:rPr>
      </w:pPr>
      <w:r w:rsidRPr="002F7766">
        <w:rPr>
          <w:rFonts w:ascii="Garamond" w:hAnsi="Garamond" w:cs="Arial"/>
          <w:lang w:val="en-GB"/>
        </w:rPr>
        <w:t>Ich beende meine Darstellung mit diesen Proben. Es sind nur Proben; wir wissen mehr darüber, und Sie mögen sich vorstellen, um wie viel reichhaltiger und interessanter eine derartige Sammlung ausfallen würde, die nicht von Dilettanten wie wir, sondern von den richtigen Fachleuten in der Mythologie, Anthropologie, Sprachwissenschaft, im Folklore angestellt wäre. Es drängt uns zu einigen Folgerungen, die nicht erschöpfend sein können, aber uns viel zu denken geben werden.</w:t>
      </w:r>
    </w:p>
    <w:p w:rsidR="00062BE4" w:rsidRPr="002F7766" w:rsidRDefault="00062BE4" w:rsidP="00062BE4">
      <w:pPr>
        <w:rPr>
          <w:rFonts w:ascii="Garamond" w:hAnsi="Garamond" w:cs="Arial"/>
          <w:lang w:val="en-GB"/>
        </w:rPr>
      </w:pPr>
      <w:r w:rsidRPr="002F7766">
        <w:rPr>
          <w:rFonts w:ascii="Garamond" w:hAnsi="Garamond" w:cs="Arial"/>
          <w:lang w:val="en-GB"/>
        </w:rPr>
        <w:t>Fürs erste sind wir vor die Tatsache gestellt, daß dem Träumer die symbolische Ausdrucksweise zu Gebote steht, die er im Wachen nicht kennt und nicht wiedererkennt. Das ist so verwunderlich, wie wenn Sie die Entdeckung machen würden, daß Ihr Stubenmädchen Sanskrit versteht, obwohl Sie wissen, daß sie in einem böhmischen Dorf geboren ist und es nie gelernt hat. Es ist nicht leicht, diese Tatsache mit unseren psychologischen Anschauungen zu bewältigen. Wir können nur sagen, die Kenntnis der Symbolik ist dem Träumer unbewußt, sie gehört seinem unbewußten Geistesleben an. Wir kommen aber auch mit dieser Annahme nicht nach. Bisher hatten wir nur notwendig, unbewußte Strebungen anzunehmen, solche, von denen man zeitweilig oder dauernd nichts weiß. Jetzt aber handelt es sich um mehr, geradezu um unbewußte Kenntnisse, um Denkbeziehungen, Vergleichungen zwischen verschiedenen Objekten, die dazu führen, daß das eine konstant an Stelle des anderen gesetzt werden kann. Diese Vergleichungen werden nicht jedesmal neu angestellt, sondern sie liegen bereit, sie sind ein- für allemal fertig; das geht ja aus ihrer Übereinstimmung bei verschiedenen Personen, ja vielleicht Übereinstimmung trotz der Sprachverschiedenheit, hervor.</w:t>
      </w:r>
    </w:p>
    <w:p w:rsidR="00062BE4" w:rsidRPr="002F7766" w:rsidRDefault="00062BE4" w:rsidP="00062BE4">
      <w:pPr>
        <w:rPr>
          <w:rFonts w:ascii="Garamond" w:hAnsi="Garamond" w:cs="Arial"/>
          <w:lang w:val="en-GB"/>
        </w:rPr>
      </w:pPr>
      <w:r w:rsidRPr="002F7766">
        <w:rPr>
          <w:rFonts w:ascii="Garamond" w:hAnsi="Garamond" w:cs="Arial"/>
          <w:lang w:val="en-GB"/>
        </w:rPr>
        <w:t>Woher soll die Kenntnis dieser Symbolbeziehungen kommen? Der Sprachgebrauch deckt nur einen kleinen Teil derselben. Die vielfältigen Parallelen aus anderen Gebieten sind dem Träumer zumeist unbekannt; auch wir mußten sie erst mühsam zusammensuchen.</w:t>
      </w:r>
    </w:p>
    <w:p w:rsidR="00062BE4" w:rsidRPr="002F7766" w:rsidRDefault="00062BE4" w:rsidP="00062BE4">
      <w:pPr>
        <w:rPr>
          <w:rFonts w:ascii="Garamond" w:hAnsi="Garamond" w:cs="Arial"/>
          <w:lang w:val="en-GB"/>
        </w:rPr>
      </w:pPr>
      <w:r w:rsidRPr="002F7766">
        <w:rPr>
          <w:rFonts w:ascii="Garamond" w:hAnsi="Garamond" w:cs="Arial"/>
          <w:lang w:val="en-GB"/>
        </w:rPr>
        <w:t xml:space="preserve">Zweitens sind diese Symbolbeziehungen nichts, was dem Träumer oder der Traumarbeit, durch die sie zum Ausdruck kommen, eigentümlich wäre. Wir haben ja erfahren, derselben Symbolik bedienen sich Mythen und Märchen, das Volk in seinen Sprüchen und Liedern, der gemeine Sprachgebrauch und die dichterische Phantasie. Das Gebiet der Symbolik ist ein ungemein großes, die Traumsymbolik ist nur ein kleiner Teil davon; es ist nicht einmal zweckmäßig, das ganze Problem vom Traum aus in Angriff zu nehmen. Viele der anderswo gebräuchlichen Symbole kommen im Traum nicht oder nur sehr selten vor; manche der Traumsymbole finden sich nicht auf allen anderen Gebieten wieder, sondern, wie Sie gesehen haben, nur hier und dort. Man bekommt den Eindruck, daß hier eine alte, aber untergegangene Ausdrucksweise vorliegt, von welcher sich auf verschiedenen Gebieten Verschiedenes erhalten hat, das eine nur hier, das andere nur dort, ein drittes vielleicht in leicht veränderten Formen auf mehreren Gebieten. Ich muß hier der Phantasie eines interessanten Geisteskranken gedenken, welcher eine » </w:t>
      </w:r>
      <w:r w:rsidRPr="002F7766">
        <w:rPr>
          <w:rFonts w:ascii="Garamond" w:hAnsi="Garamond" w:cs="Arial"/>
          <w:i/>
          <w:iCs/>
          <w:lang w:val="en-GB"/>
        </w:rPr>
        <w:t>Grundsprache</w:t>
      </w:r>
      <w:r w:rsidRPr="002F7766">
        <w:rPr>
          <w:rFonts w:ascii="Garamond" w:hAnsi="Garamond" w:cs="Arial"/>
          <w:lang w:val="en-GB"/>
        </w:rPr>
        <w:t>« imaginiert hatte, von welcher all diese Symbolbeziehungen die Überreste wären.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Drittens muß Ihnen auffallen, daß die Symbolik auf den genannten anderen Gebieten keineswegs nur Sexualsymbolik ist, während im Traume die Symbole fast ausschließend zum Ausdruck sexueller Objekte und Beziehungen verwendet werden. Auch das ist nicht leicht erklärlich. Sollten ursprünglich sexuell bedeutsame Symbole später eine andere Anwendung erhalten haben, und hinge damit etwa noch die Abschwächung von der symbolischen zur andersartigen Darstellung zusammen? Diese Fragen sind offenbar nicht zu beantworten, wenn man sich nur mit der Traumsymbolik beschäftigt hat. Man darf nur an der Vermutung festhalten, daß eine besonders innige Beziehung zwischen den richtigen Symbolen und dem Sexuellen besteht.</w:t>
      </w:r>
    </w:p>
    <w:p w:rsidR="00062BE4" w:rsidRPr="002F7766" w:rsidRDefault="00062BE4" w:rsidP="00062BE4">
      <w:pPr>
        <w:rPr>
          <w:rFonts w:ascii="Garamond" w:hAnsi="Garamond" w:cs="Arial"/>
          <w:lang w:val="en-GB"/>
        </w:rPr>
      </w:pPr>
      <w:r w:rsidRPr="002F7766">
        <w:rPr>
          <w:rFonts w:ascii="Garamond" w:hAnsi="Garamond" w:cs="Arial"/>
          <w:lang w:val="en-GB"/>
        </w:rPr>
        <w:t xml:space="preserve">Ein wichtiger Fingerzeig ist uns hier in den letzten Jahren gegeben worden. Ein Sprachforscher, H. Sperber (Upsala), der unabhängig von der Psychoanalyse arbeitet, hat die Behauptung aufgestellt, daß sexuelle Bedürfnisse an der Entstehung und Weiterbildung der Sprache den größten Anteil gehabt haben. Die anfänglichen Sprachlaute haben der Mitteilung gedient und den sexuellen Partner herbeigerufen; die weitere Entwicklung der Sprachwurzeln habe die Arbeitsverrichtungen der Urmenschen begleitet. Diese Arbeiten seien gemeinsame gewesen und unter rhythmisch wiederholten Sprachäußerungen vor sich gegangen. </w:t>
      </w:r>
      <w:r w:rsidRPr="002F7766">
        <w:rPr>
          <w:rFonts w:ascii="Garamond" w:hAnsi="Garamond" w:cs="Arial"/>
        </w:rPr>
        <w:t xml:space="preserve">Dabei sei ein sexuelles Interesse auf die Arbeit verlegt worden. Der Urmensch habe sich gleichsam die Arbeit annehmbar gemacht, indem er sie als Äquivalent und Ersatz der Geschlechtstätigkeit behandelte. Das bei der gemeinsamen Arbeit hervorgestoßene Wort habe so zwei Bedeutungen gehabt, den Geschlechtsakt bezeichnet wie die ihm gleichgesetzte Arbeitstätigkeit. </w:t>
      </w:r>
      <w:r w:rsidRPr="002F7766">
        <w:rPr>
          <w:rFonts w:ascii="Garamond" w:hAnsi="Garamond" w:cs="Arial"/>
          <w:lang w:val="en-GB"/>
        </w:rPr>
        <w:t>Mit der Zeit habe sich das Wort von der sexuellen Bedeutung losgelöst und an diese Arbeit fixiert. Generationen später sei es mit einem neuen Wort, das nun die Sexualbedeutung hatte und auf eine neue Art von Arbeit angewendet wurde, ebenso ergangen. Auf solche Weise hätte sich eine Anzahl von Sprachwurzeln gebildet, die alle sexueller Herkunft waren und ihre sexuelle Bedeutung abgegeben hatten. Wenn die hier skizzierte Aufstellung das Richtige trifft, eröffnet sich uns allerdings eine Möglichkeit des Verständnisses für die Traumsymbolik. Wir würden begreifen, warum es im Traum, der etwas von diesen ältesten Verhältnissen bewahrt, so außerordentlich viele Symbole für das Geschlechtliche gibt, warum allgemein Waffen und Werkzeuge immer für das Männliche, die Stoffe und das Bearbeitete fürs Weibliche stehen. Die Symbolbeziehung wäre der Überrest der alten Wortidentität; Dinge, die einmal gleich geheißen haben wie das Genitale, könnten jetzt im Traum als Symbole für dasselbe eintreten.</w:t>
      </w:r>
    </w:p>
    <w:p w:rsidR="00062BE4" w:rsidRPr="002F7766" w:rsidRDefault="00062BE4" w:rsidP="00062BE4">
      <w:pPr>
        <w:rPr>
          <w:rFonts w:ascii="Garamond" w:hAnsi="Garamond" w:cs="Arial"/>
          <w:lang w:val="en-GB"/>
        </w:rPr>
      </w:pPr>
      <w:r w:rsidRPr="002F7766">
        <w:rPr>
          <w:rFonts w:ascii="Garamond" w:hAnsi="Garamond" w:cs="Arial"/>
          <w:lang w:val="en-GB"/>
        </w:rPr>
        <w:t xml:space="preserve">Aus unseren Parallelen zur Traumsymbolik können Sie aber auch Schätzung für den Charakter der Psychoanalyse gewinnen, der sie befähigt, Gegenstand des allgemeinen Interesses zu werden, wie weder die Psychologie noch die Psychiatrie es konnten. Es spinnen sich bei der psychoanalytischen Arbeit Beziehungen zu so vielen anderen Geisteswissenschaften an, deren Untersuchung die wertvollsten Aufschlüsse verspricht, zur Mythologie wie zur Sprachwissenschaft, zum Folklore, zur Völkerpsychologie und zur Religionslehre. Sie werden es verständlich finden, daß auf psychoanalytischem Boden eine Zeitschrift erwachsen ist, welche sich die Pflege dieser Beziehungen zur ausschließlichen Aufgabe gemacht hat, die 1912 gegründete, von Hanns Sachs und Otto Rank geleitete </w:t>
      </w:r>
      <w:r w:rsidRPr="002F7766">
        <w:rPr>
          <w:rFonts w:ascii="Garamond" w:hAnsi="Garamond" w:cs="Arial"/>
          <w:i/>
          <w:iCs/>
          <w:lang w:val="en-GB"/>
        </w:rPr>
        <w:t>Imago</w:t>
      </w:r>
      <w:r w:rsidRPr="002F7766">
        <w:rPr>
          <w:rFonts w:ascii="Garamond" w:hAnsi="Garamond" w:cs="Arial"/>
          <w:lang w:val="en-GB"/>
        </w:rPr>
        <w:t>. In all diesen Beziehungen ist die Psychoanalyse zunächst der gebende, weniger der empfangende Teil. Sie hat zwar den Vorteil davon, daß uns ihre fremdartigen Ergebnisse durch das Wiederfinden auf anderen Gebieten vertrauter werden, aber im ganzen ist es die Psychoanalyse, welche die technischen Methoden und die Gesichtspunkte beistellt, deren Anwendung sich auf jenen anderen Gebieten fruchtbar erweisen soll. Das seelische Leben des menschlichen Einzelwesens ergibt uns bei psychoanalytischer Untersuchung die Aufklärungen, mit denen wir manches Rätsel im Leben der Menschenmassen lösen oder doch ins rechte Licht rücken können.</w:t>
      </w:r>
    </w:p>
    <w:p w:rsidR="00062BE4" w:rsidRPr="002F7766" w:rsidRDefault="00062BE4" w:rsidP="00062BE4">
      <w:pPr>
        <w:rPr>
          <w:rFonts w:ascii="Garamond" w:hAnsi="Garamond" w:cs="Arial"/>
          <w:lang w:val="en-GB"/>
        </w:rPr>
      </w:pPr>
      <w:r w:rsidRPr="002F7766">
        <w:rPr>
          <w:rFonts w:ascii="Garamond" w:hAnsi="Garamond" w:cs="Arial"/>
          <w:lang w:val="en-GB"/>
        </w:rPr>
        <w:t xml:space="preserve">Übrigens habe ich Ihnen noch gar nicht gesagt, unter welchen Umständen wir die tiefste Einsicht in jene supponierte »Grundsprache« nehmen können, auf welchem Gebiet am meisten von ihr erhalten ist. </w:t>
      </w:r>
      <w:r w:rsidRPr="002F7766">
        <w:rPr>
          <w:rFonts w:ascii="Garamond" w:hAnsi="Garamond" w:cs="Arial"/>
        </w:rPr>
        <w:t xml:space="preserve">Solange Sie dies nicht wissen, können Sie auch die ganze Bedeutung des Gegenstandes nicht würdigen. </w:t>
      </w:r>
      <w:r w:rsidRPr="002F7766">
        <w:rPr>
          <w:rFonts w:ascii="Garamond" w:hAnsi="Garamond" w:cs="Arial"/>
          <w:lang w:val="en-GB"/>
        </w:rPr>
        <w:lastRenderedPageBreak/>
        <w:t>Dies Gebiet ist nämlich die Neurotik, sein Material die Symptome und andere Äußerungen der Nervösen, zu deren Aufklärung und Behandlung ja die Psychoanalyse geschaffen worden ist.</w:t>
      </w:r>
    </w:p>
    <w:p w:rsidR="00062BE4" w:rsidRPr="002F7766" w:rsidRDefault="00062BE4" w:rsidP="00062BE4">
      <w:pPr>
        <w:rPr>
          <w:rFonts w:ascii="Garamond" w:hAnsi="Garamond" w:cs="Arial"/>
          <w:lang w:val="en-GB"/>
        </w:rPr>
      </w:pPr>
      <w:r w:rsidRPr="002F7766">
        <w:rPr>
          <w:rFonts w:ascii="Garamond" w:hAnsi="Garamond" w:cs="Arial"/>
          <w:lang w:val="en-GB"/>
        </w:rPr>
        <w:t>Mein vierter Gesichtspunkt kehrt nun wieder zu unserem Ausgang zurück und lenkt in die uns vorgezeichnete Bahn ein. Wir sagten, auch wenn es keine Traumzensur gäbe, würde der Traum uns doch noch nicht leicht verständlich sein, denn dann fänden wir uns vor der Aufgabe, die Symbolsprache des Traumes in die unseres wachen Denkens zu übersetzen. Die Symbolik ist also ein zweites und unabhängiges Moment der Traumentstellung neben der Traumzensur. Es liegt aber nahe anzunehmen, daß es der Traumzensur bequem ist, sich der Symbolik zu bedienen, da diese zu demselben Ende, zur Fremdartigkeit und Unverständlichkeit des Traumes, führt.</w:t>
      </w:r>
    </w:p>
    <w:p w:rsidR="00062BE4" w:rsidRPr="002F7766" w:rsidRDefault="00062BE4" w:rsidP="00062BE4">
      <w:pPr>
        <w:rPr>
          <w:rFonts w:ascii="Garamond" w:hAnsi="Garamond" w:cs="Arial"/>
          <w:lang w:val="en-GB"/>
        </w:rPr>
      </w:pPr>
      <w:r w:rsidRPr="002F7766">
        <w:rPr>
          <w:rFonts w:ascii="Garamond" w:hAnsi="Garamond" w:cs="Arial"/>
          <w:lang w:val="en-GB"/>
        </w:rPr>
        <w:t>Ob wir bei weiterem Studium des Traumes nicht auf ein neues Moment, welches zur Traumentstellung beiträgt, stoßen werden, muß sich ja alsbald zeigen. Das Thema der Traumsymbolik möchte ich aber nicht verlassen, ohne nochmals das Rätsel zu berühren, daß sie auf so heftigen Widerstand bei den Gebildeten stoßen konnte, wo die Verbreitung der Symbolik in Mythus, Religion, Kunst und Sprache so unzweifelhaft ist. Ob nicht wiederum die Beziehung zur Sexualität die Schuld daran trägt?</w:t>
      </w:r>
    </w:p>
    <w:p w:rsidR="00062BE4" w:rsidRPr="002F7766"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2F7766">
          <w:rPr>
            <w:rStyle w:val="Lienhypertexte"/>
            <w:rFonts w:ascii="Garamond" w:hAnsi="Garamond" w:cs="Arial"/>
            <w:b/>
            <w:bCs/>
            <w:lang w:val="en-GB"/>
          </w:rPr>
          <w:t>11. Vo</w:t>
        </w:r>
        <w:bookmarkStart w:id="278" w:name="Vorlesungen_11"/>
        <w:bookmarkEnd w:id="278"/>
        <w:r w:rsidRPr="002F7766">
          <w:rPr>
            <w:rStyle w:val="Lienhypertexte"/>
            <w:rFonts w:ascii="Garamond" w:hAnsi="Garamond" w:cs="Arial"/>
            <w:b/>
            <w:bCs/>
            <w:lang w:val="en-GB"/>
          </w:rPr>
          <w:t>rlesung. Die Traumarbeit</w:t>
        </w:r>
      </w:hyperlink>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Wenn Sie die Traumzensur und die Symboldarstellung bewältigt haben, haben Sie die Traumentstellung zwar noch nicht gänzlich überwunden, aber Sie sind doch imstande, die meisten Träume zu verstehen. Sie bedienen sich dabei der beiden einander ergänzenden Techniken, rufen Einfälle des Träumers auf, bis Sie vom Ersatz zum Eigentlichen vorgedrungen sind, und setzen für die Symbole deren Bedeutung aus eigener Kenntnis ein. Von gewissen Unsicherheiten, die sich dabei ergeben, werden wir später handeln.</w:t>
      </w:r>
    </w:p>
    <w:p w:rsidR="00062BE4" w:rsidRPr="002F7766" w:rsidRDefault="00062BE4" w:rsidP="00062BE4">
      <w:pPr>
        <w:rPr>
          <w:rFonts w:ascii="Garamond" w:hAnsi="Garamond" w:cs="Arial"/>
          <w:lang w:val="en-GB"/>
        </w:rPr>
      </w:pPr>
      <w:r w:rsidRPr="002F7766">
        <w:rPr>
          <w:rFonts w:ascii="Garamond" w:hAnsi="Garamond" w:cs="Arial"/>
          <w:lang w:val="en-GB"/>
        </w:rPr>
        <w:t>Wir können nun eine Arbeit wieder aufnehmen, die wir seinerzeit mit unzureichenden Mitteln versuchten, als wir die Beziehungen zwischen den Traumelementen und ihren Eigentlichen studierten und dabei vier solcher Hauptbeziehungen feststellten, die des Teils vom Ganzen, die der Annäherung oder Anspielung, die symbolische Beziehung und die plastische Wortdarstellung. Dasselbe wollen wir im größeren Maßstabe unternehmen, indem wir den manifesten Trauminhalt im ganzen mit dem durch Deutung gefundenen latenten Traum vergleichen.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hoffe, Sie werden diese beiden nie wieder miteinander verwechseln. Wenn Sie das zustande bringen, haben Sie im Verständnis des Traumes mehr erreicht als wahrscheinlich die meisten Leser meiner </w:t>
      </w:r>
      <w:r w:rsidRPr="002F7766">
        <w:rPr>
          <w:rFonts w:ascii="Garamond" w:hAnsi="Garamond" w:cs="Arial"/>
          <w:i/>
          <w:iCs/>
          <w:lang w:val="en-GB"/>
        </w:rPr>
        <w:t>Traumdeutung</w:t>
      </w:r>
      <w:r w:rsidRPr="002F7766">
        <w:rPr>
          <w:rFonts w:ascii="Garamond" w:hAnsi="Garamond" w:cs="Arial"/>
          <w:lang w:val="en-GB"/>
        </w:rPr>
        <w:t xml:space="preserve">. Lassen Sie sich auch noch einmal vorhalten, daß jene Arbeit, welche den latenten Traum in den manifesten umsetzt, die </w:t>
      </w:r>
      <w:r w:rsidRPr="002F7766">
        <w:rPr>
          <w:rFonts w:ascii="Garamond" w:hAnsi="Garamond" w:cs="Arial"/>
          <w:i/>
          <w:iCs/>
          <w:lang w:val="en-GB"/>
        </w:rPr>
        <w:t>Traumarbeit</w:t>
      </w:r>
      <w:r w:rsidRPr="002F7766">
        <w:rPr>
          <w:rFonts w:ascii="Garamond" w:hAnsi="Garamond" w:cs="Arial"/>
          <w:lang w:val="en-GB"/>
        </w:rPr>
        <w:t xml:space="preserve"> heißt. Die in entgegengesetzter Richtung fortschreitende Arbeit, welche vom manifesten Traum zum latenten gelangen will, ist unsere </w:t>
      </w:r>
      <w:r w:rsidRPr="002F7766">
        <w:rPr>
          <w:rFonts w:ascii="Garamond" w:hAnsi="Garamond" w:cs="Arial"/>
          <w:i/>
          <w:iCs/>
          <w:lang w:val="en-GB"/>
        </w:rPr>
        <w:t>Deutungsarbeit.</w:t>
      </w:r>
      <w:r w:rsidRPr="002F7766">
        <w:rPr>
          <w:rFonts w:ascii="Garamond" w:hAnsi="Garamond" w:cs="Arial"/>
          <w:lang w:val="en-GB"/>
        </w:rPr>
        <w:t xml:space="preserve"> Die Deutungsarbeit will die Traumarbeit aufheben. Die als evidente Wunscherfüllungen erkannten Träume vom infantilen Typus haben doch ein Stück der Traumarbeit an sich erfahren, nämlich die Umsetzung der Wunschform in die Realität und zumeist auch die der Gedanken in visuelle Bilder. Hier bedarf es keiner Deutung, nur der Rückbildung dieser beiden Umsetzungen. Was bei den anderen Träumen an Traumarbeit noch hinzugekommen ist, das heißen wir die </w:t>
      </w:r>
      <w:r w:rsidRPr="002F7766">
        <w:rPr>
          <w:rFonts w:ascii="Garamond" w:hAnsi="Garamond" w:cs="Arial"/>
          <w:i/>
          <w:iCs/>
          <w:lang w:val="en-GB"/>
        </w:rPr>
        <w:t>Traumentstellung</w:t>
      </w:r>
      <w:r w:rsidRPr="002F7766">
        <w:rPr>
          <w:rFonts w:ascii="Garamond" w:hAnsi="Garamond" w:cs="Arial"/>
          <w:lang w:val="en-GB"/>
        </w:rPr>
        <w:t xml:space="preserve">, und diese ist durch unsere Deutungsarbeit rückgängig zu machen. Durch die Vergleichung vieler Traumdeutungen bin ich in die Lage versetzt, Ihnen in zusammenfassender Darstellung anzugeben, was die Traumarbeit mit dem Material der latenten Traumgedanken macht. </w:t>
      </w:r>
      <w:r w:rsidRPr="002F7766">
        <w:rPr>
          <w:rFonts w:ascii="Garamond" w:hAnsi="Garamond" w:cs="Arial"/>
        </w:rPr>
        <w:t xml:space="preserve">Ich bitte Sie aber, davon nicht zuviel verstehen zu wollen. </w:t>
      </w:r>
      <w:r w:rsidRPr="002F7766">
        <w:rPr>
          <w:rFonts w:ascii="Garamond" w:hAnsi="Garamond" w:cs="Arial"/>
          <w:lang w:val="en-GB"/>
        </w:rPr>
        <w:t>Es ist ein Stück Deskription, welches mit ruhiger Aufmerksamkeit angehört werden soll.</w:t>
      </w:r>
    </w:p>
    <w:p w:rsidR="00062BE4" w:rsidRPr="002F7766" w:rsidRDefault="00062BE4" w:rsidP="00062BE4">
      <w:pPr>
        <w:rPr>
          <w:rFonts w:ascii="Garamond" w:hAnsi="Garamond" w:cs="Arial"/>
          <w:lang w:val="en-GB"/>
        </w:rPr>
      </w:pPr>
      <w:r w:rsidRPr="002F7766">
        <w:rPr>
          <w:rFonts w:ascii="Garamond" w:hAnsi="Garamond" w:cs="Arial"/>
          <w:lang w:val="en-GB"/>
        </w:rPr>
        <w:t xml:space="preserve">Die erste Leistung der Traumarbeit ist die </w:t>
      </w:r>
      <w:r w:rsidRPr="002F7766">
        <w:rPr>
          <w:rFonts w:ascii="Garamond" w:hAnsi="Garamond" w:cs="Arial"/>
          <w:i/>
          <w:iCs/>
          <w:lang w:val="en-GB"/>
        </w:rPr>
        <w:t>Verdichtung</w:t>
      </w:r>
      <w:r w:rsidRPr="002F7766">
        <w:rPr>
          <w:rFonts w:ascii="Garamond" w:hAnsi="Garamond" w:cs="Arial"/>
          <w:lang w:val="en-GB"/>
        </w:rPr>
        <w:t>. Wir verstehen darunter die Tatsache, daß der manifeste Traum weniger Inhalt hat als der latente, also eine Art von abgekürzter Übersetzung des letzteren ist. Die Verdichtung kann eventuell einmal fehlen, sie ist in der Regel vorhanden, sehr häufig enorm. Sie schlägt niemals ins Gegenteil um, d. h. es kommt nicht vor, daß der manifeste Traum umfang- und inhaltsreicher ist als der latente. Die Verdichtung kommt dadurch zustande, daß 1. gewisse latente Elemente überhaupt ausgelassen werden, 2. daß von manchen Komplexen des latenten Traumes nur ein Brocken in den manifesten übergeht, 3. daß latente Elemente, die etwas Gemeinsames haben, für den manifesten Traum zusammengelegt, zu einer Einheit verschmolzen werden.</w:t>
      </w:r>
    </w:p>
    <w:p w:rsidR="00062BE4" w:rsidRPr="002F7766" w:rsidRDefault="00062BE4" w:rsidP="00062BE4">
      <w:pPr>
        <w:rPr>
          <w:rFonts w:ascii="Garamond" w:hAnsi="Garamond" w:cs="Arial"/>
          <w:lang w:val="en-GB"/>
        </w:rPr>
      </w:pPr>
      <w:r w:rsidRPr="002F7766">
        <w:rPr>
          <w:rFonts w:ascii="Garamond" w:hAnsi="Garamond" w:cs="Arial"/>
          <w:lang w:val="en-GB"/>
        </w:rPr>
        <w:t xml:space="preserve">Wenn Sie wollen, können Sie den Namen »Verdichtung« für diesen letzten Vorgang allein reservieren. Seine Effekte sind besonders leicht zu demonstrieren. Aus Ihren eigenen Träumen werden Sie sich mühelos an die Verdichtung verschiedener Personen zu einer einzigen erinnern. Eine solche Mischperson sieht etwa aus wie A, ist aber gekleidet wie B, tut eine Verrichtung, wie man sie von C erinnert, und dabei ist noch ein Wissen, daß es die Person D ist. Durch diese Mischbildung wird natürlich etwas den vier Personen Gemeinsames besonders hervorgehoben. Ebenso wie aus Personen kann man aus Gegenständen oder aus Örtlichkeiten eine Mischbildung herstellen, wenn die Bedingung erfüllt ist, daß die einzelnen Gegenstände und Örtlichkeiten etwas, was der latente Traum betont, miteinander gemein haben. Es ist das wie eine neue und flüchtige Begriffsbildung mit diesem Gemeinsamen als Kern. Durch </w:t>
      </w:r>
      <w:r w:rsidRPr="002F7766">
        <w:rPr>
          <w:rFonts w:ascii="Garamond" w:hAnsi="Garamond" w:cs="Arial"/>
          <w:lang w:val="en-GB"/>
        </w:rPr>
        <w:lastRenderedPageBreak/>
        <w:t>das Übereinanderfallen der miteinander verdichteten Einzelnen entsteht in der Regel ein unscharfes, verschwommenes Bild, so ähnlich, wie wenn Sie mehrere Aufnahmen auf die nämliche Platte bringen.</w:t>
      </w:r>
    </w:p>
    <w:p w:rsidR="00062BE4" w:rsidRPr="002F7766" w:rsidRDefault="00062BE4" w:rsidP="00062BE4">
      <w:pPr>
        <w:rPr>
          <w:rFonts w:ascii="Garamond" w:hAnsi="Garamond" w:cs="Arial"/>
          <w:lang w:val="en-GB"/>
        </w:rPr>
      </w:pPr>
      <w:r w:rsidRPr="002F7766">
        <w:rPr>
          <w:rFonts w:ascii="Garamond" w:hAnsi="Garamond" w:cs="Arial"/>
          <w:lang w:val="en-GB"/>
        </w:rPr>
        <w:t xml:space="preserve">Der Traumarbeit muß an der Herstellung solcher Mischbildungen viel gelegen sein, denn wir können nachweisen, daß die hierzu erforderten Gemeinsamkeiten absichtlich hergestellt werden, wo sie zunächst vermißt wurden, z. B. durch die Wahl des wörtlichen Ausdrucks für einen Gedanken. Wir haben solche Verdichtungen und Mischbildungen schon kennengelernt; sie spielten in der Entstehung mancher Fälle von Versprechen eine Rolle. Erinnern Sie sich an den jungen Mann, der eine Dame </w:t>
      </w:r>
      <w:r w:rsidRPr="002F7766">
        <w:rPr>
          <w:rFonts w:ascii="Garamond" w:hAnsi="Garamond" w:cs="Arial"/>
          <w:i/>
          <w:iCs/>
          <w:lang w:val="en-GB"/>
        </w:rPr>
        <w:t>begleitdigen</w:t>
      </w:r>
      <w:r w:rsidRPr="002F7766">
        <w:rPr>
          <w:rFonts w:ascii="Garamond" w:hAnsi="Garamond" w:cs="Arial"/>
          <w:lang w:val="en-GB"/>
        </w:rPr>
        <w:t xml:space="preserve"> wollte. Außerdem gibt es Witze, deren Technik sich auf eine solche Verdichtung zurückführt. Davon abgesehen, darf man aber behaupten, daß dieser Vorgang etwas ganz Ungewöhnliches und Befremdliches ist. Die Bildung der Mischpersonen des Traumes findet zwar Gegenstücke in manchen Schöpfungen unserer Phantasie, die leicht Bestandteile, welche in der Erfahrung nicht zusammengehören, zu einer Einheit zusammensetzt, also z. B. in den Centauren und Fabeltieren der alten Mythologie oder der Böcklinschen Bilder. Die »schöpferische« Phantasie kann ja überhaupt nichts erfinden, sondern nur einander fremde Bestandteile zusammensetzen. Aber das Sonderbare an dem Verfahren der Traumarbeit ist folgendes: Das Material, das der Traumarbeit vorliegt, sind ja Gedanken, Gedanken, von denen einige anstößig und unannehmbar sein mögen, die aber korrekt gebildet und ausgedrückt sind. Diese Gedanken werden durch die Traumarbeit in eine andere Form übergeführt, und es ist merkwürdig und unverständlich, daß bei dieser Übersetzung, Übertragung wie in eine andere Schrift oder Sprache, die Mittel der Verschmelzung und Kombination Anwendung finden. Eine Übersetzung ist doch sonst bestrebt, die im Text gegebenen Sonderungen zu achten und gerade Ähnlichkeiten auseinanderzuhalten. Die Traumarbeit bemüht sich ganz im Gegenteile, zwei verschiedene Gedanken dadurch zu verdichten, daß sie ähnlich wie der Witz ein mehrdeutiges Wort heraussucht, in dem sich die beiden Gedanken treffen können. Man muß diesen Zug nicht sofort verstehen wollen, aber er kann für die Auffassung der Traumarbeit bedeutungsvoll werden.</w:t>
      </w:r>
    </w:p>
    <w:p w:rsidR="00062BE4" w:rsidRPr="002F7766" w:rsidRDefault="00062BE4" w:rsidP="00062BE4">
      <w:pPr>
        <w:rPr>
          <w:rFonts w:ascii="Garamond" w:hAnsi="Garamond" w:cs="Arial"/>
          <w:lang w:val="en-GB"/>
        </w:rPr>
      </w:pPr>
      <w:r w:rsidRPr="002F7766">
        <w:rPr>
          <w:rFonts w:ascii="Garamond" w:hAnsi="Garamond" w:cs="Arial"/>
          <w:lang w:val="en-GB"/>
        </w:rPr>
        <w:t>Obwohl die Verdichtung den Traum undurchsichtig macht, bekommt man doch nicht den Eindruck, daß sie eine Wirkung der Traumzensur sei. Eher möchte man sie auf mechanische oder ökonomische Momente zurückführen; aber die Zensur findet jedenfalls ihre Rechnung dabei.</w:t>
      </w:r>
    </w:p>
    <w:p w:rsidR="00062BE4" w:rsidRPr="002F7766" w:rsidRDefault="00062BE4" w:rsidP="00062BE4">
      <w:pPr>
        <w:rPr>
          <w:rFonts w:ascii="Garamond" w:hAnsi="Garamond" w:cs="Arial"/>
        </w:rPr>
      </w:pPr>
      <w:r w:rsidRPr="002F7766">
        <w:rPr>
          <w:rFonts w:ascii="Garamond" w:hAnsi="Garamond" w:cs="Arial"/>
        </w:rPr>
        <w:t>Die Leistungen der Verdichtung können ganz außerordentliche sein. Mit ihrer Hilfe wird es gelegentlich möglich, zwei ganz verschiedene latente Gedankengänge in einem manifesten Traum zu vereinigen, so daß man eine anscheinend zureichende Deutung eines Traumes erhalten und dabei doch eine mögliche Überdeutung übersehen kann.</w:t>
      </w:r>
    </w:p>
    <w:p w:rsidR="00062BE4" w:rsidRPr="002F7766" w:rsidRDefault="00062BE4" w:rsidP="00062BE4">
      <w:pPr>
        <w:rPr>
          <w:rFonts w:ascii="Garamond" w:hAnsi="Garamond" w:cs="Arial"/>
          <w:lang w:val="en-GB"/>
        </w:rPr>
      </w:pPr>
      <w:r w:rsidRPr="002F7766">
        <w:rPr>
          <w:rFonts w:ascii="Garamond" w:hAnsi="Garamond" w:cs="Arial"/>
          <w:lang w:val="en-GB"/>
        </w:rPr>
        <w:t xml:space="preserve">Die Verdichtung hat auch für das Verhältnis zwischen dem latenten und dem manifesten Traum die Folge, daß keine einfache Beziehung zwischen den Elementen hier und dort bestehen bleibt. Ein manifestes Element entspricht gleichzeitig mehreren latenten, und umgekehrt kann ein latentes Element an mehreren manifesten beteiligt sein, also nach Art einer Verschränkung. </w:t>
      </w:r>
      <w:r w:rsidRPr="002F7766">
        <w:rPr>
          <w:rFonts w:ascii="Garamond" w:hAnsi="Garamond" w:cs="Arial"/>
        </w:rPr>
        <w:t xml:space="preserve">Bei der Deutung des Traumes zeigt es sich auch, daß die Einfälle zu einem einzelnen manifesten Element nicht der Reihe nach zu kommen brauchen. </w:t>
      </w:r>
      <w:r w:rsidRPr="002F7766">
        <w:rPr>
          <w:rFonts w:ascii="Garamond" w:hAnsi="Garamond" w:cs="Arial"/>
          <w:lang w:val="en-GB"/>
        </w:rPr>
        <w:t>Man muß oft abwarten, bis der ganze Traum gedeutet ist.</w:t>
      </w:r>
    </w:p>
    <w:p w:rsidR="00062BE4" w:rsidRPr="002F7766" w:rsidRDefault="00062BE4" w:rsidP="00062BE4">
      <w:pPr>
        <w:rPr>
          <w:rFonts w:ascii="Garamond" w:hAnsi="Garamond" w:cs="Arial"/>
          <w:lang w:val="en-GB"/>
        </w:rPr>
      </w:pPr>
      <w:r w:rsidRPr="002F7766">
        <w:rPr>
          <w:rFonts w:ascii="Garamond" w:hAnsi="Garamond" w:cs="Arial"/>
          <w:lang w:val="en-GB"/>
        </w:rPr>
        <w:t>Die Traumarbeit besorgt also eine sehr ungewöhnliche Art von Transkription der Traumgedanken, nicht eine Übersetzung Wort für Wort oder Zeichen für Zeichen, auch nicht eine Auswahl nach bestimmter Regel, wie wenn nur die Konsonanten eines Wortes wiedergegeben, die Vokale aber ausgelassen würden, auch nicht, was man eine Vertretung heißen könnte, daß immer ein Element an Stelle mehrerer herausgegriffen wird, sondern etwas anderes und weit Komplizierteres.</w:t>
      </w:r>
    </w:p>
    <w:p w:rsidR="00062BE4" w:rsidRPr="002F7766" w:rsidRDefault="00062BE4" w:rsidP="00062BE4">
      <w:pPr>
        <w:rPr>
          <w:rFonts w:ascii="Garamond" w:hAnsi="Garamond" w:cs="Arial"/>
          <w:lang w:val="en-GB"/>
        </w:rPr>
      </w:pPr>
      <w:r w:rsidRPr="002F7766">
        <w:rPr>
          <w:rFonts w:ascii="Garamond" w:hAnsi="Garamond" w:cs="Arial"/>
          <w:lang w:val="en-GB"/>
        </w:rPr>
        <w:t xml:space="preserve">Die zweite Leistung der Traumarbeit ist die </w:t>
      </w:r>
      <w:r w:rsidRPr="002F7766">
        <w:rPr>
          <w:rFonts w:ascii="Garamond" w:hAnsi="Garamond" w:cs="Arial"/>
          <w:i/>
          <w:iCs/>
          <w:lang w:val="en-GB"/>
        </w:rPr>
        <w:t>Verschiebung</w:t>
      </w:r>
      <w:r w:rsidRPr="002F7766">
        <w:rPr>
          <w:rFonts w:ascii="Garamond" w:hAnsi="Garamond" w:cs="Arial"/>
          <w:lang w:val="en-GB"/>
        </w:rPr>
        <w:t xml:space="preserve">. Für diese haben wir zum Glück schon vorgearbeitet; wir wissen ja, sie ist ganz das Werk der Traumzensur. Ihre beiden Äußerungen sind erstens, daß ein latentes Element nicht durch einen eigenen Bestandteil, sondern durch etwas Entfernteres, also durch eine Anspielung ersetzt wird, und zweitens, daß der psychische Akzent von einem wichtigen </w:t>
      </w:r>
      <w:r w:rsidRPr="002F7766">
        <w:rPr>
          <w:rFonts w:ascii="Garamond" w:hAnsi="Garamond" w:cs="Arial"/>
          <w:lang w:val="en-GB"/>
        </w:rPr>
        <w:lastRenderedPageBreak/>
        <w:t>Element auf ein anderes, unwichtiges übergeht, so daß der Traum anders zentriert und fremdartig erscheint.</w:t>
      </w:r>
    </w:p>
    <w:p w:rsidR="00062BE4" w:rsidRPr="002F7766" w:rsidRDefault="00062BE4" w:rsidP="00062BE4">
      <w:pPr>
        <w:rPr>
          <w:rFonts w:ascii="Garamond" w:hAnsi="Garamond" w:cs="Arial"/>
          <w:lang w:val="en-GB"/>
        </w:rPr>
      </w:pPr>
      <w:r w:rsidRPr="002F7766">
        <w:rPr>
          <w:rFonts w:ascii="Garamond" w:hAnsi="Garamond" w:cs="Arial"/>
          <w:lang w:val="en-GB"/>
        </w:rPr>
        <w:t>Die Ersetzung durch eine Anspielung ist auch in unserem wachen Denken bekannt, aber es ist ein Unterschied dabei. Im wachen Denken muß die Anspielung eine leicht verständliche sein, und der Ersatz muß in inhaltlicher Beziehung zu seinem Eigentlichen stehen. Auch der Witz bedient sich häufig der Anspielung, er läßt die Bedingung der inhaltlichen Assoziation fallen und ersetzt diese durch ungewohnte äußerliche Assoziationen wie Gleichklang und Wortvieldeutigkeit u. a. Die Bedingung der Verständlichkeit hält er aber fest; der Witz käme um jede Wirkung, wenn der Rückweg von der Anspielung zum Eigentlichen sich nicht mühelos ergeben würde. Von beiden Einschränkungen hat sich aber die Verschiebungsanspielung des Traumes frei gemacht. Sie hängt durch die äußerlichsten und entlegensten Beziehungen mit dem Element, das sie ersetzt, zusammen, ist darum unverständlich, und wenn sie rückgängig gemacht wird, macht ihre Deutung den Eindruck eines mißratenen Witzes oder einer gewaltsamen, gezwungenen, an den Haaren herbeigezogenen Auslegung. Die Traumzensur hat eben nur dann ihr Ziel erreicht, wenn es ihr gelungen ist, den Rückweg von der Anspielung zum Eigentlichen unauffindbar zu machen.</w:t>
      </w:r>
    </w:p>
    <w:p w:rsidR="00062BE4" w:rsidRPr="002F7766" w:rsidRDefault="00062BE4" w:rsidP="00062BE4">
      <w:pPr>
        <w:rPr>
          <w:rFonts w:ascii="Garamond" w:hAnsi="Garamond" w:cs="Arial"/>
          <w:lang w:val="en-GB"/>
        </w:rPr>
      </w:pPr>
      <w:r w:rsidRPr="002F7766">
        <w:rPr>
          <w:rFonts w:ascii="Garamond" w:hAnsi="Garamond" w:cs="Arial"/>
          <w:lang w:val="en-GB"/>
        </w:rPr>
        <w:t>Die Akzentverschiebung ist als Mittel des Gedankenausdrucks unerhört. Wir lassen sie im wachen Denken manchmal zu, um einen komischen Effekt zu erzielen. Den Eindruck der Verirrung, den sie macht, kann ich etwa bei Ihnen hervorrufen, wenn ich Sie an die Anekdote erinnere, daß es in einem Dorf einen Schmied gab, der sich eines todeswürdigen Verbrechens schuldig gemacht hatte. Der Gerichtshof beschloß, daß die Schuld gesühnt werde, aber da der Schmied allein im Dorfe und unentbehrlich war, dagegen drei Schneider im Dorfe wohnten, wurde einer dieser drei an seiner Statt gehängt.</w:t>
      </w:r>
    </w:p>
    <w:p w:rsidR="00062BE4" w:rsidRPr="002F7766" w:rsidRDefault="00062BE4" w:rsidP="00062BE4">
      <w:pPr>
        <w:rPr>
          <w:rFonts w:ascii="Garamond" w:hAnsi="Garamond" w:cs="Arial"/>
          <w:lang w:val="en-GB"/>
        </w:rPr>
      </w:pPr>
      <w:r w:rsidRPr="002F7766">
        <w:rPr>
          <w:rFonts w:ascii="Garamond" w:hAnsi="Garamond" w:cs="Arial"/>
          <w:lang w:val="en-GB"/>
        </w:rPr>
        <w:t>Die dritte Leistung der Traumarbeit ist die psychologisch interessanteste. Sie besteht in der Umsetzung von Gedanken in visuelle Bilder. Halten wir fest, daß nicht alles in den Traumgedanken diese Umsetzung erfährt; manches behält seine Form und erscheint auch im manifesten Traum als Gedanke oder als Wissen; auch sind visuelle Bilder nicht die einzige Form, in welche die Gedanken umgesetzt werden. Aber sie sind doch das Wesentliche an der Traumbildung; dieses Stück der Traumarbeit ist das zweitkonstanteste, wie wir schon wissen, und für einzelne Traumelemente haben wir die »plastische Wortdarstellung« bereits kennengelernt.</w:t>
      </w:r>
    </w:p>
    <w:p w:rsidR="00062BE4" w:rsidRPr="002F7766" w:rsidRDefault="00062BE4" w:rsidP="00062BE4">
      <w:pPr>
        <w:rPr>
          <w:rFonts w:ascii="Garamond" w:hAnsi="Garamond" w:cs="Arial"/>
        </w:rPr>
      </w:pPr>
      <w:r w:rsidRPr="002F7766">
        <w:rPr>
          <w:rFonts w:ascii="Garamond" w:hAnsi="Garamond" w:cs="Arial"/>
          <w:lang w:val="en-GB"/>
        </w:rPr>
        <w:t xml:space="preserve">Es ist klar, daß diese Leistung keine leichte ist. Um sich einen Begriff von ihren Schwierigkeiten zu machen, müssen Sie sich vorstellen, Sie hätten die Aufgabe übernommen, einen politischen Leitartikel einer Zeitung durch eine Reihe von Illustrationen zu ersetzen, Sie wären also von der Buchstabenschrift zur Bilderschrift zurückgeworfen. Was in diesem Artikel von Personen und konkreten Gegenständen genannt wird, das werden Sie leicht und vielleicht selbst mit Vorteil durch Bilder ersetzen, aber die Schwierigkeiten erwarten Sie bei der Darstellung aller abstrakten Worte und aller Redeteile, die Denkbeziehungen anzeigen wie der Partikeln, Konjunktionen u. dgl. Bei den abstrakten Worten werden Sie sich durch allerlei Kunstgriffe helfen können. Sie werden z. B. bemüht sein, den Text des Artikels in anderen Wortlaut umzusetzen, der vielleicht ungewohnter klingt, aber mehr konkrete und der Darstellung fähige Bestandteile enthält. Dann werden Sie sich erinnern, daß die meisten abstrakten Worte abgeblaßte konkrete sind, und werden darum, so oft Sie können, auf die ursprüngliche konkrete Bedeutung dieser Worte zurückgreifen. Sie werden also froh sein, daß Sie ein »Besitzen« eines Objekts als ein wirkliches körperliches Daraufsitzen darstellen können. So macht es auch die Traumarbeit. Große Ansprüche an die Genauigkeit der Darstellung werden Sie unter solchen Umständen kaum machen können. Sie werden es also auch der Traumarbeit hingehen lassen, daß sie z. B. ein so schwer bildlich zu bewältigendes Element wie Ehebruch durch einen anderen Bruch, einen Beinbruch, ersetzt </w:t>
      </w:r>
      <w:hyperlink r:id="rId1462"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 xml:space="preserve">Der Zufall führt mir während der Korrektur dieser Bogen eine Zeitungsnotiz zu, die ich als unerwartete Erläuterung zu den obigen Sätzen hier abdrucke: </w:t>
        </w:r>
        <w:r w:rsidRPr="002F7766">
          <w:rPr>
            <w:rFonts w:ascii="Garamond" w:hAnsi="Garamond" w:cs="Arial"/>
            <w:b/>
            <w:bCs/>
            <w:lang w:val="en-GB"/>
          </w:rPr>
          <w:br/>
        </w:r>
        <w:r w:rsidRPr="002F7766">
          <w:rPr>
            <w:rFonts w:ascii="Garamond" w:hAnsi="Garamond" w:cs="Arial"/>
            <w:b/>
            <w:bCs/>
            <w:lang w:val="en-GB"/>
          </w:rPr>
          <w:lastRenderedPageBreak/>
          <w:br/>
        </w:r>
        <w:r w:rsidRPr="002F7766">
          <w:rPr>
            <w:rStyle w:val="innerfusslink3"/>
            <w:rFonts w:ascii="Garamond" w:hAnsi="Garamond" w:cs="Arial"/>
            <w:b/>
            <w:bCs/>
            <w:lang w:val="en-GB"/>
          </w:rPr>
          <w:t xml:space="preserve">»DIE STRAFE GOTTES. ( </w:t>
        </w:r>
        <w:r w:rsidRPr="002F7766">
          <w:rPr>
            <w:rStyle w:val="innerfusslink3"/>
            <w:rFonts w:ascii="Garamond" w:hAnsi="Garamond" w:cs="Arial"/>
            <w:b/>
            <w:bCs/>
            <w:i/>
            <w:iCs/>
            <w:lang w:val="en-GB"/>
          </w:rPr>
          <w:t>Armbruch für Ehebruch.</w:t>
        </w:r>
        <w:r w:rsidRPr="002F7766">
          <w:rPr>
            <w:rStyle w:val="innerfusslink3"/>
            <w:rFonts w:ascii="Garamond" w:hAnsi="Garamond" w:cs="Arial"/>
            <w:b/>
            <w:bCs/>
            <w:lang w:val="en-GB"/>
          </w:rPr>
          <w:t xml:space="preserve">) Frau Anna M., die Gattin eines Landstürmers, verklagte Frau Klementine K. wegen </w:t>
        </w:r>
        <w:r w:rsidRPr="002F7766">
          <w:rPr>
            <w:rStyle w:val="innerfusslink3"/>
            <w:rFonts w:ascii="Garamond" w:hAnsi="Garamond" w:cs="Arial"/>
            <w:b/>
            <w:bCs/>
            <w:i/>
            <w:iCs/>
            <w:lang w:val="en-GB"/>
          </w:rPr>
          <w:t>Ehebruches</w:t>
        </w:r>
        <w:r w:rsidRPr="002F7766">
          <w:rPr>
            <w:rStyle w:val="innerfusslink3"/>
            <w:rFonts w:ascii="Garamond" w:hAnsi="Garamond" w:cs="Arial"/>
            <w:b/>
            <w:bCs/>
            <w:lang w:val="en-GB"/>
          </w:rPr>
          <w:t xml:space="preserve">. In der Klage heißt es, daß die K. mit Karl M. ein strafbares Verhältnis gepflogen habe, während ihr eigener Mann im Felde steht, von wo er ihr sogar siebzig Kronen monatlich schickt. Die K. habe von dem Gatten der Klägerin schon ziemlich </w:t>
        </w:r>
        <w:r w:rsidRPr="002F7766">
          <w:rPr>
            <w:rStyle w:val="innerfusslink3"/>
            <w:rFonts w:ascii="Garamond" w:hAnsi="Garamond" w:cs="Arial"/>
            <w:b/>
            <w:bCs/>
            <w:i/>
            <w:iCs/>
            <w:lang w:val="en-GB"/>
          </w:rPr>
          <w:t>viel Geld</w:t>
        </w:r>
        <w:r w:rsidRPr="002F7766">
          <w:rPr>
            <w:rStyle w:val="innerfusslink3"/>
            <w:rFonts w:ascii="Garamond" w:hAnsi="Garamond" w:cs="Arial"/>
            <w:b/>
            <w:bCs/>
            <w:lang w:val="en-GB"/>
          </w:rPr>
          <w:t xml:space="preserve"> erhalten, während sie mit ihrem Kinde in </w:t>
        </w:r>
        <w:r w:rsidRPr="002F7766">
          <w:rPr>
            <w:rStyle w:val="innerfusslink3"/>
            <w:rFonts w:ascii="Garamond" w:hAnsi="Garamond" w:cs="Arial"/>
            <w:b/>
            <w:bCs/>
            <w:i/>
            <w:iCs/>
            <w:lang w:val="en-GB"/>
          </w:rPr>
          <w:t>Hunger und Elend</w:t>
        </w:r>
        <w:r w:rsidRPr="002F7766">
          <w:rPr>
            <w:rStyle w:val="innerfusslink3"/>
            <w:rFonts w:ascii="Garamond" w:hAnsi="Garamond" w:cs="Arial"/>
            <w:b/>
            <w:bCs/>
            <w:lang w:val="en-GB"/>
          </w:rPr>
          <w:t xml:space="preserve"> leben müsse. Kameraden ihres Mannes hatten ihr hinterbracht, daß die K. mit M. Weinstuben besucht und dort bis in die späte Nacht hinein gezecht habe. Einmal habe die Angeklagte den Mann der Klägerin vor mehreren Infanteristen sogar gefragt, ob er sich denn nicht von seiner ›Alten‹ schon bald scheiden lasse, um zu ihr zu ziehen. Auch die Hausbesorgerin der K. habe den Mann der Klägerin wiederholt im tiefsten Negligee in der Wohnung der K. gesehen. </w:t>
        </w:r>
        <w:r w:rsidRPr="002F7766">
          <w:rPr>
            <w:rFonts w:ascii="Garamond" w:hAnsi="Garamond" w:cs="Arial"/>
            <w:b/>
            <w:bCs/>
            <w:lang w:val="en-GB"/>
          </w:rPr>
          <w:br/>
        </w:r>
        <w:r w:rsidRPr="002F7766">
          <w:rPr>
            <w:rFonts w:ascii="Garamond" w:hAnsi="Garamond" w:cs="Arial"/>
            <w:b/>
            <w:bCs/>
            <w:lang w:val="en-GB"/>
          </w:rPr>
          <w:br/>
        </w:r>
        <w:r w:rsidRPr="002F7766">
          <w:rPr>
            <w:rStyle w:val="innerfusslink3"/>
            <w:rFonts w:ascii="Garamond" w:hAnsi="Garamond" w:cs="Arial"/>
            <w:b/>
            <w:bCs/>
            <w:lang w:val="en-GB"/>
          </w:rPr>
          <w:t xml:space="preserve">Die K. </w:t>
        </w:r>
        <w:r w:rsidRPr="002F7766">
          <w:rPr>
            <w:rStyle w:val="innerfusslink3"/>
            <w:rFonts w:ascii="Garamond" w:hAnsi="Garamond" w:cs="Arial"/>
            <w:b/>
            <w:bCs/>
            <w:i/>
            <w:iCs/>
            <w:lang w:val="en-GB"/>
          </w:rPr>
          <w:t>leugnete</w:t>
        </w:r>
        <w:r w:rsidRPr="002F7766">
          <w:rPr>
            <w:rStyle w:val="innerfusslink3"/>
            <w:rFonts w:ascii="Garamond" w:hAnsi="Garamond" w:cs="Arial"/>
            <w:b/>
            <w:bCs/>
            <w:lang w:val="en-GB"/>
          </w:rPr>
          <w:t xml:space="preserve"> gestern vor einem Richter der Leopoldstadt, den M. zu kennen, von intimen Beziehungen könne schon gar keine Rede sein. </w:t>
        </w:r>
        <w:r w:rsidRPr="002F7766">
          <w:rPr>
            <w:rFonts w:ascii="Garamond" w:hAnsi="Garamond" w:cs="Arial"/>
            <w:b/>
            <w:bCs/>
            <w:lang w:val="en-GB"/>
          </w:rPr>
          <w:br/>
        </w:r>
        <w:r w:rsidRPr="002F7766">
          <w:rPr>
            <w:rFonts w:ascii="Garamond" w:hAnsi="Garamond" w:cs="Arial"/>
            <w:b/>
            <w:bCs/>
            <w:lang w:val="en-GB"/>
          </w:rPr>
          <w:br/>
        </w:r>
        <w:r w:rsidRPr="002F7766">
          <w:rPr>
            <w:rStyle w:val="innerfusslink3"/>
            <w:rFonts w:ascii="Garamond" w:hAnsi="Garamond" w:cs="Arial"/>
            <w:b/>
            <w:bCs/>
            <w:lang w:val="en-GB"/>
          </w:rPr>
          <w:t xml:space="preserve">Die Zeugin Albertine M. gab jedoch an, daß die K. den Gatten der Klägerin geküßt habe und dabei von ihr überrascht wurde. </w:t>
        </w:r>
        <w:r w:rsidRPr="002F7766">
          <w:rPr>
            <w:rFonts w:ascii="Garamond" w:hAnsi="Garamond" w:cs="Arial"/>
            <w:b/>
            <w:bCs/>
            <w:lang w:val="en-GB"/>
          </w:rPr>
          <w:br/>
        </w:r>
        <w:r w:rsidRPr="002F7766">
          <w:rPr>
            <w:rFonts w:ascii="Garamond" w:hAnsi="Garamond" w:cs="Arial"/>
            <w:b/>
            <w:bCs/>
            <w:lang w:val="en-GB"/>
          </w:rPr>
          <w:br/>
        </w:r>
        <w:r w:rsidRPr="002F7766">
          <w:rPr>
            <w:rStyle w:val="innerfusslink3"/>
            <w:rFonts w:ascii="Garamond" w:hAnsi="Garamond" w:cs="Arial"/>
            <w:b/>
            <w:bCs/>
            <w:lang w:val="en-GB"/>
          </w:rPr>
          <w:t xml:space="preserve">Der schon in einer früheren Verhandlung als Zeuge vernommene M. hatte damals die intimen Beziehungen zur Angeklagten in Abrede gestellt. Gestern lag dem Richter ein </w:t>
        </w:r>
        <w:r w:rsidRPr="002F7766">
          <w:rPr>
            <w:rStyle w:val="innerfusslink3"/>
            <w:rFonts w:ascii="Garamond" w:hAnsi="Garamond" w:cs="Arial"/>
            <w:b/>
            <w:bCs/>
            <w:i/>
            <w:iCs/>
            <w:lang w:val="en-GB"/>
          </w:rPr>
          <w:t>Brief</w:t>
        </w:r>
        <w:r w:rsidRPr="002F7766">
          <w:rPr>
            <w:rStyle w:val="innerfusslink3"/>
            <w:rFonts w:ascii="Garamond" w:hAnsi="Garamond" w:cs="Arial"/>
            <w:b/>
            <w:bCs/>
            <w:lang w:val="en-GB"/>
          </w:rPr>
          <w:t xml:space="preserve"> vor, worin der Zeuge seine in der ersten Verhandlung gemachten Aussagen widerrief und </w:t>
        </w:r>
        <w:r w:rsidRPr="002F7766">
          <w:rPr>
            <w:rStyle w:val="innerfusslink3"/>
            <w:rFonts w:ascii="Garamond" w:hAnsi="Garamond" w:cs="Arial"/>
            <w:b/>
            <w:bCs/>
            <w:i/>
            <w:iCs/>
            <w:lang w:val="en-GB"/>
          </w:rPr>
          <w:t>zugibt</w:t>
        </w:r>
        <w:r w:rsidRPr="002F7766">
          <w:rPr>
            <w:rStyle w:val="innerfusslink3"/>
            <w:rFonts w:ascii="Garamond" w:hAnsi="Garamond" w:cs="Arial"/>
            <w:b/>
            <w:bCs/>
            <w:lang w:val="en-GB"/>
          </w:rPr>
          <w:t xml:space="preserve">, bis vorigen Juni mit der K. ein Liebesverhältnis unterhalten zu haben. Er habe in der früheren Verhandlung seine Beziehungen zur Beschuldigten bloß deswegen in Abrede gestellt, weil diese vor der Verhandlung bei ihm erschienen sei und ihn </w:t>
        </w:r>
        <w:r w:rsidRPr="002F7766">
          <w:rPr>
            <w:rStyle w:val="innerfusslink3"/>
            <w:rFonts w:ascii="Garamond" w:hAnsi="Garamond" w:cs="Arial"/>
            <w:b/>
            <w:bCs/>
            <w:i/>
            <w:iCs/>
            <w:lang w:val="en-GB"/>
          </w:rPr>
          <w:t>kniefällig gebeten</w:t>
        </w:r>
        <w:r w:rsidRPr="002F7766">
          <w:rPr>
            <w:rStyle w:val="innerfusslink3"/>
            <w:rFonts w:ascii="Garamond" w:hAnsi="Garamond" w:cs="Arial"/>
            <w:b/>
            <w:bCs/>
            <w:lang w:val="en-GB"/>
          </w:rPr>
          <w:t xml:space="preserve"> habe, er möge sie doch retten und nichts aussagen. ›Heute‹ – schrieb der Zeuge – ›fühle ich mich dazu gedrängt, dem Gerichte ein volles Geständnis abzulegen, da ich </w:t>
        </w:r>
        <w:r w:rsidRPr="002F7766">
          <w:rPr>
            <w:rStyle w:val="innerfusslink3"/>
            <w:rFonts w:ascii="Garamond" w:hAnsi="Garamond" w:cs="Arial"/>
            <w:b/>
            <w:bCs/>
            <w:i/>
            <w:iCs/>
            <w:lang w:val="en-GB"/>
          </w:rPr>
          <w:t>meinen linken Arm gebrochen</w:t>
        </w:r>
        <w:r w:rsidRPr="002F7766">
          <w:rPr>
            <w:rStyle w:val="innerfusslink3"/>
            <w:rFonts w:ascii="Garamond" w:hAnsi="Garamond" w:cs="Arial"/>
            <w:b/>
            <w:bCs/>
            <w:lang w:val="en-GB"/>
          </w:rPr>
          <w:t xml:space="preserve"> habe und mir dies als eine </w:t>
        </w:r>
        <w:r w:rsidRPr="002F7766">
          <w:rPr>
            <w:rStyle w:val="innerfusslink3"/>
            <w:rFonts w:ascii="Garamond" w:hAnsi="Garamond" w:cs="Arial"/>
            <w:b/>
            <w:bCs/>
            <w:i/>
            <w:iCs/>
            <w:lang w:val="en-GB"/>
          </w:rPr>
          <w:t>Strafe Gottes</w:t>
        </w:r>
        <w:r w:rsidRPr="002F7766">
          <w:rPr>
            <w:rStyle w:val="innerfusslink3"/>
            <w:rFonts w:ascii="Garamond" w:hAnsi="Garamond" w:cs="Arial"/>
            <w:b/>
            <w:bCs/>
            <w:lang w:val="en-GB"/>
          </w:rPr>
          <w:t xml:space="preserve"> für mein Vergehen erscheint.‹ </w:t>
        </w:r>
        <w:r w:rsidRPr="002F7766">
          <w:rPr>
            <w:rFonts w:ascii="Garamond" w:hAnsi="Garamond" w:cs="Arial"/>
            <w:b/>
            <w:bCs/>
            <w:lang w:val="en-GB"/>
          </w:rPr>
          <w:br/>
        </w:r>
        <w:r w:rsidRPr="002F7766">
          <w:rPr>
            <w:rFonts w:ascii="Garamond" w:hAnsi="Garamond" w:cs="Arial"/>
            <w:b/>
            <w:bCs/>
            <w:lang w:val="en-GB"/>
          </w:rPr>
          <w:br/>
        </w:r>
        <w:r w:rsidRPr="002F7766">
          <w:rPr>
            <w:rStyle w:val="innerfusslink3"/>
            <w:rFonts w:ascii="Garamond" w:hAnsi="Garamond" w:cs="Arial"/>
            <w:b/>
            <w:bCs/>
            <w:lang w:val="en-GB"/>
          </w:rPr>
          <w:t xml:space="preserve">Der Richter stellte fest, daß die strafbare Handlung bereits </w:t>
        </w:r>
        <w:r w:rsidRPr="002F7766">
          <w:rPr>
            <w:rStyle w:val="innerfusslink3"/>
            <w:rFonts w:ascii="Garamond" w:hAnsi="Garamond" w:cs="Arial"/>
            <w:b/>
            <w:bCs/>
            <w:i/>
            <w:iCs/>
            <w:lang w:val="en-GB"/>
          </w:rPr>
          <w:t>verjährt</w:t>
        </w:r>
        <w:r w:rsidRPr="002F7766">
          <w:rPr>
            <w:rStyle w:val="innerfusslink3"/>
            <w:rFonts w:ascii="Garamond" w:hAnsi="Garamond" w:cs="Arial"/>
            <w:b/>
            <w:bCs/>
            <w:lang w:val="en-GB"/>
          </w:rPr>
          <w:t xml:space="preserve"> ist, worauf die Klägerin ihre </w:t>
        </w:r>
        <w:r w:rsidRPr="002F7766">
          <w:rPr>
            <w:rStyle w:val="innerfusslink3"/>
            <w:rFonts w:ascii="Garamond" w:hAnsi="Garamond" w:cs="Arial"/>
            <w:b/>
            <w:bCs/>
            <w:i/>
            <w:iCs/>
            <w:lang w:val="en-GB"/>
          </w:rPr>
          <w:t>Klage zurückzog</w:t>
        </w:r>
        <w:r w:rsidRPr="002F7766">
          <w:rPr>
            <w:rStyle w:val="innerfusslink3"/>
            <w:rFonts w:ascii="Garamond" w:hAnsi="Garamond" w:cs="Arial"/>
            <w:b/>
            <w:bCs/>
            <w:lang w:val="en-GB"/>
          </w:rPr>
          <w:t xml:space="preserve"> und der Freispruch der Angeklagten erfolgte.«</w:t>
        </w:r>
      </w:hyperlink>
      <w:r w:rsidRPr="002F7766">
        <w:rPr>
          <w:rFonts w:ascii="Garamond" w:hAnsi="Garamond" w:cs="Arial"/>
        </w:rPr>
        <w:t>. Auf solche Weise werden Sie es dazu bringen, die Ungeschicklichkeiten der Bilderschrift, wenn sie die Buchstabenschrift ersetzen soll, einigermaßen auszugleichen.</w:t>
      </w:r>
    </w:p>
    <w:p w:rsidR="00062BE4" w:rsidRPr="002F7766" w:rsidRDefault="00062BE4" w:rsidP="00062BE4">
      <w:pPr>
        <w:rPr>
          <w:rFonts w:ascii="Garamond" w:hAnsi="Garamond" w:cs="Arial"/>
          <w:lang w:val="en-GB"/>
        </w:rPr>
      </w:pPr>
      <w:r w:rsidRPr="002F7766">
        <w:rPr>
          <w:rFonts w:ascii="Garamond" w:hAnsi="Garamond" w:cs="Arial"/>
        </w:rPr>
        <w:t xml:space="preserve">Bei der Darstellung der Redeteile, welche Denkrelationen anzeigen, des »weil, darum, aber« usw., haben Sie keine derartigen Hilfsmittel; diese Bestandteile des Textes werden also für ihre Umsetzung in Bilder verlorengehen. </w:t>
      </w:r>
      <w:r w:rsidRPr="002F7766">
        <w:rPr>
          <w:rFonts w:ascii="Garamond" w:hAnsi="Garamond" w:cs="Arial"/>
          <w:lang w:val="en-GB"/>
        </w:rPr>
        <w:t>Ebenso wird durch die Traumarbeit der Inhalt der Traumgedanken in sein Rohmaterial von Objekten und Tätigkeiten aufgelöst. Sie können zufrieden sein, wenn sich Ihnen die Möglichkeit ergibt, gewisse an sich nicht darstellbare Relationen in der feineren Ausprägung der Bilder irgendwie anzudeuten. Ganz so gelingt es der Traumarbeit, manches vom Inhalt der latenten Traumgedanken in formalen Eigentümlichkeiten des manifesten Traumes auszudrücken, in der Klarheit oder Dunkelheit desselben, in seiner Zerteilung in mehrere Stücke u. ä. Die Anzahl der Partialträume, in welche ein Traum zerlegt ist, korrespondiert in der Regel mit der Anzahl der Hauptthemen, der Gedankenreihen im latenten Traum; ein kurzer Vortraum steht zum nachfolgenden ausführlichen Haupttraum oft in der Beziehung einer Einleitung oder einer Motivierung; ein Nebensatz in den Traumgedanken wird durch einen eingeschalteten Szenenwechsel im manifesten Traum ersetzt usw. Die Form der Träume ist also an sich keineswegs bedeutungslos und fordert selbst zur Deutung heraus. Mehrfache Träume derselben Nacht haben oft die nämliche Bedeutung und zeigen die Bemühung an, einen Reiz von ansteigender Dringlichkeit immer besser zu bewältigen. Im einzelnen Traum selbst kann ein besonders schwieriges Element eine Darstellung durch »Doubletten«, mehrfache Symbole, finden.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Bei fortgesetzten Vergleichungen der Traumgedanken mit den sie ersetzenden manifesten Träumen erfahren wir allerlei, worauf wir nicht vorbereitet sein konnten, z. B. daß auch der Unsinn und die Absurdität der Träume ihre Bedeutung haben. Ja, in diesem Punkte spitzt sich der Gegensatz der medizinischen und der psychoanalytischen Auffassung des Traumes zu einer sonst nicht erreichten Schärfe zu. Nach ersterer ist der Traum unsinnig, weil die träumende Seelentätigkeit jede Kritik eingebüßt hat; nach unserer dagegen wird der Traum dann unsinnig, wenn eine in den Traumgedanken enthaltene Kritik, das Urteil »es ist unsinnig«, zur Darstellung gebracht werden soll. Der Ihnen bekannte Traum vom Theaterbesuch (drei Karten für 1 fl. 50 kr.) ist ein gutes Beispiel dafür. Das so ausgedrückte Urteil lautet: Es war ein </w:t>
      </w:r>
      <w:r w:rsidRPr="002F7766">
        <w:rPr>
          <w:rFonts w:ascii="Garamond" w:hAnsi="Garamond" w:cs="Arial"/>
          <w:i/>
          <w:iCs/>
          <w:lang w:val="en-GB"/>
        </w:rPr>
        <w:t>Unsinn</w:t>
      </w:r>
      <w:r w:rsidRPr="002F7766">
        <w:rPr>
          <w:rFonts w:ascii="Garamond" w:hAnsi="Garamond" w:cs="Arial"/>
          <w:lang w:val="en-GB"/>
        </w:rPr>
        <w:t>, so früh zu heiraten.</w:t>
      </w:r>
    </w:p>
    <w:p w:rsidR="00062BE4" w:rsidRPr="002F7766" w:rsidRDefault="00062BE4" w:rsidP="00062BE4">
      <w:pPr>
        <w:rPr>
          <w:rFonts w:ascii="Garamond" w:hAnsi="Garamond" w:cs="Arial"/>
          <w:lang w:val="en-GB"/>
        </w:rPr>
      </w:pPr>
      <w:r w:rsidRPr="002F7766">
        <w:rPr>
          <w:rFonts w:ascii="Garamond" w:hAnsi="Garamond" w:cs="Arial"/>
          <w:lang w:val="en-GB"/>
        </w:rPr>
        <w:t>Ebenso erfahren wir bei der Deutungsarbeit, was den so häufig vom Träumer mitgeteilten Zweifeln und Unsicherheiten entspricht, ob ein gewisses Element im Traume vorgekommen, ob es dies oder nicht vielmehr etwas anderes gewesen sei. Diesen Zweifeln und Unsicherheiten entspricht in der Regel in den latenten Traumgedanken nichts; sie rühren durchwegs von der Wirkung der Traumzensur her und sind einer versuchten, nicht voll gelungenen Ausmerzung gleichzusetzen.</w:t>
      </w:r>
    </w:p>
    <w:p w:rsidR="00062BE4" w:rsidRPr="002F7766" w:rsidRDefault="00062BE4" w:rsidP="00062BE4">
      <w:pPr>
        <w:rPr>
          <w:rFonts w:ascii="Garamond" w:hAnsi="Garamond" w:cs="Arial"/>
          <w:lang w:val="en-GB"/>
        </w:rPr>
      </w:pPr>
      <w:r w:rsidRPr="002F7766">
        <w:rPr>
          <w:rFonts w:ascii="Garamond" w:hAnsi="Garamond" w:cs="Arial"/>
          <w:lang w:val="en-GB"/>
        </w:rPr>
        <w:t>Zu den überraschendsten Funden gehört die Art, wie die Traumarbeit Gegensätzlichkeiten des latenten Traumes behandelt. Wir wissen schon, daß Übereinstimmungen im latenten Material durch Verdichtungen im manifesten Traum ersetzt werden. Nun, Gegensätze werden ebenso behandelt wie Übereinstimmungen, mit besonderer Vorliebe durch das nämliche manifeste Element ausgedrückt. Ein Element im manifesten Traum, welches eines Gegensatzes fähig ist, kann also ebensowohl sich selbst bedeuten wie seinen Gegensatz oder beides zugleich; erst der Sinn kann darüber entscheiden, welche Übersetzung zu wählen ist. Damit hängt es dann zusammen, daß eine Darstellung des »Nein« im Traume nicht zu finden ist, wenigstens keine unzweideutige.</w:t>
      </w:r>
    </w:p>
    <w:p w:rsidR="00062BE4" w:rsidRPr="002F7766" w:rsidRDefault="00062BE4" w:rsidP="00062BE4">
      <w:pPr>
        <w:rPr>
          <w:rFonts w:ascii="Garamond" w:hAnsi="Garamond" w:cs="Arial"/>
          <w:lang w:val="en-GB"/>
        </w:rPr>
      </w:pPr>
      <w:r w:rsidRPr="002F7766">
        <w:rPr>
          <w:rFonts w:ascii="Garamond" w:hAnsi="Garamond" w:cs="Arial"/>
          <w:lang w:val="en-GB"/>
        </w:rPr>
        <w:t xml:space="preserve">Eine willkommene Analogie für dies befremdende Benehmen der Traumarbeit hat uns die Sprachentwicklung geliefert. Manche Sprachforscher haben die Behauptung aufgestellt, daß in den ältesten Sprachen Gegensätze wie stark–schwach, licht–dunkel, groß–klein durch das nämliche Wurzelwort ausgedrückt wurden. (»Der Gegensinn der Urworte«.) So hieß im Altägyptischen </w:t>
      </w:r>
      <w:r w:rsidRPr="002F7766">
        <w:rPr>
          <w:rFonts w:ascii="Garamond" w:hAnsi="Garamond" w:cs="Arial"/>
          <w:i/>
          <w:iCs/>
          <w:lang w:val="en-GB"/>
        </w:rPr>
        <w:t>ken</w:t>
      </w:r>
      <w:r w:rsidRPr="002F7766">
        <w:rPr>
          <w:rFonts w:ascii="Garamond" w:hAnsi="Garamond" w:cs="Arial"/>
          <w:lang w:val="en-GB"/>
        </w:rPr>
        <w:t xml:space="preserve"> ursprünglich stark und schwach. In der Rede schützte man sich vor Mißverständnissen beim Gebrauch so ambivalenter Worte durch den Ton und die beigefügte Geste, in der Schrift durch die Hinzufügung eines sogenannten Determinativs, d. h. eines Bildes, das selbst nicht zur Aussprache bestimmt war. </w:t>
      </w:r>
      <w:r w:rsidRPr="002F7766">
        <w:rPr>
          <w:rFonts w:ascii="Garamond" w:hAnsi="Garamond" w:cs="Arial"/>
          <w:i/>
          <w:iCs/>
          <w:lang w:val="en-GB"/>
        </w:rPr>
        <w:t>Ken</w:t>
      </w:r>
      <w:r w:rsidRPr="002F7766">
        <w:rPr>
          <w:rFonts w:ascii="Garamond" w:hAnsi="Garamond" w:cs="Arial"/>
          <w:lang w:val="en-GB"/>
        </w:rPr>
        <w:t xml:space="preserve"> – stark wurde also geschrieben, indem nach den Buchstabenzeichen das Bild eines aufrechten Männchens hingesetzt wurde; wenn </w:t>
      </w:r>
      <w:r w:rsidRPr="002F7766">
        <w:rPr>
          <w:rFonts w:ascii="Garamond" w:hAnsi="Garamond" w:cs="Arial"/>
          <w:i/>
          <w:iCs/>
          <w:lang w:val="en-GB"/>
        </w:rPr>
        <w:t>ken</w:t>
      </w:r>
      <w:r w:rsidRPr="002F7766">
        <w:rPr>
          <w:rFonts w:ascii="Garamond" w:hAnsi="Garamond" w:cs="Arial"/>
          <w:lang w:val="en-GB"/>
        </w:rPr>
        <w:t xml:space="preserve"> – schwach gemeint war, so folgte das Bild eines nachlässig hockenden Mannes nach. Erst später wurden durch leichte Modifikationen des gleichlautenden Urwortes zwei Bezeichnungen für die darin enthaltenen Gegensätze gewonnen. So entstand aus </w:t>
      </w:r>
      <w:r w:rsidRPr="002F7766">
        <w:rPr>
          <w:rFonts w:ascii="Garamond" w:hAnsi="Garamond" w:cs="Arial"/>
          <w:i/>
          <w:iCs/>
          <w:lang w:val="en-GB"/>
        </w:rPr>
        <w:t>ken</w:t>
      </w:r>
      <w:r w:rsidRPr="002F7766">
        <w:rPr>
          <w:rFonts w:ascii="Garamond" w:hAnsi="Garamond" w:cs="Arial"/>
          <w:lang w:val="en-GB"/>
        </w:rPr>
        <w:t xml:space="preserve"> stark–schwach ein </w:t>
      </w:r>
      <w:r w:rsidRPr="002F7766">
        <w:rPr>
          <w:rFonts w:ascii="Garamond" w:hAnsi="Garamond" w:cs="Arial"/>
          <w:i/>
          <w:iCs/>
          <w:lang w:val="en-GB"/>
        </w:rPr>
        <w:t>ken</w:t>
      </w:r>
      <w:r w:rsidRPr="002F7766">
        <w:rPr>
          <w:rFonts w:ascii="Garamond" w:hAnsi="Garamond" w:cs="Arial"/>
          <w:lang w:val="en-GB"/>
        </w:rPr>
        <w:t xml:space="preserve"> stark und ein </w:t>
      </w:r>
      <w:r w:rsidRPr="002F7766">
        <w:rPr>
          <w:rFonts w:ascii="Garamond" w:hAnsi="Garamond" w:cs="Arial"/>
          <w:i/>
          <w:iCs/>
          <w:lang w:val="en-GB"/>
        </w:rPr>
        <w:t>kan</w:t>
      </w:r>
      <w:r w:rsidRPr="002F7766">
        <w:rPr>
          <w:rFonts w:ascii="Garamond" w:hAnsi="Garamond" w:cs="Arial"/>
          <w:lang w:val="en-GB"/>
        </w:rPr>
        <w:t xml:space="preserve"> schwach. Nicht nur die ältesten Sprachen in ihren letzten Entwicklungen, sondern auch weit jüngere und selbst heute noch lebende Sprachen sollen reichlich Überreste dieses alten Gegensinnes bewahrt haben. Ich will Ihnen einige Belege hierfür nach K. Abel (1884) mitteilen.</w:t>
      </w:r>
    </w:p>
    <w:p w:rsidR="00062BE4" w:rsidRPr="002F7766" w:rsidRDefault="00062BE4" w:rsidP="00062BE4">
      <w:pPr>
        <w:rPr>
          <w:rFonts w:ascii="Garamond" w:hAnsi="Garamond" w:cs="Arial"/>
          <w:lang w:val="en-GB"/>
        </w:rPr>
      </w:pPr>
      <w:r w:rsidRPr="002F7766">
        <w:rPr>
          <w:rFonts w:ascii="Garamond" w:hAnsi="Garamond" w:cs="Arial"/>
          <w:lang w:val="en-GB"/>
        </w:rPr>
        <w:t xml:space="preserve">Im Lateinischen sind solche immer noch ambivalente Worte: </w:t>
      </w:r>
      <w:r w:rsidRPr="002F7766">
        <w:rPr>
          <w:rFonts w:ascii="Garamond" w:hAnsi="Garamond" w:cs="Arial"/>
          <w:i/>
          <w:iCs/>
          <w:lang w:val="en-GB"/>
        </w:rPr>
        <w:t>altus</w:t>
      </w:r>
      <w:r w:rsidRPr="002F7766">
        <w:rPr>
          <w:rFonts w:ascii="Garamond" w:hAnsi="Garamond" w:cs="Arial"/>
          <w:lang w:val="en-GB"/>
        </w:rPr>
        <w:t xml:space="preserve"> (hoch–tief) und </w:t>
      </w:r>
      <w:r w:rsidRPr="002F7766">
        <w:rPr>
          <w:rFonts w:ascii="Garamond" w:hAnsi="Garamond" w:cs="Arial"/>
          <w:i/>
          <w:iCs/>
          <w:lang w:val="en-GB"/>
        </w:rPr>
        <w:t>sacer</w:t>
      </w:r>
      <w:r w:rsidRPr="002F7766">
        <w:rPr>
          <w:rFonts w:ascii="Garamond" w:hAnsi="Garamond" w:cs="Arial"/>
          <w:lang w:val="en-GB"/>
        </w:rPr>
        <w:t xml:space="preserve"> (heilig–verrucht).</w:t>
      </w:r>
    </w:p>
    <w:p w:rsidR="00062BE4" w:rsidRPr="002F7766" w:rsidRDefault="00062BE4" w:rsidP="00062BE4">
      <w:pPr>
        <w:rPr>
          <w:rFonts w:ascii="Garamond" w:hAnsi="Garamond" w:cs="Arial"/>
          <w:lang w:val="en-GB"/>
        </w:rPr>
      </w:pPr>
      <w:r w:rsidRPr="002F7766">
        <w:rPr>
          <w:rFonts w:ascii="Garamond" w:hAnsi="Garamond" w:cs="Arial"/>
          <w:lang w:val="en-GB"/>
        </w:rPr>
        <w:t xml:space="preserve">Als Beispiele für Modifikationen derselben Wurzel erwähne ich: </w:t>
      </w:r>
      <w:r w:rsidRPr="002F7766">
        <w:rPr>
          <w:rFonts w:ascii="Garamond" w:hAnsi="Garamond" w:cs="Arial"/>
          <w:i/>
          <w:iCs/>
          <w:lang w:val="en-GB"/>
        </w:rPr>
        <w:t>clamare</w:t>
      </w:r>
      <w:r w:rsidRPr="002F7766">
        <w:rPr>
          <w:rFonts w:ascii="Garamond" w:hAnsi="Garamond" w:cs="Arial"/>
          <w:lang w:val="en-GB"/>
        </w:rPr>
        <w:t xml:space="preserve"> – schreien, </w:t>
      </w:r>
      <w:r w:rsidRPr="002F7766">
        <w:rPr>
          <w:rFonts w:ascii="Garamond" w:hAnsi="Garamond" w:cs="Arial"/>
          <w:i/>
          <w:iCs/>
          <w:lang w:val="en-GB"/>
        </w:rPr>
        <w:t>clam</w:t>
      </w:r>
      <w:r w:rsidRPr="002F7766">
        <w:rPr>
          <w:rFonts w:ascii="Garamond" w:hAnsi="Garamond" w:cs="Arial"/>
          <w:lang w:val="en-GB"/>
        </w:rPr>
        <w:t xml:space="preserve"> – leise, still, geheim; </w:t>
      </w:r>
      <w:r w:rsidRPr="002F7766">
        <w:rPr>
          <w:rFonts w:ascii="Garamond" w:hAnsi="Garamond" w:cs="Arial"/>
          <w:i/>
          <w:iCs/>
          <w:lang w:val="en-GB"/>
        </w:rPr>
        <w:t>siccus</w:t>
      </w:r>
      <w:r w:rsidRPr="002F7766">
        <w:rPr>
          <w:rFonts w:ascii="Garamond" w:hAnsi="Garamond" w:cs="Arial"/>
          <w:lang w:val="en-GB"/>
        </w:rPr>
        <w:t xml:space="preserve"> – trocken, </w:t>
      </w:r>
      <w:r w:rsidRPr="002F7766">
        <w:rPr>
          <w:rFonts w:ascii="Garamond" w:hAnsi="Garamond" w:cs="Arial"/>
          <w:i/>
          <w:iCs/>
          <w:lang w:val="en-GB"/>
        </w:rPr>
        <w:t>succus</w:t>
      </w:r>
      <w:r w:rsidRPr="002F7766">
        <w:rPr>
          <w:rFonts w:ascii="Garamond" w:hAnsi="Garamond" w:cs="Arial"/>
          <w:lang w:val="en-GB"/>
        </w:rPr>
        <w:t xml:space="preserve"> – Saft. Dazu aus dem Deutschen: </w:t>
      </w:r>
      <w:r w:rsidRPr="002F7766">
        <w:rPr>
          <w:rFonts w:ascii="Garamond" w:hAnsi="Garamond" w:cs="Arial"/>
          <w:i/>
          <w:iCs/>
          <w:lang w:val="en-GB"/>
        </w:rPr>
        <w:t>Stimme – stumm</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Bezieht man verwandte Sprachen aufeinander, so ergeben sich reichliche Beispiele. Englisch: </w:t>
      </w:r>
      <w:r w:rsidRPr="002F7766">
        <w:rPr>
          <w:rFonts w:ascii="Garamond" w:hAnsi="Garamond" w:cs="Arial"/>
          <w:i/>
          <w:iCs/>
          <w:lang w:val="en-GB"/>
        </w:rPr>
        <w:t>lock</w:t>
      </w:r>
      <w:r w:rsidRPr="002F7766">
        <w:rPr>
          <w:rFonts w:ascii="Garamond" w:hAnsi="Garamond" w:cs="Arial"/>
          <w:lang w:val="en-GB"/>
        </w:rPr>
        <w:t xml:space="preserve"> – schließen; deutsch: </w:t>
      </w:r>
      <w:r w:rsidRPr="002F7766">
        <w:rPr>
          <w:rFonts w:ascii="Garamond" w:hAnsi="Garamond" w:cs="Arial"/>
          <w:i/>
          <w:iCs/>
          <w:lang w:val="en-GB"/>
        </w:rPr>
        <w:t>Loch, Lücke</w:t>
      </w:r>
      <w:r w:rsidRPr="002F7766">
        <w:rPr>
          <w:rFonts w:ascii="Garamond" w:hAnsi="Garamond" w:cs="Arial"/>
          <w:lang w:val="en-GB"/>
        </w:rPr>
        <w:t xml:space="preserve">. Englisch: </w:t>
      </w:r>
      <w:r w:rsidRPr="002F7766">
        <w:rPr>
          <w:rFonts w:ascii="Garamond" w:hAnsi="Garamond" w:cs="Arial"/>
          <w:i/>
          <w:iCs/>
          <w:lang w:val="en-GB"/>
        </w:rPr>
        <w:t>cleave</w:t>
      </w:r>
      <w:r w:rsidRPr="002F7766">
        <w:rPr>
          <w:rFonts w:ascii="Garamond" w:hAnsi="Garamond" w:cs="Arial"/>
          <w:lang w:val="en-GB"/>
        </w:rPr>
        <w:t xml:space="preserve"> – spalten; deutsch: </w:t>
      </w:r>
      <w:r w:rsidRPr="002F7766">
        <w:rPr>
          <w:rFonts w:ascii="Garamond" w:hAnsi="Garamond" w:cs="Arial"/>
          <w:i/>
          <w:iCs/>
          <w:lang w:val="en-GB"/>
        </w:rPr>
        <w:t>kleben</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Das englische </w:t>
      </w:r>
      <w:r w:rsidRPr="002F7766">
        <w:rPr>
          <w:rFonts w:ascii="Garamond" w:hAnsi="Garamond" w:cs="Arial"/>
          <w:i/>
          <w:iCs/>
          <w:lang w:val="en-GB"/>
        </w:rPr>
        <w:t>without</w:t>
      </w:r>
      <w:r w:rsidRPr="002F7766">
        <w:rPr>
          <w:rFonts w:ascii="Garamond" w:hAnsi="Garamond" w:cs="Arial"/>
          <w:lang w:val="en-GB"/>
        </w:rPr>
        <w:t xml:space="preserve"> eigentlich mit–ohne wird heute für ohne verwendet; daß </w:t>
      </w:r>
      <w:r w:rsidRPr="002F7766">
        <w:rPr>
          <w:rFonts w:ascii="Garamond" w:hAnsi="Garamond" w:cs="Arial"/>
          <w:i/>
          <w:iCs/>
          <w:lang w:val="en-GB"/>
        </w:rPr>
        <w:t>with</w:t>
      </w:r>
      <w:r w:rsidRPr="002F7766">
        <w:rPr>
          <w:rFonts w:ascii="Garamond" w:hAnsi="Garamond" w:cs="Arial"/>
          <w:lang w:val="en-GB"/>
        </w:rPr>
        <w:t xml:space="preserve"> außer seiner zuteilenden auch eine entziehende Bedeutung hatte, geht noch aus den Zusammensetzungen </w:t>
      </w:r>
      <w:r w:rsidRPr="002F7766">
        <w:rPr>
          <w:rFonts w:ascii="Garamond" w:hAnsi="Garamond" w:cs="Arial"/>
          <w:i/>
          <w:iCs/>
          <w:lang w:val="en-GB"/>
        </w:rPr>
        <w:t>withdraw – withhold</w:t>
      </w:r>
      <w:r w:rsidRPr="002F7766">
        <w:rPr>
          <w:rFonts w:ascii="Garamond" w:hAnsi="Garamond" w:cs="Arial"/>
          <w:lang w:val="en-GB"/>
        </w:rPr>
        <w:t xml:space="preserve"> hervor. Ähnlich das deutsche </w:t>
      </w:r>
      <w:r w:rsidRPr="002F7766">
        <w:rPr>
          <w:rFonts w:ascii="Garamond" w:hAnsi="Garamond" w:cs="Arial"/>
          <w:i/>
          <w:iCs/>
          <w:lang w:val="en-GB"/>
        </w:rPr>
        <w:t>wieder</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Noch eine andere Eigentümlichkeit der Traumarbeit findet in der Sprachentwicklung ihr Gegenstück. In der altägyptischen kam es wie in anderen späteren Sprachen vor, daß die Lautfolge der Worte für denselben Sinn umgekehrt wurde. Solche Beispiele zwischen dem Englischen und dem Deutschen sind: </w:t>
      </w:r>
      <w:r w:rsidRPr="002F7766">
        <w:rPr>
          <w:rFonts w:ascii="Garamond" w:hAnsi="Garamond" w:cs="Arial"/>
          <w:i/>
          <w:iCs/>
          <w:lang w:val="en-GB"/>
        </w:rPr>
        <w:t>Topf – pot</w:t>
      </w:r>
      <w:r w:rsidRPr="002F7766">
        <w:rPr>
          <w:rFonts w:ascii="Garamond" w:hAnsi="Garamond" w:cs="Arial"/>
          <w:lang w:val="en-GB"/>
        </w:rPr>
        <w:t xml:space="preserve">; </w:t>
      </w:r>
      <w:r w:rsidRPr="002F7766">
        <w:rPr>
          <w:rFonts w:ascii="Garamond" w:hAnsi="Garamond" w:cs="Arial"/>
          <w:i/>
          <w:iCs/>
          <w:lang w:val="en-GB"/>
        </w:rPr>
        <w:t>boat – tub</w:t>
      </w:r>
      <w:r w:rsidRPr="002F7766">
        <w:rPr>
          <w:rFonts w:ascii="Garamond" w:hAnsi="Garamond" w:cs="Arial"/>
          <w:lang w:val="en-GB"/>
        </w:rPr>
        <w:t xml:space="preserve">; </w:t>
      </w:r>
      <w:r w:rsidRPr="002F7766">
        <w:rPr>
          <w:rFonts w:ascii="Garamond" w:hAnsi="Garamond" w:cs="Arial"/>
          <w:i/>
          <w:iCs/>
          <w:lang w:val="en-GB"/>
        </w:rPr>
        <w:t>hurry</w:t>
      </w:r>
      <w:r w:rsidRPr="002F7766">
        <w:rPr>
          <w:rFonts w:ascii="Garamond" w:hAnsi="Garamond" w:cs="Arial"/>
          <w:lang w:val="en-GB"/>
        </w:rPr>
        <w:t xml:space="preserve"> (eilen) – </w:t>
      </w:r>
      <w:r w:rsidRPr="002F7766">
        <w:rPr>
          <w:rFonts w:ascii="Garamond" w:hAnsi="Garamond" w:cs="Arial"/>
          <w:i/>
          <w:iCs/>
          <w:lang w:val="en-GB"/>
        </w:rPr>
        <w:t>Ruhe; Balken – Kloben, club; wait</w:t>
      </w:r>
      <w:r w:rsidRPr="002F7766">
        <w:rPr>
          <w:rFonts w:ascii="Garamond" w:hAnsi="Garamond" w:cs="Arial"/>
          <w:lang w:val="en-GB"/>
        </w:rPr>
        <w:t xml:space="preserve"> (warten) – </w:t>
      </w:r>
      <w:r w:rsidRPr="002F7766">
        <w:rPr>
          <w:rFonts w:ascii="Garamond" w:hAnsi="Garamond" w:cs="Arial"/>
          <w:i/>
          <w:iCs/>
          <w:lang w:val="en-GB"/>
        </w:rPr>
        <w:t>täuwen</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 xml:space="preserve">Zwischen dem Lateinischen und dem Deutschen: </w:t>
      </w:r>
      <w:r w:rsidRPr="002F7766">
        <w:rPr>
          <w:rFonts w:ascii="Garamond" w:hAnsi="Garamond" w:cs="Arial"/>
          <w:i/>
          <w:iCs/>
          <w:lang w:val="en-GB"/>
        </w:rPr>
        <w:t>capere – packen; ren – Niere</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Solche Umkehrungen, wie sie hier am einzelnen Wort genommen werden, kommen durch die Traumarbeit in verschiedener Weise zustande. Die Umkehrung des Sinnes, Ersetzung durch das Gegenteil, kennen wir bereits. Außerdem finden sich in Träumen Umkehrungen der Situation, der Beziehung zwischen zwei Personen, also wie in der »verkehrten Welt«. Im Traum schießt häufig genug der Hase auf den Jäger. Ferner Umkehrung in der Reihenfolge der Begebenheiten, so daß die kausal vorangehende der ihr nachfolgenden im Traume nachgesetzt wird. Das ist dann wie in der Aufführung eines Stückes in einer schlechten Schmiere, wo zuerst der Held hinfällt und erst nachher aus der Kulisse der Schuß abgefeuert wird, der ihn tötet. Oder es gibt Träume, in denen die ganze Ordnung der Elemente verkehrt ist, so daß man in der Deutung ihr letztes zuerst und ihr erstes zuletzt nehmen muß, um einen Sinn herauszubekommen. Sie erinnern sich auch aus unseren Studien über die Traumsymbolik, daß ins Wasser gehen oder fallen dasselbe bedeutet wie aus dem Wasser kommen, nämlich gebären oder geboren werden, und daß eine Treppe, Leiter, hinaufsteigen dasselbe ist wie sie heruntergehen. Es ist unverkennbar, welchen Vorteil die Traumentstellung aus solcher Darstellungsfreiheit ziehen kann.</w:t>
      </w:r>
    </w:p>
    <w:p w:rsidR="00062BE4" w:rsidRPr="002F7766" w:rsidRDefault="00062BE4" w:rsidP="00062BE4">
      <w:pPr>
        <w:rPr>
          <w:rFonts w:ascii="Garamond" w:hAnsi="Garamond" w:cs="Arial"/>
          <w:lang w:val="en-GB"/>
        </w:rPr>
      </w:pPr>
      <w:r w:rsidRPr="002F7766">
        <w:rPr>
          <w:rFonts w:ascii="Garamond" w:hAnsi="Garamond" w:cs="Arial"/>
          <w:lang w:val="en-GB"/>
        </w:rPr>
        <w:t xml:space="preserve">Diese Züge der Traumarbeit darf man als </w:t>
      </w:r>
      <w:r w:rsidRPr="002F7766">
        <w:rPr>
          <w:rFonts w:ascii="Garamond" w:hAnsi="Garamond" w:cs="Arial"/>
          <w:i/>
          <w:iCs/>
          <w:lang w:val="en-GB"/>
        </w:rPr>
        <w:t>archaische</w:t>
      </w:r>
      <w:r w:rsidRPr="002F7766">
        <w:rPr>
          <w:rFonts w:ascii="Garamond" w:hAnsi="Garamond" w:cs="Arial"/>
          <w:lang w:val="en-GB"/>
        </w:rPr>
        <w:t xml:space="preserve"> bezeichnen. Sie haften ebenso den alten Ausdruckssystemen, Sprachen und Schriften an und bringen dieselben Erschwerungen mit sich, von denen in einem kritischen Zusammenhange noch die Rede sein wird.</w:t>
      </w:r>
    </w:p>
    <w:p w:rsidR="00062BE4" w:rsidRPr="002F7766" w:rsidRDefault="00062BE4" w:rsidP="00062BE4">
      <w:pPr>
        <w:rPr>
          <w:rFonts w:ascii="Garamond" w:hAnsi="Garamond" w:cs="Arial"/>
          <w:lang w:val="en-GB"/>
        </w:rPr>
      </w:pPr>
      <w:r w:rsidRPr="002F7766">
        <w:rPr>
          <w:rFonts w:ascii="Garamond" w:hAnsi="Garamond" w:cs="Arial"/>
          <w:lang w:val="en-GB"/>
        </w:rPr>
        <w:t xml:space="preserve">Nun noch einige andere Gesichtspunkte. Bei der Traumarbeit handelt es sich offenbar darum, die in Worte gefaßten latenten Gedanken in sinnliche Bilder, meist visueller Natur, umzusetzen. Nun sind unsere Gedanken aus solchen Sinnesbildern hervorgegangen; ihr erstes Material und ihre Vorstufen waren Sinneseindrücke, richtiger gesagt, die Erinnerungsbilder von solchen. An diese wurden erst später Worte geknüpft und diese dann zu Gedanken verbunden. Die Traumarbeit läßt also die Gedanken eine </w:t>
      </w:r>
      <w:r w:rsidRPr="002F7766">
        <w:rPr>
          <w:rFonts w:ascii="Garamond" w:hAnsi="Garamond" w:cs="Arial"/>
          <w:i/>
          <w:iCs/>
          <w:lang w:val="en-GB"/>
        </w:rPr>
        <w:t>regressive</w:t>
      </w:r>
      <w:r w:rsidRPr="002F7766">
        <w:rPr>
          <w:rFonts w:ascii="Garamond" w:hAnsi="Garamond" w:cs="Arial"/>
          <w:lang w:val="en-GB"/>
        </w:rPr>
        <w:t xml:space="preserve"> Behandlung erfahren, macht deren Entwicklung rückgängig, und bei dieser Regression muß all das wegfallen, was bei der Fortentwicklung der Erinnerungsbilder zu Gedanken als neuer Erwerb dazugekommen ist.</w:t>
      </w:r>
    </w:p>
    <w:p w:rsidR="00062BE4" w:rsidRPr="002F7766" w:rsidRDefault="00062BE4" w:rsidP="00062BE4">
      <w:pPr>
        <w:rPr>
          <w:rFonts w:ascii="Garamond" w:hAnsi="Garamond" w:cs="Arial"/>
          <w:lang w:val="en-GB"/>
        </w:rPr>
      </w:pPr>
      <w:r w:rsidRPr="002F7766">
        <w:rPr>
          <w:rFonts w:ascii="Garamond" w:hAnsi="Garamond" w:cs="Arial"/>
          <w:lang w:val="en-GB"/>
        </w:rPr>
        <w:t>Dies wäre also die Traumarbeit. Gegen die Vorgänge, die wir bei ihr kennengelernt haben, mußte das Interesse am manifesten Traum weit zurücktreten. Ich will aber diesem letzteren, der doch das einzige uns unmittelbar Bekannte ist, noch einige Bemerkungen widmen.</w:t>
      </w:r>
    </w:p>
    <w:p w:rsidR="00062BE4" w:rsidRPr="002F7766" w:rsidRDefault="00062BE4" w:rsidP="00062BE4">
      <w:pPr>
        <w:rPr>
          <w:rFonts w:ascii="Garamond" w:hAnsi="Garamond" w:cs="Arial"/>
          <w:lang w:val="en-GB"/>
        </w:rPr>
      </w:pPr>
      <w:r w:rsidRPr="002F7766">
        <w:rPr>
          <w:rFonts w:ascii="Garamond" w:hAnsi="Garamond" w:cs="Arial"/>
          <w:lang w:val="en-GB"/>
        </w:rPr>
        <w:t>Es ist natürlich, daß der manifeste Traum für uns an Bedeutung verliert. Es muß uns gleichgültig erscheinen, ob er gut komponiert oder in eine Reihe von Einzelbildern ohne Zusammenhang aufgelöst ist. Selbst wenn er eine anscheinend sinnvolle Außenseite hat, wissen wir doch, daß diese durch Traumentstellung entstanden sein und zum inneren Gehalt des Traumes so wenig organische Beziehung haben kann wie die Fassade einer italienischen Kirche zu deren Struktur und Grundriß. Andere Male hat auch diese Fassade des Traumes ihre Bedeutung, indem sie einen wichtigen Bestandteil der latenten Traumgedanken wenig oder gar nicht entstellt wiederbringt. Aber wir können das nicht wissen, ehe wir den Traum der Deutung unterzogen und dadurch ein Urteil gewonnen haben, welches Maß von Entstellung Platz gegriffen hat. Ein ähnlicher Zweifel gilt für den Fall, daß zwei Elemente im Traum in nahe Beziehung zueinander gebracht scheinen. Es kann darin ein wertvoller Wink enthalten sein, daß man auch das diesen Elementen im latenten Traum Entsprechende zusammenfügen darf, aber andere Male kann man sich überzeugen, daß, was in Gedanken zusammengehört, im Traum auseinandergerissen worden ist.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Im allgemeinen muß man sich dessen enthalten, einen Teil des manifesten Traumes aus einem anderen erklären zu wollen, als ob der Traum kohärent konzipiert und eine pragmatische Darstellung wäre. Er ist vielmehr zumeist einem Brecciagestein vergleichbar, aus verschiedenen Gesteinsbrocken mit Hilfe eines Bindemittels hergestellt, so daß die Zeichnungen, die sich dabei ergeben, nicht den ursprünglichen Gesteinseinschlüssen angehören. Es gibt wirklich ein Stück der Traumarbeit, die sogenannte </w:t>
      </w:r>
      <w:r w:rsidRPr="002F7766">
        <w:rPr>
          <w:rFonts w:ascii="Garamond" w:hAnsi="Garamond" w:cs="Arial"/>
          <w:i/>
          <w:iCs/>
          <w:lang w:val="en-GB"/>
        </w:rPr>
        <w:t>sekundäre Bearbeitung</w:t>
      </w:r>
      <w:r w:rsidRPr="002F7766">
        <w:rPr>
          <w:rFonts w:ascii="Garamond" w:hAnsi="Garamond" w:cs="Arial"/>
          <w:lang w:val="en-GB"/>
        </w:rPr>
        <w:t>, dem daran gelegen ist, aus den nächsten Ergebnissen der Traumarbeit etwas Ganzes, ungefähr Zusammenpassendes herzustellen. Dabei wird das Material nach einem oft ganz mißverständlichen Sinn angeordnet und, wo es nötig scheint, Einschübe vorgenommen.</w:t>
      </w:r>
    </w:p>
    <w:p w:rsidR="00062BE4" w:rsidRPr="002F7766" w:rsidRDefault="00062BE4" w:rsidP="00062BE4">
      <w:pPr>
        <w:rPr>
          <w:rFonts w:ascii="Garamond" w:hAnsi="Garamond" w:cs="Arial"/>
          <w:lang w:val="en-GB"/>
        </w:rPr>
      </w:pPr>
      <w:r w:rsidRPr="002F7766">
        <w:rPr>
          <w:rFonts w:ascii="Garamond" w:hAnsi="Garamond" w:cs="Arial"/>
          <w:lang w:val="en-GB"/>
        </w:rPr>
        <w:t xml:space="preserve">Anderseits darf man auch die Traumarbeit nicht überschätzen, ihr nicht zuviel zutrauen. Mit den aufgezählten Leistungen ist ihre Tätigkeit erschöpft; mehr als verdichten, verschieben, plastisch darstellen und das Ganze dann einer sekundären Bearbeitung unterziehen, kann sie nicht. Was sich im Traum von Urteilsäußerungen, von Kritik, Verwunderung, Folgerung findet, das sind nicht Leistungen der Traumarbeit, nur sehr selten Äußerungen des Nachdenkens über den Traum, sondern zumeist Stücke der latenten Traumgedanken, die mehr oder weniger modifiziert und dem Zusammenhange angepaßt in den manifesten Traum übergetreten sind. Auch Reden komponieren kann die Traumarbeit nicht. Bis auf wenige angebbare Ausnahmen sind die Traumreden Nachbildungen und Zusammensetzungen von Reden, die man am Traumtag gehört oder selbst gehalten hat und die als Material oder als Traumanreger in die latenten Gedanken eingetragen worden sind. Ebensowenig kann die Traumarbeit Rechnungen anstellen; was sich davon im manifesten Traum findet, sind zumeist Zusammenstellungen von Zahlen, Scheinrechnungen, als Rechnungen ganz unsinnig und wiederum nur Kopien von Rechnungen in den latenten Traumgedanken. Bei diesen Verhältnissen ist es auch nicht zu verwundern, daß das Interesse, welches sich der Traumarbeit zugewendet hat, bald von ihr weg zu den latenten Traumgedanken strebt, die sich mehr oder weniger entstellt durch den manifesten Traum verraten. Es ist aber nicht zu rechtfertigen, wenn dieser Wandel so weit geht, daß man in der theoretischen Betrachtung die latenten Traumgedanken an Stelle des Traumes überhaupt setzt und von letzterem etwas aussagt, was nur für die ersteren gelten kann. Es ist sonderbar, daß die Ergebnisse der Psychoanalyse für eine solche Verwechslung mißbraucht werden konnten. »Traum« kann man nichts anderes nennen als das Ergebnis der Traumarbeit, d. h. also die </w:t>
      </w:r>
      <w:r w:rsidRPr="002F7766">
        <w:rPr>
          <w:rFonts w:ascii="Garamond" w:hAnsi="Garamond" w:cs="Arial"/>
          <w:i/>
          <w:iCs/>
          <w:lang w:val="en-GB"/>
        </w:rPr>
        <w:t>Form</w:t>
      </w:r>
      <w:r w:rsidRPr="002F7766">
        <w:rPr>
          <w:rFonts w:ascii="Garamond" w:hAnsi="Garamond" w:cs="Arial"/>
          <w:lang w:val="en-GB"/>
        </w:rPr>
        <w:t>, in welche die latenten Gedanken durch die Traumarbeit überführt worden sind.</w:t>
      </w:r>
    </w:p>
    <w:p w:rsidR="00062BE4" w:rsidRPr="002F7766" w:rsidRDefault="00062BE4" w:rsidP="00062BE4">
      <w:pPr>
        <w:rPr>
          <w:rFonts w:ascii="Garamond" w:hAnsi="Garamond" w:cs="Arial"/>
          <w:lang w:val="en-GB"/>
        </w:rPr>
      </w:pPr>
      <w:r w:rsidRPr="002F7766">
        <w:rPr>
          <w:rFonts w:ascii="Garamond" w:hAnsi="Garamond" w:cs="Arial"/>
          <w:lang w:val="en-GB"/>
        </w:rPr>
        <w:t>Die Traumarbeit ist ein Vorgang ganz singulärer Art, dessengleichen bisher im Seelenleben nicht bekannt geworden ist. Derartige Verdichtungen, Verschiebungen, regressive Umsetzungen von Gedanken in Bilder sind Neuheiten, deren Erkenntnis die psychoanalytischen Bemühungen bereits reichlich entlohnt. Sie entnehmen auch wiederum aus den Parallelen zur Traumarbeit, welche Zusammenhänge der psychoanalytischen Studien mit anderen Gebieten, speziell mit der Sprach- und Denkentwicklung, aufgedeckt werden. Die weitere Bedeutung dieser Einsichten können Sie erst ahnen, wenn Sie erfahren, daß die Mechanismen der Traumbildung vorbildlich für die Entstehungsweise der neurotischen Symptome sind.</w:t>
      </w:r>
    </w:p>
    <w:p w:rsidR="00062BE4" w:rsidRPr="002F7766" w:rsidRDefault="00062BE4" w:rsidP="00062BE4">
      <w:pPr>
        <w:rPr>
          <w:rFonts w:ascii="Garamond" w:hAnsi="Garamond" w:cs="Arial"/>
          <w:lang w:val="en-GB"/>
        </w:rPr>
      </w:pPr>
      <w:r w:rsidRPr="002F7766">
        <w:rPr>
          <w:rFonts w:ascii="Garamond" w:hAnsi="Garamond" w:cs="Arial"/>
          <w:lang w:val="en-GB"/>
        </w:rPr>
        <w:t>Ich weiß auch, daß wir den ganzen Neuerwerb, der aus diesen Arbeiten für die Psychologie resultiert, noch nicht übersehen können. Wir wollen nur darauf hinweisen, welche neuen Beweise sich für die Existenz unbewußter seelischer Akte – das sind ja die latenten Traumgedanken – ergeben haben und wie uns die Traumdeutung einen ungeahnt breiten Zugang zur Kenntnis des unbewußten Seelenlebens verspricht. Nun wird es aber wohl an der Zeit sein, daß ich Ihnen an verschiedenen kleinen Traumbeispielen einzeln vorführe, worauf ich Sie im Zusammenhange vorbereitet habe.</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12. Vo</w:t>
        </w:r>
        <w:bookmarkStart w:id="279" w:name="Vorlesungen_12"/>
        <w:bookmarkEnd w:id="279"/>
        <w:r w:rsidRPr="009C5A67">
          <w:rPr>
            <w:rStyle w:val="Lienhypertexte"/>
            <w:rFonts w:ascii="Garamond" w:hAnsi="Garamond" w:cs="Arial"/>
            <w:b/>
            <w:bCs/>
            <w:lang w:val="en-GB"/>
          </w:rPr>
          <w:t>rlesung. Analysen von Traumbeispielen</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Seien Sie nun nicht enttäuscht, wenn ich Ihnen wiederum Bruchstücke von Traumdeutungen vorlege, anstatt Sie zur Teilnahme an der Deutung eines schönen großen Traumes einzuladen. Sie werden sagen, nach so vielen Vorbereitungen hätten Sie ein Recht darauf, und werden Ihrer Überzeugung Ausdruck geben, daß es nach gelungener Deutung von soviel tausend Träumen längst hätte möglich werden müssen, eine Sammlung von ausgezeichneten Traumbeispielen zusammenzutragen, an welcher sich alle unsere Behauptungen über Traumarbeit und Traumgedanken demonstrieren ließen. Ja, aber der Schwierigkeiten, welche der Erfüllung Ihres Wunsches im Wege stehen, sind zu viele.</w:t>
      </w:r>
    </w:p>
    <w:p w:rsidR="00062BE4" w:rsidRPr="002F7766" w:rsidRDefault="00062BE4" w:rsidP="00062BE4">
      <w:pPr>
        <w:rPr>
          <w:rFonts w:ascii="Garamond" w:hAnsi="Garamond" w:cs="Arial"/>
          <w:lang w:val="en-GB"/>
        </w:rPr>
      </w:pPr>
      <w:r w:rsidRPr="002F7766">
        <w:rPr>
          <w:rFonts w:ascii="Garamond" w:hAnsi="Garamond" w:cs="Arial"/>
          <w:lang w:val="en-GB"/>
        </w:rPr>
        <w:t>Vor allem muß ich Ihnen gestehen, daß es niemand gibt, der die Traumdeutung als seine Hauptbeschäftigung betreibt. Wann kommt man denn dazu, Träume zu deuten? Gelegentlich kann man sich ohne besondere Absicht mit den Träumen einer befreundeten Person beschäftigen, oder man arbeitet eine Zeitlang seine eigenen Träume durch, um sich für psychoanalytische Arbeit zu schulen; zumeist hat man es aber mit den Träumen nervöser Personen zu tun, die in analytischer Behandlung stehen. Diese letzteren Träume sind ausgezeichnetes Material und stehen in keiner Weise hinter denen Gesunder zurück, aber man ist durch die Technik der Behandlung genötigt, die Traumdeutung den therapeutischen Absichten unterzuordnen und eine ganze Anzahl von Träumen stehenzulassen, nachdem man ihnen etwas für die Behandlung Brauchbares entnommen hat. Manche Träume, die in den Kuren vorfallen, entziehen sich überhaupt einer vollständigen Deutung. Da sie aus der Gesamtmenge des uns noch unbekannten psychischen Materials erwachsen sind, wird ihr Verständnis erst nach Abschluß der Kur möglich. Die Mitteilung solcher Träume würde auch die Aufdeckung aller Geheimnisse einer Neurose notwendig machen; das geht also nicht bei uns, die wir den Traum als Vorbereitung für das Studium der Neurosen in Angriff genommen haben.</w:t>
      </w:r>
    </w:p>
    <w:p w:rsidR="00062BE4" w:rsidRPr="002F7766" w:rsidRDefault="00062BE4" w:rsidP="00062BE4">
      <w:pPr>
        <w:rPr>
          <w:rFonts w:ascii="Garamond" w:hAnsi="Garamond" w:cs="Arial"/>
          <w:lang w:val="en-GB"/>
        </w:rPr>
      </w:pPr>
      <w:r w:rsidRPr="002F7766">
        <w:rPr>
          <w:rFonts w:ascii="Garamond" w:hAnsi="Garamond" w:cs="Arial"/>
          <w:lang w:val="en-GB"/>
        </w:rPr>
        <w:t>Nun würden Sie gerne auf dieses Material verzichten und wollten lieber Träume von gesunden Menschen oder eigene Träume erläutert hören. Das geht aber wegen des Inhalts dieser Träume nicht an. Man kann weder sich selbst noch einen anderen, dessen Vertrauen man in Anspruch genommen hat, so rücksichtslos bloßstellen, wie es die eingehende Deutung seiner Träume mit sich brächte, die, wie Sie bereits wissen, das Intimste seiner Persönlichkeit betreffen. Außer dieser Schwierigkeit der Materialbeschaffung kommt für die Mitteilung eine andere in Betracht. Sie wissen, der Traum erscheint dem Träumer selbst fremdartig, geschweige denn einem anderen, dem die Person des Träumers unbekannt ist. Unsere Literatur ist nicht arm an guten und ausführlichen Traumanalysen; ich selbst habe einige im Rahmen von Krankengeschichten veröffentlicht; vielleicht das schönste Beispiel einer Traumdeutung ist das von O. Rank mitgeteilte, zwei aufeinander bezügliche Träume eines jungen Mädchens, die im Druck etwa zwei Seiten einnehmen; die Analyse dazu umfaßt aber 76 Seiten. Ich brauchte etwa ein ganzes Semester, um Sie durch eine solche Arbeit hindurch zu geleiten. Wenn man irgendeinen längeren und stärker entstellten Traum vornimmt, so muß man soviel Aufklärungen dazugeben, soviel Material von Einfällen und Erinnerungen heranziehen, auf so viele Seitenwege eingehen, daß ein Vortrag darüber ganz unübersichtlich und unbefriedigend ausfallen würde. Ich muß Sie also bitten, sich mit dem zu begnügen, was leichter zu haben ist, mit der Mitteilung von kleinen Stücken aus Träumen von neurotischen Personen, an denen man dies oder jenes isoliert erkennen kann. Am leichtesten lassen sich die Traumsymbole demonstrieren, dann noch gewisse Eigentümlichkeiten der regressiven Traumdarstellung. Ich werde Ihnen von jedem der nun folgenden Träume angeben, weshalb ich ihn für mitteilenswert erachtet habe.</w:t>
      </w:r>
    </w:p>
    <w:p w:rsidR="00062BE4" w:rsidRPr="002F7766" w:rsidRDefault="00062BE4" w:rsidP="00062BE4">
      <w:pPr>
        <w:rPr>
          <w:rFonts w:ascii="Garamond" w:hAnsi="Garamond" w:cs="Arial"/>
          <w:lang w:val="en-GB"/>
        </w:rPr>
      </w:pPr>
      <w:r w:rsidRPr="002F7766">
        <w:rPr>
          <w:rFonts w:ascii="Garamond" w:hAnsi="Garamond" w:cs="Arial"/>
          <w:lang w:val="en-GB"/>
        </w:rPr>
        <w:t xml:space="preserve">1) Ein Traum besteht nur aus zwei kurzen Bildern: </w:t>
      </w:r>
      <w:r w:rsidRPr="002F7766">
        <w:rPr>
          <w:rFonts w:ascii="Garamond" w:hAnsi="Garamond" w:cs="Arial"/>
          <w:i/>
          <w:iCs/>
          <w:lang w:val="en-GB"/>
        </w:rPr>
        <w:t>Sein Onkel raucht eine Zigarette, obwohl es Samstag ist. – Eine Frau streichelt und liebkost ihn wie ihr Kind</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Zum ersten Bild bemerkt der Träumer (Jude), sein Onkel sei ein frommer Mann, der etwas derart Sündhaftes nie getan hat und nie tun würde. Zur Frau im zweiten Bild fällt ihm nichts anderes ein als seine Mutter. Diese beiden Bilder oder Gedanken sind offenbar in Beziehung zueinander zu setzen. Aber wie? Da er die Realität für das Tun des Onkels ausdrücklich abgestritten hat, so liegt es nahe, ein »Wenn« einzufügen. » </w:t>
      </w:r>
      <w:r w:rsidRPr="002F7766">
        <w:rPr>
          <w:rFonts w:ascii="Garamond" w:hAnsi="Garamond" w:cs="Arial"/>
          <w:i/>
          <w:iCs/>
          <w:lang w:val="en-GB"/>
        </w:rPr>
        <w:t>Wenn</w:t>
      </w:r>
      <w:r w:rsidRPr="002F7766">
        <w:rPr>
          <w:rFonts w:ascii="Garamond" w:hAnsi="Garamond" w:cs="Arial"/>
          <w:lang w:val="en-GB"/>
        </w:rPr>
        <w:t xml:space="preserve"> mein Onkel, der heilige Mann, am Samstag eine Zigarette rauchen würde, dann dürfte ich mich auch von der Mutter liebkosen lassen.« Das heißt offenbar, das Kosen mit der Mutter sei auch etwas Unerlaubtes wie das Rauchen am Samstag für den frommen Juden. Sie erinnern sich, daß ich Ihnen sagte, bei der Traumarbeit fielen alle Relationen zwischen den Traumgedanken weg; diese werden in ihr Rohmaterial aufgelöst, und es ist Aufgabe der Deutung, die weggelassenen Beziehungen wieder einzusetzen.</w:t>
      </w:r>
    </w:p>
    <w:p w:rsidR="00062BE4" w:rsidRPr="002F7766" w:rsidRDefault="00062BE4" w:rsidP="00062BE4">
      <w:pPr>
        <w:rPr>
          <w:rFonts w:ascii="Garamond" w:hAnsi="Garamond" w:cs="Arial"/>
          <w:lang w:val="en-GB"/>
        </w:rPr>
      </w:pPr>
      <w:r w:rsidRPr="002F7766">
        <w:rPr>
          <w:rFonts w:ascii="Garamond" w:hAnsi="Garamond" w:cs="Arial"/>
          <w:lang w:val="en-GB"/>
        </w:rPr>
        <w:t>2) Durch meine Veröffentlichungen über den Traum bin ich in gewisser Hinsicht öffentlicher Konsulent für Traumangelegenheiten geworden und erhalte seit vielen Jahren Zuschriften von den verschiedensten Seiten, in denen mir Träume mitgeteilt oder zur Beurteilung vorgelegt werden. Ich bin natürlich allen jenen dankbar, die zum Traum soviel Material hinzufügen, daß eine Deutung möglich wird, oder die selbst eine solche Deutung geben. In diese Kategorie gehört nun der folgende Traum eines Mediziners aus München vom Jahre 1910. Ich bringe ihn vor, weil er Ihnen beweisen kann, wie unzugänglich im allgemeinen ein Traum dem Verständnis ist, ehe der Träumer uns seine Auskünfte dazu gegeben hat. Ich vermute nämlich, daß Sie im Grunde die Traumdeutung durch Einsetzen der Symbolbedeutung für die ideale halten, die Technik der Assoziation zum Traum aber beiseite schieben möchten, und will Sie von diesem schädlichen Irrtum frei machen.</w:t>
      </w:r>
    </w:p>
    <w:p w:rsidR="00062BE4" w:rsidRPr="002F7766" w:rsidRDefault="00062BE4" w:rsidP="00062BE4">
      <w:pPr>
        <w:rPr>
          <w:rFonts w:ascii="Garamond" w:hAnsi="Garamond" w:cs="Arial"/>
          <w:lang w:val="en-GB"/>
        </w:rPr>
      </w:pPr>
      <w:r w:rsidRPr="002F7766">
        <w:rPr>
          <w:rFonts w:ascii="Garamond" w:hAnsi="Garamond" w:cs="Arial"/>
          <w:lang w:val="en-GB"/>
        </w:rPr>
        <w:t xml:space="preserve">»13. Juli 1910: Gegen Morgen träume ich: </w:t>
      </w:r>
      <w:r w:rsidRPr="002F7766">
        <w:rPr>
          <w:rFonts w:ascii="Garamond" w:hAnsi="Garamond" w:cs="Arial"/>
          <w:i/>
          <w:iCs/>
          <w:lang w:val="en-GB"/>
        </w:rPr>
        <w:t>Ich fahre mit dem Rad in Tübingen die Straße herunter, als ein brauner Dachshund hinter mir dreinrast und mich an einer Ferse faßt. Ein Stück weiter steige ich ab, setze mich auf eine Staffel und fange an, auf das Vieh loszutrommeln, das sich fest verbissen hat.</w:t>
      </w:r>
      <w:r w:rsidRPr="002F7766">
        <w:rPr>
          <w:rFonts w:ascii="Garamond" w:hAnsi="Garamond" w:cs="Arial"/>
          <w:lang w:val="en-GB"/>
        </w:rPr>
        <w:t xml:space="preserve"> (Unangenehme Gefühle habe ich von dem Beißen und der ganzen Szene nicht.) </w:t>
      </w:r>
      <w:r w:rsidRPr="002F7766">
        <w:rPr>
          <w:rFonts w:ascii="Garamond" w:hAnsi="Garamond" w:cs="Arial"/>
          <w:i/>
          <w:iCs/>
          <w:lang w:val="en-GB"/>
        </w:rPr>
        <w:t>Gegenüber sitzen ein paar ältere Damen, die mir grinsend zusehen. Dann wache ich auf und, wie schon öfter, ist mir in diesem Moment des Übergangs zum Wachen der ganze Traum klar.</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Mit Symbolen ist hier wenig auszurichten. Der Träumer berichtet uns aber: »Ich habe mich in der letzten Zeit in ein Mädchen verliebt, nur so vom Sehen auf der Straße, habe aber keinerlei Anknüpfungspunkte gehabt. Dieser Anknüpfungspunkt hätte für mich am angenehmsten der Dachshund sein können, zumal ich ein großer Tierfreund bin und diese Eigenschaft auch bei dem Mädchen sympathisch empfunden habe.« Er fügt auch hinzu, daß er wiederholt mit großem Geschick und oft zum Erstaunen der Zuschauer in die Kämpfe miteinander raufender Hunde eingegriffen habe. Wir erfahren also, daß das Mädchen, welches ihm gefiel, stets in Begleitung dieses besonderen Hundes zu sehen war. Dies Mädchen ist aber für den manifesten Traum beseitigt worden, nur der mit ihr assoziierte Hund ist geblieben. Vielleicht sind die älteren Damen, die ihn angrinsen, an die Stelle des Mädchens getreten. Was er sonst noch mitteilt, reicht zur Aufklärung dieses Punktes nicht aus. Daß er im Traume auf dem Rade fährt, ist direkte Wiederholung der erinnerten Situation. Er war dem Mädchen mit dem Hunde immer nur, wenn er zu Rade war, begegnet.</w:t>
      </w:r>
    </w:p>
    <w:p w:rsidR="00062BE4" w:rsidRPr="00062BE4" w:rsidRDefault="00062BE4" w:rsidP="00062BE4">
      <w:pPr>
        <w:rPr>
          <w:rFonts w:ascii="Garamond" w:hAnsi="Garamond" w:cs="Arial"/>
          <w:lang w:val="en-GB"/>
        </w:rPr>
      </w:pPr>
      <w:r w:rsidRPr="002F7766">
        <w:rPr>
          <w:rFonts w:ascii="Garamond" w:hAnsi="Garamond" w:cs="Arial"/>
          <w:lang w:val="en-GB"/>
        </w:rPr>
        <w:t xml:space="preserve">3) Wenn jemand einen seiner teueren Angehörigen verloren hat, so produziert er durch längere Zeit nachher Träume von besonderer Art, in denen das Wissen um den Tod mit dem Bedürfnis, den Toten wiederzubeleben, die merkwürdigsten Kompromisse abschließt. Bald ist der Verstorbene tot und lebt dabei doch weiter, weil er nicht weiß, daß er tot ist, und wenn er es wüßte, stürbe er erst ganz; bald ist er halb tot und halb lebendig, und jeder dieser Zustände hat seine besonderen Anzeichen. Man darf diese Träume nicht einfach unsinnige nennen, denn das Wiederbelebtwerden ist für den Traum nicht unannehmbarer als z. B. für das Märchen, in dem es als ein sehr gewöhnliches Schicksal vorkommt. Soweit ich solche Träume analysieren konnte, ergab es sich, daß sie einer vernünftigen Lösung fähig sind, aber daß der pietätvolle Wunsch, den Toten ins Leben zurückzurufen, mit den seltsamsten Mitteln zu </w:t>
      </w:r>
      <w:r w:rsidRPr="002F7766">
        <w:rPr>
          <w:rFonts w:ascii="Garamond" w:hAnsi="Garamond" w:cs="Arial"/>
          <w:lang w:val="en-GB"/>
        </w:rPr>
        <w:lastRenderedPageBreak/>
        <w:t xml:space="preserve">arbeiten versteht. Ich lege Ihnen hier einen solchen Traum vor, der sonderbar und unsinnig genug klingt und dessen Analyse Ihnen vieles von dem vorführen wird, worauf Sie durch unsere theoretischen Ausführungen vorbereitet sind. </w:t>
      </w:r>
      <w:r w:rsidRPr="00062BE4">
        <w:rPr>
          <w:rFonts w:ascii="Garamond" w:hAnsi="Garamond" w:cs="Arial"/>
          <w:lang w:val="en-GB"/>
        </w:rPr>
        <w:t>Der Traum eines Mannes, der seinen Vater vor mehreren Jahren verloren hatte:</w:t>
      </w:r>
    </w:p>
    <w:p w:rsidR="00062BE4" w:rsidRPr="002F7766" w:rsidRDefault="00062BE4" w:rsidP="00062BE4">
      <w:pPr>
        <w:rPr>
          <w:rFonts w:ascii="Garamond" w:hAnsi="Garamond" w:cs="Arial"/>
          <w:lang w:val="en-GB"/>
        </w:rPr>
      </w:pPr>
      <w:r w:rsidRPr="002F7766">
        <w:rPr>
          <w:rFonts w:ascii="Garamond" w:hAnsi="Garamond" w:cs="Arial"/>
          <w:i/>
          <w:iCs/>
          <w:lang w:val="en-GB"/>
        </w:rPr>
        <w:t xml:space="preserve">Der Vater ist gestorben, aber exhumiert worden und sieht schlecht aus. </w:t>
      </w:r>
      <w:r w:rsidRPr="002F7766">
        <w:rPr>
          <w:rFonts w:ascii="Garamond" w:hAnsi="Garamond" w:cs="Arial"/>
          <w:i/>
          <w:iCs/>
        </w:rPr>
        <w:t>Er lebt seitdem fort, und der Träumer tut alles, damit er es nicht merkt.</w:t>
      </w:r>
      <w:r w:rsidRPr="002F7766">
        <w:rPr>
          <w:rFonts w:ascii="Garamond" w:hAnsi="Garamond" w:cs="Arial"/>
        </w:rPr>
        <w:t xml:space="preserve"> </w:t>
      </w:r>
      <w:r w:rsidRPr="002F7766">
        <w:rPr>
          <w:rFonts w:ascii="Garamond" w:hAnsi="Garamond" w:cs="Arial"/>
          <w:lang w:val="en-GB"/>
        </w:rPr>
        <w:t>(Dann übergeht der Traum auf andere, scheinbar sehr fernliegende Dinge.)</w:t>
      </w:r>
    </w:p>
    <w:p w:rsidR="00062BE4" w:rsidRPr="002F7766" w:rsidRDefault="00062BE4" w:rsidP="00062BE4">
      <w:pPr>
        <w:rPr>
          <w:rFonts w:ascii="Garamond" w:hAnsi="Garamond" w:cs="Arial"/>
          <w:lang w:val="en-GB"/>
        </w:rPr>
      </w:pPr>
      <w:r w:rsidRPr="002F7766">
        <w:rPr>
          <w:rFonts w:ascii="Garamond" w:hAnsi="Garamond" w:cs="Arial"/>
          <w:lang w:val="en-GB"/>
        </w:rPr>
        <w:t>Der Vater ist gestorben, das wissen wir. Daß er exhumiert worden, entspricht nicht der Wirklichkeit, die ja auch für alles weitere nicht in Betracht kommt. Aber der Träumer erzählt: Nachdem er vom Begräbnis des Vaters zurückgekommen war, begann ihn ein Zahn zu schmerzen. Er wollte diesen Zahn nach der Vorschrift der jüdischen Lehre behandeln: Wenn dich dein Zahn ärgert, so reiße ihn aus, und begab sich zum Zahnarzt. Der aber sagte: Einen Zahn reißt man nicht, man muß Geduld mit ihm haben. Ich werde etwas einlegen, um ihn zu töten; nach drei Tagen kommen Sie wieder, dann werde ich's herausnehmen.</w:t>
      </w:r>
    </w:p>
    <w:p w:rsidR="00062BE4" w:rsidRPr="002F7766" w:rsidRDefault="00062BE4" w:rsidP="00062BE4">
      <w:pPr>
        <w:rPr>
          <w:rFonts w:ascii="Garamond" w:hAnsi="Garamond" w:cs="Arial"/>
          <w:lang w:val="en-GB"/>
        </w:rPr>
      </w:pPr>
      <w:r w:rsidRPr="002F7766">
        <w:rPr>
          <w:rFonts w:ascii="Garamond" w:hAnsi="Garamond" w:cs="Arial"/>
          <w:lang w:val="en-GB"/>
        </w:rPr>
        <w:t>Dies »Herausnehmen«, sagt der Träumer plötzlich, das ist das Exhumieren.</w:t>
      </w:r>
    </w:p>
    <w:p w:rsidR="00062BE4" w:rsidRPr="002F7766" w:rsidRDefault="00062BE4" w:rsidP="00062BE4">
      <w:pPr>
        <w:rPr>
          <w:rFonts w:ascii="Garamond" w:hAnsi="Garamond" w:cs="Arial"/>
          <w:lang w:val="en-GB"/>
        </w:rPr>
      </w:pPr>
      <w:r w:rsidRPr="002F7766">
        <w:rPr>
          <w:rFonts w:ascii="Garamond" w:hAnsi="Garamond" w:cs="Arial"/>
        </w:rPr>
        <w:t xml:space="preserve">Sollte der Träumer recht haben? Es stimmt zwar nicht ganz, nur so ungefähr, denn der Zahn wird ja nicht herausgenommen, sondern etwas, das Abgestorbene, aus ihm. </w:t>
      </w:r>
      <w:r w:rsidRPr="002F7766">
        <w:rPr>
          <w:rFonts w:ascii="Garamond" w:hAnsi="Garamond" w:cs="Arial"/>
          <w:lang w:val="en-GB"/>
        </w:rPr>
        <w:t xml:space="preserve">Aber dergleichen Ungenauigkeiten darf man der Traumarbeit nach anderen Erfahrungen wohl zutrauen. Dann hätte der Träumer den verstorbenen Vater mit dem getöteten und doch erhaltenen Zahn verdichtet, zu einer Einheit verschmolzen. Kein Wunder dann, daß im manifesten Traum etwas Sinnloses zustande kommt, denn es kann doch nicht alles auf den Vater passen, was vom Zahn gesagt wird. Wo wäre überhaupt das </w:t>
      </w:r>
      <w:r w:rsidRPr="002F7766">
        <w:rPr>
          <w:rFonts w:ascii="Garamond" w:hAnsi="Garamond" w:cs="Arial"/>
          <w:i/>
          <w:iCs/>
          <w:lang w:val="en-GB"/>
        </w:rPr>
        <w:t>Tertium comparationis</w:t>
      </w:r>
      <w:r w:rsidRPr="002F7766">
        <w:rPr>
          <w:rFonts w:ascii="Garamond" w:hAnsi="Garamond" w:cs="Arial"/>
          <w:lang w:val="en-GB"/>
        </w:rPr>
        <w:t xml:space="preserve"> zwischen Zahn und Vater, welches diese Verdichtung ermöglicht?</w:t>
      </w:r>
    </w:p>
    <w:p w:rsidR="00062BE4" w:rsidRPr="002F7766" w:rsidRDefault="00062BE4" w:rsidP="00062BE4">
      <w:pPr>
        <w:rPr>
          <w:rFonts w:ascii="Garamond" w:hAnsi="Garamond" w:cs="Arial"/>
          <w:lang w:val="en-GB"/>
        </w:rPr>
      </w:pPr>
      <w:r w:rsidRPr="002F7766">
        <w:rPr>
          <w:rFonts w:ascii="Garamond" w:hAnsi="Garamond" w:cs="Arial"/>
          <w:lang w:val="en-GB"/>
        </w:rPr>
        <w:t>Es muß aber doch wohl so sein, denn der Träumer fährt fort, es sei ihm bekannt, wenn man von einem ausgefallenen Zahn träumt, so bedeutet es, daß man ein Familienmitglied verlieren werde.</w:t>
      </w:r>
    </w:p>
    <w:p w:rsidR="00062BE4" w:rsidRPr="002F7766" w:rsidRDefault="00062BE4" w:rsidP="00062BE4">
      <w:pPr>
        <w:rPr>
          <w:rFonts w:ascii="Garamond" w:hAnsi="Garamond" w:cs="Arial"/>
          <w:lang w:val="en-GB"/>
        </w:rPr>
      </w:pPr>
      <w:r w:rsidRPr="002F7766">
        <w:rPr>
          <w:rFonts w:ascii="Garamond" w:hAnsi="Garamond" w:cs="Arial"/>
          <w:lang w:val="en-GB"/>
        </w:rPr>
        <w:t>Wir wissen, daß diese populäre Deutung unrichtig oder wenigstens nur in einem skurrilen Sinne richtig ist. Umsomehr wird es uns überraschen, das so angeschlagene Thema doch hinter den anderen Stücken des Trauminhalts aufzufinden.</w:t>
      </w:r>
    </w:p>
    <w:p w:rsidR="00062BE4" w:rsidRPr="002F7766" w:rsidRDefault="00062BE4" w:rsidP="00062BE4">
      <w:pPr>
        <w:rPr>
          <w:rFonts w:ascii="Garamond" w:hAnsi="Garamond" w:cs="Arial"/>
          <w:lang w:val="en-GB"/>
        </w:rPr>
      </w:pPr>
      <w:r w:rsidRPr="002F7766">
        <w:rPr>
          <w:rFonts w:ascii="Garamond" w:hAnsi="Garamond" w:cs="Arial"/>
          <w:lang w:val="en-GB"/>
        </w:rPr>
        <w:t>Ohne weitere Aufforderung beginnt nun der Träumer von der Krankheit und dem Tode des Vaters sowie von seinem Verhältnis zu ihm zu erzählen. Der Vater war lange krank, die Pflege und Behandlung des Kranken kostete ihn, den Sohn, viel Geld. Und doch war es ihm nie zuviel, er wurde nie ungeduldig, hatte nie den Wunsch, es möge doch schon zu Ende sein. Er rühmt sich echt jüdischer Pietät gegen den Vater, der strengen Befolgung des jüdischen Gesetzes. Fällt uns da nicht ein Widerspruch in den zum Traum gehörigen Gedanken auf? Er hatte Zahn und Vater identifiziert. Gegen den Zahn wollte er nach dem jüdischen Gesetz verfahren, welches das Urteil mit sich brachte, ihn auszureißen, wenn er Schmerz und Ärgernis bereitete. Auch gegen den Vater wollte er nach der Vorschrift des Gesetzes verfahren sein, welches aber hier lautet, Aufwand und Ärgernis nicht zu achten, alles Schwere auf sich zu nehmen und keine feindliche Absicht gegen das Schmerz bereitende Objekt aufkommen zu lassen. Wäre die Übereinstimmung nicht weit zwingender, wenn er wirklich gegen den kranken Vater ähnliche Gefühle entwickelt hätte wie gegen den kranken Zahn, d. h. gewünscht hätte, ein baldiger Tod möge seiner überflüssigen, schmerzlichen und kostspieligen Existenz ein Ende setzen?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zweifle nicht, daß dies wirklich seine Einstellung gegen den Vater während dessen langwieriger Krankheit war und daß die prahlerischen Versicherungen seiner frommen Pietät dazu bestimmt sind, von diesen Erinnerungen abzulenken. Unter solchen Bedingungen pflegt der Todeswunsch gegen den Erzeuger rege zu werden und sich mit der Maske einer mitleidigen Erwägung wie: es wäre nur eine Erlösung für ihn, zu decken. Bemerken Sie aber wohl, daß wir hier in den latenten Traumgedanken selbst </w:t>
      </w:r>
      <w:r w:rsidRPr="002F7766">
        <w:rPr>
          <w:rFonts w:ascii="Garamond" w:hAnsi="Garamond" w:cs="Arial"/>
          <w:lang w:val="en-GB"/>
        </w:rPr>
        <w:lastRenderedPageBreak/>
        <w:t>eine Schranke überschritten haben. Der erste Anteil derselben war gewiß nur zeitweilig, d. h. während der Traumbildung, unbewußt, die feindseligen Regungen gegen den Vater dürften aber dauernd unbewußt gewesen sein, vielleicht aus Kinderzeiten stammen und sich während der Krankheit des Vaters gelegentlich schüchtern und verkleidet ins Bewußtsein geschlichen haben. Mit noch größerer Sicherheit können wir dies von anderen latenten Gedanken behaupten, die unverkennbare Beiträge an den Trauminhalt abgegeben haben. Von den feindseligen Regungen gegen den Vater ist ja nichts im Traum zu entdecken. Indem wir aber der Wurzel solcher Feindseligkeit gegen den Vater im Kinderleben nachforschen, erinnern wir uns, daß sich die Furcht vor dem Vater herstellt, weil dieser sich schon in frühesten Jahren der Sexualbetätigung des Knaben entgegensetzt, wie er es in der Regel im Alter nach der Pubertät aus sozialen Motiven wiederholen muß. Diese Beziehung zum Vater trifft auch für unseren Träumer zu; seiner Liebe zu ihm war genug Respekt und Angst beigemengt gewesen, die aus der Quelle der frühzeitigen Sexualeinschüchterung geflossen waren.</w:t>
      </w:r>
    </w:p>
    <w:p w:rsidR="00062BE4" w:rsidRPr="002F7766" w:rsidRDefault="00062BE4" w:rsidP="00062BE4">
      <w:pPr>
        <w:rPr>
          <w:rFonts w:ascii="Garamond" w:hAnsi="Garamond" w:cs="Arial"/>
          <w:lang w:val="en-GB"/>
        </w:rPr>
      </w:pPr>
      <w:r w:rsidRPr="002F7766">
        <w:rPr>
          <w:rFonts w:ascii="Garamond" w:hAnsi="Garamond" w:cs="Arial"/>
          <w:lang w:val="en-GB"/>
        </w:rPr>
        <w:t xml:space="preserve">Aus dem Onaniekomplex erklären sich nun die weiteren Sätze des manifesten Traumes. </w:t>
      </w:r>
      <w:r w:rsidRPr="002F7766">
        <w:rPr>
          <w:rFonts w:ascii="Garamond" w:hAnsi="Garamond" w:cs="Arial"/>
          <w:i/>
          <w:iCs/>
          <w:lang w:val="en-GB"/>
        </w:rPr>
        <w:t>Er sieht schlecht aus</w:t>
      </w:r>
      <w:r w:rsidRPr="002F7766">
        <w:rPr>
          <w:rFonts w:ascii="Garamond" w:hAnsi="Garamond" w:cs="Arial"/>
          <w:lang w:val="en-GB"/>
        </w:rPr>
        <w:t xml:space="preserve"> spielt zwar auf eine weitere Rede des Zahnarztes an, daß es schlecht aussieht, wenn man einen Zahn an dieser Stelle eingebüßt hat; es bezieht sich aber gleichzeitig auf das schlechte Aussehen, durch welches der junge Mann in der Pubertät seine übermäßige Sexualbetätigung verrät oder zu verraten fürchtet. Nicht ohne eigene Erleichterung hat der Träumer im manifesten Inhalt das schlechte Aussehen von sich weg auf den Vater geschoben, eine der Ihnen bekannten Umkehrungen der Traumarbeit. </w:t>
      </w:r>
      <w:r w:rsidRPr="002F7766">
        <w:rPr>
          <w:rFonts w:ascii="Garamond" w:hAnsi="Garamond" w:cs="Arial"/>
          <w:i/>
          <w:iCs/>
          <w:lang w:val="en-GB"/>
        </w:rPr>
        <w:t>Er lebt seitdem fort</w:t>
      </w:r>
      <w:r w:rsidRPr="002F7766">
        <w:rPr>
          <w:rFonts w:ascii="Garamond" w:hAnsi="Garamond" w:cs="Arial"/>
          <w:lang w:val="en-GB"/>
        </w:rPr>
        <w:t xml:space="preserve"> deckt sich mit dem Wiederbelebungswunsch wie mit dem Versprechen des Zahnarztes, daß der Zahn erhalten bleiben wird. Ganz raffiniert ist aber der Satz »der Träumer tut alles, </w:t>
      </w:r>
      <w:r w:rsidRPr="002F7766">
        <w:rPr>
          <w:rFonts w:ascii="Garamond" w:hAnsi="Garamond" w:cs="Arial"/>
          <w:i/>
          <w:iCs/>
          <w:lang w:val="en-GB"/>
        </w:rPr>
        <w:t>damit er (der Vater) es nicht merkt</w:t>
      </w:r>
      <w:r w:rsidRPr="002F7766">
        <w:rPr>
          <w:rFonts w:ascii="Garamond" w:hAnsi="Garamond" w:cs="Arial"/>
          <w:lang w:val="en-GB"/>
        </w:rPr>
        <w:t>«, darauf hergerichtet, uns zur Ergänzung zu verleiten, daß er gestorben ist. Die einzig sinnreiche Ergänzung ergibt sich aber wieder aus dem Onaniekomplex, wo es selbstverständlich ist, daß der Jüngling alles tut, um sein Sexualleben vor dem Vater zu verbergen. Erinnern Sie sich nun zum Schluß, daß wir die sogenannten Zahnreizträume stets auf Onanie und auf die gefürchtete Bestrafung für sie deuten mußten.</w:t>
      </w:r>
    </w:p>
    <w:p w:rsidR="00062BE4" w:rsidRPr="00062BE4" w:rsidRDefault="00062BE4" w:rsidP="00062BE4">
      <w:pPr>
        <w:rPr>
          <w:rFonts w:ascii="Garamond" w:hAnsi="Garamond" w:cs="Arial"/>
          <w:lang w:val="en-US"/>
        </w:rPr>
      </w:pPr>
      <w:r w:rsidRPr="002F7766">
        <w:rPr>
          <w:rFonts w:ascii="Garamond" w:hAnsi="Garamond" w:cs="Arial"/>
        </w:rPr>
        <w:t xml:space="preserve">Sie sehen nun, wie dieser unverständliche Traum zustande gekommen ist. </w:t>
      </w:r>
      <w:r w:rsidRPr="00062BE4">
        <w:rPr>
          <w:rFonts w:ascii="Garamond" w:hAnsi="Garamond" w:cs="Arial"/>
          <w:lang w:val="en-US"/>
        </w:rPr>
        <w:t>Durch die Herstellung einer sonderbaren und irreführenden Verdichtung, durch die Übergehung aller Gedanken aus der Mitte des latenten Gedankenganges und durch die Schaffung von mehrdeutigen Ersatzbildungen für die tiefsten und zeitlich entlegensten dieser Gedanken.</w:t>
      </w:r>
    </w:p>
    <w:p w:rsidR="00062BE4" w:rsidRPr="002F7766" w:rsidRDefault="00062BE4" w:rsidP="00062BE4">
      <w:pPr>
        <w:rPr>
          <w:rFonts w:ascii="Garamond" w:hAnsi="Garamond" w:cs="Arial"/>
          <w:lang w:val="en-GB"/>
        </w:rPr>
      </w:pPr>
      <w:r w:rsidRPr="00062BE4">
        <w:rPr>
          <w:rFonts w:ascii="Garamond" w:hAnsi="Garamond" w:cs="Arial"/>
          <w:lang w:val="en-US"/>
        </w:rPr>
        <w:t xml:space="preserve">4) Wir haben schon wiederholt versucht, jenen nüchternen und banalen Träumen beizukommen, die nichts Unsinniges oder Befremdendes an sich tragen, bei denen sich aber die Frage erhebt: Wozu träumt man so gleichgültiges Zeug? </w:t>
      </w:r>
      <w:r w:rsidRPr="002F7766">
        <w:rPr>
          <w:rFonts w:ascii="Garamond" w:hAnsi="Garamond" w:cs="Arial"/>
          <w:lang w:val="en-GB"/>
        </w:rPr>
        <w:t>Ich will also ein neues Beispiel dieser Art vorlegen, drei zusammengehörige, in einer Nacht vorgefallene Träume einer jungen Dame.</w:t>
      </w:r>
    </w:p>
    <w:p w:rsidR="00062BE4" w:rsidRPr="002F7766" w:rsidRDefault="00062BE4" w:rsidP="00062BE4">
      <w:pPr>
        <w:rPr>
          <w:rFonts w:ascii="Garamond" w:hAnsi="Garamond" w:cs="Arial"/>
          <w:lang w:val="en-GB"/>
        </w:rPr>
      </w:pPr>
      <w:r w:rsidRPr="002F7766">
        <w:rPr>
          <w:rFonts w:ascii="Garamond" w:hAnsi="Garamond" w:cs="Arial"/>
          <w:i/>
          <w:iCs/>
          <w:lang w:val="en-GB"/>
        </w:rPr>
        <w:t>a) Sie geht durch die Halle ihres Hauses und stößt sich den Kopf blutig an dem tief herabhängenden Luster</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Keine Reminiszenz, nichts, was wirklich vorgefallen ist. Ihre Auskunft dazu leitet auf ganz andere Wege. »Sie wissen, wie stark mir die Haare ausgehen. Kind, hat die Mutter gestern zu mir gesagt, wenn das so weitergeht, wirst du einen Kopf bekommen wie einen Popo.« Der Kopf steht also hier für das andere Körperende. Den Luster können wir ohne Nachhilfe symbolisch verstehen; alle der Verlängerung fähigen Gegenstände sind Symbole des männlichen Gliedes. Also handelt es sich um eine Blutung am unteren Körperende, die durch den Zusammenstoß mit dem Penis entsteht. Das könnte noch mehrdeutig sein; ihre weiteren Einfälle zeigen, daß es sich um den Glauben handelt, die Menstruationsblutung entstehe durch den Geschlechtsverkehr mit dem Mann, ein Stück der Sexualtheorie, das viele Gläubige unter den unreifen Mädchen hat.</w:t>
      </w:r>
    </w:p>
    <w:p w:rsidR="00062BE4" w:rsidRPr="002F7766" w:rsidRDefault="00062BE4" w:rsidP="00062BE4">
      <w:pPr>
        <w:rPr>
          <w:rFonts w:ascii="Garamond" w:hAnsi="Garamond" w:cs="Arial"/>
        </w:rPr>
      </w:pPr>
      <w:r w:rsidRPr="002F7766">
        <w:rPr>
          <w:rFonts w:ascii="Garamond" w:hAnsi="Garamond" w:cs="Arial"/>
          <w:i/>
          <w:iCs/>
        </w:rPr>
        <w:t>b) Sie sieht im Weingarten eine tiefe Grube, von der sie weiß, daß sie durch Ausreißen eines Baumes entstanden ist.</w:t>
      </w:r>
      <w:r w:rsidRPr="002F7766">
        <w:rPr>
          <w:rFonts w:ascii="Garamond" w:hAnsi="Garamond" w:cs="Arial"/>
        </w:rPr>
        <w:t xml:space="preserve"> Dazu ihre Bemerkung, der Baum </w:t>
      </w:r>
      <w:r w:rsidRPr="002F7766">
        <w:rPr>
          <w:rFonts w:ascii="Garamond" w:hAnsi="Garamond" w:cs="Arial"/>
          <w:i/>
          <w:iCs/>
        </w:rPr>
        <w:t>fehle ihr</w:t>
      </w:r>
      <w:r w:rsidRPr="002F7766">
        <w:rPr>
          <w:rFonts w:ascii="Garamond" w:hAnsi="Garamond" w:cs="Arial"/>
        </w:rPr>
        <w:t xml:space="preserve"> dabei. Sie meint, sie habe im Traum den Baum nicht gesehen, aber derselbe Wortlaut dient dem Ausdruck eines anderen Gedankens, der nun die symbolische Deutung </w:t>
      </w:r>
      <w:r w:rsidRPr="002F7766">
        <w:rPr>
          <w:rFonts w:ascii="Garamond" w:hAnsi="Garamond" w:cs="Arial"/>
        </w:rPr>
        <w:lastRenderedPageBreak/>
        <w:t>vollends sicherstellt. Der Traum bezieht sich auf ein anderes Stück der infantilen Sexualtheorien, auf den Glauben, daß die Mädchen ursprünglich dasselbe Genitale hatten wie die Knaben und daß dessen spätere Gestaltung durch Kastration (Ausreißen eines Baumes) entstanden ist.</w:t>
      </w:r>
    </w:p>
    <w:p w:rsidR="00062BE4" w:rsidRPr="002F7766" w:rsidRDefault="00062BE4" w:rsidP="00062BE4">
      <w:pPr>
        <w:rPr>
          <w:rFonts w:ascii="Garamond" w:hAnsi="Garamond" w:cs="Arial"/>
          <w:lang w:val="en-GB"/>
        </w:rPr>
      </w:pPr>
      <w:r w:rsidRPr="002F7766">
        <w:rPr>
          <w:rFonts w:ascii="Garamond" w:hAnsi="Garamond" w:cs="Arial"/>
          <w:i/>
          <w:iCs/>
          <w:lang w:val="en-GB"/>
        </w:rPr>
        <w:t>c) Sie steht vor ihrer Schreibtischlade, in der sie sich so gut auskennt, daß sie sofort weiß, wenn jemand darüber gekommen ist.</w:t>
      </w:r>
      <w:r w:rsidRPr="002F7766">
        <w:rPr>
          <w:rFonts w:ascii="Garamond" w:hAnsi="Garamond" w:cs="Arial"/>
          <w:lang w:val="en-GB"/>
        </w:rPr>
        <w:t xml:space="preserve"> Die Schreibtischlade ist wie jede Lade, Kiste, Schachtel, ein weibliches Genitale. Sie weiß, daß man die Anzeichen des Sexualverkehrs (wie sie meint, auch der Berührung) am Genitale erkennen kann, und hat sich lange vor solcher Überführung gefürchtet. Ich meine, der Akzent ist in all diesen drei Träumen auf das </w:t>
      </w:r>
      <w:r w:rsidRPr="002F7766">
        <w:rPr>
          <w:rFonts w:ascii="Garamond" w:hAnsi="Garamond" w:cs="Arial"/>
          <w:i/>
          <w:iCs/>
          <w:lang w:val="en-GB"/>
        </w:rPr>
        <w:t>Wissen</w:t>
      </w:r>
      <w:r w:rsidRPr="002F7766">
        <w:rPr>
          <w:rFonts w:ascii="Garamond" w:hAnsi="Garamond" w:cs="Arial"/>
          <w:lang w:val="en-GB"/>
        </w:rPr>
        <w:t xml:space="preserve"> zu legen. Sie gedenkt der Zeit ihrer kindlichen Sexualforschung, auf deren Ergebnisse sie damals recht stolz war.</w:t>
      </w:r>
    </w:p>
    <w:p w:rsidR="00062BE4" w:rsidRPr="002F7766" w:rsidRDefault="00062BE4" w:rsidP="00062BE4">
      <w:pPr>
        <w:rPr>
          <w:rFonts w:ascii="Garamond" w:hAnsi="Garamond" w:cs="Arial"/>
          <w:lang w:val="en-GB"/>
        </w:rPr>
      </w:pPr>
      <w:r w:rsidRPr="002F7766">
        <w:rPr>
          <w:rFonts w:ascii="Garamond" w:hAnsi="Garamond" w:cs="Arial"/>
          <w:lang w:val="en-GB"/>
        </w:rPr>
        <w:t>5) Wiederum ein Stückchen Symbolik. Aber diesmal muß ich die psychische Situation in einem kurzen Vorbericht voranstellen. Ein Herr, der mit einer Frau eine Liebesnacht verbracht hat, schildert seine Partnerin als eine jener mütterlichen Naturen, bei denen im Liebesverkehre mit dem Manne der Wunsch nach dem Kinde unwiderstehlich durchdringt. Die Verhältnisse jenes Zusammentreffens nötigen aber zu einer Vorsicht, durch welche der befruchtende Samenerguß vom weiblichen Schoß ferngehalten wird. Beim Erwachen aus dieser Nacht erzählt die Frau nachstehenden Traum:</w:t>
      </w:r>
    </w:p>
    <w:p w:rsidR="00062BE4" w:rsidRPr="002F7766" w:rsidRDefault="00062BE4" w:rsidP="00062BE4">
      <w:pPr>
        <w:rPr>
          <w:rFonts w:ascii="Garamond" w:hAnsi="Garamond" w:cs="Arial"/>
          <w:lang w:val="en-GB"/>
        </w:rPr>
      </w:pPr>
      <w:r w:rsidRPr="002F7766">
        <w:rPr>
          <w:rFonts w:ascii="Garamond" w:hAnsi="Garamond" w:cs="Arial"/>
          <w:i/>
          <w:iCs/>
          <w:lang w:val="en-GB"/>
        </w:rPr>
        <w:t>Ein Offizier mit einer roten Kappe läuft ihr auf der Straße nach. Sie flieht vor ihm, läuft die Stiege hinauf, er immer nach. Atemlos erreicht sie ihre Wohnung und wirft die Türe hinter sich ins Schloß. Er bleibt draußen, und wie sie durchs Guckloch schaut, sitzt er draußen auf einer Bank und weint.</w:t>
      </w:r>
    </w:p>
    <w:p w:rsidR="00062BE4" w:rsidRPr="002F7766" w:rsidRDefault="00062BE4" w:rsidP="00062BE4">
      <w:pPr>
        <w:rPr>
          <w:rFonts w:ascii="Garamond" w:hAnsi="Garamond" w:cs="Arial"/>
          <w:lang w:val="en-GB"/>
        </w:rPr>
      </w:pPr>
      <w:r w:rsidRPr="002F7766">
        <w:rPr>
          <w:rFonts w:ascii="Garamond" w:hAnsi="Garamond" w:cs="Arial"/>
          <w:lang w:val="en-GB"/>
        </w:rPr>
        <w:t>Sie erkennen wohl in der Verfolgung durch den Offizier mit der roten Kappe und in dem atemlosen Steigen die Darstellung des Geschlechtsaktes. Daß die Träumerin sich vor dem Verfolger verschließt, mag Ihnen als Beispiel der im Traum so häufig angewendeten Umkehrungen gelten, denn in Wirklichkeit hatte sich ja der Mann der Beendigung des Liebesaktes entzogen. Ebenso ist ihre Trauer auf den Partner verschoben, er ist es ja, der im Traume weint, womit gleichzeitig der Samenerguß angedeutet ist.</w:t>
      </w:r>
    </w:p>
    <w:p w:rsidR="00062BE4" w:rsidRPr="002F7766" w:rsidRDefault="00062BE4" w:rsidP="00062BE4">
      <w:pPr>
        <w:rPr>
          <w:rFonts w:ascii="Garamond" w:hAnsi="Garamond" w:cs="Arial"/>
          <w:lang w:val="en-GB"/>
        </w:rPr>
      </w:pPr>
      <w:r w:rsidRPr="002F7766">
        <w:rPr>
          <w:rFonts w:ascii="Garamond" w:hAnsi="Garamond" w:cs="Arial"/>
          <w:lang w:val="en-GB"/>
        </w:rPr>
        <w:t>Sie werden gewiß einmal gehört haben, in der Psychoanalyse werde behauptet, daß alle Träume sexuelle Bedeutung haben. Nun sind Sie selbst in die Lage gekommen, sich über die Unkorrektheit dieses Vorwurfs ein Urteil zu bilden. Sie haben die Wunschträume kennengelernt, die von der Befriedigung der klarliegendsten Bedürfnisse, des Hungers, des Durstes, der Sehnsucht nach Freiheit handeln, die Bequemlichkeits- und Ungeduldsträume und ebenso rein habsüchtige und egoistische. Aber daß die stark entstellten Träume vorwiegend – wiederum nicht ausschließlich – sexuellen Wünschen Ausdruck geben, dürfen Sie allerdings als Ergebnis der psychoanalytischen Forschung im Gedächtnis behalten.</w:t>
      </w:r>
    </w:p>
    <w:p w:rsidR="00062BE4" w:rsidRPr="002F7766" w:rsidRDefault="00062BE4" w:rsidP="00062BE4">
      <w:pPr>
        <w:rPr>
          <w:rFonts w:ascii="Garamond" w:hAnsi="Garamond" w:cs="Arial"/>
          <w:lang w:val="en-GB"/>
        </w:rPr>
      </w:pPr>
      <w:r w:rsidRPr="002F7766">
        <w:rPr>
          <w:rFonts w:ascii="Garamond" w:hAnsi="Garamond" w:cs="Arial"/>
          <w:lang w:val="en-GB"/>
        </w:rPr>
        <w:t>6) Ich habe ein besonderes Motiv, die Beispiele für die Symbolverwendung im Traume zu häufen. Ich habe mich bei unserem ersten Zusammentreffen darüber beklagt, wie schwierig die Demonstration und damit das Erwecken von Überzeugungen in der Unterweisung der Psychoanalyse sei, und Sie haben mir seither gewiß beigestimmt. Nun hängen aber die einzelnen Behauptungen der Psychoanalyse doch so innig zusammen, daß die Überzeugung sich leicht von einem Punkt her auf einen größeren Teil des Ganzen fortsetzen kann. Man könnte von der Psychoanalyse sagen, wer ihr den kleinen Finger gibt, den hält sie schon bei der ganzen Hand. Schon wem die Aufklärung der Fehlleistungen eingeleuchtet hat, der kann sich logischerweise dem Glauben an alles andere nicht mehr entziehen. Eine zweite ebenso zugängliche Stelle ist in der Traumsymbolik gegeben. Ich werde Ihnen den bereits publizierten Traum einer Frau aus dem Volke vorlegen, deren Mann Wachmann ist und die gewiß niemals etwas von Traumsymbolik und Psychoanalyse gehört hat. Urteilen Sie dann selbst, ob dessen Auslegung mit Hilfe von Sexualsymbolen willkürlich und gezwungen genannt werden kann.</w:t>
      </w:r>
    </w:p>
    <w:p w:rsidR="00062BE4" w:rsidRPr="002F7766" w:rsidRDefault="00062BE4" w:rsidP="00062BE4">
      <w:pPr>
        <w:rPr>
          <w:rFonts w:ascii="Garamond" w:hAnsi="Garamond" w:cs="Arial"/>
          <w:lang w:val="en-GB"/>
        </w:rPr>
      </w:pPr>
      <w:r w:rsidRPr="002F7766">
        <w:rPr>
          <w:rFonts w:ascii="Garamond" w:hAnsi="Garamond" w:cs="Arial"/>
          <w:lang w:val="en-GB"/>
        </w:rPr>
        <w:t xml:space="preserve">» </w:t>
      </w:r>
      <w:r w:rsidRPr="002F7766">
        <w:rPr>
          <w:rFonts w:ascii="Garamond" w:hAnsi="Garamond" w:cs="Arial"/>
          <w:i/>
          <w:iCs/>
          <w:lang w:val="en-GB"/>
        </w:rPr>
        <w:t xml:space="preserve">... Dann sei jemand in die Wohnung eingebrochen und sie habe angstvoll nach einem Wachmann gerufen. Dieser aber sei mit zwei ›Pülchern‹ einträchtig in eine Kirche gegangen, zu der mehrere Stufen emporführten. Hinter der Kirche sei ein Berg </w:t>
      </w:r>
      <w:r w:rsidRPr="002F7766">
        <w:rPr>
          <w:rFonts w:ascii="Garamond" w:hAnsi="Garamond" w:cs="Arial"/>
          <w:i/>
          <w:iCs/>
          <w:lang w:val="en-GB"/>
        </w:rPr>
        <w:lastRenderedPageBreak/>
        <w:t>gewesen und oben ein dichter Wald. Der Wachmann sei mit einem Helm, Ringkragen und Mantel versehengewesen. Er habe einen braunen Vollbart gehabt. Die beiden Vaganten, die friedlich mit dem Wachmann gegangen seien, hätten sackartig aufgebundene Schürzen um die Lenden geschlungen gehabt. Von der Kirche habe zum Berge ein Weg geführt. Dieser sei beiderseits mit Gras und Gestrüpp verwachsen gewesen, das immer dichter wurde und auf der Höhe des Berges ein ordentlicher Wald geworden sei.</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Die verwendeten Symbole erkennen Sie ohne Mühe. Das männliche Genitale ist durch eine Dreiheit von Personen dargestellt, das weibliche durch eine Landschaft mit Kapelle, Berg und Wald. Wiederum begegnen Sie den Stufen als Symbol des Sexualaktes. Was im Traume ein Berg genannt wird, heißt auch in der Anatomie so, nämlich Mons Veneris, Schamberg.</w:t>
      </w:r>
    </w:p>
    <w:p w:rsidR="00062BE4" w:rsidRPr="002F7766" w:rsidRDefault="00062BE4" w:rsidP="00062BE4">
      <w:pPr>
        <w:rPr>
          <w:rFonts w:ascii="Garamond" w:hAnsi="Garamond" w:cs="Arial"/>
          <w:lang w:val="en-GB"/>
        </w:rPr>
      </w:pPr>
      <w:r w:rsidRPr="002F7766">
        <w:rPr>
          <w:rFonts w:ascii="Garamond" w:hAnsi="Garamond" w:cs="Arial"/>
          <w:lang w:val="en-GB"/>
        </w:rPr>
        <w:t>7) Wiederum ein mittels Symboleinsetzung zu lösender Traum, dadurch bemerkenswert und beweiskräftig, daß der Träumer selbst alle Symbole übersetzt hat, obwohl er keinerlei theoretische Vorkenntnisse für die Traumdeutung mitbrachte. Dies Verhalten ist recht ungewöhnlich, und die Bedingungen dafür sind nicht genau bekannt.</w:t>
      </w:r>
    </w:p>
    <w:p w:rsidR="00062BE4" w:rsidRPr="002F7766" w:rsidRDefault="00062BE4" w:rsidP="00062BE4">
      <w:pPr>
        <w:rPr>
          <w:rFonts w:ascii="Garamond" w:hAnsi="Garamond" w:cs="Arial"/>
          <w:lang w:val="en-GB"/>
        </w:rPr>
      </w:pPr>
      <w:r w:rsidRPr="002F7766">
        <w:rPr>
          <w:rFonts w:ascii="Garamond" w:hAnsi="Garamond" w:cs="Arial"/>
          <w:lang w:val="en-GB"/>
        </w:rPr>
        <w:t xml:space="preserve">» </w:t>
      </w:r>
      <w:r w:rsidRPr="002F7766">
        <w:rPr>
          <w:rFonts w:ascii="Garamond" w:hAnsi="Garamond" w:cs="Arial"/>
          <w:i/>
          <w:iCs/>
          <w:lang w:val="en-GB"/>
        </w:rPr>
        <w:t>Er geht mit seinem Vater an einem Ort spazieren, der gewiß der Prater ist, denn man sieht die Rotunde, vor dieser einen kleineren Vorbau, an dem ein Fesselballon angebracht ist, der aber ziemlich schlaff scheint. Sein Vater fragt ihn, wozu das alles ist; er wundert sich darüber, erklärt es ihm aber. Dann kommen sie in einen Hof, in dem eine große Platte von Blech ausgebreitet liegt. Sein Vater will sich ein großes Stück davon abreißen, sieht sich aber vorher um, ob es nicht jemand bemerken kann. Er sagt ihm, er braucht es doch nur dem Aufseher zu sagen, dann kann er sich ohne weiteres davon nehmen. Aus diesem Hof führt eine Treppe in einen Schacht herunter, dessen Wände weich ausgepolstert sind, etwa wie ein Lederfauteuil. Am Ende dieses Schachtes ist eine längere Plattform und dann beginnt ein neuer Schacht ...</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rPr>
        <w:t xml:space="preserve">Der Träumer deutet selbst: Die Rotunde ist mein Genitale, der Fesselballon davor mein Penis, über dessen Schlaffheit ich zu klagen habe. Man darf also eingehender übersetzen, die Rotunde sei das – vom Kind regelmäßig zum Genitale gerechnete – Gesäß, der kleinere Vorbau der Hodensack. </w:t>
      </w:r>
      <w:r w:rsidRPr="002F7766">
        <w:rPr>
          <w:rFonts w:ascii="Garamond" w:hAnsi="Garamond" w:cs="Arial"/>
          <w:lang w:val="en-GB"/>
        </w:rPr>
        <w:t>Im Traum fragt ihn der Vater, was das alles ist, d. h. nach Zweck und Verrichtung der Genitalien. Es liegt nahe, diesen Sachverhalt umzukehren, so daß er der fragende Teil wird. Da eine solche Befragung des Vaters in Wirklichkeit nie stattgefunden hat, muß man den Traumgedanken als Wunsch auffassen oder ihn etwa konditionell nehmen: »Wenn ich den Vater um sexuelle Aufklärung gebeten hätte.« Die Fortsetzung dieses Gedankens werden wir bald an anderer Stelle finden.</w:t>
      </w:r>
    </w:p>
    <w:p w:rsidR="00062BE4" w:rsidRPr="002F7766" w:rsidRDefault="00062BE4" w:rsidP="00062BE4">
      <w:pPr>
        <w:rPr>
          <w:rFonts w:ascii="Garamond" w:hAnsi="Garamond" w:cs="Arial"/>
          <w:lang w:val="en-GB"/>
        </w:rPr>
      </w:pPr>
      <w:r w:rsidRPr="002F7766">
        <w:rPr>
          <w:rFonts w:ascii="Garamond" w:hAnsi="Garamond" w:cs="Arial"/>
          <w:lang w:val="en-GB"/>
        </w:rPr>
        <w:t>Der Hof, in dem das Blech ausgebreitet liegt, ist nicht in erster Linie symbolisch zu fassen, sondern stammt aus dem Geschäftslokal des Vaters. Aus Gründen der Diskretion habe ich das »Blech« für das andere Material, mit dem der Vater handelt, eingesetzt, ohne sonst etwas am Wortlaut des Traumes zu ändern. Der Träumer ist in das Geschäft des Vaters eingetreten und hat an den eher unkorrekten Praktiken, auf denen der Gewinn zum guten Teil beruht, gewaltigen Anstoß genommen. Daher dürfte die Fortsetzung des obigen Traumgedankens lauten: (»Wenn ich ihn gefragt hätte), würde er mich betrogen haben, wie er seine Kunden betrügt.« Für das Abreißen, welches der Darstellung der geschäftlichen Unredlichkeit dient, gibt der Träumer selbst die zweite Erklärung, es bedeute die Onanie. Dies ist uns nicht nur längst bekannt, sondern stimmt auch sehr gut dazu, daß das Geheimnis der Onanie durch das Gegenteil ausgedrückt ist (man darf es ja offen tun). Es entspricht dann allen Erwartungen, daß die onanistische Tätigkeit wieder dem Vater zugeschoben wird, wie die Befragung in der ersten Traumszene. Den Schacht deutet er sofort unter Berufung auf die weiche Polsterung der Wände als Vagina. Daß das Herabsteigen wie sonst das Aufsteigen den Koitusverkehr in der Vagina beschreiben will, setze ich eigenmächtig ein.</w:t>
      </w:r>
    </w:p>
    <w:p w:rsidR="00062BE4" w:rsidRPr="002F7766" w:rsidRDefault="00062BE4" w:rsidP="00062BE4">
      <w:pPr>
        <w:rPr>
          <w:rFonts w:ascii="Garamond" w:hAnsi="Garamond" w:cs="Arial"/>
          <w:lang w:val="en-GB"/>
        </w:rPr>
      </w:pPr>
      <w:r w:rsidRPr="002F7766">
        <w:rPr>
          <w:rFonts w:ascii="Garamond" w:hAnsi="Garamond" w:cs="Arial"/>
          <w:lang w:val="en-GB"/>
        </w:rPr>
        <w:t>Die Einzelheiten, daß auf den ersten Schacht eine längere Plattform folgt und dann ein neuer Schacht, erklärt er selbst biographisch. Er hat eine Zeitlang koitiert, dann den Verkehr infolge von Hemmungen aufgegeben und hofft ihn jetzt mit Hilfe der Kur wieder aufnehmen zu können.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8) Die beiden nachstehenden Träume eines Fremden mit sehr polygamer Veranlagung teile ich ihnen als Beleg für die Behauptung mit, daß das eigene Ich in jedem Traume vorkommt, auch wo es sich für den manifesten Inhalt verborgen hat. Die Koffer in den Träumen sind Weibsymbole.</w:t>
      </w:r>
    </w:p>
    <w:p w:rsidR="00062BE4" w:rsidRPr="002F7766" w:rsidRDefault="00062BE4" w:rsidP="00062BE4">
      <w:pPr>
        <w:rPr>
          <w:rFonts w:ascii="Garamond" w:hAnsi="Garamond" w:cs="Arial"/>
          <w:lang w:val="en-GB"/>
        </w:rPr>
      </w:pPr>
      <w:r w:rsidRPr="002F7766">
        <w:rPr>
          <w:rFonts w:ascii="Garamond" w:hAnsi="Garamond" w:cs="Arial"/>
          <w:i/>
          <w:iCs/>
          <w:lang w:val="en-GB"/>
        </w:rPr>
        <w:t>a) Er reist ab, sein Gepäck wird auf einem Wagen zur Bahn gebracht, viele Koffer aufgehäuft, darunter zwei große schwarze, wie Musterkoffer. Er sagt tröstend zu jemand: Nun, die fahren ja nur bis zum Bahnhof mit.</w:t>
      </w:r>
    </w:p>
    <w:p w:rsidR="00062BE4" w:rsidRPr="002F7766" w:rsidRDefault="00062BE4" w:rsidP="00062BE4">
      <w:pPr>
        <w:rPr>
          <w:rFonts w:ascii="Garamond" w:hAnsi="Garamond" w:cs="Arial"/>
          <w:lang w:val="en-GB"/>
        </w:rPr>
      </w:pPr>
      <w:r w:rsidRPr="002F7766">
        <w:rPr>
          <w:rFonts w:ascii="Garamond" w:hAnsi="Garamond" w:cs="Arial"/>
          <w:lang w:val="en-GB"/>
        </w:rPr>
        <w:t>Er reist in Wirklichkeit mit sehr viel Gepäck, bringt aber auch sehr viel Geschichten von Frauen mit in die Behandlung. Die zwei schwarzen Koffer entsprechen zwei schwarzen Frauen, die gegenwärtig in seinem Leben die Hauptrolle spielen. Eine von ihnen wollte ihm nach Wien nachreisen; er hatte ihr auf meinen Rat telegraphisch abgesagt.</w:t>
      </w:r>
    </w:p>
    <w:p w:rsidR="00062BE4" w:rsidRPr="002F7766" w:rsidRDefault="00062BE4" w:rsidP="00062BE4">
      <w:pPr>
        <w:rPr>
          <w:rFonts w:ascii="Garamond" w:hAnsi="Garamond" w:cs="Arial"/>
          <w:lang w:val="en-GB"/>
        </w:rPr>
      </w:pPr>
      <w:r w:rsidRPr="00062BE4">
        <w:rPr>
          <w:rFonts w:ascii="Garamond" w:hAnsi="Garamond" w:cs="Arial"/>
          <w:i/>
          <w:iCs/>
          <w:lang w:val="en-GB"/>
        </w:rPr>
        <w:t>b)</w:t>
      </w:r>
      <w:r w:rsidRPr="00062BE4">
        <w:rPr>
          <w:rFonts w:ascii="Garamond" w:hAnsi="Garamond" w:cs="Arial"/>
          <w:lang w:val="en-GB"/>
        </w:rPr>
        <w:t xml:space="preserve"> Eine Szene bei der Douane: </w:t>
      </w:r>
      <w:r w:rsidRPr="00062BE4">
        <w:rPr>
          <w:rFonts w:ascii="Garamond" w:hAnsi="Garamond" w:cs="Arial"/>
          <w:i/>
          <w:iCs/>
          <w:lang w:val="en-GB"/>
        </w:rPr>
        <w:t xml:space="preserve">Ein Mitreisender macht seinen Koffer auf und sagt, gleichgültig eine Zigarette rauchend: Da ist nichts drin. </w:t>
      </w:r>
      <w:r w:rsidRPr="002F7766">
        <w:rPr>
          <w:rFonts w:ascii="Garamond" w:hAnsi="Garamond" w:cs="Arial"/>
          <w:i/>
          <w:iCs/>
          <w:lang w:val="en-GB"/>
        </w:rPr>
        <w:t>Der Zollbeamte scheint ihm zu glauben, greift aber noch einmal hinein und findet etwas ganz besonders Verbotenes. Der Reisende sagt dann resigniert: Da ist nichts zu machen.</w:t>
      </w:r>
      <w:r w:rsidRPr="002F7766">
        <w:rPr>
          <w:rFonts w:ascii="Garamond" w:hAnsi="Garamond" w:cs="Arial"/>
          <w:lang w:val="en-GB"/>
        </w:rPr>
        <w:t xml:space="preserve"> Er ist selbst der Reisende, ich der Zollbeamte. Er ist sonst sehr aufrichtig in seinen Bekenntnissen, hatte sich aber vorgenommen, mir eine neu angeknüpfte Beziehung zu einer Dame zu verschweigen, weil er mit Recht annehmen konnte, daß sie mir nicht unbekannt sei. Die peinliche Situation des Überführtwerdens verschiebt er auf eine fremde Person, so daß er selbst in diesem Traum nicht vorzukommen scheint.</w:t>
      </w:r>
    </w:p>
    <w:p w:rsidR="00062BE4" w:rsidRPr="002F7766" w:rsidRDefault="00062BE4" w:rsidP="00062BE4">
      <w:pPr>
        <w:rPr>
          <w:rFonts w:ascii="Garamond" w:hAnsi="Garamond" w:cs="Arial"/>
          <w:lang w:val="en-GB"/>
        </w:rPr>
      </w:pPr>
      <w:r w:rsidRPr="002F7766">
        <w:rPr>
          <w:rFonts w:ascii="Garamond" w:hAnsi="Garamond" w:cs="Arial"/>
          <w:lang w:val="en-GB"/>
        </w:rPr>
        <w:t>9) Hier ein Beispiel für ein Symbol, das ich noch nicht erwähnt habe:</w:t>
      </w:r>
    </w:p>
    <w:p w:rsidR="00062BE4" w:rsidRPr="002F7766" w:rsidRDefault="00062BE4" w:rsidP="00062BE4">
      <w:pPr>
        <w:rPr>
          <w:rFonts w:ascii="Garamond" w:hAnsi="Garamond" w:cs="Arial"/>
          <w:lang w:val="en-GB"/>
        </w:rPr>
      </w:pPr>
      <w:r w:rsidRPr="002F7766">
        <w:rPr>
          <w:rFonts w:ascii="Garamond" w:hAnsi="Garamond" w:cs="Arial"/>
          <w:i/>
          <w:iCs/>
          <w:lang w:val="en-GB"/>
        </w:rPr>
        <w:t>Er begegnet seiner Schwester in Begleitung von zwei Freundinnen, die selbst Schwestern sind. Er gibt beiden die Hand, der Schwester aber nicht.</w:t>
      </w:r>
    </w:p>
    <w:p w:rsidR="00062BE4" w:rsidRPr="002F7766" w:rsidRDefault="00062BE4" w:rsidP="00062BE4">
      <w:pPr>
        <w:rPr>
          <w:rFonts w:ascii="Garamond" w:hAnsi="Garamond" w:cs="Arial"/>
          <w:lang w:val="en-GB"/>
        </w:rPr>
      </w:pPr>
      <w:r w:rsidRPr="002F7766">
        <w:rPr>
          <w:rFonts w:ascii="Garamond" w:hAnsi="Garamond" w:cs="Arial"/>
          <w:lang w:val="en-GB"/>
        </w:rPr>
        <w:t>Keine Anknüpfung an eine wirkliche Begebenheit. Seine Gedanken führen ihn vielmehr in eine Zeit, zu welcher ihm die Beobachtung zu denken gab, daß sich der Busen der Mädchen so spät entwickelt. Die beiden Schwestern sind also die Brüste, er möchte sie gerne mit der Hand begreifen, wenn es nur nicht seine Schwester wäre.</w:t>
      </w:r>
    </w:p>
    <w:p w:rsidR="00062BE4" w:rsidRPr="002F7766" w:rsidRDefault="00062BE4" w:rsidP="00062BE4">
      <w:pPr>
        <w:rPr>
          <w:rFonts w:ascii="Garamond" w:hAnsi="Garamond" w:cs="Arial"/>
          <w:lang w:val="en-GB"/>
        </w:rPr>
      </w:pPr>
      <w:r w:rsidRPr="002F7766">
        <w:rPr>
          <w:rFonts w:ascii="Garamond" w:hAnsi="Garamond" w:cs="Arial"/>
          <w:lang w:val="en-GB"/>
        </w:rPr>
        <w:t>10) Hier ein Beispiel für die Todessymbolik im Traum:</w:t>
      </w:r>
    </w:p>
    <w:p w:rsidR="00062BE4" w:rsidRPr="002F7766" w:rsidRDefault="00062BE4" w:rsidP="00062BE4">
      <w:pPr>
        <w:rPr>
          <w:rFonts w:ascii="Garamond" w:hAnsi="Garamond" w:cs="Arial"/>
          <w:lang w:val="en-GB"/>
        </w:rPr>
      </w:pPr>
      <w:r w:rsidRPr="002F7766">
        <w:rPr>
          <w:rFonts w:ascii="Garamond" w:hAnsi="Garamond" w:cs="Arial"/>
          <w:i/>
          <w:iCs/>
          <w:lang w:val="en-GB"/>
        </w:rPr>
        <w:t>Er geht mit zwei Personen, deren Namen er weiß, aber beim Erwachen vergessen hat, über einen sehr hohen, steilen eisernen Steg. Plötzlich sind die beiden weg und er sieht einen gespenstischen Mann mit Kappe und im Leinenanzug. Er fragt ihn, ob er der Telegraphenbote sei... Nein. Ob er der Fuhrmann sei? Nein. Er geht dann weiter,</w:t>
      </w:r>
      <w:r w:rsidRPr="002F7766">
        <w:rPr>
          <w:rFonts w:ascii="Garamond" w:hAnsi="Garamond" w:cs="Arial"/>
          <w:lang w:val="en-GB"/>
        </w:rPr>
        <w:t xml:space="preserve"> hat noch im Traume große Angst und setzt den Traum nach dem Erwachen mit der Phantasie fort, daß die eiserne Brücke plötzlich abbricht und er in den Abgrund stürzt.</w:t>
      </w:r>
    </w:p>
    <w:p w:rsidR="00062BE4" w:rsidRPr="002F7766" w:rsidRDefault="00062BE4" w:rsidP="00062BE4">
      <w:pPr>
        <w:rPr>
          <w:rFonts w:ascii="Garamond" w:hAnsi="Garamond" w:cs="Arial"/>
          <w:lang w:val="en-GB"/>
        </w:rPr>
      </w:pPr>
      <w:r w:rsidRPr="002F7766">
        <w:rPr>
          <w:rFonts w:ascii="Garamond" w:hAnsi="Garamond" w:cs="Arial"/>
          <w:lang w:val="en-GB"/>
        </w:rPr>
        <w:t>Personen, bei denen man betont, daß sie unbekannt sind, daß man ihre Namen vergessen hat, sind meist sehr nahestehende. Der Träumer hat zwei Geschwister; wenn er diesen beiden den Tod gewünscht haben sollte, so wäre es nur gerecht, wenn ihn dafür die Todesangst heimsuchte. Zum Telegraphenboten bemerkt er, daß solche Leute immer Unheilsposten bringen. Es könnte auch nach der Uniform ein Laternenanzünder gewesen sein, der aber auch die Laternen auslöscht, also wie der Genius des Todes die Fackel verlöscht. Zum Fuhrmann assoziiert er das Uhlandsche Gedicht von König Karls Meerfahrt und erinnert an eine gefahrvolle Seefahrt mit zwei Genossen, auf welcher er die Rolle des Königs im Gedicht spielte. Zur Eisenbrücke fällt ihm ein Unfall der letzten Zeit ein und die dumme Redensart: Das Leben ist eine Kettenbrück'.</w:t>
      </w:r>
    </w:p>
    <w:p w:rsidR="00062BE4" w:rsidRPr="002F7766" w:rsidRDefault="00062BE4" w:rsidP="00062BE4">
      <w:pPr>
        <w:rPr>
          <w:rFonts w:ascii="Garamond" w:hAnsi="Garamond" w:cs="Arial"/>
          <w:lang w:val="en-GB"/>
        </w:rPr>
      </w:pPr>
      <w:r w:rsidRPr="002F7766">
        <w:rPr>
          <w:rFonts w:ascii="Garamond" w:hAnsi="Garamond" w:cs="Arial"/>
          <w:lang w:val="en-GB"/>
        </w:rPr>
        <w:t xml:space="preserve">11) Als anderes Beispiel der Todesdarstellung mag der Traum gelten: </w:t>
      </w:r>
      <w:r w:rsidRPr="002F7766">
        <w:rPr>
          <w:rFonts w:ascii="Garamond" w:hAnsi="Garamond" w:cs="Arial"/>
          <w:i/>
          <w:iCs/>
          <w:lang w:val="en-GB"/>
        </w:rPr>
        <w:t>Ein unbekannter Herr gibt eine schwarzgeränderte Visitkarte für ihn ab.</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12) In mehrfacher Hinsicht wird Sie der folgende Traum interessieren, zu dessen Voraussetzungen allerdings auch ein neurotischer Zustand gehört.</w:t>
      </w:r>
    </w:p>
    <w:p w:rsidR="00062BE4" w:rsidRPr="002F7766" w:rsidRDefault="00062BE4" w:rsidP="00062BE4">
      <w:pPr>
        <w:rPr>
          <w:rFonts w:ascii="Garamond" w:hAnsi="Garamond" w:cs="Arial"/>
          <w:lang w:val="en-GB"/>
        </w:rPr>
      </w:pPr>
      <w:r w:rsidRPr="002F7766">
        <w:rPr>
          <w:rFonts w:ascii="Garamond" w:hAnsi="Garamond" w:cs="Arial"/>
          <w:i/>
          <w:iCs/>
          <w:lang w:val="en-GB"/>
        </w:rPr>
        <w:t>Er fährt im Eisenbahnzug. Der Zug hält auf offenem Felde. Er meint, es steht ein Unfall bevor, man muß daran denken, sich zu flüchten, geht durch alle Abteile des Zuges und erschlägt alle, die ihm begegnen, Schaffner, Lokomotivführer usw.</w:t>
      </w:r>
    </w:p>
    <w:p w:rsidR="00062BE4" w:rsidRPr="00062BE4" w:rsidRDefault="00062BE4" w:rsidP="00062BE4">
      <w:pPr>
        <w:rPr>
          <w:rFonts w:ascii="Garamond" w:hAnsi="Garamond" w:cs="Arial"/>
          <w:lang w:val="en-US"/>
        </w:rPr>
      </w:pPr>
      <w:r w:rsidRPr="002F7766">
        <w:rPr>
          <w:rFonts w:ascii="Garamond" w:hAnsi="Garamond" w:cs="Arial"/>
          <w:lang w:val="en-GB"/>
        </w:rPr>
        <w:t xml:space="preserve">Dazu die Erinnerung an die Erzählung eines Freundes. Auf einer Strecke in Italien wurde ein Wahnsinniger in einem Halbcoupé transportiert, aber aus Versehen ein Reisender zu ihm eingelassen. Der Verrückte erschlug den Mitreisenden. Er identifiziert sich also mit diesem Verrückten und begründet sein Anrecht darauf mit der Zwangsvorstellung, die ihn zeitweilig quält, daß er alle »Mitwisser beseitigen« müsse. </w:t>
      </w:r>
      <w:r w:rsidRPr="002F7766">
        <w:rPr>
          <w:rFonts w:ascii="Garamond" w:hAnsi="Garamond" w:cs="Arial"/>
        </w:rPr>
        <w:t xml:space="preserve">Dann findet er aber selbst eine bessere Motivierung, die zum Anlaß des Traumes führt. </w:t>
      </w:r>
      <w:r w:rsidRPr="00062BE4">
        <w:rPr>
          <w:rFonts w:ascii="Garamond" w:hAnsi="Garamond" w:cs="Arial"/>
          <w:lang w:val="en-US"/>
        </w:rPr>
        <w:t>Er hat gestern im Theater das Mädchen wiedergesehen, das er heiraten wollte, von der er sich aber, weil sie ihm Grund zur Eifersucht gegeben, zurückgezogen hat. Bei der Intensität, zu welcher die Eifersucht bei ihm ansteigt, wäre er wirklich verrückt, wenn er die heiraten wollte. Das heißt: Er hält sie für so unverläßlich, daß er alle Leute, die ihm in den Weg kommen, aus Eifersucht erschlagen müßte. Das Gehen durch eine Reihe von Zimmern, hier von Abteilen, haben wir als Symbol des Verheiratetseins (Gegensatz zur Einehe) bereits kennengelernt.</w:t>
      </w:r>
    </w:p>
    <w:p w:rsidR="00062BE4" w:rsidRPr="00062BE4" w:rsidRDefault="00062BE4" w:rsidP="00062BE4">
      <w:pPr>
        <w:rPr>
          <w:rFonts w:ascii="Garamond" w:hAnsi="Garamond" w:cs="Arial"/>
          <w:lang w:val="en-US"/>
        </w:rPr>
      </w:pPr>
      <w:r w:rsidRPr="00062BE4">
        <w:rPr>
          <w:rFonts w:ascii="Garamond" w:hAnsi="Garamond" w:cs="Arial"/>
          <w:lang w:val="en-US"/>
        </w:rPr>
        <w:t xml:space="preserve">Zum Halten des Zuges auf offenem Felde und zur Befürchtung eines Unfalles erzählt er: Als sich einmal auf einer Eisenbahnfahrt ein solches plötzliches Stehenbleiben außerhalb einer Station ereignete, erklärte eine mitreisende junge Dame, es stehe vielleicht ein Zusammenstoß bevor und da sei die zweckmäßigste Vorsicht, die Beine hoch zu heben. </w:t>
      </w:r>
      <w:r w:rsidRPr="002F7766">
        <w:rPr>
          <w:rFonts w:ascii="Garamond" w:hAnsi="Garamond" w:cs="Arial"/>
          <w:lang w:val="en-GB"/>
        </w:rPr>
        <w:t xml:space="preserve">Dieses »die Beine hoch« hatte aber auch eine Rolle in den vielen Spaziergängen und Ausflügen in die freie Natur gespielt, die er in der glücklichen ersten Liebeszeit mit jenem Mädchen unternommen hatte. </w:t>
      </w:r>
      <w:r w:rsidRPr="002F7766">
        <w:rPr>
          <w:rFonts w:ascii="Garamond" w:hAnsi="Garamond" w:cs="Arial"/>
        </w:rPr>
        <w:t xml:space="preserve">Ein neues Argument dafür, daß er verrückt sein müßte, um sie jetzt zu heiraten. </w:t>
      </w:r>
      <w:r w:rsidRPr="00062BE4">
        <w:rPr>
          <w:rFonts w:ascii="Garamond" w:hAnsi="Garamond" w:cs="Arial"/>
          <w:lang w:val="en-US"/>
        </w:rPr>
        <w:t>Daß ein Wunsch, so verrückt zu sein, bei ihm dennoch bestand, durfte ich nach meiner Kenntnis der Situation als gesichert annehmen.</w:t>
      </w:r>
    </w:p>
    <w:p w:rsidR="00062BE4" w:rsidRPr="00062BE4" w:rsidRDefault="00062BE4" w:rsidP="00062BE4">
      <w:pPr>
        <w:rPr>
          <w:rFonts w:ascii="Garamond" w:hAnsi="Garamond" w:cs="Arial"/>
          <w:b/>
          <w:bCs/>
          <w:lang w:val="en-US"/>
        </w:rPr>
      </w:pPr>
      <w:r w:rsidRPr="00062BE4">
        <w:rPr>
          <w:rFonts w:ascii="Garamond" w:hAnsi="Garamond" w:cs="Arial"/>
          <w:b/>
          <w:bCs/>
          <w:lang w:val="en-US"/>
        </w:rPr>
        <w:br w:type="page"/>
      </w:r>
      <w:hyperlink w:anchor="Vorlesungen_Inhalt" w:history="1">
        <w:r w:rsidRPr="00062BE4">
          <w:rPr>
            <w:rStyle w:val="Lienhypertexte"/>
            <w:rFonts w:ascii="Garamond" w:hAnsi="Garamond" w:cs="Arial"/>
            <w:b/>
            <w:bCs/>
            <w:lang w:val="en-US"/>
          </w:rPr>
          <w:t>13. Vo</w:t>
        </w:r>
        <w:bookmarkStart w:id="280" w:name="Vorlesungen_13"/>
        <w:bookmarkEnd w:id="280"/>
        <w:r w:rsidRPr="00062BE4">
          <w:rPr>
            <w:rStyle w:val="Lienhypertexte"/>
            <w:rFonts w:ascii="Garamond" w:hAnsi="Garamond" w:cs="Arial"/>
            <w:b/>
            <w:bCs/>
            <w:lang w:val="en-US"/>
          </w:rPr>
          <w:t>rlesung. Archaische Züge und Infantilismus des Traumes</w:t>
        </w:r>
      </w:hyperlink>
    </w:p>
    <w:p w:rsidR="00062BE4" w:rsidRPr="00062BE4" w:rsidRDefault="00062BE4" w:rsidP="00062BE4">
      <w:pPr>
        <w:rPr>
          <w:rFonts w:ascii="Garamond" w:hAnsi="Garamond" w:cs="Arial"/>
          <w:b/>
          <w:bCs/>
          <w:lang w:val="en-US"/>
        </w:rPr>
      </w:pPr>
    </w:p>
    <w:p w:rsidR="00062BE4" w:rsidRPr="00062BE4" w:rsidRDefault="00062BE4" w:rsidP="00062BE4">
      <w:pPr>
        <w:rPr>
          <w:rFonts w:ascii="Garamond" w:hAnsi="Garamond" w:cs="Arial"/>
          <w:lang w:val="en-US"/>
        </w:rPr>
      </w:pPr>
      <w:r w:rsidRPr="00062BE4">
        <w:rPr>
          <w:rFonts w:ascii="Garamond" w:hAnsi="Garamond" w:cs="Arial"/>
          <w:lang w:val="en-US"/>
        </w:rPr>
        <w:t xml:space="preserve">Meine Damen und Herren! Lassen Sie uns wieder an unser Resultat anknüpfen, daß die Traumarbeit die latenten Traumgedanken unter dem Einfluß der Traumzensur in eine andere Ausdrucksweise überführt. Die latenten Gedanken sind nicht anders als die uns bekannten bewußten Gedanken unseres Wachlebens; die neue Ausdrucksweise ist uns durch vielfältige Züge unverständlich. Wir haben gesagt, daß sie auf Zustände unserer intellektuellen Entwicklung zurückgreift, die wir längst überwunden haben, auf die Bildersprache, die Symbolbeziehung, vielleicht auf Verhältnisse, die vor der Entwicklung unserer Denksprache bestanden haben. Wir nannten die Ausdrucksweise der Traumarbeit darum eine </w:t>
      </w:r>
      <w:r w:rsidRPr="00062BE4">
        <w:rPr>
          <w:rFonts w:ascii="Garamond" w:hAnsi="Garamond" w:cs="Arial"/>
          <w:i/>
          <w:iCs/>
          <w:lang w:val="en-US"/>
        </w:rPr>
        <w:t>archaische</w:t>
      </w:r>
      <w:r w:rsidRPr="00062BE4">
        <w:rPr>
          <w:rFonts w:ascii="Garamond" w:hAnsi="Garamond" w:cs="Arial"/>
          <w:lang w:val="en-US"/>
        </w:rPr>
        <w:t xml:space="preserve"> oder </w:t>
      </w:r>
      <w:r w:rsidRPr="00062BE4">
        <w:rPr>
          <w:rFonts w:ascii="Garamond" w:hAnsi="Garamond" w:cs="Arial"/>
          <w:i/>
          <w:iCs/>
          <w:lang w:val="en-US"/>
        </w:rPr>
        <w:t>regressive</w:t>
      </w:r>
      <w:r w:rsidRPr="00062BE4">
        <w:rPr>
          <w:rFonts w:ascii="Garamond" w:hAnsi="Garamond" w:cs="Arial"/>
          <w:lang w:val="en-US"/>
        </w:rPr>
        <w:t>.</w:t>
      </w:r>
    </w:p>
    <w:p w:rsidR="00062BE4" w:rsidRPr="002F7766" w:rsidRDefault="00062BE4" w:rsidP="00062BE4">
      <w:pPr>
        <w:rPr>
          <w:rFonts w:ascii="Garamond" w:hAnsi="Garamond" w:cs="Arial"/>
          <w:lang w:val="en-GB"/>
        </w:rPr>
      </w:pPr>
      <w:r w:rsidRPr="00062BE4">
        <w:rPr>
          <w:rFonts w:ascii="Garamond" w:hAnsi="Garamond" w:cs="Arial"/>
          <w:lang w:val="en-US"/>
        </w:rPr>
        <w:t xml:space="preserve">Sie können daraus den Schluß ableiten, daß es durch das vertieftere Studium der Traumarbeit gelingen müßte, wertvolle Aufschlüsse über die nicht gut gekannten Anfänge unserer intellektuellen Entwicklung zu gewinnen. </w:t>
      </w:r>
      <w:r w:rsidRPr="002F7766">
        <w:rPr>
          <w:rFonts w:ascii="Garamond" w:hAnsi="Garamond" w:cs="Arial"/>
          <w:lang w:val="en-GB"/>
        </w:rPr>
        <w:t>Ich hoffe, es wird so sein, aber diese Arbeit ist bisher noch nicht in Angriff genommen worden. Die Vorzeit, in welche die Traumarbeit uns zurückführt, ist eine zweifache, erstens die individuelle Vorzeit, die Kindheit, anderseits, insofern jedes Individuum in seiner Kindheit die ganze Entwicklung der Menschenart irgendwie abgekürzt wiederholt, auch diese Vorzeit, die phylogenetische. Ob es gelingen wird zu unterscheiden, welcher Anteil der latenten seelischen Vorgänge aus der individuellen, und welcher aus der phylogenetischen Urzeit stammt, – ich halte es nicht für unmöglich. So scheint mir z. B. die Symbolbeziehung, die der Einzelne niemals erlernt hat, zum Anspruch berechtigt, als phylogenetisches Erbe betrachtet zu werden.</w:t>
      </w:r>
    </w:p>
    <w:p w:rsidR="00062BE4" w:rsidRPr="002F7766" w:rsidRDefault="00062BE4" w:rsidP="00062BE4">
      <w:pPr>
        <w:rPr>
          <w:rFonts w:ascii="Garamond" w:hAnsi="Garamond" w:cs="Arial"/>
          <w:lang w:val="en-GB"/>
        </w:rPr>
      </w:pPr>
      <w:r w:rsidRPr="002F7766">
        <w:rPr>
          <w:rFonts w:ascii="Garamond" w:hAnsi="Garamond" w:cs="Arial"/>
        </w:rPr>
        <w:t xml:space="preserve">Indes ist dies nicht der einzige archaische Charakter des Traumes. Sie kennen alle wohl aus der Erfahrung an sich die merkwürdige Amnesie der Kindheit. Ich meine die Tatsache, daß die ersten Lebensjahre, bis zum fünften, sechsten oder achten, nicht die Spuren im Gedächtnis hinterlassen haben wie das spätere Erleben. Man trifft zwar auf einzelne Menschen, welche sich einer kontinuierlichen Erinnerung vom frühen Anfang bis auf den heutigen Tag rühmen können, aber das andere Verhalten, das der Gedächtnislücke, ist das ungleich häufigere. </w:t>
      </w:r>
      <w:r w:rsidRPr="002F7766">
        <w:rPr>
          <w:rFonts w:ascii="Garamond" w:hAnsi="Garamond" w:cs="Arial"/>
          <w:lang w:val="en-GB"/>
        </w:rPr>
        <w:t>Ich meine, über diese Tatsache hat man sich nicht genug verwundert. Das Kind kann mit zwei Jahren gut sprechen, es zeigt bald, daß es sich in komplizierten seelischen Situationen zurechtfindet, und gibt Äußerungen von sich, die ihm viele Jahre später wiedererzählt werden, die es selbst aber vergessen hat. Und dabei ist das Gedächtnis in frühen Jahren leistungsfähiger, weil weniger überladen als in späteren. Auch liegt kein Anlaß vor, die Gedächtnisfunktion für eine besonders hohe oder schwierige Seelenleistung zu halten; man kann im Gegenteile ein gutes Gedächtnis noch bei Personen finden, die intellektuell sehr niedrig stehen.</w:t>
      </w:r>
    </w:p>
    <w:p w:rsidR="00062BE4" w:rsidRPr="002F7766" w:rsidRDefault="00062BE4" w:rsidP="00062BE4">
      <w:pPr>
        <w:rPr>
          <w:rFonts w:ascii="Garamond" w:hAnsi="Garamond" w:cs="Arial"/>
          <w:lang w:val="en-GB"/>
        </w:rPr>
      </w:pPr>
      <w:r w:rsidRPr="002F7766">
        <w:rPr>
          <w:rFonts w:ascii="Garamond" w:hAnsi="Garamond" w:cs="Arial"/>
          <w:lang w:val="en-GB"/>
        </w:rPr>
        <w:t xml:space="preserve">Als zweite Merkwürdigkeit, die dieser ersten aufgesetzt ist, muß ich aber anführen, daß aus der Erinnerungsleere, welche die ersten Kindheitsjahre umfaßt, sich einzelne gut erhaltene, meist plastisch empfundene Erinnerungen herausheben, welche diese Erhaltung nicht rechtfertigen können. Mit dem Material von Eindrücken, welche uns im späteren Leben treffen, verfährt unser Gedächtnis so, daß es eine Auslese vornimmt. Es behält das irgend Wichtige und läßt Unwichtiges fallen. Mit den erhaltenen Kindheitserinnerungen ist es anders. Sie entsprechen nicht notwendig wichtigen Erlebnissen der Kinderjahre, nicht einmal solchen, die vom Standpunkt des Kindes hätten wichtig erscheinen müssen. Sie sind oft so banal und an sich bedeutungslos, daß wir uns nur verwundert fragen, warum gerade diese Einzelheit dem Vergessen entgangen ist. Ich habe seinerzeit versucht, das Rätsel der Kindheitsamnesie und der sie unterbrechenden Erinnerungsreste mit Hilfe der Analyse anzugreifen, und bin zu dem Ergebnis gekommen, daß doch auch beim Kinde nur das Wichtige in der Erinnerung übriggeblieben ist. Nur daß durch die Ihnen bereits bekannten Prozesse der Verdichtung und ganz besonders der Verschiebung dies Wichtige durch anderes, was unwichtig erscheint, in der Erinnerung vertreten ist. Ich </w:t>
      </w:r>
      <w:r w:rsidRPr="002F7766">
        <w:rPr>
          <w:rFonts w:ascii="Garamond" w:hAnsi="Garamond" w:cs="Arial"/>
          <w:lang w:val="en-GB"/>
        </w:rPr>
        <w:lastRenderedPageBreak/>
        <w:t xml:space="preserve">habe diese Kindheitserinnerungen darum </w:t>
      </w:r>
      <w:r w:rsidRPr="002F7766">
        <w:rPr>
          <w:rFonts w:ascii="Garamond" w:hAnsi="Garamond" w:cs="Arial"/>
          <w:i/>
          <w:iCs/>
          <w:lang w:val="en-GB"/>
        </w:rPr>
        <w:t>Deckerinnerungen</w:t>
      </w:r>
      <w:r w:rsidRPr="002F7766">
        <w:rPr>
          <w:rFonts w:ascii="Garamond" w:hAnsi="Garamond" w:cs="Arial"/>
          <w:lang w:val="en-GB"/>
        </w:rPr>
        <w:t xml:space="preserve"> genannt; man kann durch gründliche Analyse alles Vergessene aus ihnen entwickeln.</w:t>
      </w:r>
    </w:p>
    <w:p w:rsidR="00062BE4" w:rsidRPr="002F7766" w:rsidRDefault="00062BE4" w:rsidP="00062BE4">
      <w:pPr>
        <w:rPr>
          <w:rFonts w:ascii="Garamond" w:hAnsi="Garamond" w:cs="Arial"/>
          <w:lang w:val="en-GB"/>
        </w:rPr>
      </w:pPr>
      <w:r w:rsidRPr="002F7766">
        <w:rPr>
          <w:rFonts w:ascii="Garamond" w:hAnsi="Garamond" w:cs="Arial"/>
          <w:lang w:val="en-GB"/>
        </w:rPr>
        <w:t>In den psychoanalytischen Behandlungen ist ganz regelmäßig die Aufgabe gestellt, die infantile Erinnerungslücke auszufüllen, und insoferne die Kur überhaupt einigermaßen gelingt, also überaus häufig, bringen wir es auch zustande, den Inhalt jener vom Vergessen bedeckten Kindheitsjahre wieder ans Licht zu ziehen. Diese Eindrücke sind niemals wirklich vergessen gewesen, sie waren nur unzugänglich, latent, haben dem Unbewußten angehört. Es kommt aber auch spontan vor, daß sie aus dem Unbewußten auftauchen, und zwar geschieht es im Anschluß an Träume. Es zeigt sich, daß das Traumleben den Zugang zu diesen latenten, infantilen Erlebnissen zu finden weiß. Es sind schöne Beispiele hierfür in der Literatur verzeichnet, und ich selbst habe einen solchen Beitrag leisten können. Ich träumte einmal in einem gewissen Zusammenhange von einer Person, die mir einen Dienst geleistet haben mußte und die ich deutlich vor mir sah. Es war ein einäugiger Mann von kleiner Gestalt, dick, den Kopf tief in den Schultern steckend. Ich entnahm aus dem Zusammenhang, daß er ein Arzt war. Zum Glück konnte ich meine noch lebende Mutter befragen, wie der Arzt meines Geburtsortes, den ich mit drei Jahren verlassen, ausgesehen, und erfuhr von ihr, daß er einäugig war, kurz, dick, den Kopf tief in den Schultern steckend, lernte auch, bei welchem von mir vergessenen Unfall er mir Hilfe geleistet hatte. Diese Verfügung über das vergessene Material der ersten Kindheitsjahre ist also ein weiterer archaischer Zug des Traumes.</w:t>
      </w:r>
    </w:p>
    <w:p w:rsidR="00062BE4" w:rsidRPr="002F7766" w:rsidRDefault="00062BE4" w:rsidP="00062BE4">
      <w:pPr>
        <w:rPr>
          <w:rFonts w:ascii="Garamond" w:hAnsi="Garamond" w:cs="Arial"/>
          <w:lang w:val="en-GB"/>
        </w:rPr>
      </w:pPr>
      <w:r w:rsidRPr="002F7766">
        <w:rPr>
          <w:rFonts w:ascii="Garamond" w:hAnsi="Garamond" w:cs="Arial"/>
          <w:lang w:val="en-GB"/>
        </w:rPr>
        <w:t>Dieselbe Auskunft setzt sich nun auf ein anderes der Rätsel, auf die wir bisher gestoßen sind, fort. Sie erinnern sich, mit welchem Staunen es aufgenommen wurde, als wir zur Einsicht kamen, die Erreger der Träume seien energisch böse und ausschweifend sexuelle Wünsche, welche Traumzensur und Traumentstellung notwendig gemacht haben. Wenn wir einen solchen Traum dem Träumer gedeutet haben und er im günstigsten Falle die Deutung selbst nicht angreift, so stellt er doch regelmäßig die Frage, woher ihm ein solcher Wunsch komme, da er ihn doch als fremd empfinde und sich des Gegenteils davon bewußt sei. Wir brauchen nicht zu verzagen, diese Herkunft nachzuweisen. Diese bösen Wunschregungen stammen aus der Vergangenheit, oft aus einer Vergangenheit, die nicht allzuweit zurückliegt. Es läßt sich zeigen, daß sie einmal bekannt und bewußt waren, wenn sie es auch heute nicht mehr sind. Die Frau, deren Traum bedeutet, daß sie ihre einzige, jetzt 17jährige Tochter tot vor sich sehen möchte, findet unter unserer Anleitung, daß sie diesen Todeswunsch doch zu einer Zeit genährt hat. Das Kind ist die Frucht einer verunglückten, bald getrennten Ehe. Als sie die Tochter noch im Mutterleibe trug, schlug sie einmal nach einer heftigen Szene mit ihrem Manne im Wutanfall mit den Fäusten auf ihren Leib los, um das Kind darin zu töten. Wie viele Mütter, die ihre Kinder heute zärtlich, vielleicht überzärtlich lieben, haben sie doch ungerne empfangen und damals gewünscht, das Leben in ihnen möge sich nicht weiter entwickeln; ja sie haben auch diesen Wunsch in verschiedene, zum Glück unschädliche Handlungen umgesetzt. Der später so rätselhafte Todeswunsch gegen die geliebte Person stammt also aus der Frühzeit der Beziehung zu ihr.</w:t>
      </w:r>
    </w:p>
    <w:p w:rsidR="00062BE4" w:rsidRPr="002F7766" w:rsidRDefault="00062BE4" w:rsidP="00062BE4">
      <w:pPr>
        <w:rPr>
          <w:rFonts w:ascii="Garamond" w:hAnsi="Garamond" w:cs="Arial"/>
          <w:lang w:val="en-GB"/>
        </w:rPr>
      </w:pPr>
      <w:r w:rsidRPr="002F7766">
        <w:rPr>
          <w:rFonts w:ascii="Garamond" w:hAnsi="Garamond" w:cs="Arial"/>
          <w:lang w:val="en-GB"/>
        </w:rPr>
        <w:t xml:space="preserve">Der Vater, dessen Traum zur Deutung berechtigt, er wünsche den Tod seines bevorzugten ältesten Kindes, muß sich ebenso daran erinnern lassen, daß ihm dieser Wunsch einmal nicht fremd war. Als dieses Kind noch Säugling war, dachte der mit seiner Ehewahl unzufriedene Mann oft, wenn das kleine Wesen, das ihm nichts bedeute, sterben sollte, dann wäre er wieder frei und würde von seiner Freiheit einen besseren Gebrauch machen. Die gleiche Herkunft läßt sich für eine große Anzahl ähnlicher Haßregungen erweisen; sie sind Erinnerungen an etwas, was der Vergangenheit angehörte, einmal bewußt war und seine Rolle im Seelenleben spielte. Sie werden daraus den Schluß ziehen wollen, daß es solche Wünsche und solche Träume nicht geben darf, wenn derartige Wandlungen im Verhältnis zu einer Person nicht vorgekommen sind, wenn dies Verhältnis von Anfang an gleichsinnig war. Ich bin bereit, Ihnen diese Folgerung zuzugeben, will Sie nur daran mahnen, daß Sie nicht den Wortlaut des Traumes, sondern den Sinn desselben nach seiner Deutung in Betracht ziehen. Es kann vorkommen, daß der manifeste </w:t>
      </w:r>
      <w:r w:rsidRPr="002F7766">
        <w:rPr>
          <w:rFonts w:ascii="Garamond" w:hAnsi="Garamond" w:cs="Arial"/>
          <w:lang w:val="en-GB"/>
        </w:rPr>
        <w:lastRenderedPageBreak/>
        <w:t>Traum vom Tode einer geliebten Person nur eine schreckhafte Maske vorgenommen hat, aber etwas ganz anderes bedeutet oder daß die geliebte Person zum täuschenden Ersatz für eine andere bestimmt ist.</w:t>
      </w:r>
    </w:p>
    <w:p w:rsidR="00062BE4" w:rsidRPr="002F7766" w:rsidRDefault="00062BE4" w:rsidP="00062BE4">
      <w:pPr>
        <w:rPr>
          <w:rFonts w:ascii="Garamond" w:hAnsi="Garamond" w:cs="Arial"/>
          <w:lang w:val="en-GB"/>
        </w:rPr>
      </w:pPr>
      <w:r w:rsidRPr="002F7766">
        <w:rPr>
          <w:rFonts w:ascii="Garamond" w:hAnsi="Garamond" w:cs="Arial"/>
          <w:lang w:val="en-GB"/>
        </w:rPr>
        <w:t>Derselbe Sachverhalt wird aber eine andere, weit ernsthaftere Frage bei Ihnen wecken. Sie werden sagen: Wenn dieser Todeswunsch auch einmal vorhanden war und von der Erinnerung bestätigt wird, so ist das doch keine Erklärung: Er ist doch längst überwunden, er kann heute doch nur als bloße affektlose Erinnerung im Unbewußten vorhanden sein, aber nicht als kräftige Regung. Für letzteres spricht doch nichts. Wozu wird er also überhaupt vom Traume erinnert? Diese Frage ist wirklich berechtigt; der Versuch, sie zu beantworten, würde uns zu weit führen und zur Stellungnahme in einem der bedeutsamsten Punkte der Traumlehre nötigen. Aber ich bin genötigt, im Rahmen unserer Erörterungen zu bleiben und Enthaltung zu üben. Bereiten Sie sich auf den einstweiligen Verzicht vor. Begnügen wir uns mit dem tatsächlichen Nachweis, daß dieser überwundene Wunsch als Traumerreger nachweisbar ist und setzen wir die Untersuchung fort, ob auch andere böse Wünsche dieselbe Ableitung aus der Vergangenheit zulassen.</w:t>
      </w:r>
    </w:p>
    <w:p w:rsidR="00062BE4" w:rsidRPr="002F7766" w:rsidRDefault="00062BE4" w:rsidP="00062BE4">
      <w:pPr>
        <w:rPr>
          <w:rFonts w:ascii="Garamond" w:hAnsi="Garamond" w:cs="Arial"/>
          <w:lang w:val="en-GB"/>
        </w:rPr>
      </w:pPr>
      <w:r w:rsidRPr="002F7766">
        <w:rPr>
          <w:rFonts w:ascii="Garamond" w:hAnsi="Garamond" w:cs="Arial"/>
          <w:lang w:val="en-GB"/>
        </w:rPr>
        <w:t xml:space="preserve">Bleiben wir bei den Beseitigungswünschen, die wir ja zumeist auf den uneingeschränkten Egoismus des Träumers zurückführen dürfen. Ein solcher Wunsch ist als Traumbildner sehr häufig nachzuweisen. So oft uns irgend jemand im Leben in den Weg getreten ist, und wie häufig muß dies bei der Komplikation der Lebensbeziehungen der Fall sein, sofort ist der Traum bereit, ihn totzumachen, sei er auch der Vater, die Mutter, ein Geschwister, ein Ehepartner u. dgl. Wir hatten uns über diese Schlechtigkeit der menschlichen Natur genug verwundert und waren gewiß nicht geneigt, die Richtigkeit dieses Ergebnisses der Traumdeutung ohne weiteres anzunehmen. Wenn wir aber einmal darauf gewiesen werden, den Ursprung solcher Wünsche in der Vergangenheit zu suchen, so entdecken wir alsbald die Periode der individuellen Vergangenheit, in welcher solcher Egoismus und solche Wunschregungen auch gegen die Nächsten nichts Befremdendes mehr haben. Es ist das Kind gerade in jenen ersten Jahren, welche später von der Amnesie verhüllt werden, das diesen Egoismus häufig in extremer Ausprägung zeigt, regelmäßig aber deutliche Ansätze dazu oder richtiger Überreste davon erkennen läßt. Das Kind liebt eben sich selbst zuerst und lernt erst später andere lieben, von seinem Ich etwas an andere opfern. Auch die Personen, die es von Anfang an zu lieben scheint, liebt es zuerst darum, weil es sie braucht, sie nicht entbehren kann, also wiederum aus egoistischen Motiven. Erst später macht sich die Liebesregung vom Egoismus unabhängig. Es hat tatsächlich </w:t>
      </w:r>
      <w:r w:rsidRPr="002F7766">
        <w:rPr>
          <w:rFonts w:ascii="Garamond" w:hAnsi="Garamond" w:cs="Arial"/>
          <w:i/>
          <w:iCs/>
          <w:lang w:val="en-GB"/>
        </w:rPr>
        <w:t>am Egoismus lieben gelernt</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Es wird in dieser Beziehung lehrreich sein, die Einstellung des Kindes gegen seine Geschwister mit der gegen seine Eltern zu vergleichen. Seine Geschwister liebt das kleine Kind nicht notwendigerweise, oft offenkundig nicht. Es ist unzweifelhaft, daß es in ihnen seine Konkurrenten haßt, und es ist bekannt, wie häufig diese Einstellung durch lange Jahre bis zur Zeit der Reife, ja noch späterhin ohne Unterbrechung anhält. Sie wird ja häufig genug durch eine zärtlichere abgelöst oder sagen wir lieber: überlagert, aber die feindselige scheint sehr regelmäßig die frühere zu sein. Am leichtesten kann man sie an Kindern von 2½ bis 4 und 5 Jahren beobachten, wenn ein neues Geschwisterchen dazukommt. Das hat meist einen sehr unfreundlichen Empfang. Äußerungen wie »ich mag es nicht, der Storch soll es wieder mitnehmen« sind recht gewöhnlich. In der Folge wird jede Gelegenheit benützt, um den Ankömmling herabzusetzen, und selbst Versuche, ihn zu schädigen, direkte Attentate, sind nichts Unerhörtes. Ist die Altersdifferenz geringer, so findet das Kind beim Erwachen intensiverer Seelentätigkeit den Konkurrenten bereits vor und richtet sich mit ihm ein. Ist sie größer, so kann das neue Kind von Anfang an als ein interessantes Objekt, als eine Art von lebender Puppe, gewisse Sympathien erwecken, und bei einem Altersunterschied von acht Jahren und mehr können bereits, besonders bei den Mädchen, vorsorgliche mütterliche Regungen ins Spiel treten. Aber aufrichtig gesagt, wenn man den Wunsch nach dem Tode der Geschwister hinter einem Traume aufdeckt, braucht man ihn selten rätselhaft zu finden und weist sein Vorbild mühelos im frühen Kindesalter, oft genug auch in späteren Jahren des Beisammenseins nach.</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Es gibt wahrscheinlich keine Kinderstube ohne heftige Konflikte zwischen deren Einwohnern. Motive sind die Konkurrenz um die Liebe der Eltern, um den gemeinsamen Besitz, um den Wohnraum. Die feindseligen Regungen richten sich gegen ältere wie gegen jüngere Geschwister. Ich glaube es war Bernard Shaw, der das Wort ausgesprochen hat: Wenn es jemand gibt, den eine junge englische Dame mehr haßt als ihre Mutter, so ist es ihre ältere Schwester. An diesem Ausspruch ist aber etwas, was uns befremdet. Geschwisterhaß und Konkurrenz fänden wir zur Not begreiflich, aber wie sollen sich Haßempfindungen in das Verhältnis zwischen Tochter und Mutter, Eltern und Kinder, eindrängen können?</w:t>
      </w:r>
    </w:p>
    <w:p w:rsidR="00062BE4" w:rsidRPr="002F7766" w:rsidRDefault="00062BE4" w:rsidP="00062BE4">
      <w:pPr>
        <w:rPr>
          <w:rFonts w:ascii="Garamond" w:hAnsi="Garamond" w:cs="Arial"/>
          <w:lang w:val="en-GB"/>
        </w:rPr>
      </w:pPr>
      <w:r w:rsidRPr="002F7766">
        <w:rPr>
          <w:rFonts w:ascii="Garamond" w:hAnsi="Garamond" w:cs="Arial"/>
          <w:lang w:val="en-GB"/>
        </w:rPr>
        <w:t>Dies Verhältnis ist ohne Zweifel auch von Seite der Kinder betrachtet das günstigere. So fordert es auch unsere Erwartung; wir finden es weit anstößiger, wenn die Liebe zwischen Eltern und Kindern, als wenn sie zwischen Geschwistern mangelt. Wir haben sozusagen im ersten Falle etwas geheiligt, was wir am andern Falle profan gelassen haben. Doch kann uns die tägliche Beobachtung zeigen, wie häufig die Gefühlsbeziehungen zwischen Eltern und erwachsenen Kindern hinter dem von der Gesellschaft aufgestellten Ideal zurückbleiben, wieviel Feindseligkeit da bereitliegt und sich äußern würde, wenn nicht Zusätze von Pietät und von zärtlichen Regungen sie zurückhielten. Die Motive hierfür sind allgemein bekannt und zeigen eine Tendenz, die gleichen Geschlechter voneinander zu trennen, die Tochter von der Mutter, den Vater vom Sohn. Die Tochter findet in der Mutter die Autorität, welche ihren Willen beschränkt und mit der Aufgabe betraut ist, den von der Gesellschaft geforderten Verzicht auf Sexualfreiheit bei ihr durchzusetzen, in einzelnen Fällen auch noch die Konkurrentin, die der Verdrängung widerstrebt. Dasselbe wiederholt sich in noch grellerer Weise zwischen Sohn und Vater. Für den Sohn verkörpert sich im Vater jeder widerwillig ertragene soziale Zwang; der Vater versperrt ihm den Zugang zur Willensbetätigung, zum frühzeitigen Sexualgenuß und, wo gemeinsame Familiengüter bestehen, zum Genuß derselben. Das Lauern auf den Tod des Vaters wächst im Falle des Thronfolgers zu einer das Tragische streifenden Höhe. Minder gefährdet erscheint das Verhältnis zwischen Vater und Tochter, Mutter und Sohn. Das letztere gibt die reinsten Beispiele einer durch keinerlei egoistische Rücksicht gestörten, unwandelbaren Zärtlichkeit.</w:t>
      </w:r>
    </w:p>
    <w:p w:rsidR="00062BE4" w:rsidRPr="002F7766" w:rsidRDefault="00062BE4" w:rsidP="00062BE4">
      <w:pPr>
        <w:rPr>
          <w:rFonts w:ascii="Garamond" w:hAnsi="Garamond" w:cs="Arial"/>
          <w:lang w:val="en-GB"/>
        </w:rPr>
      </w:pPr>
      <w:r w:rsidRPr="002F7766">
        <w:rPr>
          <w:rFonts w:ascii="Garamond" w:hAnsi="Garamond" w:cs="Arial"/>
          <w:lang w:val="en-GB"/>
        </w:rPr>
        <w:t xml:space="preserve">Wozu ich von diesen Dingen spreche, die doch banal und allgemein bekannt sind? Weil eine unverkennbare Neigung besteht, ihre Bedeutung im Leben zu verleugnen und das sozial geforderte Ideal weit öfter für erfüllt auszugeben, als es wirklich erfüllt wird. </w:t>
      </w:r>
      <w:r w:rsidRPr="002F7766">
        <w:rPr>
          <w:rFonts w:ascii="Garamond" w:hAnsi="Garamond" w:cs="Arial"/>
        </w:rPr>
        <w:t xml:space="preserve">Es ist aber besser, daß der Psychologe die Wahrheit sagt, als daß diese Aufgabe dem Zyniker überlassen bleibt. </w:t>
      </w:r>
      <w:r w:rsidRPr="002F7766">
        <w:rPr>
          <w:rFonts w:ascii="Garamond" w:hAnsi="Garamond" w:cs="Arial"/>
          <w:lang w:val="en-GB"/>
        </w:rPr>
        <w:t>Allerdings bezieht sich diese Verleugnung nur auf das reale Leben. Der Kunst der erzählenden und der dramatischen Dichtung bleibt es freigestellt, sich der Motive zu bedienen, die aus der Störung dieses Ideals hervorgehen.</w:t>
      </w:r>
    </w:p>
    <w:p w:rsidR="00062BE4" w:rsidRPr="002F7766" w:rsidRDefault="00062BE4" w:rsidP="00062BE4">
      <w:pPr>
        <w:rPr>
          <w:rFonts w:ascii="Garamond" w:hAnsi="Garamond" w:cs="Arial"/>
          <w:lang w:val="en-GB"/>
        </w:rPr>
      </w:pPr>
      <w:r w:rsidRPr="002F7766">
        <w:rPr>
          <w:rFonts w:ascii="Garamond" w:hAnsi="Garamond" w:cs="Arial"/>
          <w:lang w:val="en-GB"/>
        </w:rPr>
        <w:t>Bei einer großen Anzahl von Menschen brauchen wir uns also nicht zu verwundern, wenn der Traum ihren Wunsch nach Beseitigung der Eltern, speziell des gleichgeschlechtlichen Elternteiles, aufdeckt. Wir dürfen annehmen, er ist auch im Wachleben vorhanden und wird sogar manchmal bewußt, wenn er sich durch ein anderes Motiv maskieren kann, wie im Falle unseres Träumers im Beispiele 3 durch das Mitleid mit dem unnützen Leiden des Vaters: Selten beherrscht die Feindseligkeit das Verhältnis allein, weit häufiger tritt sie hinter zärtlicheren Regungen zurück, von denen sie unterdrückt wird, und muß warten, bis ein Traum sie gleichsam isoliert. Was uns der Traum infolge solcher Isolierung übergroß zeigt, das schrumpft dann wieder zusammen, wenn es nach der Deutung von uns in den Zusammenhang des Lebens eingereiht wird (H. Sachs). Wir finden diesen Traumwunsch aber auch dort, wo er im Leben keinen Anhalt hat und wo der Erwachsene sich im Wachen nie zu ihm bekennen müßte. Dies hat seinen Grund darin, daß das tiefste und regelmäßigste Motiv zur Entfremdung, besonders zwischen den gleichgeschlechtlichen Personen, sich bereits im frühen Kindesalter geltend gemacht hat.</w:t>
      </w:r>
    </w:p>
    <w:p w:rsidR="00062BE4" w:rsidRPr="002F7766" w:rsidRDefault="00062BE4" w:rsidP="00062BE4">
      <w:pPr>
        <w:rPr>
          <w:rFonts w:ascii="Garamond" w:hAnsi="Garamond" w:cs="Arial"/>
          <w:lang w:val="en-GB"/>
        </w:rPr>
      </w:pPr>
      <w:r w:rsidRPr="002F7766">
        <w:rPr>
          <w:rFonts w:ascii="Garamond" w:hAnsi="Garamond" w:cs="Arial"/>
          <w:lang w:val="en-GB"/>
        </w:rPr>
        <w:t xml:space="preserve">Ich meine die Liebeskonkurrenz mit deutlicher Betonung des Geschlechtscharakters. Der Sohn beginnt schon als kleines Kind eine besondere Zärtlichkeit für die Mutter zu entwickeln, die er als sein eigen betrachtet, und den Vater als Konkurrenten zu empfinden, der ihm diesen Alleinbesitz streitig macht, und </w:t>
      </w:r>
      <w:r w:rsidRPr="002F7766">
        <w:rPr>
          <w:rFonts w:ascii="Garamond" w:hAnsi="Garamond" w:cs="Arial"/>
          <w:lang w:val="en-GB"/>
        </w:rPr>
        <w:lastRenderedPageBreak/>
        <w:t xml:space="preserve">ebenso sieht die kleine Tochter in der Mutter eine Person, die ihre zärtliche Beziehung zum Vater stört und einen Platz einnimmt, den sie sehr gut selbst ausfüllen könnte. Man muß aus den Beobachtungen erfahren, in wie frühe Jahre diese Einstellungen zurückreichen, die wir als </w:t>
      </w:r>
      <w:r w:rsidRPr="002F7766">
        <w:rPr>
          <w:rFonts w:ascii="Garamond" w:hAnsi="Garamond" w:cs="Arial"/>
          <w:i/>
          <w:iCs/>
          <w:lang w:val="en-GB"/>
        </w:rPr>
        <w:t>Ödipuskomplex</w:t>
      </w:r>
      <w:r w:rsidRPr="002F7766">
        <w:rPr>
          <w:rFonts w:ascii="Garamond" w:hAnsi="Garamond" w:cs="Arial"/>
          <w:lang w:val="en-GB"/>
        </w:rPr>
        <w:t xml:space="preserve"> bezeichnen, weil diese Sage die beiden extremen Wünsche, welche sich aus der Situation des Sohnes ergeben, den Vater zu töten und die Mutter zum Weib zu nehmen, mit einer ganz geringfügigen Abschwächung realisiert. Ich will nicht behaupten, daß der Ödipuskomplex die Beziehung der Kinder zu den Eltern erschöpft; diese kann leicht viel komplizierter sein. Auch ist der Ödipuskomplex mehr oder weniger stark ausgebildet, er kann selbst eine Umkehrung erfahren, aber er ist ein regelmäßiger und sehr bedeutsamer Faktor des kindlichen Seelenlebens, und man läuft eher Gefahr, seinen Einfluß und den der aus ihm hervorgehenden Entwicklungen zu unterschätzen, als ihn zu überschätzen. Übrigens reagieren die Kinder mit der Ödipuseinstellung häufig auf eine Anregung der Eltern, die sich in ihrer Liebeswahl oft genug vom Geschlechtsunterschied leiten lassen, so daß der Vater die Tochter, die Mutter den Sohn bevorzugt oder im Falle von Erkaltung in der Ehe zum Ersatz für das entwertete Liebesobjekt nimmt.</w:t>
      </w:r>
    </w:p>
    <w:p w:rsidR="00062BE4" w:rsidRPr="002F7766" w:rsidRDefault="00062BE4" w:rsidP="00062BE4">
      <w:pPr>
        <w:rPr>
          <w:rFonts w:ascii="Garamond" w:hAnsi="Garamond" w:cs="Arial"/>
          <w:lang w:val="en-GB"/>
        </w:rPr>
      </w:pPr>
      <w:r w:rsidRPr="002F7766">
        <w:rPr>
          <w:rFonts w:ascii="Garamond" w:hAnsi="Garamond" w:cs="Arial"/>
          <w:lang w:val="en-GB"/>
        </w:rPr>
        <w:t xml:space="preserve">Man kann nicht behaupten, daß die Welt der psychoanalytischen Forschung für die Aufdeckung des Ödipuskomplexes sehr dankbar gewesen ist. Diese hat im Gegenteile das heftigste Sträuben der Erwachsenen hervorgerufen, und Personen, die es versäumt hatten, an der Ableugnung dieser verpönten oder tabuierten Gefühlsbeziehung teilzunehmen, haben ihr Verschulden später gutgemacht, indem sie dem Komplex durch Umdeutungen seinen Wert entzogen. Nach meiner unveränderten Überzeugung ist dahier nichts zu verleugnen und nichts zu beschönigen. Man befreunde sich mit der Tatsache, die von der griechischen Sage selbst als unabwendbares Verhängnis anerkannt wird. Interessant ist es wiederum, daß der aus dem Leben herausgeworfene Ödipuskomplex der Dichtung überlassen, gleichsam zur freien Verfügung abgetreten wurde. O. Rank hat in einer sorgfältigen Studie gezeigt, wie gerade der Ödipuskomplex der dramatischen Dichtung reiche Motive in unendlichen Abänderungen, Abschwächungen und Verkleidungen geliefert hat, in solchen Entstellungen also, wie wir sie bereits als Werk einer Zensur erkennen. Diesen Ödipuskomplex dürfen wir also auch jenen Träumern zuschreiben, die so glücklich waren, im späteren Leben den Konflikten mit ihren Eltern zu entgehen, und an ihn innig geknüpft finden wir, was wir den </w:t>
      </w:r>
      <w:r w:rsidRPr="002F7766">
        <w:rPr>
          <w:rFonts w:ascii="Garamond" w:hAnsi="Garamond" w:cs="Arial"/>
          <w:i/>
          <w:iCs/>
          <w:lang w:val="en-GB"/>
        </w:rPr>
        <w:t>Kastrationskomplex</w:t>
      </w:r>
      <w:r w:rsidRPr="002F7766">
        <w:rPr>
          <w:rFonts w:ascii="Garamond" w:hAnsi="Garamond" w:cs="Arial"/>
          <w:lang w:val="en-GB"/>
        </w:rPr>
        <w:t xml:space="preserve"> heißen, die Reaktion auf die dem Vater zugeschriebene Sexualeinschüchterung oder Eindämmung der frühinfantilen Sexualtätigkeit.</w:t>
      </w:r>
    </w:p>
    <w:p w:rsidR="00062BE4" w:rsidRPr="002F7766" w:rsidRDefault="00062BE4" w:rsidP="00062BE4">
      <w:pPr>
        <w:rPr>
          <w:rFonts w:ascii="Garamond" w:hAnsi="Garamond" w:cs="Arial"/>
          <w:lang w:val="en-GB"/>
        </w:rPr>
      </w:pPr>
      <w:r w:rsidRPr="002F7766">
        <w:rPr>
          <w:rFonts w:ascii="Garamond" w:hAnsi="Garamond" w:cs="Arial"/>
          <w:lang w:val="en-GB"/>
        </w:rPr>
        <w:t xml:space="preserve">Durch die bisherigen Ermittlungen auf das Studium des kindlichen Seelenlebens verwiesen, dürfen wir nun auch die Erwartung hegen, daß die Herkunft des anderen Anteils der verbotenen Traumwünsche, der exzessiven Sexualregungen, auf ähnliche Weise Aufklärung finden wird. Wir empfangen also den Antrieb, auch die Entwicklung des kindlichen Sexuallebens zu studieren, und erfahren hierbei aus mehreren Quellen folgendes: Es ist vor allem ein unhaltbarer Irrtum, dem Kind ein Sexualleben abzusprechen und anzunehmen, daß die Sexualität erst zur Zeit der Pubertät mit der Reifung der Genitalien einsetze. Das Kind hat im Gegenteile von allem Anfang an ein reichhaltiges Sexualleben, welches sich von dem später als normal geltenden in vielen Punkten unterscheidet. Was wir im Leben der Erwachsenen »pervers« nennen, weicht vom Normalen in folgenden Stücken ab: erstens durch das Hinwegsetzen über die Artschranke (die Kluft zwischen Mensch und Tier), zweitens durch die Überschreitung der Ekelschranke, drittens der Inzestschranke (des Verbots, Sexualbefriedigung an nahen Blutsverwandten zu suchen), viertens der Gleichgeschlechtlichkeit, und fünftens durch die Übertragung der Genitalrolle an andere Organe und Körperstellen. Alle diese Schranken bestehen nicht von Anfang an, sondern werden erst allmählich im Laufe der Entwicklung und der Erziehung aufgebaut. Das kleine Kind ist frei von ihnen. Es kennt noch keine arge Kluft zwischen Mensch und Tier; der Hochmut, mit dem sich der Mensch vom Tier absondert, wächst ihm erst später zu. Es zeigt anfänglich keinen Ekel vor dem Exkrementellen, sondern erlernt diesen langsam unter dem Nachdruck der Erziehung; es legt keinen besonderen Wert auf den Unterschied der Geschlechter, mutet vielmehr beiden die gleiche Genitalbildung zu; es richtet seine ersten sexuellen Gelüste und seine Neugierde auf die ihm nächsten und aus anderen Gründen liebsten </w:t>
      </w:r>
      <w:r w:rsidRPr="002F7766">
        <w:rPr>
          <w:rFonts w:ascii="Garamond" w:hAnsi="Garamond" w:cs="Arial"/>
          <w:lang w:val="en-GB"/>
        </w:rPr>
        <w:lastRenderedPageBreak/>
        <w:t>Personen, Eltern, Geschwister, Pflegepersonen, und endlich zeigt sich bei ihm, was späterhin auf der Höhe einer Liebesbeziehung wieder durchbricht, daß es nicht nur von den Geschlechtsteilen Lust erwartet, sondern daß viele andere Körperstellen dieselbe Empfindlichkeit für sich in Anspruch nehmen, analoge Lustempfindungen vermitteln und somit die Rolle von Genitalien spielen können. Das Kind kann also »polymorph pervers« genannt werden, und wenn es alle diese Regungen nur spurweise betätigt, so kommt dies einerseits von deren geringer Intensität im Vergleiche zu späteren Lebenszeiten, anderseits daher, daß die Erziehung alle sexuellen Äußerungen des Kindes sofort energisch unterdrückt. Diese Unterdrückung setzt sich sozusagen in die Theorie fort, indem die Erwachsenen sich bemühen, einen Anteil der kindlichen Sexualäußerungen zu übersehen und einen anderen durch Umdeutung seiner sexuellen Natur zu entkleiden, bis sie dann das Ganze ableugnen können. Es sind oft dieselben Leute, die erst in der Kinderstube hart gegen alle sexuellen Unarten der Kinder wüten und dann am Schreibtisch die sexuelle Reinheit derselben Kinder verteidigen. Wo Kinder sich selbst überlassen werden oder unter dem Einfluß der Verführung, bringen sie oft ganz ansehnliche Leistungen perverser Sexualbetätigung zustande. Natürlich haben die Erwachsenen recht, dies als »Kinderei« und »Spielerei« nicht schwerzunehmen, denn das Kind ist weder vor dem Richterstuhl der Sitte noch vor dem Gesetz als vollwertig und verantwortlich zu beurteilen, aber diese Dinge existieren doch, sie haben ihre Bedeutung sowohl als Anzeichen mitgebrachter Konstitution sowie als Ursachen und Förderungen späterer Entwicklungen, sie geben uns Aufschlüsse über das kindliche Sexualleben und somit über das menschliche Sexualleben überhaupt. Wenn wir also hinter unseren entstellten Träumen alle diese perversen Wunschregungen wiederfinden, so bedeutet es nur, daß der Traum auch auf diesem Gebiet den Rückschritt zum infantilen Zustand vollzogen hat.</w:t>
      </w:r>
    </w:p>
    <w:p w:rsidR="00062BE4" w:rsidRPr="002F7766" w:rsidRDefault="00062BE4" w:rsidP="00062BE4">
      <w:pPr>
        <w:rPr>
          <w:rFonts w:ascii="Garamond" w:hAnsi="Garamond" w:cs="Arial"/>
          <w:lang w:val="en-GB"/>
        </w:rPr>
      </w:pPr>
      <w:r w:rsidRPr="002F7766">
        <w:rPr>
          <w:rFonts w:ascii="Garamond" w:hAnsi="Garamond" w:cs="Arial"/>
          <w:lang w:val="en-GB"/>
        </w:rPr>
        <w:t>Eine besondere Hervorhebung unter diesen verbotenen Wünschen verdienen noch die inzestuösen, d. h. die auf Geschlechtsverkehr mit Eltern und Geschwistern gerichteten. Sie wissen, welcher Abscheu in der menschlichen Gemeinschaft gegen solchen Verkehr verspürt oder wenigstens vorgegeben wird und welcher Nachdruck auf den dagegen gerichteten Verboten ruht. Es sind die ungeheuerlichsten Anstrengungen gemacht worden, diese Inzestscheu zu erklären. Die einen haben angenommen, daß es Züchtungsrücksichten der Natur sind, welche sich psychisch durch dieses Verbot repräsentieren lassen, weil Inzucht die Rassencharaktere verschlechtern würde, die anderen haben behauptet, daß durch das Zusammenleben von früher Kindheit an die sexuelle Begierde von den in Betracht kommenden Personen abgelenkt wird. In beiden Fällen wäre übrigens die Inzestvermeidung automatisch gesichert, und man verstünde nicht, wozu es der strengen Verbote bedürfte, die eher auf das Vorhandensein eines starken Begehrens deuten. Die psychoanalytischen Untersuchungen haben unzweideutig ergeben, daß die inzestuöse Liebeswahl vielmehr die erste und die regelmäßige ist und daß erst später ein Widerstand gegen sie einsetzt, dessen Herleitung aus der individuellen Psychologie wohl abzulehnen ist.</w:t>
      </w:r>
    </w:p>
    <w:p w:rsidR="00062BE4" w:rsidRPr="002F7766" w:rsidRDefault="00062BE4" w:rsidP="00062BE4">
      <w:pPr>
        <w:rPr>
          <w:rFonts w:ascii="Garamond" w:hAnsi="Garamond" w:cs="Arial"/>
          <w:lang w:val="en-GB"/>
        </w:rPr>
      </w:pPr>
      <w:r w:rsidRPr="002F7766">
        <w:rPr>
          <w:rFonts w:ascii="Garamond" w:hAnsi="Garamond" w:cs="Arial"/>
          <w:lang w:val="en-GB"/>
        </w:rPr>
        <w:t xml:space="preserve">Stellen wir zusammen, was uns die Vertiefung in die Kinderpsychologie für das Verständnis des Traumes gebracht hat. Wir fanden nicht nur, daß das Material der vergessenen Kindererlebnisse dem Traum zugänglich ist, sondern wir sahen auch, daß das Seelenleben der Kinder mit all seinen Eigenheiten, seinem Egoismus, seiner inzestuösen Liebeswahl usw. für den Traum, also im Unbewußten, noch fortbesteht und daß uns der Traum allnächtlich auf diese infantile Stufe zurückführt. </w:t>
      </w:r>
      <w:r w:rsidRPr="00062BE4">
        <w:rPr>
          <w:rFonts w:ascii="Garamond" w:hAnsi="Garamond" w:cs="Arial"/>
        </w:rPr>
        <w:t xml:space="preserve">Es wird uns so bekräftigt, </w:t>
      </w:r>
      <w:r w:rsidRPr="00062BE4">
        <w:rPr>
          <w:rFonts w:ascii="Garamond" w:hAnsi="Garamond" w:cs="Arial"/>
          <w:i/>
          <w:iCs/>
        </w:rPr>
        <w:t>daß das Unbewußte des Seelenlebens das Infantile ist</w:t>
      </w:r>
      <w:r w:rsidRPr="00062BE4">
        <w:rPr>
          <w:rFonts w:ascii="Garamond" w:hAnsi="Garamond" w:cs="Arial"/>
        </w:rPr>
        <w:t xml:space="preserve">. </w:t>
      </w:r>
      <w:r w:rsidRPr="002F7766">
        <w:rPr>
          <w:rFonts w:ascii="Garamond" w:hAnsi="Garamond" w:cs="Arial"/>
          <w:lang w:val="en-GB"/>
        </w:rPr>
        <w:t>Der befremdende Eindruck, daß soviel Böses im Menschen steckt, beginnt nachzulassen. Dieses entsetzlich Böse ist einfach das Anfängliche, Primitive, Infantile des Seelenlebens, das wir beim Kinde in Wirksamkeit finden können, das wir aber bei ihm zum Teil wegen seiner kleinen Dimensionen übersehen, zum Teil nicht schwernehmen, weil wir vom Kinde keine ethische Höhe fordern: Indem der Traum auf diese Stufe regrediert, erweckt er den Anschein, als habe er das Böse in uns zum Vorschein gebracht. Es ist aber nur ein täuschender Schein, von dem wir uns haben schrecken lassen. Wir sind nicht so böse, wie wir nach der Deutung der Träume annehmen wollten.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Wenn die bösen Regungen der Träume nur Infantilismen sind, eine Rückkehr zu den Anfängen unserer ethischen Entwicklung, indem der Traum uns einfach wieder zu Kindern im Denken und Fühlen macht, so brauchen wir uns vernünftigerweise dieser bösen Träume nicht zu schämen. Allein das Vernünftige ist nur ein Anteil des Seelenlebens, es geht außerdem in der Seele noch mancherlei vor, was nicht vernünftig ist, und so geschieht es, daß wir uns unvernünftigerweise doch solcher Träume schämen. Wir unterwerfen sie der Traumzensur, schämen und ärgern uns, wenn es einem dieser Wünsche ausnahmsweise gelungen ist, in so unentstellter Form zum Bewußtsein zu dringen, daß wir ihn erkennen müssen, ja wir schämen uns gelegentlich der entstellten Träume genau so, als ob wir sie verstehen würden. Denken Sie nur an das entrüstete Urteil jener braven alten Dame über ihren nicht gedeuteten Traum von den »Liebesdiensten«. Das Problem ist also noch nicht erledigt, und es bleibt möglich, daß wir bei weiterer Beschäftigung mit dem Bösen im Traum zu einem anderen Urteil und zu einer anderen Schätzung der menschlichen Natur gelangen.</w:t>
      </w:r>
    </w:p>
    <w:p w:rsidR="00062BE4" w:rsidRPr="002F7766" w:rsidRDefault="00062BE4" w:rsidP="00062BE4">
      <w:pPr>
        <w:rPr>
          <w:rFonts w:ascii="Garamond" w:hAnsi="Garamond" w:cs="Arial"/>
          <w:lang w:val="en-GB"/>
        </w:rPr>
      </w:pPr>
      <w:r w:rsidRPr="002F7766">
        <w:rPr>
          <w:rFonts w:ascii="Garamond" w:hAnsi="Garamond" w:cs="Arial"/>
          <w:lang w:val="en-GB"/>
        </w:rPr>
        <w:t xml:space="preserve">Als Ergebnis der ganzen Untersuchung erfassen wir zwei Einsichten, die aber nur den Anfang von neuen Rätseln, neuen Zweifeln bedeuten. </w:t>
      </w:r>
      <w:r w:rsidRPr="002F7766">
        <w:rPr>
          <w:rFonts w:ascii="Garamond" w:hAnsi="Garamond" w:cs="Arial"/>
        </w:rPr>
        <w:t xml:space="preserve">Erstens: Die Regression der Traumarbeit ist nicht nur eine formale, sondern auch eine materielle. Sie übersetzt nicht nur unsere Gedanken in eine primitive Ausdrucksform, sondern sie weckt auch die Eigentümlichkeiten unseres primitiven Seelenlebens wieder auf, die alte Übermacht des Ichs, die anfänglichen Regungen unseres Sexuallebens, ja selbst unseren alten intellektuellen Besitz, wenn wir die Symbolbeziehung als solchen auffassen dürfen. </w:t>
      </w:r>
      <w:r w:rsidRPr="002F7766">
        <w:rPr>
          <w:rFonts w:ascii="Garamond" w:hAnsi="Garamond" w:cs="Arial"/>
          <w:lang w:val="en-GB"/>
        </w:rPr>
        <w:t>Und zweitens: All dies alte Infantile, was einmal herrschend und alleinherrschend war, müssen wir heute dem Unbewußten zurechnen, von dem unsere Vorstellungen sich nun verändern und erweitern. Unbewußt ist nicht mehr ein Name für das derzeit Latente, das Unbewußte ist ein besonderes seelisches Reich mit eigenen Wunschregungen, eigener Ausdrucksweise und ihm eigentümlichen seelischen Mechanismen, die sonst nicht in Kraft sind. Aber die latenten Traumgedanken, die wir durch die Traumdeutung erraten haben, sind doch nicht von diesem Reich; sie sind vielmehr so, wie wir sie auch im Wachen hätten denken können. Unbewußt sind sie aber doch; wie löst sich also dieser Widerspruch? Wir beginnen zu ahnen, daß hier eine Sonderung vorzunehmen ist. Etwas, was aus unserem bewußten Leben stammt und dessen Charaktere teilt – wir heißen es: die Tagesreste – tritt mit etwas anderem aus jenem Reich des Unbewußten zur Traumbildung zusammen. Zwischen diesen beiden Anteilen vollzieht sich die Traumarbeit. Die Beeinflussung der Tagesreste durch das hinzutretende Unbewußte enthält wohl die Bedingung für die Regression. Es ist dies die tiefste Einsicht über das Wesen des Traumes, zu welcher wir hier, ehe wir weitere seelische Gebiete durchforscht haben, gelangen können. Es wird aber bald an der Zeit sein, den unbewußten Charakter der latenten Traumgedanken mit einem anderen Namen zu belegen, zur Unterscheidung von dem Unbewußten aus jenem Reich des Infantilen.</w:t>
      </w:r>
    </w:p>
    <w:p w:rsidR="00062BE4" w:rsidRPr="002F7766" w:rsidRDefault="00062BE4" w:rsidP="00062BE4">
      <w:pPr>
        <w:rPr>
          <w:rFonts w:ascii="Garamond" w:hAnsi="Garamond" w:cs="Arial"/>
          <w:lang w:val="en-GB"/>
        </w:rPr>
      </w:pPr>
      <w:r w:rsidRPr="002F7766">
        <w:rPr>
          <w:rFonts w:ascii="Garamond" w:hAnsi="Garamond" w:cs="Arial"/>
          <w:lang w:val="en-GB"/>
        </w:rPr>
        <w:t>Wir können natürlich auch die Frage auf werfen: Was nötigt die psychische Tätigkeit während des Schlafens zu solcher Regression? Warum erledigt sie die schlafstörenden seelischen Reize nicht ohne diese? Und wenn sie aus Motiven der Traumzensur sich der Verkleidung durch die alte, jetzt unverständliche Ausdrucksform bedienen muß, wozu dient ihr die Wiederbelebung der alten, jetzt überwundenen Seelenregungen, Wünsche und Charakterzüge, also die materielle Regression, die zu der formalen hinzukommt? Die einzige Antwort, die uns befriedigen würde, wäre, daß nur auf solche Weise ein Traum gebildet werden kann, daß dynamisch die Aufhebung des Traumreizes nicht anders möglich ist. Aber wir haben vorläufig nicht das Recht, eine solche Antwort zu geben.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14. Vo</w:t>
        </w:r>
        <w:bookmarkStart w:id="281" w:name="Vorlesungen_14"/>
        <w:bookmarkEnd w:id="281"/>
        <w:r w:rsidRPr="009C5A67">
          <w:rPr>
            <w:rStyle w:val="Lienhypertexte"/>
            <w:rFonts w:ascii="Garamond" w:hAnsi="Garamond" w:cs="Arial"/>
            <w:b/>
            <w:bCs/>
            <w:lang w:val="en-GB"/>
          </w:rPr>
          <w:t>rlesung. Die Wunscherfüllung</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Soll ich Ihnen nochmals vorhalten, welchen Weg wir bisher zurückgelegt haben? Wie wir bei der Anwendung unserer Technik auf die Traumentstellung gestoßen sind, uns besonnen haben, ihr zunächst auszuweichen, und uns die entscheidenden Auskünfte über das Wesen des Traumes an den infantilen Träumen geholt haben? Wie wir dann, mit den Ergebnissen dieser Untersuchung ausgerüstet, die Traumentstellung direkt angegriffen und sie, ich hoffe es, auch schrittweise überwunden haben? Nun aber müssen wir uns sagen, was wir auf dem einen und auf dem anderen Weg gefunden, trifft nicht ganz zusammen. Es wird uns zur Aufgabe, beiderlei Ergebnisse zusammenzusetzen und gegeneinander auszugleichen.</w:t>
      </w:r>
    </w:p>
    <w:p w:rsidR="00062BE4" w:rsidRPr="002F7766" w:rsidRDefault="00062BE4" w:rsidP="00062BE4">
      <w:pPr>
        <w:rPr>
          <w:rFonts w:ascii="Garamond" w:hAnsi="Garamond" w:cs="Arial"/>
          <w:lang w:val="en-GB"/>
        </w:rPr>
      </w:pPr>
      <w:r w:rsidRPr="002F7766">
        <w:rPr>
          <w:rFonts w:ascii="Garamond" w:hAnsi="Garamond" w:cs="Arial"/>
          <w:lang w:val="en-GB"/>
        </w:rPr>
        <w:t>Von beiden Seiten her hat sich uns ergeben, die Traumarbeit bestehe wesentlich in der Umsetzung von Gedanken in ein halluzinatorisches Erleben. Wie das geschehen kann, ist rätselhaft genug, aber es ist ein Problem der allgemeinen Psychologie, das uns hier nicht beschäftigen soll. Aus den Kinderträumen haben wir erfahren, die Traumarbeit beabsichtige die Beseitigung eines den Schlaf störenden seelischen Reizes durch eine Wunscherfüllung. Von den entstellten Träumen konnten wir nichts Ähnliches aussagen, ehe wir sie zu deuten verstanden. Unsere Erwartung ging aber von Anfang an dahin, die entstellten Träume unter dieselben Gesichtspunkte bringen zu können wie die infantilen. Die erste Erfüllung dieser Erwartung brachte uns die Einsicht, daß eigentlich alle Träume – die Träume von Kindern sind, mit dem infantilen Material, den kindlichen Seelenregungen und Mechanismen arbeiten. Nachdem wir die Traumentstellung für überwunden halten, müssen wir an die Untersuchung gehen, ob die Auffassung als Wunscherfüllungen auch für die entstellten Träume Geltung hat.</w:t>
      </w:r>
    </w:p>
    <w:p w:rsidR="00062BE4" w:rsidRPr="002F7766" w:rsidRDefault="00062BE4" w:rsidP="00062BE4">
      <w:pPr>
        <w:rPr>
          <w:rFonts w:ascii="Garamond" w:hAnsi="Garamond" w:cs="Arial"/>
          <w:lang w:val="en-GB"/>
        </w:rPr>
      </w:pPr>
      <w:r w:rsidRPr="002F7766">
        <w:rPr>
          <w:rFonts w:ascii="Garamond" w:hAnsi="Garamond" w:cs="Arial"/>
          <w:lang w:val="en-GB"/>
        </w:rPr>
        <w:t>Wir haben erst kürzlich eine Reihe von Träumen der Deutung unterzogen, aber die Wunscherfüllung ganz außer Betracht gelassen. Ich bin überzeugt, daß sich Ihnen dabei wiederholt die Frage aufgedrängt hat: Wo bleibt denn die Wunscherfüllung, die angeblich das Ziel der Traumarbeit ist? Diese Frage ist bedeutsam; sie ist nämlich die Frage unserer Laienkritiker geworden. Wie Sie wissen, hat die Menschheit ein instinktives Abwehrbestreben gegen intellektuelle Neuheiten. Zu den Äußerungen desselben gehört, daß eine solche Neuheit sofort auf den geringsten Umfang reduziert, womöglich in ein Schlagwort komprimiert wird. Für die neue Traumlehre ist die Wunscherfüllung dies Schlagwort geworden. Der Laie stellt die Frage: Wo ist die Wunscherfüllung? Sofort, nachdem er gehört hat, daß der Traum eine Wunscherfüllung sein soll, und indem er sie stellt, beantwortet er sie ablehnend. Es fallen ihm sofort ungezählte eigene Traumerfahrungen ein, in denen sich Unlust bis zu schwerer Angst an das Träumen geknüpft hat, so daß ihm die Behauptung der psychoanalytischen Traumlehre recht unwahrscheinlich wird. Wir haben es leicht, ihm zu antworten, daß bei den entstellten Träumen die Wunscherfüllung nicht offenkundig sein kann, sondern erst gesucht werden muß, so daß sie vor der Deutung des Traumes nicht anzugeben ist. Wir wissen auch, daß die Wünsche dieser entstellten Träume verbotene, von der Zensur abgewiesene Wünsche sind, deren Existenz eben die Ursache der Traumentstellung, das Motiv für das Eingreifen der Traumzensur geworden ist. Aber dem Laienkritiker ist es schwer beizubringen, daß man vor der Deutung des Traumes nicht nach dessen Wunscherfüllung fragen darf. Er wird es doch immer wieder vergessen. Seine ablehnende Haltung gegen die Theorie der Wunscherfüllung ist eigentlich nichts anderes als eine Konsequenz der Traumzensur, ein Ersatz und ein Ausfluß der Ablehnung dieser zensurierten Traumwünsche.</w:t>
      </w:r>
    </w:p>
    <w:p w:rsidR="00062BE4" w:rsidRPr="002F7766" w:rsidRDefault="00062BE4" w:rsidP="00062BE4">
      <w:pPr>
        <w:rPr>
          <w:rFonts w:ascii="Garamond" w:hAnsi="Garamond" w:cs="Arial"/>
          <w:lang w:val="en-GB"/>
        </w:rPr>
      </w:pPr>
      <w:r w:rsidRPr="002F7766">
        <w:rPr>
          <w:rFonts w:ascii="Garamond" w:hAnsi="Garamond" w:cs="Arial"/>
          <w:lang w:val="en-GB"/>
        </w:rPr>
        <w:t xml:space="preserve">Natürlich werden auch wir das Bedürfnis haben, uns zu erklären, daß es so viele Träume mit peinlichem Inhalt und besonders, daß es Angstträume gibt. Wir stoßen dabei zum erstenmal auf das Problem der Affekte im Traum, welches ein Studium für sich verdiente, uns aber leider nicht beschäftigen darf. Wenn der Traum eine Wunscherfüllung ist, so sollten peinliche Empfindungen im Traume unmöglich sein; darin </w:t>
      </w:r>
      <w:r w:rsidRPr="002F7766">
        <w:rPr>
          <w:rFonts w:ascii="Garamond" w:hAnsi="Garamond" w:cs="Arial"/>
          <w:lang w:val="en-GB"/>
        </w:rPr>
        <w:lastRenderedPageBreak/>
        <w:t>scheinen die Laienkritiker recht zu haben. Es kommen aber dreierlei Komplikationen in Betracht, an welche diese nicht gedacht haben.</w:t>
      </w:r>
    </w:p>
    <w:p w:rsidR="00062BE4" w:rsidRPr="002F7766" w:rsidRDefault="00062BE4" w:rsidP="00062BE4">
      <w:pPr>
        <w:rPr>
          <w:rFonts w:ascii="Garamond" w:hAnsi="Garamond" w:cs="Arial"/>
          <w:lang w:val="en-GB"/>
        </w:rPr>
      </w:pPr>
      <w:r w:rsidRPr="002F7766">
        <w:rPr>
          <w:rFonts w:ascii="Garamond" w:hAnsi="Garamond" w:cs="Arial"/>
          <w:lang w:val="en-GB"/>
        </w:rPr>
        <w:t xml:space="preserve">Erstens: es kann sein, daß es der Traumarbeit nicht voll gelungen ist, eine Wunscherfüllung zu schaffen, so daß von dem peinlichen Affekt der Traumgedanken ein Anteil für den manifesten Traum erübrigt wird. Die Analyse müßte dann zeigen, daß diese Traumgedanken noch weit peinlicher waren als der aus ihnen gestaltete Traum. Soviel läßt sich auch jedesmal nachweisen. Wir geben dann zu, die Traumarbeit hat ihren Zweck nicht erreicht, so wenig wie der Trinktraum auf den Durstreiz seine Absicht erreicht, den Durst zu löschen. Man bleibt durstig und muß erwachen, um zu trinken. Aber es war doch ein richtiger Traum, er hatte nichts von seinem Wesen aufgegeben. Wir müssen sagen: </w:t>
      </w:r>
      <w:r w:rsidRPr="002F7766">
        <w:rPr>
          <w:rFonts w:ascii="Garamond" w:hAnsi="Garamond" w:cs="Arial"/>
          <w:i/>
          <w:iCs/>
          <w:lang w:val="en-GB"/>
        </w:rPr>
        <w:t>Ut desint vires, tamen est laudanda voluntas</w:t>
      </w:r>
      <w:hyperlink r:id="rId1463"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Mögen die Kräfte auch fehlen, der Wille ist dennoch zu loben.</w:t>
        </w:r>
      </w:hyperlink>
      <w:r w:rsidRPr="002F7766">
        <w:rPr>
          <w:rFonts w:ascii="Garamond" w:hAnsi="Garamond" w:cs="Arial"/>
          <w:lang w:val="en-GB"/>
        </w:rPr>
        <w:t>. Die klar zu erkennende Absicht wenigstens bleibt lobenswert. Solche Fälle des Mißlingens sind kein seltenes Vorkommnis. Es wirkt dazu mit, daß es der Traumarbeit soviel schwerer gelingt, Affekte als Inhalte in ihrem Sinne zu verändern; die Affekte sind manchmal sehr resistent. So geschieht es denn, daß die Traumarbeit den peinlichen Inhalt der Traumgedanken zu einer Wunscherfüllung umgearbeitet hat, während sich der peinliche Affekt noch unverändert durchsetzt. In solchen Träumen paßt der Affekt dann gar nicht zum Inhalt, und unsere Kritiker können sagen, der Traum sei so wenig eine Wunscherfüllung, daß in ihm selbst ein harmloser Inhalt peinlich empfunden werden kann. Wir werden gegen diese unverständige Bemerkung einwenden, daß die Wunscherfüllungstendenz der Traumarbeit gerade an solchen Träumen am deutlichsten, weil isoliert, zum Vorschein kommt. Der Irrtum kommt daher, daß, wer die Neurosen nicht kennt, sich die Verknüpfung von Inhalt und Affekt als eine zu innige vorstellt und darum nicht fassen kann, daß ein Inhalt abgeändert wird, ohne daß die dazugehörige Affektäußerung mitverändert werde.</w:t>
      </w:r>
    </w:p>
    <w:p w:rsidR="00062BE4" w:rsidRPr="002F7766" w:rsidRDefault="00062BE4" w:rsidP="00062BE4">
      <w:pPr>
        <w:rPr>
          <w:rFonts w:ascii="Garamond" w:hAnsi="Garamond" w:cs="Arial"/>
          <w:lang w:val="en-GB"/>
        </w:rPr>
      </w:pPr>
      <w:r w:rsidRPr="002F7766">
        <w:rPr>
          <w:rFonts w:ascii="Garamond" w:hAnsi="Garamond" w:cs="Arial"/>
          <w:lang w:val="en-GB"/>
        </w:rPr>
        <w:t>Ein zweites, weit wichtigeres und tiefer reichendes Moment, welches der Laie gleichfalls vernachlässigt, ist das folgende. Eine Wunscherfüllung müßte gewiß Lust bringen, aber es fragt sich auch, wem? Natürlich dem, der den Wunsch hat. Vom Träumer ist uns aber bekannt, daß er zu seinen Wünschen ein ganz besonderes Verhältnis unterhält. Er verwirft sie, zensuriert sie, kurz er mag sie nicht. Eine Erfüllung derselben kann ihm also keine Lust bringen, sondern nur das Gegenteil davon. Die Erfahrung zeigt dann, daß dieses Gegenteil, was noch zu erklären ist, in der Form der Angst auftritt. Der Träumer kann also in seinem Verhältnis zu seinen Traumwünschen nur einer Summation von zwei Personen gleichgestellt werden, die doch durch eine starke Gemeinsamkeit verbunden sind. Anstatt aller weiteren Ausführungen biete ich Ihnen ein bekanntes Märchen, in welchem Sie die nämlichen Beziehungen wiederfinden werden. Eine gute Fee verspricht einem armen Menschenpaar, Mann und Frau, die Erfüllung ihrer drei ersten Wünsche. Sie sind selig und nehmen sich vor, diese drei Wünsche sorgfältig auszuwählen. Die Frau läßt sich aber durch den Duft von Bratwürstchen aus der nächsten Hütte verleiten, sich ein solches Paar Würstchen herzuwünschen. Flugs sind sie auch da; das ist die erste Wunscherfüllung. Nun wird der Mann böse und wünscht in seiner Erbitterung, daß die Würste der Frau an der Nase hängen mögen. Das vollzieht sich auch, und die Würste sind von ihrem neuen Standort nicht wegzubringen, das ist nun die zweite Wunscherfüllung, aber der Wunsch ist der des Mannes; der Frau ist diese Wunscherfüllung sehr unangenehm. Sie wissen, wie es im Märchen weitergeht. Da die beiden im Grunde doch eines sind, Mann und Frau, muß der dritte Wunsch lauten, daß die Würstchen von der Nase der Frau weggehen mögen. Wir könnten dieses Märchen noch mehrmals in anderem Zusammenhange verwerten; hier diene es uns nur als Illustration der Möglichkeit, daß die Wunscherfüllung des einen zur Unlust für den anderen führen kann, wenn die beiden miteinander nicht einig sind.</w:t>
      </w:r>
    </w:p>
    <w:p w:rsidR="00062BE4" w:rsidRPr="002F7766" w:rsidRDefault="00062BE4" w:rsidP="00062BE4">
      <w:pPr>
        <w:rPr>
          <w:rFonts w:ascii="Garamond" w:hAnsi="Garamond" w:cs="Arial"/>
          <w:lang w:val="en-GB"/>
        </w:rPr>
      </w:pPr>
      <w:r w:rsidRPr="002F7766">
        <w:rPr>
          <w:rFonts w:ascii="Garamond" w:hAnsi="Garamond" w:cs="Arial"/>
          <w:lang w:val="en-GB"/>
        </w:rPr>
        <w:t xml:space="preserve">Es wird uns nun nicht schwer werden, zu einem noch besseren Verständnis der Angstträume zu kommen. Wir werden nur noch eine Beobachtung verwerten und uns dann zu einer Annahme entschließen, für die sich mancherlei anführen läßt. Die Beobachtung ist, daß die Angstträume häufig einen Inhalt haben, welcher der Entstellung völlig entbehrt, sozusagen der Zensur entgangen ist. Der Angsttraum ist oft eine </w:t>
      </w:r>
      <w:r w:rsidRPr="002F7766">
        <w:rPr>
          <w:rFonts w:ascii="Garamond" w:hAnsi="Garamond" w:cs="Arial"/>
          <w:lang w:val="en-GB"/>
        </w:rPr>
        <w:lastRenderedPageBreak/>
        <w:t>unverhüllte Wunscherfüllung, natürlich nicht die eines genehmen, sondern eines verworfenen Wunsches. An Stelle der Zensur ist die Angstentwicklung getreten. Während man vom infantilen Traum aussagen kann, er sei die offene Erfüllung eines zugelassenen Wunsches, vom gemeinen entstellten Traum, er sei die verkappte Erfüllung eines verdrängten Wunsches, taugt für den Angsttraum nur die Formel, daß er die offene Erfüllung eines verdrängten Wunsches sei. Die Angst ist das Anzeichen dafür, daß der verdrängte Wunsch sich stärker gezeigt hat als die Zensur, daß er seine Wunscherfüllung gegen dieselbe durchgesetzt hat oder durchzusetzen im Begriffe war. Wir begreifen, daß, was für ihn Wunscherfüllung ist, für uns, die wir auf der Seite der Traumzensur stehen, nur Anlaß zu peinlichen Empfindungen und zur Abwehr sein kann. Die dabei im Traum auftretende Angst ist, wenn Sie so wollen, Angst vor der Stärke dieser sonst niedergehaltenen Wünsche. Warum diese Abwehr in der Form der Angst auftritt, das kann man aus dem Studium des Traumes allein nicht erraten; man muß die Angst offenbar an anderen Stellen studieren.</w:t>
      </w:r>
    </w:p>
    <w:p w:rsidR="00062BE4" w:rsidRPr="002F7766" w:rsidRDefault="00062BE4" w:rsidP="00062BE4">
      <w:pPr>
        <w:rPr>
          <w:rFonts w:ascii="Garamond" w:hAnsi="Garamond" w:cs="Arial"/>
          <w:lang w:val="en-GB"/>
        </w:rPr>
      </w:pPr>
      <w:r w:rsidRPr="002F7766">
        <w:rPr>
          <w:rFonts w:ascii="Garamond" w:hAnsi="Garamond" w:cs="Arial"/>
          <w:lang w:val="en-GB"/>
        </w:rPr>
        <w:t>Dasselbe, was für die unentstellten Angstträume gilt, dürfen wir auch für diejenigen annehmen, die ein Teil Entstellung erfahren haben, und für die sonstigen Unlustträume, deren peinliche Empfindungen wahrscheinlich Annährungen an die Angst entsprechen. Der Angsttraum ist gewöhnlich auch ein Wecktraum; wir pflegen den Schlaf zu unterbrechen, ehe der verdrängte Wunsch des Traumes seine volle Erfüllung gegen die Zensur durchgesetzt hat. In diesem Falle ist die Leistung des Traumes mißglückt, aber sein Wesen ist darum nicht verändert. Wir haben den Traum mit dem Nachtwächter oder Schlafwächter verglichen, der unseren Schlaf vor Störung behüten will. Auch der Nachtwächter kommt in die Lage, die Schlafenden zu wecken, wenn er sich nämlich zu schwach fühlt, die Störung oder Gefahr allein zu verscheuchen. Dennoch gelingt es uns manchmal, den Schlaf festzuhalten, selbst wenn der Traum bedenklich zu werden und sich zur Angst zu wenden beginnt. Wir sagen uns im Schlaf: Es ist doch nur ein Traum und schlafen weiter.</w:t>
      </w:r>
    </w:p>
    <w:p w:rsidR="00062BE4" w:rsidRPr="002F7766" w:rsidRDefault="00062BE4" w:rsidP="00062BE4">
      <w:pPr>
        <w:rPr>
          <w:rFonts w:ascii="Garamond" w:hAnsi="Garamond" w:cs="Arial"/>
          <w:lang w:val="en-GB"/>
        </w:rPr>
      </w:pPr>
      <w:r w:rsidRPr="002F7766">
        <w:rPr>
          <w:rFonts w:ascii="Garamond" w:hAnsi="Garamond" w:cs="Arial"/>
          <w:lang w:val="en-GB"/>
        </w:rPr>
        <w:t>Wann sollte es geschehen, daß der Traumwunsch in die Lage kommt, die Zensur zu überwältigen? Die Bedingung hierfür kann ebensowohl von Seiten des Traumwunsches wie der Traumzensur erfüllt werden. Der Wunsch mag aus unbekannten Gründen einmal überstark werden; aber man gewinnt den Eindruck, daß häufiger das Verhalten der Traumzensur die Schuld an dieser Verschiebung des Kräfteverhältnisses trägt. Wir haben schon gehört, daß die Zensur in jedem einzelnen Falle mit verschiedener Intensität arbeitet, jedes Element mit einem anderen Grade von Strenge behandelt; jetzt möchten wir die Annahme hinzufügen, daß sie überhaupt recht variabel ist und gegen das nämliche anstößige Element nicht jedesmal die gleiche Strenge anwendet. Hat es sich so gefügt, daß sie sich einmal ohnmächtig gegen einen Traumwunsch fühlt, der sie zu überrumpeln droht, so bedient sie sich anstatt der Entstellung des letzten Mittels, das ihr bleibt, den Schlafzustand unter Angstentwicklung aufzugeben.</w:t>
      </w:r>
    </w:p>
    <w:p w:rsidR="00062BE4" w:rsidRPr="002F7766" w:rsidRDefault="00062BE4" w:rsidP="00062BE4">
      <w:pPr>
        <w:rPr>
          <w:rFonts w:ascii="Garamond" w:hAnsi="Garamond" w:cs="Arial"/>
          <w:lang w:val="en-GB"/>
        </w:rPr>
      </w:pPr>
      <w:r w:rsidRPr="002F7766">
        <w:rPr>
          <w:rFonts w:ascii="Garamond" w:hAnsi="Garamond" w:cs="Arial"/>
          <w:lang w:val="en-GB"/>
        </w:rPr>
        <w:t xml:space="preserve">Dabei fällt uns auf, daß wir ja überhaupt noch nicht wissen, warum diese bösen, verworfenen Wünsche sich gerade zur Nachtzeit regen, um uns im Schlafe zu stören. Die Antwort kann kaum anders als in einer Annahme bestehen, die auf die Natur des Schlafzustandes zurückgreift. Bei Tage lastet der schwere Druck einer Zensur auf diesen Wünschen, der es ihnen in der Regel unmöglich macht, sich durch irgendeine Wirkung zu äußern. Zur Nachtzeit wird diese Zensur wahrscheinlich wie alle anderen Interessen des seelischen Lebens zu Gunsten des einzigen Schlafwunsches eingezogen oder wenigstens stark herabgesetzt. Diese Herabsetzung der Zensur zur Nachtzeit ist es dann, der die verbotenen Wünsche es verdanken, daß sie sich wiederum regen dürfen. Es gibt schlaflose Nervöse, die uns gestehen, daß ihre Schlaflosigkeit anfänglich eine gewollte war. Sie getrauten sich nicht einzuschlafen, weil sie sich vor ihren Träumen, also vor den Folgen dieser Verminderung der Zensur fürchteten. Daß diese Einziehung der Zensur darum doch keine grobe Unvorsichtigkeit bedeutet, sehen Sie wohl mit Leichtigkeit ein. Der Schlafzustand lähmt unsere Motilität; unsere bösen Absichten können, wenn sie sich auch zu rühren beginnen, doch nichts anderes machen als eben einen Traum, der praktisch unschädlich ist, und an diesen beruhigenden Sachverhalt mahnt die höchst vernünftige, zwar der Nacht, aber doch nicht dem </w:t>
      </w:r>
      <w:r w:rsidRPr="002F7766">
        <w:rPr>
          <w:rFonts w:ascii="Garamond" w:hAnsi="Garamond" w:cs="Arial"/>
          <w:lang w:val="en-GB"/>
        </w:rPr>
        <w:lastRenderedPageBreak/>
        <w:t>Traumleben angehörige Bemerkung des Schläfers: Es ist ja nur ein Traum. Also lassen wir ihn gewähren und schlafen wir weiter.</w:t>
      </w:r>
    </w:p>
    <w:p w:rsidR="00062BE4" w:rsidRPr="002F7766" w:rsidRDefault="00062BE4" w:rsidP="00062BE4">
      <w:pPr>
        <w:rPr>
          <w:rFonts w:ascii="Garamond" w:hAnsi="Garamond" w:cs="Arial"/>
          <w:lang w:val="en-GB"/>
        </w:rPr>
      </w:pPr>
      <w:r w:rsidRPr="002F7766">
        <w:rPr>
          <w:rFonts w:ascii="Garamond" w:hAnsi="Garamond" w:cs="Arial"/>
          <w:lang w:val="en-GB"/>
        </w:rPr>
        <w:t>Wenn Sie drittens sich an die Auffassung erinnern, daß der gegen seine Wünsche sich sträubende Träumer gleichzusetzen ist einer Summation von zwei gesonderten, aber irgendwie innig verbundenen Personen, so werden Sie eine andere Möglichkeit begreiflich finden, wie durch Wunscherfüllung etwas zustande kommen kann, was höchst unlustig ist, nämlich eine Bestrafung. Hier kann uns wiederum das Märchen von den drei Wünschen zur Erläuterung dienen: die Bratwürstchen auf dem Teller sind die direkte Wunscherfüllung der ersten Person, der Frau; die Würstchen an ihrer Nase sind die Wunscherfüllung der zweiten Person, des Mannes, aber gleichzeitig auch die Strafe für den törichten Wunsch der Frau. Bei den Neurosen werden wir dann die Motivierung des dritten Wunsches, der im Märchen allein noch übrigbleibt, wiederfinden. Solcher Straftendenzen gibt es nun viele im Seelenleben des Menschen; sie sind sehr stark, und man darf sie für einen Anteil der peinlichen Träume verantwortlich machen. Vielleicht sagen Sie jetzt, auf diese Weise bleibt von der gerühmten Wunscherfüllung nicht viel übrig. Aber bei näherem Zusehen werden Sie zugeben, daß Sie unrecht haben. Entgegen der später anzuführenden Mannigfaltigkeit dessen, was der Traum sein könnte, – und nach manchen Autoren auch ist, – ist die Lösung Wunscherfüllung-Angsterfüllung-Straferfüllung doch eine recht eingeengte. Dazu kommt, daß die Angst der direkte Gegensatz des Wunsches ist, daß Gegensätze einander in der Assoziation besonders nahe stehen und im Unbewußten, wie wir gehört haben, zusammenfallen. Ferner, daß die Strafe auch eine Wunscherfüllung ist, die der anderen, zensurierenden Person.</w:t>
      </w:r>
    </w:p>
    <w:p w:rsidR="00062BE4" w:rsidRPr="002F7766" w:rsidRDefault="00062BE4" w:rsidP="00062BE4">
      <w:pPr>
        <w:rPr>
          <w:rFonts w:ascii="Garamond" w:hAnsi="Garamond" w:cs="Arial"/>
          <w:lang w:val="en-GB"/>
        </w:rPr>
      </w:pPr>
      <w:r w:rsidRPr="002F7766">
        <w:rPr>
          <w:rFonts w:ascii="Garamond" w:hAnsi="Garamond" w:cs="Arial"/>
          <w:lang w:val="en-GB"/>
        </w:rPr>
        <w:t xml:space="preserve">Im ganzen habe ich also Ihrem Einspruch gegen die Theorie der Wunscherfüllung keine Konzession gemacht. Wir sind aber verpflichtet, an jedem beliebigen entstellten Traum die Wunscherfüllung nachzuweisen, und wollen uns dieser Aufgabe gewiß nicht entziehen. Greifen wir auf jenen bereits gedeuteten Traum von den drei schlechten Theaterkarten für 1 fl. 50 zurück, an dem wir schon so manches gelernt haben. Ich hoffe, Sie erinnern sich noch an ihn. Eine Dame, der ihr Mann am Tage mitgeteilt, daß ihre nur um drei Monate jüngere Freundin Elise sich verlobt hat, träumt, daß sie mit ihrem Manne im Theater sitzt. Eine Seite des Parketts ist fast leer. Ihr Mann sagt ihr, die Elise und ihr Bräutigam hätten auch ins Theater gehen wollen, konnten aber nicht, da sie nur schlechte Karten bekamen, drei um einen Gulden fünfzig. Sie meint, es wäre auch kein Unglück gewesen. Wir hatten erraten, daß sich die Traumgedanken auf den Ärger, so früh geheiratet zu haben, und auf die Unzufriedenheit mit ihrem Mann beziehen. Wir dürfen neugierig sein, wie diese trüben Gedanken zu einer Wunscherfüllung umgearbeitet worden sind und wo sich deren Spur im manifesten Inhalt findet. Nun wissen wir schon, daß das Element »zu früh, voreilig« durch die Zensur aus dem Traum eliminiert wurde. Das leere Parkett ist eine Anspielung darauf. Das rätselhafte »3 um einen Gulden fünfzig« wird uns jetzt mit Hilfe der Symbolik, die wir seither gelernt haben, besser verständlich </w:t>
      </w:r>
      <w:hyperlink r:id="rId1464"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Eine andere naheliegende Deutung dieser 3 bei der kinderlosen Frau erwähne ich nicht, weil diese Analyse kein Material hierfür brachte.</w:t>
        </w:r>
      </w:hyperlink>
      <w:r w:rsidRPr="002F7766">
        <w:rPr>
          <w:rFonts w:ascii="Garamond" w:hAnsi="Garamond" w:cs="Arial"/>
          <w:lang w:val="en-GB"/>
        </w:rPr>
        <w:t xml:space="preserve">. Die 3 bedeutet wirklich einen Mann, und das manifeste Element ist leicht zu übersetzen: sich einen Mann für die Mitgift kaufen. (»Einen zehnmal besseren hätte ich mir für meine Mitgift kaufen können.«) Das Heiraten ist offenbar ersetzt durch das Ins-Theater-Gehen. Das »zu früh Theaterkarten besorgen« steht ja direkt an Stelle des zu früh Heiratens. Diese Ersetzung ist aber das Werk der Wunscherfüllung. Unsere Träumerin war nicht immer so unzufrieden mit ihrer frühen Heirat wie am Tage, da sie die Nachricht von der Verlobung ihrer Freundin erhielt. Sie war seinerzeit stolz darauf und fand sich vor der Freundin bevorzugt. Naive Mädchen sollen häufig nach ihrer Verlobung ihre Freude darüber verraten haben, daß sie nun bald zu allen bisher verbotenen Stücken ins Theater gehen, alles mitansehen dürfen. Das Stück Schaulust oder Neugierde, das hier zum Vorschein kommt, war gewiß anfänglich sexuelle Schaulust, dem Geschlechtsleben, besonders der Eltern, zugewendet, und wurde dann zu einem starken Motiv, das die Mädchen zum frühen Heiraten drängte. Auf solche Art wird der Theaterbesuch zu einem naheliegenden Andeutungsersatz für das Verheiratetsein. In dem gegenwärtigen Ärger über ihre frühe Heirat greift sie </w:t>
      </w:r>
      <w:r w:rsidRPr="002F7766">
        <w:rPr>
          <w:rFonts w:ascii="Garamond" w:hAnsi="Garamond" w:cs="Arial"/>
          <w:lang w:val="en-GB"/>
        </w:rPr>
        <w:lastRenderedPageBreak/>
        <w:t>also auf jene Zeit zurück, in welcher ihr die frühe Heirat Wunscherfüllung war, weil sie ihre Schaulust befriedigte, und ersetzt, von dieser alten Wunschregung geleitet, das Heiraten durch das Ins-Theater-Gehen.</w:t>
      </w:r>
    </w:p>
    <w:p w:rsidR="00062BE4" w:rsidRPr="002F7766" w:rsidRDefault="00062BE4" w:rsidP="00062BE4">
      <w:pPr>
        <w:rPr>
          <w:rFonts w:ascii="Garamond" w:hAnsi="Garamond" w:cs="Arial"/>
          <w:lang w:val="en-GB"/>
        </w:rPr>
      </w:pPr>
      <w:r w:rsidRPr="002F7766">
        <w:rPr>
          <w:rFonts w:ascii="Garamond" w:hAnsi="Garamond" w:cs="Arial"/>
          <w:lang w:val="en-GB"/>
        </w:rPr>
        <w:t>Wir können sagen, daß wir uns für den Nachweis einer versteckten Wunscherfüllung nicht gerade das bequemste Beispiel herausgesucht haben. In analoger Weise müßten wir bei anderen entstellten Träumen verfahren. Ich kann das vor Ihnen nicht tun und will bloß die Überzeugung aussprechen, daß es überall gelingen wird. Aber ich will bei diesem Punkte der Theorie noch länger verweilen. Die Erfahrung hat mich belehrt, daß er einer der gefährdetsten der ganzen Traumlehre ist und daß viele Widersprüche und Mißverständnisse an ihn anknüpfen. Außerdem werden Sie vielleicht noch unter dem Eindruck stehen, daß ich bereits ein Stück meiner Behauptung zurückgenommen, indem ich äußerte, der Traum sei ein erfüllter Wunsch oder das Gegenteil davon, eine verwirklichte Angst oder Bestrafung, und werden meinen, es sei die Gelegenheit, mir weitere Einschränkungen abzunötigen. Ich habe auch den Vorwurf gehört, daß ich Dinge, die mir selbst evident scheinen, zu knapp und darum nicht überzeugend genug darstelle.</w:t>
      </w:r>
    </w:p>
    <w:p w:rsidR="00062BE4" w:rsidRPr="002F7766" w:rsidRDefault="00062BE4" w:rsidP="00062BE4">
      <w:pPr>
        <w:rPr>
          <w:rFonts w:ascii="Garamond" w:hAnsi="Garamond" w:cs="Arial"/>
          <w:lang w:val="en-GB"/>
        </w:rPr>
      </w:pPr>
      <w:r w:rsidRPr="002F7766">
        <w:rPr>
          <w:rFonts w:ascii="Garamond" w:hAnsi="Garamond" w:cs="Arial"/>
          <w:lang w:val="en-GB"/>
        </w:rPr>
        <w:t>Wenn jemand in der Traumdeutung so weit mit uns gegangen ist und alles angenommen hat, was sie bisher gebracht, so macht er nicht selten bei der Wunscherfüllung halt und fragt: Zugegeben, daß der Traum jedesmal einen Sinn hat und daß dieser Sinn durch die psychoanalytische Technik aufgedeckt werden kann, warum muß dieser Sinn aller Evidenz zum Trotze immer wieder in die Formel der Wunscherfüllung gepreßt werden? Warum soll der Sinn dieses nächtlichen Denkens nicht so mannigfaltig sein können wie der des Denkens bei Tage, also der Traum das eine Mal einem erfüllten Wunsch entsprechen, das andere Mal, wie Sie selbst sagen, dem Gegenteil davon, einer verwirklichten Befürchtung, dann aber auch einen Vorsatz ausdrücken können, eine Warnung, eine Überlegung mit ihrem Für und Wider, oder einen Vorwurf, eine Gewissensmahnung, einen Versuch, sich für eine bevorstehende Leistung vorzubereiten usw? Warum aber gerade immer nur einen Wunsch oder höchstens noch sein Gegenteil?</w:t>
      </w:r>
    </w:p>
    <w:p w:rsidR="00062BE4" w:rsidRPr="002F7766" w:rsidRDefault="00062BE4" w:rsidP="00062BE4">
      <w:pPr>
        <w:rPr>
          <w:rFonts w:ascii="Garamond" w:hAnsi="Garamond" w:cs="Arial"/>
          <w:lang w:val="en-GB"/>
        </w:rPr>
      </w:pPr>
      <w:r w:rsidRPr="002F7766">
        <w:rPr>
          <w:rFonts w:ascii="Garamond" w:hAnsi="Garamond" w:cs="Arial"/>
          <w:lang w:val="en-GB"/>
        </w:rPr>
        <w:t>Man könnte meinen, eine Differenz in diesem Punkte sei nicht wichtig, wenn man sonst einig ist. Genug, daß wir den Sinn des Traumes und die Wege, ihn zu erkennen, aufgefunden; es tritt dagegen zurück, wenn wir diesen Sinn zu enge bestimmt haben sollten; aber es ist nicht so. Ein Mißverständnis in diesem Punkte trifft das Wesen unserer Erkenntnis vom Traum und gefährdet dessen Wert für das Verständnis der Neurose. Auch ist jene Art von Entgegenkommen, die im kaufmännischen Leben als »Kulanz« geschätzt wird, im wissenschaftlichen Betrieb nicht an ihrem Platze und eher schädlich.</w:t>
      </w:r>
    </w:p>
    <w:p w:rsidR="00062BE4" w:rsidRPr="002F7766" w:rsidRDefault="00062BE4" w:rsidP="00062BE4">
      <w:pPr>
        <w:rPr>
          <w:rFonts w:ascii="Garamond" w:hAnsi="Garamond" w:cs="Arial"/>
          <w:lang w:val="en-GB"/>
        </w:rPr>
      </w:pPr>
      <w:r w:rsidRPr="002F7766">
        <w:rPr>
          <w:rFonts w:ascii="Garamond" w:hAnsi="Garamond" w:cs="Arial"/>
          <w:lang w:val="en-GB"/>
        </w:rPr>
        <w:t xml:space="preserve">Meine erste Antwort auf die Frage, warum der Traum nicht im angegebenen Sinn vieldeutig sein soll, lautet wie gewöhnlich in solchen Fällen: Ich weiß nicht, warum es nicht so sein soll. Ich hätte nichts dagegen. Meinetwegen sei es so. Nur eine Kleinigkeit widersetzt sich dieser breiteren und bequemeren Auffassung des Traumes, daß es nämlich in Wirklichkeit nicht so ist. Meine zweite Antwort wird betonen, daß die Annahme, der Traum entspreche mannigfaltigen Denkformen und intellektuellen Operationen, mir selbst nicht fremd ist. Ich habe einmal in einer Krankengeschichte einen Traum berichtet, der drei Nächte hintereinander auftrat und dann nicht mehr, und habe dies Verhalten damit erklärt, daß der Traum einem </w:t>
      </w:r>
      <w:r w:rsidRPr="002F7766">
        <w:rPr>
          <w:rFonts w:ascii="Garamond" w:hAnsi="Garamond" w:cs="Arial"/>
          <w:i/>
          <w:iCs/>
          <w:lang w:val="en-GB"/>
        </w:rPr>
        <w:t>Vorsatz</w:t>
      </w:r>
      <w:r w:rsidRPr="002F7766">
        <w:rPr>
          <w:rFonts w:ascii="Garamond" w:hAnsi="Garamond" w:cs="Arial"/>
          <w:lang w:val="en-GB"/>
        </w:rPr>
        <w:t xml:space="preserve"> entsprach, der nicht wiederzukehren brauchte, nachdem er ausgeführt worden war. Später habe ich einen Traum veröffentlicht, der einem Geständnis entsprach. Wie kann ich also doch widersprechen und behaupten, daß der Traum immer nur ein erfüllter Wunsch sei?</w:t>
      </w:r>
    </w:p>
    <w:p w:rsidR="00062BE4" w:rsidRPr="002F7766" w:rsidRDefault="00062BE4" w:rsidP="00062BE4">
      <w:pPr>
        <w:rPr>
          <w:rFonts w:ascii="Garamond" w:hAnsi="Garamond" w:cs="Arial"/>
          <w:lang w:val="en-GB"/>
        </w:rPr>
      </w:pPr>
      <w:r w:rsidRPr="002F7766">
        <w:rPr>
          <w:rFonts w:ascii="Garamond" w:hAnsi="Garamond" w:cs="Arial"/>
          <w:lang w:val="en-GB"/>
        </w:rPr>
        <w:t xml:space="preserve">Ich tue das, weil ich ein einfältiges Mißverständnis nicht zulassen will, welches uns die Frucht unserer Bemühung um den Traum kosten kann, ein Mißverständnis, das den Traum mit den latenten Traumgedanken verwechselt und von ihm etwas aussagt, was einzig und allein zu den letzteren gehört. Es ist nämlich ganz richtig, daß der Traum all das vertreten und durch das ersetzt werden kann, was wir </w:t>
      </w:r>
      <w:r w:rsidRPr="002F7766">
        <w:rPr>
          <w:rFonts w:ascii="Garamond" w:hAnsi="Garamond" w:cs="Arial"/>
          <w:lang w:val="en-GB"/>
        </w:rPr>
        <w:lastRenderedPageBreak/>
        <w:t>vorhin aufgezählt haben: einen Vorsatz, eine Warnung, Überlegung, Vorbereitung, einen Lösungsversuch einer Aufgabe usw. Aber wenn sie richtig zusehen, erkennen Sie, daß dies alles nur von den latenten Traumgedanken gilt, die in den Traum umgewandelt worden sind. Sie erfahren aus den Deutungen der Träume, daß das unbewußte Denken der Menschen sich mit solchen Vorsätzen, Vorbereitungen, Überlegungen usw. beschäftigt, aus denen dann die Traumarbeit die Träume macht. Wenn Sie sich für die Traumarbeit derzeit nicht interessieren, für die unbewußte Denkarbeit des Menschen aber sehr interessieren, dann eliminieren Sie die Traumarbeit und sagen von dem Traum praktisch ganz richtig aus, er entspreche einer Warnung, einem Vorsatz u. dgl. In der psychoanalytischen Tätigkeit trifft dieser Fall oft zu: Man strebt meist nur danach, die Traumform wieder zu zerstören und die latenten Gedanken, aus denen der Traum geworden ist, an seiner statt in den Zusammenhang einzufügen.</w:t>
      </w:r>
    </w:p>
    <w:p w:rsidR="00062BE4" w:rsidRPr="002F7766" w:rsidRDefault="00062BE4" w:rsidP="00062BE4">
      <w:pPr>
        <w:rPr>
          <w:rFonts w:ascii="Garamond" w:hAnsi="Garamond" w:cs="Arial"/>
          <w:lang w:val="en-GB"/>
        </w:rPr>
      </w:pPr>
      <w:r w:rsidRPr="002F7766">
        <w:rPr>
          <w:rFonts w:ascii="Garamond" w:hAnsi="Garamond" w:cs="Arial"/>
          <w:lang w:val="en-GB"/>
        </w:rPr>
        <w:t>So ganz nebenbei erfahren wir also aus der Würdigung der latenten Traumgedanken, daß alle die genannten, hochkomplizierten seelischen Akte unbewußt vor sich gehen können, ein ebenso großartiges wie verwirrendes Resultat!</w:t>
      </w:r>
    </w:p>
    <w:p w:rsidR="00062BE4" w:rsidRPr="002F7766" w:rsidRDefault="00062BE4" w:rsidP="00062BE4">
      <w:pPr>
        <w:rPr>
          <w:rFonts w:ascii="Garamond" w:hAnsi="Garamond" w:cs="Arial"/>
          <w:lang w:val="en-GB"/>
        </w:rPr>
      </w:pPr>
      <w:r w:rsidRPr="002F7766">
        <w:rPr>
          <w:rFonts w:ascii="Garamond" w:hAnsi="Garamond" w:cs="Arial"/>
          <w:lang w:val="en-GB"/>
        </w:rPr>
        <w:t>Aber um zurückzukehren, Sie haben nur recht, wenn Sie sich klarmachen, daß Sie sich einer abgekürzten Redeweise bedient haben, und wenn Sie nicht glauben, daß Sie jene angeführte Mannigfaltigkeit auf das Wesen des Traumes beziehen müssen. Wenn Sie vom »Traum« sprechen, so müssen Sie entweder den manifesten Traum meinen, d. i. das Produkt der Traumarbeit, oder höchstens noch die Traumarbeit selbst, d. i. jenen psychischen Vorgang, der aus den latenten Traumgedanken den manifesten Traum formt. Jede andere Verwendung des Wortes ist Begriffsverwirrung, die nur Unheil stiften kann. Zielen Sie mit ihren Behauptungen auf die latenten Gedanken hinter dem Traum, so sagen Sie es direkt und verhüllen Sie nicht das Problem des Traumes durch die lockere Ausdrucksweise, deren Sie sich bedienen. Die latenten Traumgedanken sind der Stoff, den die Traumarbeit zum manifesten Traum umbildet. Warum wollen Sie durchaus den Stoff mit der Arbeit verwechseln, die ihn formt? Haben Sie dann etwas vor jenen voraus, die nur das Produkt der Arbeit kannten und sich nicht erklären konnten, woher es stammt und wie es gemacht wird?</w:t>
      </w:r>
    </w:p>
    <w:p w:rsidR="00062BE4" w:rsidRPr="002F7766" w:rsidRDefault="00062BE4" w:rsidP="00062BE4">
      <w:pPr>
        <w:rPr>
          <w:rFonts w:ascii="Garamond" w:hAnsi="Garamond" w:cs="Arial"/>
          <w:lang w:val="en-GB"/>
        </w:rPr>
      </w:pPr>
      <w:r w:rsidRPr="002F7766">
        <w:rPr>
          <w:rFonts w:ascii="Garamond" w:hAnsi="Garamond" w:cs="Arial"/>
          <w:lang w:val="en-GB"/>
        </w:rPr>
        <w:t>Das einzig Wesentliche am Traum ist die Traumarbeit, die auf den Gedankenstoff eingewirkt hat. Wir haben kein Recht, uns in der Theorie über sie hinwegzusetzen, wenn wir sie auch in gewissen praktischen Situationen vernachlässigen dürfen. Die analytische Beobachtung zeigt denn auch, daß die Traumarbeit sich nie darauf beschränkt, diese Gedanken in die Ihnen bekannte archaische oder regressive Ausdrucksweise zu übersetzen. Sondern sie nimmt regelmäßig etwas hinzu, was nicht zu den latenten Gedanken des Tages gehört, was aber der eigentliche Motor der Traumbildung ist. Diese unentbehrliche Zutat ist der gleichfalls unbewußte Wunsch, zu dessen Erfüllung der Trauminhalt umgebildet wird. Der Traum mag also alles mögliche sein, insoweit Sie nur die durch ihn vertretenen Gedanken berücksichtigen, Warnung, Vorsatz, Vorbereitung usw.; er ist immer auch die Erfüllung eines unbewußten Wunsches, und er ist nur dies, wenn Sie ihn als Ergebnis der Traumarbeit betrachten. Ein Traum ist also auch nie ein Vorsatz, eine Warnung schlechtweg, sondern stets ein Vorsatz u. dgl., mit Hilfe eines unbewußten Wunsches in die archaische Ausdrucksweise übersetzt und zur Erfüllung dieser Wünsche umgestaltet. Der eine Charakter, die Wunscherfüllung, ist der konstante; der andere mag variieren; er kann seinerseits auch ein Wunsch sein, so daß der Traum einen latenten Wunsch vom Tage mit Hilfe eines unbewußten Wunsches als erfüllt darstellt.</w:t>
      </w:r>
    </w:p>
    <w:p w:rsidR="00062BE4" w:rsidRPr="002F7766" w:rsidRDefault="00062BE4" w:rsidP="00062BE4">
      <w:pPr>
        <w:rPr>
          <w:rFonts w:ascii="Garamond" w:hAnsi="Garamond" w:cs="Arial"/>
          <w:lang w:val="en-GB"/>
        </w:rPr>
      </w:pPr>
      <w:r w:rsidRPr="002F7766">
        <w:rPr>
          <w:rFonts w:ascii="Garamond" w:hAnsi="Garamond" w:cs="Arial"/>
          <w:lang w:val="en-GB"/>
        </w:rPr>
        <w:t xml:space="preserve">Ich verstehe das alles sehr gut, aber ich weiß nicht, ob es mir gelungen ist, es auch für Sie verständlich zu machen. Auch habe ich Schwierigkeiten, es Ihnen zu beweisen. Das geht einerseits nicht ohne die sorgfältige Analyse vieler Träume, und anderseits ist dieser heikelste und bedeutsamste Punkt unserer Auffassung des Traumes nicht ohne Beziehung auf Späteres überzeugend darzustellen. Können Sie es überhaupt glauben, daß man bei dem innigen Zusammenhang aller Dinge sehr tief in die Natur des einen eindringen kann, ohne sich um andere Dinge von ähnlicher Natur bekümmert zu haben? Da wir von den </w:t>
      </w:r>
      <w:r w:rsidRPr="002F7766">
        <w:rPr>
          <w:rFonts w:ascii="Garamond" w:hAnsi="Garamond" w:cs="Arial"/>
          <w:lang w:val="en-GB"/>
        </w:rPr>
        <w:lastRenderedPageBreak/>
        <w:t>nächsten Verwandten des Traumes, von den neurotischen Symptomen, noch nichts wissen, müssen wir uns auch hier bei dem Erreichten bescheiden. Ich will nur noch ein Beispiel vor Ihnen erläutern und eine neue Betrachtung anstellen.</w:t>
      </w:r>
    </w:p>
    <w:p w:rsidR="00062BE4" w:rsidRPr="002F7766" w:rsidRDefault="00062BE4" w:rsidP="00062BE4">
      <w:pPr>
        <w:rPr>
          <w:rFonts w:ascii="Garamond" w:hAnsi="Garamond" w:cs="Arial"/>
          <w:lang w:val="en-GB"/>
        </w:rPr>
      </w:pPr>
      <w:r w:rsidRPr="002F7766">
        <w:rPr>
          <w:rFonts w:ascii="Garamond" w:hAnsi="Garamond" w:cs="Arial"/>
          <w:lang w:val="en-GB"/>
        </w:rPr>
        <w:t>Nehmen wir wieder jenen Traum vor, zu dem wir schon mehrmals zurückgekehrt sind, den Traum von den 3 Theaterkarten für 1 fl. 50. Ich kann Ihnen versichern, daß ich ihn zuerst absichtslos als Beispiel aufgegriffen habe. Die latenten Traumgedanken kennen Sie. Ärger, daß sie sich mit dem Heiraten so beeilt hatte, bei der Nachricht, daß ihre Freundin sich erst jetzt verlobt hat; Geringschätzung ihres Mannes, die Idee, daß sie einen besseren bekommen, wenn sie nur gewartet hätte. Den Wunsch, der aus diesen Gedanken einen Traum gemacht hat, kennen wir auch bereits, es ist die Schaulust, ins Theater gehen zu können, sehr wahrscheinlich eine Abzweigung der alten Neugierde, endlich einmal zu erfahren, was denn vorgeht, wenn man verheiratet ist. Diese Neugierde richtet sich bei Kindern bekanntlich regelmäßig auf das Sexualleben der Eltern, ist also eine infantile, und soweit sie später noch vorhanden ist, eine mit ihren Wurzeln ins Infantile reichende Triebregung. Aber zur Erweckung dieser Schaulust gab die Nachricht vom Tage keinen Anlaß, bloß zum Ärger und zur Reue. Zu den latenten Traumgedanken gehörte diese Wunschregung zunächst nicht, und wir konnten das Ergebnis der Traumdeutung in die Analyse einreihen, ohne auf sie Rücksicht zu nehmen. Der Ärger war auch an sich nicht traumfähig; ein Traum konnte aus den Gedanken: Es war ein Unsinn, so früh zu heiraten, nicht eher werden, als bis von ihnen aus der alte Wunsch, endlich einmal zu sehen, was beim Heiraten vorgeht, erweckt worden war. Dann formte dieser Wunsch den Trauminhalt, indem er das Heiraten durch Ins-Theater-Gehen ersetzte, und gab ihm die Form einer früheren Wunscherfüllung: So, ich darf ins Theater gehen und alles Verbotene ansehen und du darfst es nicht; ich bin verheiratet und du mußt warten. Auf solche Weise wurde die gegenwärtige Situation in ihr Gegenteil verwandelt, ein alter Triumph an die Stelle der rezenten Niederlage gesetzt. Nebenbei eine Schaulustbefriedigung mit einer egoistischen Konkurrenzbefriedigung verquickt. Diese Befriedigung bestimmt nun den manifesten Trauminhalt, in dem es wirklich heißt, daß sie im Theater sitzt, während die Freundin nicht Einlaß finden konnte. Als unpassende und unverständliche Modifikation sind dieser Befriedigungssituation jene Stücke des Trauminhalts aufgesetzt, hinter welchen sich die latenten Traumgedanken noch verbergen. Die Traumdeutung hat von allem abzusehen, was zur Darstellung der Wunscherfüllung dient, und aus jenen Andeutungen die peinlichen latenten Traumgedanken wiederherzustellen.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eine Betrachtung, die ich vorbringen will, soll Ihre Aufmerksamkeit auf die jetzt in den Vordergrund gerückten latenten Traumgedanken einstellen. Ich bitte Sie, nicht zu vergessen, daß sie erstens dem Träumer unbewußt, zweitens vollkommen verständig und zusammenhängend sind, so daß sie sich als begreifliche Reaktionen auf den Traumanlaß verstehen lassen, drittens, daß sie den Wert einer beliebigen seelischen Regung oder intellektuellen Operation haben können. Ich werde diese Gedanken jetzt strenger als vorhin » </w:t>
      </w:r>
      <w:r w:rsidRPr="002F7766">
        <w:rPr>
          <w:rFonts w:ascii="Garamond" w:hAnsi="Garamond" w:cs="Arial"/>
          <w:i/>
          <w:iCs/>
          <w:lang w:val="en-GB"/>
        </w:rPr>
        <w:t>Tagesreste</w:t>
      </w:r>
      <w:r w:rsidRPr="002F7766">
        <w:rPr>
          <w:rFonts w:ascii="Garamond" w:hAnsi="Garamond" w:cs="Arial"/>
          <w:lang w:val="en-GB"/>
        </w:rPr>
        <w:t>« heißen, der Träumer mag sich zu ihnen bekennen oder nicht. Ich sondere jetzt Tagesreste und latente Traumgedanken, indem ich im Einklang mit unserem früheren Gebrauch als latente Traumgedanken alles bezeichne, was wir bei der Deutung des Traumes erfahren, während die Tagesreste nur ein Teil der latenten Traumgedanken sind. Dann geht unsere Auffassung eben dahin, zu den Tagesresten ist etwas hinzugekommen, etwas, was auch dem Unbewußten angehörte, eine starke, aber verdrängte Wunschregung, und diese allein ist es, die die Traumbildung ermöglicht hat. Die Einwirkung dieser Wunschregung auf die Tagesreste schafft den weiteren Anteil der latenten Traumgedanken, jenen, der nicht mehr rationell und aus dem Wachleben begreiflich erscheinen muß.</w:t>
      </w:r>
    </w:p>
    <w:p w:rsidR="00062BE4" w:rsidRPr="002F7766" w:rsidRDefault="00062BE4" w:rsidP="00062BE4">
      <w:pPr>
        <w:rPr>
          <w:rFonts w:ascii="Garamond" w:hAnsi="Garamond" w:cs="Arial"/>
          <w:lang w:val="en-GB"/>
        </w:rPr>
      </w:pPr>
      <w:r w:rsidRPr="002F7766">
        <w:rPr>
          <w:rFonts w:ascii="Garamond" w:hAnsi="Garamond" w:cs="Arial"/>
          <w:lang w:val="en-GB"/>
        </w:rPr>
        <w:t xml:space="preserve">Für das Verhältnis der Tagesreste zu dem unbewußten Wunsch habe ich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eines Vergleiches bedient, den ich hier nur wiederholen kann. Bei jeder Unternehmung bedarf es eines Kapitalisten, der den Aufwand bestreitet, und eines Unternehmers, der die Idee hat und sie auszuführen versteht. Die Rolle des Kapitalisten spielt für die Traumbildung immer nur der unbewußte Wunsch; er gibt die psychische Energie für die Traumbildung ab; der Unternehmer ist der Tagesrest, der über die Verwendung dieses </w:t>
      </w:r>
      <w:r w:rsidRPr="002F7766">
        <w:rPr>
          <w:rFonts w:ascii="Garamond" w:hAnsi="Garamond" w:cs="Arial"/>
          <w:lang w:val="en-GB"/>
        </w:rPr>
        <w:lastRenderedPageBreak/>
        <w:t>Aufwandes entscheidet. Nun kann der Kapitalist selbst die Idee und die Sachkenntnis haben oder der Unternehmer selbst Kapital besitzen. Das vereinfacht die praktische Situation, erschwert aber ihr theoretisches Verständnis. In der Volkswirtschaft wird man immer wieder die eine Person in ihre beiden Aspekte als Kapitalist und als Unternehmer zerlegen und somit die Grundsituation, von der unser Vergleich ausgegangen ist, wiederherstellen. Bei der Traumbildung kommen dieselben Variationen vor, deren weitere Verfolgung ich Ihnen überlasse.</w:t>
      </w:r>
    </w:p>
    <w:p w:rsidR="00062BE4" w:rsidRPr="002F7766" w:rsidRDefault="00062BE4" w:rsidP="00062BE4">
      <w:pPr>
        <w:rPr>
          <w:rFonts w:ascii="Garamond" w:hAnsi="Garamond" w:cs="Arial"/>
          <w:lang w:val="en-GB"/>
        </w:rPr>
      </w:pPr>
      <w:r w:rsidRPr="002F7766">
        <w:rPr>
          <w:rFonts w:ascii="Garamond" w:hAnsi="Garamond" w:cs="Arial"/>
          <w:lang w:val="en-GB"/>
        </w:rPr>
        <w:t xml:space="preserve">Weiter können wir hier nicht gehen, denn Sie sind wahrscheinlich schon längst durch ein Bedenken gestört worden, das angehört zu werden verdient. </w:t>
      </w:r>
      <w:smartTag w:uri="urn:schemas-microsoft-com:office:smarttags" w:element="place">
        <w:r w:rsidRPr="002F7766">
          <w:rPr>
            <w:rFonts w:ascii="Garamond" w:hAnsi="Garamond" w:cs="Arial"/>
            <w:lang w:val="en-GB"/>
          </w:rPr>
          <w:t>Sind</w:t>
        </w:r>
      </w:smartTag>
      <w:r w:rsidRPr="002F7766">
        <w:rPr>
          <w:rFonts w:ascii="Garamond" w:hAnsi="Garamond" w:cs="Arial"/>
          <w:lang w:val="en-GB"/>
        </w:rPr>
        <w:t xml:space="preserve"> die Tagesreste, fragen Sie, wirklich in demselben Sinne unbewußt wie der unbewußte Wunsch, der hinzukommen muß, um sie traumfähig zu machen? </w:t>
      </w:r>
      <w:r w:rsidRPr="002F7766">
        <w:rPr>
          <w:rFonts w:ascii="Garamond" w:hAnsi="Garamond" w:cs="Arial"/>
        </w:rPr>
        <w:t xml:space="preserve">Sie ahnen richtig. Hier liegt der springende Punkt der ganzen Sache. </w:t>
      </w:r>
      <w:r w:rsidRPr="002F7766">
        <w:rPr>
          <w:rFonts w:ascii="Garamond" w:hAnsi="Garamond" w:cs="Arial"/>
          <w:lang w:val="en-GB"/>
        </w:rPr>
        <w:t>Sie sind nicht unbewußt in demselben Sinne. Der Traumwunsch gehört einem anderen Unbewußten an, jenem, das wir als infantiler Herkunft, mit besonderen Mechanismen ausgestattet, erkannt haben. Es wäre durchaus angebracht, diese beiden Weisen des Unbewußten durch verschiedene Bezeichnungen voneinander zu sondern. Aber wir wollen doch lieber damit warten, bis wir uns mit dem Erscheinungsgebiet der Neurosen vertraut gemacht haben. Hält man uns doch das eine Unbewußte als phantastisch vor; was wird man erst sagen, wenn wir bekennen, daß wir erst bei zweierlei Unbewußtem unser Auslangen finden?</w:t>
      </w:r>
    </w:p>
    <w:p w:rsidR="00062BE4" w:rsidRPr="002F7766" w:rsidRDefault="00062BE4" w:rsidP="00062BE4">
      <w:pPr>
        <w:rPr>
          <w:rFonts w:ascii="Garamond" w:hAnsi="Garamond" w:cs="Arial"/>
          <w:lang w:val="en-GB"/>
        </w:rPr>
      </w:pPr>
      <w:r w:rsidRPr="002F7766">
        <w:rPr>
          <w:rFonts w:ascii="Garamond" w:hAnsi="Garamond" w:cs="Arial"/>
          <w:lang w:val="en-GB"/>
        </w:rPr>
        <w:t>Brechen wir hier ab. Sie haben wiederum nur Unvollständiges gehört; aber ist es nicht hoffnungsvoll zu denken, daß dieses Wissen eine Fortsetzung hat, die entweder wir selbst oder andere nach uns zutage fördern werden? Und haben wir selbst nicht Neues und Überraschendes genug erfahren?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15. Vo</w:t>
        </w:r>
        <w:bookmarkStart w:id="282" w:name="Vorlesungen_15"/>
        <w:bookmarkEnd w:id="282"/>
        <w:r w:rsidRPr="009C5A67">
          <w:rPr>
            <w:rStyle w:val="Lienhypertexte"/>
            <w:rFonts w:ascii="Garamond" w:hAnsi="Garamond" w:cs="Arial"/>
            <w:b/>
            <w:bCs/>
            <w:lang w:val="en-GB"/>
          </w:rPr>
          <w:t>rlesung. Unsicherheiten und Kritiken</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Wir wollen das Gebiet des Traumes doch nicht verlassen, ohne die gewöhnlichsten Zweifel und Unsicherheiten zu behandeln, die sich an unsere bisherigen Neuheiten und Auffassungen geknüpft haben. Einiges Material hierzu werden aufmerksame Hörer unter Ihnen bei sich selbst zusammengetragen haben.</w:t>
      </w:r>
    </w:p>
    <w:p w:rsidR="00062BE4" w:rsidRPr="002F7766" w:rsidRDefault="00062BE4" w:rsidP="00062BE4">
      <w:pPr>
        <w:rPr>
          <w:rFonts w:ascii="Garamond" w:hAnsi="Garamond" w:cs="Arial"/>
          <w:lang w:val="en-GB"/>
        </w:rPr>
      </w:pPr>
      <w:r w:rsidRPr="002F7766">
        <w:rPr>
          <w:rFonts w:ascii="Garamond" w:hAnsi="Garamond" w:cs="Arial"/>
          <w:lang w:val="en-GB"/>
        </w:rPr>
        <w:t>1. Es mag Ihr Eindruck geworden sein, daß die Resultate unserer Deutungsarbeit am Traume trotz korrekter Einhaltung der Technik so viel Unbestimmtheiten zulassen, daß dadurch eine sichere Übersetzung des manifesten Traumes in die latenten Traumgedanken doch vereitelt wird. Sie werden dafür anführen, daß man erstens nie weiß, ob ein bestimmtes Element des Traumes im eigentlichen Sinne oder symbolisch zu verstehen ist, denn die als Symbole verwendeten Dinge hören darum doch nicht auf, sie selbst zu sein. Hat man aber keinen objektiven Anhalt, um dies zu entscheiden, so bleibt die Deutung in diesem Punkte der Willkür des Traumdeuters überlassen. Ferner ist es infolge des Zusammenfallen von Gegensätzen bei der Traumarbeit jederzeit unbestimmt gelassen, ob ein gewisses Traumelement im positiven oder im negativen Sinne, als es selbst oder als sein Gegenteil verstanden werden soll. Eine neue Gelegenheit zur Betätigung der Willkür des Deutenden. Drittens steht es dem Traumdeuter infolge der im Traume so beliebten Umkehrungen jeder Art frei, an ihm beliebigen Stellen des Traumes eine solche Umkehrung vorzunehmen. Endlich werden Sie sich darauf berufen, gehört zu haben, daß man selten sicher ist, die gefundene Deutung des Traumes sei die einzig mögliche. Man läuft Gefahr, eine durchaus zulässige Überdeutung desselben Traumes zu übersehen. Unter diesen Umständen, werden Sie schließen, bleibt der Willkür des Deuters ein Spielraum eingeräumt, dessen Weite mit der objektiven Sicherheit der Resultate unverträglich scheint. Oder Sie können auch annehmen, der Fehler liege nicht am Traume, sondern die Unzulänglichkeiten unserer Traumdeutung ließen sich auf Unrichtigkeiten unserer Auffassungen und Voraussetzungen zurückführen.</w:t>
      </w:r>
    </w:p>
    <w:p w:rsidR="00062BE4" w:rsidRPr="002F7766" w:rsidRDefault="00062BE4" w:rsidP="00062BE4">
      <w:pPr>
        <w:rPr>
          <w:rFonts w:ascii="Garamond" w:hAnsi="Garamond" w:cs="Arial"/>
          <w:lang w:val="en-GB"/>
        </w:rPr>
      </w:pPr>
      <w:r w:rsidRPr="002F7766">
        <w:rPr>
          <w:rFonts w:ascii="Garamond" w:hAnsi="Garamond" w:cs="Arial"/>
          <w:lang w:val="en-GB"/>
        </w:rPr>
        <w:t>All Ihr Material ist untadelig gut, aber ich glaube, es rechtfertigt nicht Ihre Schlüsse nach den beiden Richtungen, daß die Traumdeutung, wie wir sie betreiben, der Willkür preisgegeben ist und daß die Mängel der Ergebnisse die Berechtigung unseres Verfahrens in Frage stellen. Wenn Sie anstatt der Willkür des Deuters einsetzen wollen: der Geschicklichkeit, der Erfahrung, dem Verständnis desselben, so pflichte ich Ihnen bei. Ein solches persönliches Moment werden wir freilich nicht entbehren können, zumal nicht bei schwierigeren Aufgaben der Traumdeutung. Das ist aber bei anderen wissenschaftlichen Betrieben auch nicht anders. Es gibt kein Mittel, um hintanzuhalten, daß der eine eine gewisse Technik nicht schlechter handhabe oder nicht besser ausnütze als ein anderer. Was sonst, z.B. bei der Deutung der Symbole, als Willkür imponiert, das wird dadurch beseitigt, daß in der Regel der Zusammenhang der Traumgedanken untereinander, der des Traumes mit dem Leben des Träumers und die ganze psychische Situation, in welche der Traum fällt, von den gegebenen Deutungsmöglichkeiten die eine auswählt, die anderen als unbrauchbar zurückweist. Der Schluß aus den Unvollkommenheiten der Traumdeutung auf die Unrichtigkeit unserer Aufstellungen wird aber durch eine Bemerkung entkräftet, welche die Mehrdeutigkeit oder Unbestimmtheit des Traumes vielmehr als eine notwendig zu erwartende Eigenschaft desselben erweist.</w:t>
      </w:r>
    </w:p>
    <w:p w:rsidR="00062BE4" w:rsidRPr="002F7766" w:rsidRDefault="00062BE4" w:rsidP="00062BE4">
      <w:pPr>
        <w:rPr>
          <w:rFonts w:ascii="Garamond" w:hAnsi="Garamond" w:cs="Arial"/>
          <w:lang w:val="en-GB"/>
        </w:rPr>
      </w:pPr>
      <w:r w:rsidRPr="002F7766">
        <w:rPr>
          <w:rFonts w:ascii="Garamond" w:hAnsi="Garamond" w:cs="Arial"/>
          <w:lang w:val="en-GB"/>
        </w:rPr>
        <w:t xml:space="preserve">Erinnern wir uns daran, daß wir gesagt haben, die Traumarbeit nehme eine Übersetzung der Traumgedanken in eine primitive, der Bilderschrift analoge Ausdrucksweise vor. Alle diese primitiven Ausdruckssysteme sind aber mit solchen Unbestimmtheiten und Zweideutigkeiten behaftet, ohne daß wir darum ein Recht hätten, deren Gebrauchsfähigkeit anzuzweifeln. Sie wissen, das Zusammenfallen der Gegensätze bei der Traumarbeit ist analog dem sogenannten »Gegensinn der Urworte« in den ältesten Sprachen. Der Sprachforscher K.Abel (1884), dem wir diesen Gesichtspunkt verdanken, ersucht uns, ja </w:t>
      </w:r>
      <w:r w:rsidRPr="002F7766">
        <w:rPr>
          <w:rFonts w:ascii="Garamond" w:hAnsi="Garamond" w:cs="Arial"/>
          <w:lang w:val="en-GB"/>
        </w:rPr>
        <w:lastRenderedPageBreak/>
        <w:t xml:space="preserve">nicht zu glauben, daß die Mitteilung, welche eine Person der anderen mit Hilfe so ambivalenter Worte machte, darum eine zweideutige gewesen sei. Ton und Geste müssen es vielmehr im Zusammenhang der Rede ganz unzweifelhaft gemacht haben, welchen der beiden Gegensätze der Sprecher zur Mitteilung im Sinne hatte. In der Schrift, wo die Geste entfällt, wurde sie durch ein hinzugesetztes, zur Aussprache nicht bestimmtes Bildzeichen ersetzt, z.B. durch das Bild eines lässig hockenden oder eines stramm dastehenden Männchens, je nachdem das zweideutige </w:t>
      </w:r>
      <w:r w:rsidRPr="002F7766">
        <w:rPr>
          <w:rFonts w:ascii="Garamond" w:hAnsi="Garamond" w:cs="Arial"/>
          <w:i/>
          <w:iCs/>
          <w:lang w:val="en-GB"/>
        </w:rPr>
        <w:t>ken</w:t>
      </w:r>
      <w:r w:rsidRPr="002F7766">
        <w:rPr>
          <w:rFonts w:ascii="Garamond" w:hAnsi="Garamond" w:cs="Arial"/>
          <w:lang w:val="en-GB"/>
        </w:rPr>
        <w:t xml:space="preserve"> der Hieroglyphenschrift »schwach« oder »stark« bedeuten sollte. So wurde trotz der Mehrdeutigkeit der Laute und der Zeichen das Mißverständnis vermieden.</w:t>
      </w:r>
    </w:p>
    <w:p w:rsidR="00062BE4" w:rsidRPr="002F7766" w:rsidRDefault="00062BE4" w:rsidP="00062BE4">
      <w:pPr>
        <w:rPr>
          <w:rFonts w:ascii="Garamond" w:hAnsi="Garamond" w:cs="Arial"/>
          <w:lang w:val="en-GB"/>
        </w:rPr>
      </w:pPr>
      <w:r w:rsidRPr="002F7766">
        <w:rPr>
          <w:rFonts w:ascii="Garamond" w:hAnsi="Garamond" w:cs="Arial"/>
          <w:lang w:val="en-GB"/>
        </w:rPr>
        <w:t>Die alten Ausdruckssysteme, z. B. die Schriften jener ältesten Sprachen, lassen uns eine Anzahl von Unbestimmtheiten erkennen, die wir in unserer heutigen Schrift nicht dulden würden. So werden in manchen semitischen Schriften nur die Konsonanten der Worte bezeichnet. Die weggelassenen Vokale hat der Leser nach seiner Kenntnis und nach dem Zusammenhange einzusetzen. Nicht ganz so, aber recht ähnlich verfährt die Hieroglyphenschrift, weshalb uns die Aussprache des Altägyptischen unbekannt geblieben ist. Die heilige Schrift der Ägypter kennt noch andre Unbestimmtheiten. So ist es z.B. der Willkür des Schreibers überlassen, ob er die Bilder von rechts nach links oder von links nach rechts aneinanderreihen will. Um lesen zu können, muß man sich an die Vorschrift halten, daß man auf die Gesichter der Figuren, Vögel u.dgl. hin zu lesen hat. Der Schreiber konnte aber auch die Bilderzeichen in Vertikalreihen anordnen, und bei Inschriften an kleineren Objekten ließ er sich durch Rücksichten der Gefälligkeit und der Raumausfüllung bestimmen, die Folge der Zeichen noch anders abzuändern. Das Störendste an der Hieroglyphenschrift ist wohl, daß sie eine Worttrennung nicht kennt. Die Bilder laufen in gleichen Abständen voneinander über die Seite, und man kann im allgemeinen nicht wissen, ob ein Zeichen noch zum vorstehenden gehört oder den Anfang eines neuen Wortes macht. In der persischen Keilschrift dient dagegen ein schräger Keil als »Wortteiler«.</w:t>
      </w:r>
    </w:p>
    <w:p w:rsidR="00062BE4" w:rsidRPr="002F7766" w:rsidRDefault="00062BE4" w:rsidP="00062BE4">
      <w:pPr>
        <w:rPr>
          <w:rFonts w:ascii="Garamond" w:hAnsi="Garamond" w:cs="Arial"/>
          <w:lang w:val="en-GB"/>
        </w:rPr>
      </w:pPr>
      <w:r w:rsidRPr="002F7766">
        <w:rPr>
          <w:rFonts w:ascii="Garamond" w:hAnsi="Garamond" w:cs="Arial"/>
          <w:lang w:val="en-GB"/>
        </w:rPr>
        <w:t>Eine überaus alte, aber heute noch von 400 Millionen gebrauchte Sprache und Schrift ist die chinesische. Nehmen Sie nicht an, daß ich etwas von ihr verstehe; ich habe mich nur über sie instruiert, weil ich Analogien zu den Unbestimmtheiten des Traumes zu finden hoffte. Meine Erwartung ist auch nicht getäuscht worden. Die chinesische Sprache ist voll von solchen Unbestimmtheiten, die uns Schrecken einjagen können. Sie besteht bekanntlich aus einer Anzahl von Silbenlauten, die für sich allein oder zu zweien kombiniert gesprochen werden. Einer der Hauptdialekte hat etwa 400 solcher Laute. Da nun der Wortschatz dieses Dialekts auf etwa 4000 Worte berechnet wird, ergibt sich, daß jeder Laut im Durchschnitt zehn verschiedene Bedeutungen hat, einige davon weniger, aber andere dafür um so mehr. Es gibt dann eine ganze Anzahl von Mitteln, um der Vieldeutigkeit zu entgehen, da man nicht aus dem Zusammenhang allein erraten kann, welche der zehn Bedeutungen des Silbenlautes der Sprecher beim Hörer zu erwecken beabsichtigt. Darunter ist die Verbindung zweier Laute zu einem zusammengesetzten Wort und die Verwendung von vier verschiedenen »Tönen«, mit denen diese Silben gesprochen werden. Für unsere Vergleichung ist der Umstand noch interessanter, daß es in dieser Sprache so gut wie keine Grammatik gibt. Man kann von keinem der einsilbigen Worte sagen, ob es Haupt-, Zeit-, Eigenschaftswort ist, und es fehlen alle Abänderungen der Worte, durch welche man Geschlecht, Zahl, Endung, Zeit oder Modus erkennen könnte. Die Sprache besteht also sozusagen nur aus dem Rohmaterial, ähnlich wie unsere Denksprache durch die Traumarbeit in ihr Rohmaterial unter Hinweglassung des Ausdrucks der Relationen aufgelöst wird. Im Chinesischen wird in allen Fällen von Unbestimmtheit die Entscheidung dem Verständnis des Hörers überlassen, der sich dabei vom Zusammenhange leiten läßt. Ich habe mir ein Beispiel eines chinesischen Sprichwortes notiert, das wörtlich übersetzt lautet:</w:t>
      </w:r>
    </w:p>
    <w:p w:rsidR="00062BE4" w:rsidRPr="002F7766" w:rsidRDefault="00062BE4" w:rsidP="00062BE4">
      <w:pPr>
        <w:rPr>
          <w:rFonts w:ascii="Garamond" w:hAnsi="Garamond" w:cs="Arial"/>
          <w:lang w:val="en-GB"/>
        </w:rPr>
      </w:pPr>
      <w:r w:rsidRPr="002F7766">
        <w:rPr>
          <w:rFonts w:ascii="Garamond" w:hAnsi="Garamond" w:cs="Arial"/>
          <w:lang w:val="en-GB"/>
        </w:rPr>
        <w:t>Wenig was sehen viel was wunderbar.</w:t>
      </w:r>
    </w:p>
    <w:p w:rsidR="00062BE4" w:rsidRPr="002F7766" w:rsidRDefault="00062BE4" w:rsidP="00062BE4">
      <w:pPr>
        <w:rPr>
          <w:rFonts w:ascii="Garamond" w:hAnsi="Garamond" w:cs="Arial"/>
          <w:lang w:val="en-GB"/>
        </w:rPr>
      </w:pPr>
      <w:r w:rsidRPr="002F7766">
        <w:rPr>
          <w:rFonts w:ascii="Garamond" w:hAnsi="Garamond" w:cs="Arial"/>
          <w:lang w:val="en-GB"/>
        </w:rPr>
        <w:t xml:space="preserve">Das ist nicht schwer zu verstehen. Es mag heißen: Je weniger einer gesehen hat, desto mehr findet er zu bewundern, oder: Vieles gibt's zu bewundern für den, der wenig gesehen hat. Eine Entscheidung zwischen </w:t>
      </w:r>
      <w:r w:rsidRPr="002F7766">
        <w:rPr>
          <w:rFonts w:ascii="Garamond" w:hAnsi="Garamond" w:cs="Arial"/>
          <w:lang w:val="en-GB"/>
        </w:rPr>
        <w:lastRenderedPageBreak/>
        <w:t>diesen nur grammatikalisch verschiedenen Übersetzungen kommt natürlich nicht in Betracht. Trotz dieser Unbestimmtheiten, wird uns versichert, ist die chinesische Sprache ein ganz ausgezeichnetes Mittel des Gedankenausdrucks. Die Unbestimmtheit muß also nicht notwendig zur Vieldeutigkeit führen.</w:t>
      </w:r>
    </w:p>
    <w:p w:rsidR="00062BE4" w:rsidRPr="002F7766" w:rsidRDefault="00062BE4" w:rsidP="00062BE4">
      <w:pPr>
        <w:rPr>
          <w:rFonts w:ascii="Garamond" w:hAnsi="Garamond" w:cs="Arial"/>
          <w:lang w:val="en-GB"/>
        </w:rPr>
      </w:pPr>
      <w:r w:rsidRPr="002F7766">
        <w:rPr>
          <w:rFonts w:ascii="Garamond" w:hAnsi="Garamond" w:cs="Arial"/>
          <w:lang w:val="en-GB"/>
        </w:rPr>
        <w:t>Nun müssen wir freilich zugestehen, daß die Sachlage für das Ausdruckssystem des Traumes weit ungünstiger liegt als für alle diese alten Sprachen und Schriften. Denn diese sind doch im Grunde zur Mitteilung bestimmt, d.h. darauf berechnet, auf welchen Wegen und mit welchen Hilfsmitteln immer verstanden zu werden. Gerade dieser Charakter geht aber dem Traume ab. Der Traum will niemandem etwas sagen, er ist kein Vehikel der Mitteilung, er ist im Gegenteile darauf angelegt, unverstanden zu bleiben. Darum dürften wir uns nicht verwundern und nicht irrewerden, wenn sich herausstellen sollte, daß eine Anzahl von Vieldeutigkeiten und Unbestimmtheiten des Traumes der Entscheidung entzogen bleibt. Als sicherer Gewinn unserer Vergleichung bleibt uns nur die Einsicht, daß solche Unbestimmtheiten, wie man sie als Einwand gegen die Triftigkeit unserer Traumdeutungen verwerten wollte, vielmehr regelmäßige Charaktere aller primitiven Ausdruckssysteme sind.</w:t>
      </w:r>
    </w:p>
    <w:p w:rsidR="00062BE4" w:rsidRPr="002F7766" w:rsidRDefault="00062BE4" w:rsidP="00062BE4">
      <w:pPr>
        <w:rPr>
          <w:rFonts w:ascii="Garamond" w:hAnsi="Garamond" w:cs="Arial"/>
          <w:lang w:val="en-GB"/>
        </w:rPr>
      </w:pPr>
      <w:r w:rsidRPr="002F7766">
        <w:rPr>
          <w:rFonts w:ascii="Garamond" w:hAnsi="Garamond" w:cs="Arial"/>
          <w:lang w:val="en-GB"/>
        </w:rPr>
        <w:t>Wie weit die Verständlichkeit des Traumes in Wirklichkeit reicht, läßt sich nur durch Übung und Erfahrung feststellen. Ich meine, sehr weit, und die Vergleichung der Resultate, welche sich korrekt geschulten Analytikern ergeben, bestätigt meine Ansicht. Das Laienpublikum, auch das wissenschaftliche Laienpublikum, gefällt sich bekanntlich darin, angesichts der Schwierigkeiten und Unsicherheiten einer wissenschaftlichen Leistung mit überlegener Skepsis zu prunken. Ich meine, mit Unrecht. Es ist Ihnen vielleicht nicht allen bekannt, daß sich eine ähnliche Situation in der Geschichte der Entzifferung der babylonisch-assyrischen Inschriften ergeben hat. Da gab es eine Zeit, zu welcher die öffentliche Meinung weit darin ging, die Keilschriftentzifferer für Phantasten und diese ganze Forschung für einen »Schwindel« zu erklären. Im Jahre 1857 machte aber die Royal Asiatic Society eine entscheidende Probe. Sie forderte vier der angesehensten Keilschriftforscher, Rawlinson, Hincks, Fox Talbot und Oppert, auf, ihr von einer neugefundenen Inschrift unabhängige Übersetzungen im versiegelten Kuvert einzusenden, und konnte nach der Vergleichung der vier Lesungen verkünden, die Übereinstimmung derselben gehe weit genug, um das Zutrauen in das bisher Erreichte und die Zuversicht auf weitere Fortschritte zu rechtfertigen. Der Spott der gelehrten Laienwelt nahm dann allmählich ein Ende, und die Sicherheit in der Lesung der Keilschriftdokumente ist seither außerordentlich gewachsen.</w:t>
      </w:r>
    </w:p>
    <w:p w:rsidR="00062BE4" w:rsidRPr="002F7766" w:rsidRDefault="00062BE4" w:rsidP="00062BE4">
      <w:pPr>
        <w:rPr>
          <w:rFonts w:ascii="Garamond" w:hAnsi="Garamond" w:cs="Arial"/>
          <w:lang w:val="en-GB"/>
        </w:rPr>
      </w:pPr>
      <w:r w:rsidRPr="002F7766">
        <w:rPr>
          <w:rFonts w:ascii="Garamond" w:hAnsi="Garamond" w:cs="Arial"/>
          <w:lang w:val="en-GB"/>
        </w:rPr>
        <w:t>2. Eine zweite Reihe von Bedenken hängt tief an dem Eindruck, von dem wohl auch Sie nicht frei geblieben sind, daß eine Anzahl von Lösungen der Traumdeutung, zu denen wir uns genötigt sehen, gezwungen, erkünstelt, an den Haaren herbeigezogen, also gewaltsam oder selbst komisch und witzelnd erscheinen. Diese Äußerungen sind so häufig, daß ich aufs Geratewohl die letzte, von der mir Kunde geworden ist, herausgreifen will. Hören Sie also: In der freien Schweiz ist kürzlich ein Seminardirektor wegen Beschäftigung mit der Psychoanalyse seiner Stellung enthoben worden. Er hat Einspruch erhoben, und eine Berner Zeitung hat das Gutachten der Schulbehörde über ihn zur öffentlichen Kenntnis gebracht. Aus diesem Schriftstück ziehe ich einige Sätze, die sich auf die Psychoanalyse beziehen, aus: »Ferner überrascht das Gesuchte und Gekünstelte in vielen Beispielen, die sich auch in dem angeführten Buche von Dr.Pfister in Zürich vorfinden ... Es müßte also eigentlich überraschen, daß ein Seminardirektor alle diese Behauptungen und Scheinbeweise kritiklos entgegennimmt.« Diese Sätze werden als die Entscheidung eines »ruhig Urteilenden« hingestellt. Ich meine vielmehr, diese Ruhe ist »erkünstelt«. Treten wir diesen Äußerungen in der Erwartung näher, daß etwas Nachdenken und etwas Sachkenntnis auch einem ruhigen Urteil keinen Nachteil bringen kann.</w:t>
      </w:r>
    </w:p>
    <w:p w:rsidR="00062BE4" w:rsidRPr="002F7766" w:rsidRDefault="00062BE4" w:rsidP="00062BE4">
      <w:pPr>
        <w:rPr>
          <w:rFonts w:ascii="Garamond" w:hAnsi="Garamond" w:cs="Arial"/>
          <w:lang w:val="en-GB"/>
        </w:rPr>
      </w:pPr>
      <w:r w:rsidRPr="002F7766">
        <w:rPr>
          <w:rFonts w:ascii="Garamond" w:hAnsi="Garamond" w:cs="Arial"/>
          <w:lang w:val="en-GB"/>
        </w:rPr>
        <w:t xml:space="preserve">Es ist wahrhaft erfrischend zu sehen, wie rasch und unbeirrt jemand in einer heiklen Frage der Tiefenpsychologie nach seinen ersten Eindrücken urteilen kann. Die Deutungen erscheinen ihm gesucht und gezwungen, sie gefallen ihm nicht, also sind sie falsch und die ganze Deuterei taugt nichts; nicht </w:t>
      </w:r>
      <w:r w:rsidRPr="002F7766">
        <w:rPr>
          <w:rFonts w:ascii="Garamond" w:hAnsi="Garamond" w:cs="Arial"/>
          <w:lang w:val="en-GB"/>
        </w:rPr>
        <w:lastRenderedPageBreak/>
        <w:t>einmal ein flüchtiger Gedanke streift an die andere Möglichkeit, daß diese Deutungen aus guten Gründen so erscheinen müssen, woran sich die weitere Frage knüpfen würde, welches diese guten Gründe sind.</w:t>
      </w:r>
    </w:p>
    <w:p w:rsidR="00062BE4" w:rsidRPr="002F7766" w:rsidRDefault="00062BE4" w:rsidP="00062BE4">
      <w:pPr>
        <w:rPr>
          <w:rFonts w:ascii="Garamond" w:hAnsi="Garamond" w:cs="Arial"/>
          <w:lang w:val="en-GB"/>
        </w:rPr>
      </w:pPr>
      <w:r w:rsidRPr="002F7766">
        <w:rPr>
          <w:rFonts w:ascii="Garamond" w:hAnsi="Garamond" w:cs="Arial"/>
          <w:lang w:val="en-GB"/>
        </w:rPr>
        <w:t>Der beurteilte Sachverhalt bezieht sich wesentlich auf die Ergebnisse der Verschiebung, die Sie als das stärkste Mittel der Traumzensur kennengelernt haben. Mit Hilfe der Verschiebung schafft die Traumzensur Ersatzbildungen, die wir als Anspielungen bezeichnet haben. Es sind aber Anspielungen, die als solche nicht leicht zu erkennen sind, von denen der Rückweg zum Eigentlichen nicht leicht auffindbar ist und die mit diesem Eigentlichen durch die sonderbarsten, ungebräuchlichsten, äußerlichen Assoziationen in Verbindung stehen. In all diesen Fällen handelt es sich aber um Dinge, die versteckt werden sollen, die zur Verheimlichung bestimmt sind; dies will ja die Traumzensur erreichen. Etwas, das versteckt worden ist, darf man aber nicht an seinem Orte, an der ihm zukommenden Stelle, zu finden erwarten. Die heute amtierenden Grenzüberwachungskommissionen sind in dieser Hinsicht schlauer als die Schweizer Schulbehörde. Sie begnügen sich bei der Suche nach Dokumenten und Aufzeichnungen nicht damit, in Mappen und Brieftaschen nachzusehen, sondern sie ziehen die Möglichkeit in Betracht, daß die Spione und Schmuggler solche verpönte Dinge an den verborgensten Stellen ihrer Kleidung tragen könnten, wo sie entschieden nicht hingehören, wie z.B. zwischen den doppelten Sohlen ihrer Stiefel. Finden sich die verheimlichten Dinge dort, so waren sie allerdings sehr gesucht, aber auch sehr gefunden.</w:t>
      </w:r>
    </w:p>
    <w:p w:rsidR="00062BE4" w:rsidRPr="002F7766" w:rsidRDefault="00062BE4" w:rsidP="00062BE4">
      <w:pPr>
        <w:rPr>
          <w:rFonts w:ascii="Garamond" w:hAnsi="Garamond" w:cs="Arial"/>
          <w:lang w:val="en-GB"/>
        </w:rPr>
      </w:pPr>
      <w:r w:rsidRPr="002F7766">
        <w:rPr>
          <w:rFonts w:ascii="Garamond" w:hAnsi="Garamond" w:cs="Arial"/>
          <w:lang w:val="en-GB"/>
        </w:rPr>
        <w:t xml:space="preserve">Wenn wir die entlegensten, sonderbarsten, bald komisch, bald witzig erscheinenden Verknüpfungen zwischen einem latenten Traumelement und seinem manifesten Ersatz als möglich anerkennen, so folgen wir dabei reichlichen Erfahrungen an Beispielen, deren Auflösung wir in der Regel nicht selbst gefunden haben. Es ist oft nicht möglich, solche Deutungen aus Eigenem zu geben; kein sinniger Mensch könnte die vorliegende Verknüpfung erraten. Der Träumer gibt uns die Übersetzung entweder mit einem Schlage durch seinen direkten Einfall er kann es ja, denn bei ihm hat sich diese Ersatzbildung hergestellt, oder er liefert uns so viel Material, daß die Lösung keinen besonderen Scharfsinn mehr fordert, sondern sich wie notwendig aufdrängt. Hilft uns der Träumer nicht auf eine dieser beiden Weisen, so bleibt uns das betreffende manifeste Element auch ewig unverständlich. Gestatten Sie, daß ich Ihnen noch ein solches kürzlich erlebtes Beispiel nachtrage. Eine meiner Patientinnen hat während der Behandlung ihren Vater verloren. Sie bedient sich seitdem jedes Anlasses, um ihn im Traume wieder zu beleben. In einem ihrer Träume kommt der Vater in einem gewissen, weiter nicht verwertbaren Zusammenhange vor und sagt: </w:t>
      </w:r>
      <w:r w:rsidRPr="002F7766">
        <w:rPr>
          <w:rFonts w:ascii="Garamond" w:hAnsi="Garamond" w:cs="Arial"/>
          <w:i/>
          <w:iCs/>
          <w:lang w:val="en-GB"/>
        </w:rPr>
        <w:t>Es ist ein Viertel zwölf, es ist halb zwölf, es ist drei Viertel zwölf</w:t>
      </w:r>
      <w:r w:rsidRPr="002F7766">
        <w:rPr>
          <w:rFonts w:ascii="Garamond" w:hAnsi="Garamond" w:cs="Arial"/>
          <w:lang w:val="en-GB"/>
        </w:rPr>
        <w:t xml:space="preserve">. Zur Deutung dieser Sonderbarkeit stellte sich nur der Einfall ein, daß der Vater es gerne gesehen hatte, wenn die erwachsenen Kinder die gemeinschaftliche Speisestunde pünktlich einhielten. Das hing gewiß mit dem Traumelement zusammen, gestattete aber keinen Schluß auf dessen Herkunft. Es bestand ein durch die damalige Situation der Kur gerechtfertigter Verdacht, daß eine sorgfältig unterdrückte, kritische Auflehnung gegen den geliebten und verehrten Vater ihren Anteil an diesem Traum hätte. In weiterer Verfolgung ihrer Einfälle, anscheinend weit vom Traum entfernt, erzählt die Träumerin, gestern sei in ihrer Gegenwart viel Psychologisches besprochen worden, und ein Verwandter habe die Äußerung getan: </w:t>
      </w:r>
      <w:r w:rsidRPr="002F7766">
        <w:rPr>
          <w:rFonts w:ascii="Garamond" w:hAnsi="Garamond" w:cs="Arial"/>
          <w:i/>
          <w:iCs/>
          <w:lang w:val="en-GB"/>
        </w:rPr>
        <w:t>Der Urmensch</w:t>
      </w:r>
      <w:r w:rsidRPr="002F7766">
        <w:rPr>
          <w:rFonts w:ascii="Garamond" w:hAnsi="Garamond" w:cs="Arial"/>
          <w:lang w:val="en-GB"/>
        </w:rPr>
        <w:t xml:space="preserve"> lebt in uns allen fort. Jetzt glauben wir zu verstehen. Das gab eine ausgezeichnete Gelegenheit für sie, den verstorbenen Vater wieder einmal fortleben zu lassen. Sie machte ihn also im Traum zum </w:t>
      </w:r>
      <w:r w:rsidRPr="002F7766">
        <w:rPr>
          <w:rFonts w:ascii="Garamond" w:hAnsi="Garamond" w:cs="Arial"/>
          <w:i/>
          <w:iCs/>
          <w:lang w:val="en-GB"/>
        </w:rPr>
        <w:t>Uhrmenschen</w:t>
      </w:r>
      <w:r w:rsidRPr="002F7766">
        <w:rPr>
          <w:rFonts w:ascii="Garamond" w:hAnsi="Garamond" w:cs="Arial"/>
          <w:lang w:val="en-GB"/>
        </w:rPr>
        <w:t>, indem sie ihn die Viertelstunden der Mittagszeit ansagen ließ.</w:t>
      </w:r>
    </w:p>
    <w:p w:rsidR="00062BE4" w:rsidRPr="002F7766" w:rsidRDefault="00062BE4" w:rsidP="00062BE4">
      <w:pPr>
        <w:rPr>
          <w:rFonts w:ascii="Garamond" w:hAnsi="Garamond" w:cs="Arial"/>
        </w:rPr>
      </w:pPr>
      <w:r w:rsidRPr="002F7766">
        <w:rPr>
          <w:rFonts w:ascii="Garamond" w:hAnsi="Garamond" w:cs="Arial"/>
          <w:lang w:val="en-GB"/>
        </w:rPr>
        <w:t xml:space="preserve">Sie werden an diesem Beispiel die Ähnlichkeit mit einem Witz nicht von sich weisen können, und es ist wirklich oft genug vorgekommen, daß man den Witz des Träumers für den des Deuters gehalten hat. Es gibt noch andere Beispiele, in denen es gar nicht leicht wird zu entscheiden, ob man es mit einem Witz oder einem Traum zu tun hat. Sie erinnern sich aber, daß uns der nämliche Zweifel bei manchen Fehlleistungen des Versprechens gekommen ist. Ein Mann erzählt als seinen Traum, sein Onkel habe ihm, während sie in dessen Auto (mobil) saßen, einen Kuß gegeben. Er fügt selbst sehr rasch die Deutung hinzu. Es bedeutet: </w:t>
      </w:r>
      <w:r w:rsidRPr="002F7766">
        <w:rPr>
          <w:rFonts w:ascii="Garamond" w:hAnsi="Garamond" w:cs="Arial"/>
          <w:i/>
          <w:iCs/>
          <w:lang w:val="en-GB"/>
        </w:rPr>
        <w:t>Autoerotismus</w:t>
      </w:r>
      <w:r w:rsidRPr="002F7766">
        <w:rPr>
          <w:rFonts w:ascii="Garamond" w:hAnsi="Garamond" w:cs="Arial"/>
          <w:lang w:val="en-GB"/>
        </w:rPr>
        <w:t xml:space="preserve"> (ein Terminus aus der Libidolehre, der die Befriedigung ohne fremdes </w:t>
      </w:r>
      <w:r w:rsidRPr="002F7766">
        <w:rPr>
          <w:rFonts w:ascii="Garamond" w:hAnsi="Garamond" w:cs="Arial"/>
          <w:lang w:val="en-GB"/>
        </w:rPr>
        <w:lastRenderedPageBreak/>
        <w:t xml:space="preserve">Objekt bezeichnet). Hat sich nun der Mann einen Scherz mit uns erlaubt und einen Witz, der ihm eingefallen ist, für einen Traum ausgegeben? Ich glaube es nicht; er hat wirklich so geträumt. Woher kommt aber diese verblüffende Ähnlichkeit? Diese Frage hat mich seinerzeit ein Stück von meinem Wege abgeführt, indem sie mir die Notwendigkeit auferlegte, den Witz selbst einer eingehenden Untersuchung zu unterziehen. Es hat sich dabei für die Entstehung des Witzes ergeben, daß ein vorbewußter Gedankengang für einen Moment der unbewußten Bearbeitung überlassen wird, aus welcher er dann als Witz auftaucht. Unter dem Einfluß des Unbewußten erfährt er die Einwirkung der dort waltenden Mechanismen, der Verdichtung und der Verschiebung, also derselben Vorgänge, die wir bei der Traumarbeit beteiligt fanden, und dieser Gemeinsamkeit ist die Ähnlichkeit von Witz und Traum, wo sie zustande kommt, zuzuschreiben. Vom Lustgewinn des Witzes bringt der unbeabsichtigte »Traumwitz« aber nichts mit. Warum, mag Sie die Vertiefung in das Studium des Witzes lehren. </w:t>
      </w:r>
      <w:r w:rsidRPr="002F7766">
        <w:rPr>
          <w:rFonts w:ascii="Garamond" w:hAnsi="Garamond" w:cs="Arial"/>
        </w:rPr>
        <w:t>Der »Traumwitz« erscheint uns als schlechter Witz, er macht uns nicht lachen, läßt uns kalt.</w:t>
      </w:r>
    </w:p>
    <w:p w:rsidR="00062BE4" w:rsidRPr="002F7766" w:rsidRDefault="00062BE4" w:rsidP="00062BE4">
      <w:pPr>
        <w:rPr>
          <w:rFonts w:ascii="Garamond" w:hAnsi="Garamond" w:cs="Arial"/>
          <w:lang w:val="en-GB"/>
        </w:rPr>
      </w:pPr>
      <w:r w:rsidRPr="002F7766">
        <w:rPr>
          <w:rFonts w:ascii="Garamond" w:hAnsi="Garamond" w:cs="Arial"/>
        </w:rPr>
        <w:t xml:space="preserve">Wir treten dabei auch in die Fußstapfen der antiken Traumdeutung, die uns neben vielem Unbrauchbaren manches gute Beispiel einer Traumdeutung hinterlassen hat, welches wir selbst nicht zu übertreffen wüßten. </w:t>
      </w:r>
      <w:r w:rsidRPr="002F7766">
        <w:rPr>
          <w:rFonts w:ascii="Garamond" w:hAnsi="Garamond" w:cs="Arial"/>
          <w:lang w:val="en-GB"/>
        </w:rPr>
        <w:t>Ich erzähle Ihnen nun einen historisch bedeutsamen Traum, den mit gewissen Abweichungen Plutarch und Artemidorus aus Daldis von Alexander dem Großen berichten. Als der König mit der Belagerung der hartnäckig verteidigten Stadt Tyrus beschäftigt war (322 v.Chr.), träumte er einmal, er sehe einen tanzenden Satyr. Der Traumdeuter Aristandros, der sich beim Heere befand, deutete ihm diesen Traum, indem er das Wort »Satyros« in (dein ist Tyrus) zerlegte und ihm darum den Triumph über die Stadt versprach. Alexander ließ sich durch diese Deutung bestimmen, die Belagerung fortzusetzen, und nahm endlich Tyrus ein. Die Deutung, die gekünstelt genug aussieht, war unzweifelhaft die richtige.</w:t>
      </w:r>
    </w:p>
    <w:p w:rsidR="00062BE4" w:rsidRPr="002F7766" w:rsidRDefault="00062BE4" w:rsidP="00062BE4">
      <w:pPr>
        <w:rPr>
          <w:rFonts w:ascii="Garamond" w:hAnsi="Garamond" w:cs="Arial"/>
          <w:lang w:val="en-GB"/>
        </w:rPr>
      </w:pPr>
      <w:r w:rsidRPr="00062BE4">
        <w:rPr>
          <w:rFonts w:ascii="Garamond" w:hAnsi="Garamond" w:cs="Arial"/>
          <w:lang w:val="en-GB"/>
        </w:rPr>
        <w:t xml:space="preserve">3. Ich kann mir vorstellen, daß es Ihnen einen besonderen Eindruck machen wird zu hören, daß Einwendungen gegen unsere Auffassung des Traumes auch von solchen Personen erhoben worden sind, die sich selbst längere Zeit als Psychoanalytiker mit der Deutung von Träumen beschäftigt haben. Es wäre zu ungewöhnlich gewesen, daß ein so reichhaltiger Anreiz zu neuen Irrtümern ungenützt geblieben wäre, und so haben sich durch begriffliche Verwechslungen und unberechtigte Verallgemeinerungen Behauptungen ergeben, die hinter der medizinischen Auffassung des Traumes an Unrichtigkeit nicht weit zurückstehen. Die eine davon kennen Sie bereits. Sie sagt aus, daß sich der Traum mit Anpassungsversuchen an die Gegenwart und Lösungsversuchen der Zukunftsaufgaben beschäftige, also eine »prospektive Tendenz« verfolge (A. Maeder). Wir haben bereits angeführt, daß diese Behauptung auf Verwechslung des Traumes mit den latenten Traumgedanken beruht, also das Übersehen der Traumarbeit zur Voraussetzung hat. Als Charakteristik der unbewußten Geistestätigkeit, der die latenten Traumgedanken angehören, ist sie einerseits keine Neuheit, anderseits nicht erschöpfend, denn die unbewußte Geistestätigkeit beschäftigt sich mit vielem anderen neben der Vorbereitung der Zukunft. </w:t>
      </w:r>
      <w:r w:rsidRPr="00062BE4">
        <w:rPr>
          <w:rFonts w:ascii="Garamond" w:hAnsi="Garamond" w:cs="Arial"/>
          <w:lang w:val="en-US"/>
        </w:rPr>
        <w:t xml:space="preserve">Eine weit ärgere Verwechslung scheint der Versicherung zugrunde zu liegen, daß man hinter jedem Traum die »Todesklausel« finde. </w:t>
      </w:r>
      <w:r w:rsidRPr="002F7766">
        <w:rPr>
          <w:rFonts w:ascii="Garamond" w:hAnsi="Garamond" w:cs="Arial"/>
          <w:lang w:val="en-GB"/>
        </w:rPr>
        <w:t>Ich weiß nicht genau, was diese Formel besagen will, aber ich vermute, hinter ihr steckt die Verwechslung des Traumes mit der ganzen Persönlichkeit des Träumers.</w:t>
      </w:r>
    </w:p>
    <w:p w:rsidR="00062BE4" w:rsidRPr="002F7766" w:rsidRDefault="00062BE4" w:rsidP="00062BE4">
      <w:pPr>
        <w:rPr>
          <w:rFonts w:ascii="Garamond" w:hAnsi="Garamond" w:cs="Arial"/>
          <w:lang w:val="en-GB"/>
        </w:rPr>
      </w:pPr>
      <w:r w:rsidRPr="002F7766">
        <w:rPr>
          <w:rFonts w:ascii="Garamond" w:hAnsi="Garamond" w:cs="Arial"/>
          <w:lang w:val="en-GB"/>
        </w:rPr>
        <w:t xml:space="preserve">Eine ungerechtfertigte Verallgemeinerung aus wenigen guten Beispielen liegt in dem Satze, daß jeder Traum zwei Deutungen zulasse, eine solche, wie wir sie aufgezeigt haben, die sogenannte psychoanalytische, und eine andere, die sogenannte anagogische, welche von den Triebregungen absieht und auf eine Darstellung der höheren Seelenleistungen hinzielt (H.Silberer). Es gibt solche Träume, aber Sie werden diese Auffassung vergeblich auch nur auf eine Mehrzahl der Träume auszudehnen versuchen. Ganz unbegreiflich wird Ihnen nach allem, was Sie gehört haben, die Behauptung erscheinen, daß alle Träume bisexuell zu deuten seien, als Zusammentreffen einer männlichen mit einer weiblich zu nennenden Strömung (A.Adler). Es gibt natürlich auch einzelne solche Träume, und Sie könnten später erfahren, daß diese so gebaut sind wie gewisse hysterische Symptome. Ich erwähne alle diese </w:t>
      </w:r>
      <w:r w:rsidRPr="002F7766">
        <w:rPr>
          <w:rFonts w:ascii="Garamond" w:hAnsi="Garamond" w:cs="Arial"/>
          <w:lang w:val="en-GB"/>
        </w:rPr>
        <w:lastRenderedPageBreak/>
        <w:t>Entdeckungen neuer allgemeiner Charaktere des Traumes, um Sie vor ihnen zu warnen oder um Sie wenigstens nicht im Zweifel zu lassen, wie ich darüber urteile.</w:t>
      </w:r>
    </w:p>
    <w:p w:rsidR="00062BE4" w:rsidRPr="002F7766" w:rsidRDefault="00062BE4" w:rsidP="00062BE4">
      <w:pPr>
        <w:rPr>
          <w:rFonts w:ascii="Garamond" w:hAnsi="Garamond" w:cs="Arial"/>
          <w:lang w:val="en-GB"/>
        </w:rPr>
      </w:pPr>
      <w:r w:rsidRPr="002F7766">
        <w:rPr>
          <w:rFonts w:ascii="Garamond" w:hAnsi="Garamond" w:cs="Arial"/>
          <w:lang w:val="en-GB"/>
        </w:rPr>
        <w:t xml:space="preserve">4. Eines Tages schien der objektive Wert der Traumforschung durch die Beobachtung in Frage gestellt, daß die analytisch behandelten Patienten den Inhalt ihrer Träume nach den Lieblingstheorien ihrer Ärzte einrichten, indem die einen vorwiegend von sexuellen Triebregungen träumen, die anderen vom Machtstreben und noch andere sogar von der Wiedergeburt (W.Stekel). Das Gewicht dieser Beobachtung wird durch die Erwägung verringert, daß die Menschen bereits geträumt haben, ehe es eine psychoanalytische Behandlung gab, die ihre Träume lenken konnte, und daß die jetzt in Behandlung Stehenden auch zur Zeit vor der Behandlung zu träumen pflegten. </w:t>
      </w:r>
      <w:r w:rsidRPr="002F7766">
        <w:rPr>
          <w:rFonts w:ascii="Garamond" w:hAnsi="Garamond" w:cs="Arial"/>
        </w:rPr>
        <w:t xml:space="preserve">Das Tatsächliche dieser Neuheit läßt sich bald als selbstverständlich und für die Theorie des Traumes belanglos erkennen. Die den Traum anregenden Tagesreste erübrigen von den starken Interessen des Wachlebens. Wenn die Reden des Arztes und die Anregungen, die er gibt, für den Analysierten bedeutungsvoll geworden sind, so treten sie in den Kreis der Tagesreste ein, können die psychischen Reize für die Traumbildung abgeben wie die anderen affektbetonten unerledigten Interessen des Tages und wirken ähnlich wie die somatischen Reize, die während des Schlafes auf den Schläfer einwirken. Wie diese anderen Anreger des Traumes können auch die vom Arzt angeregten Gedankengänge im manifesten Trauminhalt erscheinen oder im latenten nachgewiesen werden. </w:t>
      </w:r>
      <w:r w:rsidRPr="002F7766">
        <w:rPr>
          <w:rFonts w:ascii="Garamond" w:hAnsi="Garamond" w:cs="Arial"/>
          <w:lang w:val="en-GB"/>
        </w:rPr>
        <w:t xml:space="preserve">Wir wissen ja, daß man Träume experimentell erzeugen, richtiger gesagt, einen Teil des Traummaterials in den Traum einführen kann. Der Analytiker spielt also bei diesen Beeinflussungen seiner Patienten keine andere Rolle als der Experimentator, der wie Mourly Vold den Gliedern seiner Versuchspersonen gewisse Stellungen erteilt. Man kann oftmals den Träumer beeinflussen, </w:t>
      </w:r>
      <w:r w:rsidRPr="002F7766">
        <w:rPr>
          <w:rFonts w:ascii="Garamond" w:hAnsi="Garamond" w:cs="Arial"/>
          <w:i/>
          <w:iCs/>
          <w:lang w:val="en-GB"/>
        </w:rPr>
        <w:t>worüber</w:t>
      </w:r>
      <w:r w:rsidRPr="002F7766">
        <w:rPr>
          <w:rFonts w:ascii="Garamond" w:hAnsi="Garamond" w:cs="Arial"/>
          <w:lang w:val="en-GB"/>
        </w:rPr>
        <w:t xml:space="preserve"> er träumen soll, nie aber darauf einwirken, </w:t>
      </w:r>
      <w:r w:rsidRPr="002F7766">
        <w:rPr>
          <w:rFonts w:ascii="Garamond" w:hAnsi="Garamond" w:cs="Arial"/>
          <w:i/>
          <w:iCs/>
          <w:lang w:val="en-GB"/>
        </w:rPr>
        <w:t>was</w:t>
      </w:r>
      <w:r w:rsidRPr="002F7766">
        <w:rPr>
          <w:rFonts w:ascii="Garamond" w:hAnsi="Garamond" w:cs="Arial"/>
          <w:lang w:val="en-GB"/>
        </w:rPr>
        <w:t xml:space="preserve"> er träumen wird. Der Mechanismus der Traumarbeit und der unbewußte Traumwunsch sind jedem fremden Einfluß entzogen. Wir haben bereits bei der Würdigung der somatischen Reizträume erkannt, daß die Eigenart und Selbständigkeit des Traumlebens sich in der Reaktion erweist, mit welcher der Traum auf die zugeführten körperlichen oder seelischen Reize antwortet. Der hier besprochenen Behauptung, welche die Objektivität der Traumforschung in Zweifel ziehen will, liegt also wiederum eine Verwechslung, die des Traumes mit dem Traummaterial zugrunde.</w:t>
      </w:r>
    </w:p>
    <w:p w:rsidR="00062BE4" w:rsidRPr="002F7766" w:rsidRDefault="00062BE4" w:rsidP="00062BE4">
      <w:pPr>
        <w:rPr>
          <w:rFonts w:ascii="Garamond" w:hAnsi="Garamond" w:cs="Arial"/>
          <w:lang w:val="en-GB"/>
        </w:rPr>
      </w:pPr>
      <w:r w:rsidRPr="002F7766">
        <w:rPr>
          <w:rFonts w:ascii="Garamond" w:hAnsi="Garamond" w:cs="Arial"/>
          <w:lang w:val="en-GB"/>
        </w:rPr>
        <w:t>Soviel, meine Damen und Herren, wollte ich Ihnen von den Problemen des Traumes erzählen. Sie ahnen, daß ich vieles übergangen habe, und haben selbst erfahren, daß ich fast in allen Punkten unvollständig sein mußte. Das liegt aber am Zusammenhang der Traumphänomene mit denen der Neurose. Wir haben den Traum als Einführung in die Neurosenlehre studiert, und das war gewiß richtiger, als wenn wir das Umgekehrte getan hätten. Aber wie der Traum für das Verständnis der Neurosen vorbereitet, so kann anderseits die richtige Würdigung des Traumes erst nach der Kenntnis der neurotischen Erscheinungen gewonnen werden.</w:t>
      </w:r>
    </w:p>
    <w:p w:rsidR="00062BE4" w:rsidRPr="002F7766" w:rsidRDefault="00062BE4" w:rsidP="00062BE4">
      <w:pPr>
        <w:rPr>
          <w:rFonts w:ascii="Garamond" w:hAnsi="Garamond" w:cs="Arial"/>
          <w:lang w:val="en-GB"/>
        </w:rPr>
      </w:pPr>
      <w:r w:rsidRPr="002F7766">
        <w:rPr>
          <w:rFonts w:ascii="Garamond" w:hAnsi="Garamond" w:cs="Arial"/>
          <w:lang w:val="en-GB"/>
        </w:rPr>
        <w:t>Ich weiß nicht, wie Sie darüber denken werden, aber ich muß versichern, daß ich nicht bereue, soviel von Ihrem Interesse und von der für uns verfügbaren Zeit für die Probleme des Traumes in Anspruch genommen zu haben. An keinem anderen Objekt kann man sich so rasch die Überzeugung von der Richtigkeit der Behauptungen holen, mit denen die Psychoanalyse steht und fällt. Es bedarf der angestrengten Arbeit von vielen Monaten und selbst Jahren, um zu zeigen, daß die Symptome eines Falles von neurotischer Erkrankung ihren Sinn haben, einer Absicht dienen und aus den Schicksalen der leidenden Person hervorgehen. Dagegen kann es einer Bemühung von wenigen Stunden gelingen, denselben Sachverhalt für eine zunächst unverständlich verworrene Traumleistung zu erweisen und damit alle die Voraussetzungen der Psychoanalyse zu bestätigen, die Unbewußtheit seelischer Vorgänge, die besonderen Mechanismen, denen sie gehorchen, und die Triebkräfte, die sich in ihnen äußern. Und wenn wir die durchgreifende Analogie im Aufbau von Traum und neurotischem Symptom mit der Raschheit der Verwandlung zusammenhalten, die aus dem Träumer einen wachen und vernünftigen Menschen macht, gewinnen wir die Sicherheit, daß auch die Neurose nur auf verändertem Kräftespiel zwischen den Mächten des Seelenlebens beruht.</w:t>
      </w:r>
    </w:p>
    <w:p w:rsidR="00062BE4" w:rsidRPr="009C5A67" w:rsidRDefault="00062BE4" w:rsidP="00062BE4">
      <w:pPr>
        <w:rPr>
          <w:rFonts w:ascii="Garamond" w:hAnsi="Garamond" w:cs="Arial"/>
          <w:b/>
          <w:bCs/>
          <w:color w:val="0000CC"/>
        </w:rPr>
      </w:pPr>
      <w:r w:rsidRPr="005C1841">
        <w:rPr>
          <w:rFonts w:ascii="Garamond" w:hAnsi="Garamond" w:cs="Arial"/>
          <w:b/>
          <w:bCs/>
          <w:color w:val="F38030"/>
        </w:rPr>
        <w:br w:type="page"/>
      </w:r>
      <w:r w:rsidRPr="009C5A67">
        <w:rPr>
          <w:rFonts w:ascii="Garamond" w:hAnsi="Garamond" w:cs="Arial"/>
          <w:b/>
          <w:bCs/>
          <w:color w:val="0000CC"/>
        </w:rPr>
        <w:lastRenderedPageBreak/>
        <w:t>Teil   Allgemeine Neurosenlehre</w:t>
      </w:r>
      <w:r>
        <w:rPr>
          <w:rFonts w:ascii="Garamond" w:hAnsi="Garamond" w:cs="Arial"/>
          <w:b/>
          <w:bCs/>
          <w:color w:val="0000CC"/>
        </w:rPr>
        <w:t xml:space="preserve"> </w:t>
      </w:r>
      <w:r w:rsidRPr="009C5A67">
        <w:rPr>
          <w:rFonts w:ascii="Garamond" w:hAnsi="Garamond" w:cs="Arial"/>
          <w:b/>
          <w:bCs/>
          <w:color w:val="0000CC"/>
        </w:rPr>
        <w:t>(1917)</w:t>
      </w:r>
    </w:p>
    <w:p w:rsidR="00062BE4" w:rsidRDefault="00062BE4" w:rsidP="00062BE4">
      <w:pPr>
        <w:rPr>
          <w:rFonts w:ascii="Garamond" w:hAnsi="Garamond" w:cs="Arial"/>
          <w:b/>
          <w:bCs/>
        </w:rPr>
      </w:pPr>
    </w:p>
    <w:p w:rsidR="00062BE4" w:rsidRPr="002F7766" w:rsidRDefault="00B437A1" w:rsidP="00062BE4">
      <w:pPr>
        <w:rPr>
          <w:rFonts w:ascii="Garamond" w:hAnsi="Garamond" w:cs="Arial"/>
          <w:b/>
          <w:bCs/>
        </w:rPr>
      </w:pPr>
      <w:hyperlink w:anchor="Vorlesungen_Inhalt" w:history="1">
        <w:r w:rsidR="00062BE4" w:rsidRPr="009C5A67">
          <w:rPr>
            <w:rStyle w:val="Lienhypertexte"/>
            <w:rFonts w:ascii="Garamond" w:hAnsi="Garamond" w:cs="Arial"/>
            <w:b/>
            <w:bCs/>
          </w:rPr>
          <w:t>16. Vo</w:t>
        </w:r>
        <w:bookmarkStart w:id="283" w:name="Vorlesungen_16"/>
        <w:bookmarkEnd w:id="283"/>
        <w:r w:rsidR="00062BE4" w:rsidRPr="009C5A67">
          <w:rPr>
            <w:rStyle w:val="Lienhypertexte"/>
            <w:rFonts w:ascii="Garamond" w:hAnsi="Garamond" w:cs="Arial"/>
            <w:b/>
            <w:bCs/>
          </w:rPr>
          <w:t>rlesung. Psychoanalyse und Psychiatrie</w:t>
        </w:r>
      </w:hyperlink>
    </w:p>
    <w:p w:rsidR="00062BE4" w:rsidRPr="00062BE4" w:rsidRDefault="00062BE4" w:rsidP="00062BE4">
      <w:pPr>
        <w:rPr>
          <w:rFonts w:ascii="Garamond" w:hAnsi="Garamond" w:cs="Arial"/>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Ich freue mich, Sie nach Jahresfrist zur Fortsetzung unserer Besprechungen wiederzusehen. Ich habe Ihnen im Vorjahre die psychoanalytische Behandlung der Fehlleistungen und des Traumes vorgetragen; ich möchte Sie heuer in das Verständnis der neurotischen Erscheinungen einführen, die, wie Sie bald entdecken werden, mit beiden vielerlei Gemeinsames haben. Aber ich sage es Ihnen vorher, ich kann Ihnen diesmal nicht dieselbe Stellung mir gegenüber einräumen wie im Vorjahre. Damals lag mir daran, keinen Schritt zu tun, ohne mit Ihrem Urteil im Einvernehmen zu bleiben; ich diskutierte viel mit Ihnen, unterwarf mich Ihren Einwendungen, anerkannte eigentlich Sie und Ihren »gesunden Menschenverstand« als entscheidende Instanz. Das geht jetzt nicht länger, und zwar wegen eines einfachen Sachverhaltes. Fehlleistungen und Träume waren Ihnen als Phänomene nicht fremd; man konnte sagen, Sie besaßen ebensoviel Erfahrung wie ich oder hatten es leicht, sich ebensoviel Erfahrung zu verschaffen. Das Erscheinungsgebiet der Neurosen ist Ihnen aber fremd; insofern Sie nicht selbst Ärzte sind, haben Sie keinen anderen Zugang dahin als eben meine Mitteilungen, und was hilft das beste Urteil, wenn die Vertrautheit mit dem zu beurteilenden Material nicht mit dabei ist.</w:t>
      </w:r>
    </w:p>
    <w:p w:rsidR="00062BE4" w:rsidRPr="002F7766" w:rsidRDefault="00062BE4" w:rsidP="00062BE4">
      <w:pPr>
        <w:rPr>
          <w:rFonts w:ascii="Garamond" w:hAnsi="Garamond" w:cs="Arial"/>
          <w:lang w:val="en-GB"/>
        </w:rPr>
      </w:pPr>
      <w:r w:rsidRPr="002F7766">
        <w:rPr>
          <w:rFonts w:ascii="Garamond" w:hAnsi="Garamond" w:cs="Arial"/>
          <w:lang w:val="en-GB"/>
        </w:rPr>
        <w:t xml:space="preserve">Fassen Sie aber meine Ankündigung nicht in der Weise auf, als ob ich dogmatische Vorträge halten und Ihren unbedingten Glauben heischen würde. Das Mißverständnis täte mir grob Unrecht. Ich will keine Überzeugungen erwecken ich will Anregungen geben und Vorurteile erschüttern. Wenn Sie infolge materieller Unkenntnis nicht in der Lage sind zu urteilen, so sollen Sie weder glauben noch verwerfen. Sie sollen anhören und auf sich wirken lassen, was ich Ihnen erzähle. Überzeugungen erwirbt man sich nicht so leicht, oder wenn man so mühelos zu ihnen gekommen ist, erweisen sie sich bald als wertlos und widerstandsunfähig. Ein Anrecht auf Überzeugung hat erst derjenige, der ähnlich wie ich viele Jahre lang an demselben Material gearbeitet und dabei dieselben neuen und überraschenden Erfahrungen selbst erlebt hat. Wozu denn überhaupt auf intellektuellem Gebiet diese raschen Überzeugungen, blitzähnlichen Bekehrungen, momentanen Abstoßungen? </w:t>
      </w:r>
      <w:r w:rsidRPr="002F7766">
        <w:rPr>
          <w:rFonts w:ascii="Garamond" w:hAnsi="Garamond" w:cs="Arial"/>
        </w:rPr>
        <w:t xml:space="preserve">Merken Sie nicht, daß der » </w:t>
      </w:r>
      <w:r w:rsidRPr="002F7766">
        <w:rPr>
          <w:rFonts w:ascii="Garamond" w:hAnsi="Garamond" w:cs="Arial"/>
          <w:i/>
          <w:iCs/>
        </w:rPr>
        <w:t>coup de foudre</w:t>
      </w:r>
      <w:r w:rsidRPr="002F7766">
        <w:rPr>
          <w:rFonts w:ascii="Garamond" w:hAnsi="Garamond" w:cs="Arial"/>
        </w:rPr>
        <w:t xml:space="preserve">«, die Liebe auf den ersten Blick, von einem ganz verschiedenen, affektiven Gebiet hergenommen sind? Wir verlangen nicht einmal von unseren Patienten, daß sie eine Überzeugung oder Anhängerschaft an die Psychoanalyse mitbringen. Das macht sie uns oft verdächtig. </w:t>
      </w:r>
      <w:r w:rsidRPr="002F7766">
        <w:rPr>
          <w:rFonts w:ascii="Garamond" w:hAnsi="Garamond" w:cs="Arial"/>
          <w:lang w:val="en-GB"/>
        </w:rPr>
        <w:t>Eine wohlwollende Skepsis ist uns die erwünschteste Einstellung bei ihnen. Versuchen Sie also auch, die psychoanalytische Auffassung neben der populären oder der psychiatrischen ruhig in sich aufwachsen zu lassen, bis sich die Gelegenheiten ergeben, bei denen die beiden sich beeinflussen, sich messen und sich zu einer Entscheidung vereinigen können.</w:t>
      </w:r>
    </w:p>
    <w:p w:rsidR="00062BE4" w:rsidRPr="002F7766" w:rsidRDefault="00062BE4" w:rsidP="00062BE4">
      <w:pPr>
        <w:rPr>
          <w:rFonts w:ascii="Garamond" w:hAnsi="Garamond" w:cs="Arial"/>
          <w:lang w:val="en-GB"/>
        </w:rPr>
      </w:pPr>
      <w:r w:rsidRPr="002F7766">
        <w:rPr>
          <w:rFonts w:ascii="Garamond" w:hAnsi="Garamond" w:cs="Arial"/>
          <w:lang w:val="en-GB"/>
        </w:rPr>
        <w:t xml:space="preserve">Anderseits sollen Sie aber auch keinen Augenblick meinen, daß das, was ich Ihnen als psychoanalytische Auffassung vortrage, ein spekulatives System ist. Es ist vielmehr Erfahrung, entweder direkter Ausdruck der Beobachtung oder Ergebnis einer Verarbeitung derselben. Ob diese Verarbeitung auf zureichende und auf berechtigte Weise erfolgt ist, das wird sich im weiteren Fortschritt der Wissenschaft herausstellen, und zwar darf ich, nach Ablauf von fast zweieinhalb Dezennien und im Leben ziemlich weit vorgerückt; ohne Ruhmredigkeit behaupten, daß es besonders schwere, intensive und vertiefte Arbeit war, welche diese Beobachtungen geliefert hat. Ich habe oft den Eindruck empfangen, als ob unsere Gegner diese Herkunft unserer Behauptungen gar nicht in Rücksicht ziehen wollten, als meinten sie, es handle sich um nur subjektiv bestimmte Einfälle, denen ein anderer sein eigenes Belieben entgegensetzen kann. Ganz verständlich ist mir dieses gegnerische Benehmen nicht. Vielleicht kommt es daher, daß man sich als Arzt sonst so wenig mit den Nervösen einläßt, so unaufmerksam zuhört, was sie zu sagen haben, daß man sich der Möglichkeit entfremdet hat, aus ihren Mitteilungen etwas Wertvolles zu entnehmen, also an ihnen </w:t>
      </w:r>
      <w:r w:rsidRPr="002F7766">
        <w:rPr>
          <w:rFonts w:ascii="Garamond" w:hAnsi="Garamond" w:cs="Arial"/>
          <w:lang w:val="en-GB"/>
        </w:rPr>
        <w:lastRenderedPageBreak/>
        <w:t>eingehende Beobachtungen zu machen. Ich verspreche Ihnen bei dieser Gelegenheit, daß ich im Verlaufe meiner Vorträge wenig polemisieren werde, am wenigsten mit einzelnen Personen. Ich habe mich von der Wahrheit des Satzes, daß der Streit der Vater aller Dinge sei, nicht überzeugen können. Ich glaube, er stammt von der griechischen Sophistik her und fehlt, wie diese, durch Überschätzung der Dialektik. Mir schien es im Gegenteil, als ob die sogenannte wissenschaftliche Polemik im ganzen recht unfruchtbar sei, abgesehen davon, daß sie fast immer höchst persönlich betrieben wird. Bis vor einigen Jahren konnte ich auch von mir rühmen, daß ich nur mit einem einzigen Forscher (Löwenfeld in München) einmal einen regelrechten wissenschaftlichen Streit eingegangen bin. Das Ende war, daß wir Freunde geworden und bis auf den heutigen Tag so geblieben sind. Aber ich habe den Versuch lange nicht wiederholt, weil ich des gleichen Ausganges nicht sicher war.</w:t>
      </w:r>
    </w:p>
    <w:p w:rsidR="00062BE4" w:rsidRPr="002F7766" w:rsidRDefault="00062BE4" w:rsidP="00062BE4">
      <w:pPr>
        <w:rPr>
          <w:rFonts w:ascii="Garamond" w:hAnsi="Garamond" w:cs="Arial"/>
          <w:lang w:val="en-GB"/>
        </w:rPr>
      </w:pPr>
      <w:r w:rsidRPr="002F7766">
        <w:rPr>
          <w:rFonts w:ascii="Garamond" w:hAnsi="Garamond" w:cs="Arial"/>
          <w:lang w:val="en-GB"/>
        </w:rPr>
        <w:t>Sie werden nun gewiß urteilen, daß eine solche Ablehnung literarischer Diskussion einen besonders hohen Grad von Unzugänglichkeit gegen Einwürfe, von Eigensinn, oder wie man es in der liebenswürdigen wissenschaftlichen Umgangssprache ausdrückt, von »Verranntheit« bezeugt. Ich möchte Ihnen antworten, wenn Sie einmal eine Überzeugung mit so schwerer Arbeit erworben haben werden, wird Ihnen auch ein gewisses Recht zufallen, mit einiger Zähigkeit an dieser Überzeugung festzuhalten. Ich kann ferner geltend machen, daß ich im Laufe meiner Arbeiten meine Ansichten über einige wichtige Punkte modifiziert, geändert, durch neue ersetzt habe, wovon ich natürlich jedesmal öffentlich Mitteilung machte. Und der Erfolg dieser Aufrichtigkeit? Die einen haben von meinen Selbstkorrekturen überhaupt nicht Kenntnis genommen und kritisieren mich noch heute wegen Aufstellungen, die mir längst nicht mehr dasselbe bedeuten. Die anderen halten mir gerade diese Wandlungen vor und erklären mich darum für unzuverlässig. Nicht wahr, wer einige Male seine Ansichten geändert hat, der verdient überhaupt keinen Glauben, denn er legt es zu nahe, daß er sich auch mit seinen letzten Behauptungen geirrt haben kann? Wer aber an dem einmal Geäußerten unbeirrt festhält oder sich nicht rasch genug davon abbringen läßt, der heißt eigensinnig und verrannt. Was kann man angesichts dieser einander entgegengesetzten Einwirkungen der Kritik anderes tun als bleiben, wie man ist, und sich benehmen, wie das eigene Urteil es billigt? Dazu bin ich auch entschlossen, und ich lasse mich nicht abhalten, an all meinen Lehren zu modeln und zurechtzurücken, wie es meine fortschreitende Erfahrung erfordert. An den grundlegenden Einsichten habe ich bisher nichts zu ändern gefunden und hoffe, es wird auch weiterhin so bleiben.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soll Ihnen also die psychoanalytische Auffassung der neurotischen Erscheinungen vorführen. Es liegt mir dabei nahe, an die bereits behandelten Phänomene anzuknüpfen, sowohl der Analogie als auch des Kontrastes wegen. Ich greife eine Symptomhandlung auf, die ich viele Personen in meiner Sprechstunde begehen sehe. Mit den Leuten, die uns in der ärztlichen Ordination besuchen, um in einer Viertelstunde den Jammer ihres langen Lebens vor uns auszubreiten, weiß ja der Analytiker nicht viel anzufangen. Sein tieferes Wissen macht es ihm schwer, wie ein anderer Arzt das Gutachten von sich zu geben: Es fehlt ihnen nichts und den Rat zu erteilen: Gebrauchen Sie eine leichte Wasserkur. Einer unserer Kollegen hat denn auch auf die Frage, was er mit seinen Ordinationspatienten anstelle, achselzuckend geantwortet: Er lege ihnen eine Mutwillensstrafe von soundsoviel Kronen auf. Es wird Sie also nicht verwundern zu hören, daß selbst bei beschäftigten Psychoanalytikern die Sprechstunde nicht sehr belebt zu sein pflegt. Ich habe die einfache Tür zwischen meinem Warte- und meinem Behandlungs- und Ordinationszimmer verdoppeln und durch einen Filzüberzug verstärken lassen. Die Absicht dieser kleinen Vorrichtung leidet ja keinen Zweifel. Nun geschieht es immer wieder, daß Personen, die ich aus dem Wartezimmer einlasse, es versäumen, die Türe hinter sich zu schließen, und zwar lassen sie fast immer beide Türen offen stehen. Sowie ich das bemerke, bestehe ich in ziemlich unfreundlichem Ton darauf, daß der oder die Eintretende zurückgehe, um das Versäumte nachzuholen, mag es auch ein eleganter Herr oder eine sehr geputzte Dame sein. Das macht den Eindruck von unangebrachter Pedanterie. Ich habe mich auch gelegentlich mit solcher Forderung blamiert, da es sich um Personen handelte, die selbst keine Türklinke anfassen können und es gern sehen, wenn ihre Begleitung ihnen diese Berührung erspart. Aber in der Überzahl der Fälle </w:t>
      </w:r>
      <w:r w:rsidRPr="002F7766">
        <w:rPr>
          <w:rFonts w:ascii="Garamond" w:hAnsi="Garamond" w:cs="Arial"/>
          <w:lang w:val="en-GB"/>
        </w:rPr>
        <w:lastRenderedPageBreak/>
        <w:t>hatte ich recht, denn wer sich so benimmt, wer die Türe vom Wartezimmer zum Sprechzimmer des Arztes offen stehen läßt, der gehört zum Pöbel und verdient, unfreundlich empfangen zu werden. Nehmen Sie jetzt nicht Partei, ehe Sie auch das Weitere angehört haben. Diese Nachlässigkeit des Patienten ereignet sich nämlich nur dann, wenn er sich allein im Wartezimmer befunden hat und also ein leeres Zimmer hinter sich zurückläßt, niemals wenn andere, Fremde, mit ihm gewartet haben. In diesem letzteren Falle versteht er sehr wohl, daß es in seinem Interesse liegt, nicht belauscht zu werden, während er mit dem Arzt spricht, und versäumt es nie, beide Türen sorgfältig zu schließen.</w:t>
      </w:r>
    </w:p>
    <w:p w:rsidR="00062BE4" w:rsidRPr="002F7766" w:rsidRDefault="00062BE4" w:rsidP="00062BE4">
      <w:pPr>
        <w:rPr>
          <w:rFonts w:ascii="Garamond" w:hAnsi="Garamond" w:cs="Arial"/>
          <w:lang w:val="en-GB"/>
        </w:rPr>
      </w:pPr>
      <w:r w:rsidRPr="002F7766">
        <w:rPr>
          <w:rFonts w:ascii="Garamond" w:hAnsi="Garamond" w:cs="Arial"/>
          <w:lang w:val="en-GB"/>
        </w:rPr>
        <w:t>So determiniert, ist das Versäumnis des Patienten weder zufällig noch sinnlos, ja nicht einmal unwichtig, denn wir werden sehen, es beleuchtet das Verhältnis des Eintretenden zum Arzt. Der Patient ist von der großen Menge jener, die weltliche Autorität verlangen, die geblendet, eingeschüchtert werden wollen. Er hat vielleicht durchs Telephon anfragen lassen, um welche Zeit er am leichtesten vorkommen kann, er hat sich auf ein Gedränge von Hilfesuchenden gefaßt gemacht, etwa wie vor einer Filiale von Julius Meinl. Nun tritt er in einen leeren, überdies höchst bescheiden ausgestatteten Warteraum und ist erschüttert. Er muß es den Arzt entgelten lassen, daß er ihm einen so überflüssigen Aufwand von Respekt entgegenbringen wollte, und da unterläßt er es, die Türe zwischen Warte- und Ordinationszimmer zu schließen. Er will dem Arzt damit sagen: Ach, hier ist ja niemand und wahrscheinlich wird auch, so lange ich hier bin, niemand kommen. Er würde sich auch während der Besprechung ganz unmanierlich und respektlos benehmen, wenn man seine Überhebung nicht gleich anfangs durch eine scharfe Zurechtweisung eindämmen würde.</w:t>
      </w:r>
    </w:p>
    <w:p w:rsidR="00062BE4" w:rsidRPr="002F7766" w:rsidRDefault="00062BE4" w:rsidP="00062BE4">
      <w:pPr>
        <w:rPr>
          <w:rFonts w:ascii="Garamond" w:hAnsi="Garamond" w:cs="Arial"/>
          <w:lang w:val="en-GB"/>
        </w:rPr>
      </w:pPr>
      <w:r w:rsidRPr="002F7766">
        <w:rPr>
          <w:rFonts w:ascii="Garamond" w:hAnsi="Garamond" w:cs="Arial"/>
          <w:lang w:val="en-GB"/>
        </w:rPr>
        <w:t>Sie finden an der Analyse dieser kleinen Symptomhandlung nichts, was Ihnen nicht bereits bekannt wäre: Die Behauptung, daß sie nicht zufällig ist, sondern ein Motiv hat, einen Sinn und eine Absicht, daß sie in einen angebbaren seelischen Zusammenhang gehört und daß sie als ein kleines Anzeichen von einem wichtigeren seelischen Vorgang Kunde gibt. Vor allem anderen aber, daß dieser so angezeigte Vorgang dem Bewußtsein dessen, der ihn vollzieht, unbekannt ist, denn keiner der Patienten, welche die beiden Türen offen gelassen haben, würde zugeben können, daß er mir durch dieses Versäumnis seine Geringschätzung bezeugen wollte. Auf eine Regung von Enttäuschung beim Betreten des leeren Wartezimmers würde sich wahrscheinlich mancher besinnen, aber der Zusammenhang zwischen diesem Eindruck und der darauffolgenden Symptomhandlung ist seinem Bewußtsein sicherlich unerkannt geblieben.</w:t>
      </w:r>
    </w:p>
    <w:p w:rsidR="00062BE4" w:rsidRPr="002F7766" w:rsidRDefault="00062BE4" w:rsidP="00062BE4">
      <w:pPr>
        <w:rPr>
          <w:rFonts w:ascii="Garamond" w:hAnsi="Garamond" w:cs="Arial"/>
          <w:lang w:val="en-GB"/>
        </w:rPr>
      </w:pPr>
      <w:r w:rsidRPr="002F7766">
        <w:rPr>
          <w:rFonts w:ascii="Garamond" w:hAnsi="Garamond" w:cs="Arial"/>
          <w:lang w:val="en-GB"/>
        </w:rPr>
        <w:t>Nun wollen wir dieser kleinen Analyse einer Symptomhandlung eine Beobachtung an einer Kranken an die Seite stellen. Ich wähle eine solche, die mir in frischer Erinnerung ist, auch darum, weil sie sich verhältnismäßig kurz darstellen läßt. Ein gewisses Maß von Ausführlichkeit ist bei jeder solchen Mitteilung unerläßlich.</w:t>
      </w:r>
    </w:p>
    <w:p w:rsidR="00062BE4" w:rsidRPr="002F7766" w:rsidRDefault="00062BE4" w:rsidP="00062BE4">
      <w:pPr>
        <w:rPr>
          <w:rFonts w:ascii="Garamond" w:hAnsi="Garamond" w:cs="Arial"/>
          <w:lang w:val="en-GB"/>
        </w:rPr>
      </w:pPr>
      <w:r w:rsidRPr="002F7766">
        <w:rPr>
          <w:rFonts w:ascii="Garamond" w:hAnsi="Garamond" w:cs="Arial"/>
          <w:lang w:val="en-GB"/>
        </w:rPr>
        <w:t xml:space="preserve">Ein auf kurzen Urlaub heimgekehrter junger Offizier bittet mich, seine Schwiegermutter in Behandlung zu nehmen, die in den glücklichsten Verhältnissen sich und den Ihrigen das Leben durch eine unsinnige Idee vergällt. Ich lerne eine 53jährige, wohlerhaltene Dame von freundlichem, einfachem Wesen kennen, die ohne Widerstreben folgenden Bericht gibt. Sie lebt in glücklichster Ehe auf dem Lande mit ihrem Manne, der eine große Fabrik leitet. Sie weiß die liebenswürdige Sorgfalt ihres Mannes nicht genug zu loben. Liebesheirat vor 30Jahren, seither nie eine Trübung, Zwist oder Anlaß zur Eifersucht. Ihre beiden Kinder gut verheiratet, der Mann und Vater will sich aus Pflichtgefühl noch nicht zur Ruhe setzen. Vor einem Jahre ereignete sich das Unglaubliche, ihr selbst Unverständliche, daß sie einem anonymen Briefe, welcher ihren ausgezeichneten Mann des Liebesverhältnisses mit einem jungen Mädchen bezichtigte, sofortigen Glauben schenkte, und seither ist ihr Glück zerstört. Der nähere Hergang war etwa der folgende: sie hatte ein Stubenmädchen, mit dem sie vielleicht zu oft Intimes besprach. Dieses Mädchen verfolgte ein anderes mit einer geradezu gehässigen Feindschaft, weil diese es im Leben soviel weiter gebracht hatte, obwohl sie von nicht besserer Herkunft war. Anstatt Dienst anzunehmen, hatte das Mädchen sich eine kommerzielle </w:t>
      </w:r>
      <w:r w:rsidRPr="002F7766">
        <w:rPr>
          <w:rFonts w:ascii="Garamond" w:hAnsi="Garamond" w:cs="Arial"/>
          <w:lang w:val="en-GB"/>
        </w:rPr>
        <w:lastRenderedPageBreak/>
        <w:t>Ausbildung verschafft, war in die Fabrik eingetreten und infolge des Personalmangels durch die Einberufungen von Beamten zu einer guten Stellung vorgerückt. Sie wohnte jetzt in der Fabrik selbst, verkehrte mit allen Herren und hieß sogar Fräulein. Die im Leben Zurückgebliebene war natürlich bereit, der ehemaligen Schulkameradin alles mögliche Böse nachzusagen. Eines Tages unterhielt sich unsere Dame mit dem Stubenmädchen über einen alten Herrn, der zu Gast gewesen war, von dem man wußte, daß er nicht mit seiner Frau lebte, sondern ein Verhältnis mit einer anderen unterhielt. Sie weiß nicht, wie es kam, daß sie plötzlich äußerte: Für mich wäre es das Schrecklichste, wenn ich erfahren würde, daß mein guter Mann auch ein Verhältnis hat. Am nächsten Tage erhielt sie von der Post einen anonymen Brief, der ihr in verstellter Schrift diese gleichsam heraufbeschworene Mitteilung machte. Sie schloß wahrscheinlich mit Recht, daß der Brief das Werk ihres bösen Stubenmädchens sei, denn als Geliebte des Mannes war eben jenes Fräulein bezeichnet, das die Dienerin mit ihrem Haß verfolgte. Aber obwohl sie die Intrige sofort durchschaute und an ihrem Wohnorte Beispiele genug erlebt hatte, wie wenig Glauben solche feige Denunziationen verdienten, geschah es, daß jener Brief sie augenblicklich niederwarf. Sie geriet in eine schreckliche Aufregung und schickte sofort um ihren Mann, um ihm die heftigsten Vorwürfe zu machen. Der Mann wies die Beschuldigung lachend ab und tat das Beste, was zu tun war. Er ließ den Haus- und Fabrikarzt kommen, der sein Bemühen dazutat, um die unglückliche Frau zu beruhigen. Auch das weitere Vorgehen der beiden war durchaus verständig. Das Stubenmädchen wurde entlassen, die angebliche Nebenbuhlerin aber nicht. Seither will sich die Kranke wiederholt soweit beruhigt haben, daß sie an den Inhalt des anonymen Briefes nicht mehr glaubte, aber nie gründlich und nie für lange Zeit. Es reichte hin, den Namen des Fräuleins aussprechen zu hören oder ihr auf der Straße zu begegnen, um einen neuen Anfall von Mißtrauen, Schmerz und Vorwürfen bei ihr auszulösen.</w:t>
      </w:r>
    </w:p>
    <w:p w:rsidR="00062BE4" w:rsidRPr="002F7766" w:rsidRDefault="00062BE4" w:rsidP="00062BE4">
      <w:pPr>
        <w:rPr>
          <w:rFonts w:ascii="Garamond" w:hAnsi="Garamond" w:cs="Arial"/>
          <w:lang w:val="en-GB"/>
        </w:rPr>
      </w:pPr>
      <w:r w:rsidRPr="002F7766">
        <w:rPr>
          <w:rFonts w:ascii="Garamond" w:hAnsi="Garamond" w:cs="Arial"/>
          <w:lang w:val="en-GB"/>
        </w:rPr>
        <w:t>Das ist nun die Krankengeschichte dieser braven Frau. Es gehörte nicht viel psychiatrische Erfahrung dazu, um zu verstehen, daß sie im Gegensatz zu anderen Nervösen ihren Fall eher zu milde darstellte, also wie wir sagen: dissimulierte, und daß sie den Glauben an die Beschuldigung des anonymen Briefes eigentlich niemals überwunden hatte.</w:t>
      </w:r>
    </w:p>
    <w:p w:rsidR="00062BE4" w:rsidRPr="002F7766" w:rsidRDefault="00062BE4" w:rsidP="00062BE4">
      <w:pPr>
        <w:rPr>
          <w:rFonts w:ascii="Garamond" w:hAnsi="Garamond" w:cs="Arial"/>
          <w:lang w:val="en-GB"/>
        </w:rPr>
      </w:pPr>
      <w:r w:rsidRPr="002F7766">
        <w:rPr>
          <w:rFonts w:ascii="Garamond" w:hAnsi="Garamond" w:cs="Arial"/>
          <w:lang w:val="en-GB"/>
        </w:rPr>
        <w:t xml:space="preserve">Welche Stellung nimmt nun der Psychiater zu einem solchen Krankheitsfalle ein? Wie er sich gegen die Symptomhandlung des Patienten benehmen würde, der die Türen zum Wartezimmer nicht schließt, das wissen wir bereits. </w:t>
      </w:r>
      <w:r w:rsidRPr="002F7766">
        <w:rPr>
          <w:rFonts w:ascii="Garamond" w:hAnsi="Garamond" w:cs="Arial"/>
        </w:rPr>
        <w:t xml:space="preserve">Er erklärt sie für eine Zufälligkeit ohne psychologisches Interesse, die ihn weiter nichts angeht. </w:t>
      </w:r>
      <w:r w:rsidRPr="002F7766">
        <w:rPr>
          <w:rFonts w:ascii="Garamond" w:hAnsi="Garamond" w:cs="Arial"/>
          <w:lang w:val="en-GB"/>
        </w:rPr>
        <w:t xml:space="preserve">Aber dies Verhalten läßt sich auf den Krankheitsfall der eifersüchtigen Frau nicht fortsetzen. Die Symptomhandlung scheint etwas Gleichgültiges zu sein, das Symptom aber drängt sich als etwas Bedeutsames auf. Es ist mit intensivem subjektiven </w:t>
      </w:r>
      <w:smartTag w:uri="urn:schemas-microsoft-com:office:smarttags" w:element="City">
        <w:smartTag w:uri="urn:schemas-microsoft-com:office:smarttags" w:element="place">
          <w:r w:rsidRPr="002F7766">
            <w:rPr>
              <w:rFonts w:ascii="Garamond" w:hAnsi="Garamond" w:cs="Arial"/>
              <w:lang w:val="en-GB"/>
            </w:rPr>
            <w:t>Leiden</w:t>
          </w:r>
        </w:smartTag>
      </w:smartTag>
      <w:r w:rsidRPr="002F7766">
        <w:rPr>
          <w:rFonts w:ascii="Garamond" w:hAnsi="Garamond" w:cs="Arial"/>
          <w:lang w:val="en-GB"/>
        </w:rPr>
        <w:t xml:space="preserve"> verbunden, es bedroht objektiv das Zusammenleben einer Familie; es ist also ein unabweisbarer Gegenstand des psychiatrischen Interesses. Der Psychiater versucht zunächst das Symptom durch eine wesentliche Eigenschaft zu charakterisieren. Die Idee, mit welcher diese Frau sich quält, ist nicht an sich unsinnig zu nennen; es kommt ja vor, daß ältere Ehemänner Liebesbeziehungen zu jungen Mädchen unterhalten. Aber etwas anderes daran ist unsinnig und unbegreiflich. Die Patientin hat gar keinen anderen Grund daran zu glauben, daß ihr zärtlicher und treuer Gatte zu dieser sonst nicht so seltenen Kategorie von Ehemännern gehört, als die Behauptung des anonymen Briefes. Sie weiß, daß diesem Schriftstück keine Beweiskraft zukommt, sie kann sich dessen Herkunft befriedigend aufklären; sie sollte sich also sagen können, daß sie gar keinen Grund für ihre Eifersucht hat, sie sagt es sich auch, aber sie leidet trotzdem ebenso, als ob sie diese Eifersucht als vollberechtigt anerkennen würde. Ideen dieser Art, die logischen und aus der Realität geschöpften Argumenten unzugänglich sind, ist man übereingekommen, </w:t>
      </w:r>
      <w:r w:rsidRPr="002F7766">
        <w:rPr>
          <w:rFonts w:ascii="Garamond" w:hAnsi="Garamond" w:cs="Arial"/>
          <w:i/>
          <w:iCs/>
          <w:lang w:val="en-GB"/>
        </w:rPr>
        <w:t>Wahnideen</w:t>
      </w:r>
      <w:r w:rsidRPr="002F7766">
        <w:rPr>
          <w:rFonts w:ascii="Garamond" w:hAnsi="Garamond" w:cs="Arial"/>
          <w:lang w:val="en-GB"/>
        </w:rPr>
        <w:t xml:space="preserve"> zu heißen. Die gute Dame leidet also an </w:t>
      </w:r>
      <w:r w:rsidRPr="002F7766">
        <w:rPr>
          <w:rFonts w:ascii="Garamond" w:hAnsi="Garamond" w:cs="Arial"/>
          <w:i/>
          <w:iCs/>
          <w:lang w:val="en-GB"/>
        </w:rPr>
        <w:t>Eifersuchtswahn</w:t>
      </w:r>
      <w:r w:rsidRPr="002F7766">
        <w:rPr>
          <w:rFonts w:ascii="Garamond" w:hAnsi="Garamond" w:cs="Arial"/>
          <w:lang w:val="en-GB"/>
        </w:rPr>
        <w:t>. Das ist wohl die wesentliche Charakteristik dieses Krankheitsfalles.</w:t>
      </w:r>
    </w:p>
    <w:p w:rsidR="00062BE4" w:rsidRPr="002F7766" w:rsidRDefault="00062BE4" w:rsidP="00062BE4">
      <w:pPr>
        <w:rPr>
          <w:rFonts w:ascii="Garamond" w:hAnsi="Garamond" w:cs="Arial"/>
          <w:lang w:val="en-GB"/>
        </w:rPr>
      </w:pPr>
      <w:r w:rsidRPr="002F7766">
        <w:rPr>
          <w:rFonts w:ascii="Garamond" w:hAnsi="Garamond" w:cs="Arial"/>
          <w:lang w:val="en-GB"/>
        </w:rPr>
        <w:t xml:space="preserve">Nach dieser ersten Feststellung wird unser psychiatrisches Interesse sich noch lebhafter regen wollen. Wenn eine Wahnidee durch den Bezug auf die Realität nicht abzutun ist, so wird sie wohl auch nicht aus der Realität stammen. Woher stammt sie sonst? Es gibt Wahnideen des verschiedenartigsten Inhaltes; warum ist der Inhalt des Wahnes in unserem Falle gerade Eifersucht? Bei welchen Personen bilden sich </w:t>
      </w:r>
      <w:r w:rsidRPr="002F7766">
        <w:rPr>
          <w:rFonts w:ascii="Garamond" w:hAnsi="Garamond" w:cs="Arial"/>
          <w:lang w:val="en-GB"/>
        </w:rPr>
        <w:lastRenderedPageBreak/>
        <w:t xml:space="preserve">Wahnideen oder besonders Wahnideen der Eifersucht? </w:t>
      </w:r>
      <w:r w:rsidRPr="002F7766">
        <w:rPr>
          <w:rFonts w:ascii="Garamond" w:hAnsi="Garamond" w:cs="Arial"/>
        </w:rPr>
        <w:t xml:space="preserve">Hier möchten wir nun dem Psychiater lauschen, aber hier läßt er uns im Stiche. Er geht überhaupt nur auf eine einzige unserer Fragestellungen ein. Er wird in der Familiengeschichte dieser Frau nachforschen und uns </w:t>
      </w:r>
      <w:r w:rsidRPr="002F7766">
        <w:rPr>
          <w:rFonts w:ascii="Garamond" w:hAnsi="Garamond" w:cs="Arial"/>
          <w:i/>
          <w:iCs/>
        </w:rPr>
        <w:t>vielleicht</w:t>
      </w:r>
      <w:r w:rsidRPr="002F7766">
        <w:rPr>
          <w:rFonts w:ascii="Garamond" w:hAnsi="Garamond" w:cs="Arial"/>
        </w:rPr>
        <w:t xml:space="preserve"> die Antwort bringen: Wahnideen kommen bei solchen Personen vor, in deren Familien ähnliche und andere psychische Störungen wiederholt vorgekommen sind. </w:t>
      </w:r>
      <w:r w:rsidRPr="002F7766">
        <w:rPr>
          <w:rFonts w:ascii="Garamond" w:hAnsi="Garamond" w:cs="Arial"/>
          <w:lang w:val="en-GB"/>
        </w:rPr>
        <w:t>Mit anderen Worten, wenn diese Frau eine Wahnidee entwickelt hat, so war sie durch erbliche Übertragung dazu disponiert. Das ist gewiß etwas, aber ist das alles, was wir wissen wollen? Alles, was zur Verursachung dieses Krankheitsfalles mitgewirkt hat? Sollen wir uns damit begnügen anzunehmen, daß es gleichgültig, willkürlich oder unerklärlich ist, wenn sich ein Eifersuchtswahn entwickelt hat an Stelle irgendeines anderen? Und dürfen wir den Satz, der die Vorherrschaft des erblichen Einflusses verkündet, auch im negativen Sinne dahin verstehen, es sei gleichgültig, welche Erlebnisse an diese Seele herangetreten sind, sie war dazu bestimmt, irgendeinmal einen Wahn zu produzieren? Sie werden wissen wollen, warum uns die wissenschaftliche Psychiatrie keine weiteren Aufschlüsse geben will. Aber ich antworte Ihnen: Ein Schelm, wer mehr gibt, als er hat. Der Psychiater kennt eben keinen Weg, der in der Aufklärung eines solchen Falles weiterführt. Er muß sich mit der Diagnose und einer trotz reichlicher Erfahrung unsicheren Prognose des weiteren Verlaufes begnügen.</w:t>
      </w:r>
    </w:p>
    <w:p w:rsidR="00062BE4" w:rsidRPr="002F7766" w:rsidRDefault="00062BE4" w:rsidP="00062BE4">
      <w:pPr>
        <w:rPr>
          <w:rFonts w:ascii="Garamond" w:hAnsi="Garamond" w:cs="Arial"/>
        </w:rPr>
      </w:pPr>
      <w:r w:rsidRPr="002F7766">
        <w:rPr>
          <w:rFonts w:ascii="Garamond" w:hAnsi="Garamond" w:cs="Arial"/>
        </w:rPr>
        <w:t xml:space="preserve">Kann aber die Psychoanalyse hier mehr leisten? Ja doch; ich hoffe Ihnen zu zeigen, daß sie selbst in einem so schwer zugänglichen Falle etwas aufzudecken vermag, was das nächste Verständnis ermöglicht. Zunächst bitte ich Sie, das unscheinbare Detail zu beachten, daß die Patientin den anonymen Brief, der nun ihre Wahnidee stützt, geradezu provoziert hat, indem sie tags zuvor gegen das intrigante Mädchen die Äußerung tat, es wäre ihr größtes Unglück, wenn ihr Mann ein Liebesverhältnis mit einem jungen Mädchen hätte. </w:t>
      </w:r>
      <w:r w:rsidRPr="002F7766">
        <w:rPr>
          <w:rFonts w:ascii="Garamond" w:hAnsi="Garamond" w:cs="Arial"/>
          <w:lang w:val="en-GB"/>
        </w:rPr>
        <w:t xml:space="preserve">Dadurch brachte sie das Dienstmädchen erst auf die Idee, ihr den anonymen Brief zu schicken. Die Wahnidee gewinnt so eine gewisse Unabhängigkeit von dem Briefe; sie ist schon vorher als Befürchtung oder als Wunsch? in der Kranken vorhanden gewesen. Nehmen Sie nun weiter hinzu, was nur zwei Stunden Analyse an weiteren kleinen Anzeichen ergeben haben. Die Patientin verhielt sich zwar sehr ablehnend, als sie aufgefordert wurde, nach der Erzählung ihrer Geschichte ihre weiteren Gedanken, Einfälle und Erinnerungen mitzuteilen. Sie behauptete, es fiele ihr nichts ein, sie habe schon alles gesagt, und nach zwei Stunden mußte der Versuch mit ihr wirklich abgebrochen werden, weil sie verkündet hatte, sie fühle sich bereits gesund und sei sicher, daß die krankhafte Idee nicht wiederkommen werde. Das sagte sie natürlich nur aus Widerstand und aus Angst vor der Fortsetzung der Analyse. Aber in diesen zwei Stunden hatte sie doch einige Bemerkungen fallenlassen, die eine bestimmte Deutung gestatteten, ja unabweisbar machten, und diese Deutung wirft ein helles Licht auf die Genese ihres Eifersuchtswahnes. Es bestand bei ihr selbst eine intensive Verliebtheit in einen jungen Mann, in denselben Schwiegersohn, auf dessen Drängen sie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als Patientin aufgesucht hatte. Von dieser Verliebtheit wußte sie nichts oder vielleicht nur sehr wenig; bei dem bestehenden Verwandtschaftsverhältnis hatte diese verliebte Neigung es leicht, sich als harmlose Zärtlichkeit zu maskieren. Nach all unseren sonstigen Erfahrungen wird es uns nicht schwer, uns in das Seelenleben dieser anständigen Frau und braven Mutter von 53Jahren einzufühlen. Eine solche Verliebtheit konnte als etwas Ungeheuerliches, Unmögliches nicht bewußt werden; sie blieb aber bestehen und übte als unbewußte einen schweren Druck aus. Irgend etwas mußte mit ihr geschehen, irgendeine Abhilfe gesucht werden, und die nächste Linderung bot wohl der Verschiebungsmechanismus, der an der Entstehung der wahnhaften Eifersucht so regelmäßig Anteil hat. Wenn nicht nur sie alte Frau in einen jungen Mann verliebt war, sondern auch ihr alter Mann ein Liebesverhältnis mit einem jungen Mädchen unterhielt, dann war sie ja vom Gewissensdruck der Untreue entlastet. </w:t>
      </w:r>
      <w:r w:rsidRPr="002F7766">
        <w:rPr>
          <w:rFonts w:ascii="Garamond" w:hAnsi="Garamond" w:cs="Arial"/>
        </w:rPr>
        <w:t>Die Phantasie von der Untreue des Mannes war also ein kühlendes Pflaster auf ihre brennende Wunde. Ihre eigene Liebe war ihr nicht bewußt geworden, aber die Spiegelung derselben, die ihr solche Vorteile brachte, wurde nun zwangsartig, wahnhaft, bewußt. Alle Argumente dagegen konnten natürlich nichts fruchten, denn sie richteten sich nur gegen das Spiegel-, nicht gegen das Urbild, dem jenes seine Stärke verdankte und das unantastbar im Unbewußten geborgen lag.</w:t>
      </w:r>
    </w:p>
    <w:p w:rsidR="00062BE4" w:rsidRPr="002F7766" w:rsidRDefault="00062BE4" w:rsidP="00062BE4">
      <w:pPr>
        <w:rPr>
          <w:rFonts w:ascii="Garamond" w:hAnsi="Garamond" w:cs="Arial"/>
          <w:lang w:val="en-GB"/>
        </w:rPr>
      </w:pPr>
      <w:r w:rsidRPr="002F7766">
        <w:rPr>
          <w:rFonts w:ascii="Garamond" w:hAnsi="Garamond" w:cs="Arial"/>
        </w:rPr>
        <w:lastRenderedPageBreak/>
        <w:t xml:space="preserve">Stellen wir nun zusammen, was eine kurze und erschwerte psychoanalytische Bemühung zum Verständnis dieses Krankheitsfalles gebracht hat. </w:t>
      </w:r>
      <w:r w:rsidRPr="002F7766">
        <w:rPr>
          <w:rFonts w:ascii="Garamond" w:hAnsi="Garamond" w:cs="Arial"/>
          <w:lang w:val="en-GB"/>
        </w:rPr>
        <w:t>Vorausgesetzt natürlich, daß unsere Ermittlungen korrekt zustande gekommen sind, was ich hier Ihrem Urteil nicht unterwerfen kann. Fürs erste: Die Wahnidee ist nichts Unsinniges oder Unverständliches mehr, sie ist sinnreich, gut motiviert, gehört in den Zusammenhang eines affektvollen Erlebnisses der Kranken. Zweitens: Sie ist notwendig als Reaktion auf einen aus anderen Anzeichen erratenen unbewußten seelischen Vorgang und verdankt gerade dieser Beziehung ihren wahnhaften Charakter, ihre Resistenz gegen logische und reale Angriffe. Sie ist selbst etwas Erwünschtes, eine Art von Tröstung. Drittens: Es ist durch das Erlebnis hinter der Erkrankung unzweideutig bestimmt, daß es gerade eine eifersüchtige Wahnidee wurde und keine andere. Sie erinnern sich doch, daß sie tags zuvor gegen das intrigante Mädchen die Äußerung tat, es wäre ihr das Schrecklichste, wenn ihr Mann ihr untreu würde. Sie übersehen auch nicht die beiden wichtigen Analogien mit der von uns analysierten Symptomhandlung in der Aufklärung des Sinnes oder der Absicht und in der Beziehung auf ein in der Situation gegebenes Unbewußtes.</w:t>
      </w:r>
    </w:p>
    <w:p w:rsidR="00062BE4" w:rsidRPr="002F7766" w:rsidRDefault="00062BE4" w:rsidP="00062BE4">
      <w:pPr>
        <w:rPr>
          <w:rFonts w:ascii="Garamond" w:hAnsi="Garamond" w:cs="Arial"/>
          <w:lang w:val="en-GB"/>
        </w:rPr>
      </w:pPr>
      <w:r w:rsidRPr="00062BE4">
        <w:rPr>
          <w:rFonts w:ascii="Garamond" w:hAnsi="Garamond" w:cs="Arial"/>
          <w:lang w:val="en-GB"/>
        </w:rPr>
        <w:t xml:space="preserve">Natürlich sind damit nicht alle Fragen beantwortet, die wir aus Anlaß dieses Falles stellen durften. Der Krankheitsfall starrt vielmehr von weiteren Problemen, solchen, die überhaupt noch nicht lösbar geworden sind, und anderen, die sich wegen der Ungunst der besonderen Verhältnisse nicht lösen ließen. Z.B. warum erliegt diese in glücklicher Ehe lebende Frau einer Verliebtheit in ihren Schwiegersohn, und warum erfolgt die Erleichterung, die auch auf andere Weise möglich wäre, in der Form einer solchen Spiegelung, einer Projektion ihres eigenen Zustandes auf ihren Mann? </w:t>
      </w:r>
      <w:r w:rsidRPr="002F7766">
        <w:rPr>
          <w:rFonts w:ascii="Garamond" w:hAnsi="Garamond" w:cs="Arial"/>
          <w:lang w:val="en-GB"/>
        </w:rPr>
        <w:t xml:space="preserve">Glauben Sie nicht, daß es müßig und mutwillig ist, solche Fragen aufzuwerfen. Es steht uns bereits manches Material für eine mögliche Beantwortung derselben zu Gebote. Die Frau befindet sich in dem kritischen Alter, das dem weiblichen Sexualbedürfnis eine unerwünschte plötzliche Steigerung bringt; das mag für sich allein hinreichen. Oder es mag hinzukommen, daß ihr guter und treuer Ehemann seit manchen Jahren nicht mehr im Besitze jener sexuellen Leistungsfähigkeit ist, deren die wohlerhaltene Frau zu ihrer Befriedigung bedürfte. Die Erfahrung hat uns darauf aufmerksam gemacht, daß gerade solche Männer, deren Treue dann selbstverständlich ist, sich durch besondere Zartheit in der Behandlung ihrer Frauen und durch ungewöhnliche Nachsicht mit deren nervösen Beschwerden auszeichnen. Oder es ist weiters nicht gleichgültig, daß es gerade der junge Ehemann einer Tochter ist, welcher zum Objekt dieser pathogenen Verliebtheit wurde. Eine starke erotische Bindung an die Tochter, die im letzten Grunde auf die Sexualkonstitution der Mutter zurückführt, findet oft den Weg dazu, sich in solcher Umwandlung fortzusetzen. Ich darf Sie vielleicht in diesem Zusammenhange daran erinnern, daß das Verhältnis zwischen Schwiegermutter und Schwiegersohn den Menschen von jeher als ein besonders heikles gegolten und bei den Primitiven Anlaß zu sehr mächtigen Tabuvorschriften und »Vermeidungen« gegeben hat </w:t>
      </w:r>
      <w:hyperlink r:id="rId1465"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Vgl. ›Totem und Tabu‹, (1914).</w:t>
        </w:r>
      </w:hyperlink>
      <w:r w:rsidRPr="002F7766">
        <w:rPr>
          <w:rFonts w:ascii="Garamond" w:hAnsi="Garamond" w:cs="Arial"/>
          <w:lang w:val="en-GB"/>
        </w:rPr>
        <w:t>. Es geht häufig nach der positiven wie nach der negativen Seite über das kulturell erwünschte Maß hinaus. Welches dieser drei Momente nun in unserem Falle zur Wirkung gekommen ist, ob zwei davon, ob sie alle zusammengetroffen sind, das kann ich Ihnen freilich nicht sagen, aber nur darum nicht, weil es mir nicht gestattet war, die Analyse des Falles über die zweite Stunde hinaus fortzusetzen.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merke jetzt, meine Herren, daß ich von lauter Dingen gesprochen habe, für die Ihr Verständnis noch nicht vorbereitet ist. </w:t>
      </w:r>
      <w:r w:rsidRPr="002F7766">
        <w:rPr>
          <w:rFonts w:ascii="Garamond" w:hAnsi="Garamond" w:cs="Arial"/>
        </w:rPr>
        <w:t xml:space="preserve">Ich tat es, um die Vergleichung der Psychiatrie mit der Psychoanalyse durchzuführen. Aber eines darf ich Sie jetzt fragen: Haben Sie irgend etwas von einem Widerspruch zwischen den beiden bemerkt? Die Psychiatrie wendet die technischen Methoden der Psychoanalyse nicht an, sie unterläßt es, etwas an den Inhalt der Wahnidee anzuknüpfen, und sie gibt uns im Hinweis auf die Heredität eine sehr allgemeine und entfernte Ätiologie, anstatt zuerst die speziellere und näherliegende Verursachung aufzuzeigen. Aber liegt darin ein Widerspruch, ein Gegensatz? Ist's nicht vielmehr eine Vervollständigung? </w:t>
      </w:r>
      <w:r w:rsidRPr="002F7766">
        <w:rPr>
          <w:rFonts w:ascii="Garamond" w:hAnsi="Garamond" w:cs="Arial"/>
          <w:lang w:val="en-GB"/>
        </w:rPr>
        <w:t xml:space="preserve">Widerspricht denn das hereditäre Moment der Bedeutung des Erlebnisses, setzen sich nicht vielmehr beide in der wirksamsten Weise zusammen? Sie werden mir zugeben, daß im Wesen der psychiatrischen </w:t>
      </w:r>
      <w:r w:rsidRPr="002F7766">
        <w:rPr>
          <w:rFonts w:ascii="Garamond" w:hAnsi="Garamond" w:cs="Arial"/>
          <w:lang w:val="en-GB"/>
        </w:rPr>
        <w:lastRenderedPageBreak/>
        <w:t>Arbeit nichts liegt, was sich gegen die psychoanalytische Forschung sträuben könnte. Die Psychiater sind's also, die sich der Psychoanalyse widersetzen, nicht die Psychiatrie. Die Psychoanalyse verhält sich zur Psychiatrie etwa wie die Histologie zur Anatomie; die eine studiert die äußeren Formen der Organe, die andere den Aufbau derselben aus den Geweben und Elementarteilchen. Ein Widerspruch zwischen diesen beiden Arten des Studiums, von denen das eine das andere fortsetzt, ist nicht gut denkbar. Sie wissen, die Anatomie gilt uns heute als die Grundlage einer wissenschaftlichen Medizin, aber es gab eine Zeit, in der es ebenso verboten war, menschliche Leichen zu zerlegen, um den inneren Bau des Körpers kennenzulernen, wie es heute verpönt erscheint, Psychoanalyse zu üben, um das innere Getriebe des Seelenlebens zu erkunden. Und voraussichtlich bringt uns eine nicht zu ferne Zeit die Einsicht, daß eine wissenschaftlich vertiefte Psychiatrie nicht möglich ist ohne eine gute Kenntnis der tieferliegenden, der unbewußten Vorgänge im Seelenleben.</w:t>
      </w:r>
    </w:p>
    <w:p w:rsidR="00062BE4" w:rsidRPr="002F7766" w:rsidRDefault="00062BE4" w:rsidP="00062BE4">
      <w:pPr>
        <w:rPr>
          <w:rFonts w:ascii="Garamond" w:hAnsi="Garamond" w:cs="Arial"/>
          <w:lang w:val="en-GB"/>
        </w:rPr>
      </w:pPr>
      <w:r w:rsidRPr="002F7766">
        <w:rPr>
          <w:rFonts w:ascii="Garamond" w:hAnsi="Garamond" w:cs="Arial"/>
          <w:lang w:val="en-GB"/>
        </w:rPr>
        <w:t>Vielleicht hat nun die viel befehdete Psychoanalyse auch Freunde unter Ihnen, welche es gern sehen, wenn sie sich auch von anderer, von der therapeutischen Seite her rechtfertigen ließe. Sie wissen, daß unsere bisherige psychiatrische Therapie Wahnideen nicht zu beeinflussen vermag. Kann es vielleicht die Psychoanalyse dank ihrer Einsicht in den Mechanismus dieser Symptome? Nein, meine Herren, sie kann es nicht; sie ist gegen diese Leiden vorläufig wenigstens ebenso ohnmächtig wie jede andere Therapie. Wir können zwar verstehen, was in dem Kranken vor sich gegangen ist, aber wir haben kein Mittel, um es den Kranken selbst verstehen zu machen. Sie haben ja gehört, daß ich die Analyse dieser Wahnidee nicht über die ersten Ansätze hinaus fördern konnte. Werden Sie darum behaupten wollen, daß die Analyse solcher Fälle verwerflich ist, weil sie unfruchtbar bleibt? Ich glaube doch nicht. Wir haben das Recht, ja die Pflicht, die Forschung ohne Rücksicht auf einen unmittelbaren Nutzeffekt zu betreiben. Am Ende wir wissen nicht, wo und wann wird sich jedes Stückchen Wissen in Können umsetzen, auch in therapeutisches Können. Zeigte sich die Psychoanalyse bei allen anderen Formen nervöser und psychischer Erkrankung ebenso erfolglos wie bei den Wahnideen, so bliebe sie doch als unersetzliches Mittel der wissenschaftlichen Forschung voll gerechtfertigt. Wir würden dann allerdings nicht in die Lage kommen, sie auszuüben; das Menschenmaterial, an dem wir lernen wollen, das lebt, seinen eigenen Willen hat und seiner Motive bedarf, um bei der Arbeit mitzutun, würde sich uns verweigern. Lassen Sie mich darum für heute mit der Mitteilung schließen, daß es umfassende Gruppen von nervösen Störungen gibt, bei denen sich die Umsetzung unseres besseren Verstehens in therapeutisches Können tatsächlich erwiesen hat, und daß wir bei diesen sonst schwer zugänglichen Erkrankungen unter gewissen Bedingungen Erfolge erzielen, die hinter keinen anderen auf dem Gebiete der internen Therapie zurückstehen.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17. Vo</w:t>
        </w:r>
        <w:bookmarkStart w:id="284" w:name="Vorlesungen_17"/>
        <w:bookmarkEnd w:id="284"/>
        <w:r w:rsidRPr="009C5A67">
          <w:rPr>
            <w:rStyle w:val="Lienhypertexte"/>
            <w:rFonts w:ascii="Garamond" w:hAnsi="Garamond" w:cs="Arial"/>
            <w:b/>
            <w:bCs/>
            <w:lang w:val="en-GB"/>
          </w:rPr>
          <w:t>rlesung. Der Sinn der Symptome</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 xml:space="preserve">Meine Damen und Herren! Ich habe Ihnen im vorigen Vortrag auseinandergesetzt, daß die klinische Psychiatrie sich um die Erscheinungsform und den Inhalt des einzelnen Symptoms wenig bekümmert, daß aber die Psychoanalyse gerade hier angesetzt und zunächst festgestellt hat, das Symptom sei sinnreich und hänge mit dem Erleben des Kranken zusammen. Der Sinn der neurotischen Symptome ist zuerst von J.Breuer aufgedeckt worden durch das Studium und die glückliche Herstellung eines seither berühmt gewordenen Falles von Hysterie (188082). Es ist richtig, daß P.Janet unabhängig denselben Nachweis erbracht hat; dem französischen Forscher gebührt sogar die literarische Priorität, denn Breuer hat seine Beobachtung erst mehr als ein Dezennium später (189395) während der Mitarbeiterschaft mit mir veröffentlicht. Es mag uns übrigens ziemlich gleichgültig sein, von wem diese Entdeckung herrührt, denn Sie wissen, jede Entdeckung wird mehr als einmal gemacht, und keine wird auf einmal gemacht, und der Erfolg geht ohnedies nicht mit dem Verdienst. Amerika heißt nicht nach Kolumbus. Vor Breuer und Janet hat der große Psychiater Leuret die Meinung ausgesprochen, selbst die Delirien der Geisteskranken müßten sich als sinnvoll erkennen lassen, wenn wir erst verstünden, sie zu übersetzen. Ich gestehe, daß ich lange Zeit bereit war, das Verdienst P.Janets an der Aufklärung der neurotischen Symptome sehr hoch anzuschlagen, weil er sie als Äußerungen von </w:t>
      </w:r>
      <w:r w:rsidRPr="002F7766">
        <w:rPr>
          <w:rFonts w:ascii="Garamond" w:hAnsi="Garamond" w:cs="Arial"/>
          <w:i/>
          <w:iCs/>
          <w:lang w:val="en-GB"/>
        </w:rPr>
        <w:t>idées inconscientes</w:t>
      </w:r>
      <w:r w:rsidRPr="002F7766">
        <w:rPr>
          <w:rFonts w:ascii="Garamond" w:hAnsi="Garamond" w:cs="Arial"/>
          <w:lang w:val="en-GB"/>
        </w:rPr>
        <w:t xml:space="preserve"> auffaßte, welche die Kranken beherrschten. Aber Janet hat sich seitdem in übergroßer Zurückhaltung so geäußert, als ob er bekennen wollte, daß das Unbewußte für ihn weiter nichts gewesen sei als eine Redensart, ein Behelf, </w:t>
      </w:r>
      <w:r w:rsidRPr="002F7766">
        <w:rPr>
          <w:rFonts w:ascii="Garamond" w:hAnsi="Garamond" w:cs="Arial"/>
          <w:i/>
          <w:iCs/>
          <w:lang w:val="en-GB"/>
        </w:rPr>
        <w:t>une façon de parler</w:t>
      </w:r>
      <w:r w:rsidRPr="002F7766">
        <w:rPr>
          <w:rFonts w:ascii="Garamond" w:hAnsi="Garamond" w:cs="Arial"/>
          <w:lang w:val="en-GB"/>
        </w:rPr>
        <w:t>; er habe an nichts Reales dabei gedacht. Seither verstehe ich Janets Ausführungen nicht mehr, ich meine aber, daß er sich überflüssigerweise um viel Verdienst geschädigt hat.</w:t>
      </w:r>
    </w:p>
    <w:p w:rsidR="00062BE4" w:rsidRPr="002F7766" w:rsidRDefault="00062BE4" w:rsidP="00062BE4">
      <w:pPr>
        <w:rPr>
          <w:rFonts w:ascii="Garamond" w:hAnsi="Garamond" w:cs="Arial"/>
          <w:lang w:val="en-GB"/>
        </w:rPr>
      </w:pPr>
      <w:r w:rsidRPr="002F7766">
        <w:rPr>
          <w:rFonts w:ascii="Garamond" w:hAnsi="Garamond" w:cs="Arial"/>
          <w:lang w:val="en-GB"/>
        </w:rPr>
        <w:t>Die neurotischen Symptome haben also ihren Sinn wie die Fehlleistungen, wie die Träume und so wie diese ihren Zusammenhang mit dem Leben der Personen, die sie zeigen. Ich möchte Ihnen nun diese wichtige Einsicht durch einige Beispiele näherbringen. Daß es immer und in allen Fällen so ist, kann ich ja nur behaupten, nicht beweisen. Wer selbst Erfahrungen sucht, wird sich davon die Überzeugung verschaffen. Ich werde aber diese Beispiele aus gewissen Motiven nicht der Hysterie entnehmen, sondern einer anderen, höchst merkwürdigen, ihr im Grunde sehr nahestehenden Neurose, von der ich Ihnen einige einleitende Worte zu sagen habe. Diese, die sogenannte Zwangsneurose, ist nicht so populär wie die allbekannte Hysterie; sie ist, wenn ich mich so ausdrücken darf, nicht so aufdringlich lärmend, benimmt sich mehr wie eine Privatangelegenheit des Kranken, verzichtet fast völlig auf Erscheinungen am Körper und schafft alle ihre Symptome auf seelischem Gebiet. Die Zwangsneurose und die Hysterie sind diejenigen Formen neurotischer Erkrankung, auf deren Studium die Psychoanalyse zunächst aufgebaut wurde, in deren Behandlung unsere Therapie auch ihre Triumphe feiert. Aber die Zwangsneurose, welcher jener rätselhafte Sprung aus dem Seelischen ins Körperliche abgeht, ist uns durch die psychoanalytische Bemühung eigentlich durchsichtiger und heimlicher geworden als die Hysterie, und wir haben erkannt, daß sie gewisse extreme Charaktere der Neurotik weit greller zur Erscheinung bringt.</w:t>
      </w:r>
    </w:p>
    <w:p w:rsidR="00062BE4" w:rsidRPr="002F7766" w:rsidRDefault="00062BE4" w:rsidP="00062BE4">
      <w:pPr>
        <w:rPr>
          <w:rFonts w:ascii="Garamond" w:hAnsi="Garamond" w:cs="Arial"/>
          <w:lang w:val="en-GB"/>
        </w:rPr>
      </w:pPr>
      <w:r w:rsidRPr="002F7766">
        <w:rPr>
          <w:rFonts w:ascii="Garamond" w:hAnsi="Garamond" w:cs="Arial"/>
          <w:lang w:val="en-GB"/>
        </w:rPr>
        <w:t xml:space="preserve">Die Zwangsneurose äußert sich darin, daß die Kranken von Gedanken beschäftigt werden, für die sie sich eigentlich nicht interessieren, Impulse in sich verspüren, die ihnen sehr fremdartig vorkommen, und zu Handlungen veranlaßt werden, deren Ausführung ihnen zwar kein Vergnügen bereitet, deren Unterlassung ihnen aber ganz unmöglich ist. Die Gedanken (Zwangsvorstellungen) können an sich unsinnig sein oder auch nur für das Individuum gleichgültig, oft sind sie ganz und gar läppisch, in allen Fällen sind sie der Ausgang einer angestrengten Denktätigkeit, die den Kranken erschöpft und der er sich nur sehr ungern hingibt. Er muß gegen seinen Willen grübeln und spekulieren, als ob es sich um seine wichtigsten Lebensaufgaben handelte. Die Impulse, die der Kranke in sich verspürt, können gleichfalls einen kindischen und unsinnigen Eindruck machen, meist haben sie aber den schreckhaftesten Inhalt wie Versuchungen zu schweren Verbrechen, so daß der Kranke sie nicht nur als fremd verleugnet, sondern </w:t>
      </w:r>
      <w:r w:rsidRPr="002F7766">
        <w:rPr>
          <w:rFonts w:ascii="Garamond" w:hAnsi="Garamond" w:cs="Arial"/>
          <w:lang w:val="en-GB"/>
        </w:rPr>
        <w:lastRenderedPageBreak/>
        <w:t>entsetzt vor ihnen flieht und sich durch Verbote, Verzichte und Einschränkungen seiner Freiheit vor ihrer Ausführung schützt. Dabei dringen sie niemals, aber wirklich kein einziges Mal, zur Ausführung durch; der Erfolg ist immer, daß die Flucht und die Vorsicht siegen. Was der Kranke wirklich ausführt, die sogenannten Zwangshandlungen, das sind sehr harmlose, sicherlich geringfügige Dinge, meist Wiederholungen, zeremoniöse Verzierungen an Tätigkeiten des gewöhnlichen Lebens, wodurch aber diese notwendigen Verrichtungen, das Zubettegehen, das Waschen, Toilettemachen, Spazierengehen zu höchst langwierigen und kaum lösbaren Aufgaben werden. Die krankhaften Vorstellungen, Impulse und Handlungen sind in den einzelnen Formen und Fällen der Zwangsneurose keineswegs zu gleichen Anteilen vermengt; vielmehr ist es Regel, daß das eine oder das andere dieser Momente das Bild beherrscht und der Krankheit den Namen gibt, aber das Gemeinsame all dieser Formen ist unverkennbar genug.</w:t>
      </w:r>
    </w:p>
    <w:p w:rsidR="00062BE4" w:rsidRPr="002F7766" w:rsidRDefault="00062BE4" w:rsidP="00062BE4">
      <w:pPr>
        <w:rPr>
          <w:rFonts w:ascii="Garamond" w:hAnsi="Garamond" w:cs="Arial"/>
          <w:lang w:val="en-GB"/>
        </w:rPr>
      </w:pPr>
      <w:r w:rsidRPr="002F7766">
        <w:rPr>
          <w:rFonts w:ascii="Garamond" w:hAnsi="Garamond" w:cs="Arial"/>
          <w:lang w:val="en-GB"/>
        </w:rPr>
        <w:t>Das ist doch gewiß ein tolles Leiden. Ich glaube, der ausschweifendsten psychiatrischen Phantasie wäre es nicht gelungen, etwas dergleichen zu konstruieren, und wenn man es nicht alle Tage vor sich sehen könnte, würde man sich nicht entschließen, daran zu glauben. Nun denken Sie aber nicht, daß Sie dem Kranken etwas leisten, wenn Sie ihm zureden, sich abzulenken, sich nicht mit diesen dummen Gedanken zu beschäftigen und an Stelle seiner Spielereien etwas Vernünftiges zu tun. Das möchte er selbst, denn er ist vollkommen klar, teilt Ihr Urteil über seine Zwangssymptome, ja er trägt es Ihnen entgegen. Er kann nur nicht anders; was sich bei der Zwangsneurose zur Tat durchsetzt, das wird von einer Energie getragen, für die uns wahrscheinlich der Vergleich aus dem normalen Seelenleben abgeht. Er kann nur eines: verschieben, vertauschen, anstatt der einen dummen Idee eine andere, irgendwie abgeschwächte setzen, von einer Vorsicht oder Verbot zu einem anderen fortschreiten, anstatt des einen Zeremoniells ein anderes ausführen. Er kann den Zwang verschieben, aber nicht aufheben. Die Verschiebbarkeit aller Symptome, weit von ihrer ursprünglichen Gestaltung weg, ist ein Hauptcharakter seiner Krankheit; außerdem fällt es auf, daß die Gegensätze (Polaritäten), von denen das Seelenleben durchzogen ist, in seinem Zustand besonders scharf gesondert hervortreten. Neben dem Zwang mit positivem und negativem Inhalt macht sich auf intellektuellem Gebiet der Zweifel geltend, der allmählich auch das für gewöhnlich Gesichertste annagt. Das Ganze läuft in eine immer mehr zunehmende Unentschlossenheit, Energielosigkeit, Freiheitsbeschränkung aus. Dabei ist der Zwangsneurotiker ursprünglich ein sehr energisch angelegter Charakter gewesen, oft von außerordentlichem Eigensinn, in der Regel über das durchschnittliche Maß intellektuell begabt. Er hat es zumeist zu einer erfreulichen Höhe der ethischen Entwicklung gebracht, zeigt sich übergewissenhaft, mehr als gewöhnlich korrekt. Sie können sich denken, daß ein tüchtiges Stück Arbeit dazugehört, bis man sich in diesem widerspruchsvollen Ensemble von Charaktereigenschaften und Krankheitssymptomen halbwegs zurechtgefunden hat. Wir streben auch vorläufig gar nichts anderes an, als einige Symptome dieser Krankheit zu verstehen, deuten zu können.</w:t>
      </w:r>
    </w:p>
    <w:p w:rsidR="00062BE4" w:rsidRPr="002F7766" w:rsidRDefault="00062BE4" w:rsidP="00062BE4">
      <w:pPr>
        <w:rPr>
          <w:rFonts w:ascii="Garamond" w:hAnsi="Garamond" w:cs="Arial"/>
          <w:lang w:val="en-GB"/>
        </w:rPr>
      </w:pPr>
      <w:r w:rsidRPr="002F7766">
        <w:rPr>
          <w:rFonts w:ascii="Garamond" w:hAnsi="Garamond" w:cs="Arial"/>
          <w:lang w:val="en-GB"/>
        </w:rPr>
        <w:t xml:space="preserve">Vielleicht wollen Sie im Hinblick auf unsere Besprechungen vorher wissen, wie sich die gegenwärtige Psychiatrie zu den Problemen der Zwangsneurose verhält. Das ist aber ein armseliges Kapitel. Die Psychiatrie gibt den verschiedenen Zwängen Namen, sagt sonst weiter nichts über sie. </w:t>
      </w:r>
      <w:r w:rsidRPr="002F7766">
        <w:rPr>
          <w:rFonts w:ascii="Garamond" w:hAnsi="Garamond" w:cs="Arial"/>
        </w:rPr>
        <w:t xml:space="preserve">Dafür betont sie, daß die Träger solcher Symptome »Degenerierte« sind. </w:t>
      </w:r>
      <w:r w:rsidRPr="002F7766">
        <w:rPr>
          <w:rFonts w:ascii="Garamond" w:hAnsi="Garamond" w:cs="Arial"/>
          <w:lang w:val="en-GB"/>
        </w:rPr>
        <w:t xml:space="preserve">Das ist wenig Befriedigung, eigentlich ein Werturteil, eine Verurteilung anstatt einer Erklärung. Wir sollen uns etwa denken, bei Leuten, die aus der Art geschlagen sind, kämen eben alle möglichen Sonderbarkeiten vor. Nun glauben wir ja, daß Personen, die solche Symptome entwickeln, von Natur aus etwas anders sein müssen als andere Menschen. Aber wir möchten fragen: Sind sie mehr »degeneriert« als andere Nervöse, z.B. die Hysteriker oder als die an Psychosen Erkrankenden? Die Charakteristik ist offenbar wieder zu allgemein. Ja man kann bezweifeln, ob sie auch nur berechtigt ist, wenn man erfährt, daß solche Symptome auch bei ausgezeichneten Menschen von besonders hoher und für die Allgemeinheit bedeutsamer Leistungsfähigkeit vorkommen. Für gewöhnlich erfahren wir ja, dank ihrer eigenen Diskretion und der Verlogenheit ihrer Biographen von unseren vorbildlich großen Männern wenig Intimes, aber es kommt doch vor, daß einer ein </w:t>
      </w:r>
      <w:r w:rsidRPr="002F7766">
        <w:rPr>
          <w:rFonts w:ascii="Garamond" w:hAnsi="Garamond" w:cs="Arial"/>
          <w:lang w:val="en-GB"/>
        </w:rPr>
        <w:lastRenderedPageBreak/>
        <w:t xml:space="preserve">Wahrheitsfanatiker ist wie Emile Zola, und dann hören wir von ihm, an wieviel sonderbaren Zwangsgewohnheiten er sein Leben über gelitten hat </w:t>
      </w:r>
      <w:hyperlink r:id="rId1466"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 xml:space="preserve">E. Toulouse, </w:t>
        </w:r>
        <w:r w:rsidRPr="002F7766">
          <w:rPr>
            <w:rStyle w:val="innerfusslink3"/>
            <w:rFonts w:ascii="Garamond" w:hAnsi="Garamond" w:cs="Arial"/>
            <w:b/>
            <w:bCs/>
            <w:i/>
            <w:iCs/>
            <w:lang w:val="en-GB"/>
          </w:rPr>
          <w:t>Emile Zola, enquête médico-psychologique</w:t>
        </w:r>
        <w:r w:rsidRPr="002F7766">
          <w:rPr>
            <w:rStyle w:val="innerfusslink3"/>
            <w:rFonts w:ascii="Garamond" w:hAnsi="Garamond" w:cs="Arial"/>
            <w:b/>
            <w:bCs/>
            <w:lang w:val="en-GB"/>
          </w:rPr>
          <w:t>, Paris 1896.</w:t>
        </w:r>
      </w:hyperlink>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rPr>
        <w:t xml:space="preserve">Die Psychiatrie hat sich da die Auskunft geschaffen, von </w:t>
      </w:r>
      <w:r w:rsidRPr="002F7766">
        <w:rPr>
          <w:rFonts w:ascii="Garamond" w:hAnsi="Garamond" w:cs="Arial"/>
          <w:i/>
          <w:iCs/>
        </w:rPr>
        <w:t>Dégénérés superieurs</w:t>
      </w:r>
      <w:r w:rsidRPr="002F7766">
        <w:rPr>
          <w:rFonts w:ascii="Garamond" w:hAnsi="Garamond" w:cs="Arial"/>
        </w:rPr>
        <w:t xml:space="preserve"> zu sprechen. Schön aber durch die Psychoanalyse haben wir die Erfahrung gemacht, daß man diese sonderbaren Zwangssymptome wie andere Leiden und wie bei anderen nicht degenerierten Menschen dauernd beseitigen kann. Mir selbst ist solches wiederholt gelungen. Ich will Ihnen nur zwei Beispiele von Analyse eines Zwangssymptoms mitteilen, eines aus alter Beobachtung, das ich durch kein schöneres zu ersetzen weiß, und ein kürzlich gewonnenes. </w:t>
      </w:r>
      <w:r w:rsidRPr="002F7766">
        <w:rPr>
          <w:rFonts w:ascii="Garamond" w:hAnsi="Garamond" w:cs="Arial"/>
          <w:lang w:val="en-GB"/>
        </w:rPr>
        <w:t>Ich beschränke mich auf eine so geringe Anzahl, weil man bei einer solchen Mitteilung sehr weitläufig werden, in alle Einzelheiten eingehen muß.</w:t>
      </w:r>
    </w:p>
    <w:p w:rsidR="00062BE4" w:rsidRPr="002F7766" w:rsidRDefault="00062BE4" w:rsidP="00062BE4">
      <w:pPr>
        <w:rPr>
          <w:rFonts w:ascii="Garamond" w:hAnsi="Garamond" w:cs="Arial"/>
          <w:lang w:val="en-GB"/>
        </w:rPr>
      </w:pPr>
      <w:r w:rsidRPr="002F7766">
        <w:rPr>
          <w:rFonts w:ascii="Garamond" w:hAnsi="Garamond" w:cs="Arial"/>
          <w:lang w:val="en-GB"/>
        </w:rPr>
        <w:t>Eine nahe an 30 Jahre alte Dame, die an den schwersten Zwangserscheinungen litt und der ich vielleicht geholfen hätte, wenn ein tückischer Zufall nicht meine Arbeit zunichte gemacht hätte vielleicht erzähle ich Ihnen noch davon, führte unter anderen folgende merkwürdige Zwangshandlung vielmals am Tage aus. Sie lief aus ihrem Zimmer in ein anderes nebenan, stellte sich dort an eine bestimmte Stelle bei dem in der Mitte stehenden Tisch hin, schellte ihrem Stubenmädchen, gab ihr einen gleichgültigen Auftrag oder entließ sie auch ohne solchen und lief dann wieder zurück. Das war nun gewiß kein schweres Leidenssymptom, aber es durfte doch die Wißbegierde reizen. Die Aufklärung ergab sich auch auf die unbedenklichste, einwandfreieste Weise unter Ausschluß jedes Beitrages von Seiten des Arztes. Ich weiß gar nicht, wie ich zu einer Vermutung über den Sinn dieser Zwangshandlung, zu einem Vorschlag ihrer Deutung hätte kommen können. Sooft ich die Kranke gefragt hatte: Warum tun Sie das? Was hat das für einen Sinn? hatte sie geantwortet: Ich weiß es nicht. Aber eines Tages, nachdem es mir gelungen war, ein großes prinzipielles Bedenken bei ihr niederzukämpfen, wurde sie plötzlich wissend und erzählte, was zur Zwangshandlung gehörte. Sie hatte vor mehr als zehn Jahren einen weitaus älteren Mann geheiratet, der sich in der Hochzeitsnacht impotent erwies. Er war ungezählte Male in dieser Nacht aus seinem Zimmer in ihres gelaufen, um den Versuch zu wiederholen, aber jedesmal erfolglos. Am Morgen sagte er ärgerlich: Da muß man sich ja vor dem Stubenmädchen schämen, wenn sie das Bett macht, ergriff eine Flasche roter Tinte, die zufällig im Zimmer war, und goß ihren Inhalt aufs Bettuch, aber nicht gerade auf eine Stelle, die ein Anrecht auf einen solchen Fleck gehabt hätte. Ich verstand anfangs nicht, was diese Erinnerung mit der fraglichen Zwangshandlung zu tun haben sollte, da ich nur in dem wiederholten Aus-einem-Zimmer-in-das-andere-Laufen eine Übereinstimmung fand und etwa noch im Auftreten des Stubenmädchens. Da führte mich die Patientin zu dem Tisch im zweiten Zimmer hin und ließ mich auf dessen Decke einen großen Fleck entdecken. Sie erklärte auch, sie stelle sich so zum Tisch hin, daß das zu ihr gerufene Mädchen den Fleck nicht übersehen könne. Nun war an der intimen Beziehung zwischen jener Szene nach der Brautnacht und ihrer heutigen Zwangshandlung nicht mehr zu zweifeln, aber auch noch allerlei daran zu lernen.</w:t>
      </w:r>
    </w:p>
    <w:p w:rsidR="00062BE4" w:rsidRPr="002F7766" w:rsidRDefault="00062BE4" w:rsidP="00062BE4">
      <w:pPr>
        <w:rPr>
          <w:rFonts w:ascii="Garamond" w:hAnsi="Garamond" w:cs="Arial"/>
          <w:lang w:val="en-GB"/>
        </w:rPr>
      </w:pPr>
      <w:r w:rsidRPr="002F7766">
        <w:rPr>
          <w:rFonts w:ascii="Garamond" w:hAnsi="Garamond" w:cs="Arial"/>
          <w:lang w:val="en-GB"/>
        </w:rPr>
        <w:t>Vor allem wird es klar, daß sich die Patientin mit ihrem Mann identifiziert; sie spielt ihn ja, indem sie sein Laufen aus einem Zimmer ins andere nachahmt. Dann müssen wir, um in der Gleichstellung zu bleiben, wohl zugeben, daß sie das Bett und Bettuch durch den Tisch und die Tischdecke ersetzt. Das schiene willkürlich, aber wir sollen nicht ohne Nutzen Traumsymbolik studiert haben. Im Traum wird gleichfalls sehr häufig ein Tisch gesehen, der aber als Bett zu deuten ist. Tisch und Bett machen mitsammen die Ehe aus, da steht dann leicht eines für das andere.</w:t>
      </w:r>
    </w:p>
    <w:p w:rsidR="00062BE4" w:rsidRPr="002F7766" w:rsidRDefault="00062BE4" w:rsidP="00062BE4">
      <w:pPr>
        <w:rPr>
          <w:rFonts w:ascii="Garamond" w:hAnsi="Garamond" w:cs="Arial"/>
          <w:lang w:val="en-GB"/>
        </w:rPr>
      </w:pPr>
      <w:r w:rsidRPr="002F7766">
        <w:rPr>
          <w:rFonts w:ascii="Garamond" w:hAnsi="Garamond" w:cs="Arial"/>
          <w:lang w:val="en-GB"/>
        </w:rPr>
        <w:t xml:space="preserve">Der Beweis, daß die Zwangshandlung sinnreich ist, wäre bereits erbracht; sie scheint eine Darstellung, Wiederholung jener bedeutungsvollen Szene zu sein. Aber wir sind nicht genötigt, bei diesem Schein haltzumachen; wenn wir die Beziehung zwischen den beiden eingehender untersuchen, werden wir wahrscheinlich Aufschluß über etwas Weitergehendes, über die Absicht der Zwangshandlung erhalten. Der Kern derselben ist offenbar das Herbeirufen des Stubenmädchens, dem sie den Fleck vor Augen </w:t>
      </w:r>
      <w:r w:rsidRPr="002F7766">
        <w:rPr>
          <w:rFonts w:ascii="Garamond" w:hAnsi="Garamond" w:cs="Arial"/>
          <w:lang w:val="en-GB"/>
        </w:rPr>
        <w:lastRenderedPageBreak/>
        <w:t>führt, im Gegensatz zur Bemerkung ihres Mannes: Da müßte man sich vor dem Mädchen schämen. Er dessen Rolle sie agiert schämt sich also nicht vor dem Mädchen, der Fleck ist demnach an der richtigen Stelle. Wir sehen also, sie hat die Szene nicht einfach wiederholt, sondern sie fortgesetzt und dabei korrigiert, zum Richtigen gewendet. Damit korrigiert sie aber auch das andere, was in jener Nacht so peinlich war und jene Auskunft mit der roten Tinte notwendig machte, die Impotenz. Die Zwangshandlung sagt also: Nein, es ist nicht wahr, er hatte sich nicht vor dem Stubenmädchen zu schämen, er war nicht impotent; sie stellt diesen Wunsch nach Art eines Traumes in einer gegenwärtigen Handlung als erfüllt dar, sie dient der Tendenz, den Mann über sein damaliges Mißgeschick zu erheben.</w:t>
      </w:r>
    </w:p>
    <w:p w:rsidR="00062BE4" w:rsidRPr="002F7766" w:rsidRDefault="00062BE4" w:rsidP="00062BE4">
      <w:pPr>
        <w:rPr>
          <w:rFonts w:ascii="Garamond" w:hAnsi="Garamond" w:cs="Arial"/>
          <w:lang w:val="en-GB"/>
        </w:rPr>
      </w:pPr>
      <w:r w:rsidRPr="002F7766">
        <w:rPr>
          <w:rFonts w:ascii="Garamond" w:hAnsi="Garamond" w:cs="Arial"/>
          <w:lang w:val="en-GB"/>
        </w:rPr>
        <w:t>Dazu kommt alles andere, was ich Ihnen von dieser Frau erzählen könnte; richtiger gesagt: alles, was wir sonst von ihr wissen, weist uns den Weg zu dieser Deutung der an sich unbegreiflichen Zwangshandlung. Die Frau lebt seit Jahren von ihrem Mann getrennt und kämpft mit der Absicht, ihre Ehe gerichtlich scheiden zu lassen. Es ist aber keine Rede, daß sie frei von ihm wäre; sie ist gezwungen, ihm treu zu bleiben, sie zieht sich von aller Welt zurück, um nicht in Versuchung zu geraten, sie entschuldigt und vergrößert sein Wesen in ihrer Phantasie. Ja, das tiefste Geheimnis ihrer Krankheit ist, daß sie durch diese ihren Mann vor übler Nachrede deckt, ihre örtliche Trennung von ihm rechtfertigt und ihm ein behagliches Sonderleben ermöglicht. So führt die Analyse einer harmlosen Zwangshandlung auf geradem Wege zum innersten Kern eines Krankheitsfalles, verrät uns aber gleichzeitig ein nicht unansehnliches Stück des Geheimnisses der Zwangsneurose überhaupt. Ich lasse Sie gern bei diesem Beispiel verweilen, denn es vereinigt Bedingungen, die man billigerweise nicht von allen Fällen fordern wird. Die Deutung des Symptoms wurde hier von der Kranken mit einem Schlage gefunden ohne Anleitung oder Einmengung des Analytikers, und sie erfolgte durch die Beziehung auf ein Erlebnis, welches nicht, wie sonst, einer vergessenen Kindheitsperiode angehört hatte, sondern im reifen Leben der Kranken vorgefallen und unverlöscht in ihrer Erinnerung geblieben war. Alle die Einwendungen, welche die Kritik sonst gegen unsere Symptomdeutungen vorzubringen pflegt, gleiten von diesem Einzelfalle ab. So gut können wir es freilich nicht immer haben.</w:t>
      </w:r>
    </w:p>
    <w:p w:rsidR="00062BE4" w:rsidRPr="002F7766" w:rsidRDefault="00062BE4" w:rsidP="00062BE4">
      <w:pPr>
        <w:rPr>
          <w:rFonts w:ascii="Garamond" w:hAnsi="Garamond" w:cs="Arial"/>
          <w:lang w:val="en-GB"/>
        </w:rPr>
      </w:pPr>
      <w:r w:rsidRPr="002F7766">
        <w:rPr>
          <w:rFonts w:ascii="Garamond" w:hAnsi="Garamond" w:cs="Arial"/>
          <w:lang w:val="en-GB"/>
        </w:rPr>
        <w:t>Und noch eines! Ist es Ihnen nicht aufgefallen, wie uns diese unscheinbare Zwangshandlung in die Intimitäten der Patientin eingeführt hat? Eine Frau hat nicht viel Intimeres zu erzählen als die Geschichte ihrer Hochzeitsnacht, und daß wir gerade auf Intimitäten des Geschlechtslebens gekommen sind, sollte das zufällig und ohne weiteren Belang sein? Es könnte freilich die Folge der Auswahl sein, die ich diesmal getroffen habe. Urteilen wir nicht zu rasch und wenden wir uns dem zweiten Beispiel zu, welches von ganz anderer Art ist, ein Muster einer häufig vorkommenden Gattung, nämlich ein Schlafzeremoniell.</w:t>
      </w:r>
    </w:p>
    <w:p w:rsidR="00062BE4" w:rsidRPr="002F7766" w:rsidRDefault="00062BE4" w:rsidP="00062BE4">
      <w:pPr>
        <w:rPr>
          <w:rFonts w:ascii="Garamond" w:hAnsi="Garamond" w:cs="Arial"/>
          <w:lang w:val="en-GB"/>
        </w:rPr>
      </w:pPr>
      <w:r w:rsidRPr="002F7766">
        <w:rPr>
          <w:rFonts w:ascii="Garamond" w:hAnsi="Garamond" w:cs="Arial"/>
          <w:lang w:val="en-GB"/>
        </w:rPr>
        <w:t xml:space="preserve">Ein 19jähriges, üppiges, begabtes Mädchen, das einzige Kind seiner Eltern, denen es an Bildung und intellektueller Regsamkeit überlegen ist, war als Kind wild und übermütig und hat sich im Laufe der letzten Jahre ohne sichtbare äußere Einwirkung zu einer Nervösen umgewandelt. Sie ist besonders gegen ihre Mutter sehr reizbar, immer unzufrieden, deprimiert, neigt zur Unentschlossenheit und zum Zweifel und macht endlich das Geständnis, daß sie auf Plätzen und in größeren Straßen nicht mehr allein gehen kann. Wir werden uns mit ihrem komplizierten Krankheitszustand, der zum mindesten zwei Diagnosen erheischt, die einer Agoraphobie und einer Zwangsneurose, nicht viel abgeben, sondern nur dabei verweilen, daß dieses Mädchen auch ein Schlafzeremoniell entwickelt hat, unter dem sie ihre Eltern leiden läßt. Man kann sagen, in gewissem Sinne hat jeder Normale sein Schlafzeremoniell oder er hält auf die Herstellung von gewissen Bedingungen, deren Nichterfüllung ihn am Einschlafen stört; er hat den Übergang aus dem Wachleben in den Schlafzustand in gewisse Formen gebracht, die er allabendlich in gleicher Weise wiederholt. Aber alles, was der Gesunde an Schlafbedingung fordert, läßt sich rationell verstehen, und wenn die äußeren Umstände eine Änderung notwendig machen, so fügt er sich leicht und ohne Zeitaufwand. Das pathologische Zeremoniell ist aber unnachgiebig, es weiß sich mit den größten Opfern durchzusetzen, es deckt sich gleichfalls mit einer rationellen Begründung und scheint sich bei oberflächlicher Betrachtung nur durch eine gewisse übertriebene Sorgfalt vom Normalen zu entfernen. </w:t>
      </w:r>
      <w:r w:rsidRPr="002F7766">
        <w:rPr>
          <w:rFonts w:ascii="Garamond" w:hAnsi="Garamond" w:cs="Arial"/>
          <w:lang w:val="en-GB"/>
        </w:rPr>
        <w:lastRenderedPageBreak/>
        <w:t xml:space="preserve">Sieht man aber näher zu, so kann man bemerken, daß die Decke zu kurz ist, daß das Zeremoniell Bestimmungen umfaßt, die weit über die rationelle Begründung hinausgehen, und andere, die ihr direkt widersprechen. </w:t>
      </w:r>
      <w:r w:rsidRPr="002F7766">
        <w:rPr>
          <w:rFonts w:ascii="Garamond" w:hAnsi="Garamond" w:cs="Arial"/>
        </w:rPr>
        <w:t xml:space="preserve">Unsere Patientin schützt als Motiv ihrer nächtlichen Vorsichten vor, daß sie zum Schlafen Ruhe braucht und alle Quellen des Geräusches ausschließen muß. In dieser Absicht tut sie zweierlei: Die große Uhr in ihrem Zimmer wird zum Stehen gebracht, alle anderen Uhren aus dem Zimmer entfernt, nicht einmal ihre winzige Armbanduhr wird im Nachtkästchen geduldet. Blumentöpfe und Vasen werden auf dem Schreibtische so zusammengestellt, daß sie nicht zur Nachtzeit herunterfallen, zerbrechen und sie im Schlafe stören können. Sie weiß, daß diese Maßregeln durch das Gebot der Ruhe nur eine scheinbare Rechtfertigung finden können; die kleine Uhr würde man nicht ticken hören, auch wenn sie auf dem Nachtkästchen liegen bliebe, und wir haben alle die Erfahrung gemacht, daß das regelmäßige Ticken einer Pendeluhr niemals eine Schlafstörung macht, sondern eher einschläfernd wirkt. Sie gibt auch zu, daß die Befürchtung, Blumentöpfe und Vasen könnten, an ihrem Platze gelassen, zur Nachtzeit von selbst herunterfallen und zerbrechen, jeder Wahrscheinlichkeit entbehrt. </w:t>
      </w:r>
      <w:r w:rsidRPr="002F7766">
        <w:rPr>
          <w:rFonts w:ascii="Garamond" w:hAnsi="Garamond" w:cs="Arial"/>
          <w:lang w:val="en-GB"/>
        </w:rPr>
        <w:t>Für andere Bestimmungen des Zeremoniells wird die Anlehnung an das Ruhegebot fallengelassen. Ja, die Forderung, daß die Türe zwischen ihrem Zimmer und dem Schlafzimmer der Eltern halb offen bleibe, deren Erfüllung sie dadurch sichert, daß sie verschiedene Gegenstände in die geöffnete Türe rückt, scheint im Gegenteil eine Quelle von störenden Geräuschen zu aktivieren. Die wichtigsten Bestimmungen beziehen sich aber auf das Bett selbst. Das Polster am Kopfende des Bettes darf die Holzwand des Bettes nicht berühren. Das kleine Kopfpolsterchen darf auf diesem großen Polster nicht anders liegen, als indem es eine Raute bildet; ihren Kopf legt sie dann genau in den Längsdurchmesser der Raute. Die Federdecke (»Duchent«, wie wir in Österreich sagen) muß vor dem Zudecken so geschüttelt werden, daß ihr Fußende ganz dick wird, dann aber versäumt sie es nicht, diese Anhäufung durch Zerdrücken wieder zu verteilen.</w:t>
      </w:r>
    </w:p>
    <w:p w:rsidR="00062BE4" w:rsidRPr="002F7766" w:rsidRDefault="00062BE4" w:rsidP="00062BE4">
      <w:pPr>
        <w:rPr>
          <w:rFonts w:ascii="Garamond" w:hAnsi="Garamond" w:cs="Arial"/>
          <w:lang w:val="en-GB"/>
        </w:rPr>
      </w:pPr>
      <w:r w:rsidRPr="002F7766">
        <w:rPr>
          <w:rFonts w:ascii="Garamond" w:hAnsi="Garamond" w:cs="Arial"/>
          <w:lang w:val="en-GB"/>
        </w:rPr>
        <w:t>Lassen Sie mich die anderen, oft sehr kleinlichen Einzelheiten dieses Zeremoniells übergehen; sie würden uns nichts Neues lehren und zu weit von unseren Absichten abführen. Aber übersehen Sie nicht, daß dies alles sich nicht so glatt vollzieht. Es ist immer die Sorge dabei, daß nicht alles ordentlich gemacht worden ist; es muß nachgeprüft, wiederholt werden, der Zweifel zeichnet bald die eine, bald die andere der Sicherungen aus, und der Erfolg ist, daß ein bis zwei Stunden hingebracht werden, während welcher das Mädchen selbst nicht schlafen kann und die eingeschüchterten Eltern nicht schlafen läßt.</w:t>
      </w:r>
    </w:p>
    <w:p w:rsidR="00062BE4" w:rsidRPr="002F7766" w:rsidRDefault="00062BE4" w:rsidP="00062BE4">
      <w:pPr>
        <w:rPr>
          <w:rFonts w:ascii="Garamond" w:hAnsi="Garamond" w:cs="Arial"/>
          <w:lang w:val="en-GB"/>
        </w:rPr>
      </w:pPr>
      <w:r w:rsidRPr="002F7766">
        <w:rPr>
          <w:rFonts w:ascii="Garamond" w:hAnsi="Garamond" w:cs="Arial"/>
          <w:lang w:val="en-GB"/>
        </w:rPr>
        <w:t>Die Analyse dieser Quälereien ging nicht so einfach vonstatten wie die der Zwangshandlung bei unserer früheren Patientin. Ich mußte dem Mädchen Andeutungen geben und Vorschläge zur Deutung machen, die von ihr jedesmal mit einem entschiedenen Nein abgelehnt oder mit geringschätzigem Zweifel aufgenommen wurden. Aber auf diese erste ablehnende Reaktion folgte eine Zeit, in welcher sie sich selbst mit den ihr vorgelegten Möglichkeiten beschäftigte, Einfälle zu ihnen sammelte, Erinnerungen produzierte, Zusammenhänge herstellte, bis sie alle Deutungen aus eigener Arbeit angenommen hatte. In dem Maße, als dies geschah, ließ sie auch in der Ausführung der Zwangsmaßregeln nach, und noch vor Ende der Behandlung hatte sie auf das gesamte Zeremoniell verzichtet. Sie müssen auch wissen, daß die analytische Arbeit, wie wir sie heute ausführen, die konsequente Bearbeitung des einzelnen Symptoms, bis man mit dessen Aufhellung zu Ende gekommen ist, geradezu ausschließt. Man ist vielmehr genötigt, das eine Thema immer wieder zu verlassen, und ist sicher, von anderen Zusammenhängen her von neuem darauf zurückzukommen. Die Symptomdeutung, die ich Ihnen jetzt mitteilen werde, ist also eine Synthese von Ergebnissen, deren Förderung sich, von anderen Arbeiten unterbrochen, über die Zeit von Wochen und Monaten erstreckt.</w:t>
      </w:r>
    </w:p>
    <w:p w:rsidR="00062BE4" w:rsidRPr="002F7766" w:rsidRDefault="00062BE4" w:rsidP="00062BE4">
      <w:pPr>
        <w:rPr>
          <w:rFonts w:ascii="Garamond" w:hAnsi="Garamond" w:cs="Arial"/>
          <w:lang w:val="en-GB"/>
        </w:rPr>
      </w:pPr>
      <w:r w:rsidRPr="002F7766">
        <w:rPr>
          <w:rFonts w:ascii="Garamond" w:hAnsi="Garamond" w:cs="Arial"/>
          <w:lang w:val="en-GB"/>
        </w:rPr>
        <w:t xml:space="preserve">Unsere Patientin lernt allmählich verstehen, daß sie die Uhr als Symbol des weiblichen Genitales aus ihren Zurüstungen für die Nacht verbannt hatte. Die Uhr, für die wir sonst auch andere Symboldeutungen kennen, gelangt zu dieser genitalen Rolle durch ihre Beziehung zu periodischen Vorgängen und gleichen Intervallen. Eine Frau kann etwa von sich rühmen, ihre Menstruation benehme sich so regelmäßig wie ein Uhrwerk. Die Angst unserer Patientin richtete sich aber besonders dagegen, durch das Ticken der Uhr im </w:t>
      </w:r>
      <w:r w:rsidRPr="002F7766">
        <w:rPr>
          <w:rFonts w:ascii="Garamond" w:hAnsi="Garamond" w:cs="Arial"/>
          <w:lang w:val="en-GB"/>
        </w:rPr>
        <w:lastRenderedPageBreak/>
        <w:t>Schlaf gestört zu werden. Das Ticken der Uhr ist dem Klopfen der Klitoris bei sexueller Erregung gleichzusetzen. Durch diese ihr nun peinliche Empfindung war sie in der Tat wiederholt aus dem Schlafe geweckt worden, und jetzt äußerte sich diese Erektionsangst in dem Gebot, welches gehende Uhren zur Nachtzeit aus ihrer Nähe entfernen hieß. Blumentöpfe und Vasen sind wie alle Gefäße gleichfalls weibliche Symbole. Die Vorsicht, daß sie nicht zur Nachtzeit fallen und zerbrechen, entbehrt also nicht eines guten Sinnes. Wir kennen die vielverbreitete Sitte, daß bei Verlobungen ein Gefäß oder Teller zerschlagen wird. Jeder der Anwesenden eignet sich ein Bruchstück an, welches wir als Ablösung seiner Ansprüche an die Braut auf dem Standpunkt einer Eheordnung vor der Monogamie auffassen dürfen. Zu diesem Stück ihres Zeremoniells brachte das Mädchen auch eine Erinnerung und mehrere Einfälle. Sie war einmal als Kind mit einem Glas- oder Tongefäß hingefallen, hatte sich in die Finger geschnitten und heftig geblutet. Als sie heranwuchs und von den Tatsachen des Sexualverkehrs Kenntnis bekam, stellte sich die ängstliche Idee bei ihr ein, sie werde in der Hochzeitsnacht nicht bluten und sich nicht als Jungfrau erweisen. Ihre Vorsichten gegen das Zerbrechen der Vasen bedeuten also eine Abweisung des ganzen Komplexes, der mit der Virginität und dem Bluten beim ersten Verkehr zusammenhängt, ebensowohl eine Abweisung der Angst zu bluten wie der entgegengesetzten, nicht zu bluten. Mit der Geräuschverhütung, welcher sie diese Maßnahmen unterordnete, hatten sie nur entfernt etwas zu tun.</w:t>
      </w:r>
    </w:p>
    <w:p w:rsidR="00062BE4" w:rsidRPr="002F7766" w:rsidRDefault="00062BE4" w:rsidP="00062BE4">
      <w:pPr>
        <w:rPr>
          <w:rFonts w:ascii="Garamond" w:hAnsi="Garamond" w:cs="Arial"/>
          <w:lang w:val="en-GB"/>
        </w:rPr>
      </w:pPr>
      <w:r w:rsidRPr="002F7766">
        <w:rPr>
          <w:rFonts w:ascii="Garamond" w:hAnsi="Garamond" w:cs="Arial"/>
          <w:lang w:val="en-GB"/>
        </w:rPr>
        <w:t>Den zentralen Sinn ihres Zeremoniells erriet sie eines Tages, als sie plötzlich die Vorschrift, das Polster dürfe die Bettwand nicht berühren, verstand. Das Polster sei ihr immer ein Weib gewesen, sagte sie, die aufrechte Holzwand ein Mann. Sie wollte also auf magische Weise, dürfen wir einschalten Mann und Weib auseinanderhalten, das heißt die Eltern voneinander trennen, nicht zum ehelichen Verkehr kommen lassen. Dasselbe Ziel hatte sie in früheren Jahren vor der Einrichtung des Zeremoniells auf direktere Weise zu erreichen gesucht. Sie hatte Angst simuliert oder eine vorhandene Angstneigung dahin ausgebeutet, daß die Verbindungstüre zwischen dem Schlafzimmer der Eltern und dem Kinderzimmer nicht geschlossen werden dürfe. Dies Gebot war ja noch in ihrem heutigen Zeremoniell erhalten geblieben. Auf solche Art schaffte sie sich die Gelegenheit, die Eltern zu belauschen, zog sich aber in der Ausnützung derselben einmal eine durch Monate anhaltende Schlaflosigkeit zu. Nicht zufrieden mit solcher Störung der Eltern setzte sie es dann zeitweise durch, daß sie im Ehebett selbst zwischen Vater und Mutter schlafen durfte. »Polster« und »Holzwand« konnten dann wirklich nicht zusammenkommen. Endlich, als sie schon so groß war, daß ihr Körperliches nicht mehr bequem im Bette zwischen den Eltern Platz finden konnte, erreichte sie es durch bewußte Simulation von Angst, daß die Mutter den Schlafplatz mit ihr tauschte und ihr die eigene Stelle neben dem Vater abtrat. Diese Situation war gewiß der Ausgang von Phantasien geworden, deren Nachwirkung man im Zeremoniell verspürt.</w:t>
      </w:r>
    </w:p>
    <w:p w:rsidR="00062BE4" w:rsidRPr="002F7766" w:rsidRDefault="00062BE4" w:rsidP="00062BE4">
      <w:pPr>
        <w:rPr>
          <w:rFonts w:ascii="Garamond" w:hAnsi="Garamond" w:cs="Arial"/>
          <w:lang w:val="en-GB"/>
        </w:rPr>
      </w:pPr>
      <w:r w:rsidRPr="002F7766">
        <w:rPr>
          <w:rFonts w:ascii="Garamond" w:hAnsi="Garamond" w:cs="Arial"/>
          <w:lang w:val="en-GB"/>
        </w:rPr>
        <w:t>Wenn ein Polster ein Weib war, so hatte auch das Schütteln der Federdecke, bis alle Federn unten waren und dort eine Anschwellung hervorriefen, einen Sinn. Es hieß, das Weib schwanger machen; aber sie versäumte es nicht, diese Schwangerschaft wieder wegzustreichen, denn sie hatte Jahre hindurch unter der Furcht gestanden, der Verkehr der Eltern werde ein anderes Kind zur Folge haben und ihr so eine Konkurrenz bescheren. Anderseits, wenn das große Polster ein Weib, die Mutter, war, so konnte das kleine Kopfpölsterchen nur die Tochter vorstellen. Warum mußte dieses Polster als Raute gelegt werden und ihr Kopf genau in die Mittellinie derselben kommen? Sie ließ sich leicht daran erinnern, daß die Raute die an allen Mauern wiederholte Rune des offenen weiblichen Genitales sei. Sie selbst spielte dann den Mann, den Vater, und ersetzte durch ihren Kopf das männliche Glied. (Vgl. die Symbolik des Köpfens für Kastration.)</w:t>
      </w:r>
    </w:p>
    <w:p w:rsidR="00062BE4" w:rsidRPr="002F7766" w:rsidRDefault="00062BE4" w:rsidP="00062BE4">
      <w:pPr>
        <w:rPr>
          <w:rFonts w:ascii="Garamond" w:hAnsi="Garamond" w:cs="Arial"/>
          <w:lang w:val="en-GB"/>
        </w:rPr>
      </w:pPr>
      <w:r w:rsidRPr="002F7766">
        <w:rPr>
          <w:rFonts w:ascii="Garamond" w:hAnsi="Garamond" w:cs="Arial"/>
          <w:lang w:val="en-GB"/>
        </w:rPr>
        <w:t xml:space="preserve">Wüste Dinge, werden Sie sagen, die da in dem Kopf des jungfräulichen Mädchens spuken sollen. Ich gebe es zu, aber vergessen Sie nicht, ich habe diese Dinge nicht gemacht, sondern bloß gedeutet. Solch ein Schlafzeremoniell ist auch etwas Sonderbares, und Sie werden die Entsprechung zwischen dem Zeremoniell und den Phantasien, die uns die Deutung ergibt, nicht verkennen dürfen. Wichtiger ist mir aber, daß Sie bemerken, es habe sich da nicht eine einzige Phantasie im Zeremoniell niedergeschlagen, </w:t>
      </w:r>
      <w:r w:rsidRPr="002F7766">
        <w:rPr>
          <w:rFonts w:ascii="Garamond" w:hAnsi="Garamond" w:cs="Arial"/>
          <w:lang w:val="en-GB"/>
        </w:rPr>
        <w:lastRenderedPageBreak/>
        <w:t>sondern eine Anzahl von solchen, die allerdings irgendwo ihren Knotenpunkt haben. Auch daß die Vorschriften des Zeremoniells die sexuellen Wünsche bald positiv, bald negativ wiedergeben, zum Teil der Vertretung und zum Teil der Abwehr derselben dienen.</w:t>
      </w:r>
    </w:p>
    <w:p w:rsidR="00062BE4" w:rsidRPr="002F7766" w:rsidRDefault="00062BE4" w:rsidP="00062BE4">
      <w:pPr>
        <w:rPr>
          <w:rFonts w:ascii="Garamond" w:hAnsi="Garamond" w:cs="Arial"/>
          <w:lang w:val="en-GB"/>
        </w:rPr>
      </w:pPr>
      <w:r w:rsidRPr="002F7766">
        <w:rPr>
          <w:rFonts w:ascii="Garamond" w:hAnsi="Garamond" w:cs="Arial"/>
          <w:lang w:val="en-GB"/>
        </w:rPr>
        <w:t>Man könnte auch aus der Analyse dieses Zeremoniells mehr machen, wenn man es in die richtige Verknüpfung mit den anderen Symptomen der Kranken brächte. Aber unser Weg führt uns nicht dahin. Lassen Sie sich die Andeutung genügen, daß dieses Mädchen einer erotischen Bindung an den Vater verfallen ist, deren Anfänge in frühe Kinderjahre zurückgehen. Vielleicht benimmt sie sich auch darum so unfreundlich gegen ihre Mutter. Wir können auch nicht übersehen, daß uns die Analyse dieses Symptoms wiederum auf das Sexualleben der Kranken hingeführt hat. Vielleicht werden wir uns darüber um so weniger verwundern, je öfter wir in den Sinn und in die Absicht neurotischer Symptome Einsicht gewinnen.</w:t>
      </w:r>
    </w:p>
    <w:p w:rsidR="00062BE4" w:rsidRPr="002F7766" w:rsidRDefault="00062BE4" w:rsidP="00062BE4">
      <w:pPr>
        <w:rPr>
          <w:rFonts w:ascii="Garamond" w:hAnsi="Garamond" w:cs="Arial"/>
          <w:lang w:val="en-GB"/>
        </w:rPr>
      </w:pPr>
      <w:r w:rsidRPr="00062BE4">
        <w:rPr>
          <w:rFonts w:ascii="Garamond" w:hAnsi="Garamond" w:cs="Arial"/>
          <w:lang w:val="en-GB"/>
        </w:rPr>
        <w:t xml:space="preserve">So habe ich Ihnen denn an zwei ausgewählten Beispielen gezeigt, daß die neurotischen Symptome einen Sinn haben wie die Fehlleistungen und wie die Träume und daß sie in intimer Beziehung zum Erleben der Patienten stehen. </w:t>
      </w:r>
      <w:r w:rsidRPr="002F7766">
        <w:rPr>
          <w:rFonts w:ascii="Garamond" w:hAnsi="Garamond" w:cs="Arial"/>
          <w:lang w:val="en-GB"/>
        </w:rPr>
        <w:t>Kann ich erwarten, daß Sie mir diesen überaus bedeutsamen Satz auf zwei Beispiele hin glauben? Nein. Aber können Sie von mir verlangen, daß ich Ihnen soviel weitere Beispiele erzähle, bis Sie sich für überzeugt erklären? Auch nicht, denn bei der Ausführlichkeit, mit der ich den einzelnen Fall behandle, müßte ich ein fünfstündiges Semestralkolleg der Erledigung dieses einzelnen Punktes der Neurosenlehre widmen. Ich bescheide mich also damit, Ihnen eine Probe für meine Behauptung gegeben zu haben, und verweise Sie im übrigen auf die Mitteilungen in der Literatur, auf die klassischen Symptomdeutungen im ersten Fall von Breuer (Hysterie), auf die frappanten Aufhellungen ganz dunkler Symptome bei der sogenannten Dementia praecox durch C.G.Jung aus der Zeit, da dieser Forscher bloß Psychoanalytiker war und noch nicht Prophet sein wollte, und auf alle die Arbeiten, die seither unsere Zeitschriften gefüllt haben. Wir haben gerade an solchen Untersuchungen keinen Mangel. Die Analyse, Deutung, Übersetzung der neurotischen Symptome hat die Psychoanalytiker so angezogen, daß sie zunächst die anderen Probleme der Neurotik dagegen vernachlässigten.</w:t>
      </w:r>
    </w:p>
    <w:p w:rsidR="00062BE4" w:rsidRPr="002F7766" w:rsidRDefault="00062BE4" w:rsidP="00062BE4">
      <w:pPr>
        <w:rPr>
          <w:rFonts w:ascii="Garamond" w:hAnsi="Garamond" w:cs="Arial"/>
          <w:lang w:val="en-GB"/>
        </w:rPr>
      </w:pPr>
      <w:r w:rsidRPr="002F7766">
        <w:rPr>
          <w:rFonts w:ascii="Garamond" w:hAnsi="Garamond" w:cs="Arial"/>
          <w:lang w:val="en-GB"/>
        </w:rPr>
        <w:t xml:space="preserve">Wer von Ihnen sich einer solchen Bemühung unterzieht, der wird gewiß einen starken Eindruck von der Fülle des Beweismaterials empfangen. Aber er wird auch auf eine Schwierigkeit stoßen. Der Sinn eines Symptoms liegt, wie wir erfahren haben, in einer Beziehung zum Erleben des Kranken. Je individueller das Symptom ausgebildet ist, desto eher dürfen wir erwarten, diesen Zusammenhang herzustellen. Die Aufgabe stellt sich dann geradezu, für eine sinnlose Idee und eine zwecklose Handlung jene vergangene Situation aufzufinden, in welcher die Idee gerechtfertigt und die Handlung zweckentsprechend war. Die Zwangshandlung unserer Patientin, die zum Tisch lief und dem Stubenmädchen schellte, ist direkt vorbildlich für diese Art von Symptomen. Aber es gibt, und zwar sehr häufig, Symptome von ganz anderem Charakter. Man muß sie »typische« Symptome der Krankheit nennen, sie sind in allen Fällen ungefähr gleich, die individuellen Unterschiede verschwinden bei ihnen oder schrumpfen wenigstens so zusammen, daß es schwerfällt, sie mit dem individuellen Erleben der Kranken zusammenzubringen und auf einzelne erlebte Situationen zu beziehen. Richten wir unseren Blick wiederum auf die Zwangsneurose. Schon das Schlafzimmerzeremoniell unserer zweiten Patientin hat viel Typisches an sich, dabei allerdings genug individuelle Züge, um die sozusagen </w:t>
      </w:r>
      <w:r w:rsidRPr="002F7766">
        <w:rPr>
          <w:rFonts w:ascii="Garamond" w:hAnsi="Garamond" w:cs="Arial"/>
          <w:i/>
          <w:iCs/>
          <w:lang w:val="en-GB"/>
        </w:rPr>
        <w:t>historische</w:t>
      </w:r>
      <w:r w:rsidRPr="002F7766">
        <w:rPr>
          <w:rFonts w:ascii="Garamond" w:hAnsi="Garamond" w:cs="Arial"/>
          <w:lang w:val="en-GB"/>
        </w:rPr>
        <w:t xml:space="preserve"> Deutung zu ermöglichen. Aber alle diese Zwangskranken haben die Neigung zu wiederholen, Verrichtungen zu rhythmieren und von anderen zu isolieren. Die meisten von ihnen waschen zu viel. Die Kranken, welche an Agoraphobie (Topophobie, Raumangst) leiden, was wir nicht mehr zur Zwangsneurose rechnen, sondern als Angsthysterie bezeichnen, wiederholen in ihren Krankheitsbildern oft in ermüdender Monotonie dieselben Züge, sie fürchten geschlossene Räume, große offene Plätze, lange sich hinziehende Straßen und Alleen. Sie halten sich für geschützt, wenn Bekannte sie begleiten oder wenn ein Wagen ihnen nachfährt usw. Auf diesem gleichartigen Untergrund tragen aber doch die einzelnen Kranken ihre individuellen Bedingungen, Launen, möchte man sagen, auf, die einander in den einzelnen Fällen direkt widersprechen. Der eine </w:t>
      </w:r>
      <w:r w:rsidRPr="002F7766">
        <w:rPr>
          <w:rFonts w:ascii="Garamond" w:hAnsi="Garamond" w:cs="Arial"/>
          <w:lang w:val="en-GB"/>
        </w:rPr>
        <w:lastRenderedPageBreak/>
        <w:t>scheut nur enge Straßen, der andere nur weite, der eine kann nur gehen, wenn wenig, der andere, wenn viele Menschen auf der Straße sind. Ebenso hat die Hysterie bei allem Reichtum an individuellen Zügen einen Überfluß an gemeinsamen, typischen Symptomen, die einer leichten historischen Zurückführung zu widerstreben scheinen. Vergessen wir nicht, es sind ja diese typischen Symptome, nach denen wir uns für die Stellung der Diagnose orientieren. Haben wir nun wirklich in einem Falle von Hysterie ein typisches Symptom auf ein Erlebnis oder auf eine Kette von ähnlichen Erlebnissen zurückgeführt, z.B. ein hysterisches Erbrechen auf eine Folge von Ekeleindrücken, so werden wir irre, wenn uns die Analyse in einem anderen Fall von Erbrechen eine durchaus andersartige Reihe von angeblich wirksamen Erlebnissen aufdeckt. Es sieht dann bald so aus, als müßten die Hysterischen aus unbekannten Gründen Erbrechen äußern, und die von der Analyse gelieferten historischen Anlässe seien nur Vorwände, die von dieser inneren Notwendigkeit verwendet werden, wenn sie sich zufällig ergeben.</w:t>
      </w:r>
    </w:p>
    <w:p w:rsidR="00062BE4" w:rsidRPr="002F7766" w:rsidRDefault="00062BE4" w:rsidP="00062BE4">
      <w:pPr>
        <w:rPr>
          <w:rFonts w:ascii="Garamond" w:hAnsi="Garamond" w:cs="Arial"/>
          <w:lang w:val="en-GB"/>
        </w:rPr>
      </w:pPr>
      <w:r w:rsidRPr="002F7766">
        <w:rPr>
          <w:rFonts w:ascii="Garamond" w:hAnsi="Garamond" w:cs="Arial"/>
          <w:lang w:val="en-GB"/>
        </w:rPr>
        <w:t>So kommen wir bald zur betrübenden Einsicht, daß wir zwar den Sinn der individuellen neurotischen Symptome durch die Beziehung zum Erleben befriedigend aufklären können, daß uns aber unsere Kunst für die weit häufigeren typischen Symptome derselben im Stiche läßt. Dazu kommt, daß ich Sie noch gar nicht mit allen Schwierigkeiten vertraut gemacht habe, die sich bei der konsequenten Verfolgung der historischen Symptomdeutung herausstellen. Ich will es auch nicht tun, denn ich habe zwar die Absicht, Ihnen nichts zu beschönigen oder zu verhehlen, aber ich darf Sie doch nicht zu Beginn unserer gemeinsamen Studien ratlos machen und in Verwirrung bringen. Es ist richtig, daß wir erst den Anfang zu einem Verständnis der Symptombedeutung gemacht haben, aber wir wollen an dem Gewonnenen festhalten und uns schrittweise zur Bewältigung des noch Unverstandenen durchringen. Ich versuche es also, Sie mit der Überlegung zu trösten, daß eine fundamentale Verschiedenheit zwischen der einen und der anderen Art von Symptomen doch kaum anzunehmen ist. Hängen die individuellen Symptome so unverkennbar vom Erleben des Kranken ab, so bleibt für die typischen Symptome die Möglichkeit, daß sie auf ein Erleben zurückgehen, das an sich typisch, allen Menschen gemeinsam ist. Andere in der Neurose regelmäßig wiederkehrende Züge mögen allgemeine Reaktionen sein, welche den Kranken durch die Natur der krankhaften Veränderung aufgezwungen werden, wie das Wiederholen oder das Zweifeln der Zwangsneurose. Kurz, wir haben keinen Grund zum vorzeitigen Verzagen; wir werden ja sehen, was sich weiter ergibt.</w:t>
      </w:r>
    </w:p>
    <w:p w:rsidR="00062BE4" w:rsidRPr="002F7766" w:rsidRDefault="00062BE4" w:rsidP="00062BE4">
      <w:pPr>
        <w:rPr>
          <w:rFonts w:ascii="Garamond" w:hAnsi="Garamond" w:cs="Arial"/>
          <w:lang w:val="en-GB"/>
        </w:rPr>
      </w:pPr>
      <w:r w:rsidRPr="002F7766">
        <w:rPr>
          <w:rFonts w:ascii="Garamond" w:hAnsi="Garamond" w:cs="Arial"/>
          <w:lang w:val="en-GB"/>
        </w:rPr>
        <w:t>Vor einer ganz ähnlichen Schwierigkeit stehen wir auch in der Traumlehre. Ich konnte sie in unseren früheren Besprechungen über den Traum nicht behandeln. Der manifeste Inhalt der Träume ist ja ein höchst mannigfaltiger und individuell verschiedener, und wir haben ausführlich gezeigt, was man aus diesem Inhalt durch die Analyse gewinnt. Aber daneben gibt es Träume, die man gleichfalls »typische« heißt, die bei allen Menschen in gleicher Weise vorkommen, Träume von gleichförmigem Inhalt, welche der Deutung dieselben Schwierigkeiten entgegensetzen. Es sind dies die Träume vom Fallen, Fliegen, Schweben, Schwimmen, Gehemmtsein, vom Nacktsein und andere gewisse Angstträume, die uns bald diese, bald jene Deutung bei einzelnen Personen ergeben, ohne daß die Monotonie und das typische Vorkommen derselben dabei seine Aufklärung fände. Auch bei diesen Träumen beobachten wir aber, daß ein gemeinsamer Untergrund durch individuell wechselnde Zutaten belebt wird, und wahrscheinlich werden auch sie sich in das Verständnis des Traumlebens, das wir an den anderen Träumen gewonnen haben, ohne Zwang, aber unter Erweiterung unserer Einsichten einfügen lassen.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18. Vo</w:t>
        </w:r>
        <w:bookmarkStart w:id="285" w:name="Vorlesungen_18"/>
        <w:bookmarkEnd w:id="285"/>
        <w:r w:rsidRPr="009C5A67">
          <w:rPr>
            <w:rStyle w:val="Lienhypertexte"/>
            <w:rFonts w:ascii="Garamond" w:hAnsi="Garamond" w:cs="Arial"/>
            <w:b/>
            <w:bCs/>
            <w:lang w:val="en-GB"/>
          </w:rPr>
          <w:t>rlesung. Die Fixierung an das Trauma, das Unbewußte</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Ich sagte das letztemal, wir wollten die Fortsetzung unserer Arbeit nicht an unsere Zweifel, sondern an unsere Funde anknüpfen. Zwei der interessantesten Folgerungen, die sich aus den zwei vorbildlichen Analysen ableiten, haben wir überhaupt noch nicht ausgesprochen.</w:t>
      </w:r>
    </w:p>
    <w:p w:rsidR="00062BE4" w:rsidRPr="002F7766" w:rsidRDefault="00062BE4" w:rsidP="00062BE4">
      <w:pPr>
        <w:rPr>
          <w:rFonts w:ascii="Garamond" w:hAnsi="Garamond" w:cs="Arial"/>
          <w:lang w:val="en-GB"/>
        </w:rPr>
      </w:pPr>
      <w:r w:rsidRPr="002F7766">
        <w:rPr>
          <w:rFonts w:ascii="Garamond" w:hAnsi="Garamond" w:cs="Arial"/>
          <w:lang w:val="en-GB"/>
        </w:rPr>
        <w:t xml:space="preserve">Fürs erste: Beide Patienten machen uns den Eindruck, als wären sie an ein bestimmtes Stück ihrer Vergangenheit </w:t>
      </w:r>
      <w:r w:rsidRPr="002F7766">
        <w:rPr>
          <w:rFonts w:ascii="Garamond" w:hAnsi="Garamond" w:cs="Arial"/>
          <w:i/>
          <w:iCs/>
          <w:lang w:val="en-GB"/>
        </w:rPr>
        <w:t>fixiert</w:t>
      </w:r>
      <w:r w:rsidRPr="002F7766">
        <w:rPr>
          <w:rFonts w:ascii="Garamond" w:hAnsi="Garamond" w:cs="Arial"/>
          <w:lang w:val="en-GB"/>
        </w:rPr>
        <w:t>, verständen nicht davon freizukommen und seien deshalb der Gegenwart und der Zukunft entfremdet. Sie stecken nun in ihrer Krankheit, wie man sich in früheren Zeiten in ein Kloster zurückzuziehen pflegte, um dort ein schweres Lebensschicksal auszutragen. Für unsere erste Patientin ist es die in Wirklichkeit aufgegebene Ehe mit ihrem Manne, die ihr dieses Verhängnis bereitet hat. Durch ihre Symptome setzt sie den Prozeß mit ihrem Manne fort; wir haben jene Stimmen verstehen gelernt, die für ihn plädieren, die ihn entschuldigen, erhöhen, seinen Verlust beklagen. Obwohl sie jung und für andere Männer begehrenswert ist, hat sie alle realen und imaginären (magischen) Vorsichten ergriffen, um ihm die Treue zu bewahren. Sie zeigt sich nicht vor fremden Augen, vernachlässigt ihre Erscheinung, aber sie vermag es auch nicht, so bald von einem Sessel aufzustehen, auf dem sie gesessen ist, und sie verweigert es, ihren Namen zu unterschreiben, kann keinem ein Geschenk machen, mit der Motivierung, es dürfe niemand etwas von ihr haben. Bei unserer zweiten Patientin, dem jungen Mädchen, ist es eine erotische Bindung an den Vater, welche sich in den Jahren vor der Pubertät hergestellt hatte, die für ihr Leben dasselbe leistet. Sie hat auch für sich den Schluß gezogen, daß sie nicht heiraten kann, solange sie so krank ist. Wir dürfen vermuten, sie ist so krank geworden, um nicht heiraten zu müssen und um beim Vater zu bleiben.</w:t>
      </w:r>
    </w:p>
    <w:p w:rsidR="00062BE4" w:rsidRPr="002F7766" w:rsidRDefault="00062BE4" w:rsidP="00062BE4">
      <w:pPr>
        <w:rPr>
          <w:rFonts w:ascii="Garamond" w:hAnsi="Garamond" w:cs="Arial"/>
          <w:lang w:val="en-GB"/>
        </w:rPr>
      </w:pPr>
      <w:r w:rsidRPr="002F7766">
        <w:rPr>
          <w:rFonts w:ascii="Garamond" w:hAnsi="Garamond" w:cs="Arial"/>
          <w:lang w:val="en-GB"/>
        </w:rPr>
        <w:t>Wir dürfen die Frage nicht abweisen, wie, auf welchem Wege und kraft welcher Motive kommt man in eine so merkwürdige und so unvorteilhafte Einstellung zum Leben? Vorausgesetzt, daß dieses Verhalten ein allgemeiner Charakter der Neurose und nicht eine besondere Eigentümlichkeit dieser zwei Kranken ist. Es ist aber in der Tat ein allgemeiner, praktisch sehr bedeutsamer Zug einer jeden Neurose. Die erste hysterische Patientin von Breuer war in ähnlicher Weise an die Zeit fixiert, da sie ihren schwer erkrankten Vater pflegte. Sie hat trotz ihrer Herstellung seither in gewisser Hinsicht mit dem Leben abgeschlossen, sie ist zwar gesund und leistungsfähig geblieben, ist aber dem normalen Frauenschicksal ausgewichen. Bei jedem unserer Kranken können wir durch die Analyse ersehen, daß er sich in seinen Krankheitssymptomen und durch die Folgerungen aus ihnen in eine gewisse Periode seiner Vergangenheit zurückversetzt hat. In der Überzahl der Fälle hat er sogar eine sehr frühe Lebensphase dazu gewählt, eine Zeit seiner Kindheit, ja so lächerlich es klingen mag, selbst seiner Säuglingsexistenz.</w:t>
      </w:r>
    </w:p>
    <w:p w:rsidR="00062BE4" w:rsidRPr="002F7766" w:rsidRDefault="00062BE4" w:rsidP="00062BE4">
      <w:pPr>
        <w:rPr>
          <w:rFonts w:ascii="Garamond" w:hAnsi="Garamond" w:cs="Arial"/>
          <w:lang w:val="en-GB"/>
        </w:rPr>
      </w:pPr>
      <w:r w:rsidRPr="002F7766">
        <w:rPr>
          <w:rFonts w:ascii="Garamond" w:hAnsi="Garamond" w:cs="Arial"/>
          <w:lang w:val="en-GB"/>
        </w:rPr>
        <w:t xml:space="preserve">Die nächste Analogie zu diesem Verhalten unserer Nervösen bieten Erkrankungen, wie sie gerade jetzt der Krieg in besonderer Häufigkeit entstehen läßt, die sogenannten traumatischen Neurosen. Es hat solche Fälle nach Eisenbahnzusammenstößen und anderen schreckhaften Lebensgefahren natürlich auch vor dem Kriege gegeben. Die traumatischen Neurosen sind im Grunde nicht dasselbe wie die spontanen Neurosen, die wir analytisch zu untersuchen und zu behandeln pflegen; es ist uns auch noch nicht gelungen, sie unseren Gesichtspunkten zu unterwerfen, und ich hoffe, Ihnen einmal klarmachen zu können, woran diese Einschränkung liegt. Aber in dem einen Punkt dürfen wir eine völlige Übereinstimmung hervorheben. Die traumatischen Neurosen geben deutliche Anzeichen dafür, daß ihnen eine Fixierung an den Moment des traumatischen Unfalles zugrunde liegt. In ihren Träumen wiederholen diese Kranken regelmäßig die traumatische Situation; wo hysteriforme Anfälle vorkommen, die eine Analyse zulassen, erfährt man, daß der Anfall einer vollen Versetzung in diese Situation entspricht. Es ist so, als ob diese Kranken mit der traumatischen Situation nicht fertiggeworden wären, als ob diese noch als unbezwungene aktuelle Aufgabe vor ihnen stände, und wir nehmen diese Auffassung in allem Ernst an; </w:t>
      </w:r>
      <w:r w:rsidRPr="002F7766">
        <w:rPr>
          <w:rFonts w:ascii="Garamond" w:hAnsi="Garamond" w:cs="Arial"/>
          <w:lang w:val="en-GB"/>
        </w:rPr>
        <w:lastRenderedPageBreak/>
        <w:t xml:space="preserve">sie zeigt uns den Weg zu einer, heißen wir es </w:t>
      </w:r>
      <w:r w:rsidRPr="002F7766">
        <w:rPr>
          <w:rFonts w:ascii="Garamond" w:hAnsi="Garamond" w:cs="Arial"/>
          <w:i/>
          <w:iCs/>
          <w:lang w:val="en-GB"/>
        </w:rPr>
        <w:t>ökonomischen</w:t>
      </w:r>
      <w:r w:rsidRPr="002F7766">
        <w:rPr>
          <w:rFonts w:ascii="Garamond" w:hAnsi="Garamond" w:cs="Arial"/>
          <w:lang w:val="en-GB"/>
        </w:rPr>
        <w:t xml:space="preserve"> Betrachtung der seelischen Vorgänge. Ja, der Ausdruck traumatisch hat keinen anderen als einen solchen ökonomischen Sinn. Wir nennen so ein Erlebnis, welches dem Seelenleben innerhalb kurzer Zeit einen so starken Reizzuwachs bringt, daß die Erledigung oder Aufarbeitung desselben in normalgewohnter Weise mißglückt, woraus dauernde Störungen im Energiebetrieb resultieren müssen.</w:t>
      </w:r>
    </w:p>
    <w:p w:rsidR="00062BE4" w:rsidRPr="002F7766" w:rsidRDefault="00062BE4" w:rsidP="00062BE4">
      <w:pPr>
        <w:rPr>
          <w:rFonts w:ascii="Garamond" w:hAnsi="Garamond" w:cs="Arial"/>
          <w:lang w:val="en-GB"/>
        </w:rPr>
      </w:pPr>
      <w:r w:rsidRPr="002F7766">
        <w:rPr>
          <w:rFonts w:ascii="Garamond" w:hAnsi="Garamond" w:cs="Arial"/>
          <w:lang w:val="en-GB"/>
        </w:rPr>
        <w:t>Diese Analogie muß uns dazu verlocken, auch jene Erlebnisse, an welche unsere Nervösen fixiert erscheinen, als traumatische zu bezeichnen. Auf solche Weise würde uns eine einfache Bedingung für die neurotische Erkrankung verheißen werden. Die Neurose wäre einer traumatischen Erkrankung gleichzusetzen und entstünde durch die Unfähigkeit, ein überstark affektbetontes Erlebnis zu erledigen. So lautete auch wirklich die erste Formel, in welcher Breuer und ich 1893/95 theoretische Rechenschaft von unseren neuen Beobachtungen ablegten. Ein Fall wie der unserer ersten Patientin, der jungen, von ihrem Mann getrennten Frau, unterwirft sich dieser Auffassung sehr gut. Sie hat die Undurchführbarkeit ihrer Ehe nicht verwunden und ist an diesem Trauma hängengeblieben. Aber schon unser zweiter Fall, das an ihren Vater fixierte Mädchen, zeigt uns, daß die Formel nicht umfassend genug ist. Einerseits ist eine solche Kleinmädchenverliebtheit in den Vater etwas so Gewöhnliches und so häufig Überwundenes, daß die Bezeichnung »traumatisch« allen Gehalt verlieren würde, anderseits lehrt uns die Geschichte der Kranken, daß diese erste erotische Fixierung zunächst anscheinend schadlos vorüberging und erst mehrere Jahre später in den Symptomen der Zwangsneurose wieder zum Vorschein kam. Wir sehen da also Komplikationen, eine größere Reichhaltigkeit der Erkrankungsbedingungen voraus, aber wir ahnen auch, der traumatische Gesichtspunkt wird nicht etwa als irrig aufzugeben sein; er wird sich anderswo einfügen und unterordnen müssen.</w:t>
      </w:r>
    </w:p>
    <w:p w:rsidR="00062BE4" w:rsidRPr="002F7766" w:rsidRDefault="00062BE4" w:rsidP="00062BE4">
      <w:pPr>
        <w:rPr>
          <w:rFonts w:ascii="Garamond" w:hAnsi="Garamond" w:cs="Arial"/>
          <w:lang w:val="en-GB"/>
        </w:rPr>
      </w:pPr>
      <w:r w:rsidRPr="002F7766">
        <w:rPr>
          <w:rFonts w:ascii="Garamond" w:hAnsi="Garamond" w:cs="Arial"/>
          <w:lang w:val="en-GB"/>
        </w:rPr>
        <w:t xml:space="preserve">Wir brechen hier wieder den Weg ab, den wir eingeschlagen haben. Er führt zunächst nicht weiter, und wir haben allerlei anderes zu erfahren, ehe wir seine richtige Fortsetzung finden können. Bemerken wir noch zum Thema der Fixierung an eine bestimmte Phase der Vergangenheit, daß ein solches Vorkommen weit über die Neurose hinausgeht. Jede Neurose enthält eine solche Fixierung, aber nicht jede Fixierung führt zur Neurose, fällt mit Neurose zusammen oder stellt sich auf dem Wege der Neurose her. Ein Mustervorbild einer affektiven Fixierung an etwas Vergangenes ist die Trauer, die selbst die vollste Abwendung von Gegenwart und Zukunft mit sich bringt. </w:t>
      </w:r>
      <w:r w:rsidRPr="002F7766">
        <w:rPr>
          <w:rFonts w:ascii="Garamond" w:hAnsi="Garamond" w:cs="Arial"/>
        </w:rPr>
        <w:t xml:space="preserve">Aber die Trauer scheidet sich selbst für das Laienurteil scharf von der Neurose. </w:t>
      </w:r>
      <w:r w:rsidRPr="002F7766">
        <w:rPr>
          <w:rFonts w:ascii="Garamond" w:hAnsi="Garamond" w:cs="Arial"/>
          <w:lang w:val="en-GB"/>
        </w:rPr>
        <w:t>Dagegen gibt es Neurosen, die man als eine pathologische Form der Trauer bezeichnen kann.</w:t>
      </w:r>
    </w:p>
    <w:p w:rsidR="00062BE4" w:rsidRPr="002F7766" w:rsidRDefault="00062BE4" w:rsidP="00062BE4">
      <w:pPr>
        <w:rPr>
          <w:rFonts w:ascii="Garamond" w:hAnsi="Garamond" w:cs="Arial"/>
          <w:lang w:val="en-GB"/>
        </w:rPr>
      </w:pPr>
      <w:r w:rsidRPr="002F7766">
        <w:rPr>
          <w:rFonts w:ascii="Garamond" w:hAnsi="Garamond" w:cs="Arial"/>
          <w:lang w:val="en-GB"/>
        </w:rPr>
        <w:t>Es kommt auch vor, daß Menschen durch ein traumatisches, die bisherigen Grundlagen ihres Lebens erschütterndes Ereignis so zum Stillstand gebracht werden, daß sie jedes Interesse für Gegenwart und Zukunft aufgeben und dauernd in der seelischen Beschäftigung mit der Vergangenheit verharren, aber diese Unglücklichen brauchen dabei nicht neurotisch zu werden. Wir wollen also diesen einen Zug für die Charakteristik der Neurose nicht überschätzen, so regelmäßig und so bedeutsam er sonst sein mag.</w:t>
      </w:r>
    </w:p>
    <w:p w:rsidR="00062BE4" w:rsidRPr="002F7766" w:rsidRDefault="00062BE4" w:rsidP="00062BE4">
      <w:pPr>
        <w:rPr>
          <w:rFonts w:ascii="Garamond" w:hAnsi="Garamond" w:cs="Arial"/>
          <w:lang w:val="en-GB"/>
        </w:rPr>
      </w:pPr>
      <w:r w:rsidRPr="002F7766">
        <w:rPr>
          <w:rFonts w:ascii="Garamond" w:hAnsi="Garamond" w:cs="Arial"/>
          <w:lang w:val="en-GB"/>
        </w:rPr>
        <w:t xml:space="preserve">Nun aber zum zweiten Ergebnis unserer Analysen, für welches wir eine nachträgliche Einschränkung nicht zu besorgen haben. Wir haben von unserer ersten Patientin mitgeteilt, welche sinnlose Zwangshandlung sie ausführte und welche intime Lebenserinnerung sie als dazugehörig erzählte, haben auch später das Verhältnis zwischen den beiden untersucht und die Absicht der Zwangshandlung aus dieser Beziehung zur Erinnerung erraten. Aber ein Moment haben wir völlig beiseite gelassen, das unsere ganze Aufmerksamkeit verdient. Solange die Patientin auch die Zwangshandlung wiederholte, wußte sie nichts davon, daß sie mit ihr an jenes Erlebnis anknüpfte. Der Zusammenhang zwischen den beiden war ihr verborgen; sie mußte wahrheitsgemäß antworten, sie wisse nicht, unter welchen Antrieben sie dies tue. Dann traf es sich unter dem Einflüsse der Kurarbeit plötzlich einmal, daß sie jenen Zusammenhang auffand und mitteilen konnte. Aber noch immer wußte sie von der Absicht nichts, in deren Dienst sie die Zwangshandlung ausführte, der Absicht, ein peinliches Stück der Vergangenheit zu korrigieren und den </w:t>
      </w:r>
      <w:r w:rsidRPr="002F7766">
        <w:rPr>
          <w:rFonts w:ascii="Garamond" w:hAnsi="Garamond" w:cs="Arial"/>
          <w:lang w:val="en-GB"/>
        </w:rPr>
        <w:lastRenderedPageBreak/>
        <w:t>von ihr geliebten Mann auf ein höheres Niveau zu stellen. Es dauerte ziemlich lange und kostete viel Mühe, bis sie begriffen und mir zugestanden hatte, daß ein solches Motiv allein die treibende Kraft der Zwangshandlung gewesen sein könnte.</w:t>
      </w:r>
    </w:p>
    <w:p w:rsidR="00062BE4" w:rsidRPr="002F7766" w:rsidRDefault="00062BE4" w:rsidP="00062BE4">
      <w:pPr>
        <w:rPr>
          <w:rFonts w:ascii="Garamond" w:hAnsi="Garamond" w:cs="Arial"/>
          <w:lang w:val="en-GB"/>
        </w:rPr>
      </w:pPr>
      <w:r w:rsidRPr="002F7766">
        <w:rPr>
          <w:rFonts w:ascii="Garamond" w:hAnsi="Garamond" w:cs="Arial"/>
          <w:lang w:val="en-GB"/>
        </w:rPr>
        <w:t xml:space="preserve">Der Zusammenhang mit der Szene nach der verunglückten Hochzeitsnacht und das zärtliche Motiv der Kranken ergeben mitsammen das, was wir den »Sinn« der Zwangshandlung genannt haben. Aber dieser Sinn war ihr nach beiden Richtungen, dem »woher« wie dem »wozu«, unbekannt gewesen, während sie die Zwangshandlung ausführte. Es hatten also seelische Vorgänge in ihr gewirkt, die Zwangshandlung war eben deren Wirkung; sie hatte die Wirkung in normaler seelischer Verfassung wahrgenommen, aber nichts von den seelischen Vorbedingungen dieser Wirkung war zur Kenntnis ihres Bewußtseins gekommen. Sie hatte sich ganz ebenso benommen wie ein Hypnotisierter, dem Bernheim den Auftrag erteilte, fünf Minuten nach seinem Erwachen im Krankensaal einen Regenschirm aufzuspannen, der diesen Auftrag im Wachen ausführte, aber kein Motiv für sein Tun anzugeben wußte. Einen solchen Sachverhalt haben wir im Auge, wenn wir von der Existenz </w:t>
      </w:r>
      <w:r w:rsidRPr="002F7766">
        <w:rPr>
          <w:rFonts w:ascii="Garamond" w:hAnsi="Garamond" w:cs="Arial"/>
          <w:i/>
          <w:iCs/>
          <w:lang w:val="en-GB"/>
        </w:rPr>
        <w:t>unbewußter seelischer Vorgänge</w:t>
      </w:r>
      <w:r w:rsidRPr="002F7766">
        <w:rPr>
          <w:rFonts w:ascii="Garamond" w:hAnsi="Garamond" w:cs="Arial"/>
          <w:lang w:val="en-GB"/>
        </w:rPr>
        <w:t xml:space="preserve"> reden. Wir dürfen alle Welt herausfordern, von diesem Sachverhalt auf eine korrektere wissenschaftliche Art Rechenschaft zu geben, und wollen dann gern auf die Annahme unbewußter seelischer Vorgänge verzichten. Bis dahin werden wir aber an dieser Annahme festhalten, und wir müssen es mit resigniertem Achselzucken als unbegreiflich abweisen, wenn uns jemand einwenden will, das Unbewußte sei hier nichts im Sinne der Wissenschaft Reales, ein Notbehelf, </w:t>
      </w:r>
      <w:r w:rsidRPr="002F7766">
        <w:rPr>
          <w:rFonts w:ascii="Garamond" w:hAnsi="Garamond" w:cs="Arial"/>
          <w:i/>
          <w:iCs/>
          <w:lang w:val="en-GB"/>
        </w:rPr>
        <w:t>une façon de parler</w:t>
      </w:r>
      <w:r w:rsidRPr="002F7766">
        <w:rPr>
          <w:rFonts w:ascii="Garamond" w:hAnsi="Garamond" w:cs="Arial"/>
          <w:lang w:val="en-GB"/>
        </w:rPr>
        <w:t>. Etwas nicht Reales, von dem so real greifbare Wirkungen ausgehen wie eine Zwangshandlung!</w:t>
      </w:r>
    </w:p>
    <w:p w:rsidR="00062BE4" w:rsidRPr="002F7766" w:rsidRDefault="00062BE4" w:rsidP="00062BE4">
      <w:pPr>
        <w:rPr>
          <w:rFonts w:ascii="Garamond" w:hAnsi="Garamond" w:cs="Arial"/>
          <w:lang w:val="en-GB"/>
        </w:rPr>
      </w:pPr>
      <w:r w:rsidRPr="002F7766">
        <w:rPr>
          <w:rFonts w:ascii="Garamond" w:hAnsi="Garamond" w:cs="Arial"/>
          <w:lang w:val="en-GB"/>
        </w:rPr>
        <w:t>Im Grunde das nämliche treffen wir bei unserer zweiten Patientin an. Sie hat ein Gebot geschaffen, das Polster dürfe die Bettwand nicht berühren, und muß dieses Gebot befolgen, aber sie weiß nicht, woher es stammt, was es bedeutet und welchen Motiven es seine Macht verdankt. Ob sie es selbst als indifferent betrachtet oder sich dagegen sträubt, dagegen wütet, sich vornimmt, es zu übertreten, ist für seine Ausführung gleichgültig. Es muß befolgt werden, und sie fragt sich vergeblich, warum. Man muß doch bekennen, in diesen Symptomen der Zwangsneurose, diesen Vorstellungen und Impulsen, die auftauchen, man weiß nicht woher, sich so resistent gegen alle Einflüsse des sonst normalen Seelenlebens benehmen, den Kranken selbst den Eindruck machen, als wären sie übergewaltige Gäste aus einer fremden Welt, Unsterbliche, die sich in das Gewühl der Sterblichen gemengt haben, ist wohl der deutlichste Hinweis auf einen besonderen, vom übrigen abgeschlossenen Bezirk des Seelenlebens gegeben. Von ihnen aus führt ein nicht zu verfehlender Weg zur Überzeugung von der Existenz des Unbewußten in der Seele, und gerade darum weiß die klinische Psychiatrie, die nur eine Bewußtseinspsychologie kennt, mit ihnen nichts anderes anzufangen, als daß sie sie für die Anzeichen einer besonderen Degenerationsweise ausgibt. Natürlich sind die Zwangsvorstellungen und Zwangsimpulse nicht selbst unbewußt, so wenig wie die Ausführung der Zwangshandlungen der bewußten Wahrnehmung entgeht. Sie wären nicht Symptome geworden, wenn sie nicht zum Bewußtsein durchgedrungen wären. Aber die psychischen Vorbedingungen, die wir durch die Analyse für sie erschließen, die Zusammenhänge, in welche wir sie durch die Deutung einsetzen, sind unbewußte, wenigstens so lange, bis wir sie dem Kranken durch die Arbeit der Analyse zu bewußten gemacht haben.</w:t>
      </w:r>
    </w:p>
    <w:p w:rsidR="00062BE4" w:rsidRPr="002F7766" w:rsidRDefault="00062BE4" w:rsidP="00062BE4">
      <w:pPr>
        <w:rPr>
          <w:rFonts w:ascii="Garamond" w:hAnsi="Garamond" w:cs="Arial"/>
          <w:lang w:val="en-GB"/>
        </w:rPr>
      </w:pPr>
      <w:r w:rsidRPr="002F7766">
        <w:rPr>
          <w:rFonts w:ascii="Garamond" w:hAnsi="Garamond" w:cs="Arial"/>
          <w:lang w:val="en-GB"/>
        </w:rPr>
        <w:t xml:space="preserve">Nun nehmen Sie hinzu, daß dieser bei unseren beiden Fällen festgestellte Sachverhalt sich bei allen Symptomen aller neurotischen Erkrankungen bestätigt, daß immer und überall der Sinn der Symptome dem Kranken unbekannt ist, daß die Analyse regelmäßig zeigt, diese Symptome seien Abkömmlinge unbewußter Vorgänge, die sich aber unter mannigfaltigen günstigen Bedingungen bewußtmachen lassen, so werden Sie verstehen, daß wir in der Psychoanalyse das unbewußte Seelische nicht entbehren können und gewohnt sind, mit ihm wie mit etwas sinnlich Greifbarem zu operieren. Sie werden aber vielleicht auch begreifen, wie wenig urteilsfähig in dieser Frage alle anderen sind, die das Unbewußte nur als Begriff kennen, die nie analysiert, nie Träume gedeutet oder neurotische Symptome in Sinn und Absicht umgesetzt haben. Um es für unsere Zwecke nochmals auszusprechen: Die Möglichkeit, den neurotischen </w:t>
      </w:r>
      <w:r w:rsidRPr="002F7766">
        <w:rPr>
          <w:rFonts w:ascii="Garamond" w:hAnsi="Garamond" w:cs="Arial"/>
          <w:lang w:val="en-GB"/>
        </w:rPr>
        <w:lastRenderedPageBreak/>
        <w:t>Symptomen durch analytische Deutung einen Sinn zu geben, ist ein unerschütterlicher Beweis für die Existenz oder, wenn Sie so lieber wollen, für die Notwendigkeit der Annahme unbewußter seelischer Vorgänge.</w:t>
      </w:r>
    </w:p>
    <w:p w:rsidR="00062BE4" w:rsidRPr="002F7766" w:rsidRDefault="00062BE4" w:rsidP="00062BE4">
      <w:pPr>
        <w:rPr>
          <w:rFonts w:ascii="Garamond" w:hAnsi="Garamond" w:cs="Arial"/>
          <w:lang w:val="en-GB"/>
        </w:rPr>
      </w:pPr>
      <w:r w:rsidRPr="002F7766">
        <w:rPr>
          <w:rFonts w:ascii="Garamond" w:hAnsi="Garamond" w:cs="Arial"/>
          <w:lang w:val="en-GB"/>
        </w:rPr>
        <w:t>Das ist aber nicht alles. Dank einer zweiten Entdeckung von Breuer, die mir sogar als die inhaltsreichere erscheint und in welcher er keine Genossen hat, erfahren wir von der Beziehung zwischen dem Unbewußten und den neurotischen Symptomen noch mehr. Nicht nur, daß der Sinn der Symptome regelmäßig unbewußt ist; es besteht auch ein Verhältnis von Vertretung zwischen dieser Unbewußtheit und der Existenzmöglichkeit der Symptome. Sie werden mich bald verstehen. Ich will mit Breuer folgendes behaupten: Jedesmal, wenn wir auf ein Symptom stoßen, dürfen wir schließen, es bestehen bei dem Kranken bestimmte unbewußte Vorgänge, die eben den Sinn des Symptoms enthalten. Aber es ist auch erforderlich, daß dieser Sinn unbewußt sei, damit das Symptom zustande komme. Aus bewußten Vorgängen werden Symptome nicht gebildet; sowie die betreffenden unbewußten bewußt geworden sind, muß das Symptom verschwinden. Sie erkennen hier mit einem Male einen Zugang zur Therapie, einen Weg, Symptome zum Verschwinden zu bringen. Auf diesem Wege hat Breuer in der Tat seine hysterische Patientin hergestellt, das heißt von ihren Symptomen befreit; er fand eine Technik, ihr die unbewußten Vorgänge, die den Sinn des Symptoms enthielten, zum Bewußtsein zu bringen, und die Symptome verschwanden.</w:t>
      </w:r>
    </w:p>
    <w:p w:rsidR="00062BE4" w:rsidRPr="002F7766" w:rsidRDefault="00062BE4" w:rsidP="00062BE4">
      <w:pPr>
        <w:rPr>
          <w:rFonts w:ascii="Garamond" w:hAnsi="Garamond" w:cs="Arial"/>
          <w:lang w:val="en-GB"/>
        </w:rPr>
      </w:pPr>
      <w:r w:rsidRPr="002F7766">
        <w:rPr>
          <w:rFonts w:ascii="Garamond" w:hAnsi="Garamond" w:cs="Arial"/>
          <w:lang w:val="en-GB"/>
        </w:rPr>
        <w:t>Diese Entdeckung von Breuer war nicht das Ergebnis einer Spekulation, sondern einer glücklichen, durch das Entgegenkommen des Kranken ermöglichten Beobachtung. Sie sollen sich jetzt auch nicht damit quälen wollen, sie durch Zurückführung auf etwas anderes, bereits Bekanntes zu verstehen, sondern sollen eine neue fundamentale Tatsache in ihr erkennen, mit deren Hilfe vieles andere erklärlich werden wird. Gestatten Sie mir darum, daß ich Ihnen dasselbe in anderen Ausdrucksweisen wiederhole.</w:t>
      </w:r>
    </w:p>
    <w:p w:rsidR="00062BE4" w:rsidRPr="002F7766" w:rsidRDefault="00062BE4" w:rsidP="00062BE4">
      <w:pPr>
        <w:rPr>
          <w:rFonts w:ascii="Garamond" w:hAnsi="Garamond" w:cs="Arial"/>
          <w:lang w:val="en-GB"/>
        </w:rPr>
      </w:pPr>
      <w:r w:rsidRPr="002F7766">
        <w:rPr>
          <w:rFonts w:ascii="Garamond" w:hAnsi="Garamond" w:cs="Arial"/>
          <w:lang w:val="en-GB"/>
        </w:rPr>
        <w:t>Die Symptombildung ist ein Ersatz für etwas anderes, was unterblieben ist. Gewisse seelische Vorgänge hätten sich normalerweise so weit entwickeln sollen, daß das Bewußtsein Kunde von ihnen erhielte. Das ist nicht geschehen, und dafür ist aus den unterbrochenen, irgendwie gestörten Vorgängen, die unbewußt bleiben mußten, das Symptom hervorgegangen. Es ist also etwas wie eine Vertauschung vorgefallen; wenn es gelingt, diese rückgängig zu machen, hat die Therapie der neurotischen Symptome ihre Aufgabe gelöst.</w:t>
      </w:r>
    </w:p>
    <w:p w:rsidR="00062BE4" w:rsidRPr="002F7766" w:rsidRDefault="00062BE4" w:rsidP="00062BE4">
      <w:pPr>
        <w:rPr>
          <w:rFonts w:ascii="Garamond" w:hAnsi="Garamond" w:cs="Arial"/>
          <w:lang w:val="en-GB"/>
        </w:rPr>
      </w:pPr>
      <w:r w:rsidRPr="002F7766">
        <w:rPr>
          <w:rFonts w:ascii="Garamond" w:hAnsi="Garamond" w:cs="Arial"/>
          <w:lang w:val="en-GB"/>
        </w:rPr>
        <w:t>Der Breuersche Fund ist noch heute die Grundlage der psychoanalytischen Therapie. Der Satz, daß die Symptome verschwinden, wenn man ihre unbewußten Vorbedingungen bewußtgemacht hat, ist durch alle weitere Forschung bestätigt worden, obgleich man den merkwürdigsten und unerwartetsten Komplikationen begegnet, wenn man den Versuch seiner praktischen Durchführung unternimmt. Unsere Therapie wirkt dadurch, daß sie Unbewußtes in Bewußtes verwandelt, und wirkt nur, insoweit sie in die Lage kommt, diese Verwandlung durchzusetzen.</w:t>
      </w:r>
    </w:p>
    <w:p w:rsidR="00062BE4" w:rsidRPr="002F7766" w:rsidRDefault="00062BE4" w:rsidP="00062BE4">
      <w:pPr>
        <w:rPr>
          <w:rFonts w:ascii="Garamond" w:hAnsi="Garamond" w:cs="Arial"/>
          <w:lang w:val="en-GB"/>
        </w:rPr>
      </w:pPr>
      <w:r w:rsidRPr="002F7766">
        <w:rPr>
          <w:rFonts w:ascii="Garamond" w:hAnsi="Garamond" w:cs="Arial"/>
          <w:lang w:val="en-GB"/>
        </w:rPr>
        <w:t xml:space="preserve">Nun rasch eine kleine Abschweifung, damit Sie nicht in die Gefahr kommen, sich diese therapeutische Arbeit als zu leicht vorzustellen. Nach unseren bisherigen Ausführungen wäre ja die Neurose die Folge einer Art von Unwissenheit, des Nichtwissens um seelische Vorgänge, von denen man wissen sollte. Das würde eine starke Annäherung an bekannte sokratische Lehren sein, denen zufolge selbst die Laster auf einer Unwissenheit beruhen. Nun wird es dem in der Analyse erfahrenen Arzt in der Regel sehr leicht zu erraten, welche seelische Regungen bei dem einzelnen Kranken unbewußt geblieben sind. Es dürfte ihm also auch nicht schwerfallen, den Kranken herzustellen, indem er ihn durch Mitteilung seines Wissens von seiner eigenen Unwissenheit befreit. Wenigstens der eine Anteil des unbewußten Sinnes der Symptome wäre auf diese Weise leicht erledigt, vom anderen, vom Zusammenhang der Symptome mit den Erlebnissen des Kranken kann der Arzt freilich nicht viel erraten, denn er kennt diese Erlebnisse nicht, er muß warten, bis der Kranke sie erinnert und ihm erzählt. Aber auch dafür ließe sich in manchen Fällen ein Ersatz finden. Man kann sich bei den Angehörigen des Kranken nach dessen Erlebnissen erkundigen, und </w:t>
      </w:r>
      <w:r w:rsidRPr="002F7766">
        <w:rPr>
          <w:rFonts w:ascii="Garamond" w:hAnsi="Garamond" w:cs="Arial"/>
          <w:lang w:val="en-GB"/>
        </w:rPr>
        <w:lastRenderedPageBreak/>
        <w:t>diese werden häufig in der Lage sein, die traumatisch wirksamen unter ihnen zu erkennen, vielleicht sogar solche Erlebnisse mitzuteilen, von denen der Kranke nichts weiß, weil sie in sehr frühe Jahre seines Lebens gefallen sind. Durch eine Vereinigung dieser beiden Verfahren hätte man also Aussicht, der pathogenen Unwissenheit des Kranken in kurzer Zeit und mit geringer Mühe abzuhelfen.</w:t>
      </w:r>
    </w:p>
    <w:p w:rsidR="00062BE4" w:rsidRPr="002F7766" w:rsidRDefault="00062BE4" w:rsidP="00062BE4">
      <w:pPr>
        <w:rPr>
          <w:rFonts w:ascii="Garamond" w:hAnsi="Garamond" w:cs="Arial"/>
          <w:lang w:val="en-GB"/>
        </w:rPr>
      </w:pPr>
      <w:r w:rsidRPr="002F7766">
        <w:rPr>
          <w:rFonts w:ascii="Garamond" w:hAnsi="Garamond" w:cs="Arial"/>
          <w:lang w:val="en-GB"/>
        </w:rPr>
        <w:t xml:space="preserve">Ja, wenn das so ginge! Wir haben da Erfahrungen gemacht, auf welche wir anfangs nicht vorbereitet waren. Wissen und Wissen ist nicht dasselbe; es gibt verschiedene Arten von Wissen, die psychologisch gar nicht gleichwertig sind. </w:t>
      </w:r>
      <w:r w:rsidRPr="002F7766">
        <w:rPr>
          <w:rFonts w:ascii="Garamond" w:hAnsi="Garamond" w:cs="Arial"/>
          <w:i/>
          <w:iCs/>
        </w:rPr>
        <w:t>Il y a fagots et fagots</w:t>
      </w:r>
      <w:r w:rsidRPr="002F7766">
        <w:rPr>
          <w:rFonts w:ascii="Garamond" w:hAnsi="Garamond" w:cs="Arial"/>
        </w:rPr>
        <w:t xml:space="preserve">, heißt es einmal bei Molière. Das Wissen des Arztes ist nicht dasselbe wie das des Kranken und kann nicht dieselben Wirkungen äußern. </w:t>
      </w:r>
      <w:r w:rsidRPr="002F7766">
        <w:rPr>
          <w:rFonts w:ascii="Garamond" w:hAnsi="Garamond" w:cs="Arial"/>
          <w:lang w:val="en-GB"/>
        </w:rPr>
        <w:t xml:space="preserve">Wenn der Arzt sein Wissen durch Mitteilung auf den Kranken überträgt, so hat dies keinen Erfolg. Nein, es wäre unrichtig, es so zu sagen. Es hat nicht den Erfolg, die Symptome aufzuheben, sondern den anderen, die Analyse in Gang zu bringen, wovon Äußerungen des Widerspruches häufig die ersten Anzeichen sind. Der Kranke weiß dann etwas, was er bisher nicht gewußt hat, den Sinn seines Symptoms, und er weiß ihn doch ebensowenig wie vorhin. Wir erfahren so, es gibt mehr als eine Art von Unwissenheit. Es wird eine gewisse Vertiefung unserer psychologischen Kenntnisse dazugehören, um uns zu zeigen, worin die Unterschiede bestehen. Aber unser Satz, daß die Symptome mit dem Wissen um ihren Sinn vergehen, bleibt darum doch richtig. Es kommt nur dazu, daß das Wissen auf einer inneren Veränderung im Kranken beruhen muß, wie sie nur durch eine psychische Arbeit mit bestimmtem Ziel hervorgerufen werden kann. Hier stehen wir vor Problemen, die sich uns bald zu einer </w:t>
      </w:r>
      <w:r w:rsidRPr="002F7766">
        <w:rPr>
          <w:rFonts w:ascii="Garamond" w:hAnsi="Garamond" w:cs="Arial"/>
          <w:i/>
          <w:iCs/>
          <w:lang w:val="en-GB"/>
        </w:rPr>
        <w:t>Dynamik</w:t>
      </w:r>
      <w:r w:rsidRPr="002F7766">
        <w:rPr>
          <w:rFonts w:ascii="Garamond" w:hAnsi="Garamond" w:cs="Arial"/>
          <w:lang w:val="en-GB"/>
        </w:rPr>
        <w:t xml:space="preserve"> der Symptombildung zusammenfassen werden.</w:t>
      </w:r>
    </w:p>
    <w:p w:rsidR="00062BE4" w:rsidRPr="002F7766" w:rsidRDefault="00062BE4" w:rsidP="00062BE4">
      <w:pPr>
        <w:rPr>
          <w:rFonts w:ascii="Garamond" w:hAnsi="Garamond" w:cs="Arial"/>
          <w:lang w:val="en-GB"/>
        </w:rPr>
      </w:pPr>
      <w:r w:rsidRPr="002F7766">
        <w:rPr>
          <w:rFonts w:ascii="Garamond" w:hAnsi="Garamond" w:cs="Arial"/>
          <w:lang w:val="en-GB"/>
        </w:rPr>
        <w:t>Meine Herren! Ich muß jetzt die Frage aufwerfen, ist Ihnen das, was ich Ihnen sage, nicht zu dunkel und zu kompliziert? Verwirre ich Sie nicht dadurch, daß ich so oft zurücknehme und einschränke, Gedankengänge anspinne und dann fallenlasse? Es sollte mir leid tun, wenn es so wäre. Ich habe aber eine starke Abneigung gegen Vereinfachungen auf Kosten der Wahrheitstreue, habe nichts dagegen, wenn Sie den vollen Eindruck von der Vielseitigkeit und Verwobenheit des Gegenstandes empfangen, und denke mir auch, es ist kein Schaden dabei, wenn ich Ihnen zu jedem Punkte mehr sage, als Sie augenblicklich verwerten können. Ich weiß doch, daß jeder Hörer und Leser das ihm Dargebotene in Gedanken zurichtet, verkürzt, vereinfacht und herauszieht, was er behalten möchte. Bis zu einem gewissen Maß ist es wohl richtig, daß um so mehr übrig bleibt, je reichlicher vorhanden war. Lassen Sie mich hoffen, daß Sie das Wesentliche an meinen Mitteilungen, das über den Sinn der Symptome, über das Unbewußte und die Beziehung zwischen beiden, trotz allen Beiwerkes klar erfaßt haben. Sie haben wohl auch verstanden, daß unsere weitere Bemühung nach zwei Richtungen gehen wird, erstens um zu erfahren, wie Menschen erkranken, zur Lebenseinstellung der Neurose gelangen können, was ein klinisches Problem ist, und zweitens, wie sich aus den Bedingungen der Neurose die krankhaften Symptome entwickeln, was ein Problem der seelischen Dynamik bleibt. Für die beiden Probleme muß es auch irgendwo einen Treffpunkt geben.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will auch heute nicht weiter gehen, aber da unsere Zeit noch nicht um ist, gedenke ich, Ihre Aufmerksamkeit auf einen anderen Charakter unserer beiden Analysen zu lenken, dessen volle Würdigung wiederum erst später erfolgen kann, auf die Erinnerungslücken oder Amnesien. Sie haben gehört, daß man die Aufgabe der psychoanalytischen Behandlung in die Formel fassen kann, alles pathogene Unbewußte in Bewußtes umzusetzen. Nun werden Sie vielleicht erstaunt sein zu erfahren, daß man diese Formel auch durch die andere ersetzen kann, alle Erinnerungslücken der Kranken auszufüllen, seine Amnesien aufzuheben. Das käme auf dasselbe hinaus. Den Amnesien des Neurotikers wird also eine wichtige Beziehung zur Entstehung seiner Symptome zugeschrieben. Wenn Sie aber den Fall unserer ersten Analyse in Betracht ziehen, werden Sie diese Einschätzung der Amnesie nicht berechtigt finden. Die Kranke hat die Szene, an welche ihre Zwangshandlung anknüpft, nicht vergessen, im Gegenteil in lebhafter Erinnerung bewahrt, und etwas anderes Vergessenes ist bei der Entstehung dieses Symptoms auch nicht im Spiele. Minder deutlich, aber doch im ganzen analog ist die Sachlage bei unserer zweiten Patientin, dem Mädchen mit dem Zwangszeremoniell. Auch sie hat das Benehmen ihrer früheren Jahre, </w:t>
      </w:r>
      <w:r w:rsidRPr="002F7766">
        <w:rPr>
          <w:rFonts w:ascii="Garamond" w:hAnsi="Garamond" w:cs="Arial"/>
          <w:lang w:val="en-GB"/>
        </w:rPr>
        <w:lastRenderedPageBreak/>
        <w:t xml:space="preserve">die Tatsachen, daß sie auf der Eröffnung der Türe zwischen dem Schlafzimmer der Eltern und ihrem eigenen bestand und daß sie die Mutter aus ihrer Stelle im Ehebett vertrieb, eigentlich nicht vergessen; sie erinnert sich daran sehr deutlich, wenn auch zögernd und ungern. Als auffällig können wir nur betrachten, daß die erste Patientin, wenn sie ihre Zwangshandlung ungezählte Male ausführte, nicht </w:t>
      </w:r>
      <w:r w:rsidRPr="002F7766">
        <w:rPr>
          <w:rFonts w:ascii="Garamond" w:hAnsi="Garamond" w:cs="Arial"/>
          <w:i/>
          <w:iCs/>
          <w:lang w:val="en-GB"/>
        </w:rPr>
        <w:t>ein Mal</w:t>
      </w:r>
      <w:r w:rsidRPr="002F7766">
        <w:rPr>
          <w:rFonts w:ascii="Garamond" w:hAnsi="Garamond" w:cs="Arial"/>
          <w:lang w:val="en-GB"/>
        </w:rPr>
        <w:t xml:space="preserve"> an deren Ähnlichkeit mit dem Erlebnis nach der Hochzeitsnacht gemahnt wurde und daß sich diese Erinnerung auch nicht einstellte, als sie durch direkte Fragen zur Nachforschung über die Motivierung der Zwangshandlung aufgefordert wurde. Dasselbe gilt für das Mädchen, bei dem das Zeremoniell und seine Anlässe überdies auf die nämliche, allabendlich wiederholte Situation bezogen wird. In beiden Fällen besteht keine eigentliche Amnesie, kein Erinnerungsausfall, aber es ist ein Zusammenhang unterbrochen, der die Reproduktion, das Wiederauftauchen in der Erinnerung, herbeiführen sollte. Eine derartige Störung des Gedächtnisses reicht für die Zwangsneurose hin, bei der Hysterie ist es anders. Diese letztere Neurose ist meist durch ganz großartige Amnesien ausgezeichnet. In der Regel wird man bei der Analyse jedes einzelnen hysterischen Symptoms auf eine ganze Kette von Lebenseindrücken geleitet, die bei ihrer Wiederkehr ausdrücklich als bisher vergessen bezeichnet werden. Diese Kette reicht einerseits bis in die frühesten Lebensjahre zurück, so daß sich die hysterische Amnesie als unmittelbare Fortsetzung der infantilen Amnesie erkennen läßt, die uns Normalen die Anfänge unseres Seelenlebens verdeckt. Anderseits erfahren wir mit Erstaunen, daß auch die jüngsten Erlebnisse der Kranken dem Vergessen verfallen sein können und daß insbesondere die Anlässe, bei denen die Krankheit ausgebrochen oder verstärkt worden ist, von der Amnesie angenagt, wenn nicht ganz verschlungen worden sind. Regelmäßig sind aus dem Gesamtbild einer solchen rezenten Erinnerung wichtige Einzelheiten geschwunden oder durch Erinnerungsfälschungen ersetzt worden. Ja es ereignet sich wiederum fast regelmäßig, daß erst kurz vor dem Abschluß einer Analyse gewisse Erinnerungen an frisch Erlebtes auftauchen, die so lange zurückgehalten werden konnten und fühlbare Lücken im Zusammenhange gelassen hatten.</w:t>
      </w:r>
    </w:p>
    <w:p w:rsidR="00062BE4" w:rsidRPr="002F7766" w:rsidRDefault="00062BE4" w:rsidP="00062BE4">
      <w:pPr>
        <w:rPr>
          <w:rFonts w:ascii="Garamond" w:hAnsi="Garamond" w:cs="Arial"/>
          <w:lang w:val="en-GB"/>
        </w:rPr>
      </w:pPr>
      <w:r w:rsidRPr="00062BE4">
        <w:rPr>
          <w:rFonts w:ascii="Garamond" w:hAnsi="Garamond" w:cs="Arial"/>
          <w:lang w:val="en-GB"/>
        </w:rPr>
        <w:t xml:space="preserve">Solche Beeinträchtigungen des Erinnerungsvermögens sind, wie gesagt, für die Hysterie charakteristisch, bei welcher ja auch als Symptome Zustände auftreten (die hysterischen Anfälle), die in der Erinnerung keine Spur zu hinterlassen brauchen. Wenn es bei der Zwangsneurose anders ist, so mögen Sie daraus schließen, daß es sich bei diesen Amnesien um einen psychologischen Charakter der hysterischen Veränderung und nicht um einen allgemeinen Zug der Neurosen überhaupt handelt. </w:t>
      </w:r>
      <w:r w:rsidRPr="002F7766">
        <w:rPr>
          <w:rFonts w:ascii="Garamond" w:hAnsi="Garamond" w:cs="Arial"/>
          <w:lang w:val="en-GB"/>
        </w:rPr>
        <w:t>Die Bedeutung dieser Differenz wird durch folgende Betrachtung eingeschränkt werden. Wir haben als den »Sinn« eines Symptoms zweierlei zusammengefaßt, sein Woher und sein Wohin oder Wozu, das heißt die Eindrücke und Erlebnisse, von denen es ausgeht, und die Absichten, denen es dient. Das Woher eines Symptoms löst sich also in Eindrücke auf, die von außen gekommen sind, die notwendigerweise einmal bewußt waren und seither durch Vergessen unbewußt geworden sein mögen. Das Wozu des Symptoms, seine Tendenz, ist aber jedesmal ein endopsychischer Vorgang, der möglicherweise zuerst bewußt geworden ist, aber ebensowohl niemals bewußt war und von jeher im Unbewußten verblieben ist. Es ist also nicht sehr wichtig, ob die Amnesie auch das Woher, die Erlebnisse, auf die sich das Symptom stützt, ergriffen hat, wie es bei der Hysterie geschieht; das Wohin, die Tendenz des Symptoms, die von Anfang an unbewußt gewesen sein kann, ist es, die die Abhängigkeit desselben vom Unbewußten begründet, und zwar bei der Zwangsneurose nicht weniger fest als bei der Hysterie.</w:t>
      </w:r>
    </w:p>
    <w:p w:rsidR="00062BE4" w:rsidRPr="002F7766" w:rsidRDefault="00062BE4" w:rsidP="00062BE4">
      <w:pPr>
        <w:rPr>
          <w:rFonts w:ascii="Garamond" w:hAnsi="Garamond" w:cs="Arial"/>
          <w:lang w:val="en-GB"/>
        </w:rPr>
      </w:pPr>
      <w:r w:rsidRPr="002F7766">
        <w:rPr>
          <w:rFonts w:ascii="Garamond" w:hAnsi="Garamond" w:cs="Arial"/>
          <w:lang w:val="en-GB"/>
        </w:rPr>
        <w:t xml:space="preserve">Mit dieser Hervorhebung des Unbewußten im Seelenleben haben wir aber die bösesten Geister der Kritik gegen die Psychoanalyse aufgerufen. Wundern Sie sich darüber nicht und glauben Sie auch nicht, daß der Widerstand gegen uns nur an der begreiflichen Schwierigkeit des Unbewußten oder an der relativen Unzugänglichkeit der Erfahrungen gelegen ist, die es erweisen. Ich meine, er kommt von tiefer her. Zwei große Kränkungen ihrer naiven Eigenliebe hat die Menschheit im Laufe der Zeiten von der Wissenschaft erdulden müssen. Die erste, als sie erfuhr, daß unsere Erde nicht der Mittelpunkt des Weltalls ist, sondern ein winziges Teilchen eines in seiner Größe kaum vorstellbaren Weltsystems. Sie knüpft sich für uns an den Namen Kopernikus, obwohl schon die alexandrinische Wissenschaft ähnliches verkündet hatte. Die </w:t>
      </w:r>
      <w:r w:rsidRPr="002F7766">
        <w:rPr>
          <w:rFonts w:ascii="Garamond" w:hAnsi="Garamond" w:cs="Arial"/>
          <w:lang w:val="en-GB"/>
        </w:rPr>
        <w:lastRenderedPageBreak/>
        <w:t>zweite dann, als die biologische Forschung das angebliche Schöpfungsvorrecht des Menschen zunichte machte, ihn auf die Abstammung aus dem Tierreich und die Unvertilgbarkeit seiner animalischen Natur verwies. Diese Umwertung hat sich in unseren Tagen unter dem Einfluß von Ch.Darwin, Wallace und ihren Vorgängern nicht ohne das heftigste Sträuben der Zeitgenossen vollzogen. Die dritte und empfindlichste Kränkung aber soll die menschliche Größensucht durch die heutige psychologische Forschung erfahren, welche dem Ich nachweisen will, daß es nicht einmal Herr ist im eigenen Hause, sondern auf kärgliche Nachrichten angewiesen bleibt von dem, was unbewußt in seinem Seelenleben vorgeht. Auch diese Mahnung zur Einkehr haben wir Psychoanalytiker nicht zuerst und nicht als die einzigen vorgetragen, aber es scheint uns beschieden, sie am eindringlichsten zu vertreten und durch Erfahrungsmaterial, das jedem einzelnen nahegeht, zu erhärten. Daher die allgemeine Auflehnung gegen unsere Wissenschaft, die Versäumnis aller Rücksichten akademischer Urbanität und die Entfesselung der Opposition von allen Zügeln unparteiischer Logik, und dazu kommt noch, daß wir den Frieden dieser Welt noch auf andere Weise stören mußten, wie Sie bald hören werden.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19. Vo</w:t>
        </w:r>
        <w:bookmarkStart w:id="286" w:name="Vorlesungen_19"/>
        <w:bookmarkEnd w:id="286"/>
        <w:r w:rsidRPr="009C5A67">
          <w:rPr>
            <w:rStyle w:val="Lienhypertexte"/>
            <w:rFonts w:ascii="Garamond" w:hAnsi="Garamond" w:cs="Arial"/>
            <w:b/>
            <w:bCs/>
            <w:lang w:val="en-GB"/>
          </w:rPr>
          <w:t>rlesung. Widerstand und Verdrängung</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Um im Verständnis der Neurosen weiterzukommen, bedürfen wir neuer Erfahrungen, und wir machen deren zwei. Beide sehr merkwürdig und seinerzeit sehr überraschend. Sie sind freilich auf beide durch unsere vorjährigen Besprechungen vorbereitet.</w:t>
      </w:r>
    </w:p>
    <w:p w:rsidR="00062BE4" w:rsidRPr="002F7766" w:rsidRDefault="00062BE4" w:rsidP="00062BE4">
      <w:pPr>
        <w:rPr>
          <w:rFonts w:ascii="Garamond" w:hAnsi="Garamond" w:cs="Arial"/>
          <w:lang w:val="en-GB"/>
        </w:rPr>
      </w:pPr>
      <w:r w:rsidRPr="002F7766">
        <w:rPr>
          <w:rFonts w:ascii="Garamond" w:hAnsi="Garamond" w:cs="Arial"/>
          <w:lang w:val="en-GB"/>
        </w:rPr>
        <w:t>Erstens: Wenn wir es unternehmen, einen Kranken herzustellen, von seinen Leidenssymptomen zu befreien, so setzt er uns einen heftigen, zähen, über die ganze Dauer der Behandlung anhaltenden Widerstand entgegen. Das ist eine so sonderbare Tatsache, daß wir nicht viel Glauben für sie erwarten dürfen. Den Angehörigen des Kranken sagen wir am besten nichts davon, denn diese meinen nie etwas anderes, als es sei eine Ausrede von uns, um die lange Dauer oder den Mißerfolg unserer Behandlung zu entschuldigen. Auch der Kranke produziert alle Phänomene dieses Widerstandes, ohne ihn als solchen zu erkennen, und es ist bereits ein großer Erfolg, wenn wir ihn dazu gebracht haben, sich in diese Auffassung zu finden und mit ihr zu rechnen. Denken Sie doch, der Kranke, der unter seinen Symptomen so leidet und seine Nächsten dabei mitleiden läßt, der so viele Opfer an Zeit, Geld, Mühe und Selbstüberwindung auf sich nehmen will, um von ihnen befreit zu werden, der sollte sich im Interesse seines Krankseins gegen seinen Helfer sträuben. Wie unwahrscheinlich muß diese Behauptung klingen! Und doch ist es so, und wenn man uns diese Unwahrscheinlichkeit vorhält, so brauchen wir nur zu antworten, es sei nicht ohne seine Analogien und jeder, der wegen unerträglicher Zahnschmerzen den Zahnarzt aufgesucht hat, sei diesem wohl in den Arm gefallen, wenn er sich dem kranken Zahn mit der Zange nähern wollte.</w:t>
      </w:r>
    </w:p>
    <w:p w:rsidR="00062BE4" w:rsidRPr="002F7766" w:rsidRDefault="00062BE4" w:rsidP="00062BE4">
      <w:pPr>
        <w:rPr>
          <w:rFonts w:ascii="Garamond" w:hAnsi="Garamond" w:cs="Arial"/>
          <w:lang w:val="en-GB"/>
        </w:rPr>
      </w:pPr>
      <w:r w:rsidRPr="002F7766">
        <w:rPr>
          <w:rFonts w:ascii="Garamond" w:hAnsi="Garamond" w:cs="Arial"/>
          <w:lang w:val="en-GB"/>
        </w:rPr>
        <w:t xml:space="preserve">Der Widerstand der Kranken ist sehr mannigfaltig, höchst raffiniert, oft schwer zu erkennen, wechselt proteusartig die Form seiner Erscheinung. Es heißt für den Arzt mißtrauisch sein und auf seiner Hut gegen ihn bleiben. Wir wenden ja in der psychoanalytischen Therapie die Technik an, die Ihnen von der Traumdeutung her bekannt ist. Wir legen es dem Kranken auf, sich in einen Zustand von ruhiger Selbstbeobachtung ohne Nachdenken zu versetzen und alles mitzuteilen, was er dabei an inneren Wahrnehmungen machen kann: Gefühle, Gedanken, Erinnerungen, in der Reihenfolge, in der sie in ihm auftauchen. Wir warnen ihn dabei ausdrücklich, irgendeinem Motiv nachzugeben, welches eine Auswahl oder Ausschließung unter den Einfällen erzielen möchte, möge es lauten, das ist </w:t>
      </w:r>
      <w:r w:rsidRPr="002F7766">
        <w:rPr>
          <w:rFonts w:ascii="Garamond" w:hAnsi="Garamond" w:cs="Arial"/>
          <w:i/>
          <w:iCs/>
          <w:lang w:val="en-GB"/>
        </w:rPr>
        <w:t>zu unangenehm</w:t>
      </w:r>
      <w:r w:rsidRPr="002F7766">
        <w:rPr>
          <w:rFonts w:ascii="Garamond" w:hAnsi="Garamond" w:cs="Arial"/>
          <w:lang w:val="en-GB"/>
        </w:rPr>
        <w:t xml:space="preserve"> oder </w:t>
      </w:r>
      <w:r w:rsidRPr="002F7766">
        <w:rPr>
          <w:rFonts w:ascii="Garamond" w:hAnsi="Garamond" w:cs="Arial"/>
          <w:i/>
          <w:iCs/>
          <w:lang w:val="en-GB"/>
        </w:rPr>
        <w:t>zu indiskret</w:t>
      </w:r>
      <w:r w:rsidRPr="002F7766">
        <w:rPr>
          <w:rFonts w:ascii="Garamond" w:hAnsi="Garamond" w:cs="Arial"/>
          <w:lang w:val="en-GB"/>
        </w:rPr>
        <w:t xml:space="preserve">, um es zu sagen, oder das ist </w:t>
      </w:r>
      <w:r w:rsidRPr="002F7766">
        <w:rPr>
          <w:rFonts w:ascii="Garamond" w:hAnsi="Garamond" w:cs="Arial"/>
          <w:i/>
          <w:iCs/>
          <w:lang w:val="en-GB"/>
        </w:rPr>
        <w:t>zu unwichtig</w:t>
      </w:r>
      <w:r w:rsidRPr="002F7766">
        <w:rPr>
          <w:rFonts w:ascii="Garamond" w:hAnsi="Garamond" w:cs="Arial"/>
          <w:lang w:val="en-GB"/>
        </w:rPr>
        <w:t xml:space="preserve">, es gehört </w:t>
      </w:r>
      <w:r w:rsidRPr="002F7766">
        <w:rPr>
          <w:rFonts w:ascii="Garamond" w:hAnsi="Garamond" w:cs="Arial"/>
          <w:i/>
          <w:iCs/>
          <w:lang w:val="en-GB"/>
        </w:rPr>
        <w:t>nicht hierher</w:t>
      </w:r>
      <w:r w:rsidRPr="002F7766">
        <w:rPr>
          <w:rFonts w:ascii="Garamond" w:hAnsi="Garamond" w:cs="Arial"/>
          <w:lang w:val="en-GB"/>
        </w:rPr>
        <w:t xml:space="preserve">, oder das ist </w:t>
      </w:r>
      <w:r w:rsidRPr="002F7766">
        <w:rPr>
          <w:rFonts w:ascii="Garamond" w:hAnsi="Garamond" w:cs="Arial"/>
          <w:i/>
          <w:iCs/>
          <w:lang w:val="en-GB"/>
        </w:rPr>
        <w:t>unsinnig</w:t>
      </w:r>
      <w:r w:rsidRPr="002F7766">
        <w:rPr>
          <w:rFonts w:ascii="Garamond" w:hAnsi="Garamond" w:cs="Arial"/>
          <w:lang w:val="en-GB"/>
        </w:rPr>
        <w:t>, braucht nicht gesagt zu werden. Wir schärfen ihm ein, immer nur der Oberfläche seines Bewußtseins zu folgen, jede wie immer geartete Kritik gegen das, was er findet, zu unterlassen, und vertrauen ihm an, daß der Erfolg der Behandlung, vor allem aber die Dauer derselben von der Gewissenhaftigkeit abhängt, mit der er diese technische Grundregel der Analyse befolgt. Wir wissen ja von der Technik der Traumdeutung, daß gerade solche Einfälle, gegen welche sich die aufgezählten Bedenken und Einwendungen erheben, regelmäßig das Material enthalten, welches zur Aufdeckung des Unbewußten hinführt.</w:t>
      </w:r>
    </w:p>
    <w:p w:rsidR="00062BE4" w:rsidRPr="002F7766" w:rsidRDefault="00062BE4" w:rsidP="00062BE4">
      <w:pPr>
        <w:rPr>
          <w:rFonts w:ascii="Garamond" w:hAnsi="Garamond" w:cs="Arial"/>
          <w:lang w:val="en-GB"/>
        </w:rPr>
      </w:pPr>
      <w:r w:rsidRPr="002F7766">
        <w:rPr>
          <w:rFonts w:ascii="Garamond" w:hAnsi="Garamond" w:cs="Arial"/>
          <w:lang w:val="en-GB"/>
        </w:rPr>
        <w:t>Durch die Aufstellung dieser technischen Grundregel erreichen wir zunächst, daß sie zum Angriffspunkt des Widerstandes wird. Der Kranke sucht sich ihren Bestimmungen auf jede Art zu entwinden. Bald behauptet er, es fiele ihm nichts ein, bald, es dränge sich ihm so vieles auf, daß er nichts zu erfassen vermöge. Dann merken wir mit mißvergnügtem Erstaunen, daß er bald dieser, bald jener kritischen Einwendung nachgegeben hat; er verrät sich uns nämlich durch die langen Pausen, die er in seinen Reden eintreten läßt. Er gesteht dann zu, das könne er wirklich nicht sagen, er schäme sich, und läßt dieses Motiv gegen sein Versprechen gelten. Oder es sei ihm etwas eingefallen, aber es betreffe eine andere Person als ihn selbst und sei darum von der Mitteilung ausgenommen. Oder, was ihm jetzt eingefallen, sei wirklich zu unwichtig, zu dumm und zu unsinnig; ich könne doch nicht gemeint haben, daß er auf solche Gedanken eingehen solle, und so geht es in unübersehbaren Variationen weiter, wogegen man zu erklären hat, daß alles sagen wirklich alles sagen bedeutet.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Man trifft kaum auf einen Kranken, der nicht den Versuch machte, irgendein Gebiet für sich zu reservieren, um der Kur den Zutritt zu demselben zu verwehren. Einer, den ich zu den Höchstintelligenten zählen mußte, verschwieg so wochenlang eine intime Liebesbeziehung und verteidigte sich, wegen der Verletzung der heiligen Regel zur Rede gestellt, mit dem Argument, er habe geglaubt, diese eine Geschichte sei seine Privatsache. Natürlich verträgt die analytische Kur ein solches Asylrecht nicht. Man versuche es etwa, in einer Stadt wie Wien für einen Platz wie der Hohe Markt oder für die Stephanskirche die Ausnahme zuzulassen, daß dort keine Verhaftungen stattfinden dürfen, und mühe sich dann ab, einen bestimmten Missetäter einzufangen. Er wird an keiner anderen Stelle als an dem Asyl zu finden sein. Ich entschloß mich einmal, einem Mann, an dessen Leistungsfähigkeit objektiv viel gelegen war, ein solches Ausnahmsrecht zuzugestehen, denn er stand unter einem Diensteid, der ihm verbot, von bestimmten Dingen einem anderen Mitteilung zu machen. Er war allerdings mit dem Erfolg zufrieden, aber ich nicht; ich setzte mir vor, einen Versuch unter solchen Bedingungen nicht zu wiederholen.</w:t>
      </w:r>
    </w:p>
    <w:p w:rsidR="00062BE4" w:rsidRPr="002F7766" w:rsidRDefault="00062BE4" w:rsidP="00062BE4">
      <w:pPr>
        <w:rPr>
          <w:rFonts w:ascii="Garamond" w:hAnsi="Garamond" w:cs="Arial"/>
          <w:lang w:val="en-GB"/>
        </w:rPr>
      </w:pPr>
      <w:r w:rsidRPr="002F7766">
        <w:rPr>
          <w:rFonts w:ascii="Garamond" w:hAnsi="Garamond" w:cs="Arial"/>
          <w:lang w:val="en-GB"/>
        </w:rPr>
        <w:t xml:space="preserve">Zwangsneurotiker verstehen es ausgezeichnet, die technische Regel fast unbrauchbar zu machen dadurch, daß sie ihre Übergewissenhaftigkeit und ihren Zweifel auf sie einstellen. Angsthysteriker bringen es gelegentlich zustande, sie </w:t>
      </w:r>
      <w:r w:rsidRPr="002F7766">
        <w:rPr>
          <w:rFonts w:ascii="Garamond" w:hAnsi="Garamond" w:cs="Arial"/>
          <w:i/>
          <w:iCs/>
          <w:lang w:val="en-GB"/>
        </w:rPr>
        <w:t>ad absurdum</w:t>
      </w:r>
      <w:r w:rsidRPr="002F7766">
        <w:rPr>
          <w:rFonts w:ascii="Garamond" w:hAnsi="Garamond" w:cs="Arial"/>
          <w:lang w:val="en-GB"/>
        </w:rPr>
        <w:t xml:space="preserve"> zu führen, indem sie nur Einfälle produzieren, die so weit von dem Gesuchten entfernt sind, daß sie der Analyse keinen Ertrag bringen. Aber ich beabsichtige nicht, Sie in die Behandlung dieser technischen Schwierigkeiten einzuführen. Genug, es gelingt endlich, durch Entschiedenheit und Beharrung dem Widerstand ein gewisses Ausmaß von Gehorsam gegen die technische Grundregel abzuringen, und dann wirft er sich auf ein anderes Gebiet. Er tritt als intellektueller Widerstand auf, kämpft mit Argumenten, bemächtigt sich der Schwierigkeiten und Unwahrscheinlichkeiten, welche das normale, aber nicht unterrichtete Denken an den analytischen Lehren findet. Wir bekommen dann alle Kritiken und Einwendungen von dieser einzelnen Stimme zu hören, die uns in der wissenschaftlichen Literatur als Chorus umbrausen. </w:t>
      </w:r>
      <w:r w:rsidRPr="002F7766">
        <w:rPr>
          <w:rFonts w:ascii="Garamond" w:hAnsi="Garamond" w:cs="Arial"/>
        </w:rPr>
        <w:t xml:space="preserve">Daher uns auch nichts unbekannt klingt, was man uns von draußen zuruft. </w:t>
      </w:r>
      <w:r w:rsidRPr="002F7766">
        <w:rPr>
          <w:rFonts w:ascii="Garamond" w:hAnsi="Garamond" w:cs="Arial"/>
          <w:lang w:val="en-GB"/>
        </w:rPr>
        <w:t>Es ist ein richtiger Sturm im Wasserglas. Doch der Patient läßt mit sich reden; er will uns gern dazu bewegen, daß wir ihn unterrichten, belehren, widerlegen, ihn zur Literatur führen, an welcher er sich weiterbilden kann. Er ist gern bereit, ein Anhänger der Psychoanalyse zu werden, unter der Bedingung, daß die Analyse ihn persönlich verschont. Aber wir erkennen diese Wißbegierde als Widerstand, als Ablenkung von unseren speziellen Aufgaben, und weisen sie ab. Bei dem Zwangsneurotiker haben wir eine besondere Taktik des Widerstandes zu erwarten. Er läßt die Analyse oft ungehemmt ihren Weg machen, so daß sie eine immer zunehmende Helligkeit über die Rätsel des Krankheitsfalles verbreiten kann, aber wir wundern uns endlich, daß dieser Aufklärung kein praktischer Fortschritt, keine Abschwächung der Symptome entspricht. Dann können wir entdecken, daß der Widerstand sich auf den Zweifel der Zwangsneurose zurückgezogen hat und uns in dieser Position erfolgreich die Spitze bietet. Der Kranke hat sich ungefähr gesagt: Das ist ja alles recht schön und interessant. Ich will es auch gern weiterverfolgen. Es würde meine Krankheit sehr ändern, wenn es wahr wäre. Aber ich glaube ja gar nicht, daß es wahr ist, und solange ich es nicht glaube, geht es meine Krankheit nichts an. So kann es lange fortgehen, bis man endlich an diese reservierte Stellung selbst herangekommen ist und nun der entscheidende Kampf losbricht.</w:t>
      </w:r>
    </w:p>
    <w:p w:rsidR="00062BE4" w:rsidRPr="002F7766" w:rsidRDefault="00062BE4" w:rsidP="00062BE4">
      <w:pPr>
        <w:rPr>
          <w:rFonts w:ascii="Garamond" w:hAnsi="Garamond" w:cs="Arial"/>
          <w:lang w:val="en-GB"/>
        </w:rPr>
      </w:pPr>
      <w:r w:rsidRPr="002F7766">
        <w:rPr>
          <w:rFonts w:ascii="Garamond" w:hAnsi="Garamond" w:cs="Arial"/>
          <w:lang w:val="en-GB"/>
        </w:rPr>
        <w:t xml:space="preserve">Die intellektuellen Widerstände sind nicht die schlimmsten; man bleibt ihnen immer überlegen. Aber der Patient versteht es auch, indem er im Rahmen der Analyse bleibt, Widerstände herzustellen, deren Überwindung zu den schwierigsten technischen Aufgaben gehört. Anstatt sich zu erinnern, wiederholt er aus seinem Leben solche Einstellungen und Gefühlsregungen, die sich mittels der sogenannten »Übertragung« zum Widerstand gegen Arzt und Kur verwenden lassen. Er entnimmt dieses Material, wenn es ein Mann ist, in der Regel seinem Verhältnis zum Vater, an dessen Stelle er den Arzt treten läßt, und macht somit Widerstände aus seinem Bestreben nach Selbständigkeit der Person und des Urteiles, aus seinem Ehrgeiz, der sein erstes Ziel darin fand, es dem Vater gleichzutun oder ihn zu überwinden, aus seinem Unwillen, die Last der Dankbarkeit ein zweites Mal im Leben auf sich zu laden. Streckenweise </w:t>
      </w:r>
      <w:r w:rsidRPr="002F7766">
        <w:rPr>
          <w:rFonts w:ascii="Garamond" w:hAnsi="Garamond" w:cs="Arial"/>
          <w:lang w:val="en-GB"/>
        </w:rPr>
        <w:lastRenderedPageBreak/>
        <w:t>empfängt man so den Eindruck, als hätte beim Kranken die Absicht, den Arzt ins Unrecht zu setzen, ihn seine Ohnmacht empfinden zu lassen, über ihn zu triumphieren, die bessere Absicht, der Krankheit ein Ende zu machen, völlig ersetzt. Die Frauen verstehen es meisterhaft, eine zärtliche, erotisch betonte Übertragung auf den Arzt für die Zwecke des Widerstandes auszubeuten. Bei einer gewissen Höhe dieser Zuneigung erlischt jedes Interesse für die aktuelle Situation der Kur, jede der Verpflichtungen, die sie beim Eingehen in dieselbe auf sich genommen hatten, und die nie ausbleibende Eifersucht sowie die Erbitterung über die unvermeidliche, wenn auch schonend vorgebrachte Abweisung müssen dazu dienen, das persönliche Einvernehmen mit dem Arzt zu verderben und so eine der mächtigsten Triebkräfte der Analyse auszuschalten.</w:t>
      </w:r>
    </w:p>
    <w:p w:rsidR="00062BE4" w:rsidRPr="002F7766" w:rsidRDefault="00062BE4" w:rsidP="00062BE4">
      <w:pPr>
        <w:rPr>
          <w:rFonts w:ascii="Garamond" w:hAnsi="Garamond" w:cs="Arial"/>
          <w:lang w:val="en-GB"/>
        </w:rPr>
      </w:pPr>
      <w:r w:rsidRPr="002F7766">
        <w:rPr>
          <w:rFonts w:ascii="Garamond" w:hAnsi="Garamond" w:cs="Arial"/>
          <w:lang w:val="en-GB"/>
        </w:rPr>
        <w:t>Die Widerstände dieser Art dürfen nicht einseitig verurteilt werden. Sie enthalten so viel von dem wichtigsten Material aus der Vergangenheit des Kranken und bringen es in so überzeugender Art wieder, daß sie zu den besten Stützen der Analyse werden, wenn eine geschickte Technik es versteht, ihnen die richtige Wendung zu geben. Es bleibt nur bemerkenswert, daß dieses Material zunächst immer im Dienste des Widerstandes steht und seine der Behandlung feindselige Fassade voranstellt. Man kann auch sagen, es seien Charaktereigenschaften, Einstellungen des Ichs, welche zur Bekämpfung der angestrebten Veränderungen mobil gemacht werden. Man erfährt dabei, wie diese Charaktereigenschaften im Zusammenhang mit den Bedingungen der Neurose und in der Reaktion gegen deren Ansprüche gebildet worden sind, und erkennt Züge dieses Charakters, die sonst nicht, oder nicht in diesem Ausmaße, hervortreten können, die man als latent bezeichnen kann. Sie sollen auch nicht den Eindruck gewinnen, als erblickten wir in dem Auftreten dieser Widerstände eine unvorhergesehene Gefährdung der analytischen Beeinflussung. Nein, wir wissen, daß diese Widerstände zum Vorschein kommen müssen; wir sind nur unzufrieden, wenn wir sie nicht deutlich genug hervorrufen und dem Kranken nicht klarmachen können. Ja, wir verstehen endlich, daß die Überwindung dieser Widerstände die wesentliche Leistung der Analyse und jenes Stück der Arbeit ist, welches uns allein zusichert, daß wir etwas beim Kranken zustande gebracht haben.</w:t>
      </w:r>
    </w:p>
    <w:p w:rsidR="00062BE4" w:rsidRPr="002F7766" w:rsidRDefault="00062BE4" w:rsidP="00062BE4">
      <w:pPr>
        <w:rPr>
          <w:rFonts w:ascii="Garamond" w:hAnsi="Garamond" w:cs="Arial"/>
        </w:rPr>
      </w:pPr>
      <w:r w:rsidRPr="002F7766">
        <w:rPr>
          <w:rFonts w:ascii="Garamond" w:hAnsi="Garamond" w:cs="Arial"/>
          <w:lang w:val="en-GB"/>
        </w:rPr>
        <w:t xml:space="preserve">Nehmen Sie noch hinzu, daß der Kranke alle Zufälligkeiten, die sich während der Behandlung ergeben, im Sinne einer Störung ausnützt, jedes ablenkende Ereignis außerhalb, jede Äußerung einer der Analyse feindseligen Autorität in seinem Kreise, eine zufällige oder die Neurose komplizierende organische Erkrankung, ja daß er selbst jede Besserung seines Zustandes als Motiv für ein Nachlassen seiner Bemühung verwendet, so haben Sie ein ungefähres, noch immer nicht vollständiges Bild der Formen und der Mittel des Widerstandes gewonnen, unter dessen Bekämpfung jede Analyse verläuft. Ich habe diesem Punkt eine so ausführliche Behandlung geschenkt, weil ich Ihnen mitzuteilen habe, daß diese unsere Erfahrung mit dem Widerstände der Neurotiker gegen die Beseitigung ihrer Symptome die Grundlage unserer dynamischen Auffassung der Neurosen geworden ist. Breuer und ich selbst haben ursprünglich die Psychotherapie mit dem Mittel der Hypnose betrieben; Breuers erste Patientin ist durchwegs im Zustande hypnotischer Beeinflussung behandelt worden; ich bin ihm zunächst darin gefolgt. Ich gestehe, die Arbeit ging damals leichter und angenehmer, auch in viel kürzerer Zeit, vor sich. Die Erfolge aber waren launenhaft und nicht andauernd; darum ließ ich endlich die Hypnose fallen. Und dann verstand ich, daß eine Einsicht in die Dynamik dieser Affektionen nicht möglich gewesen war, solange man sich der Hypnose bedient hatte. </w:t>
      </w:r>
      <w:r w:rsidRPr="002F7766">
        <w:rPr>
          <w:rFonts w:ascii="Garamond" w:hAnsi="Garamond" w:cs="Arial"/>
        </w:rPr>
        <w:t>Dieser Zustand wußte gerade die Existenz des Widerstandes der Wahrnehmung des Arztes zu entziehen. Er schob ihn zurück, machte ein gewisses Gebiet für die analytische Arbeit frei und staute ihn an den Grenzen dieses Gebietes so auf, daß er undurchdringlich wurde, ähnlich wie es der Zweifel bei der Zwangsneurose tut. Darum durfte ich auch sagen, die eigentliche Psychoanalyse hat mit dem Verzicht auf die Hilfe der Hypnose eingesetzt.</w:t>
      </w:r>
    </w:p>
    <w:p w:rsidR="00062BE4" w:rsidRPr="002F7766" w:rsidRDefault="00062BE4" w:rsidP="00062BE4">
      <w:pPr>
        <w:rPr>
          <w:rFonts w:ascii="Garamond" w:hAnsi="Garamond" w:cs="Arial"/>
          <w:lang w:val="en-GB"/>
        </w:rPr>
      </w:pPr>
      <w:r w:rsidRPr="002F7766">
        <w:rPr>
          <w:rFonts w:ascii="Garamond" w:hAnsi="Garamond" w:cs="Arial"/>
          <w:lang w:val="en-GB"/>
        </w:rPr>
        <w:t xml:space="preserve">Wenn aber die Konstatierung des Widerstandes so bedeutsam geworden ist, so dürfen wir wohl einem vorsichtigen Zweifel Raum geben, ob wir nicht allzu leichtfertig in der Annahme von Widerständen sind. Vielleicht gibt es wirklich neurotische Fälle, in denen die Assoziationen sich aus anderen Gründen </w:t>
      </w:r>
      <w:r w:rsidRPr="002F7766">
        <w:rPr>
          <w:rFonts w:ascii="Garamond" w:hAnsi="Garamond" w:cs="Arial"/>
          <w:lang w:val="en-GB"/>
        </w:rPr>
        <w:lastRenderedPageBreak/>
        <w:t>versagen, vielleicht verdienen die Argumente gegen unsere Voraussetzungen wirklich eine inhaltliche Würdigung und wir tun Unrecht daran, die intellektuelle Kritik der Analysierten so bequem als Widerstand beiseite zu schieben. Ja, meine Herren, wir sind aber nicht leichthin zu diesem Urteil gekommen. Wir haben Gelegenheit gehabt, jeden solchen kritischen Patienten bei dem Auftauchen und nach dem Schwinden eines Widerstandes zu beobachten. Der Widerstand wechselt nämlich im Laufe einer Behandlung beständig seine Intensität; er steigt immer an, wenn man sich einem neuen Thema nähert, ist am stärksten auf der Höhe der Bearbeitung desselben und sinkt mit der Erledigung des Themas wieder zusammen. Wir haben es auch niemals, wenn wir nicht besondere technische Ungeschicklichkeiten begangen haben, mit dem vollen Ausmaß des Widerstandes, den ein Patient leisten kann, zu tun. Wir konnten uns also überzeugen, daß derselbe Mann ungezählte Male im Laufe der Analyse seine kritische Einstellung wegwirft und wieder aufnimmt. Stehen wir davor, ein neues und ihm besonders peinliches Stück des unbewußten Materials zum Bewußtsein zu fördern, so ist er aufs äußerste kritisch; hatte er früher vieles verstanden und angenommen, so sind diese Erwerbungen jetzt wie weggewischt; er kann in seinem Bestreben nach Opposition um jeden Preis völlig das Bild eines affektiv Schwachsinnigen ergeben. Ist es gelungen, ihm zur Überwindung dieses neuen Widerstandes zu verhelfen, so bekommt er seine Einsicht und sein Verständnis wieder. Seine Kritik ist also keine selbständige, als solche zu respektierende Funktion, sie ist der Handlanger seiner affektiven Einstellungen und wird von seinem Widerstand dirigiert. Ist ihm etwas nicht recht, so kann er sich sehr scharfsinnig dagegen wehren und sehr kritisch erscheinen; paßt ihm aber etwas in seinen Kram, so kann er sich dagegen sehr leichtgläubig zeigen. Vielleicht sind wir alle nicht viel anders; der Analysierte zeigt diese Abhängigkeit des Intellekts vom Affektleben nur darum so deutlich, weil wir ihn in der Analyse in so große Bedrängnis bringen.</w:t>
      </w:r>
    </w:p>
    <w:p w:rsidR="00062BE4" w:rsidRPr="002F7766" w:rsidRDefault="00062BE4" w:rsidP="00062BE4">
      <w:pPr>
        <w:rPr>
          <w:rFonts w:ascii="Garamond" w:hAnsi="Garamond" w:cs="Arial"/>
          <w:lang w:val="en-GB"/>
        </w:rPr>
      </w:pPr>
      <w:r w:rsidRPr="002F7766">
        <w:rPr>
          <w:rFonts w:ascii="Garamond" w:hAnsi="Garamond" w:cs="Arial"/>
          <w:lang w:val="en-GB"/>
        </w:rPr>
        <w:t xml:space="preserve">Auf welche Weise tragen wir nun der Beobachtung Rechnung, daß sich der Kranke so energisch gegen die Abstellung seiner Symptome und die Herstellung eines normalen Ablaufes in seinen seelischen Vorgängen wehrt? Wir sagen uns, wir haben da starke Kräfte zu spüren bekommen, die sich einer Veränderung des Zustandes widersetzen; es müssen dieselben sein, die seinerzeit diesen Zustand erzwungen haben. Es muß bei der Symptombildung etwas vor sich gegangen sein, was wir nun aus unseren Erfahrungen bei der Symptomlösung rekonstruieren können. Wir wissen schon aus der Breuerschen Beobachtung, die Existenz des Symptoms hat zur Voraussetzung, daß irgendein seelischer Vorgang nicht in normaler Weise zu Ende geführt wurde, so daß er bewußt werden konnte. Das Symptom ist ein Ersatz für das, was da unterblieben ist. Nun wissen wir, an welche Stelle wir die vermutete Kraftwirkung zu versetzen haben. Es muß sich ein heftiges Sträuben dagegen erhoben haben, daß der fragliche seelische Vorgang bis zum Bewußtsein vordringe; er blieb darum unbewußt. Als Unbewußtes hatte er die Macht, ein Symptom zu bilden. Dasselbe Sträuben widersetzt sich während der analytischen Kur dem Bemühen, das Unbewußte ins Bewußte überzuführen, von neuem. Dies verspüren wir als Widerstand. Der pathogene Vorgang, der uns durch den Widerstand erwiesen wird, soll den Namen </w:t>
      </w:r>
      <w:r w:rsidRPr="002F7766">
        <w:rPr>
          <w:rFonts w:ascii="Garamond" w:hAnsi="Garamond" w:cs="Arial"/>
          <w:i/>
          <w:iCs/>
          <w:lang w:val="en-GB"/>
        </w:rPr>
        <w:t>Verdrängung</w:t>
      </w:r>
      <w:r w:rsidRPr="002F7766">
        <w:rPr>
          <w:rFonts w:ascii="Garamond" w:hAnsi="Garamond" w:cs="Arial"/>
          <w:lang w:val="en-GB"/>
        </w:rPr>
        <w:t xml:space="preserve"> erhalten.</w:t>
      </w:r>
    </w:p>
    <w:p w:rsidR="00062BE4" w:rsidRPr="002F7766" w:rsidRDefault="00062BE4" w:rsidP="00062BE4">
      <w:pPr>
        <w:rPr>
          <w:rFonts w:ascii="Garamond" w:hAnsi="Garamond" w:cs="Arial"/>
          <w:lang w:val="en-GB"/>
        </w:rPr>
      </w:pPr>
      <w:r w:rsidRPr="002F7766">
        <w:rPr>
          <w:rFonts w:ascii="Garamond" w:hAnsi="Garamond" w:cs="Arial"/>
          <w:lang w:val="en-GB"/>
        </w:rPr>
        <w:t>Über diesen Prozeß der Verdrängung müssen wir uns nun bestimmtere Vorstellungen machen. Er ist die Vorbedingung der Symptombildung, aber er ist auch etwas, wozu wir nichts Ähnliches kennen. Nehmen wir einen Impuls, einen seelischen Vorgang mit dem Bestreben, sich in eine Handlung umzusetzen, als Vorbild, so wissen wir, daß er einer Abweisung unterliegen kann, die wir Verwerfung oder Verurteilung heißen. Dabei wird ihm die Energie, über die er verfügt, entzogen, er wird machtlos, aber er kann als Erinnerung bestehen bleiben. Der ganze Vorgang der Entscheidung über ihn läuft unter dem Wissen des Ichs ab. Ganz anders, wenn wir uns denken, daß derselbe Impuls der Verdrängung unterworfen würde. Dann behielte er seine Energie und es würde keine Erinnerung an ihn übrigbleiben; auch würde sich der Vorgang der Verdrängung vom Ich unbemerkt vollziehen. Durch diese Vergleichung kommen wir dem Wesen der Verdrängung also nicht näher.</w:t>
      </w:r>
    </w:p>
    <w:p w:rsidR="00062BE4" w:rsidRPr="002F7766" w:rsidRDefault="00062BE4" w:rsidP="00062BE4">
      <w:pPr>
        <w:rPr>
          <w:rFonts w:ascii="Garamond" w:hAnsi="Garamond" w:cs="Arial"/>
          <w:lang w:val="en-GB"/>
        </w:rPr>
      </w:pPr>
      <w:r w:rsidRPr="002F7766">
        <w:rPr>
          <w:rFonts w:ascii="Garamond" w:hAnsi="Garamond" w:cs="Arial"/>
          <w:lang w:val="en-GB"/>
        </w:rPr>
        <w:t xml:space="preserve">Ich will Ihnen auseinandersetzen, welche theoretischen Vorstellungen sich allein brauchbar erwiesen haben, um den Begriff der Verdrängung an eine bestimmtere Gestalt zu binden. Es ist vor allem dazu </w:t>
      </w:r>
      <w:r w:rsidRPr="002F7766">
        <w:rPr>
          <w:rFonts w:ascii="Garamond" w:hAnsi="Garamond" w:cs="Arial"/>
          <w:lang w:val="en-GB"/>
        </w:rPr>
        <w:lastRenderedPageBreak/>
        <w:t>notwendig, daß wir von dem rein deskriptiven Sinn des Wortes »unbewußt« zum systematischen Sinn desselben Wortes fortschreiten, das heißt wir entschließen uns zu sagen, die Bewußtheit oder Unbewußtheit eines psychischen Vorganges ist nur eine der Eigenschaften desselben und nicht notwendig eine unzweideutige. Wenn ein solcher Vorgang unbewußt geblieben ist, so ist diese Abhaltung vom Bewußtsein vielleicht nur ein Anzeichen des Schicksals, das er erfahren hat, und nicht dieses Schicksal selbst. Um uns dieses Schicksal zu versinnlichen, nehmen wir an, daß jeder seelische Vorgang es muß da eine später zu erwähnende Ausnahme zugegeben werden zuerst in einem unbewußten Stadium oder Phase existiert und erst aus diesem in die bewußte Phase übergeht, etwa wie ein photographisches Bild zuerst ein Negativ ist und dann durch den Positivprozeß zum Bild wird. Nun muß aber nicht aus jedem Negativ ein Positiv werden, und ebensowenig ist es notwendig, daß jeder unbewußte Seelenvorgang sich in einen bewußten umwandle. Wir drücken uns mit Vorteil so aus, der einzelne Vorgang gehöre zuerst dem psychischen System des Unbewußten an und könne dann unter Umständen in das System des Bewußten übertreten.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roheste Vorstellung von diesen Systemen ist die für uns bequemste; es ist die räumliche. Wir setzen also das System des Unbewußten einem großen Vorraum gleich, in dem sich die seelischen Regungen wie Einzelwesen tummeln. An diesen Vorraum schließe sich ein zweiter, engerer, eine Art Salon, in welchem auch das Bewußtsein verweilt. Aber an der Schwelle zwischen beiden Räumlichkeiten walte ein Wächter seines Amtes, der die einzelnen Seelenregungen mustert, zensuriert und sie nicht in den Salon einläßt, wenn sie sein Mißfallen erregen. Sie sehen sofort ein, daß es nicht viel Unterschied macht, ob der Wächter eine einzelne Regung bereits von der Schwelle abweist oder ob er sie wieder über sie hinausweist, nachdem sie in den Salon eingetreten ist. Es handelt sich dabei nur um den Grad seiner Wachsamkeit und um sein frühzeitiges Erkennen. Das Festhalten an diesem Bilde gestattet uns nun eine weitere Ausbildung unserer Nomenklatur. Die Regungen im Vorraum des Unbewußten sind dem Blick des Bewußtseins, das sich ja im anderen Raum befindet, entzogen; sie müssen zunächst unbewußt bleiben. Wenn sie sich bereits zur Schwelle vorgedrängt haben und vom Wächter zurückgewiesen worden sind, dann sind sie bewußtseinsunfähig; wir heißen sie </w:t>
      </w:r>
      <w:r w:rsidRPr="002F7766">
        <w:rPr>
          <w:rFonts w:ascii="Garamond" w:hAnsi="Garamond" w:cs="Arial"/>
          <w:i/>
          <w:iCs/>
          <w:lang w:val="en-GB"/>
        </w:rPr>
        <w:t>verdrängt.</w:t>
      </w:r>
      <w:r w:rsidRPr="002F7766">
        <w:rPr>
          <w:rFonts w:ascii="Garamond" w:hAnsi="Garamond" w:cs="Arial"/>
          <w:lang w:val="en-GB"/>
        </w:rPr>
        <w:t xml:space="preserve"> Aber auch die Regungen, welche der Wächter über die Schwelle gelassen, sind darum nicht notwendig auch bewußt geworden; sie können es bloß werden, wenn es ihnen gelingt, die Blicke des Bewußtseins auf sich zu ziehen. Wir heißen darum diesen zweiten Raum mit gutem Recht das System des </w:t>
      </w:r>
      <w:r w:rsidRPr="002F7766">
        <w:rPr>
          <w:rFonts w:ascii="Garamond" w:hAnsi="Garamond" w:cs="Arial"/>
          <w:i/>
          <w:iCs/>
          <w:lang w:val="en-GB"/>
        </w:rPr>
        <w:t>Vorbewußten</w:t>
      </w:r>
      <w:r w:rsidRPr="002F7766">
        <w:rPr>
          <w:rFonts w:ascii="Garamond" w:hAnsi="Garamond" w:cs="Arial"/>
          <w:lang w:val="en-GB"/>
        </w:rPr>
        <w:t>. Das Bewußtwerden behält dann seinen rein deskriptiven Sinn. Das Schicksal der Verdrängung besteht aber für eine einzelne Regung darin, daß sie vom Wächter nicht aus dem System des Unbewußten in das des Vorbewußten eingelassen wird. Es ist derselbe Wächter, den wir als Widerstand kennenlernen, wenn wir durch die analytische Behandlung die Verdrängung aufzuheben versuchen.</w:t>
      </w:r>
    </w:p>
    <w:p w:rsidR="00062BE4" w:rsidRPr="002F7766" w:rsidRDefault="00062BE4" w:rsidP="00062BE4">
      <w:pPr>
        <w:rPr>
          <w:rFonts w:ascii="Garamond" w:hAnsi="Garamond" w:cs="Arial"/>
          <w:lang w:val="en-GB"/>
        </w:rPr>
      </w:pPr>
      <w:r w:rsidRPr="002F7766">
        <w:rPr>
          <w:rFonts w:ascii="Garamond" w:hAnsi="Garamond" w:cs="Arial"/>
          <w:lang w:val="en-GB"/>
        </w:rPr>
        <w:t xml:space="preserve">Nun weiß ich ja, Sie werden sagen, diese Vorstellungen sind ebenso roh wie phantastisch und in einer wissenschaftlichen Darstellung gar nicht zulässig. Ich weiß, daß sie roh sind; ja noch mehr, wir wissen auch, daß sie unrichtig sind, und wenn wir nicht sehr irren, so haben wir bereits einen besseren Ersatz für sie bereit. Ob sie Ihnen dann auch noch so phantastisch erscheinen werden, weiß ich nicht. Vorläufig sind es Hilfsvorstellungen wie die vom Ampèreschen Männchen, das im elektrischen Stromkreis schwimmt, und nicht zu verachten, insofern sie für das Verständnis der Beobachtungen brauchbar sind. Ich möchte Ihnen versichern, daß diese rohen Annahmen von den zwei Räumlichkeiten, dem Wächter an der Schwelle zwischen beiden und dem Bewußtsein als Zuschauer am Ende des zweiten Saales doch sehr weitgehende Annäherungen an den wirklichen Sachverhalt bedeuten müssen. Ich möchte auch von Ihnen das Zugeständnis hören, daß unsere Beziehungen: </w:t>
      </w:r>
      <w:r w:rsidRPr="002F7766">
        <w:rPr>
          <w:rFonts w:ascii="Garamond" w:hAnsi="Garamond" w:cs="Arial"/>
          <w:i/>
          <w:iCs/>
          <w:lang w:val="en-GB"/>
        </w:rPr>
        <w:t>unbewußt, vorbewußt, bewußt</w:t>
      </w:r>
      <w:r w:rsidRPr="002F7766">
        <w:rPr>
          <w:rFonts w:ascii="Garamond" w:hAnsi="Garamond" w:cs="Arial"/>
          <w:lang w:val="en-GB"/>
        </w:rPr>
        <w:t xml:space="preserve"> weit weniger präjudizieren und leichter zu rechtfertigen sind als andere, die in Vorschlag oder in Gebrauch gekommen sind, wie: » </w:t>
      </w:r>
      <w:r w:rsidRPr="002F7766">
        <w:rPr>
          <w:rFonts w:ascii="Garamond" w:hAnsi="Garamond" w:cs="Arial"/>
          <w:i/>
          <w:iCs/>
          <w:lang w:val="en-GB"/>
        </w:rPr>
        <w:t>unter</w:t>
      </w:r>
      <w:r w:rsidRPr="002F7766">
        <w:rPr>
          <w:rFonts w:ascii="Garamond" w:hAnsi="Garamond" w:cs="Arial"/>
          <w:lang w:val="en-GB"/>
        </w:rPr>
        <w:t xml:space="preserve">bewußt, </w:t>
      </w:r>
      <w:r w:rsidRPr="002F7766">
        <w:rPr>
          <w:rFonts w:ascii="Garamond" w:hAnsi="Garamond" w:cs="Arial"/>
          <w:i/>
          <w:iCs/>
          <w:lang w:val="en-GB"/>
        </w:rPr>
        <w:t>neben</w:t>
      </w:r>
      <w:r w:rsidRPr="002F7766">
        <w:rPr>
          <w:rFonts w:ascii="Garamond" w:hAnsi="Garamond" w:cs="Arial"/>
          <w:lang w:val="en-GB"/>
        </w:rPr>
        <w:t xml:space="preserve">bewußt, </w:t>
      </w:r>
      <w:r w:rsidRPr="002F7766">
        <w:rPr>
          <w:rFonts w:ascii="Garamond" w:hAnsi="Garamond" w:cs="Arial"/>
          <w:i/>
          <w:iCs/>
          <w:lang w:val="en-GB"/>
        </w:rPr>
        <w:t>binnen</w:t>
      </w:r>
      <w:r w:rsidRPr="002F7766">
        <w:rPr>
          <w:rFonts w:ascii="Garamond" w:hAnsi="Garamond" w:cs="Arial"/>
          <w:lang w:val="en-GB"/>
        </w:rPr>
        <w:t>bewußt und dergleichen.</w:t>
      </w:r>
    </w:p>
    <w:p w:rsidR="00062BE4" w:rsidRPr="002F7766" w:rsidRDefault="00062BE4" w:rsidP="00062BE4">
      <w:pPr>
        <w:rPr>
          <w:rFonts w:ascii="Garamond" w:hAnsi="Garamond" w:cs="Arial"/>
          <w:lang w:val="en-GB"/>
        </w:rPr>
      </w:pPr>
      <w:r w:rsidRPr="002F7766">
        <w:rPr>
          <w:rFonts w:ascii="Garamond" w:hAnsi="Garamond" w:cs="Arial"/>
          <w:lang w:val="en-GB"/>
        </w:rPr>
        <w:t xml:space="preserve">Bedeutsamer wird es mir darum sein, wenn Sie mich daran mahnen, daß eine solche Einrichtung des seelischen Apparates, wie ich sie hier zugunsten der Erklärung neurotischer Symptome angenommen </w:t>
      </w:r>
      <w:r w:rsidRPr="002F7766">
        <w:rPr>
          <w:rFonts w:ascii="Garamond" w:hAnsi="Garamond" w:cs="Arial"/>
          <w:lang w:val="en-GB"/>
        </w:rPr>
        <w:lastRenderedPageBreak/>
        <w:t>habe, nur eine allgemein gültige sein und also auch über die normale Funktion Auskunft geben müßte. Darin haben Sie natürlich recht. Wir können dieser Folgerung jetzt nicht nachgehen, aber unser Interesse für die Psychologie der Symptombildung muß eine außerordentliche Steigerung erfahren, wenn die Aussicht besteht, durch das Studium pathologischer Verhältnisse Aufschluß über das so gut verhüllte normale seelische Geschehen zu bekommen.</w:t>
      </w:r>
    </w:p>
    <w:p w:rsidR="00062BE4" w:rsidRPr="002F7766" w:rsidRDefault="00062BE4" w:rsidP="00062BE4">
      <w:pPr>
        <w:rPr>
          <w:rFonts w:ascii="Garamond" w:hAnsi="Garamond" w:cs="Arial"/>
          <w:lang w:val="en-GB"/>
        </w:rPr>
      </w:pPr>
      <w:r w:rsidRPr="002F7766">
        <w:rPr>
          <w:rFonts w:ascii="Garamond" w:hAnsi="Garamond" w:cs="Arial"/>
          <w:lang w:val="en-GB"/>
        </w:rPr>
        <w:t xml:space="preserve">Erkennen Sie übrigens nicht, worauf sich unsere Aufstellungen von den beiden Systemen, dem Verhältnis zwischen ihnen und zum Bewußtsein stützen? Der Wächter zwischen dem Unbewußten und dem Vorbewußten ist doch nichts anderes als die </w:t>
      </w:r>
      <w:r w:rsidRPr="002F7766">
        <w:rPr>
          <w:rFonts w:ascii="Garamond" w:hAnsi="Garamond" w:cs="Arial"/>
          <w:i/>
          <w:iCs/>
          <w:lang w:val="en-GB"/>
        </w:rPr>
        <w:t>Zensur</w:t>
      </w:r>
      <w:r w:rsidRPr="002F7766">
        <w:rPr>
          <w:rFonts w:ascii="Garamond" w:hAnsi="Garamond" w:cs="Arial"/>
          <w:lang w:val="en-GB"/>
        </w:rPr>
        <w:t>, der wir die Gestaltung des manifesten Traumes unterworfen fanden. Die Tagesreste, in denen wir die Anreger des Traumes erkannten, waren vorbewußtes Material, welches zur Nachtzeit im Schlafzustande den Einfluß unbewußter und verdrängter Wunschregungen erfahren hatte und in Gemeinschaft mit ihnen, dank ihrer Energie, den latenten Traum hatte bilden können. Unter der Herrschaft des unbewußten Systems hatte dieses Material eine Verarbeitung gefunden die Verdichtung und Verschiebung, wie sie im normalen Seelenleben, das heißt im vorbewußten System, unbekannt oder nur ausnahmsweise zulässig ist. Diese Verschiedenheit der Arbeitsweisen wurde uns zur Charakteristik der beiden Systeme; das Verhältnis zum Bewußtsein, welches dem Vorbewußten anhängt, galt uns nur als Zeichen der Zugehörigkeit zu einem der beiden Systeme. Der Traum ist eben kein pathologisches Phänomen mehr; er kann bei allen Gesunden unter den Bedingungen des Schlafzustandes auftreten. Jene Annahme über die Struktur des seelischen Apparates, welche uns in einem die Bildung des Traumes und die der neurotischen Symptome verstehen läßt, hat einen unabweisbaren Anspruch darauf, auch für das normale Seelenleben in Betracht gezogen zu werden.</w:t>
      </w:r>
    </w:p>
    <w:p w:rsidR="00062BE4" w:rsidRPr="002F7766" w:rsidRDefault="00062BE4" w:rsidP="00062BE4">
      <w:pPr>
        <w:rPr>
          <w:rFonts w:ascii="Garamond" w:hAnsi="Garamond" w:cs="Arial"/>
          <w:lang w:val="en-GB"/>
        </w:rPr>
      </w:pPr>
      <w:r w:rsidRPr="002F7766">
        <w:rPr>
          <w:rFonts w:ascii="Garamond" w:hAnsi="Garamond" w:cs="Arial"/>
          <w:lang w:val="en-GB"/>
        </w:rPr>
        <w:t>Soviel wollen wir jetzt von der Verdrängung sagen. Sie ist aber nur die Vorbedingung für die Symptombildung. Wir wissen, das Symptom ist ein Ersatz für etwas, was durch die Verdrängung verhindert wurde. Aber von der Verdrängung bis zum Verständnis dieser Ersatzbildung ist noch ein weiter Weg. Auf der anderen Seite des Problems erheben sich im Anschluß an die Konstatierung der Verdrängung die Fragen: Welche Art von seelischen Regungen unterliegt der Verdrängung, von welchen Kräften wird sie durchgesetzt, aus welchen Motiven? Dazu ist uns bisher nur eines gegeben. Wir haben bei der Untersuchung des Widerstandes gehört, daß er von Kräften des Ichs ausgeht, von bekannten und latenten Charaktereigenschaften. Diese sind es also auch, die die Verdrängung besorgt haben, oder sie sind wenigstens an ihr beteiligt gewesen. Alles weitere ist uns noch unbekannt.</w:t>
      </w:r>
    </w:p>
    <w:p w:rsidR="00062BE4" w:rsidRPr="002F7766" w:rsidRDefault="00062BE4" w:rsidP="00062BE4">
      <w:pPr>
        <w:rPr>
          <w:rFonts w:ascii="Garamond" w:hAnsi="Garamond" w:cs="Arial"/>
          <w:lang w:val="en-GB"/>
        </w:rPr>
      </w:pPr>
      <w:r w:rsidRPr="002F7766">
        <w:rPr>
          <w:rFonts w:ascii="Garamond" w:hAnsi="Garamond" w:cs="Arial"/>
          <w:lang w:val="en-GB"/>
        </w:rPr>
        <w:t>Da hilft uns nun die zweite Erfahrung, die ich angekündigt hatte, weiter. Wir können aus der Analyse ganz allgemein angeben, was die Absicht der neurotischen Symptome ist. Auch das wird Ihnen nichts Neues sein. Ich habe es Ihnen an zwei Fällen von Neurose schon gezeigt. Aber freilich, was bedeuten zwei Fälle? Sie haben das Recht zu verlangen, daß es Ihnen zweihundertmal, ungezählte Male gezeigt werde. Nur das eine, daß ich dies nicht kann. Da muß wieder die eigene Erfahrung dafür eintreten oder der Glaube, der sich in diesem Punkt auf die übereinstimmende Angabe aller Psychoanalytiker berufen kann.</w:t>
      </w:r>
    </w:p>
    <w:p w:rsidR="00062BE4" w:rsidRPr="002F7766" w:rsidRDefault="00062BE4" w:rsidP="00062BE4">
      <w:pPr>
        <w:rPr>
          <w:rFonts w:ascii="Garamond" w:hAnsi="Garamond" w:cs="Arial"/>
          <w:lang w:val="en-GB"/>
        </w:rPr>
      </w:pPr>
      <w:r w:rsidRPr="002F7766">
        <w:rPr>
          <w:rFonts w:ascii="Garamond" w:hAnsi="Garamond" w:cs="Arial"/>
          <w:lang w:val="en-GB"/>
        </w:rPr>
        <w:t>Sie erinnern sich daran, daß in zwei Fällen, deren Symptome wir einer eingehenden Untersuchung unterzogen, die Analyse uns in das Intimste des Sexuallebens dieser Kranken einweihte. Im ersten Falle haben wir außerdem die Absicht oder Tendenz des untersuchten Symptoms besonders deutlich erkannt; vielleicht war sie im zweiten Falle durch ein später zu erwähnendes Moment etwas verdeckt. Nun, dasselbe, was wir an diesen beiden Beispielen gesehen haben, würden uns alle anderen Fälle zeigen, welche wir der Analyse unterziehen. Jedesmal würden wir durch die Analyse in die sexuellen Erlebnisse und Wünsche des Kranken eingeführt werden, und jedesmal müßten wir feststellen, daß ihre Symptome der gleichen Absicht dienen. Als diese Absicht gibt sich uns die Befriedigung sexueller Wünsche zu erkennen; die Symptome dienen der Sexualbefriedigung der Kranken, sie sind ein Ersatz für solche Befriedigung, die sie im Leben entbehren.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Denken Sie an die Zwangshandlung unserer ersten Patientin. Die Frau entbehrt ihren intensiv geliebten Mann, mit dem sie wegen seiner Mängel und Schwächen das Leben nicht teilen kann. Sie muß ihm treu bleiben, sie kann keinen anderen an seine Stelle setzen. Ihr Zwangssymptom gibt ihr, wonach sie sich sehnt, erhöht ihren Mann, verleugnet, korrigiert seine Schwächen, vor allem seine Impotenz. Dieses Symptom ist im Grunde eine Wunscherfüllung, ganz wie ein Traum, und zwar, was der Traum nicht jedesmal ist, eine erotische Wunscherfüllung. Bei unserer zweiten Patientin konnten Sie wenigstens entnehmen, daß ihr Zeremoniell den Verkehr der Eltern verhindern oder hintanhalten will, daß aus demselben ein neues Kind hervorgehe. Sie haben wohl auch erraten, daß es im Grunde dahin strebt, sie selbst an die Stelle der Mutter zu setzen. Also wiederum Beseitigung von Störungen in der Sexualbefriedigung und Erfüllung eigener sexueller Wünsche. Von der angedeuteten Komplikation wird bald die Rede sein.</w:t>
      </w:r>
    </w:p>
    <w:p w:rsidR="00062BE4" w:rsidRPr="002F7766" w:rsidRDefault="00062BE4" w:rsidP="00062BE4">
      <w:pPr>
        <w:rPr>
          <w:rFonts w:ascii="Garamond" w:hAnsi="Garamond" w:cs="Arial"/>
          <w:lang w:val="en-GB"/>
        </w:rPr>
      </w:pPr>
      <w:r w:rsidRPr="002F7766">
        <w:rPr>
          <w:rFonts w:ascii="Garamond" w:hAnsi="Garamond" w:cs="Arial"/>
          <w:lang w:val="en-GB"/>
        </w:rPr>
        <w:t xml:space="preserve">Meine Herren! Ich möchte dem vorbeugen, daß ich an der Allgemeinheit dieser Behauptungen nachträglich Abzüge anzubringen habe, und mache Sie darum aufmerksam, daß alles, was ich hier über Verdrängung, Symptombildung und Symptombedeutung sage, an drei Formen von Neurosen, der Angsthysterie, der Konversionshysterie und der Zwangsneurose, gewonnen worden ist und zunächst auch nur für diese Formen gilt. Diese drei Affektionen, die wir als » </w:t>
      </w:r>
      <w:r w:rsidRPr="002F7766">
        <w:rPr>
          <w:rFonts w:ascii="Garamond" w:hAnsi="Garamond" w:cs="Arial"/>
          <w:i/>
          <w:iCs/>
          <w:lang w:val="en-GB"/>
        </w:rPr>
        <w:t>Übertragungsneurosen</w:t>
      </w:r>
      <w:r w:rsidRPr="002F7766">
        <w:rPr>
          <w:rFonts w:ascii="Garamond" w:hAnsi="Garamond" w:cs="Arial"/>
          <w:lang w:val="en-GB"/>
        </w:rPr>
        <w:t xml:space="preserve">« in einer Gruppe zu vereinigen gewohnt sind, umschreiben auch das Gebiet, auf welchem sich die psychoanalytische Therapie betätigen kann. Die anderen Neurosen sind von der Psychoanalyse weit weniger gut studiert worden; bei einer Gruppe derselben ist wohl die Unmöglichkeit einer therapeutischen Beeinflussung ein Grund für die Zurücksetzung gewesen. Vergessen Sie auch nicht, daß die Psychoanalyse eine noch sehr junge Wissenschaft ist, daß sie viel Mühe und Zeit zur Vorbereitung erfordert und daß sie vor gar nicht langer Zeit noch auf zwei Augen gestanden ist. Doch sind wir an allen Stellen im Begriffe, in das Verständnis dieser anderen Affektionen, die nicht Übertragungsneurosen sind, einzudringen. Ich hoffe, Ihnen noch vorführen zu können, welche Erweiterungen unsere Annahmen und Ergebnisse bei der Anpassung an dieses neue Material erfahren, und Ihnen zu zeigen, daß diese weiteren Studien nicht zu Widersprüchen, sondern zur Herstellung von höheren Einheitlichkeiten geführt haben. Wenn also jetzt alles, was hier gesagt wird, für die drei Übertragungsneurosen gilt, so lassen Sie mich zunächst den Wert der Symptome durch eine neue Mitteilung steigern. Eine vergleichende Untersuchung über die Anlässe der Erkrankung ergibt nämlich ein Resultat, welches sich in die Formel fassen läßt, diese Personen erkranken an der </w:t>
      </w:r>
      <w:r w:rsidRPr="002F7766">
        <w:rPr>
          <w:rFonts w:ascii="Garamond" w:hAnsi="Garamond" w:cs="Arial"/>
          <w:i/>
          <w:iCs/>
          <w:lang w:val="en-GB"/>
        </w:rPr>
        <w:t>Versagung</w:t>
      </w:r>
      <w:r w:rsidRPr="002F7766">
        <w:rPr>
          <w:rFonts w:ascii="Garamond" w:hAnsi="Garamond" w:cs="Arial"/>
          <w:lang w:val="en-GB"/>
        </w:rPr>
        <w:t xml:space="preserve"> in irgendeiner Weise, wenn ihnen die Realität die Befriedigung ihrer sexuellen Wünsche vorenthält. Sie erkennen, wie vortrefflich diese beiden Ergebnisse miteinander stimmen. Die Symptome sind dann erst recht als Ersatzbefriedigung für die im Leben vermißte zu verstehen.</w:t>
      </w:r>
    </w:p>
    <w:p w:rsidR="00062BE4" w:rsidRPr="002F7766" w:rsidRDefault="00062BE4" w:rsidP="00062BE4">
      <w:pPr>
        <w:rPr>
          <w:rFonts w:ascii="Garamond" w:hAnsi="Garamond" w:cs="Arial"/>
          <w:lang w:val="en-GB"/>
        </w:rPr>
      </w:pPr>
      <w:r w:rsidRPr="002F7766">
        <w:rPr>
          <w:rFonts w:ascii="Garamond" w:hAnsi="Garamond" w:cs="Arial"/>
          <w:lang w:val="en-GB"/>
        </w:rPr>
        <w:t xml:space="preserve">Gewiß sind noch allerlei Einwendungen gegen den Satz, daß die neurotischen Symptome sexuelle Ersatzbefriedigungen sind, möglich. Zwei davon will ich heute noch erörtern. Sie werden, wenn Sie selbst eine größere Anzahl von Neurotikern analytisch untersucht haben, mir vielleicht kopfschüttelnd berichten: bei einer Reihe von Fällen treffe dies aber gar nicht zu; die Symptome scheinen da eher die gegenteilige Absicht zu enthalten, die Sexualbefriedigung auszuschließen oder aufzuheben. Ich werde die Richtigkeit Ihrer Deutung nicht bestreiten. Der psychoanalytische Sachverhalt pflegt gern etwas komplizierter zu sein, als uns lieb ist. Wenn er so einfach wäre, hätte es vielleicht nicht der Psychoanalyse bedurft, um ihn ans Licht zu bringen. Wirklich lassen bereits einige Züge des Zeremoniells bei unserer zweiten Patientin diesen asketischen, der Sexualbefriedigung feindlichen Charakter erkennen, z.B. wenn sie die Uhren beseitigt, was den magischen Sinn hat, nächtliche Erektionen zu vermeiden, oder das Fallen und Brechen von Gefäßen verhüten will, was einem Schutze ihrer Jungfräulichkeit gleichkommt. In anderen Fällen von Bettzeremoniell, die ich analysieren konnte, war dieser negative Charakter weit mehr ausgesprochen; das Zeremoniell konnte durchwegs aus Abwehrmaßregeln gegen sexuelle Erinnerungen und Versuchungen bestehen. Indessen haben wir schon so oft in der Psychoanalyse erfahren, daß Gegensätze keinen Widerspruch bedeuten. Wir könnten unsere Behauptung dahin erweitern, die Symptome beabsichtigen </w:t>
      </w:r>
      <w:r w:rsidRPr="002F7766">
        <w:rPr>
          <w:rFonts w:ascii="Garamond" w:hAnsi="Garamond" w:cs="Arial"/>
          <w:lang w:val="en-GB"/>
        </w:rPr>
        <w:lastRenderedPageBreak/>
        <w:t>entweder eine sexuelle Befriedigung oder eine Abwehr derselben, und zwar wiegt bei der Hysterie der positive, wunscherfüllende, bei der Zwangsneurose der negative, asketische Charakter im ganzen vor. Wenn die Symptome sowohl der Sexualbefriedigung als auch ihrem Gegensatz dienen können, so hat diese Zweiseitigkeit oder Polarität eine ausgezeichnete Begründung in einem Stück ihres Mechanismus, welches wir noch nicht erwähnen konnten. Sie sind nämlich, wie wir hören werden, Kompromißergebnisse, aus der Interferenz zweier gegensätzlichen Strebungen hervorgegangen, und vertreten ebensowohl das Verdrängte wie das Verdrängende, das bei ihrer Entstehung mitgewirkt hat. Die Vertretung kann dann mehr zugunsten der einen oder anderen Seite geraten, nur selten fällt ein Einfluß völlig aus. Bei der Hysterie wird zumeist das Zusammentreffen beider Absichten in dem nämlichen Symptom erreicht. Bei der Zwangsneurose fallen beide Anteile oft auseinander; das Symptom wird dann zweizeitig, es besteht aus zwei Aktionen, einer nach der anderen, die einander aufheben.</w:t>
      </w:r>
    </w:p>
    <w:p w:rsidR="00062BE4" w:rsidRPr="002F7766" w:rsidRDefault="00062BE4" w:rsidP="00062BE4">
      <w:pPr>
        <w:rPr>
          <w:rFonts w:ascii="Garamond" w:hAnsi="Garamond" w:cs="Arial"/>
          <w:lang w:val="en-GB"/>
        </w:rPr>
      </w:pPr>
      <w:r w:rsidRPr="002F7766">
        <w:rPr>
          <w:rFonts w:ascii="Garamond" w:hAnsi="Garamond" w:cs="Arial"/>
          <w:lang w:val="en-GB"/>
        </w:rPr>
        <w:t>Nicht so leicht werden wir ein zweites Bedenken erledigen. Wenn Sie eine größere Reihe von Symptomdeutungen überschauen, werden Sie wahrscheinlich zunächst urteilen, daß der Begriff einer sexuellen Ersatzbefriedigung bei ihnen bis zu seinen äußersten Grenzen gedehnt worden sei. Sie werden nicht versäumen zu betonen, daß diese Symptome nichts Reales an Befriedigung bieten, daß sie sich oft genug auf die Belebung einer Sensation oder die Darstellung einer Phantasie aus einem sexuellen Komplex beschränken. Ferner, daß die angebliche Sexualbefriedigung so häufig einen kindischen und unwürdigen Charakter zeigt, sich etwa einem masturbatorischen Akt annähert, oder an die schmutzigen Unarten erinnert, die man schon den Kindern verbietet und abgewöhnt. Und darüber hinaus werden Sie auch Ihre Verwunderung äußern, daß man für eine Sexualbefriedigung ausgeben will, was vielleicht als Befriedigung von grausamen oder gräßlichen, selbst unnatürlich zu nennenden Gelüsten beschrieben werden müßte. Über diese letzteren Punkte, meine Herren, werden wir kein Einvernehmen erzielen, ehe wir nicht das menschliche Sexualleben einer gründlichen Untersuchung unterzogen und dabei festgestellt haben, was man berechtigt ist, sexuell zu nennen.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20. Vo</w:t>
        </w:r>
        <w:bookmarkStart w:id="287" w:name="Vorlesungen_20"/>
        <w:bookmarkEnd w:id="287"/>
        <w:r w:rsidRPr="009C5A67">
          <w:rPr>
            <w:rStyle w:val="Lienhypertexte"/>
            <w:rFonts w:ascii="Garamond" w:hAnsi="Garamond" w:cs="Arial"/>
            <w:b/>
            <w:bCs/>
            <w:lang w:val="en-GB"/>
          </w:rPr>
          <w:t>rlesung. Das menschliche Sexualleben</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 xml:space="preserve">Meine Damen und Herren! Man sollte doch meinen, es sei nicht zweifelhaft, was man unter dem »Sexuellen« zu verstehen habe. Vor allem ist doch das Sexuelle das Unanständige, das, von dem man nicht sprechen darf. Man hat mir erzählt, daß die Schüler eines berühmten Psychiaters sich einmal die Mühe nahmen, ihren Meister davon zu überzeugen, daß die Symptome der Hysterischen so häufig sexuelle Dinge darstellen. In dieser Absicht führten sie ihn an das Bett einer Hysterika, deren Anfälle unverkennbar den Vorgang einer Entbindung mimten. </w:t>
      </w:r>
      <w:r w:rsidRPr="002F7766">
        <w:rPr>
          <w:rFonts w:ascii="Garamond" w:hAnsi="Garamond" w:cs="Arial"/>
        </w:rPr>
        <w:t xml:space="preserve">Er aber äußerte abweisend: Nun, eine Entbindung ist doch nichts Sexuelles. </w:t>
      </w:r>
      <w:r w:rsidRPr="002F7766">
        <w:rPr>
          <w:rFonts w:ascii="Garamond" w:hAnsi="Garamond" w:cs="Arial"/>
          <w:lang w:val="en-GB"/>
        </w:rPr>
        <w:t>Gewiß, eine Entbindung muß nicht unter allen Umständen etwas Unanständiges sein.</w:t>
      </w:r>
    </w:p>
    <w:p w:rsidR="00062BE4" w:rsidRPr="002F7766" w:rsidRDefault="00062BE4" w:rsidP="00062BE4">
      <w:pPr>
        <w:rPr>
          <w:rFonts w:ascii="Garamond" w:hAnsi="Garamond" w:cs="Arial"/>
          <w:lang w:val="en-GB"/>
        </w:rPr>
      </w:pPr>
      <w:r w:rsidRPr="002F7766">
        <w:rPr>
          <w:rFonts w:ascii="Garamond" w:hAnsi="Garamond" w:cs="Arial"/>
          <w:lang w:val="en-GB"/>
        </w:rPr>
        <w:t>Ich bemerke, Sie verübeln es mir, daß ich in so ernsthaften Dingen scherze. Aber es ist nicht so ganz Scherz. Im Ernst, es ist nicht leicht anzugeben, was den Inhalt des Begriffes »sexuell« ausmacht. Alles, was mit dem Unterschied der zwei Geschlechter zusammenhängt, wäre vielleicht das einzig Treffende, aber Sie werden es farblos und zu umfassend finden. Wenn Sie die Tatsache des Sexualaktes in den Mittelpunkt stellen, werden Sie vielleicht aussagen, sexuell sei all das, was sich in der Absicht der Lustgewinnung mit dem Körper, speziell den Geschlechtsteilen des anderen Geschlechtes beschäftigt und im letzten Sinne auf die Vereinigung der Genitalien und die Ausführung des Geschlechtsaktes hinzielt. Aber dann sind Sie von der Gleichstellung, das Sexuelle sei das Unanständige, wirklich nicht weit entfernt und die Entbindung gehört wirklich nicht zum Sexuellen. Machen Sie aber die Fortpflanzungsfunktion zum Kern der Sexualität, so laufen Sie Gefahr, eine ganze Anzahl von Dingen, die nicht auf die Fortpflanzung zielen und doch sicher sexuell sind, auszuschließen, wie die Masturbation oder selbst das Küssen. Aber wir sind ja bereits darauf gefaßt, daß Definitionsversuche immer zu Schwierigkeiten führen; verzichten wir darauf, es gerade in diesem Falle besser zu machen. Wir können ahnen, daß in der Entwicklung des Begriffes »sexuell« etwas vor sich gegangen ist, was nach einem guten Ausdruck von H.Silberer einen »Überdeckungsfehler« zur Folge hatte. Im ganzen sind wir ja nicht ohne Orientierung darüber, was die Menschen sexuell heißen.</w:t>
      </w:r>
    </w:p>
    <w:p w:rsidR="00062BE4" w:rsidRPr="002F7766" w:rsidRDefault="00062BE4" w:rsidP="00062BE4">
      <w:pPr>
        <w:rPr>
          <w:rFonts w:ascii="Garamond" w:hAnsi="Garamond" w:cs="Arial"/>
          <w:lang w:val="en-GB"/>
        </w:rPr>
      </w:pPr>
      <w:r w:rsidRPr="002F7766">
        <w:rPr>
          <w:rFonts w:ascii="Garamond" w:hAnsi="Garamond" w:cs="Arial"/>
          <w:lang w:val="en-GB"/>
        </w:rPr>
        <w:t>Etwas, was aus der Berücksichtigung des Gegensatzes der Geschlechter, des Lustgewinnes, der Fortpflanzungsfunktion und des Charakters des geheimzuhaltenden Unanständigen zusammengesetzt ist, wird im Leben für alle praktischen Bedürfnisse genügen. Aber es genügt nicht mehr in der Wissenschaft. Denn wir sind durch sorgfältige, gewiß nur durch opferwillige Selbstüberwindung ermöglichte Untersuchungen mit Gruppen von menschlichen Individuen bekannt worden, deren »Sexualleben« in der auffälligsten Weise von dem gewohnten Durchschnittsbilde abweicht. Die einen von diesen »Perversen« haben sozusagen die Geschlechtsdifferenz aus ihrem Programm gestrichen. Nur das ihnen gleiche Geschlecht kann ihre sexuellen Wünsche erregen; das andere, zumal die Geschlechtsteile desselben, ist ihnen überhaupt kein Geschlechtsobjekt, in extremen Fällen ein Gegenstand des Abscheus. Sie haben damit natürlich auch auf jede Beteiligung an der Fortpflanzung verzichtet. Wir nennen solche Personen Homosexuelle oder Invertierte. Es sind Männer und Frauen, sonst oft nicht immer tadellos gebildet, intellektuell wie ethisch hochentwickelt, nur mit dieser einen verhängnisvollen Abweichung behaftet. Sie geben sich durch den Mund ihrer wissenschaftlichen Wortführer für eine besondere Varietät der Menschenart, für ein »drittes Geschlecht« aus, welches gleichberechtigt neben den beiden anderen steht. Wir werden vielleicht Gelegenheit haben, ihre Ansprüche kritisch zu prüfen. Natürlich sind sie nicht, wie sie auch gern behaupten möchten, eine »Auslese« der Menschheit, sondern enthalten mindestens ebensoviel minderwertige und nichtsnutzige Individuen wie die in sexueller Hinsicht anders Gearteten.</w:t>
      </w:r>
    </w:p>
    <w:p w:rsidR="00062BE4" w:rsidRPr="002F7766" w:rsidRDefault="00062BE4" w:rsidP="00062BE4">
      <w:pPr>
        <w:rPr>
          <w:rFonts w:ascii="Garamond" w:hAnsi="Garamond" w:cs="Arial"/>
          <w:lang w:val="en-GB"/>
        </w:rPr>
      </w:pPr>
      <w:r w:rsidRPr="002F7766">
        <w:rPr>
          <w:rFonts w:ascii="Garamond" w:hAnsi="Garamond" w:cs="Arial"/>
          <w:lang w:val="en-GB"/>
        </w:rPr>
        <w:t xml:space="preserve">Diese Perversen nehmen mit ihrem Sexualobjekt wenigstens noch ungefähr dasselbe vor wie die Normalen mit dem ihrigen. Aber nun folgt eine lange Reihe von Abnormen, deren sexuelle Betätigung </w:t>
      </w:r>
      <w:r w:rsidRPr="002F7766">
        <w:rPr>
          <w:rFonts w:ascii="Garamond" w:hAnsi="Garamond" w:cs="Arial"/>
          <w:lang w:val="en-GB"/>
        </w:rPr>
        <w:lastRenderedPageBreak/>
        <w:t>sich immer weiter von dem entfernt, was einem vernünftigen Menschen begehrenswert erscheint. In ihrer Mannigfaltigkeit und Sonderbarkeit sind sie nur vergleichbar den grotesken Mißgestalten, die P.Breughel als Versuchung des heiligen Antonius gemalt hat, oder den verschollenen Göttern und Gläubigen, die G.Flaubert in langer Prozession an seinem frommen Büßer vorbeiziehen läßt. Ihr Gewimmel ruft nach einer Art von Ordnung, wenn es unsere Sinne nicht verwirren soll. Wir scheiden sie in solche, bei denen sich, wie bei den Homosexuellen, das Sexualobjekt gewandelt hat, und in andere, bei denen in erster Linie das Sexualziel verändert worden ist. Zur ersten Gruppe gehören die, welche auf die Vereinigung der beiden Genitalien verzichtet haben und bei dem einen Partner im Sexualakt das Genitale durch einen anderen Körperteil oder Körperregion ersetzen; sie setzen sich dabei über die Mängel der organischen Einrichtung wie über die Abhaltung des Ekels hinweg. (Mund, After an Stelle der Scheide.) Dann folgen andere, die zwar noch am Genitale festhalten, aber nicht wegen seiner sexuellen, sondern wegen anderer Funktionen, an denen es aus anatomischen Gründen und Anlässen der Nachbarschaft beteiligt ist. Wir erkennen an ihnen, daß die Ausscheidungsfunktionen, die in der Erziehung des Kindes als unanständig abseits geschafft worden sind, imstande bleiben, das volle sexuelle Interesse an sich zu reißen. Dann andere, die das Genitale überhaupt als Objekt aufgegeben haben, an seiner Statt einen anderen Körperteil zum begehrten Objekt erheben, die weibliche Brust, den Fuß, den Haarzopf. In weiterer Folge die, denen auch ein Körperteil nichts bedeutet, aber ein Kleidungsstück alle Wünsche erfüllt, ein Schuh, ein Stück weißer Wäsche, die Fetischisten. Weiter im Zuge die Personen, die zwar das ganze Objekt verlangen, aber ganz bestimmte, seltsame oder gräßliche, Anforderungen an dasselbe stellen, auch die, daß es zur wehrlosen Leiche geworden sein muß, und die es in verbrecherischem Zwang dazu machen, um es genießen zu können. Genug der Greuel von dieser Seite!</w:t>
      </w:r>
    </w:p>
    <w:p w:rsidR="00062BE4" w:rsidRPr="002F7766" w:rsidRDefault="00062BE4" w:rsidP="00062BE4">
      <w:pPr>
        <w:rPr>
          <w:rFonts w:ascii="Garamond" w:hAnsi="Garamond" w:cs="Arial"/>
          <w:lang w:val="en-GB"/>
        </w:rPr>
      </w:pPr>
      <w:r w:rsidRPr="002F7766">
        <w:rPr>
          <w:rFonts w:ascii="Garamond" w:hAnsi="Garamond" w:cs="Arial"/>
          <w:lang w:val="en-GB"/>
        </w:rPr>
        <w:t>Die andere Schar wird von den Perversen angeführt, die sich zum Ziele der sexuellen Wünsche gesetzt haben, was normalerweise nur einleitende und vorbereitende Handlung ist. Also die das Beschauen und Betasten der anderen Person oder das Zuschauen bei intimen Verrichtungen derselben anstreben, oder die ihre eigenen zu verbergenden Körperteile entblößen in einer dunklen Erwartung, durch eine gleiche Gegenleistung belohnt zu werden. Dann folgen die rätselhaften Sadisten, deren zärtliches Streben kein anderes Ziel kennt, als ihrem Objekt Schmerzen und Qualen zu bereiten, von Andeutungen der Demütigung bis zu schweren körperlichen Schädigungen, und wie zur Ausgleichung ihre Gegenstücke, die Masochisten, deren einzige Lust es ist, von ihrem geliebten Objekt alle Demütigungen und Qualen in symbolischer wie in realer Form zu erleiden. Andere noch, bei denen mehrere solcher abnormer Bedingungen sich vereinigen und sich verschränken, und endlich müssen wir noch erfahren, daß jede dieser Gruppen zweifach vorhanden ist, daß es neben den einen, die ihre Sexualbefriedigung in der Realität suchen, noch andere gibt, die sich damit begnügen, sich solche Befriedigung bloß vorzustellen, die überhaupt kein wirkliches Objekt brauchen, sondern es sich durch die Phantasie ersetzen können.</w:t>
      </w:r>
    </w:p>
    <w:p w:rsidR="00062BE4" w:rsidRPr="002F7766" w:rsidRDefault="00062BE4" w:rsidP="00062BE4">
      <w:pPr>
        <w:rPr>
          <w:rFonts w:ascii="Garamond" w:hAnsi="Garamond" w:cs="Arial"/>
          <w:lang w:val="en-GB"/>
        </w:rPr>
      </w:pPr>
      <w:r w:rsidRPr="002F7766">
        <w:rPr>
          <w:rFonts w:ascii="Garamond" w:hAnsi="Garamond" w:cs="Arial"/>
          <w:lang w:val="en-GB"/>
        </w:rPr>
        <w:t>Dabei kann es nicht den leisesten Zweifel leiden, daß in diesen Tollheiten, Sonderbarkeiten und Gräßlichkeiten wirklich die Sexualbetätigung dieser Menschen gegeben ist. Nicht nur, daß sie es selbst so auffassen und das Ersatzverhältnis verspüren, wir müssen uns auch sagen, es spielt die nämliche Rolle in ihrem Leben wie die normale Sexualbefriedigung in unserem, sie bringen dafür die nämlichen, oft übergroßen Opfer, und es läßt sich im Groben wie im feineren Detail verfolgen, wo sich diese Abnormitäten an das Normale anlehnen und wo sie davon abgehen. Auch daß Sie den Charakter des Unanständigen, welcher der Sexualbetätigung anhaftet, hier wiederfinden, kann Ihnen nicht entgehen; er ist aber zumeist zum Schändlichen gesteigert.</w:t>
      </w:r>
    </w:p>
    <w:p w:rsidR="00062BE4" w:rsidRPr="002F7766" w:rsidRDefault="00062BE4" w:rsidP="00062BE4">
      <w:pPr>
        <w:rPr>
          <w:rFonts w:ascii="Garamond" w:hAnsi="Garamond" w:cs="Arial"/>
          <w:lang w:val="en-GB"/>
        </w:rPr>
      </w:pPr>
      <w:r w:rsidRPr="002F7766">
        <w:rPr>
          <w:rFonts w:ascii="Garamond" w:hAnsi="Garamond" w:cs="Arial"/>
          <w:lang w:val="en-GB"/>
        </w:rPr>
        <w:t xml:space="preserve">Nun, meine Damen und Herren, wie stellen wir uns zu diesen ungewöhnlichen Arten der Sexualbefriedigung? Mit der Entrüstung, der Äußerung unseres persönlichen Widerwillens und der Versicherung, daß wir diese Gelüste nicht teilen, ist offenbar nichts getan. Danach werden wir ja nicht gefragt. Am Ende ist es ein Erscheinungsgebiet wie ein anderes. Eine ablehnende Ausflucht wie, es seien ja nur Raritäten und Kuriositäten, wäre selbst leicht abzuweisen. Es handelt sich im Gegenteil um recht </w:t>
      </w:r>
      <w:r w:rsidRPr="002F7766">
        <w:rPr>
          <w:rFonts w:ascii="Garamond" w:hAnsi="Garamond" w:cs="Arial"/>
          <w:lang w:val="en-GB"/>
        </w:rPr>
        <w:lastRenderedPageBreak/>
        <w:t>häufige, weit verbreitete Phänomene. Wollte man uns aber sagen, wir brauchten unsere Ansichten über das Sexualleben durch sie nicht beirren zu lassen, weil sie samt und sonders Verirrungen und Entgleisungen des Sexualtriebes darstellen, so wäre eine ernste Antwort am Platze. Wenn wir diese krankhaften Gestaltungen der Sexualität nicht verstehen und sie nicht mit dem normalen Sexualleben zusammenbringen können, so verstehen wir eben auch die normale Sexualität nicht. Kurz, es bleibt eine unabweisbare Aufgabe, von der Möglichkeit der genannten Perversionen und von ihrem Zusammenhang mit der sogenannt normalen Sexualität volle theoretische Rechenschaft zu geben.</w:t>
      </w:r>
    </w:p>
    <w:p w:rsidR="00062BE4" w:rsidRPr="002F7766" w:rsidRDefault="00062BE4" w:rsidP="00062BE4">
      <w:pPr>
        <w:rPr>
          <w:rFonts w:ascii="Garamond" w:hAnsi="Garamond" w:cs="Arial"/>
          <w:lang w:val="en-GB"/>
        </w:rPr>
      </w:pPr>
      <w:r w:rsidRPr="002F7766">
        <w:rPr>
          <w:rFonts w:ascii="Garamond" w:hAnsi="Garamond" w:cs="Arial"/>
          <w:lang w:val="en-GB"/>
        </w:rPr>
        <w:t>Dazu werden uns eine Einsicht und zwei neue Erfahrungen verhelfen. Die erstere verdanken wir Iwan Bloch; sie berichtigt die Auffassung all dieser Perversionen als »Degenerationszeichen« durch den Nachweis, daß solche Abirrungen vom Sexualziel, solche Lockerungen des Verhältnisses zum Sexualobjekt von jeher, zu allen uns bekannten Zeiten, bei allen, den primitivsten wie den höchstzivilisierten Völkern vorgekommen sind und sich gelegentlich Duldung und allgemeine Geltung errungen haben. Die beiden Erfahrungen sind bei der psychoanalytischen Untersuchung der Neurotiker gemacht worden; sie müssen unsere Auffassung der sexuellen Perversionen in entscheidender Weise beeinflussen.</w:t>
      </w:r>
    </w:p>
    <w:p w:rsidR="00062BE4" w:rsidRPr="002F7766" w:rsidRDefault="00062BE4" w:rsidP="00062BE4">
      <w:pPr>
        <w:rPr>
          <w:rFonts w:ascii="Garamond" w:hAnsi="Garamond" w:cs="Arial"/>
        </w:rPr>
      </w:pPr>
      <w:r w:rsidRPr="002F7766">
        <w:rPr>
          <w:rFonts w:ascii="Garamond" w:hAnsi="Garamond" w:cs="Arial"/>
          <w:lang w:val="en-GB"/>
        </w:rPr>
        <w:t xml:space="preserve">Wir haben gesagt, daß die neurotischen Symptome sexuelle Ersatzbefriedigungen sind, und ich habe Ihnen angedeutet, daß die Bestätigung dieses Satzes durch die Analyse der Symptome auf manche Schwierigkeiten stoßen wird. Er ist nämlich erst dann berechtigt, wenn wir unter »sexueller Befriedigung« die der sogenannten perversen sexuellen Bedürfnisse mit einschließen, denn eine solche Deutung der Symptome drängt sich uns mit überraschender Häufigkeit auf. Der Ausnahmsanspruch der Homosexuellen oder Invertierten sinkt sofort zusammen, wenn wir erfahren, daß der Nachweis homosexueller Regungen bei keinem einzigen Neurotiker mißlingt und daß eine gute Anzahl von Symptomen dieser latenten Inversion Ausdruck gibt. </w:t>
      </w:r>
      <w:r w:rsidRPr="002F7766">
        <w:rPr>
          <w:rFonts w:ascii="Garamond" w:hAnsi="Garamond" w:cs="Arial"/>
        </w:rPr>
        <w:t xml:space="preserve">Die sich selbst Homosexuelle nennen, sind eben nur die bewußt und manifest Invertierten, deren Anzahl neben jener der latent Homosexuellen verschwindet. Wir sind aber genötigt, die Objektwahl aus dem eigenen Geschlecht geradezu als eine regelmäßige Abzweigung des Liebeslebens zu betrachten, und lernen immer mehr, ihr eine besonders hohe Bedeutung zuzuerkennen. Gewiß sind die Unterschiede zwischen der manifesten Homosexualität und dem normalen Verhalten dadurch nicht aufgehoben; ihre praktische Bedeutung bleibt bestehen, aber ihr theoretischer Wert wird ungemein verringert. Von einer bestimmten Affektion, die wir nicht mehr zu den Übertragungsneurosen rechnen können, der Paranoia, nehmen wir sogar an, daß sie gesetzmäßig aus dem Versuch der Abwehr überstarker homosexueller Regungen hervorgeht. Vielleicht erinnern Sie sich noch, daß die eine unserer Patientinnen (S. </w:t>
      </w:r>
      <w:smartTag w:uri="urn:schemas-microsoft-com:office:smarttags" w:element="metricconverter">
        <w:smartTagPr>
          <w:attr w:name="ProductID" w:val="262 f"/>
        </w:smartTagPr>
        <w:r w:rsidRPr="002F7766">
          <w:rPr>
            <w:rFonts w:ascii="Garamond" w:hAnsi="Garamond" w:cs="Arial"/>
          </w:rPr>
          <w:t>262 f</w:t>
        </w:r>
      </w:smartTag>
      <w:r w:rsidRPr="002F7766">
        <w:rPr>
          <w:rFonts w:ascii="Garamond" w:hAnsi="Garamond" w:cs="Arial"/>
        </w:rPr>
        <w:t>.) in ihrer Zwangshandlung einen Mann, ihren eigenen verlassenen Ehemann, agierte; eine solche Produktion von Symptomen in der Person eines Mannes ist bei neurotischen Frauen sehr gewöhnlich. Wenn es auch nicht selbst der Homosexualität zuzurechnen ist, so hat es doch mit den Voraussetzungen derselben viel zu tun.</w:t>
      </w:r>
    </w:p>
    <w:p w:rsidR="00062BE4" w:rsidRPr="002F7766" w:rsidRDefault="00062BE4" w:rsidP="00062BE4">
      <w:pPr>
        <w:rPr>
          <w:rFonts w:ascii="Garamond" w:hAnsi="Garamond" w:cs="Arial"/>
          <w:lang w:val="en-GB"/>
        </w:rPr>
      </w:pPr>
      <w:r w:rsidRPr="002F7766">
        <w:rPr>
          <w:rFonts w:ascii="Garamond" w:hAnsi="Garamond" w:cs="Arial"/>
          <w:lang w:val="en-GB"/>
        </w:rPr>
        <w:t xml:space="preserve">Wie Sie wahrscheinlich wissen, kann die hysterische Neurose ihre Symptome an allen Organsystemen machen und dadurch alle Funktionen stören. Die Analyse zeigt, daß dabei alle pervers genannten Regungen zur Äußerung kommen, welche das Genitale durch andere Organe ersetzen wollen. Diese Organe benehmen sich dabei wie Ersatzgenitalien; wir sind gerade durch die Symptomatik der Hysterie zur Auffassung gelangt, daß den Körperorganen außer ihrer funktionellen Rolle eine sexuelle erogene Bedeutung zuzuerkennen ist und daß sie in der Erfüllung dieser ersteren Aufgabe gestört werden, wenn die letztere sie allzusehr in Anspruch nimmt. Ungezählte Sensationen und Innervationen, welche uns als Symptome der Hysterie entgegentreten, an Organen, die anscheinend nichts mit der Sexualität zu tun haben, enthüllen uns so ihre Natur als Erfüllungen perverser Sexualregungen, bei denen andere Organe die Bedeutung der Geschlechtsteile an sich gerissen haben. Dann ersehen wir auch, in wie ausgiebiger Weise gerade die Organe der Nahrungsaufnahme und der Exkretion zu Trägern der Sexualerregung werden können. Es ist also dasselbe, was uns die Perversionen gezeigt haben, nur war es bei diesen ohne </w:t>
      </w:r>
      <w:r w:rsidRPr="002F7766">
        <w:rPr>
          <w:rFonts w:ascii="Garamond" w:hAnsi="Garamond" w:cs="Arial"/>
          <w:lang w:val="en-GB"/>
        </w:rPr>
        <w:lastRenderedPageBreak/>
        <w:t>Mühe und unverkennbar zu sehen, während wir bei der Hysterie erst den Umweg über die Symptomdeutung machen müssen und dann die betreffenden perversen Sexualregungen nicht dem Bewußtsein der Individuen zuschreiben, sondern sie in das Unbewußte derselben versetzen.</w:t>
      </w:r>
    </w:p>
    <w:p w:rsidR="00062BE4" w:rsidRPr="002F7766" w:rsidRDefault="00062BE4" w:rsidP="00062BE4">
      <w:pPr>
        <w:rPr>
          <w:rFonts w:ascii="Garamond" w:hAnsi="Garamond" w:cs="Arial"/>
          <w:lang w:val="en-GB"/>
        </w:rPr>
      </w:pPr>
      <w:r w:rsidRPr="002F7766">
        <w:rPr>
          <w:rFonts w:ascii="Garamond" w:hAnsi="Garamond" w:cs="Arial"/>
          <w:lang w:val="en-GB"/>
        </w:rPr>
        <w:t>Von den vielen Symptombildern, unter denen die Zwangsneurose auftritt, erweisen sich die wichtigsten als hervorgerufen durch den Drang überstarker sadistischer, also in ihrem Ziel perverser, Sexualregungen, und zwar dienen die Symptome, wie es der Struktur einer Zwangsneurose entspricht, vorwiegend der Abwehr dieser Wünsche oder drücken den Kampf zwischen Befriedigung und Abwehr aus. Aber auch die Befriedigung selbst kommt dabei nicht zu kurz; sie weiß sich auf Umwegen im Benehmen der Kranken durchzusetzen und wendet sich mit Vorliebe gegen deren eigene Person, macht sie zu Selbstquälern. Andere Formen der Neurose, die grüblerischen, entsprechen einer übermäßigen Sexualisierung von Akten, die sich sonst als Vorbereitungen in den Weg zur normalen Sexualbefriedigung einfügen, vom Sehen-, Berührenwollen und Forschen. Die große Bedeutung der Berührungsangst und des Waschzwanges findet hier ihre Aufklärung. Von den Zwangshandlungen geht ein ungeahnt großer Anteil als verkappte Wiederholung und Modifikation auf die Masturbation zurück, welche bekanntlich als einzige, gleichförmige Handlung die verschiedenartigsten Formen des sexuellen Phantasierens begleitet.</w:t>
      </w:r>
    </w:p>
    <w:p w:rsidR="00062BE4" w:rsidRPr="002F7766" w:rsidRDefault="00062BE4" w:rsidP="00062BE4">
      <w:pPr>
        <w:rPr>
          <w:rFonts w:ascii="Garamond" w:hAnsi="Garamond" w:cs="Arial"/>
          <w:lang w:val="en-GB"/>
        </w:rPr>
      </w:pPr>
      <w:r w:rsidRPr="002F7766">
        <w:rPr>
          <w:rFonts w:ascii="Garamond" w:hAnsi="Garamond" w:cs="Arial"/>
          <w:lang w:val="en-GB"/>
        </w:rPr>
        <w:t xml:space="preserve">Es würde mich nicht viel Mühe kosten, Ihnen die Beziehungen zwischen Perversion und Neurose noch weit inniger darzustellen, aber ich glaube, das Bisherige wird für unsere Absicht genügen. Wir müssen uns aber dagegen verwahren, daß wir nach diesen Aufklärungen über die Symptombedeutung Häufigkeit und Intensität der perversen Neigungen der Menschen überschätzen. Sie haben gehört, daß man an der Versagung der normalen Sexualbefriedigung neurotisch erkranken kann. Bei dieser realen Versagung wirft sich aber das Bedürfnis auf die abnormen Wege der Sexualerregung. Sie werden später einsehen können, wie das zugeht. Jedenfalls verstehen Sie, daß durch eine solche » </w:t>
      </w:r>
      <w:r w:rsidRPr="002F7766">
        <w:rPr>
          <w:rFonts w:ascii="Garamond" w:hAnsi="Garamond" w:cs="Arial"/>
          <w:i/>
          <w:iCs/>
          <w:lang w:val="en-GB"/>
        </w:rPr>
        <w:t>kollaterale</w:t>
      </w:r>
      <w:r w:rsidRPr="002F7766">
        <w:rPr>
          <w:rFonts w:ascii="Garamond" w:hAnsi="Garamond" w:cs="Arial"/>
          <w:lang w:val="en-GB"/>
        </w:rPr>
        <w:t xml:space="preserve">« Rückstauung die perversen Regungen stärker erscheinen müssen, als sie ausgefallen wären, wenn sich der normalen Sexualbefriedigung kein reales Hindernis entgegengestellt hätte. </w:t>
      </w:r>
      <w:r w:rsidRPr="002F7766">
        <w:rPr>
          <w:rFonts w:ascii="Garamond" w:hAnsi="Garamond" w:cs="Arial"/>
        </w:rPr>
        <w:t xml:space="preserve">Ein ähnlicher Einfluß ist übrigens auch für die manifesten Perversionen anzuerkennen. Sie werden in manchen Fällen dadurch provoziert oder aktiviert, daß einer normalen Befriedigung des Sexualtriebes allzu große Schwierigkeiten gemacht werden, infolge vorübergehender Umstände oder dauernder sozialer Einrichtungen. </w:t>
      </w:r>
      <w:r w:rsidRPr="002F7766">
        <w:rPr>
          <w:rFonts w:ascii="Garamond" w:hAnsi="Garamond" w:cs="Arial"/>
          <w:lang w:val="en-GB"/>
        </w:rPr>
        <w:t>In anderen Fällen sind die Perversionsneigungen freilich von solchen Begünstigungen ganz unabhängig; sie sind sozusagen für dieses Individuum die normale Art des Sexuallebens.</w:t>
      </w:r>
    </w:p>
    <w:p w:rsidR="00062BE4" w:rsidRPr="002F7766" w:rsidRDefault="00062BE4" w:rsidP="00062BE4">
      <w:pPr>
        <w:rPr>
          <w:rFonts w:ascii="Garamond" w:hAnsi="Garamond" w:cs="Arial"/>
          <w:lang w:val="en-GB"/>
        </w:rPr>
      </w:pPr>
      <w:r w:rsidRPr="002F7766">
        <w:rPr>
          <w:rFonts w:ascii="Garamond" w:hAnsi="Garamond" w:cs="Arial"/>
          <w:lang w:val="en-GB"/>
        </w:rPr>
        <w:t>Vielleicht haben Sie im Augenblicke den Eindruck, als hätten wir das Verhältnis zwischen normaler und perverser Sexualität eher verwirrt als geklärt. Halten Sie sich aber an folgende Überlegung: Wenn es richtig ist, daß die reale Erschwerung oder die Entbehrung einer normalen Sexualbefriedigung bei Personen perverse Neigungen zum Vorschein bringen, die sonst keine solchen gezeigt hatten, so muß bei diesen Personen etwas anzunehmen sein, was den Perversionen entgegenkommt; oder wenn Sie so wollen, sie müssen in latenter Form bei ihnen vorhanden sein. Auf diesem Wege kommen wir aber auf die zweite Neuheit, die ich Ihnen angekündigt habe. Die psychoanalytische Forschung ist nämlich genötigt worden, sich auch um das Sexualleben des Kindes zu bekümmern, und zwar dadurch, daß die Erinnerungen und Einfälle bei der Analyse der Symptome regelmäßig bis in frühe Jahre der Kindheit zurückführten. Was wir dabei erschlossen haben, ist dann Punkt für Punkt durch unmittelbare Beobachtungen an Kindern bestätigt worden. Und da hat sich dann ergeben, daß alle Perversionsneigungen in der Kindheit wurzeln, daß die Kinder zu ihnen alle Anlage haben und sie in dem ihrer Unreife entsprechenden Ausmaß betätigen, kurz, daß die perverse Sexualität nichts anderes ist als die vergrößerte, in ihre Einzelregungen zerlegte infantile Sexualität.</w:t>
      </w:r>
    </w:p>
    <w:p w:rsidR="00062BE4" w:rsidRPr="002F7766" w:rsidRDefault="00062BE4" w:rsidP="00062BE4">
      <w:pPr>
        <w:rPr>
          <w:rFonts w:ascii="Garamond" w:hAnsi="Garamond" w:cs="Arial"/>
          <w:lang w:val="en-GB"/>
        </w:rPr>
      </w:pPr>
      <w:r w:rsidRPr="002F7766">
        <w:rPr>
          <w:rFonts w:ascii="Garamond" w:hAnsi="Garamond" w:cs="Arial"/>
          <w:lang w:val="en-GB"/>
        </w:rPr>
        <w:t xml:space="preserve">Jetzt werden Sie die Perversionen allerdings in einem anderen Lichte sehen und deren Zusammenhang mit dem menschlichen Sexualleben nicht mehr verkennen, aber auf Kosten welcher Überraschungen und für Ihr Gefühl peinlichen Inkongruenzen! Sie werden gewiß geneigt sein, zuerst alles zu bestreiten, die </w:t>
      </w:r>
      <w:r w:rsidRPr="002F7766">
        <w:rPr>
          <w:rFonts w:ascii="Garamond" w:hAnsi="Garamond" w:cs="Arial"/>
          <w:lang w:val="en-GB"/>
        </w:rPr>
        <w:lastRenderedPageBreak/>
        <w:t>Tatsache, daß die Kinder etwas haben, was man als Sexualleben bezeichnen darf, die Richtigkeit unserer Beobachtungen und die Berechtigung, an dem Benehmen der Kinder eine Verwandtschaft mit dem, was späterhin als Perversion verurteilt wird, zu finden. Gestatten Sie also, daß ich Ihnen zuerst die Motive Ihres Sträubens aufkläre und dann die Summe unserer Beobachtungen vorlege. Daß die Kinder kein Sexualleben sexuelle Erregungen, Bedürfnisse und eine Art der Befriedigung haben, sondern es plötzlich zwischen 12 und 14Jahren bekommen sollten, wäre von allen Beobachtungen abgesehen biologisch ebenso unwahrscheinlich, ja unsinnig, wie daß sie keine Genitalien mit auf die Welt brächten und die ihnen erst um die Zeit der Pubertät wüchsen. Was um diese Zeit bei ihnen erwacht, ist die Fortpflanzungsfunktion, die sich eines bereits vorhandenen körperlichen und seelischen Materials für ihre Zwecke bedient. Sie begehen den Irrtum, Sexualität und Fortpflanzung miteinander zu verwechseln, und versperren sich durch ihn den Weg zum Verständnis der Sexualität, der Perversionen und der Neurosen. Dieser Irrtum ist aber tendenziös. Er hat seine Quelle merkwürdigerweise darin, daß Sie selbst Kinder gewesen und als Kinder dem Einfluß der Erziehung unterlegen sind. Die Gesellschaft muß es nämlich unter ihre wichtigsten Erziehungsaufgaben aufnehmen, den Sexualtrieb, wenn er als Fortpflanzungsdrang hervorbricht, zu bändigen, einzuschränken, einem individuellen Willen zu unterwerfen, der mit dem sozialen Geheiß identisch ist. Sie hat auch Interesse daran, seine volle Entwicklung aufzuschieben, bis das Kind eine gewisse Stufe der intellektuellen Reife erreicht hat, denn mit dem vollen Durchbruch des Sexualtriebes findet auch die Erziehbarkeit praktisch ein Ende. Der Trieb würde sonst über alle Dämme brechen und das mühsam errichtete Werk der Kultur hinwegschwemmen. Die Aufgabe, ihn zu bändigen, ist auch nie eine leichte, sie gelingt bald zu wenig, bald allzu gut. Das Motiv der menschlichen Gesellschaft ist im letzten Grunde ein ökonomisches; da sie nicht genug Lebensmittel hat, um ihre Mitglieder ohne deren Arbeit zu erhalten, muß sie die Anzahl ihrer Mitglieder beschränken und ihre Energien von der Sexualbetätigung weg auf die Arbeit lenken. Also die ewige, urzeitliche, bis auf die Gegenwart fortgesetzte Lebensnot.</w:t>
      </w:r>
    </w:p>
    <w:p w:rsidR="00062BE4" w:rsidRPr="002F7766" w:rsidRDefault="00062BE4" w:rsidP="00062BE4">
      <w:pPr>
        <w:rPr>
          <w:rFonts w:ascii="Garamond" w:hAnsi="Garamond" w:cs="Arial"/>
          <w:lang w:val="en-GB"/>
        </w:rPr>
      </w:pPr>
      <w:r w:rsidRPr="002F7766">
        <w:rPr>
          <w:rFonts w:ascii="Garamond" w:hAnsi="Garamond" w:cs="Arial"/>
          <w:lang w:val="en-GB"/>
        </w:rPr>
        <w:t>Die Erfahrung muß wohl den Erziehern gezeigt haben, daß die Aufgabe, den Sexualwillen der neuen Generation lenksam zu machen, nur dann lösbar ist, wenn man mit den Beeinflussungen sehr frühzeitig beginnt, nicht erst den Sturm der Pubertät abwartet, sondern bereits in das Sexualleben der Kinder eingreift, welches ihn vorbereitet. In dieser Absicht werden fast alle infantilen Sexualbetätigungen dem Kinde verboten und verleidet; man setzt sich das ideale Ziel, das Leben des Kindes asexuell zu gestalten, und hat es im Laufe der Zeit endlich dahin gebracht, daß man es wirklich für asexuell hält, was dann die Wissenschaft als ihre Lehre verkündet. Um sich mit seinem Glauben und seinen Absichten nicht in Widerspruch zu setzen, übersieht man dann die Sexualbetätigung des Kindes, was keine geringe Leistung ist, oder begnügt sich in der Wissenschaft damit, sie anders aufzufassen. Das Kind gilt als rein, als unschuldig, und wer es anders beschreibt, darf als ruchloser Frevler an zarten und heiligen Gefühlen der Menschheit verklagt werden.</w:t>
      </w:r>
    </w:p>
    <w:p w:rsidR="00062BE4" w:rsidRPr="002F7766" w:rsidRDefault="00062BE4" w:rsidP="00062BE4">
      <w:pPr>
        <w:rPr>
          <w:rFonts w:ascii="Garamond" w:hAnsi="Garamond" w:cs="Arial"/>
          <w:lang w:val="en-GB"/>
        </w:rPr>
      </w:pPr>
      <w:r w:rsidRPr="002F7766">
        <w:rPr>
          <w:rFonts w:ascii="Garamond" w:hAnsi="Garamond" w:cs="Arial"/>
          <w:lang w:val="en-GB"/>
        </w:rPr>
        <w:t>Die Kinder sind die einzigen, die an diesen Konventionen nicht mittun, in aller Naivität ihre animalischen Rechte geltend machen und immer wieder beweisen, daß sie den Weg zur Reinheit erst zurückzulegen haben. Merkwürdig genug, daß die Leugner der kindlichen Sexualität darum in der Erziehung nicht nachlassen, sondern gerade die Äußerungen des Verleugneten unter dem Titel der »kindlichen Unarten« aufs strengste verfolgen. Von hohem theoretischen Interesse ist es auch, daß die Lebenszeit, welche dem Vorurteil einer asexuellen Kindheit am grellsten widerspricht, die Kinderjahre bis fünf oder sechs, dann bei den meisten Personen von dem Schleier einer Amnesie verhüllt wird, den erst eine analytische Erforschung gründlich zerreißt, der aber schon vorher für einzelne Traumbildungen durchlässig gewesen ist.</w:t>
      </w:r>
    </w:p>
    <w:p w:rsidR="00062BE4" w:rsidRPr="002F7766" w:rsidRDefault="00062BE4" w:rsidP="00062BE4">
      <w:pPr>
        <w:rPr>
          <w:rFonts w:ascii="Garamond" w:hAnsi="Garamond" w:cs="Arial"/>
          <w:lang w:val="en-GB"/>
        </w:rPr>
      </w:pPr>
      <w:r w:rsidRPr="002F7766">
        <w:rPr>
          <w:rFonts w:ascii="Garamond" w:hAnsi="Garamond" w:cs="Arial"/>
          <w:lang w:val="en-GB"/>
        </w:rPr>
        <w:t xml:space="preserve">Nun will ich Ihnen vorführen, was sich vom Sexualleben des Kindes am deutlichsten erkennen läßt. Lassen Sie mich zweckmäßigkeitshalber auch den Begriff der </w:t>
      </w:r>
      <w:r w:rsidRPr="002F7766">
        <w:rPr>
          <w:rFonts w:ascii="Garamond" w:hAnsi="Garamond" w:cs="Arial"/>
          <w:i/>
          <w:iCs/>
          <w:lang w:val="en-GB"/>
        </w:rPr>
        <w:t>Libido</w:t>
      </w:r>
      <w:r w:rsidRPr="002F7766">
        <w:rPr>
          <w:rFonts w:ascii="Garamond" w:hAnsi="Garamond" w:cs="Arial"/>
          <w:lang w:val="en-GB"/>
        </w:rPr>
        <w:t xml:space="preserve"> einführen. Libido soll, durchaus dem </w:t>
      </w:r>
      <w:r w:rsidRPr="002F7766">
        <w:rPr>
          <w:rFonts w:ascii="Garamond" w:hAnsi="Garamond" w:cs="Arial"/>
          <w:i/>
          <w:iCs/>
          <w:lang w:val="en-GB"/>
        </w:rPr>
        <w:t>Hunger</w:t>
      </w:r>
      <w:r w:rsidRPr="002F7766">
        <w:rPr>
          <w:rFonts w:ascii="Garamond" w:hAnsi="Garamond" w:cs="Arial"/>
          <w:lang w:val="en-GB"/>
        </w:rPr>
        <w:t xml:space="preserve"> analog, die Kraft benennen, mit welcher der Trieb, hier der Sexualtrieb wie beim Hunger der </w:t>
      </w:r>
      <w:r w:rsidRPr="002F7766">
        <w:rPr>
          <w:rFonts w:ascii="Garamond" w:hAnsi="Garamond" w:cs="Arial"/>
          <w:lang w:val="en-GB"/>
        </w:rPr>
        <w:lastRenderedPageBreak/>
        <w:t xml:space="preserve">Ernährungstrieb, sich äußert. Andere Begriffe, wie Sexualerregung und Befriedigung, bedürfen keiner Erläuterung. Daß bei den Sexualbetätigungen des Säuglings die Deutung am meisten zu tun hat, werden Sie selbst leicht einsehen oder wahrscheinlich als Einwand benützen. Diese Deutungen ergeben sich auf Grund der analytischen Untersuchungen durch Rückverfolgung vom Symptom her. Die ersten Regungen der Sexualität zeigen sich beim Säugling in Anlehnung an andere lebenswichtige Funktionen. Sein Hauptinteresse ist, wie Sie wissen, auf die Nahrungsaufnahme gerichtet; wenn er an der Brust gesättigt einschläft, zeigt er den Ausdruck einer seligen Befriedigung, der sich später nach dem Erleben des sexuellen Orgasmus wiederholen wird. Das wäre zu wenig, um einen Schluß darauf zu gründen. Aber wir beobachten, daß der Säugling die Aktion der Nahrungsaufnahme wiederholen will, ohne neue Nahrung zu beanspruchen; er steht also dabei nicht unter dem Antrieb des Hungers. Wir sagen, er lutscht oder ludelt, und daß er bei diesem Tun wiederum mit seligem Ausdruck einschläft, zeigt uns, daß die Aktion des </w:t>
      </w:r>
      <w:r w:rsidRPr="002F7766">
        <w:rPr>
          <w:rFonts w:ascii="Garamond" w:hAnsi="Garamond" w:cs="Arial"/>
          <w:i/>
          <w:iCs/>
          <w:lang w:val="en-GB"/>
        </w:rPr>
        <w:t>Lutschens</w:t>
      </w:r>
      <w:r w:rsidRPr="002F7766">
        <w:rPr>
          <w:rFonts w:ascii="Garamond" w:hAnsi="Garamond" w:cs="Arial"/>
          <w:lang w:val="en-GB"/>
        </w:rPr>
        <w:t xml:space="preserve"> ihm an und für sich Befriedigung gebracht hat. Bekanntlich richtet er sich's bald so ein, daß er nicht einschläft, ohne gelutscht zu haben. Die sexuelle Natur dieser Betätigung hat ein alter Kinderarzt in Budapest, Dr. Lindner, zuerst behauptet. Die Pflegepersonen des Kindes, die keine theoretische Stellungnahme beabsichtigen, scheinen das Lutschen ähnlich zu beurteilen. Sie zweifeln nicht daran, daß es nur einem Lustgewinn dient, stellen es zu den Unarten des Kindes und zwingen das Kind durch peinliche Eindrücke zum Verzicht darauf, wenn es die Unart nicht selbst aufgeben will. Wir erfahren also, daß der Säugling Handlungen ausführt, die keine andere Absicht als die des Lustgewinnes haben. Wir glauben, daß er diese Lust zuerst bei der Nahrungsaufnahme erlebt, aber bald gelernt hat, sie von dieser Bedingung abzutrennen. Wir können den Lustgewinn nur auf die Erregung der Mund- und Lippenzone beziehen, heißen diese Körperteile </w:t>
      </w:r>
      <w:r w:rsidRPr="002F7766">
        <w:rPr>
          <w:rFonts w:ascii="Garamond" w:hAnsi="Garamond" w:cs="Arial"/>
          <w:i/>
          <w:iCs/>
          <w:lang w:val="en-GB"/>
        </w:rPr>
        <w:t>erogene Zonen</w:t>
      </w:r>
      <w:r w:rsidRPr="002F7766">
        <w:rPr>
          <w:rFonts w:ascii="Garamond" w:hAnsi="Garamond" w:cs="Arial"/>
          <w:lang w:val="en-GB"/>
        </w:rPr>
        <w:t xml:space="preserve"> und bezeichnen die durch Lutschen erzielte Lust als eine </w:t>
      </w:r>
      <w:r w:rsidRPr="002F7766">
        <w:rPr>
          <w:rFonts w:ascii="Garamond" w:hAnsi="Garamond" w:cs="Arial"/>
          <w:i/>
          <w:iCs/>
          <w:lang w:val="en-GB"/>
        </w:rPr>
        <w:t>sexuelle</w:t>
      </w:r>
      <w:r w:rsidRPr="002F7766">
        <w:rPr>
          <w:rFonts w:ascii="Garamond" w:hAnsi="Garamond" w:cs="Arial"/>
          <w:lang w:val="en-GB"/>
        </w:rPr>
        <w:t>. Über die Berechtigung dieser Benennung werden wir gewiß noch diskutieren müssen.</w:t>
      </w:r>
    </w:p>
    <w:p w:rsidR="00062BE4" w:rsidRPr="002F7766" w:rsidRDefault="00062BE4" w:rsidP="00062BE4">
      <w:pPr>
        <w:rPr>
          <w:rFonts w:ascii="Garamond" w:hAnsi="Garamond" w:cs="Arial"/>
          <w:lang w:val="en-GB"/>
        </w:rPr>
      </w:pPr>
      <w:r w:rsidRPr="002F7766">
        <w:rPr>
          <w:rFonts w:ascii="Garamond" w:hAnsi="Garamond" w:cs="Arial"/>
          <w:lang w:val="en-GB"/>
        </w:rPr>
        <w:t>Wenn der Säugling sich äußern könnte, würde er gewiß den Akt des Saugens an der Mutterbrust als das weitaus Wichtigste im Leben anerkennen. Er hat für sich nicht so unrecht, denn er befriedigt durch diesen Akt in einem beide großen Lebensbedürfnisse. Wir erfahren dann aus der Psychoanalyse nicht ohne Überraschung, wieviel von der psychischen Bedeutung des Aktes fürs ganze Leben erhalten bleibt. Das Saugen an der Mutterbrust wird der Ausgangspunkt des ganzen Sexuallebens, das unerreichte Vorbild jeder späteren Sexualbefriedigung, zu dem die Phantasie in Zeiten der Not oft genug zurückkehrt. Es schließt die Mutterbrust als erstes Objekt des Sexualtriebes ein; ich kann Ihnen keine Vorstellung davon vermitteln, wie bedeutsam dies erste Objekt für jede spätere Objektfindung ist, welch tiefgreifende Wirkungen es in seinen Wandlungen und Ersetzungen noch auf die entlegensten Gebiete unseres Seelenlebens äußert. Aber zunächst wird es vom Säugling in der Tätigkeit des Lutschens aufgegeben und durch einen Teil des eigenen Körpers ersetzt. Das Kind lutscht am Daumen, an der eigenen Zunge. Es macht sich dadurch für den Lustgewinn von der Zustimmung der Außenwelt unabhängig und zieht überdies die Erregung einer zweiten Körperzone zur Verstärkung heran. Die erogenen Zonen sind nicht gleich ausgiebig; es wird darum ein wichtiges Erlebnis, wenn der Säugling, wie Lindner berichtet, bei dem Herumsuchen am eigenen Körper die besonders erregbaren Stellen seiner Genitalien entdeckt und so den Weg vom Lutschen zur Onanie gefunden hat.</w:t>
      </w:r>
    </w:p>
    <w:p w:rsidR="00062BE4" w:rsidRPr="002F7766" w:rsidRDefault="00062BE4" w:rsidP="00062BE4">
      <w:pPr>
        <w:rPr>
          <w:rFonts w:ascii="Garamond" w:hAnsi="Garamond" w:cs="Arial"/>
          <w:lang w:val="en-GB"/>
        </w:rPr>
      </w:pPr>
      <w:r w:rsidRPr="002F7766">
        <w:rPr>
          <w:rFonts w:ascii="Garamond" w:hAnsi="Garamond" w:cs="Arial"/>
          <w:lang w:val="en-GB"/>
        </w:rPr>
        <w:t xml:space="preserve">Durch die Würdigung des Lutschens sind wir bereits mit zwei entscheidenden Charakteren der infantilen Sexualität bekannt geworden. Sie erscheint in Anlehnung an die Befriedigung der großen organischen Bedürfnisse und sie benimmt sich </w:t>
      </w:r>
      <w:r w:rsidRPr="002F7766">
        <w:rPr>
          <w:rFonts w:ascii="Garamond" w:hAnsi="Garamond" w:cs="Arial"/>
          <w:i/>
          <w:iCs/>
          <w:lang w:val="en-GB"/>
        </w:rPr>
        <w:t>autoerotisch</w:t>
      </w:r>
      <w:r w:rsidRPr="002F7766">
        <w:rPr>
          <w:rFonts w:ascii="Garamond" w:hAnsi="Garamond" w:cs="Arial"/>
          <w:lang w:val="en-GB"/>
        </w:rPr>
        <w:t xml:space="preserve">, das heißt, sie sucht und findet ihre Objekte am eigenen Körper. Was sich am deutlichsten bei der Nahrungsaufnahme gezeigt hat, wiederholt sich zum Teil bei den Ausscheidungen. Wir schließen, daß der Säugling Lustempfinden bei der Entleerung von Harn und von Darminhalt hat und daß er sich bald bemüht, diese Aktionen so einzurichten, daß sie ihm durch entsprechende Erregungen der erogenen Schleimhautzonen einen möglichst großen Lustgewinn bringen. An diesem Punkte tritt ihm, wie die feinsinnige Lou Andreas ausgeführt hat, zuerst die Außenwelt als hemmende, seinem Luststreben feindliche Macht entgegen und läßt ihn spätere äußere wie innere Kämpfe </w:t>
      </w:r>
      <w:r w:rsidRPr="002F7766">
        <w:rPr>
          <w:rFonts w:ascii="Garamond" w:hAnsi="Garamond" w:cs="Arial"/>
          <w:lang w:val="en-GB"/>
        </w:rPr>
        <w:lastRenderedPageBreak/>
        <w:t>ahnen. Er soll seine Exkrete nicht in dem ihm beliebigen Moment von sich geben, sondern wann andere Personen es bestimmen. Um ihn zum Verzicht auf diese Lustquellen zu bewegen, wird ihm alles, was diese Funktionen betrifft, als unanständig, zur Geheimhaltung bestimmt, erklärt. Er soll hier zuerst soziale Würde für Lust eintauschen. Sein Verhältnis zu den Exkreten selbst ist von Anfang an ein ganz anderes. Er empfindet keinen Ekel vor seinem Kot, schätzt ihn als einen Teil seines Körpers, von dem er sich nicht leicht trennt, und verwendet ihn als erstes »Geschenk«, um Personen auszuzeichnen, die er besonders schätzt. Noch nachdem der Erziehung die Absicht gelungen ist, ihn diesen Neigungen zu entfremden, setzt er die Wertschätzung des Kotes auf das »Geschenk« und auf das »Geld« fort. Seine Leistungen im Urinieren scheint er dagegen mit besonderem Stolz zu betrachten.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weiß, daß Sie mich schon längst unterbrechen wollten, um mir zuzurufen: Genug der Ungeheuerlichkeiten! Die Stuhlentleerung soll eine Quelle der sexuellen Lustbefriedigung sein, die schon der Säugling ausbeutet! Der Kot eine wertvolle Substanz, der After eine Art von Genitale! Das glauben wir nicht, aber wir verstehen, warum Kinderärzte und Pädagogen die Psychoanalyse und ihre Resultate weit von sich weg gewiesen haben. </w:t>
      </w:r>
      <w:r w:rsidRPr="002F7766">
        <w:rPr>
          <w:rFonts w:ascii="Garamond" w:hAnsi="Garamond" w:cs="Arial"/>
        </w:rPr>
        <w:t xml:space="preserve">Nein, meine Herren! Sie haben bloß vergessen, daß ich Ihnen die Tatsachen des infantilen Sexuallebens im Zusammenhang mit den Tatsachen der sexuellen Perversionen vorführen wollte. Warum sollen Sie nicht wissen, daß der After bei einer großen Anzahl von Erwachsenen, Homosexuellen wie Heterosexuellen, wirklich im Geschlechtsverkehr die Rolle der Scheide übernimmt? </w:t>
      </w:r>
      <w:r w:rsidRPr="002F7766">
        <w:rPr>
          <w:rFonts w:ascii="Garamond" w:hAnsi="Garamond" w:cs="Arial"/>
          <w:lang w:val="en-GB"/>
        </w:rPr>
        <w:t>Und daß es viele Individuen gibt, welche die Wollustempfindung bei der Stuhlentleerung durch ihr ganzes Leben behalten und sie als gar nicht so gering beschreiben? Was das Interesse am Akt der Defäkation und das Vergnügen beim Zuschauen der Defäkation eines anderen betrifft, so können Sie es von den Kindern selbst bestätigt hören, wenn sie einige Jahre älter geworden sind und Mitteilung davon machen können. Natürlich dürfen Sie diese Kinder nicht vorher systematisch eingeschüchtert haben, sonst verstehen sie wohl, daß sie darüber zu schweigen haben. Und für die anderen Dinge, die Sie nicht glauben wollen, verweise ich Sie auf die Ergebnisse der Analyse und der direkten Kinderbeobachtung und sage Ihnen, es ist geradezu eine Kunst, dies alles nicht oder es anders zu sehen. Ich habe auch gar nichts dagegen, wenn Ihnen die Verwandtschaft der kindlichen Sexualität mit den sexuellen Perversionen recht auffällig wird. Es ist eigentlich selbstverständlich; wenn das Kind überhaupt ein Sexualleben hat, so muß es von perverser Art sein, denn dem Kinde fehlt noch bis auf wenige dunkle Andeutungen, was die Sexualität zur Fortpflanzungsfunktion macht. Anderseits ist es der gemeinsame Charakter aller Perversionen, daß sie das Fortpflanzungsziel aufgegeben haben. In dem Falle heißen wir eine Sexualbetätigung eben pervers, wenn sie auf das Fortpflanzungsziel verzichtet hat und die Lustgewinnung als davon unabhängiges Ziel verfolgt. Sie verstehen also, der Bruch und Wendepunkt in der Entwicklung des Sexuallebens liegt in der Unterordnung desselben unter die Absichten der Fortpflanzung. Alles was vor dieser Wendung vorfällt, ebenso alles, was sich ihr entzogen hat, was allein dem Lustgewinn dient, wird mit dem nicht ehrenvollen Namen des »Perversen« belegt und als solches geächtet.</w:t>
      </w:r>
    </w:p>
    <w:p w:rsidR="00062BE4" w:rsidRPr="002F7766" w:rsidRDefault="00062BE4" w:rsidP="00062BE4">
      <w:pPr>
        <w:rPr>
          <w:rFonts w:ascii="Garamond" w:hAnsi="Garamond" w:cs="Arial"/>
          <w:lang w:val="en-GB"/>
        </w:rPr>
      </w:pPr>
      <w:r w:rsidRPr="002F7766">
        <w:rPr>
          <w:rFonts w:ascii="Garamond" w:hAnsi="Garamond" w:cs="Arial"/>
          <w:lang w:val="en-GB"/>
        </w:rPr>
        <w:t xml:space="preserve">Lassen Sie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darum in meiner knappen Schilderung der infantilen Sexualität fortfahren. Was ich von zwei Organsystemen berichtet habe, könnte ich durch die Berücksichtigung der anderen vervollständigen. Das Sexualleben des Kindes erschöpft sich eben in der Betätigung einer Reihe von Partialtrieben, die unabhängig voneinander teils am eigenen Körper teils schon am äußeren Objekt Lust zu gewinnen suchen. Unter diesen Organen treten die Genitalien sehr bald hervor; es gibt Menschen, bei denen sich die Lustgewinnung am eigenen Genitale, ohne Beihilfe eines anderen Genitales oder Objekts, ohne Unterbrechung von der Säuglingsonanie bis zur Notonanie der Pubertätsjahre fortsetzt und dann unbestimmt lange darüber hinaus anhält. Mit dem Thema der Onanie würden wir übrigens nicht so bald fertig werden; es ist ein Stoff für vielseitige Betrachtung.</w:t>
      </w:r>
    </w:p>
    <w:p w:rsidR="00062BE4" w:rsidRPr="002F7766" w:rsidRDefault="00062BE4" w:rsidP="00062BE4">
      <w:pPr>
        <w:rPr>
          <w:rFonts w:ascii="Garamond" w:hAnsi="Garamond" w:cs="Arial"/>
          <w:lang w:val="en-GB"/>
        </w:rPr>
      </w:pPr>
      <w:r w:rsidRPr="002F7766">
        <w:rPr>
          <w:rFonts w:ascii="Garamond" w:hAnsi="Garamond" w:cs="Arial"/>
          <w:lang w:val="en-GB"/>
        </w:rPr>
        <w:t xml:space="preserve">Trotz meiner Neigung, das Thema noch weiter zu verkürzen, muß ich Ihnen doch noch einiges über die </w:t>
      </w:r>
      <w:r w:rsidRPr="002F7766">
        <w:rPr>
          <w:rFonts w:ascii="Garamond" w:hAnsi="Garamond" w:cs="Arial"/>
          <w:i/>
          <w:iCs/>
          <w:lang w:val="en-GB"/>
        </w:rPr>
        <w:t>Sexualforschung</w:t>
      </w:r>
      <w:r w:rsidRPr="002F7766">
        <w:rPr>
          <w:rFonts w:ascii="Garamond" w:hAnsi="Garamond" w:cs="Arial"/>
          <w:lang w:val="en-GB"/>
        </w:rPr>
        <w:t xml:space="preserve"> der Kinder sagen. Sie ist zu charakteristisch für die kindliche Sexualität und zu bedeutsam für die Symptomatik der Neurosen. Die infantile Sexualforschung beginnt sehr früh, manchmal vor dem </w:t>
      </w:r>
      <w:r w:rsidRPr="002F7766">
        <w:rPr>
          <w:rFonts w:ascii="Garamond" w:hAnsi="Garamond" w:cs="Arial"/>
          <w:lang w:val="en-GB"/>
        </w:rPr>
        <w:lastRenderedPageBreak/>
        <w:t>dritten Lebensjahr. Sie knüpft nicht an den Geschlechtsunterschied an, der dem Kinde nichts besagt, da es wenigstens die Knaben beiden Geschlechtern das nämliche männliche Genitale zuschreibt. Macht der Knabe dann an einer kleinen Schwester oder Gespielin die Entdeckung der Vagina, so versucht er zuerst das Zeugnis seiner Sinne zu verleugnen, denn er kann sich ein ihm ähnliches menschliches Wesen ohne den ihm so wertvollen Teil nicht vorstellen. Später erschrickt er über die ihm eröffnete Möglichkeit, und etwaige frühere Drohungen wegen zu intensiver Beschäftigung mit seinem kleinen Glied gelangen nachträglich zur Wirkung. Er gelangt unter die Herrschaft des Kastrationskomplexes, dessen Gestaltung an seiner Charakterbildung, wenn er gesund bleibt, an seiner Neurose, wenn er erkrankt, und an seinen Widerständen, wenn er in analytische Behandlung gerät, großen Anteil hat. Von dem kleinen Mädchen wissen wir, daß es sich wegen des Mangels eines großen sichtbaren Penis für schwer benachteiligt hält, dem Knaben diesen Besitz neidet und wesentlich aus diesem Motiv den Wunsch entwickelt, ein Mann zu sein, welcher Wunsch späterhin in der Neurose, die wegen Mißgeschicks in ihrer weiblichen Rolle auftritt, wieder aufgenommen wird. Die Clitoris des Mädchens spielt übrigens im Kindesalter durchaus die Rolle des Penis, sie ist der Träger einer besonderen Erregbarkeit, die Stelle, an welcher die autoerotische Befriedigung erzielt wird. Es kommt für die Weibwerdung des kleinen Mädchens viel darauf an, daß die Clitoris diese Empfindlichkeit rechtzeitig und vollständig an den Scheideneingang abgebe. In den Fällen von sogenannter sexueller Anästhesie der Frauen hat die Clitoris die Empfindlichkeit hartnäckig festgehalten.</w:t>
      </w:r>
    </w:p>
    <w:p w:rsidR="00062BE4" w:rsidRPr="002F7766" w:rsidRDefault="00062BE4" w:rsidP="00062BE4">
      <w:pPr>
        <w:rPr>
          <w:rFonts w:ascii="Garamond" w:hAnsi="Garamond" w:cs="Arial"/>
          <w:lang w:val="en-GB"/>
        </w:rPr>
      </w:pPr>
      <w:r w:rsidRPr="002F7766">
        <w:rPr>
          <w:rFonts w:ascii="Garamond" w:hAnsi="Garamond" w:cs="Arial"/>
          <w:lang w:val="en-GB"/>
        </w:rPr>
        <w:t xml:space="preserve">Das sexuelle Interesse des Kindes wendet sich vielmehr zuerst dem Problem zu, woher die Kinder kommen, demselben, welches der Fragestellung der thebaischen Sphinx zugrunde liegt, und wird meist durch egoistische Befürchtung bei der Ankunft eines neuen Kindes geweckt. Die Antwort, welche die Kinderstube bereithält, daß der Storch die Kinder bringe, stößt viel häufiger, als wir wissen, schon bei kleinen Kindern auf Unglauben. Die Empfindung, von den Erwachsenen um die Wahrheit betrogen zu werden, trägt viel zur Vereinsamung des Kindes und zur Entwicklung seiner Selbständigkeit bei. Aber das Kind ist nicht imstande, dies Problem aus eigenen Mitteln zu lösen. Seiner Erkenntnisfähigkeit sind durch seine unentwickelte Sexualkonstitution bestimmte Schranken gesetzt. Es nimmt zuerst an, daß die Kinder davon kommen, daß man etwas Besonderes in der Nahrung zu sich nimmt, und weiß auch nichts davon, daß nur Frauen Kinder bekommen können. Später erfährt man von dieser Einschränkung und gibt die Ableitung des Kindes vom </w:t>
      </w:r>
      <w:smartTag w:uri="urn:schemas-microsoft-com:office:smarttags" w:element="City">
        <w:smartTag w:uri="urn:schemas-microsoft-com:office:smarttags" w:element="place">
          <w:r w:rsidRPr="002F7766">
            <w:rPr>
              <w:rFonts w:ascii="Garamond" w:hAnsi="Garamond" w:cs="Arial"/>
              <w:lang w:val="en-GB"/>
            </w:rPr>
            <w:t>Essen</w:t>
          </w:r>
        </w:smartTag>
      </w:smartTag>
      <w:r w:rsidRPr="002F7766">
        <w:rPr>
          <w:rFonts w:ascii="Garamond" w:hAnsi="Garamond" w:cs="Arial"/>
          <w:lang w:val="en-GB"/>
        </w:rPr>
        <w:t xml:space="preserve"> auf, sie bleibt für das Märchen erhalten. Das größer gewordene Kind merkt bald, daß der Vater irgendeine Rolle beim Kinderbekommen spielen müsse, kann aber nicht erraten, welche. Wenn es zufällig Zeuge eines geschlechtlichen Aktes wird, so sieht es in ihm einen Versuch der Überwältigung, eine Rauferei, das sadistische Mißverständnis des Koitus. Es bringt diesen Akt aber zunächst nicht mit dem Werden des Kindes in Zusammenhang. Auch wenn es Blutspuren in Bett und Wäsche der Mutter entdeckt, nimmt es sie als Beweis einer durch den Vater zugefügten Verletzung. In noch späteren Kinderjahren ahnt es wohl, daß das Geschlechtsglied des Mannes einen wesentlichen Anteil an der Entstehung der Kinder hat, kann diesem Körperteil aber keine andere Leistung zutrauen als die der Harnentleerung.</w:t>
      </w:r>
    </w:p>
    <w:p w:rsidR="00062BE4" w:rsidRPr="002F7766" w:rsidRDefault="00062BE4" w:rsidP="00062BE4">
      <w:pPr>
        <w:rPr>
          <w:rFonts w:ascii="Garamond" w:hAnsi="Garamond" w:cs="Arial"/>
          <w:lang w:val="en-GB"/>
        </w:rPr>
      </w:pPr>
      <w:r w:rsidRPr="002F7766">
        <w:rPr>
          <w:rFonts w:ascii="Garamond" w:hAnsi="Garamond" w:cs="Arial"/>
          <w:lang w:val="en-GB"/>
        </w:rPr>
        <w:t>Von Anfang an sind die Kinder darin einig, daß die Geburt des Kindes durch den Darm erfolgen müsse, das Kind also zum Vorschein komme wie ein Kotballen. Erst nach der Entwertung aller analen Interessen wird diese Theorie verlassen und durch die Annahme ersetzt, daß der Nabel sich öffne oder daß die Region der Brust zwischen beiden Mammae die Geburtsstätte sei. In solcher Weise nähert sich das forschende Kind der Kenntnis der sexuellen Tatsachen oder geht durch seine Unwissenheit beirrt an ihnen vorbei, bis es, meist in den Jahren der Vorpubertät, eine gewöhnlich herabsetzende und unvollständige Aufklärung erfährt, die nicht selten traumatische Wirkungen äußert.</w:t>
      </w:r>
    </w:p>
    <w:p w:rsidR="00062BE4" w:rsidRPr="002F7766" w:rsidRDefault="00062BE4" w:rsidP="00062BE4">
      <w:pPr>
        <w:rPr>
          <w:rFonts w:ascii="Garamond" w:hAnsi="Garamond" w:cs="Arial"/>
          <w:lang w:val="en-GB"/>
        </w:rPr>
      </w:pPr>
      <w:r w:rsidRPr="002F7766">
        <w:rPr>
          <w:rFonts w:ascii="Garamond" w:hAnsi="Garamond" w:cs="Arial"/>
          <w:lang w:val="en-GB"/>
        </w:rPr>
        <w:t xml:space="preserve">Sie werden gewiß gehört haben, meine Herren, daß der Begriff des Sexuellen in der Psychoanalyse eine ungebührliche Erweiterung erleidet, in der Absicht, die Sätze von der sexuellen Verursachung der Neurosen und von der sexuellen Bedeutung der Symptome aufrechtzuerhalten. Sie können nun selbst </w:t>
      </w:r>
      <w:r w:rsidRPr="002F7766">
        <w:rPr>
          <w:rFonts w:ascii="Garamond" w:hAnsi="Garamond" w:cs="Arial"/>
          <w:lang w:val="en-GB"/>
        </w:rPr>
        <w:lastRenderedPageBreak/>
        <w:t>darüber urteilen, ob diese Erweiterung eine unberechtigte ist. Wir haben den Begriff der Sexualität nur soweit ausgedehnt, daß er auch das Sexualleben der Perversen und das der Kinder umfassen kann. Das heißt, wir haben ihm seinen richtigen Umfang wiedergegeben. Was man außerhalb der Psychoanalyse Sexualität heißt, bezieht sich nur auf ein eingeschränktes, im Dienste der Fortpflanzung stehendes und normal genanntes Sexualleben.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21. Vo</w:t>
        </w:r>
        <w:bookmarkStart w:id="288" w:name="Vorlesungen_21"/>
        <w:bookmarkEnd w:id="288"/>
        <w:r w:rsidRPr="009C5A67">
          <w:rPr>
            <w:rStyle w:val="Lienhypertexte"/>
            <w:rFonts w:ascii="Garamond" w:hAnsi="Garamond" w:cs="Arial"/>
            <w:b/>
            <w:bCs/>
            <w:lang w:val="en-GB"/>
          </w:rPr>
          <w:t>rlesung. Libidoentwicklung und Sexualorganisationen</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Herren! Ich stehe unter dem Eindruck, daß es mir nicht gelungen ist, Ihnen die Bedeutung der Perversionen für unsere Auffassung der Sexualität so recht überzeugend nahezubringen. Ich möchte darum bessern und nachtragen, soviel ich nur kann.</w:t>
      </w:r>
    </w:p>
    <w:p w:rsidR="00062BE4" w:rsidRPr="002F7766" w:rsidRDefault="00062BE4" w:rsidP="00062BE4">
      <w:pPr>
        <w:rPr>
          <w:rFonts w:ascii="Garamond" w:hAnsi="Garamond" w:cs="Arial"/>
          <w:lang w:val="en-GB"/>
        </w:rPr>
      </w:pPr>
      <w:r w:rsidRPr="002F7766">
        <w:rPr>
          <w:rFonts w:ascii="Garamond" w:hAnsi="Garamond" w:cs="Arial"/>
          <w:lang w:val="en-GB"/>
        </w:rPr>
        <w:t>Es verhält sich ja nicht so, daß die Perversionen allein uns zu jener Abänderung des Begriffes Sexualität genötigt hätten, welche uns so heftigen Widerspruch eingetragen hat. Das Studium der infantilen Sexualität hat noch mehr dazu getan, und die Übereinstimmung der beiden wurde für uns entscheidend. Aber die Äußerungen der infantilen Sexualität, so unverkennbar sie in den späteren Kinderjahren sein mögen, scheinen sich doch gegen ihre Anfänge hin ins Unbestimmbare zu verflüchtigen. Wer auf Entwicklungsgeschichte und analytischen Zusammenhang nicht achten will, wird ihnen den Charakter des Sexuellen bestreiten und ihnen dafür irgendeinen undifferenzierten Charakter zuerkennen. Vergessen Sie nicht, wir sind derzeit nicht im Besitze eines allgemein anerkannten Kennzeichens für die sexuelle Natur eines Vorganges, es sei denn wiederum die Zugehörigkeit zur Fortpflanzungsfunktion, die wir als zu engherzig ablehnen müssen. Die biologischen Kriterien, wie die von W.Fließ aufgestellten Periodizitäten zu 23 und 28Tagen, sind noch durchaus strittig; die chemischen Eigentümlichkeiten der Sexualvorgänge, die wir vermuten dürfen, harren erst ihrer Entdeckung. Die sexuellen Perversionen der Erwachsenen hingegen sind etwas Greifbares und Unzweideutiges. Wie schon ihre allgemein zugestandene Benennung erweist, sind sie unzweifelhaft Sexualität. Mag man sie Degenerationszeichen oder anders heißen, es hat noch niemand den Mut gefunden, sie anderswohin als zu den Phänomenen des Sexuallebens zu stellen. Um ihretwillen allein sind wir zur Behauptung berechtigt, daß Sexualität und Fortpflanzung nicht zusammenfallen, denn es ist offenkundig, daß sie sämtlich das Ziel der Fortpflanzung verleugnen.</w:t>
      </w:r>
    </w:p>
    <w:p w:rsidR="00062BE4" w:rsidRPr="002F7766" w:rsidRDefault="00062BE4" w:rsidP="00062BE4">
      <w:pPr>
        <w:rPr>
          <w:rFonts w:ascii="Garamond" w:hAnsi="Garamond" w:cs="Arial"/>
          <w:lang w:val="en-GB"/>
        </w:rPr>
      </w:pPr>
      <w:r w:rsidRPr="002F7766">
        <w:rPr>
          <w:rFonts w:ascii="Garamond" w:hAnsi="Garamond" w:cs="Arial"/>
          <w:lang w:val="en-GB"/>
        </w:rPr>
        <w:t>Ich sehe da eine nicht uninteressante Parallele. Während für die meisten »bewußt« und »psychisch« dasselbe ist, waren wir genötigt, eine Erweiterung des Begriffes »psychisch« vorzunehmen und ein Psychisches anzuerkennen, das nicht bewußt ist. Und ganz ähnlich ist es, wenn die anderen »sexuell« und »zur Fortpflanzung gehörig« oder wenn Sie es kürzer sagen wollen: »genital« für identisch erklären, während wir nicht umhin können, ein »sexuell« gelten zu lassen, das nicht »genital« ist, nichts mit der Fortpflanzung zu tun hat. Es ist nur eine formale Ähnlichkeit, aber nicht ohne tiefere Begründung.</w:t>
      </w:r>
    </w:p>
    <w:p w:rsidR="00062BE4" w:rsidRPr="002F7766" w:rsidRDefault="00062BE4" w:rsidP="00062BE4">
      <w:pPr>
        <w:rPr>
          <w:rFonts w:ascii="Garamond" w:hAnsi="Garamond" w:cs="Arial"/>
          <w:lang w:val="en-GB"/>
        </w:rPr>
      </w:pPr>
      <w:r w:rsidRPr="002F7766">
        <w:rPr>
          <w:rFonts w:ascii="Garamond" w:hAnsi="Garamond" w:cs="Arial"/>
          <w:lang w:val="en-GB"/>
        </w:rPr>
        <w:t>Wenn aber die Existenz der sexuellen Perversionen ein so zwingendes Argument in dieser Frage ist, warum hat es nicht bereits längst seine Wirkung getan und diese Frage erledigt? Ich weiß es wirklich nicht zu sagen. Es scheint mir daran zu liegen, daß diese sexuellen Perversionen mit einer ganz besonderen Acht belegt sind, die auf die Theorie übergreift und auch ihrer wissenschaftlichen Würdigung in den Weg tritt. Als ob niemand vergessen könnte, daß sie nicht nur etwas Abscheuliches, sondern auch etwas Ungeheuerliches, Gefährliches sind, als ob man sie für verführerisch hielte und im Grunde einen geheimen Neid gegen die sie Genießenden niederzukämpfen hätte, etwa wie ihn der strafende Landgraf in der berühmten Tannhäuserparodie eingesteht:</w:t>
      </w:r>
    </w:p>
    <w:p w:rsidR="00062BE4" w:rsidRPr="002F7766" w:rsidRDefault="00062BE4" w:rsidP="00062BE4">
      <w:pPr>
        <w:rPr>
          <w:rFonts w:ascii="Garamond" w:hAnsi="Garamond" w:cs="Arial"/>
          <w:lang w:val="en-GB"/>
        </w:rPr>
      </w:pPr>
      <w:r w:rsidRPr="002F7766">
        <w:rPr>
          <w:rFonts w:ascii="Garamond" w:hAnsi="Garamond" w:cs="Arial"/>
          <w:lang w:val="en-GB"/>
        </w:rPr>
        <w:t xml:space="preserve">»Im Venusberg vergaß er Ehr' und Pflicht! </w:t>
      </w:r>
      <w:r w:rsidRPr="002F7766">
        <w:rPr>
          <w:rFonts w:ascii="Garamond" w:hAnsi="Garamond" w:cs="Arial"/>
          <w:lang w:val="en-GB"/>
        </w:rPr>
        <w:br/>
        <w:t>Merkwürdig, unser einem passiert so etwas nicht.«</w:t>
      </w:r>
    </w:p>
    <w:p w:rsidR="00062BE4" w:rsidRPr="002F7766" w:rsidRDefault="00062BE4" w:rsidP="00062BE4">
      <w:pPr>
        <w:rPr>
          <w:rFonts w:ascii="Garamond" w:hAnsi="Garamond" w:cs="Arial"/>
          <w:lang w:val="en-GB"/>
        </w:rPr>
      </w:pPr>
      <w:r w:rsidRPr="002F7766">
        <w:rPr>
          <w:rFonts w:ascii="Garamond" w:hAnsi="Garamond" w:cs="Arial"/>
          <w:lang w:val="en-GB"/>
        </w:rPr>
        <w:t>In Wahrheit sind die Perversen eher arme Teufel, die außerordentlich hart für ihre schwer zu erringende Befriedigung büßen.</w:t>
      </w:r>
    </w:p>
    <w:p w:rsidR="00062BE4" w:rsidRPr="002F7766" w:rsidRDefault="00062BE4" w:rsidP="00062BE4">
      <w:pPr>
        <w:rPr>
          <w:rFonts w:ascii="Garamond" w:hAnsi="Garamond" w:cs="Arial"/>
          <w:lang w:val="en-GB"/>
        </w:rPr>
      </w:pPr>
      <w:r w:rsidRPr="002F7766">
        <w:rPr>
          <w:rFonts w:ascii="Garamond" w:hAnsi="Garamond" w:cs="Arial"/>
          <w:lang w:val="en-GB"/>
        </w:rPr>
        <w:t xml:space="preserve">Was die perverse Betätigung trotz aller Fremdheit des Objektes und der Ziele zu einer so unverkennbar sexuellen macht, ist der Umstand, daß der Akt der perversen Befriedigung doch zumeist in vollen Orgasmus und in Entleerung der Genitalprodukte ausgeht. Das ist natürlich nur die Folge der </w:t>
      </w:r>
      <w:r w:rsidRPr="002F7766">
        <w:rPr>
          <w:rFonts w:ascii="Garamond" w:hAnsi="Garamond" w:cs="Arial"/>
          <w:lang w:val="en-GB"/>
        </w:rPr>
        <w:lastRenderedPageBreak/>
        <w:t>Erwachsenheit der Personen; beim Kinde sind Orgasmus und Genitalexkretion nicht gut möglich, sie werden durch Andeutungen ersetzt, die wiederum nicht als sicher sexuell anerkannt werden.</w:t>
      </w:r>
    </w:p>
    <w:p w:rsidR="00062BE4" w:rsidRPr="002F7766" w:rsidRDefault="00062BE4" w:rsidP="00062BE4">
      <w:pPr>
        <w:rPr>
          <w:rFonts w:ascii="Garamond" w:hAnsi="Garamond" w:cs="Arial"/>
          <w:lang w:val="en-GB"/>
        </w:rPr>
      </w:pPr>
      <w:r w:rsidRPr="002F7766">
        <w:rPr>
          <w:rFonts w:ascii="Garamond" w:hAnsi="Garamond" w:cs="Arial"/>
          <w:lang w:val="en-GB"/>
        </w:rPr>
        <w:t>Ich muß noch etwas hinzufügen, um die Würdigung der sexuellen Perversionen zu vervollständigen. So verrufen sie auch sein mögen, so scharf man sie auch der normalen Sexualbetätigung gegenüberstellt, so zeigt doch die bequeme Beobachtung, daß dem Sexualleben der Normalen nur selten der eine oder andere perverse Zug abgeht. Schon der Kuß hat Anspruch auf den Namen eines perversen Aktes, denn er besteht in der Vereinigung zweier erogener Mundzonen an Stelle der beiderlei Genitalien. Aber niemand verwirft ihn als pervers, er wird im Gegenteil in der Bühnendarstellung als gemilderte Andeutung des Sexualaktes zugelassen. Gerade das Küssen kann aber leicht zur vollen Perversion werden, wenn es nämlich so intensiv ausfällt, daß sich Genitalentladung und Orgasmus direkt daranschließen, was gar nicht so selten vorkommt. Im übrigen kann man erfahren, daß Betasten und Beschauen des Objektes für den einen unentbehrliche Bedingungen des Sexualgenusses sind, daß ein anderer auf der Höhe der sexuellen Erregung kneift oder beißt, daß die größte Erregtheit beim Liebenden nicht immer durch das Genitale, sondern durch eine andere Körperregion des Objektes hervorgerufen wird, und ähnliches in beliebiger Auswahl mehr. Es hat gar keinen Sinn, Personen mit einzelnen solchen Zügen aus der Reihe der Normalen auszuscheiden und zu den Perversen zu stellen, vielmehr erkennt man immer deutlicher, daß das Wesentliche der Perversionen nicht in der Überschreitung des Sexualzieles, nicht in der Ersetzung der Genitalien, ja nicht einmal immer in der Variation des Objektes besteht, sondern allein in der Ausschließlichkeit, mit welcher sich diese Abweichungen vollziehen und durch welche der der Fortpflanzung dienende Sexualakt beiseite geschoben wird. Sowie sich die perversen Handlungen als vorbereitende oder als verstärkende Beiträge in die Herbeiführung des normalen Sexualaktes einfügen, sind sie eigentlich keine Perversionen mehr. Natürlich wird die Kluft zwischen der normalen und der perversen Sexualität durch Tatsachen dieser Art sehr verringert. Es ergibt sich ungezwungen, daß die normale Sexualität aus etwas hervorgeht, was vor ihr bestanden hat, indem sie einzelne Züge dieses Materials als unbrauchbar ausscheidet und die anderen zusammenfaßt, um sie einem neuen, dem Fortpflanzungsziel, unterzuordnen.</w:t>
      </w:r>
    </w:p>
    <w:p w:rsidR="00062BE4" w:rsidRPr="002F7766" w:rsidRDefault="00062BE4" w:rsidP="00062BE4">
      <w:pPr>
        <w:rPr>
          <w:rFonts w:ascii="Garamond" w:hAnsi="Garamond" w:cs="Arial"/>
          <w:lang w:val="en-GB"/>
        </w:rPr>
      </w:pPr>
      <w:r w:rsidRPr="002F7766">
        <w:rPr>
          <w:rFonts w:ascii="Garamond" w:hAnsi="Garamond" w:cs="Arial"/>
          <w:lang w:val="en-GB"/>
        </w:rPr>
        <w:t>Ehe wir unsere Vertrautheit mit den Perversionen dazu verwenden, um uns mit geklärten Voraussetzungen neuerlich in das Studium der infantilen Sexualität zu vertiefen, muß ich Sie auf einen wichtigen Unterschied zwischen beiden aufmerksam machen. Die perverse Sexualität ist in der Regel ausgezeichnet zentriert, alles Tun drängt zu einem meist zu einem einzigen Ziel, ein Partialtrieb hat bei ihr die Oberhand, er ist entweder der einzig nachweisbare oder hat die anderen seinen Absichten unterworfen. In dieser Hinsicht ist zwischen der perversen und der normalen Sexualität kein anderer Unterschied, als daß die herrschenden Partialtriebe und somit die Sexualziele verschiedene sind. Es ist sozusagen hier wie dort eine gut organisierte Tyrannis, nur daß hier die eine, dort eine andere Familie die Herrschaft an sich gerissen hat. Die infantile Sexualität ist dagegen im großen und ganzen ohne solche Zentrierung und Organisation, ihre einzelnen Partialtriebe sind gleichberechtigt, ein jeder geht auf eigene Faust dem Lusterwerb nach. Der Mangel wie die Anwesenheit der Zentrierung stimmen natürlich gut zu der Tatsache, daß beide, die perverse wie die normale Sexualität aus der infantilen hervorgegangen sind. Es gibt übrigens auch Fälle von perverser Sexualität, die weit mehr Ähnlichkeit mit der infantilen haben, indem sich zahlreiche Partialtriebe unabhängig voneinander mit ihren Zielen durchgesetzt oder besser: fortgesetzt haben. Man spricht in diesen Fällen richtiger von Infantilismus des Sexuallebens als von Perversion.</w:t>
      </w:r>
    </w:p>
    <w:p w:rsidR="00062BE4" w:rsidRPr="00062BE4" w:rsidRDefault="00062BE4" w:rsidP="00062BE4">
      <w:pPr>
        <w:rPr>
          <w:rFonts w:ascii="Garamond" w:hAnsi="Garamond" w:cs="Arial"/>
          <w:lang w:val="en-US"/>
        </w:rPr>
      </w:pPr>
      <w:r w:rsidRPr="002F7766">
        <w:rPr>
          <w:rFonts w:ascii="Garamond" w:hAnsi="Garamond" w:cs="Arial"/>
          <w:lang w:val="en-GB"/>
        </w:rPr>
        <w:t xml:space="preserve">So vorbereitet können wir an die Erörterung eines Vorschlages gehen, der uns sicherlich nicht erspart werden wird. Man wird uns sagen: Warum steifen Sie sich darauf, die nach ihrem eigenen Zeugnis unbestimmbaren Äußerungen der Kindheit, aus denen später Sexuelles wird, auch schon Sexualität zu nennen? Warum wollen Sie sich nicht lieber mit der physiologischen Beschreibung begnügen und einfach sagen, beim Säugling beobachte man bereits Tätigkeiten, wie das Lutschen oder das Zurückhalten der </w:t>
      </w:r>
      <w:r w:rsidRPr="002F7766">
        <w:rPr>
          <w:rFonts w:ascii="Garamond" w:hAnsi="Garamond" w:cs="Arial"/>
          <w:lang w:val="en-GB"/>
        </w:rPr>
        <w:lastRenderedPageBreak/>
        <w:t xml:space="preserve">Exkremente, die uns zeigen, daß er nach </w:t>
      </w:r>
      <w:r w:rsidRPr="002F7766">
        <w:rPr>
          <w:rFonts w:ascii="Garamond" w:hAnsi="Garamond" w:cs="Arial"/>
          <w:i/>
          <w:iCs/>
          <w:lang w:val="en-GB"/>
        </w:rPr>
        <w:t>Organlust</w:t>
      </w:r>
      <w:r w:rsidRPr="002F7766">
        <w:rPr>
          <w:rFonts w:ascii="Garamond" w:hAnsi="Garamond" w:cs="Arial"/>
          <w:lang w:val="en-GB"/>
        </w:rPr>
        <w:t xml:space="preserve"> strebt? Dadurch würden Sie doch die jedes Gefühl beleidigende Aufstellung eines Sexuallebens für das kleinste Kind vermieden haben. Ja, meine Herren, ich habe gar nichts gegen die Organlust einzuwenden; ich weiß, daß die höchste Lust der sexuellen Vereinigung auch nur eine an die Tätigkeit der Genitalien gebundene Organlust ist. Aber können Sie mir sagen, wann diese ursprünglich indifferente Organlust den sexuellen Charakter bekommt, den sie in späteren Phasen der Entwicklung unzweifelhaft besitzt? </w:t>
      </w:r>
      <w:r w:rsidRPr="002F7766">
        <w:rPr>
          <w:rFonts w:ascii="Garamond" w:hAnsi="Garamond" w:cs="Arial"/>
        </w:rPr>
        <w:t xml:space="preserve">Wissen wir von der »Organlust« mehr als von der Sexualität? </w:t>
      </w:r>
      <w:r w:rsidRPr="00062BE4">
        <w:rPr>
          <w:rFonts w:ascii="Garamond" w:hAnsi="Garamond" w:cs="Arial"/>
          <w:lang w:val="en-US"/>
        </w:rPr>
        <w:t>Sie werden antworten, der sexuelle Charakter käme eben hinzu, wenn die Genitalien ihre Rolle zu spielen beginnen; sexuell deckt sich mit genital. Sie werden selbst die Einwendung der Perversionen ablehnen, indem Sie mir vorhalten, daß es bei den meisten Perversionen doch auf die Erzielung des genitalen Orgasmus ankomme, wenn auch auf einem anderen Wege als durch die Vereinigung der Genitalien. Sie schaffen sich wirklich eine weit bessere Position, wenn Sie aus der Charakteristik des Sexuellen die infolge der Perversionen unhaltbare Beziehung zur Fortpflanzung streichen und dafür die Genitaltätigkeit voranstellen. Aber dann sind wir nicht mehr weit auseinander; es stehen einfach die Genitalorgane gegen die anderen Organe. Was machen Sie nun aber gegen die vielfachen Erfahrungen, die Ihnen zeigen, daß die Genitalien für die Lustgewinnung durch andere Organe vertreten werden können, wie beim normalen Kuß, wie in den perversen Praktiken der Lebewelt, wie in der Symptomatik der Hysterie? Bei dieser Neurose ist es ganz gewöhnlich, daß Reizerscheinungen, Sensationen und Innervationen, selbst die Vorgänge der Erektion, die an den Genitalien daheim sind, auf andere entfernte Körperregionen verschoben werden (z.B. bei der Verlegung nach oben auf Kopf und Gesicht). In solcher Weise überführt, daß Sie nichts haben, was Sie zur Charakteristik Ihres Sexuellen festhalten können, werden Sie sich wohl entschließen müssen, meinem Beispiel zu folgen und die Bezeichnung »sexuell« auch auf die nach Organlust strebenden Betätigungen der frühen Kindheit auszudehnen.</w:t>
      </w:r>
    </w:p>
    <w:p w:rsidR="00062BE4" w:rsidRPr="002F7766" w:rsidRDefault="00062BE4" w:rsidP="00062BE4">
      <w:pPr>
        <w:rPr>
          <w:rFonts w:ascii="Garamond" w:hAnsi="Garamond" w:cs="Arial"/>
          <w:lang w:val="en-GB"/>
        </w:rPr>
      </w:pPr>
      <w:r w:rsidRPr="002F7766">
        <w:rPr>
          <w:rFonts w:ascii="Garamond" w:hAnsi="Garamond" w:cs="Arial"/>
          <w:lang w:val="en-GB"/>
        </w:rPr>
        <w:t xml:space="preserve">Und nun wollen Sie zu meiner Rechtfertigung noch zwei weiteren Erwägungen Raum geben. Wie Sie wissen, heißen wir die zweifelhaften und unbestimmbaren Lustbetätigungen der frühesten Kindheit sexuell, weil wir auf dem Wege der Analyse von den Symptomen aus über unbestreitbar sexuelles Material zu ihnen gelangen. </w:t>
      </w:r>
      <w:r w:rsidRPr="002F7766">
        <w:rPr>
          <w:rFonts w:ascii="Garamond" w:hAnsi="Garamond" w:cs="Arial"/>
        </w:rPr>
        <w:t xml:space="preserve">Es müßte nicht darum auch selbst sexuell sein, zugestanden. Aber nehmen Sie einen analogen Fall. Stellen Sie sich vor, wir hätten keinen Weg, die Entwicklung zweier dikotyledonen Pflanzen, des Apfelbaumes und der Bohne, aus ihren Samen zu beobachten, aber es sei uns in beiden Fällen möglich, ihre Entwicklung vom voll ausgebildeten pflanzlichen Individuum bis zum ersten Keimling mit zwei Keimblättern rückschreitend zu verfolgen. </w:t>
      </w:r>
      <w:r w:rsidRPr="002F7766">
        <w:rPr>
          <w:rFonts w:ascii="Garamond" w:hAnsi="Garamond" w:cs="Arial"/>
          <w:lang w:val="en-GB"/>
        </w:rPr>
        <w:t>Die beiden Keimblättchen sehen indifferent aus, sind in beiden Fällen ganz gleichartig. Werde ich darum annehmen, daß sie wirklich gleichartig sind und daß die spezifische Differenz zwischen Apfelbaum und Bohne erst später in die Vegetation eintritt? Oder ist es biologisch korrekter zu glauben, daß diese Differenz schon im Keimling vorhanden ist, obwohl ich den Keimblättern eine Verschiedenheit nicht ansehen kann. Dasselbe tun wir aber, wenn wir die Lust bei Säuglingsbetätigungen eine sexuelle heißen. Ob alle und jede Organlust eine sexuelle genannt werden darf oder ob es neben der sexuellen eine andere gibt, welche diesen Namen nicht verdient, das kann ich hier nicht diskutieren. Ich weiß zu wenig von der Organlust und von ihren Bedingungen und darf mich bei dem rückschreitenden Charakter der Analyse überhaupt nicht verwundern, wenn ich am letzten Ende bei derzeit unbestimmbaren Momenten anlange.</w:t>
      </w:r>
    </w:p>
    <w:p w:rsidR="00062BE4" w:rsidRPr="002F7766" w:rsidRDefault="00062BE4" w:rsidP="00062BE4">
      <w:pPr>
        <w:rPr>
          <w:rFonts w:ascii="Garamond" w:hAnsi="Garamond" w:cs="Arial"/>
          <w:lang w:val="en-GB"/>
        </w:rPr>
      </w:pPr>
      <w:r w:rsidRPr="002F7766">
        <w:rPr>
          <w:rFonts w:ascii="Garamond" w:hAnsi="Garamond" w:cs="Arial"/>
          <w:lang w:val="en-GB"/>
        </w:rPr>
        <w:t xml:space="preserve">Und noch eins! Sie haben im ganzen für das, was Sie behaupten wollen, für die sexuelle Reinheit des Kindes, sehr wenig gewonnen, auch wenn Sie mich davon überzeugen können, daß die Säuglingsbetätigungen besser als nicht sexuelle eingeschätzt werden sollen. Denn schon vom dritten Lebensjahre an ist das Sexualleben des Kindes all diesen Zweifeln entzogen; um diese Zeit beginnen bereits die Genitalien sich zu regen, es ergibt sich vielleicht regelmäßig eine Periode von infantiler Masturbation, also Genitalbefriedigung. Die seelischen und sozialen Äußerungen des Sexuallebens brauchen nicht mehr vermißt zu werden; Objektwahl, zärtliche Bevorzugung einzelner Personen, ja Entscheidung für eines der beiden Geschlechter, Eifersucht, sind durch unparteiische Beobachtungen </w:t>
      </w:r>
      <w:r w:rsidRPr="002F7766">
        <w:rPr>
          <w:rFonts w:ascii="Garamond" w:hAnsi="Garamond" w:cs="Arial"/>
          <w:lang w:val="en-GB"/>
        </w:rPr>
        <w:lastRenderedPageBreak/>
        <w:t>unabhängig und vor der Zeit der Psychoanalyse festgestellt worden und können von jedem Beobachter, der es sehen will, bestätigt werden. Sie werden einwenden, an dem frühen Erwachen der Zärtlichkeit haben Sie nicht gezweifelt, nur daran, daß diese Zärtlichkeit den »sexuellen« Charakter trägt. Diesen zu verbergen haben die Kinder allerdings zwischen drei und acht Jahren bereits gelernt, aber wenn Sie aufmerksam sind, können Sie für die »sinnlichen« Absichten dieser Zärtlichkeit immerhin genug Beweise sammeln, und was Ihnen dann noch abgeht, werden die analytischen Ausforschungen mühelos in reichem Maße ergeben. Die Sexualziele dieser Lebenszeit stehen in innigstem Zusammenhang mit der gleichzeitigen Sexualforschung, von der ich Ihnen einige Proben gegeben habe. Der perverse Charakter einiger dieser Ziele hängt natürlich von der konstitutionellen Unreife des Kindes ab, welches das Ziel des Begattungsaktes noch nicht entdeckt hat.</w:t>
      </w:r>
    </w:p>
    <w:p w:rsidR="00062BE4" w:rsidRPr="002F7766" w:rsidRDefault="00062BE4" w:rsidP="00062BE4">
      <w:pPr>
        <w:rPr>
          <w:rFonts w:ascii="Garamond" w:hAnsi="Garamond" w:cs="Arial"/>
          <w:lang w:val="en-GB"/>
        </w:rPr>
      </w:pPr>
      <w:r w:rsidRPr="002F7766">
        <w:rPr>
          <w:rFonts w:ascii="Garamond" w:hAnsi="Garamond" w:cs="Arial"/>
          <w:lang w:val="en-GB"/>
        </w:rPr>
        <w:t>Etwa vom sechsten bis achten Lebensjahr an macht sich ein Stillstand und Rückgang in der Sexualentwicklung bemerkbar, der in den kulturell günstigsten Fällen den Namen einer Latenzzeit verdient. Die Latenzzeit kann auch entfallen, sie braucht keine Unterbrechung der Sexualbetätigung und der Sexualinteressen auf der ganzen Linie mit sich zu bringen. Die meisten Erlebnisse und seelischen Regungen vor dem Eintritt der Latenzzeit verfallen dann der infantilen Amnesie, dem bereits erörterten Vergessen, welches unsere erste Jugend verhüllt und uns ihr entfremdet. In jeder Psychoanalyse stellt sich die Aufgabe her, diese vergessene Lebensperiode in die Erinnerung zurückzuführen; man kann sich der Vermutung nicht erwehren, daß die in ihr enthaltenen Anfänge des Sexuallebens das Motiv zu diesem Vergessen ergeben haben, daß dies Vergessen also ein Erfolg der Verdrängung ist.</w:t>
      </w:r>
    </w:p>
    <w:p w:rsidR="00062BE4" w:rsidRPr="002F7766" w:rsidRDefault="00062BE4" w:rsidP="00062BE4">
      <w:pPr>
        <w:rPr>
          <w:rFonts w:ascii="Garamond" w:hAnsi="Garamond" w:cs="Arial"/>
          <w:lang w:val="en-GB"/>
        </w:rPr>
      </w:pPr>
      <w:r w:rsidRPr="002F7766">
        <w:rPr>
          <w:rFonts w:ascii="Garamond" w:hAnsi="Garamond" w:cs="Arial"/>
          <w:lang w:val="en-GB"/>
        </w:rPr>
        <w:t>Das Sexualleben des Kindes zeigt vom dritten Lebensjahr an viel Übereinstimmung mit dem des Erwachsenen; es unterscheidet sich von dem letzteren, wie wir bereits wissen, durch den Mangel einer festen Organisation unter dem Primat der Genitalien, durch die unvermeidlichen Züge von Perversion und natürlich auch durch weit geringere Intensität der ganzen Strebung. Aber die für die Theorie interessantesten Phasen der Sexual-, oder wie wir sagen wollen, der Libidoentwicklung, liegen hinter diesem Zeitpunkt. Diese Entwicklung wird so rasch durchlaufen, daß es der direkten Beobachtung wahrscheinlich niemals gelungen wäre, ihre flüchtigen Bilder festzuhalten. Erst mit Hilfe der psychoanalytischen Durchforschung der Neurosen ist es möglich geworden, noch weiter zurückliegende Phasen der Libidoentwicklung zu erraten. Es sind dies gewiß nichts anderes als Konstruktionen, aber wenn Sie die Psychoanalyse praktisch betreiben, werden Sie finden, daß es notwendige und nutzbringende Konstruktionen sind. Wie es zugeht, daß die Pathologie uns hier Verhältnisse verraten kann, welche wir am normalen Objekt übersehen müssen, werden Sie bald verstehen.</w:t>
      </w:r>
    </w:p>
    <w:p w:rsidR="00062BE4" w:rsidRPr="002F7766" w:rsidRDefault="00062BE4" w:rsidP="00062BE4">
      <w:pPr>
        <w:rPr>
          <w:rFonts w:ascii="Garamond" w:hAnsi="Garamond" w:cs="Arial"/>
          <w:lang w:val="en-GB"/>
        </w:rPr>
      </w:pPr>
      <w:r w:rsidRPr="002F7766">
        <w:rPr>
          <w:rFonts w:ascii="Garamond" w:hAnsi="Garamond" w:cs="Arial"/>
          <w:lang w:val="en-GB"/>
        </w:rPr>
        <w:t xml:space="preserve">Wir können also jetzt angeben, wie sich das Sexualleben des Kindes gestaltet, ehe der Primat der Genitalien hergestellt ist, der sich in der ersten infantilen Epoche vor der Latenzzeit vorbereitet und von der Pubertät an dauernd organisiert. Es besteht in dieser Vorzeit eine Art von lockerer Organisation, die wir </w:t>
      </w:r>
      <w:r w:rsidRPr="002F7766">
        <w:rPr>
          <w:rFonts w:ascii="Garamond" w:hAnsi="Garamond" w:cs="Arial"/>
          <w:i/>
          <w:iCs/>
          <w:lang w:val="en-GB"/>
        </w:rPr>
        <w:t>prägenital</w:t>
      </w:r>
      <w:r w:rsidRPr="002F7766">
        <w:rPr>
          <w:rFonts w:ascii="Garamond" w:hAnsi="Garamond" w:cs="Arial"/>
          <w:lang w:val="en-GB"/>
        </w:rPr>
        <w:t xml:space="preserve"> nennen wollen. Im Vordergrunde dieser Phase stehen aber nicht die genitalen Partialtriebe, sondern die </w:t>
      </w:r>
      <w:r w:rsidRPr="002F7766">
        <w:rPr>
          <w:rFonts w:ascii="Garamond" w:hAnsi="Garamond" w:cs="Arial"/>
          <w:i/>
          <w:iCs/>
          <w:lang w:val="en-GB"/>
        </w:rPr>
        <w:t>sadistischen</w:t>
      </w:r>
      <w:r w:rsidRPr="002F7766">
        <w:rPr>
          <w:rFonts w:ascii="Garamond" w:hAnsi="Garamond" w:cs="Arial"/>
          <w:lang w:val="en-GB"/>
        </w:rPr>
        <w:t xml:space="preserve"> und </w:t>
      </w:r>
      <w:r w:rsidRPr="002F7766">
        <w:rPr>
          <w:rFonts w:ascii="Garamond" w:hAnsi="Garamond" w:cs="Arial"/>
          <w:i/>
          <w:iCs/>
          <w:lang w:val="en-GB"/>
        </w:rPr>
        <w:t>analen</w:t>
      </w:r>
      <w:r w:rsidRPr="002F7766">
        <w:rPr>
          <w:rFonts w:ascii="Garamond" w:hAnsi="Garamond" w:cs="Arial"/>
          <w:lang w:val="en-GB"/>
        </w:rPr>
        <w:t xml:space="preserve">. Der Gegensatz von </w:t>
      </w:r>
      <w:r w:rsidRPr="002F7766">
        <w:rPr>
          <w:rFonts w:ascii="Garamond" w:hAnsi="Garamond" w:cs="Arial"/>
          <w:i/>
          <w:iCs/>
          <w:lang w:val="en-GB"/>
        </w:rPr>
        <w:t>männlich</w:t>
      </w:r>
      <w:r w:rsidRPr="002F7766">
        <w:rPr>
          <w:rFonts w:ascii="Garamond" w:hAnsi="Garamond" w:cs="Arial"/>
          <w:lang w:val="en-GB"/>
        </w:rPr>
        <w:t xml:space="preserve"> und </w:t>
      </w:r>
      <w:r w:rsidRPr="002F7766">
        <w:rPr>
          <w:rFonts w:ascii="Garamond" w:hAnsi="Garamond" w:cs="Arial"/>
          <w:i/>
          <w:iCs/>
          <w:lang w:val="en-GB"/>
        </w:rPr>
        <w:t>weiblich</w:t>
      </w:r>
      <w:r w:rsidRPr="002F7766">
        <w:rPr>
          <w:rFonts w:ascii="Garamond" w:hAnsi="Garamond" w:cs="Arial"/>
          <w:lang w:val="en-GB"/>
        </w:rPr>
        <w:t xml:space="preserve"> spielt hier noch keine Rolle; seine Stelle nimmt der Gegensatz zwischen </w:t>
      </w:r>
      <w:r w:rsidRPr="002F7766">
        <w:rPr>
          <w:rFonts w:ascii="Garamond" w:hAnsi="Garamond" w:cs="Arial"/>
          <w:i/>
          <w:iCs/>
          <w:lang w:val="en-GB"/>
        </w:rPr>
        <w:t>aktiv</w:t>
      </w:r>
      <w:r w:rsidRPr="002F7766">
        <w:rPr>
          <w:rFonts w:ascii="Garamond" w:hAnsi="Garamond" w:cs="Arial"/>
          <w:lang w:val="en-GB"/>
        </w:rPr>
        <w:t xml:space="preserve"> und </w:t>
      </w:r>
      <w:r w:rsidRPr="002F7766">
        <w:rPr>
          <w:rFonts w:ascii="Garamond" w:hAnsi="Garamond" w:cs="Arial"/>
          <w:i/>
          <w:iCs/>
          <w:lang w:val="en-GB"/>
        </w:rPr>
        <w:t>passiv</w:t>
      </w:r>
      <w:r w:rsidRPr="002F7766">
        <w:rPr>
          <w:rFonts w:ascii="Garamond" w:hAnsi="Garamond" w:cs="Arial"/>
          <w:lang w:val="en-GB"/>
        </w:rPr>
        <w:t xml:space="preserve"> ein, den man als den Vorläufer der sexuellen Polarität bezeichnen kann, mit welcher er sich auch späterhin verlötet. Was uns an den Betätigungen dieser Phase als männlich erscheint, wenn wir sie von der Genitalphase her betrachten, erweist sich als Ausdruck eines Bemächtigungstriebes, der leicht ins Grausame übergreift. Strebungen mit passivem Ziel knüpfen sich an die um diese Zeit sehr bedeutsame erogene Zone des Darmausganges. Schau- und Wißtrieb regen sich kräftig; das Genitale nimmt am Sexualleben eigentlich nur in seiner Rolle als Exkretionsorgan für den Harn Anteil. Es fehlt den Partialtrieben dieser Phase nicht an Objekten, aber diese Objekte fallen nicht notwendig zu einem Objekt zusammen. </w:t>
      </w:r>
      <w:r w:rsidRPr="002F7766">
        <w:rPr>
          <w:rFonts w:ascii="Garamond" w:hAnsi="Garamond" w:cs="Arial"/>
        </w:rPr>
        <w:t xml:space="preserve">Die sadistisch-anale Organisation ist die nächste Vorstufe für die Phase des Genitalprimats. Ein eingehenderes Studium weist nach, wieviel von ihr für die spätere endgültige Gestaltung erhalten bleibt und auf welchen Wegen ihre Partialtriebe zur Einreihung in die neue Genitalorganisation genötigt werden. </w:t>
      </w:r>
      <w:r w:rsidRPr="002F7766">
        <w:rPr>
          <w:rFonts w:ascii="Garamond" w:hAnsi="Garamond" w:cs="Arial"/>
          <w:lang w:val="en-GB"/>
        </w:rPr>
        <w:t xml:space="preserve">Hinter der sadistisch-analen Phase der </w:t>
      </w:r>
      <w:r w:rsidRPr="002F7766">
        <w:rPr>
          <w:rFonts w:ascii="Garamond" w:hAnsi="Garamond" w:cs="Arial"/>
          <w:lang w:val="en-GB"/>
        </w:rPr>
        <w:lastRenderedPageBreak/>
        <w:t>Libidoentwicklung gewinnen wir noch den Ausblick auf eine frühere, noch mehr primitive Organisationsstufe, auf welcher die erogene Mundzone die Hauptrolle spielt. Sie können erraten, daß die Sexualbetätigung des Lutschens ihr angehört, und dürfen das Verständnis der alten Ägypter bewundern, deren Kunst das Kind, auch den göttlichen Horus, durch den Finger im Munde charakterisiert. Abraham hat erst kürzlich Mitteilungen darüber gemacht, welche Spuren diese primitive orale Phase für das Sexualleben späterer Jahre hinterläßt.</w:t>
      </w:r>
    </w:p>
    <w:p w:rsidR="00062BE4" w:rsidRPr="002F7766" w:rsidRDefault="00062BE4" w:rsidP="00062BE4">
      <w:pPr>
        <w:rPr>
          <w:rFonts w:ascii="Garamond" w:hAnsi="Garamond" w:cs="Arial"/>
          <w:lang w:val="en-GB"/>
        </w:rPr>
      </w:pPr>
      <w:r w:rsidRPr="002F7766">
        <w:rPr>
          <w:rFonts w:ascii="Garamond" w:hAnsi="Garamond" w:cs="Arial"/>
          <w:lang w:val="en-GB"/>
        </w:rPr>
        <w:t>Meine Herren! Ich kann ja vermuten, daß die letzten Mitteilungen über die Sexualorganisationen Ihnen mehr Belastung als Belehrung gebracht haben. Vielleicht bin ich auch wieder zu weit in Einzelheiten eingegangen. Aber haben Sie Geduld; was Sie da gehört haben, wird Ihnen durch spätere Verwendung wertvoller werden. Halten Sie für jetzt an dem Eindruck fest, daß das Sexualleben wie wir sagen: die Libidofunktion nicht als etwas Fertiges auftritt, auch nicht in seiner eigenen Ähnlichkeit weiterwächst, sondern eine Reihe von aufeinanderfolgenden Phasen durchmacht, die einander nicht gleichsehen, daß es also eine mehrmals wiederholte Entwicklung ist wie von der Raupe zum Schmetterling. Wendepunkt der Entwicklung ist die Unterordnung aller sexuellen Partialtriebe unter den Primat der Genitalien und damit die Unterwerfung der Sexualität unter die Fortpflanzungsfunktion. Vorher ein sozusagen zerfahrenes Sexualleben, selbständige Betätigung der einzelnen nach Organlust strebenden Partialtriebe. Diese Anarchie gemildert durch Ansätze zu »prägenitalen« Organisationen, zunächst die sadistisch-anale Phase, hinter ihr die orale, vielleicht die primitivste. Dazu die verschiedenen, noch ungenau bekannten Prozesse, welche die eine Organisationsstufe in die spätere und nächsthöhere überführen. Welche Bedeutung es für die Einsicht in die Neurosen hat, daß die Libido einen so langen und absatzreichen Entwicklungsweg zurücklegt, werden wir ein nächstes Mal erfahren.</w:t>
      </w:r>
    </w:p>
    <w:p w:rsidR="00062BE4" w:rsidRPr="002F7766" w:rsidRDefault="00062BE4" w:rsidP="00062BE4">
      <w:pPr>
        <w:rPr>
          <w:rFonts w:ascii="Garamond" w:hAnsi="Garamond" w:cs="Arial"/>
          <w:lang w:val="en-GB"/>
        </w:rPr>
      </w:pPr>
      <w:r w:rsidRPr="002F7766">
        <w:rPr>
          <w:rFonts w:ascii="Garamond" w:hAnsi="Garamond" w:cs="Arial"/>
          <w:lang w:val="en-GB"/>
        </w:rPr>
        <w:t xml:space="preserve">Heute werden wir noch eine andere Seite dieser Entwicklung verfolgen, nämlich die Beziehung der sexuellen Partialtriebe zum Objekt. Vielmehr wir werden einen flüchtigen Überblick über diese Entwicklung nehmen, um bei einem ziemlich späten Ergebnis derselben länger zu verweilen. Also einige der Komponenten des Sexualtriebes haben von vorneherein ein Objekt und halten es fest, so der Bemächtigungstrieb (Sadismus), der Schau- und Wißtrieb. Andere, die deutlicher an bestimmte erogene Körperzonen geknüpft sind, haben es nur im Anfang, solange sie sich noch an die nicht sexuellen Funktionen anlehnen, und geben es auf, wenn sie sich von diesen loslösen. So ist das erste Objekt der oralen Komponente des Sexualtriebes die Mutterbrust, welche das Nahrungsbedürfnis des Säuglings befriedigt. Im Akte des Lutschens macht sich die beim Saugen mitbefriedigte erotische Komponente selbständig, gibt das fremde Objekt auf und ersetzt es durch eine Stelle am eigenen Körper. Der orale Trieb wird </w:t>
      </w:r>
      <w:r w:rsidRPr="002F7766">
        <w:rPr>
          <w:rFonts w:ascii="Garamond" w:hAnsi="Garamond" w:cs="Arial"/>
          <w:i/>
          <w:iCs/>
          <w:lang w:val="en-GB"/>
        </w:rPr>
        <w:t>autoerotisch</w:t>
      </w:r>
      <w:r w:rsidRPr="002F7766">
        <w:rPr>
          <w:rFonts w:ascii="Garamond" w:hAnsi="Garamond" w:cs="Arial"/>
          <w:lang w:val="en-GB"/>
        </w:rPr>
        <w:t>, wie es die analen und die anderen erogenen Triebe von vornherein sind. Die weitere Entwicklung hat, um es aufs knappste auszudrücken, zwei Ziele: erstens den Autoerotismus zu verlassen, das Objekt am eigenen Körper wiederum gegen ein fremdes Objekt zu vertauschen, und zweitens: die verschiedenen Objekte der einzelnen Triebe zu unifizieren, durch ein einziges Objekt zu ersetzen. Das kann natürlich nur gelingen, wenn dies eine Objekt wiederum ein ganzer, dem eigenen ähnlicher Körper ist. Es kann sich auch nicht vollziehen, ohne daß eine Anzahl der autoerotischen Triebregungen als unbrauchbar zurückgelassen wird.</w:t>
      </w:r>
    </w:p>
    <w:p w:rsidR="00062BE4" w:rsidRPr="002F7766" w:rsidRDefault="00062BE4" w:rsidP="00062BE4">
      <w:pPr>
        <w:rPr>
          <w:rFonts w:ascii="Garamond" w:hAnsi="Garamond" w:cs="Arial"/>
          <w:lang w:val="en-GB"/>
        </w:rPr>
      </w:pPr>
      <w:r w:rsidRPr="002F7766">
        <w:rPr>
          <w:rFonts w:ascii="Garamond" w:hAnsi="Garamond" w:cs="Arial"/>
          <w:lang w:val="en-GB"/>
        </w:rPr>
        <w:t xml:space="preserve">Die Prozesse der Objektfindung sind ziemlich verwickelt, haben bisher auch noch keine übersichtliche Darstellung gefunden. Heben wir für unsere Absicht hervor, daß, wenn der Prozeß in den Kinderjahren vor der Latenzzeit einen gewissen Abschluß erreicht hat, das gefundene Objekt sich als fast identisch erweist mit dem ersten, durch Anlehnung gewonnenen Objekt des oralen Lusttriebes. Es ist, wenn auch nicht die Mutterbrust, so doch die Mutter. Wir nennen die Mutter das erste </w:t>
      </w:r>
      <w:r w:rsidRPr="002F7766">
        <w:rPr>
          <w:rFonts w:ascii="Garamond" w:hAnsi="Garamond" w:cs="Arial"/>
          <w:i/>
          <w:iCs/>
          <w:lang w:val="en-GB"/>
        </w:rPr>
        <w:t>Liebes</w:t>
      </w:r>
      <w:r w:rsidRPr="002F7766">
        <w:rPr>
          <w:rFonts w:ascii="Garamond" w:hAnsi="Garamond" w:cs="Arial"/>
          <w:lang w:val="en-GB"/>
        </w:rPr>
        <w:t xml:space="preserve">objekt. Von Liebe sprechen wir nämlich, wenn wir die seelische Seite der Sexualstrebungen in den Vordergrund rücken und die zugrundeliegenden körperlichen oder »sinnlichen« Triebanforderungen zurückdrängen oder für einen Moment vergessen wollen. Um die Zeit, da die Mutter Liebesobjekt wird, hat auch bereits beim Kinde die psychische Arbeit der Verdrängung begonnen, welche seinem Wissen die Kenntnis eines Teiles seiner </w:t>
      </w:r>
      <w:r w:rsidRPr="002F7766">
        <w:rPr>
          <w:rFonts w:ascii="Garamond" w:hAnsi="Garamond" w:cs="Arial"/>
          <w:lang w:val="en-GB"/>
        </w:rPr>
        <w:lastRenderedPageBreak/>
        <w:t>Sexualziele entzieht. An diese Wahl der Mutter zum Liebesobjekt knüpft nun all das an, was unter dem Namen des »Ödipuskomplexes« in der psychoanalytischen Aufklärung der Neurosen zu so großer Bedeutung gekommen ist und einen vielleicht nicht geringeren Anteil an dem Widerstand gegen die Psychoanalyse gewonnen hat.</w:t>
      </w:r>
    </w:p>
    <w:p w:rsidR="00062BE4" w:rsidRPr="002F7766" w:rsidRDefault="00062BE4" w:rsidP="00062BE4">
      <w:pPr>
        <w:rPr>
          <w:rFonts w:ascii="Garamond" w:hAnsi="Garamond" w:cs="Arial"/>
          <w:lang w:val="en-GB"/>
        </w:rPr>
      </w:pPr>
      <w:r w:rsidRPr="002F7766">
        <w:rPr>
          <w:rFonts w:ascii="Garamond" w:hAnsi="Garamond" w:cs="Arial"/>
          <w:lang w:val="en-GB"/>
        </w:rPr>
        <w:t>Hören Sie eine kleine Begebenheit an, die sich im Laufe dieses Krieges zugetragen hat: Einer der wackeren Jünger der Psychoanalyse befindet sich als Arzt an der deutschen Front irgendwo in Polen und erregt die Aufmerksamkeit der Kollegen dadurch, daß er gelegentlich eine unerwartete Beeinflussung eines Kranken zustande bringt. Auf Befragen bekennt er, daß er mit den Mitteln der Psychoanalyse arbeitet, und muß sich bereit erklären, den Kollegen von seinem Wissen mitzuteilen. Allabendlich versammeln sich nun die Ärzte des Korps, Kollegen und Vorgesetzte, um den Geheimlehren der Analyse zu lauschen. Das geht eine Weile gut, aber nachdem er den Hörern vom Ödipuskomplex gesprochen hat, erhebt sich ein Vorgesetzter und äußert, das glaube er nicht, es sei eine Gemeinheit des Vortragenden, ihnen, braven Männern, die für ihr Vaterland kämpfen, und Familienvätern, solche Dinge zu erzählen, und er verbiete die Fortsetzung der Vorträge. Damit war es zu Ende. Der Analytiker ließ sich an einen anderen Teil der Front versetzen. Ich glaube aber, es steht schlecht, wenn der deutsche Sieg einer solchen »Organisation« der Wissenschaft bedarf, und die deutsche Wissenschaft wird diese Organisation nicht gut vertragen.</w:t>
      </w:r>
    </w:p>
    <w:p w:rsidR="00062BE4" w:rsidRPr="002F7766" w:rsidRDefault="00062BE4" w:rsidP="00062BE4">
      <w:pPr>
        <w:rPr>
          <w:rFonts w:ascii="Garamond" w:hAnsi="Garamond" w:cs="Arial"/>
          <w:lang w:val="en-GB"/>
        </w:rPr>
      </w:pPr>
      <w:r w:rsidRPr="002F7766">
        <w:rPr>
          <w:rFonts w:ascii="Garamond" w:hAnsi="Garamond" w:cs="Arial"/>
          <w:lang w:val="en-GB"/>
        </w:rPr>
        <w:t>Nun werden Sie darauf gespannt sein zu erfahren, was dieser schreckliche Ödipuskomplex enthält. Der Name sagt es Ihnen. Sie kennen alle die griechische Sage vom König Ödipus, der durch das Schicksal dazu bestimmt ist, seinen Vater zu töten und seine Mutter zum Weibe zu nehmen, der alles tut, um dem Orakelspruch zu entgehen, und sich dann durch Blendung bestraft, nachdem er erfahren, daß er diese beiden Verbrechen unwissentlich doch begangen hat. Ich hoffe, viele von Ihnen haben die erschütternde Wirkung der Tragödie, in welcher Sophokles diesen Stoff behandelt, an sich selbst erlebt. Das Werk des attischen Dichters stellt dar, wie die längst vergangene Tat des Ödipus durch eine kunstvoll verzögerte und durch immer neue Anzeichen angefachte Untersuchung allmählich enthüllt wird; es hat insofern eine gewisse Ähnlichkeit mit dem Fortgang einer Psychoanalyse. Im Verlaufe des Dialogs kommt es vor, daß die verblendete Mutter-Gattin Jokaste sich der Fortsetzung der Untersuchung widersetzt. Sie beruft sich darauf, daß vielen Menschen im Traum zuteil geworden, daß sie der Mutter beiwohnen, aber Träume dürfe man gering achten. Wir achten Träume nicht gering, am wenigsten typische Träume, solche, die sich vielen Menschen ereignen, und zweifeln nicht daran, daß der von Jokaste erwähnte Traum innig mit dem befremdenden und erschreckenden Inhalt der Sage zusammenhängt.</w:t>
      </w:r>
    </w:p>
    <w:p w:rsidR="00062BE4" w:rsidRPr="002F7766" w:rsidRDefault="00062BE4" w:rsidP="00062BE4">
      <w:pPr>
        <w:rPr>
          <w:rFonts w:ascii="Garamond" w:hAnsi="Garamond" w:cs="Arial"/>
          <w:lang w:val="en-GB"/>
        </w:rPr>
      </w:pPr>
      <w:r w:rsidRPr="002F7766">
        <w:rPr>
          <w:rFonts w:ascii="Garamond" w:hAnsi="Garamond" w:cs="Arial"/>
          <w:lang w:val="en-GB"/>
        </w:rPr>
        <w:t xml:space="preserve">Es ist zu verwundern, daß die Tragödie des Sophokles nicht vielmehr empörte Ablehnung beim Zuhörer hervorruft, eine ähnliche und weit mehr berechtigte Reaktion als die unseres schlichten Militärarztes. Denn sie ist im Grunde ein unmoralisches Stück, sie hebt die sittliche Verantwortlichkeit des Menschen auf, zeigt göttliche Mächte als die Anordner des Verbrechens und die Ohnmacht der sittlichen Regungen des Menschen, die sich gegen das Verbrechen wehren. Man könnte leicht glauben, daß der Sagenstoff eine Anklage der Götter und des Schicksals beabsichtige, und in den Händen des kritischen, mit den Göttern zerfallenen, Euripides wäre es wahrscheinlich eine solche Anklage geworden. Aber beim gläubigen Sophokles ist von dieser Verwendung keine Rede; eine fromme Spitzfindigkeit, es sei die höchste Sittlichkeit, sich dem Willen der Götter, auch wenn er Verbrecherisches anordne, zu beugen, hilft über die Schwierigkeit hinweg. Ich kann nicht finden, daß diese Moral zu den Stärken des Stückes gehört, aber sie ist für die Wirkung desselben gleichgültig. Der Zuhörer reagiert nicht auf sie, sondern auf den geheimen Sinn und Inhalt der Sage. Er reagiert so, als hätte er durch Selbstanalyse den Ödipuskomplex in sich erkannt und den Götterwillen sowie das Orakel als erhöhende Verkleidungen seines eigenen Unbewußten entlarvt. Als ob er sich der Wünsche, den Vater zu beseitigen und an seiner Statt die Mutter zum Weibe zu nehmen, erinnern und sich über sie entsetzen müßte. Er versteht auch die Stimme des Dichters so, als ob sie ihm sagen wollte: Du sträubst dich vergebens gegen deine Verantwortlichkeit und beteuerst, was du gegen diese verbrecherischen Absichten getan hast. Du bist doch schuldig, denn du hast sie nicht </w:t>
      </w:r>
      <w:r w:rsidRPr="002F7766">
        <w:rPr>
          <w:rFonts w:ascii="Garamond" w:hAnsi="Garamond" w:cs="Arial"/>
          <w:lang w:val="en-GB"/>
        </w:rPr>
        <w:lastRenderedPageBreak/>
        <w:t>vernichten können; sie bestehen noch unbewußt in dir. Und darin ist psychologische Wahrheit enthalten. Auch wenn der Mensch seine bösen Regungen ins Unbewußte verdrängt hat und sich dann sagen möchte, daß er für sie nicht verantwortlich ist, wird er doch gezwungen, diese Verantwortlichkeit als ein Schuldgefühl von ihm unbekannter Begründung zu verspüren.</w:t>
      </w:r>
    </w:p>
    <w:p w:rsidR="00062BE4" w:rsidRPr="002F7766" w:rsidRDefault="00062BE4" w:rsidP="00062BE4">
      <w:pPr>
        <w:rPr>
          <w:rFonts w:ascii="Garamond" w:hAnsi="Garamond" w:cs="Arial"/>
          <w:lang w:val="en-GB"/>
        </w:rPr>
      </w:pPr>
      <w:r w:rsidRPr="002F7766">
        <w:rPr>
          <w:rFonts w:ascii="Garamond" w:hAnsi="Garamond" w:cs="Arial"/>
          <w:lang w:val="en-GB"/>
        </w:rPr>
        <w:t xml:space="preserve">Es ist ganz unzweifelhaft, daß man in dem Ödipuskomplex eine der wichtigsten Quellen des Schuldbewußtseins sehen darf, von dem die Neurotiker so oft gepeinigt werden. Aber noch mehr: in einer Studie über die Anfänge der menschlichen Religion und Sittlichkeit, die ich 1913 unter dem Titel </w:t>
      </w:r>
      <w:r w:rsidRPr="002F7766">
        <w:rPr>
          <w:rFonts w:ascii="Garamond" w:hAnsi="Garamond" w:cs="Arial"/>
          <w:i/>
          <w:iCs/>
          <w:lang w:val="en-GB"/>
        </w:rPr>
        <w:t>Totem und Tabu</w:t>
      </w:r>
      <w:r w:rsidRPr="002F7766">
        <w:rPr>
          <w:rFonts w:ascii="Garamond" w:hAnsi="Garamond" w:cs="Arial"/>
          <w:lang w:val="en-GB"/>
        </w:rPr>
        <w:t xml:space="preserve"> veröffentlicht habe, ist mir die Vermutung nahe gekommen, daß vielleicht die Menschheit als Ganzes ihr Schuldbewußtsein, die letzte Quelle von Religion und Sittlichkeit, zu Beginn ihrer Geschichte am Ödipuskomplex erworben hat. Ich möchte Ihnen gerne mehr darüber sagen, aber ich unterlasse es besser. Es ist schwer, von diesem Thema abzubrechen, wenn man mit ihm begonnen hat, und wir müssen zur individuellen Psychologie zurückkehren.</w:t>
      </w:r>
    </w:p>
    <w:p w:rsidR="00062BE4" w:rsidRPr="002F7766" w:rsidRDefault="00062BE4" w:rsidP="00062BE4">
      <w:pPr>
        <w:rPr>
          <w:rFonts w:ascii="Garamond" w:hAnsi="Garamond" w:cs="Arial"/>
          <w:lang w:val="en-GB"/>
        </w:rPr>
      </w:pPr>
      <w:r w:rsidRPr="002F7766">
        <w:rPr>
          <w:rFonts w:ascii="Garamond" w:hAnsi="Garamond" w:cs="Arial"/>
          <w:lang w:val="en-GB"/>
        </w:rPr>
        <w:t xml:space="preserve">Was läßt also die direkte Beobachtung des Kindes zur Zeit der Objektwahl vor der Latenzzeit vom Ödipuskomplex erkennen? Nun, man sieht leicht, daß der kleine Mann die Mutter für sich allein haben will, die Anwesenheit des Vaters als störend empfindet, unwillig wird, wenn dieser sich Zärtlichkeiten gegen die Mutter erlaubt, seine Zufriedenheit äußert, wenn der Vater verreist oder abwesend ist. Häufig gibt er seinen Gefühlen direkten Ausdruck in Worten, verspricht der Mutter, daß er sie heiraten wird. Man wird meinen, das sei wenig im Vergleich zu den Taten des Ödipus, aber es ist tatsächlich genug, es ist im Keime dasselbe. Die Beobachtung wird häufig durch den Umstand verdunkelt, daß dasselbe Kind gleichzeitig bei anderen Gelegenheiten eine große Zärtlichkeit für den Vater kundgibt; allein solche gegensätzliche oder besser gesagt: </w:t>
      </w:r>
      <w:r w:rsidRPr="002F7766">
        <w:rPr>
          <w:rFonts w:ascii="Garamond" w:hAnsi="Garamond" w:cs="Arial"/>
          <w:i/>
          <w:iCs/>
          <w:lang w:val="en-GB"/>
        </w:rPr>
        <w:t>ambivalente</w:t>
      </w:r>
      <w:r w:rsidRPr="002F7766">
        <w:rPr>
          <w:rFonts w:ascii="Garamond" w:hAnsi="Garamond" w:cs="Arial"/>
          <w:lang w:val="en-GB"/>
        </w:rPr>
        <w:t xml:space="preserve"> Gefühlseinstellungen, die beim Erwachsenen zum Konflikt führen würden, vertragen sich beim Kinde eine lange Zeit ganz gut miteinander, wie sie später im Unbewußten dauernd nebeneinander Platz finden. Man wird auch einwenden wollen, daß das Benehmen des kleinen Knaben egoistischen Motiven entspringt und keine Berechtigung zur Aufstellung eines erotischen Komplexes gibt. Die Mutter sorgt für alle Bedürfnisse des Kindes, und das Kind hat darum ein Interesse daran, daß sie sich um keine andere Person bekümmere. Auch das ist richtig, aber es wird bald klar, daß in dieser wie in ähnlichen Situationen das egoistische Interesse nur die Anlehnung bietet, an welche die erotische Strebung anknüpft. Zeigt der Kleine die unverhüllteste sexuelle Neugierde für seine Mutter, verlangt er, nachts bei ihr zu schlafen, drängt sich zur Anwesenheit bei ihrer Toilette auf oder unternimmt er gar Verführungsversuche, wie es die Mutter so oft feststellen und lachend berichten kann, so ist die erotische Natur der Bindung an die Mutter doch gegen jeden Zweifel gesichert. Man darf auch nicht vergessen, daß die Mutter dieselbe Fürsorge für ihr Töchterchen entfaltet, ohne dieselbe Wirkung zu erzielen, und daß der Vater oft genug mit ihr in der Bemühung um den Knaben wetteifert, ohne daß es ihm gelänge, sich dieselbe Bedeutung wie die Mutter zu erwerben. Kurz, daß das Moment der geschlechtlichen Bevorzugung durch keine Kritik aus der Situation zu eliminieren ist. Vom Standpunkt des egoistischen Interesses wäre es nur unklug von dem kleinen Mann, wenn er nicht lieber zwei Personen in seinen Diensten dulden würde, als nur eine von ihnen.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habe, wie Sie merken, nur das Verhältnis des Knaben zu Vater und Mutter geschildert. Für das kleine Mädchen gestaltet es sich mit den notwendigen Abänderungen ganz ähnlich. Die zärtliche Anhänglichkeit an den Vater, das Bedürfnis, die Mutter als überflüssig zu beseitigen und ihre Stelle einzunehmen, eine bereits mit den Mitteln der späteren Weiblichkeit arbeitende Koketterie ergeben gerade beim kleinen Mädchen ein reizvolles Bild, welches uns an den Ernst und die möglichen schweren Folgen hinter dieser infantilen Situation vergessen läßt. Versäumen wir nicht hinzuzufügen, daß häufig die Eltern selbst einen entscheidenden Einfluß auf die Erweckung der Ödipuseinstellung des Kindes üben, indem sie selbst der geschlechtlichen Anziehung folgen, und wo mehrere Kinder sind, in der deutlichsten Weise der Vater das Töchterchen und die Mutter den Sohn in ihrer Zärtlichkeit bevorzugen. Aber die spontane Natur des kindlichen Ödipuskomplexes kann nicht einmal durch dieses Moment ernstlich erschüttert werden. Der </w:t>
      </w:r>
      <w:r w:rsidRPr="002F7766">
        <w:rPr>
          <w:rFonts w:ascii="Garamond" w:hAnsi="Garamond" w:cs="Arial"/>
          <w:lang w:val="en-GB"/>
        </w:rPr>
        <w:lastRenderedPageBreak/>
        <w:t>Ödipuskomplex erweitert sich zum Familienkomplex, wenn andere Kinder dazukommen. Er motiviert nun mit neuerlicher Anlehnung an die egoistische Schädigung, daß diese Geschwister mit Abneigung empfangen und unbedenklich durch den Wunsch beseitigt werden. Diesen Haßempfindungen geben die Kinder sogar in der Regel weit eher wörtlichen Ausdruck als den aus dem Elternkomplex entspringenden. Geht ein solcher Wunsch in Erfüllung und nimmt der Tod den unerwünschten Zuwachs binnen kurzem wieder weg, so kann man aus späterer Analyse erfahren, ein wie wichtiges Erlebnis dieser Todesfall für das Kind gewesen ist, wiewohl er im Gedächtnis desselben nicht gehaftet zu haben braucht. Das durch die Geburt eines Geschwisterchens in die zweite Linie gedrängte, für die erste Zeit von der Mutter fast isolierte Kind vergißt ihr diese Zurückstellung nur schwer; Gefühle, die man beim Erwachsenen als schwere Erbitterung bezeichnen würde, stellen sich bei ihm ein und werden oft zur Grundlage einer dauernden Entfremdung. Daß die Sexualforschung mit all ihren Konsequenzen gewöhnlich an diese Lebenserfahrung des Kindes anknüpft, haben wir schon erwähnt. Mit dem Heranwachsen dieser Geschwister erfährt die Einstellung zu ihnen die bedeutsamsten Wandlungen. Der Knabe kann die Schwester zum Liebesobjekt nehmen als Ersatz für die treulose Mutter; zwischen mehreren Brüdern, die um ein jüngeres Schwesterchen werben, ergeben sich schon in der Kinderstube die für das spätere Leben bedeutsamen Situationen einer feindseligen Rivalität. Ein kleines Mädchen findet im älteren Bruder einen Ersatz für den Vater, der sich nicht mehr wie in den frühesten Jahren zärtlich um sie kümmert, oder sie nimmt eine jüngere Schwester zum Ersatz für das Kind, das sie sich vergeblich vom Vater gewünscht hat.</w:t>
      </w:r>
    </w:p>
    <w:p w:rsidR="00062BE4" w:rsidRPr="002F7766" w:rsidRDefault="00062BE4" w:rsidP="00062BE4">
      <w:pPr>
        <w:rPr>
          <w:rFonts w:ascii="Garamond" w:hAnsi="Garamond" w:cs="Arial"/>
          <w:lang w:val="en-GB"/>
        </w:rPr>
      </w:pPr>
      <w:r w:rsidRPr="002F7766">
        <w:rPr>
          <w:rFonts w:ascii="Garamond" w:hAnsi="Garamond" w:cs="Arial"/>
          <w:lang w:val="en-GB"/>
        </w:rPr>
        <w:t>Solches und sehr viel mehr von ähnlicher Natur zeigt Ihnen die direkte Beobachtung der Kinder und die Würdigung ihrer klar erhaltenen, von der Analyse nicht beeinflußten Erinnerungen aus den Kinderjahren. Sie werden daraus unter anderem den Schluß ziehen, daß die Stellung eines Kindes in der Kinderreihe ein für die Gestaltung seines späteren Lebens überaus wichtiges Moment ist, welches in jeder Lebensbeschreibung Rücksicht finden sollte. Aber, was wichtiger ist, Sie werden sich angesichts dieser mühelos zu gewinnenden Aufklärungen der Äußerungen der Wissenschaft zur Erklärung des Inzestverbotes nicht ohne Lächeln erinnern können. Was ist da nicht alles erfunden worden! Die geschlechtliche Neigung soll durch das Zusammenleben von Kindheit her von den andersgeschlechtlichen Mitgliedern derselben Familie abgelenkt worden sein, oder eine biologische Tendenz zur Vermeidung der Inzucht soll in der angeborenen Inzestscheu ihre psychische Repräsentanz finden! Wobei noch ganz vergessen wird, daß es keines so unerbittlichen Verbotes durch Gesetz und Sitte bedürfte, wenn es irgend verläßliche natürliche Schranken gegen die Inzestversuchung gäbe. Im Gegenteil liegt die Wahrheit. Die erste Objektwahl der Menschen ist regelmäßig eine inzestuöse, beim Manne auf Mutter und Schwester gerichtete, und es bedarf der schärfsten Verbote, um diese fortwirkende infantile Neigung von der Wirklichkeit abzuhalten. Bei den heute noch lebenden Primitiven, den wilden Völkern, sind die Inzestverbote noch viel schärfer als bei uns, und kürzlich hat Th.Reik in einer glänzenden Arbeit gezeigt, daß die Pubertätsriten der Wilden, die eine Wiedergeburt darstellen, den Sinn haben, die inzestuöse Bindung der Knaben an ihre Mutter aufzuheben und ihre Versöhnung mit dem Vater herzustellen.</w:t>
      </w:r>
    </w:p>
    <w:p w:rsidR="00062BE4" w:rsidRPr="002F7766" w:rsidRDefault="00062BE4" w:rsidP="00062BE4">
      <w:pPr>
        <w:rPr>
          <w:rFonts w:ascii="Garamond" w:hAnsi="Garamond" w:cs="Arial"/>
          <w:lang w:val="en-GB"/>
        </w:rPr>
      </w:pPr>
      <w:r w:rsidRPr="002F7766">
        <w:rPr>
          <w:rFonts w:ascii="Garamond" w:hAnsi="Garamond" w:cs="Arial"/>
          <w:lang w:val="en-GB"/>
        </w:rPr>
        <w:t>Die Mythologie belehrt Sie, daß der von den Menschen angeblich so verabscheute Inzest unbedenklich den Göttern zugestanden wird, und aus der alten Geschichte können Sie erfahren, daß die inzestuöse Schwesterehe für die Person des Herrschers geheiligte Vorschrift war (bei den alten Pharaonen, den Inkas von Peru). Es handelt sich also um ein der gemeinen Menge versagtes Vorrecht.</w:t>
      </w:r>
    </w:p>
    <w:p w:rsidR="00062BE4" w:rsidRPr="002F7766" w:rsidRDefault="00062BE4" w:rsidP="00062BE4">
      <w:pPr>
        <w:rPr>
          <w:rFonts w:ascii="Garamond" w:hAnsi="Garamond" w:cs="Arial"/>
          <w:lang w:val="en-GB"/>
        </w:rPr>
      </w:pPr>
      <w:r w:rsidRPr="002F7766">
        <w:rPr>
          <w:rFonts w:ascii="Garamond" w:hAnsi="Garamond" w:cs="Arial"/>
          <w:lang w:val="en-GB"/>
        </w:rPr>
        <w:t xml:space="preserve">Der Mutterinzest ist das eine Verbrechen des Ödipus, der Vatermord das andere. Nebenbei erwähnt, es sind auch die beiden großen Verbrechen, welche die erste sozial-religiöse Institution der Menschen, der Totemismus, verpönt. Wenden wir uns nun von der direkten Beobachtung des Kindes zur analytischen Erforschung des neurotisch gewordenen Erwachsenen. Was leistet die Analyse zur weiteren Kenntnis des Ödipuskomplexes? Nun, das ist kurz zu sagen. Sie weist ihn so auf, wie ihn die Sage erzählt; sie zeigt, daß jeder dieser Neurotiker selbst ein Ödipus war oder, was auf dasselbe ausgeht, in der Reaktion auf den Komplex ein Hamlet geworden ist. Natürlich ist die analytische Darstellung des Ödipuskomplexes eine </w:t>
      </w:r>
      <w:r w:rsidRPr="002F7766">
        <w:rPr>
          <w:rFonts w:ascii="Garamond" w:hAnsi="Garamond" w:cs="Arial"/>
          <w:lang w:val="en-GB"/>
        </w:rPr>
        <w:lastRenderedPageBreak/>
        <w:t>Vergrößerung und Vergröberung der infantilen Skizze. Der Haß gegen den Vater, die Todeswünsche gegen ihn, sind nicht mehr schüchtern angedeutet, die Zärtlichkeit für die Mutter bekennt sich zum Ziel, sie als Weib zu besitzen. Dürfen wir diese grellen und extremen Gefühlsregungen wirklich jenen zarten Kinderjahren zutrauen oder täuscht uns die Analyse durch die Einmengung eines neuen Moments? Es ist nicht schwer, ein solches aufzufinden. Jedesmal, wenn ein Mensch über Vergangenes berichtet, und sei er auch ein Geschichtsschreiber, haben wir in Betracht zu ziehen, was er unabsichtlich aus der Gegenwart oder aus dazwischenliegenden Zeiten in die Vergangenheit zurückversetzt, so daß er das Bild derselben fälscht. Im Falle des Neurotikers ist es sogar fraglich, ob diese Rückversetzung eine ganz und gar unabsichtliche ist; wir werden Motive für sie später kennenlernen und der Tatsache des »Rückphantasierens« in frühe Vergangenheit überhaupt gerecht werden müssen. Wir entdecken auch leicht, daß der Haß gegen den Vater durch eine Anzahl von Motiven verstärkt ist, die aus späteren Zeiten und Beziehungen stammen, daß die sexuellen Wünsche auf die Mutter in Formen gegossen sind, die dem Kinde noch fremd sein mußten. Aber es wäre ein vergebliches Bemühen, wenn wir das Ganze des Ödipuskomplexes durch Rückphantasieren erklären und auf spätere Zeiten beziehen wollten. Der infantile Kern und auch mehr oder weniger vom Beiwerk bleibt bestehen, wie ihn die direkte Beobachtung des Kindes bestätigt.</w:t>
      </w:r>
    </w:p>
    <w:p w:rsidR="00062BE4" w:rsidRPr="002F7766" w:rsidRDefault="00062BE4" w:rsidP="00062BE4">
      <w:pPr>
        <w:rPr>
          <w:rFonts w:ascii="Garamond" w:hAnsi="Garamond" w:cs="Arial"/>
          <w:lang w:val="en-GB"/>
        </w:rPr>
      </w:pPr>
      <w:r w:rsidRPr="002F7766">
        <w:rPr>
          <w:rFonts w:ascii="Garamond" w:hAnsi="Garamond" w:cs="Arial"/>
          <w:lang w:val="en-GB"/>
        </w:rPr>
        <w:t>Die klinische Tatsache, die uns hinter der analytisch festgestellten Form des Ödipuskomplexes entgegentritt, ist nun von der höchsten praktischen Bedeutung. Wir erfahren, daß zur Zeit der Pubertät, wenn der Sexualtrieb zuerst in voller Stärke seine Ansprüche erhebt, die alten familiären und inzestuösen Objekte wieder aufgenommen und von neuem libidinös besetzt werden. Die infantile Objektwahl war nur ein schwächliches, aber Richtung gebendes Vorspiel der Objektwahl in der Pubertät. Hier spielen sich nun sehr intensive Gefühlsvorgänge in der Richtung des Ödipuskomplexes oder in der Reaktion auf ihn ab, die aber, weil ihre Voraussetzungen unerträglich geworden sind, zum großen Teil dem Bewußtsein fernebleiben müssen. Von dieser Zeit an muß sich das menschliche Individuum der großen Aufgabe der Ablösung von den Eltern widmen, nach deren Lösung es erst aufhören kann Kind zu sein, um ein Mitglied der sozialen Gemeinschaft zu werden. Die Aufgabe besteht für den Sohn darin, seine libidinösen Wünsche von der Mutter zu lösen, um sie für die Wahl eines realen fremden Liebesobjektes zu verwenden, und sich mit dem Vater zu versöhnen, wenn er in Gegnerschaft zu ihm verblieben ist, oder sich von seinem Druck zu befreien, wenn er in Reaktion auf die infantile Auflehnung in die Unterwürfigkeit gegen ihn geraten ist. Diese Aufgaben ergeben sich für jedermann; es ist beachtenswert, wie selten ihre Erledigung in idealer Weise, d.h. psychologisch wie sozial korrekt, gelingt. Den Neurotikern aber gelingt diese Lösung überhaupt nicht, der Sohn bleibt sein lebelang unter die Autorität des Vaters gebeugt und ist nicht imstande, seine Libido auf ein fremdes Sexualobjekt zu übertragen. Dasselbe kann mit Veränderung der Beziehung das Los der Tochter werden. In diesem Sinne gilt der Ödipuskomplex mit Recht als der Kern der Neurosen.</w:t>
      </w:r>
    </w:p>
    <w:p w:rsidR="00062BE4" w:rsidRPr="002F7766" w:rsidRDefault="00062BE4" w:rsidP="00062BE4">
      <w:pPr>
        <w:rPr>
          <w:rFonts w:ascii="Garamond" w:hAnsi="Garamond" w:cs="Arial"/>
        </w:rPr>
      </w:pPr>
      <w:r w:rsidRPr="00062BE4">
        <w:rPr>
          <w:rFonts w:ascii="Garamond" w:hAnsi="Garamond" w:cs="Arial"/>
          <w:lang w:val="en-GB"/>
        </w:rPr>
        <w:t xml:space="preserve">Sie ahnen, meine Herren, wie flüchtig ich über eine große Anzahl von praktisch wie theoretisch bedeutsamen Verhältnissen, die mit dem Ödipuskomplex zusammenhängen, hinwegsetze. Ich gehe auch auf seine Variationen und seine mögliche Umkehrung nicht ein. Von den entfernteren Beziehungen desselben will ich Ihnen nur noch andeuten, daß er sich als höchst bestimmend für die dichterische Produktion erwiesen hat. Otto Rank hat in einem verdienstvollen Buch gezeigt, daß die Dramatiker aller Zeiten ihre Stoffe hauptsächlich dem Ödipus- und Inzestkomplex, dessen Variationen und Verschleierungen, entnommen haben. Es soll auch nicht unerwähnt bleiben, daß die beiden verbrecherischen Wünsche des Ödipuskomplexes längst vor der Zeit der Psychoanalyse als die richtigen Repräsentanten des ungehemmten Trieblebens erkannt worden sind. </w:t>
      </w:r>
      <w:r w:rsidRPr="00062BE4">
        <w:rPr>
          <w:rFonts w:ascii="Garamond" w:hAnsi="Garamond" w:cs="Arial"/>
          <w:lang w:val="en-US"/>
        </w:rPr>
        <w:t xml:space="preserve">Unter den Schriften des Enzyklopädisten Diderot finden Sie einen berühmten Dialog </w:t>
      </w:r>
      <w:r w:rsidRPr="00062BE4">
        <w:rPr>
          <w:rFonts w:ascii="Garamond" w:hAnsi="Garamond" w:cs="Arial"/>
          <w:i/>
          <w:iCs/>
          <w:lang w:val="en-US"/>
        </w:rPr>
        <w:t>Le neveu de Rameau</w:t>
      </w:r>
      <w:r w:rsidRPr="00062BE4">
        <w:rPr>
          <w:rFonts w:ascii="Garamond" w:hAnsi="Garamond" w:cs="Arial"/>
          <w:lang w:val="en-US"/>
        </w:rPr>
        <w:t xml:space="preserve">, den kein Geringerer als Goethe deutsch bearbeitet hat. </w:t>
      </w:r>
      <w:r w:rsidRPr="002F7766">
        <w:rPr>
          <w:rFonts w:ascii="Garamond" w:hAnsi="Garamond" w:cs="Arial"/>
        </w:rPr>
        <w:t xml:space="preserve">Dort können Sie den merkwürdigen Satz lesen: </w:t>
      </w:r>
      <w:r w:rsidRPr="002F7766">
        <w:rPr>
          <w:rFonts w:ascii="Garamond" w:hAnsi="Garamond" w:cs="Arial"/>
          <w:i/>
          <w:iCs/>
        </w:rPr>
        <w:t xml:space="preserve">Si le petit sauvage était </w:t>
      </w:r>
      <w:r w:rsidRPr="002F7766">
        <w:rPr>
          <w:rFonts w:ascii="Garamond" w:hAnsi="Garamond" w:cs="Arial"/>
          <w:i/>
          <w:iCs/>
        </w:rPr>
        <w:lastRenderedPageBreak/>
        <w:t>abandonné à lui-même, qu'il conservât toute son imbécillité et qu'il réunît au peu de raison de l'enfant au berceau la violence des passions de l'homme de trente ans, il tordrait le col à son père et coucherait avec sa mère.</w:t>
      </w:r>
    </w:p>
    <w:p w:rsidR="00062BE4" w:rsidRPr="00062BE4" w:rsidRDefault="00062BE4" w:rsidP="00062BE4">
      <w:pPr>
        <w:rPr>
          <w:rFonts w:ascii="Garamond" w:hAnsi="Garamond" w:cs="Arial"/>
          <w:lang w:val="en-US"/>
        </w:rPr>
      </w:pPr>
      <w:r w:rsidRPr="002F7766">
        <w:rPr>
          <w:rFonts w:ascii="Garamond" w:hAnsi="Garamond" w:cs="Arial"/>
          <w:lang w:val="en-GB"/>
        </w:rPr>
        <w:t xml:space="preserve">Aber etwas anderes kann ich nicht übergehen. Die Mutter-Gattin des Ödipus soll uns nicht vergeblich an den Traum gemahnt haben. Erinnern Sie sich noch des Resultates unserer Traumanalysen, daß die traumbildenden Wünsche so häufig perverser, inzestuöser Natur sind oder eine nicht geahnte Feindseligkeit gegen nächste und geliebte Angehörige verraten? Wir haben es damals unaufgeklärt gelassen, woher diese bösen Regungen stammen. Nun können Sie sich's selbst sagen. Es sind frühinfantile, fürs bewußte Leben längst aufgegebene Unterbringungen der Libido und Objektbesetzungen, die sich nächtlicherweile noch als vorhanden und als in gewissem Sinne leistungsfähig erweisen. Da aber alle Menschen solche perverse, inzestuöse und todeswütige Träume haben, nicht bloß die Neurotiker, dürfen wir den Schluß ziehen, daß auch die heute Normalen den Entwicklungsweg über die Perversionen und die Objektbesetzungen des Ödipuskomplexes zurückgelegt haben, daß dieser Weg der der normalen Entwicklung ist, daß die Neurotiker uns nur vergrößert und vergröbert zeigen, was uns die Traumanalyse auch beim Gesunden verrät. </w:t>
      </w:r>
      <w:r w:rsidRPr="00062BE4">
        <w:rPr>
          <w:rFonts w:ascii="Garamond" w:hAnsi="Garamond" w:cs="Arial"/>
          <w:lang w:val="en-US"/>
        </w:rPr>
        <w:t>Und dies ist eines der Motive, weshalb wir das Studium der Träume dem der neurotischen Symptome vorangeschickt haben.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22. Vo</w:t>
        </w:r>
        <w:bookmarkStart w:id="289" w:name="Vorlesungen_22"/>
        <w:bookmarkEnd w:id="289"/>
        <w:r w:rsidRPr="009C5A67">
          <w:rPr>
            <w:rStyle w:val="Lienhypertexte"/>
            <w:rFonts w:ascii="Garamond" w:hAnsi="Garamond" w:cs="Arial"/>
            <w:b/>
            <w:bCs/>
            <w:lang w:val="en-GB"/>
          </w:rPr>
          <w:t>rlesung. Gesichtspunkte der Entwicklung und Regression. Ätiologie</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Wir haben gehört, daß die Libidofunktion eine weitläufige Entwicklung durchmacht, bis sie in der normal genannten Weise in den Dienst der Fortpflanzung treten kann. Ich möchte Ihnen nun vorführen, welche Bedeutung diese Tatsache für die Verursachung der Neurosen hat.</w:t>
      </w:r>
    </w:p>
    <w:p w:rsidR="00062BE4" w:rsidRPr="002F7766" w:rsidRDefault="00062BE4" w:rsidP="00062BE4">
      <w:pPr>
        <w:rPr>
          <w:rFonts w:ascii="Garamond" w:hAnsi="Garamond" w:cs="Arial"/>
          <w:lang w:val="en-GB"/>
        </w:rPr>
      </w:pPr>
      <w:r w:rsidRPr="002F7766">
        <w:rPr>
          <w:rFonts w:ascii="Garamond" w:hAnsi="Garamond" w:cs="Arial"/>
          <w:lang w:val="en-GB"/>
        </w:rPr>
        <w:t xml:space="preserve">Ich glaube, wir befinden uns im Einklang mit den Lehren der allgemeinen Pathologie, wenn wir annehmen, daß eine solche Entwicklung zweierlei Gefahren mit sich bringt, erstens die der </w:t>
      </w:r>
      <w:r w:rsidRPr="002F7766">
        <w:rPr>
          <w:rFonts w:ascii="Garamond" w:hAnsi="Garamond" w:cs="Arial"/>
          <w:i/>
          <w:iCs/>
          <w:lang w:val="en-GB"/>
        </w:rPr>
        <w:t>Hemmung</w:t>
      </w:r>
      <w:r w:rsidRPr="002F7766">
        <w:rPr>
          <w:rFonts w:ascii="Garamond" w:hAnsi="Garamond" w:cs="Arial"/>
          <w:lang w:val="en-GB"/>
        </w:rPr>
        <w:t xml:space="preserve"> und zweitens die der </w:t>
      </w:r>
      <w:r w:rsidRPr="002F7766">
        <w:rPr>
          <w:rFonts w:ascii="Garamond" w:hAnsi="Garamond" w:cs="Arial"/>
          <w:i/>
          <w:iCs/>
          <w:lang w:val="en-GB"/>
        </w:rPr>
        <w:t>Regression</w:t>
      </w:r>
      <w:r w:rsidRPr="002F7766">
        <w:rPr>
          <w:rFonts w:ascii="Garamond" w:hAnsi="Garamond" w:cs="Arial"/>
          <w:lang w:val="en-GB"/>
        </w:rPr>
        <w:t>. Das heißt, bei der allgemeinen Neigung biologischer Vorgänge zur Variation wird es sich ereignen müssen, daß nicht alle vorbereitenden Phasen gleich gut durchlaufen und vollständig überwunden werden; Anteile der Funktion werden dauernd auf diesen frühen Stufen zurückgehalten werden, und dem Gesamtbild der Entwicklung wird ein gewisses Maß von Entwicklungshemmung beigemengt sein.</w:t>
      </w:r>
    </w:p>
    <w:p w:rsidR="00062BE4" w:rsidRPr="002F7766" w:rsidRDefault="00062BE4" w:rsidP="00062BE4">
      <w:pPr>
        <w:rPr>
          <w:rFonts w:ascii="Garamond" w:hAnsi="Garamond" w:cs="Arial"/>
          <w:lang w:val="en-GB"/>
        </w:rPr>
      </w:pPr>
      <w:r w:rsidRPr="002F7766">
        <w:rPr>
          <w:rFonts w:ascii="Garamond" w:hAnsi="Garamond" w:cs="Arial"/>
          <w:lang w:val="en-GB"/>
        </w:rPr>
        <w:t>Suchen wir uns Analogien zu diesen Vorgängen auf anderen Gebieten. Wenn ein ganzes Volk seine Wohnsitze verläßt, um neue aufzusuchen, wie es in früheren Perioden der Menschengeschichte oftmals geschah, so ist es gewiß nicht in seiner Vollzahl an dem neuen Orte angekommen. Von anderen Verlusten abgesehen, muß es sich regelmäßig zugetragen haben, daß kleine Haufen oder Verbände der Wanderer unterwegs haltmachten und sich an diesen Stationen niederließen, während die Hauptmenge weiterzog. Oder, um näherliegende Vergleiche zu suchen, Sie wissen, daß bei den höchsten Säugetieren die männlichen Keimdrüsen, die ursprünglich tief im Inneren des Bauchraumes lagern, zu einer gewissen Zeit des Intrauterinlebens eine Wanderung antreten, die sie fast unmittelbar unter die Haut des Beckenendes geraten läßt. Als Folge dieser Wanderung findet man bei einer Anzahl von männlichen Individuen, daß eines der paarigen Organe in der Beckenhöhle zurückgeblieben ist oder daß es eine dauernde Lagerung im sogenannten Leistenkanal gefunden hat, den beide auf ihrer Wanderung passieren müssen, oder daß wenigstens dieser Kanal offen geblieben ist, der normalerweise nach Abschluß des Lagewechsels der Keimdrüsen verwachsen soll.</w:t>
      </w:r>
    </w:p>
    <w:p w:rsidR="00062BE4" w:rsidRPr="002F7766" w:rsidRDefault="00062BE4" w:rsidP="00062BE4">
      <w:pPr>
        <w:rPr>
          <w:rFonts w:ascii="Garamond" w:hAnsi="Garamond" w:cs="Arial"/>
          <w:lang w:val="en-GB"/>
        </w:rPr>
      </w:pPr>
      <w:r w:rsidRPr="002F7766">
        <w:rPr>
          <w:rFonts w:ascii="Garamond" w:hAnsi="Garamond" w:cs="Arial"/>
          <w:lang w:val="en-GB"/>
        </w:rPr>
        <w:t xml:space="preserve">Als ich als junger Student meine erste wissenschaftliche Arbeit unter der Leitung v. Brückes ausführte, beschäftigte ich mich mit dem Ursprung der hinteren Nervenwurzeln im Rückenmark eines kleinen, noch sehr archaisch gebildeten Fisches. Ich fand, daß die Nervenfasern dieser Wurzeln aus großen Zellen im Hinterhorn der grauen Substanz hervorgehen, was bei anderen Rückenmarktieren nicht mehr der Fall ist. Aber ich entdeckte auch bald darauf, daß solche Nervenzellen sich außerhalb der grauen Substanz an der ganzen Strecke bis zum sogenannten Spinalganglion der hinteren Wurzel vorfinden, woraus ich den Schluß zog, daß die Zellen dieser Ganglienhaufen aus dem Rückenmark in die Wurzelstrecke der Nerven gewandert sind. Dies zeigt auch die Entwicklungsgeschichte; bei diesem kleinen Fisch war aber der ganze Weg der Wanderung durch zurückgebliebene Zellen kenntlich gemacht. Bei tieferem Eingehen wird es Ihnen nicht schwerfallen, die schwachen Punkte dieser Vergleichungen aufzuspüren. Wir wollen es darum direkt aussprechen, daß wir es für jede einzelne Sexualstrebung für möglich halten, daß einzelne Anteile von ihr auf früheren Stufen der Entwicklung zurückgeblieben sind, wenngleich andere Anteile das Endziel erreicht haben mögen. Sie erkennen dabei, daß wir uns jede solche Strebung als eine seit Lebensbeginn kontinuierliche Strömung vorstellen, die wir gewissermaßen künstlich in gesondert aufeinanderfolgende Schübe zerlegen. Ihr Eindruck, daß diese Vorstellungen einer weiteren Klärung bedürftig sind, hat recht, aber der Versuch würde uns zu weit abführen. Lassen Sie uns noch feststellen, daß ein solches Verbleiben einer Partialstrebung auf einer früheren Stufe eine </w:t>
      </w:r>
      <w:r w:rsidRPr="002F7766">
        <w:rPr>
          <w:rFonts w:ascii="Garamond" w:hAnsi="Garamond" w:cs="Arial"/>
          <w:i/>
          <w:iCs/>
          <w:lang w:val="en-GB"/>
        </w:rPr>
        <w:t>Fixierung</w:t>
      </w:r>
      <w:r w:rsidRPr="002F7766">
        <w:rPr>
          <w:rFonts w:ascii="Garamond" w:hAnsi="Garamond" w:cs="Arial"/>
          <w:lang w:val="en-GB"/>
        </w:rPr>
        <w:t xml:space="preserve"> (des Triebes nämlich) heißen soll.</w:t>
      </w:r>
    </w:p>
    <w:p w:rsidR="00062BE4" w:rsidRPr="002F7766" w:rsidRDefault="00062BE4" w:rsidP="00062BE4">
      <w:pPr>
        <w:rPr>
          <w:rFonts w:ascii="Garamond" w:hAnsi="Garamond" w:cs="Arial"/>
          <w:lang w:val="en-GB"/>
        </w:rPr>
      </w:pPr>
      <w:r w:rsidRPr="002F7766">
        <w:rPr>
          <w:rFonts w:ascii="Garamond" w:hAnsi="Garamond" w:cs="Arial"/>
          <w:lang w:val="en-GB"/>
        </w:rPr>
        <w:t xml:space="preserve">Die zweite Gefahr einer so stufenweisen Entwicklung liegt darin, daß auch die Anteile, die es weiter gebracht haben, leicht in rückläufiger Bewegung auf eine dieser früheren Stufen zurückkehren können, was wir eine </w:t>
      </w:r>
      <w:r w:rsidRPr="002F7766">
        <w:rPr>
          <w:rFonts w:ascii="Garamond" w:hAnsi="Garamond" w:cs="Arial"/>
          <w:i/>
          <w:iCs/>
          <w:lang w:val="en-GB"/>
        </w:rPr>
        <w:t>Regression</w:t>
      </w:r>
      <w:r w:rsidRPr="002F7766">
        <w:rPr>
          <w:rFonts w:ascii="Garamond" w:hAnsi="Garamond" w:cs="Arial"/>
          <w:lang w:val="en-GB"/>
        </w:rPr>
        <w:t xml:space="preserve"> nennen. Zu einer solchen Regression wird sich die Strebung veranlaßt finden, wenn </w:t>
      </w:r>
      <w:r w:rsidRPr="002F7766">
        <w:rPr>
          <w:rFonts w:ascii="Garamond" w:hAnsi="Garamond" w:cs="Arial"/>
          <w:lang w:val="en-GB"/>
        </w:rPr>
        <w:lastRenderedPageBreak/>
        <w:t>die Ausübung ihrer Funktion, also die Erreichung ihres Befriedigungszieles, in der späteren oder höher entwickelten Form auf starke äußere Hindernisse stößt. Es liegt uns nahe anzunehmen, daß Fixierung und Regression nicht unabhängig voneinander sind. Je stärker die Fixierungen auf dem Entwicklungsweg, desto eher wird die Funktion den äußeren Schwierigkeiten durch Regression bis zu jenen Fixierungen ausweichen, desto widerstandsunfähiger erweist sich also die ausgebildete Funktion gegen äußere Hindernisse ihres Ablaufes. Denken Sie daran, wenn ein Volk in Bewegung starke Abteilungen an den Stationen seiner Wanderung zurückgelassen hat, so wird es den weiter Vorgerückten naheliegen, sich bis zu diesen Stationen zurückziehen, wenn sie geschlagen werden oder auf einen überstarken Feind stoßen. Sie werden aber auch um so eher in die Gefahr der Niederlage kommen, je mehr sie von ihrer Anzahl auf der Wanderung zurückgelassen haben.</w:t>
      </w:r>
    </w:p>
    <w:p w:rsidR="00062BE4" w:rsidRPr="002F7766" w:rsidRDefault="00062BE4" w:rsidP="00062BE4">
      <w:pPr>
        <w:rPr>
          <w:rFonts w:ascii="Garamond" w:hAnsi="Garamond" w:cs="Arial"/>
          <w:lang w:val="en-GB"/>
        </w:rPr>
      </w:pPr>
      <w:r w:rsidRPr="002F7766">
        <w:rPr>
          <w:rFonts w:ascii="Garamond" w:hAnsi="Garamond" w:cs="Arial"/>
          <w:lang w:val="en-GB"/>
        </w:rPr>
        <w:t>Es ist für Ihr Verständnis der Neurosen wichtig, daß Sie dies Verhältnis zwischen Fixierung und Regression nicht aus den Augen lassen. Sie gewinnen dann einen sicheren Halt in der Frage nach der Verursachung der Neurosen, in der Frage der Neurosenätiologie, an welche wir bald herantreten werden.</w:t>
      </w:r>
    </w:p>
    <w:p w:rsidR="00062BE4" w:rsidRPr="002F7766" w:rsidRDefault="00062BE4" w:rsidP="00062BE4">
      <w:pPr>
        <w:rPr>
          <w:rFonts w:ascii="Garamond" w:hAnsi="Garamond" w:cs="Arial"/>
          <w:lang w:val="en-GB"/>
        </w:rPr>
      </w:pPr>
      <w:r w:rsidRPr="002F7766">
        <w:rPr>
          <w:rFonts w:ascii="Garamond" w:hAnsi="Garamond" w:cs="Arial"/>
          <w:lang w:val="en-GB"/>
        </w:rPr>
        <w:t xml:space="preserve">Zunächst wollen wir noch bei der Regression verbleiben. Nach dem, was Ihnen von der Entwicklung der Libidofunktion bekannt geworden ist, dürfen Sie Regressionen von zweierlei Art erwarten, Rückkehr zu den ersten von der Libido besetzten Objekten, die bekanntlich inzestuöser Natur sind, und Rückkehr der gesamten Sexualorganisation zu früheren Stufen. Beide kommen bei den Übertragungsneurosen vor und spielen in deren Mechanismus eine große Rolle. Besonders die Rückkehr zu den ersten inzestuösen Objekten der Libido ist ein Zug, der sich bei den Neurotikern mit geradezu ermüdender Regelmäßigkeit findet. Weit mehr läßt sich über die Regressionen der Libido sagen, wenn man eine andere Gruppe der Neurosen, die sogenannten narzißtischen, mit heranzieht, was wir ja gegenwärtig nicht beabsichtigen. Diese Affektionen geben uns Aufschluß über noch andere, bisher nicht erwähnte Entwicklungsvorgänge der Libidofunktion und zeigen uns dementsprechend auch neue Arten der Regression. Ich glaube aber, daß ich Sie jetzt vor allem mahnen muß, </w:t>
      </w:r>
      <w:r w:rsidRPr="002F7766">
        <w:rPr>
          <w:rFonts w:ascii="Garamond" w:hAnsi="Garamond" w:cs="Arial"/>
          <w:i/>
          <w:iCs/>
          <w:lang w:val="en-GB"/>
        </w:rPr>
        <w:t>Regression</w:t>
      </w:r>
      <w:r w:rsidRPr="002F7766">
        <w:rPr>
          <w:rFonts w:ascii="Garamond" w:hAnsi="Garamond" w:cs="Arial"/>
          <w:lang w:val="en-GB"/>
        </w:rPr>
        <w:t xml:space="preserve"> und </w:t>
      </w:r>
      <w:r w:rsidRPr="002F7766">
        <w:rPr>
          <w:rFonts w:ascii="Garamond" w:hAnsi="Garamond" w:cs="Arial"/>
          <w:i/>
          <w:iCs/>
          <w:lang w:val="en-GB"/>
        </w:rPr>
        <w:t>Verdrängung</w:t>
      </w:r>
      <w:r w:rsidRPr="002F7766">
        <w:rPr>
          <w:rFonts w:ascii="Garamond" w:hAnsi="Garamond" w:cs="Arial"/>
          <w:lang w:val="en-GB"/>
        </w:rPr>
        <w:t xml:space="preserve"> nicht zu verwechseln, und Ihnen dazu verhelfen muß, sich die Beziehungen zwischen den beiden Prozessen zu klären. Verdrängung ist, wie Sie sich erinnern, jener Vorgang, durch welchen ein bewußtseinsfähiger Akt, also einer, der dem System Vbw. angehört, unbewußt gemacht, also in das System Ubw. zurückgeschoben wird. Und ebenso nennen wir es Verdrängung, wenn der unbewußte seelische Akt überhaupt nicht ins nächste vorbewußte System zugelassen, sondern an der Schwelle von der Zensur zurückgewiesen wird. Dem Begriff der Verdrängung haftet also keine Beziehung zur Sexualität an; bitte, bemerken Sie das wohl. Er bezeichnet einen rein psychologischen Vorgang, den wir noch besser charakterisieren können, wenn wir ihn einen </w:t>
      </w:r>
      <w:r w:rsidRPr="002F7766">
        <w:rPr>
          <w:rFonts w:ascii="Garamond" w:hAnsi="Garamond" w:cs="Arial"/>
          <w:i/>
          <w:iCs/>
          <w:lang w:val="en-GB"/>
        </w:rPr>
        <w:t>topischen</w:t>
      </w:r>
      <w:r w:rsidRPr="002F7766">
        <w:rPr>
          <w:rFonts w:ascii="Garamond" w:hAnsi="Garamond" w:cs="Arial"/>
          <w:lang w:val="en-GB"/>
        </w:rPr>
        <w:t xml:space="preserve"> heißen. Wir wollen damit sagen, er habe mit den angenommenen psychischen Räumlichkeiten zu tun, oder, wenn wir diese grobe Hilfsvorstellung wieder fallenlassen, mit dem Aufbau des seelischen Apparates aus gesonderten psychischen Systemen.</w:t>
      </w:r>
    </w:p>
    <w:p w:rsidR="00062BE4" w:rsidRPr="002F7766" w:rsidRDefault="00062BE4" w:rsidP="00062BE4">
      <w:pPr>
        <w:rPr>
          <w:rFonts w:ascii="Garamond" w:hAnsi="Garamond" w:cs="Arial"/>
          <w:lang w:val="en-GB"/>
        </w:rPr>
      </w:pPr>
      <w:r w:rsidRPr="002F7766">
        <w:rPr>
          <w:rFonts w:ascii="Garamond" w:hAnsi="Garamond" w:cs="Arial"/>
          <w:lang w:val="en-GB"/>
        </w:rPr>
        <w:t xml:space="preserve">Durch die angestellte Vergleichung werden wir erst aufmerksam gemacht, daß wir das Wort »Regression« bisher nicht in seiner allgemeinen, sondern in einer ganz speziellen Bedeutung gebraucht haben. Geben Sie ihm seinen allgemeinen Sinn, den einer Rückkehr von einer höheren zu einer niedrigeren Stufe der Entwicklung, so ordnet sich auch die Verdrängung der Regression unter, denn sie kann auch als Rückkehr zu einer früheren und tieferen Stufe in der Entwicklung eines psychischen Aktes beschrieben werden. Nur, daß es uns bei der Verdrängung auf diese rückläufige Richtung nicht ankommt, denn wir heißen es auch Verdrängung im </w:t>
      </w:r>
      <w:r w:rsidRPr="002F7766">
        <w:rPr>
          <w:rFonts w:ascii="Garamond" w:hAnsi="Garamond" w:cs="Arial"/>
          <w:i/>
          <w:iCs/>
          <w:lang w:val="en-GB"/>
        </w:rPr>
        <w:t>dynamischen</w:t>
      </w:r>
      <w:r w:rsidRPr="002F7766">
        <w:rPr>
          <w:rFonts w:ascii="Garamond" w:hAnsi="Garamond" w:cs="Arial"/>
          <w:lang w:val="en-GB"/>
        </w:rPr>
        <w:t xml:space="preserve"> Sinne, wenn ein psychischer Akt auf der niedrigeren Stufe des Unbewußten festgehalten wird. Verdrängung ist eben ein topisch-dynamischer Begriff, Regression ein rein deskriptiver. Was wir aber bisher Regression genannt und zur Fixierung in Beziehung gebracht haben, damit meinten wir ausschließlich die Rückkehr der Libido zu früheren Stationen ihrer Entwicklung, also etwas, was von der Verdrängung im Wesen ganz verschieden und von ihr ganz unabhängig ist. Wir können die Libidoregression auch nicht einen rein psychischen Vorgang heißen und wissen nicht, welche </w:t>
      </w:r>
      <w:r w:rsidRPr="002F7766">
        <w:rPr>
          <w:rFonts w:ascii="Garamond" w:hAnsi="Garamond" w:cs="Arial"/>
          <w:lang w:val="en-GB"/>
        </w:rPr>
        <w:lastRenderedPageBreak/>
        <w:t>Lokalisation im seelischen Apparat wir ihr anweisen sollen. Wenn sie auch den stärksten Einfluß auf das seelische Leben ausübt, so ist doch der organische Faktor an ihr der hervorragendste.</w:t>
      </w:r>
    </w:p>
    <w:p w:rsidR="00062BE4" w:rsidRPr="002F7766" w:rsidRDefault="00062BE4" w:rsidP="00062BE4">
      <w:pPr>
        <w:rPr>
          <w:rFonts w:ascii="Garamond" w:hAnsi="Garamond" w:cs="Arial"/>
          <w:lang w:val="en-GB"/>
        </w:rPr>
      </w:pPr>
      <w:r w:rsidRPr="002F7766">
        <w:rPr>
          <w:rFonts w:ascii="Garamond" w:hAnsi="Garamond" w:cs="Arial"/>
          <w:lang w:val="en-GB"/>
        </w:rPr>
        <w:t>Erörterungen wie diese, meine Herren, müssen etwas dürr geraten. Wenden wir uns an die Klinik, um etwas eindrucksvollere Anwendungen von ihnen zu machen. Sie wissen, daß Hysterie und Zwangsneurose die beiden Hauptvertreter der Gruppe der Übertragungsneurosen sind. Bei der Hysterie gibt es nun zwar eine Regression der Libido zu den primären inzestuösen Sexualobjekten, und diese ganz regelmäßig, aber so gut wie keine Regression auf eine frühere Stufe der Sexualorganisation. Dafür fällt der Verdrängung im hysterischen Mechanismus die Hauptrolle zu. Wenn ich mir gestatten darf, unsere bisherige gesicherte Kenntnis dieser Neurose durch eine Konstruktion zu vervollständigen, so könnte ich den Sachverhalt in folgender Weise beschreiben: Die Einigung der Partialtriebe unter dem Primat der Genitalien ist vollzogen, ihre Ergebnisse stoßen aber auf den Widerstand des mit dem Bewußtsein verknüpften vorbewußten Systems. Die Genitalorganisation gilt also fürs Unbewußte, nicht ebenso fürs Vorbewußte, und diese Ablehnung von Seiten des Vorbewußten bringt ein Bild zustande, welches mit dem Zustand vor dem Genitalprimat gewisse Ähnlichkeiten hat. Es ist aber doch etwas ganz anderes. Von den beiden Libidoregressionen ist die auf eine frühere Phase der Sexualorganisation die bei weitem auffälligere. Da sie bei der Hysterie fehlt und unsere ganze Auffassung der Neurosen noch viel zu sehr unter dem Einflusse des Studiums der Hysterie steht, welches zeitlich voranging, so ist die Bedeutung der Libidoregression uns auch viel später klar geworden als die der Verdrängung. Seien wir gefaßt darauf, daß unsere Gesichtspunkte noch andere Erweiterungen und Umwertungen erfahren werden, wenn wir außer Hysterie und Zwangsneurose noch die anderen, narzißtischen Neurosen in unsere Betrachtungen einbeziehen können.</w:t>
      </w:r>
    </w:p>
    <w:p w:rsidR="00062BE4" w:rsidRPr="002F7766" w:rsidRDefault="00062BE4" w:rsidP="00062BE4">
      <w:pPr>
        <w:rPr>
          <w:rFonts w:ascii="Garamond" w:hAnsi="Garamond" w:cs="Arial"/>
          <w:lang w:val="en-GB"/>
        </w:rPr>
      </w:pPr>
      <w:r w:rsidRPr="002F7766">
        <w:rPr>
          <w:rFonts w:ascii="Garamond" w:hAnsi="Garamond" w:cs="Arial"/>
          <w:lang w:val="en-GB"/>
        </w:rPr>
        <w:t>Bei der Zwangsneurose ist im Gegenteil die Regression der Libido auf die Vorstufe der sadistisch-analen Organisation das auffälligste und das für die Äußerung in Symptomen maßgebende Faktum. Der Liebesimpuls muß sich dann als sadistischer Impuls maskieren. Die Zwangsvorstellung: ich möchte dich ermorden, heißt im Grunde, wenn man sie von gewissen, aber nicht zufälligen, sondern unerläßlichen Zutaten befreit hat, nichts anderes als: ich möchte dich in Liebe genießen. Nehmen Sie dazu, daß gleichzeitig eine Objektregression stattgehabt hat, so daß diese Impulse nur den nächsten und den geliebtesten Personen gelten, so können Sie sich von dem Entsetzen eine Vorstellung machen, welches diese Zwangsvorstellungen beim Kranken erwecken, und gleichzeitig von der Fremdartigkeit, in welcher sie seiner bewußten Wahrnehmung entgegentreten. Aber auch die Verdrängung hat an dem Mechanismus dieser Neurosen ihren großen Anteil, der in einer flüchtigen Einführung wie der unserigen allerdings nicht leicht auseinanderzusetzen ist. Regression der Libido ohne Verdrängung würde nie eine Neurose ergeben, sondern in eine Perversion auslaufen. Daraus ersehen Sie, daß die Verdrängung jener Prozeß ist, welcher der Neurose am ehesten eigentümlich zukommt und sie am besten charakterisiert. Vielleicht habe ich aber auch einmal Gelegenheit, Ihnen vorzuführen, was wir über den Mechanismus der Perversionen wissen, und Sie werden dann sehen, daß auch hier nichts so einfach vor sich geht, wie man es sich gerne konstruieren möchte.</w:t>
      </w:r>
    </w:p>
    <w:p w:rsidR="00062BE4" w:rsidRPr="002F7766" w:rsidRDefault="00062BE4" w:rsidP="00062BE4">
      <w:pPr>
        <w:rPr>
          <w:rFonts w:ascii="Garamond" w:hAnsi="Garamond" w:cs="Arial"/>
          <w:lang w:val="en-GB"/>
        </w:rPr>
      </w:pPr>
      <w:r w:rsidRPr="002F7766">
        <w:rPr>
          <w:rFonts w:ascii="Garamond" w:hAnsi="Garamond" w:cs="Arial"/>
          <w:lang w:val="en-GB"/>
        </w:rPr>
        <w:t xml:space="preserve">Meine Herren! Ich meine, Sie werden sich mit den eben angehörten Ausführungen über Fixierung und Regression der Libido am ehesten versöhnen, wenn Sie sie als Vorbereitung für die Erforschung der Ätiologie der Neurosen gelten lassen wollen. Ich habe Ihnen hierüber erst eine einzige Mitteilung gemacht, nämlich daß die Menschen neurotisch erkranken, wenn ihnen die Möglichkeit benommen ist, ihre Libido zu befriedigen, also an der »Versagung«, wie ich mich ausdrückte, und daß ihre Symptome eben der Ersatz für die versagte Befriedigung sind. Natürlich sollte das nicht heißen, daß jede Versagung der libidinösen Befriedigung jeden, den sie trifft, neurotisch macht, sondern bloß, daß in allen untersuchten Fällen von Neurose das Moment der Versagung nachweisbar war. Der Satz ist also nicht umkehrbar. Sie werden wohl auch verstanden haben, daß jene Behauptung nicht das ganze Geheimnis der </w:t>
      </w:r>
      <w:r w:rsidRPr="002F7766">
        <w:rPr>
          <w:rFonts w:ascii="Garamond" w:hAnsi="Garamond" w:cs="Arial"/>
          <w:lang w:val="en-GB"/>
        </w:rPr>
        <w:lastRenderedPageBreak/>
        <w:t>Neurosenätiologie aufdecken sollte, sondern eben nur eine wichtige und unerläßliche Bedingung hervorhob.</w:t>
      </w:r>
    </w:p>
    <w:p w:rsidR="00062BE4" w:rsidRPr="002F7766" w:rsidRDefault="00062BE4" w:rsidP="00062BE4">
      <w:pPr>
        <w:rPr>
          <w:rFonts w:ascii="Garamond" w:hAnsi="Garamond" w:cs="Arial"/>
          <w:lang w:val="en-GB"/>
        </w:rPr>
      </w:pPr>
      <w:r w:rsidRPr="002F7766">
        <w:rPr>
          <w:rFonts w:ascii="Garamond" w:hAnsi="Garamond" w:cs="Arial"/>
          <w:lang w:val="en-GB"/>
        </w:rPr>
        <w:t xml:space="preserve">Man weiß jetzt nicht, soll man sich für die weitere Diskussion dieses Satzes an die Natur der Versagung oder an die Eigenart des von ihr Betroffenen halten. Die Versagung ist doch höchst selten eine allseitige und absolute; um pathogen wirksam zu werden, muß sie wohl jene Weise der Befriedigung betreffen, nach der die Person allein verlangt, deren sie allein fähig ist. Es gibt im allgemeinen sehr viele Wege, die Entbehrung der libidinösen Befriedigung zu vertragen, ohne an ihr zu erkranken. Vor allem kennen wir Menschen, die imstande sind, eine solche Entbehrung ohne Schaden auf sich zu nehmen; sie sind dann nicht glücklich, sie leiden an Sehnsucht, aber sie werden nicht krank. Sodann müssen wir in Betracht ziehen, daß gerade die sexuellen Triebregungen außerordentlich </w:t>
      </w:r>
      <w:r w:rsidRPr="002F7766">
        <w:rPr>
          <w:rFonts w:ascii="Garamond" w:hAnsi="Garamond" w:cs="Arial"/>
          <w:i/>
          <w:iCs/>
          <w:lang w:val="en-GB"/>
        </w:rPr>
        <w:t>plastisch</w:t>
      </w:r>
      <w:r w:rsidRPr="002F7766">
        <w:rPr>
          <w:rFonts w:ascii="Garamond" w:hAnsi="Garamond" w:cs="Arial"/>
          <w:lang w:val="en-GB"/>
        </w:rPr>
        <w:t xml:space="preserve"> sind, wenn ich so sagen darf. Sie können die eine für die andere eintreten, eine kann die Intensität der anderen auf sich nehmen; wenn die Befriedigung der einen durch die Realität versagt ist, kann die Befriedigung einer anderen volle Entschädigung bieten. Sie verhalten sich zueinander wie ein Netz von kommunizierenden, mit Flüssigkeit gefüllten Kanälen, und dies trotz ihrer Unterwerfung unter den Genitalprimat, was gar nicht so bequem in einer Vorstellung zu vereinen ist. Ferner zeigen die Partialtriebe der Sexualität, ebenso wie die aus ihnen zusammengefaßte Sexualstrebung, eine große Fähigkeit, ihr Objekt zu wechseln, es gegen ein anderes, also auch gegen ein bequemer erreichbares, zu vertauschen; diese Verschiebbarkeit und Bereitwilligkeit, Surrogate anzunehmen, müssen der pathogenen Wirkung einer Versagung mächtig entgegenarbeiten. Unter diesen gegen die Erkrankung durch Entbehrung schützenden Prozessen hat einer eine besondere kulturelle Bedeutung gewonnen. Er besteht darin, daß die Sexualbestrebung ihr auf Partiallust oder Fortpflanzungslust gerichtetes Ziel aufgibt und ein anderes annimmt, welches genetisch mit dem aufgegebenen zusammenhängt, aber selbst nicht mehr sexuell, sondern sozial genannt werden muß. Wir heißen den Prozeß »Sublimierung«, wobei wir uns der allgemeinen Schätzung fügen, welche soziale Ziele höher stellt als die im Grunde selbstsüchtigen sexuellen. Die Sublimierung ist übrigens nur ein Spezialfall der Anlehnung von Sexualstrebungen an andere nicht sexuelle. Wir werden in anderem Zusammenhange nochmals von ihr reden müssen.</w:t>
      </w:r>
    </w:p>
    <w:p w:rsidR="00062BE4" w:rsidRPr="002F7766" w:rsidRDefault="00062BE4" w:rsidP="00062BE4">
      <w:pPr>
        <w:rPr>
          <w:rFonts w:ascii="Garamond" w:hAnsi="Garamond" w:cs="Arial"/>
          <w:lang w:val="en-GB"/>
        </w:rPr>
      </w:pPr>
      <w:r w:rsidRPr="002F7766">
        <w:rPr>
          <w:rFonts w:ascii="Garamond" w:hAnsi="Garamond" w:cs="Arial"/>
          <w:lang w:val="en-GB"/>
        </w:rPr>
        <w:t>Sie werden nun den Eindruck haben, daß die Entbehrung durch alle diese Mittel, sie zu ertragen, zur Bedeutungslosigkeit herabgedrückt worden sei. Aber nein, sie behält ihre pathogene Macht. Die Gegenmittel sind allgemein nicht ausreichend. Das Maß von unbefriedigter Libido, das die Menschen im Durchschnitt auf sich nehmen können, ist begrenzt. Die Plastizität oder freie Beweglichkeit der Libido ist keineswegs bei allen voll erhalten, und die Sublimierung kann immer nur einen gewissen Bruchteil der Libido erledigen, abgesehen davon, daß die Fähigkeit zu sublimieren vielen Menschen nur in geringem Ausmaße zugeteilt ist. Die wichtigste unter diesen Einschränkungen ist offenbar die in der Beweglichkeit der Libido, da sie die Befriedigung des Individuums von der Erreichung einer sehr geringen Anzahl von Zielen und Objekten abhängig macht. Erinnern Sie sich nur daran, daß eine unvollkommene Libidoentwicklung sehr ausgiebige, eventuell auch mehrfache Libidofixierungen an frühe Phasen der Organisation und Objektfindung hinterläßt, welche einer realen Befriedigung meist nicht fähig sind, so werden Sie in der Libidofixierung den zweiten mächtigen Faktor erkennen, der mit der Versagung zur Krankheitsverursachung zusammentritt. In schematischer Verkürzung können Sie es aussprechen, daß die Libidofixierung den disponierenden, internen, die Versagung den akzidentellen, externen Faktor der Neurosenätiologie repräsentiert.</w:t>
      </w:r>
    </w:p>
    <w:p w:rsidR="00062BE4" w:rsidRPr="002F7766" w:rsidRDefault="00062BE4" w:rsidP="00062BE4">
      <w:pPr>
        <w:rPr>
          <w:rFonts w:ascii="Garamond" w:hAnsi="Garamond" w:cs="Arial"/>
          <w:lang w:val="en-GB"/>
        </w:rPr>
      </w:pPr>
      <w:r w:rsidRPr="002F7766">
        <w:rPr>
          <w:rFonts w:ascii="Garamond" w:hAnsi="Garamond" w:cs="Arial"/>
          <w:lang w:val="en-GB"/>
        </w:rPr>
        <w:t xml:space="preserve">Ich ergreife hier die Gelegenheit, Sie vor der Parteinahme in einem ganz überflüssigen Streit zu warnen. Im wissenschaftlichen Betrieb ist es sehr beliebt, einen Anteil der Wahrheit herauszugreifen, ihn an die Stelle des Ganzen zu setzen und nun zu seinen Gunsten das übrige, was nicht minder wahr ist, zu bekämpfen. Auf diesem Wege haben sich auch bereits aus der psychoanalytischen Bewegung mehrere Richtungen abgespalten, von denen die eine nur die egoistischen Triebe anerkennt, die sexuellen dagegen verleugnet, die andere nur den Einfluß der realen Lebensaufgaben würdigt, den der individuellen </w:t>
      </w:r>
      <w:r w:rsidRPr="002F7766">
        <w:rPr>
          <w:rFonts w:ascii="Garamond" w:hAnsi="Garamond" w:cs="Arial"/>
          <w:lang w:val="en-GB"/>
        </w:rPr>
        <w:lastRenderedPageBreak/>
        <w:t xml:space="preserve">Vergangenheit aber übersieht u.dgl. mehr. Nun bietet sich hier ein Anlaß zu einer ähnlichen Entgegenstellung und Streitfrage: Sind die Neurosen </w:t>
      </w:r>
      <w:r w:rsidRPr="002F7766">
        <w:rPr>
          <w:rFonts w:ascii="Garamond" w:hAnsi="Garamond" w:cs="Arial"/>
          <w:i/>
          <w:iCs/>
          <w:lang w:val="en-GB"/>
        </w:rPr>
        <w:t>exogene</w:t>
      </w:r>
      <w:r w:rsidRPr="002F7766">
        <w:rPr>
          <w:rFonts w:ascii="Garamond" w:hAnsi="Garamond" w:cs="Arial"/>
          <w:lang w:val="en-GB"/>
        </w:rPr>
        <w:t xml:space="preserve"> oder </w:t>
      </w:r>
      <w:r w:rsidRPr="002F7766">
        <w:rPr>
          <w:rFonts w:ascii="Garamond" w:hAnsi="Garamond" w:cs="Arial"/>
          <w:i/>
          <w:iCs/>
          <w:lang w:val="en-GB"/>
        </w:rPr>
        <w:t>endogene</w:t>
      </w:r>
      <w:r w:rsidRPr="002F7766">
        <w:rPr>
          <w:rFonts w:ascii="Garamond" w:hAnsi="Garamond" w:cs="Arial"/>
          <w:lang w:val="en-GB"/>
        </w:rPr>
        <w:t xml:space="preserve"> Krankheiten, die unausbleibliche Folge einer gewissen Konstitution oder das Produkt gewisser schädigender (traumatischer) Lebenseindrücke, im besonderen: werden sie durch die Libidofixierung (und die sonstige Sexualkonstitution) oder durch den Druck der Versagung hervorgerufen? Dies Dilemma scheint mir im ganzen nicht weiser als ein anderes, das ich Ihnen vorlegen könnte: Entsteht das Kind durch die Zeugung des Vaters oder durch die Empfängnis von Seiten der Mutter? Beide Bedingungen sind gleich unentbehrlich, werden Sie mit Recht antworten. In der Verursachung der Neurosen ist das Verhältnis, wenn nicht ganz das nämliche, doch ein sehr ähnliches. Für die Betrachtung der Verursachung ordnen sich die Fälle der neurotischen Erkrankungen zu einer Reihe, innerhalb welcher beide Momente Sexualkonstitution und Erleben, oder wenn Sie wollen: Libidofixierung und Versagung so vertreten sind, daß das eine wächst, wenn das andere abnimmt. An dem einen Ende der Reihe stehen die extremen Fälle, von denen Sie mit Überzeugung sagen können: Diese Menschen wären infolge ihrer absonderlichen Libidoentwicklung auf jeden Fall erkrankt, was immer sie erlebt hätten, wie sorgfältig sie das Leben auch geschont hätte. Am anderen Ende stehen die Fälle, bei denen Sie umgekehrt urteilen müssen, sie wären gewiß der Krankheit entgangen, wenn das Leben sie nicht in diese oder jene Lage gebracht hätte. Bei den Fällen innerhalb der Reihe trifft ein Mehr oder Minder von disponierender Sexualkonstitution mit einem Minder oder Mehr von schädigenden Lebensanforderungen zusammen. Ihre Sexualkonstitution hätte ihnen nicht die Neurose gebracht, wenn sie nicht solche Erlebnisse gehabt hätten, und diese Erlebnisse hätten nicht traumatisch auf sie gewirkt, wenn die Verhältnisse der Libido andere gewesen wären. Ich kann in dieser Reihe vielleicht ein gewisses Übergewicht an Bedeutung für die disponierenden Momente zugestehen, aber auch dies Zugeständnis hängt davon ab, wie weit Sie die Grenzen der Nervosität abstecken wollen.</w:t>
      </w:r>
    </w:p>
    <w:p w:rsidR="00062BE4" w:rsidRPr="002F7766" w:rsidRDefault="00062BE4" w:rsidP="00062BE4">
      <w:pPr>
        <w:rPr>
          <w:rFonts w:ascii="Garamond" w:hAnsi="Garamond" w:cs="Arial"/>
          <w:lang w:val="en-GB"/>
        </w:rPr>
      </w:pPr>
      <w:r w:rsidRPr="002F7766">
        <w:rPr>
          <w:rFonts w:ascii="Garamond" w:hAnsi="Garamond" w:cs="Arial"/>
          <w:lang w:val="en-GB"/>
        </w:rPr>
        <w:t xml:space="preserve">Meine Herren! Ich mache Ihnen den Vorschlag, Reihen wie diese als </w:t>
      </w:r>
      <w:r w:rsidRPr="002F7766">
        <w:rPr>
          <w:rFonts w:ascii="Garamond" w:hAnsi="Garamond" w:cs="Arial"/>
          <w:i/>
          <w:iCs/>
          <w:lang w:val="en-GB"/>
        </w:rPr>
        <w:t>Ergänzungsreihen</w:t>
      </w:r>
      <w:r w:rsidRPr="002F7766">
        <w:rPr>
          <w:rFonts w:ascii="Garamond" w:hAnsi="Garamond" w:cs="Arial"/>
          <w:lang w:val="en-GB"/>
        </w:rPr>
        <w:t xml:space="preserve"> zu bezeichnen, und bereite Sie darauf vor, daß wir Anlaß finden werden, noch andere solche Reihen aufzustellen.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Zähigkeit, mit welcher die Libido an bestimmten Richtungen und Objekten haftet, sozusagen die </w:t>
      </w:r>
      <w:r w:rsidRPr="002F7766">
        <w:rPr>
          <w:rFonts w:ascii="Garamond" w:hAnsi="Garamond" w:cs="Arial"/>
          <w:i/>
          <w:iCs/>
          <w:lang w:val="en-GB"/>
        </w:rPr>
        <w:t>Klebrigkeit</w:t>
      </w:r>
      <w:r w:rsidRPr="002F7766">
        <w:rPr>
          <w:rFonts w:ascii="Garamond" w:hAnsi="Garamond" w:cs="Arial"/>
          <w:lang w:val="en-GB"/>
        </w:rPr>
        <w:t xml:space="preserve"> der Libido, erscheint uns als ein selbständiger, individuell variabler Faktor, dessen Abhängigkeiten uns völlig unbekannt sind, dessen Bedeutung für die Ätiologie der Neurosen wir gewiß nicht mehr unterschätzen werden. Wir sollen aber auch die Innigkeit dieser Beziehung nicht überschätzen. Eine ebensolche »Klebrigkeit« der Libido aus unbekannten Gründen kommt nämlich unter zahlreichen Bedingungen beim Normalen vor und wird als bestimmendes Moment bei den Personen gefunden, welche in gewissem Sinne der Gegensatz der Nervösen sind, bei den Perversen. Es war schon vor der Zeit der Psychoanalyse (Binet), daß in der Anamnese der Perversen recht häufig ein sehr frühzeitiger Eindruck von abnormer Triebrichtung oder Objektwahl aufgedeckt wird, an dem nun die Libido dieser Person fürs Leben haften geblieben ist. Man weiß oft nicht zu sagen, was diesen Eindruck dazu befähigt hat, eine so intensive Anziehung auf die Libido auszuüben. Ich will Ihnen einen selbstbeobachteten Fall dieser Art erzählen. Ein Mann, dem heute das Genitale und alle anderen Reize des Weibes nichts bedeuten, der nur durch einen beschuhten Fuß von gewisser Form in unwiderstehliche sexuelle Erregung versetzt werden kann, weiß sich an ein Erlebnis aus seinem sechsten Jahre zu erinnern, welches maßgebend für die Fixierung seiner Libido geworden ist. </w:t>
      </w:r>
      <w:r w:rsidRPr="002F7766">
        <w:rPr>
          <w:rFonts w:ascii="Garamond" w:hAnsi="Garamond" w:cs="Arial"/>
        </w:rPr>
        <w:t xml:space="preserve">Er saß auf einem Schemel neben der Gouvernante, bei der er englische Stunde nehmen sollte. Die Gouvernante, ein altes, dürres, unschönes Mädchen mit wasserblauen Augen und aufgestülpter Nase, hatte an diesem Tage einen kranken Fuß und ließ ihn darum mit einem Samtpantoffel bekleidet, ausgestreckt auf einem Polster ruhen; ihr Bein selbst war dabei in dezentester Weise verhüllt. Ein so magerer sehniger Fuß, wie er ihn damals an der Gouvernante gesehen, wurde nun, nach einem schüchternen Versuch normaler Sexualbetätigung in der Pubertät, sein einziges Sexualobjekt, und der Mann war widerstandslos hingerissen, wenn sich zu diesem Fuß noch andere Züge gesellten, welche an den Typus der englischen Gouvernante erinnerten. </w:t>
      </w:r>
      <w:r w:rsidRPr="002F7766">
        <w:rPr>
          <w:rFonts w:ascii="Garamond" w:hAnsi="Garamond" w:cs="Arial"/>
          <w:lang w:val="en-GB"/>
        </w:rPr>
        <w:t xml:space="preserve">Durch diese Fixierung seiner Libido wurde </w:t>
      </w:r>
      <w:r w:rsidRPr="002F7766">
        <w:rPr>
          <w:rFonts w:ascii="Garamond" w:hAnsi="Garamond" w:cs="Arial"/>
          <w:lang w:val="en-GB"/>
        </w:rPr>
        <w:lastRenderedPageBreak/>
        <w:t>der Mann aber nicht zum Neurotiker, sondern zum Perversen, zum Fußfetischisten, wie wir sagen. Sie sehen also, obwohl die übermäßige, zudem noch vorzeitige Fixierung der Libido für die Verursachung der Neurosen unentbehrlich ist, geht ihr Wirkungskreis doch weit über das Gebiet der Neurosen hinaus. Auch diese Bedingung ist für sich allein sowenig entscheidend wie die früher erwähnte der Versagung.</w:t>
      </w:r>
    </w:p>
    <w:p w:rsidR="00062BE4" w:rsidRPr="002F7766" w:rsidRDefault="00062BE4" w:rsidP="00062BE4">
      <w:pPr>
        <w:rPr>
          <w:rFonts w:ascii="Garamond" w:hAnsi="Garamond" w:cs="Arial"/>
          <w:lang w:val="en-GB"/>
        </w:rPr>
      </w:pPr>
      <w:r w:rsidRPr="002F7766">
        <w:rPr>
          <w:rFonts w:ascii="Garamond" w:hAnsi="Garamond" w:cs="Arial"/>
          <w:lang w:val="en-GB"/>
        </w:rPr>
        <w:t xml:space="preserve">Das Problem der Verursachung der Neurosen scheint sich also zu komplizieren. In der Tat macht uns die psychoanalytische Untersuchung mit einem neuen Moment bekannt, welches in unserer ätiologischen Reihe nicht berücksichtigt ist und das man am besten bei Fällen erkennt, deren bisheriges Wohlbefinden plötzlich durch die neurotische Erkrankung gestört wird. Man findet bei diesen Personen regelmäßig die Anzeichen eines Widerstreites von Wunschregungen oder, wie wir zu sagen gewohnt sind, eines psychischen </w:t>
      </w:r>
      <w:r w:rsidRPr="002F7766">
        <w:rPr>
          <w:rFonts w:ascii="Garamond" w:hAnsi="Garamond" w:cs="Arial"/>
          <w:i/>
          <w:iCs/>
          <w:lang w:val="en-GB"/>
        </w:rPr>
        <w:t>Konfliktes</w:t>
      </w:r>
      <w:r w:rsidRPr="002F7766">
        <w:rPr>
          <w:rFonts w:ascii="Garamond" w:hAnsi="Garamond" w:cs="Arial"/>
          <w:lang w:val="en-GB"/>
        </w:rPr>
        <w:t>. Ein Stück der Persönlichkeit vertritt gewisse Wünsche, ein anderes sträubt sich dagegen und wehrt sie ab. Ohne solchen Konflikt gibt es keine Neurose. Das schiene uns nichts Besonderes. Sie wissen, daß unser seelisches Leben unaufhörlich von Konflikten bewegt wird, deren Entscheidung wir zu treffen haben. Es müssen also wohl besondere Bedingungen erfüllt sein, wenn ein solcher Konflikt pathogen werden soll. Wir dürfen fragen, welches diese Bedingungen sind, zwischen welchen seelischen Mächten sich diese pathogenen Konflikte abspielen, welche Beziehung der Konflikt zu den anderen verursachenden Momenten hat.</w:t>
      </w:r>
    </w:p>
    <w:p w:rsidR="00062BE4" w:rsidRPr="002F7766" w:rsidRDefault="00062BE4" w:rsidP="00062BE4">
      <w:pPr>
        <w:rPr>
          <w:rFonts w:ascii="Garamond" w:hAnsi="Garamond" w:cs="Arial"/>
          <w:lang w:val="en-GB"/>
        </w:rPr>
      </w:pPr>
      <w:r w:rsidRPr="002F7766">
        <w:rPr>
          <w:rFonts w:ascii="Garamond" w:hAnsi="Garamond" w:cs="Arial"/>
          <w:lang w:val="en-GB"/>
        </w:rPr>
        <w:t>Ich hoffe, Ihnen auf diese Fragen ausreichende Antworten geben zu können, wenn sie auch schematisch verkürzt sein mögen. Der Konflikt wird durch die Versagung heraufbeschworen, indem die ihrer Befriedigung verlustige Libido nun darauf angewiesen ist, sich andere Objekte und Wege zu suchen. Er hat zur Bedingung, daß diese anderen Wege und Objekte bei einem Anteil der Persönlichkeit ein Mißfallen erwecken, so daß ein Veto erfolgt, welches die neue Weise der Befriedigung zunächst unmöglich macht. Von hier aus geht der Weg zur Symptombildung weiter, den wir später verfolgen werden. Die abgewiesenen libidinösen Strebungen bringen es zustande, sich auf gewissen Umwegen doch durchzusetzen, allerdings nicht ohne dem Einspruch durch gewisse Entstellungen und Milderungen Rechnung zu tragen. Die Umwege sind die Wege der Symptombildung, die Symptome sind die neue oder Ersatzbefriedigung, die durch die Tatsache der Versagung notwendig geworden ist.</w:t>
      </w:r>
    </w:p>
    <w:p w:rsidR="00062BE4" w:rsidRPr="002F7766" w:rsidRDefault="00062BE4" w:rsidP="00062BE4">
      <w:pPr>
        <w:rPr>
          <w:rFonts w:ascii="Garamond" w:hAnsi="Garamond" w:cs="Arial"/>
          <w:lang w:val="en-GB"/>
        </w:rPr>
      </w:pPr>
      <w:r w:rsidRPr="002F7766">
        <w:rPr>
          <w:rFonts w:ascii="Garamond" w:hAnsi="Garamond" w:cs="Arial"/>
          <w:lang w:val="en-GB"/>
        </w:rPr>
        <w:t xml:space="preserve">Man kann der Bedeutung des psychischen Konflikts auch durch eine andere Ausdrucksweise gerecht werden, indem man sagt: zur </w:t>
      </w:r>
      <w:r w:rsidRPr="002F7766">
        <w:rPr>
          <w:rFonts w:ascii="Garamond" w:hAnsi="Garamond" w:cs="Arial"/>
          <w:i/>
          <w:iCs/>
          <w:lang w:val="en-GB"/>
        </w:rPr>
        <w:t>äußeren</w:t>
      </w:r>
      <w:r w:rsidRPr="002F7766">
        <w:rPr>
          <w:rFonts w:ascii="Garamond" w:hAnsi="Garamond" w:cs="Arial"/>
          <w:lang w:val="en-GB"/>
        </w:rPr>
        <w:t xml:space="preserve"> Versagung muß, damit sie pathogen wirke, noch die </w:t>
      </w:r>
      <w:r w:rsidRPr="002F7766">
        <w:rPr>
          <w:rFonts w:ascii="Garamond" w:hAnsi="Garamond" w:cs="Arial"/>
          <w:i/>
          <w:iCs/>
          <w:lang w:val="en-GB"/>
        </w:rPr>
        <w:t>innere</w:t>
      </w:r>
      <w:r w:rsidRPr="002F7766">
        <w:rPr>
          <w:rFonts w:ascii="Garamond" w:hAnsi="Garamond" w:cs="Arial"/>
          <w:lang w:val="en-GB"/>
        </w:rPr>
        <w:t xml:space="preserve"> Versagung hinzutreten. Äußere und innere Versagung beziehen sich dann natürlich auf verschiedene Wege und Objekte. Die äußere Versagung nimmt die eine Möglichkeit der Befriedigung weg, die innere Versagung möchte eine andere Möglichkeit ausschließen, um welche dann der Konflikt losbricht. Ich gebe dieser Art der Darstellung den Vorzug, weil sie einen geheimen Gehalt besitzt. Sie deutet nämlich auf die Wahrscheinlichkeit hin, daß die inneren Abhaltungen in den Vorzeiten menschlicher Entwicklung aus realen äußeren Hindernissen hervorgegangen sind.</w:t>
      </w:r>
    </w:p>
    <w:p w:rsidR="00062BE4" w:rsidRPr="002F7766" w:rsidRDefault="00062BE4" w:rsidP="00062BE4">
      <w:pPr>
        <w:rPr>
          <w:rFonts w:ascii="Garamond" w:hAnsi="Garamond" w:cs="Arial"/>
          <w:lang w:val="en-GB"/>
        </w:rPr>
      </w:pPr>
      <w:r w:rsidRPr="002F7766">
        <w:rPr>
          <w:rFonts w:ascii="Garamond" w:hAnsi="Garamond" w:cs="Arial"/>
          <w:lang w:val="en-GB"/>
        </w:rPr>
        <w:t>Welches sind aber die Mächte, von denen der Einspruch gegen die libidinöse Strebung ausgeht, die andere Partei im pathogenen Konflikt? Es sind, ganz allgemein gesagt, die nicht sexuellen Triebkräfte. Wir fassen sie als »Ichtriebe« zusammen; die Psychoanalyse der Übertragungsneurosen gibt uns keinen guten Zugang zu ihrer weiteren Zerlegung, wir lernen sie höchstens einigermaßen durch die Widerstände kennen, die sich der Analyse entgegensetzen. Der pathogene Konflikt ist also ein solcher zwischen den Ichtrieben und den Sexualtrieben. Es hat in einer ganzen Reihe von Fällen den Anschein, als ob es auch ein Konflikt zwischen verschiedenen, rein sexuellen Strebungen sein könnte; aber das ist im Grunde dasselbe, denn von den beiden im Konflikt befindlichen Sexualstrebungen ist immer die eine sozusagen ichgerecht, während die andere die Abwehr des Ichs herausfordert. Es bleibt also beim Konflikt zwischen Ich und Sexualität.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Meine Herren! Oft und oft, wenn die Psychoanalyse ein seelisches Geschehen als Leistung der Sexualtriebe in Anspruch genommen hat, wurde ihr in ärgerlicher Abwehr vorgehalten, der Mensch bestehe nicht nur aus Sexualität, es gebe im Seelenleben noch andere Triebe und Interessen als die sexuellen, man dürfe nicht »alles« von der Sexualität ableiten u.dgl. Nun, es ist hocherfreulich, sich auch einmal eines Sinnes mit seinen Gegnern zu finden. Die Psychoanalyse hat nie vergessen, daß es auch nicht sexuelle Triebkräfte gibt, sie hat sich auf der scharfen Sonderung der sexuellen Triebe von den Ichtrieben aufgebaut und vor jedem Einspruch behauptet, nicht daß die Neurosen aus der Sexualität hervorgehen, sondern daß sie dem Konflikt zwischen Ich und Sexualität ihren Ursprung danken. Sie hat auch gar kein denkbares Motiv, Existenz oder Bedeutung der Ichtriebe zu bestreiten, während sie die Rolle der sexuellen Triebe in der Krankheit und im Leben verfolgt. Nur daß es ihr Schicksal geworden ist, sich in erster Linie mit den Sexualtrieben zu beschäftigen, weil diese durch die Übertragungsneurosen der Einsicht am ehesten zugänglich geworden sind, und weil es ihr obgelegen hat, das zu studieren, was andere vernachlässigt hatten.</w:t>
      </w:r>
    </w:p>
    <w:p w:rsidR="00062BE4" w:rsidRPr="002F7766" w:rsidRDefault="00062BE4" w:rsidP="00062BE4">
      <w:pPr>
        <w:rPr>
          <w:rFonts w:ascii="Garamond" w:hAnsi="Garamond" w:cs="Arial"/>
          <w:lang w:val="en-GB"/>
        </w:rPr>
      </w:pPr>
      <w:r w:rsidRPr="002F7766">
        <w:rPr>
          <w:rFonts w:ascii="Garamond" w:hAnsi="Garamond" w:cs="Arial"/>
          <w:lang w:val="en-GB"/>
        </w:rPr>
        <w:t xml:space="preserve">Es trifft auch nicht zu, daß sich die Psychoanalyse um den nicht sexuellen Anteil der Persönlichkeit gar nicht gekümmert hat. Gerade die Sonderung von Ich und Sexualität hat uns mit besonderer Klarheit erkennen lassen, daß auch die Ichtriebe eine bedeutsame Entwicklung durchmachen, eine Entwicklung, die weder ganz unabhängig von der Libido, noch ohne Gegenwirkung auf diese ist. Wir kennen allerdings die Ichentwicklung sehr viel schlechter als die der Libido, weil nämlich erst das Studium der narzißtischen Neurosen eine Einsicht in den Aufbau des Ichs verspricht. Doch liegt bereits ein beachtenswerter Versuch von Ferenczi vor, die Entwicklungsstufen des Ichs theoretisch zu konstruieren, und an wenigstens zwei Stellen haben wir feste Anhaltspunkte für die Beurteilung dieser Entwicklung gewonnen. Wir denken ja nicht daran, daß sich die libidinösen Interessen einer Person von vornherein im Gegensatz zu ihren Selbsterhaltungsinteressen befinden; vielmehr wird das Ich auf jeder Stufe bestrebt sein, mit seiner derzeitigen Sexualorganisation im Einklang zu bleiben und sie sich einzuordnen. Die Ablösung der einzelnen Phasen in der Libidoentwicklung folgt wahrscheinlich einem vorgeschriebenen Programm; es ist aber nicht abzuweisen, daß dieser Ablauf von Seiten des Ichs beeinflußt werden kann, und ein gewisser Parallelismus, eine bestimmte Entsprechung der Entwicklungsphasen von Ich und Libido dürfte gleichfalls vorgesehen sein; ja, die Störung dieser Entsprechung könnte ein pathogenes Moment ergeben. Ein für uns wichtiger Gesichtspunkt ist es nun, wie sich das Ich verhält, wenn seine Libido an einer Stelle ihrer Entwicklung eine starke Fixierung hinterläßt. Es kann dieselbe zulassen und wird dann in dem entsprechenden Maß pervers oder, was dasselbe ist, infantil. Es kann sich aber auch ablehnend gegen diese Festsetzung der Libido verhalten, und dann hat das Ich dort eine </w:t>
      </w:r>
      <w:r w:rsidRPr="002F7766">
        <w:rPr>
          <w:rFonts w:ascii="Garamond" w:hAnsi="Garamond" w:cs="Arial"/>
          <w:i/>
          <w:iCs/>
          <w:lang w:val="en-GB"/>
        </w:rPr>
        <w:t>Verdrängung</w:t>
      </w:r>
      <w:r w:rsidRPr="002F7766">
        <w:rPr>
          <w:rFonts w:ascii="Garamond" w:hAnsi="Garamond" w:cs="Arial"/>
          <w:lang w:val="en-GB"/>
        </w:rPr>
        <w:t xml:space="preserve">, wo die Libido eine </w:t>
      </w:r>
      <w:r w:rsidRPr="002F7766">
        <w:rPr>
          <w:rFonts w:ascii="Garamond" w:hAnsi="Garamond" w:cs="Arial"/>
          <w:i/>
          <w:iCs/>
          <w:lang w:val="en-GB"/>
        </w:rPr>
        <w:t>Fixierung</w:t>
      </w:r>
      <w:r w:rsidRPr="002F7766">
        <w:rPr>
          <w:rFonts w:ascii="Garamond" w:hAnsi="Garamond" w:cs="Arial"/>
          <w:lang w:val="en-GB"/>
        </w:rPr>
        <w:t xml:space="preserve"> erfahren hat.</w:t>
      </w:r>
    </w:p>
    <w:p w:rsidR="00062BE4" w:rsidRPr="002F7766" w:rsidRDefault="00062BE4" w:rsidP="00062BE4">
      <w:pPr>
        <w:rPr>
          <w:rFonts w:ascii="Garamond" w:hAnsi="Garamond" w:cs="Arial"/>
          <w:lang w:val="en-GB"/>
        </w:rPr>
      </w:pPr>
      <w:r w:rsidRPr="002F7766">
        <w:rPr>
          <w:rFonts w:ascii="Garamond" w:hAnsi="Garamond" w:cs="Arial"/>
          <w:lang w:val="en-GB"/>
        </w:rPr>
        <w:t xml:space="preserve">Auf diesem Wege gelangen wir zur Kenntnis, daß der dritte Faktor der Neurosenätiologie, die </w:t>
      </w:r>
      <w:r w:rsidRPr="002F7766">
        <w:rPr>
          <w:rFonts w:ascii="Garamond" w:hAnsi="Garamond" w:cs="Arial"/>
          <w:i/>
          <w:iCs/>
          <w:lang w:val="en-GB"/>
        </w:rPr>
        <w:t>Konfliktneigung</w:t>
      </w:r>
      <w:r w:rsidRPr="002F7766">
        <w:rPr>
          <w:rFonts w:ascii="Garamond" w:hAnsi="Garamond" w:cs="Arial"/>
          <w:lang w:val="en-GB"/>
        </w:rPr>
        <w:t>, von der Entwicklung des Ichs ebensosehr abhängt wie von der der Libido. Unsere Einsicht in die Verursachung der Neurosen hat sich also vervollständigt. Zuerst als allgemeinste Bedingung die Versagung, dann die Fixierung der Libido, welche sie in bestimmte Richtungen drängt, und zu dritt die Konfliktneigung aus der Ichentwicklung, die solche Libidoregungen abgelehnt hat. Der Sachverhalt ist also nicht so sehr verworren und schwer zu durchschauen, wie es Ihnen wahrscheinlich während des Fortschrittes meiner Ausführungen erschienen ist. Aber freilich, wir werden finden, daß wir noch nicht fertig sind. Wir müssen noch etwas Neues hinzufügen und etwas bereits Bekanntes weiter zerlegen.</w:t>
      </w:r>
    </w:p>
    <w:p w:rsidR="00062BE4" w:rsidRPr="002F7766" w:rsidRDefault="00062BE4" w:rsidP="00062BE4">
      <w:pPr>
        <w:rPr>
          <w:rFonts w:ascii="Garamond" w:hAnsi="Garamond" w:cs="Arial"/>
          <w:lang w:val="en-GB"/>
        </w:rPr>
      </w:pPr>
      <w:r w:rsidRPr="002F7766">
        <w:rPr>
          <w:rFonts w:ascii="Garamond" w:hAnsi="Garamond" w:cs="Arial"/>
          <w:lang w:val="en-GB"/>
        </w:rPr>
        <w:t xml:space="preserve">Um Ihnen den Einfluß der Ichentwicklung auf die Konfliktbildung und somit auf die Verursachung der Neurosen zu demonstrieren, möchte ich Ihnen ein Beispiel vorführen, das zwar durchaus erfunden ist, aber sich in keinem Punkte von der Wahrscheinlichkeit entfernt. Ich will es in Anlehnung an den Titel einer Nestroyschen Posse mit der Charakteristik »Zu ebener Erde und im ersten Stock« versehen. Zu ebener Erde wohnt der Hausbesorger, im ersten Stock der Hausherr, ein reicher und vornehmer Mann. Beide haben Kinder, und wir wollen annehmen, daß es dem Töchterchen des Hausherrn gestattet ist, </w:t>
      </w:r>
      <w:r w:rsidRPr="002F7766">
        <w:rPr>
          <w:rFonts w:ascii="Garamond" w:hAnsi="Garamond" w:cs="Arial"/>
          <w:lang w:val="en-GB"/>
        </w:rPr>
        <w:lastRenderedPageBreak/>
        <w:t>unbeaufsichtigt mit dem Proletarierkind zu spielen. Dann kann es sehr leicht geschehen, daß die Spiele der Kinder einen ungezogenen, das heißt sexuellen Charakter annehmen, daß sie »Vater und Mutter« spielen, einander bei den intimen Verrichtungen beschauen und an den Genitalien reizen. Das Hausmeistermädchen, das trotz seiner fünf oder sechs Jahre manches von der Sexualität der Erwachsenen beobachten konnte, mag dabei die Rolle der Verführerin übernehmen. Diese Erlebnisse reichen hin, auch wenn sie sich nicht über lange Zeit fortsetzen, um bei beiden Kindern gewisse sexuelle Regungen zu aktivieren, die sich nach dem Aufhören der gemeinsamen Spiele einige Jahre hindurch als Masturbation äußern. Soweit die Gemeinsamkeit; der endliche Erfolg wird bei beiden Kindern sehr verschieden sein. Die Tochter des Hausbesorgers wird die Masturbation etwa bis zum Auftreten der Periode fortsetzen, sie dann ohne Schwierigkeit aufgeben, wenige Jahre später einen Geliebten nehmen, vielleicht auch ein Kind bekommen, diesen oder jenen Lebensweg einschlagen, der sie vielleicht zur populären Künstlerin führt, die als Aristokratin endigt. Wahrscheinlich wird ihr Schicksal minder glänzend ausfallen, aber jedenfalls wird sie ungeschädigt durch die vorzeitige Betätigung ihrer Sexualität, frei von Neurose, ihr Leben erfüllen. Anders das Töchterchen des Hausherrn. Dies wird frühzeitig und noch als Kind die Ahnung bekommen, daß es etwas Unrechtes getan habe, wird nach kürzerer Zeit, aber vielleicht erst nach hartem Kampf, auf die masturbatorische Befriedigung verzichten und trotzdem etwas Gedrücktes in seinem Wesen behalten. Wenn sie in den Jungmädchenjahren in die Lage kommt, etwas vom menschlichen Sexualverkehr zu erfahren, wird sie sich mit unerklärtem Abscheu davon abwenden und unwissend bleiben wollen. Wahrscheinlich unterliegt sie jetzt auch einem von neuem auftretenden unbezwingbaren Drang zur Masturbation, über den sich zu beklagen sie nicht wagt. In den Jahren, da sie einem Manne als Weib gefallen soll, wird die Neurose bei ihr losbrechen, die sie um Ehe und Lebenshoffnung betrügt. Gelingt es nun durch Analyse Einsicht in diese Neurose zu gewinnen, so zeigt sich, daß dies wohlerzogene, intelligente und hochstrebende Mädchen seine Sexualregungen vollkommen verdrängt hat, daß diese aber, ihr unbewußt, an den armseligen Erlebnissen mit ihrer Kinderfreundin haften.</w:t>
      </w:r>
    </w:p>
    <w:p w:rsidR="00062BE4" w:rsidRPr="002F7766" w:rsidRDefault="00062BE4" w:rsidP="00062BE4">
      <w:pPr>
        <w:rPr>
          <w:rFonts w:ascii="Garamond" w:hAnsi="Garamond" w:cs="Arial"/>
          <w:lang w:val="en-GB"/>
        </w:rPr>
      </w:pPr>
      <w:r w:rsidRPr="002F7766">
        <w:rPr>
          <w:rFonts w:ascii="Garamond" w:hAnsi="Garamond" w:cs="Arial"/>
          <w:lang w:val="en-GB"/>
        </w:rPr>
        <w:t>Die Verschiedenheit der beiden Schicksale trotz gleichen Erlebens rührt daher, daß das Ich der einen eine Entwicklung erfahren hat, welche bei der anderen nicht eingetreten ist. Der Tochter des Hausbesorgers ist die Sexualbetätigung später ebenso natürlich und unbedenklich erschienen wie in der Kindheit. Die Tochter des Hausherrn hat die Einwirkung der Erziehung erfahren und deren Ansprüche angenommen. Ihr Ich hat aus den ihm dargebotenen Anregungen Ideale von weiblicher Reinheit und Unbedürftigkeit gebildet, mit denen sich die sexuelle Betätigung nicht verträgt; ihre intellektuelle Ausbildung hat ihr Interesse für die weibliche Rolle, zu der sie bestimmt ist, erniedrigt. Durch diese höhere moralische und intellektuelle Entwicklung ihres Ichs ist sie in den Konflikt mit den Ansprüchen ihrer Sexualität geraten.</w:t>
      </w:r>
    </w:p>
    <w:p w:rsidR="00062BE4" w:rsidRPr="002F7766" w:rsidRDefault="00062BE4" w:rsidP="00062BE4">
      <w:pPr>
        <w:rPr>
          <w:rFonts w:ascii="Garamond" w:hAnsi="Garamond" w:cs="Arial"/>
          <w:lang w:val="en-GB"/>
        </w:rPr>
      </w:pPr>
      <w:r w:rsidRPr="00062BE4">
        <w:rPr>
          <w:rFonts w:ascii="Garamond" w:hAnsi="Garamond" w:cs="Arial"/>
          <w:lang w:val="en-GB"/>
        </w:rPr>
        <w:t xml:space="preserve">Ich will heute noch bei einem zweiten Punkt in der Ichentwicklung verweilen, sowohl wegen gewisser weitschauender Ausblicke, als auch darum, weil gerade das Folgende geeignet ist, die von uns beliebte, scharfe und nicht selbstverständliche Sonderung der Ichtriebe von den Sexualtrieben zu rechtfertigen. </w:t>
      </w:r>
      <w:r w:rsidRPr="002F7766">
        <w:rPr>
          <w:rFonts w:ascii="Garamond" w:hAnsi="Garamond" w:cs="Arial"/>
          <w:lang w:val="en-GB"/>
        </w:rPr>
        <w:t xml:space="preserve">In der Beurteilung der beiden Entwicklungen, des Ichs wie der Libido, müssen wir einen Gesichtspunkt voranstellen, der bisher noch nicht oft gewürdigt worden ist. Beide sind ja im Grunde Erbschaften, abgekürzte Wiederholungen der Entwicklung, welche die ganze Menschheit von ihren Urzeiten an durch sehr lange Zeiträume zurückgelegt hat. Der Libidoentwicklung, möchte ich meinen, sieht man diese </w:t>
      </w:r>
      <w:r w:rsidRPr="002F7766">
        <w:rPr>
          <w:rFonts w:ascii="Garamond" w:hAnsi="Garamond" w:cs="Arial"/>
          <w:i/>
          <w:iCs/>
          <w:lang w:val="en-GB"/>
        </w:rPr>
        <w:t>phylogenetische</w:t>
      </w:r>
      <w:r w:rsidRPr="002F7766">
        <w:rPr>
          <w:rFonts w:ascii="Garamond" w:hAnsi="Garamond" w:cs="Arial"/>
          <w:lang w:val="en-GB"/>
        </w:rPr>
        <w:t xml:space="preserve"> Herkunft ohne weiteres an. Denken Sie daran, wie bei der einen Tierklasse der Genitalapparat in die innigste Beziehung zum Mund gebracht ist, bei der anderen sich vom Exkretionsapparat nicht sondern läßt, bei noch anderen an die Bewegungsorgane geknüpft ist, Dinge, die Sie in dem wertvollen Buch von W.Bölsche anziehend geschildert finden. Man sieht bei den Tieren sozusagen alle Arten von Perversion zur Sexualorganisation erstarrt. Nur wird der phylogenetische Gesichtspunkt beim Menschen zum Teil durch den Umstand verschleiert, daß das, was im Grunde vererbt ist, doch in der individuellen Entwicklung neu erworben wird, wahrscheinlich darum, weil dieselben Verhältnisse noch fortbestehen und auf jeden einzelnen wirken, die seinerzeit zur Erwerbung genötigt </w:t>
      </w:r>
      <w:r w:rsidRPr="002F7766">
        <w:rPr>
          <w:rFonts w:ascii="Garamond" w:hAnsi="Garamond" w:cs="Arial"/>
          <w:lang w:val="en-GB"/>
        </w:rPr>
        <w:lastRenderedPageBreak/>
        <w:t xml:space="preserve">haben. Ich möchte sagen, sie haben seinerzeit schaffend gewirkt, sie wirken jetzt hervorrufend. Außerdem ist es unzweifelhaft, daß der Lauf der vorgezeichneten Entwicklung bei jedem einzelnen durch rezente Einflüsse von außen gestört und abgeändert werden kann. Die Macht aber, welche der Menschheit eine solche Entwicklung aufgenötigt hat und ihren Druck nach der gleichen Richtung heute ebenso aufrechthält, kennen wir; es ist wiederum die Versagung der Realität, oder wenn wir ihr ihren richtigen großen Namen geben, die </w:t>
      </w:r>
      <w:r w:rsidRPr="002F7766">
        <w:rPr>
          <w:rFonts w:ascii="Garamond" w:hAnsi="Garamond" w:cs="Arial"/>
          <w:i/>
          <w:iCs/>
          <w:lang w:val="en-GB"/>
        </w:rPr>
        <w:t>Not</w:t>
      </w:r>
      <w:r w:rsidRPr="002F7766">
        <w:rPr>
          <w:rFonts w:ascii="Garamond" w:hAnsi="Garamond" w:cs="Arial"/>
          <w:lang w:val="en-GB"/>
        </w:rPr>
        <w:t xml:space="preserve"> des Lebens: die . Sie ist eine strenge Erzieherin gewesen und hat viel aus uns gemacht. Die Neurotiker gehören zu den Kindern, bei welchen diese Strenge üble Erfolge gebracht hat, aber das ist bei jeder Erziehung zu riskieren. Diese Würdigung der Lebensnot als des Motors der Entwicklung braucht uns übrigens nicht gegen die Bedeutung von »inneren Entwicklungstendenzen« einzunehmen, wenn sich solche beweisen lassen.</w:t>
      </w:r>
    </w:p>
    <w:p w:rsidR="00062BE4" w:rsidRPr="002F7766" w:rsidRDefault="00062BE4" w:rsidP="00062BE4">
      <w:pPr>
        <w:rPr>
          <w:rFonts w:ascii="Garamond" w:hAnsi="Garamond" w:cs="Arial"/>
          <w:lang w:val="en-GB"/>
        </w:rPr>
      </w:pPr>
      <w:r w:rsidRPr="002F7766">
        <w:rPr>
          <w:rFonts w:ascii="Garamond" w:hAnsi="Garamond" w:cs="Arial"/>
          <w:lang w:val="en-GB"/>
        </w:rPr>
        <w:t>Nun ist es sehr beachtenswert, daß Sexualtriebe und Selbsterhaltungstriebe sich nicht in gleicher Weise gegen die reale Not benehmen. Die Selbsterhaltungstriebe und alles, was mit ihnen zusammenhängt, sind leichter zu erziehen; sie lernen es frühzeitig, sich der Not zu fügen und ihre Entwicklungen nach den Weisungen der Realität einzurichten. Das ist begreiflich, denn sie können sich die Objekte, deren sie bedürfen, auf keine andere Art verschaffen; ohne diese Objekte muß das Individuum zugrunde gehen. Die Sexualtriebe sind schwerer erziehbar, denn sie kennen zu Anfang die Objektnot nicht. Da sie sich gleichsam schmarotzend an die anderen Körperfunktionen anlehnen und am eigenen Körper autoerotisch befriedigen, sind sie dem erziehlichen Einfluß der realen Not zunächst entzogen, und sie behaupten diesen Charakter der Eigenwilligkeit, Unbeeinflußbarkeit, das, was wir »Unverständigkeit« nennen, bei den meisten Menschen in irgendeiner Hinsicht durchs ganze Leben. Auch hat die Erziehbarkeit einer jugendlichen Person in der Regel ein Ende, wenn ihre Sexualbedürfnisse in endgültiger Stärke erwachen. Das wissen die Erzieher und handeln danach; aber vielleicht lassen sie sich durch die Ergebnisse der Psychoanalyse noch dazu bewegen, den Hauptnachdruck der Erziehung auf die ersten Kinderjahre, vom Säuglingsalter an, zu verlegen. Der kleine Mensch ist oft mit dem vierten oder fünften Jahr schon fertig und bringt später nur allmählich zum Vorschein, was bereits in ihm steckt.</w:t>
      </w:r>
    </w:p>
    <w:p w:rsidR="00062BE4" w:rsidRPr="002F7766" w:rsidRDefault="00062BE4" w:rsidP="00062BE4">
      <w:pPr>
        <w:rPr>
          <w:rFonts w:ascii="Garamond" w:hAnsi="Garamond" w:cs="Arial"/>
          <w:lang w:val="en-GB"/>
        </w:rPr>
      </w:pPr>
      <w:r w:rsidRPr="002F7766">
        <w:rPr>
          <w:rFonts w:ascii="Garamond" w:hAnsi="Garamond" w:cs="Arial"/>
          <w:lang w:val="en-GB"/>
        </w:rPr>
        <w:t xml:space="preserve">Um die volle Bedeutung des angezeigten Unterschiedes zwischen beiden Triebgruppen zu würdigen, müssen wir weit ausholen und eine jener Betrachtungen einführen, die </w:t>
      </w:r>
      <w:r w:rsidRPr="002F7766">
        <w:rPr>
          <w:rFonts w:ascii="Garamond" w:hAnsi="Garamond" w:cs="Arial"/>
          <w:i/>
          <w:iCs/>
          <w:lang w:val="en-GB"/>
        </w:rPr>
        <w:t>ökonomische</w:t>
      </w:r>
      <w:r w:rsidRPr="002F7766">
        <w:rPr>
          <w:rFonts w:ascii="Garamond" w:hAnsi="Garamond" w:cs="Arial"/>
          <w:lang w:val="en-GB"/>
        </w:rPr>
        <w:t xml:space="preserve"> genannt zu werden verdienen. </w:t>
      </w:r>
      <w:r w:rsidRPr="002F7766">
        <w:rPr>
          <w:rFonts w:ascii="Garamond" w:hAnsi="Garamond" w:cs="Arial"/>
        </w:rPr>
        <w:t xml:space="preserve">Wir begeben uns damit auf eines der wichtigsten, aber leider auch dunkelsten Gebiete der Psychoanalyse. </w:t>
      </w:r>
      <w:r w:rsidRPr="002F7766">
        <w:rPr>
          <w:rFonts w:ascii="Garamond" w:hAnsi="Garamond" w:cs="Arial"/>
          <w:lang w:val="en-GB"/>
        </w:rPr>
        <w:t xml:space="preserve">Wir stellen uns die Frage, ob an der Arbeit unseres seelischen Apparates eine Hauptabsicht zu erkennen sei, und beantworten sie in erster Annäherung, daß diese Absicht auf Lustgewinnung gerichtet ist. Es scheint, daß unsere gesamte Seelentätigkeit darauf gerichtet ist, Lust zu erwerben und Unlust zu vermeiden, daß sie automatisch durch das </w:t>
      </w:r>
      <w:r w:rsidRPr="002F7766">
        <w:rPr>
          <w:rFonts w:ascii="Garamond" w:hAnsi="Garamond" w:cs="Arial"/>
          <w:i/>
          <w:iCs/>
          <w:lang w:val="en-GB"/>
        </w:rPr>
        <w:t>Lustprinzip</w:t>
      </w:r>
      <w:r w:rsidRPr="002F7766">
        <w:rPr>
          <w:rFonts w:ascii="Garamond" w:hAnsi="Garamond" w:cs="Arial"/>
          <w:lang w:val="en-GB"/>
        </w:rPr>
        <w:t xml:space="preserve"> reguliert wird. Nun wüßten wir um alles in der Welt gerne, welches die Bedingungen der Entstehung von Lust und Unlust sind, aber daran fehlt es uns eben. Nur so viel darf man sich getrauen zu behaupten, daß die Lust </w:t>
      </w:r>
      <w:r w:rsidRPr="002F7766">
        <w:rPr>
          <w:rFonts w:ascii="Garamond" w:hAnsi="Garamond" w:cs="Arial"/>
          <w:i/>
          <w:iCs/>
          <w:lang w:val="en-GB"/>
        </w:rPr>
        <w:t>irgendwie</w:t>
      </w:r>
      <w:r w:rsidRPr="002F7766">
        <w:rPr>
          <w:rFonts w:ascii="Garamond" w:hAnsi="Garamond" w:cs="Arial"/>
          <w:lang w:val="en-GB"/>
        </w:rPr>
        <w:t xml:space="preserve"> an die Verringerung, Herabsetzung oder das Erlöschen der im Seelenapparat waltenden Reizmenge gebunden ist, die Unlust aber an eine Erhöhung derselben. Die Untersuchung der intensivsten Lust, welche dem Menschen zugänglich ist, der Lust bei der Vollziehung des Sexualaktes, läßt über diesen einen Punkt wenig Zweifel. Da es sich bei solchen Lustvorgängen um die Schicksale von </w:t>
      </w:r>
      <w:r w:rsidRPr="002F7766">
        <w:rPr>
          <w:rFonts w:ascii="Garamond" w:hAnsi="Garamond" w:cs="Arial"/>
          <w:i/>
          <w:iCs/>
          <w:lang w:val="en-GB"/>
        </w:rPr>
        <w:t>Quantitäten</w:t>
      </w:r>
      <w:r w:rsidRPr="002F7766">
        <w:rPr>
          <w:rFonts w:ascii="Garamond" w:hAnsi="Garamond" w:cs="Arial"/>
          <w:lang w:val="en-GB"/>
        </w:rPr>
        <w:t xml:space="preserve"> seelischer Erregung oder Energie handelt, bezeichnen wir Betrachtungen dieser Art als ökonomische. Wir merken, daß wir die Aufgabe und Leistung des Seelenapparates auch anders und allgemeiner beschreiben können als durch die Betonung des Lustgewinnes. Wir können sagen, der seelische Apparat diene der Absicht, die von außen und von innen an ihn herantretenden Reizmengen, Erregungsgrößen, zu bewältigen und zu erledigen. Von den Sexualtrieben ist es ohne weiteres evident, daß sie zu Anfang wie zu Ende ihrer Entwicklung auf Lustgewinn arbeiten; sie behalten diese ursprüngliche Funktion ohne Abänderung bei. Das nämliche streben auch die anderen, die Ichtriebe, anfänglich an. Aber unter dem Einfluß der Lehrmeisterin Not lernen die Ichtriebe bald, das Lustprinzip durch eine Modifikation zu ersetzen. Die Aufgabe, Unlust zu verhüten, stellt sich für sie fast gleichwertig neben die des Lustgewinns; das Ich erfährt, daß es </w:t>
      </w:r>
      <w:r w:rsidRPr="002F7766">
        <w:rPr>
          <w:rFonts w:ascii="Garamond" w:hAnsi="Garamond" w:cs="Arial"/>
          <w:lang w:val="en-GB"/>
        </w:rPr>
        <w:lastRenderedPageBreak/>
        <w:t xml:space="preserve">unvermeidlich ist, auf unmittelbare Befriedigung zu verzichten, den Lustgewinn aufzuschieben, ein Stück Unlust zu ertragen und bestimmte Lustquellen überhaupt aufzugeben. Das so erzogene Ich ist »verständig« geworden, es läßt sich nicht mehr vom Lustprinzip beherrschen, sondern folgt dem </w:t>
      </w:r>
      <w:r w:rsidRPr="002F7766">
        <w:rPr>
          <w:rFonts w:ascii="Garamond" w:hAnsi="Garamond" w:cs="Arial"/>
          <w:i/>
          <w:iCs/>
          <w:lang w:val="en-GB"/>
        </w:rPr>
        <w:t>Realitätsprinzip</w:t>
      </w:r>
      <w:r w:rsidRPr="002F7766">
        <w:rPr>
          <w:rFonts w:ascii="Garamond" w:hAnsi="Garamond" w:cs="Arial"/>
          <w:lang w:val="en-GB"/>
        </w:rPr>
        <w:t>, das im Grunde auch Lust erzielen will, aber durch die Rücksicht auf die Realität gesicherte, wenn auch aufgeschobene und verringerte Lust.</w:t>
      </w:r>
    </w:p>
    <w:p w:rsidR="00062BE4" w:rsidRPr="002F7766" w:rsidRDefault="00062BE4" w:rsidP="00062BE4">
      <w:pPr>
        <w:rPr>
          <w:rFonts w:ascii="Garamond" w:hAnsi="Garamond" w:cs="Arial"/>
          <w:lang w:val="en-GB"/>
        </w:rPr>
      </w:pPr>
      <w:r w:rsidRPr="002F7766">
        <w:rPr>
          <w:rFonts w:ascii="Garamond" w:hAnsi="Garamond" w:cs="Arial"/>
          <w:lang w:val="en-GB"/>
        </w:rPr>
        <w:t>Der Übergang vom Lust- zum Realitätsprinzip ist einer der wichtigsten Fortschritte in der Entwicklung des Ichs. Wir wissen schon, daß die Sexualtriebe dieses Stück der Ichentwicklung spät und nur widerstrebend mitmachen, und werden später hören, welche Folgen es für den Menschen hat, daß seine Sexualität sich mit einem so lockeren Verhältnis zur äußeren Realität begnügt. Und nun zum Schlusse noch eine hierher gehörige Bemerkung. Wenn das Ich des Menschen seine Entwicklungsgeschichte hat wie die Libido, so werden Sie nicht überrascht sein zu hören, daß es auch »Ichregressionen« gibt, und werden auch wissen wollen, welche Rolle diese Rückkehr des Ichs zu früheren Entwicklungsphasen bei den neurotischen Erkrankungen spielen kann.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23. Vo</w:t>
        </w:r>
        <w:bookmarkStart w:id="290" w:name="Vorlesungen_23"/>
        <w:bookmarkEnd w:id="290"/>
        <w:r w:rsidRPr="009C5A67">
          <w:rPr>
            <w:rStyle w:val="Lienhypertexte"/>
            <w:rFonts w:ascii="Garamond" w:hAnsi="Garamond" w:cs="Arial"/>
            <w:b/>
            <w:bCs/>
            <w:lang w:val="en-GB"/>
          </w:rPr>
          <w:t>rlesung. Die Wege der Symptombildung</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Für den Laien sind es die Symptome, die das Wesen der Krankheit bilden, und Heilung ist ihm die Aufhebung der Symptome. Der Arzt legt Wert darauf, die Symptome von der Krankheit zu unterscheiden, und sagt, daß die Beseitigung der Symptome noch nicht die Heilung der Krankheit ist. Aber was nach Beseitigung der Symptome Greifbares von der Krankheit übrigbleibt, ist nur die Fähigkeit, neue Symptome zu bilden. Darum wollen wir uns für jetzt auf den Standpunkt des Laien stellen und die Ergründung der Symptome für gleichbedeutend mit dem Verständnis der Krankheit halten.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Symptome – wir handeln hier natürlich von psychischen (oder psychogenen) Symptomen und psychischem Kranksein sind für das Gesamtleben schädliche oder wenigstens nutzlose Akte, häufig von der Person als widerwillig beklagt und mit Unlust oder Leiden für sie verbunden. Ihr Hauptschaden liegt in dem seelischen Aufwand, den sie selbst kosten, und in dem weiteren, der durch ihre Bekämpfung notwendig wird. Diese beiden Kosten können bei ausgiebiger Symptombildung eine außerordentliche Verarmung der Person an verfügbarer seelischer Energie und somit eine Lähmung derselben für alle wichtigen Lebensaufgaben zur Folge haben. Da es für diesen Erfolg hauptsächlich auf die </w:t>
      </w:r>
      <w:r w:rsidRPr="002F7766">
        <w:rPr>
          <w:rFonts w:ascii="Garamond" w:hAnsi="Garamond" w:cs="Arial"/>
          <w:i/>
          <w:iCs/>
          <w:lang w:val="en-GB"/>
        </w:rPr>
        <w:t>Quantität</w:t>
      </w:r>
      <w:r w:rsidRPr="002F7766">
        <w:rPr>
          <w:rFonts w:ascii="Garamond" w:hAnsi="Garamond" w:cs="Arial"/>
          <w:lang w:val="en-GB"/>
        </w:rPr>
        <w:t xml:space="preserve"> der so in Anspruch genommenen Energie ankommt, so erkennen Sie leicht, daß »Kranksein« ein im Wesen praktischer Begriff ist. Stellen Sie sich aber auf einen theoretischen Standpunkt und sehen von diesen Quantitäten ab, so können Sie leicht sagen, daß wir </w:t>
      </w:r>
      <w:r w:rsidRPr="002F7766">
        <w:rPr>
          <w:rFonts w:ascii="Garamond" w:hAnsi="Garamond" w:cs="Arial"/>
          <w:i/>
          <w:iCs/>
          <w:lang w:val="en-GB"/>
        </w:rPr>
        <w:t>alle</w:t>
      </w:r>
      <w:r w:rsidRPr="002F7766">
        <w:rPr>
          <w:rFonts w:ascii="Garamond" w:hAnsi="Garamond" w:cs="Arial"/>
          <w:lang w:val="en-GB"/>
        </w:rPr>
        <w:t xml:space="preserve"> krank, d.i. neurotisch sind, denn die Bedingungen für die Symptombildung sind auch bei den Normalen nachzuweisen.</w:t>
      </w:r>
    </w:p>
    <w:p w:rsidR="00062BE4" w:rsidRPr="002F7766" w:rsidRDefault="00062BE4" w:rsidP="00062BE4">
      <w:pPr>
        <w:rPr>
          <w:rFonts w:ascii="Garamond" w:hAnsi="Garamond" w:cs="Arial"/>
          <w:lang w:val="en-GB"/>
        </w:rPr>
      </w:pPr>
      <w:r w:rsidRPr="002F7766">
        <w:rPr>
          <w:rFonts w:ascii="Garamond" w:hAnsi="Garamond" w:cs="Arial"/>
          <w:lang w:val="en-GB"/>
        </w:rPr>
        <w:t>Von den neurotischen Symptomen wissen wir bereits, daß sie der Erfolg eines Konflikts sind, der sich um eine neue Art der Libidobefriedigung erhebt. Die beiden Kräfte, die sich entzweit haben, treffen im Symptom wieder zusammen, versöhnen sich gleichsam durch das Kompromiß der Symptombildung. Darum ist das Symptom auch so widerstandsfähig; es wird von beiden Seiten her gehalten. Wir wissen auch, daß der eine der beiden Partner des Konflikts die unbefriedigte, von der Realität abgewiesene Libido ist, die nun andere Wege zu ihrer Befriedigung suchen muß. Bleibt die Realität unerbittlich, auch wenn die Libido bereit ist, ein anderes Objekt an Stelle des versagten anzunehmen, so wird diese endlich genötigt sein, den Weg der Regression einzuschlagen und die Befriedigung in einer der bereits überwundenen Organisationen oder durch eines der früher aufgegebenen Objekte anzustreben. Auf den Weg der Regression wird die Libido durch die Fixierung gelockt, die sie an diesen Stellen ihrer Entwicklung zurückgelassen hat.</w:t>
      </w:r>
    </w:p>
    <w:p w:rsidR="00062BE4" w:rsidRPr="002F7766" w:rsidRDefault="00062BE4" w:rsidP="00062BE4">
      <w:pPr>
        <w:rPr>
          <w:rFonts w:ascii="Garamond" w:hAnsi="Garamond" w:cs="Arial"/>
          <w:lang w:val="en-GB"/>
        </w:rPr>
      </w:pPr>
      <w:r w:rsidRPr="002F7766">
        <w:rPr>
          <w:rFonts w:ascii="Garamond" w:hAnsi="Garamond" w:cs="Arial"/>
          <w:lang w:val="en-GB"/>
        </w:rPr>
        <w:t xml:space="preserve">Nun scheidet sich der Weg zur Perversion scharf von dem der Neurose. Erwecken diese Regressionen nicht den Widerspruch des Ichs, so kommt es auch nicht zur Neurose, und die Libido gelangt zu irgendeiner realen, wenn auch nicht mehr normalen Befriedigung. Wenn aber das Ich, das nicht nur über das Bewußtsein, sondern auch über die Zugänge zur motorischen Innervation und somit zur Realisierung der seelischen Strebungen verfügt, mit diesen Regressionen nicht einverstanden ist, dann ist der Konflikt gegeben. Die Libido ist wie abgeschnitten und muß versuchen irgendwohin auszuweichen, wo sie nach der Forderung des Lustprinzips einen Abfluß für ihre Energiebesetzung findet. Sie muß sich dem Ich entziehen. Ein solches Ausweichen gestatten ihr aber die Fixierungen auf ihrem jetzt regressiv beschrittenen Entwicklungsweg, gegen welche sich das Ich seinerzeit durch Verdrängungen geschützt hatte. Indem die Libido rückströmend diese verdrängten Positionen besetzt, hat sie sich dem Ich und seinen Gesetzen entzogen, dabei aber auch auf alle unter dem Einfluß dieses Ichs erworbene Erziehung verzichtet. Sie war lenksam, solange ihr Befriedigung winkte; unter dem doppelten Druck der äußern und der innern Versagung wird sie unbotmäßig und besinnt sich früherer besserer Zeiten. Das ist so ihr im Grund unveränderlicher Charakter. Die Vorstellungen, denen jetzt die Libido ihre Energie als Besetzung </w:t>
      </w:r>
      <w:r w:rsidRPr="002F7766">
        <w:rPr>
          <w:rFonts w:ascii="Garamond" w:hAnsi="Garamond" w:cs="Arial"/>
          <w:lang w:val="en-GB"/>
        </w:rPr>
        <w:lastRenderedPageBreak/>
        <w:t xml:space="preserve">überträgt, gehören dem System des Unbewußten an und unterliegen den Vorgängen, die daselbst möglich sind, insbesondere der Verdichtung und Verschiebung. Hiermit sind nun Verhältnisse hergestellt, die vollkommen denen bei der Traumbildung gleichen. Wie dem im Unbewußten fertig gewordenen eigentlichen Traum, der die Erfüllung einer unbewußten Wunschphantasie ist, ein Stück (vor)bewußter Tätigkeit entgegenkommt, welches die Zensurtätigkeit ausübt und nach deren Abfindung die Bildung eines manifesten Traumes als Kompromiß gestattet, so hat auch noch die Libidovertretung im Unbewußten mit der Macht des vorbewußten Ichs zu rechnen. Der Widerspruch, der sich gegen sie im Ich erhoben hatte, geht ihr als »Gegenbesetzung« nach und nötigt sie, jenen Ausdruck zu wählen, der gleichzeitig sein eigener Ausdruck werden kann. So entsteht denn das Symptom als vielfach entstellter Abkömmling der unbewußten libidinösen Wunscherfüllung, eine kunstvoll ausgewählte Zweideutigkeit mit zwei einander voll widersprechenden Bedeutungen. Allein in diesem letzteren Punkte ist ein Unterschied zwischen der Traum- und der Symptombildung zu erkennen, denn die vorbewußte Absicht bei der Traumbildung geht nur dahin, den Schlaf zu erhalten, nichts, was ihn stören würde, zum Bewußtsein dringen zu lassen; sie besteht aber nicht darauf, der unbewußten Wunschregung ein scharfes: Nein, im Gegenteile! entgegenzurufen. </w:t>
      </w:r>
      <w:r w:rsidRPr="002F7766">
        <w:rPr>
          <w:rFonts w:ascii="Garamond" w:hAnsi="Garamond" w:cs="Arial"/>
        </w:rPr>
        <w:t xml:space="preserve">Sie darf toleranter sein, weil die Situation des Schlafenden eine minder gefährdete ist. </w:t>
      </w:r>
      <w:r w:rsidRPr="002F7766">
        <w:rPr>
          <w:rFonts w:ascii="Garamond" w:hAnsi="Garamond" w:cs="Arial"/>
          <w:lang w:val="en-GB"/>
        </w:rPr>
        <w:t>Der Ausweg in die Realität ist durch den Schlafzustand allein gesperrt.</w:t>
      </w:r>
    </w:p>
    <w:p w:rsidR="00062BE4" w:rsidRPr="002F7766" w:rsidRDefault="00062BE4" w:rsidP="00062BE4">
      <w:pPr>
        <w:rPr>
          <w:rFonts w:ascii="Garamond" w:hAnsi="Garamond" w:cs="Arial"/>
          <w:lang w:val="en-GB"/>
        </w:rPr>
      </w:pPr>
      <w:r w:rsidRPr="002F7766">
        <w:rPr>
          <w:rFonts w:ascii="Garamond" w:hAnsi="Garamond" w:cs="Arial"/>
          <w:lang w:val="en-GB"/>
        </w:rPr>
        <w:t>Sie sehen, das Ausweichen der Libido unter den Bedingungen des Konflikts ist durch das Vorhandensein von Fixierungen ermöglicht. Die regressive Besetzung dieser Fixierungen führt zur Umgehung der Verdrängung und zu einer Abfuhr oder Befriedigung der Libido, bei welcher die Bedingungen des Kompromisses eingehalten werden müssen. Auf dem Umwege über das Unbewußte und die alten Fixierungen ist es der Libido endlich gelungen, zu einer allerdings außerordentlich eingeschränkten und kaum mehr kenntlichen realen Befriedigung durchzudringen. Lassen Sie mich zwei Bemerkungen zu diesem Endausgang hinzufügen. Wollen Sie erstens beachten, wie enge sich hier die Libido und das Unbewußte einerseits, das Ich, das Bewußtsein und die Realität anderseits verbunden erweisen, obwohl sie von Anfang an keineswegs zusammengehören, und hören Sie ferner meine Mitteilung an, daß alles hier Gesagte und im weiteren Folgende sich nur auf die Symptombildung bei der hysterischen Neurose bezieht.</w:t>
      </w:r>
    </w:p>
    <w:p w:rsidR="00062BE4" w:rsidRPr="002F7766" w:rsidRDefault="00062BE4" w:rsidP="00062BE4">
      <w:pPr>
        <w:rPr>
          <w:rFonts w:ascii="Garamond" w:hAnsi="Garamond" w:cs="Arial"/>
          <w:lang w:val="en-GB"/>
        </w:rPr>
      </w:pPr>
      <w:r w:rsidRPr="002F7766">
        <w:rPr>
          <w:rFonts w:ascii="Garamond" w:hAnsi="Garamond" w:cs="Arial"/>
          <w:lang w:val="en-GB"/>
        </w:rPr>
        <w:t>Wo findet nun die Libido die Fixierungen, deren sie zum Durchbruch der Verdrängungen bedarf? In den Betätigungen und Erlebnissen der infantilen Sexualität, in den verlassenen Partialbestrebungen und aufgegebenen Objekten der Kinderzeit. Zu ihnen kehrt die Libido also wieder zurück. Die Bedeutung dieser Kinderzeit ist eine zweifache, einerseits haben sich in ihr die Triebrichtungen zuerst gezeigt, die das Kind in seiner angeborenen Anlage mitbrachte, und zweitens sind durch äußere Einwirkungen, akzidentelle Erlebnisse, andere seiner Triebe zuerst geweckt, aktiviert worden. Ich glaube, es ist kein Zweifel daran, daß wir ein Recht haben, diese Zweiteilung aufzustellen. Die Äußerung der angeborenen Anlage unterliegt ja keinem kritischen Bedenken, aber die analytische Erfahrung nötigt uns geradezu anzunehmen, daß rein zufällige Erlebnisse der Kindheit imstande sind, Fixierungen der Libido zu hinterlassen. Ich sehe auch keine theoretische Schwierigkeit darin. Die konstitutionellen Anlagen sind sicherlich auch die Nachwirkungen der Erlebnisse früherer Vorfahren, auch sie sind einmal erworben worden; ohne solche Erwerbung gäbe es keine Heredität. Und ist es denkbar, daß solche zur Vererbung führende Erwerbung gerade bei der von uns betrachteten Generation ein Ende nimmt? Die Bedeutung der infantilen Erlebnisse sollte aber nicht, wie es mit Vorliebe geschieht, gegen die der Erlebnisse der Vorfahren und der eigenen Reife völlig vernachlässigt werden, sondern im Gegenteile eine besondere Würdigung finden. Sie sind um so folgenschwerer, weil sie in die Zeiten der unvollendeten Entwicklung fallen, und gerade durch diesen Umstand geeignet, traumatisch zu wirken. Die Arbeiten über Entwicklungsmechanik von Roux und anderen haben uns gezeigt, daß ein Nadelstich in die in Zellteilung begriffene Keimanlage eine schwere Entwicklungsstörung zur Folge hat. Dieselbe Verletzung, der Larve oder dem fertigen Tier zugefügt, würde schadlos vertragen werden.</w:t>
      </w:r>
    </w:p>
    <w:p w:rsidR="00062BE4" w:rsidRPr="002F7766" w:rsidRDefault="00062BE4" w:rsidP="00062BE4">
      <w:pPr>
        <w:rPr>
          <w:rFonts w:ascii="Garamond" w:hAnsi="Garamond" w:cs="Arial"/>
        </w:rPr>
      </w:pPr>
      <w:r w:rsidRPr="002F7766">
        <w:rPr>
          <w:rFonts w:ascii="Garamond" w:hAnsi="Garamond" w:cs="Arial"/>
          <w:lang w:val="en-GB"/>
        </w:rPr>
        <w:lastRenderedPageBreak/>
        <w:t xml:space="preserve">Die Libidofixierung des Erwachsenen, die wir als Repräsentanten des konstitutionellen Faktors in die ätiologische Gleichung der Neurosen eingeführt haben, zerlegt sich also jetzt für uns in zwei weitere Momente, in die ererbte Anlage und in die in der frühen Kindheit erworbene Disposition. </w:t>
      </w:r>
      <w:r w:rsidRPr="002F7766">
        <w:rPr>
          <w:rFonts w:ascii="Garamond" w:hAnsi="Garamond" w:cs="Arial"/>
        </w:rPr>
        <w:t>Wir wissen, daß ein Schema der Sympathie des Lernenden sicher ist. Fassen wir also diese Verhältnisse in einem Schema zusammen:</w:t>
      </w:r>
    </w:p>
    <w:p w:rsidR="00062BE4" w:rsidRPr="002F7766" w:rsidRDefault="00062BE4" w:rsidP="00062BE4">
      <w:pPr>
        <w:rPr>
          <w:rFonts w:ascii="Garamond" w:hAnsi="Garamond" w:cs="Arial"/>
        </w:rPr>
      </w:pPr>
      <w:r>
        <w:rPr>
          <w:rFonts w:ascii="Garamond" w:hAnsi="Garamond" w:cs="Arial"/>
          <w:noProof/>
          <w:lang w:eastAsia="fr-FR"/>
        </w:rPr>
        <w:drawing>
          <wp:inline distT="0" distB="0" distL="0" distR="0">
            <wp:extent cx="4192270" cy="1111250"/>
            <wp:effectExtent l="19050" t="0" r="0" b="0"/>
            <wp:docPr id="47" name="Image 28" descr="a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bb2"/>
                    <pic:cNvPicPr>
                      <a:picLocks noChangeAspect="1" noChangeArrowheads="1"/>
                    </pic:cNvPicPr>
                  </pic:nvPicPr>
                  <pic:blipFill>
                    <a:blip r:embed="rId1467" cstate="print"/>
                    <a:srcRect/>
                    <a:stretch>
                      <a:fillRect/>
                    </a:stretch>
                  </pic:blipFill>
                  <pic:spPr bwMode="auto">
                    <a:xfrm>
                      <a:off x="0" y="0"/>
                      <a:ext cx="4192270" cy="1111250"/>
                    </a:xfrm>
                    <a:prstGeom prst="rect">
                      <a:avLst/>
                    </a:prstGeom>
                    <a:noFill/>
                    <a:ln w="9525">
                      <a:noFill/>
                      <a:miter lim="800000"/>
                      <a:headEnd/>
                      <a:tailEnd/>
                    </a:ln>
                  </pic:spPr>
                </pic:pic>
              </a:graphicData>
            </a:graphic>
          </wp:inline>
        </w:drawing>
      </w:r>
    </w:p>
    <w:p w:rsidR="00062BE4" w:rsidRPr="002F7766" w:rsidRDefault="00062BE4" w:rsidP="00062BE4">
      <w:pPr>
        <w:rPr>
          <w:rFonts w:ascii="Garamond" w:hAnsi="Garamond" w:cs="Arial"/>
          <w:lang w:val="en-GB"/>
        </w:rPr>
      </w:pPr>
      <w:r w:rsidRPr="002F7766">
        <w:rPr>
          <w:rFonts w:ascii="Garamond" w:hAnsi="Garamond" w:cs="Arial"/>
        </w:rPr>
        <w:t xml:space="preserve">Die hereditäre Sexualkonstitution bietet uns eine große Mannigfaltigkeit von Anlagen, je nachdem dieser oder jener Partialtrieb für sich allein oder im Verein mit anderen in besonderer Stärke angelegt ist. Mit dem Faktor des infantilen Erlebens bildet die Sexualkonstitution wiederum eine »Ergänzungsreihe«, ganz ähnlich der uns zuerst bekannt gewordenen zwischen Disposition und akzidentellem Erleben des Erwachsenen. </w:t>
      </w:r>
      <w:r w:rsidRPr="002F7766">
        <w:rPr>
          <w:rFonts w:ascii="Garamond" w:hAnsi="Garamond" w:cs="Arial"/>
          <w:lang w:val="en-GB"/>
        </w:rPr>
        <w:t>Hier wie dort finden sich dieselben extremen Fälle und die nämlichen Beziehungen der Vertretung. Es liegt nahe, hier die Frage aufzuwerfen, ob die auffälligste der Libidoregressionen, die auf frühere Stufen der Sexualorganisation, nicht überwiegend durch das hereditär konstitutionelle Moment bedingt wird; aber die Beantwortung der Frage wird am besten aufgeschoben, bis man eine größere Reihe der neurotischen Erkrankungsformen in Betracht ziehen kann.</w:t>
      </w:r>
    </w:p>
    <w:p w:rsidR="00062BE4" w:rsidRPr="002F7766" w:rsidRDefault="00062BE4" w:rsidP="00062BE4">
      <w:pPr>
        <w:rPr>
          <w:rFonts w:ascii="Garamond" w:hAnsi="Garamond" w:cs="Arial"/>
          <w:lang w:val="en-GB"/>
        </w:rPr>
      </w:pPr>
      <w:r w:rsidRPr="002F7766">
        <w:rPr>
          <w:rFonts w:ascii="Garamond" w:hAnsi="Garamond" w:cs="Arial"/>
          <w:lang w:val="en-GB"/>
        </w:rPr>
        <w:t xml:space="preserve">Verweilen wir nun bei der Tatsache, daß die analytische Untersuchung die Libido der Neurotiker an ihre infantilen Sexualerlebnisse gebunden zeigt. Sie verleiht diesen so den Schein einer enormen Bedeutsamkeit für das Leben und die Erkrankung des Menschen. Solche Bedeutung verbleibt ihnen ungeschmälert, insoweit die therapeutische Arbeit in Betracht kommt. Sehen wir aber von dieser Aufgabe ab, so erkennen wir doch leicht, daß hier die Gefahr eines Mißverständnisses vorliegt, das uns verleiten könnte, das Leben allzu einseitig nach der neurotischen Situation zu orientieren. Man muß doch von der Bedeutung der Infantilerlebnisse in Abzug bringen, daß die Libido </w:t>
      </w:r>
      <w:r w:rsidRPr="002F7766">
        <w:rPr>
          <w:rFonts w:ascii="Garamond" w:hAnsi="Garamond" w:cs="Arial"/>
          <w:i/>
          <w:iCs/>
          <w:lang w:val="en-GB"/>
        </w:rPr>
        <w:t>regressiv</w:t>
      </w:r>
      <w:r w:rsidRPr="002F7766">
        <w:rPr>
          <w:rFonts w:ascii="Garamond" w:hAnsi="Garamond" w:cs="Arial"/>
          <w:lang w:val="en-GB"/>
        </w:rPr>
        <w:t xml:space="preserve"> zu ihnen zurückgekehrt ist, nachdem sie aus ihren späteren Positionen vertrieben wurde. Dann liegt aber der Schluß nach der Gegenseite sehr nahe, daß die Libidoerlebnisse zu ihrer Zeit gar keine Bedeutung gehabt, sondern sie erst regressiv erworben haben. Erinnern Sie sich, daß wir zu einer solchen Alternative bereits bei der Erörterung des Ödipuskomplexes Stellung genommen haben.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Entscheidung wird uns auch diesmal nicht schwer werden. Die Bemerkung, daß die Libidobesetzung und also die pathogene Bedeutung der Infantilerlebnisse in großem Maße durch die Libidoregression verstärkt worden ist, hat unzweifelhaft recht, aber sie würde zum Irrtum führen, wenn man sie einzig maßgebend werden ließe. Man muß noch andere Erwägungen gelten lassen. Fürs erste zeigt die Beobachtung in einer jeden Zweifel ausschließenden Weise, daß die infantilen Erlebnisse ihre eigene Bedeutung haben und sie auch bereits in den Kinderjahren beweisen. Es gibt ja auch Kinderneurosen, bei denen das Moment der zeitlichen Zurückschiebung notwendigerweise sehr herabgesetzt wird oder ganz entfällt, indem die Erkrankung als unmittelbare Folge an die traumatischen Erlebnisse anschließt. Das Studium dieser infantilen Neurosen schützt gegen manch ein gefährliches Mißverständnis der Neurosen Erwachsener, ähnlich wie uns die Träume der Kinder den Schlüssel zum Verständnis der Träume von Erwachsenen gegeben haben. Die Neurosen der Kinder sind nun sehr häufig, viel häufiger, als man glaubt. Sie werden oft übersehen, als Zeichen von Schlimmheit oder Unartigkeit beurteilt, oft auch durch die Autoritäten der Kinderstube niedergehalten, aber sie lassen sich in der Rückschau von später her immer leicht erkennen. Sie treten zumeist in der Form einer </w:t>
      </w:r>
      <w:r w:rsidRPr="002F7766">
        <w:rPr>
          <w:rFonts w:ascii="Garamond" w:hAnsi="Garamond" w:cs="Arial"/>
          <w:i/>
          <w:iCs/>
          <w:lang w:val="en-GB"/>
        </w:rPr>
        <w:t>Angsthysterie</w:t>
      </w:r>
      <w:r w:rsidRPr="002F7766">
        <w:rPr>
          <w:rFonts w:ascii="Garamond" w:hAnsi="Garamond" w:cs="Arial"/>
          <w:lang w:val="en-GB"/>
        </w:rPr>
        <w:t xml:space="preserve"> auf. Was das heißt, werden wir noch bei einer anderen Gelegenheit erfahren. Wenn in späteren Lebenszeiten eine Neurose ausbricht, so </w:t>
      </w:r>
      <w:r w:rsidRPr="002F7766">
        <w:rPr>
          <w:rFonts w:ascii="Garamond" w:hAnsi="Garamond" w:cs="Arial"/>
          <w:lang w:val="en-GB"/>
        </w:rPr>
        <w:lastRenderedPageBreak/>
        <w:t>enthüllt sie sich durch die Analyse regelmäßig als die direkte Fortsetzung jener vielleicht nur schleierhaften, nur andeutungsweise ausgebildeten infantilen Erkrankung. Es gibt aber, wie gesagt, Fälle, in denen sich diese kindliche Nervosität ohne jede Unterbrechung in lebenslanges Kranksein fortsetzt. Einige wenige Beispiele von Kinderneurosen haben wir noch am Kind selbst im Zustande der Aktualität analysieren können; weit häufiger mußte es uns genügen, daß uns der im reifen Leben Erkrankte eine nachträgliche Einsicht in seine Kinderneurose gestattete, wobei wir dann gewisse Korrekturen und Vorsichten nicht vernachlässigen durften.</w:t>
      </w:r>
    </w:p>
    <w:p w:rsidR="00062BE4" w:rsidRPr="002F7766" w:rsidRDefault="00062BE4" w:rsidP="00062BE4">
      <w:pPr>
        <w:rPr>
          <w:rFonts w:ascii="Garamond" w:hAnsi="Garamond" w:cs="Arial"/>
          <w:lang w:val="en-GB"/>
        </w:rPr>
      </w:pPr>
      <w:r w:rsidRPr="002F7766">
        <w:rPr>
          <w:rFonts w:ascii="Garamond" w:hAnsi="Garamond" w:cs="Arial"/>
          <w:lang w:val="en-GB"/>
        </w:rPr>
        <w:t>An zweiter Stelle muß man doch sagen, daß es unbegreiflich wäre, daß die Libido so regelmäßig auf Zeiten der Kindheit regrediert, wenn dort nichts wäre, was eine Anziehung auf sie ausüben könnte. Die Fixierung, die wir an den einzelnen Stellen des Entwicklungsweges annehmen, hat nur dann einen Gehalt, wenn wir sie in der Festlegung eines bestimmten Betrages von libidinöser Energie bestehen lassen. Endlich kann ich Sie daran mahnen, daß hier zwischen der Intensität und pathogenen Bedeutung der infantilen und der späteren Erlebnisse ein ähnliches Ergänzungsverhältnis besteht wie in den früher von uns studierten Reihen. Es gibt Fälle, in denen das ganze Schwergewicht der Verursachung auf die Sexualerlebnisse der Kindheit fällt, in denen diese Eindrücke eine sicher traumatische Wirkung äußern und keiner anderen Unterstützung dabei bedürfen, als ihnen die durchschnittliche Sexualkonstitution und deren Unfertigkeit bieten kann. Daneben andere, bei welchen aller Akzent auf den späteren Konflikten liegt und die analytische Betonung der Kindereindrücke durchaus als das Werk der Regression erscheint; also Extreme der »Entwicklungshemmung« und der »Regression« und zwischen ihnen jedes Ausmaß von Zusammenwirken der beiden Momente.</w:t>
      </w:r>
    </w:p>
    <w:p w:rsidR="00062BE4" w:rsidRPr="002F7766" w:rsidRDefault="00062BE4" w:rsidP="00062BE4">
      <w:pPr>
        <w:rPr>
          <w:rFonts w:ascii="Garamond" w:hAnsi="Garamond" w:cs="Arial"/>
          <w:lang w:val="en-GB"/>
        </w:rPr>
      </w:pPr>
      <w:r w:rsidRPr="002F7766">
        <w:rPr>
          <w:rFonts w:ascii="Garamond" w:hAnsi="Garamond" w:cs="Arial"/>
          <w:lang w:val="en-GB"/>
        </w:rPr>
        <w:t>Diese Verhältnisse haben ein gewisses Interesse für die Pädagogik, die sich eine Verhütung der Neurosen durch frühzeitiges Eingreifen in die Sexualentwicklung des Kindes zum Vorsatz nimmt. Solange man seine Aufmerksamkeit vorwiegend auf die infantilen Sexualerlebnisse gerichtet hält, muß man meinen, man habe alles für die Prophylaxe nervöser Erkrankungen getan, wenn man dafür sorgt, daß diese Entwicklung verzögert werde und daß dem Kinde derartige Erlebnisse erspart bleiben. Allein wir wissen schon, daß die Bedingungen der Verursachung für die Neurosen komplizierte sind und durch die Berücksichtigung eines einzigen Faktors nicht allgemein beeinflußt werden können. Die strenge Behütung der Kindheit verliert an Wert, weil sie gegen den konstitutionellen Faktor ohnmächtig ist; sie ist überdies schwerer durchzuführen, als die Erzieher sich vorstellen, und sie bringt zwei neue Gefahren mit sich, die nicht gering zu schätzen sind: daß sie zu viel erreicht, nämlich ein für die Folge schädliches Übermaß von Sexualverdrängung begünstigt, und daß sie das Kind widerstandslos gegen den in der Pubertät zu erwartenden Ansturm der Sexualforderungen ins Leben schickt. So bleibt es durchaus zweifelhaft, wie weit die Kindheitsprophylaxe mit Vorteil gehen kann, und ob nicht eine veränderte Einstellung zur Aktualität einen besseren Angriffspunkt zur Verhütung der Neurosen verspricht.</w:t>
      </w:r>
    </w:p>
    <w:p w:rsidR="00062BE4" w:rsidRPr="002F7766" w:rsidRDefault="00062BE4" w:rsidP="00062BE4">
      <w:pPr>
        <w:rPr>
          <w:rFonts w:ascii="Garamond" w:hAnsi="Garamond" w:cs="Arial"/>
          <w:lang w:val="en-GB"/>
        </w:rPr>
      </w:pPr>
      <w:r w:rsidRPr="002F7766">
        <w:rPr>
          <w:rFonts w:ascii="Garamond" w:hAnsi="Garamond" w:cs="Arial"/>
          <w:lang w:val="en-GB"/>
        </w:rPr>
        <w:t xml:space="preserve">Kehren wir nun zu den Symptomen zurück. Sie schaffen also Ersatz für die versagte Befriedigung durch eine Regression der Libido auf frühere Zeiten, womit die Rückkehr zu früheren Entwicklungsstufen der Objektwahl oder der Organisation untrennbar verbunden ist. Wir haben frühzeitig gehört, daß der Neurotiker irgendwo in seiner Vergangenheit festhaftet; wir wissen jetzt, daß es eine Periode seiner Vergangenheit ist, in welcher seine Libido die Befriedigung nicht vermißte, in der er glücklich war. Er sucht so lange in seiner Lebensgeschichte, bis er eine solche Zeit gefunden hat, und müßte er auch bis in seine Säuglingszeit zurückgehen, wie er sie erinnert oder sich nach späteren Anregungen vorstellt. Das Symptom wiederholt irgendwie jene frühinfantile Art der Befriedigung, entstellt durch die aus dem Konflikt hervorgehende Zensur, in der Regel zur Empfindung des Leidens gewendet und mit Elementen aus dem Anlaß der Erkrankung vermengt. Die Art der Befriedigung, welche das Symptom bringt, hat viel Befremdendes an sich. Wir sehen davon ab, daß sie für die Person unkenntlich ist, welche die angebliche Befriedigung vielmehr als Leiden empfindet und beklagt. Diese Verwandlung gehört dem psychischen Konflikt an, unter dessen Druck sich das Symptom bilden mußte. Was dereinst dem Individuum eine </w:t>
      </w:r>
      <w:r w:rsidRPr="002F7766">
        <w:rPr>
          <w:rFonts w:ascii="Garamond" w:hAnsi="Garamond" w:cs="Arial"/>
          <w:lang w:val="en-GB"/>
        </w:rPr>
        <w:lastRenderedPageBreak/>
        <w:t>Befriedigung war, muß eben heute seinen Widerstand oder seinen Abscheu erwecken. Wir kennen für solche Sinnesänderung ein unscheinbares, aber lehrreiches Vorbild. Dasselbe Kind, das mit Gier die Milch aus der Mutterbrust gesogen hat, pflegt einige Jahre später einen starken Widerwillen gegen Milchgenuß zu äußern, dessen Überwindung der Erziehung Schwierigkeiten bereitet. Dieser Widerwille steigert sich bis zum Abscheu, wenn die Milch oder das mit ihr versetzte Getränk von einem Häutchen überzogen ist. Es ist vielleicht nicht abzuweisen, daß diese Haut die Erinnerung an die einst so heiß begehrte Mutterbrust heraufbeschwört. Dazwischen liegt allerdings das traumatisch wirkende Erlebnis der Abgewöhnung.</w:t>
      </w:r>
    </w:p>
    <w:p w:rsidR="00062BE4" w:rsidRPr="002F7766" w:rsidRDefault="00062BE4" w:rsidP="00062BE4">
      <w:pPr>
        <w:rPr>
          <w:rFonts w:ascii="Garamond" w:hAnsi="Garamond" w:cs="Arial"/>
          <w:lang w:val="en-GB"/>
        </w:rPr>
      </w:pPr>
      <w:r w:rsidRPr="002F7766">
        <w:rPr>
          <w:rFonts w:ascii="Garamond" w:hAnsi="Garamond" w:cs="Arial"/>
          <w:lang w:val="en-GB"/>
        </w:rPr>
        <w:t>Es ist noch etwas anderes, was uns die Symptome merkwürdig und als Mittel der libidinösen Befriedigung unverständlich erscheinen läßt. Sie erinnern uns so gar nicht an all das, wovon wir normalerweise eine Befriedigung zu erwarten pflegen. Sie sehen meist vom Objekt ab und geben damit die Beziehung zur äußeren Realität auf. Wir verstehen dies als Folge der Abwendung vom Realitäts- und der Rückkehr zum Lustprinzip. Es ist aber auch eine Rückkehr zu einer Art von erweitertem Autoerotismus, wie er dem Sexualtrieb die ersten Befriedigungen bot. Sie setzen an die Stelle einer Veränderung der Außenwelt eine Körperveränderung, also eine innere Aktion an die Stelle einer äußeren, eine Anpassung anstatt einer Handlung, was wiederum einer in phylogenetischer Hinsicht höchst bedeutsamen Regression entspricht. Wir werden das erst im Zusammenhange mit einer Neuheit verstehen, die wir noch aus den analytischen Untersuchungen über die Symptombildung zu erfahren haben. Ferner erinnern wir uns, daß bei der Symptombildung die nämlichen Prozesse des Unbewußten wie bei der Traumbildung mitgewirkt haben, die Verdichtung und Verschiebung. Das Symptom stellt wie der Traum etwas als erfüllt dar, eine Befriedigung nach Art der infantilen, aber durch äußerste Verdichtung kann diese Befriedigung in eine einzige Sensation oder Innervation gedrängt, durch extreme Verschiebung auf eine kleine Einzelheit des ganzen libidinösen Komplexes eingeschränkt sein. Es ist kein Wunder, wenn auch wir häufig Schwierigkeiten haben, in dem Symptom die vermutete und jedesmal bestätigte libidinöse Befriedigung zu erkennen.</w:t>
      </w:r>
    </w:p>
    <w:p w:rsidR="00062BE4" w:rsidRPr="002F7766" w:rsidRDefault="00062BE4" w:rsidP="00062BE4">
      <w:pPr>
        <w:rPr>
          <w:rFonts w:ascii="Garamond" w:hAnsi="Garamond" w:cs="Arial"/>
          <w:lang w:val="en-GB"/>
        </w:rPr>
      </w:pPr>
      <w:r w:rsidRPr="002F7766">
        <w:rPr>
          <w:rFonts w:ascii="Garamond" w:hAnsi="Garamond" w:cs="Arial"/>
          <w:lang w:val="en-GB"/>
        </w:rPr>
        <w:t>Ich habe Ihnen angekündigt, daß wir noch etwas Neues zu erfahren haben; es ist wirklich etwas Überraschendes und Verwirrendes. Sie wissen, durch die Analyse von den Symptomen aus kommen wir zur Kenntnis der infantilen Erlebnisse, an welche die Libido fixiert ist und aus denen die Symptome gemacht werden. Nun, die Überraschung liegt darin, daß diese Infantilszenen nicht immer wahr sind. Ja, sie sind in der Mehrzahl der Fälle nicht wahr und in einzelnen Fällen im direkten Gegensatz zur historischen Wahrheit. Sie sehen ein, daß dieser Fund wie kein anderer dazu geeignet ist, entweder die Analyse zu diskreditieren, die zu solchem Ergebnis geführt hat, oder die Kranken, auf deren Aussagen die Analyse wie das ganze Verständnis der Neurosen aufgebaut ist. Außerdem ist aber noch etwas ungemein Verwirrendes dabei. Wenn die durch die Analyse zutage geförderten infantilen Erlebnisse jedesmal real wären, hätten wir das Gefühl, uns auf sicherem Boden zu bewegen, wenn sie regelmäßig gefälscht wären, sich als Erfindungen, als Phantasien der Kranken enthüllten, müßten wir diesen schwankenden Boden verlassen und uns auf einen anderen retten. Aber es ist weder so noch so, sondern der Sachverhalt ist nachweisbar der, daß die in der Analyse konstruierten oder erinnerten Kindererlebnisse einmal unstreitig falsch sind, das andere Mal aber ebenso sicher richtig und in den meisten Fällen aus Wahrem und Falschem gemengt. Die Symptome sind also dann bald die Darstellung von Erlebnissen, die wirklich stattgefunden haben und denen man einen Einfluß auf die Fixierung der Libido zuschreiben darf, und bald die Darstellung von Phantasien des Kranken, die sich zu einer ätiologischen Rolle natürlich gar nicht eignen. Es ist schwer, sich darin zurechtzufinden. Einen ersten Anhalt finden wir vielleicht an einer ähnlichen Entdeckung, daß nämlich die vereinzelten Kindheitserinnerungen, welche die Menschen von jeher und vor jeder Analyse bewußt in sich getragen haben, gleichfalls gefälscht sein können oder wenigstens reichlich Wahres mit Falschem vermengen. Der Nachweis der Unrichtigkeit macht hier selten Schwierigkeiten, und so haben wir wenigstens die eine Beruhigung, daß an dieser unerwarteten Enttäuschung nicht die Analyse, sondern irgendwie die Kranken die Schuld tragen.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Nach einiger Überlegung verstehen wir leicht, was uns an dieser Sachlage so verwirrt. Es ist die Geringschätzung der Realität, die Vernachlässigung des Unterschiedes zwischen ihr und der Phantasie. Wir sind in Versuchung beleidigt zu sein, daß uns der Kranke mit erfundenen Geschichten beschäftigt hat. Die Wirklichkeit erscheint uns als etwas von der Erfindung himmelweit Verschiedenes, und sie genießt bei uns eine ganz andere Einschätzung. Denselben Standpunkt nimmt übrigens auch der Kranke in seinem normalen Denken ein. Wenn er jenes Material vorbringt, welches hinter den Symptomen zu den Wunschsituationen führt, die den Kindererlebnissen nachgebildet sind, so sind wir allerdings anfangs im Zweifel, ob es sich um Wirklichkeit oder um Phantasien handelt. Später wird uns die Entscheidung durch gewisse Kennzeichen ermöglicht, und wir stehen vor der Aufgabe, sie auch dem Kranken bekanntzugeben. Dabei geht es nun auf keinen Fall ohne Schwierigkeiten ab. Eröffnen wir ihm gleich zu Beginn, daß er jetzt im Begriffe ist, die Phantasien zum Vorschein zu bringen, mit denen er sich seine Kindheitsgeschichte verhüllt hat, wie jedes Volk durch Sagenbildung seine vergessene Vorzeit, so bemerken wir, daß sein Interesse für die weitere Verfolgung des Themas plötzlich in unerwünschter Weise absinkt. Er will auch Wirklichkeiten erfahren und verachtet alle »Einbildungen«. Lassen wir ihn aber bis zur Erledigung dieses Stückes der Arbeit im Glauben, daß wir mit der Erforschung der realen Begebenheiten seiner Kinderjahre beschäftigt sind, so riskieren wir, daß er uns später Irrtum vorwirft und uns wegen unserer scheinbaren Leichtgläubigkeit verlacht. Für den Vorschlag, Phantasie und Wirklichkeit gleichzustellen und sich zunächst nicht darum zu kümmern, ob die zu klärenden Kindererlebnisse das eine oder das andere seien, hat er lange Zeit kein Verständnis. Und doch ist dies offenbar die einzig richtige Einstellung zu diesen seelischen Produktionen. Auch sie besitzen eine Art von Realität; es bleibt eine Tatsache, daß der Kranke sich solche Phantasien geschaffen hat, und diese Tatsache hat kaum geringere Bedeutung für seine Neurose, als wenn er den Inhalt dieser Phantasien wirklich erlebt hätte. Diese Phantasien besitzen </w:t>
      </w:r>
      <w:r w:rsidRPr="002F7766">
        <w:rPr>
          <w:rFonts w:ascii="Garamond" w:hAnsi="Garamond" w:cs="Arial"/>
          <w:i/>
          <w:iCs/>
          <w:lang w:val="en-GB"/>
        </w:rPr>
        <w:t>psychische</w:t>
      </w:r>
      <w:r w:rsidRPr="002F7766">
        <w:rPr>
          <w:rFonts w:ascii="Garamond" w:hAnsi="Garamond" w:cs="Arial"/>
          <w:lang w:val="en-GB"/>
        </w:rPr>
        <w:t xml:space="preserve"> Realität im Gegensatz zur </w:t>
      </w:r>
      <w:r w:rsidRPr="002F7766">
        <w:rPr>
          <w:rFonts w:ascii="Garamond" w:hAnsi="Garamond" w:cs="Arial"/>
          <w:i/>
          <w:iCs/>
          <w:lang w:val="en-GB"/>
        </w:rPr>
        <w:t>materiellen</w:t>
      </w:r>
      <w:r w:rsidRPr="002F7766">
        <w:rPr>
          <w:rFonts w:ascii="Garamond" w:hAnsi="Garamond" w:cs="Arial"/>
          <w:lang w:val="en-GB"/>
        </w:rPr>
        <w:t xml:space="preserve">, und wir lernen allmählich verstehen, daß </w:t>
      </w:r>
      <w:r w:rsidRPr="002F7766">
        <w:rPr>
          <w:rFonts w:ascii="Garamond" w:hAnsi="Garamond" w:cs="Arial"/>
          <w:i/>
          <w:iCs/>
          <w:lang w:val="en-GB"/>
        </w:rPr>
        <w:t>in der Welt der Neurosen die psychische Realität die maßgebende ist.</w:t>
      </w:r>
    </w:p>
    <w:p w:rsidR="00062BE4" w:rsidRPr="002F7766" w:rsidRDefault="00062BE4" w:rsidP="00062BE4">
      <w:pPr>
        <w:rPr>
          <w:rFonts w:ascii="Garamond" w:hAnsi="Garamond" w:cs="Arial"/>
          <w:lang w:val="en-GB"/>
        </w:rPr>
      </w:pPr>
      <w:r w:rsidRPr="002F7766">
        <w:rPr>
          <w:rFonts w:ascii="Garamond" w:hAnsi="Garamond" w:cs="Arial"/>
          <w:lang w:val="en-GB"/>
        </w:rPr>
        <w:t xml:space="preserve">Unter den Begebenheiten, die in der Jugendgeschichte der Neurotiker immer wiederkehren, kaum je zu fehlen scheinen, sind einige von besonderer Wichtigkeit, die ich darum auch einer Hervorhebung vor den anderen für würdig halte. Ich zähle Ihnen als Muster dieser Gattung auf: die Beobachtung des elterlichen Verkehres, die Verführung durch eine erwachsene Person und die Kastrationsandrohung. Es wäre ein großer Irrtum anzunehmen, daß ihnen niemals materielle Realität zukommt; diese ist im Gegenteil oft einwandfrei durch Nachforschung bei älteren Angehörigen zu erweisen. So ist es z.B. gar keine Seltenheit, daß dem kleinen Knaben, welcher unartig mit seinem Glied zu spielen beginnt und noch nicht weiß, daß man solche Beschäftigung verbergen muß, von Eltern oder von Pflegepersonen gedroht wird, man werde ihm das Glied oder die sündigende Hand abschneiden. Die Eltern gestehen es auf Nachfrage oft ein, da sie mit solcher Einschüchterung etwas Zweckmäßiges getan zu haben glauben; manche Menschen haben eine korrekte, bewußte Erinnerung an diese Drohung, besonders dann, wenn sie in etwas späteren Jahren erfolgt ist. Wenn die Mutter oder eine andere weibliche Person die Drohung ausspricht, so schiebt sie ihre Ausführung gewöhnlich dem Vater oder dem Arzt zu. In dem berühmten </w:t>
      </w:r>
      <w:r w:rsidRPr="002F7766">
        <w:rPr>
          <w:rFonts w:ascii="Garamond" w:hAnsi="Garamond" w:cs="Arial"/>
          <w:i/>
          <w:iCs/>
          <w:lang w:val="en-GB"/>
        </w:rPr>
        <w:t>Struwwelpeter</w:t>
      </w:r>
      <w:r w:rsidRPr="002F7766">
        <w:rPr>
          <w:rFonts w:ascii="Garamond" w:hAnsi="Garamond" w:cs="Arial"/>
          <w:lang w:val="en-GB"/>
        </w:rPr>
        <w:t xml:space="preserve"> des Frankfurter Kinderarztes Hoffmann, der seine Beliebtheit gerade dem Verständnis für die sexuellen und andere Komplexe des Kindesalters verdankt, finden Sie die Kastration gemildert, durch das Abschneiden der Daumen als Strafe für hartnäckiges Lutschen ersetzt. Es ist aber in hohem Grade unwahrscheinlich, daß die Kastrationsdrohung so oft an die Kinder ergeht, als sie in den Analysen der Neurotiker vorkommt. Wir sind damit zufrieden zu verstehen, daß sich das Kind eine solche Drohung auf Grund von Andeutungen, mit Hilfe des Wissens, daß die autoerotische Befriedigung verboten ist, und unter dem Eindruck seiner Entdeckung des weiblichen Genitales in der Phantasie zusammensetzt. Ebenso ist es keineswegs ausgeschlossen, daß das kleine Kind, solange man ihm kein Verständnis und kein Gedächtnis zutraut, auch in anderen als Proletarierfamilien zum Zeugen eines Geschlechtsaktes zwischen den Eltern oder anderen Erwachsenen wird, und es ist nicht abzuweisen, daß das Kind </w:t>
      </w:r>
      <w:r w:rsidRPr="002F7766">
        <w:rPr>
          <w:rFonts w:ascii="Garamond" w:hAnsi="Garamond" w:cs="Arial"/>
          <w:i/>
          <w:iCs/>
          <w:lang w:val="en-GB"/>
        </w:rPr>
        <w:t>nachträglich</w:t>
      </w:r>
      <w:r w:rsidRPr="002F7766">
        <w:rPr>
          <w:rFonts w:ascii="Garamond" w:hAnsi="Garamond" w:cs="Arial"/>
          <w:lang w:val="en-GB"/>
        </w:rPr>
        <w:t xml:space="preserve"> diesen Eindruck verstehen und auf ihn reagieren kann. Wenn aber dieser Verkehr mit den ausführlichsten Details </w:t>
      </w:r>
      <w:r w:rsidRPr="002F7766">
        <w:rPr>
          <w:rFonts w:ascii="Garamond" w:hAnsi="Garamond" w:cs="Arial"/>
          <w:lang w:val="en-GB"/>
        </w:rPr>
        <w:lastRenderedPageBreak/>
        <w:t xml:space="preserve">beschrieben wird, die der Beobachtung Schwierigkeiten bereiten, oder wenn er sich, wie überwiegend häufig, als ein Verkehr von rückwärts, </w:t>
      </w:r>
      <w:r w:rsidRPr="002F7766">
        <w:rPr>
          <w:rFonts w:ascii="Garamond" w:hAnsi="Garamond" w:cs="Arial"/>
          <w:i/>
          <w:iCs/>
          <w:lang w:val="en-GB"/>
        </w:rPr>
        <w:t>more ferarum</w:t>
      </w:r>
      <w:hyperlink r:id="rId1468" w:anchor="#" w:history="1">
        <w:r w:rsidRPr="002F7766">
          <w:rPr>
            <w:rStyle w:val="fusslink"/>
            <w:rFonts w:ascii="Garamond" w:hAnsi="Garamond" w:cs="Arial"/>
            <w:b/>
            <w:bCs/>
            <w:color w:val="003399"/>
            <w:lang w:val="en-GB"/>
          </w:rPr>
          <w:t>[Fußnote]</w:t>
        </w:r>
        <w:r w:rsidRPr="002F7766">
          <w:rPr>
            <w:rStyle w:val="innerfusslink3"/>
            <w:rFonts w:ascii="Garamond" w:hAnsi="Garamond" w:cs="Arial"/>
            <w:b/>
            <w:bCs/>
            <w:lang w:val="en-GB"/>
          </w:rPr>
          <w:t>wie bei den Tieren.</w:t>
        </w:r>
      </w:hyperlink>
      <w:r w:rsidRPr="002F7766">
        <w:rPr>
          <w:rFonts w:ascii="Garamond" w:hAnsi="Garamond" w:cs="Arial"/>
          <w:lang w:val="en-GB"/>
        </w:rPr>
        <w:t>, herausstellt, so bleibt wohl kein Zweifel über die Anlehnung dieser Phantasie an die Beobachtung des Verkehres von Tieren (Hunden) und die Motivierung derselben durch die unbefriedigte Schaulust des Kindes in den Pubertätsjahren. Die äußerste Leistung dieser Art ist dann die Phantasie von der Beobachtung des elterlichen Koitus, während man sich noch ungeboren im Mutterleib befunden hat. Besonderes Interesse hat die Phantasie der Verführung, weil sie nur zu oft keine Phantasie, sondern reale Erinnerung ist. Aber zum Glück ist sie doch nicht so häufig real, wie es nach den Ergebnissen der Analyse zuerst den Anschein hatte. Die Verführung durch ältere oder gleichaltrige Kinder ist immer noch häufiger als die durch Erwachsene, und wenn bei den Mädchen, welche diese Begebenheit in ihrer Kindergeschichte vorbringen, ziemlich regelmäßig der Vater als Verführer auftritt, so leidet weder die phantastische Natur dieser Beschuldigung noch das zu ihr drängende Motiv einen Zweifel. Mit der Verführungsphantasie, wo keine Verführung stattgehabt hat, deckt das Kind in der Regel die autoerotische Periode seiner Sexualbetätigung. Es erspart sich die Beschämung über die Masturbation, indem es ein begehrtes Objekt in diese frühesten Zeiten zurückphantasiert. Glauben Sie übrigens nicht, daß sexueller Mißbrauch des Kindes durch die nächsten männlichen Verwandten durchaus dem Reiche der Phantasie angehört. Die meisten Analytiker werden Fälle behandelt haben, in denen solche Beziehungen real waren und einwandfrei festgestellt werden konnten; nur gehörten sie auch dann späteren Kindheitsjahren an und waren in frühere eingetragen worden.</w:t>
      </w:r>
    </w:p>
    <w:p w:rsidR="00062BE4" w:rsidRPr="002F7766" w:rsidRDefault="00062BE4" w:rsidP="00062BE4">
      <w:pPr>
        <w:rPr>
          <w:rFonts w:ascii="Garamond" w:hAnsi="Garamond" w:cs="Arial"/>
          <w:lang w:val="en-GB"/>
        </w:rPr>
      </w:pPr>
      <w:r w:rsidRPr="002F7766">
        <w:rPr>
          <w:rFonts w:ascii="Garamond" w:hAnsi="Garamond" w:cs="Arial"/>
          <w:lang w:val="en-GB"/>
        </w:rPr>
        <w:t xml:space="preserve">Man empfängt keinen anderen Eindruck, als daß solche Kinderbegebenheiten irgendwie notwendig verlangt werden, zum eisernen Bestand der Neurose gehören. Sind sie in der Realität enthalten, dann ist es gut; hat sie die Realität verweigert, so werden sie aus Andeutungen hergestellt und durch die Phantasie ergänzt. Das Ergebnis ist das gleiche, und es ist uns bis heute nicht gelungen, einen Unterschied in den Folgen nachzuweisen, wenn die Phantasie oder die Realität den größeren Anteil an diesen Kinderbegebenheiten hat. Hier besteht eben wieder nur eines der so oft erwähnten Ergänzungsverhältnisse; es ist allerdings das Befremdendste von allen, die wir kennengelernt haben. Woher rührt das Bedürfnis nach diesen Phantasien und das Material für sie? Über die Triebquellen kann wohl kein Zweifel sein, aber es ist zu erklären, daß jedesmal die nämlichen Phantasien mit demselben Inhalt geschaffen werden. Ich habe hier eine Antwort bereit, von der ich weiß, daß sie Ihnen gewagt erscheinen wird. Ich meine, diese </w:t>
      </w:r>
      <w:r w:rsidRPr="002F7766">
        <w:rPr>
          <w:rFonts w:ascii="Garamond" w:hAnsi="Garamond" w:cs="Arial"/>
          <w:i/>
          <w:iCs/>
          <w:lang w:val="en-GB"/>
        </w:rPr>
        <w:t>Urphantasien</w:t>
      </w:r>
      <w:r w:rsidRPr="002F7766">
        <w:rPr>
          <w:rFonts w:ascii="Garamond" w:hAnsi="Garamond" w:cs="Arial"/>
          <w:lang w:val="en-GB"/>
        </w:rPr>
        <w:t xml:space="preserve"> so möchte ich sie und gewiß noch einige andere nennen sind phylogenetischer Besitz. Das Individuum greift in ihnen über sein eigenes Erleben hinaus in das Erleben der Vorzeit, wo sein eigenes Erleben allzu rudimentär geworden ist. Es scheint mir sehr wohl möglich, daß alles, was uns heute in der Analyse als Phantasie erzählt wird, die Kinderverführung, die Entzündung der Sexualerregung an der Beobachtung des elterlichen Verkehrs, die Kastrationsdrohung oder vielmehr die Kastration, in den Urzeiten der menschlichen Familie einmal Realität war und daß das phantasierende Kind einfach die Lücken der individuellen Wahrheit mit prähistorischer Wahrheit ausgefüllt hat. Wir sind wiederholt auf den Verdacht gekommen, daß uns die Neurosenpsychologie mehr von den Altertümern der menschlichen Entwicklung aufbewahrt hat als alle anderen Quellen.</w:t>
      </w:r>
    </w:p>
    <w:p w:rsidR="00062BE4" w:rsidRPr="002F7766" w:rsidRDefault="00062BE4" w:rsidP="00062BE4">
      <w:pPr>
        <w:rPr>
          <w:rFonts w:ascii="Garamond" w:hAnsi="Garamond" w:cs="Arial"/>
          <w:lang w:val="en-GB"/>
        </w:rPr>
      </w:pPr>
      <w:r w:rsidRPr="002F7766">
        <w:rPr>
          <w:rFonts w:ascii="Garamond" w:hAnsi="Garamond" w:cs="Arial"/>
          <w:lang w:val="en-GB"/>
        </w:rPr>
        <w:t xml:space="preserve">Meine Herren! Die letzterörterten Dinge nötigen uns, auf die Entstehung und Bedeutung jener Geistestätigkeit näher einzugehen, die »Phantasie« genannt wird. Sie genießt, wie Ihnen bekannt ist, allgemein eine hohe Schätzung, ohne daß man über ihre Stellung im Seelenleben klar geworden wäre. Ich kann Ihnen folgendes darüber sagen. Wie Sie wissen, wird das Ich des Menschen durch die Einwirkung der äußeren Not langsam zur Schätzung der Realität und zur Befolgung des Realitätsprinzips erzogen und muß dabei auf verschiedene Objekte und Ziele seines Luststrebens nicht allein des sexuellen vorübergehend oder dauernd verzichten. Aber Lustverzicht ist dem Menschen immer schwergefallen; er bringt ihn nicht ohne eine Art von Entschädigung zustande. Er hat sich daher eine seelische Tätigkeit vorbehalten, in welcher all diesen aufgegebenen Lustquellen und verlassenen Wegen der Lustgewinnung </w:t>
      </w:r>
      <w:r w:rsidRPr="002F7766">
        <w:rPr>
          <w:rFonts w:ascii="Garamond" w:hAnsi="Garamond" w:cs="Arial"/>
          <w:lang w:val="en-GB"/>
        </w:rPr>
        <w:lastRenderedPageBreak/>
        <w:t>eine weitere Existenz zugestanden ist, eine Form der Existenz, in welcher sie von dem Realitätsanspruch und dem, was wir »Realitätsprüfung« nennen, frei gelassen sind. Jedes Streben erreicht bald die Form einer Erfüllungsvorstellung; es ist kein Zweifel, daß das Verweilen bei den Wunscherfüllungen der Phantasie eine Befriedigung mit sich bringt, obwohl das Wissen, es handle sich nicht um Realität, dabei nicht getrübt ist. In der Phantasietätigkeit genießt also der Mensch die Freiheit vom äußeren Zwang weiter, auf die er in Wirklichkeit längst verzichtet hat. Er hat es zustande gebracht, abwechselnd noch Lusttier zu sein und dann wieder ein verständiges Wesen. Er findet mit der kargen Befriedigung, die er der Wirklichkeit abringen kann, eben nicht sein Auskommen. »Es geht überhaupt nicht ohne Hilfskonstruktionen,« hat Th.Fontane einmal gesagt. Die Schöpfung des seelischen Reiches der Phantasie findet ein volles Gegenstück in der Einrichtung von »Schonungen«, »Naturschutzparks« dort, wo die Anforderungen des Ackerbaues, des Verkehres und der Industrie das ursprüngliche Gesicht der Erde rasch bis zur Unkenntlichkeit zu verändern drohen. Der Naturschutzpark erhält diesen alten Zustand, welchen man sonst überall mit Bedauern der Notwendigkeit geopfert hat. Alles darf darin wuchern und wachsen, wie es will, auch das Nutzlose, selbst das Schädliche. Eine solche dem Realitätsprinzip entzogene Schonung ist auch das seelische Reich der Phantasie.</w:t>
      </w:r>
    </w:p>
    <w:p w:rsidR="00062BE4" w:rsidRPr="002F7766" w:rsidRDefault="00062BE4" w:rsidP="00062BE4">
      <w:pPr>
        <w:rPr>
          <w:rFonts w:ascii="Garamond" w:hAnsi="Garamond" w:cs="Arial"/>
          <w:lang w:val="en-GB"/>
        </w:rPr>
      </w:pPr>
      <w:r w:rsidRPr="002F7766">
        <w:rPr>
          <w:rFonts w:ascii="Garamond" w:hAnsi="Garamond" w:cs="Arial"/>
          <w:lang w:val="en-GB"/>
        </w:rPr>
        <w:t>Die bekanntesten Produktionen der Phantasie sind die sogenannten »Tagträume«, die wir schon kennen, vorgestellte Befriedigungen ehrgeiziger, großsüchtiger, erotischer Wünsche, die um so üppiger gedeihen, je mehr die Wirklichkeit zur Bescheidung oder zur Geduldung mahnt. Das Wesen des Phantasieglücks, die Wiederherstellung der Unabhängigkeit der Lustgewinnung von der Zustimmung der Realität, zeigt sich in ihnen unverkennbar. Wir wissen, solche Tagträume sind Kern und Vorbilder der nächtlichen Träume. Der Nachttraum ist im Grunde nichts anderes als ein durch die nächtliche Freiheit der Triebregungen verwendbar gewordener, durch die nächtliche Form der seelischen Tätigkeit entstellter Tagtraum. Wir haben uns bereits mit der Idee vertraut gemacht, daß auch ein Tagtraum nicht notwendig bewußt ist, daß es auch unbewußte Tagträume gibt. Solche unbewußte Tagträume sind also ebensowohl die Quelle der nächtlichen Träume wie der neurotischen Symptome.</w:t>
      </w:r>
    </w:p>
    <w:p w:rsidR="00062BE4" w:rsidRPr="002F7766" w:rsidRDefault="00062BE4" w:rsidP="00062BE4">
      <w:pPr>
        <w:rPr>
          <w:rFonts w:ascii="Garamond" w:hAnsi="Garamond" w:cs="Arial"/>
          <w:lang w:val="en-GB"/>
        </w:rPr>
      </w:pPr>
      <w:r w:rsidRPr="002F7766">
        <w:rPr>
          <w:rFonts w:ascii="Garamond" w:hAnsi="Garamond" w:cs="Arial"/>
          <w:lang w:val="en-GB"/>
        </w:rPr>
        <w:t xml:space="preserve">Die Bedeutung der Phantasie für die Symptombildung wird Ihnen durch die folgende Mitteilung klar werden. Wir haben gesagt, im Falle der Versagung besetze die Libido regressiv die von ihr aufgelassenen Positionen, an denen sie doch mit gewissen Beträgen haften geblieben ist. Das werden wir nicht zurücknehmen oder korrigieren, aber wir haben ein Zwischenglied einzusetzen. Wie findet die Libido ihren Weg zu diesen Fixierungsstellen? Nun, alle aufgegebenen Objekte und Richtungen der Libido sind noch nicht in jedem Sinne aufgegeben. Sie oder ihre Abkömmlinge werden noch mit einer gewissen Intensität in den Phantasievorstellungen festgehalten. Die Libido braucht sich also nur auf die Phantasien zurückzuziehen, um von ihnen aus den Weg zu allen verdrängten Fixierungen offen zu finden. Diese Phantasien erfreuten sich einer gewissen Duldung, es kam nicht zum Konflikt zwischen ihnen und dem Ich, so scharf auch die Gegensätze sein mochten, solange eine gewisse Bedingung eingehalten wurde. Eine Bedingung </w:t>
      </w:r>
      <w:r w:rsidRPr="002F7766">
        <w:rPr>
          <w:rFonts w:ascii="Garamond" w:hAnsi="Garamond" w:cs="Arial"/>
          <w:i/>
          <w:iCs/>
          <w:lang w:val="en-GB"/>
        </w:rPr>
        <w:t>quantitativer</w:t>
      </w:r>
      <w:r w:rsidRPr="002F7766">
        <w:rPr>
          <w:rFonts w:ascii="Garamond" w:hAnsi="Garamond" w:cs="Arial"/>
          <w:lang w:val="en-GB"/>
        </w:rPr>
        <w:t xml:space="preserve"> Natur, die nun durch das Rückfluten der Libido auf die Phantasien gestört wird. Durch diesen Zuschuß wird die Energiebesetzung der Phantasien so erhöht, daß sie anspruchsvoll werden, einen Drang nach der Richtung der Realisierung entwickeln. Das macht aber den Konflikt zwischen ihnen und dem Ich unvermeidlich. Ob sie früher vorbewußt oder bewußt waren, sie unterliegen jetzt der Verdrängung von seiten des Ichs und sind der Anziehung von Seiten des Unbewußten preisgegeben. Von den jetzt unbewußten Phantasien wandert die Libido bis zu deren Ursprüngen im Unbewußten, bis zu ihren eigenen Fixierungsstellen zurück.</w:t>
      </w:r>
    </w:p>
    <w:p w:rsidR="00062BE4" w:rsidRPr="002F7766" w:rsidRDefault="00062BE4" w:rsidP="00062BE4">
      <w:pPr>
        <w:rPr>
          <w:rFonts w:ascii="Garamond" w:hAnsi="Garamond" w:cs="Arial"/>
          <w:lang w:val="en-GB"/>
        </w:rPr>
      </w:pPr>
      <w:r w:rsidRPr="002F7766">
        <w:rPr>
          <w:rFonts w:ascii="Garamond" w:hAnsi="Garamond" w:cs="Arial"/>
          <w:lang w:val="en-GB"/>
        </w:rPr>
        <w:t xml:space="preserve">Der Rückgang der Libido auf die Phantasie ist eine Zwischenstufe des Weges zur Symptombildung, welche wohl eine besondere Bezeichnung verdient. C.G.Jung hat den sehr geeigneten Namen der </w:t>
      </w:r>
      <w:r w:rsidRPr="002F7766">
        <w:rPr>
          <w:rFonts w:ascii="Garamond" w:hAnsi="Garamond" w:cs="Arial"/>
          <w:i/>
          <w:iCs/>
          <w:lang w:val="en-GB"/>
        </w:rPr>
        <w:t>Introversion</w:t>
      </w:r>
      <w:r w:rsidRPr="002F7766">
        <w:rPr>
          <w:rFonts w:ascii="Garamond" w:hAnsi="Garamond" w:cs="Arial"/>
          <w:lang w:val="en-GB"/>
        </w:rPr>
        <w:t xml:space="preserve"> für sie geprägt, ihn aber in unzweckmäßiger Weise auch anderes bedeuten lassen. Wir wollen daran festhalten, daß die Introversion die Abwendung der Libido von den Möglichkeiten der realen Befriedigung und die Überbesetzung der bisher als harmlos geduldeten Phantasien bezeichnet. Ein </w:t>
      </w:r>
      <w:r w:rsidRPr="002F7766">
        <w:rPr>
          <w:rFonts w:ascii="Garamond" w:hAnsi="Garamond" w:cs="Arial"/>
          <w:lang w:val="en-GB"/>
        </w:rPr>
        <w:lastRenderedPageBreak/>
        <w:t>Introvertierter ist noch kein Neurotiker, aber er befindet sich in einer labilen Situation; er muß bei der nächsten Kräfteverschiebung Symptome entwickeln, wenn er nicht noch für seine gestaute Libido andere Auswege findet. Der irreale Charakter der neurotischen Befriedigung und die Vernachlässigung des Unterschiedes zwischen Phantasie und Wirklichkeit sind hingegen bereits durch das Verweilen auf der Stufe der Introversion bestimmt.</w:t>
      </w:r>
    </w:p>
    <w:p w:rsidR="00062BE4" w:rsidRPr="002F7766" w:rsidRDefault="00062BE4" w:rsidP="00062BE4">
      <w:pPr>
        <w:rPr>
          <w:rFonts w:ascii="Garamond" w:hAnsi="Garamond" w:cs="Arial"/>
          <w:lang w:val="en-GB"/>
        </w:rPr>
      </w:pPr>
      <w:r w:rsidRPr="002F7766">
        <w:rPr>
          <w:rFonts w:ascii="Garamond" w:hAnsi="Garamond" w:cs="Arial"/>
          <w:lang w:val="en-GB"/>
        </w:rPr>
        <w:t xml:space="preserve">Sie haben gewiß bemerkt, daß ich in den letzten Erörterungen einen neuen Faktor in das Gefüge der ätiologischen Verkettung eingeführt habe, nämlich die Quantität, die Größe der in Betracht kommenden Energien; diesen Faktor müssen wir überall noch in Rechnung bringen. Mit rein qualitativer Analyse der ätiologischen Bedingungen reichen wir nicht aus. Oder um es anders zu sagen, eine bloß </w:t>
      </w:r>
      <w:r w:rsidRPr="002F7766">
        <w:rPr>
          <w:rFonts w:ascii="Garamond" w:hAnsi="Garamond" w:cs="Arial"/>
          <w:i/>
          <w:iCs/>
          <w:lang w:val="en-GB"/>
        </w:rPr>
        <w:t>dynamische</w:t>
      </w:r>
      <w:r w:rsidRPr="002F7766">
        <w:rPr>
          <w:rFonts w:ascii="Garamond" w:hAnsi="Garamond" w:cs="Arial"/>
          <w:lang w:val="en-GB"/>
        </w:rPr>
        <w:t xml:space="preserve"> Auffassung dieser seelischen Vorgänge ist ungenügend, es bedarf noch des </w:t>
      </w:r>
      <w:r w:rsidRPr="002F7766">
        <w:rPr>
          <w:rFonts w:ascii="Garamond" w:hAnsi="Garamond" w:cs="Arial"/>
          <w:i/>
          <w:iCs/>
          <w:lang w:val="en-GB"/>
        </w:rPr>
        <w:t>ökonomischen</w:t>
      </w:r>
      <w:r w:rsidRPr="002F7766">
        <w:rPr>
          <w:rFonts w:ascii="Garamond" w:hAnsi="Garamond" w:cs="Arial"/>
          <w:lang w:val="en-GB"/>
        </w:rPr>
        <w:t xml:space="preserve"> Gesichtspunktes. Wir müssen uns sagen, daß der Konflikt zwischen zwei Strebungen nicht losbricht, ehe nicht gewisse Besetzungsintensitäten erreicht sind, mögen auch die inhaltlichen Bedingungen längst vorhanden sein. Ebenso richtet sich die pathogene Bedeutung der konstitutionellen Faktoren danach, wie viel </w:t>
      </w:r>
      <w:r w:rsidRPr="002F7766">
        <w:rPr>
          <w:rFonts w:ascii="Garamond" w:hAnsi="Garamond" w:cs="Arial"/>
          <w:i/>
          <w:iCs/>
          <w:lang w:val="en-GB"/>
        </w:rPr>
        <w:t>mehr</w:t>
      </w:r>
      <w:r w:rsidRPr="002F7766">
        <w:rPr>
          <w:rFonts w:ascii="Garamond" w:hAnsi="Garamond" w:cs="Arial"/>
          <w:lang w:val="en-GB"/>
        </w:rPr>
        <w:t xml:space="preserve"> von dem einen Partialtrieb als von einem anderen in der Anlage gegeben ist; man kann sich sogar vorstellen, die Anlagen aller Menschen seien qualitativ gleichartig und unterscheiden sich nur durch diese quantitativen Verhältnisse. Nicht minder entscheidend ist das quantitative Moment für die Widerstandsfähigkeit gegen neurotische Erkrankung. Es kommt darauf an, </w:t>
      </w:r>
      <w:r w:rsidRPr="002F7766">
        <w:rPr>
          <w:rFonts w:ascii="Garamond" w:hAnsi="Garamond" w:cs="Arial"/>
          <w:i/>
          <w:iCs/>
          <w:lang w:val="en-GB"/>
        </w:rPr>
        <w:t>welchen Betrag</w:t>
      </w:r>
      <w:r w:rsidRPr="002F7766">
        <w:rPr>
          <w:rFonts w:ascii="Garamond" w:hAnsi="Garamond" w:cs="Arial"/>
          <w:lang w:val="en-GB"/>
        </w:rPr>
        <w:t xml:space="preserve"> der unverwendeten Libido eine Person in Schwebe erhalten kann, und einen </w:t>
      </w:r>
      <w:r w:rsidRPr="002F7766">
        <w:rPr>
          <w:rFonts w:ascii="Garamond" w:hAnsi="Garamond" w:cs="Arial"/>
          <w:i/>
          <w:iCs/>
          <w:lang w:val="en-GB"/>
        </w:rPr>
        <w:t>wie großen Bruchteil</w:t>
      </w:r>
      <w:r w:rsidRPr="002F7766">
        <w:rPr>
          <w:rFonts w:ascii="Garamond" w:hAnsi="Garamond" w:cs="Arial"/>
          <w:lang w:val="en-GB"/>
        </w:rPr>
        <w:t xml:space="preserve"> ihrer Libido sie vom Sexuellen weg auf die Ziele der Sublimierung zu lenken vermag. Das Endziel der seelischen Tätigkeit, das sich qualitativ als Streben nach Lustgewinn und Unlustvermeidung beschreiben läßt, stellt sich für die ökonomische Betrachtung als die Aufgabe dar, die im seelischen Apparat wirkenden Erregungsgrößen (Reizmengen) zu bewältigen und deren Unlust schaffende Stauung hintanzuhalten.</w:t>
      </w:r>
    </w:p>
    <w:p w:rsidR="00062BE4" w:rsidRPr="002F7766" w:rsidRDefault="00062BE4" w:rsidP="00062BE4">
      <w:pPr>
        <w:rPr>
          <w:rFonts w:ascii="Garamond" w:hAnsi="Garamond" w:cs="Arial"/>
          <w:lang w:val="en-GB"/>
        </w:rPr>
      </w:pPr>
      <w:r w:rsidRPr="002F7766">
        <w:rPr>
          <w:rFonts w:ascii="Garamond" w:hAnsi="Garamond" w:cs="Arial"/>
          <w:lang w:val="en-GB"/>
        </w:rPr>
        <w:t>Soviel wollte ich Ihnen also über die Symptombildung bei den Neurosen sagen. Ja aber, daß ich nicht versäume, es nochmals ausdrücklich zu betonen: Alles hier Gesagte bezieht sich nur auf die Symptombildung bei der Hysterie. Schon bei der Zwangsneurose ist bei Erhaltung des Grundsätzlichen vieles anders zu finden. Die Gegenbesetzungen gegen die Triebanforderungen, von denen wir auch bei der Hysterie gesprochen haben, drängen sich bei der Zwangsneurose vor und beherrschen durch sogenannte »Reaktionsbildungen« das klinische Bild. Ebensolche und noch weiter reichende Abweichungen entdecken wir bei den anderen Neurosen, wo die Untersuchungen über die Mechanismen der Symptombildung noch an keinem Punkte abgeschlossen sind.</w:t>
      </w:r>
    </w:p>
    <w:p w:rsidR="00062BE4" w:rsidRPr="002F7766" w:rsidRDefault="00062BE4" w:rsidP="00062BE4">
      <w:pPr>
        <w:rPr>
          <w:rFonts w:ascii="Garamond" w:hAnsi="Garamond" w:cs="Arial"/>
        </w:rPr>
      </w:pPr>
      <w:r w:rsidRPr="002F7766">
        <w:rPr>
          <w:rFonts w:ascii="Garamond" w:hAnsi="Garamond" w:cs="Arial"/>
          <w:lang w:val="en-GB"/>
        </w:rPr>
        <w:t xml:space="preserve">Ehe ich Sie heute entlasse, möchte ich aber Ihre Aufmerksamkeit noch eine Weile für eine Seite des Phantasielebens in Anspruch nehmen, die des allgemeinsten Interesses würdig ist. Es gibt nämlich einen Rückweg von der Phantasie zur Realität, und das ist die Kunst. Der Künstler ist im Ansatze auch ein Introvertierter, der es nicht weit zur Neurose hat. Er wird von überstarken Triebbedürfnissen gedrängt, möchte Ehre, Macht, Reichtum, Ruhm und die Liebe der Frauen erwerben; es fehlen ihm aber die Mittel, um diese Befriedigungen zu erreichen. Darum wendet er sich wie ein anderer Unbefriedigter von der Wirklichkeit ab und überträgt all sein Interesse, auch seine Libido, auf die Wunschbildungen seines Phantasielebens, von denen aus der Weg zur Neurose führen könnte. Es muß wohl vielerlei zusammentreffen, damit dies nicht der volle Ausgang seiner Entwicklung werde; es ist ja bekannt, wie häufig gerade Künstler an einer partiellen Hemmung ihrer Leistungsfähigkeit durch Neurosen </w:t>
      </w:r>
      <w:smartTag w:uri="urn:schemas-microsoft-com:office:smarttags" w:element="City">
        <w:smartTag w:uri="urn:schemas-microsoft-com:office:smarttags" w:element="place">
          <w:r w:rsidRPr="002F7766">
            <w:rPr>
              <w:rFonts w:ascii="Garamond" w:hAnsi="Garamond" w:cs="Arial"/>
              <w:lang w:val="en-GB"/>
            </w:rPr>
            <w:t>leiden</w:t>
          </w:r>
        </w:smartTag>
      </w:smartTag>
      <w:r w:rsidRPr="002F7766">
        <w:rPr>
          <w:rFonts w:ascii="Garamond" w:hAnsi="Garamond" w:cs="Arial"/>
          <w:lang w:val="en-GB"/>
        </w:rPr>
        <w:t xml:space="preserve">. Wahrscheinlich enthält ihre Konstitution eine starke Fähigkeit zur Sublimierung und eine gewisse Lockerheit der den Konflikt entscheidenden Verdrängungen. Den Rückweg zur Realität findet der Künstler aber auf folgende Art. </w:t>
      </w:r>
      <w:r w:rsidRPr="002F7766">
        <w:rPr>
          <w:rFonts w:ascii="Garamond" w:hAnsi="Garamond" w:cs="Arial"/>
        </w:rPr>
        <w:t xml:space="preserve">Er ist ja nicht der einzige, der ein Phantasieleben führt. Das Zwischenreich der Phantasie ist durch allgemein menschliche Übereinkunft gebilligt, und jeder Entbehrende erwartet von daher Linderung und Trost. Aber den Nichtkünstlern ist der Bezug von Lustgewinn aus den Quellen der Phantasie sehr eingeschränkt. Die Unerbittlichkeit ihrer Verdrängungen nötigt sie, sich mit den spärlichen Tagträumen, die noch bewußt werden dürfen, zu begnügen. Wenn einer </w:t>
      </w:r>
      <w:r w:rsidRPr="002F7766">
        <w:rPr>
          <w:rFonts w:ascii="Garamond" w:hAnsi="Garamond" w:cs="Arial"/>
        </w:rPr>
        <w:lastRenderedPageBreak/>
        <w:t xml:space="preserve">ein rechter Künstler ist, dann verfügt er über mehr. Er versteht es erstens, seine Tagträume so zu bearbeiten, daß sie das allzu Persönliche, welches Fremde abstößt, verlieren und für die anderen mitgenießbar werden. Er weiß sie auch soweit zu mildern, daß sie ihre Herkunft aus den verpönten Quellen nicht leicht verraten. Er besitzt ferner das rätselhafte Vermögen, ein bestimmtes Material zu formen, bis es zum getreuen Ebenbilde seiner Phantasievorstellung geworden ist, und dann weiß er an diese Darstellung seiner unbewußten Phantasie so viel Lustgewinn zu knüpfen, daß durch sie die Verdrängungen wenigstens zeitweilig überwogen und aufgehoben werden. Kann er das alles leisten, so ermöglicht er es den Anderen, aus den eigenen unzugänglich gewordenen Lustquellen ihres Unbewußten wiederum Trost und Linderung zu schöpfen, gewinnt ihre Dankbarkeit und Bewunderung und hat nun </w:t>
      </w:r>
      <w:r w:rsidRPr="002F7766">
        <w:rPr>
          <w:rFonts w:ascii="Garamond" w:hAnsi="Garamond" w:cs="Arial"/>
          <w:i/>
          <w:iCs/>
        </w:rPr>
        <w:t>durch</w:t>
      </w:r>
      <w:r w:rsidRPr="002F7766">
        <w:rPr>
          <w:rFonts w:ascii="Garamond" w:hAnsi="Garamond" w:cs="Arial"/>
        </w:rPr>
        <w:t xml:space="preserve"> seine Phantasie erreicht, was er vorerst nur </w:t>
      </w:r>
      <w:r w:rsidRPr="002F7766">
        <w:rPr>
          <w:rFonts w:ascii="Garamond" w:hAnsi="Garamond" w:cs="Arial"/>
          <w:i/>
          <w:iCs/>
        </w:rPr>
        <w:t>in</w:t>
      </w:r>
      <w:r w:rsidRPr="002F7766">
        <w:rPr>
          <w:rFonts w:ascii="Garamond" w:hAnsi="Garamond" w:cs="Arial"/>
        </w:rPr>
        <w:t xml:space="preserve"> seiner Phantasie erreicht hatte: Ehre, Macht und Liebe der Frauen.</w:t>
      </w:r>
    </w:p>
    <w:p w:rsidR="00062BE4" w:rsidRDefault="00062BE4" w:rsidP="00062BE4">
      <w:pPr>
        <w:rPr>
          <w:rFonts w:ascii="Garamond" w:hAnsi="Garamond" w:cs="Arial"/>
          <w:b/>
          <w:bCs/>
          <w:lang w:val="en-GB"/>
        </w:rPr>
      </w:pPr>
      <w:r w:rsidRPr="005C1841">
        <w:rPr>
          <w:rFonts w:ascii="Garamond" w:hAnsi="Garamond" w:cs="Arial"/>
          <w:b/>
          <w:bCs/>
          <w:lang w:val="en-US"/>
        </w:rPr>
        <w:br w:type="page"/>
      </w:r>
      <w:hyperlink w:anchor="Vorlesungen_Inhalt" w:history="1">
        <w:r w:rsidRPr="009C5A67">
          <w:rPr>
            <w:rStyle w:val="Lienhypertexte"/>
            <w:rFonts w:ascii="Garamond" w:hAnsi="Garamond" w:cs="Arial"/>
            <w:b/>
            <w:bCs/>
            <w:lang w:val="en-GB"/>
          </w:rPr>
          <w:t>24. Vo</w:t>
        </w:r>
        <w:bookmarkStart w:id="291" w:name="Vorlesungen_24"/>
        <w:bookmarkEnd w:id="291"/>
        <w:r w:rsidRPr="009C5A67">
          <w:rPr>
            <w:rStyle w:val="Lienhypertexte"/>
            <w:rFonts w:ascii="Garamond" w:hAnsi="Garamond" w:cs="Arial"/>
            <w:b/>
            <w:bCs/>
            <w:lang w:val="en-GB"/>
          </w:rPr>
          <w:t>rlesung. Die gemeine Nervosität</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Nachdem wir in den letzten Besprechungen ein so schweres Stück Arbeit hinter uns gebracht haben, verlasse ich für eine Weile den Gegenstand und wende mich zu Ihnen.</w:t>
      </w:r>
    </w:p>
    <w:p w:rsidR="00062BE4" w:rsidRPr="002F7766" w:rsidRDefault="00062BE4" w:rsidP="00062BE4">
      <w:pPr>
        <w:rPr>
          <w:rFonts w:ascii="Garamond" w:hAnsi="Garamond" w:cs="Arial"/>
          <w:lang w:val="en-GB"/>
        </w:rPr>
      </w:pPr>
      <w:r w:rsidRPr="002F7766">
        <w:rPr>
          <w:rFonts w:ascii="Garamond" w:hAnsi="Garamond" w:cs="Arial"/>
          <w:lang w:val="en-GB"/>
        </w:rPr>
        <w:t>Ich weiß nämlich, daß Sie unzufrieden sind. Sie haben sich eine »Einführung in die Psychoanalyse« anders vorgestellt. Sie haben lebensvolle Beispiele zu hören erwartet, nicht Theorie. Sie sagen mir, das eine Mal, da ich Ihnen die Parallele vortrug »Zu ebener Erde und im ersten Stock«, da haben Sie etwas von der Verursachung der Neurosen begriffen, nur hätten es wirkliche Beobachtungen sein sollen und nicht konstruierte Geschichten. Oder als ich Ihnen zu Beginn zwei hoffentlich nicht auch erfundene Symptome erzählte, deren Auflösung und Beziehung zum Leben der Kranken entwickelte, da leuchtete Ihnen der »Sinn« der Symptome ein; Sie hofften, ich würde in dieser Art fortsetzen. Anstatt dessen gab ich Ihnen weitläufige, schwer übersehbare Theorien, die nie vollständig waren, zu denen immer noch etwas Neues hinzukam, arbeitete mit Begriffen, die ich Ihnen noch nicht vorgestellt hatte, fiel aus der deskriptiven Darstellung in die dynamische Auffassung, aus dieser in eine sogenannte »ökonomische«, machte es Ihnen schwer zu verstehen, wie viele von den angewendeten Kunstworten dasselbe bedeuten und nur aus Gründen des Wohllautes miteinander abwechseln, ließ so weitausgreifende Gesichtspunkte wie das Lust- und Realitätsprinzip und den phylogenetisch ererbten Besitz vor Ihnen auftauchen, und anstatt Sie in etwas einzuführen, ließ ich etwas, was sich immer mehr von Ihnen entfernte, vor Ihren Augen vorüberziehen.</w:t>
      </w:r>
    </w:p>
    <w:p w:rsidR="00062BE4" w:rsidRPr="002F7766" w:rsidRDefault="00062BE4" w:rsidP="00062BE4">
      <w:pPr>
        <w:rPr>
          <w:rFonts w:ascii="Garamond" w:hAnsi="Garamond" w:cs="Arial"/>
          <w:lang w:val="en-GB"/>
        </w:rPr>
      </w:pPr>
      <w:r w:rsidRPr="002F7766">
        <w:rPr>
          <w:rFonts w:ascii="Garamond" w:hAnsi="Garamond" w:cs="Arial"/>
          <w:lang w:val="en-GB"/>
        </w:rPr>
        <w:t>Warum habe ich die Einführung in die Neurosenlehre nicht mit dem begonnen, was Sie selbst von der Nervosität kennen und was längst Ihr Interesse erweckt hat? Mit dem eigentümlichen Wesen der Nervösen, ihren unverständlichen Reaktionen auf menschlichen Verkehr und äußere Einflüsse, ihrer Reizbarkeit, Unberechenbarkeit und Untauglichkeit? Warum Sie nicht schrittweise vom Verständnis der einfacheren alltäglichen Formen bis zu den Problemen der rätselhaften extremen Erscheinungen der Nervosität geführt?</w:t>
      </w:r>
    </w:p>
    <w:p w:rsidR="00062BE4" w:rsidRPr="002F7766" w:rsidRDefault="00062BE4" w:rsidP="00062BE4">
      <w:pPr>
        <w:rPr>
          <w:rFonts w:ascii="Garamond" w:hAnsi="Garamond" w:cs="Arial"/>
          <w:lang w:val="en-GB"/>
        </w:rPr>
      </w:pPr>
      <w:r w:rsidRPr="002F7766">
        <w:rPr>
          <w:rFonts w:ascii="Garamond" w:hAnsi="Garamond" w:cs="Arial"/>
          <w:lang w:val="en-GB"/>
        </w:rPr>
        <w:t>Ja, meine Herren, ich kann Ihnen nicht einmal unrecht geben. Ich bin nicht so vernarrt in meine Darstellungskunst, daß ich jeden ihrer Schönheitsfehler für einen besonderen Reiz ausgeben sollte. Ich glaube selbst, es hätte sich mit mehr Vorteil für Sie anders machen lassen; es lag auch in meiner Absicht. Aber man kann seine verständigen Absichten nicht immer durchführen. Im Stoff selbst ist oft etwas, wodurch man kommandiert und von seinen ersten Absichten abgelenkt wird. Selbst eine so unscheinbare Leistung wie die Anordnung eines wohlbekannten Materials unterwirft sich nicht ganz der Willkür des Autors; sie gerät, wie sie will, und man kann sich nur nachträglich befragen, warum sie so und nicht anders ausgefallen ist.</w:t>
      </w:r>
    </w:p>
    <w:p w:rsidR="00062BE4" w:rsidRPr="002F7766" w:rsidRDefault="00062BE4" w:rsidP="00062BE4">
      <w:pPr>
        <w:rPr>
          <w:rFonts w:ascii="Garamond" w:hAnsi="Garamond" w:cs="Arial"/>
          <w:lang w:val="en-GB"/>
        </w:rPr>
      </w:pPr>
      <w:r w:rsidRPr="002F7766">
        <w:rPr>
          <w:rFonts w:ascii="Garamond" w:hAnsi="Garamond" w:cs="Arial"/>
          <w:lang w:val="en-GB"/>
        </w:rPr>
        <w:t xml:space="preserve">Einer der Gründe ist wahrscheinlich, daß der Titel »Einführung in die Psychoanalyse« für diesen Abschnitt, der die Neurosen behandeln soll, nicht mehr zutrifft. </w:t>
      </w:r>
      <w:r w:rsidRPr="002F7766">
        <w:rPr>
          <w:rFonts w:ascii="Garamond" w:hAnsi="Garamond" w:cs="Arial"/>
        </w:rPr>
        <w:t xml:space="preserve">Die Einführung in die Psychoanalyse gibt das Studium der Fehlleistungen und des Traumes; die Neurosenlehre ist die Psychoanalyse selbst. </w:t>
      </w:r>
      <w:r w:rsidRPr="002F7766">
        <w:rPr>
          <w:rFonts w:ascii="Garamond" w:hAnsi="Garamond" w:cs="Arial"/>
          <w:lang w:val="en-GB"/>
        </w:rPr>
        <w:t xml:space="preserve">Ich glaube nicht, daß ich vom Inhalt der Neurosenlehre in so kurzer Zeit Ihnen anders als in so konzentrierter Form hätte Kenntnis geben können. Es handelte sich darum, Ihnen Sinn und Bedeutung der Symptome, äußere und innere Bedingungen und Mechanismus der Symptombildung im Zusammenhange vorzuführen. Das habe ich zu tun versucht; es ist so ziemlich der Kern dessen, was die Psychoanalyse heute zu lehren hat. Dabei war von der Libido und ihrer Entwicklung vieles zu sagen, einiges auch von der des Ichs. Auf die Voraussetzungen unserer Technik, auf die großen Gesichtspunkte des Unbewußten und der Verdrängung (des Widerstandes) waren Sie schon durch die Einführung vorbereitet. Sie werden in einer der nächsten Vorlesungen erfahren, an welchen Stellen die psychoanalytische Arbeit ihren organischen Fortgang nimmt. Vorläufig habe ich Ihnen nicht verheimlicht, daß alle unsere Ermittlungen </w:t>
      </w:r>
      <w:r w:rsidRPr="002F7766">
        <w:rPr>
          <w:rFonts w:ascii="Garamond" w:hAnsi="Garamond" w:cs="Arial"/>
          <w:lang w:val="en-GB"/>
        </w:rPr>
        <w:lastRenderedPageBreak/>
        <w:t>nur aus dem Studium einer einzigen Gruppe von nervösen Affektionen, den sogenannten Übertragungsneurosen, stammen. Den Mechanismus der Symptombildung habe ich sogar nur für die hysterische Neurose verfolgt. Wenn Sie auch kein solides Wissen erworben und nicht jede Einzelheit behalten haben sollten, so hoffe ich doch, daß Sie so ein Bild davon gewonnen haben, mit welchen Mitteln die Psychoanalyse arbeitet, welche Fragen sie angreift und welche Ergebnisse sie geliefert hat.</w:t>
      </w:r>
    </w:p>
    <w:p w:rsidR="00062BE4" w:rsidRPr="002F7766" w:rsidRDefault="00062BE4" w:rsidP="00062BE4">
      <w:pPr>
        <w:rPr>
          <w:rFonts w:ascii="Garamond" w:hAnsi="Garamond" w:cs="Arial"/>
          <w:lang w:val="en-GB"/>
        </w:rPr>
      </w:pPr>
      <w:r w:rsidRPr="002F7766">
        <w:rPr>
          <w:rFonts w:ascii="Garamond" w:hAnsi="Garamond" w:cs="Arial"/>
          <w:lang w:val="en-GB"/>
        </w:rPr>
        <w:t>Ich habe Ihnen den Wunsch unterlegt, daß ich die Darstellung der Neurosen mit dem Gehaben der Nervösen hätte beginnen sollen, mit der Schilderung der Art, wie sie unter ihrer Neurose leiden, wie sie sich ihrer erwehren und sich mit ihr einrichten. Das ist gewiß ein interessanter und wissenswerter Stoff, auch nicht sehr schwierig zu behandeln, aber es ist nicht unbedenklich, mit ihm zu beginnen. Man läuft Gefahr, das Unbewußte nicht zu entdecken, dabei die große Bedeutung der Libido zu übersehen und alle Verhältnisse so zu beurteilen, wie sie dem Ich des Nervösen erscheinen. Daß dieses Ich keine verläßliche und unparteiische Instanz ist, liegt auf der Hand. Das Ich ist ja die Macht, welche das Unbewußte verleugnet und es zum Verdrängten herabgesetzt hat, wie sollte man ihm zutrauen, diesem Unbewußten gerecht zu werden? Unter diesem Verdrängten stehen die abgewiesenen Ansprüche der Sexualität in erster Linie; es ist ganz selbstverständlich, daß wir deren Umfang und Bedeutung nie aus den Auffassungen des Ichs erraten können. Von dem Moment an, da uns der Gesichtspunkt der Verdrängung aufdämmert, sind wir auch gewarnt davor, daß wir nicht die eine der beiden streitenden Parteien, überdies noch die siegreiche, zum Richter über den Streit einsetzen. Wir sind vorbereitet darauf, daß uns die Aussagen des Ichs irreführen werden. Wenn man dem Ich glauben will, so war es in allen Stücken aktiv, so hat es selbst seine Symptome gewollt und gemacht. Wir wissen, daß es ein gutes Stück Passivität über sich ergehen ließ, die es sich dann verheimlichen und beschönigen will. Allerdings getraut es sich dieses Versuches nicht immer; bei den Symptomen der Zwangsneurose muß es sich eingestehen, daß etwas Fremdes sich ihm entgegenstellt, dessen es sich nur mühsam erwehrt.</w:t>
      </w:r>
    </w:p>
    <w:p w:rsidR="00062BE4" w:rsidRPr="002F7766" w:rsidRDefault="00062BE4" w:rsidP="00062BE4">
      <w:pPr>
        <w:rPr>
          <w:rFonts w:ascii="Garamond" w:hAnsi="Garamond" w:cs="Arial"/>
          <w:lang w:val="en-GB"/>
        </w:rPr>
      </w:pPr>
      <w:r w:rsidRPr="002F7766">
        <w:rPr>
          <w:rFonts w:ascii="Garamond" w:hAnsi="Garamond" w:cs="Arial"/>
          <w:lang w:val="en-GB"/>
        </w:rPr>
        <w:t>Wer sich durch diese Mahnungen nicht abhalten läßt, die Verfälschungen des Ichs für bare Münze zu nehmen, der hat freilich dann ein leichtes Spiel und ist all den Widerständen entgangen, die sich der psychoanalytischen Betonung des Unbewußten, der Sexualität und der Passivität des Ichs entgegensetzen. Der kann wie Alfred Adler behaupten, daß der »nervöse Charakter« die Ursache der Neurose sei, anstatt die Folge derselben, aber er wird auch nicht imstande sein, ein einziges Detail der Symptombildung oder einen einzelnen Traum zu erklären.</w:t>
      </w:r>
    </w:p>
    <w:p w:rsidR="00062BE4" w:rsidRPr="002F7766" w:rsidRDefault="00062BE4" w:rsidP="00062BE4">
      <w:pPr>
        <w:rPr>
          <w:rFonts w:ascii="Garamond" w:hAnsi="Garamond" w:cs="Arial"/>
          <w:lang w:val="en-GB"/>
        </w:rPr>
      </w:pPr>
      <w:r w:rsidRPr="002F7766">
        <w:rPr>
          <w:rFonts w:ascii="Garamond" w:hAnsi="Garamond" w:cs="Arial"/>
          <w:lang w:val="en-GB"/>
        </w:rPr>
        <w:t>Sie werden fragen: Sollte es denn nicht möglich sein, dem Anteil des Ichs an der Nervosität und an der Symptombildung gerecht zu werden, ohne dabei die von der Psychoanalyse aufgedeckten Momente in gröblicher Weise zu vernachlässigen? Ich antworte: Gewiß muß es möglich sein und es wird auch irgend einmal geschehen; es liegt aber nicht in der Arbeitsrichtung der Psychoanalyse, gerade damit zu beginnen. Es läßt sich wohl vorhersagen, wann diese Aufgabe an die Psychoanalyse herantreten wird. Es gibt Neurosen, bei welchen das Ich weit intensiver beteiligt ist als bei den bisher von uns studierten; wir nennen sie »narzißtische« Neurosen. Die analytische Bearbeitung dieser Affektionen wird uns befähigen, die Beteiligung des Ichs an der neurotischen Erkrankung in unparteiischer und zuverlässiger Weise zu beurteilen.</w:t>
      </w:r>
    </w:p>
    <w:p w:rsidR="00062BE4" w:rsidRPr="002F7766" w:rsidRDefault="00062BE4" w:rsidP="00062BE4">
      <w:pPr>
        <w:rPr>
          <w:rFonts w:ascii="Garamond" w:hAnsi="Garamond" w:cs="Arial"/>
          <w:lang w:val="en-GB"/>
        </w:rPr>
      </w:pPr>
      <w:r w:rsidRPr="002F7766">
        <w:rPr>
          <w:rFonts w:ascii="Garamond" w:hAnsi="Garamond" w:cs="Arial"/>
          <w:lang w:val="en-GB"/>
        </w:rPr>
        <w:t xml:space="preserve">Eine der Beziehungen des Ichs zu seiner Neurose ist aber so augenfällig, daß sie von Anfang an Berücksichtigung finden konnte. Sie scheint in keinem Falle zu fehlen; man erkennt sie aber am deutlichsten bei einer Affektion, die unserem Verständnis heute noch fernsteht, bei der </w:t>
      </w:r>
      <w:r w:rsidRPr="002F7766">
        <w:rPr>
          <w:rFonts w:ascii="Garamond" w:hAnsi="Garamond" w:cs="Arial"/>
          <w:i/>
          <w:iCs/>
          <w:lang w:val="en-GB"/>
        </w:rPr>
        <w:t>traumatischen Neurose</w:t>
      </w:r>
      <w:r w:rsidRPr="002F7766">
        <w:rPr>
          <w:rFonts w:ascii="Garamond" w:hAnsi="Garamond" w:cs="Arial"/>
          <w:lang w:val="en-GB"/>
        </w:rPr>
        <w:t xml:space="preserve">. Sie müssen nämlich wissen, daß in der Verursachung und im Mechanismus aller möglichen Formen von Neurosen immer wieder dieselben Momente in Tätigkeit treten, nur fällt hier dem einen, dort dem anderen dieser Momente die Hauptbedeutung für die Symptombildung zu. Es ist wie mit dem Personal einer Schauspielertruppe, unter dem jeder sein festes Rollenfach hat: Held, Vertrauter, Intrigant usw.; es wird aber jeder ein anderes Stück für seine Benefizvorstellung wählen. So sind die Phantasien, die </w:t>
      </w:r>
      <w:r w:rsidRPr="002F7766">
        <w:rPr>
          <w:rFonts w:ascii="Garamond" w:hAnsi="Garamond" w:cs="Arial"/>
          <w:lang w:val="en-GB"/>
        </w:rPr>
        <w:lastRenderedPageBreak/>
        <w:t xml:space="preserve">sich in die Symptome umsetzen, nirgends greifbarer als in der Hysterie; die Gegenbesetzungen oder Reaktionsbildungen des Ichs beherrschen das Bild bei der Zwangsneurose; was wir für den Traum </w:t>
      </w:r>
      <w:r w:rsidRPr="002F7766">
        <w:rPr>
          <w:rFonts w:ascii="Garamond" w:hAnsi="Garamond" w:cs="Arial"/>
          <w:i/>
          <w:iCs/>
          <w:lang w:val="en-GB"/>
        </w:rPr>
        <w:t>sekundäre Bearbeitung</w:t>
      </w:r>
      <w:r w:rsidRPr="002F7766">
        <w:rPr>
          <w:rFonts w:ascii="Garamond" w:hAnsi="Garamond" w:cs="Arial"/>
          <w:lang w:val="en-GB"/>
        </w:rPr>
        <w:t xml:space="preserve"> genannt haben, steht als Wahn obenan in der Paranoia usw.</w:t>
      </w:r>
    </w:p>
    <w:p w:rsidR="00062BE4" w:rsidRPr="002F7766" w:rsidRDefault="00062BE4" w:rsidP="00062BE4">
      <w:pPr>
        <w:rPr>
          <w:rFonts w:ascii="Garamond" w:hAnsi="Garamond" w:cs="Arial"/>
          <w:lang w:val="en-GB"/>
        </w:rPr>
      </w:pPr>
      <w:r w:rsidRPr="002F7766">
        <w:rPr>
          <w:rFonts w:ascii="Garamond" w:hAnsi="Garamond" w:cs="Arial"/>
          <w:lang w:val="en-GB"/>
        </w:rPr>
        <w:t>So drängt sich uns bei den traumatischen Neurosen, besonders bei solchen, wie sie durch die Schrecken des Krieges entstehen, unverkennbar ein selbstsüchtiges, nach Schutz und Nutzen strebendes Ichmotiv auf, welches die Krankheit nicht etwa allein schaffen kann, aber seine Zustimmung zu ihr gibt und sie erhält, wenn sie einmal zustande gekommen ist. Dies Motiv will das Ich vor den Gefahren bewahren, deren Drohung der Anlaß der Erkrankung ward, und wird die Genesung nicht eher zulassen, als bis die Wiederholung dieser Gefahren ausgeschlossen scheint, oder erst nachdem eine Entschädigung für die ausgestandene Gefahr erreicht ist.</w:t>
      </w:r>
    </w:p>
    <w:p w:rsidR="00062BE4" w:rsidRPr="002F7766" w:rsidRDefault="00062BE4" w:rsidP="00062BE4">
      <w:pPr>
        <w:rPr>
          <w:rFonts w:ascii="Garamond" w:hAnsi="Garamond" w:cs="Arial"/>
          <w:lang w:val="en-GB"/>
        </w:rPr>
      </w:pPr>
      <w:r w:rsidRPr="002F7766">
        <w:rPr>
          <w:rFonts w:ascii="Garamond" w:hAnsi="Garamond" w:cs="Arial"/>
          <w:lang w:val="en-GB"/>
        </w:rPr>
        <w:t xml:space="preserve">Aber ein ähnliches Interesse nimmt das Ich in allen anderen Fällen an der Entstehung und dem Fortbestand der Neurose. Wir haben schon gesagt, daß das Symptom auch vom Ich gehalten wird, weil es eine Seite hat, mit welcher es der verdrängenden Ichtendenz Befriedigung bietet. Überdies ist die Erledigung des Konflikts durch die Symptombildung die bequemste und die dem Lustprinzip genehmste Auskunft; sie erspart dem Ich unzweifelhaft eine große und peinlich empfundene innere Arbeit. Ja, es gibt Fälle, in denen selbst der Arzt zugestehen muß, daß der Ausgang eines Konflikts in Neurose die harmloseste und sozial erträglichste Lösung darstellt. Erstaunen Sie nicht, wenn Sie hören, daß also selbst der Arzt mitunter die Partei der von ihm bekämpften Krankheit nimmt. Es steht ihm ja nicht an, sich gegen alle Situationen des Lebens auf die Rolle des Gesundheitsfanatikers einzuengen, er weiß, daß es nicht nur neurotisches Elend in der Welt gibt, sondern auch reales, unabstellbares Leiden, daß die Notwendigkeit von einem Menschen auch fordern kann, daß er seine Gesundheit zum Opfer bringe, und er erfährt, daß durch ein solches Opfer eines einzelnen oft unübersehbares Unglück für viele andere hintangehalten wird. Wenn man also sagen konnte, daß der Neurotiker jedesmal vor einem Konflikt die </w:t>
      </w:r>
      <w:r w:rsidRPr="002F7766">
        <w:rPr>
          <w:rFonts w:ascii="Garamond" w:hAnsi="Garamond" w:cs="Arial"/>
          <w:i/>
          <w:iCs/>
          <w:lang w:val="en-GB"/>
        </w:rPr>
        <w:t>Flucht in die Krankheit</w:t>
      </w:r>
      <w:r w:rsidRPr="002F7766">
        <w:rPr>
          <w:rFonts w:ascii="Garamond" w:hAnsi="Garamond" w:cs="Arial"/>
          <w:lang w:val="en-GB"/>
        </w:rPr>
        <w:t xml:space="preserve"> nimmt, so muß man zugeben, in manchen Fällen sei diese Flucht vollberechtigt, und der Arzt, der diesen Sachverhalt erkannt hat, wird sich schweigend und schonungsvoll zurückziehen.</w:t>
      </w:r>
    </w:p>
    <w:p w:rsidR="00062BE4" w:rsidRPr="002F7766" w:rsidRDefault="00062BE4" w:rsidP="00062BE4">
      <w:pPr>
        <w:rPr>
          <w:rFonts w:ascii="Garamond" w:hAnsi="Garamond" w:cs="Arial"/>
          <w:lang w:val="en-GB"/>
        </w:rPr>
      </w:pPr>
      <w:r w:rsidRPr="002F7766">
        <w:rPr>
          <w:rFonts w:ascii="Garamond" w:hAnsi="Garamond" w:cs="Arial"/>
          <w:lang w:val="en-GB"/>
        </w:rPr>
        <w:t xml:space="preserve">Aber sehen wir von diesen Ausnahmefällen für die weitere Erörterung ab. Unter durchschnittlichen Verhältnissen erkennen wir, daß dem Ich durch das Ausweichen in die Neurose ein gewisser innerer </w:t>
      </w:r>
      <w:r w:rsidRPr="002F7766">
        <w:rPr>
          <w:rFonts w:ascii="Garamond" w:hAnsi="Garamond" w:cs="Arial"/>
          <w:i/>
          <w:iCs/>
          <w:lang w:val="en-GB"/>
        </w:rPr>
        <w:t>Krankheitsgewinn</w:t>
      </w:r>
      <w:r w:rsidRPr="002F7766">
        <w:rPr>
          <w:rFonts w:ascii="Garamond" w:hAnsi="Garamond" w:cs="Arial"/>
          <w:lang w:val="en-GB"/>
        </w:rPr>
        <w:t xml:space="preserve"> zuteil wird. Zu diesem gesellt sich in manchen Lebenslagen ein greifbarer äußerer, in der Realität mehr oder weniger hoch einzuschätzender Vorteil. Betrachten Sie den häufigsten Fall dieser Art. Eine Frau, die von ihrem Manne roh behandelt und schonungslos ausgenützt wird, findet ziemlich regelmäßig den Ausweg in die Neurose, wenn ihre Anlagen es ihr ermöglichen, wenn sie zu feige oder zu sittlich ist, um sich im geheimen bei einem anderen Manne zu trösten, wenn sie nicht stark genug ist, sich gegen alle äußeren Abhaltungen von ihrem Mann zu trennen, wenn sie nicht die Aussicht hat, sich selbst zu erhalten oder einen besseren Mann zu gewinnen, und wenn sie überdies durch ihr sexuelles Empfinden noch an diesen brutalen Mann gebunden ist. Ihre Krankheit wird nun ihre Waffe im Kampfe gegen den überstarken Mann, eine Waffe, die sie zu ihrer Verteidigung gebrauchen und für ihre Rache mißbrauchen kann. Sie darf über ihre Krankheit klagen, während sie sich wahrscheinlich über ihre Ehe nicht beklagen dürfte. Sie findet einen Helfer im Arzt, sie nötigt den sonst rücksichtslosen Mann, sie zu schonen, Aufwendungen für sie zu machen, ihr Zeiten der Abwesenheit vom Hause und somit der Befreiung von der ehelichen Unterdrückung zu gestatten. Wo ein solcher äußerer oder akzidenteller Krankheitsgewinn recht erheblich ist und keinen realen Ersatz finden kann, da werden Sie die Möglichkeit einer Beeinflussung der Neurose durch Ihre Therapie nicht groß veranschlagen dürfen.</w:t>
      </w:r>
    </w:p>
    <w:p w:rsidR="00062BE4" w:rsidRPr="002F7766" w:rsidRDefault="00062BE4" w:rsidP="00062BE4">
      <w:pPr>
        <w:rPr>
          <w:rFonts w:ascii="Garamond" w:hAnsi="Garamond" w:cs="Arial"/>
          <w:lang w:val="en-GB"/>
        </w:rPr>
      </w:pPr>
      <w:r w:rsidRPr="002F7766">
        <w:rPr>
          <w:rFonts w:ascii="Garamond" w:hAnsi="Garamond" w:cs="Arial"/>
          <w:lang w:val="en-GB"/>
        </w:rPr>
        <w:t xml:space="preserve">Sie werden mir vorhalten, was ich Ihnen da vom Krankheitsgewinn erzählt habe, spricht ja durchaus zu Gunsten der von mir zurückgewiesenen Auffassung, daß das Ich selbst die Neurose will und sie schafft. Gemach, meine Herren, es bedeutet vielleicht weiter nichts, als daß das Ich sich die Neurose gefallen läßt, die es doch nicht verhindern kann, und daß es das Beste aus ihr macht, wenn sich überhaupt etwas aus ihr </w:t>
      </w:r>
      <w:r w:rsidRPr="002F7766">
        <w:rPr>
          <w:rFonts w:ascii="Garamond" w:hAnsi="Garamond" w:cs="Arial"/>
          <w:lang w:val="en-GB"/>
        </w:rPr>
        <w:lastRenderedPageBreak/>
        <w:t xml:space="preserve">machen läßt. </w:t>
      </w:r>
      <w:r w:rsidRPr="002F7766">
        <w:rPr>
          <w:rFonts w:ascii="Garamond" w:hAnsi="Garamond" w:cs="Arial"/>
        </w:rPr>
        <w:t xml:space="preserve">Es ist nur die eine Seite der Sache, die angenehme allerdings. Soweit die Neurose Vorteile hat, ist das Ich wohl mit ihr einverstanden, aber sie hat nicht nur Vorteile. In der Regel stellt sich bald heraus, daß das Ich ein schlechtes Geschäft gemacht hat, indem es sich auf die Neurose einließ. Es hat eine Erleichterung des Konflikts zu teuer erkauft, und die Leidensempfindungen, welche an den Symptomen haften, sind vielleicht ein äquivalenter Ersatz für die Qualen des Konflikts, wahrscheinlich aber ein Mehrbetrag von Unlust. </w:t>
      </w:r>
      <w:r w:rsidRPr="002F7766">
        <w:rPr>
          <w:rFonts w:ascii="Garamond" w:hAnsi="Garamond" w:cs="Arial"/>
          <w:lang w:val="en-GB"/>
        </w:rPr>
        <w:t>Das Ich möchte diese Unlust der Symptome loswerden, den Krankheitsgewinn aber nicht herausgeben, und das bringt es eben nicht zustande. Dabei erweist sich dann, daß es nicht so durchaus aktiv war, wie es sich geglaubt hat, und das wollen wir uns gut merken.</w:t>
      </w:r>
    </w:p>
    <w:p w:rsidR="00062BE4" w:rsidRPr="002F7766" w:rsidRDefault="00062BE4" w:rsidP="00062BE4">
      <w:pPr>
        <w:rPr>
          <w:rFonts w:ascii="Garamond" w:hAnsi="Garamond" w:cs="Arial"/>
        </w:rPr>
      </w:pPr>
      <w:r w:rsidRPr="002F7766">
        <w:rPr>
          <w:rFonts w:ascii="Garamond" w:hAnsi="Garamond" w:cs="Arial"/>
          <w:lang w:val="en-GB"/>
        </w:rPr>
        <w:t xml:space="preserve">Meine Herren, wenn Sie als Arzt mit Neurotikern umgehen, werden Sie bald die Erwartung aufgeben, daß diejenigen, die über ihre Krankheit am stärksten jammern und klagen, der Hilfeleistung am bereitwilligsten entgegenkommen und ihr die geringsten Widerstände bereiten werden. Eher das Gegenteil. Wohl aber werden Sie es leicht verstehen, daß alles, was zum Krankheitsgewinn beiträgt, den Verdrängungswiderstand verstärken und die therapeutische Schwierigkeit vergrößern wird. Zu dem Stück des Krankheitsgewinnes, welches sozusagen mit dem Symptom geboren wird, haben wir aber auch noch ein anderes hinzuzufügen, das sich später ergibt. Wenn solch eine psychische Organisation wie die Krankheit durch längere Zeit bestanden hat, so benimmt sie sich endlich wie ein selbständiges Wesen; sie äußert etwas wie einen Selbsterhaltungstrieb, es bildet sich eine Art von </w:t>
      </w:r>
      <w:r w:rsidRPr="002F7766">
        <w:rPr>
          <w:rFonts w:ascii="Garamond" w:hAnsi="Garamond" w:cs="Arial"/>
          <w:i/>
          <w:iCs/>
          <w:lang w:val="en-GB"/>
        </w:rPr>
        <w:t>modus vivendi</w:t>
      </w:r>
      <w:r w:rsidRPr="002F7766">
        <w:rPr>
          <w:rFonts w:ascii="Garamond" w:hAnsi="Garamond" w:cs="Arial"/>
          <w:lang w:val="en-GB"/>
        </w:rPr>
        <w:t xml:space="preserve"> zwischen ihr und anderen Anteilen des Seelenlebens, selbst solchen, die ihr im Grunde feindselig sind, und es kann kaum fehlen, daß sich Gelegenheiten ergeben, bei denen sie sich wieder nützlich und verwertbar erweist, gleichsam eine </w:t>
      </w:r>
      <w:r w:rsidRPr="002F7766">
        <w:rPr>
          <w:rFonts w:ascii="Garamond" w:hAnsi="Garamond" w:cs="Arial"/>
          <w:i/>
          <w:iCs/>
          <w:lang w:val="en-GB"/>
        </w:rPr>
        <w:t>Sekundärfunktion</w:t>
      </w:r>
      <w:r w:rsidRPr="002F7766">
        <w:rPr>
          <w:rFonts w:ascii="Garamond" w:hAnsi="Garamond" w:cs="Arial"/>
          <w:lang w:val="en-GB"/>
        </w:rPr>
        <w:t xml:space="preserve"> erwirbt, die ihren Bestand von neuem kräftigt. </w:t>
      </w:r>
      <w:r w:rsidRPr="002F7766">
        <w:rPr>
          <w:rFonts w:ascii="Garamond" w:hAnsi="Garamond" w:cs="Arial"/>
        </w:rPr>
        <w:t xml:space="preserve">Nehmen Sie anstatt eines Beispiels aus der Pathologie eine grelle Erläuterung aus dem täglichen Leben. Ein tüchtiger Arbeiter, der seinen Unterhalt erwirbt, wird durch einen Unfall in seiner Beschäftigung zum Krüppel; mit der Arbeit ist es jetzt aus, aber der Verunglückte empfängt mit der Zeit eine kleine Unfallrente und lernt es, seine Verstümmlung als Bettler zu verwerten. Seine neue, wiewohl verschlechterte Existenz gründet sich jetzt gerade auf dasselbe, was ihn um seine erste Existenz gebracht hat. Wenn Sie seine Verunstaltung beheben können, so machen Sie ihn zunächst subsistenzlos; es eröffnet sich die Frage, ob er noch fähig ist, seine frühere Arbeit wieder aufzunehmen. Was bei der Neurose einer solchen sekundären Nutzung der Krankheit entspricht, können wir als </w:t>
      </w:r>
      <w:r w:rsidRPr="002F7766">
        <w:rPr>
          <w:rFonts w:ascii="Garamond" w:hAnsi="Garamond" w:cs="Arial"/>
          <w:i/>
          <w:iCs/>
        </w:rPr>
        <w:t>sekundären</w:t>
      </w:r>
      <w:r w:rsidRPr="002F7766">
        <w:rPr>
          <w:rFonts w:ascii="Garamond" w:hAnsi="Garamond" w:cs="Arial"/>
        </w:rPr>
        <w:t xml:space="preserve"> Krankheitsgewinn zum primären hinzuschlagen.</w:t>
      </w:r>
    </w:p>
    <w:p w:rsidR="00062BE4" w:rsidRPr="002F7766" w:rsidRDefault="00062BE4" w:rsidP="00062BE4">
      <w:pPr>
        <w:rPr>
          <w:rFonts w:ascii="Garamond" w:hAnsi="Garamond" w:cs="Arial"/>
          <w:lang w:val="en-GB"/>
        </w:rPr>
      </w:pPr>
      <w:r w:rsidRPr="002F7766">
        <w:rPr>
          <w:rFonts w:ascii="Garamond" w:hAnsi="Garamond" w:cs="Arial"/>
        </w:rPr>
        <w:t xml:space="preserve">Im allgemeinen aber möchte ich Ihnen sagen, unterschätzen Sie die praktische Bedeutung des Krankheitsgewinnes nicht und lassen Sie sich in theoretischer Hinsicht nicht von ihm imponieren. </w:t>
      </w:r>
      <w:r w:rsidRPr="002F7766">
        <w:rPr>
          <w:rFonts w:ascii="Garamond" w:hAnsi="Garamond" w:cs="Arial"/>
          <w:lang w:val="en-GB"/>
        </w:rPr>
        <w:t xml:space="preserve">Von jenen früher anerkannten Ausnahmen abgesehen, mahnt er doch immer an die Beispiele »von der Klugheit der Tiere«, die Oberländer in den </w:t>
      </w:r>
      <w:r w:rsidRPr="002F7766">
        <w:rPr>
          <w:rFonts w:ascii="Garamond" w:hAnsi="Garamond" w:cs="Arial"/>
          <w:i/>
          <w:iCs/>
          <w:lang w:val="en-GB"/>
        </w:rPr>
        <w:t>Fliegenden Blättern</w:t>
      </w:r>
      <w:r w:rsidRPr="002F7766">
        <w:rPr>
          <w:rFonts w:ascii="Garamond" w:hAnsi="Garamond" w:cs="Arial"/>
          <w:lang w:val="en-GB"/>
        </w:rPr>
        <w:t xml:space="preserve"> illustriert hat. Ein Araber reitet auf seinem Kamel einen schmalen Pfad, der in die steile Bergwand eingeschnitten ist. Bei einer Wendung des Weges sieht er sich plötzlich einem Löwen gegenüber, der sich sprungbereit macht. Er sieht keinen Ausweg; auf der einen Seite die senkrechte Wand, auf der anderen der Abgrund; Umkehr und Flucht sind unmöglich; er gibt sich verloren. Anders das Tier. Es macht mit seinem Reiter einen Satz in den Abgrund und der Löwe hat das Nachsehen. Besseren Erfolg für den Kranken haben in der Regel auch die Hilfeleistungen der Neurose nicht. Es mag daher kommen, daß die Erledigung eines Konflikts durch Symptombildung doch ein automatischer Vorgang ist, der sich den Anforderungen des Lebens nicht gewachsen zeigen kann und bei dem der Mensch auf die Verwertung seiner besten und höchsten Kräfte verzichtet hat. Wenn es eine Wahl gäbe, sollte man es vorziehen, im ehrlichen Kampf mit dem Schicksal unterzugehen.</w:t>
      </w:r>
    </w:p>
    <w:p w:rsidR="00062BE4" w:rsidRPr="002F7766" w:rsidRDefault="00062BE4" w:rsidP="00062BE4">
      <w:pPr>
        <w:rPr>
          <w:rFonts w:ascii="Garamond" w:hAnsi="Garamond" w:cs="Arial"/>
          <w:lang w:val="en-GB"/>
        </w:rPr>
      </w:pPr>
      <w:r w:rsidRPr="002F7766">
        <w:rPr>
          <w:rFonts w:ascii="Garamond" w:hAnsi="Garamond" w:cs="Arial"/>
          <w:lang w:val="en-GB"/>
        </w:rPr>
        <w:t xml:space="preserve">Meine Herren! Ich bin Ihnen aber noch die weitere Motivierung schuldig, weshalb ich in einer Darstellung der Neurosenlehre nicht von der gemeinen Nervosität ausgegangen bin. Vielleicht nehmen Sie an, ich tat es darum, weil mir dann der Nachweis der sexuellen Verursachung der Neurosen größere Schwierigkeiten bereitet hätte. Aber da würden Sie irregehen. Bei den Übertragungsneurosen muß man sich erst durch die Symptomdeutung durcharbeiten, um zu dieser Einsicht zu kommen. Bei den gemeinen Formen der sogenannten </w:t>
      </w:r>
      <w:r w:rsidRPr="002F7766">
        <w:rPr>
          <w:rFonts w:ascii="Garamond" w:hAnsi="Garamond" w:cs="Arial"/>
          <w:i/>
          <w:iCs/>
          <w:lang w:val="en-GB"/>
        </w:rPr>
        <w:t>Aktualneurosen</w:t>
      </w:r>
      <w:r w:rsidRPr="002F7766">
        <w:rPr>
          <w:rFonts w:ascii="Garamond" w:hAnsi="Garamond" w:cs="Arial"/>
          <w:lang w:val="en-GB"/>
        </w:rPr>
        <w:t xml:space="preserve"> ist die ätiologische Bedeutung des Sexuallebens eine grobe, der Beobachtung </w:t>
      </w:r>
      <w:r w:rsidRPr="002F7766">
        <w:rPr>
          <w:rFonts w:ascii="Garamond" w:hAnsi="Garamond" w:cs="Arial"/>
          <w:lang w:val="en-GB"/>
        </w:rPr>
        <w:lastRenderedPageBreak/>
        <w:t xml:space="preserve">entgegenkommende Tatsache. Ich bin vor mehr als zwanzig Jahren auf sie gestoßen, als ich mir eines Tages die Frage vorlegte, warum man denn beim Examen der Nervösen so regelmäßig ihre sexuellen Betätigungen von der Berücksichtigung ausschließt. Ich habe damals diesen Untersuchungen meine Beliebtheit bei den Kranken zum Opfer gebracht, aber ich konnte schon nach kurzer Bemühung den Satz aussprechen, daß es bei normaler </w:t>
      </w:r>
      <w:r w:rsidRPr="002F7766">
        <w:rPr>
          <w:rFonts w:ascii="Garamond" w:hAnsi="Garamond" w:cs="Arial"/>
          <w:i/>
          <w:iCs/>
          <w:lang w:val="en-GB"/>
        </w:rPr>
        <w:t>vita sexualis</w:t>
      </w:r>
      <w:r w:rsidRPr="002F7766">
        <w:rPr>
          <w:rFonts w:ascii="Garamond" w:hAnsi="Garamond" w:cs="Arial"/>
          <w:lang w:val="en-GB"/>
        </w:rPr>
        <w:t xml:space="preserve"> keine Neurose ich meinte: Aktualneurose gibt. Gewiß, der Satz setzt sich zu leicht über die individuellen Verschiedenheiten der Menschen hinweg, er leidet auch an der Unbestimmtheit, die von dem Urteil »normal« nicht zu trennen ist, aber er hat für die grobe Orientierung noch heute seinen Wert behalten. Ich bin damals so weit gekommen, spezifische Beziehungen zwischen bestimmten Formen der Nervosität und besonderen sexuellen Schädlichkeiten aufzustellen, und ich zweifle nicht daran, daß ich heute dieselben Beobachtungen wiederholen könnte, wenn mir noch ein ähnliches Material von Kranken zu Gebote stünde. Ich erfuhr oft genug, daß ein Mann, der sich mit einer gewissen Art von unvollständiger sexueller Befriedigung begnügte, z.B. mit der manuellen Onanie, an einer bestimmten Form von Aktualneurose erkrankt war und daß diese Neurose prompt einer anderen den Platz räumte, wenn er ein anderes, ebensowenig untadeliges sexuelles Regime an die Stelle treten ließ. Ich war dann imstande, aus der Änderung im Zustand des Kranken den Wechsel in seiner sexuellen Lebensweise zu erraten. Ich erlernte es damals auch, hartnäckig bei meinen Vermutungen zu verharren, bis ich die Unaufrichtigkeit der Patienten überwunden und sie zur Bestätigung gezwungen hatte. Es ist wahr, sie zogen es dann vor, zu anderen Ärzten zu gehen, die sich nicht so eifrig nach ihrem Sexualleben erkundigten.</w:t>
      </w:r>
    </w:p>
    <w:p w:rsidR="00062BE4" w:rsidRPr="002F7766" w:rsidRDefault="00062BE4" w:rsidP="00062BE4">
      <w:pPr>
        <w:rPr>
          <w:rFonts w:ascii="Garamond" w:hAnsi="Garamond" w:cs="Arial"/>
          <w:lang w:val="en-GB"/>
        </w:rPr>
      </w:pPr>
      <w:r w:rsidRPr="002F7766">
        <w:rPr>
          <w:rFonts w:ascii="Garamond" w:hAnsi="Garamond" w:cs="Arial"/>
          <w:lang w:val="en-GB"/>
        </w:rPr>
        <w:t>Es konnte mir auch damals nicht entgehen, daß die Verursachung der Erkrankung nicht immer auf das Sexualleben hinwies. Der eine war zwar direkt an einer sexuellen Schädlichkeit erkrankt, der andere aber, weil er sein Vermögen verloren oder eine erschöpfende organische Krankheit durchgemacht hatte. Die Erklärung für diese Mannigfaltigkeit ergab sich später, als wir in die vermuteten Wechselbeziehungen zwischen dem Ich und der Libido Einsicht bekamen, und sie wurde um so befriedigender, je tiefer diese Einsicht reichte. Eine Person erkrankt nur dann neurotisch, wenn ihr Ich die Fähigkeit eingebüßt hat, die Libido irgendwie unterzubringen. Je stärker das Ich ist, desto leichter wird ihm die Erledigung dieser Aufgabe; jede Schwächung des Ichs aus irgendeiner Ursache muß dieselbe Wirkung tun wie eine übergroße Steigerung des Anspruches der Libido, also die neurotische Erkrankung ermöglichen. Es gibt noch andere und intimere Beziehungen zwischen Ich und Libido, die aber noch nicht in unseren Gesichtskreis getreten sind und die ich darum zur Erklärung hier nicht heranziehe. Wesentlich und aufklärend für uns bleibt, daß in jedem Falle und gleichgültig, auf welchem Wege die Erkrankung hergestellt wurde, die Symptome der Neurose von der Libido bestritten werden und so eine abnorme Verwendung derselben bezeugen.</w:t>
      </w:r>
    </w:p>
    <w:p w:rsidR="00062BE4" w:rsidRPr="002F7766" w:rsidRDefault="00062BE4" w:rsidP="00062BE4">
      <w:pPr>
        <w:rPr>
          <w:rFonts w:ascii="Garamond" w:hAnsi="Garamond" w:cs="Arial"/>
          <w:lang w:val="en-GB"/>
        </w:rPr>
      </w:pPr>
      <w:r w:rsidRPr="002F7766">
        <w:rPr>
          <w:rFonts w:ascii="Garamond" w:hAnsi="Garamond" w:cs="Arial"/>
          <w:lang w:val="en-GB"/>
        </w:rPr>
        <w:t xml:space="preserve">Nun muß ich Sie aber auf den entscheidenden Unterschied zwischen den Symptomen der Aktualneurosen und denen der Psychoneurosen aufmerksam machen, von denen uns die erste Gruppe, die der Übertragungsneurosen, bisher so viel beschäftigt hat. In beiden Fällen gehen die Symptome aus der Libido hervor, sind also abnorme Verwendungen derselben, Befriedigungsersatz. Aber die Symptome der Aktualneurosen, ein Kopfdruck, eine Schmerzempfindung, ein Reizzustand in einem Organ, die Schwächung oder Hemmung einer Funktion haben keinen »Sinn«, keine psychische Bedeutung. Sie äußern sich nicht nur vorwiegend am Körper, wie auch z.B. die hysterischen Symptome, sondern sie sind auch selbst durchaus körperliche Vorgänge, bei deren Entstehung alle die komplizierten seelischen Mechanismen, die wir kennengelernt haben, entfallen. Sie sind also wirklich das, wofür man die psychoneurotischen Symptome so lange gehalten hat. Aber wie können sie dann Verwendungen der Libido entsprechen, die wir als eine im Psychischen wirkende Kraft kennengelernt haben? Nun, meine Herren, das ist sehr einfach. Lassen Sie mich einen der allerersten Einwürfe auffrischen, die man gegen die Psychoanalyse vorgebracht hat. Man sagte damals, sie bemühe sich um eine rein psychologische Theorie der neurotischen Erscheinungen, und das sei ganz aussichtslos, denn psychologische Theorien könnten </w:t>
      </w:r>
      <w:r w:rsidRPr="002F7766">
        <w:rPr>
          <w:rFonts w:ascii="Garamond" w:hAnsi="Garamond" w:cs="Arial"/>
          <w:lang w:val="en-GB"/>
        </w:rPr>
        <w:lastRenderedPageBreak/>
        <w:t>nie eine Krankheit erklären. Man hatte zu vergessen beliebt, daß die Sexualfunktion nichts rein Seelisches ist, ebensowenig wie etwas bloß Somatisches. Sie beeinflußt das körperliche wie das seelische Leben. Haben wir in den Symptomen der Psychoneurosen die Äußerungen der Störung in ihren psychischen Wirkungen kennengelernt, so werden wir nicht erstaunt sein, in den Aktualneurosen die direkten somatischen Folgen der Sexualstörungen zu finden.</w:t>
      </w:r>
    </w:p>
    <w:p w:rsidR="00062BE4" w:rsidRPr="002F7766" w:rsidRDefault="00062BE4" w:rsidP="00062BE4">
      <w:pPr>
        <w:rPr>
          <w:rFonts w:ascii="Garamond" w:hAnsi="Garamond" w:cs="Arial"/>
          <w:lang w:val="en-GB"/>
        </w:rPr>
      </w:pPr>
      <w:r w:rsidRPr="002F7766">
        <w:rPr>
          <w:rFonts w:ascii="Garamond" w:hAnsi="Garamond" w:cs="Arial"/>
          <w:lang w:val="en-GB"/>
        </w:rPr>
        <w:t xml:space="preserve">Für die Auffassung der letzteren gibt uns die medizinische Klinik einen wertvollen, auch von verschiedenen Forschern berücksichtigten Fingerzeig. Die Aktualneurosen bekunden in den Einzelheiten ihrer Symptomatik, aber auch in der Eigentümlichkeit, alle Organsysteme und alle Funktionen zu beeinflussen, eine unverkennbare Ähnlichkeit mit den Krankheitszuständen, die durch den chronischen Einfluß von fremden Giftstoffen und durch die akute Entziehung derselben entstehen, mit den Intoxikationen und Abstinenzzuständen. Noch enger werden die beiden Gruppen von Affektionen aneinandergerückt durch die Vermittlung von solchen Zuständen, die wir wie den M.Basedowii gleichfalls auf die Wirkung von Giftstoffen zu beziehen gelernt haben, aber von Giften, die nicht als fremd in den Körper eingeführt werden, sondern in seinem eigenen Stoffwechsel entstehen. Ich meine, wir können nach diesen Analogien nicht umhin, die Neurosen als Folgen von Störungen in einem Sexualstoffwechsel anzusehen, sei es, daß von diesen Sexualtoxinen mehr produziert wird, als die Person bewältigen kann, sei es, daß innere und selbst psychische Verhältnisse die richtige Verwendung dieser Stoffe beeinträchtigen. Die Volksseele hat von jeher solchen Annahmen für die Natur des sexuellen Verlangens gehuldigt, sie nennt die Liebe einen »Rausch« und läßt die Verliebtheit durch Liebestränke entstehen, wobei sie das wirkende Agens gewissermaßen nach außen verlegt. Für uns wäre hier der Anlaß, der erogenen Zonen und der Behauptung zu gedenken, daß die Sexualerregung in den verschiedensten Organen entstehen kann. Im übrigen aber ist uns das Wort »Sexualstoffwechsel« oder »Chemismus der Sexualität« ein Fach ohne Inhalt; wir wissen nichts darüber und können uns nicht einmal entscheiden, ob wir zwei Sexualstoffe annehmen sollen, die dann »männlich« und »weiblich« heißen würden, oder ob wir uns mit </w:t>
      </w:r>
      <w:r w:rsidRPr="002F7766">
        <w:rPr>
          <w:rFonts w:ascii="Garamond" w:hAnsi="Garamond" w:cs="Arial"/>
          <w:i/>
          <w:iCs/>
          <w:lang w:val="en-GB"/>
        </w:rPr>
        <w:t>einem</w:t>
      </w:r>
      <w:r w:rsidRPr="002F7766">
        <w:rPr>
          <w:rFonts w:ascii="Garamond" w:hAnsi="Garamond" w:cs="Arial"/>
          <w:lang w:val="en-GB"/>
        </w:rPr>
        <w:t xml:space="preserve"> Sexualtoxin bescheiden können, in dem wir den Träger aller Reizwirkungen der Libido zu erblicken haben. Das Lehrgebäude der Psychoanalyse, das wir geschaffen haben, ist in Wirklichkeit ein Überbau, der irgendeinmal auf sein organisches Fundament aufgesetzt werden soll; aber wir kennen dieses noch nicht.</w:t>
      </w:r>
    </w:p>
    <w:p w:rsidR="00062BE4" w:rsidRPr="002F7766" w:rsidRDefault="00062BE4" w:rsidP="00062BE4">
      <w:pPr>
        <w:rPr>
          <w:rFonts w:ascii="Garamond" w:hAnsi="Garamond" w:cs="Arial"/>
          <w:lang w:val="en-GB"/>
        </w:rPr>
      </w:pPr>
      <w:r w:rsidRPr="002F7766">
        <w:rPr>
          <w:rFonts w:ascii="Garamond" w:hAnsi="Garamond" w:cs="Arial"/>
          <w:lang w:val="en-GB"/>
        </w:rPr>
        <w:t>Die Psychoanalyse wird als Wissenschaft nicht durch den Stoff, den sie behandelt, sondern durch die Technik, mit der sie arbeitet, charakterisiert. Man kann sie auf Kulturgeschichte, Religionswissenschaft und Mythologie ebensowohl anwenden wie auf die Neurosenlehre, ohne ihrem Wesen Gewalt anzutun. Sie beabsichtigt und leistet nichts anderes als die Aufdeckung des Unbewußten im Seelenleben. Die Probleme der Aktualneurosen, deren Symptome wahrscheinlich durch direkte toxische Schädigung entstehen, bieten der Psychoanalyse keine Angriffspunkte, sie kann nur wenig für deren Aufklärung leisten und muß diese Aufgabe der biologisch-medizinischen Forschung überlassen. Sie verstehen jetzt vielleicht besser, warum ich keine andere Anordnung meines Stoffes gewählt habe. Hätte ich Ihnen eine »Einführung in die Neurosenlehre« zugesagt, so wäre der Weg von den einfachen Formen der Aktualneurosen zu den komplizierteren psychischen Erkrankungen durch Libidostörung der unzweifelhaft richtige gewesen. Ich hätte bei den ersteren zusammentragen müssen, was wir von verschiedenen Seiten her erfahren haben oder zu wissen glauben, und bei den Psychoneurosen wäre dann die Psychoanalyse als das wichtigste technische Hilfsmittel zur Durchleuchtung dieser Zustände zur Sprache gekommen. Ich hatte aber eine »Einführung in die Psychoanalyse« beabsichtigt und angekündigt; es war mir wichtiger, daß Sie eine Vorstellung von der Psychoanalyse, als daß Sie gewisse Kenntnisse von den Neurosen gewinnen, und da durfte ich die für die Psychoanalyse unfruchtbaren Aktualneurosen nicht mehr in den Vordergrund rücken. Ich glaube auch, ich habe die für Sie günstigere Wahl getroffen, denn die Psychoanalyse verdient wegen ihrer tiefgreifenden Voraussetzungen und weitumfassenden Beziehungen einen Platz im Interesse eines jeden Gebildeten; die Neurosenlehre aber ist ein Kapitel der Medizin wie andere auch.</w:t>
      </w:r>
    </w:p>
    <w:p w:rsidR="00062BE4" w:rsidRPr="002F7766" w:rsidRDefault="00062BE4" w:rsidP="00062BE4">
      <w:pPr>
        <w:rPr>
          <w:rFonts w:ascii="Garamond" w:hAnsi="Garamond" w:cs="Arial"/>
          <w:lang w:val="en-GB"/>
        </w:rPr>
      </w:pPr>
      <w:r w:rsidRPr="00062BE4">
        <w:rPr>
          <w:rFonts w:ascii="Garamond" w:hAnsi="Garamond" w:cs="Arial"/>
          <w:lang w:val="en-GB"/>
        </w:rPr>
        <w:lastRenderedPageBreak/>
        <w:t xml:space="preserve">Sie werden indes mit Recht erwarten, daß wir auch für die Aktualneurosen einiges Interesse aufbringen müssen. Schon ihr intimer klinischer Zusammenhang mit den Psychoneurosen nötigt uns dazu. </w:t>
      </w:r>
      <w:r w:rsidRPr="002F7766">
        <w:rPr>
          <w:rFonts w:ascii="Garamond" w:hAnsi="Garamond" w:cs="Arial"/>
          <w:lang w:val="en-GB"/>
        </w:rPr>
        <w:t xml:space="preserve">Ich will Ihnen also berichten, daß wir drei reine Formen der Aktualneurosen unterscheiden: die </w:t>
      </w:r>
      <w:r w:rsidRPr="002F7766">
        <w:rPr>
          <w:rFonts w:ascii="Garamond" w:hAnsi="Garamond" w:cs="Arial"/>
          <w:i/>
          <w:iCs/>
          <w:lang w:val="en-GB"/>
        </w:rPr>
        <w:t>Neurasthenie</w:t>
      </w:r>
      <w:r w:rsidRPr="002F7766">
        <w:rPr>
          <w:rFonts w:ascii="Garamond" w:hAnsi="Garamond" w:cs="Arial"/>
          <w:lang w:val="en-GB"/>
        </w:rPr>
        <w:t xml:space="preserve">, die </w:t>
      </w:r>
      <w:r w:rsidRPr="002F7766">
        <w:rPr>
          <w:rFonts w:ascii="Garamond" w:hAnsi="Garamond" w:cs="Arial"/>
          <w:i/>
          <w:iCs/>
          <w:lang w:val="en-GB"/>
        </w:rPr>
        <w:t>Angstneurose</w:t>
      </w:r>
      <w:r w:rsidRPr="002F7766">
        <w:rPr>
          <w:rFonts w:ascii="Garamond" w:hAnsi="Garamond" w:cs="Arial"/>
          <w:lang w:val="en-GB"/>
        </w:rPr>
        <w:t xml:space="preserve"> und die </w:t>
      </w:r>
      <w:r w:rsidRPr="002F7766">
        <w:rPr>
          <w:rFonts w:ascii="Garamond" w:hAnsi="Garamond" w:cs="Arial"/>
          <w:i/>
          <w:iCs/>
          <w:lang w:val="en-GB"/>
        </w:rPr>
        <w:t>Hypochondrie</w:t>
      </w:r>
      <w:r w:rsidRPr="002F7766">
        <w:rPr>
          <w:rFonts w:ascii="Garamond" w:hAnsi="Garamond" w:cs="Arial"/>
          <w:lang w:val="en-GB"/>
        </w:rPr>
        <w:t>. Auch diese Aufstellung ist nicht ohne Widerspruch geblieben. Die Namen sind zwar alle im Gebrauch, aber ihr Inhalt ist unbestimmt und schwankend. Es gibt auch Ärzte, die jeder Sonderung in der wirren Welt von neurotischen Erscheinungen, jeder Heraushebung von klinischen Einheiten, Krankheitsindividuen, widerstreben und selbst die Scheidung von Aktual- und Psychoneurosen nicht anerkennen. Ich meine, sie gehen zu weit und haben nicht den Weg eingeschlagen, der zum Fortschritt führt. Die genannten Formen von Neurose kommen gelegentlich rein vor; häufiger vermengen sie sich allerdings miteinander und mit einer psychoneurotischen Affektion. Dieses Vorkommen braucht uns nicht zu bewegen, ihre Sonderung aufzugeben. Denken Sie an den Unterschied von Mineralkunde und Gesteinkunde in der Mineralogie. Die Mineralien werden als Individuen beschrieben, gewiß mit Anlehnung an den Umstand, daß sie häufig als Kristalle, von ihrer Umgebung scharf abgegrenzt, auftreten. Die Gesteine bestehen aus Gemengen von Mineralien, die sicherlich nicht zufällig, sondern infolge ihrer Entstehungsbedingungen zusammengetroffen sind. In der Neurosenlehre verstehen wir noch zu wenig von dem Hergang der Entwicklung, um etwas der Gesteinlehre Ähnliches zu schaffen. Wir tun aber gewiß das Richtige, wenn wir zunächst aus der Masse die für uns kenntlichen klinischen Individuen isolieren, die den Mineralien vergleichbar sind.</w:t>
      </w:r>
    </w:p>
    <w:p w:rsidR="00062BE4" w:rsidRPr="002F7766" w:rsidRDefault="00062BE4" w:rsidP="00062BE4">
      <w:pPr>
        <w:rPr>
          <w:rFonts w:ascii="Garamond" w:hAnsi="Garamond" w:cs="Arial"/>
          <w:lang w:val="en-GB"/>
        </w:rPr>
      </w:pPr>
      <w:r w:rsidRPr="002F7766">
        <w:rPr>
          <w:rFonts w:ascii="Garamond" w:hAnsi="Garamond" w:cs="Arial"/>
          <w:lang w:val="en-GB"/>
        </w:rPr>
        <w:t>Eine beachtenswerte Beziehung zwischen den Symptomen der Aktual- und der Psychoneurosen bringt uns noch einen wichtigen Beitrag zur Kenntnis der Symptombildung bei den letzteren; das Symptom der Aktualneurose ist nämlich häufig der Kern und die Vorstufe des psychoneurotischen Symptoms. Man beobachtet ein solches Verhältnis am deutlichsten zwischen der Neurasthenie und der »Konversionshysterie« genannten Übertragungsneurose, zwischen der Angstneurose und der Angsthysterie, aber auch zwischen der Hypochondrie und den später als Paraphrenie (Dementia praecox und Paranoia) zu erwähnenden Formen. Nehmen wir als Beispiel den Fall eines hysterischen Kopf- oder Kreuzschmerzes. Die Analyse zeigt uns, daß er durch Verdichtung und Verschiebung zum Befriedigungsersatz für eine ganze Reihe von libidinösen Phantasien oder Erinnerungen geworden ist. Aber dieser Schmerz war auch einmal real, und damals war er ein direkt sexualtoxisches Symptom, der körperliche Ausdruck einer libidinösen Erregung. Wir wollen keineswegs behaupten, daß alle hysterischen Symptome einen solchen Kern enthalten, aber es bleibt bestehen, daß es besonders häufig der Fall ist und daß alle normalen oder pathologischen Beeinflussungen des Körpers durch die libidinöse Erregung geradezu für die Symptombildung der Hysterie bevorzugt sind. Sie spielen dann die Rolle jenes Sandkorns, welches das Muscheltier mit den Schichten von Perlmuttersubstanz umhüllt hat. In derselben Weise werden die vorübergehenden Zeichen der sexuellen Erregung, welche den Geschlechtsakt begleiten, von der Psychoneurose als das bequemste und geeignetste Material zur Symptombildung verwendet.</w:t>
      </w:r>
    </w:p>
    <w:p w:rsidR="00062BE4" w:rsidRPr="002F7766" w:rsidRDefault="00062BE4" w:rsidP="00062BE4">
      <w:pPr>
        <w:rPr>
          <w:rFonts w:ascii="Garamond" w:hAnsi="Garamond" w:cs="Arial"/>
          <w:lang w:val="en-GB"/>
        </w:rPr>
      </w:pPr>
      <w:r w:rsidRPr="002F7766">
        <w:rPr>
          <w:rFonts w:ascii="Garamond" w:hAnsi="Garamond" w:cs="Arial"/>
          <w:lang w:val="en-GB"/>
        </w:rPr>
        <w:t>Ein ähnlicher Vorgang bietet ein besonderes diagnostisches und therapeutisches Interesse. Es kommt bei Personen, die zur Neurose disponiert sind, ohne gerade an einer floriden Neurose zu leiden, gar nicht selten vor, daß eine krankhafte Körperveränderung etwa durch Entzündung oder Verletzung die Arbeit der Symptombildung weckt, so daß diese das ihr von der Realität gegebene Symptom eiligst zum Vertreter aller jener unbewußten Phantasien macht, die nur darauf gelauert hatten, sich eines Ausdrucksmittels zu bemächtigen. Der Arzt wird in solchem Falle bald den einen, bald den anderen Weg der Therapie einschlagen, entweder die organische Grundlage wegschaffen wollen, ohne sich um deren lärmende neurotische Verarbeitung zu bekümmern, oder die zur Gelegenheit entstandene Neurose bekämpfen und deren organischen Anlaß gering achten. Der Erfolg wird bald dieser bald jener Art der Bemühung recht oder unrecht geben; allgemeine Vorschriften lassen sich für solche Mischfälle kaum aufstellen.</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25. Vo</w:t>
        </w:r>
        <w:bookmarkStart w:id="292" w:name="Vorlesungen_25"/>
        <w:bookmarkEnd w:id="292"/>
        <w:r w:rsidRPr="009C5A67">
          <w:rPr>
            <w:rStyle w:val="Lienhypertexte"/>
            <w:rFonts w:ascii="Garamond" w:hAnsi="Garamond" w:cs="Arial"/>
            <w:b/>
            <w:bCs/>
            <w:lang w:val="en-GB"/>
          </w:rPr>
          <w:t>rlesung. Die Angst</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Was ich Ihnen in der letzten Vorlesung über die allgemeine Nervosität gesagt habe, werden Sie sicherlich als die unvollständigste und unzulänglichste meiner Mitteilungen erkannt haben. Ich weiß das, und ich denke mir, nichts anderes wird Sie mehr verwundert haben, als daß darin von der Angst nicht die Rede war, über die doch die meisten Nervösen klagen, die sie selbst als ihr schrecklichstes Leiden bezeichnen und die wirklich die großartigste Intensität bei ihnen erreichen und die tollsten Maßnahmen zur Folge haben kann. Aber darin wenigstens wollte ich Sie nicht verkürzen; ich habe mir im Gegenteil vorgenommen, das Problem der Angst bei den Nervösen besonders scharf einzustellen und es ausführlich vor Ihnen zu erörtern.</w:t>
      </w:r>
    </w:p>
    <w:p w:rsidR="00062BE4" w:rsidRPr="002F7766" w:rsidRDefault="00062BE4" w:rsidP="00062BE4">
      <w:pPr>
        <w:rPr>
          <w:rFonts w:ascii="Garamond" w:hAnsi="Garamond" w:cs="Arial"/>
          <w:lang w:val="en-GB"/>
        </w:rPr>
      </w:pPr>
      <w:r w:rsidRPr="002F7766">
        <w:rPr>
          <w:rFonts w:ascii="Garamond" w:hAnsi="Garamond" w:cs="Arial"/>
          <w:lang w:val="en-GB"/>
        </w:rPr>
        <w:t>Die Angst selbst brauche ich Ihnen ja nicht vorzustellen; jeder von uns hat diese Empfindung, oder richtiger gesagt, diesen Affektzustand irgendeinmal aus eigenem kennengelernt. Aber ich meine, man hat sich nie ernsthaft genug gefragt, warum gerade die Nervösen soviel mehr und soviel stärkere Angst haben als die anderen. Vielleicht hielt man es für selbstverständlich; man verwendet ja gewöhnlich die Worte »nervös« und »ängstlich« so füreinander, als ob sie dasselbe bedeuten würden. Dazu hat man aber kein Recht; es gibt ängstliche Menschen, die sonst gar nicht nervös sind, und außerdem Nervöse, die an vielen Symptomen leiden, unter denen aber die Neigung zur Angst nicht aufgefunden wird.</w:t>
      </w:r>
    </w:p>
    <w:p w:rsidR="00062BE4" w:rsidRPr="002F7766" w:rsidRDefault="00062BE4" w:rsidP="00062BE4">
      <w:pPr>
        <w:rPr>
          <w:rFonts w:ascii="Garamond" w:hAnsi="Garamond" w:cs="Arial"/>
          <w:lang w:val="en-GB"/>
        </w:rPr>
      </w:pPr>
      <w:r w:rsidRPr="002F7766">
        <w:rPr>
          <w:rFonts w:ascii="Garamond" w:hAnsi="Garamond" w:cs="Arial"/>
          <w:lang w:val="en-GB"/>
        </w:rPr>
        <w:t>Wie immer das sein mag, es steht fest, daß das Angstproblem ein Knotenpunkt ist, an welchem die verschiedensten und wichtigsten Fragen zusammentreffen, ein Rätsel, dessen Lösung eine Fülle von Licht über unser ganzes Seelenleben ergießen müßte. Ich werde nicht behaupten, daß ich Ihnen diese volle Lösung geben kann, aber Sie werden gewiß erwarten, daß die Psychoanalyse auch dieses Thema ganz anders angreifen wird als die Medizin der Schulen. Dort scheint man sich vor allem dafür zu interessieren, auf welchen anatomischen Wegen der Angstzustand zustande gebracht wird. Es heißt, die Medulla oblongata sei gereizt, und der Kranke erfährt, daß er an einer Neurose des Nervus vagus leidet. Die Medulla oblongata ist ein sehr ernsthaftes und schönes Objekt. Ich erinnere mich ganz genau, wieviel Zeit und Mühe ich vor Jahren ihrem Studium gewidmet habe. Aber heute muß ich sagen, ich weiß nichts, was mir für das psychologische Verständnis der Angst gleichgültiger sein könnte als die Kenntnis des Nervenweges, auf dem ihre Erregungen ablaufen.</w:t>
      </w:r>
    </w:p>
    <w:p w:rsidR="00062BE4" w:rsidRPr="002F7766" w:rsidRDefault="00062BE4" w:rsidP="00062BE4">
      <w:pPr>
        <w:rPr>
          <w:rFonts w:ascii="Garamond" w:hAnsi="Garamond" w:cs="Arial"/>
          <w:lang w:val="en-GB"/>
        </w:rPr>
      </w:pPr>
      <w:r w:rsidRPr="002F7766">
        <w:rPr>
          <w:rFonts w:ascii="Garamond" w:hAnsi="Garamond" w:cs="Arial"/>
          <w:lang w:val="en-GB"/>
        </w:rPr>
        <w:t xml:space="preserve">Von der Angst kann man zunächst eine ganze Weile handeln, ohne der Nervosität überhaupt zu gedenken. Sie verstehen mich ohne weiteres, wenn ich diese Angst als </w:t>
      </w:r>
      <w:r w:rsidRPr="002F7766">
        <w:rPr>
          <w:rFonts w:ascii="Garamond" w:hAnsi="Garamond" w:cs="Arial"/>
          <w:i/>
          <w:iCs/>
          <w:lang w:val="en-GB"/>
        </w:rPr>
        <w:t>Realangst</w:t>
      </w:r>
      <w:r w:rsidRPr="002F7766">
        <w:rPr>
          <w:rFonts w:ascii="Garamond" w:hAnsi="Garamond" w:cs="Arial"/>
          <w:lang w:val="en-GB"/>
        </w:rPr>
        <w:t xml:space="preserve"> bezeichne im Gegensatz zu einer </w:t>
      </w:r>
      <w:r w:rsidRPr="002F7766">
        <w:rPr>
          <w:rFonts w:ascii="Garamond" w:hAnsi="Garamond" w:cs="Arial"/>
          <w:i/>
          <w:iCs/>
          <w:lang w:val="en-GB"/>
        </w:rPr>
        <w:t>neurotischen</w:t>
      </w:r>
      <w:r w:rsidRPr="002F7766">
        <w:rPr>
          <w:rFonts w:ascii="Garamond" w:hAnsi="Garamond" w:cs="Arial"/>
          <w:lang w:val="en-GB"/>
        </w:rPr>
        <w:t>. Die Realangst erscheint uns nun als etwas sehr Rationelles und Begreifliches. Wir werden von ihr aussagen, sie ist eine Reaktion auf die Wahrnehmung einer äußeren Gefahr, d.h. einer erwarteten, vorhergesehenen Schädigung, sie ist mit dem Fluchtreflex verbunden, und man darf sie als Äußerung des Selbsterhaltungstriebes ansehen. Bei welchen Gelegenheiten, d.h. vor welchen Objekten und in welchen Situationen die Angst auftritt, wird natürlich zum großen Teil von dem Stande unseres Wissens und von unserem Machtgefühl gegen die Außenwelt abhängen. Wir finden es ganz begreiflich, daß der Wilde sich vor einer Kanone fürchtet und bei einer Sonnenfinsternis ängstigt, während der Weiße, der das Instrument handhaben und das Ereignis vorhersagen kann, unter diesen Bedingungen angstfrei bleibt. Ein andermal ist es gerade das Mehrwissen, was die Angst befördert, weil es die Gefahr frühzeitig erkennen läßt. So wird der Wilde vor einer Fährte im Walde erschrecken, die dem Unkundigen nichts sagt, ihm aber die Nähe eines reißenden Tieres verrät, und der erfahrene Schiffer mit Entsetzen ein Wölkchen am Himmel betrachten, das dem Passagier unscheinbar dünkt, während es ihm das Herannahen des Orkans verkündet.</w:t>
      </w:r>
    </w:p>
    <w:p w:rsidR="00062BE4" w:rsidRPr="002F7766" w:rsidRDefault="00062BE4" w:rsidP="00062BE4">
      <w:pPr>
        <w:rPr>
          <w:rFonts w:ascii="Garamond" w:hAnsi="Garamond" w:cs="Arial"/>
          <w:lang w:val="en-GB"/>
        </w:rPr>
      </w:pPr>
      <w:r w:rsidRPr="002F7766">
        <w:rPr>
          <w:rFonts w:ascii="Garamond" w:hAnsi="Garamond" w:cs="Arial"/>
          <w:lang w:val="en-GB"/>
        </w:rPr>
        <w:t xml:space="preserve">Bei weiterer Überlegung muß man sich sagen, daß das Urteil über die Realangst, sie sei rationell und zweckmäßig, einer gründlichen Revision bedarf. Das einzig zweckmäßige Verhalten bei drohender Gefahr </w:t>
      </w:r>
      <w:r w:rsidRPr="002F7766">
        <w:rPr>
          <w:rFonts w:ascii="Garamond" w:hAnsi="Garamond" w:cs="Arial"/>
          <w:lang w:val="en-GB"/>
        </w:rPr>
        <w:lastRenderedPageBreak/>
        <w:t>wäre nämlich die kühle Abschätzung der eigenen Kräfte im Vergleich zur Größe der Drohung und darauf die Entscheidung, ob die Flucht oder die Verteidigung, möglicherweise selbst der Angriff, größere Aussicht auf einen guten Ausgang verspricht. In diesem Zusammenhang ist aber für die Angst überhaupt keine Stelle; alles, was geschieht, würde ebensowohl und wahrscheinlich besser vollzogen werden, wenn es nicht zur Angstentwicklung käme. Sie sehen ja auch, wenn die Angst übermäßig stark ausfällt, dann erweist sie sich als äußerst unzweckmäßig, sie lähmt dann jede Aktion, auch die der Flucht. Für gewöhnlich besteht die Reaktion auf die Gefahr aus einer Vermengung von Angstaffekt und Abwehraktion. Das geschreckte Tier ängstigt sich und flieht, aber das Zweckmäßige daran ist die »Flucht«, nicht das »sich ängstigen«.</w:t>
      </w:r>
    </w:p>
    <w:p w:rsidR="00062BE4" w:rsidRPr="002F7766" w:rsidRDefault="00062BE4" w:rsidP="00062BE4">
      <w:pPr>
        <w:rPr>
          <w:rFonts w:ascii="Garamond" w:hAnsi="Garamond" w:cs="Arial"/>
          <w:lang w:val="en-GB"/>
        </w:rPr>
      </w:pPr>
      <w:r w:rsidRPr="002F7766">
        <w:rPr>
          <w:rFonts w:ascii="Garamond" w:hAnsi="Garamond" w:cs="Arial"/>
          <w:lang w:val="en-GB"/>
        </w:rPr>
        <w:t xml:space="preserve">Man fühlt sich also versucht zu behaupten, daß die Angstentwicklung niemals etwas Zweckmäßiges ist. Vielleicht verhilft es zu besserer Einsicht, wenn man sich die Angstsituation sorgfältiger zerlegt. Das erste an ihr ist die </w:t>
      </w:r>
      <w:r w:rsidRPr="002F7766">
        <w:rPr>
          <w:rFonts w:ascii="Garamond" w:hAnsi="Garamond" w:cs="Arial"/>
          <w:i/>
          <w:iCs/>
          <w:lang w:val="en-GB"/>
        </w:rPr>
        <w:t>Bereitschaft</w:t>
      </w:r>
      <w:r w:rsidRPr="002F7766">
        <w:rPr>
          <w:rFonts w:ascii="Garamond" w:hAnsi="Garamond" w:cs="Arial"/>
          <w:lang w:val="en-GB"/>
        </w:rPr>
        <w:t xml:space="preserve"> auf die Gefahr, die sich in gesteigerter sensorischer Aufmerksamkeit und motorischer Spannung äußert. Diese Erwartungsbereitschaft ist unbedenklich als vorteilhaft anzuerkennen, ja ihr Wegfall mag für ernste Folgen verantwortlich gemacht werden. Aus ihr geht nun einerseits die motorische Aktion hervor, zunächst Flucht, auf einer höheren Stufe tätige Abwehr, anderseits das, was wir als den Angstzustand empfinden. Je mehr sich die Angstentwicklung auf einen bloßen Ansatz, auf ein Signal einschränkt, desto ungestörter vollzieht sich die Umsetzung der Angstbereitschaft in Aktion, desto zweckmäßiger gestaltet sich der ganze Ablauf. Die </w:t>
      </w:r>
      <w:r w:rsidRPr="002F7766">
        <w:rPr>
          <w:rFonts w:ascii="Garamond" w:hAnsi="Garamond" w:cs="Arial"/>
          <w:i/>
          <w:iCs/>
          <w:lang w:val="en-GB"/>
        </w:rPr>
        <w:t>Angstbereitschaft</w:t>
      </w:r>
      <w:r w:rsidRPr="002F7766">
        <w:rPr>
          <w:rFonts w:ascii="Garamond" w:hAnsi="Garamond" w:cs="Arial"/>
          <w:lang w:val="en-GB"/>
        </w:rPr>
        <w:t xml:space="preserve"> scheint mir also das Zweckmäßige, die </w:t>
      </w:r>
      <w:r w:rsidRPr="002F7766">
        <w:rPr>
          <w:rFonts w:ascii="Garamond" w:hAnsi="Garamond" w:cs="Arial"/>
          <w:i/>
          <w:iCs/>
          <w:lang w:val="en-GB"/>
        </w:rPr>
        <w:t>Angstentwicklung</w:t>
      </w:r>
      <w:r w:rsidRPr="002F7766">
        <w:rPr>
          <w:rFonts w:ascii="Garamond" w:hAnsi="Garamond" w:cs="Arial"/>
          <w:lang w:val="en-GB"/>
        </w:rPr>
        <w:t xml:space="preserve"> das Zweckwidrige an dem, was wir Angst heißen, zu sein.</w:t>
      </w:r>
    </w:p>
    <w:p w:rsidR="00062BE4" w:rsidRPr="002F7766" w:rsidRDefault="00062BE4" w:rsidP="00062BE4">
      <w:pPr>
        <w:rPr>
          <w:rFonts w:ascii="Garamond" w:hAnsi="Garamond" w:cs="Arial"/>
          <w:lang w:val="en-GB"/>
        </w:rPr>
      </w:pPr>
      <w:r w:rsidRPr="002F7766">
        <w:rPr>
          <w:rFonts w:ascii="Garamond" w:hAnsi="Garamond" w:cs="Arial"/>
          <w:lang w:val="en-GB"/>
        </w:rPr>
        <w:t>Ich vermeide es, auf die Frage näher einzugehen, ob unser Sprachgebrauch mit Angst, Furcht, Schreck das Nämliche oder deutlich Verschiedenes bezeichnen will. Ich meine nur, Angst bezieht sich auf den Zustand und sieht vom Objekt ab, während Furcht die Aufmerksamkeit gerade auf das Objekt richtet. Schreck scheint hingegen einen besonderen Sinn zu haben, nämlich die Wirkung einer Gefahr hervorzuheben, welche nicht von einer Angstbereitschaft empfangen wird. So daß man sagen könnte, der Mensch schütze sich durch die Angst vor dem Schreck. Die gewisse Vieldeutigkeit und Unbestimmtheit im Gebrauche des Wortes »Angst« wird Ihnen nicht entgangen sein. Zumeist versteht man unter Angst den subjektiven Zustand, in den man durch die Wahrnehmung der »Angstentwicklung« gerät, und heißt diesen einen Affekt. Was ist nun im dynamischen Sinne ein Affekt? Jedenfalls etwas sehr Zusammengesetztes. Ein Affekt umschließt erstens bestimmte motorische Innervationen oder Abfuhren, zweitens gewisse Empfindungen, und zwar von zweierlei Art, die Wahrnehmungen der stattgehabten motorischen Aktionen und die direkten Lust- und Unlustempfindungen, die dem Affekt, wie man sagt, den Grundton geben. Ich glaube aber nicht, daß mit dieser Aufzählung das Wesen des Affektes getroffen ist. Bei einigen Affekten glaubt man tiefer zu blicken und zu erkennen, daß der Kern, welcher das genannte Ensemble zusammenhält, die Wiederholung eines bestimmten bedeutungsvollen Erlebnisses ist. Dies Erlebnis könnte nur ein sehr frühzeitiger Eindruck von sehr allgemeiner Natur sein, der in die Vorgeschichte nicht des Individuums, sondern der Art zu verlegen ist. Um mich verständlicher zu machen, der Affektzustand wäre ebenso gebaut wie ein hysterischer Anfall, wie dieser der Niederschlag einer Reminiszenz. Der hysterische Anfall ist also vergleichbar einem neugebildeten individuellen Affekt, der normale Affekt dem Ausdruck einer generellen, zur Erbschaft gewordenen Hysterie.</w:t>
      </w:r>
    </w:p>
    <w:p w:rsidR="00062BE4" w:rsidRPr="002F7766" w:rsidRDefault="00062BE4" w:rsidP="00062BE4">
      <w:pPr>
        <w:rPr>
          <w:rFonts w:ascii="Garamond" w:hAnsi="Garamond" w:cs="Arial"/>
          <w:lang w:val="en-GB"/>
        </w:rPr>
      </w:pPr>
      <w:r w:rsidRPr="002F7766">
        <w:rPr>
          <w:rFonts w:ascii="Garamond" w:hAnsi="Garamond" w:cs="Arial"/>
          <w:lang w:val="en-GB"/>
        </w:rPr>
        <w:t xml:space="preserve">Nehmen Sie nicht an, daß dasjenige, was ich Ihnen hier über die Affekte gesagt habe, ein anerkanntes Gut der Normalpsychologie ist. Es sind im Gegenteil Auffassungen, die auf dem Boden der Psychoanalyse erwachsen und nur dort heimisch sind. Was Sie in der Psychologie über die Affekte erfahren können, z.B. die James-Langesche Theorie, ist für uns Psychoanalytiker geradezu unverständlich und undiskutierbar. Für sehr gesichert halten wir aber unser Wissen um die Affekte auch nicht; es ist ein erster Versuch, sich auf diesem dunkeln Gebiet zu orientieren. Ich setze nun fort: Beim Angstaffekt glauben wir zu wissen, welchen frühzeitigen Eindruck er als Wiederholung wiederbringt. Wir sagen uns, es ist der </w:t>
      </w:r>
      <w:r w:rsidRPr="002F7766">
        <w:rPr>
          <w:rFonts w:ascii="Garamond" w:hAnsi="Garamond" w:cs="Arial"/>
          <w:i/>
          <w:iCs/>
          <w:lang w:val="en-GB"/>
        </w:rPr>
        <w:t>Geburtsakt</w:t>
      </w:r>
      <w:r w:rsidRPr="002F7766">
        <w:rPr>
          <w:rFonts w:ascii="Garamond" w:hAnsi="Garamond" w:cs="Arial"/>
          <w:lang w:val="en-GB"/>
        </w:rPr>
        <w:t xml:space="preserve">, bei </w:t>
      </w:r>
      <w:r w:rsidRPr="002F7766">
        <w:rPr>
          <w:rFonts w:ascii="Garamond" w:hAnsi="Garamond" w:cs="Arial"/>
          <w:lang w:val="en-GB"/>
        </w:rPr>
        <w:lastRenderedPageBreak/>
        <w:t xml:space="preserve">welchem jene Gruppierung von Unlustempfindungen, Abfuhrregungen und Körpersensationen zustande kommt, die das Vorbild für die Wirkung einer Lebensgefahr geworden ist und seither als Angstzustand von uns wiederholt wird. Die enorme Reizsteigerung durch die Unterbrechung der Bluterneuerung (der inneren Atmung) war damals die Ursache des Angsterlebnisses, die erste Angst also eine toxische. Der Name Angst </w:t>
      </w:r>
      <w:r w:rsidRPr="002F7766">
        <w:rPr>
          <w:rFonts w:ascii="Garamond" w:hAnsi="Garamond" w:cs="Arial"/>
          <w:i/>
          <w:iCs/>
          <w:lang w:val="en-GB"/>
        </w:rPr>
        <w:t>angustiae</w:t>
      </w:r>
      <w:r w:rsidRPr="002F7766">
        <w:rPr>
          <w:rFonts w:ascii="Garamond" w:hAnsi="Garamond" w:cs="Arial"/>
          <w:lang w:val="en-GB"/>
        </w:rPr>
        <w:t>, Enge betont den Charakter der Beengung im Atmen, die damals als Folge der realen Situation vorhanden war und heute im Affekt fast regelmäßig wiederhergestellt wird. Wir werden es auch als beziehungsreich erkennen, daß jener erste Angstzustand aus der Trennung von der Mutter hervorging. Natürlich sind wir der Überzeugung, die Disposition zur Wiederholung des ersten Angstzustandes sei durch die Reihe unzählbarer Generationen dem Organismus so gründlich einverleibt, daß ein einzelnes Individuum dem Angstaffekt nicht entgehen kann, auch wenn es wie der sagenhafte Macduff »aus seiner Mutter Leib geschnitten wurde«, den Geburtsakt selbst also nicht erfahren hat. Was bei anderen als Säugetieren das Vorbild des Angstzustandes geworden ist, können wir nicht sagen. Dafür wissen wir auch nicht, welcher Empfindungskomplex bei diesen Geschöpfen unserer Angst äquivalent ist.</w:t>
      </w:r>
    </w:p>
    <w:p w:rsidR="00062BE4" w:rsidRPr="002F7766" w:rsidRDefault="00062BE4" w:rsidP="00062BE4">
      <w:pPr>
        <w:rPr>
          <w:rFonts w:ascii="Garamond" w:hAnsi="Garamond" w:cs="Arial"/>
          <w:lang w:val="en-GB"/>
        </w:rPr>
      </w:pPr>
      <w:r w:rsidRPr="002F7766">
        <w:rPr>
          <w:rFonts w:ascii="Garamond" w:hAnsi="Garamond" w:cs="Arial"/>
          <w:lang w:val="en-GB"/>
        </w:rPr>
        <w:t>Es wird Sie vielleicht interessieren zu hören, wie man auf eine solche Idee kommen kann, wie daß der Geburtsakt die Quelle und das Vorbild des Angstaffektes ist. Die Spekulation hat den geringsten Anteil daran; ich habe vielmehr bei dem naiven Denken des Volkes eine Anleihe gemacht. Als wir vor langen Jahren junge Spitalärzte um den Mittagstisch im Wirtshause saßen, erzählte ein Assistent der geburtshilflichen Klinik, was für lustige Geschichte sich bei der letzten Hebammenprüfung zugetragen. Eine Kandidatin wurde gefragt, was es bedeute, wenn sich bei der Geburt Mekonium (Kindspech, Exkremente) im abgehenden Wasser zeigen, und sie antwortete prompt: Daß das Kind Angst habe. Sie wurde ausgelacht und war durchgefallen. Aber ich nahm im stillen ihre Partei und begann zu ahnen, daß das arme Weib aus dem Volke unbeirrten Sinnes einen wichtigen Zusammenhang bloßgelegt hatte.</w:t>
      </w:r>
    </w:p>
    <w:p w:rsidR="00062BE4" w:rsidRPr="002F7766" w:rsidRDefault="00062BE4" w:rsidP="00062BE4">
      <w:pPr>
        <w:rPr>
          <w:rFonts w:ascii="Garamond" w:hAnsi="Garamond" w:cs="Arial"/>
          <w:lang w:val="en-GB"/>
        </w:rPr>
      </w:pPr>
      <w:r w:rsidRPr="002F7766">
        <w:rPr>
          <w:rFonts w:ascii="Garamond" w:hAnsi="Garamond" w:cs="Arial"/>
          <w:lang w:val="en-GB"/>
        </w:rPr>
        <w:t xml:space="preserve">Übergehen wir nun zur neurotischen Angst, welche neue Erscheinungsformen und Verhältnisse zeigt uns die Angst bei den Nervösen? Da ist viel zu beschreiben. Wir finden erstens eine allgemeine Ängstlichkeit, eine sozusagen frei flottierende Angst, die bereit ist, sich an jeden irgendwie passenden Vorstellungsinhalt anzuhängen, die das Urteil beeinflußt, die Erwartungen auswählt, auf jede Gelegenheit lauert, um sich rechtfertigen zu lassen. Wir heißen diesen Zustand »Erwartungsangst« oder »ängstliche Erwartung«. Personen, die von dieser Art Angst geplagt werden, sehen von allen Möglichkeiten immer die schrecklichste voraus, deuten jeden Zufall als Anzeige eines Unheils, nützen jede Unsicherheit im schlimmen Sinne aus. Die Neigung zu solcher Unheilserwartung findet sich als Charakterzug bei vielen Menschen, die man sonst nicht als krank bezeichnen kann, man schilt sie überängstlich oder pessimistisch; ein auffälliges Maß von Erwartungsangst gehört aber regelmäßig einer nervösen Affektion an, die ich als » </w:t>
      </w:r>
      <w:r w:rsidRPr="002F7766">
        <w:rPr>
          <w:rFonts w:ascii="Garamond" w:hAnsi="Garamond" w:cs="Arial"/>
          <w:i/>
          <w:iCs/>
          <w:lang w:val="en-GB"/>
        </w:rPr>
        <w:t>Angstneurose</w:t>
      </w:r>
      <w:r w:rsidRPr="002F7766">
        <w:rPr>
          <w:rFonts w:ascii="Garamond" w:hAnsi="Garamond" w:cs="Arial"/>
          <w:lang w:val="en-GB"/>
        </w:rPr>
        <w:t>« benannt habe und zu den Aktualneurosen rechne.</w:t>
      </w:r>
    </w:p>
    <w:p w:rsidR="00062BE4" w:rsidRPr="002F7766" w:rsidRDefault="00062BE4" w:rsidP="00062BE4">
      <w:pPr>
        <w:rPr>
          <w:rFonts w:ascii="Garamond" w:hAnsi="Garamond" w:cs="Arial"/>
          <w:lang w:val="en-GB"/>
        </w:rPr>
      </w:pPr>
      <w:r w:rsidRPr="002F7766">
        <w:rPr>
          <w:rFonts w:ascii="Garamond" w:hAnsi="Garamond" w:cs="Arial"/>
          <w:lang w:val="en-GB"/>
        </w:rPr>
        <w:t xml:space="preserve">Eine zweite Form der Angst ist im Gegensatze zu der eben beschriebenen vielmehr psychisch gebunden und an gewisse Objekte oder Situationen geknüpft. Es ist die Angst der überaus mannigfaltigen und oft sehr sonderbaren » </w:t>
      </w:r>
      <w:r w:rsidRPr="002F7766">
        <w:rPr>
          <w:rFonts w:ascii="Garamond" w:hAnsi="Garamond" w:cs="Arial"/>
          <w:i/>
          <w:iCs/>
          <w:lang w:val="en-GB"/>
        </w:rPr>
        <w:t>Phobien</w:t>
      </w:r>
      <w:r w:rsidRPr="002F7766">
        <w:rPr>
          <w:rFonts w:ascii="Garamond" w:hAnsi="Garamond" w:cs="Arial"/>
          <w:lang w:val="en-GB"/>
        </w:rPr>
        <w:t xml:space="preserve">«. Stanley Hall, der angesehene amerikanische Psychologe, hat sich erst kürzlich die Mühe genommen, uns die ganze Reihe dieser Phobien in prunkender griechischer Namengebung vorzuführen. Das klingt wie die Aufzählung der zehn ägyptischen Plagen, nur daß ihre Anzahl weit über die Zehn hinausgeht. Hören Sie, was alles Objekt oder Inhalt einer Phobie werden kann: Finsternis, freie Luft, offene Plätze, Katzen, Spinnen, Raupen, Schlangen, Mäuse, Gewitter, scharfe Spitzen, Blut, geschlossene Räume, Menschengedränge, Einsamkeit, Überschreiten von Brücken, See- und Eisenbahnfahrt usw. Bei einem ersten Versuch der Orientierung in diesem Gewimmel liegt es nahe, drei Gruppen zu unterscheiden. Manche der gefürchteten Objekte und Situationen haben auch für uns Normale etwas Unheimliches, eine Beziehung zur Gefahr, und diese Phobien erscheinen uns darum nicht unbegreiflich, wiewohl in ihrer Stärke sehr übertrieben. So empfinden die meisten von uns ein widerwärtiges Gefühl beim Zusammentreffen mit einer Schlange. Die Schlangenphobie, kann man sagen, ist eine allgemein menschliche, und Ch.Darwin hat sehr eindrucksvoll beschrieben, wie er sich der Angst </w:t>
      </w:r>
      <w:r w:rsidRPr="002F7766">
        <w:rPr>
          <w:rFonts w:ascii="Garamond" w:hAnsi="Garamond" w:cs="Arial"/>
          <w:lang w:val="en-GB"/>
        </w:rPr>
        <w:lastRenderedPageBreak/>
        <w:t>vor einer auf ihn losfahrenden Schlange nicht erwehren konnte, wiewohl er sich durch eine dicke Glasscheibe vor ihr geschützt wußte. Zu einer zweiten Gruppe stellen wir die Fälle, in denen noch eine Beziehung zu einer Gefahr besteht, wobei wir aber gewöhnt sind, diese Gefahr geringzuschätzen und sie nicht voranzustellen. Hierher gehören die meisten Situationsphobien. Wir wissen, daß es auf der Eisenbahnfahrt eine Chance des Verunglückens mehr gibt, als wenn wir zu Hause bleiben, nämlich die des Eisenbahnzusammenstoßes, wissen auch, daß ein Schiff untergehen kann, wobei man dann in der Regel ertrinkt, aber wir denken nicht an diese Gefahren und reisen angstfrei mit Eisenbahn und Schiff. Es ist auch nicht zu leugnen, daß man in den Fluß stürzen würde, wenn die Brücke in dem Moment einstürzte, in dem man sie passiert, aber das geschieht so überaus selten, daß es als Gefahr gar nicht in Betracht kommt. Auch die Einsamkeit hat ihre Gefahren, und wir vermeiden sie auch unter gewissen Umständen; es ist aber nicht die Rede davon, daß wir sie unter irgendwelcher Bedingung auch nur einen Moment lang nicht vertragen. Ähnliches gilt für das Menschengedränge, für den geschlossenen Raum, das Gewitter u.dgl. Was uns an diesen Phobien der Neurotiker befremdet, ist überhaupt nicht so sehr der Inhalt als die Intensität derselben. Die Angst der Phobien ist geradezu inappellabel! Und manchmal bekommen wir den Eindruck, als ängstigten sich die Neurotiker gar nicht vor denselben Dingen und Situationen, die unter gewissen Umständen auch bei uns Angst hervorrufen können und die sie mit denselben Namen belegen.</w:t>
      </w:r>
    </w:p>
    <w:p w:rsidR="00062BE4" w:rsidRPr="002F7766" w:rsidRDefault="00062BE4" w:rsidP="00062BE4">
      <w:pPr>
        <w:rPr>
          <w:rFonts w:ascii="Garamond" w:hAnsi="Garamond" w:cs="Arial"/>
          <w:lang w:val="en-GB"/>
        </w:rPr>
      </w:pPr>
      <w:r w:rsidRPr="002F7766">
        <w:rPr>
          <w:rFonts w:ascii="Garamond" w:hAnsi="Garamond" w:cs="Arial"/>
          <w:lang w:val="en-GB"/>
        </w:rPr>
        <w:t>Es erübrigt uns eine dritte Gruppe von Phobien, denen unser Verständnis überhaupt nicht mehr nachkommt. Wenn ein starker, erwachsener Mann vor Angst nicht durch eine Straße oder über einen Platz der ihm so wohlvertrauten Heimatstadt gehen kann, wenn eine gesunde, gut entwickelte Frau in eine besinnungslose Angst verfällt, weil eine Katze an ihren Kleidersaum gestreift hat oder ein Mäuschen durchs Zimmer gehuscht ist, wie sollen wir da die Verbindung mit der Gefahr herstellen, die offenbar doch für die Phobischen besteht? Bei den hierher gehörigen Tierphobien kann es sich nicht um die Steigerung allgemein menschlicher Antipathien handeln, denn es gibt wie zur Demonstration des Gegensatzes zahlreiche Menschen, die an keiner Katze vorbeigehen können, ohne sie zu locken und zu streicheln. Die von den Frauen so gefürchtete Maus ist gleichzeitig ein Zärtlichkeitsname erster Ordnung; manches Mädchen, das sich mit Befriedigung von seinem Geliebten so nennen hört, schreit doch entsetzt auf, wenn es das niedliche Tierchen dieses Namens erblickt. Für den Mann mit Straßen- oder Platzangst drängt sich uns die einzige Erklärung auf, daß er sich benehme wie ein kleines Kind. Ein Kind wird durch die Erziehung direkt angehalten, solche Situationen als gefährlich zu vermeiden, und unser Agoraphobiker ist wirklich vor seiner Angst geschützt, wenn man ihn über den Platz begleitet.</w:t>
      </w:r>
    </w:p>
    <w:p w:rsidR="00062BE4" w:rsidRPr="002F7766" w:rsidRDefault="00062BE4" w:rsidP="00062BE4">
      <w:pPr>
        <w:rPr>
          <w:rFonts w:ascii="Garamond" w:hAnsi="Garamond" w:cs="Arial"/>
          <w:lang w:val="en-GB"/>
        </w:rPr>
      </w:pPr>
      <w:r w:rsidRPr="002F7766">
        <w:rPr>
          <w:rFonts w:ascii="Garamond" w:hAnsi="Garamond" w:cs="Arial"/>
          <w:lang w:val="en-GB"/>
        </w:rPr>
        <w:t xml:space="preserve">Die beiden hier beschriebenen Formen der Angst, die frei flottierende Erwartungsangst und die an Phobien gebundene, sind unabhängig voneinander. Die eine ist nicht etwa eine höhere Stufe der anderen, sie kommen auch nur ausnahmsweise und dann wie zufällig miteinander vor. Die stärkste allgemeine Ängstlichkeit braucht sich nicht in Phobien zu äußern; Personen, deren ganzes Leben durch eine Agoraphobie eingeschränkt wird, können von der pessimistischen Erwartungsangst völlig frei sein. Manche der Phobien, z.B. Platzangst, Eisenbahnangst, werden nachweisbar erst in reiferen Jahren erworben, andere, wie Angst vor Dunkelheit, Gewitter, Tieren, scheinen von Anfang an bestanden zu haben. Die der ersteren Art haben die Bedeutung von schweren Krankheiten; die letzteren erscheinen eher wie Sonderbarkeiten, Launen. Wer eine von diesen letzteren zeigt, bei dem darf man in der Regel noch andere, ähnliche vermuten. Ich muß hinzufügen, daß wir diese Phobien sämtlich zur </w:t>
      </w:r>
      <w:r w:rsidRPr="002F7766">
        <w:rPr>
          <w:rFonts w:ascii="Garamond" w:hAnsi="Garamond" w:cs="Arial"/>
          <w:i/>
          <w:iCs/>
          <w:lang w:val="en-GB"/>
        </w:rPr>
        <w:t>Angsthysterie</w:t>
      </w:r>
      <w:r w:rsidRPr="002F7766">
        <w:rPr>
          <w:rFonts w:ascii="Garamond" w:hAnsi="Garamond" w:cs="Arial"/>
          <w:lang w:val="en-GB"/>
        </w:rPr>
        <w:t xml:space="preserve"> rechnen, d.h. also sie als eine der bekannten Konversionshysterie sehr verwandte Affektion betrachten.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dritte der Formen neurotischer Angst stellt uns vor das Rätsel, daß wir den Zusammenhang zwischen Angst und drohender Gefahr völlig aus den Augen verlieren. Diese Angst tritt z.B. bei der Hysterie auf als Begleitung der hysterischen Symptome, oder unter beliebigen Bedingungen der Aufregung, wo wir zwar eine Affektäußerung erwarten würden, aber gerade den Angstaffekt am wenigsten, oder losgelöst von allen Bedingungen, für uns und den Kranken gleich unverständlich, als freier Angstanfall. Von einer Gefahr oder einem Anlaß, der durch Übertreibung dazu erhoben werden könnte, ist dann weit und breit keine </w:t>
      </w:r>
      <w:r w:rsidRPr="002F7766">
        <w:rPr>
          <w:rFonts w:ascii="Garamond" w:hAnsi="Garamond" w:cs="Arial"/>
          <w:lang w:val="en-GB"/>
        </w:rPr>
        <w:lastRenderedPageBreak/>
        <w:t>Rede. Bei diesen spontanen Anfällen erfahren wir dann, daß der Komplex, den wir als Angstzustand bezeichnen, einer Aufsplitterung fähig ist. Das Ganze des Anfalles kann durch ein einzelnes, intensiv ausgebildetes Symptom vertreten werden, durch ein Zittern, einen Schwindel, eine Herzpalpitation, eine Atemnot, und das Gemeingefühl, an dem wir die Angst erkennen, kann dabei fehlen oder undeutlich geworden sein. Und doch sind diese Zustände, die wir als »Angstäquivalente« beschreiben, in allen klinischen und ätiologischen Beziehungen der Angst gleichzustellen.</w:t>
      </w:r>
    </w:p>
    <w:p w:rsidR="00062BE4" w:rsidRPr="002F7766" w:rsidRDefault="00062BE4" w:rsidP="00062BE4">
      <w:pPr>
        <w:rPr>
          <w:rFonts w:ascii="Garamond" w:hAnsi="Garamond" w:cs="Arial"/>
          <w:lang w:val="en-GB"/>
        </w:rPr>
      </w:pPr>
      <w:r w:rsidRPr="002F7766">
        <w:rPr>
          <w:rFonts w:ascii="Garamond" w:hAnsi="Garamond" w:cs="Arial"/>
          <w:lang w:val="en-GB"/>
        </w:rPr>
        <w:t>Nun erheben sich zwei Fragen. Kann man die neurotische Angst, bei welcher die Gefahr keine oder eine so geringe Rolle spielt, in Zusammenhang mit der Realangst bringen, welche durchwegs eine Reaktion auf die Gefahr ist? Und wie läßt sich die neurotische Angst verstehen? Wir werden doch zunächst die Erwartung festhalten wollen: wo Angst ist, muß auch etwas vorhanden sein, vor dem man sich ängstigt.</w:t>
      </w:r>
    </w:p>
    <w:p w:rsidR="00062BE4" w:rsidRPr="002F7766" w:rsidRDefault="00062BE4" w:rsidP="00062BE4">
      <w:pPr>
        <w:rPr>
          <w:rFonts w:ascii="Garamond" w:hAnsi="Garamond" w:cs="Arial"/>
          <w:lang w:val="en-GB"/>
        </w:rPr>
      </w:pPr>
      <w:r w:rsidRPr="002F7766">
        <w:rPr>
          <w:rFonts w:ascii="Garamond" w:hAnsi="Garamond" w:cs="Arial"/>
          <w:lang w:val="en-GB"/>
        </w:rPr>
        <w:t>Für das Verständnis der neurotischen Angst ergeben sich nun aus der klinischen Beobachtung mehrere Hinweise, deren Bedeutung ich vor Ihnen erörtern will.</w:t>
      </w:r>
    </w:p>
    <w:p w:rsidR="00062BE4" w:rsidRPr="002F7766" w:rsidRDefault="00062BE4" w:rsidP="00062BE4">
      <w:pPr>
        <w:rPr>
          <w:rFonts w:ascii="Garamond" w:hAnsi="Garamond" w:cs="Arial"/>
          <w:lang w:val="en-GB"/>
        </w:rPr>
      </w:pPr>
      <w:r w:rsidRPr="002F7766">
        <w:rPr>
          <w:rFonts w:ascii="Garamond" w:hAnsi="Garamond" w:cs="Arial"/>
          <w:i/>
          <w:iCs/>
          <w:lang w:val="en-GB"/>
        </w:rPr>
        <w:t>a)</w:t>
      </w:r>
      <w:r w:rsidRPr="002F7766">
        <w:rPr>
          <w:rFonts w:ascii="Garamond" w:hAnsi="Garamond" w:cs="Arial"/>
          <w:lang w:val="en-GB"/>
        </w:rPr>
        <w:t xml:space="preserve"> Es ist nicht schwer festzustellen, daß die Erwartungsangst oder allgemeine Ängstlichkeit in enger Abhängigkeit von bestimmten Vorgängen im Sexualleben, sagen wir: von gewissen Verwendungen der Libido, steht. Der einfachste und lehrreichste Fall dieser Art ergibt sich bei Personen, die sich der sogenannten frustranen Erregung aussetzen, d.h. bei denen heftige sexuelle Erregungen keine genügende Abfuhr erfahren, nicht zu einem befriedigenden Abschluß geführt werden. Also z.B. bei Männern während des Brautstandes und bei Frauen, deren Männer ungenügend potent sind oder die den Geschlechtsakt aus Vorsicht verkürzt oder verkümmert ausführen. Unter diesen Umständen schwindet die libidinöse Erregung und an ihrer Stelle tritt Angst auf, sowohl in der Form der Erwartungsangst als auch in Anfällen und Anfallsäquivalenten. Die vorsichtige Unterbrechung des Geschlechtsaktes wird, wenn sie als sexuelles Regime geübt wird, so regelmäßig Ursache der Angstneurose bei Männern, besonders aber bei Frauen, daß es sich in der ärztlichen Praxis empfiehlt, bei derartigen Fällen in erster Linie nach dieser Ätiologie zu forschen. Man kann dann auch ungezählte Male die Erfahrung machen, daß die Angstneurose erlischt, wenn der sexuelle Mißbrauch abgestellt wird.</w:t>
      </w:r>
    </w:p>
    <w:p w:rsidR="00062BE4" w:rsidRPr="002F7766" w:rsidRDefault="00062BE4" w:rsidP="00062BE4">
      <w:pPr>
        <w:rPr>
          <w:rFonts w:ascii="Garamond" w:hAnsi="Garamond" w:cs="Arial"/>
          <w:lang w:val="en-GB"/>
        </w:rPr>
      </w:pPr>
      <w:r w:rsidRPr="002F7766">
        <w:rPr>
          <w:rFonts w:ascii="Garamond" w:hAnsi="Garamond" w:cs="Arial"/>
          <w:lang w:val="en-GB"/>
        </w:rPr>
        <w:t>Die Tatsache eines Zusammenhanges zwischen sexueller Zurückhaltung und Angstzuständen wird, soviel ich weiß, auch von Ärzten, die der Psychoanalyse fernestehen, nicht mehr bestritten. Allein ich kann mir wohl denken, daß der Versuch nicht unterlassen wird, die Beziehung umzukehren, indem man die Auffassung vertritt, es handle sich dabei um Personen, die von vornherein zur Ängstlichkeit neigen und darum auch in sexuellen Dingen Zurückhaltung üben. Dagegen spricht aber mit Entschiedenheit das Verhalten der Frauen, deren Sexualbetätigung ja wesentlich passiver Natur ist, d.h. durch die Behandlung von Seiten des Mannes bestimmt wird. Je temperamentvoller, also je geneigter zum Sexualverkehr und befähigter zur Befriedigung eine Frau ist, desto sicherer wird sie auf die Impotenz des Mannes oder auf den Coitus interruptus mit Angsterscheinungen reagieren, während solche Mißhandlung bei anästhetischen oder wenig libidinösen Frauen eine weit geringere Rolle spielt.</w:t>
      </w:r>
    </w:p>
    <w:p w:rsidR="00062BE4" w:rsidRPr="002F7766" w:rsidRDefault="00062BE4" w:rsidP="00062BE4">
      <w:pPr>
        <w:rPr>
          <w:rFonts w:ascii="Garamond" w:hAnsi="Garamond" w:cs="Arial"/>
          <w:lang w:val="en-GB"/>
        </w:rPr>
      </w:pPr>
      <w:r w:rsidRPr="002F7766">
        <w:rPr>
          <w:rFonts w:ascii="Garamond" w:hAnsi="Garamond" w:cs="Arial"/>
          <w:lang w:val="en-GB"/>
        </w:rPr>
        <w:t>Dieselbe Bedeutung für die Entstehung von Angstzuständen hat die jetzt von den Ärzten so warm empfohlene sexuelle Abstinenz natürlich nur dann, wenn die Libido, der die befriedigende Abfuhr versagt wird, entsprechend stark und nicht zum größten Teil durch Sublimierung erledigt ist. Die Entscheidung über den Krankheitserfolg liegt ja immer bei den quantitativen Faktoren. Auch wo nicht Krankheit sondern Charaktergestaltung in Betracht kommt, erkennt man leicht, daß sexuelle Einschränkung mit einer gewissen Ängstlichkeit und Bedenklichkeit Hand in Hand geht, während Unerschrockenheit und kecker Wagemut ein freies Gewährenlassen der sexuellen Bedürftigkeit mit sich bringen. So sehr sich diese Beziehungen durch mannigfache Kultureinflüsse abändern und komplizieren lassen, so bleibt es doch für den Durchschnitt der Menschen bestehen, daß die Angst mit der sexuellen Beschränkung zusammengehörig ist.</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Ich habe Ihnen noch lange nicht alle Beobachtungen mitgeteilt, die für die behauptete genetische Beziehung zwischen Libido und Angst sprechen. Dazu gehört z.B. noch der Einfluß gewisser Lebensphasen auf die Angsterkrankungen, denen man, wie der Pubertät und der Zeit der Menopause, eine erhebliche Steigerung in der Produktion der Libido zuschreiben darf. In manchen Zuständen von Aufregung kann man auch die Vermengung von Libido und Angst und die endliche Ersetzung der Libido durch die Angst direkt beobachten. Der Eindruck, den man von all diesen Tatsachen empfängt, ist ein zweifacher, erstens daß es sich um eine Anhäufung von Libido handelt, die von ihrer normalen Verwendung abgehalten wird, zweitens, daß man sich dabei durchaus auf dem Gebiete somatischer Vorgänge befindet. Wie aus der Libido die Angst entsteht, ist zunächst nicht ersichtlich; man stellt nur fest, daß Libido vermißt und an ihrer Statt Angst beobachtet wird.</w:t>
      </w:r>
    </w:p>
    <w:p w:rsidR="00062BE4" w:rsidRPr="002F7766" w:rsidRDefault="00062BE4" w:rsidP="00062BE4">
      <w:pPr>
        <w:rPr>
          <w:rFonts w:ascii="Garamond" w:hAnsi="Garamond" w:cs="Arial"/>
          <w:lang w:val="en-GB"/>
        </w:rPr>
      </w:pPr>
      <w:r w:rsidRPr="002F7766">
        <w:rPr>
          <w:rFonts w:ascii="Garamond" w:hAnsi="Garamond" w:cs="Arial"/>
          <w:i/>
          <w:iCs/>
          <w:lang w:val="en-GB"/>
        </w:rPr>
        <w:t>b)</w:t>
      </w:r>
      <w:r w:rsidRPr="002F7766">
        <w:rPr>
          <w:rFonts w:ascii="Garamond" w:hAnsi="Garamond" w:cs="Arial"/>
          <w:lang w:val="en-GB"/>
        </w:rPr>
        <w:t xml:space="preserve"> Einen zweiten Fingerzeig entnehmen wir aus der Analyse der Psychoneurosen, speziell der Hysterie. Wir haben gehört, daß bei dieser Affektion häufig Angst in Begleitung der Symptome auftritt, aber auch ungebundene Angst, die sich als Anfall oder als Dauerzustand äußert. Die Kranken wissen nicht zu sagen, wovor sie sich ängstigen, und verknüpfen sie durch eine unverkennbare sekundäre Bearbeitung mit den nächstliegenden Phobien, wie: Sterben, Verrücktwerden, Schlaganfall. Wenn wir die Situation, aus welcher die Angst oder von Angst begleitete Symptome hervorgegangen sind, der Analyse unterziehen, so können wir in der Regel angeben, welcher normale psychische Ablauf unterblieben ist und sich durch das Angstphänomen ersetzt hat. Drücken wir uns anders aus: Wir konstruieren den unbewußten Vorgang so, als ob er keine Verdrängung erfahren und sich ungehindert zum Bewußtsein fortgesetzt hätte. Dieser Vorgang wäre auch von einem bestimmten Affekt begleitet gewesen, und nun erfahren wir zu unserer Überraschung, daß dieser den normalen Ablauf begleitende Affekt nach der Verdrängung in jedem Falle durch Angst ersetzt wird, gleichgültig, was seine eigene Qualität ist. Wenn wir also einen hysterischen Angstzustand vor uns haben, so kann sein unbewußtes Korrelat eine Regung von ähnlichem Charakter sein, also von Angst, Scham, Verlegenheit, ebensowohl eine positiv libidinöse Erregung oder eine feindselig aggressive, wie Wut und Ärger. Die Angst ist also die allgemein gangbare Münze, gegen welche alle Affektregungen eingetauscht werden oder werden können, wenn der dazugehörige Vorstellungsinhalt der Verdrängung unterlegen ist.</w:t>
      </w:r>
    </w:p>
    <w:p w:rsidR="00062BE4" w:rsidRPr="002F7766" w:rsidRDefault="00062BE4" w:rsidP="00062BE4">
      <w:pPr>
        <w:rPr>
          <w:rFonts w:ascii="Garamond" w:hAnsi="Garamond" w:cs="Arial"/>
          <w:lang w:val="en-GB"/>
        </w:rPr>
      </w:pPr>
      <w:r w:rsidRPr="002F7766">
        <w:rPr>
          <w:rFonts w:ascii="Garamond" w:hAnsi="Garamond" w:cs="Arial"/>
          <w:i/>
          <w:iCs/>
          <w:lang w:val="en-GB"/>
        </w:rPr>
        <w:t>c)</w:t>
      </w:r>
      <w:r w:rsidRPr="002F7766">
        <w:rPr>
          <w:rFonts w:ascii="Garamond" w:hAnsi="Garamond" w:cs="Arial"/>
          <w:lang w:val="en-GB"/>
        </w:rPr>
        <w:t xml:space="preserve"> Eine dritte Erfahrung machen wir bei den Kranken mit Zwangshandlungen, die in bemerkenswerter Weise von der Angst verschont zu sein scheinen. Wenn wir sie an der Ausführung ihrer Zwangshandlung, ihres Waschens, ihres Zeremoniells zu hindern versuchen, oder wenn sie selbst den Versuch wagen, einen ihrer Zwänge aufzugeben, so werden sie durch eine entsetzliche Angst zur Gefügigkeit gegen den Zwang genötigt. Wir verstehen, daß die Angst durch die Zwangshandlung gedeckt war und daß diese nur ausgeführt wurde, um die Angst zu ersparen. Es wird also bei der Zwangsneurose die Angst, die sich sonst einstellen müßte, durch Symptombildung ersetzt, und wenn wir uns zur Hysterie wenden, finden wir bei dieser Neurose eine ähnliche Beziehung: als Erfolg des Verdrängungsvorganges entweder reine Angstentwicklung oder Angst mit Symptombildung oder vollkommenere Symptombildung ohne Angst. Es schiene also in einem abstrakten Sinne nicht unrichtig zu sagen, daß Symptome überhaupt nur gebildet werden, um der sonst unvermeidlichen Angstentwicklung zu entgehen. Durch diese Auffassung wird die Angst gleichsam in den Mittelpunkt unseres Interesses für die Neurosenprobleme gerückt.</w:t>
      </w:r>
    </w:p>
    <w:p w:rsidR="00062BE4" w:rsidRPr="002F7766" w:rsidRDefault="00062BE4" w:rsidP="00062BE4">
      <w:pPr>
        <w:rPr>
          <w:rFonts w:ascii="Garamond" w:hAnsi="Garamond" w:cs="Arial"/>
          <w:lang w:val="en-GB"/>
        </w:rPr>
      </w:pPr>
      <w:r w:rsidRPr="002F7766">
        <w:rPr>
          <w:rFonts w:ascii="Garamond" w:hAnsi="Garamond" w:cs="Arial"/>
          <w:lang w:val="en-GB"/>
        </w:rPr>
        <w:t xml:space="preserve">Aus den Beobachtungen an der Angstneurose hatten wir geschlossen, daß die Ablenkung der Libido von ihrer normalen Verwendung, welche die Angst entstehen läßt, auf dem Boden der somatischen Vorgänge erfolgt. Aus den Analysen der Hysterie und der Zwangsneurose ergibt sich der Zusatz, daß die nämliche Ablenkung mit demselben Ergebnis auch die Wirkung einer Verweigerung der psychischen Instanzen sein kann. Soviel wissen wir also über die Entstehung der neurotischen Angst; es klingt noch ziemlich unbestimmt. Ich sehe aber vorläufig keinen Weg, der weiterführen würde. Die zweite Aufgabe, die wir uns gestellt haben, die Herstellung einer Verbindung zwischen der neurotischen Angst, die abnorm verwendete Libido ist, und der Realangst, welche einer Reaktion auf die Gefahr entspricht, scheint noch </w:t>
      </w:r>
      <w:r w:rsidRPr="002F7766">
        <w:rPr>
          <w:rFonts w:ascii="Garamond" w:hAnsi="Garamond" w:cs="Arial"/>
          <w:lang w:val="en-GB"/>
        </w:rPr>
        <w:lastRenderedPageBreak/>
        <w:t>schwieriger lösbar. Man möchte glauben, es handle sich da um ganz disparate Dinge, und doch haben wir kein Mittel, Realangst und neurotische Angst in der Empfindung voneinander zu unterscheiden.</w:t>
      </w:r>
    </w:p>
    <w:p w:rsidR="00062BE4" w:rsidRPr="002F7766" w:rsidRDefault="00062BE4" w:rsidP="00062BE4">
      <w:pPr>
        <w:rPr>
          <w:rFonts w:ascii="Garamond" w:hAnsi="Garamond" w:cs="Arial"/>
          <w:lang w:val="en-GB"/>
        </w:rPr>
      </w:pPr>
      <w:r w:rsidRPr="002F7766">
        <w:rPr>
          <w:rFonts w:ascii="Garamond" w:hAnsi="Garamond" w:cs="Arial"/>
          <w:lang w:val="en-GB"/>
        </w:rPr>
        <w:t>Die gesuchte Verbindung stellt sich endlich her, wenn wir den oft behaupteten Gegensatz zwischen Ich und Libido zur Voraussetzung nehmen. Wie wir wissen, ist die Angstentwicklung die Reaktion des Ichs auf die Gefahr und das Signal für die Einleitung der Flucht; da liegt uns denn die Auffassung nahe, daß bei der neurotischen Angst das Ich einen ebensolchen Fluchtversuch vor dem Anspruch seiner Libido unternimmt, diese innere Gefahr so behandelt, als ob sie eine äußere wäre. Damit wäre die Erwartung erfüllt, daß dort, wo sich Angst zeigt, auch etwas vorhanden ist, wovor man sich ängstigt. Die Analogie ließe sich aber weiter fortführen. So wie der Fluchtversuch vor der äußeren Gefahr abgelöst wird durch Standhalten und zweckmäßige Maßnahmen zur Verteidigung, so weicht auch die neurotische Angstentwicklung der Symptombildung, welche eine Bindung der Angst herbeiführt.</w:t>
      </w:r>
    </w:p>
    <w:p w:rsidR="00062BE4" w:rsidRPr="002F7766" w:rsidRDefault="00062BE4" w:rsidP="00062BE4">
      <w:pPr>
        <w:rPr>
          <w:rFonts w:ascii="Garamond" w:hAnsi="Garamond" w:cs="Arial"/>
          <w:lang w:val="en-GB"/>
        </w:rPr>
      </w:pPr>
      <w:r w:rsidRPr="002F7766">
        <w:rPr>
          <w:rFonts w:ascii="Garamond" w:hAnsi="Garamond" w:cs="Arial"/>
          <w:lang w:val="en-GB"/>
        </w:rPr>
        <w:t>Die Schwierigkeit des Verständnisses liegt jetzt an anderer Stelle. Die Angst, welche eine Flucht des Ichs vor seiner Libido bedeutet, soll doch aus dieser Libido selbst hervorgegangen sein. Das ist undurchsichtig und enthält die Mahnung, nicht zu vergessen, daß die Libido einer Person doch im Grunde zu ihr gehört und sich ihr nicht wie etwas Äußerliches entgegenstellen kann. Es ist die topische Dynamik der Angstentwicklung, die uns noch dunkel ist, was für seelische Energien dabei ausgegeben werden und von welchen psychischen Systemen her. Ich kann Ihnen nicht versprechen, auch diese Frage zu beantworten, aber wir wollen es nicht unterlassen, zwei andere Spuren zu verfolgen und uns dabei wieder der direkten Beobachtung und der analytischen Forschung zu bedienen, um unserer Spekulation zu Hilfe zu kommen. Wir wenden uns zur Entstehung der Angst beim Kinde und zur Herkunft der neurotischen Angst, welche an Phobien gebunden ist.</w:t>
      </w:r>
    </w:p>
    <w:p w:rsidR="00062BE4" w:rsidRPr="002F7766" w:rsidRDefault="00062BE4" w:rsidP="00062BE4">
      <w:pPr>
        <w:rPr>
          <w:rFonts w:ascii="Garamond" w:hAnsi="Garamond" w:cs="Arial"/>
          <w:lang w:val="en-GB"/>
        </w:rPr>
      </w:pPr>
      <w:r w:rsidRPr="002F7766">
        <w:rPr>
          <w:rFonts w:ascii="Garamond" w:hAnsi="Garamond" w:cs="Arial"/>
          <w:lang w:val="en-GB"/>
        </w:rPr>
        <w:t>Die Ängstlichkeit der Kinder ist etwas sehr Gewöhnliches, und die Unterscheidung, ob sie neurotische oder Realangst ist, scheint recht schwierig. Ja, der Wert dieser Unterscheidung wird durch das Verhalten der Kinder in Frage gestellt. Denn einerseits verwundern wir uns nicht, wenn sich das Kind vor allen fremden Personen, neuen Situationen und Gegenständen ängstigt, und erklären uns diese Reaktion sehr leicht durch seine Schwäche und Unwissenheit. Wir schreiben also dem Kinde eine starke Neigung zur Realangst zu und würden es für ganz zweckmäßig ansehen, wenn es diese Ängstlichkeit als Erbschaft mitgebracht hätte. Das Kind würde hierin nur das Verhalten des Urmenschen und des heutigen Primitiven wiederholen, der infolge seiner Unwissenheit und Hilflosigkeit vor allem Neuen Angst hat und vor so viel Vertrautem, was uns heute keine Angst mehr einflößt. Auch entspräche es durchaus unserer Erwartung, wenn die Phobien des Kindes wenigstens zum Teil noch dieselben wären, die wir jenen Urzeiten der menschlichen Entwicklung zutrauen dürfen.</w:t>
      </w:r>
    </w:p>
    <w:p w:rsidR="00062BE4" w:rsidRPr="002F7766" w:rsidRDefault="00062BE4" w:rsidP="00062BE4">
      <w:pPr>
        <w:rPr>
          <w:rFonts w:ascii="Garamond" w:hAnsi="Garamond" w:cs="Arial"/>
          <w:lang w:val="en-GB"/>
        </w:rPr>
      </w:pPr>
      <w:r w:rsidRPr="002F7766">
        <w:rPr>
          <w:rFonts w:ascii="Garamond" w:hAnsi="Garamond" w:cs="Arial"/>
          <w:lang w:val="en-GB"/>
        </w:rPr>
        <w:t>Anderseits können wir nicht übersehen, daß nicht alle Kinder in gleichem Maße ängstlich sind und daß gerade die Kinder, welche eine besondere Scheu vor allen möglichen Objekten und Situationen äußern, sich späterhin als Nervöse erweisen. Die neurotische Disposition verrät sich also auch durch eine ausgesprochene Neigung zur Realangst, die Ängstlichkeit erscheint als das Primäre, und man gelangt zum Schlusse, das Kind und später der Heranwachsende ängstigen sich vor der Höhe ihrer Libido, weil sie sich eben vor allem ängstigen. Die Entstehung der Angst aus der Libido wäre hiemit abgelehnt, und wenn man den Bedingungen der Realangst nachforschte, gelangte man konsequent zu der Auffassung, daß das Bewußtsein der eigenen Schwäche und Hilflosigkeit Minderwertigkeit in der Terminologie von A.Adler auch der letzte Grund der Neurose ist, wenn es sich aus der Kinderzeit ins reifere Leben fortsetzen kann.</w:t>
      </w:r>
    </w:p>
    <w:p w:rsidR="00062BE4" w:rsidRPr="002F7766" w:rsidRDefault="00062BE4" w:rsidP="00062BE4">
      <w:pPr>
        <w:rPr>
          <w:rFonts w:ascii="Garamond" w:hAnsi="Garamond" w:cs="Arial"/>
          <w:lang w:val="en-GB"/>
        </w:rPr>
      </w:pPr>
      <w:r w:rsidRPr="002F7766">
        <w:rPr>
          <w:rFonts w:ascii="Garamond" w:hAnsi="Garamond" w:cs="Arial"/>
          <w:lang w:val="en-GB"/>
        </w:rPr>
        <w:t xml:space="preserve">Das klingt so einfach und bestechend, daß es ein Anrecht auf unsere Aufmerksamkeit hat. Es würde allerdings eine Verschiebung des Rätsels der Nervosität mit sich bringen. Der Fortbestand des Minderwertigkeitsgefühls und damit der Angstbedingung und der Symptombildung scheint so gut gesichert, daß es vielmehr einer Erklärung bedarf, wenn ausnahmsweise das, was wir als Gesundheit </w:t>
      </w:r>
      <w:r w:rsidRPr="002F7766">
        <w:rPr>
          <w:rFonts w:ascii="Garamond" w:hAnsi="Garamond" w:cs="Arial"/>
          <w:lang w:val="en-GB"/>
        </w:rPr>
        <w:lastRenderedPageBreak/>
        <w:t>kennen, zustande kommen sollte. Was läßt aber eine sorgfältige Beobachtung der Ängstlichkeit der Kinder erkennen? Das kleine Kind ängstigt sich zu allererst vor fremden Personen; Situationen werden erst dadurch bedeutsam, daß sie Personen enthalten, und Gegenstände kommen überhaupt erst später in Betracht. Vor diesen Fremden ängstigt sich das Kind aber nicht etwa darum, weil es ihnen böse Absichten zutraut und seine Schwäche mit deren Stärke vergleicht, sie also als Gefahren für seine Existenz, Sicherheit und Schmerzfreiheit agnosziert. Ein derart mißtrauisches, von dem weltbeherrschenden Aggressionstrieb geschrecktes Kind ist eine recht verunglückte theoretische Konstruktion. Sondern das Kind erschrickt vor der fremden Gestalt, weil es auf den Anblick der vertrauten und geliebten Person, im Grunde der Mutter, eingestellt ist. Es ist seine Enttäuschung und Sehnsucht, welche sich in Angst umsetzt, also unverwendbar gewordene Libido, die derzeit nicht in Schwebe gehalten werden kann, sondern als Angst abgeführt wird. Es kann auch kaum zufällig sein, daß in dieser für die kindliche Angst vorbildlichen Situation die Bedingung des ersten Angstzustandes während des Geburtsaktes, nämlich die Trennung von der Mutter, wiederholt wird.</w:t>
      </w:r>
    </w:p>
    <w:p w:rsidR="00062BE4" w:rsidRPr="002F7766" w:rsidRDefault="00062BE4" w:rsidP="00062BE4">
      <w:pPr>
        <w:rPr>
          <w:rFonts w:ascii="Garamond" w:hAnsi="Garamond" w:cs="Arial"/>
          <w:lang w:val="en-GB"/>
        </w:rPr>
      </w:pPr>
      <w:r w:rsidRPr="002F7766">
        <w:rPr>
          <w:rFonts w:ascii="Garamond" w:hAnsi="Garamond" w:cs="Arial"/>
          <w:lang w:val="en-GB"/>
        </w:rPr>
        <w:t>Die ersten Situationsphobien der Kinder sind die vor der Dunkelheit und der Einsamkeit; die erstere bleibt oft durchs Leben bestehen, beiden gemeinsam ist das Vermissen der geliebten Pflegeperson, der Mutter also. Ein Kind, das sich in der Dunkelheit ängstigte, hörte ich ins Nebenzimmer rufen: »Tante, sprich doch zu mir, ich fürchte mich.« »Aber was hast Du davon? Du siehst mich ja nicht«; darauf das Kind: »Wenn jemand spricht, wird es heller.« Die Sehnsucht in der Dunkelheit wird also zur Angst vor der Dunkelheit umgebildet. Weit entfernt, daß die neurotische Angst nur sekundär und ein Spezialfall der Realangst wäre, sehen wir vielmehr beim kleinen Kinde, daß sich etwas als Realangst gebärdet, was mit der neurotischen Angst den wesentlichen Zug der Entstehung aus unverwendeter Libido gemein hat. Von richtiger Realangst scheint das Kind wenig mitzubringen. In all den Situationen, die später die Bedingungen von Phobien werden können, auf Höhen, schmalen Stegen über dem Wasser, auf der Eisenbahnfahrt und im Schiff, zeigt das Kind keine Angst, und zwar um so weniger, je unwissender es ist. Es wäre sehr wünschenswert, wenn es mehr von solchen lebenschützenden Instinkten zur Erbschaft bekommen hätte; die Aufgabe der Überwachung, die es daran verhindern muß, sich einer Gefahr nach der anderen auszusetzen, wäre dadurch sehr erleichtert. In Wirklichkeit aber überschätzt das Kind anfänglich seine Kräfte und benimmt sich angstfrei, weil es die Gefahren nicht kennt. Es wird an den Rand des Wassers laufen, auf die Fensterbrüstung steigen, mit scharfen Gegenständen und mit dem Feuer spielen, kurz alles tun, was ihm Schaden bringen und seinen Pflegern Sorge bereiten muß. Es ist durchaus das Werk der Erziehung, wenn endlich die Realangst bei ihm erwacht, da man ihm nicht erlauben kann, die belehrende Erfahrung selbst zu machen.</w:t>
      </w:r>
    </w:p>
    <w:p w:rsidR="00062BE4" w:rsidRPr="002F7766" w:rsidRDefault="00062BE4" w:rsidP="00062BE4">
      <w:pPr>
        <w:rPr>
          <w:rFonts w:ascii="Garamond" w:hAnsi="Garamond" w:cs="Arial"/>
        </w:rPr>
      </w:pPr>
      <w:r w:rsidRPr="00062BE4">
        <w:rPr>
          <w:rFonts w:ascii="Garamond" w:hAnsi="Garamond" w:cs="Arial"/>
          <w:lang w:val="en-GB"/>
        </w:rPr>
        <w:t xml:space="preserve">Wenn es nun Kinder gibt, die dieser Erziehung zur Angst ein Stück weit entgegenkommen und die dann auch selbst Gefahren finden, vor denen man sie nicht gewarnt hat, so reicht für sie die Erklärung aus, daß sie ein größeres Maß von libidinöser Bedürftigkeit in ihrer Konstitution mitgebracht haben oder frühzeitig mit libidinöser Befriedigung verwöhnt worden sind. Kein Wunder, wenn sich unter diesen Kindern auch die späteren Nervösen befinden; wir wissen ja, die größte Erleichterung für die Entstehung einer Neurose liegt in der Unfähigkeit, eine ansehnlichere Libidostauung durch längere Zeit zu ertragen. </w:t>
      </w:r>
      <w:r w:rsidRPr="002F7766">
        <w:rPr>
          <w:rFonts w:ascii="Garamond" w:hAnsi="Garamond" w:cs="Arial"/>
        </w:rPr>
        <w:t>Sie merken, daß hier auch das konstitutionelle Moment zu seinem Recht kommt, dem wir seine Rechte ja nie bestreiten wollen. Wir verwahren uns nur dagegen, wenn jemand über diesem Anspruch alle anderen vernachlässigt und das konstitutionelle Moment auch dort einführt, wo es nach den vereinten Ergebnissen von Beobachtung und Analyse nicht hingehört oder an die letzte Stelle zu rücken hat.</w:t>
      </w:r>
    </w:p>
    <w:p w:rsidR="00062BE4" w:rsidRPr="002F7766" w:rsidRDefault="00062BE4" w:rsidP="00062BE4">
      <w:pPr>
        <w:rPr>
          <w:rFonts w:ascii="Garamond" w:hAnsi="Garamond" w:cs="Arial"/>
        </w:rPr>
      </w:pPr>
      <w:r w:rsidRPr="002F7766">
        <w:rPr>
          <w:rFonts w:ascii="Garamond" w:hAnsi="Garamond" w:cs="Arial"/>
        </w:rPr>
        <w:t>Lassen Sie uns aus den Beobachtungen über die Ängstlichkeit der Kinder die Summe ziehen: Die infantile Angst hat sehr wenig mit der Realangst zu schaffen, ist dagegen der neurotischen Angst der Erwachsenen nahe verwandt. Sie entsteht wie diese aus unverwendeter Libido und ersetzt das vermißte Liebesobjekt durch einen äußeren Gegenstand oder eine Situation.</w:t>
      </w:r>
    </w:p>
    <w:p w:rsidR="00062BE4" w:rsidRPr="002F7766" w:rsidRDefault="00062BE4" w:rsidP="00062BE4">
      <w:pPr>
        <w:rPr>
          <w:rFonts w:ascii="Garamond" w:hAnsi="Garamond" w:cs="Arial"/>
          <w:lang w:val="en-GB"/>
        </w:rPr>
      </w:pPr>
      <w:r w:rsidRPr="002F7766">
        <w:rPr>
          <w:rFonts w:ascii="Garamond" w:hAnsi="Garamond" w:cs="Arial"/>
        </w:rPr>
        <w:lastRenderedPageBreak/>
        <w:t xml:space="preserve">Nun werden Sie es gerne hören, daß uns die Analyse der </w:t>
      </w:r>
      <w:r w:rsidRPr="002F7766">
        <w:rPr>
          <w:rFonts w:ascii="Garamond" w:hAnsi="Garamond" w:cs="Arial"/>
          <w:i/>
          <w:iCs/>
        </w:rPr>
        <w:t>Phobien</w:t>
      </w:r>
      <w:r w:rsidRPr="002F7766">
        <w:rPr>
          <w:rFonts w:ascii="Garamond" w:hAnsi="Garamond" w:cs="Arial"/>
        </w:rPr>
        <w:t xml:space="preserve"> nicht mehr viel Neues zu lehren hat. Bei diesen geht nämlich dasselbe vor wie bei der Kinderangst; es wird unausgesetzt unverwendbare Libido in eine scheinbare Realangst umgewandelt und so eine winzige äußere Gefahr zur Vertretung der Libidoansprüche eingesetzt. Die Übereinstimmung hat nichts Befremdliches, denn die infantilen Phobien sind nicht nur das Vorbild für die späteren, die wir zur »Angsthysterie« rechnen, sondern die direkte Vorbedingung und das Vorspiel derselben. </w:t>
      </w:r>
      <w:r w:rsidRPr="002F7766">
        <w:rPr>
          <w:rFonts w:ascii="Garamond" w:hAnsi="Garamond" w:cs="Arial"/>
          <w:lang w:val="en-GB"/>
        </w:rPr>
        <w:t>Jede hysterische Phobie geht auf eine Kinderangst zurück und setzt sie fort, auch wenn sie einen anderen Inhalt hat und also anders benannt werden muß. Der Unterschied der beiden Affektionen liegt im Mechanismus. Beim Erwachsenen reicht es für die Verwandlung der Libido in Angst nicht mehr hin, daß die Libido als Sehnsucht augenblicklich unverwendbar geworden ist. Er hat es längst erlernt, solche Libido schwebend zu erhalten oder anders zu verwenden. Aber wenn die Libido einer psychischen Regung angehört, welche die Verdrängung erfahren hat, dann sind ähnliche Verhältnisse wiederhergestellt wie beim Kind, das noch keine Scheidung zwischen Bewußtem und Unbewußtem besitzt, und durch die Regression auf die infantile Phobie ist gleichsam der Paß eröffnet, über den sich die Verwandlung der Libido in Angst bequem vollziehen kann. Wir haben ja, wie Sie sich erinnern, viel von der Verdrängung gehandelt, aber dabei immer nur das Schicksal der zu verdrängenden Vorstellung verfolgt, natürlich weil dieses leichter zu erkennen und darzustellen war. Was mit dem Affekt geschieht, der an der verdrängten Vorstellung hing, das haben wir immer beiseite gelassen, und wir erfahren erst jetzt, daß es das nächste Schicksal dieses Affektes ist, in Angst verwandelt zu werden, in welcher Qualität immer er sich sonst bei normalem Ablauf gezeigt hätte. Diese Affektverwandlung ist aber das bei weitem wichtigere Stück des Verdrängungsvorganges. Es ist nicht so leicht davon zu reden, weil wir die Existenz unbewußter Affekte nicht in demselben Sinne behaupten können wie die unbewußter Vorstellungen. Eine Vorstellung bleibt bis auf einen Unterschied dasselbe, ob sie bewußt oder unbewußt ist; wir können angeben, was einer unbewußten Vorstellung entspricht. Ein Affekt aber ist ein Abfuhrvorgang, ganz anders zu beurteilen als eine Vorstellung; was ihm im Unbewußten entspricht, ist ohne tiefergehende Überlegungen und Klärung unserer Voraussetzungen über die psychischen Vorgänge nicht zu sagen. Das können wir hier nicht unternehmen. Wir wollen aber den Eindruck hochhalten, den wir nun gewonnen haben, daß die Angstentwicklung innig an das System des Unbewußten geknüpft ist.</w:t>
      </w:r>
    </w:p>
    <w:p w:rsidR="00062BE4" w:rsidRPr="002F7766" w:rsidRDefault="00062BE4" w:rsidP="00062BE4">
      <w:pPr>
        <w:rPr>
          <w:rFonts w:ascii="Garamond" w:hAnsi="Garamond" w:cs="Arial"/>
        </w:rPr>
      </w:pPr>
      <w:r w:rsidRPr="002F7766">
        <w:rPr>
          <w:rFonts w:ascii="Garamond" w:hAnsi="Garamond" w:cs="Arial"/>
          <w:lang w:val="en-GB"/>
        </w:rPr>
        <w:t xml:space="preserve">Ich sagte, die Verwandlung in Angst, besser: die Abfuhr in der Form der Angst, sei das nächste Schicksal der von der Verdrängung betroffenen Libido. Ich muß hinzufügen: nicht das einzige oder endgültige. Es sind bei den Neurosen Prozesse im Gange, welche sich bemühen, diese Angstentwicklung zu binden, und denen dies auch auf verschiedenen Wegen gelingt. Bei den Phobien z.B. kann man deutlich zwei Phasen des neurotischen Vorganges unterscheiden. Die erste besorgt die Verdrängung und die Überführung der Libido in Angst, welche an eine äußere Gefahr gebunden wird. Die zweite besteht in dem Aufbau all jener Vorsichten und Sicherungen, durch welche eine Berührung mit dieser wie eine Äußerlichkeit behandelten Gefahr vermieden werden soll. Die Verdrängung entspricht einem Fluchtversuch des Ichs vor der als Gefahr empfundenen Libido. Die Phobie kann man einer Verschanzung gegen die äußere Gefahr vergleichen, die nun die gefürchtete Libido vertritt. Die Schwäche des Verteidigungssystems bei den Phobien liegt natürlich darin, daß die Festung, die sich nach außen hin so verstärkt hat, von innen her angreifbar geblieben ist. </w:t>
      </w:r>
      <w:r w:rsidRPr="002F7766">
        <w:rPr>
          <w:rFonts w:ascii="Garamond" w:hAnsi="Garamond" w:cs="Arial"/>
        </w:rPr>
        <w:t xml:space="preserve">Die Projektion der Libidogefahr nach außen kann nie gut gelingen. </w:t>
      </w:r>
      <w:r w:rsidRPr="002F7766">
        <w:rPr>
          <w:rFonts w:ascii="Garamond" w:hAnsi="Garamond" w:cs="Arial"/>
          <w:lang w:val="en-GB"/>
        </w:rPr>
        <w:t xml:space="preserve">Bei den anderen Neurosen sind darum andere Systeme der Verteidigung gegen die Möglichkeit der Angstentwicklung im Gebrauch. </w:t>
      </w:r>
      <w:r w:rsidRPr="002F7766">
        <w:rPr>
          <w:rFonts w:ascii="Garamond" w:hAnsi="Garamond" w:cs="Arial"/>
        </w:rPr>
        <w:t>Das ist ein sehr interessantes Stück der Neurosenpsychologie, leider führt es uns zu weit und setzt gründlichere Spezialkenntnisse voraus. Ich will nur noch eines beifügen. Ich habe Ihnen doch bereits von der »Gegenbesetzung« gesprochen, die das Ich bei einer Verdrängung aufwendet und dauernd unterhalten muß, damit die Verdrängung Bestand habe. Dieser Gegenbesetzung fällt die Aufgabe zu, die verschiedenen Formen der Verteidigung gegen die Angstentwicklung nach der Verdrängung durchzuführen.</w:t>
      </w:r>
    </w:p>
    <w:p w:rsidR="00062BE4" w:rsidRPr="002F7766" w:rsidRDefault="00062BE4" w:rsidP="00062BE4">
      <w:pPr>
        <w:rPr>
          <w:rFonts w:ascii="Garamond" w:hAnsi="Garamond" w:cs="Arial"/>
          <w:lang w:val="en-GB"/>
        </w:rPr>
      </w:pPr>
      <w:r w:rsidRPr="002F7766">
        <w:rPr>
          <w:rFonts w:ascii="Garamond" w:hAnsi="Garamond" w:cs="Arial"/>
        </w:rPr>
        <w:lastRenderedPageBreak/>
        <w:t xml:space="preserve">Kehren wir zu den Phobien zurück. Ich darf nun sagen, Sie sehen ein, wie unzureichend es ist, wenn man an ihnen nur den Inhalt erklären will, sich für nichts anderes interessiert, als woher es kommt, daß dies oder jenes Objekt oder eine beliebige Situation zum Gegenstand der Phobie gemacht wird. Der Inhalt einer Phobie hat für diese ungefähr dieselbe Bedeutung wie die manifeste Traumfassade für den Traum. Es ist mit den notwendigen Einschränkungen zuzugeben, daß unter diesen Inhalten der Phobien sich manche befinden, die, wie Stanley Hall hervorhebt, durch phylogenetische Erbschaft zu Angstobjekten geeignet sind. </w:t>
      </w:r>
      <w:r w:rsidRPr="002F7766">
        <w:rPr>
          <w:rFonts w:ascii="Garamond" w:hAnsi="Garamond" w:cs="Arial"/>
          <w:lang w:val="en-GB"/>
        </w:rPr>
        <w:t>Ja es stimmt dazu, daß viele dieser Angstdinge ihre Verbindung mit der Gefahr nur durch eine symbolische Beziehung herstellen können.</w:t>
      </w:r>
    </w:p>
    <w:p w:rsidR="00062BE4" w:rsidRPr="002F7766" w:rsidRDefault="00062BE4" w:rsidP="00062BE4">
      <w:pPr>
        <w:rPr>
          <w:rFonts w:ascii="Garamond" w:hAnsi="Garamond" w:cs="Arial"/>
          <w:lang w:val="en-GB"/>
        </w:rPr>
      </w:pPr>
      <w:r w:rsidRPr="002F7766">
        <w:rPr>
          <w:rFonts w:ascii="Garamond" w:hAnsi="Garamond" w:cs="Arial"/>
          <w:lang w:val="en-GB"/>
        </w:rPr>
        <w:t>Wir haben uns so überzeugt, welche geradezu zentral zu nennende Stelle das Angstproblem in den Fragen der Neurosenpsychologie einnimmt. Wir haben einen starken Eindruck davon empfangen, wie die Angstentwicklung mit den Schicksalen der Libido und dem System des Unbewußten verknüpft ist. Nur einen Punkt empfanden wir als unverbunden, als eine Lücke in unserer Auffassung, die eine doch schwer bestreitbare Tatsache, daß die Realangst als eine Äußerung der Selbsterhaltungstriebe des Ichs gewertet werden muß.</w:t>
      </w:r>
    </w:p>
    <w:p w:rsidR="00062BE4" w:rsidRDefault="00062BE4" w:rsidP="00062BE4">
      <w:pPr>
        <w:rPr>
          <w:rFonts w:ascii="Garamond" w:hAnsi="Garamond" w:cs="Arial"/>
          <w:b/>
          <w:bCs/>
          <w:lang w:val="en-GB"/>
        </w:rPr>
      </w:pPr>
      <w:r>
        <w:rPr>
          <w:rFonts w:ascii="Garamond" w:hAnsi="Garamond" w:cs="Arial"/>
          <w:b/>
          <w:bCs/>
          <w:lang w:val="en-GB"/>
        </w:rPr>
        <w:br w:type="page"/>
      </w:r>
      <w:hyperlink w:anchor="Vorlesungen_Inhalt" w:history="1">
        <w:r w:rsidRPr="009C5A67">
          <w:rPr>
            <w:rStyle w:val="Lienhypertexte"/>
            <w:rFonts w:ascii="Garamond" w:hAnsi="Garamond" w:cs="Arial"/>
            <w:b/>
            <w:bCs/>
            <w:lang w:val="en-GB"/>
          </w:rPr>
          <w:t>26. Vo</w:t>
        </w:r>
        <w:bookmarkStart w:id="293" w:name="Vorlesungen_26"/>
        <w:bookmarkEnd w:id="293"/>
        <w:r w:rsidRPr="009C5A67">
          <w:rPr>
            <w:rStyle w:val="Lienhypertexte"/>
            <w:rFonts w:ascii="Garamond" w:hAnsi="Garamond" w:cs="Arial"/>
            <w:b/>
            <w:bCs/>
            <w:lang w:val="en-GB"/>
          </w:rPr>
          <w:t>rlesung. Die Libidotheorie und der Narzißmus</w:t>
        </w:r>
      </w:hyperlink>
    </w:p>
    <w:p w:rsidR="00062BE4" w:rsidRPr="002F7766" w:rsidRDefault="00062BE4" w:rsidP="00062BE4">
      <w:pPr>
        <w:rPr>
          <w:rFonts w:ascii="Garamond" w:hAnsi="Garamond" w:cs="Arial"/>
          <w:b/>
          <w:bCs/>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Wir haben wiederholt und erst vor kurzem wieder mit der Sonderung der Ichtriebe und der Sexualtriebe zu tun gehabt. Zuerst hat uns die Verdrängung gezeigt, daß die beiden in Gegensatz zueinander treten können, daß dann die Sexualtriebe formell unterliegen und genötigt sind, sich auf regressiven Umwegen Befriedigung zu holen, wobei sie dann in ihrer Unbezwingbarkeit eine Entschädigung für ihre Niederlage finden. Sodann haben wir gelernt, daß die beiden von Anfang an ein verschiedenes Verhältnis zur Erzieherin Not haben, so daß sie nicht dieselbe Entwicklung durchmachen und nicht in die nämliche Beziehung zum Realitätsprinzip geraten. Endlich glauben wir zu erkennen, daß die Sexualtriebe durch weit engere Bande mit dem Affektzustand der Angst verknüpft sind als die Ichtriebe, ein Resultat, welches nur noch in einem wichtigen Punkte unvollständig erscheint. Wir wollen darum zu seiner Verstärkung noch die bemerkenswerte Tatsache heranziehen, daß die Unbefriedigung von Hunger und Durst, der zwei elementarsten Selbsterhaltungstriebe, niemals deren Umschlag in Angst zur Folge hat, während die Umsetzung von unbefriedigter Libido in Angst, wie wir gehört haben, zu den bestbekannten und am häufigsten beobachteten Phänomenen gehört.</w:t>
      </w:r>
    </w:p>
    <w:p w:rsidR="00062BE4" w:rsidRPr="002F7766" w:rsidRDefault="00062BE4" w:rsidP="00062BE4">
      <w:pPr>
        <w:rPr>
          <w:rFonts w:ascii="Garamond" w:hAnsi="Garamond" w:cs="Arial"/>
          <w:lang w:val="en-GB"/>
        </w:rPr>
      </w:pPr>
      <w:r w:rsidRPr="002F7766">
        <w:rPr>
          <w:rFonts w:ascii="Garamond" w:hAnsi="Garamond" w:cs="Arial"/>
          <w:lang w:val="en-GB"/>
        </w:rPr>
        <w:t>An unserem guten Recht, Ich- und Sexualtriebe zu sondern, kann doch wohl nicht gerüttelt werden. Es ist ja mit der Existenz des Sexuallebens als einer besonderen Betätigung des Individuums gegeben. Es kann sich nur fragen, welche Bedeutung wir dieser Sonderung beilegen, für wie tief einschneidend wir sie halten wollen. Die Beantwortung dieser Frage wird sich aber nach dem Ergebnis der Feststellung richten, inwiefern sich die Sexualtriebe in ihren somatischen und seelischen Äußerungen anders verhalten als die anderen, die wir ihnen gegenüberstellen, und wie bedeutsam die Folgen sind, die sich aus diesen Differenzen ergeben. Eine übrigens nicht recht faßbare Wesensverschiedenheit der beiden Triebgruppen zu behaupten, dazu fehlt uns natürlich jedes Motiv. Beide treten uns nur als Benennungen für Energiequellen des Individuums entgegen, und die Diskussion, ob sie im Grunde eins oder wesensverschieden sind, und wenn eines, wann sie sich voneinander getrennt haben, kann nicht an den Begriffen geführt werden, sondern muß sich an die biologischen Tatsachen hinter ihnen halten. Darüber wissen wir vorläufig zu wenig, und wüßten wir selbst mehr, es käme für unsere analytische Aufgabe nicht in Betracht.</w:t>
      </w:r>
    </w:p>
    <w:p w:rsidR="00062BE4" w:rsidRPr="002F7766" w:rsidRDefault="00062BE4" w:rsidP="00062BE4">
      <w:pPr>
        <w:rPr>
          <w:rFonts w:ascii="Garamond" w:hAnsi="Garamond" w:cs="Arial"/>
          <w:lang w:val="en-GB"/>
        </w:rPr>
      </w:pPr>
      <w:r w:rsidRPr="002F7766">
        <w:rPr>
          <w:rFonts w:ascii="Garamond" w:hAnsi="Garamond" w:cs="Arial"/>
          <w:lang w:val="en-GB"/>
        </w:rPr>
        <w:t>Wir profitieren offenbar auch sehr wenig, wenn wir nach dem Vorgang von Jung die uranfängliche Einheit aller Triebe betonen und die in allem sich äußernde Energie »Libido« nennen. Da sich die Sexualfunktion durch keinerlei Kunststück aus dem Seelenleben eliminieren läßt, sehen wir uns dann genötigt, von sexueller und von asexueller Libido zu sprechen. Der Name Libido bleibt aber mit Recht für die Triebkräfte des Sexuallebens vorbehalten, wie wir es bisher geübt haben.</w:t>
      </w:r>
    </w:p>
    <w:p w:rsidR="00062BE4" w:rsidRPr="002F7766" w:rsidRDefault="00062BE4" w:rsidP="00062BE4">
      <w:pPr>
        <w:rPr>
          <w:rFonts w:ascii="Garamond" w:hAnsi="Garamond" w:cs="Arial"/>
          <w:lang w:val="en-GB"/>
        </w:rPr>
      </w:pPr>
      <w:r w:rsidRPr="002F7766">
        <w:rPr>
          <w:rFonts w:ascii="Garamond" w:hAnsi="Garamond" w:cs="Arial"/>
          <w:lang w:val="en-GB"/>
        </w:rPr>
        <w:t xml:space="preserve">Ich meine also, die Frage, wie weit die unzweifelhaft berechtigte Sonderung von Sexual- und Selbsterhaltungstrieben fortzusetzen ist, hat für die Psychoanalyse nicht viel Belang; sie ist auch nicht kompetent dafür. Von Seiten der Biologie ergeben sich allerdings verschiedene Anhaltspunkte dafür, daß sie etwas Wichtiges bedeutet. Die Sexualität ist ja die einzige Funktion des lebenden Organismus, welche über das Individuum hinausgeht und seine Anknüpfung an die Gattung besorgt. Es ist unverkennbar, daß ihre Ausübung dem Einzelwesen nicht immer Nutzen bringt wie seine anderen Leistungen, sondern ihn um den Preis einer ungewöhnlich hohen Lust in Gefahren bringt, die sein Leben bedrohen und es oft genug verwirken. Es werden auch wahrscheinlich ganz besondere, von allen anderen abweichende Stoffwechselvorgänge erforderlich sein, um einen Anteil des individuellen Lebens als Disposition für die Nachkommenschaft zu erhalten. Und endlich ist das Einzelwesen, das sich selbst als Hauptsache und seine Sexualität als ein Mittel zu seiner Befriedigung wie andere betrachtet, in biologischer Anschauung </w:t>
      </w:r>
      <w:r w:rsidRPr="002F7766">
        <w:rPr>
          <w:rFonts w:ascii="Garamond" w:hAnsi="Garamond" w:cs="Arial"/>
          <w:lang w:val="en-GB"/>
        </w:rPr>
        <w:lastRenderedPageBreak/>
        <w:t>nur eine Episode in einer Generationsreihe, ein kurzlebiges Anhängsel an ein mit virtueller Unsterblichkeit begabtes Keimplasma, gleichsam der zeitweilige Inhaber eines ihn überdauernden Fideikommisses.</w:t>
      </w:r>
    </w:p>
    <w:p w:rsidR="00062BE4" w:rsidRPr="002F7766" w:rsidRDefault="00062BE4" w:rsidP="00062BE4">
      <w:pPr>
        <w:rPr>
          <w:rFonts w:ascii="Garamond" w:hAnsi="Garamond" w:cs="Arial"/>
          <w:lang w:val="en-GB"/>
        </w:rPr>
      </w:pPr>
      <w:r w:rsidRPr="002F7766">
        <w:rPr>
          <w:rFonts w:ascii="Garamond" w:hAnsi="Garamond" w:cs="Arial"/>
          <w:lang w:val="en-GB"/>
        </w:rPr>
        <w:t>Indes braucht es für die psychoanalytische Aufklärung der Neurosen nicht so weitreichender Gesichtspunkte. Mit Hilfe der gesonderten Verfolgung von Sexual- und Ichtrieben haben wir den Schlüssel zum Verständnis der Gruppe der Übertragungsneurosen gewonnen. Wir konnten sie auf die grundlegende Situation zurückführen, daß die Sexualtriebe in Zwist mit den Erhaltungstrieben geraten oder biologisch wenn auch ungenauer ausgedrückt, daß die eine Position des Ichs als selbständiges Einzelwesen mit der anderen als Glied einer Generationsreihe in Widerstreit tritt. Zu solcher Entzweiung kommt es vielleicht nur beim Menschen, und darum mag im ganzen und großen die Neurose sein Vorrecht vor den Tieren sein. Die überstarke Entwicklung seiner Libido und die vielleicht gerade dadurch ermöglichte Ausbildung eines reich gegliederten Seelenlebens scheinen die Bedingungen für die Entstehung eines solchen Konflikts geschaffen zu haben. Es ist ohne weiteres ersichtlich, daß dies auch die Bedingungen der großen Fortschritte sind, die der Mensch über seine Gemeinschaft mit den Tieren hinaus gemacht hat, so daß seine Fähigkeit zur Neurose nur die Kehrseite seiner sonstigen Begabung wäre. Aber auch das sind nur Spekulationen, die uns von unserer nächsten Aufgabe ablenken.</w:t>
      </w:r>
    </w:p>
    <w:p w:rsidR="00062BE4" w:rsidRPr="002F7766" w:rsidRDefault="00062BE4" w:rsidP="00062BE4">
      <w:pPr>
        <w:rPr>
          <w:rFonts w:ascii="Garamond" w:hAnsi="Garamond" w:cs="Arial"/>
          <w:lang w:val="en-GB"/>
        </w:rPr>
      </w:pPr>
      <w:r w:rsidRPr="002F7766">
        <w:rPr>
          <w:rFonts w:ascii="Garamond" w:hAnsi="Garamond" w:cs="Arial"/>
          <w:lang w:val="en-GB"/>
        </w:rPr>
        <w:t xml:space="preserve">Es war bisher die Voraussetzung unserer Arbeit, daß wir Ich- und Sexualtriebe nach ihren Äußerungen voneinander unterscheiden können. Bei Übertragungsneurosen gelang dies ohne Schwierigkeit. Wir nannten die Energiebesetzungen, die das Ich den Objekten seiner Sexualstrebungen zuwendet, » </w:t>
      </w:r>
      <w:r w:rsidRPr="002F7766">
        <w:rPr>
          <w:rFonts w:ascii="Garamond" w:hAnsi="Garamond" w:cs="Arial"/>
          <w:i/>
          <w:iCs/>
          <w:lang w:val="en-GB"/>
        </w:rPr>
        <w:t>Libido</w:t>
      </w:r>
      <w:r w:rsidRPr="002F7766">
        <w:rPr>
          <w:rFonts w:ascii="Garamond" w:hAnsi="Garamond" w:cs="Arial"/>
          <w:lang w:val="en-GB"/>
        </w:rPr>
        <w:t xml:space="preserve">«, alle anderen, die von den Selbsterhaltungstrieben ausgeschickt werden, » </w:t>
      </w:r>
      <w:r w:rsidRPr="002F7766">
        <w:rPr>
          <w:rFonts w:ascii="Garamond" w:hAnsi="Garamond" w:cs="Arial"/>
          <w:i/>
          <w:iCs/>
          <w:lang w:val="en-GB"/>
        </w:rPr>
        <w:t>Interesse</w:t>
      </w:r>
      <w:r w:rsidRPr="002F7766">
        <w:rPr>
          <w:rFonts w:ascii="Garamond" w:hAnsi="Garamond" w:cs="Arial"/>
          <w:lang w:val="en-GB"/>
        </w:rPr>
        <w:t>« und konnten uns durch die Verfolgung der Libidobesetzungen, ihrer Umwandlungen und ihrer endlichen Schicksale eine erste Einsicht in das Getriebe der seelischen Kräfte verschaffen. Die Übertragungsneurosen boten uns hierfür den günstigsten Stoff. Das Ich aber, seine Zusammensetzung aus verschiedenen Organisationen, deren Aufbau und Funktionsweise, blieb uns verhüllt, und wir durften vermuten, daß erst die Analyse anderer neurotischer Störungen uns diese Einsicht bringen könnte.</w:t>
      </w:r>
    </w:p>
    <w:p w:rsidR="00062BE4" w:rsidRPr="002F7766" w:rsidRDefault="00062BE4" w:rsidP="00062BE4">
      <w:pPr>
        <w:rPr>
          <w:rFonts w:ascii="Garamond" w:hAnsi="Garamond" w:cs="Arial"/>
          <w:lang w:val="en-GB"/>
        </w:rPr>
      </w:pPr>
      <w:r w:rsidRPr="002F7766">
        <w:rPr>
          <w:rFonts w:ascii="Garamond" w:hAnsi="Garamond" w:cs="Arial"/>
          <w:lang w:val="en-GB"/>
        </w:rPr>
        <w:t xml:space="preserve">Wir haben frühzeitig damit begonnen, die psychoanalytischen Anschauungen auf diese anderen Affektionen auszudehnen. Schon 1908 sprach K.Abraham nach einem Gedankenaustausch mit mir den Satz aus, es sei der Hauptcharakter der (zu den Psychosen gerechneten) Dementia praecox, </w:t>
      </w:r>
      <w:r w:rsidRPr="002F7766">
        <w:rPr>
          <w:rFonts w:ascii="Garamond" w:hAnsi="Garamond" w:cs="Arial"/>
          <w:i/>
          <w:iCs/>
          <w:lang w:val="en-GB"/>
        </w:rPr>
        <w:t>daß ihr die Libidobesetzung der Objekte abgehe</w:t>
      </w:r>
      <w:r w:rsidRPr="002F7766">
        <w:rPr>
          <w:rFonts w:ascii="Garamond" w:hAnsi="Garamond" w:cs="Arial"/>
          <w:lang w:val="en-GB"/>
        </w:rPr>
        <w:t xml:space="preserve">. (Die psychosexuellen Differenzen der Hysterie und der Dementia praecox.) Dann erhob sich aber die Frage, was geschieht mit der von den Objekten abgewandten Libido der Dementen? Abraham zögerte nicht, die Antwort zu geben: sie wird auf das Ich zurückgewandt, und </w:t>
      </w:r>
      <w:r w:rsidRPr="002F7766">
        <w:rPr>
          <w:rFonts w:ascii="Garamond" w:hAnsi="Garamond" w:cs="Arial"/>
          <w:i/>
          <w:iCs/>
          <w:lang w:val="en-GB"/>
        </w:rPr>
        <w:t>diese reflexive Rückwendung ist die Quelle des Größenwahns</w:t>
      </w:r>
      <w:r w:rsidRPr="002F7766">
        <w:rPr>
          <w:rFonts w:ascii="Garamond" w:hAnsi="Garamond" w:cs="Arial"/>
          <w:lang w:val="en-GB"/>
        </w:rPr>
        <w:t xml:space="preserve"> der Dementia praecox. Der Größenwahn ist durchaus der im Liebesleben bekannten Sexualüberschätzung des Objektes zu vergleichen. Wir haben so zum erstenmal einen Zug einer psychotischen Affektion durch die Beziehung auf das normale Liebesleben verstehen gelernt.</w:t>
      </w:r>
    </w:p>
    <w:p w:rsidR="00062BE4" w:rsidRPr="002F7766" w:rsidRDefault="00062BE4" w:rsidP="00062BE4">
      <w:pPr>
        <w:rPr>
          <w:rFonts w:ascii="Garamond" w:hAnsi="Garamond" w:cs="Arial"/>
          <w:lang w:val="en-GB"/>
        </w:rPr>
      </w:pPr>
      <w:r w:rsidRPr="002F7766">
        <w:rPr>
          <w:rFonts w:ascii="Garamond" w:hAnsi="Garamond" w:cs="Arial"/>
          <w:lang w:val="en-GB"/>
        </w:rPr>
        <w:t xml:space="preserve">Ich sage es Ihnen gleich, diese ersten Auffassungen von Abraham haben sich in der Psychoanalyse erhalten und sind die Grundlage für unsere Stellungnahme zu den Psychosen geworden. Man machte sich also langsam mit der Vorstellung vertraut, daß die Libido, die wir an den Objekten haftend finden, die der Ausdruck eines Bestrebens ist, an diesen Objekten eine Befriedigung zu gewinnen, auch von diesen Objekten ablassen und an ihrer Statt das eigene Ich setzen kann, und man baute diese Vorstellung allmählich immer konsequenter aus. Den Namen für diese Unterbringung der Libido </w:t>
      </w:r>
      <w:r w:rsidRPr="002F7766">
        <w:rPr>
          <w:rFonts w:ascii="Garamond" w:hAnsi="Garamond" w:cs="Arial"/>
          <w:i/>
          <w:iCs/>
          <w:lang w:val="en-GB"/>
        </w:rPr>
        <w:t>Narzißmus</w:t>
      </w:r>
      <w:r w:rsidRPr="002F7766">
        <w:rPr>
          <w:rFonts w:ascii="Garamond" w:hAnsi="Garamond" w:cs="Arial"/>
          <w:lang w:val="en-GB"/>
        </w:rPr>
        <w:t xml:space="preserve"> entlehnten wir einer von P.Näcke beschriebenen Perversion, bei welcher das erwachsene Individuum den eigenen Leib mit all den Zärtlichkeiten bedenkt, die man sonst für ein fremdes Sexualobjekt aufwendet.</w:t>
      </w:r>
    </w:p>
    <w:p w:rsidR="00062BE4" w:rsidRPr="002F7766" w:rsidRDefault="00062BE4" w:rsidP="00062BE4">
      <w:pPr>
        <w:rPr>
          <w:rFonts w:ascii="Garamond" w:hAnsi="Garamond" w:cs="Arial"/>
          <w:lang w:val="en-GB"/>
        </w:rPr>
      </w:pPr>
      <w:r w:rsidRPr="002F7766">
        <w:rPr>
          <w:rFonts w:ascii="Garamond" w:hAnsi="Garamond" w:cs="Arial"/>
          <w:lang w:val="en-GB"/>
        </w:rPr>
        <w:t xml:space="preserve">Man sagt sich dann alsbald, wenn es eine solche Fixierung der Libido an den eigenen Leib und die eigene Person anstatt an ein Objekt gibt, so kann dies kein ausnahmsweises und kein geringfügiges Vorkommnis sein. Es ist vielmehr wahrscheinlich, daß dieser Narzißmus der allgemeine und ursprüngliche Zustand ist, </w:t>
      </w:r>
      <w:r w:rsidRPr="002F7766">
        <w:rPr>
          <w:rFonts w:ascii="Garamond" w:hAnsi="Garamond" w:cs="Arial"/>
          <w:lang w:val="en-GB"/>
        </w:rPr>
        <w:lastRenderedPageBreak/>
        <w:t xml:space="preserve">aus welchem sich erst später die Objektliebe herausbildete, ohne daß darum der Narzißmus zu verschwinden brauchte. Man mußte sich ja aus der Entwicklungsgeschichte der Objektlibido daran erinnern, daß viele Sexualtriebe sich anfänglich am eigenen Körper, wie wir sagen: </w:t>
      </w:r>
      <w:r w:rsidRPr="002F7766">
        <w:rPr>
          <w:rFonts w:ascii="Garamond" w:hAnsi="Garamond" w:cs="Arial"/>
          <w:i/>
          <w:iCs/>
          <w:lang w:val="en-GB"/>
        </w:rPr>
        <w:t>autoerotisch</w:t>
      </w:r>
      <w:r w:rsidRPr="002F7766">
        <w:rPr>
          <w:rFonts w:ascii="Garamond" w:hAnsi="Garamond" w:cs="Arial"/>
          <w:lang w:val="en-GB"/>
        </w:rPr>
        <w:t xml:space="preserve"> befriedigen und daß diese Fähigkeit zum Autoerotismus das Zurückbleiben der Sexualität in der Erziehung zum Realitätsprinzip begründet. So war also der Autoerotismus die Sexualbetätigung des narzißtischen Stadiums der Libidounterbringung.</w:t>
      </w:r>
    </w:p>
    <w:p w:rsidR="00062BE4" w:rsidRPr="002F7766" w:rsidRDefault="00062BE4" w:rsidP="00062BE4">
      <w:pPr>
        <w:rPr>
          <w:rFonts w:ascii="Garamond" w:hAnsi="Garamond" w:cs="Arial"/>
          <w:lang w:val="en-GB"/>
        </w:rPr>
      </w:pPr>
      <w:r w:rsidRPr="002F7766">
        <w:rPr>
          <w:rFonts w:ascii="Garamond" w:hAnsi="Garamond" w:cs="Arial"/>
          <w:lang w:val="en-GB"/>
        </w:rPr>
        <w:t xml:space="preserve">Um es kurz zu fassen, wir machten uns von dem Verhältnis der Ichlibido zur Objektlibido eine Vorstellung, die ich Ihnen durch ein Gleichnis aus der Zoologie veranschaulichen kann. Denken Sie an jene einfachsten Lebewesen, die aus einem wenig differenzierten Klümpchen protoplasmatischer Substanz bestehen. </w:t>
      </w:r>
      <w:r w:rsidRPr="002F7766">
        <w:rPr>
          <w:rFonts w:ascii="Garamond" w:hAnsi="Garamond" w:cs="Arial"/>
        </w:rPr>
        <w:t xml:space="preserve">Sie strecken Fortsätze aus, Pseudopodien genannt, in welche sie ihre Leibessubstanz hinüberfließen lassen. </w:t>
      </w:r>
      <w:r w:rsidRPr="002F7766">
        <w:rPr>
          <w:rFonts w:ascii="Garamond" w:hAnsi="Garamond" w:cs="Arial"/>
          <w:lang w:val="en-GB"/>
        </w:rPr>
        <w:t>Sie können diese Fortsätze aber auch wieder einziehen und sich zum Klumpen ballen. Das Ausstrecken der Fortsätze vergleichen wir nun der Aussendung von Libido auf die Objekte, während die Hauptmenge der Libido im Ich verbleiben kann, und wir nehmen an, daß unter normalen Verhältnissen Ichlibido ungehindert in Objektlibido umgesetzt und diese wieder ins Ich aufgenommen werden kann.</w:t>
      </w:r>
    </w:p>
    <w:p w:rsidR="00062BE4" w:rsidRPr="002F7766" w:rsidRDefault="00062BE4" w:rsidP="00062BE4">
      <w:pPr>
        <w:rPr>
          <w:rFonts w:ascii="Garamond" w:hAnsi="Garamond" w:cs="Arial"/>
          <w:lang w:val="en-GB"/>
        </w:rPr>
      </w:pPr>
      <w:r w:rsidRPr="002F7766">
        <w:rPr>
          <w:rFonts w:ascii="Garamond" w:hAnsi="Garamond" w:cs="Arial"/>
          <w:lang w:val="en-GB"/>
        </w:rPr>
        <w:t>Mit Hilfe dieser Vorstellungen können wir nun eine ganze Anzahl von seelischen Zuständen erklären oder, bescheidener ausgedrückt, in der Sprache der Libidotheorie beschreiben, Zustände, die wir dem normalen Leben zurechnen müssen, wie das psychische Verhalten in der Verliebtheit, bei organischem Kranksein, im Schlaf. Wir haben für den Schlafzustand die Annahme gemacht, daß er auf Abwendung von der Außenwelt und Einstellung auf den Schlafwunsch beruhe. Was sich als nächtliche Seelentätigkeit im Traume äußerte, fanden wir im Dienste eines Schlafwunsches und überdies von durchaus egoistischen Motiven beherrscht. Wir führen jetzt im Sinne der Libidotheorie aus, daß der Schlaf ein Zustand ist, in welchem alle Objektbesetzungen, die libidinösen ebensowohl wie die egoistischen, aufgegeben und ins Ich zurückgezogen werden. Ob damit nicht ein neues Licht auf die Erholung durch den Schlaf und auf die Natur der Ermüdung überhaupt geworfen wird? Das Bild der seligen Isolierung im Intrauterinleben, welches uns der Schlafende allnächtlich wieder heraufbeschwört, wird so auch nach der psychischen Seite vervollständigt. Beim Schlafenden hat sich der Urzustand der Libidoverteilung wiederhergestellt, der volle Narzißmus, bei dem Libido und Ichinteresse noch vereint und ununterscheidbar in dem sich selbst genügenden Ich wohnen.</w:t>
      </w:r>
    </w:p>
    <w:p w:rsidR="00062BE4" w:rsidRPr="002F7766" w:rsidRDefault="00062BE4" w:rsidP="00062BE4">
      <w:pPr>
        <w:rPr>
          <w:rFonts w:ascii="Garamond" w:hAnsi="Garamond" w:cs="Arial"/>
          <w:lang w:val="en-GB"/>
        </w:rPr>
      </w:pPr>
      <w:r w:rsidRPr="002F7766">
        <w:rPr>
          <w:rFonts w:ascii="Garamond" w:hAnsi="Garamond" w:cs="Arial"/>
          <w:lang w:val="en-GB"/>
        </w:rPr>
        <w:t xml:space="preserve">Hier ist Raum für zwei Bemerkungen. Erstens, wie unterscheiden sich Narzißmus und Egoismus begrifflich? Nun, ich meine, Narzißmus ist die libidinöse Ergänzung zum Egoismus. Wenn man von Egoismus spricht, hat man nur den Nutzen für das Individuum ins Auge gefaßt; sagt man Narzißmus, so zieht man auch seine libidinöse Befriedigung in Betracht. Als praktische Motive lassen sich die beiden ein ganzes Stück weit gesondert verfolgen. Man kann absolut egoistisch sein und doch starke libidinöse Objektbesetzungen unterhalten, insofern die libidinöse Befriedigung am Objekt zu den Bedürfnissen des Ichs gehört. Der Egoismus wird dann darauf achten, daß die Strebung nach dem Objekt dem Ich keinen Schaden bringe. Man kann egoistisch sein und dabei auch überstark narzißtisch, d.h. ein sehr geringes Objektbedürfnis haben und dies wiederum entweder in der direkten Sexualbefriedigung oder auch in jenen höheren, vom Sexualbedürfnis abgeleiteten Strebungen, die wir gelegentlich als »Liebe« in einen Gegensatz zur »Sinnlichkeit« zu bringen pflegen. Der Egoismus ist in all diesen Beziehungen das Selbstverständliche, Konstante, der Narzißmus das variable Element. Der Gegensatz von Egoismus, </w:t>
      </w:r>
      <w:r w:rsidRPr="002F7766">
        <w:rPr>
          <w:rFonts w:ascii="Garamond" w:hAnsi="Garamond" w:cs="Arial"/>
          <w:i/>
          <w:iCs/>
          <w:lang w:val="en-GB"/>
        </w:rPr>
        <w:t>Altruismus</w:t>
      </w:r>
      <w:r w:rsidRPr="002F7766">
        <w:rPr>
          <w:rFonts w:ascii="Garamond" w:hAnsi="Garamond" w:cs="Arial"/>
          <w:lang w:val="en-GB"/>
        </w:rPr>
        <w:t>, deckt sich begrifflich nicht mit libidinöser Objektbesetzung, er sondert sich von ihr durch den Wegfall der Strebungen nach sexueller Befriedigung. In der vollen Verliebtheit trifft aber der Altruismus mit der libidinösen Objektbesetzung zusammen. Das Sexualobjekt zieht in der Regel einen Anteil des Narzißmus des Ichs auf sich, was als die sogenannte »Sexualüberschätzung« des Objektes bemerkbar wird. Kommt noch die altruistische Überleitung vom Egoismus auf das Sexualobjekt hinzu, so wird das Sexualobjekt übermächtig; es hat das Ich gleichsam aufgesogen.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 xml:space="preserve">Ich denke, Sie werden es als Erholung empfinden, wenn ich Ihnen nach der im Grunde trockenen Phantastik der Wissenschaft eine poetische Darstellung des ökonomischen Gegensatzes von Narzißmus und Verliebtheit vorlege. Ich entnehme sie dem </w:t>
      </w:r>
      <w:r w:rsidRPr="002F7766">
        <w:rPr>
          <w:rFonts w:ascii="Garamond" w:hAnsi="Garamond" w:cs="Arial"/>
          <w:i/>
          <w:iCs/>
          <w:lang w:val="en-GB"/>
        </w:rPr>
        <w:t>Westöstlichen Diwan</w:t>
      </w:r>
      <w:r w:rsidRPr="002F7766">
        <w:rPr>
          <w:rFonts w:ascii="Garamond" w:hAnsi="Garamond" w:cs="Arial"/>
          <w:lang w:val="en-GB"/>
        </w:rPr>
        <w:t xml:space="preserve"> Goethes:</w:t>
      </w:r>
    </w:p>
    <w:p w:rsidR="00062BE4" w:rsidRPr="002F7766" w:rsidRDefault="00062BE4" w:rsidP="00062BE4">
      <w:pPr>
        <w:rPr>
          <w:rFonts w:ascii="Garamond" w:hAnsi="Garamond" w:cs="Arial"/>
          <w:lang w:val="en-GB"/>
        </w:rPr>
      </w:pPr>
      <w:r w:rsidRPr="002F7766">
        <w:rPr>
          <w:rFonts w:ascii="Garamond" w:hAnsi="Garamond" w:cs="Arial"/>
          <w:b/>
          <w:bCs/>
          <w:lang w:val="en-GB"/>
        </w:rPr>
        <w:t>Suleika:</w:t>
      </w:r>
    </w:p>
    <w:p w:rsidR="00062BE4" w:rsidRPr="002F7766" w:rsidRDefault="00062BE4" w:rsidP="00062BE4">
      <w:pPr>
        <w:rPr>
          <w:rFonts w:ascii="Garamond" w:hAnsi="Garamond" w:cs="Arial"/>
          <w:lang w:val="en-GB"/>
        </w:rPr>
      </w:pPr>
      <w:r w:rsidRPr="002F7766">
        <w:rPr>
          <w:rFonts w:ascii="Garamond" w:hAnsi="Garamond" w:cs="Arial"/>
          <w:lang w:val="en-GB"/>
        </w:rPr>
        <w:t xml:space="preserve">Volk und Knecht und Überwinder </w:t>
      </w:r>
      <w:r w:rsidRPr="002F7766">
        <w:rPr>
          <w:rFonts w:ascii="Garamond" w:hAnsi="Garamond" w:cs="Arial"/>
          <w:lang w:val="en-GB"/>
        </w:rPr>
        <w:br/>
        <w:t xml:space="preserve">Sie gestehn zu jeder Zeit: </w:t>
      </w:r>
      <w:r w:rsidRPr="002F7766">
        <w:rPr>
          <w:rFonts w:ascii="Garamond" w:hAnsi="Garamond" w:cs="Arial"/>
          <w:lang w:val="en-GB"/>
        </w:rPr>
        <w:br/>
        <w:t xml:space="preserve">Höchstes Glück der Erdenkinder </w:t>
      </w:r>
      <w:r w:rsidRPr="002F7766">
        <w:rPr>
          <w:rFonts w:ascii="Garamond" w:hAnsi="Garamond" w:cs="Arial"/>
          <w:lang w:val="en-GB"/>
        </w:rPr>
        <w:br/>
        <w:t>Sei nur die Persönlichkeit.</w:t>
      </w:r>
    </w:p>
    <w:p w:rsidR="00062BE4" w:rsidRPr="002F7766" w:rsidRDefault="00062BE4" w:rsidP="00062BE4">
      <w:pPr>
        <w:rPr>
          <w:rFonts w:ascii="Garamond" w:hAnsi="Garamond" w:cs="Arial"/>
          <w:lang w:val="en-GB"/>
        </w:rPr>
      </w:pPr>
      <w:r w:rsidRPr="002F7766">
        <w:rPr>
          <w:rFonts w:ascii="Garamond" w:hAnsi="Garamond" w:cs="Arial"/>
          <w:lang w:val="en-GB"/>
        </w:rPr>
        <w:t xml:space="preserve">Jedes Leben sei zu führen, </w:t>
      </w:r>
      <w:r w:rsidRPr="002F7766">
        <w:rPr>
          <w:rFonts w:ascii="Garamond" w:hAnsi="Garamond" w:cs="Arial"/>
          <w:lang w:val="en-GB"/>
        </w:rPr>
        <w:br/>
        <w:t xml:space="preserve">Wenn man sich nicht selbst vermißt; </w:t>
      </w:r>
      <w:r w:rsidRPr="002F7766">
        <w:rPr>
          <w:rFonts w:ascii="Garamond" w:hAnsi="Garamond" w:cs="Arial"/>
          <w:lang w:val="en-GB"/>
        </w:rPr>
        <w:br/>
        <w:t xml:space="preserve">Alles könne man verlieren, </w:t>
      </w:r>
      <w:r w:rsidRPr="002F7766">
        <w:rPr>
          <w:rFonts w:ascii="Garamond" w:hAnsi="Garamond" w:cs="Arial"/>
          <w:lang w:val="en-GB"/>
        </w:rPr>
        <w:br/>
        <w:t>Wenn man bliebe, was man ist.</w:t>
      </w:r>
    </w:p>
    <w:p w:rsidR="00062BE4" w:rsidRPr="002F7766" w:rsidRDefault="00062BE4" w:rsidP="00062BE4">
      <w:pPr>
        <w:rPr>
          <w:rFonts w:ascii="Garamond" w:hAnsi="Garamond" w:cs="Arial"/>
          <w:lang w:val="en-GB"/>
        </w:rPr>
      </w:pPr>
      <w:r w:rsidRPr="002F7766">
        <w:rPr>
          <w:rFonts w:ascii="Garamond" w:hAnsi="Garamond" w:cs="Arial"/>
          <w:b/>
          <w:bCs/>
          <w:lang w:val="en-GB"/>
        </w:rPr>
        <w:t>Hatem:</w:t>
      </w:r>
    </w:p>
    <w:p w:rsidR="00062BE4" w:rsidRPr="002F7766" w:rsidRDefault="00062BE4" w:rsidP="00062BE4">
      <w:pPr>
        <w:rPr>
          <w:rFonts w:ascii="Garamond" w:hAnsi="Garamond" w:cs="Arial"/>
          <w:lang w:val="en-GB"/>
        </w:rPr>
      </w:pPr>
      <w:r w:rsidRPr="002F7766">
        <w:rPr>
          <w:rFonts w:ascii="Garamond" w:hAnsi="Garamond" w:cs="Arial"/>
          <w:lang w:val="en-GB"/>
        </w:rPr>
        <w:t xml:space="preserve">Kann wohl sein! So wird gemeinet; </w:t>
      </w:r>
      <w:r w:rsidRPr="002F7766">
        <w:rPr>
          <w:rFonts w:ascii="Garamond" w:hAnsi="Garamond" w:cs="Arial"/>
          <w:lang w:val="en-GB"/>
        </w:rPr>
        <w:br/>
        <w:t xml:space="preserve">Doch ich bin auf andrer Spur: </w:t>
      </w:r>
      <w:r w:rsidRPr="002F7766">
        <w:rPr>
          <w:rFonts w:ascii="Garamond" w:hAnsi="Garamond" w:cs="Arial"/>
          <w:lang w:val="en-GB"/>
        </w:rPr>
        <w:br/>
        <w:t xml:space="preserve">Alles Erdenglück vereinet </w:t>
      </w:r>
      <w:r w:rsidRPr="002F7766">
        <w:rPr>
          <w:rFonts w:ascii="Garamond" w:hAnsi="Garamond" w:cs="Arial"/>
          <w:lang w:val="en-GB"/>
        </w:rPr>
        <w:br/>
        <w:t>Find' ich in Suleika nur.</w:t>
      </w:r>
    </w:p>
    <w:p w:rsidR="00062BE4" w:rsidRPr="002F7766" w:rsidRDefault="00062BE4" w:rsidP="00062BE4">
      <w:pPr>
        <w:rPr>
          <w:rFonts w:ascii="Garamond" w:hAnsi="Garamond" w:cs="Arial"/>
          <w:lang w:val="en-GB"/>
        </w:rPr>
      </w:pPr>
      <w:r w:rsidRPr="002F7766">
        <w:rPr>
          <w:rFonts w:ascii="Garamond" w:hAnsi="Garamond" w:cs="Arial"/>
          <w:lang w:val="en-GB"/>
        </w:rPr>
        <w:t xml:space="preserve">Wie sie sich an mich verschwendet, </w:t>
      </w:r>
      <w:r w:rsidRPr="002F7766">
        <w:rPr>
          <w:rFonts w:ascii="Garamond" w:hAnsi="Garamond" w:cs="Arial"/>
          <w:lang w:val="en-GB"/>
        </w:rPr>
        <w:br/>
        <w:t xml:space="preserve">Bin ich mir ein wertes Ich; </w:t>
      </w:r>
      <w:r w:rsidRPr="002F7766">
        <w:rPr>
          <w:rFonts w:ascii="Garamond" w:hAnsi="Garamond" w:cs="Arial"/>
          <w:lang w:val="en-GB"/>
        </w:rPr>
        <w:br/>
        <w:t xml:space="preserve">Hätte sie sich weggewendet, </w:t>
      </w:r>
      <w:r w:rsidRPr="002F7766">
        <w:rPr>
          <w:rFonts w:ascii="Garamond" w:hAnsi="Garamond" w:cs="Arial"/>
          <w:lang w:val="en-GB"/>
        </w:rPr>
        <w:br/>
        <w:t>Augenblicks verlör' ich mich.</w:t>
      </w:r>
    </w:p>
    <w:p w:rsidR="00062BE4" w:rsidRPr="002F7766" w:rsidRDefault="00062BE4" w:rsidP="00062BE4">
      <w:pPr>
        <w:rPr>
          <w:rFonts w:ascii="Garamond" w:hAnsi="Garamond" w:cs="Arial"/>
          <w:lang w:val="en-GB"/>
        </w:rPr>
      </w:pPr>
      <w:r w:rsidRPr="002F7766">
        <w:rPr>
          <w:rFonts w:ascii="Garamond" w:hAnsi="Garamond" w:cs="Arial"/>
          <w:lang w:val="en-GB"/>
        </w:rPr>
        <w:t xml:space="preserve">Nun mit Hatem wär's zu Ende; </w:t>
      </w:r>
      <w:r w:rsidRPr="002F7766">
        <w:rPr>
          <w:rFonts w:ascii="Garamond" w:hAnsi="Garamond" w:cs="Arial"/>
          <w:lang w:val="en-GB"/>
        </w:rPr>
        <w:br/>
        <w:t xml:space="preserve">Doch schon hab' ich umgelost: </w:t>
      </w:r>
      <w:r w:rsidRPr="002F7766">
        <w:rPr>
          <w:rFonts w:ascii="Garamond" w:hAnsi="Garamond" w:cs="Arial"/>
          <w:lang w:val="en-GB"/>
        </w:rPr>
        <w:br/>
        <w:t xml:space="preserve">Ich verkörpere mich behende </w:t>
      </w:r>
      <w:r w:rsidRPr="002F7766">
        <w:rPr>
          <w:rFonts w:ascii="Garamond" w:hAnsi="Garamond" w:cs="Arial"/>
          <w:lang w:val="en-GB"/>
        </w:rPr>
        <w:br/>
        <w:t>In den Holden, den sie kost.</w:t>
      </w:r>
    </w:p>
    <w:p w:rsidR="00062BE4" w:rsidRPr="002F7766" w:rsidRDefault="00062BE4" w:rsidP="00062BE4">
      <w:pPr>
        <w:rPr>
          <w:rFonts w:ascii="Garamond" w:hAnsi="Garamond" w:cs="Arial"/>
          <w:lang w:val="en-GB"/>
        </w:rPr>
      </w:pPr>
      <w:r w:rsidRPr="002F7766">
        <w:rPr>
          <w:rFonts w:ascii="Garamond" w:hAnsi="Garamond" w:cs="Arial"/>
          <w:lang w:val="en-GB"/>
        </w:rPr>
        <w:t>Die zweite Bemerkung ist eine Ergänzung zur Traumtheorie. Wir können uns die Entstehung des Traumes nicht erklären, wenn wir nicht die Annahme einfügen, daß das verdrängte Unbewußte eine gewisse Unabhängigkeit vom Ich gewonnen hat, so daß es sich dem Schlafwunsch nicht fügt und seine Besetzungen behält, auch wenn alle vom Ich abhängigen Objektbesetzungen zugunsten des Schlafes eingezogen werden. Erst dann ist zu verstehen, daß dies Unbewußte sich die nächtliche Aufhebung oder Herabsetzung der Zensur zunutze machen kann und daß es sich der Tagesreste zu bemächtigen weiß, um mit ihrem Stoff einen verbotenen Traumwunsch zu bilden. Anderseits mögen schon die Tagesreste ein Stück ihrer Resistenz gegen die vom Schlafwunsch verfügte Libidoeinziehung einer bereits bestehenden Verbindung mit diesem verdrängten Unbewußten verdanken. Diesen dynamisch wichtigen Zug wollen wir also in unsere Auffassung von der Traumbildung nachträglich einfügen.</w:t>
      </w:r>
    </w:p>
    <w:p w:rsidR="00062BE4" w:rsidRPr="002F7766" w:rsidRDefault="00062BE4" w:rsidP="00062BE4">
      <w:pPr>
        <w:rPr>
          <w:rFonts w:ascii="Garamond" w:hAnsi="Garamond" w:cs="Arial"/>
          <w:lang w:val="en-GB"/>
        </w:rPr>
      </w:pPr>
      <w:r w:rsidRPr="002F7766">
        <w:rPr>
          <w:rFonts w:ascii="Garamond" w:hAnsi="Garamond" w:cs="Arial"/>
          <w:lang w:val="en-GB"/>
        </w:rPr>
        <w:t>Organische Erkrankung, schmerzhafte Reizung, Entzündung von Organen schafft einen Zustand, der deutlich eine Ablösung der Libido von ihren Objekten zur Folge hat. Die eingezogene Libido findet sich im Ich wieder als verstärkte Besetzung des erkrankten Körperteiles. Ja man kann die Behauptung wagen, daß unter diesen Bedingungen die Abziehung der Libido von ihren Objekten auffälliger ist als die Abwendung des egoistischen Interesses von der Außenwelt. Von hier aus scheint sich ein Weg zum Verständnis der Hypochondrie zu eröffnen, bei welcher ein Organ in gleicher Weise das Ich beschäftigt, ohne für unsere Wahrnehmung krank zu sein.</w:t>
      </w:r>
    </w:p>
    <w:p w:rsidR="00062BE4" w:rsidRPr="002F7766" w:rsidRDefault="00062BE4" w:rsidP="00062BE4">
      <w:pPr>
        <w:rPr>
          <w:rFonts w:ascii="Garamond" w:hAnsi="Garamond" w:cs="Arial"/>
          <w:lang w:val="en-GB"/>
        </w:rPr>
      </w:pPr>
      <w:r w:rsidRPr="002F7766">
        <w:rPr>
          <w:rFonts w:ascii="Garamond" w:hAnsi="Garamond" w:cs="Arial"/>
          <w:lang w:val="en-GB"/>
        </w:rPr>
        <w:lastRenderedPageBreak/>
        <w:t>Aber ich widerstehe der Versuchung, hier weiterzugehen oder andere Situationen zu erörtern, die uns durch die Annahme einer Wanderung der Objektlibido in das Ich verständlich oder darstellbar werden, weil es mich drängt, zwei Einwendungen zu begegnen, die, wie ich weiß, jetzt Ihr Gehör haben. Sie wollen mich erstens zur Rede stellen, warum ich beim Schlaf, in der Krankheit und in den ähnlichen Situationen durchaus Libido und Interesse, Sexualtriebe und Ichtriebe unterscheiden will, wo sich die Beobachtungen durchwegs mit der Annahme einer einzigen und einheitlichen Energie erledigen lassen, die, frei beweglich, bald das Objekt, bald das Ich besetzt, sowohl in den Dienst des einen wie des anderen Triebes tritt. Und zweitens, wie ich mich getrauen kann, die Ablösung der Libido vom Objekt als Quelle eines pathologischen Zustandes zu behandeln, wenn solche Umsetzung der Objektlibido in Ichlibido oder allgemeiner in Ichenergie zu den normalen und täglich, allnächtlich, wiederholten Vorgängen in der seelischen Dynamik gehört.</w:t>
      </w:r>
    </w:p>
    <w:p w:rsidR="00062BE4" w:rsidRPr="002F7766" w:rsidRDefault="00062BE4" w:rsidP="00062BE4">
      <w:pPr>
        <w:rPr>
          <w:rFonts w:ascii="Garamond" w:hAnsi="Garamond" w:cs="Arial"/>
          <w:lang w:val="en-GB"/>
        </w:rPr>
      </w:pPr>
      <w:r w:rsidRPr="002F7766">
        <w:rPr>
          <w:rFonts w:ascii="Garamond" w:hAnsi="Garamond" w:cs="Arial"/>
          <w:lang w:val="en-GB"/>
        </w:rPr>
        <w:t>Darauf ist zu erwidern: Ihr erster Einwand klingt gut. Die Erörterung der Zustände des Schlafes, des Krankseins, der Verliebtheit hätte uns an sich wahrscheinlich niemals zur Unterscheidung einer Ichlibido von einer Objektlibido oder der Libido vom Interesse geführt. Aber Sie vernachlässigen dabei die Untersuchungen, von denen wir ausgegangen sind und in deren Licht wir jetzt die in Rede stehenden seelischen Situationen betrachten. Die Unterscheidung von Libido und Interesse, also von Sexual- und Selbsterhaltungstrieben, ist uns durch die Einsicht in den Konflikt aufgedrängt worden, aus welchem die Übertragungsneurosen hervorgehen. Wir können sie seitdem nicht wieder aufgeben. Die Annahme, daß sich Objektlibido in Ichlibido umsetzen kann, daß man also mit einer Ichlibido zu rechnen hat, ist uns als die einzige erschienen, welche das Rätsel der sogenannten narzißtischen Neurosen, z.B. der Dementia praecox, zu lösen vermag, von deren Ähnlichkeiten und Verschiedenheiten im Vergleich mit Hysterie und Zwang Rechenschaft geben kann. Auf Krankheit, Schlaf und Verliebtheit wenden wir nun an, was wir anderwärts als unabweisbar bewährt gefunden haben. Wir dürfen mit solchen Anwendungen fortfahren und sehen, wie weit wir damit reichen. Die einzige Behauptung, die nicht direkter Niederschlag unserer analytischen Erfahrung ist, geht dahin, daß Libido Libido bleibt, ob sie nun auf Objekte oder auf das eigene Ich gewendet wird, und sich niemals in egoistisches Interesse umsetzt und ebenso das Umgekehrte. Diese Behauptung ist aber gleichwertig mit der bereits kritisch gewürdigten Sonderung von Sexual- und Ichtrieben, an der wir bis zum möglichen Scheitern aus heuristischen Motiven festhalten wollen.</w:t>
      </w:r>
    </w:p>
    <w:p w:rsidR="00062BE4" w:rsidRPr="002F7766" w:rsidRDefault="00062BE4" w:rsidP="00062BE4">
      <w:pPr>
        <w:rPr>
          <w:rFonts w:ascii="Garamond" w:hAnsi="Garamond" w:cs="Arial"/>
          <w:lang w:val="en-GB"/>
        </w:rPr>
      </w:pPr>
      <w:r w:rsidRPr="002F7766">
        <w:rPr>
          <w:rFonts w:ascii="Garamond" w:hAnsi="Garamond" w:cs="Arial"/>
          <w:lang w:val="en-GB"/>
        </w:rPr>
        <w:t xml:space="preserve">Auch Ihre zweite Einwendung greift eine berechtigte Frage auf, aber sie zielt in falsche Richtung. Gewiß ist die Einziehung der Objektlibido ins Ich nicht direkt pathogen; wir sehen ja, daß sie jedesmal vor dem Schlafengehen vorgenommen wird, um mit dem Wachen wieder rückgängig zu werden. Das Protoplasmatierchen zieht seine Fortsätze ein, um sie beim nächsten Anlaß wieder auszuschicken. Aber etwas ganz anderes ist es, wenn ein bestimmter, sehr energischer Prozeß die Abziehung der Libido von den Objekten erzwingt. Die narzißtisch gewordene Libido kann dann den Rückweg zu den Objekten nicht finden, und diese Behinderung in der Beweglichkeit der Libido wird allerdings pathogen. Es scheint, daß die Anhäufung der narzißtischen Libido über ein gewisses Maß hinaus nicht vertragen wird. Wir können uns auch vorstellen, daß es eben darum zur Objektbesetzung gekommen ist, daß das Ich seine Libido ausschicken mußte, um nicht an ihrer Stauung zu erkranken. Wenn es in unserem Plane läge, uns mit der Dementia praecox eingehender zu beschäftigen, würde ich Ihnen zeigen, daß jener Prozeß, der die Libido von den Objekten ablöst und ihr den Rückweg zu ihnen absperrt, dem Verdrängungsprozeß nahesteht, als ein Seitenstück zu ihm aufzufassen ist. Vor allem aber würden Sie bekannten Boden unter Ihren Füßen spüren, indem Sie erfahren, daß die Bedingungen dieses Prozesses fast identisch sind soviel wir bis jetzt erkennen mit denen der Verdrängung. Der Konflikt scheint der nämliche zu sein und sich zwischen denselben Mächten abzuspielen. Wenn der Ausgang ein so anderer ist als z.B. bei der Hysterie, so kann der Grund davon nur in einer Verschiedenheit der Disposition liegen. Die Libidoentwicklung hat bei diesen Kranken ihre schwache Stelle an einer anderen Phase; die maßgebende Fixierung, welche, wie Sie sich erinnern, den Durchbruch zur Symptombildung gestattet, liegt anderswo, wahrscheinlich im Stadium </w:t>
      </w:r>
      <w:r w:rsidRPr="002F7766">
        <w:rPr>
          <w:rFonts w:ascii="Garamond" w:hAnsi="Garamond" w:cs="Arial"/>
          <w:lang w:val="en-GB"/>
        </w:rPr>
        <w:lastRenderedPageBreak/>
        <w:t>des primitiven Narzißmus, zu welchem die Dementia praecox in ihrem Endausgang zurückkehrt. Es ist ganz bemerkenswert, daß wir für alle narzißtischen Neurosen Fixierungsstellen der Libido annehmen müssen, welche in weit frühere Phasen der Entwicklung zurückreichen als bei der Hysterie oder der Zwangsneurose. Sie haben aber gehört, daß die Begriffe, die wir im Studium der Übertragungsneurosen erworben haben, auch zur Orientierung in den praktisch so viel schwereren narzißtischen Neurosen ausreichen. Die Gemeinsamkeiten gehen sehr weit; es ist im Grunde dasselbe Erscheinungsgebiet. Sie können sich aber auch vorstellen, wie aussichtslos die Aufklärung dieser schon der Psychiatrie zufallenden Affektionen sich für den gestaltet, der nicht die analytische Kenntnis der Übertragungsneurosen für diese Aufgabe mitbringt.</w:t>
      </w:r>
    </w:p>
    <w:p w:rsidR="00062BE4" w:rsidRPr="002F7766" w:rsidRDefault="00062BE4" w:rsidP="00062BE4">
      <w:pPr>
        <w:rPr>
          <w:rFonts w:ascii="Garamond" w:hAnsi="Garamond" w:cs="Arial"/>
          <w:lang w:val="en-GB"/>
        </w:rPr>
      </w:pPr>
      <w:r w:rsidRPr="002F7766">
        <w:rPr>
          <w:rFonts w:ascii="Garamond" w:hAnsi="Garamond" w:cs="Arial"/>
          <w:lang w:val="en-GB"/>
        </w:rPr>
        <w:t>Das Symptombild der Dementia praecox, das übrigens sehr wechselvoll ist, wird nicht ausschließlich durch die Symptome bestimmt, welche aus der Abdrängung der Libido von den Objekten und deren Anhäufung als narzißtische Libido im Ich hervorgehen. Einen breiten Raum nehmen vielmehr andere Phänomene ein, die sich auf das Bestreben der Libido zurückführen, wieder zu den Objekten zu gelangen, die also einem Restitutions- oder Heilungsversuch entsprechen. Diese Symptome sind sogar die auffälligeren, die lärmenden; sie zeigen eine unzweifelhafte Ähnlichkeit mit denen der Hysterie oder seltener der Zwangsneurose, sind aber doch in jedem Punkte anders. Es scheint, daß die Libido bei der Dementia praecox in ihrem Bemühen, wieder zu den Objekten, d.h. zu den Vorstellungen der Objekte zu kommen, wirklich etwas von ihnen erhascht, aber gleichsam nur ihre Schatten, ich meine, die ihnen zugehörigen Wortvorstellungen. Ich kann hier nicht mehr darüber sagen, aber ich meine, dies Benehmen der rückstrebenden Libido hat uns gestattet, eine Einsicht in das zu gewinnen, was wirklich den Unterschied zwischen einer bewußten und einer unbewußten Vorstellung ausmacht.</w:t>
      </w:r>
    </w:p>
    <w:p w:rsidR="00062BE4" w:rsidRPr="002F7766" w:rsidRDefault="00062BE4" w:rsidP="00062BE4">
      <w:pPr>
        <w:rPr>
          <w:rFonts w:ascii="Garamond" w:hAnsi="Garamond" w:cs="Arial"/>
          <w:lang w:val="en-GB"/>
        </w:rPr>
      </w:pPr>
      <w:r w:rsidRPr="002F7766">
        <w:rPr>
          <w:rFonts w:ascii="Garamond" w:hAnsi="Garamond" w:cs="Arial"/>
          <w:lang w:val="en-GB"/>
        </w:rPr>
        <w:t>Ich habe Sie nun in das Gebiet geführt, auf welchem die nächsten Fortschritte der analytischen Arbeit zu erwarten sind. Seitdem wir uns getrauen, den Begriff der Ichlibido zu handhaben, sind uns die narzißtischen Neurosen zugänglich geworden; es hat sich die Aufgabe ergeben, eine dynamische Aufklärung dieser Affektionen zu gewinnen und gleichzeitig unsere Kenntnis des Seelenlebens durch das Verständnis des Ichs zu vervollständigen. Die Ichpsychologie, die wir anstreben, soll nicht auf die Daten unserer Selbstwahrnehmungen, sondern wie bei der Libido auf die Analyse der Störungen und Zerstörungen des Ichs begründet sein. Wahrscheinlich werden wir von unserer bisherigen Kenntnis der Libidoschicksale, die wir aus dem Studium der Übertragungsneurosen geschöpft haben, gering denken, wenn jene größere Arbeit geleistet ist. Aber dafür sind wir in ihr auch noch nicht weit gekommen. Die narzißtischen Neurosen sind für die Technik, welche uns bei den Übertragungsneurosen gedient hat, kaum angreifbar. Sie werden bald hören, warum. Es geht uns mit ihnen immer so, daß wir nach kurzem Vordringen vor eine Mauer zu stehen kommen, die uns Halt gebietet. Sie wissen, auch bei den Übertragungsneurosen sind wir auf solche Widerstandsschranken gestoßen, aber wir konnten sie Stück für Stück abtragen. Bei den narzißtischen Neurosen ist der Widerstand unüberwindbar; wir dürfen höchstens einen neugierigen Blick über die Höhe der Mauer werfen, um zu erspähen, was jenseits derselben vor sich geht. Unsere technischen Methoden müssen also durch andere ersetzt werden; wir wissen noch nicht, ob uns ein solcher Ersatz gelingen wird. Es fehlt uns allerdings auch bei diesen Kranken nicht an Material. Sie geben vielerlei Äußerungen von sich, wenn auch nicht als Antworten auf unsere Fragen, und wir sind vorläufig darauf angewiesen, diese Äußerungen mit Hilfe des Verständnisses, das wir an den Symptomen der Übertragungsneurosen gewonnen haben, zu deuten. Die Übereinstimmung ist groß genug, um uns einen Anfangsgewinn zuzusichern. Wie weit diese Technik reichen wird, bleibt dahingestellt.</w:t>
      </w:r>
    </w:p>
    <w:p w:rsidR="00062BE4" w:rsidRPr="002F7766" w:rsidRDefault="00062BE4" w:rsidP="00062BE4">
      <w:pPr>
        <w:rPr>
          <w:rFonts w:ascii="Garamond" w:hAnsi="Garamond" w:cs="Arial"/>
          <w:lang w:val="en-GB"/>
        </w:rPr>
      </w:pPr>
      <w:r w:rsidRPr="002F7766">
        <w:rPr>
          <w:rFonts w:ascii="Garamond" w:hAnsi="Garamond" w:cs="Arial"/>
          <w:lang w:val="en-GB"/>
        </w:rPr>
        <w:t xml:space="preserve">Andere Schwierigkeiten kommen hinzu, um unseren Fortschritt aufzuhalten. Die narzißtischen Affektionen und die an sie anschließenden Psychosen können nur von Beobachtern enträtselt werden, die sich durch das analytische Studium der Übertragungsneurosen geschult haben. Aber unsere Psychiater studieren keine Psychoanalyse und wir Psychoanalytiker sehen zu wenig psychiatrische Fälle. Es muß erst ein Geschlecht von Psychiatern herangewachsen sein, welches durch die Schule der Psychoanalyse als </w:t>
      </w:r>
      <w:r w:rsidRPr="002F7766">
        <w:rPr>
          <w:rFonts w:ascii="Garamond" w:hAnsi="Garamond" w:cs="Arial"/>
          <w:lang w:val="en-GB"/>
        </w:rPr>
        <w:lastRenderedPageBreak/>
        <w:t>vorbereitender Wissenschaft gegangen ist. Der Anfang dazu wird gegenwärtig in Amerika gemacht, wo sehr viele leitende Psychiater den Studenten die psychoanalytischen Lehren vortragen und wo Anstaltsbesitzer und Irrenhausdirektoren sich bemühen, ihre Kranken im Sinne dieser Lehren zu beobachten. Immerhin ist es auch uns hier einige Male geglückt, einen Blick über die narzißtische Mauer zu werfen, und ich will Ihnen im Folgenden einiges berichten, was wir erhascht zu haben glauben.</w:t>
      </w:r>
    </w:p>
    <w:p w:rsidR="00062BE4" w:rsidRPr="002F7766" w:rsidRDefault="00062BE4" w:rsidP="00062BE4">
      <w:pPr>
        <w:rPr>
          <w:rFonts w:ascii="Garamond" w:hAnsi="Garamond" w:cs="Arial"/>
          <w:lang w:val="en-GB"/>
        </w:rPr>
      </w:pPr>
      <w:r w:rsidRPr="002F7766">
        <w:rPr>
          <w:rFonts w:ascii="Garamond" w:hAnsi="Garamond" w:cs="Arial"/>
          <w:lang w:val="en-GB"/>
        </w:rPr>
        <w:t xml:space="preserve">Die Krankheitsform der Paranoia, der chronischen systematischen Verrücktheit, nimmt in den Klassifikationsversuchen der heutigen Psychiatrie eine schwankende Stellung ein. An ihrer nahen Verwandtschaft mit der Dementia praecox ist indes kein Zweifel. Ich habe mir einmal den Vorschlag erlaubt, Paranoia und Dementia praecox unter der gemeinsamen Bezeichnung der </w:t>
      </w:r>
      <w:r w:rsidRPr="002F7766">
        <w:rPr>
          <w:rFonts w:ascii="Garamond" w:hAnsi="Garamond" w:cs="Arial"/>
          <w:i/>
          <w:iCs/>
          <w:lang w:val="en-GB"/>
        </w:rPr>
        <w:t>Paraphrenie</w:t>
      </w:r>
      <w:r w:rsidRPr="002F7766">
        <w:rPr>
          <w:rFonts w:ascii="Garamond" w:hAnsi="Garamond" w:cs="Arial"/>
          <w:lang w:val="en-GB"/>
        </w:rPr>
        <w:t xml:space="preserve"> zusammenzufassen. Die Formen der Paranoia werden nach ihrem Inhalt als: Größenwahn, Verfolgungswahn, Liebeswahn (Erotomanie), Eifersuchtswahn usw. beschrieben. Erklärungsversuche werden wir von der Psychiatrie nicht erwarten. Als Beispiel eines solchen, allerdings ein veraltetes und nicht ganz vollwertiges Beispiel, erwähne ich Ihnen den Versuch, ein Symptom mittels einer intellektuellen Rationalisierung aus einem anderen abzuleiten: Der Kranke, der sich aus primärer Neigung verfolgt glaubt, soll aus dieser Verfolgung den Schluß ziehen, er müsse doch eine ganz besonders wichtige Persönlichkeit sein, und darum den Größenwahn entwickeln. Für unsere analytische Auffassung ist der Größenwahn die unmittelbare Folge der Ichvergrößerung durch die Einziehung der libidinösen Objektbesetzungen, ein sekundärer Narzißmus als Wiederkehr des ursprünglichen frühinfantilen. An den Fällen von Verfolgungswahn haben wir aber einiges beobachtet, was uns veranlaßte, eine gewisse Spur zu verfolgen. Es fiel uns zunächst auf, daß in der überwiegenden Mehrzahl der Fälle der Verfolger von demselben Geschlecht war wie der Verfolgte. Das war immer noch einer harmlosen Erklärung fähig, aber in einigen gut studierten Fällen zeigte es sich klar, daß die in normalen Zeiten am besten geliebte Person des gleichen Geschlechtes sich seit der Erkrankung zum Verfolger umgewandelt hatte. Eine weitere Entwicklung wird dadurch möglich, daß die geliebte Person nach bekannten Affinitäten durch eine andere ersetzt wird, z.B. der Vater durch den Lehrer, den Vorgesetzten. Wir zogen aus solchen, sich immer vermehrenden Erfahrungen den Schluß, daß die </w:t>
      </w:r>
      <w:r w:rsidRPr="002F7766">
        <w:rPr>
          <w:rFonts w:ascii="Garamond" w:hAnsi="Garamond" w:cs="Arial"/>
          <w:i/>
          <w:iCs/>
          <w:lang w:val="en-GB"/>
        </w:rPr>
        <w:t>Paranoia persecutoria</w:t>
      </w:r>
      <w:r w:rsidRPr="002F7766">
        <w:rPr>
          <w:rFonts w:ascii="Garamond" w:hAnsi="Garamond" w:cs="Arial"/>
          <w:lang w:val="en-GB"/>
        </w:rPr>
        <w:t xml:space="preserve"> die Form ist, in der sich das Individuum gegen eine überstark gewordene homosexuelle Regung zur Wehre setzt. Die Verwandlung der Zärtlichkeit in Haß, die bekanntlich zur ernsthaften Lebensbedrohung für das geliebte und gehaßte Objekt werden kann, entspricht dann der Umsetzung libidinöser Regungen in Angst, die ein regelmäßiges Ergebnis des Verdrängungsvorganges ist. Hören Sie z.B. den wiederum letzten Fall meiner diesbezüglichen Beobachtungen. Ein junger Arzt mußte aus seinem Heimatsort verschickt werden, weil er den Sohn eines dortigen Universitätsprofessors, der bis dahin sein bester Freund gewesen war, am Leben bedroht hatte. Er schrieb diesem einstigen Freund wahrhaft teuflische Absichten und eine dämonische Macht zu. Er war schuld an allem Unglück, das in den letzten Jahren die Familie des Kranken getroffen hatte, an jedem familiären und sozialen Mißgeschick. Aber nicht genug damit, der böse Freund und sein Vater, der Professor, hatten auch den Krieg verursacht, die </w:t>
      </w:r>
      <w:smartTag w:uri="urn:schemas-microsoft-com:office:smarttags" w:element="place">
        <w:smartTag w:uri="urn:schemas-microsoft-com:office:smarttags" w:element="PlaceName">
          <w:r w:rsidRPr="002F7766">
            <w:rPr>
              <w:rFonts w:ascii="Garamond" w:hAnsi="Garamond" w:cs="Arial"/>
              <w:lang w:val="en-GB"/>
            </w:rPr>
            <w:t>Russen</w:t>
          </w:r>
        </w:smartTag>
        <w:r w:rsidRPr="002F7766">
          <w:rPr>
            <w:rFonts w:ascii="Garamond" w:hAnsi="Garamond" w:cs="Arial"/>
            <w:lang w:val="en-GB"/>
          </w:rPr>
          <w:t xml:space="preserve"> </w:t>
        </w:r>
        <w:smartTag w:uri="urn:schemas-microsoft-com:office:smarttags" w:element="PlaceName">
          <w:r w:rsidRPr="002F7766">
            <w:rPr>
              <w:rFonts w:ascii="Garamond" w:hAnsi="Garamond" w:cs="Arial"/>
              <w:lang w:val="en-GB"/>
            </w:rPr>
            <w:t>ins</w:t>
          </w:r>
        </w:smartTag>
        <w:r w:rsidRPr="002F7766">
          <w:rPr>
            <w:rFonts w:ascii="Garamond" w:hAnsi="Garamond" w:cs="Arial"/>
            <w:lang w:val="en-GB"/>
          </w:rPr>
          <w:t xml:space="preserve"> </w:t>
        </w:r>
        <w:smartTag w:uri="urn:schemas-microsoft-com:office:smarttags" w:element="PlaceType">
          <w:r w:rsidRPr="002F7766">
            <w:rPr>
              <w:rFonts w:ascii="Garamond" w:hAnsi="Garamond" w:cs="Arial"/>
              <w:lang w:val="en-GB"/>
            </w:rPr>
            <w:t>Land</w:t>
          </w:r>
        </w:smartTag>
      </w:smartTag>
      <w:r w:rsidRPr="002F7766">
        <w:rPr>
          <w:rFonts w:ascii="Garamond" w:hAnsi="Garamond" w:cs="Arial"/>
          <w:lang w:val="en-GB"/>
        </w:rPr>
        <w:t xml:space="preserve"> gerufen. Er hatte sein Leben tausendmal verwirkt, und unser Kranker war überzeugt, daß mit dem Tode des Missetäters alles Unheil zu Ende gebracht wäre. Und doch war seine alte Zärtlichkeit für ihn noch so stark, daß sie seine Hand gelähmt hatte, als sich ihm einmal die Gelegenheit bot, den Feind aus nächster Nähe niederzuschießen. In den kurzen Besprechungen, die ich mit dem Kranken hatte, kam zum Vorschein, daß das freundschaftliche Verhältnis zwischen den beiden weit in die Gymnasialjahre zurückreichte. Wenigstens einmal hatte es die Grenzen der Freundschaft überschritten; ein nächtliches Beisammensein war ihnen der Anlaß zu vollem sexuellen Verkehr geworden. Unser Patient hatte nie die Gefühlsbeziehung zu den Frauen gewonnen, die seiner Altersphase und seiner einnehmenden Persönlichkeit entsprochen hätte. Er war einmal mit einem schönen und vornehmen Mädchen verlobt, aber dieses brach das Verlöbnis ab, weil es bei seinem Bräutigam keine Zärtlichkeit fand. Jahre später brach seine Krankheit gerade in dem Momente aus, als es ihm zum erstenmal geglückt war, ein Weib voll zu befriedigen. Als diese Frau ihn dankbar und hingebungsvoll umarmte, bekam er plötzlich einen rätselhaften Schmerz, der wie ein scharfer Schnitt um </w:t>
      </w:r>
      <w:r w:rsidRPr="002F7766">
        <w:rPr>
          <w:rFonts w:ascii="Garamond" w:hAnsi="Garamond" w:cs="Arial"/>
          <w:lang w:val="en-GB"/>
        </w:rPr>
        <w:lastRenderedPageBreak/>
        <w:t>die Schädeldecke lief. Er deutete sich diese Sensation später, als ob an ihm der Schnitt ausgeführt wurde, mit dem man bei einer Sektion das Gehirn bloßlegt, und da sein Freund pathologischer Anatom geworden war, entdeckte er langsam, daß nur dieser ihm diese letzte Frau zur Versuchung geschickt haben könne. Von da an gingen ihm auch die Augen über die anderen Verfolgungen auf, deren Opfer er durch das Betreiben des einstigen Freundes werden sollte.</w:t>
      </w:r>
    </w:p>
    <w:p w:rsidR="00062BE4" w:rsidRPr="002F7766" w:rsidRDefault="00062BE4" w:rsidP="00062BE4">
      <w:pPr>
        <w:rPr>
          <w:rFonts w:ascii="Garamond" w:hAnsi="Garamond" w:cs="Arial"/>
          <w:lang w:val="en-GB"/>
        </w:rPr>
      </w:pPr>
      <w:r w:rsidRPr="002F7766">
        <w:rPr>
          <w:rFonts w:ascii="Garamond" w:hAnsi="Garamond" w:cs="Arial"/>
          <w:lang w:val="en-GB"/>
        </w:rPr>
        <w:t>Wie ist es nun aber mit den Fällen, bei denen der Verfolger nicht desselben Geschlechtes ist wie der Verfolgte, deren Anschein also unserer Erklärung einer Abwehr homosexueller Libido widerspricht? Ich habe vor einiger Zeit Gelegenheit gehabt, einen solchen Fall zu untersuchen, und habe aus dem scheinbaren Widerspruch eine Bestätigung entnehmen können. Das junge Mädchen, welches sich von dem Manne verfolgt glaubte, dem sie zwei zärtliche Zusammenkünfte zugestanden, hatte in der Tat zuerst eine Wahnidee gegen eine Frau gerichtet, die man als Mutterersatz auffassen kann. Erst nach der zweiten Zusammenkunft machte sie den Fortschritt, dieselbe Wahnidee von der Frau abzulösen und auf den Mann zu übertragen. Die Bedingung des gleichen Geschlechtes für den Verfolger war also ursprünglich auch in diesem Falle eingehalten worden. In ihrer Klage vor dem Rechtsfreund und dem Arzt hatte die Patientin dieses Vorstadium ihres Wahnes nicht erwähnt und so den Anschein eines Widerspruches gegen unser Verständnis der Paranoia erweckt.</w:t>
      </w:r>
    </w:p>
    <w:p w:rsidR="00062BE4" w:rsidRPr="002F7766" w:rsidRDefault="00062BE4" w:rsidP="00062BE4">
      <w:pPr>
        <w:rPr>
          <w:rFonts w:ascii="Garamond" w:hAnsi="Garamond" w:cs="Arial"/>
          <w:lang w:val="en-GB"/>
        </w:rPr>
      </w:pPr>
      <w:r w:rsidRPr="002F7766">
        <w:rPr>
          <w:rFonts w:ascii="Garamond" w:hAnsi="Garamond" w:cs="Arial"/>
        </w:rPr>
        <w:t xml:space="preserve">Die homosexuelle Objektwahl liegt dem Narzißmus ursprünglich näher als die heterosexuelle. Wenn es dann gilt, eine unerwünscht starke homosexuelle Regung abzuweisen, so ist der Rückweg zum Narzißmus besonders erleichtert. Ich habe bisher sehr wenig Gelegenheit gehabt, Ihnen von den Grundlagen des Liebeslebens, soweit wir sie erkannt haben, zu sprechen, kann es auch jetzt nicht nachholen. </w:t>
      </w:r>
      <w:r w:rsidRPr="002F7766">
        <w:rPr>
          <w:rFonts w:ascii="Garamond" w:hAnsi="Garamond" w:cs="Arial"/>
          <w:lang w:val="en-GB"/>
        </w:rPr>
        <w:t xml:space="preserve">Ich will nur so viel herausheben, daß die Objektwahl, der Fortschritt in der Libidoentwicklung, der nach dem narzißtischen Stadium gemacht wird, nach zwei verschiedenen Typen erfolgen kann. Entweder nach dem </w:t>
      </w:r>
      <w:r w:rsidRPr="002F7766">
        <w:rPr>
          <w:rFonts w:ascii="Garamond" w:hAnsi="Garamond" w:cs="Arial"/>
          <w:i/>
          <w:iCs/>
          <w:lang w:val="en-GB"/>
        </w:rPr>
        <w:t>narzißtischen Typus</w:t>
      </w:r>
      <w:r w:rsidRPr="002F7766">
        <w:rPr>
          <w:rFonts w:ascii="Garamond" w:hAnsi="Garamond" w:cs="Arial"/>
          <w:lang w:val="en-GB"/>
        </w:rPr>
        <w:t xml:space="preserve">, indem an die Stelle des eigenen Ichs ein ihm möglichst ähnliches tritt, oder nach dem </w:t>
      </w:r>
      <w:r w:rsidRPr="002F7766">
        <w:rPr>
          <w:rFonts w:ascii="Garamond" w:hAnsi="Garamond" w:cs="Arial"/>
          <w:i/>
          <w:iCs/>
          <w:lang w:val="en-GB"/>
        </w:rPr>
        <w:t>Anlehnungstypus</w:t>
      </w:r>
      <w:r w:rsidRPr="002F7766">
        <w:rPr>
          <w:rFonts w:ascii="Garamond" w:hAnsi="Garamond" w:cs="Arial"/>
          <w:lang w:val="en-GB"/>
        </w:rPr>
        <w:t>, indem die Personen, die durch Befriedigung der anderen Lebensbedürfnisse wertvoll geworden sind, auch von der Libido zu Objekten gewählt werden. Eine starke Libidofixierung an den narzißtischen Typus der Objektwahl rechnen wir auch in die Disposition zur manifesten Homosexualität ein.</w:t>
      </w:r>
    </w:p>
    <w:p w:rsidR="00062BE4" w:rsidRPr="002F7766" w:rsidRDefault="00062BE4" w:rsidP="00062BE4">
      <w:pPr>
        <w:rPr>
          <w:rFonts w:ascii="Garamond" w:hAnsi="Garamond" w:cs="Arial"/>
          <w:lang w:val="en-GB"/>
        </w:rPr>
      </w:pPr>
      <w:r w:rsidRPr="002F7766">
        <w:rPr>
          <w:rFonts w:ascii="Garamond" w:hAnsi="Garamond" w:cs="Arial"/>
          <w:lang w:val="en-GB"/>
        </w:rPr>
        <w:t>Sie erinnern sich, daß ich Ihnen in der ersten Zusammenkunft dieses Semesters von einem Fall von Eifersuchtswahn bei einer Frau erzählt habe. Nun da wir so nahe dem Ende sind, möchten Sie gewiß gerne hören, wie wir psychoanalytisch eine Wahnidee erklären. Aber ich habe Ihnen dazu weniger zu sagen, als Sie erwarten. Die Unangreifbarkeit der Wahnidee durch logische Argumente und reale Erfahrungen erklärt sich ebenso wie die eines Zwanges durch die Beziehung zum Unbewußten, welches durch die Wahnidee oder Zwangsidee repräsentiert und niedergehalten wird. Der Unterschied zwischen beiden ist in der verschiedenen Topik und Dynamik der beiden Affektionen begründet.</w:t>
      </w:r>
    </w:p>
    <w:p w:rsidR="00062BE4" w:rsidRPr="002F7766" w:rsidRDefault="00062BE4" w:rsidP="00062BE4">
      <w:pPr>
        <w:rPr>
          <w:rFonts w:ascii="Garamond" w:hAnsi="Garamond" w:cs="Arial"/>
          <w:lang w:val="en-GB"/>
        </w:rPr>
      </w:pPr>
      <w:r w:rsidRPr="00062BE4">
        <w:rPr>
          <w:rFonts w:ascii="Garamond" w:hAnsi="Garamond" w:cs="Arial"/>
          <w:lang w:val="en-GB"/>
        </w:rPr>
        <w:t xml:space="preserve">Wie bei der Paranoia, so haben wir auch bei der Melancholie, von der übrigens sehr verschiedene klinische Formen beschrieben werden, eine Stelle gefunden, an welcher ein Einblick in die innere Struktur der Affektion möglich wird. Wir haben erkannt, daß die Selbstvorwürfe, mit denen sich diese Melancholiker in der erbarmungslosesten Weise quälen, eigentlich einer anderen Person gelten, dem Sexualobjekt, welches sie verloren haben oder das ihnen durch seine Schuld entwertet worden ist. Daraus konnten wir schließen, der Melancholiker habe zwar seine Libido von dem Objekt zurückgezogen, aber durch einen Vorgang, den man »narzißtische Identifizierung« heißen muß, sei das Objekt im Ich selbst errichtet, gleichsam auf das Ich projiziert worden. </w:t>
      </w:r>
      <w:r w:rsidRPr="002F7766">
        <w:rPr>
          <w:rFonts w:ascii="Garamond" w:hAnsi="Garamond" w:cs="Arial"/>
          <w:lang w:val="en-GB"/>
        </w:rPr>
        <w:t xml:space="preserve">Ich kann Ihnen hier nur eine bildliche Schilderung, nicht eine topisch-dynamisch geordnete Beschreibung geben. Nun wird das eigene Ich wie das aufgegebene Objekt behandelt und erleidet alle die Aggressionen und Äußerungen der Rachsucht, die dem Objekt zugedacht waren. Auch die Selbstmordneigung der Melancholiker wird durch die Erwägung begreiflicher, daß die Erbitterung des Kranken mit demselben Schlage das eigene Ich wie das geliebtgehaßte Objekt trifft. Bei </w:t>
      </w:r>
      <w:r w:rsidRPr="002F7766">
        <w:rPr>
          <w:rFonts w:ascii="Garamond" w:hAnsi="Garamond" w:cs="Arial"/>
          <w:lang w:val="en-GB"/>
        </w:rPr>
        <w:lastRenderedPageBreak/>
        <w:t xml:space="preserve">der Melancholie wie bei anderen narzißtischen Affektionen kommt in sehr ausgeprägter Weise ein Zug des Gefühlslebens zum Vorschein, den wir seit Bleuler als </w:t>
      </w:r>
      <w:r w:rsidRPr="002F7766">
        <w:rPr>
          <w:rFonts w:ascii="Garamond" w:hAnsi="Garamond" w:cs="Arial"/>
          <w:i/>
          <w:iCs/>
          <w:lang w:val="en-GB"/>
        </w:rPr>
        <w:t>Ambivalenz</w:t>
      </w:r>
      <w:r w:rsidRPr="002F7766">
        <w:rPr>
          <w:rFonts w:ascii="Garamond" w:hAnsi="Garamond" w:cs="Arial"/>
          <w:lang w:val="en-GB"/>
        </w:rPr>
        <w:t xml:space="preserve"> zu bezeichnen gewohnt sind. Wir meinen damit die Richtung entgegengesetzter, zärtlicher und feindseliger, Gefühle gegen dieselbe Person. Ich bin im Verlaufe dieser Besprechungen leider nicht in die Lage gekommen, Ihnen mehr von der Gefühlsambivalenz zu erzählen.</w:t>
      </w:r>
    </w:p>
    <w:p w:rsidR="00062BE4" w:rsidRPr="002F7766" w:rsidRDefault="00062BE4" w:rsidP="00062BE4">
      <w:pPr>
        <w:rPr>
          <w:rFonts w:ascii="Garamond" w:hAnsi="Garamond" w:cs="Arial"/>
          <w:lang w:val="en-GB"/>
        </w:rPr>
      </w:pPr>
      <w:r w:rsidRPr="00062BE4">
        <w:rPr>
          <w:rFonts w:ascii="Garamond" w:hAnsi="Garamond" w:cs="Arial"/>
          <w:lang w:val="en-GB"/>
        </w:rPr>
        <w:t xml:space="preserve">Außer der narzißtischen Identifizierung gibt es eine hysterische, die uns seit sehr viel längerer Zeit bekannt ist. </w:t>
      </w:r>
      <w:r w:rsidRPr="002F7766">
        <w:rPr>
          <w:rFonts w:ascii="Garamond" w:hAnsi="Garamond" w:cs="Arial"/>
          <w:lang w:val="en-GB"/>
        </w:rPr>
        <w:t>Ich wollte, es wäre schon möglich, Ihnen die Verschiedenheiten der beiden durch einige klargestellte Bestimmungen zu erläutern. Von den periodischen und zyklischen Formen der Melancholie kann ich Ihnen etwas mitteilen, was Sie gewiß gerne hören werden. Es ist nämlich unter günstigen Umständen möglich ich habe die Erfahrung zweimal gemacht, durch analytische Behandlung in den freien Zwischenzeiten der Wiederkehr des Zustandes in der gleichen oder entgegengesetzten Stimmungslage vorzubeugen. Man erfährt dabei, daß es sich auch bei der Melancholie und Manie um eine besondere Art der Erledigung eines Konfliktes handelt, dessen Voraussetzungen durchaus mit denen der anderen Neurosen übereinstimmen. Sie können sich denken, wieviel es auf diesem Gebiete noch für die Psychoanalyse zu erfahren gibt.</w:t>
      </w:r>
    </w:p>
    <w:p w:rsidR="00062BE4" w:rsidRPr="002F7766" w:rsidRDefault="00062BE4" w:rsidP="00062BE4">
      <w:pPr>
        <w:rPr>
          <w:rFonts w:ascii="Garamond" w:hAnsi="Garamond" w:cs="Arial"/>
          <w:lang w:val="en-GB"/>
        </w:rPr>
      </w:pPr>
      <w:r w:rsidRPr="002F7766">
        <w:rPr>
          <w:rFonts w:ascii="Garamond" w:hAnsi="Garamond" w:cs="Arial"/>
          <w:lang w:val="en-GB"/>
        </w:rPr>
        <w:t xml:space="preserve">Ich sagte Ihnen auch, daß wir durch die Analyse der narzißtischen Affektionen eine Kenntnis von der Zusammensetzung unseres Ichs und seinem Aufbau aus Instanzen zu gewinnen hoffen. An einer Stelle haben wir den Anfang dazu gemacht. Aus der Analyse des Beobachtungswahnes haben wir den Schluß gezogen, daß es im Ich wirklich eine Instanz gibt, die unausgesetzt beobachtet, kritisiert und vergleicht und sich solcherart dem anderen Anteil des Ichs entgegenstellt. Wir meinen also, daß der Kranke uns eine noch nicht genug gewürdigte Wahrheit verrät, wenn er sich beklagt, daß jeder seiner Schritte ausgespäht und beobachtet, jeder seiner Gedanken gemeldet und kritisiert wird. </w:t>
      </w:r>
      <w:r w:rsidRPr="002F7766">
        <w:rPr>
          <w:rFonts w:ascii="Garamond" w:hAnsi="Garamond" w:cs="Arial"/>
        </w:rPr>
        <w:t xml:space="preserve">Er irrt nur darin, daß er diese unbequeme Macht als etwas ihm Fremdes nach außen verlegt. Er verspürt das Walten einer Instanz in seinem Ich, welche sein aktuelles Ich und jede seiner Betätigungen an einem </w:t>
      </w:r>
      <w:r w:rsidRPr="002F7766">
        <w:rPr>
          <w:rFonts w:ascii="Garamond" w:hAnsi="Garamond" w:cs="Arial"/>
          <w:i/>
          <w:iCs/>
        </w:rPr>
        <w:t>Ideal-Ich</w:t>
      </w:r>
      <w:r w:rsidRPr="002F7766">
        <w:rPr>
          <w:rFonts w:ascii="Garamond" w:hAnsi="Garamond" w:cs="Arial"/>
        </w:rPr>
        <w:t xml:space="preserve"> mißt, das er sich im Laufe seiner Entwicklung geschaffen hat. </w:t>
      </w:r>
      <w:r w:rsidRPr="002F7766">
        <w:rPr>
          <w:rFonts w:ascii="Garamond" w:hAnsi="Garamond" w:cs="Arial"/>
          <w:lang w:val="en-GB"/>
        </w:rPr>
        <w:t>Wir meinen auch, diese Schöpfung geschah in der Absicht, jene Selbstzufriedenheit wiederherzustellen, die mit dem primären infantilen Narzißmus verbunden war, die aber seither so viel Störungen und Kränkungen erfahren hat. Die selbstbeobachtende Instanz kennen wir als den Ichzensor, das Gewissen; sie ist dieselbe, die nächtlicherweile die Traumzensur ausübt, von der die Verdrängungen gegen unzulässige Wunschregungen ausgehen. Wenn sie beim Beobachtungswahn zerfällt, so deckt sie uns dabei ihre Herkunft auf aus den Einflüssen von Eltern, Erziehern und sozialer Umgebung, aus der Identifizierung mit einzelnen dieser vorbildlichen Personen.</w:t>
      </w:r>
    </w:p>
    <w:p w:rsidR="00062BE4" w:rsidRPr="002F7766" w:rsidRDefault="00062BE4" w:rsidP="00062BE4">
      <w:pPr>
        <w:rPr>
          <w:rFonts w:ascii="Garamond" w:hAnsi="Garamond" w:cs="Arial"/>
          <w:lang w:val="en-GB"/>
        </w:rPr>
      </w:pPr>
      <w:r w:rsidRPr="002F7766">
        <w:rPr>
          <w:rFonts w:ascii="Garamond" w:hAnsi="Garamond" w:cs="Arial"/>
          <w:lang w:val="en-GB"/>
        </w:rPr>
        <w:t xml:space="preserve">Dies wären einige der Ergebnisse, welche uns die Anwendung der Psychoanalyse auf die narzißtischen Affektionen bisher geliefert hat. Es sind gewiß noch zu wenige, und sie entbehren oft noch jener Schärfe, die erst durch sichere Vertrautheit auf einem neuen Gebiete erreicht werden kann. Wir verdanken sie alle der Ausnützung des Begriffes der Ichlibido oder narzißtischen Libido, mit dessen Hilfe wir die Auffassungen, die sich bei den Übertragungsneurosen bewährt haben, auf die narzißtischen Neurosen erstrecken. Nun werden Sie aber die Frage stellen: ist es möglich, daß es uns gelingt, alle Störungen der narzißtischen Affektionen und der Psychosen der Libidotheorie unterzuordnen, daß wir überall den libidinösen Faktor des Seelenlebens als den an der Erkrankung schuldigen erkennen und niemals eine Abänderung in der Funktion der Selbsterhaltungstriebe verantwortlich zu machen brauchen? Nun, meine Damen und Herren, diese Entscheidung scheint mir nicht dringlich und vor allem nicht spruchreif zu sein. Wir können sie ruhig dem Fortschritt der wissenschaftlichen Arbeit überlassen. Ich würde mich nicht verwundern, wenn sich das Vermögen der pathogenen Wirkung wirklich als ein Vorrecht der libidinösen Triebe herausstellte, so daß die Libidotheorie auf der ganzen Linie von den einfachsten Aktualneurosen bis zur schwersten psychotischen Entfremdung des Individuums ihren Triumph feiern könnte. Kennen wir es doch als charakteristischen Zug der Libido, daß sie der Unterordnung unter die Realität der Welt, die Ananke, widerstrebt. Aber ich halte es für überaus wahrscheinlich, daß die Ichtriebe durch die </w:t>
      </w:r>
      <w:r w:rsidRPr="002F7766">
        <w:rPr>
          <w:rFonts w:ascii="Garamond" w:hAnsi="Garamond" w:cs="Arial"/>
          <w:lang w:val="en-GB"/>
        </w:rPr>
        <w:lastRenderedPageBreak/>
        <w:t>pathogenen Anregungen der Libido sekundär mitgerissen und zur Funktionsstörung genötigt werden. Und ich kann kein Scheitern unserer Forschungsrichtung darin erblicken, wenn uns die Erkenntnis bevorsteht, daß bei den schweren Psychosen die Ichtriebe selbst in primärer Weise irregeführt werden; die Zukunft wird es, Sie wenigstens, lehren.</w:t>
      </w:r>
    </w:p>
    <w:p w:rsidR="00062BE4" w:rsidRDefault="00062BE4" w:rsidP="00062BE4">
      <w:pPr>
        <w:rPr>
          <w:rFonts w:ascii="Garamond" w:hAnsi="Garamond" w:cs="Arial"/>
          <w:lang w:val="en-GB"/>
        </w:rPr>
      </w:pPr>
      <w:r w:rsidRPr="002F7766">
        <w:rPr>
          <w:rFonts w:ascii="Garamond" w:hAnsi="Garamond" w:cs="Arial"/>
          <w:lang w:val="en-GB"/>
        </w:rPr>
        <w:t xml:space="preserve">Lassen Sie </w:t>
      </w:r>
      <w:smartTag w:uri="urn:schemas-microsoft-com:office:smarttags" w:element="State">
        <w:smartTag w:uri="urn:schemas-microsoft-com:office:smarttags" w:element="place">
          <w:r w:rsidRPr="002F7766">
            <w:rPr>
              <w:rFonts w:ascii="Garamond" w:hAnsi="Garamond" w:cs="Arial"/>
              <w:lang w:val="en-GB"/>
            </w:rPr>
            <w:t>mich</w:t>
          </w:r>
        </w:smartTag>
      </w:smartTag>
      <w:r w:rsidRPr="002F7766">
        <w:rPr>
          <w:rFonts w:ascii="Garamond" w:hAnsi="Garamond" w:cs="Arial"/>
          <w:lang w:val="en-GB"/>
        </w:rPr>
        <w:t xml:space="preserve"> aber noch für einen Moment zur Angst zurückkehren, um eine letzte Dunkelheit, die wir dort gelassen haben, zu erleuchten. Wir sagten, es stimme uns nicht zu der sonst so gut erkannten Beziehung zwischen Angst und Libido, daß die Realangst angesichts einer Gefahr die Äußerung der Selbsterhaltungstriebe sein sollte, was sich aber doch kaum bestreiten läßt. Wie wäre es aber, wenn der Angstaffekt nicht von den egoistischen Ichtrieben, sondern von der Ichlibido bestritten würde? Der Angstzustand ist doch auf alle Fälle unzweckmäßig, und seine Unzweckmäßigkeit wird offenkundig, wenn er einen höheren Grad erreicht. Er stört dann die Aktion, sei es der Flucht oder der Abwehr, die allein zweckmäßig ist und der Selbsterhaltung dient. Wenn wir also den affektiven Anteil der Realangst der Ichlibido, die Aktion dabei dem Icherhaltungstrieb zuschreiben, haben wir jede theoretische Schwierigkeit beseitigt. Sie werden übrigens doch nicht im Ernst glauben, daß man sich flüchtet, </w:t>
      </w:r>
      <w:r w:rsidRPr="002F7766">
        <w:rPr>
          <w:rFonts w:ascii="Garamond" w:hAnsi="Garamond" w:cs="Arial"/>
          <w:i/>
          <w:iCs/>
          <w:lang w:val="en-GB"/>
        </w:rPr>
        <w:t>weil</w:t>
      </w:r>
      <w:r w:rsidRPr="002F7766">
        <w:rPr>
          <w:rFonts w:ascii="Garamond" w:hAnsi="Garamond" w:cs="Arial"/>
          <w:lang w:val="en-GB"/>
        </w:rPr>
        <w:t xml:space="preserve"> man Angst verspürt? Nein, man verspürt die Angst </w:t>
      </w:r>
      <w:r w:rsidRPr="002F7766">
        <w:rPr>
          <w:rFonts w:ascii="Garamond" w:hAnsi="Garamond" w:cs="Arial"/>
          <w:i/>
          <w:iCs/>
          <w:lang w:val="en-GB"/>
        </w:rPr>
        <w:t>und</w:t>
      </w:r>
      <w:r w:rsidRPr="002F7766">
        <w:rPr>
          <w:rFonts w:ascii="Garamond" w:hAnsi="Garamond" w:cs="Arial"/>
          <w:lang w:val="en-GB"/>
        </w:rPr>
        <w:t xml:space="preserve"> man ergreift die Flucht aus dem gemeinsamen Motiv, das durch die Wahrnehmung der Gefahr geweckt wird. Menschen, die große Lebensgefahren bestanden haben, erzählen, sie haben sich gar nicht geängstigt, bloß gehandelt, z.B. das Gewehr auf das Raubtier angelegt, und das war gewiß das Zweckmäßigste.</w:t>
      </w:r>
    </w:p>
    <w:p w:rsidR="00062BE4" w:rsidRPr="009C5A67" w:rsidRDefault="00062BE4" w:rsidP="00062BE4">
      <w:pPr>
        <w:pStyle w:val="Titre4"/>
        <w:rPr>
          <w:rFonts w:ascii="Garamond" w:hAnsi="Garamond"/>
          <w:lang w:val="en-US"/>
        </w:rPr>
      </w:pPr>
      <w:r>
        <w:rPr>
          <w:rFonts w:ascii="Garamond" w:hAnsi="Garamond" w:cs="Arial"/>
          <w:lang w:val="en-GB"/>
        </w:rPr>
        <w:br w:type="page"/>
      </w:r>
      <w:hyperlink w:anchor="Vorlesungen_Inhalt" w:history="1">
        <w:r w:rsidRPr="009C5A67">
          <w:rPr>
            <w:rStyle w:val="Lienhypertexte"/>
            <w:rFonts w:ascii="Garamond" w:hAnsi="Garamond" w:cs="Arial"/>
            <w:lang w:val="en-GB"/>
          </w:rPr>
          <w:t>27 Vo</w:t>
        </w:r>
        <w:bookmarkStart w:id="294" w:name="Vorlesungen_27"/>
        <w:bookmarkEnd w:id="294"/>
        <w:r w:rsidRPr="009C5A67">
          <w:rPr>
            <w:rStyle w:val="Lienhypertexte"/>
            <w:rFonts w:ascii="Garamond" w:hAnsi="Garamond" w:cs="Arial"/>
            <w:lang w:val="en-GB"/>
          </w:rPr>
          <w:t xml:space="preserve">rlesung.  </w:t>
        </w:r>
        <w:r w:rsidRPr="009C5A67">
          <w:rPr>
            <w:rStyle w:val="Lienhypertexte"/>
            <w:rFonts w:ascii="Garamond" w:hAnsi="Garamond"/>
            <w:lang w:val="en-US"/>
          </w:rPr>
          <w:t>Die Übertragung</w:t>
        </w:r>
      </w:hyperlink>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Meine Damen und Herren! Da wir uns jetzt dem Abschluß unserer Besprechungen nähern, wird eine bestimmte Erwartung bei Ihnen rege werden, die Sie nicht irreführen soll. Sie denken es sich wohl, daß ich Sie nicht durch Dick und Dünn des psychoanalytischen Stoffes geführt habe, um Sie am Ende zu entlassen, ohne Ihnen ein Wort von der Therapie zu sagen, auf welcher doch die Möglichkeit beruht, überhaupt Psychoanalyse zu treiben. Ich kann Ihnen dieses Thema auch unmöglich vorenthalten, denn dabei sollen Sie aus der Beobachtung eine neue Tatsache kennenlernen, ohne welche das Verständnis der von uns untersuchten Erkrankungen in fühlbarster Weise unvollständig bliebe.</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Ich weiß, Sie erwarten keine Anleitung in der Technik, wie man die Analyse zu therapeutischen Zwecken ausüben soll. Sie wollen nur im allgemeinsten wissen, auf welchem Wege die psychoanalytische Therapie wirkt und was sie ungefähr leistet. Und das zu erfahren, haben Sie ein unbestreitbares Recht. Ich will es Ihnen aber nicht mitteilen, sondern bestehe darauf, daß Sie es selbst erraten.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Denken Sie nach! Sie haben alles Wesentliche von den Bedingungen der Erkrankung sowie alle die Faktoren, die bei der erkrankten Person zur Geltung kommen, kennengelernt. Wo bleibt da ein Raum für eine therapeutische Einwirkung? Da ist zunächst die hereditäre Disposition; – wir kommen nicht oft auf sie zu sprechen, weil sie von anderer Seite energisch betont wird und wir nichts Neues zu ihr zu sagen haben. Aber glauben Sie nicht, daß wir sie unterschätzen; gerade als Therapeuten bekommen wir ihre Macht deutlich genug zu spüren. Jedenfalls können wir nichts an ihr ändern; sie bleibt auch für uns etwas Gegebenes, was unserer Bemühung Schranken setzt. Dann der Einfluß der frühen Kindererlebnisse, den wir in der Analyse voranzustellen gewohnt sind; sie gehören der Vergangenheit an, wir können sie nicht ungeschehen machen. Dann all das, was wir als die »reale Versagung« zusammengefaßt haben, als das Unglück des Lebens, aus dem die Entbehrung an Liebe hervorgeht, die Armut, der Familienzwist, das Ungeschick in der Ehewahl, die Ungunst der sozialen Verhältnisse und die Strenge der sittlichen Anforderungen, unter deren Druck eine Person steht. Da wären freilich Handhaben genug für eine sehr wirksame Therapie, aber es müßte eine Therapie sein, wie sie nach der Wiener Volkssage Kaiser Josef geübt hat, das wohltätige Eingreifen eines Mächtigen, vor dessen Willen Menschen sich beugen und Schwierigkeiten verschwinden. Aber wer sind wir, daß wir solches Wohltun als Mittel in unsere Therapie aufnehmen könnten? Selbst arm und gesellschaftlich ohnmächtig, genötigt von unserer ärztlichen Tätigkeit unseren Unterhalt zu bestreiten, sind wir nicht einmal in der Lage, unsere Bemühung auch dem Mittellosen zuzuwenden, wie es doch andere Ärzte bei anderen Behandlungsmethoden können. Unsere Therapie ist dafür zu zeitraubend und zu langwierig. Aber vielleicht klammern Sie sich an eines der angeführten Momente und glauben dort den Angriffspunkt für unsere Beeinflussung gefunden zu haben. Wenn die sittliche Beschränkung, die von der Gesellschaft gefordert wird, ihren Anteil an der dem Kranken auferlegten Entbehrung hat, so kann ihm ja die Behandlung den Mut oder direkt die Anweisung geben, sich über diese Schranken hinauszusetzen, sich Befriedigung und Genesung zu holen unter Verzicht auf die Erfüllung eines von der Gesellschaft hochgehaltenen, doch so oft nicht eingehaltenen Ideals. Man wird also dadurch gesund, daß man sich sexuell »auslebt«. Allerdings fällt dabei auf die analytische Behandlung der Schatten, daß sie nicht der allgemeinen Sittlichkeit dient. Was sie dem Einzelnen zuwendet, hat sie der Allgemeinheit entzogen.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xml:space="preserve">Aber, meine Damen und Herren, wer hat Sie denn so falsch berichtet? Es ist nicht die Rede davon, daß der Rat, sich sexuell auszuleben, in der analytischen Therapie eine Rolle spielen könnte. Schon darum nicht, weil wir selbst verkündet haben, bei den Kranken bestehe ein hartnäckiger Konflikt zwischen der libidinösen Regung und der Sexualverdrängung, zwischen der sinnlichen und der asketischen Richtung. Dieser Konflikt wird dadurch nicht aufgehoben, daß man einer dieser Richtungen zum Sieg über die gegnerische verhilft. Wir sehen es ja, daß beim Nervösen die Askese die Oberhand behalten hat. Die Folge </w:t>
      </w:r>
      <w:r w:rsidRPr="009C5A67">
        <w:rPr>
          <w:rFonts w:ascii="Garamond" w:hAnsi="Garamond"/>
          <w:lang w:val="en-US"/>
        </w:rPr>
        <w:lastRenderedPageBreak/>
        <w:t>davon ist gerade, daß sich die unterdrückte Sexualstrebung in Symptomen Luft schafft. Wenn wir jetzt im Gegenteil der Sinnlichkeit den Sieg verschaffen würden, so müßte sich die beiseite geschobene Sexualverdrängung durch Symptome ersetzen. Keine der beiden Entscheidungen kann den inneren Konflikt beenden, jedesmal bliebe ein Anteil unbefriedigt. Es gibt nur wenige Fälle, in denen der Konflikt so labil ist, daß ein Moment wie die Parteinahme des Arztes den Ausschlag geben kann, und diese Fälle bedürfen eigentlich keiner analytischen Behandlung. Personen, bei welchen dem Arzt ein solcher Einfluß zufallen kann, hätten denselben Weg auch ohne den Arzt gefunden. Sie wissen doch, wenn ein abstinenter junger Mann sich zum illegitimen Sexualverkehr entschließt oder eine unbefriedigte Frau bei einem anderen Manne Entschädigung sucht, so haben sie in der Regel nicht auf die Erlaubnis eines Arztes oder gar des Analytikers gewartet.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Man übersieht an dieser Sachlage gewöhnlich den einen wesentlichen Punkt, daß der pathogene Konflikt der Neurotiker nicht mit einem normalen Kampf seelischer Regungen, die auf demselben psychologischen Boden stehen, zu verwechseln ist. Es ist ein Widerstreit zwischen Mächten, von denen die eine es zur Stufe des Vorbewußten und Bewußten gebracht hat, die andere auf der Stufe des Unbewußten zurückgehalten worden ist. Darum kann der Konflikt zu keinem Austrag gebracht werden; die Streitenden kommen so wenig zueinander wie in dem bekannten Beispiel der Eisbär und der Walfisch. Eine wirkliche Entscheidung kann erst fallen, wenn sich die beiden auf demselben Boden treffen. Ich denke, dies zu ermöglichen, ist die einzige Aufgabe der Therapie.</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Und überdies kann ich Ihnen versichern, daß Sie falsch berichtet sind, wenn Sie annehmen, Rat und Leitung in den Angelegenheiten des Lebens sei ein integrierendes Stück der analytischen Beeinflussung. Im Gegenteil, wir lehnen eine solche Mentorrolle nach Möglichkeit ab, wollen nichts lieber erreichen, als daß der Kranke selbständig seine Entscheidungen treffe. In dieser Absicht fordern wir auch, daß er alle lebenswichtigen Entschlüsse über Berufswahl, wirtschaftliche Unternehmungen, Eheschließung oder Trennung über die Dauer der Behandlung zurückstelle und erst nach Beendigung derselben zur Ausführung bringe. Gestehen Sie nur, das ist alles anders, als Sie es sich vorgestellt haben. Nur bei gewissen sehr jugendlichen oder ganz hilf- und haltlosen Personen können wir die gewollte Beschränkung nicht durchsetzen. Bei ihnen müssen wir die Leistung des Arztes mit der des Erziehers kombinieren; wir sind uns dann unserer Verantwortung wohl bewußt und benehmen uns mit der notwendigen Vorsicht.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Aus dem Eifer, mit dem ich mich gegen den Vorwurf verteidige, daß der Nervöse in der analytischen Kur zum Sichausleben angeleitet wird, dürfen Sie aber nicht den Schluß ziehen, daß wir zu Gunsten der gesellschaftlichen Sittsamkeit auf ihn wirken. Das liegt uns zum mindesten ebenso ferne. Wir sind zwar keine Reformer, sondern bloß Beobachter, aber wir können nicht umhin, mit kritischen Augen zu beobachten, und haben es unmöglich gefunden, für die konventionelle Sexualmoral Partei zu nehmen, die Art, wie die Gesellschaft die Probleme des Sexuallebens praktisch zu ordnen versucht, hoch einzuschätzen. Wir können es der Gesellschaft glatt vorrechnen, daß das, was sie ihre Sittlichkeit heißt, mehr Opfer kostet, als es wert ist, und daß ihr Verfahren weder auf Wahrhaftigkeit beruht noch von Klugheit zeugt. Wir ersparen es unseren Patienten nicht, diese Kritik mitanzuhören, wir gewöhnen sie an vorurteilsfreie Erwägung der sexuellen Angelegenheiten wie aller anderen, und wenn sie, nach Vollendung ihrer Kur selbständig geworden, sich aus eigenem Ermessen zu irgendeiner mittleren Position zwischen dem vollen Ausleben und der unbedingten Askese entschließen, fühlen wir unser Gewissen durch keinen dieser Ausgänge belastet. Wir sagen uns, wer die Erziehung zur Wahrheit gegen sich selbst mit Erfolg durchgemacht hat, der ist gegen die Gefahr der Unsittlichkeit dauernd geschützt, mag sein Maßstab der Sittlichkeit auch von dem in der Gesellschaft gebräuchlichen irgendwie abweichen. Übrigens, hüten wir uns davor, die Bedeutung der Abstinenzfrage für die Beeinflussung der Neurosen zu überschätzen. Nur in einer Minderzahl kann der pathogenen Situation der Versagung mit darauffolgender Libidostauung durch die Art von Sexualverkehr ein Ende gemacht werden, die mit geringer Mühe zu erreichen ist.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lastRenderedPageBreak/>
        <w:t> </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Durch die Gestattung des sexuellen Auslebens können Sie also die therapeutische Wirkung der Psychoanalyse nicht erklären. Sehen Sie sich nach anderem um. Ich denke, während ich diese Ihre Mutmaßung abwies, hat eine Bemerkung von mir Sie auf die richtige Spur geführt. Es muß wohl die Ersetzung des Unbewußten durch Bewußtes, die Übersetzung des Unbewußten in Bewußtes sein, wodurch wir nützen. Richtig, das ist es auch. Indem wir das Unbewußte zum Bewußten fortsetzen, heben wir die Verdrängungen auf, beseitigen wir die Bedingungen für die Symptombildung, verwandeln wir den pathogenen Konflikt in einen normalen, der irgendwie eine Entscheidung finden muß. Nichts anderes als diese eine psychische Veränderung rufen wir beim Kranken hervor: so weit diese reicht, so weit trägt unsere Hilfeleistung. Wo keine Verdrängung oder ein ihr analoger psychischer Vorgang rückgängig zu machen ist, da hat auch unsere Therapie nichts zu suchen.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Wir können das Ziel unserer Bemühung in verschiedenen Formeln ausdrücken: Bewußtmachen des Unbewußten, Aufhebung der Verdrängungen, Ausfüllung der amnestischen Lücken, das kommt alles auf das gleiche hinaus. Aber vielleicht werden Sie von diesem Bekenntnis unbefriedigt sein. Sie haben sich unter dem Gesundwerden eines Nervösen etwas anderes vorgestellt, daß er ein anderer Mensch werde, nachdem er sich der mühseligen Arbeit einer Psychoanalyse unterzogen hat, und dann soll das ganze Ergebnis sein, daß er etwas weniger Unbewußtes und etwas mehr Bewußtes in sich hat als vorher. Nun, Sie unterschätzen wahrscheinlich die Bedeutung einer solchen inneren Veränderung. Der geheilte Nervöse ist wirklich ein anderer Mensch geworden, im Grunde ist er aber natürlich derselbe geblieben, d. h. er ist so geworden, wie er bestenfalls unter den günstigsten Bedingungen hätte werden können. Aber das ist sehr viel. Wenn Sie dann hören, was man alles tun muß und welcher Anstrengung es bedarf, um jene anscheinend geringfügige Veränderung in seinem Seelenleben durchzusetzen, wird Ihnen die Bedeutung eines solchen Unterschiedes im psychischen Niveau wohl glaubhaft erscheinen.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Ich schweife für einen Augenblick ab, um zu fragen, ob Sie wissen, was man eine kausale Therapie nennt? So heißt man nämlich ein Verfahren, welches nicht die Krankheitserscheinungen zum Angriffspunkt nimmt, sondern sich die Beseitigung der Krankheitsursachen vorsetzt. Ist nun unsere psychoanalytische eine kausale Therapie oder nicht? Die Antwort ist nicht einfach, gibt aber vielleicht Gelegenheit, uns von dem Unwert einer solchen Fragestellung zu überzeugen. Insoferne die analytische Therapie sich nicht die Beseitigung der Symptome zur nächsten Aufgabe setzt, benimmt sie sich wie eine kausale. In anderer Hinsicht können Sie sagen, sie sei es nicht. Wir haben nämlich die Kausalverkettung längst über die Verdrängungen hinaus verfolgt bis zu den Triebanlagen, deren relativen Intensitäten in der Konstitution und den Abweichungen ihres Entwicklungsganges. Nehmen Sie nun an, es wäre uns etwa auf chemischem Wege möglich, in dies Getriebe einzugreifen, die Quantität der jeweils vorhandenen Libido zu erhöhen oder herabzusetzen oder den einen Trieb auf Kosten eines anderen zu verstärken, so wäre dies eine im eigentlichen Sinne kausale Therapie, für welche unsere Analyse die unentbehrliche Vorarbeit der Rekognoszierung geleistet hätte. Von solcher Beeinflussung der Libidovorgänge ist derzeit, wie Sie wissen, keine Rede; mit unserer psychischen Therapie greifen wir an einer anderen Stelle des Zusammenhanges an, nicht gerade an den uns ersichtlichen Wurzeln der Phänomene, aber doch weit genug weg von den Symptomen, an einer Stelle, die uns durch sehr merkwürdige Verhältnisse zugänglich geworden ist.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xml:space="preserve">Was müssen wir also tun, um das Unbewußte bei unserem Patienten durch Bewußtes zu ersetzen? Wir haben einmal gemeint, das ginge ganz einfach, wir brauchten nur dies Unbewußte zu erraten und es ihm vorzusagen. Aber wir wissen schon, das war ein kurzsichtiger Irrtum. Unser Wissen um das Unbewußte ist nicht gleichwertig mit seinem Wissen; wenn wir ihm unser Wissen mitteilen, so hat er es nicht </w:t>
      </w:r>
      <w:r w:rsidRPr="009C5A67">
        <w:rPr>
          <w:rFonts w:ascii="Garamond" w:hAnsi="Garamond"/>
          <w:i/>
          <w:iCs/>
          <w:lang w:val="en-US"/>
        </w:rPr>
        <w:t>an Stelle</w:t>
      </w:r>
      <w:r w:rsidRPr="009C5A67">
        <w:rPr>
          <w:rFonts w:ascii="Garamond" w:hAnsi="Garamond"/>
          <w:lang w:val="en-US"/>
        </w:rPr>
        <w:t xml:space="preserve"> seines Unbewußten, sondern </w:t>
      </w:r>
      <w:r w:rsidRPr="009C5A67">
        <w:rPr>
          <w:rFonts w:ascii="Garamond" w:hAnsi="Garamond"/>
          <w:i/>
          <w:iCs/>
          <w:lang w:val="en-US"/>
        </w:rPr>
        <w:t>neben</w:t>
      </w:r>
      <w:r w:rsidRPr="009C5A67">
        <w:rPr>
          <w:rFonts w:ascii="Garamond" w:hAnsi="Garamond"/>
          <w:lang w:val="en-US"/>
        </w:rPr>
        <w:t xml:space="preserve"> demselben, und es ist sehr wenig geändert. Wir müssen uns vielmehr dieses Unbewußte </w:t>
      </w:r>
      <w:r w:rsidRPr="009C5A67">
        <w:rPr>
          <w:rFonts w:ascii="Garamond" w:hAnsi="Garamond"/>
          <w:i/>
          <w:iCs/>
          <w:lang w:val="en-US"/>
        </w:rPr>
        <w:t>topisch</w:t>
      </w:r>
      <w:r w:rsidRPr="009C5A67">
        <w:rPr>
          <w:rFonts w:ascii="Garamond" w:hAnsi="Garamond"/>
          <w:lang w:val="en-US"/>
        </w:rPr>
        <w:t xml:space="preserve"> vorstellen, müssen es in seiner Erinnerung dort aufsuchen, wo es durch eine </w:t>
      </w:r>
      <w:r w:rsidRPr="009C5A67">
        <w:rPr>
          <w:rFonts w:ascii="Garamond" w:hAnsi="Garamond"/>
          <w:lang w:val="en-US"/>
        </w:rPr>
        <w:lastRenderedPageBreak/>
        <w:t>Verdrängung zustande gekommen ist. Diese Verdrängung ist zu beseitigen, dann kann sich der Ersatz des Unbewußten durch Bewußtes glatt vollziehen. Wie hebt man nun eine solche Verdrängung auf? Unsere Aufgabe tritt hier in eine zweite Phase. Zuerst das Aufsuchen der Verdrängung, dann die Beseitigung des Widerstandes, welcher diese Verdrängung aufrechthält.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Wie schafft man den Widerstand weg? In der nämlichen Weise: indem man ihn errät und dem Patienten vorhält. Der Widerstand stammt ja auch aus einer Verdrängung, aus der nämlichen, die wir zu lösen suchen, oder aus einer früher vorgefallenen. Er wird ja von der Gegenbesetzung hergestellt, die sich zur Verdrängung der anstößigen Regung erhob. Wir tun also jetzt dasselbe, was wir schon anfangs tun wollten, deuten, erraten und es mitteilen; aber wir tun es jetzt an der richtigen Stelle. Die Gegenbesetzung oder der Widerstand gehört nicht dem Unbewußten, sondern dem Ich an, welches unser Mitarbeiter ist, und dies, selbst wenn sie nicht bewußt sein sollte. Wir wissen, es handelt sich hier um den Doppelsinn des Wortes »unbewußt«, einerseits als Phänomen, anderseits als System. Das scheint sehr schwierig und dunkel; aber nicht wahr, es ist doch nur Wiederholung? Wir sind längst darauf vorbereitet. – Wir erwarten, daß dieser Widerstand aufgegeben, die Gegenbesetzung eingezogen werden wird, wenn wir dem Ich die Erkenntnis desselben durch unsere Deutung ermöglicht haben. Mit welchen Triebkräften arbeiten wir denn in einem solchen Falle? Erstens mit dem Streben des Patienten gesund zu werden, das ihn bewogen hat, sich in die gemeinschaftliche Arbeit mit uns zu fügen, und zweitens mit der Hilfe seiner Intelligenz, welche wir durch unsere Deutung unterstützen. Es ist kein Zweifel, daß die Intelligenz des Kranken es leichter hat, den Widerstand zu erkennen und die dem Verdrängten entsprechende Übersetzung zu finden, wenn wir ihr die dazu passenden Erwartungsvorstellungen gegeben haben. Wenn ich Ihnen sage: schauen Sie auf den Himmel, da ist ein Luftballon zu sehen, so werden Sie ihn auch viel leichter finden, als wenn ich Sie bloß auffordere hinaufzuschauen, ob Sie irgend etwas entdecken. Auch der Student, der die ersten Male ins Mikroskop guckt, wird vom Lehrer unterrichtet, was er sehen soll, sonst sieht er es überhaupt nicht, obwohl es da und sichtbar ist.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Und nun die Tatsache. Bei einer ganzen Anzahl von Formen nervöser Erkrankung, bei den Hysterien, Angstzuständen, Zwangsneurosen trifft unsere Voraussetzung zu. Durch solches Aufsuchen der Verdrängung, Aufdecken der Widerstände, Andeuten des Verdrängten gelingt es wirklich, die Aufgabe zu lösen, also die Widerstände zu überwinden, die Verdrängung aufzuheben und das Unbewußte in Bewußtes zu verwandeln. Dabei gewinnen wir den klarsten Eindruck davon, wie sich um die Überwindung eines jeden Widerstandes ein heftiger Kampf in der Seele des Patienten abspielt, ein normaler Seelenkampf auf gleichem psychologischen Boden zwischen den Motiven, welche die Gegenbesetzung aufrechthalten wollen, und denen, die bereit sind, sie aufzugeben. Die ersteren sind die alten Motive, die seinerzeit die Verdrängung durchgesetzt haben; unter den letzteren befinden sich die neu hinzugekommenen, die hoffentlich den Konflikt in unserem Sinne entscheiden werden. Es ist uns gelungen, den alten Verdrängungskonflikt wieder aufzufrischen, den damals erledigten Prozeß zur Revision zu bringen. Als neues Material bringen wir erstens hinzu die Mahnung, daß die frühere Entscheidung zur Krankheit geführt hat, und das Versprechen, daß eine andere den Weg zur Genesung bahnen wird, zweitens die großartige Veränderung aller Verhältnisse seit dem Zeitpunkt jener ersten Abweisung. Damals war das Ich schwächlich, infantil, und hatte vielleicht Grund, die Libidoforderung als Gefahr zu ächten. Heute ist es erstarkt und erfahren und hat überdies in dem Arzt einen Helfer zur Seite. So dürfen wir erwarten, den aufgefrischten Konflikt zu einem besseren Ausgang als dem in Verdrängung zu leiten, und wie gesagt, bei den Hysterien, Angst- und Zwangsneurosen gibt der Erfolg uns prinzipiell recht.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xml:space="preserve">Nun gibt es aber andere Krankheitsformen, bei denen trotz der Gleichheit der Verhältnisse unser therapeutisches Vorgehen niemals Erfolg bringt. Es hat sich auch bei ihnen um einen ursprünglichen </w:t>
      </w:r>
      <w:r w:rsidRPr="009C5A67">
        <w:rPr>
          <w:rFonts w:ascii="Garamond" w:hAnsi="Garamond"/>
          <w:lang w:val="en-US"/>
        </w:rPr>
        <w:lastRenderedPageBreak/>
        <w:t>Konflikt zwischen dem Ich und der Libido gehandelt, der zur Verdrängung geführt hat – mag diese auch topisch anders zu charakterisieren sein –, es ist auch hier möglich, die Stellen aufzuspüren, an denen im Leben des Kranken die Verdrängungen vorgefallen sind, wir wenden das nämliche Verfahren an, sind zu denselben Versprechungen bereit, leisten dieselbe Hilfe durch Mitteilung von Erwartungsvorstellungen, und wiederum läuft die Zeitdifferenz zwischen der Gegenwart und jenen Verdrängungen zu Gunsten eines anderen Ausganges des Konflikts. Und doch gelingt es uns nicht, einen Widerstand aufzuheben oder eine Verdrängung zu beseitigen. Diese Patienten, Paranoiker, Melancholiker, mit Dementia praecox Behaftete, bleiben im ganzen ungerührt und gegen die psychoanalytische Therapie gefeit. Woher kann das kommen? Nicht von dem Mangel an Intelligenz; ein gewisses Maß von intellektueller Leistungsfähigkeit wird bei unseren Patienten natürlich erforderlich sein, aber daran fehlt es z. B. den so scharfsinnig kombinierenden Paranoikern sicherlich nicht. Auch von den anderen Triebkräften können wir keine vermissen. Die Melancholiker z. B. haben das Bewußtsein, krank zu sein und darum so schwer zu leiden, das den Paranoikern abgeht, in sehr hohem Maße, aber sie sind darum nicht zugänglicher. Wir stehen hier vor einer Tatsache, die wir nicht verstehen und die uns darum auch zweifeln heißt, ob wir den möglichen Erfolg bei den anderen Neurosen wirklich in all seinen Bedingungen verstanden haben.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Bleiben wir bei der Beschäftigung mit unseren Hysterikern und Zwangsneurotikern, so tritt uns alsbald eine zweite Tatsache entgegen, auf die wir in keiner Weise vorbereitet waren. Nach einer Weile müssen wir nämlich bemerken, daß diese Kranken sich gegen uns in ganz besonderer Art benehmen. Wir glaubten ja, uns von allen bei der Kur in Betracht kommenden Triebkräften Rechenschaft gegeben zu haben, die Situation zwischen uns und dem Patienten voll rationalisiert zu haben, so daß sie sich übersehen läßt wie ein Rechenexempel, und dann scheint sich doch etwas einzuschleichen, was in dieser Rechnung nicht in Anschlag gebracht worden ist. Dieses unerwartete Neue ist selbst vielgestaltig, ich werde zunächst die häufigere und leichter verständliche seiner Erscheinungsformen beschreiben.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Wir bemerken also, daß der Patient, der nichts anderes suchen soll als einen Ausweg aus seinen Leidenskonflikten, ein besonderes Interesse für die Person des Arztes entwickelt. Alles, was mit dieser Person zusammenhängt, scheint ihm bedeutungsvoller zu sein als seine eigenen Angelegenheiten und ihn von seinem Kranksein abzulenken. Der Verkehr mit ihm gestaltet sich demnach für eine Weile sehr angenehm; er ist besonders verbindlich, sucht sich, wo er kann, dankbar zu erweisen, zeigt Feinheiten und Vorzüge seines Wesens, die wir vielleicht nicht bei ihm gesucht hätten. Der Arzt faßt dann auch eine günstige Meinung vom Patienten und preist den Zufall, der ihm gestattet hat, gerade einer besonders wertvollen Persönlichkeit Hilfe zu leisten. Hat der Arzt Gelegenheit, mit Angehörigen des Patienten zu sprechen, so hört er mit Vergnügen, daß dies Gefallen gegenseitig ist. Der Patient wird zu Hause nicht müde, den Arzt zu loben, immer neue Vorzüge an ihm zu rühmen. »Er schwärmt für Sie, er vertraut Ihnen blind; alles, was Sie sagen, ist für ihn wie eine Offenbarung«, erzählen die Angehörigen. Hie und da sieht einer aus diesem Chorus schärfer und äußert: Es wird schon langweilig, wie er von nichts anderem spricht als von Ihnen und immer nur Sie im Munde führt.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Wir wollen hoffen, daß der Arzt bescheiden genug ist, diese Schätzung seiner Persönlichkeit durch den Patienten auf die Hoffnungen zurückzuführen, die er ihm machen kann, und auf die Erweiterung seines intellektuellen Horizonts durch die überraschenden und befreienden Eröffnungen, die die Kur mit sich bringt. Die Analyse macht unter diesen Bedingungen auch prächtige Fortschritte, der Patient versteht, was man ihm andeutet, vertieft sich in die Aufgaben, die ihm von der Kur gestellt werden, das Material von Erinnerungen und Einfällen strömt ihm reichlich zu, er überrascht den Arzt durch die Sicherheit und Triftigkeit seiner Deutungen, und dieser kann nur mit Genugtuung feststellen, wie bereitwillig ein Kranker alle die psychologischen Neuheiten aufnimmt, die bei den Gesunden in der Welt draußen den erbittertsten Widerspruch zu erregen pflegen. Dem guten Einvernehmen während der analytischen Arbeit entspricht auch eine objektive, von allen Seiten anerkannte Besserung des Krankheitszustandes.</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lastRenderedPageBreak/>
        <w:t xml:space="preserve">So schönes Wetter kann es aber nicht immer geben. </w:t>
      </w:r>
      <w:r w:rsidRPr="009C5A67">
        <w:rPr>
          <w:rFonts w:ascii="Garamond" w:hAnsi="Garamond"/>
        </w:rPr>
        <w:t xml:space="preserve">Eines Tages trübt es sich. </w:t>
      </w:r>
      <w:r w:rsidRPr="009C5A67">
        <w:rPr>
          <w:rFonts w:ascii="Garamond" w:hAnsi="Garamond"/>
          <w:lang w:val="en-US"/>
        </w:rPr>
        <w:t>Es stellen sich Schwierigkeiten in der Behandlung ein; der Patient behauptet, es falle ihm nichts mehr ein. Man hat den deutlichsten Eindruck, daß sein Interesse nicht mehr bei der Arbeit ist und daß er sich leichten Sinnes über die ihm gegebene Vorschrift hinaussetzt, alles zu sagen, was ihm durch den Sinn fährt, und keiner kritischen Abhaltung dagegen nachzugeben. Er benimmt sich wie außerhalb der Kur, so als ob er jenen Vertrag mit dem Arzt nicht abgeschlossen hätte; er ist offenbar von etwas eingenommen, was er aber für sich behalten will. Das ist eine für die Behandlung gefährliche Situation. Man steht unverkennbar vor einem gewaltigen Widerstand. Aber was ist da vorgefallen?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Wenn man imstande ist, die Situation wieder zu klären, so erkennt man als die Ursache der Störung, daß der Patient intensive zärtliche Gefühle auf den Arzt übertragen hat, zu denen ihn weder das Benehmen des Arztes noch die in der Kur entstandene Beziehung berechtigt. In welcher Form sich diese Zärtlichkeit äußert und welche Ziele sie anstrebt, das hängt natürlich von den persönlichen Verhältnissen der beiden Beteiligten ab. Handelt es sich um ein junges Mädchen und einen jüngeren Mann, so werden wir den Eindruck einer normalen Verliebtheit bekommen, werden es begreiflich finden, daß sich ein Mädchen in einen Mann verliebt, mit dem es viel allein sein und Intimes besprechen kann, der ihm in der vorteilhaften Position des überlegenen Helfers entgegentritt, und werden darüber wahrscheinlich übersehen, daß bei dem neurotischen Mädchen eher eine Störung der Liebesfähigkeit zu erwarten wäre. Je weiter sich dann die persönlichen Verhältnisse von Arzt und Patient von diesem angenommenen Fall entfernen, desto mehr wird es uns befremden, wenn wir trotzdem immer wieder dieselbe Gefühlsbeziehung hergestellt finden. Es mag noch angehen, wenn die junge, in der Ehe unglückliche Frau von einer ernsten Leidenschaft für ihren selbst noch freien Arzt erfaßt scheint, wenn sie bereit ist, die Scheidung ihrer Ehe anzustreben, um ihm anzugehören, oder im Falle sozialer Hemmnisse selbst kein Bedenken äußert, ein heimliches Liebesverhältnis mit ihm einzugehen. Dergleichen kommt ja auch sonst außerhalb der Psychoanalyse vor. Man hört nun aber unter diesen Umständen mit Erstaunen Äußerungen von Seiten der Frauen und Mädchen, welche eine ganz bestimmte Stellungnahme zum therapeutischen Problem bekunden: sie hätten immer gewußt, daß sie nur durch die Liebe gesund werden können, und von Beginn der Behandlung an erwartet, daß ihnen durch diesen Verkehr endlich geschenkt werde, was ihnen das Leben bisher vorenthalten. Nur dieser Hoffnung wegen hätten sie sich so viel Mühe in der Kur gegeben und alle Schwierigkeiten der Mitteilung überwunden. Wir werden für uns hinzusetzen: und alles, was sonst zu glauben schwerfällt, so leicht verstanden. Aber ein solches Geständnis überrascht uns; es wirft unsere Berechnungen über den Haufen. Könnte es sein, daß wir den wichtigsten Posten aus unserem Ansatz weggelassen haben?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Und wirklich, je weiter wir in der Erfahrung kommen, desto weniger können wir dieser für unsere Wissenschaftlichkeit beschämenden Korrektur widerstreben. Die ersten Male konnte man etwa glauben, die analytische Kur sei auf eine Störung durch ein zufälliges, d. h. nicht in ihrer Absicht liegendes und von ihr nicht hervorgerufenes Ereignis gestoßen. Aber wenn sich eine solche zärtliche Bindung des Patienten an den Arzt regelmäßig bei jedem neuen Falle wiederholt, wenn sie unter den ungünstigsten Bedingungen, bei geradezu grotesken Mißverhältnissen immer wieder zum Vorschein kommt, auch bei der gealterten Frau, auch gegen den graubärtigen Mann, auch dort, wo nach unserem Urteil keinerlei Verlockungen bestehen, dann müssen wir doch die Idee eines störenden Zufalles aufgeben und erkennen, daß es sich um ein Phänomen handelt, welches mit dem Wesen des Krankseins selbst im Innersten zusammenhängt.</w:t>
      </w:r>
    </w:p>
    <w:p w:rsidR="00062BE4" w:rsidRPr="009C5A67" w:rsidRDefault="00062BE4" w:rsidP="00062BE4">
      <w:pPr>
        <w:spacing w:before="100" w:beforeAutospacing="1" w:after="100" w:afterAutospacing="1"/>
        <w:rPr>
          <w:rFonts w:ascii="Garamond" w:hAnsi="Garamond"/>
        </w:rPr>
      </w:pPr>
      <w:r w:rsidRPr="009C5A67">
        <w:rPr>
          <w:rFonts w:ascii="Garamond" w:hAnsi="Garamond"/>
          <w:lang w:val="en-US"/>
        </w:rPr>
        <w:t xml:space="preserve">Die neue Tatsache, welche wir also widerstrebend anerkennen, heißen wir die </w:t>
      </w:r>
      <w:r w:rsidRPr="009C5A67">
        <w:rPr>
          <w:rFonts w:ascii="Garamond" w:hAnsi="Garamond"/>
          <w:i/>
          <w:iCs/>
          <w:lang w:val="en-US"/>
        </w:rPr>
        <w:t>Übertragung</w:t>
      </w:r>
      <w:r w:rsidRPr="009C5A67">
        <w:rPr>
          <w:rFonts w:ascii="Garamond" w:hAnsi="Garamond"/>
          <w:lang w:val="en-US"/>
        </w:rPr>
        <w:t xml:space="preserve">. Wir meinen eine Übertragung von Gefühlen auf die Person des Arztes, weil wir nicht glauben, daß die Situation der Kur eine Entstehung solcher Gefühle rechtfertigen könne. Vielmehr vermuten wir, daß die ganze Gefühlsbereitschaft anderswoher stammt, in der Kranken vorbereitet war und bei der Gelegenheit der analytischen Behandlung auf die Person des Arztes übertragen wird. Die Übertragung kann als stürmische </w:t>
      </w:r>
      <w:r w:rsidRPr="009C5A67">
        <w:rPr>
          <w:rFonts w:ascii="Garamond" w:hAnsi="Garamond"/>
          <w:lang w:val="en-US"/>
        </w:rPr>
        <w:lastRenderedPageBreak/>
        <w:t xml:space="preserve">Liebesforderung auftreten oder in gemäßigteren Formen; an Stelle des Wunsches, Geliebte zu sein, kann zwischen dem jungen Mädchen und dem alten Mann der Wunsch auftauchen, als bevorzugte Tochter angenommen zu werden, das libidinöse Streben kann sich zum Vorschlag einer unzertrennlichen, aber ideal unsinnlichen Freundschaft mildern. Manche Frauen verstehen es, die Übertragung zu sublimieren und an ihr zu modeln, bis sie eine Art von Existenzfähigkeit gewinnt; andere müssen sie in ihrer rohen, ursprünglichen, zumeist unmöglichen Gestalt äußern. </w:t>
      </w:r>
      <w:r w:rsidRPr="009C5A67">
        <w:rPr>
          <w:rFonts w:ascii="Garamond" w:hAnsi="Garamond"/>
        </w:rPr>
        <w:t>Aber es ist im Grunde immer das gleiche und läßt die Herkunft aus derselben Quelle nie verkennen.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xml:space="preserve">Ehe wir uns fragen, wo wir die neue Tatsache der Übertragung unterbringen wollen, wollen wir ihre Beschreibung vervollständigen. Wie ist es denn bei männlichen Patienten? Da dürfte man doch hoffen, der lästigen Einmengung der Geschlechtsverschiedenheit und Geschlechtsanziehung zu entgehen. Nun, nicht viel anders als bei weiblichen, muß die Antwort lauten. Dieselbe Bindung an den Arzt, dieselbe Überschätzung seiner Eigenschaften, das nämliche Aufgehen in dessen Interessen, die gleiche Eifersucht gegen alle, die ihm im Leben nahestehen. Die sublimierten Formen der Übertragung sind zwischen Mann und Mann in dem Maße häufiger und die direkte Sexualforderung seltener, in welchem die manifeste Homosexualität gegen die anderen Verwendungen dieser Triebkomponente zurücktritt. Bei seinen männlichen Patienten beobachtet der Arzt auch häufiger als bei Frauen eine Erscheinungsform der Übertragung, welche auf den ersten Blick allem bisher Beschriebenen zu widersprechen scheint, die feindselige oder </w:t>
      </w:r>
      <w:r w:rsidRPr="009C5A67">
        <w:rPr>
          <w:rFonts w:ascii="Garamond" w:hAnsi="Garamond"/>
          <w:i/>
          <w:iCs/>
          <w:lang w:val="en-US"/>
        </w:rPr>
        <w:t>negative</w:t>
      </w:r>
      <w:r w:rsidRPr="009C5A67">
        <w:rPr>
          <w:rFonts w:ascii="Garamond" w:hAnsi="Garamond"/>
          <w:lang w:val="en-US"/>
        </w:rPr>
        <w:t xml:space="preserve"> Übertragung.</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Machen wir uns zunächst klar, daß die Übertragung sich vom Anfang der Behandlung an beim Patienten ergibt und eine Weile die stärkste Triebfeder der Arbeit darstellt. Man verspürt nichts von ihr und braucht sich auch nicht um sie zu bekümmern, solange sie zu Gunsten der gemeinsam betriebenen Analyse wirkt. Wandelt sie sich dann zum Widerstand, so muß man ihr Aufmerksamkeit zuwenden und erkennt, daß sie unter zwei verschiedenen und entgegengesetzten Bedingungen ihr Verhältnis zur Kur geändert hat, erstens wenn sie als zärtliche Neigung so stark geworden ist, so deutlich die Zeichen ihrer Herkunft aus dem Sexualbedürfnis verraten hat, daß sie ein inneres Widerstreben gegen sich wachrufen muß, und zweitens, wenn sie aus feindseligen anstatt aus zärtlichen Regungen besteht. Die feindseligen Gefühle kommen in der Regel später als die zärtlichen und hinter ihnen zum Vorschein; in ihrem gleichzeitigen Bestand ergeben sie eine gute Spiegelung der Gefühlsambivalenz, welche in den meisten unserer intimen Beziehungen zu anderen Menschen herrscht. Die feindlichen Gefühle bedeuten ebenso eine Gefühlsbindung wie die zärtlichen, ebenso wie der Trotz dieselbe Abhängigkeit bedeutet wie der Gehorsam, wenn auch mit entgegengesetztem Vorzeichen. Daß die feindlichen Gefühle gegen den Arzt den Namen einer »Übertragung« verdienen, kann uns nicht zweifelhaft sein, denn zu ihrer Entstehung gibt die Situation der Kur gewiß keinen zureichenden Anlaß; die notwendige Auffassung der negativen Übertragung versichert uns so, daß wir in der Beurteilung der positiven oder zärtlichen nicht irregegangen sind.</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xml:space="preserve">Woher die Übertragung stammt, welche Schwierigkeiten sie uns bereitet, wie wir sie überwinden und welchen Nutzen wir schließlich aus ihr ziehen, das ist ausführlich in einer technischen Unterweisung zur Analyse zu behandeln und soll heute von mir nur gestreift werden. Es ist ausgeschlossen, daß wir den aus der Übertragung folgenden Forderungen des Patienten nachgeben, es wäre widersinnig, sie unfreundlich oder gar entrüstet abzuweisen; wir überwinden die Übertragung, indem wir dem Kranken nachweisen, daß seine Gefühle nicht aus der gegenwärtigen Situation stammen und nicht der Person des Arztes gelten, sondern daß sie wiederholen, was bei ihm bereits früher einmal vorgefallen ist. Auf solche Weise nötigen wir ihn, seine Wiederholung in Erinnerung zu verwandeln. Dann wird die Übertragung, die, ob zärtlich oder feindselig, in jedem Falle die stärkste Bedrohung der Kur zu bedeuten schien, zum besten Werkzeug </w:t>
      </w:r>
      <w:r w:rsidRPr="009C5A67">
        <w:rPr>
          <w:rFonts w:ascii="Garamond" w:hAnsi="Garamond"/>
          <w:lang w:val="en-US"/>
        </w:rPr>
        <w:lastRenderedPageBreak/>
        <w:t>derselben, mit dessen Hilfe sich die verschlossensten Fächer des Seelenlebens eröffnen lassen. Ich möchte Ihnen aber einige Worte sagen, um Sie von dem Befremden über das Auftreten dieses unerwarteten Phänomens zu befreien. Wir wollen doch nicht vergessen, daß die Krankheit des Patienten, den wir zur Analyse übernehmen, nichts Abgeschlossenes, Erstarrtes ist, sondern weiterwächst und ihre Entwicklung fortsetzt wie ein lebendes Wesen. Der Beginn der Behandlung macht dieser Entwicklung kein Ende, aber wenn die Kur sich erst des Kranken bemächtigt hat, dann ergibt es sich, daß die gesamte Neuproduktion der Krankheit sich auf eine einzige Stelle wirft, nämlich auf das Verhältnis zum Arzt. Die Übertragung wird so der Cambiumschicht zwischen Holz und Rinde eines Baumes vergleichbar, von welcher Gewebsneubildung und Dickenwachstum des Stammes ausgehen. Hat sich die Übertragung erst zu dieser Bedeutung aufgeschwungen, so tritt die Arbeit an den Erinnerungen des Kranken weit zurück. Es ist dann nicht unrichtig zu sagen, daß man es nicht mehr mit der früheren Krankheit des Patienten zu tun hat, sondern mit einer neugeschaffenen und umgeschaffenen Neurose, welche die erstere ersetzt. Diese Neuauflage der alten Affektion hat man von Anfang an verfolgt, man hat sie entstehen und wachsen gesehen und findet sich in ihr besonders gut zurecht, weil man selbst als Objekt in ihrem Mittelpunkt steht. Alle Symptome des Kranken haben ihre ursprüngliche Bedeutung aufgegeben und sich auf einen neuen Sinn eingerichtet, der in einer Beziehung zur Übertragung besteht. Oder es sind nur solche Symptome bestehen geblieben, denen eine solche Umarbeitung gelingen konnte. Die Bewältigung dieser neuen künstlichen Neurose fällt aber zusammen mit der Erledigung der in die Kur mitgebrachten Krankheit, mit der Lösung unserer therapeutischen Aufgabe. Der Mensch, der im Verhältnis zum Arzt normal und frei von der Wirkung verdrängter Triebregungen geworden ist, bleibt auch so in seinem Eigenleben, wenn der Arzt sich wieder ausgeschaltet hat.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Diese außerordentliche, für die Kur geradezu zentrale Bedeutung hat die Übertragung bei den Hysterien, Angsthysterien und Zwangsneurosen, die darum mit Recht als »</w:t>
      </w:r>
      <w:r w:rsidRPr="009C5A67">
        <w:rPr>
          <w:rFonts w:ascii="Garamond" w:hAnsi="Garamond"/>
          <w:i/>
          <w:iCs/>
          <w:lang w:val="en-US"/>
        </w:rPr>
        <w:t>Übertragungsneurosen</w:t>
      </w:r>
      <w:r w:rsidRPr="009C5A67">
        <w:rPr>
          <w:rFonts w:ascii="Garamond" w:hAnsi="Garamond"/>
          <w:lang w:val="en-US"/>
        </w:rPr>
        <w:t>« zusammengefaßt werden. Wer sich aus der analytischen Arbeit den vollen Eindruck von der Tatsache der Übertragung geholt hat, der kann nicht mehr bezweifeln, von welcher Art die unterdrückten Regungen sind, die sich in den Symptomen dieser Neurosen Ausdruck verschaffen, und verlangt nach keinem kräftigeren Beweis für deren libidinöse Natur. Wir dürfen sagen, unsere Überzeugung von der Bedeutung der Symptome als libidinöse Ersatzbefriedigungen ist erst durch die Einreihung der Übertragung endgültig gefestigt worden.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Nun haben wir allen Grund, unsere frühere dynamische Auffassung des Heilungsvorganges zu verbessern und sie mit der neuen Einsicht in Einklang zu bringen. Wenn der Kranke den Normalkonflikt mit den Widerständen durchzukämpfen hat, die wir ihm in der Analyse aufgedeckt haben, so bedarf er eines mächtigen Antriebes, der die Entscheidung in dem von uns gewünschten, zur Genesung führenden Sinne beeinflußt. Sonst könnte es geschehen, daß er sich für die Wiederholung des früheren Ausganges entscheidet und das ins Bewußtsein Gehobene wieder in die Verdrängung gleiten läßt. Den Ausschlag in diesem Kampfe gibt dann nicht seine intellektuelle Einsicht – die ist weder stark noch frei genug für solche Leistung –, sondern einzig sein Verhältnis zum Arzt. Soweit seine Übertragung von positivem Vorzeichen ist, bekleidet sie den Arzt mit Autorität, setzt sie sich in Glauben an seine Mitteilungen und Auffassungen um. Ohne solche Übertragung, oder wenn sie negativ ist, würde er den Arzt und dessen Argumente nicht einmal zu Gehör kommen lassen. Der Glaube wiederholt dabei seine eigene Entstehungsgeschichte; er ist ein Abkömmling der Liebe und hat zuerst der Argumente nicht bedurft. Erst später hat er ihnen so viel eingeräumt, daß er sie in prüfende Betrachtung zieht, wenn sie von einer ihm lieben Person vorgebracht werden. Argumente ohne solche Stütze haben nicht gegolten, gelten bei den meisten Menschen niemals im Leben etwas. Der Mensch ist also im allgemeinen auch von der intellektuellen Seite her nur insoweit zugänglich, als er der libidinösen Objektbesetzung fähig ist, und wir haben guten Grund, in dem Ausmaß seines Narzißmus eine Schranke für seine Beeinflußbarkeit auch für die beste analytische Technik zu erkennen und zu fürchten.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lastRenderedPageBreak/>
        <w:t>Die Fähigkeit, libidinöse Objektbesetzungen auch auf Personen zu richten, muß ja allen normalen Menschen zugesprochen werden. Die Übertragungsneigung der genannten Neurotiker ist nur eine außerordentliche Steigerung dieser allgemeinen Eigenschaft. Nun wäre es doch sehr sonderbar, wenn ein menschlicher Charakterzug von solcher Verbreitung und Bedeutung nie bemerkt und nie verwertet worden wäre. Das ist auch wirklich geschehen. Bernheim hat die Lehre von den hypnotischen Erscheinungen mit unbeirrtem Scharfblick auf den Satz begründet, daß alle Menschen irgendwie suggerierbar, »suggestibel« sind. Seine Suggestibilität ist nichts anderes als die Neigung zur Übertragung, etwas zu enge gefaßt, so daß die negative Übertragung keinen Raum darin fand. Aber Bernheim konnte nie sagen, was die Suggestion eigentlich ist und wie sie zustande kommt. Sie war für ihn eine Grundtatsache, für deren Herkunft er keinen Nachweis geben konnte. Er hat die Abhängigkeit der »</w:t>
      </w:r>
      <w:r w:rsidRPr="009C5A67">
        <w:rPr>
          <w:rFonts w:ascii="Garamond" w:hAnsi="Garamond"/>
          <w:i/>
          <w:iCs/>
          <w:lang w:val="en-US"/>
        </w:rPr>
        <w:t>suggestibilité</w:t>
      </w:r>
      <w:r w:rsidRPr="009C5A67">
        <w:rPr>
          <w:rFonts w:ascii="Garamond" w:hAnsi="Garamond"/>
          <w:lang w:val="en-US"/>
        </w:rPr>
        <w:t>« von der Sexualität, von der Betätigung der Libido nicht erkannt. Und wir müssen gewahr werden, daß wir in unserer Technik die Hypnose nur aufgegeben haben, um die Suggestion in der Gestalt der Übertragung wiederzuentdecken.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Jetzt halte ich aber ein und lasse Ihnen das Wort. Ich merke, eine Einwendung schwillt bei Ihnen so mächtig an, daß sie Ihnen die Fähigkeit rauben würde zuzuhören, würde man sie nicht zu Worte kommen lassen: »Also Sie haben endlich zugestanden, daß Sie mit der Hilfskraft der Suggestion arbeiten wie die Hypnotiker. Das haben wir uns ja schon lange gedacht. Aber dann, wozu der Umweg über die Erinnerungen der Vergangenheit, die Aufdeckung des Unbewußten, die Deutung und Rückübersetzung der Entstellungen, der ungeheure Aufwand an Mühe, Zeit und Geld, wenn das einzig Wirksame doch nur die Suggestion ist? Warum suggerieren Sie nicht direkt gegen die Symptome, wie es die anderen tun, die ehrlichen Hypnotiseure? Und ferner, wenn Sie sich entschuldigen wollen, auf dem Umweg, den Sie gehen, haben Sie zahlreiche bedeutsame psychologische Funde gemacht, die sich bei der direkten Suggestion verbergen: wer steht denn jetzt für die Sicherheit dieser Funde ein? Sind die nicht auch ein Ergebnis der Suggestion, der unbeabsichtigten nämlich; können Sie denn nicht dem Kranken auch auf diesem Gebiete aufdrängen, was Sie wollen und was Ihnen richtig scheint?«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xml:space="preserve">Was Sie mir da einwerfen, ist ungemein interessant und muß beantwortet werden. </w:t>
      </w:r>
      <w:r w:rsidRPr="009C5A67">
        <w:rPr>
          <w:rFonts w:ascii="Garamond" w:hAnsi="Garamond"/>
        </w:rPr>
        <w:t xml:space="preserve">Aber heute kann ich's nicht mehr, es fehlt uns die Zeit. </w:t>
      </w:r>
      <w:r w:rsidRPr="009C5A67">
        <w:rPr>
          <w:rFonts w:ascii="Garamond" w:hAnsi="Garamond"/>
          <w:lang w:val="en-US"/>
        </w:rPr>
        <w:t>Auf nächstes Mal also. Sie werden sehen, ich stehe Ihnen Rede. Für heute muß ich noch das Begonnene zu Ende bringen. Ich habe versprochen, Ihnen mit Hilfe der Tatsache der Übertragung verständlich zu machen, warum unsere therapeutische Bemühung bei den narzißtischen Neurosen keinen Erfolg hat.</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Ich kann es mit wenigen Worten tun, und Sie werden sehen, wie einfach sich das Rätsel löst und wie gut alles zusammenstimmt. Die Beobachtung läßt erkennen, daß die an narzißtischen Neurosen Erkrankten keine Übertragungsfähigkeit haben oder nur ungenügende Reste davon. Sie lehnen den Arzt ab, nicht in Feindseligkeit, sondern in Gleichgültigkeit. Darum sind sie auch nicht durch ihn zu beeinflussen; was er sagt, läßt sie kalt, macht ihnen keinen Eindruck, darum kann sich der Heilungsmechanismus, den wir bei den anderen durchsetzen, die Erneuerung des pathogenen Konfliktes und die Überwindung des Verdrängungswiderstandes bei ihnen nicht herstellen. Sie bleiben, wie sie sind. Sie haben häufig bereits Herstellungsversuche auf eigene Faust unternommen, die zu pathologischen Ergebnissen geführt haben; wir können nichts daran ändern.</w:t>
      </w:r>
    </w:p>
    <w:p w:rsidR="00062BE4" w:rsidRPr="009C5A67" w:rsidRDefault="00062BE4" w:rsidP="00062BE4">
      <w:pPr>
        <w:spacing w:before="100" w:beforeAutospacing="1" w:after="100" w:afterAutospacing="1"/>
        <w:rPr>
          <w:rFonts w:ascii="Garamond" w:hAnsi="Garamond"/>
          <w:lang w:val="en-US"/>
        </w:rPr>
      </w:pPr>
      <w:r w:rsidRPr="009C5A67">
        <w:rPr>
          <w:rFonts w:ascii="Garamond" w:hAnsi="Garamond"/>
          <w:lang w:val="en-US"/>
        </w:rPr>
        <w:t xml:space="preserve">Auf Grund unserer klinischen Eindrücke von diesen Kranken hatten wir behauptet, bei ihnen müsse die Objektbesetzung aufgegeben und die Objektlibido in Ichlibido umgesetzt worden sein. Durch diesen Charakter hatten wir sie von der ersten Gruppe von Neurotikern (Hysterie, Angst- und Zwangsneurose) </w:t>
      </w:r>
      <w:r w:rsidRPr="009C5A67">
        <w:rPr>
          <w:rFonts w:ascii="Garamond" w:hAnsi="Garamond"/>
          <w:lang w:val="en-US"/>
        </w:rPr>
        <w:lastRenderedPageBreak/>
        <w:t>geschieden. Ihr Verhalten beim therapeutischen Versuch bestätigt nun diese Vermutung. Sie zeigen keine Übertragung und darum sind sie auch für unsere Bemühung unzugänglich, durch uns nicht heilbar.</w:t>
      </w:r>
    </w:p>
    <w:p w:rsidR="00062BE4" w:rsidRPr="009C5A67" w:rsidRDefault="00062BE4" w:rsidP="00062BE4">
      <w:pPr>
        <w:rPr>
          <w:rFonts w:ascii="Garamond" w:hAnsi="Garamond" w:cs="Arial"/>
          <w:lang w:val="en-US"/>
        </w:rPr>
      </w:pPr>
    </w:p>
    <w:p w:rsidR="00062BE4" w:rsidRPr="009C5A67" w:rsidRDefault="00062BE4" w:rsidP="00062BE4">
      <w:pPr>
        <w:rPr>
          <w:rStyle w:val="Lienhypertexte"/>
          <w:rFonts w:ascii="Garamond" w:hAnsi="Garamond" w:cs="Arial"/>
          <w:vanish/>
        </w:rPr>
      </w:pPr>
      <w:r w:rsidRPr="009C5A67">
        <w:rPr>
          <w:rFonts w:ascii="Garamond" w:hAnsi="Garamond" w:cs="Arial"/>
          <w:lang w:val="en-US"/>
        </w:rPr>
        <w:br w:type="page"/>
      </w:r>
      <w:r w:rsidR="00B437A1">
        <w:rPr>
          <w:rFonts w:ascii="Garamond" w:hAnsi="Garamond" w:cs="Arial"/>
          <w:b/>
          <w:bCs/>
          <w:lang w:val="en-GB"/>
        </w:rPr>
        <w:lastRenderedPageBreak/>
        <w:fldChar w:fldCharType="begin"/>
      </w:r>
      <w:r>
        <w:rPr>
          <w:rFonts w:ascii="Garamond" w:hAnsi="Garamond" w:cs="Arial"/>
          <w:b/>
          <w:bCs/>
          <w:lang w:val="en-GB"/>
        </w:rPr>
        <w:instrText xml:space="preserve"> HYPERLINK  \l "Vorlesungen_Inhalt" </w:instrText>
      </w:r>
      <w:r w:rsidR="00B437A1">
        <w:rPr>
          <w:rFonts w:ascii="Garamond" w:hAnsi="Garamond" w:cs="Arial"/>
          <w:b/>
          <w:bCs/>
          <w:lang w:val="en-GB"/>
        </w:rPr>
        <w:fldChar w:fldCharType="separate"/>
      </w:r>
    </w:p>
    <w:p w:rsidR="00062BE4" w:rsidRPr="002F7766" w:rsidRDefault="00062BE4" w:rsidP="00062BE4">
      <w:pPr>
        <w:rPr>
          <w:rFonts w:ascii="Garamond" w:hAnsi="Garamond" w:cs="Arial"/>
          <w:b/>
          <w:bCs/>
          <w:lang w:val="en-GB"/>
        </w:rPr>
      </w:pPr>
      <w:r w:rsidRPr="009C5A67">
        <w:rPr>
          <w:rStyle w:val="Lienhypertexte"/>
          <w:rFonts w:ascii="Garamond" w:hAnsi="Garamond" w:cs="Arial"/>
          <w:b/>
          <w:bCs/>
          <w:lang w:val="en-GB"/>
        </w:rPr>
        <w:t>28. Vo</w:t>
      </w:r>
      <w:bookmarkStart w:id="295" w:name="Vorlesungen_28"/>
      <w:bookmarkEnd w:id="295"/>
      <w:r w:rsidRPr="009C5A67">
        <w:rPr>
          <w:rStyle w:val="Lienhypertexte"/>
          <w:rFonts w:ascii="Garamond" w:hAnsi="Garamond" w:cs="Arial"/>
          <w:b/>
          <w:bCs/>
          <w:lang w:val="en-GB"/>
        </w:rPr>
        <w:t>rlesung. Die analytische Therapie</w:t>
      </w:r>
      <w:r w:rsidR="00B437A1">
        <w:rPr>
          <w:rFonts w:ascii="Garamond" w:hAnsi="Garamond" w:cs="Arial"/>
          <w:b/>
          <w:bCs/>
          <w:lang w:val="en-GB"/>
        </w:rPr>
        <w:fldChar w:fldCharType="end"/>
      </w:r>
    </w:p>
    <w:p w:rsidR="00062BE4" w:rsidRDefault="00062BE4" w:rsidP="00062BE4">
      <w:pPr>
        <w:rPr>
          <w:rFonts w:ascii="Garamond" w:hAnsi="Garamond" w:cs="Arial"/>
          <w:lang w:val="en-GB"/>
        </w:rPr>
      </w:pPr>
    </w:p>
    <w:p w:rsidR="00062BE4" w:rsidRPr="002F7766" w:rsidRDefault="00062BE4" w:rsidP="00062BE4">
      <w:pPr>
        <w:rPr>
          <w:rFonts w:ascii="Garamond" w:hAnsi="Garamond" w:cs="Arial"/>
          <w:lang w:val="en-GB"/>
        </w:rPr>
      </w:pPr>
      <w:r w:rsidRPr="002F7766">
        <w:rPr>
          <w:rFonts w:ascii="Garamond" w:hAnsi="Garamond" w:cs="Arial"/>
          <w:lang w:val="en-GB"/>
        </w:rPr>
        <w:t>Meine Damen und Herren! Sie wissen, worüber wir heute sprechen werden. Sie haben mich gefragt, warum wir uns in der psychoanalytischen Therapie nicht der direkten Suggestion bedienen, wenn wir zugeben, daß unser Einfluß wesentlich auf Übertragung, d.i. auf Suggestion, beruht, und haben daran den Zweifel geknüpft, ob wir bei einer solchen Vorherrschaft der Suggestion noch für die Objektivität unserer psychologischen Funde einstehen können. Ich habe versprochen, Ihnen ausführliche Antwort zu geben.</w:t>
      </w:r>
    </w:p>
    <w:p w:rsidR="00062BE4" w:rsidRPr="002F7766" w:rsidRDefault="00062BE4" w:rsidP="00062BE4">
      <w:pPr>
        <w:rPr>
          <w:rFonts w:ascii="Garamond" w:hAnsi="Garamond" w:cs="Arial"/>
          <w:lang w:val="en-GB"/>
        </w:rPr>
      </w:pPr>
      <w:r w:rsidRPr="002F7766">
        <w:rPr>
          <w:rFonts w:ascii="Garamond" w:hAnsi="Garamond" w:cs="Arial"/>
          <w:lang w:val="en-GB"/>
        </w:rPr>
        <w:t>Direkte Suggestion, das ist Suggestion gegen die Äußerung der Symptome gerichtet, Kampf zwischen Ihrer Autorität und den Motiven des Krankseins. Sie kümmern sich dabei um diese Motive nicht, fordern vom Kranken nur, daß er deren Äußerung in Symptomen unterdrücke. Es macht dann keinen prinzipiellen Unterschied, ob Sie den Kranken in Hypnose versetzen oder nicht. Bernheim hat wiederum mit der ihn auszeichnenden Schärfe behauptet, daß die Suggestion das Wesentliche an den Erscheinungen des Hypnotismus sei, die Hypnose aber selbst schon ein Erfolg der Suggestion, ein suggerierter Zustand, und er hat mit Vorliebe die Suggestion im Wachen geübt, die dasselbe leisten kann wie die Suggestion in der Hypnose.</w:t>
      </w:r>
    </w:p>
    <w:p w:rsidR="00062BE4" w:rsidRPr="002F7766" w:rsidRDefault="00062BE4" w:rsidP="00062BE4">
      <w:pPr>
        <w:rPr>
          <w:rFonts w:ascii="Garamond" w:hAnsi="Garamond" w:cs="Arial"/>
          <w:lang w:val="en-GB"/>
        </w:rPr>
      </w:pPr>
      <w:r w:rsidRPr="002F7766">
        <w:rPr>
          <w:rFonts w:ascii="Garamond" w:hAnsi="Garamond" w:cs="Arial"/>
          <w:lang w:val="en-GB"/>
        </w:rPr>
        <w:t>Was wollen Sie nun in dieser Frage zuerst anhören, die Aussagung der Erfahrung oder theoretische Überlegungen?</w:t>
      </w:r>
    </w:p>
    <w:p w:rsidR="00062BE4" w:rsidRPr="002F7766" w:rsidRDefault="00062BE4" w:rsidP="00062BE4">
      <w:pPr>
        <w:rPr>
          <w:rFonts w:ascii="Garamond" w:hAnsi="Garamond" w:cs="Arial"/>
          <w:lang w:val="en-GB"/>
        </w:rPr>
      </w:pPr>
      <w:r w:rsidRPr="002F7766">
        <w:rPr>
          <w:rFonts w:ascii="Garamond" w:hAnsi="Garamond" w:cs="Arial"/>
          <w:lang w:val="en-GB"/>
        </w:rPr>
        <w:t xml:space="preserve">Beginnen wir mit der ersteren. Ich war Schüler von Bernheim, den ich </w:t>
      </w:r>
      <w:smartTag w:uri="urn:schemas-microsoft-com:office:smarttags" w:element="metricconverter">
        <w:smartTagPr>
          <w:attr w:name="ProductID" w:val="1889 in"/>
        </w:smartTagPr>
        <w:r w:rsidRPr="002F7766">
          <w:rPr>
            <w:rFonts w:ascii="Garamond" w:hAnsi="Garamond" w:cs="Arial"/>
            <w:lang w:val="en-GB"/>
          </w:rPr>
          <w:t>1889 in</w:t>
        </w:r>
      </w:smartTag>
      <w:r w:rsidRPr="002F7766">
        <w:rPr>
          <w:rFonts w:ascii="Garamond" w:hAnsi="Garamond" w:cs="Arial"/>
          <w:lang w:val="en-GB"/>
        </w:rPr>
        <w:t xml:space="preserve"> </w:t>
      </w:r>
      <w:smartTag w:uri="urn:schemas-microsoft-com:office:smarttags" w:element="City">
        <w:smartTag w:uri="urn:schemas-microsoft-com:office:smarttags" w:element="place">
          <w:r w:rsidRPr="002F7766">
            <w:rPr>
              <w:rFonts w:ascii="Garamond" w:hAnsi="Garamond" w:cs="Arial"/>
              <w:lang w:val="en-GB"/>
            </w:rPr>
            <w:t>Nancy</w:t>
          </w:r>
        </w:smartTag>
      </w:smartTag>
      <w:r w:rsidRPr="002F7766">
        <w:rPr>
          <w:rFonts w:ascii="Garamond" w:hAnsi="Garamond" w:cs="Arial"/>
          <w:lang w:val="en-GB"/>
        </w:rPr>
        <w:t xml:space="preserve"> aufgesucht und dessen Buch über die Suggestion ich ins Deutsche übersetzt habe. Ich habe Jahre hindurch die hypnotische Behandlung geübt, zunächst mit Verbotsuggestion und später mit der Breuerschen Ausforschung des Patienten kombiniert. Ich darf also über die Erfolge der hypnotischen oder suggestiven Therapie aus guter Erfahrung sprechen. Wenn nach einem alten Ärztewort eine ideale Therapie rasch, verläßlich und für den Kranken nicht unangenehm sein soll, so erfüllte die Bernheimsche Methode allerdings zwei dieser Anforderungen. Sie ließ sich viel rascher, das heißt unsagbar rascher, durchführen als die analytische, und sie brachte dem Kranken weder Mühe noch Beschwerden. Für den Arzt wurde es auf die Dauer monoton; bei jedem Fall in gleicher Weise, mit dem nämlichen Zeremoniell den verschiedenartigsten Symptomen die Existenz zu verbieten, ohne von deren Sinn und Bedeutung etwas erfassen zu können. Es war eine Handlangerarbeit, keine wissenschaftliche Tätigkeit und erinnerte an Magie, Beschwörung und Hokuspokus; aber das kam ja gegen das Interesse des Kranken nicht in Betracht. Am dritten fehlte es; verläßlich war das Verfahren nach keiner Richtung. Bei dem einen ließ es sich anwenden, bei dem anderen nicht; bei einem gelang vieles, beim anderen sehr wenig, man wußte nie warum. Ärger als diese Launenhaftigkeit des Verfahrens war der Mangel an Dauer der Erfolge. Nach einiger Zeit war, wenn man von den Kranken wieder hörte, das alte </w:t>
      </w:r>
      <w:smartTag w:uri="urn:schemas-microsoft-com:office:smarttags" w:element="City">
        <w:smartTag w:uri="urn:schemas-microsoft-com:office:smarttags" w:element="place">
          <w:r w:rsidRPr="002F7766">
            <w:rPr>
              <w:rFonts w:ascii="Garamond" w:hAnsi="Garamond" w:cs="Arial"/>
              <w:lang w:val="en-GB"/>
            </w:rPr>
            <w:t>Leiden</w:t>
          </w:r>
        </w:smartTag>
      </w:smartTag>
      <w:r w:rsidRPr="002F7766">
        <w:rPr>
          <w:rFonts w:ascii="Garamond" w:hAnsi="Garamond" w:cs="Arial"/>
          <w:lang w:val="en-GB"/>
        </w:rPr>
        <w:t xml:space="preserve"> wieder da, oder es hatte sich durch ein neues ersetzt. Man konnte von neuem hypnotisieren. Im Hintergrunde stand die von erfahrener Seite ausgesprochene Mahnung, den Kranken nicht durch häufige Wiederholung der Hypnose um seine Selbständigkeit zu bringen und ihn an diese Therapie zu gewöhnen wie an ein Narkotikum. Zugegeben, manchmal gelang es auch ganz nach Wunsch; nach wenigen Bemühungen hatte man vollen und dauernden Erfolg. Aber die Bedingungen eines so günstigen Ausganges blieben unbekannt. Einmal geschah es mir, daß ein schwerer Zustand, den ich durch kurze hypnotische Behandlung gänzlich beseitigt hatte, unverändert wiederkehrte, nachdem mir die Kranke ohne mein Dazutun gram geworden war, daß ich ihn nach der Versöhnung von neuem und weit gründlicher zum Verschwinden brachte und daß er doch wiederkam, nachdem sie sich mir ein zweites Mal entfremdet hatte. Ein andermal erlebte ich, daß eine Kranke, der ich wiederholt von nervösen Zuständen durch Hypnose geholfen hatte, mir während der Behandlung eines besonders hartnäckigen Zufalles plötzlich die Arme um den Hals schlang. Das nötigte </w:t>
      </w:r>
      <w:r w:rsidRPr="002F7766">
        <w:rPr>
          <w:rFonts w:ascii="Garamond" w:hAnsi="Garamond" w:cs="Arial"/>
          <w:lang w:val="en-GB"/>
        </w:rPr>
        <w:lastRenderedPageBreak/>
        <w:t>einen doch, sich mit der Frage nach Natur und Herkunft seiner suggestiven Autorität, ob man wollte oder nicht, zu beschäftigen.</w:t>
      </w:r>
    </w:p>
    <w:p w:rsidR="00062BE4" w:rsidRPr="002F7766" w:rsidRDefault="00062BE4" w:rsidP="00062BE4">
      <w:pPr>
        <w:rPr>
          <w:rFonts w:ascii="Garamond" w:hAnsi="Garamond" w:cs="Arial"/>
          <w:lang w:val="en-GB"/>
        </w:rPr>
      </w:pPr>
      <w:r w:rsidRPr="002F7766">
        <w:rPr>
          <w:rFonts w:ascii="Garamond" w:hAnsi="Garamond" w:cs="Arial"/>
          <w:lang w:val="en-GB"/>
        </w:rPr>
        <w:t>Soweit die Erfahrungen. Sie zeigen uns, daß wir mit dem Verzicht auf die direkte Suggestion nichts Unersetzliches aufgegeben haben. Nun lassen Sie uns einige Erwägungen daran knüpfen. Die Ausübung der hypnotischen Therapie legt dem Patienten wie dem Arzt nur eine sehr geringfügige Arbeitsleistung auf. Diese Therapie ist in schönster Übereinstimmung mit einer Einschätzung der Neurosen, zu der sich noch die Mehrzahl der Ärzte bekennt. Der Arzt sagt dem Nervösen: Es fehlt Ihnen ja nichts, es ist nur nervös, und darum kann ich auch Ihre Beschwerden mit einigen Worten in wenigen Minuten wegblasen. Es widerstrebt aber unserem energetischen Denken, daß man durch eine winzige Kraftanstrengung eine große Last sollte bewegen können, wenn man sie direkt und ohne fremde Hilfe geeigneter Vorrichtungen angreift. Soweit die Verhältnisse vergleichbar sind, lehrt auch die Erfahrung, daß dieses Kunststück bei den Neurosen nicht gelingt. Ich weiß aber, dieses Argument ist nicht unangreifbar; es gibt auch »Auslösungen«.</w:t>
      </w:r>
    </w:p>
    <w:p w:rsidR="00062BE4" w:rsidRPr="002F7766" w:rsidRDefault="00062BE4" w:rsidP="00062BE4">
      <w:pPr>
        <w:rPr>
          <w:rFonts w:ascii="Garamond" w:hAnsi="Garamond" w:cs="Arial"/>
          <w:lang w:val="en-GB"/>
        </w:rPr>
      </w:pPr>
      <w:r w:rsidRPr="002F7766">
        <w:rPr>
          <w:rFonts w:ascii="Garamond" w:hAnsi="Garamond" w:cs="Arial"/>
          <w:lang w:val="en-GB"/>
        </w:rPr>
        <w:t xml:space="preserve">Im Lichte der Erkenntnis, welche wir aus der Psychoanalyse gewonnen haben, können wir den Unterschied zwischen der hypnotischen und der psychoanalytischen Suggestion in folgender Art beschreiben: Die hypnotische Therapie sucht etwas im Seelenleben zu verdecken und zu übertünchen, die analytische etwas freizulegen und zu entfernen. Die erstere arbeitet wie eine Kosmetik, die letztere wie eine Chirurgie. Die erstere benützt die Suggestion, um die Symptome zu verbieten, sie verstärkt die Verdrängungen, läßt aber sonst alle Vorgänge, die zur Symptombildung geführt haben, ungeändert. Die analytische Therapie greift weiter wurzelwärts an, bei den Konflikten, aus denen die Symptome hervorgegangen sind, und bedient sich der Suggestion, um den Ausgang dieser Konflikte abzuändern. Die hypnotische Therapie läßt den Patienten untätig und ungeändert, darum auch in gleicher Weise widerstandslos gegen jeden neuen Anlaß zur Erkrankung. Die analytische Kur legt dem Arzt wie dem Kranken schwere Arbeitsleistung auf, die zur Aufhebung innerer Widerstände verbraucht wird. Durch die Überwindung dieser Widerstände wird das Seelenleben des Kranken dauernd verändert, auf eine höhere Stufe der Entwicklung gehoben und bleibt gegen neue Erkrankungsmöglichkeiten geschützt. Diese Überwindungsarbeit ist die wesentliche Leistung der analytischen Kur, der Kranke hat sie zu vollziehen, und der Arzt ermöglicht sie ihm durch die Beihilfe der im Sinne einer </w:t>
      </w:r>
      <w:r w:rsidRPr="002F7766">
        <w:rPr>
          <w:rFonts w:ascii="Garamond" w:hAnsi="Garamond" w:cs="Arial"/>
          <w:i/>
          <w:iCs/>
          <w:lang w:val="en-GB"/>
        </w:rPr>
        <w:t>Erziehung</w:t>
      </w:r>
      <w:r w:rsidRPr="002F7766">
        <w:rPr>
          <w:rFonts w:ascii="Garamond" w:hAnsi="Garamond" w:cs="Arial"/>
          <w:lang w:val="en-GB"/>
        </w:rPr>
        <w:t xml:space="preserve"> wirkenden Suggestion. Man hat darum auch mit Recht gesagt, die psychoanalytische Behandlung sei eine Art von </w:t>
      </w:r>
      <w:r w:rsidRPr="002F7766">
        <w:rPr>
          <w:rFonts w:ascii="Garamond" w:hAnsi="Garamond" w:cs="Arial"/>
          <w:i/>
          <w:iCs/>
          <w:lang w:val="en-GB"/>
        </w:rPr>
        <w:t>Nacherziehung</w:t>
      </w:r>
      <w:r w:rsidRPr="002F7766">
        <w:rPr>
          <w:rFonts w:ascii="Garamond" w:hAnsi="Garamond" w:cs="Arial"/>
          <w:lang w:val="en-GB"/>
        </w:rPr>
        <w:t>.</w:t>
      </w:r>
    </w:p>
    <w:p w:rsidR="00062BE4" w:rsidRPr="002F7766" w:rsidRDefault="00062BE4" w:rsidP="00062BE4">
      <w:pPr>
        <w:rPr>
          <w:rFonts w:ascii="Garamond" w:hAnsi="Garamond" w:cs="Arial"/>
          <w:lang w:val="en-GB"/>
        </w:rPr>
      </w:pPr>
      <w:r w:rsidRPr="002F7766">
        <w:rPr>
          <w:rFonts w:ascii="Garamond" w:hAnsi="Garamond" w:cs="Arial"/>
          <w:lang w:val="en-GB"/>
        </w:rPr>
        <w:t>Ich hoffe, Ihnen nun klargemacht zu haben, worin sich unsere Art, die Suggestion therapeutisch zu verwenden, von der bei der hypnotischen Therapie allein möglichen unterscheidet. Sie verstehen auch durch die Zurückführung der Suggestion auf die Übertragung die Launenhaftigkeit, die uns an der hypnotischen Therapie auffiel, während die analytische bis zu ihren Schranken berechenbar bleibt. Bei der Anwendung der Hypnose sind wir von dem Zustande der Übertragungsfähigkeit des Kranken abhängig, ohne daß wir auf diese selbst einen Einfluß üben könnten. Die Übertragung des zu Hypnotisierenden mag negativ oder, wie zu allermeist, ambivalent sein, er kann sich durch besondere Einstellungen gegen seine Übertragung geschützt haben; wir erfahren nichts davon. In der Psychoanalyse arbeiten wir an der Übertragung selbst, lösen auf, was ihr entgegensteht, richten uns das Instrument zu, mit dem wir einwirken wollen. So wird es uns möglich, aus der Macht der Suggestion einen ganz anderen Nutzen zu ziehen; wir bekommen sie in die Hand; nicht der Kranke suggeriert sich allein, wie es in seinem Belieben steht, sondern wir lenken seine Suggestion, soweit er ihrem Einfluß überhaupt zugänglich ist.</w:t>
      </w:r>
    </w:p>
    <w:p w:rsidR="00062BE4" w:rsidRPr="002F7766" w:rsidRDefault="00062BE4" w:rsidP="00062BE4">
      <w:pPr>
        <w:rPr>
          <w:rFonts w:ascii="Garamond" w:hAnsi="Garamond" w:cs="Arial"/>
          <w:lang w:val="en-GB"/>
        </w:rPr>
      </w:pPr>
      <w:r w:rsidRPr="002F7766">
        <w:rPr>
          <w:rFonts w:ascii="Garamond" w:hAnsi="Garamond" w:cs="Arial"/>
          <w:lang w:val="en-GB"/>
        </w:rPr>
        <w:t xml:space="preserve">Nun werden Sie sagen, gleichgültig, ob wir die treibende Kraft unserer Analyse Übertragung oder Suggestion heißen, es besteht doch die Gefahr, daß die Beeinflussung des Patienten die objektive Sicherheit unserer Befunde zweifelhaft macht. Was der Therapie zugute kommt, bringt die Forschung zu Schaden. Es ist die Einwendung, welche am häufigsten gegen die Psychoanalyse erhoben worden ist, und man muß zugestehen, wenn sie auch unzutreffend ist, so kann man sie doch nicht als unverständig </w:t>
      </w:r>
      <w:r w:rsidRPr="002F7766">
        <w:rPr>
          <w:rFonts w:ascii="Garamond" w:hAnsi="Garamond" w:cs="Arial"/>
          <w:lang w:val="en-GB"/>
        </w:rPr>
        <w:lastRenderedPageBreak/>
        <w:t>abweisen. Wäre sie aber berechtigt, so würde die Psychoanalyse doch nichts anderes als eine besonders gut verkappte, besonders wirksame Art der Suggestionsbehandlung sein, und wir dürften alle ihre Behauptungen über Lebenseinflüsse, psychische Dynamik, Unbewußtes leichtnehmen. So meinen es auch die Gegner; besonders alles, was sich auf die Bedeutung der sexuellen Erlebnisse bezieht, wenn nicht gar diese selbst, sollen wir den Kranken »eingeredet« haben, nachdem uns in der eigenen verderbten Phantasie solche Kombinationen gewachsen sind. Die Widerlegung dieser Anwürfe gelingt leichter durch die Berufung auf die Erfahrung als mit Hilfe der Theorie. Wer selbst Psychoanalysen ausgeführt hat, der konnte sich ungezählte Male davon überzeugen, daß es unmöglich ist, den Kranken in solcher Weise zu suggerieren. Es hat natürlich keine Schwierigkeit, ihn zum Anhänger einer gewissen Theorie zu machen und ihn so auch an einem möglichen Irrtum des Arztes teilnehmen zu lassen. Er verhält sich dabei wie ein anderer, wie ein Schüler, aber man hat dadurch auch nur seine Intelligenz, nicht seine Krankheit beeinflußt. Die Lösung seiner Konflikte und die Überwindung seiner Widerstände glückt doch nur, wenn man ihm solche Erwartungsvorstellungen gegeben hat, die mit der Wirklichkeit in ihm übereinstimmen. Was an den Vermutungen des Arztes unzutreffend war, das fällt im Laufe der Analyse wieder heraus, muß zurückgezogen und durch Richtigeres ersetzt werden. Durch eine sorgfältige Technik sucht man das Zustandekommen von vorläufigen Suggestionserfolgen zu verhüten; aber es ist auch unbedenklich, wenn sich solche einstellen, denn man begnügt sich nicht mit dem ersten Erfolg. Man hält die Analyse nicht für beendigt, wenn nicht die Dunkelheiten des Falles aufgeklärt, die Erinnerungslücken ausgefüllt, die Gelegenheiten der Verdrängungen aufgefunden sind. Man erblickt in Erfolgen, die sich zu früh einstellen, eher Hindernisse als Förderungen der analytischen Arbeit und zerstört diese Erfolge wieder, indem man die Übertragung, auf der sie beruhen, immer wieder auflöst. Im Grunde ist es dieser letzte Zug, welcher die analytische Behandlung von der rein suggestiven scheidet und die analytischen Ergebnisse von dem Verdacht befreit, suggestive Erfolge zu sein. Bei jeder anderen suggestiven Behandlung wird die Übertragung sorgfältig geschont, unberührt gelassen; bei der analytischen ist sie selbst Gegenstand der Behandlung und wird in jeder ihrer Erscheinungsformen zersetzt. Zum Schlusse einer analytischen Kur muß die Übertragung selbst abgetragen sein, und wenn der Erfolg jetzt sich einstellt oder erhält, so beruht er nicht auf der Suggestion, sondern auf der mit ihrer Hilfe vollbrachten Leistung der Überwindung innerer Widerstände, auf der in dem Kranken erzielten inneren Veränderung.</w:t>
      </w:r>
    </w:p>
    <w:p w:rsidR="00062BE4" w:rsidRPr="002F7766" w:rsidRDefault="00062BE4" w:rsidP="00062BE4">
      <w:pPr>
        <w:rPr>
          <w:rFonts w:ascii="Garamond" w:hAnsi="Garamond" w:cs="Arial"/>
          <w:lang w:val="en-GB"/>
        </w:rPr>
      </w:pPr>
      <w:r w:rsidRPr="002F7766">
        <w:rPr>
          <w:rFonts w:ascii="Garamond" w:hAnsi="Garamond" w:cs="Arial"/>
          <w:lang w:val="en-GB"/>
        </w:rPr>
        <w:t>Der Entstehung von Einzelsuggestionen wirkt wohl entgegen, daß wir während der Kur unausgesetzt gegen Widerstände anzukämpfen haben, die sich in negative (feindselige) Übertragungen zu verwandeln wissen. Wir werden es auch nicht versäumen, uns darauf zu berufen, daß eine große Anzahl von Einzelergebnissen der Analyse, die man sonst als Produkte der Suggestion verdächtigen würde, uns von anderer einwandfreier Seite bestätigt werden. Unsere Gewährsmänner sind in diesem Falle die Dementen und Paranoiker, die über den Verdacht suggestiver Beeinflussung natürlich hoch erhaben sind. Was uns diese Kranken an Symbolübersetzungen und Phantasien erzählen, die bei ihnen zum Bewußtsein durchgedrungen sind, deckt sich getreulich mit den Ergebnissen unserer Untersuchungen an dem Unbewußten der Übertragungsneurotiker und bekräftigt so die objektive Richtigkeit unserer oft bezweifelten Deutungen. Ich glaube, Sie werden nicht irregehen, wenn Sie in diesen Punkten der Analyse Ihr Zutrauen schenken.</w:t>
      </w:r>
    </w:p>
    <w:p w:rsidR="00062BE4" w:rsidRPr="002F7766" w:rsidRDefault="00062BE4" w:rsidP="00062BE4">
      <w:pPr>
        <w:rPr>
          <w:rFonts w:ascii="Garamond" w:hAnsi="Garamond" w:cs="Arial"/>
          <w:lang w:val="en-GB"/>
        </w:rPr>
      </w:pPr>
      <w:r w:rsidRPr="002F7766">
        <w:rPr>
          <w:rFonts w:ascii="Garamond" w:hAnsi="Garamond" w:cs="Arial"/>
          <w:lang w:val="en-GB"/>
        </w:rPr>
        <w:t xml:space="preserve">Wir wollen jetzt unsere Darstellung vom Mechanismus der Heilung vervollständigen, indem wir sie in die Formeln der Libidotheorie kleiden. Der Neurotiker ist genuß- und leistungsunfähig, das erstere, weil seine Libido auf kein reales Objekt gerichtet ist, das letztere, weil er sehr viel von seiner sonstigen Energie aufwenden muß, um die Libido in der Verdrängung zu erhalten und sich ihres Ansturmes zu erwehren. Er würde gesund, wenn der Konflikt zwischen seinem Ich und seiner Libido ein Ende hätte und sein Ich wieder die Verfügung über seine Libido besäße. Die therapeutische Aufgabe besteht also darin, die Libido aus ihren derzeitigen, dem Ich entzogenen Bindungen zu lösen und sie wieder dem Ich dienstbar zu machen. Wo steckt nun die Libido des Neurotikers? Leicht zu finden; sie ist an die Symptome gebunden, </w:t>
      </w:r>
      <w:r w:rsidRPr="002F7766">
        <w:rPr>
          <w:rFonts w:ascii="Garamond" w:hAnsi="Garamond" w:cs="Arial"/>
          <w:lang w:val="en-GB"/>
        </w:rPr>
        <w:lastRenderedPageBreak/>
        <w:t>die ihr die derzeit einzig mögliche Ersatzbefriedigung gewähren. Man muß also der Symptome Herr werden, sie auflösen, gerade dasselbe, was der Kranke von uns fordert. Zur Lösung der Symptome wird es nötig, bis auf deren Entstehung zurückzugehen, den Konflikt, aus dem sie hervorgegangen sind, zu erneuern und ihn mit Hilfe solcher Triebkräfte, die seinerzeit nicht verfügbar waren, zu einem anderen Ausgang zu lenken. Diese Revision des Verdrängungsprozesses läßt sich nur zum Teil an den Erinnerungsspuren der Vorgänge vollziehen, welche zur Verdrängung geführt haben. Das entscheidende Stück der Arbeit wird geleistet, indem man im Verhältnis zum Arzt, in der »Übertragung«, Neuauflagen jener alten Konflikte schafft, in denen sich der Kranke benehmen möchte, wie er sich seinerzeit benommen hat, während man ihn durch das Aufgebot aller verfügbaren seelischen Kräfte zu einer anderen Entscheidung nötigt. Die Übertragung wird also das Schlachtfeld, auf welchem sich alle miteinander ringenden Kräfte treffen sollen.</w:t>
      </w:r>
    </w:p>
    <w:p w:rsidR="00062BE4" w:rsidRPr="002F7766" w:rsidRDefault="00062BE4" w:rsidP="00062BE4">
      <w:pPr>
        <w:rPr>
          <w:rFonts w:ascii="Garamond" w:hAnsi="Garamond" w:cs="Arial"/>
          <w:lang w:val="en-GB"/>
        </w:rPr>
      </w:pPr>
      <w:r w:rsidRPr="002F7766">
        <w:rPr>
          <w:rFonts w:ascii="Garamond" w:hAnsi="Garamond" w:cs="Arial"/>
          <w:lang w:val="en-GB"/>
        </w:rPr>
        <w:t>Alle Libido wie alles Widerstreben gegen sie wird auf das eine Verhältnis zum Arzt gesammelt; dabei ist es unvermeidlich, daß die Symptome von der Libido entblößt werden. An Stelle der eigenen Krankheit des Patienten tritt die künstlich hergestellte der Übertragung, die Übertragungskrankheit, an Stelle der verschiedenartigen irrealen Libidoobjekte das eine wiederum phantastische Objekt der ärztlichen Person. Der neue Kampf um dieses Objekt wird aber mit Hilfe der ärztlichen Suggestion auf die höchste psychische Stufe gehoben, er verläuft als normaler seelischer Konflikt. Durch die Vermeidung einer neuerlichen Verdrängung wird der Entfremdung zwischen Ich und Libido ein Ende gemacht, die seelische Einheit der Person wiederhergestellt. Wenn die Libido von dem zeitweiligen Objekt der ärztlichen Person wieder abgelöst wird, kann sie nicht zu ihren früheren Objekten zurückkehren, sondern steht zur Verfügung des Ichs. Die Mächte, die man während dieser therapeutischen Arbeit bekämpft hat, sind einerseits die Abneigung des Ichs gegen gewisse Richtungen der Libido, die sich als Verdrängungsneigung geäußert hat, und anderseits die Zähigkeit oder Klebrigkeit der Libido, die einmal von ihr besetzte Objekte nicht gerne verläßt.</w:t>
      </w:r>
    </w:p>
    <w:p w:rsidR="00062BE4" w:rsidRPr="002F7766" w:rsidRDefault="00062BE4" w:rsidP="00062BE4">
      <w:pPr>
        <w:rPr>
          <w:rFonts w:ascii="Garamond" w:hAnsi="Garamond" w:cs="Arial"/>
          <w:lang w:val="en-GB"/>
        </w:rPr>
      </w:pPr>
      <w:r w:rsidRPr="002F7766">
        <w:rPr>
          <w:rFonts w:ascii="Garamond" w:hAnsi="Garamond" w:cs="Arial"/>
          <w:lang w:val="en-GB"/>
        </w:rPr>
        <w:t>Die therapeutische Arbeit zerlegt sich also in zwei Phasen; in der ersten wird alle Libido von den Symptomen her in die Übertragung gedrängt und dort konzentriert, in der zweiten der Kampf um dies neue Objekt durchgeführt und die Libido von ihm frei gemacht. Die für den guten Ausgang entscheidende Veränderung ist die Ausschaltung der Verdrängung bei diesem erneuerten Konflikt, so daß sich die Libido nicht durch die Flucht ins Unbewußte wiederum dem Ich entziehen kann. Ermöglicht wird sie durch die Ichveränderung, welche sich unter dem Einfluß der ärztlichen Suggestion vollzieht. Das Ich wird durch die Deutungsarbeit, welche Unbewußtes in Bewußtes umsetzt, auf Kosten dieses Unbewußten vergrößert, es wird durch Belehrung gegen die Libido versöhnlich und geneigt gemacht, ihr irgendeine Befriedigung einzuräumen, und seine Scheu vor den Ansprüchen der Libido wird durch die Möglichkeit, einen Teilbetrag von ihr durch Sublimierung zu erledigen, verringert. Je besser sich die Vorgänge bei der Behandlung mit dieser idealen Beschreibung decken, desto größer wird der Erfolg der psychoanalytischen Therapie. Seine Schranke findet er an dem Mangel an Beweglichkeit der Libido, die sich sträuben kann, von ihren Objekten abzulassen, und an der Starrheit des Narzißmus, der die Objektübertragung nicht über eine gewisse Grenze anwachsen läßt. Vielleicht werfen wir ein weiteres Licht auf die Dynamik des Heilungsvorganges durch die Bemerkung, daß wir die ganze der Herrschaft des Ichs entzogene Libido auffangen, indem wir durch die Übertragung ein Stück von ihr auf uns ziehen.</w:t>
      </w:r>
    </w:p>
    <w:p w:rsidR="00062BE4" w:rsidRPr="002F7766" w:rsidRDefault="00062BE4" w:rsidP="00062BE4">
      <w:pPr>
        <w:rPr>
          <w:rFonts w:ascii="Garamond" w:hAnsi="Garamond" w:cs="Arial"/>
          <w:lang w:val="en-GB"/>
        </w:rPr>
      </w:pPr>
      <w:r w:rsidRPr="002F7766">
        <w:rPr>
          <w:rFonts w:ascii="Garamond" w:hAnsi="Garamond" w:cs="Arial"/>
          <w:lang w:val="en-GB"/>
        </w:rPr>
        <w:t xml:space="preserve">Es ist auch die Mahnung nicht unangebracht, daß wir aus den Verteilungen der Libido, die sich während und durch die Behandlung herstellen, keinen direkten Schluß auf die Unterbringung der Libido während des Krankseins ziehen dürfen. Angenommen, es sei uns gelungen, den Fall durch die Herstellung und Lösung einer starken Vaterübertragung auf den Arzt glücklich zu erledigen, so ginge der Schluß fehl, daß der Kranke vorher an einer solchen unbewußten Bindung seiner Libido an den Vater gelitten hat. Die Vaterübertragung ist nur das Schlachtfeld, auf welchem wir uns der Libido bemächtigen; die Libido des Kranken ist von anderen Positionen her dorthin gelenkt worden. Dies Schlachtfeld muß nicht notwendig </w:t>
      </w:r>
      <w:r w:rsidRPr="002F7766">
        <w:rPr>
          <w:rFonts w:ascii="Garamond" w:hAnsi="Garamond" w:cs="Arial"/>
          <w:lang w:val="en-GB"/>
        </w:rPr>
        <w:lastRenderedPageBreak/>
        <w:t>mit einer der wichtigen Festungen des Feindes zusammenfallen. Die Verteidigung der feindlichen Hauptstadt braucht nicht gerade vor deren Toren zu geschehen. Erst nachdem man die Übertragung wieder gelöst hat, kann man die Libidoverteilung, welche während des Krankseins bestanden hatte, in Gedanken rekonstruieren.</w:t>
      </w:r>
    </w:p>
    <w:p w:rsidR="00062BE4" w:rsidRPr="002F7766" w:rsidRDefault="00062BE4" w:rsidP="00062BE4">
      <w:pPr>
        <w:rPr>
          <w:rFonts w:ascii="Garamond" w:hAnsi="Garamond" w:cs="Arial"/>
          <w:lang w:val="en-GB"/>
        </w:rPr>
      </w:pPr>
      <w:r w:rsidRPr="002F7766">
        <w:rPr>
          <w:rFonts w:ascii="Garamond" w:hAnsi="Garamond" w:cs="Arial"/>
          <w:lang w:val="en-GB"/>
        </w:rPr>
        <w:t>Vom Standpunkt der Libidotheorie können wir auch noch ein letztes Wort über den Traum sagen. Die Träume der Neurotiker dienen uns wie ihre Fehlleistungen und ihre freien Einfälle dazu, den Sinn der Symptome zu erraten und die Unterbringung der Libido aufzudecken. Sie zeigen uns in der Form der Wunscherfüllung, welche Wunschregungen der Verdrängung verfallen sind und an welche Objekte sich die dem Ich entzogene Libido gehängt hat. Die Deutung der Träume spielt darum in der psychoanalytischen Behandlung eine große Rolle und ist in manchen Fällen durch lange Zeiten das wichtigste Mittel der Arbeit. Wir wissen bereits, daß der Schlafzustand an sich einen gewissen Nachlaß der Verdrängungen herbeiführt. Durch diese Ermäßigung des auf ihr lastenden Druckes wird es möglich, daß sich die verdrängte Regung im Traume einen viel deutlicheren Ausdruck schafft, als ihn während des Tages das Symptom gewähren kann. Das Studium des Traumes wird so zum bequemsten Zugang für die Kenntnis des verdrängten Unbewußten, dem die dem Ich entzogene Libido angehört.</w:t>
      </w:r>
    </w:p>
    <w:p w:rsidR="00062BE4" w:rsidRPr="002F7766" w:rsidRDefault="00062BE4" w:rsidP="00062BE4">
      <w:pPr>
        <w:rPr>
          <w:rFonts w:ascii="Garamond" w:hAnsi="Garamond" w:cs="Arial"/>
          <w:lang w:val="en-GB"/>
        </w:rPr>
      </w:pPr>
      <w:r w:rsidRPr="002F7766">
        <w:rPr>
          <w:rFonts w:ascii="Garamond" w:hAnsi="Garamond" w:cs="Arial"/>
          <w:lang w:val="en-GB"/>
        </w:rPr>
        <w:t xml:space="preserve">Die Träume der Neurotiker sind aber in keinem wesentlichen Punkte von denen der Normalen verschieden; ja sie sind von ihnen vielleicht überhaupt nicht unterscheidbar. Es wäre widersinnig, von den Träumen Nervöser auf eine Weise Rechenschaft zu geben, welche nicht auch für die Träume Normaler Geltung hätte. Wir müssen also sagen, der Unterschied zwischen Neurose und Gesundheit gilt nur für den Tag, er setzt sich nicht ins Traumleben fort. Wir sind genötigt, eine Anzahl von Annahmen, die sich beim Neurotiker infolge des Zusammenhanges zwischen seinen Träumen und seinen Symptomen ergeben, auch auf den gesunden Menschen zu übertragen. Wir können es nicht in Abrede stellen, daß auch der Gesunde in seinem Seelenleben das besitzt, was allein die Traumbildung wie die Symptombildung ermöglicht, und müssen den Schluß ziehen, daß auch er Verdrängungen vorgenommen hat, einen gewissen Aufwand treibt, um sie zu unterhalten, daß sein System des Unbewußten verdrängte und noch energiebesetzte Regungen verbirgt und daß </w:t>
      </w:r>
      <w:r w:rsidRPr="002F7766">
        <w:rPr>
          <w:rFonts w:ascii="Garamond" w:hAnsi="Garamond" w:cs="Arial"/>
          <w:i/>
          <w:iCs/>
          <w:lang w:val="en-GB"/>
        </w:rPr>
        <w:t>ein Anteil seiner Libido der Verfügung seines Ichs entzogen ist</w:t>
      </w:r>
      <w:r w:rsidRPr="002F7766">
        <w:rPr>
          <w:rFonts w:ascii="Garamond" w:hAnsi="Garamond" w:cs="Arial"/>
          <w:lang w:val="en-GB"/>
        </w:rPr>
        <w:t>. Auch der Gesunde ist also virtuell ein Neurotiker, aber der Traum scheint das einzige Symptom zu sein, das zu bilden er fähig ist. Unterwirft man sein Wachleben einer schärferen Prüfung, so entdeckt man freilich was diesen Anschein widerlegt, daß dies angeblich gesunde Leben von einer Unzahl geringfügiger, praktisch nicht bedeutsamer Symptombildungen durchsetzt ist.</w:t>
      </w:r>
    </w:p>
    <w:p w:rsidR="00062BE4" w:rsidRPr="002F7766" w:rsidRDefault="00062BE4" w:rsidP="00062BE4">
      <w:pPr>
        <w:rPr>
          <w:rFonts w:ascii="Garamond" w:hAnsi="Garamond" w:cs="Arial"/>
          <w:lang w:val="en-GB"/>
        </w:rPr>
      </w:pPr>
      <w:r w:rsidRPr="002F7766">
        <w:rPr>
          <w:rFonts w:ascii="Garamond" w:hAnsi="Garamond" w:cs="Arial"/>
          <w:lang w:val="en-GB"/>
        </w:rPr>
        <w:t>Der Unterschied zwischen nervöser Gesundheit und Neurose schränkt sich also aufs Praktische ein und bestimmt sich nach dem Erfolg, ob der Person ein genügendes Maß von Genuß- und Leistungsfähigkeit verblieben ist. Er führt sich wahrscheinlich auf das relative Verhältnis zwischen den freigebliebenen und den durch Verdrängung gebundenen Energiebeträgen zurück und ist von quantitativer, nicht von qualitativer Art. Ich brauche Sie nicht daran zu mahnen, daß diese Einsicht die Überzeugung von der prinzipiellen Heilbarkeit der Neurosen, trotz ihrer Begründung in der konstitutionellen Anlage, theoretisch begründet.</w:t>
      </w:r>
    </w:p>
    <w:p w:rsidR="00062BE4" w:rsidRPr="002F7766" w:rsidRDefault="00062BE4" w:rsidP="00062BE4">
      <w:pPr>
        <w:rPr>
          <w:rFonts w:ascii="Garamond" w:hAnsi="Garamond" w:cs="Arial"/>
          <w:lang w:val="en-GB"/>
        </w:rPr>
      </w:pPr>
      <w:r w:rsidRPr="002F7766">
        <w:rPr>
          <w:rFonts w:ascii="Garamond" w:hAnsi="Garamond" w:cs="Arial"/>
          <w:lang w:val="en-GB"/>
        </w:rPr>
        <w:t>Soviel dürfen wir aus der Tatsache der Identität der Träume bei Gesunden und bei Neurotikern für die Charakteristik der Gesundheit erschließen. Für den Traum selbst ergibt sich aber die weitere Folgerung, daß wir ihn nicht aus seinen Beziehungen zu den neurotischen Symptomen lösen dürfen, daß wir nicht glauben sollen, sein Wesen sei durch die Formel einer Übersetzung von Gedanken in eine archaische Ausdrucksform erschöpft, daß wir annehmen müssen, er zeige uns wirklich vorhandene Libidounterbringungen und Objektbesetzungen.</w:t>
      </w:r>
    </w:p>
    <w:p w:rsidR="00062BE4" w:rsidRPr="002F7766" w:rsidRDefault="00062BE4" w:rsidP="00062BE4">
      <w:pPr>
        <w:rPr>
          <w:rFonts w:ascii="Garamond" w:hAnsi="Garamond" w:cs="Arial"/>
          <w:lang w:val="en-GB"/>
        </w:rPr>
      </w:pPr>
      <w:r w:rsidRPr="002F7766">
        <w:rPr>
          <w:rFonts w:ascii="Garamond" w:hAnsi="Garamond" w:cs="Arial"/>
          <w:lang w:val="en-GB"/>
        </w:rPr>
        <w:t xml:space="preserve">Wir sind nun bald zu Ende gekommen. Vielleicht sind Sie enttäuscht, daß ich Ihnen zum Kapitel der psychoanalytischen Therapie nur Theoretisches erzählt habe, nichts von den Bedingungen, unter denen </w:t>
      </w:r>
      <w:r w:rsidRPr="002F7766">
        <w:rPr>
          <w:rFonts w:ascii="Garamond" w:hAnsi="Garamond" w:cs="Arial"/>
          <w:lang w:val="en-GB"/>
        </w:rPr>
        <w:lastRenderedPageBreak/>
        <w:t>man die Kur einschlägt, und von den Erfolgen, die sie erzielt. Ich unterlasse aber beides. Das erstere, weil ich Ihnen ja keine praktische Anleitung zur Ausübung der Psychoanalyse zu geben gedenke, und das letztere, weil mehrfache Motive mich davon abhalten. Ich habe es zu Eingang unserer Besprechungen betont, daß wir unter günstigen Umständen Heilerfolge erzielen, die hinter den schönsten auf dem Gebiete der internen Therapie nicht zurückstehen, und ich kann etwa noch hinzusetzen, daß dieselben durch kein anderes Verfahren erreicht worden wären. Würde ich mehr sagen, so käme ich in den Verdacht, daß ich die laut gewordenen Stimmen der Herabsetzung durch Reklame übertönen wollte. Es ist gegen die Psychoanalytiker wiederholt, auch auf öffentlichen Kongressen, von ärztlichen »Kollegen« die Drohung ausgesprochen worden, man werde durch eine Sammlung der analytischen Mißerfolge und Schädigungen dem leidenden Publikum die Augen über den Unwert dieser Behandlungsmethode öffnen. Aber eine solche Sammlung wäre, abgesehen von dem gehässigen, denunziatorischen Charakter der Maßregel, nicht einmal geeignet, ein richtiges Urteil über die therapeutische Wirksamkeit der Analyse zu ermöglichen. Die analytische Therapie ist, wie Sie wissen, jung; es hat lange Zeit gebraucht, bis man ihre Technik feststellen konnte, und dies konnte auch nur während der Arbeit und unter dem Einfluß der zunehmenden Erfahrung geschehen. Infolge der Schwierigkeiten der Unterweisung ist der ärztliche Anfänger in der Psychoanalyse in größerem Ausmaße als ein anderer Spezialist auf seine eigene Fähigkeit zur Fortbildung angewiesen, und die Erfolge seiner ersten Jahre werden nie die Leistungsfähigkeit der analytischen Therapie beurteilen lassen.</w:t>
      </w:r>
    </w:p>
    <w:p w:rsidR="00062BE4" w:rsidRPr="002F7766" w:rsidRDefault="00062BE4" w:rsidP="00062BE4">
      <w:pPr>
        <w:rPr>
          <w:rFonts w:ascii="Garamond" w:hAnsi="Garamond" w:cs="Arial"/>
          <w:lang w:val="en-GB"/>
        </w:rPr>
      </w:pPr>
      <w:r w:rsidRPr="002F7766">
        <w:rPr>
          <w:rFonts w:ascii="Garamond" w:hAnsi="Garamond" w:cs="Arial"/>
          <w:lang w:val="en-GB"/>
        </w:rPr>
        <w:t xml:space="preserve">Viele Behandlungsversuche mißlangen in der Frühzeit der Analyse, weil sie an Fällen unternommen waren, die sich überhaupt nicht für das Verfahren eignen und die wir heute durch unsere Indikationsstellung ausschließen. Aber diese Indikationen konnten auch nur durch den Versuch gewonnen werden. Von vornherein wußte man seinerzeit nicht, daß Paranoia und Dementia praecox in ausgeprägten Formen unzugänglich sind, und hatte noch das Recht, die Methode an allerlei Affektionen zu erproben. Die meisten Mißerfolge jener ersten Jahre sind aber nicht durch die Schuld des Arztes oder wegen der ungeeigneten Objektwahl, sondern durch die Ungunst der äußeren Bedingungen zustande gekommen. Wir haben nur von den inneren Widerständen gehandelt, denen des Patienten, die notwendig und überwindbar sind. Die äußeren Widerstände, die der Analyse von den Verhältnissen des Kranken, von seiner Umgebung bereitet werden, haben ein geringes theoretisches Interesse, aber die größte praktische Wichtigkeit. Die psychoanalytische Behandlung ist einem chirurgischen Eingriff gleichzusetzen und hat wie dieser den Anspruch, unter den für das Gelingen günstigsten Veranstaltungen vorgenommen zu werden. Sie wissen, welche Vorkehrungen der Chirurg dabei zu treffen pflegt: geeigneter Raum, gutes Licht, Assistenz, Ausschließung der Angehörigen usw. Nun fragen Sie sich selbst, wie viele dieser Operationen gut ausgehen würden, wenn sie im Beisein aller Familienmitglieder stattfinden müßten, die ihre Nasen in das Operationsfeld stecken und bei jedem Messerschnitt laut aufschreien würden. Bei den psychoanalytischen Behandlungen ist die Dazwischenkunft der Angehörigen geradezu eine Gefahr, und zwar eine solche, der man nicht zu begegnen weiß. Man ist gegen die inneren Widerstände des Patienten, die man als notwendig erkennt, gerüstet, aber wie soll man sich gegen jene äußeren Widerstände wehren? Den Angehörigen des Patienten kann man durch keinerlei Aufklärung beikommen, man kann sie nicht dazu bewegen, sich von der ganzen Angelegenheit fernzuhalten, und man darf nie gemeinsame Sache mit ihnen machen, weil man dann Gefahr läuft, das Vertrauen des Kranken zu verlieren, der übrigens mit Recht fordert, daß sein Vertrauensmann auch seine Partei nehme. Wer überhaupt weiß, von welchen Spaltungen oft eine Familie zerklüftet wird, der kann auch als Analytiker nicht von der Wahrnehmung überrascht werden, daß die dem Kranken Nächsten mitunter weniger Interesse daran verraten, daß er gesund werde, als daß er so bleibe, wie er ist. Wo, wie so häufig, die Neurose mit Konflikten zwischen Familienmitgliedern zusammenhängt, da bedenkt sich der Gesunde nicht lange bei der Wahl zwischen seinem Interesse und dem der Wiederherstellung des Kranken. Es ist ja nicht zu verwundern, wenn der Ehemann eine Behandlung nicht gerne sieht, in welcher, wie er mit Recht vermuten darf, sein Sündenregister aufgerollt werden wird; wir verwundern uns auch nicht darüber, aber wir können uns dann </w:t>
      </w:r>
      <w:r w:rsidRPr="002F7766">
        <w:rPr>
          <w:rFonts w:ascii="Garamond" w:hAnsi="Garamond" w:cs="Arial"/>
          <w:lang w:val="en-GB"/>
        </w:rPr>
        <w:lastRenderedPageBreak/>
        <w:t>keinen Vorwurf machen, wenn unsere Bemühung erfolglos bleibt und vorzeitig abgebrochen wird, weil sich der Widerstand des Mannes zu dem der kranken Frau hinzuaddiert hat. Wir hatten eben etwas unternommen, was unter den bestehenden Verhältnissen undurchführbar war.</w:t>
      </w:r>
    </w:p>
    <w:p w:rsidR="00062BE4" w:rsidRPr="002F7766" w:rsidRDefault="00062BE4" w:rsidP="00062BE4">
      <w:pPr>
        <w:rPr>
          <w:rFonts w:ascii="Garamond" w:hAnsi="Garamond" w:cs="Arial"/>
          <w:lang w:val="en-GB"/>
        </w:rPr>
      </w:pPr>
      <w:r w:rsidRPr="002F7766">
        <w:rPr>
          <w:rFonts w:ascii="Garamond" w:hAnsi="Garamond" w:cs="Arial"/>
          <w:lang w:val="en-GB"/>
        </w:rPr>
        <w:t xml:space="preserve">Ich will Ihnen anstatt vieler Fälle nur einen einzigen erzählen, in dem ich durch ärztliche Rücksichten zu einer leidenden Rolle verurteilt wurde. Ich nahm vor vielen Jahren ein junges Mädchen in analytische Behandlung, welches schon seit längerer Zeit aus Angst nicht auf die Straße gehen und zu Hause nicht allein bleiben konnte. Die Kranke rückte langsam mit dem Geständnis heraus, daß ihre Phantasie durch zufällige Beobachtungen des zärtlichen Verkehres zwischen ihrer Mutter und einem wohlhabenden Hausfreund ergriffen worden sei. Sie war aber so ungeschickt oder so raffiniert, der Mutter einen Wink von dem zu geben, was in den Analysenstunden besprochen wurde, indem sie ihr Benehmen gegen die Mutter änderte, darauf bestand, von keiner anderen als der Mutter gegen die Angst des Alleinseins beschützt zu werden, und ihr angstvoll die Türe vertrat, wenn sie das Haus verlassen wollte. Die Mutter war früher selbst sehr nervös gewesen, hatte aber in einer Wasserheilanstalt vor Jahren die Heilung gefunden. Setzen wir dafür ein, sie hatte in jener Anstalt die Bekanntschaft des Mannes gemacht, mit dem sie ein sie nach jeder Richtung befriedigendes Verhältnis eingehen konnte. Durch die stürmischen Anforderungen des Mädchens stutzig gemacht, verstand die Mutter </w:t>
      </w:r>
      <w:r w:rsidRPr="002F7766">
        <w:rPr>
          <w:rFonts w:ascii="Garamond" w:hAnsi="Garamond" w:cs="Arial"/>
          <w:i/>
          <w:iCs/>
          <w:lang w:val="en-GB"/>
        </w:rPr>
        <w:t>plötzlich</w:t>
      </w:r>
      <w:r w:rsidRPr="002F7766">
        <w:rPr>
          <w:rFonts w:ascii="Garamond" w:hAnsi="Garamond" w:cs="Arial"/>
          <w:lang w:val="en-GB"/>
        </w:rPr>
        <w:t>, was die Angst ihrer Tochter bedeutete. Sie ließ sich krank werden, um die Mutter zur Gefangenen zu machen und ihr die für den Verkehr mit dem Geliebten notwendige Bewegungsfreiheit zu rauben. Rasch entschlossen machte die Mutter der schädlichen Behandlung ein Ende. Das Mädchen wurde in eine Nervenheilanstalt gebracht und durch lange Jahre als »armes Opfer der Psychoanalyse« demonstriert. Ebensolange ging mir die üble Nachrede wegen des schlechten Ausganges dieser Behandlung nach. Ich bewahrte das Schweigen, weil ich mich durch die Pflicht der ärztlichen Diskretion gebunden glaubte. Lange Zeit nachher erfuhr ich von einem Kollegen, der jene Anstalt besucht und das agoraphobische Mädchen dort gesehen hatte, daß das Verhältnis zwischen ihrer Mutter und dem vermögenden Hausfreund stadtbekannt sei und wahrscheinlich die Billigung des Gatten und Vaters habe. Diesem »Geheimnis« war also die Behandlung geopfert worden.</w:t>
      </w:r>
    </w:p>
    <w:p w:rsidR="00062BE4" w:rsidRPr="002F7766" w:rsidRDefault="00062BE4" w:rsidP="00062BE4">
      <w:pPr>
        <w:rPr>
          <w:rFonts w:ascii="Garamond" w:hAnsi="Garamond" w:cs="Arial"/>
          <w:lang w:val="en-GB"/>
        </w:rPr>
      </w:pPr>
      <w:r w:rsidRPr="002F7766">
        <w:rPr>
          <w:rFonts w:ascii="Garamond" w:hAnsi="Garamond" w:cs="Arial"/>
          <w:lang w:val="en-GB"/>
        </w:rPr>
        <w:t xml:space="preserve">In den Jahren vor dem Kriege, als der Zulauf aus vieler Herren Ländern mich von der Gunst oder Mißgunst der Vaterstadt unabhängig machte, befolgte ich die Regel, keinen Kranken in Behandlung zu nehmen, der nicht </w:t>
      </w:r>
      <w:r w:rsidRPr="002F7766">
        <w:rPr>
          <w:rFonts w:ascii="Garamond" w:hAnsi="Garamond" w:cs="Arial"/>
          <w:i/>
          <w:iCs/>
          <w:lang w:val="en-GB"/>
        </w:rPr>
        <w:t>sui juris</w:t>
      </w:r>
      <w:r w:rsidRPr="002F7766">
        <w:rPr>
          <w:rFonts w:ascii="Garamond" w:hAnsi="Garamond" w:cs="Arial"/>
          <w:lang w:val="en-GB"/>
        </w:rPr>
        <w:t>, in seinen wesentlichen Lebensbeziehungen von anderen unabhängig wäre. Das kann sich nun nicht jeder Psychoanalytiker gestatten. Vielleicht ziehen Sie aus meiner Warnung vor den Angehörigen den Schluß, man solle die Kranken zum Zwecke der Psychoanalyse aus ihren Familien nehmen, diese Therapie also auf die Insassen von Nervenheilanstalten beschränken. Allein ich könnte Ihnen hierin nicht beistimmen; es ist weit vorteilhafter, wenn die Kranken insoferne sie nicht in einer Phase schwerer Erschöpfung sind während der Behandlung in jenen Verhältnissen bleiben, in denen sie mit den ihnen gestellten Aufgaben zu kämpfen haben. Nur sollten die Angehörigen diesen Vorteil nicht durch ihr Benehmen wettmachen und sich überhaupt nicht der ärztlichen Bemühung feindselig widersetzen. Aber wie wollen Sie diese für uns unzugänglichen Faktoren dazu bewegen! Sie werden natürlich auch erraten, wieviel von den Aussichten einer Behandlung durch das soziale Milieu und den kulturellen Zustand einer Familie bestimmt wird.</w:t>
      </w:r>
    </w:p>
    <w:p w:rsidR="00062BE4" w:rsidRPr="002F7766" w:rsidRDefault="00062BE4" w:rsidP="00062BE4">
      <w:pPr>
        <w:rPr>
          <w:rFonts w:ascii="Garamond" w:hAnsi="Garamond" w:cs="Arial"/>
          <w:lang w:val="en-GB"/>
        </w:rPr>
      </w:pPr>
      <w:r w:rsidRPr="00062BE4">
        <w:rPr>
          <w:rFonts w:ascii="Garamond" w:hAnsi="Garamond" w:cs="Arial"/>
          <w:lang w:val="en-GB"/>
        </w:rPr>
        <w:t xml:space="preserve">Nicht wahr, das gibt für die Wirksamkeit der Psychoanalyse als Therapie einen trüben Prospekt, selbst wenn wir die überwiegende Mehrzahl unserer Mißerfolge durch solche Rechenschaft von den störenden äußeren Momenten aufklären können! </w:t>
      </w:r>
      <w:r w:rsidRPr="002F7766">
        <w:rPr>
          <w:rFonts w:ascii="Garamond" w:hAnsi="Garamond" w:cs="Arial"/>
        </w:rPr>
        <w:t xml:space="preserve">Freunde der Analyse haben uns dann geraten, einer Sammlung von Mißerfolgen durch eine von uns entworfene Statistik der Erfolge zu begegnen. Ich bin auch darauf nicht eingegangen. Ich machte geltend, daß eine Statistik wertlos sei, wenn die aneinandergereihten Einheiten derselben zu wenig gleichartig seien, und die Fälle von neurotischer Erkrankung, die man in Behandlung genommen hatte, waren wirklich nach den verschiedensten Richtungen nicht gleichwertig. Außerdem war der Zeitraum, den man überschauen konnte, zu kurz, um die Haltbarkeit der Heilungen zu beurteilen, und von vielen Fällen konnte man überhaupt nicht Mitteilung machen. </w:t>
      </w:r>
      <w:r w:rsidRPr="002F7766">
        <w:rPr>
          <w:rFonts w:ascii="Garamond" w:hAnsi="Garamond" w:cs="Arial"/>
          <w:lang w:val="en-GB"/>
        </w:rPr>
        <w:t xml:space="preserve">Sie betrafen Personen, die ihre </w:t>
      </w:r>
      <w:r w:rsidRPr="002F7766">
        <w:rPr>
          <w:rFonts w:ascii="Garamond" w:hAnsi="Garamond" w:cs="Arial"/>
          <w:lang w:val="en-GB"/>
        </w:rPr>
        <w:lastRenderedPageBreak/>
        <w:t>Krankheit wie ihre Behandlung geheimgehalten hatten und deren Herstellung gleichfalls verheimlicht werden mußte. Die stärkste Abhaltung lag aber in der Einsicht, daß die Menschen sich in Dingen der Therapie höchst irrationell benehmen, so daß man keine Aussicht hat, durch verständige Mittel etwas bei ihnen auszurichten. Eine therapeutische Neuerung wird entweder mit rauschartiger Begeisterung aufgenommen, wie z.B. damals, als Koch sein erstes Tuberkulin gegen die Tuberkulose in die Öffentlichkeit brachte, oder mit abgrundtiefem Mißtrauen behandelt, wie die wirklich segensreiche Jennersche Impfung, die heute noch ihre unversöhnlichen Gegner hat. Gegen die Psychoanalyse lag offenbar ein Vorurteil vor. Wenn man einen schwierigen Fall hergestellt hatte, so konnte man hören: Das ist kein Beweis, der wäre auch von selbst in dieser Zeit gesund geworden. Und wenn eine Kranke, die bereits vier Zyklen von Verstimmung und Manie absolviert hatte, in einer Pause nach der Melancholie in meine Behandlung gekommen war und drei Wochen später sich wieder zu Beginn einer Manie befand, so waren alle Familienmitglieder, aber auch die zu Rate gezogene hohe ärztliche Autorität, überzeugt, daß der neuerliche Anfall nur die Folge der an ihr versuchten Analyse sein könne. Gegen Vorurteile kann man nichts tun; Sie sehen es ja jetzt wieder an den Vorurteilen, die die eine Gruppe von kriegführenden Völkern gegen die andere entwickelt hat. Das Vernünftigste ist, man wartet und überläßt sie der Zeit, welche sie abnützt. Eines Tages denken dieselben Menschen über dieselben Dinge ganz anders als bisher; warum sie nicht schon früher so gedacht haben, bleibt ein dunkles Geheimnis.</w:t>
      </w:r>
    </w:p>
    <w:p w:rsidR="00062BE4" w:rsidRPr="002F7766" w:rsidRDefault="00062BE4" w:rsidP="00062BE4">
      <w:pPr>
        <w:rPr>
          <w:rFonts w:ascii="Garamond" w:hAnsi="Garamond" w:cs="Arial"/>
          <w:lang w:val="en-GB"/>
        </w:rPr>
      </w:pPr>
      <w:r w:rsidRPr="002F7766">
        <w:rPr>
          <w:rFonts w:ascii="Garamond" w:hAnsi="Garamond" w:cs="Arial"/>
          <w:lang w:val="en-GB"/>
        </w:rPr>
        <w:t>Möglicherweise ist das Vorurteil gegen die analytische Therapie schon jetzt in Abnahme begriffen. Die stete Ausbreitung der analytischen Lehren, die Zunahme analytisch behandelnder Ärzte in manchen Ländern scheint es zu verbürgen. Als ich ein junger Arzt war, geriet ich in einen ebensolchen Entrüstungssturm der Ärzte gegen die hypnotische Suggestivbehandlung, die heute von den »Nüchternen« der Psychoanalyse entgegengehalten wird. Der Hypnotismus hat aber als therapeutisches Agens nicht gehalten, was er anfangs versprach; wir Psychoanalytiker dürfen uns für seine rechtmäßigen Erben ausgeben und vergessen nicht, wie viel Aufmunterung und theoretische Aufklärung wir ihm verdanken. Die der Psychoanalyse nachgesagten Schädigungen schränken sich im wesentlichen auf vorübergehende Erscheinungen von Konfliktsteigerung ein, wenn die Analyse ungeschickt gemacht oder wenn sie mittendrin abgebrochen wird. Sie haben ja Rechenschaft darüber gehört, was wir mit den Kranken anstellen, und können sich ein eigenes Urteil darüber bilden, ob unsere Bemühungen geeignet sind, zu einer dauernden Schädigung zu führen. Mißbrauch der Analyse ist nach verschiedenen Richtungen möglich; zumal die Übertragung ist ein gefährliches Mittel in den Händen eines nicht gewissenhaften Arztes. Aber vor Mißbrauch ist kein ärztliches Mittel oder Verfahren geschützt; wenn ein Messer nicht schneidet, kann es auch nicht zur Heilung dienen.</w:t>
      </w:r>
    </w:p>
    <w:p w:rsidR="00062BE4" w:rsidRPr="002F7766" w:rsidRDefault="00062BE4" w:rsidP="00062BE4">
      <w:pPr>
        <w:rPr>
          <w:rFonts w:ascii="Garamond" w:hAnsi="Garamond" w:cs="Arial"/>
          <w:lang w:val="en-GB"/>
        </w:rPr>
      </w:pPr>
      <w:r w:rsidRPr="002F7766">
        <w:rPr>
          <w:rFonts w:ascii="Garamond" w:hAnsi="Garamond" w:cs="Arial"/>
          <w:lang w:val="en-GB"/>
        </w:rPr>
        <w:t>Ich bin nun zu Ende, meine Damen und Herren. Es ist mehr als die gebräuchliche Redensart, wenn ich bekenne, daß die vielen Mängel der Vorträge, die ich Ihnen gehalten habe, mich selbst empfindlich bedrücken. Vor allem tut es mir leid, daß ich so oft versprochen habe, auf ein kurz berührtes Thema an anderer Stelle wieder zurückzukommen, und dann hat der Zusammenhang es nicht ergeben, daß ich mein Versprechen halten konnte. Ich habe es unternommen, Ihnen von einer noch unfertigen, in Entwicklung begriffenen Sache Bericht zu geben, und meine kürzende Zusammenfassung ist dann selbst eine unvollkommene geworden. An manchen Stellen habe ich das Material für eine Schlußfolgerung bereitgelegt und diese dann nicht selbst gezogen. Aber ich konnte es nicht beanspruchen, Sie zu Sachkundigen zu machen; ich wollte Ihnen nur Aufklärung und Anregung bringen.</w:t>
      </w:r>
    </w:p>
    <w:p w:rsidR="00062BE4" w:rsidRPr="002F7766" w:rsidRDefault="00062BE4" w:rsidP="00062BE4">
      <w:pPr>
        <w:rPr>
          <w:rFonts w:ascii="Garamond" w:hAnsi="Garamond" w:cs="Arial"/>
          <w:lang w:val="en-GB"/>
        </w:rPr>
      </w:pPr>
    </w:p>
    <w:p w:rsidR="00062BE4" w:rsidRPr="002F7766" w:rsidRDefault="00062BE4" w:rsidP="00062BE4">
      <w:pPr>
        <w:rPr>
          <w:rFonts w:ascii="Garamond" w:hAnsi="Garamond"/>
          <w:lang w:val="en-GB"/>
        </w:rPr>
      </w:pPr>
      <w:r w:rsidRPr="002F7766">
        <w:rPr>
          <w:rFonts w:ascii="Garamond" w:hAnsi="Garamond"/>
          <w:lang w:val="en-GB"/>
        </w:rPr>
        <w:t xml:space="preserve"> </w:t>
      </w:r>
    </w:p>
    <w:p w:rsidR="00062BE4" w:rsidRPr="002F7766" w:rsidRDefault="00062BE4" w:rsidP="00062BE4">
      <w:pPr>
        <w:rPr>
          <w:rFonts w:ascii="Garamond" w:hAnsi="Garamond"/>
          <w:lang w:val="en-GB"/>
        </w:rPr>
      </w:pPr>
    </w:p>
    <w:p w:rsidR="00646842" w:rsidRPr="00646842" w:rsidRDefault="00646842" w:rsidP="00646842">
      <w:pPr>
        <w:rPr>
          <w:rFonts w:ascii="Garamond" w:hAnsi="Garamond"/>
          <w:lang w:val="en-GB"/>
        </w:rPr>
      </w:pPr>
    </w:p>
    <w:p w:rsidR="00E22C23" w:rsidRDefault="00E22C23" w:rsidP="00E22C23">
      <w:pPr>
        <w:rPr>
          <w:rFonts w:ascii="Garamond" w:hAnsi="Garamond"/>
          <w:lang w:val="en-US"/>
        </w:rPr>
      </w:pPr>
      <w:r w:rsidRPr="00AF5815">
        <w:rPr>
          <w:rFonts w:ascii="Garamond" w:hAnsi="Garamond"/>
          <w:lang w:val="en-US"/>
        </w:rPr>
        <w:lastRenderedPageBreak/>
        <w:t>Ne</w:t>
      </w:r>
      <w:bookmarkStart w:id="296" w:name="F71"/>
      <w:bookmarkEnd w:id="296"/>
      <w:r w:rsidRPr="00AF5815">
        <w:rPr>
          <w:rFonts w:ascii="Garamond" w:hAnsi="Garamond"/>
          <w:lang w:val="en-US"/>
        </w:rPr>
        <w:t>ue Folge der Vorlesungen zur Einführung in die Psychoanalyse  (1933)</w:t>
      </w:r>
      <w:r>
        <w:rPr>
          <w:rFonts w:ascii="Garamond" w:hAnsi="Garamond"/>
          <w:lang w:val="en-US"/>
        </w:rPr>
        <w:t xml:space="preserve">                               </w:t>
      </w:r>
      <w:hyperlink w:anchor="Werke" w:history="1">
        <w:r w:rsidRPr="0018684C">
          <w:rPr>
            <w:rStyle w:val="Lienhypertexte"/>
            <w:rFonts w:ascii="Garamond" w:hAnsi="Garamond"/>
            <w:lang w:val="en-US"/>
          </w:rPr>
          <w:t>Werke</w:t>
        </w:r>
      </w:hyperlink>
    </w:p>
    <w:p w:rsidR="00E22C23" w:rsidRDefault="00E22C23" w:rsidP="00E22C23">
      <w:pPr>
        <w:rPr>
          <w:rFonts w:ascii="Garamond" w:hAnsi="Garamond"/>
          <w:lang w:val="en-US"/>
        </w:rPr>
      </w:pPr>
    </w:p>
    <w:p w:rsidR="00E22C23" w:rsidRDefault="00E22C23" w:rsidP="00E22C23">
      <w:pPr>
        <w:rPr>
          <w:rFonts w:ascii="Garamond" w:hAnsi="Garamond"/>
          <w:color w:val="003399"/>
          <w:lang w:val="en-US"/>
        </w:rPr>
      </w:pPr>
      <w:r>
        <w:rPr>
          <w:rFonts w:ascii="Garamond" w:hAnsi="Garamond"/>
          <w:lang w:val="en-US"/>
        </w:rPr>
        <w:t>In</w:t>
      </w:r>
      <w:bookmarkStart w:id="297" w:name="NeueVorlesugen_INHALT"/>
      <w:bookmarkEnd w:id="297"/>
      <w:r>
        <w:rPr>
          <w:rFonts w:ascii="Garamond" w:hAnsi="Garamond"/>
          <w:lang w:val="en-US"/>
        </w:rPr>
        <w:t>halt</w:t>
      </w:r>
    </w:p>
    <w:p w:rsidR="00E22C23" w:rsidRPr="00AF5815" w:rsidRDefault="00B437A1" w:rsidP="00CE4D4E">
      <w:pPr>
        <w:numPr>
          <w:ilvl w:val="0"/>
          <w:numId w:val="9"/>
        </w:numPr>
        <w:spacing w:after="0" w:line="240" w:lineRule="auto"/>
        <w:rPr>
          <w:rFonts w:ascii="Garamond" w:hAnsi="Garamond"/>
          <w:lang w:val="en-US"/>
        </w:rPr>
      </w:pPr>
      <w:hyperlink w:anchor="NeueVorlesugen_vorwort" w:history="1">
        <w:r w:rsidR="00E22C23" w:rsidRPr="00AF5815">
          <w:rPr>
            <w:rStyle w:val="Lienhypertexte"/>
            <w:rFonts w:ascii="Garamond" w:hAnsi="Garamond"/>
            <w:lang w:val="en-US"/>
          </w:rPr>
          <w:t>Vorwort</w:t>
        </w:r>
      </w:hyperlink>
    </w:p>
    <w:p w:rsidR="00E22C23" w:rsidRPr="00AF5815" w:rsidRDefault="00E22C23" w:rsidP="00E22C23">
      <w:pPr>
        <w:ind w:left="720"/>
        <w:rPr>
          <w:rFonts w:ascii="Garamond" w:hAnsi="Garamond"/>
          <w:lang w:val="en-US"/>
        </w:rPr>
      </w:pPr>
    </w:p>
    <w:p w:rsidR="00E22C23" w:rsidRPr="00AF5815" w:rsidRDefault="00B437A1" w:rsidP="00CE4D4E">
      <w:pPr>
        <w:numPr>
          <w:ilvl w:val="0"/>
          <w:numId w:val="9"/>
        </w:numPr>
        <w:spacing w:after="0" w:line="240" w:lineRule="auto"/>
        <w:rPr>
          <w:rFonts w:ascii="Garamond" w:hAnsi="Garamond"/>
          <w:lang w:val="en-US"/>
        </w:rPr>
      </w:pPr>
      <w:hyperlink w:anchor="NeueVorlesugen_29" w:history="1">
        <w:r w:rsidR="00E22C23" w:rsidRPr="00AF5815">
          <w:rPr>
            <w:rStyle w:val="Lienhypertexte"/>
            <w:rFonts w:ascii="Garamond" w:hAnsi="Garamond"/>
            <w:lang w:val="en-US"/>
          </w:rPr>
          <w:t>29. Vorlesung. Revision der Traumlehre</w:t>
        </w:r>
      </w:hyperlink>
    </w:p>
    <w:p w:rsidR="00E22C23" w:rsidRPr="00AF5815" w:rsidRDefault="00E22C23" w:rsidP="00E22C23">
      <w:pPr>
        <w:rPr>
          <w:rFonts w:ascii="Garamond" w:hAnsi="Garamond"/>
          <w:lang w:val="en-US"/>
        </w:rPr>
      </w:pPr>
    </w:p>
    <w:p w:rsidR="00E22C23" w:rsidRPr="00AF5815" w:rsidRDefault="00B437A1" w:rsidP="00CE4D4E">
      <w:pPr>
        <w:numPr>
          <w:ilvl w:val="0"/>
          <w:numId w:val="9"/>
        </w:numPr>
        <w:spacing w:after="0" w:line="240" w:lineRule="auto"/>
        <w:rPr>
          <w:rFonts w:ascii="Garamond" w:hAnsi="Garamond"/>
          <w:lang w:val="en-US"/>
        </w:rPr>
      </w:pPr>
      <w:hyperlink w:anchor="NeueVorlesugen_30" w:history="1">
        <w:r w:rsidR="00E22C23" w:rsidRPr="00AF5815">
          <w:rPr>
            <w:rStyle w:val="Lienhypertexte"/>
            <w:rFonts w:ascii="Garamond" w:hAnsi="Garamond"/>
            <w:lang w:val="en-US"/>
          </w:rPr>
          <w:t>30. Vorlesung. Traum und Okkultismus</w:t>
        </w:r>
      </w:hyperlink>
    </w:p>
    <w:p w:rsidR="00E22C23" w:rsidRPr="00AF5815" w:rsidRDefault="00E22C23" w:rsidP="00E22C23">
      <w:pPr>
        <w:rPr>
          <w:rFonts w:ascii="Garamond" w:hAnsi="Garamond"/>
          <w:lang w:val="en-US"/>
        </w:rPr>
      </w:pPr>
    </w:p>
    <w:p w:rsidR="00E22C23" w:rsidRPr="00AF5815" w:rsidRDefault="00B437A1" w:rsidP="00CE4D4E">
      <w:pPr>
        <w:numPr>
          <w:ilvl w:val="0"/>
          <w:numId w:val="9"/>
        </w:numPr>
        <w:spacing w:after="0" w:line="240" w:lineRule="auto"/>
        <w:rPr>
          <w:rFonts w:ascii="Garamond" w:hAnsi="Garamond"/>
          <w:lang w:val="en-GB"/>
        </w:rPr>
      </w:pPr>
      <w:hyperlink w:anchor="NeueVorlesugen_31" w:history="1">
        <w:r w:rsidR="00E22C23" w:rsidRPr="00AF5815">
          <w:rPr>
            <w:rStyle w:val="Lienhypertexte"/>
            <w:rFonts w:ascii="Garamond" w:hAnsi="Garamond"/>
            <w:lang w:val="en-GB"/>
          </w:rPr>
          <w:t>31. Vorlesung. Die Zerlegung der psychischen Persönlichkeit</w:t>
        </w:r>
      </w:hyperlink>
    </w:p>
    <w:p w:rsidR="00E22C23" w:rsidRPr="00AF5815" w:rsidRDefault="00E22C23" w:rsidP="00E22C23">
      <w:pPr>
        <w:rPr>
          <w:rFonts w:ascii="Garamond" w:hAnsi="Garamond"/>
          <w:lang w:val="en-GB"/>
        </w:rPr>
      </w:pPr>
    </w:p>
    <w:p w:rsidR="00E22C23" w:rsidRPr="00AF5815" w:rsidRDefault="00B437A1" w:rsidP="00CE4D4E">
      <w:pPr>
        <w:numPr>
          <w:ilvl w:val="0"/>
          <w:numId w:val="9"/>
        </w:numPr>
        <w:spacing w:after="0" w:line="240" w:lineRule="auto"/>
        <w:rPr>
          <w:rFonts w:ascii="Garamond" w:hAnsi="Garamond"/>
          <w:lang w:val="en-US"/>
        </w:rPr>
      </w:pPr>
      <w:hyperlink w:anchor="NeueVorlesugen_32" w:history="1">
        <w:r w:rsidR="00E22C23" w:rsidRPr="00AF5815">
          <w:rPr>
            <w:rStyle w:val="Lienhypertexte"/>
            <w:rFonts w:ascii="Garamond" w:hAnsi="Garamond"/>
            <w:lang w:val="en-US"/>
          </w:rPr>
          <w:t>32. Vorlesung. Angst und Triebleben</w:t>
        </w:r>
      </w:hyperlink>
    </w:p>
    <w:p w:rsidR="00E22C23" w:rsidRPr="00AF5815" w:rsidRDefault="00E22C23" w:rsidP="00E22C23">
      <w:pPr>
        <w:rPr>
          <w:rFonts w:ascii="Garamond" w:hAnsi="Garamond"/>
          <w:lang w:val="en-US"/>
        </w:rPr>
      </w:pPr>
    </w:p>
    <w:p w:rsidR="00E22C23" w:rsidRPr="00AF5815" w:rsidRDefault="00B437A1" w:rsidP="00CE4D4E">
      <w:pPr>
        <w:numPr>
          <w:ilvl w:val="0"/>
          <w:numId w:val="9"/>
        </w:numPr>
        <w:spacing w:after="0" w:line="240" w:lineRule="auto"/>
        <w:rPr>
          <w:rFonts w:ascii="Garamond" w:hAnsi="Garamond"/>
          <w:lang w:val="en-US"/>
        </w:rPr>
      </w:pPr>
      <w:hyperlink w:anchor="NeueVorlesugen_33" w:history="1">
        <w:r w:rsidR="00E22C23" w:rsidRPr="00AF5815">
          <w:rPr>
            <w:rStyle w:val="Lienhypertexte"/>
            <w:rFonts w:ascii="Garamond" w:hAnsi="Garamond"/>
            <w:lang w:val="en-US"/>
          </w:rPr>
          <w:t>33. Vorlesung. Die Weiblichkeit</w:t>
        </w:r>
      </w:hyperlink>
    </w:p>
    <w:p w:rsidR="00E22C23" w:rsidRPr="00AF5815" w:rsidRDefault="00E22C23" w:rsidP="00E22C23">
      <w:pPr>
        <w:rPr>
          <w:rFonts w:ascii="Garamond" w:hAnsi="Garamond"/>
          <w:lang w:val="en-US"/>
        </w:rPr>
      </w:pPr>
    </w:p>
    <w:p w:rsidR="00E22C23" w:rsidRPr="00AF5815" w:rsidRDefault="00B437A1" w:rsidP="00CE4D4E">
      <w:pPr>
        <w:numPr>
          <w:ilvl w:val="0"/>
          <w:numId w:val="9"/>
        </w:numPr>
        <w:spacing w:after="0" w:line="240" w:lineRule="auto"/>
        <w:rPr>
          <w:rFonts w:ascii="Garamond" w:hAnsi="Garamond"/>
          <w:lang w:val="en-US"/>
        </w:rPr>
      </w:pPr>
      <w:hyperlink w:anchor="NeueVorlesugen_34" w:history="1">
        <w:r w:rsidR="00E22C23" w:rsidRPr="00AF5815">
          <w:rPr>
            <w:rStyle w:val="Lienhypertexte"/>
            <w:rFonts w:ascii="Garamond" w:hAnsi="Garamond"/>
            <w:lang w:val="en-US"/>
          </w:rPr>
          <w:t>34. Vorlesung. Aufklärungen, Anwendungen, Orientierungen</w:t>
        </w:r>
      </w:hyperlink>
    </w:p>
    <w:p w:rsidR="00E22C23" w:rsidRPr="00AF5815" w:rsidRDefault="00E22C23" w:rsidP="00E22C23">
      <w:pPr>
        <w:rPr>
          <w:rFonts w:ascii="Garamond" w:hAnsi="Garamond"/>
          <w:lang w:val="en-US"/>
        </w:rPr>
      </w:pPr>
    </w:p>
    <w:p w:rsidR="00E22C23" w:rsidRPr="00AF5815" w:rsidRDefault="00B437A1" w:rsidP="00CE4D4E">
      <w:pPr>
        <w:numPr>
          <w:ilvl w:val="0"/>
          <w:numId w:val="9"/>
        </w:numPr>
        <w:spacing w:after="0" w:line="240" w:lineRule="auto"/>
        <w:rPr>
          <w:rFonts w:ascii="Garamond" w:hAnsi="Garamond"/>
          <w:lang w:val="en-US"/>
        </w:rPr>
      </w:pPr>
      <w:hyperlink w:anchor="NeueVorlesugen_35" w:history="1">
        <w:r w:rsidR="00E22C23" w:rsidRPr="00AF5815">
          <w:rPr>
            <w:rStyle w:val="Lienhypertexte"/>
            <w:rFonts w:ascii="Garamond" w:hAnsi="Garamond"/>
            <w:lang w:val="en-US"/>
          </w:rPr>
          <w:t>35. Vorlesung. Über eine Weltanschauung</w:t>
        </w:r>
      </w:hyperlink>
    </w:p>
    <w:p w:rsidR="00E22C23" w:rsidRPr="00AF5815" w:rsidRDefault="00E22C23" w:rsidP="00E22C23">
      <w:pPr>
        <w:rPr>
          <w:rFonts w:ascii="Garamond" w:hAnsi="Garamond"/>
          <w:lang w:val="en-US"/>
        </w:rPr>
      </w:pPr>
    </w:p>
    <w:p w:rsidR="00E22C23" w:rsidRPr="00AF5815" w:rsidRDefault="00E22C23" w:rsidP="00E22C23">
      <w:pPr>
        <w:rPr>
          <w:rFonts w:ascii="Garamond" w:hAnsi="Garamond"/>
        </w:rPr>
      </w:pPr>
      <w:r>
        <w:rPr>
          <w:rFonts w:ascii="Garamond" w:hAnsi="Garamond"/>
        </w:rPr>
        <w:br w:type="page"/>
      </w:r>
      <w:hyperlink w:anchor="NeueVorlesugen_INHALT" w:history="1">
        <w:r w:rsidRPr="00AF5815">
          <w:rPr>
            <w:rStyle w:val="Lienhypertexte"/>
            <w:rFonts w:ascii="Garamond" w:hAnsi="Garamond"/>
          </w:rPr>
          <w:t>Vo</w:t>
        </w:r>
        <w:bookmarkStart w:id="298" w:name="NeueVorlesugen_vorwort"/>
        <w:bookmarkEnd w:id="298"/>
        <w:r w:rsidRPr="00AF5815">
          <w:rPr>
            <w:rStyle w:val="Lienhypertexte"/>
            <w:rFonts w:ascii="Garamond" w:hAnsi="Garamond"/>
          </w:rPr>
          <w:t>rwort</w:t>
        </w:r>
      </w:hyperlink>
    </w:p>
    <w:p w:rsidR="00E22C23" w:rsidRDefault="00E22C23" w:rsidP="00E22C23">
      <w:pPr>
        <w:rPr>
          <w:rFonts w:ascii="Garamond" w:hAnsi="Garamond"/>
        </w:rPr>
      </w:pPr>
    </w:p>
    <w:p w:rsidR="00E22C23" w:rsidRPr="00AF5815" w:rsidRDefault="00E22C23" w:rsidP="00E22C23">
      <w:pPr>
        <w:rPr>
          <w:rFonts w:ascii="Garamond" w:hAnsi="Garamond"/>
          <w:lang w:val="en-GB"/>
        </w:rPr>
      </w:pPr>
      <w:r w:rsidRPr="00AF5815">
        <w:rPr>
          <w:rFonts w:ascii="Garamond" w:hAnsi="Garamond"/>
          <w:lang w:val="en-US"/>
        </w:rPr>
        <w:t xml:space="preserve">Die </w:t>
      </w:r>
      <w:r w:rsidRPr="00AF5815">
        <w:rPr>
          <w:rFonts w:ascii="Garamond" w:hAnsi="Garamond"/>
          <w:i/>
          <w:iCs/>
          <w:lang w:val="en-US"/>
        </w:rPr>
        <w:t>Vorlesungen zur Einführung in die Psychoanalyse</w:t>
      </w:r>
      <w:r w:rsidRPr="00AF5815">
        <w:rPr>
          <w:rFonts w:ascii="Garamond" w:hAnsi="Garamond"/>
          <w:lang w:val="en-US"/>
        </w:rPr>
        <w:t xml:space="preserve"> wurden in den beiden Wintersemestern 1915/16 und 1916/17 in einem Hörsaal der Wiener psychiatrischen Klinik vor einem aus Hörern aller Fakultäten gemischten Auditorium gehalten. </w:t>
      </w:r>
      <w:r w:rsidRPr="00E22C23">
        <w:rPr>
          <w:rFonts w:ascii="Garamond" w:hAnsi="Garamond"/>
          <w:lang w:val="en-US"/>
        </w:rPr>
        <w:t xml:space="preserve">Die Vorlesungen der ersten Hälfte wurden improvisiert und unmittelbar nachher niedergeschrieben, die der zweiten während eines dazwischenliegenden Sommeraufenthalts in Salzburg entworfen und im folgenden Winter wortgetreu vorgetragen. </w:t>
      </w:r>
      <w:r w:rsidRPr="00AF5815">
        <w:rPr>
          <w:rFonts w:ascii="Garamond" w:hAnsi="Garamond"/>
          <w:lang w:val="en-GB"/>
        </w:rPr>
        <w:t>Ich besaß damals noch die Gabe eines phonographischen Gedächtnisses.</w:t>
      </w:r>
    </w:p>
    <w:p w:rsidR="00E22C23" w:rsidRPr="00AF5815" w:rsidRDefault="00E22C23" w:rsidP="00E22C23">
      <w:pPr>
        <w:rPr>
          <w:rFonts w:ascii="Garamond" w:hAnsi="Garamond"/>
          <w:lang w:val="en-GB"/>
        </w:rPr>
      </w:pPr>
      <w:r w:rsidRPr="00AF5815">
        <w:rPr>
          <w:rFonts w:ascii="Garamond" w:hAnsi="Garamond"/>
          <w:lang w:val="en-GB"/>
        </w:rPr>
        <w:t>Zum Unterschied hievon sind diese neuen Vorlesungen niemals gehalten worden. Mein Alter hatte mich inzwischen der Verpflichtung enthoben, die – wenn auch nur peripherische – Zugehörigkeit zur Universität durch Abhaltung von Vorlesungen zum Ausdruck zu bringen, und eine chirurgische Operation hatte mich als Redner unmöglich gemacht. Es ist also nur eine Vorspiegelung der Phantasie, wenn ich mich während der nachfolgenden Ausführungen wieder in den Hörsaal versetze; sie mag mithelfen, bei der Vertiefung in den Gegenstand die Rücksicht auf den Leser nicht zu vergessen.</w:t>
      </w:r>
    </w:p>
    <w:p w:rsidR="00E22C23" w:rsidRPr="00AF5815" w:rsidRDefault="00E22C23" w:rsidP="00E22C23">
      <w:pPr>
        <w:rPr>
          <w:rFonts w:ascii="Garamond" w:hAnsi="Garamond"/>
          <w:lang w:val="en-GB"/>
        </w:rPr>
      </w:pPr>
      <w:r w:rsidRPr="00AF5815">
        <w:rPr>
          <w:rFonts w:ascii="Garamond" w:hAnsi="Garamond"/>
          <w:lang w:val="en-GB"/>
        </w:rPr>
        <w:t>Diese neuen Vorlesungen wollen keineswegs an die Stelle der früheren treten. Sie sind überhaupt nichts Selbständiges, das erwarten kann, sich einen eigenen Leserkreis zu finden, sondern sie sind Fortsetzungen und Ergänzungen, die in ihrer Beziehung zu den früheren in drei Gruppen zerfallen. In eine erste Gruppe gehören Neubearbeitungen von Themen, die schon vor fünfzehn Jahren behandelt worden sind, aber infolge der Vertiefung unserer Einsichten und der Veränderung unserer Anschauungen heute eine andere Darstellung verlangen, also kritische Revisionen. Die beiden anderen Gruppen umfassen die eigentlichen Erweiterungen, indem sie Dinge behandeln, die es entweder in der Zeit der ersten Vorlesungen in der Psychoanalyse noch nicht gab oder von denen damals zu wenig vorhanden war, um eine besondere Kapitelüberschrift zu rechtfertigen. Es ist nicht zu vermeiden, aber auch nicht zu bedauern, daß einzelne der neuen Vorlesungen die Charaktere dieser und jener Gruppe in sich vereinigen.</w:t>
      </w:r>
    </w:p>
    <w:p w:rsidR="00E22C23" w:rsidRPr="00AF5815" w:rsidRDefault="00E22C23" w:rsidP="00E22C23">
      <w:pPr>
        <w:rPr>
          <w:rFonts w:ascii="Garamond" w:hAnsi="Garamond"/>
          <w:lang w:val="en-GB"/>
        </w:rPr>
      </w:pPr>
      <w:r w:rsidRPr="00AF5815">
        <w:rPr>
          <w:rFonts w:ascii="Garamond" w:hAnsi="Garamond"/>
          <w:lang w:val="en-GB"/>
        </w:rPr>
        <w:t xml:space="preserve">Die Abhängigkeit dieser neuen Vorlesungen von den </w:t>
      </w:r>
      <w:r w:rsidRPr="00AF5815">
        <w:rPr>
          <w:rFonts w:ascii="Garamond" w:hAnsi="Garamond"/>
          <w:i/>
          <w:iCs/>
          <w:lang w:val="en-GB"/>
        </w:rPr>
        <w:t>Vorlesungen zur Einführung</w:t>
      </w:r>
      <w:r w:rsidRPr="00AF5815">
        <w:rPr>
          <w:rFonts w:ascii="Garamond" w:hAnsi="Garamond"/>
          <w:lang w:val="en-GB"/>
        </w:rPr>
        <w:t xml:space="preserve"> kommt auch darin zum Ausdruck, daß sie deren Zählung fortsetzen. Die erste dieses Bandes wird als die XXIX. bezeichnet. Wiederum bieten sie dem Analytiker von Fach wenig Neues und wenden sich an jene große Menge Gebildeter, denen man ein wohlwollendes, wenn auch zurückgehaltenes Interesse für die Eigenart und die Erwerbungen der jungen Wissenschaft zuschreiben möchte. Auch diesmal ist es meine leitende Absicht gewesen, dem Schein der Einfachheit, Vollständigkeit und Abgeschlossenheit keine Opfer zu bringen, Probleme nicht zu verhüllen, Lücken und Unsicherheiten nicht zu verleugnen. Auf keinem andern Gebiet wissenschaftlicher Arbeit dürfte man sich solcher Vorsätze zu nüchterner Selbstbescheidung rühmen. Sie gelten überall als selbstverständlich, das Publikum erwartet es nicht anders. Kein Leser einer Darstellung der Astronomie wird sich enttäuscht und der Wissenschaft überlegen fühlen, wenn man ihm die Grenzen zeigt, an denen unsere Kenntnis des Weltalls ins Nebelhafte zerflattert. Nur in der Psychologie ist es anders, hier kommt die konstitutionelle Untauglichkeit des Menschen zu wissenschaftlicher Forschung in vollem Ausmaß zum Vorschein. Man scheint von der Psychologie nicht Fortschritte im Wissen zu verlangen, sondern irgendwelche andere Befriedigungen; man macht ihr aus jedem ungelösten Problem, aus jeder eingestandenen Unsicherheit einen Vorwurf.</w:t>
      </w:r>
    </w:p>
    <w:p w:rsidR="00E22C23" w:rsidRPr="00AF5815" w:rsidRDefault="00E22C23" w:rsidP="00E22C23">
      <w:pPr>
        <w:rPr>
          <w:rFonts w:ascii="Garamond" w:hAnsi="Garamond"/>
          <w:lang w:val="en-GB"/>
        </w:rPr>
      </w:pPr>
      <w:r w:rsidRPr="00AF5815">
        <w:rPr>
          <w:rFonts w:ascii="Garamond" w:hAnsi="Garamond"/>
          <w:lang w:val="en-GB"/>
        </w:rPr>
        <w:t>Wer die Wissenschaft vom Seelenleben liebt, wird auch diese Unbilde hinnehmen müssen.</w:t>
      </w:r>
    </w:p>
    <w:p w:rsidR="00E22C23" w:rsidRPr="00AF5815" w:rsidRDefault="00E22C23" w:rsidP="00E22C23">
      <w:pPr>
        <w:rPr>
          <w:rFonts w:ascii="Garamond" w:hAnsi="Garamond"/>
          <w:lang w:val="en-GB"/>
        </w:rPr>
      </w:pPr>
      <w:r w:rsidRPr="00AF5815">
        <w:rPr>
          <w:rFonts w:ascii="Garamond" w:hAnsi="Garamond"/>
          <w:lang w:val="en-GB"/>
        </w:rPr>
        <w:t>Wien, im Sommer 1932</w:t>
      </w:r>
    </w:p>
    <w:p w:rsidR="00E22C23" w:rsidRPr="00AF5815" w:rsidRDefault="00E22C23" w:rsidP="00E22C23">
      <w:pPr>
        <w:rPr>
          <w:rFonts w:ascii="Garamond" w:hAnsi="Garamond"/>
          <w:lang w:val="en-GB"/>
        </w:rPr>
      </w:pPr>
      <w:r w:rsidRPr="00AF5815">
        <w:rPr>
          <w:rFonts w:ascii="Garamond" w:hAnsi="Garamond"/>
          <w:lang w:val="en-GB"/>
        </w:rPr>
        <w:t>Freud</w:t>
      </w:r>
    </w:p>
    <w:p w:rsidR="00E22C23" w:rsidRPr="00AF5815" w:rsidRDefault="00E22C23" w:rsidP="00E22C23">
      <w:pPr>
        <w:rPr>
          <w:rFonts w:ascii="Garamond" w:hAnsi="Garamond"/>
          <w:b/>
          <w:lang w:val="en-GB"/>
        </w:rPr>
      </w:pPr>
      <w:r>
        <w:rPr>
          <w:rFonts w:ascii="Garamond" w:hAnsi="Garamond"/>
          <w:lang w:val="en-GB"/>
        </w:rPr>
        <w:br w:type="page"/>
      </w:r>
      <w:hyperlink w:anchor="NeueVorlesugen_INHALT" w:history="1">
        <w:r w:rsidRPr="00AF5815">
          <w:rPr>
            <w:rStyle w:val="Lienhypertexte"/>
            <w:rFonts w:ascii="Garamond" w:hAnsi="Garamond"/>
            <w:b/>
            <w:lang w:val="en-GB"/>
          </w:rPr>
          <w:t>29. Vo</w:t>
        </w:r>
        <w:bookmarkStart w:id="299" w:name="NeueVorlesugen_29"/>
        <w:bookmarkEnd w:id="299"/>
        <w:r w:rsidRPr="00AF5815">
          <w:rPr>
            <w:rStyle w:val="Lienhypertexte"/>
            <w:rFonts w:ascii="Garamond" w:hAnsi="Garamond"/>
            <w:b/>
            <w:lang w:val="en-GB"/>
          </w:rPr>
          <w:t>rlesung. Revision der Traumlehre</w:t>
        </w:r>
      </w:hyperlink>
    </w:p>
    <w:p w:rsidR="00E22C23" w:rsidRDefault="00E22C23" w:rsidP="00E22C23">
      <w:pPr>
        <w:rPr>
          <w:rFonts w:ascii="Garamond" w:hAnsi="Garamond"/>
          <w:lang w:val="en-GB"/>
        </w:rPr>
      </w:pPr>
    </w:p>
    <w:p w:rsidR="00E22C23" w:rsidRPr="00AF5815" w:rsidRDefault="00E22C23" w:rsidP="00E22C23">
      <w:pPr>
        <w:rPr>
          <w:rFonts w:ascii="Garamond" w:hAnsi="Garamond"/>
          <w:lang w:val="en-GB"/>
        </w:rPr>
      </w:pPr>
      <w:r w:rsidRPr="00AF5815">
        <w:rPr>
          <w:rFonts w:ascii="Garamond" w:hAnsi="Garamond"/>
          <w:lang w:val="en-GB"/>
        </w:rPr>
        <w:t>Meine Damen und Herren! Wenn ich Sie nach länger als fünfzehnjähriger Pause wieder zusammengerufen habe, um mit Ihnen zu besprechen, was die Zwischenzeit an Neuem, vielleicht auch Besserem, in der Psychoanalyse gebracht hat, so ist es von mehr als einem Gesichtspunkt aus recht und billig, daß wir unsere Aufmerksamkeit zuerst dem Stande der Traumlehre zuwenden. Diese nimmt in der Geschichte der Psychoanalyse eine besondere Stelle ein, bezeichnet einen Wendepunkt; mit ihr hat die Analyse den Schritt von einem psychotherapeutischen Verfahren zu einer Tiefenpsychologie vollzogen. Die Traumlehre ist seither auch das Kennzeichnendste und Eigentümlichste der jungen Wissenschaft geblieben, etwas wozu es kein Gegenstück in unserem sonstigen Wissen gibt, ein Stück Neuland, dem Volksglauben und der Mystik abgewonnen. Die Fremdartigkeit der Behauptungen, die sie aufstellen mußte, hat ihr die Rolle eines Schibboleth verliehen, dessen Anwendung entschied, wer ein Anhänger der Psychoanalyse werden konnte und wem sie endgültig unfaßbar blieb. Mir selbst war sie ein sicherer Anhalt in jenen schweren Zeiten, da die unerkannten Tatbestände der Neurosen mein ungeübtes Urteil zu verwirren pflegten. So oft ich auch an der Richtigkeit meiner schwankenden Erkenntnisse zu zweifeln begann, wenn es mir gelungen war, einen sinnlos verworrenen Traum in einen korrekten und begreiflichen seelischen Vorgang beim Träumer umzusetzen, erneuerte sich meine Zuversicht, auf der richtigen Spur zu sein.</w:t>
      </w:r>
    </w:p>
    <w:p w:rsidR="00E22C23" w:rsidRPr="00AF5815" w:rsidRDefault="00E22C23" w:rsidP="00E22C23">
      <w:pPr>
        <w:rPr>
          <w:rFonts w:ascii="Garamond" w:hAnsi="Garamond"/>
          <w:lang w:val="en-GB"/>
        </w:rPr>
      </w:pPr>
      <w:r w:rsidRPr="00AF5815">
        <w:rPr>
          <w:rFonts w:ascii="Garamond" w:hAnsi="Garamond"/>
          <w:lang w:val="en-GB"/>
        </w:rPr>
        <w:t>Es hat also für uns ein besonderes Interesse, gerade am Fall der Traumlehre zu verfolgen, einerseits welche Wandlungen die Psychoanalyse in diesem Intervall erfahren, anderseits welche Fortschritte sie unterdes im Verständnis und in der Schätzung der Mitwelt gemacht hat. Ich sage es Ihnen gleich heraus, Sie werden nach beiden Richtungen enttäuscht werden.</w:t>
      </w:r>
    </w:p>
    <w:p w:rsidR="00E22C23" w:rsidRPr="00AF5815" w:rsidRDefault="00E22C23" w:rsidP="00E22C23">
      <w:pPr>
        <w:rPr>
          <w:rFonts w:ascii="Garamond" w:hAnsi="Garamond"/>
          <w:lang w:val="en-GB"/>
        </w:rPr>
      </w:pPr>
      <w:r w:rsidRPr="00AF5815">
        <w:rPr>
          <w:rFonts w:ascii="Garamond" w:hAnsi="Garamond"/>
          <w:lang w:val="en-GB"/>
        </w:rPr>
        <w:t xml:space="preserve">Durchblättern Sie mit mir die Jahrgänge der </w:t>
      </w:r>
      <w:r w:rsidRPr="00AF5815">
        <w:rPr>
          <w:rFonts w:ascii="Garamond" w:hAnsi="Garamond"/>
          <w:i/>
          <w:iCs/>
          <w:lang w:val="en-GB"/>
        </w:rPr>
        <w:t>Internationalen Zeitschrift für (ärztliche) Psychoanalyse</w:t>
      </w:r>
      <w:r w:rsidRPr="00AF5815">
        <w:rPr>
          <w:rFonts w:ascii="Garamond" w:hAnsi="Garamond"/>
          <w:lang w:val="en-GB"/>
        </w:rPr>
        <w:t xml:space="preserve">, in denen seit 1913 die maßgebenden Arbeiten auf unserem Gebiet vereinigt sind. Sie finden in den früheren Bänden eine ständige Rubrik »Zur Traumdeutung« mit reichen Beiträgen zu den verschiedenen Punkten der Traumlehre. Aber je weiter Sie gehen, desto seltener werden solche Beiträge, die ständige Rubrik verschwindet endlich ganz. Die Analytiker benehmen sich, als hätten sie über den Traum nichts mehr zu sagen, als wäre die Traumlehre abgeschlossen. Wenn Sie aber fragen, was die Fernerstehenden von der Traumdeutung angenommen haben, die vielen Psychiater und Psychotherapeuten, die an unserem Feuer ihre Süppchen kochen – ohne übrigens so recht dankbar für die Gastfreundschaft zu sein –, die sogenannten Gebildeten, die sich auffällige Ergebnisse der Wissenschaft anzueignen pflegen, die Literaten und das große Publikum, so ist die Antwort wenig befriedigend. Einige Formeln sind allgemein bekannt worden, darunter solche, die wir nie vertreten haben, wie der Satz, alle Träume seien sexueller Natur, aber gerade so wichtige Dinge wie die grundlegende Unterscheidung von manifestem Trauminhalt und latenten Traumgedanken, die Einsicht, daß die Angstträume der wunscherfüllenden Funktion des Traums nicht widersprechen, die Unmöglichkeit, den Traum zu deuten, wenn man nicht über die dazugehörigen Assoziationen des Träumers verfügt, vor allem aber die Erkenntnis, daß das Wesentliche am Traum der Prozeß der Traumarbeit ist, all das scheint dem allgemeinen Bewußtsein noch ungefähr so fremd zu sein wie vor dreißig Jahren. Ich darf so sagen, denn ich habe im Laufe dieser Zeit eine Unzahl von Briefen erhalten, deren Schreiber ihre Träume zur Deutung vorlegen oder Auskünfte über die Natur des Traumes verlangen, die behaupten, daß sie die </w:t>
      </w:r>
      <w:r w:rsidRPr="00AF5815">
        <w:rPr>
          <w:rFonts w:ascii="Garamond" w:hAnsi="Garamond"/>
          <w:i/>
          <w:iCs/>
          <w:lang w:val="en-GB"/>
        </w:rPr>
        <w:t>Traumdeutung</w:t>
      </w:r>
      <w:r w:rsidRPr="00AF5815">
        <w:rPr>
          <w:rFonts w:ascii="Garamond" w:hAnsi="Garamond"/>
          <w:lang w:val="en-GB"/>
        </w:rPr>
        <w:t xml:space="preserve"> gelesen haben und dabei doch in jedem Satz ihre Verständnislosigkeit für unsere Traumlehre verraten. Das soll uns nicht abhalten, uns nochmals im Zusammenhang vorzuführen, was wir vom Traum wissen. Sie erinnern sich, das vorige Mal haben wir eine ganze Anzahl von Vorlesungen darauf verwendet, zu zeigen, wie man zum Verständnis dieses bisher unerklärten seelischen Phänomens gelangt ist.</w:t>
      </w:r>
    </w:p>
    <w:p w:rsidR="00E22C23" w:rsidRPr="00AF5815" w:rsidRDefault="00E22C23" w:rsidP="00E22C23">
      <w:pPr>
        <w:rPr>
          <w:rFonts w:ascii="Garamond" w:hAnsi="Garamond"/>
          <w:lang w:val="en-GB"/>
        </w:rPr>
      </w:pPr>
      <w:r w:rsidRPr="00AF5815">
        <w:rPr>
          <w:rFonts w:ascii="Garamond" w:hAnsi="Garamond"/>
          <w:lang w:val="en-GB"/>
        </w:rPr>
        <w:lastRenderedPageBreak/>
        <w:t xml:space="preserve">Wenn uns also jemand, z. B. ein Patient in der Analyse, einen seiner Träume berichtet, so nehmen wir an, er habe uns hiemit eine der Mitteilungen gemacht, zu denen er sich durch den Eintritt in die analytische Behandlung verpflichtet hatte. Eine Mitteilung freilich mit ungeeigneten Mitteln, denn der Traum ist an sich keine soziale Äußerung, kein Mittel der Verständigung. Wir verstehen ja auch nicht, was uns der Träumer sagen wollte, und er selbst weiß es auch nicht besser. Nun haben wir rasch eine Entscheidung zu treffen: Entweder der Traum ist, wie uns die nichtanalytischen Ärzte versichern, ein Anzeichen dafür, daß der Träumer schlecht geschlafen hat, daß nicht alle seine Hirnpartien gleichmäßig zur Ruhe gekommen sind, daß einzelne Stellen unter dem Einfluß unbekannter Reize weiterarbeiten wollten und es nur in sehr unvollkommener Weise konnten. Wenn dem so ist, dann tun wir recht daran, uns mit dem psychisch wertlosen Produkt der nächtlichen Störung nicht weiter zu beschäftigen. Denn was sollten wir von dessen Untersuchung für unsere Absichten Brauchbares erwarten? </w:t>
      </w:r>
      <w:smartTag w:uri="urn:schemas-microsoft-com:office:smarttags" w:element="place">
        <w:r w:rsidRPr="00AF5815">
          <w:rPr>
            <w:rFonts w:ascii="Garamond" w:hAnsi="Garamond"/>
            <w:lang w:val="en-GB"/>
          </w:rPr>
          <w:t>Oder</w:t>
        </w:r>
      </w:smartTag>
      <w:r w:rsidRPr="00AF5815">
        <w:rPr>
          <w:rFonts w:ascii="Garamond" w:hAnsi="Garamond"/>
          <w:lang w:val="en-GB"/>
        </w:rPr>
        <w:t xml:space="preserve"> aber – doch wir merken, wir haben uns von vornherein anders entschieden. Wir haben – zugegeben, recht willkürlich – die Voraussetzung gemacht, das Postulat aufgestellt, daß auch dieser unverständliche Traum ein vollgültiger, sinn- und wertvoller psychischer Akt sein müsse, den wir in der Analyse wie eine andere Mitteilung verwenden können. </w:t>
      </w:r>
      <w:smartTag w:uri="urn:schemas-microsoft-com:office:smarttags" w:element="place">
        <w:r w:rsidRPr="00AF5815">
          <w:rPr>
            <w:rFonts w:ascii="Garamond" w:hAnsi="Garamond"/>
            <w:lang w:val="en-GB"/>
          </w:rPr>
          <w:t>Ob</w:t>
        </w:r>
      </w:smartTag>
      <w:r w:rsidRPr="00AF5815">
        <w:rPr>
          <w:rFonts w:ascii="Garamond" w:hAnsi="Garamond"/>
          <w:lang w:val="en-GB"/>
        </w:rPr>
        <w:t xml:space="preserve"> wir recht haben, kann nur der Erfolg des Versuchs zeigen. Gelingt es uns, den Traum in eine solche wertvolle Äußerung umzuwandeln, so haben wir offenbar Aussicht, Neues zu erfahren, Mitteilungen von einer Art zu erhalten, wie sie uns sonst unzugänglich geblieben wären.</w:t>
      </w:r>
    </w:p>
    <w:p w:rsidR="00E22C23" w:rsidRPr="00AF5815" w:rsidRDefault="00E22C23" w:rsidP="00E22C23">
      <w:pPr>
        <w:rPr>
          <w:rFonts w:ascii="Garamond" w:hAnsi="Garamond"/>
          <w:lang w:val="en-GB"/>
        </w:rPr>
      </w:pPr>
      <w:r w:rsidRPr="00AF5815">
        <w:rPr>
          <w:rFonts w:ascii="Garamond" w:hAnsi="Garamond"/>
          <w:lang w:val="en-GB"/>
        </w:rPr>
        <w:t>Nun aber erheben sich vor uns die Schwierigkeiten unserer Aufgabe und die Rätsel unseres Themas. Wie stellen wir es an, den Traum in eine solche normale Mitteilung umzuwandeln, und wie erklären wir es, daß ein Teil der Äußerungen des Patienten diese für ihn wie für uns gleich unverständliche Form angenommen hat?</w:t>
      </w:r>
    </w:p>
    <w:p w:rsidR="00E22C23" w:rsidRPr="00AF5815" w:rsidRDefault="00E22C23" w:rsidP="00E22C23">
      <w:pPr>
        <w:rPr>
          <w:rFonts w:ascii="Garamond" w:hAnsi="Garamond"/>
          <w:lang w:val="en-GB"/>
        </w:rPr>
      </w:pPr>
      <w:r w:rsidRPr="00AF5815">
        <w:rPr>
          <w:rFonts w:ascii="Garamond" w:hAnsi="Garamond"/>
          <w:lang w:val="en-GB"/>
        </w:rPr>
        <w:t xml:space="preserve">Sie sehen, meine Damen und Herren, daß ich dieses Mal nicht den Weg einer genetischen, sondern den einer dogmatischen Darstellung gehe. Unser erster Schritt ist, unsere neue Einstellung zum Problem des Traums durch die Einführung zweier neuer Begriffe, Namen, festzulegen. Wir heißen, was man den Traum genannt hat, den Traumtext oder den </w:t>
      </w:r>
      <w:r w:rsidRPr="00AF5815">
        <w:rPr>
          <w:rFonts w:ascii="Garamond" w:hAnsi="Garamond"/>
          <w:i/>
          <w:iCs/>
          <w:lang w:val="en-GB"/>
        </w:rPr>
        <w:t>manifesten</w:t>
      </w:r>
      <w:r w:rsidRPr="00AF5815">
        <w:rPr>
          <w:rFonts w:ascii="Garamond" w:hAnsi="Garamond"/>
          <w:lang w:val="en-GB"/>
        </w:rPr>
        <w:t xml:space="preserve"> Traum, und das, was wir suchen, sozusagen hinter dem Traum vermuten, die </w:t>
      </w:r>
      <w:r w:rsidRPr="00AF5815">
        <w:rPr>
          <w:rFonts w:ascii="Garamond" w:hAnsi="Garamond"/>
          <w:i/>
          <w:iCs/>
          <w:lang w:val="en-GB"/>
        </w:rPr>
        <w:t>latenten</w:t>
      </w:r>
      <w:r w:rsidRPr="00AF5815">
        <w:rPr>
          <w:rFonts w:ascii="Garamond" w:hAnsi="Garamond"/>
          <w:lang w:val="en-GB"/>
        </w:rPr>
        <w:t xml:space="preserve"> Traumgedanken. Dann können wir unsere beiden Aufgaben in folgender Art aussprechen: Wir haben den manifesten in den latenten Traum umzuwandeln und anzugeben, wie im Seelenleben des Träumers der letztere zum ersteren geworden ist. Das erste Stück ist eine praktische Aufgabe, es fällt der </w:t>
      </w:r>
      <w:r w:rsidRPr="00AF5815">
        <w:rPr>
          <w:rFonts w:ascii="Garamond" w:hAnsi="Garamond"/>
          <w:i/>
          <w:iCs/>
          <w:lang w:val="en-GB"/>
        </w:rPr>
        <w:t>Traumdeutung</w:t>
      </w:r>
      <w:r w:rsidRPr="00AF5815">
        <w:rPr>
          <w:rFonts w:ascii="Garamond" w:hAnsi="Garamond"/>
          <w:lang w:val="en-GB"/>
        </w:rPr>
        <w:t xml:space="preserve"> zu, braucht eine Technik; das zweite eine theoretische, es soll den angenommenen Prozeß der </w:t>
      </w:r>
      <w:r w:rsidRPr="00AF5815">
        <w:rPr>
          <w:rFonts w:ascii="Garamond" w:hAnsi="Garamond"/>
          <w:i/>
          <w:iCs/>
          <w:lang w:val="en-GB"/>
        </w:rPr>
        <w:t>Traumarbeit</w:t>
      </w:r>
      <w:r w:rsidRPr="00AF5815">
        <w:rPr>
          <w:rFonts w:ascii="Garamond" w:hAnsi="Garamond"/>
          <w:lang w:val="en-GB"/>
        </w:rPr>
        <w:t xml:space="preserve"> erklären und kann nur eine Theorie sein. Beide, Technik der Traumdeutung und Theorie der Traumarbeit, sind neu zu schaffen.</w:t>
      </w:r>
    </w:p>
    <w:p w:rsidR="00E22C23" w:rsidRPr="00AF5815" w:rsidRDefault="00E22C23" w:rsidP="00E22C23">
      <w:pPr>
        <w:rPr>
          <w:rFonts w:ascii="Garamond" w:hAnsi="Garamond"/>
          <w:lang w:val="en-GB"/>
        </w:rPr>
      </w:pPr>
      <w:r w:rsidRPr="00AF5815">
        <w:rPr>
          <w:rFonts w:ascii="Garamond" w:hAnsi="Garamond"/>
          <w:lang w:val="en-GB"/>
        </w:rPr>
        <w:t>Mit welchem Stück sollen wir nun anfangen? Ich meine, mit der Technik der Traumdeutung; es wird plastischer ausfallen und Ihnen einen lebendigeren Eindruck machen.</w:t>
      </w:r>
    </w:p>
    <w:p w:rsidR="00E22C23" w:rsidRPr="00AF5815" w:rsidRDefault="00E22C23" w:rsidP="00E22C23">
      <w:pPr>
        <w:rPr>
          <w:rFonts w:ascii="Garamond" w:hAnsi="Garamond"/>
        </w:rPr>
      </w:pPr>
      <w:r w:rsidRPr="00AF5815">
        <w:rPr>
          <w:rFonts w:ascii="Garamond" w:hAnsi="Garamond"/>
          <w:lang w:val="en-GB"/>
        </w:rPr>
        <w:t xml:space="preserve">Also der Patient habe einen Traum erzählt, den wir deuten sollen. Wir haben gelassen zugehört, ohne dabei unser Nachdenken in Bewegung zu setzen. Was tun wir zunächst? Wir beschließen, uns um das, was wir gehört haben, um den </w:t>
      </w:r>
      <w:r w:rsidRPr="00AF5815">
        <w:rPr>
          <w:rFonts w:ascii="Garamond" w:hAnsi="Garamond"/>
          <w:i/>
          <w:iCs/>
          <w:lang w:val="en-GB"/>
        </w:rPr>
        <w:t>manifesten</w:t>
      </w:r>
      <w:r w:rsidRPr="00AF5815">
        <w:rPr>
          <w:rFonts w:ascii="Garamond" w:hAnsi="Garamond"/>
          <w:lang w:val="en-GB"/>
        </w:rPr>
        <w:t xml:space="preserve"> Traum, möglichst wenig zu kümmern. </w:t>
      </w:r>
      <w:r w:rsidRPr="00AF5815">
        <w:rPr>
          <w:rFonts w:ascii="Garamond" w:hAnsi="Garamond"/>
        </w:rPr>
        <w:t xml:space="preserve">Natürlich zeigt dieser manifeste Traum allerlei Charaktere, die uns nicht ganz gleichgültig sind. Er kann zusammenhängend sein, glatt komponiert wie eine Dichtung, oder unverständlich verworren, fast wie ein Delirium, kann absurde Elemente enthalten oder Witze und anscheinend geistreiche Schlüsse, er kann dem Träumer klar und scharf erscheinen oder trüb und verschwommen, seine Bilder mögen die volle sinnliche Stärke von Wahrnehmungen zeigen oder schattenhaft sein wie ein undeutlicher Hauch, die verschiedensten Charaktere mögen sich in demselben Traum zusammenfinden, auf verschiedene Stellen verteilt; der Traum mag endlich einen indifferenten Gefühlston zeigen oder von den stärksten freudigen oder peinlichen Erregungen begleitet werden – glauben Sie nicht, daß wir diese unendliche Mannigfaltigkeit im manifesten Traum für nichts achten, wir werden später auf sie zurückkommen und sehr vieles an ihr für die Deutung verwertbar finden, aber zunächst sehen wir von ihr ab und schlagen den Hauptweg ein, der </w:t>
      </w:r>
      <w:r w:rsidRPr="00AF5815">
        <w:rPr>
          <w:rFonts w:ascii="Garamond" w:hAnsi="Garamond"/>
        </w:rPr>
        <w:lastRenderedPageBreak/>
        <w:t>zur Traumdeutung führt. Das heißt, wir fordern den Träumer auf, sich gleichfalls vom Eindruck des manifesten Traums frei zu machen, seine Aufmerksamkeit vom Ganzen weg auf die einzelnen Teile des Trauminhalts zu richten und uns der Reihe nach mitzuteilen, was ihm zu jedem dieser Teilstücke einfällt, welche Assoziationen sich ihm ergeben, wenn er sie einzeln ins Auge faßt.</w:t>
      </w:r>
    </w:p>
    <w:p w:rsidR="00E22C23" w:rsidRPr="00AF5815" w:rsidRDefault="00E22C23" w:rsidP="00E22C23">
      <w:pPr>
        <w:rPr>
          <w:rFonts w:ascii="Garamond" w:hAnsi="Garamond"/>
          <w:lang w:val="en-GB"/>
        </w:rPr>
      </w:pPr>
      <w:r w:rsidRPr="00AF5815">
        <w:rPr>
          <w:rFonts w:ascii="Garamond" w:hAnsi="Garamond"/>
        </w:rPr>
        <w:t xml:space="preserve">Nicht wahr, das ist eine besondere Technik, nicht die gewöhnliche Art, eine Mitteilung oder Aussage zu behandeln? Sie erraten auch gewiß, daß hinter diesem Verfahren Voraussetzungen stecken, die noch nicht ausgesprochen worden sind. </w:t>
      </w:r>
      <w:r w:rsidRPr="00AF5815">
        <w:rPr>
          <w:rFonts w:ascii="Garamond" w:hAnsi="Garamond"/>
          <w:lang w:val="en-GB"/>
        </w:rPr>
        <w:t xml:space="preserve">Aber gehen wir weiter. In welcher Reihenfolge lassen wir den Patienten die Teilstücke seines Traums vornehmen? Da stehen uns mehrere Wege offen. Wir können einfach der chronologischen Ordnung folgen, wie sie sich bei der Erzählung des Traums herausgestellt hat. Das ist die sozusagen strengste, klassische Methode. Oder wir können den Träumer weisen, sich zuerst die </w:t>
      </w:r>
      <w:r w:rsidRPr="00AF5815">
        <w:rPr>
          <w:rFonts w:ascii="Garamond" w:hAnsi="Garamond"/>
          <w:i/>
          <w:iCs/>
          <w:lang w:val="en-GB"/>
        </w:rPr>
        <w:t>Tagesreste</w:t>
      </w:r>
      <w:r w:rsidRPr="00AF5815">
        <w:rPr>
          <w:rFonts w:ascii="Garamond" w:hAnsi="Garamond"/>
          <w:lang w:val="en-GB"/>
        </w:rPr>
        <w:t xml:space="preserve"> im Traum herauszusuchen, denn die Erfahrung hat uns gelehrt, daß fast in jeden Traum ein Erinnerungsrest oder eine Anspielung an eine Begebenheit des Traumtags, oft an mehrere, eingegangen ist, und wenn wir diesen Anknüpfungen folgen, haben wir oft mit einem Schlag den Übergang von der scheinbar weit entrückten Traumwelt zum realen Leben des Patienten gefunden. </w:t>
      </w:r>
      <w:smartTag w:uri="urn:schemas-microsoft-com:office:smarttags" w:element="place">
        <w:r w:rsidRPr="00AF5815">
          <w:rPr>
            <w:rFonts w:ascii="Garamond" w:hAnsi="Garamond"/>
            <w:lang w:val="en-GB"/>
          </w:rPr>
          <w:t>Oder</w:t>
        </w:r>
      </w:smartTag>
      <w:r w:rsidRPr="00AF5815">
        <w:rPr>
          <w:rFonts w:ascii="Garamond" w:hAnsi="Garamond"/>
          <w:lang w:val="en-GB"/>
        </w:rPr>
        <w:t xml:space="preserve"> wir heißen ihn, mit jenen Elementen des Trauminhalts den Anfang machen, die ihm durch ihre besondere Deutlichkeit und sinnliche Stärke auffallen. Wir wissen nämlich, daß es ihm bei diesen besonders leicht werden wird, Assoziationen zu bekommen. Es macht keinen Unterschied, auf welche dieser Arten wir uns den gesuchten Assoziationen nähern.</w:t>
      </w:r>
    </w:p>
    <w:p w:rsidR="00E22C23" w:rsidRPr="00AF5815" w:rsidRDefault="00E22C23" w:rsidP="00E22C23">
      <w:pPr>
        <w:rPr>
          <w:rFonts w:ascii="Garamond" w:hAnsi="Garamond"/>
          <w:lang w:val="en-GB"/>
        </w:rPr>
      </w:pPr>
      <w:r w:rsidRPr="00AF5815">
        <w:rPr>
          <w:rFonts w:ascii="Garamond" w:hAnsi="Garamond"/>
          <w:lang w:val="en-GB"/>
        </w:rPr>
        <w:t>Und dann erhalten wir diese Assoziationen. Sie bringen das Verschiedenartigste, Erinnerungen an den gestrigen Tag, den Traumtag, und an längst vergangene Zeiten, Überlegungen, Diskussionen mit einem Für und Wider, Bekenntnisse und Anfragen. Manche von ihnen sprudelt der Patient heraus, vor anderen stockt er eine Weile. Die meisten zeigen eine deutliche Beziehung zu einem Element des Traums; kein Wunder, denn sie gehen ja von diesen Elementen aus, aber es kommt auch vor, daß der Patient sie mit den Worten einleitet: Das scheint gar nichts mit dem Traum zu tun zu haben; ich sage es, weil es mir einfällt.</w:t>
      </w:r>
    </w:p>
    <w:p w:rsidR="00E22C23" w:rsidRPr="00AF5815" w:rsidRDefault="00E22C23" w:rsidP="00E22C23">
      <w:pPr>
        <w:rPr>
          <w:rFonts w:ascii="Garamond" w:hAnsi="Garamond"/>
          <w:lang w:val="en-GB"/>
        </w:rPr>
      </w:pPr>
      <w:r w:rsidRPr="00AF5815">
        <w:rPr>
          <w:rFonts w:ascii="Garamond" w:hAnsi="Garamond"/>
          <w:lang w:val="en-GB"/>
        </w:rPr>
        <w:t>Hört man sich diese Fülle von Einfällen an, so merkt man bald, daß sie mit dem Trauminhalt mehr gemeinsam haben als nur die Ausgangspunkte. Sie werfen ein überraschendes Licht auf alle Teile des Traums, füllen die Lücken zwischen ihnen aus, machen ihre sonderbaren Zusammenstellungen verständlich. Endlich muß man sich über das Verhältnis zwischen ihnen und dem Trauminhalt klar werden. Der Traum erscheint als ein verkürzter Auszug aus den Assoziationen, nach allerdings noch nicht durchschauten Regeln hergestellt, seine Elemente wie die aus einer Wahl hervorgegangenen Repräsentanten einer Menge. Es ist kein Zweifel, daß wir durch unsere Technik erhalten haben, was durch den Traum ersetzt wird und worin der psychische Wert des Traums zu finden ist, was aber nicht mehr die befremdenden Eigentümlichkeiten des Traums, seine Fremdartigkeit, Verworrenheit zeigt.</w:t>
      </w:r>
    </w:p>
    <w:p w:rsidR="00E22C23" w:rsidRPr="00AF5815" w:rsidRDefault="00E22C23" w:rsidP="00E22C23">
      <w:pPr>
        <w:rPr>
          <w:rFonts w:ascii="Garamond" w:hAnsi="Garamond"/>
          <w:lang w:val="en-GB"/>
        </w:rPr>
      </w:pPr>
      <w:r w:rsidRPr="00AF5815">
        <w:rPr>
          <w:rFonts w:ascii="Garamond" w:hAnsi="Garamond"/>
          <w:lang w:val="en-GB"/>
        </w:rPr>
        <w:t xml:space="preserve">Aber kein Mißverständnis! Die Assoziationen zum Traum sind noch nicht die latenten Traumgedanken. Diese sind in den Assoziationen wie in einer Mutterlauge enthalten – aber doch nicht ganz vollständig enthalten. Die Assoziationen bringen einerseits viel mehr, als wir für die Formulierung der latenten Traumgedanken brauchen, nämlich alle die Ausführungen, Übergänge, Verbindungen, die der Intellekt des Patienten auf dem Wege der Annäherung an die Traumgedanken produzieren mußte. Anderseits hat die Assoziation oft gerade vor den eigentlichen Traumgedanken haltgemacht, ist ihnen nur nahegekommen, hat sie nur in den Anspielungen berührt. Wir greifen da selbsttätig ein, vervollständigen die Andeutungen, ziehen unabweisbare Schlüsse, sprechen das aus, woran der Patient in seinen Assoziationen nur gestreift hat. Das klingt dann so, als ließen wir unseren Witz und unsere Willkür mit dem Material spielen, das uns der Träumer zur Verfügung stellt, und mißbrauchten es dazu, in seine Äußerungen hineinzudeuten, was sich aus ihnen nicht herausdeuten läßt; auch ist es nicht leicht, die Rechtmäßigkeit unseres Vorgehens in einer abstrakten Darstellung zu erweisen. Aber machen Sie nur selbst eine Traumanalyse, oder vertiefen </w:t>
      </w:r>
      <w:r w:rsidRPr="00AF5815">
        <w:rPr>
          <w:rFonts w:ascii="Garamond" w:hAnsi="Garamond"/>
          <w:lang w:val="en-GB"/>
        </w:rPr>
        <w:lastRenderedPageBreak/>
        <w:t>Sie sich in ein gut beschriebenes Beispiel in unserer Literatur, und Sie werden sich überzeugen, wie zwingend eine solche Deutungsarbeit abläuft.</w:t>
      </w:r>
    </w:p>
    <w:p w:rsidR="00E22C23" w:rsidRPr="00AF5815" w:rsidRDefault="00E22C23" w:rsidP="00E22C23">
      <w:pPr>
        <w:rPr>
          <w:rFonts w:ascii="Garamond" w:hAnsi="Garamond"/>
          <w:lang w:val="en-GB"/>
        </w:rPr>
      </w:pPr>
      <w:r w:rsidRPr="00AF5815">
        <w:rPr>
          <w:rFonts w:ascii="Garamond" w:hAnsi="Garamond"/>
          <w:lang w:val="en-GB"/>
        </w:rPr>
        <w:t xml:space="preserve">Wenn wir bei der Traumdeutung im allgemeinen und in erster Linie von den Assoziationen des Träumers abhängig sind, so benehmen wir uns doch gegen gewisse Elemente des Trauminhalts ganz selbständig, vor allem darum, weil wir müssen, weil bei ihnen in der Regel die Assoziationen versagen. Wir haben frühzeitig gemerkt, daß es immer die nämlichen Inhalte sind, bei denen dies zutrifft; sie sind nicht sehr zahlreich, und gehäufte Erfahrung hat uns gelehrt, daß sie als </w:t>
      </w:r>
      <w:r w:rsidRPr="00AF5815">
        <w:rPr>
          <w:rFonts w:ascii="Garamond" w:hAnsi="Garamond"/>
          <w:i/>
          <w:iCs/>
          <w:lang w:val="en-GB"/>
        </w:rPr>
        <w:t>Symbole</w:t>
      </w:r>
      <w:r w:rsidRPr="00AF5815">
        <w:rPr>
          <w:rFonts w:ascii="Garamond" w:hAnsi="Garamond"/>
          <w:lang w:val="en-GB"/>
        </w:rPr>
        <w:t xml:space="preserve"> für etwas anderes aufzufassen und zu deuten sind. Im Vergleich mit den anderen Traumelementen darf man ihnen eine feststehende Bedeutung zuschreiben, die aber nicht eindeutig zu sein braucht, deren Umfang durch besondere uns gewohnte Regeln bestimmt wird. Da wir diese Symbole zu übersetzen verstehen, der Träumer aber nicht, obwohl er sie selbst gebraucht hat, kann es sich treffen, daß uns der Sinn eines Traums unmittelbar klar wird, noch vor allen Bemühungen um die Traumdeutung, sobald wir nur den Traumtext gehört haben, während der Träumer selbst noch vor einem Rätsel steht. Aber über die Symbolik, unser Wissen von ihr, die Probleme, die sie uns bietet, habe ich schon in den früheren Vorlesungen so viel erzählt, daß ich mich heute nicht zu wiederholen brauche.</w:t>
      </w:r>
    </w:p>
    <w:p w:rsidR="00E22C23" w:rsidRPr="00AF5815" w:rsidRDefault="00E22C23" w:rsidP="00E22C23">
      <w:pPr>
        <w:rPr>
          <w:rFonts w:ascii="Garamond" w:hAnsi="Garamond"/>
          <w:lang w:val="en-GB"/>
        </w:rPr>
      </w:pPr>
      <w:r w:rsidRPr="00AF5815">
        <w:rPr>
          <w:rFonts w:ascii="Garamond" w:hAnsi="Garamond"/>
          <w:lang w:val="en-GB"/>
        </w:rPr>
        <w:t>Das ist also unsere Methode der Traumdeutung. Die nächste, wohlberechtigte Frage lautet: Kann man mit ihrer Hilfe alle Träume deuten? Und die Antwort ist: Nein, nicht alle, aber doch so viele, daß man der Brauchbarkeit und Berechtigung des Verfahrens sicher ist. Aber warum nicht alle? Die neuerliche Antwort hat uns etwas Wichtiges zu lehren, was bereits in die psychischen Bedingungen der Traumbildung einführt: Weil sich die Arbeit der Traumdeutung gegen einen Widerstand vollzieht, der von unscheinbaren Größen bis zur Unüberwindlichkeit – wenigstens für unsere jeweiligen Machtmittel – variiert. Die Äußerungen dieses Widerstandes kann man während der Arbeit nicht übersehen. An manchen Stellen werden die Assoziationen ohne Zögern gegeben, und schon der erste oder zweite Einfall bringt die Aufklärung. An anderen stockt und zaudert der Patient, ehe er eine Assoziation ausspricht, und dann hat man oft eine lange Kette von Einfällen anzuhören, bevor man etwas für das Verständnis des Traumes Brauchbares erhält. Je länger und umwegiger die Assoziationskette, desto stärker ist der Widerstand, meinen wir gewiß mit Recht. Auch im Vergessen der Träume verspüren wir denselben Einfluß. Es kommt oft genug vor, daß der Patient sich trotz aller Bemühung an einen seiner Träume nicht mehr besinnen kann. Nachdem wir aber in einem Stück analytischer Arbeit eine Schwierigkeit beseitigt haben, die den Patienten in seinem Verhältnis zur Analyse gestört hatte, stellt sich der vergessene Traum plötzlich wieder ein. Auch zwei andere Beobachtungen gehören hierher. Es ereignet sich sehr oft, daß von einem Traum zunächst ein Stück wegbleibt, das dann als Nachtrag angefügt wird. Das ist als ein Versuch aufzufassen, dieses Stück zu vergessen. Die Erfahrung zeigt, daß gerade dieses Stück das bedeutungsvollste ist; wir nehmen an, seiner Mitteilung stand ein stärkerer Widerstand im Wege als bei den anderen. Ferner, wir sehen oft, daß der Träumer dem Vergessen seiner Träume entgegenarbeitet, indem er den Traum unmittelbar nach dem Erwachen schriftlich fixiert. Wir können ihm sagen, das ist nutzlos, denn der Widerstand, dem er die Erhaltung des Traumtextes abgewonnen hat, verschiebt sich dann auf die Assoziation und macht den manifesten Traum für die Deutung unzugänglich. Unter diesen Verhältnissen brauchen wir uns nicht zu verwundern, wenn ein weiteres Ansteigen des Widerstands überhaupt die Assoziationen unterdrückt und dadurch die Traumdeutung vereitelt.</w:t>
      </w:r>
    </w:p>
    <w:p w:rsidR="00E22C23" w:rsidRPr="00AF5815" w:rsidRDefault="00E22C23" w:rsidP="00E22C23">
      <w:pPr>
        <w:rPr>
          <w:rFonts w:ascii="Garamond" w:hAnsi="Garamond"/>
          <w:lang w:val="en-GB"/>
        </w:rPr>
      </w:pPr>
      <w:r w:rsidRPr="00AF5815">
        <w:rPr>
          <w:rFonts w:ascii="Garamond" w:hAnsi="Garamond"/>
          <w:lang w:val="en-GB"/>
        </w:rPr>
        <w:t>Wir ziehen aus alledem den Schluß, daß der Widerstand, den wir bei der Arbeit an der Traumdeutung merken, auch an der Entstehung des Traums einen Anteil haben muß. Man kann geradezu Träume, die unter geringem, und solche, die unter hohem Widerstandsdruck entstanden sind, unterscheiden. Aber dieser Druck wechselt auch innerhalb desselben Traums von Stelle zu Stelle; er ist Schuld an den Lücken, Unklarheiten, Verworrenheiten, die den Zusammenhang des schönsten Traumes unterbrechen können.</w:t>
      </w:r>
    </w:p>
    <w:p w:rsidR="00E22C23" w:rsidRPr="00AF5815" w:rsidRDefault="00E22C23" w:rsidP="00E22C23">
      <w:pPr>
        <w:rPr>
          <w:rFonts w:ascii="Garamond" w:hAnsi="Garamond"/>
          <w:lang w:val="en-GB"/>
        </w:rPr>
      </w:pPr>
      <w:r w:rsidRPr="00AF5815">
        <w:rPr>
          <w:rFonts w:ascii="Garamond" w:hAnsi="Garamond"/>
          <w:lang w:val="en-GB"/>
        </w:rPr>
        <w:lastRenderedPageBreak/>
        <w:t xml:space="preserve">Aber was leistet da Widerstand und gegen was? Nun, der Widerstand ist uns das sichere Anzeichen eines Konflikts. Es muß eine Kraft da sein, die etwas ausdrücken will, und eine andere, die sich sträubt, diese Äußerung zuzulassen. Was dann als manifester Traum zustande kommt, mag alle die Entscheidungen zusammenfassen, zu denen sich dieser Kampf der zwei Strebungen verdichtet hat. An der einen Stelle mag es der einen Kraft gelungen sein, durchzusetzen, was sie sagen wollte, an anderen ist es der widerstrebenden Instanz geglückt, die beabsichtigte Mitteilung vollkommen auszulöschen oder durch etwas, was keine Spur von ihr verrät, zu ersetzen. Am häufigsten und für die Traumbildung am meisten charakteristisch sind die Fälle, in denen der Konflikt in ein Kompromiß ausgegangen ist, so daß die mitteilsame Instanz zwar sagen konnte, was sie wollte, aber nicht so, wie sie es wollte, sondern nur gemildert, entstellt und unkenntlich gemacht. Wenn also der Traum die Traumgedanken nicht getreu wiedergibt, wenn es einer Deutungsarbeit bedarf, um die Kluft zwischen beiden zu überbrücken, so ist das ein Erfolg der widerstrebenden, hemmenden und einschränkenden Instanz, die wir aus der Wahrnehmung des Widerstands bei der Traumdeutung erschlossen haben. Solange wir den Traum als isoliertes Phänomen unabhängig von ihm verwandten psychischen Bildungen studierten, haben wir diese Instanz den </w:t>
      </w:r>
      <w:r w:rsidRPr="00AF5815">
        <w:rPr>
          <w:rFonts w:ascii="Garamond" w:hAnsi="Garamond"/>
          <w:i/>
          <w:iCs/>
          <w:lang w:val="en-GB"/>
        </w:rPr>
        <w:t>Traumzensor</w:t>
      </w:r>
      <w:r w:rsidRPr="00AF5815">
        <w:rPr>
          <w:rFonts w:ascii="Garamond" w:hAnsi="Garamond"/>
          <w:lang w:val="en-GB"/>
        </w:rPr>
        <w:t xml:space="preserve"> geheißen.</w:t>
      </w:r>
    </w:p>
    <w:p w:rsidR="00E22C23" w:rsidRPr="00AF5815" w:rsidRDefault="00E22C23" w:rsidP="00E22C23">
      <w:pPr>
        <w:rPr>
          <w:rFonts w:ascii="Garamond" w:hAnsi="Garamond"/>
          <w:lang w:val="en-GB"/>
        </w:rPr>
      </w:pPr>
      <w:r w:rsidRPr="00AF5815">
        <w:rPr>
          <w:rFonts w:ascii="Garamond" w:hAnsi="Garamond"/>
          <w:lang w:val="en-GB"/>
        </w:rPr>
        <w:t>Sie wissen längst, daß diese Zensur keine dem Traumleben besondere Einrichtung ist. Daß der Konflikt zweier psychischer Instanzen, die wir – ungenau – als das unbewußte Verdrängte und das Bewußte bezeichnen, überhaupt unser Seelenleben beherrscht und daß der Widerstand gegen die Traumdeutung, das Anzeichen der Traumzensur, nichts anderes ist als der Verdrängungswiderstand, durch den jene beiden Instanzen sich voneinander absetzen. Sie wissen auch, daß aus dem Konflikt derselben unter bestimmten Bedingungen andere psychische Gebilde hervorgehen, die ebenso wie der Traum das Ergebnis von Kompromissen sind, und werden nicht verlangen, daß ich hier alles, was in der Einführung zur Neurosenlehre enthalten ist, vor Ihnen wiederhole, um Ihnen vorzuführen, was wir von den Bedingungen solcher Kompromißbildung wissen. Sie haben verstanden, daß der Traum ein pathologisches Produkt ist, das erste Glied der Reihe, die das hysterische Symptom, die Zwangsvorstellung, die Wahnidee umfaßt, aber vor den anderen ausgezeichnet durch seine Flüchtigkeit und seine Entstehung unter Verhältnissen, die dem normalen Leben angehören. Denn, halten wir daran fest, das Traumleben ist, wie schon Aristoteles gesagt hat, die Art, wie unsere Seele während des Schlafzustandes arbeitet. Der Schlafzustand stellt eine Abwendung von der realen Außenwelt her, und damit ist die Bedingung für die Entfaltung einer Psychose gegeben. Das sorgfältigste Studium der ernsthaften Psychosen wird uns keinen Zug entdecken lassen, der für diesen Krankheitszustand mehr charakteristisch wäre. Aber in der Psychose wird die Abwendung von der Realität auf zweierlei Weise hervorgerufen, entweder indem das Unbewußt-Verdrängte überstark wird, so daß es das an der Realität hängende Bewußte überwältigt, oder weil die Realität so unerträglich leidvoll geworden ist, daß sich das bedrohte Ich in verzweifelter Auflehnung dem unbewußten Triebhaften in die Arme wirft. Die harmlose Traumpsychose ist die Folge einer bewußt gewollten, nur zeitweiligen Zurückziehung von der Außenwelt, sie schwindet auch mit der Wiederaufnahme der Beziehungen zu dieser. Während der Isolierung des Schlafenden stellt sich auch eine Veränderung in der Verteilung seiner psychischen Energie her; ein Teil des Verdrängungsaufwands, der sonst zur Niederhaltung des Unbewußten gebraucht wurde, kann erspart werden, denn wenn dies seine relative Befreiung auch zur Aktivität ausnützt, findet es doch den Weg zur Motilität verschlossen und nur den unschädlichen zur halluzinatorischen Befriedigung frei. Es kann sich jetzt also ein Traum bilden; die Tatsache der Traumzensur zeigt aber, daß noch genug vom Verdrängungswiderstand auch während des Schlafs erhalten geblieben ist.</w:t>
      </w:r>
    </w:p>
    <w:p w:rsidR="00E22C23" w:rsidRPr="00AF5815" w:rsidRDefault="00E22C23" w:rsidP="00E22C23">
      <w:pPr>
        <w:rPr>
          <w:rFonts w:ascii="Garamond" w:hAnsi="Garamond"/>
          <w:lang w:val="en-GB"/>
        </w:rPr>
      </w:pPr>
      <w:r w:rsidRPr="00AF5815">
        <w:rPr>
          <w:rFonts w:ascii="Garamond" w:hAnsi="Garamond"/>
          <w:lang w:val="en-GB"/>
        </w:rPr>
        <w:t xml:space="preserve">Hier eröffnet sich uns ein Weg zur Beantwortung der Frage, ob der Traum auch eine Funktion hat, ob er mit einer nützlichen Leistung betraut ist. Die reizlose Ruhe, welche der Schlafzustand herstellen möchte, wird von drei Seiten bedroht, in mehr zufälliger Weise von äußeren Reizen während des Schlafs und von Tagesinteressen, die sich nicht abbrechen lassen, in unvermeidlicher Weise von den ungesättigten </w:t>
      </w:r>
      <w:r w:rsidRPr="00AF5815">
        <w:rPr>
          <w:rFonts w:ascii="Garamond" w:hAnsi="Garamond"/>
          <w:lang w:val="en-GB"/>
        </w:rPr>
        <w:lastRenderedPageBreak/>
        <w:t>verdrängten Triebregungen, die auf die Gelegenheit zur Äußerung lauern. Infolge der nächtlichen Herabsetzung der Verdrängungen bestünde die Gefahr, daß die Ruhe des Schlafs jedesmal gestört wird, sooft die äußere oder innere Anregung eine Verknüpfung mit einer der unbewußten Triebquellen erreichen kann. Der Traumvorgang läßt das Produkt eines solchen Zusammenwirkens in ein unschädliches halluzinatorisches Erlebnis einmünden und versichert so die Fortdauer des Schlafs. Es ist kein Widerspruch gegen diese Funktion, wenn der Traum zeitweilig den Schläfer unter Angstentwicklung weckt, wohl aber ein Signal, daß der Wächter die Situation für zu gefährlich hält und nicht mehr glaubt, sie bewältigen zu können. Nicht selten vernehmen wir dann noch im Schlaf die Beschwichtigung, die das Aufwachen verhüten will: Aber es ist ja nur ein Traum!</w:t>
      </w:r>
    </w:p>
    <w:p w:rsidR="00E22C23" w:rsidRPr="00AF5815" w:rsidRDefault="00E22C23" w:rsidP="00E22C23">
      <w:pPr>
        <w:rPr>
          <w:rFonts w:ascii="Garamond" w:hAnsi="Garamond"/>
          <w:lang w:val="en-GB"/>
        </w:rPr>
      </w:pPr>
      <w:r w:rsidRPr="00AF5815">
        <w:rPr>
          <w:rFonts w:ascii="Garamond" w:hAnsi="Garamond"/>
          <w:lang w:val="en-GB"/>
        </w:rPr>
        <w:t xml:space="preserve">Soviel, meine Damen und Herren, wollte ich Ihnen über die Traumdeutung sagen, deren Aufgabe es ist, vom manifesten Traum zu den latenten Traumgedanken zu führen. Ist dies erreicht, so ist in der praktischen Analyse zumeist das Interesse für den Traum erloschen. Man fügt die Mitteilung, die man in der Form eines Traums erhalten hat, in die anderen ein und geht in der Analyse weiter. Wir haben ein Interesse, noch länger beim Traum zu verweilen; es lockt uns, den Prozeß zu studieren, durch den die latenten Traumgedanken in den manifesten Traum verwandelt wurden. Wir heißen ihn die Traumarbeit. Sie erinnern sich, ich habe ihn in den früheren Vorlesungen so eingehend beschrieben, daß ich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in der heutigen Überschau auf die knappsten Zusammenfassungen beschränken darf.</w:t>
      </w:r>
    </w:p>
    <w:p w:rsidR="00E22C23" w:rsidRPr="00AF5815" w:rsidRDefault="00E22C23" w:rsidP="00E22C23">
      <w:pPr>
        <w:rPr>
          <w:rFonts w:ascii="Garamond" w:hAnsi="Garamond"/>
          <w:lang w:val="en-GB"/>
        </w:rPr>
      </w:pPr>
      <w:r w:rsidRPr="00AF5815">
        <w:rPr>
          <w:rFonts w:ascii="Garamond" w:hAnsi="Garamond"/>
          <w:lang w:val="en-GB"/>
        </w:rPr>
        <w:t>Der Prozeß der Traumarbeit ist also etwas ganz Neues und Fremdartiges, dessengleichen vorher nicht bekannt worden war. Er hat uns den ersten Einblick in die Vorgänge gegeben, die sich im unbewußten System abspielen, und uns gezeigt, daß sie ganz andere sind, als was wir von unserem bewußten Denken kennen, daß sie diesem letzteren als unerhört und fehlerhaft erscheinen müßten. Die Bedeutung dieser Funde ist dann durch die Entdeckung erhöht worden, daß bei der Bildung der neurotischen Symptome dieselben Mechanismen – wir getrauen uns nicht zu sagen: Denkvorgänge – wirksam sind, die die latenten Traumgedanken in den manifesten Traum verwandelt haben.</w:t>
      </w:r>
    </w:p>
    <w:p w:rsidR="00E22C23" w:rsidRPr="00AF5815" w:rsidRDefault="00E22C23" w:rsidP="00E22C23">
      <w:pPr>
        <w:rPr>
          <w:rFonts w:ascii="Garamond" w:hAnsi="Garamond"/>
          <w:lang w:val="en-GB"/>
        </w:rPr>
      </w:pPr>
      <w:r w:rsidRPr="00AF5815">
        <w:rPr>
          <w:rFonts w:ascii="Garamond" w:hAnsi="Garamond"/>
          <w:lang w:val="en-GB"/>
        </w:rPr>
        <w:t xml:space="preserve">Im folgenden werde ich eine schematisierende Darstellungsweise nicht vermeiden können. Nehmen wir an, wir überblicken in einem bestimmten Falle alle die latenten, mehr oder minder affektiv geladenen Gedanken, durch die sich nach vollzogener Traumdeutung der manifeste Traum ersetzt hat. Dann fällt uns unter ihnen ein Unterschied auf, und dieser Unterschied wird uns weit führen. Fast alle dieser Traumgedanken werden vom Träumer erkannt oder anerkannt; er gibt zu, er hat so gedacht, diesmal oder ein ander Mal, oder er hätte so denken können. Nur gegen die Annahme eines einzigen sträubt er sich; der ist ihm fremd, vielleicht sogar widerlich; möglicherweise wird er ihn in leidenschaftlicher Erregung von sich weisen. Nun wird uns klar, die anderen Gedanken sind Stücke eines bewußten, korrekter gesagt: vorbewußten Denkens; sie hätten auch im Wachleben gedacht werden können, haben sich auch wahrscheinlich tagsüber gebildet. Dieser eine verleugnete Gedanke aber, oder richtiger diese eine Regung, ist ein Kind der Nacht; sie gehört dem Unbewußten des Träumers an, wird darum von ihm verleugnet und verworfen. Sie mußte den nächtlichen Nachlaß der Verdrängung abwarten, um es zu irgendeiner Art von Ausdruck zu bringen. Immerhin ist dieser Ausdruck ein abgeschwächter, entstellter, verkleideter; ohne die Arbeit der Traumdeutung hätten wir ihn nicht gefunden. Der Verknüpfung mit den anderen einwandfreien Traumgedanken dankt diese unbewußte Regung die Gelegenheit, sich in einer unscheinbaren Verkleidung durch die Schranke der Zensur einzuschleichen; anderseits danken die vorbewußten Traumgedanken dieser selben Verknüpfung die Macht, das Seelenleben auch während des Schlafs zu beschäftigen. </w:t>
      </w:r>
      <w:r w:rsidRPr="00AF5815">
        <w:rPr>
          <w:rFonts w:ascii="Garamond" w:hAnsi="Garamond"/>
        </w:rPr>
        <w:t xml:space="preserve">Denn uns bleibt kein Zweifel daran: Diese unbewußte Regung ist der eigentliche Schöpfer des Traums, sie bringt die psychische Energie für seine Bildung auf. </w:t>
      </w:r>
      <w:r w:rsidRPr="00AF5815">
        <w:rPr>
          <w:rFonts w:ascii="Garamond" w:hAnsi="Garamond"/>
          <w:lang w:val="en-GB"/>
        </w:rPr>
        <w:t xml:space="preserve">Wie jede andere Triebregung kann sie nichts anderes anstreben als ihre eigene Befriedigung, und unsere Erfahrung im Traumdeuten zeigt uns auch, daß dies der Sinn alles Träumens ist. In jedem Traum soll ein Triebwunsch als erfüllt dargestellt werden. Die nächtliche Absperrung des Seelenlebens von der Realität, die dadurch ermöglichte Regression zu primitiven Mechanismen machen es möglich, daß diese gewünschte </w:t>
      </w:r>
      <w:r w:rsidRPr="00AF5815">
        <w:rPr>
          <w:rFonts w:ascii="Garamond" w:hAnsi="Garamond"/>
          <w:lang w:val="en-GB"/>
        </w:rPr>
        <w:lastRenderedPageBreak/>
        <w:t>Triebbefriedigung halluzinatorisch als Gegenwart erlebt wird. Infolge derselben Regression werden im Traum Vorstellungen in visuelle Bilder umgesetzt, die latenten Traumgedanken also dramatisiert und illustriert.</w:t>
      </w:r>
    </w:p>
    <w:p w:rsidR="00E22C23" w:rsidRPr="00AF5815" w:rsidRDefault="00E22C23" w:rsidP="00E22C23">
      <w:pPr>
        <w:rPr>
          <w:rFonts w:ascii="Garamond" w:hAnsi="Garamond"/>
          <w:lang w:val="en-GB"/>
        </w:rPr>
      </w:pPr>
      <w:r w:rsidRPr="00AF5815">
        <w:rPr>
          <w:rFonts w:ascii="Garamond" w:hAnsi="Garamond"/>
          <w:lang w:val="en-GB"/>
        </w:rPr>
        <w:t>Aus diesem Stück der Traumarbeit erhalten wir Auskunft über einige der auffälligsten und besondersten Charaktere des Traums. Ich wiederhole den Hergang der Traumbildung. Die Einleitung: der Wunsch zu schlafen, die absichtliche Abwendung von der Außenwelt. Zwei Folgen derselben für den seelischen Apparat, erstens die Möglichkeit, daß ältere und primitivere Arbeitsweisen in ihm hervortreten können, die Regression, zweitens die Herabsetzung des Verdrängungswiderstandes, der auf dem Unbewußten lastet. Als Folge dieses letzteren Moments ergibt sich die Möglichkeit zur Traumbildung, die von den Anlässen, den rege gewordenen inneren und äußeren Reizen, ausgenutzt wird. Der Traum, der so entsteht, ist bereits eine Kompromißbildung; er hat eine doppelte Funktion, er ist einerseits ichgerecht, indem er durch die Erledigung der schlafstörenden Reize dem Schlafwunsch dient, anderseits gestattet er einer verdrängten Triebregung die unter diesen Verhältnissen mögliche Befriedigung in der Form einer halluzinierten Wunscherfüllung. Der ganze vom schlafenden Ich zugelassene Prozeß der Traumbildung steht aber unter der Bedingung der Zensur, die von dem Rest der aufrechterhaltenen Verdrängung ausgeübt wird. Einfacher kann ich den Vorgang nicht darstellen, er ist nicht einfacher. Aber ich kann nun in der Beschreibung der Traumarbeit fortfahren.</w:t>
      </w:r>
    </w:p>
    <w:p w:rsidR="00E22C23" w:rsidRPr="00AF5815" w:rsidRDefault="00E22C23" w:rsidP="00E22C23">
      <w:pPr>
        <w:rPr>
          <w:rFonts w:ascii="Garamond" w:hAnsi="Garamond"/>
          <w:lang w:val="en-GB"/>
        </w:rPr>
      </w:pPr>
      <w:r w:rsidRPr="00AF5815">
        <w:rPr>
          <w:rFonts w:ascii="Garamond" w:hAnsi="Garamond"/>
          <w:lang w:val="en-GB"/>
        </w:rPr>
        <w:t xml:space="preserve">Nochmals zurück zu den latenten Traumgedanken! Ihr stärkstes Element ist die verdrängte Triebregung, die sich in ihnen in Anlehnung an zufällig vorhandene Reize und in Übertragung an die Tagesreste einen wenngleich gemilderten und verkleideten Ausdruck geschaffen hat. Wie jede Triebregung drängt auch diese zur Befriedigung durch die Handlung, aber der Weg zur Motilität ist ihr durch die physiologischen Einrichtungen des Schlafzustandes versperrt; sie ist genötigt, die rückläufige Richtung zur Wahrnehmung einzuschlagen und sich mit einer halluzinierten Befriedigung zu begnügen. Die latenten Traumgedanken werden also in eine Summe von Sinnesbildern und visuellen Szenen umgesetzt. Auf diesem Wege geschieht das mit ihnen, was uns so neuartig und befremdend erscheint. Alle die sprachlichen Mittel, durch welche die feineren Denkrelationen ausgedrückt werden, die Konjunktionen und Präpositionen, die Abänderungen der Deklination und Konjugation entfallen, weil die Darstellungsmittel für sie fehlen; wie in einer primitiven Sprache ohne Grammatik wird nur das Rohmaterial des Denkens ausgedrückt, Abstraktes auf das ihm zugrunde liegende Konkrete zurückgeführt. Was so erübrigt, kann leicht zusammenhanglos erscheinen. Es entspricht sowohl der archaischen Regression im seelischen Apparat wie den Anforderungen der Zensur, wenn die Darstellung von gewissen Objekten und Vorgängen durch Symbole, die dem bewußten Denken fremd geworden sind, in reichem Ausmaß verwendet wird. Aber weit darüber hinaus greifen andere Veränderungen, die mit den Elementen der Traumgedanken vorgenommen werden. Solche von ihnen, die irgendeinen Berührungspunkt auffinden lassen, werden zu neuen Einheiten </w:t>
      </w:r>
      <w:r w:rsidRPr="00AF5815">
        <w:rPr>
          <w:rFonts w:ascii="Garamond" w:hAnsi="Garamond"/>
          <w:i/>
          <w:iCs/>
          <w:lang w:val="en-GB"/>
        </w:rPr>
        <w:t>verdichtet</w:t>
      </w:r>
      <w:r w:rsidRPr="00AF5815">
        <w:rPr>
          <w:rFonts w:ascii="Garamond" w:hAnsi="Garamond"/>
          <w:lang w:val="en-GB"/>
        </w:rPr>
        <w:t>. Bei der Umsetzung der Gedanken in Bilder werden diejenigen unzweideutig bevorzugt, die eine derartige Zusammenlegung, Verdichtung, gestatten; als ob eine Kraft wirksam wäre, die das Material einer Pressung, Zusammendrängung, aussetzt. Infolge der Verdichtung kann dann ein Element im manifesten Traum zahlreichen Elementen in den latenten Traumgedanken entsprechen; umgekehrt kann aber auch ein Element der Traumgedanken durch mehrere Bilder im Traum vertreten werden.</w:t>
      </w:r>
    </w:p>
    <w:p w:rsidR="00E22C23" w:rsidRPr="00AF5815" w:rsidRDefault="00E22C23" w:rsidP="00E22C23">
      <w:pPr>
        <w:rPr>
          <w:rFonts w:ascii="Garamond" w:hAnsi="Garamond"/>
          <w:lang w:val="en-GB"/>
        </w:rPr>
      </w:pPr>
      <w:r w:rsidRPr="00AF5815">
        <w:rPr>
          <w:rFonts w:ascii="Garamond" w:hAnsi="Garamond"/>
          <w:lang w:val="en-GB"/>
        </w:rPr>
        <w:t xml:space="preserve">Noch merkwürdiger ist der andere Vorgang der </w:t>
      </w:r>
      <w:r w:rsidRPr="00AF5815">
        <w:rPr>
          <w:rFonts w:ascii="Garamond" w:hAnsi="Garamond"/>
          <w:i/>
          <w:iCs/>
          <w:lang w:val="en-GB"/>
        </w:rPr>
        <w:t>Verschiebung</w:t>
      </w:r>
      <w:r w:rsidRPr="00AF5815">
        <w:rPr>
          <w:rFonts w:ascii="Garamond" w:hAnsi="Garamond"/>
          <w:lang w:val="en-GB"/>
        </w:rPr>
        <w:t xml:space="preserve"> oder Akzentübertragung, der im bewußten Denken nur als Denkfehler oder als Mittel des Witzes bekannt ist. Die einzelnen Vorstellungen der Traumgedanken sind ja nicht gleichwertig, sie sind mit verschieden großen Affektbeträgen besetzt und dementsprechend vom Urteil als mehr oder minder wichtig, des Interesses würdig eingeschätzt. In der Traumarbeit werden diese Vorstellungen von den an ihnen haftenden Affekten getrennt; die Affekte werden für sich erledigt, sie können auf anderes verschoben werden, erhalten bleiben, Verwandlungen erfahren, überhaupt nicht im Traum erscheinen. Die Wichtigkeit der vom Affekt entblößten </w:t>
      </w:r>
      <w:r w:rsidRPr="00AF5815">
        <w:rPr>
          <w:rFonts w:ascii="Garamond" w:hAnsi="Garamond"/>
          <w:lang w:val="en-GB"/>
        </w:rPr>
        <w:lastRenderedPageBreak/>
        <w:t xml:space="preserve">Vorstellungen kehrt im Traum als sinnliche Stärke der Traumbilder wieder, aber wir bemerken, daß dieser Akzent von bedeutsamen Elementen auf indifferente übergegangen ist, so daß im Traum als Hauptsache in den Vordergrund gerückt scheint, was in den Traumgedanken nur eine Nebenrolle spielte, und umgekehrt das Wesentliche der Traumgedanken im Traum nur eine beiläufige, wenig deutliche Darstellung findet. Kein anderes Stück der Traumarbeit trägt soviel dazu bei, den Traum für den Träumer fremdartig und unbegreiflich zu machen. Die Verschiebung ist das Hauptmittel der </w:t>
      </w:r>
      <w:r w:rsidRPr="00AF5815">
        <w:rPr>
          <w:rFonts w:ascii="Garamond" w:hAnsi="Garamond"/>
          <w:i/>
          <w:iCs/>
          <w:lang w:val="en-GB"/>
        </w:rPr>
        <w:t>Traumentstellung</w:t>
      </w:r>
      <w:r w:rsidRPr="00AF5815">
        <w:rPr>
          <w:rFonts w:ascii="Garamond" w:hAnsi="Garamond"/>
          <w:lang w:val="en-GB"/>
        </w:rPr>
        <w:t>, welche sich die Traumgedanken unter dem Einfluß der Zensur gefallen lassen müssen.</w:t>
      </w:r>
    </w:p>
    <w:p w:rsidR="00E22C23" w:rsidRPr="00AF5815" w:rsidRDefault="00E22C23" w:rsidP="00E22C23">
      <w:pPr>
        <w:rPr>
          <w:rFonts w:ascii="Garamond" w:hAnsi="Garamond"/>
          <w:lang w:val="en-GB"/>
        </w:rPr>
      </w:pPr>
      <w:r w:rsidRPr="00AF5815">
        <w:rPr>
          <w:rFonts w:ascii="Garamond" w:hAnsi="Garamond"/>
          <w:lang w:val="en-GB"/>
        </w:rPr>
        <w:t>Nach diesen Einwirkungen auf die Traumgedanken ist der Traum fast fertig gemacht. Es tritt noch ein ziemlich inkonstantes Moment hinzu, die sogenannte sekundäre Bearbeitung, nachdem der Traum als Wahrnehmungsobjekt vor dem Bewußtsein aufgetaucht ist. Wir behandeln ihn dann so, wie wir überhaupt gewohnt sind, unsere Wahrnehmungsinhalte zu behandeln, suchen Lücken auszufüllen, Zusammenhänge einzufügen, setzen uns dabei oft genug groben Mißverständnissen aus. Aber diese gleichsam rationalisierende Tätigkeit, die im besten Falle den Traum mit einer glatten Fassade versieht, wie sie zu seinem wirklichen Inhalt nicht passen kann, kann auch unterlassen werden oder sich nur in sehr bescheidenem Maß äußern, wo dann der Traum alle seine Risse und Sprünge offen zur Schau trägt. Anderseits ist nicht zu vergessen, daß auch die Traumarbeit nicht immer gleich energisch verfährt; oft genug schränkt sie sich nur auf gewisse Stücke der Traumgedanken ein und andere von ihnen dürfen unverändert im Traum erscheinen. Dann macht es den Eindruck, als hätte man im Traum die feinsten und kompliziertesten intellektuellen Operationen ausgeführt, spekuliert, Witze gemacht, Entschlüsse gefaßt, Probleme gelöst, während all dies das Ergebnis unserer normalen geistigen Tätigkeit ist, ebensowohl am Tag vor dem Traum wie während der Nacht vorgefallen sein mag, mit der Traumarbeit nichts zu tun hat und nichts für den Traum Charakteristisches zum Vorschein bringt. Es ist auch nicht überflüssig, nochmals den Gegensatz zu betonen, der innerhalb der Traumgedanken selbst zwischen der unbewußten Triebregung und den Tagesresten besteht. Während die letzteren die ganze Mannigfaltigkeit unserer seelischen Akte aufweisen, läuft die erstere, die der eigentliche Motor der Traumbildung wird, regelmäßig in eine Wunscherfüllung aus.</w:t>
      </w:r>
    </w:p>
    <w:p w:rsidR="00E22C23" w:rsidRPr="00AF5815" w:rsidRDefault="00E22C23" w:rsidP="00E22C23">
      <w:pPr>
        <w:rPr>
          <w:rFonts w:ascii="Garamond" w:hAnsi="Garamond"/>
          <w:lang w:val="en-GB"/>
        </w:rPr>
      </w:pPr>
      <w:r w:rsidRPr="00AF5815">
        <w:rPr>
          <w:rFonts w:ascii="Garamond" w:hAnsi="Garamond"/>
          <w:lang w:val="en-GB"/>
        </w:rPr>
        <w:t>Das alles hätte ich Ihnen schon vor fünfzehn Jahren sagen können, ja ich glaube, ich habe es Ihnen damals auch wirklich gesagt. Nun wollen wir zusammentragen, was etwa in dieser Zwischenzeit an Abänderungen und neuen Einsichten hinzugekommen ist.</w:t>
      </w:r>
    </w:p>
    <w:p w:rsidR="00E22C23" w:rsidRPr="00AF5815" w:rsidRDefault="00E22C23" w:rsidP="00E22C23">
      <w:pPr>
        <w:rPr>
          <w:rFonts w:ascii="Garamond" w:hAnsi="Garamond"/>
          <w:lang w:val="en-GB"/>
        </w:rPr>
      </w:pPr>
      <w:r w:rsidRPr="00AF5815">
        <w:rPr>
          <w:rFonts w:ascii="Garamond" w:hAnsi="Garamond"/>
          <w:lang w:val="en-GB"/>
        </w:rPr>
        <w:t>Ich sagte Ihnen schon, ich fürchte, Sie werden finden, es ist recht wenig, und werden nicht verstehen, warum ich Ihnen auferlegt habe, das Nämliche zweimal anzuhören, und mir, es zu sagen. Aber es sind 15 Jahre dazwischen, und ich hoffe, auf diese Art am leichtesten den Kontakt mit Ihnen wiederherzustellen. Auch sind es so elementare Dinge, von so entscheidender Wichtigkeit für das Verständnis der Psychoanalyse, daß man sie gern ein zweites Mal anhören mag, und daß sie nach 15 Jahren so sehr dieselben geblieben sind, ist an und für sich wissenswert.</w:t>
      </w:r>
    </w:p>
    <w:p w:rsidR="00E22C23" w:rsidRPr="00AF5815" w:rsidRDefault="00E22C23" w:rsidP="00E22C23">
      <w:pPr>
        <w:rPr>
          <w:rFonts w:ascii="Garamond" w:hAnsi="Garamond"/>
          <w:lang w:val="en-GB"/>
        </w:rPr>
      </w:pPr>
      <w:r w:rsidRPr="00AF5815">
        <w:rPr>
          <w:rFonts w:ascii="Garamond" w:hAnsi="Garamond"/>
          <w:lang w:val="en-GB"/>
        </w:rPr>
        <w:t xml:space="preserve">Sie finden in der Literatur dieser Zeit natürlich eine große Anzahl von Bestätigungen und Detailausführungen, von denen ich Ihnen nur Proben zu geben vorhabe. Auch kann ich dabei einiges, was schon früher bekannt wurde, nachholen. Es bezieht sich zumeist auf die Symbolik im Traum und die sonstigen Darstellungsweisen des Traumes. Nun hören Sie, erst ganz kürzlich haben die Mediziner an einer amerikanischen Universität sich geweigert, der Psychoanalyse den Charakter einer Wissenschaft zuzugestehen, mit der Begründung, daß sie keine experimentellen Beweise zulasse. Sie hätten denselben Einwand auch gegen die Astronomie erheben können; das Experimentieren mit den Himmelskörpern ist ja besonders schwierig. Man bleibt da auf die Beobachtung angewiesen. Immerhin haben gerade Wiener Forscher den Anfang gemacht, unsere Traumsymbolik experimentell zu bestätigen. Ein Dr. Schrötter hat schon 1912 gefunden, wenn man tief hypnotisierten Personen den Auftrag gibt, von sexuellen Vorgängen zu träumen, erscheint in dem so provozierten Traum das sexuelle Material durch die uns bekannten </w:t>
      </w:r>
      <w:r w:rsidRPr="00AF5815">
        <w:rPr>
          <w:rFonts w:ascii="Garamond" w:hAnsi="Garamond"/>
          <w:lang w:val="en-GB"/>
        </w:rPr>
        <w:lastRenderedPageBreak/>
        <w:t xml:space="preserve">Symbole ersetzt. Zum Beispiel: einer Frau wird aufgegeben, vom Geschlechtsverkehr mit einer Freundin zu träumen. In ihrem Traum erscheint diese Freundin mit einer </w:t>
      </w:r>
      <w:r w:rsidRPr="00AF5815">
        <w:rPr>
          <w:rFonts w:ascii="Garamond" w:hAnsi="Garamond"/>
          <w:i/>
          <w:iCs/>
          <w:lang w:val="en-GB"/>
        </w:rPr>
        <w:t>Reisetasche</w:t>
      </w:r>
      <w:r w:rsidRPr="00AF5815">
        <w:rPr>
          <w:rFonts w:ascii="Garamond" w:hAnsi="Garamond"/>
          <w:lang w:val="en-GB"/>
        </w:rPr>
        <w:t>, die mit einem Zettel beklebt ist: Nur für Damen. Noch eindrucksvoller sind Versuche von Betlheim und Hartmann 1924, die an Kranken mit sogenannter Korsakoffscher Verworrenheit arbeiteten. Sie erzählten ihnen Geschichten mit grob sexuellem Inhalt und achteten auf die Entstellungen, die bei der geforderten Reproduktion des Erzählten auftraten. Dabei kamen wiederum die uns vertrauten Symbole für Geschlechtsorgane und Geschlechtsverkehr zum Vorschein, unter anderem das Symbol der Stiege, von dem die Autoren mit Recht sagen, daß es einem bewußten Entstellungswunsch unerreichbar gewesen wäre.</w:t>
      </w:r>
    </w:p>
    <w:p w:rsidR="00E22C23" w:rsidRPr="00AF5815" w:rsidRDefault="00E22C23" w:rsidP="00E22C23">
      <w:pPr>
        <w:rPr>
          <w:rFonts w:ascii="Garamond" w:hAnsi="Garamond"/>
          <w:lang w:val="en-GB"/>
        </w:rPr>
      </w:pPr>
      <w:r w:rsidRPr="00AF5815">
        <w:rPr>
          <w:rFonts w:ascii="Garamond" w:hAnsi="Garamond"/>
          <w:lang w:val="en-GB"/>
        </w:rPr>
        <w:t>H. Silberer hat in einer sehr interessanten Versuchsreihe gezeigt, daß man die Traumarbeit gleichsam in flagranti dabei überraschen kann, wie sie abstrakte Gedanken in visuelle Bilder umsetzt. Wenn er sich in Zuständen von Müdigkeit und Schlaftrunkenheit zu geistiger Arbeit nötigen wollte, dann entschwand ihm oft der Gedanke und an seiner Stelle trat eine Vision auf, die offenbar sein Ersatz war.</w:t>
      </w:r>
    </w:p>
    <w:p w:rsidR="00E22C23" w:rsidRPr="00AF5815" w:rsidRDefault="00E22C23" w:rsidP="00E22C23">
      <w:pPr>
        <w:rPr>
          <w:rFonts w:ascii="Garamond" w:hAnsi="Garamond"/>
          <w:lang w:val="en-GB"/>
        </w:rPr>
      </w:pPr>
      <w:r w:rsidRPr="00AF5815">
        <w:rPr>
          <w:rFonts w:ascii="Garamond" w:hAnsi="Garamond"/>
          <w:lang w:val="en-GB"/>
        </w:rPr>
        <w:t xml:space="preserve">Ein einfaches Beispiel dafür: Ich denke daran, sagt Silberer, daß ich vorhabe, in einem Aufsatz eine holprige Stelle auszubessern. Vision: Ich sehe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ein Stück Holz glatthobeln. Bei diesen Versuchen ereignete es sich häufig, daß nicht der einer Bearbeitung harrende Gedanke, sondern sein eigener subjektiver Zustand während der Bemühung zum Inhalt der Vision wurde, das Zuständliche anstatt des Gegenständlichen, was Silberer als »funktionales Phänomen« bezeichnet hat. Ein Beispiel wird Ihnen gleich zeigen, was gemeint ist. Der Autor bemüht sich, die Ansichten zweier Philosophen über ein gewisses Problem miteinander zu vergleichen. Aber in seiner Schläfrigkeit entschlüpft ihm die eine davon immer wieder und endlich hat er die Vision, daß er eine Auskunft von einem mürrischen Sekretär verlangt, der über einen Schreibtisch gebeugt, ihn zuerst nicht beachtet und dann ihn unwillig und abweisend ansieht. Wahrscheinlich erklärt es sich aus den Versuchsbedingungen selbst, daß die so erzwungene Vision so häufig ein Ergebnis der Selbstbeobachtung darstellt.</w:t>
      </w:r>
    </w:p>
    <w:p w:rsidR="00E22C23" w:rsidRPr="00AF5815" w:rsidRDefault="00E22C23" w:rsidP="00E22C23">
      <w:pPr>
        <w:rPr>
          <w:rFonts w:ascii="Garamond" w:hAnsi="Garamond"/>
          <w:lang w:val="en-GB"/>
        </w:rPr>
      </w:pPr>
      <w:r w:rsidRPr="00AF5815">
        <w:rPr>
          <w:rFonts w:ascii="Garamond" w:hAnsi="Garamond"/>
          <w:lang w:val="en-GB"/>
        </w:rPr>
        <w:t xml:space="preserve">Bleiben wir noch bei den Symbolen. Es gab solche, die wir erkannt zu haben glaubten und bei denen es uns doch störte, daß wir nicht angeben konnten, wie </w:t>
      </w:r>
      <w:r w:rsidRPr="00AF5815">
        <w:rPr>
          <w:rFonts w:ascii="Garamond" w:hAnsi="Garamond"/>
          <w:i/>
          <w:iCs/>
          <w:lang w:val="en-GB"/>
        </w:rPr>
        <w:t>das</w:t>
      </w:r>
      <w:r w:rsidRPr="00AF5815">
        <w:rPr>
          <w:rFonts w:ascii="Garamond" w:hAnsi="Garamond"/>
          <w:lang w:val="en-GB"/>
        </w:rPr>
        <w:t xml:space="preserve"> Symbol zu </w:t>
      </w:r>
      <w:r w:rsidRPr="00AF5815">
        <w:rPr>
          <w:rFonts w:ascii="Garamond" w:hAnsi="Garamond"/>
          <w:i/>
          <w:iCs/>
          <w:lang w:val="en-GB"/>
        </w:rPr>
        <w:t>der</w:t>
      </w:r>
      <w:r w:rsidRPr="00AF5815">
        <w:rPr>
          <w:rFonts w:ascii="Garamond" w:hAnsi="Garamond"/>
          <w:lang w:val="en-GB"/>
        </w:rPr>
        <w:t xml:space="preserve"> Bedeutung gekommen war. In solchen Fällen mußten uns Bestätigungen von anderswoher, aus Sprachwissenschaft, Folklore, Mythologie, Ritual besonders willkommen sein. Ein Beispiel dieser Art war das Symbol des Mantels. </w:t>
      </w:r>
      <w:r w:rsidRPr="00AF5815">
        <w:rPr>
          <w:rFonts w:ascii="Garamond" w:hAnsi="Garamond"/>
        </w:rPr>
        <w:t xml:space="preserve">Wir sagten, im Traume einer Frau bedeutet der Mantel einen Mann. </w:t>
      </w:r>
      <w:r w:rsidRPr="00AF5815">
        <w:rPr>
          <w:rFonts w:ascii="Garamond" w:hAnsi="Garamond"/>
          <w:lang w:val="en-GB"/>
        </w:rPr>
        <w:t xml:space="preserve">Ich hoffe nun, es macht Ihnen einen Eindruck, wenn Sie hören, daß Th. Reik 1920 uns berichtet: »In dem höchst altertümlichen Brautzeremoniell der Beduinen bedeckt der Bräutigam die Braut mit einem besonderen, ›Aba‹ genannten Mantel und spricht dazu die rituellen Worte: ›Es soll Dich fortan niemand bedecken als nur ich‹.« (Nach Robert Eisler: </w:t>
      </w:r>
      <w:r w:rsidRPr="00AF5815">
        <w:rPr>
          <w:rFonts w:ascii="Garamond" w:hAnsi="Garamond"/>
          <w:i/>
          <w:iCs/>
          <w:lang w:val="en-GB"/>
        </w:rPr>
        <w:t>Weltenmantel und Himmelszelt</w:t>
      </w:r>
      <w:r w:rsidRPr="00AF5815">
        <w:rPr>
          <w:rFonts w:ascii="Garamond" w:hAnsi="Garamond"/>
          <w:lang w:val="en-GB"/>
        </w:rPr>
        <w:t>.) Wir haben auch mehrere neue Symbole aufgefunden, von denen ich Ihnen wenigstens zwei Beispiele berichten will. Nach Abraham 1922 ist die Spinne im Traum ein Symbol der Mutter, aber der phallischen Mutter, vor der man sich fürchtet, so daß die Angst vor der Spinne den Schrecken vor dem Mutterinzest und das Grauen vor dem weiblichen Genitale ausdrückt. Sie wissen vielleicht, daß das mythologische Gebilde des Medusenhaupts auf dasselbe Motiv des Kastrationsschrecks zurückzuführen ist. Das andere Symbol, von dem ich Ihnen sprechen will, ist das der Brücke. Ferenczi hat es 1921–1922 aufgeklärt. Es bedeutet ursprünglich das männliche Glied, das das Elternpaar beim Geschlechtsverkehr miteinander verbindet, aber es entwickelt sich dann zu weiteren Bedeutungen, die sich von jener ersten ableiten. Insoferne es dem männlichen Glied zu verdanken ist, daß man überhaupt aus dem Geburtswasser zur Welt kann, wird die Brücke der Übergang vom Jenseits (dem Noch-nicht-geboren-sein, dem Mutterleib) zum Diesseits (dem Leben), und da sich der Mensch auch den Tod als Rückkehr in den Mutterleib (ins Wasser) vorstellt, bekommt die Brücke auch die Bedeutung einer Beförderung in den Tod, und endlich in weiterer Entfernung von ihrem Anfangssinn bezeichnet sie Übergang, Zustandsveränderung überhaupt. Dazu stimmt es dann, wenn eine Frau, die den Wunsch nicht überwunden hat, ein Mann zu sein, so häufig von Brücken träumt, die zu kurz sind, um das andere Ufer zu erreichen.</w:t>
      </w:r>
    </w:p>
    <w:p w:rsidR="00E22C23" w:rsidRPr="00AF5815" w:rsidRDefault="00E22C23" w:rsidP="00E22C23">
      <w:pPr>
        <w:rPr>
          <w:rFonts w:ascii="Garamond" w:hAnsi="Garamond"/>
          <w:lang w:val="en-GB"/>
        </w:rPr>
      </w:pPr>
      <w:r w:rsidRPr="00AF5815">
        <w:rPr>
          <w:rFonts w:ascii="Garamond" w:hAnsi="Garamond"/>
          <w:lang w:val="en-GB"/>
        </w:rPr>
        <w:lastRenderedPageBreak/>
        <w:t>Im manifesten Inhalt der Träume kommen recht häufig Bilder und Situationen vor, die an bekannte Motive aus Märchen, Sagen und Mythen erinnern. Die Deutung solcher Träume wirft dann ein Licht auf die ursprünglichen Interessen, die diese Motive geschaffen haben, wobei wir aber natürlich nicht an den Bedeutungswandel vergessen dürfen, der im Laufe der Zeiten dieses Material betroffen hat. Unsere Deutungsarbeit deckt sozusagen den Rohstoff auf, der häufig genug im weitesten Sinne sexuell zu nennen ist, aber in späterer Bearbeitung die verschiedenartigste Verwendung fand. Solche Zurückführungen pflegen uns den Zorn aller nicht analytisch gerichteten Forscher einzutragen, als ob wir alles, was sich an späteren Entwicklungen darüber aufgebaut, leugnen oder geringschätzen wollten. Nichtsdestoweniger sind solche Einsichten lehrreich und interessant. Das gleiche gilt für die Ableitung gewisser Motive der bildenden Kunst, wenn z. B. J. Eisler (1919) nach der Anleitung von Träumen seiner Patienten den mit einem Knäblein spielenden Jüngling, der im Hermes des Praxiteles dargestellt ist, analytisch deutet. Nur noch ein Wort, aber ich kann es mir nicht versagen zu erwähnen, wie häufig gerade mythologische Themen durch die Traumdeutung Aufklärung finden. So läßt sich z. B. die Labyrinthsage als Darstellung einer analen Geburt erkennen; die verschlungenen Gänge sind der Darm, der Ariadnefaden die Nabelschnur.</w:t>
      </w:r>
    </w:p>
    <w:p w:rsidR="00E22C23" w:rsidRPr="00AF5815" w:rsidRDefault="00E22C23" w:rsidP="00E22C23">
      <w:pPr>
        <w:rPr>
          <w:rFonts w:ascii="Garamond" w:hAnsi="Garamond"/>
          <w:lang w:val="en-GB"/>
        </w:rPr>
      </w:pPr>
      <w:r w:rsidRPr="00AF5815">
        <w:rPr>
          <w:rFonts w:ascii="Garamond" w:hAnsi="Garamond"/>
          <w:lang w:val="en-GB"/>
        </w:rPr>
        <w:t xml:space="preserve">Die Darstellungsweisen der Traumarbeit, ein reizvoller und kaum zu erschöpfender Stoff, sind uns durch eingehendes Studium immer vertrauter worden; ich will Ihnen auch davon einige Proben geben. So z. B. stellt der Traum die Relation der Häufigkeit durch die Vervielfältigung von Gleichartigem dar. Hören Sie den sonderbaren Traum eines jungen Mädchens an: Sie tritt in einen großen Saal ein und findet in ihm eine Person auf einem Stuhl sitzend, sechs-, achtmal, noch öfter wiederholt, die aber jedesmal ihr Vater ist. Das versteht sich leicht, wenn man aus den Nebenumständen der Deutung erfährt, daß dieser Raum den Mutterleib vorstellt. Dann wird der Traum gleichwertig mit der uns wohlbekannten Phantasie des Mädchens, das schon im Intrauterinleben mit dem Vater zusammengetroffen sein will, wenn er während der Schwangerschaft dem Mutterleib einen Besuch abstattete. Daß etwas im Traum umgekehrt, das Eintreten vom Vater auf die eigene Person verschoben ist, darf Sie nicht beirren; es hat übrigens noch seine besondere Bedeutung. Die Vervielfältigung der Vaterperson kann nur ausdrücken, daß der betreffende Vorgang sich wiederholt ereignet hat. Eigentlich müssen wir auch zugestehen, daß der Traum sich nicht viel herausnimmt, wenn er </w:t>
      </w:r>
      <w:r w:rsidRPr="00AF5815">
        <w:rPr>
          <w:rFonts w:ascii="Garamond" w:hAnsi="Garamond"/>
          <w:i/>
          <w:iCs/>
          <w:lang w:val="en-GB"/>
        </w:rPr>
        <w:t>Häufigkeit</w:t>
      </w:r>
      <w:r w:rsidRPr="00AF5815">
        <w:rPr>
          <w:rFonts w:ascii="Garamond" w:hAnsi="Garamond"/>
          <w:lang w:val="en-GB"/>
        </w:rPr>
        <w:t xml:space="preserve"> durch </w:t>
      </w:r>
      <w:r w:rsidRPr="00AF5815">
        <w:rPr>
          <w:rFonts w:ascii="Garamond" w:hAnsi="Garamond"/>
          <w:i/>
          <w:iCs/>
          <w:lang w:val="en-GB"/>
        </w:rPr>
        <w:t>Häufung</w:t>
      </w:r>
      <w:r w:rsidRPr="00AF5815">
        <w:rPr>
          <w:rFonts w:ascii="Garamond" w:hAnsi="Garamond"/>
          <w:lang w:val="en-GB"/>
        </w:rPr>
        <w:t xml:space="preserve"> ausdrückt. Er hat nur auf die Urbedeutung des Wortes zurückgegriffen, das uns heute eine Wiederholung in der Zeit bezeichnet, aber von einer Ansammlung im Raum hergenommen ist. Aber die Traumarbeit setzt überhaupt, wo es angeht, zeitliche Beziehungen in räumliche um und stellt sie als solche dar. Man sieht etwa im Traum eine Szene zwischen Personen, die sehr klein und weit entfernt erscheinen, als ob man sie durch das umgekehrte Ende eines Opernglases betrachten würde. Die Kleinheit wie die räumliche Entfernung bedeuten hier das gleiche, es ist die Entfernung in der Zeit gemeint, es soll verstanden werden, daß es eine Szene aus weit zurückliegender Vergangenheit ist. Ferner, Sie erinnern vielleicht, daß ich Ihnen schon in den früheren Vorlesungen gesagt und an Beispielen gezeigt habe, wir hätten gelernt, auch rein formale Züge des manifesten Traums für die Deutung zu verwerten, also in Inhalt aus den latenten Traumgedanken umzusetzen. Nun wissen Sie ja, daß alle Träume einer Nacht in denselben Zusammenhang gehören. Aber es ist nicht einmal gleichgültig, ob diese Träume dem Träumenden als ein Kontinuum erscheinen oder ob er sie in mehrere Stücke gliedert und in wie viele. Die Anzahl dieser Stücke entspricht oft ebensoviel gesonderten Mittelpunkten der Gedankenbildung in den latenten Traumgedanken oder miteinander ringenden Strömungen im Seelenleben des Träumers, von denen jede in einem besonderen Traumstück vorherrschenden, wenn auch nie ausschließlichen Ausdruck findet. Ein kurzer Vortraum und ein langer Haupttraum stehen oft zueinander in Beziehung von Bedingung und Ausführung, wovon Sie ein sehr deutliches Beispiel in jenen alten Vorlesungen finden können. Ein Traum, den der Träumer als irgendwie eingeschoben bezeichnet, entspricht wirklich einem Nebensatz in den Traumgedanken. Franz Alexander hat (1925) in einer Studie über Traumpaare gezeigt, daß zwei Träume einer Nacht sich nicht selten derart in die Erfüllung der Traumaufgabe teilen, daß sie zusammengenommen eine Wunscherfüllung in zwei </w:t>
      </w:r>
      <w:r w:rsidRPr="00AF5815">
        <w:rPr>
          <w:rFonts w:ascii="Garamond" w:hAnsi="Garamond"/>
          <w:lang w:val="en-GB"/>
        </w:rPr>
        <w:lastRenderedPageBreak/>
        <w:t>Etappen ergeben, was jeder Traum für sich nicht leistet. Wenn der Traumwunsch etwa eine unerlaubte Handlung an einer bestimmten Person zum Inhalt hat, so erscheint diese Person unverhüllt im ersten Traum, die Handlung aber wird nur schüchtern angedeutet. Der zweite Traum macht es dann anders. Die Handlung wird unverhüllt genannt, aber die Person unkenntlich gemacht oder durch eine indifferente ersetzt. Das macht doch wirklich den Eindruck von Schlauheit. Eine zweite und ähnliche Relation zwischen den beiden Teilen eines Traumpaares ist die, daß der eine die Bestrafung darstellt, der andere die sündige Wunscherfüllung. Also gleichsam: Wenn man die Strafe dafür auf sich nimmt, dann darf man sich das Verbotene erlauben.</w:t>
      </w:r>
    </w:p>
    <w:p w:rsidR="00E22C23" w:rsidRPr="00AF5815" w:rsidRDefault="00E22C23" w:rsidP="00E22C23">
      <w:pPr>
        <w:rPr>
          <w:rFonts w:ascii="Garamond" w:hAnsi="Garamond"/>
          <w:lang w:val="en-GB"/>
        </w:rPr>
      </w:pPr>
      <w:r w:rsidRPr="00AF5815">
        <w:rPr>
          <w:rFonts w:ascii="Garamond" w:hAnsi="Garamond"/>
          <w:lang w:val="en-GB"/>
        </w:rPr>
        <w:t>Ich kann Sie nicht länger bei ähnlichen Kleinfunden aufhalten, auch nicht bei den Diskussionen, die sich auf die Verwertung der Traumdeutung in der analytischen Arbeit beziehen. Ich kann annehmen, daß Sie ungeduldig sind zu hören, welche Änderungen sich in den Grundanschauungen über Wesen und Bedeutung des Traumes vollzogen haben. Sie sind bereits darauf vorbereitet, daß gerade darüber wenig zu berichten ist. Der bestrittenste Punkt der ganzen Lehre war wohl die Behauptung, daß alle Träume Wunscherfüllungen sind. Den unvermeidlichen, immer wiederkehrenden Einwand der Laien, daß es doch so viele Angstträume gibt, haben wir bereits in den früheren Vorlesungen, ich darf es sagen, voll erledigt. Mit der Einteilung in Wunsch-, Angst- und Strafträume haben wir unsere Lehre aufrechterhalten.</w:t>
      </w:r>
    </w:p>
    <w:p w:rsidR="00E22C23" w:rsidRPr="00AF5815" w:rsidRDefault="00E22C23" w:rsidP="00E22C23">
      <w:pPr>
        <w:rPr>
          <w:rFonts w:ascii="Garamond" w:hAnsi="Garamond"/>
          <w:lang w:val="en-GB"/>
        </w:rPr>
      </w:pPr>
      <w:r w:rsidRPr="00AF5815">
        <w:rPr>
          <w:rFonts w:ascii="Garamond" w:hAnsi="Garamond"/>
          <w:lang w:val="en-GB"/>
        </w:rPr>
        <w:t>Auch die Strafträume sind Wunscherfüllungen, aber nicht solche der Triebregungen, sondern der kritisierenden, zensurierenden und strafenden Instanz im Seelenleben. Wenn wir einen reinen Straftraum vor uns haben, so gestattet uns eine leichte Gedankenoperation, den Wunschtraum wiederherzustellen, auf den der Straftraum die richtige Entgegnung ist, der für den manifesten Traum durch diese Zurückweisung ersetzt wurde. Sie wissen, meine Damen und Herren, daß das Studium des Traums uns zuerst zum Verständnis der Neurosen verholfen hat. Sie werden es auch begreiflich finden, daß unsere Kenntnis der Neurosen späterhin unsere Auffassung des Traums beeinflussen konnte. Wie Sie hören werden, haben wir uns genötigt gesehen, im Seelenleben eine besondere kritisierende und verbietende Instanz anzunehmen, die wir das Über-Ich heißen. Indem wir nun auch die Traumzensur als eine Leistung dieser Instanz erkannten, wurden wir angeleitet, den Anteil des Über-Ichs an der Traumbildung sorgfältiger zu beachten.</w:t>
      </w:r>
    </w:p>
    <w:p w:rsidR="00E22C23" w:rsidRPr="00AF5815" w:rsidRDefault="00E22C23" w:rsidP="00E22C23">
      <w:pPr>
        <w:rPr>
          <w:rFonts w:ascii="Garamond" w:hAnsi="Garamond"/>
          <w:lang w:val="en-GB"/>
        </w:rPr>
      </w:pPr>
      <w:r w:rsidRPr="00AF5815">
        <w:rPr>
          <w:rFonts w:ascii="Garamond" w:hAnsi="Garamond"/>
          <w:lang w:val="en-GB"/>
        </w:rPr>
        <w:t xml:space="preserve">Gegen die Wunscherfüllungstheorie des Traumes haben sich nur zwei ernsthafte Schwierigkeiten erhoben, deren Erörterung weitab führt, allerdings noch keine voll befriedigende Erledigung gefunden hat. Die erste ist durch die Tatsache gegeben, daß Personen, die ein Schockerlebnis, ein schweres psychisches Trauma durchgemacht haben, wie es so oft im Krieg der Fall war und sich auch als Begründung einer traumatischen Hysterie findet, vom Traum so regelmäßig in die traumatische Situation zurückversetzt werden. Das sollte nach unseren Annahmen über die Funktion des Traumes nicht der Fall sein. Welche Wunschregung könnte durch dieses Rückgreifen auf das höchst peinliche traumatische Erlebnis befriedigt werden? Das ist schwer zu erraten. Mit der zweiten Tatsache treffen wir in der analytischen Arbeit fast täglich zusammen; sie bedeutet auch keinen so gewichtigen Einwand wie die andere. Sie wissen, es ist eine der Aufgaben der Psychoanalyse, den Schleier der Amnesie zu lüften, der die ersten Kinderjahre verhüllt und die in ihnen enthaltenen Äußerungen des frühkindlichen Sexuallebens zur bewußten Erinnerung zu bringen. Nun sind diese ersten Sexualerlebnisse des Kindes mit schmerzlichen Eindrücken von Angst, Verbot, Enttäuschung und Bestrafung verknüpft; man versteht, daß sie verdrängt worden sind, aber dann versteht man nicht, daß sie einen so breiten Zugang zum Traumleben haben, daß sie die Muster für so viele Traumphantasien hergeben, daß die Träume von Reproduktionen dieser Infantilszenen und von Anspielungen an sie erfüllt sind. Ihr Unlustcharakter und die Wunscherfüllungstendenz der Traumarbeit scheinen sich doch schlecht miteinander zu vertragen. Aber vielleicht sehen wir in diesem Fall die Schwierigkeit zu groß. An denselben Kindheitserlebnissen haften ja alle die unvergänglichen, unerfüllten Triebwünsche, die durchs ganze Leben die Energie für die Traumbildung abgeben, denen man es wohl zutrauen kann, daß sie in ihrem gewaltigen Auftrieb auch das Material peinlich empfundener </w:t>
      </w:r>
      <w:r w:rsidRPr="00AF5815">
        <w:rPr>
          <w:rFonts w:ascii="Garamond" w:hAnsi="Garamond"/>
          <w:lang w:val="en-GB"/>
        </w:rPr>
        <w:lastRenderedPageBreak/>
        <w:t xml:space="preserve">Begebenheiten an die Oberfläche drängen können. Und anderseits ist in der Art und Weise, wie dieses Material reproduziert wird, die Bemühung der Traumarbeit unverkennbar, die die Unlust durch Entstellung verleugnen, Enttäuschung in Gewährung verwandeln will. Bei den traumatischen Neurosen ist es anders, hier laufen die Träume regelmäßig in Angstentwicklung aus. Ich meine, wir sollen uns nicht scheuen zuzugestehen, daß in diesem Falle die Funktion des Traumes versagt. Ich will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nicht auf den Satz berufen, daß die Ausnahme die Regel bestätigt; seine Weisheit erscheint mir recht zweifelhaft. Aber wohl hebt die Ausnahme die Regel nicht auf. Wenn man eine einzelne psychische Leistung wie das Träumen zum Zweck des Studiums aus dem ganzen Getriebe isoliert, hat man es sich möglich gemacht, die ihr eigenen Gesetzmäßigkeiten aufzudecken; wenn man sie wiederum ins Gefüge einsetzt, muß man gefaßt sein zu finden, daß diese Ergebnisse durch den Zusammenstoß mit anderen Mächten verdunkelt oder beeinträchtigt werden. Wir sagen, der Traum ist eine Wunscherfüllung; wenn Sie den letzten Einwänden Rechnung tragen wollen, so sagen Sie immerhin, der Traum ist der </w:t>
      </w:r>
      <w:r w:rsidRPr="00AF5815">
        <w:rPr>
          <w:rFonts w:ascii="Garamond" w:hAnsi="Garamond"/>
          <w:i/>
          <w:iCs/>
          <w:lang w:val="en-GB"/>
        </w:rPr>
        <w:t>Versuch</w:t>
      </w:r>
      <w:r w:rsidRPr="00AF5815">
        <w:rPr>
          <w:rFonts w:ascii="Garamond" w:hAnsi="Garamond"/>
          <w:lang w:val="en-GB"/>
        </w:rPr>
        <w:t xml:space="preserve"> einer Wunscherfüllung. Für keinen, der sich in die psychische Dynamik hineinversetzen kann, haben Sie dann etwas anderes gesagt. Unter bestimmten Verhältnissen kann der Traum seine Absicht nur sehr unvollkommen durchsetzen oder muß sie überhaupt aufgeben; die unbewußte Fixierung an ein Trauma scheint unter diesen Verhinderungen der Traumfunktion obenan zu stehen. Während der Schläfer träumen muß, weil der nächtliche Nachlaß der Verdrängung den Auftrieb der traumatischen Fixierung aktiv werden läßt, versagt die Leistung seiner Traumarbeit, die die Erinnerungsspuren der traumatischen Begebenheit in eine Wunscherfüllung umwandeln möchte. Unter diesen Verhältnissen ereignet es sich, daß man schlaflos wird, aus Angst vor dem Mißglücken der Traumfunktion auf den Schlaf verzichtet. Die traumatische Neurose zeigt uns da einen extremen Fall, aber man muß auch den Kindheitserlebnissen den traumatischen Charakter zugestehen und braucht sich nicht zu verwundern, wenn sich geringfügigere Störungen der Traumleistung auch unter anderen Bedingungen ergeben.</w:t>
      </w:r>
    </w:p>
    <w:p w:rsidR="00E22C23" w:rsidRPr="00AF5815" w:rsidRDefault="00E22C23" w:rsidP="00E22C23">
      <w:pPr>
        <w:rPr>
          <w:rFonts w:ascii="Garamond" w:hAnsi="Garamond"/>
          <w:b/>
          <w:lang w:val="en-GB"/>
        </w:rPr>
      </w:pPr>
      <w:r>
        <w:rPr>
          <w:rFonts w:ascii="Garamond" w:hAnsi="Garamond"/>
          <w:lang w:val="en-GB"/>
        </w:rPr>
        <w:br w:type="page"/>
      </w:r>
      <w:hyperlink w:anchor="NeueVorlesugen_INHALT" w:history="1">
        <w:r w:rsidRPr="00AF5815">
          <w:rPr>
            <w:rStyle w:val="Lienhypertexte"/>
            <w:rFonts w:ascii="Garamond" w:hAnsi="Garamond"/>
            <w:b/>
            <w:lang w:val="en-GB"/>
          </w:rPr>
          <w:t>30. Vo</w:t>
        </w:r>
        <w:bookmarkStart w:id="300" w:name="NeueVorlesugen_30"/>
        <w:bookmarkEnd w:id="300"/>
        <w:r w:rsidRPr="00AF5815">
          <w:rPr>
            <w:rStyle w:val="Lienhypertexte"/>
            <w:rFonts w:ascii="Garamond" w:hAnsi="Garamond"/>
            <w:b/>
            <w:lang w:val="en-GB"/>
          </w:rPr>
          <w:t>rlesung. Traum und Okkultismus</w:t>
        </w:r>
      </w:hyperlink>
    </w:p>
    <w:p w:rsidR="00E22C23" w:rsidRPr="00AF5815" w:rsidRDefault="00E22C23" w:rsidP="00E22C23">
      <w:pPr>
        <w:rPr>
          <w:rFonts w:ascii="Garamond" w:hAnsi="Garamond"/>
          <w:lang w:val="en-GB"/>
        </w:rPr>
      </w:pPr>
    </w:p>
    <w:p w:rsidR="00E22C23" w:rsidRPr="00AF5815" w:rsidRDefault="00E22C23" w:rsidP="00E22C23">
      <w:pPr>
        <w:rPr>
          <w:rFonts w:ascii="Garamond" w:hAnsi="Garamond"/>
          <w:lang w:val="en-GB"/>
        </w:rPr>
      </w:pPr>
      <w:r w:rsidRPr="00AF5815">
        <w:rPr>
          <w:rFonts w:ascii="Garamond" w:hAnsi="Garamond"/>
          <w:lang w:val="en-GB"/>
        </w:rPr>
        <w:t>Meine Damen und Herren! Wir werden heute einen schmalen Weg gehen, aber der kann uns zu einer weiten Aussicht führen.</w:t>
      </w:r>
    </w:p>
    <w:p w:rsidR="00E22C23" w:rsidRPr="00AF5815" w:rsidRDefault="00E22C23" w:rsidP="00E22C23">
      <w:pPr>
        <w:rPr>
          <w:rFonts w:ascii="Garamond" w:hAnsi="Garamond"/>
          <w:lang w:val="en-GB"/>
        </w:rPr>
      </w:pPr>
      <w:r w:rsidRPr="00AF5815">
        <w:rPr>
          <w:rFonts w:ascii="Garamond" w:hAnsi="Garamond"/>
          <w:lang w:val="en-GB"/>
        </w:rPr>
        <w:t>Die Ankündigung, daß ich über die Beziehung des Traums zum Okkultismus sprechen werde, kann Sie kaum überraschen. Der Traum ist ja oft als die Pforte zur Welt der Mystik betrachtet worden, gilt heute noch vielen selbst als ein okkultes Phänomen. Auch wir, die ihn zum Objekt wissenschaftlicher Untersuchung gemacht haben, bestreiten nicht, daß ihn ein oder mehrere Fäden mit jenen dunklen Dingen verknüpfen. Mystik, Okkultismus, was ist mit diesen Namen gemeint? Erwarten Sie keinen Versuch von mir, diese schlecht umgrenzten Gebiete durch Definitionen zu umfassen. In einer allgemeinen und unbestimmten Weise wissen wir alle, woran wir dabei zu denken haben. Es ist eine Art von Jenseits der hellen, von unerbittlichen Gesetzen beherrschten Welt, welche die Wissenschaft für uns aufgebaut hat.</w:t>
      </w:r>
    </w:p>
    <w:p w:rsidR="00E22C23" w:rsidRPr="00AF5815" w:rsidRDefault="00E22C23" w:rsidP="00E22C23">
      <w:pPr>
        <w:rPr>
          <w:rFonts w:ascii="Garamond" w:hAnsi="Garamond"/>
          <w:lang w:val="en-GB"/>
        </w:rPr>
      </w:pPr>
      <w:r w:rsidRPr="00AF5815">
        <w:rPr>
          <w:rFonts w:ascii="Garamond" w:hAnsi="Garamond"/>
          <w:lang w:val="en-GB"/>
        </w:rPr>
        <w:t>Der Okkultismus behauptet die reale Existenz jener »Dinge zwischen Himmel und Erde, von denen unsere Schulweisheit sich nichts träumen läßt«. Nun, wir wollen nicht an der Engherzigkeit der Schule festhalten; wir sind bereit zu glauben, was man uns glaubwürdig macht.</w:t>
      </w:r>
    </w:p>
    <w:p w:rsidR="00E22C23" w:rsidRPr="00AF5815" w:rsidRDefault="00E22C23" w:rsidP="00E22C23">
      <w:pPr>
        <w:rPr>
          <w:rFonts w:ascii="Garamond" w:hAnsi="Garamond"/>
          <w:lang w:val="en-GB"/>
        </w:rPr>
      </w:pPr>
      <w:r w:rsidRPr="00AF5815">
        <w:rPr>
          <w:rFonts w:ascii="Garamond" w:hAnsi="Garamond"/>
          <w:lang w:val="en-GB"/>
        </w:rPr>
        <w:t xml:space="preserve">Wir gedenken mit diesen Dingen zu verfahren wie mit allem anderen Material der Wissenschaft, zunächst festzustellen, ob solche Vorgänge wirklich nachweisbar sind, und dann, aber erst dann, wenn sich ihre Tatsächlichkeit nicht bezweifeln läßt, uns um ihre Erklärung zu bemühen. </w:t>
      </w:r>
      <w:r w:rsidRPr="00AF5815">
        <w:rPr>
          <w:rFonts w:ascii="Garamond" w:hAnsi="Garamond"/>
        </w:rPr>
        <w:t xml:space="preserve">Aber es ist nicht zu leugnen, daß schon dieser Entschluß uns schwergemacht wird durch intellektuelle, psychologische und historische Momente. </w:t>
      </w:r>
      <w:r w:rsidRPr="00AF5815">
        <w:rPr>
          <w:rFonts w:ascii="Garamond" w:hAnsi="Garamond"/>
          <w:lang w:val="en-GB"/>
        </w:rPr>
        <w:t>Es ist nicht derselbe Fall, wie wenn wir an andere Untersuchungen herangehen.</w:t>
      </w:r>
    </w:p>
    <w:p w:rsidR="00E22C23" w:rsidRPr="00AF5815" w:rsidRDefault="00E22C23" w:rsidP="00E22C23">
      <w:pPr>
        <w:rPr>
          <w:rFonts w:ascii="Garamond" w:hAnsi="Garamond"/>
          <w:lang w:val="en-GB"/>
        </w:rPr>
      </w:pPr>
      <w:r w:rsidRPr="00AF5815">
        <w:rPr>
          <w:rFonts w:ascii="Garamond" w:hAnsi="Garamond"/>
          <w:lang w:val="en-GB"/>
        </w:rPr>
        <w:t>Die intellektuelle Schwierigkeit zuerst! Gestatten Sie mir grobe, handgreifliche Verdeutlichungen. Nehmen wir an, es handle sich um die Frage nach der Beschaffenheit des Erdinnern. Bekanntlich wissen wir nichts Sicheres darüber. Wir vermuten, daß es aus schweren Metallen im glühenden Zustand besteht. Nun stelle einer die Behauptung auf, das Erdinnere sei mit Kohlensäure gesättigtes Wasser, also eine Art Sodawasser. Wir werden gewiß sagen, das ist sehr unwahrscheinlich, widerspricht allen unseren Erwartungen, nimmt keine Rücksicht auf jene Anhaltspunkte unseres Wissens, die uns zur Aufstellung der Metallhypothese geführt haben. Aber undenkbar ist es immerhin nicht; wenn uns jemand einen Weg zur Prüfung der Sodawasserhypothese zeigt, werden wir ihn ohne Widerstand gehen. Aber nun kommt ein anderer mit der ernsthaften Behauptung, der Erdkern bestehe aus Marmelade! Dagegen werden wir uns ganz anders verhalten. Wir werden uns sagen, Marmelade kommt in der Natur nicht vor, es ist ein Produkt der menschlichen Küche, die Existenz dieses Stoffes setzt außerdem das Vorhandensein von Obstbäumen und von deren Früchten voraus, und wir wüßten nicht, wie wir Vegetation und menschliche Kochkunst ins Erdinnere verlegen könnten; das Ergebnis dieser intellektuellen Einwendungen wird eine Schwenkung unseres Interesses sein, anstatt auf die Untersuchung einzugehen, ob wirklich der Erdkern aus Marmelade besteht, werden wir uns fragen, was es für ein Mensch sein muß, der auf eine solche Idee kommen kann, und höchstens noch ihn fragen, woher er das weiß. Der unglückliche Urheber der Marmeladetheorie wird schwer gekränkt sein und uns anklagen, daß wir ihm aus angeblich wissenschaftlichem Vorurteil die objektive Würdigung seiner Behauptung versagen. Aber es wird ihm nichts nützen. Wir verspüren, daß Vorurteile nicht immer verwerflich sind, daß sie manchmal berechtigt sind, zweckmäßig, um uns unnützen Aufwand zu ersparen. Sie sind ja nichts anderes als Analogieschlüsse nach anderen, gut begründeten Urteilen.</w:t>
      </w:r>
    </w:p>
    <w:p w:rsidR="00E22C23" w:rsidRPr="00AF5815" w:rsidRDefault="00E22C23" w:rsidP="00E22C23">
      <w:pPr>
        <w:rPr>
          <w:rFonts w:ascii="Garamond" w:hAnsi="Garamond"/>
        </w:rPr>
      </w:pPr>
      <w:r w:rsidRPr="00AF5815">
        <w:rPr>
          <w:rFonts w:ascii="Garamond" w:hAnsi="Garamond"/>
          <w:lang w:val="en-GB"/>
        </w:rPr>
        <w:t xml:space="preserve">Eine ganze Anzahl der okkultistischen Behauptungen wirkt auf uns ähnlich wie die Marmeladehypothese, so daß wir uns berechtigt glauben, sie ohne Nachprüfung von vornherein abzuweisen. Aber es ist doch </w:t>
      </w:r>
      <w:r w:rsidRPr="00AF5815">
        <w:rPr>
          <w:rFonts w:ascii="Garamond" w:hAnsi="Garamond"/>
          <w:lang w:val="en-GB"/>
        </w:rPr>
        <w:lastRenderedPageBreak/>
        <w:t xml:space="preserve">nicht so einfach. Ein Vergleich wie der von mir gewählte beweist nichts, beweist so wenig wie überhaupt Vergleiche. Es bleibt ja fraglich, ob er paßt, und man versteht, daß die Einstellung der verächtlichen Verwerfung bereits seine Auswahl bestimmt hat. Vorurteile sind manchmal zweckmäßig und berechtigt, andere Male aber irrtümlich und schädlich, und man weiß nie, wann sie das eine, wann sie das andere sind. Die Geschichte der Wissenschaften selbst ist überreich an Vorfällen, die vor einer voreiligen Verdammung warnen können. Lange Zeit galt es auch als eine unsinnige Annahme, daß die Steine, die wir heute Meteoriten heißen, aus dem Himmelsraum auf die Erde gelangt sein sollten oder daß das Gestein der Berge, das Muschelreste einschließt, einst den Meeresgrund gebildet hätte. </w:t>
      </w:r>
      <w:r w:rsidRPr="00AF5815">
        <w:rPr>
          <w:rFonts w:ascii="Garamond" w:hAnsi="Garamond"/>
        </w:rPr>
        <w:t>Übrigens ist es auch unserer Psychoanalyse nicht viel anders ergangen, als sie mit der Erschließung der Unbewußten hervortrat. Also haben wir Analytiker besonderen Grund, mit der Verwendung des intellektuellen Motivs zur Ablehnung neuer Aufstellungen vorsichtig zu sein, und müssen zugestehen, daß es uns nicht über Abneigung, Zweifel und Unsicherheit hinaus fördert.</w:t>
      </w:r>
    </w:p>
    <w:p w:rsidR="00E22C23" w:rsidRPr="00AF5815" w:rsidRDefault="00E22C23" w:rsidP="00E22C23">
      <w:pPr>
        <w:rPr>
          <w:rFonts w:ascii="Garamond" w:hAnsi="Garamond"/>
          <w:lang w:val="en-GB"/>
        </w:rPr>
      </w:pPr>
      <w:r w:rsidRPr="00AF5815">
        <w:rPr>
          <w:rFonts w:ascii="Garamond" w:hAnsi="Garamond"/>
        </w:rPr>
        <w:t xml:space="preserve">Das zweite Moment habe ich das psychologische genannt. Ich meine damit die allgemeine Neigung der Menschen zur Leichtgläubigkeit und Wundergläubigkeit. </w:t>
      </w:r>
      <w:r w:rsidRPr="00AF5815">
        <w:rPr>
          <w:rFonts w:ascii="Garamond" w:hAnsi="Garamond"/>
          <w:lang w:val="en-GB"/>
        </w:rPr>
        <w:t>Von allem Anfang an, wenn das Leben uns in seine strenge Zucht nimmt, regt sich in uns ein Widerstand gegen die Unerbittlichkeit und Monotonie der Denkgesetze und gegen die Anforderungen der Realitätsprüfung. Die Vernunft wird zur Feindin, die uns soviel Lustmöglichkeit vorenthält. Man entdeckt, welche Lust es bereitet, sich ihr wenigstens zeitweilig zu entziehen und sich den Verlockungen des Unsinns hinzugeben. Der Schulknabe ergötzt sich an Wortverdrehungen, der Fachgelehrte verulkt seine Tätigkeit nach einem wissenschaftlichen Kongreß, selbst der ernsthafte Mann genießt die Spiele des Witzes. Ernsthaftere Feindseligkeit gegen »Vernunft und Wissenschaft, des Menschen allerbeste Kraft« wartet ihre Gelegenheit ab, sie beeilt sich, dem Wunderdoktor oder Naturheilkünstler den Vorzug zu geben vor dem »studierten« Arzt, sie kommt den Behauptungen des Okkultismus entgegen, solange dessen angebliche Tatsachen als Durchbrechungen von Gesetz und Regel genommen werden, sie schläfert die Kritik ein, verfälscht die Wahrnehmungen, erzwingt Bestätigungen und Zustimmungen, die nicht zu rechtfertigen sind. Wer diese Neigung der Menschen in Betracht zieht, hat allen Grund, viele Mitteilungen der okkultistischen Literatur zu entwerten.</w:t>
      </w:r>
    </w:p>
    <w:p w:rsidR="00E22C23" w:rsidRPr="00AF5815" w:rsidRDefault="00E22C23" w:rsidP="00E22C23">
      <w:pPr>
        <w:rPr>
          <w:rFonts w:ascii="Garamond" w:hAnsi="Garamond"/>
          <w:lang w:val="en-GB"/>
        </w:rPr>
      </w:pPr>
      <w:r w:rsidRPr="00AF5815">
        <w:rPr>
          <w:rFonts w:ascii="Garamond" w:hAnsi="Garamond"/>
          <w:lang w:val="en-GB"/>
        </w:rPr>
        <w:t>Das dritte Bedenken nannte ich das historische und will damit aufmerksam machen, daß in der Welt des Okkultismus eigentlich nichts Neues vorgeht, daß aber in ihr alle die Zeichen, Wunder, Prophezeiungen und Geistererscheinungen neuerdings auftreten, die uns aus alten Zeiten und in alten Büchern berichtet werden und die wir längst als Ausgeburten ungezügelter Phantasie oder tendenziösen Trugs erledigt zu haben glaubten, als Produkte einer Zeit, in der die Unwissenheit der Menschheit sehr groß war und der wissenschaftliche Geist noch in seinen Kinderschuhen stak. Wenn wir als wahr annehmen, was sich nach den Mitteilungen der Okkultisten noch heute ereignet, so müssen wir auch jene Nachrichten aus dem Altertum als glaubwürdig anerkennen. Und nun besinnen wir uns, daß die Traditionen und heiligen Bücher der Völker von solchen Wundergeschichten übervoll sind und daß die Religionen ihren Anspruch auf Glaubwürdigkeit gerade auf solche außerordentliche und wunderbare Begebenheiten stützen und in ihnen die Beweise für das Wirken übermenschlicher Mächte finden. Dann wird es uns schwer, den Verdacht zu vermeiden, daß das okkultistische Interesse eigentlich ein religiöses ist, daß es zu den geheimen Motiven der okkultistischen Bewegung gehört, der durch den Fortschritt des wissenschaftlichen Denkens bedrohten Religion zu Hilfe zu kommen. Und mit der Erkenntnis eines solchen Motivs muß unser Mißtrauen wachsen und unsere Abneigung, uns in die Untersuchung der angeblichen okkulten Phänomene einzulassen.</w:t>
      </w:r>
    </w:p>
    <w:p w:rsidR="00E22C23" w:rsidRPr="00AF5815" w:rsidRDefault="00E22C23" w:rsidP="00E22C23">
      <w:pPr>
        <w:rPr>
          <w:rFonts w:ascii="Garamond" w:hAnsi="Garamond"/>
          <w:lang w:val="en-GB"/>
        </w:rPr>
      </w:pPr>
      <w:r w:rsidRPr="00AF5815">
        <w:rPr>
          <w:rFonts w:ascii="Garamond" w:hAnsi="Garamond"/>
          <w:lang w:val="en-GB"/>
        </w:rPr>
        <w:t xml:space="preserve">Aber endlich muß diese Abneigung doch überwunden werden. Es handelt sich um eine Frage der Tatsächlichkeit, ob das, was die Okkultisten erzählen, wahr ist oder nicht. Das muß doch durch Beobachtung entschieden werden können. Im Grunde müssen wir den Okkultisten dankbar sein. Die Wunderberichte aus alten Zeiten sind unserer Nachprüfung entzogen. Wenn wir meinen, sie sind nicht zu beweisen, so müssen wir doch zugeben, sie sind nicht mit aller Strenge zu widerlegen. Aber was in der </w:t>
      </w:r>
      <w:r w:rsidRPr="00AF5815">
        <w:rPr>
          <w:rFonts w:ascii="Garamond" w:hAnsi="Garamond"/>
          <w:lang w:val="en-GB"/>
        </w:rPr>
        <w:lastRenderedPageBreak/>
        <w:t>Gegenwart vor sich geht, wobei wir zugegen sein können, darüber müssen wir doch ein sicheres Urteil gewinnen können. Kommen wir zur Überzeugung, daß solche Wunder heute nicht vorkommen, so fürchten wir den Einwand nicht, sie könnten sich doch in alten Zeiten ereignet haben. Andere Erklärungen liegen dann viel näher. Wir haben also unsere Bedenken abgelegt und sind bereit, an der Beobachtung der okkulten Phänomene teilzunehmen.</w:t>
      </w:r>
    </w:p>
    <w:p w:rsidR="00E22C23" w:rsidRPr="00AF5815" w:rsidRDefault="00E22C23" w:rsidP="00E22C23">
      <w:pPr>
        <w:rPr>
          <w:rFonts w:ascii="Garamond" w:hAnsi="Garamond"/>
          <w:lang w:val="en-GB"/>
        </w:rPr>
      </w:pPr>
      <w:r w:rsidRPr="00AF5815">
        <w:rPr>
          <w:rFonts w:ascii="Garamond" w:hAnsi="Garamond"/>
          <w:lang w:val="en-GB"/>
        </w:rPr>
        <w:t>Zum Unglück treffen wir dann auf Verhältnisse, die unserer redlichen Absicht äußerst ungünstig sind. Die Beobachtungen, von denen unser Urteil abhängen soll, werden unter Bedingungen angestellt, die unsere Sinneswahrnehmungen unsicher machen, unsere Aufmerksamkeit abstumpfen, in der Dunkelheit oder in spärlichem rotem Licht, nach langen Zeiten leerer Erwartung. Es wird uns gesagt, daß schon unsere ungläubige, also kritische Einstellung das Zustandekommen der erwarteten Phänomene zu hindern vermag. Die so hergestellte Situation ist ein wahres Zerrbild der Umstände, unter denen wir sonst wissenschaftliche Untersuchungen durchzuführen pflegen. Die Beobachtungen werden an sogenannten Medien gemacht, Personen, denen man besondere »sensitive« Fähigkeiten zuschreibt, die sich aber keineswegs durch hervorragende Eigenschaften des Geistes oder des Charakters auszeichnen, nicht von einer großen Idee oder einer ernsthaften Absicht getragen werden wie die alten Wundertäter. Im Gegenteil, sie gelten selbst bei denen, die an ihre geheimen Kräfte glauben, als besonders unzuverlässig; die meisten von ihnen sind bereits als Betrüger entlarvt worden, es liegt uns nahe zu erwarten, daß den übrigen dasselbe bevorsteht. Was sie leisten, macht den Eindruck von mutwilligen Kinderstreichen oder Taschenspielerkunststücken. Noch niemals ist in den Sitzungen mit diesen Medien etwas Brauchbares herausgekommen, etwa eine neue Kraftquelle zugänglich gemacht worden. Freilich erwartet man auch keine Förderung der Taubenzucht von dem Kunststück des Taschenspielers, der Tauben aus seinem leeren Zylinderhut zaubert. Ich kann mich leicht in die Lage eines Menschen versetzen, der die Anforderung der Objektivität erfüllen will und darum an den okkultistischen Sitzungen teilnimmt, aber nach einer Weile ermüdet und von den an ihn gestellten Zumutungen abgestoßen sich abwendet und unbelehrt zu seinen früheren Vorurteilen zurückkehrt. Man kann einem solchen vorhalten, das sei auch nicht das richtige Benehmen, Phänomenen, die man studieren wolle, dürfe man nicht vorschreiben, wie sie sein und unter welchen Bedingungen sie auftreten sollen. Es sei vielmehr geboten, auszuharren und die Vorsichts- und Kontrollmaßregeln zu würdigen, durch die man sich neuerdings gegen die Unzuverlässigkeit der Medien zu schützen bemüht ist. Leider macht diese moderne Sicherungstechnik der leichten Zugänglichkeit okkultistischer Beobachtungen ein Ende. Das Studium des Okkultismus wird ein besonderer, schwieriger Beruf, eine Tätigkeit, die man nicht neben seinen sonstigen Interessen betreiben kann. Und bis die damit beschäftigten Forscher zu Entscheidungen gekommen sind, bleibt man dem Zweifel und seinen eigenen Vermutungen überlassen.</w:t>
      </w:r>
    </w:p>
    <w:p w:rsidR="00E22C23" w:rsidRPr="00AF5815" w:rsidRDefault="00E22C23" w:rsidP="00E22C23">
      <w:pPr>
        <w:rPr>
          <w:rFonts w:ascii="Garamond" w:hAnsi="Garamond"/>
          <w:lang w:val="en-GB"/>
        </w:rPr>
      </w:pPr>
      <w:r w:rsidRPr="00AF5815">
        <w:rPr>
          <w:rFonts w:ascii="Garamond" w:hAnsi="Garamond"/>
          <w:lang w:val="en-GB"/>
        </w:rPr>
        <w:t>Unter diesen Vermutungen die wahrscheinlichste ist wohl die, daß es sich beim Okkultismus um einen realen Kern von noch nicht erkannten Tatsachen handelt, den Trug und Phantasiewirkung mit einer schwer durchdringbaren Hülle umsponnen haben. Aber wie können wir uns diesem Kern auch nur annähern, an welcher Stelle das Problem angreifen? Hier meine ich, kommt uns der Traum zu Hilfe, indem er uns den Wink gibt, aus all dem Wust das Thema der Telepathie herauszugreifen.</w:t>
      </w:r>
    </w:p>
    <w:p w:rsidR="00E22C23" w:rsidRPr="00AF5815" w:rsidRDefault="00E22C23" w:rsidP="00E22C23">
      <w:pPr>
        <w:rPr>
          <w:rFonts w:ascii="Garamond" w:hAnsi="Garamond"/>
          <w:lang w:val="en-GB"/>
        </w:rPr>
      </w:pPr>
      <w:r w:rsidRPr="00AF5815">
        <w:rPr>
          <w:rFonts w:ascii="Garamond" w:hAnsi="Garamond"/>
          <w:lang w:val="en-GB"/>
        </w:rPr>
        <w:t xml:space="preserve">Sie wissen, Telepathie nennen wir die angebliche Tatsache, daß ein Ereignis, welches zu einer bestimmten Zeit vorfällt, etwa gleichzeitig einer räumlich entfernten Person zum Bewußtsein kommt, ohne daß die uns bekannten Wege der Mitteilung dabei in Betracht kämen. Stillschweigende Voraussetzung ist, daß dies Ereignis eine Person betrifft, an welcher die andere, der Empfänger der Nachricht, ein starkes emotionelles Interesse hat. Also z. B. die Person A erleidet einen Unfall, oder sie stirbt, und die Person B, eine ihr nahe verbundene, die Mutter, Tochter oder Geliebte, erfährt es ungefähr zur gleichen Zeit durch eine Gesichts- oder Gehörswahrnehmung; im letzteren Falle also so, als ob sie telephonisch verständigt worden wäre, was aber nicht der Fall gewesen ist, gewissermaßen ein psychisches Gegenstück zur drahtlosen Telegraphie. Ich brauche vor Ihnen nicht zu betonen, wie unwahrscheinlich solche Vorgänge </w:t>
      </w:r>
      <w:r w:rsidRPr="00AF5815">
        <w:rPr>
          <w:rFonts w:ascii="Garamond" w:hAnsi="Garamond"/>
          <w:lang w:val="en-GB"/>
        </w:rPr>
        <w:lastRenderedPageBreak/>
        <w:t xml:space="preserve">sind. Auch darf man die meisten dieser Berichte mit guten Gründen ablehnen; einige bleiben übrig, bei denen dies nicht so leicht ist. Gestatten Sie mir nun, daß ich, für den Zweck meiner beabsichtigten Mitteilung, das vorsichtige Wörtchen »angeblich« weglasse und so fortsetze, als glaubte ich an die objektive Realität des telepathischen Phänomens. Aber halten Sie daran fest, daß dies nicht der Fall ist, daß ich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auf keine Überzeugung festgelegt habe.</w:t>
      </w:r>
    </w:p>
    <w:p w:rsidR="00E22C23" w:rsidRPr="00AF5815" w:rsidRDefault="00E22C23" w:rsidP="00E22C23">
      <w:pPr>
        <w:rPr>
          <w:rFonts w:ascii="Garamond" w:hAnsi="Garamond"/>
          <w:lang w:val="en-GB"/>
        </w:rPr>
      </w:pPr>
      <w:r w:rsidRPr="00AF5815">
        <w:rPr>
          <w:rFonts w:ascii="Garamond" w:hAnsi="Garamond"/>
          <w:lang w:val="en-GB"/>
        </w:rPr>
        <w:t>Ich habe Ihnen eigentlich wenig mitzuteilen, nur eine unscheinbare Tatsache. Ich will Ihre Erwartung auch gleich weiter einschränken, indem ich Ihnen sage, daß der Traum im Grunde wenig mit der Telepathie zu tun hat. Weder wirft die Telepathie ein neues Licht auf das Wesen des Traums, noch legt der Traum ein direktes Zeugnis für die Realität der Telepathie ab. Das telepathische Phänomen ist auch gar nicht an den Traum gebunden, es kann sich auch während des Wachzustands ereignen. Der einzige Grund, die Beziehung zwischen Traum und Telepathie zu erörtern, liegt darin, daß der Schlafzustand zur Aufnahme der telepathischen Botschaft besonders geeignet erscheint. Man erhält dann einen sogenannt telepathischen Traum und überzeugt sich bei dessen Analyse, daß die telepathische Nachricht dieselbe Rolle gespielt hat wie ein anderer Tagesrest und wie ein solcher von der Traumarbeit verändert und ihrer Tendenz dienstbar gemacht worden ist.</w:t>
      </w:r>
    </w:p>
    <w:p w:rsidR="00E22C23" w:rsidRPr="00AF5815" w:rsidRDefault="00E22C23" w:rsidP="00E22C23">
      <w:pPr>
        <w:rPr>
          <w:rFonts w:ascii="Garamond" w:hAnsi="Garamond"/>
          <w:lang w:val="en-GB"/>
        </w:rPr>
      </w:pPr>
      <w:r w:rsidRPr="00AF5815">
        <w:rPr>
          <w:rFonts w:ascii="Garamond" w:hAnsi="Garamond"/>
          <w:lang w:val="en-GB"/>
        </w:rPr>
        <w:t xml:space="preserve">In der Analyse eines solchen telepathischen Traums ereignet sich nun das, was mir interessant genug schien, um es trotz seiner Geringfügigkeit zum Ausgangspunkt für diese Vorlesung zu wählen. Als ich im Jahre 1922 die erste Mitteilung über diesen Gegenstand machte, stand mir erst nur eine Beobachtung zur Verfügung. Seither habe ich manche ähnliche gemacht, aber ich bleibe beim ersten Beispiel, weil es sich am leichtesten darstellen läßt, und werde Sie sogleich </w:t>
      </w:r>
      <w:r w:rsidRPr="00AF5815">
        <w:rPr>
          <w:rFonts w:ascii="Garamond" w:hAnsi="Garamond"/>
          <w:i/>
          <w:iCs/>
          <w:lang w:val="en-GB"/>
        </w:rPr>
        <w:t>in medias res</w:t>
      </w:r>
      <w:r w:rsidRPr="00AF5815">
        <w:rPr>
          <w:rFonts w:ascii="Garamond" w:hAnsi="Garamond"/>
          <w:lang w:val="en-GB"/>
        </w:rPr>
        <w:t xml:space="preserve"> einführen.</w:t>
      </w:r>
    </w:p>
    <w:p w:rsidR="00E22C23" w:rsidRPr="00AF5815" w:rsidRDefault="00E22C23" w:rsidP="00E22C23">
      <w:pPr>
        <w:rPr>
          <w:rFonts w:ascii="Garamond" w:hAnsi="Garamond"/>
          <w:lang w:val="en-GB"/>
        </w:rPr>
      </w:pPr>
      <w:r w:rsidRPr="00AF5815">
        <w:rPr>
          <w:rFonts w:ascii="Garamond" w:hAnsi="Garamond"/>
          <w:lang w:val="en-GB"/>
        </w:rPr>
        <w:t xml:space="preserve">Ein offenbar intelligenter, nach seiner Behauptung keineswegs »okkultistisch angehauchter« Mann, schreibt mir über einen Traum, der ihm merkwürdig erscheint. Er schickt voraus, seine verheiratete, entfernt von ihm lebende Tochter erwarte Mitte Dezember ihre erste Niederkunft. Diese Tochter steht ihm sehr nahe, er weiß auch, daß sie sehr innig an ihm hängt. Nun träumt er in der Nacht vom 16. auf den 17. November, daß seine Frau Zwillinge geboren hat. Es folgen mancherlei Einzelheiten, die ich hier übergehen kann, die auch nicht alle Aufklärung gefunden haben. Die Frau, die im Traum Mutter der Zwillinge geworden ist, ist seine zweite Frau, die Stiefmutter der Tochter. Er wünscht sich keine Kinder von dieser Frau, der er die Eignung zur verständigen Kindererziehung abspricht, hatte auch zur Zeit des Traums den Geschlechtsverkehr mit ihr lange ausgesetzt. Was ihn veranlaßt, mir zu schreiben, ist nicht ein Zweifel an der Traumlehre, zu dem ihn der manifeste Trauminhalt berechtigt hätte, denn warum läßt der Traum im vollen Gegensatz zu seinen Wünschen diese Frau Kinder gebären? Auch zu einer Befürchtung, daß dies unerwünschte Ereignis eintreffen könnte, lag nach seiner Auskunft kein Anlaß vor. Was ihn bewog, mir von diesem Traum zu berichten, war der Umstand, daß er am 18. November früh die telegraphische Nachricht erhielt, die Tochter sei mit Zwillingen niedergekommen. Das Telegramm war tags vorher aufgegeben worden, die Geburt in der Nacht vom 16. auf den 17. erfolgt, ungefähr zur gleichen Stunde, als er von der Zwillingsgeburt seiner Frau träumte. Der Träumer fragt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ob ich das Zusammentreffen von Traum und Ereignis für zufällig halte. Er getraut sich nicht, den Traum einen telepathischen zu nennen, denn der Unterschied zwischen Trauminhalt und Ereignis betrifft gerade das, was ihm das Wesentliche scheint, die Person der Gebärenden. Aber aus einer seiner Bemerkungen geht hervor, daß er sich über einen richtigen telepathischen Traum nicht verwundert hätte. Die Tochter, meint er, habe in ihrer schweren Stunde sicher »besonders an ihn gedacht«.</w:t>
      </w:r>
    </w:p>
    <w:p w:rsidR="00E22C23" w:rsidRPr="00AF5815" w:rsidRDefault="00E22C23" w:rsidP="00E22C23">
      <w:pPr>
        <w:rPr>
          <w:rFonts w:ascii="Garamond" w:hAnsi="Garamond"/>
          <w:lang w:val="en-GB"/>
        </w:rPr>
      </w:pPr>
      <w:r w:rsidRPr="00AF5815">
        <w:rPr>
          <w:rFonts w:ascii="Garamond" w:hAnsi="Garamond"/>
          <w:lang w:val="en-GB"/>
        </w:rPr>
        <w:t xml:space="preserve">Meine Damen und Herren! Ich bin sicher, Sie können sich diesen Traum bereits erklären und verstehen auch, warum ich ihn Ihnen erzählt habe. Da ist ein Mann, mit seiner zweiten Frau unzufrieden, er möchte lieber eine Frau haben wie seine Tochter aus erster Ehe. Fürs Unbewußte entfällt natürlich dieses: wie. Nun trifft ihn nächtlicherweile die telepathische Botschaft, die Tochter hat Zwillinge geboren. Die Traumarbeit bemächtigt sich dieser Nachricht, läßt den unbewußten Wunsch auf sie einwirken, der die </w:t>
      </w:r>
      <w:r w:rsidRPr="00AF5815">
        <w:rPr>
          <w:rFonts w:ascii="Garamond" w:hAnsi="Garamond"/>
          <w:lang w:val="en-GB"/>
        </w:rPr>
        <w:lastRenderedPageBreak/>
        <w:t>Tochter an die Stelle der zweiten Frau setzen möchte, und so entsteht der befremdende manifeste Traum, der den Wunsch verhüllt und die Botschaft entstellt. Wir müssen sagen, erst die Traumdeutung hat uns gezeigt, daß es ein telepathischer Traum ist, die Psychoanalyse hat einen telepathischen Tatbestand aufgedeckt, den wir sonst nicht erkannt hätten.</w:t>
      </w:r>
    </w:p>
    <w:p w:rsidR="00E22C23" w:rsidRPr="00AF5815" w:rsidRDefault="00E22C23" w:rsidP="00E22C23">
      <w:pPr>
        <w:rPr>
          <w:rFonts w:ascii="Garamond" w:hAnsi="Garamond"/>
          <w:lang w:val="en-GB"/>
        </w:rPr>
      </w:pPr>
      <w:r w:rsidRPr="00AF5815">
        <w:rPr>
          <w:rFonts w:ascii="Garamond" w:hAnsi="Garamond"/>
          <w:lang w:val="en-GB"/>
        </w:rPr>
        <w:t>Aber lassen Sie sich ja nicht irreführen! Trotzdem hat die Traumdeutung nichts über die objektive Wahrheit des telepathischen Tatbestands ausgesagt. Es kann auch ein Anschein sein, der sich auf andere Weise aufklären läßt. Es ist möglich, daß die latenten Traumgedanken des Mannes gelautet haben: Heute ist ja der Tag, an dem die Entbindung erfolgen müßte, wenn die Tochter, wie ich eigentlich glaube, sich um einen Monat verrechnet hat. Und ihr Aussehen war schon damals, als ich sie zuletzt sah, so, als ob sie Zwillinge haben würde. Und meine verstorbene Frau war so kinderlieb, wie würde die sich über Zwillinge gefreut haben! (Letzteres Moment setze ich nach noch nicht erwähnten Assoziationen des Träumers ein.) In diesem Fall wären gut begründete Vermutungen des Träumers, nicht eine telepathische Botschaft der Anreiz zum Traum gewesen, der Erfolg bliebe der nämliche. Sie sehen, auch diese Traumdeutung hat nichts über die Frage ausgesagt, ob man der Telepathie objektive Realität zugestehen darf. Das ließe sich nur durch eingehende Erkundigung nach allen Verhältnissen des Vorfalles entscheiden, was leider bei diesem Beispiel ebensowenig möglich war wie bei den anderen meiner Erfahrung. Zugegeben, daß die Annahme der Telepathie die bei weitem einfachste Erklärung gibt, aber damit ist nicht viel gewonnen. Die einfachste Erklärung ist nicht immer die richtige, die Wahrheit ist sehr oft nicht einfach, und ehe man sich zu einer so weittragenden Annahme entschließt, will man alle Vorsichten eingehalten haben.</w:t>
      </w:r>
    </w:p>
    <w:p w:rsidR="00E22C23" w:rsidRPr="00AF5815" w:rsidRDefault="00E22C23" w:rsidP="00E22C23">
      <w:pPr>
        <w:rPr>
          <w:rFonts w:ascii="Garamond" w:hAnsi="Garamond"/>
          <w:lang w:val="en-GB"/>
        </w:rPr>
      </w:pPr>
      <w:r w:rsidRPr="00AF5815">
        <w:rPr>
          <w:rFonts w:ascii="Garamond" w:hAnsi="Garamond"/>
          <w:lang w:val="en-GB"/>
        </w:rPr>
        <w:t xml:space="preserve">Das Thema: Traum und Telepathie können wir jetzt verlassen, ich habe Ihnen nichts mehr darüber zu sagen. </w:t>
      </w:r>
      <w:r w:rsidRPr="00AF5815">
        <w:rPr>
          <w:rFonts w:ascii="Garamond" w:hAnsi="Garamond"/>
        </w:rPr>
        <w:t xml:space="preserve">Aber beachten Sie wohl, nicht der Traum schien uns etwas über die Telepathie zu lehren, sondern die Deutung des Traumes, die psychoanalytische Bearbeitung. Somit können wir im folgenden vom Traum ganz absehen und wollen der Erwartung nachgehen, daß die Anwendung der Psychoanalyse einiges Licht auf andere, okkult geheißene Tatbestände werfen kann. Da ist z. B. das Phänomen der Induktion oder Gedankenübertragung, das der Telepathie sehr nahesteht, eigentlich ohne viel Zwang mit ihr vereinigt werden kann. Es besagt, daß seelische Vorgänge in einer Person, Vorstellungen, Erregungszustände, Willensimpulse sich durch den freien Raum auf eine andere Person übertragen können, ohne die bekannten Wege der Mitteilung durch Worte und Zeichen zu gebrauchen. Sie verstehen, wie merkwürdig, vielleicht auch praktisch bedeutsam es wäre, wenn dergleichen wirklich vorkäme. </w:t>
      </w:r>
      <w:r w:rsidRPr="00AF5815">
        <w:rPr>
          <w:rFonts w:ascii="Garamond" w:hAnsi="Garamond"/>
          <w:lang w:val="en-GB"/>
        </w:rPr>
        <w:t>Nebenbei gesagt, es ist verwunderlich, daß gerade von diesem Phänomen in den alten Wunderberichten am wenigsten die Rede ist.</w:t>
      </w:r>
    </w:p>
    <w:p w:rsidR="00E22C23" w:rsidRPr="00AF5815" w:rsidRDefault="00E22C23" w:rsidP="00E22C23">
      <w:pPr>
        <w:rPr>
          <w:rFonts w:ascii="Garamond" w:hAnsi="Garamond"/>
          <w:lang w:val="en-GB"/>
        </w:rPr>
      </w:pPr>
      <w:r w:rsidRPr="00AF5815">
        <w:rPr>
          <w:rFonts w:ascii="Garamond" w:hAnsi="Garamond"/>
          <w:lang w:val="en-GB"/>
        </w:rPr>
        <w:t xml:space="preserve">Während der psychoanalytischen Behandlung von Patienten habe ich den Eindruck bekommen, daß das Treiben der berufsmäßigen Wahrsager eine günstige Gelegenheit verbirgt, um besonders einwandfreie Beobachtungen über Gedankenübertragung anzustellen. Das sind unbedeutende oder selbst minderwertige Personen, die sich irgendeiner Hantierung hingeben, Karten aufschlagen, Schriften und Handlinien studieren, astrologische Berechnungen anstellen und dabei ihren Besuchern die Zukunft vorhersagen, nachdem sie sich mit Stücken von deren vergangenen oder gegenwärtigen Schicksalen vertraut gezeigt haben. Ihre Klienten zeigen sich meistens recht befriedigt durch diese Leistungen und sind ihnen auch nicht gram, wenn die Prophezeiungen späterhin nicht eintreffen. Ich bin mehrerer solcher Fälle habhaft geworden, konnte sie analytisch studieren und werde Ihnen gleich das merkwürdigste dieser Beispiele erzählen. Leider wird die Beweiskraft dieser Mitteilungen durch die zahlreichen Verschweigungen beeinträchtigt, zu denen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die Pflicht der ärztlichen Diskretion nötigt. Entstellungen habe ich aber mit strengem Vorsatz vermieden. Hören Sie also die Geschichte einer meiner Patientinnen, die ein solches Erlebnis mit einem Wahrsager gehabt hat.</w:t>
      </w:r>
    </w:p>
    <w:p w:rsidR="00E22C23" w:rsidRPr="00AF5815" w:rsidRDefault="00E22C23" w:rsidP="00E22C23">
      <w:pPr>
        <w:rPr>
          <w:rFonts w:ascii="Garamond" w:hAnsi="Garamond"/>
          <w:lang w:val="en-GB"/>
        </w:rPr>
      </w:pPr>
      <w:r w:rsidRPr="00AF5815">
        <w:rPr>
          <w:rFonts w:ascii="Garamond" w:hAnsi="Garamond"/>
          <w:lang w:val="en-GB"/>
        </w:rPr>
        <w:t xml:space="preserve">Sie war die älteste einer Reihe von Geschwistern gewesen, in einer außerordentlich starken Vaterbindung aufgewachsen, hatte jung geheiratet, in der Ehe volle Befriedigung gefunden. Zu ihrem Glück fehlte nur </w:t>
      </w:r>
      <w:r w:rsidRPr="00AF5815">
        <w:rPr>
          <w:rFonts w:ascii="Garamond" w:hAnsi="Garamond"/>
          <w:lang w:val="en-GB"/>
        </w:rPr>
        <w:lastRenderedPageBreak/>
        <w:t xml:space="preserve">eines, daß sie kinderlos geblieben war, ihren geliebten Mann also nicht völlig an die Stelle des Vaters rücken konnte. Als sie nach langen Jahren der Enttäuschung sich zu einer gynäkologischen Operation entschließen wollte, machte ihr der Mann die Eröffnung, daß die Schuld an ihm liege, er sei durch eine Erkrankung vor der Ehe unfähig zur Kinderzeugung geworden. Diese Enttäuschung vertrug sie schlecht, wurde neurotisch, litt offenbar an Versuchungsängsten. </w:t>
      </w:r>
      <w:r w:rsidRPr="00AF5815">
        <w:rPr>
          <w:rFonts w:ascii="Garamond" w:hAnsi="Garamond"/>
        </w:rPr>
        <w:t xml:space="preserve">Um sie aufzuheitern, nahm sie der Mann auf eine Geschäftsreise nach Paris mit. Dort saßen sie eines Tages in der Halle des Hotels, als ihr eine gewisse Geschäftigkeit unter den Angestellten auffiel. Sie fragte, was es gäbe, und erfuhr, </w:t>
      </w:r>
      <w:r w:rsidRPr="00AF5815">
        <w:rPr>
          <w:rFonts w:ascii="Garamond" w:hAnsi="Garamond"/>
          <w:i/>
          <w:iCs/>
        </w:rPr>
        <w:t>Monsieur le professeur</w:t>
      </w:r>
      <w:r w:rsidRPr="00AF5815">
        <w:rPr>
          <w:rFonts w:ascii="Garamond" w:hAnsi="Garamond"/>
        </w:rPr>
        <w:t xml:space="preserve"> sei gekommen und erteile Konsultationen in jenem Kabinett. Sie äußerte ihren Wunsch, auch einen Versuch zu machen. </w:t>
      </w:r>
      <w:r w:rsidRPr="00AF5815">
        <w:rPr>
          <w:rFonts w:ascii="Garamond" w:hAnsi="Garamond"/>
          <w:lang w:val="en-GB"/>
        </w:rPr>
        <w:t xml:space="preserve">Der Mann schlug es ab, aber in einem unbewachten Moment war sie in den Konsultationsraum geschlüpft und stand vor dem Wahrsager. Sie war 27 Jahre alt, sah viel jünger aus, hatte den Ehering abgelegt. </w:t>
      </w:r>
      <w:r w:rsidRPr="00AF5815">
        <w:rPr>
          <w:rFonts w:ascii="Garamond" w:hAnsi="Garamond"/>
          <w:i/>
          <w:iCs/>
          <w:lang w:val="en-GB"/>
        </w:rPr>
        <w:t>Monsieur le professeur</w:t>
      </w:r>
      <w:r w:rsidRPr="00AF5815">
        <w:rPr>
          <w:rFonts w:ascii="Garamond" w:hAnsi="Garamond"/>
          <w:lang w:val="en-GB"/>
        </w:rPr>
        <w:t xml:space="preserve"> ließ sie die Hand auf eine Tasse legen, die mit Asche gefüllt war, studierte sorgfältig den Abdruck, erzählte ihr dann allerlei von schweren Kämpfen, die ihr bevorstünden, und schloß mit der tröstlichen Versicherung, sie werde doch noch heiraten und mit 32 Jahren zwei Kinder haben. Als sie mir diese Geschichte erzählte, war sie 43 Jahre alt, schwer krank und ohne jede Aussicht, jemals ein Kind zu bekommen. Die Prophezeiung war also nicht eingetroffen, doch sprach sie von ihr keineswegs mit Bitterkeit, sondern mit dem unverkennbaren Ausdruck der Befriedigung, als ob sie ein erfreuliches Erlebnis erinnern würde. Es war leicht festzustellen, daß sie nicht die leiseste Ahnung hatte, was die beiden Zahlen der Prophezeiung bedeuten könnten und ob sie überhaupt etwas bedeuteten.</w:t>
      </w:r>
    </w:p>
    <w:p w:rsidR="00E22C23" w:rsidRPr="00AF5815" w:rsidRDefault="00E22C23" w:rsidP="00E22C23">
      <w:pPr>
        <w:rPr>
          <w:rFonts w:ascii="Garamond" w:hAnsi="Garamond"/>
          <w:lang w:val="en-GB"/>
        </w:rPr>
      </w:pPr>
      <w:r w:rsidRPr="00AF5815">
        <w:rPr>
          <w:rFonts w:ascii="Garamond" w:hAnsi="Garamond"/>
          <w:lang w:val="en-GB"/>
        </w:rPr>
        <w:t xml:space="preserve">Sie werden sagen, das ist eine dumme und unverständliche Geschichte, und fragen, wozu ich sie Ihnen erzählt habe. Nun, ich wäre ganz Ihrer Meinung, wenn nicht – und das ist jetzt der springende Punkt – die Analyse uns eine Deutung jener Prophezeiung ermöglichte, die gerade durch die Aufklärung der Details zwingend wirkt. Die beiden Zahlen finden nämlich ihren Platz im Leben der Mutter meiner Patientin. Diese hatte spät geheiratet, nach dreißig, und man hatte in der Familie oft dabei verweilt, daß sie sich so erfolgreich beeilt hatte, das Versäumte nachzuholen. Die beiden ersten Kinder, unsere Patientin voran, wurden mit dem kleinsten möglichen Intervall in dem gleichen Kalenderjahr geboren, und mit 32 Jahren hatte sie wirklich schon zwei Kinder. Was </w:t>
      </w:r>
      <w:r w:rsidRPr="00AF5815">
        <w:rPr>
          <w:rFonts w:ascii="Garamond" w:hAnsi="Garamond"/>
          <w:i/>
          <w:iCs/>
          <w:lang w:val="en-GB"/>
        </w:rPr>
        <w:t>Monsieur le professeur</w:t>
      </w:r>
      <w:r w:rsidRPr="00AF5815">
        <w:rPr>
          <w:rFonts w:ascii="Garamond" w:hAnsi="Garamond"/>
          <w:lang w:val="en-GB"/>
        </w:rPr>
        <w:t xml:space="preserve"> meiner Patientin gesagt hatte, hieß also: Trösten Sie sich, Sie sind noch so jung. Sie werden noch dasselbe Schicksal haben wie Ihre Mutter, die auch lange auf Kinder warten mußte, werden zwei Kinder haben mit 32 Jahren. Aber, dasselbe Schicksal zu haben wie die Mutter, sich an ihre Stelle zu setzen, ihren Platz beim Vater einzunehmen, das war ja der stärkste Wunsch ihrer Jugend gewesen, der Wunsch, an dessen Nichterfüllung sie jetzt zu erkranken begann. Die Prophezeiung versprach ihr, daß er doch noch zur Erfüllung kommen werde; wie sollte sie gegen den Propheten anders als freundlich fühlen können? </w:t>
      </w:r>
      <w:r w:rsidRPr="00AF5815">
        <w:rPr>
          <w:rFonts w:ascii="Garamond" w:hAnsi="Garamond"/>
        </w:rPr>
        <w:t xml:space="preserve">Aber halten Sie es für möglich, daß </w:t>
      </w:r>
      <w:r w:rsidRPr="00AF5815">
        <w:rPr>
          <w:rFonts w:ascii="Garamond" w:hAnsi="Garamond"/>
          <w:i/>
          <w:iCs/>
        </w:rPr>
        <w:t>Monsieur le professeur</w:t>
      </w:r>
      <w:r w:rsidRPr="00AF5815">
        <w:rPr>
          <w:rFonts w:ascii="Garamond" w:hAnsi="Garamond"/>
        </w:rPr>
        <w:t xml:space="preserve"> mit den Daten der intimen Familiengeschichte seiner zufälligen Klientin vertraut war? Unmöglich; woher kam ihm also die Kenntnis, die ihn befähigte, den stärksten und geheimsten Wunsch der Patientin durch die Aufnahme der beiden Zahlen in seine Prophezeiung auszudrücken? Ich sehe nur zwei Möglichkeiten der Erklärung. Entweder ist die Geschichte, so wie sie mir erzählt wurde, nicht wahr, hat sich anders zugetragen, oder es ist anzuerkennen, daß eine Gedankenübertragung als reales Phänomen besteht. </w:t>
      </w:r>
      <w:r w:rsidRPr="00AF5815">
        <w:rPr>
          <w:rFonts w:ascii="Garamond" w:hAnsi="Garamond"/>
          <w:lang w:val="en-GB"/>
        </w:rPr>
        <w:t>Man kann freilich die Annahme machen, daß die Patientin nach einem Intervall von 16 Jahren die beiden Zahlen, auf die es ankommt, aus ihrem Unbewußten in jene Erinnerung eingesetzt hat. Ich habe keinen Anhaltspunkt für diese Vermutung, aber ich kann sie nicht ausschließen, und ich stelle mir vor, daß Sie eher bereit sein werden, an eine solche Auskunft zu glauben als an die Realität der Gedankenübertragung. Wenn Sie sich zu letzterem entschließen, vergessen Sie nicht daran, daß erst die Analyse den okkulten Tatbestand geschaffen, ihn aufgedeckt hat, wo er bis zur Unkenntlichkeit entstellt war.</w:t>
      </w:r>
    </w:p>
    <w:p w:rsidR="00E22C23" w:rsidRPr="00AF5815" w:rsidRDefault="00E22C23" w:rsidP="00E22C23">
      <w:pPr>
        <w:rPr>
          <w:rFonts w:ascii="Garamond" w:hAnsi="Garamond"/>
          <w:lang w:val="en-GB"/>
        </w:rPr>
      </w:pPr>
      <w:r w:rsidRPr="00AF5815">
        <w:rPr>
          <w:rFonts w:ascii="Garamond" w:hAnsi="Garamond"/>
          <w:lang w:val="en-GB"/>
        </w:rPr>
        <w:t xml:space="preserve">Handelte es sich nur um </w:t>
      </w:r>
      <w:r w:rsidRPr="00AF5815">
        <w:rPr>
          <w:rFonts w:ascii="Garamond" w:hAnsi="Garamond"/>
          <w:i/>
          <w:iCs/>
          <w:lang w:val="en-GB"/>
        </w:rPr>
        <w:t>einen</w:t>
      </w:r>
      <w:r w:rsidRPr="00AF5815">
        <w:rPr>
          <w:rFonts w:ascii="Garamond" w:hAnsi="Garamond"/>
          <w:lang w:val="en-GB"/>
        </w:rPr>
        <w:t xml:space="preserve"> solchen Fall wie der meiner Patientin, so würde man achselzuckend über ihn hinweggehen. Niemand fällt es ein, einen Glauben, der eine so entscheidende Wendung bedeutet, auf </w:t>
      </w:r>
      <w:r w:rsidRPr="00AF5815">
        <w:rPr>
          <w:rFonts w:ascii="Garamond" w:hAnsi="Garamond"/>
          <w:lang w:val="en-GB"/>
        </w:rPr>
        <w:lastRenderedPageBreak/>
        <w:t>einer vereinzelten Beobachtung aufzubauen. Aber glauben Sie meiner Versicherung, es ist nicht der einzige Fall in meiner Erfahrung. Ich habe eine ganze Reihe von solchen Prophezeiungen gesammelt und von allen den Eindruck gewonnen, daß der Wahrsager nur die Gedanken der ihn befragenden Personen und ganz besonders ihre geheimen Wünsche zum Ausdruck gebracht hatte, daß man also berechtigt war, solche Prophezeiungen zu analysieren, als wären es subjektive Produktionen, Phantasien oder Träume der Betreffenden. Natürlich sind nicht alle Fälle gleich beweiskräftig und nicht in allen ist es gleich möglich, rationellere Erklärungen auszuschließen, aber es bleibt doch vom Ganzen ein starker Überschuß von Wahrscheinlichkeit zu Gunsten einer tatsächlichen Gedankenübertragung übrig. Die Wichtigkeit des Gegenstandes würde es rechtfertigen, daß ich Ihnen alle meine Fälle vorführe, aber das kann ich nicht, wegen der Weitläufigkeit der dazu nötigen Darstellung und der dabei unvermeidlichen Verletzung der schuldigen Diskretion. Ich versuche es, mein Gewissen möglichst zu beschwichtigen, wenn ich Ihnen noch einige Beispiele gebe.</w:t>
      </w:r>
    </w:p>
    <w:p w:rsidR="00E22C23" w:rsidRPr="00AF5815" w:rsidRDefault="00E22C23" w:rsidP="00E22C23">
      <w:pPr>
        <w:rPr>
          <w:rFonts w:ascii="Garamond" w:hAnsi="Garamond"/>
          <w:lang w:val="en-GB"/>
        </w:rPr>
      </w:pPr>
      <w:r w:rsidRPr="00AF5815">
        <w:rPr>
          <w:rFonts w:ascii="Garamond" w:hAnsi="Garamond"/>
          <w:lang w:val="en-GB"/>
        </w:rPr>
        <w:t xml:space="preserve">Eines Tages sucht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ein hochintelligenter junger Mann auf, ein Student vor seinen letzten Doktorprüfungen, aber nicht imstande, sie abzulegen, denn, wie er klagt, hat er alle Interessen, Konzentrationsfähigkeit, selbst die Möglichkeit geordneter Erinnerung verloren. Die Vorgeschichte dieses lähmungsartigen Zustandes ist bald aufgedeckt, er ist nach einer Leistung großer Selbstüberwindung erkrankt. Er hat eine Schwester, an der er mit intensiver, aber stets verhaltener Liebe hing, wie sie an ihm. Wie schade, daß wir beide uns nicht heiraten können, hieß es oft genug unter ihnen. Ein würdiger Mann verliebte sich in diese Schwester, sie erwiderte die Neigung, aber die Eltern gaben die Verbindung nicht zu. In dieser Notlage wandte sich das Paar an den Bruder, der ihnen auch seine Hilfe nicht versagte. Er vermittelte die Korrespondenz zwischen ihnen, seinem Einfluß gelang es auch, die Eltern endlich zur Zustimmung zu bewegen. In der Verlobungszeit ereignete sich allerdings ein Zufall, dessen Bedeutung leicht zu erraten ist. Er unternahm eine schwierige Bergpartie mit dem zukünftigen Schwager führerlos, die beiden verloren den Weg und gerieten in die Gefahr, nicht mehr heil zurückzukommen. Kurz nach der Heirat der Schwester geriet er in jenen Zustand seelischer Erschöpfung.</w:t>
      </w:r>
    </w:p>
    <w:p w:rsidR="00E22C23" w:rsidRPr="00AF5815" w:rsidRDefault="00E22C23" w:rsidP="00E22C23">
      <w:pPr>
        <w:rPr>
          <w:rFonts w:ascii="Garamond" w:hAnsi="Garamond"/>
          <w:lang w:val="en-GB"/>
        </w:rPr>
      </w:pPr>
      <w:r w:rsidRPr="00AF5815">
        <w:rPr>
          <w:rFonts w:ascii="Garamond" w:hAnsi="Garamond"/>
          <w:lang w:val="en-GB"/>
        </w:rPr>
        <w:t xml:space="preserve">Durch den Einfluß der Psychoanalyse arbeitsfähig geworden, verließ er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um seine Prüfungen zu machen, kam aber nach deren glücklicher Erledigung im Herbst desselben Jahres für kurze Zeit zu mir zurück. Er berichtete mir dann über ein merkwürdiges Erlebnis, das er vor dem Sommer gehabt hatte. In seiner Universitätsstadt gab es eine Wahrsagerin, die sich eines großen Zulaufs erfreute. Auch die Prinzen des Herrscherhauses pflegten sie vor wichtigen Unternehmungen regelmäßig zu konsultieren. Die Art, wie sie arbeitete, war sehr einfach. Sie ließ sich die Geburtsdaten einer bestimmten Person geben, verlangte nichts anderes von ihr zu wissen, auch nicht den Namen, dann schlug sie in astrologischen Büchern nach, machte lange Berechnungen und am Ende gab sie eine Prophezeiung über die betreffende Person von sich. Mein Patient beschloß, ihre Geheimkunst für seinen Schwager in Anspruch zu nehmen. Er besuchte sie und nannte ihr die verlangten Daten von seinem Schwager. Nachdem sie ihre Rechnungen angestellt hatte, tat sie die Prophezeiung: Diese Person wird im Juli oder August dieses Jahres an einer Krebs- oder Austernvergiftung sterben. Mein Patient schloß dann seine Erzählung mit den Worten: »Und das war ganz großartig!«</w:t>
      </w:r>
    </w:p>
    <w:p w:rsidR="00E22C23" w:rsidRPr="00AF5815" w:rsidRDefault="00E22C23" w:rsidP="00E22C23">
      <w:pPr>
        <w:rPr>
          <w:rFonts w:ascii="Garamond" w:hAnsi="Garamond"/>
          <w:lang w:val="en-GB"/>
        </w:rPr>
      </w:pPr>
      <w:r w:rsidRPr="00AF5815">
        <w:rPr>
          <w:rFonts w:ascii="Garamond" w:hAnsi="Garamond"/>
          <w:lang w:val="en-GB"/>
        </w:rPr>
        <w:t xml:space="preserve">Ich hatte von Anfang an unwillig zugehört. Nach diesem Ausruf gestattete ich mir die Frage. Was finden Sie an dieser Prophezeiung so großartig? Wir sind jetzt im Spätherbst, Ihr Schwager ist nicht gestorben, das hätten Sie mir längst erzählt. Also ist die Prophezeiung nicht eingetroffen. Das allerdings nicht, meinte er, aber das Merkwürdige ist folgendes. Mein Schwager ist ein leidenschaftlicher Liebhaber von Krebsen und Austern und hat sich im vorigen Sommer – also </w:t>
      </w:r>
      <w:r w:rsidRPr="00AF5815">
        <w:rPr>
          <w:rFonts w:ascii="Garamond" w:hAnsi="Garamond"/>
          <w:i/>
          <w:iCs/>
          <w:lang w:val="en-GB"/>
        </w:rPr>
        <w:t>vor</w:t>
      </w:r>
      <w:r w:rsidRPr="00AF5815">
        <w:rPr>
          <w:rFonts w:ascii="Garamond" w:hAnsi="Garamond"/>
          <w:lang w:val="en-GB"/>
        </w:rPr>
        <w:t xml:space="preserve"> dem Besuch bei der Wahrsagerin – eine Austernvergiftung zugezogen, an der er fast gestorben wäre. Was sollte ich darauf sagen? Ich konnte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nur ärgern, daß der hochgebildete Mann, der überdies eine erfolgreiche Analyse hinter sich hatte, den Zusammenhang nicht besser durchschaute. Ich für meinen Teil, ehe ich daran glaube, daß man aus astrologischen Tafeln den Eintritt einer Krebs- oder Austernvergiftung berechnen kann, will lieber </w:t>
      </w:r>
      <w:r w:rsidRPr="00AF5815">
        <w:rPr>
          <w:rFonts w:ascii="Garamond" w:hAnsi="Garamond"/>
          <w:lang w:val="en-GB"/>
        </w:rPr>
        <w:lastRenderedPageBreak/>
        <w:t>annehmen, daß mein Patient den Haß gegen den Rivalen noch immer nicht überwunden hatte, an dessen Verdrängung er seinerzeit erkrankt war, und daß die Astrologin einfach seine eigene Erwartung aussprach: solche Liebhabereien gibt man nicht auf und eines Tages wird er doch daran zugrunde gehen. Ich gestehe, daß ich für diesen Fall keine andere Erklärung weiß außer vielleicht, daß mein Patient sich einen Scherz mit mir erlaubt hat. Aber er gab mir weder damals noch später Grund zu diesem Verdacht und schien, was er sagte, ernsthaft zu meinen.</w:t>
      </w:r>
    </w:p>
    <w:p w:rsidR="00E22C23" w:rsidRPr="00AF5815" w:rsidRDefault="00E22C23" w:rsidP="00E22C23">
      <w:pPr>
        <w:rPr>
          <w:rFonts w:ascii="Garamond" w:hAnsi="Garamond"/>
          <w:lang w:val="en-GB"/>
        </w:rPr>
      </w:pPr>
      <w:r w:rsidRPr="00AF5815">
        <w:rPr>
          <w:rFonts w:ascii="Garamond" w:hAnsi="Garamond"/>
          <w:lang w:val="en-GB"/>
        </w:rPr>
        <w:t>Ein anderer Fall. Ein junger Mann in angesehener Stellung unterhält ein Verhältnis mit einer Lebedame, in dem sich ein merkwürdiger Zwang durchsetzt. Von Zeit zu Zeit muß er die Geliebte durch spottende und höhnende Reden kränken, bis sie in helle Verzweiflung gerät. Hat er sie so weit gebracht, so ist er erleichtert, er versöhnt sich mit ihr und beschenkt sie. Aber er möchte jetzt frei von ihr werden, der Zwang ist ihm unheimlich, er merkt, daß sein eigener Ruf unter diesem Verhältnis leidet, er will eine eigene Frau haben, eine Familie gründen. Nur daß er mit eigener Kraft nicht von der Lebedame loskommt, er nimmt dazu die Hilfe der Analyse in Anspruch. Nach einer solchen Beschimpfungsszene, schon während der Analyse, läßt er sich von ihr ein Kärtchen schreiben, das er einem Schriftkundigen vorlegt. Die Auskunft, die er von ihm erhält, lautet: Das ist die Schrift eines Menschen in äußerster Verzweiflung, die Person wird sich gewiß in den allernächsten Tagen umbringen. Das geschieht zwar nicht, die Dame bleibt am Leben, aber der Analyse gelingt es, seine Fesseln zu lockern; er verläßt die Dame und wendet sich einem jungen Mädchen zu, von dem er erwartet, daß es eine brave Frau für ihn werden kann. Bald nachher erscheint ein Traum, der nur auf einen beginnenden Zweifel an dem Wert dieses Mädchens gedeutet werden kann. Er nimmt auch von ihr eine Schriftprobe, die er derselben Autorität vorlegt, und hört ein Urteil über ihre Schrift, das seine Besorgnisse bestätigt. Er gibt also die Absicht, sie zu seiner Frau zu machen, auf.</w:t>
      </w:r>
    </w:p>
    <w:p w:rsidR="00E22C23" w:rsidRPr="00AF5815" w:rsidRDefault="00E22C23" w:rsidP="00E22C23">
      <w:pPr>
        <w:rPr>
          <w:rFonts w:ascii="Garamond" w:hAnsi="Garamond"/>
          <w:lang w:val="en-GB"/>
        </w:rPr>
      </w:pPr>
      <w:r w:rsidRPr="00AF5815">
        <w:rPr>
          <w:rFonts w:ascii="Garamond" w:hAnsi="Garamond"/>
          <w:lang w:val="en-GB"/>
        </w:rPr>
        <w:t xml:space="preserve">Um die Gutachten des Schriftkundigen, zumal das erste, zu würdigen, muß man etwas von der Geheimgeschichte unseres Mannes wissen. Im frühen Jünglingsalter hatte er sich, seiner leidenschaftlichen Natur entsprechend, bis zur Raserei in eine junge Frau verliebt, die immerhin älter war als er. Von ihr abgewiesen, machte er einen Selbstmordversuch, an dessen ernster Absicht man nicht zweifeln kann. Nur durch ein Ungefähr entging er dem Tode und erst nach langer Pflege war er hergestellt. Aber diese wilde Tat machte auf die geliebte Frau einen tiefen Eindruck, sie schenkte ihm ihre Gunst, er wurde ihr Liebhaber, blieb ihr von da an heimlich verbunden und diente ihr in echt ritterlicher Weise. Nach mehr als zwei Dezennien, als sie beide gealtert waren, die Frau natürlich mehr als er, erwachte in ihm das Bedürfnis, sich von ihr abzulösen, frei zu werden, ein eigenes Leben zu führen, selbst ein Haus und eine Familie zu gründen. Und gleichzeitig mit diesem Überdruß stellte sich bei ihm das lange unterdrückte Bedürfnis nach Rache an der Geliebten ein. Hatte er sich einst umbringen wollen, weil sie ihn verschmäht hatte, so wollte er jetzt die Genugtuung haben, daß sie den Tod suchte, weil er sie verließ. Aber seine Liebe war noch immer zu stark, als daß dieser Wunsch ihm bewußt werden konnte; auch war er nicht imstande, ihr genug Böses anzutun, um sie in den Tod zu treiben. In dieser Gemütslage nahm er die Lebedame gewissermaßen als Prügelknaben auf, um </w:t>
      </w:r>
      <w:r w:rsidRPr="00AF5815">
        <w:rPr>
          <w:rFonts w:ascii="Garamond" w:hAnsi="Garamond"/>
          <w:i/>
          <w:iCs/>
          <w:lang w:val="en-GB"/>
        </w:rPr>
        <w:t>in corpore vili</w:t>
      </w:r>
      <w:hyperlink r:id="rId1469" w:anchor="#" w:history="1">
        <w:r w:rsidRPr="00AF5815">
          <w:rPr>
            <w:rStyle w:val="fusslink"/>
            <w:rFonts w:ascii="Garamond" w:hAnsi="Garamond" w:cs="Arial"/>
            <w:b/>
            <w:bCs/>
            <w:color w:val="003399"/>
            <w:lang w:val="en-GB"/>
          </w:rPr>
          <w:t>[Fußnote]</w:t>
        </w:r>
        <w:r w:rsidRPr="00AF5815">
          <w:rPr>
            <w:rStyle w:val="innerfusslink3"/>
            <w:rFonts w:ascii="Garamond" w:hAnsi="Garamond" w:cs="Arial"/>
            <w:b/>
            <w:bCs/>
            <w:lang w:val="en-GB"/>
          </w:rPr>
          <w:t>an einem wertlosen Leibe</w:t>
        </w:r>
      </w:hyperlink>
      <w:r w:rsidRPr="00AF5815">
        <w:rPr>
          <w:rFonts w:ascii="Garamond" w:hAnsi="Garamond"/>
          <w:lang w:val="en-GB"/>
        </w:rPr>
        <w:t xml:space="preserve"> seinen Rachedurst zu befriedigen, und gestattete sich an ihr alle Quälereien, von denen er erwarten konnte, sie würden bei ihr den Erfolg haben, den er bei der geliebten Frau erwünschte. Daß die Rache eigentlich dieser letzteren galt, verriet sich nur durch den Umstand, daß er die Frau zur Mitwisserin und Ratgeberin in seinem Liebesverhältnis machte, anstatt ihr seinen Abfall zu verbergen. Die Arme, die längst von der Geberin zur Empfängerin herabgesunken war, litt unter seiner Vertraulichkeit wahrscheinlich mehr als die Lebedame unter seiner Brutalität. Der Zwang, über den er sich bei der Ersatzperson beklagte und der ihn in die Analyse trieb, war natürlich von der alten Geliebten her auf sie übertragen; diese letztere war es, von der er sich frei machen wollte und nicht konnte. Ich bin kein Schriftenkenner und halte nicht viel von der Kunst, aus der Schrift den Charakter zu erraten, noch weniger glaube ich an die Möglichkeit, auf diesem Wege die Zukunft des Schreibers vorherzusagen. Sie sehen aber, wie immer man über den Wert der Graphologie </w:t>
      </w:r>
      <w:r w:rsidRPr="00AF5815">
        <w:rPr>
          <w:rFonts w:ascii="Garamond" w:hAnsi="Garamond"/>
          <w:lang w:val="en-GB"/>
        </w:rPr>
        <w:lastRenderedPageBreak/>
        <w:t>denken mag, es ist unverkennbar, daß der Sachverständige, wenn er versprach, daß der Schreiber der ihm vorgelegten Probe sich in den nächsten Tagen umbringen werde, wiederum nur einen starken geheimen Wunsch der ihn befragenden Person ans Licht gezogen hatte. Etwas Ähnliches geschah dann auch beim zweiten Gutachten, nur daß hier nicht ein unbewußter Wunsch in Betracht kam, sondern daß die keimenden Zweifel und Besorgnisse des Befragenden durch den Mund des Schriftkundigen einen klaren Ausdruck fanden. Meinem Patienten gelang es übrigens, mit Hilfe der Analyse eine Liebeswahl zu treffen außerhalb des Zauberkreises, in den er gebannt gewesen war.</w:t>
      </w:r>
    </w:p>
    <w:p w:rsidR="00E22C23" w:rsidRPr="00AF5815" w:rsidRDefault="00E22C23" w:rsidP="00E22C23">
      <w:pPr>
        <w:rPr>
          <w:rFonts w:ascii="Garamond" w:hAnsi="Garamond"/>
          <w:lang w:val="en-GB"/>
        </w:rPr>
      </w:pPr>
      <w:r w:rsidRPr="00AF5815">
        <w:rPr>
          <w:rFonts w:ascii="Garamond" w:hAnsi="Garamond"/>
          <w:lang w:val="en-GB"/>
        </w:rPr>
        <w:t>Meine Damen und Herren! Sie haben nun gehört, was die Traumdeutung und die Psychoanalyse überhaupt für den Okkultismus leistet. Sie haben an Beispielen gesehen, daß durch ihre Anwendung okkulte Tatbestände klargemacht werden, die sonst unkenntlich geblieben wären. Die Frage, die Sie gewiß am meisten interessiert, ob man an die objektive Realität dieser Befunde glauben darf, kann die Psychoanalyse nicht direkt beantworten, aber das mit ihrer Hilfe zutage geförderte Material macht wenigstens einen der Bejahung günstigen Eindruck. Dabei wird Ihr Interesse nicht haltmachen. Sie werden wissen wollen, zu welchen Schlüssen jenes ungleich reichere Material berechtigt, an dem die Psychoanalyse keinen Anteil hat. Dahin kann ich Ihnen aber nicht folgen, es ist nicht mehr mein Gebiet. Das einzige, was ich noch tun kann, wäre, daß ich Ihnen von Beobachtungen erzähle, die wenigstens die eine Beziehung zur Analyse haben, daß sie während der analytischen Behandlung gemacht, vielleicht auch durch ihren Einfluß ermöglicht wurden. Ich werde Ihnen ein solches Beispiel mitteilen, dasjenige, welches mir den stärksten Eindruck hinterlassen hat, werde sehr ausführlich sein, Ihre Aufmerksamkeit für eine Menge von Einzelheiten in Anspruch nehmen und dabei doch vieles unterdrücken müssen, was die überzeugende Kraft der Beobachtung sehr gesteigert hätte. Es ist ein Beispiel, in dem der Tatbestand klar zutage tritt und nicht durch die Analyse entwickelt zu werden braucht. Bei seiner Diskussion werden wir die Hilfe der Analyse aber nicht entbehren können. Ich sage es Ihnen aber vorher, auch dieses Beispiel von anscheinender Gedankenübertragung in der analytischen Situation ist nicht gegen alle Bedenken gefeit, gestattet keine unbedingte Parteinahme für die Realität des okkulten Phänomens.</w:t>
      </w:r>
    </w:p>
    <w:p w:rsidR="00E22C23" w:rsidRPr="00AF5815" w:rsidRDefault="00E22C23" w:rsidP="00E22C23">
      <w:pPr>
        <w:rPr>
          <w:rFonts w:ascii="Garamond" w:hAnsi="Garamond"/>
          <w:lang w:val="en-GB"/>
        </w:rPr>
      </w:pPr>
      <w:r w:rsidRPr="00AF5815">
        <w:rPr>
          <w:rFonts w:ascii="Garamond" w:hAnsi="Garamond"/>
          <w:lang w:val="en-GB"/>
        </w:rPr>
        <w:t xml:space="preserve">Also hören Sie: An einem Herbsttag des Jahres 1919, etwa um ¾11 Uhr a. m., gibt der eben aus London eingetroffene Dr. David Forsyth eine Karte für mich ab, während ich mit einem Patienten arbeite. (Mein geehrter Kollege von der London University wird es sicherlich nicht als Indiskretion auffassen, wenn ich so verrate, daß er sich von mir durch einige Monate in die Künste der psychoanalytischen Technik einführen ließ.) Ich habe nur Zeit, ihn zu begrüßen und für später zu bestellen. Dr. Forsyth hat Anspruch auf mein besonderes Interesse; er ist der erste Ausländer, der nach der Absperrung der Kriegsjahre zu mir kommt, der eine bessere Zeit eröffnen soll. Bald nachher, um 11 Uhr, kommt einer meiner Patienten, Herr P., ein geistreicher und liebenswürdiger Mann, im Alter zwischen 40 und 50, der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seinerzeit wegen Schwierigkeiten beim Weibe aufgesucht hatte. Sein Fall versprach keinen therapeutischen Erfolg; ich hatte ihm längst vorgeschlagen, die Behandlung einzustellen, aber er hatte deren Fortsetzung gewünscht, offenbar weil er sich in einer wohltemperierten Vater-Übertragung auf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behaglich fühlte. Geld spielte um diese Zeit keine Rolle, da zu wenig davon vorhanden war; die Stunden, die ich mit ihm verbrachte, waren auch für mich Anregung und Erholung, und so wurde, mit Hinwegsetzung über die strengen Regeln des ärztlichen Betriebs, die analytische Bemühung bis zu einem in Aussicht genommenen Termin weitergeführt.</w:t>
      </w:r>
    </w:p>
    <w:p w:rsidR="00E22C23" w:rsidRPr="00AF5815" w:rsidRDefault="00E22C23" w:rsidP="00E22C23">
      <w:pPr>
        <w:rPr>
          <w:rFonts w:ascii="Garamond" w:hAnsi="Garamond"/>
          <w:lang w:val="en-GB"/>
        </w:rPr>
      </w:pPr>
      <w:r w:rsidRPr="00AF5815">
        <w:rPr>
          <w:rFonts w:ascii="Garamond" w:hAnsi="Garamond"/>
          <w:lang w:val="en-GB"/>
        </w:rPr>
        <w:t xml:space="preserve">An diesem Tag kam P. auf seine Versuche zurück, die Liebesbeziehungen zu Frauen aufzunehmen, und erwähnte wieder einmal das schöne, pikante, arme Mädchen, bei dem er Erfolg haben könnte, wenn nicht schon die Tatsache ihrer Virginität ihn von jedem ernsthaften Unternehmen abschrecken würde. Er hatte schon oft von ihr gesprochen, heute erzählte er zum ersten Mal, daß sie, die natürlich von den wirklichen Gründen seiner Verhinderung keine Ahnung hat, ihn den Herrn von </w:t>
      </w:r>
      <w:r w:rsidRPr="00AF5815">
        <w:rPr>
          <w:rFonts w:ascii="Garamond" w:hAnsi="Garamond"/>
          <w:i/>
          <w:iCs/>
          <w:lang w:val="en-GB"/>
        </w:rPr>
        <w:t>Vorsicht</w:t>
      </w:r>
      <w:r w:rsidRPr="00AF5815">
        <w:rPr>
          <w:rFonts w:ascii="Garamond" w:hAnsi="Garamond"/>
          <w:lang w:val="en-GB"/>
        </w:rPr>
        <w:t xml:space="preserve"> zu nennen pflegt. Diese Mitteilung frappiert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die Karte des Dr. Forsyth ist mir zur Hand, ich zeige sie ihm.</w:t>
      </w:r>
    </w:p>
    <w:p w:rsidR="00E22C23" w:rsidRPr="00AF5815" w:rsidRDefault="00E22C23" w:rsidP="00E22C23">
      <w:pPr>
        <w:rPr>
          <w:rFonts w:ascii="Garamond" w:hAnsi="Garamond"/>
          <w:lang w:val="en-GB"/>
        </w:rPr>
      </w:pPr>
      <w:r w:rsidRPr="00AF5815">
        <w:rPr>
          <w:rFonts w:ascii="Garamond" w:hAnsi="Garamond"/>
          <w:lang w:val="en-GB"/>
        </w:rPr>
        <w:lastRenderedPageBreak/>
        <w:t>Dies der Tatbestand. Ich erwarte, er wird Ihnen armselig erscheinen, aber hören Sie nur weiter zu, es steckt mehr dahinter.</w:t>
      </w:r>
    </w:p>
    <w:p w:rsidR="00E22C23" w:rsidRPr="00AF5815" w:rsidRDefault="00E22C23" w:rsidP="00E22C23">
      <w:pPr>
        <w:rPr>
          <w:rFonts w:ascii="Garamond" w:hAnsi="Garamond"/>
          <w:lang w:val="en-GB"/>
        </w:rPr>
      </w:pPr>
      <w:r w:rsidRPr="00AF5815">
        <w:rPr>
          <w:rFonts w:ascii="Garamond" w:hAnsi="Garamond"/>
          <w:lang w:val="en-GB"/>
        </w:rPr>
        <w:t xml:space="preserve">P. hatte einige seiner jungen Jahre in </w:t>
      </w:r>
      <w:smartTag w:uri="urn:schemas-microsoft-com:office:smarttags" w:element="country-region">
        <w:smartTag w:uri="urn:schemas-microsoft-com:office:smarttags" w:element="place">
          <w:r w:rsidRPr="00AF5815">
            <w:rPr>
              <w:rFonts w:ascii="Garamond" w:hAnsi="Garamond"/>
              <w:lang w:val="en-GB"/>
            </w:rPr>
            <w:t>England</w:t>
          </w:r>
        </w:smartTag>
      </w:smartTag>
      <w:r w:rsidRPr="00AF5815">
        <w:rPr>
          <w:rFonts w:ascii="Garamond" w:hAnsi="Garamond"/>
          <w:lang w:val="en-GB"/>
        </w:rPr>
        <w:t xml:space="preserve"> verlebt und daher ein dauerndes Interesse für englische Literatur bewahrt. Er besitzt eine reiche englische Bibliothek, pflegte mir Bücher aus ihr zu bringen, und ich verdanke ihm die Bekanntschaft mit Autoren wie Bennett und Galsworthy, von denen ich bis dahin wenig gelesen hatte. Eines Tages lieh er mir einen Roman von Galsworthy mit dem Titel </w:t>
      </w:r>
      <w:r w:rsidRPr="00AF5815">
        <w:rPr>
          <w:rFonts w:ascii="Garamond" w:hAnsi="Garamond"/>
          <w:i/>
          <w:iCs/>
          <w:lang w:val="en-GB"/>
        </w:rPr>
        <w:t>The Man of Property</w:t>
      </w:r>
      <w:r w:rsidRPr="00AF5815">
        <w:rPr>
          <w:rFonts w:ascii="Garamond" w:hAnsi="Garamond"/>
          <w:lang w:val="en-GB"/>
        </w:rPr>
        <w:t xml:space="preserve">, der im Schoß einer vom Dichter erfundenen Familie </w:t>
      </w:r>
      <w:r w:rsidRPr="00AF5815">
        <w:rPr>
          <w:rFonts w:ascii="Garamond" w:hAnsi="Garamond"/>
          <w:i/>
          <w:iCs/>
          <w:lang w:val="en-GB"/>
        </w:rPr>
        <w:t>Forsyte</w:t>
      </w:r>
      <w:r w:rsidRPr="00AF5815">
        <w:rPr>
          <w:rFonts w:ascii="Garamond" w:hAnsi="Garamond"/>
          <w:lang w:val="en-GB"/>
        </w:rPr>
        <w:t xml:space="preserve"> spielt. Galsworthy ist offenbar von dieser seiner Schöpfung selbst gefangengenommen worden, denn er hat in späteren Erzählungen wiederholt auf Personen dieser Familie zurückgegriffen und endlich alle auf sie bezüglichen Erdichtungen unter dem Namen </w:t>
      </w:r>
      <w:r w:rsidRPr="00AF5815">
        <w:rPr>
          <w:rFonts w:ascii="Garamond" w:hAnsi="Garamond"/>
          <w:i/>
          <w:iCs/>
          <w:lang w:val="en-GB"/>
        </w:rPr>
        <w:t>The Forsyte Saga</w:t>
      </w:r>
      <w:r w:rsidRPr="00AF5815">
        <w:rPr>
          <w:rFonts w:ascii="Garamond" w:hAnsi="Garamond"/>
          <w:lang w:val="en-GB"/>
        </w:rPr>
        <w:t xml:space="preserve"> gesammelt. Erst wenige Tage vor der Begebenheit, die ich erzähle, hatte mir P. einen neuen Band aus dieser Reihe gebracht. Der Name </w:t>
      </w:r>
      <w:r w:rsidRPr="00AF5815">
        <w:rPr>
          <w:rFonts w:ascii="Garamond" w:hAnsi="Garamond"/>
          <w:i/>
          <w:iCs/>
          <w:lang w:val="en-GB"/>
        </w:rPr>
        <w:t>Forsyte</w:t>
      </w:r>
      <w:r w:rsidRPr="00AF5815">
        <w:rPr>
          <w:rFonts w:ascii="Garamond" w:hAnsi="Garamond"/>
          <w:lang w:val="en-GB"/>
        </w:rPr>
        <w:t xml:space="preserve"> und alles Typische, was der Dichter in ihm verkörpern wollte, hatte auch in meinen Unterhaltungen mit P. eine Rolle gespielt, er war zu einem Stück der Geheimsprache geworden, die sich bei regelmäßigem Verkehr so leicht zwischen zwei Personen ausbildet. Nun ist der Name </w:t>
      </w:r>
      <w:r w:rsidRPr="00AF5815">
        <w:rPr>
          <w:rFonts w:ascii="Garamond" w:hAnsi="Garamond"/>
          <w:i/>
          <w:iCs/>
          <w:lang w:val="en-GB"/>
        </w:rPr>
        <w:t>Forsyte</w:t>
      </w:r>
      <w:r w:rsidRPr="00AF5815">
        <w:rPr>
          <w:rFonts w:ascii="Garamond" w:hAnsi="Garamond"/>
          <w:lang w:val="en-GB"/>
        </w:rPr>
        <w:t xml:space="preserve"> in jenen Romanen von dem meines Besuchers </w:t>
      </w:r>
      <w:r w:rsidRPr="00AF5815">
        <w:rPr>
          <w:rFonts w:ascii="Garamond" w:hAnsi="Garamond"/>
          <w:i/>
          <w:iCs/>
          <w:lang w:val="en-GB"/>
        </w:rPr>
        <w:t>Forsyth</w:t>
      </w:r>
      <w:r w:rsidRPr="00AF5815">
        <w:rPr>
          <w:rFonts w:ascii="Garamond" w:hAnsi="Garamond"/>
          <w:lang w:val="en-GB"/>
        </w:rPr>
        <w:t xml:space="preserve"> wenig verschieden, für deutsche Aussprache kaum zu unterscheiden, und das sinnvolle englische Wort, das wir ebenso aussprechen würden, wäre </w:t>
      </w:r>
      <w:r w:rsidRPr="00AF5815">
        <w:rPr>
          <w:rFonts w:ascii="Garamond" w:hAnsi="Garamond"/>
          <w:i/>
          <w:iCs/>
          <w:lang w:val="en-GB"/>
        </w:rPr>
        <w:t>foresight</w:t>
      </w:r>
      <w:r w:rsidRPr="00AF5815">
        <w:rPr>
          <w:rFonts w:ascii="Garamond" w:hAnsi="Garamond"/>
          <w:lang w:val="en-GB"/>
        </w:rPr>
        <w:t xml:space="preserve">, zu übersetzen: Voraussicht oder Vorsicht. P. hatte also tatsächlich aus seinen persönlichen Beziehungen den gleichen Namen herausgeholt, der zur selben Zeit infolge eines ihm unbekannten Ereignisses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beschäftigte.</w:t>
      </w:r>
    </w:p>
    <w:p w:rsidR="00E22C23" w:rsidRPr="00AF5815" w:rsidRDefault="00E22C23" w:rsidP="00E22C23">
      <w:pPr>
        <w:rPr>
          <w:rFonts w:ascii="Garamond" w:hAnsi="Garamond"/>
          <w:lang w:val="en-GB"/>
        </w:rPr>
      </w:pPr>
      <w:r w:rsidRPr="00AF5815">
        <w:rPr>
          <w:rFonts w:ascii="Garamond" w:hAnsi="Garamond"/>
          <w:lang w:val="en-GB"/>
        </w:rPr>
        <w:t>Nicht wahr, das sieht schon besser aus. Aber ich meine, wir werden einen stärkeren Eindruck von dem auffälligen Phänomen und sogar etwas wie einen Einblick in die Bedingungen seiner Entstehung gewinnen, wenn wir zwei andere Assoziationen analytisch beleuchten, die P. in der nämlichen Stunde vorbrachte.</w:t>
      </w:r>
    </w:p>
    <w:p w:rsidR="00E22C23" w:rsidRPr="00AF5815" w:rsidRDefault="00E22C23" w:rsidP="00E22C23">
      <w:pPr>
        <w:rPr>
          <w:rFonts w:ascii="Garamond" w:hAnsi="Garamond"/>
          <w:lang w:val="en-GB"/>
        </w:rPr>
      </w:pPr>
      <w:r w:rsidRPr="00AF5815">
        <w:rPr>
          <w:rFonts w:ascii="Garamond" w:hAnsi="Garamond"/>
          <w:lang w:val="en-GB"/>
        </w:rPr>
        <w:t xml:space="preserve">Erstens: An einem Tag der vorigen Woche hatte ich Herrn P. um 11 Uhr vergeblich erwartet und war dann ausgegangen, um Dr. Anton von Freund in seiner Pension zu besuchen. Ich war überrascht zu finden, daß Herr P. in einem anderen Stockwerk des Hauses wohnte, das die Pension beherbergte. Mit Beziehung darauf hatte ich P. später erzählt, daß ich ihm sozusagen einen Besuch in seinem Hause gemacht hatte; ich weiß aber mit Bestimmtheit, daß ich den Namen der Person, die ich in der Pension besuchte, nicht genannt habe. Und nun stellt er bald nach der Erwähnung des Herrn v. Vorsicht an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die Frage: Ist die </w:t>
      </w:r>
      <w:r w:rsidRPr="00AF5815">
        <w:rPr>
          <w:rFonts w:ascii="Garamond" w:hAnsi="Garamond"/>
          <w:i/>
          <w:iCs/>
          <w:lang w:val="en-GB"/>
        </w:rPr>
        <w:t>Freud-Ottorego</w:t>
      </w:r>
      <w:r w:rsidRPr="00AF5815">
        <w:rPr>
          <w:rFonts w:ascii="Garamond" w:hAnsi="Garamond"/>
          <w:lang w:val="en-GB"/>
        </w:rPr>
        <w:t xml:space="preserve">, die an der Volksuniversität englische Kurse abhält, vielleicht Ihre Tochter? Und zum ersten Male in unserem langen Verkehr läßt er meinem Namen die Entstellung widerfahren, an die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Behörden, Ämter und Schriftsetzer allerdings gewöhnt haben; er sagt anstatt </w:t>
      </w:r>
      <w:r w:rsidRPr="00AF5815">
        <w:rPr>
          <w:rFonts w:ascii="Garamond" w:hAnsi="Garamond"/>
          <w:i/>
          <w:iCs/>
          <w:lang w:val="en-GB"/>
        </w:rPr>
        <w:t>Freud – Freund</w:t>
      </w:r>
      <w:r w:rsidRPr="00AF5815">
        <w:rPr>
          <w:rFonts w:ascii="Garamond" w:hAnsi="Garamond"/>
          <w:lang w:val="en-GB"/>
        </w:rPr>
        <w:t>.</w:t>
      </w:r>
    </w:p>
    <w:p w:rsidR="00E22C23" w:rsidRPr="00AF5815" w:rsidRDefault="00E22C23" w:rsidP="00E22C23">
      <w:pPr>
        <w:rPr>
          <w:rFonts w:ascii="Garamond" w:hAnsi="Garamond"/>
          <w:lang w:val="en-GB"/>
        </w:rPr>
      </w:pPr>
      <w:r w:rsidRPr="00AF5815">
        <w:rPr>
          <w:rFonts w:ascii="Garamond" w:hAnsi="Garamond"/>
          <w:lang w:val="en-GB"/>
        </w:rPr>
        <w:t xml:space="preserve">Zweitens: Am Ende derselben Stunde erzählt er einen Traum, aus dem er mit Angst erwacht ist, einen richtigen Alptraum, meint er. Er fügt hinzu, daß er unlängst das englische Wort dafür vergessen und einem Fragenden die Auskunft gegeben, Alptraum heiße im Englischen » </w:t>
      </w:r>
      <w:r w:rsidRPr="00AF5815">
        <w:rPr>
          <w:rFonts w:ascii="Garamond" w:hAnsi="Garamond"/>
          <w:i/>
          <w:iCs/>
          <w:lang w:val="en-GB"/>
        </w:rPr>
        <w:t>a mare's nest</w:t>
      </w:r>
      <w:r w:rsidRPr="00AF5815">
        <w:rPr>
          <w:rFonts w:ascii="Garamond" w:hAnsi="Garamond"/>
          <w:lang w:val="en-GB"/>
        </w:rPr>
        <w:t xml:space="preserve">«. Das sei natürlich ein Unsinn, </w:t>
      </w:r>
      <w:r w:rsidRPr="00AF5815">
        <w:rPr>
          <w:rFonts w:ascii="Garamond" w:hAnsi="Garamond"/>
          <w:i/>
          <w:iCs/>
          <w:lang w:val="en-GB"/>
        </w:rPr>
        <w:t>a mare's nest</w:t>
      </w:r>
      <w:r w:rsidRPr="00AF5815">
        <w:rPr>
          <w:rFonts w:ascii="Garamond" w:hAnsi="Garamond"/>
          <w:lang w:val="en-GB"/>
        </w:rPr>
        <w:t xml:space="preserve"> bedeute eine unglaubliche, eine Räubergeschichte, die Übersetzung von Alptraum laute » </w:t>
      </w:r>
      <w:r w:rsidRPr="00AF5815">
        <w:rPr>
          <w:rFonts w:ascii="Garamond" w:hAnsi="Garamond"/>
          <w:i/>
          <w:iCs/>
          <w:lang w:val="en-GB"/>
        </w:rPr>
        <w:t>night-mare</w:t>
      </w:r>
      <w:r w:rsidRPr="00AF5815">
        <w:rPr>
          <w:rFonts w:ascii="Garamond" w:hAnsi="Garamond"/>
          <w:lang w:val="en-GB"/>
        </w:rPr>
        <w:t xml:space="preserve">«. Dieser Einfall scheint mit dem Früheren nichts anderes gemein zu haben als das Element: englisch;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muß er aber an einen kleinen Vorfall etwa einen Monat vorher erinnern. P. saß bei mir im Zimmer, als unvermutet ein anderer lieber Gast aus </w:t>
      </w:r>
      <w:smartTag w:uri="urn:schemas-microsoft-com:office:smarttags" w:element="City">
        <w:smartTag w:uri="urn:schemas-microsoft-com:office:smarttags" w:element="place">
          <w:r w:rsidRPr="00AF5815">
            <w:rPr>
              <w:rFonts w:ascii="Garamond" w:hAnsi="Garamond"/>
              <w:lang w:val="en-GB"/>
            </w:rPr>
            <w:t>London</w:t>
          </w:r>
        </w:smartTag>
      </w:smartTag>
      <w:r w:rsidRPr="00AF5815">
        <w:rPr>
          <w:rFonts w:ascii="Garamond" w:hAnsi="Garamond"/>
          <w:lang w:val="en-GB"/>
        </w:rPr>
        <w:t xml:space="preserve">, Dr. Ernest Jones, nach langer Trennung bei mir eintrat. Ich winkte ihm, ins andere Zimmer zu gehen, bis ich mit P. abgeredet hatte. Der erkannte ihn aber sofort nach seiner im Wartezimmer hängenden Photographie und sprach sogar den Wunsch aus, ihm vorgestellt zu werden. Nun ist Jones der Verfasser einer Monographie über den Alptraum – </w:t>
      </w:r>
      <w:r w:rsidRPr="00AF5815">
        <w:rPr>
          <w:rFonts w:ascii="Garamond" w:hAnsi="Garamond"/>
          <w:i/>
          <w:iCs/>
          <w:lang w:val="en-GB"/>
        </w:rPr>
        <w:t>night-mare</w:t>
      </w:r>
      <w:r w:rsidRPr="00AF5815">
        <w:rPr>
          <w:rFonts w:ascii="Garamond" w:hAnsi="Garamond"/>
          <w:lang w:val="en-GB"/>
        </w:rPr>
        <w:t>; ich wußte nicht, ob sie P. bekannt geworden war. Er vermied es, analytische Bücher zu lesen.</w:t>
      </w:r>
    </w:p>
    <w:p w:rsidR="00E22C23" w:rsidRPr="00AF5815" w:rsidRDefault="00E22C23" w:rsidP="00E22C23">
      <w:pPr>
        <w:rPr>
          <w:rFonts w:ascii="Garamond" w:hAnsi="Garamond"/>
          <w:lang w:val="en-GB"/>
        </w:rPr>
      </w:pPr>
      <w:r w:rsidRPr="00AF5815">
        <w:rPr>
          <w:rFonts w:ascii="Garamond" w:hAnsi="Garamond"/>
          <w:lang w:val="en-GB"/>
        </w:rPr>
        <w:t xml:space="preserve">Ich möchte vor Ihnen zunächst untersuchen, welches analytische Verständnis sich für den Zusammenhang von P.'s Einfällen und für ihre Motivierung gewinnen läßt. P. war auf den Namen Forsyte </w:t>
      </w:r>
      <w:r w:rsidRPr="00AF5815">
        <w:rPr>
          <w:rFonts w:ascii="Garamond" w:hAnsi="Garamond"/>
          <w:lang w:val="en-GB"/>
        </w:rPr>
        <w:lastRenderedPageBreak/>
        <w:t xml:space="preserve">oder Forsyth ähnlich wie ich eingestellt, er bedeutete ihm dasselbe, ich verdankte ihm überhaupt die Bekanntschaft mit diesem Namen. Der merkwürdige Tatbestand war, daß er diesen Namen unvermittelt in die Analyse brachte, die kürzeste Zeit, nachdem er mir durch ein neues Ereignis, die Ankunft des Londoner Arztes, in einem anderen Sinne bedeutungsvoll geworden war. Aber vielleicht nicht minder interessant als die Tatsache selbst ist die Art, wie der Name in seiner Analysenstunde auftrat. Er sagte nicht etwa: Jetzt fällt mir der Name Forsyte aus den Ihnen bekannten Romanen ein, sondern er wußte ihn ohne jede bewußte Beziehung zu dieser Quelle mit seinen eigenen Erlebnissen zu verflechten und brachte ihn von daher zum Vorschein, was längst hätte geschehen können und bisher nicht geschehen war. Dann aber sagte er: Ich bin auch ein Forsyth, das Mädchen nennt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ja so. Es ist schwer, die Mischung von eifersüchtigem Anspruch und wehmütiger Selbstherabsetzung zu verkennen, die sich in dieser Äußerung Ausdruck schafft. Man wird nicht irregehen, wenn man sie etwa so vervollständigt: Es kränkt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daß Ihre Gedanken sich so intensiv mit dem Ankömmling beschäftigen. Kehren Sie doch zu mir zurück, ich bin ja auch ein </w:t>
      </w:r>
      <w:r w:rsidRPr="00AF5815">
        <w:rPr>
          <w:rFonts w:ascii="Garamond" w:hAnsi="Garamond"/>
          <w:i/>
          <w:iCs/>
          <w:lang w:val="en-GB"/>
        </w:rPr>
        <w:t>Forsyth</w:t>
      </w:r>
      <w:r w:rsidRPr="00AF5815">
        <w:rPr>
          <w:rFonts w:ascii="Garamond" w:hAnsi="Garamond"/>
          <w:lang w:val="en-GB"/>
        </w:rPr>
        <w:t xml:space="preserve"> – allerdings nur ein Herr von </w:t>
      </w:r>
      <w:r w:rsidRPr="00AF5815">
        <w:rPr>
          <w:rFonts w:ascii="Garamond" w:hAnsi="Garamond"/>
          <w:i/>
          <w:iCs/>
          <w:lang w:val="en-GB"/>
        </w:rPr>
        <w:t>Vorsicht</w:t>
      </w:r>
      <w:r w:rsidRPr="00AF5815">
        <w:rPr>
          <w:rFonts w:ascii="Garamond" w:hAnsi="Garamond"/>
          <w:lang w:val="en-GB"/>
        </w:rPr>
        <w:t xml:space="preserve">, wie das Mädchen sagt. Und nun greift sein Gedankengang am Assoziationsfaden des Elements: englisch auf zwei frühere Gelegenheiten zurück, die die gleiche Eifersucht rege machen konnten. »Vor einigen Tagen haben Sie einen Besuch in meinem Haus gemacht, aber leider nicht bei mir, bei einem Herrn v. </w:t>
      </w:r>
      <w:r w:rsidRPr="00AF5815">
        <w:rPr>
          <w:rFonts w:ascii="Garamond" w:hAnsi="Garamond"/>
          <w:i/>
          <w:iCs/>
          <w:lang w:val="en-GB"/>
        </w:rPr>
        <w:t>Freund.</w:t>
      </w:r>
      <w:r w:rsidRPr="00AF5815">
        <w:rPr>
          <w:rFonts w:ascii="Garamond" w:hAnsi="Garamond"/>
          <w:lang w:val="en-GB"/>
        </w:rPr>
        <w:t xml:space="preserve">« Dieser Gedanke läßt ihn den Namen Freud in Freund verfälschen. Die </w:t>
      </w:r>
      <w:r w:rsidRPr="00AF5815">
        <w:rPr>
          <w:rFonts w:ascii="Garamond" w:hAnsi="Garamond"/>
          <w:i/>
          <w:iCs/>
          <w:lang w:val="en-GB"/>
        </w:rPr>
        <w:t>Freud-Ottorego</w:t>
      </w:r>
      <w:r w:rsidRPr="00AF5815">
        <w:rPr>
          <w:rFonts w:ascii="Garamond" w:hAnsi="Garamond"/>
          <w:lang w:val="en-GB"/>
        </w:rPr>
        <w:t xml:space="preserve"> im Vorlesungsverzeichnis muß herhalten, weil sie als Lehrerin des Englischen die manifeste Assoziation vermittelt. Und dann schließt sich die Erinnerung an einen anderen Besucher einige Wochen vorher an, auf den er gewiß ebenso eifersüchtig war, dem er sich aber gleichfalls nicht gewachsen fühlen konnte, denn der Dr. Jones verstand es, eine Abhandlung über den Alptraum zu schreiben, während er solche Träume höchstens selbst produzierte. Auch die Erwähnung seines Irrtums in der Bedeutung von » </w:t>
      </w:r>
      <w:r w:rsidRPr="00AF5815">
        <w:rPr>
          <w:rFonts w:ascii="Garamond" w:hAnsi="Garamond"/>
          <w:i/>
          <w:iCs/>
          <w:lang w:val="en-GB"/>
        </w:rPr>
        <w:t>a mare's nest</w:t>
      </w:r>
      <w:r w:rsidRPr="00AF5815">
        <w:rPr>
          <w:rFonts w:ascii="Garamond" w:hAnsi="Garamond"/>
          <w:lang w:val="en-GB"/>
        </w:rPr>
        <w:t>« gehört in denselben Zusammenhang, sie kann nur sagen wollen: Ich bin ja doch kein richtiger Engländer, so wenig wie ich ein richtiger Forsyth bin.</w:t>
      </w:r>
    </w:p>
    <w:p w:rsidR="00E22C23" w:rsidRPr="00AF5815" w:rsidRDefault="00E22C23" w:rsidP="00E22C23">
      <w:pPr>
        <w:rPr>
          <w:rFonts w:ascii="Garamond" w:hAnsi="Garamond"/>
          <w:lang w:val="en-GB"/>
        </w:rPr>
      </w:pPr>
      <w:r w:rsidRPr="00AF5815">
        <w:rPr>
          <w:rFonts w:ascii="Garamond" w:hAnsi="Garamond"/>
          <w:lang w:val="en-GB"/>
        </w:rPr>
        <w:t xml:space="preserve">Ich kann nun seine Eifersuchtsregungen weder als unangemessen noch als unverständlich bezeichnen. Er war darauf vorbereitet worden, daß seine Analyse und damit unser Verkehr ein Ende finden werden, sobald wieder fremde Schüler und Patienten nach Wien kämen, und so geschah es auch wirklich bald hernach. Aber was wir bisher geleistet haben, war ein Stück analytischer Arbeit, die Aufklärung von drei in derselben Stunde vorgebrachten, von demselben Motiv gespeisten Einfällen, und es hat nicht viel mit der anderen Frage zu tun, ob diese Einfälle ohne Gedankenübertragung ableitbar sind oder nicht. Letztere stellt sich zu jedem der drei Einfälle ein und zerlegt sich somit in drei Einzelfragen: Konnte P. wissen, daß Dr. Forsyth eben seinen ersten Besuch bei mir gemacht hatte? Konnte er wissen, welches der Name der Person war, die ich in seinem Hause besucht hatte? Wußte er, daß Dr. Jones eine Abhandlung über den Alptraum geschrieben hatte? </w:t>
      </w:r>
      <w:smartTag w:uri="urn:schemas-microsoft-com:office:smarttags" w:element="place">
        <w:r w:rsidRPr="00AF5815">
          <w:rPr>
            <w:rFonts w:ascii="Garamond" w:hAnsi="Garamond"/>
            <w:lang w:val="en-GB"/>
          </w:rPr>
          <w:t>Oder</w:t>
        </w:r>
      </w:smartTag>
      <w:r w:rsidRPr="00AF5815">
        <w:rPr>
          <w:rFonts w:ascii="Garamond" w:hAnsi="Garamond"/>
          <w:lang w:val="en-GB"/>
        </w:rPr>
        <w:t xml:space="preserve"> war es nur mein Wissen um diese Dinge, das sich in seinen Einfällen verriet? Von der Beantwortung dieser drei Einzelfragen wird es abhängen, ob meine Beobachtung einen Schluß zu Gunsten der Gedankenübertragung erlaubt. Lassen wir die erste Frage noch eine Weile beiseite, die beiden anderen sind leichter zu behandeln. Der Fall des Besuchs in der Pension macht auf den ersten Blick einen besonders zuverlässigen Eindruck. Ich bin sicher, daß ich in meiner kurzen, scherzenden Erwähnung des Besuchs in seinem Haus keinen Namen genannt habe; ich halte es für sehr unwahrscheinlich, daß P. sich in der Pension nach dem Namen der betreffenden Person erkundigt hat, ich glaube eher, daß ihm die Existenz derselben völlig unbekannt geblieben ist. Aber die Beweiskraft dieses Falles wird durch eine Zufälligkeit gründlich zerstört. Der Mann, den ich in der Pension besucht hatte, hieß nicht nur </w:t>
      </w:r>
      <w:r w:rsidRPr="00AF5815">
        <w:rPr>
          <w:rFonts w:ascii="Garamond" w:hAnsi="Garamond"/>
          <w:i/>
          <w:iCs/>
          <w:lang w:val="en-GB"/>
        </w:rPr>
        <w:t>Freund</w:t>
      </w:r>
      <w:r w:rsidRPr="00AF5815">
        <w:rPr>
          <w:rFonts w:ascii="Garamond" w:hAnsi="Garamond"/>
          <w:lang w:val="en-GB"/>
        </w:rPr>
        <w:t xml:space="preserve">, er war auch uns allen ein wahrer Freund. Es war Dr. Anton v. Freund, dessen Spende die Gründung unseres Verlags ermöglicht hatte. Sein früher Tod wie der unseres Karl Abraham einige Jahre später waren die schwersten Unglücksfälle, die die Entwicklung der Psychoanalyse betroffen haben. Ich mag also Herrn P. damals gesagt haben: Ich habe in Ihrem Hause </w:t>
      </w:r>
      <w:r w:rsidRPr="00AF5815">
        <w:rPr>
          <w:rFonts w:ascii="Garamond" w:hAnsi="Garamond"/>
          <w:i/>
          <w:iCs/>
          <w:lang w:val="en-GB"/>
        </w:rPr>
        <w:t>einen Freund</w:t>
      </w:r>
      <w:r w:rsidRPr="00AF5815">
        <w:rPr>
          <w:rFonts w:ascii="Garamond" w:hAnsi="Garamond"/>
          <w:lang w:val="en-GB"/>
        </w:rPr>
        <w:t xml:space="preserve"> besucht, und mit dieser Möglichkeit entfällt das okkultistische Interesse an seiner zweiten Assoziation.</w:t>
      </w:r>
    </w:p>
    <w:p w:rsidR="00E22C23" w:rsidRPr="00AF5815" w:rsidRDefault="00E22C23" w:rsidP="00E22C23">
      <w:pPr>
        <w:rPr>
          <w:rFonts w:ascii="Garamond" w:hAnsi="Garamond"/>
          <w:lang w:val="en-GB"/>
        </w:rPr>
      </w:pPr>
      <w:r w:rsidRPr="00AF5815">
        <w:rPr>
          <w:rFonts w:ascii="Garamond" w:hAnsi="Garamond"/>
          <w:lang w:val="en-GB"/>
        </w:rPr>
        <w:lastRenderedPageBreak/>
        <w:t>Auch der Eindruck des dritten Einfalles verflüchtigt sich bald. Konnte P. wissen, daß Jones eine Abhandlung über den Alptraum veröffentlicht hat, da er nie analytische Literatur las? Ja, er konnte es wissen. Er besaß Bücher aus unserem Verlag, konnte immerhin die Titel der auf den Umschlägen angekündigten Neuerscheinungen gesehen haben. Es ist nicht zu erweisen, aber auch nicht abzuweisen. Auf diesem Weg werden wir also zu keiner Entscheidung kommen. Ich muß bedauern, daß meine Beobachtung an dem nämlichen Fehler leidet wie so viele ähnliche. Sie ist zu spät niedergeschrieben und ist diskutiert worden zu einer Zeit, da ich Herrn P. nicht mehr sah und ihn nicht weiter befragen konnte.</w:t>
      </w:r>
    </w:p>
    <w:p w:rsidR="00E22C23" w:rsidRPr="00AF5815" w:rsidRDefault="00E22C23" w:rsidP="00E22C23">
      <w:pPr>
        <w:rPr>
          <w:rFonts w:ascii="Garamond" w:hAnsi="Garamond"/>
          <w:lang w:val="en-GB"/>
        </w:rPr>
      </w:pPr>
      <w:r w:rsidRPr="00AF5815">
        <w:rPr>
          <w:rFonts w:ascii="Garamond" w:hAnsi="Garamond"/>
          <w:lang w:val="en-GB"/>
        </w:rPr>
        <w:t xml:space="preserve">Kehren wir also zum ersten Vorfall zurück, der den scheinbaren Tatbestand der Gedankenübertragung auch isoliert aufrechthält. Konnte P. wissen, daß Doktor Forsyth eine Viertelstunde vor ihm bei mir gewesen war? Konnte er überhaupt von seiner Existenz oder Anwesenheit in Wien wissen? Der Neigung, beides glatt zu verneinen, darf man nicht nachgeben. Ich sehe doch einen Weg, der zu einer teilweisen Bejahung führt. Ich könnte doch Herrn P. die Mitteilung gemacht haben, daß ich einen Arzt aus </w:t>
      </w:r>
      <w:smartTag w:uri="urn:schemas-microsoft-com:office:smarttags" w:element="country-region">
        <w:smartTag w:uri="urn:schemas-microsoft-com:office:smarttags" w:element="place">
          <w:r w:rsidRPr="00AF5815">
            <w:rPr>
              <w:rFonts w:ascii="Garamond" w:hAnsi="Garamond"/>
              <w:lang w:val="en-GB"/>
            </w:rPr>
            <w:t>England</w:t>
          </w:r>
        </w:smartTag>
      </w:smartTag>
      <w:r w:rsidRPr="00AF5815">
        <w:rPr>
          <w:rFonts w:ascii="Garamond" w:hAnsi="Garamond"/>
          <w:lang w:val="en-GB"/>
        </w:rPr>
        <w:t xml:space="preserve"> zum Unterricht in der Analyse erwarte, als erste Taube nach der Sintflut. Das könnte im Sommer 1919 gewesen sein; Dr. Forsyth hatte sich Monate vor seinem Eintreffen brieflich mit mir verständigt. Ich mag sogar seinen Namen genannt haben, obwohl mir das sehr unwahrscheinlich ist. Bei der anderweitigen Bedeutung dieses Namens für uns beide hätte sich an die Namensnennung eine Unterhaltung knüpfen müssen, von der mir etwas im Gedächtnis geblieben wäre. Immerhin mag es geschehen sein und ich es dann gründlich vergessen haben, so daß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der Herr von Vorsicht in der Analysenstunde wie ein Wunder berühren konnte. Wenn man sich für einen Skeptiker hält, tut man gut daran, gelegentlich auch an seiner Skepsis zu zweifeln. Vielleicht gibt es auch bei mir die geheime Neigung zum Wunderbaren, die der Schaffung okkulter Tatbestände so entgegenkommt.</w:t>
      </w:r>
    </w:p>
    <w:p w:rsidR="00E22C23" w:rsidRPr="00AF5815" w:rsidRDefault="00E22C23" w:rsidP="00E22C23">
      <w:pPr>
        <w:rPr>
          <w:rFonts w:ascii="Garamond" w:hAnsi="Garamond"/>
          <w:lang w:val="en-GB"/>
        </w:rPr>
      </w:pPr>
      <w:r w:rsidRPr="00AF5815">
        <w:rPr>
          <w:rFonts w:ascii="Garamond" w:hAnsi="Garamond"/>
          <w:lang w:val="en-GB"/>
        </w:rPr>
        <w:t xml:space="preserve">Ist so ein Stück des Wunderbaren aus dem Weg geräumt, so harrt unser noch ein anderes Stück, das schwierigste von allen. Angenommen, Herr P. habe gewußt, es gebe einen Dr. Forsyth und er werde im Herbst in Wien erwartet, wie erklärt es sich, daß er für ihn gerade am Tage seiner Ankunft und unmittelbar nach seinem ersten Besuch empfänglich wird? Man kann sagen, das ist Zufall, d. h. man läßt es unerklärt – aber ich habe jene zwei anderen Einfälle von P. gerade darum erörtert, um den Zufall auszuschließen, um Ihnen zu zeigen, daß er wirklich mit eifersüchtigen Gedanken über Leute, die mich besuchen und die ich besuche, beschäftigt war; oder man kann, um das Äußerste des Möglichen nicht zu vernachlässigen, die Annahme versuchen, P. habe eine besondere Erregung an mir gemerkt, von der ich freilich nichts weiß, und aus ihr seinen Schluß gezogen. Oder Herr P., der ja nur eine Viertelstunde nach dem Engländer ankam, sei ihm auf dem kleinen Stück des beiden gemeinsamen Weges begegnet, habe ihn nach seinem charakteristisch englischen Aussehen erkannt und, beständig auf seine eifersüchtige Erwartung eingestellt, gedacht: Also das ist der Dr. Forsyth, mit dessen Ankunft meine Analyse zu Ende kommen soll. Und wahrscheinlich kommt er gerade jetzt vom Professor. Weiter kann ich mit diesen rationalistischen Mutmaßungen nicht gehen. Es bleibt wiederum bei einem </w:t>
      </w:r>
      <w:r w:rsidRPr="00AF5815">
        <w:rPr>
          <w:rFonts w:ascii="Garamond" w:hAnsi="Garamond"/>
          <w:i/>
          <w:iCs/>
          <w:lang w:val="en-GB"/>
        </w:rPr>
        <w:t>non liquet</w:t>
      </w:r>
      <w:hyperlink r:id="rId1470" w:anchor="#" w:history="1">
        <w:r w:rsidRPr="00AF5815">
          <w:rPr>
            <w:rStyle w:val="fusslink"/>
            <w:rFonts w:ascii="Garamond" w:hAnsi="Garamond" w:cs="Arial"/>
            <w:b/>
            <w:bCs/>
            <w:color w:val="003399"/>
            <w:lang w:val="en-GB"/>
          </w:rPr>
          <w:t>[Fußnote]</w:t>
        </w:r>
        <w:r w:rsidRPr="00AF5815">
          <w:rPr>
            <w:rStyle w:val="innerfusslink3"/>
            <w:rFonts w:ascii="Garamond" w:hAnsi="Garamond" w:cs="Arial"/>
            <w:b/>
            <w:bCs/>
            <w:lang w:val="en-GB"/>
          </w:rPr>
          <w:t>es bleibt unentschieden</w:t>
        </w:r>
      </w:hyperlink>
      <w:r w:rsidRPr="00AF5815">
        <w:rPr>
          <w:rFonts w:ascii="Garamond" w:hAnsi="Garamond"/>
          <w:lang w:val="en-GB"/>
        </w:rPr>
        <w:t>, aber ich muß es bekennen, nach meiner Empfindung neigt sich die Waagschale auch hier zu Gunsten der Gedankenübertragung. Übrigens bin ich gewiß nicht der Einzige, der in die Lage gekommen ist, solche »okkulte« Vorkommnisse in der analytischen Situation zu erleben. Helene Deutsch hat 1926 ähnliche Beobachtungen bekannt gemacht und deren Bedingtheit durch die Beziehungen der Übertragung zwischen Patienten und Analytiker studiert.</w:t>
      </w:r>
    </w:p>
    <w:p w:rsidR="00E22C23" w:rsidRPr="00AF5815" w:rsidRDefault="00E22C23" w:rsidP="00E22C23">
      <w:pPr>
        <w:rPr>
          <w:rFonts w:ascii="Garamond" w:hAnsi="Garamond"/>
          <w:lang w:val="en-GB"/>
        </w:rPr>
      </w:pPr>
      <w:r w:rsidRPr="00AF5815">
        <w:rPr>
          <w:rFonts w:ascii="Garamond" w:hAnsi="Garamond"/>
          <w:lang w:val="en-GB"/>
        </w:rPr>
        <w:t xml:space="preserve">Ich bin überzeugt, Sie werden mit meiner Einstellung zu diesem Problem: nicht völlig überzeugt und doch zur Überzeugung bereit, nicht sehr zufrieden sein. Vielleicht sagen Sie sich: Das ist wieder so ein Fall, daß ein Mensch, der sein Leben lang rechtschaffen als Naturforscher gearbeitet hat, im Alter schwachsinnig, fromm und leichtgläubig wird. Ich weiß, einige große Namen gehören in diese Reihe, aber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sollen Sie nicht dazu rechnen. Fromm wenigstens bin ich nicht geworden, ich hoffe, auch nicht leichtgläubig. Nur, wenn man sich sein Leben lang gebückt gehalten hat, um einem schmerzhaften Zusammenstoß mit den Tatsachen auszuweichen, so behält man auch im Alter den krummen Rücken, der sich vor neuen </w:t>
      </w:r>
      <w:r w:rsidRPr="00AF5815">
        <w:rPr>
          <w:rFonts w:ascii="Garamond" w:hAnsi="Garamond"/>
          <w:lang w:val="en-GB"/>
        </w:rPr>
        <w:lastRenderedPageBreak/>
        <w:t xml:space="preserve">Tatsächlichkeiten beugt. Ihnen wäre es gewiß lieber, ich hielte an einem gemäßigten Theismus fest und zeigte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unerbittlich in der Ablehnung alles Okkulten. Aber ich bin unfähig, um Gunst zu werben, ich muß Ihnen nahelegen, über die objektive Möglichkeit der Gedankenübertragung und damit auch der Telepathie freundlicher zu denken.</w:t>
      </w:r>
    </w:p>
    <w:p w:rsidR="00E22C23" w:rsidRPr="00AF5815" w:rsidRDefault="00E22C23" w:rsidP="00E22C23">
      <w:pPr>
        <w:rPr>
          <w:rFonts w:ascii="Garamond" w:hAnsi="Garamond"/>
          <w:lang w:val="en-GB"/>
        </w:rPr>
      </w:pPr>
      <w:r w:rsidRPr="00AF5815">
        <w:rPr>
          <w:rFonts w:ascii="Garamond" w:hAnsi="Garamond"/>
          <w:lang w:val="en-GB"/>
        </w:rPr>
        <w:t>Sie vergessen nicht, daß ich diese Probleme hier nur insoweit behandelt habe, als man sich ihnen von der Psychoanalyse her annähern kann. Als sie vor länger als zehn Jahren zuerst in meinen Gesichtskreis traten, verspürte auch ich die Angst vor einer Bedrohung unserer wissenschaftlichen Weltanschauung, die im Falle, als sich Stücke des Okkultismus bewahrheiten, dem Spiritismus oder der Mystik den Platz räumen müßte. Ich denke heute anders; ich meine, es zeugt von keiner großen Zuversicht zur Wissenschaft, wenn man ihr nicht zutraut, daß sie auch aufnehmen und verarbeiten kann, was sich etwa an den okkulten Behauptungen als wahr herausstellt. Und was besonders die Gedankenübertragung betrifft, so scheint sie die Ausdehnung der wissenschaftlichen – Gegner sagen: mechanistischen – Denkweise auf das so schwer faßbare Geistige geradezu zu begünstigen. Der telepathische Vorgang soll ja darin bestehen, daß ein seelischer Akt der einen Person den nämlichen seelischen Akt bei einer anderen Person anregt. Was zwischen den beiden seelischen Akten liegt, kann leicht ein physikalischer Vorgang sein, in den sich das Psychische an einem Ende umsetzt und der sich am anderen Ende wieder in das gleiche Psychische umsetzt. Die Analogie mit anderen Umsetzungen wie beim Sprechen und Hören am Telephon wäre dann unverkennbar. Und denken Sie, wenn man dieses physikalischen Äquivalents des psychischen Akts habhaft werden könnte! Ich möchte sagen, durch die Einschiebung des Unbewußten zwischen das Physikalische und das bis dahin »psychisch« Genannte hat uns die Psychoanalyse für die Annahme solcher Vorgänge wie die Telepathie vorbereitet. Gewöhnt man sich erst an die Vorstellung der Telepathie, so kann man mit ihr viel ausrichten, allerdings vorläufig nur in der Phantasie. Man weiß bekanntlich nicht, wie der Gesamtwille in den großen Insektenstaaten zustande kommt. Möglicherweise geschieht es auf dem Wege solch direkter psychischer Übertragung. Man wird auf die Vermutung geführt, daß dies der ursprüngliche, archaische Weg der Verständigung unter den Einzelwesen ist, der im Lauf der phylogenetischen Entwicklung durch die bessere Methode der Mitteilung mit Hilfe von Zeichen zurückgedrängt wird, die man mit den Sinnesorganen aufnimmt. Aber die ältere Methode könnte im Hintergrund erhalten bleiben und sich unter gewissen Bedingungen noch durchsetzen, z. B. auch in leidenschaftlich erregten Massen. Das ist alles noch unsicher und voll von ungelösten Rätseln, aber es ist kein Grund zum Erschrecken.</w:t>
      </w:r>
    </w:p>
    <w:p w:rsidR="00E22C23" w:rsidRPr="00AF5815" w:rsidRDefault="00E22C23" w:rsidP="00E22C23">
      <w:pPr>
        <w:rPr>
          <w:rFonts w:ascii="Garamond" w:hAnsi="Garamond"/>
          <w:lang w:val="en-GB"/>
        </w:rPr>
      </w:pPr>
      <w:r w:rsidRPr="00AF5815">
        <w:rPr>
          <w:rFonts w:ascii="Garamond" w:hAnsi="Garamond"/>
          <w:lang w:val="en-GB"/>
        </w:rPr>
        <w:t xml:space="preserve">Wenn es eine Telepathie als realen Vorgang gibt, so kann man trotz ihrer schweren Erweisbarkeit vermuten, daß sie ein recht häufiges Phänomen ist. Es würde unseren Erwartungen entsprechen, wenn wir sie gerade im Seelenleben des Kindes aufzeigen könnten. Man wird da an die häufige Angstvorstellung der Kinder erinnert, daß die Eltern alle ihre Gedanken kennen, ohne daß sie sie ihnen mitgeteilt hätten, das volle Gegenstück und vielleicht die Quelle des Glaubens Erwachsener an die Allwissenheit Gottes. Vor kurzem hat eine vertrauenswürdige Frau, Dorothy Burlingham, in einem Aufsatz ›Kinderanalyse und Mutter‹ Beobachtungen mitgeteilt, die, wenn sie sich bestätigen lassen, dem restlichen Zweifel an der Realität der Gedankenübertragung ein Ende machen müssen. Sie machte sich die nicht mehr seltene Situation zunutze, daß sich Mutter und Kind gleichzeitig in Analyse befinden, und berichtet aus derselben merkwürdige Vorfälle wie den folgenden: Eines Tages erzählt die Mutter in ihrer Analysenstunde von einem Goldstück, das in einer ihrer Kinderszenen eine bestimmte Rolle spielt. Gleich darauf, nachdem sie nach Hause gekommen ist, kommt ihr kleiner, etwa zehnjähriger Junge zu ihr ins Zimmer und bringt ihr ein Goldstück, das sie für ihn aufbewahren soll. Sie fragt ihn erstaunt, woher er es hat. Er hat es zu seinem Geburtstag bekommen, aber der Geburtstag des Kindes liegt mehrere Monate zurück und es ist kein Anlaß, warum sich das Kind gerade jetzt an das Goldstück erinnert haben sollte. Die Mutter verständigt die Analytikerin des Kindes von dem Zusammentreffen und bittet sie, beim Kind nach der Begründung jener Handlung zu forschen. Aber die Analyse des Kindes bringt keinen Aufschluß, die Handlung hatte </w:t>
      </w:r>
      <w:r w:rsidRPr="00AF5815">
        <w:rPr>
          <w:rFonts w:ascii="Garamond" w:hAnsi="Garamond"/>
          <w:lang w:val="en-GB"/>
        </w:rPr>
        <w:lastRenderedPageBreak/>
        <w:t>sich wie ein Fremdkörper in das Leben des Kindes an jenem Tage eingedrängt. Einige Wochen später sitzt die Mutter am Schreibtisch, um sich, wozu man sie gemahnt hatte, eine Notiz über das geschilderte Erlebnis zu machen. Da kommt der Knabe herein und verlangt das Goldstück zurück, er möchte es in seine analytische Stunde mitnehmen, um es zu zeigen. Wiederum kann die Analyse des Kindes keinen Zugang zu diesem Wunsch auffinden.</w:t>
      </w:r>
    </w:p>
    <w:p w:rsidR="00E22C23" w:rsidRPr="00AF5815" w:rsidRDefault="00E22C23" w:rsidP="00E22C23">
      <w:pPr>
        <w:rPr>
          <w:rFonts w:ascii="Garamond" w:hAnsi="Garamond"/>
          <w:lang w:val="en-GB"/>
        </w:rPr>
      </w:pPr>
      <w:r w:rsidRPr="00AF5815">
        <w:rPr>
          <w:rFonts w:ascii="Garamond" w:hAnsi="Garamond"/>
          <w:lang w:val="en-GB"/>
        </w:rPr>
        <w:t>Und damit wären wir zur Psychoanalyse zurückgekommen, von der wir ausgegangen sind.</w:t>
      </w:r>
    </w:p>
    <w:p w:rsidR="00E22C23" w:rsidRPr="00AF5815" w:rsidRDefault="00E22C23" w:rsidP="00E22C23">
      <w:pPr>
        <w:rPr>
          <w:rFonts w:ascii="Garamond" w:hAnsi="Garamond"/>
          <w:b/>
          <w:lang w:val="en-GB"/>
        </w:rPr>
      </w:pPr>
      <w:r>
        <w:rPr>
          <w:rFonts w:ascii="Garamond" w:hAnsi="Garamond"/>
          <w:lang w:val="en-GB"/>
        </w:rPr>
        <w:br w:type="page"/>
      </w:r>
      <w:hyperlink w:anchor="NeueVorlesugen_INHALT" w:history="1">
        <w:r w:rsidRPr="00AF5815">
          <w:rPr>
            <w:rStyle w:val="Lienhypertexte"/>
            <w:rFonts w:ascii="Garamond" w:hAnsi="Garamond"/>
            <w:b/>
            <w:lang w:val="en-GB"/>
          </w:rPr>
          <w:t>31. Vo</w:t>
        </w:r>
        <w:bookmarkStart w:id="301" w:name="NeueVorlesugen_31"/>
        <w:bookmarkEnd w:id="301"/>
        <w:r w:rsidRPr="00AF5815">
          <w:rPr>
            <w:rStyle w:val="Lienhypertexte"/>
            <w:rFonts w:ascii="Garamond" w:hAnsi="Garamond"/>
            <w:b/>
            <w:lang w:val="en-GB"/>
          </w:rPr>
          <w:t>rlesung. Die Zerlegung der psychischen Persönlichkeit</w:t>
        </w:r>
      </w:hyperlink>
    </w:p>
    <w:p w:rsidR="00E22C23" w:rsidRPr="00AF5815" w:rsidRDefault="00E22C23" w:rsidP="00E22C23">
      <w:pPr>
        <w:rPr>
          <w:rFonts w:ascii="Garamond" w:hAnsi="Garamond"/>
          <w:lang w:val="en-GB"/>
        </w:rPr>
      </w:pPr>
    </w:p>
    <w:p w:rsidR="00E22C23" w:rsidRPr="00AF5815" w:rsidRDefault="00E22C23" w:rsidP="00E22C23">
      <w:pPr>
        <w:rPr>
          <w:rFonts w:ascii="Garamond" w:hAnsi="Garamond"/>
          <w:lang w:val="en-GB"/>
        </w:rPr>
      </w:pPr>
      <w:r w:rsidRPr="00AF5815">
        <w:rPr>
          <w:rFonts w:ascii="Garamond" w:hAnsi="Garamond"/>
          <w:lang w:val="en-GB"/>
        </w:rPr>
        <w:t>Meine Damen und Herren! Ich weiß, Sie kennen für Ihre eigenen Beziehungen, ob es sich um Personen oder um Dinge handelt, die Bedeutung des Ausgangspunktes. So war es auch mit der Psychoanalyse: Für die Entwicklung, die sie nahm, für die Aufnahme, die sie fand, ist es nicht gleichgültig gewesen, daß sie ihre Arbeit am Symptom begann, am Ichfremdesten, das sich in der Seele vorfindet. Das Symptom stammt vom Verdrängten ab, ist gleichsam der Vertreter desselben vor dem Ich, das Verdrängte ist aber für das Ich Ausland, inneres Ausland, so wie die Realität – gestatten Sie den ungewohnten Ausdruck – äußeres Ausland ist. Vom Symptom her führte der Weg zum Unbewußten, zum Triebleben, zur Sexualität, und das war die Zeit, da die Psychoanalyse die geistvollen Einwendungen zu hören bekam, der Mensch sei nicht bloß ein Sexualwesen, er kenne auch edlere und höhere Regungen. Man hätte hinzusetzen können, gehoben durch das Bewußtsein dieser höheren Regungen nehme er sich öfters das Recht heraus, Unsinn zu denken und Tatsachen zu vernachlässigen.</w:t>
      </w:r>
    </w:p>
    <w:p w:rsidR="00E22C23" w:rsidRPr="00AF5815" w:rsidRDefault="00E22C23" w:rsidP="00E22C23">
      <w:pPr>
        <w:rPr>
          <w:rFonts w:ascii="Garamond" w:hAnsi="Garamond"/>
          <w:lang w:val="en-GB"/>
        </w:rPr>
      </w:pPr>
      <w:r w:rsidRPr="00AF5815">
        <w:rPr>
          <w:rFonts w:ascii="Garamond" w:hAnsi="Garamond"/>
          <w:lang w:val="en-GB"/>
        </w:rPr>
        <w:t>Sie wissen es besser, es hat von allem Anfang an bei uns geheißen, der Mensch erkranke an dem Konflikt zwischen den Ansprüchen des Trieblebens und dem Widerstand, der sich in ihm dagegen erhebt, und wir hatten keinen Augenblick an diese widerstehende, abweisende, verdrängende Instanz vergessen, die wir uns mit ihren besonderen Kräften, den Ichtrieben, ausgestattet dachten, und die eben mit dem Ich der populären Psychologie zusammenfällt. Nur daß es bei dem mühsamen Fortschreiten der wissenschaftlichen Arbeit auch der Psychoanalyse nicht möglich war, alle Gebiete gleichzeitig zu studieren und sich über alle Probleme in einem Atem zu äußern. Endlich war man so weit gekommen, daß man seine Aufmerksamkeit vom Verdrängten weg auf das Verdrängende richten konnte, und stand vor diesem Ich, das so selbstverständlich zu sein schien, mit der sicheren Erwartung, auch hier Dinge zu finden, auf die man nicht vorbereitet sein konnte; aber es war nicht leicht, einen ersten Zugang zu finden. Das ist es, worüber ich Ihnen heute berichten will!</w:t>
      </w:r>
    </w:p>
    <w:p w:rsidR="00E22C23" w:rsidRPr="00AF5815" w:rsidRDefault="00E22C23" w:rsidP="00E22C23">
      <w:pPr>
        <w:rPr>
          <w:rFonts w:ascii="Garamond" w:hAnsi="Garamond"/>
          <w:lang w:val="en-GB"/>
        </w:rPr>
      </w:pPr>
      <w:r w:rsidRPr="00AF5815">
        <w:rPr>
          <w:rFonts w:ascii="Garamond" w:hAnsi="Garamond"/>
          <w:lang w:val="en-GB"/>
        </w:rPr>
        <w:t>Ich muß aber doch meiner Vermutung Ausdruck geben, daß diese meine Darstellung der Ichpsychologie anders auf Sie wirken wird als die Einführung in die psychische Unterwelt, die ihr vorausgegangen ist. Warum das der Fall sein sollte, weiß ich nicht sicher zu sagen. Ich meinte zuerst, Sie würden herausfinden, daß ich Ihnen vorhin hauptsächlich Tatsachen berichtet hatte, wenn auch fremdartige und sonderbare, während Sie diesmal vorwiegend Auffassungen, also Spekulationen, zu hören bekommen. Aber es trifft nicht zu, bei besserer Erwägung muß ich behaupten, daß der Anteil der gedanklichen Verarbeitung des tatsächlichen Materials in unserer Ichpsychologie nicht viel größer ist als er in der Neurosenpsychologie war. Auch andere Begründungen meiner Erwartung mußte ich verwerfen; ich meine jetzt, es liegt irgendwie am Charakter des Stoffes selbst und an unserer Ungewohntheit, mit ihm umzugehen. Immerhin, ich werde nicht erstaunt sein, wenn Sie sich in Ihrem Urteil noch zurückhaltender und vorsichtiger zeigen als bisher.</w:t>
      </w:r>
    </w:p>
    <w:p w:rsidR="00E22C23" w:rsidRPr="00AF5815" w:rsidRDefault="00E22C23" w:rsidP="00E22C23">
      <w:pPr>
        <w:rPr>
          <w:rFonts w:ascii="Garamond" w:hAnsi="Garamond"/>
          <w:lang w:val="en-GB"/>
        </w:rPr>
      </w:pPr>
      <w:r w:rsidRPr="00AF5815">
        <w:rPr>
          <w:rFonts w:ascii="Garamond" w:hAnsi="Garamond"/>
          <w:lang w:val="en-GB"/>
        </w:rPr>
        <w:t xml:space="preserve">Die Situation, in der wir uns zu Beginn unserer Untersuchung befinden, soll uns selbst den Weg weisen. Wir wollen das Ich zum Gegenstand dieser Untersuchung machen, unser eigenstes Ich. Aber kann man das? Das Ich ist ja doch das eigentlichste Subjekt, wie soll es zum Objekt werden? Nun, es ist kein Zweifel, daß man dies kann. Das Ich kann sich selbst zum Objekt nehmen, sich behandeln wie andere Objekte, sich beobachten, kritisieren, Gott weiß was noch alles mit sich selbst anstellen. </w:t>
      </w:r>
      <w:r w:rsidRPr="00E22C23">
        <w:rPr>
          <w:rFonts w:ascii="Garamond" w:hAnsi="Garamond"/>
          <w:lang w:val="en-GB"/>
        </w:rPr>
        <w:t xml:space="preserve">Dabei stellt sich ein Teil des Ichs dem übrigen gegenüber. </w:t>
      </w:r>
      <w:r w:rsidRPr="00AF5815">
        <w:rPr>
          <w:rFonts w:ascii="Garamond" w:hAnsi="Garamond"/>
          <w:lang w:val="en-GB"/>
        </w:rPr>
        <w:t xml:space="preserve">Das Ich ist also spaltbar, es spaltet sich während mancher seiner Funktionen, wenigstens vorübergehend. Die Teilstücke können sich nachher wieder vereinigen. Das ist gerade keine Neuigkeit, vielleicht eine ungewohnte Betonung allgemein bekannter Dinge. Anderseits sind wir mit der Auffassung vertraut, daß die Pathologie uns durch ihre Vergrößerungen und Vergröberungen auf normale Verhältnisse aufmerksam machen kann, die uns sonst entgangen wären. Wo sie uns einen </w:t>
      </w:r>
      <w:r w:rsidRPr="00AF5815">
        <w:rPr>
          <w:rFonts w:ascii="Garamond" w:hAnsi="Garamond"/>
          <w:lang w:val="en-GB"/>
        </w:rPr>
        <w:lastRenderedPageBreak/>
        <w:t>Bruch oder Riß zeigt, kann normalerweise eine Gliederung vorhanden sein. Wenn wir einen Kristall zu Boden werfen, zerbricht er, aber nicht willkürlich, er zerfällt dabei nach seinen Spaltrichtungen in Stücke, deren Abgrenzung, obwohl unsichtbar, doch durch die Struktur des Kristalls vorherbestimmt war. Solche rissige und gesprungene Strukturen sind auch die Geisteskranken. Etwas von der ehrfürchtigen Scheu, die alte Völker den Wahnsinnigen bezeugten, können auch wir ihnen nicht versagen. Sie haben sich von der äußeren Realität abgewendet, aber eben darum wissen sie mehr von der inneren, psychischen Realität und können uns manches verraten, was uns sonst unzugänglich wäre. Von einer Gruppe dieser Kranken sagen wir, sie leiden an Beobachtungswahn. Sie klagen uns, daß sie unausgesetzt und bis in ihr intimstes Tun von der Beobachtung unbekannter Mächte, wahrscheinlich doch Personen, belästigt werden, und hören halluzinatorisch, wie diese Personen die Ergebnisse ihrer Beobachtung verkünden: Jetzt will er das sagen, jetzt kleidet er sich an um auszugehen usw. Diese Beobachtung ist noch nicht dasselbe wie eine Verfolgung, aber sie ist nicht weit davon, sie setzt voraus, daß man ihnen mißtraut, daß man erwartet, sie bei verbotenen Handlungen zu ertappen, für die sie gestraft werden sollen. Wie wäre es, wenn diese Wahnsinnigen recht hätten, wenn bei uns allen eine solche beobachtende und strafandrohende Instanz im Ich vorhanden wäre, die sich bei ihnen nur scharf vom Ich gesondert hätte und irrtümlicherweise in die äußere Realität verschoben worden wäre?</w:t>
      </w:r>
    </w:p>
    <w:p w:rsidR="00E22C23" w:rsidRPr="00AF5815" w:rsidRDefault="00E22C23" w:rsidP="00E22C23">
      <w:pPr>
        <w:rPr>
          <w:rFonts w:ascii="Garamond" w:hAnsi="Garamond"/>
          <w:lang w:val="en-GB"/>
        </w:rPr>
      </w:pPr>
      <w:r w:rsidRPr="00AF5815">
        <w:rPr>
          <w:rFonts w:ascii="Garamond" w:hAnsi="Garamond"/>
          <w:lang w:val="en-GB"/>
        </w:rPr>
        <w:t xml:space="preserve">Ich weiß nicht, ob es Ihnen ebenso ergehen wird wie mir. Seitdem ich unter dem starken Eindruck dieses Krankheitsbildes die Idee gefaßt hatte, daß die Sonderung einer beobachtenden Instanz vom übrigen Ich ein regelmäßiger Zug in der Struktur des Ichs sein könnte, hat sie mich nicht mehr verlassen, und ich war getrieben, nach den weiteren Charakteren und Beziehungen dieser so abgesonderten Instanz zu forschen. Der nächste Schritt ist bald getan. Schon der Inhalt des Beobachtungswahns legt es nahe, daß das Beobachten nur eine Vorbereitung ist für das Richten und Strafen, und somit erraten wir, daß eine andere Funktion dieser Instanz das sein muß, was wir unser Gewissen nennen. Es gibt kaum etwas anderes in uns, was wir so regelmäßig von unserem Ich sondern und so leicht ihm entgegenstellen wie gerade das Gewissen. Ich verspüre die Neigung, etwas zu tun, wovon ich mir Lust verspreche, aber ich unterlasse es mit der Begründung: mein Gewissen erlaubt es nicht. Oder ich habe mich von der übergroßen Lusterwartung bewegen lassen, etwas zu tun, wogegen die Stimme des Gewissens Einspruch erhob, und nach der Tat straft mich mein Gewissen mit peinlichen Vorwürfen, läßt mich die Reue ob der Tat empfinden. Ich könnte einfach sagen, die besondere Instanz, die ich im Ich zu unterscheiden beginne, ist das Gewissen, aber es ist vorsichtiger, diese Instanz selbständig zu halten und anzunehmen, das Gewissen sei eine ihrer Funktionen und die Selbstbeobachtung, die als Voraussetzung für die richterliche Tätigkeit des Gewissens unentbehrlich ist, sei eine andere. Und da es zur Anerkennung einer gesonderten Existenz gehört, daß man dem Ding einen eigenen Namen gibt, will ich diese Instanz im Ich von nun an als das » </w:t>
      </w:r>
      <w:r w:rsidRPr="00AF5815">
        <w:rPr>
          <w:rFonts w:ascii="Garamond" w:hAnsi="Garamond"/>
          <w:i/>
          <w:iCs/>
          <w:lang w:val="en-GB"/>
        </w:rPr>
        <w:t>Über-Ich</w:t>
      </w:r>
      <w:r w:rsidRPr="00AF5815">
        <w:rPr>
          <w:rFonts w:ascii="Garamond" w:hAnsi="Garamond"/>
          <w:lang w:val="en-GB"/>
        </w:rPr>
        <w:t>« bezeichnen.</w:t>
      </w:r>
    </w:p>
    <w:p w:rsidR="00E22C23" w:rsidRPr="00AF5815" w:rsidRDefault="00E22C23" w:rsidP="00E22C23">
      <w:pPr>
        <w:rPr>
          <w:rFonts w:ascii="Garamond" w:hAnsi="Garamond"/>
          <w:lang w:val="en-GB"/>
        </w:rPr>
      </w:pPr>
      <w:r w:rsidRPr="00AF5815">
        <w:rPr>
          <w:rFonts w:ascii="Garamond" w:hAnsi="Garamond"/>
          <w:lang w:val="en-GB"/>
        </w:rPr>
        <w:t xml:space="preserve">Jetzt bin ich darauf gefaßt, daß Sie mich höhnisch fragen, ob unsere Ichpsychologie überhaupt darauf hinausläuft, gebräuchliche Abstraktionen wörtlich zu nehmen und zu vergröbern, sie aus Begriffen in Dinge zu verwandeln, womit nicht viel gewonnen wäre. Ich antworte, es wird schwerhalten, in der Ichpsychologie dem Allbekannten auszuweichen, es wird mehr auf neue Auffassungen und Anordnungen ankommen als auf Neuentdeckungen. Bleiben Sie also vorläufig bei Ihrer herabsetzenden Kritik und warten Sie die weiteren Ausführungen ab. Die Tatsachen der Pathologie geben unseren Bemühungen einen Hintergrund, den Sie für die Populärpsychologie vergebens suchen würden. Ich setze fort. Kaum daß wir uns mit der Idee eines solchen Über-Ichs befreundet haben, das eine gewisse Selbständigkeit genießt, seine eigenen Absichten verfolgt und in seinem Energiebesitz vom Ich unabhängig ist, drängt sich uns ein Krankheitsbild auf, das die Strenge, ja die Grausamkeit dieser Instanz und die Wandlungen in ihrer Beziehung zum Ich auffällig verdeutlicht. Ich meine den Zustand der Melancholie, genauer des melancholischen Anfalls, von dem ja auch Sie genug gehört haben, auch wenn Sie nicht Psychiater sind. An diesem Leiden, von dessen Verursachung und Mechanismus wir viel zu wenig wissen, ist der </w:t>
      </w:r>
      <w:r w:rsidRPr="00AF5815">
        <w:rPr>
          <w:rFonts w:ascii="Garamond" w:hAnsi="Garamond"/>
          <w:lang w:val="en-GB"/>
        </w:rPr>
        <w:lastRenderedPageBreak/>
        <w:t>auffälligste Zug die Art, wie das Über-Ich – sagen Sie nur im stillen: das Gewissen – das Ich behandelt. Während der Melancholiker in gesunden Zeiten mehr oder weniger streng gegen sich sein kann, wie ein anderer, wird im melancholischen Anfall das Über-Ich überstreng, beschimpft, erniedrigt, mißhandelt das arme Ich, läßt es die schwersten Strafen erwarten, macht ihm Vorwürfe wegen längst vergangener Handlungen, die zu ihrer Zeit leicht genommen wurden, als hätte es das ganze Intervall über Anklagen gesammelt und nur seine gegenwärtige Erstarkung abgewartet, um mit ihnen hervorzutreten und auf Grund dieser Anklagen zu verurteilen. Das Über-Ich legt den strengsten moralischen Maßstab an das ihm hilflos preisgegebene Ich an, es vertritt ja überhaupt den Anspruch der Moralität, und wir erfassen mit einem Blick, daß unser moralisches Schuldgefühl der Ausdruck der Spannung zwischen Ich und Über-Ich ist. Es ist eine sehr merkwürdige Erfahrung, die Moralität, die uns angeblich von Gott verliehen und so tief eingepflanzt wurde, als periodisches Phänomen zu sehen. Denn nach einer gewissen Anzahl von Monaten ist der ganze moralische Spuk vorüber, die Kritik des Über-Ichs schweigt, das Ich ist rehabilitiert und genießt wieder alle Menschenrechte bis zum nächsten Anfall. Ja bei manchen Formen der Erkrankung findet in den Zwischenzeiten etwas Gegenteiliges statt; das Ich befindet sich in einem seligen Rauschzustand, es triumphiert, als hätte das Über-Ich alle Kraft verloren oder wäre mit dem Ich zusammengeflossen, und dieses freigewordene, manische Ich gestattet sich wirklich hemmungslos die Befriedigung aller seiner Gelüste. Vorgänge, reich an ungelösten Rätseln!</w:t>
      </w:r>
    </w:p>
    <w:p w:rsidR="00E22C23" w:rsidRPr="00AF5815" w:rsidRDefault="00E22C23" w:rsidP="00E22C23">
      <w:pPr>
        <w:rPr>
          <w:rFonts w:ascii="Garamond" w:hAnsi="Garamond"/>
          <w:lang w:val="en-GB"/>
        </w:rPr>
      </w:pPr>
      <w:r w:rsidRPr="00AF5815">
        <w:rPr>
          <w:rFonts w:ascii="Garamond" w:hAnsi="Garamond"/>
          <w:lang w:val="en-GB"/>
        </w:rPr>
        <w:t>Sie werden gewiß mehr als eine bloße Illustration erwarten, wenn ich Ihnen ankündige, daß wir über die Bildung des Über-Ichs, also über die Entstehung des Gewissens, mancherlei gelernt haben. In Anlehnung an einen bekannten Ausspruch Kants, der das Gewissen in uns mit dem gestirnten Himmel zusammenbringt, könnte ein Frommer wohl versucht sein, diese beiden als die Meisterstücke der Schöpfung zu verehren. Die Gestirne sind gewiß großartig, aber was das Gewissen betrifft, so hat Gott hierin ungleichmäßige und nachlässige Arbeit geleistet, denn eine große Überzahl von Menschen hat davon nur ein bescheidenes Maß oder kaum so viel, als noch der Rede wert ist, mitbekommen. Wir verkennen das Stück psychologischer Wahrheit keineswegs, das in der Behauptung, das Gewissen sei göttlicher Herkunft, enthalten ist, aber der Satz bedarf der Deutung. Wenn das Gewissen auch etwas »in uns« ist, so ist es doch nicht von Anfang an. Es ist so recht ein Gegensatz zum Sexualleben, das wirklich vom Anfang des Lebens an da ist und nicht erst später hinzukommt. Aber das kleine Kind ist bekanntlich amoralisch, es besitzt keine inneren Hemmungen gegen seine nach Lust strebenden Impulse. Die Rolle, die späterhin das Über-Ich übernimmt, wird zuerst von einer äußeren Macht, von der elterlichen Autorität, gespielt. Der Elterneinfluß regiert das Kind durch Gewährung von Liebesbeweisen und durch Androhung von Strafen, die dem Kinde den Liebesverlust beweisen und an sich gefürchtet werden müssen. Diese Realangst ist der Vorläufer der späteren Gewissensangst; solange sie herrscht, braucht man von Über-Ich und von Gewissen nicht zu reden. Erst in weiterer Folge bildet sich die sekundäre Situation aus, die wir allzu bereitwillig für die normale halten, daß die äußere Abhaltung verinnerlicht wird, daß an die Stelle der Elterninstanz das Über-Ich tritt, welches nun das Ich genau so beobachtet, lenkt und bedroht wie früher die Eltern das Kind.</w:t>
      </w:r>
    </w:p>
    <w:p w:rsidR="00E22C23" w:rsidRPr="00AF5815" w:rsidRDefault="00E22C23" w:rsidP="00E22C23">
      <w:pPr>
        <w:rPr>
          <w:rFonts w:ascii="Garamond" w:hAnsi="Garamond"/>
          <w:lang w:val="en-GB"/>
        </w:rPr>
      </w:pPr>
      <w:r w:rsidRPr="00AF5815">
        <w:rPr>
          <w:rFonts w:ascii="Garamond" w:hAnsi="Garamond"/>
          <w:lang w:val="en-GB"/>
        </w:rPr>
        <w:t xml:space="preserve">Das Über-Ich, das solcherart die Macht, die Leistung und selbst die Methoden der Elterninstanz übernimmt, ist aber nicht nur der Rechtsnachfolger, sondern wirklich der legitime Leibeserbe derselben. Es geht direkt aus ihr hervor, wir werden bald erfahren, durch welchen Vorgang. Zunächst müssen wir jedoch bei einer Unstimmigkeit zwischen beiden verweilen. Das Über-Ich scheint in einseitiger Auswahl nur die Härte und Strenge der Eltern, ihre verbietende und strafende Funktion aufgegriffen zu haben, während deren liebevolle Fürsorge keine Aufnahme und Fortsetzung findet. Haben die Eltern wirklich ein strenges Regiment geführt, so glauben wir es leicht begreiflich zu finden, wenn sich auch beim Kind ein strenges Über-Ich entwickelt, aber die Erfahrung zeigt, gegen unsere Erwartung, daß das Über-Ich denselben Charakter unerbittlicher Härte erwerben kann, auch wenn die Erziehung milde und gütig war, </w:t>
      </w:r>
      <w:r w:rsidRPr="00AF5815">
        <w:rPr>
          <w:rFonts w:ascii="Garamond" w:hAnsi="Garamond"/>
          <w:lang w:val="en-GB"/>
        </w:rPr>
        <w:lastRenderedPageBreak/>
        <w:t>Drohungen und Strafen möglichst vermieden hat. Wir werden auf diesen Widerspruch später zurückkommen, wenn wir die Triebumsetzungen bei der Bildung des Über-Ichs behandeln.</w:t>
      </w:r>
    </w:p>
    <w:p w:rsidR="00E22C23" w:rsidRPr="00AF5815" w:rsidRDefault="00E22C23" w:rsidP="00E22C23">
      <w:pPr>
        <w:rPr>
          <w:rFonts w:ascii="Garamond" w:hAnsi="Garamond"/>
          <w:lang w:val="en-GB"/>
        </w:rPr>
      </w:pPr>
      <w:r w:rsidRPr="00AF5815">
        <w:rPr>
          <w:rFonts w:ascii="Garamond" w:hAnsi="Garamond"/>
          <w:lang w:val="en-GB"/>
        </w:rPr>
        <w:t xml:space="preserve">Von der Umwandlung der Elternbeziehung in das Über-Ich kann ich Ihnen nicht soviel sagen, wie ich gerne möchte, zum Teil weil dieser Vorgang so verwickelt ist, daß seine Darstellung sich nicht in den Rahmen einer Einführung fügt, wie ich sie Ihnen geben will, zum anderen Teil weil wir selbst nicht glauben, ihn voll durchschaut zu haben. Begnügen Sie sich also mit den folgenden Andeutungen. Die Grundlage dieses Vorganges ist eine sogenannte Identifizierung, d. h. eine Angleichung eines Ichs an ein fremdes, in deren Folge dies erste Ich sich in bestimmten Hinsichten so benimmt wie das andere, es nachahmt, gewissermaßen in sich aufnimmt. Man hat die Identifizierung nicht unpassend mit der oralen, kannibalistischen Einverleibung der fremden Person verglichen. Die Identifizierung ist eine sehr wichtige Form der Bindung an die andere Person, wahrscheinlich die ursprünglichste, nicht dasselbe wie eine Objektwahl. Man kann den Unterschied etwa so ausdrücken: Wenn der Knabe sich mit dem Vater identifiziert, so will er so </w:t>
      </w:r>
      <w:r w:rsidRPr="00AF5815">
        <w:rPr>
          <w:rFonts w:ascii="Garamond" w:hAnsi="Garamond"/>
          <w:i/>
          <w:iCs/>
          <w:lang w:val="en-GB"/>
        </w:rPr>
        <w:t>sein</w:t>
      </w:r>
      <w:r w:rsidRPr="00AF5815">
        <w:rPr>
          <w:rFonts w:ascii="Garamond" w:hAnsi="Garamond"/>
          <w:lang w:val="en-GB"/>
        </w:rPr>
        <w:t xml:space="preserve"> wie der Vater; wenn er ihn zum Objekt seiner Wahl macht, so will er ihn </w:t>
      </w:r>
      <w:r w:rsidRPr="00AF5815">
        <w:rPr>
          <w:rFonts w:ascii="Garamond" w:hAnsi="Garamond"/>
          <w:i/>
          <w:iCs/>
          <w:lang w:val="en-GB"/>
        </w:rPr>
        <w:t>haben</w:t>
      </w:r>
      <w:r w:rsidRPr="00AF5815">
        <w:rPr>
          <w:rFonts w:ascii="Garamond" w:hAnsi="Garamond"/>
          <w:lang w:val="en-GB"/>
        </w:rPr>
        <w:t>, besitzen; im ersten Fall wird sein Ich nach dem Vorbild des Vaters verändert, im zweiten Falle ist dies nicht notwendig. Identifizierung und Objektwahl sind in weitem Ausmaß unabhängig voneinander; man kann sich aber auch mit der nämlichen Person identifizieren, sein Ich nach ihr verändern, die man z. B. zum Sexualobjekt genommen hat. Man sagt, daß die Beeinflussung des Ichs durch das Sexualobjekt besonders häufig bei Frauen vorkommt und für die Weiblichkeit charakteristisch ist. Von der bei weitem lehrreichsten Beziehung zwischen Identifizierung und Objektwahl muß ich Ihnen schon einmal in den früheren Vorlesungen gesprochen haben. Sie ist so leicht an Kindern wie an Erwachsenen, normalen und kranken Menschen zu beobachten. Wenn man ein Objekt verloren hat oder es aufgeben mußte, so entschädigt man sich oft genug dadurch, daß man sich mit ihm identifiziert, es in seinem Ich wieder aufrichtet, so daß hier die Objektwahl gleichsam zur Identifizierung regrediert.</w:t>
      </w:r>
    </w:p>
    <w:p w:rsidR="00E22C23" w:rsidRPr="00AF5815" w:rsidRDefault="00E22C23" w:rsidP="00E22C23">
      <w:pPr>
        <w:rPr>
          <w:rFonts w:ascii="Garamond" w:hAnsi="Garamond"/>
          <w:lang w:val="en-GB"/>
        </w:rPr>
      </w:pPr>
      <w:r w:rsidRPr="00AF5815">
        <w:rPr>
          <w:rFonts w:ascii="Garamond" w:hAnsi="Garamond"/>
          <w:lang w:val="en-GB"/>
        </w:rPr>
        <w:t>Ich bin von diesen Ausführungen über die Identifizierung selbst durchaus nicht befriedigt, aber genug, wenn Sie mir zugeben können, daß die Einsetzung des Über-Ichs als ein gelungener Fall von Identifizierung mit der Elterninstanz beschrieben werden kann. Die für diese Auffassung entscheidende Tatsache ist nun, daß diese Neuschöpfung einer überlegenen Instanz im Ich aufs innigste mit dem Schicksal des Ödipuskomplexes verknüpft ist, so daß das Über-Ich als der Erbe dieser für die Kindheit so bedeutungsvollen Gefühlsbindung erscheint. Wir verstehen, mit dem Auflassen des Ödipuskomplexes mußte das Kind auf die intensiven Objektbesetzungen verzichten, die es bei den Eltern untergebracht hatte, und zur Entschädigung für diesen Objektverlust werden die wahrscheinlich längst vorhandenen Identifizierungen mit den Eltern in seinem Ich so sehr verstärkt. Solche Identifizierungen als Niederschläge aufgegebener Objektbesetzungen werden sich später im Leben des Kindes oft genug wiederholen, aber es entspricht durchaus dem Gefühlswert dieses ersten Falles einer solchen Umsetzung, daß deren Ergebnis eine Sonderstellung im Ich eingeräumt wird. Eingehende Untersuchung belehrt uns auch, daß das Über-Ich in seiner Stärke und Ausbildung verkümmert, wenn die Überwindung des Ödipuskomplexes nur unvollkommen gelingt. Im Laufe der Entwicklung nimmt das Über-Ich auch die Einflüsse jener Personen an, die an die Stelle der Eltern getreten sind, also von Erziehern, Lehrern, idealen Vorbildern. Es entfernt sich normalerweise immer mehr von den ursprünglichen Elternindividuen, es wird sozusagen unpersönlicher. Wir wollen auch nicht daran vergessen, daß das Kind seine Eltern in verschiedenen Lebenszeiten verschieden einschätzt. Zur Zeit, da der Ödipuskomplex dem Über-Ich den Platz räumt, sind sie etwas ganz Großartiges, später büßen sie sehr viel ein. Es kommen dann auch Identifizierungen mit diesen späteren Eltern zustande, sie liefern sogar regelmäßig wichtige Beiträge zur Charakterbildung, aber sie betreffen dann nur das Ich, beeinflussen nicht mehr das Über-Ich, das durch die frühesten Elternimagines bestimmt worden ist.</w:t>
      </w:r>
    </w:p>
    <w:p w:rsidR="00E22C23" w:rsidRPr="00AF5815" w:rsidRDefault="00E22C23" w:rsidP="00E22C23">
      <w:pPr>
        <w:rPr>
          <w:rFonts w:ascii="Garamond" w:hAnsi="Garamond"/>
          <w:lang w:val="en-GB"/>
        </w:rPr>
      </w:pPr>
      <w:r w:rsidRPr="00AF5815">
        <w:rPr>
          <w:rFonts w:ascii="Garamond" w:hAnsi="Garamond"/>
          <w:lang w:val="en-GB"/>
        </w:rPr>
        <w:t xml:space="preserve">Ich hoffe, Sie haben bereits den Eindruck empfangen, daß die Aufstellung des Über-Ichs wirklich ein Strukturverhältnis beschreibt und nicht einfach eine Abstraktion wie die des Gewissens personifiziert. Wir </w:t>
      </w:r>
      <w:r w:rsidRPr="00AF5815">
        <w:rPr>
          <w:rFonts w:ascii="Garamond" w:hAnsi="Garamond"/>
          <w:lang w:val="en-GB"/>
        </w:rPr>
        <w:lastRenderedPageBreak/>
        <w:t>haben noch eine wichtige Funktion zu erwähnen, die wir diesem Über-Ich zuteilen. Es ist auch der Träger des Ichideals, an dem das Ich sich mißt, dem es nachstrebt, dessen Anspruch auf immer weitergehende Vervollkommnung es zu erfüllen bemüht ist. Kein Zweifel, dieses Ichideal ist der Niederschlag der alten Elternvorstellung, der Ausdruck der Bewunderung jener Vollkommenheit, die das Kind ihnen damals zuschrieb.</w:t>
      </w:r>
    </w:p>
    <w:p w:rsidR="00E22C23" w:rsidRPr="00AF5815" w:rsidRDefault="00E22C23" w:rsidP="00E22C23">
      <w:pPr>
        <w:rPr>
          <w:rFonts w:ascii="Garamond" w:hAnsi="Garamond"/>
          <w:lang w:val="en-GB"/>
        </w:rPr>
      </w:pPr>
      <w:r w:rsidRPr="00AF5815">
        <w:rPr>
          <w:rFonts w:ascii="Garamond" w:hAnsi="Garamond"/>
          <w:lang w:val="en-GB"/>
        </w:rPr>
        <w:t>Ich weiß, Sie haben viel von dem Gefühl der Minderwertigkeit gehört, das gerade die Neurotiker auszeichnen soll. Es spukt besonders in der sogenannt schönen Literatur. Ein Schriftsteller, der das Wort Minderwertigkeitskomplex gebraucht, glaubt damit allen Anforderungen der Psychoanalyse Genüge getan und seine Darstellung auf ein höheres psychologisches Niveau gehoben zu haben. In Wirklichkeit wird das Kunstwort Minderwertigkeitskomplex in der Psychoanalyse kaum verwendet. Es bedeutet uns nichts Einfaches, geschweige denn etwas Elementares. Es auf die Selbstwahrnehmung etwaiger Organverkümmerungen zurückzuführen, wie die Schule der sogenannten Individualpsychologen zu tun beliebt, erscheint uns ein kurzsichtiger Irrtum. Das Gefühl der Minderwertigkeit hat stark erotische Wurzeln. Das Kind fühlt sich minderwertig, wenn es merkt, daß es nicht geliebt wird, und ebenso der Erwachsene. Das einzige Organ, das wirklich als minderwertig betrachtet wird, ist der verkümmerte Penis, die Klitoris des Mädchens. Aber der Hauptanteil des Minderwertigkeitsgefühls stammt aus der Beziehung des Ichs zu seinem Über-Ich, ist ebenso wie das Schuldgefühl ein Ausdruck der Spannung zwischen beiden. Minderwertigkeitsgefühl und Schuldgefühl sind überhaupt schwer auseinanderzuhalten. Vielleicht täte man gut daran, im ersteren die erotische Ergänzung zum moralischen Minderwertigkeitsgefühl zu sehen. Wir haben dieser Frage der begrifflichen Abgrenzung in der Psychoanalyse wenig Aufmerksamkeit geschenkt.</w:t>
      </w:r>
    </w:p>
    <w:p w:rsidR="00E22C23" w:rsidRPr="00AF5815" w:rsidRDefault="00E22C23" w:rsidP="00E22C23">
      <w:pPr>
        <w:rPr>
          <w:rFonts w:ascii="Garamond" w:hAnsi="Garamond"/>
          <w:lang w:val="en-GB"/>
        </w:rPr>
      </w:pPr>
      <w:r w:rsidRPr="00AF5815">
        <w:rPr>
          <w:rFonts w:ascii="Garamond" w:hAnsi="Garamond"/>
          <w:lang w:val="en-GB"/>
        </w:rPr>
        <w:t>Gerade weil der Minderwertigkeitskomplex so populär geworden ist, gestatte ich mir, Sie hier mit einer kleinen Abschweifung zu unterhalten. Eine historische Persönlichkeit unserer Zeit, die noch lebt, aber gegenwärtig in den Hintergrund gerückt ist, hat von einer Schädigung während der Geburt eine gewisse Verkümmerung eines Gliedes behalten. Ein sehr bekannter Schriftsteller unserer Tage, der am liebsten Biographien hervorragender Personen bearbeitet, hat auch das Leben dieses von mir bezeichneten Mannes behandelt. Nun mag es ja schwer sein, das Bedürfnis nach psychologischer Vertiefung zu unterdrücken, wenn man eine Biographie schreibt. Unser Autor hat darum den Versuch gewagt, die ganze Charakterentwicklung des Helden über dem Minderwertigkeitsgefühl, das jener körperliche Defekt wachrufen mußte, aufzubauen. Er hat dabei eine kleine, aber nicht unwichtige Tatsache übersehen. Es ist gewöhnlich, daß Mütter, denen das Schicksal ein krankes oder sonst benachteiligtes Kind geschenkt hat, es für diese ungerechte Zurücksetzung durch ein Übermaß von Liebe zu entschädigen suchen. In dem zur Rede stehenden Falle benahm sich die stolze Mutter anders, sie entzog dem Kind ihre Liebe wegen seines Gebrechens. Als aus dem Kinde ein großmächtiger Mann geworden war, bewies dieser durch seine Handlungen unzweideutig, daß er der Mutter nie verziehen hatte. Wenn Sie sich auf die Bedeutung der Mutterliebe für das kindliche Seelenleben besinnen, werden Sie die Minderwertigkeitstheorie des Biographen wohl in Ihren Gedanken korrigieren.</w:t>
      </w:r>
    </w:p>
    <w:p w:rsidR="00E22C23" w:rsidRPr="00AF5815" w:rsidRDefault="00E22C23" w:rsidP="00E22C23">
      <w:pPr>
        <w:rPr>
          <w:rFonts w:ascii="Garamond" w:hAnsi="Garamond"/>
          <w:lang w:val="en-GB"/>
        </w:rPr>
      </w:pPr>
      <w:r w:rsidRPr="00AF5815">
        <w:rPr>
          <w:rFonts w:ascii="Garamond" w:hAnsi="Garamond"/>
          <w:lang w:val="en-GB"/>
        </w:rPr>
        <w:t>Kehren wir zum Über-Ich zurück! Wir haben ihm die Selbstbeobachtung, das Gewissen und die Idealfunktion zugeteilt. Aus unseren Ausführungen über seine Entstehung geht hervor, daß es eine unsäglich wichtige biologische wie eine schicksalsvolle psychologische Tatsache zu Voraussetzungen hat, nämlich die lange Abhängigkeit des Menschenkindes von seinen Eltern und den Ödipuskomplex, die beide wieder innig miteinander verknüpft sind. Das Über-Ich ist für uns die Vertretung aller moralischen Beschränkungen, der Anwalt des Strebens nach Vervollkommnung, kurz das, was uns von dem sogenannt Höheren im Menschenleben psychologisch greifbar geworden ist. Da es selbst auf den Einfluß der Eltern, Erzieher und dergleichen zurückgeht, erfahren wir noch mehr von seiner Bedeutung, wenn wir uns zu diesen seinen Quellen wenden. In der Regel folgen die Eltern und die ihnen analogen Autoritäten in der Erziehung des Kindes den Vorschriften des eigenen Über-Ichs. Wie immer sich ihr Ich mit ihrem Über-</w:t>
      </w:r>
      <w:r w:rsidRPr="00AF5815">
        <w:rPr>
          <w:rFonts w:ascii="Garamond" w:hAnsi="Garamond"/>
          <w:lang w:val="en-GB"/>
        </w:rPr>
        <w:lastRenderedPageBreak/>
        <w:t>Ich auseinandergesetzt haben mag, in der Erziehung des Kindes sind sie streng und anspruchsvoll. Sie haben die Schwierigkeiten ihrer eigenen Kindheit vergessen, sind zufrieden, sich nun voll mit den eigenen Eltern identifizieren zu können, die ihnen seinerzeit die schweren Einschränkungen auferlegt haben. So wird das Über-Ich des Kindes eigentlich nicht nach dem Vorbild der Eltern, sondern des elterlichen Über-Ichs aufgebaut; es erfüllt sich mit dem gleichen Inhalt, es wird zum Träger der Tradition, all der zeitbeständigen Wertungen, die sich auf diesem Wege über Generationen fortgepflanzt haben. Sie erraten leicht, welch wichtige Hilfen für das Verständnis des sozialen Verhaltens der Menschen, z. B. für das der Verwahrlosung, vielleicht auch welch praktische Winke für die Erziehung sich aus der Berücksichtigung des Über-Ichs ergeben. Wahrscheinlich sündigen die sogenannt materialistischen Geschichtsauffassungen darin, daß sie diesen Faktor unterschätzen. Sie tun ihn mit der Bemerkung ab, daß die »Ideologien« der Menschen nichts anderes sind als Ergebnis und Überbau ihrer aktuellen ökonomischen Verhältnisse. Das ist die Wahrheit, aber sehr wahrscheinlich nicht die ganze Wahrheit. Die Menschheit lebt nie ganz in der Gegenwart, in den Ideologien des Über-Ichs lebt die Vergangenheit, die Tradition der Rasse und des Volkes fort, die den Einflüssen der Gegenwart, neuen Veränderungen, nur langsam weicht, und solange sie durch das Über-Ich wirkt, eine mächtige, von den ökonomischen Verhältnissen unabhängige Rolle im Menschenleben spielt.</w:t>
      </w:r>
    </w:p>
    <w:p w:rsidR="00E22C23" w:rsidRPr="00AF5815" w:rsidRDefault="00E22C23" w:rsidP="00E22C23">
      <w:pPr>
        <w:rPr>
          <w:rFonts w:ascii="Garamond" w:hAnsi="Garamond"/>
          <w:lang w:val="en-GB"/>
        </w:rPr>
      </w:pPr>
      <w:r w:rsidRPr="00AF5815">
        <w:rPr>
          <w:rFonts w:ascii="Garamond" w:hAnsi="Garamond"/>
          <w:lang w:val="en-GB"/>
        </w:rPr>
        <w:t>Im Jahre 1921 habe ich versucht, die Differenzierung von Ich und Über-Ich beim Studium der Massenpsychologie zu verwenden. Ich gelangte zu einer Formel wie: Eine psychologische Masse ist eine Vereinigung von Einzelnen, die die nämliche Person in ihr Über-Ich eingeführt und sich auf Grund dieser Gemeinsamkeit in ihrem Ich miteinander identifiziert haben. Sie gilt natürlich nur für Massen, die einen Führer haben. Besäßen wir mehr Anwendungen dieser Art, so würde die Annahme des Über-Ichs das letzte Stück Befremden für uns verlieren und wir würden von jener Befangenheit gänzlich frei werden, die uns doch noch befällt, wenn wir uns, an die Unterweltatmosphäre gewöhnt, in den oberflächlicheren, höheren Schichten des seelischen Apparats bewegen. Wir glauben selbstverständlich nicht, daß wir mit der Sonderung des Über-Ichs das letzte Wort zur Ichpsychologie gesprochen haben. Es ist eher ein erster Anfang, aber in diesem Falle ist nicht nur der Anfang schwer.</w:t>
      </w:r>
    </w:p>
    <w:p w:rsidR="00E22C23" w:rsidRPr="00AF5815" w:rsidRDefault="00E22C23" w:rsidP="00E22C23">
      <w:pPr>
        <w:rPr>
          <w:rFonts w:ascii="Garamond" w:hAnsi="Garamond"/>
          <w:lang w:val="en-GB"/>
        </w:rPr>
      </w:pPr>
      <w:r w:rsidRPr="00AF5815">
        <w:rPr>
          <w:rFonts w:ascii="Garamond" w:hAnsi="Garamond"/>
          <w:lang w:val="en-GB"/>
        </w:rPr>
        <w:t xml:space="preserve">Aber nun wartet unser eine andere Aufgabe, am sozusagen entgegengesetzten Ende des Ichs. Sie wird von einer Beobachtung während der analytischen Arbeit gestellt, einer Beobachtung, die eigentlich sehr alt ist. Wie es schon manchmal geht, hat es lange gebraucht, bis man sich zu ihrer Würdigung entschloß. Wie Sie wissen, ist eigentlich die ganze psychoanalytische Theorie über der Wahrnehmung des Widerstands aufgebaut, den uns der Patient bei dem Versuch, ihm sein Unbewußtes bewußtzumachen, leistet. Das objektive Zeichen des Widerstands ist, daß seine Einfälle versagen oder sich weit von dem behandelten Thema entfernen. Er kann den Widerstand auch subjektiv daran erkennen, daß er peinliche Empfindungen verspürt, wenn er sich dem Thema annähert. Aber dies letzte Zeichen kann auch wegbleiben. Dann sagen wir dem Patienten, daß wir aus seinem Verhalten schließen, er befinde sich jetzt im Widerstande, und er antwortet, er wisse nichts davon, er merke nur die Erschwerung der Einfälle. Es zeigt sich, daß wir recht hatten, aber dann war sein Widerstand auch unbewußt, ebenso unbewußt wie das Verdrängte, an dessen Hebung wir arbeiteten. Man hätte längst die Frage auf werfen sollen: von welchem Teil seines Seelenlebens geht ein solcher unbewußter Widerstand aus? Der Anfänger in der Psychoanalyse wird rasch mit der Antwort zur Hand sein: Es ist eben der Widerstand des Unbewußten. Eine zweideutige, unbrauchbare Antwort! Wenn damit gemeint ist, er gehe vom Verdrängten aus, so müssen wir sagen: Gewiß nicht! Dem Verdrängten müssen wir eher einen starken Auftrieb zuschreiben, einen Drang, zum Bewußtsein durchzudringen. Der Widerstand kann nur eine Äußerung des Ichs sein, das seinerzeit die Verdrängung durchgeführt hat und sie jetzt aufrechthalten will. So haben wir's auch früher immer aufgefaßt. Seitdem wir eine besondere Instanz im Ich annehmen, die die einschränkenden und abweisenden Forderungen vertritt, das Über-Ich, können wir sagen, die Verdrängung sei das Werk des Über-Ichs, es führe sie entweder selbst durch oder in seinem Auftrag das ihm gehorsame Ich. Wenn nun </w:t>
      </w:r>
      <w:r w:rsidRPr="00AF5815">
        <w:rPr>
          <w:rFonts w:ascii="Garamond" w:hAnsi="Garamond"/>
          <w:lang w:val="en-GB"/>
        </w:rPr>
        <w:lastRenderedPageBreak/>
        <w:t>der Fall vorliegt, daß der Widerstand in der Analyse dem Patienten nicht bewußt wird, so heißt das entweder, daß das Über-Ich und das Ich in ganz wichtigen Situationen unbewußt arbeiten können oder, was noch bedeutsamer wäre, daß Anteile von beiden, Ich und Über-Ich selbst, unbewußt sind. In beiden Fällen haben wir von der unerfreulichen Einsicht Kenntnis zu nehmen, daß (Über-)Ich und bewußt einerseits, Verdrängtes und unbewußt anderseits keineswegs zusammenfallen.</w:t>
      </w:r>
    </w:p>
    <w:p w:rsidR="00E22C23" w:rsidRPr="00AF5815" w:rsidRDefault="00E22C23" w:rsidP="00E22C23">
      <w:pPr>
        <w:rPr>
          <w:rFonts w:ascii="Garamond" w:hAnsi="Garamond"/>
          <w:lang w:val="en-GB"/>
        </w:rPr>
      </w:pPr>
      <w:r w:rsidRPr="00AF5815">
        <w:rPr>
          <w:rFonts w:ascii="Garamond" w:hAnsi="Garamond"/>
          <w:lang w:val="en-GB"/>
        </w:rPr>
        <w:t>Meine Damen und Herren! Ich empfinde das Bedürfnis, eine Atempause zu machen, die auch Sie als wohltuend begrüßen werden, und mich, ehe ich fortsetze, bei Ihnen zu entschuldigen. Ich will Ihnen Nachträge zu einer Einführung in die Psychoanalyse geben, die ich vor fünfzehn Jahren begonnen habe, und muß mich benehmen, als hätten auch Sie in dieser Zwischenzeit nichts anderes als Psychoanalyse getrieben. Ich weiß, das ist eine ungehörige Zumutung, aber ich bin hilflos, ich kann es nicht anders machen. Es hängt wohl daran, daß es überhaupt so schwer ist, dem, der nicht selbst Psychoanalytiker ist, einen Einblick in die Psychoanalyse zu geben. Sie können mir glauben, daß wir nicht gern den Anschein erwecken, als seien wir Geheimbündler und betreiben eine Geheimwissenschaft. Und doch mußten wir erkennen und als unsere Überzeugung verkünden, daß niemand das Recht hat, in die Psychoanalyse dreinzureden, wenn er sich nicht bestimmte Erfahrungen erworben hat, die man nur durch eine Analyse an seiner eigenen Person erwerben kann. Als ich Ihnen vor fünfzehn Jahren meine Vorlesungen gab, suchte ich Sie mit gewissen spekulativen Stücken unserer Theorie zu verschonen, aber gerade an die knüpfen die Neuerwerbungen an, von denen ich heute zu sprechen habe.</w:t>
      </w:r>
    </w:p>
    <w:p w:rsidR="00E22C23" w:rsidRPr="00AF5815" w:rsidRDefault="00E22C23" w:rsidP="00E22C23">
      <w:pPr>
        <w:rPr>
          <w:rFonts w:ascii="Garamond" w:hAnsi="Garamond"/>
          <w:lang w:val="en-GB"/>
        </w:rPr>
      </w:pPr>
      <w:r w:rsidRPr="00AF5815">
        <w:rPr>
          <w:rFonts w:ascii="Garamond" w:hAnsi="Garamond"/>
          <w:lang w:val="en-GB"/>
        </w:rPr>
        <w:t xml:space="preserve">Ich kehre zum Thema zurück. In dem Zweifel, ob Ich und Über-Ich selbst unbewußt sein oder nur unbewußte Wirkungen entfalten können, haben wir uns mit guten Gründen für die erstere Möglichkeit entschieden. </w:t>
      </w:r>
      <w:r w:rsidRPr="00AF5815">
        <w:rPr>
          <w:rFonts w:ascii="Garamond" w:hAnsi="Garamond"/>
        </w:rPr>
        <w:t xml:space="preserve">Ja, große Anteile des Ichs und Über-Ichs können unbewußt bleiben, sind normalerweise unbewußt. Das heißt, die Person weiß nichts von deren Inhalten, und es bedarf eines Aufwands an Mühe, sie ihr bewußtzumachen. Es trifft zu, daß Ich und bewußt, Verdrängtes und unbewußt nicht zusammenfallen. </w:t>
      </w:r>
      <w:r w:rsidRPr="00AF5815">
        <w:rPr>
          <w:rFonts w:ascii="Garamond" w:hAnsi="Garamond"/>
          <w:lang w:val="en-GB"/>
        </w:rPr>
        <w:t>Wir empfinden das Bedürfnis, unsere Einstellung zum Problem bewußt-unbewußt gründlich zu revidieren. Zunächst sind wir geneigt, den Wert des Kriteriums der Bewußtheit, da es sich als so unzuverlässig erwiesen hat, recht herabzusetzen. Aber wir täten unrecht daran. Es ist damit wie mit unserem Leben; es ist nicht viel wert, aber es ist alles, was wir haben. Ohne die Leuchte der Bewußtseinsqualität wären wir im Dunkel der Tiefenpsychologie verloren; aber wir dürfen versuchen, uns neu zu orientieren.</w:t>
      </w:r>
    </w:p>
    <w:p w:rsidR="00E22C23" w:rsidRPr="00AF5815" w:rsidRDefault="00E22C23" w:rsidP="00E22C23">
      <w:pPr>
        <w:rPr>
          <w:rFonts w:ascii="Garamond" w:hAnsi="Garamond"/>
          <w:lang w:val="en-GB"/>
        </w:rPr>
      </w:pPr>
      <w:r w:rsidRPr="00AF5815">
        <w:rPr>
          <w:rFonts w:ascii="Garamond" w:hAnsi="Garamond"/>
          <w:lang w:val="en-GB"/>
        </w:rPr>
        <w:t xml:space="preserve">Was man bewußt heißen soll, brauchen wir nicht zu erörtern, es ist jedem Zweifel entzogen. Die älteste und beste Bedeutung des Wortes »unbewußt« ist die deskriptive; wir nennen unbewußt einen psychischen Vorgang, dessen Existenz wir annehmen müssen, etwa weil wir ihn aus seinen Wirkungen erschließen, von dem wir aber nichts wissen. Wir haben dann zu ihm dieselbe Beziehung wie zu einem psychischen Vorgang bei einem anderen Menschen, nur daß er eben einer unserer eigenen ist. Wenn wir noch korrekter sein wollen, werden wir den Satz dahin modifizieren, daß wir einen Vorgang unbewußt heißen, wenn wir annehmen müssen, er sei </w:t>
      </w:r>
      <w:r w:rsidRPr="00AF5815">
        <w:rPr>
          <w:rFonts w:ascii="Garamond" w:hAnsi="Garamond"/>
          <w:i/>
          <w:iCs/>
          <w:lang w:val="en-GB"/>
        </w:rPr>
        <w:t>derzeit</w:t>
      </w:r>
      <w:r w:rsidRPr="00AF5815">
        <w:rPr>
          <w:rFonts w:ascii="Garamond" w:hAnsi="Garamond"/>
          <w:lang w:val="en-GB"/>
        </w:rPr>
        <w:t xml:space="preserve"> aktiviert, obwohl wir </w:t>
      </w:r>
      <w:r w:rsidRPr="00AF5815">
        <w:rPr>
          <w:rFonts w:ascii="Garamond" w:hAnsi="Garamond"/>
          <w:i/>
          <w:iCs/>
          <w:lang w:val="en-GB"/>
        </w:rPr>
        <w:t>derzeit</w:t>
      </w:r>
      <w:r w:rsidRPr="00AF5815">
        <w:rPr>
          <w:rFonts w:ascii="Garamond" w:hAnsi="Garamond"/>
          <w:lang w:val="en-GB"/>
        </w:rPr>
        <w:t xml:space="preserve"> nichts von ihm wissen. Diese Einschränkung läßt uns daran denken, daß die meisten bewußten Vorgänge nur kurze Zeit bewußt sind; sehr bald werden sie </w:t>
      </w:r>
      <w:r w:rsidRPr="00AF5815">
        <w:rPr>
          <w:rFonts w:ascii="Garamond" w:hAnsi="Garamond"/>
          <w:i/>
          <w:iCs/>
          <w:lang w:val="en-GB"/>
        </w:rPr>
        <w:t>latent</w:t>
      </w:r>
      <w:r w:rsidRPr="00AF5815">
        <w:rPr>
          <w:rFonts w:ascii="Garamond" w:hAnsi="Garamond"/>
          <w:lang w:val="en-GB"/>
        </w:rPr>
        <w:t xml:space="preserve">, können aber leicht wiederum bewußt werden. Wir könnten auch sagen, sie seien unbewußt geworden, wenn es überhaupt sicher wäre, daß sie im Zustand der Latenz noch etwas Psychisches sind. Soweit hätten wir nichts Neues erfahren, auch nicht das Recht erworben, den Begriff eines Unbewußten in die Psychologie einzuführen. Dann kommt aber die neue Erfahrung, die wir schon an den Fehlleistungen machen können. Wir sehen uns z. B. zur Erklärung eines Versprechens genötigt anzunehmen, daß sich bei dem Betreffenden eine bestimmte Redeabsicht gebildet hatte. Wir erraten sie mit Sicherheit aus der vorgefallenen Störung der Rede, aber sie hatte sich nicht durchgesetzt, sie war also unbewußt. Wenn wir sie nachträglich dem Redner vorführen, kann er sie als eine ihm vertraute anerkennen, dann war sie nur zeitweilig unbewußt, oder sie als ihm fremd verleugnen, dann war sie dauernd unbewußt. Aus dieser Erfahrung schöpfen wir rückgreifend das Recht, auch das als latent </w:t>
      </w:r>
      <w:r w:rsidRPr="00AF5815">
        <w:rPr>
          <w:rFonts w:ascii="Garamond" w:hAnsi="Garamond"/>
          <w:lang w:val="en-GB"/>
        </w:rPr>
        <w:lastRenderedPageBreak/>
        <w:t>Bezeichnete für ein Unbewußtes zu erklären. Die Berücksichtigung dieser dynamischen Verhältnisse gestattet uns jetzt, zweierlei Unbewußtes zu unterscheiden, eines, das leicht, unter häufig hergestellten Bedingungen, sich in Bewußtes umwandelt, ein anderes, bei dem diese Umsetzung schwer, nur unter erheblichem Müheaufwand, möglicherweise niemals erfolgt. Um der Zweideutigkeit zu entgehen, ob wir das eine oder das andere Unbewußte meinen, das Wort im deskriptiven oder im dynamischen Sinn gebrauchen, wenden wir ein erlaubtes, einfaches Auskunftsmittel an. Wir heißen jenes Unbewußte, das nur latent ist und so leicht bewußt wird, das Vorbewußte, behalten die Bezeichnung »unbewußt« dem anderen vor. Wir haben nun drei Termini: bewußt, vorbewußt, unbewußt, mit denen wir in der Beschreibung der seelischen Phänomene unser Auskommen finden. Nochmals, rein deskriptiv ist auch das Vorbewußte unbewußt, aber wir bezeichnen es nicht so, außer in lockerer Darstellung oder wenn wir die Existenz unbewußter Vorgänge überhaupt im Seelenleben zu verteidigen haben.</w:t>
      </w:r>
    </w:p>
    <w:p w:rsidR="00E22C23" w:rsidRPr="00AF5815" w:rsidRDefault="00E22C23" w:rsidP="00E22C23">
      <w:pPr>
        <w:rPr>
          <w:rFonts w:ascii="Garamond" w:hAnsi="Garamond"/>
          <w:lang w:val="en-GB"/>
        </w:rPr>
      </w:pPr>
      <w:r w:rsidRPr="00AF5815">
        <w:rPr>
          <w:rFonts w:ascii="Garamond" w:hAnsi="Garamond"/>
          <w:lang w:val="en-GB"/>
        </w:rPr>
        <w:t xml:space="preserve">Sie werden mir hoffentlich zugeben, das sei so weit nicht gar arg und erlaube eine bequeme Handhabung. Ja, aber leider hat die psychoanalytische Arbeit sich gedrängt gefunden, das Wort unbewußt noch in einem anderen, dritten, Sinn zu verwenden, und das mag allerdings Verwirrung gestiftet haben. Unter dem neuen und starken Eindruck, daß ein weites und wichtiges Gebiet des Seelenlebens der Kenntnis des Ichs normalerweise entzogen ist, so daß die Vorgänge darin als unbewußte im richtigen dynamischen Sinn anerkannt werden müssen, haben wir den Terminus »unbewußt« auch in einem topischen oder systematischen Sinn verstanden, von einem System des Vorbewußten und des Unbewußten gesprochen, von einem Konflikt des Ichs mit dem System Ubw, das Wort immer mehr eher eine seelische Provinz bedeuten lassen als eine Qualität des Seelischen. Die eigentlich unbequeme Entdeckung, daß auch Anteile des Ichs und Über-Ichs im dynamischen Sinne unbewußt sind, wirkt hier wie eine Erleichterung, gestattet uns, eine Komplikation wegzuräumen. Wir sehen, wir haben kein Recht, das ichfremde Seelengebiet das System Ubw zu nennen, da die Unbewußtheit nicht sein ausschließender Charakter ist. Gut, so wollen wir »unbewußt« nicht mehr im systematischen Sinn gebrauchen und dem bisher so Bezeichneten einen besseren, nicht mehr mißverständlichen Namen geben. In Anlehnung an den Sprachgebrauch bei Nietzsche und infolge einer Anregung von G. Groddeck heißen wir es fortan das </w:t>
      </w:r>
      <w:r w:rsidRPr="00AF5815">
        <w:rPr>
          <w:rFonts w:ascii="Garamond" w:hAnsi="Garamond"/>
          <w:i/>
          <w:iCs/>
          <w:lang w:val="en-GB"/>
        </w:rPr>
        <w:t>Es.</w:t>
      </w:r>
      <w:r w:rsidRPr="00AF5815">
        <w:rPr>
          <w:rFonts w:ascii="Garamond" w:hAnsi="Garamond"/>
          <w:lang w:val="en-GB"/>
        </w:rPr>
        <w:t xml:space="preserve"> Dies unpersönliche Fürwort scheint besonders geeignet, den Hauptcharakter dieser Seelenprovinz, ihre Ichfremdheit, auszudrücken. Über-Ich, Ich und Es sind nun die drei Reiche, Gebiete, Provinzen, in die wir den Seelenapparat der Person zerlegen, mit deren gegenseitigen Beziehungen wir uns im weiteren beschäftigen wollen.</w:t>
      </w:r>
    </w:p>
    <w:p w:rsidR="00E22C23" w:rsidRPr="00AF5815" w:rsidRDefault="00E22C23" w:rsidP="00E22C23">
      <w:pPr>
        <w:rPr>
          <w:rFonts w:ascii="Garamond" w:hAnsi="Garamond"/>
          <w:lang w:val="en-GB"/>
        </w:rPr>
      </w:pPr>
      <w:r w:rsidRPr="00AF5815">
        <w:rPr>
          <w:rFonts w:ascii="Garamond" w:hAnsi="Garamond"/>
          <w:lang w:val="en-GB"/>
        </w:rPr>
        <w:t>Vorher nur eine kurze Einschaltung. Ich vermute, Sie sind unzufrieden damit, daß die drei Qualitäten der Bewußtheit und die drei Provinzen des seelischen Apparats sich nicht zu drei friedlichen Paaren zusammengefunden haben, und sehen darin etwas wie eine Trübung unserer Resultate. Ich meine aber, wir sollten es nicht bedauern und sollten uns sagen, daß wir kein Recht hatten, eine so glatte Anordnung zu erwarten. Lassen Sie mich eine Vergleichung bringen; Vergleiche entscheiden nichts, das ist wahr, aber sie können machen, daß man sich heimischer fühlt. Ich imaginiere ein Land mit mannigfaltiger Bodengestaltung, Hügelland, Ebene und Seenketten, mit gemischter Bevölkerung – es wohnen darin Deutsche, Magyaren und Slowaken, die auch verschiedene Tätigkeiten betreiben. Nun könnte die Verteilung so sein, daß im Hügelland die Deutschen wohnen, die Viehzüchter sind, im Flachland die Magyaren, die Getreide und Wein bauen, an den Seen die Slowaken, die Fische fangen und Schilf flechten. Wenn diese Verteilung glatt und reinlich wäre, würde ein Wilson seine Freude an ihr haben; es wäre auch bequem für den Vortrag in der Geographiestunde. Es ist aber wahrscheinlich, daß Sie weniger Ordnung und mehr Vermengung finden, wenn Sie die Gegend bereisen. Deutsche, Magyaren und Slowaken leben überall durcheinander, im Hügelland gibt es auch Äcker, in der Ebene wird auch Vieh gehalten. Einiges ist natürlich so, wie Sie es erwartet haben, denn auf Bergen kann man keine Fische fangen, im Wasser wächst kein Wein. Ja, das Bild der Gegend, das Sie mitgebracht haben, mag im großen und ganzen zutreffend sein; im einzelnen werden Sie sich Abweichungen gefallen lassen.</w:t>
      </w:r>
    </w:p>
    <w:p w:rsidR="00E22C23" w:rsidRPr="00AF5815" w:rsidRDefault="00E22C23" w:rsidP="00E22C23">
      <w:pPr>
        <w:rPr>
          <w:rFonts w:ascii="Garamond" w:hAnsi="Garamond"/>
          <w:lang w:val="en-GB"/>
        </w:rPr>
      </w:pPr>
      <w:r w:rsidRPr="00AF5815">
        <w:rPr>
          <w:rFonts w:ascii="Garamond" w:hAnsi="Garamond"/>
        </w:rPr>
        <w:lastRenderedPageBreak/>
        <w:t xml:space="preserve">Sie erwarten nicht, daß ich Ihnen vom </w:t>
      </w:r>
      <w:r w:rsidRPr="00AF5815">
        <w:rPr>
          <w:rFonts w:ascii="Garamond" w:hAnsi="Garamond"/>
          <w:i/>
          <w:iCs/>
        </w:rPr>
        <w:t>Es</w:t>
      </w:r>
      <w:r w:rsidRPr="00AF5815">
        <w:rPr>
          <w:rFonts w:ascii="Garamond" w:hAnsi="Garamond"/>
        </w:rPr>
        <w:t xml:space="preserve"> außer dem neuen Namen viel Neues mitzuteilen habe. Es ist der dunkle, unzugängliche Teil unserer Persönlichkeit; das wenige, was wir von ihm wissen, haben wir durch das Studium der Traumarbeit und der neurotischen Symptombildung erfahren und das meiste davon hat negativen Charakter, läßt sich nur als Gegensatz zum Ich beschreiben. Wir nähern uns dem Es mit Vergleichen, nennen es ein Chaos, einen Kessel voll brodelnder Erregungen. </w:t>
      </w:r>
      <w:r w:rsidRPr="00AF5815">
        <w:rPr>
          <w:rFonts w:ascii="Garamond" w:hAnsi="Garamond"/>
          <w:lang w:val="en-GB"/>
        </w:rPr>
        <w:t>Wir stellen uns vor, es sei am Ende gegen das Somatische offen, nehme da die Triebbedürfnisse in sich auf, die in ihm ihren psychischen Ausdruck finden, wir können aber nicht sagen, in welchem Substrat. Von den Trieben her erfüllt es sich mit Energie, aber es hat keine Organisation, bringt keinen Gesamtwillen auf, nur das Bestreben, den Triebbedürfnissen unter Einhaltung des Lustprinzips Befriedigung zu schaffen. Für die Vorgänge im Es gelten die logischen Denkgesetze nicht, vor allem nicht der Satz des Widerspruchs. Gegensätzliche Regungen bestehen nebeneinander, ohne einander aufzuheben oder sich voneinander abzuziehen, höchstens daß sie unter dem herrschenden ökonomischen Zwang zur Abfuhr der Energie zu Kompromißbildungen zusammentreten. Es gibt im Es nichts, was man der Negation gleichstellen könnte, auch nimmt man mit Überraschung die Ausnahme von dem Satz der Philosophen wahr, daß Raum und Zeit notwendige Formen unserer seelischen Akte seien. Im Es findet sich nichts, was der Zeitvorstellung entspricht, keine Anerkennung eines zeitlichen Ablaufs und, was höchst merkwürdig ist und seiner Würdigung im philosophischen Denken wartet, keine Veränderung des seelischen Vorgangs durch den Zeitablauf. Wunschregungen, die das Es nie überschritten haben, aber auch Eindrücke, die durch Verdrängung ins Es versenkt worden sind, sind virtuell unsterblich, verhalten sich nach Dezennien, als ob sie neu vorgefallen wären. Als Vergangenheit erkannt, entwertet und ihrer Energiebesetzung beraubt können sie erst werden, wenn sie durch die analytische Arbeit bewußt geworden sind, und darauf beruht nicht zum kleinsten Teil die therapeutische Wirkung der analytischen Behandlung.</w:t>
      </w:r>
    </w:p>
    <w:p w:rsidR="00E22C23" w:rsidRPr="00AF5815" w:rsidRDefault="00E22C23" w:rsidP="00E22C23">
      <w:pPr>
        <w:rPr>
          <w:rFonts w:ascii="Garamond" w:hAnsi="Garamond"/>
          <w:lang w:val="en-GB"/>
        </w:rPr>
      </w:pPr>
      <w:r w:rsidRPr="00AF5815">
        <w:rPr>
          <w:rFonts w:ascii="Garamond" w:hAnsi="Garamond"/>
          <w:lang w:val="en-GB"/>
        </w:rPr>
        <w:t>Ich habe immer wieder den Eindruck, daß wir aus dieser über jedem Zweifel feststehenden Tatsache der Unveränderlichkeit des Verdrängten durch die Zeit viel zu wenig für unsere Theorie gemacht haben. Da scheint sich doch ein Zugang zu den tiefsten Einsichten zu eröffnen. Leider bin auch ich da nicht weitergekommen.</w:t>
      </w:r>
    </w:p>
    <w:p w:rsidR="00E22C23" w:rsidRPr="00AF5815" w:rsidRDefault="00E22C23" w:rsidP="00E22C23">
      <w:pPr>
        <w:rPr>
          <w:rFonts w:ascii="Garamond" w:hAnsi="Garamond"/>
        </w:rPr>
      </w:pPr>
      <w:r w:rsidRPr="00AF5815">
        <w:rPr>
          <w:rFonts w:ascii="Garamond" w:hAnsi="Garamond"/>
          <w:lang w:val="en-GB"/>
        </w:rPr>
        <w:t xml:space="preserve">Selbstverständlich kennt das Es keine Wertungen, kein Gut und Böse, keine Moral. Das ökonomische oder, wenn Sie wollen, quantitative Moment, mit dem Lustprinzip innig verknüpft, beherrscht alle Vorgänge. Triebbesetzungen, die nach Abfuhr verlangen, das, meinen wir, sei alles im Es. Es scheint sogar, daß sich die Energie dieser Triebregungen in einem andern Zustand befindet als in den andern seelischen Bezirken, weit leichter beweglich und abfuhrfähig ist, denn sonst würden nicht jene Verschiebungen und Verdichtungen vorfallen, die für das Es charakteristisch sind und die so vollkommen von der Qualität des Besetzten – im Ich würden wir es eine Vorstellung nennen – absehen. Man gäbe was darum, wenn man von diesen Dingen mehr verstehen könnte! Sie sehen übrigens, daß wir in der Lage sind, vom Es noch andere Eigenschaften anzugeben, als daß es unbewußt ist, und Sie erkennen die Möglichkeit, daß Teile vom Ich und Über-Ich unbewußt seien, ohne die nämlichen primitiven und irrationellen Charaktere zu besitzen. Zu einer Charakteristik des eigentlichen Ichs, insofern es sich vom Es und vom Über-Ich sondern läßt, gelangen wir am ehesten, wenn wir seine Beziehung zum äußersten oberflächlichen Stück des seelischen Apparats ins Auge fassen, das wir als das System W-Bw bezeichnen. Dieses System ist der Außenwelt zugewendet, es vermittelt die Wahrnehmungen von ihr, in ihm entsteht während seiner Funktion das Phänomen des Bewußtseins. </w:t>
      </w:r>
      <w:r w:rsidRPr="00AF5815">
        <w:rPr>
          <w:rFonts w:ascii="Garamond" w:hAnsi="Garamond"/>
        </w:rPr>
        <w:t xml:space="preserve">Es ist das Sinnesorgan des ganzen Apparats, empfänglich übrigens nicht nur für Erregungen, die von außen, sondern auch für solche, die aus dem Inneren des Seelenlebens herankommen. Die Auffassung bedarf kaum einer Rechtfertigung, daß das Ich jener Teil des Es ist, der durch die Nähe und den Einfluß der Außenwelt modifiziert wurde, zur Reizaufnahme und zum Reizschutz eingerichtet, vergleichbar der Rindenschicht, mit der sich ein Klümpchen lebender Substanz umgibt. Die Beziehung zur Außenwelt ist für das Ich entscheidend geworden, es hat die Aufgabe übernommen, sie bei dem Es zu vertreten, zum Heil des Es, das ohne </w:t>
      </w:r>
      <w:r w:rsidRPr="00AF5815">
        <w:rPr>
          <w:rFonts w:ascii="Garamond" w:hAnsi="Garamond"/>
        </w:rPr>
        <w:lastRenderedPageBreak/>
        <w:t>Rücksicht auf diese übergewaltige Außenmacht im blinden Streben nach Triebbefriedigung der Vernichtung nicht entgehen würde. In der Erfüllung dieser Funktion muß das Ich die Außenwelt beobachten, eine getreue Abbildung von ihr in den Erinnerungsspuren seiner Wahrnehmungen niederlegen, durch die Tätigkeit der Realitätsprüfung fernhalten, was an diesem Bild der Außenwelt Zutat aus inneren Erregungsquellen ist. Im Auftrag des Es beherrscht das Ich die Zugänge zur Motilität, aber es hat zwischen Bedürfnis und Handlung den Aufschub der Denkarbeit eingeschaltet, während dessen es die Erinnerungsreste der Erfahrung verwertet. Auf solche Weise hat es das Lustprinzip entthront, das uneingeschränkt den Ablauf der Vorgänge im Es beherrscht, und es durch das Realitätsprinzip ersetzt, das mehr Sicherheit und größeren Erfolg verspricht.</w:t>
      </w:r>
    </w:p>
    <w:p w:rsidR="00E22C23" w:rsidRPr="00AF5815" w:rsidRDefault="00E22C23" w:rsidP="00E22C23">
      <w:pPr>
        <w:rPr>
          <w:rFonts w:ascii="Garamond" w:hAnsi="Garamond"/>
        </w:rPr>
      </w:pPr>
      <w:r w:rsidRPr="00AF5815">
        <w:rPr>
          <w:rFonts w:ascii="Garamond" w:hAnsi="Garamond"/>
        </w:rPr>
        <w:t>Auch die so schwer zu beschreibende Beziehung zur Zeit wird dem Ich durch das Wahrnehmungssystem vermittelt; es ist kaum zweifelhaft, daß die Arbeitsweise dieses Systems der Zeitvorstellung den Ursprung gibt. Was das Ich zum Unterschied vom Es aber ganz besonders auszeichnet, ist ein Zug zur Synthese seiner Inhalte, zur Zusammenfassung und Vereinheitlichung seiner seelischen Vorgänge, der dem Es völlig abgeht. Wenn wir nächstens einmal von den Trieben im Seelenleben handeln, wird es uns hoffentlich gelingen, diesen wesentlichen Charakter des Ichs auf seine Quelle zurückzuführen. Er allein stellt jenen hohen Grad von Organisation her, dessen das Ich bei seinen besten Leistungen bedarf. Es entwickelt sich von der Triebwahrnehmung zur Triebbeherrschung, aber die letztere wird nur dadurch erreicht, daß die Triebrepräsentanz in einen größeren Verband eingeordnet, in einen Zusammenhang aufgenommen wird. Wenn wir uns populären Redeweisen anpassen, dürfen wir sagen, daß das Ich im Seelenleben Vernunft und Besonnenheit vertritt, das Es aber die ungezähmten Leidenschaften.</w:t>
      </w:r>
    </w:p>
    <w:p w:rsidR="00E22C23" w:rsidRPr="00AF5815" w:rsidRDefault="00E22C23" w:rsidP="00E22C23">
      <w:pPr>
        <w:rPr>
          <w:rFonts w:ascii="Garamond" w:hAnsi="Garamond"/>
          <w:lang w:val="en-GB"/>
        </w:rPr>
      </w:pPr>
      <w:r w:rsidRPr="00AF5815">
        <w:rPr>
          <w:rFonts w:ascii="Garamond" w:hAnsi="Garamond"/>
        </w:rPr>
        <w:t xml:space="preserve">Wir haben uns bisher durch die Aufzählung der Vorzüge und Fähigkeiten des Ichs imponieren lassen; es ist jetzt Zeit, auch der Kehrseite zu gedenken. Das Ich ist doch nur ein Stück vom Es, ein durch die Nähe der gefahrdrohenden Außenwelt zweckmäßig verändertes Stück. </w:t>
      </w:r>
      <w:r w:rsidRPr="00AF5815">
        <w:rPr>
          <w:rFonts w:ascii="Garamond" w:hAnsi="Garamond"/>
          <w:lang w:val="en-GB"/>
        </w:rPr>
        <w:t xml:space="preserve">In dynamischer Hinsicht ist es schwach, seine Energien hat es dem Es entlehnt, und wir sind nicht ganz ohne Einsicht in die Methoden, man könnte sagen: in die Schliche, durch die es dem Es weitere Energiebeträge entzieht. Ein solcher Weg ist zum Beispiel auch die Identifizierung mit beibehaltenen oder aufgegebenen Objekten. Die Objektbesetzungen gehen von den Triebansprüchen des Es aus. Das Ich hat sie zunächst zu registrieren. Aber indem es sich mit dem Objekt identifiziert, empfiehlt es sich dem Es an Stelle des Objekts, will es die Libido des Es auf sich lenken. Wir haben schon gehört, daß das Ich im Lauf des Lebens eine große Anzahl von solchen Niederschlägen ehemaliger Objektbesetzungen in sich aufnimmt. Im ganzen muß das Ich die Absichten des Es durchführen, es erfüllt seine Aufgabe, wenn es die Umstände ausfindig macht, unter denen diese Absichten am besten erreicht werden können. </w:t>
      </w:r>
      <w:r w:rsidRPr="00AF5815">
        <w:rPr>
          <w:rFonts w:ascii="Garamond" w:hAnsi="Garamond"/>
        </w:rPr>
        <w:t xml:space="preserve">Man könnte das Verhältnis des Ichs zum Es mit dem des Reiters zu seinem Pferd vergleichen. Das Pferd gibt die Energie für die Lokomotion her, der Reiter hat das Vorrecht, das Ziel zu bestimmen, die Bewegung des starken Tieres zu leiten. </w:t>
      </w:r>
      <w:r w:rsidRPr="00AF5815">
        <w:rPr>
          <w:rFonts w:ascii="Garamond" w:hAnsi="Garamond"/>
          <w:lang w:val="en-GB"/>
        </w:rPr>
        <w:t>Aber zwischen Ich und Es ereignet sich allzu häufig der nicht ideale Fall, daß der Reiter das Roß dahin führen muß, wohin es selbst gehen will.</w:t>
      </w:r>
    </w:p>
    <w:p w:rsidR="00E22C23" w:rsidRPr="00AF5815" w:rsidRDefault="00E22C23" w:rsidP="00E22C23">
      <w:pPr>
        <w:rPr>
          <w:rFonts w:ascii="Garamond" w:hAnsi="Garamond"/>
          <w:lang w:val="en-GB"/>
        </w:rPr>
      </w:pPr>
      <w:r w:rsidRPr="00AF5815">
        <w:rPr>
          <w:rFonts w:ascii="Garamond" w:hAnsi="Garamond"/>
          <w:lang w:val="en-GB"/>
        </w:rPr>
        <w:t>Von einem Teil des Es hat sich das Ich durch Verdrängungswiderstände geschieden. Aber die Verdrängung setzt sich nicht in das Es fort. Das Verdrängte fließt mit dem übrigen Es zusammen.</w:t>
      </w:r>
    </w:p>
    <w:p w:rsidR="00E22C23" w:rsidRPr="00AF5815" w:rsidRDefault="00E22C23" w:rsidP="00E22C23">
      <w:pPr>
        <w:rPr>
          <w:rFonts w:ascii="Garamond" w:hAnsi="Garamond"/>
          <w:lang w:val="en-GB"/>
        </w:rPr>
      </w:pPr>
      <w:r w:rsidRPr="00AF5815">
        <w:rPr>
          <w:rFonts w:ascii="Garamond" w:hAnsi="Garamond"/>
          <w:lang w:val="en-GB"/>
        </w:rPr>
        <w:t xml:space="preserve">Ein Sprichwort warnt davor, gleichzeitig zwei Herren zu dienen. Das arme Ich hat es noch schwerer, es dient drei gestrengen Herren, ist bemüht, deren Ansprüche und Forderungen in Einklang miteinander zu bringen. Diese Ansprüche gehen immer auseinander, scheinen oft unvereinbar zu sein; kein Wunder, wenn das Ich so oft an seiner Aufgabe scheitert. Die drei Zwingherren sind die Außenwelt, das Überich und das Es. Wenn man die Anstrengungen des Ichs verfolgt, ihnen gleichzeitig gerecht zu werden, besser gesagt: ihnen gleichzeitig zu gehorchen, kann man nicht bereuen, dieses Ich personifiziert, es als ein besonderes Wesen hingestellt zu haben. Es fühlt sich von drei Seiten her eingeengt, von dreierlei Gefahren bedroht, auf die es im Falle der Bedrängnis mit Angstentwicklung reagiert. Durch seine </w:t>
      </w:r>
      <w:r w:rsidRPr="00AF5815">
        <w:rPr>
          <w:rFonts w:ascii="Garamond" w:hAnsi="Garamond"/>
          <w:lang w:val="en-GB"/>
        </w:rPr>
        <w:lastRenderedPageBreak/>
        <w:t>Herkunft aus den Erfahrungen des Wahrnehmungssystems ist es dazu bestimmt, die Anforderungen der Außenwelt zu vertreten, aber es will auch der getreue Diener des Es sein, im Einvernehmen mit ihm bleiben, sich ihm als Objekt empfehlen, seine Libido auf sich ziehen. In seinem Vermittlungsbestreben zwischen Es und Realität ist es oft genötigt, die ubw Gebote des Es mit seinen vbw Rationalisierungen zu bekleiden, die Konflikte des Es mit der Realität zu vertuschen, mit diplomatischer Unaufrichtigkeit eine Rücksichtnahme auf die Realität vorzuspiegeln, auch wenn das Es starr und unnachgiebig geblieben ist. Anderseits wird es auf Schritt und Tritt von dem gestrengen Über-Ich beobachtet, das ihm bestimmte Normen seines Verhaltens vorhält, ohne Rücksicht auf die Schwierigkeiten von seiten des Es und der Außenwelt zu nehmen, und es im Falle der Nichteinhaltung mit den Spannungsgefühlen der Minderwertigkeit und des Schuldbewußtseins bestraft. So vom Es getrieben, vom Über-Ich eingeengt, von der Realität zurückgestoßen, ringt das Ich um die Bewältigung seiner ökonomischen Aufgabe, die Harmonie unter den Kräften und Einflüssen herzustellen, die in ihm und auf es wirken, und wir verstehen, warum wir so oft den Ausruf nicht unterdrücken können: Das Leben ist nicht leicht! Wenn das Ich seine Schwäche einbekennen muß, bricht es in Angst aus, Realangst vor der Außenwelt, Gewissensangst vor dem Über-Ich, neurotische Angst vor der Stärke der Leidenschaften im Es.</w:t>
      </w:r>
    </w:p>
    <w:p w:rsidR="00E22C23" w:rsidRPr="00AF5815" w:rsidRDefault="00E22C23" w:rsidP="00E22C23">
      <w:pPr>
        <w:rPr>
          <w:rFonts w:ascii="Garamond" w:hAnsi="Garamond"/>
          <w:lang w:val="en-GB"/>
        </w:rPr>
      </w:pPr>
      <w:r w:rsidRPr="00AF5815">
        <w:rPr>
          <w:rFonts w:ascii="Garamond" w:hAnsi="Garamond"/>
          <w:lang w:val="en-GB"/>
        </w:rPr>
        <w:t>Die Strukturverhältnisse der seelischen Persönlichkeit, die ich vor Ihnen entwickelt habe, möchte ich in einer anspruchslosen Zeichnung darstellen, die ich Ihnen hier vorlege.</w:t>
      </w:r>
    </w:p>
    <w:p w:rsidR="00E22C23" w:rsidRPr="00AF5815" w:rsidRDefault="00E22C23" w:rsidP="00E22C23">
      <w:pPr>
        <w:rPr>
          <w:rFonts w:ascii="Garamond" w:hAnsi="Garamond"/>
        </w:rPr>
      </w:pPr>
      <w:r>
        <w:rPr>
          <w:rFonts w:ascii="Garamond" w:hAnsi="Garamond"/>
          <w:noProof/>
          <w:lang w:eastAsia="fr-FR"/>
        </w:rPr>
        <w:drawing>
          <wp:inline distT="0" distB="0" distL="0" distR="0">
            <wp:extent cx="2855595" cy="4164330"/>
            <wp:effectExtent l="19050" t="0" r="1905" b="0"/>
            <wp:docPr id="49" name="Image 31" descr="a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bb1"/>
                    <pic:cNvPicPr>
                      <a:picLocks noChangeAspect="1" noChangeArrowheads="1"/>
                    </pic:cNvPicPr>
                  </pic:nvPicPr>
                  <pic:blipFill>
                    <a:blip r:embed="rId1471" cstate="print"/>
                    <a:srcRect/>
                    <a:stretch>
                      <a:fillRect/>
                    </a:stretch>
                  </pic:blipFill>
                  <pic:spPr bwMode="auto">
                    <a:xfrm>
                      <a:off x="0" y="0"/>
                      <a:ext cx="2855595" cy="4164330"/>
                    </a:xfrm>
                    <a:prstGeom prst="rect">
                      <a:avLst/>
                    </a:prstGeom>
                    <a:noFill/>
                    <a:ln w="9525">
                      <a:noFill/>
                      <a:miter lim="800000"/>
                      <a:headEnd/>
                      <a:tailEnd/>
                    </a:ln>
                  </pic:spPr>
                </pic:pic>
              </a:graphicData>
            </a:graphic>
          </wp:inline>
        </w:drawing>
      </w:r>
    </w:p>
    <w:p w:rsidR="00E22C23" w:rsidRPr="00E22C23" w:rsidRDefault="00E22C23" w:rsidP="00E22C23">
      <w:pPr>
        <w:rPr>
          <w:rFonts w:ascii="Garamond" w:hAnsi="Garamond"/>
          <w:lang w:val="en-US"/>
        </w:rPr>
      </w:pPr>
      <w:r w:rsidRPr="00AF5815">
        <w:rPr>
          <w:rFonts w:ascii="Garamond" w:hAnsi="Garamond"/>
        </w:rPr>
        <w:t xml:space="preserve">Sie sehen hier, das Über-Ich taucht in das Es ein; als Erbe des Ödipuskomplexes hat es ja intime Zusammenhänge mit ihm; es liegt weiter ab vom Wahrnehmungssystem als das Ich. Das Es verkehrt mit der Außenwelt nur über das Ich, wenigstens in diesem Schema. Es ist gewiß heute schwer zu sagen, inwieweit die Zeichnung richtig ist; in einem Punkt ist sie es gewiß nicht. Der Raum, den das unbewußte Es einnimmt, müßte unvergleichlich größer sein als der des Ichs oder des Vorbewußten. </w:t>
      </w:r>
      <w:r w:rsidRPr="00E22C23">
        <w:rPr>
          <w:rFonts w:ascii="Garamond" w:hAnsi="Garamond"/>
          <w:lang w:val="en-US"/>
        </w:rPr>
        <w:t>Ich bitte, verbessern Sie das in Ihren Gedanken.</w:t>
      </w:r>
    </w:p>
    <w:p w:rsidR="00E22C23" w:rsidRPr="00AF5815" w:rsidRDefault="00E22C23" w:rsidP="00E22C23">
      <w:pPr>
        <w:rPr>
          <w:rFonts w:ascii="Garamond" w:hAnsi="Garamond"/>
          <w:lang w:val="en-GB"/>
        </w:rPr>
      </w:pPr>
      <w:r w:rsidRPr="00E22C23">
        <w:rPr>
          <w:rFonts w:ascii="Garamond" w:hAnsi="Garamond"/>
          <w:lang w:val="en-US"/>
        </w:rPr>
        <w:lastRenderedPageBreak/>
        <w:t xml:space="preserve">Und nun zum Abschluß dieser gewiß anstrengenden und vielleicht nicht einleuchtenden Ausführungen noch eine Mahnung! </w:t>
      </w:r>
      <w:r w:rsidRPr="00AF5815">
        <w:rPr>
          <w:rFonts w:ascii="Garamond" w:hAnsi="Garamond"/>
          <w:lang w:val="en-GB"/>
        </w:rPr>
        <w:t>Sie denken bei dieser Sonderung der Persönlichkeit in Ich, Über-Ich und Es gewiß nicht an scharfe Grenzen, wie sie künstlich in der politischen Geographie gezogen worden sind. Der Eigenart des Psychischen können wir nicht durch lineare Konturen gerecht werden wie in der Zeichnung oder in der primitiven Malerei, eher durch verschwimmende Farbenfelder wie bei den modernen Malern. Nachdem wir gesondert haben, müssen wir das Gesonderte wieder zusammenfließen lassen. Urteilen Sie nicht zu hart über einen ersten Versuch, das so schwer erfaßbare Psychische anschaulich zu machen. Es ist sehr wahrscheinlich, daß die Ausbildung dieser Sonderungen bei verschiedenen Personen großen Variationen unterliegt, möglich, daß sie bei der Funktion selbst verändert und zeitweilig rückgebildet werden. Besonders für die phylogenetisch letzte und heikelste, die Differenzierung von Ich und Überich, scheint dergleichen zuzutreffen. Es ist unzweifelhaft, daß das gleiche durch psychische Erkrankung hervorgerufen wird. Man kann sich auch gut vorstellen, daß es gewissen mystischen Praktiken gelingen mag, die normalen Beziehungen zwischen den einzelnen seelischen Bezirken umzuwerfen, so daß z. B. die Wahrnehmung Verhältnisse im tiefen Ich und im Es erfassen kann, die ihr sonst unzugänglich waren. Ob man auf diesem Weg der letzten Weisheiten habhaft werden wird, von denen man alles Heil erwartet, darf man getrost bezweifeln. Immerhin wollen wir zugeben, daß die therapeutischen Bemühungen der Psychoanalyse sich einen ähnlichen Angriffspunkt gewählt haben. Ihre Absicht ist ja, das Ich zu stärken, es vom Über-Ich unabhängiger zu machen, sein Wahrnehmungsfeld zu erweitern und seine Organisation auszubauen, so daß es sich neue Stücke des Es aneignen kann. Wo Es war, soll Ich werden.</w:t>
      </w:r>
    </w:p>
    <w:p w:rsidR="00E22C23" w:rsidRPr="00AF5815" w:rsidRDefault="00E22C23" w:rsidP="00E22C23">
      <w:pPr>
        <w:rPr>
          <w:rFonts w:ascii="Garamond" w:hAnsi="Garamond"/>
          <w:lang w:val="en-GB"/>
        </w:rPr>
      </w:pPr>
      <w:r w:rsidRPr="00AF5815">
        <w:rPr>
          <w:rFonts w:ascii="Garamond" w:hAnsi="Garamond"/>
          <w:lang w:val="en-GB"/>
        </w:rPr>
        <w:t>Es ist Kulturarbeit etwa wie die Trockenlegung der Zuydersee.</w:t>
      </w:r>
    </w:p>
    <w:p w:rsidR="00E22C23" w:rsidRPr="00AF5815" w:rsidRDefault="00E22C23" w:rsidP="00E22C23">
      <w:pPr>
        <w:rPr>
          <w:rFonts w:ascii="Garamond" w:hAnsi="Garamond"/>
          <w:b/>
          <w:lang w:val="en-GB"/>
        </w:rPr>
      </w:pPr>
      <w:r>
        <w:rPr>
          <w:rFonts w:ascii="Garamond" w:hAnsi="Garamond"/>
          <w:lang w:val="en-GB"/>
        </w:rPr>
        <w:br w:type="page"/>
      </w:r>
      <w:hyperlink w:anchor="NeueVorlesugen_INHALT" w:history="1">
        <w:r w:rsidRPr="00AF5815">
          <w:rPr>
            <w:rStyle w:val="Lienhypertexte"/>
            <w:rFonts w:ascii="Garamond" w:hAnsi="Garamond"/>
            <w:b/>
            <w:lang w:val="en-GB"/>
          </w:rPr>
          <w:t>32. Vo</w:t>
        </w:r>
        <w:bookmarkStart w:id="302" w:name="NeueVorlesugen_32"/>
        <w:bookmarkEnd w:id="302"/>
        <w:r w:rsidRPr="00AF5815">
          <w:rPr>
            <w:rStyle w:val="Lienhypertexte"/>
            <w:rFonts w:ascii="Garamond" w:hAnsi="Garamond"/>
            <w:b/>
            <w:lang w:val="en-GB"/>
          </w:rPr>
          <w:t>rlesung. Angst und Triebleben</w:t>
        </w:r>
      </w:hyperlink>
    </w:p>
    <w:p w:rsidR="00E22C23" w:rsidRPr="00AF5815" w:rsidRDefault="00E22C23" w:rsidP="00E22C23">
      <w:pPr>
        <w:rPr>
          <w:rFonts w:ascii="Garamond" w:hAnsi="Garamond"/>
          <w:lang w:val="en-GB"/>
        </w:rPr>
      </w:pPr>
    </w:p>
    <w:p w:rsidR="00E22C23" w:rsidRPr="00AF5815" w:rsidRDefault="00E22C23" w:rsidP="00E22C23">
      <w:pPr>
        <w:rPr>
          <w:rFonts w:ascii="Garamond" w:hAnsi="Garamond"/>
          <w:lang w:val="en-GB"/>
        </w:rPr>
      </w:pPr>
      <w:r w:rsidRPr="00AF5815">
        <w:rPr>
          <w:rFonts w:ascii="Garamond" w:hAnsi="Garamond"/>
          <w:lang w:val="en-GB"/>
        </w:rPr>
        <w:t>Meine Damen und Herren! Sie werden nicht überrascht sein zu hören, daß ich Ihnen manche Neuheiten von unserer Auffassung der Angst und der Grundtriebe des Seelenlebens zu berichten habe, auch nicht, daß keine derselben als endgültige Lösung der schwebenden Probleme gelten will. In bestimmter Absicht spreche ich hier von Auffassungen. Es sind die schwierigsten Aufgaben, die uns gestellt werden, aber die Schwierigkeit liegt nicht etwa an der Unzulänglichkeit der Beobachtungen, es sind gerade die häufigsten und vertrautesten Phänomene, die uns jene Rätsel aufgeben; auch nicht an der Entlegenheit der Spekulationen, zu denen sie anregen; spekulative Verarbeitung kommt auf diesem Gebiet wenig in Betracht. Sondern es handelt sich wirklich um Auffassungen, d. h. darum, die richtigen abstrakten Vorstellungen einzuführen, deren Anwendung auf den Rohstoff der Beobachtung Ordnung und Durchsichtigkeit in ihm entstehen läßt.</w:t>
      </w:r>
    </w:p>
    <w:p w:rsidR="00E22C23" w:rsidRPr="00AF5815" w:rsidRDefault="00E22C23" w:rsidP="00E22C23">
      <w:pPr>
        <w:rPr>
          <w:rFonts w:ascii="Garamond" w:hAnsi="Garamond"/>
          <w:lang w:val="en-GB"/>
        </w:rPr>
      </w:pPr>
      <w:r w:rsidRPr="00AF5815">
        <w:rPr>
          <w:rFonts w:ascii="Garamond" w:hAnsi="Garamond"/>
          <w:lang w:val="en-GB"/>
        </w:rPr>
        <w:t xml:space="preserve">Der </w:t>
      </w:r>
      <w:r w:rsidRPr="00AF5815">
        <w:rPr>
          <w:rFonts w:ascii="Garamond" w:hAnsi="Garamond"/>
          <w:i/>
          <w:iCs/>
          <w:lang w:val="en-GB"/>
        </w:rPr>
        <w:t>Angst</w:t>
      </w:r>
      <w:r w:rsidRPr="00AF5815">
        <w:rPr>
          <w:rFonts w:ascii="Garamond" w:hAnsi="Garamond"/>
          <w:lang w:val="en-GB"/>
        </w:rPr>
        <w:t xml:space="preserve"> habe ich bereits eine Vorlesung der früheren Reihe, die fünfundzwanzigste, gewidmet. Ich muß deren Inhalt in Verkürzung wiederholen. Wir haben gesagt, Angst sei ein Affektzustand, also eine Vereinigung von bestimmten Empfindungen der Lust-Unlust-Reihe mit den ihnen entsprechenden Abfuhrinnervationen und deren Wahrnehmung, wahrscheinlich aber der Niederschlag eines gewissen bedeutungsvollen Ereignisses, durch Vererbung einverleibt, also vergleichbar dem individuell erworbenen hysterischen Anfall. Als jenes Ereignis, das eine solche Affektspur hinterlassen, haben wir den Vorgang der Geburt in Anspruch genommen, bei dem die der Angst eigenen Beeinflussungen von Herztätigkeit und Atmung zweckmäßig waren. Die allererste Angst wäre also eine toxische gewesen. Wir sind dann von der Unterscheidung zwischen Realangst und neurotischer Angst ausgegangen, die erstere eine uns begreiflich scheinende Reaktion auf die Gefahr, d. h. auf erwartete Schädigung von außen, die andere durchaus rätselhaft, wie zwecklos. In einer Analyse der Realangst haben wir sie auf einen Zustand gesteigerter sensorischer Aufmerksamkeit und motorischer Spannung reduziert, den wir </w:t>
      </w:r>
      <w:r w:rsidRPr="00AF5815">
        <w:rPr>
          <w:rFonts w:ascii="Garamond" w:hAnsi="Garamond"/>
          <w:i/>
          <w:iCs/>
          <w:lang w:val="en-GB"/>
        </w:rPr>
        <w:t>Angstbereitschaft</w:t>
      </w:r>
      <w:r w:rsidRPr="00AF5815">
        <w:rPr>
          <w:rFonts w:ascii="Garamond" w:hAnsi="Garamond"/>
          <w:lang w:val="en-GB"/>
        </w:rPr>
        <w:t xml:space="preserve"> heißen. Aus dieser entwickle sich die Angstreaktion. In der seien zwei Ausgänge möglich. Entweder die </w:t>
      </w:r>
      <w:r w:rsidRPr="00AF5815">
        <w:rPr>
          <w:rFonts w:ascii="Garamond" w:hAnsi="Garamond"/>
          <w:i/>
          <w:iCs/>
          <w:lang w:val="en-GB"/>
        </w:rPr>
        <w:t>Angstentwicklung</w:t>
      </w:r>
      <w:r w:rsidRPr="00AF5815">
        <w:rPr>
          <w:rFonts w:ascii="Garamond" w:hAnsi="Garamond"/>
          <w:lang w:val="en-GB"/>
        </w:rPr>
        <w:t>, die Wiederholung des alten traumatischen Erlebnisses, beschränkt sich auf ein Signal, dann kann die übrige Reaktion sich der neuen Gefahrlage anpassen, in Flucht oder Verteidigung ausgehen, oder das Alte behält die Oberhand, die gesamte Reaktion erschöpft sich in der Angstentwicklung, und dann wird der Affektzustand lähmend und für die Gegenwart unzweckmäßig.</w:t>
      </w:r>
    </w:p>
    <w:p w:rsidR="00E22C23" w:rsidRPr="00AF5815" w:rsidRDefault="00E22C23" w:rsidP="00E22C23">
      <w:pPr>
        <w:rPr>
          <w:rFonts w:ascii="Garamond" w:hAnsi="Garamond"/>
          <w:lang w:val="en-GB"/>
        </w:rPr>
      </w:pPr>
      <w:r w:rsidRPr="00AF5815">
        <w:rPr>
          <w:rFonts w:ascii="Garamond" w:hAnsi="Garamond"/>
          <w:lang w:val="en-GB"/>
        </w:rPr>
        <w:t xml:space="preserve">Wir haben uns dann zur neurotischen Angst gewendet und gesagt, daß wir sie unter dreierlei Verhältnissen beobachten. Erstens als frei flottierende, allgemeine Ängstlichkeit, bereit, sich vorübergehend mit jeder neu auftauchenden Möglichkeit zu verknüpfen, als sogenannte Erwartungsangst, wie z. B. bei der typischen Angstneurose. Zweitens fest gebunden an bestimmte Vorstellungsinhalte in den sogenannten </w:t>
      </w:r>
      <w:r w:rsidRPr="00AF5815">
        <w:rPr>
          <w:rFonts w:ascii="Garamond" w:hAnsi="Garamond"/>
          <w:i/>
          <w:iCs/>
          <w:lang w:val="en-GB"/>
        </w:rPr>
        <w:t>Phobien</w:t>
      </w:r>
      <w:r w:rsidRPr="00AF5815">
        <w:rPr>
          <w:rFonts w:ascii="Garamond" w:hAnsi="Garamond"/>
          <w:lang w:val="en-GB"/>
        </w:rPr>
        <w:t>, bei denen wir eine Beziehung zur äußeren Gefahr zwar noch erkennen mögen, aber die Angst vor ihr für maßlos übertrieben halten müssen. Endlich drittens die Angst bei der Hysterie und anderen Formen schwerer Neurosen, die entweder Symptome begleitet oder unabhängig auftritt als Anfall oder länger anhaltender Zustand, immer aber ohne ersichtliche Begründung durch eine äußere Gefahr. Wir haben uns dann die zwei Fragen vorgelegt: Wovor fürchtet man sich bei neurotischer Angst? und: Wie kann man diese mit der Realangst vor äußeren Gefahren zusammenbringen?</w:t>
      </w:r>
    </w:p>
    <w:p w:rsidR="00E22C23" w:rsidRPr="00AF5815" w:rsidRDefault="00E22C23" w:rsidP="00E22C23">
      <w:pPr>
        <w:rPr>
          <w:rFonts w:ascii="Garamond" w:hAnsi="Garamond"/>
          <w:lang w:val="en-GB"/>
        </w:rPr>
      </w:pPr>
      <w:r w:rsidRPr="00AF5815">
        <w:rPr>
          <w:rFonts w:ascii="Garamond" w:hAnsi="Garamond"/>
          <w:lang w:val="en-GB"/>
        </w:rPr>
        <w:t xml:space="preserve">Unsere Untersuchungen sind keineswegs erfolglos geblieben, wir haben einige wichtige Aufschlüsse gewonnen. In bezug auf die ängstliche Erwartung hat uns die klinische Erfahrung einen regelmäßigen Zusammenhang mit dem Libidohaushalt im Sexualleben kennen gelehrt. Die gewöhnlichste Ursache der Angstneurose ist die frustrane Erregung. Es wird eine libidinöse Erregung hervorgerufen, aber nicht befriedigt, nicht verwendet; an Stelle dieser von ihrer Verwendung abgelenkten Libido tritt dann die Ängstlichkeit auf. Ich glaubte mich sogar berechtigt zu sagen, diese unbefriedigte Libido verwandle sich </w:t>
      </w:r>
      <w:r w:rsidRPr="00AF5815">
        <w:rPr>
          <w:rFonts w:ascii="Garamond" w:hAnsi="Garamond"/>
          <w:lang w:val="en-GB"/>
        </w:rPr>
        <w:lastRenderedPageBreak/>
        <w:t>direkt in Angst. Diese Auffassung fand eine Unterstützung in gewissen ganz regelmäßigen Phobien der kleinen Kinder. Viele dieser Phobien sind uns durchaus rätselhaft, andere aber, wie die Angst im Alleinsein und die vor fremden Personen, lassen eine sichere Erklärung zu. Die Einsamkeit sowie das fremde Gesicht erwecken die Sehnsucht nach der vertrauten Mutter; das Kind kann diese libidinöse Erregung nicht beherrschen, nicht in Schwebe halten, sondern verwandelt sie in Angst. Diese Kinderangst ist also nicht der Realangst, sondern der neurotischen zuzurechnen. Die Kinderphobien und die Angsterwartung der Angstneurose geben uns zwei Beispiele für die eine Art, wie neurotische Angst entsteht: Durch direkte Umwandlung der Libido. Einen zweiten Mechanismus werden wir sofort kennenlernen; es wird sich zeigen, daß er vom ersten nicht sehr verschieden ist.</w:t>
      </w:r>
    </w:p>
    <w:p w:rsidR="00E22C23" w:rsidRPr="00AF5815" w:rsidRDefault="00E22C23" w:rsidP="00E22C23">
      <w:pPr>
        <w:rPr>
          <w:rFonts w:ascii="Garamond" w:hAnsi="Garamond"/>
          <w:lang w:val="en-GB"/>
        </w:rPr>
      </w:pPr>
      <w:r w:rsidRPr="00AF5815">
        <w:rPr>
          <w:rFonts w:ascii="Garamond" w:hAnsi="Garamond"/>
          <w:lang w:val="en-GB"/>
        </w:rPr>
        <w:t>Für die Angst bei der Hysterie und anderen Neurosen machen wir nämlich den Vorgang der Verdrängung verantwortlich. Wir meinen, wir können diesen vollständiger als vorhin beschreiben, wenn wir das Schicksal der zu verdrängenden Vorstellung von dem des ihr anhaftenden Libidobetrags gesondert halten. Es ist die Vorstellung, die die Verdrängung erfährt, eventuell zum Unkenntlichen entstellt wird; ihr Affektbetrag aber wird regelmäßig in Angst verwandelt und zwar gleichgültig, von welcher Art er sein mag, ob Aggression oder Liebe. Nun macht es keinen wesentlichen Unterschied, aus welchem Grund ein Libidobetrag unverwendbar geworden ist, ob aus infantiler Schwäche des Ichs wie bei den Kinderphobien, infolge somatischer Vorgänge im Sexualleben wie bei der Angstneurose oder durch Verdrängung wie bei der Hysterie. Die beiden Mechanismen der Entstehung neurotischer Angst fallen also eigentlich zusammen.</w:t>
      </w:r>
    </w:p>
    <w:p w:rsidR="00E22C23" w:rsidRPr="00AF5815" w:rsidRDefault="00E22C23" w:rsidP="00E22C23">
      <w:pPr>
        <w:rPr>
          <w:rFonts w:ascii="Garamond" w:hAnsi="Garamond"/>
          <w:lang w:val="en-GB"/>
        </w:rPr>
      </w:pPr>
      <w:r w:rsidRPr="00AF5815">
        <w:rPr>
          <w:rFonts w:ascii="Garamond" w:hAnsi="Garamond"/>
          <w:lang w:val="en-GB"/>
        </w:rPr>
        <w:t>Während dieser Untersuchungen sind wir auf eine höchst bedeutsame Beziehung zwischen Angstentwicklung und Symptombildung aufmerksam geworden, nämlich, daß die beiden einander vertreten und ablösen. Der Agoraphobe z. B. beginnt seine Leidensgeschichte mit einem Angstanfall auf der Straße. Dieser würde sich jedesmal wiederholen, wenn er wieder auf die Straße ginge. Er schafft nun das Symptom der Straßenangst, das man auch eine Hemmung, Funktionseinschränkung des Ichs heißen kann, und erspart sich dadurch den Angstanfall. Das Umgekehrte sieht man, wenn man sich, wie es z. B. bei Zwangshandlungen möglich ist, in die Symptombildung einmengt. Hindert man den Kranken, sein Waschzeremoniell auszuführen, so gerät er in einen schwer erträglichen Angstzustand, gegen den ihn offenbar sein Symptom geschützt hatte. Und zwar scheint es, daß die Angstentwicklung das Frühere, die Symptombildung das Spätere ist, als ob die Symptome geschaffen würden, um den Ausbruch des Angstzustandes zu vermeiden. Und dazu stimmt es auch, daß die ersten Neurosen des Kindesalters Phobien sind, Zustände, an denen man so deutlich erkennt, wie eine anfängliche Angstentwicklung durch die spätere Symptombildung abgelöst wird: man empfängt den Eindruck, daß man von diesen Beziehungen her den besten Zugang zum Verständnis der neurotischen Angst finden wird. Gleichzeitig ist es uns auch gelungen, die Frage zu beantworten, wovor man sich bei neurotischer Angst fürchtet, und so die Verbindung zwischen neurotischer und Realangst herzustellen. Das, wovor man sich fürchtet, ist offenbar die eigene Libido. Der Unterschied von der Situation der Realangst liegt in zwei Punkten, daß die Gefahr eine innerliche ist anstatt einer äußeren und daß sie nicht bewußt erkannt wird.</w:t>
      </w:r>
    </w:p>
    <w:p w:rsidR="00E22C23" w:rsidRPr="00AF5815" w:rsidRDefault="00E22C23" w:rsidP="00E22C23">
      <w:pPr>
        <w:rPr>
          <w:rFonts w:ascii="Garamond" w:hAnsi="Garamond"/>
          <w:lang w:val="en-GB"/>
        </w:rPr>
      </w:pPr>
      <w:r w:rsidRPr="00AF5815">
        <w:rPr>
          <w:rFonts w:ascii="Garamond" w:hAnsi="Garamond"/>
          <w:lang w:val="en-GB"/>
        </w:rPr>
        <w:t>Bei den Phobien kann man sehr deutlich erkennen, wie diese innerliche Gefahr in eine äußerliche umgesetzt, also neurotische Angst in scheinbare Realangst verwandelt wird. Nehmen wir, um einen oft sehr komplizierten Sachverhalt zu vereinfachen, an, daß der Agoraphobe sich regelmäßig vor den Regungen der Versuchung fürchte, die in ihm durch die Begegnungen auf der Straße geweckt werden. In seiner Phobie nimmt er eine Verschiebung vor und ängstigt sich nun vor einer äußeren Situation. Sein Gewinn dabei ist offenbar, daß er meint, sich so besser schützen zu können. Vor einer äußeren Gefahr kann man sich durch die Flucht retten, der Fluchtversuch vor einer inneren Gefahr ist ein schwieriges Unternehmen.</w:t>
      </w:r>
    </w:p>
    <w:p w:rsidR="00E22C23" w:rsidRPr="00AF5815" w:rsidRDefault="00E22C23" w:rsidP="00E22C23">
      <w:pPr>
        <w:rPr>
          <w:rFonts w:ascii="Garamond" w:hAnsi="Garamond"/>
          <w:lang w:val="en-GB"/>
        </w:rPr>
      </w:pPr>
      <w:r w:rsidRPr="00AF5815">
        <w:rPr>
          <w:rFonts w:ascii="Garamond" w:hAnsi="Garamond"/>
          <w:lang w:val="en-GB"/>
        </w:rPr>
        <w:lastRenderedPageBreak/>
        <w:t>Am Schlusse meiner damaligen Vorlesung über die Angst habe ich selbst dem Urteil Ausdruck gegeben, daß diese verschiedenen Ergebnisse unserer Untersuchung nicht etwa einander widersprechen, aber doch irgendwie nicht zusammenstimmen. Die Angst ist als Affektzustand die Reproduktion eines alten gefahrdrohenden Ereignisses, die Angst steht im Dienst der Selbsterhaltung und ist ein Signal einer neuen Gefahr, sie entsteht aus irgendwie unverwendbar gewordener Libido, auch bei dem Prozeß der Verdrängung, sie wird durch die Symptombildung abgelöst, gleichsam psychisch gebunden – man verspürt, daß hier etwas fehlt, was aus Stücken eine Einheit macht.</w:t>
      </w:r>
    </w:p>
    <w:p w:rsidR="00E22C23" w:rsidRPr="00AF5815" w:rsidRDefault="00E22C23" w:rsidP="00E22C23">
      <w:pPr>
        <w:rPr>
          <w:rFonts w:ascii="Garamond" w:hAnsi="Garamond"/>
          <w:lang w:val="en-GB"/>
        </w:rPr>
      </w:pPr>
      <w:r w:rsidRPr="00AF5815">
        <w:rPr>
          <w:rFonts w:ascii="Garamond" w:hAnsi="Garamond"/>
          <w:lang w:val="en-GB"/>
        </w:rPr>
        <w:t>Meine Damen und Herren! Jene Zerlegung der seelischen Persönlichkeit in ein Über-Ich, Ich und Es, die ich Ihnen in der letzten Vorlesung vorgetragen, hat uns auch eine neue Orientierung im Angstproblem aufgenötigt. Mit dem Satz, das Ich ist die alleinige Angststätte, nur das Ich kann Angst produzieren und verspüren, haben wir eine neue, feste Position bezogen, von der aus manche Verhältnisse ein anderes Ansehen zeigen. Und wirklich, wir wüßten nicht, was für Sinn es hätte, von einer »Angst des Es« zu sprechen, oder dem Über-Ich die Fähigkeit zur Ängstlichkeit zuzuschreiben. Hingegen haben wir es als eine erwünschte Entsprechung begrüßt, daß die drei Hauptarten der Angst, die Realangst, die neurotische und die Gewissensangst sich so zwanglos auf die drei Abhängigkeiten des Ichs, von der Außenwelt, vom Es und vom Über-Ich, beziehen lassen. Mit dieser neuen Auffassung ist auch die Funktion der Angst als Signal zur Anzeige einer Gefahrsituation, die uns ja vorher nicht fremd war, in den Vordergrund getreten, die Frage, aus welchem Stoff die Angst gemacht wird, hat an Interesse verloren, und die Beziehungen zwischen Realangst und neurotischer Angst haben sich in überraschender Weise geklärt und vereinfacht. Es ist übrigens bemerkenswert, daß wir jetzt die anscheinend komplizierten Fälle von Entstehung der Angst besser verstehen als die für einfach gehaltenen.</w:t>
      </w:r>
    </w:p>
    <w:p w:rsidR="00E22C23" w:rsidRPr="00AF5815" w:rsidRDefault="00E22C23" w:rsidP="00E22C23">
      <w:pPr>
        <w:rPr>
          <w:rFonts w:ascii="Garamond" w:hAnsi="Garamond"/>
          <w:lang w:val="en-GB"/>
        </w:rPr>
      </w:pPr>
      <w:r w:rsidRPr="00AF5815">
        <w:rPr>
          <w:rFonts w:ascii="Garamond" w:hAnsi="Garamond"/>
          <w:lang w:val="en-GB"/>
        </w:rPr>
        <w:t>Wir haben nämlich neuerlich untersucht, wie die Angst bei gewissen Phobien entsteht, die wir der Angsthysterie zurechnen, und Fälle gewählt, bei denen es sich um die typische Verdrängung der Wunschregungen aus dem Ödipuskomplex handelte. Unserer Erwartung nach hätten wir finden sollen, daß es die libidinöse Besetzung des Mutterobjekts ist, die sich infolge der Verdrängung in Angst verwandelt und nun im symptomatischen Ausdruck als an den Vaterersatz geknüpft auftritt. Ich kann Ihnen die einzelnen Schritte einer solchen Untersuchung nicht vorführen, genug, das überraschende Resultat war das Gegenteil unserer Erwartung. Nicht die Verdrängung schafft die Angst, sondern die Angst ist früher da, die Angst macht die Verdrängung! Aber was für Angst kann es sein? Nur die Angst vor einer drohenden äußeren Gefahr, also eine Realangst. Es ist richtig, der Knabe bekommt Angst vor einem Anspruch seiner Libido, in diesem Falle vor der Liebe zu seiner Mutter, es ist also wirklich ein Fall von neurotischer Angst. Aber diese Verliebtheit erscheint ihm nur darum als eine innere Gefahr, der er sich durch den Verzicht auf dieses Objekt entziehen muß, weil sie eine äußere Gefahrsituation heraufbeschwört. Und in allen Fällen, die wir untersuchen, erhalten wir dasselbe Resultat. Bekennen wir es nur, wir waren nicht darauf gefaßt, daß sich die innere Triebgefahr als eine Bedingung und Vorbereitung einer äußeren, realen Gefahrsituation herausstellen würde.</w:t>
      </w:r>
    </w:p>
    <w:p w:rsidR="00E22C23" w:rsidRPr="00AF5815" w:rsidRDefault="00E22C23" w:rsidP="00E22C23">
      <w:pPr>
        <w:rPr>
          <w:rFonts w:ascii="Garamond" w:hAnsi="Garamond"/>
          <w:lang w:val="en-GB"/>
        </w:rPr>
      </w:pPr>
      <w:r w:rsidRPr="00AF5815">
        <w:rPr>
          <w:rFonts w:ascii="Garamond" w:hAnsi="Garamond"/>
          <w:lang w:val="en-GB"/>
        </w:rPr>
        <w:t xml:space="preserve">Wir haben aber noch gar nicht gesagt, was die reale Gefahr ist, die das Kind als Folge seiner Mutterverliebtheit fürchtet. Es ist die Strafe der Kastration, der Verlust seines Gliedes. Natürlich werden Sie einwerfen, das sei doch keine reale Gefahr. Unsere Knaben werden doch nicht kastriert, weil sie in der Phase des Ödipuskomplexes in die Mutter verliebt sind. Aber das ist nicht so einfach abzutun. Vor allem kommt es nicht darauf an, ob die Kastration wirklich geübt wird; entscheidend ist, daß die Gefahr eine von außen drohende ist und daß das Kind an sie glaubt. Dazu hat es einigen Anlaß, denn man droht ihm oft genug mit dem Abschneiden des Gliedes während seiner phallischen Phase, in der Zeit seiner frühen Onanie, und Andeutungen dieser Strafe dürften regelmäßig eine phylogenetische Verstärkung bei ihm finden. Wir vermuten, in den Urzeiten der menschlichen Familie wurde die Kastration vom eifersüchtigen und grausamen Vater wirklich an den heranwachsenden Knaben vollzogen, und die Beschneidung, die bei den Primitiven so häufig ein Bestandteil des Mannbarkeitsrituals ist, sei ein gut kenntlicher Rest von ihr. </w:t>
      </w:r>
      <w:r w:rsidRPr="00AF5815">
        <w:rPr>
          <w:rFonts w:ascii="Garamond" w:hAnsi="Garamond"/>
          <w:lang w:val="en-GB"/>
        </w:rPr>
        <w:lastRenderedPageBreak/>
        <w:t>Wir wissen, wie weit wir uns damit von der allgemeinen Ansicht entfernen, aber wir müssen daran festhalten, daß die Kastrationsangst einer der häufigsten und stärksten Motoren der Verdrängung und damit der Neurosenbildung ist. Analysen von Fällen, in denen zwar nicht die Kastration, aber wohl die Beschneidung bei Knaben als Therapie oder als Strafe für die Onanie vollzogen wurde, was in der anglo-amerikanischen Gesellschaft gar nicht so selten geschah, haben unserer Überzeugung die letzte Sicherheit gegeben. Es ist eine große Verlockung, an dieser Stelle näher auf den Kastrationskomplex einzugehen, aber wir wollen bei unserem Thema bleiben. Die Kastrationsangst ist natürlich nicht das einzige Motiv der Verdrängung, sie hat ja bereits bei den Frauen keine Stätte, die zwar einen Kastrationskomplex haben, aber keine Kastrationsangst haben können. An ihre Stelle tritt beim anderen Geschlecht die Angst vor dem Liebesverlust, ersichtlich eine Fortbildung der Angst des Säuglings, wenn er die Mutter vermißt. Sie verstehen, welche reale Gefahrsituation durch diese Angst angezeigt wird. Wenn die Mutter abwesend ist oder dem Kind ihre Liebe entzogen hat, ist es ja der Befriedigung seiner Bedürfnisse nicht mehr sicher, möglicherweise den peinlichsten Spannungsgefühlen ausgesetzt. Weisen Sie die Idee nicht ab, daß diese Angstbedingungen im Grunde die Situation der ursprünglichen Geburtsangst wiederholen, die ja auch eine Trennung von der Mutter bedeutete. Ja wenn Sie einem Gedankengang von Ferenczi folgen, können Sie auch die Kastrationsangst dieser Reihe anschließen, denn der Verlust des männlichen Gliedes hat ja die Unmöglichkeit einer Wiedervereinigung mit der Mutter oder dem Ersatz für sie im Sexualakt zur Folge. Ich erwähne Ihnen nebenbei, die so häufige Phantasie der Rückkehr in den Mutterleib ist der Ersatz dieses Koituswunsches. Es gäbe hier noch so viel interessante Dinge und überraschende Zusammenhänge zu berichten, aber ich kann nicht über den Rahmen einer Einführung in die Psychoanalyse hinausgehen, will Sie nur noch aufmerksam machen, wie hier psychologische Ermittlungen bis zu biologischen Tatsachen vorstoßen.</w:t>
      </w:r>
    </w:p>
    <w:p w:rsidR="00E22C23" w:rsidRPr="00AF5815" w:rsidRDefault="00E22C23" w:rsidP="00E22C23">
      <w:pPr>
        <w:rPr>
          <w:rFonts w:ascii="Garamond" w:hAnsi="Garamond"/>
          <w:lang w:val="en-GB"/>
        </w:rPr>
      </w:pPr>
      <w:r w:rsidRPr="00AF5815">
        <w:rPr>
          <w:rFonts w:ascii="Garamond" w:hAnsi="Garamond"/>
          <w:lang w:val="en-GB"/>
        </w:rPr>
        <w:t>Otto Rank, dem die Psychoanalyse viele schöne Beiträge verdankt, hat auch das Verdienst, die Bedeutung des Geburtsakts und der Trennung von der Mutter nachdrücklich betont zu haben. Allerdings fanden wir es alle unmöglich, die extremen Folgerungen anzunehmen, die er aus diesem Moment für die Theorie der Neurosen und sogar für die analytische Therapie gezogen hat. Den Kern seiner Lehre, daß das Angsterlebnis der Geburt das Vorbild aller späteren Gefahrsituationen ist, hatte er bereits vorgefunden. Wenn wir bei diesen verweilen, werden wir sagen können, daß eigentlich jedem Entwicklungsalter eine bestimmte Angstbedingung, also Gefahrsituation, als ihm adäquat zugeteilt ist. Die Gefahr der psychischen Hilflosigkeit paßt zum Stadium der frühen Unreife des Ichs, die Gefahr des Objekt- (Liebes-)verlusts zur Unselbständigkeit der ersten Kinderjahre, die Kastrationsgefahr zur phallischen Phase, endlich die Angst vor dem Über-Ich, die eine besondere Stellung einnimmt, zur Latenzzeit. Mit dem Lauf der Entwicklung sollen die alten Angstbedingungen fallengelassen werden, da die ihnen entsprechenden Gefahrsituationen durch die Erstarkung des Ichs entwertet werden. Aber das ist nur in sehr unvollkommener Weise der Fall. Viele Menschen können die Angst vor dem Liebesverlust nicht überwinden, sie werden nie unabhängig genug von der Liebe anderer und setzen in diesem Punkt ihr infantiles Verhalten fort. Die Angst vor dem Über-Ich soll normalerweise kein Ende finden, da sie als Gewissensangst in den sozialen Beziehungen unentbehrlich ist und der Einzelne nur in den seltensten Fällen von der menschlichen Gemeinschaft unabhängig werden kann. Einige der alten Gefahrsituationen verstehen es auch, sich in späte Zeit hinüberzuretten, indem sie ihre Angstbedingungen zeitgemäß modifizieren. So erhält sich z. B. die Kastrationsgefahr unter der Maske der Syphilophobie. Man weiß zwar als Erwachsener, daß die Kastration nicht mehr als Strafe für das Gewährenlassen sexueller Gelüste üblich ist, aber man hat dafür erfahren, daß solche Triebfreiheit mit schweren Erkrankungen bedroht ist. Es ist kein Zweifel, daß die Personen, die wir Neurotiker heißen, in ihrem Verhalten zur Gefahr infantil bleiben und verjährte Angstbedingungen nicht überwunden haben. Nehmen wir dies als tatsächlichen Beitrag zur Charakteristik der Neurotiker an; warum es so ist, kann man nicht so schnell sagen.</w:t>
      </w:r>
    </w:p>
    <w:p w:rsidR="00E22C23" w:rsidRPr="00AF5815" w:rsidRDefault="00E22C23" w:rsidP="00E22C23">
      <w:pPr>
        <w:rPr>
          <w:rFonts w:ascii="Garamond" w:hAnsi="Garamond"/>
          <w:lang w:val="en-GB"/>
        </w:rPr>
      </w:pPr>
      <w:r w:rsidRPr="00AF5815">
        <w:rPr>
          <w:rFonts w:ascii="Garamond" w:hAnsi="Garamond"/>
          <w:lang w:val="en-GB"/>
        </w:rPr>
        <w:lastRenderedPageBreak/>
        <w:t>Ich hoffe, Sie haben nicht die Übersicht verloren und wissen noch, daß wir dabei sind, die Beziehungen zwischen Angst und Verdrängung zu untersuchen. Wir haben dabei zwei Dinge neu erfahren, erstens, daß die Angst die Verdrängung macht, nicht, wie wir meinten, umgekehrt, und daß eine gefürchtete Triebsituation im Grunde auf eine äußere Gefahrsituation zurückgeht. Die nächste Frage wird lauten: Wie stellen wir uns jetzt den Vorgang einer Verdrängung unter dem Einfluß der Angst vor? Ich denke so: Das Ich merkt, daß die Befriedigung eines auftauchenden Triebanspruchs eine der wohl erinnerten Gefahrsituationen heraufbeschwören würde. Diese Triebbesetzung muß also irgendwie unterdrückt, aufgehoben, ohnmächtig gemacht werden. Wir wissen, diese Aufgabe gelingt dem Ich, wenn es stark ist und die betreffende Triebregung in seine Organisation einbezogen hat. Der Fall der Verdrängung ist aber der, daß die Triebregung noch dem Es angehört und das Ich sich schwach fühlt. Dann hilft sich das Ich durch eine Technik, die im Grunde mit der des normalen Denkens identisch ist. Das Denken ist ein probeweises Handeln mit kleinen Energiemengen, ähnlich wie die Verschiebungen kleiner Figuren auf der Landkarte, ehe der Feldherr seine Truppenmassen in Bewegung setzt. Das Ich antizipiert also die Befriedigung der bedenklichen Triebregung und erlaubt ihr, die Unlustempfindungen zu Beginn der gefürchteten Gefahrsituation zu reproduzieren. Damit ist der Automatismus des Lust-Unlust-Prinzips ins Spiel gebracht, der nun die Verdrängung der gefährlichen Triebregung durchführt.</w:t>
      </w:r>
    </w:p>
    <w:p w:rsidR="00E22C23" w:rsidRPr="00AF5815" w:rsidRDefault="00E22C23" w:rsidP="00E22C23">
      <w:pPr>
        <w:rPr>
          <w:rFonts w:ascii="Garamond" w:hAnsi="Garamond"/>
          <w:lang w:val="en-GB"/>
        </w:rPr>
      </w:pPr>
      <w:r w:rsidRPr="00AF5815">
        <w:rPr>
          <w:rFonts w:ascii="Garamond" w:hAnsi="Garamond"/>
          <w:lang w:val="en-GB"/>
        </w:rPr>
        <w:t xml:space="preserve">Halt! werden Sie mir zurufen; da können wir nicht weiter mitgehen! Sie haben recht, ich muß noch einiges dazu tun, bevor es Ihnen annehmbar erscheinen kann. Zunächst das Zugeständnis, daß ich versucht habe, in die Sprache unseres normalen Denkens zu übersetzen, was in Wirklichkeit ein gewiß nicht bewußter oder vorbewußter Vorgang zwischen Energiebeträgen an einem unvorstellbaren Substrat sein muß. Aber das ist kein starker Einwand; man kann es ja nicht anders machen. Wichtiger ist, daß wir klar unterscheiden, was bei der Verdrängung im Ich und was im Es vorgeht. Was das Ich tut, haben wir eben gesagt. Es wendet eine Probebesetzung an und weckt den Lust-Unlust-Automatismus durch das Angstsignal. Dann sind mehrere Reaktionen möglich oder eine Vermengung von ihnen in wechselnden Beträgen. Entweder der Angstanfall wird voll entwickelt und das Ich zieht sich gänzlich von der anstößigen Erregung zurück; oder es setzt ihr an Stelle der Probebesetzung eine Gegenbesetzung entgegen und diese tritt mit der Energie der verdrängten Regung zur Symptombildung zusammen oder wird als Reaktionsbildung, als Verstärkung bestimmter Dispositionen, als bleibende Veränderung ins Ich aufgenommen. Je mehr die Angstentwicklung auf ein bloßes Signal beschränkt werden kann, desto mehr verwendet das Ich auf die Abwehraktionen, die einer psychischen Bindung des Verdrängten gleichkommen, desto eher nähert sich auch der Vorgang einer normalen Verarbeitung an, gewiß ohne sie zu erreichen. Nebenbei, wir wollen hier einen Augenblick verweilen. Sie haben gewiß schon selbst angenommen, daß jenes schwer Definierbare, das man </w:t>
      </w:r>
      <w:r w:rsidRPr="00AF5815">
        <w:rPr>
          <w:rFonts w:ascii="Garamond" w:hAnsi="Garamond"/>
          <w:i/>
          <w:iCs/>
          <w:lang w:val="en-GB"/>
        </w:rPr>
        <w:t>Charakter</w:t>
      </w:r>
      <w:r w:rsidRPr="00AF5815">
        <w:rPr>
          <w:rFonts w:ascii="Garamond" w:hAnsi="Garamond"/>
          <w:lang w:val="en-GB"/>
        </w:rPr>
        <w:t xml:space="preserve"> heißt, durchaus dem Ich zuzuteilen ist. Einiges, was diesen Charakter schafft, haben wir schon erhascht. Vor allem die Einverleibung der früheren Elterninstanz als Über-Ich, wohl das wichtigste, entscheidende Stück, sodann die Identifizierungen mit beiden Eltern der späteren Zeit und anderen einflußreichen Personen und die gleichen Identifizierungen als Niederschläge aufgelassener Objektbeziehungen. Fügen wir jetzt als nie fehlende Beiträge zur Charakterbildung die Reaktionsbildungen hinzu, die das Ich zuerst in seinen Verdrängungen, später, bei den Zurückweisungen unerwünschter Triebregungen, durch normalere Mittel erwirbt.</w:t>
      </w:r>
    </w:p>
    <w:p w:rsidR="00E22C23" w:rsidRPr="00AF5815" w:rsidRDefault="00E22C23" w:rsidP="00E22C23">
      <w:pPr>
        <w:rPr>
          <w:rFonts w:ascii="Garamond" w:hAnsi="Garamond"/>
          <w:lang w:val="en-GB"/>
        </w:rPr>
      </w:pPr>
      <w:r w:rsidRPr="00AF5815">
        <w:rPr>
          <w:rFonts w:ascii="Garamond" w:hAnsi="Garamond"/>
          <w:lang w:val="en-GB"/>
        </w:rPr>
        <w:t xml:space="preserve">Nun kehren wir zurück und wenden uns zum Es. Was bei der Verdrängung an der bekämpften Triebregung vorgeht, ist nicht mehr so leicht zu erraten. Unser Interesse fragt ja hauptsächlich, was geschieht mit der Energie, der libidinösen Ladung dieser Erregung, wie wird sie verwendet? Sie erinnern sich, die frühere Annahme war, gerade sie werde durch die Verdrängung in Angst verwandelt. Das getrauen wir uns nicht mehr zu sagen; die bescheidene Antwort wird vielmehr lauten: wahrscheinlich ist ihr Schicksal nicht jedesmal das gleiche. Wahrscheinlich besteht eine intime Entsprechung zwischen dem jemaligen Vorgang im Ich und dem im Es an der verdrängten Regung, die uns bekannt werden sollte. Seitdem wir nämlich das Lust-Unlust-Prinzip, das durch das Angstsignal geweckt wird, in die Verdrängung </w:t>
      </w:r>
      <w:r w:rsidRPr="00AF5815">
        <w:rPr>
          <w:rFonts w:ascii="Garamond" w:hAnsi="Garamond"/>
          <w:lang w:val="en-GB"/>
        </w:rPr>
        <w:lastRenderedPageBreak/>
        <w:t>haben eingreifen lassen, dürfen wir unsere Erwartungen abändern. Dies Prinzip regiert die Vorgänge im Es ganz unumschränkt. Wir können ihm zutrauen, daß es recht tiefgreifende Veränderungen an der betreffenden Triebregung zustande bringt. Wir sind darauf gefaßt, daß es sehr verschiedene Erfolge der Verdrängung geben wird, mehr oder weniger weitgehende. In manchen Fällen mag die verdrängte Triebregung ihre Libidobesetzung behalten, im Es unverändert fortbestehen, wenn auch unter dem ständigen Druck des Ichs. Andere Male scheint es vorzukommen, daß sie eine vollständige Zerstörung erfährt, bei der ihre Libido endgültig in andere Bahnen übergeleitet wird. Ich meinte, es geschehe so bei der normalen Erledigung des Ödipuskomplexes, der also in diesem wünschenswerten Falle nicht einfach verdrängt, sondern im Es zerstört wird. Die klinische Erfahrung hat uns ferner gezeigt, daß in vielen Fällen anstatt des gewohnten Verdrängungserfolgs eine Libidoerniedrigung statthat, eine Regression der Libidoorganisation zu einer früheren Stufe. Das kann natürlich nur im Es vor sich gehen, und wenn es geschieht, dann unter dem Einfluß desselben Konflikts, der durch das Angstsignal eingeleitet wird. Das auffälligste Beispiel dieser Art gibt die Zwangsneurose, bei der Libidoregression und Verdrängung zusammenwirken.</w:t>
      </w:r>
    </w:p>
    <w:p w:rsidR="00E22C23" w:rsidRPr="00AF5815" w:rsidRDefault="00E22C23" w:rsidP="00E22C23">
      <w:pPr>
        <w:rPr>
          <w:rFonts w:ascii="Garamond" w:hAnsi="Garamond"/>
          <w:lang w:val="en-GB"/>
        </w:rPr>
      </w:pPr>
      <w:r w:rsidRPr="00AF5815">
        <w:rPr>
          <w:rFonts w:ascii="Garamond" w:hAnsi="Garamond"/>
          <w:lang w:val="en-GB"/>
        </w:rPr>
        <w:t>Meine Damen und Herren! Ich besorge, diese Ausführungen werden Ihnen schwer faßbar erscheinen, und Sie werden erraten, daß sie nicht erschöpfend dargestellt sind. Ich bedauere, Ihr Mißvergnügen erregen zu müssen. Ich kann mir aber kein anderes Ziel setzen, als daß Sie einen Eindruck empfangen von der Art unserer Ergebnisse und den Schwierigkeiten ihrer Erarbeitung. Je tiefer wir in das Studium der seelischen Vorgänge eindringen, desto mehr erkennen wir deren Reichhaltigkeit und Verwicklung. Manche einfache Formel, die uns anfangs zu entsprechen schien, hat sich später als unzureichend herausgestellt. Wir werden nicht müde, sie abzuändern und zu verbessern. In der Vorlesung über Traumtheorie habe ich Sie in ein Gebiet geführt, auf dem sich in fünfzehn Jahren kaum ein neuer Fund ergeben hatte; hier, wo wir von der Angst handeln, sehen Sie alles in Fluß und Wandlung begriffen. Diese neuen Dinge sind auch noch nicht gründlich durchgearbeitet worden, vielleicht macht ihre Darstellung auch darum Schwierigkeiten. Halten Sie aus, wir werden das Thema der Angst bald verlassen können; ich behaupte nicht, daß es dann zu unserer Befriedigung erledigt sein wird. Hoffentlich sind wir doch um ein Stückchen weiter gekommen. Und unterwegs haben wir allerlei neue Einsichten erworben. So werden wir auch jetzt durch das Studium der Angst veranlaßt, unserer Schilderung des Ichs einen neuen Zug hinzuzufügen. Wir haben gesagt, das Ich sei schwach gegen das Es, sei sein getreuer Diener, bemüht, dessen Befehle durchzuführen, dessen Forderungen zu erfüllen. Wir denken nicht daran, diesen Satz zurückzunehmen. Aber anderseits ist dies Ich doch der besser organisierte, gegen die Realität orientierte Teil des Es. Wir dürfen die Sonderung beider nicht zu sehr übertreiben, auch nicht überrascht sein, wenn dem Ich seinerseits ein Einfluß auf die Vorgänge im Es zustünde. Ich meine, diesen Einfluß übt das Ich aus, indem es mittels des Angstsignals das fast allmächtige Lust-Unlust-Prinzip in Tätigkeit bringt. Allerdings unmittelbar darauf zeigt es wieder seine Schwäche, denn durch den Akt der Verdrängung verzichtet es auf ein Stück seiner Organisation, muß zulassen, daß die verdrängte Triebregung dauernd seinem Einfluß entzogen bleibt.</w:t>
      </w:r>
    </w:p>
    <w:p w:rsidR="00E22C23" w:rsidRPr="00AF5815" w:rsidRDefault="00E22C23" w:rsidP="00E22C23">
      <w:pPr>
        <w:rPr>
          <w:rFonts w:ascii="Garamond" w:hAnsi="Garamond"/>
          <w:lang w:val="en-GB"/>
        </w:rPr>
      </w:pPr>
      <w:r w:rsidRPr="00AF5815">
        <w:rPr>
          <w:rFonts w:ascii="Garamond" w:hAnsi="Garamond"/>
          <w:lang w:val="en-GB"/>
        </w:rPr>
        <w:t xml:space="preserve">Und jetzt nur noch eine Bemerkung zum Angstproblem! Die neurotische Angst hat sich uns unter unseren Händen in Realangst verwandelt, in Angst vor bestimmten äußeren Gefahrsituationen. Aber dabei kann es nicht bleiben, wir müssen einen weiteren Schritt machen, der aber ein Schritt zurück sein wird. Wir fragen uns, was ist denn eigentlich das Gefährliche, das Gefürchtete an einer solchen Gefahrsituation? Offenbar nicht die objektiv zu beurteilende Schädigung der Person, die psychologisch gar nichts zu bedeuten brauchte, sondern was von ihr im Seelenleben angerichtet wird. Die Geburt z. B., unser Vorbild für den Angstzustand, kann doch kaum an sich als eine Schädigung betrachtet werden, wenngleich die Gefahr von Schädigungen dabei sein mag. Das Wesentliche an der Geburt wie an jeder Gefahrsituation ist, daß sie im seelischen Erleben einen Zustand von hochgespannter Erregung hervorruft, der als Unlust verspürt wird und dessen man durch Entladung nicht Herr werden kann. </w:t>
      </w:r>
      <w:r w:rsidRPr="00AF5815">
        <w:rPr>
          <w:rFonts w:ascii="Garamond" w:hAnsi="Garamond"/>
          <w:lang w:val="en-GB"/>
        </w:rPr>
        <w:lastRenderedPageBreak/>
        <w:t xml:space="preserve">Heißen wir einen solchen Zustand, an dem die Bemühungen des Lustprinzips scheitern, einen </w:t>
      </w:r>
      <w:r w:rsidRPr="00AF5815">
        <w:rPr>
          <w:rFonts w:ascii="Garamond" w:hAnsi="Garamond"/>
          <w:i/>
          <w:iCs/>
          <w:lang w:val="en-GB"/>
        </w:rPr>
        <w:t>traumatischen</w:t>
      </w:r>
      <w:r w:rsidRPr="00AF5815">
        <w:rPr>
          <w:rFonts w:ascii="Garamond" w:hAnsi="Garamond"/>
          <w:lang w:val="en-GB"/>
        </w:rPr>
        <w:t xml:space="preserve"> Moment, so sind wir über die Reihe neurotische Angst-Realangst-Gefahrsituation zu dem einfachen Satz gelangt: das Gefürchtete, der Gegenstand der Angst, ist jedesmal das Auftreten eines traumatischen Moments, der nicht nach der Norm des Lustprinzips erledigt werden kann. Wir verstehen sofort, durch die Begabung mit dem Lustprinzip sind wir nicht gegen objektive Schädigungen gesichert worden, sondern nur gegen eine bestimmte Schädigung unserer psychischen Ökonomie. Vom Lustprinzip zum Selbsterhaltungstrieb ist noch ein weiter Weg, es fehlt viel daran, daß beider Absichten sich vom Anfang an decken. Wir sehen aber auch noch etwas anderes; vielleicht ist dies die Lösung, die wir suchen. Nämlich, daß es sich hier überall um die Frage der relativen Quantitäten handelt. Nur die Größe der Erregungssumme macht einen Eindruck zum traumatischen Moment, lähmt die Leistung des Lustprinzips, gibt der Gefahrsituation ihre Bedeutung. Und wenn es sich so verhält, wenn sich diese Rätsel durch eine so nüchterne Auskunft beheben, warum sollte es nicht möglich sein, daß derartige traumatische Momente sich im Seelenleben ohne Beziehung auf die angenommenen Gefahrsituationen ereignen, bei denen also die Angst nicht als Signal geweckt wird, sondern neu mit frischer Begründung entsteht? Die klinische Erfahrung sagt mit Bestimmtheit aus, daß es wirklich so ist. Nur die späteren Verdrängungen zeigen den Mechanismus, den wir beschrieben haben, bei dem die Angst als Signal einer früheren Gefahrsituation wachgerufen wird; die ersten und ursprünglichen entstehen direkt bei dem Zusammentreffen des Ichs mit einem übergroßen Libidoanspruch aus traumatischen Momenten, sie bilden ihre Angst neu, allerdings nach dem Geburtsvorbild. Dasselbe mag für die Angstentwicklung bei Angstneurose durch somatische Schädigung der Sexualfunktion gelten. Daß es die Libido selbst ist, die dabei in Angst verwandelt wird, werden wir nicht mehr behaupten. Aber gegen eine zweifache Herkunft der Angst, einmal als direkte Folge des traumatischen Moments, das andere Mal als Signal, daß die Wiederholung eines solchen droht, sehe ich keinen Einwand.</w:t>
      </w:r>
    </w:p>
    <w:p w:rsidR="00E22C23" w:rsidRPr="00AF5815" w:rsidRDefault="00E22C23" w:rsidP="00E22C23">
      <w:pPr>
        <w:rPr>
          <w:rFonts w:ascii="Garamond" w:hAnsi="Garamond"/>
          <w:lang w:val="en-GB"/>
        </w:rPr>
      </w:pPr>
      <w:r w:rsidRPr="00AF5815">
        <w:rPr>
          <w:rFonts w:ascii="Garamond" w:hAnsi="Garamond"/>
          <w:lang w:val="en-GB"/>
        </w:rPr>
        <w:t>Meine Damen und Herren! Nun sind Sie gewiß froh, daß Sie nichts mehr über die Angst anzuhören brauchen. Aber Sie haben nichts davon, es kommt nichts Besseres nach. Ich habe den Vorsatz, Sie noch heute auf das Gebiet der Libidotheorie oder Trieblehre zu führen, wo sich gleichfalls manches neu gestaltet hat. Ich will nicht sagen, daß wir hierin große Fortschritte gemacht haben, so daß es Ihnen jede Mühe lohnen würde, davon Kenntnis zu nehmen. Nein, es ist ein Feld, auf dem wir mühsam nach Orientierung und Einsichten ringen; Sie sollen nur Zeugen unserer Bemühung werden. Auch hier muß ich auf manches zurückgreifen, was ich Ihnen früher vorgetragen habe.</w:t>
      </w:r>
    </w:p>
    <w:p w:rsidR="00E22C23" w:rsidRPr="00AF5815" w:rsidRDefault="00E22C23" w:rsidP="00E22C23">
      <w:pPr>
        <w:rPr>
          <w:rFonts w:ascii="Garamond" w:hAnsi="Garamond"/>
          <w:lang w:val="en-GB"/>
        </w:rPr>
      </w:pPr>
      <w:r w:rsidRPr="00AF5815">
        <w:rPr>
          <w:rFonts w:ascii="Garamond" w:hAnsi="Garamond"/>
        </w:rPr>
        <w:t xml:space="preserve">Die Trieblehre ist sozusagen unsere Mythologie. </w:t>
      </w:r>
      <w:r w:rsidRPr="00AF5815">
        <w:rPr>
          <w:rFonts w:ascii="Garamond" w:hAnsi="Garamond"/>
          <w:lang w:val="en-GB"/>
        </w:rPr>
        <w:t xml:space="preserve">Die Triebe sind mythische Wesen, großartig in ihrer Unbestimmtheit. Wir können in unserer Arbeit keinen Augenblick von ihnen absehen und sind dabei nie sicher, sie scharf zu sehen. Sie wissen, wie sich das populäre Denken mit den Trieben auseinandersetzt. Man nimmt so viele und so verschiedenartige Triebe an, als man eben braucht, einen Geltungs-, Nachahmungs-, Spiel-, Geselligkeitstrieb und viele dergleichen mehr. Man nimmt sie gleichsam auf, läßt jeden seine besondere Arbeit tun und entläßt sie dann wieder. Uns hat immer die Ahnung gerührt, daß hinter diesen vielen kleinen ausgeliehenen Trieben sich etwas Ernsthaftes und Gewaltiges verbirgt, dem wir uns vorsichtig annähern möchten. Unser erster Schritt war bescheiden genug. Wir sagten uns, man gehe wahrscheinlich nicht irre, wenn man zunächst zwei Haupttriebe, Triebarten oder Triebgruppen unterscheide, nach den zwei großen Bedürfnissen: Hunger und Liebe. So eifersüchtig wir sonst die Unabhängigkeit der Psychologie von jeder anderen Wissenschaft verteidigen, hier stehe man doch im Schatten der unerschütterlichen biologischen Tatsache, daß das lebende Einzelwesen zwei Absichten diene, der Selbsterhaltung und der Arterhaltung, die unabhängig voneinander scheinen, unseres Wissens noch keine gemeinsame Ableitung erfahren haben, deren Interessen einander im tierischen Leben oft widerstreiten. Man treibe hier eigentlich biologische Psychologie, studiere die psychischen Begleiterscheinungen biologischer Vorgänge. Als Vertreter dieser Auffassung sind die »Ichtriebe« und die »Sexualtriebe« in die Psychoanalyse eingezogen. Zu den ersteren rechneten wir alles, was mit der </w:t>
      </w:r>
      <w:r w:rsidRPr="00AF5815">
        <w:rPr>
          <w:rFonts w:ascii="Garamond" w:hAnsi="Garamond"/>
          <w:lang w:val="en-GB"/>
        </w:rPr>
        <w:lastRenderedPageBreak/>
        <w:t>Erhaltung, Behauptung, Vergrößerung der Person zu tun hat. Den letzteren mußten wir die Reichhaltigkeit leihen, die das infantile und das perverse Sexualleben verlangen. Da wir bei der Untersuchung der Neurosen das Ich als die einschränkende, verdrängende Macht kennenlernten, die Sexualstrebungen als das Eingeschränkte, Verdrängte, glaubten wir nicht nur die Verschiedenheit, sondern auch den Konflikt zwischen beiden Triebgruppen mit Händen zu greifen. Gegenstand unseres Studiums waren zunächst nur die Sexualtriebe, deren Energie wir »Libido« benannten. An ihnen versuchten wir unsere Vorstellungen, was ein Trieb sei und was man ihm zuschreiben dürfe, zu klären. Dies ist die Stelle der Libidotheorie.</w:t>
      </w:r>
    </w:p>
    <w:p w:rsidR="00E22C23" w:rsidRPr="00AF5815" w:rsidRDefault="00E22C23" w:rsidP="00E22C23">
      <w:pPr>
        <w:rPr>
          <w:rFonts w:ascii="Garamond" w:hAnsi="Garamond"/>
          <w:lang w:val="en-GB"/>
        </w:rPr>
      </w:pPr>
      <w:r w:rsidRPr="00AF5815">
        <w:rPr>
          <w:rFonts w:ascii="Garamond" w:hAnsi="Garamond"/>
          <w:lang w:val="en-GB"/>
        </w:rPr>
        <w:t xml:space="preserve">Ein Trieb unterscheidet sich also von einem Reiz darin, daß er aus Reizquellen im Körperinnern stammt, wie eine konstante Kraft wirkt und daß die Person sich ihm nicht durch die Flucht entziehen kann, wie es beim äußeren Reiz möglich ist. Man kann am Trieb Quelle, Objekt und Ziel unterscheiden. Die Quelle ist ein Erregungszustand im Körperlichen, das Ziel die Aufhebung dieser Erregung, auf dem Wege von der Quelle zum Ziel wird der Trieb psychisch wirksam. Wir stellen ihn vor als einen gewissen Energiebetrag, der nach einer bestimmten Richtung drängt. Von diesem Drängen hat er den Namen: Trieb. Man spricht von aktiven und passiven Trieben, sollte richtiger sagen: aktiven und passiven Triebzielen; auch zur Erreichung eines passiven Zieles bedarf es eines Aufwands von Aktivität. Das Ziel kann am eigenen Körper erreicht werden, in der Regel ist ein äußeres Objekt eingeschoben, an dem der Trieb sein äußeres Ziel erreicht; sein inneres bleibt jedesmal die als Befriedigung empfundene Körperveränderung. Ob die Beziehung zur somatischen Quelle dem Trieb eine Spezifität verleiht und welche, ist uns nicht klar geworden. Daß Triebregungen aus einer Quelle sich solchen aus anderen Quellen anschließen und deren weiteres Schicksal teilen, daß überhaupt eine Triebbefriedigung durch eine andere ersetzt werden kann, sind nach dem Zeugnis der analytischen Erfahrung unzweifelhafte Tatsachen. Gestehen wir nur, daß wir sie nicht besonders gut verstehen. Auch die Beziehung des Triebs zu Ziel und Objekt läßt Abänderungen zu, beide können gegen andere vertauscht werden, die Beziehung zum Objekt ist immerhin leichter zu lockern. Eine gewisse Art von Modifikation des Ziels und Wechsel des Objekts, bei der unsere soziale Wertung in Betracht kommt, zeichnen wir als </w:t>
      </w:r>
      <w:r w:rsidRPr="00AF5815">
        <w:rPr>
          <w:rFonts w:ascii="Garamond" w:hAnsi="Garamond"/>
          <w:i/>
          <w:iCs/>
          <w:lang w:val="en-GB"/>
        </w:rPr>
        <w:t>Sublimierung</w:t>
      </w:r>
      <w:r w:rsidRPr="00AF5815">
        <w:rPr>
          <w:rFonts w:ascii="Garamond" w:hAnsi="Garamond"/>
          <w:lang w:val="en-GB"/>
        </w:rPr>
        <w:t xml:space="preserve"> aus. Wir haben außerdem noch Grund, </w:t>
      </w:r>
      <w:r w:rsidRPr="00AF5815">
        <w:rPr>
          <w:rFonts w:ascii="Garamond" w:hAnsi="Garamond"/>
          <w:i/>
          <w:iCs/>
          <w:lang w:val="en-GB"/>
        </w:rPr>
        <w:t>zielgehemmte</w:t>
      </w:r>
      <w:r w:rsidRPr="00AF5815">
        <w:rPr>
          <w:rFonts w:ascii="Garamond" w:hAnsi="Garamond"/>
          <w:lang w:val="en-GB"/>
        </w:rPr>
        <w:t xml:space="preserve"> Triebe zu unterscheiden, Triebregungen aus gut bekannten Quellen mit unzweideutigem Ziel, die aber auf dem Weg zur Befriedigung haltmachen, so daß eine dauernde Objektbesetzung und eine anhaltende Strebung zustande kommt. Solcher Art ist z. B. die Zärtlichkeitsbeziehung, die unzweifelhaft aus den Quellen sexueller Bedürftigkeit herrührt und regelmäßig auf deren Befriedigung verzichtet. Sie sehen, wieviel von den Eigenschaften und Schicksalen der Triebe sich noch unserem Verständnis entzieht; wir sollten hier auch eines Unterschieds gedenken, der sich zwischen Sexualtrieben und Selbsterhaltungstrieben zeigt und der theoretisch höchst bedeutsam wäre, wenn er die ganze Gruppe beträfe. Die Sexualtriebe fallen uns auf durch ihre Plastizität, die Fähigkeit, ihre Ziele zu wechseln, durch ihre Vertretbarkeit, indem sich eine Triebbefriedigung durch eine andere ersetzen läßt, und durch ihre Aufschiebbarkeit, von der uns eben die zielgehemmten Triebe ein gutes Beispiel gegeben haben. Diese Eigenschaften möchten wir den Selbsterhaltungstrieben absprechen und von ihnen aussagen, daß sie unbeugsam, unaufschiebbar, in ganz anderer Weise imperativ sind und zur Verdrängung wie zur Angst ein ganz anderes Verhältnis haben. Allein die nächste Überlegung sagt uns, daß diese Ausnahmsstellung nicht allen Ichtrieben, nur dem Hunger und dem Durst zukommt und offenbar durch eine Besonderheit der Triebquellen begründet ist. Ein gutes Stück des verwirrenden Eindrucks kommt noch daher, daß wir nicht gesondert betrachtet haben, welche Veränderungen die ursprünglich dem Es angehörigen Triebregungen unter dem Einfluß des organisierten Ichs erfahren.</w:t>
      </w:r>
    </w:p>
    <w:p w:rsidR="00E22C23" w:rsidRPr="00AF5815" w:rsidRDefault="00E22C23" w:rsidP="00E22C23">
      <w:pPr>
        <w:rPr>
          <w:rFonts w:ascii="Garamond" w:hAnsi="Garamond"/>
          <w:lang w:val="en-GB"/>
        </w:rPr>
      </w:pPr>
      <w:r w:rsidRPr="00AF5815">
        <w:rPr>
          <w:rFonts w:ascii="Garamond" w:hAnsi="Garamond"/>
          <w:lang w:val="en-GB"/>
        </w:rPr>
        <w:t xml:space="preserve">Auf festerem Boden bewegen wir uns, wenn wir untersuchen, auf welche Weise das Triebleben der Sexualfunktion dient. Hier haben wir ganz entscheidende Einsichten erworben, die Ihnen auch nicht mehr neu sind. Es ist also nicht so, daß man einen Sexualtrieb erkennt, der von Anfang an die Strebung nach dem Ziel der Sexualfunktion, der Vereinigung der beiden Geschlechtszellen, trägt. Sondern wir sehen eine </w:t>
      </w:r>
      <w:r w:rsidRPr="00AF5815">
        <w:rPr>
          <w:rFonts w:ascii="Garamond" w:hAnsi="Garamond"/>
          <w:lang w:val="en-GB"/>
        </w:rPr>
        <w:lastRenderedPageBreak/>
        <w:t xml:space="preserve">große Anzahl von Partialtrieben, von verschiedenen Körperstellen und Regionen her, die ziemlich unabhängig voneinander nach Befriedigung streben und diese Befriedigung in etwas finden, was wir </w:t>
      </w:r>
      <w:r w:rsidRPr="00AF5815">
        <w:rPr>
          <w:rFonts w:ascii="Garamond" w:hAnsi="Garamond"/>
          <w:i/>
          <w:iCs/>
          <w:lang w:val="en-GB"/>
        </w:rPr>
        <w:t>Organlust</w:t>
      </w:r>
      <w:r w:rsidRPr="00AF5815">
        <w:rPr>
          <w:rFonts w:ascii="Garamond" w:hAnsi="Garamond"/>
          <w:lang w:val="en-GB"/>
        </w:rPr>
        <w:t xml:space="preserve"> heißen können. Die Genitalien sind die spätesten unter diesen </w:t>
      </w:r>
      <w:r w:rsidRPr="00AF5815">
        <w:rPr>
          <w:rFonts w:ascii="Garamond" w:hAnsi="Garamond"/>
          <w:i/>
          <w:iCs/>
          <w:lang w:val="en-GB"/>
        </w:rPr>
        <w:t>exogenen Zonen</w:t>
      </w:r>
      <w:r w:rsidRPr="00AF5815">
        <w:rPr>
          <w:rFonts w:ascii="Garamond" w:hAnsi="Garamond"/>
          <w:lang w:val="en-GB"/>
        </w:rPr>
        <w:t xml:space="preserve">, ihrer Organlust wird man den Namen: </w:t>
      </w:r>
      <w:r w:rsidRPr="00AF5815">
        <w:rPr>
          <w:rFonts w:ascii="Garamond" w:hAnsi="Garamond"/>
          <w:i/>
          <w:iCs/>
          <w:lang w:val="en-GB"/>
        </w:rPr>
        <w:t>sexuelle</w:t>
      </w:r>
      <w:r w:rsidRPr="00AF5815">
        <w:rPr>
          <w:rFonts w:ascii="Garamond" w:hAnsi="Garamond"/>
          <w:lang w:val="en-GB"/>
        </w:rPr>
        <w:t xml:space="preserve"> Lust nicht mehr verweigern. Nicht alle dieser nach Lust strebenden Regungen werden in die schließliche Organisation der Sexualfunktion aufgenommen. Manche von ihnen werden als unbrauchbar beseitigt, durch Verdrängung oder anderswie, einige werden in der vorhin erwähnten merkwürdigen Weise von ihrem Ziel abgelenkt und zur Verstärkung anderer Regungen verwendet, noch andere bleiben in Nebenrollen erhalten, dienen zur Durchführung einleitender Akte, zur Erzeugung von Vorlust. Sie haben gehört, daß sich in dieser lang hingezogenen Entwicklung mehrere Phasen einer vorläufigen Organisation erkennen lassen, auch wie sich aus dieser Geschichte der Sexualfunktion ihre Abirrungen und Verkümmerungen erklären. Die erste dieser </w:t>
      </w:r>
      <w:r w:rsidRPr="00AF5815">
        <w:rPr>
          <w:rFonts w:ascii="Garamond" w:hAnsi="Garamond"/>
          <w:i/>
          <w:iCs/>
          <w:lang w:val="en-GB"/>
        </w:rPr>
        <w:t>prägenitalen</w:t>
      </w:r>
      <w:r w:rsidRPr="00AF5815">
        <w:rPr>
          <w:rFonts w:ascii="Garamond" w:hAnsi="Garamond"/>
          <w:lang w:val="en-GB"/>
        </w:rPr>
        <w:t xml:space="preserve"> Phasen heißen wir die </w:t>
      </w:r>
      <w:r w:rsidRPr="00AF5815">
        <w:rPr>
          <w:rFonts w:ascii="Garamond" w:hAnsi="Garamond"/>
          <w:i/>
          <w:iCs/>
          <w:lang w:val="en-GB"/>
        </w:rPr>
        <w:t>orale</w:t>
      </w:r>
      <w:r w:rsidRPr="00AF5815">
        <w:rPr>
          <w:rFonts w:ascii="Garamond" w:hAnsi="Garamond"/>
          <w:lang w:val="en-GB"/>
        </w:rPr>
        <w:t xml:space="preserve">, weil entsprechend der Art, wie der Säugling ernährt wird, die erogene Mundzone auch beherrscht, was man die sexuelle Tätigkeit dieser Lebensperiode heißen darf. Auf einer zweiten Stufe drängen sich die </w:t>
      </w:r>
      <w:r w:rsidRPr="00AF5815">
        <w:rPr>
          <w:rFonts w:ascii="Garamond" w:hAnsi="Garamond"/>
          <w:i/>
          <w:iCs/>
          <w:lang w:val="en-GB"/>
        </w:rPr>
        <w:t>sadistischen</w:t>
      </w:r>
      <w:r w:rsidRPr="00AF5815">
        <w:rPr>
          <w:rFonts w:ascii="Garamond" w:hAnsi="Garamond"/>
          <w:lang w:val="en-GB"/>
        </w:rPr>
        <w:t xml:space="preserve"> und die </w:t>
      </w:r>
      <w:r w:rsidRPr="00AF5815">
        <w:rPr>
          <w:rFonts w:ascii="Garamond" w:hAnsi="Garamond"/>
          <w:i/>
          <w:iCs/>
          <w:lang w:val="en-GB"/>
        </w:rPr>
        <w:t>analen</w:t>
      </w:r>
      <w:r w:rsidRPr="00AF5815">
        <w:rPr>
          <w:rFonts w:ascii="Garamond" w:hAnsi="Garamond"/>
          <w:lang w:val="en-GB"/>
        </w:rPr>
        <w:t xml:space="preserve"> Impulse vor, gewiß im Zusammenhang mit dem Auftreten der Zähne, der Erstarkung der Muskulatur und der Beherrschung der Sphinkterfunktionen. Wir haben gerade über diese auffällige Entwicklungsstufe viel interessante Einzelheiten erfahren. Als dritte erscheint die </w:t>
      </w:r>
      <w:r w:rsidRPr="00AF5815">
        <w:rPr>
          <w:rFonts w:ascii="Garamond" w:hAnsi="Garamond"/>
          <w:i/>
          <w:iCs/>
          <w:lang w:val="en-GB"/>
        </w:rPr>
        <w:t>phallische</w:t>
      </w:r>
      <w:r w:rsidRPr="00AF5815">
        <w:rPr>
          <w:rFonts w:ascii="Garamond" w:hAnsi="Garamond"/>
          <w:lang w:val="en-GB"/>
        </w:rPr>
        <w:t xml:space="preserve"> Phase, in der bei beiden Geschlechtern das männliche Glied und, was ihm beim Mädchen entspricht, eine nicht mehr zu übersehende Bedeutung gewinnt. Den Namen der </w:t>
      </w:r>
      <w:r w:rsidRPr="00AF5815">
        <w:rPr>
          <w:rFonts w:ascii="Garamond" w:hAnsi="Garamond"/>
          <w:i/>
          <w:iCs/>
          <w:lang w:val="en-GB"/>
        </w:rPr>
        <w:t>genitalen</w:t>
      </w:r>
      <w:r w:rsidRPr="00AF5815">
        <w:rPr>
          <w:rFonts w:ascii="Garamond" w:hAnsi="Garamond"/>
          <w:lang w:val="en-GB"/>
        </w:rPr>
        <w:t xml:space="preserve"> Phase haben wir der endgültigen Sexualorganisation vorbehalten, die sich nach der Pubertät herstellt, in der erst das weibliche Genitale die Anerkennung findet, die das männliche längst erworben hatte.</w:t>
      </w:r>
    </w:p>
    <w:p w:rsidR="00E22C23" w:rsidRPr="00AF5815" w:rsidRDefault="00E22C23" w:rsidP="00E22C23">
      <w:pPr>
        <w:rPr>
          <w:rFonts w:ascii="Garamond" w:hAnsi="Garamond"/>
          <w:lang w:val="en-GB"/>
        </w:rPr>
      </w:pPr>
      <w:r w:rsidRPr="00AF5815">
        <w:rPr>
          <w:rFonts w:ascii="Garamond" w:hAnsi="Garamond"/>
          <w:lang w:val="en-GB"/>
        </w:rPr>
        <w:t xml:space="preserve">Soweit ist das alles abgeblaßte Wiederholung. Und glauben Sie nicht, daß all das, was ich diesmal nicht erwähnt habe, auch nicht mehr gilt. Es bedurfte dieser Wiederholung, um den Bericht über Fortschritte in unseren Einsichten daran anzuknüpfen. Wir können uns rühmen, daß wir gerade über die frühen Organisationen der Libido viel Neues erfahren und die Bedeutung des Alten klarer erfaßt haben, was ich Ihnen wenigstens an einzelnen Proben zeigen will. Abraham hat 1924 dargetan, daß man an der sadistisch-analen Phase zwei Stufen unterscheiden kann. Auf der früheren dieser beiden walten die destruktiven Tendenzen des Vernichtens und Verlierens vor, auf der späteren die objektfreundlichen des Festhaltens und Besitzens. In der Mitte dieser Phase tritt also zuerst die Rücksicht auf das Objekt auf als Vorläufer einer späteren Liebesbesetzung. Ebenso berechtigt ist es, eine solche Unterteilung auch für die erste orale Phase anzunehmen. Auf der ersten Unterstufe handelt es sich nur um die orale Einverleibung, es fehlt auch jede Ambivalenz in der Beziehung zum Objekt der Mutterbrust. Die zweite Stufe, durch das Auftreten der Beißtätigkeit ausgezeichnet, kann als die </w:t>
      </w:r>
      <w:r w:rsidRPr="00AF5815">
        <w:rPr>
          <w:rFonts w:ascii="Garamond" w:hAnsi="Garamond"/>
          <w:i/>
          <w:iCs/>
          <w:lang w:val="en-GB"/>
        </w:rPr>
        <w:t>oralsadistische</w:t>
      </w:r>
      <w:r w:rsidRPr="00AF5815">
        <w:rPr>
          <w:rFonts w:ascii="Garamond" w:hAnsi="Garamond"/>
          <w:lang w:val="en-GB"/>
        </w:rPr>
        <w:t xml:space="preserve"> bezeichnet werden; sie zeigt zum erstenmal die Erscheinungen der Ambivalenz, die dann in der nächsten, der sadistisch-analen Phase so viel deutlicher werden. Der Wert dieser neuen Unterscheidungen zeigt sich besonders, wenn man bei bestimmten Neurosen – Zwangsneurose, Melancholie – nach den Dispositionsstellen in der Libidoentwicklung sucht. Rufen Sie sich hier ins Gedächtnis zurück, was wir über den Zusammenhang von Libidofixierung, Disposition und Regression erfahren haben.</w:t>
      </w:r>
    </w:p>
    <w:p w:rsidR="00E22C23" w:rsidRPr="00E22C23" w:rsidRDefault="00E22C23" w:rsidP="00E22C23">
      <w:pPr>
        <w:rPr>
          <w:rFonts w:ascii="Garamond" w:hAnsi="Garamond"/>
          <w:lang w:val="en-GB"/>
        </w:rPr>
      </w:pPr>
      <w:r w:rsidRPr="00AF5815">
        <w:rPr>
          <w:rFonts w:ascii="Garamond" w:hAnsi="Garamond"/>
          <w:lang w:val="en-GB"/>
        </w:rPr>
        <w:t xml:space="preserve">Unsere Einstellung zu den Phasen der Libidoorganisation hat sich überhaupt ein wenig verschoben. Wenn wir früher vor allem betonten, wie die eine derselben vor der nächsten vergeht, so gehört unsere Aufmerksamkeit jetzt den Tatsachen, die uns zeigen, wieviel von jeder früheren Phase neben und hinter den späteren Gestaltungen erhalten bleibt und sich eine dauernde Vertretung im Libidohaushalt und im Charakter der Person erwirbt. Noch bedeutsamer sind Studien geworden, die uns gelehrt haben, wie häufig sich unter pathologischen Bedingungen Regressionen zu früheren Phasen ereignen und daß bestimmte Regressionen für bestimmte Krankheitsformen charakteristisch sind. </w:t>
      </w:r>
      <w:r w:rsidRPr="00E22C23">
        <w:rPr>
          <w:rFonts w:ascii="Garamond" w:hAnsi="Garamond"/>
          <w:lang w:val="en-GB"/>
        </w:rPr>
        <w:t>Aber das kann ich hier nicht behandeln; es gehört in eine spezielle Neurosenpsychologie.</w:t>
      </w:r>
    </w:p>
    <w:p w:rsidR="00E22C23" w:rsidRPr="00AF5815" w:rsidRDefault="00E22C23" w:rsidP="00E22C23">
      <w:pPr>
        <w:rPr>
          <w:rFonts w:ascii="Garamond" w:hAnsi="Garamond"/>
        </w:rPr>
      </w:pPr>
      <w:r w:rsidRPr="00E22C23">
        <w:rPr>
          <w:rFonts w:ascii="Garamond" w:hAnsi="Garamond"/>
          <w:lang w:val="en-GB"/>
        </w:rPr>
        <w:t xml:space="preserve">Triebumsetzungen und ähnliche Vorgänge haben wir besonders an der Analerotik, den Erregungen aus den Quellen der erogenen Analzone, studieren können und waren überrascht, wie vielfältigen </w:t>
      </w:r>
      <w:r w:rsidRPr="00E22C23">
        <w:rPr>
          <w:rFonts w:ascii="Garamond" w:hAnsi="Garamond"/>
          <w:lang w:val="en-GB"/>
        </w:rPr>
        <w:lastRenderedPageBreak/>
        <w:t xml:space="preserve">Verwendungen diese Triebregungen zugeführt werden. </w:t>
      </w:r>
      <w:r w:rsidRPr="00E22C23">
        <w:rPr>
          <w:rFonts w:ascii="Garamond" w:hAnsi="Garamond"/>
          <w:lang w:val="en-US"/>
        </w:rPr>
        <w:t xml:space="preserve">Es ist vielleicht nicht leicht, sich von der Geringschätzung frei zu machen, die im Laufe der Entwicklung gerade diese Zone betroffen hat. Lassen wir uns darum von Abraham daran mahnen, daß der Anus embryologisch dem Urmund entspricht, welcher bis zum Darmende herabgewandert ist. Wir erfahren dann, daß mit der Entwertung des eigenen Kots, der Exkremente, dieses Triebinteresse aus analer Quelle auf Objekte übergeht, die als </w:t>
      </w:r>
      <w:r w:rsidRPr="00E22C23">
        <w:rPr>
          <w:rFonts w:ascii="Garamond" w:hAnsi="Garamond"/>
          <w:i/>
          <w:iCs/>
          <w:lang w:val="en-US"/>
        </w:rPr>
        <w:t>Geschenk</w:t>
      </w:r>
      <w:r w:rsidRPr="00E22C23">
        <w:rPr>
          <w:rFonts w:ascii="Garamond" w:hAnsi="Garamond"/>
          <w:lang w:val="en-US"/>
        </w:rPr>
        <w:t xml:space="preserve"> gegeben werden können. Und dies mit Recht, denn der Kot war das erste Geschenk, das der Säugling machen konnte, dessen er sich aus Liebe zu seiner Pflegerin entäußerte. </w:t>
      </w:r>
      <w:r w:rsidRPr="00AF5815">
        <w:rPr>
          <w:rFonts w:ascii="Garamond" w:hAnsi="Garamond"/>
          <w:lang w:val="en-GB"/>
        </w:rPr>
        <w:t xml:space="preserve">Im weiteren, durchaus analog dem Bedeutungswandel in der Sprachentwicklung, setzt sich dies alte Kotinteresse in die Wertschätzung von </w:t>
      </w:r>
      <w:r w:rsidRPr="00AF5815">
        <w:rPr>
          <w:rFonts w:ascii="Garamond" w:hAnsi="Garamond"/>
          <w:i/>
          <w:iCs/>
          <w:lang w:val="en-GB"/>
        </w:rPr>
        <w:t>Gold</w:t>
      </w:r>
      <w:r w:rsidRPr="00AF5815">
        <w:rPr>
          <w:rFonts w:ascii="Garamond" w:hAnsi="Garamond"/>
          <w:lang w:val="en-GB"/>
        </w:rPr>
        <w:t xml:space="preserve"> und </w:t>
      </w:r>
      <w:r w:rsidRPr="00AF5815">
        <w:rPr>
          <w:rFonts w:ascii="Garamond" w:hAnsi="Garamond"/>
          <w:i/>
          <w:iCs/>
          <w:lang w:val="en-GB"/>
        </w:rPr>
        <w:t>Geld</w:t>
      </w:r>
      <w:r w:rsidRPr="00AF5815">
        <w:rPr>
          <w:rFonts w:ascii="Garamond" w:hAnsi="Garamond"/>
          <w:lang w:val="en-GB"/>
        </w:rPr>
        <w:t xml:space="preserve"> um, gibt aber auch seinen Beitrag zur affektiven Besetzung von </w:t>
      </w:r>
      <w:r w:rsidRPr="00AF5815">
        <w:rPr>
          <w:rFonts w:ascii="Garamond" w:hAnsi="Garamond"/>
          <w:i/>
          <w:iCs/>
          <w:lang w:val="en-GB"/>
        </w:rPr>
        <w:t>Kind</w:t>
      </w:r>
      <w:r w:rsidRPr="00AF5815">
        <w:rPr>
          <w:rFonts w:ascii="Garamond" w:hAnsi="Garamond"/>
          <w:lang w:val="en-GB"/>
        </w:rPr>
        <w:t xml:space="preserve"> und von </w:t>
      </w:r>
      <w:r w:rsidRPr="00AF5815">
        <w:rPr>
          <w:rFonts w:ascii="Garamond" w:hAnsi="Garamond"/>
          <w:i/>
          <w:iCs/>
          <w:lang w:val="en-GB"/>
        </w:rPr>
        <w:t>Penis</w:t>
      </w:r>
      <w:r w:rsidRPr="00AF5815">
        <w:rPr>
          <w:rFonts w:ascii="Garamond" w:hAnsi="Garamond"/>
          <w:lang w:val="en-GB"/>
        </w:rPr>
        <w:t xml:space="preserve">. Nach der Überzeugung aller Kinder, die ja lange Zeit an der Kloakentheorie festhalten, wird das Kind wie ein Stück Kot aus dem Darm geboren; die Defäkation ist das Vorbild des Geburtsaktes. </w:t>
      </w:r>
      <w:r w:rsidRPr="00AF5815">
        <w:rPr>
          <w:rFonts w:ascii="Garamond" w:hAnsi="Garamond"/>
        </w:rPr>
        <w:t>Aber auch der Penis hat seinen Vorläufer in der Kotsäule, die das Schleimhautrohr des Darmes ausfüllt und reizt. Wenn das Kind, widerwillig genug, zur Kenntnis genommen hat, daß es menschliche Wesen gibt, die dieses Glied nicht besitzen, erscheint ihm der Penis als etwas vom Körper Ablösbares und rückt in unverkennbare Analogie zum Exkrement, das ja das erste Stück Leiblichkeit war, auf das man verzichten mußte. Ein großes Stück Analerotik wird so in Penisbesetzung überführt, aber das Interesse an diesem Körperteil hat außer der analerotischen eine vielleicht noch mächtigere orale Wurzel, denn nach der Einstellung des Säugens erbt der Penis auch von der Brustwarze des mütterlichen Organs.</w:t>
      </w:r>
    </w:p>
    <w:p w:rsidR="00E22C23" w:rsidRPr="00AF5815" w:rsidRDefault="00E22C23" w:rsidP="00E22C23">
      <w:pPr>
        <w:rPr>
          <w:rFonts w:ascii="Garamond" w:hAnsi="Garamond"/>
          <w:lang w:val="en-GB"/>
        </w:rPr>
      </w:pPr>
      <w:r w:rsidRPr="00AF5815">
        <w:rPr>
          <w:rFonts w:ascii="Garamond" w:hAnsi="Garamond"/>
          <w:lang w:val="en-GB"/>
        </w:rPr>
        <w:t>Es ist unmöglich, sich in den Phantasien, den vom Unbewußten beeinflußten Einfällen und in der Symptomsprache des Menschen zurechtzufinden, wenn man diese tiefliegenden Beziehungen nicht kennt. Kot-Geld-Geschenk-Kind-Penis werden hier wie gleichbedeutend behandelt, auch durch gemeinsame Symbole vertreten. Vergessen Sie auch nicht, daß ich Ihnen nur sehr unvollständige Mitteilungen machen konnte. Ich kann etwa eilig hinzufügen, daß auch das später erwachende Interesse an der Vagina hauptsächlich analerotischer Herkunft ist. Es ist nicht verwunderlich, denn die Vagina selbst ist nach einem guten Wort von Lou Andreas-Salomé dem Enddarm »abgemietet«; im Leben der Homosexuellen, die ein gewisses Stück der Sexualentwicklung nicht mitgemacht haben, wird sie auch wieder durch diesen vertreten. In Träumen kommt häufig eine Lokalität vor, die früher ein einziger Raum war und jetzt durch eine Wand in zwei geteilt ist oder auch umgekehrt. Damit ist immer das Verhältnis der Vagina zum Darm gemeint. Wir können auch schön verfolgen, wie beim Mädchen normalerweise der ganz und gar unweibliche Wunsch nach dem Besitz eines Penis sich in den Wunsch nach einem Kind und dann nach einem Mann als Träger des Penis und Spender des Kindes umwandelt, so daß auch hier sichtbar wird, wie ein Stück ursprünglich analerotischen Interesses die Aufnahme in die spätere Genitalorganisation erwirbt.</w:t>
      </w:r>
    </w:p>
    <w:p w:rsidR="00E22C23" w:rsidRPr="00AF5815" w:rsidRDefault="00E22C23" w:rsidP="00E22C23">
      <w:pPr>
        <w:rPr>
          <w:rFonts w:ascii="Garamond" w:hAnsi="Garamond"/>
          <w:lang w:val="en-GB"/>
        </w:rPr>
      </w:pPr>
      <w:r w:rsidRPr="00AF5815">
        <w:rPr>
          <w:rFonts w:ascii="Garamond" w:hAnsi="Garamond"/>
          <w:lang w:val="en-GB"/>
        </w:rPr>
        <w:t xml:space="preserve">Während solcher Studien an den prägenitalen Phasen der Libido haben sich uns auch einige neue Einblicke in die Charakterbildung ergeben. Wir sind auf eine Trias von Eigenschaften aufmerksam geworden, die ziemlich regelmäßig beisammen sind: Ordentlichkeit, Sparsamkeit und Eigensinn, und haben aus der Analyse solcher Personen erschlossen, daß diese Eigenschaften aus der Aufzehrung und andersartigen Verwendung ihrer Analerotik hervorgegangen sind. Wir sprechen also von einem </w:t>
      </w:r>
      <w:r w:rsidRPr="00AF5815">
        <w:rPr>
          <w:rFonts w:ascii="Garamond" w:hAnsi="Garamond"/>
          <w:i/>
          <w:iCs/>
          <w:lang w:val="en-GB"/>
        </w:rPr>
        <w:t>Analcharakter</w:t>
      </w:r>
      <w:r w:rsidRPr="00AF5815">
        <w:rPr>
          <w:rFonts w:ascii="Garamond" w:hAnsi="Garamond"/>
          <w:lang w:val="en-GB"/>
        </w:rPr>
        <w:t xml:space="preserve">, wo wir diese auffällige Vereinigung finden, und bringen den Analcharakter in einen gewissen Gegensatz zur unaufgearbeiteten Analerotik. Eine ähnliche, vielleicht noch festere Beziehung fanden wir zwischen dem Ehrgeiz und der Urethralerotik. Eine merkwürdige Anspielung auf diesen Zusammenhang entnahmen wir der Sage, daß Alexander der Große in derselben Nacht geboren wurde, in der ein gewisser </w:t>
      </w:r>
      <w:r w:rsidRPr="00AF5815">
        <w:rPr>
          <w:rFonts w:ascii="Garamond" w:hAnsi="Garamond"/>
          <w:i/>
          <w:iCs/>
          <w:lang w:val="en-GB"/>
        </w:rPr>
        <w:t>Herostrat</w:t>
      </w:r>
      <w:r w:rsidRPr="00AF5815">
        <w:rPr>
          <w:rFonts w:ascii="Garamond" w:hAnsi="Garamond"/>
          <w:lang w:val="en-GB"/>
        </w:rPr>
        <w:t xml:space="preserve"> aus eitler Ruhmsucht den viel bewunderten Tempel der Artemis zu </w:t>
      </w:r>
      <w:r w:rsidRPr="00AF5815">
        <w:rPr>
          <w:rFonts w:ascii="Garamond" w:hAnsi="Garamond"/>
          <w:i/>
          <w:iCs/>
          <w:lang w:val="en-GB"/>
        </w:rPr>
        <w:t>Ephesos</w:t>
      </w:r>
      <w:r w:rsidRPr="00AF5815">
        <w:rPr>
          <w:rFonts w:ascii="Garamond" w:hAnsi="Garamond"/>
          <w:lang w:val="en-GB"/>
        </w:rPr>
        <w:t xml:space="preserve"> in Brand steckte. Als ob den Alten ein solcher Zusammenhang nicht unbekannt gewesen wäre! Wie viel das Urinieren mit Feuer und Feuerlöschen zu tun hat, wissen Sie ja. Natürlich erwarten wir, daß auch andere Charaktereigenschaften sich in ähnlicher Weise als Niederschläge oder Reaktionsbildungen bestimmter prägenitaler Libidoformationen ergeben werden, können es aber noch nicht aufzeigen.</w:t>
      </w:r>
    </w:p>
    <w:p w:rsidR="00E22C23" w:rsidRPr="00AF5815" w:rsidRDefault="00E22C23" w:rsidP="00E22C23">
      <w:pPr>
        <w:rPr>
          <w:rFonts w:ascii="Garamond" w:hAnsi="Garamond"/>
          <w:lang w:val="en-GB"/>
        </w:rPr>
      </w:pPr>
      <w:r w:rsidRPr="00AF5815">
        <w:rPr>
          <w:rFonts w:ascii="Garamond" w:hAnsi="Garamond"/>
          <w:lang w:val="en-GB"/>
        </w:rPr>
        <w:lastRenderedPageBreak/>
        <w:t xml:space="preserve">Nun ist es aber an der Zeit, daß ich in der Geschichte wie im Thema zurückgreife und die allgemeinsten Probleme des Trieblebens wieder aufnehme. Unserer Libidotheorie lag zunächst der Gegensatz von Ichtrieben und Sexualtrieben zugrunde. Als wir dann später begannen, das Ich selbst näher zu studieren und den Gesichtspunkt des Narzißmus erfaßten, verlor diese Unterscheidung selbst ihren Boden. In seltenen Fällen kann man erkennen, daß das Ich sich selbst zum Objekt nimmt, sich benimmt, als ob es in sich selbst verliebt wäre. Daher der der griechischen Sage entlehnte </w:t>
      </w:r>
      <w:r w:rsidRPr="00AF5815">
        <w:rPr>
          <w:rFonts w:ascii="Garamond" w:hAnsi="Garamond"/>
          <w:i/>
          <w:iCs/>
          <w:lang w:val="en-GB"/>
        </w:rPr>
        <w:t>Narzißmus</w:t>
      </w:r>
      <w:r w:rsidRPr="00AF5815">
        <w:rPr>
          <w:rFonts w:ascii="Garamond" w:hAnsi="Garamond"/>
          <w:lang w:val="en-GB"/>
        </w:rPr>
        <w:t>. Aber das ist nur eine extreme Übersteigerung eines normalen Sachverhalts. Man lernt verstehen, daß das Ich immer das Hauptreservoir der Libido ist, von dem libidinöse Besetzungen der Objekte ausgehen und in das dieselben wieder zurückkehren, während der Großteil dieser Libido stetig im Ich verbleibt. Es wird also unausgesetzt Ichlibido in Objektlibido umgewandelt und Objektlibido in Ichlibido. Dann können die beiden aber ihrer Natur nach nicht verschieden sein, dann hat es keinen Sinn, die Energie der einen von der der anderen zu sondern, man kann die Bezeichnung Libido fallenlassen oder sie als gleichbedeutend mit psychischer Energie überhaupt gebrauchen.</w:t>
      </w:r>
    </w:p>
    <w:p w:rsidR="00E22C23" w:rsidRPr="00E22C23" w:rsidRDefault="00E22C23" w:rsidP="00E22C23">
      <w:pPr>
        <w:rPr>
          <w:rFonts w:ascii="Garamond" w:hAnsi="Garamond"/>
          <w:lang w:val="en-GB"/>
        </w:rPr>
      </w:pPr>
      <w:r w:rsidRPr="00AF5815">
        <w:rPr>
          <w:rFonts w:ascii="Garamond" w:hAnsi="Garamond"/>
          <w:lang w:val="en-GB"/>
        </w:rPr>
        <w:t xml:space="preserve">Wir sind nicht lange auf diesem Standpunkt verblieben. Die Ahnung von einer Gegensätzlichkeit innerhalb des Trieblebens hat sich bald einen anderen, noch schärferen Ausdruck verschafft. Diese Neuheit in der Trieblehre möchte ich aber nicht vor Ihnen ableiten; auch sie ruht im wesentlichen auf biologischen Erwägungen; ich werde sie Ihnen als fertiges Produkt vorführen. Wir nehmen an, daß es zwei wesensverschiedene Arten von Trieben gibt, die Sexualtriebe, im weitesten Sinne verstanden, den </w:t>
      </w:r>
      <w:r w:rsidRPr="00AF5815">
        <w:rPr>
          <w:rFonts w:ascii="Garamond" w:hAnsi="Garamond"/>
          <w:i/>
          <w:iCs/>
          <w:lang w:val="en-GB"/>
        </w:rPr>
        <w:t>Eros</w:t>
      </w:r>
      <w:r w:rsidRPr="00AF5815">
        <w:rPr>
          <w:rFonts w:ascii="Garamond" w:hAnsi="Garamond"/>
          <w:lang w:val="en-GB"/>
        </w:rPr>
        <w:t xml:space="preserve">, wenn Sie diese Benennung vorziehen, und die </w:t>
      </w:r>
      <w:r w:rsidRPr="00AF5815">
        <w:rPr>
          <w:rFonts w:ascii="Garamond" w:hAnsi="Garamond"/>
          <w:i/>
          <w:iCs/>
          <w:lang w:val="en-GB"/>
        </w:rPr>
        <w:t>Aggressionstriebe</w:t>
      </w:r>
      <w:r w:rsidRPr="00AF5815">
        <w:rPr>
          <w:rFonts w:ascii="Garamond" w:hAnsi="Garamond"/>
          <w:lang w:val="en-GB"/>
        </w:rPr>
        <w:t xml:space="preserve">, deren Ziel die Destruktion ist. Wenn Sie es so hören, werden Sie es kaum als Neuheit gelten lassen; es scheint ein Versuch zur theoretischen Verklärung des banalen Gegensatzes zwischen Lieben und Hassen, der vielleicht mit jener anderen Polarität von Anziehung und Abstoßung zusammenfällt, welche die Physik für die anorganische Welt annimmt. Aber es ist merkwürdig, daß diese Aufstellung doch von vielen als Neuerung empfunden wird, und zwar als eine sehr unerwünschte, die möglichst bald wieder beseitigt werden sollte. Ich nehme an, daß ein starkes affektives Moment sich in dieser Ablehnung durchsetzt. Warum haben wir selbst so lange Zeit gebraucht, ehe wir uns zur Anerkennung eines Aggressionstriebs entschlossen, warum nicht Tatsachen, die offen zutage liegen und jedermann bekannt sind, ohne Zögern für die Theorie verwertet? Wahrscheinlich würde es auf geringen Widerstand stoßen, wenn man den Tieren einen Trieb mit solchem Ziel zuschreiben wollte. Aber ihn in die menschliche Konstitution aufzunehmen, erscheint frevelhaft; es widerspricht zu vielen religiösen Voraussetzungen und sozialen Konventionen. </w:t>
      </w:r>
      <w:r w:rsidRPr="00E22C23">
        <w:rPr>
          <w:rFonts w:ascii="Garamond" w:hAnsi="Garamond"/>
          <w:lang w:val="en-GB"/>
        </w:rPr>
        <w:t>Nein, der Mensch muß von Natur aus gut oder wenigstens gutmütig sein. Wenn er sich gelegentlich brutal, gewalttätig, grausam zeigt, so sind das vorübergehende Trübungen seines Gefühlslebens, meist provoziert, vielleicht nur Folge der unzweckmäßigen Gesellschaftsordnungen, die er sich bisher gegeben hat.</w:t>
      </w:r>
    </w:p>
    <w:p w:rsidR="00E22C23" w:rsidRPr="00E22C23" w:rsidRDefault="00E22C23" w:rsidP="00E22C23">
      <w:pPr>
        <w:rPr>
          <w:rFonts w:ascii="Garamond" w:hAnsi="Garamond"/>
          <w:lang w:val="en-GB"/>
        </w:rPr>
      </w:pPr>
      <w:r w:rsidRPr="00E22C23">
        <w:rPr>
          <w:rFonts w:ascii="Garamond" w:hAnsi="Garamond"/>
          <w:lang w:val="en-GB"/>
        </w:rPr>
        <w:t xml:space="preserve">Leider spricht was uns die Geschichte berichtet und was wir selbst erlebt haben nicht in diesem Sinne, sondern rechtfertigt eher das Urteil, daß der Glaube an die »Güte« der menschlichen Natur eine jener schlimmsten Illusionen ist, von denen die Menschen eine Verschönerung und Erleichterung ihres Lebens erwarten, während sie in Wirklichkeit nur Schaden bringen. Wir brauchen diese Polemik nicht fortzusetzen, denn nicht wegen der Lehren von Geschichte und Lebenserfahrung haben wir die Annahme eines besonderen Aggressions- und Destruktionstriebs beim Menschen befürwortet, sondern es geschah auf Grund allgemeiner Erwägungen, zu denen uns die Würdigung der Phänomene des </w:t>
      </w:r>
      <w:r w:rsidRPr="00E22C23">
        <w:rPr>
          <w:rFonts w:ascii="Garamond" w:hAnsi="Garamond"/>
          <w:i/>
          <w:iCs/>
          <w:lang w:val="en-GB"/>
        </w:rPr>
        <w:t>Sadismus</w:t>
      </w:r>
      <w:r w:rsidRPr="00E22C23">
        <w:rPr>
          <w:rFonts w:ascii="Garamond" w:hAnsi="Garamond"/>
          <w:lang w:val="en-GB"/>
        </w:rPr>
        <w:t xml:space="preserve"> und des </w:t>
      </w:r>
      <w:r w:rsidRPr="00E22C23">
        <w:rPr>
          <w:rFonts w:ascii="Garamond" w:hAnsi="Garamond"/>
          <w:i/>
          <w:iCs/>
          <w:lang w:val="en-GB"/>
        </w:rPr>
        <w:t>Masochismus</w:t>
      </w:r>
      <w:r w:rsidRPr="00E22C23">
        <w:rPr>
          <w:rFonts w:ascii="Garamond" w:hAnsi="Garamond"/>
          <w:lang w:val="en-GB"/>
        </w:rPr>
        <w:t xml:space="preserve"> führte. Sie wissen, wir heißen es Sadismus, wenn die sexuelle Befriedigung an die Bedingung geknüpft ist, daß das Sexualobjekt Schmerzen, Mißhandlungen und Demütigungen erleide, Masochismus, wenn das Bedürfnis besteht, selbst dieses mißhandelte Objekt zu sein. Sie wissen auch, daß ein gewisser Zusatz dieser beiden Strebungen in die normale Sexualbeziehung aufgenommen ist und daß wir sie als Perversionen bezeichnen, wenn sie die anderen Sexualziele zurückdrängen und ihre eigenen Ziele an deren Stelle setzen. Es wird Ihnen auch kaum entgangen sein, daß der Sadismus zur Männlichkeit, der Masochismus zur Weiblichkeit eine intimere Beziehung unterhält, als ob hier eine geheime </w:t>
      </w:r>
      <w:r w:rsidRPr="00E22C23">
        <w:rPr>
          <w:rFonts w:ascii="Garamond" w:hAnsi="Garamond"/>
          <w:lang w:val="en-GB"/>
        </w:rPr>
        <w:lastRenderedPageBreak/>
        <w:t>Verwandtschaft bestünde, obwohl ich Ihnen sogleich sagen muß, daß wir nicht auf diesem Weg weitergekommen sind. Beide, Sadismus wie Masochismus, sind für die Libidotheorie recht rätselhafte Phänomene, der Masochismus ganz besonders, und es ist nur in der Ordnung, wenn das, was für die eine Theorie den Stein des Anstoßes gebildet hat, für die sie ersetzende den Eckstein abgeben sollte.</w:t>
      </w:r>
    </w:p>
    <w:p w:rsidR="00E22C23" w:rsidRPr="00AF5815" w:rsidRDefault="00E22C23" w:rsidP="00E22C23">
      <w:pPr>
        <w:rPr>
          <w:rFonts w:ascii="Garamond" w:hAnsi="Garamond"/>
          <w:lang w:val="en-GB"/>
        </w:rPr>
      </w:pPr>
      <w:r w:rsidRPr="00E22C23">
        <w:rPr>
          <w:rFonts w:ascii="Garamond" w:hAnsi="Garamond"/>
          <w:lang w:val="en-GB"/>
        </w:rPr>
        <w:t xml:space="preserve">Wir meinen also, daß wir im Sadismus und im Masochismus zwei ausgezeichnete Beispiele von der Vermischung beider Triebarten, des Eros mit der Aggression, vor uns haben, und machen nun die Annahme, daß dies Verhältnis vorbildlich ist, daß alle Triebregungen, die wir studieren können, aus solchen Mischungen oder Legierungen der beiden Triebarten bestehen. Natürlich in den verschiedenartigsten Mischungsverhältnissen. Dabei würden die erotischen Triebe die Mannigfaltigkeit ihrer Sexualziele in die Mischung einführen, während die anderen nur Milderungen und Abstufungen ihrer eintönigen Tendenz zuließen. Durch diese Annahme haben wir uns die Aussicht auf Untersuchungen eröffnet, die einmal eine große Bedeutung für das Verständnis pathologischer Vorgänge bekommen können. </w:t>
      </w:r>
      <w:r w:rsidRPr="00AF5815">
        <w:rPr>
          <w:rFonts w:ascii="Garamond" w:hAnsi="Garamond"/>
          <w:lang w:val="en-GB"/>
        </w:rPr>
        <w:t>Denn Mischungen mögen auch zerfallen und solchen Triebentmischungen darf man die schwersten Folgen für die Funktion zutrauen. Aber diese Gesichtspunkte sind noch zu neu; niemand hat bisher versucht, sie in der Arbeit zu verwerten.</w:t>
      </w:r>
    </w:p>
    <w:p w:rsidR="00E22C23" w:rsidRPr="00AF5815" w:rsidRDefault="00E22C23" w:rsidP="00E22C23">
      <w:pPr>
        <w:rPr>
          <w:rFonts w:ascii="Garamond" w:hAnsi="Garamond"/>
          <w:lang w:val="en-GB"/>
        </w:rPr>
      </w:pPr>
      <w:r w:rsidRPr="00AF5815">
        <w:rPr>
          <w:rFonts w:ascii="Garamond" w:hAnsi="Garamond"/>
          <w:lang w:val="en-GB"/>
        </w:rPr>
        <w:t>Wir kehren zu dem besonderen Problem zurück, das uns der Masochismus aufgibt. Sehen wir für den Augenblick von seiner erotischen Komponente ab, so bürgt er uns für die Existenz einer Strebung, welche die Selbstzerstörung zum Ziel hat. Wenn es auch für den Destruktionstrieb zutrifft, daß das Ich – aber wir meinen hier vielmehr das Es, die ganze Person – ursprünglich alle Triebregungen in sich schließt, so ergibt sich die Auffassung, daß der Masochismus älter ist als der Sadismus, der Sadismus aber ist nach außen gewendeter Destruktionstrieb, der damit den Charakter der Aggression erwirbt. Soundsoviel vom ursprünglichen Destruktionstrieb mag noch im Inneren verbleiben; es scheint, daß unsere Wahrnehmung seiner nur unter diesen zwei Bedingungen habhaft wird, wenn er sich mit erotischen Trieben zum Masochismus verbindet oder wenn er sich als Aggression – mit größerem oder geringerem erotischen Zusatz – gegen die Außenwelt wendet. Nun drängt sich uns die Bedeutung der Möglichkeit auf, daß die Aggression in der Außenwelt Befriedigung nicht finden kann, weil sie auf reale Hindernisse stößt. Sie wird dann vielleicht zurücktreten, das Ausmaß der im Inneren waltenden Selbstdestruktion vermehren. Wir werden hören, daß dies wirklich so geschieht und wie wichtig dieser Vorgang ist. Verhinderte Aggression scheint eine schwere Schädigung zu bedeuten; es sieht wirklich so aus, als müßten wir anderes und andere zerstören, um uns nicht selbst zu zerstören, um uns vor der Tendenz zur Selbstdestruktion zu bewahren. Gewiß eine traurige Eröffnung für den Ethiker!</w:t>
      </w:r>
    </w:p>
    <w:p w:rsidR="00E22C23" w:rsidRPr="00AF5815" w:rsidRDefault="00E22C23" w:rsidP="00E22C23">
      <w:pPr>
        <w:rPr>
          <w:rFonts w:ascii="Garamond" w:hAnsi="Garamond"/>
          <w:lang w:val="en-GB"/>
        </w:rPr>
      </w:pPr>
      <w:r w:rsidRPr="00AF5815">
        <w:rPr>
          <w:rFonts w:ascii="Garamond" w:hAnsi="Garamond"/>
          <w:lang w:val="en-GB"/>
        </w:rPr>
        <w:t xml:space="preserve">Aber der Ethiker wird sich noch auf lange hinaus mit der Unwahrscheinlichkeit unserer Spekulationen trösten. Ein sonderbarer Trieb, der sich mit der Zerstörung seines eigenen organischen Heims befaßt! Die Dichter sprechen zwar von solchen Dingen, aber Dichter sind unverantwortlich, sie genießen das Vorrecht der poetischen Lizenz. Allerdings sind ähnliche Vorstellungen auch der Physiologie nicht fremd, z. B. die der Magenschleimhaut, die sich selbst verdaut. Aber es ist zuzugeben, daß unser Selbstzerstörungstrieb einer breiteren Unterstützung bedarf. Eine Annahme von solcher Tragweite kann man doch nicht bloß darum wagen, weil einige arme Narren ihre Sexualbefriedigung an eine sonderbare Bedingung geknüpft haben. Ich meine, ein vertieftes Studium der Triebe wird uns geben, was wir brauchen. Die Triebe regieren nicht allein das seelische, sondern auch das vegetative Leben, und diese organischen Triebe zeigen einen Charakterzug, der unser stärkstes Interesse verdient. Ob es ein allgemeiner Charakter der Triebe ist, werden wir erst später beurteilen können. Sie enthüllen sich nämlich als Bestreben, einen früheren Zustand wiederherzustellen. Wir können annehmen, vom Moment an, da ein solcher einmal erreichter Zustand gestört worden, entsteht ein Trieb, ihn neu zu schaffen, und bringt Phänomene hervor, die wir als </w:t>
      </w:r>
      <w:r w:rsidRPr="00AF5815">
        <w:rPr>
          <w:rFonts w:ascii="Garamond" w:hAnsi="Garamond"/>
          <w:i/>
          <w:iCs/>
          <w:lang w:val="en-GB"/>
        </w:rPr>
        <w:t>Wiederholungszwang</w:t>
      </w:r>
      <w:r w:rsidRPr="00AF5815">
        <w:rPr>
          <w:rFonts w:ascii="Garamond" w:hAnsi="Garamond"/>
          <w:lang w:val="en-GB"/>
        </w:rPr>
        <w:t xml:space="preserve"> bezeichnen können. So ist die Embryologie ein einziges Stück Wiederholungszwang; weit hinauf in die Tierreihe erstreckt sich ein Vermögen, verlorene Organe neu zu bilden, und der Heiltrieb, dem wir, neben den therapeutischen Hilfeleistungen, unsere Genesungen </w:t>
      </w:r>
      <w:r w:rsidRPr="00AF5815">
        <w:rPr>
          <w:rFonts w:ascii="Garamond" w:hAnsi="Garamond"/>
          <w:lang w:val="en-GB"/>
        </w:rPr>
        <w:lastRenderedPageBreak/>
        <w:t xml:space="preserve">verdanken, dürfte der Rest dieser bei niederen Tieren so großartig entwickelten Fähigkeit sein. Die Laichwanderungen der Fische, vielleicht die Vögelflüge, möglicherweise alles, was wir bei den Tieren als Instinktäußerung bezeichnen, erfolgt unter dem Gebot des Wiederholungszwangs, der die </w:t>
      </w:r>
      <w:r w:rsidRPr="00AF5815">
        <w:rPr>
          <w:rFonts w:ascii="Garamond" w:hAnsi="Garamond"/>
          <w:i/>
          <w:iCs/>
          <w:lang w:val="en-GB"/>
        </w:rPr>
        <w:t>konservative Natur</w:t>
      </w:r>
      <w:r w:rsidRPr="00AF5815">
        <w:rPr>
          <w:rFonts w:ascii="Garamond" w:hAnsi="Garamond"/>
          <w:lang w:val="en-GB"/>
        </w:rPr>
        <w:t xml:space="preserve"> der Triebe zum Ausdruck bringt. Auch auf seelischem Gebiet brauchen wir nicht lange nach Äußerungen desselben zu suchen. Es ist uns aufgefallen, daß die vergessenen und verdrängten Erlebnisse der früheren Kindheit sich während der analytischen Arbeit in Träumen und Reaktionen, besonders in denen der Übertragung reproduzieren, obwohl ihre Wiedererweckung dem Interesse des Lustprinzips zuwiderläuft, und wir haben uns die Erklärung gegeben, daß in diesen Fällen ein Wiederholungszwang sich selbst über das Lustprinzip hinaussetzt. Auch außerhalb der Analyse kann man ähnliches beobachten. Es gibt Menschen, die in ihrem Leben ohne Korrektur immer die nämlichen Reaktionen zu ihrem Schaden wiederholen oder die selbst von einem unerbittlichen Schicksal verfolgt scheinen, während doch eine genauere Untersuchung lehrt, daß sie sich dieses Schicksal unwissentlich selbst bereiten. Wir schreiben dann dem Wiederholungszwang den </w:t>
      </w:r>
      <w:r w:rsidRPr="00AF5815">
        <w:rPr>
          <w:rFonts w:ascii="Garamond" w:hAnsi="Garamond"/>
          <w:i/>
          <w:iCs/>
          <w:lang w:val="en-GB"/>
        </w:rPr>
        <w:t>dämonischen</w:t>
      </w:r>
      <w:r w:rsidRPr="00AF5815">
        <w:rPr>
          <w:rFonts w:ascii="Garamond" w:hAnsi="Garamond"/>
          <w:lang w:val="en-GB"/>
        </w:rPr>
        <w:t xml:space="preserve"> Charakter zu.</w:t>
      </w:r>
    </w:p>
    <w:p w:rsidR="00E22C23" w:rsidRPr="00AF5815" w:rsidRDefault="00E22C23" w:rsidP="00E22C23">
      <w:pPr>
        <w:rPr>
          <w:rFonts w:ascii="Garamond" w:hAnsi="Garamond"/>
          <w:lang w:val="en-GB"/>
        </w:rPr>
      </w:pPr>
      <w:r w:rsidRPr="00AF5815">
        <w:rPr>
          <w:rFonts w:ascii="Garamond" w:hAnsi="Garamond"/>
          <w:lang w:val="en-GB"/>
        </w:rPr>
        <w:t xml:space="preserve">Was kann aber dieser konservative Zug der Triebe für das Verständnis unserer Selbstzerstörung leisten? Welchen früheren Zustand wollte ein solcher Trieb wiederherstellen? Nun, die Antwort liegt nicht ferne und eröffnet weite Perspektiven. Wenn es wahr ist, daß – in unvordenklicher Zeit und auf unvorstellbare Weise – einmal aus unbelebter Materie das Leben hervorgegangen ist, so muß nach unserer Voraussetzung damals ein Trieb entstanden sein, der das Leben wieder aufheben, den anorganischen Zustand wieder herstellen will. Erkennen wir in diesem Trieb die Selbstdestruktion unserer Annahme wieder, so dürfen wir diese als Ausdruck eines </w:t>
      </w:r>
      <w:r w:rsidRPr="00AF5815">
        <w:rPr>
          <w:rFonts w:ascii="Garamond" w:hAnsi="Garamond"/>
          <w:i/>
          <w:iCs/>
          <w:lang w:val="en-GB"/>
        </w:rPr>
        <w:t>Todestriebes</w:t>
      </w:r>
      <w:r w:rsidRPr="00AF5815">
        <w:rPr>
          <w:rFonts w:ascii="Garamond" w:hAnsi="Garamond"/>
          <w:lang w:val="en-GB"/>
        </w:rPr>
        <w:t xml:space="preserve"> erfassen, der in keinem Lebensprozeß vermißt werden kann. Und nun scheiden sich uns die Triebe, an die wir glauben, in die zwei Gruppen der erotischen, die immer mehr lebende Substanz zu größeren Einheiten zusammenballen wollen, und der Todestriebe, die sich diesem Streben widersetzen und das Lebende in den anorganischen Zustand zurückführen. Aus dem Miteinander- und Gegeneinanderwirken der beiden gehen die Lebenserscheinungen hervor, denen der Tod ein Ende setzt.</w:t>
      </w:r>
    </w:p>
    <w:p w:rsidR="00E22C23" w:rsidRPr="00AF5815" w:rsidRDefault="00E22C23" w:rsidP="00E22C23">
      <w:pPr>
        <w:rPr>
          <w:rFonts w:ascii="Garamond" w:hAnsi="Garamond"/>
          <w:lang w:val="en-GB"/>
        </w:rPr>
      </w:pPr>
      <w:r w:rsidRPr="00AF5815">
        <w:rPr>
          <w:rFonts w:ascii="Garamond" w:hAnsi="Garamond"/>
          <w:lang w:val="en-GB"/>
        </w:rPr>
        <w:t>Sie werden vielleicht achselzuckend sagen: Das ist nicht Naturwissenschaft, das ist Schopenhauersche Philosophie. Aber warum, meine Damen und Herren, sollte nicht ein kühner Denker erraten haben, was dann nüchterne und mühselige Detailforschung bestätigt? Und dann, alles ist schon einmal gesagt worden und vor Schopenhauer haben viele Ähnliches gesagt. Und weiter, was wir sagen, ist nicht einmal richtiger Schopenhauer. Wir behaupten nicht, der Tod sei das einzige Ziel des Lebens; wir übersehen nicht neben dem Tod das Leben. Wir anerkennen zwei Grundtriebe und lassen jedem sein eigenes Ziel. Wie sich die beiden im Lebensprozeß vermengen, wie der Todestrieb den Absichten des Eros dienstbar gemacht wird, zumal in seiner Wendung nach außen als Aggression, das sind Aufgaben, die der Forschung der Zukunft überlassen bleiben. Wir kommen nicht weiter als bis zur Stelle, wo sich eine solche Aussicht vor uns auftut. Auch die Frage, ob der konservative Charakter nicht allen Trieben ausnahmslos eignet, ob nicht auch die erotischen Triebe einen früheren Zustand wiederbringen wollen, wenn sie die Synthese des Lebenden zu größeren Einheiten anstreben, auch diese Frage werden wir unbeantwortet lassen müssen.</w:t>
      </w:r>
    </w:p>
    <w:p w:rsidR="00E22C23" w:rsidRPr="00AF5815" w:rsidRDefault="00E22C23" w:rsidP="00E22C23">
      <w:pPr>
        <w:rPr>
          <w:rFonts w:ascii="Garamond" w:hAnsi="Garamond"/>
          <w:lang w:val="en-GB"/>
        </w:rPr>
      </w:pPr>
      <w:r w:rsidRPr="00AF5815">
        <w:rPr>
          <w:rFonts w:ascii="Garamond" w:hAnsi="Garamond"/>
          <w:lang w:val="en-GB"/>
        </w:rPr>
        <w:t xml:space="preserve">Wir haben uns ein wenig weit von unserer Basis entfernt. Ich will Ihnen nachträglich mitteilen, welches der Ausgangspunkt dieser Überlegungen zur Trieblehre war. Derselbe, der uns zur Revision der Beziehung zwischen dem Ich und dem Unbewußten geführt hat, der Eindruck aus der analytischen Arbeit, daß der Patient, der Widerstand leistet, so oft von diesem Widerstand nichts weiß. Aber nicht nur die Tatsache des Widerstands ist ihm unbewußt, auch die Motive desselben sind es. Wir mußten nach diesen Motiven oder diesem Motiv forschen und fanden es zu unserer Überraschung in einem starken Strafbedürfnis, das wir nur den masochistischen Wünschen anreihen konnten. Die praktische Bedeutung dieses Fundes steht hinter seiner theoretischen nicht zurück, denn dies Strafbedürfnis ist der schlimmste Feind unserer therapeutischen Bemühung. Es wird durch das Leiden befriedigt, das mit der Neurose verbunden ist, und hält darum am Kranksein fest. Es scheint, daß dieses Moment, das unbewußte </w:t>
      </w:r>
      <w:r w:rsidRPr="00AF5815">
        <w:rPr>
          <w:rFonts w:ascii="Garamond" w:hAnsi="Garamond"/>
          <w:lang w:val="en-GB"/>
        </w:rPr>
        <w:lastRenderedPageBreak/>
        <w:t>Strafbedürfnis, an jeder neurotischen Erkrankung beteiligt ist. Geradezu überzeugend wirken hier Fälle, in denen sich das neurotische Leiden durch ein andersartiges ablösen läßt. Ich will Ihnen von einer solchen Erfahrung berichten. Es war mir einmal gelungen, ein älteres Mädchen von dem Symptomkomplex zu befreien, der sie durch etwa 15 Jahre zu einer qualvollen Existenz verurteilt und von der Teilnahme am Leben ausgeschlossen hatte. Sie empfand sich nun als gesund und stürzte sich in eine eifrige Tätigkeit, um ihre nicht geringfügigen Talente zu entwickeln und sich noch ein Stück Geltung, Genuß und Erfolg zu erhaschen. Aber jeder ihrer Versuche endete damit, daß man sie wissen ließ oder daß sie selbst einsah, sie sei zu alt geworden, um auf diesem Gebiet etwas zu erreichen. Nach jedem solchen Ausgang wäre der Rückfall in die Krankheit das nächste gewesen, aber das konnte sie nicht mehr zustande bringen; anstatt dessen ereigneten sich ihr jedesmal Unfälle, die sie für eine Zeit lang außer Tätigkeit setzten und leiden ließen. Sie war gefallen und hatte sich einen Fuß verstaucht oder ein Knie verletzt, bei irgendeiner Hantierung eine Hand beschädigt. Aufmerksam gemacht, wie groß ihr eigener Anteil an diesen anscheinenden Zufällen sein könnte, änderte sie sozusagen ihre Technik. Anstatt der Unfälle traten bei den gleichen Veranlassungen leichte Erkrankungen auf, Katarrhe, Anginen, grippeartige Zustände, rheumatische Schwellungen, bis endlich mit der Resignation, zu der sie sich entschloß, der ganze Spuk vorüber war.</w:t>
      </w:r>
    </w:p>
    <w:p w:rsidR="00E22C23" w:rsidRPr="00AF5815" w:rsidRDefault="00E22C23" w:rsidP="00E22C23">
      <w:pPr>
        <w:rPr>
          <w:rFonts w:ascii="Garamond" w:hAnsi="Garamond"/>
          <w:lang w:val="en-GB"/>
        </w:rPr>
      </w:pPr>
      <w:r w:rsidRPr="00AF5815">
        <w:rPr>
          <w:rFonts w:ascii="Garamond" w:hAnsi="Garamond"/>
          <w:lang w:val="en-GB"/>
        </w:rPr>
        <w:t>Über die Herkunft dieses unbewußten Strafbedürfnisses, meinen wir, ist kein Zweifel. Es benimmt sich wie ein Stück des Gewissens, wie die Fortsetzung unseres Gewissens ins Unbewußte, es wird auch dieselbe Herkunft haben wie das Gewissen, also einem Stück Aggression entsprechen, das verinnerlicht und vom Über-Ich übernommen wurde. Würden die Worte nur besser zusammenpassen, so wäre es für alle praktischen Belange nur gerechtfertigt, es »unbewußtes Schuldgefühl« zu heißen. Theoretisch sind wir eigentlich im Zweifel, ob wir annehmen sollen, daß alle aus der Außenwelt zurückgekehrte Aggression vom Über-Ich gebunden und somit gegen das Ich gewendet werde oder daß ein Teil von ihr seine stumme und unheimliche Tätigkeit als freier Destruktionstrieb im Ich und Es ausübe. Wahrscheinlicher ist eine solche Verteilung, doch wissen wir nichts weiter darüber. Bei der ersten Einsetzung des Über-Ichs ist gewiß zur Ausstattung dieser Instanz jenes Stück Aggression gegen die Eltern verwendet worden, dem das Kind infolge seiner Liebesfixierung wie der äußeren Schwierigkeiten keine Abfuhr nach außen schaffen konnte, und darum braucht die Strenge des Über-Ichs nicht einfach der Härte der Erziehung zu entsprechen. Es ist sehr wohl möglich, daß bei späteren Anlässen zur Unterdrückung der Aggression der Trieb denselben Weg nimmt, der ihm in jenem entscheidenden Zeitpunkte eröffnet wurde.</w:t>
      </w:r>
    </w:p>
    <w:p w:rsidR="00E22C23" w:rsidRPr="00AF5815" w:rsidRDefault="00E22C23" w:rsidP="00E22C23">
      <w:pPr>
        <w:rPr>
          <w:rFonts w:ascii="Garamond" w:hAnsi="Garamond"/>
          <w:lang w:val="en-GB"/>
        </w:rPr>
      </w:pPr>
      <w:r w:rsidRPr="00AF5815">
        <w:rPr>
          <w:rFonts w:ascii="Garamond" w:hAnsi="Garamond"/>
          <w:lang w:val="en-GB"/>
        </w:rPr>
        <w:t>Personen, bei denen dies unbewußte Schuldgefühl übermächtig ist, verraten sich in der analytischen Behandlung durch die prognostisch so unliebsame negative therapeutische Reaktion. Wenn man ihnen eine Symptomlösung mitgeteilt hat, auf die normalerweise ein wenigstens zeitweiliges Schwinden des Symptoms folgen sollte, erzielt man bei ihnen im Gegenteil eine momentane Verstärkung des Symptoms und des Leidens. Es reicht oft hin, sie für ihr Benehmen in der Kur zu beloben, einige hoffnungsvolle Worte über den Fortschritt der Analyse zu äußern, um eine unverkennbare Verschlimmerung ihres Befindens herbeizuführen. Der Nicht-Analytiker würde sagen, er vermisse den »Genesungswillen«; nach analytischer Denkweise sehen Sie in diesem Benehmen eine Äußerung des unbewußten Schuldgefühls, dem Kranksein mit seinen Leiden und Verhinderungen eben recht ist. Die Probleme, die das unbewußte Schuldgefühl aufgerollt hat, seine Beziehungen zu Moral, Pädagogik, Kriminalität und Verwahrlosung sind gegenwärtig das bevorzugte Arbeitsgebiet der Psychoanalytiker.</w:t>
      </w:r>
    </w:p>
    <w:p w:rsidR="00E22C23" w:rsidRPr="00AF5815" w:rsidRDefault="00E22C23" w:rsidP="00E22C23">
      <w:pPr>
        <w:rPr>
          <w:rFonts w:ascii="Garamond" w:hAnsi="Garamond"/>
          <w:lang w:val="en-GB"/>
        </w:rPr>
      </w:pPr>
      <w:r w:rsidRPr="00AF5815">
        <w:rPr>
          <w:rFonts w:ascii="Garamond" w:hAnsi="Garamond"/>
          <w:lang w:val="en-GB"/>
        </w:rPr>
        <w:t xml:space="preserve">An unerwarteter Stelle sind wir hier aus der psychischen Unterwelt in den offenen Markt eingebrochen. Ich kann Sie nicht weiter führen, aber mit einem Gedankengang muß ich Sie noch aufhalten, ehe ich Sie für diesmal verabschiede. Es ist uns geläufig geworden zu sagen, daß unsere Kultur auf Kosten sexueller Strebungen aufgebaut ist, die von der Gesellschaft gehemmt, zum Teil zwar verdrängt, zum anderen Teil aber für neue Ziele nutzbar gemacht werden. Wir haben auch bei allem Stolz auf unsere kulturellen Errungenschaften zugestanden, daß es uns nicht leicht wird, die Anforderungen dieser Kultur zu erfüllen, </w:t>
      </w:r>
      <w:r w:rsidRPr="00AF5815">
        <w:rPr>
          <w:rFonts w:ascii="Garamond" w:hAnsi="Garamond"/>
          <w:lang w:val="en-GB"/>
        </w:rPr>
        <w:lastRenderedPageBreak/>
        <w:t>uns in ihr wohl zu fühlen, weil die uns auferlegten Triebbeschränkungen eine schwere psychische Belastung bedeuten. Nun, was wir für die Sexualtriebe erkannt haben, gilt im gleichen, vielleicht in noch höherem Maße, für die anderen, die Aggressionstriebe. Diese sind es vor allem, die das Zusammenleben der Menschen erschweren und dessen Fortdauer bedrohen; Einschränkung seiner Aggression ist das erste, vielleicht das schwerste Opfer, das die Gesellschaft vom Einzelnen zu fordern hat. Wir haben erfahren, in wie ingeniöser Weise diese Bändigung des Widerspenstigen vollzogen wird. Die Einsetzung des Über-Ichs, das die gefährlichen aggressiven Regungen an sich reißt, bringt gleichsam eine Besatzung in die zum Aufruhr geneigte Stätte. Aber anderseits, rein psychologisch betrachtet, muß man bekennen, das Ich fühlt sich nicht wohl dabei, wenn es so den Bedürfnissen der Gesellschaft geopfert wird, wenn es sich den destruktiven Tendenzen der Aggression unterwerfen muß, die es gern selbst gegen andere betätigt hätte. Es ist wie eine Fortsetzung jenes Dilemmas vom Fressen und Gefressenwerden, das die organische Lebewelt beherrscht, aufs psychische Gebiet. Zum Glück sind die Aggressionstriebe niemals allein, immer mit den erotischen legiert. Diese letzteren haben unter den Bedingungen der vom Menschen geschaffenen Kultur vieles zu mildern und zu verhüten.</w:t>
      </w:r>
    </w:p>
    <w:p w:rsidR="00E22C23" w:rsidRPr="00AF5815" w:rsidRDefault="00E22C23" w:rsidP="00E22C23">
      <w:pPr>
        <w:rPr>
          <w:rFonts w:ascii="Garamond" w:hAnsi="Garamond"/>
          <w:b/>
          <w:lang w:val="en-GB"/>
        </w:rPr>
      </w:pPr>
      <w:r>
        <w:rPr>
          <w:rFonts w:ascii="Garamond" w:hAnsi="Garamond"/>
          <w:lang w:val="en-GB"/>
        </w:rPr>
        <w:br w:type="page"/>
      </w:r>
      <w:hyperlink w:anchor="NeueVorlesugen_INHALT" w:history="1">
        <w:r w:rsidRPr="00AF5815">
          <w:rPr>
            <w:rStyle w:val="Lienhypertexte"/>
            <w:rFonts w:ascii="Garamond" w:hAnsi="Garamond"/>
            <w:b/>
            <w:lang w:val="en-GB"/>
          </w:rPr>
          <w:t>33. Vo</w:t>
        </w:r>
        <w:bookmarkStart w:id="303" w:name="NeueVorlesugen_33"/>
        <w:bookmarkEnd w:id="303"/>
        <w:r w:rsidRPr="00AF5815">
          <w:rPr>
            <w:rStyle w:val="Lienhypertexte"/>
            <w:rFonts w:ascii="Garamond" w:hAnsi="Garamond"/>
            <w:b/>
            <w:lang w:val="en-GB"/>
          </w:rPr>
          <w:t>rlesung. Die Weiblichkeit</w:t>
        </w:r>
      </w:hyperlink>
    </w:p>
    <w:p w:rsidR="00E22C23" w:rsidRPr="00AF5815" w:rsidRDefault="00E22C23" w:rsidP="00E22C23">
      <w:pPr>
        <w:rPr>
          <w:rFonts w:ascii="Garamond" w:hAnsi="Garamond"/>
          <w:lang w:val="en-GB"/>
        </w:rPr>
      </w:pPr>
    </w:p>
    <w:p w:rsidR="00E22C23" w:rsidRPr="00AF5815" w:rsidRDefault="00E22C23" w:rsidP="00E22C23">
      <w:pPr>
        <w:rPr>
          <w:rFonts w:ascii="Garamond" w:hAnsi="Garamond"/>
          <w:lang w:val="en-GB"/>
        </w:rPr>
      </w:pPr>
      <w:r w:rsidRPr="00AF5815">
        <w:rPr>
          <w:rFonts w:ascii="Garamond" w:hAnsi="Garamond"/>
          <w:lang w:val="en-GB"/>
        </w:rPr>
        <w:t>Meine Damen und Herren! Die ganze Zeit über, während ich mich vorbereite, mit Ihnen zu sprechen, ringe ich mit einer inneren Schwierigkeit. Ich fühle mich sozusagen meiner Lizenz nicht sicher. Es ist ja richtig, daß die Psychoanalyse sich in fünfzehn Arbeitsjahren verändert und bereichert hat, aber darum könnte doch eine Einführung in die Psychoanalyse unverändert und unergänzt bleiben. Immer schwebt es mir vor, daß diesen Vorträgen die Daseinsberechtigung fehlt. Den Analytikern sage ich zu wenig und überhaupt nichts Neues, Ihnen aber zu viel und solche Dinge, für deren Verständnis Sie nicht ausgerüstet sind, die nicht für Sie gehören. Ich habe nach Entschuldigungen ausgeschaut und jede einzelne Vorlesung durch eine andere Begründung rechtfertigen wollen. Die erste, über die Traumtheorie, sollte Sie mit einem Schlage wieder mitten in die analytische Atmosphäre versetzen und Ihnen zeigen, wie haltbar sich unsere Anschauungen erwiesen haben. An der zweiten, die die Wege vom Traum zum sogenannten Okkultismus verfolgt, reizte mich die Gelegenheit, ein freies Wort über ein Arbeitsgebiet zu sagen, auf dem heute vorurteilsvolle Erwartungen gegen leidenschaftliche Widerstände kämpfen, und ich durfte hoffen, Ihr am Beispiel der Psychoanalyse zur Toleranz erzogenes Urteil werde mir die Begleitung auf diesen Ausflug nicht verweigern. Die dritte Vorlesung, die über die Zerlegung der Persönlichkeit, stellte gewiß die härtesten Zumutungen an Sie, so fremdartig war ihr Inhalt, aber ich konnte diesen ersten Ansatz einer Ichpsychologie Ihnen unmöglich vorenthalten, und wenn wir ihn vor fünfzehn Jahren besessen hätten, hätte ich ihn schon damals erwähnen müssen. Die letzte Vorlesung endlich, der Sie wahrscheinlich nur unter großer Anspannung gefolgt sind, brachte notwendige Berichtigungen, neue Lösungsversuche der wichtigsten Rätselfragen, und meine Einführung wäre zu einer Irreführung geworden, wenn ich darüber geschwiegen hätte. Sie sehen, wenn man es unternimmt, sich zu entschuldigen, kommt es am Ende darauf hinaus, daß alles unvermeidlich war, alles Verhängnis. Ich unterwerfe mich; ich bitte Sie, tun Sie es auch.</w:t>
      </w:r>
    </w:p>
    <w:p w:rsidR="00E22C23" w:rsidRPr="00AF5815" w:rsidRDefault="00E22C23" w:rsidP="00E22C23">
      <w:pPr>
        <w:rPr>
          <w:rFonts w:ascii="Garamond" w:hAnsi="Garamond"/>
          <w:lang w:val="en-GB"/>
        </w:rPr>
      </w:pPr>
      <w:r w:rsidRPr="00AF5815">
        <w:rPr>
          <w:rFonts w:ascii="Garamond" w:hAnsi="Garamond"/>
          <w:lang w:val="en-GB"/>
        </w:rPr>
        <w:t>Auch die heutige Vorlesung sollte keine Aufnahme in eine Einführung finden, aber sie kann Ihnen eine Probe einer analytischen Detailarbeit geben, und ich kann zweierlei zu ihrer Empfehlung sagen. Sie bringt nichts als beobachtete Tatsachen, fast ohne Beisatz von Spekulation, und sie beschäftigt sich mit einem Thema, das Anspruch auf Ihr Interesse hat wie kaum ein anderes. Über das Rätsel der Weiblichkeit haben die Menschen zu allen Zeiten gegrübelt:</w:t>
      </w:r>
    </w:p>
    <w:p w:rsidR="00E22C23" w:rsidRPr="00AF5815" w:rsidRDefault="00E22C23" w:rsidP="00E22C23">
      <w:pPr>
        <w:rPr>
          <w:rFonts w:ascii="Garamond" w:hAnsi="Garamond"/>
          <w:lang w:val="en-GB"/>
        </w:rPr>
      </w:pPr>
      <w:r w:rsidRPr="00AF5815">
        <w:rPr>
          <w:rFonts w:ascii="Garamond" w:hAnsi="Garamond"/>
          <w:lang w:val="en-GB"/>
        </w:rPr>
        <w:t xml:space="preserve">»Häupter in Hieroglyphenmützen, </w:t>
      </w:r>
      <w:r w:rsidRPr="00AF5815">
        <w:rPr>
          <w:rFonts w:ascii="Garamond" w:hAnsi="Garamond"/>
          <w:lang w:val="en-GB"/>
        </w:rPr>
        <w:br/>
        <w:t xml:space="preserve">Häupter in Turban und schwarzem Barett, </w:t>
      </w:r>
      <w:r w:rsidRPr="00AF5815">
        <w:rPr>
          <w:rFonts w:ascii="Garamond" w:hAnsi="Garamond"/>
          <w:lang w:val="en-GB"/>
        </w:rPr>
        <w:br/>
        <w:t xml:space="preserve">Perückenhäupter und tausend andere </w:t>
      </w:r>
      <w:r w:rsidRPr="00AF5815">
        <w:rPr>
          <w:rFonts w:ascii="Garamond" w:hAnsi="Garamond"/>
          <w:lang w:val="en-GB"/>
        </w:rPr>
        <w:br/>
        <w:t xml:space="preserve">Arme, schwitzende Menschenhäupter – – –« </w:t>
      </w:r>
      <w:r w:rsidRPr="00AF5815">
        <w:rPr>
          <w:rFonts w:ascii="Garamond" w:hAnsi="Garamond"/>
          <w:lang w:val="en-GB"/>
        </w:rPr>
        <w:br/>
        <w:t xml:space="preserve">(Heine, </w:t>
      </w:r>
      <w:r w:rsidRPr="00AF5815">
        <w:rPr>
          <w:rFonts w:ascii="Garamond" w:hAnsi="Garamond"/>
          <w:i/>
          <w:iCs/>
          <w:lang w:val="en-GB"/>
        </w:rPr>
        <w:t>Nordsee</w:t>
      </w:r>
      <w:r w:rsidRPr="00AF5815">
        <w:rPr>
          <w:rFonts w:ascii="Garamond" w:hAnsi="Garamond"/>
          <w:lang w:val="en-GB"/>
        </w:rPr>
        <w:t>.)</w:t>
      </w:r>
    </w:p>
    <w:p w:rsidR="00E22C23" w:rsidRPr="00AF5815" w:rsidRDefault="00E22C23" w:rsidP="00E22C23">
      <w:pPr>
        <w:rPr>
          <w:rFonts w:ascii="Garamond" w:hAnsi="Garamond"/>
          <w:lang w:val="en-GB"/>
        </w:rPr>
      </w:pPr>
      <w:r w:rsidRPr="00AF5815">
        <w:rPr>
          <w:rFonts w:ascii="Garamond" w:hAnsi="Garamond"/>
          <w:lang w:val="en-GB"/>
        </w:rPr>
        <w:t xml:space="preserve">Auch Sie werden sich von diesem Grübeln nicht ausgeschlossen haben, insoferne Sie Männer sind; von den Frauen unter Ihnen erwartet man es nicht, sie sind selbst dieses Rätsel. Männlich oder weiblich ist die erste Unterscheidung, die Sie machen, wenn Sie mit einem anderen menschlichen Wesen zusammentreffen, und Sie sind gewöhnt, diese Unterscheidung mit unbedenklicher Sicherheit zu machen. Die anatomische Wissenschaft teilt Ihre Sicherheit in einem Punkt und nicht weit darüber hinaus. Männlich ist das männliche Geschlechtsprodukt, das Spermatozoon und sein Träger, weiblich das Ei und der Organismus, der es beherbergt. Bei beiden Geschlechtern haben sich Organe gebildet, die ausschließlich den Geschlechtsfunktionen dienen, wahrscheinlich aus der nämlichen Anlage zu zwei verschiedenen Gestaltungen entwickelt. Bei beiden zeigen außerdem die anderen Organe, die Körperformen und Gewebe eine Beeinflussung durch das Geschlecht, aber diese ist inkonstant und ihr Ausmaß wechselnd, die sogenannten sekundären Geschlechtscharaktere. Und dann sagt Ihnen die Wissenschaft etwas, was Ihren Erwartungen zuwiderläuft und wahrscheinlich geeignet ist, Ihre Gefühle zu </w:t>
      </w:r>
      <w:r w:rsidRPr="00AF5815">
        <w:rPr>
          <w:rFonts w:ascii="Garamond" w:hAnsi="Garamond"/>
          <w:lang w:val="en-GB"/>
        </w:rPr>
        <w:lastRenderedPageBreak/>
        <w:t xml:space="preserve">verwirren. Sie macht Sie darauf aufmerksam, daß Teile des männlichen Geschlechtsapparats sich auch am Körper des Weibes finden, wenngleich in verkümmertem Zustand, und das gleiche im anderen Falle. Sie sieht in diesem Vorkommen das Anzeichen einer Zwiegeschlechtigkeit, </w:t>
      </w:r>
      <w:r w:rsidRPr="00AF5815">
        <w:rPr>
          <w:rFonts w:ascii="Garamond" w:hAnsi="Garamond"/>
          <w:i/>
          <w:iCs/>
          <w:lang w:val="en-GB"/>
        </w:rPr>
        <w:t>Bisexualität</w:t>
      </w:r>
      <w:r w:rsidRPr="00AF5815">
        <w:rPr>
          <w:rFonts w:ascii="Garamond" w:hAnsi="Garamond"/>
          <w:lang w:val="en-GB"/>
        </w:rPr>
        <w:t>, als ob das Individuum nicht Mann oder Weib wäre, sondern jedesmal beides, nur von dem einen so viel mehr als vom andern. Sie werden dann aufgefordert, sich mit der Idee vertraut zu machen, daß das Verhältnis, nach dem sich Männliches und Weibliches im Einzelwesen vermengt, ganz erheblichen Schwankungen unterliegt. Da aber doch, von allerseltensten Fällen abgesehen, bei einer Person nur einerlei Geschlechtsprodukte – Eier oder Samenzellen – vorhanden sind, müssen Sie an der entscheidenden Bedeutung dieser Elemente irrewerden und den Schluß ziehen, das, was die Männlichkeit oder die Weiblichkeit ausmache, sei ein unbekannter Charakter, den die Anatomie nicht erfassen kann.</w:t>
      </w:r>
    </w:p>
    <w:p w:rsidR="00E22C23" w:rsidRPr="00AF5815" w:rsidRDefault="00E22C23" w:rsidP="00E22C23">
      <w:pPr>
        <w:rPr>
          <w:rFonts w:ascii="Garamond" w:hAnsi="Garamond"/>
          <w:lang w:val="en-GB"/>
        </w:rPr>
      </w:pPr>
      <w:r w:rsidRPr="00AF5815">
        <w:rPr>
          <w:rFonts w:ascii="Garamond" w:hAnsi="Garamond"/>
        </w:rPr>
        <w:t xml:space="preserve">Kann es vielleicht die Psychologie? Wir sind gewohnt, männlich und weiblich auch als seelische Qualitäten zu gebrauchen, und haben ebenso den Gesichtspunkt der Bisexualität auf das Seelenleben übertragen. </w:t>
      </w:r>
      <w:r w:rsidRPr="00AF5815">
        <w:rPr>
          <w:rFonts w:ascii="Garamond" w:hAnsi="Garamond"/>
          <w:lang w:val="en-GB"/>
        </w:rPr>
        <w:t xml:space="preserve">Wir sprechen also davon, daß ein Mensch, ob Männchen oder Weibchen, sich in diesem Punkt männlich, in jenem weiblich benehme. Aber Sie werden bald einsehen, das ist bloß Gefügigkeit gegen die Anatomie und gegen die Konvention. Sie können den Begriffen männlich und weiblich </w:t>
      </w:r>
      <w:r w:rsidRPr="00AF5815">
        <w:rPr>
          <w:rFonts w:ascii="Garamond" w:hAnsi="Garamond"/>
          <w:i/>
          <w:iCs/>
          <w:lang w:val="en-GB"/>
        </w:rPr>
        <w:t>keinen</w:t>
      </w:r>
      <w:r w:rsidRPr="00AF5815">
        <w:rPr>
          <w:rFonts w:ascii="Garamond" w:hAnsi="Garamond"/>
          <w:lang w:val="en-GB"/>
        </w:rPr>
        <w:t xml:space="preserve"> neuen Inhalt geben. Die Unterscheidung ist keine psychologische; wenn Sie männlich sagen, meinen Sie in der Regel »aktiv«, und wenn Sie weiblich sagen, »passiv«. Nun ist es richtig, daß eine solche Beziehung besteht. Die männliche Geschlechtszelle ist aktiv beweglich, sucht die weibliche auf, und diese, das Ei, ist unbeweglich, passiv erwartend. Dies Verhalten der geschlechtlichen Elementarorganismen ist sogar vorbildlich für das Benehmen der Geschlechtsindividuen beim Sexualverkehr. Das Männchen verfolgt das Weibchen zum Zweck der sexuellen Vereinigung, greift es an, dringt in dasselbe ein. </w:t>
      </w:r>
      <w:r w:rsidRPr="00AF5815">
        <w:rPr>
          <w:rFonts w:ascii="Garamond" w:hAnsi="Garamond"/>
        </w:rPr>
        <w:t xml:space="preserve">Aber damit haben Sie eben für die Psychologie den Charakter des Männlichen auf das Moment der Aggression reduziert. Sie werden zweifeln, ob Sie damit etwas Wesentliches getroffen haben, wenn Sie erwägen, daß in manchen Tierklassen die Weibchen die stärkeren und aggressiven sind, die Männchen nur aktiv bei dem einen Akt der geschlechtlichen Vereinigung. </w:t>
      </w:r>
      <w:r w:rsidRPr="00AF5815">
        <w:rPr>
          <w:rFonts w:ascii="Garamond" w:hAnsi="Garamond"/>
          <w:lang w:val="en-GB"/>
        </w:rPr>
        <w:t>So ist es z. B. bei den Spinnen. Auch die Funktionen der Brutpflege und Aufzucht, die uns als so exquisit weiblich erscheinen, sind bei Tieren nicht regelmäßig an das weibliche Geschlecht geknüpft. Bei recht hochstehenden Arten beobachtet man, daß die Geschlechter sich in die Aufgabe der Brutpflege teilen oder selbst, daß das Männchen sich allein ihr widmet. Selbst auf dem Gebiet des menschlichen Sexuallebens merken Sie bald, wie unzureichend es ist, das männliche Benehmen durch Aktivität, das weibliche durch Passivität zu decken. Die Mutter ist in jedem Sinn aktiv gegen das Kind, selbst vom Saugakt können Sie ebensowohl sagen, sie säugt das Kind als sie läßt sich vom Kinde säugen. Je weiter Sie sich dann vom engeren sexuellen Gebiet entfernen, desto deutlicher wird jener »Überdeckungsfehler«. Frauen können große Aktivität nach verschiedenen Richtungen entfalten, Männer können nicht mit ihresgleichen zusammenleben, wenn sie nicht ein hohes Maß von passiver Gefügigkeit entwickeln. Wenn Sie jetzt sagen, diese Tatsachen enthielten eben den Beweis, daß Männer wie Weiber im psychologischen Sinn bisexuell sind, so entnehme ich daraus, daß Sie bei sich beschlossen haben, »aktiv« mit »männlich«, »passiv« mit »weiblich« zusammenfallen zu lassen. Aber ich rate Ihnen davon ab. Es erscheint mir unzweckmäßig und es bringt keine neue Erkenntnis.</w:t>
      </w:r>
    </w:p>
    <w:p w:rsidR="00E22C23" w:rsidRPr="00AF5815" w:rsidRDefault="00E22C23" w:rsidP="00E22C23">
      <w:pPr>
        <w:rPr>
          <w:rFonts w:ascii="Garamond" w:hAnsi="Garamond"/>
          <w:lang w:val="en-GB"/>
        </w:rPr>
      </w:pPr>
      <w:r w:rsidRPr="00AF5815">
        <w:rPr>
          <w:rFonts w:ascii="Garamond" w:hAnsi="Garamond"/>
          <w:lang w:val="en-GB"/>
        </w:rPr>
        <w:t xml:space="preserve">Man könnte daran denken, die Weiblichkeit psychologisch durch die Bevorzugung passiver Ziele zu charakterisieren. Das ist natürlich nicht dasselbe wie die Passivität; es mag ein großes Stück Aktivität notwendig sein, um ein passives Ziel durchzusetzen. Vielleicht geht es so zu, daß sich beim Weib von ihrem Anteil an der Sexualfunktion her eine Bevorzugung passiven Verhaltens und passiver Zielstrebungen ein Stück weit ins Leben hinein erstreckt, mehr oder weniger weit, je nachdem sich diese Vorbildlichkeit des Sexuallebens begrenzt oder ausbreitet. Dabei müssen wir aber achthaben, den Einfluß der sozialen Ordnungen nicht zu unterschätzen, die das Weib gleichfalls in passive Situationen drängen. Das ist alles noch sehr ungeklärt. Eine besonders konstante Beziehung zwischen Weiblichkeit und Triebleben wollen wir nicht übersehen. Die dem Weib konstitutionell vorgeschriebene und sozial </w:t>
      </w:r>
      <w:r w:rsidRPr="00AF5815">
        <w:rPr>
          <w:rFonts w:ascii="Garamond" w:hAnsi="Garamond"/>
          <w:lang w:val="en-GB"/>
        </w:rPr>
        <w:lastRenderedPageBreak/>
        <w:t>auferlegte Unterdrückung seiner Aggression begünstigt die Ausbildung starker masochistischer Regungen, denen es ja gelingt, die nach innen gewendeten destruktiven Tendenzen erotisch zu binden. Der Masochismus ist also, wie man sagt, echt weiblich. Wenn Sie aber dem Masochismus, wie so häufig, bei Männern begegnen, was bleibt Ihnen übrig, als zu sagen, diese Männer zeigen sehr deutliche weibliche Züge?</w:t>
      </w:r>
    </w:p>
    <w:p w:rsidR="00E22C23" w:rsidRPr="00AF5815" w:rsidRDefault="00E22C23" w:rsidP="00E22C23">
      <w:pPr>
        <w:rPr>
          <w:rFonts w:ascii="Garamond" w:hAnsi="Garamond"/>
          <w:lang w:val="en-GB"/>
        </w:rPr>
      </w:pPr>
      <w:r w:rsidRPr="00AF5815">
        <w:rPr>
          <w:rFonts w:ascii="Garamond" w:hAnsi="Garamond"/>
          <w:lang w:val="en-GB"/>
        </w:rPr>
        <w:t>Nun sind Sie bereits vorbereitet darauf, daß auch die Psychologie das Rätsel der Weiblichkeit nicht lösen wird. Diese Aufklärung muß wohl anderswoher kommen und kann nicht kommen, ehe wir erfahren haben, wie die Differenzierung der lebenden Wesen in zwei Geschlechter überhaupt entstanden ist. Nichts wissen wir darüber, und die Zweigeschlechtlichkeit ist doch ein so auffälliger Charakter des organischen Lebens, durch den es sich scharf von der unbelebten Natur scheidet. Unterdes finden wir an jenen menschlichen Individuen, die durch den Besitz von weiblichen Genitalien als manifest oder vorwiegend weiblich charakterisiert sind, genug zu studieren. Der Eigenart der Psychoanalyse entspricht es dann, daß sie nicht beschreiben will, was das Weib ist, – das wäre eine für sie kaum lösbare Aufgabe, – sondern untersucht, wie es wird, wie sich das Weib aus dem bisexuell veranlagten Kind entwickelt. Wir haben darüber einiges in letzter Zeit erfahren, dank dem Umstande, daß mehrere unserer trefflichen Kolleginnen in der Analyse begonnen haben, diese Frage zu bearbeiten. Die Diskussion darüber hat aus dem Unterschied der Geschlechter einen besonderen Reiz bezogen, denn jedesmal, wenn eine Vergleichung zu Ungunsten ihres Geschlechts auszufallen schien, konnten unsere Damen den Verdacht äußern, daß wir, die männlichen Analytiker, gewisse tief eingewurzelte Vorurteile gegen die Weiblichkeit nicht überwunden hätten, was sich nun durch die Parteilichkeit unserer Forschung strafte. Wir hatten es dagegen auf dem Boden der Bisexualität leicht, jede Unhöflichkeit zu vermeiden. Wir brauchten nur zu sagen: Das gilt nicht für Sie. Sie sind eine Ausnahme, in diesem Punkt mehr männlich als weiblich.</w:t>
      </w:r>
    </w:p>
    <w:p w:rsidR="00E22C23" w:rsidRPr="00AF5815" w:rsidRDefault="00E22C23" w:rsidP="00E22C23">
      <w:pPr>
        <w:rPr>
          <w:rFonts w:ascii="Garamond" w:hAnsi="Garamond"/>
          <w:lang w:val="en-GB"/>
        </w:rPr>
      </w:pPr>
      <w:r w:rsidRPr="00AF5815">
        <w:rPr>
          <w:rFonts w:ascii="Garamond" w:hAnsi="Garamond"/>
          <w:lang w:val="en-GB"/>
        </w:rPr>
        <w:t>Mit zwei Erwartungen treten wir auch an die Untersuchung der weiblichen Sexualentwicklung heran: Die erste, daß auch hier die Konstitution sich nicht ohne Sträuben in die Funktion fügen wird. Die andere, daß die entscheidenden Wendungen bereits vor der Pubertät angebahnt oder vollzogen sein werden. Beide sind bald bestätigt. Des weiteren sagt uns der Vergleich mit den Verhältnissen beim Knaben, daß die Entwicklung des kleinen Mädchens zum normalen Weib die schwierigere und kompliziertere ist, denn sie umfaßt zwei Aufgaben mehr, zu denen die Entwicklung des Mannes kein Gegenstück zeigt. Verfolgen wir die Parallele von ihrem Anfang an. Gewiß ist schon das Material bei Knabe und Mädchen verschieden; um das festzustellen, braucht es keine Psychoanalyse. Der Unterschied in der Bildung der Genitalien wird von anderen körperlichen Verschiedenheiten begleitet, die zu bekannt sind, als daß sie der Erwähnung bedürften. Auch in der Triebanlage treten Differenzen hervor, die das spätere Wesen des Weibes ahnen lassen. Das kleine Mädchen ist in der Regel weniger aggressiv, trotzig und selbstgenügsam, es scheint mehr Bedürfnis nach Zärtlichkeit zu haben, die man ihm erweisen soll, darum abhängiger und gefügiger zu sein. Daß es sich leichter und schneller zur Beherrschung der Exkretionen erziehen läßt, ist sehr wahrscheinlich nur die Folge dieser Gefügigkeit; Harn und Stuhl sind ja die ersten Geschenke, die das Kind seinen Pflegepersonen macht, deren Beherrschung die erste Konzession, die sich das kindliche Triebleben abringen läßt. Man empfängt auch den Eindruck, daß das kleine Mädchen intelligenter, lebhafter ist als der gleichaltrige Knabe, es kommt der Außenwelt mehr entgegen, macht zur gleichen Zeit stärkere Objektbesetzungen. Ich weiß nicht, ob dieser Vorsprung der Entwicklung durch exakte Feststellungen erhärtet worden ist, jedenfalls steht es fest, daß das Mädchen nicht intellektuell rückständig genannt werden kann. Aber diese Geschlechtsunterschiede kommen nicht sehr in Betracht, sie können durch individuelle Variationen aufgewogen werden. Für die Absichten, die wir zunächst verfolgen, können wir sie vernachlässigen.</w:t>
      </w:r>
    </w:p>
    <w:p w:rsidR="00E22C23" w:rsidRPr="00AF5815" w:rsidRDefault="00E22C23" w:rsidP="00E22C23">
      <w:pPr>
        <w:rPr>
          <w:rFonts w:ascii="Garamond" w:hAnsi="Garamond"/>
          <w:lang w:val="en-GB"/>
        </w:rPr>
      </w:pPr>
      <w:r w:rsidRPr="00AF5815">
        <w:rPr>
          <w:rFonts w:ascii="Garamond" w:hAnsi="Garamond"/>
          <w:lang w:val="en-GB"/>
        </w:rPr>
        <w:t xml:space="preserve">Die frühen Phasen der Libidoentwicklung scheinen beide Geschlechter in gleicher Weise durchzumachen. Man hätte erwarten können, daß sich beim Mädchen bereits in der sadistisch-analen Phase ein Zurückbleiben der Aggression äußert, aber das trifft nicht ein. Die Analyse des Kinderspiels hat unseren </w:t>
      </w:r>
      <w:r w:rsidRPr="00AF5815">
        <w:rPr>
          <w:rFonts w:ascii="Garamond" w:hAnsi="Garamond"/>
          <w:lang w:val="en-GB"/>
        </w:rPr>
        <w:lastRenderedPageBreak/>
        <w:t>weiblichen Analytikern gezeigt, daß die aggressiven Impulse der kleinen Mädchen an Reichlichkeit und Heftigkeit nichts zu wünschen übriglassen. Mit dem Eintritt in die phallische Phase treten die Unterschiede der Geschlechter vollends gegen die Übereinstimmungen zurück. Wir müssen nun anerkennen, das kleine Mädchen sei ein kleiner Mann. Diese Phase ist beim Knaben bekanntlich dadurch ausgezeichnet, daß er sich von seinem kleinen Penis lustvolle Sensationen zu verschaffen weiß und dessen erregten Zustand mit seinen Vorstellungen von sexuellem Verkehr zusammenbringt. Das nämliche tut das Mädchen mit ihrer noch kleineren Klitoris. Es scheint, daß sich bei ihr alle onanistischen Akte an diesem Penisäquivalent abspielen, daß die eigentliche weibliche Vagina noch für beide Geschlechter unentdeckt ist. Vereinzelte Stimmen berichten zwar auch von frühzeitigen vaginalen Sensationen, aber es dürfte nicht leicht sein, solche von analen oder Vorhofsensationen zu unterscheiden; auf keinen Fall können sie eine große Rolle spielen. Wir dürfen daran festhalten, daß in der phallischen Phase des Mädchens die Klitoris die leitende erogene Zone ist. Aber so soll es ja nicht bleiben, mit der Wendung zur Weiblichkeit soll die Klitoris ihre Empfindlichkeit und damit ihre Bedeutung ganz oder teilweise an die Vagina abtreten, und dies wäre die eine der beiden Aufgaben, die von der Entwicklung des Weibes zu lösen sind, während der glücklichere Mann zur Zeit der Geschlechtsreife nur fortzusetzen braucht, was er in der Periode der sexuellen Frühblüte vorgeübt hatte.</w:t>
      </w:r>
    </w:p>
    <w:p w:rsidR="00E22C23" w:rsidRPr="00AF5815" w:rsidRDefault="00E22C23" w:rsidP="00E22C23">
      <w:pPr>
        <w:rPr>
          <w:rFonts w:ascii="Garamond" w:hAnsi="Garamond"/>
          <w:lang w:val="en-GB"/>
        </w:rPr>
      </w:pPr>
      <w:r w:rsidRPr="00AF5815">
        <w:rPr>
          <w:rFonts w:ascii="Garamond" w:hAnsi="Garamond"/>
          <w:lang w:val="en-GB"/>
        </w:rPr>
        <w:t xml:space="preserve">Wir werden auf die Rolle der Klitoris noch zurückkommen, wenden uns jetzt zur zweiten Aufgabe, mit der die Entwicklung des Mädchens belastet ist. </w:t>
      </w:r>
      <w:r w:rsidRPr="00E22C23">
        <w:rPr>
          <w:rFonts w:ascii="Garamond" w:hAnsi="Garamond"/>
          <w:lang w:val="en-GB"/>
        </w:rPr>
        <w:t xml:space="preserve">Das erste Liebesobjekt des Knaben ist die Mutter, sie bleibt es auch in der Formation des Ödipuskomplexes, im Grunde genommen durchs ganze Leben hindurch. Auch fürs Mädchen muß die Mutter – und die mit ihr verschmelzenden Gestalten der Amme, Pflegerin – das erste Objekt sein; die ersten Objektbesetzungen erfolgen ja in der Anlehnung an die Befriedigung der großen und einfachen Lebensbedürfnisse, und die Verhältnisse der Kinderpflege sind für beide Geschlechter die gleichen. In der Ödipussituation ist aber für das Mädchen der Vater das Liebesobjekt geworden, und wir erwarten, daß sie bei normalem Ablauf der Entwicklung vom Vaterobjekt aus den Weg zur endgültigen Objektwahl finden wird. </w:t>
      </w:r>
      <w:r w:rsidRPr="00AF5815">
        <w:rPr>
          <w:rFonts w:ascii="Garamond" w:hAnsi="Garamond"/>
          <w:lang w:val="en-GB"/>
        </w:rPr>
        <w:t>Das Mädchen soll also im Wandel der Zeiten erogene Zone und Objekt tauschen, die beide der Knabe beibehält. Es entsteht dann die Frage, wie geht das vor sich, im besonderen: wie kommt das Mädchen von der Mutter zur Bindung an den Vater, oder mit anderen Worten: aus ihrer männlichen in die ihr biologisch bestimmte weibliche Phase?</w:t>
      </w:r>
    </w:p>
    <w:p w:rsidR="00E22C23" w:rsidRPr="00AF5815" w:rsidRDefault="00E22C23" w:rsidP="00E22C23">
      <w:pPr>
        <w:rPr>
          <w:rFonts w:ascii="Garamond" w:hAnsi="Garamond"/>
          <w:lang w:val="en-GB"/>
        </w:rPr>
      </w:pPr>
      <w:r w:rsidRPr="00AF5815">
        <w:rPr>
          <w:rFonts w:ascii="Garamond" w:hAnsi="Garamond"/>
          <w:lang w:val="en-GB"/>
        </w:rPr>
        <w:t xml:space="preserve">Nun wäre es eine Lösung von idealer Einfachheit, wenn wir annehmen dürften, von einem bestimmten Alter an mache sich der elementare Einfluß der gegengeschlechtlichen Anziehung geltend und dränge das kleine Weib zum Mann, während dasselbe Gesetz dem Knaben das Beharren bei der Mutter gestatte. Ja man könnte hinzunehmen, daß die Kinder dabei den Winken folgen, die ihnen die geschlechtliche Bevorzugung der Eltern gibt. Aber so gut sollen wir es nicht haben, wir wissen kaum, ob wir an jene geheimnisvolle, analytisch nicht weiter zersetzbare Macht, von der die Dichter soviel schwärmen, im Ernst glauben dürfen. Wir haben eine Auskunft ganz anderer Art aus mühevollen Untersuchungen gewonnen, für welche wenigstens das Material leicht zu beschaffen war. Sie müssen nämlich wissen, daß die Zahl der Frauen, die bis in späte Zeiten in der zärtlichen Abhängigkeit vom Vaterobjekt, ja noch vom realen Vater verbleiben, eine sehr große ist. An solchen Frauen mit intensiver und lang andauernder Vaterbindung haben wir überraschende Feststellungen gemacht. Wir wußten natürlich, daß es ein Vorstadium von Mutterbindung gegeben hatte, aber wir wußten nicht, daß es so inhaltsreich sein, so lang anhalten, so viel Anlässe zu Fixierungen und Dispositionen hinterlassen könne. Während dieser Zeit ist der Vater nur ein lästiger Rivale; in manchen Fällen überdauert die Mutterbindung das vierte Jahr. Fast alles, was wir später in der Vaterbeziehung finden, war schon in ihr vorhanden und ist nachher auf den Vater übertragen worden. Kurz, wir gewinnen die Überzeugung, daß man das Weib nicht verstehen kann, wenn man nicht diese Phase der </w:t>
      </w:r>
      <w:r w:rsidRPr="00AF5815">
        <w:rPr>
          <w:rFonts w:ascii="Garamond" w:hAnsi="Garamond"/>
          <w:i/>
          <w:iCs/>
          <w:lang w:val="en-GB"/>
        </w:rPr>
        <w:t>präödipalen Mutterbindung</w:t>
      </w:r>
      <w:r w:rsidRPr="00AF5815">
        <w:rPr>
          <w:rFonts w:ascii="Garamond" w:hAnsi="Garamond"/>
          <w:lang w:val="en-GB"/>
        </w:rPr>
        <w:t xml:space="preserve"> würdigt.</w:t>
      </w:r>
    </w:p>
    <w:p w:rsidR="00E22C23" w:rsidRPr="00AF5815" w:rsidRDefault="00E22C23" w:rsidP="00E22C23">
      <w:pPr>
        <w:rPr>
          <w:rFonts w:ascii="Garamond" w:hAnsi="Garamond"/>
          <w:lang w:val="en-GB"/>
        </w:rPr>
      </w:pPr>
      <w:r w:rsidRPr="00AF5815">
        <w:rPr>
          <w:rFonts w:ascii="Garamond" w:hAnsi="Garamond"/>
          <w:lang w:val="en-GB"/>
        </w:rPr>
        <w:t xml:space="preserve">Nun wollen wir gerne wissen, welches die libidinösen Beziehungen des Mädchens zur Mutter sind. Die Antwort lautet: sie sind sehr mannigfaltig. Da sie durch alle drei Phasen der kindlichen Sexualität gehen, </w:t>
      </w:r>
      <w:r w:rsidRPr="00AF5815">
        <w:rPr>
          <w:rFonts w:ascii="Garamond" w:hAnsi="Garamond"/>
          <w:lang w:val="en-GB"/>
        </w:rPr>
        <w:lastRenderedPageBreak/>
        <w:t>nehmen sie auch die Charaktere der einzelnen Phasen an, drücken sich durch orale, sadistisch-anale und phallische Wünsche aus. Diese Wünsche vertreten sowohl aktive als passive Regungen; wenn man sie auf die später auftretende Differenzierung der Geschlechter bezieht, was man aber möglichst vermeiden soll, kann man sie männliche und weibliche heißen. Sie sind überdies voll ambivalent, ebensowohl zärtlicher als feindselig-aggressiver Natur. Die letzteren kommen oft erst zum Vorschein, nachdem sie in Angstvorstellungen verwandelt worden sind. Es ist nicht immer leicht, die Formulierung dieser frühen Sexualwünsche aufzuzeigen; am deutlichsten drückt sich der Wunsch aus, der Mutter ein Kind zu machen, wie der ihm entsprechende, ihr ein Kind zu gebären, beide der phallischen Zeit angehörig, befremdend genug, aber durch die analytische Beobachtung über jeden Zweifel festgestellt. Der Reiz dieser Untersuchungen liegt in den überraschenden Einzelfunden, die sie uns bringen. So z. B. entdeckt man die Angst, umgebracht oder vergiftet zu werden, die später den Kern einer paranoischen Erkrankung bilden kann, schon in dieser präödipalen Zeit auf die Mutter bezogen. Oder ein anderer Fall: Sie erinnern sich an eine interessante Episode aus der Geschichte der analytischen Forschung, die mir viele peinliche Stunden verursacht hat. In der Zeit, da das Hauptinteresse auf die Aufdeckung sexueller Kindheitstraumen gerichtet war, erzählten mir fast alle meine weiblichen Patienten, daß sie vom Vater verführt worden waren. Ich mußte endlich zur Einsicht kommen, daß diese Berichte unwahr seien, und lernte so verstehen, daß die hysterischen Symptome sich von Phantasien, nicht von realen Begebenheiten ableiten. Später erst konnte ich in dieser Phantasie von der Verführung durch den Vater den Ausdruck des typischen Ödipuskomplexes beim Weibe erkennen. Und nun findet man in der präödipalen Vorgeschichte der Mädchen die Verführungsphantasie wieder, aber die Verführerin ist regelmäßig die Mutter. Hier aber berührt die Phantasie den Boden der Wirklichkeit, denn es war wirklich die Mutter, die bei den Verrichtungen der Körperpflege Lustempfindungen am Genitale hervorrufen, vielleicht sogar zuerst erwecken mußte.</w:t>
      </w:r>
    </w:p>
    <w:p w:rsidR="00E22C23" w:rsidRPr="00AF5815" w:rsidRDefault="00E22C23" w:rsidP="00E22C23">
      <w:pPr>
        <w:rPr>
          <w:rFonts w:ascii="Garamond" w:hAnsi="Garamond"/>
          <w:lang w:val="en-GB"/>
        </w:rPr>
      </w:pPr>
      <w:r w:rsidRPr="00AF5815">
        <w:rPr>
          <w:rFonts w:ascii="Garamond" w:hAnsi="Garamond"/>
          <w:lang w:val="en-GB"/>
        </w:rPr>
        <w:t>Ich erwarte, daß Sie zu dem Verdacht bereit seien, diese Schilderung von der Reichhaltigkeit und der Stärke der sexuellen Beziehungen des kleinen Mädchens zu seiner Mutter sei sehr überzeichnet. Man hat doch Gelegenheit, kleine Mädchen zu sehen, und merkt ihnen nichts dergleichen an. Aber der Einwand trifft nicht zu; man kann genug an den Kindern sehen, wenn man zu beobachten versteht, und überdies wollen Sie bedenken, wie wenig von seinen sexuellen Wünschen das Kind zu vorbewußtem Ausdruck bringen oder gar mitteilen kann. Wir bedienen uns dann nur eines guten Rechts, wenn wir nachträglich die Residuen und Konsequenzen dieser Gefühlswelt an Personen studieren, bei denen diese Entwicklungsvorgänge eine besonders deutliche oder selbst eine übermäßige Ausbildung erreicht hatten. Die Pathologie hat uns ja immer den Dienst geleistet, durch Isolierung und Übertreibung Verhältnisse kenntlich zu machen, die in der Normalität verdeckt geblieben wären. Und da unsere Untersuchungen keineswegs an schwer abnormen Menschen ausgeführt worden sind, meine ich, wir dürfen ihre Ergebnisse für glaubwürdig halten.</w:t>
      </w:r>
    </w:p>
    <w:p w:rsidR="00E22C23" w:rsidRPr="00AF5815" w:rsidRDefault="00E22C23" w:rsidP="00E22C23">
      <w:pPr>
        <w:rPr>
          <w:rFonts w:ascii="Garamond" w:hAnsi="Garamond"/>
          <w:lang w:val="en-GB"/>
        </w:rPr>
      </w:pPr>
      <w:r w:rsidRPr="00AF5815">
        <w:rPr>
          <w:rFonts w:ascii="Garamond" w:hAnsi="Garamond"/>
          <w:lang w:val="en-GB"/>
        </w:rPr>
        <w:t xml:space="preserve">Wir werden jetzt unser Interesse auf die eine Frage richten, woran denn diese mächtige Mutterbindung des Mädchens zugrunde geht. Wir wissen, das ist ihr gewöhnliches Schicksal; sie ist dazu bestimmt, der Vaterbindung den Platz zu räumen. Da stoßen wir auf eine Tatsache, die uns den weiteren Weg weist. Es handelt sich bei diesem Schritt in der Entwicklung nicht um einen einfachen Wechsel des Objekts. Die Abwendung von der Mutter geschieht im Zeichen der Feindseligkeit, die Mutterbindung geht in Haß aus. Ein solcher Haß kann sehr auffällig werden und durchs ganze Leben anhalten, er kann später sorgfältig überkompensiert werden, in der Regel wird ein Teil von ihm überwunden, ein anderer Teil bleibt bestehen. Darauf haben die Begebenheiten späterer Jahre natürlich starken Einfluß. Wir beschränken uns aber darauf, ihn zur Zeit der Wendung zum Vater zu studieren und nach seinen Motivierungen zu befragen. Wir hören dann eine lange Liste von Anklagen und Beschwerden gegen die Mutter, die die feindseligen Gefühle des Kindes rechtfertigen sollen, von sehr verschiedenem Wert, deren Würdigung wir nicht unterlassen werden. Manche sind offenkundige Rationalisierungen, die wirklichen Quellen der </w:t>
      </w:r>
      <w:r w:rsidRPr="00AF5815">
        <w:rPr>
          <w:rFonts w:ascii="Garamond" w:hAnsi="Garamond"/>
          <w:lang w:val="en-GB"/>
        </w:rPr>
        <w:lastRenderedPageBreak/>
        <w:t>Feindschaft haben wir zu finden. Ich hoffe, Sie werden Anteil daran nehmen, wenn ich Sie diesmal durch alle Details einer psychoanalytischen Untersuchung führe.</w:t>
      </w:r>
    </w:p>
    <w:p w:rsidR="00E22C23" w:rsidRPr="00AF5815" w:rsidRDefault="00E22C23" w:rsidP="00E22C23">
      <w:pPr>
        <w:rPr>
          <w:rFonts w:ascii="Garamond" w:hAnsi="Garamond"/>
          <w:lang w:val="en-GB"/>
        </w:rPr>
      </w:pPr>
      <w:r w:rsidRPr="00AF5815">
        <w:rPr>
          <w:rFonts w:ascii="Garamond" w:hAnsi="Garamond"/>
          <w:lang w:val="en-GB"/>
        </w:rPr>
        <w:t>Der Vorwurf gegen die Mutter, der am weitesten zurückgreift, lautet, daß sie dem Kind zu wenig Milch gespendet hat, was ihr als Mangel an Liebe ausgelegt wird. Nun hat dieser Vorwurf in unseren Familien eine gewisse Berechtigung. Die Mütter haben oft nicht genug Nahrung für das Kind und begnügen sich damit, es einige Monate, ein halbes oder dreiviertel Jahre zu säugen. Bei primitiven Völkern werden die Kinder bis zu zwei und drei Jahren an der Mutterbrust genährt. Die Gestalt der nährenden Amme wird in der Regel mit der Mutter verschmolzen; wo dies nicht geschehen ist, wandelt sich der Vorwurf in den anderen, daß sie die Amme, die das Kind so bereitwillig nährte, zu früh weggeschickt hat. Aber was immer der wirkliche Sachverhalt gewesen sein mag, es ist unmöglich, daß der Vorwurf des Kindes so oft berechtigt ist, als man ihm begegnet. Es scheint vielmehr, daß die Gier des Kindes nach seiner ersten Nahrung überhaupt unstillbar ist, daß es den Verlust der Mutterbrust niemals verschmerzt. Ich wäre gar nicht überrascht, wenn die Analyse eines Primitiven, der noch an der Mutterbrust saugen durfte, als er schon laufen und sprechen konnte, denselben Vorwurf zutage fördern würde. Mit der Entziehung der Brust hängt wahrscheinlich auch die Angst vor Vergiftung zusammen. Gift ist die Nahrung, die einen krank macht. Vielleicht führt das Kind auch seine frühen Erkrankungen auf diese Versagung zurück. Es gehört bereits ein gut Stück intellektueller Schulung dazu, um an Zufall zu glauben; der Primitive, der Ungebildete, gewiß auch das Kind, wissen für alles, was geschieht, einen Grund anzugeben. Vielleicht war es ursprünglich ein Motiv im Sinne des Animismus. In manchen Schichten unserer Bevölkerung kann noch heute niemand sterben, der nicht von einem anderen umgebracht worden wäre, am besten vom Doktor. Und die regelmäßige neurotische Reaktion auf den Tod einer nahestehenden Person ist doch die Selbstbeschuldigung, daß man selbst diesen Tod verursacht hat.</w:t>
      </w:r>
    </w:p>
    <w:p w:rsidR="00E22C23" w:rsidRPr="00AF5815" w:rsidRDefault="00E22C23" w:rsidP="00E22C23">
      <w:pPr>
        <w:rPr>
          <w:rFonts w:ascii="Garamond" w:hAnsi="Garamond"/>
          <w:lang w:val="en-GB"/>
        </w:rPr>
      </w:pPr>
      <w:r w:rsidRPr="00AF5815">
        <w:rPr>
          <w:rFonts w:ascii="Garamond" w:hAnsi="Garamond"/>
          <w:lang w:val="en-GB"/>
        </w:rPr>
        <w:t>Die nächste Anklage gegen die Mutter flammt auf, wenn das nächste Kind in der Kinderstube erscheint. Wenn möglich, hält sie den Zusammenhang mit der oralen Versagung fest. Die Mutter konnte oder wollte dem Kind nicht mehr Milch geben, weil sie die Nahrung für das neu Angekommene brauchte. Im Falle, daß die beiden Kinder so nahe beisammen sind, daß die Laktation durch die zweite Gravidität geschädigt wird, erwirbt ja dieser Vorwurf eine reale Begründung, und merkwürdigerweise ist das Kind auch bei einer Altersdifferenz von nur 11 Monaten nicht zu jung, um den Sachverhalt zur Kenntnis zu nehmen. Aber nicht allein die Milchnahrung mißgönnt das Kind dem unerwünschten Eindringling und Rivalen, sondern ebenso alle anderen Zeichen der mütterlichen Fürsorge. Es fühlt sich entthront, beraubt, in seinen Rechten geschädigt, wirft einen eifersüchtigen Haß auf das Geschwisterchen und entwickelt einen Groll auf die ungetreue Mutter, der sich sehr oft in einer unliebsamen Veränderung seines Benehmens Ausdruck schafft. Es wird etwa »schlimm«, reizbar, unfolgsam und macht seine Erwerbungen in der Beherrschung der Ausscheidungen rückgängig. Das ist alles längst bekannt und wird als selbstverständlich hingenommen, aber wir machen uns selten die richtige Vorstellung von der Stärke dieser eifersüchtigen Regungen, von der Zähigkeit, mit der sie haften bleiben, sowie von der Größe ihres Einflusses auf die spätere Entwicklung. Besonders, da dieser Eifersucht in den späteren Kinderjahren immer neue Nahrung zugeführt wird und die ganze Erschütterung sich bei jedem neuen Geschwisterchen wiederholt. Es ändert auch nicht viel daran, wenn das Kind etwa der bevorzugte Liebling der Mutter bleibt; die Liebesansprüche des Kindes sind unmäßig, fordern Ausschließlichkeit, lassen keine Teilung zu.</w:t>
      </w:r>
    </w:p>
    <w:p w:rsidR="00E22C23" w:rsidRPr="00AF5815" w:rsidRDefault="00E22C23" w:rsidP="00E22C23">
      <w:pPr>
        <w:rPr>
          <w:rFonts w:ascii="Garamond" w:hAnsi="Garamond"/>
          <w:lang w:val="en-GB"/>
        </w:rPr>
      </w:pPr>
      <w:r w:rsidRPr="00AF5815">
        <w:rPr>
          <w:rFonts w:ascii="Garamond" w:hAnsi="Garamond"/>
          <w:lang w:val="en-GB"/>
        </w:rPr>
        <w:t xml:space="preserve">Eine reichliche Quelle für die Feindseligkeit des Kindes gegen die Mutter ergeben seine mannigfachen, je nach der Libidophase wechselnden Sexualwünsche, die meist nicht befriedigt werden können. Die stärkste dieser Versagungen ereignet sich in der phallischen Zeit, wenn die Mutter die lustvolle Betätigung am Genitale verbietet, – oft unter harten Drohungen und mit allen Zeichen des Unwillens, – zu der sie doch das Kind selbst angeleitet hatte. Man sollte meinen, das wären Motive genug, die Abwendung des Mädchens von der Mutter zu begründen. Man würde dann urteilen, diese Entzweiung folge unvermeidlicherweise aus der Natur der kindlichen Sexualität, aus der Unmäßigkeit der Liebesansprüche </w:t>
      </w:r>
      <w:r w:rsidRPr="00AF5815">
        <w:rPr>
          <w:rFonts w:ascii="Garamond" w:hAnsi="Garamond"/>
          <w:lang w:val="en-GB"/>
        </w:rPr>
        <w:lastRenderedPageBreak/>
        <w:t>und der Unerfüllbarkeit der Sexualwünsche. Ja vielleicht denkt man, diese erste Liebesbeziehung des Kindes sei zum Untergang verurteilt, eben darum, weil sie die erste ist, denn diese frühzeitigen Objektbesetzungen sind regelmäßig im hohen Grade ambivalent; neben der starken Liebe ist immer eine starke Aggressionsneigung vorhanden, und je leidenschaftlicher das Kind sein Objekt liebt, desto empfindlicher wird es gegen Enttäuschungen und Versagungen von dessen Seite. Endlich muß die Liebe der angehäuften Feindseligkeit erliegen. Oder man kann eine solche ursprüngliche Ambivalenz der Liebesbesetzungen ablehnen und darauf hinweisen, daß es die besondere Natur des Mutter-Kind-Verhältnisses ist, die mit der gleichen Unvermeidlichkeit zur Störung der kindlichen Liebe führt, denn auch die mildeste Erziehung kann nicht anders als Zwang ausüben und Einschränkungen einführen, und jeder solcher Eingriff in seine Freiheit muß beim Kind als Reaktion die Neigung zur Auflehnung und Aggression hervorrufen. Ich meine, die Diskussion dieser Möglichkeiten könnte sehr interessant werden, aber da stellt sich plötzlich ein Einwand ein, der unser Interesse in eine andere Richtung drängt. Alle diese Momente, die Zurücksetzungen, Liebesenttäuschungen, die Eifersucht, die Verführung mit nachfolgendem Verbot, kommen doch auch im Verhältnis des Knaben zur Mutter zur Wirksamkeit und sind doch nicht imstande, ihn dem Mutterobjekt zu entfremden. Wenn wir nicht etwas finden, was für das Mädchen spezifisch ist, beim Knaben nicht oder nicht so vorkommt, haben wir den Ausgang der Mutterbindung beim Mädchen nicht erklärt.</w:t>
      </w:r>
    </w:p>
    <w:p w:rsidR="00E22C23" w:rsidRPr="00AF5815" w:rsidRDefault="00E22C23" w:rsidP="00E22C23">
      <w:pPr>
        <w:rPr>
          <w:rFonts w:ascii="Garamond" w:hAnsi="Garamond"/>
          <w:lang w:val="en-GB"/>
        </w:rPr>
      </w:pPr>
      <w:r w:rsidRPr="00AF5815">
        <w:rPr>
          <w:rFonts w:ascii="Garamond" w:hAnsi="Garamond"/>
          <w:lang w:val="en-GB"/>
        </w:rPr>
        <w:t>Ich meine, wir haben dies spezifische Moment gefunden, und zwar an erwarteter Stelle, wenn auch in überraschender Form. An erwarteter Stelle, sage ich, denn es liegt im Kastrationskomplex. Der anatomische Unterschied muß sich doch in psychischen Folgen ausprägen. Eine Überraschung war es aber, aus den Analysen zu erfahren, daß das Mädchen die Mutter für seinen Penismangel verantwortlich macht und ihr diese Benachteiligung nicht verzeiht.</w:t>
      </w:r>
    </w:p>
    <w:p w:rsidR="00E22C23" w:rsidRPr="00AF5815" w:rsidRDefault="00E22C23" w:rsidP="00E22C23">
      <w:pPr>
        <w:rPr>
          <w:rFonts w:ascii="Garamond" w:hAnsi="Garamond"/>
          <w:lang w:val="en-GB"/>
        </w:rPr>
      </w:pPr>
      <w:r w:rsidRPr="00AF5815">
        <w:rPr>
          <w:rFonts w:ascii="Garamond" w:hAnsi="Garamond"/>
          <w:lang w:val="en-GB"/>
        </w:rPr>
        <w:t xml:space="preserve">Sie hören, wir schreiben auch dem Weib einen Kastrationskomplex zu. Mit gutem Grund, aber er kann nicht denselben Inhalt haben wie beim Knaben. Bei diesem entsteht der Kastrationskomplex, nachdem er durch den Anblick eines weiblichen Genitales erfahren hat, daß das von ihm so hoch geschätzte Glied nicht notwendig mit dem Körper beisammen sein muß. Er entsinnt sich dann der Drohungen, die er sich durch seine Beschäftigung mit dem Glied zugezogen, fängt an, ihnen Glauben zu schenken, und gerät von da an unter den Einfluß der </w:t>
      </w:r>
      <w:r w:rsidRPr="00AF5815">
        <w:rPr>
          <w:rFonts w:ascii="Garamond" w:hAnsi="Garamond"/>
          <w:i/>
          <w:iCs/>
          <w:lang w:val="en-GB"/>
        </w:rPr>
        <w:t>Kastrationsangst</w:t>
      </w:r>
      <w:r w:rsidRPr="00AF5815">
        <w:rPr>
          <w:rFonts w:ascii="Garamond" w:hAnsi="Garamond"/>
          <w:lang w:val="en-GB"/>
        </w:rPr>
        <w:t xml:space="preserve">, die der mächtigste Motor seiner weiteren Entwicklung wird. Auch der Kastrationskomplex des Mädchens wird durch den Anblick des anderen Genitales eröffnet. Es merkt sofort den Unterschied und – man muß es zugestehen – auch seine Bedeutung. Es fühlt sich schwer beeinträchtigt, äußert oft, es möchte »auch so etwas haben« und verfällt nun dem </w:t>
      </w:r>
      <w:r w:rsidRPr="00AF5815">
        <w:rPr>
          <w:rFonts w:ascii="Garamond" w:hAnsi="Garamond"/>
          <w:i/>
          <w:iCs/>
          <w:lang w:val="en-GB"/>
        </w:rPr>
        <w:t>Penisneid</w:t>
      </w:r>
      <w:r w:rsidRPr="00AF5815">
        <w:rPr>
          <w:rFonts w:ascii="Garamond" w:hAnsi="Garamond"/>
          <w:lang w:val="en-GB"/>
        </w:rPr>
        <w:t>, der unvertilgbare Spuren in seiner Entwicklung und Charakterbildung hinterlassen, auch im günstigsten Fall nicht ohne schweren psychischen Aufwand überwunden werden wird. Daß das Mädchen die Tatsache ihres Penismangels anerkennt, will nicht etwa besagen, daß sie sich ihr leichthin unterwirft. Im Gegenteil, sie hält noch lange an dem Wunsch fest, auch so etwas zu bekommen, glaubt an diese Möglichkeit bis in unwahrscheinlich weite Jahre, und noch zu Zeiten, wenn das Wissen um die Realität die Erfüllung dieses Wunsches längst als unerreichbar beiseite geworfen hat, kann die Analyse nachweisen, daß er im Unbewußten erhalten geblieben ist und eine ansehnliche Energiebesetzung bewahrt hat. Der Wunsch, den ersehnten Penis endlich doch zu bekommen, kann noch seinen Beitrag zu den Motiven leisten, die das gereifte Weib in die Analyse drängen, und was sie verständigerweise von der Analyse erwarten kann, etwa die Fähigkeit, einen intellektuellen Beruf auszuüben, läßt sich oft als eine sublimierte Abwandlung dieses verdrängten Wunsches erkennen.</w:t>
      </w:r>
    </w:p>
    <w:p w:rsidR="00E22C23" w:rsidRPr="00AF5815" w:rsidRDefault="00E22C23" w:rsidP="00E22C23">
      <w:pPr>
        <w:rPr>
          <w:rFonts w:ascii="Garamond" w:hAnsi="Garamond"/>
          <w:lang w:val="en-GB"/>
        </w:rPr>
      </w:pPr>
      <w:r w:rsidRPr="00AF5815">
        <w:rPr>
          <w:rFonts w:ascii="Garamond" w:hAnsi="Garamond"/>
          <w:lang w:val="en-GB"/>
        </w:rPr>
        <w:t xml:space="preserve">An der Bedeutsamkeit des Penisneides kann man nicht gut zweifeln. Hören Sie sich als ein Beispiel männlicher Ungerechtigkeit die Behauptung an, daß Neid und Eifersucht im Seelenleben der Frauen eine noch größere Rolle spielen als bei den Männern. Nicht daß diese Eigenschaften bei Männern vermißt würden oder daß sie bei Frauen keine andere Wurzel hätten als den Penisneid, aber wir sind geneigt, das Mehr bei den Frauen diesem letzteren Einfluß zuzuschreiben. Es hat sich aber bei manchen Analytikern </w:t>
      </w:r>
      <w:r w:rsidRPr="00AF5815">
        <w:rPr>
          <w:rFonts w:ascii="Garamond" w:hAnsi="Garamond"/>
          <w:lang w:val="en-GB"/>
        </w:rPr>
        <w:lastRenderedPageBreak/>
        <w:t>die Neigung ergeben, jenen ersten Schub von Penisneid, in der phallischen Phase, in seiner Bedeutung herabzudrücken. Sie meinen, was man von dieser Einstellung bei der Frau findet, sei der Hauptsache nach eine sekundäre Bildung, die bei Gelegenheit späterer Konflikte durch Regression auf jene frühinfantile Regung zustande gekommen. Nun ist das ein allgemeines Problem der Tiefenpsychologie. Bei vielen pathologischen – oder auch nur ungewöhnlichen – Triebeinstellungen, z. B. bei allen sexuellen Perversionen, fragt es sich, wieviel von deren Stärke den frühinfantilen Fixierungen, wieviel dem Einfluß späterer Erlebnisse und Entwicklungen zuzuteilen ist. Es handelt sich dabei fast immer um Ergänzungsreihen, wie wir sie bei der Erörterung der Neurosenätiologie angenommen haben. Beide Momente teilen sich in wechselndem Ausmaß in die Verursachung; ein Minder auf der einen Seite wird durch ein Mehr auf der anderen wettgemacht. Das Infantile ist in allen Fällen richtunggebend, ausschlaggebend nicht immer, aber doch oftmals. Gerade im Fall des Penisneides möchte ich mit Entschiedenheit für das Übergewicht des infantilen Moments eintreten.</w:t>
      </w:r>
    </w:p>
    <w:p w:rsidR="00E22C23" w:rsidRPr="00AF5815" w:rsidRDefault="00E22C23" w:rsidP="00E22C23">
      <w:pPr>
        <w:rPr>
          <w:rFonts w:ascii="Garamond" w:hAnsi="Garamond"/>
          <w:lang w:val="en-GB"/>
        </w:rPr>
      </w:pPr>
      <w:r w:rsidRPr="00AF5815">
        <w:rPr>
          <w:rFonts w:ascii="Garamond" w:hAnsi="Garamond"/>
          <w:lang w:val="en-GB"/>
        </w:rPr>
        <w:t xml:space="preserve">Die Entdeckung seiner Kastration ist ein Wendepunkt in der Entwicklung des Mädchens. Drei Entwicklungsrichtungen gehen von ihr aus; die eine führt zur Sexualhemmung oder zur Neurose, die nächste zur Charakterveränderung im Sinne eines Männlichkeitskomplexes, die letzte endlich zur normalen Weiblichkeit. Über alle drei haben wir ziemlich viel, wenn auch nicht alles erfahren. Der wesentliche Inhalt der ersten ist, daß das kleine Mädchen, welches bisher männlich gelebt hatte, sich durch Erregung seiner Klitoris Lust zu verschaffen wußte und diese Betätigung mit seinen oft aktiven Sexualwünschen, die der Mutter galten, in Beziehung brachte, sich durch den Einfluß des Penisneides den Genuß seiner phallischen Sexualität verderben läßt. Durch den Vergleich mit dem so viel besser ausgestatteten Knaben in seiner Selbstliebe gekränkt, verzichtet es auf die masturbatorische Befriedigung an der Klitoris, verwirft seine Liebe zur Mutter und verdrängt dabei nicht selten ein gutes Stück seiner Sexualstrebungen überhaupt. Die Abwendung von der Mutter erfolgt wohl nicht mit einem Schlag, denn das Mädchen hält seine Kastration zuerst für ein individuelles Unglück, erst allmählich dehnt sie dieselbe auf andere weibliche Wesen, endlich auch auf die Mutter aus. Ihre Liebe hatte der </w:t>
      </w:r>
      <w:r w:rsidRPr="00AF5815">
        <w:rPr>
          <w:rFonts w:ascii="Garamond" w:hAnsi="Garamond"/>
          <w:i/>
          <w:iCs/>
          <w:lang w:val="en-GB"/>
        </w:rPr>
        <w:t>phallischen</w:t>
      </w:r>
      <w:r w:rsidRPr="00AF5815">
        <w:rPr>
          <w:rFonts w:ascii="Garamond" w:hAnsi="Garamond"/>
          <w:lang w:val="en-GB"/>
        </w:rPr>
        <w:t xml:space="preserve"> Mutter gegolten; mit der Entdeckung, daß die Mutter kastriert ist, wird es möglich, sie als Liebesobjekt fallenzulassen, so daß die lange angesammelten Motive zur Feindseligkeit die Oberhand gewinnen. Das heißt also, daß durch die Entdeckung der Penislosigkeit das Weib dem Mädchen ebenso entwertet wird wie dem Knaben und später vielleicht dem Manne.</w:t>
      </w:r>
    </w:p>
    <w:p w:rsidR="00E22C23" w:rsidRPr="00AF5815" w:rsidRDefault="00E22C23" w:rsidP="00E22C23">
      <w:pPr>
        <w:rPr>
          <w:rFonts w:ascii="Garamond" w:hAnsi="Garamond"/>
          <w:lang w:val="en-GB"/>
        </w:rPr>
      </w:pPr>
      <w:r w:rsidRPr="00AF5815">
        <w:rPr>
          <w:rFonts w:ascii="Garamond" w:hAnsi="Garamond"/>
          <w:lang w:val="en-GB"/>
        </w:rPr>
        <w:t xml:space="preserve">Sie wissen alle, welche überragende ätiologische Bedeutung unsere Neurotiker ihrer Onanie einräumen. Sie machen sie für alle ihre Beschwerden verantwortlich, und wir haben große Mühe, sie glauben zu machen, daß sie im Irrtum sind. Aber eigentlich sollten wir ihnen zugestehen, daß sie im Recht sind, denn die Onanie ist die Exekutive der kindlichen Sexualität, an deren Fehlentwicklung sie allerdings leiden. Nun beschuldigen die Neurotiker meist die Onanie der Pubertätszeit; die frühkindliche, auf die es in Wirklichkeit ankommt, haben sie meist vergessen. Ich wollte, ich hätte einmal die Gelegenheit, Ihnen ausführlich darzulegen, wie wichtig alle tatsächlichen Einzelheiten der frühen Onanie für die spätere Neurose oder den Charakter des Einzelnen werden, ob sie entdeckt wurde oder nicht, wie die Eltern sie bekämpften oder zuließen, ob es ihm selbst gelang, sie zu unterdrücken. Das alles hat unvergängliche Spuren in seiner Entwicklung hinterlassen. Aber ich bin vielmehr froh, daß ich dies nicht zu tun brauche; es wäre eine schwere, langwierige Aufgabe, und am Ende würden Sie mich in Verlegenheit bringen, weil Sie ganz gewiß praktische Ratschläge von mir forderten, wie man sich als Elternteil oder als Erzieher gegen die Onanie der kleinen Kinder verhalten soll. In der Entwicklung der Mädchen, die ich Ihnen vorführe, hören Sie nun ein Beispiel dafür, daß das Kind sich selbst um die Befreiung von der Onanie bemüht. Aber es gelingt ihm nicht immer. Wo der Penisneid einen starken Impuls gegen die klitoridische Onanie erweckt hat und diese doch nicht weichen will, entspinnt sich ein heftiger Befreiungskampf, in dem das Mädchen gleichsam die Rolle der jetzt abgesetzten Mutter selbst aufnimmt und seine ganze Unzufriedenheit mit der minderwertigen Klitoris im Widerstreben gegen die Befriedigung an ihr zum </w:t>
      </w:r>
      <w:r w:rsidRPr="00AF5815">
        <w:rPr>
          <w:rFonts w:ascii="Garamond" w:hAnsi="Garamond"/>
          <w:lang w:val="en-GB"/>
        </w:rPr>
        <w:lastRenderedPageBreak/>
        <w:t>Ausdruck bringt. Noch viele Jahre später, wenn die onanistische Betätigung längst unterdrückt ist, setzt sich ein Interesse fort, das wir als Abwehr einer noch immer gefürchteten Versuchung deuten müssen. Es äußert sich im Auftauchen von Sympathie für Personen, denen man ähnliche Schwierigkeiten zumutet, es geht als Motiv in die Eheschließung ein, ja es kann die Wahl des Ehe- oder Liebespartners bestimmen. Die Erledigung der frühkindlichen Masturbation ist wahrlich keine leichte oder gleichgültige Sache.</w:t>
      </w:r>
    </w:p>
    <w:p w:rsidR="00E22C23" w:rsidRPr="00AF5815" w:rsidRDefault="00E22C23" w:rsidP="00E22C23">
      <w:pPr>
        <w:rPr>
          <w:rFonts w:ascii="Garamond" w:hAnsi="Garamond"/>
          <w:lang w:val="en-GB"/>
        </w:rPr>
      </w:pPr>
      <w:r w:rsidRPr="00AF5815">
        <w:rPr>
          <w:rFonts w:ascii="Garamond" w:hAnsi="Garamond"/>
          <w:lang w:val="en-GB"/>
        </w:rPr>
        <w:t>Mit dem Aufgeben der klitoridischen Masturbation wird auf ein Stück Aktivität verzichtet. Die Passivität hat nun die Oberhand, die Wendung zum Vater wird vorwiegend mit Hilfe passiver Triebregungen vollzogen. Sie erkennen, daß ein solcher Entwicklungschub, der die phallische Aktivität aus dem Weg räumt, der Weiblichkeit den Boden ebnet. Wenn dabei nicht zuviel durch Verdrängung verlorengeht, kann diese Weiblichkeit normal ausfallen. Der Wunsch, mit dem sich das Mädchen an den Vater wendet, ist wohl ursprünglich der Wunsch nach dem Penis, den ihr die Mutter versagt hat und den sie nun vom Vater erwartet. Die weibliche Situation ist aber erst hergestellt, wenn sich der Wunsch nach dem Penis durch den nach dem Kind ersetzt, das Kind also nach alter symbolischer Äquivalenz an die Stelle des Penis tritt. Es entgeht uns nicht, daß sich das Mädchen schon früher, in der ungestörten phallischen Phase, ein Kind gewünscht hatte; das war ja der Sinn ihres Spieles mit Puppen. Aber dies Spiel war nicht eigentlich der Ausdruck ihrer Weiblichkeit, es diente der Mutteridentifizierung in der Absicht der Ersetzung der Passivität durch Aktivität. Sie spielte die Mutter und die Puppe war sie selbst; nun konnte sie an dem Kind all das tun, was die Mutter an ihr zu tun pflegte. Erst mit dem Einmünden des Peniswunsches wird das Puppenkind ein Kind vom Vater und von da an das stärkste weibliche Wunschziel. Das Glück ist groß, wenn dieser Kinderwunsch später einmal seine reale Erfüllung findet, ganz besonders aber, wenn das Kind ein Knäblein ist, das den ersehnten Penis mitbringt. In der Zusammenstellung »Ein Kind vom Vater« ruht der Akzent häufig genug auf dem Kind und läßt den Vater unbetont. So schimmert der alte männliche Wunsch nach dem Besitz des Penis noch durch die vollendete Weiblichkeit durch. Aber vielleicht sollten wir diesen Peniswunsch eher als einen exquisit weiblichen anerkennen.</w:t>
      </w:r>
    </w:p>
    <w:p w:rsidR="00E22C23" w:rsidRPr="00AF5815" w:rsidRDefault="00E22C23" w:rsidP="00E22C23">
      <w:pPr>
        <w:rPr>
          <w:rFonts w:ascii="Garamond" w:hAnsi="Garamond"/>
          <w:lang w:val="en-GB"/>
        </w:rPr>
      </w:pPr>
      <w:r w:rsidRPr="00AF5815">
        <w:rPr>
          <w:rFonts w:ascii="Garamond" w:hAnsi="Garamond"/>
          <w:lang w:val="en-GB"/>
        </w:rPr>
        <w:t>Mit der Übertragung des Kind-Penis-Wunsches auf den Vater ist das Mädchen in die Situation des Ödipuskomplexes eingetreten. Die Feindseligkeit gegen die Mutter, die nicht erst neu geschaffen zu werden brauchte, erfährt jetzt eine große Verstärkung, denn sie wird zur Rivalin, die vom Vater all das erhält, was das Mädchen von ihm begehrt. Der Ödipuskomplex des Mädchens hat uns lange den Einblick in dessen präödipale Mutterbindung verhüllt, die doch so wichtig ist und so nachhaltige Fixierungen hinterläßt. Für das Mädchen ist die Ödipussituation der Ausgang einer langen und schwierigen Entwicklung, eine Art vorläufiger Erledigung, eine Ruheposition, die man nicht so bald verläßt, besonders da der Beginn der Latenzzeit nicht fern ist. Und nun fällt uns im Verhältnis des Ödipuskomplexes zum Kastrationskomplex ein Unterschied zwischen den Geschlechtern auf, der wahrscheinlich folgenschwer ist. Der Ödipuskomplex des Knaben, in dem er seine Mutter begehrt und seinen Vater als Rivalen beseitigen möchte, entwickelt sich natürlich aus der Phase seiner phallischen Sexualität. Die Kastrationsdrohung zwingt ihn aber, diese Einstellung aufzugeben. Unter dem Eindruck der Gefahr, den Penis zu verlieren, wird der Ödipuskomplex verlassen, verdrängt, im normalsten Falle gründlich zerstört, und als sein Erbe ein strenges Über-Ich eingesetzt. Was beim Mädchen geschieht, ist beinahe das Gegenteil. Der Kastrationskomplex bereitet den Ödipuskomplex vor anstatt ihn zu zerstören, durch den Einfluß des Penisneides wird das Mädchen aus der Mutterbindung vertrieben und läuft in die Ödipussituation wie in einen Hafen ein. Mit dem Wegfall der Kastrationsangst entfällt das Hauptmotiv, das den Knaben gedrängt hatte, den Ödipuskomplex zu überwinden. Das Mädchen verbleibt in ihm unbestimmt lange, baut ihn nur spät und dann unvollkommen ab. Die Bildung des Über-Ichs muß unter diesen Verhältnissen leiden, es kann nicht die Stärke und die Unabhängigkeit erreichen, die ihm seine kulturelle Bedeutung verleihen, und – Feministen hören es nicht gerne, wenn man auf die Auswirkungen dieses Moments für den durchschnittlichen weiblichen Charakter hinweist.</w:t>
      </w:r>
    </w:p>
    <w:p w:rsidR="00E22C23" w:rsidRPr="00AF5815" w:rsidRDefault="00E22C23" w:rsidP="00E22C23">
      <w:pPr>
        <w:rPr>
          <w:rFonts w:ascii="Garamond" w:hAnsi="Garamond"/>
          <w:lang w:val="en-GB"/>
        </w:rPr>
      </w:pPr>
      <w:r w:rsidRPr="00AF5815">
        <w:rPr>
          <w:rFonts w:ascii="Garamond" w:hAnsi="Garamond"/>
          <w:lang w:val="en-GB"/>
        </w:rPr>
        <w:lastRenderedPageBreak/>
        <w:t>Um nun zurückzugreifen: als die zweite der möglichen Reaktionen nach der Entdeckung der weiblichen Kastration haben wir die Entwicklung eines starken Männlichkeitskomplexes erwähnt. Damit ist gemeint, daß das Mädchen sich gleichsam weigert, die unliebsame Tatsache anzuerkennen, in trotziger Auflehnung seine bisherige Männlichkeit noch übertreibt, an seiner klitoridischen Betätigung festhält und seine Zuflucht zu einer Identifizierung mit der phallischen Mutter oder dem Vater nimmt. Was kann für diesen Ausgang entscheidend sein? Wir können uns nichts anderes vorstellen als einen konstitutionellen Faktor, ein größeres Ausmaß von Aktivität, wie es sonst für das Männchen charakteristisch ist. Das Wesentliche des Vorganges ist doch, daß an dieser Stelle der Entwicklung der Passivitätsschub vermieden wird, der die Wendung zur Weiblichkeit eröffnet. Als die äußerste Leistung dieses Männlichkeitskomplexes erscheint uns die Beeinflussung der Objektwahl im Sinne einer manifesten Homosexualität. Die analytische Erfahrung lehrt uns zwar, daß die weibliche Homosexualität selten oder nie die infantile Männlichkeit gradlinig fortsetzt. Es scheint dazuzugehören, daß auch solche Mädchen für eine Weile den Vater zum Objekt nehmen und sich in die Ödipussituation begeben. Dann aber werden sie durch die unausbleiblichen Enttäuschungen am Vater zur Regression auf ihren frühen Männlichkeitskomplex gedrängt. Man darf die Bedeutung dieser Enttäuschungen nicht überschätzen; sie bleiben auch dem zur Weiblichkeit bestimmten Mädchen nicht erspart, ohne den gleichen Erfolg zu haben. Die Übermacht des konstitutionellen Moments scheint unbestreitbar, aber die zwei Phasen in der Entwicklung der weiblichen Homosexualität spiegeln sich sehr schön in den Praktiken der Homosexuellen, die ebensooft und ebenso deutlich Mutter und Kind miteinander spielen wie Mann und Weib.</w:t>
      </w:r>
    </w:p>
    <w:p w:rsidR="00E22C23" w:rsidRPr="00AF5815" w:rsidRDefault="00E22C23" w:rsidP="00E22C23">
      <w:pPr>
        <w:rPr>
          <w:rFonts w:ascii="Garamond" w:hAnsi="Garamond"/>
          <w:lang w:val="en-GB"/>
        </w:rPr>
      </w:pPr>
      <w:r w:rsidRPr="00AF5815">
        <w:rPr>
          <w:rFonts w:ascii="Garamond" w:hAnsi="Garamond"/>
          <w:lang w:val="en-GB"/>
        </w:rPr>
        <w:t>Was ich Ihnen da erzählt habe, ist sozusagen die Vorgeschichte des Weibes. Es ist eine Erwerbung der allerletzten Jahre, mag Ihnen als Probe analytischer Kleinarbeit interessant gewesen sein. Da die Frau selbst das Thema ist, gestatte ich mir, diesmal einige Frauen namentlich zu erwähnen, denen diese Untersuchung wichtige Beiträge verdankt. Dr. Ruth Mack Brunswick hat als die erste einen Fall von Neurose beschrieben, der auf eine Fixierung im präödipalen Stadium zurückging und die Ödipussituation überhaupt nicht erreicht hatte. Er hatte die Form einer Eifersuchtsparanoia und erwies sich der Therapie zugänglich. Dr. Jeanne Lampl-de Groot hat die so unglaubwürdige phallische Aktivität des Mädchens gegen die Mutter in gesicherten Beobachtungen festgestellt, Dr. Helene Deutsch gezeigt, daß die Liebesakte homosexueller Frauen die Mutter-Kind-Beziehungen reproduzieren.</w:t>
      </w:r>
    </w:p>
    <w:p w:rsidR="00E22C23" w:rsidRPr="00AF5815" w:rsidRDefault="00E22C23" w:rsidP="00E22C23">
      <w:pPr>
        <w:rPr>
          <w:rFonts w:ascii="Garamond" w:hAnsi="Garamond"/>
          <w:lang w:val="en-GB"/>
        </w:rPr>
      </w:pPr>
      <w:r w:rsidRPr="00AF5815">
        <w:rPr>
          <w:rFonts w:ascii="Garamond" w:hAnsi="Garamond"/>
          <w:lang w:val="en-GB"/>
        </w:rPr>
        <w:t xml:space="preserve">Das weitere Verhalten der Weiblichkeit durch die Pubertät bis in die Zeit der Reife zu verfolgen, liegt nicht in meiner Absicht. Unsere Einsichten wären auch unzureichend dafür. Einige Züge werde ich im nachfolgenden zusammenstellen. An die Vorgeschichte anknüpfend, will ich hier nur hervorheben, daß die Entfaltung der Weiblichkeit der Störung durch die Resterscheinungen der männlichen Vorzeit ausgesetzt bleibt. Regressionen zu den Fixierungen jener präödipalen Phasen ereignen sich sehr häufig; in manchen Lebensläufen kommt es zu einem wiederholten Alternieren von Zeiten, in denen die Männlichkeit oder die Weiblichkeit die Oberhand gewonnen hat. Ein Stück dessen, was wir Männer das »Rätsel des Weibes« heißen, leitet sich vielleicht von diesem Ausdruck der Bisexualität im weiblichen Leben ab. Aber eine andere Frage scheint während dieser Untersuchungen spruchreif geworden zu sein. Wir haben die Triebkraft des Sexuallebens Libido genannt. Das Sexualleben wird von der Polarität Männlich-Weiblich beherrscht; also liegt es nahe, das Verhältnis der Libido zu diesem Gegensatz ins Auge zu fassen. Es wäre nicht überraschend, wenn sich herausstellte, daß jeder Sexualität ihre besondere Libido zugeordnet wäre, so daß eine Art von Libido die Ziele des männlichen, eine andere die des weiblichen Sexuallebens verfolgen würde. Aber nichts dergleichen ist der Fall. Es gibt nur eine Libido, die in den Dienst der männlichen wie der weiblichen Sexualfunktion gestellt wird. Wir können ihr selbst kein Geschlecht geben; wenn wir sie nach der konventionellen Gleichstellung von Aktivität und Männlichkeit selbst männlich heißen wollen, dürfen wir nicht vergessen, daß sie auch Strebungen mit passiven Zielen vertritt. Immerhin, die Zusammenstellung »weibliche Libido« läßt jede Rechtfertigung vermissen. Es ist dann unser Eindruck, daß der Libido mehr Zwang angetan wurde, wenn sie in den Dienst der weiblichen </w:t>
      </w:r>
      <w:r w:rsidRPr="00AF5815">
        <w:rPr>
          <w:rFonts w:ascii="Garamond" w:hAnsi="Garamond"/>
          <w:lang w:val="en-GB"/>
        </w:rPr>
        <w:lastRenderedPageBreak/>
        <w:t>Funktion gepreßt ist, und daß – um teleologisch zu reden – die Natur ihren Ansprüchen weniger sorgfältig Rechnung trägt als im Falle der Männlichkeit. Und das mag – wiederum teleologisch gedacht – seinen Grund darin haben, daß die Durchsetzung des biologischen Ziels der Aggression des Mannes anvertraut und von der Zustimmung des Weibes einigermaßen unabhängig gemacht worden ist.</w:t>
      </w:r>
    </w:p>
    <w:p w:rsidR="00E22C23" w:rsidRPr="00AF5815" w:rsidRDefault="00E22C23" w:rsidP="00E22C23">
      <w:pPr>
        <w:rPr>
          <w:rFonts w:ascii="Garamond" w:hAnsi="Garamond"/>
          <w:lang w:val="en-GB"/>
        </w:rPr>
      </w:pPr>
      <w:r w:rsidRPr="00AF5815">
        <w:rPr>
          <w:rFonts w:ascii="Garamond" w:hAnsi="Garamond"/>
          <w:lang w:val="en-GB"/>
        </w:rPr>
        <w:t>Die sexuelle Frigidität des Weibes, deren Häufigkeit diese Zurücksetzung zu bestätigen scheint, ist ein erst ungenügend verstandenes Phänomen. Manchmal psychogen und dann der Beeinflussung zugänglich, legt sie in anderen Fällen die Annahme einer konstitutionellen Bedingtheit, selbst den Beitrag eines anatomischen Faktors, nahe.</w:t>
      </w:r>
    </w:p>
    <w:p w:rsidR="00E22C23" w:rsidRPr="00AF5815" w:rsidRDefault="00E22C23" w:rsidP="00E22C23">
      <w:pPr>
        <w:rPr>
          <w:rFonts w:ascii="Garamond" w:hAnsi="Garamond"/>
          <w:lang w:val="en-GB"/>
        </w:rPr>
      </w:pPr>
      <w:r w:rsidRPr="00AF5815">
        <w:rPr>
          <w:rFonts w:ascii="Garamond" w:hAnsi="Garamond"/>
          <w:lang w:val="en-GB"/>
        </w:rPr>
        <w:t>Ich habe versprochen, Ihnen noch einige psychische Besonderheiten der reifen Weiblichkeit, vorzuführen, wie sie uns in der analytischen Beobachtung entgegentreten. Mehr als durchschnittlichen Wahrheitswert nehmen wir für diese Behauptungen nicht in Anspruch; auch ist es nicht immer leicht auseinanderzuhalten, was dem Einfluß der Sexualfunktion und was der sozialen Züchtung zuzuschreiben ist. Wir schreiben also der Weiblichkeit ein höheres Maß von Narzißmus zu, das noch ihre Objektwahl beeinflußt, so daß geliebt zu werden dem Weib ein stärkeres Bedürfnis ist als zu lieben. An der körperlichen Eitelkeit des Weibes ist noch die Wirkung des Penisneides mitbeteiligt, da sie ihre Reize als späte Entschädigung für die ursprüngliche sexuelle Minderwertigkeit um so höher einschätzen muß. Der Scham, die als eine exquisit weibliche Eigenschaft gilt, aber weit mehr konventionell ist, als man denken sollte, schreiben wir die ursprüngliche Absicht zu, den Defekt des Genitales zu verdecken. Wir vergessen nicht, daß sie späterhin andere Funktionen übernommen hat. Man meint, daß die Frauen zu den Entdeckungen und Erfindungen der Kulturgeschichte wenig Beiträge geleistet haben, aber vielleicht haben sie doch eine Technik erfunden, die des Flechtens und Webens. Wenn dem so ist, so wäre man versucht, das unbewußte Motiv dieser Leistung zu erraten. Die Natur selbst hätte das Vorbild für diese Nachahmung gegeben, indem sie mit der Geschlechtsreife die Genitalbehaarung wachsen ließ, die das Genitale verhüllt. Der Schritt, der dann noch zu tun war, bestand darin, die Fasern aneinander haften zu machen, die am Körper in der Haut staken und nur miteinander verfilzt waren. Wenn Sie diesen Einfall als phantastisch zurückweisen und mir den Einfluß des Penismangels auf die Gestaltung der Weiblichkeit als eine fixe Idee anrechnen, bin ich natürlich wehrlos.</w:t>
      </w:r>
    </w:p>
    <w:p w:rsidR="00E22C23" w:rsidRPr="00AF5815" w:rsidRDefault="00E22C23" w:rsidP="00E22C23">
      <w:pPr>
        <w:rPr>
          <w:rFonts w:ascii="Garamond" w:hAnsi="Garamond"/>
          <w:lang w:val="en-GB"/>
        </w:rPr>
      </w:pPr>
      <w:r w:rsidRPr="00AF5815">
        <w:rPr>
          <w:rFonts w:ascii="Garamond" w:hAnsi="Garamond"/>
          <w:lang w:val="en-GB"/>
        </w:rPr>
        <w:t xml:space="preserve">Die Bedingungen der Objektwahl des Weibes sind häufig genug durch soziale Verhältnisse unkenntlich gemacht. Wo sie sich frei zeigen darf, erfolgt sie oft nach dem narzißtischen Ideal des Mannes, der zu werden das Mädchen gewünscht hatte. Ist das Mädchen in der Vaterbindung, also im Ödipuskomplex, verblieben, so wählt es nach dem Vatertypus. Da bei der Wendung von der Mutter zum Vater die Feindseligkeit der ambivalenten Gefühlsbeziehung bei der Mutter verblieben ist, sollte eine solche Wahl eine glückliche Ehe versichern. Aber sehr oft tritt der Ausgang ein, der eine solche Erledigung des Ambivalenzkonflikts im allgemeinen bedroht. Die zurückgelassene Feindseligkeit kommt der positiven Bindung nach und greift auf das neue Objekt über. Der Ehemann, der zunächst vom Vater geerbt hatte, tritt mit der Zeit auch das Muttererbe an. So kann es leicht geschehen, daß die zweite Hälfte des Lebens einer Frau von dem Kampf gegen ihren Mann erfüllt wird wie die kürzere erste von der Auflehnung gegen ihre Mutter. Nachdem die Reaktion ausgelebt worden ist, kann sich eine zweite Ehe leicht sehr viel befriedigender gestalten. Eine andere Wandlung im Wesen der Frau, für die die Liebenden nicht vorbereitet sind, mag eintreten, nachdem in der Ehe das erste Kind geboren worden ist. Unter dem Eindruck der eigenen Mutterschaft kann eine Identifizierung mit der eigenen Mutter wiederbelebt werden, gegen die sich das Weib bis zur Ehe gesträubt hatte, und alle verfügbare Libido an sich reißen, so daß der Wiederholungszwang eine unglückliche Ehe der Eltern reproduziert. Daß das alte Moment des Penismangels seine Kraft noch immer nicht eingebüßt hat, zeigt sich in der verschiedenen Reaktion der Mutter auf die Geburt eines Sohnes oder einer Tochter. Nur das Verhältnis zum Sohn bringt der Mutter uneingeschränkte Befriedigung; es ist überhaupt die vollkommenste, am ehesten ambivalenzfreie aller menschlichen Beziehungen. Auf den Sohn kann die Mutter den Ehrgeiz übertragen, den sie bei sich </w:t>
      </w:r>
      <w:r w:rsidRPr="00AF5815">
        <w:rPr>
          <w:rFonts w:ascii="Garamond" w:hAnsi="Garamond"/>
          <w:lang w:val="en-GB"/>
        </w:rPr>
        <w:lastRenderedPageBreak/>
        <w:t>unterdrücken mußte, von ihm die Befriedigung all dessen erwarten, was ihr von ihrem Männlichkeitskomplex verblieben ist. Selbst die Ehe ist nicht eher versichert, als bis es der Frau gelungen ist, ihren Mann auch zu ihrem Kind zu machen und die Mutter gegen ihn zu agieren.</w:t>
      </w:r>
    </w:p>
    <w:p w:rsidR="00E22C23" w:rsidRPr="00AF5815" w:rsidRDefault="00E22C23" w:rsidP="00E22C23">
      <w:pPr>
        <w:rPr>
          <w:rFonts w:ascii="Garamond" w:hAnsi="Garamond"/>
          <w:lang w:val="en-GB"/>
        </w:rPr>
      </w:pPr>
      <w:r w:rsidRPr="00AF5815">
        <w:rPr>
          <w:rFonts w:ascii="Garamond" w:hAnsi="Garamond"/>
          <w:lang w:val="en-GB"/>
        </w:rPr>
        <w:t>Die Mutteridentifizierung des Weibes läßt zwei Schichten erkennen, die präödipale, die auf der zärtlichen Bindung an die Mutter beruht und sie zum Vorbild nimmt, und die spätere aus dem Ödipuskomplex, die die Mutter beseitigen und beim Vater ersetzen will. Von beiden bleibt viel für die Zukunft übrig, man hat wohl ein Recht zu sagen, keine wird im Laufe der Entwicklung in ausreichendem Maße überwunden. Aber die Phase der zärtlichen präödipalen Bindung ist die für die Zukunft des Weibes entscheidende; in ihr bereitet sich die Erwerbung jener Eigenschaften vor, mit denen sie später ihrer Rolle in der Sexualfunktion genügen und ihre unschätzbaren sozialen Leistungen bestreiten wird. In dieser Identifizierung gewinnt sie auch die Anziehung für den Mann, die dessen ödipale Mutterbindung zur Verliebtheit entfacht. Nur daß dann so häufig erst der Sohn das erhält, um was er für sich geworben hatte. Man hat den Eindruck, die Liebe des Mannes und die der Frau sind um eine psychologische Phasendifferenz auseinander.</w:t>
      </w:r>
    </w:p>
    <w:p w:rsidR="00E22C23" w:rsidRPr="00AF5815" w:rsidRDefault="00E22C23" w:rsidP="00E22C23">
      <w:pPr>
        <w:rPr>
          <w:rFonts w:ascii="Garamond" w:hAnsi="Garamond"/>
          <w:lang w:val="en-GB"/>
        </w:rPr>
      </w:pPr>
      <w:r w:rsidRPr="00AF5815">
        <w:rPr>
          <w:rFonts w:ascii="Garamond" w:hAnsi="Garamond"/>
          <w:lang w:val="en-GB"/>
        </w:rPr>
        <w:t>Daß man dem Weib wenig Sinn für Gerechtigkeit zuerkennen muß, hängt wohl mit dem Überwiegen des Neids in ihrem Seelenleben zusammen, denn die Gerechtigkeitsforderung ist eine Verarbeitung des Neids, gibt die Bedingung an, unter der man ihn fahrenlassen kann. Wir sagen auch von den Frauen aus, daß ihre sozialen Interessen schwächer und ihre Fähigkeit zur Triebsublimierung geringer sind als die der Männer. Das erstere leitet sich wohl vom dissozialen Charakter ab, der allen Sexualbeziehungen unzweifelhaft eignet. Liebende finden aneinander Genüge, und noch die Familie widerstrebt der Aufnahme in umfassendere Verbände. Die Eignung zur Sublimierung ist den größten individuellen Schwankungen unterworfen. Hingegen kann ich es nicht unterlassen, einen Eindruck zu erwähnen, den man immer wieder in der analytischen Tätigkeit empfängt. Ein Mann um die Dreißig erscheint als ein jugendliches, eher unfertiges Individuum, von dem wir erwarten, daß es die Möglichkeiten der Entwicklung, die ihm die Analyse eröffnet, kräftig ausnützen wird. Eine Frau um die gleiche Lebenszeit aber erschreckt uns häufig durch ihre psychische Starrheit und Unveränderlichkeit. Ihre Libido hat endgültige Positionen eingenommen und scheint unfähig, sie gegen andere zu verlassen. Wege zu weiterer Entwicklung ergeben sich nicht; es ist, als wäre der ganze Prozeß bereits abgelaufen, bliebe von nun an unbeeinflußbar, ja als hätte die schwierige Entwicklung zur Weiblichkeit die Möglichkeiten der Person erschöpft. Wir beklagen diesen Sachverhalt als Therapeuten, selbst wenn es uns gelingt, dem Leiden durch die Erledigung des neurotischen Konflikts ein Ende zu machen.</w:t>
      </w:r>
    </w:p>
    <w:p w:rsidR="00E22C23" w:rsidRPr="00AF5815" w:rsidRDefault="00E22C23" w:rsidP="00E22C23">
      <w:pPr>
        <w:rPr>
          <w:rFonts w:ascii="Garamond" w:hAnsi="Garamond"/>
          <w:lang w:val="en-GB"/>
        </w:rPr>
      </w:pPr>
      <w:r w:rsidRPr="00AF5815">
        <w:rPr>
          <w:rFonts w:ascii="Garamond" w:hAnsi="Garamond"/>
          <w:lang w:val="en-GB"/>
        </w:rPr>
        <w:t>Das ist alles, was ich Ihnen über die Weiblichkeit zu sagen hatte. Es ist gewiß unvollständig und fragmentarisch, klingt auch nicht immer freundlich. Vergessen Sie aber nicht, daß wir das Weib nur insofern beschrieben haben, als sein Wesen durch seine Sexualfunktion bestimmt wird. Dieser Einfluß geht freilich sehr weit, aber wir behalten im Auge, daß die einzelne Frau auch sonst ein menschliches Wesen sein mag. Wollen Sie mehr über die Weiblichkeit wissen, so befragen Sie Ihre eigenen Lebenserfahrungen, oder Sie wenden sich an die Dichter, oder Sie warten, bis die Wissenschaft Ihnen tiefere und besser zusammenhängende Auskünfte geben kann.</w:t>
      </w:r>
    </w:p>
    <w:p w:rsidR="00E22C23" w:rsidRPr="00AF5815" w:rsidRDefault="00E22C23" w:rsidP="00E22C23">
      <w:pPr>
        <w:rPr>
          <w:rFonts w:ascii="Garamond" w:hAnsi="Garamond"/>
          <w:b/>
          <w:lang w:val="en-GB"/>
        </w:rPr>
      </w:pPr>
      <w:r>
        <w:rPr>
          <w:rFonts w:ascii="Garamond" w:hAnsi="Garamond"/>
          <w:lang w:val="en-GB"/>
        </w:rPr>
        <w:br w:type="page"/>
      </w:r>
      <w:hyperlink w:anchor="NeueVorlesugen_INHALT" w:history="1">
        <w:r w:rsidRPr="00AF5815">
          <w:rPr>
            <w:rStyle w:val="Lienhypertexte"/>
            <w:rFonts w:ascii="Garamond" w:hAnsi="Garamond"/>
            <w:b/>
            <w:lang w:val="en-GB"/>
          </w:rPr>
          <w:t>34. Vo</w:t>
        </w:r>
        <w:bookmarkStart w:id="304" w:name="NeueVorlesugen_34"/>
        <w:bookmarkEnd w:id="304"/>
        <w:r w:rsidRPr="00AF5815">
          <w:rPr>
            <w:rStyle w:val="Lienhypertexte"/>
            <w:rFonts w:ascii="Garamond" w:hAnsi="Garamond"/>
            <w:b/>
            <w:lang w:val="en-GB"/>
          </w:rPr>
          <w:t>rlesung. Aufklärungen, Anwendungen, Orientierungen</w:t>
        </w:r>
      </w:hyperlink>
    </w:p>
    <w:p w:rsidR="00E22C23" w:rsidRDefault="00E22C23" w:rsidP="00E22C23">
      <w:pPr>
        <w:rPr>
          <w:rFonts w:ascii="Garamond" w:hAnsi="Garamond"/>
          <w:lang w:val="en-GB"/>
        </w:rPr>
      </w:pPr>
    </w:p>
    <w:p w:rsidR="00E22C23" w:rsidRPr="00AF5815" w:rsidRDefault="00E22C23" w:rsidP="00E22C23">
      <w:pPr>
        <w:rPr>
          <w:rFonts w:ascii="Garamond" w:hAnsi="Garamond"/>
          <w:lang w:val="en-GB"/>
        </w:rPr>
      </w:pPr>
      <w:r w:rsidRPr="00AF5815">
        <w:rPr>
          <w:rFonts w:ascii="Garamond" w:hAnsi="Garamond"/>
          <w:lang w:val="en-GB"/>
        </w:rPr>
        <w:t xml:space="preserve">Meine Damen und Herren! Darf ich einmal, sozusagen des trockenen Tones satt, über Dinge vor Ihnen reden, die sehr wenig theoretische Bedeutung haben, die Sie aber doch nahe angehen, insoferne Sie der Psychoanalyse freundlich gesinnt sind? Setzen wir z. B. den Fall, daß Sie in Ihren Mußestunden einen deutschen, englischen oder amerikanischen Roman zur Hand nehmen, in dem Sie eine Schilderung der Menschen und der Zustände von heute zu finden erwarten. Nach wenigen Seiten stoßen Sie auf eine erste Äußerung über Psychoanalyse und dann bald auf weitere, auch wenn der Zusammenhang es nicht zu erfordern scheint. Sie müssen nicht meinen, daß es sich dabei um Anwendungen der Tiefenpsychologie zum besseren Verständnis der Personen im Text oder ihrer Taten handelt; es gibt allerdings auch ernsthaftere Dichtungen, in denen das wirklich versucht wird. </w:t>
      </w:r>
      <w:r w:rsidRPr="00E22C23">
        <w:rPr>
          <w:rFonts w:ascii="Garamond" w:hAnsi="Garamond"/>
          <w:lang w:val="en-GB"/>
        </w:rPr>
        <w:t xml:space="preserve">Nein, es sind meist spöttische Bemerkungen, mit denen der Verfasser des Romans seine Belesenheit oder seine intellektuelle Überlegenheit dartun will. </w:t>
      </w:r>
      <w:r w:rsidRPr="00AF5815">
        <w:rPr>
          <w:rFonts w:ascii="Garamond" w:hAnsi="Garamond"/>
          <w:lang w:val="en-GB"/>
        </w:rPr>
        <w:t>Nicht immer bekommen Sie auch den Eindruck, daß er das wirklich kennt, worüber er sich ausspricht. Oder Sie gehen zu Ihrer Erholung in eine gesellige Vereinigung; es muß nicht gerade in Wien sein. Nach kurzer Zeit geht das Gespräch auf die Psychoanalyse. Sie hören die verschiedensten Leute ihr Urteil abgeben, meist im Tone unbeirrter Sicherheit. Dies Urteil ist ganz gewöhnlich ein geringschätzendes, oft eine Schmähung, zum mindesten wieder eine Spötterei. Wenn Sie so unvorsichtig sind zu verraten, daß Sie etwas von dem Gegenstand verstehen, fallen alle über Sie her, verlangen Auskünfte und Erklärungen und geben Ihnen nach kurzer Zeit die Überzeugung, daß alle diese strengen Urteile vor jeder Information gefällt worden waren, daß kaum einer von diesen Gegnern je ein analytisches Buch zur Hand genommen hat, oder wenn doch, daß er nicht über den ersten Widerstand beim Zusammentreffen mit dem neuen Stoff hinweggekommen ist.</w:t>
      </w:r>
    </w:p>
    <w:p w:rsidR="00E22C23" w:rsidRPr="00AF5815" w:rsidRDefault="00E22C23" w:rsidP="00E22C23">
      <w:pPr>
        <w:rPr>
          <w:rFonts w:ascii="Garamond" w:hAnsi="Garamond"/>
          <w:lang w:val="en-GB"/>
        </w:rPr>
      </w:pPr>
      <w:r w:rsidRPr="00AF5815">
        <w:rPr>
          <w:rFonts w:ascii="Garamond" w:hAnsi="Garamond"/>
          <w:lang w:val="en-GB"/>
        </w:rPr>
        <w:t>Von einer Einführung in die Psychoanalyse erwarten Sie vielleicht auch eine Anweisung, welche Argumente man zur Richtigstellung der offenkundigen Irrtümer über die Analyse verwenden, welche Bücher man zur besseren Information empfehlen, oder selbst, welche Beispiele aus Ihrer Lektüre oder Erfahrung Sie in der Diskussion anrufen sollen, um die Einstellung der Gesellschaft zu ändern. Ich bitte Sie, tun Sie nichts von alledem. Es wäre unnütz; am besten Sie verbergen überhaupt Ihr besseres Wissen. Wenn das nicht mehr möglich ist, so beschränken Sie sich darauf zu sagen, Sie meinen, soweit Sie orientiert sind, daß die Psychoanalyse ein besonderer Wissenszweig sei, recht schwer zu verstehen und zu beurteilen, daß sie sich mit sehr ernsthaften Dingen beschäftige, so daß man ihr mit ein paar Scherzen nicht nahekomme, und daß man sich für gesellschaftliche Unterhaltungen lieber ein anderes Spielzeug aussuchen solle. Natürlich beteiligen Sie sich auch nicht an Deutungsversuchen, wenn unvorsichtige Leute ihre Träume erzählen, und widerstehen auch der Versuchung, durch Berichte von Heilungen um Gunst für die Analyse zu werben.</w:t>
      </w:r>
    </w:p>
    <w:p w:rsidR="00E22C23" w:rsidRPr="00AF5815" w:rsidRDefault="00E22C23" w:rsidP="00E22C23">
      <w:pPr>
        <w:rPr>
          <w:rFonts w:ascii="Garamond" w:hAnsi="Garamond"/>
          <w:lang w:val="en-GB"/>
        </w:rPr>
      </w:pPr>
      <w:r w:rsidRPr="00AF5815">
        <w:rPr>
          <w:rFonts w:ascii="Garamond" w:hAnsi="Garamond"/>
          <w:lang w:val="en-GB"/>
        </w:rPr>
        <w:t xml:space="preserve">Sie können aber die Frage aufwerfen, warum diese Leute, sowohl die Bücher schreiben als die Konversation machen, sich so inkorrekt benehmen, und Sie werden zur Annahme neigen, daß dies nicht nur an den Leuten, sondern auch an der Psychoanalyse liegt. Das meine ich auch; was Ihnen in Literatur und Gesellschaft als Vorurteil entgegentritt, ist die Nachwirkung eines früheren Urteils – nämlich des Urteils, das die Vertreter der offiziellen Wissenschaft über die junge Psychoanalyse gefällt hatten. Ich habe mich schon einmal in einer historischen Darstellung darüber beklagt und werde es nicht wieder tun, – vielleicht war schon dies eine Mal zuviel, – aber wirklich, es gab keine Verletzung der Logik, aber auch keine des Anstandes und guten Geschmacks, die sich die wissenschaftlichen Gegner der Psychoanalyse damals nicht gestattet hätten. Es war eine Situation, wie sie im Mittelalter verwirklicht war, wenn ein Missetäter oder auch nur ein politischer Gegner an den Pranger gestellt und der Mißhandlung durch den Pöbel preisgegeben wurde. Und Sie machen es sich vielleicht nicht klar, wie weit hinauf in unserer Gesellschaft die Pöbelhaftigkeit reicht und welchen Unfug sich die Menschen erlauben, wenn sie sich als </w:t>
      </w:r>
      <w:r w:rsidRPr="00AF5815">
        <w:rPr>
          <w:rFonts w:ascii="Garamond" w:hAnsi="Garamond"/>
          <w:lang w:val="en-GB"/>
        </w:rPr>
        <w:lastRenderedPageBreak/>
        <w:t>Massenbestandteil und der persönlichen Verantwortung überhoben fühlen. Ich war zu Beginn jener Zeiten ziemlich allein, sah bald ein, daß Polemisieren keine Aussicht habe, daß aber auch das Sich-beklagen und die Anrufung besserer Geister sinnlos sei, da es ja keine Instanzen gäbe, bei denen die Klage anzubringen wäre. Somit ging ich einen anderen Weg; ich machte die erste Anwendung der Psychoanalyse, indem ich mir das Benehmen der Masse als Phänomen desselben Widerstands aufklärte, den ich bei den einzelnen Patienten zu bekämpfen hatte, enthielt mich selbst der Polemik und beeinflußte meine Anhänger, als sie allmählich hinzukamen, nach derselben Richtung. Das Verfahren war gut, der Bann, in den damals die Analyse getan wurde, ist seither aufgehoben worden, aber wie ein verlassener Glaube als Aberglaube fortlebt, eine von der Wissenschaft aufgegebene Theorie als Volksmeinung erhalten bleibt, so setzt sich heute jene ursprüngliche Ächtung der Psychoanalyse durch wissenschaftliche Kreise in der spöttischen Geringschätzung der Bücher schreibenden oder Konversation machenden Laien fort. Darüber werden Sie sich also nicht mehr verwundern.</w:t>
      </w:r>
    </w:p>
    <w:p w:rsidR="00E22C23" w:rsidRPr="00AF5815" w:rsidRDefault="00E22C23" w:rsidP="00E22C23">
      <w:pPr>
        <w:rPr>
          <w:rFonts w:ascii="Garamond" w:hAnsi="Garamond"/>
          <w:lang w:val="en-GB"/>
        </w:rPr>
      </w:pPr>
      <w:r w:rsidRPr="00AF5815">
        <w:rPr>
          <w:rFonts w:ascii="Garamond" w:hAnsi="Garamond"/>
          <w:lang w:val="en-GB"/>
        </w:rPr>
        <w:t xml:space="preserve">Nun erwarten Sie aber nicht, die frohe Botschaft zu hören, der Kampf um die Analyse sei zu Ende und habe mit ihrer Anerkennung als Wissenschaft, ihrer Zulassung als Lehrstoff zur Universität geendet. Es ist keine Rede davon, er setzt sich fort, nur in mehr gesitteten Formen. Neu ist auch, daß sich in der wissenschaftlichen Gesellschaft eine Art von Pufferschicht zwischen der Analyse und ihren Gegnern gebildet hat, Leute, die etwas an der Analyse gelten lassen, es auch unter ergötzlichen Verklausulierungen bekennen, dafür anderes ablehnen, wie sie nicht laut genug verkünden können. Was sie bei dieser Auswahl bestimmt, ist nicht leicht zu erraten. </w:t>
      </w:r>
      <w:r w:rsidRPr="00AF5815">
        <w:rPr>
          <w:rFonts w:ascii="Garamond" w:hAnsi="Garamond"/>
        </w:rPr>
        <w:t xml:space="preserve">Es scheinen persönliche Sympathien zu sein. Der eine nimmt Anstoß an der Sexualität, der andere am Unbewußten; besonders unbeliebt scheint die Tatsache der Symbolik zu sein. Daß das Gebäude der Psychoanalyse, obwohl unfertig, doch schon heute eine Einheit darstellt, aus der nicht jeder nach seiner Willkür Elemente herausbrechen kann, scheint für diese Eklektiker nicht in Betracht zu kommen. Von keinem dieser Halb- oder Viertelanhänger konnte ich den Eindruck bekommen, daß ihre Ablehnung auf Nachprüfung begründet war. Auch manche hervorragende Männer gehören zu dieser Kategorie. Sie sind freilich entschuldigt durch die Tatsache, daß ihre Zeit wie ihr Interesse anderen Dingen gehören, nämlich jenen, in deren Bewältigung sie so Bedeutendes geleistet haben. </w:t>
      </w:r>
      <w:r w:rsidRPr="00AF5815">
        <w:rPr>
          <w:rFonts w:ascii="Garamond" w:hAnsi="Garamond"/>
          <w:lang w:val="en-GB"/>
        </w:rPr>
        <w:t xml:space="preserve">Aber sollten sie dann nicht lieber mit ihrem Urteil zurückhalten, anstatt so entschieden Partei zu nehmen? Bei einem dieser Großen gelang mir einmal eine rasche Bekehrung. Es war ein weltberühmter Kritiker, der den geistigen Strömungen der Zeit mit wohlwollendem Verständnis und prophetischem Scharfblick gefolgt war. Ich lernte ihn erst kennen, als er das achtzigste Jahr überschritten hatte, aber er war noch immer bezaubernd im Gespräch. Sie werden leicht erraten, wen ich meine. Ich war es auch nicht, der auf die Psychoanalyse zu reden kam. Er tat es, indem er sich auf die bescheidenste Weise an mir maß. »Ich bin nur ein Literat«, sagte er, »aber Sie sind ein Naturforscher und Entdecker. </w:t>
      </w:r>
      <w:r w:rsidRPr="00AF5815">
        <w:rPr>
          <w:rFonts w:ascii="Garamond" w:hAnsi="Garamond"/>
        </w:rPr>
        <w:t xml:space="preserve">Aber das eine muß ich Ihnen sagen: ich habe nie sexuelle Gefühle für meine Mutter gehabt.« »Aber das brauchen Sie ja gar nicht gewußt zu haben«, war meine Erwiderung, »das sind ja für den Erwachsenen unbewußte Vorgänge.« </w:t>
      </w:r>
      <w:r w:rsidRPr="00AF5815">
        <w:rPr>
          <w:rFonts w:ascii="Garamond" w:hAnsi="Garamond"/>
          <w:lang w:val="en-GB"/>
        </w:rPr>
        <w:t>»Ach, so meinen Sie das«, sagte er erleichtert und drückte meine Hand. Wir plauderten noch einige Stunden im besten Einvernehmen. Ich hörte später, daß er in dem kurzen Lebensrest, der ihm noch vergönnt war, sich wiederholt freundlich über die Analyse äußerte und gerne das ihm neue Wort »Verdrängung« gebrauchte.</w:t>
      </w:r>
    </w:p>
    <w:p w:rsidR="00E22C23" w:rsidRPr="00AF5815" w:rsidRDefault="00E22C23" w:rsidP="00E22C23">
      <w:pPr>
        <w:rPr>
          <w:rFonts w:ascii="Garamond" w:hAnsi="Garamond"/>
          <w:lang w:val="en-GB"/>
        </w:rPr>
      </w:pPr>
      <w:r w:rsidRPr="00AF5815">
        <w:rPr>
          <w:rFonts w:ascii="Garamond" w:hAnsi="Garamond"/>
          <w:lang w:val="en-GB"/>
        </w:rPr>
        <w:t xml:space="preserve">Ein bekannter Spruch mahnt, man soll von seinen Feinden lernen. Ich gestehe, daß mir dies nie gelungen ist, aber ich dachte doch, es könnte für Sie lehrreich werden, wenn ich mit Ihnen eine Musterung aller der Vorwürfe und Einwendungen vornähme, die die Gegner der Psychoanalyse gegen sie erhoben haben, und dann auf die so leicht aufzudeckenden Ungerechtigkeiten und Verstöße gegen die Logik hinwiese. Aber » </w:t>
      </w:r>
      <w:r w:rsidRPr="00AF5815">
        <w:rPr>
          <w:rFonts w:ascii="Garamond" w:hAnsi="Garamond"/>
          <w:i/>
          <w:iCs/>
          <w:lang w:val="en-GB"/>
        </w:rPr>
        <w:t>on second thoughts</w:t>
      </w:r>
      <w:r w:rsidRPr="00AF5815">
        <w:rPr>
          <w:rFonts w:ascii="Garamond" w:hAnsi="Garamond"/>
          <w:lang w:val="en-GB"/>
        </w:rPr>
        <w:t xml:space="preserve">« habe ich mir gesagt, das würde gar nicht interessant, sondern ermüdend und peinlich werden und gerade das sein, was ich in all diesen Jahren sorgfältig vermieden habe. Entschuldigen Sie mich also, wenn ich diesen Weg nicht weiter verfolge und Sie mit den Urteilen unserer sogenannt wissenschaftlichen Gegner verschone. Handelt es sich doch fast immer um Personen, deren einziger </w:t>
      </w:r>
      <w:r w:rsidRPr="00AF5815">
        <w:rPr>
          <w:rFonts w:ascii="Garamond" w:hAnsi="Garamond"/>
          <w:lang w:val="en-GB"/>
        </w:rPr>
        <w:lastRenderedPageBreak/>
        <w:t>Befähigungsnachweis die Unbefangenheit ist, die sie sich durch Fernhaltung von den Erfahrungen der Psychoanalyse bewahrt haben. Aber ich weiß, so leichten Kaufs werden Sie mich nicht in anderen Fällen entlassen. Sie werden mir vorhalten: Es gibt doch soviel Personen, für die Ihre letzte Bemerkung nicht zutrifft. Diese sind der analytischen Erfahrung nicht ausgewichen, haben Patienten analysiert, sind vielleicht selbst analysiert worden, waren sogar eine Zeitlang Ihre Mitarbeiter und sind doch zu anderen Auffassungen und Theorien gekommen, auf Grund deren sie von Ihnen abgefallen sind und selbständige Schulen der Psychoanalyse begründet haben. Über die Möglichkeit und Bedeutung dieser in der Geschichte der Analyse so häufigen Abfallsbewegungen sollten Sie uns Aufklärung geben.</w:t>
      </w:r>
    </w:p>
    <w:p w:rsidR="00E22C23" w:rsidRPr="00AF5815" w:rsidRDefault="00E22C23" w:rsidP="00E22C23">
      <w:pPr>
        <w:rPr>
          <w:rFonts w:ascii="Garamond" w:hAnsi="Garamond"/>
          <w:lang w:val="en-GB"/>
        </w:rPr>
      </w:pPr>
      <w:r w:rsidRPr="00AF5815">
        <w:rPr>
          <w:rFonts w:ascii="Garamond" w:hAnsi="Garamond"/>
          <w:lang w:val="en-GB"/>
        </w:rPr>
        <w:t>Ja, ich will es versuchen; in Kürze zwar, denn es kommt dabei weniger für das Verständnis der Analyse heraus, als Sie erwarten mögen. Ich weiß, Sie denken in erster Linie an die Adlersche Individualpsychologie, die z. B. in Amerika als eine gleichberechtigte Nebenlinie unserer Psychoanalyse betrachtet und regelmäßig mit ihr zusammen genannt wird. In Wirklichkeit hat sie sehr wenig mit ihr zu tun, führt aber infolge gewisser historischer Umstände eine Art von parasitärer Existenz auf ihre Kosten. Auf ihren Gründer treffen die Bedingungen, die wir für die Gegner dieser Gruppe angenommen haben, nur in geringem Ausmaß zu. Der Name selbst ist unpassend, scheint ein Produkt der Verlegenheit; wir können uns seine berechtigte Verwendung als Gegensatz zu Massenpsychologie nicht stören lassen; auch was wir treiben ist zumeist und vor allem Psychologie des menschlichen Individuums. In eine objektive Kritik der Adlerschen Individualpsychologie werde ich heute nicht eingehen, sie liegt nicht im Plan dieser Einführung, auch habe ich sie schon einmal versucht und habe wenig Anlaß, etwas an ihr zu ändern. Den Eindruck, den sie hervorruft, will ich aber durch eine kleine Begebenheit in den Jahren vor der Analyse illustrieren.</w:t>
      </w:r>
    </w:p>
    <w:p w:rsidR="00E22C23" w:rsidRPr="00AF5815" w:rsidRDefault="00E22C23" w:rsidP="00E22C23">
      <w:pPr>
        <w:rPr>
          <w:rFonts w:ascii="Garamond" w:hAnsi="Garamond"/>
          <w:lang w:val="en-GB"/>
        </w:rPr>
      </w:pPr>
      <w:r w:rsidRPr="00AF5815">
        <w:rPr>
          <w:rFonts w:ascii="Garamond" w:hAnsi="Garamond"/>
          <w:lang w:val="en-GB"/>
        </w:rPr>
        <w:t>In der Nähe der mährischen Kleinstadt, in der ich geboren bin und die ich als Kind von drei Jahren verlassen habe, befindet sich ein bescheidener Kurort, schön im Grünen gelegen. In den Gymnasialjahren war ich mehrmals auf Ferien dort. Etwa zwei Jahrzehnte später wurde die Erkrankung einer nahen Verwandten der Anlaß, diesen Ort wiederzusehen. In einer Unterhaltung mit dem Kurarzt, der meiner Verwandten Beistand geleistet hatte, erkundigte ich mich auch nach seinen Beziehungen zu den – ich glaube – slowakischen Bauern, die im Winter seine einzige Klientel bildeten. Er erzählte, die ärztliche Tätigkeit spiele sich in folgender Weise ab: Zur Stunde seiner Ordination kommen die Patienten in sein Zimmer und stellen sich in einer Reihe auf. Einer nach dem anderen tritt dann hervor und klagt über seine Beschwerden. Er hat Kreuzschmerzen oder Magenkrämpfe oder Müdigkeit in den Beinen usw. Dann untersucht er ihn, und nachdem er sich orientiert hat, ruft er ihm die Diagnose zu, in jedem Fall die nämliche. Er übersetzte mir das Wort, es heiße soviel wie »verhext«. Ich fragte erstaunt, ob die Bauern denn keinen Anstoß daran nehmen, daß er bei allen Kranken denselben Befund habe. »O nein«, erwiderte er, »sie sind sehr zufrieden damit, es ist das, was sie erwartet haben. Jeder, der in die Reihe zurücktritt, deutet den anderen durch Mienen und Gebärden: ›Ja, das ist einer, der's versteht‹.« Wenig ahnte ich damals, unter welchen Verhältnissen ich einer analogen Situation wieder begegnen würde.</w:t>
      </w:r>
    </w:p>
    <w:p w:rsidR="00E22C23" w:rsidRPr="00AF5815" w:rsidRDefault="00E22C23" w:rsidP="00E22C23">
      <w:pPr>
        <w:rPr>
          <w:rFonts w:ascii="Garamond" w:hAnsi="Garamond"/>
          <w:lang w:val="en-GB"/>
        </w:rPr>
      </w:pPr>
      <w:r w:rsidRPr="00AF5815">
        <w:rPr>
          <w:rFonts w:ascii="Garamond" w:hAnsi="Garamond"/>
          <w:lang w:val="en-GB"/>
        </w:rPr>
        <w:t xml:space="preserve">Ob nämlich einer ein Homosexueller ist oder ein Nekrophile, ein verängstigter Hysteriker, ein abgesperrter Zwangsneurotiker oder ein tobender Wahnsinniger, in jedem Fall wird der Individualpsychologe Adlerscher Richtung als das treibende Motiv seines Zustandes angeben, daß er sich zur Geltung bringen, seine Minderwertigkeit überkompensieren, oben bleiben, von der weiblichen auf die männliche Linie gelangen will. Etwas ganz Ähnliches hatten wir als junge Studenten auf der Klinik gehört, wenn einmal ein Fall von Hysterie vorgestellt wurde: Die Hysterischen erzeugen ihre Symptome, um sich interessant zu machen, die Aufmerksamkeit auf sich zu ziehen. Wie doch alte Weisheiten immer wiederkehren! Aber dieses Stückchen Psychologie schien uns schon damals die Rätsel der Hysterie nicht zu decken, es ließ z. B. unerklärt, warum die Kranken sich keiner anderen Mittel zur Erreichung ihrer Absicht bedienen. </w:t>
      </w:r>
      <w:r w:rsidRPr="00AF5815">
        <w:rPr>
          <w:rFonts w:ascii="Garamond" w:hAnsi="Garamond"/>
        </w:rPr>
        <w:t xml:space="preserve">Etwas an dieser Lehre der Individualpsychologen muß natürlich richtig sein, ein Partikelchen für das Ganze. Der Selbsterhaltungstrieb wird versuchen, sich jede Situation zunutze zu </w:t>
      </w:r>
      <w:r w:rsidRPr="00AF5815">
        <w:rPr>
          <w:rFonts w:ascii="Garamond" w:hAnsi="Garamond"/>
        </w:rPr>
        <w:lastRenderedPageBreak/>
        <w:t xml:space="preserve">machen, das Ich wird auch das Kranksein zum Vorteil wenden wollen. Man nennt das in der Psychoanalyse den »sekundären Krankheitsgewinn«. Freilich, wenn man an die Tatsachen des Masochismus denkt, des unbewußten Strafbedürfnisses und der neurotischen Selbstschädigung, die die Annahme von Triebregungen nahelegen, welche der Selbsterhaltung zuwiderlaufen, wird man auch an der Allgemeingültigkeit jener banalen Wahrheit irre, auf der das Lehrgebäude der Individualpsychologie erbaut ist. Aber der großen Menge muß eine solche Lehre hoch willkommen sein, die keine Komplikationen anerkennt, keine neuen, schwer faßbaren Begriffe einführt, vom Unbewußten nichts weiß, das auf Allen lastende Problem der Sexualität mit einem Hieb beseitigt, sich auf die Aufdeckung der Schliche beschränkt, mit denen man sich das Leben bequem machen will. Denn die Menge ist selbst bequem, verlangt zur Erklärung nicht mehr als einen Grund, dankt der Wissenschaft nicht für ihre Weitläufigkeiten, will einfache Lösungen haben und Probleme erledigt wissen. </w:t>
      </w:r>
      <w:r w:rsidRPr="00AF5815">
        <w:rPr>
          <w:rFonts w:ascii="Garamond" w:hAnsi="Garamond"/>
          <w:lang w:val="en-GB"/>
        </w:rPr>
        <w:t xml:space="preserve">Erwägt man, wie sehr die Individualpsychologie diesen Anforderungen entgegenkommt, so kann man die Erinnerung an einen Satz im </w:t>
      </w:r>
      <w:r w:rsidRPr="00AF5815">
        <w:rPr>
          <w:rFonts w:ascii="Garamond" w:hAnsi="Garamond"/>
          <w:i/>
          <w:iCs/>
          <w:lang w:val="en-GB"/>
        </w:rPr>
        <w:t>Wallenstein</w:t>
      </w:r>
      <w:r w:rsidRPr="00AF5815">
        <w:rPr>
          <w:rFonts w:ascii="Garamond" w:hAnsi="Garamond"/>
          <w:lang w:val="en-GB"/>
        </w:rPr>
        <w:t xml:space="preserve"> nicht zurückdrängen:</w:t>
      </w:r>
    </w:p>
    <w:p w:rsidR="00E22C23" w:rsidRPr="00AF5815" w:rsidRDefault="00E22C23" w:rsidP="00E22C23">
      <w:pPr>
        <w:rPr>
          <w:rFonts w:ascii="Garamond" w:hAnsi="Garamond"/>
          <w:lang w:val="en-GB"/>
        </w:rPr>
      </w:pPr>
      <w:r w:rsidRPr="00AF5815">
        <w:rPr>
          <w:rFonts w:ascii="Garamond" w:hAnsi="Garamond"/>
          <w:lang w:val="en-GB"/>
        </w:rPr>
        <w:t xml:space="preserve">»War' der Gedank' nicht so verwünscht gescheidt, </w:t>
      </w:r>
      <w:r w:rsidRPr="00AF5815">
        <w:rPr>
          <w:rFonts w:ascii="Garamond" w:hAnsi="Garamond"/>
          <w:lang w:val="en-GB"/>
        </w:rPr>
        <w:br/>
        <w:t>Man wär' versucht, ihn herzlich dumm zu nennen.«</w:t>
      </w:r>
    </w:p>
    <w:p w:rsidR="00E22C23" w:rsidRPr="00AF5815" w:rsidRDefault="00E22C23" w:rsidP="00E22C23">
      <w:pPr>
        <w:rPr>
          <w:rFonts w:ascii="Garamond" w:hAnsi="Garamond"/>
          <w:lang w:val="en-GB"/>
        </w:rPr>
      </w:pPr>
      <w:r w:rsidRPr="00AF5815">
        <w:rPr>
          <w:rFonts w:ascii="Garamond" w:hAnsi="Garamond"/>
          <w:lang w:val="en-GB"/>
        </w:rPr>
        <w:t xml:space="preserve">Die Kritik der Fachkreise, so unerbittlich gegen die Psychoanalyse, hat die Individualpsychologie im allgemeinen mit Samthandschuhen angefaßt. Es hat sich zwar in Amerika ereignet, daß einer der angesehensten Psychiater einen Aufsatz gegen Adler veröffentlichte, den er » </w:t>
      </w:r>
      <w:r w:rsidRPr="00AF5815">
        <w:rPr>
          <w:rFonts w:ascii="Garamond" w:hAnsi="Garamond"/>
          <w:i/>
          <w:iCs/>
          <w:lang w:val="en-GB"/>
        </w:rPr>
        <w:t>Enough</w:t>
      </w:r>
      <w:r w:rsidRPr="00AF5815">
        <w:rPr>
          <w:rFonts w:ascii="Garamond" w:hAnsi="Garamond"/>
          <w:lang w:val="en-GB"/>
        </w:rPr>
        <w:t>« überschrieb, in dem er seinem Überdruß an dem »Wiederholungszwang« der Individualpsychologen energischen Ausdruck gab. Wenn andere sich weit liebenswürdiger benommen haben, so hat wohl die Gegnerschaft gegen die Analyse viel dazu getan.</w:t>
      </w:r>
    </w:p>
    <w:p w:rsidR="00E22C23" w:rsidRPr="00AF5815" w:rsidRDefault="00E22C23" w:rsidP="00E22C23">
      <w:pPr>
        <w:rPr>
          <w:rFonts w:ascii="Garamond" w:hAnsi="Garamond"/>
          <w:lang w:val="en-GB"/>
        </w:rPr>
      </w:pPr>
      <w:r w:rsidRPr="00AF5815">
        <w:rPr>
          <w:rFonts w:ascii="Garamond" w:hAnsi="Garamond"/>
        </w:rPr>
        <w:t xml:space="preserve">Über andere Schulen, die von unserer Psychoanalyse abgezweigt haben, brauche ich nicht viel zu sagen. </w:t>
      </w:r>
      <w:r w:rsidRPr="00AF5815">
        <w:rPr>
          <w:rFonts w:ascii="Garamond" w:hAnsi="Garamond"/>
          <w:lang w:val="en-GB"/>
        </w:rPr>
        <w:t xml:space="preserve">Daß es geschehen ist, läßt sich weder für noch gegen den Wahrheitsgehalt der Psychoanalyse verwerten. Denken Sie an die starken affektiven Momente, die es vielen schwermachen, sich einzuordnen oder unterzuordnen, und an die noch größere Schwierigkeit, die der Spruch </w:t>
      </w:r>
      <w:r w:rsidRPr="00AF5815">
        <w:rPr>
          <w:rFonts w:ascii="Garamond" w:hAnsi="Garamond"/>
          <w:i/>
          <w:iCs/>
          <w:lang w:val="en-GB"/>
        </w:rPr>
        <w:t>quot capita tot sensus</w:t>
      </w:r>
      <w:r w:rsidRPr="00AF5815">
        <w:rPr>
          <w:rFonts w:ascii="Garamond" w:hAnsi="Garamond"/>
          <w:lang w:val="en-GB"/>
        </w:rPr>
        <w:t xml:space="preserve"> mit Recht betont. Wenn die Meinungsverschiedenheiten ein gewisses Maß überschritten hatten, wurde es das Zweckmäßigste, sich zu trennen und von da an verschiedene Wege zu gehen, besonders wenn die theoretische Differenz eine Änderung des praktischen Handelns zur Folge hatte. Nehmen Sie z. B. an, daß ein Analytiker den Einfluß der persönlichen Vergangenheit geringschätzt und die Verursachung der Neurosen ausschließlich in gegenwärtigen Motiven und auf die Zukunft gerichteten Erwartungen sucht. Dann wird er auch die Analyse der Kindheit vernachlässigen, überhaupt eine andere Technik einschlagen und den Ausfall der Ergebnisse aus der Kindheitsanalyse durch Steigerung seines lehrhaften Einflusses und durch direkte Hinweise auf bestimmte Lebensziele wettmachen müssen. Wir anderen werden dann sagen: Das mag eine Schule der Weisheit sein, ist aber keine Analyse mehr. Oder ein anderer mag zur Einsicht gekommen sein, daß das Angsterlebnis der Geburt den Keim zu allen späteren neurotischen Störungen legt; dann mag es ihm rechtmäßig erscheinen, die Analyse auf die Wirkungen dieses einen Eindrucks einzuschränken und therapeutischen Erfolg von einer drei- bis viermonatigen Behandlung zu versprechen. Sie merken, ich habe zwei Beispiele gewählt, die von diametral entgegengesetzten Voraussetzungen ausgehen. Es ist ein fast allgemeiner Charakter dieser »Abfallsbewegungen«, daß eine jede sich eines Stücks aus dem Motivenreichtum der Psychoanalyse bemächtigt und sich auf Grund dieser Besitzergreifung selbständig macht, etwa des Machttriebs, des ethischen Konflikts, der Mutter, der Genitalität usw. Wenn es Ihnen scheint, daß solche Sezessionen in der Geschichte der Psychoanalyse heute schon häufiger sind als bei anderen geistigen Bewegungen, so weiß ich nicht, ob ich Ihnen recht geben soll. Wenn es so ist, so muß man die innigen Beziehungen zwischen theoretischen Ansichten und therapeutischem Handeln dafür verantwortlich machen, die in der Psychoanalyse bestehen. Meinungsverschiedenheiten allein würden weit länger ertragen werden. Man liebt es, uns Psychoanalytikern Intoleranz vorzuwerfen. Die einzige Äußerung dieser häßlichen Eigenschaft war eben </w:t>
      </w:r>
      <w:r w:rsidRPr="00AF5815">
        <w:rPr>
          <w:rFonts w:ascii="Garamond" w:hAnsi="Garamond"/>
          <w:lang w:val="en-GB"/>
        </w:rPr>
        <w:lastRenderedPageBreak/>
        <w:t>die Trennung von den Andersdenkenden. Sonst wurde ihnen nichts angetan; im Gegenteile, sie sind auf die Butterseite gefallen, haben es seither besser als vorhin, denn bei ihrem Ausscheiden haben sie sich gewöhnlich von einer der Belastungen frei gemacht, unter denen wir keuchen – vom Odium der kindlichen Sexualität etwa oder von der Lächerlichkeit der Symbolik –, und gelten jetzt der Umwelt als halbwegs ehrlich, was wir, die Zurückgebliebenen, noch immer nicht sind. Auch haben sie sich – bis auf eine bemerkenswerte Ausnahme – selbst ausgeschlossen.</w:t>
      </w:r>
    </w:p>
    <w:p w:rsidR="00E22C23" w:rsidRPr="00AF5815" w:rsidRDefault="00E22C23" w:rsidP="00E22C23">
      <w:pPr>
        <w:rPr>
          <w:rFonts w:ascii="Garamond" w:hAnsi="Garamond"/>
          <w:lang w:val="en-GB"/>
        </w:rPr>
      </w:pPr>
      <w:r w:rsidRPr="00AF5815">
        <w:rPr>
          <w:rFonts w:ascii="Garamond" w:hAnsi="Garamond"/>
          <w:lang w:val="en-GB"/>
        </w:rPr>
        <w:t xml:space="preserve">Was für Ansprüche erheben Sie noch im Namen der Toleranz? Daß, wenn jemand eine Meinung geäußert hat, die wir für grundfalsch halten, wir ihm sagen: »Danke Ihnen schön, daß Sie diesen Widerspruch geäußert haben. Sie schützen uns gegen die Gefahr der Selbstgefälligkeit und geben uns Gelegenheit, den Amerikanern zu beweisen, daß wir wirklich so › </w:t>
      </w:r>
      <w:r w:rsidRPr="00AF5815">
        <w:rPr>
          <w:rFonts w:ascii="Garamond" w:hAnsi="Garamond"/>
          <w:i/>
          <w:iCs/>
          <w:lang w:val="en-GB"/>
        </w:rPr>
        <w:t>broadminded</w:t>
      </w:r>
      <w:r w:rsidRPr="00AF5815">
        <w:rPr>
          <w:rFonts w:ascii="Garamond" w:hAnsi="Garamond"/>
          <w:lang w:val="en-GB"/>
        </w:rPr>
        <w:t xml:space="preserve">‹ sind, wie sie es immer wünschen. Wir glauben zwar kein Wort von dem, was Sie sagen, aber das macht nichts. Wahrscheinlich haben Sie ebenso recht wie wir. Wer kann denn überhaupt wissen, wer recht hat? </w:t>
      </w:r>
      <w:r w:rsidRPr="00AF5815">
        <w:rPr>
          <w:rFonts w:ascii="Garamond" w:hAnsi="Garamond"/>
        </w:rPr>
        <w:t xml:space="preserve">Erlauben Sie uns, daß wir trotz der Gegnerschaft Ihre Ansicht in der Literatur vertreten. Wir hoffen, Sie werden die Liebenswürdigkeit haben, sich dafür für unsere einzusetzen, die Sie verwerfen.« </w:t>
      </w:r>
      <w:r w:rsidRPr="00AF5815">
        <w:rPr>
          <w:rFonts w:ascii="Garamond" w:hAnsi="Garamond"/>
          <w:lang w:val="en-GB"/>
        </w:rPr>
        <w:t>Dies wird offenbar in der Zukunft die Gepflogenheit im wissenschaftlichen Betrieb werden, wenn sich der Mißbrauch der Einsteinschen Relativität vollends durchgesetzt hat. Es ist wahr, vorläufig haben wir es noch nicht so weit gebracht. Wir beschränken uns nach alter Manier darauf, nur unsere eigenen Überzeugungen zu vertreten, setzen uns der Gefahr des Irrtums aus, weil man sich dagegen nicht schützen kann, und lehnen ab, was uns widerspricht. Von dem Recht, unsere Meinungen abzuändern, wenn wir glauben, etwas Besseres gefunden zu haben, haben wir in der Psychoanalyse reichlich Gebrauch gemacht.</w:t>
      </w:r>
    </w:p>
    <w:p w:rsidR="00E22C23" w:rsidRPr="00AF5815" w:rsidRDefault="00E22C23" w:rsidP="00E22C23">
      <w:pPr>
        <w:rPr>
          <w:rFonts w:ascii="Garamond" w:hAnsi="Garamond"/>
        </w:rPr>
      </w:pPr>
      <w:r w:rsidRPr="00AF5815">
        <w:rPr>
          <w:rFonts w:ascii="Garamond" w:hAnsi="Garamond"/>
        </w:rPr>
        <w:t>Es war eine der ersten Anwendungen der Psychoanalyse, daß sie uns die Gegnerschaft verstehen lehrte, die uns die Mitwelt bewies, weil wir Psychoanalyse trieben. Andere Anwendungen, von objektiver Natur, können ein allgemeineres Interesse beanspruchen. Unsere erste Absicht war ja, die Störungen des menschlichen Seelenlebens zu verstehen, weil eine merkwürdige Erfahrung gezeigt hatte, daß hier Verständnis und Heilung beinahe zusammenfallen, daß ein gangbarer Weg von dem einen zum anderen führt. Es war auch lange Zeit die einzige Absicht. Aber dann erkannten wir die nahen Beziehungen, ja die innere Identität zwischen den pathologischen und den sogenannt normalen Vorgängen, die Psychoanalyse wurde zur Tiefenpsychologie, und da nichts, was Menschen schaffen oder treiben, ohne Mithilfe der Psychologie verständlich ist, ergaben sich die Anwendungen der Psychoanalyse auf zahlreiche Wissensgebiete, besonders geisteswissenschaftliche, von selbst, drängten sich auf und forderten Bearbeitung. Leider stießen diese Aufgaben auf Hindernisse, die, in der Sachlage begründet, auch heute noch nicht überwunden sind. Eine solche Anwendung setzt fachliche Kenntnis voraus, die der Analytiker nicht besitzt, während diejenigen, die sie besitzen, die Fachleute, von Analyse nichts wissen und vielleicht nichts wissen wollen. Es hat sich also ergeben, daß die Analytiker als Dilettanten mit mehr oder weniger zureichender Ausrüstung, oft in Eile zusammengerafft, Einfälle in jene Wissensgebiete unternommen haben, wie Mythologie, Kulturgeschichte, Ethnologie, Religionswissenschaft usw. Sie wurden von den dort ansässigen Forschern nicht besser behandelt als Eindringlinge überhaupt, ihre Methoden wie ihre Resultate, soweit sie Aufmerksamkeit fanden, zunächst abgelehnt. Aber diese Verhältnisse sind in stetiger Besserung, auf allen Gebieten wächst die Anzahl der Personen, die Psychoanalyse studieren, um sie in ihrem Spezialfach zu verwerten, als Kolonisten die Pioniere abzulösen. Wir dürfen hier eine reiche Ernte an neuen Einsichten erwarten. Anwendungen der Analyse sind auch immer Bestätigungen derselben. Dort, wo die wissenschaftliche Arbeit von einer praktischen Betätigung weiter entfernt ist, werden wohl auch die unvermeidlichen Meinungskämpfe weniger erbittert ausfallen.</w:t>
      </w:r>
    </w:p>
    <w:p w:rsidR="00E22C23" w:rsidRPr="00AF5815" w:rsidRDefault="00E22C23" w:rsidP="00E22C23">
      <w:pPr>
        <w:rPr>
          <w:rFonts w:ascii="Garamond" w:hAnsi="Garamond"/>
          <w:lang w:val="en-GB"/>
        </w:rPr>
      </w:pPr>
      <w:r w:rsidRPr="00AF5815">
        <w:rPr>
          <w:rFonts w:ascii="Garamond" w:hAnsi="Garamond"/>
          <w:lang w:val="en-GB"/>
        </w:rPr>
        <w:t xml:space="preserve">Ich empfinde es als eine starke Versuchung, Sie durch all die Anwendungen der Psychoanalyse auf die Geisteswissenschaften zu führen. Es sind Dinge, wissenswert für jeden Menschen mit geistigen Interessen, und eine Zeitlang nichts von Abnormität und Krankheit zu hören, wäre eine verdiente Erholung. Aber ich muß darauf verzichten, es führte uns wiederum über den Rahmen dieser Vorträge </w:t>
      </w:r>
      <w:r w:rsidRPr="00AF5815">
        <w:rPr>
          <w:rFonts w:ascii="Garamond" w:hAnsi="Garamond"/>
          <w:lang w:val="en-GB"/>
        </w:rPr>
        <w:lastRenderedPageBreak/>
        <w:t xml:space="preserve">hinaus und, ehrlich gestanden, ich wäre der Aufgabe auch nicht gewachsen. Auf einigen dieser Gebiete habe ich zwar selbst den ersten Schritt getan, aber heute übersehe ich die Fülle nicht mehr und hätte viel zu studieren, um zu bewältigen, was seit meinen Anfängen hinzugekommen ist. Die unter Ihnen, die durch meine Absage enttäuscht sind, mögen sich an unserer Zeitschrift </w:t>
      </w:r>
      <w:r w:rsidRPr="00AF5815">
        <w:rPr>
          <w:rFonts w:ascii="Garamond" w:hAnsi="Garamond"/>
          <w:i/>
          <w:iCs/>
          <w:lang w:val="en-GB"/>
        </w:rPr>
        <w:t>Imago</w:t>
      </w:r>
      <w:r w:rsidRPr="00AF5815">
        <w:rPr>
          <w:rFonts w:ascii="Garamond" w:hAnsi="Garamond"/>
          <w:lang w:val="en-GB"/>
        </w:rPr>
        <w:t xml:space="preserve"> schadlos halten, die für die nicht medizinischen Anwendungen der Analyse bestimmt ist.</w:t>
      </w:r>
    </w:p>
    <w:p w:rsidR="00E22C23" w:rsidRPr="00AF5815" w:rsidRDefault="00E22C23" w:rsidP="00E22C23">
      <w:pPr>
        <w:rPr>
          <w:rFonts w:ascii="Garamond" w:hAnsi="Garamond"/>
          <w:lang w:val="en-GB"/>
        </w:rPr>
      </w:pPr>
      <w:r w:rsidRPr="00AF5815">
        <w:rPr>
          <w:rFonts w:ascii="Garamond" w:hAnsi="Garamond"/>
          <w:lang w:val="en-GB"/>
        </w:rPr>
        <w:t xml:space="preserve">Nur an einem Thema kann ich nicht so leicht vorbeigehen, nicht weil ich besonders viel davon verstehe oder selbst soviel dazugetan habe. </w:t>
      </w:r>
      <w:r w:rsidRPr="00E22C23">
        <w:rPr>
          <w:rFonts w:ascii="Garamond" w:hAnsi="Garamond"/>
          <w:lang w:val="en-GB"/>
        </w:rPr>
        <w:t xml:space="preserve">Ganz im Gegenteil, ich habe mich kaum je damit beschäftigt. </w:t>
      </w:r>
      <w:r w:rsidRPr="00AF5815">
        <w:rPr>
          <w:rFonts w:ascii="Garamond" w:hAnsi="Garamond"/>
          <w:lang w:val="en-GB"/>
        </w:rPr>
        <w:t>Aber es ist so überaus wichtig, so reich an Hoffnungen für die Zukunft, vielleicht das Wichtigste von allem, was die Analyse betreibt. Ich meine die Anwendung der Psychoanalyse auf die Pädagogik, die Erziehung der nächsten Generation. Ich freue mich wenigstens sagen zu können, daß meine Tochter Anna Freud sich diese Arbeit zur Lebensaufgabe gesetzt hat, mein Versäumnis auf solche Art wiedergutmacht. Der Weg, der zu dieser Anwendung geführt hat, ist leicht zu übersehen. Wenn wir in der Behandlung eines erwachsenen Neurotikers der Determinierung seiner Symptome nachspürten, wurden wir regelmäßig bis in seine frühe Kindheit zurückgeleitet. Die Kenntnis der späteren Ätiologien reichte weder für das Verständnis noch für die therapeutische Wirkung aus. So wurden wir genötigt, uns mit den psychischen Besonderheiten des Kindesalters bekanntzumachen, und erfuhren eine Menge von Dingen, die anders als durch Analyse nicht zu erfahren waren, konnten auch viele allgemein geglaubte Meinungen über die Kindheit richtigstellen. Wir erkannten, daß den ersten Kinderjahren (etwa bis fünf) aus mehreren Gründen eine besondere Bedeutung zukommt. Erstens, weil sie die Frühblüte der Sexualität enthalten, die für das Sexualleben der Reifezeit entscheidende Anregungen hinterläßt. Zweitens, weil die Eindrücke dieser Zeit auf ein unfertiges und schwaches Ich treffen, auf das sie wie Traumen wirken. Das Ich kann sich der Affektstürme, die sie hervorrufen, nicht anders als durch Verdrängung erwehren und erwirbt solcherart im Kindesalter alle Dispositionen zu späteren Erkrankungen und Funktionsstörungen. Wir haben verstanden, die Schwierigkeit der Kindheit liegt darin, daß das Kind in einer kurzen Spanne Zeit sich die Resultate einer Kulturentwicklung aneignen soll, die sich über Jahrtausende erstreckt, Triebbeherrschung und soziale Anpassung, wenigstens die ersten Stücke von beiden. Nur einen Teil dieser Veränderung kann es durch seine eigene Entwicklung erreichen, vieles muß ihm von der Erziehung aufgedrängt werden. Wir verwundern uns nicht, wenn das Kind diese Aufgabe oft nur unvollkommen bewältigt. Viele Kinder machen in diesen frühen Zeiten Zustände durch, die man den Neurosen gleichstellen darf, gewiß alle, die späterhin manifest erkranken. Bei manchen Kindern wartet die neurotische Erkrankung nicht die Zeit der Reife ab, sie bricht schon in der Kinderzeit aus und macht Eltern und Ärzten zu schaffen.</w:t>
      </w:r>
    </w:p>
    <w:p w:rsidR="00E22C23" w:rsidRPr="00AF5815" w:rsidRDefault="00E22C23" w:rsidP="00E22C23">
      <w:pPr>
        <w:rPr>
          <w:rFonts w:ascii="Garamond" w:hAnsi="Garamond"/>
          <w:lang w:val="en-GB"/>
        </w:rPr>
      </w:pPr>
      <w:r w:rsidRPr="00AF5815">
        <w:rPr>
          <w:rFonts w:ascii="Garamond" w:hAnsi="Garamond"/>
          <w:lang w:val="en-GB"/>
        </w:rPr>
        <w:t xml:space="preserve">Wir haben kein Bedenken getragen, die analytische Therapie bei solchen Kindern anzuwenden, die entweder unzweideutige neurotische Symptome zeigen oder auf dem Weg zu einer ungünstigen Charakterentwicklung waren. Die Besorgnis, dem Kind durch die Analyse zu schaden, der Gegner der Analyse Ausdruck gegeben haben, erwies sich als unbegründet. Unser Gewinn bei diesen Unternehmungen war, daß wir am lebenden Objekt bestätigen konnten, was wir beim Erwachsenen sozusagen aus historischen Dokumenten erschlossen hatten. Aber auch der Gewinn für die Kinder war sehr erfreulich. Es ergab sich, daß das Kind ein sehr günstiges Objekt für die analytische Therapie ist; die Erfolge sind gründliche und halten an. Natürlich muß man die für Erwachsene ausgearbeitete Technik der Behandlung für das Kind weitgehend abändern. Das Kind ist psychologisch ein anderes Objekt als der Erwachsene, es besitzt noch kein Über-Ich, die Methode der freien Assoziation trägt nicht weit, die Übertragung spielt, da die realen Eltern noch vorhanden sind, eine andere Rolle. Die inneren Widerstände, die wir beim Erwachsenen bekämpfen, sind beim Kind zumeist durch äußere Schwierigkeiten ersetzt. Wenn sich die Eltern zu Trägern des Widerstandes machen, wird oft das Ziel der Analyse oder diese selbst gefährdet, daher ist es oft notwendig, mit der Analyse des Kindes ein Stück analytischer Beeinflussung der Eltern zu verbinden. Anderseits werden die unvermeidlichen Abweichungen der Kinderanalyse von der </w:t>
      </w:r>
      <w:r w:rsidRPr="00AF5815">
        <w:rPr>
          <w:rFonts w:ascii="Garamond" w:hAnsi="Garamond"/>
          <w:lang w:val="en-GB"/>
        </w:rPr>
        <w:lastRenderedPageBreak/>
        <w:t>Erwachsener durch den Umstand verringert, daß manche unserer Patienten so viel infantile Charakterzüge bewahrt haben, daß der Analytiker, wiederum in Anpassung an das Objekt, nicht umhin kann, sich bei ihnen gewisser Techniken der Kinderanalyse zu bedienen. Es hat sich von selbst ergeben, daß die Kinderanalyse die Domäne weiblicher Analytiker geworden ist, und dabei wird es wohl bleiben.</w:t>
      </w:r>
    </w:p>
    <w:p w:rsidR="00E22C23" w:rsidRPr="00AF5815" w:rsidRDefault="00E22C23" w:rsidP="00E22C23">
      <w:pPr>
        <w:rPr>
          <w:rFonts w:ascii="Garamond" w:hAnsi="Garamond"/>
          <w:lang w:val="en-GB"/>
        </w:rPr>
      </w:pPr>
      <w:r w:rsidRPr="00AF5815">
        <w:rPr>
          <w:rFonts w:ascii="Garamond" w:hAnsi="Garamond"/>
          <w:lang w:val="en-GB"/>
        </w:rPr>
        <w:t>Die Einsicht, daß die meisten unserer Kinder in ihrer Entwicklung eine neurotische Phase durchmachen, trägt den Keim einer hygienischen Forderung in sich. Man kann die Frage aufwerfen, ob es nicht zweckmäßig wäre, dem Kind mit einer Analyse zu Hilfe zu kommen, auch wenn es keine Anzeichen von Störung zeigt, als eine Maßregel der Fürsorge für seine Gesundheit, so wie man heute gesunde Kinder gegen Diphtherie impft, ohne abzuwarten, ob sie an Diphtherie erkranken. Die Diskussion dieser Frage hat heute nur ein akademisches Interesse; ich kann mir gestatten, sie vor Ihnen zu erörtern; der großen Menge unserer Zeitgenossen würde schon das Projekt als ein ungeheurer Frevel erscheinen, und bei der Stellung der meisten Elternpersonen zur Analyse muß man derzeit jede Hoffnung auf dessen Durchführung aufgeben. Eine solche Prophylaxe der Nervosität, die wahrscheinlich sehr wirksam sein würde, setzt auch eine ganz andere Verfassung der Gesellschaft voraus. Das Stichwort für die Anwendung der Psychoanalyse auf die Erziehung fällt heute an anderer Stelle. Machen wir uns klar, was die nächste Aufgabe der Erziehung ist. Das Kind soll Triebbeherrschung lernen. Ihm die Freiheit geben, daß es uneingeschränkt allen seinen Impulsen folgt, ist unmöglich. Es wäre ein sehr lehrreiches Experiment für Kinderpsychologen, aber die Eltern könnten dabei nicht leben und die Kinder selbst würden zu großem Schaden kommen, wie es sich zum Teil sofort, zum anderen Teil in späteren Jahren zeigen würde. Die Erziehung muß also hemmen, verbieten, unterdrücken und hat dies auch zu allen Zeiten reichlich besorgt. Aber aus der Analyse haben wir erfahren, daß gerade diese Triebunterdrückung die Gefahr der neurotischen Erkrankung mit sich bringt. Sie erinnern sich, wir haben eingehend untersucht, auf welchen Wegen dies geschieht. Die Erziehung hat also ihren Weg zu suchen zwischen der Scylla des Gewährenlassens und der Charybdis des Versagens. Wenn die Aufgabe nicht überhaupt unlösbar ist, muß ein Optimum für die Erziehung aufzufinden sein, wie sie am meisten leisten und am wenigsten schaden kann. Es wird sich darum handeln zu entscheiden, wieviel man verbieten darf, zu welchen Zeiten und mit welchen Mitteln. Und dann hat man noch in Rechnung zu setzen, daß die Objekte der erziehlichen Beeinflussung sehr verschiedene konstitutionelle Veranlagungen mitbringen, so daß das nämliche Vorgehen des Erziehers unmöglich für alle Kinder gleich gut sein kann. Die nächste Erwägung lehrt, daß die Erziehung bisher ihre Aufgabe sehr schlecht erfüllt und den Kindern großen Schaden zugefügt hat. Wenn sie das Optimum findet und ihre Aufgabe in idealer Weise löst, dann kann sie hoffen, den einen Faktor in der Ätiologie der Erkrankung, den Einfluß der akzidentellen Kindheitstraumen, auszulöschen. Den anderen, die Macht einer unbotmäßigen Triebkonstitution, kann sie auf keinen Fall beseitigen. Überlegt man nun die schwierigen Aufgaben, die dem Erzieher gestellt sind, die konstitutionelle Eigenart des Kindes zu erkennen, aus kleinen Anzeichen zu erraten, was sich in seinem unfertigen Seelenleben abspielt, ihm das richtige Maß von Liebe zuzuteilen und doch ein wirksames Stück Autorität aufrechtzuhalten, so sagt man sich, die einzig zweckmäßige Vorbereitung für den Beruf des Erziehers ist eine gründliche psychoanalytische Schulung. Am besten ist es, wenn er selbst analysiert worden ist, denn ohne Erfahrung an der eigenen Person kann man sich die Analyse doch nicht zu eigen machen. Die Analyse der Lehrer und Erzieher scheint eine wirksamere prophylaktische Maßregel als die der Kinder selbst, auch setzen sich ihrer Durchführung geringere Schwierigkeiten entgegen.</w:t>
      </w:r>
    </w:p>
    <w:p w:rsidR="00E22C23" w:rsidRPr="00AF5815" w:rsidRDefault="00E22C23" w:rsidP="00E22C23">
      <w:pPr>
        <w:rPr>
          <w:rFonts w:ascii="Garamond" w:hAnsi="Garamond"/>
          <w:lang w:val="en-GB"/>
        </w:rPr>
      </w:pPr>
      <w:r w:rsidRPr="00AF5815">
        <w:rPr>
          <w:rFonts w:ascii="Garamond" w:hAnsi="Garamond"/>
          <w:lang w:val="en-GB"/>
        </w:rPr>
        <w:t xml:space="preserve">Nur nebenbei sei einer indirekten Förderung der Kindererziehung durch die Analyse gedacht, die mit der Zeit zu größerem Einfluß kommen kann. Eltern, die selbst eine Analyse erfahren haben und ihr viel verdanken, darunter die Einsicht in die Fehler ihrer eigenen Erziehung, werden ihre Kinder mit besserem Verständnis behandeln und ihnen vieles ersparen, was ihnen selbst nicht erspart geblieben war. Parallel mit den Bemühungen der Analytiker um die Beeinflussung der Erziehung laufen andere Untersuchungen über die Entstehung und Verhütung der Verwahrlosung und der Kriminalität. Auch hier öffne ich Ihnen </w:t>
      </w:r>
      <w:r w:rsidRPr="00AF5815">
        <w:rPr>
          <w:rFonts w:ascii="Garamond" w:hAnsi="Garamond"/>
          <w:lang w:val="en-GB"/>
        </w:rPr>
        <w:lastRenderedPageBreak/>
        <w:t>nur die Türe und zeige Ihnen die Gemächer dahinter, führe Sie aber nicht hinein. Ich weiß, wenn Ihr Interesse der Psychoanalyse treu bleibt, werden Sie über diese Dinge viel Neues und Wertvolles hören können. Ich mag aber das Thema der Erziehung nicht verlassen, ohne eines bestimmten Gesichtspunktes zu gedenken. Es ist – und gewiß mit Recht – gesagt worden, jede Erziehung sei eine parteiisch gerichtete, strebe an, daß sich das Kind der bestehenden Gesellschaftsordnung einordne, ohne Rücksicht darauf, wie wertvoll oder wie haltbar diese an sich sei. Wenn man von den Mängeln unserer gegenwärtigen sozialen Einrichtungen überzeugt ist, kann man es nicht rechtfertigen, die psychoanalytisch gerichtete Erziehung noch in ihren Dienst zu stellen. Man muß ihr ein anderes, höheres Ziel setzen, das sich von den herrschenden sozialen Anforderungen frei gemacht hat. Ich meine aber, dies Argument ist hier nicht am Platz. Die Forderung geht über die Funktionsberechtigung der Analyse hinaus. Auch der Arzt, der zur Behandlung einer Pneumonie gerufen wird, hat sich nicht darum zu kümmern, ob der Erkrankte ein braver Mann, ein Selbstmörder oder ein Verbrecher ist, ob er verdient am Leben zu bleiben und ob man es ihm wünschen soll. Auch dies andere Ziel, das man der Erziehung setzen will, wird ein parteiisches sein, und es ist nicht Sache des Analytikers, zwischen den Parteien zu entscheiden. Ich sehe ganz ab davon, daß man der Psychoanalyse jeden Einfluß auf die Erziehung verweigern wird, wenn sie sich zu Absichten bekennt, die mit der bestehenden sozialen Ordnung unvereinbar sind. Die psychoanalytische Erziehung nimmt eine ungebetene Verantwortung auf sich, wenn sie sich vorsetzt, ihren Zögling zum Aufrührer zu modeln. Sie hat das ihrige getan, wenn sie ihn möglichst gesund und leistungsfähig entläßt. In ihr selbst sind genug revolutionäre Momente enthalten, um zu versichern, daß der von ihr Erzogene im späteren Leben sich nicht auf die Seite des Rückschritts und der Unterdrückung stellen wird. Ich meine sogar, revolutionäre Kinder sind in keiner Hinsicht wünschenswert.</w:t>
      </w:r>
    </w:p>
    <w:p w:rsidR="00E22C23" w:rsidRPr="00AF5815" w:rsidRDefault="00E22C23" w:rsidP="00E22C23">
      <w:pPr>
        <w:rPr>
          <w:rFonts w:ascii="Garamond" w:hAnsi="Garamond"/>
          <w:lang w:val="en-GB"/>
        </w:rPr>
      </w:pPr>
      <w:r w:rsidRPr="00AF5815">
        <w:rPr>
          <w:rFonts w:ascii="Garamond" w:hAnsi="Garamond"/>
          <w:lang w:val="en-GB"/>
        </w:rPr>
        <w:t>Meine Damen und Herren! Ich habe noch vor, Ihnen einige Worte über die Psychoanalyse als Therapie zu sagen. Das Theoretische darüber habe ich schon vor 15 Jahren besprochen und kann es heute auch nicht anders formulieren; die Erfahrung dieser Zwischenzeit soll nun auch zu Worte kommen. Sie wissen, die Psychoanalyse ist als Therapie entstanden, sie ist weit darüber hinausgewachsen, hat aber ihren Mutterboden nicht aufgegeben und ist für ihre Vertiefung und Weiterentwicklung immer noch an den Umgang mit Kranken gebunden. Die gehäuften Eindrücke, aus denen wir unsere Theorien entwickeln, können auf andere Weise nicht gewonnen werden. Die Mißerfolge, die wir als Therapeuten erfahren, stellen uns immer wieder neue Aufgaben, die Anforderungen des realen Lebens sind ein wirksamer Schutz gegen das Überwuchern der Spekulation, die wir in unserer Arbeit doch auch nicht entbehren können. Mit welchen Mitteln die Psychoanalyse den Kranken hilft, wenn sie hilft, und auf welchen Wegen, das haben wir schon vor Zeiten erörtert; heute wollen wir fragen, wieviel sie leistet.</w:t>
      </w:r>
    </w:p>
    <w:p w:rsidR="00E22C23" w:rsidRPr="00AF5815" w:rsidRDefault="00E22C23" w:rsidP="00E22C23">
      <w:pPr>
        <w:rPr>
          <w:rFonts w:ascii="Garamond" w:hAnsi="Garamond"/>
          <w:lang w:val="en-GB"/>
        </w:rPr>
      </w:pPr>
      <w:r w:rsidRPr="00AF5815">
        <w:rPr>
          <w:rFonts w:ascii="Garamond" w:hAnsi="Garamond"/>
          <w:lang w:val="en-GB"/>
        </w:rPr>
        <w:t xml:space="preserve">Sie wissen vielleicht, ich war nie ein therapeutischer Enthusiast; es ist keine Gefahr, daß ich diesen Vortrag zu Anpreisungen mißbrauche. Ich sage lieber zu wenig als zu viel. Zur Zeit, als ich noch der einzige Analytiker war, pflegte ich von Personen, die meiner Sache angeblich freundlich gesinnt waren, zu hören: Das ist alles recht schön und geistreich, aber zeigen Sie mir einen Fall, den Sie durch Analyse geheilt haben. Das war eine der vielen Formeln, die einander im Lauf der Zeiten in der Funktion abgelöst haben, die unbequeme Neuheit beiseite zu schieben. Sie ist heute ebenso veraltet wie viele andere – der Stoß von Dankbriefen geheilter Patienten findet sich auch in der Mappe des Analytikers. Dabei macht die Analogie nicht halt. Die Psychoanalyse ist wirklich eine Therapie wie andere auch. Sie hat ihre Triumphe wie ihre Niederlagen, ihre Schwierigkeiten, Einschränkungen, Indikationen. Zu einer gewissen Zeit lautete eine Anklage gegen die Analyse, sie sei als Therapie nicht ernst zu nehmen, denn sie getraue sich nicht, eine Statistik ihrer Erfolge bekanntzugeben. Seither hat das von Dr. Max Eitingon gegründete psychoanalytische Institut in Berlin einen Rechenschaftsbericht über sein erstes Jahrzehnt veröffentlicht. Die Heilerfolge geben weder einen Grund, damit zu prahlen, noch sich ihrer zu schämen. Aber solche Statistiken sind überhaupt nicht lehrreich, das verarbeitete Material ist so heterogen, daß nur sehr große Zahlen etwas besagen würden. Man tut besser, seine Einzelerfahrungen zu befragen. Da möchte ich </w:t>
      </w:r>
      <w:r w:rsidRPr="00AF5815">
        <w:rPr>
          <w:rFonts w:ascii="Garamond" w:hAnsi="Garamond"/>
          <w:lang w:val="en-GB"/>
        </w:rPr>
        <w:lastRenderedPageBreak/>
        <w:t>sagen, ich glaube nicht, daß unsere Heilerfolge es mit denen von Lourdes aufnehmen können. Es gibt soviel mehr Menschen, die an die Wunder der heiligen Jungfrau, als die an die Existenz des Unbewußten glauben. Wenden wir uns zur irdischen Konkurrenz, so haben wir die psychoanalytische Therapie mit den anderen Methoden der Psychotherapie zusammenzustellen. Organische physikalische Behandlungen neurotischer Zustände braucht man heute kaum zu erwähnen. Als psychotherapeutisches Verfahren steht die Analyse nicht im Gegensatz zu den anderen Methoden dieses ärztlichen Spezialfachs; sie entwertet sie nicht, schließt sie nicht aus. Es ginge in der Theorie sehr gut zusammen, daß ein Arzt, der sich Psychotherapeut nennen will, die Analyse neben allen anderen Heilmethoden bei seinen Kranken verwendet, je nach der Eigenart des Falles und der Gunst oder Ungunst äußerer Verhältnisse. In der Wirklichkeit ist es die Technik, die die Spezialisierung der ärztlichen Tätigkeit erzwingt. So mußten sich auch Chirurgie und Orthopädie voneinander sondern. Die psychoanalytische Tätigkeit ist schwierig und anspruchsvoll, sie läßt sich nicht gut handhaben wie die Brille, die man beim Lesen aufsetzt und fürs Spazierengehen ablegt. In der Regel hat die Psychoanalyse den Arzt entweder ganz oder gar nicht. Die Psychotherapeuten, die sich gelegentlich auch der Analyse bedienen, stehen nach meiner Kenntnis nicht auf sicherem analytischen Boden; sie haben nicht die ganze Analyse angenommen, sondern sie verwässert, vielleicht »entgiftet«; man kann sie nicht zu den Analytikern zählen. Ich meine, das ist bedauerlich; aber ein Zusammenwirken in der ärztlichen Tätigkeit eines Analytikers mit einem Psychotherapeuten, der sich auf die anderen Methoden des Fachs beschränkt, wäre durchaus zweckmäßig.</w:t>
      </w:r>
    </w:p>
    <w:p w:rsidR="00E22C23" w:rsidRPr="00AF5815" w:rsidRDefault="00E22C23" w:rsidP="00E22C23">
      <w:pPr>
        <w:rPr>
          <w:rFonts w:ascii="Garamond" w:hAnsi="Garamond"/>
          <w:lang w:val="en-US"/>
        </w:rPr>
      </w:pPr>
      <w:r w:rsidRPr="00AF5815">
        <w:rPr>
          <w:rFonts w:ascii="Garamond" w:hAnsi="Garamond"/>
          <w:lang w:val="en-GB"/>
        </w:rPr>
        <w:t xml:space="preserve">Mit den anderen Verfahren der Psychotherapie verglichen, ist die Psychoanalyse das über jeden Zweifel mächtigste. Es ist auch recht und billig so, sie ist auch das mühevollste und zeitraubendste, man wird sie in leichten Fällen nicht anwenden; man kann mit ihr in geeigneten Fällen Störungen beseitigen, Änderungen hervorrufen, auf die man in voranalytischen Zeiten nicht zu hoffen wagte. Aber sie hat auch ihre sehr fühlbaren Schranken. Der therapeutische Ehrgeiz mancher meiner Anhänger hat sich die größte Mühe gegeben, über diese Hindernisse hinwegzukommen, so daß alle neurotischen Störungen durch die Psychoanalyse heilbar würden. Sie haben versucht, die analytische Arbeit in eine verkürzte Dauer zu zwängen, die Übertragung so zu steigern, daß sie allen Widerständen überlegen wird, andere Arten der Beeinflussung mit ihr zu vereinigen, um die Heilung zu erzwingen. Diese Bemühungen sind gewiß lobenswert, aber ich meine, sie sind vergeblich. Sie bringen auch die Gefahr mit sich, daß man selbst aus der Analyse hinausgedrängt wird und in ein uferloses Experimentieren gerät. Die Erwartung, alles Neurotische heilen zu können, ist mir der Abkunft verdächtig von jenem Laienglauben, daß die Neurosen etwas ganz Überflüssiges sind, was überhaupt kein Recht hat zu existieren. In Wahrheit sind sie schwere, konstitutionell fixierte Affektionen, die sich selten auf einige Ausbrüche beschränken, meist über lange Lebensperioden oder das ganze Leben anhalten. Die analytische Erfahrung, daß man sie weitgehend beeinflussen kann, wenn man sich der historischen Krankheitsanlässe und der akzidentellen Hilfsmomente bemächtigt, hat uns veranlaßt, den konstitutionellen Faktor in der therapeutischen Praxis zu vernachlässigen; wir können ihm ja auch nichts anhaben; in der Theorie sollten wir seiner immer gedenken. Schon die durchgängige Unzugänglichkeit der Psychosen für die analytische Therapie sollte bei deren naher Verwandtschaft mit den Neurosen unsere Ansprüche bei diesen letzteren einschränken. Die therapeutische Wirksamkeit der Psychoanalyse bleibt durch eine Reihe von bedeutsamen und kaum angreifbaren Momenten beengt. Beim Kind, wo man auf die größten Erfolge rechnen könnte, sind es die äußerlichen Schwierigkeiten der Elternsituation, die aber doch zum Kindsein gehören. Beim Erwachsenen sind es in erster Linie zwei Momente, das Maß von psychischer Erstarrung und die Krankheitsform mit allem, was sie an tieferen Bestimmungen deckt. Das erste Moment wird mit Unrecht oft übersehen. So groß die Plastizität des seelischen Lebens und die Möglichkeit der Auffrischung alter Zustände auch ist, es läßt sich nicht alles wieder beleben. Manche Veränderungen scheinen endgültig, entsprechen Narbenbildungen nach abgelaufenen Prozessen. Andere Male empfängt man den Eindruck einer allgemeinen Erstarrung des Seelenlebens; die psychischen Vorgänge, die man sehr wohl auf andere Wege weisen könnte, scheinen unfähig, die alten Wege zu verlassen. Aber vielleicht ist das dasselbe wie vorhin, </w:t>
      </w:r>
      <w:r w:rsidRPr="00AF5815">
        <w:rPr>
          <w:rFonts w:ascii="Garamond" w:hAnsi="Garamond"/>
          <w:lang w:val="en-GB"/>
        </w:rPr>
        <w:lastRenderedPageBreak/>
        <w:t xml:space="preserve">nur anders gesehen. Gar zu häufig glaubt man zu verspüren, daß es der Therapie nur an der erforderlichen Triebkraft fehlt, um die Änderung durchzusetzen. Eine bestimmte Abhängigkeit, eine gewisse Triebkomponente ist zu stark im Vergleich mit den Gegenkräften, die wir mobil machen können. Ganz allgemein ist es so bei den Psychosen. Wir verstehen sie so weit, daß wir wohl wüßten, wo die Hebel anzusetzen wären, aber sie könnten die Last nicht bewegen. Hier knüpft sogar die Zukunftshoffnung an, daß die Kenntnis der Hormonwirkungen – Sie wissen, was das ist – uns die Mittel leiht, mit den quantitativen Faktoren der Erkrankungen erfolgreich zu ringen, aber heute sind wir davon weit entfernt. Ich verstehe, daß die Unsicherheit in all diesen Verhältnissen einen ständigen Antrieb gibt, die Technik der Analyse und besonders der Übertragung zu vervollkommnen. Besonders der Anfänger in der Analyse wird bei einem Mißerfolg im Zweifel bleiben, ob er die Eigenheiten des Falles oder seine ungeschickte Handhabung des therapeutischen Verfahrens beschuldigen soll. </w:t>
      </w:r>
      <w:r w:rsidRPr="00AF5815">
        <w:rPr>
          <w:rFonts w:ascii="Garamond" w:hAnsi="Garamond"/>
          <w:lang w:val="en-US"/>
        </w:rPr>
        <w:t>Aber ich sagte schon, ich glaube nicht, daß man durch die Bemühungen nach dieser Richtung viel erreichen kann.</w:t>
      </w:r>
    </w:p>
    <w:p w:rsidR="00E22C23" w:rsidRPr="00AF5815" w:rsidRDefault="00E22C23" w:rsidP="00E22C23">
      <w:pPr>
        <w:rPr>
          <w:rFonts w:ascii="Garamond" w:hAnsi="Garamond"/>
          <w:lang w:val="en-US"/>
        </w:rPr>
      </w:pPr>
      <w:r w:rsidRPr="00AF5815">
        <w:rPr>
          <w:rFonts w:ascii="Garamond" w:hAnsi="Garamond"/>
          <w:lang w:val="en-US"/>
        </w:rPr>
        <w:t>Die andere Einschränkung der analytischen Erfolge wird durch die Krankheitsform gegeben. Sie wissen schon, das Anwendungsgebiet der analytischen Therapie sind die Übertragungsneurosen, Phobien, Hysterien, Zwangsneurosen, außerdem noch Abnormitäten des Charakters, die an Stelle solcher Erkrankungen entwickelt worden sind. Alles, was anders ist, narzißtische, psychotische Zustände, ist mehr oder weniger ungeeignet. Nun wäre es ja durchaus legitim, sich durch sorgfältige Ausschließung solcher Fälle vor Mißerfolgen zu schützen. Die Statistiken der Analyse würden durch diese Vorsicht eine große Aufbesserung erfahren. Ja, aber das hat einen Haken. Unsere Diagnosen erfolgen sehr häufig erst nachträglich, sie sind von der Art wie die Hexenprobe des Schottenkönigs, von der ich bei Victor Hugo gelesen habe. Dieser König behauptete, im Besitz einer unfehlbaren Methode zu sein, um eine Hexe zu erkennen. Er ließ sie in einem Kessel kochenden Wassers abbrühen und kostete dann die Suppe. Danach konnte er sagen: das war eine Hexe, oder: nein, das war keine. Ähnlich ist es bei uns, nur daß wir die Geschädigten sind. Wir können den Patienten, der zur Behandlung, oder ebenso den Kandidaten, der zur Ausbildung kommt, nicht beurteilen, ehe wir ihn durch einige Wochen oder Monate analytisch studiert haben. Wir kaufen tatsächlich die Katze im Sack. Der Patient brachte unbestimmte, allgemeine Beschwerden mit, die eine sichere Diagnose nicht gestatteten. Nach dieser Probezeit mag sich herausstellen, daß es ein ungeeigneter Fall ist. Wir schicken dann den Kandidaten weg, versuchen dann beim Patienten noch eine Weile, ob wir ihn nicht in günstigerem Licht sehen können. Der Patient rächt sich dadurch, daß er die Liste unserer Mißerfolge vergrößert, der abgewiesene Kandidat, wenn er ein Paranoider ist, etwa indem er selbst psychoanalytische Bücher verfaßt. Sie sehen, unsere Vorsicht hat uns nichts genützt.</w:t>
      </w:r>
    </w:p>
    <w:p w:rsidR="00E22C23" w:rsidRPr="00AF5815" w:rsidRDefault="00E22C23" w:rsidP="00E22C23">
      <w:pPr>
        <w:rPr>
          <w:rFonts w:ascii="Garamond" w:hAnsi="Garamond"/>
          <w:lang w:val="en-US"/>
        </w:rPr>
      </w:pPr>
      <w:r w:rsidRPr="00AF5815">
        <w:rPr>
          <w:rFonts w:ascii="Garamond" w:hAnsi="Garamond"/>
          <w:lang w:val="en-US"/>
        </w:rPr>
        <w:t xml:space="preserve">Ich besorge, diese detaillierten Ausführungen gehen über Ihr Interesse hinaus. Aber noch mehr müßte es mir leid tun, wenn Sie meinen sollten, es sei meine Absicht, Ihre Achtung vor der Psychoanalyse als Therapie herabzusetzen. Vielleicht habe ich es wirklich ungeschickt angefangen; ich wollte nämlich das Gegenteil, die therapeutischen Beschränkungen der Analyse durch den Hinweis auf deren Unvermeidlichkeit entschuldigen. In derselben Absicht wende ich mich zu einem anderen Punkt, zum Vorwurf, daß die analytische Behandlung unverhältnismäßig lange Zeiten in Anspruch nimmt. Darauf ist zu sagen, psychische Veränderungen vollziehen sich eben nur langsam; wenn sie rasch, plötzlich eintreten, ist es ein übles Zeichen. Es ist wahr, die Behandlung einer schwereren Neurose zieht sich leicht über mehrere Jahre, aber legen Sie sich im Fall des Erfolgs die Frage vor, wie lange das Leiden gedauert hätte. Wahrscheinlich ein Dezennium für jedes Jahr Behandlung, das heißt das Kranksein wäre, wie wir es so oft an unbehandelten Kranken sehen, überhaupt nie erloschen. In manchen Fällen haben wir Grund, eine Analyse nach vielen Jahren wieder aufzunehmen, das Leben hatte auf neue Anlässe neue krankhafte Reaktionen entwickelt, in der Zwischenzeit war unser Patient gesund gewesen. Die erste Analyse hatte eben nicht alle seine pathologischen Dispositionen zum Vorschein gebracht, und es war natürlich, daß die Analyse eingestellt wurde, nachdem der Erfolg erreicht war. Es gibt auch schwer benachteiligte Menschen, </w:t>
      </w:r>
      <w:r w:rsidRPr="00AF5815">
        <w:rPr>
          <w:rFonts w:ascii="Garamond" w:hAnsi="Garamond"/>
          <w:lang w:val="en-US"/>
        </w:rPr>
        <w:lastRenderedPageBreak/>
        <w:t>die man ihr ganzes Leben über in analytischer Obhut hält und von Zeit zu Zeit wieder in Analyse nimmt, aber diese Personen wären sonst überhaupt nicht existenzfähig, und man muß froh sein, daß man sie mit dieser fraktionierten und rekurrierenden Behandlung aufrecht halten kann. Auch die Analyse von Charakterstörungen nimmt lange Behandlungszeiten in Anspruch, aber sie ist oft erfolgreich, und kennen Sie eine andere Therapie, mit der man diese Aufgabe auch nur in Angriff nehmen könnte? Therapeutischer Ehrgeiz mag sich durch diese Angaben unbefriedigt fühlen, allein wir haben am Beispiel der Tuberkulose und des Lupus gelernt, daß man Erfolg erst haben kann, wenn man die Therapie den Charakteren des Leidens angepaßt hat.</w:t>
      </w:r>
    </w:p>
    <w:p w:rsidR="00E22C23" w:rsidRPr="00AF5815" w:rsidRDefault="00E22C23" w:rsidP="00E22C23">
      <w:pPr>
        <w:rPr>
          <w:rFonts w:ascii="Garamond" w:hAnsi="Garamond"/>
          <w:lang w:val="en-US"/>
        </w:rPr>
      </w:pPr>
      <w:r w:rsidRPr="00AF5815">
        <w:rPr>
          <w:rFonts w:ascii="Garamond" w:hAnsi="Garamond"/>
          <w:lang w:val="en-US"/>
        </w:rPr>
        <w:t xml:space="preserve">Ich sagte Ihnen, die Psychoanalyse begann als eine Therapie, aber nicht als Therapie wollte ich sie Ihrem Interesse empfehlen, sondern wegen ihres Wahrheitsgehalts, wegen der Aufschlüsse, die sie uns gibt über das, was dem Menschen am nächsten geht, sein eigenes Wesen, und wegen der Zusammenhänge, die sie zwischen den verschiedensten seiner Betätigungen aufdeckt. Als Therapie ist sie eine unter vielen, freilich eine </w:t>
      </w:r>
      <w:r w:rsidRPr="00AF5815">
        <w:rPr>
          <w:rFonts w:ascii="Garamond" w:hAnsi="Garamond"/>
          <w:i/>
          <w:iCs/>
          <w:lang w:val="en-US"/>
        </w:rPr>
        <w:t>prima inter pares</w:t>
      </w:r>
      <w:r w:rsidRPr="00AF5815">
        <w:rPr>
          <w:rFonts w:ascii="Garamond" w:hAnsi="Garamond"/>
          <w:lang w:val="en-US"/>
        </w:rPr>
        <w:t>. Wenn sie nicht ihren therapeutischen Wert hätte, wäre sie nicht an Kranken gefunden und durch mehr als dreißig Jahre entwickelt worden.</w:t>
      </w:r>
    </w:p>
    <w:p w:rsidR="00E22C23" w:rsidRPr="00AF5815" w:rsidRDefault="00E22C23" w:rsidP="00E22C23">
      <w:pPr>
        <w:rPr>
          <w:rFonts w:ascii="Garamond" w:hAnsi="Garamond"/>
          <w:b/>
          <w:lang w:val="en-US"/>
        </w:rPr>
      </w:pPr>
      <w:r>
        <w:rPr>
          <w:rFonts w:ascii="Garamond" w:hAnsi="Garamond"/>
          <w:lang w:val="en-US"/>
        </w:rPr>
        <w:br w:type="page"/>
      </w:r>
      <w:hyperlink w:anchor="NeueVorlesugen_INHALT" w:history="1">
        <w:r w:rsidRPr="00AF5815">
          <w:rPr>
            <w:rStyle w:val="Lienhypertexte"/>
            <w:rFonts w:ascii="Garamond" w:hAnsi="Garamond"/>
            <w:b/>
            <w:lang w:val="en-US"/>
          </w:rPr>
          <w:t>35. Vo</w:t>
        </w:r>
        <w:bookmarkStart w:id="305" w:name="NeueVorlesugen_35"/>
        <w:bookmarkEnd w:id="305"/>
        <w:r w:rsidRPr="00AF5815">
          <w:rPr>
            <w:rStyle w:val="Lienhypertexte"/>
            <w:rFonts w:ascii="Garamond" w:hAnsi="Garamond"/>
            <w:b/>
            <w:lang w:val="en-US"/>
          </w:rPr>
          <w:t>rlesung. Über eine Weltanschauung</w:t>
        </w:r>
      </w:hyperlink>
    </w:p>
    <w:p w:rsidR="00E22C23" w:rsidRDefault="00E22C23" w:rsidP="00E22C23">
      <w:pPr>
        <w:rPr>
          <w:rFonts w:ascii="Garamond" w:hAnsi="Garamond"/>
          <w:lang w:val="en-US"/>
        </w:rPr>
      </w:pPr>
    </w:p>
    <w:p w:rsidR="00E22C23" w:rsidRPr="00AF5815" w:rsidRDefault="00E22C23" w:rsidP="00E22C23">
      <w:pPr>
        <w:rPr>
          <w:rFonts w:ascii="Garamond" w:hAnsi="Garamond"/>
          <w:lang w:val="en-US"/>
        </w:rPr>
      </w:pPr>
      <w:r w:rsidRPr="00AF5815">
        <w:rPr>
          <w:rFonts w:ascii="Garamond" w:hAnsi="Garamond"/>
          <w:lang w:val="en-US"/>
        </w:rPr>
        <w:t>Meine Damen und Herren! Bei unserem letzten Beisammensein haben wir uns mit kleinen Alltagssorgen beschäftigt, gleichsam unser bescheidenes eigenes Haus bestellt. Nun wollen wir einen kühnen Anlauf nehmen und uns an die Beantwortung einer Frage wagen, die wiederholt von anderer Seite gestellt worden ist, ob die Psychoanalyse zu einer bestimmten Weltanschauung führt und zu welcher.</w:t>
      </w:r>
    </w:p>
    <w:p w:rsidR="00E22C23" w:rsidRPr="00AF5815" w:rsidRDefault="00E22C23" w:rsidP="00E22C23">
      <w:pPr>
        <w:rPr>
          <w:rFonts w:ascii="Garamond" w:hAnsi="Garamond"/>
          <w:lang w:val="en-US"/>
        </w:rPr>
      </w:pPr>
      <w:r w:rsidRPr="00AF5815">
        <w:rPr>
          <w:rFonts w:ascii="Garamond" w:hAnsi="Garamond"/>
          <w:lang w:val="en-US"/>
        </w:rPr>
        <w:t>Weltanschauung ist, besorge ich, ein spezifisch deutscher Begriff, dessen Übersetzung in fremde Sprachen Schwierigkeiten machen dürfte. Wenn ich eine Definition davon versuche, wird sie Ihnen gewiß ungeschickt erscheinen. Ich meine also, eine Weltanschauung ist eine intellektuelle Konstruktion, die alle Probleme unseres Daseins aus einer übergeordneten Annahme einheitlich löst, in der demnach keine Frage offen bleibt und alles, was unser Interesse hat, seinen bestimmten Platz findet. Es ist leicht zu verstehen, daß der Besitz einer solchen Weltanschauung zu den Idealwünschen der Menschen gehört. Im Glauben an sie kann man sich im Leben sicher fühlen, wissen, was man anstreben soll, wie man seine Affekte und Interessen am zweckmäßigsten unterbringen kann.</w:t>
      </w:r>
    </w:p>
    <w:p w:rsidR="00E22C23" w:rsidRPr="00AF5815" w:rsidRDefault="00E22C23" w:rsidP="00E22C23">
      <w:pPr>
        <w:rPr>
          <w:rFonts w:ascii="Garamond" w:hAnsi="Garamond"/>
          <w:lang w:val="en-US"/>
        </w:rPr>
      </w:pPr>
      <w:r w:rsidRPr="00AF5815">
        <w:rPr>
          <w:rFonts w:ascii="Garamond" w:hAnsi="Garamond"/>
          <w:lang w:val="en-US"/>
        </w:rPr>
        <w:t xml:space="preserve">Wenn das der Charakter einer Weltanschauung ist, so wird die Antwort für die Psychoanalyse leicht. Als eine Spezialwissenschaft, ein Zweig der Psychologie, – Tiefenpsychologie oder Psychologie des Unbewußten, – ist sie ganz ungeeignet, eine eigene Weltanschauung zu bilden, sie muß die der Wissenschaft annehmen. Die wissenschaftliche Weltanschauung entfernt sich aber bereits merklich von unserer Definition. Die </w:t>
      </w:r>
      <w:r w:rsidRPr="00AF5815">
        <w:rPr>
          <w:rFonts w:ascii="Garamond" w:hAnsi="Garamond"/>
          <w:i/>
          <w:iCs/>
          <w:lang w:val="en-US"/>
        </w:rPr>
        <w:t>Einheitlichkeit</w:t>
      </w:r>
      <w:r w:rsidRPr="00AF5815">
        <w:rPr>
          <w:rFonts w:ascii="Garamond" w:hAnsi="Garamond"/>
          <w:lang w:val="en-US"/>
        </w:rPr>
        <w:t xml:space="preserve"> der Welterklärung wird zwar auch von ihr angenommen, aber nur als ein Programm, dessen Erfüllung in die Zukunft verschoben ist. Sonst ist sie durch negative Charaktere ausgezeichnet, durch die Einschränkung auf das derzeit Wißbare und die scharfe Ablehnung gewisser, ihr fremder Elemente. Sie behauptet, daß es keine andere Quelle der Weltkenntnis gibt als die intellektuelle Bearbeitung sorgfältig überprüfter Beobachtungen, also was man Forschung heißt, daneben keine Kenntnis aus Offenbarung, Intuition oder Divination. Es scheint, daß diese Auffassung in den letztvergangenen Jahrhunderten der allgemeinen Anerkennung sehr nahe war. Unserem Jahrhundert blieb es vorbehalten, den überheblichen Einwand zu finden, eine solche Weltanschauung sei ebenso armselig wie trostlos, übersehe die Ansprüche des Menschengeistes und die Bedürfnisse der menschlichen Seele.</w:t>
      </w:r>
    </w:p>
    <w:p w:rsidR="00E22C23" w:rsidRPr="00AF5815" w:rsidRDefault="00E22C23" w:rsidP="00E22C23">
      <w:pPr>
        <w:rPr>
          <w:rFonts w:ascii="Garamond" w:hAnsi="Garamond"/>
          <w:lang w:val="en-US"/>
        </w:rPr>
      </w:pPr>
      <w:r w:rsidRPr="00AF5815">
        <w:rPr>
          <w:rFonts w:ascii="Garamond" w:hAnsi="Garamond"/>
          <w:lang w:val="en-US"/>
        </w:rPr>
        <w:t>Man kann diesen Einwand nicht energisch genug zurückweisen. Er ist ganz haltlos, denn Geist und Seele sind in genau der nämlichen Weise Objekte der wissenschaftlichen Forschung wie irgendwelche menschenfremden Dinge. Die Psychoanalyse hat ein besonderes Anrecht, hier das Wort für die wissenschaftliche Weltanschauung zu führen, weil man ihr nicht den Vorwurf machen kann, daß sie das Seelische im Weltbild vernachlässigt habe. Ihr Beitrag zur Wissenschaft besteht gerade in der Ausdehnung der Forschung auf das seelische Gebiet. Ohne eine solche Psychologie wäre allerdings die Wissenschaft sehr unvollständig. Nimmt man aber die Erforschung der intellektuellen und emotionellen Funktionen des Menschen (und der Tiere) in die Wissenschaft auf, so zeigt sich, daß an der Gesamteinstellung der Wissenschaft nichts geändert wird, es ergeben sich keine neuen Quellen des Wissens oder Methoden des Forschens. Intuition und Divination wären solche, wenn sie existierten, aber man darf sie beruhigt zu den Illusionen rechnen, den Erfüllungen von Wunschregungen. Man erkennt auch leicht, daß jene Anforderungen an eine Weltanschauung nur affektiv begründet sind. Die Wissenschaft nimmt zur Kenntnis, daß das menschliche Seelenleben solche Forderungen erschafft, ist bereit, deren Quellen nachzuprüfen, hat aber nicht den geringsten Anlaß, sie als berechtigt anzuerkennen. Sie sieht sich im Gegenteil gemahnt, alles was Illusion, Ergebnis solcher Affektforderung ist, sorgfältig vom Wissen zu scheiden.</w:t>
      </w:r>
    </w:p>
    <w:p w:rsidR="00E22C23" w:rsidRPr="00AF5815" w:rsidRDefault="00E22C23" w:rsidP="00E22C23">
      <w:pPr>
        <w:rPr>
          <w:rFonts w:ascii="Garamond" w:hAnsi="Garamond"/>
          <w:lang w:val="en-US"/>
        </w:rPr>
      </w:pPr>
      <w:r w:rsidRPr="00AF5815">
        <w:rPr>
          <w:rFonts w:ascii="Garamond" w:hAnsi="Garamond"/>
          <w:lang w:val="en-US"/>
        </w:rPr>
        <w:t xml:space="preserve">Das bedeutet keineswegs, diese Wünsche verächtlich beiseite zu schieben oder ihren Wert fürs Menschenleben zu unterschätzen. Man ist bereit zu verfolgen, welche Erfüllungen dieselben sich in den </w:t>
      </w:r>
      <w:r w:rsidRPr="00AF5815">
        <w:rPr>
          <w:rFonts w:ascii="Garamond" w:hAnsi="Garamond"/>
          <w:lang w:val="en-US"/>
        </w:rPr>
        <w:lastRenderedPageBreak/>
        <w:t>Leistungen der Kunst, in den Systemen der Religion und der Philosophie geschaffen haben, aber man kann doch nicht übersehen, daß es unrechtmäßig und in hohem Grade unzweckmäßig wäre, die Übertragung dieser Ansprüche auf das Gebiet der Erkenntnis zuzulassen. Denn damit öffnet man die Wege, die ins Reich der Psychose, sei es der individuellen oder der Massenpsychose, führen, und entzieht jenen Strebungen wertvolle Energien, die sich der Wirklichkeit zuwenden, um, soweit es möglich ist, Wünsche und Bedürfnisse in ihr zu befriedigen.</w:t>
      </w:r>
    </w:p>
    <w:p w:rsidR="00E22C23" w:rsidRPr="00AF5815" w:rsidRDefault="00E22C23" w:rsidP="00E22C23">
      <w:pPr>
        <w:rPr>
          <w:rFonts w:ascii="Garamond" w:hAnsi="Garamond"/>
          <w:lang w:val="en-US"/>
        </w:rPr>
      </w:pPr>
      <w:r w:rsidRPr="00AF5815">
        <w:rPr>
          <w:rFonts w:ascii="Garamond" w:hAnsi="Garamond"/>
          <w:lang w:val="en-US"/>
        </w:rPr>
        <w:t>Vom Standpunkt der Wissenschaft aus ist es unvermeidlich, hier Kritik zu üben und mit Ablehnungen und Zurückweisungen vorzugehen. Es ist unzulässig zu sagen, die Wissenschaft ist ein Gebiet menschlicher Geistestätigkeit, Religion und Philosophie sind andere, ihr zum mindesten gleichwertig, und die Wissenschaft hat diesen beiden nichts dareinzureden; sie haben alle gleichen Anspruch auf Wahrheit, und jedem Menschen steht es frei, zu wählen, woher er seine Überzeugung nehmen und wohin er seinen Glauben verlegen will. Eine solche Anschauung gilt als besonders vornehm, tolerant, umfassend und frei von engherzigen Vorurteilen. Leider ist sie nicht haltbar, sie hat Anteil an allen Schädlichkeiten einer ganz unwissenschaftlichen Weltanschauung und kommt ihr praktisch gleich. Es ist nun einmal so, daß die Wahrheit nicht tolerant sein kann, keine Kompromisse und Einschränkungen zuläßt, daß die Forschung alle Gebiete menschlicher Tätigkeit als ihr eigen betrachtet und unerbittlich kritisch werden muß, wenn eine andere Macht ein Stück davon für sich beschlagnahmen will.</w:t>
      </w:r>
    </w:p>
    <w:p w:rsidR="00E22C23" w:rsidRPr="00AF5815" w:rsidRDefault="00E22C23" w:rsidP="00E22C23">
      <w:pPr>
        <w:rPr>
          <w:rFonts w:ascii="Garamond" w:hAnsi="Garamond"/>
          <w:lang w:val="en-US"/>
        </w:rPr>
      </w:pPr>
      <w:r w:rsidRPr="00AF5815">
        <w:rPr>
          <w:rFonts w:ascii="Garamond" w:hAnsi="Garamond"/>
          <w:lang w:val="en-US"/>
        </w:rPr>
        <w:t>Von den drei Mächten, die der Wissenschaft Grund und Boden bestreiten können, ist die Religion allein der ernsthafte Feind. Die Kunst ist fast immer harmlos und wohltätig, sie will nichts anderes sein als Illusion. Außer bei wenigen Personen, die, wie man sagt, von der Kunst besessen sind, wagt sie keine Übergriffe ins Reich der Realität. Die Philosophie ist der Wissenschaft nicht gegensätzlich, sie gebärdet sich selbst wie eine Wissenschaft, arbeitet zum Teil mit den gleichen Methoden, entfernt sich aber von ihr, indem sie an der Illusion festhält, ein lückenloses und zusammenhängendes Weltbild liefern zu können, das doch bei jedem neuen Fortschritt unseres Wissens zusammenbrechen muß. Methodisch geht sie darin irre, daß sie den Erkenntniswert unserer logischen Operationen überschätzt und etwa noch andere Wissensquellen wie die Intuition anerkennt. Und oft genug meint man, der Spott des Dichters (H. Heine) sei nicht unberechtigt, wenn er vom Philosophen sagt:</w:t>
      </w:r>
    </w:p>
    <w:p w:rsidR="00E22C23" w:rsidRPr="00AF5815" w:rsidRDefault="00E22C23" w:rsidP="00E22C23">
      <w:pPr>
        <w:rPr>
          <w:rFonts w:ascii="Garamond" w:hAnsi="Garamond"/>
          <w:lang w:val="en-US"/>
        </w:rPr>
      </w:pPr>
      <w:r w:rsidRPr="00AF5815">
        <w:rPr>
          <w:rFonts w:ascii="Garamond" w:hAnsi="Garamond"/>
          <w:lang w:val="en-US"/>
        </w:rPr>
        <w:t xml:space="preserve">»Mit seinen Nachtmützen und Schlafrockfetzen </w:t>
      </w:r>
      <w:r w:rsidRPr="00AF5815">
        <w:rPr>
          <w:rFonts w:ascii="Garamond" w:hAnsi="Garamond"/>
          <w:lang w:val="en-US"/>
        </w:rPr>
        <w:br/>
        <w:t>Stopft er die Lücken des Weltenbaus.«</w:t>
      </w:r>
    </w:p>
    <w:p w:rsidR="00E22C23" w:rsidRPr="00AF5815" w:rsidRDefault="00E22C23" w:rsidP="00E22C23">
      <w:pPr>
        <w:rPr>
          <w:rFonts w:ascii="Garamond" w:hAnsi="Garamond"/>
          <w:lang w:val="en-US"/>
        </w:rPr>
      </w:pPr>
      <w:r w:rsidRPr="00AF5815">
        <w:rPr>
          <w:rFonts w:ascii="Garamond" w:hAnsi="Garamond"/>
          <w:lang w:val="en-US"/>
        </w:rPr>
        <w:t>Aber die Philosophie hat keinen unmittelbaren Einfluß auf die große Menge von Menschen, sie ist das Interesse einer geringen Anzahl selbst von der dünnen Oberschicht der Intellektuellen, für alle anderen kaum faßbar. Dahingegen ist die Religion eine ungeheure Macht, die über die stärksten Emotionen der Menschen verfügt. Es ist bekannt, daß sie früher einmal alles umfaßte, was als Geistigkeit im Menschenleben eine Rolle spielt, daß sie die Stelle der Wissenschaft einnahm, als es noch kaum eine Wissenschaft gab, und daß sie eine Weltanschauung von unvergleichlicher Folgerichtigkeit und Geschlossenheit geschaffen hat, die, wiewohl erschüttert, heute noch fortbesteht.</w:t>
      </w:r>
    </w:p>
    <w:p w:rsidR="00E22C23" w:rsidRPr="00AF5815" w:rsidRDefault="00E22C23" w:rsidP="00E22C23">
      <w:pPr>
        <w:rPr>
          <w:rFonts w:ascii="Garamond" w:hAnsi="Garamond"/>
          <w:lang w:val="en-US"/>
        </w:rPr>
      </w:pPr>
      <w:r w:rsidRPr="00AF5815">
        <w:rPr>
          <w:rFonts w:ascii="Garamond" w:hAnsi="Garamond"/>
          <w:lang w:val="en-US"/>
        </w:rPr>
        <w:t xml:space="preserve">Will man sich vom großartigen Wesen der Religion Rechenschaft geben, so muß man sich vorhalten, was sie den Menschen zu leisten unternimmt. Sie gibt ihnen Aufschluß über Herkunft und Entstehung der Welt, sie versichert ihnen Schutz und endliches Glück in den Wechselfällen des Lebens, und sie lenkt ihre Gesinnungen und Handlungen durch Vorschriften, die sie mit ihrer ganzen Autorität vertritt. Sie erfüllt also drei Funktionen. In der ersten befriedigt sie die menschliche Wißbegierde, tut dasselbe, was mit ihren Mitteln die Wissenschaft versucht, und tritt hier in Rivalität mit ihr. Ihrer zweiten Funktion verdankt sie wohl den größten Anteil ihres Einflusses. Wenn sie die Angst der Menschen vor den Gefahren und Wechselfällen des Lebens beschwichtigt, sie des guten Ausganges versichert, ihnen Trost im Unglück spendet, kann die Wissenschaft es nicht mit ihr aufnehmen. Diese lehrt zwar, wie man gewisse Gefahren </w:t>
      </w:r>
      <w:r w:rsidRPr="00AF5815">
        <w:rPr>
          <w:rFonts w:ascii="Garamond" w:hAnsi="Garamond"/>
          <w:lang w:val="en-US"/>
        </w:rPr>
        <w:lastRenderedPageBreak/>
        <w:t>vermeiden, manche Leiden erfolgreich bekämpfen kann; es wäre sehr unrecht zu bestreiten, daß sie den Menschen eine mächtige Helferin ist, aber in vielen Lagen muß sie den Menschen seinem Leid überlassen und weiß ihm nur zur Unterwerfung zu raten. In ihrer dritten Funktion, wenn sie Vorschriften gibt, Verbote und Einschränkungen erläßt, entfernt sie sich von der Wissenschaft am meisten. Denn diese begnügt sich damit, zu untersuchen und festzustellen. Aus ihren Anwendungen leiten sich allerdings Regeln und Ratschläge für das Verhalten im Leben ab. Unter Umständen sind es dieselben, die von der Religion geboten werden, aber dann mit anderer Begründung.</w:t>
      </w:r>
    </w:p>
    <w:p w:rsidR="00E22C23" w:rsidRPr="00AF5815" w:rsidRDefault="00E22C23" w:rsidP="00E22C23">
      <w:pPr>
        <w:rPr>
          <w:rFonts w:ascii="Garamond" w:hAnsi="Garamond"/>
          <w:lang w:val="en-US"/>
        </w:rPr>
      </w:pPr>
      <w:r w:rsidRPr="00AF5815">
        <w:rPr>
          <w:rFonts w:ascii="Garamond" w:hAnsi="Garamond"/>
          <w:lang w:val="en-US"/>
        </w:rPr>
        <w:t>Das Zusammentreffen dieser drei Inhalte der Religion ist nicht ganz durchsichtig. Was soll die Aufklärung über die Entstehung der Welt mit der Einschärfung bestimmter ethischer Vorschriften zu tun haben? Die Zusicherungen von Schutz und Beglückung sind mit den ethischen Anforderungen inniger verknüpft. Sie sind der Lohn für die Erfüllung dieser Gebote; nur wer sich ihnen fügt, darf auf diese Wohltaten rechnen, auf den Ungehorsamen warten Strafen. Übrigens gibt es bei der Wissenschaft etwas Ähnliches. Wer ihre Anwendungen mißachtet, meint sie, setzt sich Schädigungen aus.</w:t>
      </w:r>
    </w:p>
    <w:p w:rsidR="00E22C23" w:rsidRPr="00AF5815" w:rsidRDefault="00E22C23" w:rsidP="00E22C23">
      <w:pPr>
        <w:rPr>
          <w:rFonts w:ascii="Garamond" w:hAnsi="Garamond"/>
          <w:lang w:val="en-US"/>
        </w:rPr>
      </w:pPr>
      <w:r w:rsidRPr="00AF5815">
        <w:rPr>
          <w:rFonts w:ascii="Garamond" w:hAnsi="Garamond"/>
          <w:lang w:val="en-US"/>
        </w:rPr>
        <w:t>Man versteht das merkwürdige Zusammensein von Belehrung, Tröstung und Anforderung in der Religion erst, wenn man diese einer genetischen Analyse unterzieht. Diese darf von dem auffälligsten Punkt des Ensembles, von der Belehrung über die Weltentstehung ausgehen, denn warum sollte eine Kosmogonie ein regelmäßiger Bestandteil des religiösen Systems sein? Die Lehre ist also, daß die Welt von einem menschenähnlichen, aber in allen Stücken, Macht, Weisheit, Stärke der Leidenschaft vergrößerten Wesen, einem idealisierten Übermenschen geschaffen wurde. Tiere als Weltschöpfer weisen auf den Einfluß des Totemismus hin, den wir später wenigstens mit einer Bemerkung streifen werden. Es ist interessant, daß dieser Weltschöpfer immer nur einer ist, auch wo an viele Götter geglaubt wird. Ebenso, daß es zumeist ein Mann ist, obwohl es keineswegs an Andeutungen weiblicher Gottheiten fehlt und manche Mythologien die Weltschöpfung gerade damit beginnen lassen, daß ein Manngott eine weibliche Gottheit, die zum Ungeheuer erniedrigt ist, beseitigt. Die interessantesten Einzelprobleme schließen hier an, aber wir müssen eilen. Der weitere Weg ist uns leicht kenntlich gemacht, indem dieser Gott-Schöpfer direkt Vater geheißen wird. Die Psychoanalyse schließt, es ist wirklich der Vater, so großartig, wie er einmal dem kleinen Kind erschienen war. Der religiöse Mensch stellt sich die Schöpfung der Welt so vor wie seine eigene Entstehung.</w:t>
      </w:r>
    </w:p>
    <w:p w:rsidR="00E22C23" w:rsidRPr="00AF5815" w:rsidRDefault="00E22C23" w:rsidP="00E22C23">
      <w:pPr>
        <w:rPr>
          <w:rFonts w:ascii="Garamond" w:hAnsi="Garamond"/>
          <w:lang w:val="en-US"/>
        </w:rPr>
      </w:pPr>
      <w:r w:rsidRPr="00AF5815">
        <w:rPr>
          <w:rFonts w:ascii="Garamond" w:hAnsi="Garamond"/>
          <w:lang w:val="en-US"/>
        </w:rPr>
        <w:t>Dann erklärt sich leicht, wie die tröstlichen Versicherungen und die strengen ethischen Forderungen mit der Kosmogonie zusammenkommen. Denn dieselbe Person, der das Kind seine Existenz verdankt, der Vater (richtiger wohl, die aus Vater und Mutter zusammengesetzte Elterninstanz), hat auch das schwache, hilflose, allen in der Außenwelt lauernden Gefahren ausgesetzte Kind beschützt und bewacht; in seiner Obhut hat es sich sicher gefühlt. Selbst erwachsen geworden, weiß sich der Mensch zwar im Besitz größerer Kräfte, aber auch seine Einsicht in die Gefahren des Lebens hat zugenommen, und er schließt mit Recht, daß er im Grunde noch ebenso hilflos und ungeschützt geblieben ist wie in der Kindheit, daß er der Welt gegenüber noch immer Kind ist. Er mag also auch jetzt nicht auf den Schutz verzichten, den er als Kind genossen hat. Längst hat er aber auch erkannt, daß sein Vater ein in seiner Macht eng beschränktes, nicht mit allen Vorzügen ausgestattetes Wesen ist. Darum greift er auf das Erinnerungsbild des von ihm so überschätzten Vaters der Kinderzeit zurück, erhebt es zur Gottheit und rückt es in die Gegenwart und in die Realität. Die affektive Stärke dieses Erinnerungsbildes und die Fortdauer seiner Schutzbedürftigkeit tragen miteinander seinen Glauben an Gott.</w:t>
      </w:r>
    </w:p>
    <w:p w:rsidR="00E22C23" w:rsidRPr="00AF5815" w:rsidRDefault="00E22C23" w:rsidP="00E22C23">
      <w:pPr>
        <w:rPr>
          <w:rFonts w:ascii="Garamond" w:hAnsi="Garamond"/>
          <w:lang w:val="en-US"/>
        </w:rPr>
      </w:pPr>
      <w:r w:rsidRPr="00AF5815">
        <w:rPr>
          <w:rFonts w:ascii="Garamond" w:hAnsi="Garamond"/>
          <w:lang w:val="en-US"/>
        </w:rPr>
        <w:t xml:space="preserve">Auch der dritte Hauptpunkt des religiösen Programms, die ethische Forderung, fügt sich ungezwungen in diese Kindheitssituation ein. Ich erinnere Sie an den berühmten Ausspruch Kants, der den gestirnten Himmel und das Sittengesetz in unserer Brust in einem Atem nennt. So befremdend diese Zusammenstellung klingt, – denn was mögen die Himmelskörper mit der Frage zu tun haben, ob ein Menschenkind ein anderes liebt oder totschlägt? – so streift sie doch an eine große psychologische </w:t>
      </w:r>
      <w:r w:rsidRPr="00AF5815">
        <w:rPr>
          <w:rFonts w:ascii="Garamond" w:hAnsi="Garamond"/>
          <w:lang w:val="en-US"/>
        </w:rPr>
        <w:lastRenderedPageBreak/>
        <w:t xml:space="preserve">Wahrheit. Derselbe Vater (die Elterninstanz), der dem Kind das Leben gegeben und es vor den Gefahren desselben behütet hat, belehrte es auch, was es tun darf und was es unterlassen soll, wies es an, sich bestimmte Einschränkungen seiner Triebwünsche gefallen zu lassen, ließ es wissen, welche Rücksichten auf Eltern und Geschwister von ihm erwartet werden, wenn es ein geduldetes und gern gesehenes Mitglied des Familienkreises und später größerer Verbände werden will. Durch ein System von Liebesprämien und Strafen wird das Kind zur Kenntnis seiner sozialen Pflichten erzogen, wird es belehrt, daß seine Lebenssicherheit davon abhängt, daß die Eltern und dann auch die Anderen es lieben und an seine Liebe zu ihnen glauben können. </w:t>
      </w:r>
      <w:r w:rsidRPr="00AF5815">
        <w:rPr>
          <w:rFonts w:ascii="Garamond" w:hAnsi="Garamond"/>
        </w:rPr>
        <w:t xml:space="preserve">Alle diese Verhältnisse trägt dann der Mensch unverändert in die Religion ein. Die Verbote und Forderungen der Eltern leben als sittliches Gewissen in seiner Brust weiter; mit Hilfe desselben Systems von Lohn und Strafe regiert Gott die Menschenwelt, von der Erfüllung der ethischen Forderungen hängt es ab, welches Maß von Schutz und Glücksbefriedigung dem Einzelnen zugewiesen wird; in der Liebe zu Gott und im Bewußtsein, von ihm geliebt zu werden, ist die Sicherheit begründet, mit der man sich gegen die Gefahren der Außenwelt wie der menschlichen Mitwelt wappnet. </w:t>
      </w:r>
      <w:r w:rsidRPr="00AF5815">
        <w:rPr>
          <w:rFonts w:ascii="Garamond" w:hAnsi="Garamond"/>
          <w:lang w:val="en-US"/>
        </w:rPr>
        <w:t>Endlich hat man sich im Gebet einen direkten Einfluß auf den göttlichen Willen und damit einen Anteil an der göttlichen Allmacht gesichert.</w:t>
      </w:r>
    </w:p>
    <w:p w:rsidR="00E22C23" w:rsidRPr="00AF5815" w:rsidRDefault="00E22C23" w:rsidP="00E22C23">
      <w:pPr>
        <w:rPr>
          <w:rFonts w:ascii="Garamond" w:hAnsi="Garamond"/>
          <w:lang w:val="en-US"/>
        </w:rPr>
      </w:pPr>
      <w:r w:rsidRPr="00AF5815">
        <w:rPr>
          <w:rFonts w:ascii="Garamond" w:hAnsi="Garamond"/>
          <w:lang w:val="en-US"/>
        </w:rPr>
        <w:t xml:space="preserve">Ich weiß, während Sie mir zuhörten, haben sich Ihnen zahlreiche Fragestellungen aufgedrängt, auf die Sie gerne die Antwort hören möchten. Ich kann es hier und heute nicht unternehmen, aber ich bin zuversichtlich, daß keine dieser Detailuntersuchungen unseren Satz erschüttern würde, die religiöse Weltanschauung sei durch die Situation unserer Kindheit determiniert. Umso merkwürdiger dann, daß sie trotz ihres infantilen Charakters doch einen Vorläufer hat. Es gab ohne Zweifel eine Zeit ohne Religion, ohne Götter. Man heißt sie den Animismus. Die Welt war auch damals voll von menschenähnlichen geistigen Wesen, Dämonen nennen wir sie, alle Objekte der Außenwelt waren der Sitz von ihnen oder vielleicht identisch mit ihnen, aber es gab keine Übermacht, die sie alle erschaffen hatte und auch weiter beherrschte und an die man sich um Schutz und Abhilfe wenden konnte. Die Dämonen des Animismus waren dem Menschen zumeist feindlich gesinnt, aber es scheint, daß der Mensch sich damals mehr zutraute als später. Er litt gewiß beständig unter schwerster Angst vor diesen bösen Geistern, aber er erwehrte sich ihrer durch bestimmte Handlungen, denen er die Kraft zuschrieb, sie zu verjagen. Auch hielt er sich sonst nicht für machtlos. Wenn er an die Natur einen Wunsch zu stellen hatte, z. B. Regen wollte, so richtete er nicht ein Gebet an den Wettergott, sondern er übte einen Zauber, von dem er eine direkte Beeinflussung der Natur erwartete, machte selbst etwas dem Regen ähnliches. Im Kampf gegen die Mächte der Umwelt war seine erste Waffe die </w:t>
      </w:r>
      <w:r w:rsidRPr="00AF5815">
        <w:rPr>
          <w:rFonts w:ascii="Garamond" w:hAnsi="Garamond"/>
          <w:i/>
          <w:iCs/>
          <w:lang w:val="en-US"/>
        </w:rPr>
        <w:t>Magie</w:t>
      </w:r>
      <w:r w:rsidRPr="00AF5815">
        <w:rPr>
          <w:rFonts w:ascii="Garamond" w:hAnsi="Garamond"/>
          <w:lang w:val="en-US"/>
        </w:rPr>
        <w:t>, die erste Vorläuferin unserer heutigen Technik. Wir nehmen an, daß das Vertrauen in die Magie sich von der Überschätzung der eigenen intellektuellen Operationen ableitet, von dem Glauben an die »Allmacht der Gedanken«, den wir übrigens bei unseren Zwangsneurotikern wiederfinden. Wir könnten uns vorstellen, daß die Menschen jener Zeit besonders stolz auf ihre Erwerbungen in der Sprache waren, mit denen eine große Erleichterung des Denkens einhergehen mußte. Sie verliehen dem Wort Zauberkraft. Dieser Zug wurde später von der Religion übernommen. »Und Gott sprach: es werde Licht, und es ward Licht.« Übrigens zeigt die Tatsache der magischen Handlungen, daß der animistische Mensch sich nicht einfach auf die Kraft seiner Wünsche verließ. Er erwartete den Erfolg vielmehr von der Ausführung eines Aktes, der die Natur zur Nachahmung veranlassen sollte. Wenn er Regen wollte, schüttete er selbst Wasser aus; wenn er den Boden zur Fruchtbarkeit anregen wollte, gab er ihm das Schauspiel eines Geschlechtsverkehrs auf dem Felde.</w:t>
      </w:r>
    </w:p>
    <w:p w:rsidR="00E22C23" w:rsidRPr="00AF5815" w:rsidRDefault="00E22C23" w:rsidP="00E22C23">
      <w:pPr>
        <w:rPr>
          <w:rFonts w:ascii="Garamond" w:hAnsi="Garamond"/>
          <w:lang w:val="en-US"/>
        </w:rPr>
      </w:pPr>
      <w:r w:rsidRPr="00AF5815">
        <w:rPr>
          <w:rFonts w:ascii="Garamond" w:hAnsi="Garamond"/>
          <w:lang w:val="en-US"/>
        </w:rPr>
        <w:t xml:space="preserve">Sie wissen, wie schwer etwas untergeht, was sich einmal psychischen Ausdruck verschafft hat. Sie werden also nicht überrascht sein zu hören, daß viele Äußerungen des Animismus sich bis auf den heutigen Tag erhalten haben, meist als sogenannter Aberglaube, neben und hinter der Religion. Aber mehr noch, Sie werden das Urteil kaum abweisen können, daß unsere Philosophie wesentliche Züge der animistischen Denkweise bewahrt hat, die Überschätzung des Wortzaubers, den Glauben, daß die realen Vorgänge in der Welt die Wege gehen, die unser Denken ihnen anweisen will. Es wäre freilich ein Animismus ohne </w:t>
      </w:r>
      <w:r w:rsidRPr="00AF5815">
        <w:rPr>
          <w:rFonts w:ascii="Garamond" w:hAnsi="Garamond"/>
          <w:lang w:val="en-US"/>
        </w:rPr>
        <w:lastRenderedPageBreak/>
        <w:t>magische Handlungen. Anderseits dürfen wir erwarten, daß es schon in jenem Zeitalter irgendeine Art von Ethik gegeben hat, Vorschriften für den Verkehr der Menschen untereinander, aber nichts spricht dafür, daß sie inniger an den animistischen Glauben geknüpft waren. Wahrscheinlich waren sie der unmittelbare Ausdruck der Machtverhältnisse und praktischen Bedürfnisse.</w:t>
      </w:r>
    </w:p>
    <w:p w:rsidR="00E22C23" w:rsidRPr="00AF5815" w:rsidRDefault="00E22C23" w:rsidP="00E22C23">
      <w:pPr>
        <w:rPr>
          <w:rFonts w:ascii="Garamond" w:hAnsi="Garamond"/>
          <w:lang w:val="en-US"/>
        </w:rPr>
      </w:pPr>
      <w:r w:rsidRPr="00AF5815">
        <w:rPr>
          <w:rFonts w:ascii="Garamond" w:hAnsi="Garamond"/>
          <w:lang w:val="en-US"/>
        </w:rPr>
        <w:t xml:space="preserve">Was den Übergang vom Animismus zur Religion erzwungen hat, wäre sehr wissenswert, aber Sie können sich vorstellen, welches Dunkel heute noch diese Urzeiten der Entwicklungsgeschichte des Menschengeistes verhüllt. Es scheint Tatsache, daß die erste Erscheinungsform der Religion der merkwürdige Totemismus war, die Tierverehrung, in dessen Gefolge auch die ersten ethischen Gebote, die Tabus, auftraten. Ich habe seinerzeit in einem Buche </w:t>
      </w:r>
      <w:r w:rsidRPr="00AF5815">
        <w:rPr>
          <w:rFonts w:ascii="Garamond" w:hAnsi="Garamond"/>
          <w:i/>
          <w:iCs/>
          <w:lang w:val="en-US"/>
        </w:rPr>
        <w:t>Totem und Tabu</w:t>
      </w:r>
      <w:r w:rsidRPr="00AF5815">
        <w:rPr>
          <w:rFonts w:ascii="Garamond" w:hAnsi="Garamond"/>
          <w:lang w:val="en-US"/>
        </w:rPr>
        <w:t xml:space="preserve"> eine Vermutung ausgearbeitet, die diese Wandlung auf einen Umsturz in den Verhältnissen der menschlichen Familie zurückführt. Die Hauptleistung der Religion im Vergleich zum Animismus liegt in der psychischen Bindung der Dämonenangst. Doch hat sich als Überlebsel der Vorzeit der böse Geist eine Stelle im System der Religion gewahrt.</w:t>
      </w:r>
    </w:p>
    <w:p w:rsidR="00E22C23" w:rsidRPr="00AF5815" w:rsidRDefault="00E22C23" w:rsidP="00E22C23">
      <w:pPr>
        <w:rPr>
          <w:rFonts w:ascii="Garamond" w:hAnsi="Garamond"/>
          <w:lang w:val="en-US"/>
        </w:rPr>
      </w:pPr>
      <w:r w:rsidRPr="00AF5815">
        <w:rPr>
          <w:rFonts w:ascii="Garamond" w:hAnsi="Garamond"/>
          <w:lang w:val="en-US"/>
        </w:rPr>
        <w:t>Ist dies die Vorgeschichte der religiösen Weltanschauung, so wenden wir uns jetzt zu dem, was seither geschehen und noch unter unseren Augen vor sich geht. Der wissenschaftliche Geist, an der Beobachtung der Naturvorgänge erstarkt, hat im Laufe der Zeiten begonnen, die Religion wie eine menschliche Angelegenheit zu behandeln und sie einer kritischen Prüfung zu unterziehen. Der konnte sie nicht standhalten. Es waren zunächst ihre Wunderberichte, die Befremden und Unglauben hervorriefen, weil sie allem widersprachen, was die nüchterne Beobachtung gelehrt hatte, und überdeutlich den Einfluß menschlicher Phantasietätigkeit verrieten. Dann mußten ihre Lehren zur Erklärung der bestehenden Welt Ablehnung finden, denn sie zeugten von einer Unwissenheit, die den Stempel alter Zeiten an sich trug und der man sich dank gesteigerter Vertrautheit mit den Naturgesetzen überlegen wußte. Daß die Welt durch Zeugungs- oder Schöpfungsakte entstanden sein sollte, analog der Entstehung des einzelnen Menschen, erschien nicht mehr als die nächste, selbstverständliche Annahme, seitdem sich dem Denken die Unterscheidung von belebten und seelenvollen Wesen und einer unbelebten Natur aufgedrängt hatte, mit der das Festhalten am ursprünglichen Animismus unmöglich wurde. Nicht zu übersehen ist auch der Einfluß des vergleichenden Studiums verschiedener religiöser Systeme und der Eindruck ihrer gegenseitigen Ausschließung und ihrer Intoleranz gegeneinander.</w:t>
      </w:r>
    </w:p>
    <w:p w:rsidR="00E22C23" w:rsidRPr="00AF5815" w:rsidRDefault="00E22C23" w:rsidP="00E22C23">
      <w:pPr>
        <w:rPr>
          <w:rFonts w:ascii="Garamond" w:hAnsi="Garamond"/>
          <w:lang w:val="en-US"/>
        </w:rPr>
      </w:pPr>
      <w:r w:rsidRPr="00AF5815">
        <w:rPr>
          <w:rFonts w:ascii="Garamond" w:hAnsi="Garamond"/>
          <w:lang w:val="en-US"/>
        </w:rPr>
        <w:t>An diesen Vorübungen erstarkt, hat der wissenschaftliche Geist endlich den Mut gewonnen, sich an die Prüfung der bedeutsamsten und affektiv wertvollsten Stücke der religiösen Weltanschauung zu wagen. Man hätte es immer sehen können, aber man getraute sich erst spät es auszusprechen, daß auch die Behauptungen der Religion, die dem Menschen Schutz und Glück versprechen, wenn er nur gewisse ethische Anforderungen erfüllt, sich als unglaubwürdig erweisen. Es scheint nicht zuzutreffen, daß es eine Macht im Weltall gibt, die mit elterlicher Sorgfalt über das Wohlergehen des Einzelnen wacht und alles, was ihn betrifft, zu glücklichem Ende leitet. Vielmehr sind die Schicksale der Menschen weder mit der Annahme der Weltgüte noch mit der – ihr zum Teil widersprechenden – einer Weltgerechtigkeit zu vereinen. Erdbeben, Sturmfluten, Feuersbrünste machen keinen Unterschied zwischen dem Guten und Frommen und dem Bösewicht oder dem Ungläubigen. Auch wo nicht die unbelebte Natur in Betracht kommt und insoferne das Schicksal des einzelnen Menschen von seinen Beziehungen zu den anderen Menschen abhängt, ist es keineswegs die Regel, daß die Tugend belohnt wird und das Böse seine Strafe findet, sondern oft genug reißt der Gewalttätige, Schlaue, Rücksichtslose die beneideten Güter der Welt an sich und der Fromme geht leer aus. Dunkle, fühllose und lieblose Mächte bestimmen das menschliche Schicksal; das System von Belohnungen und Strafen, dem die Religion die Weltherrschaft zugeschrieben hat, scheint nicht zu existieren. Hier ist wiederum ein Anlaß, ein Stück der Beseelung, das sich aus dem Animismus in die Religion gerettet hatte, fallenzulassen.</w:t>
      </w:r>
    </w:p>
    <w:p w:rsidR="00E22C23" w:rsidRPr="00AF5815" w:rsidRDefault="00E22C23" w:rsidP="00E22C23">
      <w:pPr>
        <w:rPr>
          <w:rFonts w:ascii="Garamond" w:hAnsi="Garamond"/>
          <w:lang w:val="en-US"/>
        </w:rPr>
      </w:pPr>
      <w:r w:rsidRPr="00AF5815">
        <w:rPr>
          <w:rFonts w:ascii="Garamond" w:hAnsi="Garamond"/>
          <w:lang w:val="en-US"/>
        </w:rPr>
        <w:lastRenderedPageBreak/>
        <w:t>Den letzten Beitrag zur Kritik der religiösen Weltanschauung hat die Psychoanalyse geleistet, indem sie auf den Ursprung der Religion aus der kindlichen Hilflosigkeit hinwies und ihre Inhalte aus den ins reife Leben fortgesetzten Wünschen und Bedürfnissen der Kinderzeit ableitete. Das bedeutete nicht gerade eine Widerlegung der Religion, aber es war doch eine notwendige Abrundung unseres Wissens um sie und wenigstens in einem Punkt ein Widerspruch, da sie selbst göttliche Abkunft für sich in Anspruch nimmt. Freilich hat sie damit nicht unrecht, wenn man unsere Deutung Gottes annimmt.</w:t>
      </w:r>
    </w:p>
    <w:p w:rsidR="00E22C23" w:rsidRPr="00AF5815" w:rsidRDefault="00E22C23" w:rsidP="00E22C23">
      <w:pPr>
        <w:rPr>
          <w:rFonts w:ascii="Garamond" w:hAnsi="Garamond"/>
          <w:lang w:val="en-US"/>
        </w:rPr>
      </w:pPr>
      <w:r w:rsidRPr="00AF5815">
        <w:rPr>
          <w:rFonts w:ascii="Garamond" w:hAnsi="Garamond"/>
          <w:lang w:val="en-US"/>
        </w:rPr>
        <w:t>Das zusammenfassende Urteil der Wissenschaft über die religiöse Weltanschauung lautet also: Während die einzelnen Religionen miteinander hadern, welche von ihnen im Besitz der Wahrheit sei, meinen wir, daß der Wahrheitsgehalt der Religion überhaupt vernachlässigt werden darf. Religion ist ein Versuch, die Sinneswelt, in die wir gestellt sind, mittels der Wunschwelt zu bewältigen, die wir infolge biologischer und psychologischer Notwendigkeiten in uns entwickelt haben. Aber sie kann es nicht leisten. Ihre Lehren tragen das Gepräge der Zeiten, in denen sie entstanden sind, der unwissenden Kinderzeiten der Menschheit. Ihre Tröstungen verdienen kein Vertrauen. Die Erfahrung lehrt uns: Die Welt ist keine Kinderstube. Die ethischen Forderungen, denen die Religion Nachdruck verleihen will, verlangen vielmehr eine andere Begründung, denn sie sind der menschlichen Gesellschaft unentbehrlich und es ist gefährlich, ihre Befolgung an die religiöse Gläubigkeit zu knüpfen. Versucht man, die Religion in den Entwicklungsgang der Menschheit einzureihen, so erscheint sie nicht als ein Dauererwerb, sondern als ein Gegenstück der Neurose, die der einzelne Kulturmensch auf seinem Wege von der Kindheit zur Reife durchzumachen hat.</w:t>
      </w:r>
    </w:p>
    <w:p w:rsidR="00E22C23" w:rsidRPr="00AF5815" w:rsidRDefault="00E22C23" w:rsidP="00E22C23">
      <w:pPr>
        <w:rPr>
          <w:rFonts w:ascii="Garamond" w:hAnsi="Garamond"/>
          <w:lang w:val="en-US"/>
        </w:rPr>
      </w:pPr>
      <w:r w:rsidRPr="00AF5815">
        <w:rPr>
          <w:rFonts w:ascii="Garamond" w:hAnsi="Garamond"/>
          <w:lang w:val="en-US"/>
        </w:rPr>
        <w:t>Es steht Ihnen natürlich frei, an dieser meiner Darstellung Kritik zu üben; ich werde Ihnen dabei selbst entgegenkommen. Was ich Ihnen über die allmähliche Abbröckelung der religiösen Weltanschauung gesagt habe, war gewiß in seiner Verkürzung unvollständig; die Reihenfolge der einzelnen Vorgänge war nicht ganz richtig angegeben, das Zusammenwirken verschiedener Kräfte beim Erwachen des wissenschaftlichen Geistes wurde nicht verfolgt. Ich habe auch die Veränderungen außer acht gelassen, die sich in der religiösen Weltanschauung selbst während der Zeit ihrer unbestrittenen Herrschaft und dann unter dem Einfluß der erwachenden Kritik vollzogen haben. Endlich habe ich meine Erörterung strenggenommen auf eine einzige Gestaltung der Religion, die der abendländischen Völker, eingeschränkt. Ich habe mir sozusagen ein Phantom geschaffen zum Zweck einer beschleunigten, möglichst eindrucksvollen Demonstration. Lassen wir die Frage beiseite, ob mein Wissen überhaupt hingereicht hätte, es besser und vollständiger zu machen. Ich weiß, alles, was ich Ihnen gesagt habe, können Sie anderswo finden, besser finden, nichts davon ist neu. Lassen Sie mich die Überzeugung aussprechen, daß die sorgfältigste Bearbeitung des Stoffs der Religionsprobleme unser Ergebnis nicht erschüttern würde.</w:t>
      </w:r>
    </w:p>
    <w:p w:rsidR="00E22C23" w:rsidRPr="00AF5815" w:rsidRDefault="00E22C23" w:rsidP="00E22C23">
      <w:pPr>
        <w:rPr>
          <w:rFonts w:ascii="Garamond" w:hAnsi="Garamond"/>
          <w:lang w:val="en-US"/>
        </w:rPr>
      </w:pPr>
      <w:r w:rsidRPr="00AF5815">
        <w:rPr>
          <w:rFonts w:ascii="Garamond" w:hAnsi="Garamond"/>
          <w:lang w:val="en-US"/>
        </w:rPr>
        <w:t>Sie wissen, daß der Kampf des wissenschaftlichen Geistes gegen die religiöse Weltanschauung nicht zu Ende gekommen ist, er spielt sich noch in der Gegenwart unter unseren Augen ab. Sowenig sonst die Psychoanalyse von der Waffe der Polemik Gebrauch macht, so wollen wir es uns doch nicht versagen, in diesen Streit Einsicht zu nehmen. Wir erreichen dabei vielleicht eine weitere Klärung unserer Stellung zu den Weltanschauungen. Sie werden sehen, wie leicht sich einige der Argumente, die die Anhänger der Religion vorbringen, zurückweisen lassen: andere mögen sich allerdings der Widerlegung entziehen.</w:t>
      </w:r>
    </w:p>
    <w:p w:rsidR="00E22C23" w:rsidRPr="00AF5815" w:rsidRDefault="00E22C23" w:rsidP="00E22C23">
      <w:pPr>
        <w:rPr>
          <w:rFonts w:ascii="Garamond" w:hAnsi="Garamond"/>
          <w:lang w:val="en-US"/>
        </w:rPr>
      </w:pPr>
      <w:r w:rsidRPr="00AF5815">
        <w:rPr>
          <w:rFonts w:ascii="Garamond" w:hAnsi="Garamond"/>
          <w:lang w:val="en-US"/>
        </w:rPr>
        <w:t xml:space="preserve">Die erste Einwendung, die man hört, lautet, es sei eine Vermessenheit der Wissenschaft, die Religion zum Gegenstand ihrer Untersuchungen zu nehmen, denn diese sei etwas Souveränes, jeder menschlichen Verstandestätigkeit Überlegenes, dem man mit klügelnder Kritik nicht nahekommen darf. Mit anderen Worten, die Wissenschaft ist zur Beurteilung der Religion nicht zuständig. Sie sei sonst ganz brauchbar und schätzenswert, solange sie sich auf ihr Gebiet beschränkt, aber die Religion sei nicht ihr Gebiet, da habe sie nichts zu suchen. Läßt man sich durch diese barsche Abweisung nicht abhalten und fragt weiter, worauf sich dieser Anspruch auf eine Ausnahmsstellung unter allen menschlichen Angelegenheiten gründet, so erhält man zur Antwort, wenn man überhaupt einer Antwort gewürdigt wird, die Religion darf </w:t>
      </w:r>
      <w:r w:rsidRPr="00AF5815">
        <w:rPr>
          <w:rFonts w:ascii="Garamond" w:hAnsi="Garamond"/>
          <w:lang w:val="en-US"/>
        </w:rPr>
        <w:lastRenderedPageBreak/>
        <w:t xml:space="preserve">nicht mit menschlichem Maß gemessen werden, denn sie ist göttlicher Herkunft, uns durch Offenbarung von einem Geist gegeben, den der Menschengeist nicht zu begreifen vermag. Man sollte meinen, nichts sei leichter abzuweisen als dieses Argument, es ist doch eine offenkundige </w:t>
      </w:r>
      <w:r w:rsidRPr="00AF5815">
        <w:rPr>
          <w:rFonts w:ascii="Garamond" w:hAnsi="Garamond"/>
          <w:i/>
          <w:iCs/>
          <w:lang w:val="en-US"/>
        </w:rPr>
        <w:t>petitio principii</w:t>
      </w:r>
      <w:r w:rsidRPr="00AF5815">
        <w:rPr>
          <w:rFonts w:ascii="Garamond" w:hAnsi="Garamond"/>
          <w:lang w:val="en-US"/>
        </w:rPr>
        <w:t xml:space="preserve">, ein </w:t>
      </w:r>
      <w:r w:rsidRPr="00AF5815">
        <w:rPr>
          <w:rFonts w:ascii="Garamond" w:hAnsi="Garamond"/>
          <w:i/>
          <w:iCs/>
          <w:lang w:val="en-US"/>
        </w:rPr>
        <w:t>begging the question</w:t>
      </w:r>
      <w:r w:rsidRPr="00AF5815">
        <w:rPr>
          <w:rFonts w:ascii="Garamond" w:hAnsi="Garamond"/>
          <w:lang w:val="en-US"/>
        </w:rPr>
        <w:t>, ich weiß keinen guten Ausdruck dafür im Deutschen. Es wird eben in Frage gestellt, ob es einen göttlichen Geist und seine Offenbarung gibt, und da ist es sicherlich keine Entscheidung, wenn gesagt wird, das könne man nicht fragen, denn die Gottheit darf nicht in Frage gestellt werden. Es ist hier wie gelegentlich in der analytischen Arbeit. Wenn ein sonst verständiger Patient eine bestimmte Zumutung mit einer besonders dummen Begründung zurückweist, so verbürgt diese logische Schwäche die Existenz eines besonders starken Motivs zum Widerspruch, das nur affektiver Natur, eine Gefühlsbindung sein kann.</w:t>
      </w:r>
    </w:p>
    <w:p w:rsidR="00E22C23" w:rsidRPr="00AF5815" w:rsidRDefault="00E22C23" w:rsidP="00E22C23">
      <w:pPr>
        <w:rPr>
          <w:rFonts w:ascii="Garamond" w:hAnsi="Garamond"/>
          <w:lang w:val="en-US"/>
        </w:rPr>
      </w:pPr>
      <w:r w:rsidRPr="00AF5815">
        <w:rPr>
          <w:rFonts w:ascii="Garamond" w:hAnsi="Garamond"/>
          <w:lang w:val="en-US"/>
        </w:rPr>
        <w:t>Man kann auch eine andere Antwort erhalten, in der ein solches Motiv offen eingestanden wird. Die Religion darf nicht kritisch geprüft werden, weil sie das Höchste, Wertvollste, Erhabenste ist, was der menschliche Geist hervorgebracht hat, weil sie den tiefsten Gefühlen Ausdruck gibt, allein die Welt erträglich und das Leben menschenwürdig macht. Darauf braucht man nicht zu antworten, indem man die Einschätzung der Religion bestreitet, sondern indem man die Aufmerksamkeit auf einen anderen Sachverhalt richtet. Man betont, daß es sich gar nicht um einen Übergriff des wissenschaftlichen Geistes auf das Gebiet der Religion handelt, sondern im Gegenteil um einen Übergriff der Religion auf die Sphäre des wissenschaftlichen Denkens. Was immer Wert und Bedeutung der Religion sein mögen, sie hat kein Recht, das Denken irgendwie zu beschränken, also auch nicht das Recht, sich selbst von der Anwendung des Denkens auszunehmen.</w:t>
      </w:r>
    </w:p>
    <w:p w:rsidR="00E22C23" w:rsidRPr="00AF5815" w:rsidRDefault="00E22C23" w:rsidP="00E22C23">
      <w:pPr>
        <w:rPr>
          <w:rFonts w:ascii="Garamond" w:hAnsi="Garamond"/>
          <w:lang w:val="en-US"/>
        </w:rPr>
      </w:pPr>
      <w:r w:rsidRPr="00AF5815">
        <w:rPr>
          <w:rFonts w:ascii="Garamond" w:hAnsi="Garamond"/>
          <w:lang w:val="en-US"/>
        </w:rPr>
        <w:t>Das wissenschaftliche Denken ist in seinem Wesen nicht verschieden von der normalen Denktätigkeit, die wir alle, Gläubige wie Ungläubige, bei der Besorgung unserer Angelegenheiten im Leben verwenden. Es hat sich nur in einigen Zügen besonders gestaltet, es interessiert sich auch für Dinge, die keinen unmittelbaren, greifbaren Nutzen haben, es bemüht sich, individuelle Faktoren und affektive Beeinflussungen sorgfältig fernzuhalten, prüft die Sinneswahrnehmungen, auf die es seine Schlüsse baut, strenger auf ihre Zuverlässigkeit, schafft sich neue Wahrnehmungen, die mit den Mitteln des Alltags nicht zu erreichen sind, und isoliert die Bedingungen dieser Neuerfahrungen in absichtlich variierten Versuchen. Sein Bestreben ist, die Übereinstimmung mit der Realität zu erreichen, d. h. mit dem, was außerhalb von uns, unabhängig von uns besteht und, wie uns die Erfahrung gelehrt hat, für die Erfüllung oder Vereitelung unserer Wünsche maßgebend ist. Diese Übereinstimmung mit der realen Außenwelt heißen wir Wahrheit. Sie bleibt das Ziel der wissenschaftlichen Arbeit, auch wenn wir deren praktischen Wert außer Augen lassen. Wenn also die Religion behauptet, daß sie die Wissenschaft ersetzen kann, daß sie darum, weil sie wohltuend und erhebend ist, auch wahr sein muß, so ist das in der Tat ein Übergriff, den man im allgemeinsten Interesse zurückweisen sollte. Es ist eine starke Zumutung an den Menschen, der gelernt hat, seine gewöhnlichen Geschäfte nach den Regeln der Erfahrung und unter Rücksicht auf die Realität zu führen, daß er die Besorgung gerade seiner intimsten Interessen einer Instanz übertragen sollte, die die Befreiung von den Vorschriften des rationellen Denkens als ihr Vorrecht in Anspruch nimmt. Und was den Schutz betrifft, den die Religion ihren Gläubigen verspricht, so meine ich, niemand von uns würde auch nur in ein Automobil einsteigen wollen, dessen Lenker erklärt, er fahre unbeirrt durch die Regeln des Straßenverkehrs nach den Impulsen seiner von hohem Schwung getragenen Phantasie.</w:t>
      </w:r>
    </w:p>
    <w:p w:rsidR="00E22C23" w:rsidRPr="00AF5815" w:rsidRDefault="00E22C23" w:rsidP="00E22C23">
      <w:pPr>
        <w:rPr>
          <w:rFonts w:ascii="Garamond" w:hAnsi="Garamond"/>
          <w:lang w:val="en-US"/>
        </w:rPr>
      </w:pPr>
      <w:r w:rsidRPr="00AF5815">
        <w:rPr>
          <w:rFonts w:ascii="Garamond" w:hAnsi="Garamond"/>
          <w:lang w:val="en-US"/>
        </w:rPr>
        <w:t xml:space="preserve">Das Denkverbot, das die Religion im Dienste ihrer Selbsterhaltung ausgehen läßt, ist auch keineswegs ungefährlich, weder für den Einzelnen noch für die menschliche Gemeinschaft. Die analytische Erfahrung hat uns gelehrt, daß ein solches Verbot, wenn auch ursprünglich auf ein bestimmtes Gebiet beschränkt, die Neigung hat sich auszubreiten und dann eine Ursache schwerer Hemmungen in der Lebenshaltung der Person wird. Diese Wirkung kann man auch am weiblichen Geschlecht beobachten als Folge des Verbots, sich auch nur im Denken mit seiner Sexualität zu beschäftigen. Die Schädlichkeit der religiösen Denkhemmung vermag die Biographik in der Lebensgeschichte fast aller hervorragenden Individuen </w:t>
      </w:r>
      <w:r w:rsidRPr="00AF5815">
        <w:rPr>
          <w:rFonts w:ascii="Garamond" w:hAnsi="Garamond"/>
          <w:lang w:val="en-US"/>
        </w:rPr>
        <w:lastRenderedPageBreak/>
        <w:t>vergangener Zeiten nachzuweisen. Anderseits gehört der Intellekt – oder nennen wir ihn bei seinem uns vertrauten Namen: die Vernunft – zu den Mächten, von denen man am ehesten einen einigenden Einfluß auf die Menschen erwarten darf, die Menschen, die so schwer zusammenzuhalten und darum kaum zu regieren sind. Man stelle sich vor, wie unmöglich die menschliche Gesellschaft würde, wenn jedermann auch nur sein eigenes Einmaleins und seine besondere Längen- und Gewichtseinheit hätte. Es ist unsere beste Zukunftshoffnung, daß der Intellekt – der wissenschaftliche Geist, die Vernunft – mit der Zeit die Diktatur im menschlichen Seelenleben erringen wird. Das Wesen der Vernunft bürgt dafür, daß sie dann nicht unterlassen wird, den menschlichen Gefühlsregungen und was von ihnen bestimmt wird die ihnen gebührende Stellung einzuräumen. Aber der gemeinsame Zwang einer solchen Herrschaft der Vernunft wird sich als das stärkste einigende Band unter den Menschen erweisen und weitere Einigungen anbahnen. Was sich, wie das Denkverbot der Religion, einer solchen Entwicklung widersetzt, ist eine Gefahr für die Zukunft der Menschheit.</w:t>
      </w:r>
    </w:p>
    <w:p w:rsidR="00E22C23" w:rsidRPr="00AF5815" w:rsidRDefault="00E22C23" w:rsidP="00E22C23">
      <w:pPr>
        <w:rPr>
          <w:rFonts w:ascii="Garamond" w:hAnsi="Garamond"/>
          <w:lang w:val="en-US"/>
        </w:rPr>
      </w:pPr>
      <w:r w:rsidRPr="00AF5815">
        <w:rPr>
          <w:rFonts w:ascii="Garamond" w:hAnsi="Garamond"/>
          <w:lang w:val="en-US"/>
        </w:rPr>
        <w:t>Man kann nun fragen: Warum macht die Religion diesem für sie aussichtslosen Streit nicht ein Ende, indem sie frei heraus erklärt: »Es ist richtig, daß ich Euch das nicht geben kann, was man gemeinhin Wahrheit nennt; dafür müßt Ihr Euch an die Wissenschaft halten. Aber was ich zu geben habe, ist ungleich schöner, trostreicher und erhebender als alles, was Ihr von der Wissenschaft bekommen könnt. Und darum sage ich Euch, es ist wahr in einem anderen, höheren Sinn.« Die Antwort ist leicht zu finden. Die Religion kann dieses Zugeständnis nicht machen, weil sie damit jeden Einfluß auf die Menge einbüßen würde. Der gemeine Mann kennt nur eine Wahrheit im gemeinen Sinn des Wortes. Was eine höhere oder höchste Wahrheit sein soll, kann er sich nicht vorstellen. Die Wahrheit erscheint ihm so wenig der Steigerung fähig wie der Tod, und den Sprung vom Schönen zum Wahren kann er nicht mitmachen. Vielleicht denken Sie mit mir, er tut recht daran.</w:t>
      </w:r>
    </w:p>
    <w:p w:rsidR="00E22C23" w:rsidRPr="00AF5815" w:rsidRDefault="00E22C23" w:rsidP="00E22C23">
      <w:pPr>
        <w:rPr>
          <w:rFonts w:ascii="Garamond" w:hAnsi="Garamond"/>
          <w:lang w:val="en-US"/>
        </w:rPr>
      </w:pPr>
      <w:r w:rsidRPr="00AF5815">
        <w:rPr>
          <w:rFonts w:ascii="Garamond" w:hAnsi="Garamond"/>
          <w:lang w:val="en-US"/>
        </w:rPr>
        <w:t>Der Kampf ist also nicht zu Ende. Die Anhänger der religiösen Weltanschauung handeln nach dem alten Satz: Die beste Verteidigung ist der Angriff. Sie fragen: Wer ist denn diese Wissenschaft, die sich anmaßt, unsere Religion zu entwerten, die Millionen von Menschen durch lange Jahrtausende Heil und Trost gespendet hat? Was hat sie ihrerseits bereits geleistet? Was können wir ferner von ihr erwarten? Trost und Erhebung zu bringen, dazu ist sie nach eigenem Geständnis unfähig. Sehen wir also davon ab, obwohl das kein leichter Verzicht ist. Aber was ist's mit ihren Lehren? Kann sie uns sagen, wie die Welt geworden ist und welchem Schicksal sie entgegengeht? Kann sie uns auch nur ein zusammenhängendes Weltbild zeichnen, uns zeigen, wohin die unerklärten Phänomene des Lebens gehören, wie die geistigen Kräfte auf die träge Materie zu wirken vermögen? Wenn sie das könnte, würden wir ihr unsere Achtung nicht versagen. Aber nichts von alledem, kein Problem dieser Art hat sie noch gelöst. Sie gibt uns Bruchstücke angeblicher Erkenntnis, die sie nicht zur Übereinstimmung miteinander bringen kann, sammelt Beobachtungen von Regelmäßigkeiten im Ablauf der Geschehnisse, die sie mit dem Namen von Gesetzen auszeichnet und ihren gewagten Deutungen unterwirft. Und mit welch geringem Grad von Sicherheit stattet sie ihre Ergebnisse aus! Alles, was sie lehrt, gilt nur vorläufig; was man heute als höchste Weisheit anpreist, wird morgen verworfen und wiederum nur probeweise durch anderes ersetzt. Der letzte Irrtum heißt dann Wahrheit. Und dieser Wahrheit sollen wir unser höchstes Gut zum Opfer bringen!</w:t>
      </w:r>
    </w:p>
    <w:p w:rsidR="00E22C23" w:rsidRPr="00AF5815" w:rsidRDefault="00E22C23" w:rsidP="00E22C23">
      <w:pPr>
        <w:rPr>
          <w:rFonts w:ascii="Garamond" w:hAnsi="Garamond"/>
          <w:lang w:val="en-US"/>
        </w:rPr>
      </w:pPr>
      <w:r w:rsidRPr="00AF5815">
        <w:rPr>
          <w:rFonts w:ascii="Garamond" w:hAnsi="Garamond"/>
          <w:lang w:val="en-US"/>
        </w:rPr>
        <w:t xml:space="preserve">Meine Damen und Herren! Ich denke, insofern Sie selbst der hier angegriffenen wissenschaftlichen Weltanschauung anhängen, werden Sie durch diese Kritik nicht allzutief erschüttert worden sein. Im kaiserlichen Österreich fiel einst ein Wort, an das ich hier erinnern möchte. Der alte Herr schrie einmal die Abordnung einer ihm unbequemen Partei an: Das ist keine gewöhnliche Opposition mehr, das ist faktiöse Opposition. So ähnlich werden Sie finden, die Vorwürfe gegen die Wissenschaft, daß sie die Welträtsel noch nicht gelöst, sind in ungerechter und gehässiger Weise übertrieben; für diese großen Leistungen hat sie bisher wirklich zu wenig Zeit gehabt. Die Wissenschaft ist sehr jung, eine spät entwickelte menschliche Tätigkeit. Halten wir uns vor, um nur einige Daten auszuwählen, es sind etwa 300 Jahre vergangen, seit Kepler die Gesetze der Planetenbewegung fand, die Lebenszeit Newtons, der das Licht in seine Farben </w:t>
      </w:r>
      <w:r w:rsidRPr="00AF5815">
        <w:rPr>
          <w:rFonts w:ascii="Garamond" w:hAnsi="Garamond"/>
          <w:lang w:val="en-US"/>
        </w:rPr>
        <w:lastRenderedPageBreak/>
        <w:t>zerlegte und die Lehre von der Schwerkraft aufstellte, ging 1727 zu Ende, also vor wenig mehr als 200 Jahren, kurz vor der Französischen Revolution erkannte Lavoisier den Sauerstoff. Ein Menschendasein ist sehr kurz im Vergleich zur Dauer der Menschheitsentwicklung, ich mag heute ein sehr alter Mann sein, aber immerhin war ich schon am Leben, als Ch. Darwin sein Werk über die Entstehung der Arten der Öffentlichkeit übergab. In dem gleichen Jahr 1859 wurde der Entdecker des Radiums, Pierre Curie, geboren. Und wenn Sie weiter zurückgehen, zu den Anfängen der exakten Naturwissenschaft bei den Griechen, zu Archimedes, Aristarch von Samos (um 250 v. Chr.), dem Vorläufer des Kopernikus, oder selbst zu den ersten Ansätzen der Astronomie bei den Babyloniern, so decken Sie damit nur einen kleinen Bruchteil des Zeitraums, den die Anthropologie für die Entwicklung des Menschen von seiner affenähnlichen Urform aus in Anspruch nimmt und der gewiß mehr als ein Jahrhunderttausend umfaßt. Und vergessen wir nicht, das letzte Jahrhundert hat eine solche Fülle von neuen Entdeckungen, eine so große Beschleunigung des wissenschaftlichen Fortschritts gebracht, daß wir allen Grund haben, der Zukunft der Wissenschaft mit Zuversicht entgegenzusehen.</w:t>
      </w:r>
    </w:p>
    <w:p w:rsidR="00E22C23" w:rsidRPr="00AF5815" w:rsidRDefault="00E22C23" w:rsidP="00E22C23">
      <w:pPr>
        <w:rPr>
          <w:rFonts w:ascii="Garamond" w:hAnsi="Garamond"/>
          <w:lang w:val="en-US"/>
        </w:rPr>
      </w:pPr>
      <w:r w:rsidRPr="00AF5815">
        <w:rPr>
          <w:rFonts w:ascii="Garamond" w:hAnsi="Garamond"/>
          <w:lang w:val="en-US"/>
        </w:rPr>
        <w:t>Den anderen Ausstellungen müssen wir in gewissem Umfang recht geben. So ist eben der Weg der Wissenschaft, langsam, tastend, mühselig. Es ist nicht zu leugnen und zu ändern. Kein Wunder, daß die Herren von der anderen Seite unzufrieden sind; sie sind verwöhnt, bei der Offenbarung haben sie es leichter gehabt. Der Fortschritt in der wissenschaftlichen Arbeit vollzieht sich ganz ähnlich wie in einer Analyse. Man bringt Erwartungen in die Arbeit mit, aber man muß sie zurückdrängen. Man erfährt durch die Beobachtung bald hier, bald dort etwas Neues, die Stücke passen zunächst nicht zusammen. Man stellt Vermutungen auf, macht Hilfskonstruktionen, die man zurücknimmt, wenn sie sich nicht bestätigen, man braucht viel Geduld, Bereitschaft für alle Möglichkeiten, verzichtet auf frühe Überzeugungen, um nicht unter deren Zwang neue, unerwartete Momente zu übersehen, und am Ende lohnt sich der ganze Aufwand, die zerstreuten Funde fügen sich zusammen, man gewinnt den Einblick in ein ganzes Stück des seelischen Geschehens, hat die Aufgabe erledigt und ist nun frei für die nächste. Nur die Hilfe, die das Experiment der Forschung leistet, muß man in der Analyse entbehren.</w:t>
      </w:r>
    </w:p>
    <w:p w:rsidR="00E22C23" w:rsidRPr="00AF5815" w:rsidRDefault="00E22C23" w:rsidP="00E22C23">
      <w:pPr>
        <w:rPr>
          <w:rFonts w:ascii="Garamond" w:hAnsi="Garamond"/>
          <w:lang w:val="en-US"/>
        </w:rPr>
      </w:pPr>
      <w:r w:rsidRPr="00AF5815">
        <w:rPr>
          <w:rFonts w:ascii="Garamond" w:hAnsi="Garamond"/>
          <w:lang w:val="en-US"/>
        </w:rPr>
        <w:t>An jener Kritik der Wissenschaft ist auch ein gutes Stück Übertreibung. Es ist nicht wahr, daß sie blind von einem Versuch zum andern torkelt, einen Irrtum mit einem anderen vertauscht. In der Regel arbeitet sie wie der Künstler am Tonmodell, wenn er am rohen Entwurf unermüdlich ändert, aufträgt und wegnimmt, bis er einen ihn befriedigenden Grad von Ähnlichkeit mit dem gesehenen oder vorgestellten Objekt erreicht hat. Auch gibt es, wenigstens in den älteren und reiferen Wissenschaften, schon heute einen soliden Grundstock, der nur modifiziert und ausgebaut, aber nicht mehr abgetragen wird. Es sieht nicht so arg aus im wissenschaftlichen Betrieb.</w:t>
      </w:r>
    </w:p>
    <w:p w:rsidR="00E22C23" w:rsidRPr="00AF5815" w:rsidRDefault="00E22C23" w:rsidP="00E22C23">
      <w:pPr>
        <w:rPr>
          <w:rFonts w:ascii="Garamond" w:hAnsi="Garamond"/>
          <w:lang w:val="en-US"/>
        </w:rPr>
      </w:pPr>
      <w:r w:rsidRPr="00AF5815">
        <w:rPr>
          <w:rFonts w:ascii="Garamond" w:hAnsi="Garamond"/>
          <w:lang w:val="en-US"/>
        </w:rPr>
        <w:t>Und endlich, was wollen diese leidenschaftlichen Verunglimpfungen der Wissenschaft bezwecken? Trotz ihrer heutigen Unvollkommenheit und der ihr anhaftenden Schwierigkeiten bleibt sie uns unentbehrlich und ist durch nichts anderes zu ersetzen. Sie ist ungeahnter Vervollkommnungen fähig, die religiöse Weltanschauung ist es nicht. Diese ist in allen wesentlichen Stücken fertig; wenn sie ein Irrtum war, muß sie es für immer bleiben. Keine Verkleinerung der Wissenschaft kann auch etwas an der Tatsache ändern, daß sie versucht, unserer Abhängigkeit von der realen Außenwelt gerecht zu werden, während die Religion Illusion ist und ihre Stärke aus dem Entgegenkommen gegen unsere Triebwunschregungen bezieht.</w:t>
      </w:r>
    </w:p>
    <w:p w:rsidR="00E22C23" w:rsidRPr="00AF5815" w:rsidRDefault="00E22C23" w:rsidP="00E22C23">
      <w:pPr>
        <w:rPr>
          <w:rFonts w:ascii="Garamond" w:hAnsi="Garamond"/>
          <w:lang w:val="en-US"/>
        </w:rPr>
      </w:pPr>
      <w:r w:rsidRPr="00AF5815">
        <w:rPr>
          <w:rFonts w:ascii="Garamond" w:hAnsi="Garamond"/>
          <w:lang w:val="en-US"/>
        </w:rPr>
        <w:t>Ich habe die Verpflichtung, noch anderer Weltanschauungen zu gedenken, die sich im Gegensatz zur wissenschaftlichen befinden; ich tue es aber ungern, da ich weiß, daß mir die richtige Kompetenz zu deren Beurteilung abgeht. Nehmen Sie also die folgenden Bemerkungen unter dem Eindruck dieses Bekenntnisses auf, und wenn Ihr Interesse geweckt worden ist, suchen Sie bessere Belehrung von anderer Seite.</w:t>
      </w:r>
    </w:p>
    <w:p w:rsidR="00E22C23" w:rsidRPr="00AF5815" w:rsidRDefault="00E22C23" w:rsidP="00E22C23">
      <w:pPr>
        <w:rPr>
          <w:rFonts w:ascii="Garamond" w:hAnsi="Garamond"/>
          <w:lang w:val="en-US"/>
        </w:rPr>
      </w:pPr>
      <w:r w:rsidRPr="00AF5815">
        <w:rPr>
          <w:rFonts w:ascii="Garamond" w:hAnsi="Garamond"/>
          <w:lang w:val="en-US"/>
        </w:rPr>
        <w:lastRenderedPageBreak/>
        <w:t>An erster Stelle wären hier die verschiedenen philosophischen Systeme zu nennen, die es gewagt haben, das Bild der Welt zu zeichnen, wie es sich im Geist des meist weltabgewandten Denkers spiegelte. Aber eine allgemeine Charakteristik der Philosophie und ihrer Methoden zu geben, habe ich bereits versucht, und zur Würdigung der einzelnen Systeme bin ich wohl so ungeeignet wie selten jemand. Wenden Sie sich also mit mir zu zwei anderen Erscheinungen, an denen man gerade in unserer Zeit nicht vorbeigehen kann.</w:t>
      </w:r>
    </w:p>
    <w:p w:rsidR="00E22C23" w:rsidRPr="00AF5815" w:rsidRDefault="00E22C23" w:rsidP="00E22C23">
      <w:pPr>
        <w:rPr>
          <w:rFonts w:ascii="Garamond" w:hAnsi="Garamond"/>
          <w:lang w:val="en-US"/>
        </w:rPr>
      </w:pPr>
      <w:r w:rsidRPr="00AF5815">
        <w:rPr>
          <w:rFonts w:ascii="Garamond" w:hAnsi="Garamond"/>
          <w:lang w:val="en-US"/>
        </w:rPr>
        <w:t>Die eine dieser Weltanschauungen ist gleichsam ein Gegenstück zum politischen Anarchismus, vielleicht eine Ausstrahlung von ihm. Es hat solche intellektuelle Nihilisten gewiß schon früher gegeben, aber gegenwärtig scheint ihnen die Relativitätstheorie der modernen Physik zu Kopf gestiegen zu sein. Sie gehen zwar von der Wissenschaft aus, aber sie verstehen es, sie zur Selbstaufhebung, zum Selbstmord zu drängen, tragen ihr die Aufgabe auf, sich selbst durch Widerlegung ihrer Ansprüche aus dem Weg zu räumen. Oft gewinnt man dabei den Eindruck, dieser Nihilismus sei nur eine zeitweilige Einstellung, die bis zur Erledigung jener Aufgabe festgehalten wird. Hat man die Wissenschaft beseitigt, so mag auf dem freigewordenen Raum sich irgendein Mystizismus oder doch wieder die alte religiöse Weltanschauung ausbreiten. Nach der anarchistischen Lehre gibt es überhaupt keine Wahrheit, keine gesicherte Erkenntnis der Außenwelt. Was wir für wissenschaftliche Wahrheit ausgeben, ist doch nur das Produkt unserer eigenen Bedürfnisse, wie sie sich unter den wechselnden äußeren Bedingungen äußern müssen, also wiederum Illusion. Im Grunde finden wir doch nur, was wir brauchen, sehen nur, was wir sehen wollen. Wir können nicht anders. Da das Kriterium der Wahrheit, die Übereinstimmung mit der Außenwelt, entfällt, ist es recht gleichgültig, welchen Meinungen wir anhängen. Alle sind gleich wahr und gleich falsch. Und niemand hat das Recht, den Andern des Irrtums zu zeihen.</w:t>
      </w:r>
    </w:p>
    <w:p w:rsidR="00E22C23" w:rsidRPr="00AF5815" w:rsidRDefault="00E22C23" w:rsidP="00E22C23">
      <w:pPr>
        <w:rPr>
          <w:rFonts w:ascii="Garamond" w:hAnsi="Garamond"/>
          <w:lang w:val="en-US"/>
        </w:rPr>
      </w:pPr>
      <w:r w:rsidRPr="00AF5815">
        <w:rPr>
          <w:rFonts w:ascii="Garamond" w:hAnsi="Garamond"/>
          <w:lang w:val="en-US"/>
        </w:rPr>
        <w:t>Für einen erkenntnistheoretisch gerichteten Geist könnte es eine Verlockung sein nachzuspüren, auf welchen Wegen, durch welche Sophismen es den Anarchisten gelingt, der Wissenschaft solche Endergebnisse abzulocken. Man müßte da auf Situationen stoßen, ähnlich wie sie sich aus dem bekannten Beispiel ableiten: Ein Kreter sagt: Alle Kreter sind Lügner, usw. Aber mir fehlen Lust und Fähigkeit, mich da tiefer einzulassen. Ich kann nur sagen, die anarchistische Lehre klingt so großartig überlegen, solange sie sich auf Meinungen über abstrakte Dinge bezieht; sie versagt beim ersten Schritt ins praktische Leben. Nun werden die Handlungen der Menschen von ihren Meinungen, Kenntnissen, geleitet, und es ist derselbe wissenschaftliche Geist, der über den Bau der Atome oder die Abstammung des Menschen spekuliert und der die Konstruktion einer tragfähigen Brücke entwirft. Wäre es wirklich gleichgültig, was wir meinen, gäbe es keine Kenntnisse, die unter unseren Meinungen durch ihre Übereinstimmung mit der Wirklichkeit ausgezeichnet sind, so dürften wir Brücken ebensowohl aus Pappe bauen wie aus Stein, dem Kranken ein Dezigramm Morphin einspritzen anstatt eines Zentigramms, Tränengas zur Narkose nehmen an Stelle von Äther. Aber auch die intellektuellen Anarchisten würden solche praktische Anwendungen ihrer Theorie energisch ablehnen.</w:t>
      </w:r>
    </w:p>
    <w:p w:rsidR="00E22C23" w:rsidRPr="00AF5815" w:rsidRDefault="00E22C23" w:rsidP="00E22C23">
      <w:pPr>
        <w:rPr>
          <w:rFonts w:ascii="Garamond" w:hAnsi="Garamond"/>
          <w:lang w:val="en-US"/>
        </w:rPr>
      </w:pPr>
      <w:r w:rsidRPr="00AF5815">
        <w:rPr>
          <w:rFonts w:ascii="Garamond" w:hAnsi="Garamond"/>
          <w:lang w:val="en-US"/>
        </w:rPr>
        <w:t xml:space="preserve">Die andere Gegnerschaft ist weit ernster zu nehmen, auch bedaure ich in diesem Fall am lebhaftesten die Unzulänglichkeit meiner Orientierung. Ich vermute, Sie wissen von dieser Sache mehr als ich und Sie haben längst Stellung für oder gegen den Marxismus genommen. Die Untersuchungen von K. Marx über die ökonomische Struktur der Gesellschaft und den Einfluß der verschiedenen Wirtschaftsformen auf alle Gebiete des Menschenlebens haben in unserer Zeit eine unbestreitbare Autorität gewonnen. Inwieweit sie im einzelnen das Richtige treffen oder irregehen, kann ich natürlich nicht wissen. Ich höre, daß es auch anderen, besser Unterrichteten nicht leicht wird. In der Marxschen Theorie haben mich Sätze befremdet wie, daß die Entwicklung der Gesellschaftsformen ein naturgeschichtlicher Prozeß sei, oder daß die Wandlungen in der sozialen Schichtung auf dem Weg eines dialektischen Prozesses auseinander hervorgehen. Ich bin gar nicht sicher, daß ich diese Behauptungen richtig verstehe, sie klingen auch nicht »materialistisch«, sondern eher wie ein Niederschlag jener dunklen Hegelschen Philosophie, durch deren Schule auch Marx gegangen ist. Ich weiß nicht, wie ich von meiner Laienmeinung frei werden kann, die </w:t>
      </w:r>
      <w:r w:rsidRPr="00AF5815">
        <w:rPr>
          <w:rFonts w:ascii="Garamond" w:hAnsi="Garamond"/>
          <w:lang w:val="en-US"/>
        </w:rPr>
        <w:lastRenderedPageBreak/>
        <w:t>gewohnt ist, die Klassenbildung in der Gesellschaft auf die Kämpfe zurückzuführen, die sich seit dem Beginn der Geschichte zwischen den um ein Geringes verschiedenen Menschenhorden abspielten. Die sozialen Unterschiede, meinte ich, waren ursprünglich Stammes- oder Rassenunterschiede. Psychologische Faktoren, wie das Ausmaß der konstitutionellen Aggressionslust, aber auch die Festigkeit der Organisation innerhalb der Horde, und materielle, wie der Besitz der besseren Waffen, entschieden den Sieg. Im Zusammenleben auf demselben Boden wurden die Sieger die Herren, die Besiegten die Sklaven. Dabei ist nichts von Naturgesetz oder Begriffswandlung zu entdecken, hingegen ist der Einfluß unverkennbar, den die fortschreitende Beherrschung der Naturkräfte auf die sozialen Beziehungen der Menschen übt, indem sie die neugewonnenen Machtmittel immer auch in den Dienst ihrer Aggression stellen und gegeneinander verwenden. Die Einführung des Metalls, der Bronze, des Eisens hat ganzen Kulturepochen und ihren sozialen Institutionen ein Ende gemacht. Ich glaube wirklich, daß das Schießpulver, die Feuerwaffe Rittertum und Adelsherrschaft aufgehoben hat und daß der russische Despotismus bereits vor dem verlorenen Krieg verurteilt war, da keine Inzucht innerhalb der Europa beherrschenden Familien ein Geschlecht von Zaren hätte erzeugen können, fähig, der Sprengkraft des Dynamits zu widerstehen.</w:t>
      </w:r>
    </w:p>
    <w:p w:rsidR="00E22C23" w:rsidRPr="00AF5815" w:rsidRDefault="00E22C23" w:rsidP="00E22C23">
      <w:pPr>
        <w:rPr>
          <w:rFonts w:ascii="Garamond" w:hAnsi="Garamond"/>
        </w:rPr>
      </w:pPr>
      <w:r w:rsidRPr="00AF5815">
        <w:rPr>
          <w:rFonts w:ascii="Garamond" w:hAnsi="Garamond"/>
          <w:lang w:val="en-US"/>
        </w:rPr>
        <w:t xml:space="preserve">Ja, vielleicht zahlen wir mit der gegenwärtigen, an den Weltkrieg anschließenden Wirtschaftskrise auch nur den Preis für den letzten großartigen Sieg über die Natur, die Eroberung des Luftraums. Das klingt nicht sehr einleuchtend, aber wenigstens die ersten Glieder des Zusammenhangs sind klar zu erkennen. </w:t>
      </w:r>
      <w:r w:rsidRPr="00AF5815">
        <w:rPr>
          <w:rFonts w:ascii="Garamond" w:hAnsi="Garamond"/>
        </w:rPr>
        <w:t xml:space="preserve">Die Politik Englands fußte auf der Sicherheit, die ihm das seine Küsten umspülende Meer verbürgte. Im Moment, da Blériot den Kanal im Aeroplan überflogen hatte, war diese schützende Isolierung durchbrochen, und in jener Nacht, als in Friedenszeiten und zu Übungszwecken ein deutscher Zeppelin über London kreiste, war wohl der Krieg gegen Deutschland beschlossene Sache </w:t>
      </w:r>
      <w:hyperlink r:id="rId1472" w:anchor="#" w:history="1">
        <w:r w:rsidRPr="00AF5815">
          <w:rPr>
            <w:rStyle w:val="fusslink"/>
            <w:rFonts w:ascii="Garamond" w:hAnsi="Garamond" w:cs="Arial"/>
            <w:b/>
            <w:bCs/>
            <w:color w:val="003399"/>
          </w:rPr>
          <w:t>[Fußnote]</w:t>
        </w:r>
        <w:r w:rsidRPr="00AF5815">
          <w:rPr>
            <w:rStyle w:val="innerfusslink3"/>
            <w:rFonts w:ascii="Garamond" w:hAnsi="Garamond" w:cs="Arial"/>
            <w:b/>
            <w:bCs/>
          </w:rPr>
          <w:t>So wurde es mir im ersten Kriegsjahr von vertrauenswürdiger Seite mitgeteilt.</w:t>
        </w:r>
      </w:hyperlink>
      <w:r w:rsidRPr="00AF5815">
        <w:rPr>
          <w:rFonts w:ascii="Garamond" w:hAnsi="Garamond"/>
        </w:rPr>
        <w:t>. Auch die Drohung des Unterseeboots ist dabei nicht zu vergessen.</w:t>
      </w:r>
    </w:p>
    <w:p w:rsidR="00E22C23" w:rsidRPr="00AF5815" w:rsidRDefault="00E22C23" w:rsidP="00E22C23">
      <w:pPr>
        <w:rPr>
          <w:rFonts w:ascii="Garamond" w:hAnsi="Garamond"/>
          <w:lang w:val="en-US"/>
        </w:rPr>
      </w:pPr>
      <w:r w:rsidRPr="00AF5815">
        <w:rPr>
          <w:rFonts w:ascii="Garamond" w:hAnsi="Garamond"/>
        </w:rPr>
        <w:t xml:space="preserve">Ich schäme mich beinahe, ein Thema von solcher Wichtigkeit und Kompliziertheit vor Ihnen mit so wenigen unzureichenden Bemerkungen zu behandeln, weiß auch, daß ich Ihnen nichts gesagt habe, was Ihnen neu ist. Es liegt mir nur daran, Sie aufmerksam zu machen, daß das Verhältnis des Menschen zur Beherrschung der Natur, der er seine Waffen zum Kampf gegen seinesgleichen entnimmt, notwendigerweise auch seine ökonomischen Einrichtungen beeinflussen muß. </w:t>
      </w:r>
      <w:r w:rsidRPr="00AF5815">
        <w:rPr>
          <w:rFonts w:ascii="Garamond" w:hAnsi="Garamond"/>
          <w:lang w:val="en-US"/>
        </w:rPr>
        <w:t xml:space="preserve">Wir scheinen uns weit von den Problemen der Weltanschauung entfernt zu haben, aber wir werden bald wieder zur Stelle sein. Die Stärke des Marxismus liegt offenbar nicht in seiner Auffassung der Geschichte und der darauf gegründeten Vorhersage der Zukunft, sondern in dem scharfsinnigen Nachweis des zwingenden Einflusses, den die ökonomischen Verhältnisse der Menschen auf ihre intellektuellen, ethischen und künstlerischen Einstellungen haben. Eine Reihe von Zusammenhängen und Abhängigkeiten wurden damit aufgedeckt, die bis dahin fast völlig verkannt worden waren. Aber man kann nicht annehmen, daß die ökonomischen Motive die einzigen sind, die das Verhalten der Menschen in der Gesellschaft bestimmen. Schon die unzweifelhafte Tatsache, daß verschiedene Personen, Rassen, Völker unter den nämlichen Wirtschaftsbedingungen sich verschieden benehmen, schließt die Alleinherrschaft der ökonomischen Momente aus. Man versteht überhaupt nicht, wie man psychologische Faktoren übergehen kann, wo es sich um die Reaktionen lebender Menschenwesen handelt, denn nicht nur, daß solche bereits an der Herstellung jener ökonomischen Verhältnisse beteiligt waren, auch unter deren Herrschaft können Menschen nicht anders als ihre ursprünglichen Triebregungen ins Spiel bringen, ihren Selbsterhaltungstrieb, ihre Aggressionslust, ihr Liebesbedürfnis, ihren Drang nach Lusterwerb und Unlustvermeidung. In einer früheren Untersuchung haben wir auch den bedeutsamen Anspruch des Über-Ichs geltend gemacht, das Tradition und Idealbildungen der Vergangenheit vertritt und den Antrieben aus einer neuen ökonomischen Situation eine Zeitlang Widerstand leisten wird. Endlich wollen wir nicht vergessen, daß über die Menschenmasse, die den ökonomischen Notwendigkeiten unterworfen ist, auch der Prozeß der Kulturentwicklung – Zivilisation sagen andere – abläuft, der gewiß von allen </w:t>
      </w:r>
      <w:r w:rsidRPr="00AF5815">
        <w:rPr>
          <w:rFonts w:ascii="Garamond" w:hAnsi="Garamond"/>
          <w:lang w:val="en-US"/>
        </w:rPr>
        <w:lastRenderedPageBreak/>
        <w:t>anderen Faktoren beeinflußt wird, aber sicherlich in seinem Ursprung von ihnen unabhängig ist, einem organischen Vorgang vergleichbar, und sehr wohl imstande, seinerseits auf die anderen Momente einzuwirken« Er verschiebt die Triebziele und macht, daß die Menschen sich gegen das sträuben, was ihnen bisher erträglich war; auch scheint die fortschreitende Erstarkung des wissenschaftlichen Geistes ein wesentliches Stück von ihm zu sein. Wenn jemand imstande wäre, im einzelnen nachzuweisen, wie sich diese verschiedenen Momente, die allgemeine menschliche Triebanlage, ihre rassenhaften Variationen und ihre kulturellen Umbildungen unter den Bedingungen der sozialen Einordnung, der Berufstätigkeit und Erwerbsmöglichkeiten gebärden, einander hemmen und fördern, wenn jemand das leisten könnte, dann würde er die Ergänzung des Marxismus zu einer wirklichen Gesellschaftskunde gegeben haben. Denn auch die Soziologie, die vom Verhalten der Menschen in der Gesellschaft handelt, kann nichts anderes sein als angewandte Psychologie. Strenggenommen gibt es ja nur zwei Wissenschaften, Psychologie, reine und angewandte, und Naturkunde.</w:t>
      </w:r>
    </w:p>
    <w:p w:rsidR="00E22C23" w:rsidRPr="00AF5815" w:rsidRDefault="00E22C23" w:rsidP="00E22C23">
      <w:pPr>
        <w:rPr>
          <w:rFonts w:ascii="Garamond" w:hAnsi="Garamond"/>
          <w:lang w:val="en-US"/>
        </w:rPr>
      </w:pPr>
      <w:r w:rsidRPr="00AF5815">
        <w:rPr>
          <w:rFonts w:ascii="Garamond" w:hAnsi="Garamond"/>
          <w:lang w:val="en-US"/>
        </w:rPr>
        <w:t>Mit der neugewonnenen Einsicht in die weitreichende Bedeutung ökonomischer Verhältnisse ergab sich die Versuchung, deren Abänderung nicht der historischen Entwicklung zu überlassen, sondern sie durch revolutionären Eingriff selbst durchzusetzen. In seiner Verwirklichung im russischen Bolschewismus hat nun der theoretische Marxismus die Energie, Geschlossenheit und Ausschließlichkeit einer Weltanschauung gewonnen, gleichzeitig aber auch eine unheimliche Ähnlichkeit mit dem, was er bekämpft. Ursprünglich selbst ein Stück Wissenschaft, in seiner Durchführung auf Wissenschaft und Technik aufgebaut, hat er doch ein Denkverbot geschaffen, das ebenso unerbittlich ist wie seinerzeit das der Religion. Eine kritische Untersuchung der marxistischen Theorie ist untersagt, Zweifel an ihrer Richtigkeit werden so geahndet wie einst die Ketzerei von der katholischen Kirche. Die Werke von Marx haben als Quelle einer Offenbarung die Stelle der Bibel und des Korans eingenommen, obwohl sie nicht freier von Widersprüchen und Dunkelheiten sein sollen als diese älteren heiligen Bücher.</w:t>
      </w:r>
    </w:p>
    <w:p w:rsidR="00E22C23" w:rsidRPr="00AF5815" w:rsidRDefault="00E22C23" w:rsidP="00E22C23">
      <w:pPr>
        <w:rPr>
          <w:rFonts w:ascii="Garamond" w:hAnsi="Garamond"/>
          <w:lang w:val="en-US"/>
        </w:rPr>
      </w:pPr>
      <w:r w:rsidRPr="00AF5815">
        <w:rPr>
          <w:rFonts w:ascii="Garamond" w:hAnsi="Garamond"/>
          <w:lang w:val="en-US"/>
        </w:rPr>
        <w:t>Und obwohl der praktische Marxismus mit allen idealistischen Systemen und Illusionen erbarmungslos aufgeräumt hat, hat er doch selbst Illusionen entwickelt, die nicht weniger fragwürdig und unbeweisbar sind als die früheren. Er hofft, im Laufe weniger Generationen die menschliche Natur so zu verändern, daß sich ein fast reibungsloses Zusammenleben der Menschen in der neuen Gesellschaftsordnung ergibt und daß sie die Aufgaben der Arbeit zwangsfrei auf sich nehmen. Unterdes verlegt er die in der Gesellschaft unerläßlichen Triebeinschränkungen an andere Stellen und lenkt die aggressiven Neigungen, die jede menschliche Gemeinschaft bedrohen, nach außen ab, stürzt sich auf die Feindseligkeit der Armen gegen die Reichen, der bisher Ohnmächtigen gegen die früheren Machthaber. Aber eine solche Umwandlung der menschlichen Natur ist sehr unwahrscheinlich. Der Enthusiasmus, mit dem die Menge gegenwärtig der bolschewistischen Anregung folgt, solange die neue Ordnung unfertig und von außen bedroht ist, gibt keine Sicherheit für eine Zukunft, in der sie ausgebaut und ungefährdet wäre. Ganz ähnlich wie die Religion muß auch der Bolschewismus seine Gläubigen für die Leiden und Entbehrungen des gegenwärtigen Lebens durch das Versprechen eines besseren Jenseits entschädigen, in dem es kein unbefriedigtes Bedürfnis mehr geben wird. Dies Paradies soll allerdings ein diesseitiges sein, auf Erden eingerichtet und in absehbarer Zeit eröffnet werden. Aber erinnern wir uns, auch die Juden, deren Religion nichts von einem jenseitigen Leben weiß, haben die Ankunft des Messias auf Erden erwartet, und das christliche Mittelalter hat wiederholt geglaubt, daß das Reich Gottes nahe bevorsteht.</w:t>
      </w:r>
    </w:p>
    <w:p w:rsidR="00E22C23" w:rsidRDefault="00E22C23" w:rsidP="00E22C23">
      <w:pPr>
        <w:rPr>
          <w:rFonts w:ascii="Garamond" w:hAnsi="Garamond"/>
          <w:lang w:val="en-GB"/>
        </w:rPr>
      </w:pPr>
      <w:r w:rsidRPr="00AF5815">
        <w:rPr>
          <w:rFonts w:ascii="Garamond" w:hAnsi="Garamond"/>
          <w:lang w:val="en-GB"/>
        </w:rPr>
        <w:t xml:space="preserve">Es ist nicht zweifelhaft, wie die Antwort des Bolschewismus auf diese Vorhalte lauten wird. Er wird sagen: Solange die Menschen in ihrer Natur noch nicht umgewandelt sind, muß man sich der Mittel bedienen, die heute auf sie wirken. Man kann den Zwang in ihrer Erziehung nicht entbehren, das Denkverbot, die Anwendung der Gewalt bis zum Blutvergießen, und wenn man nicht jene Illusionen in ihnen erweckte, würde man sie nicht dazu bringen, sich diesem Zwang zu fügen. Und er könnte höflich ersuchen, ihm doch zu sagen, wie man es anders machen könnte. Damit wären wir geschlagen. Ich wüßte keinen Rat zu geben. Ich würde gestehen, daß die Bedingungen dieses Experiments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und meinesgleichen abgehalten </w:t>
      </w:r>
      <w:r w:rsidRPr="00AF5815">
        <w:rPr>
          <w:rFonts w:ascii="Garamond" w:hAnsi="Garamond"/>
          <w:lang w:val="en-GB"/>
        </w:rPr>
        <w:lastRenderedPageBreak/>
        <w:t>hätten, es zu unternehmen, aber wir sind nicht die einzigen, auf die es ankommt. Es gibt auch Männer der Tat, unerschütterlich in ihren Überzeugungen, unzugänglich dem Zweifel, unempfindlich für die Leiden Anderer, wenn sie ihren Absichten im Wege sind. Solchen Männern verdanken wir es, daß der großartige Versuch einer solchen Neuordnung jetzt in Rußland wirklich durchgeführt wird. In einer Zeit, da große Nationen verkünden, sie erwarten ihr Heil nur vom Festhalten an der christlichen Frömmigkeit, wirkt die Umwälzung in Rußland – trotz aller unerfreulichen Einzelzüge – doch wie die Botschaft einer besseren Zukunft. Leider ergibt sich weder aus unserem Zweifel noch aus dem fanatischen Glauben der Anderen ein Wink, wie der Versuch ausgehen wird. Die Zukunft wird es lehren, vielleicht wird sie zeigen, daß der Versuch vorzeitig unternommen wurde, daß eine durchgreifende Änderung der sozialen Ordnung wenig Aussicht auf Erfolg hat, solange nicht neue Entdeckungen unsere Beherrschung der Naturkräfte gesteigert und damit die Befriedigung unserer Bedürfnisse erleichtert haben. Erst dann mag es möglich werden, daß eine neue Gesellschaftsordnung nicht nur die materielle Not der Massen verbannt, sondern auch die kulturellen Ansprüche des Einzelnen erhört. Mit den Schwierigkeiten, welche die Unbändigkeit der menschlichen Natur jeder Art von sozialer Gemeinschaft bereitet, werden wir freilich auch dann noch unabsehbar lange zu ringen haben.</w:t>
      </w:r>
    </w:p>
    <w:p w:rsidR="00E22C23" w:rsidRPr="00AF5815" w:rsidRDefault="00E22C23" w:rsidP="00E22C23">
      <w:pPr>
        <w:rPr>
          <w:rFonts w:ascii="Garamond" w:hAnsi="Garamond"/>
          <w:lang w:val="en-GB"/>
        </w:rPr>
      </w:pPr>
    </w:p>
    <w:p w:rsidR="00106CDB" w:rsidRDefault="00E22C23" w:rsidP="00985EE8">
      <w:pPr>
        <w:rPr>
          <w:lang w:val="en-US"/>
        </w:rPr>
      </w:pPr>
      <w:r w:rsidRPr="00AF5815">
        <w:rPr>
          <w:rFonts w:ascii="Garamond" w:hAnsi="Garamond"/>
          <w:lang w:val="en-GB"/>
        </w:rPr>
        <w:t>Meine Damen und Herren</w:t>
      </w:r>
      <w:r>
        <w:rPr>
          <w:rFonts w:ascii="Garamond" w:hAnsi="Garamond"/>
          <w:lang w:val="en-GB"/>
        </w:rPr>
        <w:t xml:space="preserve"> </w:t>
      </w:r>
      <w:r w:rsidRPr="00AF5815">
        <w:rPr>
          <w:rFonts w:ascii="Garamond" w:hAnsi="Garamond"/>
          <w:lang w:val="en-GB"/>
        </w:rPr>
        <w:t xml:space="preserve">! Lassen Sie </w:t>
      </w:r>
      <w:smartTag w:uri="urn:schemas-microsoft-com:office:smarttags" w:element="State">
        <w:smartTag w:uri="urn:schemas-microsoft-com:office:smarttags" w:element="place">
          <w:r w:rsidRPr="00AF5815">
            <w:rPr>
              <w:rFonts w:ascii="Garamond" w:hAnsi="Garamond"/>
              <w:lang w:val="en-GB"/>
            </w:rPr>
            <w:t>mich</w:t>
          </w:r>
        </w:smartTag>
      </w:smartTag>
      <w:r w:rsidRPr="00AF5815">
        <w:rPr>
          <w:rFonts w:ascii="Garamond" w:hAnsi="Garamond"/>
          <w:lang w:val="en-GB"/>
        </w:rPr>
        <w:t xml:space="preserve"> zum Schluß zusammenfassen, was ich über die Beziehung der Psychoanalyse zur Frage der Weltanschauung zu sagen hatte. Die Psychoanalyse, meine ich, ist unfähig, eine ihr besondere Weltanschauung zu erschaffen. Sie braucht es nicht, sie ist ein Stück Wissenschaft und kann sich der wissenschaftlichen Weltanschauung anschließen. Diese verdient aber kaum den großtönenden Namen, denn sie schaut nicht alles an, sie ist zu unvollendet, erhebt keinen Anspruch auf Geschlossenheit und Systembildung. Das wissenschaftliche Denken ist noch sehr jung unter den Menschen, hat zuviele der großen Probleme noch nicht bewältigen können. Eine auf die Wissenschaft aufgebaute Weltanschauung hat außer der Betonung der realen Außenwelt wesentlich negative Züge, wie die Bescheidung zur Wahrheit, die Ablehnung der Illusionen. Wer von unseren Mitmenschen mit diesem Zustand der Dinge unzufrieden ist, wer zu seiner augenblicklichen Beschwichtigung mehr verlangt, der mag es sich beschaffen, wo er es findet. Wir werden es ihm nicht verübeln, können ihm nicht helfen, aber auch seinetwegen nicht anders denken.</w:t>
      </w:r>
      <w:r w:rsidR="00985EE8" w:rsidRPr="00506316">
        <w:rPr>
          <w:lang w:val="en-US"/>
        </w:rPr>
        <w:t xml:space="preserve"> </w:t>
      </w:r>
    </w:p>
    <w:p w:rsidR="00106CDB" w:rsidRDefault="00106CDB">
      <w:pPr>
        <w:rPr>
          <w:lang w:val="en-US"/>
        </w:rPr>
      </w:pPr>
      <w:r>
        <w:rPr>
          <w:lang w:val="en-US"/>
        </w:rPr>
        <w:br w:type="page"/>
      </w:r>
    </w:p>
    <w:p w:rsidR="00106CDB" w:rsidRPr="005C1841" w:rsidRDefault="00106CDB" w:rsidP="00106CDB">
      <w:pPr>
        <w:rPr>
          <w:rFonts w:ascii="Garamond" w:hAnsi="Garamond" w:cs="Arial"/>
          <w:b/>
          <w:bCs/>
          <w:color w:val="000000"/>
          <w:lang w:val="en-US"/>
        </w:rPr>
      </w:pPr>
    </w:p>
    <w:p w:rsidR="00106CDB" w:rsidRPr="005C1841" w:rsidRDefault="00106CDB" w:rsidP="00106CDB">
      <w:pPr>
        <w:rPr>
          <w:rFonts w:ascii="Garamond" w:hAnsi="Garamond" w:cs="Arial"/>
          <w:bCs/>
          <w:color w:val="000000"/>
          <w:lang w:val="en-US"/>
        </w:rPr>
      </w:pPr>
      <w:r w:rsidRPr="005C1841">
        <w:rPr>
          <w:rFonts w:ascii="Garamond" w:hAnsi="Garamond" w:cs="Arial"/>
          <w:bCs/>
          <w:color w:val="000000"/>
          <w:lang w:val="en-US"/>
        </w:rPr>
        <w:t>Di</w:t>
      </w:r>
      <w:bookmarkStart w:id="306" w:name="F72"/>
      <w:bookmarkEnd w:id="306"/>
      <w:r w:rsidRPr="005C1841">
        <w:rPr>
          <w:rFonts w:ascii="Garamond" w:hAnsi="Garamond" w:cs="Arial"/>
          <w:bCs/>
          <w:color w:val="000000"/>
          <w:lang w:val="en-US"/>
        </w:rPr>
        <w:t xml:space="preserve">e endliche und die unendliche Analyse  1937                                                                       </w:t>
      </w:r>
      <w:hyperlink w:anchor="Werke" w:history="1">
        <w:r w:rsidRPr="0018684C">
          <w:rPr>
            <w:rStyle w:val="Lienhypertexte"/>
            <w:rFonts w:ascii="Garamond" w:hAnsi="Garamond"/>
            <w:lang w:val="en-US"/>
          </w:rPr>
          <w:t>Werke</w:t>
        </w:r>
      </w:hyperlink>
    </w:p>
    <w:p w:rsidR="00106CDB" w:rsidRPr="005C1841" w:rsidRDefault="00106CDB" w:rsidP="00106CDB">
      <w:pPr>
        <w:rPr>
          <w:rFonts w:ascii="Garamond" w:hAnsi="Garamond" w:cs="Arial"/>
          <w:bCs/>
          <w:color w:val="000000"/>
          <w:lang w:val="en-US"/>
        </w:rPr>
      </w:pPr>
    </w:p>
    <w:p w:rsidR="00106CDB" w:rsidRPr="005C1841" w:rsidRDefault="00106CDB" w:rsidP="00106CDB">
      <w:pPr>
        <w:rPr>
          <w:rFonts w:ascii="Garamond" w:hAnsi="Garamond" w:cs="Arial"/>
          <w:bCs/>
          <w:color w:val="000000"/>
          <w:lang w:val="en-US"/>
        </w:rPr>
      </w:pPr>
    </w:p>
    <w:p w:rsidR="00106CDB" w:rsidRPr="005C1841" w:rsidRDefault="00106CDB" w:rsidP="00106CDB">
      <w:pPr>
        <w:rPr>
          <w:rFonts w:ascii="Garamond" w:hAnsi="Garamond" w:cs="Arial"/>
          <w:bCs/>
          <w:color w:val="000000"/>
          <w:lang w:val="en-US"/>
        </w:rPr>
      </w:pPr>
      <w:r w:rsidRPr="005C1841">
        <w:rPr>
          <w:rFonts w:ascii="Garamond" w:hAnsi="Garamond" w:cs="Arial"/>
          <w:bCs/>
          <w:color w:val="000000"/>
          <w:lang w:val="en-US"/>
        </w:rPr>
        <w:t>In</w:t>
      </w:r>
      <w:bookmarkStart w:id="307" w:name="unendliche_INHALT"/>
      <w:bookmarkEnd w:id="307"/>
      <w:r w:rsidRPr="005C1841">
        <w:rPr>
          <w:rFonts w:ascii="Garamond" w:hAnsi="Garamond" w:cs="Arial"/>
          <w:bCs/>
          <w:color w:val="000000"/>
          <w:lang w:val="en-US"/>
        </w:rPr>
        <w:t>halt</w:t>
      </w:r>
    </w:p>
    <w:p w:rsidR="00106CDB" w:rsidRPr="005C1841" w:rsidRDefault="00106CDB" w:rsidP="00106CDB">
      <w:pPr>
        <w:rPr>
          <w:rFonts w:ascii="Garamond" w:hAnsi="Garamond" w:cs="Arial"/>
          <w:bCs/>
          <w:color w:val="000000"/>
          <w:lang w:val="en-US"/>
        </w:rPr>
      </w:pPr>
    </w:p>
    <w:p w:rsidR="00106CDB" w:rsidRPr="005C1841" w:rsidRDefault="00106CDB" w:rsidP="00106CDB">
      <w:pPr>
        <w:rPr>
          <w:rFonts w:ascii="Garamond" w:hAnsi="Garamond" w:cs="Arial"/>
          <w:bCs/>
          <w:color w:val="000000"/>
          <w:lang w:val="en-US"/>
        </w:rPr>
      </w:pPr>
    </w:p>
    <w:p w:rsidR="00106CDB" w:rsidRPr="00CE6825" w:rsidRDefault="00B437A1" w:rsidP="00CE4D4E">
      <w:pPr>
        <w:numPr>
          <w:ilvl w:val="0"/>
          <w:numId w:val="11"/>
        </w:numPr>
        <w:spacing w:after="0" w:line="240" w:lineRule="auto"/>
        <w:rPr>
          <w:rFonts w:ascii="Garamond" w:hAnsi="Garamond" w:cs="Arial"/>
          <w:bCs/>
          <w:color w:val="000000"/>
          <w:lang w:val="en-US"/>
        </w:rPr>
      </w:pPr>
      <w:hyperlink w:anchor="unendliche_1" w:history="1">
        <w:r w:rsidR="00106CDB" w:rsidRPr="00CE6825">
          <w:rPr>
            <w:rStyle w:val="Lienhypertexte"/>
            <w:rFonts w:ascii="Garamond" w:hAnsi="Garamond" w:cs="Arial"/>
            <w:bCs/>
            <w:lang w:val="en-US"/>
          </w:rPr>
          <w:t>Teil I</w:t>
        </w:r>
      </w:hyperlink>
    </w:p>
    <w:p w:rsidR="00106CDB" w:rsidRPr="00CE6825" w:rsidRDefault="00B437A1" w:rsidP="00CE4D4E">
      <w:pPr>
        <w:numPr>
          <w:ilvl w:val="0"/>
          <w:numId w:val="11"/>
        </w:numPr>
        <w:spacing w:after="0" w:line="240" w:lineRule="auto"/>
        <w:rPr>
          <w:rFonts w:ascii="Garamond" w:hAnsi="Garamond" w:cs="Arial"/>
          <w:bCs/>
          <w:color w:val="000000"/>
          <w:lang w:val="en-US"/>
        </w:rPr>
      </w:pPr>
      <w:hyperlink w:anchor="unendliche_2" w:history="1">
        <w:r w:rsidR="00106CDB" w:rsidRPr="00CE6825">
          <w:rPr>
            <w:rStyle w:val="Lienhypertexte"/>
            <w:rFonts w:ascii="Garamond" w:hAnsi="Garamond" w:cs="Arial"/>
            <w:bCs/>
            <w:lang w:val="en-US"/>
          </w:rPr>
          <w:t>Teil II</w:t>
        </w:r>
      </w:hyperlink>
    </w:p>
    <w:p w:rsidR="00106CDB" w:rsidRPr="00CE6825" w:rsidRDefault="00B437A1" w:rsidP="00CE4D4E">
      <w:pPr>
        <w:numPr>
          <w:ilvl w:val="0"/>
          <w:numId w:val="11"/>
        </w:numPr>
        <w:spacing w:after="0" w:line="240" w:lineRule="auto"/>
        <w:rPr>
          <w:rFonts w:ascii="Garamond" w:hAnsi="Garamond" w:cs="Arial"/>
          <w:bCs/>
          <w:color w:val="000000"/>
          <w:lang w:val="en-US"/>
        </w:rPr>
      </w:pPr>
      <w:hyperlink w:anchor="unendliche_3" w:history="1">
        <w:r w:rsidR="00106CDB" w:rsidRPr="00CE6825">
          <w:rPr>
            <w:rStyle w:val="Lienhypertexte"/>
            <w:rFonts w:ascii="Garamond" w:hAnsi="Garamond" w:cs="Arial"/>
            <w:bCs/>
            <w:lang w:val="en-US"/>
          </w:rPr>
          <w:t>Teil III</w:t>
        </w:r>
      </w:hyperlink>
    </w:p>
    <w:p w:rsidR="00106CDB" w:rsidRPr="00CE6825" w:rsidRDefault="00B437A1" w:rsidP="00CE4D4E">
      <w:pPr>
        <w:numPr>
          <w:ilvl w:val="0"/>
          <w:numId w:val="11"/>
        </w:numPr>
        <w:spacing w:after="0" w:line="240" w:lineRule="auto"/>
        <w:rPr>
          <w:rFonts w:ascii="Garamond" w:hAnsi="Garamond" w:cs="Arial"/>
          <w:bCs/>
          <w:color w:val="000000"/>
          <w:lang w:val="en-US"/>
        </w:rPr>
      </w:pPr>
      <w:hyperlink w:anchor="unendliche_4" w:history="1">
        <w:r w:rsidR="00106CDB" w:rsidRPr="00CE6825">
          <w:rPr>
            <w:rStyle w:val="Lienhypertexte"/>
            <w:rFonts w:ascii="Garamond" w:hAnsi="Garamond" w:cs="Arial"/>
            <w:bCs/>
            <w:lang w:val="en-US"/>
          </w:rPr>
          <w:t>Teil IV</w:t>
        </w:r>
      </w:hyperlink>
    </w:p>
    <w:p w:rsidR="00106CDB" w:rsidRPr="00CE6825" w:rsidRDefault="00B437A1" w:rsidP="00CE4D4E">
      <w:pPr>
        <w:numPr>
          <w:ilvl w:val="0"/>
          <w:numId w:val="11"/>
        </w:numPr>
        <w:spacing w:after="0" w:line="240" w:lineRule="auto"/>
        <w:rPr>
          <w:rFonts w:ascii="Garamond" w:hAnsi="Garamond" w:cs="Arial"/>
          <w:bCs/>
          <w:color w:val="000000"/>
          <w:lang w:val="en-US"/>
        </w:rPr>
      </w:pPr>
      <w:hyperlink w:anchor="unendliche_5" w:history="1">
        <w:r w:rsidR="00106CDB" w:rsidRPr="00CE6825">
          <w:rPr>
            <w:rStyle w:val="Lienhypertexte"/>
            <w:rFonts w:ascii="Garamond" w:hAnsi="Garamond" w:cs="Arial"/>
            <w:bCs/>
            <w:lang w:val="en-US"/>
          </w:rPr>
          <w:t>Teil V</w:t>
        </w:r>
      </w:hyperlink>
    </w:p>
    <w:p w:rsidR="00106CDB" w:rsidRPr="00CE6825" w:rsidRDefault="00B437A1" w:rsidP="00CE4D4E">
      <w:pPr>
        <w:numPr>
          <w:ilvl w:val="0"/>
          <w:numId w:val="11"/>
        </w:numPr>
        <w:spacing w:after="0" w:line="240" w:lineRule="auto"/>
        <w:rPr>
          <w:rFonts w:ascii="Garamond" w:hAnsi="Garamond" w:cs="Arial"/>
          <w:bCs/>
          <w:color w:val="000000"/>
          <w:lang w:val="en-US"/>
        </w:rPr>
      </w:pPr>
      <w:hyperlink w:anchor="unendliche_6" w:history="1">
        <w:r w:rsidR="00106CDB" w:rsidRPr="00CE6825">
          <w:rPr>
            <w:rStyle w:val="Lienhypertexte"/>
            <w:rFonts w:ascii="Garamond" w:hAnsi="Garamond" w:cs="Arial"/>
            <w:bCs/>
            <w:lang w:val="en-US"/>
          </w:rPr>
          <w:t>Teil VI</w:t>
        </w:r>
      </w:hyperlink>
    </w:p>
    <w:p w:rsidR="00106CDB" w:rsidRPr="00CE6825" w:rsidRDefault="00B437A1" w:rsidP="00CE4D4E">
      <w:pPr>
        <w:numPr>
          <w:ilvl w:val="0"/>
          <w:numId w:val="11"/>
        </w:numPr>
        <w:spacing w:after="0" w:line="240" w:lineRule="auto"/>
        <w:rPr>
          <w:rFonts w:ascii="Garamond" w:hAnsi="Garamond" w:cs="Arial"/>
          <w:bCs/>
          <w:color w:val="000000"/>
          <w:lang w:val="en-US"/>
        </w:rPr>
      </w:pPr>
      <w:hyperlink w:anchor="unendliche_7" w:history="1">
        <w:r w:rsidR="00106CDB" w:rsidRPr="00CE6825">
          <w:rPr>
            <w:rStyle w:val="Lienhypertexte"/>
            <w:rFonts w:ascii="Garamond" w:hAnsi="Garamond" w:cs="Arial"/>
            <w:bCs/>
            <w:lang w:val="en-US"/>
          </w:rPr>
          <w:t>Teil VII</w:t>
        </w:r>
      </w:hyperlink>
    </w:p>
    <w:p w:rsidR="00106CDB" w:rsidRPr="00A75FC3" w:rsidRDefault="00B437A1" w:rsidP="00CE4D4E">
      <w:pPr>
        <w:numPr>
          <w:ilvl w:val="0"/>
          <w:numId w:val="11"/>
        </w:numPr>
        <w:spacing w:after="0" w:line="240" w:lineRule="auto"/>
        <w:rPr>
          <w:rFonts w:ascii="Garamond" w:hAnsi="Garamond" w:cs="Arial"/>
          <w:bCs/>
          <w:color w:val="000000"/>
          <w:lang w:val="en-US"/>
        </w:rPr>
      </w:pPr>
      <w:hyperlink w:anchor="unendliche_8" w:history="1">
        <w:r w:rsidR="00106CDB" w:rsidRPr="00CE6825">
          <w:rPr>
            <w:rStyle w:val="Lienhypertexte"/>
            <w:rFonts w:ascii="Garamond" w:hAnsi="Garamond" w:cs="Arial"/>
            <w:bCs/>
            <w:lang w:val="en-US"/>
          </w:rPr>
          <w:t>Teil VIII</w:t>
        </w:r>
      </w:hyperlink>
    </w:p>
    <w:p w:rsidR="00106CDB" w:rsidRPr="00A75FC3" w:rsidRDefault="00106CDB" w:rsidP="00106CDB">
      <w:pPr>
        <w:rPr>
          <w:rFonts w:ascii="Garamond" w:hAnsi="Garamond" w:cs="Arial"/>
          <w:b/>
          <w:bCs/>
          <w:color w:val="000000"/>
          <w:lang w:val="en-US"/>
        </w:rPr>
      </w:pPr>
      <w:r w:rsidRPr="00A75FC3">
        <w:rPr>
          <w:rFonts w:ascii="Garamond" w:hAnsi="Garamond" w:cs="Arial"/>
          <w:b/>
          <w:bCs/>
          <w:color w:val="000000"/>
          <w:lang w:val="en-US"/>
        </w:rPr>
        <w:br w:type="page"/>
      </w:r>
    </w:p>
    <w:p w:rsidR="00106CDB" w:rsidRPr="00A75FC3" w:rsidRDefault="00106CDB" w:rsidP="00106CDB">
      <w:pPr>
        <w:rPr>
          <w:rFonts w:ascii="Garamond" w:hAnsi="Garamond" w:cs="Arial"/>
          <w:b/>
          <w:bCs/>
          <w:color w:val="000000"/>
          <w:lang w:val="en-US"/>
        </w:rPr>
      </w:pPr>
    </w:p>
    <w:p w:rsidR="00106CDB" w:rsidRDefault="00B437A1" w:rsidP="00106CDB">
      <w:pPr>
        <w:rPr>
          <w:rFonts w:ascii="Garamond" w:hAnsi="Garamond" w:cs="Arial"/>
          <w:b/>
          <w:bCs/>
          <w:color w:val="000000"/>
        </w:rPr>
      </w:pPr>
      <w:hyperlink w:anchor="unendliche_INHALT" w:history="1">
        <w:r w:rsidR="00106CDB" w:rsidRPr="00CE6825">
          <w:rPr>
            <w:rStyle w:val="Lienhypertexte"/>
            <w:rFonts w:ascii="Garamond" w:hAnsi="Garamond" w:cs="Arial"/>
            <w:b/>
            <w:bCs/>
          </w:rPr>
          <w:t>Te</w:t>
        </w:r>
        <w:bookmarkStart w:id="308" w:name="unendliche_1"/>
        <w:bookmarkEnd w:id="308"/>
        <w:r w:rsidR="00106CDB" w:rsidRPr="00CE6825">
          <w:rPr>
            <w:rStyle w:val="Lienhypertexte"/>
            <w:rFonts w:ascii="Garamond" w:hAnsi="Garamond" w:cs="Arial"/>
            <w:b/>
            <w:bCs/>
          </w:rPr>
          <w:t>il I</w:t>
        </w:r>
      </w:hyperlink>
    </w:p>
    <w:p w:rsidR="00106CDB" w:rsidRPr="00A75FC3" w:rsidRDefault="00106CDB" w:rsidP="00106CDB">
      <w:pPr>
        <w:rPr>
          <w:rFonts w:ascii="Garamond" w:hAnsi="Garamond" w:cs="Arial"/>
          <w:b/>
          <w:bCs/>
          <w:color w:val="000000"/>
        </w:rPr>
      </w:pPr>
    </w:p>
    <w:p w:rsidR="00106CDB" w:rsidRPr="00A75FC3" w:rsidRDefault="00106CDB" w:rsidP="00106CDB">
      <w:pPr>
        <w:rPr>
          <w:rFonts w:ascii="Garamond" w:hAnsi="Garamond" w:cs="Arial"/>
          <w:color w:val="000000"/>
          <w:lang w:val="en-GB"/>
        </w:rPr>
      </w:pPr>
      <w:r w:rsidRPr="00A75FC3">
        <w:rPr>
          <w:rFonts w:ascii="Garamond" w:hAnsi="Garamond" w:cs="Arial"/>
          <w:color w:val="000000"/>
        </w:rPr>
        <w:t xml:space="preserve">Erfahrung hat uns gelehrt, die psychoanalytische Therapie, die Befreiung eines Menschen von seinen neurotischen Symptomen, Hemmungen und Charakterabnormitäten, ist eine langwierige Arbeit. </w:t>
      </w:r>
      <w:r w:rsidRPr="00A75FC3">
        <w:rPr>
          <w:rFonts w:ascii="Garamond" w:hAnsi="Garamond" w:cs="Arial"/>
          <w:color w:val="000000"/>
          <w:lang w:val="en-GB"/>
        </w:rPr>
        <w:t xml:space="preserve">Daher sind von allem Anfang an Versuche unternommen worden, um die Dauer der Analysen zu verkürzen. Solche Bemühungen bedurften keiner Rechtfertigung, sie konnten sich auf die verständigsten und zweckmäßigsten Beweggründe berufen. Aber es wirkte in ihnen wahrscheinlich auch noch ein Rest jener ungeduldigen Geringschätzung, mit der eine frühere Periode der Medizin die Neurosen betrachtet hatte, als überflüssige Erfolge unsichtbarer Schädigungen. Wenn man sich jetzt mit ihnen beschäftigen mußte, wollte man nur möglichst bald mit ihnen fertig werden. Einen besonders energischen Versuch in dieser Richtung hat O. Rank gemacht im Anschluß an sein Buch </w:t>
      </w:r>
      <w:r w:rsidRPr="00A75FC3">
        <w:rPr>
          <w:rFonts w:ascii="Garamond" w:hAnsi="Garamond" w:cs="Arial"/>
          <w:i/>
          <w:iCs/>
          <w:color w:val="000000"/>
          <w:lang w:val="en-GB"/>
        </w:rPr>
        <w:t>Das Trauma der Geburt</w:t>
      </w:r>
      <w:r w:rsidRPr="00A75FC3">
        <w:rPr>
          <w:rFonts w:ascii="Garamond" w:hAnsi="Garamond" w:cs="Arial"/>
          <w:color w:val="000000"/>
          <w:lang w:val="en-GB"/>
        </w:rPr>
        <w:t xml:space="preserve"> (1924). Er nahm an, daß der Geburtsakt die eigentliche Quelle der Neurose sei, indem er die Möglichkeit mit sich bringt, daß die »Urfixierung«an die Mutter nicht überwunden wird und als »Urverdrängung«fortbesteht. Durch die nachträgliche analytische Erledigung dieses Urtraumas hoffte Rank die ganze Neurose zu beseitigen, so daß das eine Stückchen Analyse alle übrige analytische Arbeit ersparte. Einige wenige Monate sollten für diese Leistung genügen. Man wird nicht bestreiten, daß der Ranksche Gedankengang kühn und geistreich war; aber er hielt einer kritischen Prüfung nicht stand. Der Versuch Ranks war übrigens aus der Zeit geboren, unter dem Eindruck des Gegensatzes von europäischem Nachkriegselend und amerikanischer » </w:t>
      </w:r>
      <w:r w:rsidRPr="00A75FC3">
        <w:rPr>
          <w:rFonts w:ascii="Garamond" w:hAnsi="Garamond" w:cs="Arial"/>
          <w:i/>
          <w:iCs/>
          <w:color w:val="000000"/>
          <w:lang w:val="en-GB"/>
        </w:rPr>
        <w:t>prosperity</w:t>
      </w:r>
      <w:r w:rsidRPr="00A75FC3">
        <w:rPr>
          <w:rFonts w:ascii="Garamond" w:hAnsi="Garamond" w:cs="Arial"/>
          <w:color w:val="000000"/>
          <w:lang w:val="en-GB"/>
        </w:rPr>
        <w:t xml:space="preserve">«konzipiert und dazu bestimmt, das Tempo der analytischen Therapie der Hast des amerikanischen Lebens anzugleichen. Man hat nicht viel davon gehört, was die Ausführung des Rankschen Planes für Krankheitsfälle geleistet hat. Wahrscheinlich nicht mehr, als die Feuerwehr leisten würde, wenn sie im Falle eines Hausbrandes durch eine umgestürzte Petroleumlampe sich damit begnügte, die Lampe aus dem Zimmer zu entfernen, in dem der Brand entstanden war. Eine erhebliche Abkürzung der Löschaktion wäre allerdings auf diese Weise zu erreichen. Theorie und Praxis des Rankschen Versuchs gehören heute der Vergangenheit an – nicht anders als die amerikanische » </w:t>
      </w:r>
      <w:r w:rsidRPr="00A75FC3">
        <w:rPr>
          <w:rFonts w:ascii="Garamond" w:hAnsi="Garamond" w:cs="Arial"/>
          <w:i/>
          <w:iCs/>
          <w:color w:val="000000"/>
          <w:lang w:val="en-GB"/>
        </w:rPr>
        <w:t>prosperity</w:t>
      </w:r>
      <w:r w:rsidRPr="00A75FC3">
        <w:rPr>
          <w:rFonts w:ascii="Garamond" w:hAnsi="Garamond" w:cs="Arial"/>
          <w:color w:val="000000"/>
          <w:lang w:val="en-GB"/>
        </w:rPr>
        <w:t>« selbst.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Einen anderen Weg, um den Ablauf einer analytischen Kur zu beschleunigen, hatte ich selbst noch vor der Kriegszeit eingeschlagen. Ich übernahm damals die Behandlung eines jungen Russen, der, durch Reichtum verwöhnt, in völliger Hilflosigkeit, von Leibarzt und Pfleger begleitet, nach Wien gekommen war </w:t>
      </w:r>
      <w:hyperlink r:id="rId1473"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S. die mit Einwilligung des Patienten veröffentlichte Schrift ›Aus der Geschichte einer infantilen Neurose‹ (1918). Die spätere Erkrankung des jungen Mannes wird dort nicht ausführlich dargestellt, sondern nur gestreift, wo es der Zusammenhang mit der Kindheitsneurose unbedingt erfordert.</w:t>
        </w:r>
      </w:hyperlink>
      <w:r w:rsidRPr="00A75FC3">
        <w:rPr>
          <w:rFonts w:ascii="Garamond" w:hAnsi="Garamond" w:cs="Arial"/>
          <w:color w:val="000000"/>
          <w:lang w:val="en-GB"/>
        </w:rPr>
        <w:t xml:space="preserve">. Im Laufe einiger Jahre gelang es, ihm ein großes Stück seiner Selbständigkeit wiederzugeben, sein Interesse am Leben zu wecken, seine Beziehungen zu den für ihn wichtigsten Personen in Ordnung zu bringen, aber dann stockte der Fortschritt; die Aufklärung der Kindheitsneurose, auf der ja die spätere Erkrankung begründet war, ging nicht weiter, und es war deutlich zu erkennen, daß der Patient seinen derzeitigen Zustand als recht behaglich empfand und keinen Schritt tun wollte, der ihn dem Ende der Behandlung näherbrächte. Es war ein Fall von Selbsthemmung der Kur; sie war in Gefahr, grade an ihrem – teilweisen – Erfolg zu scheitern. In dieser Lage griff ich zu dem heroischen Mittel der Terminsetzung. Ich eröffnete dem Patienten zu Beginn einer Arbeitssaison, daß dieses nächste Jahr das letzte der Behandlung sein werde, gleichgiltig, was er in der ihm noch zugestandenen Zeit leiste. Er schenkte mir zunächst keinen Glauben, aber nachdem er sich von dem unverbrüchlichen Ernst meiner Absicht überzeugt hatte, trat die gewünschte Wandlung bei ihm ein. Seine Widerstände schrumpften ein, und in diesen letzten Monaten konnte er alle Erinnerungen reproduzieren und alle Zusammenhänge auffinden, die zum Verständnis seiner frühen und zur Bewältigung seiner </w:t>
      </w:r>
      <w:r w:rsidRPr="00A75FC3">
        <w:rPr>
          <w:rFonts w:ascii="Garamond" w:hAnsi="Garamond" w:cs="Arial"/>
          <w:color w:val="000000"/>
          <w:lang w:val="en-GB"/>
        </w:rPr>
        <w:lastRenderedPageBreak/>
        <w:t xml:space="preserve">gegenwärtigen Neurose notwendig schienen. Als er </w:t>
      </w:r>
      <w:smartTag w:uri="urn:schemas-microsoft-com:office:smarttags" w:element="State">
        <w:smartTag w:uri="urn:schemas-microsoft-com:office:smarttags" w:element="place">
          <w:r w:rsidRPr="00A75FC3">
            <w:rPr>
              <w:rFonts w:ascii="Garamond" w:hAnsi="Garamond" w:cs="Arial"/>
              <w:color w:val="000000"/>
              <w:lang w:val="en-GB"/>
            </w:rPr>
            <w:t>mich</w:t>
          </w:r>
        </w:smartTag>
      </w:smartTag>
      <w:r w:rsidRPr="00A75FC3">
        <w:rPr>
          <w:rFonts w:ascii="Garamond" w:hAnsi="Garamond" w:cs="Arial"/>
          <w:color w:val="000000"/>
          <w:lang w:val="en-GB"/>
        </w:rPr>
        <w:t xml:space="preserve"> im Hochsommer 1914 verließ, ahnungslos wie wir alle der so nah bevorstehenden Ereignisse, hielt ich ihn für gründlich und dauernd geheilt.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In einem Zusatz zur Krankengeschichte (1923) habe ich schon berichtet, daß dies nicht zutraf. Als er gegen Kriegsende als mittelloser Flüchtling nach Wien zurückkam, mußte ich ihm dabei helfen, ein nicht erledigtes Stück der Übertragung zu bewältigen; das gelang in einigen Monaten, und ich konnte den Nachtrag mit der Mitteilung schließen, daß »der Patient, dem der Krieg Heimat, Vermögen und alle Familienbeziehungen geraubt hatte, sich seitdem normal gefühlt und tadellos benommen hat«. Die anderthalb Jahrzehnte seither haben dies Urteil nicht Lügen gestraft, aber doch Einschränkungen daran notwendig gemacht. Der Patient ist in Wien geblieben und hat sich in einer, wenn auch bescheidenen, sozialen Position bewährt. Aber mehrmals in diesem Zeitraum wurde sein Wohlbefinden durch Krankheitszufälle unterbrochen, die nur als Ausläufer seiner Lebensneurose aufgefaßt werden konnten. Die Geschicklichkeit einer meiner Schülerinnen, Frau Dr. Ruth Mack Brunswick, hat diese Zustände jedesmal nach kurzer Behandlung zu Ende gebracht; ich hoffe, sie wird bald selbst über diese Erfahrungen berichten. In einigen dieser Anfälle handelte es sich immer noch um Restbestände der Übertragung; sie zeigten dann bei all ihrer Flüchtigkeit deutlich paranoischen Charakter. In anderen aber bestand das pathogene Material aus Fragmenten seiner Kindergeschichte, die in der Analyse bei mir nicht zum Vorschein gekommen waren und sich nun – man kann dem Vergleich nicht ausweichen – wie Fäden nach einer Operation oder nekrotische Knochenstückchen nachträglich abstießen. Ich fand die Heilungsgeschichte dieses Patienten nicht viel weniger interessant als seine Krankengeschichte.</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Ich habe die Terminsetzung später auch in anderen Fällen angewendet und auch die Erfahrungen anderer Analytiker zur Kenntnis genommen. Das Urteil über den Wert dieser erpresserischen Maßregel kann nicht zweifelhaft sein. Sie ist wirksam, vorausgesetzt, daß man die richtige Zeit für sie trifft. Aber sie kann keine Garantie für die vollständige Erledigung der Aufgabe geben. Man kann im Gegenteil sicher sein, daß, während ein Teil des Materials unter dem Zwang der Drohung zugänglich wird, ein anderer Teil zurückgehalten bleibt und damit gleichsam verschüttet wird, der therapeutischen Bemühung verlorengeht. Man darf ja den Termin nicht erstrecken, nachdem er einmal festgesetzt worden ist; sonst hat er für die weitere Folge jeden Glauben eingebüßt. Die Fortsetzung der Kur bei einem anderen Analytiker wäre der nächste Ausweg; man weiß freilich, daß ein solcher Wechsel neuen Verlust an Zeit und Verzicht auf den Ertrag aufgewendeter Arbeit bedeutet. Auch läßt sich nicht allgemein giltig angeben, wann die richtige Zeit für die Einsetzung dieses gewaltsamen technischen Mittels gekommen ist, es bleibt dem Takt überlassen. Ein Mißgriff ist nicht mehr gutzumachen. Das Sprichwort, daß der Löwe nur einmal springt, muß recht behalten</w:t>
      </w:r>
    </w:p>
    <w:p w:rsidR="00106CDB" w:rsidRDefault="00106CDB" w:rsidP="00106CDB">
      <w:pPr>
        <w:rPr>
          <w:rFonts w:ascii="Garamond" w:hAnsi="Garamond" w:cs="Arial"/>
          <w:b/>
          <w:bCs/>
          <w:color w:val="000000"/>
          <w:lang w:val="en-GB"/>
        </w:rPr>
      </w:pPr>
      <w:r>
        <w:rPr>
          <w:rFonts w:ascii="Garamond" w:hAnsi="Garamond" w:cs="Arial"/>
          <w:b/>
          <w:bCs/>
          <w:color w:val="000000"/>
          <w:lang w:val="en-GB"/>
        </w:rPr>
        <w:br w:type="page"/>
      </w:r>
      <w:hyperlink w:anchor="unendliche_INHALT" w:history="1">
        <w:r w:rsidRPr="00CE6825">
          <w:rPr>
            <w:rStyle w:val="Lienhypertexte"/>
            <w:rFonts w:ascii="Garamond" w:hAnsi="Garamond" w:cs="Arial"/>
            <w:bCs/>
            <w:lang w:val="en-US"/>
          </w:rPr>
          <w:t>Te</w:t>
        </w:r>
        <w:bookmarkStart w:id="309" w:name="unendliche_2"/>
        <w:bookmarkEnd w:id="309"/>
        <w:r w:rsidRPr="00CE6825">
          <w:rPr>
            <w:rStyle w:val="Lienhypertexte"/>
            <w:rFonts w:ascii="Garamond" w:hAnsi="Garamond" w:cs="Arial"/>
            <w:bCs/>
            <w:lang w:val="en-US"/>
          </w:rPr>
          <w:t>il</w:t>
        </w:r>
        <w:r w:rsidRPr="00CE6825">
          <w:rPr>
            <w:rStyle w:val="Lienhypertexte"/>
            <w:rFonts w:ascii="Garamond" w:hAnsi="Garamond" w:cs="Arial"/>
            <w:b/>
            <w:bCs/>
            <w:lang w:val="en-GB"/>
          </w:rPr>
          <w:t xml:space="preserve"> II</w:t>
        </w:r>
      </w:hyperlink>
    </w:p>
    <w:p w:rsidR="00106CDB" w:rsidRPr="00A75FC3" w:rsidRDefault="00106CDB" w:rsidP="00106CDB">
      <w:pPr>
        <w:rPr>
          <w:rFonts w:ascii="Garamond" w:hAnsi="Garamond" w:cs="Arial"/>
          <w:b/>
          <w:bCs/>
          <w:color w:val="000000"/>
          <w:lang w:val="en-GB"/>
        </w:rPr>
      </w:pP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Die Erörterungen über das technische Problem, wie man den langsamen Ablauf einer Analyse beschleunigen kann, leiten uns nun zu einer anderen Frage von tieferem Interesse, nämlich, ob es ein natürliches Ende einer Analyse gibt, ob es überhaupt möglich ist, eine Analyse zu einem solchen Ende zu führen. Der Sprachgebrauch unter Analytikern scheint eine solche Voraussetzung zu begünstigen, denn man hört oft bedauernd oder entschuldigend über ein in seiner Unvollkommenheit erkanntes Menschenkind äußern: »Seine Analyse ist nicht fertig geworden«, oder: »Er ist nicht zu Ende analysiert worden.«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Man muß sich zunächst darüber verständigen, was mit der mehrdeutigen Redensart »Ende einer Analyse«gemeint ist. Praktisch ist das leicht zu sagen. Die Analyse ist beendigt, wenn Analytiker und Patient sich nicht mehr zur analytischen Arbeitsstunde treffen. Sie werden so tun, wenn zwei Bedingungen ungefähr erfüllt sind, die erste, daß der Patient nicht mehr an seinen Symptomen leidet und seine Ängste wie seine Hemmungen überwunden hat, die zweite, daß der Analytiker urteilt, es sei beim Kranken so viel Verdrängtes bewußtgemacht, so viel Unverständliches aufgeklärt, so viel innerer Widerstand besiegt worden, daß man die Wiederholung der betreffenden pathologischen Vorgänge nicht zu befürchten braucht. Ist man durch äußere Schwierigkeiten verhindert worden, dies Ziel zu erreichen, so spricht man besser von einer unvollständigen als von einer unvollendeten Analyse.</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Die andere Bedeutung des Endes einer Analyse ist weit ehrgeiziger. In ihrem Namen wird gefragt, ob man die Beeinflussung des Patienten so weit getrieben hat, daß eine Fortsetzung der Analyse keine weitere Veränderung versprechen kann. Also als ob man durch Analyse ein Niveau von absoluter psychischer Normalität erreichen könnte, dem man auch die Fähigkeit zutrauen dürfte, sich stabil zu erhalten, etwa wenn es gelungen wäre, alle vorgefallenen Verdrängungen aufzulösen und alle Lücken der Erinnerung auszufüllen. Man wird zuerst die Erfahrung befragen, ob dergleichen vorkommt, und dann die Theorie, ob es überhaupt möglich ist.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Jeder Analytiker wird einige Fälle mit so erfreulichem Ausgang behandelt haben. Es ist gelungen, die vorhandene neurotische Störung zu beseitigen, sie ist nicht wiedergekehrt und hat sich durch keine andere ersetzt. Man ist auch nicht ohne Einsicht in die Bedingungen dieser Erfolge. Das Ich der Patienten war nicht merklich verändert und die Ätiologie der Störung eine wesentlich traumatische. Die Ätiologie aller neurotischen Störungen ist ja eine gemischte; es handelt sich entweder um überstarke, also gegen die Bändigung durch das Ich widerspenstige Triebe, oder um die Wirkung von frühzeitigen, d. h. vorzeitigen Traumen, deren ein unreifes Ich nicht Herr werden konnte. In der Regel um ein Zusammenwirken beider Momente, des konstitutionellen und des akzidentellen. Je stärker das erstere, desto eher wird ein Trauma zur Fixierung führen und eine Entwicklungsstörung zurücklassen; je stärker das Trauma, desto sicherer wird es seine Schädigung auch unter normalen Triebverhältnissen äußern. </w:t>
      </w:r>
      <w:r w:rsidRPr="00A75FC3">
        <w:rPr>
          <w:rFonts w:ascii="Garamond" w:hAnsi="Garamond" w:cs="Arial"/>
          <w:color w:val="000000"/>
        </w:rPr>
        <w:t xml:space="preserve">Es ist kein Zweifel, daß die traumatische Ätiologie der Analyse die weitaus günstigere Gelegenheit bietet. Nur im vorwiegend traumatischen Fall wird die Analyse leisten, was sie meisterlich kann, die unzulängliche Entscheidung aus der Frühzeit dank der Erstarkung des Ichs durch eine korrekte Erledigung ersetzen. </w:t>
      </w:r>
      <w:r w:rsidRPr="00A75FC3">
        <w:rPr>
          <w:rFonts w:ascii="Garamond" w:hAnsi="Garamond" w:cs="Arial"/>
          <w:color w:val="000000"/>
          <w:lang w:val="en-GB"/>
        </w:rPr>
        <w:t>Nur in einem solchen Falle kann man von einer endgültig beendeten Analyse sprechen. Hier hat die Analyse ihre Schuldigkeit getan und braucht nicht fortgesetzt zu werden. Wenn der so hergestellte Patient niemals wieder eine Störung produziert, die ihn der Analyse bedürftig macht, so weiß man freilich nicht, wieviel von dieser Immunität der Gunst des Schicksals zu danken ist, die ihm zu starke Belastungsproben erspart haben mag.</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Die konstitutionelle Triebstärke und die im Abwehrkampf erworbene ungünstige Veränderung des Ichs, im Sinne einer Verrenkung und Einschränkung, sind die Faktoren, die der Wirkung der Analyse ungünstig sind und ihre Dauer ins Unabschließbare verlängern können. Man ist versucht, das erstere, die </w:t>
      </w:r>
      <w:r w:rsidRPr="00A75FC3">
        <w:rPr>
          <w:rFonts w:ascii="Garamond" w:hAnsi="Garamond" w:cs="Arial"/>
          <w:color w:val="000000"/>
          <w:lang w:val="en-GB"/>
        </w:rPr>
        <w:lastRenderedPageBreak/>
        <w:t>Triebstärke, auch für die Ausbildung des anderen, der Ichveränderung, verantwortlich zu machen, aber es scheint, daß diese auch ihre eigene Ätiologie hat, und eigentlich muß man zugestehen, daß diese Verhältnisse noch nicht genügend bekannt sind. Sie werden eben erst jetzt Gegenstand des analytischen Studiums. Das Interesse der Analytiker scheint mir in dieser Gegend überhaupt nicht richtig eingestellt zu sein. Anstatt zu untersuchen, wie die Heilung durch die Analyse zustande kommt, was ich für hinreichend aufgeklärt halte, sollte die Fragestellung lauten, welche Hindernisse der analytischen Heilung im Wege stehen.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Hier anschließend möchte ich zwei Probleme behandeln, die sich direkt aus der analytischen Praxis ergeben, wie die nachstehenden Beispiele zeigen sollen. Ein Mann, der die Analyse selbst mit großem Erfolge ausgeübt hat, urteilt, daß sein Verhältnis zum Mann wie zur Frau – zu den Männern, die seine Konkurrenten sind, und zur Frau, die er liebt – doch nicht frei von neurotischen Behinderungen ist, und macht sich darum zum analytischen Objekt eines anderen, den er für ihm überlegen hält. Diese kritische Durchleuchtung der eigenen Person bringt ihm vollen Erfolg. Er heiratet die geliebte Frau und wandelt sich zum Freund und Lehrer der vermeintlichen Rivalen. Es vergehen so viele Jahre, in denen auch die Beziehung zum einstigen Analytiker ungetrübt bleibt. Dann aber tritt ohne nachweisbaren äußeren Anlaß eine Störung ein. Der Analysierte tritt in Opposition zum Analytiker, er wirft ihm vor, daß er es versäumt hat, ihm eine vollständige Analyse zu geben. Er hätte doch wissen und in Betracht ziehen müssen, daß eine Übertragungsbeziehung niemals bloß positiv sein kann; er hätte sich um die Möglichkeiten einer negativen Übertragung bekümmern müssen. Der Analytiker verantwortet sich dahin, daß zur Zeit der Analyse von einer negativen Übertragung nichts zu merken war. Aber selbst angenommen, daß er leiseste Anzeichen einer solchen übersehen hätte, was bei der Enge des Horizonts in jener Frühzeit der Analyse nicht ausgeschlossen wäre, so bliebe es zweifelhaft, ob er die Macht gehabt hätte, ein Thema, oder, wie man sagt: einen »Komplex«, durch seinen bloßen Hinweis zu aktivieren, solange er beim Patienten selbst nicht aktuell war. Dazu hätte es doch gewiß einer im realen Sinne unfreundlichen Handlung gegen den Patienten bedurft. Und außerdem sei nicht jede gute Beziehung zwischen Analytiker und Analysiertem, während und nach der Analyse, als Übertragung einzuschätzen. Es gebe auch freundschaftliche Beziehungen, die real begründet sind und sich als lebensfähig erweisen.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Ich füge gleich das zweite Beispiel an, aus dem sich das nämliche Problem erhebt. Ein älteres Mädchen ist seit ihrer Pubertät durch Gehunfähigkeit infolge heftiger Beinschmerzen aus dem Leben ausgeschaltet worden, der Zustand ist offenbar hysterischer Natur, er hat vielen Behandlungen getrotzt; eine analytische Kur von dreiviertel Jahren beseitigt ihn und gibt einer tüchtigen und wertvollen Person ihre Rechte auf einen Anteil am Leben wieder. Die Jahre nach der Genesung bringen nichts Gutes: Katastrophen in der Familie, Vermögensverlust, mit dem Altern das Schwinden jeder Aussicht auf Liebesglück und Ehe. Aber die ehemals Kranke hält allem wacker stand und wirkt in schweren Zeiten als eine Stütze für die Ihrigen. Ich weiß nicht mehr, ob es 12 oder 14 Jahre nach Beendigung der Kur war, daß profuse Blutungen eine gynäkologische Untersuchung notwendig machten. </w:t>
      </w:r>
      <w:r w:rsidRPr="00A75FC3">
        <w:rPr>
          <w:rFonts w:ascii="Garamond" w:hAnsi="Garamond" w:cs="Arial"/>
          <w:color w:val="000000"/>
        </w:rPr>
        <w:t xml:space="preserve">Es fand sich ein Myom, das die Totalexstirpation des Uterus berechtigte. </w:t>
      </w:r>
      <w:r w:rsidRPr="00A75FC3">
        <w:rPr>
          <w:rFonts w:ascii="Garamond" w:hAnsi="Garamond" w:cs="Arial"/>
          <w:color w:val="000000"/>
          <w:lang w:val="en-GB"/>
        </w:rPr>
        <w:t>Von dieser Operation an war das Mädchen wieder krank. Sie verliebte sich in den Operateur, schwelgte in masochistischen Phantasien von den schrecklichen Veränderungen in ihrem Inneren, mit denen sie ihren Liebesroman verhüllte, erwies sich als unzugänglich für einen neuerlichen analytischen Versuch und wurde auch bis zu ihrem Lebensende nicht mehr normal. Die erfolgreiche Behandlung liegt so weit zurück, daß man keine großen Ansprüche an sie stellen darf; sie fällt in die ersten Jahre meiner analytischen Tätigkeit. Es ist immerhin möglich, daß die zweite Erkrankung aus derselben Wurzel stammte wie die glücklich überwundene erste, daß sie ein veränderter Ausdruck derselben verdrängten Regungen war, die in der Analyse nur eine unvollkommene Erledigung gefunden hatten. Aber ich möchte doch glauben, daß es ohne das neue Trauma nicht zum neuerlichen Ausbruch der Neurose gekommen wäre.</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lastRenderedPageBreak/>
        <w:t>Diese beiden Fälle, absichtlich ausgewählt aus einer großen Anzahl ähnlicher, werden hinreichen, um die Diskussion über unsere Themen anzufachen. Skeptiker, Optimisten, Ehrgeizige werden sie in ganz verschiedener Weise verwerten. Die ersteren werden sagen, es sei nun erwiesen, daß auch eine geglückte analytische Behandlung den derzeit Geheilten nicht davor schütze, später an einer anderen Neurose, ja selbst an einer Neurose aus der nämlichen Triebwurzel, also eigentlich an einer Wiederkehr des alten Leidens, zu erkranken. Die anderen werden diesen Beweis nicht für erbracht halten. Sie werden einwenden, die beiden Erfahrungen stammten aus den Frühzeiten der Analyse, vor 20 und vor 30 Jahren. Seither haben sich unsere Einsichten vertieft und erweitert, unsere Technik habe sich in Anpassung an die neuen Errungenschaften verändert. Man dürfe heute fordern und erwarten, daß eine analytische Heilung sich als dauernd bewähre, oder zum mindesten, daß eine neuerliche Erkrankung sich nicht als Wiederbelebung der früheren Triebstörung in neuen Ausdrucksformen erweise. Die Erfahrung nötige uns nicht, die Ansprüche an unsere Therapie in so empfindlicher Weise einzuschränken.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Ich habe natürlich die beiden Beobachtungen darum ausgewählt, weil sie so weit zurückliegen. Je rezenter ein Erfolg der Behandlung ist, desto mehr wird er begreiflicherweise unbrauchbar für unsere Erwägungen, da wir kein Mittel haben, das spätere Schicksal einer Heilung vorherzusehen. Die Erwartungen der Optimisten setzen offenbar mancherlei voraus, was nicht gerade selbstverständlich ist, erstens, daß es überhaupt möglich ist, einen Triebkonflikt (d. h. besser: einen Konflikt des Ichs mit einem Trieb) endgültig für alle Zeiten zu erledigen, zweitens, daß es gelingen kann, einen Menschen, während man ihn an dem einen Triebkonflikt behandelt, gegen alle anderen solcher Konfliktmöglichkeiten sozusagen zu impfen, drittens, daß man die Macht hat, einen solchen pathogenen Konflikt, der sich derzeit durch kein Anzeichen verrät, zum Zwecke der vorbeugenden Behandlung zu wecken, und daß man weise daran tut. Ich werfe diese Fragen auf, ohne sie gegenwärtig beantworten zu wollen. Vielleicht ist uns eine sichere Beantwortung derzeit überhaupt nicht möglich.</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Theoretische Überlegungen werden uns wahrscheinlich gestatten, einiges zu ihrer Würdigung beizutragen. Aber etwas anderes ist uns jetzt schon klar geworden: Der Weg zur Erfüllung der gesteigerten Ansprüche an die analytische Kur führt nicht zur oder über die Abkürzung ihrer Dauer.</w:t>
      </w:r>
    </w:p>
    <w:p w:rsidR="00106CDB" w:rsidRDefault="00106CDB" w:rsidP="00106CDB">
      <w:pPr>
        <w:rPr>
          <w:rFonts w:ascii="Garamond" w:hAnsi="Garamond" w:cs="Arial"/>
          <w:b/>
          <w:bCs/>
          <w:color w:val="000000"/>
          <w:lang w:val="en-GB"/>
        </w:rPr>
      </w:pPr>
      <w:r>
        <w:rPr>
          <w:rFonts w:ascii="Garamond" w:hAnsi="Garamond" w:cs="Arial"/>
          <w:b/>
          <w:bCs/>
          <w:color w:val="000000"/>
          <w:lang w:val="en-GB"/>
        </w:rPr>
        <w:br w:type="page"/>
      </w:r>
      <w:hyperlink w:anchor="unendliche_INHALT" w:history="1">
        <w:r w:rsidRPr="00CE6825">
          <w:rPr>
            <w:rStyle w:val="Lienhypertexte"/>
            <w:rFonts w:ascii="Garamond" w:hAnsi="Garamond" w:cs="Arial"/>
            <w:bCs/>
            <w:lang w:val="en-US"/>
          </w:rPr>
          <w:t>Te</w:t>
        </w:r>
        <w:bookmarkStart w:id="310" w:name="unendliche_3"/>
        <w:bookmarkEnd w:id="310"/>
        <w:r w:rsidRPr="00CE6825">
          <w:rPr>
            <w:rStyle w:val="Lienhypertexte"/>
            <w:rFonts w:ascii="Garamond" w:hAnsi="Garamond" w:cs="Arial"/>
            <w:bCs/>
            <w:lang w:val="en-US"/>
          </w:rPr>
          <w:t>il</w:t>
        </w:r>
        <w:r w:rsidRPr="00CE6825">
          <w:rPr>
            <w:rStyle w:val="Lienhypertexte"/>
            <w:rFonts w:ascii="Garamond" w:hAnsi="Garamond" w:cs="Arial"/>
            <w:b/>
            <w:bCs/>
            <w:lang w:val="en-GB"/>
          </w:rPr>
          <w:t xml:space="preserve"> III</w:t>
        </w:r>
      </w:hyperlink>
    </w:p>
    <w:p w:rsidR="00106CDB" w:rsidRPr="00A75FC3" w:rsidRDefault="00106CDB" w:rsidP="00106CDB">
      <w:pPr>
        <w:rPr>
          <w:rFonts w:ascii="Garamond" w:hAnsi="Garamond" w:cs="Arial"/>
          <w:b/>
          <w:bCs/>
          <w:color w:val="000000"/>
          <w:lang w:val="en-GB"/>
        </w:rPr>
      </w:pP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Analytische Erfahrung, die sich über mehrere Dezennien erstreckt, und ein Wechsel in der Art und Weise meiner Betätigung ermutigen </w:t>
      </w:r>
      <w:smartTag w:uri="urn:schemas-microsoft-com:office:smarttags" w:element="State">
        <w:smartTag w:uri="urn:schemas-microsoft-com:office:smarttags" w:element="place">
          <w:r w:rsidRPr="00A75FC3">
            <w:rPr>
              <w:rFonts w:ascii="Garamond" w:hAnsi="Garamond" w:cs="Arial"/>
              <w:color w:val="000000"/>
              <w:lang w:val="en-GB"/>
            </w:rPr>
            <w:t>mich</w:t>
          </w:r>
        </w:smartTag>
      </w:smartTag>
      <w:r w:rsidRPr="00A75FC3">
        <w:rPr>
          <w:rFonts w:ascii="Garamond" w:hAnsi="Garamond" w:cs="Arial"/>
          <w:color w:val="000000"/>
          <w:lang w:val="en-GB"/>
        </w:rPr>
        <w:t>, die Beantwortung der gestellten Fragen zu versuchen. In früheren Zeiten hatte ich es mit einer größeren Anzahl von Patienten zu tun, die, wie begreiflich, auf rasche Erledigung drängten; in den letzten Jahren haben die Lehranalysen überwogen, und eine im Verhältnis geringe Zahl von schwerer Leidenden blieb bei mir zu fortgesetzter, wenn auch durch kurze oder längere Pausen unterbrochener Behandlung. Bei diesen letzteren war die therapeutische Zielsetzung eine andere geworden. Eine Abkürzung der Kur kam nicht mehr in Betracht, die Absicht war, eine gründliche Erschöpfung der Krankheitsmöglichkeiten und tiefgehende Veränderung der Person herbeizuführen.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Von den drei Momenten, die wir als maßgebend für die Chancen der analytischen Therapie anerkannt haben: Einfluß von Traumen – konstitutionelle Triebstärke – Ichveränderung, kommt es uns hier nur auf das mittlere an, die Triebstärke. Die nächste Überlegung läßt uns in Zweifel ziehen, ob die Einschränkung durch das Beiwort konstitutionell (oder kongenital) unerläßlich ist. So entscheidend von allem Anfang das konstitutionelle Moment sein mag, so bleibt es doch denkbar, daß eine später im Leben auftretende Triebverstärkung die gleichen Wirkungen äußern mag. Die Formel wäre dann abzuändern: derzeitige Triebstärke anstatt der konstitutionellen. Die erste unserer Fragen hat gelautet: »Ist es möglich, einen Konflikt des Triebs mit dem Ich oder einen pathogenen Triebanspruch an das Ich durch analytische Therapie dauernd und endgültig zu erledigen?«Es ist wahrscheinlich zur Vermeidung von Mißverständnis nicht unnötig, näher auszuführen, was mit der Wortfügung: dauernde Erledigung eines Triebanspruchs gemeint ist. Gewiß nicht, daß man ihn zum Verschwinden bringt, so daß er nie wieder etwas von sich hören läßt. Das ist im allgemeinen unmöglich, wäre auch gar nicht wünschenswert. Nein, sondern etwas anderes, was man ungefähr als die »Bändigung«des Triebes bezeichnen kann: das will heißen, daß der Trieb ganz in die Harmonie des Ichs aufgenommen, allen Beeinflussungen durch die anderen Strebungen im Ich zugänglich ist, nicht mehr seine eigenen Wege zur Befriedigung geht. Fragt man, auf welchen Wegen und mit welchen Mitteln das geschieht, so hat man's nicht leicht mit der Beantwortung. Man muß sich sagen: »So muß denn doch die Hexe dran.«Die Hexe Metapsychologie nämlich. Ohne metapsychologisches Spekulieren und Theoretisieren – beinahe hätte ich gesagt: Phantasieren – kommt man hier keinen Schritt weiter. Leider sind die Auskünfte der Hexe auch diesmal weder sehr klar noch sehr ausführlich. Wir haben nur einen Anhaltspunkt – der allerdings unschätzbar – an dem Gegensatz zwischen Primär- und Sekundärvorgang, und auf den will ich auch hier verweisen.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Wenn wir jetzt zu unserer ersten Frage zurückkehren, so finden wir, daß unser neuer Gesichtspunkt uns eine bestimmte Entscheidung aufdrängt. Die Frage hat gelautet, ob es möglich ist, einen Triebkonflikt dauernd und endgültig zu erledigen, d. h.: den Triebanspruch in solcher Weise zu »bändigen«. In dieser Fragestellung wird die Triebstärke überhaupt nicht erwähnt, aber gerade von ihr hängt der Ausgang ab. Gehen wir davon aus, daß die Analyse beim Neurotiker nichts anderes leistet, als was der Gesunde ohne diese Hilfe zustande bringt. Beim Gesunden aber, lehrt die tägliche Erfahrung, gilt jede Entscheidung eines Triebkonflikts nur für eine bestimmte Triebstärke, richtiger gesagt, nur innerhalb einer bestimmten Relation zwischen Stärke des Triebs und Stärke des Ichs </w:t>
      </w:r>
      <w:hyperlink r:id="rId1474"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In gewissenhafter Korrektur: für eine gewisse Breite dieser Relation.</w:t>
        </w:r>
      </w:hyperlink>
      <w:r w:rsidRPr="00A75FC3">
        <w:rPr>
          <w:rFonts w:ascii="Garamond" w:hAnsi="Garamond" w:cs="Arial"/>
          <w:color w:val="000000"/>
          <w:lang w:val="en-GB"/>
        </w:rPr>
        <w:t xml:space="preserve">. Läßt die Stärke des Ichs nach, durch Krankheit, Erschöpfung u. dgl., so können alle bis dahin glücklich gebändigten Triebe ihre Ansprüche wieder anmelden und auf abnormen Wegen ihre Ersatzbefriedigungen anstreben </w:t>
      </w:r>
      <w:hyperlink r:id="rId1475"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 xml:space="preserve">Dies zur Rechtfertigung des ätiologischen Anspruchs so unspezifischer Momente wie Überarbeitung, Schockwirkung usw., die immer der allgemeinen Anerkennung sicher waren und gerade von der Psychoanalyse in den Hintergrund gedrängt werden mußten. Gesundheit läßt sich eben nicht anders denn metapsychologisch beschreiben, bezogen auf Kräfteverhältnisse zwischen den von uns </w:t>
        </w:r>
        <w:r w:rsidRPr="00A75FC3">
          <w:rPr>
            <w:rStyle w:val="innerfusslink3"/>
            <w:rFonts w:ascii="Garamond" w:hAnsi="Garamond" w:cs="Arial"/>
            <w:b/>
            <w:bCs/>
            <w:lang w:val="en-GB"/>
          </w:rPr>
          <w:lastRenderedPageBreak/>
          <w:t>erkannten, wenn man will, erschlossenen, vermuteten, Instanzen des seelischen Apparats.</w:t>
        </w:r>
      </w:hyperlink>
      <w:r w:rsidRPr="00A75FC3">
        <w:rPr>
          <w:rFonts w:ascii="Garamond" w:hAnsi="Garamond" w:cs="Arial"/>
          <w:color w:val="000000"/>
          <w:lang w:val="en-GB"/>
        </w:rPr>
        <w:t>. Den unwiderleglichen Beweis für diese Behauptung gibt schon der nächtliche Traum, der auf die Schlafeinstellung des Ichs mit dem Erwachen der Triebansprüche reagiert.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Ebenso unzweifelhaft ist das Material von der anderen Seite. Zweimal im Laufe der individuellen Entwicklung treten erhebliche Verstärkungen gewisser Triebe auf, zur Pubertät und um die Menopause bei Frauen. Wir sind nicht im geringsten überrascht, wenn Personen, die vorher nicht neurotisch waren, es um diese Zeiten werden. Die Bändigung der Triebe, die ihnen bei geringerer Stärke derselben gelungen war, mißlingt nun bei deren Verstärkung. Die Verdrängungen benehmen sich wie Dämme gegen den Andrang der Gewässer. Dasselbe, was diese beiden physiologischen Triebverstärkungen leisten, kann in irregulärer Weise zu jeder anderen Lebenszeit durch akzidentelle Einflüsse herbeigeführt werden. Es kommt zu Triebverstärkungen durch neue Traumen, aufgezwungene Versagungen, kollaterale Beeinflussungen der Triebe untereinander. Der Erfolg ist alle Male der gleiche und erhärtet die unwiderstehliche Macht des quantitativen Moments in der Krankheitsverursachung.</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Ich bekomme hier den Eindruck, als müßte ich mich all dieser schwerfälligen Erörterungen schämen, da doch das, was sie sagen, längst bekannt und selbstverständlich ist. Wirklich, wir haben uns immer so benommen, als wüßten wir es; nur, daß wir in unseren theoretischen Vorstellungen zumeist versäumt haben, dem </w:t>
      </w:r>
      <w:r w:rsidRPr="00A75FC3">
        <w:rPr>
          <w:rFonts w:ascii="Garamond" w:hAnsi="Garamond" w:cs="Arial"/>
          <w:i/>
          <w:iCs/>
          <w:color w:val="000000"/>
          <w:lang w:val="en-GB"/>
        </w:rPr>
        <w:t>ökonomischen</w:t>
      </w:r>
      <w:r w:rsidRPr="00A75FC3">
        <w:rPr>
          <w:rFonts w:ascii="Garamond" w:hAnsi="Garamond" w:cs="Arial"/>
          <w:color w:val="000000"/>
          <w:lang w:val="en-GB"/>
        </w:rPr>
        <w:t xml:space="preserve"> Gesichtspunkt in demselben Maß Rechnung zu tragen wie dem </w:t>
      </w:r>
      <w:r w:rsidRPr="00A75FC3">
        <w:rPr>
          <w:rFonts w:ascii="Garamond" w:hAnsi="Garamond" w:cs="Arial"/>
          <w:i/>
          <w:iCs/>
          <w:color w:val="000000"/>
          <w:lang w:val="en-GB"/>
        </w:rPr>
        <w:t>dynamischen</w:t>
      </w:r>
      <w:r w:rsidRPr="00A75FC3">
        <w:rPr>
          <w:rFonts w:ascii="Garamond" w:hAnsi="Garamond" w:cs="Arial"/>
          <w:color w:val="000000"/>
          <w:lang w:val="en-GB"/>
        </w:rPr>
        <w:t xml:space="preserve"> und dem </w:t>
      </w:r>
      <w:r w:rsidRPr="00A75FC3">
        <w:rPr>
          <w:rFonts w:ascii="Garamond" w:hAnsi="Garamond" w:cs="Arial"/>
          <w:i/>
          <w:iCs/>
          <w:color w:val="000000"/>
          <w:lang w:val="en-GB"/>
        </w:rPr>
        <w:t>topischen.</w:t>
      </w:r>
      <w:r w:rsidRPr="00A75FC3">
        <w:rPr>
          <w:rFonts w:ascii="Garamond" w:hAnsi="Garamond" w:cs="Arial"/>
          <w:color w:val="000000"/>
          <w:lang w:val="en-GB"/>
        </w:rPr>
        <w:t xml:space="preserve"> Meine Entschuldigung ist also, daß ich an dieses Versäumnis mahne.</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Ehe wir uns aber für eine Antwort auf unsere Frage entscheiden, haben wir einen Einwand anzuhören, dessen Stärke darin besteht, daß wir wahrscheinlich von vornherein für ihn gewonnen sind. Er sagt, unsere Argumente sind alle aus den spontanen Vorgängen zwischen Ich und Trieb hergeleitet und setzen voraus, daß die analytische Therapie nichts machen kann, was nicht unter günstigen, normalen Verhältnissen von selbst geschieht. Aber ist das wirklich so? Erhebt nicht gerade unsere Theorie den Anspruch, einen Zustand herzustellen, der im Ich spontan nie vorhanden ist und dessen Neuschöpfung den wesentlichen Unterschied zwischen dem analysierten und dem nicht analysierten Menschen ausmacht? Halten wir uns vor, worauf sich dieser Anspruch beruft. Alle Verdrängungen geschehen in früher Kindheit; es sind primitive Abwehrmaßregeln des unreifen, schwachen Ichs. In späteren Jahren werden keine neuen Verdrängungen vollzogen, aber die alten erhalten sich, und ihre Dienste werden vom Ich weiterhin zur Triebbeherrschung in Anspruch genommen. Neue Konflikte werden, wie wir es ausdrücken, durch »Nachverdrängung«erledigt. Von diesen infantilen Verdrängungen mag gelten, was wir allgemein behauptet haben, daß sie voll und ganz vom relativen Kräfteverhältnis abhängen und einer Steigerung der Triebstärke nicht standhalten können. Die Analyse aber läßt das gereifte und erstarkte Ich eine Revision dieser alten Verdrängungen vornehmen; einige werden abgetragen, andere anerkannt, aber aus soliderem Material neu aufgebaut. Diese neuen Dämme haben eine ganz andere Haltbarkeit als die früheren; ihnen darf man zutrauen, daß sie den Hochfluten der Triebsteigerung nicht so leicht nachgeben werden. Die nachträgliche Korrektur des ursprünglichen Verdrängungsvorganges, die der Übermacht des quantitativen Faktors ein Ende macht, wäre also die eigentliche Leistung der analytischen Therapie.</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So weit unsere Theorie, auf die wir ohne unwidersprechlichen Zwang nicht verzichten können. Und was sagt die Erfahrung dazu? Die ist vielleicht noch nicht umfassend genug für eine sichere Entscheidung. Oft genug gibt sie unseren Erwartungen recht, doch nicht jedesmal. Man hat den Eindruck, daß man nicht überrascht sein dürfte, wenn sich am Ende herausstellt, daß der Unterschied zwischen dem nicht Analysierten und dem späteren Verhalten des Analysierten doch nicht so durchgreifend ist, wie wir es erstreben, erwarten und behaupten. Demnach würde es der Analyse zwar manchmal gelingen, den Einfluß der Triebverstärkung auszuschalten, aber nicht regelmäßig. Oder ihre Wirkung beschränkte sich darauf, die Widerstandskraft der Hemmungen zu erhöhen, so daß sie nach der Analyse weit stärkeren </w:t>
      </w:r>
      <w:r w:rsidRPr="00A75FC3">
        <w:rPr>
          <w:rFonts w:ascii="Garamond" w:hAnsi="Garamond" w:cs="Arial"/>
          <w:color w:val="000000"/>
          <w:lang w:val="en-GB"/>
        </w:rPr>
        <w:lastRenderedPageBreak/>
        <w:t>Anforderungen gewachsen wären als vor der Analyse oder ohne eine solche. Ich getraue mich hier wirklich keiner Entscheidung, weiß auch nicht, ob sie derzeit möglich ist.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Man kann sich dem Verständnis dieser Unstetigkeit in der Wirkung der Analyse aber von anderer Seite her nähern. Wir wissen, es ist der erste Schritt zur intellektuellen Bewältigung der Umwelt, in der wir leben, daß wir Allgemeinheiten, Regeln, Gesetze herausfinden, die Ordnung in das Chaos bringen. Durch diese Arbeit vereinfachen wir die Welt der Phänomene, können aber nicht umhin, sie auch zu verfälschen, besonders wenn es sich um Vorgänge von Entwicklung und Umwandlung handelt. Es kommt uns darauf an, eine qualitative Änderung zu erfassen, und wir vernachlässigen dabei in der Regel, wenigstens zunächst, einen quantitativen Faktor. In der Realität sind die Übergänge und Zwischenstufen weit häufiger als die scharf gesonderten, gegensätzlichen Zustände. Bei Entwicklungen und Verwandlungen richtet sich unsere Aufmerksamkeit allein auf das Resultat; wir übersehen gern, daß sich solche Vorgänge gewöhnlich mehr oder weniger unvollständig vollziehen, also eigentlich im Grunde nur partielle Veränderungen sind. Der scharfsinnige Satiriker des alten Österreichs, J. Nestroy, hat einmal geäußert: »Ein jeder Fortschritt ist nur immer halb so groß, als wie er zuerst ausschaut.«Man wäre versucht, dem boshaften Satz eine recht allgemeine Geltung zuzusprechen. Es gibt fast immer Resterscheinungen, ein partielles Zurückbleiben. Wenn der freigebige Mäzen uns durch einen vereinzelten Zug von Knauserei überrascht, der sonst Übergute sich plötzlich in einer feindseligen Handlung gehenläßt, so sind diese »Resterscheinungen«unschätzbar für die genetische Forschung. Sie zeigen uns, daß jene lobenswerten und wertvollen Eigenschaften auf Kompensation und Überkompensation beruhen, die, wie zu erwarten stand, nicht durchaus, nicht nach dem vollen Betrag gelungen sind. Wenn unsere erste Beschreibung der Libidoentwicklung gelautet hat, eine ursprüngliche, orale Phase mache der sadistisch-analen und diese der phallisch-genitalen Platz, so hat spätere Forschung dem nicht etwa widersprochen, sondern zur Korrektur hinzugefügt, daß diese Ersetzungen nicht plötzlich, sondern allmählich erfolgen, so daß jederzeit Stücke der früheren Organisation neben der neueren fortbestehen, und daß selbst bei normaler Entwicklung die Umwandlung nie vollständig geschieht, so daß noch in der endgültigen Gestaltung Reste der früheren Libidofixierungen erhalten bleiben können. Auf ganz anderen Gebieten sehen wir das nämliche. Keiner der angeblich überwundenen Irr- und Aberglauben der Menschheit, von dem nicht Reste heute unter uns fortleben, in den tieferen Schichten der Kulturvölker oder selbst in den obersten Schichten der Kulturgesellschaft. Was einmal zu Leben gekommen ist, weiß sich zäh zu behaupten. Manchmal könnte man zweifeln, ob die Drachen der Urzeit wirklich ausgestorben sind.</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Um nun die Anwendung auf unseren Fall zu machen, ich meine, die Antwort auf die Frage, wie sich die Unstetigkeit unserer analytischen Therapie erklärt, könnte leicht sein, daß wir unsere Absicht, die undichten Verdrängungen durch zuverlässige, ichgerechte Bewältigungen zu ersetzen, auch nicht immer im vollen Umfang, also nicht gründlich genug erreichen. Die Umwandlung gelingt, aber oft nur partiell; Anteile der alten Mechanismen bleiben von der analytischen Arbeit unberührt. Es läßt sich schwer beweisen, daß dem wirklich so ist; wir haben ja keinen anderen Weg, es zu beurteilen, als eben den Erfolg, den es zu erklären gilt. Aber die Eindrücke, die man während der analytischen Arbeit empfängt, widersprechen unserer Annahme nicht, scheinen sie eher zu bestätigen. Man darf nur die Klarheit unserer eigenen Einsicht nicht zum Maß der Überzeugung nehmen, die wir beim Analysierten hervorrufen. Es mag ihr an »Tiefe«fehlen, wie wir sagen können; es handelt sich immer um den gerne übersehenen quantitativen Faktor. Wenn dies die Lösung ist, so kann man sagen, die Analyse habe mit ihrem Anspruch, sie heile Neurosen durch die Sicherung der Triebbeherrschung, in der Theorie immer recht, in der Praxis nicht immer. Und zwar darum, weil es ihr nicht immer gelingt, die Grundlagen der Triebbeherrschung in genügendem Ausmaß zu sichern. Der Grund dieses partiellen Mißerfolgs ist leicht zu finden. Das quantitative Moment der Triebstärke hatte sich seinerzeit dem Abwehrstreben des Ichs widersetzt; wir haben darum die analytische Arbeit zu Hilfe gerufen, und nun setzt dasselbe Moment der Wirksamkeit dieser neuen Bemühung eine Grenze. Bei übergroßer Triebstärke mißlingt dem gereiften und von der </w:t>
      </w:r>
      <w:r w:rsidRPr="00A75FC3">
        <w:rPr>
          <w:rFonts w:ascii="Garamond" w:hAnsi="Garamond" w:cs="Arial"/>
          <w:color w:val="000000"/>
          <w:lang w:val="en-GB"/>
        </w:rPr>
        <w:lastRenderedPageBreak/>
        <w:t>Analyse unterstützten Ich die Aufgabe, ähnlich wie früher dem hilflosen Ich; die Triebbeherrschung wird besser, aber sie bleibt unvollkommen, weil die Umwandlung des Abwehrmechanismus nur unvollständig ist. Daran ist nichts zu verwundern, denn die Analyse arbeitet nicht mit unbegrenzten, sondern mit beschränkten Machtmitteln, und das Endergebnis hängt immer vom relativen Kräfteverhältnis der miteinander ringenden Instanzen ab.</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Es ist unzweifelhaft wünschenswert, die Dauer einer analytischen Kur abzukürzen, aber der Weg zur Durchsetzung unserer therapeutischen Absicht führt nur über die Verstärkung der analytischen Hilfskraft, die wir dem Ich zuführen wollen. Die hypnotische Beeinflussung schien ein ausgezeichnetes Mittel für unsere Zwecke zu sein; es ist bekannt, warum wir darauf verzichten mußten. Ein Ersatz für die Hypnose ist bisher nicht gefunden worden, aber man versteht von diesem Gesichtspunkt aus die leider vergeblichen therapeutischen Bemühungen, denen ein Meister der Analyse wie Ferenczi seine letzten Lebensjahre gewidmet hat.</w:t>
      </w:r>
    </w:p>
    <w:p w:rsidR="00106CDB" w:rsidRDefault="00106CDB" w:rsidP="00106CDB">
      <w:pPr>
        <w:rPr>
          <w:rFonts w:ascii="Garamond" w:hAnsi="Garamond" w:cs="Arial"/>
          <w:b/>
          <w:bCs/>
          <w:color w:val="000000"/>
          <w:lang w:val="en-GB"/>
        </w:rPr>
      </w:pPr>
      <w:r>
        <w:rPr>
          <w:rFonts w:ascii="Garamond" w:hAnsi="Garamond" w:cs="Arial"/>
          <w:b/>
          <w:bCs/>
          <w:color w:val="000000"/>
          <w:lang w:val="en-GB"/>
        </w:rPr>
        <w:br w:type="page"/>
      </w:r>
      <w:hyperlink w:anchor="unendliche_INHALT" w:history="1">
        <w:r w:rsidRPr="00CE6825">
          <w:rPr>
            <w:rStyle w:val="Lienhypertexte"/>
            <w:rFonts w:ascii="Garamond" w:hAnsi="Garamond" w:cs="Arial"/>
            <w:bCs/>
            <w:lang w:val="en-US"/>
          </w:rPr>
          <w:t>Te</w:t>
        </w:r>
        <w:bookmarkStart w:id="311" w:name="unendliche_4"/>
        <w:bookmarkEnd w:id="311"/>
        <w:r w:rsidRPr="00CE6825">
          <w:rPr>
            <w:rStyle w:val="Lienhypertexte"/>
            <w:rFonts w:ascii="Garamond" w:hAnsi="Garamond" w:cs="Arial"/>
            <w:bCs/>
            <w:lang w:val="en-US"/>
          </w:rPr>
          <w:t>il</w:t>
        </w:r>
        <w:r w:rsidRPr="00CE6825">
          <w:rPr>
            <w:rStyle w:val="Lienhypertexte"/>
            <w:rFonts w:ascii="Garamond" w:hAnsi="Garamond" w:cs="Arial"/>
            <w:b/>
            <w:bCs/>
            <w:lang w:val="en-GB"/>
          </w:rPr>
          <w:t xml:space="preserve"> IV</w:t>
        </w:r>
      </w:hyperlink>
    </w:p>
    <w:p w:rsidR="00106CDB" w:rsidRPr="00A75FC3" w:rsidRDefault="00106CDB" w:rsidP="00106CDB">
      <w:pPr>
        <w:rPr>
          <w:rFonts w:ascii="Garamond" w:hAnsi="Garamond" w:cs="Arial"/>
          <w:b/>
          <w:bCs/>
          <w:color w:val="000000"/>
          <w:lang w:val="en-GB"/>
        </w:rPr>
      </w:pP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Die beiden anschließenden Fragen, ob man den Patienten während der Behandlung eines Triebkonflikts gegen zukünftige Triebkonflikte schützen kann und ob es ausführbar und zweckmäßig ist, einen derzeit nicht manifesten Triebkonflikt zum Zwecke der Vorbeugung zu wecken, sollen miteinander behandelt werden, denn es ist offenbar, daß man die erste Aufgabe nur lösen kann, indem man das zweite tut, also den in der Zukunft möglichen Konflikt in einen aktuellen verwandelt, den man der Beeinflussung unterzieht. Diese neue Fragestellung ist im Grunde nur eine Fortführung der früheren. Handelte es sich vorhin um eine Verhütung der Wiederkehr </w:t>
      </w:r>
      <w:r w:rsidRPr="00A75FC3">
        <w:rPr>
          <w:rFonts w:ascii="Garamond" w:hAnsi="Garamond" w:cs="Arial"/>
          <w:i/>
          <w:iCs/>
          <w:color w:val="000000"/>
          <w:lang w:val="en-GB"/>
        </w:rPr>
        <w:t>desselben</w:t>
      </w:r>
      <w:r w:rsidRPr="00A75FC3">
        <w:rPr>
          <w:rFonts w:ascii="Garamond" w:hAnsi="Garamond" w:cs="Arial"/>
          <w:color w:val="000000"/>
          <w:lang w:val="en-GB"/>
        </w:rPr>
        <w:t xml:space="preserve"> Konflikts, so jetzt um seine mögliche Ersetzung durch einen anderen. Was man da vorhat, klingt sehr ehrgeizig, aber man will sich nur klarmachen, welche Grenzen der Leistungsfähigkeit einer analytischen Therapie gesteckt sind.</w:t>
      </w:r>
    </w:p>
    <w:p w:rsidR="00106CDB" w:rsidRPr="00A75FC3" w:rsidRDefault="00106CDB" w:rsidP="00106CDB">
      <w:pPr>
        <w:rPr>
          <w:rFonts w:ascii="Garamond" w:hAnsi="Garamond" w:cs="Arial"/>
          <w:color w:val="000000"/>
          <w:lang w:val="en-GB"/>
        </w:rPr>
      </w:pPr>
      <w:r w:rsidRPr="00106CDB">
        <w:rPr>
          <w:rFonts w:ascii="Garamond" w:hAnsi="Garamond" w:cs="Arial"/>
          <w:color w:val="000000"/>
          <w:lang w:val="en-GB"/>
        </w:rPr>
        <w:t xml:space="preserve">Sosehr es den therapeutischen Ehrgeiz verlocken mag, sich derartige Aufgaben zu stellen, die Erfahrung hat nur eine glatte Abweisung bereit. </w:t>
      </w:r>
      <w:r w:rsidRPr="00A75FC3">
        <w:rPr>
          <w:rFonts w:ascii="Garamond" w:hAnsi="Garamond" w:cs="Arial"/>
          <w:color w:val="000000"/>
          <w:lang w:val="en-GB"/>
        </w:rPr>
        <w:t>Wenn ein Triebkonflikt nicht aktuell ist, sich nicht äußert, kann man ihn auch durch die Analyse nicht beeinflussen. Die Warnung, schlafende Hunde nicht zu wecken, die man unseren Bemühungen um die Erforschung der psychischen Unterwelt so oft entgegengehalten, ist für die Verhältnisse des Seelenlebens ganz besonders unangebracht. Denn, wenn die Triebe Störungen machen, ist es ein Beweis, daß die Hunde nicht schlafen, und wenn sie wirklich zu schlafen scheinen, liegt es nicht in unserer Macht, sie aufzuwecken. Diese letztere Behauptung scheint aber nicht ganz zutreffend, sie fordert eine eingehendere Diskussion heraus. Überlegen wir, welche Mittel wir haben, um einen derzeit latenten Triebkonflikt aktuell zu machen. Offenbar können wir nur zweierlei tun: entweder Situationen herbeiführen, in denen er aktuell wird, oder uns damit begnügen, von ihm in der Analyse zu sprechen, auf seine Möglichkeit hinzuweisen. Die erstere Absicht kann auf zweierlei Wegen erreicht werden; erstens in der Realität, zweitens in der Übertragung, beide Male, indem wir den Patienten einem Maß von realem Leiden durch Versagung und Libidostauung aussetzen. Nun ist es richtig, daß wir uns einer solchen Technik schon in der gewöhnlichen Übung der Analyse bedienen. Was wäre sonst der Sinn der Vorschrift, daß die Analyse »in der Versagung«durchgeführt werden soll? Aber das ist eine Technik bei der Behandlung eines bereits aktuellen Konflikts. Wir suchen diesen Konflikt zuzuspitzen, ihn zur schärfsten Ausbildung zu bringen, um die Triebkraft für seine Lösung zu steigern. Die analytische Erfahrung hat uns gezeigt, daß jedes Besser ein Feind des Guten ist, daß wir in jeder Phase der Herstellung mit der Trägheit des Patienten zu kämpfen haben, die bereit ist, sich mit einer unvollkommenen Erledigung zu begnügen.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Wenn wir aber auf eine vorbeugende Behandlung von nicht aktuellen, bloß möglichen Triebkonflikten ausgehen, genügt es nicht, vorhandenes und unvermeidliches Leiden zu regulieren, man müßte sich entschließen, neues ins Leben zu rufen, und dies hat man bisher gewiß mit Recht dem Schicksal überlassen. Von allen Seiten würde man vor der Vermessenheit gewarnt werden, im Wettbewerb mit dem Schicksal so grausame Versuche mit den armen Menschenkindern anzustellen. Und welcher Art würden diese sein? Kann man es verantworten, daß man im Dienst der Prophylaxe eine befriedigende Ehe zerstört oder eine Stellung aufgeben läßt, mit der die Lebenssicherung des Analysierten verbunden ist? Zum Glück kommt man gar nicht in die Lage, über die Berechtigung solcher Eingriffe ins reale Leben nachzudenken; man hat überhaupt nicht die Machtvollkommenheit, die sie erfordern, und das Objekt dieses therapeutischen Experiments würde gewiß nicht mittun wollen. Ist dergleichen also in der Praxis so gut wie ausgeschlossen, so hat die Theorie noch andere Einwände dagegen. Die analytische Arbeit geht nämlich am besten vor sich, wenn die pathogenen Erlebnisse der Vergangenheit angehören, so daß das Ich Distanz zu ihnen gewinnen konnte. In akut krisenhaften Zuständen ist die Analyse so gut wie nicht zu brauchen. Alles Interesse des Ichs wird dann von der schmerzhaften Realität in Anspruch genommen und verweigert sich der Analyse, die hinter diese Oberfläche führen und die Einflüsse der Vergangenheit </w:t>
      </w:r>
      <w:r w:rsidRPr="00A75FC3">
        <w:rPr>
          <w:rFonts w:ascii="Garamond" w:hAnsi="Garamond" w:cs="Arial"/>
          <w:color w:val="000000"/>
          <w:lang w:val="en-GB"/>
        </w:rPr>
        <w:lastRenderedPageBreak/>
        <w:t>aufdecken will. Einen frischen Konflikt zu schaffen wird also die analytische Arbeit nur verlängern und erschweren.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Man wird einwenden, das seien völlig überflüssige Erörterungen. Niemand denke daran, die Behandlungsmöglichkeit des latenten Triebkonflikts dadurch herzustellen, daß man absichtlich eine neue Leidenssituation heraufbeschwört. Das sei auch keine rühmenswerte prophylaktische Leistung. Es sei zum Beispiel bekannt, daß eine überstandene Scarlatina eine Immunität gegen die Wiederkehr der gleichen Erkrankung zurückläßt; darum fällt es doch den Internisten nicht ein, einen Gesunden, der möglicherweise an Scarlatina erkranken kann, zum Zwecke dieser Sicherung mit Scarlatina zu infizieren. Die Schutzhandlung darf nicht dieselbe Gefahrsituation herstellen wie die der Erkrankung selbst, sondern nur eine um sehr viel geringere, wie es bei der Blatternimpfung und vielen ähnlichen Verfahren erreicht wird. Es kämen also auch bei einer analytischen Prophylaxe der Triebkonflikte nur die beiden anderen Methoden in Betracht, die künstliche Erzeugung von neuen Konflikten in der Übertragung, denen doch der Charakter der Realität abgeht, und die Erweckung solcher Konflikte in der Vorstellung des Analysierten, indem man von ihnen spricht und ihn mit ihrer Möglichkeit vertraut macht.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Ich weiß nicht, ob man behaupten darf, das erstere dieser beiden milderen Verfahren sei in der Analyse durchaus unanwendbar. Es fehlt an besonders darauf gerichteten Untersuchungen. Aber es drängen sich sofort Schwierigkeiten auf, die das Unternehmen nicht als sehr aussichtsreich erscheinen lassen. Erstens, daß man in der Auswahl solcher Situationen für die Übertragung recht eingeschränkt ist. Der Analysierte selbst kann nicht alle seine Konflikte in der Übertragung unterbringen; ebensowenig kann der Analytiker aus der Übertragungssituation alle möglichen Triebkonflikte des Patienten wachrufen. Man kann ihn etwa eifersüchtig werden oder Liebesenttäuschungen erleben lassen, aber dazu braucht es keine technische Absicht. Dergleichen tritt ohnedies spontan in den meisten Analysen auf. Zweitens aber darf man nicht übersehen, daß alle solche Veranstaltungen unfreundliche Handlungen gegen den Analysierten notwendig machen, und durch diese schädigt man die zärtliche Einstellung zum Analytiker, die positive Übertragung, die das stärkste Motiv für die Beteiligung des Analysierten an der gemeinsamen analytischen Arbeit ist. Man wird also von diesen Verfahren keinesfalls viel erwarten dürfen.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So erübrigt also nur jener Weg, den man ursprünglich wahrscheinlich allein im Auge gehabt hat. Man erzählt dem Patienten von den Möglichkeiten anderer Triebkonflikte und weckt seine Erwartung, daß sich dergleichen auch bei ihm ereignen könnte. Man hofft nun, solche Mitteilung und Warnung werde den Erfolg haben, beim Patienten einen der angedeuteten Konflikte in bescheidenem und doch zur Behandlung zureichendem Maß zu aktivieren. Aber diesmal gibt die Erfahrung eine unzweideutige Antwort. Der erwartete Erfolg stellt sich nicht ein. Der Patient hört die Botschaft wohl, allein es fehlt der Widerhall. Er mag sich denken: »Das ist ja sehr interessant, aber ich verspüre nichts davon.«Man hat sein Wissen vermehrt und sonst nichts in ihm verändert. Der Fall ist ungefähr derselbe wie bei der Lektüre psychoanalytischer Schriften. Der Leser wird nur bei jenen Stellen »aufgeregt«, in denen er sich getroffen fühlt, die also die in ihm derzeit wirksamen Konflikte betreffen. Alles andere läßt ihn kalt. Ich meine, man kann analoge Erfahrungen machen, wenn man Kindern sexuelle Aufklärungen gibt. Ich bin weit entfernt zu behaupten, es sei ein schädliches oder überflüssiges Vorgehen, aber man hat offenbar die vorbeugende Wirkung dieser liberalen Maßregel weit überschätzt. Die Kinder wissen jetzt etwas, was sie bisher nicht gewußt haben, aber sie machen nichts mit den neuen, ihnen geschenkten Kenntnissen. Man überzeugt sich, daß sie nicht einmal so rasch bereit sind, ihnen jene, man möchte sagen: naturwüchsigen, Sexualtheorien zum Opfer zu bringen, die sie im Einklang mit und in Abhängigkeit von ihrer unvollkommenen Libidoorganisation gebildet haben, von der Rolle des Storchs, von der Natur des sexuellen Verkehrs, von der Art, wie die Kinder zustande kommen. Noch lange Zeit, nachdem sie die sexuelle Aufklärung empfangen haben, benehmen sie sich wie die Primitiven, denen man das Christentum aufgedrängt hat und die im geheimen fortfahren, ihre alten Götzen zu verehren.</w:t>
      </w:r>
    </w:p>
    <w:p w:rsidR="00106CDB" w:rsidRDefault="00106CDB" w:rsidP="00106CDB">
      <w:pPr>
        <w:rPr>
          <w:rFonts w:ascii="Garamond" w:hAnsi="Garamond" w:cs="Arial"/>
          <w:b/>
          <w:bCs/>
          <w:color w:val="000000"/>
          <w:lang w:val="en-GB"/>
        </w:rPr>
      </w:pPr>
      <w:r>
        <w:rPr>
          <w:rFonts w:ascii="Garamond" w:hAnsi="Garamond" w:cs="Arial"/>
          <w:b/>
          <w:bCs/>
          <w:color w:val="000000"/>
          <w:lang w:val="en-GB"/>
        </w:rPr>
        <w:br w:type="page"/>
      </w:r>
      <w:hyperlink w:anchor="unendliche_INHALT" w:history="1">
        <w:r w:rsidRPr="00CE6825">
          <w:rPr>
            <w:rStyle w:val="Lienhypertexte"/>
            <w:rFonts w:ascii="Garamond" w:hAnsi="Garamond" w:cs="Arial"/>
            <w:bCs/>
            <w:lang w:val="en-US"/>
          </w:rPr>
          <w:t>Te</w:t>
        </w:r>
        <w:bookmarkStart w:id="312" w:name="unendliche_5"/>
        <w:bookmarkEnd w:id="312"/>
        <w:r w:rsidRPr="00CE6825">
          <w:rPr>
            <w:rStyle w:val="Lienhypertexte"/>
            <w:rFonts w:ascii="Garamond" w:hAnsi="Garamond" w:cs="Arial"/>
            <w:bCs/>
            <w:lang w:val="en-US"/>
          </w:rPr>
          <w:t>il</w:t>
        </w:r>
        <w:r w:rsidRPr="00CE6825">
          <w:rPr>
            <w:rStyle w:val="Lienhypertexte"/>
            <w:rFonts w:ascii="Garamond" w:hAnsi="Garamond" w:cs="Arial"/>
            <w:b/>
            <w:bCs/>
            <w:lang w:val="en-GB"/>
          </w:rPr>
          <w:t xml:space="preserve"> V</w:t>
        </w:r>
      </w:hyperlink>
    </w:p>
    <w:p w:rsidR="00106CDB" w:rsidRPr="00A75FC3" w:rsidRDefault="00106CDB" w:rsidP="00106CDB">
      <w:pPr>
        <w:rPr>
          <w:rFonts w:ascii="Garamond" w:hAnsi="Garamond" w:cs="Arial"/>
          <w:b/>
          <w:bCs/>
          <w:color w:val="000000"/>
          <w:lang w:val="en-GB"/>
        </w:rPr>
      </w:pP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Wir sind von der Frage ausgegangen, wie man die beschwerlich lange Dauer einer analytischen Behandlung abkürzen kann, und sind dann, immer noch vom Interesse für zeitliche Verhältnisse geleitet, zur Untersuchung fortgeschritten, ob man Dauerheilung erzielen oder gar durch vorbeugende Behandlung zukünftige Erkrankung fernhalten kann. Wir haben dabei als maßgebend für den Erfolg unserer therapeutischen Bemühung erkannt die Einflüsse der traumatischen Ätiologie, die relative Stärke der zu beherrschenden Triebe und etwas, was wir die Ichveränderung nannten. Nur bei dem zweiten dieser Momente haben wir ausführlicher verweilt, hatten dabei Anlaß, die überragende Wichtigkeit des quantitativen Faktors anzuerkennen und das Anrecht der metapsychologischen Betrachtungsweise bei jedem Erklärungsversuch zu betonen.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Über das dritte Moment, das der Ichveränderung, haben wir noch nichts geäußert. Wenden wir uns ihm zu, so empfangen wir den ersten Eindruck, daß hier viel zu fragen und zu beantworten ist und daß, was wir dazu zu sagen haben, sich als sehr unzureichend erweisen wird. Dieser erste Eindruck hält auch bei weiterer Beschäftigung mit dem Problem stand. Die analytische Situation besteht bekanntlich darin, daß wir uns mit dem Ich der Objektperson verbünden, um unbeherrschte Anteile ihres Es zu unterwerfen, also sie in die Synthese des Ichs einzubeziehen. Die Tatsache, daß ein solches Zusammenarbeiten beim Psychotiker regelmäßig mißlingt, leiht unserem Urteil einen ersten festen Punkt. </w:t>
      </w:r>
      <w:r w:rsidRPr="00A75FC3">
        <w:rPr>
          <w:rFonts w:ascii="Garamond" w:hAnsi="Garamond" w:cs="Arial"/>
          <w:color w:val="000000"/>
        </w:rPr>
        <w:t xml:space="preserve">Das Ich, mit dem wir einen solchen Pakt schließen können, muß ein normales Ich sein. </w:t>
      </w:r>
      <w:r w:rsidRPr="00A75FC3">
        <w:rPr>
          <w:rFonts w:ascii="Garamond" w:hAnsi="Garamond" w:cs="Arial"/>
          <w:color w:val="000000"/>
          <w:lang w:val="en-GB"/>
        </w:rPr>
        <w:t>Aber ein solches Normal-Ich ist, wie die Normalität überhaupt, eine Idealfiktion. Das abnorme, für unsere Absichten unbrauchbare Ich ist leider keine. Jeder Normale ist eben nur durchschnittlich normal, sein Ich nähert sich dem des Psychotikers in dem oder jenem Stück, in größerem oder geringerem Ausmaß, und der Betrag der Entfernung von dem einen und der Annäherung an das andere Ende der Reihe wird uns vorläufig ein Maß für die so unbestimmt gekennzeichnete »Ichveränderung«sein.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Fragen wir, woher die so mannigfaltigen Arten und Grade der Ichveränderung rühren mögen, so ist die nächste unvermeidliche Alternative, sie sind entweder ursprünglich oder erworben. Der zweite Fall wird leichter zu behandeln sein. Wenn erworben, dann gewiß im Laufe der Entwicklung von den ersten Lebenszeiten an. Von allem Anfang an muß ja das Ich seine Aufgabe zu erfüllen suchen, zwischen seinem Es und der Außenwelt im Dienste des Lustprinzips vermitteln, das Es gegen die Gefahren der Außenwelt behüten. Wenn es im Laufe dieser Bemühung lernt, sich auch gegen das eigene Es defensiv einzustellen und dessen Triebansprüche wie äußere Gefahren zu behandeln, so geschieht dies wenigstens zum Teil darum, weil es versteht, daß die Triebbefriedigung zu Konflikten mit der Außenwelt führen würde. Das Ich gewöhnt sich dann unter dem Einfluß der Erziehung, den Schauplatz des Kampfes von außen nach innen zu verlegen, die </w:t>
      </w:r>
      <w:r w:rsidRPr="00A75FC3">
        <w:rPr>
          <w:rFonts w:ascii="Garamond" w:hAnsi="Garamond" w:cs="Arial"/>
          <w:i/>
          <w:iCs/>
          <w:color w:val="000000"/>
          <w:lang w:val="en-GB"/>
        </w:rPr>
        <w:t>innere</w:t>
      </w:r>
      <w:r w:rsidRPr="00A75FC3">
        <w:rPr>
          <w:rFonts w:ascii="Garamond" w:hAnsi="Garamond" w:cs="Arial"/>
          <w:color w:val="000000"/>
          <w:lang w:val="en-GB"/>
        </w:rPr>
        <w:t xml:space="preserve"> Gefahr zu bewältigen, ehe sie zur </w:t>
      </w:r>
      <w:r w:rsidRPr="00A75FC3">
        <w:rPr>
          <w:rFonts w:ascii="Garamond" w:hAnsi="Garamond" w:cs="Arial"/>
          <w:i/>
          <w:iCs/>
          <w:color w:val="000000"/>
          <w:lang w:val="en-GB"/>
        </w:rPr>
        <w:t>äußeren</w:t>
      </w:r>
      <w:r w:rsidRPr="00A75FC3">
        <w:rPr>
          <w:rFonts w:ascii="Garamond" w:hAnsi="Garamond" w:cs="Arial"/>
          <w:color w:val="000000"/>
          <w:lang w:val="en-GB"/>
        </w:rPr>
        <w:t xml:space="preserve"> geworden ist, und tut wahrscheinlich zumeist gut daran. Während dieses Kampfes auf zwei Fronten – später wird eine dritte Front hinzukommen – bedient sich das Ich verschiedener Verfahren, um seiner Aufgabe zu genügen, allgemein ausgedrückt, um Gefahr, Angst, Unlust zu vermeiden. Wir nennen diese Verfahren » </w:t>
      </w:r>
      <w:r w:rsidRPr="00A75FC3">
        <w:rPr>
          <w:rFonts w:ascii="Garamond" w:hAnsi="Garamond" w:cs="Arial"/>
          <w:i/>
          <w:iCs/>
          <w:color w:val="000000"/>
          <w:lang w:val="en-GB"/>
        </w:rPr>
        <w:t>Abwehrmechanismen</w:t>
      </w:r>
      <w:r w:rsidRPr="00A75FC3">
        <w:rPr>
          <w:rFonts w:ascii="Garamond" w:hAnsi="Garamond" w:cs="Arial"/>
          <w:color w:val="000000"/>
          <w:lang w:val="en-GB"/>
        </w:rPr>
        <w:t xml:space="preserve">«. Sie sind uns noch nicht erschöpfend genug bekannt. Das Buch von Anna Freud hat uns einen ersten Einblick in ihre Mannigfaltigkeit und vielseitige Bedeutung gestattet </w:t>
      </w:r>
      <w:hyperlink r:id="rId1476"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 xml:space="preserve">Anna Freud, </w:t>
        </w:r>
        <w:r w:rsidRPr="00A75FC3">
          <w:rPr>
            <w:rStyle w:val="innerfusslink3"/>
            <w:rFonts w:ascii="Garamond" w:hAnsi="Garamond" w:cs="Arial"/>
            <w:b/>
            <w:bCs/>
            <w:i/>
            <w:iCs/>
            <w:lang w:val="en-GB"/>
          </w:rPr>
          <w:t>Das Ich und die Abwehrmechanismen</w:t>
        </w:r>
        <w:r w:rsidRPr="00A75FC3">
          <w:rPr>
            <w:rStyle w:val="innerfusslink3"/>
            <w:rFonts w:ascii="Garamond" w:hAnsi="Garamond" w:cs="Arial"/>
            <w:b/>
            <w:bCs/>
            <w:lang w:val="en-GB"/>
          </w:rPr>
          <w:t xml:space="preserve"> (1936).</w:t>
        </w:r>
      </w:hyperlink>
      <w:r w:rsidRPr="00A75FC3">
        <w:rPr>
          <w:rFonts w:ascii="Garamond" w:hAnsi="Garamond" w:cs="Arial"/>
          <w:color w:val="000000"/>
          <w:lang w:val="en-GB"/>
        </w:rPr>
        <w: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Von einem dieser Mechanismen, von der Verdrängung, hat das Studium der neurotischen Vorgänge überhaupt seinen Ausgang genommen. Es war nie ein Zweifel daran, daß die Verdrängung nicht das einzige Verfahren ist, das dem Ich für seine Absichten zu Gebote steht. Immerhin ist sie etwas ganz Besonderes, das von den anderen Mechanismen schärfer geschieden ist als diese untereinander. Ich möchte ihr Verhältnis zu diesen anderen durch einen Vergleich deutlich machen, weiß aber, daß in diesen </w:t>
      </w:r>
      <w:r w:rsidRPr="00A75FC3">
        <w:rPr>
          <w:rFonts w:ascii="Garamond" w:hAnsi="Garamond" w:cs="Arial"/>
          <w:color w:val="000000"/>
          <w:lang w:val="en-GB"/>
        </w:rPr>
        <w:lastRenderedPageBreak/>
        <w:t xml:space="preserve">Gebieten Vergleichungen nie weit tragen. Man denke also an die möglichen Schicksale eines Buches zur Zeit, als Bücher noch nicht in Auflagen gedruckt, sondern einzeln geschrieben wurden. Ein solches Buch enthalte Angaben, die in späteren Zeiten als unerwünscht betrachtet werden. Etwa wie nach Robert Eisler </w:t>
      </w:r>
      <w:hyperlink r:id="rId1477"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 xml:space="preserve">Robert Eisler, </w:t>
        </w:r>
        <w:r w:rsidRPr="00A75FC3">
          <w:rPr>
            <w:rStyle w:val="innerfusslink3"/>
            <w:rFonts w:ascii="Garamond" w:hAnsi="Garamond" w:cs="Arial"/>
            <w:b/>
            <w:bCs/>
            <w:i/>
            <w:iCs/>
            <w:lang w:val="en-GB"/>
          </w:rPr>
          <w:t>Jesus Basileus</w:t>
        </w:r>
        <w:r w:rsidRPr="00A75FC3">
          <w:rPr>
            <w:rStyle w:val="innerfusslink3"/>
            <w:rFonts w:ascii="Garamond" w:hAnsi="Garamond" w:cs="Arial"/>
            <w:b/>
            <w:bCs/>
            <w:lang w:val="en-GB"/>
          </w:rPr>
          <w:t xml:space="preserve"> (1929).</w:t>
        </w:r>
      </w:hyperlink>
      <w:r w:rsidRPr="00A75FC3">
        <w:rPr>
          <w:rFonts w:ascii="Garamond" w:hAnsi="Garamond" w:cs="Arial"/>
          <w:color w:val="000000"/>
          <w:lang w:val="en-GB"/>
        </w:rPr>
        <w:t xml:space="preserve"> die Schriften des Flavius Josephus Stellen über Jesus Christus enthalten haben müssen, an denen die spätere Christenheit Anstoß nahm. Die amtliche Zensur würde in der Jetztzeit keinen anderen Abwehrmechanismus anwenden als die Konfiskation und Vernichtung jedes Exemplars der ganzen Auflage. Damals wandte man verschiedene Methoden zur Unschädlichmachung an. Entweder die anstößigen Stellen wurden dick durchgestrichen, so daß sie unleserlich waren; sie konnten dann auch nicht abgeschrieben werden, und der nächste Kopist des Buches lieferte einen tadellosen Text, aber an einigen Stellen lückenhaft und vielleicht dort unverständlich. Oder man begnügte sich nicht damit, wollte auch den Hinweis auf die Verstümmelung des Textes vermeiden; man ging also dazu über, den Text zu entstellen. Man ließ einzelne Worte aus oder ersetzte sie durch andere, man schaltete neue Sätze ein; am besten strich man die ganze Stelle heraus und fügte an ihrer Statt eine andere ein, die das genaue Gegenteil besagte. Der nächste Abschreiber des Buches konnte dann einen unverdächtigen Text herstellen, der aber verfälscht war; er enthielt nicht mehr, was der Autor hatte mitteilen wollen, und sehr wahrscheinlich war er nicht zur Wahrheit korrigiert worden. Wenn man den Vergleich nicht allzu strenge durchführt, kann man sagen, die Verdrängung verhält sich zu den anderen Abwehrmethoden wie die Auslassung zur Textentstellung, und in den verschiedenen Formen dieser Verfälschung kann man die Analogien zur Mannigfaltigkeit der Ichveränderung finden. Man kann den Einwand versuchen, dieser Vergleich gleite in einem wesentlichen Punkte ab, denn die Textentstellung ist das Werk einer tendenziösen Zensur, zu der die Ichentwicklung kein Gegenstück zeigt. Aber dem ist nicht so, denn diese Tendenz wird durch den Zwang des Lustprinzips weitgehend vertreten. Der psychische Apparat verträgt die Unlust nicht, er muß sich ihrer um jeden Preis erwehren, und wenn die Wahrnehmung der Realität Unlust bringt, muß sie – die Wahrheit also – geopfert werden. Gegen die äußere Gefahr kann man sich eine ganze Weile durch Flucht und Vermeidung der Gefahrsituation helfen, bis man später einmal stark genug wird, um die Drohung durch aktive Veränderung der Realität aufzuheben. Aber vor sich selbst kann man nicht fliehen, gegen die innere Gefahr hilft keine Flucht, und darum sind die Abwehrmechanismen des Ichs dazu verurteilt, die innere Wahrnehmung zu verfälschen und uns nur eine mangelhafte und entstellte Kenntnis unseres Es zu ermöglichen. Das Ich ist dann in seinen Beziehungen zum Es durch seine Einschränkungen gelähmt oder durch seine Irrtümer verblendet, und der Erfolg im psychischen Geschehen wird derselbe sein müssen, wie wenn man auf der Wanderung die Gegend nicht kennt und nicht rüstig ist im Gehen.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Die Abwehrmechanismen dienen der Absicht, Gefahren abzuhalten. Es ist unbestreitbar, daß ihnen solches gelingt; es ist zweifelhaft, ob das Ich während seiner Entwicklung völlig auf sie verzichten kann, aber es ist auch sicher, daß sie selbst zu Gefahren werden können. Manchmal stellt es sich heraus, daß das Ich für die Dienste, die sie ihm leisten, einen zu hohen Preis gezahlt hat. Der dynamische Aufwand, der erfordert wird, um sie zu unterhalten, sowie die Icheinschränkungen, die sie fast regelmäßig mit sich bringen, erweisen sich als schwere Belastungen der psychischen Ökonomie. Auch werden diese Mechanismen nicht aufgelassen, nachdem sie dem Ich in den schweren Jahren seiner Entwicklung ausgeholfen haben. Jede Person verwendet natürlich nicht alle möglichen Abwehrmechanismen, sondern nur eine gewisse Auswahl von ihnen, aber diese fixieren sich im Ich, sie werden regelmäßige Reaktionsweisen des Charakters, die durchs ganze Leben wiederholt werden, sooft eine der ursprünglichen Situation ähnliche wiederkehrt. Damit werden sie zu Infantilismen, teilen das Schicksal so vieler Institutionen, die sich über die Zeit ihrer Brauchbarkeit hinaus zu erhalten streben. »Vernunft wird Unsinn, Wohltat Plage«, wie es der Dichter beklagt. Das erstarkte Ich des Erwachsenen fährt fort, sich gegen Gefahren zu verteidigen, die in der Realität nicht mehr bestehen, ja es findet sich gedrängt, jene Situationen der Realität herauszusuchen, die die ursprüngliche Gefahr ungefähr ersetzen können, um sein Festhalten an den gewohnten Reaktionsweisen an ihnen rechtfertigen zu können. Somit wird es leicht </w:t>
      </w:r>
      <w:r w:rsidRPr="00A75FC3">
        <w:rPr>
          <w:rFonts w:ascii="Garamond" w:hAnsi="Garamond" w:cs="Arial"/>
          <w:color w:val="000000"/>
          <w:lang w:val="en-GB"/>
        </w:rPr>
        <w:lastRenderedPageBreak/>
        <w:t>verständlich, wie die Abwehrmechanismen durch immer weitergreifende Entfremdung von der Außenwelt und dauernde Schwächung des Ichs den Ausbruch der Neurose vorbereiten und begünstigen.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Unser Interesse ist aber gegenwärtig nicht auf die pathogene Rolle der Abwehrmechanismen gerichtet; wir wollen untersuchen, wie die ihnen entsprechende Ichveränderung unsere therapeutische Bemühung beeinflußt. Das Material zur Beantwortung dieser Frage ist in dem erwähnten Buch von Anna Freud gegeben. Das Wesentliche daran ist, daß der Analysierte diese Reaktionsweisen auch während der analytischen Arbeit wiederholt, uns gleichsam vor Augen führt; eigentlich kennen wir sie nur daher. Damit ist nicht gesagt, daß sie die Analyse unmöglich machen. Sie legen vielmehr die eine Hälfte unserer analytischen Aufgabe fest. Die andere, die in der Frühzeit der Analyse zuerst in Angriff genommen wurde, ist die Aufdeckung des im Es Verborgenen. Unsere therapeutische Bemühung pendelt während der Behandlung beständig von einem Stückchen Esanalyse zu einem Stückchen Ichanalyse. Im einen Fall wollen wir etwas vom Es bewußtmachen, im anderen etwas am Ich korrigieren. Die entscheidende Tatsache ist nämlich, daß die Abwehrmechanismen gegen einstige Gefahren in der Kur als </w:t>
      </w:r>
      <w:r w:rsidRPr="00A75FC3">
        <w:rPr>
          <w:rFonts w:ascii="Garamond" w:hAnsi="Garamond" w:cs="Arial"/>
          <w:i/>
          <w:iCs/>
          <w:color w:val="000000"/>
          <w:lang w:val="en-GB"/>
        </w:rPr>
        <w:t>Widerstände</w:t>
      </w:r>
      <w:r w:rsidRPr="00A75FC3">
        <w:rPr>
          <w:rFonts w:ascii="Garamond" w:hAnsi="Garamond" w:cs="Arial"/>
          <w:color w:val="000000"/>
          <w:lang w:val="en-GB"/>
        </w:rPr>
        <w:t xml:space="preserve"> gegen die Heilung wiederkehren. Es läuft darauf hinaus, daß die Heilung selbst vom Ich wie eine neue Gefahr behandelt wird.</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Der therapeutische Effekt ist an die Bewußtmachung des im Es im weitesten Sinn Verdrängten gebunden; wir bereiten dieser Bewußtmachung den Weg durch Deutungen und Konstruktionen, aber wir haben nur für uns, nicht für den Analysierten gedeutet, solange das Ich an den früheren Abwehren festhält, die Widerstände nicht aufgibt. Nun sind diese Widerstände, obwohl dem Ich angehörig, doch unbewußt und in gewissem Sinne innerhalb des Ichs abgesondert. Der Analytiker erkennt sie leichter als das Verborgene im Es; es sollte hinreichen, sie wie Anteile des Es zu behandeln und durch Bewußtmachung mit dem übrigen Ich in Beziehung zu bringen. Auf diesem Weg wäre die eine Hälfte der analytischen Aufgabe zu erledigen; auf einen Widerstand gegen die Aufdeckung von Widerständen möchte man nicht rechnen. Es ereignet sich aber folgendes. Während der Arbeit an den Widerständen tritt das Ich – mehr oder weniger ernsthaft – aus dem Vertrag aus, auf dem die analytische Situation ruht. Das Ich unterstützt unsere Bemühung um die Aufdeckung des Es nicht mehr, es widersetzt sich ihr, hält die analytische Grundregel nicht ein, läßt keine weiteren Abkömmlinge des Verdrängten auftauchen. Eine starke Überzeugung von der heilenden Macht der Analyse kann man vom Patienten nicht erwarten; er mag ein Stück Vertrauen zum Analytiker mitgebracht haben, das durch die zu erweckenden Momente der positiven Übertragung zur Leistungsfähigkeit verstärkt wird. Unter dem Einfluß der Unlustregungen, die durch das neuerliche Abspielen der Abwehrkonflikte verspürt werden, können jetzt negative Übertragungen die Oberhand gewinnen und die analytische Situation völlig aufheben. Der Analytiker ist jetzt für den Patienten nur ein fremder Mensch, der unangenehme Zumutungen an ihn stellt, und er benimmt sich gegen ihn ganz wie das Kind, das den Fremden nicht mag und ihm nichts glaubt. Versucht der Analytiker, dem Patienten eine der in der Abwehr vorgenommenen Entstellungen aufzuzeigen und sie zu korrigieren, so findet er ihn verständnislos und unzugänglich für gute Argumente. So gibt es wirklich einen Widerstand gegen die Aufdeckung von Widerständen, und die Abwehrmechanismen verdienen wirklich den Namen, mit dem wir sie anfänglich bezeichnet haben, ehe sie genauer erforscht wurden; es sind Widerstände nicht nur gegen die Bewußtmachung der Es-Inhalte, sondern auch gegen die Analyse überhaupt und somit gegen die Heilung.</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Die Wirkung der Abwehren im Ich können wir wohl als »Ichveränderung«bezeichnen, wenn wir darunter den Abstand von einem fiktiven Normal-Ich verstehen, das der analytischen Arbeit unerschütterliche Bündnistreue zusichert. Es ist nun leicht zu glauben, was die tägliche Erfahrung zeigt, daß es wesentlich davon abhängt, wie stark und wie tief eingewurzelt diese Widerstände der Ichveränderung sind, wo es sich um den Ausgang einer analytischen Kur handelt. Wieder tritt uns hier die Bedeutung des quantitativen Faktors entgegen, wieder werden wir daran gemahnt, daß die Analyse nur bestimmte und begrenzte </w:t>
      </w:r>
      <w:r w:rsidRPr="00A75FC3">
        <w:rPr>
          <w:rFonts w:ascii="Garamond" w:hAnsi="Garamond" w:cs="Arial"/>
          <w:color w:val="000000"/>
          <w:lang w:val="en-GB"/>
        </w:rPr>
        <w:lastRenderedPageBreak/>
        <w:t>Mengen von Energien aufwenden kann, die sich mit den feindlichen Kräften zu messen haben. Und als ob der Sieg wirklich meist bei den stärkeren Bataillonen wäre.</w:t>
      </w:r>
    </w:p>
    <w:p w:rsidR="00106CDB" w:rsidRDefault="00106CDB" w:rsidP="00106CDB">
      <w:pPr>
        <w:rPr>
          <w:rFonts w:ascii="Garamond" w:hAnsi="Garamond" w:cs="Arial"/>
          <w:b/>
          <w:bCs/>
          <w:color w:val="000000"/>
          <w:lang w:val="en-GB"/>
        </w:rPr>
      </w:pPr>
      <w:r>
        <w:rPr>
          <w:rFonts w:ascii="Garamond" w:hAnsi="Garamond" w:cs="Arial"/>
          <w:b/>
          <w:bCs/>
          <w:color w:val="000000"/>
          <w:lang w:val="en-GB"/>
        </w:rPr>
        <w:br w:type="page"/>
      </w:r>
      <w:hyperlink w:anchor="unendliche_INHALT" w:history="1">
        <w:r w:rsidRPr="00CE6825">
          <w:rPr>
            <w:rStyle w:val="Lienhypertexte"/>
            <w:rFonts w:ascii="Garamond" w:hAnsi="Garamond" w:cs="Arial"/>
            <w:bCs/>
            <w:lang w:val="en-US"/>
          </w:rPr>
          <w:t>Te</w:t>
        </w:r>
        <w:bookmarkStart w:id="313" w:name="unendliche_6"/>
        <w:bookmarkEnd w:id="313"/>
        <w:r w:rsidRPr="00CE6825">
          <w:rPr>
            <w:rStyle w:val="Lienhypertexte"/>
            <w:rFonts w:ascii="Garamond" w:hAnsi="Garamond" w:cs="Arial"/>
            <w:bCs/>
            <w:lang w:val="en-US"/>
          </w:rPr>
          <w:t>il</w:t>
        </w:r>
        <w:r w:rsidRPr="00CE6825">
          <w:rPr>
            <w:rStyle w:val="Lienhypertexte"/>
            <w:rFonts w:ascii="Garamond" w:hAnsi="Garamond" w:cs="Arial"/>
            <w:b/>
            <w:bCs/>
            <w:lang w:val="en-GB"/>
          </w:rPr>
          <w:t xml:space="preserve"> VI</w:t>
        </w:r>
      </w:hyperlink>
    </w:p>
    <w:p w:rsidR="00106CDB" w:rsidRPr="00A75FC3" w:rsidRDefault="00106CDB" w:rsidP="00106CDB">
      <w:pPr>
        <w:rPr>
          <w:rFonts w:ascii="Garamond" w:hAnsi="Garamond" w:cs="Arial"/>
          <w:b/>
          <w:bCs/>
          <w:color w:val="000000"/>
          <w:lang w:val="en-GB"/>
        </w:rPr>
      </w:pP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Die nächste Frage wird lauten, ob alle Ichveränderung – in unserem Sinne – während der Abwehrkämpfe der Frühzeit erworben wird. Die Antwort kann nicht zweifelhaft sein. Es besteht kein Grund, die Existenz und Bedeutung ursprünglicher, mitgeborener Ichverschiedenheiten zu bestreiten. Schon die eine Tatsache ist entscheidend, daß jede Person ihre Auswahl unter den möglichen Abwehrmechanismen trifft, immer nur einige und dann stets dieselben verwendet. Das deutet darauf hin, daß das einzelne Ich von vornherein mit individuellen Dispositionen und Tendenzen ausgestattet ist, deren Art und Bedingtheit wir nun freilich nicht angeben können. Außerdem wissen wir, daß wir den Unterschied zwischen ererbten und erworbenen Eigenschaften nicht zu einem Gegensatz überspannen dürfen; unter dem Ererbten ist, was die Vorfahren erworben haben, gewiß ein wichtiger Anteil. Wenn wir von »archaischer Erbschaft«sprechen, denken wir gewöhnlich nur an das Es und scheinen anzunehmen, daß ein Ich am Beginn des Eigenlebens noch nicht vorhanden ist. Aber wir wollen nicht übersehen, daß Es und Ich ursprünglich eins sind, und es bedeutet noch keine mystische Überschätzung der Erblichkeit, wenn wir für glaubwürdig halten, daß dem noch nicht existierenden Ich bereits festgelegt ist, welche Entwicklungsrichtungen, Tendenzen und Reaktionen es späterhin zum Vorschein bringen wird. Die psychologischen Besonderheiten von Familien, Rassen und Nationen auch in ihrem Verhalten gegen die Analyse lassen keine andere Erklärung zu. Ja noch mehr, die analytische Erfahrung hat uns die Überzeugung aufgedrängt, daß selbst bestimmte psychische Inhalte wie die Symbolik keine anderen Quellen haben als die erbliche Übertragung, und in verschiedenen völkerpsychologischen Untersuchungen wird uns nahegelegt, noch andere, ebenso spezialisierte Niederschläge frühmenschlicher Entwicklung in der archaischen Erbschaft vorauszusetzen.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Mit der Einsicht, daß die Eigenheiten des Ichs, die wir als Widerstände zu spüren bekommen, ebensowohl hereditär bedingt als in Abwehrkämpfen erworben sein können, hat die topische Unterscheidung, ob Ich, ob Es, viel von ihrem Wert für unsere Untersuchung eingebüßt. Ein weiterer Schritt in unserer analytischen Erfahrung führt uns zu Widerständen anderer Art, die wir nicht mehr lokalisieren können und die von fundamentalen Verhältnissen im seelischen Apparat abzuhängen scheinen. Ich kann nur einige Proben dieser Gattung aufführen, das ganze Gebiet ist noch verwirrend fremd, ungenügend erforscht. Man trifft z. B. auf Personen, denen man eine besondere »Klebrigkeit der Libido«zuschreiben möchte. Die Prozesse, die die Kur bei ihnen einleitet, verlaufen so viel langsamer als bei anderen, weil sie sich, wie es scheint, nicht entschließen können, Libidobesetzungen von einem Objekt abzulösen und auf ein neues zu verschieben, obwohl besondere Gründe für solche Besetzungstreue nicht zu finden sind. Man begegnet auch dem entgegengesetzten Typus, bei dem die Libido besonders leicht beweglich erscheint, rasch auf die von der Analyse vorgeschlagenen Neubesetzungen eingeht und die früheren für sie aufgibt. Es ist ein Unterschied, wie ihn der bildende Künstler verspüren mag, ob er in hartem Stein oder in weichem Ton arbeitet. Leider zeigen sich die analytischen Resultate bei diesem zweiten Typus oft als sehr hinfällig; die neuen Besetzungen werden bald wieder verlassen, man bekommt den Eindruck, als habe man nicht in Ton gearbeitet, sondern in Wasser geschrieben. Die Warnung »Wie gewonnen, so zerronnen«behält hier recht.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Bei einer anderen Gruppe von Fällen wird man durch ein Verhalten überrascht, das man nur auf eine Erschöpfung der sonst zu erwartenden Plastizität, der Fähigkeit zur Abänderung und Weiterentwicklung beziehen kann. Auf ein gewisses Maß von psychischer Trägheit sind wir in der Analyse wohl vorbereitet; wenn die analytische Arbeit der Triebregung neue Wege eröffnet hat, so beobachten wir fast regelmäßig, daß sie nicht ohne deutliche Verzögerung begangen werden. Wir haben dies Verhalten, vielleicht nicht ganz richtig, als »Widerstand vom Es«bezeichnet. Aber bei den Fällen, die hier gemeint sind, erweisen sich alle Abläufe, Beziehungen und Kraftverteilungen als unabänderlich, fixiert und erstarrt. Es ist so, wie man </w:t>
      </w:r>
      <w:r w:rsidRPr="00A75FC3">
        <w:rPr>
          <w:rFonts w:ascii="Garamond" w:hAnsi="Garamond" w:cs="Arial"/>
          <w:color w:val="000000"/>
          <w:lang w:val="en-GB"/>
        </w:rPr>
        <w:lastRenderedPageBreak/>
        <w:t>es bei sehr alten Leuten findet, durch die sogenannte Macht der Gewohnheit, die Erschöpfung der Aufnahmsfähigkeit, durch eine Art von psychischer Entropie erklärt; aber es handelt sich hier um noch jugendliche Individuen. Unsere theoretische Vorbereitung scheint unzureichend, um die so beschriebenen Typen richtig aufzufassen; es kommen wohl zeitliche Charaktere in Betracht, Abänderungen eines noch nicht gewürdigten Entwicklungsrhythmus im psychischen Leben.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Anders und noch tiefer begründet mögen die Ichverschiedenheiten sein, die in einer weiteren Gruppe von Fällen als Quellen des Widerstands gegen die analytische Kur und als Verhinderungen des therapeutischen Erfolgs zu beschuldigen sind. Hier handelt es sich um das letzte, was die psychologische Erforschung überhaupt zu erkennen vermag, das Verhalten der beiden Urtriebe, deren Verteilung, Vermengung und Entmischung, Dinge, die nicht auf eine einzige Provinz des seelischen Apparates, Es, Ich und Über-Ich, beschränkt vorzustellen sind. Es gibt keinen stärkeren Eindruck von den Widerständen während der analytischen Arbeit als den von einer Kraft, die sich mit allen Mitteln gegen die Genesung wehrt und durchaus an Krankheit und Leiden festhalten will. Einen Anteil dieser Kraft haben wir, sicherlich mit Recht, als Schuldbewußtsein und Strafbedürfnis agnosziert und im Verhältnis des Ichs zum Über-Ich lokalisiert. Aber das ist nur jener Anteil, der vom Über-Ich sozusagen psychisch gebunden ist und in solcher Weise kenntlich wird; andere Beträge derselben Kraft mögen, unbestimmt wo, in gebundener oder freier Form, am Werke sein. Hält man sich das Bild in seiner Gesamtheit vor, zu dem sich die Erscheinungen des immanenten Masochismus so vieler Personen, der negativen therapeutischen Reaktion und des Schuldbewußtseins der Neurotiker zusammensetzen, so wird man nicht mehr dem Glauben anhängen können, daß das seelische Geschehen ausschließlich vom Luststreben beherrscht wird. Diese Phänomene sind unverkennbare Hinweise auf das Vorhandensein einer Macht im Seelenleben, die wir nach ihren Zielen Aggressions- oder Destruktionstrieb heißen und von dem ursprünglichen Todestrieb der belebten Materie ableiten. Ein Gegensatz einer optimistischen zu einer pessimistischen Lebenstheorie kommt nicht in Frage; nur das Zusammen- und Gegeneinanderwirken beider Urtriebe Eros und Todestrieb erklärt die Buntheit der Lebenserscheinungen, niemals einer von ihnen allein.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Wie Anteile der beiden Triebarten zur Durchsetzung der einzelnen Lebensfunktionen miteinander zusammentreten, unter welchen Bedingungen diese Vereinigungen sich lockern oder zerfallen, welche Störungen diesen Veränderungen entsprechen und mit welchen Empfindungen die Wahrnehmungsskala des Lustprinzips auf sie antwortet, das klarzustellen wäre die lohnendste Aufgabe der psychologischen Forschung. Vorläufig beugen wir uns vor der Übermacht der Gewalten, an der wir unsere Bemühungen scheitern sehen. Schon die psychische Beeinflussung des einfachen Masochismus stellt unser Können auf eine harte Probe.</w:t>
      </w:r>
    </w:p>
    <w:p w:rsidR="00106CDB" w:rsidRPr="00106CDB" w:rsidRDefault="00106CDB" w:rsidP="00106CDB">
      <w:pPr>
        <w:rPr>
          <w:rFonts w:ascii="Garamond" w:hAnsi="Garamond" w:cs="Arial"/>
          <w:color w:val="000000"/>
          <w:lang w:val="en-GB"/>
        </w:rPr>
      </w:pPr>
      <w:r w:rsidRPr="00A75FC3">
        <w:rPr>
          <w:rFonts w:ascii="Garamond" w:hAnsi="Garamond" w:cs="Arial"/>
          <w:color w:val="000000"/>
          <w:lang w:val="en-GB"/>
        </w:rPr>
        <w:t xml:space="preserve">Beim Studium der Phänomene, die die Betätigung des Destruktionstriebs erweisen, sind wir nicht auf Beobachtungen an pathologischem Material eingeschränkt. Zahlreiche Tatsachen des normalen Seelenlebens drängen nach einer solchen Erklärung, und je mehr unser Blick sich schärft, desto reichlicher werden sie uns auffallen. Es ist ein Thema, zu neu und zu wichtig, um es in dieser Erörterung wie beiläufig zu behandeln; ich werde mich damit bescheiden, einige wenige Proben herauszuheben. </w:t>
      </w:r>
      <w:r w:rsidRPr="00106CDB">
        <w:rPr>
          <w:rFonts w:ascii="Garamond" w:hAnsi="Garamond" w:cs="Arial"/>
          <w:color w:val="000000"/>
          <w:lang w:val="en-GB"/>
        </w:rPr>
        <w:t>Die folgende als Beispiel:</w:t>
      </w:r>
    </w:p>
    <w:p w:rsidR="00106CDB" w:rsidRPr="00A75FC3" w:rsidRDefault="00106CDB" w:rsidP="00106CDB">
      <w:pPr>
        <w:rPr>
          <w:rFonts w:ascii="Garamond" w:hAnsi="Garamond" w:cs="Arial"/>
          <w:color w:val="000000"/>
          <w:lang w:val="en-GB"/>
        </w:rPr>
      </w:pPr>
      <w:r w:rsidRPr="00106CDB">
        <w:rPr>
          <w:rFonts w:ascii="Garamond" w:hAnsi="Garamond" w:cs="Arial"/>
          <w:color w:val="000000"/>
          <w:lang w:val="en-GB"/>
        </w:rPr>
        <w:t xml:space="preserve">Es ist bekannt, daß es zu allen Zeiten Menschen gegeben hat und noch gibt, die Personen des gleichen wie des anderen Geschlechts zu ihren Sexualobjekten nehmen können, ohne daß die eine Richtung die andere beeinträchtigt. </w:t>
      </w:r>
      <w:r w:rsidRPr="00A75FC3">
        <w:rPr>
          <w:rFonts w:ascii="Garamond" w:hAnsi="Garamond" w:cs="Arial"/>
          <w:color w:val="000000"/>
        </w:rPr>
        <w:t xml:space="preserve">Wir heißen diese Leute Bisexuelle, nehmen ihre Existenz hin, ohne uns viel darüber zu verwundern. </w:t>
      </w:r>
      <w:r w:rsidRPr="00A75FC3">
        <w:rPr>
          <w:rFonts w:ascii="Garamond" w:hAnsi="Garamond" w:cs="Arial"/>
          <w:color w:val="000000"/>
          <w:lang w:val="en-GB"/>
        </w:rPr>
        <w:t xml:space="preserve">Wir haben aber gelernt, daß alle Menschen in diesem Sinne bisexuell sind, ihre Libido entweder in manifester oder in latenter Weise auf Objekte beider Geschlechter verteilen. Nur fällt uns folgendes dabei auf. Während im ersten Falle die beiden Richtungen sich ohne Anstoß miteinander vertragen haben, befinden sie sich im anderen und häufigeren Falle im Zustand eines unversöhnlichen Konflikts. </w:t>
      </w:r>
      <w:r w:rsidRPr="00A75FC3">
        <w:rPr>
          <w:rFonts w:ascii="Garamond" w:hAnsi="Garamond" w:cs="Arial"/>
          <w:color w:val="000000"/>
        </w:rPr>
        <w:t xml:space="preserve">Die Heterosexualität eines Mannes duldet keine Homosexualität, und ebenso ist es umgekehrt. </w:t>
      </w:r>
      <w:r w:rsidRPr="00A75FC3">
        <w:rPr>
          <w:rFonts w:ascii="Garamond" w:hAnsi="Garamond" w:cs="Arial"/>
          <w:color w:val="000000"/>
        </w:rPr>
        <w:lastRenderedPageBreak/>
        <w:t xml:space="preserve">Ist die erstere die stärkere, so gelingt es ihr, die letztere latent zu erhalten und von der Realbefriedigung abzudrängen; andererseits gibt es keine größere Gefahr für die heterosexuelle Funktion eines Mannes als die Störung durch die latente Homosexualität. </w:t>
      </w:r>
      <w:r w:rsidRPr="00A75FC3">
        <w:rPr>
          <w:rFonts w:ascii="Garamond" w:hAnsi="Garamond" w:cs="Arial"/>
          <w:color w:val="000000"/>
          <w:lang w:val="en-GB"/>
        </w:rPr>
        <w:t>Man könnte die Erklärung versuchen, daß eben nur ein bestimmter Betrag von Libido verfügbar ist, um den die beiden miteinander rivalisierenden Richtungen ringen müssen. Allein man sieht nicht ein, warum die Rivalen nicht regelmäßig den verfügbaren Betrag der Libido je nach ihrer relativen Stärke unter sich aufteilen, wenn sie es doch in manchen Fällen tun können. Man bekommt durchaus den Eindruck, als sei die Neigung zum Konflikt etwas Besonderes, was neu zur Situation hinzukommt, unabhängig von der Quantität der Libido. Eine solche unabhängig auftretende Konfliktneigung wird man kaum auf anderes zurückführen können als auf das Eingreifen eines Stückes von freier Aggression.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Wenn man den hier erörterten Fall als Äußerung des Destruktions- oder Aggressionstriebs anerkennt, so erhebt sich sofort die Frage, ob man nicht dieselbe Auffassung auf andere Beispiele von Konflikt ausdehnen, ja ob man nicht überhaupt all unser Wissen vom psychischen Konflikt unter diesem neuen Gesichtspunkt revidieren soll. Wir nehmen doch an, daß auf dem Weg der Entwicklung vom Primitiven zum Kulturmenschen eine sehr erhebliche Verinnerlichung, Einwärtswendung der Aggression stattfindet, und für die Außenkämpfe, die dann unterbleiben, wären die inneren Konflikte sicherlich das richtige Äquivalent. Es ist mir wohlbekannt, daß die dualistische Theorie, die einen Todes-, Destruktions- oder Aggressionstrieb als gleichberechtigten Partner neben den in der Libido sich kundgebenden Eros hinstellen will, im allgemeinen wenig Anklang gefunden und sich auch unter Psychoanalytikern nicht eigentlich durchgesetzt hat. Um so mehr mußte es </w:t>
      </w:r>
      <w:smartTag w:uri="urn:schemas-microsoft-com:office:smarttags" w:element="State">
        <w:smartTag w:uri="urn:schemas-microsoft-com:office:smarttags" w:element="place">
          <w:r w:rsidRPr="00A75FC3">
            <w:rPr>
              <w:rFonts w:ascii="Garamond" w:hAnsi="Garamond" w:cs="Arial"/>
              <w:color w:val="000000"/>
              <w:lang w:val="en-GB"/>
            </w:rPr>
            <w:t>mich</w:t>
          </w:r>
        </w:smartTag>
      </w:smartTag>
      <w:r w:rsidRPr="00A75FC3">
        <w:rPr>
          <w:rFonts w:ascii="Garamond" w:hAnsi="Garamond" w:cs="Arial"/>
          <w:color w:val="000000"/>
          <w:lang w:val="en-GB"/>
        </w:rPr>
        <w:t xml:space="preserve"> erfreuen, als ich unlängst unsere Theorie bei einem der großen Denker der griechischen Frühzeit wiederfand. Ich opfere dieser Bestätigung gern das Prestige der Originalität, zumal da ich bei dem Umfang meiner Lektüre in früheren Jahren doch nie sicher werden kann, ob meine angebliche Neuschöpfung nicht eine Leistung der Kryptomnesie war.</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Empedokles aus Akragas (Girgenti) </w:t>
      </w:r>
      <w:hyperlink r:id="rId1478"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 xml:space="preserve">Das Folgende nach Wilhelm Capelle, </w:t>
        </w:r>
        <w:r w:rsidRPr="00A75FC3">
          <w:rPr>
            <w:rStyle w:val="innerfusslink3"/>
            <w:rFonts w:ascii="Garamond" w:hAnsi="Garamond" w:cs="Arial"/>
            <w:b/>
            <w:bCs/>
            <w:i/>
            <w:iCs/>
            <w:lang w:val="en-GB"/>
          </w:rPr>
          <w:t>Die Vorsokratiker</w:t>
        </w:r>
        <w:r w:rsidRPr="00A75FC3">
          <w:rPr>
            <w:rStyle w:val="innerfusslink3"/>
            <w:rFonts w:ascii="Garamond" w:hAnsi="Garamond" w:cs="Arial"/>
            <w:b/>
            <w:bCs/>
            <w:lang w:val="en-GB"/>
          </w:rPr>
          <w:t xml:space="preserve"> (1935).</w:t>
        </w:r>
      </w:hyperlink>
      <w:r w:rsidRPr="00A75FC3">
        <w:rPr>
          <w:rFonts w:ascii="Garamond" w:hAnsi="Garamond" w:cs="Arial"/>
          <w:color w:val="000000"/>
          <w:lang w:val="en-GB"/>
        </w:rPr>
        <w:t xml:space="preserve">, etwa </w:t>
      </w:r>
      <w:smartTag w:uri="urn:schemas-microsoft-com:office:smarttags" w:element="metricconverter">
        <w:smartTagPr>
          <w:attr w:name="ProductID" w:val="495 a"/>
        </w:smartTagPr>
        <w:r w:rsidRPr="00A75FC3">
          <w:rPr>
            <w:rFonts w:ascii="Garamond" w:hAnsi="Garamond" w:cs="Arial"/>
            <w:color w:val="000000"/>
            <w:lang w:val="en-GB"/>
          </w:rPr>
          <w:t>495 a</w:t>
        </w:r>
      </w:smartTag>
      <w:r w:rsidRPr="00A75FC3">
        <w:rPr>
          <w:rFonts w:ascii="Garamond" w:hAnsi="Garamond" w:cs="Arial"/>
          <w:color w:val="000000"/>
          <w:lang w:val="en-GB"/>
        </w:rPr>
        <w:t>. Chr. geboren, erscheint als eine der großartigsten und merkwürdigsten Gestalten der griechischen Kulturgeschichte. Seine vielseitige Persönlichkeit betätigte sich in den verschiedensten Richtungen; er war Forscher und Denker, Prophet und Magier, Politiker, Menschenfreund und naturkundiger Arzt; er soll die Stadt Selinunt von der Malaria befreit haben, von seinen Zeitgenossen wurde er wie ein Gott verehrt. Sein Geist scheint die schärfsten Gegensätze in sich vereinigt zu haben; exakt und nüchtern in seinen physikalischen und physiologischen Forschungen, scheut er doch vor dunkler Mystik nicht zurück, baut kosmische Spekulation auf von erstaunlich phantastischer Kühnheit. Capelle vergleicht ihn dem Dr. Faust, »dem gar manch Geheimnis wurde kund«. Zu einer Zeit entstanden, da das Reich des Wissens noch nicht in so viele Provinzen zerfiel, müssen manche seiner Lehren uns primitiv anmuten. Er erklärte die Verschiedenheiten der Dinge durch Mischungen der vier Elemente, Erde, Wasser, Feuer und Luft, glaubte an die Allbelebtheit der Natur und an die Seelenwanderung, aber auch so moderne Ideen wie die stufenweise Entwicklung der Lebewesen, das Überbleiben des Tauglichsten und die Anerkennung der Rolle des Zufalls (tý÷ç) bei dieser Entwicklung gehen in sein Lehrgebäude ein.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Unser Interesse gebührt aber jener Lehre des Empedokles, die der psychoanalytischen Triebtheorie so nahe kommt, daß man versucht wird zu behaupten, die beiden wären identisch, bestünde nicht der Unterschied, daß die des Griechen eine kosmische Phantasie ist, während unsere sich mit dem Anspruch auf biologische Geltung bescheidet. Der Umstand freilich, daß Empedokles dem Weltall dieselbe Beseelung zuspricht wie dem einzelnen Lebewesen, entzieht dieser Differenz ein großes Stück ihrer Bedeutung.</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Der Philosoph lehrt also, daß es zwei Prinzipien des Geschehens im weltlichen wie im seelischen Leben gibt, die in ewigem Kampf miteinander liegen. Er nennt sie öéëßá – </w:t>
      </w:r>
      <w:r w:rsidRPr="00A75FC3">
        <w:rPr>
          <w:rFonts w:ascii="Garamond" w:hAnsi="Garamond" w:cs="Arial"/>
          <w:i/>
          <w:iCs/>
          <w:color w:val="000000"/>
          <w:lang w:val="en-GB"/>
        </w:rPr>
        <w:t>Liebe –</w:t>
      </w:r>
      <w:r w:rsidRPr="00A75FC3">
        <w:rPr>
          <w:rFonts w:ascii="Garamond" w:hAnsi="Garamond" w:cs="Arial"/>
          <w:color w:val="000000"/>
          <w:lang w:val="en-GB"/>
        </w:rPr>
        <w:t xml:space="preserve"> und íåé?êïò – </w:t>
      </w:r>
      <w:r w:rsidRPr="00A75FC3">
        <w:rPr>
          <w:rFonts w:ascii="Garamond" w:hAnsi="Garamond" w:cs="Arial"/>
          <w:i/>
          <w:iCs/>
          <w:color w:val="000000"/>
          <w:lang w:val="en-GB"/>
        </w:rPr>
        <w:t>Streit</w:t>
      </w:r>
      <w:r w:rsidRPr="00A75FC3">
        <w:rPr>
          <w:rFonts w:ascii="Garamond" w:hAnsi="Garamond" w:cs="Arial"/>
          <w:color w:val="000000"/>
          <w:lang w:val="en-GB"/>
        </w:rPr>
        <w:t xml:space="preserve">. Die eine </w:t>
      </w:r>
      <w:r w:rsidRPr="00A75FC3">
        <w:rPr>
          <w:rFonts w:ascii="Garamond" w:hAnsi="Garamond" w:cs="Arial"/>
          <w:color w:val="000000"/>
          <w:lang w:val="en-GB"/>
        </w:rPr>
        <w:lastRenderedPageBreak/>
        <w:t xml:space="preserve">dieser Mächte, die für ihn im Grunde »triebhaft wirkende Naturkräfte, durchaus keine zweckbewußten Intelligenzen« </w:t>
      </w:r>
      <w:hyperlink r:id="rId1479"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Capelle (1935, 186).</w:t>
        </w:r>
      </w:hyperlink>
      <w:r w:rsidRPr="00A75FC3">
        <w:rPr>
          <w:rFonts w:ascii="Garamond" w:hAnsi="Garamond" w:cs="Arial"/>
          <w:color w:val="000000"/>
          <w:lang w:val="en-GB"/>
        </w:rPr>
        <w:t xml:space="preserve"> sind, strebt darnach, die Ur-Teilchen der vier Elemente zu einer Einheit zusammenzuballen, die andere im Gegenteil will all diese Mischungen rückgängig machen und die Ur-Teilchen der Elemente voneinander sondern. Den Weltprozeß denkt er sich als fortgesetzte, niemals aufhörende Abwechslung von Perioden, in denen die eine oder die andere der beiden Grundkräfte den Sieg davonträgt, so daß einmal die Liebe, das nächste Mal der Streit seine Absicht voll durchsetzt und die Welt beherrscht, worauf der andere, unterlegene Teil einsetzt und nun seinerseits den Partner niederringt.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Die beiden Grundprinzipien des Empedokles – öéëßá und íåé?êïò – sind dem Namen wie der Funktion nach das gleiche wie unsere beiden Urtriebe </w:t>
      </w:r>
      <w:r w:rsidRPr="00A75FC3">
        <w:rPr>
          <w:rFonts w:ascii="Garamond" w:hAnsi="Garamond" w:cs="Arial"/>
          <w:i/>
          <w:iCs/>
          <w:color w:val="000000"/>
          <w:lang w:val="en-GB"/>
        </w:rPr>
        <w:t>Eros</w:t>
      </w:r>
      <w:r w:rsidRPr="00A75FC3">
        <w:rPr>
          <w:rFonts w:ascii="Garamond" w:hAnsi="Garamond" w:cs="Arial"/>
          <w:color w:val="000000"/>
          <w:lang w:val="en-GB"/>
        </w:rPr>
        <w:t xml:space="preserve"> und </w:t>
      </w:r>
      <w:r w:rsidRPr="00A75FC3">
        <w:rPr>
          <w:rFonts w:ascii="Garamond" w:hAnsi="Garamond" w:cs="Arial"/>
          <w:i/>
          <w:iCs/>
          <w:color w:val="000000"/>
          <w:lang w:val="en-GB"/>
        </w:rPr>
        <w:t>Destruktion</w:t>
      </w:r>
      <w:r w:rsidRPr="00A75FC3">
        <w:rPr>
          <w:rFonts w:ascii="Garamond" w:hAnsi="Garamond" w:cs="Arial"/>
          <w:color w:val="000000"/>
          <w:lang w:val="en-GB"/>
        </w:rPr>
        <w:t>, der eine bemüht, das Vorhandene zu immer größeren Einheiten zusammenzufassen, der andere, diese Vereinigungen aufzulösen und die durch sie entstandenen Gebilde zu zerstören. Wir werden uns aber auch nicht verwundern, daß diese Theorie in manchen Zügen verändert ist, wenn sie nach zweiundeinhalb Jahrtausenden wieder auftaucht. Von der Einschränkung auf das Biopsychische abgesehen, die uns auferlegt ist, unsere Grundstoffe sind nicht mehr die vier Elemente des Empedokles, das Leben hat sich für uns scharf vom Unbelebten gesondert, wir denken nicht mehr an Vermengung und Trennung von Stoffteilchen, sondern an Verlötung und Entmischung von Triebkomponenten. Auch haben wir das Prinzip des »Streites«gewissermaßen biologisch unterbaut, indem wir unseren Destruktionstrieb auf den Todestrieb zurückführten, den Drang des Lebenden, zum Leblosen zurückzukehren. Das will nicht in Abrede stellen, daß ein analoger Trieb schon vorher bestanden hat, und natürlich nicht behaupten, daß ein solcher Trieb erst mit dem Erscheinen des Lebens entstanden ist. Und niemand kann vorhersehen, in welcher Einkleidung der Wahrheitskern in der Lehre des Empedokles sich späterer Einsicht zeigen wird.</w:t>
      </w:r>
    </w:p>
    <w:p w:rsidR="00106CDB" w:rsidRDefault="00106CDB" w:rsidP="00106CDB">
      <w:pPr>
        <w:rPr>
          <w:rFonts w:ascii="Garamond" w:hAnsi="Garamond" w:cs="Arial"/>
          <w:b/>
          <w:bCs/>
          <w:color w:val="000000"/>
          <w:lang w:val="en-GB"/>
        </w:rPr>
      </w:pPr>
      <w:r>
        <w:rPr>
          <w:rFonts w:ascii="Garamond" w:hAnsi="Garamond" w:cs="Arial"/>
          <w:b/>
          <w:bCs/>
          <w:color w:val="000000"/>
          <w:lang w:val="en-GB"/>
        </w:rPr>
        <w:br w:type="page"/>
      </w:r>
      <w:hyperlink w:anchor="unendliche_INHALT" w:history="1">
        <w:r w:rsidRPr="00CE6825">
          <w:rPr>
            <w:rStyle w:val="Lienhypertexte"/>
            <w:rFonts w:ascii="Garamond" w:hAnsi="Garamond" w:cs="Arial"/>
            <w:bCs/>
            <w:lang w:val="en-US"/>
          </w:rPr>
          <w:t>Te</w:t>
        </w:r>
        <w:bookmarkStart w:id="314" w:name="unendliche_7"/>
        <w:bookmarkEnd w:id="314"/>
        <w:r w:rsidRPr="00CE6825">
          <w:rPr>
            <w:rStyle w:val="Lienhypertexte"/>
            <w:rFonts w:ascii="Garamond" w:hAnsi="Garamond" w:cs="Arial"/>
            <w:bCs/>
            <w:lang w:val="en-US"/>
          </w:rPr>
          <w:t>il</w:t>
        </w:r>
        <w:r w:rsidRPr="00CE6825">
          <w:rPr>
            <w:rStyle w:val="Lienhypertexte"/>
            <w:rFonts w:ascii="Garamond" w:hAnsi="Garamond" w:cs="Arial"/>
            <w:b/>
            <w:bCs/>
            <w:lang w:val="en-GB"/>
          </w:rPr>
          <w:t xml:space="preserve"> VII</w:t>
        </w:r>
      </w:hyperlink>
    </w:p>
    <w:p w:rsidR="00106CDB" w:rsidRPr="00A75FC3" w:rsidRDefault="00106CDB" w:rsidP="00106CDB">
      <w:pPr>
        <w:rPr>
          <w:rFonts w:ascii="Garamond" w:hAnsi="Garamond" w:cs="Arial"/>
          <w:b/>
          <w:bCs/>
          <w:color w:val="000000"/>
          <w:lang w:val="en-GB"/>
        </w:rPr>
      </w:pP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Ein inhaltreicher Vortrag, den S. Ferenczi 1927 gehalten, ›Das Problem der Beendigung der Analysen‹ </w:t>
      </w:r>
      <w:hyperlink r:id="rId1480"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i/>
            <w:iCs/>
            <w:lang w:val="en-GB"/>
          </w:rPr>
          <w:t>Internationale Zeitschrift für Psychoanalyse,</w:t>
        </w:r>
        <w:r w:rsidRPr="00A75FC3">
          <w:rPr>
            <w:rStyle w:val="innerfusslink3"/>
            <w:rFonts w:ascii="Garamond" w:hAnsi="Garamond" w:cs="Arial"/>
            <w:b/>
            <w:bCs/>
            <w:lang w:val="en-GB"/>
          </w:rPr>
          <w:t xml:space="preserve"> Bd. 14 (1928).</w:t>
        </w:r>
      </w:hyperlink>
      <w:r w:rsidRPr="00A75FC3">
        <w:rPr>
          <w:rFonts w:ascii="Garamond" w:hAnsi="Garamond" w:cs="Arial"/>
          <w:color w:val="000000"/>
          <w:lang w:val="en-GB"/>
        </w:rPr>
        <w:t>, schließt mit der tröstlichen Versicherung, »daß die Analyse kein endloser Prozeß ist, sondern bei entsprechender Sachkenntnis und Geduld des Analytikers zu einem natürlichen Abschluß gebracht werden kann«. Ich meine, im ganzen kommt dieser Aufsatz doch einer Mahnung gleich, sich nicht die Abkürzung, sondern die Vertiefung der Analyse zum Ziel zu setzen. Ferenczi fügt noch die wertvolle Bemerkung an, es sei so sehr entscheidend für den Erfolg, daß der Analytiker aus seinen eigenen »Irrungen und Irrtümern«genügend gelernt und die »schwachen Punkte der eigenen Persönlichkeit«in seine Gewalt bekommen habe. Das ergibt eine wichtige Ergänzung zu unserem Thema. Nicht nur die Ichbeschaffenheit des Patienten, auch die Eigenart des Analytikers fordert ihre Stelle unter den Momenten, die die Aussichten der analytischen Kur beeinflussen und dieselbe nach Art der Widerstände erschweren.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Es ist unbestreitbar, daß die Analytiker in ihrer eigenen Persönlichkeit nicht durchwegs das Maß von psychischer Normalität erreicht haben, zu dem sie ihre Patienten erziehen wollen. Gegner der Analyse pflegen auf diese Tatsache höhnend hinzuweisen und sie als Argument für die Nutzlosigkeit der analytischen Bemühung zu verwerten. Man könnte diese Kritik als ungerechte Anforderung zurückweisen. Analytiker sind Personen, die eine bestimmte Kunst auszuüben gelernt haben und daneben Menschen sein dürfen wie auch andere. Man behauptet doch sonst nicht, daß jemand zum Arzt für interne Krankheiten nicht taugt, wenn seine internen Organe nicht gesund sind; man kann im Gegenteil gewisse Vorteile dabei finden, wenn ein selbst von Tuberkulose Bedrohter sich in der Behandlung von Tuberkulösen spezialisiert. Aber die Fälle liegen doch nicht gleich. Der lungen- oder herzkranke Arzt wird, insoweit er überhaupt leistungsfähig geblieben ist, durch sein Kranksein weder in der Diagnostik noch in der Therapie interner Leiden behindert sein, während der Analytiker infolge der besonderen Bedingungen der analytischen Arbeit durch seine eigenen Defekte wirklich darin gestört wird, die Verhältnisse des Patienten richtig zu erfassen und in zweckdienlicher Weise auf sie zu reagieren. Es hat also seinen guten Sinn, wenn man vom Analytiker als Teil seines Befähigungsnachweises ein höheres Maß von seelischer Normalität und Korrektheit fordert; dazu kommt noch, daß er auch eine gewisse Überlegenheit benötigt, um auf den Patienten in gewissen analytischen Situationen als Vorbild, in anderen als Lehrer zu wirken. Und endlich ist nicht zu vergessen, daß die analytische Beziehung auf Wahrheitsliebe, d. h. auf die Anerkennung der Realität gegründet ist und jeden Schein und Trug ausschließt.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Machen wir einen Moment halt, um den Analytiker unserer aufrichtigen Anteilnahme zu versichern, daß er bei Ausübung seiner Tätigkeit so schwere Anforderungen erfüllen soll. Es hat doch beinahe den Anschein, als wäre das Analysieren der dritte jener »unmöglichen«Berufe, in denen man des ungenügenden Erfolgs von vornherein sicher sein kann. Die beiden anderen, weit länger bekannten, sind das Erziehen und das Regieren. Daß der zukünftige Analytiker ein vollkommener Mensch sei, ehe er sich mit der Analyse beschäftigt hat, also daß nur Personen von so hoher und so seltener Vollendung sich diesem Beruf zuwenden, kann man offenbar nicht verlangen. Wo und wie soll aber der Ärmste sich jene ideale Eignung erwerben, die er in seinem Berufe brauchen wird? Die Antwort wird lauten: in der Eigenanalyse, mit der seine Vorbereitung für seine zukünftige Tätigkeit beginnt. Aus praktischen Gründen kann diese nur kurz und unvollständig sein, ihr hauptsächlicher Zweck ist, dem Lehrer ein Urteil zu ermöglichen, ob der Kandidat zur weiteren Ausbildung zugelassen werden kann. Ihre Leistung ist erfüllt, wenn sie dem Lehrling die sichere Überzeugung von der Existenz des Unbewußten bringt, ihm die sonst unglaubwürdigen Selbstwahrnehmungen beim Auftauchen des Verdrängten vermittelt und ihm an einer ersten Probe die Technik zeigt, die sich in der analytischen Tätigkeit allein bewährt hat. Dies allein würde als Unterweisung nicht ausreichen, allein man rechnet darauf, daß die in der Eigenanalyse erhaltenen </w:t>
      </w:r>
      <w:r w:rsidRPr="00A75FC3">
        <w:rPr>
          <w:rFonts w:ascii="Garamond" w:hAnsi="Garamond" w:cs="Arial"/>
          <w:color w:val="000000"/>
          <w:lang w:val="en-GB"/>
        </w:rPr>
        <w:lastRenderedPageBreak/>
        <w:t>Anregungen mit deren Aufhören nicht zu Ende kommen, daß die Prozesse der Ichumarbeitung sich spontan beim Analysierten fortsetzen und alle weiteren Erfahrungen in dem neu erworbenen Sinn verwenden werden. Das geschieht auch wirklich, und soweit es geschieht, macht es den Analysierten tauglich zum Analytiker.</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Es ist bedauerlich, daß außerdem noch anderes geschieht. Man bleibt auf Eindrücke angewiesen, wenn man dies beschreiben will; Feindseligkeit auf der einen, Parteilichkeit auf der anderen Seite schaffen eine Atmosphäre, die der objektiven Erforschung nicht günstig ist. Es scheint also, daß zahlreiche Analytiker es erlernen, Abwehrmechanismen anzuwenden, die ihnen gestatten, Folgerungen und Forderungen der Analyse von der eigenen Person abzulenken, wahrscheinlich indem sie sie gegen andere richten, so daß sie selbst bleiben, wie sie sind, und sich dem kritisierenden und korrigierenden Einfluß der Analyse entziehen können. </w:t>
      </w:r>
      <w:r w:rsidRPr="00A75FC3">
        <w:rPr>
          <w:rFonts w:ascii="Garamond" w:hAnsi="Garamond" w:cs="Arial"/>
          <w:color w:val="000000"/>
        </w:rPr>
        <w:t xml:space="preserve">Es mag sein, daß dieser Vorgang dem Dichter recht gibt, der uns mahnt, wenn einem Menschen Macht verliehen wird, falle es ihm schwer, sie nicht zu mißbrauchen </w:t>
      </w:r>
      <w:hyperlink r:id="rId1481" w:anchor="#" w:history="1">
        <w:r w:rsidRPr="00A75FC3">
          <w:rPr>
            <w:rStyle w:val="fusslink"/>
            <w:rFonts w:ascii="Garamond" w:hAnsi="Garamond" w:cs="Arial"/>
            <w:b/>
            <w:bCs/>
            <w:color w:val="003399"/>
          </w:rPr>
          <w:t>[Fußnote]</w:t>
        </w:r>
        <w:r w:rsidRPr="00A75FC3">
          <w:rPr>
            <w:rStyle w:val="innerfusslink3"/>
            <w:rFonts w:ascii="Garamond" w:hAnsi="Garamond" w:cs="Arial"/>
            <w:b/>
            <w:bCs/>
          </w:rPr>
          <w:t xml:space="preserve">Anatole France, </w:t>
        </w:r>
        <w:r w:rsidRPr="00A75FC3">
          <w:rPr>
            <w:rStyle w:val="innerfusslink3"/>
            <w:rFonts w:ascii="Garamond" w:hAnsi="Garamond" w:cs="Arial"/>
            <w:b/>
            <w:bCs/>
            <w:i/>
            <w:iCs/>
          </w:rPr>
          <w:t>La revolte des anges</w:t>
        </w:r>
        <w:r w:rsidRPr="00A75FC3">
          <w:rPr>
            <w:rStyle w:val="innerfusslink3"/>
            <w:rFonts w:ascii="Garamond" w:hAnsi="Garamond" w:cs="Arial"/>
            <w:b/>
            <w:bCs/>
          </w:rPr>
          <w:t>.</w:t>
        </w:r>
      </w:hyperlink>
      <w:r w:rsidRPr="00A75FC3">
        <w:rPr>
          <w:rFonts w:ascii="Garamond" w:hAnsi="Garamond" w:cs="Arial"/>
          <w:color w:val="000000"/>
        </w:rPr>
        <w:t xml:space="preserve">. </w:t>
      </w:r>
      <w:r w:rsidRPr="00A75FC3">
        <w:rPr>
          <w:rFonts w:ascii="Garamond" w:hAnsi="Garamond" w:cs="Arial"/>
          <w:color w:val="000000"/>
          <w:lang w:val="en-GB"/>
        </w:rPr>
        <w:t>Mitunter drängt sich dem um ein Verständnis Bemühten die unliebsame Analogie mit der Wirkung der Röntgenstrahlen auf, wenn man ohne besondere Vorsichten mit ihnen hantiert. Es wäre nicht zu verwundern, wenn durch die unausgesetzte Beschäftigung mit all dem Verdrängten, was in der menschlichen Seele nach Befreiung ringt, auch beim Analytiker alle jene Triebansprüche wachgerüttelt würden, die er sonst in der Unterdrückung erhalten kann. Auch dies sind »Gefahren der Analyse«, die zwar nicht dem passiven, sondern dem aktiven Partner der analytischen Situation drohen, und man sollte es nicht unterlassen, ihnen zu begegnen. Es kann nicht zweifelhaft sein, auf welche Weise. Jeder Analytiker sollte periodisch, etwa nach Verlauf von fünf Jahren, sich wieder zum Objekt der Analyse machen, ohne sich dieses Schrittes zu schämen. Das hieße also, auch die Eigenanalyse würde aus einer endlichen eine unendliche Aufgabe, nicht nur die therapeutische Analyse am Kranken.</w:t>
      </w:r>
    </w:p>
    <w:p w:rsidR="00106CDB" w:rsidRPr="00A75FC3" w:rsidRDefault="00106CDB" w:rsidP="00106CDB">
      <w:pPr>
        <w:rPr>
          <w:rFonts w:ascii="Garamond" w:hAnsi="Garamond" w:cs="Arial"/>
          <w:color w:val="000000"/>
          <w:lang w:val="en-GB"/>
        </w:rPr>
      </w:pPr>
      <w:r w:rsidRPr="00106CDB">
        <w:rPr>
          <w:rFonts w:ascii="Garamond" w:hAnsi="Garamond" w:cs="Arial"/>
          <w:color w:val="000000"/>
          <w:lang w:val="en-GB"/>
        </w:rPr>
        <w:t xml:space="preserve">Indes hier ist es an der Zeit, ein Mißverständnis abzuwehren. Ich habe nicht die Absicht zu behaupten, daß die Analyse überhaupt eine Arbeit ohne Abschluß ist. </w:t>
      </w:r>
      <w:r w:rsidRPr="00A75FC3">
        <w:rPr>
          <w:rFonts w:ascii="Garamond" w:hAnsi="Garamond" w:cs="Arial"/>
          <w:color w:val="000000"/>
          <w:lang w:val="en-GB"/>
        </w:rPr>
        <w:t xml:space="preserve">Wie immer man sich theoretisch zu dieser Frage stellen mag, die Beendigung einer Analyse ist, meine ich, eine Angelegenheit der Praxis. Jeder erfahrene Analytiker wird sich an eine Reihe von Fällen erinnern können, in denen er </w:t>
      </w:r>
      <w:r w:rsidRPr="00A75FC3">
        <w:rPr>
          <w:rFonts w:ascii="Garamond" w:hAnsi="Garamond" w:cs="Arial"/>
          <w:i/>
          <w:iCs/>
          <w:color w:val="000000"/>
          <w:lang w:val="en-GB"/>
        </w:rPr>
        <w:t>rebus bene gestis</w:t>
      </w:r>
      <w:r w:rsidRPr="00A75FC3">
        <w:rPr>
          <w:rFonts w:ascii="Garamond" w:hAnsi="Garamond" w:cs="Arial"/>
          <w:color w:val="000000"/>
          <w:lang w:val="en-GB"/>
        </w:rPr>
        <w:t xml:space="preserve"> vom Patienten dauernden Abschied genommen hat. Weit weniger entfernt sich die Praxis von der Theorie in Fällen der sogenannten Charakteranalyse. Hier wird man nicht leicht ein natürliches Ende voraussehen können, auch wenn man sich von übertriebenen Erwartungen fernehält und der Analyse keine extremen Aufgaben stellt. Man wird sich nicht zum Ziel setzen, alle menschlichen Eigenarten zugunsten einer schematischen Normalität abzuschleifen oder gar zu fordern, daß der »gründlich Analysierte«keine Leidenschaften verspüren und keine inneren Konflikte entwickeln dürfe. Die Analyse soll die für die Ichfunktionen günstigsten psychologischen Bedingungen herstellen; damit wäre ihre Aufgabe erledigt.</w:t>
      </w:r>
    </w:p>
    <w:p w:rsidR="00106CDB" w:rsidRDefault="00106CDB" w:rsidP="00106CDB">
      <w:pPr>
        <w:rPr>
          <w:rFonts w:ascii="Garamond" w:hAnsi="Garamond" w:cs="Arial"/>
          <w:b/>
          <w:bCs/>
          <w:color w:val="000000"/>
          <w:lang w:val="en-GB"/>
        </w:rPr>
      </w:pPr>
      <w:r>
        <w:rPr>
          <w:rFonts w:ascii="Garamond" w:hAnsi="Garamond" w:cs="Arial"/>
          <w:b/>
          <w:bCs/>
          <w:color w:val="000000"/>
          <w:lang w:val="en-GB"/>
        </w:rPr>
        <w:br w:type="page"/>
      </w:r>
      <w:hyperlink w:anchor="unendliche_INHALT" w:history="1">
        <w:r w:rsidRPr="00CE6825">
          <w:rPr>
            <w:rStyle w:val="Lienhypertexte"/>
            <w:rFonts w:ascii="Garamond" w:hAnsi="Garamond" w:cs="Arial"/>
            <w:bCs/>
            <w:lang w:val="en-US"/>
          </w:rPr>
          <w:t>Te</w:t>
        </w:r>
        <w:bookmarkStart w:id="315" w:name="unendliche_8"/>
        <w:bookmarkEnd w:id="315"/>
        <w:r w:rsidRPr="00CE6825">
          <w:rPr>
            <w:rStyle w:val="Lienhypertexte"/>
            <w:rFonts w:ascii="Garamond" w:hAnsi="Garamond" w:cs="Arial"/>
            <w:bCs/>
            <w:lang w:val="en-US"/>
          </w:rPr>
          <w:t>il</w:t>
        </w:r>
        <w:r w:rsidRPr="00CE6825">
          <w:rPr>
            <w:rStyle w:val="Lienhypertexte"/>
            <w:rFonts w:ascii="Garamond" w:hAnsi="Garamond" w:cs="Arial"/>
            <w:b/>
            <w:bCs/>
            <w:lang w:val="en-GB"/>
          </w:rPr>
          <w:t xml:space="preserve"> VIII</w:t>
        </w:r>
      </w:hyperlink>
      <w:r>
        <w:rPr>
          <w:rFonts w:ascii="Garamond" w:hAnsi="Garamond" w:cs="Arial"/>
          <w:b/>
          <w:bCs/>
          <w:color w:val="000000"/>
          <w:lang w:val="en-GB"/>
        </w:rPr>
        <w:t xml:space="preserve"> </w:t>
      </w:r>
    </w:p>
    <w:p w:rsidR="00106CDB" w:rsidRPr="00A75FC3" w:rsidRDefault="00106CDB" w:rsidP="00106CDB">
      <w:pPr>
        <w:rPr>
          <w:rFonts w:ascii="Garamond" w:hAnsi="Garamond" w:cs="Arial"/>
          <w:b/>
          <w:bCs/>
          <w:color w:val="000000"/>
          <w:lang w:val="en-GB"/>
        </w:rPr>
      </w:pP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In therapeutischen ebenso wie in Charakteranalysen wird man auf die Tatsache aufmerksam, daß zwei Themen sich besonders hervortun und dem Analytiker ungewöhnlich viel zu schaffen machen. Man kann das Gesetzmäßige, das sich darin äußert, nicht lange verkennen. Die beiden Themen sind an die Differenz der Geschlechter gebunden; das eine ist ebenso charakteristisch für den Mann wie das andere für das Weib. Trotz der Verschiedenheit des Inhalts sind es offenbare Entsprechungen. Etwas, das beiden Geschlechtern gemeinsam ist, ist durch den Geschlechtsunterschied in eine andere Ausdrucksform gepreßt worden.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Die beiden einander entsprechenden Themen sind für das Weib der </w:t>
      </w:r>
      <w:r w:rsidRPr="00A75FC3">
        <w:rPr>
          <w:rFonts w:ascii="Garamond" w:hAnsi="Garamond" w:cs="Arial"/>
          <w:i/>
          <w:iCs/>
          <w:color w:val="000000"/>
          <w:lang w:val="en-GB"/>
        </w:rPr>
        <w:t>Penisneid</w:t>
      </w:r>
      <w:r w:rsidRPr="00A75FC3">
        <w:rPr>
          <w:rFonts w:ascii="Garamond" w:hAnsi="Garamond" w:cs="Arial"/>
          <w:color w:val="000000"/>
          <w:lang w:val="en-GB"/>
        </w:rPr>
        <w:t xml:space="preserve"> – das positive Streben nach dem Besitz eines männlichen Genitales –, für den Mann das Sträuben gegen seine passive oder feminine Einstellung zum anderen Mann. Das Gemeinsame hat die psychoanalytische Nomenklatur frühzeitig als Verhalten zum Kastrationskomplex herausgehoben, Alfred Adler hat später die für den Mann voll zutreffende Bezeichnung »männlicher Protest«in Gebrauch gebracht; ich meine, »Ablehnung der Weiblichkeit«wäre vom Anfang an die richtige Beschreibung dieses so merkwürdigen Stückes des menschlichen Seelenlebens gewesen.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Beim Versuch einer Einfügung in unser theoretisches Lehrgebäude darf man nicht übersehen, daß dieser Faktor seiner Natur nach nicht die gleiche Unterbringung bei beiden Geschlechtern finden kann. Beim Mann ist das Männlichkeitsstreben von Anfang an und durchaus ichgerecht; die passive Einstellung wird, da sie die Annahme der Kastration voraussetzt, energisch verdrängt, und oftmals weisen nur exzessive Überkompensationen auf ihr Vorhandensein hin. Auch beim Weib ist das Streben nach Männlichkeit zu einer gewissen Zeit ichgerecht, nämlich in der phallischen Phase, vor der Entwicklung zur Femininität. Dann aber unterliegt es jenem bedeutsamen Verdrängungsprozeß, von dessen Ausgang, wie oft dargestellt, die Schicksale der Weiblichkeit abhängig sind. Sehr viel wird darauf ankommen, ob genug vom Männlichkeitskomplex sich der Verdrängung entzieht und den Charakter dauernd beeinflußt; große Anteile des Komplexes werden normalerweise umgewandelt, um zum Aufbau der Weiblichkeit beizutragen; aus dem ungestillten Wunsch nach dem Penis soll der Wunsch nach dem Kind und nach dem Manne werden, der den Penis trägt. Ungewöhnlich oft aber werden wir finden, daß der Männlichkeitswunsch im Unbewußten erhalten geblieben ist und von der Verdrängung her seine störenden Wirkungen entfaltet.</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Wie man aus dem Vorstehenden ersieht, ist es in beiden Fällen das Gegengeschlechtliche, das der Verdrängung verfällt. Ich habe bereits an anderer Stelle erwähnt </w:t>
      </w:r>
      <w:hyperlink r:id="rId1482"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 xml:space="preserve">›»Ein Kind wird geschlagen«‹ (1919 </w:t>
        </w:r>
        <w:r w:rsidRPr="00A75FC3">
          <w:rPr>
            <w:rStyle w:val="innerfusslink3"/>
            <w:rFonts w:ascii="Garamond" w:hAnsi="Garamond" w:cs="Arial"/>
            <w:b/>
            <w:bCs/>
            <w:i/>
            <w:iCs/>
            <w:lang w:val="en-GB"/>
          </w:rPr>
          <w:t>e</w:t>
        </w:r>
        <w:r w:rsidRPr="00A75FC3">
          <w:rPr>
            <w:rStyle w:val="innerfusslink3"/>
            <w:rFonts w:ascii="Garamond" w:hAnsi="Garamond" w:cs="Arial"/>
            <w:b/>
            <w:bCs/>
            <w:lang w:val="en-GB"/>
          </w:rPr>
          <w:t>)</w:t>
        </w:r>
      </w:hyperlink>
      <w:r w:rsidRPr="00A75FC3">
        <w:rPr>
          <w:rFonts w:ascii="Garamond" w:hAnsi="Garamond" w:cs="Arial"/>
          <w:color w:val="000000"/>
          <w:lang w:val="en-GB"/>
        </w:rPr>
        <w:t>, daß mir dieser Gesichtspunkt seinerzeit von Wilhelm Fließ vorgetragen wurde, der geneigt war, den Gegensatz der Geschlechter für den eigentlichen Anlaß und das Urmotiv der Verdrängung zu erklären. Ich wiederhole nur meinen damaligen Widerspruch, wenn ich es ablehne, die Verdrängung in solcher Art zu sexualisieren, also sie biologisch anstatt nur psychologisch zu begründen.</w:t>
      </w:r>
    </w:p>
    <w:p w:rsidR="00106CDB" w:rsidRPr="00A75FC3" w:rsidRDefault="00106CDB" w:rsidP="00106CDB">
      <w:pPr>
        <w:rPr>
          <w:rFonts w:ascii="Garamond" w:hAnsi="Garamond" w:cs="Arial"/>
          <w:color w:val="000000"/>
          <w:lang w:val="en-GB"/>
        </w:rPr>
      </w:pPr>
      <w:r w:rsidRPr="00A75FC3">
        <w:rPr>
          <w:rFonts w:ascii="Garamond" w:hAnsi="Garamond" w:cs="Arial"/>
          <w:color w:val="000000"/>
          <w:lang w:val="en-GB"/>
        </w:rPr>
        <w:t xml:space="preserve">Die hervorragende Bedeutung dieser beiden Themen – des Peniswunsches beim Weibe und des Sträubens gegen die passive Einstellung beim Manne – ist der Aufmerksamkeit Ferenczis nicht entgangen. In seinem 1927 gehaltenen Vortrag stellt er die Forderung auf, daß jede erfolgreiche Analyse diese beiden Komplexe bewältigt haben müßte </w:t>
      </w:r>
      <w:hyperlink r:id="rId1483"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 jeder männliche Patient muß dem Arzt gegenüber als Zeichen der Überwindung der Kastrationsangst ein Gefühl der Gleichberechtigung erlangen; alle weiblichen Kranken müssen, soll ihre Neurose als eine vollständig erledigte gelten, mit ihrem Männlichkeitskomplex fertig werden und sich ohne Ranküne den Denkmöglichkeiten der weiblichen Rolle hingeben.«</w:t>
        </w:r>
      </w:hyperlink>
      <w:r w:rsidRPr="00A75FC3">
        <w:rPr>
          <w:rFonts w:ascii="Garamond" w:hAnsi="Garamond" w:cs="Arial"/>
          <w:color w:val="000000"/>
          <w:lang w:val="en-GB"/>
        </w:rPr>
        <w:t xml:space="preserve">. Ich möchte aus eigener Erfahrung hinzufügen, daß ich Ferenczi hier besonders anspruchsvoll finde. Zu keiner Zeit der analytischen Arbeit leidet man mehr unter dem </w:t>
      </w:r>
      <w:r w:rsidRPr="00A75FC3">
        <w:rPr>
          <w:rFonts w:ascii="Garamond" w:hAnsi="Garamond" w:cs="Arial"/>
          <w:color w:val="000000"/>
          <w:lang w:val="en-GB"/>
        </w:rPr>
        <w:lastRenderedPageBreak/>
        <w:t xml:space="preserve">bedrückenden Gefühl erfolglos wiederholter Anstrengung, unter dem Verdacht, daß man »Fischpredigten«abhält, als wenn man die Frauen bewegen will, ihren Peniswunsch als undurchsetzbar aufzugeben, und wenn man die Männer überzeugen möchte, daß eine passive Einstellung zum Mann nicht immer die Bedeutung einer Kastration hat und in vielen Lebensbeziehungen unerläßlich ist. </w:t>
      </w:r>
      <w:r w:rsidRPr="00A75FC3">
        <w:rPr>
          <w:rFonts w:ascii="Garamond" w:hAnsi="Garamond" w:cs="Arial"/>
          <w:color w:val="000000"/>
        </w:rPr>
        <w:t xml:space="preserve">Aus der trotzigen Überkompensation des Mannes leitet sich einer der stärksten Übertragungswiderstände ab. </w:t>
      </w:r>
      <w:r w:rsidRPr="00A75FC3">
        <w:rPr>
          <w:rFonts w:ascii="Garamond" w:hAnsi="Garamond" w:cs="Arial"/>
          <w:color w:val="000000"/>
          <w:lang w:val="en-GB"/>
        </w:rPr>
        <w:t>Der Mann will sich einem Vaterersatz nicht unterwerfen, will ihm nicht zu Dank verpflichtet sein, will also auch vom Arzt die Heilung nicht annehmen. Eine analoge Übertragung kann sich aus dem Peniswunsch des Weibes nicht herstellen, dagegen stammen aus dieser Quelle Ausbrüche von schwerer Depression um die innere Sicherheit, daß die analytische Kur nichts nützen wird und daß der Kranken nicht geholfen werden kann. Man wird ihr nicht unrecht geben, wenn man erfährt, daß die Hoffnung, das schmerzlich vermißte männliche Organ doch noch zu bekommen, das stärkste Motiv war, das sie in die Kur gedrängt hat.</w:t>
      </w:r>
    </w:p>
    <w:p w:rsidR="005D30C2" w:rsidRDefault="00106CDB" w:rsidP="00106CDB">
      <w:pPr>
        <w:rPr>
          <w:rFonts w:ascii="Garamond" w:hAnsi="Garamond" w:cs="Arial"/>
          <w:color w:val="000000"/>
          <w:lang w:val="en-GB"/>
        </w:rPr>
      </w:pPr>
      <w:r w:rsidRPr="00A75FC3">
        <w:rPr>
          <w:rFonts w:ascii="Garamond" w:hAnsi="Garamond" w:cs="Arial"/>
          <w:color w:val="000000"/>
          <w:lang w:val="en-GB"/>
        </w:rPr>
        <w:t xml:space="preserve">Man lernt aber auch daraus, daß es nicht wichtig ist, in welcher Form der Widerstand auftritt, ob als Übertragung oder nicht. Entscheidend bleibt, daß der Widerstand keine Änderung zustande kommen läßt, daß alles so bleibt, wie es ist. Man hat oft den Eindruck, mit dem Peniswunsch und dem männlichen Protest sei man durch alle psychologische Schichtung hindurch zum »gewachsenen Fels«durchgedrungen und so am Ende seiner Tätigkeit. Das muß wohl so sein, denn für das Psychische spielt das Biologische wirklich die Rolle des unterliegenden gewachsenen Felsens. Die Ablehnung der Weiblichkeit kann ja nichts anderes sein als eine biologische Tatsache, ein Stück jenes großen Rätsels der Geschlechtlichkeit </w:t>
      </w:r>
      <w:hyperlink r:id="rId1484" w:anchor="#" w:history="1">
        <w:r w:rsidRPr="00A75FC3">
          <w:rPr>
            <w:rStyle w:val="fusslink"/>
            <w:rFonts w:ascii="Garamond" w:hAnsi="Garamond" w:cs="Arial"/>
            <w:b/>
            <w:bCs/>
            <w:color w:val="003399"/>
            <w:lang w:val="en-GB"/>
          </w:rPr>
          <w:t>[Fußnote]</w:t>
        </w:r>
        <w:r w:rsidRPr="00A75FC3">
          <w:rPr>
            <w:rStyle w:val="innerfusslink3"/>
            <w:rFonts w:ascii="Garamond" w:hAnsi="Garamond" w:cs="Arial"/>
            <w:b/>
            <w:bCs/>
            <w:lang w:val="en-GB"/>
          </w:rPr>
          <w:t>Man darf sich durch die Bezeichnung »männlicher Protest«nicht zur Annahme verleiten lassen, die Ablehnung des Mannes gelte der passiven Einstellung, dem sozusagen sozialen Aspekt der Femininität. Dem widerspricht die leicht zu bestätigende Beobachtung, daß solche Männer häufig ein masochistisches Verhalten gegen das Weib, geradezu eine Hörigkeit zur Schau tragen. Der Mann wehrt sich nur gegen die Passivität im Verhältnis zum Mann, nicht gegen die Passivität überhaupt. Mit anderen Worten, der »männliche Protest«ist in der Tat nichts anderes als Kastrationsangst.</w:t>
        </w:r>
      </w:hyperlink>
      <w:r w:rsidRPr="00A75FC3">
        <w:rPr>
          <w:rFonts w:ascii="Garamond" w:hAnsi="Garamond" w:cs="Arial"/>
          <w:color w:val="000000"/>
          <w:lang w:val="en-GB"/>
        </w:rPr>
        <w:t>. Ob und wann es uns in einer analytischen Kur gelungen ist, diesen Faktor zu bewältigen, wird schwer zu sagen sein. Wir trösten uns mit der Sicherheit, daß wir dem Analysierten jede mögliche Anregung geboten haben, seine Einstellung zu ihm zu überprüfen und zu ändern.</w:t>
      </w:r>
    </w:p>
    <w:p w:rsidR="005D30C2" w:rsidRDefault="005D30C2">
      <w:pPr>
        <w:rPr>
          <w:rFonts w:ascii="Garamond" w:hAnsi="Garamond" w:cs="Arial"/>
          <w:color w:val="000000"/>
          <w:lang w:val="en-GB"/>
        </w:rPr>
      </w:pPr>
      <w:r>
        <w:rPr>
          <w:rFonts w:ascii="Garamond" w:hAnsi="Garamond" w:cs="Arial"/>
          <w:color w:val="000000"/>
          <w:lang w:val="en-GB"/>
        </w:rPr>
        <w:br w:type="page"/>
      </w:r>
    </w:p>
    <w:p w:rsidR="005D30C2" w:rsidRPr="005C1841" w:rsidRDefault="005D30C2" w:rsidP="005D30C2">
      <w:pPr>
        <w:rPr>
          <w:rFonts w:ascii="Garamond" w:hAnsi="Garamond" w:cs="Arial"/>
          <w:b/>
          <w:bCs/>
          <w:color w:val="000000"/>
          <w:lang w:val="en-GB"/>
        </w:rPr>
      </w:pPr>
    </w:p>
    <w:p w:rsidR="005D30C2" w:rsidRPr="005C67C8" w:rsidRDefault="005D30C2" w:rsidP="005D30C2">
      <w:pPr>
        <w:rPr>
          <w:rFonts w:ascii="Garamond" w:hAnsi="Garamond" w:cs="Arial"/>
          <w:bCs/>
          <w:color w:val="000000"/>
        </w:rPr>
      </w:pPr>
      <w:r w:rsidRPr="005C67C8">
        <w:rPr>
          <w:rFonts w:ascii="Garamond" w:hAnsi="Garamond" w:cs="Arial"/>
          <w:bCs/>
          <w:color w:val="000000"/>
        </w:rPr>
        <w:t>Di</w:t>
      </w:r>
      <w:bookmarkStart w:id="316" w:name="F73"/>
      <w:bookmarkEnd w:id="316"/>
      <w:r w:rsidRPr="005C67C8">
        <w:rPr>
          <w:rFonts w:ascii="Garamond" w:hAnsi="Garamond" w:cs="Arial"/>
          <w:bCs/>
          <w:color w:val="000000"/>
        </w:rPr>
        <w:t>e Frage der Laienanalyse  1926</w:t>
      </w:r>
      <w:r>
        <w:rPr>
          <w:rFonts w:ascii="Garamond" w:hAnsi="Garamond" w:cs="Arial"/>
          <w:bCs/>
          <w:color w:val="000000"/>
        </w:rPr>
        <w:t xml:space="preserve">                                                                                                 </w:t>
      </w:r>
      <w:hyperlink w:anchor="Werke" w:history="1">
        <w:r w:rsidRPr="005C1841">
          <w:rPr>
            <w:rStyle w:val="Lienhypertexte"/>
            <w:rFonts w:ascii="Garamond" w:hAnsi="Garamond"/>
          </w:rPr>
          <w:t>Werke</w:t>
        </w:r>
      </w:hyperlink>
    </w:p>
    <w:p w:rsidR="005D30C2" w:rsidRPr="005C67C8" w:rsidRDefault="005D30C2" w:rsidP="005D30C2">
      <w:pPr>
        <w:rPr>
          <w:rFonts w:ascii="Garamond" w:hAnsi="Garamond" w:cs="Arial"/>
          <w:bCs/>
          <w:color w:val="000000"/>
        </w:rPr>
      </w:pPr>
    </w:p>
    <w:p w:rsidR="005D30C2" w:rsidRPr="005C67C8" w:rsidRDefault="005D30C2" w:rsidP="005D30C2">
      <w:pPr>
        <w:rPr>
          <w:rFonts w:ascii="Garamond" w:hAnsi="Garamond" w:cs="Arial"/>
          <w:bCs/>
          <w:color w:val="000000"/>
        </w:rPr>
      </w:pPr>
      <w:r w:rsidRPr="005C67C8">
        <w:rPr>
          <w:rFonts w:ascii="Garamond" w:hAnsi="Garamond" w:cs="Arial"/>
          <w:bCs/>
          <w:color w:val="000000"/>
        </w:rPr>
        <w:t>In</w:t>
      </w:r>
      <w:bookmarkStart w:id="317" w:name="Laienanalyse_INHALT"/>
      <w:bookmarkEnd w:id="317"/>
      <w:r w:rsidRPr="005C67C8">
        <w:rPr>
          <w:rFonts w:ascii="Garamond" w:hAnsi="Garamond" w:cs="Arial"/>
          <w:bCs/>
          <w:color w:val="000000"/>
        </w:rPr>
        <w:t>halt</w:t>
      </w:r>
    </w:p>
    <w:p w:rsidR="005D30C2" w:rsidRPr="005C67C8" w:rsidRDefault="00B437A1" w:rsidP="00CE4D4E">
      <w:pPr>
        <w:numPr>
          <w:ilvl w:val="0"/>
          <w:numId w:val="12"/>
        </w:numPr>
        <w:shd w:val="clear" w:color="auto" w:fill="FFFFFF"/>
        <w:spacing w:before="100" w:beforeAutospacing="1" w:after="100" w:afterAutospacing="1" w:line="124" w:lineRule="atLeast"/>
        <w:rPr>
          <w:rFonts w:ascii="Garamond" w:hAnsi="Garamond" w:cs="Arial"/>
          <w:color w:val="000000"/>
        </w:rPr>
      </w:pPr>
      <w:hyperlink w:anchor="Laienanalyse_Einleitung" w:history="1">
        <w:r w:rsidR="005D30C2" w:rsidRPr="005C67C8">
          <w:rPr>
            <w:rStyle w:val="Lienhypertexte"/>
            <w:rFonts w:ascii="Garamond" w:hAnsi="Garamond" w:cs="Arial"/>
            <w:b/>
            <w:bCs/>
          </w:rPr>
          <w:t>Einleitung</w:t>
        </w:r>
      </w:hyperlink>
    </w:p>
    <w:p w:rsidR="005D30C2" w:rsidRPr="005C67C8" w:rsidRDefault="00B437A1" w:rsidP="00CE4D4E">
      <w:pPr>
        <w:numPr>
          <w:ilvl w:val="0"/>
          <w:numId w:val="12"/>
        </w:numPr>
        <w:shd w:val="clear" w:color="auto" w:fill="FFFFFF"/>
        <w:spacing w:before="100" w:beforeAutospacing="1" w:after="100" w:afterAutospacing="1" w:line="124" w:lineRule="atLeast"/>
        <w:rPr>
          <w:rFonts w:ascii="Garamond" w:hAnsi="Garamond" w:cs="Arial"/>
          <w:color w:val="000000"/>
        </w:rPr>
      </w:pPr>
      <w:hyperlink w:anchor="Laienanalyse_1" w:history="1">
        <w:r w:rsidR="005D30C2" w:rsidRPr="005C67C8">
          <w:rPr>
            <w:rStyle w:val="Lienhypertexte"/>
            <w:rFonts w:ascii="Garamond" w:hAnsi="Garamond" w:cs="Arial"/>
            <w:b/>
            <w:bCs/>
          </w:rPr>
          <w:t>Teil I</w:t>
        </w:r>
      </w:hyperlink>
    </w:p>
    <w:p w:rsidR="005D30C2" w:rsidRPr="005C67C8" w:rsidRDefault="00B437A1" w:rsidP="00CE4D4E">
      <w:pPr>
        <w:numPr>
          <w:ilvl w:val="0"/>
          <w:numId w:val="12"/>
        </w:numPr>
        <w:shd w:val="clear" w:color="auto" w:fill="FFFFFF"/>
        <w:spacing w:before="100" w:beforeAutospacing="1" w:after="100" w:afterAutospacing="1" w:line="124" w:lineRule="atLeast"/>
        <w:rPr>
          <w:rFonts w:ascii="Garamond" w:hAnsi="Garamond" w:cs="Arial"/>
          <w:color w:val="000000"/>
        </w:rPr>
      </w:pPr>
      <w:hyperlink w:anchor="Laienanalyse_2" w:history="1">
        <w:r w:rsidR="005D30C2" w:rsidRPr="005C67C8">
          <w:rPr>
            <w:rStyle w:val="Lienhypertexte"/>
            <w:rFonts w:ascii="Garamond" w:hAnsi="Garamond" w:cs="Arial"/>
            <w:b/>
            <w:bCs/>
          </w:rPr>
          <w:t>Teil II</w:t>
        </w:r>
      </w:hyperlink>
    </w:p>
    <w:p w:rsidR="005D30C2" w:rsidRPr="005C67C8" w:rsidRDefault="00B437A1" w:rsidP="00CE4D4E">
      <w:pPr>
        <w:numPr>
          <w:ilvl w:val="0"/>
          <w:numId w:val="12"/>
        </w:numPr>
        <w:shd w:val="clear" w:color="auto" w:fill="FFFFFF"/>
        <w:spacing w:before="100" w:beforeAutospacing="1" w:after="100" w:afterAutospacing="1" w:line="124" w:lineRule="atLeast"/>
        <w:rPr>
          <w:rFonts w:ascii="Garamond" w:hAnsi="Garamond" w:cs="Arial"/>
          <w:color w:val="000000"/>
        </w:rPr>
      </w:pPr>
      <w:hyperlink w:anchor="Laienanalyse_3" w:history="1">
        <w:r w:rsidR="005D30C2" w:rsidRPr="005C67C8">
          <w:rPr>
            <w:rStyle w:val="Lienhypertexte"/>
            <w:rFonts w:ascii="Garamond" w:hAnsi="Garamond" w:cs="Arial"/>
            <w:b/>
            <w:bCs/>
          </w:rPr>
          <w:t>Teil III</w:t>
        </w:r>
      </w:hyperlink>
    </w:p>
    <w:p w:rsidR="005D30C2" w:rsidRPr="005C67C8" w:rsidRDefault="00B437A1" w:rsidP="00CE4D4E">
      <w:pPr>
        <w:numPr>
          <w:ilvl w:val="0"/>
          <w:numId w:val="12"/>
        </w:numPr>
        <w:shd w:val="clear" w:color="auto" w:fill="FFFFFF"/>
        <w:spacing w:before="100" w:beforeAutospacing="1" w:after="100" w:afterAutospacing="1" w:line="124" w:lineRule="atLeast"/>
        <w:rPr>
          <w:rFonts w:ascii="Garamond" w:hAnsi="Garamond" w:cs="Arial"/>
          <w:color w:val="000000"/>
        </w:rPr>
      </w:pPr>
      <w:hyperlink w:anchor="Laienanalyse_4" w:history="1">
        <w:r w:rsidR="005D30C2" w:rsidRPr="005C67C8">
          <w:rPr>
            <w:rStyle w:val="Lienhypertexte"/>
            <w:rFonts w:ascii="Garamond" w:hAnsi="Garamond" w:cs="Arial"/>
            <w:b/>
            <w:bCs/>
          </w:rPr>
          <w:t>Teil IV</w:t>
        </w:r>
      </w:hyperlink>
    </w:p>
    <w:p w:rsidR="005D30C2" w:rsidRPr="005C67C8" w:rsidRDefault="00B437A1" w:rsidP="00CE4D4E">
      <w:pPr>
        <w:numPr>
          <w:ilvl w:val="0"/>
          <w:numId w:val="12"/>
        </w:numPr>
        <w:shd w:val="clear" w:color="auto" w:fill="FFFFFF"/>
        <w:spacing w:before="100" w:beforeAutospacing="1" w:after="100" w:afterAutospacing="1" w:line="124" w:lineRule="atLeast"/>
        <w:rPr>
          <w:rFonts w:ascii="Garamond" w:hAnsi="Garamond" w:cs="Arial"/>
          <w:color w:val="000000"/>
        </w:rPr>
      </w:pPr>
      <w:hyperlink w:anchor="Laienanalyse_5" w:history="1">
        <w:r w:rsidR="005D30C2" w:rsidRPr="005C67C8">
          <w:rPr>
            <w:rStyle w:val="Lienhypertexte"/>
            <w:rFonts w:ascii="Garamond" w:hAnsi="Garamond" w:cs="Arial"/>
            <w:b/>
            <w:bCs/>
          </w:rPr>
          <w:t>Teil V</w:t>
        </w:r>
      </w:hyperlink>
    </w:p>
    <w:p w:rsidR="005D30C2" w:rsidRPr="005C67C8" w:rsidRDefault="00B437A1" w:rsidP="00CE4D4E">
      <w:pPr>
        <w:numPr>
          <w:ilvl w:val="0"/>
          <w:numId w:val="12"/>
        </w:numPr>
        <w:shd w:val="clear" w:color="auto" w:fill="FFFFFF"/>
        <w:spacing w:before="100" w:beforeAutospacing="1" w:after="100" w:afterAutospacing="1" w:line="124" w:lineRule="atLeast"/>
        <w:rPr>
          <w:rFonts w:ascii="Garamond" w:hAnsi="Garamond" w:cs="Arial"/>
          <w:color w:val="000000"/>
        </w:rPr>
      </w:pPr>
      <w:hyperlink w:anchor="Laienanalyse_6" w:history="1">
        <w:r w:rsidR="005D30C2" w:rsidRPr="005C67C8">
          <w:rPr>
            <w:rStyle w:val="Lienhypertexte"/>
            <w:rFonts w:ascii="Garamond" w:hAnsi="Garamond" w:cs="Arial"/>
            <w:b/>
            <w:bCs/>
          </w:rPr>
          <w:t>Teil VI</w:t>
        </w:r>
      </w:hyperlink>
    </w:p>
    <w:p w:rsidR="005D30C2" w:rsidRPr="005C67C8" w:rsidRDefault="00B437A1" w:rsidP="00CE4D4E">
      <w:pPr>
        <w:numPr>
          <w:ilvl w:val="0"/>
          <w:numId w:val="12"/>
        </w:numPr>
        <w:shd w:val="clear" w:color="auto" w:fill="FFFFFF"/>
        <w:spacing w:before="100" w:beforeAutospacing="1" w:after="100" w:afterAutospacing="1" w:line="124" w:lineRule="atLeast"/>
        <w:rPr>
          <w:rFonts w:ascii="Garamond" w:hAnsi="Garamond" w:cs="Arial"/>
          <w:color w:val="000000"/>
        </w:rPr>
      </w:pPr>
      <w:hyperlink w:anchor="Laienanalyse_7" w:history="1">
        <w:r w:rsidR="005D30C2" w:rsidRPr="005C67C8">
          <w:rPr>
            <w:rStyle w:val="Lienhypertexte"/>
            <w:rFonts w:ascii="Garamond" w:hAnsi="Garamond" w:cs="Arial"/>
            <w:b/>
            <w:bCs/>
          </w:rPr>
          <w:t>Teil VII</w:t>
        </w:r>
      </w:hyperlink>
    </w:p>
    <w:p w:rsidR="005D30C2" w:rsidRPr="005C67C8" w:rsidRDefault="00B437A1" w:rsidP="00CE4D4E">
      <w:pPr>
        <w:numPr>
          <w:ilvl w:val="0"/>
          <w:numId w:val="12"/>
        </w:numPr>
        <w:shd w:val="clear" w:color="auto" w:fill="FFFFFF"/>
        <w:spacing w:before="100" w:beforeAutospacing="1" w:after="100" w:afterAutospacing="1" w:line="124" w:lineRule="atLeast"/>
        <w:rPr>
          <w:rFonts w:ascii="Garamond" w:hAnsi="Garamond" w:cs="Arial"/>
          <w:color w:val="000000"/>
        </w:rPr>
      </w:pPr>
      <w:hyperlink w:anchor="Laienanalyse_Nachwort" w:history="1">
        <w:r w:rsidR="005D30C2" w:rsidRPr="005C67C8">
          <w:rPr>
            <w:rStyle w:val="Lienhypertexte"/>
            <w:rFonts w:ascii="Garamond" w:hAnsi="Garamond" w:cs="Arial"/>
            <w:b/>
            <w:bCs/>
          </w:rPr>
          <w:t>Nachwort zur « Frage der Laienanalyse</w:t>
        </w:r>
        <w:r w:rsidR="005D30C2" w:rsidRPr="005C67C8">
          <w:rPr>
            <w:rStyle w:val="Lienhypertexte"/>
            <w:rFonts w:ascii="Garamond" w:hAnsi="Garamond" w:cs="Arial"/>
          </w:rPr>
          <w:t> »</w:t>
        </w:r>
      </w:hyperlink>
    </w:p>
    <w:p w:rsidR="005D30C2" w:rsidRPr="005C67C8" w:rsidRDefault="005D30C2" w:rsidP="005D30C2">
      <w:pPr>
        <w:shd w:val="clear" w:color="auto" w:fill="FFFFFF"/>
        <w:spacing w:before="120" w:after="120" w:line="124" w:lineRule="atLeast"/>
        <w:rPr>
          <w:rFonts w:ascii="Garamond" w:hAnsi="Garamond" w:cs="Arial"/>
          <w:color w:val="000000"/>
        </w:rPr>
      </w:pPr>
    </w:p>
    <w:p w:rsidR="005D30C2" w:rsidRPr="005C67C8" w:rsidRDefault="005D30C2" w:rsidP="005D30C2">
      <w:pPr>
        <w:shd w:val="clear" w:color="auto" w:fill="FFFFFF"/>
        <w:spacing w:before="221" w:after="44" w:line="306" w:lineRule="atLeast"/>
        <w:outlineLvl w:val="3"/>
        <w:rPr>
          <w:rFonts w:ascii="Garamond" w:hAnsi="Garamond" w:cs="Arial"/>
          <w:b/>
          <w:bCs/>
          <w:color w:val="000000"/>
          <w:lang w:val="en-GB"/>
        </w:rPr>
      </w:pPr>
      <w:r w:rsidRPr="005C1841">
        <w:rPr>
          <w:rFonts w:ascii="Garamond" w:hAnsi="Garamond" w:cs="Arial"/>
          <w:b/>
          <w:bCs/>
          <w:color w:val="000000"/>
          <w:lang w:val="en-US"/>
        </w:rPr>
        <w:br w:type="page"/>
      </w:r>
      <w:hyperlink w:anchor="Laienanalyse_INHALT" w:history="1">
        <w:r w:rsidRPr="005C67C8">
          <w:rPr>
            <w:rStyle w:val="Lienhypertexte"/>
            <w:rFonts w:ascii="Garamond" w:hAnsi="Garamond" w:cs="Arial"/>
            <w:b/>
            <w:bCs/>
            <w:lang w:val="en-GB"/>
          </w:rPr>
          <w:t>Ei</w:t>
        </w:r>
        <w:bookmarkStart w:id="318" w:name="Laienanalyse_Einleitung"/>
        <w:bookmarkEnd w:id="318"/>
        <w:r w:rsidRPr="005C67C8">
          <w:rPr>
            <w:rStyle w:val="Lienhypertexte"/>
            <w:rFonts w:ascii="Garamond" w:hAnsi="Garamond" w:cs="Arial"/>
            <w:b/>
            <w:bCs/>
            <w:lang w:val="en-GB"/>
          </w:rPr>
          <w:t>nleitung</w:t>
        </w:r>
      </w:hyperlink>
    </w:p>
    <w:p w:rsidR="005D30C2" w:rsidRDefault="005D30C2" w:rsidP="005D30C2">
      <w:pPr>
        <w:shd w:val="clear" w:color="auto" w:fill="FFFFFF"/>
        <w:spacing w:before="120" w:after="120" w:line="124" w:lineRule="atLeast"/>
        <w:rPr>
          <w:rFonts w:ascii="Garamond" w:hAnsi="Garamond" w:cs="Arial"/>
          <w:color w:val="000000"/>
          <w:lang w:val="en-GB"/>
        </w:rPr>
      </w:pP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Der Titel dieser kleinen Schrift ist nicht ohne weiteres verständlich. Ich werde ihn also erläutern: Laien = Nichtärzte, und die Frage ist, ob es auch Nichtärzten erlaubt sein soll, die Analyse auszuüben. Diese Frage hat ihre zeitliche wie ihre örtliche Bedingtheit. Zeitlich insofern, als sich bisher niemand darum gekümmert hat, </w:t>
      </w:r>
      <w:r w:rsidRPr="005C67C8">
        <w:rPr>
          <w:rFonts w:ascii="Garamond" w:hAnsi="Garamond" w:cs="Arial"/>
          <w:i/>
          <w:iCs/>
          <w:color w:val="000000"/>
          <w:lang w:val="en-GB"/>
        </w:rPr>
        <w:t>wer</w:t>
      </w:r>
      <w:r w:rsidRPr="005C67C8">
        <w:rPr>
          <w:rFonts w:ascii="Garamond" w:hAnsi="Garamond" w:cs="Arial"/>
          <w:color w:val="000000"/>
          <w:lang w:val="en-GB"/>
        </w:rPr>
        <w:t xml:space="preserve"> die Psychoanalyse ausübt. Ja, man hat sich viel zuwenig darum gekümmert, man war nur einig in dem Wunsch, daß </w:t>
      </w:r>
      <w:r w:rsidRPr="005C67C8">
        <w:rPr>
          <w:rFonts w:ascii="Garamond" w:hAnsi="Garamond" w:cs="Arial"/>
          <w:i/>
          <w:iCs/>
          <w:color w:val="000000"/>
          <w:lang w:val="en-GB"/>
        </w:rPr>
        <w:t>niemand</w:t>
      </w:r>
      <w:r w:rsidRPr="005C67C8">
        <w:rPr>
          <w:rFonts w:ascii="Garamond" w:hAnsi="Garamond" w:cs="Arial"/>
          <w:color w:val="000000"/>
          <w:lang w:val="en-GB"/>
        </w:rPr>
        <w:t xml:space="preserve"> sie üben sollte, mit verschiedenen Begründungen, denen die gleiche Abneigung zugrunde lag. Die Forderung, daß nur Ärzte analysieren sollen, entspricht also einer neuen und anscheinend freundlicheren Einstellung zur Analyse – d. h. wenn sie dem Verdacht entgehen kann, doch nur ein etwas modifizierter Abkömmling der früheren Einstellung zu sein. Es wird zugegeben, daß eine analytische Behandlung unter Umständen vorzunehmen ist, aber wenn, dann sollen nur Ärzte sie vornehmen dürfen. Das Warum dieser Einschränkung wird dann zu untersuchen sein.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Örtlich bedingt ist diese Frage, weil sie nicht für alle Länder mit gleicher Tragweite in Betracht kommt. In Deutschland und Amerika bedeutet sie eine akademische Diskussion, denn in diesen Ländern kann sich jeder Kranke behandeln lassen, wie und von wem er will, kann jeder, der will, als »Kurpfuscher« beliebige Kranke behandeln, wenn er nur die Verantwortlichkeit für sein Tun übernimmt. Das Gesetz mengt sich nicht früher ein, als bis man es zur Sühne einer Schädigung des Kranken angerufen hat. In Österreich aber, in dem und für das ich schreibe, ist das Gesetz präventiv, es verbietet dem Nichtarzt, Behandlungen an Kranken zu unternehmen, ohne deren Ausgang abzuwarten </w:t>
      </w:r>
      <w:hyperlink r:id="rId1485" w:anchor="#" w:history="1">
        <w:r w:rsidRPr="005C67C8">
          <w:rPr>
            <w:rStyle w:val="fusslink"/>
            <w:rFonts w:ascii="Garamond" w:hAnsi="Garamond" w:cs="Arial"/>
            <w:b/>
            <w:bCs/>
            <w:color w:val="003399"/>
            <w:lang w:val="en-GB"/>
          </w:rPr>
          <w:t>[Fußnote]</w:t>
        </w:r>
        <w:r w:rsidRPr="005C67C8">
          <w:rPr>
            <w:rStyle w:val="innerfusslink3"/>
            <w:rFonts w:ascii="Garamond" w:hAnsi="Garamond" w:cs="Arial"/>
            <w:b/>
            <w:bCs/>
            <w:lang w:val="en-GB"/>
          </w:rPr>
          <w:t>Das gleiche in Frankreich.</w:t>
        </w:r>
      </w:hyperlink>
      <w:r w:rsidRPr="005C67C8">
        <w:rPr>
          <w:rFonts w:ascii="Garamond" w:hAnsi="Garamond" w:cs="Arial"/>
          <w:color w:val="000000"/>
          <w:lang w:val="en-GB"/>
        </w:rPr>
        <w:t xml:space="preserve">. Hier hat also die Frage, ob Laien = Nichtärzte Kranke mit Psychoanalyse behandeln dürfen, einen praktischen Sinn. Sie scheint aber auch, sobald sie aufgeworfen wird, durch den Wortlaut des Gesetzes entschieden zu sein. Nervöse sind Kranke, Laien sind Nichtärzte, die Psychoanalyse ist ein Verfahren zur Heilung oder Besserung der nervösen </w:t>
      </w:r>
      <w:smartTag w:uri="urn:schemas-microsoft-com:office:smarttags" w:element="City">
        <w:smartTag w:uri="urn:schemas-microsoft-com:office:smarttags" w:element="place">
          <w:r w:rsidRPr="005C67C8">
            <w:rPr>
              <w:rFonts w:ascii="Garamond" w:hAnsi="Garamond" w:cs="Arial"/>
              <w:color w:val="000000"/>
              <w:lang w:val="en-GB"/>
            </w:rPr>
            <w:t>Leiden</w:t>
          </w:r>
        </w:smartTag>
      </w:smartTag>
      <w:r w:rsidRPr="005C67C8">
        <w:rPr>
          <w:rFonts w:ascii="Garamond" w:hAnsi="Garamond" w:cs="Arial"/>
          <w:color w:val="000000"/>
          <w:lang w:val="en-GB"/>
        </w:rPr>
        <w:t>, alle solche Behandlungen sind den Ärzten vorbehalten; folglich ist es nicht gestattet, daß Laien die Analyse an Nervösen üben, und strafbar, wenn es doch geschieht. Bei so einfacher Sachlage wagt man es kaum, sich mit der Frage der Laienanalyse zu beschäftigen. Indes liegen einige Komplikationen vor, um die sich das Gesetz nicht kümmert, die aber darum doch Berücksichtigung verlangen. Es wird sich vielleicht ergeben, daß die Kranken in diesem Falle nicht sind wie andere Kranke, die Laien nicht eigentlich Laien und die Ärzte nicht gerade das, was man von Ärzten erwarten darf und worauf sie ihre Ansprüche gründen dürfen. Läßt sich das erweisen, so wird es eine berechtigte Forderung, das Gesetz nicht ohne Modifikation auf den vorliegenden Fall anzuwenden.</w:t>
      </w:r>
    </w:p>
    <w:p w:rsidR="005D30C2" w:rsidRPr="005C67C8" w:rsidRDefault="00B437A1" w:rsidP="005D30C2">
      <w:pPr>
        <w:shd w:val="clear" w:color="auto" w:fill="FFFFFF"/>
        <w:spacing w:before="221" w:after="44" w:line="306" w:lineRule="atLeast"/>
        <w:outlineLvl w:val="3"/>
        <w:rPr>
          <w:rFonts w:ascii="Garamond" w:hAnsi="Garamond" w:cs="Arial"/>
          <w:b/>
          <w:bCs/>
          <w:color w:val="000000"/>
          <w:lang w:val="en-GB"/>
        </w:rPr>
      </w:pPr>
      <w:hyperlink w:anchor="Laienanalyse_INHALT" w:history="1">
        <w:r w:rsidR="005D30C2" w:rsidRPr="005C67C8">
          <w:rPr>
            <w:rStyle w:val="Lienhypertexte"/>
            <w:rFonts w:ascii="Garamond" w:hAnsi="Garamond" w:cs="Arial"/>
            <w:b/>
            <w:bCs/>
            <w:lang w:val="en-GB"/>
          </w:rPr>
          <w:t>Te</w:t>
        </w:r>
        <w:bookmarkStart w:id="319" w:name="Laienanalyse_1"/>
        <w:bookmarkEnd w:id="319"/>
        <w:r w:rsidR="005D30C2" w:rsidRPr="005C67C8">
          <w:rPr>
            <w:rStyle w:val="Lienhypertexte"/>
            <w:rFonts w:ascii="Garamond" w:hAnsi="Garamond" w:cs="Arial"/>
            <w:b/>
            <w:bCs/>
            <w:lang w:val="en-GB"/>
          </w:rPr>
          <w:t>il I</w:t>
        </w:r>
      </w:hyperlink>
    </w:p>
    <w:p w:rsidR="005D30C2" w:rsidRPr="005C67C8" w:rsidRDefault="005D30C2" w:rsidP="005D30C2">
      <w:pPr>
        <w:shd w:val="clear" w:color="auto" w:fill="FFFFFF"/>
        <w:spacing w:before="120" w:after="120" w:line="124" w:lineRule="atLeast"/>
        <w:rPr>
          <w:rFonts w:ascii="Garamond" w:hAnsi="Garamond" w:cs="Arial"/>
          <w:color w:val="000000"/>
          <w:lang w:val="en-GB"/>
        </w:rPr>
      </w:pPr>
      <w:smartTag w:uri="urn:schemas-microsoft-com:office:smarttags" w:element="place">
        <w:r w:rsidRPr="005C67C8">
          <w:rPr>
            <w:rFonts w:ascii="Garamond" w:hAnsi="Garamond" w:cs="Arial"/>
            <w:color w:val="000000"/>
            <w:lang w:val="en-GB"/>
          </w:rPr>
          <w:t>Ob</w:t>
        </w:r>
      </w:smartTag>
      <w:r w:rsidRPr="005C67C8">
        <w:rPr>
          <w:rFonts w:ascii="Garamond" w:hAnsi="Garamond" w:cs="Arial"/>
          <w:color w:val="000000"/>
          <w:lang w:val="en-GB"/>
        </w:rPr>
        <w:t xml:space="preserve"> dies geschehen wird, wird von Personen abhängen, die nicht dazu verpflichtet sind, die Besonderheiten einer analytischen Behandlung zu kennen. Es ist unsere Aufgabe, diese Unparteiischen, die wir als derzeit noch unwissend annehmen wollen, darüber zu unterrichten. Wir bedauern, daß wir sie nicht zu Zuhörern einer solchen Behandlung machen können. Die »analytische Situation« verträgt keinen Dritten. Auch sind die einzelnen Behandlungsstunden sehr ungleichwertig, ein solch – unbefugter – Zuhörer, der in eine beliebige Sitzung geriete, würde zumeist keinen verwertbaren Eindruck gewinnen, er käme in Gefahr, nicht zu verstehen, was zwischen dem Analytiker und dem Patienten verhandelt wird, oder er würde sich langweilen. Er muß sich also wohl oder übel mit unserer Information begnügen, die wir möglichst vertrauenswürdig abfassen wollen.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Der Kranke möge also an Stimmungsschwankungen </w:t>
      </w:r>
      <w:smartTag w:uri="urn:schemas-microsoft-com:office:smarttags" w:element="City">
        <w:smartTag w:uri="urn:schemas-microsoft-com:office:smarttags" w:element="place">
          <w:r w:rsidRPr="005C67C8">
            <w:rPr>
              <w:rFonts w:ascii="Garamond" w:hAnsi="Garamond" w:cs="Arial"/>
              <w:color w:val="000000"/>
              <w:lang w:val="en-GB"/>
            </w:rPr>
            <w:t>leiden</w:t>
          </w:r>
        </w:smartTag>
      </w:smartTag>
      <w:r w:rsidRPr="005C67C8">
        <w:rPr>
          <w:rFonts w:ascii="Garamond" w:hAnsi="Garamond" w:cs="Arial"/>
          <w:color w:val="000000"/>
          <w:lang w:val="en-GB"/>
        </w:rPr>
        <w:t xml:space="preserve">, die er nicht beherrscht, oder an kleinmütiger Verzagtheit, durch die er seine Energie gelähmt fühlt, da er sich nichts Rechtes zutraut, oder an ängstlicher Befangenheit unter Fremden. Er mag ohne Verständnis wahrnehmen, daß ihm die Erledigung seiner Berufsarbeit Schwierigkeiten macht, aber auch jeder ernstere Entschluß und jede Unternehmung. Er hat eines Tages – unbekannt, woher – einen peinlichen Anfall von Angstgefühlen erlitten und kann seither nicht ohne Überwindung allein über die Straße gehen oder Eisenbahn fahren, hat beides vielleicht überhaupt aufgeben müssen. </w:t>
      </w:r>
      <w:smartTag w:uri="urn:schemas-microsoft-com:office:smarttags" w:element="place">
        <w:r w:rsidRPr="005C67C8">
          <w:rPr>
            <w:rFonts w:ascii="Garamond" w:hAnsi="Garamond" w:cs="Arial"/>
            <w:color w:val="000000"/>
            <w:lang w:val="en-GB"/>
          </w:rPr>
          <w:t>Oder</w:t>
        </w:r>
      </w:smartTag>
      <w:r w:rsidRPr="005C67C8">
        <w:rPr>
          <w:rFonts w:ascii="Garamond" w:hAnsi="Garamond" w:cs="Arial"/>
          <w:color w:val="000000"/>
          <w:lang w:val="en-GB"/>
        </w:rPr>
        <w:t xml:space="preserve">, was sehr merkwürdig ist, seine Gedanken gehen ihre eigenen Wege und lassen sich nicht von seinem Willen lenken. Sie verfolgen Probleme, die ihm sehr gleichgiltig sind, von denen er sich aber nicht losreißen kann. Es sind ihm auch höchst lächerliche Aufgaben auferlegt, wie die Anzahl der Fenster an den Häuserfronten zusammenzuzählen, und bei einfachen Verrichtungen, wie Briefe in ein Postfach werfen oder eine Gasflamme abdrehen, gerät er einen Moment später in Zweifel, ob </w:t>
      </w:r>
      <w:r w:rsidRPr="005C67C8">
        <w:rPr>
          <w:rFonts w:ascii="Garamond" w:hAnsi="Garamond" w:cs="Arial"/>
          <w:color w:val="000000"/>
          <w:lang w:val="en-GB"/>
        </w:rPr>
        <w:lastRenderedPageBreak/>
        <w:t>er es auch wirklich getan hat. Das ist vielleicht nur ärgerlich und lästig, aber der Zustand wird unerträglich, wenn er sich plötzlich der Idee nicht erwehren kann, daß er ein Kind unter die Räder eines Wagens gestoßen, einen Unbekannten von der Brücke ins Wasser geworfen hat, oder wenn er sich fragen muß, ob er nicht der Mörder ist, den die Polizei als den Urheber eines heute entdeckten Verbrechens sucht. Es ist ja offenbarer Unsinn, er weiß es selbst, er hat nie einem Menschen etwas Böses getan, aber wenn er wirklich der gesuchte Mörder wäre, könnte die Empfindung – das Schuldgefühl – nicht stärker sein.</w:t>
      </w:r>
    </w:p>
    <w:p w:rsidR="005D30C2" w:rsidRPr="005C67C8" w:rsidRDefault="005D30C2" w:rsidP="005D30C2">
      <w:pPr>
        <w:shd w:val="clear" w:color="auto" w:fill="FFFFFF"/>
        <w:spacing w:before="120" w:after="120" w:line="124" w:lineRule="atLeast"/>
        <w:rPr>
          <w:rFonts w:ascii="Garamond" w:hAnsi="Garamond" w:cs="Arial"/>
          <w:color w:val="000000"/>
          <w:lang w:val="en-GB"/>
        </w:rPr>
      </w:pPr>
      <w:smartTag w:uri="urn:schemas-microsoft-com:office:smarttags" w:element="place">
        <w:r w:rsidRPr="005C67C8">
          <w:rPr>
            <w:rFonts w:ascii="Garamond" w:hAnsi="Garamond" w:cs="Arial"/>
            <w:color w:val="000000"/>
            <w:lang w:val="en-GB"/>
          </w:rPr>
          <w:t>Oder</w:t>
        </w:r>
      </w:smartTag>
      <w:r w:rsidRPr="005C67C8">
        <w:rPr>
          <w:rFonts w:ascii="Garamond" w:hAnsi="Garamond" w:cs="Arial"/>
          <w:color w:val="000000"/>
          <w:lang w:val="en-GB"/>
        </w:rPr>
        <w:t xml:space="preserve"> aber, unser Patient – sei es diesmal eine Patientin – leidet in anderer Weise und auf anderem Gebiet. Sie ist Klavierspielerin, aber ihre Finger verkrampfen sich und versagen den Dienst. Wenn sie daran denkt, in eine Gesellschaft zu gehen, stellt sich sofort ein natürliches Bedürfnis bei ihr ein, dessen Befriedigung mit der Geselligkeit unverträglich wäre. Sie hat also darauf verzichtet, Gesellschaften, Bälle, Theater, Konzerte zu besuchen. Wenn sie es am wenigsten brauchen kann, wird sie von heftigen Kopfschmerzen oder anderen Schmerzsensationen befallen. Eventuell muß sie jede Mahlzeit durch Erbrechen von sich geben, was auf die Dauer bedrohlich werden kann. Endlich ist es beklagenswert, daß sie keine Aufregungen verträgt, die sich im Leben doch nicht vermeiden lassen. Sie verfällt bei solchen Anlässen in Ohnmächten, oft mit Muskelkrämpfen, die an unheimliche Krankheitszustände erinnern.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Noch andere Kranke fühlen sich gestört in einem besonderen Gebiet, auf dem das Gefühlsleben mit Ansprüchen an den Körper zusammentrifft. Als Männer finden sie sich unfähig, den zärtlichsten Regungen gegen das andere Geschlecht körperlichen Ausdruck zu geben, während ihnen vielleicht gegen wenig geliebte Objekte alle Reaktionen zu Gebote stehen. </w:t>
      </w:r>
      <w:smartTag w:uri="urn:schemas-microsoft-com:office:smarttags" w:element="place">
        <w:r w:rsidRPr="005C67C8">
          <w:rPr>
            <w:rFonts w:ascii="Garamond" w:hAnsi="Garamond" w:cs="Arial"/>
            <w:color w:val="000000"/>
            <w:lang w:val="en-GB"/>
          </w:rPr>
          <w:t>Oder</w:t>
        </w:r>
      </w:smartTag>
      <w:r w:rsidRPr="005C67C8">
        <w:rPr>
          <w:rFonts w:ascii="Garamond" w:hAnsi="Garamond" w:cs="Arial"/>
          <w:color w:val="000000"/>
          <w:lang w:val="en-GB"/>
        </w:rPr>
        <w:t xml:space="preserve"> ihre Sinnlichkeit bindet sie an Personen, die sie verachten, von denen sie frei werden möchten. </w:t>
      </w:r>
      <w:smartTag w:uri="urn:schemas-microsoft-com:office:smarttags" w:element="place">
        <w:r w:rsidRPr="005C67C8">
          <w:rPr>
            <w:rFonts w:ascii="Garamond" w:hAnsi="Garamond" w:cs="Arial"/>
            <w:color w:val="000000"/>
            <w:lang w:val="en-GB"/>
          </w:rPr>
          <w:t>Oder</w:t>
        </w:r>
      </w:smartTag>
      <w:r w:rsidRPr="005C67C8">
        <w:rPr>
          <w:rFonts w:ascii="Garamond" w:hAnsi="Garamond" w:cs="Arial"/>
          <w:color w:val="000000"/>
          <w:lang w:val="en-GB"/>
        </w:rPr>
        <w:t xml:space="preserve"> sie stellt ihnen Bedingungen, deren Erfüllung ihnen selbst widerlich ist. Als Frauen fühlen sie sich durch Angst und Ekel oder durch unbekannte Hemmnisse verhindert, den Anforderungen des Geschlechtslebens nachzukommen, oder wenn sie der Liebe nachgegeben haben, finden sie sich um den Genuß betrogen, den die Natur als Prämie auf solche Gefügigkeit gesetzt hat.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Alle diese Personen erkennen sich als krank und suchen Ärzte auf, von denen man ja die Beseitigung solcher nervösen Störungen erwartet. Die Ärzte führen auch die Kategorien, unter denen man diese </w:t>
      </w:r>
      <w:smartTag w:uri="urn:schemas-microsoft-com:office:smarttags" w:element="City">
        <w:smartTag w:uri="urn:schemas-microsoft-com:office:smarttags" w:element="place">
          <w:r w:rsidRPr="005C67C8">
            <w:rPr>
              <w:rFonts w:ascii="Garamond" w:hAnsi="Garamond" w:cs="Arial"/>
              <w:color w:val="000000"/>
              <w:lang w:val="en-GB"/>
            </w:rPr>
            <w:t>Leiden</w:t>
          </w:r>
        </w:smartTag>
      </w:smartTag>
      <w:r w:rsidRPr="005C67C8">
        <w:rPr>
          <w:rFonts w:ascii="Garamond" w:hAnsi="Garamond" w:cs="Arial"/>
          <w:color w:val="000000"/>
          <w:lang w:val="en-GB"/>
        </w:rPr>
        <w:t xml:space="preserve"> unterbringt. </w:t>
      </w:r>
      <w:r w:rsidRPr="005C67C8">
        <w:rPr>
          <w:rFonts w:ascii="Garamond" w:hAnsi="Garamond" w:cs="Arial"/>
          <w:color w:val="000000"/>
        </w:rPr>
        <w:t xml:space="preserve">Sie diagnostizieren sie je nach ihren Standpunkten mit verschiedenen Namen: Neurasthenie, Psychasthenie, Phobien, Zwangsneurose, Hysterie. </w:t>
      </w:r>
      <w:r w:rsidRPr="005C67C8">
        <w:rPr>
          <w:rFonts w:ascii="Garamond" w:hAnsi="Garamond" w:cs="Arial"/>
          <w:color w:val="000000"/>
          <w:lang w:val="en-GB"/>
        </w:rPr>
        <w:t xml:space="preserve">Sie untersuchen die Organe, welche die Symptome geben: das Herz, den Magen, den Darm, die Genitalien, und finden sie gesund. Sie raten zu Unterbrechungen der gewohnten Lebensweise, Erholungen, kräftigenden Prozeduren, tonisierenden Medikamenten, erzielen dadurch vorübergehende Erleichterungen – oder auch nichts. Endlich hören die Kranken, daß es Personen gibt, die sich ganz speziell mit der Behandlung solcher </w:t>
      </w:r>
      <w:smartTag w:uri="urn:schemas-microsoft-com:office:smarttags" w:element="City">
        <w:smartTag w:uri="urn:schemas-microsoft-com:office:smarttags" w:element="place">
          <w:r w:rsidRPr="005C67C8">
            <w:rPr>
              <w:rFonts w:ascii="Garamond" w:hAnsi="Garamond" w:cs="Arial"/>
              <w:color w:val="000000"/>
              <w:lang w:val="en-GB"/>
            </w:rPr>
            <w:t>Leiden</w:t>
          </w:r>
        </w:smartTag>
      </w:smartTag>
      <w:r w:rsidRPr="005C67C8">
        <w:rPr>
          <w:rFonts w:ascii="Garamond" w:hAnsi="Garamond" w:cs="Arial"/>
          <w:color w:val="000000"/>
          <w:lang w:val="en-GB"/>
        </w:rPr>
        <w:t xml:space="preserve"> beschäftigen, und treten in die Analyse bei ihnen ein.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Unser Unparteiischer, den ich als gegenwärtig vorstelle, hat während der Auseinandersetzung über die Krankheitserscheinungen der Nervösen Zeichen von Ungeduld von sich gegeben. Nun wird er aufmerksam, gespannt und äußert sich auch so: »Jetzt werden wir also erfahren, was der Analytiker mit dem Patienten vornimmt, dem der Arzt nicht helfen konnte.«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Es geht nichts anderes zwischen ihnen vor, als daß sie miteinander reden. Der Analytiker verwendet weder Instrumente, nicht einmal zur Untersuchung, noch verschreibt er Medikamente. Wenn es irgend möglich ist, läßt er den Kranken sogar in seiner Umgebung und in seinen Verhältnissen, während er ihn behandelt. Das ist natürlich keine Bedingung, kann auch nicht immer so durchgeführt werden. Der Analytiker bestellt den Patienten zu einer bestimmten Stunde des Tages, läßt ihn reden, hört ihn an, spricht dann zu ihm und läßt ihn zuhören.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Die Miene unseres Unparteiischen zeugt nun von unverkennbarer Erleichterung und Entspannung, verrät aber auch deutlich eine gewisse Geringschätzung. Es ist, als ob er denken würde: »Weiter nichts als das? Worte, Worte und wiederum Worte, wie Prinz Hamlet sagt.« Es geht ihm gewiß auch die Spottrede Mephistos durch den Sinn, wie bequem sich mit Worten wirtschaften läßt, Verse, die kein Deutscher je vergessen wird.</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Er sagt auch: »Das ist also eine Art von Zauberei, Sie reden und blasen so seine </w:t>
      </w:r>
      <w:smartTag w:uri="urn:schemas-microsoft-com:office:smarttags" w:element="City">
        <w:smartTag w:uri="urn:schemas-microsoft-com:office:smarttags" w:element="place">
          <w:r w:rsidRPr="005C67C8">
            <w:rPr>
              <w:rFonts w:ascii="Garamond" w:hAnsi="Garamond" w:cs="Arial"/>
              <w:color w:val="000000"/>
              <w:lang w:val="en-GB"/>
            </w:rPr>
            <w:t>Leiden</w:t>
          </w:r>
        </w:smartTag>
      </w:smartTag>
      <w:r w:rsidRPr="005C67C8">
        <w:rPr>
          <w:rFonts w:ascii="Garamond" w:hAnsi="Garamond" w:cs="Arial"/>
          <w:color w:val="000000"/>
          <w:lang w:val="en-GB"/>
        </w:rPr>
        <w:t xml:space="preserve"> weg.«</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Ganz richtig, es wäre Zauberei, wenn es rascher wirken würde. Zum Zauber gehört unbedingt die Schnelligkeit, man möchte sagen: Plötzlichkeit des Erfolges. Aber die analytischen Behandlungen brauchen Monate und selbst Jahre; ein so langsamer Zauber verliert den Charakter des Wunderbaren. Wir </w:t>
      </w:r>
      <w:r w:rsidRPr="005C67C8">
        <w:rPr>
          <w:rFonts w:ascii="Garamond" w:hAnsi="Garamond" w:cs="Arial"/>
          <w:color w:val="000000"/>
          <w:lang w:val="en-GB"/>
        </w:rPr>
        <w:lastRenderedPageBreak/>
        <w:t xml:space="preserve">wollen übrigens das </w:t>
      </w:r>
      <w:r w:rsidRPr="005C67C8">
        <w:rPr>
          <w:rFonts w:ascii="Garamond" w:hAnsi="Garamond" w:cs="Arial"/>
          <w:i/>
          <w:iCs/>
          <w:color w:val="000000"/>
          <w:lang w:val="en-GB"/>
        </w:rPr>
        <w:t>Wort</w:t>
      </w:r>
      <w:r w:rsidRPr="005C67C8">
        <w:rPr>
          <w:rFonts w:ascii="Garamond" w:hAnsi="Garamond" w:cs="Arial"/>
          <w:color w:val="000000"/>
          <w:lang w:val="en-GB"/>
        </w:rPr>
        <w:t xml:space="preserve"> nicht verachten. Es ist doch ein mächtiges Instrument, es ist das Mittel, durch das wir einander unsere Gefühle kundgeben, der Weg, auf den anderen Einfluß zu nehmen. Worte können unsagbar wohltun und fürchterliche Verletzungen zufügen. Gewiß, zu allem Anfang war die Tat, das Wort kam später, es war unter manchen Verhältnissen ein kultureller Fortschritt, wenn sich die Tat zum Wort ermäßigte. Aber das Wort war doch ursprünglich ein Zauber, ein magischer Akt, und es hat noch viel von seiner alten Kraft bewahrt.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Der Unparteiische setzt fort: »Nehmen wir an, daß der Patient nicht besser auf das Verständnis der analytischen Behandlung vorbereitet ist als ich, wie wollen Sie ihn an den Zauber des Wortes oder der Rede glauben machen, der ihn von seinen Leiden befreien soll?«</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Man muß ihm natürlich eine Vorbereitung geben, und es findet sich ein einfacher Weg dazu. Man fordert ihn auf, mit seinem Analytiker ganz aufrichtig zu sein, nichts mit Absicht zurückzuhalten, was ihm in den Sinn kommt, in weiterer Folge sich über </w:t>
      </w:r>
      <w:r w:rsidRPr="005C67C8">
        <w:rPr>
          <w:rFonts w:ascii="Garamond" w:hAnsi="Garamond" w:cs="Arial"/>
          <w:i/>
          <w:iCs/>
          <w:color w:val="000000"/>
          <w:lang w:val="en-GB"/>
        </w:rPr>
        <w:t>alle</w:t>
      </w:r>
      <w:r w:rsidRPr="005C67C8">
        <w:rPr>
          <w:rFonts w:ascii="Garamond" w:hAnsi="Garamond" w:cs="Arial"/>
          <w:color w:val="000000"/>
          <w:lang w:val="en-GB"/>
        </w:rPr>
        <w:t xml:space="preserve"> Abhaltungen hinwegzusetzen, die manche Gedanken oder Erinnerungen von der Mitteilung ausschließen möchten. Jeder Mensch weiß, daß es bei ihm solche Dinge gibt, die er anderen nur sehr ungern mitteilen würde oder deren Mitteilung er überhaupt für ausgeschlossen hält. Es sind seine »Intimitäten«. Er ahnt auch, was einen großen Fortschritt in der psychologischen Selbsterkenntnis bedeutet, daß es andere Dinge gibt, die man </w:t>
      </w:r>
      <w:r w:rsidRPr="005C67C8">
        <w:rPr>
          <w:rFonts w:ascii="Garamond" w:hAnsi="Garamond" w:cs="Arial"/>
          <w:i/>
          <w:iCs/>
          <w:color w:val="000000"/>
          <w:lang w:val="en-GB"/>
        </w:rPr>
        <w:t>sich selbst</w:t>
      </w:r>
      <w:r w:rsidRPr="005C67C8">
        <w:rPr>
          <w:rFonts w:ascii="Garamond" w:hAnsi="Garamond" w:cs="Arial"/>
          <w:color w:val="000000"/>
          <w:lang w:val="en-GB"/>
        </w:rPr>
        <w:t xml:space="preserve"> nicht eingestehen möchte, die man gerne vor sich selbst verbirgt, die man darum kurz abbricht und aus seinem Denken verjagt, wenn sie doch auftauchen. Vielleicht bemerkt er selbst den Ansatz eines sehr merkwürdigen psychologischen Problems in der Situation, daß ein eigener Gedanke vor dem eigenen Selbst geheimgehalten werden soll. Das ist ja, als ob sein Selbst nicht mehr die Einheit wäre, für die er es immer hält, als ob es noch etwas anderes in ihm gäbe, was sich diesem Selbst entgegenstellen kann. Etwas wie ein Gegensatz zwischen dem Selbst und einem Seelenleben im weiteren Sinne mag sich ihm dunkel anzeigen. Wenn er nun die Forderung der Analyse, alles zu sagen, annimmt, wird er leicht der Erwartung zugänglich, daß ein Verkehr und Gedankenaustausch unter so ungewöhnlichen Voraussetzungen auch zu eigenartigen Wirkungen führen könnte.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verstehe«, sagt unser unparteiischer Zuhörer, »Sie nehmen an, daß jeder Nervöse etwas hat, was ihn bedrückt, ein Geheimnis, und indem Sie ihn veranlassen, es auszusprechen, entlasten Sie ihn von dem Druck und tun ihm wohl. Das ist ja das Prinzip der Beichte, dessen sich die katholische Kirche seit jeher zur Versicherung ihrer Herrschaft über die Gemüter bedient hat.«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»Ja und nein«, müssen wir antworten. Die Beichte geht wohl in die Analyse ein, als ihre Einleitung gleichsam. Aber weit davon entfernt, daß sie das Wesen der Analyse träfe oder ihre Wirkung erklärte. In der Beichte sagt der Sünder, was er weiß, in der Analyse soll der Neurotiker mehr sagen. Auch wissen wir nichts davon, daß die Beichte je die Kraft entwickelt hätte, direkte Krankheitssymptome zu beseitigen.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»Dann verstehe ich es doch nicht«, ist die Entgegnung. »Was soll es wohl heißen: mehr sagen, als er weiß? Ich kann mir aber vorstellen, daß Sie als Analytiker einen stärkeren Einfluß auf Ihren Patienten gewinnen als der Beichtvater auf das Beichtkind, weil Sie sich soviel länger, intensiver und auch individueller mit ihm abgeben, und daß Sie diesen gesteigerten Einfluß dazu benützen, ihn von seinen krankhaften Gedanken abzubringen, ihm seine Befürchtungen auszureden usw. Es wäre merkwürdig genug, daß es auf diese Weise gelänge, auch rein körperliche Erscheinungen wie Erbrechen, Diarrhöe, Krämpfe zu beherrschen, aber ich weiß davon, daß solche Beeinflussungen sehr wohl möglich sind, wenn man einen Menschen in den hypnotischen Zustand versetzt hat. Wahrscheinlich erzielen Sie durch Ihre Bemühung um den Patienten eine solche hypnotische Beziehung, eine suggestive Bindung an Ihre Person, auch wenn Sie es nicht beabsichtigen, und die Wunder Ihrer Therapie sind dann Wirkungen der hypnotischen Suggestion. Soviel ich weiß, arbeitet aber die hypnotische Therapie viel rascher als Ihre Analyse, die, wie Sie sagen, Monate und Jahre dauert.«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Unser Unparteiischer ist weder so unwissend noch so ratlos, wie wir ihn anfangs eingeschätzt hatten. Es ist unverkennbar, daß er sich bemüht, die Psychoanalyse mit Hilfe seiner früheren Kenntnisse zu begreifen, sie an etwas anderes anzuschließen, was er schon weiß. Wir haben jetzt die schwierige Aufgabe, ihm klarzumachen, daß dies nicht gelingen wird, daß die Analyse ein Verfahren </w:t>
      </w:r>
      <w:r w:rsidRPr="005C67C8">
        <w:rPr>
          <w:rFonts w:ascii="Garamond" w:hAnsi="Garamond" w:cs="Arial"/>
          <w:i/>
          <w:iCs/>
          <w:color w:val="000000"/>
          <w:lang w:val="en-GB"/>
        </w:rPr>
        <w:t>sui generis</w:t>
      </w:r>
      <w:r w:rsidRPr="005C67C8">
        <w:rPr>
          <w:rFonts w:ascii="Garamond" w:hAnsi="Garamond" w:cs="Arial"/>
          <w:color w:val="000000"/>
          <w:lang w:val="en-GB"/>
        </w:rPr>
        <w:t xml:space="preserve"> ist, etwas Neues und Eigenartiges, was nur mit Hilfe neuer Einsichten – oder wenn man will, Annahmen – begriffen werden kann. Aber wir sind ihm auch noch die Antwort auf seine letzten Bemerkungen schuldig.</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Was Sie von dem besonderen persönlichen Einfluß des Analytikers gesagt haben, ist gewiß sehr beachtenswert. Ein solcher Einfluß existiert und spielt in der Analyse eine große Rolle. Aber nicht dieselbe </w:t>
      </w:r>
      <w:r w:rsidRPr="005C67C8">
        <w:rPr>
          <w:rFonts w:ascii="Garamond" w:hAnsi="Garamond" w:cs="Arial"/>
          <w:color w:val="000000"/>
          <w:lang w:val="en-GB"/>
        </w:rPr>
        <w:lastRenderedPageBreak/>
        <w:t>wie beim Hypnotismus. Es müßte gelingen, Ihnen zu beweisen, daß die Situationen hier und dort ganz verschiedene sind. Es mag die Bemerkung genügen, daß wir diesen persönlichen Einfluß – das »suggestive« Moment – nicht dazu verwenden, um die Leidenssymptome zu unterdrücken, wie es bei der hypnotischen Suggestion geschieht. Ferner, daß es irrig wäre zu glauben, dies Moment sei durchaus der Träger und Förderer der Behandlung. Zu Anfang wohl; aber später widersetzt es sich unseren analytischen Absichten und nötigt uns zu den ausgiebigsten Gegenmaßnahmen. Auch möchte ich Ihnen an einem Beispiel zeigen, wie ferne der analytischen Technik das Ablenken und Ausreden liegt. Wenn unser Patient an einem Schuldgefühl leidet, als ob er ein schweres Verbrechen begangen hätte, so raten wir ihm nicht, sich unter Betonung seiner unzweifelhaften Schuldlosigkeit über diese Gewissensqual hinwegzusetzen; das hat er schon selbst erfolglos versucht. Sondern wir mahnen ihn daran, daß eine so starke und anhaltende Empfindung doch in etwas Wirklichem begründet sein muß, was vielleicht aufgefunden werden kann.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»Es sollte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wundern«, meint der Unparteiische, »wenn Sie durch solches Zustimmen das Schuldgefühl Ihres Patienten beschwichtigen könnten. Aber was sind denn Ihre analytischen Absichten, und was nehmen Sie mit dem Patienten vor?«</w:t>
      </w:r>
    </w:p>
    <w:p w:rsidR="005D30C2" w:rsidRPr="005C67C8" w:rsidRDefault="00B437A1" w:rsidP="005D30C2">
      <w:pPr>
        <w:shd w:val="clear" w:color="auto" w:fill="FFFFFF"/>
        <w:spacing w:before="221" w:after="44" w:line="306" w:lineRule="atLeast"/>
        <w:outlineLvl w:val="3"/>
        <w:rPr>
          <w:rFonts w:ascii="Garamond" w:hAnsi="Garamond" w:cs="Arial"/>
          <w:b/>
          <w:bCs/>
          <w:color w:val="000000"/>
          <w:lang w:val="en-GB"/>
        </w:rPr>
      </w:pPr>
      <w:hyperlink w:anchor="Laienanalyse_INHALT" w:history="1">
        <w:r w:rsidR="005D30C2" w:rsidRPr="005C67C8">
          <w:rPr>
            <w:rStyle w:val="Lienhypertexte"/>
            <w:rFonts w:ascii="Garamond" w:hAnsi="Garamond" w:cs="Arial"/>
            <w:b/>
            <w:bCs/>
            <w:lang w:val="en-GB"/>
          </w:rPr>
          <w:t>I</w:t>
        </w:r>
        <w:bookmarkStart w:id="320" w:name="Laienanalyse_2"/>
        <w:bookmarkEnd w:id="320"/>
        <w:r w:rsidR="005D30C2" w:rsidRPr="005C67C8">
          <w:rPr>
            <w:rStyle w:val="Lienhypertexte"/>
            <w:rFonts w:ascii="Garamond" w:hAnsi="Garamond" w:cs="Arial"/>
            <w:b/>
            <w:bCs/>
            <w:lang w:val="en-GB"/>
          </w:rPr>
          <w:t>I</w:t>
        </w:r>
      </w:hyperlink>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Wenn ich Ihnen etwas Verständliches sagen soll, so muß ich Ihnen wohl ein Stück einer psychologischen Lehre mitteilen, die außerhalb der analytischen Kreise nicht bekannt ist oder nicht gewürdigt wird. Aus dieser Theorie wird sich leicht ableiten lassen, was wir von dem Kranken wollen und auf welche Art wir es erreichen. Ich trage sie Ihnen dogmatisch vor, als ob sie ein fertiges Lehrgebäude wäre. Glauben Sie aber nicht, daß sie gleich als solches wie ein philosophisches System entstanden ist. Wir haben sie sehr langsam entwickelt, um jedes Stückchen lange gerungen, sie in stetem Kontakt mit der Beobachtung fortwährend modifiziert, bis sie endlich eine Form gewonnen hat, in der sie uns für unsere Zwecke zu genügen scheint. Noch vor einigen Jahren hätte ich diese Lehre in andere Ausdrücke kleiden müssen. Ich kann Ihnen natürlich nicht dafür einstehen, daß die heutige Ausdrucksform die definitive bleiben wird. Sie wissen, Wissenschaft ist keine Offenbarung, sie entbehrt, lange über ihre Anfänge hinaus, der Charaktere der Bestimmtheit, Unwandelbarkeit, Unfehlbarkeit, nach denen sich das menschliche Denken so sehr sehnt. Aber so, wie sie ist, ist sie alles, was wir haben können. Nehmen Sie hinzu, daß unsere Wissenschaft sehr jung ist, kaum so alt wie das Jahrhundert, und daß sie sich ungefähr mit dem schwierigsten Stoff beschäftigt, der menschlicher Forschung vorgelegt werden kann, so werden Sie sich leicht in die richtige Einstellung zu meinem Vortrag versetzen können. Unterbrechen Sie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aber nach Ihrem Belieben jedesmal, wenn Sie mir nicht folgen können oder wenn Sie weitere Aufklärungen wünschen.</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lang w:val="en-GB"/>
        </w:rPr>
        <w:t xml:space="preserve">»Ich unterbreche Sie, noch ehe Sie beginnen. </w:t>
      </w:r>
      <w:r w:rsidRPr="005C67C8">
        <w:rPr>
          <w:rFonts w:ascii="Garamond" w:hAnsi="Garamond" w:cs="Arial"/>
          <w:color w:val="000000"/>
        </w:rPr>
        <w:t>Sie sagen, Sie wollen mir eine neue Psychologie vortragen, aber ich sollte meinen, die Psychologie ist keine neue Wissenschaft. Es hat genug Psychologie und Psychologen gegeben, und ich habe auf der Schule von großen Leistungen auf diesem Gebiete gehört.«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Die ich nicht zu bestreiten gedenke. Aber wenn Sie näher prüfen, werden Sie diese großen Leistungen eher der Sinnesphysiologie einordnen müssen. Die Lehre vom Seelenleben konnte sich nicht entwickeln, weil sie durch eine einzige wesentliche Verkennung gehemmt war. Was umfaßt sie heute, wie sie an den Schulen gelehrt wird? Außer jenen wertvollen sinnesphysiologischen Einsichten eine Anzahl von Einteilungen und Definitionen unserer seelischen Vorgänge, die dank dem Sprachgebrauch Gemeingut aller Gebildeten geworden sind. Das reicht offenbar für die Auffassung unseres Seelenlebens nicht aus. Haben Sie nicht bemerkt, daß jeder Philosoph, Dichter, Historiker und Biograph sich seine eigene Psychologie zurechtmacht, seine besonderen Voraussetzungen über den Zusammenhang und die Zwecke der seelischen Akte vorbringt, alle mehr oder minder ansprechend und alle gleich unzuverlässig? Da fehlt offenbar ein gemeinsames Fundament. Und daher kommt es auch, daß es auf psychologischem Boden sozusagen keinen Respekt und keine Autorität gibt. Jedermann kann da nach Belieben »wildern«. Wenn Sie eine physikalische oder chemische Frage aufwerfen, wird ein jeder schweigen, der sich nicht im Besitz von »Fachkenntnissen« weiß. Aber wenn Sie eine psychologische Behauptung wagen, müssen Sie auf Urteil und Widerspruch von jedermann gefaßt sein. Wahrscheinlich gibt es auf diesem Gebiet keine »Fachkenntnisse«. Jedermann hat sein Seelenleben, und darum hält sich jedermann für einen Psychologen. Aber das scheint mir kein genügender Rechtstitel zu sein. Man erzählt, daß eine Person, die sich zur »Kinderfrau« anbot, gefragt wurde, ob sie auch mit kleinen Kindern umzugehen verstehe. »Gewiß«, gab sie zur Antwort, »ich war doch selbst einmal ein kleines Kind.«</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lastRenderedPageBreak/>
        <w:t>»Und dies von allen Psychologen übersehene gemeinsame Fundament des Seelenlebens wollen Sie durch Beobachtungen an Kranken entdeckt haben?«</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lang w:val="en-GB"/>
        </w:rPr>
        <w:t xml:space="preserve">Ich glaube nicht, daß diese Herkunft unsere Befunde entwertet. Die Embryologie z. B. verdiente kein Vertrauen, wenn sie nicht die Entstehung der angeborenen Mißbildungen glatt aufklären könnte. Aber ich habe Ihnen von Personen erzählt, deren Gedanken ihre eigenen Wege gehen, so daß sie gezwungen sind, über Probleme zu grübeln, die ihnen furchtbar gleichgiltig sind. </w:t>
      </w:r>
      <w:r w:rsidRPr="005C67C8">
        <w:rPr>
          <w:rFonts w:ascii="Garamond" w:hAnsi="Garamond" w:cs="Arial"/>
          <w:color w:val="000000"/>
        </w:rPr>
        <w:t xml:space="preserve">Glauben Sie, daß die Schulpsychologie jemals den mindesten Beitrag zur Aufklärung einer solchen Anomalie leisten konnte? </w:t>
      </w:r>
      <w:r w:rsidRPr="005C67C8">
        <w:rPr>
          <w:rFonts w:ascii="Garamond" w:hAnsi="Garamond" w:cs="Arial"/>
          <w:color w:val="000000"/>
          <w:lang w:val="en-GB"/>
        </w:rPr>
        <w:t xml:space="preserve">Und endlich geschieht es uns allen, daß nächtlicherweile unser Denken eigene Wege geht und Dinge schafft, die wir dann nicht verstehen, die uns befremden und in bedenklicher Weise an krankhafte Produkte erinnern. Ich meine unsere Träume. Das Volk hat immer an dem Glauben festgehalten, daß Träume einen Sinn, einen Wert haben, etwas bedeuten. </w:t>
      </w:r>
      <w:r w:rsidRPr="005C67C8">
        <w:rPr>
          <w:rFonts w:ascii="Garamond" w:hAnsi="Garamond" w:cs="Arial"/>
          <w:color w:val="000000"/>
        </w:rPr>
        <w:t>Diesen Sinn der Träume hat die Schulpsychologie nie angeben können. Sie wußte mit dem Traum nichts anzufangen; wenn sie Erklärungen versucht hat, waren es unpsychologische, wie Zurückführungen auf Sinnesreize, auf eine ungleiche Schlaftiefe verschiedener Hirnpartien u. dgl. Man darf aber sagen, eine Psychologie, die den Traum nicht erklären kann, ist auch für das Verständnis des normalen Seelenlebens nicht brauchbar, hat keinen Anspruch, eine Wissenschaft zu heißen.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»Sie werden aggressiv, also haben Sie wohl eine empfindliche Stelle berührt. Ich habe ja gehört, daß man in der Analyse großen Wert auf Träume legt, sie deutet, Erinnerungen an wirkliche Begebenheiten hinter ihnen sucht usw. Aber auch, daß die Deutung der Träume der Willkür der Analytiker ausgeliefert ist und daß diese selbst mit den Streitigkeiten über die Art, Träume zu deuten, über die Berechtigung, aus ihnen Schlüsse zu ziehen, nicht fertig geworden sind. Wenn das so ist, so dürfen Sie den Vorzug, den die Analyse vor der Schulpsychologie gewonnen hat, nicht so dick unterstreichen.«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Sie haben da wirklich viel Richtiges gesagt. Es ist wahr, daß die Traumdeutung für die Theorie wie für die Praxis der Analyse eine unvergleichliche Wichtigkeit gewonnen hat. </w:t>
      </w:r>
      <w:r w:rsidRPr="005C67C8">
        <w:rPr>
          <w:rFonts w:ascii="Garamond" w:hAnsi="Garamond" w:cs="Arial"/>
          <w:color w:val="000000"/>
          <w:lang w:val="en-GB"/>
        </w:rPr>
        <w:t xml:space="preserve">Wenn ich aggressiv erscheine, so ist das für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nur ein Weg der Verteidigung. Wenn ich aber an all den Unfug denke, den manche Analytiker mit der Deutung der Träume angestellt haben, könnte ich verzagt werden und dem pessimistischen Ausspruch unseres großen Satirikers Nestroy recht geben, der lautet: »Ein jeder Fortschritt ist immer nur halb so groß, als er zuerst ausschaut!« Aber haben Sie es je anders erfahren, als daß die Menschen alles verwirren und verzerren, was in ihre Hände fällt? Mit etwas Vorsicht und Selbstzucht kann man die meisten der Gefahren der Traumdeutung sicher vermeiden. Aber glauben Sie nicht, daß ich nie zu meinem Vortrag kommen werde, wenn wir uns so ablenken lassen?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»Ja, Sie wollten von der fundamentalen Voraussetzung der neuen Psychologie erzählen, wenn ich Sie recht verstanden habe.«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Damit wollte ich nicht beginnen. Ich habe die Absicht, Sie hören zu lassen, welche Vorstellung von der Struktur des seelischen Apparats wir uns während der analytischen Studien gebildet haben.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»Was heißen Sie den seelischen Apparat, und woraus ist er gebaut, darf ich fragen?«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Was der seelische Apparat ist, wird bald klarwerden. Aus welchem Material er gebaut ist, danach bitte ich nicht zu fragen. </w:t>
      </w:r>
      <w:r w:rsidRPr="005C67C8">
        <w:rPr>
          <w:rFonts w:ascii="Garamond" w:hAnsi="Garamond" w:cs="Arial"/>
          <w:color w:val="000000"/>
        </w:rPr>
        <w:t xml:space="preserve">Es ist kein psychologisches Interesse, kann der Psychologie ebenso gleichgiltig sein wie der Optik die Frage, ob die Wände des Fernrohrs aus Metall oder aus Pappendeckel gemacht sind. </w:t>
      </w:r>
      <w:r w:rsidRPr="005C67C8">
        <w:rPr>
          <w:rFonts w:ascii="Garamond" w:hAnsi="Garamond" w:cs="Arial"/>
          <w:color w:val="000000"/>
          <w:lang w:val="en-GB"/>
        </w:rPr>
        <w:t xml:space="preserve">Wir werden den </w:t>
      </w:r>
      <w:r w:rsidRPr="005C67C8">
        <w:rPr>
          <w:rFonts w:ascii="Garamond" w:hAnsi="Garamond" w:cs="Arial"/>
          <w:i/>
          <w:iCs/>
          <w:color w:val="000000"/>
          <w:lang w:val="en-GB"/>
        </w:rPr>
        <w:t>stofflichen</w:t>
      </w:r>
      <w:r w:rsidRPr="005C67C8">
        <w:rPr>
          <w:rFonts w:ascii="Garamond" w:hAnsi="Garamond" w:cs="Arial"/>
          <w:color w:val="000000"/>
          <w:lang w:val="en-GB"/>
        </w:rPr>
        <w:t xml:space="preserve"> Gesichtspunkt überhaupt beiseite lassen, den </w:t>
      </w:r>
      <w:r w:rsidRPr="005C67C8">
        <w:rPr>
          <w:rFonts w:ascii="Garamond" w:hAnsi="Garamond" w:cs="Arial"/>
          <w:i/>
          <w:iCs/>
          <w:color w:val="000000"/>
          <w:lang w:val="en-GB"/>
        </w:rPr>
        <w:t>räumlichen</w:t>
      </w:r>
      <w:r w:rsidRPr="005C67C8">
        <w:rPr>
          <w:rFonts w:ascii="Garamond" w:hAnsi="Garamond" w:cs="Arial"/>
          <w:color w:val="000000"/>
          <w:lang w:val="en-GB"/>
        </w:rPr>
        <w:t xml:space="preserve"> aber nicht. Wir stellen uns den unbekannten Apparat, der den seelischen Verrichtungen dient, nämlich wirklich wie ein Instrument vor, aus mehreren Teilen aufgebaut – die wir Instanzen heißen –, die ein jeder eine besondere Funktion versehen und die eine feste räumliche Beziehung zueinander haben, d. h., die räumliche Beziehung, das »vor« und »hinter«, »oberflächlich« und »tief«, hat für uns zunächst nur den Sinn einer Darstellung der regelmäßigen Aufeinanderfolge der Funktionen. Bin ich noch verständlich?</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»Kaum, vielleicht verstehe ich es später, aber jedenfalls ist das eine sonderbare Anatomie der Seele, die es bei den Naturforschern doch gar nicht mehr gibt.«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Was wollen Sie, es ist eine Hilfsvorstellung wie soviele in den Wissenschaften. Die allerersten sind immer ziemlich roh gewesen. </w:t>
      </w:r>
      <w:r w:rsidRPr="005C67C8">
        <w:rPr>
          <w:rFonts w:ascii="Garamond" w:hAnsi="Garamond" w:cs="Arial"/>
          <w:i/>
          <w:iCs/>
          <w:color w:val="000000"/>
          <w:lang w:val="en-GB"/>
        </w:rPr>
        <w:t>Open to revision</w:t>
      </w:r>
      <w:r w:rsidRPr="005C67C8">
        <w:rPr>
          <w:rFonts w:ascii="Garamond" w:hAnsi="Garamond" w:cs="Arial"/>
          <w:color w:val="000000"/>
          <w:lang w:val="en-GB"/>
        </w:rPr>
        <w:t xml:space="preserve">, kann man in solchen Fällen sagen. Ich halte es für überflüssig,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hier auf das populär gewordene »Als ob« zu berufen. Der Wert einer solchen – »Fiktion« würde der Philosoph Vaihinger sie nennen – hängt davon ab, wieviel man mit ihr ausrichten kann.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lastRenderedPageBreak/>
        <w:t xml:space="preserve">Also um fortzusetzen: Wir stellen uns auf den Boden der Alltagsweisheit und anerkennen im Menschen eine seelische Organisation, die zwischen seine Sinnesreize und die Wahrnehmung seiner Körperbedürfnisse einerseits, seine motorischen Akte anderseits eingeschaltet ist und in bestimmter Absicht zwischen ihnen vermittelt. Wir heißen diese Organisation sein </w:t>
      </w:r>
      <w:r w:rsidRPr="005C67C8">
        <w:rPr>
          <w:rFonts w:ascii="Garamond" w:hAnsi="Garamond" w:cs="Arial"/>
          <w:i/>
          <w:iCs/>
          <w:color w:val="000000"/>
          <w:lang w:val="en-GB"/>
        </w:rPr>
        <w:t>Ich</w:t>
      </w:r>
      <w:r w:rsidRPr="005C67C8">
        <w:rPr>
          <w:rFonts w:ascii="Garamond" w:hAnsi="Garamond" w:cs="Arial"/>
          <w:color w:val="000000"/>
          <w:lang w:val="en-GB"/>
        </w:rPr>
        <w:t xml:space="preserve">. Das ist nun keine Neuigkeit, jeder von uns macht diese Annahme, wenn er kein Philosoph ist, und einige selbst, obwohl sie Philosophen sind. Aber wir glauben nicht, damit die Beschreibung des seelischen Apparats erschöpft zu haben. Außer diesem Ich erkennen wir ein anderes seelisches Gebiet, umfangreicher, großartiger und dunkler als das Ich, und dies heißen wir das </w:t>
      </w:r>
      <w:r w:rsidRPr="005C67C8">
        <w:rPr>
          <w:rFonts w:ascii="Garamond" w:hAnsi="Garamond" w:cs="Arial"/>
          <w:i/>
          <w:iCs/>
          <w:color w:val="000000"/>
          <w:lang w:val="en-GB"/>
        </w:rPr>
        <w:t>Es</w:t>
      </w:r>
      <w:r w:rsidRPr="005C67C8">
        <w:rPr>
          <w:rFonts w:ascii="Garamond" w:hAnsi="Garamond" w:cs="Arial"/>
          <w:color w:val="000000"/>
          <w:lang w:val="en-GB"/>
        </w:rPr>
        <w:t>. Das Verhältnis zwischen den beiden soll uns zunächst beschäftigen.</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lang w:val="en-GB"/>
        </w:rPr>
        <w:t xml:space="preserve">Sie werden es wahrscheinlich beanständen, daß wir zur Bezeichnung unserer beiden seelischen Instanzen oder Provinzen einfache Fürwörter gewählt haben, anstatt vollautende griechische Namen für sie einzuführen. Allein wir lieben es in der Psychoanalyse, im Kontakt mit der populären Denkweise zu bleiben, und ziehen es vor, deren Begriffe wissenschaftlich brauchbar zu machen, anstatt sie zu verwerfen. Es ist kein Verdienst daran, wir müssen so vorgehen, weil unsere Lehren von unseren Patienten verstanden werden sollen, die oft sehr intelligent sind, aber nicht immer gelehrt. Das unpersönliche </w:t>
      </w:r>
      <w:r w:rsidRPr="005C67C8">
        <w:rPr>
          <w:rFonts w:ascii="Garamond" w:hAnsi="Garamond" w:cs="Arial"/>
          <w:i/>
          <w:iCs/>
          <w:color w:val="000000"/>
          <w:lang w:val="en-GB"/>
        </w:rPr>
        <w:t>Es</w:t>
      </w:r>
      <w:r w:rsidRPr="005C67C8">
        <w:rPr>
          <w:rFonts w:ascii="Garamond" w:hAnsi="Garamond" w:cs="Arial"/>
          <w:color w:val="000000"/>
          <w:lang w:val="en-GB"/>
        </w:rPr>
        <w:t xml:space="preserve"> schließt sich unmittelbar an gewisse Ausdrucksweisen des normalen Menschen an. »Es hat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durchzuckt«, sagt man; »es war etwas in mir, was in diesem Augenblick stärker war als ich.« </w:t>
      </w:r>
      <w:r w:rsidRPr="005C67C8">
        <w:rPr>
          <w:rFonts w:ascii="Garamond" w:hAnsi="Garamond" w:cs="Arial"/>
          <w:color w:val="000000"/>
        </w:rPr>
        <w:t xml:space="preserve">» </w:t>
      </w:r>
      <w:r w:rsidRPr="005C67C8">
        <w:rPr>
          <w:rFonts w:ascii="Garamond" w:hAnsi="Garamond" w:cs="Arial"/>
          <w:i/>
          <w:iCs/>
          <w:color w:val="000000"/>
        </w:rPr>
        <w:t>C'était plus fort que moi.</w:t>
      </w:r>
      <w:r w:rsidRPr="005C67C8">
        <w:rPr>
          <w:rFonts w:ascii="Garamond" w:hAnsi="Garamond" w:cs="Arial"/>
          <w:color w:val="000000"/>
        </w:rPr>
        <w: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In der Psychologie können wir nur mit Hilfe von Vergleichungen beschreiben. </w:t>
      </w:r>
      <w:r w:rsidRPr="005C67C8">
        <w:rPr>
          <w:rFonts w:ascii="Garamond" w:hAnsi="Garamond" w:cs="Arial"/>
          <w:color w:val="000000"/>
          <w:lang w:val="en-GB"/>
        </w:rPr>
        <w:t xml:space="preserve">Das ist nichts Besonderes, es ist auch anderwärts so. Aber wir müssen diese Vergleiche auch immer wieder wechseln, keiner hält uns lange genug aus. Wenn ich also das Verhältnis zwischen Ich und Es deutlich machen will, so bitte ich Sie, sich vorzustellen, das Ich sei eine Art Fassade des Es, ein Vordergrund, gleichsam eine äußerliche, eine Rindenschicht desselben. Der letztere Vergleich kann festgehalten werden. Wir wissen, Rindenschichten verdanken ihre besonderen Eigenschaften dem modifizierenden Einfluß des äußeren Mediums, an das sie anstoßen. So stellen wir uns vor, das Ich sei die durch den Einfluß der Außenwelt (der Realität) modifizierte Schichte des seelischen Apparats, des Es. Sie sehen dabei, in welcher Weise wir in der Psychoanalyse mit räumlichen Auffassungen Ernst machen. </w:t>
      </w:r>
      <w:r w:rsidRPr="005C67C8">
        <w:rPr>
          <w:rFonts w:ascii="Garamond" w:hAnsi="Garamond" w:cs="Arial"/>
          <w:color w:val="000000"/>
        </w:rPr>
        <w:t xml:space="preserve">Das Ich ist uns wirklich das Oberflächliche, das Es das Tiefere, von außen betrachtet natürlich. </w:t>
      </w:r>
      <w:r w:rsidRPr="005C67C8">
        <w:rPr>
          <w:rFonts w:ascii="Garamond" w:hAnsi="Garamond" w:cs="Arial"/>
          <w:color w:val="000000"/>
          <w:lang w:val="en-GB"/>
        </w:rPr>
        <w:t>Das Ich liegt zwischen der Realität und dem Es, dem eigentlich Seelischen.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will Sie noch gar nicht fragen, woher man das alles wissen kann. Sagen Sie mir zunächst, was haben Sie von dieser Trennung eines Ich und eines Es, was nötigt Sie dazu?«</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Ihre Frage weist mir den Weg zur richtigen Fortsetzung. Das Wichtige und Wertvolle ist nämlich zu wissen, daß das Ich und das Es in mehreren Punkten sehr voneinander abweichen; es gelten im Ich andere Regeln für den Ablauf seelischer Akte als im Es, das Ich verfolgt andere Absichten und mit anderen Mitteln. Darüber wäre sehr viel zu sagen, aber wollen Sie sich mit einem neuen Vergleich und einem Beispiel abfinden lassen? Denken Sie an den Unterschied zwischen der Front und dem Hinterland, wie er sich während des Krieges herausgebildet hatte. Wir haben uns damals nicht gewundert, daß an der Front manches anders vorging als im Hinterland und daß im Hinterland vieles gestattet war, was an der Front verboten werden mußte. </w:t>
      </w:r>
      <w:r w:rsidRPr="005C67C8">
        <w:rPr>
          <w:rFonts w:ascii="Garamond" w:hAnsi="Garamond" w:cs="Arial"/>
          <w:color w:val="000000"/>
        </w:rPr>
        <w:t xml:space="preserve">Der bestimmende Einfluß war natürlich die Nähe des Feindes, für das Seelenleben ist es die Nähe der Außenwelt. Draußen – fremd – feindlich waren einmal identische Begriffe. Und nun das Beispiel: Im Es gibt es keine Konflikte; Widersprüche, Gegensätze bestehen unbeirrt nebeneinander und gleichen sich oft durch Kompromißbildungen ab. </w:t>
      </w:r>
      <w:r w:rsidRPr="005C67C8">
        <w:rPr>
          <w:rFonts w:ascii="Garamond" w:hAnsi="Garamond" w:cs="Arial"/>
          <w:color w:val="000000"/>
          <w:lang w:val="en-GB"/>
        </w:rPr>
        <w:t>Das Ich empfindet in solchen Fällen einen Konflikt, der entschieden werden muß, und die Entscheidung besteht darin, daß eine Strebung zugunsten der anderen aufgegeben wird. Das Ich ist eine Organisation, ausgezeichnet durch ein sehr merkwürdiges Streben nach Vereinheitlichung, nach Synthese; dieser Charakter fehlt dem Es, es ist – sozusagen – zerfahren, seine einzelnen Strebungen verfolgen ihre Absichten unabhängig von- und ohne Rücksicht aufeinander.</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»Und wenn ein so wichtiges seelisches Hinterland existiert, wie können Sie mir begreiflich machen, daß es bis zur Zeit der Analyse übersehen wurde?«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Damit sind wir zu einer Ihrer früheren Fragen zurückgekehrt. Die Psychologie hatte sich den Zugang zum Gebiet des Es versperrt, indem sie an einer Voraussetzung festhielt, die nahe genug liegt, aber doch nicht haltbar ist. Nämlich, daß alle seelischen Akte uns bewußt sind, daß Bewußt-sein das Kennzeichen des </w:t>
      </w:r>
      <w:r w:rsidRPr="005C67C8">
        <w:rPr>
          <w:rFonts w:ascii="Garamond" w:hAnsi="Garamond" w:cs="Arial"/>
          <w:color w:val="000000"/>
          <w:lang w:val="en-GB"/>
        </w:rPr>
        <w:lastRenderedPageBreak/>
        <w:t>Seelischen ist und daß, wenn es nichtbewußte Vorgänge in unserem Gehirn gibt, diese nicht den Namen seelischer Akte verdienen und die Psychologie nichts angehen.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meine, das ist doch selbstverständlich.«</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Ja, das meinen die Psychologen auch, aber es ist doch leicht zu zeigen, daß es falsch, d. h. eine ganz unzweckmäßige Sonderung ist. Die bequemste Selbstbeobachtung lehrt, daß man Einfälle haben kann, die nicht ohne Vorbereitung zustande gekommen sein können. Aber von diesen Vorstufen Ihres Gedankens, die doch wirklich auch seelischer Natur gewesen sein müssen, erfahren Sie nichts, in Ihr Bewußtsein tritt nur das fertige Resultat. </w:t>
      </w:r>
      <w:r w:rsidRPr="005C67C8">
        <w:rPr>
          <w:rFonts w:ascii="Garamond" w:hAnsi="Garamond" w:cs="Arial"/>
          <w:color w:val="000000"/>
          <w:lang w:val="en-GB"/>
        </w:rPr>
        <w:t xml:space="preserve">Gelegentlich können Sie sich </w:t>
      </w:r>
      <w:r w:rsidRPr="005C67C8">
        <w:rPr>
          <w:rFonts w:ascii="Garamond" w:hAnsi="Garamond" w:cs="Arial"/>
          <w:i/>
          <w:iCs/>
          <w:color w:val="000000"/>
          <w:lang w:val="en-GB"/>
        </w:rPr>
        <w:t>nachträglich</w:t>
      </w:r>
      <w:r w:rsidRPr="005C67C8">
        <w:rPr>
          <w:rFonts w:ascii="Garamond" w:hAnsi="Garamond" w:cs="Arial"/>
          <w:color w:val="000000"/>
          <w:lang w:val="en-GB"/>
        </w:rPr>
        <w:t xml:space="preserve"> diese vorbereitenden Gedankenbildungen wie in einer Rekonstruktion bewußtmachen.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»Wahrscheinlich war die Aufmerksamkeit abgelenkt, so daß man diese Vorbereitungen nicht bemerkt hat.«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Ausflüchte! Sie kommen so um die Tatsache nicht herum, daß in Ihnen Akte seelischer Natur, oft sehr komplizierte, vorgehen können, von denen Ihr Bewußtsein nichts erfährt, von denen Sie nichts wissen. </w:t>
      </w:r>
      <w:smartTag w:uri="urn:schemas-microsoft-com:office:smarttags" w:element="place">
        <w:r w:rsidRPr="005C67C8">
          <w:rPr>
            <w:rFonts w:ascii="Garamond" w:hAnsi="Garamond" w:cs="Arial"/>
            <w:color w:val="000000"/>
            <w:lang w:val="en-GB"/>
          </w:rPr>
          <w:t>Oder</w:t>
        </w:r>
      </w:smartTag>
      <w:r w:rsidRPr="005C67C8">
        <w:rPr>
          <w:rFonts w:ascii="Garamond" w:hAnsi="Garamond" w:cs="Arial"/>
          <w:color w:val="000000"/>
          <w:lang w:val="en-GB"/>
        </w:rPr>
        <w:t xml:space="preserve"> sind Sie zu der Annahme bereit, daß etwas mehr oder weniger von Ihrer »Aufmerksamkeit« hinreicht, um einen nicht seelischen Akt in einen seelischen zu verwandeln? Übrigens wozu der Streit? Es gibt hypnotische Experimente, in denen die Existenz solcher nicht bewußter Gedanken für jedermann, der lernen will, unwiderleglich demonstriert wird.</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will nicht leugnen, aber ich glaube, ich verstehe Sie endlich. Was Sie Ich heißen, ist das Bewußtsein, und Ihr Es ist das sogenannte Unterbewußtsein, von dem jetzt soviel die Rede ist. Aber wozu die Maskerade durch die neuen Namen?«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Es ist keine Maskerade, diese anderen Namen sind unbrauchbar. Und versuchen Sie nicht, mir Literatur anstatt Wissenschaft zu geben. Wenn jemand vom Unterbewußtsein spricht, weiß ich nicht, meint er es topisch, etwas, was in der Seele unterhalb des Bewußtseins liegt, oder qualitativ, ein anderes Bewußtsein, ein unterirdisches gleichsam. Wahrscheinlich macht er sich überhaupt nichts klar. Der einzig zulässige Gegensatz ist der zwischen bewußt und unbewußt. Aber es wäre ein folgenschwerer Irrtum zu glauben, dieser Gegensatz fiele mit der Scheidung von Ich und Es zusammen. Allerdings, es wäre wunderschön, wenn es so einfach wäre, unsere Theorie hätte dann ein leichtes Spiel, aber es ist nicht so einfach. Richtig ist nur, daß alles, was im Es vorgeht, unbewußt ist und bleibt und daß die Vorgänge im Ich bewußt werden </w:t>
      </w:r>
      <w:r w:rsidRPr="005C67C8">
        <w:rPr>
          <w:rFonts w:ascii="Garamond" w:hAnsi="Garamond" w:cs="Arial"/>
          <w:i/>
          <w:iCs/>
          <w:color w:val="000000"/>
          <w:lang w:val="en-GB"/>
        </w:rPr>
        <w:t>können</w:t>
      </w:r>
      <w:r w:rsidRPr="005C67C8">
        <w:rPr>
          <w:rFonts w:ascii="Garamond" w:hAnsi="Garamond" w:cs="Arial"/>
          <w:color w:val="000000"/>
          <w:lang w:val="en-GB"/>
        </w:rPr>
        <w:t>, sie allein. Aber sie sind es nicht alle, nicht immer, nicht notwendig, und große Anteile des Ichs können dauernd unbewußt bleiben.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Mit dem Bewußtwerden eines seelischen Vorganges ist es eine komplizierte Sache. Ich kann es mir nicht versagen, Ihnen – wiederum dogmatisch – darzustellen, was wir darüber annehmen. Sie erinnern sich, das Ich ist die äußere, peripherische Schicht des Es. Nun glauben wir, an der äußersten Oberfläche dieses Ichs befinde sich eine besondere, der Außenwelt direkt zugewendete Instanz, ein System, ein Organ, durch dessen Erregung allein das Phänomen, das wir Bewußtsein heißen, zustande kommt. Dies Organ kann ebensowohl von außen erregt werden, nimmt also mit Hilfe der Sinnesorgane die Reize der Außenwelt auf, wie auch von innen her, wo es zuerst die Sensationen im Es und dann auch die Vorgänge im Ich zur Kenntnis nehmen kann.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»Das wird immer ärger und entzieht sich immer mehr meinem Verständnis. Sie haben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doch zu einer Unterredung über die Frage eingeladen, ob auch Laien = Nichtärzte analytische Behandlungen unternehmen sollen. Wozu dann diese Auseinandersetzungen über gewagte, dunkle Theorien, von deren Berechtigung Sie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doch nicht überzeugen können?«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weiß, daß ich Sie nicht überzeugen kann. </w:t>
      </w:r>
      <w:r w:rsidRPr="005C67C8">
        <w:rPr>
          <w:rFonts w:ascii="Garamond" w:hAnsi="Garamond" w:cs="Arial"/>
          <w:color w:val="000000"/>
        </w:rPr>
        <w:t xml:space="preserve">Es liegt außerhalb jeder Möglichkeit und darum auch außerhalb meiner Absicht. </w:t>
      </w:r>
      <w:r w:rsidRPr="005C67C8">
        <w:rPr>
          <w:rFonts w:ascii="Garamond" w:hAnsi="Garamond" w:cs="Arial"/>
          <w:color w:val="000000"/>
          <w:lang w:val="en-GB"/>
        </w:rPr>
        <w:t xml:space="preserve">Wenn wir unseren Schülern theoretischen Unterricht in der Psychoanalyse geben, so können wir beobachten, wie wenig Eindruck wir ihnen zunächst machen. Sie nehmen die analytischen Lehren mit derselben Kühle hin wie andere Abstraktionen, mit denen sie genährt wurden. Einige wollen vielleicht überzeugt werden, aber keine Spur davon, daß sie es sind. Nun verlangen wir auch, daß jeder, der die Analyse an anderen ausüben will, sich vorher selbst einer Analyse unterwerfe. Erst im Verlauf dieser »Selbstanalyse« (wie sie mißverständlich genannt wird), wenn sie die von der Analyse behaupteten Vorgänge am eigenen Leib – richtiger: an der eigenen Seele – tatsächlich erleben, erwerben sie sich die Überzeugungen, von denen sie später als Analytiker geleitet werden. Wie darf ich also erwarten, Sie, den Unparteiischen, von der Richtigkeit unserer Theorien zu überzeugen, dem ich nur eine </w:t>
      </w:r>
      <w:r w:rsidRPr="005C67C8">
        <w:rPr>
          <w:rFonts w:ascii="Garamond" w:hAnsi="Garamond" w:cs="Arial"/>
          <w:color w:val="000000"/>
          <w:lang w:val="en-GB"/>
        </w:rPr>
        <w:lastRenderedPageBreak/>
        <w:t>unvollständige, verkürzte und darum undurchsichtige Darstellung derselben ohne Bekräftigung durch Ihre eigenen Erfahrungen vorlegen kann?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handle in anderer Absicht. Es ist zwischen uns gar nicht die Frage, ob die Analyse klug oder unsinnig ist, ob sie in ihren Aufstellungen recht hat oder in grobe Irrtümer verfällt. Ich rolle unsere Theorien vor Ihnen auf, weil ich Ihnen so am besten klarmachen kann, welchen Gedankeninhalt die Analyse hat, von welchen Voraussetzungen sie beim einzelnen Kranken ausgeht und was sie mit ihm vornimmt. Dadurch wird dann ein ganz bestimmtes Licht auf die Frage der Laienanalyse geworfen werden. Seien Sie übrigens ruhig, Sie haben, wenn Sie mir soweit gefolgt sind, das Ärgste überstanden, alles Folgende wird Ihnen leichter werden. Jetzt aber lassen Sie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eine Atempause machen.</w:t>
      </w:r>
    </w:p>
    <w:p w:rsidR="005D30C2" w:rsidRPr="005C67C8" w:rsidRDefault="00B437A1" w:rsidP="005D30C2">
      <w:pPr>
        <w:shd w:val="clear" w:color="auto" w:fill="FFFFFF"/>
        <w:spacing w:before="221" w:after="44" w:line="306" w:lineRule="atLeast"/>
        <w:outlineLvl w:val="3"/>
        <w:rPr>
          <w:rFonts w:ascii="Garamond" w:hAnsi="Garamond" w:cs="Arial"/>
          <w:b/>
          <w:bCs/>
          <w:color w:val="000000"/>
          <w:lang w:val="en-GB"/>
        </w:rPr>
      </w:pPr>
      <w:hyperlink w:anchor="Laienanalyse_INHALT" w:history="1">
        <w:r w:rsidR="005D30C2" w:rsidRPr="005C67C8">
          <w:rPr>
            <w:rStyle w:val="Lienhypertexte"/>
            <w:rFonts w:ascii="Garamond" w:hAnsi="Garamond" w:cs="Arial"/>
            <w:b/>
            <w:bCs/>
            <w:lang w:val="en-GB"/>
          </w:rPr>
          <w:t>II</w:t>
        </w:r>
        <w:bookmarkStart w:id="321" w:name="Laienanalyse_3"/>
        <w:bookmarkEnd w:id="321"/>
        <w:r w:rsidR="005D30C2" w:rsidRPr="005C67C8">
          <w:rPr>
            <w:rStyle w:val="Lienhypertexte"/>
            <w:rFonts w:ascii="Garamond" w:hAnsi="Garamond" w:cs="Arial"/>
            <w:b/>
            <w:bCs/>
            <w:lang w:val="en-GB"/>
          </w:rPr>
          <w:t>I</w:t>
        </w:r>
      </w:hyperlink>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erwarte, daß Sie mir aus den Theorien der Psychoanalyse ableiten wollen, wie man sich die Entstehung eines nervösen Leidens vorstellen kann.«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will es versuchen. Zu dem Zweck müssen wir aber unser Ich und unser Es von einem neuen Gesichtspunkt aus studieren, vom </w:t>
      </w:r>
      <w:r w:rsidRPr="005C67C8">
        <w:rPr>
          <w:rFonts w:ascii="Garamond" w:hAnsi="Garamond" w:cs="Arial"/>
          <w:i/>
          <w:iCs/>
          <w:color w:val="000000"/>
          <w:lang w:val="en-GB"/>
        </w:rPr>
        <w:t>dynamischen</w:t>
      </w:r>
      <w:r w:rsidRPr="005C67C8">
        <w:rPr>
          <w:rFonts w:ascii="Garamond" w:hAnsi="Garamond" w:cs="Arial"/>
          <w:color w:val="000000"/>
          <w:lang w:val="en-GB"/>
        </w:rPr>
        <w:t>, d. h. mit Rücksicht auf die Kräfte, die in und zwischen ihnen spielen. Vorhin hatten wir uns ja mit der Beschreibung des seelischen Apparats begnügt.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»Wenn es nur nicht wieder so unfaßbar wird!«</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hoffe, nicht. Sie werden sich bald zurechtfinden. Also wir nehmen an, daß die Kräfte, welche den seelischen Apparat zur Tätigkeit treiben, in den Organen des Körpers erzeugt werden als Ausdruck der großen Körperbedürfnisse. Sie erinnern sich an das Wort unseres Dichterphilosophen: Hunger und Liebe. Übrigens ein ganz respektables Kräftepaar! Wir heißen diese Körperbedürfnisse, insofern sie Anreize für seelische Tätigkeit darstellen, </w:t>
      </w:r>
      <w:r w:rsidRPr="005C67C8">
        <w:rPr>
          <w:rFonts w:ascii="Garamond" w:hAnsi="Garamond" w:cs="Arial"/>
          <w:i/>
          <w:iCs/>
          <w:color w:val="000000"/>
          <w:lang w:val="en-GB"/>
        </w:rPr>
        <w:t>Triebe</w:t>
      </w:r>
      <w:r w:rsidRPr="005C67C8">
        <w:rPr>
          <w:rFonts w:ascii="Garamond" w:hAnsi="Garamond" w:cs="Arial"/>
          <w:color w:val="000000"/>
          <w:lang w:val="en-GB"/>
        </w:rPr>
        <w:t xml:space="preserve">, ein Wort, um das uns viele moderne Sprachen beneiden. Diese Triebe erfüllen nun das Es; alle Energie im Es, können wir abkürzend sagen, stammt von ihnen. Die Kräfte im Ich haben auch keine andere Herkunft, sie sind von denen im Es abgeleitet. Was wollen nun die Triebe? Befriedigung, d. h. die Herstellung solcher Situationen, in denen die Körperbedürfnisse erlöschen können. Das Herabsinken der Bedürfnisspannung wird von unserem Bewußtseinsorgan als lustvoll empfunden, eine Steigerung derselben bald als Unlust. Aus diesen Schwankungen entsteht die Reihe von Lust-Unlustempfindungen, nach der der ganze seelische Apparat seine Tätigkeit reguliert. Wir sprechen da von einer » </w:t>
      </w:r>
      <w:r w:rsidRPr="005C67C8">
        <w:rPr>
          <w:rFonts w:ascii="Garamond" w:hAnsi="Garamond" w:cs="Arial"/>
          <w:i/>
          <w:iCs/>
          <w:color w:val="000000"/>
          <w:lang w:val="en-GB"/>
        </w:rPr>
        <w:t>Herrschaft des Lustprinzips</w:t>
      </w:r>
      <w:r w:rsidRPr="005C67C8">
        <w:rPr>
          <w:rFonts w:ascii="Garamond" w:hAnsi="Garamond" w:cs="Arial"/>
          <w:color w:val="000000"/>
          <w:lang w:val="en-GB"/>
        </w:rPr>
        <w: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Es kommt zu unerträglichen Zuständen, wenn die Triebansprüche des Es keine Befriedigung finden. Die Erfahrung zeigt bald, daß solche Befriedigungssituationen nur mit Hilfe der Außenwelt hergestellt werden können. Damit tritt der der Außenwelt zugewendete Anteil des Es, das Ich, in Funktion. Wenn alle treibende Kraft, die das Fahrzeug von der Stelle bringt, vom Es aufgebracht wird, so übernimmt das Ich gleichsam die Steuerung, bei deren Ausfall ja ein Ziel nicht zu erreichen ist. Die Triebe im Es drängen auf sofortige, rücksichtslose Befriedigung, erreichen auf diese Weise nichts oder erzielen selbst fühlbare Schädigung. Es wird nun die Aufgabe des Ichs, diesen Mißerfolg zu verhüten, zwischen den Ansprüchen des Es und dem Einspruch der realen Außenwelt zu vermitteln. Es entfaltet seine Tätigkeit nun nach zwei Richtungen. Einerseits beobachtet es mit Hilfe seines Sinnesorgans, des Bewußtseinssystems, die Außenwelt, um den günstigen Moment für schadlose Befriedigung zu erhaschen, anderseits beeinflußt es das Es, zügelt dessen »Leidenschaften«, veranlaßt die Triebe, ihre Befriedigung aufzuschieben, ja, wenn es als notwendig erkannt wird, ihre Ziele zu modifizieren oder sie gegen Entschädigung aufzugeben. Indem es die Regungen des Es in solcher Weise bändigt, ersetzt es das früher allein maßgebende Lustprinzip durch das sogenannte </w:t>
      </w:r>
      <w:r w:rsidRPr="005C67C8">
        <w:rPr>
          <w:rFonts w:ascii="Garamond" w:hAnsi="Garamond" w:cs="Arial"/>
          <w:i/>
          <w:iCs/>
          <w:color w:val="000000"/>
          <w:lang w:val="en-GB"/>
        </w:rPr>
        <w:t>Realitätsprinzip</w:t>
      </w:r>
      <w:r w:rsidRPr="005C67C8">
        <w:rPr>
          <w:rFonts w:ascii="Garamond" w:hAnsi="Garamond" w:cs="Arial"/>
          <w:color w:val="000000"/>
          <w:lang w:val="en-GB"/>
        </w:rPr>
        <w:t xml:space="preserve">, das zwar dieselben Endziele verfolgt, aber den von der realen Außenwelt gesetzten Bedingungen Rechnung trägt. Später lernt das Ich, daß es noch einen anderen Weg zur Versicherung der Befriedigung gibt als die beschriebene </w:t>
      </w:r>
      <w:r w:rsidRPr="005C67C8">
        <w:rPr>
          <w:rFonts w:ascii="Garamond" w:hAnsi="Garamond" w:cs="Arial"/>
          <w:i/>
          <w:iCs/>
          <w:color w:val="000000"/>
          <w:lang w:val="en-GB"/>
        </w:rPr>
        <w:t>Anpassung</w:t>
      </w:r>
      <w:r w:rsidRPr="005C67C8">
        <w:rPr>
          <w:rFonts w:ascii="Garamond" w:hAnsi="Garamond" w:cs="Arial"/>
          <w:color w:val="000000"/>
          <w:lang w:val="en-GB"/>
        </w:rPr>
        <w:t xml:space="preserve"> an die Außenwelt. Man kann auch </w:t>
      </w:r>
      <w:r w:rsidRPr="005C67C8">
        <w:rPr>
          <w:rFonts w:ascii="Garamond" w:hAnsi="Garamond" w:cs="Arial"/>
          <w:i/>
          <w:iCs/>
          <w:color w:val="000000"/>
          <w:lang w:val="en-GB"/>
        </w:rPr>
        <w:t>verändernd</w:t>
      </w:r>
      <w:r w:rsidRPr="005C67C8">
        <w:rPr>
          <w:rFonts w:ascii="Garamond" w:hAnsi="Garamond" w:cs="Arial"/>
          <w:color w:val="000000"/>
          <w:lang w:val="en-GB"/>
        </w:rPr>
        <w:t xml:space="preserve"> in die Außenwelt eingreifen und in ihr absichtlich jene Bedingungen herstellen, welche die Befriedigung ermöglichen. Diese Tätigkeit wird dann zur höchsten Leistung des Ichs; die Entscheidungen, wann es zweckmäßiger ist, seine Leidenschaften zu beherrschen und sich vor der Realität zu beugen oder deren Partei zu ergreifen und sich gegen die Außenwelt zur Wehr zu setzen, sind das Um und Auf der Lebensklugheit.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»Und läßt sich das Es eine solche Beherrschung durch das Ich gefallen, wo es doch, wenn ich Sie recht verstehe, der stärkere Teil ist?«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lastRenderedPageBreak/>
        <w:t>Ja, es geht gut, wenn das Ich seine volle Organisation und Leistungsfähigkeit besitzt, zu allen Teilen des Es Zugang hat und seinen Einfluß auf sie üben kann. Es besteht ja keine natürliche Gegnerschaft zwischen Ich und Es, sie gehören zusammen und sind im Falle der Gesundheit praktisch nicht voneinander zu scheiden.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läßt sich alles hören, aber ich sehe nicht, wo sich in diesem idealen Verhältnis ein Plätzchen für die Krankheitsstörung findet.«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Sie haben recht; solange das Ich und seine Beziehungen zum Es diese idealen Anforderungen erfüllen, gibt es auch keine nervöse Störung. Die Einbruchsstelle der Krankheit liegt an einem unerwarteten Ort, obwohl ein Kenner der allgemeinen Pathologie nicht überrascht sein wird, bestätigt zu finden, daß gerade die bedeutsamsten Entwicklungen und Differenzierungen den Keim zur Erkrankung, zum Versagen der Funktion, in sich tragen.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»Sie werden zu gelehrt, ich verstehe Sie nicht.«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muß ein bißchen weiter ausholen. Nicht wahr, das kleine Lebewesen ist ein recht armseliges, ohnmächtiges Ding gegen die übergewaltige Außenwelt, die voll ist von zerstörenden Einwirkungen. Ein primitives Lebewesen, das keine zureichende Ichorganisation entwickelt hat, ist all diesen »Traumen« ausgesetzt. Es lebt der »blinden« Befriedigung seiner Triebwünsche und geht so häufig an dieser zugrunde. Die Differenzierung eines Ichs ist vor allem ein Schritt zur Lebenserhaltung. Aus dem Untergang läßt sich zwar nichts lernen, aber wenn man ein Trauma glücklich bestanden hat, achtet man auf die Annäherung ähnlicher Situationen und signalisiert die Gefahr durch eine verkürzte Wiederholung der beim Trauma erlebten Eindrücke, durch einen </w:t>
      </w:r>
      <w:r w:rsidRPr="005C67C8">
        <w:rPr>
          <w:rFonts w:ascii="Garamond" w:hAnsi="Garamond" w:cs="Arial"/>
          <w:i/>
          <w:iCs/>
          <w:color w:val="000000"/>
          <w:lang w:val="en-GB"/>
        </w:rPr>
        <w:t>Angstaffekt</w:t>
      </w:r>
      <w:r w:rsidRPr="005C67C8">
        <w:rPr>
          <w:rFonts w:ascii="Garamond" w:hAnsi="Garamond" w:cs="Arial"/>
          <w:color w:val="000000"/>
          <w:lang w:val="en-GB"/>
        </w:rPr>
        <w:t>. Diese Reaktion auf die Wahrnehmung der Gefahr leitet nun den Fluchtversuch ein, der so lange lebensrettend wirkt, bis man genug erstarkt ist, um dem Gefährlichen in der Außenwelt in aktiverer Weise, vielleicht sogar durch Aggression zu begegnen.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ist alles sehr weit weg von dem, was Sie versprochen haben.«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Sie ahnen nicht, wie nah ich der Erfüllung meines Versprechens gekommen bin. Auch bei den Lebewesen, die später eine leistungsfähige Ichorganisation haben, ist dieses Ich zuerst in den Jahren der Kindheit schwächlich und vom Es wenig differenziert. Nun stellen Sie sich vor, was geschehen wird, wenn dieses machtlose Ich einen Triebanspruch aus dem Es erlebt, dem es bereits widerstehen möchte, weil es errät, daß dessen Befriedigung gefährlich ist, eine traumatische Situation, einen Zusammenstoß mit der Außenwelt heraufbeschwören würde, den es aber nicht beherrschen kann, weil es die Kraft dazu noch nicht besitzt. Das Ich behandelt dann die Triebgefahr, als ob es eine äußere Gefahr wäre, es unternimmt einen Fluchtversuch, zieht sich von diesem Anteil des Es zurück und überläßt ihn seinem Schicksal, nachdem es ihm alle Beiträge, die es sonst zu den Triebregungen stellt, verweigert hat. Wir sagen, das Ich nimmt eine </w:t>
      </w:r>
      <w:r w:rsidRPr="005C67C8">
        <w:rPr>
          <w:rFonts w:ascii="Garamond" w:hAnsi="Garamond" w:cs="Arial"/>
          <w:i/>
          <w:iCs/>
          <w:color w:val="000000"/>
          <w:lang w:val="en-GB"/>
        </w:rPr>
        <w:t>Verdrängung</w:t>
      </w:r>
      <w:r w:rsidRPr="005C67C8">
        <w:rPr>
          <w:rFonts w:ascii="Garamond" w:hAnsi="Garamond" w:cs="Arial"/>
          <w:color w:val="000000"/>
          <w:lang w:val="en-GB"/>
        </w:rPr>
        <w:t xml:space="preserve"> dieser Triebregungen vor. Das hat für den Augenblick den Erfolg, die Gefahr abzuwehren, aber man verwechselt nicht ungestraft das Innen und das Außen. Man kann nicht vor sich selbst davonlaufen. Bei der Verdrängung folgt das Ich dem Lustprinzip, welches es sonst zu korrigieren pflegt, es hat dafür den Schaden zu tragen. Dieser besteht darin, daß das Ich nun seinen Machtbereich dauernd eingeschränkt hat. Die verdrängte Triebregung ist jetzt isoliert, sich selbst überlassen, unzugänglich, aber auch unbeeinflußbar. Sie geht ihren eigenen Weg. Das Ich kann zumeist auch später, wenn es erstarkt ist, die Verdrängung nicht mehr aufheben, seine Synthese ist gestört, ein Teil des Es bleibt für das Ich verbotener Grund. Die isolierte Triebregung bleibt aber auch nicht müßig, sie weiß sich dafür, daß ihr die normale Befriedigung versagt ist, zu entschädigen, erzeugt psychische Abkömmlinge, die sie vertreten, setzt sich mit anderen Vorgängen in Verknüpfung, die sie durch ihren Einfluß gleichfalls dem Ich entreißt, und bricht endlich in einer unkenntlich entstellten Ersatzbildung ins Ich und zum Bewußtsein durch, schafft das, was man ein Symptom nennt. Mit einem Male sehen wir den Sachverhalt einer nervösen Störung vor uns: ein Ich, das in seiner Synthese gehemmt ist, das auf Teile des Es keinen Einfluß hat, das auf manche seiner Tätigkeiten verzichten muß, um einen neuerlichen Zusammenstoß mit dem Verdrängten zu vermeiden, das sich in meist vergeblichen Abwehraktionen gegen die Symptome, die Abkömmlinge der verdrängten Regungen, erschöpft, und ein Es, in dem sich einzelne Triebe selbständig gemacht haben, ohne Rücksicht auf die Interessen der Gesamtperson ihre Ziele verfolgen und nur mehr den Gesetzen der primitiven Psychologie gehorchen, die in den Tiefen des Es gebietet. Übersehen wir die ganze Situation, so erweist sich uns als einfache Formel für die Entstehung der Neurose, daß das Ich den Versuch gemacht hat, gewisse Anteile des Es </w:t>
      </w:r>
      <w:r w:rsidRPr="005C67C8">
        <w:rPr>
          <w:rFonts w:ascii="Garamond" w:hAnsi="Garamond" w:cs="Arial"/>
          <w:i/>
          <w:iCs/>
          <w:color w:val="000000"/>
          <w:lang w:val="en-GB"/>
        </w:rPr>
        <w:t>in ungeeigneter Weise</w:t>
      </w:r>
      <w:r w:rsidRPr="005C67C8">
        <w:rPr>
          <w:rFonts w:ascii="Garamond" w:hAnsi="Garamond" w:cs="Arial"/>
          <w:color w:val="000000"/>
          <w:lang w:val="en-GB"/>
        </w:rPr>
        <w:t xml:space="preserve"> zu unterdrücken, daß dies mißlungen ist und das Es dafür seine Rache genommen hat. Die Neurose ist also die Folge eines Konflikts zwischen Ich </w:t>
      </w:r>
      <w:r w:rsidRPr="005C67C8">
        <w:rPr>
          <w:rFonts w:ascii="Garamond" w:hAnsi="Garamond" w:cs="Arial"/>
          <w:color w:val="000000"/>
          <w:lang w:val="en-GB"/>
        </w:rPr>
        <w:lastRenderedPageBreak/>
        <w:t>und Es, in den das Ich eintritt, weil es, wie eingehende Untersuchung zeigt, durchaus an seiner Gefügigkeit gegen die reale Außenwelt festhalten will. Der Gegensatz läuft zwischen Außenwelt und Es, und weil das Ich, seinem innersten Wesen getreu, für die Außenwelt Partei nimmt, gerät es in Konflikt mit seinem Es. Beachten Sie aber wohl, nicht die Tatsache dieses Konflikts schafft die Bedingung des Krankseins – denn solche Gegensätze zwischen Realität und Es sind unvermeidlich, und das Ich führt unter seinen beständigen Aufgaben, in ihnen zu vermitteln –, sondern der Umstand, daß das Ich sich zur Erledigung des Konflikts des unzureichenden Mittels der Verdrängung bedient hat. Dies hat aber selbst seinen Grund darin, daß das Ich zur Zeit, als sich ihm die Aufgabe stellte, unentwickelt und ohnmächtig war. Die entscheidenden Verdrängungen fallen ja alle in früher Kindheit vor.</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»Welch ein merkwürdiger Weg! Ich folge Ihrem Rat, nicht zu kritisieren, da Sie mir ja nur zeigen wollen, was die Psychoanalyse von der Entstehung der Neurose glaubt, um daran zu knüpfen, was sie zu ihrer Bekämpfung unternimmt. Ich hätte verschiedenes zu fragen, werde einiges auch später vorbringen. Zunächst verspüre ich auch einmal die Versuchung, auf Grund Ihrer Gedankengänge weiterzubauen und selbst eine Theorie zu wagen. Sie haben die Relation Außenwelt–Ich–Es entwickelt und als die Bedingung der Neurose hingestellt, daß das Ich in seiner Abhängigkeit von der Außenwelt das Es bekämpft. Ist nicht auch der andere Fall denkbar, daß das Ich in einem solchen Konflikt sich vom Es fortreißen läßt und seine Rücksicht auf die Außenwelt verleugnet? Was geschieht in einem solchen Falle? Nach meinen laienhaften Vorstellungen von der Natur einer Geisteskrankheit könnte diese Entscheidung des Ichs die Bedingung der Geisteskrankheit sein. Solch eine Abwendung von der Wirklichkeit scheint doch das Wesentliche an der Geisteskrankheit.«</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lang w:val="en-GB"/>
        </w:rPr>
        <w:t xml:space="preserve">Ja, daran habe ich selbst gedacht und halte es sogar für zutreffend, wenngleich der Erweis dieser Vermutung eine Diskussion von recht komplizierten Verhältnissen erfordert. Neurose und Psychose sind offenbar innig verwandt und müssen sich doch in einem entscheidenden Punkt voneinander trennen. </w:t>
      </w:r>
      <w:r w:rsidRPr="005C67C8">
        <w:rPr>
          <w:rFonts w:ascii="Garamond" w:hAnsi="Garamond" w:cs="Arial"/>
          <w:color w:val="000000"/>
        </w:rPr>
        <w:t>Dieser Punkt könnte wohl die Parteinahme des Ichs in einem solchen Konflikt sein. Das Es würde in beiden Fällen seinen Charakter von blinder Unnachgiebigkeit bewahren.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»Nun setzen Sie fort. </w:t>
      </w:r>
      <w:r w:rsidRPr="005C67C8">
        <w:rPr>
          <w:rFonts w:ascii="Garamond" w:hAnsi="Garamond" w:cs="Arial"/>
          <w:color w:val="000000"/>
          <w:lang w:val="en-GB"/>
        </w:rPr>
        <w:t>Welche Winke gibt Ihre Theorie für die Behandlung der neurotischen Erkrankungen?«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Unser therapeutisches Ziel ist jetzt leicht zu umschreiben. Wir wollen das Ich herstellen, es von seinen Einschränkungen befreien, ihm die Herrschaft über das Es wiedergeben, die es infolge seiner frühen Verdrängungen eingebüßt hat. Nur zu diesem Zweck machen wir die Analyse, unsere ganze Technik ist auf dieses Ziel gerichtet. Wir haben die vorgefallenen Verdrängungen aufzusuchen und das Ich zu bewegen, sie nun mit unserer Hilfe zu korrigieren, die Konflikte besser als durch einen Fluchtversuch zu erledigen. Da diese Verdrängungen sehr frühen Kinderjahren angehören, führt uns auch die analytische Arbeit in diese Lebenszeit zurück. Den Weg zu den meist vergessenen Konfliktsituationen, die wir in der Erinnerung des Kranken wiederbeleben wollen, weisen uns die Symptome, Träume und freien Einfälle des Kranken, die wir allerdings erst deuten, übersetzen müssen, da sie unter dem Einfluß der Psychologie des Es für unser Verständnis fremdartige Ausdrucksformen angenommen haben. Von den Einfällen, Gedanken und Erinnerungen, die uns der Patient nicht ohne inneres Sträuben mitteilen kann, dürfen wir annehmen, daß sie irgendwie mit dem Verdrängten zusammenhängen oder Abkömmlinge desselben sind. Indem wir den Kranken dazu antreiben, sich über seine Widerstände bei der Mitteilung hinauszusetzen, erziehen wir sein Ich dazu, seine Neigung zu Fluchtversuchen zu überwinden und die Annäherung des Verdrängten zu vertragen. Am Ende, wenn es gelungen ist, die Situation der Verdrängung in seiner Erinnerung zu reproduzieren, wird seine Gefügigkeit glänzend belohnt. Der ganze Unterschied der Zeiten läuft zu seinen Gunsten, und das, wovor sein kindliches Ich erschreckt die Flucht ergriffen hatte, das erscheint dem erwachsenen und erstarkten Ich oft nur als Kinderspiel.</w:t>
      </w:r>
    </w:p>
    <w:p w:rsidR="005D30C2" w:rsidRPr="005C67C8" w:rsidRDefault="00B437A1" w:rsidP="005D30C2">
      <w:pPr>
        <w:shd w:val="clear" w:color="auto" w:fill="FFFFFF"/>
        <w:spacing w:before="221" w:after="44" w:line="306" w:lineRule="atLeast"/>
        <w:outlineLvl w:val="3"/>
        <w:rPr>
          <w:rFonts w:ascii="Garamond" w:hAnsi="Garamond" w:cs="Arial"/>
          <w:b/>
          <w:bCs/>
          <w:color w:val="000000"/>
          <w:lang w:val="en-GB"/>
        </w:rPr>
      </w:pPr>
      <w:hyperlink w:anchor="Laienanalyse_INHALT" w:history="1">
        <w:r w:rsidR="005D30C2" w:rsidRPr="005C67C8">
          <w:rPr>
            <w:rStyle w:val="Lienhypertexte"/>
            <w:rFonts w:ascii="Garamond" w:hAnsi="Garamond" w:cs="Arial"/>
            <w:b/>
            <w:bCs/>
            <w:lang w:val="en-GB"/>
          </w:rPr>
          <w:t>I</w:t>
        </w:r>
        <w:bookmarkStart w:id="322" w:name="Laienanalyse_4"/>
        <w:bookmarkEnd w:id="322"/>
        <w:r w:rsidR="005D30C2" w:rsidRPr="005C67C8">
          <w:rPr>
            <w:rStyle w:val="Lienhypertexte"/>
            <w:rFonts w:ascii="Garamond" w:hAnsi="Garamond" w:cs="Arial"/>
            <w:b/>
            <w:bCs/>
            <w:lang w:val="en-GB"/>
          </w:rPr>
          <w:t>V</w:t>
        </w:r>
      </w:hyperlink>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»Alles, was Sie mir bisher erzählt haben, war Psychologie. Es klang oft befremdlich, spröde, dunkel, aber es war doch immer, wenn ich so sagen soll: reinlich. Nun habe ich zwar bisher sehr wenig von Ihrer Psychoanalyse gewußt, aber das Gerücht ist doch zu mir gedrungen, daß sie sich vorwiegend mit Dingen beschäftigt, die auf dieses Prädikat keinen Anspruch haben. Es macht mir den Eindruck einer beabsichtigten Zurückhaltung, daß Sie bisher nichts Ähnliches berührt haben. Auch kann ich einen anderen Zweifel nicht unterdrücken. Die Neurosen sind doch, wie Sie selbst sagen, Störungen des </w:t>
      </w:r>
      <w:r w:rsidRPr="005C67C8">
        <w:rPr>
          <w:rFonts w:ascii="Garamond" w:hAnsi="Garamond" w:cs="Arial"/>
          <w:color w:val="000000"/>
          <w:lang w:val="en-GB"/>
        </w:rPr>
        <w:lastRenderedPageBreak/>
        <w:t>Seelenlebens. Und so wichtige Dinge wie unsere Ethik, unser Gewissen, unsere Ideale sollten bei diesen tiefgreifenden Störungen gar keine Rolle spielen?«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Sie vermissen also in unseren bisherigen Besprechungen die Berücksichtigung des Niedrigsten wie des Höchsten. Das kommt aber daher, daß wir von den Inhalten des Seelenlebens überhaupt noch nicht gehandelt haben. Lassen Sie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aber jetzt einmal selbst die Rolle des Unterbrechers spielen, der den Fortschritt der Unterredung aufhält. Ich habe Ihnen soviel Psychologie erzählt, weil ich wünschte, daß Sie den Eindruck empfangen, die analytische Arbeit sei ein Stück angewandter Psychologie, und zwar einer Psychologie, die außerhalb der Analyse nicht bekannt ist. </w:t>
      </w:r>
      <w:r w:rsidRPr="005C67C8">
        <w:rPr>
          <w:rFonts w:ascii="Garamond" w:hAnsi="Garamond" w:cs="Arial"/>
          <w:color w:val="000000"/>
        </w:rPr>
        <w:t xml:space="preserve">Der Analytiker muß also vor allem diese Psychologie, die Tiefenpsychologie oder Psychologie des Unbewußten, gelernt haben, wenigstens soviel als heute davon bekannt ist. </w:t>
      </w:r>
      <w:r w:rsidRPr="005C67C8">
        <w:rPr>
          <w:rFonts w:ascii="Garamond" w:hAnsi="Garamond" w:cs="Arial"/>
          <w:color w:val="000000"/>
          <w:lang w:val="en-GB"/>
        </w:rPr>
        <w:t>Wir werden das für unsere späteren Folgerungen brauchen. Aber jetzt, was meinten Sie mit der Anspielung auf die Reinlichkeit?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»Nun, es wird allgemein erzählt, daß in den Analysen die intimsten – und garstigsten Angelegenheiten des Geschlechtslebens mit allen Details zur Sprache kommen. Wenn das so ist – aus Ihren psychologischen Auseinandersetzungen habe ich nicht entnehmen können, daß es so sein muß –, so wäre es ein starkes Argument dafür, solche Behandlungen nur Ärzten zu gestatten. Wie kann man daran denken, anderen Personen, deren Diskretion man nicht sicher ist, für deren Charakter man keine Bürgschaft hat, so gefährliche Freiheiten einzuräumen?«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Es ist wahr, die Ärzte genießen auf sexuellem Gebiet gewisse Vorrechte; sie dürfen ja auch die Genitalien inspizieren. </w:t>
      </w:r>
      <w:r w:rsidRPr="005C67C8">
        <w:rPr>
          <w:rFonts w:ascii="Garamond" w:hAnsi="Garamond" w:cs="Arial"/>
          <w:color w:val="000000"/>
          <w:lang w:val="en-GB"/>
        </w:rPr>
        <w:t>Obwohl sie es im Orient nicht durften; auch manche Idealreformer – Sie wissen, wen ich meine – haben diese Vorrechte bekämpft. Aber Sie wollen zunächst wissen, ob es in der Analyse so ist und warum es so sein muß? – Ja, es ist so.</w:t>
      </w:r>
    </w:p>
    <w:p w:rsidR="005D30C2" w:rsidRPr="005D30C2"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Es muß aber so sein, erstens weil die Analyse überhaupt auf volle Aufrichtigkeit gebaut ist. Man behandelt in ihr z. B. Vermögensverhältnisse mit ebensolcher Ausführlichkeit und Offenheit, sagt Dinge, die man jedem Mitbürger vorenthält, auch wenn er nicht Konkurrent oder Steuerbeamter ist. Daß diese Verpflichtung zur Aufrichtigkeit auch den Analytiker unter schwere moralische Verantwortlichkeit setzt, werde ich nicht bestreiten, sondern selbst energisch betonen. Zweitens muß es so sein, weil unter den Ursachen und Anlässen der nervösen Erkrankungen Momente des Geschlechtslebens eine überaus wichtige, eine überragende, vielleicht selbst eine spezifische Rolle spielen. Was kann die Analyse anderes tun, als sich ihrem Stoff, dem Material, das der Kranke bringt, anzuschmiegen? Der Analytiker lockt den Patienten niemals auf das sexuelle Gebiet, er sagt ihm nicht voraus: Es wird sich um die Intimitäten Ihres Geschlechtslebens handeln! Er läßt ihn seine Mitteilungen beginnen, wo es ihm beliebt, und wartet ruhig ab, bis der Patient selbst die geschlechtlichen Dinge anrührt. Ich pflegte meine Schüler immer zu mahnen: Unsere Gegner haben uns angekündigt, daß wir auf Fälle stoßen werden, bei denen das sexuelle Moment keine Rolle spielt; hüten wir uns davor, es in die Analyse einzuführen, verderben wir uns die Chance nicht, einen solchen Fall zu finden. </w:t>
      </w:r>
      <w:r w:rsidRPr="005D30C2">
        <w:rPr>
          <w:rFonts w:ascii="Garamond" w:hAnsi="Garamond" w:cs="Arial"/>
          <w:color w:val="000000"/>
          <w:lang w:val="en-GB"/>
        </w:rPr>
        <w:t>Nun, bis jetzt hat niemand von uns dieses Glück gehabt.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weiß natürlich, daß unsere Anerkennung der Sexualität – eingestandener- oder uneingestandermaßen – das stärkste Motiv für die Feindseligkeit der anderen gegen die Analyse geworden ist. Kann uns das irremachen? Es zeigt uns nur, wie neurotisch unser ganzes Kulturleben ist, da sich die angeblich Normalen nicht viel anders benehmen als die Nervösen. Zur Zeit als in gelehrten Gesellschaften Deutschlands feierlich Gericht über die Psychoanalyse gehalten wurde – heute ist es wesentlich stiller geworden –, beanspruchte ein Redner besondere Autorität, weil er nach seiner Mitteilung auch die Kranken sich äußern lasse. Offenbar in diagnostischer Absicht und um die Behauptungen der Analytiker zu prüfen. Aber, setzte er hinzu, wenn sie anfangen, von sexuellen Dingen zu reden, dann verschließe ich ihnen den Mund. Was denken Sie von einem solchen Beweisverfahren? Die gelehrte Gesellschaft jubelte dem Redner Beifall zu, anstatt sich gebührenderweise für ihn zu schämen. Nur die triumphierende Sicherheit, welche das Bewußtsein gemeinsamer Vorurteile verleiht, kann die logische Sorglosigkeit dieses Redners erklären. Jahre später haben einige meiner damaligen Schüler dem Bedürfnis nachgegeben, die menschliche Gesellschaft vom Joch der Sexualität, das ihr die Psychoanalyse auferlegen will, zu befreien. Der eine hat erklärt, das Sexuelle bedeute gar nicht die Sexualität, sondern etwas anderes, Abstraktes, Mystisches; ein zweiter gar, das Sexualleben sei nur eines der Gebiete, auf dem der Mensch das ihn treibende Bedürfnis nach Macht und Herrschaft betätigen wolle. Sie haben sehr viel Beifall gefunden, für die nächste Zeit wenigstens.</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lastRenderedPageBreak/>
        <w:t xml:space="preserve">»Da getraue ich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aber doch einmal Partei zu nehmen. Es scheint mir sehr gewagt zu behaupten, daß die Sexualität kein natürliches, ursprüngliches Bedürfnis der lebenden Wesen ist, sondern der Ausdruck für etwas anderes. Man braucht sich da nur an das Beispiel der Tiere zu halten.«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macht nichts. Es gibt keine noch so absurde Mixtur, die die Gesellschaft nicht bereitwillig schlucken würde, wenn sie nur als Gegenmittel gegen die gefürchtete Übermacht der Sexualität ausgerufen wird.</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gestehe Ihnen übrigens, daß mir die Abneigung, die Sie selbst verraten haben, dem sexuellen Moment eine so große Rolle in der Verursachung der Neurosen einzuräumen, mit Ihrer Aufgabe als Unparteiischer nicht gut verträglich scheint. Fürchten Sie nicht, daß Sie durch solche Antipathie in der Fällung eines gerechten Urteils gestört sein werden?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»Es tut mir leid, daß Sie das sagen. </w:t>
      </w:r>
      <w:r w:rsidRPr="005C67C8">
        <w:rPr>
          <w:rFonts w:ascii="Garamond" w:hAnsi="Garamond" w:cs="Arial"/>
          <w:color w:val="000000"/>
        </w:rPr>
        <w:t xml:space="preserve">Ihr Vertrauen zu mir scheint erschüttert. </w:t>
      </w:r>
      <w:r w:rsidRPr="005C67C8">
        <w:rPr>
          <w:rFonts w:ascii="Garamond" w:hAnsi="Garamond" w:cs="Arial"/>
          <w:color w:val="000000"/>
          <w:lang w:val="en-GB"/>
        </w:rPr>
        <w:t>Warum haben Sie dann nicht einen anderen zum Unparteiischen gewählt?«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Weil dieser andere auch nicht anders gedacht hätte als Sie. Wenn er aber von vornherein bereit gewesen wäre, die Bedeutung des Geschlechtslebens anzuerkennen, so hätte alle Welt gerufen: »Das ist ja kein Unparteiischer, das ist ja ein Anhänger von Ihnen.« Nein, ich gebe die Erwartung keineswegs auf, Einfluß auf Ihre Meinungen zu gewinnen. Ich bekenne aber, dieser Fall liegt für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anders als der vorhin behandelte. Bei den psychologischen Erörterungen mußte es mir gleich gelten, ob Sie mir Glauben schenken oder nicht, wenn Sie nur den Eindruck bekommen, es handle sich um rein psychologische Probleme. Diesmal, bei der Frage der Sexualität, möchte ich doch, daß Sie der Einsicht zugänglich werden, Ihr stärkstes Motiv zum Widerspruch sei eben die mitgebrachte Feindseligkeit, die Sie mit so vielen anderen teilen.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»Es fehlt mir doch die Erfahrung, welche Ihnen eine so unerschütterliche Sicherheit geschaffen hat.«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Gut, ich darf jetzt in meiner Darstellung fortfahren. Das Geschlechtsleben ist nicht nur eine Pikanterie, sondern auch ein ernsthaftes wissenschaftliches Problem. </w:t>
      </w:r>
      <w:r w:rsidRPr="005C67C8">
        <w:rPr>
          <w:rFonts w:ascii="Garamond" w:hAnsi="Garamond" w:cs="Arial"/>
          <w:color w:val="000000"/>
        </w:rPr>
        <w:t xml:space="preserve">Es gab da viel Neues zu erfahren, viel Sonderbares zu erklären. Ich sagte Ihnen schon, daß die Analyse bis in die frühen Kindheitsjahre des Patienten zurückgehen mußte, weil in diesen Zeiten und während der Schwäche des Ichs die entscheidenden Verdrängungen vorgefallen sind. </w:t>
      </w:r>
      <w:r w:rsidRPr="005C67C8">
        <w:rPr>
          <w:rFonts w:ascii="Garamond" w:hAnsi="Garamond" w:cs="Arial"/>
          <w:color w:val="000000"/>
          <w:lang w:val="en-GB"/>
        </w:rPr>
        <w:t>In der Kindheit gibt es aber doch gewiß kein Geschlechtsleben, das hebt erst mit der Pubertätszeit an? Im Gegenteile, wir hatten die Entdeckung zu machen, daß die sexuellen Triebregungen das Leben von der Geburt an begleiten und daß es gerade diese Triebe sind, zu deren Abwehr das infantile Ich die Verdrängungen vornimmt. Ein merkwürdiges Zusammentreffen, nicht wahr, daß schon das kleine Kind sich gegen die Macht der Sexualität sträubt, wie später der Redner in der gelehrten Gesellschaft und noch später meine Schüler, die ihre eigenen Theorien aufstellen? Wie das zugeht? Die allgemeinste Auskunft wäre, daß unsere Kultur überhaupt auf Kosten der Sexualität aufgebaut wird, aber es ist viel anderes darüber zu sagen.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Die Entdeckung der kindlichen Sexualität gehört zu jenen Funden, deren man sich zu schämen hat. Einige Kinderärzte haben immer darum gewußt, wie es scheint, auch einige Kinderpflegerinnen. Geistreiche Männer, die sich Kinderpsychologen heißen, haben dann in vorwurfsvollem Ton von einer »Entharmlosung der Kindheit« gesprochen. Immer wieder Sentimente an Stelle von Argumenten! In unseren politischen Körperschaften sind solche Vorkommnisse alltäglich. Irgendwer von der Opposition steht auf und denunziert eine Mißwirtschaft in der Verwaltung, Armee, Justiz u. dgl. Darauf erklärt ein anderer, am liebsten einer von der Regierung, solche Konstatierungen beleidigen das staatliche, militärische, dynastische oder gar das nationale Ehrgefühl. Sie seien also so gut wie nicht wahr. Diese Gefühle vertragen keine Beleidigung.</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Das Geschlechtsleben des Kindes ist natürlich ein anderes als das des Erwachsenen. Die Sexualfunktion macht von ihren Anfängen bis zu der uns so vertrauten Endgestaltung eine komplizierte Entwicklung durch. Sie wächst aus zahlreichen Partialtrieben mit besonderen Zielen zusammen, durchläuft mehrere Phasen der Organisation, bis sie sich endlich in den Dienst der Fortpflanzung stellt. Von den einzelnen Partialtrieben sind nicht alle für den Endausgang gleich brauchbar, sie müssen abgelenkt, umgemodelt, zum Teil unterdrückt werden. Eine so weitläufige Entwicklung wird nicht immer tadellos durchgemacht, es kommt zu Entwicklungshemmungen, partiellen Fixierungen auf frühen Entwicklungsstufen; wo sich später der Ausübung der Sexualfunktion Hindernisse entgegenstellen, weicht das sexuelle Streben – die Libido, wie wir sagen – gern auf solche frühere Fixierungsstellen zurück. Das Studium der kindlichen Sexualität und ihrer Umwandlungen bis zur Reife hat uns auch den Schlüssel zum Verständnis der </w:t>
      </w:r>
      <w:r w:rsidRPr="005C67C8">
        <w:rPr>
          <w:rFonts w:ascii="Garamond" w:hAnsi="Garamond" w:cs="Arial"/>
          <w:color w:val="000000"/>
          <w:lang w:val="en-GB"/>
        </w:rPr>
        <w:lastRenderedPageBreak/>
        <w:t>sogenannten sexuellen Perversionen gegeben, die man immer mit allen geforderten Anzeichen des Abscheus zu beschreiben pflegte, deren Entstehung man aber nicht aufklären konnte. Das ganze Gebiet ist ungemein interessant, es hat nur für die Zwecke unserer Unterredungen nicht viel Sinn, wenn ich Ihnen mehr davon erzähle. Man braucht, um sich hier zurechtzufinden, natürlich anatomische und physiologische Kenntnisse, die leider nicht sämtlich in der medizinischen Schule zu erwerben sind, aber eine Vertrautheit mit Kulturgeschichte und Mythologie ist ebenso unerläßlich.</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»Nach alledem kann ich mir vom Geschlechtsleben des Kindes doch keine Vorstellung machen.«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So will ich noch länger bei dem Thema verweilen; es fällt mir ohnedies nicht leicht,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davon loszureißen. Hören Sie, das Merkwürdigste am Geschlechtsleben des Kindes scheint mir, daß es seine ganze, sehr weitgehende Entwicklung in den ersten fünf Lebensjahren durchläuft; von da an bis zur Pubertät erstreckt sich die sogenannte Latenzzeit, in der – normalerweise – die Sexualität keine Fortschritte macht, die sexuellen Strebungen im Gegenteil an Stärke nachlassen und vieles aufgegeben und vergessen wird, was das Kind schon geübt oder gewußt hatte. In dieser Lebensperiode, nachdem die Frühblüte des Geschlechtslebens abgewelkt ist, bilden sich jene Einstellungen des Ichs heraus, die, wie Scham, Ekel, Moralität, dazu bestimmt sind, dem späteren Pubertätssturm standzuhalten und dem neu erwachenden sexuellen Begehren die Bahnen zu weisen. Dieser sogenannte </w:t>
      </w:r>
      <w:r w:rsidRPr="005C67C8">
        <w:rPr>
          <w:rFonts w:ascii="Garamond" w:hAnsi="Garamond" w:cs="Arial"/>
          <w:i/>
          <w:iCs/>
          <w:color w:val="000000"/>
          <w:lang w:val="en-GB"/>
        </w:rPr>
        <w:t>zweizeitige Ansatz des Sexuallebens</w:t>
      </w:r>
      <w:r w:rsidRPr="005C67C8">
        <w:rPr>
          <w:rFonts w:ascii="Garamond" w:hAnsi="Garamond" w:cs="Arial"/>
          <w:color w:val="000000"/>
          <w:lang w:val="en-GB"/>
        </w:rPr>
        <w:t xml:space="preserve"> hat sehr viel mit der Entstehung der nervösen Erkrankungen zu tun. Er scheint sich nur beim Menschen zu finden, vielleicht ist er eine der Bedingungen des menschlichen Vorrechts, neurotisch zu werden. Die Vorzeit des Geschlechtslebens ist vor der Psychoanalyse ebenso übersehen worden wie auf anderem Gebiete der Hintergrund des bewußten Seelenlebens. Sie werden mit Recht vermuten, daß beide auch innig zusammengehören.</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lang w:val="en-GB"/>
        </w:rPr>
        <w:t xml:space="preserve">Von den Inhalten, Äußerungen und Leistungen dieser Frühzeit der Sexualität wäre sehr viel zu berichten, worauf die Erwartung nicht vorbereitet ist. Zum Beispiel: Sie werden gewiß erstaunt sein zu hören, daß sich das Knäblein so häufig davor ängstigt, vom Vater aufgefressen zu werden. (Wundern Sie sich nicht auch, daß ich diese Angst unter die Äußerungen des Sexuallebens versetze?) Aber ich darf Sie an die mythologische Erzählung erinnern, die Sie vielleicht aus Ihren Schuljahren noch nicht vergessen haben, daß auch der Gott Kronos seine Kinder verschlingt. </w:t>
      </w:r>
      <w:r w:rsidRPr="005C67C8">
        <w:rPr>
          <w:rFonts w:ascii="Garamond" w:hAnsi="Garamond" w:cs="Arial"/>
          <w:color w:val="000000"/>
        </w:rPr>
        <w:t>Wie sonderbar muß Ihnen dieser Mythus erschienen sein, als Sie zuerst von ihm hörten! Aber ich glaube, wir haben uns alle damals nichts dabei gedacht. Heute können wir auch mancher Märchen gedenken, in denen ein fressendes Tier, wie der Wolf, auftritt, und werden in diesem eine Verkleidung des Vaters erkennen. Ich ergreife diese Gelegenheit, um Ihnen zu versichern, daß Mythologie und Märchenwelt überhaupt erst durch die Kenntnis des kindlichen Sexuallebens verständlich werden. Es ist das so ein Nebengewinn der analytischen Studien.</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rPr>
        <w:t>Nicht minder groß wird Ihre Überraschung sein zu hören, daß das männliche Kind unter der Angst leidet, vom Vater seines Geschlechtsgliedes beraubt zu werden, so daß diese Kastrationsangst den stärksten Einfluß auf seine Charakterentwicklung und die Entscheidung seiner geschlechtlichen Richtung nimmt. Auch hier wird Ihnen die Mythologie Mut machen, der Psychoanalyse zu glauben. Derselbe Kronos, der seine Kinder verschlingt, hatte auch seinen Vater Uranos entmannt und ist dann zur Vergeltung von seinem durch die List der Mutter geretteten Sohn Zeus entmannt worden. Wenn Sie zur Annahme geneigt haben, daß alles, was die Psychoanalyse von der frühzeitigen Sexualität der Kinder erzählt, aus der wüsten Phantasie der Analytiker stammt, so geben Sie doch wenigstens zu, daß diese Phantasie dieselben Produktionen geschaffen hat wie die Phantasietätigkeit der primitiven Menschheit, von der Mythen und Märchen der Niederschlag sind. Die andere, freundlichere und wahrscheinlich auch zutreffendere Auffassung wäre, daß im Seelenleben des Kindes noch heute dieselben archaischen Momente nachweisbar sind, die einst in den Urzeiten der menschlichen Kultur allgemein geherrscht haben. Das Kind würde in seiner seelischen Entwicklung die Stammesgeschichte in abkürzender Weise wiederholen, wie es die Embryologie längst für die körperliche Entwicklung erkannt hat.</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rPr>
        <w:t xml:space="preserve">Ein weiterer Charakter der frühkindlichen Sexualität ist, daß das eigentlich weibliche Geschlechtsglied in ihr noch keine Rolle spielt – es ist für das Kind noch nicht entdeckt. Aller Akzent fällt auf das männliche Glied, alles Interesse richtet sich darauf, ob dies vorhanden ist oder nicht. Vom Geschlechtsleben des kleinen Mädchens wissen wir weniger als von dem des Knaben. Wir brauchen uns dieser Differenz nicht zu schämen; ist doch auch das Geschlechtsleben des erwachsenen Weibes ein </w:t>
      </w:r>
      <w:r w:rsidRPr="005C67C8">
        <w:rPr>
          <w:rFonts w:ascii="Garamond" w:hAnsi="Garamond" w:cs="Arial"/>
          <w:i/>
          <w:iCs/>
          <w:color w:val="000000"/>
        </w:rPr>
        <w:t>dark continent</w:t>
      </w:r>
      <w:r w:rsidRPr="005C67C8">
        <w:rPr>
          <w:rFonts w:ascii="Garamond" w:hAnsi="Garamond" w:cs="Arial"/>
          <w:color w:val="000000"/>
        </w:rPr>
        <w:t xml:space="preserve"> für die Psychologie. Aber wir haben erkannt, daß das Mädchen den Mangel eines dem männlichen gleichwertigen Geschlechtsgliedes schwer empfindet, sich darum für minderwertig hält und daß dieser »Penisneid« einer ganzen Reihe charakteristisch weiblicher Reaktionen den Ursprung gibt.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lastRenderedPageBreak/>
        <w:t xml:space="preserve">Dem Kind eigen ist es auch, daß die beiden exkrementellen Bedürfnisse mit sexuellem Interesse besetzt sind. Die Erziehung setzt später eine scharfe Scheidung durch, die Praxis der Witze hebt sie wieder auf. </w:t>
      </w:r>
      <w:r w:rsidRPr="005C67C8">
        <w:rPr>
          <w:rFonts w:ascii="Garamond" w:hAnsi="Garamond" w:cs="Arial"/>
          <w:color w:val="000000"/>
          <w:lang w:val="en-GB"/>
        </w:rPr>
        <w:t>Das mag uns unappetitlich scheinen, aber es braucht bekanntlich beim Kind eine geraume Zeit, bis sich der Ekel einstellt. Das haben auch die nicht geleugnet, die sonst für die seraphische Reinheit der Kinderseele eintreten.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Keine andere Tatsache hat aber mehr Anspruch auf unsere Beachtung, als daß das Kind seine sexuellen Wünsche regelmäßig auf die ihm verwandtschaftlich nächsten Personen richtet, also in erster Linie auf Vater und Mutter, in weiterer Folge auf seine Geschwister. Für den Knaben ist die Mutter das erste Liebesobjekt, für das Mädchen der Vater, soweit nicht eine bisexuelle Anlage auch gleichzeitig die gegenteilige Einstellung begünstigt. Der andere Elternteil wird als störender Rivale empfunden und nicht selten mit starker Feindseligkeit bedacht. Verstehen Sie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recht, ich will nicht sagen, daß das Kind sich nur jene Art von Zärtlichkeit vom bevorzugten Elternteil wünscht, in der wir Erwachsene so gern das Wesen der Eltern-Kind-Beziehung sehen. Nein, die Analyse läßt keinen Zweifel darüber, daß die Wünsche des Kindes über diese Zärtlichkeit hinaus alles anstreben, was wir als sinnliche Befriedigung begreifen, soweit eben das Vorstellungsvermögen des Kindes reicht. Es ist leicht zu verstehen, daß das Kind den wirklichen Sachverhalt der Vereinigung der Geschlechter niemals errät, es setzt dafür andere aus seinen Erfahrungen und Empfindungen abgeleitete Vorstellungen ein. Gewöhnlich gipfeln seine Wünsche in der Absicht, ein Kind zu gebären oder – in unbestimmbarer Weise – zu zeugen. Von dem Wunsche, ein Kind zu gebären, schließt sich in seiner Unwissenheit auch der Knabe nicht aus. Diesen ganzen seelischen Aufbau heißen wir nach der bekannten griechischen Sage den </w:t>
      </w:r>
      <w:r w:rsidRPr="005C67C8">
        <w:rPr>
          <w:rFonts w:ascii="Garamond" w:hAnsi="Garamond" w:cs="Arial"/>
          <w:i/>
          <w:iCs/>
          <w:color w:val="000000"/>
          <w:lang w:val="en-GB"/>
        </w:rPr>
        <w:t>Ödipuskomplex</w:t>
      </w:r>
      <w:r w:rsidRPr="005C67C8">
        <w:rPr>
          <w:rFonts w:ascii="Garamond" w:hAnsi="Garamond" w:cs="Arial"/>
          <w:color w:val="000000"/>
          <w:lang w:val="en-GB"/>
        </w:rPr>
        <w:t>. Er soll normalerweise mit dem Ende der sexuellen Frühzeit verlassen, gründlich abgebaut und umgewandelt werden, und die Ergebnisse dieser Verwandlung sind zu großen Leistungen im späteren Seelenleben bestimmt. Aber es geschieht in der Regel nicht gründlich genug, und die Pubertät ruft dann eine Wiederbelebung des Komplexes hervor, die schwere Folgen haben kann.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wundere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daß Sie noch schweigen. Das kann kaum Zustimmung bedeuten. – Wenn die Analyse behauptet, die erste Objektwahl des Kindes sei eine </w:t>
      </w:r>
      <w:r w:rsidRPr="005C67C8">
        <w:rPr>
          <w:rFonts w:ascii="Garamond" w:hAnsi="Garamond" w:cs="Arial"/>
          <w:i/>
          <w:iCs/>
          <w:color w:val="000000"/>
          <w:lang w:val="en-GB"/>
        </w:rPr>
        <w:t>inzestuöse</w:t>
      </w:r>
      <w:r w:rsidRPr="005C67C8">
        <w:rPr>
          <w:rFonts w:ascii="Garamond" w:hAnsi="Garamond" w:cs="Arial"/>
          <w:color w:val="000000"/>
          <w:lang w:val="en-GB"/>
        </w:rPr>
        <w:t>, um den technischen Namen zu gebrauchen, so hat sie gewiß wieder die heiligsten Gefühle der Menschheit gekränkt und darf auf das entsprechende Ausmaß von Unglauben, Widerspruch und Anklage gefaßt sein. Die sind ihr auch reichlich zuteil geworden. Nichts anderes hat ihr in der Gunst der Zeitgenossen mehr geschadet als die Aufstellung des Ödipuskomplexes als einer allgemein menschlichen, schicksalgebundenen Formation. Der griechische Mythus muß allerdings dasselbe gemeint haben, aber die Überzahl der heutigen Menschen, gelehrter wie ungelehrter, zieht es vor zu glauben, daß die Natur einen angeborenen Abscheu als Schutz gegen die Inzestmöglichkeit eingesetzt hat.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Zunächst soll uns die Geschichte zu Hilfe kommen. Als G. Julius Cäsar Ägypten betrat, fand er die jugendliche Königin Kleopatra, die ihm bald so bedeutungsvoll werden sollte, vermählt mit ihrem noch jüngeren Bruder Ptolemäus. Das war in der ägyptischen Dynastie nichts Besonderes; die ursprünglich griechischen Ptolemäer hatten nur den Brauch fortgesetzt, den seit einigen Jahrtausenden ihre Vorgänger, die alten Pharaonen, geübt hatten. Aber das ist ja nur Geschwisterinzest, der noch in der Jetztzeit milder beurteilt wird. </w:t>
      </w:r>
      <w:r w:rsidRPr="005C67C8">
        <w:rPr>
          <w:rFonts w:ascii="Garamond" w:hAnsi="Garamond" w:cs="Arial"/>
          <w:color w:val="000000"/>
        </w:rPr>
        <w:t xml:space="preserve">Wenden wir uns darum an unsere Kronzeugin für die Verhältnisse der Urzeit, die Mythologie. </w:t>
      </w:r>
      <w:r w:rsidRPr="005C67C8">
        <w:rPr>
          <w:rFonts w:ascii="Garamond" w:hAnsi="Garamond" w:cs="Arial"/>
          <w:color w:val="000000"/>
          <w:lang w:val="en-GB"/>
        </w:rPr>
        <w:t>Sie hat uns zu berichten, daß die Mythen aller Völker, nicht nur der Griechen, überreich sind an Liebesbeziehungen zwischen Vater und Tochter und selbst Mutter und Sohn. Die Kosmologie wie die Genealogie der königlichen Geschlechter ist auf dem Inzest begründet. In welcher Absicht, meinen Sie, sind diese Dichtungen geschaffen worden? Um Götter und Könige als Verbrecher zu brandmarken, den Abscheu des Menschengeschlechts auf sie zu lenken? Eher doch, weil die Inzestwünsche uraltes menschliches Erbgut sind und niemals völlig überwunden wurden, so daß man ihre Erfüllung den Göttern und ihren Abkömmlingen noch gönnte, als die Mehrheit der gewöhnlichen Menschenkinder bereits darauf verzichten mußte. Im vollsten Einklang mit diesen Lehren der Geschichte und der Mythologie finden wir den Inzestwunsch in der Kindheit des einzelnen noch heute vorhanden und wirksam.</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könnte es Ihnen übelnehmen, daß Sie mir all das über die kindliche Sexualität vorenthalten wollten. Es scheint mir gerade wegen seiner Beziehungen zur menschlichen Urgeschichte sehr interessant.«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fürchtete, es würde uns zu weit von unserer Absicht abführen. Aber vielleicht wird es doch seinen Vorteil haben.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lastRenderedPageBreak/>
        <w:t>»Nun sagen Sie mir aber, welche Sicherheit haben Sie für Ihre analytischen Resultate über das Sexualleben der Kinder zu geben? Ruht Ihre Überzeugung allein auf den Übereinstimmungen mit Mythologie und Historie?«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Oh, keineswegs. Sie ruht auf unmittelbarer Beobachtung. Es ging so zu: Wir hatten zunächst den Inhalt der sexuellen Kindheit aus den Analysen Erwachsener, also zwanzig bis vierzig Jahre später, erschlossen. Später haben wir die Analysen an den Kindern selbst unternommen, und es war kein geringer Triumph, als sich an ihnen alles so bestätigen ließ, wie wir es trotz der Überlagerungen und Entstellungen der Zwischenzeit erraten hatten.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»Wie, Sie haben kleine Kinder in Analyse genommen, Kinder im Alter vor sechs Jahren? Geht das überhaupt, und ist es nicht für diese Kinder recht bedenklich?«</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Es geht sehr gut. Es ist kaum zu glauben, was in einem solchen Kind von vier bis fünf Jahren schon alles vorgeht. Die Kinder sind geistig sehr regsam in diesem Alter, die sexuelle Frühzeit ist für sie auch eine intellektuelle Blüteperiode. Ich habe den Eindruck, daß sie mit dem Eintritt in die Latenzzeit auch geistig gehemmt, dümmer, werden. Viele Kinder verlieren auch von da an ihren körperlichen Reiz. Und was den Schaden der Frühanalyse betrifft, so kann ich Ihnen berichten, daß das erste Kind, an dem dies Experiment vor nahezu zwanzig Jahren gewagt wurde, seither ein gesunder und leistungsfähiger junger Mann geworden ist, der seine Pubertät trotz schwerer psychischer Traumen klaglos durchgemacht hat. Den anderen »Opfern« der Frühanalyse wird es hoffentlich nicht schlechter ergehen. An diese Kinderanalysen knüpfen sich mancherlei Interessen; es ist möglich, daß sie in der Zukunft zu noch größerer Bedeutung kommen werden. Ihr Wert für die Theorie steht ja außer Frage. Sie geben unzweideutige Auskünfte über Fragen, die in den Analysen Erwachsener unentschieden bleiben, und schützen den Analytiker so vor Irrtümern, die für ihn folgenschwer wären. Man überrascht eben die Momente, welche die Neurose gestalten, bei ihrer Arbeit und kann sie nicht verkennen. Im Interesse des Kindes muß allerdings die analytische Beeinflussung mit erzieherischen Maßnahmen verquickt werden. Diese Technik harrt noch ihrer Ausgestaltung. Ein praktisches Interesse wird aber durch die Beobachtung geweckt, daß eine sehr große Anzahl unserer Kinder in ihrer Entwicklung eine deutlich neurotische Phase durchmachen. Seitdem wir schärfer zu sehen verstehen, sind wir versucht zu sagen, die Kinderneurose sei nicht die Ausnahme, sondern die Regel, als ob sie sich auf dem Weg von der infantilen Anlage bis zur gesellschaftlichen Kultur kaum vermeiden ließe. In den meisten Fällen wird diese neurotische Anwandlung der Kinderjahre spontan überwunden; ob sie nicht doch regelmäßig ihre Spuren auch beim durchschnittlich Gesunden hinterläßt? Hingegen vermissen wir bei keinem der späteren Neurotiker die Anknüpfung an die kindliche Erkrankung, die ihrerzeit nicht sehr auffällig gewesen zu sein braucht. In ganz analoger Weise, glaube ich, behaupten heute die Internisten, daß jeder Mensch einmal in seiner Kindheit eine Erkrankung an Tuberkulose durchgemacht hat. Für die Neurosen kommt allerdings der Gesichtspunkt der Impfung nicht in Betracht, nur der der Prädisposition.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will zu Ihrer Frage nach den Sicherheiten zurückkehren. Wir haben uns also ganz allgemein durch die direkte analytische Beobachtung der Kinder überzeugt, daß wir die Mitteilungen der Erwachsenen über ihre Kinderzeit richtig gedeutet hatten. In einer Reihe von Fällen ist uns aber noch eine andere Art der Bestätigung möglich geworden. Wir hatten aus dem Material der Analyse gewisse äußere Vorgänge, eindrucksvolle Ereignisse der Kinderjahre rekonstruiert, von denen die bewußte Erinnerung der Kranken nichts bewahrt hatte, und glückliche Zufälle, Erkundigungen bei Eltern und Pflegepersonen haben uns dann den unwiderleglichen Beweis erbracht, daß diese erschlossenen Begebenheiten sich wirklich so zugetragen hatten. Das gelang natürlich nicht sehr oft, aber wo es eintraf, machte es einen überwältigenden Eindruck. Sie müssen wissen, die richtige Rekonstruktion solcher vergessenen Kindererlebnisse hat immer einen großen therapeutischen Effekt, ob sie nun eine objektive Bestätigung zulassen oder nicht. Ihre Bedeutung verdanken diese Begebenheiten natürlich dem Umstand, daß sie so früh vorgefallen sind, zu einer Zeit, da sie auf das schwächliche Ich noch traumatisch wirken konnten.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»Um was für Ereignisse kann es sich da handeln, die man durch die Analyse aufzufinden hat?«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Um Verschiedenartiges. In erster Linie um Eindrücke, die imstande waren, das keimende Sexualleben des Kindes dauernd zu beeinflussen, wie Beobachtungen geschlechtlicher Vorgänge zwischen Erwachsenen oder eigene sexuelle Erfahrungen mit einem Erwachsenen oder einem anderen Kind – gar nicht so seltene Vorfälle –, des weiteren um Mitanhören von Gesprächen, die das Kind damals oder erst nachträglich verstand, aus denen es Aufschluß über geheimnisvolle oder unheimliche Dinge zu entnehmen glaubte, </w:t>
      </w:r>
      <w:r w:rsidRPr="005C67C8">
        <w:rPr>
          <w:rFonts w:ascii="Garamond" w:hAnsi="Garamond" w:cs="Arial"/>
          <w:color w:val="000000"/>
          <w:lang w:val="en-GB"/>
        </w:rPr>
        <w:lastRenderedPageBreak/>
        <w:t>ferner Äußerungen und Handlungen des Kindes selbst, die eine bedeutsame zärtliche oder feindselige Einstellung desselben gegen andere Personen beweisen. Eine besondere Wichtigkeit hat es in der Analyse, die vergessene eigene Sexualbetätigung des Kindes erinnern zu lassen und dazu die Einmengung der Erwachsenen, welche derselben ein Ende setzte.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ist jetzt für mich der Anlaß, eine Frage vorzubringen, die ich längst stellen wollte. Worin besteht also die ›Sexualbetätigung‹ des Kindes während dieser Frühzeit, die man, wie Sie sagen, vor der Zeit der Analyse übersehen hatte?«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Regelmäßige und Wesentliche an dieser Sexualbetätigung hatte man merkwürdigerweise doch nicht übersehen; d. h. es ist gar nicht merkwürdig, es war eben nicht zu übersehen. Die sexuellen Regungen des Kindes finden ihren hauptsächlichsten Ausdruck in der Selbstbefriedigung durch Reizung der eigenen Genitalien, in Wirklichkeit des männlichen Anteils derselben. Die außerordentliche Verbreitung dieser kindlichen »Unart« war den Erwachsenen immer bekannt, diese selbst wurde als schwere Sünde betrachtet und strenge verfolgt. Wie man diese Beobachtung von den unsittlichen Neigungen der Kinder – denn die Kinder tun dies, wie sie selbst sagen, weil es ihnen Vergnügen macht – mit der Theorie von ihrer angeborenen Reinheit und Unsinnlichkeit vereinigen konnte, danach fragen Sie mich nicht. Dieses Rätsel lassen Sie sich von der Gegenseite aufklären. Für uns stellt sich ein wichtigeres Problem her. Wie soll man sich gegen die Sexualbetätigung der frühen Kindheit verhalten? Man kennt die Verantwortlichkeit, die man durch ihre Unterdrückung auf sich nimmt, und getraut sich doch nicht, sie uneingeschränkt gewähren zu lassen. Bei Völkern niedriger Kultur und in den unteren Schichten der Kulturvölker scheint die Sexualität der Kinder freigegeben zu sein. Damit ist wahrscheinlich ein starker Schutz gegen die spätere Erkrankung an individuellen Neurosen erzielt worden, aber nicht auch gleichzeitig eine außerordentliche Einbuße an der Eignung zu kulturellen Leistungen? Manches spricht dafür, daß wir hier vor einer neuen Scylla und Charybdis stehen.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Ob aber die Interessen, die durch das Studium des Sexuallebens bei den Neurotikern angeregt werden, eine für die Erweckung der Lüsternheit günstige Atmosphäre schaffen, getraue ich mich doch Ihrem eigenen Urteil zu überlassen.</w:t>
      </w:r>
    </w:p>
    <w:p w:rsidR="005D30C2" w:rsidRPr="005C67C8" w:rsidRDefault="00B437A1" w:rsidP="005D30C2">
      <w:pPr>
        <w:shd w:val="clear" w:color="auto" w:fill="FFFFFF"/>
        <w:spacing w:before="221" w:after="44" w:line="306" w:lineRule="atLeast"/>
        <w:outlineLvl w:val="3"/>
        <w:rPr>
          <w:rFonts w:ascii="Garamond" w:hAnsi="Garamond" w:cs="Arial"/>
          <w:b/>
          <w:bCs/>
          <w:color w:val="000000"/>
          <w:lang w:val="en-GB"/>
        </w:rPr>
      </w:pPr>
      <w:hyperlink w:anchor="Laienanalyse_INHALT" w:history="1">
        <w:r w:rsidR="005D30C2" w:rsidRPr="005C67C8">
          <w:rPr>
            <w:rStyle w:val="Lienhypertexte"/>
            <w:rFonts w:ascii="Garamond" w:hAnsi="Garamond" w:cs="Arial"/>
            <w:b/>
            <w:bCs/>
            <w:lang w:val="en-GB"/>
          </w:rPr>
          <w:t>Te</w:t>
        </w:r>
        <w:bookmarkStart w:id="323" w:name="Laienanalyse_5"/>
        <w:bookmarkEnd w:id="323"/>
        <w:r w:rsidR="005D30C2" w:rsidRPr="005C67C8">
          <w:rPr>
            <w:rStyle w:val="Lienhypertexte"/>
            <w:rFonts w:ascii="Garamond" w:hAnsi="Garamond" w:cs="Arial"/>
            <w:b/>
            <w:bCs/>
            <w:lang w:val="en-GB"/>
          </w:rPr>
          <w:t>il V</w:t>
        </w:r>
      </w:hyperlink>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glaube, Ihre Absicht zu verstehen. Sie wollen mir zeigen, was für Kenntnisse man für die Ausübung der Analyse braucht, damit ich urteilen kann, ob der Arzt allein zu ihr berechtigt sein soll. Nun, bisher ist wenig Ärztliches vorgekommen, viel Psychologie und ein Stück Biologie oder Sexualwissenschaft. Aber vielleicht haben wir noch nicht das Ende gesehen?«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Gewiß nicht, es bleiben noch Lücken auszufüllen. Darf ich Sie um etwas bitten? Wollen Sie mir schildern, wie Sie sich jetzt eine analytische Behandlung vorstellen? So, als ob Sie sie selbst vorzunehmen hätten?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»Nun, das kann gut werden. Ich habe wirklich nicht die Absicht, unsere Streitfrage durch ein solches Experiment zu entscheiden. Aber ich will Ihnen den Gefallen tun, die Verantwortlichkeit fiele ja auf Sie. Also ich nehme an, der Kranke kommt zu mir und beklagt sich über seine Beschwerden. Ich verspreche ihm Heilung oder Besserung, wenn er meinen Anweisungen folgen will. Ich fordere ihn auf, mir in vollster Aufrichtigkeit alles zu sagen, was er weiß und was ihm einfällt, und sich von diesem Vorsatz nicht abhalten zu lassen, auch wenn manches ihm zu sagen unangenehm sein sollte. Habe ich mir diese Regel gut gemerkt?«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Ja, Sie sollten noch hinzufügen, auch wenn er meint, daß das, was ihm einfällt, unwichtig oder unsinnig ist.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»Auch das. Dann beginnt er zu erzählen, und ich höre zu. Ja und dann? Aus seinen Mitteilungen errate ich, was er für Eindrücke, Erlebnisse, Wunschregungen verdrängt hat, weil sie ihm zu einer Zeit entgegengetreten sind, da sein Ich noch schwach war und sich vor ihnen fürchtete, anstatt sich mit ihnen abzugeben. Wenn er das von mir erfahren hat, versetzt er sich in die Situationen von damals und macht es jetzt mit meiner Hilfe besser. Dann verschwinden die Einschränkungen, zu denen sein Ich genötigt war, und er ist hergestellt. Ist es so recht?«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Bravo, bravo! Ich sehe, man wird mir wieder den Vorwurf machen können, daß ich einen Nichtarzt zum Analytiker ausgebildet habe. Sie haben sich das sehr gut zu eigen gemacht.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lastRenderedPageBreak/>
        <w:t>»Ich habe nur wiederholt, was ich von Ihnen gehört habe, wie wenn man etwas Auswendiggelerntes hersagt. Ich kann mir ja doch nicht vorstellen, wie ich's machen würde, und verstehe gar nicht, warum eine solche Arbeit so viele Monate hindurch täglich eine Stunde brauchen sollte. Ein gewöhnlicher Mensch hat doch in der Regel nicht soviel erlebt, und was in der Kindheit verdrängt wird, das ist doch wahrscheinlich in allen Fällen das nämliche.«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Man lernt noch allerlei bei der wirklichen Ausübung der Analyse. Zum Beispiel: Sie würden es gar nicht so einfach finden, aus den Mitteilungen, die der Patient macht, auf die Erlebnisse zu schließen, die er vergessen, die Triebregungen, die er verdrängt hat. Er sagt Ihnen irgend etwas, was zunächst für Sie ebensowenig Sinn hat wie für ihn. Sie werden sich entschließen müssen, das Material, das Ihnen der Analysierte im Gehorsam gegen die Regel liefert, in einer ganz besonderen Weise aufzufassen. Etwa wie ein Erz, dem der Gehalt an wertvollem Metall durch bestimmte Prozesse abzugewinnen ist. Sie sind dann auch vorbereitet, viele Tonnen Erz zu verarbeiten, die vielleicht nur wenig von dem gesuchten kostbaren Stoff enthalten. Hier wäre die erste Begründung für die Weitläufigkeit der Kur.</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»Wie verarbeitet man aber diesen Rohstoff, um in Ihrem Gleichnis zu bleiben?«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Indem man annimmt, daß die Mitteilungen und Einfälle des Kranken nur Entstellungen des Gesuchten sind, gleichsam Anspielungen, aus denen Sie zu erraten haben, was sich dahinter verbirgt. Mit einem Wort, Sie müssen dieses Material, seien es Erinnerungen, Einfälle oder Träume, erst </w:t>
      </w:r>
      <w:r w:rsidRPr="005C67C8">
        <w:rPr>
          <w:rFonts w:ascii="Garamond" w:hAnsi="Garamond" w:cs="Arial"/>
          <w:i/>
          <w:iCs/>
          <w:color w:val="000000"/>
          <w:lang w:val="en-GB"/>
        </w:rPr>
        <w:t>deuten</w:t>
      </w:r>
      <w:r w:rsidRPr="005C67C8">
        <w:rPr>
          <w:rFonts w:ascii="Garamond" w:hAnsi="Garamond" w:cs="Arial"/>
          <w:color w:val="000000"/>
          <w:lang w:val="en-GB"/>
        </w:rPr>
        <w:t>. Das geschieht natürlich mit Hinblick auf die Erwartungen, die sich in Ihnen dank Ihrer Sachkenntnis, während Sie zuhörten, gebildet haben.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»Deuten! Das ist ein garstiges Wort. Das höre ich nicht gerne, damit bringen Sie mich um alle Sicherheit. Wenn alles von meiner Deutung abhängt, wer steht mir dafür ein, daß ich richtig deute? Dann ist doch alles meiner Willkür überlassen.«</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lang w:val="en-GB"/>
        </w:rPr>
        <w:t xml:space="preserve">Gemach, es steht nicht so schlimm. Warum wollen Sie Ihre eigenen seelischen Vorgänge von der Gesetzmäßigkeit ausnehmen, die Sie für die des anderen anerkennen? Wenn Sie eine gewisse Selbstzucht gewonnen haben und über bestimmte Kenntnisse verfügen, werden Ihre Deutungen von Ihren persönlichen Eigenheiten unbeeinflußt sein und das Richtige treffen. Ich sage nicht, daß für diesen Teil der Aufgabe die Persönlichkeit des Analytikers gleichgiltig ist. Es kommt eine gewisse Feinhörigkeit für das unbewußte Verdrängte in Betracht, von der nicht jeder das gleiche Maß besitzt. Und vor allem knüpft hier die Verpflichtung für den Analytiker an, sich durch tiefreichende eigene Analyse für die vorurteilslose Aufnahme des analytischen Materials tauglich zu machen. Eines bleibt freilich übrig, was der »persönlichen Gleichung« bei astronomischen Beobachtungen gleichzusetzen ist; dies individuelle Moment wird in der Psychoanalyse immer eine größere Rolle spielen als anderswo. Ein abnormer Mensch mag ein korrekter Physiker werden können, als Analytiker wird er durch seine eigene Abnormität behindert sein, die Bilder des seelischen Lebens ohne Verzerrung zu erfassen. Da man niemand seine Abnormität beweisen kann, wird eine allgemeine Übereinstimmung in den Dingen der Tiefenpsychologie besonders schwer zu erreichen sein. </w:t>
      </w:r>
      <w:r w:rsidRPr="005C67C8">
        <w:rPr>
          <w:rFonts w:ascii="Garamond" w:hAnsi="Garamond" w:cs="Arial"/>
          <w:color w:val="000000"/>
        </w:rPr>
        <w:t>Manche Psychologen meinen sogar, dies sei ganz aussichtslos und jeder Narr habe das gleiche Recht, seine Narrheit für Weisheit auszugeben. Ich bekenne, ich bin hierin optimistischer. Unsere Erfahrungen zeigen doch, daß auch in der Psychologie ziemlich befriedigende Übereinstimmungen zu erreichen sind. Jedes Forschungsgebiet hat eben seine besondere Schwierigkeit, die zu eliminieren wir uns bemühen müssen. Übrigens ist auch in der Deutungskunst der Analyse manches wie ein anderer Wissensstoff zu erlernen, zum Beispiel, was mit der eigentümlichen indirekten Darstellung durch Symbole zusammenhängt.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»Nun, ich habe keine Lust mehr, auch nur in Gedanken eine analytische Behandlung zu unternehmen. Wer weiß, was für Überraschungen da noch auf mich warten würden.«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Sie tun recht daran, eine solche Absicht aufzugeben. </w:t>
      </w:r>
      <w:r w:rsidRPr="005C67C8">
        <w:rPr>
          <w:rFonts w:ascii="Garamond" w:hAnsi="Garamond" w:cs="Arial"/>
          <w:color w:val="000000"/>
          <w:lang w:val="en-GB"/>
        </w:rPr>
        <w:t>Sie merken, wieviel Schulung und Übung noch erforderlich wäre. Wenn Sie die richtigen Deutungen gefunden haben, stellt sich eine neue Aufgabe her. Sie müssen den richtigen Moment abwarten, um dem Patienten Ihre Deutung mit Aussicht auf Erfolg mitzuteilen.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»Woran erkennt man jedesmal den richtigen Moment?«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Das ist Sache eines Takts, der durch Erfahrung sehr verfeinert werden kann. Sie begehen einen schweren Fehler, wenn Sie etwa im Bestreben, die Analyse zu verkürzen, dem Patienten Ihre Deutungen an den Kopf werfen, sobald Sie sie gefunden haben. Sie erzielen damit bei ihm Äußerungen von Widerstand, </w:t>
      </w:r>
      <w:r w:rsidRPr="005C67C8">
        <w:rPr>
          <w:rFonts w:ascii="Garamond" w:hAnsi="Garamond" w:cs="Arial"/>
          <w:color w:val="000000"/>
          <w:lang w:val="en-GB"/>
        </w:rPr>
        <w:lastRenderedPageBreak/>
        <w:t>Ablehnung, Entrüstung, erreichen es aber nicht, daß sein Ich sich des Verdrängten bemächtigt. Die Vorschrift ist zu warten, bis er sich diesem so weit angenähert hat, daß er unter der Anleitung Ihres Deutungsvorschlages nur noch wenige Schritte zu machen braucht.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»Ich glaube, das würde ich nie erlernen. </w:t>
      </w:r>
      <w:r w:rsidRPr="005C67C8">
        <w:rPr>
          <w:rFonts w:ascii="Garamond" w:hAnsi="Garamond" w:cs="Arial"/>
          <w:color w:val="000000"/>
          <w:lang w:val="en-GB"/>
        </w:rPr>
        <w:t>Und wenn ich diese Vorsichten bei der Deutung befolgt habe, was dann?«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Dann ist es Ihnen bestimmt, eine Entdeckung zu machen, auf die Sie nicht vorbereitet sind.</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»Die wäre?«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Daß Sie sich in Ihrem Patienten getäuscht haben, daß Sie gar nicht auf seine Mithilfe und Gefügigkeit rechnen dürfen, daß er bereit ist, der gemeinsamen Arbeit alle möglichen Schwierigkeiten in den Weg zu legen, mit einem Wort: daß er überhaupt nicht gesund werden will.</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»Nein, das ist das Tollste, das Sie mir bisher erzählt haben! Ich glaube es auch nicht. Der Kranke, der so schwer leidet, der so ergreifend über seine Beschwerden klagt, der so große Opfer für die Behandlung bringt, der soll nicht gesund werden wollen! Sie meinen es auch gewiß nicht so.«</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Fassen Sie sich, ich meine es. Was ich sagte, ist die Wahrheit, nicht die ganze freilich, aber ein sehr beachtenswertes Stück derselben. Der Kranke will allerdings gesund werden, aber er will es auch nicht. Sein Ich hat seine Einheit verloren, darum bringt er auch keinen einheitlichen Willen auf. Er wäre kein Neurotiker, wenn er anders wäre.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»›Wär' ich besonnen, hieß ich nicht der Tell‹.«</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Die Abkömmlinge des Verdrängten sind in sein Ich durchgebrochen, behaupten sich darin, und über die Strebungen dieser Herkunft hat das Ich sowenig Herrschaft wie über das Verdrängte selbst, weiß auch für gewöhnlich nichts von ihnen. Diese Kranken sind eben von einer besonderen Art und machen Schwierigkeiten, mit denen wir nicht zu rechnen gewohnt sind. Alle unsere sozialen Institutionen sind auf Personen mit einheitlichem, normalem Ich zugeschnitten, das man als gut oder böse klassifizieren kann, das entweder seine Funktion versieht oder durch einen übermächtigen Einfluß ausgeschaltet ist. Daher die gerichtliche Alternative: verantwortlich oder unverantwortlich. Auf die Neurotiker passen alle diese Entscheidungen nicht. Man muß gestehen, es ist schwer, die sozialen Anforderungen ihrem psychologischen Zustand anzupassen. Im großen Maßstab hat man das im letzten Krieg erfahren. Waren die Neurotiker, die sich dem Dienst entzogen, Simulanten oder nicht? Sie waren beides. Wenn man sie wie Simulanten behandelte und ihnen das Kranksein recht unbehaglich machte, wurden sie gesund; wenn man die angeblich Hergestellten in den Dienst schickte, flüchteten sie prompt wieder in die Krankheit. Es war mit ihnen nichts anzufangen. Und das nämliche ist mit den Neurotikern des zivilen Lebens. Sie klagen über ihre Krankheit, aber sie nützen sie nach Kräften aus, und wenn man sie ihnen nehmen will, verteidigen sie sie wie die sprichwörtliche Löwin ihr Junges, ohne daß es einen Sinn hätte, ihnen aus diesem Widerspruch einen Vorwurf zu machen.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»Aber, wäre es dann nicht das beste, wenn man diese schwierigen Leute gar nicht behandelte, sondern sich selbst überließe? Ich kann nicht glauben, daß es der Mühe lohnt, auf jeden einzelnen dieser Kranken so viel Anstrengung zu verwenden, wie ich nach Ihren Andeutungen annehmen muß.«</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kann Ihren Vorschlag nicht gutheißen. Es ist gewiß richtiger, die Komplikationen des Lebens zu akzeptieren, anstatt sich gegen sie zu sträuben. Nicht jeder der Neurotiker, den wir behandeln, mag des Aufwands der Analyse würdig sein, aber es sind doch auch sehr wertvolle Personen unter ihnen. Wir müssen uns das Ziel setzen, zu erreichen, daß möglichst wenig menschliche Individuen mit so mangelhafter seelischer Ausrüstung dem Kulturleben entgegentreten, und darum müssen wir viel Erfahrungen sammeln, viel verstehen lernen. Jede Analyse kann instruktiv sein, uns Gewinn an neuen Aufklärungen bringen, ganz abgesehen vom persönlichen Wert der einzelnen Kranken.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»Wenn sich aber im Ich des Kranken eine Willensregung gebildet hat, welche die Krankheit behalten will, so muß sich diese auch auf Gründe und Motive berufen, sich durch etwas rechtfertigen können. Es ist aber gar nicht einzusehen, wozu ein Mensch krank sein wollte, was er davon hat.«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O doch, das liegt nicht so ferne. Denken Sie an die Kriegsneurotiker, die eben keinen Dienst zu leisten brauchen, weil sie krank sind. Im bürgerlichen Leben kann die Krankheit als Schutz gebraucht werden, um seine Unzulänglichkeit im Beruf und in der Konkurrenz mit anderen zu beschönigen, in der Familie als </w:t>
      </w:r>
      <w:r w:rsidRPr="005C67C8">
        <w:rPr>
          <w:rFonts w:ascii="Garamond" w:hAnsi="Garamond" w:cs="Arial"/>
          <w:color w:val="000000"/>
          <w:lang w:val="en-GB"/>
        </w:rPr>
        <w:lastRenderedPageBreak/>
        <w:t>Mittel, um die anderen zu Opfern und Liebesbeweisen zu zwingen oder ihnen seinen Willen aufzunötigen. Das liegt alles ziemlich oberflächlich, wir fassen es als »Krankheitsgewinn« zusammen; merkwürdig ist nur, daß der Kranke, sein Ich, von der ganzen Verkettung solcher Motive mit seinen folgerichtigen Handlungen doch nichts weiß. Man bekämpft den Einfluß dieser Strebungen, indem man das Ich nötigt, von ihnen Kenntnis zu nehmen. Es gibt aber noch andere, tieferliegende Motive, am Kranksein festzuhalten, mit denen man nicht so leicht fertig wird. Ohne einen neuen Ausflug in die psychologische Theorie kann man diese letzteren aber nicht verstehen.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»Erzählen Sie nur weiter, auf ein bißchen Theorie mehr kommt es jetzt schon nicht an.«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Als ich Ihnen das Verhältnis von Ich und Es auseinandersetzte, habe ich Ihnen ein wichtiges Stück der Lehre vom seelischen Apparat unterschlagen. Wir waren nämlich gezwungen anzunehmen, daß sich im Ich selbst eine besondere Instanz differenziert hat, die wir das Über-Ich heißen. Dieses Über-Ich hat eine besondere Stellung zwischen dem Ich und dem Es. Es gehört dem Ich an, teilt dessen hohe psychologische Organisation, steht aber in besonders inniger Beziehung zum Es. Es ist in Wirklichkeit der Niederschlag der ersten Objektbesetzungen des Es, der Erbe des Ödipuskomplexes nach dessen Auflassung. Dieses Über-Ich kann sich dem Ich gegenüberstellen, es wie ein Objekt behandeln und behandelt es oft sehr hart. Es ist für das Ich ebenso wichtig, mit dem Über-Ich im Einvernehmen zu bleiben, wie mit dem Es. Entzweiungen zwischen Ich und Über-Ich haben eine große Bedeutung für das Seelenleben. Sie erraten schon, daß das Über-Ich der Träger jenes Phänomens ist, das wir Gewissen heißen. Für die seelische Gesundheit kommt sehr viel darauf an, daß das Über-Ich normal ausgebildet, das heißt genügend unpersönlich geworden sei. Gerade das ist beim Neurotiker, dessen Ödipuskomplex nicht die richtige Umwandlung erfahren hat, nicht der Fall. Sein Über-Ich steht dem Ich noch immer gegenüber wie der strenge Vater dem Kind, und seine Moralität betätigt sich in primitiver Weise darin, daß sich das Ich vom Über-Ich bestrafen läßt. Die Krankheit wird als Mittel dieser »Selbstbestrafung« verwendet, der Neurotiker muß sich so benehmen, als beherrschte ihn ein Schuldgefühl, welches zu seiner Befriedigung der Krankheit als Strafe bedarf.</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klingt wirklich sehr geheimnisvoll. Das Merkwürdigste daran ist, daß dem Kranken auch diese Macht seines Gewissens nicht zum Bewußtsein kommen soll.«</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Ja, wir fangen erst an, die Bedeutung all dieser wichtigen Verhältnisse zu würdigen. Deshalb mußte meine Darstellung so dunkel geraten. Ich kann nun fortsetzen. Wir heißen alle die Kräfte, die sich der Genesungsarbeit widersetzen, die »Widerstände« des Kranken. Der Krankheitsgewinn ist die Quelle eines solchen Widerstandes, das »unbewußte Schuldgefühl« repräsentiert den Widerstand des Über-Ichs, es ist der mächtigste und von uns gefürchtetste Faktor. Wir treffen in der Kur noch mit anderen Widerständen zusammen. Wenn das Ich in der Frühzeit aus Angst eine Verdrängung vorgenommen hat, so besteht diese Angst noch fort und äußert sich nun als ein Widerstand, wenn das Ich an das Verdrängte herangehen soll. Endlich kann man sich vorstellen, daß es nicht ohne Schwierigkeiten abgeht, wenn ein Triebvorgang, der durch Dezennien einen bestimmten Weg gegangen ist, plötzlich den neuen Weg gehen soll, den man ihm eröffnet hat. Das könnte man den Widerstand des Es heißen. Der Kampf gegen alle diese Widerstände ist unsere Hauptarbeit während der analytischen Kur, die Aufgabe der Deutungen verschwindet dagegen. Durch diesen Kampf und die Überwindung der Widerstände wird aber auch das Ich des Kranken so verändert und gestärkt, daß wir seinem zukünftigen Verhalten nach Beendigung der Kur mit Ruhe entgegensehen dürfen. Anderseits verstehen Sie jetzt, wozu wir die lange Behandlungsdauer brauchen. Die Länge des Entwicklungsweges und die Reichhaltigkeit des Materials sind nicht das Entscheidende. Es kommt mehr darauf an, ob der Weg frei ist. Auf einer Strecke, die man in Friedenszeiten in ein paar Eisenbahnstunden durchfliegt, kann eine Armee wochenlang aufgehalten sein, wenn sie dort den Widerstand des Feindes zu überwinden hat. Solche Kämpfe verbrauchen Zeit auch im seelischen Leben. Ich muß leider konstatieren, alle Bemühungen, die analytische Kur ausgiebig zu beschleunigen, sind bisher gescheitert. Der beste Weg zu ihrer Abkürzung scheint ihre korrekte Durchführung zu sein.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»Wenn ich je Lust verspürt hätte, Ihnen ins Handwerk zu pfuschen und selbst eine Analyse an einem anderen zu versuchen, Ihre Mitteilungen über die Widerstände würden mich davon geheilt haben. Aber wie steht es mit dem besonderen persönlichen Einfluß, den Sie doch zugestanden haben? Kommt der nicht gegen die Widerstände auf?«</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Es ist gut, daß Sie jetzt danach fragen. Dieser persönliche Einfluß ist unsere stärkste dynamische Waffe, er ist dasjenige, was wir neu in die Situation einführen und wodurch wir sie in Fluß bringen. Der </w:t>
      </w:r>
      <w:r w:rsidRPr="005C67C8">
        <w:rPr>
          <w:rFonts w:ascii="Garamond" w:hAnsi="Garamond" w:cs="Arial"/>
          <w:color w:val="000000"/>
          <w:lang w:val="en-GB"/>
        </w:rPr>
        <w:lastRenderedPageBreak/>
        <w:t>intellektuelle Gehalt unserer Aufklärungen kann das nicht leisten, denn der Kranke, der alle Vorurteile der Umwelt teilt, brauchte uns sowenig zu glauben wie unsere wissenschaftlichen Kritiker. Der Neurotiker macht sich an die Arbeit, weil er dem Analytiker Glauben schenkt, und er glaubt ihm, weil er eine besondere Gefühlseinstellung zu der Person des Analytikers gewinnt. Auch das Kind glaubt nur jenen Menschen, denen es anhängt. Ich sagte Ihnen schon, wozu wir diesen besonders großen »suggestiven« Einfluß verwenden. Nicht zur Unterdrückung der Symptome – das unterscheidet die analytische Methode von anderen Verfahren der Psychotherapie –, sondern als Triebkraft, um das Ich des Kranken zur Überwindung seiner Widerstände zu veranlassen.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»Nun, und wenn das gelingt, geht dann nicht alles glatt?«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Ja, es sollte. Aber es stellt sich eine unerwartete Komplikation heraus. Es war vielleicht die größte Überraschung für den Analytiker, daß die Gefühlsbeziehung, die der Kranke zu ihm annimmt, von einer ganz eigentümlichen Natur ist. Schon der erste Arzt, der eine Analyse versuchte – es war nicht ich –, ist auf dieses Phänomen gestoßen – und an ihm irre geworden. Diese Gefühlsbeziehung ist nämlich – um es klar herauszusagen – von der Natur einer Verliebtheit. Merkwürdig, nicht wahr? Wenn Sie überdies in Betracht ziehen, daß der Analytiker nichts dazu tut, sie zu provozieren, daß er im Gegenteil sich eher menschlich vom Patienten fernhält, seine eigene Person mit einer gewissen Reserve umgibt. Und wenn Sie ferner erfahren, daß diese sonderbare Liebesbeziehung von allen anderen realen Begünstigungen absieht, sich über alle Variationen der persönlichen Anziehung, des Alters, Geschlechts und Standes hinaussetzt. Diese Liebe ist direkt </w:t>
      </w:r>
      <w:r w:rsidRPr="005C67C8">
        <w:rPr>
          <w:rFonts w:ascii="Garamond" w:hAnsi="Garamond" w:cs="Arial"/>
          <w:i/>
          <w:iCs/>
          <w:color w:val="000000"/>
          <w:lang w:val="en-GB"/>
        </w:rPr>
        <w:t>zwangsläufig</w:t>
      </w:r>
      <w:r w:rsidRPr="005C67C8">
        <w:rPr>
          <w:rFonts w:ascii="Garamond" w:hAnsi="Garamond" w:cs="Arial"/>
          <w:color w:val="000000"/>
          <w:lang w:val="en-GB"/>
        </w:rPr>
        <w:t>. Nicht, daß dieser Charakter der spontanen Verliebtheit sonst fremd bleiben müßte. Sie wissen, das Gegenteil kommt oft genug vor, aber in der analytischen Situation stellt er sich ganz regelmäßig her, ohne doch in ihr eine rationelle Erklärung zu finden. Man sollte meinen, aus dem Verhältnis des Patienten zum Analytiker brauchte sich für den ersteren nicht mehr zu ergeben als ein gewisses Maß von Respekt, Zutrauen, Dankbarkeit und menschlicher Sympathie. Anstatt dessen diese Verliebtheit, die selbst den Eindruck einer krankhaften Erscheinung macht.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»Nun, ich sollte meinen, das ist doch für Ihre analytischen Absichten günstig. Wenn man liebt, ist man gefügig und tut dem anderen Teil alles mögliche zuliebe.«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Ja, zu Anfang ist es auch günstig, aber späterhin, wenn sich diese Verliebtheit vertieft hat, kommt ihre ganze Natur zum Vorschein, an der vieles mit der Aufgabe der Analyse unverträglich ist. Die Liebe des Patienten begnügt sich nicht damit zu gehorchen, sie wird anspruchsvoll, verlangt zärtliche und sinnliche Befriedigungen, fordert Ausschließlichkeit, entwickelt Eifersucht, zeigt immer deutlicher ihre Kehrseite, die Bereitschaft zu Feindseligkeit und Rachsucht, wenn sie ihre Absichten nicht erreichen kann. Gleichzeitig drängt sie, wie jede Verliebtheit, alle anderen seelischen Inhalte zurück, sie löscht das Interesse an der Kur und an der Genesung aus, kurz, wir können nicht daran zweifeln, sie hat sich an die Stelle der Neurose gesetzt, und unsere Arbeit hat den Erfolg gehabt, eine Form des Krankseins durch eine andere zu vertreiben.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klingt nun trostlos. Was macht man da? Man sollte die Analyse aufgeben, aber da, wie Sie sagen, ein solcher Erfolg in jedem Fall eintritt, so könnte man ja überhaupt keine Analyse durchführen.«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Wir wollen zuerst die Situation ausnützen, um aus ihr zu lernen. Was wir so gewonnen haben, kann uns dann helfen, sie zu beherrschen. Ist es nicht höchst beachtenswert, daß es uns gelingt, eine Neurose mit beliebigem Inhalt in einen Zustand von krankhafter Verliebtheit zu verwandeln?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Unsere Überzeugung, daß der Neurose ein Stück abnorm verwendeten Liebeslebens zugrunde liegt, muß doch durch diese Erfahrung unerschütterlich befestigt werden. Mit dieser Einsicht fassen wir wieder festen Fuß, wir getrauen uns nun, diese Verliebtheit selbst zum Objekt der Analyse zu nehmen. Wir machen auch eine andere Beobachtung. Nicht in allen Fällen äußert sich die analytische Verliebtheit so klar und so grell, wie ich's zu schildern versuchte. Warum aber geschieht das nicht? Man sieht es bald ein. In dem Maß, als die vollsinnlichen und die feindseligen Seiten seiner Verliebtheit sich zeigen wollen, erwacht auch das Widerstreben des Patienten gegen dieselben. Er kämpft mit ihnen, sucht sie zu verdrängen, unter unseren Augen. Und nun verstehen wir den Vorgang. Der Patient </w:t>
      </w:r>
      <w:r w:rsidRPr="005C67C8">
        <w:rPr>
          <w:rFonts w:ascii="Garamond" w:hAnsi="Garamond" w:cs="Arial"/>
          <w:i/>
          <w:iCs/>
          <w:color w:val="000000"/>
          <w:lang w:val="en-GB"/>
        </w:rPr>
        <w:t>wiederholt</w:t>
      </w:r>
      <w:r w:rsidRPr="005C67C8">
        <w:rPr>
          <w:rFonts w:ascii="Garamond" w:hAnsi="Garamond" w:cs="Arial"/>
          <w:color w:val="000000"/>
          <w:lang w:val="en-GB"/>
        </w:rPr>
        <w:t xml:space="preserve"> in der Form der Verliebtheit in den Analytiker seelische Erlebnisse, die er bereits früher einmal durchgemacht hat – er hat seelische Einstellungen, die in ihm bereitlagen und mit der Entstehung seiner Neurose innig verknüpft waren, auf den Analytiker </w:t>
      </w:r>
      <w:r w:rsidRPr="005C67C8">
        <w:rPr>
          <w:rFonts w:ascii="Garamond" w:hAnsi="Garamond" w:cs="Arial"/>
          <w:i/>
          <w:iCs/>
          <w:color w:val="000000"/>
          <w:lang w:val="en-GB"/>
        </w:rPr>
        <w:t>übertragen</w:t>
      </w:r>
      <w:r w:rsidRPr="005C67C8">
        <w:rPr>
          <w:rFonts w:ascii="Garamond" w:hAnsi="Garamond" w:cs="Arial"/>
          <w:color w:val="000000"/>
          <w:lang w:val="en-GB"/>
        </w:rPr>
        <w:t xml:space="preserve">. Er wiederholt auch seine damaligen Abwehraktionen vor unseren Augen, möchte am liebsten alle Schicksale jener vergessenen Lebensperiode in seinem Verhältnis zum Analytiker wiederholen. Was er uns zeigt, ist also der Kern seiner intimen Lebensgeschichte, er </w:t>
      </w:r>
      <w:r w:rsidRPr="005C67C8">
        <w:rPr>
          <w:rFonts w:ascii="Garamond" w:hAnsi="Garamond" w:cs="Arial"/>
          <w:i/>
          <w:iCs/>
          <w:color w:val="000000"/>
          <w:lang w:val="en-GB"/>
        </w:rPr>
        <w:t xml:space="preserve">reproduziert </w:t>
      </w:r>
      <w:r w:rsidRPr="005C67C8">
        <w:rPr>
          <w:rFonts w:ascii="Garamond" w:hAnsi="Garamond" w:cs="Arial"/>
          <w:i/>
          <w:iCs/>
          <w:color w:val="000000"/>
          <w:lang w:val="en-GB"/>
        </w:rPr>
        <w:lastRenderedPageBreak/>
        <w:t>ihn greifbar, wie gegenwärtig, anstatt ihn zu erinnern</w:t>
      </w:r>
      <w:r w:rsidRPr="005C67C8">
        <w:rPr>
          <w:rFonts w:ascii="Garamond" w:hAnsi="Garamond" w:cs="Arial"/>
          <w:color w:val="000000"/>
          <w:lang w:val="en-GB"/>
        </w:rPr>
        <w:t>. Damit ist das Rätsel der Übertragungsliebe gelöst, und die Analyse kann gerade mit Hilfe der neuen Situation, die für sie so bedrohlich schien, fortgesetzt werden.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ist raffiniert. Und glaubt Ihnen der Kranke so leicht, daß er nicht verliebt, sondern nur gezwungen ist, ein altes Stück wieder aufzuführen?«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Alles kommt jetzt darauf an, und die volle Geschicklichkeit in der Handhabung der »Übertragung« gehört dazu, es zu erreichen. Sie sehen, daß die Anforderungen an die analytische Technik an dieser Stelle die höchste Steigerung erfahren. Hier kann man die schwersten Fehler begehen oder sich der größten Erfolge versichern. Der Versuch, sich den Schwierigkeiten zu entziehen, indem man die Übertragung unterdrückt oder vernachlässigt, wäre unsinnig; was immer man sonst getan hat, es verdiente nicht den Namen einer Analyse. Den Kranken wegzuschicken, sobald sich die Unannehmlichkeiten seiner Übertragungsneurose herstellen, ist nicht sinnreicher und außerdem eine Feigheit; es wäre ungefähr so, als ob man Geister beschworen hätte und dann davongerannt wäre, sobald sie erscheinen. Zwar manchmal kann man wirklich nicht anders; es gibt Fälle, in denen man der entfesselten Übertragung nicht Herr wird und die Analyse abbrechen muß, aber man soll wenigstens mit den bösen Geistern nach Kräften gerungen haben. Den Anforderungen der Übertragung nachgeben, die Wünsche des Patienten nach zärtlicher und sinnlicher Befriedigung erfüllen, ist nicht nur berechtigterweise durch moralische Rücksichten versagt, sondern auch als technisches Mittel zur Erreichung der analytischen Absicht völlig unzureichend. Der Neurotiker kann dadurch, daß man ihm die unkorrigierte Wiederholung eines in ihm vorbereiteten unbewußten Klischees ermöglicht hat, nicht geheilt werden. Wenn man sich auf Kompromisse mit ihm einläßt, indem man ihm partielle Befriedigungen zum Austausch gegen seine weitere Mitarbeit an der Analyse bietet, muß man achthaben, daß man nicht in die lächerliche Situation des Geistlichen gerät, der den kranken Versicherungsagenten bekehren soll. Der Kranke bleibt unbekehrt, aber der Geistliche zieht versichert ab. Der einzig mögliche Ausweg aus der Situation der Übertragung ist die Rückführung auf die Vergangenheit des Kranken, wie er sie wirklich erlebt oder durch die wunscherfüllende Tätigkeit seiner Phantasie gestaltet hat. Und dies erfordert beim Analytiker viel Geschick, Geduld, Ruhe und Selbstverleugnung.</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»Und wo, meinen Sie, hat der Neurotiker das Vorbild seiner Übertragungsliebe erlebt?«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In seiner Kindheit, in der Regel in der Beziehung zu einem Elternteil. Sie erinnern sich, welche Wichtigkeit wir diesen frühesten Gefühlsbeziehungen zuschreiben mußten. Hier schließt sich also der Kreis.</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»Sind Sie endlich fertig? Mir ist ein bißchen wirre vor der Fülle dessen, was ich von Ihnen gehört habe. Sagen Sie mir nur noch, wie und wo lernt man das, was man zur Ausübung der Analyse braucht?«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Es gibt derzeit zwei Institute, an denen Unterricht in der Psychoanalyse erteilt wird. Das erste in Berlin hat Dr. Max Eitingon der dortigen Vereinigung eingerichtet. Das zweite erhält die Wiener Psychoanalytische Vereinigung aus eigenen Mitteln unter beträchtlichen Opfern. Die Anteilnahme der Behörden erschöpft sich vorläufig in den mancherlei Schwierigkeiten, die sie dem jungen Unternehmen bereiten. Ein drittes Lehrinstitut soll eben jetzt in London von der dortigen Gesellschaft unter der Leitung von Dr. E. Jones eröffnet werden. An diesen Instituten werden die Kandidaten selbst in Analyse genommen, erhalten theoretischen Unterricht durch Vorlesungen in allen für sie wichtigen Gegenständen und genießen die Aufsicht älterer, erfahrener Analytiker, wenn sie zu ihren ersten Versuchen an leichteren Fällen zugelassen werden. Man rechnet für eine solche Ausbildung etwa zwei Jahre. Natürlich ist man auch nach dieser Zeit nur ein Anfänger, noch kein Meister. Was noch mangelt, muß durch Übung und durch den Gedankenaustausch in den psychoanalytischen Gesellschaften, in denen jüngere Mitglieder mit älteren zusammentreffen, erworben werden. Die Vorbereitung für die analytische Tätigkeit ist gar nicht so leicht und einfach, die Arbeit ist schwer, die Verantwortlichkeit groß. Aber wer eine solche Unterweisung durchgemacht hat, selbst analysiert worden ist, von der Psychologie des Unbewußten erfaßt hat, was sich heute eben lehren läßt, in der Wissenschaft des Sexuallebens Bescheid weiß und die heikle Technik der Psychoanalyse erlernt hat, die Deutungskunst, die Bekämpfung der Widerstände und die Handhabung der Übertragung, </w:t>
      </w:r>
      <w:r w:rsidRPr="005C67C8">
        <w:rPr>
          <w:rFonts w:ascii="Garamond" w:hAnsi="Garamond" w:cs="Arial"/>
          <w:i/>
          <w:iCs/>
          <w:color w:val="000000"/>
          <w:lang w:val="en-GB"/>
        </w:rPr>
        <w:t>der ist kein Laie mehr auf dem Gebiet der Psychoanalyse</w:t>
      </w:r>
      <w:r w:rsidRPr="005C67C8">
        <w:rPr>
          <w:rFonts w:ascii="Garamond" w:hAnsi="Garamond" w:cs="Arial"/>
          <w:color w:val="000000"/>
          <w:lang w:val="en-GB"/>
        </w:rPr>
        <w:t>. Er ist dazu befähigt, die Behandlung neurotischer Störungen zu unternehmen, und wird mit der Zeit darin alles leisten können, was man von dieser Therapie verlangen kann.</w:t>
      </w:r>
    </w:p>
    <w:p w:rsidR="005D30C2" w:rsidRPr="005C67C8" w:rsidRDefault="005D30C2" w:rsidP="005D30C2">
      <w:pPr>
        <w:shd w:val="clear" w:color="auto" w:fill="FFFFFF"/>
        <w:spacing w:before="221" w:after="44" w:line="306" w:lineRule="atLeast"/>
        <w:outlineLvl w:val="3"/>
        <w:rPr>
          <w:rFonts w:ascii="Garamond" w:hAnsi="Garamond" w:cs="Arial"/>
          <w:b/>
          <w:bCs/>
          <w:color w:val="000000"/>
          <w:lang w:val="en-GB"/>
        </w:rPr>
      </w:pPr>
      <w:r>
        <w:rPr>
          <w:rFonts w:ascii="Garamond" w:hAnsi="Garamond" w:cs="Arial"/>
          <w:b/>
          <w:bCs/>
          <w:color w:val="000000"/>
          <w:lang w:val="en-GB"/>
        </w:rPr>
        <w:br w:type="page"/>
      </w:r>
      <w:hyperlink w:anchor="Laienanalyse_INHALT" w:history="1">
        <w:r w:rsidRPr="005C67C8">
          <w:rPr>
            <w:rStyle w:val="Lienhypertexte"/>
            <w:rFonts w:ascii="Garamond" w:hAnsi="Garamond" w:cs="Arial"/>
            <w:b/>
            <w:bCs/>
            <w:lang w:val="en-GB"/>
          </w:rPr>
          <w:t>V</w:t>
        </w:r>
        <w:bookmarkStart w:id="324" w:name="Laienanalyse_6"/>
        <w:bookmarkEnd w:id="324"/>
        <w:r w:rsidRPr="005C67C8">
          <w:rPr>
            <w:rStyle w:val="Lienhypertexte"/>
            <w:rFonts w:ascii="Garamond" w:hAnsi="Garamond" w:cs="Arial"/>
            <w:b/>
            <w:bCs/>
            <w:lang w:val="en-GB"/>
          </w:rPr>
          <w:t>I</w:t>
        </w:r>
      </w:hyperlink>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lang w:val="en-GB"/>
        </w:rPr>
        <w:t xml:space="preserve">»Sie haben einen großen Aufwand gemacht, um mir zu zeigen, was die Psychoanalyse ist und was für Kenntnisse man braucht, um sie mit Aussicht auf Erfolg zu betreiben. Gut, es kann mir nichts schaden, Sie angehört zu haben. Aber ich weiß nicht, welchen Einfluß auf mein Urteil Sie von Ihren Ausführungen erwarten. Ich sehe einen Fall vor mir, der nichts Außergewöhnliches an sich hat. Die Neurosen sind eine besondere Art von Erkrankung, die Analyse ist eine besondere Methode zu ihrer Behandlung, eine medizinische Spezialität. Es ist auch sonst die Regel, daß ein Arzt, der ein Spezialfach der Medizin gewählt hat, sich nicht mit der durch das Diplom bestätigten Ausbildung begnügt. Besonders, wenn er sich in einer größeren Stadt niederlassen will, die allein Spezialisten ernähren kann. Wer Chirurg werden will, sucht einige Jahre an einer chirurgischen Klinik zu dienen, ebenso der Augenarzt, Laryngolog usw., gar der Psychiater, der vielleicht überhaupt niemals von einer staatlichen Anstalt oder einem Sanatorium freikommen wird. So wird es auch mit dem Psychoanalytiker werden; wer sich für diese neue ärztliche Spezialität entscheidet, wird nach Vollendung seiner Studien die zwei Jahre Ausbildung im Lehrinstitut auf sich nehmen, von denen Sie sprachen, wenn es wirklich eine so lange Zeit in Anspruch nehmen sollte. Er wird dann auch merken, daß es sein Vorteil ist, in einer psychoanalytischen Gesellschaft den Kontakt mit den Kollegen zu pflegen, und alles wird in schönster Ordnung vor sich gehen. </w:t>
      </w:r>
      <w:r w:rsidRPr="005C67C8">
        <w:rPr>
          <w:rFonts w:ascii="Garamond" w:hAnsi="Garamond" w:cs="Arial"/>
          <w:color w:val="000000"/>
        </w:rPr>
        <w:t>Ich verstehe nicht, wo da Platz für die Frage der Laienanalyse ist.«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Der Arzt, der das tut, was Sie in seinem Namen versprochen haben, wird uns allen willkommen sein. Vier Fünftel der Personen, die ich als meine Schüler anerkenne, sind ja ohnedies Ärzte. Gestatten Sie mir aber, Ihnen vorzuhalten, wie sich die Beziehungen der Ärzte zur Analyse wirklich gestaltet haben und wie sie sich voraussichtlich weiter entwickeln werden. Ein historisches Anrecht auf den Alleinbesitz der Analyse haben die Ärzte nicht, vielmehr haben sie bis vor kurzem alles aufgeboten, von der seichtesten Spötterei bis zur schwerwiegendsten Verleumdung, um ihr zu schaden. </w:t>
      </w:r>
      <w:r w:rsidRPr="005C67C8">
        <w:rPr>
          <w:rFonts w:ascii="Garamond" w:hAnsi="Garamond" w:cs="Arial"/>
          <w:color w:val="000000"/>
          <w:lang w:val="en-GB"/>
        </w:rPr>
        <w:t>Sie werden mit Recht antworten, das gehört der Vergangenheit an und braucht die Zukunft nicht zu beeinflussen. Ich bin einverstanden, aber ich fürchte, die Zukunft wird anders sein, als Sie sie vorhergesagt haben.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Erlauben Sie, daß ich dem Wort »Kurpfuscher« den Sinn gebe, auf den es Anspruch hat an Stelle der legalen Bedeutung. Für das Gesetz ist der ein Kurpfuscher, der Kranke behandelt, ohne sich durch den Besitz eines staatlichen Diploms als Arzt ausweisen zu können. Ich würde eine andere Definition bevorzugen: Kurpfuscher ist, wer eine Behandlung unternimmt, ohne die dazu erforderlichen Kenntnisse und Fähigkeiten zu besitzen. Auf dieser Definition fußend, wage ich die Behauptung, daß – nicht nur in den europäischen Ländern – die Ärzte zu den Kurpfuschern in der Analyse ein überwiegendes Kontingent stellen. Sie üben sehr häufig die analytische Behandlung aus, ohne sie gelernt zu haben und ohne sie zu verstehen.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Es ist vergeblich, daß Sie mir einwenden wollen, das sei gewissenlos, das möchten Sie den Ärzten nicht zutrauen. Ein Arzt wisse doch, daß ein ärztliches Diplom kein Kaperbrief ist und ein Kranker nicht vogelfrei. Dem Arzt dürfe man immer zubilligen, daß er im guten Glauben handle, auch wenn er sich dabei vielleicht im Irrtum befinde.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Die Tatsachen bestehen; wir wollen hoffen, daß sie sich so aufklären lassen, wie Sie es meinen. Ich will versuchen, Ihnen auseinanderzusetzen, wie es möglich wird, daß ein Arzt sich in den Dingen der Psychoanalyse so benimmt, wie er es auf jedem anderen Gebiet sorgfältig vermeiden würde.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Hier kommt in erster Linie in Betracht, daß der Arzt in der medizinischen Schule eine Ausbildung erfahren hat, die ungefähr das Gegenteil von dem ist, was er als Vorbereitung zur Psychoanalyse brauchen würde. Seine Aufmerksamkeit ist auf objektiv feststellbare anatomische, physikalische, chemische Tatbestände hingelenkt worden, von deren richtiger Erfassung und geeigneter Beeinflussung der Erfolg des ärztlichen Handelns abhängt. In seinen Gesichtskreis wird das Problem des Lebens gerückt, soweit es sich uns bisher aus dem Spiel der Kräfte erklärt hat, die auch in der anorganischen Natur nachweisbar sind. Für die seelischen Seiten der Lebensphänomene wird das Interesse nicht geweckt, das Studium der höheren geistigen Leistungen geht die Medizin nichts an, es ist das Bereich einer anderen Fakultät. Die Psychiatrie allein sollte sich mit den Störungen der seelischen Funktionen beschäftigen, aber man weiß, in welcher Weise und mit welchen Absichten sie es tut. Sie sucht die körperlichen Bedingungen der Seelenstörungen auf und behandelt sie wie andere Krankheitsanlässe.</w:t>
      </w:r>
    </w:p>
    <w:p w:rsidR="005D30C2" w:rsidRPr="005D30C2" w:rsidRDefault="005D30C2" w:rsidP="005D30C2">
      <w:pPr>
        <w:shd w:val="clear" w:color="auto" w:fill="FFFFFF"/>
        <w:spacing w:before="120" w:after="120" w:line="124" w:lineRule="atLeast"/>
        <w:rPr>
          <w:rFonts w:ascii="Garamond" w:hAnsi="Garamond" w:cs="Arial"/>
          <w:color w:val="000000"/>
          <w:lang w:val="en-US"/>
        </w:rPr>
      </w:pPr>
      <w:r w:rsidRPr="005C67C8">
        <w:rPr>
          <w:rFonts w:ascii="Garamond" w:hAnsi="Garamond" w:cs="Arial"/>
          <w:color w:val="000000"/>
          <w:lang w:val="en-GB"/>
        </w:rPr>
        <w:lastRenderedPageBreak/>
        <w:t xml:space="preserve">Die Psychiatrie hat darin recht, und die medizinische Ausbildung ist offenbar ausgezeichnet. Wenn man von ihr aussagt, sie sei einseitig, so muß man erst den Standpunkt ausfindig machen, von dem aus diese Charakteristik zum Vorwurf wird. An sich ist ja jede Wissenschaft einseitig, sie muß es sein, indem sie sich auf bestimmte Inhalte, Gesichtspunkte, Methoden einschränkt. Es ist ein Widersinn, an dem ich keinen Anteil haben möchte, daß man eine Wissenschaft gegen eine andere ausspielt. </w:t>
      </w:r>
      <w:r w:rsidRPr="005C67C8">
        <w:rPr>
          <w:rFonts w:ascii="Garamond" w:hAnsi="Garamond" w:cs="Arial"/>
          <w:color w:val="000000"/>
        </w:rPr>
        <w:t xml:space="preserve">Die Physik entwertet doch nicht die Chemie, sie kann sie nicht ersetzen, aber auch von ihr nicht vertreten werden. </w:t>
      </w:r>
      <w:r w:rsidRPr="005D30C2">
        <w:rPr>
          <w:rFonts w:ascii="Garamond" w:hAnsi="Garamond" w:cs="Arial"/>
          <w:color w:val="000000"/>
          <w:lang w:val="en-US"/>
        </w:rPr>
        <w:t>Die Psychoanalyse ist gewiß ganz besonders einseitig, als die Wissenschaft vom seelisch Unbewußten. Das Recht auf Einseitigkeit soll also den medizinischen Wissenschaften nicht bestritten werden.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Der gesuchte Standpunkt findet sich erst, wenn man von der wissenschaftlichen Medizin zur praktischen Heilkunde ablenkt. Der kranke Mensch ist ein kompliziertes Wesen, er kann uns daran mahnen, daß auch die so schwer faßbaren seelischen Phänomene nicht aus dem Bild des Lebens gelöscht werden dürfen. Der Neurotiker gar ist eine unerwünschte Komplikation, eine Verlegenheit für die Heilkunde nicht minder als für die Rechtspflege und den Armeedienst. Aber er existiert und geht die Medizin besonders nahe an. Und für seine Würdigung wie für seine Behandlung leistet die medizinische Schulung nichts, aber auch gar nichts. Bei dem innigen Zusammenhang zwischen den Dingen, die wir als körperlich und als seelisch scheiden, darf man vorhersehen, daß der Tag kommen wird, an dem sich Wege der Erkenntnis und hoffentlich auch der Beeinflussung von der Biologie der Organe und von der Chemie zu dem Erscheinungsgebiet der Neurosen eröffnen werden. Dieser Tag scheint noch ferne, gegenwärtig sind uns diese Krankheitszustände von der medizinischen Seite her unzugänglich.</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Es wäre zu ertragen, wenn die medizinische Schulung den Ärzten bloß die Orientierung auf dem Gebiete der Neurosen versagte. Sie tut mehr; sie gibt ihnen eine falsche und schädliche Einstellung mit. Die Ärzte, deren Interesse für die psychischen Faktoren des Lebens nicht geweckt worden ist, sind nun allzu bereit, dieselben geringzuschätzen und als unwissenschaftlich zu bespötteln. Deshalb können sie nichts recht ernst nehmen, was mit ihnen zu tun hat, und fühlen die Verpflichtungen nicht, die sich von ihnen ableiten. Darum verfallen sie der laienhaften Respektlosigkeit vor der psychologischen Forschung und machen sich ihre Aufgabe leicht. Man muß ja die Neurotiker behandeln, weil sie Kranke sind und sich an den Arzt wenden, muß auch immer Neues versuchen. Aber wozu sich die Mühe einer langwierigen Vorbereitung auferlegen? Es wird auch so gehen; wer weiß, was das wert ist, was in den analytischen Instituten gelehrt wird. Je weniger sie vom Gegenstand verstehen, desto unternehmender werden sie. Nur der wirklich Wissende wird bescheiden, denn er weiß, wie unzulänglich dies Wissen ist.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Der Vergleich der analytischen Spezialität mit anderen medizinischen Fächern, den Sie zu meiner Beschwichtigung herangezogen haben, ist also nicht anwendbar. Für Chirurgie, Augenheilkunde usw. bietet die Schule selbst die Möglichkeit zur weiteren Ausbildung. Die analytischen Lehrinstitute sind gering an Zahl, jung an Jahren und ohne Autorität. Die medizinische Schule hat sie nicht anerkannt und kümmert sich nicht um sie. Der junge Arzt, der seinen Lehrern so vieles hat glauben müssen, daß ihm zur Erziehung seines Urteils wenig Anlaß geworden ist, wird gerne die Gelegenheit ergreifen, auf einem Gebiet, wo es noch keine anerkannte Autorität gibt, endlich auch einmal den Kritiker zu spielen.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Es gibt noch andere Verhältnisse, die sein Auftreten als analytischer Kurpfuscher begünstigen. Wenn er ohne ausreichende Vorbereitung Augenoperationen unternehmen wollte, so würde der Mißerfolg seiner Starextraktionen und Iridektomien und das Wegbleiben der Patienten seinem Wagestück bald ein Ende bereiten. Die Ausübung der Analyse ist für ihn vergleichsweise ungefährlich. Das Publikum ist durch die durchschnittlich günstigen Ausgänge der Augenoperationen verwöhnt und erwartet sich Heilung vom Operateur. Wenn aber der »Nervenarzt« seine Kranken nicht herstellt, so verwundert sich niemand darüber. Man ist durch die Erfolge der Therapie bei den Nervösen nicht verwöhnt worden, der Nervenarzt hat sich wenigstens »viel mit ihnen abgegeben«. Da läßt sich eben nicht viel machen, die Natur muß helfen oder die Zeit. Also beim Weib zuerst die Menstruation, dann die Heirat, später die Menopause. Am Ende hilft wirklich der Tod. Auch ist das, was der ärztliche Analytiker mit dem Nervösen vorgenommen hat, so unauffällig, daß sich daran kein Vorwurf klammern kann. Er hat ja keine Instrumente oder Medikamente verwendet, nur mit ihm geredet, versucht, ihm etwas ein- oder auszureden. Das kann doch nicht schaden, besonders wenn dabei vermieden wurde, peinliche oder aufregende Dinge zu berühren. Der ärztliche Analytiker, der sich von der strengen Unterweisung frei gemacht hat, wird gewiß den Versuch nicht unterlassen haben, die Analyse zu verbessern, ihr die Giftzähne auszubrechen und sie den Kranken angenehm zu machen. Und wie gut, wenn er bei diesem </w:t>
      </w:r>
      <w:r w:rsidRPr="005C67C8">
        <w:rPr>
          <w:rFonts w:ascii="Garamond" w:hAnsi="Garamond" w:cs="Arial"/>
          <w:color w:val="000000"/>
          <w:lang w:val="en-GB"/>
        </w:rPr>
        <w:lastRenderedPageBreak/>
        <w:t>Versuch stehengeblieben, denn wenn er wirklich gewagt hat, Widerstände wachzurufen, und dann nicht wußte, wie ihnen zu begegnen ist, ja, dann kann er sich wirklich unbeliebt gemacht haben.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Die Gerechtigkeit erfordert das Zugeständnis, daß die Tätigkeit des ungeschulten Analytikers auch für den Kranken harmloser ist als die des ungeschickten Operateurs. Der mögliche Schaden beschränkt sich darauf, daß der Kranke zu einem nutzlosen Aufwand veranlaßt wurde und seine Heilungschancen eingebüßt oder verschlechtert hat. Ferner daß der Ruf der analytischen Therapie herabgesetzt wird. Das ist ja alles recht unerwünscht, aber es hält doch keinen Vergleich mit den Gefahren aus, die vom Messer des chirurgischen Kurpfuschers drohen. Schwere, dauernde Verschlimmerungen des Krankheitszustandes sind nach meinem Urteil auch bei ungeschickter Anwendung der Analyse nicht zu befürchten. Die unerfreulichen Reaktionen klingen nach einer Weile wieder ab. Neben den Traumen des Lebens, welche die Krankheit hervorgerufen haben, kommt das bißchen Mißhandlung durch den Arzt nicht in Betracht. Nur daß eben der ungeeignete therapeutische Versuch nichts Gutes für den Kranken geleistet hat.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habe Ihre Schilderung des ärztlichen Kurpfuschers in der Analyse angehört, ohne Sie zu unterbrechen, nicht ohne den Eindruck zu empfangen, daß Sie von einer Feindseligkeit gegen die Ärzteschaft beherrscht werden, zu deren historischer Erklärung Sie mir selbst den Weg gezeigt haben. Aber ich gebe Ihnen eines zu: Wenn schon Analysen gemacht werden sollen, so sollen sie von Leuten gemacht werden, die sich dafür gründlich ausgebildet haben. Und Sie glauben nicht, daß die Ärzte, die sich der Analyse zuwenden, mit der Zeit alles tun werden, um sich diese Ausbildung zu eigen zu machen?«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fürchte, nicht. Solange das Verhältnis der Schule zum analytischen Lehrinstitut ungeändert bleibt, werden die Ärzte wohl die Versuchung, es sich zu erleichtern, zu groß finden.</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rPr>
        <w:t>»Aber einer direkten Äußerung über die Frage der Laienanalyse scheinen Sie konsequent auszuweichen. Ich soll jetzt erraten, daß Sie vorschlagen, weil man die Ärzte, die analysieren wollen, nicht kontrollieren kann, soll man, gewissermaßen aus Rache, zu ihrer Bestrafung, ihnen das Monopol der Analyse abnehmen und diese ärztliche Tätigkeit auch den Laien eröffnen.«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Ich weiß nicht, ob Sie meine Motive richtig erraten haben. Vielleicht kann ich Ihnen später ein Zeugnis einer weniger parteiischen Stellungnahme vorlegen. </w:t>
      </w:r>
      <w:r w:rsidRPr="005C67C8">
        <w:rPr>
          <w:rFonts w:ascii="Garamond" w:hAnsi="Garamond" w:cs="Arial"/>
          <w:color w:val="000000"/>
          <w:lang w:val="en-GB"/>
        </w:rPr>
        <w:t xml:space="preserve">Aber ich lege den Akzent auf die Forderung, </w:t>
      </w:r>
      <w:r w:rsidRPr="005C67C8">
        <w:rPr>
          <w:rFonts w:ascii="Garamond" w:hAnsi="Garamond" w:cs="Arial"/>
          <w:i/>
          <w:iCs/>
          <w:color w:val="000000"/>
          <w:lang w:val="en-GB"/>
        </w:rPr>
        <w:t>daß niemand die Analyse ausüben soll, der nicht die Berechtigung dazu durch eine bestimmte Ausbildung erworben hat</w:t>
      </w:r>
      <w:r w:rsidRPr="005C67C8">
        <w:rPr>
          <w:rFonts w:ascii="Garamond" w:hAnsi="Garamond" w:cs="Arial"/>
          <w:color w:val="000000"/>
          <w:lang w:val="en-GB"/>
        </w:rPr>
        <w:t>. Ob diese Person nun Arzt ist oder nicht, erscheint mir als nebensächlich.</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»Was für bestimmte Vorschläge haben Sie also zu machen?«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bin noch nicht soweit, weiß auch nicht, ob ich überhaupt dahin kommen werde. Ich möchte eine andere Frage mit Ihnen erörtern, zur Einleitung aber auch einen bestimmten Punkt berühren. Man sagt, daß die zuständigen Behörden über Anregung der Ärzteschaft Laien ganz allgemein die Ausübung der Analyse untersagen wollen. Von diesem Verbot würden auch die nichtärztlichen Mitglieder der Psychoanalytischen Vereinigung betroffen, die eine ausgezeichnete Ausbildung genossen und sich durch Übung sehr vervollkommnet haben. Wird das Verbot erlassen, so stellt sich der Zustand her, daß man eine Reihe von Personen an der Ausübung einer Tätigkeit behindert, von denen man überzeugt sein kann, daß sie sie sehr gut leisten können, während man dieselbe Tätigkeit anderen freigibt, bei denen von einer ähnlichen Garantie nicht die Rede ist. Das ist nicht gerade der Erfolg, den eine Gesetzgebung erreichen möchte. Indes ist dieses spezielle Problem weder sehr wichtig noch schwierig zu lösen. Es handelt sich dabei um eine Handvoll Personen, die nicht schwer geschädigt werden können. Sie werden wahrscheinlich nach Deutschland auswandern, wo sie, durch keine Gesetzesvorschrift behindert, bald die Anerkennung ihrer Tüchtigkeit finden werden. Will man ihnen dies ersparen und die Härte des Gesetzes für sie mildern, so kann es mit Anlehnung an bekannte Präzedenzfälle leicht geschehen. Es ist im monarchischen Österreich wiederholt vorgekommen, daß man notorischen Kurpfuschern die Erlaubnis zur ärztlichen Tätigkeit auf bestimmten Gebieten </w:t>
      </w:r>
      <w:r w:rsidRPr="005C67C8">
        <w:rPr>
          <w:rFonts w:ascii="Garamond" w:hAnsi="Garamond" w:cs="Arial"/>
          <w:i/>
          <w:iCs/>
          <w:color w:val="000000"/>
          <w:lang w:val="en-GB"/>
        </w:rPr>
        <w:t>ad personam</w:t>
      </w:r>
      <w:r w:rsidRPr="005C67C8">
        <w:rPr>
          <w:rFonts w:ascii="Garamond" w:hAnsi="Garamond" w:cs="Arial"/>
          <w:color w:val="000000"/>
          <w:lang w:val="en-GB"/>
        </w:rPr>
        <w:t xml:space="preserve"> verliehen hat, weil man von ihrem wirklichen Können überzeugt worden war. Diese Fälle betrafen zumeist bäuerliche Heilkünstler, und die Befürwortung soll regelmäßig durch eine der einst so zahlreichen Erzherzoginnen erfolgt sein, aber es müßte doch auch für Städter und auf Grund anderer, bloß sachverständiger Garantie geschehen können. Bedeutsamer wäre die Wirkung eines solchen Verbots auf das Wiener analytische Lehrinstitut, das von da an keine Kandidaten aus nichtärztlichen Kreisen zur Ausbildung annehmen dürfte. Dadurch wäre wieder einmal in unserem Vaterland eine Richtung geistiger Tätigkeit unterdrückt, die sich anderswo frei entfalten darf. Ich bin der letzte, der eine Kompetenz in der Beurteilung von Gesetzen und Verordnungen in Anspruch nehmen will. Aber ich sehe doch so viel, daß eine Betonung unseres Kurpfuschergesetzes nicht im Sinne der </w:t>
      </w:r>
      <w:r w:rsidRPr="005C67C8">
        <w:rPr>
          <w:rFonts w:ascii="Garamond" w:hAnsi="Garamond" w:cs="Arial"/>
          <w:color w:val="000000"/>
          <w:lang w:val="en-GB"/>
        </w:rPr>
        <w:lastRenderedPageBreak/>
        <w:t>Angleichung an deutsche Verhältnisse ist, die heute offenbar angestrebt wird, und daß die Anwendung dieses Gesetzes auf den Fall der Psychoanalyse etwas Anachronistisches hat, denn zur Zeit seiner Erlassung gab es noch keine Analyse und war die besondere Natur der neurotischen Erkrankungen noch nicht erkannt.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komme zu der Frage, deren Diskussion mir wichtiger erscheint. Ist die Ausübung der Psychoanalyse überhaupt ein Gegenstand, der behördlichem Eingreifen unterworfen werden soll, oder ist es zweckmäßiger, ihn der natürlichen Entwicklung zu überlassen? Ich werde gewiß hier keine Entscheidung treffen, aber ich nehme mir die Freiheit, Ihnen dieses Problem zur Überlegung vorzulegen. In unserem Vaterlande herrscht von alters her ein wahrer </w:t>
      </w:r>
      <w:r w:rsidRPr="005C67C8">
        <w:rPr>
          <w:rFonts w:ascii="Garamond" w:hAnsi="Garamond" w:cs="Arial"/>
          <w:i/>
          <w:iCs/>
          <w:color w:val="000000"/>
          <w:lang w:val="en-GB"/>
        </w:rPr>
        <w:t>furor prohibendi</w:t>
      </w:r>
      <w:r w:rsidRPr="005C67C8">
        <w:rPr>
          <w:rFonts w:ascii="Garamond" w:hAnsi="Garamond" w:cs="Arial"/>
          <w:color w:val="000000"/>
          <w:lang w:val="en-GB"/>
        </w:rPr>
        <w:t xml:space="preserve">, eine Neigung zum Bevormunden, Eingreifen und Verbieten, die, wie wir alle wissen, nicht gerade gute Früchte getragen hat. Es scheint, daß es im neuen, republikanischen Österreich noch nicht viel anders geworden ist. Ich vermute, daß Sie bei der Entscheidung über den Fall der Psychoanalyse, der uns jetzt beschäftigt, ein gewichtiges Wort mitzureden haben; ich weiß nicht, ob Sie die Lust oder den Einfluß haben werden, sich den bürokratischen Neigungen zu widersetzen. Meine unmaßgeblichen Gedanken zu unserer Frage will ich Ihnen jedenfalls nicht ersparen. Ich meine, daß ein Überfluß an Verordnungen und Verboten der Autorität des Gesetzes schadet. Man kann beobachten: Wo nur wenige Verbote bestehen, da werden sie sorgfältig eingehalten; wo man auf Schritt und Tritt von Verboten begleitet wird, da fühlt man förmlich die Versuchung, sich über sie hinwegzusetzen. Ferner, man ist noch kein Anarchist, wenn man bereit ist einzusehen, daß Gesetze und Verordnungen nach ihrer Herkunft nicht auf den Charakter der Heiligkeit und Unverletzlichkeit Anspruch haben können, daß sie oft inhaltlich unzulänglich und für unser Rechtsgefühl verletzend sind oder nach einiger Zeit so werden und daß es bei der Schwerfälligkeit der die Gesellschaft leitenden Personen oft kein anderes Mittel zur Korrektur solch unzweckmäßiger Gesetze gibt, als sie herzhaft zu übertreten. Auch ist es ratsam, wenn man den Respekt vor Gesetzen und Verordnungen erhalten will, keine zu erlassen, deren Einhaltung und Übertretung schwer zu überwachen ist. Manches, was wir über die Ausübung der Analyse durch Ärzte gesagt haben, wäre hier für die eigentliche Laienanalyse, die das Gesetz unterdrücken will, zu wiederholen. Der Hergang der Analyse ist ein recht unscheinbarer, sie wendet weder Medikamente noch Instrumente an, besteht nur in Gesprächen und Austausch von Mitteilungen; es wird nicht leicht sein, einer Laienperson nachzuweisen, sie übe »Analyse« aus, wenn sie behauptet, sie gebe nur Zuspruch, teile Aufklärungen aus und suche einen heilsamen menschlichen Einfluß auf seelisch Hilfsbedürftige zu gewinnen; das könne man ihr doch nicht verbieten, bloß darum, weil auch der Arzt es manchmal tue. In den Englisch sprechenden Ländern haben die Praktiken der » </w:t>
      </w:r>
      <w:r w:rsidRPr="005C67C8">
        <w:rPr>
          <w:rFonts w:ascii="Garamond" w:hAnsi="Garamond" w:cs="Arial"/>
          <w:i/>
          <w:iCs/>
          <w:color w:val="000000"/>
          <w:lang w:val="en-GB"/>
        </w:rPr>
        <w:t>Christian Science</w:t>
      </w:r>
      <w:r w:rsidRPr="005C67C8">
        <w:rPr>
          <w:rFonts w:ascii="Garamond" w:hAnsi="Garamond" w:cs="Arial"/>
          <w:color w:val="000000"/>
          <w:lang w:val="en-GB"/>
        </w:rPr>
        <w:t xml:space="preserve">« eine große Verbreitung; eine Art von dialektischer Verleugnung der Übel im Leben durch Berufung auf die Lehren der christlichen Religion. Ich stehe nicht an zu behaupten, daß dies Verfahren eine bedauerliche Verirrung des menschlichen Geistes darstellt, aber wer würde in Amerika oder England daran denken, es zu verbieten und unter Strafe zu setzen? Fühlt sich denn die hohe Obrigkeit bei uns des rechten Weges zur Seligkeit so sicher, daß sie es wagen darf zu verhindern, daß jeder versuche »nach seiner Fasson selig zu werden«? Und zugegeben, daß viele sich selbst überlassen in Gefahren geraten und zu Schaden kommen, tut die Obrigkeit nicht besser daran, die Gebiete, die als unbetretbar gelten sollen, sorgfältig abzugrenzen und im übrigen, soweit es nur angeht, die Menschenkinder ihrer Erziehung durch Erfahrung und gegenseitige Beeinflussung zu überlassen? Die Psychoanalyse ist etwas so Neues in der Welt, die große Menge ist so wenig über sie orientiert, die Stellung der offiziellen Wissenschaft zu ihr noch so schwankend, daß es mir voreilig erscheint, jetzt schon mit gesetzlichen Vorschriften in die Entwicklung einzugreifen. Lassen wir die Kranken selbst die Entdeckung machen, daß es schädlich für sie ist, seelische Hilfe bei Personen zu suchen, die nicht gelernt haben, wie man sie leistet. Klären wir sie darüber auf und warnen sie davor, dann werden wir uns erspart haben, es ihnen zu verbieten. Auf italienischen Landstraßen zeigen die Leitungsträger die knappe und eindrucksvolle Aufschrift: </w:t>
      </w:r>
      <w:r w:rsidRPr="005C67C8">
        <w:rPr>
          <w:rFonts w:ascii="Garamond" w:hAnsi="Garamond" w:cs="Arial"/>
          <w:i/>
          <w:iCs/>
          <w:color w:val="000000"/>
          <w:lang w:val="en-GB"/>
        </w:rPr>
        <w:t>Chi tocca, muore</w:t>
      </w:r>
      <w:r w:rsidRPr="005C67C8">
        <w:rPr>
          <w:rFonts w:ascii="Garamond" w:hAnsi="Garamond" w:cs="Arial"/>
          <w:color w:val="000000"/>
          <w:lang w:val="en-GB"/>
        </w:rPr>
        <w:t>. Das reicht vollkommen hin, um das Benehmen der Passanten gegen herabhängende Drähte zu regeln. Die entsprechenden deutschen Warnungen sind von einer überflüssigen und beleidigenden Weitschweifigkeit: Das Berühren der Leitungsdrähte ist, weil lebensgefährlich, strengstens verboten. Wozu das Verbot? Wem sein Leben lieb ist, der erteilt es sich selbst, und wer sich auf diesem Wege umbringen will, der fragt nicht nach Erlaubnis.</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rPr>
        <w:t>»Es gibt aber Fälle, die man als Präjudiz für die Frage der Laienanalyse anführen kann. Ich meine das Verbot der Versetzung in Hypnose durch Laien und das kürzlich erlassene Verbot der Abhaltung okkultistischer Sitzungen und Gründung solcher Gesellschaften.«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D30C2">
        <w:rPr>
          <w:rFonts w:ascii="Garamond" w:hAnsi="Garamond" w:cs="Arial"/>
          <w:color w:val="000000"/>
        </w:rPr>
        <w:lastRenderedPageBreak/>
        <w:t xml:space="preserve">Ich kann nicht sagen, daß ich ein Bewunderer dieser Maßnahmen bin. Die letztere ist ein ganz unzweifelhafter Übergriff der polizeilichen Bevormundung zum Schaden der intellektuellen Freiheit. Ich bin außer dem Verdacht, den sogenannt okkulten Phänomenen viel Glauben entgegenzubringen oder gar Sehnsucht nach ihrer Anerkennung zu verspüren; aber durch solche Verbote wird man das Interesse der Menschen für diese angebliche Geheimwelt nicht ersticken. Vielleicht hat man im Gegenteil etwas sehr Schädliches getan, der unparteiischen Wißbegierde den Weg verschlossen, zu einem befreienden Urteil über diese bedrückenden Möglichkeiten zu kommen. </w:t>
      </w:r>
      <w:r w:rsidRPr="005C67C8">
        <w:rPr>
          <w:rFonts w:ascii="Garamond" w:hAnsi="Garamond" w:cs="Arial"/>
          <w:color w:val="000000"/>
          <w:lang w:val="en-GB"/>
        </w:rPr>
        <w:t>Aber dies auch nur wieder für Österreich. In anderen Ländern stößt auch die »parapsychische« Forschung auf keine gesetzlichen Hindernisse. Der Fall der Hypnose liegt etwas anders als der der Analyse. Die Hypnose ist die Hervorrufung eines abnormen Seelenzustandes und dient den Laien heute nur als Mittel zur Schaustellung. Hätte sich die anfänglich so hoffnungsvolle hypnotische Therapie gehalten, so wären ähnliche Verhältnisse wie die der Analyse entstanden. Übrigens erbringt die Geschichte der Hypnose ein Präzedenz zum Schicksal der Analyse nach anderer Richtung. Als ich ein junger Dozent der Neuropathologie war, eiferten die Ärzte in der leidenschaftlichsten Weise gegen die Hypnose, erklärten sie für einen Schwindel, ein Blendwerk des Teufels und einen höchst gefährlichen Eingriff. Heute haben sie dieselbe Hypnose monopolisiert, bedienen sich ihrer ungescheut als Untersuchungsmethode, und für manche Nervenärzte ist sie noch immer das Hauptmittel ihrer Therapie.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habe Ihnen aber bereits gesagt, ich denke nicht daran, Vorschläge zu machen, die auf der Entscheidung beruhen, ob gesetzliche Regelung oder Gewährenlassen in Sachen der Analyse das richtigere ist. Ich weiß, das ist eine prinzipielle Frage, auf deren Lösung die Neigungen der maßgebenden Personen wahrscheinlich mehr Einfluß nehmen werden als Argumente. </w:t>
      </w:r>
      <w:r w:rsidRPr="005C67C8">
        <w:rPr>
          <w:rFonts w:ascii="Garamond" w:hAnsi="Garamond" w:cs="Arial"/>
          <w:color w:val="000000"/>
        </w:rPr>
        <w:t xml:space="preserve">Was mir für eine Politik des </w:t>
      </w:r>
      <w:r w:rsidRPr="005C67C8">
        <w:rPr>
          <w:rFonts w:ascii="Garamond" w:hAnsi="Garamond" w:cs="Arial"/>
          <w:i/>
          <w:iCs/>
          <w:color w:val="000000"/>
        </w:rPr>
        <w:t>laissez faire</w:t>
      </w:r>
      <w:r w:rsidRPr="005C67C8">
        <w:rPr>
          <w:rFonts w:ascii="Garamond" w:hAnsi="Garamond" w:cs="Arial"/>
          <w:color w:val="000000"/>
        </w:rPr>
        <w:t xml:space="preserve"> zu sprechen scheint, habe ich bereits zusammengestellt. Wenn man sich anders entschließt, zu einer Politik des aktiven Eingreifens, dann allerdings scheint mir die eine lahme und ungerechte Maßregel des rücksichtslosen Verbots der Analyse durch Nichtärzte keine genügende Leistung zu sein. </w:t>
      </w:r>
      <w:r w:rsidRPr="005C67C8">
        <w:rPr>
          <w:rFonts w:ascii="Garamond" w:hAnsi="Garamond" w:cs="Arial"/>
          <w:color w:val="000000"/>
          <w:lang w:val="en-GB"/>
        </w:rPr>
        <w:t>Man muß sich dann um mehr bekümmern, die Bedingungen, unter denen die Ausübung der analytischen Praxis gestattet ist, für alle, die sie ausüben wollen, feststellen, irgendeine Autorität aufrichten, bei der man sich Auskunft holen kann, was Analyse ist und was für Vorbereitung man für sie fordern darf, und die Möglichkeiten der Unterweisung in der Analyse fördern. Also entweder in Ruhe lassen oder Ordnung und Klarheit schaffen, nicht aber in eine verwickelte Situation mit einem vereinzelten Verbot d'reinfahren, das mechanisch aus einer inadäquat gewordenen Vorschrift abgeleitet wird.</w:t>
      </w:r>
    </w:p>
    <w:p w:rsidR="005D30C2" w:rsidRPr="005C67C8" w:rsidRDefault="00B437A1" w:rsidP="005D30C2">
      <w:pPr>
        <w:shd w:val="clear" w:color="auto" w:fill="FFFFFF"/>
        <w:spacing w:before="221" w:after="44" w:line="306" w:lineRule="atLeast"/>
        <w:outlineLvl w:val="3"/>
        <w:rPr>
          <w:rFonts w:ascii="Garamond" w:hAnsi="Garamond" w:cs="Arial"/>
          <w:b/>
          <w:bCs/>
          <w:color w:val="000000"/>
        </w:rPr>
      </w:pPr>
      <w:hyperlink w:anchor="Laienanalyse_INHALT" w:history="1">
        <w:r w:rsidR="005D30C2" w:rsidRPr="005C67C8">
          <w:rPr>
            <w:rStyle w:val="Lienhypertexte"/>
            <w:rFonts w:ascii="Garamond" w:hAnsi="Garamond" w:cs="Arial"/>
            <w:b/>
            <w:bCs/>
          </w:rPr>
          <w:t>VI</w:t>
        </w:r>
        <w:bookmarkStart w:id="325" w:name="Laienanalyse_7"/>
        <w:bookmarkEnd w:id="325"/>
        <w:r w:rsidR="005D30C2" w:rsidRPr="005C67C8">
          <w:rPr>
            <w:rStyle w:val="Lienhypertexte"/>
            <w:rFonts w:ascii="Garamond" w:hAnsi="Garamond" w:cs="Arial"/>
            <w:b/>
            <w:bCs/>
          </w:rPr>
          <w:t>I</w:t>
        </w:r>
      </w:hyperlink>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»Ja, aber die Ärzte, die Ärzte! </w:t>
      </w:r>
      <w:r w:rsidRPr="005C67C8">
        <w:rPr>
          <w:rFonts w:ascii="Garamond" w:hAnsi="Garamond" w:cs="Arial"/>
          <w:color w:val="000000"/>
          <w:lang w:val="en-GB"/>
        </w:rPr>
        <w:t>Ich bringe Sie nicht dazu, auf das eigentliche Thema unserer Unterredungen einzugehen. Sie weichen mir noch immer aus. Es handelt sich doch darum, ob man nicht den Ärzten das ausschließliche Vorrecht auf die Ausübung der Analyse zugestehen muß, meinetwegen nachdem sie gewisse Bedingungen erfüllt haben. Die Ärzte sind ja gewiß nicht in ihrer Mehrheit die Kurpfuscher in der Analyse, als die Sie sie geschildert haben. Sie sagen selbst, daß die überwiegende Mehrzahl Ihrer Schüler und Anhänger Ärzte sind. Man hat mir verraten, daß diese keineswegs Ihren Standpunkt in der Frage der Laienanalyse teilen. Ich darf natürlich annehmen, daß Ihre Schüler sich Ihren Forderungen nach genügender Vorbereitung usw. anschließen, und doch finden diese Schüler es damit vereinbar, die Ausübung der Analyse den Laien zu versperren. Ist das so, und wenn, wie erklären Sie es?«</w:t>
      </w:r>
    </w:p>
    <w:p w:rsidR="005D30C2" w:rsidRPr="005D30C2"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sehe, Sie sind gut informiert, es ist so. Zwar nicht alle, aber ein guter Teil meiner ärztlichen Mitarbeiter hält in dieser Sache nicht zu mir, tritt für das ausschließliche Anrecht der Ärzte auf die analytische Behandlung der Neurotiker ein. Sie ersehen daraus, daß es auch in unserem Lager Meinungsverschiedenheiten geben darf. </w:t>
      </w:r>
      <w:r w:rsidRPr="005D30C2">
        <w:rPr>
          <w:rFonts w:ascii="Garamond" w:hAnsi="Garamond" w:cs="Arial"/>
          <w:color w:val="000000"/>
          <w:lang w:val="en-GB"/>
        </w:rPr>
        <w:t xml:space="preserve">Meine Parteinahme ist bekannt, und der Gegensatz im Punkte der Laienanalyse hebt unser Einvernehmen nicht auf. Wie ich Ihnen das Verhalten dieser meiner Schüler erklären kann? Sicher weiß ich es nicht, ich denke, es wird die Macht des Standesbewußtseins sein. Sie haben eine andere Entwicklung gehabt als ich, fühlen sich noch unbehaglich in der Isolierung von den Kollegen, möchten gerne als vollberechtigt von der </w:t>
      </w:r>
      <w:r w:rsidRPr="005D30C2">
        <w:rPr>
          <w:rFonts w:ascii="Garamond" w:hAnsi="Garamond" w:cs="Arial"/>
          <w:i/>
          <w:iCs/>
          <w:color w:val="000000"/>
          <w:lang w:val="en-GB"/>
        </w:rPr>
        <w:t>profession</w:t>
      </w:r>
      <w:r w:rsidRPr="005D30C2">
        <w:rPr>
          <w:rFonts w:ascii="Garamond" w:hAnsi="Garamond" w:cs="Arial"/>
          <w:color w:val="000000"/>
          <w:lang w:val="en-GB"/>
        </w:rPr>
        <w:t xml:space="preserve"> aufgenommen werden und sind bereit, für diese Toleranz ein Opfer zu bringen, an einer Stelle, deren Lebenswichtigkeit ihnen nicht einleuchtet. Vielleicht ist es anders; ihnen Motive der Konkurrenz unterzuschieben, hieße nicht nur sie einer niedrigen Gesinnung zu beschuldigen, sondern auch ihnen eine sonderbare Kurzsichtigkeit zuzutrauen. Sie sind ja immer bereit, andere Ärzte in die Analyse einzuführen, und ob sie die verfügbaren Patienten mit Kollegen oder mit Laien zu teilen haben, kann für ihre materielle Lage nur gleichgiltig sein. Wahrscheinlich kommt </w:t>
      </w:r>
      <w:r w:rsidRPr="005D30C2">
        <w:rPr>
          <w:rFonts w:ascii="Garamond" w:hAnsi="Garamond" w:cs="Arial"/>
          <w:color w:val="000000"/>
          <w:lang w:val="en-GB"/>
        </w:rPr>
        <w:lastRenderedPageBreak/>
        <w:t>aber noch etwas anderes in Betracht. Diese meine Schüler mögen unter dem Einfluß gewisser Momente stehen, welche dem Arzt in der analytischen Praxis den unzweifelhaften Vorzug vor dem Laien sichern.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»Den Vorzug sichern? Da haben wir's. Also gestehen Sie diesen Vorzug endlich zu? Damit wäre ja die Frage entschieden.«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Zugeständnis wird mir nicht schwer. Es mag Ihnen zeigen, daß ich nicht so leidenschaftlich verblendet bin, wie Sie annehmen. Ich habe die Erwähnung dieser Verhältnisse aufgeschoben, weil ihre Diskussion wiederum theoretische Erörterungen nötig machen wird.</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rPr>
        <w:t>»Was meinen Sie jetzt?«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Da ist zuerst die Frage der Diagnose. Wenn man einen Kranken, der an sogenannt nervösen Störungen leidet, in analytische Behandlung nimmt, will man vorher die Sicherheit haben – soweit sie eben erreichbar ist –, daß er sich für diese Therapie eignet, daß man ihm also auf diesem Wege helfen kann. </w:t>
      </w:r>
      <w:r w:rsidRPr="005C67C8">
        <w:rPr>
          <w:rFonts w:ascii="Garamond" w:hAnsi="Garamond" w:cs="Arial"/>
          <w:color w:val="000000"/>
          <w:lang w:val="en-GB"/>
        </w:rPr>
        <w:t>Das ist aber nur der Fall, wenn er wirklich eine Neurose hat.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sollte meinen, das erkennt man eben an den Erscheinungen, an den Symptomen, über die er klagt.«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Hier ist eben die Stelle für eine neue Komplikation. Man erkennt es nicht immer mit voller Sicherheit. Der Kranke kann das äußere Bild einer Neurose zeigen, und doch kann es etwas anderes sein, der Beginn einer unheilbaren Geisteskrankheit, die Vorbereitung eines zerstörenden Gehirnprozesses. Die Unterscheidung – Differentialdiagnose – ist nicht immer leicht und nicht in jeder Phase sofort zu machen. Die Verantwortlichkeit für eine solche Entscheidung kann natürlich nur der Arzt übernehmen. Sie wird ihm, wie gesagt, nicht immer leichtgemacht. Der Krankheitsfall kann längere Zeit ein harmloses Gepräge tragen, bis sich endlich doch seine böse Natur herausstellt. Es ist ja auch eine regelmäßige Befürchtung der Nervösen, ob sie nicht geisteskrank werden können. Wenn der Arzt aber einen solchen Fall eine Zeitlang verkannt hat oder im unklaren über ihn geblieben ist, so macht es nicht viel aus, es ist kein Schaden angestellt worden und nichts Überflüssiges geschehen. Die analytische Behandlung dieses Kranken hätte ihm zwar auch keinen Schaden gebracht, aber sie wäre als überflüssiger Aufwand bloßgestellt. Überdies würden sich gewiß genug Leute finden, die den schlechten Ausgang der Analyse zur Last legen werden. Mit Unrecht freilich, aber solche Anlässe sollten vermieden werden.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klingt aber trostlos. Es entwurzelt ja alles, was Sie mir über die Natur und Entstehung einer Neurose vorgetragen haben.«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Durchaus nicht. Es bekräftigt nur von neuem, daß die Neurotiker ein Ärgernis und eine Verlegenheit sind, für alle Parteien, also auch für die Analytiker. Vielleicht löse ich aber Ihre Verwirrung wieder, wenn ich meine neuen Mitteilungen in korrekteren Ausdruck kleide. Es ist wahrscheinlich richtiger, von den Fällen, die uns jetzt beschäftigen, auszusagen, sie haben wirklich eine Neurose entwickelt, aber diese sei nicht psychogen, sondern somatogen, habe nicht seelische, sondern körperliche Ursachen. Können Sie mich verstehen?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»Verstehen, ja; aber ich kann es mit dem anderen, dem Psychologischen, nicht vereinigen.«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Nun, das läßt sich doch machen, wenn man nur den Komplikationen der lebenden Substanz Rechnung tragen will. Worin fanden wir das Wesen einer Neurose? Darin, daß das Ich, die durch den Einfluß der Außenwelt emporgezüchtete höhere. Organisation des seelischen Apparats, nicht imstande ist, seine Funktion der Vermittlung zwischen Es und Realität zu erfüllen, daß es sich in seiner Schwäche von Triebanteilen des Es zurückzieht und sich dafür die Folgen dieses Verzichts in Form von Einschränkungen, Symptomen und erfolglosen Reaktionsbildungen gefallen lassen muß.</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Eine solche Schwäche des Ichs hat bei uns allen regelmäßig in der Kindheit statt, darum bekommen die Erlebnisse der frühesten Kinderjahre eine so große Bedeutung für das spätere Leben. Unter der außerordentlichen Belastung dieser Kinderzeit – wir haben in wenigen Jahren die ungeheure Entwicklungsdistanz vom steinzeitlichen Primitiven bis zum Teilhaber der heutigen Kultur durchzumachen und dabei insbesondere die Triebregungen der sexuellen Frühperiode abzuwehren – nimmt unser Ich seine Zuflucht zu Verdrängungen und setzt sich einer Kinderneurose aus, deren Niederschlag es als Disposition zur späteren nervösen Erkrankung in die Reife des Lebens mitbringt. Nun kommt alles darauf an, wie dies herangewachsene Wesen vom Schicksal behandelt werden wird. Wird das Leben zu hart, der Abstand zwischen den Triebforderungen und den Einsprüchen der Realität zu groß, so mag das Ich in seinen Bemühungen, beide zu versöhnen, scheitern, und dies um so eher, je mehr es durch </w:t>
      </w:r>
      <w:r w:rsidRPr="005C67C8">
        <w:rPr>
          <w:rFonts w:ascii="Garamond" w:hAnsi="Garamond" w:cs="Arial"/>
          <w:color w:val="000000"/>
          <w:lang w:val="en-GB"/>
        </w:rPr>
        <w:lastRenderedPageBreak/>
        <w:t>die mitgebrachte infantile Disposition gehemmt ist. Es wiederholt sich dann der Vorgang der Verdrängung, die Triebe reißen sich von der Herrschaft des Ichs los, schaffen sich auf den Wegen der Regression ihre Ersatzbefriedigungen, und das arme Ich ist hilflos neurotisch geworden.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Halten wir nur daran fest: der Knoten- und Drehpunkt der ganzen Situation ist die relative Stärke der Ichorganisation. Wir haben es dann leicht, unsere ätiologische Übersicht zu vervollständigen. Als die sozusagen normalen Ursachen der Nervosität kennen wir bereits die kindliche Ichschwäche, die Aufgabe der Bewältigung der Frühregungen der Sexualität und die Einwirkungen der eher zufälligen Kindheitserlebnisse. Ist es aber nicht möglich, daß auch andere Momente eine Rolle spielen, die aus der Zeit vor dem Kinderleben stammen? Zum Beispiel eine angeborene Stärke und Unbändigkeit des Trieblebens im Es, die dem Ich von vornherein zu große Aufgaben stellt? Oder eine besondere Entwicklungsschwäche des Ichs aus unbekannten Gründen? Selbstverständlich müssen diese Momente zu einer ätiologischen Bedeutung kommen, in manchen Fällen zu einer überragenden. Mit der Triebstärke im Es haben wir jedesmal zu rechnen; wo sie exzessiv entwickelt ist, steht es schlecht um die Aussichten unserer Therapie. Von den Ursachen einer Entwicklungshemmung des Ichs wissen wir noch zuwenig. Dies wären also die Fälle von Neurose mit wesentlich konstitutioneller Grundlage. Ohne irgendeine solche konstitutionelle, kongenitale Begünstigung kommt wohl kaum eine Neurose zustande.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Wenn aber die relative Schwäche des Ichs das für die Entstehung der Neurose entscheidende Moment ist, so muß es auch möglich sein, daß eine spätere körperliche Erkrankung eine Neurose erzeugt, wenn sie nur eine Schwächung des Ichs herbeiführen kann. Und das ist wiederum im reichen Ausmaß der Fall. Eine solche körperliche Störung kann das Triebleben im Es betreffen und die Triebstärke über die Grenze hinaus steigern, welcher das Ich gewachsen ist. Das Normalvorbild solcher Vorgänge wäre etwa die Veränderung im Weib durch die Störungen der Menstruation und der Menopause. Oder eine körperliche Allgemeinerkrankung, ja eine organische Erkrankung des nervösen Zentralorgans, greift die Ernährungsbedingungen des seelischen Apparats an, zwingt ihn, seine Funktion herabzusetzen und seine feineren Leistungen, zu denen die Aufrechthaltung der Ichorganisation gehört, einzustellen. In all diesen Fällen entsteht ungefähr dasselbe Bild der Neurose; die Neurose hat immer den gleichen psychologischen Mechanismus, aber, wie wir erkennen, die mannigfachste, oft sehr zusammengesetzte Ätiologie.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»Jetzt gefallen Sie mir besser, Sie haben endlich gesprochen wie ein Arzt. Nun erwarte ich das Zugeständnis, daß eine so komplizierte ärztliche Sache wie eine Neurose nur von einem Arzt gehandhabt werden kann.«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t xml:space="preserve">Ich besorge, Sie schießen damit über das Ziel hinaus. </w:t>
      </w:r>
      <w:r w:rsidRPr="005C67C8">
        <w:rPr>
          <w:rFonts w:ascii="Garamond" w:hAnsi="Garamond" w:cs="Arial"/>
          <w:color w:val="000000"/>
          <w:lang w:val="en-GB"/>
        </w:rPr>
        <w:t>Was wir besprochen haben, war ein Stück Pathologie, bei der Analyse handelt es sich um ein therapeutisches Verfahren. Ich räume ein, nein, ich fordere, daß der Arzt bei jedem Fall, der für die Analyse in Betracht kommt, vorerst die Diagnose stellen soll. Die übergroße Anzahl der Neurosen, die uns in Anspruch nehmen, sind zum Glück psychogener Natur und pathologisch unverdächtig. Hat der Arzt das konstatiert, so kann er die Behandlung ruhig dem Laienanalytiker überlassen. In unseren analytischen Gesellschaften ist es immer so gehalten worden. Dank dem innigen Kontakt zwischen ärztlichen und nichtärztlichen Mitgliedern sind die zu befürchtenden Irrungen so gut wie völlig vermieden worden. Es gibt dann noch einen zweiten Fall, in dem der Analytiker den Arzt zur Hilfe rufen muß. Im Verlaufe der analytischen Behandlung können – am ehesten körperliche – Symptome erscheinen, bei denen man zweifelhaft wird, ob man sie in den Zusammenhang der Neurose aufnehmen oder auf eine davon unabhängige, als Störung auftretende organische Erkrankung beziehen soll. Diese Entscheidung muß wiederum dem Arzt überlassen werden.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»Also kann der Laienanalytiker auch während der Analyse den Arzt nicht entbehren. Ein neues Argument gegen seine Brauchbarkeit.«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Nein, aus dieser Möglichkeit läßt sich kein Argument gegen den Laienanalytiker schmieden, denn der ärztliche Analytiker würde im gleichen Falle nicht anders handeln.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»Das verstehe ich nicht.«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Es besteht nämlich die technische Vorschrift, daß der Analytiker, wenn solch zweideutige Symptome während der Behandlung auftauchen, sie nicht seinem eigenen Urteil unterwirft, sondern von einem der Analyse fernstehenden Arzt, etwa einem Internisten, begutachten läßt, auch wenn er selbst Arzt ist und seinen medizinischen Kenntnissen noch vertraut.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»Und warum ist etwas, was mir so überflüssig erscheint, vorgeschrieben?«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lastRenderedPageBreak/>
        <w:t>Es ist nicht überflüssig, hat sogar mehrere Begründungen. Erstens läßt sich die Vereinigung organischer und psychischer Behandlung in einer Hand nicht gut durchführen, zweitens kann das Verhältnis der Übertragung es dem Analytiker unratsam machen, den Kranken körperlich zu untersuchen, und drittens hat der Analytiker allen Grund, an seiner Unbefangenheit zu zweifeln, da sein Interesse so intensiv auf die psychischen Momente eingestellt ist.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»Ihre Stellung zur Laienanalyse wird mir jetzt klar. Sie beharren dabei, daß es Laienanalytiker geben muß. Da Sie deren Unzulänglichkeit für ihre Aufgabe aber nicht bestreiten können, tragen Sie alles zusammen, was zur Entschuldigung und Erleichterung ihrer Existenz dienen kann. Ich sehe aber überhaupt nicht ein, wozu es Laienanalytiker geben soll, die doch nur Therapeuten zweiter Klasse sein können. Ich will meinetwegen von den paar Laien absehen, die bereits zu Analytikern ausgebildet sind, aber neue sollten nicht geschaffen werden, und die Lehrinstitute müßten sich verpflichten, Laien nicht mehr zur Ausbildung anzunehmen.«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Ich bin mit Ihnen einverstanden, wenn sich zeigen läßt, daß durch diese Einschränkung allen in Betracht kommenden Interessen gedient ist. Gestehen Sie mir zu, daß diese Interessen von dreierlei Art sind, das der Kranken, das der Ärzte und – </w:t>
      </w:r>
      <w:r w:rsidRPr="005C67C8">
        <w:rPr>
          <w:rFonts w:ascii="Garamond" w:hAnsi="Garamond" w:cs="Arial"/>
          <w:i/>
          <w:iCs/>
          <w:color w:val="000000"/>
          <w:lang w:val="en-GB"/>
        </w:rPr>
        <w:t>last not least</w:t>
      </w:r>
      <w:r w:rsidRPr="005C67C8">
        <w:rPr>
          <w:rFonts w:ascii="Garamond" w:hAnsi="Garamond" w:cs="Arial"/>
          <w:color w:val="000000"/>
          <w:lang w:val="en-GB"/>
        </w:rPr>
        <w:t xml:space="preserve"> – das der Wissenschaft, das ja die Interessen aller zukünftigen Kranken miteinschließt. Wollen wir diese drei Punkte miteinander untersuchen?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Nun, für den Kranken ist es gleichgiltig, ob der Analytiker Arzt ist oder nicht, wenn nur die Gefahr einer Verkennung seines Zustandes durch die angeforderte ärztliche Begutachtung vor Beginn der Behandlung und bei gewissen Zwischenfällen während derselben ausgeschaltet wird. Für ihn ist es ungleich wichtiger, daß der Analytiker über die persönlichen Eigenschaften verfügt, die ihn vertrauenswürdig machen, und daß er jene Kenntnisse und Einsichten sowie jene Erfahrungen erworben hat, die ihn allein zur Erfüllung seiner Aufgabe befähigen. Man könnte meinen, daß es der Autorität des Analytikers schaden muß, wenn der Patient weiß, daß er kein Arzt ist und in manchen Situationen der Anlehnung an den Arzt nicht entbehren kann. Wir haben es selbstverständlich niemals unterlassen, die Patienten über die Qualifikation des Analytikers zu unterrichten, und konnten uns überzeugen, daß die Standesvorurteile bei ihnen keinen Anklang finden, daß sie bereit sind, die Heilung anzunehmen, von welcher Seite immer sie ihnen geboten wird, was übrigens der Ärztestand zu seiner lebhaften Kränkung längst erfahren hat. Auch sind ja die Laienanalytiker, die heute Analyse ausüben, keine beliebigen, hergelaufenen Individuen, sondern Personen von akademischer Bildung, Doktoren der Philosophie, Pädagogen und einzelne Frauen von großer Lebenserfahrung und überragender Persönlichkeit. Die Analyse, der sich alle Kandidaten eines analytischen Lehrinstituts unterziehen müssen, ist gleichzeitig der beste Weg, um über ihre persönliche Eignung zur Ausübung der anspruchsvollen Tätigkeit Aufschluß zu gewinnen.</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rPr>
        <w:t>Nun zum Interesse der Ärzte. Ich kann nicht glauben, daß es durch die Einverleibung der Psychoanalyse in die Medizin zu gewinnen hat. Das medizinische Studium dauert jetzt schon fünf Jahre, die Ablegung der letzten Prüfungen reicht weit in ein sechstes Jahr. Alle paar Jahre tauchen neue Ansprüche an den Studenten auf, ohne deren Erfüllung seine Ausrüstung für seine Zukunft als unzureichend erklärt werden müßte. Der Zugang zum ärztlichen Beruf ist ein sehr schwerer, seine Ausübung weder sehr befriedigend noch sehr vorteilhaft. Macht man sich die gewiß vollberechtigte Forderung zu eigen, daß der Arzt auch mit der seelischen Seite des Krankseins vertraut sein müsse, und dehnt darum die ärztliche Erziehung auf ein Stück Vorbereitung für die Analyse aus, so bedeutet das eine weitere Vergrößerung des Lehrstoffes und die entsprechende Verlängerung der Studentenjahre. Ich weiß nicht, ob die Ärzte von einer solchen Folgerung aus ihrem Anspruch auf die Psychoanalyse befriedigt sein werden. Sie läßt sich aber kaum abweisen. Und dies in einer Zeitperiode, da die Bedingungen der materiellen Existenz sich für die Stände, aus denen sich die Ärzte rekrutieren, so sehr verschlechtert haben, daß die junge Generation sich dazu gedrängt sieht, sich möglichst bald selbst zu erhalten.</w:t>
      </w:r>
    </w:p>
    <w:p w:rsidR="005D30C2" w:rsidRPr="005C67C8" w:rsidRDefault="005D30C2" w:rsidP="005D30C2">
      <w:pPr>
        <w:shd w:val="clear" w:color="auto" w:fill="FFFFFF"/>
        <w:spacing w:before="120" w:after="120" w:line="124" w:lineRule="atLeast"/>
        <w:rPr>
          <w:rFonts w:ascii="Garamond" w:hAnsi="Garamond" w:cs="Arial"/>
          <w:color w:val="000000"/>
        </w:rPr>
      </w:pPr>
      <w:r w:rsidRPr="005C67C8">
        <w:rPr>
          <w:rFonts w:ascii="Garamond" w:hAnsi="Garamond" w:cs="Arial"/>
          <w:color w:val="000000"/>
        </w:rPr>
        <w:t>Sie wollen aber vielleicht das ärztliche Studium nicht mit der Vorbereitung für die analytische Praxis belasten und halten es für zweckmäßiger, daß die zukünftigen Analytiker sich erst nach Vollendung ihrer medizinischen Studien um die erforderliche Ausbildung bekümmern. Sie können sagen, daß der dadurch verursachte Zeitverlust praktisch nicht in Betracht kommt, weil ein junger Mann vor dreißig Jahren doch niemals das Zutrauen beim Patienten genießen wird, welches die Bedingung einer seelischen Hilfeleistung ist. Darauf wäre zwar zu antworten, daß auch der neugebackene Arzt für körperliche Leiden nicht auf allzu großen Respekt bei den Kranken zu rechnen hat und daß der junge Analytiker seine Zeit sehr wohl damit ausfüllen könnte, an einer psychoanalytischen Poliklinik unter der Kontrolle erfahrener Praktiker zu arbeiten.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rPr>
        <w:lastRenderedPageBreak/>
        <w:t xml:space="preserve">Wichtiger erscheint mir aber, daß Sie mit diesem Vorschlag eine Kraftvergeudung befürworten, die in diesen schweren Zeiten wirklich keine ökonomische Rechtfertigung finden kann. Die analytische Ausbildung überschneidet zwar den Kreis der ärztlichen Vorbereitung, schließt diesen aber nicht ein und wird nicht von ihm eingeschlossen. Wenn man, was heute noch phantastisch klingen mag, eine psychoanalytische Hochschule zu gründen hätte, so müßte an dieser vieles gelehrt werden, was auch die medizinische Fakultät lehrt: neben der Tiefenpsychologie, die immer das Hauptstück bleiben würde, eine Einführung in die Biologie, in möglichst großem Umfang die Kunde vom Sexualleben, eine Bekanntheit mit den Krankheitsbildern der Psychiatrie. Anderseits würde der analytische Unterricht auch Fächer umfassen, die dem Arzt ferneliegen und mit denen er in seiner Tätigkeit nicht zusammenkommt: Kulturgeschichte, Mythologie, Religionspsychologie und Literaturwissenschaft. Ohne eine gute Orientierung auf diesen Gebieten steht der Analytiker einem großen Teil seines Materials verständnislos gegenüber. Dafür kann er die Hauptmasse dessen, was die medizinische Schule lehrt, für seine Zwecke nicht gebrauchen. Sowohl die Kenntnis der Fußwurzelknochen als auch die der Konstitution der Kohlenwasserstoffe, des Verlaufs der Hirnnervenfasern, alles, was die Medizin über bazilläre Krankheitserreger und deren Bekämpfung, über Serumreaktionen und Gewebsneubildungen an den Tag gebracht hat: alles gewiß an sich höchst schätzenswert, ist für ihn doch völlig belanglos, geht ihn nichts an, hilft ihm weder direkt dazu, eine Neurose zu verstehen und zu heilen, noch trägt dieses Wissen zur Schärfung jener intellektuellen Fähigkeiten bei, an welche seine Tätigkeit die größten Anforderungen stellt. </w:t>
      </w:r>
      <w:r w:rsidRPr="005C67C8">
        <w:rPr>
          <w:rFonts w:ascii="Garamond" w:hAnsi="Garamond" w:cs="Arial"/>
          <w:color w:val="000000"/>
          <w:lang w:val="en-GB"/>
        </w:rPr>
        <w:t>Man wende nicht ein, der Fall liege so ähnlich, wenn sich der Arzt einer anderen medizinischen Spezialität, z. B. der Zahnheilkunde, zuwendet. Auch dann kann er manches nicht brauchen, worüber er Prüfung ablegen mußte, und muß vieles dazulernen, worauf ihn die Schule nicht vorbereitet hatte. Die beiden Fälle sind doch nicht gleichzusetzen. Auch für die Zahnheilkunde behalten die großen Gesichtspunkte der Pathologie, die Lehren von der Entzündung, Eiterung, Nekrose, von der Wechselwirkung der Körperorgane, ihre Bedeutung; den Analytiker führt seine Erfahrung aber in eine andere Welt mit anderen Phänomenen und anderen Gesetzen. Wie immer sich die Philosophie über die Kluft zwischen Leiblichem und Seelischem hinwegsetzen mag, für unsere Erfahrung besteht sie zunächst und gar für unsere praktischen Bemühungen.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Es ist ungerecht und unzweckmäßig, einen Menschen, der den andern von der Pein einer Phobie oder einer Zwangsvorstellung befreien will, zum Umweg über das medizinische Studium zu zwingen. Es wird auch keinen Erfolg haben, wenn es nicht gelingt, die Analyse überhaupt zu unterdrücken. Stellen Sie sich eine Landschaft vor, in der zu einem gewissen Aussichtspunkt zwei Wege führen, der eine kurz und geradlinig, der andere lang, gewunden und umwegig. Den kurzen Weg versuchen Sie durch eine Verbottafel zu sperren, vielleicht, weil er an einigen Blumenbeeten vorbeiführt, die Sie geschont wissen wollen. Sie haben nur dann Aussicht, daß Ihr Verbot respektiert wird, wenn der kurze Weg steil und mühselig ist, während der längere sanft aufwärts führt. Verhält es sich aber anders und ist im Gegenteil der Umweg der beschwerlichere, so können Sie leicht den Nutzen Ihres Verbots und das Schicksal Ihrer Blumenbeete erraten. Ich besorge, Sie werden die Laien ebensowenig zwingen können, Medizin zu studieren, wie es mir gelingen wird, die Ärzte zu bewegen, daß sie Analyse lernen. Sie kennen ja auch die menschliche Natur.</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»Wenn Sie recht haben, daß die analytische Behandlung nicht ohne besondere Ausbildung auszuüben ist, daß aber das medizinische Studium die Mehrbelastung durch eine Vorbereitung dafür nicht verträgt und daß die medizinischen Kenntnisse für den Analytiker großenteils überflüssig sind, wohin kommen wir dann mit der Erzielung der idealen ärztlichen Persönlichkeit, die allen Aufgaben ihres Berufes gewachsen sein soll?«</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kann nicht vorhersehen, welcher der Ausweg aus diesen Schwierigkeiten sein wird, bin auch nicht dazu berufen, ihn anzugeben. Ich sehe nur zweierlei, erstens, daß die Analyse für Sie eine Verlegenheit ist, sie sollte am besten nicht existieren – gewiß, auch der Neurotiker ist eine Verlegenheit –, und zweitens, daß vorläufig allen Interessen Rechnung getragen wird, wenn sich die Ärzte entschließen, eine Klasse von Therapeuten zu tolerieren, die ihnen die mühselige Behandlung der so enorm häufigen psychogenen Neurosen abnimmt und zum Vorteil dieser Kranken in steter Fühlung mit ihnen bleibt.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»Ist das Ihr letztes Wort in dieser Angelegenheit, oder haben Sie noch etwas zu sagen?«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Gewiß, ich wollte ja noch ein drittes Interesse in Betracht ziehen, das der Wissenschaft. Was ich da zu sagen habe, wird Ihnen wenig nahegehen, desto mehr bedeutet es mir.</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lastRenderedPageBreak/>
        <w:t>Wir halten es nämlich gar nicht für wünschenswert, daß die Psychoanalyse von der Medizin verschluckt werde und dann ihre endgiltige Ablagerung im Lehrbuch der Psychiatrie finde, im Kapitel Therapie, neben Verfahren wie hypnotische Suggestion, Autosuggestion, Persuasion, die, aus unserer Unwissenheit geschöpft, ihre kurzlebigen Wirkungen der Trägheit und Feigheit der Menschenmassen danken. Sie verdient ein besseres Schicksal und wird es hoffentlich haben. Als »Tiefenpsychologie«, Lehre vom seelisch Unbewußten, kann sie all den Wissenschaften unentbehrlich werden, die sich mit der Entstehungsgeschichte der menschlichen Kultur und ihrer großen Institutionen wie Kunst, Religion und Gesellschaftsordnung beschäftigen. Ich meine, sie hat diesen Wissenschaften schon bis jetzt ansehnliche Hilfe zur Lösung ihrer Probleme geleistet, aber dies sind nur kleine Beiträge im Vergleich zu dem, was sich erreichen ließe, wenn Kulturhistoriker, Religionspsychologen, Sprachforscher usw. sich dazu verstehen werden, das ihnen zur Verfügung gestellte neue Forschungsmittel selbst zu handhaben. Der Gebrauch der Analyse zur Therapie der Neurosen ist nur eine ihrer Anwendungen; vielleicht wird die Zukunft zeigen, daß sie nicht die wichtigste ist. Jedenfalls wäre es unbillig, der einen Anwendung alle anderen zu opfern, bloß weil dies Anwendungsgebiet sich mit dem Kreis ärztlicher Interessen berührt.</w:t>
      </w:r>
    </w:p>
    <w:p w:rsidR="005D30C2" w:rsidRPr="005D30C2"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Denn hier entrollt sich ein weiter Zusammenhang, in den man nicht ohne Schaden eingreifen kann. Wenn die Vertreter der verschiedenen Geisteswissenschaften die Psychoanalyse erlernen sollen, um deren Methoden und Gesichtspunkte auf ihr Material anzuwenden, so reicht es nicht aus, daß sie sich an die Ergebnisse halten, die in der analytischen Literatur niedergelegt sind. Sie werden die Analyse verstehen lernen müssen auf dem einzigen Weg, der dazu offensteht, indem sie sich selbst einer Analyse unterziehen. Zu den Neurotikern, die der Analyse bedürfen, käme so eine zweite Klasse von Personen hinzu, die die Analyse aus intellektuellen Motiven annehmen, die nebenbei erzielte Erhöhung ihrer Leistungsfähigkeit aber gewiß gerne begrüßen werden. Zur Durchführung dieser Analysen bedarf es einer Anzahl von Analytikern, für die etwaige Kenntnisse in der Medizin besonders geringe Bedeutung haben werden. Aber diese – Lehranalytiker wollen wir sie heißen – müssen eine besonders sorgfältige Ausbildung erfahren haben. Will man ihnen diese nicht verkümmern, so muß man ihnen Gelegenheit geben, Erfahrungen an lehrreichen und beweisenden Fällen zu sammeln, und da gesunde Menschen, denen auch das Motiv der Wißbegierde abgeht, sich nicht einer Analyse unterziehen, können es wiederum nur Neurotiker sein, an denen – unter sorgsamer Kontrolle – die Lehranalytiker für ihre spätere, nichtärztliche Tätigkeit erzogen werden. </w:t>
      </w:r>
      <w:r w:rsidRPr="005D30C2">
        <w:rPr>
          <w:rFonts w:ascii="Garamond" w:hAnsi="Garamond" w:cs="Arial"/>
          <w:color w:val="000000"/>
          <w:lang w:val="en-GB"/>
        </w:rPr>
        <w:t>Das Ganze erfordert aber ein gewisses Maß von Bewegungsfreiheit und verträgt keine kleinlichen Beschränkungen.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D30C2">
        <w:rPr>
          <w:rFonts w:ascii="Garamond" w:hAnsi="Garamond" w:cs="Arial"/>
          <w:color w:val="000000"/>
          <w:lang w:val="en-GB"/>
        </w:rPr>
        <w:t xml:space="preserve">Vielleicht glauben Sie nicht an diese rein theoretischen Interessen der Psychoanalyse oder wollen ihnen keinen Einfluß auf die praktische Frage der Laienanalyse einräumen. Dann lassen Sie sich mahnen, daß es noch ein anderes Anwendungsgebiet der Psychoanalyse gibt, das dem Bereich des Kurpfuschergesetzes entzogen ist und auf das die Ärzte kaum Anspruch erheben werden. Ich meine ihre Verwendung in der Pädagogik. Wenn ein Kind anfängt, die Zeichen einer unerwünschten Entwicklung zu äußern, verstimmt, störrisch und unaufmerksam wird, so wird der Kinderarzt und selbst der Schularzt nichts für dasselbe tun können, selbst dann nicht, wenn das Kind deutlich nervöse Erscheinungen wie Ängstlichkeiten, Eßunlust, Erbrechen, Schlafstörung produziert. Eine Behandlung, die analytische Beeinflussung mit erzieherischen Maßnahmen vereinigt, von Personen ausgeführt, die es nicht verschmähen, sich um die Verhältnisse des kindlichen Milieus zu bekümmern, und die es verstehen, sich den Zugang zum Seelenleben des Kindes zu bahnen, bringt in einem beides zustande, die nervösen Symptome aufzuheben und die beginnende Charakterveränderung rückgängig zu machen. </w:t>
      </w:r>
      <w:r w:rsidRPr="005C67C8">
        <w:rPr>
          <w:rFonts w:ascii="Garamond" w:hAnsi="Garamond" w:cs="Arial"/>
          <w:color w:val="000000"/>
          <w:lang w:val="en-GB"/>
        </w:rPr>
        <w:t>Unsere Einsicht in die Bedeutung der oft unscheinbaren Kinderneurosen als Disposition für schwere Erkrankungen des späteren Lebens weist uns auf diese Kinderanalysen als einen ausgezeichneten Weg der Prophylaxis hin. Es gibt unleugbar noch Feinde der Analyse; ich weiß nicht, welche Mittel ihnen zu Gebote stehen, um auch der Tätigkeit dieser pädagogischen Analytiker oder analytischen Pädagogen in den Arm zu fallen, halte es auch für nicht leicht möglich. Aber freilich, man soll sich nie zu sicher fühlen.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Übrigens, um zu unserer Frage der analytischen Behandlung erwachsener Nervöser zurückzukehren, auch hier haben wir noch nicht alle Gesichtspunkte erschöpft. Unsere Kultur übt einen fast unerträglichen Druck auf uns aus, sie verlangt nach einem Korrektiv. Ist es zu phantastisch zu erwarten, daß die Psychoanalyse trotz ihrer Schwierigkeiten zur Leistung berufen sein könnte, die Menschen für ein solches Korrektiv vorzubereiten? Vielleicht kommt noch einmal ein Amerikaner auf den Einfall, es sich ein Stück Geld kosten zu lassen, um die </w:t>
      </w:r>
      <w:r w:rsidRPr="005C67C8">
        <w:rPr>
          <w:rFonts w:ascii="Garamond" w:hAnsi="Garamond" w:cs="Arial"/>
          <w:i/>
          <w:iCs/>
          <w:color w:val="000000"/>
          <w:lang w:val="en-GB"/>
        </w:rPr>
        <w:t>social workers</w:t>
      </w:r>
      <w:r w:rsidRPr="005C67C8">
        <w:rPr>
          <w:rFonts w:ascii="Garamond" w:hAnsi="Garamond" w:cs="Arial"/>
          <w:color w:val="000000"/>
          <w:lang w:val="en-GB"/>
        </w:rPr>
        <w:t xml:space="preserve"> seines Landes analytisch zu schulen und eine Hilfstruppe zur Bekämpfung der kulturellen Neurosen aus ihnen zu machen.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lastRenderedPageBreak/>
        <w:t>»Aha, eine neue Art von Heilsarmee.«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Warum nicht, unsere Phantasie arbeitet ja immer nach Mustern. Der Strom von Lernbegierigen, der dann nach Europa fluten wird, wird an Wien vorbeigehen müssen, denn hier mag die analytische Entwicklung einem frühzeitigen Verbottrauma erlegen sein. Sie lächeln? Ich sage das nicht, um Ihr Urteil zu bestechen, gewiß nicht. Ich weiß ja, Sie schenken mir keinen Glauben, kann Ihnen auch nicht dafür einstehen, daß es so kommen wird. Aber eines weiß ich. Es ist nicht gar so wichtig, welche Entscheidung Sie in der Frage der Laienanalyse fällen. Es kann eine lokale Wirkung haben. Aber das, worauf es ankommt, die inneren Entwicklungsmöglichkeiten der Psychoanalyse, sind doch durch Verordnungen und Verbote nicht zu treffen.</w:t>
      </w:r>
    </w:p>
    <w:p w:rsidR="005D30C2" w:rsidRPr="005C67C8" w:rsidRDefault="005D30C2" w:rsidP="005D30C2">
      <w:pPr>
        <w:shd w:val="clear" w:color="auto" w:fill="FFFFFF"/>
        <w:spacing w:before="221" w:after="44" w:line="306" w:lineRule="atLeast"/>
        <w:outlineLvl w:val="3"/>
        <w:rPr>
          <w:rFonts w:ascii="Garamond" w:hAnsi="Garamond" w:cs="Arial"/>
          <w:b/>
          <w:bCs/>
          <w:color w:val="000000"/>
        </w:rPr>
      </w:pPr>
      <w:r w:rsidRPr="005C1841">
        <w:rPr>
          <w:rFonts w:ascii="Garamond" w:hAnsi="Garamond" w:cs="Arial"/>
          <w:b/>
          <w:bCs/>
          <w:color w:val="000000"/>
        </w:rPr>
        <w:br w:type="page"/>
      </w:r>
      <w:hyperlink w:anchor="Laienanalyse_INHALT" w:history="1">
        <w:r w:rsidRPr="005C67C8">
          <w:rPr>
            <w:rStyle w:val="Lienhypertexte"/>
            <w:rFonts w:ascii="Garamond" w:hAnsi="Garamond" w:cs="Arial"/>
            <w:b/>
            <w:bCs/>
          </w:rPr>
          <w:t>Na</w:t>
        </w:r>
        <w:bookmarkStart w:id="326" w:name="Laienanalyse_Nachwort"/>
        <w:bookmarkEnd w:id="326"/>
        <w:r w:rsidRPr="005C67C8">
          <w:rPr>
            <w:rStyle w:val="Lienhypertexte"/>
            <w:rFonts w:ascii="Garamond" w:hAnsi="Garamond" w:cs="Arial"/>
            <w:b/>
            <w:bCs/>
          </w:rPr>
          <w:t>chwort zur  « Frage der Laienanalyse » (1927)</w:t>
        </w:r>
      </w:hyperlink>
    </w:p>
    <w:p w:rsidR="005D30C2" w:rsidRPr="005C67C8" w:rsidRDefault="005D30C2" w:rsidP="005D30C2">
      <w:pPr>
        <w:shd w:val="clear" w:color="auto" w:fill="FFFFFF"/>
        <w:spacing w:before="221" w:after="44" w:line="306" w:lineRule="atLeast"/>
        <w:outlineLvl w:val="3"/>
        <w:rPr>
          <w:rFonts w:ascii="Garamond" w:hAnsi="Garamond" w:cs="Arial"/>
          <w:b/>
          <w:bCs/>
          <w:color w:val="000000"/>
        </w:rPr>
      </w:pP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Der unmittelbare Anlaß zur Abfassung meiner kleinen Schrift, an welche die hier vorstehenden Diskussionen anknüpfen, war die Anklage unseres nichtärztlichen Kollegen Dr. Th. Reik wegen Kurpfuscherei bei der Wiener Behörde. Es dürfte allgemein bekanntgeworden sein, daß diese Klage fallengelassen wurde, nachdem alle Vorerhebungen durchgeführt und verschiedene Gutachten eingeholt worden waren. Ich glaube nicht, daß dies ein Erfolg meines Buches war; der Fall lag wohl zu ungünstig für die Klageführung, und die Person, die sich als geschädigt beschwert hatte, erwies sich als wenig vertrauenswürdig. Die Einstellung des Verfahrens gegen Dr. Reik hat wahrscheinlich nicht die Bedeutung einer prinzipiellen Entscheidung des Wiener Gerichts in der Frage der Laienanalyse. Als ich die Figur des »unparteiischen« Partners in meiner Tendenzschrift schuf, schwebte mir die Person eines unserer hohen Funktionäre vor, eines Mannes von wohlwollender Gesinnung und nicht gewöhnlicher Integrität, mit dem ich selbst ein Gespräch über die Causa Reik geführt und dem ich dann, wie er gewünscht, ein privates Gutachten darüber überreicht hatte. Ich wußte, daß es mir nicht gelungen war, ihn zu meiner Ansicht zu bekehren, und darum ließ ich auch meinen Dialog mit dem Unparteiischen nicht in eine Einigung ausgehen.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Ich habe auch nicht erwartet, daß es mir gelingen werde, eine einheitliche Stellungnahme zum Problem der Laienanalyse bei den Analytikern selbst herbeizuführen. Wer in dieser Sammlung die Äußerung der Ungarischen Gesellschaft mit der der New Yorker Gruppe zusammenhält, wird vielleicht annehmen, meine Schrift habe gar nichts ausgerichtet, jedermann halte den Standpunkt fest, den er auch vorher vertreten. Allein auch dies glaube ich nicht. Ich meine, viele Kollegen werden ihre extreme Parteinahme ermäßigt haben, die meisten haben meine Auffassung angenommen, daß das Problem der Laienanalyse nicht nach hergebrachten Gepflogenheiten entschieden werden darf, sondern einer neuartigen Situation entspringt und darum eine neue Urteilsfällung fordert.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Auch die Wendung, die ich der ganzen Frage gegeben, scheint Beifall gefunden zu haben. Ich hatte ja den Satz in den Vordergrund gerückt, es käme nicht darauf an, ob der Analytiker ein ärztliches Diplom besitzt, sondern ob er die besondere Ausbildung erworben hat, deren es zur Ausübung der Analyse bedarf. Daran konnte die Frage anknüpfen, über die die Kollegen so eifrig diskutiert haben, welche die für den Analytiker geeignetste Ausbildung sei. Ich meinte und vertrete es auch jetzt, es sei nicht die, welche die Universität dem künftigen Arzt vorschreibt. Die sogenannte ärztliche Ausbildung erscheint mir als ein beschwerlicher Umweg zum analytischen Beruf, sie gibt dem Analytiker zwar vieles, was ihm unentbehrlich ist, lädt ihm aber außerdem zuviel auf, was er nie verwerten kann, und bringt die Gefahr mit sich, daß sein Interesse wie seine Denkweise von der Erfassung der psychischen Phänomene abgelenkt wird. Der Unterrichtsplan für den Analytiker ist erst zu schaffen, er muß geisteswissenschaftlichen Stoff, psychologischen, kulturhistorischen, soziologischen ebenso umfassen wie anatomischen, biologischen und entwicklungsgeschichtlichen. Es gibt dabei soviel zu lehren, daß man gerechtfertigt ist, aus dem Unterricht wegzulassen, was keine direkte Beziehung zur analytischen Tätigkeit hat und nur indirekt wie jedes andere Studium zur Schulung des Intellekts und der sinnlichen Beobachtung beitragen kann. Es ist bequem, gegen diesen Vorschlag einzuwenden, solche analytische Hochschulen gebe es nicht, das sei eine Idealforderung. Jawohl, ein Ideal, aber eines, das realisiert werden kann und realisiert werden muß. Unsere Lehrinstitute sind bei all ihrer jugendlichen Unzulänglichkeit doch bereits der Beginn einer solchen Realisierung.</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Es wird meinen Lesern nicht entgangen sein, daß ich im vorstehenden etwas wie selbstverständlich vorausgesetzt habe, was in den Diskussionen noch heftig umstritten wird. Nämlich, daß die Psychoanalyse kein Spezialfach der Medizin ist. Ich sehe nicht, wie man sich sträuben kann, das zu erkennen. Die Psychoanalyse ist ein Stück Psychologie, auch nicht medizinische Psychologie im alten Sinne oder Psychologie der krankhaften Vorgänge, sondern Psychologie schlechtweg, gewiß nicht das Ganze der Psychologie, sondern ihr Unterbau, vielleicht überhaupt ihr Fundament. Man lasse sich durch die Möglichkeit ihrer Anwendung zu medizinischen Zwecken nicht irreführen, auch die Elektrizität und die Röntgenstrahlen haben Verwendung in der Medizin gefunden, aber die Wissenschaft von beiden ist doch die Physik. Auch historische Argumente können an dieser Zugehörigkeit nichts ändern. Die ganze Lehre von der Elektrizität hat ihren Ausgang von einer Beobachtung am Nervmuskelpräparat genommen, </w:t>
      </w:r>
      <w:r w:rsidRPr="005C67C8">
        <w:rPr>
          <w:rFonts w:ascii="Garamond" w:hAnsi="Garamond" w:cs="Arial"/>
          <w:color w:val="000000"/>
          <w:lang w:val="en-GB"/>
        </w:rPr>
        <w:lastRenderedPageBreak/>
        <w:t>darum fällt es heute doch niemand ein zu behaupten, sie sei ein Stück der Physiologie. Für die Psychoanalyse bringt man vor, sie sei doch von einem Arzt erfunden worden bei seinen Bemühungen, Kranken zu helfen. Aber das ist für ihre Beurteilung offenbar gleichgiltig. Auch ist dies historische Argument recht gefährlich. In seiner Fortsetzung könnte man daran erinnern, wie unfreundlich, ja, wie gehässig abweisend sich die Ärzteschaft von Anfang an gegen die Analyse benommen hat; daraus würde folgern, daß sie auch heute kein Anrecht auf die Analyse hat. Und wirklich – obwohl ich eine solche Folgerung zurückweise –, ich bin noch heute mißtrauisch, ob die Werbung der Ärzte um die Psychoanalyse vom Standpunkt der Libidotheorie auf die erste oder die zweite der Abrahamschen Unterstufen zurückzuführen ist, ob es sich dabei um eine Besitzergreifung mit der Absicht der Zerstörung oder der Erhaltung des Objekts handelt.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Um beim historischen Argument noch einen Augenblick zu verweilen: Da es sich um meine Person handelt, kann ich dem, der sich dafür interessiert, einigen Einblick in meine eigenen Motive geben. Nach 41jähriger ärztlicher Tätigkeit sagt mir meine Selbsterkenntnis, ich sei eigentlich kein richtiger Arzt gewesen. Ich bin Arzt geworden durch eine mir aufgedrängte Ablenkung meiner ursprünglichen Absicht, und mein Lebenstriumph liegt darin, daß ich nach großem Umweg die anfängliche Richtung wiedergefunden habe. Aus frühen Jahren ist mir nichts von einem Bedürfnis, leidenden Menschen zu helfen, bekannt, meine sadistische Veranlagung war nicht sehr groß, so brauchte sich dieser ihrer Abkömmlinge nicht zu entwickeln. Ich habe auch niemals »Doktor« gespielt, meine infantile Neugierde ging offenbar andere Wege. In den Jugendjahren wurde das Bedürfnis, etwas von den Rätseln dieser Welt zu verstehen und vielleicht selbst etwas zu ihrer Lösung beizutragen, übermächtig. Die Inskription an der medizinischen Fakultät schien der beste Weg dazu, aber dann versuchte ich's – erfolglos – mit der Zoologie und der Chemie, bis ich unter dem Einfluß v. Brückes, der größten Autorität, die je auf mich gewirkt hat, an der Physiologie haftenblieb, die sich damals freilich zu sehr auf Histologie einschränkte. Ich hatte dann bereits alle medizinischen Prüfungen abgelegt, ohne mich für etwas Ärztliches zu interessieren, bis ein Mahnwort des verehrten Lehrers mir sagte, daß ich in meiner armseligen materiellen Situation eine theoretische Laufbahn vermeiden müßte. So kam ich von der Histologie des Nervensystems zur Neuropathologie und auf Grund neuer Anregungen zur Bemühung um die Neurosen. Ich meine aber, mein Mangel an der richtigen ärztlichen Disposition hat meinen Patienten nicht sehr geschadet. Denn der Kranke hat nicht viel davon, wenn das therapeutische Interesse beim Arzt affektiv überbetont ist. Für ihn ist es am besten, wenn der Arzt kühl und möglichst korrekt arbeitet.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Der vorstehende Bericht hat gewiß wenig zur Klärung des Problems der Laienanalyse beigetragen. Er sollte bloß meine persönliche Legitimation bekräftigen, wenn gerade ich für den Eigenwert der Psychoanalyse und ihre Unabhängigkeit von ihrer medizinischen Anwendung eintrete. Man wird mir aber hier entgegenhalten, ob die Psychoanalyse als Wissenschaft ein Teilgebiet der Medizin oder der Psychologie ist, sei eine Doktorfrage, praktisch ganz uninteressant. Was in Rede stehe, sei etwas anderes, eben die Verwendung der Analyse zur Behandlung von Kranken, und insofern sie dies beanspruche, müsse sie sich's gefallen lassen, als Spezialfach in die Medizin aufgenommen zu werden, wie z. B. die Röntgenologie, und sich den für alle therapeutischen Methoden geltenden Vorschriften unterwerfen. Ich anerkenne das, gestehe es zu, ich will nur verhütet wissen, daß die Therapie die Wissenschaft erschlägt. Leider reichen alle Vergleiche nur ein Stück weit, es kommt dann ein Punkt, von dem an die beiden Verglichenen auseinandergehen. Der Fall der Analyse liegt anders als der der Röntgenologie; die Physiker brauchen den kranken Menschen nicht, um die Gesetze der Röntgenstrahlen zu studieren. Die Analyse aber hat kein anderes Material als die seelischen Vorgänge des Menschen, kann nur am Menschen studiert werden; infolge besonderer, leicht begreiflicher Verhältnisse ist der neurotische Mensch weit lehrreicheres und zugänglicheres Material als der Normale, und wenn man einem, der die Analyse erlernen und anwenden will, dies Material entzieht, hat man ihn um die gute Hälfte seiner Bildungsmöglichkeiten verkürzt. Es liegt mir natürlich ferne zu fordern, daß das Interesse des neurotisch Kranken dem des Unterrichts und der wissenschaftlichen Forschung zum Opfer gebracht werde. Meine kleine Schrift zur Frage der Laienanalyse bemüht sich eben zu zeigen, daß unter Beobachtung gewisser Kautelen beiderlei Interessen sehr wohl in Einklang gebracht werden können und daß eine solche Lösung nicht zuletzt auch dem richtig verstandenen ärztlichen Interesse dient.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Diese Kautelen habe ich alle selbst angeführt; ich darf sagen, die Diskussion hat hier nichts Neues hinzugefügt; ich möchte noch aufmerksam machen, sie hat oft die Akzente in einer Weise verteilt, die der Wirklichkeit nicht gerecht wird. Es ist alles richtig, was über die Schwierigkeit der Differentialdiagnose, die Unsicherheit in der Beurteilung körperlicher Symptome in vielen Fällen gesagt wurde, was also ärztliches </w:t>
      </w:r>
      <w:r w:rsidRPr="005C67C8">
        <w:rPr>
          <w:rFonts w:ascii="Garamond" w:hAnsi="Garamond" w:cs="Arial"/>
          <w:color w:val="000000"/>
          <w:lang w:val="en-GB"/>
        </w:rPr>
        <w:lastRenderedPageBreak/>
        <w:t>Wissen oder ärztliche Einmengung notwendig macht, aber die Anzahl der Fälle, in denen solche Zweifel überhaupt nicht auftauchen, der Arzt nicht gebraucht wird, ist doch noch ungleich größer. Diese Fälle mögen wissenschaftlich recht uninteressant sein, im Leben spielen sie eine genug wichtige Rolle, um die Tätigkeit des Laienanalytikers, der ihnen vollauf gewachsen ist, zu rechtfertigen. Ich habe vor einiger Zeit einen Kollegen analysiert, der eine besonders scharfe Ablehnung dagegen entwickelte, daß jemand sich eine ärztliche Tätigkeit gestatte, der nicht selbst Arzt ist. Ich konnte ihm sagen: »Wir arbeiten jetzt länger als drei Monate. An welcher Stelle unserer Analyse war ich veranlaßt, mein ärztliches Wissen in Anspruch zu nehmen?« Er gestand zu, daß sich kein Anlaß dafür gefunden hatte.</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Auch das Argument, daß der Laienanalytiker, weil er bereit sein muß, den Arzt zu konsultieren, beim Kranken keine Autorität erwerben und kein höheres Ansehen als das eines Heilgehilfen, Masseurs u. dgl. erreichen kann, schätze ich nicht hoch ein. Die Analogie dürfte wiederum nicht zutreffen, abgesehen davon, daß der Kranke die Autorität nach seiner Gefühlsübertragung zu verleihen pflegt und daß der Besitz eines ärztlichen Diploms ihm lange nicht so imponiert, wie der Arzt glaubt. Der berufsmäßige Laienanalytiker wird es nicht schwer haben, sich das Ansehen zu verschaffen, das ihm als einem weltlichen Seelsorger gebührt. Mit der Formel »Weltliche Seelsorge« könnte man überhaupt die Funktion beschreiben, die der Analytiker, sei er nun Arzt oder Laie, dem Publikum gegenüber zu erfüllen hat. Unsere Freunde unter den protestantischen und neuerlich auch katholischen Geistlichen befreien oft ihre Pfarrkinder von ihren Lebenshemmungen, indem sie ihre Gläubigkeit herstellen, nachdem sie ihnen ein Stück analytischer Aufklärung über ihre Konflikte geboten haben. Unsere Gegner, die Adlerschen Individualpsychologen, erstreben dieselbe Änderung bei den haltlos und untüchtig Gewordenen, indem sie ihr Interesse für soziale Gemeinschaft wecken, nachdem sie ihnen einen einzigen Winkel ihres Seelenlebens beleuchtet und ihnen gezeigt haben, welchen Anteil ihre egoistischen und mißtrauischen Regungen an ihrem Kranksein haben. Beide Verfahren, die ihre Kraft der Anlehnung an die Analyse verdanken, haben ihren Platz in der Psychotherapie. Wir Analytiker setzen uns eine möglichst vollständige und tiefreichende Analyse des Patienten zum Ziel, wir wollen ihn nicht durch die Aufnahme in die katholische, protestantische oder sozialistische Gemeinschaft entlasten, sondern ihn aus seinem eigenen Inneren bereichern, indem wir seinem Ich die Energien zuführen, die durch Verdrängung unzugänglich in seinem Unbewußten gebunden sind, und jene anderen, die das Ich in unfruchtbarer Weise zur Aufrechterhaltung der Verdrängungen verschwenden muß. Was wir so treiben, ist Seelsorge im besten Sinne. Ob wir uns damit ein zu hohes Ziel gesteckt haben? Ob auch nur die Mehrzahl unserer Patienten der Mühe wert ist, die wir für diese Arbeit verbrauchen? Ob es nicht ökonomischer ist, das Defekte von außen zu stützen, als von innen zu reformieren? Ich kann es nicht sagen, aber etwas anderes weiß ich. In der Psychoanalyse bestand von Anfang ein Junktim zwischen Heilen und Forschen, die Erkenntnis brachte den Erfolg, man konnte nicht behandeln, ohne etwas Neues zu erfahren, man gewann keine Aufklärung, ohne ihre wohltätige Wirkung zu erleben. Unser analytisches Verfahren ist das einzige, bei dem dies kostbare Zusammentreffen gewahrt bleibt. Nur wenn wir analytische Seelsorge treiben, vertiefen wir unsere eben aufdämmernde Einsicht in das menschliche Seelenleben. Diese Aussicht auf wissenschaftlichen Gewinn war der vornehmste, erfreulichste Zug der analytischen Arbeit; dürfen wir sie irgendwelchen praktischen Erwägungen zum Opfer bringen?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 xml:space="preserve">Einige Äußerungen in dieser Diskussion erwecken in mir den Verdacht, als wäre meine Schrift zur Laienfrage doch in einem Punkte mißverstanden worden. Die Ärzte werden gegen </w:t>
      </w:r>
      <w:smartTag w:uri="urn:schemas-microsoft-com:office:smarttags" w:element="State">
        <w:smartTag w:uri="urn:schemas-microsoft-com:office:smarttags" w:element="place">
          <w:r w:rsidRPr="005C67C8">
            <w:rPr>
              <w:rFonts w:ascii="Garamond" w:hAnsi="Garamond" w:cs="Arial"/>
              <w:color w:val="000000"/>
              <w:lang w:val="en-GB"/>
            </w:rPr>
            <w:t>mich</w:t>
          </w:r>
        </w:smartTag>
      </w:smartTag>
      <w:r w:rsidRPr="005C67C8">
        <w:rPr>
          <w:rFonts w:ascii="Garamond" w:hAnsi="Garamond" w:cs="Arial"/>
          <w:color w:val="000000"/>
          <w:lang w:val="en-GB"/>
        </w:rPr>
        <w:t xml:space="preserve"> in Schutz genommen, wie wenn ich sie allgemein als untauglich für die Ausübung der Analyse erklärt und die Parole ausgegeben hätte, ärztlicher Zuzug sei fernzuhalten. Nun, das liegt nicht in meiner Absicht. Der Anschein entstand wahrscheinlich daraus, daß ich in meiner polemisch angelegten Darstellung die unausgebildeten ärztlichen Analytiker für noch gefährlicher erklären mußte als die Laien. Meine wirkliche Meinung in dieser Frage könnte ich klarmachen, indem ich einen Zynismus kopiere, der einst im </w:t>
      </w:r>
      <w:r w:rsidRPr="005C67C8">
        <w:rPr>
          <w:rFonts w:ascii="Garamond" w:hAnsi="Garamond" w:cs="Arial"/>
          <w:i/>
          <w:iCs/>
          <w:color w:val="000000"/>
          <w:lang w:val="en-GB"/>
        </w:rPr>
        <w:t>Simplicissimus</w:t>
      </w:r>
      <w:r w:rsidRPr="005C67C8">
        <w:rPr>
          <w:rFonts w:ascii="Garamond" w:hAnsi="Garamond" w:cs="Arial"/>
          <w:color w:val="000000"/>
          <w:lang w:val="en-GB"/>
        </w:rPr>
        <w:t xml:space="preserve"> über die Frauen vorgebracht wurde. </w:t>
      </w:r>
      <w:smartTag w:uri="urn:schemas-microsoft-com:office:smarttags" w:element="place">
        <w:r w:rsidRPr="005C67C8">
          <w:rPr>
            <w:rFonts w:ascii="Garamond" w:hAnsi="Garamond" w:cs="Arial"/>
            <w:color w:val="000000"/>
            <w:lang w:val="en-GB"/>
          </w:rPr>
          <w:t>Dort</w:t>
        </w:r>
      </w:smartTag>
      <w:r w:rsidRPr="005C67C8">
        <w:rPr>
          <w:rFonts w:ascii="Garamond" w:hAnsi="Garamond" w:cs="Arial"/>
          <w:color w:val="000000"/>
          <w:lang w:val="en-GB"/>
        </w:rPr>
        <w:t xml:space="preserve"> beklagte sich einer der Partner über die Schwächen und Schwierigkeiten des schöneren Geschlechts, worauf der andere bemerkte: »Die Frau ist aber doch das Beste, was wir </w:t>
      </w:r>
      <w:r w:rsidRPr="005C67C8">
        <w:rPr>
          <w:rFonts w:ascii="Garamond" w:hAnsi="Garamond" w:cs="Arial"/>
          <w:i/>
          <w:iCs/>
          <w:color w:val="000000"/>
          <w:lang w:val="en-GB"/>
        </w:rPr>
        <w:t>in der Art</w:t>
      </w:r>
      <w:r w:rsidRPr="005C67C8">
        <w:rPr>
          <w:rFonts w:ascii="Garamond" w:hAnsi="Garamond" w:cs="Arial"/>
          <w:color w:val="000000"/>
          <w:lang w:val="en-GB"/>
        </w:rPr>
        <w:t xml:space="preserve"> haben.« Ich gestehe es zu, solange die Schulen nicht bestehen, die wir uns für die Heranbildung von Analytikern wünschen, sind die ärztlich vorgebildeten Personen das beste Material für den künftigen Analytiker. Nur darf man fordern, daß sie ihre Vorbildung nicht an Stelle der Ausbildung setzen, daß sie die Einseitigkeit überwinden, die durch den Unterricht an der medizinischen Schule begünstigt wird, und daß sie der Versuchung widerstehen, mit der Endokrinologie und dem autonomen Nervensystem zu liebäugeln, wo es darauf ankommt, psychologische Tatsachen durch psychologische Hilfsvorstellungen zu erfassen. Ebenso teile ich die Erwartung, daß alle die Probleme, die sich auf die Zusammenhänge </w:t>
      </w:r>
      <w:r w:rsidRPr="005C67C8">
        <w:rPr>
          <w:rFonts w:ascii="Garamond" w:hAnsi="Garamond" w:cs="Arial"/>
          <w:color w:val="000000"/>
          <w:lang w:val="en-GB"/>
        </w:rPr>
        <w:lastRenderedPageBreak/>
        <w:t>zwischen psychischen Phänomenen und ihren organischen, anatomischen und chemischen Grundlagen beziehen, nur von Personen, die beides studiert haben, also von ärztlichen Analytikern, in Angriff genommen werden können. Doch sollte man nicht vergessen, daß dies nicht alles an der Psychoanalyse ist und daß wir für deren andere Seite die Mitarbeit von Personen, die in den Geisteswissenschaften vorgebildet sind, nie entbehren können. Aus praktischen Gründen haben wir, auch für unsere Publikationen, die Gewohnheit angenommen, eine ärztliche Analyse von den Anwendungen der Analyse zu scheiden. Das ist nicht korrekt. In Wirklichkeit verläuft die Scheidungsgrenze zwischen der wissenschaftlichen Psychoanalyse und ihren Anwendungen auf medizinischem und nichtmedizinischem Gebiet.</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Die schroffste Ablehnung der Laienanalyse wird in diesen Diskussionen von unseren amerikanischen Kollegen vertreten. Ich halte es nicht für überflüssig, ihnen durch einige Bemerkungen zu erwidern. Es ist kaum ein Mißbrauch der Analyse zu polemischen Zwecken, wenn ich die Meinung ausdrücke, daß ihr Widerstand sich ausschließlich auf praktische Momente zurückführt. Sie sehen in ihrem Lande, daß die Laienanalytiker viel Unfug und Mißbrauch mit der Analyse treiben und infolgedessen die Patienten wie den Ruf der Analyse schädigen. Es ist dann begreiflich, daß sie in ihrer Empörung weit von diesen gewissenlosen Schädlingen abrücken und die Laien von jedem Anteil an der Analyse ausschließen wollen. Aber dieser Sachverhalt reicht bereits aus, um die Bedeutung ihrer Stellungnahme herabzudrücken. Denn die Frage der Laienanalyse darf nicht allein nach praktischen Erwägungen entschieden werden, und die lokalen Verhältnisse Amerikas können für uns nicht allein maßgebend sein.</w:t>
      </w:r>
    </w:p>
    <w:p w:rsidR="005D30C2" w:rsidRPr="005C67C8" w:rsidRDefault="005D30C2" w:rsidP="005D30C2">
      <w:pPr>
        <w:shd w:val="clear" w:color="auto" w:fill="FFFFFF"/>
        <w:spacing w:before="120" w:after="120" w:line="124" w:lineRule="atLeast"/>
        <w:rPr>
          <w:rFonts w:ascii="Garamond" w:hAnsi="Garamond" w:cs="Arial"/>
          <w:color w:val="000000"/>
          <w:lang w:val="en-GB"/>
        </w:rPr>
      </w:pPr>
      <w:r w:rsidRPr="005C67C8">
        <w:rPr>
          <w:rFonts w:ascii="Garamond" w:hAnsi="Garamond" w:cs="Arial"/>
          <w:color w:val="000000"/>
          <w:lang w:val="en-GB"/>
        </w:rPr>
        <w:t>Die wesentlich von praktischen Motiven geleitete Resolution unserer amerikanischen Kollegen gegen die Laienanalytiker erscheint mir unpraktisch, denn sie kann nicht eines der Momente verändern, welche die Sachlage beherrschen. Sie hat etwa den Wert eines Versuches zur Verdrängung. Wenn man die Laienanalytiker in ihrer Tätigkeit nicht behindern kann, im Kampf gegen sie nicht vom Publikum unterstützt wird, wäre es dann nicht zweckmäßiger, der Tatsache ihrer Existenz Rechnung zu tragen, indem man ihnen Gelegenheiten zur Ausbildung bietet, Einfluß auf sie gewinnt und ihnen die Möglichkeit der Approbation durch den Ärztestand und der Heranziehung zur Mitarbeiterschaft als Ansporn vorhält, so daß sie ein Interesse daran finden, ihr sittliches und intellektuelles Niveau zu erhöhen?</w:t>
      </w:r>
    </w:p>
    <w:p w:rsidR="00462409" w:rsidRPr="005C1841" w:rsidRDefault="005D30C2" w:rsidP="005D30C2">
      <w:pPr>
        <w:shd w:val="clear" w:color="auto" w:fill="FFFFFF"/>
        <w:spacing w:before="120" w:after="120" w:line="124" w:lineRule="atLeast"/>
        <w:rPr>
          <w:rFonts w:ascii="Garamond" w:hAnsi="Garamond" w:cs="Arial"/>
          <w:color w:val="000000"/>
          <w:lang w:val="en-US"/>
        </w:rPr>
      </w:pPr>
      <w:r w:rsidRPr="005C1841">
        <w:rPr>
          <w:rFonts w:ascii="Garamond" w:hAnsi="Garamond" w:cs="Arial"/>
          <w:color w:val="000000"/>
          <w:lang w:val="en-US"/>
        </w:rPr>
        <w:t>Wien, im Juni 1927.</w:t>
      </w:r>
    </w:p>
    <w:p w:rsidR="00462409" w:rsidRPr="005C1841" w:rsidRDefault="00462409">
      <w:pPr>
        <w:rPr>
          <w:rFonts w:ascii="Garamond" w:hAnsi="Garamond" w:cs="Arial"/>
          <w:color w:val="000000"/>
          <w:lang w:val="en-US"/>
        </w:rPr>
      </w:pPr>
      <w:r w:rsidRPr="005C1841">
        <w:rPr>
          <w:rFonts w:ascii="Garamond" w:hAnsi="Garamond" w:cs="Arial"/>
          <w:color w:val="000000"/>
          <w:lang w:val="en-US"/>
        </w:rPr>
        <w:br w:type="page"/>
      </w:r>
    </w:p>
    <w:p w:rsidR="00462409" w:rsidRPr="00B03603" w:rsidRDefault="00462409" w:rsidP="00462409">
      <w:pPr>
        <w:rPr>
          <w:rFonts w:ascii="Garamond" w:hAnsi="Garamond"/>
          <w:color w:val="000000" w:themeColor="text1"/>
          <w:lang w:val="en-US"/>
        </w:rPr>
      </w:pPr>
      <w:r w:rsidRPr="0054353D">
        <w:rPr>
          <w:rFonts w:ascii="Garamond" w:hAnsi="Garamond"/>
          <w:color w:val="000000" w:themeColor="text1"/>
          <w:lang w:val="en-GB"/>
        </w:rPr>
        <w:lastRenderedPageBreak/>
        <w:t>Ei</w:t>
      </w:r>
      <w:bookmarkStart w:id="327" w:name="F74"/>
      <w:bookmarkEnd w:id="327"/>
      <w:r w:rsidRPr="0054353D">
        <w:rPr>
          <w:rFonts w:ascii="Garamond" w:hAnsi="Garamond"/>
          <w:color w:val="000000" w:themeColor="text1"/>
          <w:lang w:val="en-GB"/>
        </w:rPr>
        <w:t>ne Kindheitserinnerung des Leonardo da Vinci</w:t>
      </w:r>
      <w:r w:rsidRPr="00B03603">
        <w:rPr>
          <w:rFonts w:ascii="Garamond" w:hAnsi="Garamond"/>
          <w:color w:val="000000" w:themeColor="text1"/>
          <w:lang w:val="en-US"/>
        </w:rPr>
        <w:t xml:space="preserve">  (1910)</w:t>
      </w:r>
      <w:r w:rsidR="002E0E50">
        <w:rPr>
          <w:rFonts w:ascii="Garamond" w:hAnsi="Garamond"/>
          <w:color w:val="000000" w:themeColor="text1"/>
          <w:lang w:val="en-US"/>
        </w:rPr>
        <w:t xml:space="preserve">                                                      </w:t>
      </w:r>
      <w:hyperlink w:anchor="Werke" w:history="1">
        <w:r w:rsidR="002E0E50" w:rsidRPr="0018684C">
          <w:rPr>
            <w:rStyle w:val="Lienhypertexte"/>
            <w:rFonts w:ascii="Garamond" w:hAnsi="Garamond"/>
            <w:lang w:val="en-US"/>
          </w:rPr>
          <w:t>Werke</w:t>
        </w:r>
      </w:hyperlink>
    </w:p>
    <w:p w:rsidR="00462409" w:rsidRPr="00B03603" w:rsidRDefault="00462409" w:rsidP="00462409">
      <w:pPr>
        <w:rPr>
          <w:rFonts w:ascii="Garamond" w:hAnsi="Garamond"/>
          <w:color w:val="000000" w:themeColor="text1"/>
          <w:lang w:val="en-US"/>
        </w:rPr>
      </w:pPr>
      <w:r w:rsidRPr="00B03603">
        <w:rPr>
          <w:rFonts w:ascii="Garamond" w:hAnsi="Garamond"/>
          <w:color w:val="000000" w:themeColor="text1"/>
          <w:lang w:val="en-US"/>
        </w:rPr>
        <w:t>In</w:t>
      </w:r>
      <w:bookmarkStart w:id="328" w:name="DaVinci_INHALT"/>
      <w:bookmarkEnd w:id="328"/>
      <w:r w:rsidRPr="00B03603">
        <w:rPr>
          <w:rFonts w:ascii="Garamond" w:hAnsi="Garamond"/>
          <w:color w:val="000000" w:themeColor="text1"/>
          <w:lang w:val="en-US"/>
        </w:rPr>
        <w:t>halt</w:t>
      </w:r>
    </w:p>
    <w:p w:rsidR="00462409" w:rsidRPr="00B03603" w:rsidRDefault="00B437A1" w:rsidP="00CE4D4E">
      <w:pPr>
        <w:numPr>
          <w:ilvl w:val="0"/>
          <w:numId w:val="13"/>
        </w:numPr>
        <w:spacing w:after="0" w:line="240" w:lineRule="auto"/>
        <w:rPr>
          <w:rFonts w:ascii="Garamond" w:hAnsi="Garamond" w:cs="Arial"/>
          <w:bCs/>
          <w:color w:val="000000" w:themeColor="text1"/>
        </w:rPr>
      </w:pPr>
      <w:hyperlink w:anchor="DaVinci_1" w:history="1">
        <w:r w:rsidR="00462409" w:rsidRPr="00B03603">
          <w:rPr>
            <w:rStyle w:val="Lienhypertexte"/>
            <w:rFonts w:ascii="Garamond" w:hAnsi="Garamond" w:cs="Arial"/>
            <w:bCs/>
            <w:color w:val="000000" w:themeColor="text1"/>
          </w:rPr>
          <w:t>I. Kapitel</w:t>
        </w:r>
      </w:hyperlink>
    </w:p>
    <w:p w:rsidR="00462409" w:rsidRPr="00B03603" w:rsidRDefault="00462409" w:rsidP="00462409">
      <w:pPr>
        <w:ind w:left="720"/>
        <w:rPr>
          <w:rFonts w:ascii="Garamond" w:hAnsi="Garamond" w:cs="Arial"/>
          <w:bCs/>
          <w:color w:val="000000" w:themeColor="text1"/>
        </w:rPr>
      </w:pPr>
    </w:p>
    <w:p w:rsidR="00462409" w:rsidRPr="00B03603" w:rsidRDefault="00B437A1" w:rsidP="00CE4D4E">
      <w:pPr>
        <w:numPr>
          <w:ilvl w:val="0"/>
          <w:numId w:val="13"/>
        </w:numPr>
        <w:spacing w:after="0" w:line="240" w:lineRule="auto"/>
        <w:rPr>
          <w:rFonts w:ascii="Garamond" w:hAnsi="Garamond" w:cs="Arial"/>
          <w:bCs/>
          <w:color w:val="000000" w:themeColor="text1"/>
          <w:lang w:val="en-GB"/>
        </w:rPr>
      </w:pPr>
      <w:hyperlink w:anchor="DaVinci_2" w:history="1">
        <w:r w:rsidR="00462409" w:rsidRPr="00B03603">
          <w:rPr>
            <w:rStyle w:val="Lienhypertexte"/>
            <w:rFonts w:ascii="Garamond" w:hAnsi="Garamond" w:cs="Arial"/>
            <w:bCs/>
            <w:color w:val="000000" w:themeColor="text1"/>
            <w:lang w:val="en-GB"/>
          </w:rPr>
          <w:t>II. Kapitel</w:t>
        </w:r>
      </w:hyperlink>
    </w:p>
    <w:p w:rsidR="00462409" w:rsidRPr="00B03603" w:rsidRDefault="00462409" w:rsidP="00462409">
      <w:pPr>
        <w:rPr>
          <w:rFonts w:ascii="Garamond" w:hAnsi="Garamond" w:cs="Arial"/>
          <w:bCs/>
          <w:color w:val="000000" w:themeColor="text1"/>
          <w:lang w:val="en-GB"/>
        </w:rPr>
      </w:pPr>
    </w:p>
    <w:p w:rsidR="00462409" w:rsidRPr="00B03603" w:rsidRDefault="00B437A1" w:rsidP="00CE4D4E">
      <w:pPr>
        <w:numPr>
          <w:ilvl w:val="0"/>
          <w:numId w:val="13"/>
        </w:numPr>
        <w:spacing w:after="0" w:line="240" w:lineRule="auto"/>
        <w:rPr>
          <w:rFonts w:ascii="Garamond" w:hAnsi="Garamond" w:cs="Arial"/>
          <w:bCs/>
          <w:color w:val="000000" w:themeColor="text1"/>
          <w:lang w:val="en-GB"/>
        </w:rPr>
      </w:pPr>
      <w:hyperlink w:anchor="DaVinci_3" w:history="1">
        <w:r w:rsidR="00462409" w:rsidRPr="00B03603">
          <w:rPr>
            <w:rStyle w:val="Lienhypertexte"/>
            <w:rFonts w:ascii="Garamond" w:hAnsi="Garamond" w:cs="Arial"/>
            <w:bCs/>
            <w:color w:val="000000" w:themeColor="text1"/>
            <w:lang w:val="en-GB"/>
          </w:rPr>
          <w:t>III. Kapitel</w:t>
        </w:r>
      </w:hyperlink>
    </w:p>
    <w:p w:rsidR="00462409" w:rsidRPr="00B03603" w:rsidRDefault="00462409" w:rsidP="00462409">
      <w:pPr>
        <w:rPr>
          <w:rFonts w:ascii="Garamond" w:hAnsi="Garamond" w:cs="Arial"/>
          <w:bCs/>
          <w:color w:val="000000" w:themeColor="text1"/>
          <w:lang w:val="en-GB"/>
        </w:rPr>
      </w:pPr>
    </w:p>
    <w:p w:rsidR="00462409" w:rsidRPr="00B03603" w:rsidRDefault="00B437A1" w:rsidP="00CE4D4E">
      <w:pPr>
        <w:numPr>
          <w:ilvl w:val="0"/>
          <w:numId w:val="13"/>
        </w:numPr>
        <w:spacing w:after="0" w:line="240" w:lineRule="auto"/>
        <w:rPr>
          <w:rFonts w:ascii="Garamond" w:hAnsi="Garamond" w:cs="Arial"/>
          <w:bCs/>
          <w:color w:val="000000" w:themeColor="text1"/>
          <w:lang w:val="en-GB"/>
        </w:rPr>
      </w:pPr>
      <w:hyperlink w:anchor="DaVinci_4" w:history="1">
        <w:r w:rsidR="00462409" w:rsidRPr="00B03603">
          <w:rPr>
            <w:rStyle w:val="Lienhypertexte"/>
            <w:rFonts w:ascii="Garamond" w:hAnsi="Garamond" w:cs="Arial"/>
            <w:bCs/>
            <w:color w:val="000000" w:themeColor="text1"/>
            <w:lang w:val="en-GB"/>
          </w:rPr>
          <w:t>IV. Kapitel</w:t>
        </w:r>
      </w:hyperlink>
    </w:p>
    <w:p w:rsidR="00462409" w:rsidRPr="00B03603" w:rsidRDefault="00462409" w:rsidP="00462409">
      <w:pPr>
        <w:rPr>
          <w:rFonts w:ascii="Garamond" w:hAnsi="Garamond" w:cs="Arial"/>
          <w:bCs/>
          <w:color w:val="000000" w:themeColor="text1"/>
          <w:lang w:val="en-GB"/>
        </w:rPr>
      </w:pPr>
    </w:p>
    <w:p w:rsidR="00462409" w:rsidRPr="00B03603" w:rsidRDefault="00B437A1" w:rsidP="00CE4D4E">
      <w:pPr>
        <w:numPr>
          <w:ilvl w:val="0"/>
          <w:numId w:val="13"/>
        </w:numPr>
        <w:spacing w:after="0" w:line="240" w:lineRule="auto"/>
        <w:rPr>
          <w:rFonts w:ascii="Garamond" w:hAnsi="Garamond" w:cs="Arial"/>
          <w:bCs/>
          <w:color w:val="000000" w:themeColor="text1"/>
        </w:rPr>
      </w:pPr>
      <w:hyperlink w:anchor="DaVinci_5" w:history="1">
        <w:r w:rsidR="00462409" w:rsidRPr="00B03603">
          <w:rPr>
            <w:rStyle w:val="Lienhypertexte"/>
            <w:rFonts w:ascii="Garamond" w:hAnsi="Garamond" w:cs="Arial"/>
            <w:bCs/>
            <w:color w:val="000000" w:themeColor="text1"/>
            <w:lang w:val="en-GB"/>
          </w:rPr>
          <w:t>V. Kapitel</w:t>
        </w:r>
      </w:hyperlink>
    </w:p>
    <w:p w:rsidR="00462409" w:rsidRPr="00B03603" w:rsidRDefault="00462409" w:rsidP="00462409">
      <w:pPr>
        <w:rPr>
          <w:rFonts w:ascii="Garamond" w:hAnsi="Garamond" w:cs="Arial"/>
          <w:bCs/>
          <w:color w:val="000000" w:themeColor="text1"/>
        </w:rPr>
      </w:pPr>
    </w:p>
    <w:p w:rsidR="00462409" w:rsidRPr="00B03603" w:rsidRDefault="00B437A1" w:rsidP="00CE4D4E">
      <w:pPr>
        <w:numPr>
          <w:ilvl w:val="0"/>
          <w:numId w:val="13"/>
        </w:numPr>
        <w:spacing w:after="0" w:line="240" w:lineRule="auto"/>
        <w:rPr>
          <w:rFonts w:ascii="Garamond" w:hAnsi="Garamond" w:cs="Arial"/>
          <w:bCs/>
          <w:color w:val="000000" w:themeColor="text1"/>
        </w:rPr>
      </w:pPr>
      <w:hyperlink w:anchor="DaVinci_6" w:history="1">
        <w:r w:rsidR="00462409" w:rsidRPr="00B03603">
          <w:rPr>
            <w:rStyle w:val="Lienhypertexte"/>
            <w:rFonts w:ascii="Garamond" w:hAnsi="Garamond" w:cs="Arial"/>
            <w:bCs/>
            <w:color w:val="000000" w:themeColor="text1"/>
            <w:lang w:val="en-GB"/>
          </w:rPr>
          <w:t>VI. Kapitel</w:t>
        </w:r>
      </w:hyperlink>
    </w:p>
    <w:p w:rsidR="00462409" w:rsidRDefault="00462409" w:rsidP="00462409">
      <w:pPr>
        <w:rPr>
          <w:rFonts w:ascii="Garamond" w:hAnsi="Garamond"/>
          <w:lang w:val="en-US"/>
        </w:rPr>
      </w:pPr>
    </w:p>
    <w:p w:rsidR="00462409" w:rsidRPr="00B03603" w:rsidRDefault="00462409" w:rsidP="00462409">
      <w:pPr>
        <w:rPr>
          <w:rFonts w:ascii="Garamond" w:hAnsi="Garamond"/>
          <w:lang w:val="en-US"/>
        </w:rPr>
      </w:pPr>
    </w:p>
    <w:p w:rsidR="00462409" w:rsidRPr="00B03603" w:rsidRDefault="00462409" w:rsidP="00462409">
      <w:pPr>
        <w:rPr>
          <w:rFonts w:ascii="Garamond" w:hAnsi="Garamond" w:cs="Arial"/>
          <w:b/>
          <w:bCs/>
          <w:color w:val="000000"/>
        </w:rPr>
      </w:pPr>
      <w:r>
        <w:rPr>
          <w:rFonts w:ascii="Garamond" w:hAnsi="Garamond" w:cs="Arial"/>
          <w:b/>
          <w:bCs/>
          <w:color w:val="000000"/>
        </w:rPr>
        <w:br w:type="page"/>
      </w:r>
      <w:hyperlink w:anchor="DaVinci_INHALT" w:history="1">
        <w:r w:rsidRPr="00B03603">
          <w:rPr>
            <w:rStyle w:val="Lienhypertexte"/>
            <w:rFonts w:ascii="Garamond" w:hAnsi="Garamond" w:cs="Arial"/>
            <w:b/>
            <w:bCs/>
          </w:rPr>
          <w:t>I. Ka</w:t>
        </w:r>
        <w:bookmarkStart w:id="329" w:name="DaVinci_1"/>
        <w:bookmarkEnd w:id="329"/>
        <w:r w:rsidRPr="00B03603">
          <w:rPr>
            <w:rStyle w:val="Lienhypertexte"/>
            <w:rFonts w:ascii="Garamond" w:hAnsi="Garamond" w:cs="Arial"/>
            <w:b/>
            <w:bCs/>
          </w:rPr>
          <w:t>pitel</w:t>
        </w:r>
      </w:hyperlink>
    </w:p>
    <w:p w:rsidR="00462409" w:rsidRDefault="00462409" w:rsidP="00462409">
      <w:pPr>
        <w:rPr>
          <w:rFonts w:ascii="Garamond" w:hAnsi="Garamond" w:cs="Arial"/>
          <w:color w:val="000000"/>
        </w:rPr>
      </w:pPr>
    </w:p>
    <w:p w:rsidR="00462409" w:rsidRPr="00B03603" w:rsidRDefault="00462409" w:rsidP="00462409">
      <w:pPr>
        <w:rPr>
          <w:rFonts w:ascii="Garamond" w:hAnsi="Garamond" w:cs="Arial"/>
          <w:color w:val="000000"/>
        </w:rPr>
      </w:pPr>
      <w:r w:rsidRPr="00B03603">
        <w:rPr>
          <w:rFonts w:ascii="Garamond" w:hAnsi="Garamond" w:cs="Arial"/>
          <w:color w:val="000000"/>
        </w:rPr>
        <w:t>Wenn die seelenärztliche Forschung, die sich sonst mit schwächlichem Menschenmaterial begnügt, an einen der Großen des Menschengeschlechts herantritt, so folgt sie dabei nicht den Motiven, die ihr von den Laien so häufig zugeschoben werden. Sie strebt nicht danach, »das Strahlende zu schwärzen und das Erhabene in den Staub zu ziehen«; es bereitet ihr keine Befriedigung, den Abstand zwischen jener Vollkommenheit und der Unzulänglichkeit ihrer gewöhnlichen Objekte zu verringern. Sondern sie kann nicht anders, als alles des Verständnisses wert finden, was sich an jenen Vorbildern erkennen läßt, und sie meint, es sei niemand so groß, daß es für ihn eine Schande wäre, den Gesetzen zu unterliegen, die normales und krankhaftes Tun mit gleicher Strenge beherrschen.</w:t>
      </w:r>
    </w:p>
    <w:p w:rsidR="00462409" w:rsidRPr="00B03603" w:rsidRDefault="00462409" w:rsidP="00462409">
      <w:pPr>
        <w:rPr>
          <w:rFonts w:ascii="Garamond" w:hAnsi="Garamond" w:cs="Arial"/>
          <w:color w:val="000000"/>
        </w:rPr>
      </w:pPr>
      <w:r w:rsidRPr="00B03603">
        <w:rPr>
          <w:rFonts w:ascii="Garamond" w:hAnsi="Garamond" w:cs="Arial"/>
          <w:color w:val="000000"/>
        </w:rPr>
        <w:t xml:space="preserve">Als einer der größten Männer der italienischen Renaissance ist Leonardo da Vinci (1452–1519) schon von den Zeitgenossen bewundert worden und doch bereits ihnen rätselhaft erschienen, wie auch jetzt noch uns. Ein allseitiges Genie, »dessen Umrisse man nur ahnen kann – nie ergründen« </w:t>
      </w:r>
      <w:hyperlink r:id="rId1486" w:anchor="#" w:history="1">
        <w:r w:rsidRPr="00B03603">
          <w:rPr>
            <w:rStyle w:val="fusslink"/>
            <w:rFonts w:ascii="Garamond" w:hAnsi="Garamond" w:cs="Arial"/>
            <w:b/>
            <w:bCs/>
            <w:color w:val="003399"/>
          </w:rPr>
          <w:t>[Fußnote]</w:t>
        </w:r>
        <w:r w:rsidRPr="00B03603">
          <w:rPr>
            <w:rStyle w:val="innerfusslink3"/>
            <w:rFonts w:ascii="Garamond" w:hAnsi="Garamond" w:cs="Arial"/>
            <w:b/>
            <w:bCs/>
          </w:rPr>
          <w:t>Nach dem Worte Jacob Burckhardts, zitiert bei Alexandra Konstantinowa (1907).</w:t>
        </w:r>
      </w:hyperlink>
      <w:r w:rsidRPr="00B03603">
        <w:rPr>
          <w:rFonts w:ascii="Garamond" w:hAnsi="Garamond" w:cs="Arial"/>
          <w:color w:val="000000"/>
        </w:rPr>
        <w:t xml:space="preserve">, übte er den maßgebendsten Einfluß auf seine Zeit als Maler aus; erst uns blieb es vorbehalten, die Größe des Naturforschers (und Technikers) zu erkennen, der sich in ihm mit dem Künstler verband. Wenngleich er Meisterwerke der Malerei hinterlassen, während seine wissenschaftlichen Entdeckungen unveröffentlicht und unverwertet blieben, hat doch in seiner Entwicklung der Forscher den Künstler nie ganz freigelassen, ihn oftmals schwer beeinträchtigt und ihn vielleicht am Ende unterdrückt. Vasari legt ihm in seiner letzten Lebensstunde den Selbstvorwurf in den Mund, daß er Gott und die Menschen beleidigt, indem er in seiner Kunst nicht seine Pflicht getan </w:t>
      </w:r>
      <w:hyperlink r:id="rId1487" w:anchor="#" w:history="1">
        <w:r w:rsidRPr="00B03603">
          <w:rPr>
            <w:rStyle w:val="fusslink"/>
            <w:rFonts w:ascii="Garamond" w:hAnsi="Garamond" w:cs="Arial"/>
            <w:b/>
            <w:bCs/>
            <w:color w:val="003399"/>
          </w:rPr>
          <w:t>[Fußnote]</w:t>
        </w:r>
        <w:r w:rsidRPr="00B03603">
          <w:rPr>
            <w:rStyle w:val="innerfusslink3"/>
            <w:rFonts w:ascii="Garamond" w:hAnsi="Garamond" w:cs="Arial"/>
            <w:b/>
            <w:bCs/>
          </w:rPr>
          <w:t xml:space="preserve">» </w:t>
        </w:r>
        <w:r w:rsidRPr="00B03603">
          <w:rPr>
            <w:rStyle w:val="innerfusslink3"/>
            <w:rFonts w:ascii="Garamond" w:hAnsi="Garamond" w:cs="Arial"/>
            <w:b/>
            <w:bCs/>
            <w:i/>
            <w:iCs/>
          </w:rPr>
          <w:t>Egli per reverenza, rizzatosi a sedere sul letto, contando il mal suo e gli accidenti di quello, mostrava tuttavia, quanto aveva offeso Dio e gli uomini del mondo, non avendo operato nell' arte come si conveniva.</w:t>
        </w:r>
        <w:r w:rsidRPr="00B03603">
          <w:rPr>
            <w:rStyle w:val="innerfusslink3"/>
            <w:rFonts w:ascii="Garamond" w:hAnsi="Garamond" w:cs="Arial"/>
            <w:b/>
            <w:bCs/>
          </w:rPr>
          <w:t xml:space="preserve">« Vasari, </w:t>
        </w:r>
        <w:r w:rsidRPr="00B03603">
          <w:rPr>
            <w:rStyle w:val="innerfusslink3"/>
            <w:rFonts w:ascii="Garamond" w:hAnsi="Garamond" w:cs="Arial"/>
            <w:b/>
            <w:bCs/>
            <w:i/>
            <w:iCs/>
          </w:rPr>
          <w:t>Vite</w:t>
        </w:r>
        <w:r w:rsidRPr="00B03603">
          <w:rPr>
            <w:rStyle w:val="innerfusslink3"/>
            <w:rFonts w:ascii="Garamond" w:hAnsi="Garamond" w:cs="Arial"/>
            <w:b/>
            <w:bCs/>
          </w:rPr>
          <w:t xml:space="preserve"> etc. LXXXIII (1550).</w:t>
        </w:r>
      </w:hyperlink>
      <w:r w:rsidRPr="00B03603">
        <w:rPr>
          <w:rFonts w:ascii="Garamond" w:hAnsi="Garamond" w:cs="Arial"/>
          <w:color w:val="000000"/>
        </w:rPr>
        <w:t>. Und wenn auch diese Erzählung Vasaris weder die äußere noch viel innere Wahrscheinlichkeit für sich hat, sondern der Legende angehört, die sich um den geheimnisvollen Meister schon zu seinen Lebzeiten zu bilden begann, so verbleibt ihr doch als Zeugnis für das Urteil jener Menschen und jener Zeiten ein unbestreitbarer Wert.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Was war es, was die Persönlichkeit Leonardos dem Verständnis seiner Zeitgenossen entrückte? Gewiß nicht die Vielseitigkeit seiner Anlagen und Kenntnisse, die ihm gestattete, sich am Hofe des Lodovico Sforza, zubenannt il Moro, Herzogs von Mailand, als Lautenspieler auf einem von ihm neugeformten Instrumente einzuführen, oder ihn jenen merkwürdigen Brief an eben denselben schreiben ließ, in dem er sich seiner Leistungen als Bau- und Kriegsingenieur berühmte. Denn an solche Vereinigung vielfältigen Könnens in einer Person waren die Zeiten der Renaissance wohl gewöhnt; allerdings war Leonardo selbst eines der glänzendsten Beispiele dafür. Auch gehörte er nicht jenem Typus genialer Menschen an, die, von der Natur äußerlich karg bedacht, ihrerseits keinen Wert auf die äußerlichen Formen des Lebens legen und in der schmerzlichen Verdüsterung ihrer Stimmung den Verkehr der Menschen fliehen. Er war vielmehr groß und ebenmäßig gewachsen, von vollendeter Schönheit des Gesichts und von ungewöhnlicher Körperkraft, bezaubernd in den Formen seines Umgangs, ein Meister der Rede, heiter und liebenswürdig gegen alle; er liebte die Schönheit auch an den Dingen, die ihn umgaben, trug gern prunkvolle Gewänder und schätzte jede Verfeinerung der Lebensführung. In einer für seine heitere Genußfähigkeit bedeutsamen Stelle des Traktats über Malerei </w:t>
      </w:r>
      <w:hyperlink r:id="rId1488"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i/>
            <w:iCs/>
            <w:lang w:val="en-GB"/>
          </w:rPr>
          <w:t>Traktat von der Malerei</w:t>
        </w:r>
        <w:r w:rsidRPr="00B03603">
          <w:rPr>
            <w:rStyle w:val="innerfusslink3"/>
            <w:rFonts w:ascii="Garamond" w:hAnsi="Garamond" w:cs="Arial"/>
            <w:b/>
            <w:bCs/>
            <w:lang w:val="en-GB"/>
          </w:rPr>
          <w:t xml:space="preserve"> (1909).</w:t>
        </w:r>
      </w:hyperlink>
      <w:r w:rsidRPr="00B03603">
        <w:rPr>
          <w:rFonts w:ascii="Garamond" w:hAnsi="Garamond" w:cs="Arial"/>
          <w:color w:val="000000"/>
          <w:lang w:val="en-GB"/>
        </w:rPr>
        <w:t xml:space="preserve"> hat er die Malerei mit ihren Schwesterkünsten verglichen und die Beschwerden der Arbeit des Bildhauers geschildert: »Da hat er das Gesicht ganz beschmiert und mit Marmorstaub eingepudert, so daß er wie ein Bäcker ausschaut, und ist mit kleinen Marmorsplittern über und über bedeckt, daß es aussieht, als hätte es ihm auf den Buckel geschneit, und seine Behausung, die ist voll Steinsplitter und Staub. Ganz das Gegenteil von alle diesem ist beim Maler der Fall – ... denn der Maler sitzt mit großer Bequemlichkeit vor seinem Werke, wohlgekleidet, </w:t>
      </w:r>
      <w:r w:rsidRPr="00B03603">
        <w:rPr>
          <w:rFonts w:ascii="Garamond" w:hAnsi="Garamond" w:cs="Arial"/>
          <w:color w:val="000000"/>
          <w:lang w:val="en-GB"/>
        </w:rPr>
        <w:lastRenderedPageBreak/>
        <w:t>und regt den ganz leichten Pinsel mit den anmutigen Farben. Mit Kleidern ist er geschmückt, wie es ihm gefällt. Und seine Behausung, die ist voll heiterer Malereien und glänzend reinlich. Oft hat er Gesellschaft, von Musik, oder von Vorlesern verschiedener schöner Werke, und das wird ohne Hammergedröhn oder sonstigen Lärm mit großem Vergnügen angehört.«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Es ist ja sehr wohl möglich, daß die Vorstellung eines strahlend heiteren und genußfrohen Leonardo nur für die erste, längere Lebensperiode des Meisters recht hat. Von da an, als der Niedergang der Herrschaft des Lodovico Moro ihn zwang, Mailand, seinen Wirkungskreis und seine gesicherte Stellung zu verlassen, um ein unstetes, an äußeren Erfolgen wenig reiches Leben bis zum letzten Asyl in Frankreich zu führen, mag der Glanz seiner Stimmung verblichen und mancher befremdliche Zug seines Wesens stärker hervorgetreten sein. Auch die mit den Jahren zunehmende Wendung seiner Interessen von seiner Kunst zur Wissenschaft mußte dazu beitragen, die Kluft zwischen seiner Person und seinen Zeitgenossen zu erweitern. Alle die Versuche, mit denen er nach ihrer Meinung seine Zeit vertrödelte, anstatt emsig auf Bestellung zu malen und sich zu bereichern, wie etwa sein ehemaliger Mitschüler Perugino, erschienen ihnen als grillenhafte Spielereien oder brachten ihn selbst in den Verdacht, der »schwarzen Kunst« zu dienen. Wir verstehen ihn hierin besser, die wir aus seinen Aufzeichnungen wissen, welche Künste er übte. In einer Zeit, welche die Autorität der Kirche mit der der Antike zu vertauschen begann und voraussetzungslose Forschung noch nicht kannte, war er, der Vorläufer, ja ein nicht unwürdiger Mitbewerber von Bacon und Kopernikus, notwendig vereinsamt. Wenn er Pferde- und Menschenleichen zerlegte, Flugapparate baute, die Ernährung der Pflanzen und ihr Verhalten gegen Gifte studierte, rückte er allerdings weit ab von den Kommentatoren des Aristoteles und kam in die Nähe der verachteten Alchymisten, in deren Laboratorien die experimentelle Forschung wenigstens eine Zuflucht während dieser ungünstigen Zeiten gefunden hatte.</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Für seine Malerei hatte dies die Folge, daß er ungern den Pinsel zur Hand nahm, immer weniger und seltener malte, das Angefangene meist unfertig stehenließ und sich um das weitere Schicksal seiner Werke wenig kümmerte. Das war es auch, was ihm seine Zeitgenossen zum Vorwurf machten, denen sein Verhältnis zur Kunst ein Rätsel blieb.</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Mehrere der späteren Bewunderer Leonardos haben es versucht, den Makel der Unstetigkeit von seinem Charakter zu tilgen. Sie machen geltend, daß das, was man an Leonardo tadle, Eigentümlichkeit der großen Künstler überhaupt sei. Auch der tatkräftige, sich in die Arbeit verbeißende Michelangelo habe viele seiner Werke unvollendet gelassen, und es sei so wenig seine Schuld gewesen wie die Leonardos im gleichen Falle. Auch sei so manches Bild nicht so sehr unfertig geblieben, als von ihm dafür erklärt worden. Was dem Laien schon ein Meisterwerk scheine, das sei für den Schöpfer des Kunstwerks immer noch eine unbefriedigende Verkörperung seiner Absichten; ihm schwebe eine Vollkommenheit vor, die er im Abbild wiederzugeben jedesmal verzage. Am wenigsten ginge es aber an, den Künstler für das endliche Schicksal verantwortlich zu machen, das seine Werke träfe.</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So stichhaltig manche dieser Entschuldigungen auch sein mögen, so decken sie doch nicht den ganzen Sachverhalt, der uns bei Leonardo begegnet. Das peinliche Ringen mit dem Werke, die endliche Flucht vor ihm und die Gleichgültigkeit gegen sein weiteres Schicksal mag bei vielen anderen Künstlern wiederkehren; gewiß aber zeigte Leonardo dies Benehmen im höchsten Grade. Edm. Solmi zitiert (1910, 12) die Äußerung eines seiner Schüler: » </w:t>
      </w:r>
      <w:r w:rsidRPr="00B03603">
        <w:rPr>
          <w:rFonts w:ascii="Garamond" w:hAnsi="Garamond" w:cs="Arial"/>
          <w:i/>
          <w:iCs/>
          <w:color w:val="000000"/>
          <w:lang w:val="en-GB"/>
        </w:rPr>
        <w:t>Pareva, che ad ogni ora tremasse, quando si poneva a dipingere, e però non diede mal fine ad alcuna cosa cominciata, considerando la grandezza dell' arte, tal che egli scorgeva errori in quelle cose, che ad altri parevano miracoli.</w:t>
      </w:r>
      <w:r w:rsidRPr="00B03603">
        <w:rPr>
          <w:rFonts w:ascii="Garamond" w:hAnsi="Garamond" w:cs="Arial"/>
          <w:color w:val="000000"/>
          <w:lang w:val="en-GB"/>
        </w:rPr>
        <w:t xml:space="preserve">« Seine letzten Bilder, die Leda, die Madonna di Sant' Onofrio, der Bacchus und der San Giovanni Battista giovane seien unvollendet geblieben » </w:t>
      </w:r>
      <w:r w:rsidRPr="00B03603">
        <w:rPr>
          <w:rFonts w:ascii="Garamond" w:hAnsi="Garamond" w:cs="Arial"/>
          <w:i/>
          <w:iCs/>
          <w:color w:val="000000"/>
          <w:lang w:val="en-GB"/>
        </w:rPr>
        <w:t>come quasi intervenne di tutte le cose sue...</w:t>
      </w:r>
      <w:r w:rsidRPr="00B03603">
        <w:rPr>
          <w:rFonts w:ascii="Garamond" w:hAnsi="Garamond" w:cs="Arial"/>
          <w:color w:val="000000"/>
          <w:lang w:val="en-GB"/>
        </w:rPr>
        <w:t>« Lomazzo, der eine Kopie des Abendmahls anfertigte, berief sich auf die bekannte Unfähigkeit Leonardos, etwas fertig zu malen, in einem Sonett:</w:t>
      </w:r>
    </w:p>
    <w:p w:rsidR="00462409" w:rsidRPr="00B03603" w:rsidRDefault="00462409" w:rsidP="00462409">
      <w:pPr>
        <w:rPr>
          <w:rFonts w:ascii="Garamond" w:hAnsi="Garamond" w:cs="Arial"/>
          <w:color w:val="000000"/>
          <w:lang w:val="en-GB"/>
        </w:rPr>
      </w:pPr>
      <w:r w:rsidRPr="00B03603">
        <w:rPr>
          <w:rFonts w:ascii="Garamond" w:hAnsi="Garamond" w:cs="Arial"/>
          <w:i/>
          <w:iCs/>
          <w:color w:val="000000"/>
        </w:rPr>
        <w:lastRenderedPageBreak/>
        <w:t xml:space="preserve">Protogen che il penel di sue pitture </w:t>
      </w:r>
      <w:r w:rsidRPr="00B03603">
        <w:rPr>
          <w:rFonts w:ascii="Garamond" w:hAnsi="Garamond" w:cs="Arial"/>
          <w:i/>
          <w:iCs/>
          <w:color w:val="000000"/>
        </w:rPr>
        <w:br/>
        <w:t xml:space="preserve">Non levava, agguaglio il Vinci Divo, </w:t>
      </w:r>
      <w:r w:rsidRPr="00B03603">
        <w:rPr>
          <w:rFonts w:ascii="Garamond" w:hAnsi="Garamond" w:cs="Arial"/>
          <w:i/>
          <w:iCs/>
          <w:color w:val="000000"/>
        </w:rPr>
        <w:br/>
        <w:t>Di cui opra non è finita pure.</w:t>
      </w:r>
      <w:r w:rsidRPr="00B03603">
        <w:rPr>
          <w:rFonts w:ascii="Garamond" w:hAnsi="Garamond" w:cs="Arial"/>
          <w:color w:val="000000"/>
        </w:rPr>
        <w:t xml:space="preserve">« </w:t>
      </w:r>
      <w:hyperlink r:id="rId1489"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Bei Scognamiglio (1900 [112]).</w:t>
        </w:r>
      </w:hyperlink>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Die Langsamkeit, mit welcher Leonardo arbeitete, war sprichwörtlich. Am Abendmahl im Kloster zu Santa Maria delle Grazie zu Mailand malte er nach den gründlichsten Vorstudien drei Jahre lang. Ein Zeitgenosse, der Novellenschreiber Matteo Bandelli, der damals als junger Mönch dem Kloster angehörte, erzählt, daß Leonardo häufig schon früh am Morgen das Gerüst bestiegen habe, um bis zur Dämmerung den Pinsel nicht aus der Hand zu legen, ohne an Essen und Trinken zu denken. Dann seien Tage verstrichen, ohne daß er Hand daran anlegte, bisweilen habe er stundenlang vor dem Gemälde verweilt und sich damit begnügt, es innerlich zu prüfen. Andere Male sei er aus dem Hofe des Mailänder Schlosses, wo er das Modell des Reiterstandbildes für Francesco Sforza formte, geradewegs ins Kloster gekommen, um ein paar Pinselstriche an einer Gestalt zu machen, dann aber unverzüglich aufgebrochen </w:t>
      </w:r>
      <w:hyperlink r:id="rId1490"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W. v. Seidlitz (1909, Bd. 1, 203).</w:t>
        </w:r>
      </w:hyperlink>
      <w:r w:rsidRPr="00B03603">
        <w:rPr>
          <w:rFonts w:ascii="Garamond" w:hAnsi="Garamond" w:cs="Arial"/>
          <w:color w:val="000000"/>
          <w:lang w:val="en-GB"/>
        </w:rPr>
        <w:t xml:space="preserve">. An dem Porträt der Mona Lisa, Gemahlin des Florentiners Francesco del Giocondo, malte er nach Vasaris Angabe vier Jahre lang, ohne es zur letzten Vollendung bringen zu können, wozu auch der Umstand stimmen mag, daß das Bild nicht dem Besteller abgeliefert wurde, sondern bei Leonardo verblieb, der es nach Frankreich mitnahm </w:t>
      </w:r>
      <w:hyperlink r:id="rId1491"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v. Seidlitz (1909, Bd. 2, 48).</w:t>
        </w:r>
      </w:hyperlink>
      <w:r w:rsidRPr="00B03603">
        <w:rPr>
          <w:rFonts w:ascii="Garamond" w:hAnsi="Garamond" w:cs="Arial"/>
          <w:color w:val="000000"/>
          <w:lang w:val="en-GB"/>
        </w:rPr>
        <w:t xml:space="preserve">. </w:t>
      </w:r>
      <w:r w:rsidRPr="00B03603">
        <w:rPr>
          <w:rFonts w:ascii="Garamond" w:hAnsi="Garamond" w:cs="Arial"/>
          <w:color w:val="000000"/>
        </w:rPr>
        <w:t>Von König Franz I. angekauft, bildet es heute einen der größten Schätze des Louvre.</w:t>
      </w:r>
    </w:p>
    <w:p w:rsidR="00462409" w:rsidRPr="00B03603" w:rsidRDefault="00462409" w:rsidP="00462409">
      <w:pPr>
        <w:rPr>
          <w:rFonts w:ascii="Garamond" w:hAnsi="Garamond" w:cs="Arial"/>
          <w:color w:val="000000"/>
          <w:lang w:val="en-GB"/>
        </w:rPr>
      </w:pPr>
      <w:r w:rsidRPr="00B03603">
        <w:rPr>
          <w:rFonts w:ascii="Garamond" w:hAnsi="Garamond" w:cs="Arial"/>
          <w:color w:val="000000"/>
        </w:rPr>
        <w:t xml:space="preserve">Wenn man diese Berichte über die Arbeitsweise Leonardos mit dem Zeugnis der außerordentlich zahlreich von ihm erhaltenen Skizzen und Studienblätter zusammenhält, die jedes in seinen Bildern vorkommende Motiv auf das vielfältigste variieren, so muß man die Auffassung weit von sich weisen, als hätten Züge von Flüchtigkeit und Unbeständigkeit den mindesten Einfluß auf Leonardos Verhältnis zu seiner Kunst gewonnen. Man merkt im Gegenteile eine ganz außerordentliche Vertiefung, einen Reichtum an Möglichkeiten, zwischen denen die Entscheidung nur zögernd gefällt wird, Ansprüche, denen kaum zu genügen ist, und eine Hemmung in der Ausführung, die sich eigentlich auch durch das notwendige Zurückbleiben des Künstlers hinter seinem idealen Vorsatz nicht erklärt. Die Langsamkeit, die an Leonardos Arbeiten von jeher auffiel, erweist sich als ein Symptom dieser Hemmung, als der Vorbote der Abwendung von der Malerei, die später eintrat </w:t>
      </w:r>
      <w:hyperlink r:id="rId1492" w:anchor="#" w:history="1">
        <w:r w:rsidRPr="00B03603">
          <w:rPr>
            <w:rStyle w:val="fusslink"/>
            <w:rFonts w:ascii="Garamond" w:hAnsi="Garamond" w:cs="Arial"/>
            <w:b/>
            <w:bCs/>
            <w:color w:val="003399"/>
          </w:rPr>
          <w:t>[Fußnote]</w:t>
        </w:r>
        <w:r w:rsidRPr="00B03603">
          <w:rPr>
            <w:rStyle w:val="innerfusslink3"/>
            <w:rFonts w:ascii="Garamond" w:hAnsi="Garamond" w:cs="Arial"/>
            <w:b/>
            <w:bCs/>
          </w:rPr>
          <w:t xml:space="preserve">W. Pater </w:t>
        </w:r>
        <w:r w:rsidRPr="00B03603">
          <w:rPr>
            <w:rStyle w:val="innerfusslink3"/>
            <w:rFonts w:ascii="Garamond" w:hAnsi="Garamond" w:cs="Arial"/>
            <w:b/>
            <w:bCs/>
            <w:i/>
            <w:iCs/>
          </w:rPr>
          <w:t>Die Renaissance</w:t>
        </w:r>
        <w:r w:rsidRPr="00B03603">
          <w:rPr>
            <w:rStyle w:val="innerfusslink3"/>
            <w:rFonts w:ascii="Garamond" w:hAnsi="Garamond" w:cs="Arial"/>
            <w:b/>
            <w:bCs/>
          </w:rPr>
          <w:t>. Aus dem Englischen. Zweite Auflage 1906. »Doch sicher ist es, daß er in einem gewissen Abschnitt seines Lebens beinahe aufgehört hatte, Künstler zu sein.«</w:t>
        </w:r>
      </w:hyperlink>
      <w:r w:rsidRPr="00B03603">
        <w:rPr>
          <w:rFonts w:ascii="Garamond" w:hAnsi="Garamond" w:cs="Arial"/>
          <w:color w:val="000000"/>
          <w:lang w:val="en-GB"/>
        </w:rPr>
        <w:t xml:space="preserve">. Sie war es auch, die das nicht unverschuldete Schicksal des Abendmahls bestimmte. Leonardo konnte sich nicht mit der Malerei al fresko befreunden, die ein rasches Arbeiten, solange der Malgrund noch feucht ist, erfordert; darum wählte er Ölfarben, deren Eintrocknen ihm gestattete, die Vollendung des Bildes nach Stimmung und Muße hinauszuziehen. Diese Farben lösten sich aber von dem Grunde, auf dem sie aufgetragen wurden und der sie von der Mauer isolierte; die Fehler dieser Mauer und die Schicksale des Raumes kamen hinzu, um die, wie es scheint, unabwendbare Verderbnis des Bildes zu entscheiden </w:t>
      </w:r>
      <w:hyperlink r:id="rId1493"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Vgl. bei v. Seidlitz (1909, Bd. 1) die Geschichte der Restaurations- und Rettungsversuche.</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Durch das Mißglücken eines ähnlichen technischen Versuchs scheint das Bild der Reiterschlacht bei Anghiari untergegangen zu sein, das er später in einer Konkurrenz mit Michelangelo an eine Wand der Sala del Consiglio in Florenz zu malen begann und auch im unfertigen Zustand im Stiche ließ. Es ist hier, als ob ein fremdes Interesse, das des Experimentators, das künstlerische zunächst verstärkt habe, um dann das Kunstwerk zu schädigen.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Der Charakter des Mannes Leonardo zeigte noch manche andere ungewöhnliche Züge und anscheinende Widersprüche. Eine gewisse Inaktivität und Indifferenz schien an ihm unverkennbar. Zu einer Zeit, da jedes Individuum den breitesten Raum für seine Betätigung zu gewinnen suchte, was nicht ohne Entfaltung energischer Aggression gegen andere abgehen kann, fiel er durch ruhige Friedfertigkeit, durch Vermeidung aller Gegnerschaften und Streitigkeiten auf. Er war mild und gütig gegen alle, lehnte </w:t>
      </w:r>
      <w:r w:rsidRPr="00B03603">
        <w:rPr>
          <w:rFonts w:ascii="Garamond" w:hAnsi="Garamond" w:cs="Arial"/>
          <w:color w:val="000000"/>
          <w:lang w:val="en-GB"/>
        </w:rPr>
        <w:lastRenderedPageBreak/>
        <w:t xml:space="preserve">angeblich die Fleischnahrung ab, weil er es nicht für gerechtfertigt hielt, Tieren das Leben zu rauben, und machte sich einen besonderen Genuß daraus, Vögeln, die er auf dem Markte kaufte, die Freiheit zu schenken </w:t>
      </w:r>
      <w:hyperlink r:id="rId1494"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E. Müntz (1899, 18). (Ein Brief eines Zeitgenossen aus Indien an einen Medici spielt auf diese Eigentümlichkeit Leonardos an. Nach J. P. Richter.)</w:t>
        </w:r>
      </w:hyperlink>
      <w:r w:rsidRPr="00B03603">
        <w:rPr>
          <w:rFonts w:ascii="Garamond" w:hAnsi="Garamond" w:cs="Arial"/>
          <w:color w:val="000000"/>
          <w:lang w:val="en-GB"/>
        </w:rPr>
        <w:t xml:space="preserve">. Er verurteilte Krieg und Blutvergießen und hieß den Menschen nicht so sehr den König der Tierwelt als vielmehr die ärgste der wilden Bestien </w:t>
      </w:r>
      <w:hyperlink r:id="rId1495"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F. Bottazzi (1910, 186).</w:t>
        </w:r>
      </w:hyperlink>
      <w:r w:rsidRPr="00B03603">
        <w:rPr>
          <w:rFonts w:ascii="Garamond" w:hAnsi="Garamond" w:cs="Arial"/>
          <w:color w:val="000000"/>
          <w:lang w:val="en-GB"/>
        </w:rPr>
        <w:t>. Aber diese weibliche Zartheit des Empfindens hielt ihn nicht ab, verurteilte Verbrecher auf ihrem Wege zur Hinrichtung zu begleiten, um deren von Angst verzerrte Mienen zu studieren und in seinem Taschenbuche abzuzeichnen, hinderte ihn nicht, die grausamsten Angriffswaffen zu entwerfen und als oberster Kriegsingenieur in die Dienste des Cesare Borgia zu treten. Er erschien oft wie indifferent gegen Gut und Böse, oder er verlangte mit einem besonderen Maße gemessen zu werden. In einer maßgebenden Stellung machte er den Feldzug des Cesare mit, der diesen rücksichtslosesten und treulosesten aller Gegner in den Besitz der Romagna brachte. Nicht eine Zeile der Aufzeichnungen Leonardos verrät eine Kritik oder Anteilnahme an den Vorgängen jener Tage. Der Vergleich mit Goethe während der Campagne in Frankreich ist hier nicht ganz abzuweisen.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Wenn ein biographischer Versuch wirklich zum Verständnis des Seelenlebens seines Helden durchdringen will, darf er nicht, wie dies in den meisten Biographien aus Diskretion oder aus Prüderie geschieht, die sexuelle Betätigung, die geschlechtliche Eigenart des Untersuchten mit Stillschweigen übergehen. Was hierüber bei Leonardo bekannt ist, ist wenig, aber dieses wenige bedeutungsvoll. In einer Zeit, die schrankenlose Sinnlichkeit mit düsterer Askese ringen sah, war Leonardo ein Beispiel von kühler Sexualablehnung, die man beim Künstler und Darsteller der Frauenschönheit nicht erwarten würde. Solmi </w:t>
      </w:r>
      <w:hyperlink r:id="rId1496"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Solmi (1908).</w:t>
        </w:r>
      </w:hyperlink>
      <w:r w:rsidRPr="00B03603">
        <w:rPr>
          <w:rFonts w:ascii="Garamond" w:hAnsi="Garamond" w:cs="Arial"/>
          <w:color w:val="000000"/>
          <w:lang w:val="en-GB"/>
        </w:rPr>
        <w:t xml:space="preserve"> zitiert von ihm folgenden Satz, der seine Frigidität kennzeichnet: »Der Zeugungsakt und alles, was damit in Verbindung steht, ist so abscheulich, daß die Menschen bald aussterben würden, wäre es nicht eine althergebrachte Sitte und gäbe es nicht noch hübsche Gesichter und sinnliche Veranlagungen.« Seine hinterlassenen Schriften, die ja nicht nur die höchsten wissenschaftlichen Probleme behandeln, sondern auch Harmlosigkeiten enthalten, welche uns eines so großen Geistes kaum würdig erscheinen (eine allegorische Naturgeschichte, Tierfabeln, Schwänke, Prophezeiungen </w:t>
      </w:r>
      <w:hyperlink r:id="rId1497"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Marie Herzfeld (1906).</w:t>
        </w:r>
      </w:hyperlink>
      <w:r w:rsidRPr="00B03603">
        <w:rPr>
          <w:rFonts w:ascii="Garamond" w:hAnsi="Garamond" w:cs="Arial"/>
          <w:color w:val="000000"/>
          <w:lang w:val="en-GB"/>
        </w:rPr>
        <w:t xml:space="preserve">), sind in einem Grade keusch – man möchte sagen: abstinent –, der in einem Werke der schönen Literatur auch heute wundernehmen würde. Sie weichen allem Sexuellen so entschieden aus, als wäre allein der Eros, der alles Lebende erhält, kein würdiger Stoff für den Wissensdrang des Forschers </w:t>
      </w:r>
      <w:hyperlink r:id="rId1498"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Vielleicht machen hier die von ihm gesammelten Schwänke – </w:t>
        </w:r>
        <w:r w:rsidRPr="00B03603">
          <w:rPr>
            <w:rStyle w:val="innerfusslink3"/>
            <w:rFonts w:ascii="Garamond" w:hAnsi="Garamond" w:cs="Arial"/>
            <w:b/>
            <w:bCs/>
            <w:i/>
            <w:iCs/>
            <w:lang w:val="en-GB"/>
          </w:rPr>
          <w:t>belle facezie –,</w:t>
        </w:r>
        <w:r w:rsidRPr="00B03603">
          <w:rPr>
            <w:rStyle w:val="innerfusslink3"/>
            <w:rFonts w:ascii="Garamond" w:hAnsi="Garamond" w:cs="Arial"/>
            <w:b/>
            <w:bCs/>
            <w:lang w:val="en-GB"/>
          </w:rPr>
          <w:t xml:space="preserve"> die nicht übersetzt vorliegen, eine, übrigens belanglose Ausnahme. Vgl. Herzfeld (1906, CLI).</w:t>
        </w:r>
      </w:hyperlink>
      <w:r w:rsidRPr="00B03603">
        <w:rPr>
          <w:rFonts w:ascii="Garamond" w:hAnsi="Garamond" w:cs="Arial"/>
          <w:color w:val="000000"/>
          <w:lang w:val="en-GB"/>
        </w:rPr>
        <w:t>. Es ist bekannt, wie häufig große Künstler sich darin gefallen, ihre Phantasie in erotischen und selbst derb obszönen Darstellungen auszutoben; von Leonardo besitzen wir zum Gegensatze nur einige anatomische Zeichnungen über die inneren Genitalien des Weibes, die Lage der Frucht im Mutterleibe und dgl.</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Eine Zeichnung von Leonardo, die den Geschlechtsakt in einem anatomischen Sagittaldurchschnitt darstellt und gewiß nicht obszön zu nennen ist, läßt einige merkwürdige Irrtümer erkennen, welche Dr. R. Reitler (1917) entdeckt und im Sinne der hier gegebenen Charakteristik Leonardos besprochen hat: »Und dieser übergroße Forschertrieb hat gerade bei der Darstellung des Zeugungsaktes – selbstverständlich nur infolge seiner noch größeren Sexualverdrängung – ganz und gar versagt. Der männliche Körper ist in ganzer Figur, der weibliche nur zum Teile gezeichnet. Wenn man einem unbefangenen Beschauer die hier wiedergegebene Zeichnung in der Weise zeigt, daß man mit Ausnahme des Kopfes alle unterhalb befindlichen Partien zudeckt, so kann mit Sicherheit erwartet werden, daß der Kopf für weiblich gehalten wird. Die welligen Locken sowohl am Vorderhaupte als auch die, welche den Rücken entlang beiläufig bis zum 4. oder 5. Dorsalwirbel herabwallen, kennzeichnen den Kopf entschieden als einen mehr femininen als virilen.</w:t>
      </w:r>
    </w:p>
    <w:p w:rsidR="00462409" w:rsidRPr="00B03603" w:rsidRDefault="00462409" w:rsidP="00462409">
      <w:pPr>
        <w:rPr>
          <w:rFonts w:ascii="Garamond" w:hAnsi="Garamond" w:cs="Arial"/>
          <w:color w:val="000000"/>
        </w:rPr>
      </w:pPr>
      <w:r>
        <w:rPr>
          <w:rFonts w:ascii="Garamond" w:hAnsi="Garamond" w:cs="Arial"/>
          <w:noProof/>
          <w:color w:val="000000"/>
          <w:lang w:eastAsia="fr-FR"/>
        </w:rPr>
        <w:lastRenderedPageBreak/>
        <w:drawing>
          <wp:inline distT="0" distB="0" distL="0" distR="0">
            <wp:extent cx="4381500" cy="9751060"/>
            <wp:effectExtent l="19050" t="0" r="0" b="0"/>
            <wp:docPr id="17" name="Image 4" descr="a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b1"/>
                    <pic:cNvPicPr>
                      <a:picLocks noChangeAspect="1" noChangeArrowheads="1"/>
                    </pic:cNvPicPr>
                  </pic:nvPicPr>
                  <pic:blipFill>
                    <a:blip r:embed="rId1499" cstate="print"/>
                    <a:srcRect/>
                    <a:stretch>
                      <a:fillRect/>
                    </a:stretch>
                  </pic:blipFill>
                  <pic:spPr bwMode="auto">
                    <a:xfrm>
                      <a:off x="0" y="0"/>
                      <a:ext cx="4381500" cy="9751060"/>
                    </a:xfrm>
                    <a:prstGeom prst="rect">
                      <a:avLst/>
                    </a:prstGeom>
                    <a:noFill/>
                    <a:ln w="9525">
                      <a:noFill/>
                      <a:miter lim="800000"/>
                      <a:headEnd/>
                      <a:tailEnd/>
                    </a:ln>
                  </pic:spPr>
                </pic:pic>
              </a:graphicData>
            </a:graphic>
          </wp:inline>
        </w:drawing>
      </w:r>
    </w:p>
    <w:p w:rsidR="00462409" w:rsidRPr="00B03603" w:rsidRDefault="00462409" w:rsidP="00462409">
      <w:pPr>
        <w:rPr>
          <w:rFonts w:ascii="Garamond" w:hAnsi="Garamond" w:cs="Arial"/>
          <w:color w:val="000000"/>
          <w:lang w:val="en-GB"/>
        </w:rPr>
      </w:pPr>
      <w:r w:rsidRPr="00B03603">
        <w:rPr>
          <w:rFonts w:ascii="Garamond" w:hAnsi="Garamond" w:cs="Arial"/>
          <w:color w:val="000000"/>
        </w:rPr>
        <w:lastRenderedPageBreak/>
        <w:t xml:space="preserve">Die weibliche Brust zeigt zwei Mängel, und zwar erstens in künstlerischer Beziehung, denn ihr Umriß bietet den Anblick einer unschön herabhängenden Schlappbrust, und zweitens auch in anatomischer Hinsicht, denn der Forscher Leonardo war offenbar durch seine Sexualabwehr verhindert worden, sich nur einmal die Brustwarze eines säugenden Weibes genau anzusehen. Hätte er das getan, so müßte er bemerkt haben, daß die Milch aus verschiedenen, voneinander getrennten Ausführungsgängen herausströmt. Leonardo aber zeichnete nur einen einzigen Kanal, der weit in den Bauchraum hinunterreicht und wahrscheinlich nach Leonardos Meinung die Milch aus der </w:t>
      </w:r>
      <w:r w:rsidRPr="00B03603">
        <w:rPr>
          <w:rFonts w:ascii="Garamond" w:hAnsi="Garamond" w:cs="Arial"/>
          <w:i/>
          <w:iCs/>
          <w:color w:val="000000"/>
        </w:rPr>
        <w:t>Cysterna chyli</w:t>
      </w:r>
      <w:r w:rsidRPr="00B03603">
        <w:rPr>
          <w:rFonts w:ascii="Garamond" w:hAnsi="Garamond" w:cs="Arial"/>
          <w:color w:val="000000"/>
        </w:rPr>
        <w:t xml:space="preserve"> bezieht, vielleicht auch mit den Sexualorganen in irgendeiner Verbindung steht. </w:t>
      </w:r>
      <w:r w:rsidRPr="00B03603">
        <w:rPr>
          <w:rFonts w:ascii="Garamond" w:hAnsi="Garamond" w:cs="Arial"/>
          <w:color w:val="000000"/>
          <w:lang w:val="en-GB"/>
        </w:rPr>
        <w:t xml:space="preserve">Allerdings muß in Betracht gezogen werden, daß das Studium der inneren Organe des menschlichen Körpers in damaliger Zeit äußerst erschwert war, weil das Sezieren von Verstorbenen als Leichenschändung angesehen und strengstens bestraft wurde. Ob Leonardo, dem ja nur ein sehr kleines Sektionsmaterial zur Verfügung stand, von der Existenz eines Lymphreservoirs im Bauchraum überhaupt etwas gewußt hat, ist somit eigentlich recht fraglich, obzwar er in seiner Zeichnung zweifellos einen derart zu deutenden Hohlraum darstellte. Daß er aber den Milchkanal noch tiefer nach abwärts bis zu den inneren Sexualorganen reichend zeichnete, läßt vermuten, daß er das zeitliche Zusammenfallen des Beginnes der Milchabsonderung mit dem Ende der Schwangerschaft auch durch sinnfällige anatomische Zusammenhänge darzustellen suchte. Wenn wir nun auch des Künstlers mangelhafte Kenntnisse der Anatomie mit Rücksicht auf die Verhältnisse seiner Zeit gerne entschuldigen wollen, so ist es doch auffallend, daß Leonardo gerade das weibliche Genitale so vernachlässigt behandelt hat. Man kann wohl die Vagina und eine Andeutung der </w:t>
      </w:r>
      <w:r w:rsidRPr="00B03603">
        <w:rPr>
          <w:rFonts w:ascii="Garamond" w:hAnsi="Garamond" w:cs="Arial"/>
          <w:i/>
          <w:iCs/>
          <w:color w:val="000000"/>
          <w:lang w:val="en-GB"/>
        </w:rPr>
        <w:t>Portio uteri</w:t>
      </w:r>
      <w:r w:rsidRPr="00B03603">
        <w:rPr>
          <w:rFonts w:ascii="Garamond" w:hAnsi="Garamond" w:cs="Arial"/>
          <w:color w:val="000000"/>
          <w:lang w:val="en-GB"/>
        </w:rPr>
        <w:t xml:space="preserve"> erkennen, die Gebärmutter selbst ist aber in ganz verworrenen Linien gezeichnet.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Das männliche Genitale hingegen hat Leonardo viel korrekter dargestellt. So zum Beispiel hat er sich nicht begnügt, den Testikel zu zeichnen, sondern hat auch ganz richtig die Epididymis in die Skizze aufgenommen.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Äußerst merkwürdig ist die Stellung, in welcher Leonardo den Koitus vollziehen läßt. Es gibt Bilder und Zeichnungen hervorragender Künstler, die den </w:t>
      </w:r>
      <w:r w:rsidRPr="00B03603">
        <w:rPr>
          <w:rFonts w:ascii="Garamond" w:hAnsi="Garamond" w:cs="Arial"/>
          <w:i/>
          <w:iCs/>
          <w:color w:val="000000"/>
          <w:lang w:val="en-GB"/>
        </w:rPr>
        <w:t>coitus a tergo, a latere</w:t>
      </w:r>
      <w:r w:rsidRPr="00B03603">
        <w:rPr>
          <w:rFonts w:ascii="Garamond" w:hAnsi="Garamond" w:cs="Arial"/>
          <w:color w:val="000000"/>
          <w:lang w:val="en-GB"/>
        </w:rPr>
        <w:t xml:space="preserve"> usw. darstellen, aber einen Geschlechtsakt im Stehen zu zeichnen, da muß wohl eine ganz besonders starke Sexualverdrängung als Ursache dieser solitären, beinahe grotesken Darstellung vermutet werden. Wenn man genießen will, so pflegt man es sich so bequem als möglich zu machen. Das gilt natürlich für beide Urtriebe, für Hunger und Liebe. Die meisten Völker des Altertums nahmen beim Mahle eine liegende Stellung ein, und beim Koitus liegt man normalerweise heutzutage gerade so bequem, wie unsere Vorfahren es taten. Durch das Liegen wird gewissermaßen das Wollen ausgedrückt, in der erwünschten Situation längere Zeit hindurch zu verweilen.</w:t>
      </w:r>
    </w:p>
    <w:p w:rsidR="00462409" w:rsidRPr="00B03603" w:rsidRDefault="00462409" w:rsidP="00462409">
      <w:pPr>
        <w:rPr>
          <w:rFonts w:ascii="Garamond" w:hAnsi="Garamond" w:cs="Arial"/>
          <w:color w:val="000000"/>
        </w:rPr>
      </w:pPr>
      <w:r w:rsidRPr="00B03603">
        <w:rPr>
          <w:rFonts w:ascii="Garamond" w:hAnsi="Garamond" w:cs="Arial"/>
          <w:color w:val="000000"/>
        </w:rPr>
        <w:t>Auch die Gesichtszüge des femininen Männerkopfes zeigen eine geradezu unwillige Abwehr. Die Brauen sind gerunzelt, der Blick ist mit einem Ausdruck von Scheu seitwärts gerichtet, die Lippen sind zusammengepreßt und ihre Winkel nach unten verzogen. Dieses Gesicht läßt wahrlich weder die Lust des Liebespendens noch die Seligkeit des Gewährens erkennen; es drückt nur Unwillen und Abscheu aus.</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Die gröbste Fehlleistung hat aber Leonardo bei der Zeichnung der beiden unteren Extremitäten begangen. Der Fuß des Mannes sollte nämlich der rechte sein; denn da Leonardo den Zeugungsakt in Form eines anatomischen Sagittaldurchschnittes darstellte, so müßte ja der linke männliche Fuß oberhalb der Bildfläche gedacht werden, und umgekehrt sollte aus demselben Grunde der weibliche Fuß der linken Seite angehören. Tatsächlich aber hat Leonardo weiblich und männlich vertauscht. Die Figur des Mannes besitzt einen linken, die des Weibes einen rechten Fuß. Bezüglich dieser Vertauschung orientiert man sich am leichtesten, wenn man bedenkt, daß die großen Zehen der Innenseite der Füße angehören.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lastRenderedPageBreak/>
        <w:t>Aus dieser anatomischen Zeichnung allein hatte man die den großen Künstler und Forscher beinahe verwirrende Libidoverdrängung erschließen können.«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Diese Darstellung Reitlers hat allerdings die Kritik gefunden, es sei nicht zulässig, aus einer flüchtigen Zeichnung so ernste Schlüsse zu ziehen, und es stehe nicht einmal fest, ob die Stücke der Zeichnung wirklich zusammengehören.</w:t>
      </w:r>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Es ist zweifelhaft, ob Leonardo jemals ein Weib in Liebe umarmt hat; auch von einer intimen seelischen Beziehung zu einer Frau, wie die Michelangelos zur Vittoria Colonna, ist nichts bekannt. Als er noch als Lehrling im Hause seines Meisters Verrocchio lebte, traf ihn mit anderen jungen Leuten eine Anzeige wegen verbotenen homosexuellen Umganges, die mit seinem Freispruch endete. Es scheint, daß er in diesen Verdacht geriet, weil er sich eines übel beleumundeten Knaben als Modells bediente </w:t>
      </w:r>
      <w:hyperlink r:id="rId1500"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Auf diesen Zwischenfall bezieht sich nach Scognamiglio (1900, 49) eine dunkle und selbst verschieden gelesene Stelle des </w:t>
        </w:r>
        <w:r w:rsidRPr="00B03603">
          <w:rPr>
            <w:rStyle w:val="innerfusslink3"/>
            <w:rFonts w:ascii="Garamond" w:hAnsi="Garamond" w:cs="Arial"/>
            <w:b/>
            <w:bCs/>
            <w:i/>
            <w:iCs/>
            <w:lang w:val="en-GB"/>
          </w:rPr>
          <w:t>Codex Atlanticus: Quando io feci Domeneddio putto voi mi metteste in prigione, ora s'io lo fo grande, voimi farete peggio</w:t>
        </w:r>
        <w:r w:rsidRPr="00B03603">
          <w:rPr>
            <w:rStyle w:val="innerfusslink3"/>
            <w:rFonts w:ascii="Garamond" w:hAnsi="Garamond" w:cs="Arial"/>
            <w:b/>
            <w:bCs/>
            <w:lang w:val="en-GB"/>
          </w:rPr>
          <w:t>.</w:t>
        </w:r>
      </w:hyperlink>
      <w:r w:rsidRPr="00B03603">
        <w:rPr>
          <w:rFonts w:ascii="Garamond" w:hAnsi="Garamond" w:cs="Arial"/>
          <w:color w:val="000000"/>
          <w:lang w:val="en-GB"/>
        </w:rPr>
        <w:t xml:space="preserve">. Als Meister umgab er sich mit schönen Knaben und Jünglingen, die er zu Schülern annahm. Der letzte dieser Schüler, Francesco Melzi, begleitete ihn nach Frankreich, blieb bis zu seinem Tode bei ihm und wurde von ihm zum Erben eingesetzt. Ohne die Sicherheit seiner modernen Biographen zu teilen, die die Möglichkeit eines sexuellen Verkehrs zwischen ihm und seinen Schülern natürlich als eine grundlose Beschimpfung des großen Mannes verwerfen, mag man es für weitaus wahrscheinlicher halten, daß die zärtlichen Beziehungen Leonardos zu den jungen Leuten, die nach damaliger Schülerart sein Leben teilten, nicht in geschlechtliche Betätigung ausliefen. </w:t>
      </w:r>
      <w:r w:rsidRPr="00B03603">
        <w:rPr>
          <w:rFonts w:ascii="Garamond" w:hAnsi="Garamond" w:cs="Arial"/>
          <w:color w:val="000000"/>
        </w:rPr>
        <w:t>Man wird ihm auch von sexueller Aktivität kein hohes Maß zumuten dürfen.</w:t>
      </w:r>
    </w:p>
    <w:p w:rsidR="00462409" w:rsidRPr="00B03603" w:rsidRDefault="00462409" w:rsidP="00462409">
      <w:pPr>
        <w:rPr>
          <w:rFonts w:ascii="Garamond" w:hAnsi="Garamond" w:cs="Arial"/>
          <w:color w:val="000000"/>
        </w:rPr>
      </w:pPr>
      <w:r w:rsidRPr="00462409">
        <w:rPr>
          <w:rFonts w:ascii="Garamond" w:hAnsi="Garamond" w:cs="Arial"/>
          <w:color w:val="000000"/>
        </w:rPr>
        <w:t xml:space="preserve">Die Eigenart dieses Gefühls- und Geschlechtslebens läßt sich im Zusammenhalt mit Leonardos Doppelnatur als Künstler und Forscher nur in einer Weise begreifen. </w:t>
      </w:r>
      <w:r w:rsidRPr="00B03603">
        <w:rPr>
          <w:rFonts w:ascii="Garamond" w:hAnsi="Garamond" w:cs="Arial"/>
          <w:color w:val="000000"/>
          <w:lang w:val="en-GB"/>
        </w:rPr>
        <w:t xml:space="preserve">Von den Biographen, denen psychologische Gesichtspunkte oft sehr ferne liegen, hat meines Wissens nur einer, Edm. Solmi, sich der Lösung des Rätsels genähert; ein Dichter aber, der Leonardo zum Helden eines großen historischen Romans gewählt hat, Dmitry Sergewitsch Mereschkowski, hat seine Darstellung auf solches Verständnis des ungewöhnlichen Mannes gegründet und seine Auffassung, wenn auch nicht in dürren Worten, so doch nach der Weise des Dichters in plastischem Ausdruck unverkennbar geäußert </w:t>
      </w:r>
      <w:hyperlink r:id="rId1501"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Mereschkowski: </w:t>
        </w:r>
        <w:r w:rsidRPr="00B03603">
          <w:rPr>
            <w:rStyle w:val="innerfusslink3"/>
            <w:rFonts w:ascii="Garamond" w:hAnsi="Garamond" w:cs="Arial"/>
            <w:b/>
            <w:bCs/>
            <w:i/>
            <w:iCs/>
            <w:lang w:val="en-GB"/>
          </w:rPr>
          <w:t>Leonardo da Vinci.</w:t>
        </w:r>
        <w:r w:rsidRPr="00B03603">
          <w:rPr>
            <w:rStyle w:val="innerfusslink3"/>
            <w:rFonts w:ascii="Garamond" w:hAnsi="Garamond" w:cs="Arial"/>
            <w:b/>
            <w:bCs/>
            <w:lang w:val="en-GB"/>
          </w:rPr>
          <w:t xml:space="preserve"> (Deutsche Übersetzung, 1903.) Das Mittelstück einer großen Romantrilogie, die </w:t>
        </w:r>
        <w:r w:rsidRPr="00B03603">
          <w:rPr>
            <w:rStyle w:val="innerfusslink3"/>
            <w:rFonts w:ascii="Garamond" w:hAnsi="Garamond" w:cs="Arial"/>
            <w:b/>
            <w:bCs/>
            <w:i/>
            <w:iCs/>
            <w:lang w:val="en-GB"/>
          </w:rPr>
          <w:t>Christ und Antichrist</w:t>
        </w:r>
        <w:r w:rsidRPr="00B03603">
          <w:rPr>
            <w:rStyle w:val="innerfusslink3"/>
            <w:rFonts w:ascii="Garamond" w:hAnsi="Garamond" w:cs="Arial"/>
            <w:b/>
            <w:bCs/>
            <w:lang w:val="en-GB"/>
          </w:rPr>
          <w:t xml:space="preserve"> betitelt ist. Die beiden anderen Bände heißen </w:t>
        </w:r>
        <w:r w:rsidRPr="00B03603">
          <w:rPr>
            <w:rStyle w:val="innerfusslink3"/>
            <w:rFonts w:ascii="Garamond" w:hAnsi="Garamond" w:cs="Arial"/>
            <w:b/>
            <w:bCs/>
            <w:i/>
            <w:iCs/>
            <w:lang w:val="en-GB"/>
          </w:rPr>
          <w:t>Julian Apostata</w:t>
        </w:r>
        <w:r w:rsidRPr="00B03603">
          <w:rPr>
            <w:rStyle w:val="innerfusslink3"/>
            <w:rFonts w:ascii="Garamond" w:hAnsi="Garamond" w:cs="Arial"/>
            <w:b/>
            <w:bCs/>
            <w:lang w:val="en-GB"/>
          </w:rPr>
          <w:t xml:space="preserve"> und </w:t>
        </w:r>
        <w:r w:rsidRPr="00B03603">
          <w:rPr>
            <w:rStyle w:val="innerfusslink3"/>
            <w:rFonts w:ascii="Garamond" w:hAnsi="Garamond" w:cs="Arial"/>
            <w:b/>
            <w:bCs/>
            <w:i/>
            <w:iCs/>
            <w:lang w:val="en-GB"/>
          </w:rPr>
          <w:t>Peter der Große und Alexei</w:t>
        </w:r>
        <w:r w:rsidRPr="00B03603">
          <w:rPr>
            <w:rStyle w:val="innerfusslink3"/>
            <w:rFonts w:ascii="Garamond" w:hAnsi="Garamond" w:cs="Arial"/>
            <w:b/>
            <w:bCs/>
            <w:lang w:val="en-GB"/>
          </w:rPr>
          <w:t>.</w:t>
        </w:r>
      </w:hyperlink>
      <w:r w:rsidRPr="00B03603">
        <w:rPr>
          <w:rFonts w:ascii="Garamond" w:hAnsi="Garamond" w:cs="Arial"/>
          <w:color w:val="000000"/>
          <w:lang w:val="en-GB"/>
        </w:rPr>
        <w:t xml:space="preserve">. Solmi urteilt über Leonardo: »Aber das unstillbare Verlangen, alles ihn Umgebende zu erkennen und mit kalter Überlegenheit das tiefste Geheimnis alles Vollkommenen zu ergründen, hatte Leonardos Werke dazu verdammt, stets unfertig zu bleiben.« </w:t>
      </w:r>
      <w:hyperlink r:id="rId1502" w:anchor="#" w:history="1">
        <w:r w:rsidRPr="00B03603">
          <w:rPr>
            <w:rStyle w:val="fusslink"/>
            <w:rFonts w:ascii="Garamond" w:hAnsi="Garamond" w:cs="Arial"/>
            <w:b/>
            <w:bCs/>
            <w:color w:val="003399"/>
          </w:rPr>
          <w:t>[Fußnote]</w:t>
        </w:r>
        <w:r w:rsidRPr="00B03603">
          <w:rPr>
            <w:rStyle w:val="innerfusslink3"/>
            <w:rFonts w:ascii="Garamond" w:hAnsi="Garamond" w:cs="Arial"/>
            <w:b/>
            <w:bCs/>
          </w:rPr>
          <w:t>Solmi (1908, 46).</w:t>
        </w:r>
      </w:hyperlink>
      <w:r w:rsidRPr="00B03603">
        <w:rPr>
          <w:rFonts w:ascii="Garamond" w:hAnsi="Garamond" w:cs="Arial"/>
          <w:color w:val="000000"/>
        </w:rPr>
        <w:t xml:space="preserve"> In einem Aufsatze der </w:t>
      </w:r>
      <w:r w:rsidRPr="00B03603">
        <w:rPr>
          <w:rFonts w:ascii="Garamond" w:hAnsi="Garamond" w:cs="Arial"/>
          <w:i/>
          <w:iCs/>
          <w:color w:val="000000"/>
        </w:rPr>
        <w:t>Conference Fiorentine</w:t>
      </w:r>
      <w:r w:rsidRPr="00B03603">
        <w:rPr>
          <w:rFonts w:ascii="Garamond" w:hAnsi="Garamond" w:cs="Arial"/>
          <w:color w:val="000000"/>
        </w:rPr>
        <w:t xml:space="preserve"> wird die Äußerung Leonardos zitiert, die sein Glaubensbekenntnis und den Schlüssel zu seinem Wesen ausliefert:</w:t>
      </w:r>
    </w:p>
    <w:p w:rsidR="00462409" w:rsidRPr="00B03603" w:rsidRDefault="00462409" w:rsidP="00462409">
      <w:pPr>
        <w:rPr>
          <w:rFonts w:ascii="Garamond" w:hAnsi="Garamond" w:cs="Arial"/>
          <w:color w:val="000000"/>
          <w:lang w:val="en-GB"/>
        </w:rPr>
      </w:pPr>
      <w:r w:rsidRPr="00B03603">
        <w:rPr>
          <w:rFonts w:ascii="Garamond" w:hAnsi="Garamond" w:cs="Arial"/>
          <w:color w:val="000000"/>
        </w:rPr>
        <w:t xml:space="preserve">» </w:t>
      </w:r>
      <w:r w:rsidRPr="00B03603">
        <w:rPr>
          <w:rFonts w:ascii="Garamond" w:hAnsi="Garamond" w:cs="Arial"/>
          <w:i/>
          <w:iCs/>
          <w:color w:val="000000"/>
        </w:rPr>
        <w:t>Nessuna cosa si può amare nè odiare, se prima non si ha cognition di quella.</w:t>
      </w:r>
      <w:r w:rsidRPr="00B03603">
        <w:rPr>
          <w:rFonts w:ascii="Garamond" w:hAnsi="Garamond" w:cs="Arial"/>
          <w:color w:val="000000"/>
        </w:rPr>
        <w:t xml:space="preserve">« </w:t>
      </w:r>
      <w:hyperlink r:id="rId1503"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Bottazzi (1910, 193).</w:t>
        </w:r>
      </w:hyperlink>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Also: Man hat kein Recht, etwas zu lieben oder zu hassen, wenn man sich nicht eine gründliche Erkenntnis seines Wesens verschafft hat. Und dasselbe wiederholt Leonardo an einer Stelle des Traktats von der Malerei, wo er sich gegen den Vorwurf der Irreligiosität zu verteidigen scheint:</w:t>
      </w:r>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»Solche Tadler mögen aber stillschweigen. Denn jenes (Tun) ist die Weise, den Werkmeister so vieler bewundernswerter Dinge kennenzulernen, und dies der Weg, einen so großen Erfinder zu lieben. Denn wahrlich, große Liebe entspringt aus großer Erkenntnis des geliebten Gegenstandes, und wenn du diesen wenig kennst, so wirst du ihn nur wenig oder gar nicht lieben können ...« </w:t>
      </w:r>
      <w:hyperlink r:id="rId1504" w:anchor="#" w:history="1">
        <w:r w:rsidRPr="00B03603">
          <w:rPr>
            <w:rStyle w:val="fusslink"/>
            <w:rFonts w:ascii="Garamond" w:hAnsi="Garamond" w:cs="Arial"/>
            <w:b/>
            <w:bCs/>
            <w:color w:val="003399"/>
          </w:rPr>
          <w:t>[Fußnote]</w:t>
        </w:r>
        <w:r w:rsidRPr="00B03603">
          <w:rPr>
            <w:rStyle w:val="innerfusslink3"/>
            <w:rFonts w:ascii="Garamond" w:hAnsi="Garamond" w:cs="Arial"/>
            <w:b/>
            <w:bCs/>
          </w:rPr>
          <w:t xml:space="preserve">Leonardo da Vinci, </w:t>
        </w:r>
        <w:r w:rsidRPr="00B03603">
          <w:rPr>
            <w:rStyle w:val="innerfusslink3"/>
            <w:rFonts w:ascii="Garamond" w:hAnsi="Garamond" w:cs="Arial"/>
            <w:b/>
            <w:bCs/>
            <w:i/>
            <w:iCs/>
          </w:rPr>
          <w:t>Traktat von der Malerei</w:t>
        </w:r>
        <w:r w:rsidRPr="00B03603">
          <w:rPr>
            <w:rStyle w:val="innerfusslink3"/>
            <w:rFonts w:ascii="Garamond" w:hAnsi="Garamond" w:cs="Arial"/>
            <w:b/>
            <w:bCs/>
          </w:rPr>
          <w:t xml:space="preserve"> (übersetzt von Ludwig, 1909, 54).</w:t>
        </w:r>
      </w:hyperlink>
    </w:p>
    <w:p w:rsidR="00462409" w:rsidRPr="00B03603" w:rsidRDefault="00462409" w:rsidP="00462409">
      <w:pPr>
        <w:rPr>
          <w:rFonts w:ascii="Garamond" w:hAnsi="Garamond" w:cs="Arial"/>
          <w:color w:val="000000"/>
          <w:lang w:val="en-GB"/>
        </w:rPr>
      </w:pPr>
      <w:r w:rsidRPr="00B03603">
        <w:rPr>
          <w:rFonts w:ascii="Garamond" w:hAnsi="Garamond" w:cs="Arial"/>
          <w:color w:val="000000"/>
        </w:rPr>
        <w:lastRenderedPageBreak/>
        <w:t xml:space="preserve">Der Wert dieser Äußerungen Leonardos kann nicht darin gesucht werden, daß sie eine bedeutsame psychologische Tatsache mitteilen, denn was sie behaupten, ist offenkundig falsch, und Leonardo mußte dies ebensogut wissen wie wir. Es ist nicht wahr, daß die Menschen mit ihrer Liebe oder ihrem Haß warten, bis sie den Gegenstand, dem diese Affekte gelten, studiert und in seinem Wesen erkannt haben, vielmehr lieben sie impulsiv auf Gefühlsmotive hin, die mit Erkenntnis nichts zu tun haben und deren Wirkung durch Besinnung und Nachdenken höchstens abgeschwächt wird. Leonardo konnte also nur gemeint haben, was die Menschen üben, das sei nicht die richtige, einwandfreie Liebe, man </w:t>
      </w:r>
      <w:r w:rsidRPr="00B03603">
        <w:rPr>
          <w:rFonts w:ascii="Garamond" w:hAnsi="Garamond" w:cs="Arial"/>
          <w:i/>
          <w:iCs/>
          <w:color w:val="000000"/>
        </w:rPr>
        <w:t>sollte</w:t>
      </w:r>
      <w:r w:rsidRPr="00B03603">
        <w:rPr>
          <w:rFonts w:ascii="Garamond" w:hAnsi="Garamond" w:cs="Arial"/>
          <w:color w:val="000000"/>
        </w:rPr>
        <w:t xml:space="preserve"> so lieben, daß man den Affekt aufhalte, ihn der Gedankenarbeit unterwerfe und erst frei gewähren lasse, nachdem er die Prüfung durch das Denken bestanden hat. </w:t>
      </w:r>
      <w:r w:rsidRPr="00B03603">
        <w:rPr>
          <w:rFonts w:ascii="Garamond" w:hAnsi="Garamond" w:cs="Arial"/>
          <w:color w:val="000000"/>
          <w:lang w:val="en-GB"/>
        </w:rPr>
        <w:t>Und wir verstehen dabei, daß er uns sagen will, bei ihm sei es so; es wäre für alle anderen erstrebenswert, wenn sie es mit Liebe und Haß so hielten wie er selbst.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Und bei ihm scheint es wirklich so gewesen zu sein. Seine Affekte waren gebändigt, dem Forschertrieb unterworfen; er liebte und haßte nicht, sondern fragte sich, woher das komme, was er lieben oder hassen solle, und was es bedeute, und so mußte er zunächst indifferent erscheinen gegen Gut und Böse, gegen Schönes und Häßliches. Während dieser Forscherarbeit warfen Liebe und Haß ihre Vorzeichen ab und wandelten sich gleichmäßig in Denkinteresse um. In Wirklichkeit war Leonardo nicht leidenschaftslos, er entbehrte nicht des göttlichen Funkens, der mittelbar oder unmittelbar die Triebkraft – </w:t>
      </w:r>
      <w:r w:rsidRPr="00B03603">
        <w:rPr>
          <w:rFonts w:ascii="Garamond" w:hAnsi="Garamond" w:cs="Arial"/>
          <w:i/>
          <w:iCs/>
          <w:color w:val="000000"/>
          <w:lang w:val="en-GB"/>
        </w:rPr>
        <w:t>il primo motore</w:t>
      </w:r>
      <w:r w:rsidRPr="00B03603">
        <w:rPr>
          <w:rFonts w:ascii="Garamond" w:hAnsi="Garamond" w:cs="Arial"/>
          <w:color w:val="000000"/>
          <w:lang w:val="en-GB"/>
        </w:rPr>
        <w:t xml:space="preserve"> – alles menschlichen Tuns ist. Er hatte die Leidenschaft nur in Wissensdrang verwandelt; er ergab sich nun der Forschung mit jener Ausdauer, Stetigkeit, Vertiefung, die sich aus der Leidenschaft ableiten, und auf der Höhe der geistigen Arbeit, nach gewonnener Erkenntnis, läßt er den lange zurückgehaltenen Affekt losbrechen, frei abströmen wie einen vom Strome abgeleiteten Wasserarm, nachdem er das Werk getrieben hat. Auf der Höhe einer Erkenntnis, wenn er ein großes Stück des Zusammenhanges überschauen kann, dann erfaßt ihn das Pathos und er preist in schwärmerischen Worten die Großartigkeit jenes Stückes der Schöpfung, das er studiert hat, oder – in religiöser Einkleidung – die Größe seines Schöpfers. Solmi hat diesen Prozeß der Umwandlung bei Leonardo richtig erfaßt. Nach dem Zitat einer solchen Stelle, in der Leonardo den hehren Zwang der Natur (» </w:t>
      </w:r>
      <w:r w:rsidRPr="00B03603">
        <w:rPr>
          <w:rFonts w:ascii="Garamond" w:hAnsi="Garamond" w:cs="Arial"/>
          <w:i/>
          <w:iCs/>
          <w:color w:val="000000"/>
          <w:lang w:val="en-GB"/>
        </w:rPr>
        <w:t>O mirabile necessità...</w:t>
      </w:r>
      <w:r w:rsidRPr="00B03603">
        <w:rPr>
          <w:rFonts w:ascii="Garamond" w:hAnsi="Garamond" w:cs="Arial"/>
          <w:color w:val="000000"/>
          <w:lang w:val="en-GB"/>
        </w:rPr>
        <w:t xml:space="preserve">«) gefeiert hat, sagt er: </w:t>
      </w:r>
      <w:r w:rsidRPr="00B03603">
        <w:rPr>
          <w:rFonts w:ascii="Garamond" w:hAnsi="Garamond" w:cs="Arial"/>
          <w:i/>
          <w:iCs/>
          <w:color w:val="000000"/>
          <w:lang w:val="en-GB"/>
        </w:rPr>
        <w:t>Tale trasfigurazione della scienza della natura in emozione, quasi direi, religiosa, è uno dei tratti caratteristici de' manoscritti vinciani, e si trova cento e cento volte espressa ..</w:t>
      </w:r>
      <w:r w:rsidRPr="00B03603">
        <w:rPr>
          <w:rFonts w:ascii="Garamond" w:hAnsi="Garamond" w:cs="Arial"/>
          <w:color w:val="000000"/>
          <w:lang w:val="en-GB"/>
        </w:rPr>
        <w:t xml:space="preserve">. </w:t>
      </w:r>
      <w:hyperlink r:id="rId1505"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Solmi (1910, 11).</w:t>
        </w:r>
      </w:hyperlink>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Man hat Leonardo wegen seines unersättlichen und unermüdlichen Forscherdranges den italienischen Faust geheißen. Aber von allen Bedenken gegen die mögliche Rückverwandlung des Forschertriebs in Lebenslust abgesehen, die wir als die Voraussetzung der Fausttragödie annehmen müssen, möchte man die Bemerkung wagen, daß die Entwicklung Leonardos an spinozistische Denkweise streift.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Die Umsetzungen der psychischen Triebkraft in verschiedene Formen der Betätigung sind vielleicht ebensowenig ohne Einbuße konvertierbar wie die der physikalischen Kräfte. Das Beispiel Leonardos lehrt, wie vielerlei anderes an diesen Prozessen zu verfolgen ist. Aus dem Aufschub, erst zu lieben, nachdem man erkannt hat, wird ein Ersatz. Man liebt und haßt nicht mehr recht, wenn man zur Erkenntnis durchgedrungen ist; man bleibt jenseits von Liebe und Haß. Man hat geforscht, anstatt zu lieben. Und darum vielleicht ist Leonardos Leben so viel ärmer an Liebe gewesen als das anderer Großer und anderer Künstler. Die stürmischen Leidenschaften erhebender und verzehrender Natur, in denen andere ihr Bestes erlebten, scheinen ihn nicht getroffen zu haben.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Und noch andere Folgen. Man hat auch geforscht, anstatt zu handeln, zu schaffen. Wer die Großartigkeit des Weltzusammenhanges und dessen Notwendigkeiten zu ahnen begonnen hat, der verliert leicht sein eigenes kleines Ich. In Bewunderung versunken, wahrhaft demütig geworden, vergißt man zu leicht, daß man selbst ein Stück jener wirkenden Kräfte ist und es versuchen darf, nach dem Ausmaß seiner persönlichen Kraft ein Stückchen jenes notwendigen Ablaufes der Welt abzuändern, der Welt, in welcher das Kleine doch nicht minder wunderbar und bedeutsam ist als das Große.</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lastRenderedPageBreak/>
        <w:t xml:space="preserve">Leonardo hatte vielleicht, wie Solmi meint, im Dienste seiner Kunst zu forschen begonnen </w:t>
      </w:r>
      <w:hyperlink r:id="rId1506"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Solmi (1910, 8): » </w:t>
        </w:r>
        <w:r w:rsidRPr="00B03603">
          <w:rPr>
            <w:rStyle w:val="innerfusslink3"/>
            <w:rFonts w:ascii="Garamond" w:hAnsi="Garamond" w:cs="Arial"/>
            <w:b/>
            <w:bCs/>
            <w:i/>
            <w:iCs/>
            <w:lang w:val="en-GB"/>
          </w:rPr>
          <w:t>Leonardo aveva posto, come regola al pittore, lo studio della natura..., poi la passione dello studio era divenuta dominante, egli aveva voluto acquistare non più la scienza per l'arte, ma la scienza per la scienza.</w:t>
        </w:r>
        <w:r w:rsidRPr="00B03603">
          <w:rPr>
            <w:rStyle w:val="innerfusslink3"/>
            <w:rFonts w:ascii="Garamond" w:hAnsi="Garamond" w:cs="Arial"/>
            <w:b/>
            <w:bCs/>
            <w:lang w:val="en-GB"/>
          </w:rPr>
          <w:t>«</w:t>
        </w:r>
      </w:hyperlink>
      <w:r w:rsidRPr="00B03603">
        <w:rPr>
          <w:rFonts w:ascii="Garamond" w:hAnsi="Garamond" w:cs="Arial"/>
          <w:color w:val="000000"/>
          <w:lang w:val="en-GB"/>
        </w:rPr>
        <w:t xml:space="preserve">, er bemühte sich um die Eigenschaften und Gesetze des Lichts, der Farben, Schatten, der Perspektive, um sich die Meisterschaft in der Nachahmung der Natur zu sichern und anderen den gleichen Weg zu weisen. Wahrscheinlich überschätzte er schon damals den Wert dieser Kenntnisse für den Künstler. Dann trieb es ihn, noch immer am Leitseil des malerischen Bedürfnisses, zur Erforschung der Objekte der Malerei, der Tiere und Pflanzen, der Proportionen des menschlichen Körpers, vom Äußeren derselben weg zur Kenntnis ihres inneren Baues und ihrer Lebensfunktionen, die sich ja auch in ihrer Erscheinung ausdrücken und von der Kunst Darstellung verlangen. Und endlich riß ihn der übermächtig gewordene Trieb fort, bis der Zusammenhang mit den Anforderungen seiner Kunst zerriß, so daß er die allgemeinen Gesetze der Mechanik auffand, daß er die Geschichte der Ablagerungen und Versteinerungen im Arnotal erriet und bis daß er in sein Buch mit großen Buchstaben die Erkenntnis eintragen konnte: </w:t>
      </w:r>
      <w:r w:rsidRPr="00B03603">
        <w:rPr>
          <w:rFonts w:ascii="Garamond" w:hAnsi="Garamond" w:cs="Arial"/>
          <w:i/>
          <w:iCs/>
          <w:color w:val="000000"/>
          <w:lang w:val="en-GB"/>
        </w:rPr>
        <w:t>Il sole non si move</w:t>
      </w:r>
      <w:r w:rsidRPr="00B03603">
        <w:rPr>
          <w:rFonts w:ascii="Garamond" w:hAnsi="Garamond" w:cs="Arial"/>
          <w:color w:val="000000"/>
          <w:lang w:val="en-GB"/>
        </w:rPr>
        <w:t xml:space="preserve">. Auf so ziemlich alle Gebiete der Naturwissenschaft dehnte er seine Forschungen aus, auf jedem einzelnen ein Entdecker oder wenigstens Vorhersager und Pfadfinder </w:t>
      </w:r>
      <w:hyperlink r:id="rId1507"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Siehe die Aufzählung seiner wissenschaftlichen Leistungen in der schönen biographischen Einleitung der Marie Herzfeld (1906), in den einzelnen Essays der </w:t>
        </w:r>
        <w:r w:rsidRPr="00B03603">
          <w:rPr>
            <w:rStyle w:val="innerfusslink3"/>
            <w:rFonts w:ascii="Garamond" w:hAnsi="Garamond" w:cs="Arial"/>
            <w:b/>
            <w:bCs/>
            <w:i/>
            <w:iCs/>
            <w:lang w:val="en-GB"/>
          </w:rPr>
          <w:t>Conferenze Fiorentine</w:t>
        </w:r>
        <w:r w:rsidRPr="00B03603">
          <w:rPr>
            <w:rStyle w:val="innerfusslink3"/>
            <w:rFonts w:ascii="Garamond" w:hAnsi="Garamond" w:cs="Arial"/>
            <w:b/>
            <w:bCs/>
            <w:lang w:val="en-GB"/>
          </w:rPr>
          <w:t xml:space="preserve"> (1910) und anderwärts.</w:t>
        </w:r>
      </w:hyperlink>
      <w:r w:rsidRPr="00B03603">
        <w:rPr>
          <w:rFonts w:ascii="Garamond" w:hAnsi="Garamond" w:cs="Arial"/>
          <w:color w:val="000000"/>
          <w:lang w:val="en-GB"/>
        </w:rPr>
        <w:t>. Doch blieb sein Wissensdrang auf die Außenwelt gerichtet, von der Erforschung des Seelenlebens der Menschen hielt ihn etwas fern; in der »Academia Vinciana«, für die er kunstvoll verschlungene Embleme zeichnete, war für die Psychologie wenig Raum.</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Versuchte er dann von der Forschung zur Kunstübung zurückzukehren, von der er ausgegangen war, so erfuhr er an sich die Störung durch die neue Einstellung seiner Interessen und die veränderte Natur seiner psychischen Arbeit. Am Bild interessierte ihn vor allem ein Problem, und hinter diesem einen sah er ungezählte andere Probleme auftauchen, wie er es in der endlosen und unabschließbaren Naturforschung gewohnt war. Er brachte sich nicht mehr dazu, seinen Anspruch zu beschränken, das Kunstwerk zu isolieren, es aus dem großen Zusammenhang zu reißen, in den er es gehörig wußte. Nach den erschöpfendsten Bemühungen, alles in ihm zum Ausdruck zu bringen, was sich in seinen Gedanken daran knüpfte, mußte er es unfertig im Stiche lassen oder es für unvollendet erklären.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Der Künstler hatte einst den Forscher als Handlanger in seinen Dienst genommen, nun war der Diener der Stärkere geworden und unterdrückte seinen Herrn.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Wenn wir im Charakterbilde einer Person einen einzigen Trieb überstark ausgebildet finden, wie bei Leonardo die Wißbegierde, so berufen wir uns zur Erklärung auf eine besondere Anlage, über deren wahrscheinlich organische Bedingtheit meist noch nichts Näheres bekannt ist. Durch unsere psychoanalytischen Studien an Nervösen werden wir aber zwei weiteren Erwartungen geneigt, die wir gern in jedem einzelnen Falle bestätigt finden möchten. Wir halten es für wahrscheinlich, daß jener überstarke Trieb sich bereits in der frühesten Kindheit der Person betätigt hat und daß seine Oberherrschaft durch Eindrücke des Kinderlebens festgelegt wurde, und wir nehmen ferner an, daß er ursprünglich sexuelle Triebkräfte zu seiner Verstärkung herangezogen hat, so daß er späterhin ein Stück des Sexuallebens vertreten kann. Ein solcher Mensch würde also zum Beispiel forschen mit jener leidenschaftlichen Hingabe, mit der ein anderer seine Liebe ausstattet, und er könnte forschen, anstatt zu lieben. Nicht nur beim Forschertrieb, sondern auch in den meisten anderen Fällen von besonderer Intensität eines Triebes würden wir den Schluß auf eine sexuelle Verstärkung desselben wagen.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Die Beobachtung des täglichen Lebens der Menschen zeigt uns, daß es den meisten gelingt, ganz ansehnliche Anteile ihrer sexuellen Triebkräfte auf ihre Berufstätigkeit zu leiten. Der Sexualtrieb eignet sich ganz besonders dazu, solche Beiträge abzugeben, da er mit der Fähigkeit der Sublimierung begabt, das heißt imstande ist, sein nächstes Ziel gegen andere, eventuell höher gewertete und nicht sexuelle, Ziele zu </w:t>
      </w:r>
      <w:r w:rsidRPr="00B03603">
        <w:rPr>
          <w:rFonts w:ascii="Garamond" w:hAnsi="Garamond" w:cs="Arial"/>
          <w:color w:val="000000"/>
          <w:lang w:val="en-GB"/>
        </w:rPr>
        <w:lastRenderedPageBreak/>
        <w:t>vertauschen. Wir halten diesen Vorgang für erwiesen, wenn uns die Kindergeschichte, also die seelische Entwicklungsgeschichte, einer Person zeigt, daß zur Kinderzeit der übermächtige Trieb im Dienste sexueller Interessen stand. Wir finden eine weitere Bestätigung darin, wenn sich im Sexualleben reifer Jahre eine auffällige Verkümmerung dartut, gleichsam als ob ein Stück der Sexualbetätigung nun durch die Betätigung des übermächtigen Triebes ersetzt wäre.</w:t>
      </w:r>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Die Anwendung dieser Erwartungen auf den Fall des übermächtigen Forschertriebes scheint besonderen Schwierigkeiten zu unterliegen, da man gerade den Kindern weder diesen ernsthaften Trieb noch bemerkenswerte sexuelle Interessen zutrauen möchte. Indes sind diese Schwierigkeiten leicht zu beheben. Von der Wißbegierde der kleinen Kinder zeugt deren unermüdliche Fragelust, die dem Erwachsenen rätselhaft ist, solange er nicht versteht, daß alle diese Fragen nur Umschweife sind und daß sie kein Ende nehmen können, weil das Kind durch sie nur eine Frage ersetzen will, die es doch nicht stellt. Ist das Kind größer und einsichtsvoller geworden, so bricht diese Äußerung der Wißbegierde oft plötzlich ab. Eine volle Aufklärung gibt uns aber die psychoanalytische Untersuchung, indem sie uns lehrt, daß viele, vielleicht die meisten, jedenfalls die bestbegabten Kinder etwa vom dritten Lebensjahr an eine Periode durchmachen, die man als die der </w:t>
      </w:r>
      <w:r w:rsidRPr="00B03603">
        <w:rPr>
          <w:rFonts w:ascii="Garamond" w:hAnsi="Garamond" w:cs="Arial"/>
          <w:i/>
          <w:iCs/>
          <w:color w:val="000000"/>
          <w:lang w:val="en-GB"/>
        </w:rPr>
        <w:t>infantilen Sexualforschung</w:t>
      </w:r>
      <w:r w:rsidRPr="00B03603">
        <w:rPr>
          <w:rFonts w:ascii="Garamond" w:hAnsi="Garamond" w:cs="Arial"/>
          <w:color w:val="000000"/>
          <w:lang w:val="en-GB"/>
        </w:rPr>
        <w:t xml:space="preserve"> bezeichnen darf. Die Wißbegierde erwacht bei den Kindern dieses Alters, soviel wir wissen, nicht spontan, sondern wird durch den Eindruck eines wichtigen Erlebnisses geweckt, durch die erfolgte oder nach auswärtigen Erfahrungen gefürchtete Geburt eines Geschwisterchens, in der das Kind eine Bedrohung seiner egoistischen Interessen erblickt. Die Forschung richtet sich auf die Frage, woher die Kinder kommen, geradeso, als ob das Kind nach Mitteln und Wegen suchte, ein so unerwünschtes Ereignis zu verhüten. Wir haben so mit Erstaunen erfahren, daß das Kind den ihm gegebenen Auskünften den Glauben verweigert, zum Beispiel die mythologisch so sinnreiche Storchfabel energisch abweist, daß es von diesem Akte des Unglaubens an seine geistige Selbständigkeit datiert, sich oft in erstem Gegensatze zu den Erwachsenen fühlt und diesen eigentlich niemals mehr verzeiht, daß es bei diesem Anlasse um die Wahrheit betrogen wurde. Es forscht auf eigenen Wegen, errät den Aufenthalt des Kindes im Mutterleibe und schafft sich, von den Regungen der eigenen Sexualität geleitet, Ansichten über die Herkunft des Kindes vom Essen, über sein Geborenwerden durch den Darm, über die schwer zu ergründende Rolle des Vaters, und es ahnt bereits damals die Existenz des sexuellen Aktes, der ihm als etwas Feindseliges und Gewalttätiges erscheint. Aber wie seine eigene Sexualkonstitution der Aufgabe der Kinderzeugung noch nicht gewachsen ist, so muß auch seine Forschung, woher die Kinder kommen, im Sande verlaufen und als unvollendbar im Stiche gelassen werden. Der Eindruck dieses Mißglückens bei der ersten Probe intellektueller Selbständigkeit scheint ein nachhaltiger und tief deprimierender zu sein </w:t>
      </w:r>
      <w:hyperlink r:id="rId1508"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Zur Erhärtung dieser unwahrscheinlich klingenden Behauptungen nehme man Einsicht in die ›Analyse der Phobie eines fünfjährigen Knaben‹ (1909  </w:t>
        </w:r>
        <w:r w:rsidRPr="00B03603">
          <w:rPr>
            <w:rStyle w:val="innerfusslink3"/>
            <w:rFonts w:ascii="Garamond" w:hAnsi="Garamond" w:cs="Arial"/>
            <w:b/>
            <w:bCs/>
            <w:i/>
            <w:iCs/>
            <w:lang w:val="en-GB"/>
          </w:rPr>
          <w:t>b</w:t>
        </w:r>
        <w:r w:rsidRPr="00B03603">
          <w:rPr>
            <w:rStyle w:val="innerfusslink3"/>
            <w:rFonts w:ascii="Garamond" w:hAnsi="Garamond" w:cs="Arial"/>
            <w:b/>
            <w:bCs/>
            <w:lang w:val="en-GB"/>
          </w:rPr>
          <w:t xml:space="preserve">) und in ähnliche Beobachtungen. In einem Aufsatze über die ›Infantilen Sexualtheorien‹ (1908  </w:t>
        </w:r>
        <w:r w:rsidRPr="00B03603">
          <w:rPr>
            <w:rStyle w:val="innerfusslink3"/>
            <w:rFonts w:ascii="Garamond" w:hAnsi="Garamond" w:cs="Arial"/>
            <w:b/>
            <w:bCs/>
            <w:i/>
            <w:iCs/>
            <w:lang w:val="en-GB"/>
          </w:rPr>
          <w:t>c</w:t>
        </w:r>
        <w:r w:rsidRPr="00B03603">
          <w:rPr>
            <w:rStyle w:val="innerfusslink3"/>
            <w:rFonts w:ascii="Garamond" w:hAnsi="Garamond" w:cs="Arial"/>
            <w:b/>
            <w:bCs/>
            <w:lang w:val="en-GB"/>
          </w:rPr>
          <w:t>) schrieb ich: »Dieses Grübeln und Zweifeln wird aber vorbildlich für alle spätere Denkarbeit an Problemen, und der erste Mißerfolg wirkt für alle Zeiten lähmend fort.«</w:t>
        </w:r>
      </w:hyperlink>
      <w:r w:rsidRPr="00B03603">
        <w:rPr>
          <w:rFonts w:ascii="Garamond" w:hAnsi="Garamond" w:cs="Arial"/>
          <w:color w:val="000000"/>
        </w:rPr>
        <w:t>.</w:t>
      </w:r>
    </w:p>
    <w:p w:rsidR="00462409" w:rsidRPr="00B03603" w:rsidRDefault="00462409" w:rsidP="00462409">
      <w:pPr>
        <w:rPr>
          <w:rFonts w:ascii="Garamond" w:hAnsi="Garamond" w:cs="Arial"/>
          <w:color w:val="000000"/>
        </w:rPr>
      </w:pPr>
      <w:r w:rsidRPr="00B03603">
        <w:rPr>
          <w:rFonts w:ascii="Garamond" w:hAnsi="Garamond" w:cs="Arial"/>
          <w:color w:val="000000"/>
        </w:rPr>
        <w:t xml:space="preserve">Wenn die Periode der infantilen Sexualforschung durch einen Schub energischer Sexualverdrängung abgeschlossen worden ist, leiten sich für das weitere Schicksal des Forschertriebes drei verschiedene Möglichkeiten aus seiner frühzeitlichen Verknüpfung mit sexuellen Interessen ab. Entweder die Forschung teilt das Schicksal der Sexualität, die Wißbegierde bleibt von da an gehemmt und die freie Betätigung der Intelligenz vielleicht für Lebenszeit eingeschränkt, besonders da kurze Zeit nachher durch die Erziehung die mächtige religiöse Denkhemmung zur Geltung gebracht wird. Dies ist der Typus der neurotischen Hemmung. Wir verstehen sehr wohl, daß die so erworbene Denkschwäche dem Ausbruch einer neurotischen Erkrankung wirksamen Vorschub leistet. In einem zweiten Typus ist die intellektuelle Entwicklung kräftig genug, um der an ihr zerrenden Sexualverdrängung zu widerstehen. Einige Zeit nach dem Untergang der infantilen Sexualforschung, wenn die Intelligenz erstarkt ist, bietet sie eingedenk der alten Verbindung ihre Hilfe zur Umgehung der Sexualverdrängung, und die unterdrückte Sexualforschung </w:t>
      </w:r>
      <w:r w:rsidRPr="00B03603">
        <w:rPr>
          <w:rFonts w:ascii="Garamond" w:hAnsi="Garamond" w:cs="Arial"/>
          <w:color w:val="000000"/>
        </w:rPr>
        <w:lastRenderedPageBreak/>
        <w:t>kehrt als Grübelzwang aus dem Unbewußten zurück, allerdings entstellt und unfrei, aber mächtig genug, um das Denken selbst zu sexualisieren und die intellektuellen Operationen mit der Lust und der Angst der eigentlichen Sexualvorgänge zu betonen. Das Forschen wird hier zur Sexualbetätigung, oft zur ausschließlichen, das Gefühl der Erledigung in Gedanken, der Klärung, wird an die Stelle der sexuellen Befriedigung gesetzt; aber der unabschließbare Charakter der Kinderforschung wiederholt sich auch darin, daß dies Grübeln nie ein Ende findet und daß das gesuchte intellektuelle Gefühl der Lösung immer weiter in die Ferne rückt.</w:t>
      </w:r>
    </w:p>
    <w:p w:rsidR="00462409" w:rsidRPr="00B03603" w:rsidRDefault="00462409" w:rsidP="00462409">
      <w:pPr>
        <w:rPr>
          <w:rFonts w:ascii="Garamond" w:hAnsi="Garamond" w:cs="Arial"/>
          <w:color w:val="000000"/>
          <w:lang w:val="en-GB"/>
        </w:rPr>
      </w:pPr>
      <w:r w:rsidRPr="00B03603">
        <w:rPr>
          <w:rFonts w:ascii="Garamond" w:hAnsi="Garamond" w:cs="Arial"/>
          <w:color w:val="000000"/>
        </w:rPr>
        <w:t xml:space="preserve">Der dritte, seltenste und vollkommenste, Typus entgeht kraft besonderer Anlage der Denkhemmung wie dem neurotischen Denkzwang. Die Sexualverdrängung tritt zwar auch hier ein, aber es gelingt ihr nicht, einen Partialtrieb der Sexuallust ins Unbewußte zu weisen, sondern die Libido entzieht sich dem Schicksal der Verdrängung, indem sie sich von Anfang an in Wißbegierde sublimiert und sich zu dem kräftigen Forschertrieb als Verstärkung schlägt. Auch hier wird das Forschen gewissermaßen zum Zwang und zum Ersatz der Sexualbetätigung, aber infolge der völligen Verschiedenheit der zugrunde liegenden psychischen Prozesse (Sublimierung anstelle des Durchbruchs aus dem Unbewußten) bleibt der Charakter der Neurose aus, die Gebundenheit an die ursprünglichen Komplexe der infantilen Sexualforschung entfällt, und der Trieb kann sich frei im Dienste des intellektuellen Interesses betätigen. </w:t>
      </w:r>
      <w:r w:rsidRPr="00B03603">
        <w:rPr>
          <w:rFonts w:ascii="Garamond" w:hAnsi="Garamond" w:cs="Arial"/>
          <w:color w:val="000000"/>
          <w:lang w:val="en-GB"/>
        </w:rPr>
        <w:t>Der Sexualverdrängung, die ihn durch den Zuschuß von sublimierter Libido so stark gemacht hat, trägt er noch Rechnung, indem er die Beschäftigung mit sexuellen Themen vermeidet.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Wenn wir das Zusammentreffen des übermächtigen Forschertriebes bei Leonardo mit der Verkümmerung seines Sexuallebens erwägen, welches sich auf sogenannte ideelle Homosexualität einschränkt, werden wir geneigt sein, ihn als einen Musterfall unseres dritten Typus in Anspruch zu nehmen. Daß es ihm nach infantiler Betätigung der Wißbegierde im Dienste sexueller Interessen dann gelungen ist, den größeren Anteil seiner Libido in Forscherdrang zu sublimieren, das wäre der Kern und das Geheimnis seines Wesens. Aber freilich der Beweis für diese Auffassung ist nicht leicht zu erbringen. Wir bedürften hiezu eines Einblickes in die seelische Entwicklung seiner ersten Kinderjahre, und es erscheint töricht, auf solches Material zu hoffen, wenn die Nachrichten über sein Leben so spärlich und so unsicher sind und wenn es sich überdies um Auskünfte über Verhältnisse handelt, die sich noch bei Personen unserer eigenen Generation der Aufmerksamkeit der Beobachter entziehen.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Wir wissen sehr wenig von der Jugend Leonardos. Er wurde </w:t>
      </w:r>
      <w:smartTag w:uri="urn:schemas-microsoft-com:office:smarttags" w:element="metricconverter">
        <w:smartTagPr>
          <w:attr w:name="ProductID" w:val="1452 in"/>
        </w:smartTagPr>
        <w:r w:rsidRPr="00B03603">
          <w:rPr>
            <w:rFonts w:ascii="Garamond" w:hAnsi="Garamond" w:cs="Arial"/>
            <w:color w:val="000000"/>
            <w:lang w:val="en-GB"/>
          </w:rPr>
          <w:t>1452 in</w:t>
        </w:r>
      </w:smartTag>
      <w:r w:rsidRPr="00B03603">
        <w:rPr>
          <w:rFonts w:ascii="Garamond" w:hAnsi="Garamond" w:cs="Arial"/>
          <w:color w:val="000000"/>
          <w:lang w:val="en-GB"/>
        </w:rPr>
        <w:t xml:space="preserve"> dem kleinen Städtchen Vinci zwischen Florenz und Empoli geboren; er war ein uneheliches Kind, was in jener Zeit gewiß nicht als schwerer bürgerlicher Makel betrachtet wurde; sein Vater war Ser Piero da Vinci, ein Notar und Abkömmling einer Familie von Notaren und Landbebauern, die ihren Namen nach dem Orte Vinci führten; seine Mutter eine Caterina, wahrscheinlich ein Bauernmädchen, die später mit einem anderen Einwohner von Vinci verheiratet war. Diese Mutter kommt in der Lebensgeschichte Leonardos nicht mehr vor, nur der Dichter Mereschkowski glaubt ihre Spur nachweisen zu können. Die einzige sichere Auskunft über Leonardos Kindheit gibt ein amtliches Dokument aus dem Jahre 1457, ein Florentiner Steuerkataster, in welchem unter den Hausgenossen der Familie Vinci Leonardo als fünfjähriges illegitimes Kind des Ser Piero angeführt wird </w:t>
      </w:r>
      <w:hyperlink r:id="rId1509"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Scognamiglio (1900, 15).</w:t>
        </w:r>
      </w:hyperlink>
      <w:r w:rsidRPr="00B03603">
        <w:rPr>
          <w:rFonts w:ascii="Garamond" w:hAnsi="Garamond" w:cs="Arial"/>
          <w:color w:val="000000"/>
          <w:lang w:val="en-GB"/>
        </w:rPr>
        <w:t xml:space="preserve">. Die Ehe Ser Pieros mit einer Donna Albiera blieb kinderlos, darum konnte der kleine Leonardo im Hause seines Vaters aufgezogen werden. Dies Vaterhaus verließ er erst, als er, unbekannt in welchem Alter, als Lehrling in die Werkstatt des Andrea del Verrocchio eintrat. Im Jahre 1472 findet sich Leonardos Name bereits im Verzeichnis der Mitglieder der » </w:t>
      </w:r>
      <w:r w:rsidRPr="00B03603">
        <w:rPr>
          <w:rFonts w:ascii="Garamond" w:hAnsi="Garamond" w:cs="Arial"/>
          <w:i/>
          <w:iCs/>
          <w:color w:val="000000"/>
          <w:lang w:val="en-GB"/>
        </w:rPr>
        <w:t>Compagnia dei Pittori</w:t>
      </w:r>
      <w:r w:rsidRPr="00B03603">
        <w:rPr>
          <w:rFonts w:ascii="Garamond" w:hAnsi="Garamond" w:cs="Arial"/>
          <w:color w:val="000000"/>
          <w:lang w:val="en-GB"/>
        </w:rPr>
        <w:t>«. Das ist alles.</w:t>
      </w:r>
    </w:p>
    <w:p w:rsidR="00462409" w:rsidRDefault="00462409" w:rsidP="00462409">
      <w:pPr>
        <w:rPr>
          <w:rFonts w:ascii="Garamond" w:hAnsi="Garamond" w:cs="Arial"/>
          <w:b/>
          <w:bCs/>
          <w:color w:val="000000"/>
          <w:lang w:val="en-GB"/>
        </w:rPr>
      </w:pPr>
      <w:r>
        <w:rPr>
          <w:rFonts w:ascii="Garamond" w:hAnsi="Garamond" w:cs="Arial"/>
          <w:b/>
          <w:bCs/>
          <w:color w:val="000000"/>
          <w:lang w:val="en-GB"/>
        </w:rPr>
        <w:br w:type="page"/>
      </w:r>
      <w:hyperlink w:anchor="DaVinci_INHALT" w:history="1">
        <w:r w:rsidRPr="00B03603">
          <w:rPr>
            <w:rStyle w:val="Lienhypertexte"/>
            <w:rFonts w:ascii="Garamond" w:hAnsi="Garamond" w:cs="Arial"/>
            <w:b/>
            <w:bCs/>
            <w:lang w:val="en-GB"/>
          </w:rPr>
          <w:t>II. Ka</w:t>
        </w:r>
        <w:bookmarkStart w:id="330" w:name="DaVinci_2"/>
        <w:bookmarkEnd w:id="330"/>
        <w:r w:rsidRPr="00B03603">
          <w:rPr>
            <w:rStyle w:val="Lienhypertexte"/>
            <w:rFonts w:ascii="Garamond" w:hAnsi="Garamond" w:cs="Arial"/>
            <w:b/>
            <w:bCs/>
            <w:lang w:val="en-GB"/>
          </w:rPr>
          <w:t>pitel</w:t>
        </w:r>
      </w:hyperlink>
      <w:r>
        <w:rPr>
          <w:rFonts w:ascii="Garamond" w:hAnsi="Garamond" w:cs="Arial"/>
          <w:b/>
          <w:bCs/>
          <w:color w:val="000000"/>
          <w:lang w:val="en-GB"/>
        </w:rPr>
        <w:t xml:space="preserve">  </w:t>
      </w:r>
    </w:p>
    <w:p w:rsidR="00462409" w:rsidRPr="00B03603" w:rsidRDefault="00462409" w:rsidP="00462409">
      <w:pPr>
        <w:rPr>
          <w:rFonts w:ascii="Garamond" w:hAnsi="Garamond" w:cs="Arial"/>
          <w:b/>
          <w:bCs/>
          <w:color w:val="000000"/>
          <w:lang w:val="en-GB"/>
        </w:rPr>
      </w:pP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Ein einziges Mal, soviel mir bekannt ist, hat Leonardo in eine seiner wissenschaftlichen Niederschriften eine Mitteilung aus seiner Kindheit eingestreut. An einer Stelle, die vom Fluge des Geiers handelt, unterbricht er sich plötzlich, um einer in ihm auftauchenden Erinnerung aus sehr frühen Jahren zu folgen.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»Es scheint, daß es mir schon vorher bestimmt war, mich so gründlich mit dem Geier zu befassen, denn es kommt mir als eine ganz frühe Erinnerung in den Sinn, als ich noch in der Wiege lag, ist ein Geier zu mir herabgekommen, hat mir den Mund mit seinem Schwanz geöffnet und viele Male mit diesem seinen Schwanz gegen meine Lippen gestoßen.« </w:t>
      </w:r>
      <w:hyperlink r:id="rId1510" w:anchor="#" w:history="1">
        <w:r w:rsidRPr="00B03603">
          <w:rPr>
            <w:rStyle w:val="fusslink"/>
            <w:rFonts w:ascii="Garamond" w:hAnsi="Garamond" w:cs="Arial"/>
            <w:b/>
            <w:bCs/>
            <w:color w:val="003399"/>
          </w:rPr>
          <w:t>[Fußnote]</w:t>
        </w:r>
        <w:r w:rsidRPr="00B03603">
          <w:rPr>
            <w:rStyle w:val="innerfusslink3"/>
            <w:rFonts w:ascii="Garamond" w:hAnsi="Garamond" w:cs="Arial"/>
            <w:b/>
            <w:bCs/>
          </w:rPr>
          <w:t xml:space="preserve">» </w:t>
        </w:r>
        <w:r w:rsidRPr="00B03603">
          <w:rPr>
            <w:rStyle w:val="innerfusslink3"/>
            <w:rFonts w:ascii="Garamond" w:hAnsi="Garamond" w:cs="Arial"/>
            <w:b/>
            <w:bCs/>
            <w:i/>
            <w:iCs/>
          </w:rPr>
          <w:t>Questo scriver si distintamente del nibio par che sia mio destino, perchè nella mia prima ricordatione della mia infantia e' mi parea che, essendo io in culla, che un nibio venissi a me e mi aprissi la bocca colla sua coda e molte volte mi percuotesse con tal coda dentro alle labbra.</w:t>
        </w:r>
        <w:r w:rsidRPr="00B03603">
          <w:rPr>
            <w:rStyle w:val="innerfusslink3"/>
            <w:rFonts w:ascii="Garamond" w:hAnsi="Garamond" w:cs="Arial"/>
            <w:b/>
            <w:bCs/>
          </w:rPr>
          <w:t xml:space="preserve">« </w:t>
        </w:r>
        <w:r w:rsidRPr="00B03603">
          <w:rPr>
            <w:rStyle w:val="innerfusslink3"/>
            <w:rFonts w:ascii="Garamond" w:hAnsi="Garamond" w:cs="Arial"/>
            <w:b/>
            <w:bCs/>
            <w:lang w:val="en-GB"/>
          </w:rPr>
          <w:t xml:space="preserve">( </w:t>
        </w:r>
        <w:r w:rsidRPr="00B03603">
          <w:rPr>
            <w:rStyle w:val="innerfusslink3"/>
            <w:rFonts w:ascii="Garamond" w:hAnsi="Garamond" w:cs="Arial"/>
            <w:b/>
            <w:bCs/>
            <w:i/>
            <w:iCs/>
            <w:lang w:val="en-GB"/>
          </w:rPr>
          <w:t>Codex atlanticus,</w:t>
        </w:r>
        <w:r w:rsidRPr="00B03603">
          <w:rPr>
            <w:rStyle w:val="innerfusslink3"/>
            <w:rFonts w:ascii="Garamond" w:hAnsi="Garamond" w:cs="Arial"/>
            <w:b/>
            <w:bCs/>
            <w:lang w:val="en-GB"/>
          </w:rPr>
          <w:t xml:space="preserve"> F. 65 V. nach Scognamiglio.)</w:t>
        </w:r>
      </w:hyperlink>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Eine Kindheitserinnerung also, und zwar höchst befremdender Art. Befremdend wegen ihres Inhaltes und wegen der Lebenszeit, in die sie verlegt wird. Daß ein Mensch eine Erinnerung an seine Säuglingszeit bewahren könne, ist vielleicht nicht unmöglich, kann aber keineswegs als gesichert gelten. Was jedoch diese Erinnerung Leonardos behauptet, daß ein Geier dem Kinde mit seinem Schwanz den Mund geöffnet, das klingt so unwahrscheinlich, so märchenhaft, daß eine andere Auffassung, die beiden Schwierigkeiten mit einem Schlage ein Ende macht, sich unserem Urteile besser empfiehlt. Jene Szene mit dem Geier wird nicht eine Erinnerung Leonardos sein, sondern eine Phantasie, die er sich später gebildet und in seine Kindheit versetzt hat </w:t>
      </w:r>
      <w:hyperlink r:id="rId1511"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Havelock Ellis hat in einer liebenswürdigen Besprechung dieser Schrift (1910) gegen die obenstehende Auffassung eingewendet, diese Erinnerung Leonardos könne sehr wohl eine reale Begründung gehabt haben, da Kindererinnerungen oft sehr viel weiter zurückreichen, als man gewöhnlich glaubt. Der große Vogel brauchte ja gerade kein Geier gewesen zu sein. Ich will dies gerne zugestehen und zur Verminderung der Schwierigkeit die Annahme beitragen, die Mutter habe den Besuch des großen Vogels bei ihrem Kinde, den sie leicht für ein bedeutsames Vorzeichen halten konnte, beobachtet und später dem Kinde wiederholt davon erzählt, so daß das Kind die Erinnerung an diese Erzählung behalten und sie später, wie es so oft geschieht, mit einer Erinnerung an eigenes Erleben verwechseln konnte. Allein diese Abänderung tut der Verbindlichkeit meiner Darstellung keinen Abbruch. Die spät geschaffenen Phantasien der Menschen über ihre Kindheit lehnen sich sogar in der Regel an kleine Wirklichkeiten dieser sonst vergessenen Vorzeit an. Es bedarf darum doch eines geheimen Motivs, um die reale Nichtigkeit hervorzuholen und sie in solcher Weise auszugestalten, wie es von Leonardo mit dem zum Geier ernannten Vogel und seinem merkwürdigen Tun geschieht.</w:t>
        </w:r>
      </w:hyperlink>
      <w:r w:rsidRPr="00B03603">
        <w:rPr>
          <w:rFonts w:ascii="Garamond" w:hAnsi="Garamond" w:cs="Arial"/>
          <w:color w:val="000000"/>
          <w:lang w:val="en-GB"/>
        </w:rPr>
        <w:t xml:space="preserve">. Die Kindheitserinnerungen der Menschen haben oft keine andere Herkunft; sie werden überhaupt nicht, wie die bewußten Erinnerungen aus der Zeit der Reife, vom Erlebnis an fixiert und wiederholt, sondern erst in späterer Zeit, wenn die Kindheit schon vorüber ist, hervorgeholt, dabei verändert, verfälscht, in den Dienst späterer Tendenzen gestellt, so daß sie sich ganz allgemein von Phantasien nicht strenge scheiden lassen. Vielleicht kann man sich ihre Natur nicht besser klarmachen, als indem man an die Art und Weise denkt, wie bei den alten Völkern die Geschichtsschreibung entstanden ist. Solange das Volk klein und schwach war, dachte es nicht daran, seine Geschichte zu schreiben; man bearbeitete den Boden des Landes, wehrte sich seiner Existenz gegen die Nachbarn, suchte ihnen Land abzugewinnen und zu Reichtum zu kommen. Es war eine heroische und unhistorische Zeit. Dann brach eine andere Zeit an, in der man zur Besinnung kam, sich reich und mächtig fühlte, und nun entstand das Bedürfnis zu erfahren, woher man gekommen und wie man geworden war. Die Geschichtsschreibung, welche begonnen hatte, die Erlebnisse der Jetztzeit fortlaufend zu verzeichnen, warf den Blick auch nach rückwärts in die Vergangenheit, sammelte Traditionen und </w:t>
      </w:r>
      <w:r w:rsidRPr="00B03603">
        <w:rPr>
          <w:rFonts w:ascii="Garamond" w:hAnsi="Garamond" w:cs="Arial"/>
          <w:color w:val="000000"/>
          <w:lang w:val="en-GB"/>
        </w:rPr>
        <w:lastRenderedPageBreak/>
        <w:t>Sagen, deutete die Überlebsel alter Zeiten in Sitten und Gebräuchen und schuf so eine Geschichte der Vorzeit. Es war unvermeidlich, daß diese Vorgeschichte eher ein Ausdruck der Meinungen und Wünsche der Gegenwart als ein Abbild der Vergangenheit wurde, denn vieles war von dem Gedächtnis des Volkes beseitigt, anderes entstellt worden, manche Spur der Vergangenheit wurde mißverständlich im Sinne der Gegenwart gedeutet, und überdies schrieb man ja nicht Geschichte aus den Motiven objektiver Wißbegierde, sondern weil man auf seine Zeitgenossen wirken, sie aneifern, erheben oder ihnen einen Spiegel vorhalten wollte. Das bewußte Gedächtnis eines Menschen von den Erlebnissen seiner Reifezeit ist nun durchaus jener Geschichtsschreibung zu vergleichen, und seine Kindheitserinnerungen entsprechen nach ihrer Entstehung und Verläßlichkeit wirklich der spät und tendenziös zurechtgemachten Geschichte der Urzeit eines Volkes.</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Wenn die Erzählung Leonardos vom Geier, der ihn in der Wiege besucht, also nur eine spätgeborene Phantasie ist, so sollte man meinen, es könne sich kaum verlohnen, länger bei ihr zu verweilen. Zu ihrer Erklärung könnte man sich ja mit der offen kundgegebenen Tendenz begnügen, seiner Beschäftigung mit dem Problem des Vogelfluges die Weihe einer Schicksalsbestimmung zu leihen. Allein mit dieser Geringschätzung beginge man ein ähnliches Unrecht, wie wenn man das Material von Sagen, Traditionen und Deutungen in der Vorgeschichte eines Volkes leichthin verwerfen würde. Allen Entstellungen und Mißverständnissen zum Trotze ist die Realität der Vergangenheit doch durch sie repräsentiert; sie sind das, was das Volk aus den Erlebnissen seiner Urzeit gestaltet hat, unter der Herrschaft einstens mächtiger und heute noch wirksamer Motive, und könnte man nur durch die Kenntnis aller wirkenden Kräfte diese Entstellungen rückgängig machen, so müßte man hinter diesem sagenhaften Material die historische Wahrheit aufdecken können. Gleiches gilt für die Kindheitserinnerungen oder Phantasien der einzelnen. Es ist nicht gleichgültig, was ein Mensch aus seiner Kindheit zu erinnern glaubt; in der Regel sind hinter den von ihm selbst nicht verstandenen Erinnerungsresten unschätzbare Zeugnisse für die bedeutsamsten Züge seiner seelischen Entwicklung verborgen </w:t>
      </w:r>
      <w:hyperlink r:id="rId1512"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Ich habe eine solche Verwertung einer unverstandenen Kindheitserinnerung seither auch noch bei einem anderen Großen versucht. In Goethes etwa um sein sechzigstes Jahr verfaßter Lebensbeschreibung ( </w:t>
        </w:r>
        <w:r w:rsidRPr="00B03603">
          <w:rPr>
            <w:rStyle w:val="innerfusslink3"/>
            <w:rFonts w:ascii="Garamond" w:hAnsi="Garamond" w:cs="Arial"/>
            <w:b/>
            <w:bCs/>
            <w:i/>
            <w:iCs/>
            <w:lang w:val="en-GB"/>
          </w:rPr>
          <w:t>Dichtung und Wahrheit</w:t>
        </w:r>
        <w:r w:rsidRPr="00B03603">
          <w:rPr>
            <w:rStyle w:val="innerfusslink3"/>
            <w:rFonts w:ascii="Garamond" w:hAnsi="Garamond" w:cs="Arial"/>
            <w:b/>
            <w:bCs/>
            <w:lang w:val="en-GB"/>
          </w:rPr>
          <w:t xml:space="preserve">) wird auf den ersten Seiten mitgeteilt, wie er auf Anstiften der Nachbarn kleines und großes Tongeschirr durchs Fenster auf die Straße schleuderte, so daß es zerschellte, und zwar ist diese die einzige Szene, die er aus seinen frühesten Jahren berichtet. Die völlige Beziehungslosigkeit ihres Inhalts, dessen Übereinstimmung mit Kindheitserinnerungen einiger anderer Menschenkinder, die nichts besonders Großes geworden sind, sowie der Umstand, daß Goethe des Brüderchens an dieser Steile nicht gedenkt, bei dessen Geburt er dreidreiviertel Jahre, bei dessen Tod er nahezu 10 Jahre alt war, haben mich veranlaßt, die Analyse dieser Kindheitserinnerung zu unternehmen. (Er erwähnt dieses Kind allerdings später, wo er bei den vielen Erkrankungen der Kinderjahre verweilt.) Ich hoffte dabei, sie durch etwas anderes ersetzen zu können, was sich besser in den Zusammenhang der Goetheschen Darstellung einfügte und durch seinen Inhalt der Erhaltung sowie des ihm angewiesenen Platzes in der Lebensgeschichte würdig wäre. Die kleine Analyse (›Eine Kindheitserinnerung aus </w:t>
        </w:r>
        <w:r w:rsidRPr="00B03603">
          <w:rPr>
            <w:rStyle w:val="innerfusslink3"/>
            <w:rFonts w:ascii="Garamond" w:hAnsi="Garamond" w:cs="Arial"/>
            <w:b/>
            <w:bCs/>
            <w:i/>
            <w:iCs/>
            <w:lang w:val="en-GB"/>
          </w:rPr>
          <w:t>Dichtung und Wahrheit</w:t>
        </w:r>
        <w:r w:rsidRPr="00B03603">
          <w:rPr>
            <w:rStyle w:val="innerfusslink3"/>
            <w:rFonts w:ascii="Garamond" w:hAnsi="Garamond" w:cs="Arial"/>
            <w:b/>
            <w:bCs/>
            <w:lang w:val="en-GB"/>
          </w:rPr>
          <w:t xml:space="preserve">‹ (1917  </w:t>
        </w:r>
        <w:r w:rsidRPr="00B03603">
          <w:rPr>
            <w:rStyle w:val="innerfusslink3"/>
            <w:rFonts w:ascii="Garamond" w:hAnsi="Garamond" w:cs="Arial"/>
            <w:b/>
            <w:bCs/>
            <w:i/>
            <w:iCs/>
            <w:lang w:val="en-GB"/>
          </w:rPr>
          <w:t>b</w:t>
        </w:r>
        <w:r w:rsidRPr="00B03603">
          <w:rPr>
            <w:rStyle w:val="innerfusslink3"/>
            <w:rFonts w:ascii="Garamond" w:hAnsi="Garamond" w:cs="Arial"/>
            <w:b/>
            <w:bCs/>
            <w:lang w:val="en-GB"/>
          </w:rPr>
          <w:t>)) gestattete dann, das Hinauswerfen des Geschirrs als magische Handlung zu erkennen, die gegen einen störenden Eindringling gerichtet war, und an der Stelle, an der die Begebenheit berichtet wurde, sollte sie den Triumph darüber bedeuten, daß kein zweiter Sohn auf die Dauer Goethes inniges Verhältnis zu seiner Mutter stören durfte. Daß die früheste, in solchen Verkleidungen erhaltene Kindheitserinnerung der Mutter gilt – bei Goethe wie bei Leonardo –, was wäre daran verwunderlich?</w:t>
        </w:r>
      </w:hyperlink>
      <w:r w:rsidRPr="00B03603">
        <w:rPr>
          <w:rFonts w:ascii="Garamond" w:hAnsi="Garamond" w:cs="Arial"/>
          <w:color w:val="000000"/>
          <w:lang w:val="en-GB"/>
        </w:rPr>
        <w:t>. Da wir nun in den psychoanalytischen Techniken vortreffliche Hilfsmittel besitzen, um dies Verborgene ans Licht zu ziehen, wird uns der Versuch gestattet sein, die Lücke in Leonardos Lebensgeschichte durch die Analyse seiner Kindheitsphantasie auszufüllen. Erreichen wir dabei keinen befriedigenden Grad von Sicherheit, so müssen wir uns damit trösten, daß so vielen anderen Untersuchungen über den großen und rätselhaften Mann kein besseres Schicksal beschieden war.</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lastRenderedPageBreak/>
        <w:t xml:space="preserve">Wenn wir aber die Geierphantasie Leonardos mit dem Auge des Psychoanalytikers betrachten, so erscheint sie uns nicht lange fremdartig; wir glauben uns zu erinnern, daß wir oftmals, zum Beispiel in Träumen, ähnliches gefunden haben, so daß wir uns getrauen können, diese Phantasie aus der ihr eigentümlichen Sprache in gemeinverständliche Worte zu übersetzen. Die Übersetzung zielt dann aufs Erotische. Schwanz, » </w:t>
      </w:r>
      <w:r w:rsidRPr="00B03603">
        <w:rPr>
          <w:rFonts w:ascii="Garamond" w:hAnsi="Garamond" w:cs="Arial"/>
          <w:i/>
          <w:iCs/>
          <w:color w:val="000000"/>
          <w:lang w:val="en-GB"/>
        </w:rPr>
        <w:t>coda</w:t>
      </w:r>
      <w:r w:rsidRPr="00B03603">
        <w:rPr>
          <w:rFonts w:ascii="Garamond" w:hAnsi="Garamond" w:cs="Arial"/>
          <w:color w:val="000000"/>
          <w:lang w:val="en-GB"/>
        </w:rPr>
        <w:t>«, ist eines der bekanntesten Symbole und Ersatzbezeichnungen des männlichen Gliedes, im Italienischen nicht minder als in anderen Sprachen; die in der Phantasie enthaltene Situation, daß ein Geier den Mund des Kindes öffnet und mit dem Schwanz tüchtig darin herumarbeitet, entspricht der Vorstellung einer Fellatio, eines sexuellen Aktes, bei dem das Glied in den Mund der gebrauchten Person eingeführt wird. Sonderbar genug, daß diese Phantasie so durchwegs passiven Charakter an sich trägt; sie ähnelt auch gewissen Träumen und Phantasien von Frauen oder passiven Homosexuellen (die im Sexualverkehr die weibliche Rolle spielen).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Möge der Leser nun an sich halten und nicht in aufflammender Entrüstung der Psychoanalyse die Gefolgschaft verweigern, weil sie schon in ihren ersten Anwendungen zu einer unverzeihlichen Schmähung des Andenkens eines großen und reinen Mannes führt. Es ist doch offenbar, daß diese Entrüstung uns niemals wird sagen können, was die Kindheitsphantasie Leonardos bedeutet; anderseits hat sich Leonardo in unzweideutigster Weise zu dieser Phantasie bekannt, und wir lassen die Erwartung – wenn man will: das Vorurteil – nicht fallen, daß eine solche Phantasie wie jede psychische Schöpfung, wie ein Traum, eine Vision, ein Delirium, irgendeine Bedeutung haben muß. Schenken wir darum lieber der analytischen Arbeit, die ja noch nicht ihr letztes Wort gesprochen hat, für eine Weile gerechtes Gehör.</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Die Neigung, das Glied des Mannes in den Mund zu nehmen, um daran zu saugen, die in der bürgerlichen Gesellschaft zu den abscheulichen sexuellen Perversionen gerechnet wird, kommt doch bei den Frauen unserer Zeit – und, wie alte Bildwerke beweisen, auch früherer Zeiten – sehr häufig vor und scheint im Zustande der Verliebtheit ihren anstößigen Charakter völlig abzustreifen. Der Arzt begegnet Phantasien, die sich auf diese Neigung gründen, auch bei weiblichen Personen, die nicht durch die Lektüre der </w:t>
      </w:r>
      <w:r w:rsidRPr="00B03603">
        <w:rPr>
          <w:rFonts w:ascii="Garamond" w:hAnsi="Garamond" w:cs="Arial"/>
          <w:i/>
          <w:iCs/>
          <w:color w:val="000000"/>
          <w:lang w:val="en-GB"/>
        </w:rPr>
        <w:t>Psychopathia sexualis</w:t>
      </w:r>
      <w:r w:rsidRPr="00B03603">
        <w:rPr>
          <w:rFonts w:ascii="Garamond" w:hAnsi="Garamond" w:cs="Arial"/>
          <w:color w:val="000000"/>
          <w:lang w:val="en-GB"/>
        </w:rPr>
        <w:t xml:space="preserve"> von v. Krafft-Ebing oder durch sonstige Mitteilung zur Kenntnis von der Möglichkeit einer derartigen Sexualbefriedigung gelangt sind. Es scheint, daß es den Frauen leicht wird, aus Eigenem solche Wunschphantasien zu schaffen </w:t>
      </w:r>
      <w:hyperlink r:id="rId1513"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Vgl. hiezu das ›Bruchstück einer Hysterie-Analyse‹ (1905  </w:t>
        </w:r>
        <w:r w:rsidRPr="00B03603">
          <w:rPr>
            <w:rStyle w:val="innerfusslink3"/>
            <w:rFonts w:ascii="Garamond" w:hAnsi="Garamond" w:cs="Arial"/>
            <w:b/>
            <w:bCs/>
            <w:i/>
            <w:iCs/>
            <w:lang w:val="en-GB"/>
          </w:rPr>
          <w:t>e</w:t>
        </w:r>
        <w:r w:rsidRPr="00B03603">
          <w:rPr>
            <w:rStyle w:val="innerfusslink3"/>
            <w:rFonts w:ascii="Garamond" w:hAnsi="Garamond" w:cs="Arial"/>
            <w:b/>
            <w:bCs/>
            <w:lang w:val="en-GB"/>
          </w:rPr>
          <w:t>).</w:t>
        </w:r>
      </w:hyperlink>
      <w:r w:rsidRPr="00B03603">
        <w:rPr>
          <w:rFonts w:ascii="Garamond" w:hAnsi="Garamond" w:cs="Arial"/>
          <w:color w:val="000000"/>
          <w:lang w:val="en-GB"/>
        </w:rPr>
        <w:t xml:space="preserve">. Die Nachforschung lehrt uns denn auch, daß diese von der Sitte so schwer geächtete Situation die harmloseste Ableitung zuläßt. Sie ist nichts anderes als die Umarbeitung einer anderen Situation, in welcher wir uns einst alle behaglich fühlten, als wir im Säuglingsalter (» </w:t>
      </w:r>
      <w:r w:rsidRPr="00B03603">
        <w:rPr>
          <w:rFonts w:ascii="Garamond" w:hAnsi="Garamond" w:cs="Arial"/>
          <w:i/>
          <w:iCs/>
          <w:color w:val="000000"/>
          <w:lang w:val="en-GB"/>
        </w:rPr>
        <w:t>essendo io in culla</w:t>
      </w:r>
      <w:r w:rsidRPr="00B03603">
        <w:rPr>
          <w:rFonts w:ascii="Garamond" w:hAnsi="Garamond" w:cs="Arial"/>
          <w:color w:val="000000"/>
          <w:lang w:val="en-GB"/>
        </w:rPr>
        <w:t>«) die Brustwarze der Mutter oder Amme in den Mund nahmen, um an ihr zu saugen. Der organische Eindruck dieses unseres ersten Lebensgenusses ist wohl unzerstörbar eingeprägt geblieben; wenn das Kind später das Euter der Kuh kennenlernt, das seiner Funktion nach einer Brustwarze, seiner Gestalt und Lage am Unterleib nach aber einem Penis gleichkommt, hat es die Vorstufe für die spätere Bildung jener anstößigen sexuellen Phantasie gewonnen.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Wir verstehen jetzt, warum Leonardo die Erinnerung an das angebliche Erlebnis mit dem Geier in seine Säuglingszeit verlegt. Hinter dieser Phantasie verbirgt sich doch nichts anderes als eine Reminiszenz an das Saugen – oder Gesäugtwerden – an der Mutterbrust, welche menschlich schöne Szene er wie so viele andere Künstler an der Mutter Gottes und ihrem Kinde mit dem Pinsel darzustellen unternommen hat. Allerdings wollen wir auch festhalten, was wir noch nicht verstehen, daß diese für beide Geschlechter gleich bedeutsame Reminiszenz von dem Manne Leonardo zu einer passiven homosexuellen Phantasie umgearbeitet worden ist. Wir werden die Frage vorläufig beiseite lassen, welcher Zusammenhang etwa die Homosexualität mit dem Saugen an der Mutterbrust verbindet, und uns bloß daran erinnern, daß die Tradition Leonardo wirklich als einen homosexuell Fühlenden bezeichnet. Dabei gilt es uns gleich, ob jene Anklage gegen den Jüngling Leonardo berechtigt war oder nicht; nicht die reale Betätigung, sondern die Einstellung des Gefühls entscheidet für uns darüber, ob wir irgend jemand die Eigentümlichkeit der Inversion zuerkennen sollen.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lastRenderedPageBreak/>
        <w:t>Ein anderer unverstandener Zug der Kindheitsphantasie Leonardos nimmt unser Interesse zunächst in Anspruch. Wir deuten die Phantasie auf das Gesäugtwerden durch die Mutter und finden die Mutter ersetzt durch einen – Geier. Woher rührt dieser Geier, und wie kommt er an diese Stelle?</w:t>
      </w:r>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Ein Einfall bietet sich da, so fernab liegend, daß man versucht wäre, auf ihn zu verzichten. In der heiligen Bilderschrift der alten Ägypter wird die Mutter allerdings mit dem Bilde des Geiers geschrieben </w:t>
      </w:r>
      <w:hyperlink r:id="rId1514"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Horapollo, </w:t>
        </w:r>
        <w:r w:rsidRPr="00B03603">
          <w:rPr>
            <w:rStyle w:val="innerfusslink3"/>
            <w:rFonts w:ascii="Garamond" w:hAnsi="Garamond" w:cs="Arial"/>
            <w:b/>
            <w:bCs/>
            <w:i/>
            <w:iCs/>
            <w:lang w:val="en-GB"/>
          </w:rPr>
          <w:t>Hieroglyphica</w:t>
        </w:r>
        <w:r w:rsidRPr="00B03603">
          <w:rPr>
            <w:rStyle w:val="innerfusslink3"/>
            <w:rFonts w:ascii="Garamond" w:hAnsi="Garamond" w:cs="Arial"/>
            <w:b/>
            <w:bCs/>
            <w:lang w:val="en-GB"/>
          </w:rPr>
          <w:t xml:space="preserve"> 1, 11. </w:t>
        </w:r>
        <w:r w:rsidRPr="00B03603">
          <w:rPr>
            <w:rStyle w:val="innerfusslink3"/>
            <w:rFonts w:ascii="Garamond" w:hAnsi="Garamond" w:cs="Arial"/>
            <w:b/>
            <w:bCs/>
          </w:rPr>
          <w:t>Μητέρα</w:t>
        </w:r>
        <w:r w:rsidRPr="00B03603">
          <w:rPr>
            <w:rStyle w:val="innerfusslink3"/>
            <w:rFonts w:ascii="Garamond" w:hAnsi="Garamond" w:cs="Arial"/>
            <w:b/>
            <w:bCs/>
            <w:lang w:val="en-GB"/>
          </w:rPr>
          <w:t xml:space="preserve"> </w:t>
        </w:r>
        <w:r w:rsidRPr="00B03603">
          <w:rPr>
            <w:rStyle w:val="innerfusslink3"/>
            <w:rFonts w:ascii="Garamond" w:hAnsi="Garamond" w:cs="Arial"/>
            <w:b/>
            <w:bCs/>
          </w:rPr>
          <w:t>δεράφοντες</w:t>
        </w:r>
        <w:r w:rsidRPr="00B03603">
          <w:rPr>
            <w:rStyle w:val="innerfusslink3"/>
            <w:rFonts w:ascii="Garamond" w:hAnsi="Garamond" w:cs="Arial"/>
            <w:b/>
            <w:bCs/>
            <w:lang w:val="en-GB"/>
          </w:rPr>
          <w:t xml:space="preserve">... </w:t>
        </w:r>
        <w:r w:rsidRPr="00B03603">
          <w:rPr>
            <w:rStyle w:val="innerfusslink3"/>
            <w:rFonts w:ascii="Garamond" w:hAnsi="Garamond" w:cs="Arial"/>
            <w:b/>
            <w:bCs/>
          </w:rPr>
          <w:t>γυ</w:t>
        </w:r>
        <w:r w:rsidRPr="00B03603">
          <w:rPr>
            <w:rStyle w:val="innerfusslink3"/>
            <w:rFonts w:ascii="Arial" w:hAnsi="Arial" w:cs="Arial"/>
            <w:b/>
            <w:bCs/>
            <w:lang w:val="en-GB"/>
          </w:rPr>
          <w:t>̃</w:t>
        </w:r>
        <w:r w:rsidRPr="00B03603">
          <w:rPr>
            <w:rStyle w:val="innerfusslink3"/>
            <w:rFonts w:ascii="Garamond" w:hAnsi="Garamond" w:cs="Arial"/>
            <w:b/>
            <w:bCs/>
          </w:rPr>
          <w:t>πα</w:t>
        </w:r>
        <w:r w:rsidRPr="00B03603">
          <w:rPr>
            <w:rStyle w:val="innerfusslink3"/>
            <w:rFonts w:ascii="Garamond" w:hAnsi="Garamond" w:cs="Arial"/>
            <w:b/>
            <w:bCs/>
            <w:lang w:val="en-GB"/>
          </w:rPr>
          <w:t xml:space="preserve"> </w:t>
        </w:r>
        <w:r w:rsidRPr="00B03603">
          <w:rPr>
            <w:rStyle w:val="innerfusslink3"/>
            <w:rFonts w:ascii="Garamond" w:hAnsi="Garamond" w:cs="Arial"/>
            <w:b/>
            <w:bCs/>
          </w:rPr>
          <w:t>ζωγραφου</w:t>
        </w:r>
        <w:r w:rsidRPr="00B03603">
          <w:rPr>
            <w:rStyle w:val="innerfusslink3"/>
            <w:rFonts w:ascii="Arial" w:hAnsi="Arial" w:cs="Arial"/>
            <w:b/>
            <w:bCs/>
            <w:lang w:val="en-GB"/>
          </w:rPr>
          <w:t>̃</w:t>
        </w:r>
        <w:r w:rsidRPr="00B03603">
          <w:rPr>
            <w:rStyle w:val="innerfusslink3"/>
            <w:rFonts w:ascii="Garamond" w:hAnsi="Garamond" w:cs="Arial"/>
            <w:b/>
            <w:bCs/>
          </w:rPr>
          <w:t>σιν</w:t>
        </w:r>
        <w:r w:rsidRPr="00B03603">
          <w:rPr>
            <w:rStyle w:val="innerfusslink3"/>
            <w:rFonts w:ascii="Garamond" w:hAnsi="Garamond" w:cs="Arial"/>
            <w:b/>
            <w:bCs/>
            <w:lang w:val="en-GB"/>
          </w:rPr>
          <w:t>.</w:t>
        </w:r>
      </w:hyperlink>
      <w:r w:rsidRPr="00B03603">
        <w:rPr>
          <w:rFonts w:ascii="Garamond" w:hAnsi="Garamond" w:cs="Arial"/>
          <w:color w:val="000000"/>
          <w:lang w:val="en-GB"/>
        </w:rPr>
        <w:t xml:space="preserve">. Diese Ägypter verehrten auch eine mütterliche Gottheit, die geierköpfig gebildet wurde oder mit mehreren Köpfen, von denen wenigstens einer der eines Geiers war </w:t>
      </w:r>
      <w:hyperlink r:id="rId1515"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Röscher (1894–97), Lanzone (1882).</w:t>
        </w:r>
      </w:hyperlink>
      <w:r w:rsidRPr="00B03603">
        <w:rPr>
          <w:rFonts w:ascii="Garamond" w:hAnsi="Garamond" w:cs="Arial"/>
          <w:color w:val="000000"/>
          <w:lang w:val="en-GB"/>
        </w:rPr>
        <w:t xml:space="preserve">. Der Name dieser Göttin wurde </w:t>
      </w:r>
      <w:r w:rsidRPr="00B03603">
        <w:rPr>
          <w:rFonts w:ascii="Garamond" w:hAnsi="Garamond" w:cs="Arial"/>
          <w:i/>
          <w:iCs/>
          <w:color w:val="000000"/>
          <w:lang w:val="en-GB"/>
        </w:rPr>
        <w:t>Mut</w:t>
      </w:r>
      <w:r w:rsidRPr="00B03603">
        <w:rPr>
          <w:rFonts w:ascii="Garamond" w:hAnsi="Garamond" w:cs="Arial"/>
          <w:color w:val="000000"/>
          <w:lang w:val="en-GB"/>
        </w:rPr>
        <w:t xml:space="preserve"> ausgesprochen; ob die Lautähnlichkeit mit unserem Worte »Mutter« nur eine zufällige ist? So steht der Geier wirklich in Beziehung zur Mutter, aber was kann uns das helfen? Dürfen wir Leonardo denn diese Kenntnis zumuten, wenn die Lesung der Hieroglyphen erst François Champollion (1790–1832) gelungen ist? </w:t>
      </w:r>
      <w:hyperlink r:id="rId1516" w:anchor="#" w:history="1">
        <w:r w:rsidRPr="00B03603">
          <w:rPr>
            <w:rStyle w:val="fusslink"/>
            <w:rFonts w:ascii="Garamond" w:hAnsi="Garamond" w:cs="Arial"/>
            <w:b/>
            <w:bCs/>
            <w:color w:val="003399"/>
          </w:rPr>
          <w:t>[Fußnote]</w:t>
        </w:r>
        <w:r w:rsidRPr="00B03603">
          <w:rPr>
            <w:rStyle w:val="innerfusslink3"/>
            <w:rFonts w:ascii="Garamond" w:hAnsi="Garamond" w:cs="Arial"/>
            <w:b/>
            <w:bCs/>
          </w:rPr>
          <w:t>H. Hartleben (1906).</w:t>
        </w:r>
      </w:hyperlink>
    </w:p>
    <w:p w:rsidR="00462409" w:rsidRPr="00B03603" w:rsidRDefault="00462409" w:rsidP="00462409">
      <w:pPr>
        <w:rPr>
          <w:rFonts w:ascii="Garamond" w:hAnsi="Garamond" w:cs="Arial"/>
          <w:color w:val="000000"/>
        </w:rPr>
      </w:pPr>
      <w:r w:rsidRPr="00B03603">
        <w:rPr>
          <w:rFonts w:ascii="Garamond" w:hAnsi="Garamond" w:cs="Arial"/>
          <w:color w:val="000000"/>
        </w:rPr>
        <w:t xml:space="preserve">Man möchte sich dafür interessieren, auf welchem Wege auch nur die alten Ägypter dazu gekommen sind, den Geier zum Symbol der Mütterlichkeit zu wählen. Nun war die Religion und Kultur der Ägypter bereits den Griechen und Römern Gegenstand wissenschaftlicher Neugierde, und lange, ehe wir selbst die Denkmäler Ägyptens lesen konnten, standen uns einzelne Mitteilungen darüber aus erhaltenen Schriften des klassischen Altertums zu Gebote, Schriften, die teils von bekannten Autoren herrühren, wie Strabo, Plutarch, Ammianus Marcellus, teils unbekannte Namen tragen und unsicher in ihrer Herkunft und Abfassungszeit sind wie die </w:t>
      </w:r>
      <w:r w:rsidRPr="00B03603">
        <w:rPr>
          <w:rFonts w:ascii="Garamond" w:hAnsi="Garamond" w:cs="Arial"/>
          <w:i/>
          <w:iCs/>
          <w:color w:val="000000"/>
        </w:rPr>
        <w:t>Hieroglyphica</w:t>
      </w:r>
      <w:r w:rsidRPr="00B03603">
        <w:rPr>
          <w:rFonts w:ascii="Garamond" w:hAnsi="Garamond" w:cs="Arial"/>
          <w:color w:val="000000"/>
        </w:rPr>
        <w:t xml:space="preserve"> des Horapollo Nilus und das unter dem Götternamen des Hermes Trismegistos überlieferte Buch orientalischer Priesterweisheit. Aus diesen Quellen erfahren wir, daß der Geier als Symbol der Mütterlichkeit galt, weil man glaubte, es gäbe nur weibliche Geier und keine männlichen von dieser Vogelart </w:t>
      </w:r>
      <w:hyperlink r:id="rId1517" w:anchor="#" w:history="1">
        <w:r w:rsidRPr="00B03603">
          <w:rPr>
            <w:rStyle w:val="fusslink"/>
            <w:rFonts w:ascii="Garamond" w:hAnsi="Garamond" w:cs="Arial"/>
            <w:b/>
            <w:bCs/>
            <w:color w:val="003399"/>
          </w:rPr>
          <w:t>[Fußnote]</w:t>
        </w:r>
        <w:r w:rsidRPr="00B03603">
          <w:rPr>
            <w:rStyle w:val="innerfusslink3"/>
            <w:rFonts w:ascii="Garamond" w:hAnsi="Garamond" w:cs="Arial"/>
            <w:b/>
            <w:bCs/>
          </w:rPr>
          <w:t>»γυ</w:t>
        </w:r>
        <w:r w:rsidRPr="00B03603">
          <w:rPr>
            <w:rStyle w:val="innerfusslink3"/>
            <w:rFonts w:ascii="Arial" w:hAnsi="Arial" w:cs="Arial"/>
            <w:b/>
            <w:bCs/>
          </w:rPr>
          <w:t>̃</w:t>
        </w:r>
        <w:r w:rsidRPr="00B03603">
          <w:rPr>
            <w:rStyle w:val="innerfusslink3"/>
            <w:rFonts w:ascii="Garamond" w:hAnsi="Garamond" w:cs="Arial"/>
            <w:b/>
            <w:bCs/>
          </w:rPr>
          <w:t>πα δε</w:t>
        </w:r>
        <w:r w:rsidRPr="00B03603">
          <w:rPr>
            <w:rStyle w:val="innerfusslink3"/>
            <w:rFonts w:ascii="Arial" w:hAnsi="Arial" w:cs="Arial"/>
            <w:b/>
            <w:bCs/>
          </w:rPr>
          <w:t>̀</w:t>
        </w:r>
        <w:r w:rsidRPr="00B03603">
          <w:rPr>
            <w:rStyle w:val="innerfusslink3"/>
            <w:rFonts w:ascii="Garamond" w:hAnsi="Garamond" w:cs="Arial"/>
            <w:b/>
            <w:bCs/>
          </w:rPr>
          <w:t xml:space="preserve"> άρρενα ού φασι γινέσθαι ποτε, αλλα</w:t>
        </w:r>
        <w:r w:rsidRPr="00B03603">
          <w:rPr>
            <w:rStyle w:val="innerfusslink3"/>
            <w:rFonts w:ascii="Arial" w:hAnsi="Arial" w:cs="Arial"/>
            <w:b/>
            <w:bCs/>
          </w:rPr>
          <w:t>̀</w:t>
        </w:r>
        <w:r w:rsidRPr="00B03603">
          <w:rPr>
            <w:rStyle w:val="innerfusslink3"/>
            <w:rFonts w:ascii="Garamond" w:hAnsi="Garamond" w:cs="Arial"/>
            <w:b/>
            <w:bCs/>
          </w:rPr>
          <w:t xml:space="preserve"> θηλείας απάσας«</w:t>
        </w:r>
      </w:hyperlink>
      <w:r w:rsidRPr="00B03603">
        <w:rPr>
          <w:rFonts w:ascii="Garamond" w:hAnsi="Garamond" w:cs="Arial"/>
          <w:color w:val="000000"/>
        </w:rPr>
        <w:t xml:space="preserve">. Die Naturgeschichte der Alten kannte auch ein Gegenstück zu dieser Einschränkung; bei den Skarabäen, den von den Ägyptern als göttlich verehrten Käfern, meinten sie, gebe es nur Männchen </w:t>
      </w:r>
      <w:hyperlink r:id="rId1518" w:anchor="#" w:history="1">
        <w:r w:rsidRPr="00B03603">
          <w:rPr>
            <w:rStyle w:val="fusslink"/>
            <w:rFonts w:ascii="Garamond" w:hAnsi="Garamond" w:cs="Arial"/>
            <w:b/>
            <w:bCs/>
            <w:color w:val="003399"/>
          </w:rPr>
          <w:t>[Fußnote]</w:t>
        </w:r>
        <w:r w:rsidRPr="00B03603">
          <w:rPr>
            <w:rStyle w:val="innerfusslink3"/>
            <w:rFonts w:ascii="Garamond" w:hAnsi="Garamond" w:cs="Arial"/>
            <w:b/>
            <w:bCs/>
          </w:rPr>
          <w:t xml:space="preserve">Plutarch: </w:t>
        </w:r>
        <w:r w:rsidRPr="00B03603">
          <w:rPr>
            <w:rStyle w:val="innerfusslink3"/>
            <w:rFonts w:ascii="Garamond" w:hAnsi="Garamond" w:cs="Arial"/>
            <w:b/>
            <w:bCs/>
            <w:i/>
            <w:iCs/>
          </w:rPr>
          <w:t>Veluti scarabaeos mares tantum esse putarunt Aegyptii sic inter vultures mares non inveniri statuerunt.</w:t>
        </w:r>
      </w:hyperlink>
      <w:r w:rsidRPr="00B03603">
        <w:rPr>
          <w:rFonts w:ascii="Garamond" w:hAnsi="Garamond" w:cs="Arial"/>
          <w:color w:val="000000"/>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Wie sollte nun die Befruchtung der Geier vor sich gehen, wenn sie alle nur Weibchen waren? Darüber gibt eine Stelle des Horapollo </w:t>
      </w:r>
      <w:hyperlink r:id="rId1519"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i/>
            <w:iCs/>
            <w:lang w:val="en-GB"/>
          </w:rPr>
          <w:t>Horapollinis Niloi Hieroglyphica,</w:t>
        </w:r>
        <w:r w:rsidRPr="00B03603">
          <w:rPr>
            <w:rStyle w:val="innerfusslink3"/>
            <w:rFonts w:ascii="Garamond" w:hAnsi="Garamond" w:cs="Arial"/>
            <w:b/>
            <w:bCs/>
            <w:lang w:val="en-GB"/>
          </w:rPr>
          <w:t xml:space="preserve"> edidit Conradus Leemans (1835). Die auf das Geschlecht der Geier bezüglichen Worte lauten (S. 14): </w:t>
        </w:r>
        <w:r w:rsidRPr="00B03603">
          <w:rPr>
            <w:rStyle w:val="innerfusslink3"/>
            <w:rFonts w:ascii="Garamond" w:hAnsi="Garamond" w:cs="Arial"/>
            <w:b/>
            <w:bCs/>
          </w:rPr>
          <w:t>μητέρα</w:t>
        </w:r>
        <w:r w:rsidRPr="00B03603">
          <w:rPr>
            <w:rStyle w:val="innerfusslink3"/>
            <w:rFonts w:ascii="Garamond" w:hAnsi="Garamond" w:cs="Arial"/>
            <w:b/>
            <w:bCs/>
            <w:lang w:val="en-GB"/>
          </w:rPr>
          <w:t xml:space="preserve"> </w:t>
        </w:r>
        <w:r w:rsidRPr="00B03603">
          <w:rPr>
            <w:rStyle w:val="innerfusslink3"/>
            <w:rFonts w:ascii="Garamond" w:hAnsi="Garamond" w:cs="Arial"/>
            <w:b/>
            <w:bCs/>
          </w:rPr>
          <w:t>μέν</w:t>
        </w:r>
        <w:r w:rsidRPr="00B03603">
          <w:rPr>
            <w:rStyle w:val="innerfusslink3"/>
            <w:rFonts w:ascii="Garamond" w:hAnsi="Garamond" w:cs="Arial"/>
            <w:b/>
            <w:bCs/>
            <w:lang w:val="en-GB"/>
          </w:rPr>
          <w:t xml:space="preserve"> </w:t>
        </w:r>
        <w:r w:rsidRPr="00B03603">
          <w:rPr>
            <w:rStyle w:val="innerfusslink3"/>
            <w:rFonts w:ascii="Garamond" w:hAnsi="Garamond" w:cs="Arial"/>
            <w:b/>
            <w:bCs/>
          </w:rPr>
          <w:t>επειδη</w:t>
        </w:r>
        <w:r w:rsidRPr="00B03603">
          <w:rPr>
            <w:rStyle w:val="innerfusslink3"/>
            <w:rFonts w:ascii="Arial" w:hAnsi="Arial" w:cs="Arial"/>
            <w:b/>
            <w:bCs/>
            <w:lang w:val="en-GB"/>
          </w:rPr>
          <w:t>̀</w:t>
        </w:r>
        <w:r w:rsidRPr="00B03603">
          <w:rPr>
            <w:rStyle w:val="innerfusslink3"/>
            <w:rFonts w:ascii="Garamond" w:hAnsi="Garamond" w:cs="Arial"/>
            <w:b/>
            <w:bCs/>
            <w:lang w:val="en-GB"/>
          </w:rPr>
          <w:t xml:space="preserve"> </w:t>
        </w:r>
        <w:r w:rsidRPr="00B03603">
          <w:rPr>
            <w:rStyle w:val="innerfusslink3"/>
            <w:rFonts w:ascii="Garamond" w:hAnsi="Garamond" w:cs="Arial"/>
            <w:b/>
            <w:bCs/>
          </w:rPr>
          <w:t>άρρεν</w:t>
        </w:r>
        <w:r w:rsidRPr="00B03603">
          <w:rPr>
            <w:rStyle w:val="innerfusslink3"/>
            <w:rFonts w:ascii="Garamond" w:hAnsi="Garamond" w:cs="Arial"/>
            <w:b/>
            <w:bCs/>
            <w:lang w:val="en-GB"/>
          </w:rPr>
          <w:t xml:space="preserve"> </w:t>
        </w:r>
        <w:r w:rsidRPr="00B03603">
          <w:rPr>
            <w:rStyle w:val="innerfusslink3"/>
            <w:rFonts w:ascii="Garamond" w:hAnsi="Garamond" w:cs="Arial"/>
            <w:b/>
            <w:bCs/>
          </w:rPr>
          <w:t>εν</w:t>
        </w:r>
        <w:r w:rsidRPr="00B03603">
          <w:rPr>
            <w:rStyle w:val="innerfusslink3"/>
            <w:rFonts w:ascii="Garamond" w:hAnsi="Garamond" w:cs="Arial"/>
            <w:b/>
            <w:bCs/>
            <w:lang w:val="en-GB"/>
          </w:rPr>
          <w:t xml:space="preserve"> </w:t>
        </w:r>
        <w:r w:rsidRPr="00B03603">
          <w:rPr>
            <w:rStyle w:val="innerfusslink3"/>
            <w:rFonts w:ascii="Garamond" w:hAnsi="Garamond" w:cs="Arial"/>
            <w:b/>
            <w:bCs/>
          </w:rPr>
          <w:t>τούτω</w:t>
        </w:r>
        <w:r w:rsidRPr="00B03603">
          <w:rPr>
            <w:rStyle w:val="innerfusslink3"/>
            <w:rFonts w:ascii="Garamond" w:hAnsi="Garamond" w:cs="Arial"/>
            <w:b/>
            <w:bCs/>
            <w:lang w:val="en-GB"/>
          </w:rPr>
          <w:t xml:space="preserve"> </w:t>
        </w:r>
        <w:r w:rsidRPr="00B03603">
          <w:rPr>
            <w:rStyle w:val="innerfusslink3"/>
            <w:rFonts w:ascii="Garamond" w:hAnsi="Garamond" w:cs="Arial"/>
            <w:b/>
            <w:bCs/>
          </w:rPr>
          <w:t>τω</w:t>
        </w:r>
        <w:r w:rsidRPr="00B03603">
          <w:rPr>
            <w:rStyle w:val="innerfusslink3"/>
            <w:rFonts w:ascii="Arial" w:hAnsi="Arial" w:cs="Arial"/>
            <w:b/>
            <w:bCs/>
            <w:lang w:val="en-GB"/>
          </w:rPr>
          <w:t>̃</w:t>
        </w:r>
        <w:r w:rsidRPr="00B03603">
          <w:rPr>
            <w:rStyle w:val="innerfusslink3"/>
            <w:rFonts w:ascii="Garamond" w:hAnsi="Garamond" w:cs="Arial"/>
            <w:b/>
            <w:bCs/>
            <w:lang w:val="en-GB"/>
          </w:rPr>
          <w:t xml:space="preserve"> </w:t>
        </w:r>
        <w:r w:rsidRPr="00B03603">
          <w:rPr>
            <w:rStyle w:val="innerfusslink3"/>
            <w:rFonts w:ascii="Garamond" w:hAnsi="Garamond" w:cs="Arial"/>
            <w:b/>
            <w:bCs/>
          </w:rPr>
          <w:t>γένει</w:t>
        </w:r>
        <w:r w:rsidRPr="00B03603">
          <w:rPr>
            <w:rStyle w:val="innerfusslink3"/>
            <w:rFonts w:ascii="Garamond" w:hAnsi="Garamond" w:cs="Arial"/>
            <w:b/>
            <w:bCs/>
            <w:lang w:val="en-GB"/>
          </w:rPr>
          <w:t xml:space="preserve"> </w:t>
        </w:r>
        <w:r w:rsidRPr="00B03603">
          <w:rPr>
            <w:rStyle w:val="innerfusslink3"/>
            <w:rFonts w:ascii="Garamond" w:hAnsi="Garamond" w:cs="Arial"/>
            <w:b/>
            <w:bCs/>
          </w:rPr>
          <w:t>τω</w:t>
        </w:r>
        <w:r w:rsidRPr="00B03603">
          <w:rPr>
            <w:rStyle w:val="innerfusslink3"/>
            <w:rFonts w:ascii="Arial" w:hAnsi="Arial" w:cs="Arial"/>
            <w:b/>
            <w:bCs/>
            <w:lang w:val="en-GB"/>
          </w:rPr>
          <w:t>̃</w:t>
        </w:r>
        <w:r w:rsidRPr="00B03603">
          <w:rPr>
            <w:rStyle w:val="innerfusslink3"/>
            <w:rFonts w:ascii="Garamond" w:hAnsi="Garamond" w:cs="Arial"/>
            <w:b/>
            <w:bCs/>
          </w:rPr>
          <w:t>ν</w:t>
        </w:r>
        <w:r w:rsidRPr="00B03603">
          <w:rPr>
            <w:rStyle w:val="innerfusslink3"/>
            <w:rFonts w:ascii="Garamond" w:hAnsi="Garamond" w:cs="Arial"/>
            <w:b/>
            <w:bCs/>
            <w:lang w:val="en-GB"/>
          </w:rPr>
          <w:t xml:space="preserve"> </w:t>
        </w:r>
        <w:r w:rsidRPr="00B03603">
          <w:rPr>
            <w:rStyle w:val="innerfusslink3"/>
            <w:rFonts w:ascii="Garamond" w:hAnsi="Garamond" w:cs="Arial"/>
            <w:b/>
            <w:bCs/>
          </w:rPr>
          <w:t>ζώων</w:t>
        </w:r>
        <w:r w:rsidRPr="00B03603">
          <w:rPr>
            <w:rStyle w:val="innerfusslink3"/>
            <w:rFonts w:ascii="Garamond" w:hAnsi="Garamond" w:cs="Arial"/>
            <w:b/>
            <w:bCs/>
            <w:lang w:val="en-GB"/>
          </w:rPr>
          <w:t xml:space="preserve"> </w:t>
        </w:r>
        <w:r w:rsidRPr="00B03603">
          <w:rPr>
            <w:rStyle w:val="innerfusslink3"/>
            <w:rFonts w:ascii="Garamond" w:hAnsi="Garamond" w:cs="Arial"/>
            <w:b/>
            <w:bCs/>
          </w:rPr>
          <w:t>ουχ</w:t>
        </w:r>
        <w:r w:rsidRPr="00B03603">
          <w:rPr>
            <w:rStyle w:val="innerfusslink3"/>
            <w:rFonts w:ascii="Garamond" w:hAnsi="Garamond" w:cs="Arial"/>
            <w:b/>
            <w:bCs/>
            <w:lang w:val="en-GB"/>
          </w:rPr>
          <w:t xml:space="preserve"> </w:t>
        </w:r>
        <w:r w:rsidRPr="00B03603">
          <w:rPr>
            <w:rStyle w:val="innerfusslink3"/>
            <w:rFonts w:ascii="Garamond" w:hAnsi="Garamond" w:cs="Arial"/>
            <w:b/>
            <w:bCs/>
          </w:rPr>
          <w:t>υπάρχει</w:t>
        </w:r>
        <w:r w:rsidRPr="00B03603">
          <w:rPr>
            <w:rStyle w:val="innerfusslink3"/>
            <w:rFonts w:ascii="Garamond" w:hAnsi="Garamond" w:cs="Arial"/>
            <w:b/>
            <w:bCs/>
            <w:lang w:val="en-GB"/>
          </w:rPr>
          <w:t>.</w:t>
        </w:r>
      </w:hyperlink>
      <w:r w:rsidRPr="00B03603">
        <w:rPr>
          <w:rFonts w:ascii="Garamond" w:hAnsi="Garamond" w:cs="Arial"/>
          <w:color w:val="000000"/>
          <w:lang w:val="en-GB"/>
        </w:rPr>
        <w:t xml:space="preserve"> guten Aufschluß. Zu einer gewissen Zeit halten diese Vögel im Fluge inne, öffnen ihre Scheide und empfangen vom Winde.</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Wir sind jetzt unerwarteterweise dazu gelangt, etwas für recht wahrscheinlich zu halten, was wir vor kurzem noch als absurd zurückweisen mußten. Leonardo kann das wissenschaftliche Märchen, dem es der Geier verdankt, daß die Ägypter mit seinem Bilde den Begriff der Mutter schrieben, sehr wohl gekannt haben. </w:t>
      </w:r>
      <w:r w:rsidRPr="00B03603">
        <w:rPr>
          <w:rFonts w:ascii="Garamond" w:hAnsi="Garamond" w:cs="Arial"/>
          <w:color w:val="000000"/>
        </w:rPr>
        <w:t xml:space="preserve">Er war ein Vielleser, dessen Interesse alle Gebiete der Literatur und des Wissens umfaßte. Wir besitzen im </w:t>
      </w:r>
      <w:r w:rsidRPr="00B03603">
        <w:rPr>
          <w:rFonts w:ascii="Garamond" w:hAnsi="Garamond" w:cs="Arial"/>
          <w:i/>
          <w:iCs/>
          <w:color w:val="000000"/>
        </w:rPr>
        <w:t>Codex atlanticus</w:t>
      </w:r>
      <w:r w:rsidRPr="00B03603">
        <w:rPr>
          <w:rFonts w:ascii="Garamond" w:hAnsi="Garamond" w:cs="Arial"/>
          <w:color w:val="000000"/>
        </w:rPr>
        <w:t xml:space="preserve"> ein Verzeichnis aller Bücher, die er zu einer gewissen Zeit besaß </w:t>
      </w:r>
      <w:hyperlink r:id="rId1520" w:anchor="#" w:history="1">
        <w:r w:rsidRPr="00B03603">
          <w:rPr>
            <w:rStyle w:val="fusslink"/>
            <w:rFonts w:ascii="Garamond" w:hAnsi="Garamond" w:cs="Arial"/>
            <w:b/>
            <w:bCs/>
            <w:color w:val="003399"/>
          </w:rPr>
          <w:t>[Fußnote]</w:t>
        </w:r>
        <w:r w:rsidRPr="00B03603">
          <w:rPr>
            <w:rStyle w:val="innerfusslink3"/>
            <w:rFonts w:ascii="Garamond" w:hAnsi="Garamond" w:cs="Arial"/>
            <w:b/>
            <w:bCs/>
          </w:rPr>
          <w:t>E. Müntz (1899, 282).</w:t>
        </w:r>
      </w:hyperlink>
      <w:r w:rsidRPr="00B03603">
        <w:rPr>
          <w:rFonts w:ascii="Garamond" w:hAnsi="Garamond" w:cs="Arial"/>
          <w:color w:val="000000"/>
        </w:rPr>
        <w:t xml:space="preserve">, dazu zahlreiche Notizen über andere Bücher, die er von Freunden entlehnt hatte, und nach den Exzerpten, die Fr. Richter </w:t>
      </w:r>
      <w:hyperlink r:id="rId1521" w:anchor="#" w:history="1">
        <w:r w:rsidRPr="00B03603">
          <w:rPr>
            <w:rStyle w:val="fusslink"/>
            <w:rFonts w:ascii="Garamond" w:hAnsi="Garamond" w:cs="Arial"/>
            <w:b/>
            <w:bCs/>
            <w:color w:val="003399"/>
          </w:rPr>
          <w:t>[Fußnote]</w:t>
        </w:r>
        <w:r w:rsidRPr="00B03603">
          <w:rPr>
            <w:rStyle w:val="innerfusslink3"/>
            <w:rFonts w:ascii="Garamond" w:hAnsi="Garamond" w:cs="Arial"/>
            <w:b/>
            <w:bCs/>
          </w:rPr>
          <w:t>Müntz, l. c.</w:t>
        </w:r>
      </w:hyperlink>
      <w:r w:rsidRPr="00B03603">
        <w:rPr>
          <w:rFonts w:ascii="Garamond" w:hAnsi="Garamond" w:cs="Arial"/>
          <w:color w:val="000000"/>
        </w:rPr>
        <w:t xml:space="preserve"> aus seinen Aufzeichnungen zusammengestellt hat, können wir den Umfang seiner Lektüre kaum überschätzen. </w:t>
      </w:r>
      <w:r w:rsidRPr="00B03603">
        <w:rPr>
          <w:rFonts w:ascii="Garamond" w:hAnsi="Garamond" w:cs="Arial"/>
          <w:color w:val="000000"/>
          <w:lang w:val="en-GB"/>
        </w:rPr>
        <w:t>Unter dieser Zahl fehlen auch ältere wie gleichzeitige Werke von naturwissenschaftlichem Inhalte nicht. Alle diese Bücher waren zu jener Zeit schon im Drucke vorhanden, und gerade Mailand war für Italien die Hauptstätte der jungen Buchdruckerkunst.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Wenn wir nun weitergehen, stoßen wir auf eine Nachricht, welche die Wahrscheinlichkeit, Leonardo habe das Geiermärchen gekannt, zur Sicherheit steigern kann. Der gelehrte Herausgeber und Kommentator des Horapollo bemerkt zu dem bereits zitierten Text (172): » </w:t>
      </w:r>
      <w:r w:rsidRPr="00B03603">
        <w:rPr>
          <w:rFonts w:ascii="Garamond" w:hAnsi="Garamond" w:cs="Arial"/>
          <w:i/>
          <w:iCs/>
          <w:color w:val="000000"/>
          <w:lang w:val="en-GB"/>
        </w:rPr>
        <w:t xml:space="preserve">Caeterum hanc fabulam de vulturibus cupide amplexi </w:t>
      </w:r>
      <w:r w:rsidRPr="00B03603">
        <w:rPr>
          <w:rFonts w:ascii="Garamond" w:hAnsi="Garamond" w:cs="Arial"/>
          <w:i/>
          <w:iCs/>
          <w:color w:val="000000"/>
          <w:lang w:val="en-GB"/>
        </w:rPr>
        <w:lastRenderedPageBreak/>
        <w:t>sunt Patres Ecclesiastici, ut ita argumento ex rerum natura petito refutarent eos, qui Virginis partum negabant; itaque apud omnes fere hujus rei mentio occurrit.</w:t>
      </w:r>
      <w:r w:rsidRPr="00B03603">
        <w:rPr>
          <w:rFonts w:ascii="Garamond" w:hAnsi="Garamond" w:cs="Arial"/>
          <w:color w:val="000000"/>
          <w:lang w:val="en-GB"/>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Also die Fabel von der Eingeschlechtigkeit und der Empfängnis der Geier war keineswegs eine indifferente Anekdote geblieben wie die analoge von den Skarabäen; die Kirchenväter hatten sich ihrer bemächtigt, um gegen die Zweifler an der heiligen Geschichte ein Argument aus der Naturgeschichte zur Hand zu haben. Wenn nach den besten Nachrichten aus dem Altertum die Geier darauf angewiesen waren, sich vom Winde befruchten zu lassen, warum sollte nicht auch einmal das gleiche mit einen menschlichen Weibe vorgegangen sein? Dieser Verwertbarkeit wegen pflegten die Kirchenväter »fast alle« die Geierfabel zu erzählen, und nun kann es kaum zweifelhaft sein, daß sie durch so mächtige Patronanz auch Leonardo bekannt geworden ist.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Die Entstehung der Geierphantasie Leonardos können wir uns nun in folgender Weise vorstellen. Als er einmal bei einem Kirchenvater oder in einem naturwissenschaftlichen Buche davon las, die Geier seien alle Weibchen und wüßten sich ohne Mithilfe von Männchen fortzupflanzen, da tauchte in ihm eine Erinnerung auf, die sich zu jener Phantasie umgestaltete, die aber besagen wollte, er sei ja auch so ein Geierkind gewesen, das eine Mutter, aber keinen Vater gehabt habe, und dazu gesellte sich in der Art, wie so alte Eindrücke sich allein äußern können, ein Nachhall des Genusses, der ihm an der Mutterbrust zuteil geworden war. Die von den Autoren hergestellte Anspielung auf die jedem Künstler teure Vorstellung der heiligen Jungfrau mit dem Kinde mußte dazu beitragen, ihm diese Phantasie wertvoll und bedeutsam erscheinen zu lassen. Kam er doch so dazu, sich mit dem Christusknaben, dem Tröster und Erlöser nicht nur des einen Weibes, zu identifizieren.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Wenn wir eine Kindheitsphantasie zersetzen, streben wir danach, deren realen Erinnerungsinhalt von den späteren Motiven zu sondern, welche denselben modifizieren und entstellen. Im Falle Leonardos glauben wir jetzt den realen Inhalt der Phantasie zu kennen; die Ersetzung der Mutter durch den Geier weist darauf hin, daß das Kind den Vater vermißt und sich mit der Mutter allein gefunden hat. </w:t>
      </w:r>
      <w:r w:rsidRPr="00B03603">
        <w:rPr>
          <w:rFonts w:ascii="Garamond" w:hAnsi="Garamond" w:cs="Arial"/>
          <w:color w:val="000000"/>
        </w:rPr>
        <w:t xml:space="preserve">Die Tatsache der illegitimen Geburt Leonardos stimmt zu seiner Geierphantasie; nur darum konnte er sich einem Geierkinde vergleichen. Aber wir haben als die nächste gesicherte Tatsache aus seiner Jugend erfahren, daß er im Alter von fünf Jahren in den Haushalt seines Vaters aufgenommen war; wann dies geschah, ob wenige Monate nach seiner Geburt, ob wenige Wochen vor der Aufnahme jenes Katasters, ist uns völlig unbekannt. Da tritt nun die Deutung der Geierphantasie ein und will uns belehren, daß Leonardo die entscheidenden ersten Jahre seines Lebens nicht bei seinem Vater und seiner Stiefmutter, sondern bei der armen, verlassenen, echten Mutter verbrachte, so daß er Zeit hatte, seinen Vater zu vermissen. </w:t>
      </w:r>
      <w:r w:rsidRPr="00B03603">
        <w:rPr>
          <w:rFonts w:ascii="Garamond" w:hAnsi="Garamond" w:cs="Arial"/>
          <w:color w:val="000000"/>
          <w:lang w:val="en-GB"/>
        </w:rPr>
        <w:t>Dies scheint ein mageres und dabei noch immer gewagtes Ergebnis der psychoanalytischen Bemühung, allein es wird bei weiterer Vertiefung an Bedeutung gewinnen. Der Sicherheit kommt noch die Erwägung der tatsächlichen Verhältnisse in der Kindheit Leonardos zu Hilfe. Den Berichten nach heiratete sein Vater Ser Piero da Vinci noch im Jahre von Leonardos Geburt die vornehme Donna Albiera; der Kinderlosigkeit dieser Ehe verdankte der Knabe seine im fünften Jahre dokumentarisch bestätigte Aufnahme ins väterliche oder vielmehr großväterliche Haus. Nun ist es nicht gebräuchlich, daß man der jungen Frau, die noch auf Kindersegen rechnet, von Anfang an einen illegitimen Sprößling zur Pflege übergibt. Es mußten wohl erst Jahre von Enttäuschung hingegangen sein, ehe man sich entschloß, das wahrscheinlich reizend entwickelte uneheliche Kind zur Entschädigung für die vergeblich erhofften ehelichen Kinder anzunehmen. Es steht im besten Einklang mit der Deutung der Geierphantasie, wenn mindestens drei Jahre, vielleicht fünf, von Leonardos Leben verflossen waren, ehe er seine einsame Mutter gegen ein Elternpaar vertauschen konnte. Dann aber war es bereits zu spät geworden. In den ersten drei oder vier Lebensjahren fixieren sich Eindrücke und bahnen sich Reaktionsweisen gegen die Außenwelt an, die durch kein späteres Erleben mehr ihrer Bedeutung beraubt werden können.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lastRenderedPageBreak/>
        <w:t>Wenn es richtig ist, daß die unverständlichen Kindheitserinnerungen und die auf sie gebauten Phantasien eines Menschen stets das Wichtigste aus seiner seelischen Entwicklung herausheben, so muß die durch die Geierphantasie erhärtete Tatsache, daß Leonardo seine ersten Lebensjahre allein mit der Mutter verbracht hat, von entscheidendstem Einfluß auf die Gestaltung seines inneren Lebens gewesen sein. Unter den Wirkungen dieser Konstellation kann es nicht gefehlt haben, daß das Kind, welches in seinem jungen Leben ein Problem mehr vorfand als andere Kinder, mit besonderer Leidenschaft über diese Rätsel zu grübeln begann und so frühzeitig ein Forscher wurde, den die großen Fragen quälten, woher die Kinder kommen und was der Vater mit ihrer Entstehung zu tun habe. Die Ahnung dieses Zusammenhanges zwischen seiner Forschung und seiner Kindheitsgeschichte hat ihm dann später den Ausruf entlockt, ihm sei es wohl von jeher bestimmt gewesen, sich in das Problem des Vogelfluges zu vertiefen, da er schon in der Wiege von einem Geier heimgesucht worden war. Die Wißbegierde, die sich auf den Vogelflug richtete, von der infantilen Sexualforschung abzuleiten, wird eine spätere, unschwer zu erledigende Aufgabe sein.</w:t>
      </w:r>
    </w:p>
    <w:p w:rsidR="00462409" w:rsidRDefault="00462409" w:rsidP="00462409">
      <w:pPr>
        <w:rPr>
          <w:rFonts w:ascii="Garamond" w:hAnsi="Garamond" w:cs="Arial"/>
          <w:b/>
          <w:bCs/>
          <w:color w:val="000000"/>
          <w:lang w:val="en-GB"/>
        </w:rPr>
      </w:pPr>
    </w:p>
    <w:p w:rsidR="00462409" w:rsidRDefault="00462409" w:rsidP="00462409">
      <w:pPr>
        <w:rPr>
          <w:rFonts w:ascii="Garamond" w:hAnsi="Garamond" w:cs="Arial"/>
          <w:b/>
          <w:bCs/>
          <w:color w:val="000000"/>
          <w:lang w:val="en-GB"/>
        </w:rPr>
      </w:pPr>
      <w:r>
        <w:rPr>
          <w:rFonts w:ascii="Garamond" w:hAnsi="Garamond" w:cs="Arial"/>
          <w:b/>
          <w:bCs/>
          <w:color w:val="000000"/>
          <w:lang w:val="en-GB"/>
        </w:rPr>
        <w:br w:type="page"/>
      </w:r>
      <w:hyperlink w:anchor="DaVinci_INHALT" w:history="1">
        <w:r w:rsidRPr="00B03603">
          <w:rPr>
            <w:rStyle w:val="Lienhypertexte"/>
            <w:rFonts w:ascii="Garamond" w:hAnsi="Garamond" w:cs="Arial"/>
            <w:b/>
            <w:bCs/>
            <w:lang w:val="en-GB"/>
          </w:rPr>
          <w:t>III. Ka</w:t>
        </w:r>
        <w:bookmarkStart w:id="331" w:name="DaVinci_3"/>
        <w:bookmarkEnd w:id="331"/>
        <w:r w:rsidRPr="00B03603">
          <w:rPr>
            <w:rStyle w:val="Lienhypertexte"/>
            <w:rFonts w:ascii="Garamond" w:hAnsi="Garamond" w:cs="Arial"/>
            <w:b/>
            <w:bCs/>
            <w:lang w:val="en-GB"/>
          </w:rPr>
          <w:t>pitel</w:t>
        </w:r>
      </w:hyperlink>
      <w:r>
        <w:rPr>
          <w:rFonts w:ascii="Garamond" w:hAnsi="Garamond" w:cs="Arial"/>
          <w:b/>
          <w:bCs/>
          <w:color w:val="000000"/>
          <w:lang w:val="en-GB"/>
        </w:rPr>
        <w:t xml:space="preserve">   </w:t>
      </w:r>
    </w:p>
    <w:p w:rsidR="00462409" w:rsidRPr="00B03603" w:rsidRDefault="00462409" w:rsidP="00462409">
      <w:pPr>
        <w:rPr>
          <w:rFonts w:ascii="Garamond" w:hAnsi="Garamond" w:cs="Arial"/>
          <w:b/>
          <w:bCs/>
          <w:color w:val="000000"/>
          <w:lang w:val="en-GB"/>
        </w:rPr>
      </w:pP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In der Kindheitsphantasie Leonardos repräsentierte uns das Element des Geiers den realen Erinnerungsinhalt; der Zusammenhang, in den Leonardo selbst seine Phantasie gestellt hatte, warf ein helles Licht auf die Bedeutung dieses Inhalts für sein späteres Leben. Bei fortschreitender Deutungsarbeit stoßen wir nun auf das befremdliche Problem, warum dieser Erinnerungsinhalt in eine homosexuelle Situation umgearbeitet worden ist. Die Mutter, die das Kind säugt – besser: an der das Kind saugt –, ist in einen Geiervogel verwandelt, der dem Kinde seinen Schwanz in den Mund steckt. Wir behaupten, daß die » </w:t>
      </w:r>
      <w:r w:rsidRPr="00B03603">
        <w:rPr>
          <w:rFonts w:ascii="Garamond" w:hAnsi="Garamond" w:cs="Arial"/>
          <w:i/>
          <w:iCs/>
          <w:color w:val="000000"/>
          <w:lang w:val="en-GB"/>
        </w:rPr>
        <w:t>coda</w:t>
      </w:r>
      <w:r w:rsidRPr="00B03603">
        <w:rPr>
          <w:rFonts w:ascii="Garamond" w:hAnsi="Garamond" w:cs="Arial"/>
          <w:color w:val="000000"/>
          <w:lang w:val="en-GB"/>
        </w:rPr>
        <w:t>« des Geiers nach gemeinem substituierenden Sprachgebrauch gar nichts anderes als ein männliches Genitale, einen Penis, bedeuten kann. Aber wir verstehen nicht, wie die Phantasietätigkeit dazu gelangen kann, gerade den mütterlichen Vogel mit dem Abzeichen der Männlichkeit auszustatten, und werden angesichts dieser Absurdität an der Möglichkeit irre, dieses Phantasiegebilde auf einen vernünftigen Sinn zu reduzieren.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Indes wir dürfen nicht verzagen. Wieviel scheinbar absurde Träume haben wir nicht schon genötigt, ihren Sinn einzugestehen! Warum sollte es bei einer Kindheitsphantasie schwieriger werden als bei einem Traum!</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Erinnern wir uns daran, daß es nicht gut ist, wenn sich eine Sonderbarkeit vereinzelt findet, und beeilen wir uns, ihr eine zweite, noch auffälligere, zur Seite zu stellen.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Die geierköpfig gebildete Göttin Mut der Ägypter, eine Gestalt von ganz unpersönlichem Charakter, wie Drexler in Roschers Lexikon urteilt, wurde häufig mit anderen mütterlichen Gottheiten von lebendigerer Individualität wie Isis und Hathor verschmolzen, behielt aber daneben ihre gesonderte Existenz und Verehrung. Es war eine besondere Eigentümlichkeit des ägyptischen Pantheons, daß die einzelnen Götter nicht im Synkretismus untergingen. Neben der Götterkomposition blieb die einfache Göttergestalt in ihrer Selbständigkeit bestehen. Diese geierköpfige mütterliche Gottheit wurde nun von den Ägyptern in den meisten Darstellungen phallisch gebildet </w:t>
      </w:r>
      <w:hyperlink r:id="rId1522"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Vgl. die Abbildungen bei Lanzone (1882, T. CXXXVI–VIII).</w:t>
        </w:r>
      </w:hyperlink>
      <w:r w:rsidRPr="00B03603">
        <w:rPr>
          <w:rFonts w:ascii="Garamond" w:hAnsi="Garamond" w:cs="Arial"/>
          <w:color w:val="000000"/>
          <w:lang w:val="en-GB"/>
        </w:rPr>
        <w:t>; ihr durch die Brüste als weiblich gekennzeichneter Körper trug auch ein männliches Glied im Zustande der Erektion.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Bei der Göttin Mut also dieselbe Vereinigung mütterlicher und männlicher Charaktere wie in der Geierphantasie Leonardos! Sollen wir dies Zusammentreffen durch die Annahme aufklären, Leonardo habe aus seinen Bücherstudien auch die androgyne Natur des mütterlichen Geiers gekannt? Solche Möglichkeit ist mehr als fraglich; es scheint, daß die ihm zugänglichen Quellen von dieser merkwürdigen Bestimmung nichts enthielten. Es liegt wohl näher, die Übereinstimmung auf ein gemeinsames, hier wie dort wirksames und noch unbekanntes Motiv zurückzuführen.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Die Mythologie kann uns berichten, daß die androgyne Bildung, die Vereinigung männlicher und weiblicher Geschlechtscharaktere, nicht nur der Mut zukam, sondern auch anderen Gottheiten wie der Isis und Hathor, aber diesen vielleicht nur, insofern sie auch mütterliche Natur hatten und mit der Mut verschmolzen wurden </w:t>
      </w:r>
      <w:hyperlink r:id="rId1523"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v. Römer (1903).</w:t>
        </w:r>
      </w:hyperlink>
      <w:r w:rsidRPr="00B03603">
        <w:rPr>
          <w:rFonts w:ascii="Garamond" w:hAnsi="Garamond" w:cs="Arial"/>
          <w:color w:val="000000"/>
          <w:lang w:val="en-GB"/>
        </w:rPr>
        <w:t xml:space="preserve">. Sie lehrt uns ferner, daß andere Gottheiten der Ägypter, wie die Neith von Sais, aus der später die griechische Athene wurde, ursprünglich androgyn, d. i. hermaphroditisch aufgefaßt wurden und daß das gleiche für viele der </w:t>
      </w:r>
      <w:r w:rsidRPr="00B03603">
        <w:rPr>
          <w:rFonts w:ascii="Garamond" w:hAnsi="Garamond" w:cs="Arial"/>
          <w:i/>
          <w:iCs/>
          <w:color w:val="000000"/>
          <w:lang w:val="en-GB"/>
        </w:rPr>
        <w:t>griechischen</w:t>
      </w:r>
      <w:r w:rsidRPr="00B03603">
        <w:rPr>
          <w:rFonts w:ascii="Garamond" w:hAnsi="Garamond" w:cs="Arial"/>
          <w:color w:val="000000"/>
          <w:lang w:val="en-GB"/>
        </w:rPr>
        <w:t xml:space="preserve"> Götter besonders aus dem Kreise des Dionysos, aber auch für die später zur weiblichen Liebesgöttin eingeschränkte Aphrodite galt. Sie mag dann die Erklärung versuchen, daß der dem weiblichen Körper angefügte Phallus die schöpferische Urkraft der Natur bedeuten solle und daß alle diese hermaphroditischen Götterbildungen die Idee ausdrücken, erst die Vereinigung von Männlichem und Weiblichem könne eine würdige Darstellung der göttlichen Vollkommenheit ergeben. Aber keine dieser Bemerkungen klärt uns das </w:t>
      </w:r>
      <w:r w:rsidRPr="00B03603">
        <w:rPr>
          <w:rFonts w:ascii="Garamond" w:hAnsi="Garamond" w:cs="Arial"/>
          <w:color w:val="000000"/>
          <w:lang w:val="en-GB"/>
        </w:rPr>
        <w:lastRenderedPageBreak/>
        <w:t>psychologische Rätsel, daß die Phantasie der Menschen keinen Anstoß daran nimmt, eine Gestalt, die ihr das Wesen der Mutter verkörpern soll, mit dem zur Mütterlichkeit gegensätzlichen Zeichen der männlichen Kraft zu versehen.</w:t>
      </w:r>
    </w:p>
    <w:p w:rsidR="00462409" w:rsidRPr="00B03603" w:rsidRDefault="00462409" w:rsidP="00462409">
      <w:pPr>
        <w:rPr>
          <w:rFonts w:ascii="Garamond" w:hAnsi="Garamond" w:cs="Arial"/>
          <w:color w:val="000000"/>
          <w:lang w:val="en-GB"/>
        </w:rPr>
      </w:pPr>
      <w:r w:rsidRPr="00B03603">
        <w:rPr>
          <w:rFonts w:ascii="Garamond" w:hAnsi="Garamond" w:cs="Arial"/>
          <w:color w:val="000000"/>
        </w:rPr>
        <w:t xml:space="preserve">Die Aufklärung kommt von Seiten der infantilen Sexualtheorien. </w:t>
      </w:r>
      <w:r w:rsidRPr="00B03603">
        <w:rPr>
          <w:rFonts w:ascii="Garamond" w:hAnsi="Garamond" w:cs="Arial"/>
          <w:color w:val="000000"/>
          <w:lang w:val="en-GB"/>
        </w:rPr>
        <w:t xml:space="preserve">Es hatte allerdings eine Zeit gegeben, in der das männliche Genitale mit der Darstellung der Mutter vereinbar gefunden wurde. Wenn das männliche Kind seine Wißbegierde zuerst auf die Rätsel des Geschlechtslebens richtet, wird es von dem Interesse für sein eigenes Genitale beherrscht. Es findet diesen Teil seines Körpers zu wertvoll und zu wichtig, als daß es glauben könnte, er würde anderen Personen fehlen, denen es sich so ähnlich fühlt. Da es nicht erraten kann, daß es noch einen anderen, gleichwertigen Typus von Genitalbildung gibt, muß es zur Annahme greifen, daß alle Menschen, auch die Frauen, ein solches Glied wie er besitzen. Dieses Vorurteil setzt sich bei dem jugendlichen Forscher so fest, daß es auch durch die ersten Beobachtungen an den Genitalien kleiner Mädchen nicht zerstört wird. Die Wahrnehmung sagt ihm allerdings, daß da etwas anders ist als bei ihm, aber er ist nicht imstande, sich als Inhalt dieser Wahrnehmung einzugestehen, daß er beim Mädchen das Glied nicht finden könne. Daß das Glied fehlen könne, ist ihm eine unheimliche, unerträgliche Vorstellung, er versucht darum eine vermittelnde Entscheidung: das Glied sei auch beim Mädchen vorhanden, aber es sei noch sehr klein; es werde später wachsen </w:t>
      </w:r>
      <w:hyperlink r:id="rId1524"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Vgl. die Beobachtungen im </w:t>
        </w:r>
        <w:r w:rsidRPr="00B03603">
          <w:rPr>
            <w:rStyle w:val="innerfusslink3"/>
            <w:rFonts w:ascii="Garamond" w:hAnsi="Garamond" w:cs="Arial"/>
            <w:b/>
            <w:bCs/>
            <w:i/>
            <w:iCs/>
            <w:lang w:val="en-GB"/>
          </w:rPr>
          <w:t>Jahrbuch für psychoanalyt. u. psychopath. Forschungen</w:t>
        </w:r>
        <w:r w:rsidRPr="00B03603">
          <w:rPr>
            <w:rStyle w:val="innerfusslink3"/>
            <w:rFonts w:ascii="Garamond" w:hAnsi="Garamond" w:cs="Arial"/>
            <w:b/>
            <w:bCs/>
            <w:lang w:val="en-GB"/>
          </w:rPr>
          <w:t xml:space="preserve">, in der </w:t>
        </w:r>
        <w:r w:rsidRPr="00B03603">
          <w:rPr>
            <w:rStyle w:val="innerfusslink3"/>
            <w:rFonts w:ascii="Garamond" w:hAnsi="Garamond" w:cs="Arial"/>
            <w:b/>
            <w:bCs/>
            <w:i/>
            <w:iCs/>
            <w:lang w:val="en-GB"/>
          </w:rPr>
          <w:t>Internat. Zeitschr. f. ärztl. Psychoanalyse</w:t>
        </w:r>
        <w:r w:rsidRPr="00B03603">
          <w:rPr>
            <w:rStyle w:val="innerfusslink3"/>
            <w:rFonts w:ascii="Garamond" w:hAnsi="Garamond" w:cs="Arial"/>
            <w:b/>
            <w:bCs/>
            <w:lang w:val="en-GB"/>
          </w:rPr>
          <w:t xml:space="preserve"> und in der </w:t>
        </w:r>
        <w:r w:rsidRPr="00B03603">
          <w:rPr>
            <w:rStyle w:val="innerfusslink3"/>
            <w:rFonts w:ascii="Garamond" w:hAnsi="Garamond" w:cs="Arial"/>
            <w:b/>
            <w:bCs/>
            <w:i/>
            <w:iCs/>
            <w:lang w:val="en-GB"/>
          </w:rPr>
          <w:t>Imago.</w:t>
        </w:r>
      </w:hyperlink>
      <w:r w:rsidRPr="00B03603">
        <w:rPr>
          <w:rFonts w:ascii="Garamond" w:hAnsi="Garamond" w:cs="Arial"/>
          <w:color w:val="000000"/>
          <w:lang w:val="en-GB"/>
        </w:rPr>
        <w:t xml:space="preserve">. Scheint sich diese Erwartung bei späteren Beobachtungen nicht zu erfüllen, so bietet sich ihm ein anderer Ausweg. Das Glied war auch beim kleinen Mädchen da, aber es ist abgeschnitten worden, an seiner Stelle ist eine Wunde geblieben. Dieser Fortschritt der Theorie verwertet bereits eigene Erfahrungen von peinlichem Charakter; er hat unterdes die Drohung gehört, daß man ihm das teure Organ wegnehmen wird, wenn er sein Interesse dafür allzu deutlich betätigt. Unter dem Einfluß dieser Kastrationsandrohung deutet er jetzt seine Auffassung des weiblichen Genitales um; er wird von nun an für seine Männlichkeit zittern, dabei aber die unglücklichen Geschöpfe verachten, an denen nach seiner Meinung die grausame Bestrafung bereits vollzogen worden ist </w:t>
      </w:r>
      <w:hyperlink r:id="rId1525"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Es scheint mir unabweisbar anzunehmen, daß hier auch eine Wurzel des bei abendländischen Völkern so elementar auftretenden und sich so irrationell gebärdenden Judenhasses zu suchen ist. Die Beschneidung wird von den Menschen unbewußterweise der Kastration gleichgesetzt. Wenn wir uns getrauen, unsere Vermutungen in die Urzeit des Menschengeschlechts zu tragen, kann uns ahnen, daß die Beschneidung ursprünglich ein Milderungsersatz, eine Ablösung, der Kastration sein sollte.</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Ehe das Kind unter die Herrschaft des Kastrationskomplexes geriet, zur Zeit, als ihm das Weib noch als vollwertig galt, begann eine intensive Schaulust als erotische Triebbetätigung sich bei ihm zu äußern. Es wollte die Genitalien anderer Personen sehen, ursprünglich wahrscheinlich, um sie mit den eigenen zu vergleichen. Die erotische Anziehung, die von der Person der Mutter ausging, gipfelte bald in der Sehnsucht nach ihrem für einen Penis gehaltenen Genitale. Mit der erst spät erworbenen Erkenntnis, daß das Weib keinen Penis besitzt, schlägt diese Sehnsucht oft in ihr Gegenteil um, macht einem Abscheu Platz, der in den Jahren der Pubertät zur Ursache der psychischen Impotenz, der Misogynie, der dauernden Homosexualität werden kann. Aber die Fixierung an das einst heißbegehrte Objekt, den Penis des Weibes, hinterläßt unauslöschliche Spuren im Seelenleben des Kindes, welches jenes Stück infantiler Sexualforschung mit besonderer Vertiefung durchgemacht hat. Die fetischartige Verehrung des weiblichen Fußes und Schuhes scheint den Fuß nur als Ersatzsymbol für das einst verehrte, seither vermißte Glied des Weibes zu nehmen; die »Zopfabschneider« spielen, ohne es zu wissen, die Rolle von Personen, die am weiblichen Genitale den Akt der Kastration ausführen.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Man wird zu den Betätigungen der kindlichen Sexualität kein richtiges Verhältnis gewinnen und wahrscheinlich zur Auskunft greifen, diese Mitteilungen für unglaubwürdig zu erklären, solange man den Standpunkt unserer kulturellen Geringschätzung der Genitalien und der Geschlechtsfunktionen überhaupt </w:t>
      </w:r>
      <w:r w:rsidRPr="00B03603">
        <w:rPr>
          <w:rFonts w:ascii="Garamond" w:hAnsi="Garamond" w:cs="Arial"/>
          <w:color w:val="000000"/>
          <w:lang w:val="en-GB"/>
        </w:rPr>
        <w:lastRenderedPageBreak/>
        <w:t xml:space="preserve">nicht verläßt. Zum Verständnis des kindlichen Seelenlebens bedarf es urzeitlicher Analogien. Für uns sind die Genitalien schon seit einer langen Reihe von Generationen die </w:t>
      </w:r>
      <w:r w:rsidRPr="00B03603">
        <w:rPr>
          <w:rFonts w:ascii="Garamond" w:hAnsi="Garamond" w:cs="Arial"/>
          <w:i/>
          <w:iCs/>
          <w:color w:val="000000"/>
          <w:lang w:val="en-GB"/>
        </w:rPr>
        <w:t>Pudenda</w:t>
      </w:r>
      <w:r w:rsidRPr="00B03603">
        <w:rPr>
          <w:rFonts w:ascii="Garamond" w:hAnsi="Garamond" w:cs="Arial"/>
          <w:color w:val="000000"/>
          <w:lang w:val="en-GB"/>
        </w:rPr>
        <w:t xml:space="preserve">, Gegenstände der Scham, und bei weiter gediehener Sexualverdrängung sogar des Ekels. Wirft man einen umfassenden Blick auf das Sexualleben unserer Zeit, besonders das der die menschliche Kultur tragenden Schichten, so ist man versucht zu sagen: Widerwillig nur fügen sich die heute Lebenden in ihrer Mehrheit den Geboten der Fortpflanzung und fühlen sich dabei in ihrer menschlichen Würde gekränkt und herabgesetzt. Was an anderer Auffassung des Geschlechtslebens unter uns vorhanden ist, hat sich auf die roh gebliebenen, niedrigen Volksschichten zurückgezogen, versteckt sich bei den höheren und verfeinerten als kulturell minderwertig und wagt seine Betätigung nur unter den verbitternden Mahnungen eines schlechten Gewissens. Anders war es in den Urzeiten des Menschengeschlechts. Aus den mühseligen Sammlungen der Kulturforscher kann man sich die Überzeugung holen, daß die Genitalien ursprünglich der Stolz und die Hoffnung der Lebenden waren, göttliche Verehrung genossen und die Göttlichkeit ihrer Funktionen auf alle neu erlernten Tätigkeiten der Menschen übertrugen. Ungezählte Göttergestalten erhoben sich durch Sublimierung aus ihrem Wesen, und zur Zeit, da der Zusammenhang der offiziellen Religionen mit der Geschlechtstätigkeit bereits dem allgemeinen Bewußtsein verhüllt war, bemühten sich Geheimkulte, ihn bei einer Anzahl von Eingeweihten lebend zu erhalten. Endlich geschah es im Laufe der Kulturentwicklung, daß so viel Göttliches und Heiliges aus der Geschlechtlichkeit extrahiert war, bis der erschöpfte Rest der Verachtung verfiel. Aber bei der Unvertilgbarkeit, die in der Natur aller seelischen Spuren liegt, darf man sich nicht verwundern, daß selbst die primitivsten Formen von Anbetung der Genitalien bis in ganz rezente Zeiten nachzuweisen sind und daß Sprachgebrauch, Sitten und Aberglauben der heutigen Menschheit die Überlebsel von allen Phasen dieses Entwicklungsganges enthalten </w:t>
      </w:r>
      <w:hyperlink r:id="rId1526"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Vgl. Richard Payne Knight.</w:t>
        </w:r>
      </w:hyperlink>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Wir sind durch gewichtige biologische Analogien darauf vorbereitet, daß die seelische Entwicklung des Einzelnen den Lauf der Menschheitsentwicklung abgekürzt wiederhole, und werden darum nicht unwahrscheinlich finden, was die psychoanalytische Erforschung der Kinderseele über die infantile Schätzung der Genitalien ergeben hat. Die kindliche Annahme des mütterlichen Penis ist nun die gemeinsame Quelle, aus der sich die androgyne Bildung der mütterlichen Gottheiten wie der ägyptischen Mut und die » </w:t>
      </w:r>
      <w:r w:rsidRPr="00B03603">
        <w:rPr>
          <w:rFonts w:ascii="Garamond" w:hAnsi="Garamond" w:cs="Arial"/>
          <w:i/>
          <w:iCs/>
          <w:color w:val="000000"/>
          <w:lang w:val="en-GB"/>
        </w:rPr>
        <w:t>coda</w:t>
      </w:r>
      <w:r w:rsidRPr="00B03603">
        <w:rPr>
          <w:rFonts w:ascii="Garamond" w:hAnsi="Garamond" w:cs="Arial"/>
          <w:color w:val="000000"/>
          <w:lang w:val="en-GB"/>
        </w:rPr>
        <w:t>« des Geiers in Leonardos Kindheitsphantasie ableiten. Wir heißen ja diese Götterdarstellungen nur mißverständlich hermaphroditisch im ärztlichen Sinne des Wortes. Keine von ihnen vereinigt die wirklichen Genitalien beider Geschlechter, wie sie in manchen Mißbildungen vereinigt sind zum Abscheu jedes menschlichen Auges; sie fügen bloß den Brüsten als Abzeichen der Mütterlichkeit das männliche Glied hinzu, wie es in der ersten Vorstellung des Kindes vom Leibe der Mutter vorhanden war. Die Mythologie hat diese ehrwürdige, uranfänglich phantasierte Körperbildung der Mutter für die Gläubigen erhalten. Die Hervorhebung des Geierschwanzes in der Phantasie Leonardos können wir nun so übersetzen: Damals, als sich meine zärtliche Neugierde auf die Mutter richtete und ich ihr noch ein Genitale wie mein eigenes zuschrieb. Ein weiteres Zeugnis für die frühzeitige Sexualforschung Leonardos, die nach unserer Meinung ausschlaggebend für sein ganzes späteres Leben wurde.</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Eine kurze Überlegung mahnt uns jetzt, daß wir uns mit der Aufklärung des Geierschwanzes in Leonardos Kindheitsphantasie nicht begnügen dürfen. Es scheint mehr in ihr enthalten, was wir noch nicht verstehen. Ihr auffälligster Zug war doch, daß sie das Saugen an der Mutterbrust in ein Gesäugtwerden, also in Passivität und damit in eine Situation von unzweifelhaft homosexuellem Charakter verwandelte. Eingedenk der historischen Wahrscheinlichkeit, daß sich Leonardo im Leben wie ein homosexuell Fühlender benahm, drängt sich uns die Frage auf, ob diese Phantasie nicht auf eine ursächliche Beziehung zwischen Leonardos Kinderverhältnis zu seiner Mutter und seiner späteren manifesten, wenn auch ideellen Homosexualität hinweist. Wir würden uns nicht getrauen, eine solche aus der entstellten Reminiszenz Leonardos zu erschließen, wenn wir nicht aus den psychoanalytischen </w:t>
      </w:r>
      <w:r w:rsidRPr="00B03603">
        <w:rPr>
          <w:rFonts w:ascii="Garamond" w:hAnsi="Garamond" w:cs="Arial"/>
          <w:color w:val="000000"/>
          <w:lang w:val="en-GB"/>
        </w:rPr>
        <w:lastRenderedPageBreak/>
        <w:t>Untersuchungen von homosexuellen Patienten wüßten, daß eine solche besteht, ja daß sie eine innige und notwendige ist.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Die homosexuellen Männer, die in unseren Tagen eine energische Aktion gegen die gesetzliche Einschränkung ihrer Sexualbetätigung unternommen haben, lieben es, sich durch ihre theoretischen Wortführer als eine von Anfang an gesonderte geschlechtliche Abart, als sexuelle Zwischenstufen, als ein »drittes Geschlecht« hinstellen zu lassen. Sie seien Männer, denen organische Bedingungen vom Keime an das Wohlgefallen am Mann aufgenötigt, das am Weibe versagt hätten. So gerne man nun aus humanen Rücksichten ihre Forderungen unterschreibt, so zurückhaltend darf man gegen ihre Theorien sein, die ohne Berücksichtigung der psychischen Genese der Homosexualität aufgestellt worden sind. Die Psychoanalyse bietet die Mittel, diese Lücke auszufüllen und die Behauptungen der Homosexuellen der Probe zu unterziehen. Sie hat dieser Aufgabe erst bei einer geringen Zahl von Personen genügen können, aber alle bisher vorgenommenen Untersuchungen brachten das nämliche überraschende Ergebnis </w:t>
      </w:r>
      <w:hyperlink r:id="rId1527"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Es sind dies vornehmlich Untersuchungen von I. Sadger, die ich aus eigener Erfahrung im wesentlichen bestätigen kann. Überdies ist mir bekannt, daß W. Stekel in Wien und S. Ferenczi in Budapest zu den gleichen Resultaten gekommen sind.</w:t>
        </w:r>
      </w:hyperlink>
      <w:r w:rsidRPr="00B03603">
        <w:rPr>
          <w:rFonts w:ascii="Garamond" w:hAnsi="Garamond" w:cs="Arial"/>
          <w:color w:val="000000"/>
          <w:lang w:val="en-GB"/>
        </w:rPr>
        <w:t xml:space="preserve">. Bei allen unseren homosexuellen Männern gab es in der ersten, vom Individuum später vergessenen Kindheit eine sehr intensive erotische Bindung an eine weibliche Person, in der Regel an die Mutter, hervorgerufen oder begünstigt durch die Überzärtlichkeit der Mutter selbst, ferner unterstützt durch ein Zurücktreten des Vaters im kindlichen Leben. Sadger hebt hervor, daß die Mütter seiner homosexuellen Patienten häufig Mannweiber waren, Frauen mit energischen Charakterzügen, die den Vater aus der ihm gebührenden Stellung drängen konnten; ich habe gelegentlich das gleiche gesehen, aber stärkeren Eindruck von jenen Fällen empfangen, in denen der Vater von Anfang an fehlte oder frühzeitig wegfiel, so daß der Knabe dem weiblichen Einfluß preisgegeben war. Sieht es doch fast so aus, als ob das Vorhandensein eines starken Vaters dem Sohne die richtige Entscheidung in der Objektwahl für das entgegengesetzte Geschlecht versichern würde </w:t>
      </w:r>
      <w:hyperlink r:id="rId1528"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Die psychoanalytische Forschung hat zum Verständnis der Homosexualität zwei jedem Zweifel entzogene Tatsachen beigebracht, ohne damit die Verursachung dieser sexuellen Abirrung erschöpft zu glauben. Die erste ist die oben erwähnte Fixierung der Liebesbedürfnisse an die Mutter, die andere ist in der Behauptung ausgedrückt, daß jedermann, auch der Normalste, der homosexuellen Objektwahl fähig ist, sie irgendeinmal im Leben vollzogen hat und sie in seinem Unbewußten entweder noch festhält oder sich durch energische Gegeneinstellungen gegen sie versichert. Diese beiden Feststellungen machen sowohl dem Anspruch der Homosexuellen, als ein »drittes Geschlecht« anerkannt zu werden, als auch der für bedeutsam gehaltenen Unterscheidung zwischen angeborener und erworbener Homosexualität ein Ende. Das Vorhandensein von somatischen Zügen des anderen Geschlechts (der Betrag von physischem Hermaphroditismus) ist für das Manifestwerden der homosexuellen Objektwahl sehr förderlich, aber nicht entscheidend. Man muß es mit Bedauern aussprechen, daß die Vertreter der Homosexuellen in der Wissenschaft aus den gesicherten Ermittlungen der Psychoanalyse nichts zu lernen verstanden.</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Nach diesem Vorstadium tritt eine Umwandlung ein, deren Mechanismus uns bekannt ist, deren treibende Kräfte wir noch nicht erfassen. Die Liebe zur Mutter kann die weitere bewußte Entwicklung nicht mitmachen, sie verfällt der Verdrängung. Der Knabe verdrängt die Liebe zur Mutter, indem er sich selbst an deren Stelle setzt, sich mit der Mutter identifiziert und seine eigene Person zum Vorbild nimmt, in dessen Ähnlichkeit er seine neuen Liebesobjekte auswählt. Er ist so homosexuell geworden; eigentlich ist er in den Autoerotismus zurückgeglitten, da die Knaben, die der Heranwachsende jetzt liebt, doch nur Ersatzpersonen und Erneuerungen seiner eigenen kindlichen Person sind, die er so liebt, wie die Mutter ihn als Kind geliebt hat. Wir sagen, er findet seine Liebesobjekte auf dem Wege des </w:t>
      </w:r>
      <w:r w:rsidRPr="00B03603">
        <w:rPr>
          <w:rFonts w:ascii="Garamond" w:hAnsi="Garamond" w:cs="Arial"/>
          <w:i/>
          <w:iCs/>
          <w:color w:val="000000"/>
          <w:lang w:val="en-GB"/>
        </w:rPr>
        <w:t>Narzißmus</w:t>
      </w:r>
      <w:r w:rsidRPr="00B03603">
        <w:rPr>
          <w:rFonts w:ascii="Garamond" w:hAnsi="Garamond" w:cs="Arial"/>
          <w:color w:val="000000"/>
          <w:lang w:val="en-GB"/>
        </w:rPr>
        <w:t xml:space="preserve">, da die </w:t>
      </w:r>
      <w:r w:rsidRPr="00B03603">
        <w:rPr>
          <w:rFonts w:ascii="Garamond" w:hAnsi="Garamond" w:cs="Arial"/>
          <w:color w:val="000000"/>
          <w:lang w:val="en-GB"/>
        </w:rPr>
        <w:lastRenderedPageBreak/>
        <w:t>griechische Sage einen Jüngling Narzissus nennt, dem nichts so wohl gefiel wie das eigene Spiegelbild und der in die schöne Blume dieses Namens verwandelt wurde.</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Tieferreichende psychologische Erwägungen rechtfertigen die Behauptung, daß der auf solchem Wege homosexuell Gewordene im Unbewußten an das Erinnerungsbild seiner Mutter fixiert bleibt. Durch die Verdrängung der Liebe zur Mutter konserviert er dieselbe in seinem Unbewußten und bleibt von nun an der Mutter treu. Wenn er als Liebhaber Knaben nachzulaufen scheint, so läuft er in Wirklichkeit vor den anderen Frauen davon, die ihn untreu machen könnten. Wir haben auch durch direkte Einzelbeobachtung nachweisen können, daß der scheinbar nur für männlichen Reiz Empfängliche in Wahrheit der Anziehung, die vom Weibe ausgeht, unterliegt wie ein Normaler; aber er beeilt sich jedesmal, die vom Weibe empfangene Erregung auf ein männliches Objekt zu überschreiben, und wiederholt auf solche Weise immer wieder den Mechanismus, durch den er seine Homosexualität erworben hat.</w:t>
      </w:r>
    </w:p>
    <w:p w:rsidR="00462409" w:rsidRPr="00B03603" w:rsidRDefault="00462409" w:rsidP="00462409">
      <w:pPr>
        <w:rPr>
          <w:rFonts w:ascii="Garamond" w:hAnsi="Garamond" w:cs="Arial"/>
          <w:color w:val="000000"/>
        </w:rPr>
      </w:pPr>
      <w:r w:rsidRPr="00B03603">
        <w:rPr>
          <w:rFonts w:ascii="Garamond" w:hAnsi="Garamond" w:cs="Arial"/>
          <w:color w:val="000000"/>
        </w:rPr>
        <w:t>Es liegt uns ferne, die Bedeutung dieser Aufklärungen über die psychische Genese der Homosexualität zu übertreiben. Es ist ganz unverkennbar, daß sie den offiziellen Theorien der homosexuellen Wortführer grell widersprechen, aber wir wissen, daß sie nicht umfassend genug sind, um eine endgültige Klärung des Problems zu ermöglichen. Was man aus praktischen Gründen Homosexualität heißt, mag aus mannigfaltigen psychosexuellen Hemmungsprozessen hervorgehen, und der von uns erkannte Vorgang ist vielleicht nur einer unter vielen und bezieht sich nur auf einen Typus von »Homosexualität«. Wir müssen auch zugestehen, daß bei unserem homosexuellen Typus die Anzahl der Fälle, in denen die von uns geforderten Bedingungen aufzeigbar sind, weitaus die jener Fälle übersteigt, in denen der abgeleitete Effekt wirklich eintritt, so daß auch wir die Mitwirkung unbekannter konstitutioneller Faktoren nicht abweisen können, von denen man sonst das Ganze der Homosexualität abzuleiten pflegt. Wir hätten überhaupt keinen Anlaß gehabt, auf die psychische Genese der von uns studierten Form von Homosexualität einzugehen, wenn nicht eine starke Vermutung dafür spräche, daß gerade Leonardo, von dessen Geierphantasie wir ausgegangen sind, diesem einen Typus der Homosexuellen angehört.</w:t>
      </w:r>
    </w:p>
    <w:p w:rsidR="00462409" w:rsidRPr="00B03603" w:rsidRDefault="00462409" w:rsidP="00462409">
      <w:pPr>
        <w:rPr>
          <w:rFonts w:ascii="Garamond" w:hAnsi="Garamond" w:cs="Arial"/>
          <w:color w:val="000000"/>
        </w:rPr>
      </w:pPr>
      <w:r w:rsidRPr="00B03603">
        <w:rPr>
          <w:rFonts w:ascii="Garamond" w:hAnsi="Garamond" w:cs="Arial"/>
          <w:color w:val="000000"/>
        </w:rPr>
        <w:t>So wenig Näheres über das geschlechtliche Verhalten des großen Künstlers und Forschers bekannt ist, so darf man sich doch der Wahrscheinlichkeit anvertrauen, daß die Aussagen seiner Zeitgenossen nicht im gröbsten irregingen. Im Lichte dieser Überlieferungen erscheint er uns also als ein Mann, dessen sexuelle Bedürftigkeit und Aktivität außerordentlich herabgesetzt war, als hätte ein höheres Streben ihn über die gemeine animalische Not der Menschen erhoben. Es mag dahingestellt bleiben, ob er jemals und auf welchem Wege er die direkte sexuelle Befriedigung gesucht oder ob er ihrer gänzlich entraten konnte. Wir haben aber ein Recht, auch bei ihm nach jenen Gefühlsströmungen zu suchen, die andere gebieterisch zur sexuellen Tat drängen, denn wir können kein menschliches Seelenleben glauben, an dessen Aufbau nicht das sexuelle Begehren im weitesten Sinne, die Libido, ihren Anteil hätte, mag dasselbe sich auch weit vom ursprünglichen Ziel entfernt oder von der Ausführung zurückgehalten haben.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Anderes als Spuren von unverwandelter sexueller Neigung werden wir bei Leonardo nicht erwarten dürfen. Diese weisen aber nach einer Richtung und gestatten, ihn noch den Homosexuellen zuzurechnen. Es wurde von jeher hervorgehoben, daß er nur auffällig schöne Knaben und Jünglinge zu seinen Schülern nahm. Er war gütig und nachsichtig gegen sie, besorgte sie und pflegte sie selbst, wenn sie krank waren, wie eine Mutter ihre Kinder pflegt, wie seine eigene Mutter ihn betreut haben mochte. Da er sie nach ihrer Schönheit und nicht nach ihrem Talent ausgewählt hatte, wurde keiner von ihnen: Cesare da Sesto, G. Boltraffio, Andrea Salaino, Francesco Melzi und andere, ein bedeutender Maler. Meist brachten sie es nicht dazu, ihre Selbständigkeit vom Meister zu erringen, sie verschwanden nach seinem Tode, ohne der Kunstgeschichte eine bestimmtere Physiognomie zu hinterlassen. Die anderen, die sich nach ihrem Schaffen mit Recht seine Schüler nennen durften, wie Luini und Bazzi, genannt Sodoma, hat er wahrscheinlich persönlich nicht gekannt.</w:t>
      </w:r>
    </w:p>
    <w:p w:rsidR="00462409" w:rsidRPr="00B03603" w:rsidRDefault="00462409" w:rsidP="00462409">
      <w:pPr>
        <w:rPr>
          <w:rFonts w:ascii="Garamond" w:hAnsi="Garamond" w:cs="Arial"/>
          <w:color w:val="000000"/>
        </w:rPr>
      </w:pPr>
      <w:r w:rsidRPr="00B03603">
        <w:rPr>
          <w:rFonts w:ascii="Garamond" w:hAnsi="Garamond" w:cs="Arial"/>
          <w:color w:val="000000"/>
          <w:lang w:val="en-GB"/>
        </w:rPr>
        <w:lastRenderedPageBreak/>
        <w:t xml:space="preserve">Wir wissen, daß wir der Einwendung zu begegnen haben, das Verhalten Leonardos gegen seine Schüler habe mit geschlechtlichen Motiven überhaupt nichts zu tun und gestatte keinen Schluß auf seine sexuelle Eigenart. Dagegen wollen wir mit aller Vorsicht geltend machen, daß unsere Auffassung einige sonderbare Züge im Benehmen des Meisters aufklärt, die sonst rätselhaft bleiben müßten. Leonardo führte ein Tagebuch; er machte in seiner kleinen, von rechts nach links geführten Schrift Aufzeichnungen, die nur für ihn bestimmt waren. In diesem Tagebuch redete er sich bemerkenswerterweise mit »du« an: »Lerne bei Meister Luca die Multiplikation der Wurzeln.« </w:t>
      </w:r>
      <w:hyperlink r:id="rId1529" w:anchor="#" w:history="1">
        <w:r w:rsidRPr="00B03603">
          <w:rPr>
            <w:rStyle w:val="fusslink"/>
            <w:rFonts w:ascii="Garamond" w:hAnsi="Garamond" w:cs="Arial"/>
            <w:b/>
            <w:bCs/>
            <w:color w:val="003399"/>
          </w:rPr>
          <w:t>[Fußnote]</w:t>
        </w:r>
        <w:r w:rsidRPr="00B03603">
          <w:rPr>
            <w:rStyle w:val="innerfusslink3"/>
            <w:rFonts w:ascii="Garamond" w:hAnsi="Garamond" w:cs="Arial"/>
            <w:b/>
            <w:bCs/>
          </w:rPr>
          <w:t>Solmi (1908, 152).</w:t>
        </w:r>
      </w:hyperlink>
      <w:r w:rsidRPr="00B03603">
        <w:rPr>
          <w:rFonts w:ascii="Garamond" w:hAnsi="Garamond" w:cs="Arial"/>
          <w:color w:val="000000"/>
        </w:rPr>
        <w:t xml:space="preserve"> – »Laß dir vom Meister d'Abacco die Quadratur des Zirkels zeigen.« </w:t>
      </w:r>
      <w:hyperlink r:id="rId1530"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Ibid.</w:t>
        </w:r>
      </w:hyperlink>
      <w:r w:rsidRPr="00B03603">
        <w:rPr>
          <w:rFonts w:ascii="Garamond" w:hAnsi="Garamond" w:cs="Arial"/>
          <w:color w:val="000000"/>
          <w:lang w:val="en-GB"/>
        </w:rPr>
        <w:t xml:space="preserve"> – Oder bei Anlaß einer Reise </w:t>
      </w:r>
      <w:hyperlink r:id="rId1531"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L.c, 203.</w:t>
        </w:r>
      </w:hyperlink>
      <w:r w:rsidRPr="00B03603">
        <w:rPr>
          <w:rFonts w:ascii="Garamond" w:hAnsi="Garamond" w:cs="Arial"/>
          <w:color w:val="000000"/>
          <w:lang w:val="en-GB"/>
        </w:rPr>
        <w:t xml:space="preserve">: »Ich gehe meiner Gartenangelegenheit wegen nach Mailand ... Lasse zwei Tragsäcke machen. Lasse dir die Drechselbank von Boltraffio zeigen und einen Stein darauf bearbeiten. – Lasse das Buch dem Meister Andrea il Todesco.« </w:t>
      </w:r>
      <w:hyperlink r:id="rId1532"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Leonardo benimmt sich dabei wie jemand, der gewöhnt war, einer anderen Person seine tägliche Beichte abzulegen, und der sich jetzt diese Person durch das Tagebuch ersetzt. Eine Vermutung, wer das gewesen sein mag, siehe bei Mereschkowski (1903, 367).</w:t>
        </w:r>
      </w:hyperlink>
      <w:r w:rsidRPr="00B03603">
        <w:rPr>
          <w:rFonts w:ascii="Garamond" w:hAnsi="Garamond" w:cs="Arial"/>
          <w:color w:val="000000"/>
          <w:lang w:val="en-GB"/>
        </w:rPr>
        <w:t xml:space="preserve"> Oder, ein Vorsatz von ganz anderer Bedeutung: »Du hast in deiner Abhandlung zu zeigen, daß die Erde ein Stern ist, wie der Mond oder ungefähr, und so den Adel unserer Welt zu erweisen.« </w:t>
      </w:r>
      <w:hyperlink r:id="rId1533" w:anchor="#" w:history="1">
        <w:r w:rsidRPr="00B03603">
          <w:rPr>
            <w:rStyle w:val="fusslink"/>
            <w:rFonts w:ascii="Garamond" w:hAnsi="Garamond" w:cs="Arial"/>
            <w:b/>
            <w:bCs/>
            <w:color w:val="003399"/>
          </w:rPr>
          <w:t>[Fußnote]</w:t>
        </w:r>
        <w:r w:rsidRPr="00B03603">
          <w:rPr>
            <w:rStyle w:val="innerfusslink3"/>
            <w:rFonts w:ascii="Garamond" w:hAnsi="Garamond" w:cs="Arial"/>
            <w:b/>
            <w:bCs/>
          </w:rPr>
          <w:t>Herzfeld (1906, CXLI).</w:t>
        </w:r>
      </w:hyperlink>
    </w:p>
    <w:p w:rsidR="00462409" w:rsidRPr="00B03603" w:rsidRDefault="00462409" w:rsidP="00462409">
      <w:pPr>
        <w:rPr>
          <w:rFonts w:ascii="Garamond" w:hAnsi="Garamond" w:cs="Arial"/>
          <w:color w:val="000000"/>
          <w:lang w:val="en-GB"/>
        </w:rPr>
      </w:pPr>
      <w:r w:rsidRPr="00B03603">
        <w:rPr>
          <w:rFonts w:ascii="Garamond" w:hAnsi="Garamond" w:cs="Arial"/>
          <w:color w:val="000000"/>
        </w:rPr>
        <w:t xml:space="preserve">In diesem Tagebuch, welches übrigens – wie die Tagebücher anderer Sterblicher – oft die bedeutsamsten Begebenheiten des Tages nur mit wenigen Worten streift oder völlig verschweigt, finden sich einige Eintragungen, die ihrer Sonderbarkeit wegen von allen Biographen Leonardos zitiert werden. Es sind Aufzeichnungen über kleine Ausgaben des Meisters von einer peinlichen Exaktheit, als sollten sie von einem philiströs gestrengen und sparsamen Hausvater herrühren, während die Nachweise über die Verwendung größerer Summen fehlen und nichts sonst dafür spricht, daß der Künstler sich auf Wirtschaft verstanden habe. </w:t>
      </w:r>
      <w:r w:rsidRPr="00B03603">
        <w:rPr>
          <w:rFonts w:ascii="Garamond" w:hAnsi="Garamond" w:cs="Arial"/>
          <w:color w:val="000000"/>
          <w:lang w:val="en-GB"/>
        </w:rPr>
        <w:t>Eine dieser Aufschreibungen betrifft einen neuen Mantel, den er dem Schüler Andrea Salaino gekauft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Der Wortlaut nach Mereschkowski, l. c, 282.:</w:t>
      </w:r>
    </w:p>
    <w:tbl>
      <w:tblPr>
        <w:tblW w:w="0" w:type="auto"/>
        <w:tblCellSpacing w:w="15" w:type="dxa"/>
        <w:tblCellMar>
          <w:top w:w="15" w:type="dxa"/>
          <w:left w:w="15" w:type="dxa"/>
          <w:bottom w:w="15" w:type="dxa"/>
          <w:right w:w="15" w:type="dxa"/>
        </w:tblCellMar>
        <w:tblLook w:val="0000"/>
      </w:tblPr>
      <w:tblGrid>
        <w:gridCol w:w="2153"/>
        <w:gridCol w:w="703"/>
        <w:gridCol w:w="805"/>
      </w:tblGrid>
      <w:tr w:rsidR="00462409" w:rsidRPr="00B03603" w:rsidTr="00A30DD1">
        <w:trPr>
          <w:tblCellSpacing w:w="15" w:type="dxa"/>
        </w:trPr>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Silberbrokat</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15 Lire</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4 Soldi</w:t>
            </w:r>
          </w:p>
        </w:tc>
      </w:tr>
      <w:tr w:rsidR="00462409" w:rsidRPr="00B03603" w:rsidTr="00A30DD1">
        <w:trPr>
          <w:tblCellSpacing w:w="15" w:type="dxa"/>
        </w:trPr>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Roten Samt zum Besatz</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9 Lire</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 Soldi</w:t>
            </w:r>
          </w:p>
        </w:tc>
      </w:tr>
      <w:tr w:rsidR="00462409" w:rsidRPr="00B03603" w:rsidTr="00A30DD1">
        <w:trPr>
          <w:tblCellSpacing w:w="15" w:type="dxa"/>
        </w:trPr>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Schnüre</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 Lire</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9 Soldi</w:t>
            </w:r>
          </w:p>
        </w:tc>
      </w:tr>
      <w:tr w:rsidR="00462409" w:rsidRPr="00B03603" w:rsidTr="00A30DD1">
        <w:trPr>
          <w:tblCellSpacing w:w="15" w:type="dxa"/>
        </w:trPr>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Knöpfe</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 Lire</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12 Soldi</w:t>
            </w:r>
          </w:p>
        </w:tc>
      </w:tr>
    </w:tbl>
    <w:p w:rsidR="00462409" w:rsidRPr="00B03603" w:rsidRDefault="00462409" w:rsidP="00462409">
      <w:pPr>
        <w:rPr>
          <w:rFonts w:ascii="Garamond" w:hAnsi="Garamond" w:cs="Arial"/>
          <w:color w:val="000000"/>
        </w:rPr>
      </w:pPr>
      <w:r w:rsidRPr="00B03603">
        <w:rPr>
          <w:rFonts w:ascii="Garamond" w:hAnsi="Garamond" w:cs="Arial"/>
          <w:color w:val="000000"/>
        </w:rPr>
        <w:t xml:space="preserve">Eine andere sehr ausführliche Notiz stellt alle die Ausgaben zusammen, die ihm ein anderer Schüler </w:t>
      </w:r>
      <w:hyperlink r:id="rId1534" w:anchor="#" w:history="1">
        <w:r w:rsidRPr="00B03603">
          <w:rPr>
            <w:rStyle w:val="fusslink"/>
            <w:rFonts w:ascii="Garamond" w:hAnsi="Garamond" w:cs="Arial"/>
            <w:b/>
            <w:bCs/>
            <w:color w:val="003399"/>
          </w:rPr>
          <w:t>[Fußnote]</w:t>
        </w:r>
        <w:r w:rsidRPr="00B03603">
          <w:rPr>
            <w:rStyle w:val="innerfusslink3"/>
            <w:rFonts w:ascii="Garamond" w:hAnsi="Garamond" w:cs="Arial"/>
            <w:b/>
            <w:bCs/>
          </w:rPr>
          <w:t>oder Modell.</w:t>
        </w:r>
      </w:hyperlink>
      <w:r w:rsidRPr="00B03603">
        <w:rPr>
          <w:rFonts w:ascii="Garamond" w:hAnsi="Garamond" w:cs="Arial"/>
          <w:color w:val="000000"/>
        </w:rPr>
        <w:t xml:space="preserve"> durch seine schlechten Eigenschaften und seine Neigung zum Diebstahl verursacht: »Am Tage 21 des April 1490 begann ich dieses Buch und begann wieder das Pferd </w:t>
      </w:r>
      <w:hyperlink r:id="rId1535" w:anchor="#" w:history="1">
        <w:r w:rsidRPr="00B03603">
          <w:rPr>
            <w:rStyle w:val="fusslink"/>
            <w:rFonts w:ascii="Garamond" w:hAnsi="Garamond" w:cs="Arial"/>
            <w:b/>
            <w:bCs/>
            <w:color w:val="003399"/>
          </w:rPr>
          <w:t>[Fußnote]</w:t>
        </w:r>
        <w:r w:rsidRPr="00B03603">
          <w:rPr>
            <w:rStyle w:val="innerfusslink3"/>
            <w:rFonts w:ascii="Garamond" w:hAnsi="Garamond" w:cs="Arial"/>
            <w:b/>
            <w:bCs/>
          </w:rPr>
          <w:t>Vom Reiterdenkmal des Francesco Sforza.</w:t>
        </w:r>
      </w:hyperlink>
      <w:r w:rsidRPr="00B03603">
        <w:rPr>
          <w:rFonts w:ascii="Garamond" w:hAnsi="Garamond" w:cs="Arial"/>
          <w:color w:val="000000"/>
        </w:rPr>
        <w:t xml:space="preserve">. </w:t>
      </w:r>
      <w:r w:rsidRPr="00B03603">
        <w:rPr>
          <w:rFonts w:ascii="Garamond" w:hAnsi="Garamond" w:cs="Arial"/>
          <w:color w:val="000000"/>
          <w:lang w:val="en-GB"/>
        </w:rPr>
        <w:t xml:space="preserve">Jacomo kam zu mir am Magdalenentage tausend 490, im Alter von 10 Jahren. (Randbemerkung: diebisch, lügnerisch, eigensinnig, gefräßig.) Am zweiten Tage ließ ich ihm zwei Hemden schneiden, ein Paar Hosen und einen Wams, und als ich mir das Geld beiseite legte, um genannte Sachen zu bezahlen, stahl er mir das Geld aus der Geldtasche, und war es nie möglich, ihn das beichten zu machen, obwohl ich davon eine wahre Sicherheit hatte (Randnote: 4 Lire ...).« So geht der Bericht über die Missetaten des Kleinen weiter und schließt mit der Kostenrechnung: »Im ersten Jahr, ein Mantel, Lire 2; 6 Hemden, Lire 4; 3 Wämser, Lire 6; 4 Paar Strümpfe, Lire 7 usw.« </w:t>
      </w:r>
      <w:hyperlink r:id="rId1536" w:anchor="#" w:history="1">
        <w:r w:rsidRPr="00B03603">
          <w:rPr>
            <w:rStyle w:val="fusslink"/>
            <w:rFonts w:ascii="Garamond" w:hAnsi="Garamond" w:cs="Arial"/>
            <w:b/>
            <w:bCs/>
            <w:color w:val="003399"/>
          </w:rPr>
          <w:t>[Fußnote]</w:t>
        </w:r>
        <w:r w:rsidRPr="00B03603">
          <w:rPr>
            <w:rStyle w:val="innerfusslink3"/>
            <w:rFonts w:ascii="Garamond" w:hAnsi="Garamond" w:cs="Arial"/>
            <w:b/>
            <w:bCs/>
          </w:rPr>
          <w:t>Der volle Wortlaut bei Herzfeld (1906, XLV).</w:t>
        </w:r>
      </w:hyperlink>
    </w:p>
    <w:p w:rsidR="00462409" w:rsidRPr="00B03603" w:rsidRDefault="00462409" w:rsidP="00462409">
      <w:pPr>
        <w:rPr>
          <w:rFonts w:ascii="Garamond" w:hAnsi="Garamond" w:cs="Arial"/>
          <w:color w:val="000000"/>
        </w:rPr>
      </w:pPr>
      <w:r w:rsidRPr="00B03603">
        <w:rPr>
          <w:rFonts w:ascii="Garamond" w:hAnsi="Garamond" w:cs="Arial"/>
          <w:color w:val="000000"/>
        </w:rPr>
        <w:t xml:space="preserve">Die Biographen Leonardos, denen nichts ferner liegt, als die Rätsel im Seelenleben ihres Helden aus seinen kleinen Schwächen und Eigenheiten ergründen zu wollen, pflegen an diese sonderbaren </w:t>
      </w:r>
      <w:r w:rsidRPr="00B03603">
        <w:rPr>
          <w:rFonts w:ascii="Garamond" w:hAnsi="Garamond" w:cs="Arial"/>
          <w:color w:val="000000"/>
        </w:rPr>
        <w:lastRenderedPageBreak/>
        <w:t>Verrechnungen eine Bemerkung anzuknüpfen, welche die Güte und Nachsicht des Meisters gegen seine Schüler betont. Sie vergessen daran, daß nicht Leonardos Benehmen, sondern die Tatsache, daß er uns diese Zeugnisse desselben hinterließ, einer Erklärung bedarf. Da man ihm unmöglich das Motiv zuschreiben kann, uns Belege für seine Gutmütigkeit in die Hände zu spielen, müssen wir die Annahme machen, daß ein anderes, affektives Motiv ihn zu diesen Niederschriften veranlaßt hat. Es ist nicht leicht zu erraten, welches, und wir würden keines anzugeben wissen, wenn nicht eine andere unter Leonardos Papieren gefundene Rechnung ein helles Licht auf diese seltsam kleinlichen Notizen über Schülerkleidungen u. dgl. würfe:</w:t>
      </w:r>
    </w:p>
    <w:tbl>
      <w:tblPr>
        <w:tblW w:w="0" w:type="auto"/>
        <w:tblCellSpacing w:w="15" w:type="dxa"/>
        <w:tblCellMar>
          <w:top w:w="15" w:type="dxa"/>
          <w:left w:w="15" w:type="dxa"/>
          <w:bottom w:w="15" w:type="dxa"/>
          <w:right w:w="15" w:type="dxa"/>
        </w:tblCellMar>
        <w:tblLook w:val="0000"/>
      </w:tblPr>
      <w:tblGrid>
        <w:gridCol w:w="3350"/>
        <w:gridCol w:w="484"/>
        <w:gridCol w:w="1045"/>
        <w:gridCol w:w="592"/>
        <w:gridCol w:w="963"/>
      </w:tblGrid>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lang w:val="en-GB"/>
              </w:rPr>
            </w:pPr>
            <w:r w:rsidRPr="00B03603">
              <w:rPr>
                <w:rFonts w:ascii="Garamond" w:hAnsi="Garamond" w:cs="Arial"/>
                <w:color w:val="000000"/>
                <w:lang w:val="en-GB"/>
              </w:rPr>
              <w:t>»Auslagen nach dem Tode zum Begräbnis der Katharina</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27</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florins</w: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rPr>
            </w:pPr>
            <w:r w:rsidRPr="00B03603">
              <w:rPr>
                <w:rFonts w:ascii="Garamond" w:hAnsi="Garamond" w:cs="Arial"/>
                <w:color w:val="000000"/>
              </w:rPr>
              <w:t>2 Pfund Wachs</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18</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rPr>
            </w:pPr>
            <w:r w:rsidRPr="00B03603">
              <w:rPr>
                <w:rFonts w:ascii="Garamond" w:hAnsi="Garamond" w:cs="Arial"/>
                <w:color w:val="000000"/>
              </w:rPr>
              <w:t>Für das Tragen und Aufrichten des Kreuzes</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12</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rPr>
            </w:pPr>
            <w:r w:rsidRPr="00B03603">
              <w:rPr>
                <w:rFonts w:ascii="Garamond" w:hAnsi="Garamond" w:cs="Arial"/>
                <w:color w:val="000000"/>
              </w:rPr>
              <w:t>Katafalk</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4</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rPr>
            </w:pPr>
            <w:r w:rsidRPr="00B03603">
              <w:rPr>
                <w:rFonts w:ascii="Garamond" w:hAnsi="Garamond" w:cs="Arial"/>
                <w:color w:val="000000"/>
              </w:rPr>
              <w:t>Leichenträger</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8</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rPr>
            </w:pPr>
            <w:r w:rsidRPr="00B03603">
              <w:rPr>
                <w:rFonts w:ascii="Garamond" w:hAnsi="Garamond" w:cs="Arial"/>
                <w:color w:val="000000"/>
              </w:rPr>
              <w:t>An 4 Geistliche und 4 Kleriker</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20</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rPr>
            </w:pPr>
            <w:r w:rsidRPr="00B03603">
              <w:rPr>
                <w:rFonts w:ascii="Garamond" w:hAnsi="Garamond" w:cs="Arial"/>
                <w:color w:val="000000"/>
              </w:rPr>
              <w:t>Glockenläuten</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2</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rPr>
            </w:pPr>
            <w:r w:rsidRPr="00B03603">
              <w:rPr>
                <w:rFonts w:ascii="Garamond" w:hAnsi="Garamond" w:cs="Arial"/>
                <w:color w:val="000000"/>
              </w:rPr>
              <w:t>Den Totengräbern</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16</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lang w:val="en-GB"/>
              </w:rPr>
            </w:pPr>
            <w:r w:rsidRPr="00B03603">
              <w:rPr>
                <w:rFonts w:ascii="Garamond" w:hAnsi="Garamond" w:cs="Arial"/>
                <w:color w:val="000000"/>
                <w:lang w:val="en-GB"/>
              </w:rPr>
              <w:t>Für die Genehmigung – den Beamten</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r>
      <w:tr w:rsidR="00462409" w:rsidRPr="00B03603" w:rsidTr="00A30DD1">
        <w:trPr>
          <w:tblCellSpacing w:w="15" w:type="dxa"/>
        </w:trPr>
        <w:tc>
          <w:tcPr>
            <w:tcW w:w="0" w:type="auto"/>
            <w:gridSpan w:val="3"/>
            <w:tcMar>
              <w:top w:w="35" w:type="dxa"/>
              <w:left w:w="35" w:type="dxa"/>
              <w:bottom w:w="35" w:type="dxa"/>
              <w:right w:w="35" w:type="dxa"/>
            </w:tcMar>
          </w:tcPr>
          <w:p w:rsidR="00462409" w:rsidRPr="00B03603" w:rsidRDefault="00462409" w:rsidP="00A30DD1">
            <w:pPr>
              <w:rPr>
                <w:rFonts w:ascii="Garamond" w:hAnsi="Garamond" w:cs="Arial"/>
                <w:color w:val="000000"/>
              </w:rPr>
            </w:pPr>
          </w:p>
        </w:tc>
        <w:tc>
          <w:tcPr>
            <w:tcW w:w="0" w:type="auto"/>
            <w:gridSpan w:val="2"/>
            <w:tcMar>
              <w:top w:w="35" w:type="dxa"/>
              <w:left w:w="35" w:type="dxa"/>
              <w:bottom w:w="35" w:type="dxa"/>
              <w:right w:w="35" w:type="dxa"/>
            </w:tcMar>
          </w:tcPr>
          <w:p w:rsidR="00462409" w:rsidRPr="00B03603" w:rsidRDefault="00B437A1" w:rsidP="00A30DD1">
            <w:pPr>
              <w:rPr>
                <w:rFonts w:ascii="Garamond" w:hAnsi="Garamond" w:cs="Arial"/>
                <w:color w:val="000000"/>
              </w:rPr>
            </w:pPr>
            <w:r w:rsidRPr="00B437A1">
              <w:rPr>
                <w:rFonts w:ascii="Garamond" w:hAnsi="Garamond" w:cs="Arial"/>
                <w:color w:val="000000"/>
              </w:rPr>
              <w:pict>
                <v:rect id="_x0000_i1028" style="width:430.9pt;height:1pt" o:hrpct="950" o:hralign="center" o:hrstd="t" o:hrnoshade="t" o:hr="t" fillcolor="#999" stroked="f"/>
              </w:pic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rPr>
            </w:pPr>
            <w:r w:rsidRPr="00B03603">
              <w:rPr>
                <w:rFonts w:ascii="Garamond" w:hAnsi="Garamond" w:cs="Arial"/>
                <w:color w:val="000000"/>
              </w:rPr>
              <w:t>Summa</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108</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florins</w:t>
            </w:r>
          </w:p>
        </w:tc>
      </w:tr>
      <w:tr w:rsidR="00462409" w:rsidRPr="00B03603" w:rsidTr="00A30DD1">
        <w:trPr>
          <w:tblCellSpacing w:w="15" w:type="dxa"/>
        </w:trPr>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Frühere Auslagen:</w:t>
            </w:r>
          </w:p>
        </w:tc>
        <w:tc>
          <w:tcPr>
            <w:tcW w:w="0" w:type="auto"/>
            <w:vAlign w:val="center"/>
          </w:tcPr>
          <w:p w:rsidR="00462409" w:rsidRPr="00B03603" w:rsidRDefault="00462409" w:rsidP="00A30DD1">
            <w:pPr>
              <w:rPr>
                <w:rFonts w:ascii="Garamond" w:hAnsi="Garamond"/>
              </w:rPr>
            </w:pPr>
          </w:p>
        </w:tc>
        <w:tc>
          <w:tcPr>
            <w:tcW w:w="0" w:type="auto"/>
            <w:vAlign w:val="center"/>
          </w:tcPr>
          <w:p w:rsidR="00462409" w:rsidRPr="00B03603" w:rsidRDefault="00462409" w:rsidP="00A30DD1">
            <w:pPr>
              <w:rPr>
                <w:rFonts w:ascii="Garamond" w:hAnsi="Garamond"/>
              </w:rPr>
            </w:pPr>
          </w:p>
        </w:tc>
        <w:tc>
          <w:tcPr>
            <w:tcW w:w="0" w:type="auto"/>
            <w:vAlign w:val="center"/>
          </w:tcPr>
          <w:p w:rsidR="00462409" w:rsidRPr="00B03603" w:rsidRDefault="00462409" w:rsidP="00A30DD1">
            <w:pPr>
              <w:rPr>
                <w:rFonts w:ascii="Garamond" w:hAnsi="Garamond"/>
              </w:rPr>
            </w:pPr>
          </w:p>
        </w:tc>
        <w:tc>
          <w:tcPr>
            <w:tcW w:w="0" w:type="auto"/>
            <w:vAlign w:val="center"/>
          </w:tcPr>
          <w:p w:rsidR="00462409" w:rsidRPr="00B03603" w:rsidRDefault="00462409" w:rsidP="00A30DD1">
            <w:pPr>
              <w:rPr>
                <w:rFonts w:ascii="Garamond" w:hAnsi="Garamond"/>
              </w:rPr>
            </w:pPr>
          </w:p>
        </w:tc>
      </w:tr>
      <w:tr w:rsidR="00462409" w:rsidRPr="00B03603" w:rsidTr="00A30DD1">
        <w:trPr>
          <w:tblCellSpacing w:w="15" w:type="dxa"/>
        </w:trPr>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Dem Arzt</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4</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florins</w:t>
            </w:r>
          </w:p>
        </w:tc>
        <w:tc>
          <w:tcPr>
            <w:tcW w:w="0" w:type="auto"/>
            <w:vAlign w:val="center"/>
          </w:tcPr>
          <w:p w:rsidR="00462409" w:rsidRPr="00B03603" w:rsidRDefault="00462409" w:rsidP="00A30DD1">
            <w:pPr>
              <w:rPr>
                <w:rFonts w:ascii="Garamond" w:hAnsi="Garamond"/>
              </w:rPr>
            </w:pPr>
          </w:p>
        </w:tc>
        <w:tc>
          <w:tcPr>
            <w:tcW w:w="0" w:type="auto"/>
            <w:vAlign w:val="center"/>
          </w:tcPr>
          <w:p w:rsidR="00462409" w:rsidRPr="00B03603" w:rsidRDefault="00462409" w:rsidP="00A30DD1">
            <w:pPr>
              <w:rPr>
                <w:rFonts w:ascii="Garamond" w:hAnsi="Garamond"/>
              </w:rPr>
            </w:pPr>
          </w:p>
        </w:tc>
      </w:tr>
      <w:tr w:rsidR="00462409" w:rsidRPr="00B03603" w:rsidTr="00A30DD1">
        <w:trPr>
          <w:tblCellSpacing w:w="15" w:type="dxa"/>
        </w:trPr>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Für Zucker und Lichte</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12</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16</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w:t>
            </w:r>
          </w:p>
        </w:tc>
      </w:tr>
      <w:tr w:rsidR="00462409" w:rsidRPr="00B03603" w:rsidTr="00A30DD1">
        <w:trPr>
          <w:tblCellSpacing w:w="15" w:type="dxa"/>
        </w:trPr>
        <w:tc>
          <w:tcPr>
            <w:tcW w:w="0" w:type="auto"/>
            <w:gridSpan w:val="3"/>
            <w:tcMar>
              <w:top w:w="35" w:type="dxa"/>
              <w:left w:w="35" w:type="dxa"/>
              <w:bottom w:w="35" w:type="dxa"/>
              <w:right w:w="35" w:type="dxa"/>
            </w:tcMar>
          </w:tcPr>
          <w:p w:rsidR="00462409" w:rsidRPr="00B03603" w:rsidRDefault="00462409" w:rsidP="00A30DD1">
            <w:pPr>
              <w:rPr>
                <w:rFonts w:ascii="Garamond" w:hAnsi="Garamond" w:cs="Arial"/>
                <w:color w:val="000000"/>
              </w:rPr>
            </w:pPr>
          </w:p>
        </w:tc>
        <w:tc>
          <w:tcPr>
            <w:tcW w:w="0" w:type="auto"/>
            <w:gridSpan w:val="2"/>
            <w:tcMar>
              <w:top w:w="35" w:type="dxa"/>
              <w:left w:w="35" w:type="dxa"/>
              <w:bottom w:w="35" w:type="dxa"/>
              <w:right w:w="35" w:type="dxa"/>
            </w:tcMar>
          </w:tcPr>
          <w:p w:rsidR="00462409" w:rsidRPr="00B03603" w:rsidRDefault="00B437A1" w:rsidP="00A30DD1">
            <w:pPr>
              <w:rPr>
                <w:rFonts w:ascii="Garamond" w:hAnsi="Garamond" w:cs="Arial"/>
                <w:color w:val="000000"/>
              </w:rPr>
            </w:pPr>
            <w:r w:rsidRPr="00B437A1">
              <w:rPr>
                <w:rFonts w:ascii="Garamond" w:hAnsi="Garamond" w:cs="Arial"/>
                <w:color w:val="000000"/>
              </w:rPr>
              <w:pict>
                <v:rect id="_x0000_i1029" style="width:430.9pt;height:1pt" o:hrpct="950" o:hralign="center" o:hrstd="t" o:hrnoshade="t" o:hr="t" fillcolor="#999" stroked="f"/>
              </w:pict>
            </w:r>
          </w:p>
        </w:tc>
      </w:tr>
      <w:tr w:rsidR="00462409" w:rsidRPr="00B03603" w:rsidTr="00A30DD1">
        <w:trPr>
          <w:tblCellSpacing w:w="15" w:type="dxa"/>
        </w:trPr>
        <w:tc>
          <w:tcPr>
            <w:tcW w:w="0" w:type="auto"/>
            <w:gridSpan w:val="3"/>
          </w:tcPr>
          <w:p w:rsidR="00462409" w:rsidRPr="00B03603" w:rsidRDefault="00462409" w:rsidP="00A30DD1">
            <w:pPr>
              <w:rPr>
                <w:rFonts w:ascii="Garamond" w:hAnsi="Garamond" w:cs="Arial"/>
                <w:color w:val="000000"/>
              </w:rPr>
            </w:pPr>
            <w:r w:rsidRPr="00B03603">
              <w:rPr>
                <w:rFonts w:ascii="Garamond" w:hAnsi="Garamond" w:cs="Arial"/>
                <w:color w:val="000000"/>
              </w:rPr>
              <w:t>Summa Summarum</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r w:rsidRPr="00B03603">
              <w:rPr>
                <w:rFonts w:ascii="Garamond" w:hAnsi="Garamond" w:cs="Arial"/>
                <w:color w:val="000000"/>
              </w:rPr>
              <w:t>124</w:t>
            </w:r>
          </w:p>
        </w:tc>
        <w:tc>
          <w:tcPr>
            <w:tcW w:w="0" w:type="auto"/>
            <w:tcMar>
              <w:top w:w="35" w:type="dxa"/>
              <w:left w:w="35" w:type="dxa"/>
              <w:bottom w:w="35" w:type="dxa"/>
              <w:right w:w="35" w:type="dxa"/>
            </w:tcMar>
          </w:tcPr>
          <w:p w:rsidR="00462409" w:rsidRPr="00B03603" w:rsidRDefault="00462409" w:rsidP="00A30DD1">
            <w:pPr>
              <w:rPr>
                <w:rFonts w:ascii="Garamond" w:hAnsi="Garamond" w:cs="Arial"/>
                <w:color w:val="000000"/>
              </w:rPr>
            </w:pPr>
          </w:p>
        </w:tc>
      </w:tr>
    </w:tbl>
    <w:p w:rsidR="00462409" w:rsidRPr="00B03603" w:rsidRDefault="00B437A1" w:rsidP="00462409">
      <w:pPr>
        <w:rPr>
          <w:rFonts w:ascii="Garamond" w:hAnsi="Garamond" w:cs="Arial"/>
          <w:color w:val="000000"/>
          <w:lang w:val="en-GB"/>
        </w:rPr>
      </w:pPr>
      <w:hyperlink r:id="rId1537" w:anchor="#" w:history="1">
        <w:r w:rsidR="00462409" w:rsidRPr="00B03603">
          <w:rPr>
            <w:rStyle w:val="fusslink"/>
            <w:rFonts w:ascii="Garamond" w:hAnsi="Garamond" w:cs="Arial"/>
            <w:b/>
            <w:bCs/>
            <w:color w:val="003399"/>
          </w:rPr>
          <w:t>[Fußnote]</w:t>
        </w:r>
        <w:r w:rsidR="00462409" w:rsidRPr="00B03603">
          <w:rPr>
            <w:rStyle w:val="innerfusslink3"/>
            <w:rFonts w:ascii="Garamond" w:hAnsi="Garamond" w:cs="Arial"/>
            <w:b/>
            <w:bCs/>
          </w:rPr>
          <w:t xml:space="preserve">Mereschkowski (1903, 372). – Als betrübenden Beleg für die Unsicherheit der ohnedies spärlichen Nachrichten über Leonardos intimes Leben erwähne ich, daß die gleiche Kostenrechnung bei Solmi (1908, 104) mit erheblichen Abänderungen wiedergegeben ist. </w:t>
        </w:r>
        <w:r w:rsidR="00462409" w:rsidRPr="00B03603">
          <w:rPr>
            <w:rStyle w:val="innerfusslink3"/>
            <w:rFonts w:ascii="Garamond" w:hAnsi="Garamond" w:cs="Arial"/>
            <w:b/>
            <w:bCs/>
            <w:lang w:val="en-GB"/>
          </w:rPr>
          <w:t>Am bedenklichsten erscheint, daß Florins in ihr durch Soldi ersetzt sind. Man darf annehmen, daß in dieser Rechnung Florins nicht die alten »Goldgulden«, sondern die später gebräuchliche Rechnungsgröße, die 1</w:t>
        </w:r>
        <w:r w:rsidR="00462409" w:rsidRPr="00B03603">
          <w:rPr>
            <w:rStyle w:val="innerfusslink3"/>
            <w:rFonts w:ascii="Arial" w:hAnsi="Arial" w:cs="Arial"/>
            <w:b/>
            <w:bCs/>
            <w:lang w:val="en-GB"/>
          </w:rPr>
          <w:t>⅔</w:t>
        </w:r>
        <w:r w:rsidR="00462409" w:rsidRPr="00B03603">
          <w:rPr>
            <w:rStyle w:val="innerfusslink3"/>
            <w:rFonts w:ascii="Garamond" w:hAnsi="Garamond" w:cs="Arial"/>
            <w:b/>
            <w:bCs/>
            <w:lang w:val="en-GB"/>
          </w:rPr>
          <w:t> Lire oder 33</w:t>
        </w:r>
        <w:r w:rsidR="00462409" w:rsidRPr="00B03603">
          <w:rPr>
            <w:rStyle w:val="innerfusslink3"/>
            <w:rFonts w:ascii="Arial" w:hAnsi="Arial" w:cs="Arial"/>
            <w:b/>
            <w:bCs/>
            <w:lang w:val="en-GB"/>
          </w:rPr>
          <w:t>⅓</w:t>
        </w:r>
        <w:r w:rsidR="00462409" w:rsidRPr="00B03603">
          <w:rPr>
            <w:rStyle w:val="innerfusslink3"/>
            <w:rFonts w:ascii="Garamond" w:hAnsi="Garamond" w:cs="Arial"/>
            <w:b/>
            <w:bCs/>
            <w:lang w:val="en-GB"/>
          </w:rPr>
          <w:t xml:space="preserve"> Soldi gleichkommt, bedeuten. – Solmi macht die Katharina zu einer Magd, die Leonardos Hauswesen durch eine gewisse Zeit geleitet hatte. Die </w:t>
        </w:r>
        <w:r w:rsidR="00462409" w:rsidRPr="00B03603">
          <w:rPr>
            <w:rStyle w:val="innerfusslink3"/>
            <w:rFonts w:ascii="Garamond" w:hAnsi="Garamond" w:cs="Arial"/>
            <w:b/>
            <w:bCs/>
            <w:lang w:val="en-GB"/>
          </w:rPr>
          <w:lastRenderedPageBreak/>
          <w:t>Quelle, aus der die beiden Darstellungen dieser Rechnung geschöpft haben, wurde mir nicht zugänglich.</w:t>
        </w:r>
      </w:hyperlink>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Der Dichter Mereschkowski ist der einzige, der uns zu sagen weiß, wer diese Katharina war. Aus zwei anderen kurzen Notizen erschließt er, daß die Mutter Leonardos, die arme Bäuerin aus Vinci, im Jahre 1493 nach Mailand gekommen war, um ihren damals 41jährigen Sohn zu besuchen, daß sie dort erkrankte, von Leonardo im Spital untergebracht, und als sie starb, von ihm unter so ehrenvollem Aufwand zu Grabe gebracht worden sei </w:t>
      </w:r>
      <w:hyperlink r:id="rId1538"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»Katharina ist am 16. Juli 1493 eingetroffen.« – »Giovannina – ein märchenhaftes Gesicht – frage bei Katharina im Krankenhause nach.«</w:t>
        </w:r>
      </w:hyperlink>
      <w:r w:rsidRPr="00B03603">
        <w:rPr>
          <w:rFonts w:ascii="Garamond" w:hAnsi="Garamond" w:cs="Arial"/>
          <w:color w:val="000000"/>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rPr>
        <w:t xml:space="preserve">Erweisbar ist diese Deutung des seelenkundigen Romanschreibers nicht, aber sie kann auf so viel innere Wahrscheinlichkeit Anspruch machen, stimmt so gut zu allem, was wir sonst von Leonardos Gefühlsbetätigung wissen, daß ich mich nicht enthalten kann, sie als richtig anzuerkennen. Er hatte es zustande gebracht, seine Gefühle unter das Joch der Forschung zu zwingen und den freien Ausdruck derselben zu hemmen; aber es gab auch für ihn Fälle, in denen das Unterdrückte sich eine Äußerung erzwang, und der Tod der einst so heiß geliebten Mutter war ein solcher. In dieser Rechnung über die Begräbniskosten haben wir die bis zur Unkenntlichkeit entstellte Äußerung der Trauer um die Mutter vor uns. Wir verwundern uns, wie solche Entstellung zustande kommen konnte, und können es auch unter den Gesichtspunkten der normalen seelischen Vorgänge nicht verstehen. </w:t>
      </w:r>
      <w:r w:rsidRPr="00B03603">
        <w:rPr>
          <w:rFonts w:ascii="Garamond" w:hAnsi="Garamond" w:cs="Arial"/>
          <w:color w:val="000000"/>
          <w:lang w:val="en-GB"/>
        </w:rPr>
        <w:t xml:space="preserve">Aber unter den abnormen Bedingungen der Neurosen und ganz besonders der sogenannten </w:t>
      </w:r>
      <w:r w:rsidRPr="00B03603">
        <w:rPr>
          <w:rFonts w:ascii="Garamond" w:hAnsi="Garamond" w:cs="Arial"/>
          <w:i/>
          <w:iCs/>
          <w:color w:val="000000"/>
          <w:lang w:val="en-GB"/>
        </w:rPr>
        <w:t>Zwangsneurose</w:t>
      </w:r>
      <w:r w:rsidRPr="00B03603">
        <w:rPr>
          <w:rFonts w:ascii="Garamond" w:hAnsi="Garamond" w:cs="Arial"/>
          <w:color w:val="000000"/>
          <w:lang w:val="en-GB"/>
        </w:rPr>
        <w:t xml:space="preserve"> ist uns ähnliches wohlbekannt. Dort sehen wir die Äußerung intensiver, aber durch Verdrängung unbewußt gewordener Gefühle auf geringfügige, ja läppische Verrichtungen verschoben. Es ist den widerstrebenden Mächten gelungen, den Ausdruck dieser verdrängten Gefühle so sehr zu erniedrigen, daß man die Intensität dieser Gefühle für eine höchst geringfügige einschätzen müßte; aber in dem gebieterischen Zwang, mit dem sich diese kleinliche Ausdruckshandlung durchsetzt, verrät sich die wirkliche, im Unbewußten wurzelnde Macht der Regungen, die das Bewußtsein verleugnen möchte. Nur ein solcher Anklang an das Geschehen bei der Zwangsneurose kann die Leichenkostenrechnung Leonardos beim Tode seiner Mutter erklären. Im Unbewußten war er noch wie in Kinderzeiten durch erotisch gefärbte Neigung an sie gebunden; der Widerstreit der später eingetretenen Verdrängung dieser Kinderliebe gestattete nicht, daß ihr im Tagebuche ein anderes, würdigeres Denkmal gesetzt werde, aber was sich als Kompromiß aus diesem neurotischen Konflikt ergab, das mußte ausgeführt werden, und so wurde die Rechnung eingetragen und kam als Unbegreiflichkeit zur Kenntnis der Nachwelt.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Es scheint kein Wagnis, die an der Leichenrechnung gewonnene Einsicht auf die Schülerkostenrechnungen zu übertragen. Demnach wäre auch dies ein Fall, in dem sich bei Leonardo die spärlichen Reste libidinöser Regungen zwangsartig einen entstellten Ausdruck schufen. Die Mutter und die Schüler, die Ebenbilder seiner eigenen knabenhaften Schönheit, wären seine Sexualobjekte gewesen – soweit die sein Wesen beherrschende Sexualverdrängung eine solche Kennzeichnung zuläßt –, und der Zwang, die für sie gemachten Ausgaben mit peinlicher Ausführlichkeit zu notieren, wäre der befremdliche Verrat dieser rudimentären Konflikte. Es würde sich so ergeben, daß Leonardos Liebesleben wirklich dem Typus von Homosexualität angehört, dessen psychische Entwicklung wir aufdecken konnten, und das Auftreten der homosexuellen Situation in seiner Geierphantasie würde uns verständlich, denn es besagte nichts anderes, als was wir vorhin von jenem Typus behauptet haben. Es erforderte die Übersetzung: Durch diese erotische Beziehung zur Mutter bin ich ein Homosexueller geworden </w:t>
      </w:r>
      <w:hyperlink r:id="rId1539"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Die Ausdrucksformen, in denen sich die verdrängte Libido bei Leonardo äußern darf, Umständlichkeit und Geldinteresse, gehören den aus der Analerotik hervorgegangenen Charakterzügen an. Vgl. ›Charakter und Analerotik‹ (1908  </w:t>
        </w:r>
        <w:r w:rsidRPr="00B03603">
          <w:rPr>
            <w:rStyle w:val="innerfusslink3"/>
            <w:rFonts w:ascii="Garamond" w:hAnsi="Garamond" w:cs="Arial"/>
            <w:b/>
            <w:bCs/>
            <w:i/>
            <w:iCs/>
            <w:lang w:val="en-GB"/>
          </w:rPr>
          <w:t>b)</w:t>
        </w:r>
      </w:hyperlink>
    </w:p>
    <w:p w:rsidR="00462409" w:rsidRDefault="00462409" w:rsidP="00462409">
      <w:pPr>
        <w:rPr>
          <w:rFonts w:ascii="Garamond" w:hAnsi="Garamond" w:cs="Arial"/>
          <w:b/>
          <w:bCs/>
          <w:color w:val="000000"/>
          <w:lang w:val="en-GB"/>
        </w:rPr>
      </w:pPr>
      <w:r>
        <w:rPr>
          <w:rFonts w:ascii="Garamond" w:hAnsi="Garamond" w:cs="Arial"/>
          <w:b/>
          <w:bCs/>
          <w:color w:val="000000"/>
          <w:lang w:val="en-GB"/>
        </w:rPr>
        <w:br w:type="page"/>
      </w:r>
      <w:hyperlink w:anchor="DaVinci_INHALT" w:history="1">
        <w:r w:rsidRPr="00B03603">
          <w:rPr>
            <w:rStyle w:val="Lienhypertexte"/>
            <w:rFonts w:ascii="Garamond" w:hAnsi="Garamond" w:cs="Arial"/>
            <w:b/>
            <w:bCs/>
            <w:lang w:val="en-GB"/>
          </w:rPr>
          <w:t>IV. Ka</w:t>
        </w:r>
        <w:bookmarkStart w:id="332" w:name="DaVinci_4"/>
        <w:bookmarkEnd w:id="332"/>
        <w:r w:rsidRPr="00B03603">
          <w:rPr>
            <w:rStyle w:val="Lienhypertexte"/>
            <w:rFonts w:ascii="Garamond" w:hAnsi="Garamond" w:cs="Arial"/>
            <w:b/>
            <w:bCs/>
            <w:lang w:val="en-GB"/>
          </w:rPr>
          <w:t>pitel</w:t>
        </w:r>
      </w:hyperlink>
      <w:r>
        <w:rPr>
          <w:rFonts w:ascii="Garamond" w:hAnsi="Garamond" w:cs="Arial"/>
          <w:b/>
          <w:bCs/>
          <w:color w:val="000000"/>
          <w:lang w:val="en-GB"/>
        </w:rPr>
        <w:t xml:space="preserve">  </w:t>
      </w:r>
    </w:p>
    <w:p w:rsidR="00462409" w:rsidRPr="00B03603" w:rsidRDefault="00462409" w:rsidP="00462409">
      <w:pPr>
        <w:rPr>
          <w:rFonts w:ascii="Garamond" w:hAnsi="Garamond" w:cs="Arial"/>
          <w:b/>
          <w:bCs/>
          <w:color w:val="000000"/>
          <w:lang w:val="en-GB"/>
        </w:rPr>
      </w:pP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Die Geierphantasie Leonardos hält uns noch immer fest. In Worten, welche nur allzu deutlich an die Beschreibung eines Sexualaktes anklingen (»und hat viele Male mit seinem Schwanz gegen meine Lippen gestoßen«), betont Leonardo die Intensität der erotischen Beziehungen zwischen Mutter und Kind. Es hält nicht schwer, aus dieser Verbindung der Aktivität der Mutter (des Geiers) mit der Hervorhebung der Mundzone einen zweiten Erinnerungsinhalt der Phantasie zu erraten. Wir können übersetzen: Die Mutter hat mir ungezählte leidenschaftliche Küsse auf den Mund gedrückt. Die Phantasie ist zusammengesetzt aus der Erinnerung an das Gesäugtwerden und an das Geküßtwerden durch die Mutter.</w:t>
      </w:r>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Dem Künstler hat eine gütige Natur gegeben, seine geheimsten, ihm selbst verborgenen Seelenregungen durch Schöpfungen zum Ausdruck zu bringen, welche die anderen, dem Künstler Fremden, mächtig ergreifen, ohne daß sie selbst anzugeben wüßten, woher diese Ergriffenheit rührt. Sollte in dem Lebenswerk Leonardos nichts Zeugnis ablegen von dem, was seine Erinnerung als den stärksten Eindruck seiner Kindheit bewahrt hat? Man müßte es erwarten. Wenn man aber erwägt, was für tiefgreifende Umwandlungen ein Lebenseindruck des Künstlers durchzumachen hat, ehe er seinen Beitrag zum Kunstwerk stellen darf, wird man gerade bei Leonardo den Anspruch auf Sicherheit des Nachweises auf ein ganz bescheidenes Maß herabsetzen müssen. Wer an Leonardos Bilder denkt, den wird die Erinnerung an ein merkwürdiges, berückendes und rätselhaftes Lächeln mahnen, das er auf die Lippen seiner weiblichen Figuren gezaubert hat. Ein stehendes Lächeln auf langgezogenen, geschwungenen Lippen; es ist für ihn charakteristisch geworden und wird vorzugsweise »leonardesk« genannt </w:t>
      </w:r>
      <w:hyperlink r:id="rId1540"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Der Kunstkenner wird hier an das eigentümliche starre Lächeln denken, welches die plastischen Werke der archaischen griechischen Kunst, z. B. die Aegineten, zeigen, vielleicht auch an den Figuren von Leonardos Lehrer Verrocchio ähnliches entdecken und darum den nachstehenden Ausführungen nicht ohne Bedenken folgen wollen.</w:t>
        </w:r>
      </w:hyperlink>
      <w:r w:rsidRPr="00B03603">
        <w:rPr>
          <w:rFonts w:ascii="Garamond" w:hAnsi="Garamond" w:cs="Arial"/>
          <w:color w:val="000000"/>
          <w:lang w:val="en-GB"/>
        </w:rPr>
        <w:t xml:space="preserve">. In dem fremdartig schönen Antlitz der Florentinerin Mona Lisa del Giocondo hat es die Beschauer am stärksten ergriffen und in Verwirrung gebracht. </w:t>
      </w:r>
      <w:r w:rsidRPr="00462409">
        <w:rPr>
          <w:rFonts w:ascii="Garamond" w:hAnsi="Garamond" w:cs="Arial"/>
          <w:color w:val="000000"/>
        </w:rPr>
        <w:t xml:space="preserve">Dies Lächeln verlangte nach einer Deutung und fand die verschiedenartigsten, von denen keine befriedigte. » </w:t>
      </w:r>
      <w:r w:rsidRPr="00B03603">
        <w:rPr>
          <w:rFonts w:ascii="Garamond" w:hAnsi="Garamond" w:cs="Arial"/>
          <w:i/>
          <w:iCs/>
          <w:color w:val="000000"/>
        </w:rPr>
        <w:t>Voilà quatre siecles bientôt que Monna Lisa fait perdre la tête à tous ceux qui parlent d'elle, après l'avoir longtemps regardée.</w:t>
      </w:r>
      <w:r w:rsidRPr="00B03603">
        <w:rPr>
          <w:rFonts w:ascii="Garamond" w:hAnsi="Garamond" w:cs="Arial"/>
          <w:color w:val="000000"/>
        </w:rPr>
        <w:t xml:space="preserve">« </w:t>
      </w:r>
      <w:hyperlink r:id="rId1541" w:anchor="#" w:history="1">
        <w:r w:rsidRPr="00B03603">
          <w:rPr>
            <w:rStyle w:val="fusslink"/>
            <w:rFonts w:ascii="Garamond" w:hAnsi="Garamond" w:cs="Arial"/>
            <w:b/>
            <w:bCs/>
            <w:color w:val="003399"/>
          </w:rPr>
          <w:t>[Fußnote]</w:t>
        </w:r>
        <w:r w:rsidRPr="00B03603">
          <w:rPr>
            <w:rStyle w:val="innerfusslink3"/>
            <w:rFonts w:ascii="Garamond" w:hAnsi="Garamond" w:cs="Arial"/>
            <w:b/>
            <w:bCs/>
          </w:rPr>
          <w:t>Gruyer nach v. Seidlitz (1909, Bd. 2, 280).</w:t>
        </w:r>
      </w:hyperlink>
    </w:p>
    <w:p w:rsidR="00462409" w:rsidRPr="00B03603" w:rsidRDefault="00462409" w:rsidP="00462409">
      <w:pPr>
        <w:jc w:val="center"/>
        <w:rPr>
          <w:rFonts w:ascii="Garamond" w:hAnsi="Garamond" w:cs="Arial"/>
          <w:color w:val="000000"/>
        </w:rPr>
      </w:pPr>
      <w:r>
        <w:rPr>
          <w:rFonts w:ascii="Garamond" w:hAnsi="Garamond" w:cs="Arial"/>
          <w:noProof/>
          <w:color w:val="000000"/>
          <w:lang w:eastAsia="fr-FR"/>
        </w:rPr>
        <w:lastRenderedPageBreak/>
        <w:drawing>
          <wp:inline distT="0" distB="0" distL="0" distR="0">
            <wp:extent cx="4381500" cy="6488430"/>
            <wp:effectExtent l="19050" t="0" r="0" b="0"/>
            <wp:docPr id="16" name="Image 7" descr="a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b3"/>
                    <pic:cNvPicPr>
                      <a:picLocks noChangeAspect="1" noChangeArrowheads="1"/>
                    </pic:cNvPicPr>
                  </pic:nvPicPr>
                  <pic:blipFill>
                    <a:blip r:embed="rId1542" cstate="print"/>
                    <a:srcRect/>
                    <a:stretch>
                      <a:fillRect/>
                    </a:stretch>
                  </pic:blipFill>
                  <pic:spPr bwMode="auto">
                    <a:xfrm>
                      <a:off x="0" y="0"/>
                      <a:ext cx="4381500" cy="6488430"/>
                    </a:xfrm>
                    <a:prstGeom prst="rect">
                      <a:avLst/>
                    </a:prstGeom>
                    <a:noFill/>
                    <a:ln w="9525">
                      <a:noFill/>
                      <a:miter lim="800000"/>
                      <a:headEnd/>
                      <a:tailEnd/>
                    </a:ln>
                  </pic:spPr>
                </pic:pic>
              </a:graphicData>
            </a:graphic>
          </wp:inline>
        </w:drawing>
      </w:r>
    </w:p>
    <w:p w:rsidR="00462409" w:rsidRDefault="00462409" w:rsidP="00462409">
      <w:pPr>
        <w:jc w:val="center"/>
        <w:rPr>
          <w:rFonts w:ascii="Garamond" w:hAnsi="Garamond" w:cs="Arial"/>
          <w:color w:val="000000"/>
          <w:lang w:val="en-GB"/>
        </w:rPr>
      </w:pPr>
    </w:p>
    <w:p w:rsidR="00462409" w:rsidRPr="00B03603" w:rsidRDefault="00462409" w:rsidP="00462409">
      <w:pPr>
        <w:jc w:val="center"/>
        <w:rPr>
          <w:rFonts w:ascii="Garamond" w:hAnsi="Garamond" w:cs="Arial"/>
          <w:color w:val="000000"/>
          <w:lang w:val="en-GB"/>
        </w:rPr>
      </w:pPr>
      <w:r w:rsidRPr="00B03603">
        <w:rPr>
          <w:rFonts w:ascii="Garamond" w:hAnsi="Garamond" w:cs="Arial"/>
          <w:color w:val="000000"/>
          <w:lang w:val="en-GB"/>
        </w:rPr>
        <w:t>Leonardo da Vinci: Mona Lisa</w:t>
      </w:r>
    </w:p>
    <w:p w:rsidR="00462409" w:rsidRDefault="00462409" w:rsidP="00462409">
      <w:pPr>
        <w:rPr>
          <w:rFonts w:ascii="Garamond" w:hAnsi="Garamond" w:cs="Arial"/>
          <w:color w:val="000000"/>
          <w:lang w:val="en-GB"/>
        </w:rPr>
      </w:pP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Muther </w:t>
      </w:r>
      <w:hyperlink r:id="rId1543"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(1909, Bd. 1, 314).</w:t>
        </w:r>
      </w:hyperlink>
      <w:r w:rsidRPr="00B03603">
        <w:rPr>
          <w:rFonts w:ascii="Garamond" w:hAnsi="Garamond" w:cs="Arial"/>
          <w:color w:val="000000"/>
          <w:lang w:val="en-GB"/>
        </w:rPr>
        <w:t>: »Was den Betrachter namentlich bannt, ist der dämonische Zauber dieses Lächelns. Hunderte von Dichtern und Schriftstellern haben über dieses Weib geschrieben, das bald verführerisch uns anzulächeln, bald kalt und seelenlos ins Leere zu starren scheint, und niemand hat ihr Lächeln enträtselt, niemand ihre Gedanken gedeutet. Alles, auch die Landschaft ist geheimnisvoll traumhaft, wie in gewitterschwüler Sinnlichkeit zitternd.«</w:t>
      </w:r>
    </w:p>
    <w:p w:rsidR="00462409" w:rsidRPr="00B03603" w:rsidRDefault="00462409" w:rsidP="00462409">
      <w:pPr>
        <w:rPr>
          <w:rFonts w:ascii="Garamond" w:hAnsi="Garamond" w:cs="Arial"/>
          <w:color w:val="000000"/>
        </w:rPr>
      </w:pPr>
      <w:r w:rsidRPr="00B03603">
        <w:rPr>
          <w:rFonts w:ascii="Garamond" w:hAnsi="Garamond" w:cs="Arial"/>
          <w:color w:val="000000"/>
          <w:lang w:val="en-GB"/>
        </w:rPr>
        <w:lastRenderedPageBreak/>
        <w:t xml:space="preserve">Die Ahnung, daß sich in dem Lächeln der Mona Lisa zwei verschiedene Elemente vereinigen, hat sich bei mehreren Beurteilern geregt. Sie erblicken darum in dem Mienenspiel der schönen Florentinerin die vollkommenste Darstellung der Gegensätze, die das Liebesleben des Weibes beherrschen, der Reserve und der Verführung, der hingebungsvollen Zärtlichkeit und der rücksichtslos heischenden, den Mann wie etwas Fremdes verzehrenden Sinnlichkeit. </w:t>
      </w:r>
      <w:r w:rsidRPr="00B03603">
        <w:rPr>
          <w:rFonts w:ascii="Garamond" w:hAnsi="Garamond" w:cs="Arial"/>
          <w:color w:val="000000"/>
        </w:rPr>
        <w:t xml:space="preserve">So äußert Müntz </w:t>
      </w:r>
      <w:hyperlink r:id="rId1544" w:anchor="#" w:history="1">
        <w:r w:rsidRPr="00B03603">
          <w:rPr>
            <w:rStyle w:val="fusslink"/>
            <w:rFonts w:ascii="Garamond" w:hAnsi="Garamond" w:cs="Arial"/>
            <w:b/>
            <w:bCs/>
            <w:color w:val="003399"/>
          </w:rPr>
          <w:t>[Fußnote]</w:t>
        </w:r>
        <w:r w:rsidRPr="00B03603">
          <w:rPr>
            <w:rStyle w:val="innerfusslink3"/>
            <w:rFonts w:ascii="Garamond" w:hAnsi="Garamond" w:cs="Arial"/>
            <w:b/>
            <w:bCs/>
          </w:rPr>
          <w:t>(1899, 417).</w:t>
        </w:r>
      </w:hyperlink>
      <w:r w:rsidRPr="00B03603">
        <w:rPr>
          <w:rFonts w:ascii="Garamond" w:hAnsi="Garamond" w:cs="Arial"/>
          <w:color w:val="000000"/>
        </w:rPr>
        <w:t xml:space="preserve">: » </w:t>
      </w:r>
      <w:r w:rsidRPr="00B03603">
        <w:rPr>
          <w:rFonts w:ascii="Garamond" w:hAnsi="Garamond" w:cs="Arial"/>
          <w:i/>
          <w:iCs/>
          <w:color w:val="000000"/>
        </w:rPr>
        <w:t>On sait quelle énigme indéchiffrable et passionnante Monna Lisa Gioconda ne cesse depuis bientôt quatre siècles, de proposer aux admirateurs pressés devant elle. Jamais artiste (j'emprunte la plume du délicat écrivain qui se cache sous le Pseudonyme de Pierre de Corlay) ›a-t-il traduit ainsi l'essence même de la fémininité: tendresse et coquetterie, pudeur et sourde volupté, tout le mystère d'un cœur qui se réserve, d'un cerveau qui réfléchit, d'une personnalité qui se garde et ne livre d'elle-même que son rayonnement ...‹«</w:t>
      </w:r>
      <w:r w:rsidRPr="00B03603">
        <w:rPr>
          <w:rFonts w:ascii="Garamond" w:hAnsi="Garamond" w:cs="Arial"/>
          <w:color w:val="000000"/>
        </w:rPr>
        <w:t xml:space="preserve"> Der Italiener Angelo Conti </w:t>
      </w:r>
      <w:hyperlink r:id="rId1545" w:anchor="#" w:history="1">
        <w:r w:rsidRPr="00B03603">
          <w:rPr>
            <w:rStyle w:val="fusslink"/>
            <w:rFonts w:ascii="Garamond" w:hAnsi="Garamond" w:cs="Arial"/>
            <w:b/>
            <w:bCs/>
            <w:color w:val="003399"/>
          </w:rPr>
          <w:t>[Fußnote]</w:t>
        </w:r>
        <w:r w:rsidRPr="00B03603">
          <w:rPr>
            <w:rStyle w:val="innerfusslink3"/>
            <w:rFonts w:ascii="Garamond" w:hAnsi="Garamond" w:cs="Arial"/>
            <w:b/>
            <w:bCs/>
          </w:rPr>
          <w:t>(1910, 93).</w:t>
        </w:r>
      </w:hyperlink>
      <w:r w:rsidRPr="00B03603">
        <w:rPr>
          <w:rFonts w:ascii="Garamond" w:hAnsi="Garamond" w:cs="Arial"/>
          <w:color w:val="000000"/>
        </w:rPr>
        <w:t xml:space="preserve"> sieht das Bild im Louvre von einem Sonnenstrahl belebt. » </w:t>
      </w:r>
      <w:r w:rsidRPr="00B03603">
        <w:rPr>
          <w:rFonts w:ascii="Garamond" w:hAnsi="Garamond" w:cs="Arial"/>
          <w:i/>
          <w:iCs/>
          <w:color w:val="000000"/>
        </w:rPr>
        <w:t>La donna sorrideva in una calma regale: i suoi istinti di conquista, di ferocia, tutta l'eredità della specie, la volontà della seduzione e dell' agguato, la grazia del inganno, la bontà che cela un proposito crudele, tutto ciò appariva alternativamente e scompariva dietro il velo ridente e si fondeva nel poema del suo sorriso ... Buona e malvagia, crudele e compassionevole, graziosa e felina, ella rideva ...</w:t>
      </w:r>
      <w:r w:rsidRPr="00B03603">
        <w:rPr>
          <w:rFonts w:ascii="Garamond" w:hAnsi="Garamond" w:cs="Arial"/>
          <w:color w:val="000000"/>
        </w:rPr>
        <w:t>«</w:t>
      </w:r>
    </w:p>
    <w:p w:rsidR="00462409" w:rsidRPr="00B03603" w:rsidRDefault="00462409" w:rsidP="00462409">
      <w:pPr>
        <w:rPr>
          <w:rFonts w:ascii="Garamond" w:hAnsi="Garamond" w:cs="Arial"/>
          <w:color w:val="000000"/>
        </w:rPr>
      </w:pPr>
      <w:r w:rsidRPr="00B03603">
        <w:rPr>
          <w:rFonts w:ascii="Garamond" w:hAnsi="Garamond" w:cs="Arial"/>
          <w:color w:val="000000"/>
        </w:rPr>
        <w:t>Leonardo malte vier Jahre an diesem Bilde, vielleicht von 1503 bis 1507, während seines zweiten Aufenthaltes in Florenz, selbst über 50 Jahre alt. Er wendete nach Vasaris Bericht die ausgesuchtesten Künste an, um die Dame während der Sitzungen zu zerstreuen und jenes Lächeln auf ihren Zügen festzuhalten. Von all den Feinheiten, die sein Pinsel damals auf der Leinwand wiedergab, hat das Bild in seinem heutigen Zustand wenig nur bewahrt; es galt, als es im Entstehen war, als das höchste, was die Kunst leisten könnte; sicher ist aber, daß es Leonardo selbst nicht befriedigte, daß er es für nicht vollendet erklärte, dem Besteller nicht ablieferte und mit sich nach Frankreich nahm, wo sein Beschützer Franz I. es von ihm für das Louvre erwarb.</w:t>
      </w:r>
    </w:p>
    <w:p w:rsidR="00462409" w:rsidRPr="00B03603" w:rsidRDefault="00462409" w:rsidP="00462409">
      <w:pPr>
        <w:rPr>
          <w:rFonts w:ascii="Garamond" w:hAnsi="Garamond" w:cs="Arial"/>
          <w:color w:val="000000"/>
          <w:lang w:val="en-GB"/>
        </w:rPr>
      </w:pPr>
      <w:r w:rsidRPr="00B03603">
        <w:rPr>
          <w:rFonts w:ascii="Garamond" w:hAnsi="Garamond" w:cs="Arial"/>
          <w:color w:val="000000"/>
        </w:rPr>
        <w:t xml:space="preserve">Lassen wir das physiognomische Rätsel der Mona Lisa ungelöst und verzeichnen wir die unzweifelhafte Tatsache, daß ihr Lächeln den Künstler nicht minder stark fasziniert hat als alle die Beschauer seit 400 Jahren. Dies berückende Lächeln kehrt seitdem auf allen seinen Bildern und denen seiner Schüler wieder. Da die Mona Lisa Leonardos ein Porträt ist, können wir nicht annehmen, er habe ihrem Angesicht aus eigenem einen so ausdrucksschweren Zug geliehen, den sie selbst nicht besaß. Es scheint, wir können kaum anders als glauben, daß er dies Lächeln bei seinem Modell fand und so sehr unter dessen Zauber geriet, daß er von da an die freien Schöpfungen seiner Phantasie mit ihm ausstattete. </w:t>
      </w:r>
      <w:r w:rsidRPr="00B03603">
        <w:rPr>
          <w:rFonts w:ascii="Garamond" w:hAnsi="Garamond" w:cs="Arial"/>
          <w:color w:val="000000"/>
          <w:lang w:val="en-GB"/>
        </w:rPr>
        <w:t xml:space="preserve">Dieser naheliegenden Auffassung gibt zum Beispiel A. Konstantinowa </w:t>
      </w:r>
      <w:hyperlink r:id="rId1546"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(1907, 44)</w:t>
        </w:r>
      </w:hyperlink>
      <w:r w:rsidRPr="00B03603">
        <w:rPr>
          <w:rFonts w:ascii="Garamond" w:hAnsi="Garamond" w:cs="Arial"/>
          <w:color w:val="000000"/>
          <w:lang w:val="en-GB"/>
        </w:rPr>
        <w:t xml:space="preserve"> Ausdruck:</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»Während der langen Zeit, in welcher sich der Meister mit dem Porträt der Mona Lisa del Giocondo beschäftigte, hatte er sich mit solcher Teilnahme des Gefühls in die physiognomischen Feinheiten dieses Frauenantlitzes hineingelebt, daß er diese Züge – besonders das geheimnisvolle Lächeln und den seltsamen Blick – auf alle Gesichter übertrug, welche er in der Folge malte oder zeichnete; die mimische Eigentümlichkeit der Gioconda kann selbst auf dem Bilde Johannes des Täufers im Louvre wahrgenommen werden; – vor allem aber sind sie in Marias Gesichtszügen auf dem Anna Selbdritt-Bilde deutlich erkennbar.«</w:t>
      </w:r>
    </w:p>
    <w:p w:rsidR="00462409" w:rsidRPr="00B03603" w:rsidRDefault="00462409" w:rsidP="00462409">
      <w:pPr>
        <w:jc w:val="center"/>
        <w:rPr>
          <w:rFonts w:ascii="Garamond" w:hAnsi="Garamond" w:cs="Arial"/>
          <w:color w:val="000000"/>
        </w:rPr>
      </w:pPr>
      <w:r>
        <w:rPr>
          <w:rFonts w:ascii="Garamond" w:hAnsi="Garamond" w:cs="Arial"/>
          <w:noProof/>
          <w:color w:val="000000"/>
          <w:lang w:eastAsia="fr-FR"/>
        </w:rPr>
        <w:lastRenderedPageBreak/>
        <w:drawing>
          <wp:inline distT="0" distB="0" distL="0" distR="0">
            <wp:extent cx="4381500" cy="6744335"/>
            <wp:effectExtent l="19050" t="0" r="0" b="0"/>
            <wp:docPr id="15" name="Image 8" descr="a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b2"/>
                    <pic:cNvPicPr>
                      <a:picLocks noChangeAspect="1" noChangeArrowheads="1"/>
                    </pic:cNvPicPr>
                  </pic:nvPicPr>
                  <pic:blipFill>
                    <a:blip r:embed="rId1547" cstate="print"/>
                    <a:srcRect/>
                    <a:stretch>
                      <a:fillRect/>
                    </a:stretch>
                  </pic:blipFill>
                  <pic:spPr bwMode="auto">
                    <a:xfrm>
                      <a:off x="0" y="0"/>
                      <a:ext cx="4381500" cy="6744335"/>
                    </a:xfrm>
                    <a:prstGeom prst="rect">
                      <a:avLst/>
                    </a:prstGeom>
                    <a:noFill/>
                    <a:ln w="9525">
                      <a:noFill/>
                      <a:miter lim="800000"/>
                      <a:headEnd/>
                      <a:tailEnd/>
                    </a:ln>
                  </pic:spPr>
                </pic:pic>
              </a:graphicData>
            </a:graphic>
          </wp:inline>
        </w:drawing>
      </w:r>
    </w:p>
    <w:p w:rsidR="00462409" w:rsidRDefault="00462409" w:rsidP="00462409">
      <w:pPr>
        <w:rPr>
          <w:rFonts w:ascii="Garamond" w:hAnsi="Garamond" w:cs="Arial"/>
          <w:color w:val="000000"/>
          <w:lang w:val="en-GB"/>
        </w:rPr>
      </w:pPr>
    </w:p>
    <w:p w:rsidR="00462409" w:rsidRPr="00B03603" w:rsidRDefault="00462409" w:rsidP="00462409">
      <w:pPr>
        <w:jc w:val="center"/>
        <w:rPr>
          <w:rFonts w:ascii="Garamond" w:hAnsi="Garamond" w:cs="Arial"/>
          <w:color w:val="000000"/>
          <w:lang w:val="en-GB"/>
        </w:rPr>
      </w:pPr>
      <w:r w:rsidRPr="00B03603">
        <w:rPr>
          <w:rFonts w:ascii="Garamond" w:hAnsi="Garamond" w:cs="Arial"/>
          <w:color w:val="000000"/>
          <w:lang w:val="en-GB"/>
        </w:rPr>
        <w:t>Leonardo da Vinci: Heilige Anna Selbdritt</w:t>
      </w:r>
    </w:p>
    <w:p w:rsidR="00462409" w:rsidRDefault="00462409" w:rsidP="00462409">
      <w:pPr>
        <w:rPr>
          <w:rFonts w:ascii="Garamond" w:hAnsi="Garamond" w:cs="Arial"/>
          <w:color w:val="000000"/>
          <w:lang w:val="en-GB"/>
        </w:rPr>
      </w:pP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Allein es kann auch anders zugegangen sein. Das Bedürfnis nach einer tieferen Begründung jener Anziehung, mit welcher das Lächeln der Gioconda den Künstler ergriff, um ihn nicht mehr freizulassen, hat sich bei mehr als einem seiner Biographen geregt. W. Pater, der in dem Bilde der Mona Lisa die »Verkörperung aller Liebeserfahrung der Kulturmenschheit« sieht und sehr fein »jenes unergründliche Lächeln, welches bei Leonardo stets wie mit etwas Unheilverkündendem verbunden scheint«, behandelt, führt uns auf eine andere Spur, wenn er äußert </w:t>
      </w:r>
      <w:hyperlink r:id="rId1548"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Pater 1906, 157. (Aus dem Englischen.)</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lastRenderedPageBreak/>
        <w:t>»Übrigens ist das Bild ein Porträt. Wir können verfolgen, wie es sich von Kindheit auf in das Gewebe seiner Träume mischt, so daß man, sprächen nicht ausdrückliche Zeugnisse dagegen, glauben möchte, es sei sein endlich gefundenes und verkörpertes Frauenideal ...«</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Etwas ganz Ähnliches hat wohl M. Herzfeld im Sinne, wenn sie ausspricht, in der Mona Lisa habe Leonardo sich selbst begegnet, darum sei es ihm möglich geworden, soviel von seinem eigenen Wesen in das Bild einzutragen, »dessen Züge von jeher in rätselhafter Sympathie in Leonardos Seele gelegen haben.« </w:t>
      </w:r>
      <w:hyperlink r:id="rId1549"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Herzfeld (1906, LXXXVIII).</w:t>
        </w:r>
      </w:hyperlink>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Versuchen wir diese Andeutungen zur Klarheit zu entwickeln. Es mag also so gewesen sein, daß Leonardo vom Lächeln der Mona Lisa gefesselt wurde, weil dieses etwas in ihm aufweckte, was seit langer Zeit in seiner Seele geschlummert hatte, eine alte Erinnerung wahrscheinlich. Diese Erinnerung war bedeutsam genug, um ihn nicht mehr loszulassen, nachdem sie einmal erweckt worden war; er mußte ihr immer wieder neuen Ausdruck geben. Die Versicherung Paters, daß wir verfolgen können, wie sich ein Gesicht wie das der Mona Lisa von Kindheit auf in das Gewebe seiner Träume mischt, scheint glaubwürdig und verdient wörtlich verstanden zu werden.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Vasari erwähnt als seine ersten künstlerischen Versuche » </w:t>
      </w:r>
      <w:r w:rsidRPr="00B03603">
        <w:rPr>
          <w:rFonts w:ascii="Garamond" w:hAnsi="Garamond" w:cs="Arial"/>
          <w:i/>
          <w:iCs/>
          <w:color w:val="000000"/>
          <w:lang w:val="en-GB"/>
        </w:rPr>
        <w:t>teste di femmine, che ridono</w:t>
      </w:r>
      <w:r w:rsidRPr="00B03603">
        <w:rPr>
          <w:rFonts w:ascii="Garamond" w:hAnsi="Garamond" w:cs="Arial"/>
          <w:color w:val="000000"/>
          <w:lang w:val="en-GB"/>
        </w:rPr>
        <w:t xml:space="preserve">« </w:t>
      </w:r>
      <w:hyperlink r:id="rId1550"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Bei Scognamiglio (1900, 32).</w:t>
        </w:r>
      </w:hyperlink>
      <w:r w:rsidRPr="00B03603">
        <w:rPr>
          <w:rFonts w:ascii="Garamond" w:hAnsi="Garamond" w:cs="Arial"/>
          <w:color w:val="000000"/>
          <w:lang w:val="en-GB"/>
        </w:rPr>
        <w:t xml:space="preserve">. Die Stelle, die ganz unverdächtig ist, weil sie nichts erweisen will, lautet vollständiger in deutscher Übersetzung </w:t>
      </w:r>
      <w:hyperlink r:id="rId1551"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Von L. Schorn (1843, Bd. 3, 6).</w:t>
        </w:r>
      </w:hyperlink>
      <w:r w:rsidRPr="00B03603">
        <w:rPr>
          <w:rFonts w:ascii="Garamond" w:hAnsi="Garamond" w:cs="Arial"/>
          <w:color w:val="000000"/>
          <w:lang w:val="en-GB"/>
        </w:rPr>
        <w:t>: »indem er in seiner Jugend einige lachende weibliche Köpfe aus Erde formte, die in Gips vervielfältigt wurden, und einige Kinderköpfe, so schön, als ob sie von Meisterhand gebildet wären ...«</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Wir erfahren also, daß seine Kunstübung mit der Darstellung von zweierlei Objekten begann, die uns an die zweierlei Sexualobjekte mahnen müssen, welche wir aus der Analyse seiner Geierphantasie erschlossen haben. Waren die schönen Kinderköpfe Vervielfältigungen seiner eigenen kindlichen Person, so sind die lächelnden Frauen nichts anderes als Wiederholungen der Caterina, seiner Mutter, und wir beginnen die Möglichkeit zu ahnen, daß seine Mutter das geheimnisvolle Lächeln besessen, das er verloren hatte und das ihn so fesselte, als er es bei der Florentiner Dame wiederfand </w:t>
      </w:r>
      <w:hyperlink r:id="rId1552"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Das nämliche nimmt Mereschkowski an, der doch für Leonardo eine Kindheitsgeschichte imaginiert, welche in den wesentlichen Punkten von unseren, aus der Geierphantasie geschöpften, Ergebnissen abweicht. Wenn aber Leonardo selbst dies Lächeln gezeigt hätte, so hätte die Tradition es wohl kaum unterlassen, uns dies Zusammentreffen zu berichten.</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Das Gemälde Leonardos, welches der Mona Lisa zeitlich am nächsten steht, ist die sogenannte »heilige Anna selbdritt«, die heilige Anna mit Maria und dem Christusknaben. Es zeigt das leonardeske Lächeln in schönster Ausprägung an beiden Frauenköpfen. Es ist nicht zu ermitteln, um wieviel früher oder später als am Porträt der Mona Lisa Leonardo daran zu malen begann. Da beide Arbeiten sich über Jahre erstreckten, darf man wohl annehmen, daß sie den Meister gleichzeitig beschäftigt haben. Zu unserer Erwartung würde es am besten stimmen, wenn gerade die Vertiefung in die Züge der Mona Lisa Leonardo angeregt hätte, die Komposition der heiligen Anna aus seiner Phantasie zu gestalten. Denn wenn das Lächeln der Gioconda die Erinnerung an die Mutter in ihm heraufbeschwor, so verstehen wir, daß es ihn zunächst dazu trieb, eine Verherrlichung der Mütterlichkeit zu schaffen und das Lächeln, das er bei der vornehmen Dame gefunden hatte, der Mutter wiederzugeben. So dürfen wir denn unser Interesse vom Porträt der Mona Lisa auf dies andere, kaum minder schöne Bild, das sich jetzt auch im Louvre befindet, hinübergleiten lassen.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Die heilige Anna mit Tochter und Enkelkind ist ein in der italienischen Malerei selten behandelter Gegenstand; die Darstellung Leonardos weicht jedenfalls weit von allen sonst bekannten ab. Muther sagt </w:t>
      </w:r>
      <w:hyperlink r:id="rId1553"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(1909, Bd. 1, 309).</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rPr>
      </w:pPr>
      <w:r w:rsidRPr="00B03603">
        <w:rPr>
          <w:rFonts w:ascii="Garamond" w:hAnsi="Garamond" w:cs="Arial"/>
          <w:color w:val="000000"/>
          <w:lang w:val="en-GB"/>
        </w:rPr>
        <w:lastRenderedPageBreak/>
        <w:t xml:space="preserve">»Einige Meister, wie Hans Fries, der ältere Holbein und Girolamo dai Libri, ließen Anna neben Maria sitzen und stellten zwischen beide das Kind. Andere, wie Jakob Cornelisz in seinem Berliner Bilde, zeigten im eigentlichen Wortsinn die ›heilige Anna selbdritt‹, das heißt, sie stellten sie dar, wie sie im Arme das kleine Figürchen Marias hält, auf dem das noch kleinere des Christkindes sitzt.« Bei Leonardo sitzt Maria auf dem Schoße ihrer Mutter vorgeneigt und greift mit beiden Armen nach dem Knaben, der mit einem Lämmchen spielt, es wohl ein wenig mißhandelt. Die Großmutter hat den einen unverdeckten Arm in die Hüfte gestemmt und blickt mit seligem Lächeln auf die beiden herab. Die Gruppierung ist gewiß nicht ganz ungezwungen. Aber das Lächeln, welches auf den Lippen beider Frauen spielt, hat, obwohl unverkennbar dasselbe wie im Bilde der Mona Lisa, seinen unheimlichen und rätselhaften Charakter verloren; es drückt Innigkeit und stille Seligkeit aus </w:t>
      </w:r>
      <w:hyperlink r:id="rId1554"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Konstantinowa (1907): »Maria schaut voll Innigkeit zu ihrem Liebling herab, mit einem Lächeln, das an den rätselhaften Ausdruck der Gioconda erinnert«, und anderswo von der Maria: »Um ihre Züge schwebt das Lächeln der Gioconda.«</w:t>
        </w:r>
      </w:hyperlink>
      <w:r w:rsidRPr="00B03603">
        <w:rPr>
          <w:rFonts w:ascii="Garamond" w:hAnsi="Garamond" w:cs="Arial"/>
          <w:color w:val="000000"/>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rPr>
        <w:t xml:space="preserve">Bei einer gewissen Vertiefung in dieses Bild kommt es wie ein plötzliches Verständnis über den Beschauer: Nur Leonardo konnte dieses Bild malen, wie nur er die Geierphantasie dichten konnte. In dieses Bild ist die Synthese seiner Kindheitsgeschichte eingetragen; die Einzelheiten desselben sind aus den allerpersönlichsten Lebenseindrücken Leonardos erklärlich. Im Hause seines Vaters fand er nicht nur die gute Stiefmutter Donna Albiera, sondern auch die Großmutter, Mutter seines Vaters, Monna Lucia, die, wir wollen es annehmen, nicht unzärtlicher gegen ihn war, als Großmütter zu sein pflegen. </w:t>
      </w:r>
      <w:r w:rsidRPr="00B03603">
        <w:rPr>
          <w:rFonts w:ascii="Garamond" w:hAnsi="Garamond" w:cs="Arial"/>
          <w:color w:val="000000"/>
          <w:lang w:val="en-GB"/>
        </w:rPr>
        <w:t xml:space="preserve">Dieser Umstand mochte ihm die Darstellung der von Mutter und Großmutter behüteten Kindheit nahebringen. Ein anderer auffälliger Zug des Bildes gewinnt eine noch größere Bedeutung. Die heilige Anna, die Mutter der Maria und Großmutter des Knaben, die eine Matrone sein müßte, ist hier vielleicht etwas reifer und ernster als die heilige Maria, aber noch als junge Frau von unverwelkter Schönheit gebildet. Leonardo hat in Wirklichkeit dem Knaben zwei Mütter gegeben, eine, die die Arme nach ihm ausstreckt, und eine andere im Hintergrunde, und beide mit dem seligen Lächeln des Mutterglückes ausgestattet. Diese Eigentümlichkeit des Bildes hat nicht verfehlt, die Verwunderung der Autoren zu erregen; Muther meint zum Beispiel, daß Leonardo sich nicht entschließen konnte, Alter, Falten und Runzeln zu malen, und darum auch Anna zu einer Frau von strahlender Schönheit machte. Ob man sich mit dieser Erklärung zufrieden geben kann? Andere haben zur Auskunft gegriffen, die »Gleichaltrigkeit von Mutter und Tochter« überhaupt in Abrede zu stellen </w:t>
      </w:r>
      <w:hyperlink r:id="rId1555"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S. v. Seidlitz (1909, Bd. 2, 274, Anmerkungen).</w:t>
        </w:r>
      </w:hyperlink>
      <w:r w:rsidRPr="00B03603">
        <w:rPr>
          <w:rFonts w:ascii="Garamond" w:hAnsi="Garamond" w:cs="Arial"/>
          <w:color w:val="000000"/>
          <w:lang w:val="en-GB"/>
        </w:rPr>
        <w:t>. Aber der Muthersche Erklärungsversuch genügt wohl für den Beweis, daß der Eindruck von der Verjüngung der heiligen Anna dem Bilde entnommen und nicht durch eine Tendenz vorgetäuscht ist.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Leonardos Kindheit war gerade so merkwürdig gewesen wie dieses Bild. Er hatte zwei Mütter gehabt, die erste seine wahre Mutter, die Catarina, der er im Alter zwischen drei und fünf Jahren entrissen wurde, und eine junge und zärtliche Stiefmutter, die Frau seines Vaters, Donna Albiera. Indem er diese Tatsache seiner Kindheit mit der ersterwähnten, der Anwesenheit von Mutter und Großmutter, zusammenzog, sie zu einer Mischeinheit verdichtete, gestaltete sich ihm die Komposition der heiligen Anna selbdritt. Die mütterliche Gestalt weiter weg vom Knaben, die Großmutter heißt, entspricht nach ihrer Erscheinung und ihrem räumlichen Verhältnis zum Knaben der echten früheren Mutter Caterina. Mit dem seligen Lächeln der heiligen Anna hat der Künstler wohl den Neid verleugnet und überdeckt, den die Unglückliche verspürte, als sie der vornehmeren Rivalin wie früher den Mann, so auch den Sohn abtreten mußte</w:t>
      </w:r>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Versucht man an diesem Bilde die Figuren der Anna und der Maria voneinander abzugrenzen, so gelingt dies nicht ganz leicht. Man möchte sagen, beide sind so ineinander verschmolzen wie schlecht verdichtete Traumgestalten, so daß es an manchen Stellen schwer wird zu sagen, wo Anna aufhört und wo Maria anfängt. Was so vor der kritischen Betrachtung als Fehlleistung, als ein Mangel der Komposition </w:t>
      </w:r>
      <w:r w:rsidRPr="00B03603">
        <w:rPr>
          <w:rFonts w:ascii="Garamond" w:hAnsi="Garamond" w:cs="Arial"/>
          <w:color w:val="000000"/>
          <w:lang w:val="en-GB"/>
        </w:rPr>
        <w:lastRenderedPageBreak/>
        <w:t xml:space="preserve">erscheint, das rechtfertigt sich vor der Analyse durch Hinweis auf seinen geheimen Sinn. </w:t>
      </w:r>
      <w:r w:rsidRPr="00B03603">
        <w:rPr>
          <w:rFonts w:ascii="Garamond" w:hAnsi="Garamond" w:cs="Arial"/>
          <w:color w:val="000000"/>
        </w:rPr>
        <w:t>Die beiden Mütter seiner Kindheit durften dem Künstler zu einer Gestalt zusammenfließen.</w:t>
      </w:r>
    </w:p>
    <w:p w:rsidR="00462409" w:rsidRPr="00B03603" w:rsidRDefault="00462409" w:rsidP="00462409">
      <w:pPr>
        <w:jc w:val="center"/>
        <w:rPr>
          <w:rFonts w:ascii="Garamond" w:hAnsi="Garamond" w:cs="Arial"/>
          <w:color w:val="000000"/>
        </w:rPr>
      </w:pPr>
      <w:r>
        <w:rPr>
          <w:rFonts w:ascii="Garamond" w:hAnsi="Garamond" w:cs="Arial"/>
          <w:noProof/>
          <w:color w:val="000000"/>
          <w:lang w:eastAsia="fr-FR"/>
        </w:rPr>
        <w:drawing>
          <wp:inline distT="0" distB="0" distL="0" distR="0">
            <wp:extent cx="3138170" cy="4154805"/>
            <wp:effectExtent l="19050" t="0" r="5080" b="0"/>
            <wp:docPr id="14" name="Image 9" descr="a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b5"/>
                    <pic:cNvPicPr>
                      <a:picLocks noChangeAspect="1" noChangeArrowheads="1"/>
                    </pic:cNvPicPr>
                  </pic:nvPicPr>
                  <pic:blipFill>
                    <a:blip r:embed="rId1556" cstate="print"/>
                    <a:srcRect/>
                    <a:stretch>
                      <a:fillRect/>
                    </a:stretch>
                  </pic:blipFill>
                  <pic:spPr bwMode="auto">
                    <a:xfrm>
                      <a:off x="0" y="0"/>
                      <a:ext cx="3138170" cy="4154805"/>
                    </a:xfrm>
                    <a:prstGeom prst="rect">
                      <a:avLst/>
                    </a:prstGeom>
                    <a:noFill/>
                    <a:ln w="9525">
                      <a:noFill/>
                      <a:miter lim="800000"/>
                      <a:headEnd/>
                      <a:tailEnd/>
                    </a:ln>
                  </pic:spPr>
                </pic:pic>
              </a:graphicData>
            </a:graphic>
          </wp:inline>
        </w:drawing>
      </w:r>
    </w:p>
    <w:p w:rsidR="00462409" w:rsidRPr="00B03603" w:rsidRDefault="00462409" w:rsidP="00462409">
      <w:pPr>
        <w:rPr>
          <w:rFonts w:ascii="Garamond" w:hAnsi="Garamond" w:cs="Arial"/>
          <w:color w:val="000000"/>
        </w:rPr>
      </w:pPr>
      <w:r w:rsidRPr="00B03603">
        <w:rPr>
          <w:rFonts w:ascii="Garamond" w:hAnsi="Garamond" w:cs="Arial"/>
          <w:color w:val="000000"/>
        </w:rPr>
        <w:t>Es ist dann besonders reizvoll, mit der hl. Anna selbdritt des Louvre den berühmten Londoner Karton zu vergleichen, der eine andere Komposition desselben Stoffes zeigt. Hier sind die beiden Muttergestalten noch inniger miteinander verschmolzen, ihre Abgrenzungen noch unsicherer, so daß Beurteiler, denen jede Bemühung einer Deutung fernelag, sagen mußten, es scheine, »als wüchsen beide Köpfe aus einem Rumpf hervor«.</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Die meisten Autoren stimmen darin überein, diesen Londoner Karton für die frühere Arbeit zu erklären, und verlegen seine Entstehung in die erste Mailänder Zeit Leonardos (vor 1500). Adolf Rosenberg (Monographie 1898) sieht hingegen in der Komposition des Kartons eine spätere – und glücklichere – Gestaltung desselben Vorwurfs und läßt ihn in Anlehnung an Anton Springer selbst nach der Mona Lisa entstanden sein. Zu unseren Erörterungen paßt es durchaus, daß der Karton die weit ältere Schöpfung sein sollte. Es ist auch nicht schwierig sich vorzustellen, wie das Louvrebild aus dem Karton hervorgegangen wäre, während sich für die gegenteilige Wandlung kein Verständnis ergibt. Gehen wir von der Komposition des Kartons aus, so hat Leonardo etwa das Bedürfnis empfunden, die traumhafte Verschmelzung der beiden Frauen, die seiner Kindheitserinnerung entsprach, aufzuheben und die beiden Köpfe voneinander räumlich zu trennen. Dies geschah, indem er Kopf und Oberleib der Maria von der Muttergestalt ablöste und nach abwärts bog. Zur Motivierung dieser Verschiebung mußte das Christuskind vom Schoß weg auf den Boden rücken, und dann blieb kein Platz für den kleinen Johannes, der durch das Lamm ersetzt wurde. –</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An dem Louvrebilde hat Oskar Pfister eine merkwürdige Entdeckung gemacht, der man auf keinen Fall sein Interesse versagen wird, auch wenn man sich ihrer unbedingten Anerkennung nicht geneigt fühlen </w:t>
      </w:r>
      <w:r w:rsidRPr="00B03603">
        <w:rPr>
          <w:rFonts w:ascii="Garamond" w:hAnsi="Garamond" w:cs="Arial"/>
          <w:color w:val="000000"/>
          <w:lang w:val="en-GB"/>
        </w:rPr>
        <w:lastRenderedPageBreak/>
        <w:t xml:space="preserve">sollte. Er hat in der eigentümlich gestalteten und nicht leicht verständlichen Gewandung der Maria die </w:t>
      </w:r>
      <w:r w:rsidRPr="00B03603">
        <w:rPr>
          <w:rFonts w:ascii="Garamond" w:hAnsi="Garamond" w:cs="Arial"/>
          <w:i/>
          <w:iCs/>
          <w:color w:val="000000"/>
          <w:lang w:val="en-GB"/>
        </w:rPr>
        <w:t>Kontur des Geiers</w:t>
      </w:r>
      <w:r w:rsidRPr="00B03603">
        <w:rPr>
          <w:rFonts w:ascii="Garamond" w:hAnsi="Garamond" w:cs="Arial"/>
          <w:color w:val="000000"/>
          <w:lang w:val="en-GB"/>
        </w:rPr>
        <w:t xml:space="preserve"> aufgefunden und deutet sie als </w:t>
      </w:r>
      <w:r w:rsidRPr="00B03603">
        <w:rPr>
          <w:rFonts w:ascii="Garamond" w:hAnsi="Garamond" w:cs="Arial"/>
          <w:i/>
          <w:iCs/>
          <w:color w:val="000000"/>
          <w:lang w:val="en-GB"/>
        </w:rPr>
        <w:t>unbewußtes Vexierbild</w:t>
      </w:r>
      <w:r w:rsidRPr="00B03603">
        <w:rPr>
          <w:rFonts w:ascii="Garamond" w:hAnsi="Garamond" w:cs="Arial"/>
          <w:color w:val="000000"/>
          <w:lang w:val="en-GB"/>
        </w:rPr>
        <w:t>.</w:t>
      </w:r>
    </w:p>
    <w:p w:rsidR="00462409" w:rsidRPr="00B03603" w:rsidRDefault="00462409" w:rsidP="00462409">
      <w:pPr>
        <w:jc w:val="center"/>
        <w:rPr>
          <w:rFonts w:ascii="Garamond" w:hAnsi="Garamond" w:cs="Arial"/>
          <w:color w:val="000000"/>
        </w:rPr>
      </w:pPr>
      <w:r>
        <w:rPr>
          <w:rFonts w:ascii="Garamond" w:hAnsi="Garamond" w:cs="Arial"/>
          <w:noProof/>
          <w:color w:val="000000"/>
          <w:lang w:eastAsia="fr-FR"/>
        </w:rPr>
        <w:drawing>
          <wp:inline distT="0" distB="0" distL="0" distR="0">
            <wp:extent cx="3540760" cy="4645025"/>
            <wp:effectExtent l="19050" t="0" r="2540" b="0"/>
            <wp:docPr id="1" name="Image 10" descr="a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b4"/>
                    <pic:cNvPicPr>
                      <a:picLocks noChangeAspect="1" noChangeArrowheads="1"/>
                    </pic:cNvPicPr>
                  </pic:nvPicPr>
                  <pic:blipFill>
                    <a:blip r:embed="rId1557" cstate="print"/>
                    <a:srcRect/>
                    <a:stretch>
                      <a:fillRect/>
                    </a:stretch>
                  </pic:blipFill>
                  <pic:spPr bwMode="auto">
                    <a:xfrm>
                      <a:off x="0" y="0"/>
                      <a:ext cx="3540760" cy="4645025"/>
                    </a:xfrm>
                    <a:prstGeom prst="rect">
                      <a:avLst/>
                    </a:prstGeom>
                    <a:noFill/>
                    <a:ln w="9525">
                      <a:noFill/>
                      <a:miter lim="800000"/>
                      <a:headEnd/>
                      <a:tailEnd/>
                    </a:ln>
                  </pic:spPr>
                </pic:pic>
              </a:graphicData>
            </a:graphic>
          </wp:inline>
        </w:drawing>
      </w:r>
    </w:p>
    <w:p w:rsidR="00462409" w:rsidRPr="00B03603" w:rsidRDefault="00462409" w:rsidP="00462409">
      <w:pPr>
        <w:rPr>
          <w:rFonts w:ascii="Garamond" w:hAnsi="Garamond" w:cs="Arial"/>
          <w:color w:val="000000"/>
        </w:rPr>
      </w:pPr>
      <w:r w:rsidRPr="00B03603">
        <w:rPr>
          <w:rFonts w:ascii="Garamond" w:hAnsi="Garamond" w:cs="Arial"/>
          <w:color w:val="000000"/>
        </w:rPr>
        <w:t xml:space="preserve">»Auf dem Bilde, das die Mutter des Künstlers darstellt, findet sich nämlich in voller Deutlichkeit </w:t>
      </w:r>
      <w:r w:rsidRPr="00B03603">
        <w:rPr>
          <w:rFonts w:ascii="Garamond" w:hAnsi="Garamond" w:cs="Arial"/>
          <w:i/>
          <w:iCs/>
          <w:color w:val="000000"/>
        </w:rPr>
        <w:t>der Geier, das Symbol der Mütterlichkeit.</w:t>
      </w:r>
    </w:p>
    <w:p w:rsidR="00462409" w:rsidRPr="00B03603" w:rsidRDefault="00462409" w:rsidP="00462409">
      <w:pPr>
        <w:rPr>
          <w:rFonts w:ascii="Garamond" w:hAnsi="Garamond" w:cs="Arial"/>
          <w:color w:val="000000"/>
          <w:lang w:val="en-GB"/>
        </w:rPr>
      </w:pPr>
      <w:r w:rsidRPr="00B03603">
        <w:rPr>
          <w:rFonts w:ascii="Garamond" w:hAnsi="Garamond" w:cs="Arial"/>
          <w:color w:val="000000"/>
        </w:rPr>
        <w:t xml:space="preserve">Man sieht den äußerst charakteristischen Geierkopf, den Hals, den scharfbogigen Ansatz des Rumpfes in dem blauen Tuche, das bei der Hüfte des vorderen Weibes sichtbar wird und sich in der Richtung gegen Schoß und rechtes Knie erstreckt. </w:t>
      </w:r>
      <w:r w:rsidRPr="00B03603">
        <w:rPr>
          <w:rFonts w:ascii="Garamond" w:hAnsi="Garamond" w:cs="Arial"/>
          <w:color w:val="000000"/>
          <w:lang w:val="en-GB"/>
        </w:rPr>
        <w:t>Fast kein Beobachter, dem ich den kleinen Fund vorlegte, konnte sich der Evidenz dieses Vexierbildes entziehen.« (Pfister, 1913, 147.)</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An dieser Stelle wird der Leser gewiß die Mühe nicht scheuen, die dieser Schrift beigegebene Bildbeilage anzuschauen, um die Umrisse des von Pfister gesehenen Geiers in ihm zu suchen. Das blaue Tuch, dessen Ränder das Vexierbild zeichnen, hebt sich in der Reproduktion als lichtgraues Feld vom dunkleren Grund der übrigen Gewandung ab.</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Pfister setzt (l. c, 147) fort: »Die wichtige Frage ist aber nun: Wie weit reicht das Vexierbild? Verfolgen wir das Tuch, das sich so scharf von seiner Umgebung abhebt, von der Mitte des Flügels aus weiter, so bemerken wir, daß es sich einerseits zum Fuß des Weibes senkt, anderseits aber gegen ihre Schulter und das Kind erhebt. Die erstere Partie ergäbe ungefähr Flügel und natürlichen Schweif des Geiers, die letztere einen spitzen Bauch und, besonders wenn wir die strahlenförmigen, den Konturen von Federn ähnlichen Linien beachten, einen ausgebreiteten Vogelschwanz, dessen rechtes Ende </w:t>
      </w:r>
      <w:r w:rsidRPr="00B03603">
        <w:rPr>
          <w:rFonts w:ascii="Garamond" w:hAnsi="Garamond" w:cs="Arial"/>
          <w:i/>
          <w:iCs/>
          <w:color w:val="000000"/>
          <w:lang w:val="en-GB"/>
        </w:rPr>
        <w:t>genau wie in Leonardos, schicksalbedeutendem Kindheitstraum nach dem Munde des Kindes, also eben Leonardos,</w:t>
      </w:r>
      <w:r w:rsidRPr="00B03603">
        <w:rPr>
          <w:rFonts w:ascii="Garamond" w:hAnsi="Garamond" w:cs="Arial"/>
          <w:color w:val="000000"/>
          <w:lang w:val="en-GB"/>
        </w:rPr>
        <w:t xml:space="preserve"> führt.«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lastRenderedPageBreak/>
        <w:t>Der Autor unternimmt es dann, die Deutung noch weiter ins einzelne durchzuführen, und behandelt die Schwierigkeiten, die sich dabei ergeben.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So wären wir von einem anderen Werke Leonardos her zur Bestätigung der Ahnung gekommen, daß das Lächeln der Mona Lisa del Giocondo in dem Manne die Erinnerung an die Mutter seiner ersten Kinderjahre erweckt hatte. Madonnen und vornehme Damen zeigten von da an bei den Malern Italiens die demütige Kopfneigung und das seltsam-selige Lächeln des armen Bauernmädchens Catarina, das der Welt den herrlichen, zum Malen, Forschen und Dulden bestimmten Sohn geboren hatte.</w:t>
      </w:r>
    </w:p>
    <w:p w:rsidR="00462409" w:rsidRPr="00B03603" w:rsidRDefault="00462409" w:rsidP="00462409">
      <w:pPr>
        <w:rPr>
          <w:rFonts w:ascii="Garamond" w:hAnsi="Garamond" w:cs="Arial"/>
          <w:color w:val="000000"/>
          <w:lang w:val="en-GB"/>
        </w:rPr>
      </w:pPr>
      <w:r w:rsidRPr="00462409">
        <w:rPr>
          <w:rFonts w:ascii="Garamond" w:hAnsi="Garamond" w:cs="Arial"/>
          <w:color w:val="000000"/>
          <w:lang w:val="en-GB"/>
        </w:rPr>
        <w:t xml:space="preserve">Wenn es Leonardo gelang, im Angesicht der Mona Lisa den doppelten Sinn wiederzugeben, den dies Lächeln hatte, das Versprechen schrankenloser Zärtlichkeit wie die unheilverkündende Drohung (nach Paters Worten), so war er auch darin dem Inhalte seiner frühesten Erinnerung treugeblieben. </w:t>
      </w:r>
      <w:r w:rsidRPr="00B03603">
        <w:rPr>
          <w:rFonts w:ascii="Garamond" w:hAnsi="Garamond" w:cs="Arial"/>
          <w:color w:val="000000"/>
          <w:lang w:val="en-GB"/>
        </w:rPr>
        <w:t xml:space="preserve">Denn die Zärtlichkeit der Mutter wurde ihm zum Verhängnis, bestimmte sein Schicksal und die Entbehrungen, die seiner warteten. Die Heftigkeit der Liebkosungen, auf die seine Geierphantasie deutet, war nur allzu natürlich; die arme verlassene Mutter mußte all ihre Erinnerungen an genossene Zärtlichkeiten wie ihre Sehnsucht nach neuen in die Mutterliebe einfließen lassen; sie war dazu gedrängt, nicht nur sich dafür zu entschädigen, daß sie keinen Mann, sondern auch das Kind, daß es keinen Vater hatte, der es liebkosen wollte. So nahm sie nach der Art aller unbefriedigten Mütter den kleinen Sohn anstelle ihres Mannes an und raubte ihm durch die allzu frühe Reifung seiner Erotik ein Stück seiner Männlichkeit. Die Liebe der Mutter zum Säugling, den sie nährt und pflegt, ist etwas weit tiefgreifenderes als ihre spätere Affektion für das heranwachsende Kind. Sie ist von der Natur eines vollbefriedigenden Liebesverhältnisses, das nicht nur alle seelischen Wünsche, sondern auch alle körperlichen Bedürfnisse erfüllt, und wenn sie eine der Formen des dem Menschen erreichbaren Glückes darstellt, so rührt dies nicht zum mindesten von der Möglichkeit her, auch langst verdrängte und pervers zu nennende Wunschregungen ohne Vorwurf zu befriedigen </w:t>
      </w:r>
      <w:hyperlink r:id="rId1558"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Vgl. </w:t>
        </w:r>
        <w:r w:rsidRPr="00B03603">
          <w:rPr>
            <w:rStyle w:val="innerfusslink3"/>
            <w:rFonts w:ascii="Garamond" w:hAnsi="Garamond" w:cs="Arial"/>
            <w:b/>
            <w:bCs/>
            <w:i/>
            <w:iCs/>
            <w:lang w:val="en-GB"/>
          </w:rPr>
          <w:t>Drei Abhandlungen zur Sexualtheorie</w:t>
        </w:r>
        <w:r w:rsidRPr="00B03603">
          <w:rPr>
            <w:rStyle w:val="innerfusslink3"/>
            <w:rFonts w:ascii="Garamond" w:hAnsi="Garamond" w:cs="Arial"/>
            <w:b/>
            <w:bCs/>
            <w:lang w:val="en-GB"/>
          </w:rPr>
          <w:t xml:space="preserve"> (1905  </w:t>
        </w:r>
        <w:r w:rsidRPr="00B03603">
          <w:rPr>
            <w:rStyle w:val="innerfusslink3"/>
            <w:rFonts w:ascii="Garamond" w:hAnsi="Garamond" w:cs="Arial"/>
            <w:b/>
            <w:bCs/>
            <w:i/>
            <w:iCs/>
            <w:lang w:val="en-GB"/>
          </w:rPr>
          <w:t>d</w:t>
        </w:r>
        <w:r w:rsidRPr="00B03603">
          <w:rPr>
            <w:rStyle w:val="innerfusslink3"/>
            <w:rFonts w:ascii="Garamond" w:hAnsi="Garamond" w:cs="Arial"/>
            <w:b/>
            <w:bCs/>
            <w:lang w:val="en-GB"/>
          </w:rPr>
          <w:t>).</w:t>
        </w:r>
      </w:hyperlink>
      <w:r w:rsidRPr="00B03603">
        <w:rPr>
          <w:rFonts w:ascii="Garamond" w:hAnsi="Garamond" w:cs="Arial"/>
          <w:color w:val="000000"/>
          <w:lang w:val="en-GB"/>
        </w:rPr>
        <w:t>. In der glücklichsten jungen Ehe verspürt es der Vater, daß das Kind, besonders der kleine Sohn, sein Nebenbuhler geworden ist, und eine tief im Unbewußten wurzelnde Gegnerschaft gegen den Bevorzugten nimmt von daher ihren Ausgang.</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Als Leonardo auf der Höhe seines Lebens jenem selig verzückten Lächeln wieder begegnete, wie es einst den Mund seiner Mutter bei ihren Liebkosungen umspielt hatte, stand er längst unter der Herrschaft einer Hemmung, die ihm verbot, je wieder solche Zärtlichkeiten von Frauenlippen zu begehren. Aber er war Maler geworden, und so bemühte er sich, dieses Lächeln mit dem Pinsel wieder zu erschaffen, und er gab es allen seinen Bildern, ob er sie nun selbst ausführte oder unter seiner Leitung von seinen Schülern ausführen ließ, der Leda, dem Johannes und dem Bacchus. Die beiden letzten sind Abänderungen desselben Typus. Muther sagt: »Aus dem Heuschreckenesser der Bibel hat Leonardo einen Bacchus, einen Apollino gemacht, der, ein rätselhaftes Lächeln auf den Lippen, die weichen Schenkel übereinander geschlagen, uns mit sinnbetörendem Auge anblickt.« Diese Bilder atmen eine Mystik, in deren Geheimnis einzudringen man nicht wagt; man kann es höchstens versuchen, den Anschluß an die früheren Schöpfungen Leonardos herzustellen. Die Gestalten sind wieder mannweiblich, aber nicht mehr im Sinne der Geierphantasie, es sind schöne Jünglinge von weiblicher Zartheit mit weibischen Formen; sie schlagen die Augen nicht nieder, sondern blicken geheimnisvoll triumphierend, als wüßten sie von einem großen Glückserfolg, von dem man schweigen muß; das bekannte berückende Lächeln läßt ahnen, daß es ein Liebesgeheimnis ist. Möglich, daß Leonardo in diesen Gestalten das Unglück seines Liebeslebens verleugnet und künstlerisch überwunden hat, indem er die Wunscherfüllung des von der Mutter betörten Knaben in solch seliger Vereinigung von männlichem und weiblichem Wesen darstellte</w:t>
      </w:r>
    </w:p>
    <w:p w:rsidR="00462409" w:rsidRDefault="00462409" w:rsidP="00462409">
      <w:pPr>
        <w:rPr>
          <w:rFonts w:ascii="Garamond" w:hAnsi="Garamond" w:cs="Arial"/>
          <w:b/>
          <w:bCs/>
          <w:color w:val="000000"/>
          <w:lang w:val="en-GB"/>
        </w:rPr>
      </w:pPr>
      <w:r>
        <w:rPr>
          <w:rFonts w:ascii="Garamond" w:hAnsi="Garamond" w:cs="Arial"/>
          <w:b/>
          <w:bCs/>
          <w:color w:val="000000"/>
          <w:lang w:val="en-GB"/>
        </w:rPr>
        <w:br w:type="page"/>
      </w:r>
      <w:hyperlink w:anchor="DaVinci_INHALT" w:history="1">
        <w:r w:rsidRPr="00B03603">
          <w:rPr>
            <w:rStyle w:val="Lienhypertexte"/>
            <w:rFonts w:ascii="Garamond" w:hAnsi="Garamond" w:cs="Arial"/>
            <w:b/>
            <w:bCs/>
            <w:lang w:val="en-GB"/>
          </w:rPr>
          <w:t>V.  Ka</w:t>
        </w:r>
        <w:bookmarkStart w:id="333" w:name="DaVinci_5"/>
        <w:bookmarkEnd w:id="333"/>
        <w:r w:rsidRPr="00B03603">
          <w:rPr>
            <w:rStyle w:val="Lienhypertexte"/>
            <w:rFonts w:ascii="Garamond" w:hAnsi="Garamond" w:cs="Arial"/>
            <w:b/>
            <w:bCs/>
            <w:lang w:val="en-GB"/>
          </w:rPr>
          <w:t>pitel</w:t>
        </w:r>
      </w:hyperlink>
      <w:r>
        <w:rPr>
          <w:rFonts w:ascii="Garamond" w:hAnsi="Garamond" w:cs="Arial"/>
          <w:b/>
          <w:bCs/>
          <w:color w:val="000000"/>
          <w:lang w:val="en-GB"/>
        </w:rPr>
        <w:t xml:space="preserve">  </w:t>
      </w:r>
    </w:p>
    <w:p w:rsidR="00462409" w:rsidRPr="00B03603" w:rsidRDefault="00462409" w:rsidP="00462409">
      <w:pPr>
        <w:rPr>
          <w:rFonts w:ascii="Garamond" w:hAnsi="Garamond" w:cs="Arial"/>
          <w:b/>
          <w:bCs/>
          <w:color w:val="000000"/>
          <w:lang w:val="en-GB"/>
        </w:rPr>
      </w:pP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Unter den Eintragungen in den Tagebüchern Leonardos findet sich eine, die durch ihren bedeutsamen Inhalt und wegen eines winzigen formalen Fehlers die Aufmerksamkeit des Lesers festhält: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Er schreibt im Juli 1504:</w:t>
      </w:r>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 </w:t>
      </w:r>
      <w:r w:rsidRPr="00B03603">
        <w:rPr>
          <w:rFonts w:ascii="Garamond" w:hAnsi="Garamond" w:cs="Arial"/>
          <w:i/>
          <w:iCs/>
          <w:color w:val="000000"/>
          <w:lang w:val="en-GB"/>
        </w:rPr>
        <w:t xml:space="preserve">Adì 9 di Luglio 1504 mercoledi a ore 7 morì Ser Piero da Vinci, notalio al palazzo del Potestà, mio padre, a ore 7. </w:t>
      </w:r>
      <w:r w:rsidRPr="00B03603">
        <w:rPr>
          <w:rFonts w:ascii="Garamond" w:hAnsi="Garamond" w:cs="Arial"/>
          <w:i/>
          <w:iCs/>
          <w:color w:val="000000"/>
        </w:rPr>
        <w:t>Era d'età d'anni 80, lasciò 10 figlioli maschi e 2 femmine.</w:t>
      </w:r>
      <w:r w:rsidRPr="00B03603">
        <w:rPr>
          <w:rFonts w:ascii="Garamond" w:hAnsi="Garamond" w:cs="Arial"/>
          <w:color w:val="000000"/>
        </w:rPr>
        <w:t xml:space="preserve">« </w:t>
      </w:r>
      <w:hyperlink r:id="rId1559" w:anchor="#" w:history="1">
        <w:r w:rsidRPr="00B03603">
          <w:rPr>
            <w:rStyle w:val="fusslink"/>
            <w:rFonts w:ascii="Garamond" w:hAnsi="Garamond" w:cs="Arial"/>
            <w:b/>
            <w:bCs/>
            <w:color w:val="003399"/>
          </w:rPr>
          <w:t>[Fußnote]</w:t>
        </w:r>
        <w:r w:rsidRPr="00B03603">
          <w:rPr>
            <w:rStyle w:val="innerfusslink3"/>
            <w:rFonts w:ascii="Garamond" w:hAnsi="Garamond" w:cs="Arial"/>
            <w:b/>
            <w:bCs/>
          </w:rPr>
          <w:t>Nach Müntz (1899, 13, Anmerkung).</w:t>
        </w:r>
      </w:hyperlink>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Die Notiz handelt also vom Tode des Vaters Leonardos. Die kleine Irrung in ihrer Form besteht darin, daß die Zeitbestimmung »a ore 7« zweimal wiederholt wird, als hätte Leonardo am Ende des Satzes vergessen, daß er sie zu Anfang bereits hingeschrieben. Es ist nur eine Kleinigkeit, aus der ein anderer als ein Psychoanalytiker nichts machen würde. Vielleicht würde er sie nicht bemerken, und auf sie aufmerksam gemacht, würde er sagen: Das kann in der Zerstreutheit oder im Affekt jedem passieren und hat weiter keine Bedeutung.</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Der Psychoanalytiker denkt anders; ihm ist nichts zu klein als Äußerung verborgener seelischer Vorgänge; er hat längst gelernt, daß solches Vergessen oder Wiederholen bedeutungsvoll ist, und daß man es der »Zerstreutheit« danken muß, wenn sie den Verrat sonst verborgener Regungen gestattet.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Wir werden sagen, auch diese Notiz entspricht, wie die Leichenrechnung der Caterina, die Kostenrechnungen der Schüler, einem Falle, in dem Leonardo die Unterdrückung seiner Affekte mißglückte und das lange Verhohlene sich einen entstellten Ausdruck erzwang. Auch die Form ist eine ähnliche, dieselbe pedantische Genauigkeit, die gleiche Vordringlichkeit der Zahlen </w:t>
      </w:r>
      <w:hyperlink r:id="rId1560"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Von einem größeren Irrtum, den Leonardo in dieser Notiz beging, indem er dem 77jährigen Vater 80 Jahre gab, will ich absehen.</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Wir heißen eine solche Wiederholung eine Perseveration. Sie ist ein ausgezeichnetes Hilfsmittel, um die affektive Betonung anzuzeigen. Man denke zum Beispiel an die Zornesrede des heiligen Petrus gegen seinen unwürdigen Stellvertreter auf Erden in Dantes </w:t>
      </w:r>
      <w:r w:rsidRPr="00B03603">
        <w:rPr>
          <w:rFonts w:ascii="Garamond" w:hAnsi="Garamond" w:cs="Arial"/>
          <w:i/>
          <w:iCs/>
          <w:color w:val="000000"/>
          <w:lang w:val="en-GB"/>
        </w:rPr>
        <w:t>Paradiso</w:t>
      </w:r>
      <w:hyperlink r:id="rId1561"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Canto XXVII, V. 22–25.</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rPr>
      </w:pPr>
      <w:r w:rsidRPr="00B03603">
        <w:rPr>
          <w:rFonts w:ascii="Garamond" w:hAnsi="Garamond" w:cs="Arial"/>
          <w:i/>
          <w:iCs/>
          <w:color w:val="000000"/>
        </w:rPr>
        <w:t xml:space="preserve">»Quegli ch'usurpa in terra il luogo mio, </w:t>
      </w:r>
      <w:r w:rsidRPr="00B03603">
        <w:rPr>
          <w:rFonts w:ascii="Garamond" w:hAnsi="Garamond" w:cs="Arial"/>
          <w:i/>
          <w:iCs/>
          <w:color w:val="000000"/>
        </w:rPr>
        <w:br/>
        <w:t xml:space="preserve">Il luogo mio, il luogo mio, che vaca </w:t>
      </w:r>
      <w:r w:rsidRPr="00B03603">
        <w:rPr>
          <w:rFonts w:ascii="Garamond" w:hAnsi="Garamond" w:cs="Arial"/>
          <w:i/>
          <w:iCs/>
          <w:color w:val="000000"/>
        </w:rPr>
        <w:br/>
        <w:t>Nella presenza del Figliuol di Dio,</w:t>
      </w:r>
    </w:p>
    <w:p w:rsidR="00462409" w:rsidRPr="00B03603" w:rsidRDefault="00462409" w:rsidP="00462409">
      <w:pPr>
        <w:rPr>
          <w:rFonts w:ascii="Garamond" w:hAnsi="Garamond" w:cs="Arial"/>
          <w:color w:val="000000"/>
          <w:lang w:val="en-GB"/>
        </w:rPr>
      </w:pPr>
      <w:r w:rsidRPr="00B03603">
        <w:rPr>
          <w:rFonts w:ascii="Garamond" w:hAnsi="Garamond" w:cs="Arial"/>
          <w:i/>
          <w:iCs/>
          <w:color w:val="000000"/>
          <w:lang w:val="en-GB"/>
        </w:rPr>
        <w:t>Fatto ha del cimiterio mio cloaca.«</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Ohne Leonardos Affekthemmung hätte die Eintragung im Tagebuch etwa lauten können: Heute um 7 Uhr starb mein Vater, Ser Piero da Vinci, mein armer Vater! Aber die Verschiebung der Perseveration auf die gleichgültigste Bestimmung der Todesnachricht, auf die Sterbestunde, raubt der Notiz jedes Pathos und läßt uns gerade noch erkennen, daß hier etwas zu verbergen und zu unterdrücken war.</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Ser Piero da Vinci, Notar und Abkömmling von Notaren, war ein Mann von großer Lebenskraft, der es zu Ansehen und Wohlstand brachte. Er war viermal verheiratet, die beiden ersten Frauen starben ihm kinderlos weg, erst von der dritten erzielte er 1476 den ersten legitimen Sohn, als Leonardo bereits 24 Jahre alt war und das Vaterhaus längst gegen das Atelier seines Meisters Verrocchio vertauscht hatte; mit der vierten und letzten Frau, die er bereits als Fünfziger geheiratet hatte, zeugte er noch neun Söhne und zwei Töchter </w:t>
      </w:r>
      <w:hyperlink r:id="rId1562"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 xml:space="preserve">Es scheint, daß Leonardo in jener Tagebuchstelle sich auch in der </w:t>
        </w:r>
        <w:r w:rsidRPr="00B03603">
          <w:rPr>
            <w:rStyle w:val="innerfusslink3"/>
            <w:rFonts w:ascii="Garamond" w:hAnsi="Garamond" w:cs="Arial"/>
            <w:b/>
            <w:bCs/>
            <w:lang w:val="en-GB"/>
          </w:rPr>
          <w:lastRenderedPageBreak/>
          <w:t>Anzahl seiner Geschwister geirrt hat, was zur anscheinenden Exaktheit derselben in einem merkwürdigen Gegensatze steht.</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Gewiß ist auch dieser Vater für die psychosexuelle Entwicklung Leonardos bedeutsam geworden, und zwar nicht nur negativ, durch seinen Wegfall in den ersten Kinderjahren des Knaben, sondern auch unmittelbar durch seine Gegenwart in dessen späterer Kindheit. Wer als Kind die Mutter begehrt, der kann es nicht vermeiden, sich an die Stelle des Vaters setzen zu wollen, sich in seiner Phantasie mit ihm zu identifizieren und später seine Überwindung zur Lebensaufgabe zu machen. Als Leonardo, noch nicht fünf Jahre alt, ins großväterliche Haus aufgenommen wurde, trat gewiß die junge Stiefmutter Albiera an die Stelle seiner Mutter in seinem Fühlen, und er kam in jenes normal zu nennende Rivalitätsverhältnis zum Vater. Die Entscheidung zur Homosexualität tritt bekanntlich erst in der Nähe der Pubertätsjahre auf. Als diese für Leonardo gefallen war, verlor die Identifizierung mit dem Vater jede Bedeutung für sein Sexualleben, setzte sich aber auf anderen Gebieten von nicht erotischer Betätigung fort. Wir hören, daß er Prunk und schöne Kleider liebte, sich Diener und Pferde hielt, obwohl er nach Vasaris Worten »fast nichts besaß und wenig arbeitete«; wir werden nicht allein seinen Schönheitssinn für diese Vorlieben verantwortlich machen, wir erkennen in ihnen auch den Zwang, den Vater zu kopieren und zu übertreffen. Der Vater war gegen das arme Bauernmädchen der vornehme Herr gewesen, daher verblieb in dem Sohne der Stachel, auch den vornehmen Herrn zu spielen, der Drang » </w:t>
      </w:r>
      <w:r w:rsidRPr="00B03603">
        <w:rPr>
          <w:rFonts w:ascii="Garamond" w:hAnsi="Garamond" w:cs="Arial"/>
          <w:i/>
          <w:iCs/>
          <w:color w:val="000000"/>
          <w:lang w:val="en-GB"/>
        </w:rPr>
        <w:t>to out-herod Herod</w:t>
      </w:r>
      <w:r w:rsidRPr="00B03603">
        <w:rPr>
          <w:rFonts w:ascii="Garamond" w:hAnsi="Garamond" w:cs="Arial"/>
          <w:color w:val="000000"/>
          <w:lang w:val="en-GB"/>
        </w:rPr>
        <w:t>«, dem Vater vorzuhalten, wie erst die richtige Vornehmheit aussehe.</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Wer als Künstler schafft, der fühlt sich gegen seine Werke gewiß auch als Vater. Für Leonardos Schaffen als Maler hatte die Identifizierung mit dem Vater eine verhängnisvolle Folge. Er schuf sie und kümmerte sich nicht mehr um sie, wie sein Vater sich nicht um ihn bekümmert hatte. Die spätere Sorge des Vaters konnte an diesem Zwange nichts ändern, denn dieser leitete sich von den Eindrücken der ersten Kinderjahre ab, und das unbewußt gebliebene Verdrängte ist unkorrigierbar durch spätere Erfahrungen.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Zur Zeit der Renaissance bedurfte jeder Künstler – wie auch noch viel später – eines hohen Herrn und Gönners, eines Padrone, der ihm Aufträge gab, in dessen Händen sein Schicksal ruhte. Leonardo fand seinen Padrone in dem hochstrebenden, prachtliebenden, diplomatisch verschlagenen, aber unsteten und unverläßlichen Lodovico Sforza, zubenannt: </w:t>
      </w:r>
      <w:r w:rsidRPr="00B03603">
        <w:rPr>
          <w:rFonts w:ascii="Garamond" w:hAnsi="Garamond" w:cs="Arial"/>
          <w:i/>
          <w:iCs/>
          <w:color w:val="000000"/>
          <w:lang w:val="en-GB"/>
        </w:rPr>
        <w:t>il Moro</w:t>
      </w:r>
      <w:r w:rsidRPr="00B03603">
        <w:rPr>
          <w:rFonts w:ascii="Garamond" w:hAnsi="Garamond" w:cs="Arial"/>
          <w:color w:val="000000"/>
          <w:lang w:val="en-GB"/>
        </w:rPr>
        <w:t xml:space="preserve">. An seinem Hofe in Mailand verbrachte er die glänzendste Zeit seines Lebens, in seinen Diensten entfaltete er am ungehemmtesten die Schaffenskraft, von der das Abendmahl und das Reiterstandbild des Francesco Sforza Zeugnis ablegten. Er verließ Mailand, ehe die Katastrophe über Lodovico Moro hereinbrach, der als Gefangener in einem französischen Kerker starb. Als die Nachricht vom Schicksal seines Gönners Leonardo erreichte, schrieb er in sein Tagebuch: »Der Herzog verlor sein Land, seinen Besitz, seine Freiheit, und keines der Werke, die er unternommen, wurde zu Ende geführt.« </w:t>
      </w:r>
      <w:hyperlink r:id="rId1563" w:anchor="#" w:history="1">
        <w:r w:rsidRPr="00B03603">
          <w:rPr>
            <w:rStyle w:val="fusslink"/>
            <w:rFonts w:ascii="Garamond" w:hAnsi="Garamond" w:cs="Arial"/>
            <w:b/>
            <w:bCs/>
            <w:color w:val="003399"/>
          </w:rPr>
          <w:t>[Fußnote]</w:t>
        </w:r>
        <w:r w:rsidRPr="00B03603">
          <w:rPr>
            <w:rStyle w:val="innerfusslink3"/>
            <w:rFonts w:ascii="Garamond" w:hAnsi="Garamond" w:cs="Arial"/>
            <w:b/>
            <w:bCs/>
            <w:i/>
            <w:iCs/>
          </w:rPr>
          <w:t>»Il duca perse lo stato e la roba e libertà e nessuna sua Opera si finì per lui.</w:t>
        </w:r>
        <w:r w:rsidRPr="00B03603">
          <w:rPr>
            <w:rStyle w:val="innerfusslink3"/>
            <w:rFonts w:ascii="Garamond" w:hAnsi="Garamond" w:cs="Arial"/>
            <w:b/>
            <w:bCs/>
          </w:rPr>
          <w:t>« – v. Seidlitz (1909, Bd. 2, 270).</w:t>
        </w:r>
      </w:hyperlink>
      <w:r w:rsidRPr="00B03603">
        <w:rPr>
          <w:rFonts w:ascii="Garamond" w:hAnsi="Garamond" w:cs="Arial"/>
          <w:color w:val="000000"/>
        </w:rPr>
        <w:t xml:space="preserve"> Es ist merkwürdig und gewiß nicht bedeutungslos, daß er hier gegen seinen Padrone den nämlichen Vorwurf erhob, den die Nachwelt gegen ihn wenden sollte, als wollte er eine Person aus der Vaterreihe dafür verantwortlich machen, daß er selbst seine Werke unvollendet ließ. </w:t>
      </w:r>
      <w:r w:rsidRPr="00B03603">
        <w:rPr>
          <w:rFonts w:ascii="Garamond" w:hAnsi="Garamond" w:cs="Arial"/>
          <w:color w:val="000000"/>
          <w:lang w:val="en-GB"/>
        </w:rPr>
        <w:t>In Wirklichkeit hatte er auch gegen den Herzog nicht unrecht.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Aber wenn die Nachahmung des Vaters ihn als Künstler schädigte, so war die Auflehnung gegen den Vater die infantile Bedingung seiner vielleicht ebenso großartigen Leistung als Forscher. Er glich, nach dem schönen Gleichnis Mereschkowskis, einem Menschen, der in der Finsternis zu früh erwacht war, während die anderen noch alle schliefen </w:t>
      </w:r>
      <w:hyperlink r:id="rId1564"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(1903, 348).</w:t>
        </w:r>
      </w:hyperlink>
      <w:r w:rsidRPr="00B03603">
        <w:rPr>
          <w:rFonts w:ascii="Garamond" w:hAnsi="Garamond" w:cs="Arial"/>
          <w:color w:val="000000"/>
          <w:lang w:val="en-GB"/>
        </w:rPr>
        <w:t xml:space="preserve">. Er wagte es, den kühnen Satz auszusprechen, der doch die Rechtfertigung jeder freien Forschung enthält: </w:t>
      </w:r>
      <w:r w:rsidRPr="00B03603">
        <w:rPr>
          <w:rFonts w:ascii="Garamond" w:hAnsi="Garamond" w:cs="Arial"/>
          <w:i/>
          <w:iCs/>
          <w:color w:val="000000"/>
          <w:lang w:val="en-GB"/>
        </w:rPr>
        <w:t>Wer im Streite der Meinungen sich auf die Autorität beruft, der arbeitet mit seinem Gedächtnis anstatt mit seinem Verstand</w:t>
      </w:r>
      <w:hyperlink r:id="rId1565"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i/>
            <w:iCs/>
            <w:lang w:val="en-GB"/>
          </w:rPr>
          <w:t>Chi disputa allegando l'autorità non adopra l'ingegno ma piuttosto la memoria</w:t>
        </w:r>
        <w:r w:rsidRPr="00B03603">
          <w:rPr>
            <w:rStyle w:val="innerfusslink3"/>
            <w:rFonts w:ascii="Garamond" w:hAnsi="Garamond" w:cs="Arial"/>
            <w:b/>
            <w:bCs/>
            <w:lang w:val="en-GB"/>
          </w:rPr>
          <w:t>; Solmi (1910, 13).</w:t>
        </w:r>
      </w:hyperlink>
      <w:r w:rsidRPr="00B03603">
        <w:rPr>
          <w:rFonts w:ascii="Garamond" w:hAnsi="Garamond" w:cs="Arial"/>
          <w:color w:val="000000"/>
          <w:lang w:val="en-GB"/>
        </w:rPr>
        <w:t xml:space="preserve">. So wurde der erste moderne Naturforscher, und eine Fülle von Erkenntnissen und Ahnungen belohnte seinen Mut, seit den Zeiten der Griechen als der erste, nur auf Beobachtung und eigenes Urteil gestützt, an die </w:t>
      </w:r>
      <w:r w:rsidRPr="00B03603">
        <w:rPr>
          <w:rFonts w:ascii="Garamond" w:hAnsi="Garamond" w:cs="Arial"/>
          <w:color w:val="000000"/>
          <w:lang w:val="en-GB"/>
        </w:rPr>
        <w:lastRenderedPageBreak/>
        <w:t>Geheimnisse der Natur zu rühren. Aber wenn er die Autorität geringschätzen und die Nachahmung der »Alten« verwerfen lehrte und immer wieder auf das Studium der Natur als auf die Quelle aller Wahrheit hinwies, so wiederholte er nur in der höchsten dem Menschen erreichbaren Sublimierung die Parteinahme, die sich bereits dem kleinen, verwundert in die Welt blickenden Knaben aufgedrängt hatte. Aus der wissenschaftlichen Abstraktion in die konkrete individuelle Erfahrung rückübersetzt, entsprachen die Alten und die Autorität doch nur dem Vater, und die Natur wurde wieder die zärtliche, gütige Mutter, die ihn genährt hatte. Während bei den meisten anderen Menschenkindern – auch noch heute wie in Urzeiten – das Bedürfnis nach dem Anhalt an irgendeine Autorität so gebieterisch ist, daß ihnen die Welt ins Wanken gerät, wenn diese Autorität bedroht wird, konnte Leonardo allein dieser Stütze entbehren; er hätte es nicht können, wenn er nicht in den ersten Lebensjahren gelernt hätte, auf den Vater zu verzichten. Die Kühnheit und Unabhängigkeit seiner späteren wissenschaftlichen Forschung setzt die vom Vater ungehemmte infantile Sexualforschung voraus und setzt sie unter Abwendung vom Sexuellen fort.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Wenn jemand wie Leonardo in seiner ersten Kindheit der Einschüchterung durch den Vater entgangen ist und in seiner Forschung die Fesseln der Autorität abgeworfen hat, so wäre es der grellste Widerspruch gegen unsere Erwartung, wenn wir fänden, daß derselbe Mann ein Gläubiger geblieben ist und es nicht vermocht hat, sich der dogmatischen Religion zu entziehen. Die Psychoanalyse hat uns den intimen Zusammenhang zwischen dem Vaterkomplex und der Gottesgläubigkeit kennengelehrt, hat uns gezeigt, daß der persönliche Gott psychologisch nichts anderes ist als ein erhöhter Vater, und führt uns täglich vor Augen, wie jugendliche Personen den religiösen Glauben verlieren, sobald die Autorität des Vaters bei ihnen zusammenbricht. Im Elternkomplex erkennen wir so die Wurzel des religiösen Bedürfnisses; der allmächtige, gerechte Gott und die gütige Natur erscheinen uns als großartige Sublimierungen von Vater und Mutter, vielmehr als Erneuerungen und Wiederherstellungen der frühkindlichen Vorstellungen von beiden. Die Religiosität führt sich biologisch auf die lang anhaltende Hilflosigkeit und Hilfsbedürftigkeit des kleinen Menschenkindes zurück, welches, wenn es später seine wirkliche Verlassenheit und Schwäche gegen die großen Mächte des Lebens erkannt hat, seine Lage ähnlich wie in der Kindheit empfindet und deren Trostlosigkeit durch die regressive Erneuerung der infantilen Schutzmächte zu verleugnen sucht. Der Schutz gegen neurotische Erkrankung, den die Religion ihren Gläubigen gewährt, erklärt sich leicht daraus, daß sie ihnen den Elternkomplex abnimmt, an dem das Schuldbewußtsein des einzelnen wie der ganzen Menschheit hängt, und ihn für sie erledigt, während der Ungläubige mit dieser Aufgabe allein fertig werden muß.</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Es scheint nicht, daß das Beispiel Leonardos diese Auffassung der religiösen Gläubigkeit des Irrtums überführen könnte. Anklagen, die ihn des Unglaubens, oder, was jener Zeit ebensoviel hieß, des Abfalles vom Christenglauben beschuldigten, regten sich bereits zu seinen Lebzeiten und haben in der ersten Lebensbeschreibung, die Vasari von ihm gab, einen bestimmten Ausdruck gefunden </w:t>
      </w:r>
      <w:hyperlink r:id="rId1566"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Müntz (1899, 292 u. ff.).</w:t>
        </w:r>
      </w:hyperlink>
      <w:r w:rsidRPr="00B03603">
        <w:rPr>
          <w:rFonts w:ascii="Garamond" w:hAnsi="Garamond" w:cs="Arial"/>
          <w:color w:val="000000"/>
          <w:lang w:val="en-GB"/>
        </w:rPr>
        <w:t xml:space="preserve">. In der zweiten Ausgabe seiner </w:t>
      </w:r>
      <w:r w:rsidRPr="00B03603">
        <w:rPr>
          <w:rFonts w:ascii="Garamond" w:hAnsi="Garamond" w:cs="Arial"/>
          <w:i/>
          <w:iCs/>
          <w:color w:val="000000"/>
          <w:lang w:val="en-GB"/>
        </w:rPr>
        <w:t>Vite</w:t>
      </w:r>
      <w:r w:rsidRPr="00B03603">
        <w:rPr>
          <w:rFonts w:ascii="Garamond" w:hAnsi="Garamond" w:cs="Arial"/>
          <w:color w:val="000000"/>
          <w:lang w:val="en-GB"/>
        </w:rPr>
        <w:t xml:space="preserve"> 1568 hat Vasari diese Bemerkungen weggelassen. Uns ist es vollkommen begreiflich, wenn Leonardo angesichts der außerordentlichen Empfindlichkeit seines Zeitalters in religiösen Dingen sich direkter Äußerungen über seine Stellung zum Christentum auch in seinen Aufzeichnungen enthielt. Als Forscher ließ er sich durch die Schöpfungsberichte der Heiligen Schrift nicht im mindesten beirren; er bestritt zum Beispiel die Möglichkeit einer universellen Sündflut und rechnete in der Geologie ebenso unbedenklich wie die Modernen mit Jahrhunderttausenden.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Unter seinen »Prophezeiungen« finden sich so manche, die das Feingefühl eines gläubigen Christen beleidigen müßten, zum Beispiel </w:t>
      </w:r>
      <w:hyperlink r:id="rId1567"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Nach Herzfeld (1906, 292).</w:t>
        </w:r>
      </w:hyperlink>
      <w:r w:rsidRPr="00B03603">
        <w:rPr>
          <w:rFonts w:ascii="Garamond" w:hAnsi="Garamond" w:cs="Arial"/>
          <w:color w:val="000000"/>
          <w:lang w:val="en-GB"/>
        </w:rPr>
        <w: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Die Bilder der Heiligen angebetet.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lastRenderedPageBreak/>
        <w:t>»Es werden die Menschen mit Menschen reden, die nichts vernehmen, welche die Augen offen haben und nicht sehen; sie werden zu diesen reden und keine Antwort bekommen; sie werden Gnaden erbitten von dem, welcher Ohren hat und nicht hört; sie werden Lichter anzünden für den, der blind ist.«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Oder: Vom Klagen am Karfreitag (l. c. 297).</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»In allen Teilen Europas wird von großen Völkerschaften geweint werden um den Tod eines einzigen Mannes, der im Orient gestorben.«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Von Leonardos Kunst hat man geurteilt, daß er den heiligen Gestalten den letzten Rest kirchlicher Gebundenheit benahm und sie ins Menschliche zog, um große und schöne menschliche Empfindungen an ihnen darzustellen. Muther rühmt von ihm, daß er die Dekadenzstimmung überwand und den Menschen das Recht auf Sinnlichkeit und frohen Lebensgenuß wiedergab. In den Aufzeichnungen, welche Leonardo in die Ergründung der großen Naturrätsel vertieft zeigen, fehlt es nicht an Äußerungen der Bewunderung für den Schöpfer, den letzten Grund all dieser herrlichen Geheimnisse, aber nichts deutet darauf hin, daß er eine persönliche Beziehung zu dieser Gottesmacht festhalten wollte. Die Sätze, in welche er die tiefe Weisheit seiner letzten Lebensjahre gelegt hat, atmen die Resignation des Menschen, der sich der ’</w:t>
      </w:r>
      <w:r w:rsidRPr="00B03603">
        <w:rPr>
          <w:rFonts w:ascii="Garamond" w:hAnsi="Garamond" w:cs="Arial"/>
          <w:color w:val="000000"/>
        </w:rPr>
        <w:t>Ανάγκη</w:t>
      </w:r>
      <w:r w:rsidRPr="00B03603">
        <w:rPr>
          <w:rFonts w:ascii="Garamond" w:hAnsi="Garamond" w:cs="Arial"/>
          <w:color w:val="000000"/>
          <w:lang w:val="en-GB"/>
        </w:rPr>
        <w:t>, den Gesetzen der Natur, unterwirft und von der Güte oder Gnade Gottes keine Milderung erwartet. Es ist kaum ein Zweifel, daß Leonardo die dogmatische wie die persönliche Religion überwunden und sich durch seine Forscherarbeit weit von der Weltanschauung des gläubigen Christen entfernt hatte.</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Aus unseren vorhin erwähnten Einsichten in die Entwicklung des kindlichen Seelenlebens wird uns die Annahme nahegelegt, daß auch Leonardos erste Forschungen im Kindesalter sich mit den Problemen der Sexualität beschäftigten. Er verrät es uns aber selbst in durchsichtiger Verhüllung, indem er seinen Forscherdrang an die Geierphantasie knüpft und das Problem des Vogelfluges als eines hervorhebt, das ihm durch besondere Schicksalsverkettung zur Bearbeitung zugefallen sei. Eine recht dunkle, wie eine Prophezeiung klingende Stelle in seinen Aufzeichnungen, die den Vogelflug behandeln, bezeugt aufs schönste, mit wie viel Affektinteresse er an dem Wunsche hing, die Kunst des Fliegens selbst nachahmen zu können: »Es wird seinen ersten Flug nehmen der große Vogel, vom Rücken seines großen Schwanes aus, das Universum mit Verblüffung, alle Schriften mit seinem Ruhme füllen und ewige Glorie sein dem Neste, wo er geboren ward.« </w:t>
      </w:r>
      <w:hyperlink r:id="rId1568"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Nach Herzfeld (1906, 32). »Der große Schwan« soll einen Hügel, Monte Cecero, bei Florenz bedeuten.</w:t>
        </w:r>
      </w:hyperlink>
      <w:r w:rsidRPr="00B03603">
        <w:rPr>
          <w:rFonts w:ascii="Garamond" w:hAnsi="Garamond" w:cs="Arial"/>
          <w:color w:val="000000"/>
          <w:lang w:val="en-GB"/>
        </w:rPr>
        <w:t xml:space="preserve"> Er hoffte wahrscheinlich, selbst einmal fliegen zu können, und wir wissen aus den wunscherfüllenden Träumen der Menschen, welche Seligkeit man sich von der Erfüllung dieser Hoffnung erwartet.</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Warum träumen aber so viele Menschen vom Fliegenkönnen? Die Psychoanalyse gibt hierauf die Antwort, weil das Fliegen oder Vogel sein nur die Verhüllung eines anderen Wunsches ist, zu dessen Erkennung mehr als eine sprachliche und sachliche Brücke führt. Wenn man der wißbegierigen Jugend erzählt, ein großer Vogel, wie der Storch, bringe die kleinen Kinder, wenn die Alten den Phallus geflügelt gebildet haben, wenn die gebräuchlichste Bezeichnung der Geschlechtstätigkeit des Mannes im Deutschen »vögeln« lautet, das Glied des Mannes bei den Italienern direkt </w:t>
      </w:r>
      <w:r w:rsidRPr="00B03603">
        <w:rPr>
          <w:rFonts w:ascii="Garamond" w:hAnsi="Garamond" w:cs="Arial"/>
          <w:i/>
          <w:iCs/>
          <w:color w:val="000000"/>
          <w:lang w:val="en-GB"/>
        </w:rPr>
        <w:t>l'uccello</w:t>
      </w:r>
      <w:r w:rsidRPr="00B03603">
        <w:rPr>
          <w:rFonts w:ascii="Garamond" w:hAnsi="Garamond" w:cs="Arial"/>
          <w:color w:val="000000"/>
          <w:lang w:val="en-GB"/>
        </w:rPr>
        <w:t xml:space="preserve"> (Vogel) heißt, so sind das nur kleine Bruchstücke aus einem großen Zusammenhange, der uns lehrt, daß der Wunsch, fliegen zu können, im Traume nichts anderes bedeutet als die Sehnsucht, geschlechtlicher Leistungen fähig zu sein </w:t>
      </w:r>
      <w:hyperlink r:id="rId1569"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Nach den Untersuchungen von Paul Federn und denen von Mourly Vold (1912), einem norwegischen Forscher, welcher der Psychoanalyse fernestand.</w:t>
        </w:r>
      </w:hyperlink>
      <w:r w:rsidRPr="00B03603">
        <w:rPr>
          <w:rFonts w:ascii="Garamond" w:hAnsi="Garamond" w:cs="Arial"/>
          <w:color w:val="000000"/>
          <w:lang w:val="en-GB"/>
        </w:rPr>
        <w:t xml:space="preserve">. Es ist dies ein frühinfantiler Wunsch. Wenn der Erwachsene seiner Kindheit gedenkt, so erscheint sie ihm als eine glückliche Zeit, in der man sich des Augenblicks freute und wunschlos der Zukunft entgegenging, und darum beneidet er die Kinder. Aber die Kinder selbst, wenn sie früher Auskunft geben könnten, würden wahrscheinlich anderes berichten. Es scheint, daß die Kindheit nicht jenes selige Idyll ist, zu dem wir es nachträglich entstellen, </w:t>
      </w:r>
      <w:r w:rsidRPr="00B03603">
        <w:rPr>
          <w:rFonts w:ascii="Garamond" w:hAnsi="Garamond" w:cs="Arial"/>
          <w:color w:val="000000"/>
          <w:lang w:val="en-GB"/>
        </w:rPr>
        <w:lastRenderedPageBreak/>
        <w:t>daß die Kinder vielmehr von dem einen Wunsch, groß zu werden, es den Erwachsenen gleichzutun, durch die Jahre der Kindheit gepeitscht werden. Dieser Wunsch treibt alle ihre Spiele. Ahnen die Kinder im Verlaufe ihrer Sexualforschung, daß der Erwachsene auf dem einen rätselvollen und doch so wichtigen Gebiete etwas Großartiges kann, was ihnen zu wissen und zu tun versagt ist, so regt sich in ihnen ein ungestümer Wunsch, dasselbe zu können, und sie träumen davon in der Form des Fliegens oder bereiten diese Einkleidung des Wunsches für ihre späteren Flugträume vor. So hat also auch die Aviatik, die in unseren Zeiten endlich ihr Ziel erreicht, ihre infantile erotische Wurzel.</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Indem uns Leonardo eingesteht, daß er zu dem Problem des Fliegens von Kindheit an eine besondere persönliche Beziehung verspürt hat, bestätigt er uns, daß seine Kinderforschung auf Sexuelles gerichtet war, wie wir es nach unseren Untersuchungen an den Kindern unserer Zeit vermuten mußten. Dies eine Problem wenigstens hatte sich der Verdrängung entzogen, die ihn später der Sexualität entfremdete; von den Kinderjahren an bis in die Zeit der vollsten intellektuellen Reife war ihm das nämliche mit leichter Sinnesabänderung interessant geblieben, und es ist sehr wohl möglich, daß ihm die gewünschte Kunst im primären sexuellen Sinne ebensowenig gelang wie im mechanischen, daß beide für ihn versagte Wünsche blieben.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Der große Leonardo blieb überhaupt sein ganzes Leben über in manchen Stücken kindlich; man sagt, daß alle großen Männer etwas Infantiles bewahren müssen. Er spielte auch als Erwachsener weiter und wurde auch dadurch manchmal seinen Zeitgenossen unheimlich und unbegreiflich. Wenn er zu höfischen Festlichkeiten und feierlichen Empfängen die kunstvollsten mechanischen Spielereien verfertigte, so sind nur wir damit unzufrieden, die den Meister nicht gern seine Kraft an solchen Tand wenden sehen; er selbst scheint sich nicht ungern mit diesen Dingen abgegeben zu haben, denn Vasari berichtet, daß er ähnliches machte, wo kein Auftrag ihn dazu nötigte: »Dort (in Rom) verfertigte er einen Teig von Wachs und formte daraus, wenn er fließend war, sehr zarte Tiere, mit Luft gefüllt; blies er hinein, so flogen sie, war die Luft heraus, so fielen sie zur Erde. Einer seltsamen Eidechse, welche der Winzer von Belvedere fand, machte er Flügel aus der abgezogenen Haut anderer Eidechsen, welche er mit Quecksilber füllte, so daß sie sich bewegten und zitterten, wenn sie ging; sodann machte er ihr Augen, Bart und Hörner, zähmte sie, tat sie in eine Schachtel und jagte alle seine Freunde damit in Furcht.« </w:t>
      </w:r>
      <w:hyperlink r:id="rId1570" w:anchor="#" w:history="1">
        <w:r w:rsidRPr="00B03603">
          <w:rPr>
            <w:rStyle w:val="fusslink"/>
            <w:rFonts w:ascii="Garamond" w:hAnsi="Garamond" w:cs="Arial"/>
            <w:b/>
            <w:bCs/>
            <w:color w:val="003399"/>
          </w:rPr>
          <w:t>[Fußnote]</w:t>
        </w:r>
        <w:r w:rsidRPr="00B03603">
          <w:rPr>
            <w:rStyle w:val="innerfusslink3"/>
            <w:rFonts w:ascii="Garamond" w:hAnsi="Garamond" w:cs="Arial"/>
            <w:b/>
            <w:bCs/>
          </w:rPr>
          <w:t>Vasari, übersetzt von Schorn (1843).</w:t>
        </w:r>
      </w:hyperlink>
      <w:r w:rsidRPr="00B03603">
        <w:rPr>
          <w:rFonts w:ascii="Garamond" w:hAnsi="Garamond" w:cs="Arial"/>
          <w:color w:val="000000"/>
        </w:rPr>
        <w:t xml:space="preserve"> Oft dienten ihm solche Spielereien zum Ausdruck inhaltschwerer Gedanken: »Oftmals ließ er die Därme eines Hammels so fein ausputzen, daß man sie in der hohlen Hand hätte halten können; diese trug er in ein großes Zimmer, brachte in eine anstoßende Stube ein paar Schmiedeblasebälge, befestigte daran die Därme und blies sie auf, bis sie das ganze Zimmer einnahmen und man in eine Ecke flüchten mußte. So zeigte er, wie sie allmählich durchsichtig und von Luft erfüllt wurden, und indem sie, anfangs auf einen kleinen Platz beschränkt, sich mehr und mehr in den weiten Raum ausbreiteten, verglich er sie dem Genie.« </w:t>
      </w:r>
      <w:hyperlink r:id="rId1571" w:anchor="#" w:history="1">
        <w:r w:rsidRPr="00B03603">
          <w:rPr>
            <w:rStyle w:val="fusslink"/>
            <w:rFonts w:ascii="Garamond" w:hAnsi="Garamond" w:cs="Arial"/>
            <w:b/>
            <w:bCs/>
            <w:color w:val="003399"/>
            <w:lang w:val="en-GB"/>
          </w:rPr>
          <w:t>[Fußnote]</w:t>
        </w:r>
        <w:r w:rsidRPr="00B03603">
          <w:rPr>
            <w:rStyle w:val="innerfusslink3"/>
            <w:rFonts w:ascii="Garamond" w:hAnsi="Garamond" w:cs="Arial"/>
            <w:b/>
            <w:bCs/>
            <w:lang w:val="en-GB"/>
          </w:rPr>
          <w:t>Ibid., 39.</w:t>
        </w:r>
      </w:hyperlink>
      <w:r w:rsidRPr="00B03603">
        <w:rPr>
          <w:rFonts w:ascii="Garamond" w:hAnsi="Garamond" w:cs="Arial"/>
          <w:color w:val="000000"/>
          <w:lang w:val="en-GB"/>
        </w:rPr>
        <w:t xml:space="preserve"> Dieselbe spielerische Lust am harmlosen Verbergen und kunstvollen Einkleiden bezeugen seine Fabeln und Rätsel, letztere in die Form von »Prophezeiungen« gebracht, fast alle gedankenreich und in bemerkenswertem Maße des Witzes entbehrend.</w:t>
      </w:r>
    </w:p>
    <w:p w:rsidR="00462409" w:rsidRPr="00B03603" w:rsidRDefault="00462409" w:rsidP="00462409">
      <w:pPr>
        <w:rPr>
          <w:rFonts w:ascii="Garamond" w:hAnsi="Garamond" w:cs="Arial"/>
          <w:color w:val="000000"/>
        </w:rPr>
      </w:pPr>
      <w:r w:rsidRPr="00B03603">
        <w:rPr>
          <w:rFonts w:ascii="Garamond" w:hAnsi="Garamond" w:cs="Arial"/>
          <w:color w:val="000000"/>
          <w:lang w:val="en-GB"/>
        </w:rPr>
        <w:t xml:space="preserve">Die Spiele und Sprünge, die Leonardo seiner Phantasie gestattete, haben in einigen Fällen seine Biographen, die diesen Charakter verkannten, in argen Irrtum gebracht. </w:t>
      </w:r>
      <w:r w:rsidRPr="00B03603">
        <w:rPr>
          <w:rFonts w:ascii="Garamond" w:hAnsi="Garamond" w:cs="Arial"/>
          <w:color w:val="000000"/>
          <w:lang w:val="en-US"/>
        </w:rPr>
        <w:t xml:space="preserve">In den Mailänder Manuskripten Leonardos finden sich zum Beispiel Entwürfe zu Briefen an den »Diodario von Sorio (Syrien), Statthalter des heiligen Sultan von Babylonia«, in denen Leonardo sich als Ingenieur einführt, der in diese Gegenden des Orients geschickt wurde, um gewisse Arbeiten auszuführen, sich gegen den Vorwurf der Trägheit verteidigt, geographische Beschreibungen von Städten und Bergen liefert und endlich ein großes Elementarereignis schildert, das dort in Leonardos Anwesenheit vorgefallen ist </w:t>
      </w:r>
      <w:hyperlink r:id="rId1572" w:anchor="#" w:history="1">
        <w:r w:rsidRPr="00B03603">
          <w:rPr>
            <w:rStyle w:val="fusslink"/>
            <w:rFonts w:ascii="Garamond" w:hAnsi="Garamond" w:cs="Arial"/>
            <w:b/>
            <w:bCs/>
            <w:color w:val="003399"/>
            <w:lang w:val="en-US"/>
          </w:rPr>
          <w:t>[Fußnote]</w:t>
        </w:r>
        <w:r w:rsidRPr="00B03603">
          <w:rPr>
            <w:rStyle w:val="innerfusslink3"/>
            <w:rFonts w:ascii="Garamond" w:hAnsi="Garamond" w:cs="Arial"/>
            <w:b/>
            <w:bCs/>
            <w:lang w:val="en-US"/>
          </w:rPr>
          <w:t>Über diese Briefe und die an sie geknüpften Kombinationen siehe Müntz (1899, 82 ff.); den Wortlaut derselben und anderer an sie anschließender Aufzeichnungen bei M. Herzfeld (1906, 223 u. ff.).</w:t>
        </w:r>
      </w:hyperlink>
      <w:r w:rsidRPr="00B03603">
        <w:rPr>
          <w:rFonts w:ascii="Garamond" w:hAnsi="Garamond" w:cs="Arial"/>
          <w:color w:val="000000"/>
        </w:rPr>
        <w:t>.</w:t>
      </w:r>
    </w:p>
    <w:p w:rsidR="00462409" w:rsidRPr="00B03603" w:rsidRDefault="00462409" w:rsidP="00462409">
      <w:pPr>
        <w:rPr>
          <w:rFonts w:ascii="Garamond" w:hAnsi="Garamond" w:cs="Arial"/>
          <w:color w:val="000000"/>
          <w:lang w:val="en-US"/>
        </w:rPr>
      </w:pPr>
      <w:r w:rsidRPr="00B03603">
        <w:rPr>
          <w:rFonts w:ascii="Garamond" w:hAnsi="Garamond" w:cs="Arial"/>
          <w:color w:val="000000"/>
        </w:rPr>
        <w:lastRenderedPageBreak/>
        <w:t xml:space="preserve">J. P. Richter hat im Jahre 1883 aus diesen Schriftstücken zu beweisen gesucht, daß Leonardo wirklich im Dienste des Sultans von Ägypten diese Reisebeobachtungen angestellt und selbst im Orient die mohammedanische Religion angenommen habe. </w:t>
      </w:r>
      <w:r w:rsidRPr="00B03603">
        <w:rPr>
          <w:rFonts w:ascii="Garamond" w:hAnsi="Garamond" w:cs="Arial"/>
          <w:color w:val="000000"/>
          <w:lang w:val="en-US"/>
        </w:rPr>
        <w:t>Dieser Aufenthalt sollte in die Zeit vor 1483, also vor der Übersiedlung an den Hof des Herzogs von Mailand fallen. Allein der Kritik anderer Autoren ist es nicht schwer geworden, die Belege für die angebliche Orientreise Leonardos als das zu erkennen, was sie in Wirklichkeit sind, phantastische Produktionen des jugendlichen Künstlers, die er zu seiner eigenen Unterhaltung schuf, in denen er vielleicht seine Wünsche, die Welt zu sehen und Abenteuer zu erleben, zum Ausdruck brachte.</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 xml:space="preserve">Ein Phantasiegebilde ist wahrscheinlich auch die »Academia Vinciana«, deren Annahme auf dem Vorhandensein von fünf oder sechs höchst künstlich verschlungenen Emblemen mit der Inschrift der Akademie beruht. Vasari erwähnt diese Zeichnungen, aber nicht die Akademie </w:t>
      </w:r>
      <w:hyperlink r:id="rId1573" w:anchor="#" w:history="1">
        <w:r w:rsidRPr="00B03603">
          <w:rPr>
            <w:rStyle w:val="fusslink"/>
            <w:rFonts w:ascii="Garamond" w:hAnsi="Garamond" w:cs="Arial"/>
            <w:b/>
            <w:bCs/>
            <w:color w:val="003399"/>
            <w:lang w:val="en-US"/>
          </w:rPr>
          <w:t>[Fußnote]</w:t>
        </w:r>
        <w:r w:rsidRPr="00B03603">
          <w:rPr>
            <w:rStyle w:val="innerfusslink3"/>
            <w:rFonts w:ascii="Garamond" w:hAnsi="Garamond" w:cs="Arial"/>
            <w:b/>
            <w:bCs/>
            <w:lang w:val="en-US"/>
          </w:rPr>
          <w:t>»Außerdem verlor er manche Zeit, indem er sogar ein Schnurgeflechte zeichnete, worin man den Faden von einem Ende bis zum anderen verfolgen konnte, bis er eine völlig kreisförmige Figur beschrieb; eine sehr schwierige und schöne Zeichnung der Art ist in Kupfer gestochen, in deren Mitte man die Worte liest: ›Leonardus Vinci Academia‹.« Schorn (1843, 8).</w:t>
        </w:r>
      </w:hyperlink>
      <w:r w:rsidRPr="00B03603">
        <w:rPr>
          <w:rFonts w:ascii="Garamond" w:hAnsi="Garamond" w:cs="Arial"/>
          <w:color w:val="000000"/>
          <w:lang w:val="en-US"/>
        </w:rPr>
        <w:t>. Müntz, der ein solches Ornament auf den Deckel seines großen Leonardowerkes gesetzt hat, gehört zu den wenigen, die an die Realität einer »Academia Vinciana« glauben.</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Es ist wahrscheinlich, daß dieser Spieltrieb Leonardos in seinen reiferen Jahren schwand, daß auch er in die Forschertätigkeit einmündete, welche die letzte und höchste Entfaltung seiner Persönlichkeit bedeutete. Aber seine lange Erhaltung kann uns lehren, wie langsam sich von seiner Kindheit losreißt, wer in seinen Kinderzeiten die höchste, später nicht wieder erreichte, erotische Seligkeit genossen hat.</w:t>
      </w:r>
    </w:p>
    <w:p w:rsidR="00462409" w:rsidRDefault="00462409" w:rsidP="00462409">
      <w:pPr>
        <w:rPr>
          <w:rFonts w:ascii="Garamond" w:hAnsi="Garamond" w:cs="Arial"/>
          <w:b/>
          <w:bCs/>
          <w:color w:val="000000"/>
          <w:lang w:val="en-US"/>
        </w:rPr>
      </w:pPr>
      <w:r>
        <w:rPr>
          <w:rFonts w:ascii="Garamond" w:hAnsi="Garamond" w:cs="Arial"/>
          <w:b/>
          <w:bCs/>
          <w:color w:val="000000"/>
          <w:lang w:val="en-US"/>
        </w:rPr>
        <w:br w:type="page"/>
      </w:r>
      <w:hyperlink w:anchor="DaVinci_INHALT" w:history="1">
        <w:r w:rsidRPr="00B03603">
          <w:rPr>
            <w:rStyle w:val="Lienhypertexte"/>
            <w:rFonts w:ascii="Garamond" w:hAnsi="Garamond" w:cs="Arial"/>
            <w:b/>
            <w:bCs/>
            <w:lang w:val="en-US"/>
          </w:rPr>
          <w:t>VI.  Ka</w:t>
        </w:r>
        <w:bookmarkStart w:id="334" w:name="DaVinci_6"/>
        <w:bookmarkEnd w:id="334"/>
        <w:r w:rsidRPr="00B03603">
          <w:rPr>
            <w:rStyle w:val="Lienhypertexte"/>
            <w:rFonts w:ascii="Garamond" w:hAnsi="Garamond" w:cs="Arial"/>
            <w:b/>
            <w:bCs/>
            <w:lang w:val="en-US"/>
          </w:rPr>
          <w:t>pitel</w:t>
        </w:r>
      </w:hyperlink>
    </w:p>
    <w:p w:rsidR="00462409" w:rsidRPr="00B03603" w:rsidRDefault="00462409" w:rsidP="00462409">
      <w:pPr>
        <w:rPr>
          <w:rFonts w:ascii="Garamond" w:hAnsi="Garamond" w:cs="Arial"/>
          <w:b/>
          <w:bCs/>
          <w:color w:val="000000"/>
          <w:lang w:val="en-US"/>
        </w:rPr>
      </w:pP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 xml:space="preserve">Es wäre vergeblich, sich darüber zu täuschen, daß die Leser heute alle Pathographie unschmackhaft finden. Die Ablehnung bekleidet sich mit dem Vorwurf, bei einer pathographischen Bearbeitung eines großen Mannes gelange man nie zum Verständnis seiner Bedeutung und seiner Leistung; es sei daher unnützer Mutwillen, an ihm Dinge zu studieren, die man ebensowohl beim erstbesten anderen finden könne. Allein diese Kritik ist so offenbar ungerecht, daß sie nur als Vorwand und Verhüllung verständlich wird. Die Pathographie setzt sich überhaupt nicht das Ziel, die Leistung des großen Mannes verständlich zu machen; man darf doch niemand zum Vorwurf machen, daß er etwas nicht gehalten hat, was er niemals versprochen hatte. Die wirklichen Motive des Widerstrebens sind andere. Man findet sie auf, wenn man in Erwägung zieht, daß Biographen in ganz eigentümlicher Weise an ihren Helden fixiert sind. Sie haben ihn häufig zum Objekt ihrer Studien gewählt, weil sie ihm aus Gründen ihres persönlichen Gefühlslebens von vornherein eine besondere Affektion entgegenbrachten. Sie geben sich dann einer Idealisierungsarbeit hin, die bestrebt ist, den großen Mann in die Reihe ihrer infantilen Vorbilder einzutragen, etwa die kindliche Vorstellung des Vaters in ihm neu zu beleben. Sie löschen diesem Wunsche zuliebe die individuellen Züge in seiner Physiognomie aus, glätten die Spuren seines Lebenskampfes mit inneren und äußeren Widerständen, dulden an ihm keinen Rest von menschlicher Schwäche oder Unvollkommenheit und geben uns dann wirklich eine kalte, fremde Idealgestalt anstatt des Menschen, dem wir uns entfernt verwandt fühlen könnten. Es ist zu bedauern, daß sie dies tun, denn sie opfern damit die Wahrheit einer Illusion und verzichten zugunsten ihrer infantilen Phantasien auf die Gelegenheit, in die reizvollsten Geheimnisse der menschlichen Natur einzudringen </w:t>
      </w:r>
      <w:hyperlink r:id="rId1574" w:anchor="#" w:history="1">
        <w:r w:rsidRPr="00B03603">
          <w:rPr>
            <w:rStyle w:val="fusslink"/>
            <w:rFonts w:ascii="Garamond" w:hAnsi="Garamond" w:cs="Arial"/>
            <w:b/>
            <w:bCs/>
            <w:color w:val="003399"/>
            <w:lang w:val="en-US"/>
          </w:rPr>
          <w:t>[Fußnote]</w:t>
        </w:r>
        <w:r w:rsidRPr="00B03603">
          <w:rPr>
            <w:rStyle w:val="innerfusslink3"/>
            <w:rFonts w:ascii="Garamond" w:hAnsi="Garamond" w:cs="Arial"/>
            <w:b/>
            <w:bCs/>
            <w:lang w:val="en-US"/>
          </w:rPr>
          <w:t>Diese Kritik soll ganz allgemein gelten und nicht etwa auf die Biographen Leonardos besonders zielen.</w:t>
        </w:r>
      </w:hyperlink>
      <w:r w:rsidRPr="00B03603">
        <w:rPr>
          <w:rFonts w:ascii="Garamond" w:hAnsi="Garamond" w:cs="Arial"/>
          <w:color w:val="000000"/>
          <w:lang w:val="en-US"/>
        </w:rPr>
        <w:t>.</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Leonardo selbst hätte in seiner Wahrheitsliebe und seinem Wissensdrange den Versuch nicht abgewehrt, aus den kleinen Seltsamkeiten und Rätseln seines Wesens die Bedingungen seiner seelischen und intellektuellen Entwicklung zu erraten. Wir huldigen ihm, indem wir an ihm lernen. Es beeinträchtigt seine Größe nicht, wenn wir die Opfer studieren, die seine Entwicklung aus dem Kinde kosten mußte, und die Momente zusammentragen, die seiner Person den tragischen Zug des Mißglückens eingeprägt haben.</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Heben wir ausdrücklich hervor, daß wir Leonardo niemals zu den Neurotikern oder »Nervenkranken«, wie das ungeschickte Wort lautet, gezählt haben. Wer sich darüber beklagt, daß wir es überhaupt wagen, aus der Pathologie gewonnene Gesichtspunkte auf ihn anzuwenden, der hält noch an Vorurteilen fest, die wir heute mit Recht aufgegeben haben. Wir glauben nicht mehr, daß Gesundheit und Krankheit, Normale und Nervöse, scharf voneinander zu sondern sind und daß neurotische Züge als Beweise einer allgemeinen Minderwertigkeit beurteilt werden müssen. Wir wissen heute, daß die neurotischen Symptome Ersatzbildungen für gewisse Verdrängungsleistungen sind, welche wir im Laufe unserer Entwicklung vom Kinde bis zum Kulturmenschen zu vollbringen haben, daß wir alle solche Ersatzbildungen produzieren, und daß nur die Anzahl, Intensität und Verteilung dieser Ersatzbildungen den praktischen Begriff des Krankseins und den Schluß auf konstitutionelle Minderwertigkeit rechtfertigen. Nach den kleinen Anzeichen an Leonardos Persönlichkeit dürfen wir ihn in die Nähe jenes neurotischen Typus stellen, den wir als »Zwangstypus« bezeichnen, sein Forschen mit dem »Grübelzwang« der Neurotiker, seine Hemmungen mit den sogenannten Abulien derselben vergleichen.</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Das Ziel unserer Arbeit war die Erklärung der Hemmungen in Leonardos Sexualleben und in seiner künstlerischen Tätigkeit. Es ist uns gestattet, zu diesem Zwecke zusammenzufassen, was wir über den Verlauf seiner psychischen Entwicklung erraten konnten.</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 xml:space="preserve">Die Einsicht in seine hereditären Verhältnisse ist uns versagt, dagegen erkennen wir, daß die akzidentellen Umstände seiner Kindheit eine tiefgreifende störende Wirkung ausüben. Seine illegitime Geburt entzieht </w:t>
      </w:r>
      <w:r w:rsidRPr="00B03603">
        <w:rPr>
          <w:rFonts w:ascii="Garamond" w:hAnsi="Garamond" w:cs="Arial"/>
          <w:color w:val="000000"/>
          <w:lang w:val="en-US"/>
        </w:rPr>
        <w:lastRenderedPageBreak/>
        <w:t>ihn bis vielleicht zum fünften Jahre dem Einflusse des Vaters und überläßt ihn der zärtlichen Verführung einer Mutter, deren einziger Trost er ist. Von ihr zur sexuellen Frühreife emporgeküßt, muß er wohl in eine Phase infantiler Sexualbetätigung eingetreten sein, von welcher nur eine einzige Äußerung sicher bezeugt ist, die Intensität seiner infantilen Sexualforschung. Schau- und Wißtrieb werden durch seine frühkindlichen Eindrücke am stärksten erregt; die erogene Mundzone empfängt eine Betonung, die sie nie mehr abgibt. Aus dem später gegenteiligen Verhalten, wie dem übergroßen Mitleid mit Tieren, können wir schließen, daß es in dieser Kindheitsperiode an kräftigen sadistischen Zügen nicht fehlte.</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Ein energischer Verdrängungsschub bereitet diesem kindlichen Übermaß ein Ende und stellt die Dispositionen fest, die in den Jahren der Pubertät zum Vorschein kommen werden. Die Abwendung von jeder grobsinnlichen Betätigung wird das augenfälligste Ergebnis der Umwandlung sein; Leonardo wird abstinent leben können und den Eindruck eines asexuellen Menschen machen. Wenn die Fluten der Pubertätserregung über den Knaben kommen, werden sie ihn aber nicht krank machen, indem sie ihn zu kostspieligen und schädlichen Ersatzbildungen nötigen; der größere Anteil der Bedürftigkeit des Geschlechtstriebes wird sich dank der frühzeitigen Bevorzugung der sexuellen Wißbegierde zu allgemeinem Wissensdrang sublimieren können und so der Verdrängung ausweichen. Ein weit geringerer Anteil der Libido wird sexuellen Zielen zugewendet bleiben und das verkümmerte Geschlechtsleben des Erwachsenen repräsentieren. Infolge der Verdrängung der Liebe zur Mutter wird dieser Anteil in homosexuelle Einstellung gedrängt werden und sich als ideelle Knabenliebe kundgeben. Im Unbewußten bleibt die Fixierung an die Mutter und an die seligen Erinnerungen des Verkehrs mit ihr bewahrt, verharrt aber vorläufig in inaktivem Zustand. In solcher Weise teilen sich Verdrängung, Fixierung und Sublimierung in die Verfügung über die Beiträge, welche der Sexualtrieb zum Seelenleben Leonardos leistet.</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 xml:space="preserve">Aus dunkler Knabenzeit taucht Leonardo als Künstler, Maler und Plastiker vor uns auf, dank einer spezifischen Begabung, die der frühzeitigen Erweckung des Schautriebes in den ersten Kinderjahren eine Verstärkung schulden mag. Gerne würden wir angeben wollen, in welcher Weise sich die künstlerische Betätigung auf die seelischen Urtriebe zurückführt, wenn nicht gerade hier unsere Mittel versagen würden. Wir bescheiden uns, die kaum mehr zweifelhafte Tatsache hervorzuheben, daß das Schaffen des Künstlers auch seinem sexuellen Begehren Ableitung gibt, und für Leonardo auf die von Vasari übermittelte Nachricht hinzuweisen, daß Köpfe von lächelnden Frauen und schönen Knaben, also Darstellungen seiner Sexualobjekte, unter seinen ersten künstlerischen Versuchen auffielen. In aufblühender Jugend scheint Leonardo zunächst ungehemmt zu arbeiten. Wie er in seiner äußeren Lebensführung den Vater zum Vorbild nimmt, so durchlebt er eine Zeit von männlicher Schaffenskraft und künstlerischer Produktivität in Mailand, wo ihn die Gunst des Schicksals im Herzog Lodovico Moro einen Vaterersatz finden läßt. Aber bald bewährt sich an ihm die Erfahrung, daß die fast völlige Unterdrückung des realen Sexuallebens nicht die günstigsten Bedingungen für die Betätigung der sublimierten sexuellen Strebungen ergibt. Die Vorbildlichkeit des Sexuallebens macht sich geltend, die Aktivität und die Fähigkeit zu raschem Entschluß beginnen zu erlahmen, die Neigung zum Erwägen und Verzögern wird schon beim heiligen Abendmahl störend bemerkbar und bestimmt durch die Beeinflussung der Technik das Schicksal dieses großartigen Werkes. Langsam vollzieht sich nun bei ihm ein Vorgang, den man nur den Regressionen bei Neurotikern an die Seite stellen kann. Die Pubertätsentfaltung seines Wesens zum Künstler wird durch die frühinfantil bedingte zum Forscher überholt, die zweite Sublimierung seiner erotischen Triebe tritt gegen die uranfängliche, bei der ersten Verdrängung vorbereitete zurück. Er wird zum Forscher, zuerst noch im Dienste seiner Kunst, später unabhängig von ihr und von ihr weg. Mit dem Verlust des den Vater ersetzenden Gönners und der zunehmenden Verdüsterung im Leben greift diese regressive Ersetzung immer mehr um sich. Er wird » </w:t>
      </w:r>
      <w:r w:rsidRPr="00B03603">
        <w:rPr>
          <w:rFonts w:ascii="Garamond" w:hAnsi="Garamond" w:cs="Arial"/>
          <w:i/>
          <w:iCs/>
          <w:color w:val="000000"/>
          <w:lang w:val="en-US"/>
        </w:rPr>
        <w:t>impacientissimo al pennello</w:t>
      </w:r>
      <w:r w:rsidRPr="00B03603">
        <w:rPr>
          <w:rFonts w:ascii="Garamond" w:hAnsi="Garamond" w:cs="Arial"/>
          <w:color w:val="000000"/>
          <w:lang w:val="en-US"/>
        </w:rPr>
        <w:t xml:space="preserve">«, wie ein Korrespondent der Markgräfin Isabella d'Este berichtet, die durchaus noch ein Bild von seiner Hand besitzen will </w:t>
      </w:r>
      <w:hyperlink r:id="rId1575" w:anchor="#" w:history="1">
        <w:r w:rsidRPr="00B03603">
          <w:rPr>
            <w:rStyle w:val="fusslink"/>
            <w:rFonts w:ascii="Garamond" w:hAnsi="Garamond" w:cs="Arial"/>
            <w:b/>
            <w:bCs/>
            <w:color w:val="003399"/>
            <w:lang w:val="en-US"/>
          </w:rPr>
          <w:t>[Fußnote]</w:t>
        </w:r>
        <w:r w:rsidRPr="00B03603">
          <w:rPr>
            <w:rStyle w:val="innerfusslink3"/>
            <w:rFonts w:ascii="Garamond" w:hAnsi="Garamond" w:cs="Arial"/>
            <w:b/>
            <w:bCs/>
            <w:lang w:val="en-US"/>
          </w:rPr>
          <w:t>v. Seidlitz (1909, Bd. 2, 271).</w:t>
        </w:r>
      </w:hyperlink>
      <w:r w:rsidRPr="00B03603">
        <w:rPr>
          <w:rFonts w:ascii="Garamond" w:hAnsi="Garamond" w:cs="Arial"/>
          <w:color w:val="000000"/>
          <w:lang w:val="en-US"/>
        </w:rPr>
        <w:t xml:space="preserve">. Seine kindliche Vergangenheit hat Macht über ihn bekommen. Das Forschen aber, das ihm </w:t>
      </w:r>
      <w:r w:rsidRPr="00B03603">
        <w:rPr>
          <w:rFonts w:ascii="Garamond" w:hAnsi="Garamond" w:cs="Arial"/>
          <w:color w:val="000000"/>
          <w:lang w:val="en-US"/>
        </w:rPr>
        <w:lastRenderedPageBreak/>
        <w:t>nun das künstlerische Schaffen ersetzt, scheint einige der Züge an sich zu tragen, welche die Betätigung unbewußter Triebe kennzeichnen, die Unersättlichkeit, die rücksichtslose Starrheit, den Mangel an Fähigkeit, sich realen Verhältnissen anzupassen.</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Auf der Höhe seines Lebens, in den ersten Fünfzigerjahren, zu einer Zeit, da beim Weibe die Geschlechtscharaktere bereits rückgebildet sind, beim Manne nicht selten die Libido noch einen energischen Vorstoß wagt, kommt eine neue Wandlung über ihn. Noch tiefere Schichten seines seelischen Inhaltes werden von neuem aktiv; aber diese weitere Regression kommt seiner Kunst zugute, die im Verkümmern war. Er begegnet dem Weibe, welches die Erinnerung an das glückliche und sinnlich verzückte Lächeln der Mutter bei ihm weckt, und unter dem Einfluß dieser Erweckung gewinnt er den Antrieb wieder, der ihn zu Beginn seiner künstlerischen Versuche, als er die lächelnden Frauen bildete, geleitet. Er malt die Mona Lisa, die heilige Anna selbdritt und die Reihe der geheimnisvollen, durch das rätselhafte Lächeln ausgezeichneten Bilder. Mit Hilfe seiner urältesten erotischen Regungen feiert er den Triumph, die Hemmung in seiner Kunst noch einmal zu überwinden. Diese letzte Entwicklung verschwimmt für uns im Dunkel des herannahenden Alters. Sein Intellekt hat sich noch vorher zu den höchsten Leistungen einer seine Zeit weit hinter sich lassenden Weltanschauung aufgeschwungen.</w:t>
      </w:r>
    </w:p>
    <w:p w:rsidR="00462409" w:rsidRPr="00B03603" w:rsidRDefault="00462409" w:rsidP="00462409">
      <w:pPr>
        <w:rPr>
          <w:rFonts w:ascii="Garamond" w:hAnsi="Garamond" w:cs="Arial"/>
          <w:color w:val="000000"/>
          <w:lang w:val="en-US"/>
        </w:rPr>
      </w:pPr>
      <w:r w:rsidRPr="00B03603">
        <w:rPr>
          <w:rFonts w:ascii="Garamond" w:hAnsi="Garamond" w:cs="Arial"/>
          <w:color w:val="000000"/>
          <w:lang w:val="en-US"/>
        </w:rPr>
        <w:t>Ich habe in den voranstehenden Abschnitten angeführt, was zu einer solchen Darstellung des Entwicklungsganges Leonardos, zu einer derartigen Gliederung seines Lebens und Aufklärung seines Schwankens zwischen Kunst und Wissenschaft berechtigen kann. Sollte ich mit diesen Ausführungen auch bei Freunden und Kennern der Psychoanalyse das Urteil hervorrufen, daß ich bloß einen psychoanalytischen Roman geschrieben habe, so werde ich antworten, daß ich die Sicherheit dieser Ergebnisse gewiß nicht überschätze. Ich bin wie andere der Anziehung unterlegen, die von diesem großen und rätselhaften Manne ausgeht, in dessen Wesen man mächtige triebhafte Leidenschaften zu verspüren glaubt, die sich doch nur so merkwürdig gedämpft äußern können.</w:t>
      </w:r>
    </w:p>
    <w:p w:rsidR="00462409" w:rsidRPr="00B03603" w:rsidRDefault="00462409" w:rsidP="00462409">
      <w:pPr>
        <w:rPr>
          <w:rFonts w:ascii="Garamond" w:hAnsi="Garamond" w:cs="Arial"/>
          <w:color w:val="000000"/>
          <w:lang w:val="en-GB"/>
        </w:rPr>
      </w:pPr>
      <w:r w:rsidRPr="00462409">
        <w:rPr>
          <w:rFonts w:ascii="Garamond" w:hAnsi="Garamond" w:cs="Arial"/>
          <w:color w:val="000000"/>
          <w:lang w:val="en-US"/>
        </w:rPr>
        <w:t xml:space="preserve">Was immer aber die Wahrheit über Leonardos Leben sein mag, wir können von unserem Versuche, sie psychoanalytisch zu ergründen, nicht eher ablassen, als bis wir eine andere Aufgabe erledigt haben. Wir müssen ganz allgemein die Grenzen abstecken, welche der Leistungsfähigkeit der Psychoanalyse in der Biographik gesetzt sind, damit uns nicht jede unterbliebene Erklärung als ein Mißerfolg ausgelegt werde. Der psychoanalytischen Untersuchung stehen als Material die Daten der Lebensgeschichte zur Verfügung, einerseits die Zufälligkeiten der Begebenheiten und Milieueinflüsse, anderseits die berichteten Reaktionen des Individuums. Gestützt auf ihre Kenntnis der psychischen Mechanismen sucht sie nun das Wesen des Individuums aus seinen Reaktionen dynamisch zu ergründen, seine ursprünglichen seelischen Triebkräfte aufzudecken sowie deren spätere Umwandlungen und Entwicklungen. </w:t>
      </w:r>
      <w:r w:rsidRPr="00B03603">
        <w:rPr>
          <w:rFonts w:ascii="Garamond" w:hAnsi="Garamond" w:cs="Arial"/>
          <w:color w:val="000000"/>
          <w:lang w:val="en-GB"/>
        </w:rPr>
        <w:t>Gelingt dies, so ist das Lebensverhalten der Persönlichkeit durch das Zusammenwirken von Konstitution und Schicksal, inneren Kräften und äußeren Mächten aufgeklärt. Wenn ein solches Unternehmen, wie vielleicht im Falle Leonardos, keine gesicherten Resultate ergibt, so liegt die Schuld nicht an der fehlerhaften oder unzulänglichen Methodik der Psychoanalyse, sondern an der Unsicherheit und Lückenhaftigkeit des Materials, welches die Überlieferung für diese Person beistellt. Für das Mißglücken ist also nur der Autor verantwortlich zu machen, der die Psychoanalyse genötigt hat, auf so unzureichendes Material hin ein Gutachten abzugeben.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Aber selbst bei ausgiebigster Verfügung über das historische Material und bei gesichertster Handhabung der psychischen Mechanismen würde eine psychoanalytische Untersuchung an zwei bedeutsamen Stellen die Einsicht in die Notwendigkeit nicht ergeben können, daß das Individuum nur so und nicht anders werden konnte. Wir haben bei Leonardo die Ansicht vertreten müssen, daß die Zufälligkeit seiner illegitimen Geburt und die Überzärtlichkeit seiner Mutter den entscheidendsten Einfluß auf seine Charakterbildung und sein späteres Schicksal übten, indem die nach dieser Kindheitsphase eintretende Sexualverdrängung ihn zur Sublimierung der Libido in Wissensdrang veranlaßte und seine sexuelle </w:t>
      </w:r>
      <w:r w:rsidRPr="00B03603">
        <w:rPr>
          <w:rFonts w:ascii="Garamond" w:hAnsi="Garamond" w:cs="Arial"/>
          <w:color w:val="000000"/>
          <w:lang w:val="en-GB"/>
        </w:rPr>
        <w:lastRenderedPageBreak/>
        <w:t>Inaktivität fürs ganze spätere Leben feststellte. Aber diese Verdrängung nach den ersten erotischen Befriedigungen der Kindheit hätte nicht eintreten müssen; sie wäre bei einem anderen Individuum vielleicht nicht eingetreten oder wäre weit weniger ausgiebig ausgefallen. Wir müssen hier einen Grad von Freiheit anerkennen, der psychoanalytisch nicht mehr aufzulösen ist. Ebensowenig darf man den Ausgang dieses Verdrängungsschubes als den einzig möglichen Ausgang hinstellen wollen. Einer anderen Person wäre es wahrscheinlich nicht geglückt, den Hauptanteil der Libido der Verdrängung durch die Sublimierung zur Wißbegierde zu entziehen; unter den gleichen Einwirkungen wie Leonardo hätte sie eine dauernde Beeinträchtigung der Denkarbeit oder eine nicht zu bewältigende Disposition zur Zwangsneurose davongetragen. Diese zwei Eigentümlichkeiten Leonardos erübrigen also als unerklärbar durch psychoanalytische Bemühung: seine ganz besondere Neigung zu Triebverdrängungen und seine außerordentliche Fähigkeit zur Sublimierung der primitiven Triebe.</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Die Triebe und ihre Umwandlungen sind das letzte, das die Psychoanalyse erkennen kann. Von da an räumt sie der biologischen Forschung den Platz. Verdrängungsneigung sowie Sublimierungsfähigkeit sind wir genötigt, auf die organischen Grundlagen des Charakters zurückzuführen, über welche erst sich das seelische Gebäude erhebt. Da die künstlerische Begabung und Leistungsfähigkeit mit der Sublimierung innig zusammenhängt, müssen wir zugestehen, daß auch das Wesen der künstlerischen Leistung uns psychoanalytisch unzugänglich ist. Die biologische Forschung unserer Zeit neigt dazu, die Hauptzüge der organischen Konstitution eines Menschen durch die Vermengung männlicher und weiblicher Anlagen im stofflichen Sinne zu erklären; die Körperschönheit wie die Linkshändigkeit Leonardos gestatteten hier manche Anlehnung. Doch wir wollen den Boden rein psychologischer Forschung nicht verlassen. Unser Ziel bleibt der Nachweis des Zusammenhanges zwischen äußeren Erlebnissen und Reaktionen der Person über den Weg der Triebbetätigung. Wenn uns die Psychoanalyse auch die Tatsache der Künstlerschaft Leonardos nicht aufklärt, so macht sie uns doch die Äußerungen und die Einschränkungen derselben verständlich. Scheint es doch, als hätte nur ein Mann mit den Kindheitserlebnissen Leonardos die Mona Lisa und die heilige Anna selbdritt malen, seinen Werken jenes traurige Schicksal bereiten und so unerhörten Aufschwung als Naturforscher nehmen können, als läge der Schlüssel zu all seinen Leistungen und seinem Mißgeschick in der Kindheitsphantasie vom Geier verborgen.</w:t>
      </w:r>
    </w:p>
    <w:p w:rsidR="00462409" w:rsidRPr="00B03603" w:rsidRDefault="00462409" w:rsidP="00462409">
      <w:pPr>
        <w:rPr>
          <w:rFonts w:ascii="Garamond" w:hAnsi="Garamond" w:cs="Arial"/>
          <w:color w:val="000000"/>
          <w:lang w:val="en-GB"/>
        </w:rPr>
      </w:pPr>
      <w:r w:rsidRPr="00B03603">
        <w:rPr>
          <w:rFonts w:ascii="Garamond" w:hAnsi="Garamond" w:cs="Arial"/>
          <w:color w:val="000000"/>
          <w:lang w:val="en-GB"/>
        </w:rPr>
        <w:t xml:space="preserve">Darf man aber nicht Anstoß nehmen an den Ergebnissen einer Untersuchung, welche den Zufälligkeiten der Elternkonstellation einen so entscheidenden Einfluß auf das Schicksal eines Menschen einräumt, das Schicksal Leonardos zum Beispiel von seiner illegitimen Geburt und der Unfruchtbarkeit seiner ersten Stiefmutter Donna Albiera abhängig macht? Ich glaube, man hat kein Recht dazu; wenn man den Zufall für unwürdig hält, über unser Schicksal zu entscheiden, ist es bloß ein Rückfall in die fromme Weltanschauung, deren Überwindung Leonardo selbst vorbereitete, als er niederschrieb, die Sonne bewege sich nicht. Wir sind natürlich gekränkt darüber, daß ein gerechter Gott und eine gütige Vorsehung uns nicht besser vor solchen Einwirkungen in unserer wehrlosesten Lebenszeit behüten. Wir vergessen dabei gern, daß eigentlich alles an unserem Leben Zufall ist, von unserer Entstehung an durch das Zusammentreffen von Spermatozoon und Ei, Zufall, der darum doch an der Gesetzmäßigkeit und Notwendigkeit der Natur seinen Anteil hat, bloß der Beziehung zu unseren Wünschen und Illusionen entbehrt. Die Aufteilung unserer Lebensdeterminierung zwischen den »Notwendigkeiten« unserer Konstitution und den »Zufälligkeiten« unserer Kindheit mag im einzelnen noch ungesichert sein; im ganzen läßt sich aber ein Zweifel an der Bedeutsamkeit gerade unserer ersten Kinderjahre nicht mehr festhalten. Wir zeigen alle noch zu wenig Respekt vor der Natur, die nach Leonardos dunklen, an Hamlets Rede gemahnenden Worten »voll ist zahlloser Ursachen, die niemals in die Erfahrung traten« ( </w:t>
      </w:r>
      <w:r w:rsidRPr="00B03603">
        <w:rPr>
          <w:rFonts w:ascii="Garamond" w:hAnsi="Garamond" w:cs="Arial"/>
          <w:i/>
          <w:iCs/>
          <w:color w:val="000000"/>
          <w:lang w:val="en-GB"/>
        </w:rPr>
        <w:t>La natura è piena d'infinite ragioni che non furono mai in isperienza.</w:t>
      </w:r>
      <w:r w:rsidRPr="00B03603">
        <w:rPr>
          <w:rFonts w:ascii="Garamond" w:hAnsi="Garamond" w:cs="Arial"/>
          <w:color w:val="000000"/>
          <w:lang w:val="en-GB"/>
        </w:rPr>
        <w:t xml:space="preserve"> M. Herzfeld, 1906, 11). Jedes von uns Menschenwesen entspricht einem der ungezählten Experimente, in denen diese </w:t>
      </w:r>
      <w:r w:rsidRPr="00B03603">
        <w:rPr>
          <w:rFonts w:ascii="Garamond" w:hAnsi="Garamond" w:cs="Arial"/>
          <w:i/>
          <w:iCs/>
          <w:color w:val="000000"/>
          <w:lang w:val="en-GB"/>
        </w:rPr>
        <w:t>ragioni</w:t>
      </w:r>
      <w:r w:rsidRPr="00B03603">
        <w:rPr>
          <w:rFonts w:ascii="Garamond" w:hAnsi="Garamond" w:cs="Arial"/>
          <w:color w:val="000000"/>
          <w:lang w:val="en-GB"/>
        </w:rPr>
        <w:t xml:space="preserve"> der Natur sich in die Erfahrung drängen.</w:t>
      </w:r>
    </w:p>
    <w:p w:rsidR="00462409" w:rsidRPr="00B03603" w:rsidRDefault="00462409" w:rsidP="00462409">
      <w:pPr>
        <w:rPr>
          <w:rFonts w:ascii="Garamond" w:hAnsi="Garamond"/>
          <w:color w:val="000000"/>
          <w:lang w:val="en-GB"/>
        </w:rPr>
      </w:pPr>
      <w:r w:rsidRPr="00B03603">
        <w:rPr>
          <w:rFonts w:ascii="Garamond" w:hAnsi="Garamond"/>
          <w:color w:val="000000"/>
          <w:lang w:val="en-GB"/>
        </w:rPr>
        <w:t xml:space="preserve"> </w:t>
      </w:r>
    </w:p>
    <w:p w:rsidR="002E0E50" w:rsidRPr="005C1841" w:rsidRDefault="002E0E50" w:rsidP="002E0E50">
      <w:pPr>
        <w:rPr>
          <w:rFonts w:ascii="Garamond" w:hAnsi="Garamond"/>
          <w:lang w:val="en-GB"/>
        </w:rPr>
      </w:pPr>
    </w:p>
    <w:p w:rsidR="002E0E50" w:rsidRPr="002E0E50" w:rsidRDefault="00B437A1" w:rsidP="002E0E50">
      <w:pPr>
        <w:rPr>
          <w:rFonts w:ascii="Garamond" w:hAnsi="Garamond" w:cs="Arial"/>
          <w:color w:val="000000"/>
          <w:lang w:val="en-US"/>
        </w:rPr>
      </w:pPr>
      <w:hyperlink w:anchor="KSinhalt" w:history="1">
        <w:r w:rsidR="002E0E50" w:rsidRPr="005C1841">
          <w:rPr>
            <w:rStyle w:val="Lienhypertexte"/>
            <w:rFonts w:ascii="Garamond" w:hAnsi="Garamond" w:cs="Arial"/>
            <w:b/>
            <w:bCs/>
            <w:lang w:val="en-GB"/>
          </w:rPr>
          <w:t>Üb</w:t>
        </w:r>
        <w:bookmarkStart w:id="335" w:name="KS80"/>
        <w:bookmarkEnd w:id="335"/>
        <w:r w:rsidR="002E0E50" w:rsidRPr="005C1841">
          <w:rPr>
            <w:rStyle w:val="Lienhypertexte"/>
            <w:rFonts w:ascii="Garamond" w:hAnsi="Garamond" w:cs="Arial"/>
            <w:b/>
            <w:bCs/>
            <w:lang w:val="en-GB"/>
          </w:rPr>
          <w:t>er Psychoanalyse</w:t>
        </w:r>
      </w:hyperlink>
      <w:r w:rsidR="002E0E50" w:rsidRPr="005C1841">
        <w:rPr>
          <w:rFonts w:ascii="Garamond" w:hAnsi="Garamond" w:cs="Arial"/>
          <w:b/>
          <w:bCs/>
          <w:color w:val="000000"/>
          <w:lang w:val="en-GB"/>
        </w:rPr>
        <w:t xml:space="preserve">  1910</w:t>
      </w:r>
      <w:r w:rsidR="002E0E50" w:rsidRPr="005C1841">
        <w:rPr>
          <w:rFonts w:ascii="Garamond" w:hAnsi="Garamond" w:cs="Arial"/>
          <w:color w:val="000000"/>
          <w:lang w:val="en-GB"/>
        </w:rPr>
        <w:br/>
      </w:r>
    </w:p>
    <w:p w:rsidR="002E0E50" w:rsidRPr="00F7475D" w:rsidRDefault="002E0E50" w:rsidP="002E0E50">
      <w:pPr>
        <w:rPr>
          <w:rFonts w:ascii="Garamond" w:hAnsi="Garamond" w:cs="Arial"/>
          <w:b/>
          <w:bCs/>
          <w:color w:val="000000"/>
          <w:lang w:val="en-GB"/>
        </w:rPr>
      </w:pPr>
      <w:r w:rsidRPr="00F7475D">
        <w:rPr>
          <w:rFonts w:ascii="Garamond" w:hAnsi="Garamond" w:cs="Arial"/>
          <w:b/>
          <w:bCs/>
          <w:color w:val="000000"/>
          <w:lang w:val="en-GB"/>
        </w:rPr>
        <w:t>I.</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Meine Damen und Herren! Es ist mir ein neuartiges und verwirrendes Gefühl, als Vortragender vor Wißbegierigen der Neuen Welt zu stehen. Ich nehme an, daß ich diese Ehre nur der Verknüpfung meines Namens mit dem Thema der Psychoanalyse verdanke, und beabsichtige daher, Ihnen von Psychoanalyse zu sprechen. Ich will es versuchen, Ihnen in gedrängtester Kürze einen Überblick über die Geschichte der Entstehung und weiteren Fortbildung dieser neuen Untersuchungs- und Heilmethode zu geben.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Wenn es ein Verdienst ist, die Psychoanalyse ins Leben gerufen zu haben, so ist es nicht mein Verdienst. Ich bin an den ersten Anfängen derselben nicht beteiligt gewesen. Ich war Student und mit der Ablegung meiner letzten Prüfungen beschäftigt, als ein anderer Wiener Arzt, Dr. Josef </w:t>
      </w:r>
      <w:r w:rsidRPr="00F7475D">
        <w:rPr>
          <w:rFonts w:ascii="Garamond" w:hAnsi="Garamond" w:cs="Arial"/>
          <w:i/>
          <w:iCs/>
          <w:color w:val="000000"/>
          <w:lang w:val="en-GB"/>
        </w:rPr>
        <w:t>Breuer</w:t>
      </w:r>
      <w:r w:rsidRPr="00F7475D">
        <w:rPr>
          <w:rFonts w:ascii="Garamond" w:hAnsi="Garamond" w:cs="Arial"/>
          <w:color w:val="000000"/>
          <w:lang w:val="en-GB"/>
        </w:rPr>
        <w:t xml:space="preserve">, </w:t>
      </w:r>
      <w:hyperlink r:id="rId1576"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 xml:space="preserve">Dr. Josef </w:t>
        </w:r>
        <w:r w:rsidRPr="00F7475D">
          <w:rPr>
            <w:rStyle w:val="innerfusslink3"/>
            <w:rFonts w:ascii="Garamond" w:hAnsi="Garamond" w:cs="Arial"/>
            <w:b/>
            <w:bCs/>
            <w:i/>
            <w:iCs/>
            <w:lang w:val="en-GB"/>
          </w:rPr>
          <w:t>Breuer</w:t>
        </w:r>
        <w:r w:rsidRPr="00F7475D">
          <w:rPr>
            <w:rStyle w:val="innerfusslink3"/>
            <w:rFonts w:ascii="Garamond" w:hAnsi="Garamond" w:cs="Arial"/>
            <w:b/>
            <w:bCs/>
            <w:lang w:val="en-GB"/>
          </w:rPr>
          <w:t>, geb. 1842, korrespondierendes Mitglied der k. Akademie der Wissenschaften, bekannt durch Arbeiten über die Atmung und zur Physiologie des Gleichgewichtssinnes.</w:t>
        </w:r>
      </w:hyperlink>
      <w:r w:rsidRPr="00F7475D">
        <w:rPr>
          <w:rFonts w:ascii="Garamond" w:hAnsi="Garamond" w:cs="Arial"/>
          <w:color w:val="000000"/>
          <w:lang w:val="en-GB"/>
        </w:rPr>
        <w:t xml:space="preserve"> dieses Verfahren zuerst an einem hysterisch erkrankten Mädchen anwendete (1880-1882). Mit dieser Kranken- und Behandlungsgeschichte wollen wir uns nun zunächst beschäftigen. Sie finden dieselbe ausführlich dargestellt in den später von </w:t>
      </w:r>
      <w:r w:rsidRPr="00F7475D">
        <w:rPr>
          <w:rFonts w:ascii="Garamond" w:hAnsi="Garamond" w:cs="Arial"/>
          <w:i/>
          <w:iCs/>
          <w:color w:val="000000"/>
          <w:lang w:val="en-GB"/>
        </w:rPr>
        <w:t>Breuer</w:t>
      </w:r>
      <w:r w:rsidRPr="00F7475D">
        <w:rPr>
          <w:rFonts w:ascii="Garamond" w:hAnsi="Garamond" w:cs="Arial"/>
          <w:color w:val="000000"/>
          <w:lang w:val="en-GB"/>
        </w:rPr>
        <w:t xml:space="preserve"> und mir veröffentlichten »Studien über Hysterie«. </w:t>
      </w:r>
      <w:hyperlink r:id="rId1577"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 xml:space="preserve">Studien über Hysterie. 1895. Fr. Deuticke, Wien, 2. Aufl., 1909. Stücke meines Anteils an diesem Buch sind von Dr. A. A. </w:t>
        </w:r>
        <w:r w:rsidRPr="00F7475D">
          <w:rPr>
            <w:rStyle w:val="innerfusslink3"/>
            <w:rFonts w:ascii="Garamond" w:hAnsi="Garamond" w:cs="Arial"/>
            <w:b/>
            <w:bCs/>
            <w:i/>
            <w:iCs/>
            <w:lang w:val="en-GB"/>
          </w:rPr>
          <w:t>Brill</w:t>
        </w:r>
        <w:r w:rsidRPr="00F7475D">
          <w:rPr>
            <w:rStyle w:val="innerfusslink3"/>
            <w:rFonts w:ascii="Garamond" w:hAnsi="Garamond" w:cs="Arial"/>
            <w:b/>
            <w:bCs/>
            <w:lang w:val="en-GB"/>
          </w:rPr>
          <w:t xml:space="preserve"> in New York ins Englische übertragen worden (Selected papers on Hysteria and other Psychoneuroses by S. Freud, Nr. 4 der »Nervous and Mental Disease Monograph Series«, New York).</w:t>
        </w:r>
      </w:hyperlink>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Vorher nur noch eine Bemerkung. Ich habe nicht ohne Befriedigung erfahren, daß die Mehrzahl meiner Zuhörer nicht dem ärztlichen Stande angehört. Besorgen Sie nun nicht, daß es besonderer ärztlicher Vorbildung bedarf, um meinen Mitteilungen zu folgen. Wir werden allerdings ein Stück weit mit den Ärzten gehen, aber bald werden wir uns absondern und Dr. </w:t>
      </w:r>
      <w:r w:rsidRPr="00F7475D">
        <w:rPr>
          <w:rFonts w:ascii="Garamond" w:hAnsi="Garamond" w:cs="Arial"/>
          <w:i/>
          <w:iCs/>
          <w:color w:val="000000"/>
          <w:lang w:val="en-GB"/>
        </w:rPr>
        <w:t>Breuer</w:t>
      </w:r>
      <w:r w:rsidRPr="00F7475D">
        <w:rPr>
          <w:rFonts w:ascii="Garamond" w:hAnsi="Garamond" w:cs="Arial"/>
          <w:color w:val="000000"/>
          <w:lang w:val="en-GB"/>
        </w:rPr>
        <w:t xml:space="preserve"> auf einen ganz eigenartigen Weg begleiten.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Dr. </w:t>
      </w:r>
      <w:r w:rsidRPr="00F7475D">
        <w:rPr>
          <w:rFonts w:ascii="Garamond" w:hAnsi="Garamond" w:cs="Arial"/>
          <w:i/>
          <w:iCs/>
          <w:color w:val="000000"/>
          <w:lang w:val="en-GB"/>
        </w:rPr>
        <w:t>Breuers</w:t>
      </w:r>
      <w:r w:rsidRPr="00F7475D">
        <w:rPr>
          <w:rFonts w:ascii="Garamond" w:hAnsi="Garamond" w:cs="Arial"/>
          <w:color w:val="000000"/>
          <w:lang w:val="en-GB"/>
        </w:rPr>
        <w:t xml:space="preserve"> Patientin, ein 21jähriges, geistig hochbegabtes Mädchen, entwickelte im Verlaufe ihrer über zwei Jahre ausgedehnten Krankheit eine Reihe von körperlichen und seelischen Störungen, die es wohl verdienten, ernst genommen zu werden. Sie hatte eine steife Lähmung der beiden rechtsseitigen Extremitäten mit Unempfindlichkeit derselben, zeitweise dieselbe Affektion an den Gliedern der linken Körperseite, Störungen der Augenbewegungen und mannigfache Beeinträchtigungen des Sehvermögens, Schwierigkeiten der Kopfhaltung, eine intensive Tussis nervosa, Ekel vor Nahrungsaufnahme und einmal durch mehrere Wochen eine Unfähigkeit zu trinken trotz quälenden Durstes, eine Herabsetzung des Sprachvermögens, die bis zum Verlust der Fähigkeit fortschritt, ihre Muttersprache zu sprechen oder zu verstehen, endlich Zustände von Abwesenheit, Verworrenheit, Delirien, Alteration ihrer ganzen Persönlichkeit, denen wir unsere Aufmerksamkeit später werden zuwenden müssen.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Wenn Sie von einem solchen Krankheitsbilde hören, so werden Sie, auch ohne Ärzte zu sein, der Annahme zuneigen, daß es sich um ein schweres </w:t>
      </w:r>
      <w:smartTag w:uri="urn:schemas-microsoft-com:office:smarttags" w:element="City">
        <w:smartTag w:uri="urn:schemas-microsoft-com:office:smarttags" w:element="place">
          <w:r w:rsidRPr="00F7475D">
            <w:rPr>
              <w:rFonts w:ascii="Garamond" w:hAnsi="Garamond" w:cs="Arial"/>
              <w:color w:val="000000"/>
              <w:lang w:val="en-GB"/>
            </w:rPr>
            <w:t>Leiden</w:t>
          </w:r>
        </w:smartTag>
      </w:smartTag>
      <w:r w:rsidRPr="00F7475D">
        <w:rPr>
          <w:rFonts w:ascii="Garamond" w:hAnsi="Garamond" w:cs="Arial"/>
          <w:color w:val="000000"/>
          <w:lang w:val="en-GB"/>
        </w:rPr>
        <w:t xml:space="preserve">, wahrscheinlich des Gehirns, handle, welches wenig Aussicht auf Herstellung biete und zur baldigen Auflösung der Kranken führen dürfte. Lassen Sie sich indes von den Ärzten belehren, daß für eine Reihe von Fällen mit so schweren Erscheinungen eine andere und weitaus günstigere Auffassung berechtigter ist. Wenn ein solches Krankheitsbild bei einem jugendlichen weiblichen Individuum auftritt, dessen lebenswichtige innere Organe (Herz, Niere) sich der objektiven Untersuchung normal erweisen, das aber heftige </w:t>
      </w:r>
      <w:r w:rsidRPr="00F7475D">
        <w:rPr>
          <w:rFonts w:ascii="Garamond" w:hAnsi="Garamond" w:cs="Arial"/>
          <w:i/>
          <w:iCs/>
          <w:color w:val="000000"/>
          <w:lang w:val="en-GB"/>
        </w:rPr>
        <w:t>gemütliche</w:t>
      </w:r>
      <w:r w:rsidRPr="00F7475D">
        <w:rPr>
          <w:rFonts w:ascii="Garamond" w:hAnsi="Garamond" w:cs="Arial"/>
          <w:color w:val="000000"/>
          <w:lang w:val="en-GB"/>
        </w:rPr>
        <w:t xml:space="preserve"> Erschütterungen erfahren hat, und wenn die einzelnen Symptome in gewissen feineren Charakteren von der Erwartung abweichen, dann </w:t>
      </w:r>
      <w:r w:rsidRPr="00F7475D">
        <w:rPr>
          <w:rFonts w:ascii="Garamond" w:hAnsi="Garamond" w:cs="Arial"/>
          <w:color w:val="000000"/>
          <w:lang w:val="en-GB"/>
        </w:rPr>
        <w:lastRenderedPageBreak/>
        <w:t xml:space="preserve">nehmen die Ärzte einen solchen Fall nicht zu schwer. Sie behaupten, daß dann nicht ein organisches </w:t>
      </w:r>
      <w:smartTag w:uri="urn:schemas-microsoft-com:office:smarttags" w:element="City">
        <w:smartTag w:uri="urn:schemas-microsoft-com:office:smarttags" w:element="place">
          <w:r w:rsidRPr="00F7475D">
            <w:rPr>
              <w:rFonts w:ascii="Garamond" w:hAnsi="Garamond" w:cs="Arial"/>
              <w:color w:val="000000"/>
              <w:lang w:val="en-GB"/>
            </w:rPr>
            <w:t>Leiden</w:t>
          </w:r>
        </w:smartTag>
      </w:smartTag>
      <w:r w:rsidRPr="00F7475D">
        <w:rPr>
          <w:rFonts w:ascii="Garamond" w:hAnsi="Garamond" w:cs="Arial"/>
          <w:color w:val="000000"/>
          <w:lang w:val="en-GB"/>
        </w:rPr>
        <w:t xml:space="preserve"> des Gehirns vorliegt, sondern jener rätselhafte, seit den Zeiten der griechischen Medizin </w:t>
      </w:r>
      <w:r w:rsidRPr="00F7475D">
        <w:rPr>
          <w:rFonts w:ascii="Garamond" w:hAnsi="Garamond" w:cs="Arial"/>
          <w:i/>
          <w:iCs/>
          <w:color w:val="000000"/>
          <w:lang w:val="en-GB"/>
        </w:rPr>
        <w:t>Hysterie</w:t>
      </w:r>
      <w:r w:rsidRPr="00F7475D">
        <w:rPr>
          <w:rFonts w:ascii="Garamond" w:hAnsi="Garamond" w:cs="Arial"/>
          <w:color w:val="000000"/>
          <w:lang w:val="en-GB"/>
        </w:rPr>
        <w:t xml:space="preserve"> benannte Zustand, der eine ganze Anzahl von Bildern ernster Erkrankung vorzutäuschen vermöge. Sie halten dann das Leben für nicht bedroht und eine selbst vollkommene Herstellung der Gesundheit für wahrscheinlich. Die Unterscheidung einer solchen Hysterie von einem schweren organischen </w:t>
      </w:r>
      <w:smartTag w:uri="urn:schemas-microsoft-com:office:smarttags" w:element="City">
        <w:smartTag w:uri="urn:schemas-microsoft-com:office:smarttags" w:element="place">
          <w:r w:rsidRPr="00F7475D">
            <w:rPr>
              <w:rFonts w:ascii="Garamond" w:hAnsi="Garamond" w:cs="Arial"/>
              <w:color w:val="000000"/>
              <w:lang w:val="en-GB"/>
            </w:rPr>
            <w:t>Leiden</w:t>
          </w:r>
        </w:smartTag>
      </w:smartTag>
      <w:r w:rsidRPr="00F7475D">
        <w:rPr>
          <w:rFonts w:ascii="Garamond" w:hAnsi="Garamond" w:cs="Arial"/>
          <w:color w:val="000000"/>
          <w:lang w:val="en-GB"/>
        </w:rPr>
        <w:t xml:space="preserve"> ist nicht immer sehr leicht. Wir brauchen aber nicht zu wissen, wie eine Differentialdiagnose dieser Art gemacht wird; uns mag die Versicherung genügen, daß gerade der Fall von </w:t>
      </w:r>
      <w:r w:rsidRPr="00F7475D">
        <w:rPr>
          <w:rFonts w:ascii="Garamond" w:hAnsi="Garamond" w:cs="Arial"/>
          <w:i/>
          <w:iCs/>
          <w:color w:val="000000"/>
          <w:lang w:val="en-GB"/>
        </w:rPr>
        <w:t>Breuers</w:t>
      </w:r>
      <w:r w:rsidRPr="00F7475D">
        <w:rPr>
          <w:rFonts w:ascii="Garamond" w:hAnsi="Garamond" w:cs="Arial"/>
          <w:color w:val="000000"/>
          <w:lang w:val="en-GB"/>
        </w:rPr>
        <w:t xml:space="preserve"> Patientin ein solcher ist, bei dem kein kundiger Arzt die Diagnose der Hysterie verfehlen wird. Wir können auch an dieser Stelle aus dem Krankheitsbericht nachtragen, daß ihre Erkrankung auftrat, während sie ihren zärtlich geliebten Vater in seiner schweren, zum Tode führenden Krankheit pflegte, und daß sie infolge ihrer eigenen Erkrankung von der Pflege zurücktreten mußte.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Soweit hat es uns Vorteil gebracht, mit den Ärzten zu gehen, und nun werden wir uns bald von ihnen trennen. Sie dürfen nämlich nicht erwarten, daß die Aussicht eines Kranken auf ärztliche Hilfeleistung dadurch wesentlich gesteigert wird, daß die Diagnose der Hysterie an die Stelle des Urteils auf ernste organische Hirnaffektion tritt. Gegen die schweren Erkrankungen des Gehirns ist die ärztliche Kunst in den meisten Fällen ohnmächtig, aber auch gegen die hysterische Affektion weiß der Arzt nichts zu tun. Er muß es der gütigen Natur überlassen, wann und wie sie seine hoffnungsvolle Prognose verwirklichen will. </w:t>
      </w:r>
      <w:hyperlink r:id="rId1578"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Ich weiß, daß diese Behauptung heute nicht mehr zutrifft, aber im Vortrage versetze ich mich und meine Hörer zurück in die Zeit vor 1880. Wenn es seither anders geworden ist, so haben gerade die Bemühungen, deren Geschichte ich skizziere, daran einen großen Anteil.</w:t>
        </w:r>
      </w:hyperlink>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Mit der Erkennung der Hysterie wird also für den Kranken wenig geändert; desto mehr ändert sich für den Arzt. Wir können beobachten, daß er sich gegen den hysterischen ganz anders einstellt als gegen den organisch Kranken. Er will dem ersteren nicht dieselbe Teilnahme entgegenbringen wie dem letzteren, da sein </w:t>
      </w:r>
      <w:smartTag w:uri="urn:schemas-microsoft-com:office:smarttags" w:element="City">
        <w:smartTag w:uri="urn:schemas-microsoft-com:office:smarttags" w:element="place">
          <w:r w:rsidRPr="00F7475D">
            <w:rPr>
              <w:rFonts w:ascii="Garamond" w:hAnsi="Garamond" w:cs="Arial"/>
              <w:color w:val="000000"/>
              <w:lang w:val="en-GB"/>
            </w:rPr>
            <w:t>Leiden</w:t>
          </w:r>
        </w:smartTag>
      </w:smartTag>
      <w:r w:rsidRPr="00F7475D">
        <w:rPr>
          <w:rFonts w:ascii="Garamond" w:hAnsi="Garamond" w:cs="Arial"/>
          <w:color w:val="000000"/>
          <w:lang w:val="en-GB"/>
        </w:rPr>
        <w:t xml:space="preserve"> weit weniger ernsthaft ist und doch den Anspruch zu erheben scheint, für ebenso ernsthaft zu gelten. Aber es wirkt noch anderes mit. Der Arzt, der durch sein Studium so vieles kennen gelernt hat, was dem Laien verschlossen ist, hat sich von den Krankheitsursachen und Krankheitsveränderungen, z. B. im Gehirn eines an Apoplexie oder Neubildung Leidenden Vorstellungen bilden können, die bis zu einem gewissen Grade zutreffend sein müssen, da sie ihm das Verständnis der Einzelheiten des Krankheitsbildes gestatten. Vor den Details der hysterischen Phänomene läßt ihn aber all sein Wissen, seine anatomisch-physiologische und pathologische Vorbildung im Stiche. Er kann die Hysterie nicht verstehen, er steht ihr selbst wie ein Laie gegenüber. Und das ist nun niemandem recht, der sonst auf sein Wissen so große Stücke hält. Die Hysterischen gehen also seiner Sympathie verlustig; er betrachtet sie wie Personen, welche die Gesetze seiner Wissenschaft übertreten, wie die Rechtgläubigen die Ketzer ansehen; er traut ihnen alles mögliche Böse zu, beschuldigt sie der Übertreibung und der absichtlichen Täuschung, Simulation; und er bestraft sie durch die Entziehung seines Interesses.</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Diesen Vorwurf hat nun Dr. </w:t>
      </w:r>
      <w:r w:rsidRPr="00F7475D">
        <w:rPr>
          <w:rFonts w:ascii="Garamond" w:hAnsi="Garamond" w:cs="Arial"/>
          <w:i/>
          <w:iCs/>
          <w:color w:val="000000"/>
          <w:lang w:val="en-GB"/>
        </w:rPr>
        <w:t>Breuer</w:t>
      </w:r>
      <w:r w:rsidRPr="00F7475D">
        <w:rPr>
          <w:rFonts w:ascii="Garamond" w:hAnsi="Garamond" w:cs="Arial"/>
          <w:color w:val="000000"/>
          <w:lang w:val="en-GB"/>
        </w:rPr>
        <w:t xml:space="preserve"> bei seiner Patientin nicht verdient; er schenkte ihr Sympathie und Interesse, obwohl er ihr anfangs nicht zu helfen verstand. Wahrscheinlich erleichterte sie es ihm auch durch die vorzüglichen Geistes- und Charaktereigenschaften, für die er in der von ihm abgefaßten Krankengeschichte Zeugnis ablegt. Seine liebevolle Beobachtung fand auch bald den Weg, der die erste Hilfeleistung ermöglichte.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Es war bemerkt worden, daß die Kranke in ihren Zuständen von Absenz, psychischer Alteration mit Verworrenheit, einige Worte vor sich hin zu murmeln pflegte, welche den Eindruck machten, als stammten sie aus einem Zusammenhange, der ihr Denken beschäftige. Der Arzt, der sich diese Worte berichten ließ, versetzte sie nun in eine Art von Hypnose und sagte ihr jedesmal diese Worte wieder vor, um sie zu veranlassen, daß sie an dieselben anknüpfe. Die Kranke ging darauf ein und reproduzierte so vor dem Arzt die psychischen Schöpfungen, die sie während der Absenzen beherrscht und sich in jenen </w:t>
      </w:r>
      <w:r w:rsidRPr="00F7475D">
        <w:rPr>
          <w:rFonts w:ascii="Garamond" w:hAnsi="Garamond" w:cs="Arial"/>
          <w:color w:val="000000"/>
          <w:lang w:val="en-GB"/>
        </w:rPr>
        <w:lastRenderedPageBreak/>
        <w:t>vereinzelt geäußerten Worten verraten hatten. Es waren tieftraurige, oft poetisch schöne Phantasien, Tagträume würden wir sagen, die gewöhnlich die Situation eines Mädchens am Krankenbett seines Vaters zum Ausgangspunkt nahmen. Hatte sie eine Anzahl solcher Phantasien erzählt, so war sie wie befreit und ins normale seelische Leben zurückgeführt. Das Wohlbefinden, das durch mehrere Stunden anhielt, wich dann am nächsten Tage einer neuerlichen Absenz, welche auf dieselbe Weise durch Aussprechen der neu gebildeten Phantasien aufgehoben wurde. Man konnte sich dem Eindrucke nicht entziehen, daß die psychische Veränderung, die sich in den Absenzen äußerte, eine Folge des Reizes sei, der von diesen höchst affektvollen Phantasiebildungen ausging. Die Patientin selbst, die um diese Zeit ihres Krankseins merkwürdigerweise nur Englisch sprach und verstand, gab dieser neuartigen Behandlung den Namen »talking cure« oder bezeichnete sie scherzhaft als »chimney sweeping«.</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Es ergab sich bald wie zufällig, daß man durch solches Reinfegen der Seele noch mehr erreichen könne als vorübergehende Beseitigung der immer wiederkehrenden seelischen Trübungen. Es ließen sich auch Leidenssymptome zum Verschwinden bringen, wenn in der Hypnose unter Affektäußerung erinnert wurde, bei welchem Anlaß und kraft welches Zusammenhanges diese Symptome zuerst aufgetreten waren. »Es war im Sommer eine Zeit intensiver Hitze gewesen und Patientin hatte sehr arg durch Durst gelitten; denn, ohne einen Grund angeben zu können, war ihr plötzlich unmöglich geworden, zu trinken. Sie nahm das ersehnte Glas Wasser in die Hand, aber sowie es die Lippen berührte, stieß sie es weg wie ein Hydrophobischer. Dabei war sie offenbar für diese paar Sekunden in einer Absenz. Sie lebte nur von Obst, Melonen u. dgl., um den qualvollen Durst zu mildem. Als das etwa sechs Wochen gedauert hatte, räsonierte sie einmal in der Hypnose über ihre englische Gesellschafterin, die sie nicht liebte, und erzählte dann mit allen Zeichen des Abscheus, wie sie auf deren Zimmer gekommen sei, und da deren kleiner Hund, das ekelhafte Tier, aus einem Glas getrunken habe. Sie habe nichts gesagt, denn sie wollte höflich sein. Nachdem sie ihrem steckengebliebenen Ärger noch energisch Ausdruck gegeben, verlangte sie zu trinken, trank ohne Hemmung eine große Menge Wasser und erwachte aus der Hypnose mit dem Glas an den Lippen. Die Störung war damit für immer verschwunden.« </w:t>
      </w:r>
      <w:hyperlink r:id="rId1579"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Studien über Hysterie, 2. Aufl., p. 26.</w:t>
        </w:r>
      </w:hyperlink>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Gestatten Sie, daß ich Sie bei dieser Erfahrung einen Moment aufhalte! Niemand hatte noch ein hysterisches Symptom durch solche Mittel beseitigt und war dabei so tief in das Verständnis seiner Verursachung eingedrungen. Es mußte eine folgenschwere Entdeckung werden, wenn sich die Erwartung bestätigen ließ, daß noch andere, daß vielleicht die Mehrzahl der Symptome bei der Kranken auf solche Weise entstanden und auf solche Weise aufzuheben war. </w:t>
      </w:r>
      <w:r w:rsidRPr="00F7475D">
        <w:rPr>
          <w:rFonts w:ascii="Garamond" w:hAnsi="Garamond" w:cs="Arial"/>
          <w:i/>
          <w:iCs/>
          <w:color w:val="000000"/>
          <w:lang w:val="en-GB"/>
        </w:rPr>
        <w:t>Breuer</w:t>
      </w:r>
      <w:r w:rsidRPr="00F7475D">
        <w:rPr>
          <w:rFonts w:ascii="Garamond" w:hAnsi="Garamond" w:cs="Arial"/>
          <w:color w:val="000000"/>
          <w:lang w:val="en-GB"/>
        </w:rPr>
        <w:t xml:space="preserve"> scheute die Mühe nicht, sich davon zu überzeugen, und forschte nun planmäßig der Pathogenese der anderen und ernsteren Leidenssymptome nach. Es war wirklich so; fast alle Symptome waren so entstanden als Reste, als Niederschläge, wenn Sie wollen, von affektvollen Erlebnissen, die wir darum später »psychische Traumen« genannt haben, und ihre Besonderheit klärte sich durch die Beziehung zu der sie verursachenden traumatischen Szene auf. Sie waren, wie das Kunstwort lautet, durch die Szenen, deren Gedächtnisreste sie darstellten, </w:t>
      </w:r>
      <w:r w:rsidRPr="00F7475D">
        <w:rPr>
          <w:rFonts w:ascii="Garamond" w:hAnsi="Garamond" w:cs="Arial"/>
          <w:i/>
          <w:iCs/>
          <w:color w:val="000000"/>
          <w:lang w:val="en-GB"/>
        </w:rPr>
        <w:t>determiniert</w:t>
      </w:r>
      <w:r w:rsidRPr="00F7475D">
        <w:rPr>
          <w:rFonts w:ascii="Garamond" w:hAnsi="Garamond" w:cs="Arial"/>
          <w:color w:val="000000"/>
          <w:lang w:val="en-GB"/>
        </w:rPr>
        <w:t>, brauchten nicht mehr als willkürliche oder rätselhafte Leistungen der Neurose beschrieben zu werden. Nur einer Abweichung von der Erwartung sei gedacht. Es war nicht immer ein einziges Erlebnis, welches das Symptom zurückließ, sondern meist waren zahlreiche, oft sehr viele ähnliche, wiederholte Traumen zu dieser Wirkung zusammengetreten. Diese ganze Kette von pathogenen Erinnerungen mußte dann in chronologischer Reihenfolge reproduziert werden, und zwar umgekehrt, die letzte zuerst und die erste zuletzt, und es war ganz unmöglich, zum ersten und oft wirksamsten Trauma mit Überspringung der später erfolgten vorzudringen.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Sie werden nun gewiß noch andere Beispiele von Verursachung hysterischer Symptome als das der Wasserscheu durch den Ekel vor dem aus dem Glas trinkenden Hund von mir hören wollen. Ich muß </w:t>
      </w:r>
      <w:smartTag w:uri="urn:schemas-microsoft-com:office:smarttags" w:element="State">
        <w:smartTag w:uri="urn:schemas-microsoft-com:office:smarttags" w:element="place">
          <w:r w:rsidRPr="00F7475D">
            <w:rPr>
              <w:rFonts w:ascii="Garamond" w:hAnsi="Garamond" w:cs="Arial"/>
              <w:color w:val="000000"/>
              <w:lang w:val="en-GB"/>
            </w:rPr>
            <w:t>mich</w:t>
          </w:r>
        </w:smartTag>
      </w:smartTag>
      <w:r w:rsidRPr="00F7475D">
        <w:rPr>
          <w:rFonts w:ascii="Garamond" w:hAnsi="Garamond" w:cs="Arial"/>
          <w:color w:val="000000"/>
          <w:lang w:val="en-GB"/>
        </w:rPr>
        <w:t xml:space="preserve"> aber, wenn ich mein Programm einhalten will, auf sehr wenige Proben beschränken. So erzählt </w:t>
      </w:r>
      <w:r w:rsidRPr="00F7475D">
        <w:rPr>
          <w:rFonts w:ascii="Garamond" w:hAnsi="Garamond" w:cs="Arial"/>
          <w:i/>
          <w:iCs/>
          <w:color w:val="000000"/>
          <w:lang w:val="en-GB"/>
        </w:rPr>
        <w:t>Breuer</w:t>
      </w:r>
      <w:r w:rsidRPr="00F7475D">
        <w:rPr>
          <w:rFonts w:ascii="Garamond" w:hAnsi="Garamond" w:cs="Arial"/>
          <w:color w:val="000000"/>
          <w:lang w:val="en-GB"/>
        </w:rPr>
        <w:t xml:space="preserve">, daß ihre Sehstörungen sich auf Anlässe zurückführten »in der Art, daß Patientin mit Tränen im </w:t>
      </w:r>
      <w:r w:rsidRPr="00F7475D">
        <w:rPr>
          <w:rFonts w:ascii="Garamond" w:hAnsi="Garamond" w:cs="Arial"/>
          <w:color w:val="000000"/>
          <w:lang w:val="en-GB"/>
        </w:rPr>
        <w:lastRenderedPageBreak/>
        <w:t xml:space="preserve">Auge, am Krankenbett sitzend, plötzlich vom Vater gefragt wurde, wieviel Uhr es sei, undeutlich sah, sich anstrengte, die Uhr nahe ans Auge brachte und nun das Zifferblatt sehr groß erschien (Makropsie und Strabismus conv.); oder Anstrengungen machte, die Tränen zu unterdrücken, damit sie der Kranke nicht sehe«. </w:t>
      </w:r>
      <w:hyperlink r:id="rId1580" w:anchor="#" w:history="1">
        <w:r w:rsidRPr="00F7475D">
          <w:rPr>
            <w:rStyle w:val="fusslink"/>
            <w:rFonts w:ascii="Garamond" w:hAnsi="Garamond" w:cs="Arial"/>
            <w:b/>
            <w:bCs/>
            <w:color w:val="003399"/>
          </w:rPr>
          <w:t>[Fußnote]</w:t>
        </w:r>
        <w:r w:rsidRPr="00F7475D">
          <w:rPr>
            <w:rStyle w:val="innerfusslink3"/>
            <w:rFonts w:ascii="Garamond" w:hAnsi="Garamond" w:cs="Arial"/>
            <w:b/>
            <w:bCs/>
          </w:rPr>
          <w:t>Studien über Hysterie, 2. Aufl., p. 31.</w:t>
        </w:r>
      </w:hyperlink>
      <w:r w:rsidRPr="00F7475D">
        <w:rPr>
          <w:rFonts w:ascii="Garamond" w:hAnsi="Garamond" w:cs="Arial"/>
          <w:color w:val="000000"/>
        </w:rPr>
        <w:t xml:space="preserve"> Alle pathogenen Eindrücke stammten übrigens aus der Zeit, da sie sich an der Pflege des erkrankten Vaters beteiligte. »Einmal wachte sie nachts in großer Angst um den hochfiebernden Kranken und in Spannung, weil von Wien ein Chirurg zur Operation erwartet wurde. </w:t>
      </w:r>
      <w:r w:rsidRPr="00F7475D">
        <w:rPr>
          <w:rFonts w:ascii="Garamond" w:hAnsi="Garamond" w:cs="Arial"/>
          <w:color w:val="000000"/>
          <w:lang w:val="en-GB"/>
        </w:rPr>
        <w:t xml:space="preserve">Die Mutter hatte sich für einige Zeit entfernt, und Anna saß am Krankenbette, den rechten Arm über die Stuhllehne gelegt. Sie geriet in einen Zustand von Wachträumen und sah, wie von der Wand her eine schwarze Schlange sich dem Kranken näherte, um ihn zu beißen. (Es ist sehr wahrscheinlich, daß auf der Wiese hinter dem Hause wirklich einige Schlangen vorkamen, über die das Mädchen schon früher erschrocken war, und die nun das Material der Halluzination abgaben.) Sie wollte das Tier abwehren, war aber wie gelähmt; der rechte Arm, über die Stuhllehne hängend, war ›eingeschlafen‹, anästhetisch und paretisch geworden, und als sie ihn betrachtete, verwandelten sich die Finger in kleine Schlangen mit Totenköpfen (Nägel). Wahrscheinlich machte sie Versuche, die Schlange mit der gelähmten rechten Hand zu verjagen, und dadurch trat die Anästhesie und Lähmung derselben in Assoziation mit der Schlangenhalluzination. Als diese verschwunden war, wollte sie in ihrer Angst beten, aber jede Sprache versagte, sie konnte in keiner sprechen, bis sie endlich einen </w:t>
      </w:r>
      <w:r w:rsidRPr="00F7475D">
        <w:rPr>
          <w:rFonts w:ascii="Garamond" w:hAnsi="Garamond" w:cs="Arial"/>
          <w:i/>
          <w:iCs/>
          <w:color w:val="000000"/>
          <w:lang w:val="en-GB"/>
        </w:rPr>
        <w:t>englischen</w:t>
      </w:r>
      <w:r w:rsidRPr="00F7475D">
        <w:rPr>
          <w:rFonts w:ascii="Garamond" w:hAnsi="Garamond" w:cs="Arial"/>
          <w:color w:val="000000"/>
          <w:lang w:val="en-GB"/>
        </w:rPr>
        <w:t xml:space="preserve"> Kindervers fand und nun auch in dieser Sprache fortdenken und beten konnte.« </w:t>
      </w:r>
      <w:hyperlink r:id="rId1581"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l. c. p. 30.</w:t>
        </w:r>
      </w:hyperlink>
      <w:r w:rsidRPr="00F7475D">
        <w:rPr>
          <w:rFonts w:ascii="Garamond" w:hAnsi="Garamond" w:cs="Arial"/>
          <w:color w:val="000000"/>
          <w:lang w:val="en-GB"/>
        </w:rPr>
        <w:t xml:space="preserve"> Mit der Erinnerung dieser Szene in der Hypnose war auch die seit Beginn der Krankheit bestehende steife Lähmung des rechten Armes beseitigt und die Behandlung beendigt.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Als ich eine Anzahl von Jahren später die </w:t>
      </w:r>
      <w:r w:rsidRPr="00F7475D">
        <w:rPr>
          <w:rFonts w:ascii="Garamond" w:hAnsi="Garamond" w:cs="Arial"/>
          <w:i/>
          <w:iCs/>
          <w:color w:val="000000"/>
          <w:lang w:val="en-GB"/>
        </w:rPr>
        <w:t>Breuer</w:t>
      </w:r>
      <w:r w:rsidRPr="00F7475D">
        <w:rPr>
          <w:rFonts w:ascii="Garamond" w:hAnsi="Garamond" w:cs="Arial"/>
          <w:color w:val="000000"/>
          <w:lang w:val="en-GB"/>
        </w:rPr>
        <w:t xml:space="preserve">sche Untersuchungs- und Behandlungsmethode an meinen eigenen Kranken zu üben begann, machte ich Erfahrungen, die sich mit den seinigen vollkommen deckten. Bei einer etwa 40jährigen Dame bestand ein Tic, ein eigentümlich schnalzendes Geräusch, das sie bei jeder Aufregung und auch ohne ersichtlichen Anlaß hervorbrachte. Es hatte seinen Ursprung in zwei Erlebnissen, denen gemeinsam war, daß sie sich vornahm, jetzt ja keinen Lärm zu machen, und bei denen wie durch eine Art von Gegenwillen gerade dieses Geräusch die Stille durchbrach; das eine Mal, als sie ihr krankes Kind endlich mühselig eingeschläfert hatte und sich sagte, sie müsse jetzt ganz still sein, um es nicht zu wecken, und das andere Mal, als während einer Wagenfahrt mit ihren beiden Kindern im Gewitter die Pferde scheu wurden, und sie sorgfältig jeden Lärm vermeiden wollte, um die Tiere nicht noch mehr zu schrecken. </w:t>
      </w:r>
      <w:hyperlink r:id="rId1582"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l. c. 2. Aufl., p. 43 u. 46.</w:t>
        </w:r>
      </w:hyperlink>
      <w:r w:rsidRPr="00F7475D">
        <w:rPr>
          <w:rFonts w:ascii="Garamond" w:hAnsi="Garamond" w:cs="Arial"/>
          <w:color w:val="000000"/>
          <w:lang w:val="en-GB"/>
        </w:rPr>
        <w:t xml:space="preserve"> Ich gebe dieses Beispiel anstatt vieler anderer, die in den »Studien über Hysterie« niedergelegt sind. </w:t>
      </w:r>
      <w:hyperlink r:id="rId1583"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 xml:space="preserve">Eine Auswahl aus diesem Buche, vermehrt durch einige spätere Abhandlungen über Hysterie, liegt gegenwärtig in einer englischen, von Dr. A. A. </w:t>
        </w:r>
        <w:r w:rsidRPr="00F7475D">
          <w:rPr>
            <w:rStyle w:val="innerfusslink3"/>
            <w:rFonts w:ascii="Garamond" w:hAnsi="Garamond" w:cs="Arial"/>
            <w:b/>
            <w:bCs/>
            <w:i/>
            <w:iCs/>
            <w:lang w:val="en-GB"/>
          </w:rPr>
          <w:t>Brill</w:t>
        </w:r>
        <w:r w:rsidRPr="00F7475D">
          <w:rPr>
            <w:rStyle w:val="innerfusslink3"/>
            <w:rFonts w:ascii="Garamond" w:hAnsi="Garamond" w:cs="Arial"/>
            <w:b/>
            <w:bCs/>
            <w:lang w:val="en-GB"/>
          </w:rPr>
          <w:t xml:space="preserve"> in New York besorgten Übersetzung vor.</w:t>
        </w:r>
      </w:hyperlink>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Meine Damen und Herren, wenn Sie mir die Verallgemeinerung gestatten, die ja bei so abgekürzter Darstellung unvermeidlich ist, so können wir unsere bisherige Erkenntnis in die Formel fassen: </w:t>
      </w:r>
      <w:r w:rsidRPr="00F7475D">
        <w:rPr>
          <w:rFonts w:ascii="Garamond" w:hAnsi="Garamond" w:cs="Arial"/>
          <w:i/>
          <w:iCs/>
          <w:color w:val="000000"/>
          <w:lang w:val="en-GB"/>
        </w:rPr>
        <w:t>Unsere hysterisch Kranken leiden an Reminiszenzen.</w:t>
      </w:r>
      <w:r w:rsidRPr="00F7475D">
        <w:rPr>
          <w:rFonts w:ascii="Garamond" w:hAnsi="Garamond" w:cs="Arial"/>
          <w:color w:val="000000"/>
          <w:lang w:val="en-GB"/>
        </w:rPr>
        <w:t xml:space="preserve"> Ihre Symptome sind Reste und Erinnerungssymbole für gewisse (traumatische) Erlebnisse. Ein Vergleich mit anderen Erinnerungssymbolen auf anderen Gebieten wird uns vielleicht tiefer in das Verständnis dieser Symbolik führen. Auch die Denkmäler und Monumente, mit denen wir unsere großen Städte zieren, sind solche Erinnerungssymbole. Wenn Sie einen Spaziergang durch </w:t>
      </w:r>
      <w:r w:rsidRPr="00F7475D">
        <w:rPr>
          <w:rFonts w:ascii="Garamond" w:hAnsi="Garamond" w:cs="Arial"/>
          <w:i/>
          <w:iCs/>
          <w:color w:val="000000"/>
          <w:lang w:val="en-GB"/>
        </w:rPr>
        <w:t>London</w:t>
      </w:r>
      <w:r w:rsidRPr="00F7475D">
        <w:rPr>
          <w:rFonts w:ascii="Garamond" w:hAnsi="Garamond" w:cs="Arial"/>
          <w:color w:val="000000"/>
          <w:lang w:val="en-GB"/>
        </w:rPr>
        <w:t xml:space="preserve"> machen, so finden Sie vor einem der größten Bahnhöfe der Stadt eine reichverzierte gotische Säule, das </w:t>
      </w:r>
      <w:r w:rsidRPr="00F7475D">
        <w:rPr>
          <w:rFonts w:ascii="Garamond" w:hAnsi="Garamond" w:cs="Arial"/>
          <w:i/>
          <w:iCs/>
          <w:color w:val="000000"/>
          <w:lang w:val="en-GB"/>
        </w:rPr>
        <w:t>Charing Cross</w:t>
      </w:r>
      <w:r w:rsidRPr="00F7475D">
        <w:rPr>
          <w:rFonts w:ascii="Garamond" w:hAnsi="Garamond" w:cs="Arial"/>
          <w:color w:val="000000"/>
          <w:lang w:val="en-GB"/>
        </w:rPr>
        <w:t xml:space="preserve">. Einer der alten Plantagenetkönige im XIII. Jahrhundert, der den Leichnam seiner geliebten Königin Eleanor nach Westminster überführen ließ, errichtete gotische Kreuze an jeder der Stationen, wo der Sarg niedergestellt wurde, und </w:t>
      </w:r>
      <w:r w:rsidRPr="00F7475D">
        <w:rPr>
          <w:rFonts w:ascii="Garamond" w:hAnsi="Garamond" w:cs="Arial"/>
          <w:i/>
          <w:iCs/>
          <w:color w:val="000000"/>
          <w:lang w:val="en-GB"/>
        </w:rPr>
        <w:t>Charing Cross</w:t>
      </w:r>
      <w:r w:rsidRPr="00F7475D">
        <w:rPr>
          <w:rFonts w:ascii="Garamond" w:hAnsi="Garamond" w:cs="Arial"/>
          <w:color w:val="000000"/>
          <w:lang w:val="en-GB"/>
        </w:rPr>
        <w:t xml:space="preserve"> ist das letzte der Denkmäler, welche die Erinnerung an diesen Trauerzug erhalten sollten. </w:t>
      </w:r>
      <w:hyperlink r:id="rId1584" w:anchor="#" w:history="1">
        <w:r w:rsidRPr="00F7475D">
          <w:rPr>
            <w:rStyle w:val="fusslink"/>
            <w:rFonts w:ascii="Garamond" w:hAnsi="Garamond" w:cs="Arial"/>
            <w:b/>
            <w:bCs/>
            <w:color w:val="003399"/>
          </w:rPr>
          <w:t>[Fußnote]</w:t>
        </w:r>
        <w:r w:rsidRPr="00F7475D">
          <w:rPr>
            <w:rStyle w:val="innerfusslink3"/>
            <w:rFonts w:ascii="Garamond" w:hAnsi="Garamond" w:cs="Arial"/>
            <w:b/>
            <w:bCs/>
          </w:rPr>
          <w:t xml:space="preserve">Vielmehr die spätere Nachbildung eines solchen Denkmals. Der Name </w:t>
        </w:r>
        <w:r w:rsidRPr="00F7475D">
          <w:rPr>
            <w:rStyle w:val="innerfusslink3"/>
            <w:rFonts w:ascii="Garamond" w:hAnsi="Garamond" w:cs="Arial"/>
            <w:b/>
            <w:bCs/>
            <w:i/>
            <w:iCs/>
          </w:rPr>
          <w:t>Charing</w:t>
        </w:r>
        <w:r w:rsidRPr="00F7475D">
          <w:rPr>
            <w:rStyle w:val="innerfusslink3"/>
            <w:rFonts w:ascii="Garamond" w:hAnsi="Garamond" w:cs="Arial"/>
            <w:b/>
            <w:bCs/>
          </w:rPr>
          <w:t xml:space="preserve"> selbst soll, wie mir Dr. E. </w:t>
        </w:r>
        <w:r w:rsidRPr="00F7475D">
          <w:rPr>
            <w:rStyle w:val="innerfusslink3"/>
            <w:rFonts w:ascii="Garamond" w:hAnsi="Garamond" w:cs="Arial"/>
            <w:b/>
            <w:bCs/>
            <w:i/>
            <w:iCs/>
          </w:rPr>
          <w:t>Jones</w:t>
        </w:r>
        <w:r w:rsidRPr="00F7475D">
          <w:rPr>
            <w:rStyle w:val="innerfusslink3"/>
            <w:rFonts w:ascii="Garamond" w:hAnsi="Garamond" w:cs="Arial"/>
            <w:b/>
            <w:bCs/>
          </w:rPr>
          <w:t xml:space="preserve"> mitteilte, aus den Worten </w:t>
        </w:r>
        <w:r w:rsidRPr="00F7475D">
          <w:rPr>
            <w:rStyle w:val="innerfusslink3"/>
            <w:rFonts w:ascii="Garamond" w:hAnsi="Garamond" w:cs="Arial"/>
            <w:b/>
            <w:bCs/>
            <w:i/>
            <w:iCs/>
          </w:rPr>
          <w:t>Chère reine</w:t>
        </w:r>
        <w:r w:rsidRPr="00F7475D">
          <w:rPr>
            <w:rStyle w:val="innerfusslink3"/>
            <w:rFonts w:ascii="Garamond" w:hAnsi="Garamond" w:cs="Arial"/>
            <w:b/>
            <w:bCs/>
          </w:rPr>
          <w:t xml:space="preserve"> hervorgegangen sein.</w:t>
        </w:r>
      </w:hyperlink>
      <w:r w:rsidRPr="00F7475D">
        <w:rPr>
          <w:rFonts w:ascii="Garamond" w:hAnsi="Garamond" w:cs="Arial"/>
          <w:color w:val="000000"/>
        </w:rPr>
        <w:t xml:space="preserve"> </w:t>
      </w:r>
      <w:r w:rsidRPr="00F7475D">
        <w:rPr>
          <w:rFonts w:ascii="Garamond" w:hAnsi="Garamond" w:cs="Arial"/>
          <w:color w:val="000000"/>
          <w:lang w:val="en-GB"/>
        </w:rPr>
        <w:t xml:space="preserve">An einer anderen Stelle der Stadt, nicht weit von London Bridge, erblicken Sie eine modernere hochragende Säule, die kurzweg » </w:t>
      </w:r>
      <w:r w:rsidRPr="00F7475D">
        <w:rPr>
          <w:rFonts w:ascii="Garamond" w:hAnsi="Garamond" w:cs="Arial"/>
          <w:i/>
          <w:iCs/>
          <w:color w:val="000000"/>
          <w:lang w:val="en-GB"/>
        </w:rPr>
        <w:t>The Monument</w:t>
      </w:r>
      <w:r w:rsidRPr="00F7475D">
        <w:rPr>
          <w:rFonts w:ascii="Garamond" w:hAnsi="Garamond" w:cs="Arial"/>
          <w:color w:val="000000"/>
          <w:lang w:val="en-GB"/>
        </w:rPr>
        <w:t xml:space="preserve">« </w:t>
      </w:r>
      <w:r w:rsidRPr="00F7475D">
        <w:rPr>
          <w:rFonts w:ascii="Garamond" w:hAnsi="Garamond" w:cs="Arial"/>
          <w:color w:val="000000"/>
          <w:lang w:val="en-GB"/>
        </w:rPr>
        <w:lastRenderedPageBreak/>
        <w:t>genannt wird. Sie soll zur Erinnerung an das große Feuer mahnen, welches im Jahre 1666 dort in der Nähe ausbrach und einen großen Teil der Stadt zerstörte. Diese Monumente sind also Erinnerungssymbole wie die hysterischen Symptome, soweit scheint die Vergleichung berechtigt. Aber was würden Sie zu einem Londoner sagen, der heute noch vor dem Denkmal des Leichenzuges der Königin Eleanor in Wehmut stehen bliebe, anstatt mit der von den modernen Arbeitsverhältnissen geforderten Eile seinen Geschäften nachzugehen oder sich der eigenen jugendfrischen Königin seines Herzens zu erfreuen? Oder zu einem anderen, der vor dem »Monument« die Einäscherung seiner geliebten Vaterstadt beweinte, die doch seither längst soviel glänzender wiedererstanden ist? So wie diese beiden unpraktischen Londoner benehmen sich aber die Hysterischen und Neurotiker alle; nicht nur, daß sie die längst vergangenen schmerzlichen Erlebnisse erinnern, sie hängen noch affektvoll an ihnen, sie kommen von der Vergangenheit nicht los und vernachlässigen für sie die Wirklichkeit und die Gegenwart. Diese Fixierung des Seelenlebens an die pathogenen Traumen ist einer der wichtigsten und praktisch bedeutsamsten Charaktere der Neurose.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Ich gebe Ihnen gern den Einwand zu, den Sie jetzt wahrscheinlich bilden, indem Sie an die Krankengeschichte der </w:t>
      </w:r>
      <w:r w:rsidRPr="00F7475D">
        <w:rPr>
          <w:rFonts w:ascii="Garamond" w:hAnsi="Garamond" w:cs="Arial"/>
          <w:i/>
          <w:iCs/>
          <w:color w:val="000000"/>
          <w:lang w:val="en-GB"/>
        </w:rPr>
        <w:t>Breuer</w:t>
      </w:r>
      <w:r w:rsidRPr="00F7475D">
        <w:rPr>
          <w:rFonts w:ascii="Garamond" w:hAnsi="Garamond" w:cs="Arial"/>
          <w:color w:val="000000"/>
          <w:lang w:val="en-GB"/>
        </w:rPr>
        <w:t xml:space="preserve">schen Patientin denken. Alle ihre Traumen entstammten ja der Zeit, da sie den kranken Vater pflegte, und ihre Symptome können nur als Erinnerungszeichen für seine Krankheit und seinen Tod aufgefaßt werden. Sie entsprechen also einer Trauer, und eine Fixierung an das Andenken des Verstorbenen ist so kurze Zeit nach dem Ableben desselben gewiß nichts Pathologisches, entspricht vielmehr einem normalen Gefühlsvorgang. Ich gestehe Ihnen dieses zu; die Fixierung an die Traumen ist bei der Patientin </w:t>
      </w:r>
      <w:r w:rsidRPr="00F7475D">
        <w:rPr>
          <w:rFonts w:ascii="Garamond" w:hAnsi="Garamond" w:cs="Arial"/>
          <w:i/>
          <w:iCs/>
          <w:color w:val="000000"/>
          <w:lang w:val="en-GB"/>
        </w:rPr>
        <w:t>Breuers</w:t>
      </w:r>
      <w:r w:rsidRPr="00F7475D">
        <w:rPr>
          <w:rFonts w:ascii="Garamond" w:hAnsi="Garamond" w:cs="Arial"/>
          <w:color w:val="000000"/>
          <w:lang w:val="en-GB"/>
        </w:rPr>
        <w:t xml:space="preserve"> nichts Auffälliges. Aber in anderen Fällen, wie in dem von mir behandelten Tic, dessen Veranlassungen um mehr als fünfzehn und zehn Jahre zurücklagen, ist der Charakter des abnormen Haftens am Vergangenen sehr deutlich, und die Patientin </w:t>
      </w:r>
      <w:r w:rsidRPr="00F7475D">
        <w:rPr>
          <w:rFonts w:ascii="Garamond" w:hAnsi="Garamond" w:cs="Arial"/>
          <w:i/>
          <w:iCs/>
          <w:color w:val="000000"/>
          <w:lang w:val="en-GB"/>
        </w:rPr>
        <w:t>Breuers</w:t>
      </w:r>
      <w:r w:rsidRPr="00F7475D">
        <w:rPr>
          <w:rFonts w:ascii="Garamond" w:hAnsi="Garamond" w:cs="Arial"/>
          <w:color w:val="000000"/>
          <w:lang w:val="en-GB"/>
        </w:rPr>
        <w:t xml:space="preserve"> hätte ihn wahrscheinlich gleichfalls entwickelt, wenn sie nicht so kurze Zeit nach dem Erleben der Traumen und der Entstehung der Symptome zur </w:t>
      </w:r>
      <w:r w:rsidRPr="00F7475D">
        <w:rPr>
          <w:rFonts w:ascii="Garamond" w:hAnsi="Garamond" w:cs="Arial"/>
          <w:i/>
          <w:iCs/>
          <w:color w:val="000000"/>
          <w:lang w:val="en-GB"/>
        </w:rPr>
        <w:t>kathartischen</w:t>
      </w:r>
      <w:r w:rsidRPr="00F7475D">
        <w:rPr>
          <w:rFonts w:ascii="Garamond" w:hAnsi="Garamond" w:cs="Arial"/>
          <w:color w:val="000000"/>
          <w:lang w:val="en-GB"/>
        </w:rPr>
        <w:t xml:space="preserve"> Behandlung gekommen wäre.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Wir haben bisher nur die Beziehung der hysterischen Symptome zur Lebensgeschichte der Kranken erörtert; aus zwei weiteren Momenten der </w:t>
      </w:r>
      <w:r w:rsidRPr="00F7475D">
        <w:rPr>
          <w:rFonts w:ascii="Garamond" w:hAnsi="Garamond" w:cs="Arial"/>
          <w:i/>
          <w:iCs/>
          <w:color w:val="000000"/>
          <w:lang w:val="en-GB"/>
        </w:rPr>
        <w:t>Breuer</w:t>
      </w:r>
      <w:r w:rsidRPr="00F7475D">
        <w:rPr>
          <w:rFonts w:ascii="Garamond" w:hAnsi="Garamond" w:cs="Arial"/>
          <w:color w:val="000000"/>
          <w:lang w:val="en-GB"/>
        </w:rPr>
        <w:t xml:space="preserve">schen Beobachtung können wir aber auch einen Hinweis darauf gewinnen, wie wir den Vorgang der Erkrankung und der Wiederherstellung aufzufassen haben. Fürs erste ist hervorzuheben, daß die Kranke </w:t>
      </w:r>
      <w:r w:rsidRPr="00F7475D">
        <w:rPr>
          <w:rFonts w:ascii="Garamond" w:hAnsi="Garamond" w:cs="Arial"/>
          <w:i/>
          <w:iCs/>
          <w:color w:val="000000"/>
          <w:lang w:val="en-GB"/>
        </w:rPr>
        <w:t>Breuers</w:t>
      </w:r>
      <w:r w:rsidRPr="00F7475D">
        <w:rPr>
          <w:rFonts w:ascii="Garamond" w:hAnsi="Garamond" w:cs="Arial"/>
          <w:color w:val="000000"/>
          <w:lang w:val="en-GB"/>
        </w:rPr>
        <w:t xml:space="preserve"> fast in allen pathogenen Situationen eine starke Erregung zu unterdrücken hatte, anstatt ihr durch die entsprechenden Affektzeichen, Worte und Handlungen, Ablauf zu ermöglichen. In dem kleinen Erlebnis mit dem Hund ihrer Gesellschafterin unterdrückte sie aus Rücksicht auf diese jede Äußerung ihres sehr intensiven Ekels; während sie am Bette des Vaters wachte, trug sie beständig Sorge, den Kranken nichts von ihrer Angst und ihrer schmerzlichen Verstimmung merken zu lassen. Als sie später diese selben Szenen vor ihrem Arzt reproduzierte, trat der damals gehemmte Affekt mit besonderer Heftigkeit, als ob er sich solange aufgespart hätte, auf. Ja, das Symptom, welches von dieser Szene erübrigt war, gewann seine höchste Intensität, während man sich seiner Verursachung näherte, um nach der völligen Erledigung derselben zu verschwinden. Anderseits konnte man die Erfahrung machen, daß das Erinnern der Szene beim Arzte wirkungslos blieb, wenn es aus irgend einem Grunde einmal ohne Affektentwicklung ablief. Die Schicksale dieser Affekte, die man sich als verschiebbare Größen vorstellen konnte, waren also das Maßgebende für die Erkrankung wie für die Wiederherstellung. Man sah sich zur Annahme gedrängt, daß die Erkrankung darum zu stande kam, weil den in den pathogenen Situationen entwickelten Affekten ein normaler Ausweg versperrt war, und daß das Wesen der Erkrankung darin bestand, daß nun diese »eingeklemmten« Affekte einer abnormen Verwendung unterlagen. Zum Teil blieben sie als dauernde Belastungen des Seelenlebens und Quellen beständiger Erregung für dasselbe bestehen; zum Teil erfuhren sie eine Umsetzung in ungewöhnliche körperliche </w:t>
      </w:r>
      <w:r w:rsidRPr="00F7475D">
        <w:rPr>
          <w:rFonts w:ascii="Garamond" w:hAnsi="Garamond" w:cs="Arial"/>
          <w:i/>
          <w:iCs/>
          <w:color w:val="000000"/>
          <w:lang w:val="en-GB"/>
        </w:rPr>
        <w:t>Innervationen</w:t>
      </w:r>
      <w:r w:rsidRPr="00F7475D">
        <w:rPr>
          <w:rFonts w:ascii="Garamond" w:hAnsi="Garamond" w:cs="Arial"/>
          <w:color w:val="000000"/>
          <w:lang w:val="en-GB"/>
        </w:rPr>
        <w:t xml:space="preserve"> und </w:t>
      </w:r>
      <w:r w:rsidRPr="00F7475D">
        <w:rPr>
          <w:rFonts w:ascii="Garamond" w:hAnsi="Garamond" w:cs="Arial"/>
          <w:i/>
          <w:iCs/>
          <w:color w:val="000000"/>
          <w:lang w:val="en-GB"/>
        </w:rPr>
        <w:t>Hemmungen</w:t>
      </w:r>
      <w:r w:rsidRPr="00F7475D">
        <w:rPr>
          <w:rFonts w:ascii="Garamond" w:hAnsi="Garamond" w:cs="Arial"/>
          <w:color w:val="000000"/>
          <w:lang w:val="en-GB"/>
        </w:rPr>
        <w:t xml:space="preserve">, die sich als die körperlichen Symptome des Falles darstellten. Wir haben für diesen letzteren Vorgang den Namen der » </w:t>
      </w:r>
      <w:r w:rsidRPr="00F7475D">
        <w:rPr>
          <w:rFonts w:ascii="Garamond" w:hAnsi="Garamond" w:cs="Arial"/>
          <w:i/>
          <w:iCs/>
          <w:color w:val="000000"/>
          <w:lang w:val="en-GB"/>
        </w:rPr>
        <w:t>hysterischen Konversion</w:t>
      </w:r>
      <w:r w:rsidRPr="00F7475D">
        <w:rPr>
          <w:rFonts w:ascii="Garamond" w:hAnsi="Garamond" w:cs="Arial"/>
          <w:color w:val="000000"/>
          <w:lang w:val="en-GB"/>
        </w:rPr>
        <w:t xml:space="preserve">« geprägt. Ein gewisser Anteil unserer seelischen Erregung wird ohnedies normalerweise auf die Wege der körperlichen Innervation </w:t>
      </w:r>
      <w:r w:rsidRPr="00F7475D">
        <w:rPr>
          <w:rFonts w:ascii="Garamond" w:hAnsi="Garamond" w:cs="Arial"/>
          <w:color w:val="000000"/>
          <w:lang w:val="en-GB"/>
        </w:rPr>
        <w:lastRenderedPageBreak/>
        <w:t>geleitet und ergibt das, was wir als »Ausdruck der Gemütsbewegungen« kennen. Die hysterische Konversion übertreibt nun diesen Anteil des Ablaufs eines mit Affekt besetzten seelischen Vorganges; sie entspricht einem weit intensiveren, auf neue Bahnen geleiteten Ausdruck der Gemütsbewegung. Wenn ein Strombett in zwei Kanälen fließt, so wird eine Überfüllung des einen stattfinden, sobald die Strömung in dem anderen auf ein Hindernis stößt.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Sie sehen, wir sind im Begriffe, zu einer rein psychologischen Theorie der Hysterie zu gelangen, in welcher wir den Affektvorgängen den ersten Rang anweisen. Eine zweite Beobachtung </w:t>
      </w:r>
      <w:r w:rsidRPr="00F7475D">
        <w:rPr>
          <w:rFonts w:ascii="Garamond" w:hAnsi="Garamond" w:cs="Arial"/>
          <w:i/>
          <w:iCs/>
          <w:color w:val="000000"/>
          <w:lang w:val="en-GB"/>
        </w:rPr>
        <w:t>Breuers</w:t>
      </w:r>
      <w:r w:rsidRPr="00F7475D">
        <w:rPr>
          <w:rFonts w:ascii="Garamond" w:hAnsi="Garamond" w:cs="Arial"/>
          <w:color w:val="000000"/>
          <w:lang w:val="en-GB"/>
        </w:rPr>
        <w:t xml:space="preserve"> nötigt uns nun, in der Charakteristik des krankhaften Geschehens den Bewußtseinszuständen eine große Bedeutung einzuräumen. Die Kranke </w:t>
      </w:r>
      <w:r w:rsidRPr="00F7475D">
        <w:rPr>
          <w:rFonts w:ascii="Garamond" w:hAnsi="Garamond" w:cs="Arial"/>
          <w:i/>
          <w:iCs/>
          <w:color w:val="000000"/>
          <w:lang w:val="en-GB"/>
        </w:rPr>
        <w:t>Breuers</w:t>
      </w:r>
      <w:r w:rsidRPr="00F7475D">
        <w:rPr>
          <w:rFonts w:ascii="Garamond" w:hAnsi="Garamond" w:cs="Arial"/>
          <w:color w:val="000000"/>
          <w:lang w:val="en-GB"/>
        </w:rPr>
        <w:t xml:space="preserve"> zeigte mannigfaltige seelische Verfassungen, Zustände von Abwesenheit, Verworrenheit und Charakterveränderung neben ihrem Normalzustand. Im Normalzustand wußte sie nun nichts von jenen pathogenen Szenen und von deren Zusammenhang mit ihren Symptomen; sie hatte diese Szenen vergessen oder jedenfalls den pathogenen Zusammenhang zerrissen. Wenn man sie in die Hypnose versetzte, gelang es nach Aufwendung beträchtlicher Arbeit, ihr diese Szenen ins Gedächtnis zurückzurufen, und durch diese Arbeit des Wiedererinnerns wurden die Symptome aufgehoben. Man wäre in großer Verlegenheit, wie man diese Tatsache deuten sollte, wenn nicht die Erfahrungen und Experimente des Hypnotismus den Weg dazu gewiesen hätten. Durch das Studium der hypnotischen Phänomene hat man sich an die anfangs befremdliche Auffassung gewöhnt, daß in einem und demselben Individuum mehrere seelische Gruppierungen möglich sind, die ziemlich unabhängig von einander bleiben können, von einander »nichts wissen«, und die das Bewußtsein alternierend an sich reißen. Fälle solcher Art, die man als »Double conscience« bezeichnet, kommen gelegentlich auch spontan zur Beobachtung. Wenn bei solcher Spaltung der Persönlichkeit das Bewußtsein konstant an den einen der beiden Zustände gebunden bleibt, so heißt man diesen den </w:t>
      </w:r>
      <w:r w:rsidRPr="00F7475D">
        <w:rPr>
          <w:rFonts w:ascii="Garamond" w:hAnsi="Garamond" w:cs="Arial"/>
          <w:i/>
          <w:iCs/>
          <w:color w:val="000000"/>
          <w:lang w:val="en-GB"/>
        </w:rPr>
        <w:t>bewußten</w:t>
      </w:r>
      <w:r w:rsidRPr="00F7475D">
        <w:rPr>
          <w:rFonts w:ascii="Garamond" w:hAnsi="Garamond" w:cs="Arial"/>
          <w:color w:val="000000"/>
          <w:lang w:val="en-GB"/>
        </w:rPr>
        <w:t xml:space="preserve"> Seelenzustand, den von ihm abgetrennten den </w:t>
      </w:r>
      <w:r w:rsidRPr="00F7475D">
        <w:rPr>
          <w:rFonts w:ascii="Garamond" w:hAnsi="Garamond" w:cs="Arial"/>
          <w:i/>
          <w:iCs/>
          <w:color w:val="000000"/>
          <w:lang w:val="en-GB"/>
        </w:rPr>
        <w:t>unbewußten</w:t>
      </w:r>
      <w:r w:rsidRPr="00F7475D">
        <w:rPr>
          <w:rFonts w:ascii="Garamond" w:hAnsi="Garamond" w:cs="Arial"/>
          <w:color w:val="000000"/>
          <w:lang w:val="en-GB"/>
        </w:rPr>
        <w:t xml:space="preserve">. In den bekannten Phänomenen der sogenannten posthypnotischen Suggestion, wobei ein in der Hypnose gegebener Auftrag sich später im Normalzustand gebieterisch durchsetzt, hat man ein vorzügliches Vorbild für die Beeinflussungen, die der bewußte Zustand durch den für ihn unbewußten erfahren kann, und nach diesem Muster gelingt es allerdings, sich die Erfahrungen bei der Hysterie zurechtzulegen. </w:t>
      </w:r>
      <w:r w:rsidRPr="00F7475D">
        <w:rPr>
          <w:rFonts w:ascii="Garamond" w:hAnsi="Garamond" w:cs="Arial"/>
          <w:i/>
          <w:iCs/>
          <w:color w:val="000000"/>
          <w:lang w:val="en-GB"/>
        </w:rPr>
        <w:t>Breuer</w:t>
      </w:r>
      <w:r w:rsidRPr="00F7475D">
        <w:rPr>
          <w:rFonts w:ascii="Garamond" w:hAnsi="Garamond" w:cs="Arial"/>
          <w:color w:val="000000"/>
          <w:lang w:val="en-GB"/>
        </w:rPr>
        <w:t xml:space="preserve"> entschloß sich zur Annahme, daß die hysterischen Symptome in solchen besonderen seelischen Zuständen, die er </w:t>
      </w:r>
      <w:r w:rsidRPr="00F7475D">
        <w:rPr>
          <w:rFonts w:ascii="Garamond" w:hAnsi="Garamond" w:cs="Arial"/>
          <w:i/>
          <w:iCs/>
          <w:color w:val="000000"/>
          <w:lang w:val="en-GB"/>
        </w:rPr>
        <w:t>hypnoide</w:t>
      </w:r>
      <w:r w:rsidRPr="00F7475D">
        <w:rPr>
          <w:rFonts w:ascii="Garamond" w:hAnsi="Garamond" w:cs="Arial"/>
          <w:color w:val="000000"/>
          <w:lang w:val="en-GB"/>
        </w:rPr>
        <w:t xml:space="preserve"> nannte, entstanden seien. Erregungen, die in solche hypnoide Zustände hineingeraten, werden leicht pathogen, weil diese Zustände nicht die Bedingungen für einen normalen Ablauf der Erregungsvorgänge bieten. Es entsteht also aus dem Erregungsvorgang ein ungewöhnliches Produkt, eben das Symptom, und dieses ragt wie ein Fremdkörper in den Normalzustand hinein, dem dafür die Kenntnis der hypnoiden pathogenen Situation abgeht. Wo ein Symptom besteht, da findet sich auch eine Amnesie, eine Erinnerungslücke, und die Ausfüllung dieser Lücke schließt die Aufhebung der Entstehungsbedingungen des Symptoms in sich ein.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Ich fürchte, daß Ihnen dieses Stück meiner Darstellung nicht sehr durchsichtig erschienen ist. Aber haben Sie Nachsicht, es handelt sich um neue und schwierige Anschauungen, die vielleicht nicht viel klarer gemacht werden können; ein Beweis dafür, daß wir mit unserer Erkenntnis noch nicht sehr weit vorgedrungen sind. Die </w:t>
      </w:r>
      <w:r w:rsidRPr="00F7475D">
        <w:rPr>
          <w:rFonts w:ascii="Garamond" w:hAnsi="Garamond" w:cs="Arial"/>
          <w:i/>
          <w:iCs/>
          <w:color w:val="000000"/>
          <w:lang w:val="en-GB"/>
        </w:rPr>
        <w:t>Breuer</w:t>
      </w:r>
      <w:r w:rsidRPr="00F7475D">
        <w:rPr>
          <w:rFonts w:ascii="Garamond" w:hAnsi="Garamond" w:cs="Arial"/>
          <w:color w:val="000000"/>
          <w:lang w:val="en-GB"/>
        </w:rPr>
        <w:t xml:space="preserve">sche Aufstellung der </w:t>
      </w:r>
      <w:r w:rsidRPr="00F7475D">
        <w:rPr>
          <w:rFonts w:ascii="Garamond" w:hAnsi="Garamond" w:cs="Arial"/>
          <w:i/>
          <w:iCs/>
          <w:color w:val="000000"/>
          <w:lang w:val="en-GB"/>
        </w:rPr>
        <w:t>hypnoiden</w:t>
      </w:r>
      <w:r w:rsidRPr="00F7475D">
        <w:rPr>
          <w:rFonts w:ascii="Garamond" w:hAnsi="Garamond" w:cs="Arial"/>
          <w:color w:val="000000"/>
          <w:lang w:val="en-GB"/>
        </w:rPr>
        <w:t xml:space="preserve"> Zustände hat sich übrigens als hemmend und überflüssig erwiesen und ist von der heutigen Psychoanalyse fallen gelassen worden. Sie werden später wenigstens andeutungsweise hören, welche Einflüsse und Vorgänge hinter der von </w:t>
      </w:r>
      <w:r w:rsidRPr="00F7475D">
        <w:rPr>
          <w:rFonts w:ascii="Garamond" w:hAnsi="Garamond" w:cs="Arial"/>
          <w:i/>
          <w:iCs/>
          <w:color w:val="000000"/>
          <w:lang w:val="en-GB"/>
        </w:rPr>
        <w:t>Breuer</w:t>
      </w:r>
      <w:r w:rsidRPr="00F7475D">
        <w:rPr>
          <w:rFonts w:ascii="Garamond" w:hAnsi="Garamond" w:cs="Arial"/>
          <w:color w:val="000000"/>
          <w:lang w:val="en-GB"/>
        </w:rPr>
        <w:t xml:space="preserve"> aufgestellten Schranke der hypnoiden Zustände zu entdecken waren. Sie werden auch mit Recht den Eindruck empfangen haben, daß die </w:t>
      </w:r>
      <w:r w:rsidRPr="00F7475D">
        <w:rPr>
          <w:rFonts w:ascii="Garamond" w:hAnsi="Garamond" w:cs="Arial"/>
          <w:i/>
          <w:iCs/>
          <w:color w:val="000000"/>
          <w:lang w:val="en-GB"/>
        </w:rPr>
        <w:t>Breuer</w:t>
      </w:r>
      <w:r w:rsidRPr="00F7475D">
        <w:rPr>
          <w:rFonts w:ascii="Garamond" w:hAnsi="Garamond" w:cs="Arial"/>
          <w:color w:val="000000"/>
          <w:lang w:val="en-GB"/>
        </w:rPr>
        <w:t>sche Forschung Ihnen nur eine sehr unvollständige Theorie und unbefriedigende Aufklärung der beobachteten Erscheinungen geben konnte, aber vollkommene Theorien fallen nicht vom Himmel, und Sie werden mit noch größerem Recht mißtrauisch sein, wenn Ihnen jemand eine lückenlose und abgerundete Theorie bereits zu Anfang seiner Beobachtungen anbietet. Eine solche wird gewiß nur das Kind seiner Spekulation sein können und nicht die Frucht voraussetzungsloser Erforschung des Tatsächlichen.</w:t>
      </w:r>
    </w:p>
    <w:p w:rsidR="002E0E50" w:rsidRPr="00F7475D" w:rsidRDefault="002E0E50" w:rsidP="002E0E50">
      <w:pPr>
        <w:rPr>
          <w:rFonts w:ascii="Garamond" w:hAnsi="Garamond" w:cs="Arial"/>
          <w:b/>
          <w:bCs/>
          <w:color w:val="000000"/>
          <w:lang w:val="en-GB"/>
        </w:rPr>
      </w:pPr>
      <w:r w:rsidRPr="00F7475D">
        <w:rPr>
          <w:rFonts w:ascii="Garamond" w:hAnsi="Garamond" w:cs="Arial"/>
          <w:b/>
          <w:bCs/>
          <w:color w:val="000000"/>
          <w:lang w:val="en-GB"/>
        </w:rPr>
        <w:lastRenderedPageBreak/>
        <w:t>II.</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Meine Damen und Herren! Etwa gleichzeitig, während </w:t>
      </w:r>
      <w:r w:rsidRPr="00F7475D">
        <w:rPr>
          <w:rFonts w:ascii="Garamond" w:hAnsi="Garamond" w:cs="Arial"/>
          <w:i/>
          <w:iCs/>
          <w:color w:val="000000"/>
          <w:lang w:val="en-GB"/>
        </w:rPr>
        <w:t>Breuer</w:t>
      </w:r>
      <w:r w:rsidRPr="00F7475D">
        <w:rPr>
          <w:rFonts w:ascii="Garamond" w:hAnsi="Garamond" w:cs="Arial"/>
          <w:color w:val="000000"/>
          <w:lang w:val="en-GB"/>
        </w:rPr>
        <w:t xml:space="preserve"> mit seiner Patientin die Talking cure übte, hatte Meister </w:t>
      </w:r>
      <w:r w:rsidRPr="00F7475D">
        <w:rPr>
          <w:rFonts w:ascii="Garamond" w:hAnsi="Garamond" w:cs="Arial"/>
          <w:i/>
          <w:iCs/>
          <w:color w:val="000000"/>
          <w:lang w:val="en-GB"/>
        </w:rPr>
        <w:t>Charcot</w:t>
      </w:r>
      <w:r w:rsidRPr="00F7475D">
        <w:rPr>
          <w:rFonts w:ascii="Garamond" w:hAnsi="Garamond" w:cs="Arial"/>
          <w:color w:val="000000"/>
          <w:lang w:val="en-GB"/>
        </w:rPr>
        <w:t xml:space="preserve"> in Paris jene Untersuchungen über die Hysterischen der Salpêtrière begonnen, von denen ein neues Verständnis der Krankheit ausgehen sollte. Diese Resultate konnten damals in Wien noch nicht bekannt sein. Als aber etwa ein Dezennium später </w:t>
      </w:r>
      <w:r w:rsidRPr="00F7475D">
        <w:rPr>
          <w:rFonts w:ascii="Garamond" w:hAnsi="Garamond" w:cs="Arial"/>
          <w:i/>
          <w:iCs/>
          <w:color w:val="000000"/>
          <w:lang w:val="en-GB"/>
        </w:rPr>
        <w:t>Breuer</w:t>
      </w:r>
      <w:r w:rsidRPr="00F7475D">
        <w:rPr>
          <w:rFonts w:ascii="Garamond" w:hAnsi="Garamond" w:cs="Arial"/>
          <w:color w:val="000000"/>
          <w:lang w:val="en-GB"/>
        </w:rPr>
        <w:t xml:space="preserve"> und ich die vorläufige Mitteilung über den psychischen Mechanismus hysterischer Phänomene veröffentlichten, welche an die kathartische Behandlung bei </w:t>
      </w:r>
      <w:r w:rsidRPr="00F7475D">
        <w:rPr>
          <w:rFonts w:ascii="Garamond" w:hAnsi="Garamond" w:cs="Arial"/>
          <w:i/>
          <w:iCs/>
          <w:color w:val="000000"/>
          <w:lang w:val="en-GB"/>
        </w:rPr>
        <w:t>Breuers</w:t>
      </w:r>
      <w:r w:rsidRPr="00F7475D">
        <w:rPr>
          <w:rFonts w:ascii="Garamond" w:hAnsi="Garamond" w:cs="Arial"/>
          <w:color w:val="000000"/>
          <w:lang w:val="en-GB"/>
        </w:rPr>
        <w:t xml:space="preserve"> erster Patientin anknüpfte, da befanden wir uns ganz im Banne der </w:t>
      </w:r>
      <w:r w:rsidRPr="00F7475D">
        <w:rPr>
          <w:rFonts w:ascii="Garamond" w:hAnsi="Garamond" w:cs="Arial"/>
          <w:i/>
          <w:iCs/>
          <w:color w:val="000000"/>
          <w:lang w:val="en-GB"/>
        </w:rPr>
        <w:t>Charcot</w:t>
      </w:r>
      <w:r w:rsidRPr="00F7475D">
        <w:rPr>
          <w:rFonts w:ascii="Garamond" w:hAnsi="Garamond" w:cs="Arial"/>
          <w:color w:val="000000"/>
          <w:lang w:val="en-GB"/>
        </w:rPr>
        <w:t xml:space="preserve">schen Forschungen. Wir stellten die pathogenen Erlebnisse unserer Kranken als psychische Traumen jenen körperlichen Traumen gleich, deren Einfluß auf hysterische Lähmungen </w:t>
      </w:r>
      <w:r w:rsidRPr="00F7475D">
        <w:rPr>
          <w:rFonts w:ascii="Garamond" w:hAnsi="Garamond" w:cs="Arial"/>
          <w:i/>
          <w:iCs/>
          <w:color w:val="000000"/>
          <w:lang w:val="en-GB"/>
        </w:rPr>
        <w:t>Charcot</w:t>
      </w:r>
      <w:r w:rsidRPr="00F7475D">
        <w:rPr>
          <w:rFonts w:ascii="Garamond" w:hAnsi="Garamond" w:cs="Arial"/>
          <w:color w:val="000000"/>
          <w:lang w:val="en-GB"/>
        </w:rPr>
        <w:t xml:space="preserve"> festgestellt hatte, und </w:t>
      </w:r>
      <w:r w:rsidRPr="00F7475D">
        <w:rPr>
          <w:rFonts w:ascii="Garamond" w:hAnsi="Garamond" w:cs="Arial"/>
          <w:i/>
          <w:iCs/>
          <w:color w:val="000000"/>
          <w:lang w:val="en-GB"/>
        </w:rPr>
        <w:t>Breuers</w:t>
      </w:r>
      <w:r w:rsidRPr="00F7475D">
        <w:rPr>
          <w:rFonts w:ascii="Garamond" w:hAnsi="Garamond" w:cs="Arial"/>
          <w:color w:val="000000"/>
          <w:lang w:val="en-GB"/>
        </w:rPr>
        <w:t xml:space="preserve"> Aufstellung der hypnoiden Zustände ist selbst nichts anderes als ein Reflex der Tatsache, daß </w:t>
      </w:r>
      <w:r w:rsidRPr="00F7475D">
        <w:rPr>
          <w:rFonts w:ascii="Garamond" w:hAnsi="Garamond" w:cs="Arial"/>
          <w:i/>
          <w:iCs/>
          <w:color w:val="000000"/>
          <w:lang w:val="en-GB"/>
        </w:rPr>
        <w:t>Charcot</w:t>
      </w:r>
      <w:r w:rsidRPr="00F7475D">
        <w:rPr>
          <w:rFonts w:ascii="Garamond" w:hAnsi="Garamond" w:cs="Arial"/>
          <w:color w:val="000000"/>
          <w:lang w:val="en-GB"/>
        </w:rPr>
        <w:t xml:space="preserve"> jene traumatischen Lähmungen in der Hypnose künstlich reproduziert hatte.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Der große französische Beobachter, dessen Schüler ich 1885/86 wurde, war selbst psychologischen Auffassungen nicht geneigt; erst sein Schüler P. </w:t>
      </w:r>
      <w:r w:rsidRPr="00F7475D">
        <w:rPr>
          <w:rFonts w:ascii="Garamond" w:hAnsi="Garamond" w:cs="Arial"/>
          <w:i/>
          <w:iCs/>
          <w:color w:val="000000"/>
          <w:lang w:val="en-GB"/>
        </w:rPr>
        <w:t>Janet</w:t>
      </w:r>
      <w:r w:rsidRPr="00F7475D">
        <w:rPr>
          <w:rFonts w:ascii="Garamond" w:hAnsi="Garamond" w:cs="Arial"/>
          <w:color w:val="000000"/>
          <w:lang w:val="en-GB"/>
        </w:rPr>
        <w:t xml:space="preserve"> versuchte ein tieferes Eindringen in die besonderen psychischen Vorgänge bei der Hysterie, und wir folgten seinem Beispiele, als wir die seelische Spaltung und den Zerfall der Persönlichkeit in das Zentrum unserer Auffassung rückten. Sie finden bei </w:t>
      </w:r>
      <w:r w:rsidRPr="00F7475D">
        <w:rPr>
          <w:rFonts w:ascii="Garamond" w:hAnsi="Garamond" w:cs="Arial"/>
          <w:i/>
          <w:iCs/>
          <w:color w:val="000000"/>
          <w:lang w:val="en-GB"/>
        </w:rPr>
        <w:t>Janet</w:t>
      </w:r>
      <w:r w:rsidRPr="00F7475D">
        <w:rPr>
          <w:rFonts w:ascii="Garamond" w:hAnsi="Garamond" w:cs="Arial"/>
          <w:color w:val="000000"/>
          <w:lang w:val="en-GB"/>
        </w:rPr>
        <w:t xml:space="preserve"> eine Theorie der Hysterie, welche den in Frankreich herrschenden Lehren über die Rolle der Erblichkeit und der Degeneration Rechnung trägt. Die Hysterie ist nach ihm eine Form der degenerativen Veränderung des Nervensystems, welche sich durch eine angeborene Schwäche der psychischen Synthese kundgibt. Die hysterisch Kranken seien von Anfang an unfähig, die Mannigfaltigkeit der seelischen Vorgänge zu einer Einheit zusammenzuhalten, und daher komme die Neigung zur seelischen Dissoziation. Wenn Sie mir ein banales aber deutliches Gleichnis gestatten, </w:t>
      </w:r>
      <w:r w:rsidRPr="00F7475D">
        <w:rPr>
          <w:rFonts w:ascii="Garamond" w:hAnsi="Garamond" w:cs="Arial"/>
          <w:i/>
          <w:iCs/>
          <w:color w:val="000000"/>
          <w:lang w:val="en-GB"/>
        </w:rPr>
        <w:t>Janets</w:t>
      </w:r>
      <w:r w:rsidRPr="00F7475D">
        <w:rPr>
          <w:rFonts w:ascii="Garamond" w:hAnsi="Garamond" w:cs="Arial"/>
          <w:color w:val="000000"/>
          <w:lang w:val="en-GB"/>
        </w:rPr>
        <w:t xml:space="preserve"> Hysterische erinnert an eine schwache Frau, die ausgegangen ist, um Einkäufe zu machen, und nun mit einer Menge von Schachteln und Paketen beladen zurückkommt. Sie kann den ganzen Haufen mit ihren zwei Armen und zehn Fingern nicht bewältigen, und so entfällt ihr zuerst ein Stück. Bückt sie sich, um dieses aufzuheben, so macht sich dafür ein anderes los u. s. w. Es stimmt nicht gut zu dieser angenommenen seelischen Schwäche der Hysterischen, daß man bei ihnen außer den Erscheinungen verminderter Leistung auch Beispiele von teilweiser Steigerung der Leistungsfähigkeit, wie zur Entschädigung, beobachten kann. Zur Zeit, als </w:t>
      </w:r>
      <w:r w:rsidRPr="00F7475D">
        <w:rPr>
          <w:rFonts w:ascii="Garamond" w:hAnsi="Garamond" w:cs="Arial"/>
          <w:i/>
          <w:iCs/>
          <w:color w:val="000000"/>
          <w:lang w:val="en-GB"/>
        </w:rPr>
        <w:t>Breuers</w:t>
      </w:r>
      <w:r w:rsidRPr="00F7475D">
        <w:rPr>
          <w:rFonts w:ascii="Garamond" w:hAnsi="Garamond" w:cs="Arial"/>
          <w:color w:val="000000"/>
          <w:lang w:val="en-GB"/>
        </w:rPr>
        <w:t xml:space="preserve"> Patientin ihre Muttersprache und alle anderen Sprachen bis auf Englisch vergessen hatte, erreichte ihre Beherrschung des Englischen eine solche Höhe, daß sie im stande war, wenn man ihr ein deutsches Buch vorlegte, eine tadellose und fließende Übersetzung desselben vom Blatt herunterzulesen.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Als ich es später unternahm, die von </w:t>
      </w:r>
      <w:r w:rsidRPr="00F7475D">
        <w:rPr>
          <w:rFonts w:ascii="Garamond" w:hAnsi="Garamond" w:cs="Arial"/>
          <w:i/>
          <w:iCs/>
          <w:color w:val="000000"/>
          <w:lang w:val="en-GB"/>
        </w:rPr>
        <w:t>Breuer</w:t>
      </w:r>
      <w:r w:rsidRPr="00F7475D">
        <w:rPr>
          <w:rFonts w:ascii="Garamond" w:hAnsi="Garamond" w:cs="Arial"/>
          <w:color w:val="000000"/>
          <w:lang w:val="en-GB"/>
        </w:rPr>
        <w:t xml:space="preserve"> begonnenen Untersuchungen auf eigene Faust fortzusetzen, gelangte ich bald zu einer anderen Ansicht über die Entstehung der hysterischen Dissoziation (oder Bewußtseinsspaltung). Eine solche, für alles weitere entscheidende, Divergenz mußte sich notwendigerweise ergeben, da ich nicht wie </w:t>
      </w:r>
      <w:r w:rsidRPr="00F7475D">
        <w:rPr>
          <w:rFonts w:ascii="Garamond" w:hAnsi="Garamond" w:cs="Arial"/>
          <w:i/>
          <w:iCs/>
          <w:color w:val="000000"/>
          <w:lang w:val="en-GB"/>
        </w:rPr>
        <w:t>Janet</w:t>
      </w:r>
      <w:r w:rsidRPr="00F7475D">
        <w:rPr>
          <w:rFonts w:ascii="Garamond" w:hAnsi="Garamond" w:cs="Arial"/>
          <w:color w:val="000000"/>
          <w:lang w:val="en-GB"/>
        </w:rPr>
        <w:t xml:space="preserve"> von Laboratoriumsversuchen, sondern von therapeutischen Bemühungen ausging.</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Mich trieb vor allem das praktische Bedürfnis. Die kathartische Behandlung, wie sie </w:t>
      </w:r>
      <w:r w:rsidRPr="00F7475D">
        <w:rPr>
          <w:rFonts w:ascii="Garamond" w:hAnsi="Garamond" w:cs="Arial"/>
          <w:i/>
          <w:iCs/>
          <w:color w:val="000000"/>
          <w:lang w:val="en-GB"/>
        </w:rPr>
        <w:t>Breuer</w:t>
      </w:r>
      <w:r w:rsidRPr="00F7475D">
        <w:rPr>
          <w:rFonts w:ascii="Garamond" w:hAnsi="Garamond" w:cs="Arial"/>
          <w:color w:val="000000"/>
          <w:lang w:val="en-GB"/>
        </w:rPr>
        <w:t xml:space="preserve"> geübt hatte, setzte voraus, daß man den Kranken in tiefe Hypnose bringe, denn nur im hypnotischen Zustand fand er die Kenntnis jener pathogenen Zusammenhänge, die ihm in seinem Normalzustand abging. Nun war mir die Hypnose als ein launenhaftes und sozusagen mystisches Hilfsmittel bald unliebsam geworden; als ich aber die Erfahrung machte, daß es mir trotz aller Bemühungen nicht gelingen wollte, mehr als einen Bruchteil meiner Kranken in den hypnotischen Zustand zu versetzen, beschloß ich, die Hypnose aufzugeben und die kathartische Behandlung von ihr unabhängig zu machen. Weil ich den psychischen Zustand meiner meisten Patienten nicht nach meinem Belieben verändern konnte, richtete ich mich darauf ein, mit ihrem Normalzustand zu arbeiten. Das schien allerdings vorerst ein sinn- und aussichtsloses Unternehmen zu sein. Es war die Aufgabe gestellt, etwas vom Kranken zu erfahren, was man nicht wußte und was er selbst nicht wußte; wie konnte man hoffen, dies doch in Erfahrung zu </w:t>
      </w:r>
      <w:r w:rsidRPr="00F7475D">
        <w:rPr>
          <w:rFonts w:ascii="Garamond" w:hAnsi="Garamond" w:cs="Arial"/>
          <w:color w:val="000000"/>
          <w:lang w:val="en-GB"/>
        </w:rPr>
        <w:lastRenderedPageBreak/>
        <w:t xml:space="preserve">bringen? Da kam mir die Erinnerung an einen sehr merkwürdigen und lehrreichen Versuch zu Hilfe, den ich bei </w:t>
      </w:r>
      <w:r w:rsidRPr="00F7475D">
        <w:rPr>
          <w:rFonts w:ascii="Garamond" w:hAnsi="Garamond" w:cs="Arial"/>
          <w:i/>
          <w:iCs/>
          <w:color w:val="000000"/>
          <w:lang w:val="en-GB"/>
        </w:rPr>
        <w:t>Bernheim</w:t>
      </w:r>
      <w:r w:rsidRPr="00F7475D">
        <w:rPr>
          <w:rFonts w:ascii="Garamond" w:hAnsi="Garamond" w:cs="Arial"/>
          <w:color w:val="000000"/>
          <w:lang w:val="en-GB"/>
        </w:rPr>
        <w:t xml:space="preserve"> in </w:t>
      </w:r>
      <w:r w:rsidRPr="00F7475D">
        <w:rPr>
          <w:rFonts w:ascii="Garamond" w:hAnsi="Garamond" w:cs="Arial"/>
          <w:i/>
          <w:iCs/>
          <w:color w:val="000000"/>
          <w:lang w:val="en-GB"/>
        </w:rPr>
        <w:t>Nancy</w:t>
      </w:r>
      <w:r w:rsidRPr="00F7475D">
        <w:rPr>
          <w:rFonts w:ascii="Garamond" w:hAnsi="Garamond" w:cs="Arial"/>
          <w:color w:val="000000"/>
          <w:lang w:val="en-GB"/>
        </w:rPr>
        <w:t xml:space="preserve"> mitangesehen hatte. </w:t>
      </w:r>
      <w:r w:rsidRPr="00F7475D">
        <w:rPr>
          <w:rFonts w:ascii="Garamond" w:hAnsi="Garamond" w:cs="Arial"/>
          <w:i/>
          <w:iCs/>
          <w:color w:val="000000"/>
          <w:lang w:val="en-GB"/>
        </w:rPr>
        <w:t>Bernheim</w:t>
      </w:r>
      <w:r w:rsidRPr="00F7475D">
        <w:rPr>
          <w:rFonts w:ascii="Garamond" w:hAnsi="Garamond" w:cs="Arial"/>
          <w:color w:val="000000"/>
          <w:lang w:val="en-GB"/>
        </w:rPr>
        <w:t xml:space="preserve"> zeigte uns damals, daß die Personen, welche er in hypnotischen Somnambulismus versetzt und in diesem Zustand allerlei hatte erleben lassen, die Erinnerung an das somnambul Erlebte doch nur zum Schein verloren hatten, und daß es möglich war, bei ihnen diese Erinnerungen auch im Normalzustand zu erwecken. Wenn er sie nach den somnambulen Erlebnissen befragte, so behaupteten sie anfangs zwar, nichts zu wissen, aber wenn er nicht nachgab, drängte, ihnen versicherte, sie wüßten es doch, so kamen die vergessenen Erinnerungen jedesmal wieder.</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So machte ich es also auch mit meinen Patienten. Wenn ich mit ihnen bis zu einem Punkte gekommen war, an dem sie behaupteten, nichts weiter zu wissen, so versicherte ich ihnen, sie wüßten es doch, sie sollten es nur sagen, und ich getraute mich der Behauptung, daß die Erinnerung die richtige sein würde, die ihnen in dem Moment käme, wenn ich meine Hand auf ihre Stirn legte. Auf diese Weise gelang es mir, ohne Anwendung der Hypnose, von den Kranken alles zu erfahren, was zur Herstellung des Zusammenhangs zwischen den vergessenen pathogenen Szenen und den von ihnen erübrigten Symptomen erforderlich war. Aber es war ein mühseliges, ein auf die Dauer erschöpfendes Verfahren, das sich für eine endgültige Technik, nicht eignen konnte.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Ich gab es jedoch nicht auf, ohne aus den dabei gemachten Wahrnehmungen die entscheidenden Schlüsse zu ziehen. Ich hatte es also bestätigt gefunden, daß die vergessenen Erinnerungen nicht verloren waren. Sie waren im Besitze des Kranken und bereit, in Assoziation an das von ihm noch Gewußte aufzutauchen, aber irgend eine Kraft hinderte sie daran, bewußt zu werden und nötigte sie, unbewußt zu bleiben. Die Existenz dieser Kraft konnte man mit Sicherheit annehmen, denn man verspürte eine ihr entsprechende Anstrengung, wenn man sich bemühte, im Gegensatz zu ihr die unbewußten Erinnerungen ins Bewußtsein des Kranken einzuführen. Man bekam die Kraft, welche den krankhaften Zustand aufrecht erhielt, als </w:t>
      </w:r>
      <w:r w:rsidRPr="00F7475D">
        <w:rPr>
          <w:rFonts w:ascii="Garamond" w:hAnsi="Garamond" w:cs="Arial"/>
          <w:i/>
          <w:iCs/>
          <w:color w:val="000000"/>
          <w:lang w:val="en-GB"/>
        </w:rPr>
        <w:t>Widerstand</w:t>
      </w:r>
      <w:r w:rsidRPr="00F7475D">
        <w:rPr>
          <w:rFonts w:ascii="Garamond" w:hAnsi="Garamond" w:cs="Arial"/>
          <w:color w:val="000000"/>
          <w:lang w:val="en-GB"/>
        </w:rPr>
        <w:t xml:space="preserve"> des Kranken zu spüren.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Auf diese Idee des Widerstandes habe ich nun meine Auffassung der psychischen Vorgänge bei der Hysterie gegründet. Es hatte sich als notwendig zur Herstellung erwiesen, diese Widerstände aufzuheben; vom Mechanismus der Heilung aus konnte man sich jetzt ganz bestimmte Vorstellungen über den Hergang bei der Erkrankung bilden. Dieselben Kräfte, die heute als Widerstand sich dem Bewußtmachen des Vergessenen widersetzten, mußten seinerzeit dieses Vergessen bewirkt und die betreffenden pathogenen Erlebnisse aus dem Bewußtsein gedrängt haben. Ich nannte diesen von mir supponierten Vorgang </w:t>
      </w:r>
      <w:r w:rsidRPr="00F7475D">
        <w:rPr>
          <w:rFonts w:ascii="Garamond" w:hAnsi="Garamond" w:cs="Arial"/>
          <w:i/>
          <w:iCs/>
          <w:color w:val="000000"/>
          <w:lang w:val="en-GB"/>
        </w:rPr>
        <w:t>Verdrängung</w:t>
      </w:r>
      <w:r w:rsidRPr="00F7475D">
        <w:rPr>
          <w:rFonts w:ascii="Garamond" w:hAnsi="Garamond" w:cs="Arial"/>
          <w:color w:val="000000"/>
          <w:lang w:val="en-GB"/>
        </w:rPr>
        <w:t xml:space="preserve"> und betrachtete ihn als erwiesen durch die unleugbare Existenz des </w:t>
      </w:r>
      <w:r w:rsidRPr="00F7475D">
        <w:rPr>
          <w:rFonts w:ascii="Garamond" w:hAnsi="Garamond" w:cs="Arial"/>
          <w:i/>
          <w:iCs/>
          <w:color w:val="000000"/>
          <w:lang w:val="en-GB"/>
        </w:rPr>
        <w:t>Widerstandes</w:t>
      </w:r>
      <w:r w:rsidRPr="00F7475D">
        <w:rPr>
          <w:rFonts w:ascii="Garamond" w:hAnsi="Garamond" w:cs="Arial"/>
          <w:color w:val="000000"/>
          <w:lang w:val="en-GB"/>
        </w:rPr>
        <w: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Man konnte sich aber auch die Frage vorlegen, welches diese Kräfte und welche die Bedingungen der Verdrängung seien, in der wir nun den pathogenen Mechanismus der Hysterie erkennen. Eine vergleichende Untersuchung der pathogenen Situationen, die man durch die kathartische Behandlung kennen gelernt hatte, gestattete hierauf Antwort zu geben. Bei all diesen Erlebnissen hatte es sich darum gehandelt, daß eine Wunschregung aufgetaucht war, welche in scharfem Gegensatze zu den sonstigen Wünschen des Individuums stand, sich als unverträglich mit den ethischen und ästhetischen Ansprüchen der Persönlichkeit erwies. Es hatte einen kurzen Konflikt gegeben, und das Ende dieses inneren Kampfes war, daß die Vorstellung, welche als der Träger jenes unvereinbaren Wunsches vor dem Bewußtsein auftrat, der Verdrängung anheimfiel und mit den zu ihr gehörigen Erinnerungen aus dem Bewußtsein gedrängt und vergessen wurde. Die Unverträglichkeit der betreffenden Vorstellung mit dem Ich des Kranken war also das Motiv der Verdrängung; die ethischen und anderen Anforderungen des Individuums waren die verdrängenden Kräfte. Die Annahme der unverträglichen Wunschregung oder die Fortdauer des Konflikts hätten hohe Grade von Unlust hervorgerufen; diese Unlust wurde durch die Verdrängung erspart, die sich in solcher Art als eine der Schutzvorrichtungen der seelischen Persönlichkeit erwies.</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lastRenderedPageBreak/>
        <w:t xml:space="preserve">Ich will Ihnen anstatt vieler einen einzigen meiner Fälle erzählen, in welchem Bedingungen und Nutzen der Verdrängung deutlich genug zu erkennen sind. Freilich muß ich für meinen Zweck auch diese Krankengeschichte verkürzen und wichtige Voraussetzungen derselben bei Seite lassen. Ein junges Mädchen, welches kurz vorher den geliebten Vater verloren hatte, an dessen Pflege sie beteiligt gewesen war – eine Situation analog der bei der Patientin </w:t>
      </w:r>
      <w:r w:rsidRPr="00F7475D">
        <w:rPr>
          <w:rFonts w:ascii="Garamond" w:hAnsi="Garamond" w:cs="Arial"/>
          <w:i/>
          <w:iCs/>
          <w:color w:val="000000"/>
          <w:lang w:val="en-GB"/>
        </w:rPr>
        <w:t>Breuers</w:t>
      </w:r>
      <w:r w:rsidRPr="00F7475D">
        <w:rPr>
          <w:rFonts w:ascii="Garamond" w:hAnsi="Garamond" w:cs="Arial"/>
          <w:color w:val="000000"/>
          <w:lang w:val="en-GB"/>
        </w:rPr>
        <w:t xml:space="preserve"> –, brachte, als ihre ältere Schwester sich verheiratete, dem neuen Schwager eine besondere Sympathie entgegen, die sich leicht als verwandtschaftliche Zärtlichkeit maskieren konnte. Diese Schwester erkrankte bald und starb, während die Patientin mit ihrer Mutter abwesend war. Die Abwesenden wurden eiligst zurückgerufen, ohne in sichere Kenntnis des schmerzlichen Ereignisses gesetzt zu werden. Als das Mädchen an das Bett der toten Schwester trat, tauchte für einen kurzen Moment eine Idee in ihr auf, die sich etwa in den Worten ausdrücken ließe: </w:t>
      </w:r>
      <w:r w:rsidRPr="00F7475D">
        <w:rPr>
          <w:rFonts w:ascii="Garamond" w:hAnsi="Garamond" w:cs="Arial"/>
          <w:i/>
          <w:iCs/>
          <w:color w:val="000000"/>
          <w:lang w:val="en-GB"/>
        </w:rPr>
        <w:t>Jetzt ist er frei und kann mich heiraten.</w:t>
      </w:r>
      <w:r w:rsidRPr="00F7475D">
        <w:rPr>
          <w:rFonts w:ascii="Garamond" w:hAnsi="Garamond" w:cs="Arial"/>
          <w:color w:val="000000"/>
          <w:lang w:val="en-GB"/>
        </w:rPr>
        <w:t xml:space="preserve"> Wir dürfen als sicher annehmen, daß diese Idee, welche die ihr selbst nicht bewußte intensive Liebe zum Schwager ihrem Bewußtsein verriet, durch den Aufruhr ihrer Gefühle im nächsten Moment der Verdrängung überliefert wurde. Das Mädchen erkrankte an schweren hysterischen Symptomen, und als ich sie in Behandlung genommen hatte, stellte es sich heraus, daß sie jene Szene am Bette der Schwester und die in ihr auftretende häßlich-egoistische Regung gründlich vergessen hatte. Sie erinnerte sich daran in der Behandlung, reproduzierte den pathogenen Moment unter den Anzeichen heftigster Gemütsbewegung und wurde durch diese Behandlung gesund.</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Vielleicht darf ich Ihnen den Vorgang der Verdrängung und deren notwendige Beziehung zum Widerstand durch ein grobes Gleichnis veranschaulichen, das ich gerade aus unserer gegenwärtigen Situation herausgreifen will. Nehmen Sie an, hier in diesem Saale und in diesem Auditorium, dessen musterhafte Ruhe und Aufmerksamkeit ich nicht genug zu preisen weiß, befände sich doch ein Individuum, welches sich störend benimmt und durch sein ungezogenes Lachen, Schwätzen, Scharren mit den Füßen meine Aufmerksamkeit von meiner Aufgabe abzieht. Ich erkläre, daß ich so nicht weiter vortragen kann, und daraufhin erheben sich einige kräftige Männer unter Ihnen und setzen den Störenfried nach kurzem Kampfe vor die Tür. Er ist also jetzt »verdrängt« und ich kann meinen Vortrag fortsetzen. Damit aber die Störung sich nicht wiederhole, wenn der Herausgeworfene versucht, wieder in den Saal einzudringen, rücken die Herren, welche meinen Willen zur Ausführung gebracht haben, ihre Stühle an die Türe an und etablieren sich so als »Widerstand« nach vollzogener Verdrängung. Wenn Sie nun noch die beiden Lokalitäten hier als das »Bewußte« und das »Unbewußte« aufs Psychische übertragen, so haben Sie eine ziemlich gute Nachbildung des Vorgangs der Verdrängung vor sich.</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Sie sehen nun, worin der Unterschied unserer Auffassung von der </w:t>
      </w:r>
      <w:r w:rsidRPr="00F7475D">
        <w:rPr>
          <w:rFonts w:ascii="Garamond" w:hAnsi="Garamond" w:cs="Arial"/>
          <w:i/>
          <w:iCs/>
          <w:color w:val="000000"/>
          <w:lang w:val="en-GB"/>
        </w:rPr>
        <w:t>Janet</w:t>
      </w:r>
      <w:r w:rsidRPr="00F7475D">
        <w:rPr>
          <w:rFonts w:ascii="Garamond" w:hAnsi="Garamond" w:cs="Arial"/>
          <w:color w:val="000000"/>
          <w:lang w:val="en-GB"/>
        </w:rPr>
        <w:t>schen gelegen ist. Wir leiten die psychische Spaltung nicht von einer angeborenen Unzulänglichkeit zur Synthese des seelischen Apparats ab, sondern erklären sie dynamisch durch den Konflikt widerstreitender Seelenkräfte, erkennen in ihr das Ergebnis eines aktiven Sträubens der beiden psychischen Gruppierungen gegeneinander. Aus unserer Auffassung erheben sich nun neue Fragestellungen in großer Anzahl. Die Situation des psychischen Konflikts ist ja eine überaus häufige, ein Bestreben des Ichs, sich peinlicher Erinnerung zu erwehren, wird ganz regelmäßig beobachtet, ohne daß es zum Ergebnis einer seelischen Spaltung führt. Man kann den Gedanken nicht abweisen, daß es noch anderer Bedingungen bedarf, wenn der Konflikt die Dissoziation zur Folge haben soll. Ich gebe Ihnen auch gern zu, daß wir mit der Annahme der Verdrängung nicht am Ende, sondern erst am Anfang einer psychologischen Theorie stehen, aber wir können nicht anders als schrittweise vorrücken und müssen die Vollendung der Erkenntnis weiterer und tiefer eindringender Arbeit überlassen.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Unterlassen Sie auch den Versuch, den Fall der Patientin </w:t>
      </w:r>
      <w:r w:rsidRPr="00F7475D">
        <w:rPr>
          <w:rFonts w:ascii="Garamond" w:hAnsi="Garamond" w:cs="Arial"/>
          <w:i/>
          <w:iCs/>
          <w:color w:val="000000"/>
          <w:lang w:val="en-GB"/>
        </w:rPr>
        <w:t>Breuers</w:t>
      </w:r>
      <w:r w:rsidRPr="00F7475D">
        <w:rPr>
          <w:rFonts w:ascii="Garamond" w:hAnsi="Garamond" w:cs="Arial"/>
          <w:color w:val="000000"/>
          <w:lang w:val="en-GB"/>
        </w:rPr>
        <w:t xml:space="preserve"> unter die Gesichtspunkte der Verdrängung zu bringen. Diese Krankengeschichte eignet sich hiezu nicht, weil sie mit Hilfe der hypnotischen Beeinflussung gewonnen worden ist. Erst, wenn Sie die Hypnose ausschalten, können Sie die Widerstände und Verdrängungen bemerken und sich von dem wirklichen pathogenen Vorgang eine zutreffende Vorstellung bilden. Die Hypnose verdeckt den Widerstand und macht ein gewisses seelisches </w:t>
      </w:r>
      <w:r w:rsidRPr="00F7475D">
        <w:rPr>
          <w:rFonts w:ascii="Garamond" w:hAnsi="Garamond" w:cs="Arial"/>
          <w:color w:val="000000"/>
          <w:lang w:val="en-GB"/>
        </w:rPr>
        <w:lastRenderedPageBreak/>
        <w:t>Gebiet frei zugänglich, dafür häuft sie den Widerstand an den Grenzen dieses Gebietes zu einem Walle auf, der alles Weitere unzugänglich macht.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Das Wertvollste, was wir aus der </w:t>
      </w:r>
      <w:r w:rsidRPr="00F7475D">
        <w:rPr>
          <w:rFonts w:ascii="Garamond" w:hAnsi="Garamond" w:cs="Arial"/>
          <w:i/>
          <w:iCs/>
          <w:color w:val="000000"/>
          <w:lang w:val="en-GB"/>
        </w:rPr>
        <w:t>Breuer</w:t>
      </w:r>
      <w:r w:rsidRPr="00F7475D">
        <w:rPr>
          <w:rFonts w:ascii="Garamond" w:hAnsi="Garamond" w:cs="Arial"/>
          <w:color w:val="000000"/>
          <w:lang w:val="en-GB"/>
        </w:rPr>
        <w:t xml:space="preserve">schen Beobachtung gelernt haben, waren die Aufschlüsse über den Zusammenhang der Symptome mit den pathogenen Erlebnissen oder psychischen Traumen, und nun dürfen wir nicht versäumen, diese Einsichten vom Standpunkte der Verdrängungslehre zu würdigen. Man sieht zunächst wirklich nicht ein, wie man von der Verdrängung aus zur Symptombildung gelangen kann. Anstatt eine komplizierte theoretische Ableitung zu geben, will ich an dieser Stelle auf unser früher gebrauchtes Bild für die Verdrängung zurückgreifen. Denken Sie daran, mit der Entfernung des störenden Gesellen und der Niederlassung der Wächter vor der Türe braucht die Angelegenheit nicht beendigt zu sein. Es kann sehr wohl geschehen, daß der Herausgeworfene, der jetzt erbittert und ganz rücksichtslos geworden ist, uns weiter zu schaffen gibt. Er ist zwar nicht mehr unter uns, wir sind seine Gegenwart, sein höhnisches Lachen, seine halblauten Bemerkungen los geworden, aber in gewisser Hinsicht ist die Verdrängung doch erfolglos gewesen, denn er führt nun draußen einen unerträglichen Spektakel auf, und sein Schreien und mit den Fäusten an die Türe Pochen hemmt meinen Vortrag mehr als früher sein unartiges Benehmen. Unter diesen Verhältnissen würden wir es mit Freuden begrüßen müssen, wenn etwa unser verehrter Präsident Dr. </w:t>
      </w:r>
      <w:r w:rsidRPr="00F7475D">
        <w:rPr>
          <w:rFonts w:ascii="Garamond" w:hAnsi="Garamond" w:cs="Arial"/>
          <w:i/>
          <w:iCs/>
          <w:color w:val="000000"/>
          <w:lang w:val="en-GB"/>
        </w:rPr>
        <w:t>Stanley Hall</w:t>
      </w:r>
      <w:r w:rsidRPr="00F7475D">
        <w:rPr>
          <w:rFonts w:ascii="Garamond" w:hAnsi="Garamond" w:cs="Arial"/>
          <w:color w:val="000000"/>
          <w:lang w:val="en-GB"/>
        </w:rPr>
        <w:t xml:space="preserve"> die Rolle des Vermittlers und Friedensstifters übernehmen wollte. Er würde mit dem ungebärdigen Gesellen draußen sprechen und dann sich an uns mit der Aufforderung wenden, ihn doch wieder einzulassen, er übernehme die Garantie, daß sich jener jetzt besser betragen werde. Auf Dr. </w:t>
      </w:r>
      <w:r w:rsidRPr="00F7475D">
        <w:rPr>
          <w:rFonts w:ascii="Garamond" w:hAnsi="Garamond" w:cs="Arial"/>
          <w:i/>
          <w:iCs/>
          <w:color w:val="000000"/>
          <w:lang w:val="en-GB"/>
        </w:rPr>
        <w:t>Halls</w:t>
      </w:r>
      <w:r w:rsidRPr="00F7475D">
        <w:rPr>
          <w:rFonts w:ascii="Garamond" w:hAnsi="Garamond" w:cs="Arial"/>
          <w:color w:val="000000"/>
          <w:lang w:val="en-GB"/>
        </w:rPr>
        <w:t xml:space="preserve"> Autorität hin entschließen wir uns dazu, die Verdrängung wieder aufzuheben und nun tritt wieder Ruhe und Frieden ein. Es ist dies wirklich keine unpassende Darstellung der Aufgabe, die dem Arzt bei der psychoanalytischen Therapie der Neurosen zufällt.</w:t>
      </w:r>
    </w:p>
    <w:p w:rsidR="002E0E50" w:rsidRPr="002E0E50" w:rsidRDefault="002E0E50" w:rsidP="002E0E50">
      <w:pPr>
        <w:rPr>
          <w:rFonts w:ascii="Garamond" w:hAnsi="Garamond" w:cs="Arial"/>
          <w:color w:val="000000"/>
          <w:lang w:val="en-GB"/>
        </w:rPr>
      </w:pPr>
      <w:r w:rsidRPr="002E0E50">
        <w:rPr>
          <w:rFonts w:ascii="Garamond" w:hAnsi="Garamond" w:cs="Arial"/>
          <w:color w:val="000000"/>
          <w:lang w:val="en-GB"/>
        </w:rPr>
        <w:t xml:space="preserve">Um es jetzt direkter zu sagen: Wir kommen durch die Untersuchung der hysterisch Kranken und anderer Neurotiker zur Überzeugung, daß ihnen die Verdrängung der Idee, an welcher der unverträgliche Wunsch hängt, </w:t>
      </w:r>
      <w:r w:rsidRPr="002E0E50">
        <w:rPr>
          <w:rFonts w:ascii="Garamond" w:hAnsi="Garamond" w:cs="Arial"/>
          <w:i/>
          <w:iCs/>
          <w:color w:val="000000"/>
          <w:lang w:val="en-GB"/>
        </w:rPr>
        <w:t>mißlungen</w:t>
      </w:r>
      <w:r w:rsidRPr="002E0E50">
        <w:rPr>
          <w:rFonts w:ascii="Garamond" w:hAnsi="Garamond" w:cs="Arial"/>
          <w:color w:val="000000"/>
          <w:lang w:val="en-GB"/>
        </w:rPr>
        <w:t xml:space="preserve"> ist. Sie haben sie zwar aus dem Bewußtsein und aus der Erinnerung getrieben und sich anscheinend eine große Summe Unlust erspart, </w:t>
      </w:r>
      <w:r w:rsidRPr="002E0E50">
        <w:rPr>
          <w:rFonts w:ascii="Garamond" w:hAnsi="Garamond" w:cs="Arial"/>
          <w:i/>
          <w:iCs/>
          <w:color w:val="000000"/>
          <w:lang w:val="en-GB"/>
        </w:rPr>
        <w:t>aber im Unbewußten besteht die verdrängte Wunschregung weiter</w:t>
      </w:r>
      <w:r w:rsidRPr="002E0E50">
        <w:rPr>
          <w:rFonts w:ascii="Garamond" w:hAnsi="Garamond" w:cs="Arial"/>
          <w:color w:val="000000"/>
          <w:lang w:val="en-GB"/>
        </w:rPr>
        <w:t xml:space="preserve">, lauert auf eine Gelegenheit, aktiviert zu werden, und versteht es dann, eine entstellte und unkenntlich gemachte </w:t>
      </w:r>
      <w:r w:rsidRPr="002E0E50">
        <w:rPr>
          <w:rFonts w:ascii="Garamond" w:hAnsi="Garamond" w:cs="Arial"/>
          <w:i/>
          <w:iCs/>
          <w:color w:val="000000"/>
          <w:lang w:val="en-GB"/>
        </w:rPr>
        <w:t>Ersatzbildung</w:t>
      </w:r>
      <w:r w:rsidRPr="002E0E50">
        <w:rPr>
          <w:rFonts w:ascii="Garamond" w:hAnsi="Garamond" w:cs="Arial"/>
          <w:color w:val="000000"/>
          <w:lang w:val="en-GB"/>
        </w:rPr>
        <w:t xml:space="preserve"> für das Verdrängte ins Bewußtsein zu schicken, an welche sich bald dieselben Unlustempfindungen knüpfen, die man durch die Verdrängung erspart glaubte. Diese Ersatzbildung für die verdrängte Idee – das </w:t>
      </w:r>
      <w:r w:rsidRPr="002E0E50">
        <w:rPr>
          <w:rFonts w:ascii="Garamond" w:hAnsi="Garamond" w:cs="Arial"/>
          <w:i/>
          <w:iCs/>
          <w:color w:val="000000"/>
          <w:lang w:val="en-GB"/>
        </w:rPr>
        <w:t>Symptom</w:t>
      </w:r>
      <w:r w:rsidRPr="002E0E50">
        <w:rPr>
          <w:rFonts w:ascii="Garamond" w:hAnsi="Garamond" w:cs="Arial"/>
          <w:color w:val="000000"/>
          <w:lang w:val="en-GB"/>
        </w:rPr>
        <w:t xml:space="preserve"> – ist gegen weitere Angriffe von Seiten des abwehrenden Ichs gefeit, und an Stelle des kurzen Konflikts tritt jetzt ein in der Zeit nicht endendes Leiden. An dem Symptom ist neben den Anzeichen der Entstellung ein Rest von irgendwie vermittelter Ähnlichkeit mit der ursprünglich verdrängten Idee zu konstatieren; die Wege, auf denen sich die Ersatzbildung vollzog, lassen sich während der psychoanalytischen Behandlung des Kranken aufdecken, und zu seiner Heilung ist es notwendig, daß das Symptom auf diesen nämlichen Wegen wieder in die verdrängte Idee übergeführt werde. Ist das Verdrängte wieder der bewußten Seelentätigkeit zugeführt, was die Überwindung beträchtlicher Widerstände voraussetzt, so kann der so entstandene psychische </w:t>
      </w:r>
      <w:r w:rsidRPr="002E0E50">
        <w:rPr>
          <w:rFonts w:ascii="Garamond" w:hAnsi="Garamond" w:cs="Arial"/>
          <w:i/>
          <w:iCs/>
          <w:color w:val="000000"/>
          <w:lang w:val="en-GB"/>
        </w:rPr>
        <w:t>Konflikt</w:t>
      </w:r>
      <w:r w:rsidRPr="002E0E50">
        <w:rPr>
          <w:rFonts w:ascii="Garamond" w:hAnsi="Garamond" w:cs="Arial"/>
          <w:color w:val="000000"/>
          <w:lang w:val="en-GB"/>
        </w:rPr>
        <w:t xml:space="preserve">, den der Kranke vermeiden wollte, unter der Leitung des Arztes einen besseren Ausgang finden, als ihn die Verdrängung bot. Es gibt mehrere solcher zweckmäßiger Erledigungen, welche Konflikt und Neurose zum glücklichen Ende führen, im einzelnen Falle auch miteinander kombiniert erzielt werden können. Entweder wird die Persönlichkeit des Kranken überzeugt, daß sie den pathogenen Wunsch mit Unrecht abgewiesen hat, und veranlaßt, ihn ganz oder teilweise zu akzeptieren, oder dieser Wunsch wird selbst auf ein höheres und darum einwandfreies Ziel geleitet (was man seine </w:t>
      </w:r>
      <w:r w:rsidRPr="002E0E50">
        <w:rPr>
          <w:rFonts w:ascii="Garamond" w:hAnsi="Garamond" w:cs="Arial"/>
          <w:i/>
          <w:iCs/>
          <w:color w:val="000000"/>
          <w:lang w:val="en-GB"/>
        </w:rPr>
        <w:t>Sublimierung</w:t>
      </w:r>
      <w:r w:rsidRPr="002E0E50">
        <w:rPr>
          <w:rFonts w:ascii="Garamond" w:hAnsi="Garamond" w:cs="Arial"/>
          <w:color w:val="000000"/>
          <w:lang w:val="en-GB"/>
        </w:rPr>
        <w:t xml:space="preserve"> heißt), oder man erkennt seine Verwerfung als zu Recht bestehend an, ersetzt aber den automatischen und darum unzureichenden Mechanismus der Verdrängung durch eine Verurteilung mit Hilfe der höchsten geistigen Leistungen des Menschen; man erreicht seine bewußte Beherrschung.</w:t>
      </w:r>
    </w:p>
    <w:p w:rsidR="002E0E50" w:rsidRPr="002E0E50" w:rsidRDefault="002E0E50" w:rsidP="002E0E50">
      <w:pPr>
        <w:rPr>
          <w:rFonts w:ascii="Garamond" w:hAnsi="Garamond" w:cs="Arial"/>
          <w:color w:val="000000"/>
          <w:lang w:val="en-GB"/>
        </w:rPr>
      </w:pPr>
      <w:r w:rsidRPr="002E0E50">
        <w:rPr>
          <w:rFonts w:ascii="Garamond" w:hAnsi="Garamond" w:cs="Arial"/>
          <w:color w:val="000000"/>
          <w:lang w:val="en-GB"/>
        </w:rPr>
        <w:t xml:space="preserve">Verzeihen Sie mir, wenn es mir nicht gelungen ist, Ihnen diese Hauptgesichtspunkte der nun </w:t>
      </w:r>
      <w:r w:rsidRPr="002E0E50">
        <w:rPr>
          <w:rFonts w:ascii="Garamond" w:hAnsi="Garamond" w:cs="Arial"/>
          <w:i/>
          <w:iCs/>
          <w:color w:val="000000"/>
          <w:lang w:val="en-GB"/>
        </w:rPr>
        <w:t>Psychoanalyse</w:t>
      </w:r>
      <w:r w:rsidRPr="002E0E50">
        <w:rPr>
          <w:rFonts w:ascii="Garamond" w:hAnsi="Garamond" w:cs="Arial"/>
          <w:color w:val="000000"/>
          <w:lang w:val="en-GB"/>
        </w:rPr>
        <w:t xml:space="preserve"> genannten Behandlungsmethode klarer faßlich darzustellen. Die Schwierigkeiten liegen nicht nur in der </w:t>
      </w:r>
      <w:r w:rsidRPr="002E0E50">
        <w:rPr>
          <w:rFonts w:ascii="Garamond" w:hAnsi="Garamond" w:cs="Arial"/>
          <w:color w:val="000000"/>
          <w:lang w:val="en-GB"/>
        </w:rPr>
        <w:lastRenderedPageBreak/>
        <w:t>Neuheit des Gegenstandes. Welcher Art die unverträglichen Wünsche sind, die sich trotz der Verdrängung aus dem Unbewußten vernehmbar zu machen verstehen, und welche subjektiven oder konstitutionellen Bedingungen bei einer Person zutreffen müssen, damit sich ein solches Mißlingen der Verdrängung und eine Ersatz- oder Symptombildung vollziehe, darüber werden noch einige spätere Bemerkungen Aufschluß geben.</w:t>
      </w:r>
    </w:p>
    <w:p w:rsidR="002E0E50" w:rsidRPr="00F7475D" w:rsidRDefault="002E0E50" w:rsidP="002E0E50">
      <w:pPr>
        <w:rPr>
          <w:rFonts w:ascii="Garamond" w:hAnsi="Garamond" w:cs="Arial"/>
          <w:b/>
          <w:bCs/>
          <w:color w:val="000000"/>
          <w:lang w:val="en-GB"/>
        </w:rPr>
      </w:pPr>
      <w:r w:rsidRPr="00F7475D">
        <w:rPr>
          <w:rFonts w:ascii="Garamond" w:hAnsi="Garamond" w:cs="Arial"/>
          <w:b/>
          <w:bCs/>
          <w:color w:val="000000"/>
          <w:lang w:val="en-GB"/>
        </w:rPr>
        <w:t>III.</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Meine Damen und Herren! Es ist nicht immer leicht die Wahrheit zu sagen, besonders wenn man kurz sein muß, und so bin ich heute genötigt, eine Unrichtigkeit zu korrigieren, die ich in meinem letzten Vortrag vorgebracht habe. Ich sagte Ihnen, wenn ich unter Verzicht auf die Hypnose in meine Kranken drang, mir doch mitzuteilen, was ihnen zu dem eben behandelten Problem einfiele; sie wüßten ja doch alles angeblich Vergessene, und der auftauchende Einfall werde gewiß das Gesuchte enthalten, so machte ich tatsächlich die Erfahrung, daß der nächste Einfall meines Kranken das richtige brachte und sich als die vergessene Fortsetzung der Erinnerung erwies. Nun, das ist nicht allgemein richtig; ich habe es nur der Abkürzung halber so einfach dargestellt. In Wirklichkeit traf es nur die ersten Male zu, daß sich das richtige Vergessene durch einfaches Drängen von meiner Seite einstellte. Setzte man das Verfahren fort, so kamen jedesmal Einfälle, die nicht die richtigen sein konnten, weil sie nicht passend waren, und die die Kranken selbst als unrichtig verwarfen. Das Drängen brachte hier keine weitere Hilfe, und man konnte wieder bedauern, die Hypnose aufgegeben zu haben.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In diesem Stadium der Ratlosigkeit klammerte ich mich an ein Vorurteil, dessen wissenschaftliche Berechtigung Jahre später durch meinen Freund C. G. </w:t>
      </w:r>
      <w:r w:rsidRPr="00F7475D">
        <w:rPr>
          <w:rFonts w:ascii="Garamond" w:hAnsi="Garamond" w:cs="Arial"/>
          <w:i/>
          <w:iCs/>
          <w:color w:val="000000"/>
          <w:lang w:val="en-GB"/>
        </w:rPr>
        <w:t>Jung</w:t>
      </w:r>
      <w:r w:rsidRPr="00F7475D">
        <w:rPr>
          <w:rFonts w:ascii="Garamond" w:hAnsi="Garamond" w:cs="Arial"/>
          <w:color w:val="000000"/>
          <w:lang w:val="en-GB"/>
        </w:rPr>
        <w:t xml:space="preserve"> in Zürich und seine Schüler erwiesen wurde. Ich muß behaupten, es ist manchmal recht nützlich, Vorurteile zu haben. Ich brachte eine hohe Meinung von der Strenge der Determinierung seelischer Vorgänge mit und konnte nicht daran glauben, daß ein Einfall des Kranken, den er bei gespannter Aufmerksamkeit produzierte, ganz willkürlich und außer Beziehung zu der von uns gesuchten vergessenen Vorstellung sei; daß er mit dieser nicht identisch war, ließ sich aus der vorausgesetzten psychologischen Situation befriedigend erklären. In dem behandelten Kranken wirkten zwei Kräfte gegen einander, einerseits sein bewußtes Bestreben, das in seinem Unbewußten vorhandene Vergessene ins Bewußtsein zu ziehen, anderseits der uns bekannte Widerstand, der sich gegen solches Bewußtwerden des Verdrängten oder seiner Abkömmlinge sträubte. War dieser Widerstand gleich Null oder sehr gering, so wurde das Vergessene ohne Entstellung bewußt; es lag also nahe, anzunehmen, daß die Entstellung des Gesuchten um so größer ausfallen werde, je größer der Widerstand gegen das Bewußtwerden des Gesuchten sei. Der Einfall des Kranken, der anstatt des Gesuchten kam, war also selbst entstanden wie ein Symptom; er war eine neue, künstliche und ephemere Ersatzbildung für das Verdrängte, und demselben um so unähnlicher, eine je größere Entstellung er unter dem Einfluß des Widerstandes erfahren hatte. Er mußte aber doch eine gewisse Ähnlichkeit mit dem Gesuchten aufweisen, kraft seiner Natur als Symptom, und bei nicht zu intensivem Widerstand mußte es möglich sein, aus dem Einfall das verborgene Gesuchte zu erraten. Der Einfall mußte sich zum verdrängten Element verhalten wie eine Anspielung, wie eine Darstellung desselben in </w:t>
      </w:r>
      <w:r w:rsidRPr="00F7475D">
        <w:rPr>
          <w:rFonts w:ascii="Garamond" w:hAnsi="Garamond" w:cs="Arial"/>
          <w:i/>
          <w:iCs/>
          <w:color w:val="000000"/>
          <w:lang w:val="en-GB"/>
        </w:rPr>
        <w:t>indirekter</w:t>
      </w:r>
      <w:r w:rsidRPr="00F7475D">
        <w:rPr>
          <w:rFonts w:ascii="Garamond" w:hAnsi="Garamond" w:cs="Arial"/>
          <w:color w:val="000000"/>
          <w:lang w:val="en-GB"/>
        </w:rPr>
        <w:t xml:space="preserve"> Rede.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Wir kennen auf dem Gebiete des normalen Seelenlebens Fälle, in denen analoge Situationen wie die von uns angenommene auch ähnliche Ergebnisse liefern. Ein solcher Fall ist der des </w:t>
      </w:r>
      <w:r w:rsidRPr="00F7475D">
        <w:rPr>
          <w:rFonts w:ascii="Garamond" w:hAnsi="Garamond" w:cs="Arial"/>
          <w:i/>
          <w:iCs/>
          <w:color w:val="000000"/>
          <w:lang w:val="en-GB"/>
        </w:rPr>
        <w:t>Witzes</w:t>
      </w:r>
      <w:r w:rsidRPr="00F7475D">
        <w:rPr>
          <w:rFonts w:ascii="Garamond" w:hAnsi="Garamond" w:cs="Arial"/>
          <w:color w:val="000000"/>
          <w:lang w:val="en-GB"/>
        </w:rPr>
        <w:t>. Durch die Probleme der psychoanalytischen Technik bin ich denn auch genötigt worden, mich mit der Technik der Witzbildung zu beschäftigen. Ich will Ihnen ein einziges solches Beispiel erläutern, übrigens einen Witz in englischer Sprache.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Die Anekdote erzählt: </w:t>
      </w:r>
      <w:hyperlink r:id="rId1585"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Der Witz und seine Beziehung zum Unbewußten. Fr. Deuticke, Wien 1905 (p. 59).</w:t>
        </w:r>
      </w:hyperlink>
      <w:r w:rsidRPr="00F7475D">
        <w:rPr>
          <w:rFonts w:ascii="Garamond" w:hAnsi="Garamond" w:cs="Arial"/>
          <w:color w:val="000000"/>
          <w:lang w:val="en-GB"/>
        </w:rPr>
        <w:t xml:space="preserve"> Zwei wenig skrupulösen Geschäftsleuten war es gelungen, sich durch eine Reihe recht gewagter Unternehmungen ein großes Vermögen zu erwerben, und nun ging ihr Bemühen dahin, sich der </w:t>
      </w:r>
      <w:r w:rsidRPr="00F7475D">
        <w:rPr>
          <w:rFonts w:ascii="Garamond" w:hAnsi="Garamond" w:cs="Arial"/>
          <w:color w:val="000000"/>
          <w:lang w:val="en-GB"/>
        </w:rPr>
        <w:lastRenderedPageBreak/>
        <w:t xml:space="preserve">guten Gesellschaft aufzudrängen. Unter anderem erschien es ihnen als ein zweckmäßiges Mittel, sich von dem vornehmsten und teuersten Maler der Stadt, dessen Bilder als Ereignisse betrachtet wurden, malen zu lassen. Auf einer großen Soiree wurden die kostbaren Bilder zuerst gezeigt, und die beiden Hausherren führten selbst den einflußreichsten Kunstkenner und Kritiker zur Wand des Salons, auf welcher die beiden Portraits nebeneinander aufgehängt waren, um ihm sein bewunderndes Urteil zu entlocken. Der sah die Bilder lange Zeit an, schüttelte dann den Kopf, als ob er etwas vermissen würde, und fragte bloß, auf den freien Raum zwischen beiden Bildern deutend: »And where is the Saviour?« Ich sehe, Sie lachen alle über diesen guten Witz, in dessen Verständnis wir nun eindringen wollen. Wir verstehen, daß der Kunstkenner sagen will: Ihr seid ein Paar Spitzbuben, wie die, zwischen denen man den Heiland ans Kreuz hängte. Aber er sagt es nicht, anstatt dessen äußert er etwas, was zunächst sonderbar unpassend und nicht dazu gehörig scheint, was wir aber im nächsten Moment als eine </w:t>
      </w:r>
      <w:r w:rsidRPr="00F7475D">
        <w:rPr>
          <w:rFonts w:ascii="Garamond" w:hAnsi="Garamond" w:cs="Arial"/>
          <w:i/>
          <w:iCs/>
          <w:color w:val="000000"/>
          <w:lang w:val="en-GB"/>
        </w:rPr>
        <w:t>Anspielung</w:t>
      </w:r>
      <w:r w:rsidRPr="00F7475D">
        <w:rPr>
          <w:rFonts w:ascii="Garamond" w:hAnsi="Garamond" w:cs="Arial"/>
          <w:color w:val="000000"/>
          <w:lang w:val="en-GB"/>
        </w:rPr>
        <w:t xml:space="preserve"> auf die von ihm beabsichtigte Beschimpfung und als einen vollgültigen Ersatz für dieselbe erkennen. Wir können nicht erwarten, daß sich beim Witz alle die Verhältnisse widerfinden lassen, die wir bei der Entstehung des Einfalles bei unseren Patienten vermuten, aber auf die Identität in der Motivierung von Witz und Einfall wollen wir Gewicht legen. Warum sagt unser Kritiker den beiden Spitzbuben nicht direkt, was er ihnen sagen möchte? Weil neben seinem Gelüste, es ihnen unverhüllt ins Gesicht zu sagen, sehr gute Gegenmotive in ihm wirksam sind. Es ist nicht ungefährlich, Leute zu beleidigen, bei denen man zu Gaste ist, und die über die kräftigen Fäuste einer zahlreichen Dienerschaft verfügen. Man kann leicht jenem Schicksal verfallen, das ich im vorigen Vortrag in eine Analogie mit der »Verdrängung« brachte. Aus diesem Grunde bringt der Kritiker die beabsichtigte Beschimpfung nicht direkt, sondern in entstellter Form als eine »Anspielung mit Auslassung« zum Ausdruck, und dieselbe Konstellation verschuldet es nach unserer Meinung, daß unser Patient, anstatt des gesuchten Vergessenen, einen mehr oder minder entstellten </w:t>
      </w:r>
      <w:r w:rsidRPr="00F7475D">
        <w:rPr>
          <w:rFonts w:ascii="Garamond" w:hAnsi="Garamond" w:cs="Arial"/>
          <w:i/>
          <w:iCs/>
          <w:color w:val="000000"/>
          <w:lang w:val="en-GB"/>
        </w:rPr>
        <w:t>Ersatzeinfall</w:t>
      </w:r>
      <w:r w:rsidRPr="00F7475D">
        <w:rPr>
          <w:rFonts w:ascii="Garamond" w:hAnsi="Garamond" w:cs="Arial"/>
          <w:color w:val="000000"/>
          <w:lang w:val="en-GB"/>
        </w:rPr>
        <w:t xml:space="preserve"> produziert.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Meine Damen und Herren! Es ist recht zweckmäßig, eine Gruppe von zusammengehörigen, mit Affekt besetzten Vorstellungselementen nach dem Vorgang der </w:t>
      </w:r>
      <w:r w:rsidRPr="00F7475D">
        <w:rPr>
          <w:rFonts w:ascii="Garamond" w:hAnsi="Garamond" w:cs="Arial"/>
          <w:i/>
          <w:iCs/>
          <w:color w:val="000000"/>
          <w:lang w:val="en-GB"/>
        </w:rPr>
        <w:t>Züricher</w:t>
      </w:r>
      <w:r w:rsidRPr="00F7475D">
        <w:rPr>
          <w:rFonts w:ascii="Garamond" w:hAnsi="Garamond" w:cs="Arial"/>
          <w:color w:val="000000"/>
          <w:lang w:val="en-GB"/>
        </w:rPr>
        <w:t xml:space="preserve"> Schule ( </w:t>
      </w:r>
      <w:r w:rsidRPr="00F7475D">
        <w:rPr>
          <w:rFonts w:ascii="Garamond" w:hAnsi="Garamond" w:cs="Arial"/>
          <w:i/>
          <w:iCs/>
          <w:color w:val="000000"/>
          <w:lang w:val="en-GB"/>
        </w:rPr>
        <w:t>Bleuler</w:t>
      </w:r>
      <w:r w:rsidRPr="00F7475D">
        <w:rPr>
          <w:rFonts w:ascii="Garamond" w:hAnsi="Garamond" w:cs="Arial"/>
          <w:color w:val="000000"/>
          <w:lang w:val="en-GB"/>
        </w:rPr>
        <w:t xml:space="preserve">, </w:t>
      </w:r>
      <w:r w:rsidRPr="00F7475D">
        <w:rPr>
          <w:rFonts w:ascii="Garamond" w:hAnsi="Garamond" w:cs="Arial"/>
          <w:i/>
          <w:iCs/>
          <w:color w:val="000000"/>
          <w:lang w:val="en-GB"/>
        </w:rPr>
        <w:t>Jung</w:t>
      </w:r>
      <w:r w:rsidRPr="00F7475D">
        <w:rPr>
          <w:rFonts w:ascii="Garamond" w:hAnsi="Garamond" w:cs="Arial"/>
          <w:color w:val="000000"/>
          <w:lang w:val="en-GB"/>
        </w:rPr>
        <w:t xml:space="preserve"> u. a.) als einen » </w:t>
      </w:r>
      <w:r w:rsidRPr="00F7475D">
        <w:rPr>
          <w:rFonts w:ascii="Garamond" w:hAnsi="Garamond" w:cs="Arial"/>
          <w:i/>
          <w:iCs/>
          <w:color w:val="000000"/>
          <w:lang w:val="en-GB"/>
        </w:rPr>
        <w:t>Komplex</w:t>
      </w:r>
      <w:r w:rsidRPr="00F7475D">
        <w:rPr>
          <w:rFonts w:ascii="Garamond" w:hAnsi="Garamond" w:cs="Arial"/>
          <w:color w:val="000000"/>
          <w:lang w:val="en-GB"/>
        </w:rPr>
        <w:t>« zu bezeichnen. Wir sehen also, wenn wir bei einem Kranken, von dem letzten, was er noch erinnert, ausgehen, um einen verdrängten Komplex zu suchen, so haben wir alle Aussicht, diesen zu erraten, wenn uns der Kranke eine genügende Anzahl seiner freien Einfälle zur Verfügung stellt. Wir lassen also den Kranken reden, was er will, und halten an der Voraussetzung fest, daß ihm nichts anderes einfallen kann, als was in indirekter Weise von dem gesuchten Komplex abhängt. Erscheint Ihnen dieser Weg, das Verdrängte aufzufinden, allzu umständlich, so kann ich Ihnen wenigstens die Versicherung geben, daß er der einzig gangbare ist.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Wenn wir diese Technik ausüben, so werden wir noch durch die Tatsache gestört, daß der Kranke häufig inne hält, in Stockungen gerät und behauptet, er wisse nichts zu sagen, es falle ihm überhaupt nichts ein. Träfe dies zu und hätte der Kranke recht, so wäre unser Verfahren wiederum als unzulänglich erwiesen. Allein eine feinere Beobachtung zeigt, daß ein solches Versagen der Einfälle eigentlich nie eintritt. Dieser Anschein kommt nur dadurch zu stande, daß der Kranke den wahrgenommenen Einfall unter dem Einfluß der Widerstände, die sich in verschiedene kritische Urteile über den Wert des Einfalls kleiden, zurückhält oder wieder beseitigt. Man schützt sich dagegen, indem man ihm dieses Verhalten vorhersagt und von ihm fordert, daß er sich um diese Kritik nicht kümmere. Er soll unter völligem Verzicht auf solche kritische Auswahl alles sagen, was ihm in den Sinn kommt, auch wenn er es für unrichtig, für nicht dazu gehörig, für unsinnig hält, vor allem auch dann, wenn es ihm unangenehm ist, sein Denken mit dem Einfall zu beschäftigen. Durch die Befolgung dieser Vorschrift sichern wir uns das Material, welches uns auf die Spur der verdrängten Komplexe führt.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Dies Material von Einfällen, welche der Kranke geringschätzend von sich weist, wenn er unter dem Einflüsse des Widerstandes anstatt unter dem des Arztes steht, stellt für den Psychoanalytiker gleichsam das Erz dar, dem er mit Hilfe von einfachen Deutungskünsten seinen Gehalt an wertvollem Metall </w:t>
      </w:r>
      <w:r w:rsidRPr="00F7475D">
        <w:rPr>
          <w:rFonts w:ascii="Garamond" w:hAnsi="Garamond" w:cs="Arial"/>
          <w:color w:val="000000"/>
          <w:lang w:val="en-GB"/>
        </w:rPr>
        <w:lastRenderedPageBreak/>
        <w:t xml:space="preserve">entzieht. Wollen Sie sich bei einem Kranken eine rasche und vorläufige Kenntnis der verdrängten Komplexe schaffen, ohne noch auf deren Anordnung und Verknüpfung einzugehen, so bedienen Sie sich dazu der Prüfung mit dem </w:t>
      </w:r>
      <w:r w:rsidRPr="00F7475D">
        <w:rPr>
          <w:rFonts w:ascii="Garamond" w:hAnsi="Garamond" w:cs="Arial"/>
          <w:i/>
          <w:iCs/>
          <w:color w:val="000000"/>
          <w:lang w:val="en-GB"/>
        </w:rPr>
        <w:t>Assoziationsexperiment</w:t>
      </w:r>
      <w:r w:rsidRPr="00F7475D">
        <w:rPr>
          <w:rFonts w:ascii="Garamond" w:hAnsi="Garamond" w:cs="Arial"/>
          <w:color w:val="000000"/>
          <w:lang w:val="en-GB"/>
        </w:rPr>
        <w:t xml:space="preserve">, wie sie </w:t>
      </w:r>
      <w:r w:rsidRPr="00F7475D">
        <w:rPr>
          <w:rFonts w:ascii="Garamond" w:hAnsi="Garamond" w:cs="Arial"/>
          <w:i/>
          <w:iCs/>
          <w:color w:val="000000"/>
          <w:lang w:val="en-GB"/>
        </w:rPr>
        <w:t>Jung</w:t>
      </w:r>
      <w:hyperlink r:id="rId1586"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 xml:space="preserve">C. G. </w:t>
        </w:r>
        <w:r w:rsidRPr="00F7475D">
          <w:rPr>
            <w:rStyle w:val="innerfusslink3"/>
            <w:rFonts w:ascii="Garamond" w:hAnsi="Garamond" w:cs="Arial"/>
            <w:b/>
            <w:bCs/>
            <w:i/>
            <w:iCs/>
            <w:lang w:val="en-GB"/>
          </w:rPr>
          <w:t>Jung</w:t>
        </w:r>
        <w:r w:rsidRPr="00F7475D">
          <w:rPr>
            <w:rStyle w:val="innerfusslink3"/>
            <w:rFonts w:ascii="Garamond" w:hAnsi="Garamond" w:cs="Arial"/>
            <w:b/>
            <w:bCs/>
            <w:lang w:val="en-GB"/>
          </w:rPr>
          <w:t>, Diagnostische Assoziationsstudien, I. Bd., 1906.</w:t>
        </w:r>
      </w:hyperlink>
      <w:r w:rsidRPr="00F7475D">
        <w:rPr>
          <w:rFonts w:ascii="Garamond" w:hAnsi="Garamond" w:cs="Arial"/>
          <w:color w:val="000000"/>
          <w:lang w:val="en-GB"/>
        </w:rPr>
        <w:t xml:space="preserve"> und seine Schüler ausgebildet haben. Dies Verfahren leistet dem Psychoanalytiker so viel wie die qualitative Analyse dem Chemiker; es ist in der Therapie der neurotisch Kranken entbehrlich, unentbehrlich aber zur objektiven Demonstration der Komplexe und bei der Untersuchung der Psychosen, die von der Züricher Schule so erfolgreich in Angriff genommen worden ist.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Die Bearbeitung der Einfälle, welche sich dem Patienten ergeben, wenn er sich der psychoanalytischen Hauptregel unterwirft, ist nicht das einzige unserer technischen Mittel zur Erschließung des Unbewußten. Dem gleichen Zwecke dienen zwei andere Verfahren, die Deutung seiner Träume und die Verwertung seiner Fehl- und Zufallshandlungen.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Ich gestehe Ihnen, meine geehrten Zuhörer, daß ich lange geschwankt habe, ob ich Ihnen anstatt dieser gedrängten Übersicht über das ganze Gebiet der Psychoanalyse nicht lieber eine ausführliche Darstellung der </w:t>
      </w:r>
      <w:r w:rsidRPr="00F7475D">
        <w:rPr>
          <w:rFonts w:ascii="Garamond" w:hAnsi="Garamond" w:cs="Arial"/>
          <w:i/>
          <w:iCs/>
          <w:color w:val="000000"/>
          <w:lang w:val="en-GB"/>
        </w:rPr>
        <w:t>Traumdeutung</w:t>
      </w:r>
      <w:r w:rsidRPr="00F7475D">
        <w:rPr>
          <w:rFonts w:ascii="Garamond" w:hAnsi="Garamond" w:cs="Arial"/>
          <w:color w:val="000000"/>
          <w:lang w:val="en-GB"/>
        </w:rPr>
        <w:t xml:space="preserve"> bieten soll. Ein rein subjektives und anscheinend sekundäres Motiv hat mich davon zurückgehalten. Es erschien mir fast anstößig, in diesem praktischen Zielen zugewendeten Lande als »Traumdeuter« aufzutreten, ehe Sie noch wissen konnten, auf welche Bedeutung diese veraltete und verspottete Kunst Anspruch erheben kann. Die Traumdeutung ist in Wirklichkeit die Via Regia zur Kenntnis des Unbewußten, die sicherste Grundlage der Psychoanalyse und jenes Gebiet, auf welchem jeder Arbeiter seine Überzeugung zu gewinnen und seine Ausbildung anzustreben hat. Wenn ich gefragt werde, wie man Psychoanalytiker werden kann, so antworte ich, durch das Studium seiner eigenen Träume. Mit richtigem Takt sind alle Gegner der Psychoanalyse bisher einer Würdigung der »Traumdeutung« </w:t>
      </w:r>
      <w:hyperlink r:id="rId1587"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Die Traumdeutung, 2. Aufl., Fr. Deuticke, Wien 1909.</w:t>
        </w:r>
      </w:hyperlink>
      <w:r w:rsidRPr="00F7475D">
        <w:rPr>
          <w:rFonts w:ascii="Garamond" w:hAnsi="Garamond" w:cs="Arial"/>
          <w:color w:val="000000"/>
          <w:lang w:val="en-GB"/>
        </w:rPr>
        <w:t xml:space="preserve"> ausgewichen oder haben mit den seichtesten Einwendungen über sie hinwegzukommen getrachtet. Wenn Sie im Gegenteile die Lösungen der Probleme des Traumlebens anzunehmen vermögen, werden Ihnen die Neuheiten, welche die Psychoanalyse Ihrem Denken zumutet, keine Schwierigkeiten mehr bieten.</w:t>
      </w:r>
    </w:p>
    <w:p w:rsidR="002E0E50" w:rsidRPr="00F7475D" w:rsidRDefault="002E0E50" w:rsidP="002E0E50">
      <w:pPr>
        <w:rPr>
          <w:rFonts w:ascii="Garamond" w:hAnsi="Garamond" w:cs="Arial"/>
          <w:color w:val="000000"/>
        </w:rPr>
      </w:pPr>
      <w:r w:rsidRPr="00F7475D">
        <w:rPr>
          <w:rFonts w:ascii="Garamond" w:hAnsi="Garamond" w:cs="Arial"/>
          <w:color w:val="000000"/>
          <w:lang w:val="en-GB"/>
        </w:rPr>
        <w:t xml:space="preserve">Vergessen Sie nicht daran, daß unsere nächtlichen Traumproduktionen einerseits die größte äußere Ähnlichkeit und innere Verwandtschaft mit den Schöpfungen der Geisteskrankheiten zeigen, anderseits aber mit der vollen Gesundheit des Wachlebens verträglich sind. Es ist keine absurd klingende Behauptung, daß, wer jenen »normalen« Sinnestäuschungen, Wahnideen und Charakteränderungen Verwunderung anstatt Verständnis entgegenbringt, auch nicht die leiseste Aussicht hat, die abnormen Bildungen krankhafter Seelenzustände anders als im laienhaften Sinne zu begreifen. </w:t>
      </w:r>
      <w:r w:rsidRPr="00F7475D">
        <w:rPr>
          <w:rFonts w:ascii="Garamond" w:hAnsi="Garamond" w:cs="Arial"/>
          <w:color w:val="000000"/>
        </w:rPr>
        <w:t>Zu diesen Laien dürfen Sie heute getrost fast alle Psychiater zählen. Folgen Sie mir nun auf einem flüchtigen Streifzug durch das Gebiet der Traumprobleme.</w:t>
      </w:r>
    </w:p>
    <w:p w:rsidR="002E0E50" w:rsidRPr="00F7475D" w:rsidRDefault="002E0E50" w:rsidP="002E0E50">
      <w:pPr>
        <w:rPr>
          <w:rFonts w:ascii="Garamond" w:hAnsi="Garamond" w:cs="Arial"/>
          <w:color w:val="000000"/>
          <w:lang w:val="en-GB"/>
        </w:rPr>
      </w:pPr>
      <w:r w:rsidRPr="00F7475D">
        <w:rPr>
          <w:rFonts w:ascii="Garamond" w:hAnsi="Garamond" w:cs="Arial"/>
          <w:color w:val="000000"/>
        </w:rPr>
        <w:t xml:space="preserve">Wir pflegen, wenn wir erwacht sind, die Träume so verächtlich zu behandeln, wie der Patient die Einfälle, die der Psychoanalytiker von ihm fordert. Wir weisen sie aber auch von uns ab, indem wir sie in der Regel rasch und vollständig vergessen. Unsere Geringschätzung gründet sich auf den fremdartigen Charakter selbst jener Träume, die nicht verworren und unsinnig sind, und auf die evidente Absurdität und Sinnlosigkeit anderer Träume; unsere Abweisung beruft sich auf die ungehemmt schamlosen und unmoralischen Strebungen, die in manchen Träumen offen zu Tage treten. </w:t>
      </w:r>
      <w:r w:rsidRPr="00F7475D">
        <w:rPr>
          <w:rFonts w:ascii="Garamond" w:hAnsi="Garamond" w:cs="Arial"/>
          <w:color w:val="000000"/>
          <w:lang w:val="en-GB"/>
        </w:rPr>
        <w:t>Das Altertum hat diese Geringschätzung der Träume bekanntlich nicht geteilt. Die niederen Schichten unseres Volkes lassen sich in der Wertschätzung der Träume auch heute nicht irre machen; sie erwarten von ihnen wie die Alten die Enthüllung der Zukunft.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Ich bekenne, daß ich kein Bedürfnis nach mystischen Annahmen zur Ausfüllung der Lücken unserer gegenwärtigen Erkenntnis habe, und darum habe ich auch nie etwas finden können, was eine prophetische </w:t>
      </w:r>
      <w:r w:rsidRPr="00F7475D">
        <w:rPr>
          <w:rFonts w:ascii="Garamond" w:hAnsi="Garamond" w:cs="Arial"/>
          <w:color w:val="000000"/>
          <w:lang w:val="en-GB"/>
        </w:rPr>
        <w:lastRenderedPageBreak/>
        <w:t>Natur der Träume bestätigte. Es läßt sich viel andersartiges, was auch wunderbar genug ist, über die Träume sagen.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Zunächst, nicht alle Träume sind dem Träumer wesensfremd, unverständlich und verworren. Wenn Sie die Träume jüngster Kinder, von 1½ Jahren an, Ihrer Betrachtung unterziehen wollen, so finden sie dieselben ganz simpel und leicht aufzuklären. Das kleine Kind träumt immer die Erfüllung von Wünschen, die der Tag vorher in ihm erweckt und nicht befriedigt hat. Sie bedürfen keiner Deutungskunst, um diese einfache Lösung zu finden, sondern nur der Erkundigung nach den Erlebnissen des Kindes am Vortag (Traumtag). Es wäre nun gewiß die befriedigendste Lösung des Traumrätsels, wenn auch die Träume der Erwachsenen nichts anderes wären als die der Kinder, Erfüllungen von Wunschregungen, die ihnen der Traumtag gebracht hat. So ist es auch in Wirklichkeit; die Schwierigkeiten, welche dieser Lösung im Wege stehen, lassen sich durch eine eingehendere Analyse der Träume schrittweise beseitigen.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Da ist vor allem die erste und gewichtigste Einwendung, daß die Träume Erwachsener gewöhnlich einen unverständlichen Inhalt haben, der am wenigsten etwas von Wunscherfüllung erkennen läßt. Die Antwort lautet hier: Diese Träume haben eine Entstellung erfahren; der psychische Vorgang, der ihnen zu Grunde liegt, hätte ursprünglich ganz anderen Ausdruck in Worten finden sollen. Sie müssen den </w:t>
      </w:r>
      <w:r w:rsidRPr="00F7475D">
        <w:rPr>
          <w:rFonts w:ascii="Garamond" w:hAnsi="Garamond" w:cs="Arial"/>
          <w:i/>
          <w:iCs/>
          <w:color w:val="000000"/>
          <w:lang w:val="en-GB"/>
        </w:rPr>
        <w:t>manifesten Trauminhalt</w:t>
      </w:r>
      <w:r w:rsidRPr="00F7475D">
        <w:rPr>
          <w:rFonts w:ascii="Garamond" w:hAnsi="Garamond" w:cs="Arial"/>
          <w:color w:val="000000"/>
          <w:lang w:val="en-GB"/>
        </w:rPr>
        <w:t xml:space="preserve">, wie Sie ihn am Morgen verschwommen erinnern und mühselig, anscheinend willkürlich, in Worte kleiden, unterscheiden von den </w:t>
      </w:r>
      <w:r w:rsidRPr="00F7475D">
        <w:rPr>
          <w:rFonts w:ascii="Garamond" w:hAnsi="Garamond" w:cs="Arial"/>
          <w:i/>
          <w:iCs/>
          <w:color w:val="000000"/>
          <w:lang w:val="en-GB"/>
        </w:rPr>
        <w:t>latenten Traumgedanken</w:t>
      </w:r>
      <w:r w:rsidRPr="00F7475D">
        <w:rPr>
          <w:rFonts w:ascii="Garamond" w:hAnsi="Garamond" w:cs="Arial"/>
          <w:color w:val="000000"/>
          <w:lang w:val="en-GB"/>
        </w:rPr>
        <w:t>, die Sie im Unbewußten vorhanden anzunehmen haben. Diese Traumentstellung ist derselbe Vorgang, den Sie bei der Untersuchung der Bildung hysterischer Symptome kennen gelernt haben; sie weist auch darauf hin, daß das gleiche Gegenspiel der seelischen Kräfte bei der Traumbildung wie bei der Symptombildung beteiligt ist. Der manifeste Trauminhalt ist der entstellte Ersatz für die unbewußten Traumgedanken, und diese Entstellung ist das Werk von abwehrenden Kräften des Ichs, Widerständen, welche den verdrängten Wünschen des Unbewußten den Zugang zum Bewußtsein im Wachleben überhaupt verwehren, in der Herabsetzung des Schlafzustandes aber wenigstens noch so stark sind, daß sie ihnen eine verhüllende Vermummung aufnötigen. Der Träumer erkennt dann den Sinn seiner Träume ebenso wenig wie der Hysterische die Beziehung und Bedeutung seiner Symptome.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Daß es latente Traumgedanken gibt und daß zwischen ihnen und dem manifesten Trauminhalt wirklich die eben beschriebene Relation besteht, davon überzeugen Sie sich bei der Analyse der Träume, deren Technik mit der psychoanalytischen zusammenfällt. Sie sehen von dem scheinbaren Zusammenhang der Elemente im manifesten Traum ganz ab und suchen sich die Einfälle zusammen, die sich bei freier Assoziation nach der psychoanalytischen Arbeitsregel zu jedem einzelnen Traumelement ergeben. Aus diesem Material erraten Sie die latenten Traumgedanken ganz so, wie Sie aus den Einfällen des Kranken zu seinen Symptomen und Erinnerungen seine versteckten Komplexe erraten haben. An den so gefundenen latenten Traumgedanken ersehen Sie ohne weiteres, wie vollberechtigt die Rückführung der Träume Erwachsener auf die Kinderträume ist. Was sich jetzt als der eigentliche Sinn des Traumes dem manifesten Trauminhalt substituiert, das ist immer klar verständlich, knüpft an die Lebenseindrücke des Vortages an, erweist sich als eine Erfüllung unbefriedigter Wünsche. Den manifesten Traum, den Sie aus der Erinnerung beim Erwachen kennen, können Sie dann nur beschreiben als eine </w:t>
      </w:r>
      <w:r w:rsidRPr="00F7475D">
        <w:rPr>
          <w:rFonts w:ascii="Garamond" w:hAnsi="Garamond" w:cs="Arial"/>
          <w:i/>
          <w:iCs/>
          <w:color w:val="000000"/>
          <w:lang w:val="en-GB"/>
        </w:rPr>
        <w:t>verkappte</w:t>
      </w:r>
      <w:r w:rsidRPr="00F7475D">
        <w:rPr>
          <w:rFonts w:ascii="Garamond" w:hAnsi="Garamond" w:cs="Arial"/>
          <w:color w:val="000000"/>
          <w:lang w:val="en-GB"/>
        </w:rPr>
        <w:t xml:space="preserve"> Erfüllung </w:t>
      </w:r>
      <w:r w:rsidRPr="00F7475D">
        <w:rPr>
          <w:rFonts w:ascii="Garamond" w:hAnsi="Garamond" w:cs="Arial"/>
          <w:i/>
          <w:iCs/>
          <w:color w:val="000000"/>
          <w:lang w:val="en-GB"/>
        </w:rPr>
        <w:t>verdrängter</w:t>
      </w:r>
      <w:r w:rsidRPr="00F7475D">
        <w:rPr>
          <w:rFonts w:ascii="Garamond" w:hAnsi="Garamond" w:cs="Arial"/>
          <w:color w:val="000000"/>
          <w:lang w:val="en-GB"/>
        </w:rPr>
        <w:t xml:space="preserve"> Wünsche.</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Sie können durch eine Art von synthetischer Arbeit jetzt auch Einsicht nehmen in den Prozeß, der die Entstellung der unbewußten Traumgedanken zum manifesten Trauminhalt herbeigeführt hat. Wir heißen diesen Prozeß die »Traumarbeit«. Derselbe verdient unser vollstes theoretisches Interesse, weil wir an ihm wie sonst nirgends studieren können, welche ungeahnten psychischen Vorgänge im Unbewußten, oder genau ausgedrückt, </w:t>
      </w:r>
      <w:r w:rsidRPr="00F7475D">
        <w:rPr>
          <w:rFonts w:ascii="Garamond" w:hAnsi="Garamond" w:cs="Arial"/>
          <w:i/>
          <w:iCs/>
          <w:color w:val="000000"/>
          <w:lang w:val="en-GB"/>
        </w:rPr>
        <w:t>zwischen</w:t>
      </w:r>
      <w:r w:rsidRPr="00F7475D">
        <w:rPr>
          <w:rFonts w:ascii="Garamond" w:hAnsi="Garamond" w:cs="Arial"/>
          <w:color w:val="000000"/>
          <w:lang w:val="en-GB"/>
        </w:rPr>
        <w:t xml:space="preserve"> zwei gesonderten psychischen Systemen wie dem Bewußten und dem Unbewußten, möglich sind. Unter diesen neu erkannten psychischen Vorgängen heben sich die der </w:t>
      </w:r>
      <w:r w:rsidRPr="00F7475D">
        <w:rPr>
          <w:rFonts w:ascii="Garamond" w:hAnsi="Garamond" w:cs="Arial"/>
          <w:i/>
          <w:iCs/>
          <w:color w:val="000000"/>
          <w:lang w:val="en-GB"/>
        </w:rPr>
        <w:lastRenderedPageBreak/>
        <w:t>Verdichtung</w:t>
      </w:r>
      <w:r w:rsidRPr="00F7475D">
        <w:rPr>
          <w:rFonts w:ascii="Garamond" w:hAnsi="Garamond" w:cs="Arial"/>
          <w:color w:val="000000"/>
          <w:lang w:val="en-GB"/>
        </w:rPr>
        <w:t xml:space="preserve"> und der </w:t>
      </w:r>
      <w:r w:rsidRPr="00F7475D">
        <w:rPr>
          <w:rFonts w:ascii="Garamond" w:hAnsi="Garamond" w:cs="Arial"/>
          <w:i/>
          <w:iCs/>
          <w:color w:val="000000"/>
          <w:lang w:val="en-GB"/>
        </w:rPr>
        <w:t>Verschiebung</w:t>
      </w:r>
      <w:r w:rsidRPr="00F7475D">
        <w:rPr>
          <w:rFonts w:ascii="Garamond" w:hAnsi="Garamond" w:cs="Arial"/>
          <w:color w:val="000000"/>
          <w:lang w:val="en-GB"/>
        </w:rPr>
        <w:t xml:space="preserve"> auffällig heraus. Die Traumarbeit ist ein Spezialfall der Einwirkungen verschiedener seelischer Gruppierungen aufeinander, also der Erfolge der seelischen Spaltung, und sie scheint in allem Wesentlichen identisch mit jener Entstellungsarbeit, welche die verdrängten Komplexe bei mißglückender Verdrängung in Symptome verwandelt.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Sie werden ferner bei der Analyse der Träume, am überzeugendsten Ihrer eigenen, mit Verwunderung die ungeahnt große Rolle entdecken, welche Eindrücke und Erlebnisse früher Jahre der Kindheit auf die Entwicklung des Menschen nehmen. Im Traumleben setzt das Kind im Menschen gleichsam seine Existenz mit Erhaltung all seiner Eigentümlichkeiten und Wunschregungen, auch der im späteren Leben unbrauchbar gewordenen, fort. Mit unabweislicher Macht drängt sich Ihnen auf, durch welche Entwicklungen, Verdrängungen, Sublimierungen und Reaktionsbildungen aus dem ganz anders beanlagten Kind der sogenannt normale Mensch, der Träger und zum Teil das Opfer der mühsam errungenen Kultur, hervorgeht.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Auch darauf will ich sie aufmerksam machen, daß wir bei der Analyse der Träume gefunden haben, das Unbewußte bediene sich, insbesondere für die Darstellung sexueller Komplexe, einer gewissen Symbolik, die zum Teil individuell variabel, zum anderen Teil aber typisch festgelegt ist, und die sich mit der Symbolik zu decken scheint, die wir hinter unseren Mythen und Märchen vermuten. Es wäre nicht unmöglich, daß die letzteren Schöpfungen der Völker ihre Aufklärung vom Traume her empfangen könnten.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Endlich muß ich Sie mahnen, daß Sie sich nicht durch den Einwand irre machen lassen, das Vorkommen von Angstträumen widerspreche unserer Auffassung des Traumes als Wunscherfüllung. Abgesehen davon, daß auch diese Angstträume der Deutung bedürfen, ehe man über sie urteilen kann, muß man ganz allgemein sagen, daß die Angst nicht so einfach am Trauminhalt hängt, wie man's sich ohne weitere Kenntnis und Rücksicht auf die Bedingungen der neurotischen Angst vorstellt. Die Angst ist eine der Ablehnungsreaktionen des Ichs gegen stark gewordene verdrängte Wünsche, und daher auch im Traume sehr gut erklärlich, wenn die Traumbildung sich zu sehr in den Dienst der Erfüllung dieser verdrängten Wünsche gestellt hat.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Sie sehen, die Traumerforschung wäre an sich durch die Aufschlüsse gerechtfertigt, die sie über sonst schwer wißbare Dinge liefert. Wir sind aber im Zusammenhange mit der psychoanalytischen Behandlung der Neurotiker zu ihr gelangt. Nach dem bisher Gesagten können Sie leicht verstehen, wie die Traumdeutung, wenn sie nicht durch die Widerstände des Kranken allzu sehr erschwert wird, zur Kenntnis der versteckten und verdrängten Wünsche des Kranken und der von ihnen genährten Komplexe führt, und ich kann zur dritten Gruppe von seelischen Phänomenen übergehen, deren Studium zum technischen Mittel für die Psychoanalyse geworden ist.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Es sind dies die kleinen Fehlhandlungen normaler wie nervöser Menschen, denen man sonst keine Bedeutung beizulegen pflegt, das Vergessen von Dingen, die sie wissen könnten und andere Male auch wirklich wissen (z. B. das zeitweilige Entfallen von Eigennamen), das Versprechen in der Rede, das sich uns selbst so häufig ereignet, das analoge Verschreiben und Verlesen, das Vergreifen bei Verrichtungen und das Verlieren oder Zerbrechen von Gegenständen u. dgl., lauter Dinge, für die man eine psychologische Determinierung sonst nicht sucht, und die man als zufällige Ergebnisse, als Erfolge der Zerstreutheit, Unaufmerksamkeit und ähnlicher Bedingungen unbeanstandet passieren läßt. Dazu kommen noch die Handlungen und Gesten, welche die Menschen ausführen, ohne sie überhaupt zu bemerken, geschweige denn, daß sie ihnen seelisches Gewicht beilegten, wie das Spielen, Tändeln mit Gegenständen, das Summen von Melodien, das Hantieren am eigenen Körper und an dessen Bekleidung und ähnliches. </w:t>
      </w:r>
      <w:hyperlink r:id="rId1588" w:anchor="#" w:history="1">
        <w:r w:rsidRPr="00F7475D">
          <w:rPr>
            <w:rStyle w:val="fusslink"/>
            <w:rFonts w:ascii="Garamond" w:hAnsi="Garamond" w:cs="Arial"/>
            <w:b/>
            <w:bCs/>
            <w:color w:val="003399"/>
          </w:rPr>
          <w:t>[Fußnote]</w:t>
        </w:r>
        <w:r w:rsidRPr="00F7475D">
          <w:rPr>
            <w:rStyle w:val="innerfusslink3"/>
            <w:rFonts w:ascii="Garamond" w:hAnsi="Garamond" w:cs="Arial"/>
            <w:b/>
            <w:bCs/>
          </w:rPr>
          <w:t xml:space="preserve">Zur Psychopathologie des Alltagslebens. 3. Aufl., 1910, S. </w:t>
        </w:r>
        <w:r w:rsidRPr="00F7475D">
          <w:rPr>
            <w:rStyle w:val="innerfusslink3"/>
            <w:rFonts w:ascii="Garamond" w:hAnsi="Garamond" w:cs="Arial"/>
            <w:b/>
            <w:bCs/>
            <w:i/>
            <w:iCs/>
          </w:rPr>
          <w:t>Karger</w:t>
        </w:r>
        <w:r w:rsidRPr="00F7475D">
          <w:rPr>
            <w:rStyle w:val="innerfusslink3"/>
            <w:rFonts w:ascii="Garamond" w:hAnsi="Garamond" w:cs="Arial"/>
            <w:b/>
            <w:bCs/>
          </w:rPr>
          <w:t>, Berlin.</w:t>
        </w:r>
      </w:hyperlink>
      <w:r w:rsidRPr="00F7475D">
        <w:rPr>
          <w:rFonts w:ascii="Garamond" w:hAnsi="Garamond" w:cs="Arial"/>
          <w:color w:val="000000"/>
        </w:rPr>
        <w:t xml:space="preserve"> Diese kleinen Dinge, die </w:t>
      </w:r>
      <w:r w:rsidRPr="00F7475D">
        <w:rPr>
          <w:rFonts w:ascii="Garamond" w:hAnsi="Garamond" w:cs="Arial"/>
          <w:i/>
          <w:iCs/>
          <w:color w:val="000000"/>
        </w:rPr>
        <w:t>Fehlhandlungen</w:t>
      </w:r>
      <w:r w:rsidRPr="00F7475D">
        <w:rPr>
          <w:rFonts w:ascii="Garamond" w:hAnsi="Garamond" w:cs="Arial"/>
          <w:color w:val="000000"/>
        </w:rPr>
        <w:t xml:space="preserve"> wie die </w:t>
      </w:r>
      <w:r w:rsidRPr="00F7475D">
        <w:rPr>
          <w:rFonts w:ascii="Garamond" w:hAnsi="Garamond" w:cs="Arial"/>
          <w:i/>
          <w:iCs/>
          <w:color w:val="000000"/>
        </w:rPr>
        <w:t>Symptom-</w:t>
      </w:r>
      <w:r w:rsidRPr="00F7475D">
        <w:rPr>
          <w:rFonts w:ascii="Garamond" w:hAnsi="Garamond" w:cs="Arial"/>
          <w:color w:val="000000"/>
        </w:rPr>
        <w:t xml:space="preserve"> und </w:t>
      </w:r>
      <w:r w:rsidRPr="00F7475D">
        <w:rPr>
          <w:rFonts w:ascii="Garamond" w:hAnsi="Garamond" w:cs="Arial"/>
          <w:i/>
          <w:iCs/>
          <w:color w:val="000000"/>
        </w:rPr>
        <w:t>Zufallshandlungen</w:t>
      </w:r>
      <w:r w:rsidRPr="00F7475D">
        <w:rPr>
          <w:rFonts w:ascii="Garamond" w:hAnsi="Garamond" w:cs="Arial"/>
          <w:color w:val="000000"/>
        </w:rPr>
        <w:t xml:space="preserve">, sind nicht so bedeutungslos, </w:t>
      </w:r>
      <w:r w:rsidRPr="00F7475D">
        <w:rPr>
          <w:rFonts w:ascii="Garamond" w:hAnsi="Garamond" w:cs="Arial"/>
          <w:color w:val="000000"/>
        </w:rPr>
        <w:lastRenderedPageBreak/>
        <w:t xml:space="preserve">wie man durch eine Art von stillschweigendem Übereinkommen anzunehmen bereit ist. Sie sind durchaus sinnvoll, aus der Situation, in der sie vorfallen, meist leicht und sicher zu deuten, und es stellt sich heraus, daß sie wiederum Impulsen und Absichten Ausdruck geben, die zurückgestellt, dem eigenen Bewußtsein verborgen werden sollen, oder daß sie geradezu den nämlichen verdrängten Wunschregungen und Komplexen entstammen, die wir bereits als die Schöpfer der Symptome und die Bildner der Träume kennen gelernt haben. Sie verdienen also die Würdigung von Symptomen, und ihre Beachtung kann wie die der Träume zur Aufdeckung des Verborgenen im Seelenleben führen. Mit ihrer Hilfe verrät der Mensch in der Regel die intimsten seiner Geheimnisse. Wenn sie besonders leicht und häufig zu stande kommen, selbst beim Gesunden, dem die Verdrängung seiner unbewußten Regungen im ganzen gut gelungen ist, so haben sie es ihrer Geringfügigkeit und Unscheinbarkeit zu danken. </w:t>
      </w:r>
      <w:r w:rsidRPr="00F7475D">
        <w:rPr>
          <w:rFonts w:ascii="Garamond" w:hAnsi="Garamond" w:cs="Arial"/>
          <w:color w:val="000000"/>
          <w:lang w:val="en-GB"/>
        </w:rPr>
        <w:t>Aber sie dürfen hohen theoretischen Wert beanspruchen, da sie uns die Existenz der Verdrängung und Ersatzbildung auch unter den Bedingungen der Gesundheit erweisen.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Sie merken es bereits, daß sich der Psychoanalytiker durch einen besonders strengen Glauben an die Determinierung des Seelenlebens auszeichnet. Für ihn gibt es in den psychischen Äußerungen nichts Kleines, nichts Willkürliches und Zufälliges, er erwartet überall dort eine ausreichende Motivierung, wo man gewöhnlich eine solche Forderung nicht erhebt; ja er ist auf eine </w:t>
      </w:r>
      <w:r w:rsidRPr="00F7475D">
        <w:rPr>
          <w:rFonts w:ascii="Garamond" w:hAnsi="Garamond" w:cs="Arial"/>
          <w:i/>
          <w:iCs/>
          <w:color w:val="000000"/>
          <w:lang w:val="en-GB"/>
        </w:rPr>
        <w:t>mehrfache Motivierung</w:t>
      </w:r>
      <w:r w:rsidRPr="00F7475D">
        <w:rPr>
          <w:rFonts w:ascii="Garamond" w:hAnsi="Garamond" w:cs="Arial"/>
          <w:color w:val="000000"/>
          <w:lang w:val="en-GB"/>
        </w:rPr>
        <w:t xml:space="preserve"> desselben seelischen Effekts vorbereitet, während unser angeblich eingeborenes Kausalbedürfnis sich mit einer einzigen psychischen Ursache für befriedigt erklärt.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Halten Sie nun zusammen, was wir an Mitteln zur Aufdeckung des Verborgenen, Vergessenen, Verdrängten im Seelenleben besitzen, das Studium der hervorgerufenen Einfälle der Patienten bei freier Assoziation, ihrer Träume und ihrer Fehl- und Symptomhandlungen; fügen Sie noch hinzu die Verwertung anderer Phänomene, die sich während der psychoanalytischen Behandlung ergeben, über die ich später unter dem Schlagwort der »Übertragung« einige Bemerkungen machen werde, so werden Sie mit mir zu dem Schlusse kommen, daß unsere Technik bereits wirksam genug ist, um ihre Aufgabe lösen zu können, um das pathogene psychische Material dem Bewußtsein zuzuführen und so die durch die Bildung von Ersatzsymptomen hervorgerufenen Leiden zu beseitigen. Daß wir während der therapeutischen Bemühungen unsere Kenntnis vom Seelenleben der normalen und der kranken Menschen bereichern und vertiefen, kann gewiß nur als ein besonderer Reiz und Vorzug dieser Arbeit eingeschätzt werden.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Ich weiß nicht, ob Sie den Eindruck empfangen haben, daß die Technik, durch deren Arsenal ich Sie eben geführt habe, eine besonders schwierige ist. Ich meine, sie ist dem Gegenstande, den sie bewältigen soll, durchaus angemessen. Aber so viel ist sicher, daß sie nicht selbstverständlich ist, daß sie erlernt werden muß wie die histologische oder die chirurgische. Es wird Sie vielleicht verwundern, zu hören, daß wir in Europa eine Menge von Urteilen über die Psychoanalyse von Personen gehört haben, die von dieser Technik nichts wissen und sie nicht anwenden, und dann von uns wie im Hohne verlangten, wir sollten ihnen die Richtigkeit unserer Resultate beweisen. Es sind unter diesen Widersachern gewiß auch Personen, denen wissenschaftliche Denkweise sonst nicht fremd ist, die z. B. ein Ergebnis mikroskopischer Untersuchung nicht darum verwerfen würden, weil es am anatomischen Präparat nicht mit freiem Auge zu bestätigen ist, und nicht eher, als bis sie den Sachverhalt selbst mit Hilfe des Mikroskops beurteilt haben. Aber in Sachen der Psychoanalyse liegen die Verhältnisse wirklich ungünstiger für die Anerkennung. Die Psychoanalyse will das im Seelenleben Verdrängte zur bewußten Anerkennung bringen, und jeder, der sie beurteilt, ist selbst ein Mensch, der solche Verdrängungen besitzt, vielleicht sie nur mühsam aufrecht erhält. Sie muß also bei ihm denselben Widerstand hervorrufen, den sie bei den Kranken weckt, und dieser Widerstand hat es leicht, sich in intellektuelle Ablehnung zu verkleiden und Argumente herbeizuziehen, ähnlich wie die, welche wir bei unseren Kranken mit der psychoanalytischen Grundregel abwehren. Wie bei unseren Kranken, so können wir auch bei unseren Gegnern häufig eine sehr auffällige affektive Beeinflussung des Urteilsvermögens im Sinne einer Herabsetzung konstatieren. Der Dünkel des Bewußtseins, der z. B. den Traum so geringschätzig verwirft, gehört zu den stärksten </w:t>
      </w:r>
      <w:r w:rsidRPr="00F7475D">
        <w:rPr>
          <w:rFonts w:ascii="Garamond" w:hAnsi="Garamond" w:cs="Arial"/>
          <w:color w:val="000000"/>
          <w:lang w:val="en-GB"/>
        </w:rPr>
        <w:lastRenderedPageBreak/>
        <w:t>Schutzeinrichtungen, die in uns ganz allgemein gegen das Durchdringen der unbewußten Komplexe vorgesehen sind, und darum ist es so schwierig, die Menschen zur Überzeugung von der Realität des Unbewußten zu bringen und sie Neues kennen zu lehren, was ihrer bewußten Kenntnis widerspricht.</w:t>
      </w:r>
    </w:p>
    <w:p w:rsidR="002E0E50" w:rsidRPr="00F7475D" w:rsidRDefault="002E0E50" w:rsidP="002E0E50">
      <w:pPr>
        <w:rPr>
          <w:rFonts w:ascii="Garamond" w:hAnsi="Garamond" w:cs="Arial"/>
          <w:b/>
          <w:bCs/>
          <w:color w:val="000000"/>
          <w:lang w:val="en-GB"/>
        </w:rPr>
      </w:pPr>
      <w:r w:rsidRPr="00F7475D">
        <w:rPr>
          <w:rFonts w:ascii="Garamond" w:hAnsi="Garamond" w:cs="Arial"/>
          <w:b/>
          <w:bCs/>
          <w:color w:val="000000"/>
          <w:lang w:val="en-GB"/>
        </w:rPr>
        <w:t>IV.</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Meine Damen und Herren! Sie werden nun zu wissen verlangen, was wir mit Hilfe der beschriebenen technischen Mittel über die pathogenen Komplexe und verdrängten Wunschregungen der Neurotiker in Erfahrung gebracht haben.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Nun vor allem eines: Die psychoanalytische Forschung führt mit wirklich überraschender Regelmäßigkeit die Leidenssymptome der Kranken auf Eindrücke aus ihrem Liebesleben zurück, zeigt uns, daß die pathogenen Wunschregungen von der Natur erotischer Triebkomponenten sind, und nötigt uns anzunehmen, daß Störungen der Erotik die größte Bedeutung unter den zur Erkrankung führenden Einflüssen zugesprochen werden muß, und dies zwar bei beiden Geschlechtern.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Ich weiß, diese Behauptung wird mir nicht gerne geglaubt. Selbst solche Forscher, die meinen psychologischen Arbeiten bereitwillig folgen, sind geneigt zu meinen, daß ich den ätiologischen Anteil der sexuellen Momente überschätze, und wenden sich an mich mit der Frage, warum denn nicht auch andere seelische Erregungen zu den beschriebenen Phänomenen der Verdrängung und Ersatzbildung Anlaß geben sollen. Nun ich kann antworten: Ich weiß nicht, warum sie es nicht sollten, habe auch nichts dagegen, aber die Erfahrung zeigt, daß sie solche Bedeutung nicht haben, daß sie höchstens die Wirkung der sexuellen Momente unterstützen, nie aber die letzteren ersetzen können. Dieser Sachverhalt wurde von mir nicht etwa theoretisch postuliert; noch in den 1895 mit Dr. J. </w:t>
      </w:r>
      <w:r w:rsidRPr="00F7475D">
        <w:rPr>
          <w:rFonts w:ascii="Garamond" w:hAnsi="Garamond" w:cs="Arial"/>
          <w:i/>
          <w:iCs/>
          <w:color w:val="000000"/>
          <w:lang w:val="en-GB"/>
        </w:rPr>
        <w:t>Breuer</w:t>
      </w:r>
      <w:r w:rsidRPr="00F7475D">
        <w:rPr>
          <w:rFonts w:ascii="Garamond" w:hAnsi="Garamond" w:cs="Arial"/>
          <w:color w:val="000000"/>
          <w:lang w:val="en-GB"/>
        </w:rPr>
        <w:t xml:space="preserve"> publizierten Studien über Hysterie stand ich nicht auf diesem Standpunkte; ich mußte mich zu ihm bekehren, als meine Erfahrungen zahlreicher wurden und tiefer in den Gegenstand eindrangen. Meine Herren! Es befinden sich hier unter Ihnen einige meiner nächsten Freunde und Anhänger, die die Reise nach Worcester mit mir gemacht haben. Fragen Sie bei ihnen an und Sie werden hören, daß sie alle der Behauptung von der maßgebenden Bedeutung der sexuellen Ätiologie zuerst vollen Unglauben entgegenbrachten, bis sie durch ihre eigenen analytischen Bemühungen genötigt wurden, sie zu der ihrigen zu machen.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Die Überzeugung von der Richtigkeit des in Rede stehenden Satzes wird durch das Benehmen der Patienten nicht gerade erleichtert. Anstatt uns die Auskünfte über ihr Sexualleben bereitwillig entgegenzubringen, suchen sie dieses mit allen Mitteln zu verbergen. Die Menschen sind überhaupt nicht aufrichtig in sexuellen Dingen. Sie zeigen ihre Sexualität nicht frei, sondern tragen eine dicke Oberkleidung aus – Lügengewebe zu ihrer Verhüllung, als ob es schlechtes Wetter gäbe in der Welt der Sexualität. Und sie haben nicht unrecht, Sonne und Wind sind in unserer Kulturwelt der sexuellen Betätigung wirklich nicht günstig; eigentlich kann niemand von uns seine Erotik frei den anderen enthüllen. Wenn Ihre Patienten aber erst gemerkt haben, daß sie sich's in Ihrer Behandlung behaglich machen dürfen, dann legen sie jene Lügenhülle ab, und dann erst sind Sie in der Lage, sich ein Urteil über unsere Streitfrage zu bilden. Leider sind auch die Ärzte in ihrem persönlichen Verhältnis zu den Fragen des Sexuallebens vor anderen Menschenkindern nicht bevorzugt, und viele von ihnen stehen unter dem Banne jener Vereinigung von Prüderie und Lüsternheit, welche das Verhalten der meisten »Kulturmenschen« in Sachen der Sexualität beherrscht.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Lassen Sie uns nun in der Mitteilung unserer Ergebnisse fortfahren. In einer anderen Reihe von Fällen führt die psychoanalytische Erforschung die Symptome allerdings nicht auf sexuelle, sondern auf banale traumatische Erlebnisse zurück. Aber diese Unterscheidung wird durch einen anderen Umstand bedeutungslos. Die zur gründlichen Aufklärung und endgültigen Herstellung eines Krankheitsfalles erforderliche Analysenarbeit macht nämlich in keinem Falle bei den Erlebnissen der Erkrankungszeit Halt, sondern sie geht in allen Fällen bis in die Pubertät und in die frühe Kindheit des Erkrankten zurück, um </w:t>
      </w:r>
      <w:r w:rsidRPr="00F7475D">
        <w:rPr>
          <w:rFonts w:ascii="Garamond" w:hAnsi="Garamond" w:cs="Arial"/>
          <w:color w:val="000000"/>
          <w:lang w:val="en-GB"/>
        </w:rPr>
        <w:lastRenderedPageBreak/>
        <w:t>erst dort auf die für die spätere Erkrankung bestimmenden Eindrücke und Vorfälle zu stoßen. Erst die Erlebnisse der Kindheit geben die Erklärung für die Empfindlichkeit gegen spätere Traumen, und nur durch die Aufdeckung und Bewußtmachung dieser fast regelmäßig vergessenen Erinnerungsspuren erwerben wir die Macht zur Beseitigung der Symptome. Wir gelangen hier zu dem gleichen Ergebnis wie bei der Erforschung der Träume, daß es die unvergänglichen, verdrängten Wunschregungen der Kindheit sind, die ihre Macht zur Symptombildung geliehen haben, ohne welche die Reaktion auf spätere Traumen normal verlaufen wäre. Diese mächtigen Wunschregungen der Kindheit dürfen wir aber ganz allgemein als sexuelle bezeichnen.</w:t>
      </w:r>
    </w:p>
    <w:p w:rsidR="002E0E50" w:rsidRPr="00F7475D" w:rsidRDefault="002E0E50" w:rsidP="002E0E50">
      <w:pPr>
        <w:rPr>
          <w:rFonts w:ascii="Garamond" w:hAnsi="Garamond" w:cs="Arial"/>
          <w:color w:val="000000"/>
        </w:rPr>
      </w:pPr>
      <w:r w:rsidRPr="00F7475D">
        <w:rPr>
          <w:rFonts w:ascii="Garamond" w:hAnsi="Garamond" w:cs="Arial"/>
          <w:color w:val="000000"/>
          <w:lang w:val="en-GB"/>
        </w:rPr>
        <w:t xml:space="preserve">Jetzt bin ich aber erst recht Ihrer Verwunderung sicher. </w:t>
      </w:r>
      <w:r w:rsidRPr="00F7475D">
        <w:rPr>
          <w:rFonts w:ascii="Garamond" w:hAnsi="Garamond" w:cs="Arial"/>
          <w:color w:val="000000"/>
        </w:rPr>
        <w:t>Gibt es denn eine infantile Sexualität? werden Sie fragen. Ist das Kindesalter nicht vielmehr die Lebensperiode, die durch das Fehlen des Sexualtriebes ausgezeichnet ist? Nein, meine Herren, es ist gewiß nicht so, daß der Sexualtrieb zur Pubertätszeit in die Kinder fährt, wie im Evangelium der Teufel in die Säue. Das Kind hat seine sexuellen Triebe und Betätigungen von Anfang an, es bringt sie mit auf die Welt, und aus ihnen geht durch eine bedeutungsvolle, an Etappen reiche Entwicklung die sogenannte normale Sexualität des Erwachsenen hervor. Es ist nicht einmal schwer, die Äußerungen dieser kindlichen Sexualbetätigung zu beobachten; es gehört vielmehr eine gewisse Kunst dazu, sie zu übersehen oder wegzudeuten.</w:t>
      </w:r>
    </w:p>
    <w:p w:rsidR="002E0E50" w:rsidRPr="00F7475D" w:rsidRDefault="002E0E50" w:rsidP="002E0E50">
      <w:pPr>
        <w:rPr>
          <w:rFonts w:ascii="Garamond" w:hAnsi="Garamond" w:cs="Arial"/>
          <w:color w:val="000000"/>
          <w:lang w:val="en-GB"/>
        </w:rPr>
      </w:pPr>
      <w:r w:rsidRPr="00F7475D">
        <w:rPr>
          <w:rFonts w:ascii="Garamond" w:hAnsi="Garamond" w:cs="Arial"/>
          <w:color w:val="000000"/>
        </w:rPr>
        <w:t xml:space="preserve">Durch die Gunst des Schicksals bin ich in die Lage versetzt, einen Zeugen für meine Behauptungen aus Ihrer Mitte selbst anzurufen. </w:t>
      </w:r>
      <w:r w:rsidRPr="00F7475D">
        <w:rPr>
          <w:rFonts w:ascii="Garamond" w:hAnsi="Garamond" w:cs="Arial"/>
          <w:color w:val="000000"/>
          <w:lang w:val="en-GB"/>
        </w:rPr>
        <w:t xml:space="preserve">Ich zeige Ihnen hier die Arbeit eines Dr. </w:t>
      </w:r>
      <w:r w:rsidRPr="00F7475D">
        <w:rPr>
          <w:rFonts w:ascii="Garamond" w:hAnsi="Garamond" w:cs="Arial"/>
          <w:i/>
          <w:iCs/>
          <w:color w:val="000000"/>
          <w:lang w:val="en-GB"/>
        </w:rPr>
        <w:t>Sanford Bell</w:t>
      </w:r>
      <w:r w:rsidRPr="00F7475D">
        <w:rPr>
          <w:rFonts w:ascii="Garamond" w:hAnsi="Garamond" w:cs="Arial"/>
          <w:color w:val="000000"/>
          <w:lang w:val="en-GB"/>
        </w:rPr>
        <w:t>, die 1902 im »American Journal of Psychology« abgedruckt worden ist. Der Autor ist ein Fellow der Clark University, desselben Instituts, in dessen Räumen wir jetzt stehen. In dieser Arbeit, betitelt: A preliminary study of the emotion of love between the sexes, die drei Jahre vor meinen »Drei Abhandlungen zur Sexualtheorie« erschienen ist, sagt der Autor ganz so, wie ich Ihnen eben sagte: The emotion of sex-love.... does not make its appearance for the first time at the period of adolescence, as has been thought. Er hat, wie wir in Europa sagen würden, im amerikanischen Stil gearbeitet; nicht weniger als 2500 positive Beobachtungen im Laufe von 15 Jahren gesammelt, darunter 800 eigene. Von den Zeichen, durch die sich diese Verliebtheiten kundgeben, äußert er: The unprejudiced mind in observing these manifestations in hundreds of couples of children cannot escape referring them to sex origin. The most exacting mind is satisfied when to these observations are added the confessions of those who have as children, experienced the emotion to a marked degree of intensity, and whose memories of childhood are relatively distinct. Am meisten aber werden diejenigen von Ihnen, die an die infantile Sexualität nicht glauben wollten, überrascht sein zu hören, daß unter diesen früh verliebten Kindern nicht wenige sich im zarten Alter von drei, vier und fünf Jahren befinden.</w:t>
      </w:r>
    </w:p>
    <w:p w:rsidR="002E0E50" w:rsidRPr="00F7475D" w:rsidRDefault="002E0E50" w:rsidP="002E0E50">
      <w:pPr>
        <w:rPr>
          <w:rFonts w:ascii="Garamond" w:hAnsi="Garamond" w:cs="Arial"/>
          <w:color w:val="000000"/>
        </w:rPr>
      </w:pPr>
      <w:r w:rsidRPr="00F7475D">
        <w:rPr>
          <w:rFonts w:ascii="Garamond" w:hAnsi="Garamond" w:cs="Arial"/>
          <w:color w:val="000000"/>
          <w:lang w:val="en-GB"/>
        </w:rPr>
        <w:t xml:space="preserve">Ich würde mich nicht wundern, wenn Sie diesen Beobachtungen eines engsten Landsmannes eher Glauben schenken würden als den meinigen. Mir selbst ist es vor kurzem geglückt, aus der Analyse eines fünfjährigen, an Angst leidenden Knaben, die dessen eigener Vater kunstgerecht mit ihm vorgenommen, </w:t>
      </w:r>
      <w:hyperlink r:id="rId1589"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Analyse der Phobie eines fünfjährigen Knaben. Jahrbuch für psychoanalyt. und psychopathologische Forschungen. Bd. I, 1. Hälfte, 1909.</w:t>
        </w:r>
      </w:hyperlink>
      <w:r w:rsidRPr="00F7475D">
        <w:rPr>
          <w:rFonts w:ascii="Garamond" w:hAnsi="Garamond" w:cs="Arial"/>
          <w:color w:val="000000"/>
          <w:lang w:val="en-GB"/>
        </w:rPr>
        <w:t xml:space="preserve"> ein ziemlich vollständiges Bild der somatischen Triebäußerungen und der seelischen Produktionen auf einer frühen Stufe des kindlichen Liebeslebens zu gewinnen. Und ich darf Sie daran erinnern, daß mein Freund Dr. C. G. </w:t>
      </w:r>
      <w:r w:rsidRPr="00F7475D">
        <w:rPr>
          <w:rFonts w:ascii="Garamond" w:hAnsi="Garamond" w:cs="Arial"/>
          <w:i/>
          <w:iCs/>
          <w:color w:val="000000"/>
          <w:lang w:val="en-GB"/>
        </w:rPr>
        <w:t>Jung</w:t>
      </w:r>
      <w:r w:rsidRPr="00F7475D">
        <w:rPr>
          <w:rFonts w:ascii="Garamond" w:hAnsi="Garamond" w:cs="Arial"/>
          <w:color w:val="000000"/>
          <w:lang w:val="en-GB"/>
        </w:rPr>
        <w:t xml:space="preserve"> Ihnen in diesem Saale vor wenigen Stunden die Beobachtung eines noch jüngeren Mädchens vorlas, welches aus dem gleichen Anlaß wie mein Patient – bei der Geburt eines Geschwisterchens – fast die nämlichen sinnlichen Regungen, Wunsch- und Komplexbildungen, mit Sicherheit erraten ließ. Ich verzweifle also nicht daran, daß Sie sich mit der anfänglich befremdlichen Idee der infantilen Sexualität befreunden werden, und möchte Ihnen noch das rühmliche Beispiel des Züricher Psychiaters E. </w:t>
      </w:r>
      <w:r w:rsidRPr="00F7475D">
        <w:rPr>
          <w:rFonts w:ascii="Garamond" w:hAnsi="Garamond" w:cs="Arial"/>
          <w:i/>
          <w:iCs/>
          <w:color w:val="000000"/>
          <w:lang w:val="en-GB"/>
        </w:rPr>
        <w:t>Bleuler</w:t>
      </w:r>
      <w:r w:rsidRPr="00F7475D">
        <w:rPr>
          <w:rFonts w:ascii="Garamond" w:hAnsi="Garamond" w:cs="Arial"/>
          <w:color w:val="000000"/>
          <w:lang w:val="en-GB"/>
        </w:rPr>
        <w:t xml:space="preserve"> vorhalten, der noch vor wenigen Jahren öffentlich äußerte, »er stehe meinen sexuellen Theorien ohne Verständnis gegenüber«, und seither die infantile Sexualität in ihrem vollen Umfang durch eigene Beobachtungen </w:t>
      </w:r>
      <w:r w:rsidRPr="00F7475D">
        <w:rPr>
          <w:rFonts w:ascii="Garamond" w:hAnsi="Garamond" w:cs="Arial"/>
          <w:color w:val="000000"/>
          <w:lang w:val="en-GB"/>
        </w:rPr>
        <w:lastRenderedPageBreak/>
        <w:t xml:space="preserve">bestätigt hat. </w:t>
      </w:r>
      <w:hyperlink r:id="rId1590" w:anchor="#" w:history="1">
        <w:r w:rsidRPr="00F7475D">
          <w:rPr>
            <w:rStyle w:val="fusslink"/>
            <w:rFonts w:ascii="Garamond" w:hAnsi="Garamond" w:cs="Arial"/>
            <w:b/>
            <w:bCs/>
            <w:color w:val="003399"/>
          </w:rPr>
          <w:t>[Fußnote]</w:t>
        </w:r>
        <w:r w:rsidRPr="00F7475D">
          <w:rPr>
            <w:rStyle w:val="innerfusslink3"/>
            <w:rFonts w:ascii="Garamond" w:hAnsi="Garamond" w:cs="Arial"/>
            <w:b/>
            <w:bCs/>
            <w:i/>
            <w:iCs/>
          </w:rPr>
          <w:t>Bleuler</w:t>
        </w:r>
        <w:r w:rsidRPr="00F7475D">
          <w:rPr>
            <w:rStyle w:val="innerfusslink3"/>
            <w:rFonts w:ascii="Garamond" w:hAnsi="Garamond" w:cs="Arial"/>
            <w:b/>
            <w:bCs/>
          </w:rPr>
          <w:t>, Sexuelle Abnormitäten der Kinder. Jahrbuch der schweiz. Gesellschaft für Schulgesundheitspflege, IX, 1908.</w:t>
        </w:r>
      </w:hyperlink>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Wenn die meisten Menschen, ärztliche Beobachter oder andere, vom Sexualleben des Kindes nichts wissen wollen, so ist dies nur zu leicht erklärlich. Sie haben ihre eigene infantile Sexualbetätigung unter dem Drucke der Erziehung zur Kultur vergessen und wollen nun an das Verdrängte nicht erinnert werden. Sie würden zu anderen Überzeugungen gelangen, wenn sie die Untersuchung mit einer Selbstanalyse, einer Revision und Deutung ihrer Kindheitserinnerungen beginnen würden.</w:t>
      </w:r>
    </w:p>
    <w:p w:rsidR="002E0E50" w:rsidRPr="00F7475D" w:rsidRDefault="002E0E50" w:rsidP="002E0E50">
      <w:pPr>
        <w:rPr>
          <w:rFonts w:ascii="Garamond" w:hAnsi="Garamond" w:cs="Arial"/>
          <w:color w:val="000000"/>
        </w:rPr>
      </w:pPr>
      <w:r w:rsidRPr="00F7475D">
        <w:rPr>
          <w:rFonts w:ascii="Garamond" w:hAnsi="Garamond" w:cs="Arial"/>
          <w:color w:val="000000"/>
          <w:lang w:val="en-GB"/>
        </w:rPr>
        <w:t xml:space="preserve">Lassen Sie die Zweifel fallen und gehen Sie mit mir an eine Würdigung der infantilen Sexualität von den frühesten Jahren an. </w:t>
      </w:r>
      <w:hyperlink r:id="rId1591" w:anchor="#" w:history="1">
        <w:r w:rsidRPr="00F7475D">
          <w:rPr>
            <w:rStyle w:val="fusslink"/>
            <w:rFonts w:ascii="Garamond" w:hAnsi="Garamond" w:cs="Arial"/>
            <w:b/>
            <w:bCs/>
            <w:color w:val="003399"/>
          </w:rPr>
          <w:t>[Fußnote]</w:t>
        </w:r>
        <w:r w:rsidRPr="00F7475D">
          <w:rPr>
            <w:rStyle w:val="innerfusslink3"/>
            <w:rFonts w:ascii="Garamond" w:hAnsi="Garamond" w:cs="Arial"/>
            <w:b/>
            <w:bCs/>
          </w:rPr>
          <w:t>Drei Vorlesungen zur Sexualtheorie, Wien, Fr. Deuticke, 1906, 2. Auflage, 1910.</w:t>
        </w:r>
      </w:hyperlink>
      <w:r w:rsidRPr="00F7475D">
        <w:rPr>
          <w:rFonts w:ascii="Garamond" w:hAnsi="Garamond" w:cs="Arial"/>
          <w:color w:val="000000"/>
        </w:rPr>
        <w:t xml:space="preserve"> Der Sexualtrieb des Kindes erweist sich als hoch zusammengesetzt, er läßt eine Zerlegung in viele Komponenten zu, die aus verschiedenen Quellen stammen. </w:t>
      </w:r>
      <w:r w:rsidRPr="00F7475D">
        <w:rPr>
          <w:rFonts w:ascii="Garamond" w:hAnsi="Garamond" w:cs="Arial"/>
          <w:color w:val="000000"/>
          <w:lang w:val="en-GB"/>
        </w:rPr>
        <w:t xml:space="preserve">Er ist vor allem noch unabhängig von der Funktion der Fortpflanzung, in deren Dienst er sich später stellen wird. Er dient der Gewinnung verschiedener Arten von Lustempfindung, die wir nach Analogien und Zusammenhängen als Sexuallust zusammenfassen. Die Hauptquelle der infantilen Sexuallust ist die geeignete Erregung bestimmter, besonders reizbarer Körperstellen, außer den Genitalien, der Mund-, After- und Harnröhrenöffnung, aber auch der Haut und anderer Sinnesoberflächen. Da in dieser ersten Phase des kindlichen Sexuallebens die Befriedigung am eigenen Körper gefunden und von einem fremden Objekt abgesehen wird, heißen wir die Phase nach einem von </w:t>
      </w:r>
      <w:r w:rsidRPr="00F7475D">
        <w:rPr>
          <w:rFonts w:ascii="Garamond" w:hAnsi="Garamond" w:cs="Arial"/>
          <w:i/>
          <w:iCs/>
          <w:color w:val="000000"/>
          <w:lang w:val="en-GB"/>
        </w:rPr>
        <w:t>Havelock Ellis</w:t>
      </w:r>
      <w:r w:rsidRPr="00F7475D">
        <w:rPr>
          <w:rFonts w:ascii="Garamond" w:hAnsi="Garamond" w:cs="Arial"/>
          <w:color w:val="000000"/>
          <w:lang w:val="en-GB"/>
        </w:rPr>
        <w:t xml:space="preserve"> geprägten Wort die des </w:t>
      </w:r>
      <w:r w:rsidRPr="00F7475D">
        <w:rPr>
          <w:rFonts w:ascii="Garamond" w:hAnsi="Garamond" w:cs="Arial"/>
          <w:i/>
          <w:iCs/>
          <w:color w:val="000000"/>
          <w:lang w:val="en-GB"/>
        </w:rPr>
        <w:t>Autoerotismus</w:t>
      </w:r>
      <w:r w:rsidRPr="00F7475D">
        <w:rPr>
          <w:rFonts w:ascii="Garamond" w:hAnsi="Garamond" w:cs="Arial"/>
          <w:color w:val="000000"/>
          <w:lang w:val="en-GB"/>
        </w:rPr>
        <w:t xml:space="preserve">. Jene für die Gewinnung von sexueller Lust bedeutsamen Stellen nennen wir </w:t>
      </w:r>
      <w:r w:rsidRPr="00F7475D">
        <w:rPr>
          <w:rFonts w:ascii="Garamond" w:hAnsi="Garamond" w:cs="Arial"/>
          <w:i/>
          <w:iCs/>
          <w:color w:val="000000"/>
          <w:lang w:val="en-GB"/>
        </w:rPr>
        <w:t>erogene Zonen</w:t>
      </w:r>
      <w:r w:rsidRPr="00F7475D">
        <w:rPr>
          <w:rFonts w:ascii="Garamond" w:hAnsi="Garamond" w:cs="Arial"/>
          <w:color w:val="000000"/>
          <w:lang w:val="en-GB"/>
        </w:rPr>
        <w:t xml:space="preserve">. Das Ludeln oder Wonnesaugen der kleinsten Kinder ist ein gutes Beispiel einer solchen autoerotischen Befriedigung von einer erogenen Zone aus; der erste wissenschaftliche Beobachter dieses Phänomens, ein Kinderarzt namens </w:t>
      </w:r>
      <w:r w:rsidRPr="00F7475D">
        <w:rPr>
          <w:rFonts w:ascii="Garamond" w:hAnsi="Garamond" w:cs="Arial"/>
          <w:i/>
          <w:iCs/>
          <w:color w:val="000000"/>
          <w:lang w:val="en-GB"/>
        </w:rPr>
        <w:t>Lindner</w:t>
      </w:r>
      <w:r w:rsidRPr="00F7475D">
        <w:rPr>
          <w:rFonts w:ascii="Garamond" w:hAnsi="Garamond" w:cs="Arial"/>
          <w:color w:val="000000"/>
          <w:lang w:val="en-GB"/>
        </w:rPr>
        <w:t xml:space="preserve"> in Budapest, hat es bereits richtig als Sexualbefriedigung gedeutet und dessen Übergang in andere und höhere Formen der Sexualbetätigung erschöpfend beschrieben. </w:t>
      </w:r>
      <w:hyperlink r:id="rId1592" w:anchor="#" w:history="1">
        <w:r w:rsidRPr="00F7475D">
          <w:rPr>
            <w:rStyle w:val="fusslink"/>
            <w:rFonts w:ascii="Garamond" w:hAnsi="Garamond" w:cs="Arial"/>
            <w:b/>
            <w:bCs/>
            <w:color w:val="003399"/>
          </w:rPr>
          <w:t>[Fußnote]</w:t>
        </w:r>
        <w:r w:rsidRPr="00F7475D">
          <w:rPr>
            <w:rStyle w:val="innerfusslink3"/>
            <w:rFonts w:ascii="Garamond" w:hAnsi="Garamond" w:cs="Arial"/>
            <w:b/>
            <w:bCs/>
          </w:rPr>
          <w:t>Jahrbuch für Kinderheilkunde, 1879.</w:t>
        </w:r>
      </w:hyperlink>
      <w:r w:rsidRPr="00F7475D">
        <w:rPr>
          <w:rFonts w:ascii="Garamond" w:hAnsi="Garamond" w:cs="Arial"/>
          <w:color w:val="000000"/>
        </w:rPr>
        <w:t xml:space="preserve"> Eine andere Sexualbefriedigung dieser Lebenszeit ist die masturbatorische Erregung der Genitalien, die eine so große Bedeutung für das spätere Leben behält und von vielen Individuen überhaupt nie völlig überwunden wird. Neben diesen und anderen autoerotischen Betätigungen äußern sich sehr frühzeitig beim Kinde jene Triebkomponenten der Sexuallust oder, wie wir gern sagen, der Libido, die eine fremde Person als Objekt zur Voraussetzung nehmen. Diese Triebe treten in Gegensatzpaaren auf, als aktive und passive; ich nenne Ihnen als die wichtigsten Vertreter dieser Gruppe die Lust, Schmerzen zu bereiten (Sadismus), mit ihrem passiven Gegenspiel (Masochismus), und die aktive und passive Schaulust, von welch ersterer später die Wißbegierde abzweigt, wie von letzterer der Drang zur künstlerischen und schauspielerischen Schaustellung. Andere Sexualbetätigungen des Kindes fallen bereits unter den Gesichtspunkt der </w:t>
      </w:r>
      <w:r w:rsidRPr="00F7475D">
        <w:rPr>
          <w:rFonts w:ascii="Garamond" w:hAnsi="Garamond" w:cs="Arial"/>
          <w:i/>
          <w:iCs/>
          <w:color w:val="000000"/>
        </w:rPr>
        <w:t>Objektwahl</w:t>
      </w:r>
      <w:r w:rsidRPr="00F7475D">
        <w:rPr>
          <w:rFonts w:ascii="Garamond" w:hAnsi="Garamond" w:cs="Arial"/>
          <w:color w:val="000000"/>
        </w:rPr>
        <w:t>, bei welcher eine fremde Person zur Hauptsache wird, die ihre Bedeutung ursprünglich Rücksichten des Selbsterhaltungstriebes verdankt. Der Geschlechtsunterschied spielt aber in dieser kindlichen Periode noch keine ausschlaggebende Rolle; Sie können so jedem Kinde, ohne ihm Unrecht zu tun, ein Stück homosexueller Begabung zusprechen.</w:t>
      </w:r>
    </w:p>
    <w:p w:rsidR="002E0E50" w:rsidRPr="00F7475D" w:rsidRDefault="002E0E50" w:rsidP="002E0E50">
      <w:pPr>
        <w:rPr>
          <w:rFonts w:ascii="Garamond" w:hAnsi="Garamond" w:cs="Arial"/>
          <w:color w:val="000000"/>
          <w:lang w:val="en-GB"/>
        </w:rPr>
      </w:pPr>
      <w:r w:rsidRPr="00F7475D">
        <w:rPr>
          <w:rFonts w:ascii="Garamond" w:hAnsi="Garamond" w:cs="Arial"/>
          <w:color w:val="000000"/>
        </w:rPr>
        <w:t xml:space="preserve">Dies zerfahrene, reichhaltige, aber dissoziierte Sexualleben des Kindes, in welchem der einzelne Trieb unabhängig von jedem anderen dem Lusterwerbe nachgeht, erfährt nun eine Zusammenfassung und Organisation nach zwei Hauptrichtungen, so daß mit Abschluß der Pubertätszeit der definitive Sexualcharakter des Individuums meist fertig ausgebildet ist. Einerseits unterordnen sich die einzelnen Triebe der Oberherrschaft der Genitalzone, wodurch das ganze Sexualleben in den Dienst der Fortpflanzung tritt, und ihre Befriedigung nur noch als Vorbereitung und Begünstigung des eigentlichen Sexualaktes von Bedeutung bleibt. </w:t>
      </w:r>
      <w:r w:rsidRPr="00F7475D">
        <w:rPr>
          <w:rFonts w:ascii="Garamond" w:hAnsi="Garamond" w:cs="Arial"/>
          <w:color w:val="000000"/>
          <w:lang w:val="en-GB"/>
        </w:rPr>
        <w:t xml:space="preserve">Anderseits drängt die Objektwahl den Autoerotismus zurück, so daß nun im Liebesleben alle Komponenten des Sexualtriebes an der geliebten Person befriedigt werden wollen. Aber nicht alle ursprünglichen Triebkomponenten werden zu einem Anteil an dieser endgültigen Feststellung des Sexuallebens zugelassen. Noch vor der Pubertätszeit sind unter dem Einfluß der Erziehung äußerst energische Verdrängungen gewisser Triebe durchgesetzt und seelische Mächte wie </w:t>
      </w:r>
      <w:r w:rsidRPr="00F7475D">
        <w:rPr>
          <w:rFonts w:ascii="Garamond" w:hAnsi="Garamond" w:cs="Arial"/>
          <w:color w:val="000000"/>
          <w:lang w:val="en-GB"/>
        </w:rPr>
        <w:lastRenderedPageBreak/>
        <w:t xml:space="preserve">Scham, Ekel, Moral hergestellt worden, welche diese Verdrängungen wie Wächter unterhalten. Kommt dann im Pubertätsalter die Hochflut der sexuellen Bedürftigkeit, so findet sie an den genannten seelischen Reaktions- oder Widerstandsbildungen Dämme, welche ihr den Ablauf in die sogenannten normalen Wege vorschreiben und es ihr unmöglich machen, die der Verdrängung unterlegenen Triebe neu zu beleben. Es sind besonders die </w:t>
      </w:r>
      <w:r w:rsidRPr="00F7475D">
        <w:rPr>
          <w:rFonts w:ascii="Garamond" w:hAnsi="Garamond" w:cs="Arial"/>
          <w:i/>
          <w:iCs/>
          <w:color w:val="000000"/>
          <w:lang w:val="en-GB"/>
        </w:rPr>
        <w:t>koprophilen</w:t>
      </w:r>
      <w:r w:rsidRPr="00F7475D">
        <w:rPr>
          <w:rFonts w:ascii="Garamond" w:hAnsi="Garamond" w:cs="Arial"/>
          <w:color w:val="000000"/>
          <w:lang w:val="en-GB"/>
        </w:rPr>
        <w:t>, d. h. die mit den Exkrementen zusammenhängenden Lustregungen der Kindheit, welche von der Verdrängung am gründlichsten betroffen werden, und ferner die Fixierung an die Personen der primitiven Objektwahl.</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Meine Herren! Ein Satz der allgemeinen Pathologie sagt aus, daß jeder Entwicklungsvorgang die Keime der pathologischen Disposition mit sich bringt, insofern er gehemmt, verzögert werden oder unvollkommen ablaufen kann. Dasselbe gilt für die so komplizierte Entwicklung der Sexualfunktion. Sie wird nicht bei allen Individuen glatt durchgemacht und hinterläßt dann entweder Abnormitäten oder Dispositionen zu späterer Erkrankung auf dem Wege der Rückbildung (Regression). Es kann geschehen, daß nicht alle Partialtriebe sich der Herrschaft der Genitalzone unterwerfen; ein solcher unabhängig gebliebener Trieb stellt dann das her, was wir eine </w:t>
      </w:r>
      <w:r w:rsidRPr="00F7475D">
        <w:rPr>
          <w:rFonts w:ascii="Garamond" w:hAnsi="Garamond" w:cs="Arial"/>
          <w:i/>
          <w:iCs/>
          <w:color w:val="000000"/>
          <w:lang w:val="en-GB"/>
        </w:rPr>
        <w:t>Perversion</w:t>
      </w:r>
      <w:r w:rsidRPr="00F7475D">
        <w:rPr>
          <w:rFonts w:ascii="Garamond" w:hAnsi="Garamond" w:cs="Arial"/>
          <w:color w:val="000000"/>
          <w:lang w:val="en-GB"/>
        </w:rPr>
        <w:t xml:space="preserve"> nennen, und was das normale Sexualziel durch sein eigenes ersetzen kann. Es kommt, wie bereits erwähnt, sehr häufig vor, daß der Autoerotismus nicht völlig überwunden wird, wovon die mannigfaltigsten Störungen in der Folge Zeugnis ablegen. Die ursprüngliche Gleichwertigkeit beider Geschlechter als Sexualobjekte kann sich erhalten, und daraus wird sich eine Neigung zur homosexuellen Betätigung im reifen Leben ergeben, die sich unter Umständen zur ausschließlichen Homosexualität steigern kann. Diese Reihe von Störungen entspricht den direkten Entwicklungshemmungen der Sexualfunktion; sie umfaßt die </w:t>
      </w:r>
      <w:r w:rsidRPr="00F7475D">
        <w:rPr>
          <w:rFonts w:ascii="Garamond" w:hAnsi="Garamond" w:cs="Arial"/>
          <w:i/>
          <w:iCs/>
          <w:color w:val="000000"/>
          <w:lang w:val="en-GB"/>
        </w:rPr>
        <w:t>Perversionen</w:t>
      </w:r>
      <w:r w:rsidRPr="00F7475D">
        <w:rPr>
          <w:rFonts w:ascii="Garamond" w:hAnsi="Garamond" w:cs="Arial"/>
          <w:color w:val="000000"/>
          <w:lang w:val="en-GB"/>
        </w:rPr>
        <w:t xml:space="preserve"> und den gar nicht seltenen allgemeinen </w:t>
      </w:r>
      <w:r w:rsidRPr="00F7475D">
        <w:rPr>
          <w:rFonts w:ascii="Garamond" w:hAnsi="Garamond" w:cs="Arial"/>
          <w:i/>
          <w:iCs/>
          <w:color w:val="000000"/>
          <w:lang w:val="en-GB"/>
        </w:rPr>
        <w:t>Infantilismus</w:t>
      </w:r>
      <w:r w:rsidRPr="00F7475D">
        <w:rPr>
          <w:rFonts w:ascii="Garamond" w:hAnsi="Garamond" w:cs="Arial"/>
          <w:color w:val="000000"/>
          <w:lang w:val="en-GB"/>
        </w:rPr>
        <w:t xml:space="preserve"> des Sexuallebens.</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Die Disposition zu den Neurosen ist auf andere Weise von einer Schädigung der Sexualentwicklung abzuleiten. Die Neurosen verhalten sich zu den Perversionen wie das Negativ zum Positiv; in ihnen sind dieselben Triebkomponenten als Träger der Komplexe und Symptombildner nachweisbar wie bei den Perversionen, aber sie wirken hier vom Unbewußten her; sie haben also eine Verdrängung erfahren, konnten sich aber derselben zum Trotze im Unbewußten behaupten. Die Psychoanalyse läßt uns erkennen, daß überstarke Äußerung dieser Triebe in sehr frühen Zeiten zu einer Art von partieller </w:t>
      </w:r>
      <w:r w:rsidRPr="00F7475D">
        <w:rPr>
          <w:rFonts w:ascii="Garamond" w:hAnsi="Garamond" w:cs="Arial"/>
          <w:i/>
          <w:iCs/>
          <w:color w:val="000000"/>
          <w:lang w:val="en-GB"/>
        </w:rPr>
        <w:t>Fixierung</w:t>
      </w:r>
      <w:r w:rsidRPr="00F7475D">
        <w:rPr>
          <w:rFonts w:ascii="Garamond" w:hAnsi="Garamond" w:cs="Arial"/>
          <w:color w:val="000000"/>
          <w:lang w:val="en-GB"/>
        </w:rPr>
        <w:t xml:space="preserve"> führt, die nun einen schwachen Punkt im Gefüge der Sexualfunktion darstellt. Stößt die Ausübung der normalen Sexualfunktion im reifen Leben auf Hindernisse, so wird die Verdrängung der Entwicklungszeit gerade an jenen Stellen durchbrochen, wo die infantilen Fixierungen stattgefunden haben.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Sie werden jetzt vielleicht den Einwand machen: Aber das ist ja alles nicht Sexualität. Ich gebrauchte das Wort in einem viel weiteren Sinne, als Sie gewohnt sind, es zu verstehen. Das gebe ich Ihnen gern zu. Aber es fragt sich, ob nicht vielmehr Sie das Wort in viel zu engem Sinne gebrauchen, wenn Sie es auf das Gebiet der Fortpflanzung einschränken. Sie opfern dabei das Verständnis der Perversionen, den Zusammenhang zwischen Perversion, Neurose und normalem Sexualleben, und setzen sich außer stande, die leicht zu beobachtenden Anfänge des somatischen und seelischen Liebeslebens der Kinder nach ihrer wahren Bedeutung zu erkennen. Wie immer Sie aber über den Wortgebrauch entscheiden wollen, halten Sie daran fest, daß der Psychoanalytiker die Sexualität in jenem vollen Sinne erfaßt, zu dem man durch die Würdigung der infantilen Sexualität geleitet wird.</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Kehren wir nun nochmals zur Sexualentwicklung des Kindes zurück. Wir haben hier manches nachzuholen, weil wir unsere Aufmerksamkeit mehr den somatischen als den seelischen Äußerungen des Sexuallebens geschenkt haben. Die primitive Objektwahl des Kindes, die sich von seiner Hilfsbedürftigkeit ableitet, fordert unser weiteres Interesse heraus. Sie wendet sich zunächst allen Pflegepersonen zu, die aber bald hinter den Eltern zurücktreten. Die Beziehung der Kinder zu ihren Eltern ist, wie direkte Beobachtung des Kindes und spätere analytische Erforschung des Erwachsenen </w:t>
      </w:r>
      <w:r w:rsidRPr="00F7475D">
        <w:rPr>
          <w:rFonts w:ascii="Garamond" w:hAnsi="Garamond" w:cs="Arial"/>
          <w:color w:val="000000"/>
          <w:lang w:val="en-GB"/>
        </w:rPr>
        <w:lastRenderedPageBreak/>
        <w:t xml:space="preserve">übereinstimmend dartun, keineswegs frei von Elementen sexueller Miterregung. Das Kind nimmt beide Elternteile und einen Teil besonders zum Objekt seiner erotischen Wünsche. Gewöhnlich folgt es dabei selbst einer Anregung der Eltern, deren Zärtlichkeit die deutlichsten Charaktere einer, wenn auch in ihren Zielen gehemmten, Sexualbetätigung hat. Der Vater bevorzugt in der Regel die Tochter, die Mutter den Sohn; das Kind reagiert hierauf, indem es sich als Sohn an die Stelle des Vaters, als Tochter an die Stelle der Mutter wünscht. Die Gefühle, die in diesen Beziehungen zwischen Eltern und Kindern und in den daran angelehnten zwischen den Geschwistern untereinander geweckt werden, sind nicht nur positiver, zärtlicher, sondern auch negativer, feindseliger Art. Der so gebildete Komplex ist zur baldigen Verdrängung bestimmt, aber er übt noch vom Unbewußten her eine großartige und nachhaltige Wirkung aus. Wir dürfen die Vermutung aussprechen, daß er mit seinen Ausläufern den </w:t>
      </w:r>
      <w:r w:rsidRPr="00F7475D">
        <w:rPr>
          <w:rFonts w:ascii="Garamond" w:hAnsi="Garamond" w:cs="Arial"/>
          <w:i/>
          <w:iCs/>
          <w:color w:val="000000"/>
          <w:lang w:val="en-GB"/>
        </w:rPr>
        <w:t>Kernkomplex</w:t>
      </w:r>
      <w:r w:rsidRPr="00F7475D">
        <w:rPr>
          <w:rFonts w:ascii="Garamond" w:hAnsi="Garamond" w:cs="Arial"/>
          <w:color w:val="000000"/>
          <w:lang w:val="en-GB"/>
        </w:rPr>
        <w:t xml:space="preserve"> einer jeden Neurose darstellt, und wir sind darauf gefaßt, ihn auf anderen Gebieten des Seelenlebens nicht minder wirksam anzutreffen. Der Mythus vom König </w:t>
      </w:r>
      <w:r w:rsidRPr="00F7475D">
        <w:rPr>
          <w:rFonts w:ascii="Garamond" w:hAnsi="Garamond" w:cs="Arial"/>
          <w:i/>
          <w:iCs/>
          <w:color w:val="000000"/>
          <w:lang w:val="en-GB"/>
        </w:rPr>
        <w:t>Ödipus</w:t>
      </w:r>
      <w:r w:rsidRPr="00F7475D">
        <w:rPr>
          <w:rFonts w:ascii="Garamond" w:hAnsi="Garamond" w:cs="Arial"/>
          <w:color w:val="000000"/>
          <w:lang w:val="en-GB"/>
        </w:rPr>
        <w:t xml:space="preserve">, der seinen Vater tötet und seine Mutter zum Weib gewinnt, ist eine noch wenig abgeänderte Offenbarung des infantilen Wunsches, dem sich späterhin die </w:t>
      </w:r>
      <w:r w:rsidRPr="00F7475D">
        <w:rPr>
          <w:rFonts w:ascii="Garamond" w:hAnsi="Garamond" w:cs="Arial"/>
          <w:i/>
          <w:iCs/>
          <w:color w:val="000000"/>
          <w:lang w:val="en-GB"/>
        </w:rPr>
        <w:t>Inzest</w:t>
      </w:r>
      <w:r w:rsidRPr="00F7475D">
        <w:rPr>
          <w:rFonts w:ascii="Garamond" w:hAnsi="Garamond" w:cs="Arial"/>
          <w:color w:val="000000"/>
          <w:lang w:val="en-GB"/>
        </w:rPr>
        <w:t xml:space="preserve">schranke abweisend entgegenstellt. Die </w:t>
      </w:r>
      <w:r w:rsidRPr="00F7475D">
        <w:rPr>
          <w:rFonts w:ascii="Garamond" w:hAnsi="Garamond" w:cs="Arial"/>
          <w:i/>
          <w:iCs/>
          <w:color w:val="000000"/>
          <w:lang w:val="en-GB"/>
        </w:rPr>
        <w:t>Hamlet</w:t>
      </w:r>
      <w:r w:rsidRPr="00F7475D">
        <w:rPr>
          <w:rFonts w:ascii="Garamond" w:hAnsi="Garamond" w:cs="Arial"/>
          <w:color w:val="000000"/>
          <w:lang w:val="en-GB"/>
        </w:rPr>
        <w:t xml:space="preserve">-Dichtung </w:t>
      </w:r>
      <w:r w:rsidRPr="00F7475D">
        <w:rPr>
          <w:rFonts w:ascii="Garamond" w:hAnsi="Garamond" w:cs="Arial"/>
          <w:i/>
          <w:iCs/>
          <w:color w:val="000000"/>
          <w:lang w:val="en-GB"/>
        </w:rPr>
        <w:t>Shakespeares</w:t>
      </w:r>
      <w:r w:rsidRPr="00F7475D">
        <w:rPr>
          <w:rFonts w:ascii="Garamond" w:hAnsi="Garamond" w:cs="Arial"/>
          <w:color w:val="000000"/>
          <w:lang w:val="en-GB"/>
        </w:rPr>
        <w:t xml:space="preserve"> ruht auf demselben Boden des besser verhüllten Inzestkomplexes.</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Um die Zeit, da das Kind von dem noch unverdrängten Kernkomplex beherrscht wird, setzt ein bedeutungsvolles Stück seiner intellektuellen Betätigung im Dienste der Sexualinteressen ein. Es beginnt zu forschen, woher die Kinder kommen, und errät in Verwertung der ihm gebotenen Anzeichen mehr von den wirklichen Verhältnissen, als die Erwachsenen ahnen können. Gewöhnlich hat die materielle Bedrohung durch ein neu angekommenes Kind, in dem es zunächst nur den Konkurrenten erblickt, sein Forscherinteresse geweckt. Unter dem Einfluß der in ihm selbst tätigen Partialtriebe gelangt es zu einer Anzahl von » </w:t>
      </w:r>
      <w:r w:rsidRPr="00F7475D">
        <w:rPr>
          <w:rFonts w:ascii="Garamond" w:hAnsi="Garamond" w:cs="Arial"/>
          <w:i/>
          <w:iCs/>
          <w:color w:val="000000"/>
          <w:lang w:val="en-GB"/>
        </w:rPr>
        <w:t>infantilen Sexualtheorien</w:t>
      </w:r>
      <w:r w:rsidRPr="00F7475D">
        <w:rPr>
          <w:rFonts w:ascii="Garamond" w:hAnsi="Garamond" w:cs="Arial"/>
          <w:color w:val="000000"/>
          <w:lang w:val="en-GB"/>
        </w:rPr>
        <w:t>«, wie daß es beiden Geschlechtern das gleiche männliche Genitale zuspricht, daß es die Kinder durch Essen empfangen und durch das Ende des Darmes gebären läßt, und daß es den Verkehr der Geschlechter als einen feindseligen Akt, eine Art von Überwältigung erfaßt. Aber gerade die Unfertigkeit seiner sexuellen Konstitution und die Lücke in seinen Kenntnissen, die durch die Latenz des weiblichen Geschlechtskanals gegeben ist, nötigt den infantilen Forscher, seine Arbeit als erfolglos einzustellen. Die Tatsache dieser Kinderforschung selbst, sowie die einzelnen durch sie zu Tage geförderten infantilen Sexualtheorien bleiben von bestimmender Bedeutung für die Charakterbildung des Kindes und den Inhalt seiner späteren neurotischen Erkrankung.</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Es ist unvermeidlich und durchaus normal, daß das Kind die Eltern zu Objekten seiner ersten Liebeswahl mache. Aber seine Libido soll nicht an diese ersten Objekte fixiert bleiben, sondern sie späterhin bloß zum Vorbild nehmen und von ihnen zur Zeit der definitiven Objektwahl auf fremde Personen hinübergleiten. Die </w:t>
      </w:r>
      <w:r w:rsidRPr="00F7475D">
        <w:rPr>
          <w:rFonts w:ascii="Garamond" w:hAnsi="Garamond" w:cs="Arial"/>
          <w:i/>
          <w:iCs/>
          <w:color w:val="000000"/>
          <w:lang w:val="en-GB"/>
        </w:rPr>
        <w:t>Ablösung</w:t>
      </w:r>
      <w:r w:rsidRPr="00F7475D">
        <w:rPr>
          <w:rFonts w:ascii="Garamond" w:hAnsi="Garamond" w:cs="Arial"/>
          <w:color w:val="000000"/>
          <w:lang w:val="en-GB"/>
        </w:rPr>
        <w:t xml:space="preserve"> des Kindes von den Eltern wird so zu einer unentrinnbaren Aufgabe, wenn die soziale Tüchtigkeit des jungen Individuums nicht gefährdet werden soll. Während der Zeit, da die Verdrängung die Auslese unter den Partialtrieben der Sexualität trifft, und später, wenn der Einfluß der Eltern gelockert werden soll, der den Aufwand für diese Verdrängungen im wesentlichen bestritten hat, fallen der Erziehungsarbeit große Aufgaben zu, die gegenwärtig gewiß nicht immer in verständnisvoller und einwandfreier Weise erledigt werden.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Meine Herren! Urteilen Sie nicht etwa, daß wir uns mit diesen Erörterungen über das Sexualleben und die psychosexuelle Entwicklung des Kindes allzu weit von der Psychoanalyse und von der Aufgabe der Beseitigung nervöser Störungen entfernt haben. Wenn Sie wollen, können Sie die psychoanalytische Behandlung nur als eine fortgesetzte Erziehung zur Überwindung von Kindheitsresten beschreiben.</w:t>
      </w:r>
    </w:p>
    <w:p w:rsidR="002E0E50" w:rsidRPr="00F7475D" w:rsidRDefault="002E0E50" w:rsidP="002E0E50">
      <w:pPr>
        <w:rPr>
          <w:rFonts w:ascii="Garamond" w:hAnsi="Garamond" w:cs="Arial"/>
          <w:b/>
          <w:bCs/>
          <w:color w:val="000000"/>
          <w:lang w:val="en-GB"/>
        </w:rPr>
      </w:pPr>
      <w:r w:rsidRPr="00F7475D">
        <w:rPr>
          <w:rFonts w:ascii="Garamond" w:hAnsi="Garamond" w:cs="Arial"/>
          <w:b/>
          <w:bCs/>
          <w:color w:val="000000"/>
          <w:lang w:val="en-GB"/>
        </w:rPr>
        <w:t>V.</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Meine Damen und Herren! Mit der Aufdeckung der infantilen Sexualität und der Zurückführung der neurotischen Symptome auf erotische Triebkomponenten sind wir zu einigen unerwarteten Formeln über </w:t>
      </w:r>
      <w:r w:rsidRPr="00F7475D">
        <w:rPr>
          <w:rFonts w:ascii="Garamond" w:hAnsi="Garamond" w:cs="Arial"/>
          <w:color w:val="000000"/>
          <w:lang w:val="en-GB"/>
        </w:rPr>
        <w:lastRenderedPageBreak/>
        <w:t xml:space="preserve">das Wesen und die Tendenzen der neurotischen Erkrankungen gelangt. Wir sehen, daß die Menschen erkranken, wenn ihnen infolge äußerer Hindernisse oder inneren Mangels an Anpassung die Befriedigung ihrer erotischen Bedürfnisse in der </w:t>
      </w:r>
      <w:r w:rsidRPr="00F7475D">
        <w:rPr>
          <w:rFonts w:ascii="Garamond" w:hAnsi="Garamond" w:cs="Arial"/>
          <w:i/>
          <w:iCs/>
          <w:color w:val="000000"/>
          <w:lang w:val="en-GB"/>
        </w:rPr>
        <w:t>Realität</w:t>
      </w:r>
      <w:r w:rsidRPr="00F7475D">
        <w:rPr>
          <w:rFonts w:ascii="Garamond" w:hAnsi="Garamond" w:cs="Arial"/>
          <w:color w:val="000000"/>
          <w:lang w:val="en-GB"/>
        </w:rPr>
        <w:t xml:space="preserve"> versagt ist. Wir sehen, daß sie sich dann in die </w:t>
      </w:r>
      <w:r w:rsidRPr="00F7475D">
        <w:rPr>
          <w:rFonts w:ascii="Garamond" w:hAnsi="Garamond" w:cs="Arial"/>
          <w:i/>
          <w:iCs/>
          <w:color w:val="000000"/>
          <w:lang w:val="en-GB"/>
        </w:rPr>
        <w:t>Krankheit flüchten</w:t>
      </w:r>
      <w:r w:rsidRPr="00F7475D">
        <w:rPr>
          <w:rFonts w:ascii="Garamond" w:hAnsi="Garamond" w:cs="Arial"/>
          <w:color w:val="000000"/>
          <w:lang w:val="en-GB"/>
        </w:rPr>
        <w:t>, um mit ihrer Hilfe eine Ersatzbefriedigung für das Versagte zu finden. Wir erkennen, daß die krankhaften Symptome ein Stück der Sexualbetätigung der Person oder deren ganzes Sexualleben enthalten, und finden in der Fernhaltung von der Realität die Haupttendenz, aber auch den Hauptschaden des Krankseins. Wir ahnen, daß der Widerstand unserer Kranken gegen die Herstellung kein einfacher, sondern aus mehreren Motiven zusammengesetzt ist. Es sträubt sich nicht nur das Ich des Kranken dagegen, die Verdrängungen aufzugeben, durch welche es sich aus den ursprünglichen Anlagen herausgehoben hat, sondern auch die Sexualtriebe mögen nicht auf ihre Ersatzbefriedigung verzichten, solange es unsicher ist, ob ihnen die Realität etwas Besseres bieten wird.</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Die Flucht aus der unbefriedigenden Wirklichkeit in das, was wir wegen seiner biologischen Schädlichkeit Krankheit nennen, was aber niemals ohne einen unmittelbaren Lustgewinn für den Kranken ist, vollzieht sich auf dem Wege der Rückbildung ( </w:t>
      </w:r>
      <w:r w:rsidRPr="00F7475D">
        <w:rPr>
          <w:rFonts w:ascii="Garamond" w:hAnsi="Garamond" w:cs="Arial"/>
          <w:i/>
          <w:iCs/>
          <w:color w:val="000000"/>
          <w:lang w:val="en-GB"/>
        </w:rPr>
        <w:t>Regression</w:t>
      </w:r>
      <w:r w:rsidRPr="00F7475D">
        <w:rPr>
          <w:rFonts w:ascii="Garamond" w:hAnsi="Garamond" w:cs="Arial"/>
          <w:color w:val="000000"/>
          <w:lang w:val="en-GB"/>
        </w:rPr>
        <w:t xml:space="preserve">), der Rückkehr zu früheren Phasen des Sexuallebens, denen seinerzeit die Befriedigung nicht abgegangen ist. Diese Regression ist anscheinend eine zweifache, eine </w:t>
      </w:r>
      <w:r w:rsidRPr="00F7475D">
        <w:rPr>
          <w:rFonts w:ascii="Garamond" w:hAnsi="Garamond" w:cs="Arial"/>
          <w:i/>
          <w:iCs/>
          <w:color w:val="000000"/>
          <w:lang w:val="en-GB"/>
        </w:rPr>
        <w:t>zeitliche</w:t>
      </w:r>
      <w:r w:rsidRPr="00F7475D">
        <w:rPr>
          <w:rFonts w:ascii="Garamond" w:hAnsi="Garamond" w:cs="Arial"/>
          <w:color w:val="000000"/>
          <w:lang w:val="en-GB"/>
        </w:rPr>
        <w:t xml:space="preserve">, insofern die Libido, das erotische Bedürfnis, auf zeitlich frühere Entwicklungsstufen zurückgreift, und eine </w:t>
      </w:r>
      <w:r w:rsidRPr="00F7475D">
        <w:rPr>
          <w:rFonts w:ascii="Garamond" w:hAnsi="Garamond" w:cs="Arial"/>
          <w:i/>
          <w:iCs/>
          <w:color w:val="000000"/>
          <w:lang w:val="en-GB"/>
        </w:rPr>
        <w:t>formale</w:t>
      </w:r>
      <w:r w:rsidRPr="00F7475D">
        <w:rPr>
          <w:rFonts w:ascii="Garamond" w:hAnsi="Garamond" w:cs="Arial"/>
          <w:color w:val="000000"/>
          <w:lang w:val="en-GB"/>
        </w:rPr>
        <w:t>, indem zur Äußerung dieses Bedürfnisses die ursprünglichen und primitiven psychischen Ausdrucksmittel verwendet werden. Beide Arten der Regression zielen aber auf die Kindheit und treffen zusammen in der Herstellung eines infantilen Zustands des Sexuallebens.</w:t>
      </w:r>
    </w:p>
    <w:p w:rsidR="002E0E50" w:rsidRPr="00F7475D" w:rsidRDefault="002E0E50" w:rsidP="002E0E50">
      <w:pPr>
        <w:rPr>
          <w:rFonts w:ascii="Garamond" w:hAnsi="Garamond" w:cs="Arial"/>
          <w:color w:val="000000"/>
        </w:rPr>
      </w:pPr>
      <w:r w:rsidRPr="00F7475D">
        <w:rPr>
          <w:rFonts w:ascii="Garamond" w:hAnsi="Garamond" w:cs="Arial"/>
          <w:color w:val="000000"/>
          <w:lang w:val="en-GB"/>
        </w:rPr>
        <w:t xml:space="preserve">Je tiefer Sie in die Pathogenese der nervösen Erkrankung eindringen, desto mehr wird sich Ihnen der Zusammenhang der Neurosen mit anderen Produktionen des menschlichen Seelenlebens, auch mit den wertvollsten derselben, enthüllen. Sie werden daran gemahnt, daß wir Menschen mit den hohen Ansprüchen unserer Kultur und unter dem Drucke unserer inneren Verdrängungen, die Wirklichkeit ganz allgemein unbefriedigend finden und darum ein Phantasieleben unterhalten, in welchem wir durch Produktionen von Wunscherfüllungen die Mängel der Realität auszugleichen lieben. In diesen Phantasien ist sehr vieles von dem eigentlichen konstitutionellen Wesen der Persönlichkeit und auch von ihren für die Wirklichkeit verdrängten Regungen enthalten. Der energische und erfolgreiche Mensch ist der, dem es gelingt, durch Arbeit seine Wunschphantasien in Realität umzusetzen. Wo dies nicht gelingt infolge der Widerstände der Außenwelt und der Schwäche des Individuums, da tritt die Abwendung von der Realität ein, das Individuum zieht sich in seine befriedigendere Phantasiewelt zurück, deren Inhalt es im Falle der Erkrankung in Symptome umsetzt. Unter gewissen günstigen Bedingungen bleibt es ihm noch möglich, von diesen Phantasien aus einen anderen Weg in die Realität zu finden, anstatt sich ihr durch Regression ins Infantile dauernd zu entfremden. Wenn die mit der Realität verfeindete Person im Besitze der uns psychologisch noch rätselhaften </w:t>
      </w:r>
      <w:r w:rsidRPr="00F7475D">
        <w:rPr>
          <w:rFonts w:ascii="Garamond" w:hAnsi="Garamond" w:cs="Arial"/>
          <w:i/>
          <w:iCs/>
          <w:color w:val="000000"/>
          <w:lang w:val="en-GB"/>
        </w:rPr>
        <w:t>künstlerischen Begabung</w:t>
      </w:r>
      <w:r w:rsidRPr="00F7475D">
        <w:rPr>
          <w:rFonts w:ascii="Garamond" w:hAnsi="Garamond" w:cs="Arial"/>
          <w:color w:val="000000"/>
          <w:lang w:val="en-GB"/>
        </w:rPr>
        <w:t xml:space="preserve"> ist, kann sie ihre Phantasien anstatt in Symptome in künstlerische Schöpfungen umsetzen, so dem Schicksal der Neurose entgehen und die Beziehung zur Realität auf diesem Umwege wiedergewinnen. </w:t>
      </w:r>
      <w:hyperlink r:id="rId1593" w:anchor="#" w:history="1">
        <w:r w:rsidRPr="00F7475D">
          <w:rPr>
            <w:rStyle w:val="fusslink"/>
            <w:rFonts w:ascii="Garamond" w:hAnsi="Garamond" w:cs="Arial"/>
            <w:b/>
            <w:bCs/>
            <w:color w:val="003399"/>
          </w:rPr>
          <w:t>[Fußnote]</w:t>
        </w:r>
        <w:r w:rsidRPr="00F7475D">
          <w:rPr>
            <w:rStyle w:val="innerfusslink3"/>
            <w:rFonts w:ascii="Garamond" w:hAnsi="Garamond" w:cs="Arial"/>
            <w:b/>
            <w:bCs/>
          </w:rPr>
          <w:t xml:space="preserve">Vgl. O. </w:t>
        </w:r>
        <w:r w:rsidRPr="00F7475D">
          <w:rPr>
            <w:rStyle w:val="innerfusslink3"/>
            <w:rFonts w:ascii="Garamond" w:hAnsi="Garamond" w:cs="Arial"/>
            <w:b/>
            <w:bCs/>
            <w:i/>
            <w:iCs/>
          </w:rPr>
          <w:t>Rank</w:t>
        </w:r>
        <w:r w:rsidRPr="00F7475D">
          <w:rPr>
            <w:rStyle w:val="innerfusslink3"/>
            <w:rFonts w:ascii="Garamond" w:hAnsi="Garamond" w:cs="Arial"/>
            <w:b/>
            <w:bCs/>
          </w:rPr>
          <w:t>, Der Künstler, H. Heller, Wien 1907.</w:t>
        </w:r>
      </w:hyperlink>
      <w:r w:rsidRPr="00F7475D">
        <w:rPr>
          <w:rFonts w:ascii="Garamond" w:hAnsi="Garamond" w:cs="Arial"/>
          <w:color w:val="000000"/>
        </w:rPr>
        <w:t xml:space="preserve"> Wo bei bestehender Auflehnung gegen die reale Welt diese kostbare Begabung fehlt oder unzulänglich ist, da wird es wohl unvermeidlich, daß die Libido, der Herkunft der Phantasie folgend, auf dem Wege der Regression zur Wiederbelebung der infantilen Wünsche und somit zur Neurose gelangt. Die Neurose vertritt in unserer Zeit das Kloster, in welches sich alle die Personen zurückzuziehen pflegten, die das Leben enttäuscht hatte, oder die sich für das Leben zu schwach fühlten.</w:t>
      </w:r>
    </w:p>
    <w:p w:rsidR="002E0E50" w:rsidRPr="00F7475D" w:rsidRDefault="002E0E50" w:rsidP="002E0E50">
      <w:pPr>
        <w:rPr>
          <w:rFonts w:ascii="Garamond" w:hAnsi="Garamond" w:cs="Arial"/>
          <w:color w:val="000000"/>
        </w:rPr>
      </w:pPr>
      <w:r w:rsidRPr="00F7475D">
        <w:rPr>
          <w:rFonts w:ascii="Garamond" w:hAnsi="Garamond" w:cs="Arial"/>
          <w:color w:val="000000"/>
        </w:rPr>
        <w:t xml:space="preserve">Lassen Sie mich an dieser Stelle das Hauptergebnis einfügen, zu welchem wir durch die psychoanalytische Untersuchung der Nervösen gelangt sind, daß die Neurosen keinen ihnen eigentümlichen psychischen Inhalt haben, der nicht auch beim Gesunden zu finden wäre, oder wie </w:t>
      </w:r>
      <w:r w:rsidRPr="00F7475D">
        <w:rPr>
          <w:rFonts w:ascii="Garamond" w:hAnsi="Garamond" w:cs="Arial"/>
          <w:i/>
          <w:iCs/>
          <w:color w:val="000000"/>
        </w:rPr>
        <w:t>C. G. Jung</w:t>
      </w:r>
      <w:r w:rsidRPr="00F7475D">
        <w:rPr>
          <w:rFonts w:ascii="Garamond" w:hAnsi="Garamond" w:cs="Arial"/>
          <w:color w:val="000000"/>
        </w:rPr>
        <w:t xml:space="preserve"> es ausgedrückt hat, daß sie an denselben Komplexen erkranken, mit denen auch wir Gesunde kämpfen. Es hängt von quantitativen Verhältnissen, von den Relationen der miteinander ringenden Kräfte ab, ob der Kampf zur Gesundheit, zur Neurose oder zur kompensierenden Überleistung führt.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lastRenderedPageBreak/>
        <w:t xml:space="preserve">Meine Damen und Herren! Ich habe Ihnen die wichtigste Erfahrung noch vorenthalten, welche unsere Annahme von den sexuellen Triebkräften der Neurose bestätigt. Jedesmal wenn wir einen Nervösen psychoanalytisch behandeln, tritt bei ihm das befremdende Phänomens der sogenannten </w:t>
      </w:r>
      <w:r w:rsidRPr="00F7475D">
        <w:rPr>
          <w:rFonts w:ascii="Garamond" w:hAnsi="Garamond" w:cs="Arial"/>
          <w:i/>
          <w:iCs/>
          <w:color w:val="000000"/>
          <w:lang w:val="en-GB"/>
        </w:rPr>
        <w:t>Übertragung</w:t>
      </w:r>
      <w:r w:rsidRPr="00F7475D">
        <w:rPr>
          <w:rFonts w:ascii="Garamond" w:hAnsi="Garamond" w:cs="Arial"/>
          <w:color w:val="000000"/>
          <w:lang w:val="en-GB"/>
        </w:rPr>
        <w:t xml:space="preserve"> auf, d. h. er wendet dem Arzt ein Ausmaß von zärtlichen, oft genug mit Feindseligkeit vermengten Regungen zu, welches in keiner realen Beziehung begründet ist und nach allen Einzelheiten seines Auftretens von den alten und unbewußt gewordenen Phantasiewünschen des Kranken abgeleitet werden muß. Jenes Stück seines Gefühlslebens, das er sich nicht mehr in die Erinnerung zurückrufen kann, erlebt der Kranke also in seinem Verhältnisse zum Arzte wieder, und erst durch solches Wiedererleben in der »Übertragung« wird er von der Existenz wie von der Macht dieser unbewußten sexuellen Regungen überzeugt. Die Symptome, welche, um ein Gleichnis aus der Chemie zu gebrauchen, die Niederschläge von früheren Liebeserlebnissen (im weitesten Sinne) sind, können auch nur in der erhöhten Temperatur des Übertragungserlebnisses gelöst und in andere psychische Produkte übergeführt werden. Der Arzt spielt bei dieser Reaktion nach einem vortrefflichen Worte von S. </w:t>
      </w:r>
      <w:r w:rsidRPr="00F7475D">
        <w:rPr>
          <w:rFonts w:ascii="Garamond" w:hAnsi="Garamond" w:cs="Arial"/>
          <w:i/>
          <w:iCs/>
          <w:color w:val="000000"/>
          <w:lang w:val="en-GB"/>
        </w:rPr>
        <w:t xml:space="preserve">Ferenczi </w:t>
      </w:r>
      <w:hyperlink r:id="rId1594" w:anchor="#" w:history="1">
        <w:r w:rsidRPr="00F7475D">
          <w:rPr>
            <w:rStyle w:val="fusslink"/>
            <w:rFonts w:ascii="Garamond" w:hAnsi="Garamond" w:cs="Arial"/>
            <w:b/>
            <w:bCs/>
            <w:i/>
            <w:iCs/>
            <w:color w:val="003399"/>
            <w:lang w:val="en-GB"/>
          </w:rPr>
          <w:t>[Fußnote]</w:t>
        </w:r>
        <w:r w:rsidRPr="00F7475D">
          <w:rPr>
            <w:rStyle w:val="innerfusslink3"/>
            <w:rFonts w:ascii="Garamond" w:hAnsi="Garamond" w:cs="Arial"/>
            <w:b/>
            <w:bCs/>
            <w:i/>
            <w:iCs/>
            <w:lang w:val="en-GB"/>
          </w:rPr>
          <w:t>Ferenczi</w:t>
        </w:r>
      </w:hyperlink>
      <w:hyperlink r:id="rId1595" w:anchor="#" w:history="1">
        <w:r w:rsidRPr="00F7475D">
          <w:rPr>
            <w:rStyle w:val="fusslink"/>
            <w:rFonts w:ascii="Garamond" w:hAnsi="Garamond" w:cs="Arial"/>
            <w:b/>
            <w:bCs/>
            <w:color w:val="003399"/>
            <w:lang w:val="en-GB"/>
          </w:rPr>
          <w:t>[Fußnote]</w:t>
        </w:r>
        <w:r w:rsidRPr="00F7475D">
          <w:rPr>
            <w:rStyle w:val="innerfusslink3"/>
            <w:rFonts w:ascii="Garamond" w:hAnsi="Garamond" w:cs="Arial"/>
            <w:b/>
            <w:bCs/>
            <w:lang w:val="en-GB"/>
          </w:rPr>
          <w:t>, Introjektion und Übertragung. Jahrb. f. psychoanal. u. psychopath. Forschungen, I. 2. 1909.</w:t>
        </w:r>
      </w:hyperlink>
      <w:r w:rsidRPr="00F7475D">
        <w:rPr>
          <w:rFonts w:ascii="Garamond" w:hAnsi="Garamond" w:cs="Arial"/>
          <w:color w:val="000000"/>
          <w:lang w:val="en-GB"/>
        </w:rPr>
        <w:t xml:space="preserve"> die Rolle eines </w:t>
      </w:r>
      <w:r w:rsidRPr="00F7475D">
        <w:rPr>
          <w:rFonts w:ascii="Garamond" w:hAnsi="Garamond" w:cs="Arial"/>
          <w:i/>
          <w:iCs/>
          <w:color w:val="000000"/>
          <w:lang w:val="en-GB"/>
        </w:rPr>
        <w:t>katalytischen Ferments</w:t>
      </w:r>
      <w:r w:rsidRPr="00F7475D">
        <w:rPr>
          <w:rFonts w:ascii="Garamond" w:hAnsi="Garamond" w:cs="Arial"/>
          <w:color w:val="000000"/>
          <w:lang w:val="en-GB"/>
        </w:rPr>
        <w:t>, das die bei dem Prozesse frei werdenden Affekte zeitweilig an sich reißt. Das Studium der Übertragung kann Ihnen auch den Schlüssel zum Verständnis der hypnotischen Suggestion geben, deren wir uns anfänglich als technisches Mittel zur Erforschung des Unbewußten bei unseren Kranken bedient hatten. Die Hypnose erwies sich damals als eine therapeutische Hilfe, aber als ein Hindernis der wissenschaftlichen Erkenntnis des Sachverhaltes, indem sie die psychischen Widerstände aus einem gewissen Gebiet wegräumte, um sie an den Grenzen desselben zu einem unübersteigbaren Wall aufzutürmen. Glauben Sie übrigens nicht, daß das Phänomen der Übertragung, über das ich Ihnen leider hier nur zu wenig sagen kann, durch die psychoanalytische Beeinflussung geschaffen wird. Die Übertragung stellt sich in allen menschlichen Beziehungen ebenso wie im Verhältnis des Kranken zum Arzte spontan her, sie ist überall der eigentliche Träger der therapeutischen Beeinflussung, und sie wirkt um so stärker, je weniger man ihr Vorhandensein ahnt. Die Psychoanalyse schafft sie also nicht, sie deckt sie bloß dem Bewußtsein auf, und bemächtigt sich ihrer, um die psychischen Vorgänge nach dem erwünschten Ziele zu lenken. Ich kann aber das Thema der Übertragung nicht verlassen, ohne hervorzuheben, daß dieses Phänomen nicht nur für die Überzeugung des Kranken, sondern auch für die des Arztes entscheidend in Betracht kommt. Ich weiß, daß alle meine Anhänger erst durch ihre Erfahrungen mit der Übertragung von der Richtigkeit meiner Behauptungen über die Pathogenese der Neurosen überzeugt worden sind, und kann sehr wohl begreifen, daß man eine solche Sicherheit des Urteils nicht gewinnt, solange man selbst keine Psychoanalysen gemacht, also nicht selbst die Wirkungen der Übertragung beobachtet hat.</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Meine Damen und Herren! Ich meine, es sind von der Seite des Intellekts besonders zwei Hindernisse gegen die Anerkennung der psychoanalytischen Gedankengänge zu würdigen: Erstens die Ungewohnheit, mit der strengen und ausnahmslos geltenden Determinierung des seelischen Lebens zu rechnen, und zweitens die Unkenntnis der Eigentümlichkeiten, durch welche sich unbewußte seelische Vorgänge von den uns vertrauten bewußten unterscheiden. Einer der verbreitetsten Widerstände gegen die psychoanalytische Arbeit – bei Kranken wie bei Gesunden – führt sich auf das letztere der beiden Momente zurück. Man fürchtet durch die Psychoanalyse zu schaden, man hat Angst davor, die verdrängten sexuellen Triebe ins Bewußtsein des Kranken zu rufen, als ob damit die Gefahr verbunden wäre, daß sie dann die höheren ethischen Strebungen bei ihm überwältigen und ihn seiner kulturellen Errungenschaften berauben könnten. Man merkt, daß der Kranke wunde Stellen in seinem Seelenleben hat, aber man scheut sich dieselben zu berühren, damit sein Leiden nicht noch gesteigert werde. Wir können diese Analogie annehmen. Es ist freilich schonender, kranke Stellen nicht zu berühren, wenn man dadurch nichts anderes als Schmerz zu bereiten weiß. Aber der Chirurg läßt sich bekanntlich von der Untersuchung und Hantierung am Krankheitsherd nicht abhalten, wenn er einen Eingriff beabsichtigt, welcher dauernde Heilung bringen soll. Niemand denkt mehr daran, ihm die unvermeidlichen </w:t>
      </w:r>
      <w:r w:rsidRPr="00F7475D">
        <w:rPr>
          <w:rFonts w:ascii="Garamond" w:hAnsi="Garamond" w:cs="Arial"/>
          <w:color w:val="000000"/>
          <w:lang w:val="en-GB"/>
        </w:rPr>
        <w:lastRenderedPageBreak/>
        <w:t>Beschwerden der Untersuchung oder die Reaktionserscheinungen der Operation zur Last zu legen, wenn diese nur ihre Absicht erreicht, und der Kranke durch die zeitweilige Verschlimmerung seines Zustands eine endgültige Hebung desselben erwirbt. Ähnlich liegen die Verhältnisse für die Psychoanalyse; sie darf dieselben Ansprüche erheben wie die Chirurgie; der Zuwachs an Beschwerden, den sie dem Kranken während der Behandlung zumutet, ist bei guter Technik ungleich geringer, als was der Chirurg ihm auferlegt, und überhaupt gegen die Schwere des Grundleidens zu vernachlässigen. Der gefürchtete Endausgang aber einer Zerstörung des kulturellen Charakters durch die von der Verdrängung befreiten Triebe ist ganz unmöglich, denn diese Ängstlichkeit zieht nicht in Betracht, was uns unsere Erfahrungen mit Sicherheit gelehrt haben, daß die seelische und somatische Macht einer Wunschregung, wenn deren Verdrängung einmal mißlungen ist, ungleich stärker ausfällt, wenn sie unbewußt, als wenn sie bewußt ist, so daß sie durch das Bewußtmachen nur geschwächt werden kann. Der unbewußte Wunsch ist nicht zu beeinflussen, von allen Gegenstrebungen unabhängig, während der bewußte durch alles gleichfalls Bewußte und ihm Widerstrebende gehemmt wird. Die psychoanalytische Arbeit stellt sich also als ein besserer Ersatz für die erfolglose Verdrängung geradezu in den Dienst der höchsten und wertvollsten kulturellen Strebungen.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Welche sind überhaupt die Schicksale der durch die Psychoanalyse freigelegten unbewußten Wünsche, auf welchen Wegen verstehen wir es, sie für das Leben des Individuums unschädlich zu machen? Dieser Wege sind mehrere. Am häufigsten ist der Erfolg, daß dieselben schon während der Arbeit durch die korrekte seelische Tätigkeit der ihnen entgegenstehenden besseren Regungen aufgezehrt werden. Die </w:t>
      </w:r>
      <w:r w:rsidRPr="00F7475D">
        <w:rPr>
          <w:rFonts w:ascii="Garamond" w:hAnsi="Garamond" w:cs="Arial"/>
          <w:i/>
          <w:iCs/>
          <w:color w:val="000000"/>
          <w:lang w:val="en-GB"/>
        </w:rPr>
        <w:t>Verdrängung</w:t>
      </w:r>
      <w:r w:rsidRPr="00F7475D">
        <w:rPr>
          <w:rFonts w:ascii="Garamond" w:hAnsi="Garamond" w:cs="Arial"/>
          <w:color w:val="000000"/>
          <w:lang w:val="en-GB"/>
        </w:rPr>
        <w:t xml:space="preserve"> wird durch eine mit den besten Mitteln durchgeführte </w:t>
      </w:r>
      <w:r w:rsidRPr="00F7475D">
        <w:rPr>
          <w:rFonts w:ascii="Garamond" w:hAnsi="Garamond" w:cs="Arial"/>
          <w:i/>
          <w:iCs/>
          <w:color w:val="000000"/>
          <w:lang w:val="en-GB"/>
        </w:rPr>
        <w:t>Verurteilung</w:t>
      </w:r>
      <w:r w:rsidRPr="00F7475D">
        <w:rPr>
          <w:rFonts w:ascii="Garamond" w:hAnsi="Garamond" w:cs="Arial"/>
          <w:color w:val="000000"/>
          <w:lang w:val="en-GB"/>
        </w:rPr>
        <w:t xml:space="preserve"> ersetzt. Dies ist möglich, weil wir zum großen Teil nur Folgen aus früheren Entwicklungsstadien des Ichs zu beseitigen haben. Das Individuum brachte seinerzeit nur eine Verdrängung des unbrauchbaren Triebes zu stande, weil es damals selbst noch unvollkommen organisiert und schwächlich war; in seiner heutigen Reife und Stärke kann es vielleicht das ihm Feindliche tadellos beherrschen. Ein zweiter Ausgang der psychoanalytischen Arbeit ist der, daß die aufgedeckten unbewußten Triebe nun jener zweckmäßigen Verwendung zugeführt werden können, die sie bei ungestörter Entwicklung schon früher hätten finden sollen. Die Ausrottung der infantilen Wunschregungen ist nämlich keineswegs das ideale Ziel der Entwicklung. Der Neurotiker hat durch seine Verdrängungen viele Quellen seelischer Energie eingebüßt, deren Zuflüsse für seine Charakterbildung und Betätigung im Leben sehr wertvoll gewesen wären. Wir kennen einen weit zweckmäßigeren Vorgang der Entwicklung, die sogenannte </w:t>
      </w:r>
      <w:r w:rsidRPr="00F7475D">
        <w:rPr>
          <w:rFonts w:ascii="Garamond" w:hAnsi="Garamond" w:cs="Arial"/>
          <w:i/>
          <w:iCs/>
          <w:color w:val="000000"/>
          <w:lang w:val="en-GB"/>
        </w:rPr>
        <w:t>Sublimierung</w:t>
      </w:r>
      <w:r w:rsidRPr="00F7475D">
        <w:rPr>
          <w:rFonts w:ascii="Garamond" w:hAnsi="Garamond" w:cs="Arial"/>
          <w:color w:val="000000"/>
          <w:lang w:val="en-GB"/>
        </w:rPr>
        <w:t>, durch welchen die Energie infantiler Wunschregungen nicht abgesperrt wird, sondern verwertet bleibt, indem den einzelnen Regungen statt des unbrauchbaren ein höheres, eventuell nicht mehr sexuelles Ziel gesetzt wird. Gerade die Komponenten des Sexualtriebes sind durch solche Fähigkeit zur Sublimierung, zur Vertauschung ihres Sexualzieles mit einem entlegeneren und sozial wertvolleren besonders ausgezeichnet. Den auf solche Weise gewonnenen Energiebeiträgen zu unseren seelischen Leistungen verdanken wir wahrscheinlich die höchsten kulturellen Erfolge. Eine frühzeitig vorgefallene Verdrängung schließt die Sublimierung des verdrängten Triebes aus; nach Aufhebung der Verdrängung ist der Weg zur Sublimierung wieder frei.</w:t>
      </w:r>
    </w:p>
    <w:p w:rsidR="002E0E50" w:rsidRPr="00F7475D" w:rsidRDefault="002E0E50" w:rsidP="002E0E50">
      <w:pPr>
        <w:rPr>
          <w:rFonts w:ascii="Garamond" w:hAnsi="Garamond" w:cs="Arial"/>
          <w:color w:val="000000"/>
          <w:lang w:val="en-GB"/>
        </w:rPr>
      </w:pPr>
      <w:r w:rsidRPr="002E0E50">
        <w:rPr>
          <w:rFonts w:ascii="Garamond" w:hAnsi="Garamond" w:cs="Arial"/>
          <w:color w:val="000000"/>
          <w:lang w:val="en-GB"/>
        </w:rPr>
        <w:t xml:space="preserve">Wir dürfen es nicht versäumen, auch den dritten der möglichen Ausgänge der psychoanalytischen Arbeit ins Auge zu fassen. </w:t>
      </w:r>
      <w:r w:rsidRPr="00F7475D">
        <w:rPr>
          <w:rFonts w:ascii="Garamond" w:hAnsi="Garamond" w:cs="Arial"/>
          <w:color w:val="000000"/>
          <w:lang w:val="en-GB"/>
        </w:rPr>
        <w:t xml:space="preserve">Ein gewisser Anteil der verdrängten libidinösen Regungen hat ein Anrecht auf direkte Befriedigung und soll sie im Leben finden. Unsere Kulturansprüche machen für die meisten der menschlichen Organisationen das Leben zu schwer, fördern dadurch die Abwendung von der Realität und die Entstehung der Neurosen, ohne einen Überschuß von kulturellem Gewinn durch dies Übermaß von Sexualverdrängung zu erzielen. Wir sollten uns nicht so weit überheben, daß wir das ursprünglich Animalische unserer Natur völlig vernachlässigen, dürfen auch nicht daran vergessen, daß die Glücksbefriedigung des einzelnen nicht aus den Zielen unserer Kultur gestrichen werden kann. Die Plastizität der Sexualkomponenten, die sich in ihrer Fähigkeit zur Sublimierung kundgibt, mag ja eine große Versuchung herstellen, durch deren immer weiter gehende Sublimierung größere Kultureffekte zu </w:t>
      </w:r>
      <w:r w:rsidRPr="00F7475D">
        <w:rPr>
          <w:rFonts w:ascii="Garamond" w:hAnsi="Garamond" w:cs="Arial"/>
          <w:color w:val="000000"/>
          <w:lang w:val="en-GB"/>
        </w:rPr>
        <w:lastRenderedPageBreak/>
        <w:t>erzielen. Aber so wenig wir darauf rechnen, bei unseren Maschinen mehr als einen gewissen Bruchteil der aufgewendeten Wärme in nutzbare mechanische Arbeit zu verwandeln, so wenig sollten wir es anstreben, den Sexualtrieb in seinem ganzen Energieausmaß seinen eigentlichen Zwecken zu entfremden. Es kann nicht gelingen, und wenn die Einschränkung der Sexualität zu weit getrieben werden soll, muß es alle Schädigungen eines Raubbaues mit sich bringen.</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 xml:space="preserve">Ich weiß nicht, ob Sie nicht Ihrerseits die Mahnung, mit welcher ich schließe, als eine Überhebung auffassen werden. Ich getraue mich nur der indirekten Darstellung meiner Überzeugung, indem ich Ihnen einen alten Schwank erzähle, von dem Sie die Nutzanwendung machen sollen. Die deutsche Literatur kennt ein Städtchen </w:t>
      </w:r>
      <w:r w:rsidRPr="00F7475D">
        <w:rPr>
          <w:rFonts w:ascii="Garamond" w:hAnsi="Garamond" w:cs="Arial"/>
          <w:i/>
          <w:iCs/>
          <w:color w:val="000000"/>
          <w:lang w:val="en-GB"/>
        </w:rPr>
        <w:t>Schilda</w:t>
      </w:r>
      <w:r w:rsidRPr="00F7475D">
        <w:rPr>
          <w:rFonts w:ascii="Garamond" w:hAnsi="Garamond" w:cs="Arial"/>
          <w:color w:val="000000"/>
          <w:lang w:val="en-GB"/>
        </w:rPr>
        <w:t>, dessen Einwohnern alle möglichen klugen Streiche nachgesagt werden. Die Schildbürger, so wird erzählt, besaßen auch ein Pferd, mit dessen Kraftleistungen sie sehr zufrieden waren, an dem sie nur eines auszusetzen hatten, daß es soviel teuern Hafer verzehrte. Sie beschlossen, ihm diese Unart schonend abzugewöhnen, indem sie seine Ration täglich um mehrere Halme verringerten, bis sie es an die völlige Enthaltsamkeit gewöhnt hatten. Es ging eine Weile vortrefflich, das Pferd war bis auf einen Halm im Tag entwöhnt, am nächsten Tage sollte es endlich haferfrei arbeiten. Am Morgen dieses Tages wurde das tückische Tier tot aufgefunden; die Bürger von Schilda konnten sich nicht erklären, woran es gestorben war.</w:t>
      </w:r>
    </w:p>
    <w:p w:rsidR="002E0E50" w:rsidRPr="00F7475D" w:rsidRDefault="002E0E50" w:rsidP="002E0E50">
      <w:pPr>
        <w:rPr>
          <w:rFonts w:ascii="Garamond" w:hAnsi="Garamond" w:cs="Arial"/>
          <w:color w:val="000000"/>
          <w:lang w:val="en-GB"/>
        </w:rPr>
      </w:pPr>
      <w:r w:rsidRPr="00F7475D">
        <w:rPr>
          <w:rFonts w:ascii="Garamond" w:hAnsi="Garamond" w:cs="Arial"/>
          <w:color w:val="000000"/>
          <w:lang w:val="en-GB"/>
        </w:rPr>
        <w:t>Wir werden geneigt sein zu glauben, das Pferd sei verhungert, und ohne eine gewisse Ration Hafer sei von einem Tier überhaupt keine Arbeitsleistung zu erwarten.</w:t>
      </w:r>
    </w:p>
    <w:p w:rsidR="0091528C" w:rsidRDefault="002E0E50" w:rsidP="002E0E50">
      <w:pPr>
        <w:rPr>
          <w:rFonts w:ascii="Garamond" w:hAnsi="Garamond" w:cs="Arial"/>
          <w:color w:val="000000"/>
          <w:lang w:val="en-GB"/>
        </w:rPr>
      </w:pPr>
      <w:r w:rsidRPr="00F7475D">
        <w:rPr>
          <w:rFonts w:ascii="Garamond" w:hAnsi="Garamond" w:cs="Arial"/>
          <w:color w:val="000000"/>
          <w:lang w:val="en-GB"/>
        </w:rPr>
        <w:t>Ich danke Ihnen für die Berufung und für die Aufmerksamkeit, die Sie mir geschenkt haben.</w:t>
      </w:r>
    </w:p>
    <w:p w:rsidR="0091528C" w:rsidRDefault="0091528C">
      <w:pPr>
        <w:rPr>
          <w:rFonts w:ascii="Garamond" w:hAnsi="Garamond" w:cs="Arial"/>
          <w:color w:val="000000"/>
          <w:lang w:val="en-GB"/>
        </w:rPr>
      </w:pPr>
      <w:r>
        <w:rPr>
          <w:rFonts w:ascii="Garamond" w:hAnsi="Garamond" w:cs="Arial"/>
          <w:color w:val="000000"/>
          <w:lang w:val="en-GB"/>
        </w:rPr>
        <w:br w:type="page"/>
      </w:r>
    </w:p>
    <w:p w:rsidR="0091528C" w:rsidRPr="005C1841" w:rsidRDefault="0091528C" w:rsidP="0091528C">
      <w:pPr>
        <w:rPr>
          <w:rFonts w:ascii="Garamond" w:hAnsi="Garamond"/>
          <w:lang w:val="en-US"/>
        </w:rPr>
      </w:pPr>
    </w:p>
    <w:p w:rsidR="0091528C" w:rsidRPr="00327933" w:rsidRDefault="00B437A1" w:rsidP="0091528C">
      <w:pPr>
        <w:rPr>
          <w:rFonts w:ascii="Garamond" w:hAnsi="Garamond" w:cs="Arial"/>
          <w:b/>
          <w:bCs/>
          <w:color w:val="000000"/>
        </w:rPr>
      </w:pPr>
      <w:hyperlink w:anchor="KSinhalt" w:history="1">
        <w:r w:rsidR="0091528C" w:rsidRPr="0091528C">
          <w:rPr>
            <w:rStyle w:val="Lienhypertexte"/>
            <w:rFonts w:ascii="Garamond" w:hAnsi="Garamond" w:cs="Arial"/>
            <w:b/>
            <w:bCs/>
          </w:rPr>
          <w:t>Zu</w:t>
        </w:r>
        <w:bookmarkStart w:id="336" w:name="KS81"/>
        <w:bookmarkEnd w:id="336"/>
        <w:r w:rsidR="0091528C" w:rsidRPr="0091528C">
          <w:rPr>
            <w:rStyle w:val="Lienhypertexte"/>
            <w:rFonts w:ascii="Garamond" w:hAnsi="Garamond" w:cs="Arial"/>
            <w:b/>
            <w:bCs/>
          </w:rPr>
          <w:t>r Psychotherapie der Hysterie</w:t>
        </w:r>
      </w:hyperlink>
      <w:r w:rsidR="0091528C">
        <w:rPr>
          <w:rFonts w:ascii="Garamond" w:hAnsi="Garamond" w:cs="Arial"/>
          <w:b/>
          <w:bCs/>
          <w:color w:val="000000"/>
        </w:rPr>
        <w:t xml:space="preserve"> </w:t>
      </w:r>
      <w:r w:rsidR="0091528C" w:rsidRPr="00327933">
        <w:rPr>
          <w:rFonts w:ascii="Garamond" w:hAnsi="Garamond" w:cs="Arial"/>
          <w:b/>
          <w:bCs/>
          <w:color w:val="000000"/>
        </w:rPr>
        <w:t>(1895)</w:t>
      </w:r>
    </w:p>
    <w:p w:rsidR="0091528C" w:rsidRPr="00327933" w:rsidRDefault="0091528C" w:rsidP="0091528C">
      <w:pPr>
        <w:rPr>
          <w:rFonts w:ascii="Garamond" w:hAnsi="Garamond" w:cs="Arial"/>
          <w:b/>
          <w:bCs/>
          <w:color w:val="A9A9A9"/>
        </w:rPr>
      </w:pPr>
      <w:r w:rsidRPr="00327933">
        <w:rPr>
          <w:rFonts w:ascii="Garamond" w:hAnsi="Garamond" w:cs="Arial"/>
          <w:b/>
          <w:bCs/>
          <w:color w:val="A9A9A9"/>
        </w:rPr>
        <w:t>[Aus: Studien über Hysterie (1893-95)]</w:t>
      </w:r>
    </w:p>
    <w:p w:rsidR="0091528C" w:rsidRDefault="0091528C" w:rsidP="0091528C">
      <w:pPr>
        <w:rPr>
          <w:rFonts w:ascii="Garamond" w:hAnsi="Garamond" w:cs="Arial"/>
          <w:color w:val="000000"/>
        </w:rPr>
      </w:pPr>
    </w:p>
    <w:p w:rsidR="0091528C" w:rsidRPr="00327933" w:rsidRDefault="0091528C" w:rsidP="0091528C">
      <w:pPr>
        <w:rPr>
          <w:rFonts w:ascii="Garamond" w:hAnsi="Garamond" w:cs="Arial"/>
          <w:color w:val="000000"/>
        </w:rPr>
      </w:pPr>
      <w:r w:rsidRPr="00327933">
        <w:rPr>
          <w:rFonts w:ascii="Garamond" w:hAnsi="Garamond" w:cs="Arial"/>
          <w:color w:val="000000"/>
        </w:rPr>
        <w:t xml:space="preserve">Wir haben in der ›Vorläufigen Mitteilung‹ berichtet, daß sich uns während der Forschung nach der Ätiologie hysterischer Symptome auch eine therapeutische Methode ergeben hat, die wir für praktisch bedeutsam halten. » </w:t>
      </w:r>
      <w:r w:rsidRPr="00327933">
        <w:rPr>
          <w:rFonts w:ascii="Garamond" w:hAnsi="Garamond" w:cs="Arial"/>
          <w:i/>
          <w:iCs/>
          <w:color w:val="000000"/>
        </w:rPr>
        <w:t>Wir fanden nämlich, anfangs zu unserer größten Überraschung, daß die einzelnen hysterischen Symptome sogleich und ohne Wiederkehr verschwanden, wenn es gelungen war, die Erinnerung an den veranlassenden Vorgang zu voller Helligkeit zu erwecken, damit auch den begleitenden Affekt wachzurufen, und wenn dann der Kranke den Vorgang in möglichst ausführlicher Weise schilderte und dem Affekt Worte gab</w:t>
      </w:r>
      <w:r w:rsidRPr="00327933">
        <w:rPr>
          <w:rFonts w:ascii="Garamond" w:hAnsi="Garamond" w:cs="Arial"/>
          <w:color w:val="000000"/>
        </w:rPr>
        <w:t>« (S. 85).</w:t>
      </w:r>
    </w:p>
    <w:p w:rsidR="0091528C" w:rsidRPr="00327933" w:rsidRDefault="0091528C" w:rsidP="0091528C">
      <w:pPr>
        <w:rPr>
          <w:rFonts w:ascii="Garamond" w:hAnsi="Garamond" w:cs="Arial"/>
          <w:color w:val="000000"/>
        </w:rPr>
      </w:pPr>
      <w:r w:rsidRPr="00327933">
        <w:rPr>
          <w:rFonts w:ascii="Garamond" w:hAnsi="Garamond" w:cs="Arial"/>
          <w:color w:val="000000"/>
        </w:rPr>
        <w:t xml:space="preserve">Wir suchten uns ferner verständlich zu machen, auf welche Weise unsere psychotherapeutische Methode wirke: » </w:t>
      </w:r>
      <w:r w:rsidRPr="00327933">
        <w:rPr>
          <w:rFonts w:ascii="Garamond" w:hAnsi="Garamond" w:cs="Arial"/>
          <w:i/>
          <w:iCs/>
          <w:color w:val="000000"/>
        </w:rPr>
        <w:t>Sie hebt die Wirksamkeit der ursprünglich nicht abreagierten Vorstellung dadurch auf, daß sie dem eingeklemmten Affekte derselben den Ablauf durch die Rede gestattet, und bringt sie zur assoziativen Korrektur, indem sie dieselbe ins normale Bewußtsein zieht (in leichterer Hypnose) oder durch ärztliche Suggestion aufhebt, wie es im Somnambulismus mit Amnesie geschieht</w:t>
      </w:r>
      <w:r w:rsidRPr="00327933">
        <w:rPr>
          <w:rFonts w:ascii="Garamond" w:hAnsi="Garamond" w:cs="Arial"/>
          <w:color w:val="000000"/>
        </w:rPr>
        <w:t>« (S. 97).</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Ich will nun versuchen, im Zusammenhange darzutun, wie weit diese Methode trägt, um was sie mehr als andere leistet, mit welcher Technik und mit welchen Schwierigkeiten sie arbeitet, wenngleich das Wesentliche hierüber bereits in den voranstehenden Krankengeschichten enthalten ist und ich es nicht vermeiden kann,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in dieser Darstellung zu wiederholen.</w:t>
      </w:r>
    </w:p>
    <w:p w:rsidR="0091528C" w:rsidRPr="00327933" w:rsidRDefault="0091528C" w:rsidP="0091528C">
      <w:pPr>
        <w:rPr>
          <w:rFonts w:ascii="Garamond" w:hAnsi="Garamond" w:cs="Arial"/>
          <w:b/>
          <w:bCs/>
          <w:color w:val="000000"/>
          <w:lang w:val="en-GB"/>
        </w:rPr>
      </w:pPr>
      <w:r w:rsidRPr="00327933">
        <w:rPr>
          <w:rFonts w:ascii="Garamond" w:hAnsi="Garamond" w:cs="Arial"/>
          <w:b/>
          <w:bCs/>
          <w:color w:val="000000"/>
          <w:lang w:val="en-GB"/>
        </w:rPr>
        <w:t>1</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Ich darf auch für meinen Teil sagen, daß ich am Inhalte der ›Vorläufigen Mitteilung‹ festhalten kann; jedoch muß ich eingestehen, daß sich mir in den seither verflossenen Jahren – bei unausgesetzter Beschäftigung mit den dort berührten Problemen – neue Gesichtspunkte aufgedrängt haben, die eine wenigstens zum Teil andersartige Gruppierung und Auffassung des damals bekannten Materiales an Tatsachen zur Folge hatten. Es wäre unrecht, wenn ich versuchen wollte, meinem verehrten Freunde J. Breuer zuviel von der Verantwortlichkeit für diese Entwicklung aufzubürden. Die folgenden Ausführungen bringe ich daher vorwiegend im eigenen Namen.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Als ich versuchte, die Breuersche Methode der Heilung hysterischer Symptome durch Ausforschung und Abreagieren in der Hypnose an einer größeren Reihe von Kranken zu verwenden, stießen mir zwei Schwierigkeiten auf, in deren Verfolgung ich zu einer Abänderung der Technik wie der Auffassung gelangte. (1) Es waren nicht alle Personen hypnotisierbar, die unzweifelhaft hysterische Symptome zeigten und bei denen höchstwahrscheinlich derselbe psychische Mechanismus obwaltete; (2) ich mußte Stellung zu der Frage nehmen, was denn wesentlich die Hysterie charakterisiert und wodurch sich dieselbe gegen andere Neurosen abgrenzt.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Ich verschiebe es auf später mitzuteilen, wie ich die erstere Schwierigkeit bewältigt und was ich aus ihr gelernt habe. Ich gehe zunächst darauf ein, wie ich in der täglichen Praxis gegen das zweite Problem Stellung nahm. Es ist sehr schwierig, einen Fall von Neurose richtig zu durchschauen, ehe man ihn einer gründlichen Analyse unterzogen hat; einer Analyse, wie sie eben nur bei Anwendung der Breuerschen Methode resultiert. Die Entscheidung über Diagnose und Art der Therapie muß aber </w:t>
      </w:r>
      <w:r w:rsidRPr="00327933">
        <w:rPr>
          <w:rFonts w:ascii="Garamond" w:hAnsi="Garamond" w:cs="Arial"/>
          <w:i/>
          <w:iCs/>
          <w:color w:val="000000"/>
          <w:lang w:val="en-GB"/>
        </w:rPr>
        <w:t>vor</w:t>
      </w:r>
      <w:r w:rsidRPr="00327933">
        <w:rPr>
          <w:rFonts w:ascii="Garamond" w:hAnsi="Garamond" w:cs="Arial"/>
          <w:color w:val="000000"/>
          <w:lang w:val="en-GB"/>
        </w:rPr>
        <w:t xml:space="preserve"> einer solchen gründlichen Kenntnis gefällt werden. Es blieb mir also nichts übrig, als solche Fälle für die kathartische Methode auszuwählen, die man vorläufig als Hysterie diagnostizieren konnte, die einzelne oder mehrere von den Stigmen oder charakteristischen Symptomen der Hysterie erkennen ließen. Dann ereignete es sich </w:t>
      </w:r>
      <w:r w:rsidRPr="00327933">
        <w:rPr>
          <w:rFonts w:ascii="Garamond" w:hAnsi="Garamond" w:cs="Arial"/>
          <w:color w:val="000000"/>
          <w:lang w:val="en-GB"/>
        </w:rPr>
        <w:lastRenderedPageBreak/>
        <w:t xml:space="preserve">manchmal, daß die therapeutischen Ergebnisse trotz der Hysteriediagnose recht armselig ausfielen, daß selbst die Analyse nichts Bedeutsames zutage förderte. Andere Male versuchte ich Neurosen mit der Breuerschen Methode zu behandeln, die gewiß niemandem als Hysterie imponiert hätten, und ich fand, daß sie auf diese Weise zu beeinflussen, ja selbst zu lösen waren. So ging es mir z. B. mit den Zwangsvorstellungen, den echten Zwangsvorstellungen nach Westphalschem Muster, in Fällen, die nicht durch </w:t>
      </w:r>
      <w:r w:rsidRPr="00327933">
        <w:rPr>
          <w:rFonts w:ascii="Garamond" w:hAnsi="Garamond" w:cs="Arial"/>
          <w:i/>
          <w:iCs/>
          <w:color w:val="000000"/>
          <w:lang w:val="en-GB"/>
        </w:rPr>
        <w:t>einen</w:t>
      </w:r>
      <w:r w:rsidRPr="00327933">
        <w:rPr>
          <w:rFonts w:ascii="Garamond" w:hAnsi="Garamond" w:cs="Arial"/>
          <w:color w:val="000000"/>
          <w:lang w:val="en-GB"/>
        </w:rPr>
        <w:t xml:space="preserve"> Zug an Hysterie erinnerten. Somit konnte der psychische Mechanismus, den die ›Vorläufige Mitteilung‹ aufgedeckt hatte, nicht für Hysterie pathognomonisch sein; ich konnte mich auch nicht entschließen, diesem Mechanismus zuliebe etwa soviel andere Neurosen in einen Topf mit der Hysterie zu werfen. Aus all den angeregten Zweifeln riß mich endlich der Plan, alle anderen in Frage kommenden Neurosen ähnlich wie die Hysterie zu behandeln, überall nach der Ätiologie und nach der Art des psychischen Mechanismus zu forschen und die Entscheidung über die Berechtigung der Hysteriediagnose von dem Ausfalle dieser Untersuchung abhängen zu lassen.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So gelangte ich, von der Breuerschen Methode ausgehend, dazu,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mit der Ätiologie und dem Mechanismus der Neurosen überhaupt zu beschäftigen. Ich hatte dann das Glück, in verhältnismäßig kurzer Zeit bei brauchbaren Ergebnissen anzukommen. Es drängte sich mir zunächst die Erkenntnis auf, daß, insofern man von einer Verursachung sprechen könne, durch welche Neurosen </w:t>
      </w:r>
      <w:r w:rsidRPr="00327933">
        <w:rPr>
          <w:rFonts w:ascii="Garamond" w:hAnsi="Garamond" w:cs="Arial"/>
          <w:i/>
          <w:iCs/>
          <w:color w:val="000000"/>
          <w:lang w:val="en-GB"/>
        </w:rPr>
        <w:t>erworben</w:t>
      </w:r>
      <w:r w:rsidRPr="00327933">
        <w:rPr>
          <w:rFonts w:ascii="Garamond" w:hAnsi="Garamond" w:cs="Arial"/>
          <w:color w:val="000000"/>
          <w:lang w:val="en-GB"/>
        </w:rPr>
        <w:t xml:space="preserve"> würden, die Ätiologie in </w:t>
      </w:r>
      <w:r w:rsidRPr="00327933">
        <w:rPr>
          <w:rFonts w:ascii="Garamond" w:hAnsi="Garamond" w:cs="Arial"/>
          <w:i/>
          <w:iCs/>
          <w:color w:val="000000"/>
          <w:lang w:val="en-GB"/>
        </w:rPr>
        <w:t>sexuellen</w:t>
      </w:r>
      <w:r w:rsidRPr="00327933">
        <w:rPr>
          <w:rFonts w:ascii="Garamond" w:hAnsi="Garamond" w:cs="Arial"/>
          <w:color w:val="000000"/>
          <w:lang w:val="en-GB"/>
        </w:rPr>
        <w:t xml:space="preserve"> Momenten zu suchen sei. Daran reihte sich der Befund, daß verschiedene sexuelle Momente, ganz allgemein genommen, auch verschiedene Bilder von neurotischen Erkrankungen erzeugen. Und nun konnte man, in dem Maße, als sich das letztere Verhältnis bestätigte, auch wagen, die Ätiologie zur Charakteristik der Neurosen zu verwerten und eine scharfe Scheidung der Krankheitsbilder der Neurosen aufzustellen. Trafen ätiologische Charaktere mit klinischen konstant zusammen, so war dies ja gerechtfertigt.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Auf diese Weise ergab sich mir, daß der </w:t>
      </w:r>
      <w:r w:rsidRPr="00327933">
        <w:rPr>
          <w:rFonts w:ascii="Garamond" w:hAnsi="Garamond" w:cs="Arial"/>
          <w:i/>
          <w:iCs/>
          <w:color w:val="000000"/>
          <w:lang w:val="en-GB"/>
        </w:rPr>
        <w:t>Neurasthenie</w:t>
      </w:r>
      <w:r w:rsidRPr="00327933">
        <w:rPr>
          <w:rFonts w:ascii="Garamond" w:hAnsi="Garamond" w:cs="Arial"/>
          <w:color w:val="000000"/>
          <w:lang w:val="en-GB"/>
        </w:rPr>
        <w:t xml:space="preserve"> eigentlich ein monotones Krankheitsbild entspreche, in welchem, wie Analysen zeigten, ein »psychischer Mechanismus« keine Rolle spiele. Von der Neurasthenie trennte sich scharf ab die </w:t>
      </w:r>
      <w:r w:rsidRPr="00327933">
        <w:rPr>
          <w:rFonts w:ascii="Garamond" w:hAnsi="Garamond" w:cs="Arial"/>
          <w:i/>
          <w:iCs/>
          <w:color w:val="000000"/>
          <w:lang w:val="en-GB"/>
        </w:rPr>
        <w:t>Zwangsneurose,</w:t>
      </w:r>
      <w:r w:rsidRPr="00327933">
        <w:rPr>
          <w:rFonts w:ascii="Garamond" w:hAnsi="Garamond" w:cs="Arial"/>
          <w:color w:val="000000"/>
          <w:lang w:val="en-GB"/>
        </w:rPr>
        <w:t xml:space="preserve"> die Neurose der echten Zwangsvorstellungen, für die sich ein komplizierter psychischer Mechanismus, eine der hysterischen ähnliche Ätiologie und eine weitreichende Möglichkeit der Rückbildung durch Psychotherapie erkennen ließen. Anderseits schien es mir unbedenklich geboten, von der Neurasthenie einen neurotischen Symptomenkomplex abzusondern, der von einer ganz abweichenden, ja, im Grunde genommen gegensätzlichen Ätiologie abhängt, während die Teilsymptome dieses Komplexes durch einen schon von E. Hecker (1893) erkannten Charakter zusammengehalten werden. Sie sind nämlich entweder Symptome oder Äquivalente und Rudimente von </w:t>
      </w:r>
      <w:r w:rsidRPr="00327933">
        <w:rPr>
          <w:rFonts w:ascii="Garamond" w:hAnsi="Garamond" w:cs="Arial"/>
          <w:i/>
          <w:iCs/>
          <w:color w:val="000000"/>
          <w:lang w:val="en-GB"/>
        </w:rPr>
        <w:t>Angstäußerungen</w:t>
      </w:r>
      <w:r w:rsidRPr="00327933">
        <w:rPr>
          <w:rFonts w:ascii="Garamond" w:hAnsi="Garamond" w:cs="Arial"/>
          <w:color w:val="000000"/>
          <w:lang w:val="en-GB"/>
        </w:rPr>
        <w:t xml:space="preserve">, und ich habe darum diesen von der Neurasthenie abzutrennenden Komplex </w:t>
      </w:r>
      <w:r w:rsidRPr="00327933">
        <w:rPr>
          <w:rFonts w:ascii="Garamond" w:hAnsi="Garamond" w:cs="Arial"/>
          <w:i/>
          <w:iCs/>
          <w:color w:val="000000"/>
          <w:lang w:val="en-GB"/>
        </w:rPr>
        <w:t>Angstneurose</w:t>
      </w:r>
      <w:r w:rsidRPr="00327933">
        <w:rPr>
          <w:rFonts w:ascii="Garamond" w:hAnsi="Garamond" w:cs="Arial"/>
          <w:color w:val="000000"/>
          <w:lang w:val="en-GB"/>
        </w:rPr>
        <w:t xml:space="preserve"> geheißen. Ich habe von ihm behauptet, er käme durch die Anhäufung physischer Spannung zustande, die selbst wieder sexualer Herkunft ist; diese Neurose hat auch noch keinen psychischen Mechanismus, beeinflußt aber ganz regelmäßig das psychische Leben, so daß »ängstliche Erwartung«, Phobien, Hyperästhesie gegen Schmerzen u. a. zu ihren regelmäßigen Äußerungen gehören. Diese Angstneurose in meinem Sinne deckt sich gewiß teilweise mit der Neurose, die unter dem Namen »Hypochondrie« in so manchen Darstellungen neben Hysterie und Neurasthenie anerkannt wird; nur daß ich in keiner der vorliegenden Bearbeitungen die Abgrenzung dieser Neurose für die richtige halten kann und daß ich die Brauchbarkeit des Namens Hypochondrie durch dessen feste Beziehung auf das Symptom der »Krankheitsfurcht« beeinträchtigt finde.</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Nachdem ich mir so die einfachen Bilder der Neurasthenie, der Angstneurose und der Zwangsvorstellungen fixiert hatte, ging ich an die Auffassung der gemeinhin vorkommenden Fälle von Neurosen heran, die bei der Diagnose Hysterie in Betracht kommen. Ich mußte mir jetzt sagen, daß es nicht angeht, eine Neurose im ganzen zur hysterischen zu stempeln, weil aus ihrem Symptomenkomplex einige hysterische Zeichen hervorleuchten. Ich konnte mir diese Übung sehr wohl erklären, da doch die Hysterie die älteste, die bestbekannte und die auffälligste der in Betracht kommenden Neurosen ist; aber </w:t>
      </w:r>
      <w:r w:rsidRPr="00327933">
        <w:rPr>
          <w:rFonts w:ascii="Garamond" w:hAnsi="Garamond" w:cs="Arial"/>
          <w:color w:val="000000"/>
          <w:lang w:val="en-GB"/>
        </w:rPr>
        <w:lastRenderedPageBreak/>
        <w:t xml:space="preserve">es war doch ein Mißbrauch, derselbe, der auf die Rechnung der Hysterie so viele Züge von Perversion und Degeneration hatte setzen lassen. Sooft in einem komplizierten Falle von psychischer Entartung ein hysterisches Anzeichen, eine Anästhesie, eine charakteristische Attacke zu entdecken war, hatte man das Ganze »Hysterie« genannt und konnte dann freilich das Ärgste und das Widersprechendste unter dieser Etikette vereinigt finden. So gewiß </w:t>
      </w:r>
      <w:r w:rsidRPr="00327933">
        <w:rPr>
          <w:rFonts w:ascii="Garamond" w:hAnsi="Garamond" w:cs="Arial"/>
          <w:i/>
          <w:iCs/>
          <w:color w:val="000000"/>
          <w:lang w:val="en-GB"/>
        </w:rPr>
        <w:t>diese</w:t>
      </w:r>
      <w:r w:rsidRPr="00327933">
        <w:rPr>
          <w:rFonts w:ascii="Garamond" w:hAnsi="Garamond" w:cs="Arial"/>
          <w:color w:val="000000"/>
          <w:lang w:val="en-GB"/>
        </w:rPr>
        <w:t xml:space="preserve"> Diagnostik unrecht war, so gewiß durfte man auch nach der neurotischen Seite hin sondern, und da man Neurasthenie, Angstneurose u. dgl. im reinen Zustande kannte, brauchte man sie in der Kombination nicht mehr zu übersehen.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Es schien also folgende Auffassung die berechtigtere: Die gewöhnlich vorkommenden Neurosen sind meist als »gemischte« zu bezeichnen; von der Neurasthenie und der Angstneurose findet man ohne Mühe auch reine Formen, am ehesten bei jugendlichen Personen. Von Hysterie und Zwangsneurose sind reine Fälle selten, für gewöhnlich sind diese beiden Neurosen mit einer Angstneurose kombiniert. Dies so häufige Vorkommen von gemischten Neurosen rührt daher, daß deren ätiologische Momente sich so häufig vermengen; bald nur zufälligerweise, bald infolge von kausalen Beziehungen zwischen den Vorgängen, aus denen die ätiologischen Momente der Neurosen fließen. Dies läßt sich unschwer im einzelnen durchführen und erweisen; für die Hysterie folgt aber hieraus, daß es kaum möglich ist, sie für die Betrachtung aus dem Zusammenhange der Sexualneurosen zu reißen; daß sie in der Regel nur eine Seite, einen Aspekt des komplizierten neurotischen Falles darstellt und daß sie nur gleichsam im Grenzfalle als isolierte Neurose gefunden und behandelt werden kann. Man darf etwa in einer Reihe von Fällen sagen: </w:t>
      </w:r>
      <w:r w:rsidRPr="00327933">
        <w:rPr>
          <w:rFonts w:ascii="Garamond" w:hAnsi="Garamond" w:cs="Arial"/>
          <w:i/>
          <w:iCs/>
          <w:color w:val="000000"/>
          <w:lang w:val="en-GB"/>
        </w:rPr>
        <w:t>a potiori fit denominatio</w:t>
      </w:r>
      <w:r w:rsidRPr="00327933">
        <w:rPr>
          <w:rFonts w:ascii="Garamond" w:hAnsi="Garamond" w:cs="Arial"/>
          <w:color w:val="000000"/>
          <w:lang w:val="en-GB"/>
        </w:rPr>
        <w: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Ich will die hier mitgeteilten Krankengeschichten daraufhin prüfen, ob sie meiner Auffassung von der klinischen Unselbständigkeit der Hysterie das Wort reden. Anna O., die Kranke Breuers, scheint dem zu widersprechen und eine rein hysterische Erkrankung zu erläutern. Allein dieser Fall, der so fruchtbar für die Erkenntnis der Hysterie geworden ist, wurde von seinem Beobachter gar nicht unter den Gesichtspunkt der Sexualneurose gebracht und ist heute einfach für diesen nicht zu verwerten. Als ich die zweite Kranke, Frau Emmy v. N., zu analysieren begann, lag mir die Erwartung einer Sexualneurose als Boden für die Hysterie ziemlich ferne; ich war frisch aus der Schule Charcots gekommen und betrachtete die Verknüpfung einer Hysterie mit dem Thema der Sexualität als eine Art von Schimpf – ähnlich wie die Patientinnen selbst es pflegen. Wenn ich heute meine Notizen über diesen Fall überblicke, ist es mir ganz unzweifelhaft, daß ich einen Fall einer schweren Angstneurose mit ängstlicher Erwartung und Phobien anerkennen muß, die aus der sexuellen Abstinenz stammte und sich mit Hysterie kombiniert hatte.</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Fall 3, der Fall der Miß Lucy R., ist vielleicht am ehesten ein Grenzfall von reiner Hysterie zu nennen, es ist eine kurze, episodisch verlaufende Hysterie bei unverkennbar sexueller Ätiologie, wie sie einer Angstneurose entsprechen würde; ein überreifes, liebebedürftiges Mädchen, dessen Neigung zu rasch durch ein Mißverständnis erweckt wird. Allein die Angstneurose war nicht nachzuweisen oder ist mir entgangen. Fall 4, Katharina, ist geradezu ein Vorbild dessen, was ich virginale Angst genannt habe; es ist eine Kombination von Angstneurose und Hysterie; die erstere schafft die Symptome, die letztere wiederholt sie und arbeitet mit ihnen. Übrigens ein typischer Fall für so viele, »Hysterie« genannte, jugendliche Neurosen. Fall 5, der des Fräuleins Elisabeth v. R., ist wiederum nicht als Sexualneurose erforscht; einen Verdacht, daß eine Spinalneurasthenie die Grundlage gebildet habe, konnte ich nur äußern und nicht bestätigen. Ich muß aber hinzufügen, seither sind die reinen Hysterien in meiner Erfahrung noch seltener geworden; wenn ich diese vier Fälle als Hysterie zusammenstellen und bei ihrer Erörterung von den für Sexualneurosen maßgebenden Gesichtspunkten absehen konnte, so liegt der Grund darin, daß es ältere Fälle sind, bei denen ich die absichtliche und dringende Forschung nach der neurotischen sexualen Unterlage noch nicht durchgeführt hatte. Und wenn ich anstatt dieser vier Fälle nicht zwölf mitgeteilt habe, aus deren Analyse eine Bestätigung des von uns behaupteten psychischen Mechanismus hysterischer Phänomene zu gewinnen ist, so nötigte mich zur Enthaltung nur der Umstand, daß die Analyse diese Krankheitsfälle gleichzeitig als Sexualneurosen enthüllte, obwohl ihnen den </w:t>
      </w:r>
      <w:r w:rsidRPr="00327933">
        <w:rPr>
          <w:rFonts w:ascii="Garamond" w:hAnsi="Garamond" w:cs="Arial"/>
          <w:color w:val="000000"/>
          <w:lang w:val="en-GB"/>
        </w:rPr>
        <w:lastRenderedPageBreak/>
        <w:t>»Namen« Hysterie gewiß kein Diagnostiker verweigert hätte. Die Aufklärung solcher Sexualneurosen überschreitet aber den Rahmen dieser unserer gemeinsamen Veröffentlichung.</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Ich möchte nicht dahin mißverstanden werden, als ob ich die Hysterie nicht als selbständige neurotische Affektion gelten lassen wollte, als erfaßte ich sie bloß als psychische Äußerung der Angstneurose, als schriebe ich ihr bloß »ideogene« Symptome zu und zöge die somatischen Symptome (hysterogene Punkte, Anästhesien) zur Angstneurose hinüber. Nichts von alledem; ich meine, man kann in jeder Hinsicht die von allen Beimengungen gereinigte Hysterie selbständig abhandeln, nur nicht in Hinsicht der Therapie. Denn bei der Therapie handelt es sich um praktische Ziele, um die Beseitigung des gesamten leidenden Zustandes, und wenn die Hysterie zumeist als Komponente einer gemischten Neurose vorkommt, so liegt der Fall wohl ähnlich wie bei den Mischinfektionen, wo die Erhaltung des Lebens sich als Aufgabe stellt, die nicht mit der Bekämpfung der Wirkung des einen Krankheitserregers zusammenfällt.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Es ist mir darum so wichtig, den Anteil der Hysterie an den Bildern der gemischten Neurosen von dem der Neurasthenie, Angstneurose usw. zu sondern, weil ich nach dieser Trennung einen knappen Ausdruck für den therapeutischen Wert der kathartischen Methode geben kann. Ich möchte mich nämlich der Behauptung getrauen, daß sie – prinzipiell – sehr wohl imstande ist, jedes beliebige hysterische Symptom zu beseitigen, während sie, wie leicht ersichtlich, völlig machtlos ist gegen Phänomene der Neurasthenie und nur selten und auf Umwegen die psychischen Folgen der Angstneurose beeinflußt. Ihre therapeutische Wirksamkeit wird also im einzelnen Falle davon abhängen, ob die hysterische Komponente des Krankheitsbildes eine praktisch bedeutsame Stelle im Vergleich zu den anderen neurotischen Komponenten beanspruchen darf oder nicht.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Auch eine zweite Schranke ist der Wirksamkeit der kathartischen Methode gesetzt, auf welche wir bereits in der ›Vorläufigen Mitteilung‹ hingewiesen haben. Sie beeinflußt nicht die kausalen Bedingungen der Hysterie, kann also nicht verhindern, daß an der Stelle der beseitigten Symptome neue entstehen. Im ganzen also muß ich für unsere therapeutische Methode einen hervorragenden Platz innerhalb des Rahmens einer Therapie der Neurosen beanspruchen, möchte aber davon abraten, sie außerhalb dieses Zusammenhanges zu würdigen oder in Anwendung zu ziehen. Da ich an dieser Stelle eine »Therapie der Neurosen«, wie sie dem ausübenden Arzte vonnöten wäre, nicht geben kann, stellen sich die vorstehenden Äußerungen einer aufschiebenden Verweisung auf etwaige spätere Mitteilungen gleich; doch meine ich, zur Ausführung und Erläuterung noch folgende Bemerkungen anschließen zu können: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(1) Ich behaupte nicht, daß ich sämtliche hysterische Symptome, die ich mit der kathartischen Methode zu beeinflussen übernahm, auch wirklich beseitigt habe. Aber ich meine, die Hindernisse lagen an persönlichen Umständen der Fälle und waren nicht prinzipieller Natur. Ich darf diese Fälle von Mißglücken bei einer Urteilsfällung außer Betracht lassen, wie der Chirurg Fälle von Tod in der Narkose, durch Nachblutung, zufällige Sepsis u. dgl. bei der Entscheidung über eine neue Technik beiseite schiebt. Wenn ich später von den Schwierigkeiten und Übelständen des Verfahrens handeln werde, sollen die Mißerfolge solcher Herkunft nochmals gewürdigt werden.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(2) Die kathartische Methode wird darum nicht wertlos, weil sie eine </w:t>
      </w:r>
      <w:r w:rsidRPr="00327933">
        <w:rPr>
          <w:rFonts w:ascii="Garamond" w:hAnsi="Garamond" w:cs="Arial"/>
          <w:i/>
          <w:iCs/>
          <w:color w:val="000000"/>
          <w:lang w:val="en-GB"/>
        </w:rPr>
        <w:t>symptomatische</w:t>
      </w:r>
      <w:r w:rsidRPr="00327933">
        <w:rPr>
          <w:rFonts w:ascii="Garamond" w:hAnsi="Garamond" w:cs="Arial"/>
          <w:color w:val="000000"/>
          <w:lang w:val="en-GB"/>
        </w:rPr>
        <w:t xml:space="preserve"> und keine </w:t>
      </w:r>
      <w:r w:rsidRPr="00327933">
        <w:rPr>
          <w:rFonts w:ascii="Garamond" w:hAnsi="Garamond" w:cs="Arial"/>
          <w:i/>
          <w:iCs/>
          <w:color w:val="000000"/>
          <w:lang w:val="en-GB"/>
        </w:rPr>
        <w:t>kausale</w:t>
      </w:r>
      <w:r w:rsidRPr="00327933">
        <w:rPr>
          <w:rFonts w:ascii="Garamond" w:hAnsi="Garamond" w:cs="Arial"/>
          <w:color w:val="000000"/>
          <w:lang w:val="en-GB"/>
        </w:rPr>
        <w:t xml:space="preserve"> ist. Denn eine kausale Therapie ist eigentlich zumeist nur eine prophylaktische, sie sistiert die weitere Einwirkung der Schädlichkeit, beseitigt aber damit nicht notwendig, was die Schädlichkeit bisher an Produkten ergeben hat. Es bedarf in der Regel noch einer zweiten Aktion, welche die letztere Aufgabe löst, und für diesen Zweck ist im Falle der Hysterie die kathartische Methode geradezu unübertrefflich brauchbar.</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(3) Wo eine Periode hysterischer Produktion, ein akuter hysterischer Paroxysmus, überwunden ist und nur noch die hysterischen Symptome als Resterscheinungen erübrigen, da genügt die kathartische Methode allen Indikationen und erzielt volle und dauernde Erfolge. Eine solche günstige Konstellation für die </w:t>
      </w:r>
      <w:r w:rsidRPr="00327933">
        <w:rPr>
          <w:rFonts w:ascii="Garamond" w:hAnsi="Garamond" w:cs="Arial"/>
          <w:color w:val="000000"/>
          <w:lang w:val="en-GB"/>
        </w:rPr>
        <w:lastRenderedPageBreak/>
        <w:t xml:space="preserve">Therapie ergibt sich nicht selten gerade auf dem Gebiete des Geschlechtslebens, infolge der großen Schwankungen in der Intensität des sexuellen Bedürfnisses und der Komplikation der für ein sexuelles Trauma erforderten Bedingungen. Hier leistet die kathartische Methode alles, was man ihr zur Aufgabe stellen kann, denn der Arzt kann sich nicht vorsetzen wollen, eine Konstitution wie die hysterische zu ändern; er muß sich damit bescheiden, wenn er das Leiden beseitigt, zu dem eine solche Konstitution geneigt ist und das unter Mithilfe äußerer Bedingungen aus ihr entspringen kann. Er wird zufrieden sein, wenn die Kranke wieder leistungsfähig geworden ist. Übrigens entbehrt er auch eines Trostes für die Zukunft nicht, wenn er die Möglichkeit der Rezidive in Betracht zieht. Er kennt den Hauptcharakter in der Ätiologie der Neurosen, daß deren Entstehung zumeist </w:t>
      </w:r>
      <w:r w:rsidRPr="00327933">
        <w:rPr>
          <w:rFonts w:ascii="Garamond" w:hAnsi="Garamond" w:cs="Arial"/>
          <w:i/>
          <w:iCs/>
          <w:color w:val="000000"/>
          <w:lang w:val="en-GB"/>
        </w:rPr>
        <w:t>überdeterminiert</w:t>
      </w:r>
      <w:r w:rsidRPr="00327933">
        <w:rPr>
          <w:rFonts w:ascii="Garamond" w:hAnsi="Garamond" w:cs="Arial"/>
          <w:color w:val="000000"/>
          <w:lang w:val="en-GB"/>
        </w:rPr>
        <w:t xml:space="preserve"> ist, daß mehrere Momente zu dieser Wirkung zusammentreten müssen; er darf hoffen, daß dieses Zusammentreffen nicht sobald wieder statthaben wird, wenn auch einzelne der ätiologischen Momente in Wirksamkeit geblieben sind.</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Man könnte einwenden, daß in solchen abgelaufenen Fällen von Hysterie die restierenden Symptome ohnedies spontan vergehen; allein hierauf darf man antworten, daß solche Spontanheilung sehr häufig weder rasch noch vollständig genug abläuft und daß sie durch das Eingreifen der Therapie außerordentlich gefördert werden kann. </w:t>
      </w:r>
      <w:smartTag w:uri="urn:schemas-microsoft-com:office:smarttags" w:element="place">
        <w:r w:rsidRPr="00327933">
          <w:rPr>
            <w:rFonts w:ascii="Garamond" w:hAnsi="Garamond" w:cs="Arial"/>
            <w:color w:val="000000"/>
            <w:lang w:val="en-GB"/>
          </w:rPr>
          <w:t>Ob</w:t>
        </w:r>
      </w:smartTag>
      <w:r w:rsidRPr="00327933">
        <w:rPr>
          <w:rFonts w:ascii="Garamond" w:hAnsi="Garamond" w:cs="Arial"/>
          <w:color w:val="000000"/>
          <w:lang w:val="en-GB"/>
        </w:rPr>
        <w:t xml:space="preserve"> man mit der kathartischen Therapie nur das heilt, was der Spontanheilung fähig ist, oder gelegentlich auch anderes, was sich spontan nicht gelöst hätte, das darf man für jetzt gerne ungeschlichtet lassen.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(4) Wo man auf eine akute Hysterie gestoßen ist, einen Fall in der Periode lebhaftester Produktion von hysterischen Symptomen und konsekutiver Überwältigung des Ich durch die Krankheitsprodukte (hysterische Psychose), da wird auch die kathartische Methode am Eindrucke und Verlaufe des Krankheitsfalles wenig ändern. Man befindet sich dann wohl in derselben Stellung gegen die Neurose, welche der Arzt gegen eine akute Infektionskrankheit einnimmt. Die ätiologischen Momente haben zu einer verflossenen, jetzt der Beeinflussung entzogenen Zeit ihre Wirkung in genügendem Ausmaße geübt, nun werden dieselben nach Überwindung des Inkubationsintervalls manifest; die Affektion läßt sich nicht abbrechen; man muß ihren Ablauf abwarten und unterdes die günstigsten Bedingungen für den Kranken herstellen. Beseitigt man nun während einer solchen akuten Periode die Krankheitsprodukte, die neu entstandenen hysterischen Symptome, so darf man sich darauf gefaßt machen, daß die beseitigten alsbald durch neue ersetzt werden. Der verstimmende Eindruck einer Danaidenarbeit, einer »Mohrenwäsche« wird dem Arzte nicht erspart bleiben, der riesige Aufwand von Mühe, die Unbefriedigung der Angehörigen, denen die Vorstellung der notwendigen Zeitdauer einer akuten Neurose kaum so vertraut sein wird wie im analogen Falle einer akuten Infektionskrankheit, dies und anderes wird wahrscheinlich die konsequente Anwendung der kathartischen Methode im angenommenen Falle meist unmöglich machen. Doch bleibt es sehr in Erwägung zu ziehen, ob nicht auch bei einer akuten Hysterie die jedesmalige Beseitigung der Krankheitsprodukte einen heilenden Einfluß übt, indem sie das mit der Abwehr beschäftigte normale Ich des Kranken unterstützt und es vor der Überwältigung, vor dem Verfalle in Psychose, vielleicht in endgültige Verworrenheit bewahrt.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Was die kathartische Methode auch bei akuter Hysterie zu leisten vermag und daß sie selbst die Neuproduktion an krankhaften Symptomen in praktisch bemerkbarer Weise einschränkt, das erhellt wohl unzweifelhaft aus der Geschichte der Anna O..., an welcher Breuer dies psychotherapeutische Verfahren zuerst ausüben lernte.</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(5) Wo es sich um chronisch verlaufende Hysterien mit mäßiger, aber unausgesetzter Produktion von hysterischen Symptomen handelt, da lernt man wohl den Mangel einer kausal wirksamen Therapie am stärksten bedauern, aber auch die Bedeutung des kathartischen Verfahrens als symptomatische Therapie am meisten schätzen. Dann hat man es mit der Schädigung durch eine chronisch fortwirkende Ätiologie zu tun; es kommt alles darauf an, das Nervensystem des Kranken in seiner Resistenzfähigkeit zu kräftigen, und man muß sich sagen, die Existenz eines hysterischen Symptoms bedeute für dieses Nervensystem </w:t>
      </w:r>
      <w:r w:rsidRPr="00327933">
        <w:rPr>
          <w:rFonts w:ascii="Garamond" w:hAnsi="Garamond" w:cs="Arial"/>
          <w:color w:val="000000"/>
          <w:lang w:val="en-GB"/>
        </w:rPr>
        <w:lastRenderedPageBreak/>
        <w:t xml:space="preserve">eine Schwächung seiner Resistenz und stelle ein zur Hysterie disponierendes Moment dar. Wie aus dem Mechanismus der monosymptomatischen Hysterie hervorgeht, bildet sich ein neues hysterisches Symptom am leichtesten im Anschlusse und nach Analogie eines bereits vorhandenen; die Stelle, wo es bereits einmal »durchgeschlagen« hat </w:t>
      </w:r>
      <w:hyperlink r:id="rId1596" w:anchor="#" w:history="1">
        <w:r w:rsidRPr="00327933">
          <w:rPr>
            <w:rStyle w:val="fusslink"/>
            <w:rFonts w:ascii="Garamond" w:hAnsi="Garamond" w:cs="Arial"/>
            <w:b/>
            <w:bCs/>
            <w:color w:val="003399"/>
            <w:lang w:val="en-GB"/>
          </w:rPr>
          <w:t>[Fußnote]</w:t>
        </w:r>
        <w:r w:rsidRPr="00327933">
          <w:rPr>
            <w:rStyle w:val="innerfusslink3"/>
            <w:rFonts w:ascii="Garamond" w:hAnsi="Garamond" w:cs="Arial"/>
            <w:b/>
            <w:bCs/>
            <w:lang w:val="en-GB"/>
          </w:rPr>
          <w:t xml:space="preserve">Vgl. Breuers in diese Gesamtausgabe nicht aufgenommene Arbeit ›Theoretisches‹ in der Originalausgabe der </w:t>
        </w:r>
        <w:r w:rsidRPr="00327933">
          <w:rPr>
            <w:rStyle w:val="innerfusslink3"/>
            <w:rFonts w:ascii="Garamond" w:hAnsi="Garamond" w:cs="Arial"/>
            <w:b/>
            <w:bCs/>
            <w:i/>
            <w:iCs/>
            <w:lang w:val="en-GB"/>
          </w:rPr>
          <w:t>Studien über Hysterie</w:t>
        </w:r>
        <w:r w:rsidRPr="00327933">
          <w:rPr>
            <w:rStyle w:val="innerfusslink3"/>
            <w:rFonts w:ascii="Garamond" w:hAnsi="Garamond" w:cs="Arial"/>
            <w:b/>
            <w:bCs/>
            <w:lang w:val="en-GB"/>
          </w:rPr>
          <w:t xml:space="preserve"> von J. Breuer und Sigm. Freud, S. 177.</w:t>
        </w:r>
      </w:hyperlink>
      <w:r w:rsidRPr="00327933">
        <w:rPr>
          <w:rFonts w:ascii="Garamond" w:hAnsi="Garamond" w:cs="Arial"/>
          <w:color w:val="000000"/>
          <w:lang w:val="en-GB"/>
        </w:rPr>
        <w:t xml:space="preserve">, stellt einen schwachen Punkt dar, an welchem es auch das nächste Mal durchschlagen wird; die einmal abgespaltene psychische Gruppe spielt die Rolle des provozierenden Kristalls, von dem mit großer Leichtigkeit eine sonst unterbliebene Kristallisation ausgeht. Die bereits vorhandenen Symptome beseitigen, die ihnen zugrunde liegenden psychischen Veränderungen aufheben, heißt den Kranken das volle Maß ihrer Resistenzfähigkeit wiedergeben, mit dem sie erfolgreich der Einwirkung der Schädlichkeit widerstehen können. Man kann solchen Kranken durch länger fortgesetzte Überwachung und zeitweiliges » </w:t>
      </w:r>
      <w:r w:rsidRPr="00327933">
        <w:rPr>
          <w:rFonts w:ascii="Garamond" w:hAnsi="Garamond" w:cs="Arial"/>
          <w:i/>
          <w:iCs/>
          <w:color w:val="000000"/>
          <w:lang w:val="en-GB"/>
        </w:rPr>
        <w:t>chimney sweeping</w:t>
      </w:r>
      <w:r w:rsidRPr="00327933">
        <w:rPr>
          <w:rFonts w:ascii="Garamond" w:hAnsi="Garamond" w:cs="Arial"/>
          <w:color w:val="000000"/>
          <w:lang w:val="en-GB"/>
        </w:rPr>
        <w:t xml:space="preserve">« </w:t>
      </w:r>
      <w:hyperlink r:id="rId1597" w:anchor="#" w:history="1">
        <w:r w:rsidRPr="00327933">
          <w:rPr>
            <w:rStyle w:val="fusslink"/>
            <w:rFonts w:ascii="Garamond" w:hAnsi="Garamond" w:cs="Arial"/>
            <w:b/>
            <w:bCs/>
            <w:color w:val="003399"/>
            <w:lang w:val="en-GB"/>
          </w:rPr>
          <w:t>[Fußnote]</w:t>
        </w:r>
        <w:r w:rsidRPr="00327933">
          <w:rPr>
            <w:rStyle w:val="innerfusslink3"/>
            <w:rFonts w:ascii="Garamond" w:hAnsi="Garamond" w:cs="Arial"/>
            <w:b/>
            <w:bCs/>
            <w:lang w:val="en-GB"/>
          </w:rPr>
          <w:t xml:space="preserve">Vgl. Breuers in diese Gesamtausgabe nicht aufgenommene Krankengeschichte ›Frl. Anna O...‹ in der Originalausgabe der </w:t>
        </w:r>
        <w:r w:rsidRPr="00327933">
          <w:rPr>
            <w:rStyle w:val="innerfusslink3"/>
            <w:rFonts w:ascii="Garamond" w:hAnsi="Garamond" w:cs="Arial"/>
            <w:b/>
            <w:bCs/>
            <w:i/>
            <w:iCs/>
            <w:lang w:val="en-GB"/>
          </w:rPr>
          <w:t>Studien über Hysterie</w:t>
        </w:r>
        <w:r w:rsidRPr="00327933">
          <w:rPr>
            <w:rStyle w:val="innerfusslink3"/>
            <w:rFonts w:ascii="Garamond" w:hAnsi="Garamond" w:cs="Arial"/>
            <w:b/>
            <w:bCs/>
            <w:lang w:val="en-GB"/>
          </w:rPr>
          <w:t>, S. 23.</w:t>
        </w:r>
      </w:hyperlink>
      <w:r w:rsidRPr="00327933">
        <w:rPr>
          <w:rFonts w:ascii="Garamond" w:hAnsi="Garamond" w:cs="Arial"/>
          <w:color w:val="000000"/>
          <w:lang w:val="en-GB"/>
        </w:rPr>
        <w:t xml:space="preserve"> sehr viel leisten.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(6) Ich hätte noch des scheinbaren Widerspruchs zu gedenken, der sich zwischen dem Zugeständnisse, daß nicht alle hysterischen Symptome psychogen seien, und der Behauptung, daß man sie alle durch ein psychotherapeutisches Verfahren beseitigen könne, erhebt. Die Lösung liegt darin, daß ein Teil dieser nicht psychogenen Symptome zwar Krankheitszeichen darstellt, aber nicht als </w:t>
      </w:r>
      <w:smartTag w:uri="urn:schemas-microsoft-com:office:smarttags" w:element="City">
        <w:smartTag w:uri="urn:schemas-microsoft-com:office:smarttags" w:element="place">
          <w:r w:rsidRPr="00327933">
            <w:rPr>
              <w:rFonts w:ascii="Garamond" w:hAnsi="Garamond" w:cs="Arial"/>
              <w:color w:val="000000"/>
              <w:lang w:val="en-GB"/>
            </w:rPr>
            <w:t>Leiden</w:t>
          </w:r>
        </w:smartTag>
      </w:smartTag>
      <w:r w:rsidRPr="00327933">
        <w:rPr>
          <w:rFonts w:ascii="Garamond" w:hAnsi="Garamond" w:cs="Arial"/>
          <w:color w:val="000000"/>
          <w:lang w:val="en-GB"/>
        </w:rPr>
        <w:t xml:space="preserve"> bezeichnet werden darf, so die Stigmata; es macht sich also praktisch nicht bemerkbar, wenn sie die therapeutische Erledigung des Krankheitsfalles überdauern. Für andere solche Symptome scheint zu gelten, daß sie auf irgendeinem Umwege von den psychogenen Symptomen mitgerissen werden, wie sie ja wohl auch auf irgendeinem Umwege doch von psychischer Verursachung abhängen.</w:t>
      </w:r>
    </w:p>
    <w:p w:rsidR="0091528C" w:rsidRPr="00327933" w:rsidRDefault="0091528C" w:rsidP="0091528C">
      <w:pPr>
        <w:rPr>
          <w:rFonts w:ascii="Garamond" w:hAnsi="Garamond" w:cs="Arial"/>
          <w:color w:val="000000"/>
          <w:lang w:val="en-GB"/>
        </w:rPr>
      </w:pPr>
      <w:r w:rsidRPr="0091528C">
        <w:rPr>
          <w:rFonts w:ascii="Garamond" w:hAnsi="Garamond" w:cs="Arial"/>
          <w:color w:val="000000"/>
          <w:lang w:val="en-GB"/>
        </w:rPr>
        <w:t xml:space="preserve">Ich habe nun der Schwierigkeiten und Übelstände unseres therapeutischen Verfahrens zu gedenken, soweit diese nicht aus den vorstehenden Krankengeschichten oder aus den folgenden Bemerkungen über die Technik der Methode jedermann einleuchten können. – Ich will mehr aufzählen und andeuten als ausführen: Das Verfahren ist mühselig und zeitraubend für den Arzt, es setzt ein großes Interesse für psychologische Vorkommnisse und doch auch persönliche Teilnahme für den Kranken bei ihm voraus. Ich könnte mir nicht vorstellen, daß ich es zustande brächte, mich in den psychischen Mechanismus einer Hysterie bei einer Person zu vertiefen, die mir gemein und widerwärtig vorkäme, die nicht bei näherer Bekanntschaft imstande wäre, menschliche Sympathie zu erwecken, während ich doch die Behandlung eines Tabikers oder Rheumatikers unabhängig von solchem persönlichen Wohlgefallen halten kann. Nicht mindere Bedingungen werden von Seiten der Kranken erfordert. Unterhalb eines gewissen Niveaus von Intelligenz ist das Verfahren überhaupt nicht anwendbar, durch jede Beimengung von Schwachsinn wird es außerordentlich erschwert. Man braucht die volle Einwilligung, die volle Aufmerksamkeit der Kranken, vor allem aber ihr Zutrauen, da die Analyse regelmäßig auf die intimsten und geheimstgehaltenen psychischen Vorgänge führt. Ein guter Teil der Kranken, die für solche Behandlung geeignet wären, entzieht sich dem Arzte, sobald ihnen die Ahnung aufdämmert, nach welcher Richtung sich dessen Forschung bewegen wird. Für diese ist der Arzt ein Fremder geblieben. Bei anderen, die sich entschlossen haben, sich dem Arzte zu überliefern und ihm ein Vertrauen einzuräumen, wie es </w:t>
      </w:r>
      <w:r w:rsidRPr="0091528C">
        <w:rPr>
          <w:rFonts w:ascii="Garamond" w:hAnsi="Garamond" w:cs="Arial"/>
          <w:i/>
          <w:iCs/>
          <w:color w:val="000000"/>
          <w:lang w:val="en-GB"/>
        </w:rPr>
        <w:t>sonst</w:t>
      </w:r>
      <w:r w:rsidRPr="0091528C">
        <w:rPr>
          <w:rFonts w:ascii="Garamond" w:hAnsi="Garamond" w:cs="Arial"/>
          <w:color w:val="000000"/>
          <w:lang w:val="en-GB"/>
        </w:rPr>
        <w:t xml:space="preserve"> nur freiwillig gewährt, aber nie gefordert wird, bei diesen anderen, sage ich, ist es kaum zu vermeiden, daß nicht die persönliche Beziehung zum Arzte sich wenigstens eine Zeitlang ungebührlich in den Vordergrund drängt; ja, es scheint, als ob eine solche Einwirkung des Arztes die Bedingung sei, unter welcher die Lösung des Problems allein gestattet ist. </w:t>
      </w:r>
      <w:r w:rsidRPr="00327933">
        <w:rPr>
          <w:rFonts w:ascii="Garamond" w:hAnsi="Garamond" w:cs="Arial"/>
          <w:color w:val="000000"/>
          <w:lang w:val="en-GB"/>
        </w:rPr>
        <w:t xml:space="preserve">Ich meine nicht, daß es an diesem Sachverhalt etwas Wesentliches ändert, ob man sich der Hypnose bedienen konnte oder dieselbe umgehen und ersetzen mußte. Nur fordert die Billigkeit hervorzuheben, daß diese Übelstände, obwohl unzertrennlich von unserem Verfahren, doch nicht diesem zur Last gelegt werden können. Es ist vielmehr recht einsichtlich, daß sie in den Vorbedingungen der Neurosen, die geheilt werden sollen, begründet sind und daß sie sich an jede </w:t>
      </w:r>
      <w:r w:rsidRPr="00327933">
        <w:rPr>
          <w:rFonts w:ascii="Garamond" w:hAnsi="Garamond" w:cs="Arial"/>
          <w:color w:val="000000"/>
          <w:lang w:val="en-GB"/>
        </w:rPr>
        <w:lastRenderedPageBreak/>
        <w:t>ärztliche Tätigkeit heften werden, die mit einer intensiven Bekümmerung um den Kranken einhergeht und eine psychische Veränderung in ihm herbeiführt. Auf die Anwendung der Hypnose konnte ich keinen Schaden und keine Gefahr zurückführen, so ausgiebigen Gebrauch ich auch in einzelnen Fällen von diesem Mittel machte. Wo ich Schaden angestiftet habe, lagen die Gründe anders und tiefer. Überblicke ich die therapeutischen Bemühungen dieser Jahre, seitdem mir die Mitteilungen meines verehrten Lehrers und Freundes J. Breuer die kathartische Methode in die Hand gegeben haben, so meine ich, ich habe weit mehr und häufiger als geschadet doch genützt und manches zustande gebracht, wozu sonst kein therapeutisches Mittel gereicht hätte. Es war im ganzen, wie es die ›Vorläufige Mitteilung‹ ausdrückt, »ein bedeutender therapeutischer Gewinn«.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Noch einen Gewinn bei Anwendung dieses Verfahrens muß ich hervorheben. Ich weiß mir einen schweren Fall von komplizierter Neurose mit viel oder wenig Beimengung von Hysterie nicht besser zurechtzulegen, als indem ich ihn einer Analyse mit der Breuerschen Methode unterziehe. Dabei geht zunächst weg, was den hysterischen Mechanismus zeigt; den Rest von Erscheinungen habe ich unterdes bei dieser Analyse deuten und auf die Ätiologie zurückführen gelernt und habe so die Anhaltspunkte dafür gewonnen, was von dem Rüstzeuge der Neurosentherapie im betreffenden Falle angezeigt ist. Wenn ich an die gewöhnliche Verschiedenheit zwischen meinem Urteile über einen Fall von Neurose </w:t>
      </w:r>
      <w:r w:rsidRPr="00327933">
        <w:rPr>
          <w:rFonts w:ascii="Garamond" w:hAnsi="Garamond" w:cs="Arial"/>
          <w:i/>
          <w:iCs/>
          <w:color w:val="000000"/>
          <w:lang w:val="en-GB"/>
        </w:rPr>
        <w:t>vor</w:t>
      </w:r>
      <w:r w:rsidRPr="00327933">
        <w:rPr>
          <w:rFonts w:ascii="Garamond" w:hAnsi="Garamond" w:cs="Arial"/>
          <w:color w:val="000000"/>
          <w:lang w:val="en-GB"/>
        </w:rPr>
        <w:t xml:space="preserve"> und </w:t>
      </w:r>
      <w:r w:rsidRPr="00327933">
        <w:rPr>
          <w:rFonts w:ascii="Garamond" w:hAnsi="Garamond" w:cs="Arial"/>
          <w:i/>
          <w:iCs/>
          <w:color w:val="000000"/>
          <w:lang w:val="en-GB"/>
        </w:rPr>
        <w:t>nach</w:t>
      </w:r>
      <w:r w:rsidRPr="00327933">
        <w:rPr>
          <w:rFonts w:ascii="Garamond" w:hAnsi="Garamond" w:cs="Arial"/>
          <w:color w:val="000000"/>
          <w:lang w:val="en-GB"/>
        </w:rPr>
        <w:t xml:space="preserve"> einer solchen Analyse denke, gerate ich fast in Versuchung, diese Analyse für unentbehrlich zur Kenntnis einer neurotischen Erkrankung zu halten. Ich habe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ferner daran gewöhnt, die Anwendung der kathartischen Psychotherapie mit einer Liegekur zu verbinden, die nach Bedürfnis zur vollen Weir Mitchellschen Mastkur ausgestaltet wird. Ich habe dabei den Vorteil, daß ich so einerseits die während einer Psychotherapie sehr störende Einmengung neuer psychischer Eindrücke vermeide, anderseits die Langweile der Mastkur, in der die Kranken nicht selten in ein schädliches Träumen verfallen, ausschließe. Man sollte erwarten, daß die oft sehr erhebliche psychische Arbeit, die man während einer kathartischen Kur den Kranken aufbürdet, die Erregungen infolge der Reproduktion traumatischer Erlebnisse, dem Sinne der Weir Mitchellschen </w:t>
      </w:r>
      <w:r w:rsidRPr="00327933">
        <w:rPr>
          <w:rFonts w:ascii="Garamond" w:hAnsi="Garamond" w:cs="Arial"/>
          <w:i/>
          <w:iCs/>
          <w:color w:val="000000"/>
          <w:lang w:val="en-GB"/>
        </w:rPr>
        <w:t>Ruhekur</w:t>
      </w:r>
      <w:r w:rsidRPr="00327933">
        <w:rPr>
          <w:rFonts w:ascii="Garamond" w:hAnsi="Garamond" w:cs="Arial"/>
          <w:color w:val="000000"/>
          <w:lang w:val="en-GB"/>
        </w:rPr>
        <w:t xml:space="preserve"> zuwiderliefe und die Erfolge verhinderte, die man von ihr zu sehen gewohnt ist. Allein das Gegenteil trifft zu; man erreicht durch solche Kombinationen der Breuerschen mit der Weir Mitchellschen Therapie alle körperliche Aufbesserung, die man von letzterer erwartet, und so weitgehende psychische Beeinflussung, wie sie ohne Psychotherapie bei der Ruhekur niemals zustande kommt.</w:t>
      </w:r>
    </w:p>
    <w:p w:rsidR="0091528C" w:rsidRPr="0091528C" w:rsidRDefault="0091528C" w:rsidP="0091528C">
      <w:pPr>
        <w:rPr>
          <w:rFonts w:ascii="Garamond" w:hAnsi="Garamond" w:cs="Arial"/>
          <w:b/>
          <w:bCs/>
          <w:color w:val="000000"/>
          <w:lang w:val="en-GB"/>
        </w:rPr>
      </w:pPr>
      <w:r w:rsidRPr="0091528C">
        <w:rPr>
          <w:rFonts w:ascii="Garamond" w:hAnsi="Garamond" w:cs="Arial"/>
          <w:b/>
          <w:bCs/>
          <w:color w:val="000000"/>
          <w:lang w:val="en-GB"/>
        </w:rPr>
        <w:t>2</w:t>
      </w:r>
    </w:p>
    <w:p w:rsidR="0091528C" w:rsidRPr="0091528C" w:rsidRDefault="0091528C" w:rsidP="0091528C">
      <w:pPr>
        <w:rPr>
          <w:rFonts w:ascii="Garamond" w:hAnsi="Garamond" w:cs="Arial"/>
          <w:color w:val="000000"/>
          <w:lang w:val="en-GB"/>
        </w:rPr>
      </w:pPr>
      <w:r w:rsidRPr="0091528C">
        <w:rPr>
          <w:rFonts w:ascii="Garamond" w:hAnsi="Garamond" w:cs="Arial"/>
          <w:color w:val="000000"/>
          <w:lang w:val="en-GB"/>
        </w:rPr>
        <w:t>Ich knüpfe nun an meine früheren Bemerkungen an, bei meinen Versuchen, die Breuersche Methode im größeren Umfange anzuwenden, sei ich an die Schwierigkeit geraten, daß eine Anzahl von Kranken nicht in Hypnose zu versetzen war, obwohl die Diagnose auf Hysterie lautete und die Wahrscheinlichkeit für die Geltung des von uns beschriebenen psychischen Mechanismus sprach. Ich bedurfte ja der Hypnose zur Erweiterung des Gedächtnisses, um die im gewöhnlichen Bewußtsein nicht vorhandenen pathogenen Erinnerungen zu finden, mußte also entweder auf solche Kranke verzichten oder diese Erweiterung auf andere Weise zu erreichen suchen.</w:t>
      </w:r>
    </w:p>
    <w:p w:rsidR="0091528C" w:rsidRPr="00327933" w:rsidRDefault="0091528C" w:rsidP="0091528C">
      <w:pPr>
        <w:rPr>
          <w:rFonts w:ascii="Garamond" w:hAnsi="Garamond" w:cs="Arial"/>
          <w:color w:val="000000"/>
          <w:lang w:val="en-GB"/>
        </w:rPr>
      </w:pPr>
      <w:r w:rsidRPr="0091528C">
        <w:rPr>
          <w:rFonts w:ascii="Garamond" w:hAnsi="Garamond" w:cs="Arial"/>
          <w:color w:val="000000"/>
          <w:lang w:val="en-GB"/>
        </w:rPr>
        <w:t xml:space="preserve">Woran es liegt, daß der eine hypnotisierbar ist, der andere nicht, das wußte ich mir ebensowenig wie andere zu deuten, konnte also einen kausalen Weg zur Beseitigung der Schwierigkeit nicht einschlagen. Ich merkte nur, daß bei manchen Patienten das Hindernis noch weiter zurücklag; sie weigerten sich bereits des Versuches zur Hypnose. </w:t>
      </w:r>
      <w:r w:rsidRPr="00327933">
        <w:rPr>
          <w:rFonts w:ascii="Garamond" w:hAnsi="Garamond" w:cs="Arial"/>
          <w:color w:val="000000"/>
          <w:lang w:val="en-GB"/>
        </w:rPr>
        <w:t>Ich kam dann einmal auf den Einfall, daß beide Fälle identisch sein mögen und beide ein Nichtwollen bedeuten können. Nicht hypnotisierbar sei derjenige, der ein psychisches Bedenken gegen die Hypnose hat, gleichgültig, ob er es als Nichtwollen äußert oder nicht. Ich bin mir nicht klargeworden, ob ich diese Auffassung festhalten darf.</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Es galt aber, die Hypnose zu umgehen und doch die pathogenen Erinnerungen zu gewinnen.</w:t>
      </w:r>
    </w:p>
    <w:p w:rsidR="0091528C" w:rsidRPr="00327933" w:rsidRDefault="0091528C" w:rsidP="0091528C">
      <w:pPr>
        <w:rPr>
          <w:rFonts w:ascii="Garamond" w:hAnsi="Garamond" w:cs="Arial"/>
          <w:color w:val="000000"/>
          <w:lang w:val="en-GB"/>
        </w:rPr>
      </w:pPr>
      <w:r w:rsidRPr="0091528C">
        <w:rPr>
          <w:rFonts w:ascii="Garamond" w:hAnsi="Garamond" w:cs="Arial"/>
          <w:color w:val="000000"/>
          <w:lang w:val="en-GB"/>
        </w:rPr>
        <w:lastRenderedPageBreak/>
        <w:t xml:space="preserve">Dazu gelangte ich auf folgende Weise: Wenn ich bei der ersten Zusammenkunft meine Patienten fragte, ob sie sich an den ersten Anlaß des betreffenden Symptoms erinnerten, so sagten die einen, sie wüßten nichts, die anderen brachten irgend etwas bei, was sie als eine dunkle Erinnerung bezeichneten und nicht weiterverfolgen konnten. Wenn ich nun nach dem Beispiele von Bernheim bei der Erweckung der angeblich vergessenen Eindrücke aus dem Somnambulismus dringlich wurde, beiden versicherte, sie wüßten es, sie würden sich besinnen usw. </w:t>
      </w:r>
      <w:r w:rsidRPr="00327933">
        <w:rPr>
          <w:rFonts w:ascii="Garamond" w:hAnsi="Garamond" w:cs="Arial"/>
          <w:color w:val="000000"/>
          <w:lang w:val="en-GB"/>
        </w:rPr>
        <w:t xml:space="preserve">(vgl. [1895 </w:t>
      </w:r>
      <w:r w:rsidRPr="00327933">
        <w:rPr>
          <w:rFonts w:ascii="Garamond" w:hAnsi="Garamond" w:cs="Arial"/>
          <w:i/>
          <w:iCs/>
          <w:color w:val="000000"/>
          <w:lang w:val="en-GB"/>
        </w:rPr>
        <w:t>d</w:t>
      </w:r>
      <w:r w:rsidRPr="00327933">
        <w:rPr>
          <w:rFonts w:ascii="Garamond" w:hAnsi="Garamond" w:cs="Arial"/>
          <w:color w:val="000000"/>
          <w:lang w:val="en-GB"/>
        </w:rPr>
        <w:t xml:space="preserve">] S. </w:t>
      </w:r>
      <w:smartTag w:uri="urn:schemas-microsoft-com:office:smarttags" w:element="metricconverter">
        <w:smartTagPr>
          <w:attr w:name="ProductID" w:val="167 f"/>
        </w:smartTagPr>
        <w:r w:rsidRPr="00327933">
          <w:rPr>
            <w:rFonts w:ascii="Garamond" w:hAnsi="Garamond" w:cs="Arial"/>
            <w:color w:val="000000"/>
            <w:lang w:val="en-GB"/>
          </w:rPr>
          <w:t>167 f</w:t>
        </w:r>
      </w:smartTag>
      <w:r w:rsidRPr="00327933">
        <w:rPr>
          <w:rFonts w:ascii="Garamond" w:hAnsi="Garamond" w:cs="Arial"/>
          <w:color w:val="000000"/>
          <w:lang w:val="en-GB"/>
        </w:rPr>
        <w:t xml:space="preserve">.), so fiel den einen doch etwas ein, und bei anderen griff die Erinnerung um ein Stück weiter. Nun wurde ich noch dringender, hieß die Kranken sich niederlegen und die Augen willkürlich schließen, um sich zu »konzentrieren«, was wenigstens eine gewisse Ähnlichkeit mit der Hypnose ergab, und machte da die Erfahrung, daß ohne alle Hypnose neue und weiter zurückreichende Erinnerungen auftauchten, die wahrscheinlich zu unserem Thema gehörten. Durch solche Erfahrungen gewann ich den Eindruck, es würde in der Tat möglich sein, die doch sicherlich vorhandenen pathogenen Vorstellungsreihen durch bloßes Drängen zum Vorschein zu bringen, und da dieses Drängen mich Anstrengung kostete und mir die Deutung nahelegte, ich hätte einen Widerstand zu überwinden, so setzte sich mir der Sachverhalt ohneweiters in die Theorie um, daß </w:t>
      </w:r>
      <w:r w:rsidRPr="00327933">
        <w:rPr>
          <w:rFonts w:ascii="Garamond" w:hAnsi="Garamond" w:cs="Arial"/>
          <w:i/>
          <w:iCs/>
          <w:color w:val="000000"/>
          <w:lang w:val="en-GB"/>
        </w:rPr>
        <w:t>ich durch meine psychische Arbeit eine psychische Kraft bei dem Patienten zu überwinden habe, die sich dem Bewußtwerden (Erinnern) der pathogenen Vorstellungen widersetze</w:t>
      </w:r>
      <w:r w:rsidRPr="00327933">
        <w:rPr>
          <w:rFonts w:ascii="Garamond" w:hAnsi="Garamond" w:cs="Arial"/>
          <w:color w:val="000000"/>
          <w:lang w:val="en-GB"/>
        </w:rPr>
        <w:t xml:space="preserve">. Ein neues Verständnis schien sich mir nun zu eröffnen, als mir einfiel, dies dürfte wohl dieselbe psychische Kraft sein, die bei der Entstehung des hysterischen Symptoms mitgewirkt und damals das Bewußtwerden der pathogenen Vorstellung verhindert habe. Was für Kraft war da wohl als wirksam anzunehmen, und welches Motiv konnte sie zur Wirkung gebracht haben? Ich konnte mir leicht eine Meinung hierüber bilden; es standen mir ja bereits einige vollendete Analysen zu Gebote, in denen ich Beispiele von pathogenen, vergessenen und außer Bewußtsein gebrachten Vorstellungen kennengelernt hatte. Aus diesen ersah ich einen allgemeinen Charakter solcher Vorstellungen; sie waren sämtlich peinlicher Natur, geeignet, die Affekte der Scham, des Vorwurfes, des psychischen Schmerzes, die Empfindung der Beeinträchtigung hervorzurufen, sämtlich von der Art, wie man sie gerne nicht erlebt haben möchte, wie man sie am liebsten vergißt. Aus alledem ergab sich wie von selbst der Gedanke der </w:t>
      </w:r>
      <w:r w:rsidRPr="00327933">
        <w:rPr>
          <w:rFonts w:ascii="Garamond" w:hAnsi="Garamond" w:cs="Arial"/>
          <w:i/>
          <w:iCs/>
          <w:color w:val="000000"/>
          <w:lang w:val="en-GB"/>
        </w:rPr>
        <w:t>Abwehr</w:t>
      </w:r>
      <w:r w:rsidRPr="00327933">
        <w:rPr>
          <w:rFonts w:ascii="Garamond" w:hAnsi="Garamond" w:cs="Arial"/>
          <w:color w:val="000000"/>
          <w:lang w:val="en-GB"/>
        </w:rPr>
        <w:t xml:space="preserve">. Es wird ja von den Psychologen allgemein zugegeben, daß die Annahme einer neuen Vorstellung (Annahme im Sinne des Glaubens, des Zuerkennens von Realität) von der Art und Richtung der bereits im Ich vereinigten Vorstellungen abhängt, und sie haben für den Vorgang der Zensur, dem die neu anlangende unterliegt, besondere technische Namen geschaffen. An das Ich des Kranken war eine Vorstellung herangetreten, die sich als unverträglich erwies, die eine Kraft der Abstoßung von Seiten des Ich wachrief, deren Zweck die </w:t>
      </w:r>
      <w:r w:rsidRPr="00327933">
        <w:rPr>
          <w:rFonts w:ascii="Garamond" w:hAnsi="Garamond" w:cs="Arial"/>
          <w:i/>
          <w:iCs/>
          <w:color w:val="000000"/>
          <w:lang w:val="en-GB"/>
        </w:rPr>
        <w:t>Abwehr</w:t>
      </w:r>
      <w:r w:rsidRPr="00327933">
        <w:rPr>
          <w:rFonts w:ascii="Garamond" w:hAnsi="Garamond" w:cs="Arial"/>
          <w:color w:val="000000"/>
          <w:lang w:val="en-GB"/>
        </w:rPr>
        <w:t xml:space="preserve"> dieser unverträglichen Vorstellung war. Diese Abwehr gelang tatsächlich, die betreffende Vorstellung war aus dem Bewußtsein und aus der Erinnerung gedrängt, ihre psychische Spur war anscheinend nicht aufzufinden. Doch mußte diese Spur vorhanden sein. Wenn ich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bemühte, die Aufmerksamkeit auf sie zu lenken, bekam ich dieselbe Kraft als </w:t>
      </w:r>
      <w:r w:rsidRPr="00327933">
        <w:rPr>
          <w:rFonts w:ascii="Garamond" w:hAnsi="Garamond" w:cs="Arial"/>
          <w:i/>
          <w:iCs/>
          <w:color w:val="000000"/>
          <w:lang w:val="en-GB"/>
        </w:rPr>
        <w:t>Widerstand</w:t>
      </w:r>
      <w:r w:rsidRPr="00327933">
        <w:rPr>
          <w:rFonts w:ascii="Garamond" w:hAnsi="Garamond" w:cs="Arial"/>
          <w:color w:val="000000"/>
          <w:lang w:val="en-GB"/>
        </w:rPr>
        <w:t xml:space="preserve"> zu spüren, die sich bei der Genese des Symptoms als </w:t>
      </w:r>
      <w:r w:rsidRPr="00327933">
        <w:rPr>
          <w:rFonts w:ascii="Garamond" w:hAnsi="Garamond" w:cs="Arial"/>
          <w:i/>
          <w:iCs/>
          <w:color w:val="000000"/>
          <w:lang w:val="en-GB"/>
        </w:rPr>
        <w:t>Abstoßung</w:t>
      </w:r>
      <w:r w:rsidRPr="00327933">
        <w:rPr>
          <w:rFonts w:ascii="Garamond" w:hAnsi="Garamond" w:cs="Arial"/>
          <w:color w:val="000000"/>
          <w:lang w:val="en-GB"/>
        </w:rPr>
        <w:t xml:space="preserve"> gezeigt hatte. Wenn ich nun wahrscheinlich machen konnte, daß die Vorstellung gerade infolge der Ausstoßung und Verdrängung pathogen geworden war, so schien die Kette geschlossen. Ich habe in mehreren Epikrisen unserer Krankengeschichten und in einer kleinen Arbeit über die Abwehrneuropsychosen (1894) versucht, die psychologischen Hypothesen anzudeuten, mit deren Hilfe man auch diesen Zusammenhang – die Tatsache der </w:t>
      </w:r>
      <w:r w:rsidRPr="00327933">
        <w:rPr>
          <w:rFonts w:ascii="Garamond" w:hAnsi="Garamond" w:cs="Arial"/>
          <w:i/>
          <w:iCs/>
          <w:color w:val="000000"/>
          <w:lang w:val="en-GB"/>
        </w:rPr>
        <w:t>Konversion</w:t>
      </w:r>
      <w:r w:rsidRPr="00327933">
        <w:rPr>
          <w:rFonts w:ascii="Garamond" w:hAnsi="Garamond" w:cs="Arial"/>
          <w:color w:val="000000"/>
          <w:lang w:val="en-GB"/>
        </w:rPr>
        <w:t xml:space="preserve"> – anschaulich machen kann.</w:t>
      </w:r>
    </w:p>
    <w:p w:rsidR="0091528C" w:rsidRPr="00327933" w:rsidRDefault="0091528C" w:rsidP="0091528C">
      <w:pPr>
        <w:rPr>
          <w:rFonts w:ascii="Garamond" w:hAnsi="Garamond" w:cs="Arial"/>
          <w:color w:val="000000"/>
          <w:lang w:val="en-GB"/>
        </w:rPr>
      </w:pPr>
      <w:r w:rsidRPr="0091528C">
        <w:rPr>
          <w:rFonts w:ascii="Garamond" w:hAnsi="Garamond" w:cs="Arial"/>
          <w:color w:val="000000"/>
          <w:lang w:val="en-GB"/>
        </w:rPr>
        <w:t xml:space="preserve">Also eine psychische Kraft, die Abneigung des Ich, hatte ursprünglich die pathogene Vorstellung aus der Assoziation gedrängt und widersetzte sich jetzt ihrer Wiederkehr in der Erinnerung. </w:t>
      </w:r>
      <w:r w:rsidRPr="00327933">
        <w:rPr>
          <w:rFonts w:ascii="Garamond" w:hAnsi="Garamond" w:cs="Arial"/>
          <w:color w:val="000000"/>
          <w:lang w:val="en-GB"/>
        </w:rPr>
        <w:t xml:space="preserve">Das Nichtwissen der Hysterischen war also eigentlich ein – mehr oder minder bewußtes – Nichtwissenwollen, und die Aufgabe des Therapeuten bestand darin, diesen </w:t>
      </w:r>
      <w:r w:rsidRPr="00327933">
        <w:rPr>
          <w:rFonts w:ascii="Garamond" w:hAnsi="Garamond" w:cs="Arial"/>
          <w:i/>
          <w:iCs/>
          <w:color w:val="000000"/>
          <w:lang w:val="en-GB"/>
        </w:rPr>
        <w:t>Assoziationswiderstand</w:t>
      </w:r>
      <w:r w:rsidRPr="00327933">
        <w:rPr>
          <w:rFonts w:ascii="Garamond" w:hAnsi="Garamond" w:cs="Arial"/>
          <w:color w:val="000000"/>
          <w:lang w:val="en-GB"/>
        </w:rPr>
        <w:t xml:space="preserve"> durch psychische Arbeit zu überwinden. Solche Leistung erfolgt zuerst durch »Drängen«, Anwendung eines psychischen Zwanges, um die Aufmerksamkeit der Kranken auf die gesuchten Vorstellungsspuren zu lenken. Sie ist aber damit nicht erschöpft, sondern nimmt, wie ich zeigen werde, im Verlaufe einer Analyse andere Formen an und ruft weitere psychische Kräfte zur Hilfe.</w:t>
      </w:r>
    </w:p>
    <w:p w:rsidR="0091528C" w:rsidRPr="0091528C" w:rsidRDefault="0091528C" w:rsidP="0091528C">
      <w:pPr>
        <w:rPr>
          <w:rFonts w:ascii="Garamond" w:hAnsi="Garamond" w:cs="Arial"/>
          <w:color w:val="000000"/>
          <w:lang w:val="en-US"/>
        </w:rPr>
      </w:pPr>
      <w:r w:rsidRPr="00327933">
        <w:rPr>
          <w:rFonts w:ascii="Garamond" w:hAnsi="Garamond" w:cs="Arial"/>
          <w:color w:val="000000"/>
          <w:lang w:val="en-GB"/>
        </w:rPr>
        <w:lastRenderedPageBreak/>
        <w:t xml:space="preserve">Ich verweile zunächst noch beim Drängen. Mit dem einfachen Versichern: »Sie wissen es ja, sagen Sie es doch, es wird Ihnen gleich einfallen«, kommt man noch nicht sehr weit. Nach wenigen Sätzen reißt auch bei dem in der »Konzentration« befindlichen Kranken der Faden ab. Man darf aber nicht vergessen, daß es sich hier überall um quantitative Vergleichung, um den Kampf zwischen verschieden starken oder intensiven Motiven handelt. Dem »Assoziationswiderstande« bei einer ernsthaften Hysterie ist das Drängen des fremden und der Sache unkundigen Arztes an Macht nicht gewachsen. </w:t>
      </w:r>
      <w:r w:rsidRPr="0091528C">
        <w:rPr>
          <w:rFonts w:ascii="Garamond" w:hAnsi="Garamond" w:cs="Arial"/>
          <w:color w:val="000000"/>
          <w:lang w:val="en-US"/>
        </w:rPr>
        <w:t>Man muß auf kräftigere Mittel sinnen.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Da bediene ich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denn zunächst eines kleinen technischen Kunstgriffes. Ich teile dem Kranken mit, daß ich im nächsten Momente einen Druck auf seine Stirne ausüben werde, versichere ihm, daß er während dieses ganzen Druckes eine Erinnerung als Bild vor sich sehen oder als Einfall in Gedanken haben werde, und verpflichte ihn dazu, dieses Bild oder diesen Einfall mir mitzuteilen, was immer das sein möge. Er dürfe es nicht für sich behalten, weil er etwa meine, es sei nicht das Gesuchte, das Richtige, oder weil es ihm zu unangenehm sei, es zu sagen. Keine Kritik, keine Zurückhaltung, weder aus Affekt noch aus Geringschätzung! Nur so könnten wir das Gesuchte finden, so fänden wir es aber unfehlbar. Dann drücke ich für ein paar Sekunden auf die Stirn des vor mir liegenden Kranken, lasse sie frei und frage ruhigen Tones, als ob eine Enttäuschung ausgeschlossen wäre: »Was haben Sie gesehen?« oder: »Was ist Ihnen eingefallen?«</w:t>
      </w:r>
    </w:p>
    <w:p w:rsidR="0091528C" w:rsidRPr="0091528C" w:rsidRDefault="0091528C" w:rsidP="0091528C">
      <w:pPr>
        <w:rPr>
          <w:rFonts w:ascii="Garamond" w:hAnsi="Garamond" w:cs="Arial"/>
          <w:color w:val="000000"/>
          <w:lang w:val="en-GB"/>
        </w:rPr>
      </w:pPr>
      <w:r w:rsidRPr="0091528C">
        <w:rPr>
          <w:rFonts w:ascii="Garamond" w:hAnsi="Garamond" w:cs="Arial"/>
          <w:color w:val="000000"/>
          <w:lang w:val="en-GB"/>
        </w:rPr>
        <w:t>Dieses Verfahren hat mich viel gelehrt und auch jedesmal zum Ziele geführt; ich kann es heute nicht mehr entbehren. Ich weiß natürlich, daß ich solchen Druck auf die Stirne durch irgendein anderes Signal oder eine andere körperliche Beeinflussung des Kranken ersetzen könnte, aber wie der Kranke vor mir liegt, ergibt sich der Druck auf die Stirne oder das Fassen seines Kopfes zwischen meinen beiden Händen als das Suggestivste und Bequemste, was ich zu diesem Zwecke vornehmen kann. Zur Erklärung der Wirksamkeit dieses Kunstgriffes könnte ich etwa sagen, er entspreche einer »momentan verstärkten Hypnose«, allein der Mechanismus der Hypnose ist mir so rätselhaft, daß ich mich zur Erläuterung nicht auf ihn beziehen möchte. Ich meine eher, der Vorteil des Verfahrens liege darin, daß ich hiedurch die Aufmerksamkeit des Kranken von seinem bewußten Suchen und Nachdenken, kurz von alledem, woran sich sein Wille äußern kann, dissoziiere, ähnlich wie es sich wohl beim Starren in eine kristallene Kugel u. dgl. vollzieht. Die Lehre aber, die ich daraus ziehe, daß sich unter dem Drucke meiner Hand jedesmal das einstellt, was ich suche, die lautet: die angeblich vergessene pathogene Vorstellung liege jedesmal »in der Nähe« bereit, sei durch leicht zugängliche Assoziationen erreichbar; es handle sich nur darum, irgendein Hindernis wegzuräumen. Dieses Hindernis scheint wieder der Wille der Person zu sein, und verschiedene Personen lernen es verschieden leicht, sich ihrer Absichtlichkeit zu entäußern und sich vollkommen objektiv beobachtend gegen die psychischen Vorgänge in ihnen zu verhalten.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Es ist nicht immer eine »vergessene« Erinnerung, die unter dem Drucke der Hand auftaucht; in den seltensten Fällen liegen die eigentlich pathogenen Erinnerungen so oberflächlich auffindbar. Weit häufiger taucht eine Vorstellung auf, die ein Mittelglied zwischen der Ausgangsvorstellung und der gesuchten pathogenen in der Assoziationskette ist, oder eine Vorstellung, die den Ausgangspunkt einer neuen Reihe von Gedanken und Erinnerungen bildet, an deren Ende die pathogene Vorstellung steht. Der Druck hat dann zwar nicht die pathogene Vorstellung enthüllt – die übrigens ohne Vorbereitung, aus dem Zusammenhange gerissen, unverständlich wäre –, aber er hat den Weg zu ihr gezeigt, die Richtung angegeben, nach welcher die Forschung fortzuschreiten hat. Die durch den Druck zunächst geweckte Vorstellung kann dabei einer wohlbekannten, niemals verdrängten Erinnerung entsprechen. Wo auf dem Wege zur pathogenen Vorstellung der Zusammenhang wieder abreißt, da bedarf es nur einer Wiederholung der Prozedur, des Druckes, um neue Orientierung und Anknüpfung zu schaffen.</w:t>
      </w:r>
    </w:p>
    <w:p w:rsidR="0091528C" w:rsidRPr="00327933" w:rsidRDefault="0091528C" w:rsidP="0091528C">
      <w:pPr>
        <w:rPr>
          <w:rFonts w:ascii="Garamond" w:hAnsi="Garamond" w:cs="Arial"/>
          <w:color w:val="000000"/>
        </w:rPr>
      </w:pPr>
      <w:r w:rsidRPr="00327933">
        <w:rPr>
          <w:rFonts w:ascii="Garamond" w:hAnsi="Garamond" w:cs="Arial"/>
          <w:color w:val="000000"/>
          <w:lang w:val="en-GB"/>
        </w:rPr>
        <w:t xml:space="preserve">In noch anderen Fällen weckt man durch den Druck der Hand eine Erinnerung, die, an sich dem Kranken wohlbekannt, ihn doch durch ihr Erscheinen in Verwunderung setzt, weil er ihre Beziehung zur </w:t>
      </w:r>
      <w:r w:rsidRPr="00327933">
        <w:rPr>
          <w:rFonts w:ascii="Garamond" w:hAnsi="Garamond" w:cs="Arial"/>
          <w:color w:val="000000"/>
          <w:lang w:val="en-GB"/>
        </w:rPr>
        <w:lastRenderedPageBreak/>
        <w:t xml:space="preserve">Ausgangsvorstellung vergessen hat. Im weiteren Verlaufe der Analyse wird diese Beziehung dann erwiesen. Aus all diesen Ergebnissen des Drückens erhält man den täuschenden Eindruck einer überlegenen Intelligenz außerhalb des Bewußtseins des Kranken, die ein großes psychisches Material zu bestimmten Zwecken geordnet hält und ein sinnvolles Arrangement für dessen Wiederkehr ins Bewußtsein getroffen hat. </w:t>
      </w:r>
      <w:r w:rsidRPr="00327933">
        <w:rPr>
          <w:rFonts w:ascii="Garamond" w:hAnsi="Garamond" w:cs="Arial"/>
          <w:color w:val="000000"/>
        </w:rPr>
        <w:t>Wie ich vermute, ist diese unbewußte, zweite Intelligenz doch nur ein Anschein.</w:t>
      </w:r>
    </w:p>
    <w:p w:rsidR="0091528C" w:rsidRPr="00327933" w:rsidRDefault="0091528C" w:rsidP="0091528C">
      <w:pPr>
        <w:rPr>
          <w:rFonts w:ascii="Garamond" w:hAnsi="Garamond" w:cs="Arial"/>
          <w:color w:val="000000"/>
        </w:rPr>
      </w:pPr>
      <w:r w:rsidRPr="00327933">
        <w:rPr>
          <w:rFonts w:ascii="Garamond" w:hAnsi="Garamond" w:cs="Arial"/>
          <w:color w:val="000000"/>
        </w:rPr>
        <w:t xml:space="preserve">In jeder komplizierteren Analyse arbeitet man wiederholt, ja eigentlich fortwährend, mit Hilfe dieser Prozedur (des Druckes auf die Stirne), welche bald von dort aus, wo die wachen Zurückführungen des Patienten abbrechen, den weiteren Weg über bekannt gebliebene Erinnerungen anzeigt, bald auf Zusammenhänge aufmerksam macht, die in Vergessenheit geraten sind, dann Erinnerungen hervorruft und anreiht, welche seit vielen Jahren der Assoziation entzogen waren, aber noch als Erinnerungen erkannt werden können, und endlich als höchste Leistung der Reproduktion Gedanken auftauchen läßt, die der Kranke niemals als die seinigen anerkennen will, die er nicht </w:t>
      </w:r>
      <w:r w:rsidRPr="00327933">
        <w:rPr>
          <w:rFonts w:ascii="Garamond" w:hAnsi="Garamond" w:cs="Arial"/>
          <w:i/>
          <w:iCs/>
          <w:color w:val="000000"/>
        </w:rPr>
        <w:t>erinnert</w:t>
      </w:r>
      <w:r w:rsidRPr="00327933">
        <w:rPr>
          <w:rFonts w:ascii="Garamond" w:hAnsi="Garamond" w:cs="Arial"/>
          <w:color w:val="000000"/>
        </w:rPr>
        <w:t>, obwohl er zugesteht, daß sie von dem Zusammenhange unerbittlich gefordert werden, und während er sich überzeugt, daß gerade diese Vorstellungen den Abschluß der Analyse und das Aufhören der Symptome herbeiführen.</w:t>
      </w:r>
    </w:p>
    <w:p w:rsidR="0091528C" w:rsidRPr="0091528C" w:rsidRDefault="0091528C" w:rsidP="0091528C">
      <w:pPr>
        <w:rPr>
          <w:rFonts w:ascii="Garamond" w:hAnsi="Garamond" w:cs="Arial"/>
          <w:color w:val="000000"/>
          <w:lang w:val="en-GB"/>
        </w:rPr>
      </w:pPr>
      <w:r w:rsidRPr="00327933">
        <w:rPr>
          <w:rFonts w:ascii="Garamond" w:hAnsi="Garamond" w:cs="Arial"/>
          <w:color w:val="000000"/>
        </w:rPr>
        <w:t xml:space="preserve">Ich will versuchen, einige Beispiele von den ausgezeichneten Leistungen dieses technischen Verfahrens aneinanderzureihen: Ich behandelte ein junges Mädchen mit einer unausstehlichen, seit sechs Jahren fortgeschleppten </w:t>
      </w:r>
      <w:r w:rsidRPr="00327933">
        <w:rPr>
          <w:rFonts w:ascii="Garamond" w:hAnsi="Garamond" w:cs="Arial"/>
          <w:i/>
          <w:iCs/>
          <w:color w:val="000000"/>
        </w:rPr>
        <w:t>Tussis nervosa</w:t>
      </w:r>
      <w:r w:rsidRPr="00327933">
        <w:rPr>
          <w:rFonts w:ascii="Garamond" w:hAnsi="Garamond" w:cs="Arial"/>
          <w:color w:val="000000"/>
        </w:rPr>
        <w:t xml:space="preserve">, die offenbar aus jedem gemeinen Katarrh Nahrung zog, aber doch ihre starken psychischen Motive haben mußte. </w:t>
      </w:r>
      <w:r w:rsidRPr="0091528C">
        <w:rPr>
          <w:rFonts w:ascii="Garamond" w:hAnsi="Garamond" w:cs="Arial"/>
          <w:color w:val="000000"/>
          <w:lang w:val="en-US"/>
        </w:rPr>
        <w:t xml:space="preserve">Jede andere Therapie hatte sich längst ohnmächtig gezeigt; ich versuche also das Symptom auf dem Wege der psychischen Analyse aufzuheben. </w:t>
      </w:r>
      <w:r w:rsidRPr="00327933">
        <w:rPr>
          <w:rFonts w:ascii="Garamond" w:hAnsi="Garamond" w:cs="Arial"/>
          <w:color w:val="000000"/>
          <w:lang w:val="en-GB"/>
        </w:rPr>
        <w:t xml:space="preserve">Sie weiß nur, daß ihr nervöser Husten begann, als sie, vierzehn Jahre alt, bei einer Tante in Pension war; von psychischen Erregungen in jener Zeit will sie nichts wissen, sie glaubt nicht an eine Motivierung des Leidens. Unter dem Drucke meiner Hand erinnert sie sich zuerst an einen großen Hund. Sie erkennt dann das Erinnerungsbild, es war ein Hund ihrer Tante, der sich ihr anschloß, sie überallhin begleitete u. dgl. Ja, und jetzt fällt ihr, ohne weitere Nachhilfe, ein, daß dieser Hund gestorben, daß die Kinder ihn feierlich begraben haben und daß auf dem Rückwege von diesem Begräbnisse ihr Husten aufgetreten ist. Ich frage, warum, muß aber wieder durch den Druck nachhelfen; da stellt sich denn der Gedanke ein: »Jetzt bin ich ganz allein auf der Welt. Niemand liebt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hier, dieses Tier war mein einziger Freund, und den habe ich jetzt verloren.« – Sie setzt nun die Erzählung fort: »Der Husten verschwand, als ich von der Tante wegkam, trat aber eineinhalb Jahre später wieder auf.« – »Was war da der Grund?« – »Ich weiß nicht.« – Ich drücke wieder; sie erinnert sich an die Nachricht vom Tode ihres Onkels, bei welcher der Husten wieder ausbrach, und an einen ähnlichen Gedankengang. Der Onkel war angeblich der einzige in der Familie gewesen, der ein Herz für sie gehabt, der sie geliebt hatte. Dies war nun die pathogene Vorstellung: Man liebe sie nicht, man ziehe ihr jeden anderen vor, sie verdiene es auch nicht, geliebt zu werden u. dgl. An der Vorstellung der »Liebe« aber haftete etwas, bei dessen Mitteilung sich ein arger Widerstand erhob. </w:t>
      </w:r>
      <w:r w:rsidRPr="0091528C">
        <w:rPr>
          <w:rFonts w:ascii="Garamond" w:hAnsi="Garamond" w:cs="Arial"/>
          <w:color w:val="000000"/>
          <w:lang w:val="en-GB"/>
        </w:rPr>
        <w:t>Die Analyse brach noch vor der Klärung ab.</w:t>
      </w:r>
    </w:p>
    <w:p w:rsidR="0091528C" w:rsidRPr="00327933" w:rsidRDefault="0091528C" w:rsidP="0091528C">
      <w:pPr>
        <w:rPr>
          <w:rFonts w:ascii="Garamond" w:hAnsi="Garamond" w:cs="Arial"/>
          <w:color w:val="000000"/>
          <w:lang w:val="en-GB"/>
        </w:rPr>
      </w:pPr>
      <w:r w:rsidRPr="0091528C">
        <w:rPr>
          <w:rFonts w:ascii="Garamond" w:hAnsi="Garamond" w:cs="Arial"/>
          <w:color w:val="000000"/>
          <w:lang w:val="en-GB"/>
        </w:rPr>
        <w:t xml:space="preserve">Vor einiger Zeit sollte ich eine ältere Dame von ihren Angstanfällen befreien, die nach ihren Charaktereigenschaften kaum für derartige Beeinflussung geeignet war. Sie war seit der Menopause übermäßig fromm geworden und empfing mich jedesmal wie den Gottseibeiuns, mit einem kleinen elfenbeinernen Kruzifix bewaffnet, das sie in der Hand verbarg. Ihre Angstanfälle, die hysterischen Charakter trugen, reichten in frühe Mädchenjahre zurück und rührten angeblich von dem Gebrauch eines Jodpräparates her, mit welchem eine mäßige Schwellung der </w:t>
      </w:r>
      <w:r w:rsidRPr="0091528C">
        <w:rPr>
          <w:rFonts w:ascii="Garamond" w:hAnsi="Garamond" w:cs="Arial"/>
          <w:i/>
          <w:iCs/>
          <w:color w:val="000000"/>
          <w:lang w:val="en-GB"/>
        </w:rPr>
        <w:t>Thyreoidea</w:t>
      </w:r>
      <w:r w:rsidRPr="0091528C">
        <w:rPr>
          <w:rFonts w:ascii="Garamond" w:hAnsi="Garamond" w:cs="Arial"/>
          <w:color w:val="000000"/>
          <w:lang w:val="en-GB"/>
        </w:rPr>
        <w:t xml:space="preserve"> rückgängig gemacht werden sollte. </w:t>
      </w:r>
      <w:r w:rsidRPr="00327933">
        <w:rPr>
          <w:rFonts w:ascii="Garamond" w:hAnsi="Garamond" w:cs="Arial"/>
          <w:color w:val="000000"/>
          <w:lang w:val="en-GB"/>
        </w:rPr>
        <w:t xml:space="preserve">Ich verwarf natürlich diese Herleitung und suchte sie durch eine andere zu ersetzen, die mit meinen Anschauungen über die Ätiologie neurotischer Symptome besser in Einklang stand. Auf die erste Frage nach einem Eindrucke aus der Jugend, der mit den Angstanfällen in kausalem Zusammenhange stünde, tauchte unter dem Drucke meiner Hand die Erinnerung an die Lektüre eines sogenannten Erbauungsbuches auf, in dem eine pietistisch genug gehaltene Erwähnung der Sexualvorgänge zu finden war. Die betreffende Stelle machte auf das Mädchen einen der Intention des Autors entgegengesetzten </w:t>
      </w:r>
      <w:r w:rsidRPr="00327933">
        <w:rPr>
          <w:rFonts w:ascii="Garamond" w:hAnsi="Garamond" w:cs="Arial"/>
          <w:color w:val="000000"/>
          <w:lang w:val="en-GB"/>
        </w:rPr>
        <w:lastRenderedPageBreak/>
        <w:t xml:space="preserve">Eindruck; sie brach in Tränen aus und schleuderte das Buch von sich. Dies war </w:t>
      </w:r>
      <w:r w:rsidRPr="00327933">
        <w:rPr>
          <w:rFonts w:ascii="Garamond" w:hAnsi="Garamond" w:cs="Arial"/>
          <w:i/>
          <w:iCs/>
          <w:color w:val="000000"/>
          <w:lang w:val="en-GB"/>
        </w:rPr>
        <w:t>vor</w:t>
      </w:r>
      <w:r w:rsidRPr="00327933">
        <w:rPr>
          <w:rFonts w:ascii="Garamond" w:hAnsi="Garamond" w:cs="Arial"/>
          <w:color w:val="000000"/>
          <w:lang w:val="en-GB"/>
        </w:rPr>
        <w:t xml:space="preserve"> dem ersten Angstanfalle. Ein zweiter Druck auf die Stirn der Kranken beschwor eine nächste Reminiszenz herauf, die Erinnerung an einen Erzieher der Brüder, der ihr große Ehrfurcht bezeugt und für den sie selbst eine wärmere Empfindung verspürt hatte. Diese Erinnerung gipfelte in der Reproduktion eines Abends im elterlichen Hause, an dem sie alle mit dem jungen Manne um den Tisch herumsaßen und sich im anregenden Gespräche so köstlich unterhielten. In der Nacht, die auf diesen Abend folgte, weckte sie der erste Angstanfall, der wohl mehr mit der Auflehnung gegen eine sinnliche Regung als mit dem etwa gleichzeitig gebrauchten Jod zu tun hatte. – Auf welche andere Weise hätte ich wohl Aussicht gehabt, bei dieser widerspenstigen, gegen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und jede weltliche Therapie eingenommenen Patientin einen solchen Zusammenhang gegen ihre eigene Meinung und Behauptung aufzudecken?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Ein anderes Mal handelte es sich um eine junge, glücklich verheiratete Frau, die schon in den ersten Mädchenjahren eine Zeitlang jeden Morgen in einem Zustande von Betäubung, mit starren Gliedern, offenem Munde und vorgestreckter Zunge gefunden wurde und die jetzt ähnliche, wenn auch nicht so arge Anfälle beim Aufwachen wiederholte. Eine tiefe Hypnose erwies sich als unerreichbar; ich begann also mit der Ausforschung im Zustande der Konzentration und versicherte ihr beim ersten Drucke, sie werde jetzt etwas sehen, was unmittelbar mit den Ursachen des Zustandes in der Kindheit zusammenhinge. Sie benahm sich ruhig und willig, sah die Wohnung wieder, in der sie die ersten Mädchenjahre verbracht hatte, ihr Zimmer, die Stellung ihres Bettes, die Großmutter, die damals mit ihnen lebte, und eine ihrer Gouvernanten, die sie sehr geliebt hatte. Mehrere kleine Szenen in diesen Räumen und zwischen diesen Personen, eigentlich alle belanglos, folgten einander; den Schluß machte der Abschied der Gouvernante, die vom Hause weg heiratete. Mit diesen Reminiszenzen wußte ich nun gar nichts anzufangen, eine Beziehung derselben zur Ätiologie der Anfälle konnte ich nicht herstellen. Es war allerdings, an verschiedenen Umständen kenntlich, die nämliche Zeit, in welcher die Anfälle zuerst erschienen waren.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Noch ehe ich aber die Analyse fortsetzen konnte, hatte ich Gelegenheit, mit einem Kollegen zu sprechen, der in früheren Jahren Arzt des elterlichen Hauses meiner Patientin gewesen war. Von ihm erhielt ich folgende Aufklärung: Zur Zeit, da er das reifende, körperlich sehr gut entwickelte Mädchen an jenen ersten Anfällen behandelte, fiel ihm die übergroße Zärtlichkeit im Verkehre zwischen ihr und der im Hause befindlichen Gouvernante auf. Er schöpfte Verdacht und veranlaßte die Großmutter, die Überwachung dieses Verkehrs zu übernehmen. Nach kurzer Zeit konnte die alte Dame ihm berichten, daß die Gouvernante dem Kinde nächtliche Besuche im Bette abzustatten pflege und daß ganz regelmäßig nach solchen Nächten das Kind am Morgen im Anfalle gefunden werde. Sie zögerten nun nicht, die geräuschlose Entfernung dieser Jugendverderberin durchzusetzen. Die Kinder und selbst die Mutter wurden in der Meinung erhalten, daß die Gouvernante das Haus verlasse, um zu heiraten.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Die zunächst erfolgreiche Therapie bestand nun darin, daß ich der jungen Frau die mir gegebene Aufklärung mitteilte.</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Gelegentlich erfolgen die Aufschlüsse, die man durch die Prozedur des Drückens erhält, in sehr merkwürdiger Form und unter Umständen, welche die Annahme einer unbewußten Intelligenz noch verlockender erscheinen lassen. So erinnere ich </w:t>
      </w:r>
      <w:smartTag w:uri="urn:schemas-microsoft-com:office:smarttags" w:element="State">
        <w:r w:rsidRPr="00327933">
          <w:rPr>
            <w:rFonts w:ascii="Garamond" w:hAnsi="Garamond" w:cs="Arial"/>
            <w:color w:val="000000"/>
            <w:lang w:val="en-GB"/>
          </w:rPr>
          <w:t>mich</w:t>
        </w:r>
      </w:smartTag>
      <w:r w:rsidRPr="00327933">
        <w:rPr>
          <w:rFonts w:ascii="Garamond" w:hAnsi="Garamond" w:cs="Arial"/>
          <w:color w:val="000000"/>
          <w:lang w:val="en-GB"/>
        </w:rPr>
        <w:t xml:space="preserve"> einer an Zwangsvorstellungen und Phobien seit vielen Jahren leidenden Dame, die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in betreff der Entstehung ihres Leidens auf ihre Kinderjahre verwies, aber auch gar nichts zu nennen wußte, was dafür zu beschuldigen gewesen wäre. Sie war aufrichtig und intelligent und leistete nur einen bemerkenswert geringen bewußten Widerstand. (Ich schalte hier ein, daß der psychische Mechanismus der Zwangsvorstellungen mit dem der hysterischen Symptome sehr viel innere Verwandtschaft hat und daß die Technik der Analyse für beide die nämliche ist.)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lastRenderedPageBreak/>
        <w:t xml:space="preserve">Als ich diese Dame fragte, ob sie unter dem Drucke meiner Hand etwas gesehen oder eine Erinnerung bekommen habe, antwortete sie: »Keines von beiden, aber mir ist plötzlich ein Wort eingefallen.« – »Ein einziges Wort?« – »Ja, aber es klingt zu dumm.« – »Sagen Sie es immerhin.« – »Hausmeister.« – »Weiter nichts?« – »Nein.« – Ich drückte zum zweiten Male, und nun kam wieder ein vereinzeltes Wort, das ihr durch den Sinn schoß: »Hemd.« Ich merkte nun, daß hier eine neuartige Weise, Antwort zu geben, vorliege, und beförderte durch wiederholten Druck eine anscheinend sinnlose Reihe von Worten heraus: »Hausmeister – Hemd – Bett – Stadt – Leiterwagen.« »Was soll das heißen?« fragte ich. Sie sann einen Moment nach, dann fiel ihr ein: »Das kann nur die eine Geschichte sein, die mir jetzt in den Sinn kommt. Wie ich zehn Jahre alt war und meine nächstälteste Schwester zwölf, da bekam sie einmal in der Nacht einen Tobsuchtsanfall und mußte gebunden und auf einem Leiterwagen in die Stadt geführt werden. Ich weiß es genau, daß es der Hausmeister war, der sie überwältigte und auch dann in die Anstalt begleitete.« – Wir setzten nun diese Art der Forschung </w:t>
      </w:r>
      <w:smartTag w:uri="urn:schemas-microsoft-com:office:smarttags" w:element="place">
        <w:smartTag w:uri="urn:schemas-microsoft-com:office:smarttags" w:element="PlaceType">
          <w:r w:rsidRPr="00327933">
            <w:rPr>
              <w:rFonts w:ascii="Garamond" w:hAnsi="Garamond" w:cs="Arial"/>
              <w:color w:val="000000"/>
              <w:lang w:val="en-GB"/>
            </w:rPr>
            <w:t>fort</w:t>
          </w:r>
        </w:smartTag>
        <w:r w:rsidRPr="00327933">
          <w:rPr>
            <w:rFonts w:ascii="Garamond" w:hAnsi="Garamond" w:cs="Arial"/>
            <w:color w:val="000000"/>
            <w:lang w:val="en-GB"/>
          </w:rPr>
          <w:t xml:space="preserve"> </w:t>
        </w:r>
        <w:smartTag w:uri="urn:schemas-microsoft-com:office:smarttags" w:element="PlaceName">
          <w:r w:rsidRPr="00327933">
            <w:rPr>
              <w:rFonts w:ascii="Garamond" w:hAnsi="Garamond" w:cs="Arial"/>
              <w:color w:val="000000"/>
              <w:lang w:val="en-GB"/>
            </w:rPr>
            <w:t>und</w:t>
          </w:r>
        </w:smartTag>
      </w:smartTag>
      <w:r w:rsidRPr="00327933">
        <w:rPr>
          <w:rFonts w:ascii="Garamond" w:hAnsi="Garamond" w:cs="Arial"/>
          <w:color w:val="000000"/>
          <w:lang w:val="en-GB"/>
        </w:rPr>
        <w:t xml:space="preserve"> bekamen von unserem Orakel andere Wortreihen zu hören, die wir zwar nicht sämtlich deuten konnten, die sich aber doch zur Fortsetzung dieser Geschichte und zur Anknüpfung einer zweiten verwerten ließen. Auch die Bedeutung dieser Reminiszenz ergab sich bald. Die Erkrankung der Schwester hatte auf sie darum so tiefen Eindruck gemacht, weil die beiden ein Geheimnis miteinander teilten; sie schliefen in einem Zimmer und hatten in einer bestimmten Nacht beide die sexuellen Angriffe einer gewissen männlichen Person über sich ergehen lassen. Mit der Erwähnung dieses sexuellen Traumas in früher Jugend war aber nicht nur die Herkunft der ersten Zwangsvorstellungen, sondern auch das späterhin pathogen wirkende Trauma aufgedeckt. – Die Sonderbarkeit dieses Falles bestand nur in dem Auftauchen von einzelnen Schlagworten, die von uns zu Sätzen verarbeitet werden mußten, denn der Schein der Beziehungs- und Zusammenhangslosigkeit haftet an den ganzen Einfällen und Szenen, die sich sonst beim Drücken ergeben, geradeso wie an diesen orakelhaft hervorgestoßenen Worten. Bei weiterer Verfolgung stellt sich dann regelmäßig heraus, daß die scheinbar unzusammenhängenden Reminiszenzen durch Gedankenbande enge verknüpft sind und daß sie ganz direkt zu dem gesuchten pathogenen Moment hinführen.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Gerne erinnere ich mich daher an einen Fall von Analyse, in welchem mein Zutrauen in die Ergebnisse des Drückens zuerst auf eine harte Probe gestellt, dann aber glänzend gerechtfertigt wurde: Eine sehr intelligente und anscheinend sehr glückliche junge Frau hatte mich wegen eines hartnäckigen Schmerzes im Unterleibe konsultiert, welcher der Therapie nicht weichen wollte. Ich erkannte, daß der Schmerz in den Bauchdecken sitze, auf greifbare Muskelschwielen zu beziehen sei, und ordnete lokale Behandlung an.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Nach Monaten sah ich die Kranke wieder, die mir sagte: »Der Schmerz von damals ist nach der angeratenen Behandlung vergangen und lange weggeblieben, aber jetzt ist er als nervöser wiedergekehrt. Ich erkenne es daran, daß ich ihn nicht mehr bei Bewegungen habe wie früher, sondern nur zu bestimmten Stunden, z. B. morgens beim Erwachen und bei Aufregungen von gewisser Art.« – Die Diagnose der Dame war ganz richtig; es galt jetzt, die Ursache dieses Schmerzes aufzufinden, und dazu konnte sie mir im unbeeinflußten Zustande nicht verhelfen. In der Konzentration und unter dem Drucke meiner Hand, als ich sie fragte, ob ihr etwas einfiele oder ob sie etwas sehe, entschied sie sich fürs Sehen und begann mir ihre Gesichtsbilder zu beschreiben. Sie sah etwas wie eine Sonne mit Strahlen, was ich natürlich für ein Phosphen, hervorgebracht durch Druck auf die Augen, halten mußte. Ich erwartete, daß Brauchbareres nachkommen würde, allein sie setzte fort: Sterne von eigentümlich blaßblauem Lichte wie Mondlicht u. dgl. m., lauter Flimmer, Glanz und leuchtende Punkte vor den Augen, wie ich meinte. Ich war schon bereit, diesen Versuch zu den mißglückten zu zählen, und dachte daran, wie ich mich unauffällig aus der Affäre ziehen könnte, als mich eine der Erscheinungen, die sie beschrieb, aufmerksam machte. Ein großes schwarzes Kreuz, wie sie es sah, das geneigt stand, an seinen Rändern denselben Lichtschimmer wie vom Mondlicht hatte, in dem alle bisherigen Bilder erglänzt hatten, und auf dessen Balken ein Flämmchen flackerte; das war doch offenbar kein Phosphen mehr. Ich horchte nun auf: es kamen massenhafte Bilder in demselben Lichte, eigentümliche Zeichen, die etwa dem Sanskrit ähnlich </w:t>
      </w:r>
      <w:r w:rsidRPr="00327933">
        <w:rPr>
          <w:rFonts w:ascii="Garamond" w:hAnsi="Garamond" w:cs="Arial"/>
          <w:color w:val="000000"/>
          <w:lang w:val="en-GB"/>
        </w:rPr>
        <w:lastRenderedPageBreak/>
        <w:t>sahen, ferner Figuren wie Dreiecke, ein großes Dreieck darunter; wiederum das Kreuz ... Diesmal vermute ich eine allegorische Bedeutung und frage: »Was soll dieses Kreuz?« – »Es ist wahrscheinlich der Schmerz gemeint«, antwortet sie. – Ich wende ein, unter »Kreuz« verstünde man meist eine moralische Last; was versteckt sich hinter dem Schmerze? – Sie weiß es nicht zu sagen und fährt in ihren Gesichten fort: Eine Sonne mit goldenen Strahlen, die sie auch zu deuten weiß – das ist Gott, die Urkraft; dann eine riesengroße Eidechse, die sie fragend, aber nicht schreckhaft anschaut, dann ein Haufen von Schlangen, dann wieder eine Sonne, aber mit milden silbernen Strahlen, und vor ihr, zwischen ihrer Person und dieser Lichtquelle, ein Gitter, welches ihr den Mittelpunkt der Sonne verdeckt.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Ich weiß längst, daß ich es mit Allegorien zu tun habe, und frage sofort nach der Bedeutung des letzten Bildes. Sie antwortet, ohne sich zu besinnen: »Die Sonne ist die Vollkommenheit, das Ideal, und das Gitter sind meine Schwächen und Fehler, die zwischen mir und dem Ideal stehen.« – »Ja, machen Sie sich denn Vorwürfe, sind Sie mit sich unzufrieden?« – »Freilich.« – »Seit wann denn?« – »Seitdem ich Mitglied der theosophischen Gesellschaft bin und die von ihr herausgegebenen Schriften lese. Eine geringe Meinung von mir hatte ich immer.« – »Was hat denn zuletzt den stärksten Eindruck auf Sie gemacht?« – »Eine Übersetzung aus dem Sanskrit, die jetzt in Lieferungen erscheint.« – Eine Minute später bin ich in ihre Seelenkämpfe, in die Vorwürfe, die sie sich macht, eingeweiht und höre von einem kleinen Erlebnis, das zu einem Vorwurfe Anlaß gab und bei dem der früher organische Schmerz als Erfolg einer Erregungskonversion zuerst auftrat. – Die Bilder, die ich anfangs für Phosphene gehalten hatte, waren Symbole okkultistischer Gedankengänge, vielleicht geradezu Embleme von den Titelblättern okkultistischer Bücher.</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Ich habe jetzt die Leistungen der Hilfsprozedur des Drückens so warm gepriesen und den Gesichtspunkt der Abwehr oder des Widerstandes die ganze Zeit über so sehr vernachlässigt, daß ich sicherlich den Eindruck erweckt haben dürfte, man sei nun durch diesen kleinen Kunstgriff in den Stand gesetzt, des psychischen Hindernisses gegen eine kathartische Kur Herr zu werden. Allein dies zu glauben, wäre ein arger Irrtum; es gibt dergleichen Profite nicht in der Therapie, soviel ich sehe; zur großen Veränderung wird hier wie überall große Arbeit erfordert. Die Druckprozedur ist weiter nichts als ein Kniff, das abwehrlustige Ich für eine Weile zu überrumpeln; in allen ernsteren Fällen besinnt es sich wieder auf seine Absichten und setzt seinen Widerstand fort.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Ich habe der verschiedenen Formen zu gedenken, in welchen dieser Widerstand auftritt. Zunächst das erste oder zweite Mal mißlingt der Druckversuch gewöhnlich. Der Kranke äußert dann sehr enttäuscht: »Ich habe geglaubt, es wird mir etwas einfallen, aber ich habe nur gedacht, wie gespannt ich darauf bin; gekommen ist nichts.« Solches Sich-in-Positur-Setzen des Patienten ist noch nicht zu den Hindernissen zu zählen; man sagt darauf: »Sie waren eben zu neugierig; das zweitemal wird es dafür gehen.« Und es geht dann wirklich. Es ist merkwürdig, wie vollständig oft die Kranken – und die gefügigsten und intelligentesten mit – an die Verabredung vergessen können, zu der sie sich doch vorher verstanden haben. Sie haben versprochen, alles zu sagen, was ihnen unter dem Drucke der Hand einfällt, gleichgültig, ob es ihnen beziehungsvoll erscheint oder nicht und ob es ihnen angenehm zu sagen ist oder nicht, also ohne Auswahl, ohne Beeinflussung durch Kritik oder Affekt. Sie halten sich aber nicht an dieses Versprechen, es geht offenbar über ihre Kräfte. Allemal stockt die Arbeit, immer wieder behaupten sie, diesmal sei ihnen nichts eingefallen. Man darf ihnen dies nicht glauben, man muß dann immer annehmen und auch äußern, sie hielten etwas zurück, weil sie es für unwichtig halten oder peinlich empfinden. Man besteht darauf, man wiederholt den Druck, man stellt sich unfehlbar, bis man wirklich etwas zu hören bekommt. Dann fügt der Kranke hinzu: »Das hätte ich Ihnen schon das erstemal sagen können.« – Warum haben Sie es nicht gesagt? – »Ich hab' mir nicht denken können, daß es </w:t>
      </w:r>
      <w:r w:rsidRPr="00327933">
        <w:rPr>
          <w:rFonts w:ascii="Garamond" w:hAnsi="Garamond" w:cs="Arial"/>
          <w:i/>
          <w:iCs/>
          <w:color w:val="000000"/>
          <w:lang w:val="en-GB"/>
        </w:rPr>
        <w:t>das</w:t>
      </w:r>
      <w:r w:rsidRPr="00327933">
        <w:rPr>
          <w:rFonts w:ascii="Garamond" w:hAnsi="Garamond" w:cs="Arial"/>
          <w:color w:val="000000"/>
          <w:lang w:val="en-GB"/>
        </w:rPr>
        <w:t xml:space="preserve"> sein sollte. Erst als es jedesmal wiedergekommen ist, habe ich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entschlossen, es zu sagen.« – </w:t>
      </w:r>
      <w:smartTag w:uri="urn:schemas-microsoft-com:office:smarttags" w:element="place">
        <w:r w:rsidRPr="00327933">
          <w:rPr>
            <w:rFonts w:ascii="Garamond" w:hAnsi="Garamond" w:cs="Arial"/>
            <w:color w:val="000000"/>
            <w:lang w:val="en-GB"/>
          </w:rPr>
          <w:t>Oder</w:t>
        </w:r>
      </w:smartTag>
      <w:r w:rsidRPr="00327933">
        <w:rPr>
          <w:rFonts w:ascii="Garamond" w:hAnsi="Garamond" w:cs="Arial"/>
          <w:color w:val="000000"/>
          <w:lang w:val="en-GB"/>
        </w:rPr>
        <w:t xml:space="preserve">: »Ich habe gehofft, gerade das wird es nicht sein; das kann ich mir ersparen zu sagen; erst als es sich nicht verdrängen ließ, habe ich gemerkt, es wird mir nichts geschenkt.« So verrät der Kranke nachträglich die Motive eines </w:t>
      </w:r>
      <w:r w:rsidRPr="00327933">
        <w:rPr>
          <w:rFonts w:ascii="Garamond" w:hAnsi="Garamond" w:cs="Arial"/>
          <w:color w:val="000000"/>
          <w:lang w:val="en-GB"/>
        </w:rPr>
        <w:lastRenderedPageBreak/>
        <w:t>Widerstandes, den er anfänglich gar nicht einbekennen wollte. Er kann offenbar gar nicht anders als Widerstand leisten.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Es ist merkwürdig, hinter welchen Ausflüchten sich dieser Widerstand häufig verbirgt. »Ich bin heute zerstreut,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stört die Uhr oder das Klavierspiel im Nebenzimmer.« Ich habe gelernt, darauf zu antworten: »Keineswegs, Sie stoßen jetzt auf etwas, was Sie nicht gerne sagen wollen. Das nützt Ihnen nichts. Verweilen Sie nur dabei.« – Je länger die Pause zwischen dem Drucke meiner Hand und der Äußerung des Kranken ausfällt, desto mißtrauischer werde ich, desto eher steht zu befürchten, daß der Kranke sich das zurechtlegt, was ihm eingefallen ist, und es in der Reproduktion verstümmelt. Die wichtigsten Aufklärungen kommen häufig mit der Ankündigung als überflüssiges Beiwerk, wie die als Bettler verkleideten Prinzen der Oper: »Jetzt ist mir etwas eingefallen, das hat aber nichts damit zu schaffen. </w:t>
      </w:r>
      <w:r w:rsidRPr="00327933">
        <w:rPr>
          <w:rFonts w:ascii="Garamond" w:hAnsi="Garamond" w:cs="Arial"/>
          <w:color w:val="000000"/>
        </w:rPr>
        <w:t xml:space="preserve">Ich sage es Ihnen nur, weil Sie alles zu wissen verlangen.« </w:t>
      </w:r>
      <w:r w:rsidRPr="00327933">
        <w:rPr>
          <w:rFonts w:ascii="Garamond" w:hAnsi="Garamond" w:cs="Arial"/>
          <w:color w:val="000000"/>
          <w:lang w:val="en-GB"/>
        </w:rPr>
        <w:t>Mit dieser Einbegleitung kommt dann meist die langersehnte Lösung; ich horche immer auf, wenn ich den Kranken so geringschätzig von einem Einfalle reden höre. Es ist nämlich ein Zeichen der gelungenen Abwehr, daß die pathogenen Vorstellungen bei ihrem Wiederauftauchen sowenig bedeutsam erscheinen; man kann daraus erschließen, worin der Prozeß der Abwehr bestand; er bestand darin, aus der starken Vorstellung eine schwache zu machen, ihr den Affekt zu entreißen.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Die pathogene Erinnerung erkennt man also unter anderen Merkmalen daran, daß sie vom Kranken als unwesentlich bezeichnet und doch nur mit Widerstand ausgesprochen wird. Es gibt auch Fälle, wo sie der Kranke noch bei ihrer Wiederkehr zu verleugnen sucht: »Jetzt ist mir etwas eingefallen, aber das haben Sie mir offenbar eingeredet«, oder: »Ich weiß, was Sie sich bei dieser Frage erwarten. Sie meinen gewiß, ich habe dies und jenes gedacht.« Eine besonders kluge Weise der Verleugnung liegt darin zu sagen: »Jetzt ist mir allerdings etwas eingefallen; aber das kommt mir vor, als hätte ich es willkürlich hinzugefügt; es scheint mir kein reproduzierter Gedanke zu sein.« – Ich bleibe in all diesen Fällen unerschütterlich fest, ich gehe auf keine dieser Distinktionen ein, sondern erkläre dem Kranken, das seien nur Formen und Vorwände des Widerstandes gegen die Reproduktion der einen Erinnerung, die wir trotzdem anerkennen müßten.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Bei der Wiederkehr von Bildern hat man im allgemeinen leichteres Spiel als bei der von Gedanken; die Hysterischen, die zumeist Visuelle sind, machen es dem Analytiker nicht so schwer wie die Leute mit Zwangsvorstellungen. Ist einmal ein Bild aus der Erinnerung aufgetaucht, so kann man den Kranken sagen hören, daß es in dem Maße zerbröckle und undeutlich werde, wie er in seiner Schilderung desselben fortschreite. </w:t>
      </w:r>
      <w:r w:rsidRPr="00327933">
        <w:rPr>
          <w:rFonts w:ascii="Garamond" w:hAnsi="Garamond" w:cs="Arial"/>
          <w:i/>
          <w:iCs/>
          <w:color w:val="000000"/>
          <w:lang w:val="en-GB"/>
        </w:rPr>
        <w:t>Der Kranke trägt es gleichsam ab, indem er es in Worte umsetzt.</w:t>
      </w:r>
      <w:r w:rsidRPr="00327933">
        <w:rPr>
          <w:rFonts w:ascii="Garamond" w:hAnsi="Garamond" w:cs="Arial"/>
          <w:color w:val="000000"/>
          <w:lang w:val="en-GB"/>
        </w:rPr>
        <w:t xml:space="preserve"> Man orientiert sich nun an dem Erinnerungsbilde selbst, um die Richtung zu finden, nach welcher die Arbeit fortzusetzen ist. »Schauen Sie sich das Bild nochmals an. Ist es verschwunden?« – »Im ganzen ja, aber dieses Detail sehe ich noch.« – »Dann hat dies noch etwas zu bedeuten. Sie werden entweder etwas Neues dazu sehen, oder es wird Ihnen bei diesem Rest etwas einfallen.« – Wenn die Arbeit beendigt ist, zeigt sich das Gesichtsfeld wieder frei, man kann ein anderes Bild hervorlocken. Andere Male aber bleibt ein solches Bild hartnäckig vor dem inneren Auge des Kranken stehen, trotz seiner Beschreibung, und das ist für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ein Zeichen, daß er mir noch etwas Wichtiges über das Thema des Bildes zu sagen hat. Sobald er dies vollzogen hat, schwindet das Bild, wie ein erlöster Geist zur Ruhe eingeht.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Es ist natürlich von hohem Werte für den Fortgang der Analyse, daß man dem Kranken gegenüber jedesmal recht behalte, sonst hängt man ja davon ab, was er mitzuteilen für gut findet. Es ist darum tröstlich zu hören, daß die Prozedur des Drückens eigentlich niemals fehlschlägt, von einem einzigen Falle abgesehen, den ich später zu würdigen habe, den ich aber sogleich durch die Bemerkung kennzeichnen kann, er entspreche einem besonderen Motiv zum Widerstände. Es kann freilich vorkommen, daß man die Prozedur unter Verhältnissen anwendet, in denen sie nichts zutage fördern darf; man fragt z. B. nach der weiteren Ätiologie eines Symptoms, wenn dieselbe bereits abgeschlossen vorliegt, oder man forscht </w:t>
      </w:r>
      <w:r w:rsidRPr="00327933">
        <w:rPr>
          <w:rFonts w:ascii="Garamond" w:hAnsi="Garamond" w:cs="Arial"/>
          <w:color w:val="000000"/>
          <w:lang w:val="en-GB"/>
        </w:rPr>
        <w:lastRenderedPageBreak/>
        <w:t>nach der psychischen Genealogie eines Symptoms, etwa eines Schmerzes, der in Wahrheit ein somatischer Schmerz war; in diesen Fällen behauptet der Kranke gleichfalls, es sei ihm nichts eingefallen, und befindet sich im Rechte. Man wird sich davor behüten, ihm Unrecht zu tun, wenn man es sich ganz allgemein zur Regel macht, während der Analyse die Miene des ruhig Daliegenden nicht aus dem Auge zu lassen. Man lernt dann ohne jede Schwierigkeit die seelische Ruhe bei wirklichem Ausbleiben einer Reminiszenz von der Spannung und den Affektanzeichen zu unterscheiden, unter welchen der Kranke im Dienste der Abwehr die auftauchende Reminiszenz zu verleugnen sucht. Auf solchen Erfahrungen ruht übrigens auch die differentialdiagnostische Anwendung der Druckprozedur.</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Es ist also die Arbeit auch mit Hilfe der Druckprozedur keine mühelose. Man hat nur den einen Vorteil gewonnen, daß man aus den Ergebnissen dieses Verfahrens gelernt hat, nach welcher Richtung man zu forschen und welche Dinge man dem Kranken aufzudrängen hat. Für manche Fälle reicht dies aus; es handelt sich ja wesentlich darum, daß ich das Geheimnis errate und es dem Kranken ins Gesicht zusage; er muß dann meist seine Ablehnung aufgeben. In anderen Fällen brauche ich mehr; der überdauernde Widerstand des Kranken zeigt sich darin, daß die Zusammenhänge reißen, die Lösungen ausbleiben, die erinnerten Bilder undeutlich und unvollständig kommen. Man erstaunt oft, wenn man aus einer späteren Periode einer Analyse auf die früheren zurückblickt, wie verstümmelt alle die Einfälle und Szenen waren, die man dem Kranken durch die Prozedur des Drückens entrissen hat. Es fehlte gerade das Wesentliche daran, die Beziehung auf die Person oder auf das Thema, und das Bild blieb darum unverständlich. Ich will ein oder zwei Beispiele für das Wirken einer solchen Zensurierung beim ersten Auftauchen der pathogenen Erinnerungen geben. Der Kranke sieht z. B. einen weiblichen Oberkörper, an dessen Hülle wie durch Nachlässigkeit etwas klafft; erst viel später fügt er zu diesem Torso den Kopf, um damit eine Person und eine Beziehung zu verraten. </w:t>
      </w:r>
      <w:smartTag w:uri="urn:schemas-microsoft-com:office:smarttags" w:element="place">
        <w:r w:rsidRPr="00327933">
          <w:rPr>
            <w:rFonts w:ascii="Garamond" w:hAnsi="Garamond" w:cs="Arial"/>
            <w:color w:val="000000"/>
            <w:lang w:val="en-GB"/>
          </w:rPr>
          <w:t>Oder</w:t>
        </w:r>
      </w:smartTag>
      <w:r w:rsidRPr="00327933">
        <w:rPr>
          <w:rFonts w:ascii="Garamond" w:hAnsi="Garamond" w:cs="Arial"/>
          <w:color w:val="000000"/>
          <w:lang w:val="en-GB"/>
        </w:rPr>
        <w:t xml:space="preserve"> er erzählt eine Reminiszenz aus seiner Kindheit von zwei Buben, deren Gestalt ihm ganz dunkel ist, denen man eine gewisse Unart nachgesagt hätte. Es bedarf vieler Monate und großer Fortschritte im Gange der Analyse, bis er diese Reminiszenz wiedersieht und in dem einen der Kinder sich selbst, im anderen seinen Bruder erkennt. Welche Mittel hat man nun zur Verfügung, um diesen fortgesetzten Widerstand zu überwinden?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Wenige, aber doch fast alle die, durch die sonst ein Mensch eine psychische Einwirkung auf einen anderen übt. Man muß sich zunächst sagen, daß psychischer Widerstand, besonders ein seit langem konstituierter, nur langsam und schrittweise aufgelöst werden kann, und muß in Geduld warten. Sodann darf man auf das intellektuelle Interesse rechnen, das sich nach kurzer Arbeit beim Kranken zu regen beginnt. Indem man ihn aufklärt, ihm von der wundersamen Welt der psychischen Vorgänge Mitteilungen macht, in die man selbst erst durch solche Analysen Einblick gewonnen hat, gewinnt man ihn selbst zum Mitarbeiter, bringt ihn dazu, sich selbst mit dem objektiven Interesse des Forschers zu betrachten, und drängt so den auf affektiver Basis beruhenden Widerstand zurück. Endlich aber – und dies bleibt der stärkste Hebel – muß man versuchen, nachdem man diese Motive seiner Abwehr erraten, die Motive zu entwerten oder selbst sie durch stärkere zu ersetzen. Hier hört wohl die Möglichkeit auf, die psychotherapeutische Tätigkeit in Formeln zu fassen. Man wirkt, so gut man kann, als Aufklärer, wo die Ignoranz eine Scheu erzeugt hat, als Lehrer, als Vertreter einer freieren oder überlegenen Weltauffassung, als Beichthörer, der durch die Fortdauer seiner Teilnahme und seiner Achtung nach abgelegtem Geständnisse gleichsam Absolution erteilt; man sucht dem Kranken menschlich etwas zu leisten, soweit der Umfang der eigenen Persönlichkeit und das Maß von Sympathie, das man für den betreffenden Fall aufbringen kann, dies gestatten. Für solche psychische Betätigung ist als unerläßliche Voraussetzung erforderlich, daß man die Natur des Falles und die Motive der hier wirksamen Abwehr ungefähr erraten habe, und zum Glück trägt die Technik des Drängens und der Druckprozedur gerade so weit. Je mehr man dergleichen Rätsel bereits gelöst hat, desto leichter wird man vielleicht ein neues erraten und desto früher wird man die eigentlich heilende psychische Arbeit in Angriff nehmen können. Denn es ist gut, sich dies völlig klarzumachen: Wenn auch der Kranke sich von dem hysterischen Symptome erst befreit, indem er die es verursachenden </w:t>
      </w:r>
      <w:r w:rsidRPr="00327933">
        <w:rPr>
          <w:rFonts w:ascii="Garamond" w:hAnsi="Garamond" w:cs="Arial"/>
          <w:color w:val="000000"/>
          <w:lang w:val="en-GB"/>
        </w:rPr>
        <w:lastRenderedPageBreak/>
        <w:t xml:space="preserve">pathogenen Eindrücke reproduziert und unter Affektäußerung ausspricht, so liegt doch die therapeutische Aufgabe </w:t>
      </w:r>
      <w:r w:rsidRPr="00327933">
        <w:rPr>
          <w:rFonts w:ascii="Garamond" w:hAnsi="Garamond" w:cs="Arial"/>
          <w:i/>
          <w:iCs/>
          <w:color w:val="000000"/>
          <w:lang w:val="en-GB"/>
        </w:rPr>
        <w:t>nur darin, ihn dazu zu bewegen</w:t>
      </w:r>
      <w:r w:rsidRPr="00327933">
        <w:rPr>
          <w:rFonts w:ascii="Garamond" w:hAnsi="Garamond" w:cs="Arial"/>
          <w:color w:val="000000"/>
          <w:lang w:val="en-GB"/>
        </w:rPr>
        <w:t>, und wenn diese Aufgabe einmal gelöst ist, so bleibt für den Arzt nichts mehr zu korrigieren oder aufzuheben übrig. Alles, was es an Gegensuggestionen dafür braucht, ist bereits während der Bekämpfung des Widerstandes aufgewendet worden. Der Fall ist etwa mit dem Aufschließen einer versperrten Türe zu vergleichen, wonach das Niederdrücken der Klinke, um sie zu öffnen, keine Schwierigkeit mehr hat.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Neben den intellektuellen Motiven, die man zur Überwindung des Widerstandes heranzieht, wird man ein affektives Moment, die persönliche Geltung des Arztes, selten entbehren können, und in einer Anzahl von Fällen wird letzteres allein imstande sein, den Widerstand zu beheben. Das ist hier nicht anders als sonst in der Medizin, und man wird keiner therapeutischen Methode zumuten dürfen, auf die Mitwirkung dieses persönlichen Moments gänzlich zu verzichten.</w:t>
      </w:r>
    </w:p>
    <w:p w:rsidR="0091528C" w:rsidRPr="00327933" w:rsidRDefault="0091528C" w:rsidP="0091528C">
      <w:pPr>
        <w:rPr>
          <w:rFonts w:ascii="Garamond" w:hAnsi="Garamond" w:cs="Arial"/>
          <w:b/>
          <w:bCs/>
          <w:color w:val="000000"/>
          <w:lang w:val="en-GB"/>
        </w:rPr>
      </w:pPr>
      <w:r w:rsidRPr="00327933">
        <w:rPr>
          <w:rFonts w:ascii="Garamond" w:hAnsi="Garamond" w:cs="Arial"/>
          <w:b/>
          <w:bCs/>
          <w:color w:val="000000"/>
          <w:lang w:val="en-GB"/>
        </w:rPr>
        <w:t>3</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Angesichts der Ausführungen des vorstehenden Abschnittes, der Schwierigkeiten meiner Technik, die ich rückhaltlos aufgedeckt habe – ich habe sie übrigens aus den schwersten Fällen zusammengetragen, es wird oft sehr viel bequemer gehen –, angesichts dieses Sachverhaltes also wird wohl jeder die Frage aufwerfen wollen, ob es nicht zweckmäßiger sei, anstatt all dieser Quälereien sich energischer um die Hypnose zu bemühen oder die Anwendung der kathartischen Methode auf solche Kranke zu beschränken, die in tiefe Hypnose zu versetzen sind. Auf letzteren Vorschlag müßte ich antworten, daß dann die Zahl der brauchbaren Patienten für </w:t>
      </w:r>
      <w:r w:rsidRPr="00327933">
        <w:rPr>
          <w:rFonts w:ascii="Garamond" w:hAnsi="Garamond" w:cs="Arial"/>
          <w:i/>
          <w:iCs/>
          <w:color w:val="000000"/>
          <w:lang w:val="en-GB"/>
        </w:rPr>
        <w:t>meine</w:t>
      </w:r>
      <w:r w:rsidRPr="00327933">
        <w:rPr>
          <w:rFonts w:ascii="Garamond" w:hAnsi="Garamond" w:cs="Arial"/>
          <w:color w:val="000000"/>
          <w:lang w:val="en-GB"/>
        </w:rPr>
        <w:t xml:space="preserve"> Geschicklichkeit allzusehr einschrumpfen würde; dem ersteren Rate aber werde ich die Mutmaßung entgegensetzen, es dürfte durch Erzwingen der Hypnose nicht viel vom Widerstande zu ersparen sein. Meine Erfahrungen hierüber sind eigentümlicherweise nur wenig zahlreich, ich kann daher nicht über die Mutmaßung hinauskommen; aber wo ich eine kathartische Kur in der Hypnose anstatt in der Konzentration durchgeführt habe, fand ich die mir zufallende Arbeit dadurch nicht verringert. Ich habe erst unlängst eine solche Behandlung beendigt, in deren Verlauf ich eine hysterische Lähmung der Beine zum Weichen brachte. Die Patientin geriet in einen Zustand, der psychisch vom Wachen sehr verschieden war und somatisch dadurch ausgezeichnet, daß sie die Augen unmöglich öffnen oder sich erheben konnte, ehe ich ihr zugerufen hatte: »Jetzt wachen Sie auf«, und doch habe ich in keinem Falle größeren Widerstand gefunden als gerade in diesem. Ich legte auf diese körperlichen Zeichen keinen Wert, und gegen Ende der zehn Monate währenden Behandlung waren sie auch unmerklich geworden; der Zustand der Patientin, in dem wir arbeiteten, hatte darum von seinen Eigentümlichkeiten, der Fähigkeit, sich an Unbewußtes zu erinnern, der ganz besonderen Beziehung zur Person des Arztes, nichts eingebüßt. In der Geschichte der Frau Emmy v. N... habe ich allerdings ein Beispiel einer im tiefsten Somnambulismus ausgeführten kathartischen Kur geschildert, in welcher der Widerstand fast keine Rolle spielte. Allein von dieser Frau habe ich auch nichts erfahren, zu dessen Mitteilung es einer besonderen Überwindung bedurft hätte, nichts, was sie mir nicht bei längerer Bekanntschaft und einiger Schätzung auch im Wachen hätte erzählen können. Auf die eigentlichen Ursachen ihrer Erkrankung, sicherlich identisch mit den Ursachen ihrer Rezidiven nach meiner Behandlung, bin ich gar nicht gekommen – es war eben mein erster Versuch in dieser Therapie –, und das einzige Mal, als ich zufällig eine Reminiszenz von ihr forderte, in die sich ein Stück Erotik einmengte, fand ich sie ebenso widerstrebend und unverläßlich in ihren Angaben wie später irgendeine andere meiner nicht somnambulen Patientinnen. Von dem Widerstande dieser Frau auch im Somnambulismus gegen andere Anforderungen und Zumutungen habe ich bereits in ihrer Krankengeschichte gesprochen. Überhaupt ist mir der Wert der Hypnose für die Erleichterung kathartischer Kuren zweifelhaft geworden, seitdem ich Beispiele erlebt habe von absoluter therapeutischer Unfügsamkeit bei ausgezeichnetem andersartigen Gehorsam im tiefen Somnambulismus. Einen Fall dieser Art habe ich kurz auf [1895 </w:t>
      </w:r>
      <w:r w:rsidRPr="00327933">
        <w:rPr>
          <w:rFonts w:ascii="Garamond" w:hAnsi="Garamond" w:cs="Arial"/>
          <w:i/>
          <w:iCs/>
          <w:color w:val="000000"/>
          <w:lang w:val="en-GB"/>
        </w:rPr>
        <w:t>d</w:t>
      </w:r>
      <w:r w:rsidRPr="00327933">
        <w:rPr>
          <w:rFonts w:ascii="Garamond" w:hAnsi="Garamond" w:cs="Arial"/>
          <w:color w:val="000000"/>
          <w:lang w:val="en-GB"/>
        </w:rPr>
        <w:t xml:space="preserve">] S. </w:t>
      </w:r>
      <w:smartTag w:uri="urn:schemas-microsoft-com:office:smarttags" w:element="metricconverter">
        <w:smartTagPr>
          <w:attr w:name="ProductID" w:val="156 f"/>
        </w:smartTagPr>
        <w:r w:rsidRPr="00327933">
          <w:rPr>
            <w:rFonts w:ascii="Garamond" w:hAnsi="Garamond" w:cs="Arial"/>
            <w:color w:val="000000"/>
            <w:lang w:val="en-GB"/>
          </w:rPr>
          <w:t>156 f</w:t>
        </w:r>
      </w:smartTag>
      <w:r w:rsidRPr="00327933">
        <w:rPr>
          <w:rFonts w:ascii="Garamond" w:hAnsi="Garamond" w:cs="Arial"/>
          <w:color w:val="000000"/>
          <w:lang w:val="en-GB"/>
        </w:rPr>
        <w:t xml:space="preserve">. mitgeteilt; ich könnte noch andere hinzufügen. Ich gestehe übrigens, daß diese Erfahrung meinem Bedürfnis nach </w:t>
      </w:r>
      <w:r w:rsidRPr="00327933">
        <w:rPr>
          <w:rFonts w:ascii="Garamond" w:hAnsi="Garamond" w:cs="Arial"/>
          <w:color w:val="000000"/>
          <w:lang w:val="en-GB"/>
        </w:rPr>
        <w:lastRenderedPageBreak/>
        <w:t>quantitativer Relation zwischen Ursache und Wirkung auch auf psychischem Gebiete nicht übel entsprochen hat.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In der bisherigen Darstellung hat sich uns die Idee des </w:t>
      </w:r>
      <w:r w:rsidRPr="00327933">
        <w:rPr>
          <w:rFonts w:ascii="Garamond" w:hAnsi="Garamond" w:cs="Arial"/>
          <w:i/>
          <w:iCs/>
          <w:color w:val="000000"/>
          <w:lang w:val="en-GB"/>
        </w:rPr>
        <w:t>Widerstandes</w:t>
      </w:r>
      <w:r w:rsidRPr="00327933">
        <w:rPr>
          <w:rFonts w:ascii="Garamond" w:hAnsi="Garamond" w:cs="Arial"/>
          <w:color w:val="000000"/>
          <w:lang w:val="en-GB"/>
        </w:rPr>
        <w:t xml:space="preserve"> in den Vordergrund gedrängt; ich habe gezeigt, wie man bei der therapeutischen Arbeit zu der Auffassung geleitet wird, die Hysterie entstehe durch die Verdrängung einer unverträglichen Vorstellung aus dem Motive der Abwehr, die verdrängte Vorstellung bleibe als eine schwache (wenig intensive) Erinnerungsspur bestehen, der ihr entrissene Affekt werde für eine somatische Innervation verwendet: Konversion der Erregung. Die Vorstellung werde also gerade durch ihre Verdrängung Ursache krankhafter Symptome, also pathogen. Einer Hysterie, die diesen psychischen Mechanismus aufweist, darf man den Namen » </w:t>
      </w:r>
      <w:r w:rsidRPr="00327933">
        <w:rPr>
          <w:rFonts w:ascii="Garamond" w:hAnsi="Garamond" w:cs="Arial"/>
          <w:i/>
          <w:iCs/>
          <w:color w:val="000000"/>
          <w:lang w:val="en-GB"/>
        </w:rPr>
        <w:t>Abwehrhysterie</w:t>
      </w:r>
      <w:r w:rsidRPr="00327933">
        <w:rPr>
          <w:rFonts w:ascii="Garamond" w:hAnsi="Garamond" w:cs="Arial"/>
          <w:color w:val="000000"/>
          <w:lang w:val="en-GB"/>
        </w:rPr>
        <w:t xml:space="preserve">« beilegen. Nun haben wir beide, Breuer und ich, zu wiederholten Malen von zwei anderen Arten der Hysterie gesprochen, für welche wir die Namen » </w:t>
      </w:r>
      <w:r w:rsidRPr="00327933">
        <w:rPr>
          <w:rFonts w:ascii="Garamond" w:hAnsi="Garamond" w:cs="Arial"/>
          <w:i/>
          <w:iCs/>
          <w:color w:val="000000"/>
          <w:lang w:val="en-GB"/>
        </w:rPr>
        <w:t>Hypnoid</w:t>
      </w:r>
      <w:r w:rsidRPr="00327933">
        <w:rPr>
          <w:rFonts w:ascii="Garamond" w:hAnsi="Garamond" w:cs="Arial"/>
          <w:color w:val="000000"/>
          <w:lang w:val="en-GB"/>
        </w:rPr>
        <w:t xml:space="preserve">«- und » </w:t>
      </w:r>
      <w:r w:rsidRPr="00327933">
        <w:rPr>
          <w:rFonts w:ascii="Garamond" w:hAnsi="Garamond" w:cs="Arial"/>
          <w:i/>
          <w:iCs/>
          <w:color w:val="000000"/>
          <w:lang w:val="en-GB"/>
        </w:rPr>
        <w:t>Retentionshysterie</w:t>
      </w:r>
      <w:r w:rsidRPr="00327933">
        <w:rPr>
          <w:rFonts w:ascii="Garamond" w:hAnsi="Garamond" w:cs="Arial"/>
          <w:color w:val="000000"/>
          <w:lang w:val="en-GB"/>
        </w:rPr>
        <w:t>« in Gebrauch zogen. Die Hypnoidhysterie ist diejenige, die überhaupt zuerst in unseren Gesichtskreis getreten ist; ich wüßte ja kein besseres Beispiel für eine solche anzuführen als den ersten Fall Breuers. Für eine solche Hypnoidhysterie hat Breuer einen von dem der Konversionsabwehr wesentlich verschiedenen psychischen Mechanismen angegeben. Hier soll also eine Vorstellung dadurch pathogen werden, daß sie, in einem besonderen psychischen Zustand empfangen, von vornherein außerhalb des Ich verblieben ist. Es hat also keiner psychischen Kraft bedurft, sie von dem Ich abzuhalten, und es darf keinen Widerstand erwecken, wenn man sie mit Hilfe der somnambulen Geistestätigkeit in das Ich einführt. Die Krankengeschichte der Anna O. zeigt auch wirklich nichts von einem solchen Widerstand.</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Ich halte diesen Unterschied für so wesentlich, daß ich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durch ihn gerne bestimmen lasse, an der Aufstellung der Hypnoidhysterie festzuhalten. Meiner eigenen Erfahrung ist merkwürdigerweise keine echte Hypnoidhysterie begegnet; was ich in Angriff nahm, verwandelte sich in Abwehrhysterie. Nicht etwa, daß ich es niemals mit Symptomen zu tun gehabt hätte, die nachweisbar in abgesonderten Bewußtseinszuständen entstanden waren und darum von der Aufnahme ins Ich ausgeschlossen bleiben mußten. Dies traf auch in meinen Fällen mitunter zu, aber dann konnte ich doch nachweisen, daß der sogenannte hypnoide Zustand seine Absonderung dem Umstände verdankte, daß in ihm eine vorher durch Abwehr abgespaltene psychische Gruppe zur Geltung kam. Kurz, ich kann den Verdacht nicht unterdrücken, daß Hypnoid- und Abwehrhysterie irgendwo an ihrer Wurzel zusammentreffen und daß dabei die Abwehr das Primäre ist. Ich weiß aber nichts darüber.</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Gleich unsicher ist derzeit mein Urteil über die »Retentionshysterie«, bei welcher die therapeutische Arbeit gleichfalls ohne Widerstand erfolgen sollte. Ich habe einen Fall gehabt, den ich für eine typische Retentionshysterie gehalten habe; ich freute mich auf den leichten und sicheren Erfolg, aber dieser Erfolg blieb aus, so leicht auch wirklich die Arbeit war. Ich vermute daher, wiederum mit aller Zurückhaltung, die der Unwissenheit geziemt, daß auch bei der Retentionshysterie auf dem Grunde ein Stück Abwehr zu finden ist, welches den ganzen Vorgang ins Hysterische gedrängt hat. </w:t>
      </w:r>
      <w:smartTag w:uri="urn:schemas-microsoft-com:office:smarttags" w:element="place">
        <w:r w:rsidRPr="00327933">
          <w:rPr>
            <w:rFonts w:ascii="Garamond" w:hAnsi="Garamond" w:cs="Arial"/>
            <w:color w:val="000000"/>
            <w:lang w:val="en-GB"/>
          </w:rPr>
          <w:t>Ob</w:t>
        </w:r>
      </w:smartTag>
      <w:r w:rsidRPr="00327933">
        <w:rPr>
          <w:rFonts w:ascii="Garamond" w:hAnsi="Garamond" w:cs="Arial"/>
          <w:color w:val="000000"/>
          <w:lang w:val="en-GB"/>
        </w:rPr>
        <w:t xml:space="preserve"> ich mit dieser Tendenz zur Ausdehnung des Abwehrbegriffes auf die gesamte Hysterie Gefahr laufe, der Einseitigkeit und dem Irrtum zu verfallen, werden ja hoffentlich neue Erfahrungen bald entscheiden.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Ich habe bisher von den Schwierigkeiten und der Technik der kathartischen Methode gehandelt und möchte noch einige Andeutungen hinzufügen, wie sich mit dieser Technik eine Analyse gestaltet. Es ist dies ein für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sehr interessantes Thema, von dem ich aber nicht erwarten kann, es werde ähnliches Interesse bei anderen erregen, die noch keine solche Analyse ausgeführt haben. Es wird eigentlich wiederum von Technik die Rede sein, aber diesmal von den inhaltlichen Schwierigkeiten, für die man den Kranken nicht verantwortlich machen kann, die zum Teil bei einer Hypnoid- und Retentionshysterie dieselben sein müßten wie bei den mir als Muster vorschwebenden Abwehrhysterien. Ich gehe an dieses letzte Stück der Darstellung mit der Erwartung, die hier aufzudeckenden psychischen Eigentümlichkeiten könnten einmal für eine Vorstellungsdynamik einen gewissen Wert als Rohmaterial </w:t>
      </w:r>
      <w:smartTag w:uri="urn:schemas-microsoft-com:office:smarttags" w:element="City">
        <w:smartTag w:uri="urn:schemas-microsoft-com:office:smarttags" w:element="place">
          <w:r w:rsidRPr="00327933">
            <w:rPr>
              <w:rFonts w:ascii="Garamond" w:hAnsi="Garamond" w:cs="Arial"/>
              <w:color w:val="000000"/>
              <w:lang w:val="en-GB"/>
            </w:rPr>
            <w:t>erlangen</w:t>
          </w:r>
        </w:smartTag>
      </w:smartTag>
      <w:r w:rsidRPr="00327933">
        <w:rPr>
          <w:rFonts w:ascii="Garamond" w:hAnsi="Garamond" w:cs="Arial"/>
          <w:color w:val="000000"/>
          <w:lang w:val="en-GB"/>
        </w:rPr>
        <w: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lastRenderedPageBreak/>
        <w:t>Der erste und mächtigste Eindruck, den man sich bei einer solchen Analyse holt, ist gewiß der, daß das pathogene psychische Material, das angeblich vergessen ist, dem Ich nicht zur Verfügung steht, in der Assoziation und im Erinnern keine Rolle spielt – doch in irgendeiner Weise bereitliegt, und zwar in richtiger und guter Ordnung. Es handelt sich nur darum, Widerstände zu beseitigen, die den Weg dazu versperren. Sonst aber wird es bewußt, wie wir überhaupt etwas wissen können; die richtigen Verknüpfungen der einzelnen Vorstellungen untereinander und mit nicht pathogenen, häufig erinnerten sind vorhanden, sind seinerzeit vollzogen und im Gedächtnisse bewahrt worden. Das pathogene psychische Material erscheint als das Eigentum einer Intelligenz, die der des normalen Ich nicht notwendig nachsteht. Der Schein einer zweiten Persönlichkeit wird oft auf das täuschendste hergestellt.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Ob dieser Eindruck berechtigt ist, ob man dabei nicht die Anordnung des psychischen Materials, die nach der Erledigung resultiert, in die Zeit der Krankheit zurückverlegt, dies sind Fragen, die ich noch nicht und nicht an dieser Stelle in Erwägung ziehen möchte. Man kann die bei solchen Analysen gemachten Erfahrungen jedenfalls nicht bequemer und anschaulicher beschreiben, als wenn man sich auf den Standpunkt stellt, den man </w:t>
      </w:r>
      <w:r w:rsidRPr="00327933">
        <w:rPr>
          <w:rFonts w:ascii="Garamond" w:hAnsi="Garamond" w:cs="Arial"/>
          <w:i/>
          <w:iCs/>
          <w:color w:val="000000"/>
          <w:lang w:val="en-GB"/>
        </w:rPr>
        <w:t>nach</w:t>
      </w:r>
      <w:r w:rsidRPr="00327933">
        <w:rPr>
          <w:rFonts w:ascii="Garamond" w:hAnsi="Garamond" w:cs="Arial"/>
          <w:color w:val="000000"/>
          <w:lang w:val="en-GB"/>
        </w:rPr>
        <w:t xml:space="preserve"> der Erledigung zur Überschau des Ganzen einnehmen darf.</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Die Sachlage ist ja meist keine so einfache, wie man sie für besondere Fälle, z. B. für ein einzelnes in einem großen Trauma entstandenes Symptom dargestellt hat. Man hat zumeist nicht ein einziges hysterisches Symptom, sondern eine Anzahl von solchen, die teils unabhängig voneinander, teils miteinander verknüpft sind. Man darf nicht eine einzige traumatische Erinnerung und als Kern derselben eine einzige pathogene Vorstellung erwarten, sondern muß auf Reihen von Partialtraumen und Verkettungen von pathogenen Gedankengängen gefaßt sein. Die monosymptomatische traumatische Hysterie ist gleichsam ein Elementarorganismus, ein einzelliges Wesen im Vergleich zum komplizierten Gefüge einer schweren hysterischen Neurose, wie wir ihr gemeinhin begegnen.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Das psychische Material einer solchen Hysterie stellt sich nun dar als ein mehrdimensionales Gebilde von mindestens </w:t>
      </w:r>
      <w:r w:rsidRPr="00327933">
        <w:rPr>
          <w:rFonts w:ascii="Garamond" w:hAnsi="Garamond" w:cs="Arial"/>
          <w:i/>
          <w:iCs/>
          <w:color w:val="000000"/>
          <w:lang w:val="en-GB"/>
        </w:rPr>
        <w:t>dreifacher Schichtung</w:t>
      </w:r>
      <w:r w:rsidRPr="00327933">
        <w:rPr>
          <w:rFonts w:ascii="Garamond" w:hAnsi="Garamond" w:cs="Arial"/>
          <w:color w:val="000000"/>
          <w:lang w:val="en-GB"/>
        </w:rPr>
        <w:t xml:space="preserve">. Ich hoffe, ich werde diese bildliche Ausdrucksweise bald rechtfertigen können. Es ist zunächst ein </w:t>
      </w:r>
      <w:r w:rsidRPr="00327933">
        <w:rPr>
          <w:rFonts w:ascii="Garamond" w:hAnsi="Garamond" w:cs="Arial"/>
          <w:i/>
          <w:iCs/>
          <w:color w:val="000000"/>
          <w:lang w:val="en-GB"/>
        </w:rPr>
        <w:t>Kern</w:t>
      </w:r>
      <w:r w:rsidRPr="00327933">
        <w:rPr>
          <w:rFonts w:ascii="Garamond" w:hAnsi="Garamond" w:cs="Arial"/>
          <w:color w:val="000000"/>
          <w:lang w:val="en-GB"/>
        </w:rPr>
        <w:t xml:space="preserve"> vorhanden von solchen Erinnerungen (an Erlebnisse oder Gedankengänge), in denen das traumatische Moment gegipfelt oder die pathogene Idee ihre reinste Ausbildung gefunden hat. Um diesen Kern herum findet man eine oft unglaublich reichliche Menge von anderem Erinnerungsmaterial, das man bei der Analyse durcharbeiten muß, in, wie erwähnt, dreifacher Anordnung. Erstens ist eine </w:t>
      </w:r>
      <w:r w:rsidRPr="00327933">
        <w:rPr>
          <w:rFonts w:ascii="Garamond" w:hAnsi="Garamond" w:cs="Arial"/>
          <w:i/>
          <w:iCs/>
          <w:color w:val="000000"/>
          <w:lang w:val="en-GB"/>
        </w:rPr>
        <w:t>lineare, chronologische</w:t>
      </w:r>
      <w:r w:rsidRPr="00327933">
        <w:rPr>
          <w:rFonts w:ascii="Garamond" w:hAnsi="Garamond" w:cs="Arial"/>
          <w:color w:val="000000"/>
          <w:lang w:val="en-GB"/>
        </w:rPr>
        <w:t xml:space="preserve"> Anordnung unverkennbar, die innerhalb jedes einzelnen Themas statthat. Als Beispiel für diese zitiere ich bloß die Anordnungen in Breuers Analyse der Anna O.. Das Thema sei das des Taubwerdens, des Nichthörens; das differenzierte sich dann nach sieben Bedingungen, und unter jeder Überschrift waren zehn bis über hundert Einzelerinnerungen in chronologischer Reihenfolge gesammelt. Es war, als ob man ein wohl in Ordnung gehaltenes Archiv ausnehmen würde. In der Analyse meiner Patientin Emmy v. N... sind ähnliche, wenn auch nicht so vollzählig dargestellte Erinnerungsfaszikel enthalten: sie bilden aber ein ganz allgemeines Vorkommnis in jeder Analyse, treten jedesmal in einer chronologischen Ordnung auf, die so unfehlbar verläßlich ist wie die Reihenfolge der Wochentage oder Monatsnamen beim geistig normalen Menschen, und erschweren die Arbeit der Analyse durch die Eigentümlichkeit, daß sie die Reihenfolge ihrer Entstehung bei der Reproduktion umkehren; das frischeste, jüngste Erlebnis des Faszikels kommt als »Deckblatt« zuerst, und den Schluß macht jener Eindruck, mit dem in Wirklichkeit die Reihe anfing.</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Ich habe die Gruppierung gleichartiger Erinnerungen zu einer linear geschichteten Mehrheit, wie es ein Aktenbündel, ein Paket u. dgl. darstellt, als Bildung eines </w:t>
      </w:r>
      <w:r w:rsidRPr="00327933">
        <w:rPr>
          <w:rFonts w:ascii="Garamond" w:hAnsi="Garamond" w:cs="Arial"/>
          <w:i/>
          <w:iCs/>
          <w:color w:val="000000"/>
          <w:lang w:val="en-GB"/>
        </w:rPr>
        <w:t>Themas</w:t>
      </w:r>
      <w:r w:rsidRPr="00327933">
        <w:rPr>
          <w:rFonts w:ascii="Garamond" w:hAnsi="Garamond" w:cs="Arial"/>
          <w:color w:val="000000"/>
          <w:lang w:val="en-GB"/>
        </w:rPr>
        <w:t xml:space="preserve"> bezeichnet. Diese Themen nun zeigen eine zweite Art von Anordnung; sie sind, ich kann es nicht anders ausdrücken, </w:t>
      </w:r>
      <w:r w:rsidRPr="00327933">
        <w:rPr>
          <w:rFonts w:ascii="Garamond" w:hAnsi="Garamond" w:cs="Arial"/>
          <w:i/>
          <w:iCs/>
          <w:color w:val="000000"/>
          <w:lang w:val="en-GB"/>
        </w:rPr>
        <w:t>konzentrisch um den pathogenen Kern geschichtet</w:t>
      </w:r>
      <w:r w:rsidRPr="00327933">
        <w:rPr>
          <w:rFonts w:ascii="Garamond" w:hAnsi="Garamond" w:cs="Arial"/>
          <w:color w:val="000000"/>
          <w:lang w:val="en-GB"/>
        </w:rPr>
        <w:t xml:space="preserve">. Es ist nicht schwer zu sagen, was diese Schichtung ausmacht, nach welcher ab- oder zunehmenden Größe diese Anordnung erfolgt. Es sind </w:t>
      </w:r>
      <w:r w:rsidRPr="00327933">
        <w:rPr>
          <w:rFonts w:ascii="Garamond" w:hAnsi="Garamond" w:cs="Arial"/>
          <w:i/>
          <w:iCs/>
          <w:color w:val="000000"/>
          <w:lang w:val="en-GB"/>
        </w:rPr>
        <w:t>Schichten</w:t>
      </w:r>
      <w:r w:rsidRPr="00327933">
        <w:rPr>
          <w:rFonts w:ascii="Garamond" w:hAnsi="Garamond" w:cs="Arial"/>
          <w:color w:val="000000"/>
          <w:lang w:val="en-GB"/>
        </w:rPr>
        <w:t xml:space="preserve"> gleichen, gegen den Kern hin wachsenden </w:t>
      </w:r>
      <w:r w:rsidRPr="00327933">
        <w:rPr>
          <w:rFonts w:ascii="Garamond" w:hAnsi="Garamond" w:cs="Arial"/>
          <w:i/>
          <w:iCs/>
          <w:color w:val="000000"/>
          <w:lang w:val="en-GB"/>
        </w:rPr>
        <w:t>Widerstandes und damit Zonen gleicher Bewußtseinsveränderung</w:t>
      </w:r>
      <w:r w:rsidRPr="00327933">
        <w:rPr>
          <w:rFonts w:ascii="Garamond" w:hAnsi="Garamond" w:cs="Arial"/>
          <w:color w:val="000000"/>
          <w:lang w:val="en-GB"/>
        </w:rPr>
        <w:t xml:space="preserve">, in denen sich die einzelnen Themen </w:t>
      </w:r>
      <w:r w:rsidRPr="00327933">
        <w:rPr>
          <w:rFonts w:ascii="Garamond" w:hAnsi="Garamond" w:cs="Arial"/>
          <w:color w:val="000000"/>
          <w:lang w:val="en-GB"/>
        </w:rPr>
        <w:lastRenderedPageBreak/>
        <w:t>erstrecken. Die periphersten Schichten enthalten von verschiedenen Themen jene Erinnerungen (oder Faszikel), die leicht erinnert werden und immer klar bewußt waren; je tiefer man geht, desto schwieriger werden die auftauchenden Erinnerungen erkannt, bis man nahe am Kerne auf solche stößt, die der Patient noch bei der Reproduktion verleugnet.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Diese Eigentümlichkeit der konzentrischen Schichtung des pathogenen psychischen Materials ist es, die dem Verlaufe solcher Analysen ihre, wie wir hören werden, charakteristischen Züge verleiht. Jetzt ist noch eine dritte Art von Anordnung zu erwähnen, die wesentlichste, über die am wenigsten leicht eine allgemeine Aussage zu machen ist. Es ist die Anordnung nach dem Gedankeninhalte, die Verknüpfung durch den bis zum Kerne reichenden logischen Faden, der einem in jedem Falle besonderen, unregelmäßigen und vielfach abgeknickten Weg entsprechen mag. Diese Anordnung hat einen dynamischen Charakter, im Gegensatze zum morphologischen der beiden vorerst erwähnten Schichtungen. Während letztere in einem räumlich ausgeführten Schema durch starre, bogenförmige und gerade Linien darzustellen wären, müßte man dem Gange der logischen Verkettung mit einem Stäbchen nachfahren, welches auf den verschlungensten Wegen aus oberflächlichen in tiefe Schichten und zurück, doch im allgemeinen von der Peripherie her zum zentralen Kerne vordringt und dabei alle Stationen berühren muß, also ähnlich wie das Zickzack der Lösung einer Rösselsprungaufgabe über die Felderzeichnung hinweggeht.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Ich halte letzteren Vergleich noch für einen Moment fest, um einen Punkt hervorzuheben, in dem er den Eigenschaften des Verglichenen nicht gerecht wird. Der logische Zusammenhang entspricht nicht nur einer zickzackförmig geknickten Linie, sondern vielmehr einer verzweigten, und ganz besonders einem konvergierenden Liniensysteme. Er hat Knotenpunkte, in denen zwei oder mehrere Fäden zusammentreffen, um von da an vereinigt weiterzuziehen, und in den Kern münden in der Regel mehrere unabhängig voneinander verlaufende oder durch Seitenwege stellenweise verbundene Fäden ein. Es ist sehr bemerkenswert, um es mit anderen Worten zu sagen, wie häufig ein Symptom </w:t>
      </w:r>
      <w:r w:rsidRPr="00327933">
        <w:rPr>
          <w:rFonts w:ascii="Garamond" w:hAnsi="Garamond" w:cs="Arial"/>
          <w:i/>
          <w:iCs/>
          <w:color w:val="000000"/>
          <w:lang w:val="en-GB"/>
        </w:rPr>
        <w:t>mehrfach determiniert, überbestimmt</w:t>
      </w:r>
      <w:r w:rsidRPr="00327933">
        <w:rPr>
          <w:rFonts w:ascii="Garamond" w:hAnsi="Garamond" w:cs="Arial"/>
          <w:color w:val="000000"/>
          <w:lang w:val="en-GB"/>
        </w:rPr>
        <w:t xml:space="preserve"> ist.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Mein Versuch, die Organisation des pathogenen psychischen Materials zu veranschaulichen, wird abgeschlossen sein, wenn ich noch eine einzige Komplikation einführe. Es kann nämlich der Fall vorliegen, daß es sich um mehr als einen einzigen Kern im pathogenen Materiale handle, so z. B. wenn ein zweiter hysterischer Ausbruch zu analysieren ist, der seine eigene Ätiologie hat, aber doch mit einem, Jahre vorher überwundenen, ersten Ausbruch akuter Hysterie zusammenhängt. Man kann sich dann leicht vorstellen, welche Schichten und Gedankenwege hinzukommen müssen, um zwischen den beiden pathogenen Kernen eine Verbindung herzustellen.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Ich will an das so gewonnene Bild von der Organisation des pathogenen Materials noch die eine oder die andere Bemerkung anknüpfen. Wir haben von diesem Material ausgesagt, es benehme sich wie ein Fremdkörper; die Therapie wirke auch wie die Entfernung eines Fremdkörpers aus dem lebenden Gewebe. Wir sind jetzt in der Lage einzusehen, worin dieser Vergleich fehlt. Ein Fremdkörper geht keinerlei Verbindung mit den ihn umlagernden Gewebsschichten ein, obwohl er dieselben verändert, zur reaktiven Entzündung nötigt. Unsere pathogene psychische Gruppe dagegen läßt sich nicht sauber aus dem Ich herausschälen, ihre äußeren Schichten gehen allseitig in Anteile des normalen Ich über, gehören letzterem eigentlich ebensosehr an wie der pathogenen Organisation. Die Grenze zwischen beiden wird bei der Analyse rein konventionell, bald hier, bald dort gesteckt, ist an einzelnen Stellen wohl gar nicht anzugeben. Die inneren Schichten entfremden sich dem Ich immer mehr und mehr, ohne daß wiederum die Grenze des Pathogenen irgendwo sichtbar begänne. Die pathogene Organisation verhält sich nicht eigentlich wie ein Fremdkörper, sondern weit eher wie ein Infiltrat. Als das Infiltrierende muß in diesem Gleichnisse der Widerstand genommen werden. Die Therapie besteht ja auch nicht darin, etwas zu </w:t>
      </w:r>
      <w:r w:rsidRPr="00327933">
        <w:rPr>
          <w:rFonts w:ascii="Garamond" w:hAnsi="Garamond" w:cs="Arial"/>
          <w:color w:val="000000"/>
          <w:lang w:val="en-GB"/>
        </w:rPr>
        <w:lastRenderedPageBreak/>
        <w:t>exstirpieren – das vermag die Psychotherapie heute nicht –, sondern den Widerstand zum Schmelzen zu bringen und so der Zirkulation den Weg in ein bisher abgesperrtes Gebiet zu bahnen.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(Ich bediene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hier einer Reihe von Gleichnissen, die alle nur eine recht begrenzte Ähnlichkeit mit meinem Thema haben und die sich auch untereinander nicht vertragen. Ich weiß dies und bin nicht in Gefahr, deren Wert zu überschätzen, aber mich leitet die Absicht, ein höchst kompliziertes und noch niemals dargestelltes Denkobjekt von verschiedenen Seiten her zu veranschaulichen, und darum erbitte ich mir die Freiheit, auch noch auf den folgenden Seiten in solcher nicht einwandfreien Weise mit Vergleichen zu schalten.)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Wenn man nach vollendeter Erledigung das pathogene Material in seiner nun erkannten, komplizierten, mehrdimensionalen Organisation einem Dritten zeigen könnte, würde dieser mit Recht die Frage aufwerfen: »Wie kam ein solches Kamel durch das Nadelöhr?« Man spricht nämlich nicht mit Unrecht von einer »Enge des Bewußtseins«. Der Terminus gewinnt Sinn und Lebensfrische für den Arzt, der eine solche Analyse durchführt. Es kann immer nur eine einzelne Erinnerung ins Ich-Bewußtsein eintreten; der Kranke, der mit der Durcharbeitung dieser einen beschäftigt ist, sieht nichts von dem, was nachdrängt, und vergißt an das, was bereits durchgedrungen ist. Stößt die Bewältigung dieser einen pathogenen Erinnerung auf Schwierigkeiten, wie z. B. wenn der Kranke mit dem Widerstande gegen sie nicht nachläßt, wenn er sie verdrängen oder verstümmeln will, so ist der Engpaß gleichsam verlegt; die Arbeit stockt, es kann nichts anderes kommen, und die eine im Durchbruche befindliche Erinnerung bleibt vor dem Kranken stehen, bis er sie in die Weite des Ichs aufgenommen hat. Die ganze räumlich ausgedehnte Masse des pathogenen Materials wird so durch eine enge Spalte durchgezogen, langt also, wie in Stücke oder Bänder zerlegt, im Bewußtsein an. </w:t>
      </w:r>
      <w:r w:rsidRPr="00327933">
        <w:rPr>
          <w:rFonts w:ascii="Garamond" w:hAnsi="Garamond" w:cs="Arial"/>
          <w:color w:val="000000"/>
        </w:rPr>
        <w:t xml:space="preserve">Es ist Aufgabe des Psychotherapeuten, daraus die vermutete Organisation wieder zusammenzusetzen. </w:t>
      </w:r>
      <w:r w:rsidRPr="00327933">
        <w:rPr>
          <w:rFonts w:ascii="Garamond" w:hAnsi="Garamond" w:cs="Arial"/>
          <w:color w:val="000000"/>
          <w:lang w:val="en-GB"/>
        </w:rPr>
        <w:t>Wen noch nach Vergleichen gelüstet, der mag sich hier an ein Geduldspiel erinnern.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Steht man davor, eine solche Analyse zu beginnen, wo man eine derartige Organisation des pathogenen Materials erwarten darf, kann man sich folgende Ergebnisse der Erfahrung zunutze machen: </w:t>
      </w:r>
      <w:r w:rsidRPr="00327933">
        <w:rPr>
          <w:rFonts w:ascii="Garamond" w:hAnsi="Garamond" w:cs="Arial"/>
          <w:i/>
          <w:iCs/>
          <w:color w:val="000000"/>
          <w:lang w:val="en-GB"/>
        </w:rPr>
        <w:t>Es ist ganz aussichtslos, direkt zum Kerne der pathogenen Organisation vorzudringen.</w:t>
      </w:r>
      <w:r w:rsidRPr="00327933">
        <w:rPr>
          <w:rFonts w:ascii="Garamond" w:hAnsi="Garamond" w:cs="Arial"/>
          <w:color w:val="000000"/>
          <w:lang w:val="en-GB"/>
        </w:rPr>
        <w:t xml:space="preserve"> Könnte man diesen selbst erraten, so würde der Kranke doch mit der ihm geschenkten Aufklärung nichts anzufangen wissen und durch sie psychisch nicht verändert werden.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Es bleibt nichts übrig, als sich zunächst an die Peripherie des pathogenen psychischen Gebildes zu halten. Man beginnt damit, den Kranken erzählen zu lassen, was er weiß und erinnert, wobei man bereits seine Aufmerksamkeit dirigiert und durch Anwendung der Druckprozedur leichtere Widerstände überwindet. Jedesmal, wenn man durch Drücken einen neuen Weg eröffnet hat, darf man erwarten, daß der Kranke ihn ein Stück weit ohne neuen Widerstand fortsetzen wird.</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Hat man eine Weile auf solche Weise gearbeitet, so regt sich gewöhnlich eine mitarbeitende Tätigkeit im Kranken. Es fallen ihm jetzt eine Fülle von Reminiszenzen ein, ohne daß man ihm Fragen und Aufgaben zu stellen braucht; man hat sich eben den Weg in eine innere Schichte gebahnt, innerhalb welcher der Kranke jetzt über das Material von gleichem Widerstände spontan verfügt. Man tut gut daran, ihn eine Weile unbeeinflußt reproduzieren zu lassen; er ist selber zwar nicht imstande, wichtige Zusammenhänge aufzudecken, aber das Abtragen innerhalb derselben Schichte darf man ihm überlassen. Die Dinge, die er so beibringt, scheinen oft zusammenhanglos, geben aber das Material ab, das durch späterhin erkannten Zusammenhang belebt wird.</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Man hat sich hier im allgemeinen vor zweierlei zu bewahren. Wenn man den Kranken in der Reproduktion der ihm zuströmenden Einfälle hemmt, so kann man sich manches »verschütten«, was späterhin mit großer Mühe doch freigemacht werden muß. Anderseits darf man seine unbewußte »Intelligenz« nicht überschätzen und ihr nicht die Leitung der ganzen Arbeit überlassen. Wollte ich den </w:t>
      </w:r>
      <w:r w:rsidRPr="00327933">
        <w:rPr>
          <w:rFonts w:ascii="Garamond" w:hAnsi="Garamond" w:cs="Arial"/>
          <w:color w:val="000000"/>
          <w:lang w:val="en-GB"/>
        </w:rPr>
        <w:lastRenderedPageBreak/>
        <w:t>Arbeitsmodus schematisieren, so könnte ich etwa sagen, man übernimmt selbst die Eröffnung innerer Schichten, das Vordringen in radialer Richtung, während der Kranke die peripherische Erweiterung besorgt.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Das Vordringen geschieht ja dadurch, daß man in der vorhin angedeuteten Weise Widerstand überwindet. In der Regel aber hat man vorher noch eine andere Aufgabe zu lösen. Man muß ein Stück des logischen Fadens in die Hand bekommen, unter dessen Leitung man allein in das Innere einzudringen hoffen darf. Man erwarte nicht, daß die freien Mitteilungen des Kranken, das Material der am meisten oberflächlichen Schichten, es dem Analytiker leichtmachen zu erkennen, an welchen Stellen es in die Tiefe geht, an welche Punkte die gesuchten Gedankenzusammenhänge anknüpfen. Im Gegenteil; gerade dies ist sorgfältig verhüllt, die Darstellung des Kranken klingt wie vollständig und in sich gefestigt. Man steht zuerst vor ihr wie vor einer Mauer, die jede Aussicht versperrt und die nicht ahnen läßt, ob etwas und was denn doch dahinter steckt.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Wenn man aber die Darstellung, die man vom Kranken ohne viel Mühe und Widerstand erhalten hat, mit kritischem Auge mustert, wird man ganz unfehlbar Lücken und Schäden in ihr entdecken. Hier ist der Zusammenhang sichtlich unterbrochen und wird vom Kranken durch eine Redensart, eine ungenügende Auskunft notdürftig ergänzt; dort stößt man auf ein Motiv, das bei einem normalen Menschen als ein ohnmächtiges zu bezeichnen wäre. Der Kranke will diese Lücken nicht anerkennen, wenn er auf sie aufmerksam gemacht wird. Der Arzt aber tut recht daran, wenn er hinter diesen schwachen Stellen den Zugang zu dem Material der tieferen Schichten sucht, wenn er gerade hier die Fäden des Zusammenhanges aufzufinden hofft, denen er mit der Druckprozedur nachspürt. Man sagt dem Kranken also: »Sie irren sich; das, was Sie angeben, kann mit dem betreffenden nichts zu tun haben. Hier müssen wir auf etwas anderes stoßen, was Ihnen unter dem Drucke meiner Hand einfallen wird.«</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Man darf nämlich an einen Gedankengang bei einem Hysterischen, und reichte er auch ins Unbewußte, dieselben Anforderungen von logischer Verknüpfung und ausreichender Motivierung stellen, die man bei einem normalen Individuum erheben würde. Eine Lockerung dieser Beziehungen liegt nicht im Machtbereiche der Neurose. Wenn die Vorstellungsverknüpfungen der Neurotischen und speziell der Hysterischen einen anderen Eindruck machen, wenn hier die Relation der Intensitäten verschiedener Vorstellungen aus psychologischen Bedingungen allein unerklärbar scheint, so haben wir ja gerade für diesen Anschein den Grund kennengelernt und wissen ihn als </w:t>
      </w:r>
      <w:r w:rsidRPr="00327933">
        <w:rPr>
          <w:rFonts w:ascii="Garamond" w:hAnsi="Garamond" w:cs="Arial"/>
          <w:i/>
          <w:iCs/>
          <w:color w:val="000000"/>
          <w:lang w:val="en-GB"/>
        </w:rPr>
        <w:t>Existenz verborgener, unbewußter Motive</w:t>
      </w:r>
      <w:r w:rsidRPr="00327933">
        <w:rPr>
          <w:rFonts w:ascii="Garamond" w:hAnsi="Garamond" w:cs="Arial"/>
          <w:color w:val="000000"/>
          <w:lang w:val="en-GB"/>
        </w:rPr>
        <w:t xml:space="preserve"> zu nennen. Wir dürfen also solche geheime Motive überall dort vermuten, wo ein solcher Sprung im Zusammenhange, eine Überschreitung des Maßes normal berechtigter Motivierung nachzuweisen ist.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Natürlich muß man sich bei solcher Arbeit von dem theoretischen Vorurteile freihalten, man habe es mit abnormen Gehirnen von </w:t>
      </w:r>
      <w:r w:rsidRPr="00327933">
        <w:rPr>
          <w:rFonts w:ascii="Garamond" w:hAnsi="Garamond" w:cs="Arial"/>
          <w:i/>
          <w:iCs/>
          <w:color w:val="000000"/>
          <w:lang w:val="en-GB"/>
        </w:rPr>
        <w:t>dégénerés</w:t>
      </w:r>
      <w:r w:rsidRPr="00327933">
        <w:rPr>
          <w:rFonts w:ascii="Garamond" w:hAnsi="Garamond" w:cs="Arial"/>
          <w:color w:val="000000"/>
          <w:lang w:val="en-GB"/>
        </w:rPr>
        <w:t xml:space="preserve"> und </w:t>
      </w:r>
      <w:r w:rsidRPr="00327933">
        <w:rPr>
          <w:rFonts w:ascii="Garamond" w:hAnsi="Garamond" w:cs="Arial"/>
          <w:i/>
          <w:iCs/>
          <w:color w:val="000000"/>
          <w:lang w:val="en-GB"/>
        </w:rPr>
        <w:t>déséquilibrés</w:t>
      </w:r>
      <w:r w:rsidRPr="00327933">
        <w:rPr>
          <w:rFonts w:ascii="Garamond" w:hAnsi="Garamond" w:cs="Arial"/>
          <w:color w:val="000000"/>
          <w:lang w:val="en-GB"/>
        </w:rPr>
        <w:t xml:space="preserve"> zu tun, denen die Freiheit, die gemeinen psychologischen Gesetze der Vorstellungsverbindung über den Haufen zu werfen, als Stigma eigen wäre, bei denen eine beliebige Vorstellung ohne Motiv übermäßig intensiv wachsen, eine andere ohne psychologischen Grund unverwüstlich bleiben kann. Die Erfahrung zeigt für die Hysterie das Gegenteil; hat man die verborgenen – oft unbewußt gebliebenen – Motive herausgefunden und bringt sie in Rechnung, so bleibt auch an der hysterischen Gedankenverknüpfung nichts rätselhaft und regelwidrig.</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Auf solche Art also, durch Aufspüren von Lücken in der ersten Darstellung des Kranken, die oft durch »falsche Verknüpfungen« gedeckt sind, greift man ein Stück des logischen Fadens an der Peripherie auf und bahnt sich durch die Druckprozedur von da aus den weiteren Weg.</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Sehr selten gelingt es dabei, sich an demselben Faden bis ins Innere durchzuarbeiten; meist reißt er unterwegs ab, indem der Druck versagt, gar kein Ergebnis liefert oder eines, das mit aller Mühe nicht zu klären und nicht fortzusetzen ist. Man lernt es bald, sich in diesem Falle vor den naheliegenden Verwechslungen zu schützen. Die Miene des Kranken muß es entscheiden, ob man wirklich an ein Ende </w:t>
      </w:r>
      <w:r w:rsidRPr="00327933">
        <w:rPr>
          <w:rFonts w:ascii="Garamond" w:hAnsi="Garamond" w:cs="Arial"/>
          <w:color w:val="000000"/>
          <w:lang w:val="en-GB"/>
        </w:rPr>
        <w:lastRenderedPageBreak/>
        <w:t>gekommen ist oder einen Fall getroffen hat, welcher eine psychische Aufklärung nicht braucht, oder ob es übergroßer Widerstand ist, der der Arbeit Halt gebietet. Kann man letzteren nicht alsbald besiegen, so darf man annehmen, daß man den Faden bis in eine Schichte hineinverfolgt hat, die für jetzt noch undurchlässig ist. Man läßt ihn fallen, um einen anderen Faden aufzugreifen, den man vielleicht ebensoweit verfolgt. Ist man mit allen Fäden in diese Schichte nachgekommen, hat dort die Verknotungen aufgefunden, wegen welcher der einzelne Faden isoliert nicht mehr zu verfolgen war, so kann man daran denken, den bevorstehenden Widerstand von neuem anzugreifen.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Man kann sich leicht vorstellen, wie kompliziert eine solche Arbeit werden kann. Man drängt sich unter beständiger Überwindung von Widerstand in innere Schichten ein, gewinnt Kenntnis von den in dieser Schicht angehäuften Themen und den durchlaufenden Fäden, prüft, bis wie weit man mit seinen gegenwärtigen Mitteln und seiner gewonnenen Kenntnis vordringen kann, verschafft sich erste Kundschaft von dem Inhalte der nächsten Schichten durch die Druckprozedur, läßt die Fäden fallen und nimmt sie wieder auf, verfolgt sie bis zu Knotenpunkten, holt beständig nach und gelangt, indem man einem Erinnerungsfaszikel nachgeht, jedesmal auf einen Nebenweg, der schließlich doch wieder einmündet. Endlich kommt man auf solche Art so weit, daß man das schichtweise Arbeiten verlassen und auf einem Hauptwege direkt zum Kerne der pathogenen Organisation vordringen kann. Damit ist der Kampf gewonnen, aber noch nicht beendet. Man muß die anderen Fäden nachholen, das Material erschöpfen; aber jetzt hilft der Kranke energisch mit, sein Widerstand ist meist schon gebrochen.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Es ist in diesen späteren Stadien der Arbeit von Nutzen, wenn man den Zusammenhang errät und ihn dem Kranken mitteilt, ehe man ihn aufgedeckt hat. Hat man richtig erraten, so beschleunigt man den Verlauf der Analyse, aber auch mit einer unrichtigen Hypothese hilft man sich weiter, indem man den Kranken nötigt, Partei zu nehmen, und ihm energische Ablehnungen entlockt, die ja ein sicheres Besserwissen verraten.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Man überzeugt sich dabei mit Erstaunen, </w:t>
      </w:r>
      <w:r w:rsidRPr="00327933">
        <w:rPr>
          <w:rFonts w:ascii="Garamond" w:hAnsi="Garamond" w:cs="Arial"/>
          <w:i/>
          <w:iCs/>
          <w:color w:val="000000"/>
          <w:lang w:val="en-GB"/>
        </w:rPr>
        <w:t>daß man nicht imstande ist, dem Kranken über die Dinge, die er angeblich nicht weiß, etwas aufzudrängen oder die Ergebnisse der Analyse durch Erregung seiner Erwartung zu beeinflussen.</w:t>
      </w:r>
      <w:r w:rsidRPr="00327933">
        <w:rPr>
          <w:rFonts w:ascii="Garamond" w:hAnsi="Garamond" w:cs="Arial"/>
          <w:color w:val="000000"/>
          <w:lang w:val="en-GB"/>
        </w:rPr>
        <w:t xml:space="preserve"> Es ist mir kein einziges Mal gelungen, die Reproduktion der Erinnerungen oder den Zusammenhang der Ereignisse durch meine Vorhersage zu verändern und zu fälschen, was sich ja endlich durch einen Widerspruch im Gefüge hätte verraten müssen. Traf etwas so ein, wie ich es vorhergesagt, so war stets durch vielfache unverdächtige Reminiszenzen bezeugt, daß ich eben richtig geraten hatte. Man braucht sich also nicht zu fürchten, vor dem Kranken irgendeine Meinung über den nächstkommenden Zusammenhang zu äußern; es schadet nichts.</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Eine andere Beobachtung, die man jedesmal zu wiederholen Gelegenheit hat, bezieht sich auf die selbständigen Reproduktionen des Kranken. Man kann behaupten, daß keine einzige Reminiszenz während einer solchen Analyse auftaucht, die nicht ihre Bedeutung hätte. Ein Dareinmengen beziehungsloser Erinnerungsbilder, die mit den wichtigen irgendwie assoziiert sind, kommt eigentlich gar nicht vor. Man darf eine nicht regelwidrige Ausnahme für solche Erinnerungen postulieren, die an sich unwichtig, doch als Schaltstücke unentbehrlich sind, indem die Assoziation zwischen zwei beziehungsvollen Erinnerungen nur über sie geht. – Die Zeitdauer, während welcher eine Erinnerung im Engpasse vor dem Bewußtsein des Patienten verweilt, steht, wie schon angeführt, in direkter Beziehung zu deren Bedeutung. Ein Bild, das nicht verlöschen will, verlangt noch seine Würdigung, ein Gedanke, der sich nicht abtun läßt, will noch weiterverfolgt werden. Es kehrt auch nie eine Reminiszenz zum zweiten Male wieder, wenn sie erledigt worden ist; ein Bild, das abgesprochen wurde, ist nicht wieder zu sehen. Geschieht dies doch, so darf man mit Bestimmtheit erwarten, daß das zweitemal ein neuer Gedankeninhalt sich an das Bild, eine neue Folgerung an den Einfall knüpfen wird, d. h. daß doch keine vollständige Erledigung stattgefunden hat. Eine Wiederkehr in verschiedener Intensität, zuerst als </w:t>
      </w:r>
      <w:r w:rsidRPr="00327933">
        <w:rPr>
          <w:rFonts w:ascii="Garamond" w:hAnsi="Garamond" w:cs="Arial"/>
          <w:color w:val="000000"/>
          <w:lang w:val="en-GB"/>
        </w:rPr>
        <w:lastRenderedPageBreak/>
        <w:t>Andeutung, dann in voller Helligkeit, kommt hingegen häufig vor, widerspricht aber nicht der eben aufgestellten Behauptung.</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Wenn sich unter den Aufgaben der Analyse die Beseitigung eines Symptoms befindet, welches der Intensitätssteigerung oder der Wiederkehr fähig ist (Schmerzen, Reizsymptome wie Erbrechen, Sensationen, Kontrakturen), so beobachtet man während der Arbeit von Seiten dieses Symptoms das interessante und nicht unerwünschte Phänomen des » </w:t>
      </w:r>
      <w:r w:rsidRPr="00327933">
        <w:rPr>
          <w:rFonts w:ascii="Garamond" w:hAnsi="Garamond" w:cs="Arial"/>
          <w:i/>
          <w:iCs/>
          <w:color w:val="000000"/>
          <w:lang w:val="en-GB"/>
        </w:rPr>
        <w:t>Mitsprechens</w:t>
      </w:r>
      <w:r w:rsidRPr="00327933">
        <w:rPr>
          <w:rFonts w:ascii="Garamond" w:hAnsi="Garamond" w:cs="Arial"/>
          <w:color w:val="000000"/>
          <w:lang w:val="en-GB"/>
        </w:rPr>
        <w:t>«. Das fragliche Symptom erscheint wieder oder erscheint in verstärkter Intensität, sobald man in die Region der pathogenen Organisation geraten ist, welche die Ätiologie dieses Symptoms enthält, und es begleitet nun die Arbeit mit charakteristischen und für den Arzt lehrreichen Schwankungen weiter. Die Intensität desselben (sagen wir: einer Brechneigung) steigt, je tiefer man in eine der hiefür pathogenen Erinnerungen eindringt, erreicht die größte Höhe kurz vor dem Aussprechen der letzteren und sinkt mit vollendeter Aussprache plötzlich ab oder verschwindet auch völlig für eine Weile. Wenn der Kranke aus Widerstand das Aussprechen lange verzögert, wird die Spannung der Sensation, der Brechneigung unerträglich, und kann man das Aussprechen nicht erzwingen, so tritt wirklich Erbrechen ein. Man gewinnt so einen plastischen Eindruck davon, daß das »Erbrechen« an Stelle einer psychischen Aktion (hier des Aussprechens) steht, wie es die Konversionstheorie der Hysterie behauptet.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Diese Intensitätsschwankung von Seiten des hysterischen Symptoms wiederholt sich nun jedesmal, sooft man eine neue, hiefür pathogene Erinnerung in Angriff nimmt; das Symptom steht sozusagen die ganze Zeit über </w:t>
      </w:r>
      <w:r w:rsidRPr="00327933">
        <w:rPr>
          <w:rFonts w:ascii="Garamond" w:hAnsi="Garamond" w:cs="Arial"/>
          <w:i/>
          <w:iCs/>
          <w:color w:val="000000"/>
          <w:lang w:val="en-GB"/>
        </w:rPr>
        <w:t>auf der Tagesordnung</w:t>
      </w:r>
      <w:r w:rsidRPr="00327933">
        <w:rPr>
          <w:rFonts w:ascii="Garamond" w:hAnsi="Garamond" w:cs="Arial"/>
          <w:color w:val="000000"/>
          <w:lang w:val="en-GB"/>
        </w:rPr>
        <w:t>. Ist man genötigt, den Faden, an dem dies Symptom hängt, für eine Weile fallenzulassen, so tritt auch das Symptom in die Dunkelheit zurück, um in einer späteren Periode der Analyse wieder aufzutauchen. Dieses Spiel währt so lange, bis durch das Aufarbeiten des pathogenen Materials für dieses Symptom endgültige Erledigung geschaffen ist.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Strenggenommen verhält sich hiebei das hysterische Symptom gar nicht anders als das Erinnerungsbild oder der reproduzierte Gedanke, den man unter dem Drucke der Hand heraufbeschwört. Hier wie dort dieselbe obsedierende Hartnäckigkeit der Wiederkehr in der Erinnerung des Kranken, die Erledigung erheischt. Der Unterschied liegt nur in dem anscheinend spontanen Auftreten der hysterischen Symptome, während man sich wohl erinnert, die Szenen und Einfälle selbst provoziert zu haben. Es führt aber in der Wirklichkeit eine ununterbrochene Reihe von den unveränderten </w:t>
      </w:r>
      <w:r w:rsidRPr="00327933">
        <w:rPr>
          <w:rFonts w:ascii="Garamond" w:hAnsi="Garamond" w:cs="Arial"/>
          <w:i/>
          <w:iCs/>
          <w:color w:val="000000"/>
          <w:lang w:val="en-GB"/>
        </w:rPr>
        <w:t>Erinnerungsresten</w:t>
      </w:r>
      <w:r w:rsidRPr="00327933">
        <w:rPr>
          <w:rFonts w:ascii="Garamond" w:hAnsi="Garamond" w:cs="Arial"/>
          <w:color w:val="000000"/>
          <w:lang w:val="en-GB"/>
        </w:rPr>
        <w:t xml:space="preserve"> affektvoller Erlebnisse und Denkakte bis zu den hysterischen Symptomen, ihren </w:t>
      </w:r>
      <w:r w:rsidRPr="00327933">
        <w:rPr>
          <w:rFonts w:ascii="Garamond" w:hAnsi="Garamond" w:cs="Arial"/>
          <w:i/>
          <w:iCs/>
          <w:color w:val="000000"/>
          <w:lang w:val="en-GB"/>
        </w:rPr>
        <w:t>Erinnerungssymbolen</w:t>
      </w:r>
      <w:r w:rsidRPr="00327933">
        <w:rPr>
          <w:rFonts w:ascii="Garamond" w:hAnsi="Garamond" w:cs="Arial"/>
          <w:color w:val="000000"/>
          <w:lang w:val="en-GB"/>
        </w:rPr>
        <w: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Das Phänomen des Mitsprechens des hysterischen Symptoms während der Analyse bringt einen praktischen Übelstand mit sich, mit welchem man den Kranken sollte aussöhnen können. Es ist ja ganz unmöglich, eine Analyse eines Symptoms in einem Zuge vorzunehmen oder die Pausen in der Arbeit so zu verteilen, daß sie gerade mit Ruhepunkten in der Erledigung zusammentreffen. Vielmehr fällt die Unterbrechung, die durch die Nebenumstände der Behandlung, die vorgerückte Stunde u. dgl., gebieterisch vorgeschrieben wird, oft an die ungeschicktesten Stellen, gerade wo man sich einer Entscheidung nähern könnte, gerade wo ein neues Thema auftaucht. Es sind dieselben Übelstände, die jedem Zeitungsleser die Lektüre des täglichen Fragments seines Zeitungsromans verleiden, wenn unmittelbar nach der entscheidenden Rede der Heldin, nach dem Knallen des Schusses u. dgl. zu lesen steht: (Fortsetzung folgt). In unserem Falle bleibt das aufgerührte, aber nicht abgetane Thema, das zunächst verstärkte und noch nicht erklärte Symptom, im Seelenleben des Kranken bestehen und belästigt ihn vielleicht ärger, als es sonst der Fall war. Damit muß man sich eben abfinden können; es läßt sich nicht anders einrichten. Es gibt überhaupt Kranke, die während einer solchen Analyse das einmal berührte Thema nicht wieder loslassen können, die von ihm auch in der Zwischenzeit zwischen zwei Behandlungen obsediert sind, und da sie doch allein mit der Erledigung nicht weiterkommen, zunächst mehr leiden als vor der Behandlung. Auch solche Patienten lernen es schließlich, auf den Arzt zu warten, alles Interesse, </w:t>
      </w:r>
      <w:r w:rsidRPr="00327933">
        <w:rPr>
          <w:rFonts w:ascii="Garamond" w:hAnsi="Garamond" w:cs="Arial"/>
          <w:color w:val="000000"/>
          <w:lang w:val="en-GB"/>
        </w:rPr>
        <w:lastRenderedPageBreak/>
        <w:t>das sie an der Erledigung des pathogenen Materials haben, in die Stunden der Behandlung zu verlegen, und sie beginnen dann, sich in den Zwischenzeiten freier zu fühlen.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Auch das Allgemeinbefinden der Kranken während einer solchen Analyse erscheint der Beachtung wert. Eine Weile noch bleibt es, von der Behandlung unbeeinflußt, Ausdruck der früher wirksamen Faktoren, dann aber kommt ein Moment, in dem der Kranke »gepackt«, sein Interesse gefesselt wird, und von da gerät auch sein Allgemeinzustand immer mehr in Abhängigkeit von dem Stande der Arbeit. Jedesmal, wenn eine neue Aufklärung gewonnen, ein wichtiger Abschnitt in der Gliederung der Analyse erreicht ist, fühlt sich der Kranke auch erleichtert, genießt er wie ein Vorgefühl der nahenden Befreiung; bei jedem Stocken der Arbeit, bei jeder drohenden Verwirrung wächst die psychische Last, die ihn bedrückt, steigert sich seine Unglücksempfindung, seine Leistungsunfähigkeit. Beides allerdings nur für kurze Zeit; denn die Analyse geht weiter, verschmäht es, sich des Moments von Wohlbefinden zu rühmen, und setzt achtlos über die Perioden der Verdüsterung hinweg. Man freut sich im allgemeinen, wenn man die spontanen Schwankungen im Befinden des Kranken durch solche ersetzt hat, die man selbst provoziert und versteht, ebenso wie man gerne an Stelle der spontanen Ablösung der Symptome jene Tagesordnung treten sieht, die dem Stande der Analyse entspricht.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Gewöhnlich wird die Arbeit zunächst um so dunkler und schwieriger, je tiefer man in das vorhin beschriebene, geschichtete psychische Gebilde eindringt. Hat man sich aber einmal bis zum Kerne durchgearbeitet, so wird es licht, und das Allgemeinbefinden des Kranken hat keine starke Verdüsterung mehr zu befürchten. Den Lohn der Arbeit aber, das Aufhören der Krankheitssymptome, darf man erst erwarten, wenn man für jedes einzelne Symptom die volle Analyse geleistet hat; ja, wo die einzelnen Symptome durch mehrfache Knotungen aneinandergeknüpft sind, wird man nicht einmal durch Partialerfolge während der Arbeit ermutigt. Kraft der reichlich vorhandenen kausalen Verbindungen wirkt jede noch unerledigte pathogene Vorstellung als Motiv für sämtliche Schöpfungen der Neurose, und erst mit dem letzten Worte der Analyse schwindet das ganze Krankheitsbild, ganz ähnlich, wie sich die einzelne reproduzierte Erinnerung benahm. –</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Ist eine pathogene Erinnerung oder ein pathogener Zusammenhang, der dem Ich-Bewußtsein früher entzogen war, durch die Arbeit der Analyse aufgedeckt und in das Ich eingefügt, so beobachtet man an der so bereicherten psychischen Persönlichkeit verschiedene Arten, sich über ihren Gewinn zu äußern. Ganz besonders häufig kommt es vor, daß die Kranken, nachdem man sie mühsam zu einer gewissen Kenntnis genötigt hat, dann erklären: »Das habe ich ja immer gewußt, das hätte ich Ihnen vorher sagen können.« Die einsichtsvolleren erkennen dies dann als eine Selbsttäuschung und klagen sich des Undankes an. Sonst hängt im allgemeinen die Stellungnahme des Ich gegen die neue Erwerbung davon ab, aus welcher Schichte der Analyse letztere stammt. Was den äußersten Schichten angehört, wird ohne Schwierigkeiten anerkannt, es war ja im Besitze des Ich geblieben, und nur sein Zusammenhang mit den tieferen Schichten des pathogenen Materials war für das Ich eine Neuigkeit. Was aus diesen tieferen Schichten zutage gefördert wird, findet auch noch Erkennung und Anerkennung, aber doch häufig erst nach längerem Zögern und Bedenken. Visuelle Erinnerungsbilder sind hier natürlich schwieriger zu verleugnen als Erinnerungsspuren von bloßen Gedankengängen. Gar nicht selten sagt der Kranke zuerst: »Es ist möglich, daß ich dies gedacht habe, aber ich kann </w:t>
      </w:r>
      <w:smartTag w:uri="urn:schemas-microsoft-com:office:smarttags" w:element="State">
        <w:smartTag w:uri="urn:schemas-microsoft-com:office:smarttags" w:element="place">
          <w:r w:rsidRPr="00327933">
            <w:rPr>
              <w:rFonts w:ascii="Garamond" w:hAnsi="Garamond" w:cs="Arial"/>
              <w:color w:val="000000"/>
              <w:lang w:val="en-GB"/>
            </w:rPr>
            <w:t>mich</w:t>
          </w:r>
        </w:smartTag>
      </w:smartTag>
      <w:r w:rsidRPr="00327933">
        <w:rPr>
          <w:rFonts w:ascii="Garamond" w:hAnsi="Garamond" w:cs="Arial"/>
          <w:color w:val="000000"/>
          <w:lang w:val="en-GB"/>
        </w:rPr>
        <w:t xml:space="preserve"> nicht erinnern«, und erst nach längerer Vertrautheit mit dieser Annahme tritt auch das Erkennen dazu; er erinnert sich und bestätigt es auch durch Nebenverknüpfungen, daß er diesen Gedanken wirklich einmal gehabt hat. Ich mache es aber während der Analyse zum Gebote, die Wertschätzung einer auftauchenden Reminiszenz unabhängig von der Anerkennung des Kranken zu halten. Ich werde nicht müde zu wiederholen, daß wir daran gebunden sind, alles anzunehmen, was wir mit unseren Mitteln zutage fördern. Wäre etwas Unechtes oder Unrichtiges darunter, so würde der Zusammenhang es später ausscheiden lehren. Nebenbei gesagt, ich habe kaum je Anlaß gehabt, einer vorläufig zugelassenen Reminiszenz nachträglich die Anerkennung zu </w:t>
      </w:r>
      <w:r w:rsidRPr="00327933">
        <w:rPr>
          <w:rFonts w:ascii="Garamond" w:hAnsi="Garamond" w:cs="Arial"/>
          <w:color w:val="000000"/>
          <w:lang w:val="en-GB"/>
        </w:rPr>
        <w:lastRenderedPageBreak/>
        <w:t>entziehen. Was immer auftauchte, hat sich trotz des täuschenden Anscheines eines zwingenden Widerspruches doch endlich als das Richtige erwiesen.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Die aus der größten Tiefe stammenden Vorstellungen, die den Kern der pathogenen Organisation bilden, werden von den Kranken auch am schwierigsten als Erinnerungen anerkannt. Selbst wenn alles vorüber ist, wenn die Kranken, durch den logischen Zwang überwältigt und von der Heilwirkung überzeugt, die das Auftauchen gerade dieser Vorstellungen begleitet – wenn die Kranken, sage ich, selbst angenommen haben, sie hätten so und so gedacht, fügen sie oft hinzu: »Aber </w:t>
      </w:r>
      <w:r w:rsidRPr="00327933">
        <w:rPr>
          <w:rFonts w:ascii="Garamond" w:hAnsi="Garamond" w:cs="Arial"/>
          <w:i/>
          <w:iCs/>
          <w:color w:val="000000"/>
          <w:lang w:val="en-GB"/>
        </w:rPr>
        <w:t>erinnern</w:t>
      </w:r>
      <w:r w:rsidRPr="00327933">
        <w:rPr>
          <w:rFonts w:ascii="Garamond" w:hAnsi="Garamond" w:cs="Arial"/>
          <w:color w:val="000000"/>
          <w:lang w:val="en-GB"/>
        </w:rPr>
        <w:t xml:space="preserve">, daß ich es gedacht habe, kann ich mich nicht.« Man verständigt sich dann leicht mit ihnen: Es waren </w:t>
      </w:r>
      <w:r w:rsidRPr="00327933">
        <w:rPr>
          <w:rFonts w:ascii="Garamond" w:hAnsi="Garamond" w:cs="Arial"/>
          <w:i/>
          <w:iCs/>
          <w:color w:val="000000"/>
          <w:lang w:val="en-GB"/>
        </w:rPr>
        <w:t>unbewußte</w:t>
      </w:r>
      <w:r w:rsidRPr="00327933">
        <w:rPr>
          <w:rFonts w:ascii="Garamond" w:hAnsi="Garamond" w:cs="Arial"/>
          <w:color w:val="000000"/>
          <w:lang w:val="en-GB"/>
        </w:rPr>
        <w:t xml:space="preserve"> Gedanken. Wie soll man aber selbst diesen Sachverhalt in seine psychologischen Anschauungen eintragen? Soll man sich über dies verweigerte Erkennen von Seiten der Kranken, das nach getaner Arbeit motivlos ist, hinwegsetzen; soll man annehmen, daß es sich wirklich um Gedanken handelt, die nicht zustande gekommen sind, für welche bloß die Existenzmöglichkeit vorlag, so daß die Therapie in der Vollziehung eines damals unterbliebenen psychischen Aktes bestünde? Es ist offenbar unmöglich, hierüber, d. h. also über den Zustand des pathogenen Materials </w:t>
      </w:r>
      <w:r w:rsidRPr="00327933">
        <w:rPr>
          <w:rFonts w:ascii="Garamond" w:hAnsi="Garamond" w:cs="Arial"/>
          <w:i/>
          <w:iCs/>
          <w:color w:val="000000"/>
          <w:lang w:val="en-GB"/>
        </w:rPr>
        <w:t>vor</w:t>
      </w:r>
      <w:r w:rsidRPr="00327933">
        <w:rPr>
          <w:rFonts w:ascii="Garamond" w:hAnsi="Garamond" w:cs="Arial"/>
          <w:color w:val="000000"/>
          <w:lang w:val="en-GB"/>
        </w:rPr>
        <w:t xml:space="preserve"> der Analyse etwas auszusagen, ehe man seine psychologischen Grundansichten, zumal über das Wesen des Bewußtseins, gründlich geklärt hat. Es bleibt wohl eine des Nachdenkens würdige Tatsache, daß man bei solchen Analysen einen Gedankengang aus dem Bewußtsein ins Unbewußte (d. i. absolut nicht als Erinnerung Erkannte) verfolgen, ihn von dort aus wieder eine Strecke weit durchs Bewußte ziehen und wieder im Unbewußten enden sehen kann, ohne daß dieser Wechsel der »psychischen Beleuchtung« an ihm selbst, an seiner Folgerichtigkeit, dem Zusammenhang seiner einzelnen Teile, etwas ändern würde. Habe ich dann einmal diesen Gedankengang ganz vor mir, so könnte ich nicht erraten, welches Stück vom Kranken als Erinnerung erkannt wurde, welches nicht. Ich sehe nur gewissermaßen die Spitzen des Gedankenganges ins Unbewußte eintauchen, umgekehrt wie man es von unseren normalen psychischen Vorgängen behauptet hat.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Ich habe endlich noch ein Thema zu behandeln, welches bei der Durchführung einer solchen kathartischen Analyse eine unerwünscht große Rolle spielt. Ich habe bereits als möglich zugestanden, daß die Druckprozedur versagt, trotz alles Versicherns und Drängens keine Reminiszenz heraufbefördert. Dann, sagte ich, seien zwei Fälle möglich, entweder es ist an der Stelle, wo man eben nachforscht, wirklich nichts zu holen; dies erkennt man an der völlig ruhigen Miene des Kranken; oder man ist auf einen erst später überwindbaren Widerstand gestoßen, man steht vor einer neuen Schichte, in die man noch nicht eindringen kann, und das liest man dem Kranken wiederum von seiner gespannten und von geistiger Anstrengung zeugenden Miene ab. Es ist aber noch ein dritter Fall möglich, der gleichfalls ein Hindernis bedeutet, aber kein inhaltliches, sondern ein äußerliches. Dieser Fall tritt ein, wenn das Verhältnis des Kranken zum Arzte gestört ist, und bedeutet das ärgste Hindernis, auf das man stoßen kann. Man kann aber in jeder ernsteren Analyse darauf rechnen.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Ich habe bereits angedeutet, welche wichtige Rolle der Person des Arztes bei der Schöpfung von Motiven zufällt, welche die psychische Kraft des Widerstandes besiegen sollen. In nicht wenigen Fällen, besonders bei Frauen und wo es sich um Klärung erotischer Gedankengänge handelt, wird die Mitarbeiterschaft der Patienten zu einem persönlichen Opfer, das durch irgendwelches Surrogat von Liebe vergolten werden muß. Die Mühewaltung und geduldige Freundlichkeit des Arztes haben als solches Surrogat zu genügen.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Wird nun dieses Verhältnis der Kranken zum Arzte gestört, so versagt auch die Bereitschaft der Kranken; wenn der Arzt sich nach der nächsten pathogenen Idee erkundigen will, tritt der Kranken das Bewußtsein der Beschwerden dazwischen, die sich bei ihr gegen den Arzt angehäuft haben. Soviel ich erfahren habe, tritt dieses Hindernis in drei Hauptfällen ein: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(1) Bei persönlicher Entfremdung, wenn die Kranke sich zurückgesetzt, geringgeschätzt, beleidigt glaubt oder Ungünstiges über den Arzt und die Behandlungsmethode gehört hat. Dies ist der am wenigsten </w:t>
      </w:r>
      <w:r w:rsidRPr="00327933">
        <w:rPr>
          <w:rFonts w:ascii="Garamond" w:hAnsi="Garamond" w:cs="Arial"/>
          <w:color w:val="000000"/>
          <w:lang w:val="en-GB"/>
        </w:rPr>
        <w:lastRenderedPageBreak/>
        <w:t>ernste Fall; das Hindernis ist durch Aussprechen und Aufklären leicht zu überwinden, wenngleich die Empfindlichkeit und der Argwohn Hysterischer sich gelegentlich in ungeahnten Dimensionen äußern können.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(2) Wenn die Kranke von der Furcht ergriffen wird, sie gewöhne sich zu sehr an die Person des Arztes, verliere ihre Selbständigkeit ihm gegenüber, könne gar in sexuelle Abhängigkeit von ihm geraten. Dieser Fall ist bedeutsamer, weil minder individuell bedingt. Der Anlaß zu diesem Hindernisse ist in der Natur der therapeutischen Bekümmerung enthalten. Die Kranke hat nun ein neues Motiv zum Widerstande, welches sich nicht nur bei einer gewissen Reminiszenz, sondern bei jedem Versuche der Behandlung äußert. Ganz gewöhnlich klagt die Kranke über Kopfschmerzen, wenn man die Druckprozedur vornimmt. Ihr neues Motiv zum Widerstande bleibt ihr nämlich meistens unbewußt, und sie äußert es durch ein neu erzeugtes hysterisches Symptom. Der Kopfschmerz bedeutet die Abneigung, sich beeinflussen zu lassen.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(3) Wenn die Kranke sich davor erschreckt, daß sie aus dem Inhalte der Analyse auftauchende peinliche Vorstellungen auf die Person des Arztes überträgt. Dies ist häufig, ja in manchen Analysen ein regelmäßiges Vorkommnis. Die Übertragung auf den Arzt geschieht durch </w:t>
      </w:r>
      <w:r w:rsidRPr="00327933">
        <w:rPr>
          <w:rFonts w:ascii="Garamond" w:hAnsi="Garamond" w:cs="Arial"/>
          <w:i/>
          <w:iCs/>
          <w:color w:val="000000"/>
          <w:lang w:val="en-GB"/>
        </w:rPr>
        <w:t>falsche Verknüpfung</w:t>
      </w:r>
      <w:r w:rsidRPr="00327933">
        <w:rPr>
          <w:rFonts w:ascii="Garamond" w:hAnsi="Garamond" w:cs="Arial"/>
          <w:color w:val="000000"/>
          <w:lang w:val="en-GB"/>
        </w:rPr>
        <w:t xml:space="preserve"> (vgl. [1895 </w:t>
      </w:r>
      <w:r w:rsidRPr="00327933">
        <w:rPr>
          <w:rFonts w:ascii="Garamond" w:hAnsi="Garamond" w:cs="Arial"/>
          <w:i/>
          <w:iCs/>
          <w:color w:val="000000"/>
          <w:lang w:val="en-GB"/>
        </w:rPr>
        <w:t>d</w:t>
      </w:r>
      <w:r w:rsidRPr="00327933">
        <w:rPr>
          <w:rFonts w:ascii="Garamond" w:hAnsi="Garamond" w:cs="Arial"/>
          <w:color w:val="000000"/>
          <w:lang w:val="en-GB"/>
        </w:rPr>
        <w:t>] S. 121). Ich muß hier wohl ein Beispiel anführen: Ursprung eines gewissen hysterischen Symptoms war bei einer meiner Patientinnen der vor vielen Jahren gehegte und sofort ins Unbewußte verwiesene Wunsch, der Mann, mit dem sie damals ein Gespräch geführt, möchte doch herzhaft zugreifen und ihr einen Kuß aufdrängen. Nun taucht einmal nach Beendigung einer Sitzung ein solcher Wunsch in der Kranken in bezug auf meine Person auf; sie ist entsetzt darüber, verbringt eine schlaflose Nacht und ist das nächste Mal, obwohl sie die Behandlung nicht verweigert, doch ganz unbrauchbar zur Arbeit. Nachdem ich das Hindernis erfahren und behoben habe, geht die Arbeit wieder weiter und siehe da, der Wunsch, der die Kranke so erschreckt, erscheint als die nächste, als die jetzt vom logischen Zusammenhange geforderte der pathogenen Erinnerungen. Es war also so zugegangen: Es war zuerst der Inhalt des Wunsches im Bewußtsein der Kranken aufgetreten, ohne die Erinnerungen an die Nebenumstände, die diesen Wunsch in die Vergangenheit verlegen konnten; der nun vorhandene Wunsch wurde durch den im Bewußtsein herrschenden Assoziationszwang mit meiner Person verknüpft, welche ja die Kranke beschäftigen darf, und bei dieser Mesalliance – die ich falsche Verknüpfung heiße – wacht derselbe Affekt auf, der seinerzeit die Kranke zur Verweisung dieses unerlaubten Wunsches gedrängt hat. Nun ich das einmal erfahren habe, kann ich von jeder ähnlichen Inanspruchnahme meiner Person voraussetzen, es sei wieder eine Übertragung und falsche Verknüpfung vorgefallen. Die Kranke fällt merkwürdigerweise der Täuschung jedes neue Mal zum Opfer.</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Man kann keine Analyse zu Ende führen, wenn man dem Widerstande, der sich aus diesen drei Vorfällen ergibt, nicht zu begegnen weiß. Man findet aber auch hiezu den Weg, wenn man sich vorsetzt, dieses nach altem Muster neu produzierte Symptom so zu behandeln wie die alten. Man hat zunächst die Aufgabe, das »Hindernis« der Kranken bewußtzumachen. Bei einer meiner Kranken zum Beispiel, bei der plötzlich die Druckprozedur versagte und ich Grund hatte, eine unbewußte Idee wie die unter (2) erwähnte anzunehmen, traf ich es das erstemal durch Überrumpelung. Ich sagte ihr, es müsse sich ein Hindernis gegen die Fortsetzung der Behandlung ergeben haben, die Druckprozedur habe aber wenigstens die Macht, ihr dieses Hindernis zu zeigen, und drückte auf ihren Kopf. Sie sagte erstaunt: »Ich sehe Sie auf dem Sessel hier sitzend, das ist doch ein Unsinn; was soll das bedeuten?« – Ich konnte sie nun aufklären.</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Bei einer andern pflegte sich das »Hindernis« nicht direkt auf Druck zu zeigen, aber ich konnte es jedesmal nachweisen, wenn ich die Patientin auf den Moment zurückführte, in dem es entstanden war. Diesen Moment wiederzubringen, verweigerte uns die Druckprozedur nie. Mit dem Auffinden und Nachweisen des Hindernisses war die erste Schwierigkeit hinweggeräumt, eine größere blieb noch bestehen. Sie bestand darin, die Kranke zum Mitteilen zu bewegen, wo anscheinend persönliche Beziehungen in </w:t>
      </w:r>
      <w:r w:rsidRPr="00327933">
        <w:rPr>
          <w:rFonts w:ascii="Garamond" w:hAnsi="Garamond" w:cs="Arial"/>
          <w:color w:val="000000"/>
          <w:lang w:val="en-GB"/>
        </w:rPr>
        <w:lastRenderedPageBreak/>
        <w:t>Betracht kamen, wo die dritte Person mit der des Arztes zusammenfiel. Ich war anfangs über diese Vermehrung meiner psychischen Arbeit recht ungehalten, bis ich das Gesetzmäßige des ganzen Vorganges einsehen lernte, und dann merkte ich auch, daß durch solche Übertragung keine erhebliche Mehrleistung geschaffen sei. Die Arbeit für die Patientin blieb dieselbe: etwa den peinlichen Affekt zu überwinden, daß sie einen derartigen Wunsch einen Moment lang hegen konnte, und es schien für den Erfolg gleichgültig, ob sie diese psychische Abstoßung im historischen Falle oder im rezenten mit mir zum Thema der Arbeit nahm. Die Kranken lernten auch allmählich einsehen, daß es sich bei solchen Übertragungen auf die Person des Arztes um einen Zwang und um eine Täuschung handle, die mit Beendigung der Analyse zerfließe. Ich meine aber, wenn ich versäumt hätte, ihnen die Natur des »Hindernisses« klarzumachen, hätte ich ihnen einfach ein neues hysterisches Symptom, wenn auch ein milderes, für ein anderes, spontan entwickeltes substituiert.</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 xml:space="preserve">Nun, meine ich, ist es genug der Andeutungen über die Ausführung solcher Analysen und die dabei gemachten Erfahrungen. Sie lassen vielleicht manches komplizierter erscheinen, als es ist; vieles ergibt sich ja von selbst, wenn man sich in solch einer Arbeit befindet. Ich habe die Schwierigkeiten der Arbeit nicht aufgezählt, um den Eindruck zu erwecken, es lohne sich bei derartigen Anforderungen an Arzt und Kranke nur in den seltensten Fällen, eine kathartische Analyse zu unternehmen. Ich lasse mein ärztliches Handeln von der gegenteiligen Voraussetzung beeinflussen. – Die bestimmtesten Indikationen für die Anwendung der hier geschilderten therapeutischen Methode kann ich freilich nicht aufstellen, ohne in die Würdigung des bedeutsameren und umfassenderen Themas der Therapie der Neurosen überhaupt einzugehen. Ich habe bei mir häufig die kathartische Psychotherapie mit chirurgischen Eingriffen verglichen, meine Kuren als </w:t>
      </w:r>
      <w:r w:rsidRPr="00327933">
        <w:rPr>
          <w:rFonts w:ascii="Garamond" w:hAnsi="Garamond" w:cs="Arial"/>
          <w:i/>
          <w:iCs/>
          <w:color w:val="000000"/>
          <w:lang w:val="en-GB"/>
        </w:rPr>
        <w:t>psychotherapeutische Operationen</w:t>
      </w:r>
      <w:r w:rsidRPr="00327933">
        <w:rPr>
          <w:rFonts w:ascii="Garamond" w:hAnsi="Garamond" w:cs="Arial"/>
          <w:color w:val="000000"/>
          <w:lang w:val="en-GB"/>
        </w:rPr>
        <w:t xml:space="preserve"> bezeichnet, die Analogien mit Eröffnung einer eitergefüllten Höhle, der Auskratzung einer kariös erkrankten Stelle u. dgl. verfolgt. Eine solche Analogie findet ihre Berechtigung nicht so sehr in der Entfernung des Krankhaften als in der Herstellung besserer Heilungsbedingungen für den Ablauf des Prozesses.</w:t>
      </w:r>
    </w:p>
    <w:p w:rsidR="0091528C" w:rsidRPr="00327933" w:rsidRDefault="0091528C" w:rsidP="0091528C">
      <w:pPr>
        <w:rPr>
          <w:rFonts w:ascii="Garamond" w:hAnsi="Garamond" w:cs="Arial"/>
          <w:color w:val="000000"/>
          <w:lang w:val="en-GB"/>
        </w:rPr>
      </w:pPr>
      <w:r w:rsidRPr="00327933">
        <w:rPr>
          <w:rFonts w:ascii="Garamond" w:hAnsi="Garamond" w:cs="Arial"/>
          <w:color w:val="000000"/>
          <w:lang w:val="en-GB"/>
        </w:rPr>
        <w:t>Ich habe wiederholt von meinen Kranken, wenn ich ihnen Hilfe oder Erleichterung durch eine kathartische Kur versprach, den Einwand hören müssen: »Sie sagen ja selbst, daß mein Leiden wahrscheinlich mit meinen Verhältnissen und Schicksalen zusammenhängt: daran können Sie ja nichts ändern; auf welche Weise wollen Sie mir denn helfen?« Darauf habe ich antworten können: »Ich zweifle ja nicht, daß es dem Schicksale leichter fallen müßte als mir, Ihr Leiden zu beheben; aber Sie werden sich überzeugen, daß viel damit gewonnen ist, wenn es uns gelingt, Ihr hysterisches Elend in gemeines Unglück zu verwandeln. Gegen das letztere werden Sie sich mit einem wiedergenesenen Seelenleben besser zur Wehre setzen können.«</w:t>
      </w:r>
    </w:p>
    <w:p w:rsidR="0091528C" w:rsidRPr="00327933" w:rsidRDefault="0091528C" w:rsidP="0091528C">
      <w:pPr>
        <w:rPr>
          <w:rFonts w:ascii="Garamond" w:hAnsi="Garamond"/>
          <w:lang w:val="en-GB"/>
        </w:rPr>
      </w:pPr>
    </w:p>
    <w:p w:rsidR="002E0E50" w:rsidRPr="00F7475D" w:rsidRDefault="002E0E50" w:rsidP="002E0E50">
      <w:pPr>
        <w:rPr>
          <w:rFonts w:ascii="Garamond" w:hAnsi="Garamond" w:cs="Arial"/>
          <w:color w:val="000000"/>
          <w:lang w:val="en-GB"/>
        </w:rPr>
      </w:pPr>
    </w:p>
    <w:p w:rsidR="002E0E50" w:rsidRPr="00F7475D" w:rsidRDefault="002E0E50" w:rsidP="002E0E50">
      <w:pPr>
        <w:rPr>
          <w:rFonts w:ascii="Garamond" w:hAnsi="Garamond"/>
          <w:lang w:val="en-GB"/>
        </w:rPr>
      </w:pPr>
    </w:p>
    <w:p w:rsidR="00462409" w:rsidRPr="00B03603" w:rsidRDefault="00462409" w:rsidP="00462409">
      <w:pPr>
        <w:rPr>
          <w:rFonts w:ascii="Garamond" w:hAnsi="Garamond"/>
          <w:lang w:val="en-GB"/>
        </w:rPr>
      </w:pPr>
    </w:p>
    <w:p w:rsidR="005D30C2" w:rsidRPr="005C67C8" w:rsidRDefault="005D30C2" w:rsidP="005D30C2">
      <w:pPr>
        <w:rPr>
          <w:rFonts w:ascii="Garamond" w:hAnsi="Garamond"/>
          <w:lang w:val="en-GB"/>
        </w:rPr>
      </w:pPr>
    </w:p>
    <w:p w:rsidR="00106CDB" w:rsidRPr="00A75FC3" w:rsidRDefault="00106CDB" w:rsidP="00106CDB">
      <w:pPr>
        <w:rPr>
          <w:rFonts w:ascii="Garamond" w:hAnsi="Garamond" w:cs="Arial"/>
          <w:color w:val="000000"/>
          <w:lang w:val="en-GB"/>
        </w:rPr>
      </w:pPr>
    </w:p>
    <w:p w:rsidR="00106CDB" w:rsidRPr="00106CDB" w:rsidRDefault="00106CDB" w:rsidP="00106CDB">
      <w:pPr>
        <w:rPr>
          <w:rFonts w:ascii="Garamond" w:hAnsi="Garamond" w:cs="Arial"/>
          <w:color w:val="000000"/>
          <w:lang w:val="en-GB"/>
        </w:rPr>
      </w:pPr>
    </w:p>
    <w:p w:rsidR="00106CDB" w:rsidRPr="00106CDB" w:rsidRDefault="00106CDB" w:rsidP="00106CDB">
      <w:pPr>
        <w:rPr>
          <w:rFonts w:ascii="Garamond" w:hAnsi="Garamond" w:cs="Arial"/>
          <w:color w:val="000000"/>
          <w:lang w:val="en-GB"/>
        </w:rPr>
      </w:pPr>
      <w:r w:rsidRPr="00106CDB">
        <w:rPr>
          <w:rFonts w:ascii="Garamond" w:hAnsi="Garamond" w:cs="Arial"/>
          <w:color w:val="000000"/>
          <w:lang w:val="en-GB"/>
        </w:rPr>
        <w:t xml:space="preserve">  </w:t>
      </w:r>
    </w:p>
    <w:p w:rsidR="00106CDB" w:rsidRPr="00A75FC3" w:rsidRDefault="00106CDB" w:rsidP="00106CDB">
      <w:pPr>
        <w:rPr>
          <w:rFonts w:ascii="Garamond" w:hAnsi="Garamond"/>
          <w:lang w:val="en-GB"/>
        </w:rPr>
      </w:pPr>
    </w:p>
    <w:p w:rsidR="00CF585F" w:rsidRPr="009D1B8B" w:rsidRDefault="00B437A1" w:rsidP="00CF585F">
      <w:pPr>
        <w:widowControl w:val="0"/>
        <w:autoSpaceDE w:val="0"/>
        <w:autoSpaceDN w:val="0"/>
        <w:adjustRightInd w:val="0"/>
        <w:spacing w:after="400" w:line="240" w:lineRule="auto"/>
        <w:rPr>
          <w:rFonts w:ascii="Times-Roman" w:hAnsi="Times-Roman" w:cs="Times-Roman"/>
          <w:sz w:val="37"/>
          <w:szCs w:val="37"/>
          <w:lang w:val="en-US"/>
        </w:rPr>
      </w:pPr>
      <w:hyperlink w:anchor="KSinhalt" w:history="1">
        <w:r w:rsidR="00CF585F" w:rsidRPr="00CF585F">
          <w:rPr>
            <w:rStyle w:val="Lienhypertexte"/>
            <w:rFonts w:ascii="Garamond" w:hAnsi="Garamond" w:cs="Times-Bold"/>
            <w:bCs/>
            <w:lang w:val="en-US"/>
          </w:rPr>
          <w:t>De</w:t>
        </w:r>
        <w:bookmarkStart w:id="337" w:name="KS82"/>
        <w:bookmarkEnd w:id="337"/>
        <w:r w:rsidR="00CF585F" w:rsidRPr="00CF585F">
          <w:rPr>
            <w:rStyle w:val="Lienhypertexte"/>
            <w:rFonts w:ascii="Garamond" w:hAnsi="Garamond" w:cs="Times-Bold"/>
            <w:bCs/>
            <w:lang w:val="en-US"/>
          </w:rPr>
          <w:t xml:space="preserve">r Wahn und die Träume in W. Jensens </w:t>
        </w:r>
        <w:r w:rsidR="00CF585F" w:rsidRPr="00CF585F">
          <w:rPr>
            <w:rStyle w:val="Lienhypertexte"/>
            <w:rFonts w:ascii="Garamond" w:hAnsi="Garamond"/>
            <w:i/>
            <w:iCs/>
            <w:lang w:val="en-US"/>
          </w:rPr>
          <w:t>"Gradiva"</w:t>
        </w:r>
      </w:hyperlink>
      <w:r w:rsidR="00CF585F" w:rsidRPr="009D1B8B">
        <w:rPr>
          <w:lang w:val="en-US"/>
        </w:rPr>
        <w:t xml:space="preserve"> </w:t>
      </w:r>
      <w:r w:rsidR="00CF585F">
        <w:rPr>
          <w:lang w:val="en-US"/>
        </w:rPr>
        <w:t xml:space="preserve">  ( 1907 )</w:t>
      </w:r>
    </w:p>
    <w:p w:rsidR="00CF585F" w:rsidRPr="009D1B8B" w:rsidRDefault="00CF585F" w:rsidP="00CF585F">
      <w:pPr>
        <w:widowControl w:val="0"/>
        <w:autoSpaceDE w:val="0"/>
        <w:autoSpaceDN w:val="0"/>
        <w:adjustRightInd w:val="0"/>
        <w:spacing w:after="140" w:line="240" w:lineRule="auto"/>
        <w:rPr>
          <w:rFonts w:ascii="Times-Roman" w:hAnsi="Times-Roman" w:cs="Times-Roman"/>
          <w:sz w:val="37"/>
          <w:szCs w:val="37"/>
          <w:lang w:val="en-US"/>
        </w:rPr>
      </w:pPr>
    </w:p>
    <w:p w:rsidR="00CF585F" w:rsidRPr="009D1B8B" w:rsidRDefault="00CF585F" w:rsidP="00CF585F">
      <w:pPr>
        <w:pStyle w:val="Sansinterligne"/>
        <w:rPr>
          <w:rFonts w:ascii="Garamond" w:hAnsi="Garamond" w:cs="Times-Roman"/>
          <w:lang w:val="en-US"/>
        </w:rPr>
      </w:pPr>
      <w:r w:rsidRPr="009D1B8B">
        <w:rPr>
          <w:rFonts w:ascii="Garamond" w:hAnsi="Garamond"/>
          <w:lang w:val="en-US"/>
        </w:rPr>
        <w:t>I.</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In einem Kreise von Männern, denen es als ausgemacht gilt, daß die wesentlichsten Rätsel des Traumes durch die Bemühung des Verfassers(1) gelöst worden sind, erwachte eines Tages die Neugierde, sich um jene Träume zu kümmern, die überhaupt niemals geträumt worden, die von Dichtern geschaffen und erfundenen Personen im Zusammenhange einer Erzählung beigelegt werden. Der Vorschlag, diese Gattung von Träumen einer Untersuchung zu unterziehen, mochte müßig und befremdend erscheinen; von einer Seite her konnte man ihn als berechtigt hinstellen. Es wird ja keineswegs allgemein geglaubt, daß der Traum etwas Sinnvolles und Deutbares ist. Die Wissenschaft und die Mehrzahl der Gebildeten lächeln, wenn man ihnen die Aufgabe einer Traumdeutung stellt; nur das am Aberglauben hängende Volk, das hierin die Überzeugungen des Altertums fortsetzt, will von der Deutbarkeit der Träume nicht ablassen, und der Verfasser der Traumdeutung hat es gewagt, gegen den Einspruch der gestrengen Wissenschaft Partei für die Alten und für den Aberglauben zu nehmen. Er ist allerdings weit davon entfernt, im Traume eine Ankündigung der Zukunft anzuerkennen, nach deren Enthüllung der Mensch seit jeher mit allen unerlaubten Mitteln vergeblich strebt. Aber völlig konnte auch er nicht die Beziehung des Traumes zur Zukunft verwerfen, denn nach Vollendung einer mühseligen Übersetzungsarbeit erwies sich ihm der Traum als ein</w:t>
      </w:r>
      <w:r w:rsidRPr="009D1B8B">
        <w:rPr>
          <w:rFonts w:ascii="Garamond" w:hAnsi="Garamond" w:cs="Times-Roman"/>
          <w:lang w:val="en-US"/>
        </w:rPr>
        <w:t xml:space="preserve"> erfüllt </w:t>
      </w:r>
      <w:r w:rsidRPr="009D1B8B">
        <w:rPr>
          <w:rFonts w:ascii="Garamond" w:hAnsi="Garamond"/>
          <w:lang w:val="en-US"/>
        </w:rPr>
        <w:t>dargestellter</w:t>
      </w:r>
      <w:r w:rsidRPr="009D1B8B">
        <w:rPr>
          <w:rFonts w:ascii="Garamond" w:hAnsi="Garamond" w:cs="Times-Roman"/>
          <w:lang w:val="en-US"/>
        </w:rPr>
        <w:t xml:space="preserve"> Wunsch </w:t>
      </w:r>
      <w:r w:rsidRPr="009D1B8B">
        <w:rPr>
          <w:rFonts w:ascii="Garamond" w:hAnsi="Garamond"/>
          <w:lang w:val="en-US"/>
        </w:rPr>
        <w:t>des Träumers, und wer könnte bestreiten, daß Wünsche sich vorwiegend der Zukunft zuzuwenden pflegen.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(1) Freud, Die Traumdeutung 1900.</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Ich sagte eben: der Traum sei ein erfüllter Wunsch. Wer sich nicht scheut, ein schwieriges Buch durchzuarbeiten, wer nicht fordert, daß ein verwickeltes Problem zur Schonung seiner Bemühung und auf Kosten von Treue und Wahrheit ihm als leicht und einfach vorgehalten werde, der mag in der erwähnten »Traumdeutung« den weitläufigen Beweis für diesen Satz aufsuchen und bis dahin die ihm sicherlich aufsteigenden Einwendungen gegen die Gleichstellung von Traum und Wunscherfüllung zur Seite drängen.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Aber wir haben weit vorgegriffen. Es handelt sich noch gar nicht darum, festzustellen, ob der Sinn eines Traumes in jedem Falle durch einen erfüllten Wunsch wiederzugeben sei, oder nicht auch ebenso häufig durch eine ängstliche Erwartung, einen Vorsatz, eine Überlegung u. s. w. Vielmehr steht erst in Frage, ob der Traum überhaupt einen Sinn habe, ob man ihm den Wert eines seelischen Vorganges zugestehen solle. Die Wissenschaft antwortet mit Nein, sie erklärt das Träumen für einen bloß physiologischen Vorgang, hinter dem man also Sinn, Bedeutung, Absicht nicht zu suchen brauche. Körperliche Reize spielten während des Schlafes auf dem seelischen Instrument und brächten so bald diese, bald jene der alles seelischen Zusammenhaltes beraubten Vorstellungen zum Bewußtsein. Die Träume wären nur Zuckungen, nicht aber Ausdrucksbewegungen des Seelenlebens vergleichbar.</w:t>
      </w:r>
    </w:p>
    <w:p w:rsidR="00CF585F" w:rsidRPr="009D1B8B" w:rsidRDefault="00CF585F" w:rsidP="00CF585F">
      <w:pPr>
        <w:pStyle w:val="Sansinterligne"/>
        <w:rPr>
          <w:rFonts w:ascii="Garamond" w:hAnsi="Garamond" w:cs="Times-Roman"/>
        </w:rPr>
      </w:pPr>
      <w:r w:rsidRPr="009D1B8B">
        <w:rPr>
          <w:rFonts w:ascii="Garamond" w:hAnsi="Garamond"/>
          <w:lang w:val="en-US"/>
        </w:rPr>
        <w:t xml:space="preserve">In diesem Streite über die Würdigung des Traumes scheinen nun die Dichter auf derselben Seite zu stehen wie die Alten, wie das abergläubische Volk und wie der Verfasser der »Traumdeutung«. Denn wenn sie die von ihrer Phantasie gestalteten Personen träumen lassen, so folgen sie der alltäglichen Erfahrung, daß das Denken und Fühlen der Menschen sich in den Schlaf hinein fortsetzt, und suchen nichts anderes, als die Seelenzustände ihrer Helden durch deren Träume zu schildern. Wertvolle Bundesgenossen sind aber die Dichter und ihr Zeugnis ist hoch anzuschlagen, denn sie pflegen eine Menge von Dingen zwischen Himmel und Erde zu wissen, von denen sich unsere Schulweisheit noch nichts träumen läßt. In der Seelenkunde gar sind sie uns Alltagsmenschen weit voraus, weil sie da aus Quellen schöpfen, welche wir noch nicht für die Wissenschaft erschlossen haben. </w:t>
      </w:r>
      <w:r w:rsidRPr="009D1B8B">
        <w:rPr>
          <w:rFonts w:ascii="Garamond" w:hAnsi="Garamond"/>
        </w:rPr>
        <w:t>Wäre diese Parteinahme der Dichter für die sinnvolle Natur der Träume nur unzweideutiger! Eine schärfere Kritik könnte ja einwenden, der Dichter nehme weder für noch gegen die psychische Bedeutung des einzelnen Traumes Partei; er begnüge sich zu zeigen, wie die schlafende Seele unter den Erregungen aufzuckt, die als Ausläufer des Wachlebens in ihr kräftig verblieben sind.</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Unser Interesse für die Art, wie sich die Dichter des Traumes bedienen, ist indes auch durch diese Ernüchterung nicht gedämpft. Wenn uns die Untersuchung auch nichts Neues über das Wesen der Träume lehren sollte, vielleicht gestattet sie uns von diesem Winkel aus einen kleinen Einblick in die Natur der dichterischen Produktion. Die wirklichen Träume gelten zwar bereits als zügellose und regelfreie Bildungen, und nun erst die freien Nachbildungen solcher Träume! Aber es gibt viel weniger Freiheit und </w:t>
      </w:r>
      <w:r w:rsidRPr="009D1B8B">
        <w:rPr>
          <w:rFonts w:ascii="Garamond" w:hAnsi="Garamond"/>
          <w:lang w:val="en-US"/>
        </w:rPr>
        <w:lastRenderedPageBreak/>
        <w:t>Willkür im Seelenleben, als wir geneigt sind anzunehmen; vielleicht überhaupt keine. Was wir in der Welt draußen Zufälligkeit heißen, löst sich bekanntermaßen in Gesetze auf; auch was wir im Seelischen Willkür heißen, ruht auf -- derzeit erst dunkel geahnten -- Gesetzen. Sehen wir also zu!</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Es gäbe zwei Wege für diese Untersuchung. Der eine wäre die Vertiefung in einen Spezialfall, in die Traumschöpfungen eines Dichters in einem seiner Werke. Der andere bestünde im Zusammentragen und Gegeneinanderhalten all der Beispiele, die sich in den Werken verschiedener Dichter von der Verwendung der Träume finden lassen. Der zweite Weg scheint der bei weitem trefflichere zu sein, vielleicht der einzig berechtigte, denn er befreit uns sofort von den Schädigungen, die mit der Aufnahme des künstlichen Einheitsbegriffes »der Dichter« verbunden sind. Diese Einheit zerfällt bei der Untersuchung in die so sehr verschiedenwertigen Dichterindividuen, unter denen wir in einzelnen die tiefsten Kenner des menschlichen Seelenlebens zu verehren gewohnt sind. Dennoch aber werden diese Blätter von einer Untersuchung der ersten Art ausgefüllt sein. Es hatte sich in jenem Kreise von Männern, unter denen die Anregung auftauchte, so gefügt, daß jemand sich besann, in dem Dichtwerke, das zuletzt sein Wohlgefallen erweckt, wären mehrere Träume enthalten gewesen, die ihn gleichsam mit vertrauten Zügen angeblickt hätten und ihn einlüden, die Methode der »Traumdeutung« an ihnen zu versuchen. Er gestand zu, Stoff und Örtlichkeit der kleinen Dichtung wären wohl an der Entstehung seines Wohlgefallens hauptsächlich beteiligt gewesen, denn die Geschichte spiele auf dem Boden von Pompeji und handle von einem jungen Archäologen, der das Interesse für das Leben gegen das an den Resten der klassischen Vergangenheit hingegeben hätte und nun auf einem merkwürdigen, aber völlig korrekten Umwege ins Leben zurückgebracht werde. Während der Behandlung dieses echt poetischen Stoffes rege sich allerlei Verwandtes und dazu Stimmendes im Leser. Die Dichtung aber sei die kleine Novelle »</w:t>
      </w:r>
      <w:r w:rsidRPr="009D1B8B">
        <w:rPr>
          <w:rFonts w:ascii="Garamond" w:hAnsi="Garamond" w:cs="Times-Roman"/>
          <w:lang w:val="en-US"/>
        </w:rPr>
        <w:t>Gradiva</w:t>
      </w:r>
      <w:r w:rsidRPr="009D1B8B">
        <w:rPr>
          <w:rFonts w:ascii="Garamond" w:hAnsi="Garamond"/>
          <w:lang w:val="en-US"/>
        </w:rPr>
        <w:t>« von</w:t>
      </w:r>
      <w:r w:rsidRPr="009D1B8B">
        <w:rPr>
          <w:rFonts w:ascii="Garamond" w:hAnsi="Garamond" w:cs="Times-Roman"/>
          <w:lang w:val="en-US"/>
        </w:rPr>
        <w:t xml:space="preserve"> Wilhelm Jensen</w:t>
      </w:r>
      <w:r w:rsidRPr="009D1B8B">
        <w:rPr>
          <w:rFonts w:ascii="Garamond" w:hAnsi="Garamond"/>
          <w:lang w:val="en-US"/>
        </w:rPr>
        <w:t>, vom Autor selbst als »pompejanisches Phantasiestück« bezeichnet.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Und nun müßte ich eigentlich alle meine Leser bitten, dieses Heft aus der Hand zu legen und es für eine ganze Weile durch die 1903 im Buchhandel erschienene »Gradiva« zu ersetzen, damit ich mich im weiteren auf Bekanntes beziehen kann. Denjenigen aber, welche die »Gradiva« bereits gelesen haben, will ich den Inhalt der Erzählung durch einen kurzen Auszug ins Gedächtnis zurückrufen, und rechne darauf, daß ihre Erinnerung allen dabei abgestreiften Reiz aus eigenem wiederherstellen wird.</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Ein junger Archäologe,</w:t>
      </w:r>
      <w:r w:rsidRPr="009D1B8B">
        <w:rPr>
          <w:rFonts w:ascii="Garamond" w:hAnsi="Garamond" w:cs="Times-Roman"/>
          <w:lang w:val="en-US"/>
        </w:rPr>
        <w:t xml:space="preserve"> Norbert Hanold</w:t>
      </w:r>
      <w:r w:rsidRPr="009D1B8B">
        <w:rPr>
          <w:rFonts w:ascii="Garamond" w:hAnsi="Garamond"/>
          <w:lang w:val="en-US"/>
        </w:rPr>
        <w:t>, hat in einer Antikensammlung Roms ein Reliefbild entdeckt, das ihn so ausnehmend angezogen, daß er sehr erfreut gewesen ist, einen vortrefflichen Gipsabguß davon erhalten zu können, den er in seiner Studierstube in einer deutschen Universitätsstadt aufhängen und mit Interesse studieren kann. Das Bild stellt ein reifes junges Mädchen im Schreiten dar, welches ihr reichfaltiges Gewand ein wenig aufgerafft hat, so daß die Füße in den Sandalen sichtbar werden. Der eine Fuß ruht ganz auf dem Boden, der andere hat sich zum Nachfolgen vom Boden abgehoben und berührt ihn nur mit den Zehenspitzen, während Sohle und Ferse sich fast senkrecht emporheben. Der hier dargestellte ungewöhnliche und besonders reizvolle Gang hatte wahrscheinlich die Aufmerksamkeit des Künstlers erregt und fesselt nach so viel Jahrhunderten nun den Blick unseres archäologischen Beschauers.</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Dies Interesse des Helden der Erzählung für das geschilderte Reliefbild ist die psychologische Grundtatsache unserer Dichtung. Es ist nicht ohne weiteres erklärbar. »Doktor Norbert Hanold, Dozent der Archäologie, fand eigentlich für seine Wissenschaft an dem Relief nichts sonderlich Beachtenswertes.« (Gradiva p. 3.) »Er wußte sich nicht klarzustellen, was daran seine Aufmerksamkeit erregt habe, nur daß er von etwas angezogen worden und diese Wirkung sich seitdem unverändert forterhalten habe.« </w:t>
      </w:r>
      <w:r w:rsidRPr="009D1B8B">
        <w:rPr>
          <w:rFonts w:ascii="Garamond" w:hAnsi="Garamond"/>
        </w:rPr>
        <w:t xml:space="preserve">Aber seine Phantasie läßt nicht ab, sich mit dem Bilde zu beschäftigen. </w:t>
      </w:r>
      <w:r w:rsidRPr="009D1B8B">
        <w:rPr>
          <w:rFonts w:ascii="Garamond" w:hAnsi="Garamond"/>
          <w:lang w:val="en-US"/>
        </w:rPr>
        <w:t>Er findet etwas »Heutiges« darin, als ob der Künstler den Anblick auf der Straße »nach dem Leben« festgehalten habe. Er verleiht dem im Schreiten dargestellten Mädchen einen Namen: »Gradiva«, die »Vorschreitende«; er fabuliert, sie sei gewiß die Tochter eines vornehmen Hauses, vielleicht »eines patrizischen Aedilis, der sein Amt im Namen der Ceres ausübte«, und befinde sich auf dem Wege zum Tempel der Göttin. Dann widerstrebt es ihm, ihre ruhige stille Art in das Getriebe einer Großstadt einzufügen, vielmehr erschafft er sich die Überzeugung, daß sie nach Pompeji zu versetzen sei und dort irgendwo auf den wieder ausgegrabenen eigentümlichen Trittsteinen schreite, die bei regnerischem Wetter einen trockenen Übergang von einer Seite der Straße zur anderen ermöglicht und doch auch Durchlaß für Wagenräder gestattet hatten. Ihr Gesichtsschnitt dünkt ihm</w:t>
      </w:r>
      <w:r w:rsidRPr="009D1B8B">
        <w:rPr>
          <w:rFonts w:ascii="Garamond" w:hAnsi="Garamond" w:cs="Times-Roman"/>
          <w:lang w:val="en-US"/>
        </w:rPr>
        <w:t xml:space="preserve"> griechischer </w:t>
      </w:r>
      <w:r w:rsidRPr="009D1B8B">
        <w:rPr>
          <w:rFonts w:ascii="Garamond" w:hAnsi="Garamond"/>
          <w:lang w:val="en-US"/>
        </w:rPr>
        <w:t>Art, ihre hellenische Abstammung unzweifelhaft; seine ganze Altertumswissenschaft stellt sich allmählich in den Dienst dieser und anderer auf das Urbild des Reliefs bezüglichen Phantasien.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Dann aber drängt sich ihm ein angeblich wissenschaftliches Problem auf, das nach Erledigung verlangt. Es handelt sich für ihn um eine kritische Urteilsabgabe, »ob der Künstler den Vorgang des Ausschreitens bei der Gradiva dem Leben entsprechend wiedergegeben habe«. Er selbst vermag ihn an sich nicht </w:t>
      </w:r>
      <w:r w:rsidRPr="009D1B8B">
        <w:rPr>
          <w:rFonts w:ascii="Garamond" w:hAnsi="Garamond"/>
          <w:lang w:val="en-US"/>
        </w:rPr>
        <w:lastRenderedPageBreak/>
        <w:t>hervorzurufen; bei der Suche nach der »Wirklichkeit« dieser Gangart gelangt er nun dazu, »zur Aufhellung der Sache selbst Beobachtungen nach dem Leben anzustellen«. (G. p. 9.) Das nötigt ihn allerdings zu einem ihm durchaus fremdartigen Tun. »Das weibliche Geschlecht war bisher für ihn nur ein Begriff aus Marmor oder Erzguß gewesen, und er hatte seinen zeitgenössischen Vertreterinnen desselben niemals die geringste Beachtung geschenkt.« Pflege der Gesellschaft war ihm immer nur als unabweisbare Plage erschienen; junge Damen, mit denen er dort zusammentraf, sah und hörte er so wenig, daß er bei einer nächsten Begegnung grußlos an ihnen vorüberging, was ihn natürlich in kein günstiges Licht bei ihnen brachte. Nun aber nötigte ihn die wissenschaftliche Aufgabe, die er sich gestellt, bei trockener, besonders aber bei nasser Witterung eifrig nach den sichtbar werdenden Füßen der Frauen und Mädchen auf der Straße zu schauen, welche Tätigkeit ihm manchen unmutigen und manchen ermutigenden Blick der so Beobachteten eintrug; »doch kam ihm das eine so wenig zum Verständnis wie das andere«. (G. p. 10.) Als Ergebnis dieser sorgfältigen Studien mußte er finden, daß die Gangart der Gradiva in der Wirklichkeit nicht nachzuweisen war, was ihn mit Bedauern und Verdruß erfüllte.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Bald nachher hatte er einen schreckvoll beängstigenden Traum, der ihn in das alte Pompeji am Tage des Vesuvausbruches versetzte und zum Zeugen des Unterganges der Stadt machte. »Wie er so am Rande des Forums neben dem Jupitertempel stand, sah er plötzlich in geringer Entfernung die Gradiva vor sich; bis dahin hatte ihn kein Gedanke an ihr Hiersein angerührt, jetzt aber ging ihm auf einmal und als natürlich auf, da sie ja eine Pompejanerin sei, lebe sie in ihrer Vaterstadt und,</w:t>
      </w:r>
      <w:r w:rsidRPr="009D1B8B">
        <w:rPr>
          <w:rFonts w:ascii="Garamond" w:hAnsi="Garamond" w:cs="Times-Roman"/>
          <w:lang w:val="en-US"/>
        </w:rPr>
        <w:t xml:space="preserve"> ohne daß er's geahnt habe, gleichzeitig mit ihm</w:t>
      </w:r>
      <w:r w:rsidRPr="009D1B8B">
        <w:rPr>
          <w:rFonts w:ascii="Garamond" w:hAnsi="Garamond"/>
          <w:lang w:val="en-US"/>
        </w:rPr>
        <w:t>.« (G. p. 12.) Angst um das ihr bevorstehende Schicksal entlockte ihm einen Warnruf, auf den die gleichmütig fortschreitende Erscheinung ihm ihr Gesicht zuwendete. Sie setzte aber dann unbekümmert ihren Weg bis zum Portikus des Tempels fort, setzte sich dort auf eine Treppenstufe und legte langsam den Kopf auf diese nieder, während ihr Gesicht sich immer blasser färbte, als ob es sich zu weißem Marmor umwandle. Als er ihr nacheilte, fand er sie mit ruhigem Ausdruck wie schlafend auf der breiten Stufe hingestreckt, bis dann der Aschenregen ihre Gestalt begrub.</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Als er erwachte, glaubte er noch das verworrene Geschrei der nach Rettung suchenden Bewohner Pompejis und die dumpf dröhnende Brandung der erregten See im Ohre zu haben. Aber auch nachdem die wiederkehrende Besinnung diese Geräusche als die weckenden Lebensäußerungen der lärmenden Großstadt erkannt hatte, behielt er für eine lange Zeit den Glauben an die Wirklichkeit des Geträumten; als er sich endlich von der Vorstellung frei gemacht, daß er selbst vor bald zwei Jahrtausenden dem Untergang Pompejis beigewohnt, verblieb ihm doch wie eine wahrhafte Überzeugung, daß die Gradiva in Pompeji gelebt und dort im Jahre 79 mit verschüttet worden sei. Solche Fortsetzung fanden seine Phantasien über die Gradiva durch die Nachwirkung dieses Traumes, daß er sie jetzt erst wie eine Verlorene betrauerte.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Während er, von diesen Gedanken befangen, aus dem Fenster lehnte, zog ein Kanarienvogel seine Aufmerksamkeit auf sich, der an einem offenstehenden Fenster des Hauses gegenüber im Käfig sein Lied schmetterte. Plötzlich durchfuhr etwas wie ein Ruck den, wie es scheint, noch nicht völlig aus seinem Traum Erwachten. Er glaubte, auf der Straße eine Gestalt wie die seiner Gradiva gesehen und selbst den für sie charakteristischen Gang erkannt zu haben, eilte unbedenklich auf die Straße, um sie einzuholen, und erst das Lachen und Spotten der Leute über seine unschickliche Morgenkleidung trieb ihn rasch wieder in seine Wohnung zurück. In seinem Zimmer war es wieder der singende Kanarienvogel im Käfig, der ihn beschäftigte und ihn zum Vergleiche mit seiner eigenen Person anregte. Auch er sitze wie im Käfig, fand er, doch habe er es leichter, seinen Käfig zu verlassen. Wie in weiterer Nachwirkung des Traumes, vielleicht auch unter dem Einflusse der linden Frühlingsluft gestaltete sich in ihm der Entschluß einer Frühjahrsreise nach Italien, für welche ein wissenschaftlicher Vorwand bald gefunden wurde, wenn auch »der Antrieb zu dieser Reise ihm aus einer unbenennbaren Empfindung entsprungen war«. (G. p. 24.)</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Bei dieser merkwürdig locker motivierten Reise wollen wir einen Moment Halt machen und die Persönlichkeit wie das Treiben unseres Helden näher ins Auge fassen. Er erscheint uns noch unverständlich und töricht; wir ahnen nicht, auf welchem Wege seine besondere Torheit sich mit der Menschlichkeit verknüpfen wird, um unsere Teilnahme zu erzwingen. Es ist das Vorrecht des Dichters, uns in solcher Unsicherheit belassen zu dürfen; mit der Schönheit seiner Sprache, der Sinnigkeit seiner Einfälle lohnt er uns vorläufig das Vertrauen, das wir ihm schenken, und die Sympathie, die wir, noch unverdient, für seinen Helden bereithalten. Von diesem teilt er uns noch mit, daß er schon durch die Familientradition zum Altertumsforscher bestimmt, sich in seiner späteren Vereinsamung und Unabhängigkeit ganz in seine Wissenschaft versenkt und ganz vom Leben und seinen Genüssen abgewendet hat. Marmor und Bronze waren für sein Gefühl das einzig wirklich Lebendige, den Zweck </w:t>
      </w:r>
      <w:r w:rsidRPr="009D1B8B">
        <w:rPr>
          <w:rFonts w:ascii="Garamond" w:hAnsi="Garamond"/>
          <w:lang w:val="en-US"/>
        </w:rPr>
        <w:lastRenderedPageBreak/>
        <w:t>und Wert des Menschenlebens zum Ausdruck Bringende. Doch hatte vielleicht in wohlmeinender Absicht die Natur ihm ein Korrektiv durchaus unwissenschaftlicher Art ins Blut gelegt, eine überaus lebhafte Phantasie, die sich nicht nur in Träumen, sondern auch oft im Wachen zur Geltung bringen konnte. Durch solche Absonderung der Phantasie vom Denkvermögen mußte er zum Dichter oder zum Neurotiker bestimmt sein, gehörte er jenen Menschen an, deren Reich nicht von dieser Welt ist. So konnte es sich ihm ereignen, daß er mit seinem Interesse an einem Reliefbild hängen blieb, welches ein eigentümlich schreitendes Mädchen darstellte, daß er dieses mit seinen Phantasien umspann, ihm Namen und Herkunft fabulierte, und die von ihm geschaffene Person in das vor mehr als 1800 Jahren verschüttete Pompeji versetzte, endlich nach einem merkwürdigen Angsttraum die Phantasie von der Existenz und dem Untergang des Gradiva genannten Mädchens zu einem Wahn erhob, der auf sein Handeln Einfluß gewann. Sonderbar und undurchsichtig würden uns diese Leistungen der Phantasie erscheinen, wenn wir ihnen bei einem wirklich Lebenden begegnen würden. Da unser Held Norbert Hanold ein Geschöpf des Dichters ist, möchten wir etwa an diesen die schüchterne Frage richten, ob seine Phantasie von anderen Mächten als von ihrer eigenen Willkür bestimmt worden ist.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Unseren Helden hatten wir verlassen, als er sich anscheinend durch das Singen eines Kanarienvogels zu einer Reise nach Italien bewegen ließ, deren Motiv ihm offenbar nicht klar war. Wir erfahren weiter, daß auch Ziel und Zweck dieser Reise ihm nicht feststand. Eine innere Unruhe und Unbefriedigung treibt ihn von Rom nach Neapel und von da weiter weg. Er gerät in den Schwarm der Hochzeitsreisenden und genötigt, sich mit den zärtlichen »August« und »Grete« zu beschäftigen, findet er sich ganz außer stande, das Tun und Treiben dieser Paare zu verstehen. Er kommt zu dem Ergebnis, unter allen Torheiten der Menschen »nehme jedenfalls das Heiraten, als die größte und unbegreiflichste, den obersten Rang ein, und ihre sinnlosen Hochzeitsreisen nach Italien setzten gewissermaßen dieser Narretei die Krone auf«. (G. p. 27.) In Rom durch die Nähe eines zärtlichen Paares in seinem Schlaf gestört, flieht er alsbald nach Neapel, nur um dort andere »August und Grete« wiederzufinden. Da er aus deren Gesprächen zu entnehmen glaubt, daß die Mehrheit dieser Vogelpaare nicht im Sinne habe, zwischen dem Schutt von Pompeji zu nisten, sondern den Flug nach Capri zu richten, beschließt er, das zu tun, was sie nicht täten, und befindet sich »wider Erwarten und Absicht« wenige Tage nach seiner Abreise in Pompeji.</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Ohne aber dort die Ruhe zu finden, die er gesucht. Die Rolle, welche bis dahin die Hochzeitspaare gespielt, die sein Gemüt beunruhigt und seine Sinne belästigt hatten, wird jetzt von den Stubenfliegen übernommen, in denen er die Verkörperung des absolut Bösen und Überflüssigen zu erblicken geneigt wird. Beiderlei Quälgeister verschwimmen ihm zu einer Einheit; manche Fliegenpaare erinnern ihn an Hochzeitsreisende, reden sich vermutlich in ihrer Sprache auch »mein einziger August« und »meine süße Grete« an. Er kann endlich nicht umhin zu erkennen, »daß seine Unbefriedigung nicht allein durch das um ihn herum Befindliche verursacht werde, sondern etwas ihren Ursprung auch aus ihm selbst schöpfe«. (G. p. 42.) Er fühlt, »daß er mißmutig sei, weil ihm etwas fehle, ohne daß er sich aufhellen könne, was«.</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Am nächsten Morgen begibt er sich durch den »Ingresso« nach Pompeji und durchstreift nach Verabschiedung des Führers planlos die Stadt, merkwürdigerweise ohne sich dabei zu erinnern, daß er vor einiger Zeit im Traume bei der Verschüttung Pompejis zugegen gewesen. Als dann in der »heißen, heiligen« Mittagsstunde, die ja den Alten als Geisterstunde galt, die anderen Besucher sich geflüchtet haben, und die Trümmerhaufen verödet und sonnenglanzübergossen vor ihm liegen, da regt sich in ihm die Fähigkeit, sich in das versunkene Leben zurückzuversetzen, aber nicht mit Hilfe der Wissenschaft. »Was diese lehrte, war eine leblose archäologische Anschauung, und was ihr vom Mund kam, eine tote, philologische Sprache. Die verhalfen zu keinem Begreifen mit der Seele, dem Gemüt, dem Herzen, wie man's nennen wollte, sondern wer danach Verlangen in sich trug, der mußte als einzig Lebendiger allein in der heißen Mittagsstille hier zwischen den Überresten der Vergangenheit stehen, um nicht mit den körperlichen Augen zu sehen und nicht mit den leiblichen Ohren zu hören. Dann .... wachten die Toten auf und Pompeji fing an, wieder zu leben.« (G. p. 55.)</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Während er so die Vergangenheit mit seiner Phantasie belebt, sieht er plötzlich die unverkennbare Gradiva seines Reliefs aus einem Hause heraustreten und leichtbehend über die Lavatrittsteine zur anderen Seite der Straße schreiten, ganz so, wie er sie im Traume jener Nacht gesehen, als sie sich wie zum Schlafen auf die Stufen des Apollotempels hingelegt hatte. »Und mit dieser Erinnerung zusammen kommt ihm noch etwas anderes zum erstenmal zum Bewußtsein: Er sei, ohne selbst von dem Antrieb in seinem Innern zu wissen, deshalb nach Italien und ohne Aufenthalt von Rom und Neapel bis Pompeji weitergefahren, um danach zu suchen, ob er hier Spuren von ihr auffinden könne. Und zwar im wörtlichen Sinne, denn bei ihrer besonderen Gangart mußte sie in der Asche einen von allen übrigen sich unterscheidenden Abdruck der Zehen hinterlassen haben.« (G. p. 58.)</w:t>
      </w:r>
    </w:p>
    <w:p w:rsidR="00CF585F" w:rsidRPr="009D1B8B" w:rsidRDefault="00CF585F" w:rsidP="00CF585F">
      <w:pPr>
        <w:pStyle w:val="Sansinterligne"/>
        <w:rPr>
          <w:rFonts w:ascii="Garamond" w:hAnsi="Garamond" w:cs="Times-Roman"/>
          <w:lang w:val="en-US"/>
        </w:rPr>
      </w:pPr>
      <w:r w:rsidRPr="009D1B8B">
        <w:rPr>
          <w:rFonts w:ascii="Garamond" w:hAnsi="Garamond"/>
          <w:lang w:val="en-US"/>
        </w:rPr>
        <w:lastRenderedPageBreak/>
        <w:t>Die Spannung, in welcher der Dichter uns bisher erhalten hat, steigert sich hier an dieser Stelle für einen Augenblick zu peinlicher Verwirrung. Nicht nur, daß unser Held offenbar aus dem Gleichgewicht geraten ist, auch wir finden uns angesichts der Erscheinung der Gradiva, die bisher ein Stein- und dann ein Phantasiebild war, nicht zurecht. Ist's eine Halluzination unseres vom Wahn betörten Helden, ein »wirkliches« Gespenst oder eine leibhaftige Person? Nicht daß wir an Gespenster zu glauben brauchten, um diese Reihe aufzustellen. Der Dichter, der seine Erzählung ein »Phantasiestück« benannte, hat ja noch keinen Anlaß gefunden uns aufzuklären, ob er uns in unserer, als nüchtern verschrieenen, von den Gesetzen der Wissenschaft beherrschten Welt belassen oder in eine andere phantastische Welt führen will, in der Geistern und Gespenstern Wirklichkeit zugesprochen wird. Wie das Beispiel des</w:t>
      </w:r>
      <w:r w:rsidRPr="009D1B8B">
        <w:rPr>
          <w:rFonts w:ascii="Garamond" w:hAnsi="Garamond" w:cs="Times-Roman"/>
          <w:lang w:val="en-US"/>
        </w:rPr>
        <w:t xml:space="preserve"> Hamlet</w:t>
      </w:r>
      <w:r w:rsidRPr="009D1B8B">
        <w:rPr>
          <w:rFonts w:ascii="Garamond" w:hAnsi="Garamond"/>
          <w:lang w:val="en-US"/>
        </w:rPr>
        <w:t>, des</w:t>
      </w:r>
      <w:r w:rsidRPr="009D1B8B">
        <w:rPr>
          <w:rFonts w:ascii="Garamond" w:hAnsi="Garamond" w:cs="Times-Roman"/>
          <w:lang w:val="en-US"/>
        </w:rPr>
        <w:t xml:space="preserve"> Macbeth</w:t>
      </w:r>
      <w:r w:rsidRPr="009D1B8B">
        <w:rPr>
          <w:rFonts w:ascii="Garamond" w:hAnsi="Garamond"/>
          <w:lang w:val="en-US"/>
        </w:rPr>
        <w:t>, beweist, sind wir ohne Zögern bereit, ihm in eine solche zu folgen. Der Wahn des phantasievollen Archäologen wäre in diesem Falle an einem anderen Maßstabe zu messen. Ja, wenn wir bedenken, wie unwahrscheinlich die reale Existenz einer Person sein muß, die in ihrer Erscheinung jenes antike Steinbild getreulich wiederholt, so schrumpft unsere Reihe zu einer Alternative ein: Halluzination oder Mittagsgespenst. Ein kleiner Zug der Schilderung streicht dann bald die erstere Möglichkeit. Eine große Eidechse liegt bewegungslos im Sonnenlicht ausgestreckt, die aber vor dem herannahenden Fuß der Gradiva entflieht und sich über die Lavaplatten der Straße davonringelt. Also keine Halluzination, etwas außerhalb der Sinne unseres Träumers. Aber sollte die Wirklichkeit einer Rediviva eine Eidechse stören können?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Vor dem Hause des Meleager verschwindet die Gradiva. Wir verwundern uns nicht, daß Norbert Hanold seinen Wahn dahin fortsetzt, daß Pompeji in der Mittagsgeisterstunde rings um ihn her wieder zu leben begonnen habe, und so sei auch die Gradiva wieder aufgelebt und in das Haus gegangen, das sie vor dem verhängnisvollen Augusttage des Jahres 79 bewohnt hatte. Scharfsinnige Vermutungen über die Persönlichkeit des Eigentümers, nach dem dies Haus benannt sein mochte, und über die Beziehung der Gradiva zu ihm schießen durch seinen Kopf und beweisen, daß sich seine Wissenschaft nun völlig in den Dienst seiner Phantasie begeben hat. Ins Innere dieses Hauses eingetreten, entdeckt er die Erscheinung plötzlich wieder auf niedrigen Stufen zwischen zweien der gelben Säulen sitzend. »Auf ihren Knien lag etwas Weißes ausgebreitet, das sein Blick klar zu unterscheiden nicht fähig war; ein Papyrusblatt schien's zu sein ....« Unter den Voraussetzungen seiner letzten Kombination über ihre Herkunft spricht er sie griechisch an, mit Zagen die Entscheidung erwartend, ob ihr in ihrem Scheindasein wohl Sprachvermögen gegönnt sei. </w:t>
      </w:r>
      <w:r w:rsidRPr="009D1B8B">
        <w:rPr>
          <w:rFonts w:ascii="Garamond" w:hAnsi="Garamond"/>
        </w:rPr>
        <w:t xml:space="preserve">Da sie nicht antwortet, vertauscht er die Anrede mit einer lateinischen. </w:t>
      </w:r>
      <w:r w:rsidRPr="009D1B8B">
        <w:rPr>
          <w:rFonts w:ascii="Garamond" w:hAnsi="Garamond"/>
          <w:lang w:val="en-US"/>
        </w:rPr>
        <w:t>Da klingt es von lächelnden Lippen: »Wenn Sie mit mir sprechen wollen, müssen Sie's auf Deutsch tun.«</w:t>
      </w:r>
    </w:p>
    <w:p w:rsidR="00CF585F" w:rsidRPr="009D1B8B" w:rsidRDefault="00CF585F" w:rsidP="00CF585F">
      <w:pPr>
        <w:pStyle w:val="Sansinterligne"/>
        <w:rPr>
          <w:rFonts w:ascii="Garamond" w:hAnsi="Garamond" w:cs="Times-Roman"/>
          <w:lang w:val="en-US"/>
        </w:rPr>
      </w:pPr>
      <w:r w:rsidRPr="009D1B8B">
        <w:rPr>
          <w:rFonts w:ascii="Garamond" w:hAnsi="Garamond"/>
        </w:rPr>
        <w:t xml:space="preserve">Welche Beschämung für uns, die Leser! </w:t>
      </w:r>
      <w:r w:rsidRPr="009D1B8B">
        <w:rPr>
          <w:rFonts w:ascii="Garamond" w:hAnsi="Garamond"/>
          <w:lang w:val="en-US"/>
        </w:rPr>
        <w:t>So hat der Dichter also auch unser gespottet und uns wie durch den Widerschein der Sonnenglut Pompejis in einen kleinen Wahn gelockt, damit wir den Armen, auf den die wirkliche Mittagssonne brennt, milder beurteilen müssen. Wir aber wissen jetzt, von kurzer Verwirrung geheilt, daß die Gradiva ein leibhaftiges deutsches Mädchen ist, was wir gerade als das Unwahrscheinlichste von uns weisen wollten. In ruhiger Überlegenheit dürfen wir nun zuwarten, bis wir erfahren, welche Beziehung zwischen dem Mädchen und ihrem Bild in Stein besteht, und wie unser junger Archäologe zu den Phantasien gelangt ist, die auf ihre reale Persönlichkeit hinweisen.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Nicht so rasch wie wir wird unser Held aus seinem Wahn gerissen, denn »wenn der Glaube selig machte«, sagt der Dichter, »nahm er überall eine erhebliche Summe von Unbegreiflichkeiten in den Kauf«, (G. p. 140) und überdies hat dieser Wahn wahrscheinlich Wurzeln in seinem Innern, von denen wir nichts wissen, und die bei uns nicht bestehen. Es bedarf wohl bei ihm einer eingreifenden Behandlung, um ihn zur Wirklichkeit zurückzuführen. Gegenwärtig kann er nicht anders, als den Wahn der eben gemachten wunderbaren Erfahrung anpassen. Die Gradiva, die bei der Verschüttung Pompejis mit untergegangen, kann nichts anderes sein als ein Mittagsgespenst, das für die kurze Geisterstunde ins Leben zurückkehrt. Aber warum entfährt ihm nach jener in deutscher Sprache gegebenen Antwort der Ausruf: »Ich wußte es, so klänge deine Stimme«? Nicht wir allein, auch das Mädchen selbst muß so fragen, und Hanold muß zugeben, daß er die Stimme noch nie gehört, aber sie zu hören erwartet, damals im Traum, als er sie anrief, während sie sich auf den Stufen des Tempels zum Schlafen hinlegte. Er bittet sie, es wieder zu tun wie damals, aber da erhebt sie sich, richtet ihm einen befremdenden Blick entgegen und verschwindet nach wenigen Schritten zwischen den Säulen des Hofes. Ein schöner Schmetterling hatte sie kurz vorher einigemal umflattert; in seiner Deutung war es ein Bote des Hades gewesen, der die Abgeschiedene an ihre Rückkehr mahnen sollte, da die Mittagsgeisterstunde abgelaufen. Den Ruf: »Kehrst du morgen in der Mittagsstunde wieder hieher?« kann Hanold der Verschwindenden noch nachsenden. Uns aber, die wir uns jetzt mehr nüchterner Deutungen getrauen, will es scheinen, als ob die junge Dame in der Aufforderung, die Hanold an sie gerichtet, etwas Ungehöriges erblickte und ihn darum beleidigt verließ, da </w:t>
      </w:r>
      <w:r w:rsidRPr="009D1B8B">
        <w:rPr>
          <w:rFonts w:ascii="Garamond" w:hAnsi="Garamond"/>
          <w:lang w:val="en-US"/>
        </w:rPr>
        <w:lastRenderedPageBreak/>
        <w:t>sie doch von seinem Traum nichts wissen konnte. Sollte ihr Feingefühl nicht die erotische Natur des Verlangens herausgespürt haben, das sich für Hanold durch die Beziehung auf seinen Traum motivierte?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Nach dem Verschwinden der Gradiva mustert unser Held sämtliche bei der Tafel anwesenden Gäste des Hotels Diomède und darauf ebenso die des Hotels Suisse und kann sich dann sagen, daß in keiner der beiden ihm allein bekannten Unterkunftsstätten Pompejis eine Person zu finden sei, die mit der Gradiva die entfernteste Ähnlichkeit besitze. Selbstverständlich hätte er die Erwartung als widersinnig abgewiesen, daß er die Gradiva wirklich in einer der beiden Wirtschaften antreffen könne. Der auf dem heißen Boden des Vesuvs gekelterte Wein hilft dann den Taumel verstärken, in dem er den Tag verbracht.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Vom nächsten Tage stand nur fest, daß Hanold wieder um die Mittagsstunde im Hause des Meleager sein müsse, und diese Zeit erwartend, dringt er auf einem nicht vorschriftsmäßigen Wege über die alte Stadtmauer in Pompeji ein. Ein mit weißen Glockenkelchen behängter Asphodelosschaft erscheint ihm als Blume der Unterwelt bedeutungsvoll genug, um ihn zu pflücken und mit sich zu tragen. Die gesamte Altertumswissenschaft aber dünkt ihm während seines Wartens das Zweckloseste und Gleichgültigste von der Welt, denn ein anderes Interesse hat sich seiner bemächtigt, das Problem: »von welcher Beschaffenheit die körperliche Erscheinung eines Wesens wie der Gradiva sei, das zugleich tot, und, wenn auch nur in der Mittagsgeisterstunde, lebendig war.« (G. p. 80.) Auch bangt er davor, die Gesuchte heute nicht anzutreffen, weil ihr vielleicht die Wiederkehr erst nach langen Zeiten verstattet sein könne, und hält ihre Erscheinung, als er ihrer wieder zwischen den Säulen gewahr wird, für ein Gaukelspiel seiner Phantasie, welches ihm den schmerzlichen Ausruf entlockt: »O, daß du noch wärest und lebtest!« Allein diesmal war er offenbar zu kritisch gewesen, denn die Erscheinung verfügt über eine Stimme, die ihn fragt, ob er ihr die weiße Blume bringen wolle, und zieht den wiederum Fassungslosen in ein langes Gespräch. Uns Lesern, welchen die Gradiva bereits als lebende Persönlichkeit interessant geworden ist, teilt der Dichter mit, daß das Unmutige und Zurückweisende, das sich tags zuvor in ihrem Blick geäußert, einem Ausdruck von suchender Neugier oder Wißbegierde gewichen war. Sie forscht ihn auch wirklich aus, verlangt die Aufklärung seiner Bemerkung vom vorigen Tag, wann er bei ihr gestanden, als sie sich zum Schlafen hingelegt, erfährt so vom Traum, in dem sie mit ihrer Vaterstadt untergegangen, dann vom Reliefbild und der Stellung des Fußes, die den Archäologen so angezogen. Nun läßt sie sich auch bereit finden, ihren Gang zu demonstrieren, wobei als einzige Abweichung vom Urbild der Gradiva der Ersatz der Sandalen durch sandfarbig helle Schuhe von feinem Leder festgestellt wird, den sie als Anpassung an die Gegenwart aufklärt. Offenbar geht sie auf seinen Wahn ein, dessen ganzen Umfang sie ihm entlockt, ohne je zu widersprechen. Ein einziges Mal scheint sie durch einen eigenen Affekt aus ihrer Rolle gerissen zu werden, als er, den Sinn auf ihr Reliefbild gerichtet, behauptet, daß er sie auf den ersten Blick erkannt habe. Da sie an dieser Stelle des Gespräches noch nichts von dem Relief weiß, muß ihr ein Mißverständnis der Worte Hanolds nahe liegen, aber alsbald hat sie sich wieder gefaßt, und nur uns will es scheinen, als ob manche ihrer Reden doppelsinnig klingen, außer ihrer Bedeutung im Zusammenhang des Wahnes auch etwas Wirkliches und Gegenwärtiges meinen, so z. B. wenn sie bedauert, daß ihm damals die Feststellung der Gradivagangart auf der Straße nicht gelungen sei. »Wie schade, du hättest vielleicht die weite Reise hieher nicht zu machen gebraucht.« (G. p. 89.) Sie erfährt auch, daß er ihr Reliefbild »Gradiva« benannt, und sagt ihm ihren wirklichen Namen Zoë. »Der Name steht dir schön an, aber er klingt mir als ein bitterer Hohn, denn Zoë heißt das Leben.« -- »Man muß sich in das Unabänderliche fügen«, entgegnet sie, »und ich habe mich schon lange daran gewöhnt, tot zu sein.« Mit dem Versprechen, morgen um die Mittagsstunde wieder an demselben Orte zu sein, nimmt sie von ihm Abschied, nachdem sie sich noch die Asphodelosstaude von ihm erbeten. »Solchen, die besser daran sind, gibt man im Frühling Rosen, doch für mich ist die Blume der Vergessenheit aus deiner Hand die richtige.« (G. p. 90.) Wehmut schickt sich wohl für eine so lang Verstorbene, die nun auf kurze Stunden ins Leben zurückgekehrt ist.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Wir fangen nun an zu verstehen und eine Hoffnung zu fassen. Wenn die junge Dame, in deren Gestalt die Gradiva wieder aufgelebt ist, Hanolds Wahn so voll aufnimmt, so tut sie es wahrscheinlich, um ihn von ihm zu befreien. Es gibt keinen anderen Weg dazu; durch Widerspruch versperrte man sich die Möglichkeit. Auch die ernsthafte Behandlung eines wirklichen solchen Krankheitszustandes könnte nicht anders, als sich zunächst auf den Boden des Wahngebäudes stellen und dieses dann möglichst vollständig erforschen. Wenn Zoë die richtige Person dafür ist, werden wir wohl erfahren, wie man einen Wahn wie den unseres Helden heilt. Wir wollten auch gern wissen, wie ein solcher Wahn entsteht. Es träfe sich sonderbar und wäre doch nicht ohne Beispiel und Gegenstück, wenn Behandlung und Erforschung des Wahnes zusammenfielen und die Aufklärung der Entstehungsgeschichte desselben sich gerade während seiner Zersetzung ergäbe. Es ahnt uns freilich, daß unser Krankheitsfall dann in eine »gewöhnliche« Liebesgeschichte auslaufen könnte, aber man darf die Liebe als Heilpotenz gegen den Wahn nicht </w:t>
      </w:r>
      <w:r w:rsidRPr="009D1B8B">
        <w:rPr>
          <w:rFonts w:ascii="Garamond" w:hAnsi="Garamond"/>
          <w:lang w:val="en-US"/>
        </w:rPr>
        <w:lastRenderedPageBreak/>
        <w:t>verachten, und war unseres Helden Eingenommensein von seinem Gradivabild nicht auch eine volle Verliebtheit, allerdings noch aufs Vergangene und Leblose gerichtet?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Nach dem Verschwinden der Gradiva schallt es nur noch einmal aus der Entfernung wie ein lachender Ruf eines über die Trümmerstadt hinfliegenden Vogels. Der Zurückgebliebene nimmt etwas Weißes auf, das die Gradiva zurückgelassen, kein Papyrusblatt, sondern ein Skizzenbuch mit Bleistiftzeichnungen verschiedener Motive aus Pompeji. Wir würden sagen, es sei ein Unterpfand ihrer Wiederkehr, daß sie das kleine Buch an dieser Stelle vergessen, denn wir behaupten, man vergißt nichts ohne geheimen Grund oder verborgenes Motiv.</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Der Rest des Tages bringt unserem Hanold allerlei merkwürdige Entdeckungen und Feststellungen, die er zu einem Ganzen zusammenzufügen verabsäumt. In der Mauer des Portikus, wo die Gradiva verschwunden, nimmt er heute einen schmalen Spalt gewahr, der doch breit genug ist, um eine Person von ungewöhnlicher Schlankheit durchzulassen. Er erkennt, die Zoë-Gradiva brauche hier nicht in den Boden zu versinken, was auch so vernunftwidrig sei, daß er sich dieses nun abgelegten Glaubens schämt, sondern sie benütze diesen Weg, um sich in ihre Gruft zu begeben. Ein leichter Schatten scheint ihm am Ende der Gräberstraße vor der sogen. Villa des Diomedes zu zergehen. Im Taumel wie am Vortage und mit denselben Problemen beschäftigt, treibt er sich nun in der Umgebung Pompejis herum. Von welcher leiblichen Beschaffenheit wohl die Zoë-Gradiva sein möge, und ob man etwas verspüren würde, wenn man ihre Hand berührte. Ein eigentümlicher Drang trieb ihn zum Vorsatze, dieses Experiment zu unternehmen, und doch hielt ihn eine ebenso große Scheu auch in der Vorstellung davon zurück. An einem heißbesonnten Abhange traf er einen älteren Herrn, der nach seiner Ausrüstung ein Zoologe oder Botaniker sein mußte und mit einem Fange beschäftigt schien. Der wandte sich nach ihm um und sagte dann: »Interessieren Sie sich auch für die Faraglionensis? Das hätte ich kaum vermutet, aber mir ist es durchaus wahrscheinlich, daß sie sich nicht nur auf den Faraglionen bei Capri aufhält, sondern sich mit Ausdauer auch am Festland finden lassen muß. Das vom Kollegen</w:t>
      </w:r>
      <w:r w:rsidRPr="009D1B8B">
        <w:rPr>
          <w:rFonts w:ascii="Garamond" w:hAnsi="Garamond" w:cs="Times-Roman"/>
          <w:lang w:val="en-US"/>
        </w:rPr>
        <w:t xml:space="preserve"> Eimer </w:t>
      </w:r>
      <w:r w:rsidRPr="009D1B8B">
        <w:rPr>
          <w:rFonts w:ascii="Garamond" w:hAnsi="Garamond"/>
          <w:lang w:val="en-US"/>
        </w:rPr>
        <w:t>angegebene Mittel ist wirklich gut; ich habe es schon mehrfach mit bestem Erfolge angewendet. Bitte, halten Sie sich ganz ruhig --.« (G. p. 96.) Der Sprecher brach dann ab und hielt eine aus einem langen Grashalm hergestellte Schlinge vor eine Felsritze, aus der das bläulich schillernde Köpfchen einer Eidechse hervorsah. Hanold verließ den Lacertenjäger mit der kritischen Idee, es sei kaum glaublich, was für närrisch merkwürdige Vorhaben Leute zu der weiten Fahrt nach Pompeji veranlassen konnten, in welche Kritik er sich und seine Absicht, in der Asche Pompejis nach den Fußabdrücken der Gradiva zu forschen, natürlich nicht einschloß. Das Gesicht des Herrn kam ihm übrigens bekannt vor, als hätte er es flüchtig in einem der beiden Gasthöfe bemerkt, auch war dessen Anrede wie an einen Bekannten gerichtet gewesen. Auf seiner weiteren Wanderung brachte ihn ein Seitenweg zu einem bisher von ihm nicht entdeckten Haus, welches sich als ein drittes Wirtshaus, der »Albergo del Sole« herausstellte. Der unbeschäftigte Wirt benützte die Gelegenheit, sein Haus und die darin enthaltenen ausgegrabenen Schätze bestens zu empfehlen. Er behauptete, daß er auch zugegen gewesen sei, als man in der Gegend des Forums das junge Liebespaar aufgefunden, das sich bei der Erkenntnis des unabwendbaren Unterganges fest mit den Armen umschlungen und so den Tod erwartet habe. Davon hatte Hanold schon früher gehört und darüber als über eine Fabelerfindung irgend eines phantasiereichen Erzählers die Achsel gezuckt, aber heute erweckten die Reden des Wirtes bei ihm eine Gläubigkeit, die sich auch weiter erstreckte, als dieser eine mit grüner Patina überzogene Metallspange herbeiholte, die in seiner Gegenwart neben den Überresten des Mädchens aus der Asche gesammelt worden sei. Er erwarb diese Spange ohne weitere kritische Bedenken, und als er beim Verlassen des Albergo an einem offenstehenden Fenster einen mit weißen Blüten besetzten Asphodelosschaft herabnicken sah, durchdrang ihn der Anblick der Gräberblume wie eine Beglaubigung für die Echtheit seines neuen Besitztums.</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Mit dieser Spange hatte aber ein neuer Wahn von ihm Besitz ergriffen oder vielmehr der alte ein Stückchen Fortsetzung getrieben, anscheinend kein gutes Vorzeichen für die eingeleitete Therapie. Unweit des Forums hatte man ein junges Liebespaar in solcher Umschlingung ausgegraben, und er hatte im Traume die Gradiva in eben dieser Gegend beim Apollotempel sich zum Schlafe niederlegen gesehen. Wäre es nicht möglich, daß sie in Wirklichkeit vom Forum noch weiter gegangen sei, um mit jemand zusammenzutreffen, mit dem sie dann gemeinsam gestorben? Ein quälendes Gefühl, das wir vielleicht der Eifersucht gleichstellen können, entsprang aus dieser Vermutung. Er beschwichtigte es durch den Hinweis auf die Unsicherheit der Kombination und brachte sich wieder so weit zurecht, daß er die Abendmahlzeit im Hotel Diomède einnehmen konnte. Zwei neueingetroffene Gäste, ein Er und eine Sie, die er nach einer gewissen Ähnlichkeit für Geschwister halten mußte, -- trotz ihrer verschiedenen Haarfärbung, -- zogen dort seine Aufmerksamkeit auf sich. Die Beiden waren die ersten ihm auf seiner Reise </w:t>
      </w:r>
      <w:r w:rsidRPr="009D1B8B">
        <w:rPr>
          <w:rFonts w:ascii="Garamond" w:hAnsi="Garamond"/>
          <w:lang w:val="en-US"/>
        </w:rPr>
        <w:lastRenderedPageBreak/>
        <w:t>Begegnenden, von denen er einen sympathischen Eindruck empfing. Eine rote Sorrentiner Rose, die das junge Mädchen trug, weckte irgend eine Erinnerung in ihm, er konnte sich nicht besinnen, welche. Endlich ging er zu Bett und träumte; es war merkwürdig unsinniges Zeug, aber offenbar aus den Erlebnissen des Tages zusammengebraut. »Irgendwo in der Sonne saß die Gradiva, machte aus einem Grashalm eine Schlinge, um eine Eidechse drin zu fangen und sagte dazu: 'Bitte, halte dich ganz ruhig -- die Kollegin hat recht, das Mittel ist wirklich gut und sie hat es mit bestem Erfolge angewendet.'« Gegen diesen Traum wehrte er sich noch im Schlafe mit der Kritik, das sei ja vollständige Verrücktheit, und es gelang ihm, den Traum loszuwerden mit Hilfe eines unsichtbaren Vogels, der einen kurzen lachenden Ruf ausstieß und die Eidechse im Schnabel forttrug.</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Trotz all dieses Spuks erwachte er eher geklärt und gefestigt. Ein Rosenstrauch, der Blumen von jener Art trug, wie er sie gestern an der Brust der jungen Dame bemerkt hatte, brachte ihm ins Gedächtnis zurück, daß in der Nacht jemand gesagt hatte, im Frühling gäbe man Rosen. Er pflückte unwillkürlich einige der Rosen ab, und an diese mußte sich etwas knüpfen, was eine lösende Wirkung in seinem Kopf ausübte. Seiner Menschenscheu erledigt, begab er sich auf dem gewöhnlichen Wege nach Pompeji, mit den Rosen, der Metallspange und dem Skizzenbuch beschwert und mit verschiedenen Problemen, welche die Gradiva betrafen, beschäftigt. Der alte Wahn war rissig geworden, er zweifelte bereits, ob sie sich nur in der Mittagsstunde, nicht auch zu anderen Zeiten in Pompeji aufhalten dürfe. Der Akzent hatte sich dafür auf das zuletzt angefügte Stück verschoben, und die an diesem hängende Eifersucht quälte ihn in allerlei Verkleidungen. Beinahe hätte er gewünscht, daß die Erscheinung nur seinen Augen sichtbar bleibe und sich der Wahrnehmung anderer entziehe; so dürfte er sie doch als sein ausschließliches Eigentum betrachten. Während seiner Streifungen im Erwarten der Mittagsstunde hatte er eine überraschende Begegnung. In der Casa del fauno traf er auf zwei Gestalten, die sich in einem Winkel unentdeckbar glauben mochten, denn sie hielten sich mit den Armen umschlungen und ihre Lippen zusammengeschlossen. Mit Verwunderung erkannte er in ihnen das sympathische Paar von gestern abend. Aber für zwei Geschwister bedünkten ihn ihr gegenwärtiges Verhalten, die Umarmung und der Kuß von zu langer Andauer; also war es doch ein Liebes- und vermutlich junges Hochzeitspaar, auch ein August und eine Grete. Merkwürdigerweise erregte dieser Anblick jetzt nichts anderes als Wohlgefallen in ihm, und scheu, als hätte er eine geheime Andachtsübung gestört, zog er sich ungesehen zurück. Ein Respekt, der ihm lange gefehlt hatte, war in ihm wiederhergestellt.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Vor dem Hause des Meleager angekommen, überfiel ihn die Angst, die Gradiva in Gesellschaft eines Anderen anzutreffen, noch einmal so heftig, daß er für ihre Erscheinung keine andere Begrüßung fand, als die Frage: Bist du allein? Mit Schwierigkeit läßt er sich von ihr zum Bewußtsein bringen, daß er die Rosen für sie gepflückt, beichtet ihr den letzten Wahn, daß sie das Mädchen gewesen, das man am Forum in Liebesumarmung gefunden, und dem die grüne Spange gehört hatte. Nicht ohne Spott fragt sie, ob er das Stück etwa in der Sonne gefunden. Diese -- hier Sole genannt -- bringe allerlei derart zu stande. Zur Heilung des Schwindels im Kopfe, den er zugesteht, schlägt sie ihm vor, ihre kleine Mahlzeit mit ihr zu teilen, und bietet ihm die eine Hälfte eines in Seidenpapier eingewickelten Weißbrotes an, dessen andere sie selbst mit sichtlichem Appetit verzehrt. Dabei blitzen ihre tadellosen Zähne zwischen den Lippen auf und verursachen beim Durchbeißen der Rinde einen leicht krachenden Ton. Auf ihre Rede: »Mir ist's, als hätten wir schon vor zweitausend Jahren einmal so zusammen unser Brot gegessen. Kannst du dich nicht darauf besinnen?« (G. p. 118) wußte er keine Antwort, aber die Stärkung seines Kopfes durch das Nährmittel und all die Zeichen von Gegenwärtigkeit, die sie gab, verfehlten ihre Wirkung auf ihn nicht. Die Vernunft erhob sich in ihm und zog den ganzen Wahn, daß die Gradiva nur ein Mittagsgespenst sei, in Zweifel; dagegen ließ sich freilich einwenden, daß sie soeben selbst gesagt, sie habe schon vor zweitausend Jahren die Mahlzeit mit ihm geteilt. In solchem Konflikt bot sich ein Experiment als Mittel der Entscheidung, das er mit Schlauheit und wiedergefundenem Mute ausführte. Ihre linke Hand lag mit den schmalen Fingern ruhig auf ihren Knien, und eine der Stubenfliegen, über deren Frechheit und Nutzlosigkeit er sich früher so entrüstet hatte, ließ sich auf dieser Hand nieder. Plötzlich fuhr Hanolds Hand in die Höh' und klatschte mit einem keineswegs gelinden Schlag auf die Fliege und die Hand der Gradiva herunter.</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Zweierlei Erfolg trug ihm dieser kühne Versuch ein, zunächst die freudige Überzeugung, daß er eine unzweifelhaft wirkliche, lebendige und warme Menschenhand berührt, dann aber einen Verweis, vor dem er erschrocken von seinem Sitz auf der Stufe aufflog. Denn von den Lippen der Gradiva tönte es, nachdem sie sich von ihrer Verblüffung erholt hatte: »Du bist doch offenbar verrückt, Norbert Hanold.«</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Der Ruf beim eigenen Namen ist bekanntlich das beste Mittel, einen Schläfer oder Nachtwandler aufzuwecken. Welche Folgen die Nennung seines Namens, von dem er niemand in Pompeji Mitteilung </w:t>
      </w:r>
      <w:r w:rsidRPr="009D1B8B">
        <w:rPr>
          <w:rFonts w:ascii="Garamond" w:hAnsi="Garamond"/>
          <w:lang w:val="en-US"/>
        </w:rPr>
        <w:lastRenderedPageBreak/>
        <w:t>gemacht, durch die Gradiva für Norbert Hanold mit sich gebracht hatte, ließ sich leider nicht beobachten. Denn in diesem kritischen Augenblick tauchte das sympathische Liebespaar aus der Casa di fauno auf, und die junge Dame rief mit einem Ton fröhlicher Überraschung: »Zoë! du auch hier? Und auch auf der Hochzeitsreise? Davon hast du mir ja kein Wort geschrieben!« Vor diesem neuen Beweis der Lebenswirklichkeit der Gradiva ergriff Hanold die Flucht.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Die Zoë-Gradiva war durch den unvorhergesehenen Besuch, der sie in einer, wie es scheint, wichtigen Arbeit störte, auch nicht aufs angenehmste überrascht. Aber bald gefaßt, beantwortet sie die Frage mit einer geläufigen Antwortsrede, in der sie der Freundin, aber mehr noch uns, Auskünfte über die Situation gibt, und mittels welcher sie sich des jungen Paares zu entledigen weiß. Sie gratuliert, aber sie ist nicht auf der Hochzeitsreise. »Der junge Herr, der eben fortging, laboriert auch an einem merkwürdigen Hirngespinst, mir scheint, er glaubt, daß ihm eine Fliege im Kopfe summt; nun, irgend eine Kerbtierart hat wohl Jeder drin. Pflichtmäßig verstehe ich mich etwas auf Entomologie und kann deshalb bei solchen Zuständen ein bißchen von Nutzen sein. Mein Vater und ich wohnen im Sole, er bekam auch einen plötzlichen Anfall und dazu den guten Einfall, mich mit hieher zu nehmen, wenn ich mich auf meine eigene Hand in Pompeji unterhalten und an ihn keinerlei Anforderungen stellen wollte. Ich sagte mir, irgend etwas Interessantes würde ich wohl schon allein hier ausgraben. Freilich, auf den Fund, den ich gemacht, -- ich meine das Glück, dich zu treffen, Gisa, hatte ich mit keinem Gedanken gerechnet.« (G. p. 124.) Aber nun muß sie eilig fort, ihrem Vater am Sonnentisch Gesellschaft leisten. Und so entfernt sie sich, nachdem sie sich uns als die Tochter des Zoologen und Eidechsenfängers vorgestellt und in allerlei doppelsinnigen Reden sich zur Absicht der Therapie und zu anderen geheimen Absichten bekannt hat. Die Richtung, die sie einschlug, war aber nicht die des Gasthofes zur Sonne, in dem ihr Vater sie erwartete, sondern auch ihr wollte scheinen, als ob in der Umgegend der Villa des Diomedes eine Schattengestalt ihren Tumulus aufsuche und unter einem der Gräberdenkmäler verschwinde, und darum richtete sie ihre Schritte mit dem jedesmal beinahe senkrecht aufgestellten Fuß nach der Gräberstraße. Dorthin hatte sich in seiner Beschämung und Verwirrung Hanold geflüchtet und wanderte im Portikus des Gartenraumes unablässig auf und ab, beschäftigt, den Rest seines Problems durch Denkanstrengung zu erledigen. Eines war ihm unanfechtbar klar geworden, daß er völlig ohne Sinn und Verstand gewesen zu glauben, daß er mit einer mehr oder weniger leiblich wieder lebendig gewordenen jungen Pompejanerin verkehrt habe, und diese deutliche Einsicht seiner Verrücktheit bildete unstreitig einen wesentlichen Fortschritt auf dem Rückweg zur gesunden Vernunft. Aber anderseits war diese Lebende, mit der auch Andere wie mit einer ihnen gleichartigen Leibhaftigkeit verkehrten, die Gradiva, und sie wußte seinen Namen, und dieses Rätsel zu lösen, war seine kaum erwachte Vernunft nicht stark genug. Auch war er im Gefühl kaum ruhig genug, um sich solcher schwierigen Aufgabe gewachsen zu zeigen, denn am liebsten wäre er vor zweitausend Jahren in der Villa des Diomedes mitverschüttet worden, um nur sicher zu sein, der Zoë-Gradiva nicht wieder zu begegnen.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Eine heftige Sehnsucht, sie wiederzusehen, stritt indessen gegen den Rest von Neigung zur Flucht, der sich in ihm erhalten hatte.</w:t>
      </w:r>
    </w:p>
    <w:p w:rsidR="00CF585F" w:rsidRPr="009D1B8B" w:rsidRDefault="00CF585F" w:rsidP="00CF585F">
      <w:pPr>
        <w:pStyle w:val="Sansinterligne"/>
        <w:rPr>
          <w:rFonts w:ascii="Garamond" w:hAnsi="Garamond" w:cs="Times-Roman"/>
          <w:lang w:val="en-US"/>
        </w:rPr>
      </w:pPr>
      <w:r w:rsidRPr="009D1B8B">
        <w:rPr>
          <w:rFonts w:ascii="Garamond" w:hAnsi="Garamond"/>
        </w:rPr>
        <w:t xml:space="preserve">Um eine der vier Ecken des Pfeilerganges biegend, prallte er plötzlich zurück. Auf einem abgebrochenen Mauerstücke saß da eines der Mädchen, die hier in der Villa des Diomedes ihren Tod gefunden hatten. </w:t>
      </w:r>
      <w:r w:rsidRPr="009D1B8B">
        <w:rPr>
          <w:rFonts w:ascii="Garamond" w:hAnsi="Garamond"/>
          <w:lang w:val="en-US"/>
        </w:rPr>
        <w:t>Aber das war ein bald abgewiesener letzter Versuch, in das Reich des Wahnsinns zu flüchten; nein, die Gradiva war es, die offenbar gekommen war, ihm das letzte Stück ihrer Behandlung zu schenken. Sie deutete seine erste instinktive Bewegung ganz richtig als einen Versuch, den Raum zu verlassen, und bewies ihm, daß er nicht entrinnen könne, denn draußen hatte ein fürchterlicher Wassersturz zu rauschen begonnen. Die Unbarmherzige begann das Examen mit der Frage, was er mit der Fliege auf ihrer Hand gewollt. Er fand nicht den Mut, sich eines bestimmten Pronomens zu bedienen, wohl aber den wertvolleren, die entscheidende Frage zu stellen: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»Ich war -- wie jemand sagte -- etwas verwirrt im Kopf und bitte um Verzeihung, daß ich die Hand derartig -- wie ich so sinnlos sein konnte, ist mir nicht begreiflich -- aber ich bin auch nicht im stande, zu begreifen, wie ihre Besitzerin mir meine -- meine Unvernunft mit meinem Namen vorhalten konnte.« (G. p. 134.)</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»So weit ist dein Begreifen also noch nicht vorgeschritten, Norbert Hanold. Wunder nehmen kann's mich allerdings nicht, da du mich lange daran gewöhnt hast. Um die Erfahrung wieder zu machen, hätte ich nicht nach Pompeji zu kommen gebraucht, und du hättest sie mir um gut hundert Meilen näher bestätigen können.«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»Um hundert Meilen näher; deiner Wohnung schräg gegenüber, in dem Eckhaus; an meinem Fenster steht ein Käfig mit einem Kanarienvogel,« eröffnet sie jetzt dem noch immer Verständnislosen.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lastRenderedPageBreak/>
        <w:t>Dies letzte Wort berührt den Hörer wie eine Erinnerung aus einer weiten Ferne. Das ist doch derselbe Vogel, dessen Gesang ihm den Entschluß zur Reise nach Italien eingegeben.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»In dem Hause wohnt mein Vater, der Professor der Zoologie</w:t>
      </w:r>
      <w:r w:rsidRPr="009D1B8B">
        <w:rPr>
          <w:rFonts w:ascii="Garamond" w:hAnsi="Garamond" w:cs="Times-Roman"/>
          <w:lang w:val="en-US"/>
        </w:rPr>
        <w:t xml:space="preserve"> Richard Bertgang</w:t>
      </w:r>
      <w:r w:rsidRPr="009D1B8B">
        <w:rPr>
          <w:rFonts w:ascii="Garamond" w:hAnsi="Garamond"/>
          <w:lang w:val="en-US"/>
        </w:rPr>
        <w:t>.«</w:t>
      </w:r>
    </w:p>
    <w:p w:rsidR="00CF585F" w:rsidRPr="009D1B8B" w:rsidRDefault="00CF585F" w:rsidP="00CF585F">
      <w:pPr>
        <w:pStyle w:val="Sansinterligne"/>
        <w:rPr>
          <w:rFonts w:ascii="Garamond" w:hAnsi="Garamond" w:cs="Times-Roman"/>
        </w:rPr>
      </w:pPr>
      <w:r w:rsidRPr="009D1B8B">
        <w:rPr>
          <w:rFonts w:ascii="Garamond" w:hAnsi="Garamond"/>
        </w:rPr>
        <w:t>Als seine Nachbarin kannte sie also seine Person und seinen Namen. Uns droht es wie eine Enttäuschung durch eine seichte Lösung, die unserer Erwartungen nicht würdig ist.</w:t>
      </w:r>
    </w:p>
    <w:p w:rsidR="00CF585F" w:rsidRPr="009D1B8B" w:rsidRDefault="00CF585F" w:rsidP="00CF585F">
      <w:pPr>
        <w:pStyle w:val="Sansinterligne"/>
        <w:rPr>
          <w:rFonts w:ascii="Garamond" w:hAnsi="Garamond" w:cs="Times-Roman"/>
        </w:rPr>
      </w:pPr>
      <w:r w:rsidRPr="009D1B8B">
        <w:rPr>
          <w:rFonts w:ascii="Garamond" w:hAnsi="Garamond"/>
        </w:rPr>
        <w:t>Norbert Hanold zeigt noch keine wiedergewonnene Selbständigkeit des Denkens, wenn er wiederholt: »Dann sind Sie -- sind Sie Fräulein Zoë</w:t>
      </w:r>
      <w:r w:rsidRPr="009D1B8B">
        <w:rPr>
          <w:rFonts w:ascii="Garamond" w:hAnsi="Garamond" w:cs="Times-Roman"/>
        </w:rPr>
        <w:t xml:space="preserve"> Bertgang</w:t>
      </w:r>
      <w:r w:rsidRPr="009D1B8B">
        <w:rPr>
          <w:rFonts w:ascii="Garamond" w:hAnsi="Garamond"/>
        </w:rPr>
        <w:t>? Die sah aber doch ganz anders aus ....«</w:t>
      </w:r>
    </w:p>
    <w:p w:rsidR="00CF585F" w:rsidRPr="009D1B8B" w:rsidRDefault="00CF585F" w:rsidP="00CF585F">
      <w:pPr>
        <w:pStyle w:val="Sansinterligne"/>
        <w:rPr>
          <w:rFonts w:ascii="Garamond" w:hAnsi="Garamond" w:cs="Times-Roman"/>
        </w:rPr>
      </w:pPr>
      <w:r w:rsidRPr="009D1B8B">
        <w:rPr>
          <w:rFonts w:ascii="Garamond" w:hAnsi="Garamond"/>
        </w:rPr>
        <w:t>Die Antwort des Fräuleins</w:t>
      </w:r>
      <w:r w:rsidRPr="009D1B8B">
        <w:rPr>
          <w:rFonts w:ascii="Garamond" w:hAnsi="Garamond" w:cs="Times-Roman"/>
        </w:rPr>
        <w:t xml:space="preserve"> Bertgang </w:t>
      </w:r>
      <w:r w:rsidRPr="009D1B8B">
        <w:rPr>
          <w:rFonts w:ascii="Garamond" w:hAnsi="Garamond"/>
        </w:rPr>
        <w:t>zeigt dann, daß doch noch andere Beziehungen als die der Nachbarschaft zwischen den beiden bestanden hatten. Sie weiß für das trauliche »du« einzutreten, das er dem Mittagsgespenst natürlich geboten, vor der Lebenden wieder zurückgezogen hatte, auf das sie aber alte Rechte geltend macht. »Wenn du die Anrede passender zwischen uns findest, kann ich sie ja auch anwenden, mir lag nur die andere natürlicher auf der Zunge. Ich weiß nicht mehr, ob ich früher, als wir täglich freundschaftlich miteinander herumliefen, gelegentlich uns zur Abwechslung auch knufften und pufften, anders ausgesehen habe. Aber wenn Sie in den letzten Jahren einmal mit einem Blick auf mich Acht gegeben hätten, wäre Ihren Augen vielleicht aufgegangen, daß ich schon seit längerer Zeit so aussehe.«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Eine Kinderfreundschaft hatte also zwischen den beiden bestanden, vielleicht eine Kinderliebe, aus der das »Du« seine Berechtigung ableitete. Ist diese Lösung nicht vielleicht ebenso seicht wie die erst vermutete? Es trägt aber doch wesentlich zur Vertiefung bei, daß uns einfällt, dies Kinderverhältnis erkläre in unvermuteter Weise so manche Einzelheit von dem, was während ihres jetzigen Verkehrs zwischen den Beiden vorgefallen. Jener Schlag auf die Hand der Zoë-Gradiva, den sich Norbert Hanold so vortrefflich mit dem Bedürfnis motiviert, durch eine experimentelle Entscheidung die Frage nach der Leiblichkeit der Erscheinung zu lösen, sieht er nicht anderseits einem Wiederaufleben des Impulses zum »Knuffen und Puffen« merkwürdig ähnlich, dessen Herrschaft in der Kindheit uns die Worte Zoës bezeugt haben? Und wenn die Gradiva an den Archäologen die Frage gerichtet, ob ihm nicht vorkomme, daß sie schon einmal vor zweitausend Jahren so die Mahlzeit miteinander geteilt hätten, wird diese unverständliche Frage nicht plötzlich sinnvoll, wenn wir anstatt jener geschichtlichen Vergangenheit die persönliche einsetzen, die Kinderzeit wiederum, deren Erinnerungen bei dem Mädchen lebhaft erhalten, bei dem jungen Manne aber vergessen zu sein scheinen? Dämmert uns nicht plötzlich die Einsicht, daß die Phantasien des jungen Archäologen über seine Gradiva ein Nachklang dieser vergessenen Kindheitserinnerungen sein könnten? Dann wären sie also keine willkürlichen Produktionen seiner Phantasie, sondern bestimmt, ohne daß er darum wüßte, durch das von ihm vergessene, aber noch wirksam in ihm vorhandene Material von Kindheitseindrücken. Wir müßten diese Abkunft der Phantasien im einzelnen nachweisen können, wenn auch nur durch Vermutungen. Wenn z. B. die Gradiva durchaus</w:t>
      </w:r>
      <w:r w:rsidRPr="009D1B8B">
        <w:rPr>
          <w:rFonts w:ascii="Garamond" w:hAnsi="Garamond" w:cs="Times-Roman"/>
          <w:lang w:val="en-US"/>
        </w:rPr>
        <w:t xml:space="preserve"> griechischer </w:t>
      </w:r>
      <w:r w:rsidRPr="009D1B8B">
        <w:rPr>
          <w:rFonts w:ascii="Garamond" w:hAnsi="Garamond"/>
          <w:lang w:val="en-US"/>
        </w:rPr>
        <w:t>Abkunft sein muß, die Tochter eines angesehenen Mannes, vielleicht eines Priesters der Ceres, so stimmte das nicht übel zu einer Nachwirkung der Kenntnis ihres griechischen Namens</w:t>
      </w:r>
      <w:r w:rsidRPr="009D1B8B">
        <w:rPr>
          <w:rFonts w:ascii="Garamond" w:hAnsi="Garamond" w:cs="Times-Roman"/>
          <w:lang w:val="en-US"/>
        </w:rPr>
        <w:t xml:space="preserve"> Zoë </w:t>
      </w:r>
      <w:r w:rsidRPr="009D1B8B">
        <w:rPr>
          <w:rFonts w:ascii="Garamond" w:hAnsi="Garamond"/>
          <w:lang w:val="en-US"/>
        </w:rPr>
        <w:t>und ihrer Zugehörigkeit zur Familie eines Professors der Zoologie. Sind aber die Phantasien Hanolds umgewandelte Erinnerungen, so dürfen wir erwarten, in den Mitteilungen der Zoë Bertgang den Hinweis auf die Quellen dieser Phantasien zu finden. Horchen wir auf; sie erzählte uns von einer intimen Freundschaft der Kinderjahre, wir werden nun erfahren, welche weitere Entwicklung diese Kinderbeziehung bei den Beiden genommen hat.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»Damals, so bis um die Zeit, in der man uns, ich weiß nicht weshalb, Backfische tituliert, hatte ich mir eigentlich eine merkwürdige Anhänglichkeit an Sie angewöhnt und glaubte, ich könnte nie einen mir angenehmeren Freund auf der Welt finden. Mutter und Schwester oder Bruder hatte ich ja nicht, meinem Vater war eine Blindschleiche in Spiritus bedeutend interessanter als ich, und etwas muß man, wozu ich auch ein Mädchen rechne, wohl haben, womit man seine Gedanken und was sonst mit ihnen zusammenhängt, beschäftigen kann. Das waren also Sie damals; doch als die Altertumswissenschaft über Sie gekommen war, machte ich die Entdeckung, daß aus dir -- entschuldigen Sie, aber Ihre schickliche Neuerung klingt mir doch zu abgeschmackt und paßt auch nicht zu dem, was ich ausdrücken will -- ich wollte sagen, da stellte sich heraus, daß aus dir ein unausstehlicher Mensch geworden war, der, wenigstens für mich, keine Augen mehr im Kopf, keine Zunge mehr im Mund und keine Erinnerung mehr da hatte, wo sie mir an unsere Kinderfreundschaft sitzen geblieben war. Darum sah ich wohl anders aus als früher, denn wenn ich ab und zu in einer Gesellschaft mit dir zusammenkam, noch im letzten Winter einmal, sahst du mich nicht, und noch weniger bekam ich deine Stimme zu hören, worin übrigens keine Auszeichnung für mich lag, weil du's mit allen Andern ebenso machtest. Ich war Luft für dich, und du warst, mit deinem blonden Haarschopf, an dem ich dich früher oft gezaust, so langweilig, vertrocknet und mundfaul wie ein ausgestopfter Kakadu und dabei so großartig wie ein --</w:t>
      </w:r>
      <w:r w:rsidRPr="009D1B8B">
        <w:rPr>
          <w:rFonts w:ascii="Garamond" w:hAnsi="Garamond" w:cs="Times-Roman"/>
          <w:lang w:val="en-US"/>
        </w:rPr>
        <w:t xml:space="preserve"> Archäopteryx </w:t>
      </w:r>
      <w:r w:rsidRPr="009D1B8B">
        <w:rPr>
          <w:rFonts w:ascii="Garamond" w:hAnsi="Garamond"/>
          <w:lang w:val="en-US"/>
        </w:rPr>
        <w:t xml:space="preserve">heißt das </w:t>
      </w:r>
      <w:r w:rsidRPr="009D1B8B">
        <w:rPr>
          <w:rFonts w:ascii="Garamond" w:hAnsi="Garamond"/>
          <w:lang w:val="en-US"/>
        </w:rPr>
        <w:lastRenderedPageBreak/>
        <w:t>ausgegrabene vorsintflutliche Vogelungetüm ja wohl. Nur daß dein Kopf eine ebenfalls so großartige Phantasie beherbergte, hier in Pompeji mich auch für etwas Ausgegrabenes und wieder lebendig Gewordenes anzusehen, -- das hatte ich nicht bei dir vermutet, und als du auf einmal ganz unerwartet vor mir standest, kostete es mich zuerst ziemliche Mühe, dahinter zu kommen, was für ein unglaubliches Hirngespinst deine Einbildung sich zurechtgearbeitet hatte. Dann machte mir's Spaß und gefiel mir auch trotz seiner Tollhäusigkeit nicht so übel. Denn, wie gesagt, das hatte ich bei dir nicht vermutet.«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So sagt sie uns also deutlich genug, was aus der Kinderfreundschaft mit den Jahren bei ihnen Beiden geworden war. Bei ihr steigerte sich dieselbe zu einer herzlichen Verliebtheit, denn etwas muß man ja haben, woran man als Mädchen sein Herz hängt. Fräulein Zoë, die Verkörperung der Klugheit und Klarheit, macht uns auch ihr Seelenleben ganz durchsichtig. Wenn es schon allgemeine Regel für das normal geartete Mädchen ist, daß sie ihre Neigung zunächst dem Vater zuwende, so war sie ganz besonders dazu bereit, die keine andere Person als den Vater in ihrer Familie fand. Dieser Vater aber hatte für sie nichts übrig, die Objekte seiner Wissenschaft hatten all sein Interesse mit Beschlag belegt. So mußte sie nach einer anderen Person Umschau halten und hing sich mit besonderer Innigkeit an ihren Jugendgespielen. Als auch dieser keine Augen mehr für sie hatte, störte es ihre Liebe nicht, steigerte sie vielmehr, denn er war ihrem Vater gleich geworden, wie dieser von der Wissenschaft absorbiert und durch sie vom Leben und von Zoë ferngehalten. So war es ihr gestattet, in der Untreue noch treu zu sein, im Geliebten den Vater wiederzufinden, mit dem gleichen Gefühl die Beiden zu umfassen oder, wie wir sagen können, die Beiden in ihrem Fühlen zu identifizieren. Woher nehmen wir die Berechtigung zu dieser kleinen psychologischen Analyse, die leicht als selbstherrlich erscheinen könnte? In einem einzigen, aber höchst charakteristischen Detail hat sie der Dichter uns gegeben. Wenn Zoë die für sie so betrübende Verwandlung ihres Jugendgespielen schildert, so beschimpft sie ihn durch einen Vergleich mit dem Archäopteryx, jenem Vogelungetüm, das der Archäologie der Zoologie angehört. So hat sie für die Identifizierung der beiden Personen einen einzigen konkreten Ausdruck gefunden; ihr Groll trifft den Geliebten wie den Vater mit demselben Worte. Der Archäopteryx ist sozusagen die Kompromiß- oder Mittelvorstellung, in welcher der Gedanke an die Torheit ihres Geliebten mit dem an die analoge ihres Vaters zusammenkommt.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Anders hatte es sich bei dem jungen Manne gewendet. Die Altertumswissenschaft kam über ihn und ließ ihm nur Interesse für Weiber aus Stein und Bronze übrig. Die Kinderfreundschaft ging unter, anstatt sich zu einer Leidenschaft zu verstärken, und die Erinnerungen an sie gerieten in so tiefe Vergessenheit, daß er seine Jugendgenossin nicht erkannte und nicht beachtete, wenn er sie in der Gesellschaft traf. Zwar, wenn wir das weitere überblicken, dürfen wir in Zweifel ziehen, ob »Vergessenheit« die richtige psychologische Bezeichnung für das Schicksal dieser Erinnerungen bei unserem Archäologen ist. Es gibt eine Art von Vergessen, welche sich durch die Schwierigkeit auszeichnet, mit welcher die Erinnerung auch durch starke äußere Anrufungen erweckt wird, als ob ein innerer Widerstand sich gegen deren Wiederbelebung sträubte. Solches Vergessen hat den Namen »Verdrängung« in der Psychopathologie erhalten; der Fall, den unser Dichter uns vorgeführt, scheint ein solches Beispiel von Verdrängung zu sein. Nun wissen wir ganz allgemein nicht, ob das Vergessen eines Eindruckes mit dem Untergang von dessen Erinnerungsspur im Seelenleben verbunden ist; von der »Verdrängung« können wir aber mit Bestimmtheit behaupten, daß sie nicht mit dem Untergang, dem Auslöschen der Erinnerung zusammenfällt. Das Verdrängte kann zwar in der Regel sich nicht ohne weiteres als Erinnerung durchsetzen, aber es bleibt leistungs- und wirkungsfähig, es läßt eines Tages unter dem Einfluß einer äußeren Einwirkung psychische Abfolgen entstehen, die man als Verwandlungsprodukte und Abkömmlinge der vergessenen Erinnerung auffassen kann, und die unverständlich bleiben, wenn man sie nicht so auffaßt. In den Phantasien Norbert Hanolds über die Gradiva glaubten wir bereits die Abkömmlinge seiner verdrängten Erinnerungen an seine Kinderfreundschaft mit der Zoë Bertgang zu erkennen. Mit besonderer Gesetzmäßigkeit darf man eine derartige Wiederkehr des Verdrängten erwarten, wenn an den verdrängten Eindrücken das erotische Fühlen eines Menschen haftet, wenn sein Liebesleben von der Verdrängung betroffen worden ist. Dann behält der alte lateinische Spruch recht, der vielleicht ursprünglich auf Austreibung durch äußere Einflüsse, nicht auf innere Konflikte gemünzt ist: Naturam furca expellas, semper redibit. Aber er sagt nicht alles, kündigt nur die Tatsache der Wiederkehr des Stückes verdrängter Natur an, und beschreibt nicht die höchst merkwürdige Art dieser Wiederkehr, die sich wie durch einen tückischen Verrat vollzieht. Gerade dasjenige, was zum Mittel der Verdrängung gewählt worden ist -- wie die »furca« des Spruches --, wird der Träger des Wiederkehrenden; in und hinter dem Verdrängenden macht sich endlich siegreich das Verdrängte geltend. Eine bekannte Radierung von</w:t>
      </w:r>
      <w:r w:rsidRPr="009D1B8B">
        <w:rPr>
          <w:rFonts w:ascii="Garamond" w:hAnsi="Garamond" w:cs="Times-Roman"/>
          <w:lang w:val="en-US"/>
        </w:rPr>
        <w:t xml:space="preserve"> Félicien Rops </w:t>
      </w:r>
      <w:r w:rsidRPr="009D1B8B">
        <w:rPr>
          <w:rFonts w:ascii="Garamond" w:hAnsi="Garamond"/>
          <w:lang w:val="en-US"/>
        </w:rPr>
        <w:t xml:space="preserve">illustriert diese wenig beachtete und der Würdigung so sehr bedürftige Tatsache eindrucksvoller, als viele Erläuterungen es vermöchten, und zwar </w:t>
      </w:r>
      <w:r w:rsidRPr="009D1B8B">
        <w:rPr>
          <w:rFonts w:ascii="Garamond" w:hAnsi="Garamond"/>
          <w:lang w:val="en-US"/>
        </w:rPr>
        <w:lastRenderedPageBreak/>
        <w:t>an dem vorbildlichen Falle der Verdrängung im Leben der Heiligen und Büßer. Ein asketischer Mönch hat sich -- gewiß vor den Versuchungen der Welt -- zum Bild des gekreuzigten Erlösers geflüchtet. Da sinkt dieses Kreuz schattenhaft nieder und strahlend erhebt sich an seiner Stelle, zu seinem Ersatze, das Bild eines üppigen nackten Weibes in der gleichen Situation der Kreuzigung. Andere Maler von geringerem psychologischen Scharfblick haben in solchen Darstellungen der Versuchung die Sünde frech und triumphierend an irgend eine Stelle neben dem Erlöser am Kreuze gewiesen.</w:t>
      </w:r>
      <w:r w:rsidRPr="009D1B8B">
        <w:rPr>
          <w:rFonts w:ascii="Garamond" w:hAnsi="Garamond" w:cs="Times-Roman"/>
          <w:lang w:val="en-US"/>
        </w:rPr>
        <w:t xml:space="preserve"> Rops </w:t>
      </w:r>
      <w:r w:rsidRPr="009D1B8B">
        <w:rPr>
          <w:rFonts w:ascii="Garamond" w:hAnsi="Garamond"/>
          <w:lang w:val="en-US"/>
        </w:rPr>
        <w:t>allein hat sie den Platz des Erlösers selbst am Kreuze einnehmen lassen; er scheint gewußt zu haben, daß das Verdrängte bei seiner Wiederkehr aus dem Verdrängenden selbst hervortritt.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Es ist des Verweilens wert, sich in Krankheitsfällen zu überzeugen, wie feinfühlig im Zustande der Verdrängung das Seelenleben eines Menschen für die Annäherung des Verdrängten wird, und wie leise und geringfügige Ähnlichkeiten genügen, damit dasselbe hinter dem Verdrängenden und durch dieses zur Wirkung gelange. Ich hatte einmal Anlaß, mich ärztlich um einen jungen Mann, fast noch Knaben, zu kümmern, der nach der ersten unerwünschten Kenntnisnahme von den sexuellen Vorgängen die Flucht vor allen in ihm aufsteigenden Gelüsten ergriffen hatte und sich verschiedener Mittel der Verdrängung dazu bediente, seinen Lerneifer steigerte, die kindliche Anhänglichkeit an die Mutter übertrieb und im ganzen ein kindisches Wesen annahm. Ich will hier nicht ausführen, wie gerade im Verhältnis zur Mutter die verdrängte Sexualität wieder durchdrang, sondern den selteneren und fremdartigeren Fall beschreiben, wie ein anderes seiner Bollwerke bei einem kaum als zureichend zu erkennenden Anlasse zusammenbrach. Als Ablenkung vom Sexuellen genießt die Mathematik den größten Ruf; schon</w:t>
      </w:r>
      <w:r w:rsidRPr="009D1B8B">
        <w:rPr>
          <w:rFonts w:ascii="Garamond" w:hAnsi="Garamond" w:cs="Times-Roman"/>
          <w:lang w:val="en-US"/>
        </w:rPr>
        <w:t xml:space="preserve"> J. J. Rousseau </w:t>
      </w:r>
      <w:r w:rsidRPr="009D1B8B">
        <w:rPr>
          <w:rFonts w:ascii="Garamond" w:hAnsi="Garamond"/>
          <w:lang w:val="en-US"/>
        </w:rPr>
        <w:t>hatte sich von einer Dame, die mit ihm unzufrieden war, raten lassen müssen: Lascia le donne e studia la matematica. So warf sich auch unser Flüchtling mit besonderem Eifer auf die in der Schule gelehrte Mathematik und Geometrie, bis seine Fassungskraft eines Tages plötzlich vor einigen scheinbar harmlosen Aufgaben erlahmte. Von zweien dieser Aufgaben ließ sich noch der Wortlaut feststellen: Zwei Körper stoßen aufeinander, der eine mit der Geschwindigkeit ... u. s. w. -- Und: Einem Zylinder vom Durchmesser der Grundfläche m ist ein Kegel einzuschreiben u. s. w. Bei diesen für einen anderen gewiß nicht auffälligen Anspielungen an das sexuelle Geschehen fand er sich auch von der Mathematik verraten und ergriff auch vor ihr die Flucht.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Wenn Norbert Hanold eine aus dem Leben geholte Persönlichkeit wäre, die so die Liebe und die Erinnerung an seine Kinderfreundschaft durch die Archäologie vertrieben hätte, so wäre es nur gesetzmäßig und korrekt, daß gerade ein antikes Relief die vergessene Erinnerung an die mit kindlichen Gefühlen Geliebte in ihm erweckt; es wäre sein wohlverdientes Schicksal, daß er sich in das Steinbild der Gradiva verliebt, hinter welchem vermöge einer nicht aufgeklärten Ähnlichkeit die lebende und von ihm vernachlässigte Zoë zur Wirkung kommt.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Fräulein Zoë scheint selbst unsere Auffassung von dem Wahn des jungen Archäologen zu teilen, denn das Wohlgefallen, dem sie am Ende ihrer »rückhaltlosen, ausführlichen und lehrreichen Strafrede« Ausdruck gegeben, läßt sich kaum anders als durch die Bereitwilligkeit begründen, sein Interesse für die Gradiva von allem Anfang an auf ihre Person zu beziehen. Dieses war es eben, was sie ihm nicht zugetraut hatte, und was sie trotz aller Wahnverkleidung doch als solches erkannte. An ihm aber hatte nun die psychische Behandlung von ihrer Seite ihre wohltätige Wirkung vollbracht; er fühlte sich frei, da nun der Wahn durch dasjenige ersetzt war, wovon er doch nur eine entstellte und ungenügende Abbildung sein konnte. Er zögerte jetzt auch nicht, sich zu erinnern und sie als seine gute, fröhliche, klugsinnige Kameradin zu erkennen, die sich im Grunde gar nicht verändert habe. Aber etwas anderes fand er höchst sonderbar --</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»Daß jemand erst sterben muß, um lebendig zu werden«, meinte das Mädchen. »Aber für die Archäologen ist das wohl notwendig.« (G. p. 141.) Sie hatte ihm offenbar den Umweg noch nicht verziehen, den er von der Kinderfreundschaft bis zu dem neu sich knüpfenden Verhältnis über die Altertumswissenschaft eingeschlagen hatte.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»Nein, ich meine dein Name ... Weil</w:t>
      </w:r>
      <w:r w:rsidRPr="009D1B8B">
        <w:rPr>
          <w:rFonts w:ascii="Garamond" w:hAnsi="Garamond" w:cs="Times-Roman"/>
          <w:lang w:val="en-US"/>
        </w:rPr>
        <w:t xml:space="preserve"> Bertgang </w:t>
      </w:r>
      <w:r w:rsidRPr="009D1B8B">
        <w:rPr>
          <w:rFonts w:ascii="Garamond" w:hAnsi="Garamond"/>
          <w:lang w:val="en-US"/>
        </w:rPr>
        <w:t>mit</w:t>
      </w:r>
      <w:r w:rsidRPr="009D1B8B">
        <w:rPr>
          <w:rFonts w:ascii="Garamond" w:hAnsi="Garamond" w:cs="Times-Roman"/>
          <w:lang w:val="en-US"/>
        </w:rPr>
        <w:t xml:space="preserve"> Gradiva</w:t>
      </w:r>
      <w:r w:rsidRPr="009D1B8B">
        <w:rPr>
          <w:rFonts w:ascii="Garamond" w:hAnsi="Garamond"/>
          <w:lang w:val="en-US"/>
        </w:rPr>
        <w:t>gleichbedeutend ist und 'die im Schreiten Glänzende' bezeichnet.« (G. p. 142.)</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Darauf waren nun auch wir nicht vorbereitet. Unser Held beginnt sich aus seiner Demütigung zu erheben und eine aktive Rolle zu spielen. Er ist offenbar von seinem Wahn völlig geheilt, über ihn erhoben, und beweist dies, indem er die letzten Fäden des Wahngespinstes selbständig zerreißt. Genau so benehmen sich auch die Kranken, denen man den Zwang ihrer wahnhaften Gedanken durch Aufdeckung des dahintersteckenden Verdrängten gelockert hat. Haben sie begriffen, so bringen sie für die letzten und bedeutsamsten Rätsel ihres sonderbaren Zustandes selbst die Lösungen in plötzlich auftauchenden Einfällen. Wir hatten ja bereits vermutet, daß die griechische Abkunft der fabelhaften Gradiva eine dunkle Nachwirkung des griechischen Namens Zoë sei, aber an den Namen »Gradiva« selbst hatten wir uns nicht </w:t>
      </w:r>
      <w:r w:rsidRPr="009D1B8B">
        <w:rPr>
          <w:rFonts w:ascii="Garamond" w:hAnsi="Garamond"/>
          <w:lang w:val="en-US"/>
        </w:rPr>
        <w:lastRenderedPageBreak/>
        <w:t>herangewagt, ihn hatten wir als freie Schöpfung der Phantasie Norbert Hanolds gelten lassen. Und siehe da, gerade dieser Name erweist sich nun als Abkomme, ja eigentlich als Übersetzung des verdrängten Familiennamens der angeblich vergessenen Kindergeliebten!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Die Herleitung und die Auflösung des Wahnes sind nun vollendet. Was noch beim Dichter folgt, darf wohl dem harmonischen Abschluß der Erzählung dienen. Es kann uns im Hinblick auf Zukünftiges nur wohltuend berühren, wenn die Rehabilitierung des Mannes, der früher eine so klägliche Rolle als Heilungsbedürftiger spielen mußte, weiterschreitet und es ihm nun gelingt, etwas von den Affekten, die er bisher erduldet, bei ihr zu erwecken. So trifft es sich, daß er sie eifersüchtig macht durch die Erwähnung der sympathischen jungen Dame, die vorhin ihr Beisammensein im Hause des Meleager gestört, und durch das Geständnis, daß diese die erste gewesen, die ihm vortrefflich gefallen hat. Wenn Zoë dann einen kühlen Abschied mit der Bemerkung nehmen will: jetzt sei ja alles wieder zur Vernunft gekommen, sie selbst nicht am wenigsten; er könne</w:t>
      </w:r>
      <w:r w:rsidRPr="009D1B8B">
        <w:rPr>
          <w:rFonts w:ascii="Garamond" w:hAnsi="Garamond" w:cs="Times-Roman"/>
          <w:lang w:val="en-US"/>
        </w:rPr>
        <w:t xml:space="preserve"> Gisa Hartleben</w:t>
      </w:r>
      <w:r w:rsidRPr="009D1B8B">
        <w:rPr>
          <w:rFonts w:ascii="Garamond" w:hAnsi="Garamond"/>
          <w:lang w:val="en-US"/>
        </w:rPr>
        <w:t>, oder wie sie jetzt heiße, wieder aufsuchen, um ihr bei dem Zweck ihres Aufenthaltes in Pompeji wissenschaftlich behilflich zu sein; sie aber müsse jetzt in den Albergo del Sole, wo der Vater mit dem Mittagessen auf sie wartet; vielleicht sähen sie sich beide noch einmal in einer Gesellschaft in Deutschland oder auf dem Monde: so mag er wieder die lästige Fliege zum Vorwand nehmen, um sich zuerst ihrer Wange und dann ihrer Lippen zu bemächtigen und die Aggression, die nun einmal Pflicht des Mannes im Liebesspiel ist, ins Werk zu setzen. Ein einziges Mal noch scheint ein Schatten auf ihr Glück zu fallen, als Zoë mahnt, jetzt müsse sie aber wirklich zu ihrem Vater, der sonst im Sole verhungert. »Dein Vater -- was wird der --?« (G. p. 147.) Aber das kluge Mädchen weiß die Sorge rasch zu beschwichtigen: »Wahrscheinlich wird er nichts, ich bin kein unentbehrliches Stück in seiner zoologischen Sammlung; wär' ich das, hätte sich mein Herz vielleicht nicht so unklug an dich gehängt.« Sollte der Vater aber ausnahmsweise anderer Meinung sein wollen als sie, so gäbe es ein sicheres Mittel. Hanold brauchte nur nach Capri hinüberzufahren, dort eine Lacerta faraglionensis zu fangen, wofür er die Technik an ihrem kleinen Finger einüben könne, das Tier dann hier freizulassen, vor den Augen des Zoologen wieder einzufangen und ihm die Wahl zu lassen zwischen der Faraglionensis auf dem Festlande und der Tochter. Ein Vorschlag, in dem der Spott, wie man leicht merkt, mit Bitterkeit vermengt ist, eine Mahnung gleichsam an den Bräutigam, sich nicht allzu getreu an das Vorbild zu halten, nach dem ihn die Geliebte ausgewählt hat. Norbert Hanold beruhigt uns auch hierüber, indem er die große Umwandlung, die mit ihm vorgefallen ist, in allerlei scheinbar kleinen Anzeichen zum Ausdruck bringt. Er spricht den Vorsatz aus, die Hochzeitsreise mit seiner Zoë nach Italien und nach Pompeji zu machen, als hätte er sich niemals über die Hochzeitsreisenden August und Grete entrüstet. Es ist ihm ganz aus dem Gedächtnis geschwunden, was er gegen diese glücklichen Paare gefühlt, die sich so überflüssigerweise mehr als hundert Meilen von ihrer deutschen Heimat entfernt haben. Gewiß hat der Dichter recht, wenn er solche Gedächtnisschwächung als das wertvollste Zeichen einer Sinnesänderung aufführt. Zoë erwidert auf den kundgegebenen Reisezielwunsch ihres »</w:t>
      </w:r>
      <w:r w:rsidRPr="009D1B8B">
        <w:rPr>
          <w:rFonts w:ascii="Garamond" w:hAnsi="Garamond" w:cs="Times-Roman"/>
          <w:lang w:val="en-US"/>
        </w:rPr>
        <w:t>gewissermaßen gleichfalls aus der Verschüttung wieder ausgegrabenen Kindheitsfreundes</w:t>
      </w:r>
      <w:r w:rsidRPr="009D1B8B">
        <w:rPr>
          <w:rFonts w:ascii="Garamond" w:hAnsi="Garamond"/>
          <w:lang w:val="en-US"/>
        </w:rPr>
        <w:t>« (G. p. 150), sie fühle sich zu solcher geographischen Entscheidung doch noch nicht völlig lebendig genug.</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Die schöne Wirklichkeit hat nun den Wahn besiegt, doch harrt des letzteren, ehe die Beiden Pompeji verlassen, noch eine Ehrung. An dem Herkulestor angekommen, wo am Anfang der Strada consolare alte Trittsteine die Straße überkreuzen, hält Norbert Hanold an und bittet das Mädchen voranzugehen. Sie versteht ihn, »und mit der Linken das Kleid ein wenig raffend, schreitet die Gradiva rediviva Zoë Bertgang von ihm mit traumhaft dreinblickenden Augen umfaßt, in ihrer ruhig-behenden Gangart durch den Sonnenglanz über die Trittsteine zur anderen Straßenseite hinüber«. Mit dem Triumph der Erotik kommt jetzt zur Anerkennung, was auch am Wahne schön und wertvoll war.</w:t>
      </w:r>
    </w:p>
    <w:p w:rsidR="00CF585F" w:rsidRPr="009D1B8B" w:rsidRDefault="00CF585F" w:rsidP="00CF585F">
      <w:pPr>
        <w:pStyle w:val="Sansinterligne"/>
        <w:rPr>
          <w:rFonts w:ascii="Garamond" w:hAnsi="Garamond" w:cs="Times-Roman"/>
        </w:rPr>
      </w:pPr>
      <w:r w:rsidRPr="009D1B8B">
        <w:rPr>
          <w:rFonts w:ascii="Garamond" w:hAnsi="Garamond"/>
          <w:lang w:val="en-US"/>
        </w:rPr>
        <w:t xml:space="preserve">Mit dem letzten Gleichnis von dem »aus der Verschüttung ausgegrabenen Kindheitsfreunde« hat uns aber der Dichter den Schlüssel zur Symbolik in die Hand gegeben, dessen sich der Wahn des Helden bei der Verkleidung der verdrängten Erinnerung bediente. Es gibt wirklich keine bessere Analogie für die Verdrängung, die etwas Seelisches zugleich unzugänglich macht und konserviert, als die Verschüttung, wie sie Pompeji zum Schicksal geworden ist, und aus der die Stadt durch die Arbeit des Spatens wieder erstehen konnte. </w:t>
      </w:r>
      <w:r w:rsidRPr="009D1B8B">
        <w:rPr>
          <w:rFonts w:ascii="Garamond" w:hAnsi="Garamond"/>
        </w:rPr>
        <w:t>Darum mußte der junge Archäologe das Urbild des Reliefs, welches ihn an seine vergessene Jugendgeliebte mahnte, in der Phantasie nach Pompeji versetzen. Der Dichter aber hatte ein gutes Recht, bei der wertvollen Ähnlichkeit zu verweilen, die sein feiner Sinn zwischen einem Stück des seelischen Geschehens beim Einzelnen und einem vereinzelten historischen Vorgang in der Geschichte der Menschheit aufgespürt.</w:t>
      </w:r>
    </w:p>
    <w:p w:rsidR="00CF585F" w:rsidRPr="009D1B8B" w:rsidRDefault="00CF585F" w:rsidP="00CF585F">
      <w:pPr>
        <w:pStyle w:val="Sansinterligne"/>
        <w:rPr>
          <w:rFonts w:ascii="Garamond" w:hAnsi="Garamond" w:cs="Times-Roman"/>
        </w:rPr>
      </w:pPr>
    </w:p>
    <w:p w:rsidR="00CF585F" w:rsidRPr="009D1B8B" w:rsidRDefault="00CF585F" w:rsidP="00CF585F">
      <w:pPr>
        <w:pStyle w:val="Sansinterligne"/>
        <w:rPr>
          <w:rFonts w:ascii="Garamond" w:hAnsi="Garamond" w:cs="Times-Roman"/>
        </w:rPr>
      </w:pPr>
      <w:r w:rsidRPr="009D1B8B">
        <w:rPr>
          <w:rFonts w:ascii="Garamond" w:hAnsi="Garamond"/>
        </w:rPr>
        <w:t>II.</w:t>
      </w:r>
    </w:p>
    <w:p w:rsidR="00CF585F" w:rsidRPr="009D1B8B" w:rsidRDefault="00CF585F" w:rsidP="00CF585F">
      <w:pPr>
        <w:pStyle w:val="Sansinterligne"/>
        <w:rPr>
          <w:rFonts w:ascii="Garamond" w:hAnsi="Garamond" w:cs="Times-Roman"/>
          <w:lang w:val="en-US"/>
        </w:rPr>
      </w:pPr>
      <w:r w:rsidRPr="009D1B8B">
        <w:rPr>
          <w:rFonts w:ascii="Garamond" w:hAnsi="Garamond"/>
        </w:rPr>
        <w:lastRenderedPageBreak/>
        <w:t xml:space="preserve">Es war doch eigentlich nur unsere Absicht, die zwei oder drei Träume, die sich in der Erzählung »Gradiva« eingestreut finden, mit Hilfe gewisser analytischer Methoden zu untersuchen; wie kam es denn, daß wir uns zur Zergliederung der ganzen Geschichte und zur Prüfung der seelischen Vorgänge bei den beiden Hauptpersonen fortreißen ließen? </w:t>
      </w:r>
      <w:r w:rsidRPr="009D1B8B">
        <w:rPr>
          <w:rFonts w:ascii="Garamond" w:hAnsi="Garamond"/>
          <w:lang w:val="en-US"/>
        </w:rPr>
        <w:t>Nun, das war kein überflüssiges Stück Arbeit, sondern eine notwendige Vorarbeit. Auch wenn wir die wirklichen Träume einer realen Person verstehen wollen, müssen wir uns intensiv um den Charakter und die Schicksale dieser Person kümmern, nicht nur ihre Erlebnisse kurz vor dem Traume, sondern auch solche in entlegener Vergangenheit in Erfahrung bringen. Ich meine sogar, wir sind noch immer nicht frei, uns unserer eigentlichen Aufgabe zuzuwenden, müssen noch bei der Dichtung selbst verweilen und weitere Vorarbeiten erledigen.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Unsere Leser werden gewiß mit Befremden bemerkt haben, daß wir</w:t>
      </w:r>
      <w:r w:rsidRPr="009D1B8B">
        <w:rPr>
          <w:rFonts w:ascii="Garamond" w:hAnsi="Garamond" w:cs="Times-Roman"/>
          <w:lang w:val="en-US"/>
        </w:rPr>
        <w:t xml:space="preserve"> Norbert Hanold </w:t>
      </w:r>
      <w:r w:rsidRPr="009D1B8B">
        <w:rPr>
          <w:rFonts w:ascii="Garamond" w:hAnsi="Garamond"/>
          <w:lang w:val="en-US"/>
        </w:rPr>
        <w:t>und</w:t>
      </w:r>
      <w:r w:rsidRPr="009D1B8B">
        <w:rPr>
          <w:rFonts w:ascii="Garamond" w:hAnsi="Garamond" w:cs="Times-Roman"/>
          <w:lang w:val="en-US"/>
        </w:rPr>
        <w:t xml:space="preserve"> Zoë Bertgang </w:t>
      </w:r>
      <w:r w:rsidRPr="009D1B8B">
        <w:rPr>
          <w:rFonts w:ascii="Garamond" w:hAnsi="Garamond"/>
          <w:lang w:val="en-US"/>
        </w:rPr>
        <w:t>in allen ihren seelischen Äußerungen und Tätigkeiten bisher behandelt haben, als wären sie wirkliche Individuen und nicht Geschöpfe eines Dichters, als wäre der Sinn des Dichters ein absolut durchlässiges, nicht ein brechendes oder trübendes Medium. Und um so befremdender muß unser Vorgehen erscheinen, als der Dichter auf die Wirklichkeitsschilderung ausdrücklich verzichtet, indem er seine Erzählung ein »Phantasiestück« benennt. Wir finden aber alle seine Schilderungen der Wirklichkeit so getreulich nachgebildet, daß wir keinen Widerspruch äußern würden, wenn die »Gradiva« nicht ein Phantasiestück, sondern eine psychiatrische Studie hieße. Nur in zwei Punkten hat sich der Dichter der ihm zustehenden Freiheit bedient, um Voraussetzungen zu schaffen, die nicht im Boden der realen Gesetzmäßigkeit zu wurzeln scheinen. Das erstemal, indem er den jungen Archäologen ein unzweifelhaft antikes Reliefbildnis finden läßt, welches nicht nur in der Besonderheit der Fußstellung beim Schreiten, sondern in allen Details der Gesichtsbildung und Körperhaltung eine so viel später lebende Person nachahmt, so daß er die leibliche Erscheinung dieser Person für das lebend gewordene Steinbild halten kann. Das zweitemal, indem er ihn die Lebende gerade in Pompeji treffen läßt, wohin nur seine Phantasie die Verstorbene versetzte, während er sich eben durch die Reise nach Pompeji von der Lebenden, die er auf der Straße seines Wohnortes bemerkt hatte, entfernte. Allein diese zweite Verfügung des Dichters ist keine gewaltsame Abweichung von der Lebensmöglichkeit; sie nimmt eben nur den Zufall zur Hilfe, der unbestritten bei so vielen menschlichen Schicksalen mitspielt, und verleiht ihm überdies einen guten Sinn, da dieser Zufall das Verhängnis widerspiegelt, welches bestimmt hat, daß man gerade durch das Mittel der Flucht sich dem ausliefert, vor dem man flieht. Phantastischer und völlig der Willkür des Dichters entsprungen erscheint die erste Voraussetzung, welche alle weiteren Begebenheiten trägt, die so weitgehende Ähnlichkeit des Steinbildes mit dem lebenden Mädchen, wo die Nüchternheit die Übereinstimmung auf den einen Zug der Fußhaltung beim Schreiten einschränken möchte. Man wäre versucht, hier zur Anknüpfung an die Realität die eigene Phantasie spielen zu lassen. Der Name</w:t>
      </w:r>
      <w:r w:rsidRPr="009D1B8B">
        <w:rPr>
          <w:rFonts w:ascii="Garamond" w:hAnsi="Garamond" w:cs="Times-Roman"/>
          <w:lang w:val="en-US"/>
        </w:rPr>
        <w:t xml:space="preserve"> Bertgang</w:t>
      </w:r>
      <w:r w:rsidRPr="009D1B8B">
        <w:rPr>
          <w:rFonts w:ascii="Garamond" w:hAnsi="Garamond"/>
          <w:lang w:val="en-US"/>
        </w:rPr>
        <w:t>könnte darauf deuten, daß sich die Frauen dieser Familie schon in alten Zeiten durch solche Eigentümlichkeit des schönen Ganges ausgezeichnet haben, und durch Geschlechtsabfolge hingen die germanischen</w:t>
      </w:r>
      <w:r w:rsidRPr="009D1B8B">
        <w:rPr>
          <w:rFonts w:ascii="Garamond" w:hAnsi="Garamond" w:cs="Times-Roman"/>
          <w:lang w:val="en-US"/>
        </w:rPr>
        <w:t xml:space="preserve"> Bertgang</w:t>
      </w:r>
      <w:r w:rsidRPr="009D1B8B">
        <w:rPr>
          <w:rFonts w:ascii="Garamond" w:hAnsi="Garamond"/>
          <w:lang w:val="en-US"/>
        </w:rPr>
        <w:t>mit jenen Römern zusammen, von deren Stamm eine Frau den antiken Künstler veranlaßt hatte, die Eigentümlichkeit ihres Ganges im Steinbild festzuhalten. Da aber die einzelnen Variationen der menschlichen Gestaltung nicht unabhängig von einander sind, und tatsächlich auch in unserer Mitte immer wieder die antiken Typen auftauchen, die wir in den Sammlungen antreffen, so wäre es nicht ganz unmöglich, daß eine moderne</w:t>
      </w:r>
      <w:r w:rsidRPr="009D1B8B">
        <w:rPr>
          <w:rFonts w:ascii="Garamond" w:hAnsi="Garamond" w:cs="Times-Roman"/>
          <w:lang w:val="en-US"/>
        </w:rPr>
        <w:t xml:space="preserve"> Bertgang </w:t>
      </w:r>
      <w:r w:rsidRPr="009D1B8B">
        <w:rPr>
          <w:rFonts w:ascii="Garamond" w:hAnsi="Garamond"/>
          <w:lang w:val="en-US"/>
        </w:rPr>
        <w:t>die Gestalt ihrer antiken Ahnfrau auch in allen anderen Zügen ihrer körperlichen Bildung wiederholte. Klüger als solche Spekulation dürfte wohl sein, sich bei dem Dichter selbst nach den Quellen zu erkundigen, aus denen ihm dieses Stück seiner Schöpfung erflossen ist; es ergäbe sich uns dann eine gute Aussicht, wiederum ein Stück vermeintlicher Willkür in Gesetzmäßigkeit aufzulösen. Da uns aber der Zugang zu den Quellen im Seelenleben des Dichters nicht frei steht, so lassen wir ihm das Recht ungeschmälert, eine durchaus lebenswahre Entwicklung auf eine unwahrscheinliche Voraussetzung aufzubauen, ein Recht, das z. B. auch</w:t>
      </w:r>
      <w:r w:rsidRPr="009D1B8B">
        <w:rPr>
          <w:rFonts w:ascii="Garamond" w:hAnsi="Garamond" w:cs="Times-Roman"/>
          <w:lang w:val="en-US"/>
        </w:rPr>
        <w:t xml:space="preserve"> Shakespeare </w:t>
      </w:r>
      <w:r w:rsidRPr="009D1B8B">
        <w:rPr>
          <w:rFonts w:ascii="Garamond" w:hAnsi="Garamond"/>
          <w:lang w:val="en-US"/>
        </w:rPr>
        <w:t>im »King Lear« in Anspruch genommen hat.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Sonst aber, das wollen wir wiederholen, hat uns der Dichter eine völlig korrekte psychiatrische Studie geliefert, an welcher wir unser Verständnis des Seelenlebens messen dürfen, eine Kranken- und Heilungsgeschichte, wie zur Einschärfung gewisser fundamentaler Lehren der ärztlichen Seelenkunde bestimmt. Sonderbar genug, daß der Dichter dies getan haben sollte! Wie nun, wenn er auf Befragen diese Absicht ganz und gar in Abrede stellte? Es ist so leicht anzugleichen und unterzulegen; sind es nicht vielmehr wir, die in die schöne poetische Erzählung einen Sinn hineingeheimnissen, der dem Dichter sehr ferne liegt? Möglich; wir wollen später noch darauf zurückkommen. Vorläufig aber haben wir versucht, uns vor solch tendenziöser Ausdeutung selbst zu bewahren, indem wir die Erzählung fast durchwegs aus </w:t>
      </w:r>
      <w:r w:rsidRPr="009D1B8B">
        <w:rPr>
          <w:rFonts w:ascii="Garamond" w:hAnsi="Garamond"/>
          <w:lang w:val="en-US"/>
        </w:rPr>
        <w:lastRenderedPageBreak/>
        <w:t>den eigenen Worten des Dichter wiedergaben, Text wie Kommentar von ihm selbst besorgen ließen. Wer unsere Reproduktion mit dem Wortlaut der »Gradiva« vergleichen will, wird uns dies zugestehen müssen.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Vielleicht erweisen wir unserem Dichter auch einen schlechten Dienst im Urteil der allermeisten, wenn wir sein Werk für eine psychiatrische Studie erklären. Der Dichter soll der Berührung mit der Psychiatrie aus dem Wege gehen, hören wir sagen, und die Schilderung krankhafter Seelenzustände den Ärzten überlassen. In Wahrheit hat kein richtiger Dichter je dieses Gebot geachtet. Die Schilderung des menschlichen Seelenlebens ist ja seine eigentlichste Domäne; er war jederzeit der Vorläufer der Wissenschaft und so auch der wissenschaftlichen Psychologie. Die Grenze aber zwischen den normal und krankhaft benannten Seelenzuständen ist zum Teil eine konventionelle, zum anderen eine so fließende, daß wahrscheinlich jeder von uns sie im Laufe eines Tages mehrmals überschreitet. Anderseits täte die Psychiatrie unrecht, wenn sie sich dauernd auf das Studium jener schweren und düsteren Erkrankungen einschränken wollte, die durch grobe Beschädigungen des feinen Seelenapparats entstehen. Die leiseren und ausgleichsfähigen Abweichungen vom Gesunden, die wir heute nicht weiter als bis zu Störungen im psychischen Kräftespiel zurückverfolgen können, fallen nicht weniger unter ihr Interesse; ja erst mittels dieser kann sie die Gesundheit wie die Erscheinungen der schweren Krankheit verstehen. So kann der Dichter dem Psychiater, der Psychiater dem Dichter nicht ausweichen, und die poetische Behandlung eines psychiatrischen Themas darf ohne Einbuße an Schönheit korrekt ausfallen.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Korrekt ist nun wirklich diese dichterische Darstellung einer Krankheits- und Behandlungsgeschichte, die wir nach Abschluß der Erzählung und Sättigung der eigenen Spannung besser übersehen können und nun mit den technischen Ausdrücken unserer Wissenschaft reproduzieren wollen, wobei uns die Nötigung zur Wiederholung von bereits Gesagtem nicht stören soll.</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Der Zustand Norbert Hanolds wird vom Dichter oft genug ein »Wahn« genannt, und auch wir haben keinen Grund, diese Bezeichnung zu verwerfen. Zwei Hauptcharaktere können wir vom »Wahn« angeben, durch welche er zwar nicht erschöpfend beschrieben, aber doch von anderen Störungen kenntlich gesondert ist. Er gehört erstens zu jener Gruppe von Krankheitszuständen, denen eine unmittelbare Einwirkung aufs Körperliche nicht zukommt, sondern die sich nur durch seelische Anzeichen ausdrücken, und er ist zweitens durch die Tatsache gekennzeichnet, daß bei ihm »Phantasien« zur Oberherrschaft gelangt sind, d. h. Glauben gefunden und Einfluß auf das Handeln genommen haben. Erinnern wir uns der Reise nach Pompeji, um in der Asche nach den besonders gestalteten Fußabdrücken der Gradiva zu suchen, so haben wir in ihr ein prächtiges Beispiel einer Handlung unter der Herrschaft des Wahnes. Der Psychiater würde den Wahn Norbert Hanolds vielleicht der großen Gruppe Paranoia zurechnen und etwa als eine »fetischistische Erotomanie« bezeichnen, weil ihm die Verliebtheit in das Steinbild das Auffälligste wäre, und weil seiner alles vergröbernden Auffassung das Interesse des jungen Archäologen für die Füße und Fußstellungen weiblicher Personen als »Fetischismus« verdächtig erscheinen muß. Indes haben alle solche Benennungen und Einteilungen der verschiedenen Arten von Wahn nach ihrem Inhalt etwas Mißliches und Unfruchtbares an sich.(2)</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(2) Der Fall N. H. müßte in Wirklichkeit als hysterischer, nicht als paranoischer Wahn bezeichnet werden. Die Kennzeichen der Paranoia werden hier vermißt.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Der gestrenge Psychiater würde ferner unseren Helden als Person, die fähig ist, auf Grund so sonderbarer Vorliebe einen Wahn zu entwickeln, sofort zum Dégénéré stempeln und nach der Heredität forschen, die ihn unerbittlich in solches Schicksal getrieben hat. Hierin folgt ihm aber der Dichter nicht; mit gutem Grunde. Er will uns ja den Helden näher bringen, uns die »Einfühlung« erleichtern; mit der Diagnose »Dégénéré«, mag sie nun wissenschaftlich zu rechtfertigen sein oder nicht, ist uns der junge Archäologe sofort ferne gerückt; denn wir Leser sind ja die Normalmenschen und das Maß der Menschheit. Auch die hereditären und konstitutionellen Vorbedingungen des Zustandes kümmern den Dichter wenig; dafür vertieft er sich in die persönliche seelische Verfassung, die einem solchen Wahn den Ursprung geben kann.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Norbert Hanold verhält sich in einem wichtigen Punkte ganz anders als ein gewöhnliches Menschenkind. Er hat kein Interesse für das lebende Weib; die Wissenschaft, der er dient, hat ihm dieses Interesse genommen und es auf die Weiber von Stein oder Bronze verschoben. Man halte dies nicht für eine gleichgültige Eigentümlichkeit; sie ist vielmehr die Grundvoraussetzung der erzählten Begebenheit, denn eines Tages ereignet es sich, daß ein einzelnes solches Steinbild alles Interesse für sich beansprucht, das sonst nur dem lebenden Weib gebührt, und damit ist der Wahn gegeben. Vor unseren Augen entrollt sich dann, wie dieser Wahn durch eine glückliche Fügung geheilt, das Interesse vom Stein wieder auf eine Lebende zurückgeschoben wird. Durch welche Einwirkungen unser Held in den Zustand der Abwendung vom Weibe geraten ist, läßt uns der Dichter nicht verfolgen; er gibt uns nur an, solches Verhalten sei nicht </w:t>
      </w:r>
      <w:r w:rsidRPr="009D1B8B">
        <w:rPr>
          <w:rFonts w:ascii="Garamond" w:hAnsi="Garamond"/>
          <w:lang w:val="en-US"/>
        </w:rPr>
        <w:lastRenderedPageBreak/>
        <w:t>durch seine Anlage erklärt, die vielmehr ein Stück phantastisches -- wir dürfen ergänzen: erotisches -- Bedürfnis mit einschließt. Auch ersehen wir von später her, daß er in seiner Kindheit nicht von anderen Kindern abwich; er hielt damals eine Kinderfreundschaft mit einem kleinen Mädchen, war unzertrennlich von ihr, teilte mit ihr seine kleinen Mahlzeiten, puffte sie auch und ließ sich von ihr zausen. In solcher Anhänglichkeit, solcher Vereinigung von Zärtlichkeit und Aggression äußert sich die unfertige Erotik des Kinderlebens, die ihre Wirkungen erst nachträglich, aber dann unwiderstehlich äußert, und die während der Kinderzeit selbst nur der Arzt und der Dichter als Erotik zu erkennen pflegen. Unser Dichter gibt uns deutlich zu verstehen, daß auch er es nicht anders meint, denn er läßt bei seinem Helden bei geeignetem Anlaß plötzlich ein lebhaftes Interesse für Gang und Fußhaltung der Frauen erwachen, das ihn bei der Wissenschaft wie bei den Frauen seines Wohnortes in den Verruf eines Fußfetischisten bringen muß, das sich uns aber notwendig aus der Erinnerung an diese Kindergespielin ableitet. Dieses Mädchen zeigte gewiß schon als Kind die Eigenheit des schönen Ganges mit fast senkrecht aufgestellter Fußspitze beim Schreiten, und durch die Darstellung eben dieses Ganges gewinnt später ein antikes Steinrelief für Norbert Hanold jene große Bedeutung. Fügen wir übrigens gleich hinzu, daß der Dichter sich bei der Ableitung der merkwürdigen Erscheinung des Fetischismus sich in voller Übereinstimmung mit der Wissenschaft befindet. Seit</w:t>
      </w:r>
      <w:r w:rsidRPr="009D1B8B">
        <w:rPr>
          <w:rFonts w:ascii="Garamond" w:hAnsi="Garamond" w:cs="Times-Roman"/>
          <w:lang w:val="en-US"/>
        </w:rPr>
        <w:t xml:space="preserve"> A. Binet </w:t>
      </w:r>
      <w:r w:rsidRPr="009D1B8B">
        <w:rPr>
          <w:rFonts w:ascii="Garamond" w:hAnsi="Garamond"/>
          <w:lang w:val="en-US"/>
        </w:rPr>
        <w:t>versuchen wir wirklich, den Fetischismus auf erotische Kindheitseindrücke zurückzuführen.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Der Zustand der dauernden Abwendung vom Weibe ergibt die persönliche Eignung, wie wir zu sagen pflegen: die Disposition für die Bildung eines Wahnes. Die Entwicklung der Seelenstörung setzt mit dem Momente ein, da ein zufälliger Eindruck die vergessenen und wenigstens spurweise erotisch betonten Kindererlebnisse aufweckt. Aufweckt ist aber gewiß nicht die richtige Bezeichnung, wenn wir, was weiter erfolgt, in Betracht ziehen. Wir müssen die korrekte Darstellung des Dichters in kunstgerechter psychologischer Ausdrucksweise wiedergeben. Norbert Hanold erinnert sich nicht beim Anblick des Reliefs, daß er solche Fußstellung schon bei seiner Jugendfreundin gesehen hat; er erinnert sich überhaupt nicht, und doch rührt alle Wirkung des Reliefs von solcher Anknüpfung an den Eindruck in der Kindheit her. Der Kindheitseindruck wird also rege, wird aktiv gemacht, so daß er Wirkungen zu äußern beginnt, er kommt aber nicht zum Bewußtsein, er bleibt »</w:t>
      </w:r>
      <w:r w:rsidRPr="009D1B8B">
        <w:rPr>
          <w:rFonts w:ascii="Garamond" w:hAnsi="Garamond" w:cs="Times-Roman"/>
          <w:lang w:val="en-US"/>
        </w:rPr>
        <w:t>unbewußt</w:t>
      </w:r>
      <w:r w:rsidRPr="009D1B8B">
        <w:rPr>
          <w:rFonts w:ascii="Garamond" w:hAnsi="Garamond"/>
          <w:lang w:val="en-US"/>
        </w:rPr>
        <w:t>«, wie wir mit einem in der Psychopathologie unvermeidlich gewordenen Terminus heute zu sagen pflegen. Dieses Unbewußte möchten wir allen Streitigkeiten der Philosophen und Naturphilosophen, die oft nur etymologische Bedeutung haben, entzogen sehen. Für psychische Vorgänge, die sich aktiv benehmen und dabei doch nicht zum Bewußtsein der betreffenden Person gelangen, haben wir vorläufig keinen besseren Namen, und nichts anderes meinen wir mit unserem »Unbewußtsein«. Wenn manche Denker uns die Existenz eines solchen Unbewußten als widersinnig bestreiten wollen, so glauben wir, sie hätten sich niemals mit den entsprechenden seelischen Phänomenen beschäftigt, stünden im Banne der regelmäßigen Erfahrung, daß alles Seelische, was aktiv und intensiv wird, damit gleichzeitig auch bewußt wird, und hätten eben noch zu lernen, was unser Dichter sehr wohl weiß, daß es allerdings seelische Vorgänge gibt, die, trotzdem sie intensiv sind und energische Wirkungen äußern, dennoch dem Bewußtsein ferne bleiben.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Wir haben vorhin einmal ausgesprochen, die Erinnerungen an den Kinderverkehr mit Zoë befinden sich bei Norbert Hanold im Zustande der »Verdrängung«; nun haben wir sie »unbewußte« Erinnerungen geheißen. Da müssen wir wohl dem Verhältnis der beiden Kunstworte, die ja im Sinne zusammenzufallen scheinen, einige Aufmerksamkeit zuwenden. Es ist nicht schwer, darüber Aufklärung zu geben. »Unbewußt« ist der weitere Begriff, »verdrängt« der engere. Alles was verdrängt ist, ist unbewußt; aber nicht von allem Unbewußten können wir behaupten, daß es verdrängt sei. Hätte Hanold beim Anblick des Reliefs sich der Gangart seiner Zoë erinnert, so wäre eine früher unbewußte Erinnerung bei ihm gleichzeitig aktiv und bewußt geworden und hätte so gezeigt, daß sie früher nicht verdrängt war. »Unbewußt« ist ein rein deskriptiver, in mancher Hinsicht unbestimmter, ein sozusagen statischer Terminus, »verdrängt« ist ein dynamischer Ausdruck, der auf das seelische Kräftespiel Rücksicht nimmt und besagt, es sei ein Bestreben vorhanden, alle psychischen Wirkungen, darunter auch die des Bewußtwerdens, zu äußern, aber auch eine Gegenkraft, ein Widerstand, der einen Teil dieser psychischen Wirkungen, darunter wieder das Bewußtwerden, zu verhindern vermöge. Kennzeichen des Verdrängten bleibt eben, daß es sich trotz seiner Intensität nicht zum Bewußtsein zu bringen vermag. In dem Falle Hanolds handelt es sich also von dem Auftauchen des Reliefs an um ein verdrängtes Unbewußtes, kurzweg um ein Verdrängtes.</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Verdrängt sind bei Norbert Hanold die Erinnerungen an seinen Kinderverkehr mit dem schön schreitenden Mädchen, aber dies ist noch nicht die richtige Betrachtung der psychologischen Sachlage. Wir bleiben an der Oberfläche, so lange wir nur von Erinnerungen und Vorstellungen handeln. Das einzig </w:t>
      </w:r>
      <w:r w:rsidRPr="009D1B8B">
        <w:rPr>
          <w:rFonts w:ascii="Garamond" w:hAnsi="Garamond"/>
          <w:lang w:val="en-US"/>
        </w:rPr>
        <w:lastRenderedPageBreak/>
        <w:t>Wertbare im Seelenleben sind vielmehr die Gefühle; alle Seelenkräfte sind nur durch ihre Eignung, Gefühle zu erwecken, bedeutsam. Vorstellungen werden nur verdrängt, weil sie an Gefühlsentbindungen geknüpft sind, die nicht zu stande kommen sollen; es wäre richtiger zu sagen, die Verdrängung betreffe die Gefühle, nur sind uns diese nicht anders als in ihrer Bindung an Vorstellungen faßbar. Verdrängt sind bei Norbert Hanold also die erotischen Gefühle, und da seine Erotik kein anderes Objekt kennt oder gekannt hat, als in seiner Kindheit die Zoë Bertgang, so sind die Erinnerungen an diese vergessen. Das antike Reliefbild weckt die schlummernde Erotik in ihm auf und macht die Kindheitserinnerungen aktiv. Wegen eines in ihm bestehenden Widerstandes gegen die Erotik können diese Erinnerungen nur als unbewußte wirksam werden. Was sich nun weiter in ihm abspielt, ist ein Kampf zwischen der Macht der Erotik und den sie verdrängenden Kräften; was sich von diesem Kampf äußert, ist ein Wahn.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Unser Dichter hat zu motivieren unterlassen, woher die Verdrängung des Liebeslebens bei seinem Helden rührt; die Beschäftigung mit der Wissenschaft ist ja nur das Mittel, dessen sich die Verdrängung bedient; der Arzt müßte hier tiefer gründen, vielleicht ohne in seinem Falle auf den Grund zu geraten. Wohl aber hat der Dichter, wie wir mit Bewunderung hervorgehoben haben, uns darzustellen nicht versäumt, wie die Erweckung der verdrängten Erotik gerade aus dem Kreise der zur Verdrängung dienenden Mittel erfolgt. Es ist mit Recht eine Antike, das Steinbild eines Weibes, durch welches unser Archäologe aus seiner Abwendung von der Liebe gerissen und gemahnt wird, dem Leben die Schuld abzutragen, mit der wir von unserer Geburt an belastet sind.</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Die ersten Äußerungen des nun in Hanold durch das Reliefbild angeregten Prozesses sind Phantasien, welche mit der so dargestellten Person spielen. Als etwas »</w:t>
      </w:r>
      <w:r w:rsidRPr="009D1B8B">
        <w:rPr>
          <w:rFonts w:ascii="Garamond" w:hAnsi="Garamond" w:cs="Times-Roman"/>
          <w:lang w:val="en-US"/>
        </w:rPr>
        <w:t>Heutiges</w:t>
      </w:r>
      <w:r w:rsidRPr="009D1B8B">
        <w:rPr>
          <w:rFonts w:ascii="Garamond" w:hAnsi="Garamond"/>
          <w:lang w:val="en-US"/>
        </w:rPr>
        <w:t>« im besten Sinne erscheint ihm das Modell, als hätte der Künstler die auf der Straße Schreitende »nach dem</w:t>
      </w:r>
      <w:r w:rsidRPr="009D1B8B">
        <w:rPr>
          <w:rFonts w:ascii="Garamond" w:hAnsi="Garamond" w:cs="Times-Roman"/>
          <w:lang w:val="en-US"/>
        </w:rPr>
        <w:t xml:space="preserve"> Leben</w:t>
      </w:r>
      <w:r w:rsidRPr="009D1B8B">
        <w:rPr>
          <w:rFonts w:ascii="Garamond" w:hAnsi="Garamond"/>
          <w:lang w:val="en-US"/>
        </w:rPr>
        <w:t>« festgehalten. Den Namen »</w:t>
      </w:r>
      <w:r w:rsidRPr="009D1B8B">
        <w:rPr>
          <w:rFonts w:ascii="Garamond" w:hAnsi="Garamond" w:cs="Times-Roman"/>
          <w:lang w:val="en-US"/>
        </w:rPr>
        <w:t>Gradiva</w:t>
      </w:r>
      <w:r w:rsidRPr="009D1B8B">
        <w:rPr>
          <w:rFonts w:ascii="Garamond" w:hAnsi="Garamond"/>
          <w:lang w:val="en-US"/>
        </w:rPr>
        <w:t>« verleiht er dem antiken Mädchen, den er nach dem Beiwort des zum Kampfe ausschreitenden Kriegsgottes, des Mars Gradivus, gebildet; mit immer mehr Bestimmungen stattet er ihre Persönlichkeit aus. Sie mag die Tochter eines angesehenen Mannes sein, vielleicht eines</w:t>
      </w:r>
      <w:r w:rsidRPr="009D1B8B">
        <w:rPr>
          <w:rFonts w:ascii="Garamond" w:hAnsi="Garamond" w:cs="Times-Roman"/>
          <w:lang w:val="en-US"/>
        </w:rPr>
        <w:t xml:space="preserve"> Patriziers</w:t>
      </w:r>
      <w:r w:rsidRPr="009D1B8B">
        <w:rPr>
          <w:rFonts w:ascii="Garamond" w:hAnsi="Garamond"/>
          <w:lang w:val="en-US"/>
        </w:rPr>
        <w:t>, der mit dem</w:t>
      </w:r>
      <w:r w:rsidRPr="009D1B8B">
        <w:rPr>
          <w:rFonts w:ascii="Garamond" w:hAnsi="Garamond" w:cs="Times-Roman"/>
          <w:lang w:val="en-US"/>
        </w:rPr>
        <w:t xml:space="preserve"> Tempeldienst </w:t>
      </w:r>
      <w:r w:rsidRPr="009D1B8B">
        <w:rPr>
          <w:rFonts w:ascii="Garamond" w:hAnsi="Garamond"/>
          <w:lang w:val="en-US"/>
        </w:rPr>
        <w:t>einer Gottheit in Verbindung stand,</w:t>
      </w:r>
      <w:r w:rsidRPr="009D1B8B">
        <w:rPr>
          <w:rFonts w:ascii="Garamond" w:hAnsi="Garamond" w:cs="Times-Roman"/>
          <w:lang w:val="en-US"/>
        </w:rPr>
        <w:t xml:space="preserve"> griechische</w:t>
      </w:r>
      <w:r w:rsidRPr="009D1B8B">
        <w:rPr>
          <w:rFonts w:ascii="Garamond" w:hAnsi="Garamond"/>
          <w:lang w:val="en-US"/>
        </w:rPr>
        <w:t>Herkunft glaubt er ihren Zügen abzusehen, und endlich drängt es ihn, sie ferne vom Getriebe einer Großstadt in das stillere</w:t>
      </w:r>
      <w:r w:rsidRPr="009D1B8B">
        <w:rPr>
          <w:rFonts w:ascii="Garamond" w:hAnsi="Garamond" w:cs="Times-Roman"/>
          <w:lang w:val="en-US"/>
        </w:rPr>
        <w:t xml:space="preserve"> Pompeji </w:t>
      </w:r>
      <w:r w:rsidRPr="009D1B8B">
        <w:rPr>
          <w:rFonts w:ascii="Garamond" w:hAnsi="Garamond"/>
          <w:lang w:val="en-US"/>
        </w:rPr>
        <w:t>zu versetzen, wo er sie über die Lavatrittsteine schreiten läßt, die den Übergang von einer Seite der Straße zur anderen ermöglichen. Willkürlich genug erscheinen diese Leistungen der Phantasie und doch wieder harmlos unverdächtig. Ja noch dann, als sich aus ihnen zum erstenmal ein Antrieb zum Handeln ergibt, als der Archäologe von dem Problem bedrückt, ob solche Fußstellung auch der Wirklichkeit entspreche, Beobachtungen nach dem Leben anzustellen beginnt, um den zeitgenössischen Frauen und Mädchen auf die Füße zu sehen, deckt sich dieses Tun durch ihm bewußte wissenschaftliche Motive, als wäre alles Interesse für das Steinbild der Gradiva aus dem Boden seiner fachlichen Beschäftigung mit der Archäologie entsprossen. Die Frauen und Mädchen auf der Straße, die er zu Objekten seiner Untersuchung nimmt, müssen freilich eine andere, grob erotische Auffassung seines Treibens wählen, und wir müssen ihnen recht geben. Für uns leidet es keinen Zweifel, daß Hanold die Motive seiner Forschung so wenig kennt wie die Herkunft seiner Phantasien über die Gradiva. Diese letzteren sind, wie wir später erfahren, Anklänge an seine Erinnerungen an die Jugendgeliebte, Abkömmlinge dieser Erinnerungen, Umwandlungen und Entstellungen derselben, nachdem es ihnen nicht gelungen ist, sich in unveränderter Form zum Bewußtsein zu bringen. Das vorgeblich ästhetische Urteil, das Steinbild stelle etwas »Heutiges« dar, ersetzt das Wissen, daß solcher Gang einem ihm bekannten, in der</w:t>
      </w:r>
      <w:r w:rsidRPr="009D1B8B">
        <w:rPr>
          <w:rFonts w:ascii="Garamond" w:hAnsi="Garamond" w:cs="Times-Roman"/>
          <w:lang w:val="en-US"/>
        </w:rPr>
        <w:t xml:space="preserve"> Gegenwart </w:t>
      </w:r>
      <w:r w:rsidRPr="009D1B8B">
        <w:rPr>
          <w:rFonts w:ascii="Garamond" w:hAnsi="Garamond"/>
          <w:lang w:val="en-US"/>
        </w:rPr>
        <w:t>über die Straße schreitenden Mädchen angehöre; hinter dem Eindruck »nach dem Leben« und der Phantasie ihres Griechentums verbirgt sich die Erinnerung an ihren Namen</w:t>
      </w:r>
      <w:r w:rsidRPr="009D1B8B">
        <w:rPr>
          <w:rFonts w:ascii="Garamond" w:hAnsi="Garamond" w:cs="Times-Roman"/>
          <w:lang w:val="en-US"/>
        </w:rPr>
        <w:t xml:space="preserve"> Zoë</w:t>
      </w:r>
      <w:r w:rsidRPr="009D1B8B">
        <w:rPr>
          <w:rFonts w:ascii="Garamond" w:hAnsi="Garamond"/>
          <w:lang w:val="en-US"/>
        </w:rPr>
        <w:t>, der auf Griechisch</w:t>
      </w:r>
      <w:r w:rsidRPr="009D1B8B">
        <w:rPr>
          <w:rFonts w:ascii="Garamond" w:hAnsi="Garamond" w:cs="Times-Roman"/>
          <w:lang w:val="en-US"/>
        </w:rPr>
        <w:t xml:space="preserve"> Leben </w:t>
      </w:r>
      <w:r w:rsidRPr="009D1B8B">
        <w:rPr>
          <w:rFonts w:ascii="Garamond" w:hAnsi="Garamond"/>
          <w:lang w:val="en-US"/>
        </w:rPr>
        <w:t>bedeutet; Gradiva ist, wie uns der am Ende vom Wahn Geheilte aufklärt, eine gute Übersetzung ihres Familiennamens</w:t>
      </w:r>
      <w:r w:rsidRPr="009D1B8B">
        <w:rPr>
          <w:rFonts w:ascii="Garamond" w:hAnsi="Garamond" w:cs="Times-Roman"/>
          <w:lang w:val="en-US"/>
        </w:rPr>
        <w:t xml:space="preserve"> Bertgang</w:t>
      </w:r>
      <w:r w:rsidRPr="009D1B8B">
        <w:rPr>
          <w:rFonts w:ascii="Garamond" w:hAnsi="Garamond"/>
          <w:lang w:val="en-US"/>
        </w:rPr>
        <w:t>, welcher so viel bedeutet wie »im Schreiten glänzend oder prächtig«; die Bestimmungen über ihren Vater stammen von der Kenntnis, daß Zoë Bertgang die Tochter eines angesehenen Lehrers der Universität sei, die sich wohl als Tempeldienst in die Antike übersetzen läßt. Nach Pompeji endlich versetzt sie seine Phantasie, nicht »weil ihre ruhige, stille Art es zu fordern schien«, sondern weil sich in seiner Wissenschaft keine andere und keine bessere Analogie mit dem merkwürdigen Zustand finden läßt, in dem er durch eine dunkle Kundschaft seine Erinnerungen an seine Kinderfreundschaft verspürt. Hat er einmal, was ihm so nahe liegt, die eigene Kindheit mit der klassischen Vergangenheit zur Deckung gebracht, so ergibt die Verschüttung Pompejis, dies Verschwinden mit Erhaltung des Vergangenen, eine treffliche Ähnlichkeit mit der</w:t>
      </w:r>
      <w:r w:rsidRPr="009D1B8B">
        <w:rPr>
          <w:rFonts w:ascii="Garamond" w:hAnsi="Garamond" w:cs="Times-Roman"/>
          <w:lang w:val="en-US"/>
        </w:rPr>
        <w:t xml:space="preserve"> Verdrängung</w:t>
      </w:r>
      <w:r w:rsidRPr="009D1B8B">
        <w:rPr>
          <w:rFonts w:ascii="Garamond" w:hAnsi="Garamond"/>
          <w:lang w:val="en-US"/>
        </w:rPr>
        <w:t>, von der er durch sozusagen »endopsychische« Wahrnehmung Kenntnis hat. Es arbeitet dabei in ihm dieselbe Symbolik, die zum Schlusse der Erzählung der Dichter das Mädchen bewußterweise gebrauchen läßt.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lastRenderedPageBreak/>
        <w:t>»Ich sagte mir, irgend etwas Interessantes würde ich wohl schon allein hier ausgraben. Freilich auf den Fund, den ich gemacht, ..... hatte ich mit keinem Gedanken gerechnet.« (G. p. 124.) -- Zu Ende (G. p. 150) antwortet dann das Mädchen auf den Reisezielwunsch »ihres gewissermaßen gleichfalls aus der Verschüttung wieder ausgegrabenen Kindheitsfreundes«.</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So finden wir also schon bei den ersten Leistungen von Hanolds Wahnphantasien und Handlungen eine zweifache Determinierung, eine Ableitbarkeit aus zwei verschiedenen Quellen. Die eine Determinierung ist die, welche Hanold selbst erscheint, die andere die, welche sich uns bei der Nachprüfung seiner seelischen Vorgänge enthüllt. </w:t>
      </w:r>
      <w:r w:rsidRPr="009D1B8B">
        <w:rPr>
          <w:rFonts w:ascii="Garamond" w:hAnsi="Garamond"/>
        </w:rPr>
        <w:t xml:space="preserve">Die eine ist, auf die Person Hanolds bezogen, die ihm bewußte, die andere, die ihm völlig unbewußte. </w:t>
      </w:r>
      <w:r w:rsidRPr="009D1B8B">
        <w:rPr>
          <w:rFonts w:ascii="Garamond" w:hAnsi="Garamond"/>
          <w:lang w:val="en-US"/>
        </w:rPr>
        <w:t>Die eine stammt ganz aus dem Vorstellungskreis der archäologischen Wissenschaft, die andere aber rührt von dem in ihm rege gewordenen verdrängten Kindheitserinnerungen und den an ihnen haftenden Gefühlstrieben her. Die eine ist wie oberflächlich und verdeckt die andere, die sich gleichsam hinter ihr verbirgt. Man könnte sagen, die wissenschaftliche Motivierung diene der unbewußten erotischen zum Vorwand, und die Wissenschaft habe sich ganz in den Dienst des Wahnes gestellt. Aber man darf auch nicht vergessen, daß die unbewußte Determinierung nichts anderes durchzusetzen vermag, als was gleichzeitig der bewußten wissenschaftlichen genügt. Die Symptome des Wahnes -- Phantasien wie Handlungen -- sind eben Ergebnisse eines Kompromisses zwischen den beiden seelischen Strömungen, und bei einem Kompromiß ist den Anforderungen eines jeden der beiden Teile Rechnung getragen worden; ein jeder Teil hat aber auch auf ein Stück dessen, was er durchsetzen wollte, verzichten müssen. Wo ein Kompromiß zu stande gekommen, da gab es einen Kampf, hier den von uns angenommenen Konflikt zwischen der unterdrückten Erotik und den sie in der Verdrängung erhaltenden Mächten. Bei der Bildung eines Wahnes geht dieser Kampf eigentlich nie zu Ende. Ansturm und Widerstand erneuern sich nach jeder Kompromißbildung, die sozusagen niemals voll genügt. Dies weiß auch unser Dichter und darum läßt er ein Gefühl der Unbefriedigung, eine eigentümliche Unruhe dieses Stadium der Störung bei seinem Helden beherrschen, als Vorläufer und als Bürgschaft weiterer Entwicklungen.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Diese bedeutsamen Eigentümlichkeiten der zweifachen Determinierung für Phantasien und Entschlüsse, der Bildung von bewußten Vorwänden für Handlungen, zu deren Motivierung das Verdrängte den größeren Beitrag geliefert hat, werden uns im weiteren Fortschritt der Erzählung noch öfters, vielleicht noch deutlicher, entgegentreten. Und dies mit vollem Rechte, denn der Dichter hat hiemit den niemals fehlenden Hauptcharakter der krankhaften Seelenvorgänge erfaßt und zur Darstellung gebracht.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Die Entwicklung des Wahnes bei</w:t>
      </w:r>
      <w:r w:rsidRPr="009D1B8B">
        <w:rPr>
          <w:rFonts w:ascii="Garamond" w:hAnsi="Garamond" w:cs="Times-Roman"/>
          <w:lang w:val="en-US"/>
        </w:rPr>
        <w:t xml:space="preserve"> Norbert Hanold </w:t>
      </w:r>
      <w:r w:rsidRPr="009D1B8B">
        <w:rPr>
          <w:rFonts w:ascii="Garamond" w:hAnsi="Garamond"/>
          <w:lang w:val="en-US"/>
        </w:rPr>
        <w:t>schreitet mit einem Traume weiter, der, durch kein neues Ereignis veranlaßt, ganz aus seinem von einem Konflikt erfüllten Seelenleben zu rühren scheint. Doch halten wir ein, ehe wir daran gehen zu prüfen, ob der Dichter auch bei der Bildung seiner Träume unserer Erwartung eines tieferen Verständnisses entspricht. Fragen wir uns vorher, was die psychiatrische Wissenschaft zu seinen Voraussetzungen über die Entstehung eines Wahnes sagt, wie sie sich zur Rolle der Verdrängung und des Unbewußten, zum Konflikt und zur Kompromißbildung stellt. Im kurzen, ob die dichterische Darstellung der Genese eines Wahnes vor dem Richtspruch der Wissenschaft bestehen kann.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Und da müssen wir die vielleicht unerwartete Antwort geben, daß es sich in Wirklichkeit leider ganz umgekehrt verhält: die Wissenschaft besteht nicht vor der Leistung des Dichters. Zwischen den hereditär-konstitutionellen Vorbedingungen und den als fertig erscheinenden Schöpfungen des Wahnes läßt sie eine Lücke klaffen, die wir beim Dichter ausgefüllt finden. Sie ahnt noch nicht die Bedeutung der Verdrängung, erkennt nicht, daß sie zur Erklärung der Welt psychopathologischer Erscheinungen durchaus des Unbewußten bedarf, sie sucht den Grund des Wahnes nicht in einem psychischen Konflikt und erfaßt die Symptome desselben nicht als Kompromißbildung. So stünde denn der Dichter allein gegen die gesamte Wissenschaft? Nein, dies nicht, -- wenn der Verfasser nämlich seine eigenen Arbeiten auch der Wissenschaft zurechnen darf. Denn er selbst vertritt seit einer Reihe von Jahren -- und bis in die letzte Zeit ziemlich vereinsamt(3) -- alle die Anschauungen, die er hier aus der »Gradiva« von</w:t>
      </w:r>
      <w:r w:rsidRPr="009D1B8B">
        <w:rPr>
          <w:rFonts w:ascii="Garamond" w:hAnsi="Garamond" w:cs="Times-Roman"/>
          <w:lang w:val="en-US"/>
        </w:rPr>
        <w:t xml:space="preserve"> W. Jensen </w:t>
      </w:r>
      <w:r w:rsidRPr="009D1B8B">
        <w:rPr>
          <w:rFonts w:ascii="Garamond" w:hAnsi="Garamond"/>
          <w:lang w:val="en-US"/>
        </w:rPr>
        <w:t xml:space="preserve">herausgeholt und in den Fachausdrücken dargestellt hat. Er hat, am ausführlichsten für die als Hysterie und Zwangsvorstellen bekannten Zustände, als individuelle Bedingung der psychischen Störung die Unterdrückung eines Stückes des Trieblebens und die Verdrängung der Vorstellungen, durch die der unterdrückte Trieb vertreten ist, aufgezeigt, und die gleiche Auffassung bald darauf für manche Formen des Wahnes wiederholt.(4) Ob die für diese Verursachung in Betracht kommenden Triebe jedesmal Komponenten des Sexualtriebes sind oder auch andersartige sein können, das ist ein Problem, welches nur gerade für die Analyse der »Gradiva« gleichgültig bleiben darf, da es sich in dem vom Dichter gewählten Falle sicherlich um nichts als um die Unterdrückung des erotischen Empfindens handelt. Die </w:t>
      </w:r>
      <w:r w:rsidRPr="009D1B8B">
        <w:rPr>
          <w:rFonts w:ascii="Garamond" w:hAnsi="Garamond"/>
          <w:lang w:val="en-US"/>
        </w:rPr>
        <w:lastRenderedPageBreak/>
        <w:t>Gesichtspunkte des psychischen Konflikts und der Symptombildung durch Kompromisse zwischen den beiden miteinander ringenden Seelenströmungen hat der Verfasser an wirklich beobachteten und ärztlich behandelten Krankheitsfällen in ganz gleicher Weise zur Geltung gebracht, wie er es an den vom Dichter erfundenen Norbert Hanold tun konnte.(5) Die Rückführung der nervösen, speziell der hysterischen Krankheitsleistungen auf die Macht unbewußter Gedanken hatte vor dem Verfasser schon</w:t>
      </w:r>
      <w:r w:rsidRPr="009D1B8B">
        <w:rPr>
          <w:rFonts w:ascii="Garamond" w:hAnsi="Garamond" w:cs="Times-Roman"/>
          <w:lang w:val="en-US"/>
        </w:rPr>
        <w:t xml:space="preserve"> P. Janet</w:t>
      </w:r>
      <w:r w:rsidRPr="009D1B8B">
        <w:rPr>
          <w:rFonts w:ascii="Garamond" w:hAnsi="Garamond"/>
          <w:lang w:val="en-US"/>
        </w:rPr>
        <w:t>, der Schüler des großen</w:t>
      </w:r>
      <w:r w:rsidRPr="009D1B8B">
        <w:rPr>
          <w:rFonts w:ascii="Garamond" w:hAnsi="Garamond" w:cs="Times-Roman"/>
          <w:lang w:val="en-US"/>
        </w:rPr>
        <w:t xml:space="preserve"> Charcot</w:t>
      </w:r>
      <w:r w:rsidRPr="009D1B8B">
        <w:rPr>
          <w:rFonts w:ascii="Garamond" w:hAnsi="Garamond"/>
          <w:lang w:val="en-US"/>
        </w:rPr>
        <w:t>, und im Vereine mit dem Verfasser</w:t>
      </w:r>
      <w:r w:rsidRPr="009D1B8B">
        <w:rPr>
          <w:rFonts w:ascii="Garamond" w:hAnsi="Garamond" w:cs="Times-Roman"/>
          <w:lang w:val="en-US"/>
        </w:rPr>
        <w:t xml:space="preserve"> Josef Breuer </w:t>
      </w:r>
      <w:r w:rsidRPr="009D1B8B">
        <w:rPr>
          <w:rFonts w:ascii="Garamond" w:hAnsi="Garamond"/>
          <w:lang w:val="en-US"/>
        </w:rPr>
        <w:t>in Wien unternommen.(6)</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(3) Siehe die wichtige Schrift von</w:t>
      </w:r>
      <w:r w:rsidRPr="009D1B8B">
        <w:rPr>
          <w:rFonts w:ascii="Garamond" w:hAnsi="Garamond" w:cs="Times-Roman"/>
          <w:lang w:val="en-US"/>
        </w:rPr>
        <w:t xml:space="preserve"> E. Bleuler</w:t>
      </w:r>
      <w:r w:rsidRPr="009D1B8B">
        <w:rPr>
          <w:rFonts w:ascii="Garamond" w:hAnsi="Garamond"/>
          <w:lang w:val="en-US"/>
        </w:rPr>
        <w:t>, Affektivität, Suggestibilität, Paranoia und die Diagnostischen Assoziationsstudien von</w:t>
      </w:r>
      <w:r w:rsidRPr="009D1B8B">
        <w:rPr>
          <w:rFonts w:ascii="Garamond" w:hAnsi="Garamond" w:cs="Times-Roman"/>
          <w:lang w:val="en-US"/>
        </w:rPr>
        <w:t xml:space="preserve"> C. G. Jung</w:t>
      </w:r>
      <w:r w:rsidRPr="009D1B8B">
        <w:rPr>
          <w:rFonts w:ascii="Garamond" w:hAnsi="Garamond"/>
          <w:lang w:val="en-US"/>
        </w:rPr>
        <w:t>, beide aus Zürich, 1906.</w:t>
      </w:r>
    </w:p>
    <w:p w:rsidR="00CF585F" w:rsidRPr="009D1B8B" w:rsidRDefault="00CF585F" w:rsidP="00CF585F">
      <w:pPr>
        <w:pStyle w:val="Sansinterligne"/>
        <w:rPr>
          <w:rFonts w:ascii="Garamond" w:hAnsi="Garamond" w:cs="Times-Roman"/>
        </w:rPr>
      </w:pPr>
      <w:r w:rsidRPr="009D1B8B">
        <w:rPr>
          <w:rFonts w:ascii="Garamond" w:hAnsi="Garamond"/>
        </w:rPr>
        <w:t>(4) Vgl. des Verfassers: Sammlung kleiner Schriften zur Neurosenlehre 1906.</w:t>
      </w:r>
    </w:p>
    <w:p w:rsidR="00CF585F" w:rsidRPr="009D1B8B" w:rsidRDefault="00CF585F" w:rsidP="00CF585F">
      <w:pPr>
        <w:pStyle w:val="Sansinterligne"/>
        <w:rPr>
          <w:rFonts w:ascii="Garamond" w:hAnsi="Garamond" w:cs="Times-Roman"/>
        </w:rPr>
      </w:pPr>
      <w:r w:rsidRPr="009D1B8B">
        <w:rPr>
          <w:rFonts w:ascii="Garamond" w:hAnsi="Garamond"/>
        </w:rPr>
        <w:t>(5) Vgl. Bruchstück einer Hysterie-Analyse 1905.</w:t>
      </w:r>
    </w:p>
    <w:p w:rsidR="00CF585F" w:rsidRPr="009D1B8B" w:rsidRDefault="00CF585F" w:rsidP="00CF585F">
      <w:pPr>
        <w:pStyle w:val="Sansinterligne"/>
        <w:rPr>
          <w:rFonts w:ascii="Garamond" w:hAnsi="Garamond" w:cs="Times-Roman"/>
        </w:rPr>
      </w:pPr>
      <w:r w:rsidRPr="009D1B8B">
        <w:rPr>
          <w:rFonts w:ascii="Garamond" w:hAnsi="Garamond"/>
        </w:rPr>
        <w:t>(6) Vgl. Breuer u. Freud, Studien über Hysterie, 1895.</w:t>
      </w:r>
    </w:p>
    <w:p w:rsidR="00CF585F" w:rsidRPr="009D1B8B" w:rsidRDefault="00CF585F" w:rsidP="00CF585F">
      <w:pPr>
        <w:pStyle w:val="Sansinterligne"/>
        <w:rPr>
          <w:rFonts w:ascii="Garamond" w:hAnsi="Garamond" w:cs="Times-Roman"/>
          <w:lang w:val="en-US"/>
        </w:rPr>
      </w:pPr>
      <w:r w:rsidRPr="009D1B8B">
        <w:rPr>
          <w:rFonts w:ascii="Garamond" w:hAnsi="Garamond"/>
        </w:rPr>
        <w:t xml:space="preserve">Es war dem Verfasser, als er sich in den auf 1893 folgenden Jahren in solche Forschungen über die Entstehung der Seelenstörungen vertiefte, wahrlich nicht eingefallen, Bekräftigung seiner Ergebnisse bei Dichtern zu suchen, und darum war seine Überraschung nicht gering, als er an der 1903 veröffentlichten »Gradiva« merkte, daß der Dichter seiner Schöpfung das nämliche zu Grunde lege, was er aus den Quellen ärztlicher Erfahrung als neu zu schöpfen vermeinte. </w:t>
      </w:r>
      <w:r w:rsidRPr="009D1B8B">
        <w:rPr>
          <w:rFonts w:ascii="Garamond" w:hAnsi="Garamond"/>
          <w:lang w:val="en-US"/>
        </w:rPr>
        <w:t>Wie kam der Dichter nur zu dem gleichen Wissen wie der Arzt, oder wenigstens zum Benehmen, als ob er das gleiche wisse? --</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Der Wahn Norbert Hanolds, sagten wir, erfahre eine weitere Entwicklung durch einen Traum, der sich ihm mitten in seinen Bemühungen ereignet, eine Gangart wie die der Gradiva in den Straßen seines Heimatsortes nachzuweisen. Den Inhalt dieses Traumes können wir leicht in Kürze darstellen. Der Träumer befindet sich in Pompeji an jenem Tage, welcher der unglücklichen Stadt den Untergang brachte, macht die Schrecknisse mit, ohne selbst in Gefahr zu geraten, sieht dort plötzlich die Gradiva schreiten und versteht mit einem Male als ganz natürlich, da sie ja eine Pompejanerin sei, lebe sie in ihrer Vaterstadt und, »ohne daß er's geahnt habe, gleichzeitig mit ihm«. Er wird von Angst um sie ergriffen, ruft sie an, worauf sie ihm flüchtig ihr Gesicht zuwendet. Doch geht sie, ohne auf ihn zu achten, weiter, legt sich an den Stufen des Apollotempels nieder, und wird vom Aschenregen verschüttet, nachdem ihr Gesicht sich entfärbt, wie wenn es sich zu weißem Marmor umwandelte, bis es völlig einem Steinbild gleicht. Beim Erwachen deutet er noch den Lärm der Großstadt, der an sein Bett dringt, in das Hilfegeschrei der verzweifelten Bewohner Pompejis und in das Getöse des wild erregten Meeres um. Das Gefühl, daß das, was er geträumt, sich wirklich mit ihm zugetragen, will ihm noch längere Zeit nach dem Erwachen nicht verlassen, und die Überzeugung, daß die Gradiva in Pompeji gelebt und an jenem Unglückstage gestorben sei, bleibt als neuer Ansatz an seinen Wahn von diesem Traume übrig.</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Weniger bequem wird es uns zu sagen, was der Dichter mit diesem Traum gewollt, und was ihn veranlaßt hat, die Entwicklung des Wahnes gerade an einen Traum zu knüpfen. Emsige Traumforscher haben zwar Beispiele genug gesammelt, wie Geistesstörung an Träume anknüpft und aus Träumen hervorgeht,(7) und auch in der Lebensgeschichte einzelner hervorragender Menschen sollen Impulse zu wichtigen Taten und Entschließungen durch Träume erzeugt worden sein. Aber unser Verständnis gewinnt gerade nicht viel durch diese Analogien; bleiben wir darum bei unserem Falle, bei dem vom Dichter fingierten Falle des Archäologen Norbert Hanold. An welchem Ende muß man einen solchen Traum wohl anfassen, um ihn in den Zusammenhang einzuflechten, wenn er nicht ein unnötiger Zierat der Darstellung bleiben soll?</w:t>
      </w:r>
    </w:p>
    <w:p w:rsidR="00CF585F" w:rsidRPr="009D1B8B" w:rsidRDefault="00CF585F" w:rsidP="00CF585F">
      <w:pPr>
        <w:pStyle w:val="Sansinterligne"/>
        <w:rPr>
          <w:rFonts w:ascii="Garamond" w:hAnsi="Garamond" w:cs="Times-Roman"/>
        </w:rPr>
      </w:pPr>
      <w:r w:rsidRPr="009D1B8B">
        <w:rPr>
          <w:rFonts w:ascii="Garamond" w:hAnsi="Garamond"/>
        </w:rPr>
        <w:t>(7)</w:t>
      </w:r>
      <w:r w:rsidRPr="009D1B8B">
        <w:rPr>
          <w:rFonts w:ascii="Garamond" w:hAnsi="Garamond" w:cs="Times-Roman"/>
        </w:rPr>
        <w:t xml:space="preserve"> Sante de Sanctis</w:t>
      </w:r>
      <w:r w:rsidRPr="009D1B8B">
        <w:rPr>
          <w:rFonts w:ascii="Garamond" w:hAnsi="Garamond"/>
        </w:rPr>
        <w:t>, Die Träume, 1901.</w:t>
      </w:r>
    </w:p>
    <w:p w:rsidR="00CF585F" w:rsidRPr="009D1B8B" w:rsidRDefault="00CF585F" w:rsidP="00CF585F">
      <w:pPr>
        <w:pStyle w:val="Sansinterligne"/>
        <w:rPr>
          <w:rFonts w:ascii="Garamond" w:hAnsi="Garamond" w:cs="Times-Roman"/>
          <w:lang w:val="en-US"/>
        </w:rPr>
      </w:pPr>
      <w:r w:rsidRPr="009D1B8B">
        <w:rPr>
          <w:rFonts w:ascii="Garamond" w:hAnsi="Garamond"/>
        </w:rPr>
        <w:t xml:space="preserve">Ich kann mir etwa denken, daß ein Leser an dieser Stelle ausruft: Der Traum ist ja leicht zu erklären. Ein einfacher Angsttraum, veranlaßt durch den Lärm der Großstadt, der von dem mit seiner Pompejanerin beschäftigten Archäologen auf den Untergang Pompejis umgedeutet wird! Bei der allgemein herrschenden Geringschätzung für die Leistungen des Traumes pflegt man nämlich den Anspruch auf die Traumerklärung dahin einzuschränken, daß man für ein Stück des geträumten Inhaltes einen äußeren Reiz sucht, der sich etwa mit ihm deckt. </w:t>
      </w:r>
      <w:r w:rsidRPr="009D1B8B">
        <w:rPr>
          <w:rFonts w:ascii="Garamond" w:hAnsi="Garamond"/>
          <w:lang w:val="en-US"/>
        </w:rPr>
        <w:t>Dieser äußere Anreiz zum Träumen wäre durch den Lärm gegeben, welcher den Schläfer weckt; das Interesse an diesem Traume wäre damit erledigt. Wenn wir nur einen Grund hätten anzunehmen, daß die Großstadt an diesem Morgen lärmender gewesen als sonst, wenn z. B. der Dichter nicht versäumt hätte, uns mitzuteilen, daß Hanold diese Nacht gegen seine Gewohnheit bei geöffnetem Fenster geschlafen. Schade, daß der Dichter sich diese Mühe nicht gegeben hat! Und wenn ein Angsttraum nur etwas so Einfaches wäre! Nein, so einfach erledigt sich dies Interesse nicht.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Die Anknüpfung an einen äußeren Sinnesreiz ist nichts Wesentliches für die Traumbildung. Der Schläfer kann diesen Reiz aus der Außenwelt vernachlässigen, er kann sich durch ihn, ohne einen Traum zu bilden, wecken lassen, er kann ihn auch in seinen Traum verweben, wie es hier geschieht, wenn es ihm aus irgend welchen anderen Motiven so taugt, und es gibt reichlich Träume, für deren Inhalt sich eine solche </w:t>
      </w:r>
      <w:r w:rsidRPr="009D1B8B">
        <w:rPr>
          <w:rFonts w:ascii="Garamond" w:hAnsi="Garamond"/>
          <w:lang w:val="en-US"/>
        </w:rPr>
        <w:lastRenderedPageBreak/>
        <w:t>Determinierung durch einen an die Sinne des Schlafenden gelangenden Reiz nicht erweisen läßt. Nein, versuchen wir's auf einem anderen Wege.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Vielleicht knüpfen wir an den Rückstand an, den der Traum im wachen Leben Hanolds zurückläßt. Es war bisher eine Phantasie von ihm gewesen, daß die Gradiva eine Pompejanerin gewesen sei. Jetzt wird ihm diese Annahme zur Gewißheit, und die zweite Gewißheit schließt sich daran, daß sie dort im Jahre 79 mit verschüttet worden sei.(8) Wehmütige Empfindungen begleiten diesen Fortschritt der Wahnbildung, wie ein Nachklang der Angst, die den Traum erfüllt hatte. Dieser neue Schmerz um die Gradiva will uns nicht recht begreiflich erscheinen; die Gradiva wäre doch heute auch seit vielen Jahrhunderten tot, selbst wenn sie im Jahre 79 ihr Leben vor dem Untergange gerettet hätte, oder sollte man in solcher Weise weder mit Norbert Hanold noch mit dem Dichter selbst rechten dürfen? Auch hier scheint kein Weg zur Aufklärung zu führen. Immerhin wollen wir uns anmerken, daß dem Zuwachs, den der Wahn aus diesem Traum bezieht, eine stark schmerzliche Gefühlsbetonung anhaftet.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(8) Vgl. den Text der »Gradiva« p. 15.</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Sonst aber wird an unserer Ratlosigkeit nichts gebessert. Dieser Traum erläutert sich nicht von selbst; wir müssen uns entschließen, Anleihen bei der »Traumdeutung« des Verfassers zu machen und einige der dort gegebenen Regeln zur Auflösung der Träume hier anzuwenden.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Da lautet eine dieser Regeln, daß ein Traum regelmäßig mit den Tätigkeiten am Tage vor dem Traum zusammenhängt. Der Dichter scheint andeuten zu wollen, daß er diese Regel befolgt habe, indem er den Traum unmittelbar an die »pedestrischen Prüfungen« Hanolds anknüpft. Nun bedeuten letztere nichts anderes als ein Suchen nach der Gradiva, die er an ihrem charakteristischen Gange erkennen will. Der Traum sollte also einen Hinweis darauf, wo die Gradiva zu finden sei, enthalten. Er enthält ihn wirklich, indem er sie in Pompeji zeigt, aber das ist noch keine Neuigkeit für uns.</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Eine andere Regel besagt: wenn nach einem Traum der Glaube an die Realität der Traumbilder ungewöhnlich lange anhält, so daß man sich nicht aus dem Traume losreißen kann, so ist dies nicht etwa eine Urteilstäuschung, hervorgerufen durch die Lebhaftigkeit der Traumbilder, sondern es ist ein psychischer Akt für sich, eine Versicherung, die sich auf den Trauminhalt bezieht, daß etwas darin wirklich so ist, wie man es geträumt hat, und man tut recht daran, dieser Versicherung Glauben zu schenken. Halten wir uns an diese beiden Regeln, so müssen wir schließen, der Traum gebe eine Auskunft über den Verbleib der gesuchten Gradiva, die sich mit der Wirklichkeit deckt. Wir kennen nun den Traum Hanolds; führt die Anwendung der beiden Regeln auf ihn zu irgend einem vernünftigen Sinne?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Merkwürdigerweise ja. Dieser Sinn ist nur auf eine besondere Art verkleidet, so daß man ihn nicht sogleich erkennt. Hanold erfährt im Traume, daß die Gesuchte in einer Stadt und gleichzeitig mit ihm lebe. Das ist ja von der Zoë Bertgang richtig, nur daß diese Stadt im Traum nicht die deutsche Universitätsstadt, sondern Pompeji, die Zeit nicht die Gegenwart, sondern das Jahr 79 unserer Zeitrechnung ist. Es ist wie eine Entstellung durch Verschiebung, nicht die Gradiva ist in die Gegenwart, sondern der Träumer ist in die Vergangenheit versetzt; aber das Wesentliche und Neue,</w:t>
      </w:r>
      <w:r w:rsidRPr="009D1B8B">
        <w:rPr>
          <w:rFonts w:ascii="Garamond" w:hAnsi="Garamond" w:cs="Times-Roman"/>
          <w:lang w:val="en-US"/>
        </w:rPr>
        <w:t xml:space="preserve"> daß er mit der Gesuchten Ort und Zeit teile</w:t>
      </w:r>
      <w:r w:rsidRPr="009D1B8B">
        <w:rPr>
          <w:rFonts w:ascii="Garamond" w:hAnsi="Garamond"/>
          <w:lang w:val="en-US"/>
        </w:rPr>
        <w:t>, ist auch so gesagt. Woher wohl diese Verstellung und Verkleidung, die uns sowie den Träumer selbst über den eigentlichen Sinn und Inhalt des Traumes täuschen muß? Nun wir haben bereits die Mittel in der Hand, um eine befriedigende Antwort auf diese Frage zu geben.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Erinnern wir uns an all das, was wir über die Natur und Abkunft der Phantasien, dieser Vorläufer des Wahnes, gehört haben. Daß sie Ersatz und Abkömmlinge von verdrängten Erinnerungen sind, denen ein Widerstand nicht gestattet, sich unverändert zum Bewußtsein zu bringen, die sich aber das Bewußtwerden dadurch erkaufen, daß sie durch Veränderungen und Entstellungen der Zensur des Widerstandes Rechnung tragen. Nachdem dieses Kompromiß vollzogen ist, sind jene Erinnerungen nun zu diesen Phantasien geworden, die von der bewußten Person leicht mißverstanden, d. h. im Sinne der herrschenden psychischen Strömung verstanden werden können. Nun stelle man sich vor, die Traumbilder seien die sozusagen physiologischen Wahnschöpfungen des Menschen, die Kompromißergebnisse jenes Kampfes zwischen Verdrängtem und Herrschendem, den es wahrscheinlich bei jedem, auch tagsüber völlig geistesgesunden Menschen gibt. Dann versteht man, daß man die Traumbilder als etwas Entstelltes zu betrachten hat, hinter dem etwas anderes, nicht Entstelltes, aber in gewissem Sinne Anstößiges zu suchen ist, wie die verdrängten Erinnerungen Hanolds hinter seinen Phantasien. Dem so erkannten Gegensatz wird man etwa Ausdruck schaffen, indem man das, was der Träumer beim Erwachen erinnert, als</w:t>
      </w:r>
      <w:r w:rsidRPr="009D1B8B">
        <w:rPr>
          <w:rFonts w:ascii="Garamond" w:hAnsi="Garamond" w:cs="Times-Roman"/>
          <w:lang w:val="en-US"/>
        </w:rPr>
        <w:t xml:space="preserve"> manifesten Trauminhalt</w:t>
      </w:r>
      <w:r w:rsidRPr="009D1B8B">
        <w:rPr>
          <w:rFonts w:ascii="Garamond" w:hAnsi="Garamond"/>
          <w:lang w:val="en-US"/>
        </w:rPr>
        <w:t>unterscheidet von dem, was die Grundlage des Traumes vor der Zensurentstellung ausmachte, den</w:t>
      </w:r>
      <w:r w:rsidRPr="009D1B8B">
        <w:rPr>
          <w:rFonts w:ascii="Garamond" w:hAnsi="Garamond" w:cs="Times-Roman"/>
          <w:lang w:val="en-US"/>
        </w:rPr>
        <w:t xml:space="preserve"> latenten Traumgedanken</w:t>
      </w:r>
      <w:r w:rsidRPr="009D1B8B">
        <w:rPr>
          <w:rFonts w:ascii="Garamond" w:hAnsi="Garamond"/>
          <w:lang w:val="en-US"/>
        </w:rPr>
        <w:t xml:space="preserve">. Einen Traum deuten heißt dann so viel als den manifesten Trauminhalt in die latenten Traumgedanken übersetzen, die Entstellung rückgängig machen, welche sich letztere von der Widerstandszensur gefallen lassen mußten. Wenden wir diese </w:t>
      </w:r>
      <w:r w:rsidRPr="009D1B8B">
        <w:rPr>
          <w:rFonts w:ascii="Garamond" w:hAnsi="Garamond"/>
          <w:lang w:val="en-US"/>
        </w:rPr>
        <w:lastRenderedPageBreak/>
        <w:t>Erwägungen auf den uns beschäftigenden Traum an, so finden wir, die latenten Traumgedanken können nur gelautet haben: Das Mädchen, das jenen schönen Gang hat, nach dem du suchst, lebt wirklich in dieser Stadt mit dir. Aber in dieser Form konnte der Gedanke nicht bewußt werden; es stand ihm ja im Wege, daß eine Phantasie als Ergebnis eines früheren Kompromisses festgestellt hatte, die Gradiva sei eine Pompejanerin, folglich blieb nichts übrig, wenn die wirkliche Tatsache des Lebens am gleichen Orte und zur gleichen Zeit gewahrt werden sollte, als die Entstellung vorzunehmen: du lebst ja in Pompeji zur Zeit der Gradiva, und dies ist dann die Idee, welche der manifeste Trauminhalt realisiert, als eine Gegenwart, die man durchlebt, darstellt.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Ein Traum ist nur selten die Darstellung, man könnte sagen: Inszenierung eines einzigen Gedankens, meist einer Reihe von solchen, eines Gedankengewebes. Aus dem Traume Hanolds läßt sich noch ein anderer Bestandteil des Inhaltes hervorheben, dessen Entstellung leicht zu beseitigen ist, so daß man die durch ihn vertretene latente Idee erfährt. Es ist dies ein Stück des Traumes, auf welches man auch noch die Versicherung der Wirklichkeit ausdehnen kann, mit welcher der Traum abschloß. Im Traum verwandelt sich nämlich die schreitende Gradiva in ein Steinbild. Das ist ja nichts anderes als eine sinnreiche und poetische Darstellung des wirklichen Herganges. Hanold hatte in der Tat sein Interesse von der Lebenden auf das Steinbild übertragen; die Geliebte hatte sich ihm in ein steinernes Relief verwandelt. Die latenten Traumgedanken, die unbewußt bleiben müssen, wollen dies Bild in die Lebende zurückverwandeln; sie sagen ihm etwa im Zusammenhalt mit dem vorigen: Du interessierst dich doch nur für das Relief der Gradiva, weil es dich an die gegenwärtige, hier lebende Zoë erinnert. Aber diese Einsicht würde, wenn sie bewußt werden könnte, das Ende des Wahnes bedeuten.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Obliegt uns etwa die Verpflichtung, jedes einzelne Stück des manifesten Trauminhaltes in solcher Weise durch unbewußte Gedanken zu ersetzen? Strenggenommen, ja; bei der Deutung eines wirklich geträumten Traumes würden wir uns dieser Pflicht nicht entziehen dürfen. Der Träumer müßte uns dann auch in ausgiebigster Weise Rede stehen. Es ist begreiflich, daß wir solche Forderung bei dem Geschöpf des Dichters nicht durchführen können; wir wollen aber doch nicht übersehen, daß wir den Hauptinhalt dieses Traumes noch nicht der Deutungs- oder Übersetzungsarbeit unterzogen haben.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Der Traum</w:t>
      </w:r>
      <w:r w:rsidRPr="009D1B8B">
        <w:rPr>
          <w:rFonts w:ascii="Garamond" w:hAnsi="Garamond" w:cs="Times-Roman"/>
          <w:lang w:val="en-US"/>
        </w:rPr>
        <w:t xml:space="preserve"> Hanolds </w:t>
      </w:r>
      <w:r w:rsidRPr="009D1B8B">
        <w:rPr>
          <w:rFonts w:ascii="Garamond" w:hAnsi="Garamond"/>
          <w:lang w:val="en-US"/>
        </w:rPr>
        <w:t>ist ja ein Angsttraum. Sein Inhalt ist schreckhaft, Angst wird vom Träumer im Schlafe verspürt und schmerzliche Empfindungen bleiben nach ihm übrig. Das ist nun gar nicht bequem für unseren Erklärungsversuch; wir sind wiederum zu großen Anleihen bei der Lehre von der Traumdeutung genötigt. Diese mahnt uns dann, doch ja nicht in den Irrtum zu verfallen, die Angst, die man in einem Traum empfindet, von dem Inhalt des Traumes abzuleiten, den Trauminhalt doch nicht so zu behandeln wie einen Vorstellungsinhalt des wachen Lebens. Sie macht uns darauf aufmerksam, wie oft wir die gräßlichsten Dinge träumen, ohne daß eine Spur von Angst dabei empfunden wird. Vielmehr sei der wahre Sachverhalt ein ganz anderer, der nicht leicht zu erraten, aber sicher zu beweisen ist. Die Angst des Angsttraumes entspreche einem sexuellen Affekt, einer libidinösen Empfindung, wie überhaupt jede nervöse Angst, und sei durch den Prozeß der Verdrängung aus der Libido hervorgegangen.(9) Bei der Deutung des Traumes müsse man also die Angst durch sexuelle Erregtheit ersetzen. Die so entstandene Angst übe nun -- nicht regelmäßig, aber häufig -- einen auswählenden Einfluß auf den Trauminhalt aus und bringe Vorstellungselemente in den Traum, welche für die bewußte und mißverständliche Auffassung des Traumes zum Angstaffekt passend erscheinen. Dies sei, wie gesagt, keineswegs regelmäßig der Fall, denn es gebe genug Angstträume, in denen der Inhalt gar nicht schreckhaft ist, wo man sich also die verspürte Angst nicht bewußterweise erklären könne.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(9) Vgl. Sammlung kl. Schriften zur Neurosenlehre, V., und Traumdeutung p. 344.</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Ich weiß, daß diese Aufklärung der Angst im Traume sehr befremdlich klingt und nicht leicht Glauben findet; aber ich kann nur raten, sich mit ihr zu befreunden. Es wäre übrigens recht merkwürdig, wenn der Traum Norbert Hanolds sich mit dieser Auffassung der Angst vereinen und aus ihr erklären ließe. Wir würden dann sagen, beim Träumer rühre sich nächtlicherweise die Liebessehnsucht, mache einen kräftigen Vorstoß, um ihm die Erinnerung an die Geliebte bewußt zu machen und ihn so aus dem Wahn zu reißen, erfahre aber neuerliche Ablehnung und Verwandlung in Angst, die nun ihrerseits die schreckhaften Bilder aus der Schulerinnerung des Träumers in den Trauminhalt bringe. Auf diese Weise werde der eigentliche unbewußte Inhalt des Traumes, die verliebte Sehnsucht nach der einst gekannten Zoë, in den manifesten Inhalt vom Untergang Pompejis und vom Verlust der Gradiva umgestaltet.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Ich meine, das klingt so weit ganz plausibel. Man könnte aber mit Recht die Forderung aufstellen, wenn erotische Wünsche den unentstellten Inhalt dieses Traumes bilden, so müsse man auch im umgeformten Traum wenigstens einen kenntlichen Rest derselben irgendwo versteckt aufzeigen können. Nun, vielleicht gelingt selbst dies mit Hilfe eines Hinweises aus der später folgenden Erzählung. Beim ersten </w:t>
      </w:r>
      <w:r w:rsidRPr="009D1B8B">
        <w:rPr>
          <w:rFonts w:ascii="Garamond" w:hAnsi="Garamond"/>
          <w:lang w:val="en-US"/>
        </w:rPr>
        <w:lastRenderedPageBreak/>
        <w:t>Zusammentreffen mit der vermeintlichen Gradiva gedenkt Hanold dieses Traumes und richtet an die Erscheinung die Bitte, sich wieder so hinzulegen, wie er es damals gesehen.(10) Daraufhin aber erhebt sich die junge Dame entrüstet und verläßt ihren sonderbaren Partner, aus dessen wahnbeherrschten Reden sie den unziemlichen erotischen Wunsch herausgehört hat. Ich glaube, wir dürfen uns die Deutung der Gradiva zu eigen machen; eine größere Bestimmtheit für die Darstellung des erotischen Wunsches wird man auch von einem realen Traume nicht immer fordern dürfen.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(10) G. p. 70: Nein, gesprochen nicht. Aber ich rief dir zu, als du dich zum Schlafen hinlegtest, und stand dann bei dir -- dein Gesicht war so ruhig-schön wie von Marmor. Darf ich dich bitten -- leg' es noch einmal wieder so auf die Stufe zurück.</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Somit hatte die Anwendung einiger Regeln der Traumdeutung auf den ersten Traum Hanolds den Erfolg gehabt, uns diesen Traum in seinen Hauptzügen verständlich zu machen und ihn in den Zusammenhang der Erzählung einzufügen. Er muß also wohl vom Dichter unter Beachtung dieser Regeln geschaffen worden sein? Man könnte nur noch eine Frage aufwerfen, warum der Dichter zur weiteren Entwicklung des Wahnes überhaupt einen Traum einführe. Nun, ich meine, das ist recht sinnreich komponiert und hält wiederum der Wirklichkeit die Treue. Wir haben schon gehört, daß in realen Krankheitsfällen eine Wahnbildung recht häufig an einen Traum anschließt, brauchen aber nach unseren Aufklärungen über das Wesen des Traumes kein neues Rätsel in diesem Sachverhalt zu finden. Traum und Wahn stammen aus derselben Quelle, vom Verdrängten her; der Traum ist der sozusagen physiologische Wahn des normalen Menschen. Ehe das Verdrängte stark genug geworden ist, um sich im Wachleben als Wahn durchzusetzen, kann es leicht seinen ersten Erfolg unter den günstigeren Umständen des Schlafzustandes in Gestalt eines nachhaltig wirkenden Traumes errungen haben. Während des Schlafes tritt nämlich, mit der Herabsetzung der seelischen Tätigkeit überhaupt, auch ein Nachlaß in der Stärke des Widerstandes ein, den die herrschenden psychischen Mächte dem Verdrängten entgegensetzen. Dieser Nachlaß ist es, der die Traumbildung ermöglicht, und darum wird der Traum für uns der beste Zugang zur Kenntnis des unbewußten Seelischen. Nur, daß für gewöhnlich mit der Herstellung der psychischen Besetzungen des Wachens der Traum wieder verfliegt, der vom Unbewußten gewonnene Boden wieder geräumt wird.</w:t>
      </w:r>
    </w:p>
    <w:p w:rsidR="00CF585F" w:rsidRPr="009D1B8B" w:rsidRDefault="00CF585F" w:rsidP="00CF585F">
      <w:pPr>
        <w:pStyle w:val="Sansinterligne"/>
        <w:rPr>
          <w:rFonts w:ascii="Garamond" w:hAnsi="Garamond" w:cs="Times-Roman"/>
          <w:lang w:val="en-US"/>
        </w:rPr>
      </w:pPr>
    </w:p>
    <w:p w:rsidR="00CF585F" w:rsidRPr="009D1B8B" w:rsidRDefault="00CF585F" w:rsidP="00CF585F">
      <w:pPr>
        <w:pStyle w:val="Sansinterligne"/>
        <w:rPr>
          <w:rFonts w:ascii="Garamond" w:hAnsi="Garamond" w:cs="Times-Roman"/>
          <w:lang w:val="en-US"/>
        </w:rPr>
      </w:pPr>
      <w:r w:rsidRPr="009D1B8B">
        <w:rPr>
          <w:rFonts w:ascii="Garamond" w:hAnsi="Garamond"/>
          <w:lang w:val="en-US"/>
        </w:rPr>
        <w:t>III.</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Im weiteren Verlaufe der Erzählung findet sich noch ein anderer Traum, der uns vielleicht noch mehr als der erste verlocken kann, seine Übersetzung und Einfügung in den Zusammenhang des seelischen Geschehens beim Helden zu versuchen. Aber wir ersparen wenig, wenn wir hier die Darstellung des Dichters verlassen, um direkt zu diesem zweiten Traum zu eilen, denn wer den Traum eines anderen deuten will, der kann nicht umhin, sich möglichst ausführlich um alles zu bekümmern, was der Träumer äußerlich und innerlich erlebt hat. Somit wäre es fast das beste, wenn wir beim Faden der Erzählung verblieben und diese fortlaufend mit unseren Glossen versähen.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Die Wahnneubildung vom Tode der Gradiva beim Untergang Pompejis im Jahre 79 ist nicht die einzige Nachwirkung des von uns analysierten ersten Traumes. Unmittelbar nachher entschließt sich Hanold zu einer Reise nach Italien, die ihn endlich nach Pompeji bringt. Vorher aber begibt sich noch etwas anderes mit ihm; aus dem Fenster lehnend, glaubt er auf der Straße eine Gestalt mit der Haltung und dem Gange seiner Gradiva zu bemerken, eilt ihr trotz seiner mangelhaften Bekleidung nach, erreicht sie aber nicht, sondern wird durch den Spott der Leute auf der Straße zurückgetrieben. Nachdem er wieder in sein Zimmer zurückgekehrt ist, ruft das Singen eines Kanarienvogels, dessen Käfig an einem Fenster des Hauses gegenüber hängt, eine Stimmung in ihm hervor, als ob auch er aus der Gefangenschaft in die Freiheit wollte, und die Frühjahrsreise ist ebenso schnell beschlossen wie ausgeführt.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Der Dichter hat diese Reise Hanolds in ganz besonders scharfes Licht gerückt und ihm selbst teilweise Klarheit über seine inneren Vorgänge gegönnt. Hanold hat sich selbstverständlich einen wissenschaftlichen Vorwand für sein Reisen angegeben, aber dieser hält nicht vor. Er weiß doch eigentlich, daß »ihm der Antrieb zur Reise aus einer unnennbaren Empfindung entsprungen war«. Eine eigentümliche Unruhe heißt ihn mit allem, was er antrifft, unzufrieden sein und treibt ihn von Rom nach Neapel, von dort nach Pompeji, ohne daß er sich, auch nicht in dieser letzten Station, in seiner Stimmung zurechtfände. Er ärgert sich über die Torheit der Hochzeitsreisenden und ist empört über die Frechheit der Stubenfliegen, die Pompejis Gasthäuser bevölkern. Aber endlich täuscht er sich nicht darüber, »daß seine Unbefriedigung wohl nicht allein durch das um ihn herum Befindliche verursacht werde, sondern etwas ihren Ursprung auch aus ihm selbst schöpfe«. Er hält sich für überreizt, fühlt, »daß er mißmutig sei, weil ihm etwas fehle, ohne daß er sich aufhellen könne, was. Und diese Mißstimmung bringt er überallhin mit sich«. In solcher Verfassung empört er sich sogar gegen seine Herrscherin, die Wissenschaft; wie er </w:t>
      </w:r>
      <w:r w:rsidRPr="009D1B8B">
        <w:rPr>
          <w:rFonts w:ascii="Garamond" w:hAnsi="Garamond"/>
          <w:lang w:val="en-US"/>
        </w:rPr>
        <w:lastRenderedPageBreak/>
        <w:t>das erstemal in der Mittagssonnenglut durch Pompeji wandelt, »hatte seine ganze Wissenschaft ihn nicht allein verlassen, sondern ließ ihn auch ohne das geringste Begehren, sie wieder aufzufinden; er erinnerte sich ihrer nur wie aus einer weiten Ferne, und in seiner Empfindung war sie eine alte, eingetrocknete, langweilige Tante gewesen, das ledernste und überflüssigste Geschöpf auf der Welt«. (G. p. 55.)</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In diesem unerquicklichen und verworrenen Gemütszustand löst sich ihm dann das eine der Rätsel, welche an dieser Reise hängen, in dem Moment, da er zuerst die Gradiva durch Pompeji schreiten sieht. Es kommt ihm »zum erstenmal zum Bewußtwerden: Er sei, ohne selbst von dem Antrieb in seinem Innern zu wissen, deshalb nach Italien und ohne Aufenthalt von Rom und Neapel bis Pompeji weitergefahren, um danach zu suchen, ob er hier Spuren von ihr auffinden könne. Und zwar im wörtlichen Sinne, denn bei ihrer besonderen Gangart mußte sie in der Asche einen von allen übrigen sich unterscheidenden Abdruck der Zehen hinterlassen haben«. (G. p. 58.)</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Da der Dichter so viel Sorgfalt auf die Darstellung dieser Reise verwendet, muß es auch uns der Mühe wert sein, deren Verhältnis zum Wahn Hanolds und deren Stellung im Zusammenhang der Begebenheiten zu erläutern. Die Reise ist ein Unternehmen aus Motiven, welche die Person zunächst nicht erkennt und erst später sich eingesteht, Motiven, welche der Dichter direkt als »unbewußte« bezeichnet. Dies ist gewiß dem Leben abgelauscht; man braucht nicht im Wahn zu sein, um so zu handeln; vielmehr ist es ein alltägliches Vorkommnis, selbst bei Gesunden, daß sie sich über die Motive ihres Handelns täuschen und ihrer erst nachträglich bewußt werden, wenn nur ein Konflikt mehrerer Gefühlsströmungen ihnen die Bedingung für solche Verworrenheit herstellt. Die Reise Hanolds war also von Anfang an darauf angelegt, dem Wahne zu dienen, und sollte ihn nach Pompeji bringen, um die Nachforschung nach der Gradiva dort fortzusetzen. Wir erinnern, daß vor und unmittelbar nach dem Traum diese Nachforschung ihn erfüllte, und daß der Traum selbst nur eine von seinem Bewußtsein erstickte Antwort auf die Frage nach dem Aufenthalt der Gradiva war. Irgend eine Macht, die wir nicht erkennen, hemmt aber zunächst auch das Bewußtwerden des wahnhaften Vorsatzes, so daß zur bewußten Motivierung der Reise nur unzulängliche, streckenweise zu erneuernde Vorwände erübrigen. Ein anderes Rätsel gibt uns der Dichter auf, indem er den Traum, die Entdeckung der vermeintlichen Gradiva auf der Straße und die Entschließung zur Reise durch den Einfluß des singenden Kanarienvogels wie Zufälligkeiten ohne innere Beziehung aufeinander folgen läßt.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Mit Hilfe der Aufklärungen, die wir den späteren Reden der Zoë Bertgang entnehmen, wird dieses dunkle Stück der Erzählung für unser Verständnis erhellt. Es war wirklich das Urbild der Gradiva, Fräulein Zoë selbst, das Hanold von seinem Fenster aus auf der Straße schreiten sah (G. p. 89) und das er bald eingeholt hätte. Die Mitteilung des Traumes: sie lebt ja am heutigen Tage in der nämlichen Stadt wie du, hätte so durch einen glücklichen Zufall eine unwiderstehliche Bekräftigung erfahren, vor welcher sein inneres Sträuben zusammengebrochen wäre. Der Kanarienvogel aber, dessen Gesang Hanold in die Ferne trieb, gehörte Zoë, und sein Käfig stand an ihrem Fenster, dem Hause Hanolds schräg gegenüber. (G. p. 135.) Hanold, der nach der Anklage des Mädchens die Gabe der »negativen Halluzination« besaß, die Kunst verstand, auch gegenwärtige Personen nicht zu sehen und nicht zu erkennen, muß von Anfang an die unbewußte Kenntnis dessen gehabt haben, was wir erst spät erfahren. Die Zeichen der Nähe Zoës, ihr Erscheinen auf der Straße und der Gesang ihres Vogels so nahe seinem Fenster, verstärken die Wirkung des Traumes, und in dieser für seinen Widerstand gegen die Erotik so gefährlichen Situation -- ergreift er die Flucht. Die Reise entspringt einem Aufraffen des Widerstandes nach jenem Vorstoß der Liebessehnsucht im Traum, einem Fluchtversuch von der leibhaftigen und gegenwärtigen Geliebten weg. Sie bedeutet praktisch einen Sieg der Verdrängung, die diesmal im Wahne die Oberhand behält, wie bei seinem früheren Tun, den »pedestrischen Untersuchungen« an Frauen und Mädchen, die Erotik siegreich gewesen war. Überall aber ist in diesem Schwanken des Kampfes die Kompromißnatur der Entscheidungen gewahrt; die Reise nach Pompeji, die von der lebenden Zoë wegführen soll, führt wenigstens zu ihrem Ersatz, zur Gradiva. Die Reise, die den latenten Traumgedanken zum Trotze unternommen wird, folgt doch der Weisung des manifesten Trauminhaltes nach Pompeji. So triumphiert der Wahn von neuem, jedesmal wenn Erotik und Widerstand von neuem streiten.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Diese Auffassung der Reise Hanolds als Flucht vor der in ihm erwachenden Liebessehnsucht nach der so nahen Geliebten harmoniert allein mit den bei ihm geschilderten Gemütszuständen während seines Aufenthaltes in Italien. Die ihn beherrschende Ablehnung der Erotik drückt sich dort in seiner Verabscheuung der Hochzeitsreisenden aus. Ein kleiner Traum im Albergo in Rom, veranlaßt durch die Nachbarschaft eines deutschen Liebespaares, »August und Grete«, deren Abendgespräch er durch die dünne Zwischenwand belauschen muß, wirft wie nachträglich ein Licht auf die erotischen Tendenzen seines ersten großen Traumes. Der neue Traum versetzt ihn wieder nach Pompeji, wo eben wieder der </w:t>
      </w:r>
      <w:r w:rsidRPr="009D1B8B">
        <w:rPr>
          <w:rFonts w:ascii="Garamond" w:hAnsi="Garamond"/>
          <w:lang w:val="en-US"/>
        </w:rPr>
        <w:lastRenderedPageBreak/>
        <w:t>Vesuv ausbricht, und knüpft so an den während der Reise fortwirkenden Traum an. Aber unter den gefährdeten Personen gewahrt er diesmal -- nicht wie früher sich und die Gradiva --, sondern den Apoll von Belvedere und die kapitolinische Venus, wohl als ironische Erhöhungen des Paares im Nachbarraum. Apoll hebt die Venus auf, trägt sie fort und legt sie auf einen Gegenstand im Dunkeln hin, der ein Wagen oder Karren zu sein scheint, denn ein »knarrender Ton« schallt davon her. Der Traum bedarf sonst keiner besonderen Kunst zu seiner Deutung. (G. p. 31.)</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Unser Dichter, dem wir längst zutrauen, daß er auch keinen einzelnen Zug müßig und absichtslos in seiner Schilderung aufträgt, hat uns noch ein anderes Zeugnis für die Hanold auf der Reise beherrschende asexuelle Strömung gegeben. Während des stundenlangen Umherwanderns in Pompeji kommt es ihm »merkwürdigerweise nicht ein einziges Mal in Erinnerung, daß er vor einiger Zeit einmal geträumt habe, bei der Verschüttung Pompejis durch den Kraterausbruch im Jahre 79 zugegen gewesen zu sein«. (G. p. 47.) Erst beim Anblick der Gradiva besinnt er sich plötzlich dieses Traumes, wie ihm auch gleichzeitig das wahnhafte Motiv seiner rätselhaften Reise bewußt wird. Was könnte nun dies Vergessen des Traumes, diese Verdrängungsschranke zwischen dem Traum und dem Seelenzustand auf der Reise anders bedeuten, als daß die Reise nicht auf direkte Anregung des Traumes erfolgt ist, sondern in der Auflehnung gegen denselben, als Ausfluß einer seelischen Macht, die vom geheimen Sinne des Traumes nichts wissen will?</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Anderseits aber wird Hanold dieses Sieges über seine Erotik nicht froh. Die unterdrückte seelische Regung bleibt stark genug, um sich durch Mißbehagen und Hemmung an der unterdrückenden zu rächen. Seine Sehnsucht hat sich in Unruhe und Unbefriedigung verwandelt, die ihm die Reise sinnlos erscheinen läßt; gehemmt ist die Einsicht in die Motivierung der Reise im Dienste des Wahnes, gestört sein Verhältnis zu seiner Wissenschaft, die an solchem Orte all sein Interesse rege machen sollte. So zeigt uns der Dichter seinen Helden nach seiner Flucht vor der Liebe in einer Art von Krisis, in einem gänzlich verworrenen und zerfahrenen Zustand, in einer Zerrüttung, wie sie auf der Höhe der Krankheitszustände vorzukommen pflegt, wenn keine der beiden streitenden Mächte mehr um so viel stärker ist als die andere, daß die Differenz ein strammes, seelisches Regime begründen könnte. Hier greift dann der Dichter helfend und schlichtend ein, denn an dieser Stelle läßt er die Gradiva auftreten, welche die Heilung des Wahnes unternimmt. Mit seiner Macht, die Schicksale der von ihm geschaffenen Menschen zum Guten zu lenken, trotz all der Notwendigkeiten, denen er sie gehorchen läßt, versetzt er das Mädchen, vor dem Hanold nach Pompeji geflohen ist, ebendahin und korrigiert so die Torheit, die der Wahn den jungen Mann begehen ließ, sich von dem Wohnort der leibhaftigen Geliebten zur Todesstätte der sie in der Phantasie ersetzenden zu begeben.</w:t>
      </w:r>
    </w:p>
    <w:p w:rsidR="00CF585F" w:rsidRPr="009D1B8B" w:rsidRDefault="00CF585F" w:rsidP="00CF585F">
      <w:pPr>
        <w:pStyle w:val="Sansinterligne"/>
        <w:rPr>
          <w:rFonts w:ascii="Garamond" w:hAnsi="Garamond" w:cs="Times-Roman"/>
        </w:rPr>
      </w:pPr>
      <w:r w:rsidRPr="009D1B8B">
        <w:rPr>
          <w:rFonts w:ascii="Garamond" w:hAnsi="Garamond"/>
          <w:lang w:val="en-US"/>
        </w:rPr>
        <w:t xml:space="preserve">Mit dem Erscheinen der Zoë Bertgang als Gradiva, welches den Höhepunkt der Spannung in der Erzählung bezeichnet, tritt bald auch eine Wendung in unserem Interesse ein. Haben wir bisher die Entwicklung eines Wahnes miterlebt, so sollen wir jetzt Zeugen seiner Heilung werden und dürfen uns fragen, ob der Dichter den Hergang dieser Heilung bloß fabuliert oder im Anschluß an wirklich vorhandene Möglichkeiten gebildet hat. Nach Zoës eigenen Worten in der Unterhaltung mit der Freundin haben wir entschieden das Recht, ihr solche Heilungsabsicht zuzuschreiben. (G. p. 124.) Wie schickt sie sich aber dazu an? Nachdem sie die Entrüstung zurückgedrängt, welche die Zumutung, sich wieder wie »damals« zum Schlafen hinzulegen, bei ihr hervorgerufen, findet sie sich zur gleichen Mittagsstunde des nächsten Tages am nämlichen Orte ein und entlockt nun Hanold all das geheime Wissen, das ihr zum Verständnis seines Benehmens am Vortage gefehlt hat. </w:t>
      </w:r>
      <w:r w:rsidRPr="009D1B8B">
        <w:rPr>
          <w:rFonts w:ascii="Garamond" w:hAnsi="Garamond"/>
        </w:rPr>
        <w:t>Sie erfährt von seinem Traum, vom Reliefbild der Gradiva und von der Eigentümlichkeit des Ganges, welche sie mit diesem Bilde teilt. Sie akzeptiert die Rolle des für eine kurze Stunde zum Leben erwachten Gespenstes, welche, wie sie merkt, sein Wahn ihr zugeteilt, und weist ihm leise in mehrdeutigen Worten eine neue Stellung an, indem sie die Gräberblume von ihm annimmt, die er ohne bewußte Absicht mitgebracht, und das Bedauern ausspricht, daß er ihr nicht Rosen gegeben hat. (G. p. 90.)</w:t>
      </w:r>
    </w:p>
    <w:p w:rsidR="00CF585F" w:rsidRPr="009D1B8B" w:rsidRDefault="00CF585F" w:rsidP="00CF585F">
      <w:pPr>
        <w:pStyle w:val="Sansinterligne"/>
        <w:rPr>
          <w:rFonts w:ascii="Garamond" w:hAnsi="Garamond" w:cs="Times-Roman"/>
          <w:lang w:val="en-US"/>
        </w:rPr>
      </w:pPr>
      <w:r w:rsidRPr="009D1B8B">
        <w:rPr>
          <w:rFonts w:ascii="Garamond" w:hAnsi="Garamond"/>
        </w:rPr>
        <w:t xml:space="preserve">Unser Interesse für das Benehmen des überlegen klugen Mädchens, welches beschlossen hat, sich den Jugendgeliebten zum Manne zu gewinnen, nachdem sie hinter seinem Wahn seine Liebe als treibende Kraft erkannt, wird aber an dieser Stelle wahrscheinlich von dem Befremden zurückgedrängt, welches dieser Wahn selbst bei uns erregen kann. Dessen letzte Ausgestaltung, daß die im Jahre 79 verschüttete Gradiva nun als Mittagsgespenst für eine Stunde mit ihm Rede tauschen könne, nach deren Ablauf sie versinke oder ihre Gruft wieder aufsuche, dieses Hirngespinst, welches weder durch die Wahrnehmung ihrer modernen Fußbekleidung noch durch ihre Unkenntnis der alten Sprachen und ihre Beherrschung des damals nicht existierenden Deutschen beirrt wird, scheint wohl die Bezeichnung des Dichters »Ein pompejanisches Phantasiestück« zu rechtfertigen, aber jedes Messen an der klinischen Wirklichkeit auszuschließen. </w:t>
      </w:r>
      <w:r w:rsidRPr="009D1B8B">
        <w:rPr>
          <w:rFonts w:ascii="Garamond" w:hAnsi="Garamond"/>
          <w:lang w:val="en-US"/>
        </w:rPr>
        <w:t xml:space="preserve">Und doch scheint mir bei näherer Erwägung die Unwahrscheinlichkeit dieses Wahnes </w:t>
      </w:r>
      <w:r w:rsidRPr="009D1B8B">
        <w:rPr>
          <w:rFonts w:ascii="Garamond" w:hAnsi="Garamond"/>
          <w:lang w:val="en-US"/>
        </w:rPr>
        <w:lastRenderedPageBreak/>
        <w:t>zum größeren Teile zu zergehen. Einen Teil der Verschuldung hat ja der Dichter auf sich genommen und in der Voraussetzung der Erzählung, daß Zoë in allen Zügen das Ebenbild des Steinreliefs sei, mitgebracht. Man muß sich also hüten, die Unwahrscheinlichkeit von dieser Voraussetzung auf deren Konsequenz, daß Hanold das Mädchen für die belebte Gradiva hält, zu verschieben. Die wahnhafte Erklärung wird hier dadurch im Wert gehoben, daß auch der Dichter uns keine rationelle zur Verfügung gestellt hat. In der Sonnenglut Kampaniens und in der verwirrenden Zauberkraft des Weines, der am Vesuv wächst, hat der Dichter ferner andere helfende und mildernde Umstände für die Ausschreitung des Helden herangezogen. Das wichtigste aller erklärenden und entschuldigenden Momente bleibt aber die Leichtigkeit, mit welcher unser Denkvermögen sich zur Annahme eines absurden Inhaltes entschließt, wenn stark affektbetonte Regungen dabei ihre Befriedigung finden, Es ist erstaunlich und findet meist viel zu geringe Würdigung, wie leicht und häufig selbst intelligenzstarke Personen unter solchen psychologischen Konstellationen die Reaktionen partiellen Schwachsinnes geben, und wer nicht allzu eingebildet ist, mag dies auch beliebig oft an sich selbst beobachten. Und nun erst dann, wenn ein Teil der in Betracht kommenden Denkvorgänge an unbewußten oder verdrängten Motiven haftet! Ich zitiere dabei gern die Worte eines Philosophen, der mir schreibt: »Ich habe auch angefangen, mir selbsterlebte Fälle von frappanten Irrtümern zu notieren, gedankenloser Handlungen, die man sich nachträglich motiviert (in sehr unvernünftiger Weise). Es ist erschreckend, aber typisch, wieviel Dummheit dabei zu Tage kommt.« Und nun nehme man dazu, daß der Glaube an Geister und Gespenster und wiederkehrende Seelen, der so viel Anlehnungen in den Religionen findet, denen wir alle wenigstens als Kinder angehängt haben, keineswegs bei allen Gebildeten untergegangen ist, daß so viele sonst Vernünftige die Beschäftigung mit dem Spiritismus mit der Vernunft vereinbar finden. Ja selbst der nüchtern und ungläubig Gewordene mag mit Beschämung wahrnehmen, wie leicht er sich für einen Moment zum Geisterglauben zurückwendet, wenn Ergriffenheit und Ratlosigkeit bei ihm zusammentreffen. Ich weiß von einem Arzt, der einmal eine seiner Patientinnen an der Basedowschen Krankheit verloren hatte und einen leisen Verdacht nicht bannen konnte, daß er durch unvorsichtige Medikation vielleicht zum unglücklichen Ausgange beigetragen habe. Eines Tages, mehrere Jahre später, trat ein Mädchen in sein ärztliches Zimmer, in dem er, trotz alles Sträubens, die Verstorbene erkennen mußte. Er konnte keinen anderen Gedanken fassen als, es sei doch wahr, daß die Toten wiederkommen können, und sein Schaudern wich erst der Scham, als die Besucherin sich als die Schwester jener an der gleichen Krankheit Verstorbenen vorstellte. Die Basedowsche Krankheit verleiht den von ihr Befallenen eine oft bemerkte, weitgehende Ähnlichkeit der Gesichtszüge, und in diesem Falle war die typische Ähnlichkeit über der schwesterlichen aufgetragen. Der Arzt aber, dem sich dies ereignet, war ich selbst, und darum bin gerade ich nicht geneigt, dem Norbert Hanold die klinische Möglichkeit seines kurzen Wahnes von der ins Leben zurückgekehrten Gradiva zu bestreiten. Daß in ernsten Fällen chronischer Wahnbildung (Paranoia) das Äußerste an geistreich ausgesponnenen und gut vertretenen Absurditäten geleistet wird, ist endlich jedem Psychiater wohlbekannt. --</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Nach der ersten Begegnung mit der Gradiva hatte Norbert Hanold zuerst in dem einen und dann im anderen der ihm bekannten Speisehäuser Pompejis seinen Wein getrunken, während die anderen Besucher mit der Hauptmahlzeit beschäftigt waren. »Selbstverständlich war ihm mit keinem Gedanken die widersinnige Annahme in den Sinn gekommen«, er tue so, um zu erfahren, in welchem Gasthof die Gradiva wohne und ihre Mahlzeiten einnehme, aber es ist schwer zu sagen, welchen anderen Sinn dies sein Tun sonst hätte haben können. Am Tage nach dem zweiten Beisammensein im Hause des Meleager erlebt er allerlei merkwürdige und scheinbar unzusammenhängende Dinge: er findet einen engen Spalt in der Mauer des Portikus, dort, wo die Gradiva verschwunden war, begegnet einem närrischen Eidechsenfänger, der ihn wie einen Bekannten anredet, entdeckt ein drittes, versteckt gelegenes Wirtshaus, den »Albergo del Sole«, dessen Besitzer ihm eine grünpatinierte Metallspange als Fundstück bei den Überresten eines pompejanischen Mädchens aufschwatzt, und wird endlich in seinem eigenen Gasthof auf ein neu angekommenes junges Menschenpaar aufmerksam, welches er als Geschwisterpaar diagnostiziert, und dem er seine Sympathie schenkt. Alle diese Eindrücke verweben sich dann zu einem »merkwürdig unsinnigen« Traum, der folgenden Wortlaut hat: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»Irgendwo in der Sonne sitzt die Gradiva, macht aus einem Grashalm eine Schlinge, um eine Eidechse darin zu fangen, und sagt dazu: 'Bitte, halte dich ganz ruhig -- die Kollegin hat recht, das Mittel ist wirklich gut, und sie hat es mit bestem Erfolge angewendet'.«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Gegen diesen Traum wehrt er sich noch im Schlafe mit der Kritik, das sei in der Tat vollständige Verrücktheit, und wirft sich herum, um von ihm loszukommen. Dies gelingt ihm auch mit Beihilfe eines unsichtbaren Vogels, der einen kurzen, lachenden Ruf ausstößt und die Lacerte im Schnabel fortträgt.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lastRenderedPageBreak/>
        <w:t>Wollen wir den Versuch wagen, auch diesen Traum zu deuten, d. h. ihn durch die latenten Gedanken zu ersetzen, aus deren Entstellung er hervorgegangen sein muß? Er ist so unsinnig, wie man es nur von einem Traume erwarten kann, und diese Absurdität der Träume ist ja die Hauptstütze der Anschauung, welche dem Traum den Charakter eines vollgiltigen psychischen Aktes verweigert und ihn aus einer planlosen Erregung der psychischen Elemente hervorgehen läßt.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Wir können auf diesen Traum die Technik anwenden, welche als das reguläre Verfahren der Traumdeutung bezeichnet werden kann. Es besteht darin, sich um den scheinbaren Zusammenhang im manifesten Traum nicht zu bekümmern, sondern jedes Stück des Inhaltes für sich ins Auge zu fassen und in den Eindrücken, Erinnerungen und freien Einfällen des Träumers die Ableitung desselben zu suchen. Da wir aber Hanold nicht examinieren können, werden wir uns mit der Beziehung auf seine Eindrücke zufrieden geben müssen, und nur ganz schüchtern unsere eigenen Einfälle an die Stelle der seinigen setzen dürfen.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»Irgendwo in der Sonne sitzt die Gradiva, fängt Eidechsen und spricht dazu« -- an welchen Eindruck des Tages klingt dieser Teil des Traumes an? Unzweifelhaft an die Begegnung mit dem älteren Herrn, dem Eidechsenfänger, der also im Traum durch die Gradiva ersetzt ist. Der saß oder lag an »einem heißbesonnten« Abhang und sprach auch Hanold an. Auch die Reden der Gradiva im Traum sind nach der Rede jenes Mannes kopiert. Man vergleiche: »Das vom Kollegen</w:t>
      </w:r>
      <w:r w:rsidRPr="009D1B8B">
        <w:rPr>
          <w:rFonts w:ascii="Garamond" w:hAnsi="Garamond" w:cs="Times-Roman"/>
          <w:lang w:val="en-US"/>
        </w:rPr>
        <w:t xml:space="preserve"> Eimer </w:t>
      </w:r>
      <w:r w:rsidRPr="009D1B8B">
        <w:rPr>
          <w:rFonts w:ascii="Garamond" w:hAnsi="Garamond"/>
          <w:lang w:val="en-US"/>
        </w:rPr>
        <w:t>angegebene Mittel ist wirklich gut, ich habe es schon mehrmals mit bestem Erfolg angewendet. Bitte, halten Sie sich ganz ruhig --.« Ganz ähnlich spricht die Gradiva im Traum, nur daß der Kollege</w:t>
      </w:r>
      <w:r w:rsidRPr="009D1B8B">
        <w:rPr>
          <w:rFonts w:ascii="Garamond" w:hAnsi="Garamond" w:cs="Times-Roman"/>
          <w:lang w:val="en-US"/>
        </w:rPr>
        <w:t xml:space="preserve"> Eimer </w:t>
      </w:r>
      <w:r w:rsidRPr="009D1B8B">
        <w:rPr>
          <w:rFonts w:ascii="Garamond" w:hAnsi="Garamond"/>
          <w:lang w:val="en-US"/>
        </w:rPr>
        <w:t>durch eine unbenannte Kollegin ersetzt ist; auch ist das »mehrmals« aus der Rede des Zoologen im Traume weggeblieben und die Bindung der Sätze etwas geändert worden. Es scheint also, daß dieses Erlebnis des Tages durch einige Abänderungen und Entstellungen zum Traume umgewandelt worden ist. Warum gerade dieses, und was bedeuten die Entstellungen, der Ersatz des alten Herrn durch die Gradiva und die Einführung der rätselhaften »Kollegin«?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Es gibt eine Regel der Traumdeutung, welche lautet: Eine im Traum gehörte Rede stammt immer von einer im Wachen gehörten oder selbst gehaltenen Rede ab. Nun, diese Regel scheint hier befolgt, die Rede der Gradiva ist nur eine Modifikation der bei Tag gehörten Rede des alten Zoologen. Eine andere Regel der Traumdeutung würde uns sagen, die Ersetzung einer Person durch eine andere oder die Vermengung zweier Personen, indem etwa die eine in einer Situation gezeigt wird, welche die andere charakterisiert, bedeutet eine Gleichstellung der beiden Personen, eine Übereinstimmung zwischen denselben. Wagen wir es, auch diese Regel auf unseren Traum anzuwenden, so ergäbe sich die Übersetzung: die Gradiva fängt Eidechsen wie jener Alte, versteht sich auf den Eidechsenfang wie er. Verständlich ist dieses Ergebnis gerade noch nicht, aber wir haben ja noch ein anderes Rätsel vor uns. Auf welchen Eindruck des Tages sollen wir die »Kollegin« beziehen, die im Traum den berühmten Zoologen</w:t>
      </w:r>
      <w:r w:rsidRPr="009D1B8B">
        <w:rPr>
          <w:rFonts w:ascii="Garamond" w:hAnsi="Garamond" w:cs="Times-Roman"/>
          <w:lang w:val="en-US"/>
        </w:rPr>
        <w:t xml:space="preserve"> Eimer </w:t>
      </w:r>
      <w:r w:rsidRPr="009D1B8B">
        <w:rPr>
          <w:rFonts w:ascii="Garamond" w:hAnsi="Garamond"/>
          <w:lang w:val="en-US"/>
        </w:rPr>
        <w:t>ersetzt? Wir haben da zum Glück nicht viel Auswahl, es kann nur ein anderes Mädchen als Kollegin gemeint sein, also jene sympathische junge Dame, in der Hanold eine in Gesellschaft ihres Bruders reisende Schwester erkannt hatte. »Sie trug eine rote Sorrentiner Rose am Kleid, deren Anblick an etwas im Gedächtnis des aus seiner Stubenecke Hinüberschauenden rührte, ohne daß er sich darauf besinnen konnte, was es sei.« Diese Bemerkung des Dichters gibt uns wohl das Recht, sie für die »Kollegin« im Traume in Anspruch zu nehmen. Das, was Hanold nicht erinnern konnte, war gewiß nichts anderes als das Wort der vermeintlichen Gradiva, glücklicheren Mädchen bringe man im Frühling Rosen, als sie die weiße Gräberblume von ihm verlangte. In dieser Rede lag aber eine Werbung verborgen. Was mag das nun für ein Eidechsenfang sein, der dieser glücklicheren Kollegin so gut gelungen?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Am nächsten Tage überrascht Hanold das vermeintliche Geschwisterpaar in zärtlicher Umarmung und kann so seinen Irrtum vom Vortage berichtigen. Es ist wirklich ein Liebespaar, und zwar auf der Hochzeitsreise begriffen, wie wir später erfahren, als die beiden das dritte Beisammensein Hanolds mit der Zoë so unvermutet stören. Wenn wir nun annehmen wollen, daß Hanold, der sie bewußt für Geschwister hält, in seinem Unbewußten sogleich ihre wirkliche Beziehung erkannt hat, die sich tags darauf so unzweideutig verrät, so ergibt sich allerdings ein guter Sinn für die Rede der Gradiva im Traume. Die rote Rose wird dann zum Symbol der Liebesbeziehung; Hanold versteht, daß die beiden das sind, wozu er und die Gradiva erst werden sollen, der Eidechsenfang bekommt die Bedeutung des Männerfanges, und die Rede der Gradiva heißt etwa: Laß mich nur machen, ich verstehe es ebenso gut, mir einen Mann zu gewinnen wie dieses andere Mädchen.</w:t>
      </w:r>
    </w:p>
    <w:p w:rsidR="00CF585F" w:rsidRPr="009D1B8B" w:rsidRDefault="00CF585F" w:rsidP="00CF585F">
      <w:pPr>
        <w:pStyle w:val="Sansinterligne"/>
        <w:rPr>
          <w:rFonts w:ascii="Garamond" w:hAnsi="Garamond" w:cs="Times-Roman"/>
        </w:rPr>
      </w:pPr>
      <w:r w:rsidRPr="009D1B8B">
        <w:rPr>
          <w:rFonts w:ascii="Garamond" w:hAnsi="Garamond"/>
          <w:lang w:val="en-US"/>
        </w:rPr>
        <w:t xml:space="preserve">Warum mußte aber dieses Durchschauen der Absichten der Zoë durchaus in der Form der Rede des alten Zoologen im Traume erscheinen? Warum die Geschicklichkeit Zoës im Männerfang durch die des alten Herrn im Eidechsenfang dargestellt werden? Nun, wir haben es leicht, diese Frage zu beantworten: wir </w:t>
      </w:r>
      <w:r w:rsidRPr="009D1B8B">
        <w:rPr>
          <w:rFonts w:ascii="Garamond" w:hAnsi="Garamond"/>
          <w:lang w:val="en-US"/>
        </w:rPr>
        <w:lastRenderedPageBreak/>
        <w:t xml:space="preserve">haben längst erraten, daß der Eidechsenfänger kein anderer ist als der Zoologieprofessor Bertgang, Zoës Vater, der ja auch Hanold kennen muß, so daß sich verstehen läßt, daß er Hanold wie einen Bekannten anredet. Nehmen wir von neuem an, daß Hanold im Unbewußten den Professor gleichfalls sofort erkannt habe, -- »Ihm war's dunkel, das Gesicht des Lacertenjägers sei schon einmal, wahrscheinlich in einem der beiden Gasthöfe, an seinen Augen vorübergegangen --«, so erklärt sich die sonderbare Einkleidung des der Zoë beigelegten Vorsatzes. </w:t>
      </w:r>
      <w:r w:rsidRPr="009D1B8B">
        <w:rPr>
          <w:rFonts w:ascii="Garamond" w:hAnsi="Garamond"/>
        </w:rPr>
        <w:t>Sie ist die Tochter des Eidechsenfängers, sie hat diese Geschicklichkeit von ihm.</w:t>
      </w:r>
    </w:p>
    <w:p w:rsidR="00CF585F" w:rsidRPr="009D1B8B" w:rsidRDefault="00CF585F" w:rsidP="00CF585F">
      <w:pPr>
        <w:pStyle w:val="Sansinterligne"/>
        <w:rPr>
          <w:rFonts w:ascii="Garamond" w:hAnsi="Garamond" w:cs="Times-Roman"/>
        </w:rPr>
      </w:pPr>
      <w:r w:rsidRPr="009D1B8B">
        <w:rPr>
          <w:rFonts w:ascii="Garamond" w:hAnsi="Garamond"/>
        </w:rPr>
        <w:t>Die Ersetzung des Eidechsenfängers durch die Gradiva im Trauminhalt ist also die Darstellung für die im Unbewußten erkannte Beziehung der beiden Personen; die Einführung der »Kollegin« an Stelle des Kollegen</w:t>
      </w:r>
      <w:r w:rsidRPr="009D1B8B">
        <w:rPr>
          <w:rFonts w:ascii="Garamond" w:hAnsi="Garamond" w:cs="Times-Roman"/>
        </w:rPr>
        <w:t xml:space="preserve"> Eimer</w:t>
      </w:r>
      <w:r w:rsidRPr="009D1B8B">
        <w:rPr>
          <w:rFonts w:ascii="Garamond" w:hAnsi="Garamond"/>
        </w:rPr>
        <w:t>gestattet es dem Traum, das Verständnis ihrer Werbung um den Mann zum Ausdruck zu bringen. Der Traum hat bisher zwei der Erlebnisse des Tages zu einer Situation zusammengeschweißt, »verdichtet«, wie wir sagen, um zwei Einsichten, die nicht bewußt werden durften, einen allerdings sehr unkenntlichen Ausdruck zu verschaffen. Wir können aber weiter gehen, die Sonderbarkeit des Traumes noch mehr verringern und den Einfluß auch der anderen Tageserlebnisse auf die Gestaltung des manifesten Traumes nachweisen.</w:t>
      </w:r>
    </w:p>
    <w:p w:rsidR="00CF585F" w:rsidRPr="009D1B8B" w:rsidRDefault="00CF585F" w:rsidP="00CF585F">
      <w:pPr>
        <w:pStyle w:val="Sansinterligne"/>
        <w:rPr>
          <w:rFonts w:ascii="Garamond" w:hAnsi="Garamond" w:cs="Times-Roman"/>
          <w:lang w:val="en-US"/>
        </w:rPr>
      </w:pPr>
      <w:r w:rsidRPr="009D1B8B">
        <w:rPr>
          <w:rFonts w:ascii="Garamond" w:hAnsi="Garamond"/>
        </w:rPr>
        <w:t xml:space="preserve">Wir könnten uns unbefriedigt durch die bisherige Auskunft erklären, weshalb gerade die Szene des Eidechsenfanges zum Kern des Traumes gemacht worden ist, und vermuten, daß noch andere Elemente in den Traumgedanken für die Auszeichnung der »Eidechse« im manifesten Traum mit ihrem Einfluß eingetreten sind. Es könnte wirklich leicht so sein. Erinnern wir uns, daß Hanold einen Spalt in der Mauer entdeckt hatte, an der Stelle, wo ihm die Gradiva zu verschwinden schien, der »immerhin breit genug war, um eine Gestalt von ungewöhnlicher Schlankheit« durchschlüpfen zu lassen. Durch diese Wahrnehmung wurde er bei Tag zu einer Abänderung in seinem Wahn veranlaßt, die Gradiva versinke nicht im Boden, wenn sie seinen Blicken entschwinde, sondern begebe sich auf diesem Wege in ihre Gruft zurück. In seinem unbewußten Denken mochte er sich sagen, er habe jetzt die natürliche Erklärung für das überraschende Verschwinden des Mädchens gefunden. </w:t>
      </w:r>
      <w:r w:rsidRPr="009D1B8B">
        <w:rPr>
          <w:rFonts w:ascii="Garamond" w:hAnsi="Garamond"/>
          <w:lang w:val="en-US"/>
        </w:rPr>
        <w:t>Muß aber nicht das sich durch enge Spalten Zwängen und das Verschwinden in solchen Spalten an das Benehmen von Lacerten erinnern? Verhält sich die Gradiva dabei nicht selbst wie ein flinkes Eidechslein? Wir meinen also, diese Entdeckung des Spaltes in der Mauer habe mitbestimmend auf die Auswahl des Elementes »Eidechse« für den manifesten Trauminhalt gewirkt, die Eidechsensituation des Traumes vertrete ebensowohl diesen Eindruck des Tages wie die Begegnung mit dem Zoologen, Zoës Vater.</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Und wenn wir nun, kühn geworden, versuchen wollten, auch für das eine, noch nicht verwertete Erlebnis des Tages, die Entdeckung des dritten Albergo »del Sole«, eine Vertretung im Trauminhalt zu finden? Der Dichter hat diese Episode so ausführlich behandelt und so vielerlei an sie geknüpft, daß wir uns verwundern müßten, wenn sie allein keinen Beitrag zur Traumbildung abgegeben hätte. Hanold tritt in dieses Wirtshaus, welches ihm wegen seiner abgelegenen Lage und Entfernung vom Bahnhofe unbekannt geblieben war, um sich eine Flasche kohlensauren Wassers gegen seinen Blutandrang geben zu lassen. Der Wirt benützt diese Gelegenheit, um seine Antiquitäten anzupreisen, und zeigt ihm eine Spange, die angeblich jenem pompejanischen Mädchen angehört hatte, das in der Nähe des Forums in inniger Umschlingung mit seinem Geliebten aufgefunden wurde. Hanold, der diese oft wiederholte Erzählung bisher niemals geglaubt, wird jetzt durch eine ihm unbekannte Macht genötigt, an die Wahrheit dieser rührenden Geschichte und an die Echtheit des Fundstückes zu glauben, erwirbt die Fibula und verläßt mit seinem Erwerb den Gasthof. Im Fortgehen sieht er an einem der Fenster einen in ein Wasserglas gestellten, mit weißen Blüten behängten Asphodelosschaft herabnicken und empfindet diesen Anblick als eine Beglaubigung der Echtheit seines neuen Besitztums. Die wahrhafte Überzeugung durchdringt ihn jetzt, die grüne Spange habe der Gradiva angehört, und sie sei das Mädchen gewesen, das in der Umarmung ihres Geliebten gestorben sei. Die quälende Eifersucht, die ihn dabei erfaßt, beschwichtigt er durch den Vorsatz, sich am nächsten Tage bei der Gradiva selbst durch das Vorzeigen der Spange Sicherheit wegen seines Argwohnes zu holen. Dies ist doch ein sonderbares Stück neuer Wahnbildung, und es sollte keine Spur im Traume der nächstfolgenden Nacht darauf hinweisen!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Es wird uns wohl der Mühe wert sein, uns die Entstehung dieses Wahnzuwachses verständlich zu machen, das neue Stück unbewußter Einsicht aufzusuchen, das sich durch das neue Stück Wahn ersetzt. Der Wahn entsteht unter dem Einfluß des Wirtes vom Sonnenwirtshaus, gegen den sich Hanold so merkwürdig leichtgläubig benimmt, als hätte er eine Suggestion von ihm empfangen. Der Wirt zeigt ihm eine metallene Gewandfibel als echt und als Besitztum jenes Mädchens, das in den Armen seines Geliebten verschüttet aufgefunden wurde, und Hanold, der kritisch genug sein könnte, um die Wahrheit der Geschichte sowie die Echtheit der Spange zu bezweifeln, ist sofort gläubig gefangen und erwirbt die mehr als zweifelhafte </w:t>
      </w:r>
      <w:r w:rsidRPr="009D1B8B">
        <w:rPr>
          <w:rFonts w:ascii="Garamond" w:hAnsi="Garamond"/>
          <w:lang w:val="en-US"/>
        </w:rPr>
        <w:lastRenderedPageBreak/>
        <w:t>Antiquität. Es ist ganz unverständlich, warum er sich so benehmen sollte, und es deutet nichts darauf, daß die Persönlichkeit des Wirtes selbst uns dieses Rätsel lösen könnte. Es ist aber noch ein anderes Rätsel in dem Vorfall, und zwei Rätsel lösen sich gern miteinander. Beim Verlassen des Albergo erblickt er einen Asphodelosschaft im Glase an einem Fenster und findet in ihm eine Beglaubigung für die Echtheit der Metallspange. Wie kann das nur zugehen? Dieser letzte Zug ist zum Glück der Lösung leicht zugänglich. Die weiße Blume ist wohl dieselbe, die er zu Mittag der Gradiva geschenkt, und es ist ganz richtig, daß durch ihren Anblick an einem der Fenster dieses Gasthofes etwas bekräftigt wird. Freilich nicht die Echtheit der Spange, aber etwas anderes, was ihm schon bei der Entdeckung dieses bisher übersehenen Albergo klar geworden. Er hatte bereits am Vortage sich so benommen, als suchte er in den beiden Gasthöfen Pompejis, wo die Person wohne, die ihm als Gradiva erscheine. Nun, da er so unvermuteterweise auf einen dritten stößt, muß er sich im Unbewußten sagen: Also hier wohnt sie; und dann beim Weggehen: Richtig, da ist ja die Asphodelosblume, die ich ihr gegeben; das ist also ihr Fenster. Dies wäre also die neue Einsicht, die sich durch den Wahn ersetzt, die nicht bewußt werden kann, weil ihre Voraussetzung, die Gradiva sei eine Lebende, von ihm einst gekannte Person, nicht bewußt werden konnte.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Wie soll nun aber die Ersetzung der neuen Einsicht durch den Wahn vor sich gegangen sein? Ich meine so, daß das Überzeugungsgefühl, welches der Einsicht anhaftete, sich behaupten konnte und erhalten blieb, während für die bewußtseinsunfähige Einsicht selbst ein anderer, aber durch Denkverbindung mit ihr verknüpfter Vorstellungsinhalt eintrat. So geriet nun das Überzeugungsgefühl in Verbindung mit einem ihm eigentlich fremden Inhalt, und dieser letztere gelangte als Wahn zu einer ihm selbst nicht gebührenden Anerkennung. Hanold überträgt seine Überzeugung, daß die Gradiva in diesem Hause wohne, auf andere Eindrücke, die er in diesem Hause empfängt, wird auf solche Weise gläubig für die Reden des Wirtes, die Echtheit der Metallspange und die Wahrheit der Anekdote von dem in Umarmung aufgefundenen Liebespaar, aber nur auf dem Wege, daß er das in diesem Hause Gehörte mit der Gradiva in Beziehung bringt. Die in ihm bereitliegende Eifersucht bemächtigt sich dieses Materials, und es entsteht, selbst im Widerspruch mit seinem ersten Traum, der Wahn, daß die Gradiva jenes in den Armen ihres Liebhabers verstorbene Mädchen war, und daß ihr jene von ihm erworbene Spange gehört hat.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Wir werden aufmerksam darauf, daß das Gespräch mit der Gradiva und ihre leise Werbung »durch die Blume« bereits wichtige Veränderungen bei Hanold hervorgerufen haben. Züge von männlicher Begehrlichkeit, Komponenten der Libido, sind bei ihm erwacht, die allerdings der Verhüllung durch bewußte Vorwände noch nicht entbehren können. Aber das Problem der »leiblichen Beschaffenheit« der Gradiva, das ihn diesen ganzen Tag über verfolgt, kann doch seine Abstammung von der erotischen Wißbegierde des Jünglings nach dem Körper des Weibes nicht verleugnen, auch wenn es durch die bewußte Betonung des eigentümlichen Schwebens der Gradiva zwischen Tod und Leben ins Wissenschaftliche gezogen werden soll. Die Eifersucht ist ein weiteres Zeichen der erwachenden Aktivität Hanolds in der Liebe; er äußert diese Eifersucht zu Eingang der Unterredung am nächsten Tage und setzt es dann mit Hilfe eines neuen Vorwandes durch, den Körper des Mädchens zu berühren und sie, wie in längst vergangenen Zeiten, zu schlagen.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Nun aber ist es Zeit, uns zu fragen, ob denn der Weg der Wahnbildung, den wir aus der Darstellung des Dichters erschlossen haben, ein sonst bekannter oder ein überhaupt möglicher sei. Aus unserer ärztlichen Kenntnis können wir nur die Antwort geben, es sei gewiß der richtige Weg, vielleicht der einzige, auf dem überhaupt der Wahn zu der unerschütterlichen Anerkennung gelangt, die zu seinen klinischen Charakteren gehört. Wenn der Kranke so fest an seinen Wahn glaubt, so geschieht dies nicht durch eine Verkehrung seines Urteilsvermögens, und rührt nicht von dem her, was am Wahne irrig ist. Sondern in jedem Wahn steckt auch ein Körnchen Wahrheit, es ist etwas an ihm, was wirklich den Glauben verdient, und dieses ist die Quelle der also so weit berechtigten Überzeugung des Kranken. Aber dieses Wahre war lange Zeit verdrängt; wenn es ihm endlich gelingt, diesmal in entstellter Form zum Bewußtsein durchzudringen, so ist das ihm anhaftende Überzeugungsgefühl wie zur Entschädigung überstark, haftet nun am Entstellungsersatz des verdrängten Wahren und schützt denselben gegen jede kritische Anfechtung. Die Überzeugung verschiebt sich gleichsam von dem unbewußten Wahren auf das mit ihm verknüpfte, bewußte Irrige, und bleibt gerade infolge dieser Verschiebung dort fixiert. Der Fall von Wahnbildung, der sich aus Hanolds erstem Traum ergab, ist nichts als ein ähnliches, wenn auch nicht identisches Beispiel einer solchen Verschiebung. Ja, die geschilderte Entstehungsweise der Überzeugung beim Wahne ist nicht einmal grundsätzlich von der Art verschieden, wie sich Überzeugung in normalen Fällen bildet, wo die Verdrängung nicht im Spiele ist. Wir alle heften unsere Überzeugung an Denkinhalte, in denen Wahres mit Falschem vereint ist, und lassen sie vom ersteren aus sich über das letztere </w:t>
      </w:r>
      <w:r w:rsidRPr="009D1B8B">
        <w:rPr>
          <w:rFonts w:ascii="Garamond" w:hAnsi="Garamond"/>
          <w:lang w:val="en-US"/>
        </w:rPr>
        <w:lastRenderedPageBreak/>
        <w:t>erstrecken. Sie diffundiert gleichsam von dem Wahren her über das assoziierte Falsche und schützt dieses, wenn auch nicht so unabänderlich wie beim Wahn, gegen die verdiente Kritik. Beziehungen, Protektion gleichsam, können auch in der Normalpsychologie den eigenen Wert ersetzen. --</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Ich will nun zum Traum zurückkehren und einen kleinen, aber nicht uninteressanten Zug hervorheben, der zwischen zwei Anlässen des Traumes eine Verbindung herstellt. Die Gradiva hatte die weiße Asphodelosblüte in einen gewissen Gegensatz zur roten Rose gebracht; das Wiederfinden des Asphodelos am Fenster des Albergo del Sole wird zu einem wichtigen Beweisstück für die unbewußte Einsicht Hanolds, die sich im neuen Wahn ausdrückt, und dem reiht sich an, daß die rote Rose am Kleid des sympathischen jungen Mädchens Hanold im Unbewußten zur richtigen Würdigung ihres Verhältnisses zu ihrem Begleiter verhilft, so daß er sie im Traum als »Kollegin« auftreten lassen kann.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Wo findet sich nun aber im manifesten Trauminhalt die Spur und Vertretung jener Entdeckung Hanolds, welche wir durch den neuen Wahn ersetzt fanden, der Entdeckung, daß die Gradiva mit ihrem Vater in dem dritten versteckten Gasthof Pompejis, im Albergo del Sole wohne? Nun, es steht ganz und nicht einmal sehr entstellt im Traume drin; ich scheue mich nur darauf hinzuweisen, denn ich weiß, selbst bei den Lesern, deren Geduld so weit bei mir ausgehalten hat, wird sich nun ein starkes Sträuben gegen meine Deutungsversuche regen. Die Entdeckung Hanolds ist im Trauminhalt, wiederhole ich, voll mitgeteilt, aber so geschickt versteckt, daß man sie notwendig übersehen muß. Sie ist dort hinter einem Spiel mit Worten, einer Zweideutigkeit geborgen. »Irgendwo in der Sonne sitzt die Gradiva,« das haben wir mit Recht auf die Örtlichkeit bezogen, an welcher Hanold den Zoologen, ihren Vater, traf. Aber soll es nicht auch heißen können: in der »Sonne«, d. i. im Albergo del Sole, im Gasthaus zur Sonne wohnt die Gradiva? Und klingt das »Irgendwo«, welches auf die Begegnung mit dem Vater keinen Bezug hat, nicht gerade darum so heuchlerisch unbestimmt, weil es die bestimmte Auskunft über den Aufenthalt der Gradiva einleitet? Ich bin nach meiner sonstigen Erfahrung in der Deutung realer Träume eines solchen Verständnisses der Zweideutigkeit ganz sicher, aber ich getraute mich wirklich nicht, dieses Stückchen Deutungsarbeit meinen Lesern vorzulegen, wenn der Dichter mir nicht hier seine mächtige Hilfe leihen würde. Am nächsten Tage legt er dem Mädchen beim Anblick der Metallspange das nämliche Wortspiel in den Mund, welches wir für die Deutung der Stelle im Trauminhalt annehmen. »Hast du sie vielleicht in der</w:t>
      </w:r>
      <w:r w:rsidRPr="009D1B8B">
        <w:rPr>
          <w:rFonts w:ascii="Garamond" w:hAnsi="Garamond" w:cs="Times-Roman"/>
          <w:lang w:val="en-US"/>
        </w:rPr>
        <w:t xml:space="preserve"> Sonne </w:t>
      </w:r>
      <w:r w:rsidRPr="009D1B8B">
        <w:rPr>
          <w:rFonts w:ascii="Garamond" w:hAnsi="Garamond"/>
          <w:lang w:val="en-US"/>
        </w:rPr>
        <w:t>gefunden, die macht hier solche Kunststücke.« Und da Hanold diese Rede nicht versteht, erläutert sie, sie meine den Gasthof zur</w:t>
      </w:r>
      <w:r w:rsidRPr="009D1B8B">
        <w:rPr>
          <w:rFonts w:ascii="Garamond" w:hAnsi="Garamond" w:cs="Times-Roman"/>
          <w:lang w:val="en-US"/>
        </w:rPr>
        <w:t xml:space="preserve"> Sonne</w:t>
      </w:r>
      <w:r w:rsidRPr="009D1B8B">
        <w:rPr>
          <w:rFonts w:ascii="Garamond" w:hAnsi="Garamond"/>
          <w:lang w:val="en-US"/>
        </w:rPr>
        <w:t>, die sie hier »Sole« heißen, von woher auch ihr das angebliche Fundstück bekannt ist.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Und nun möchten wir den Versuch wagen, den »merkwürdig unsinnigen« Traum Hanolds durch die hinter ihm verborgenen, ihm möglichst unähnlichen, unbewußten Gedanken zu ersetzen. Etwa so: »Sie wohnt ja in der Sonne mit ihrem Vater, warum spielt sie solches Spiel mit mir? Will sie ihren Spott mit mir treiben? Oder sollte es möglich sein, daß sie mich liebt und mich zum Manne nehmen will?« -- Auf diese letztere Möglichkeit erfolgt wohl noch im Schlaf die abweisende Antwort: das sei ja die reinste Verrücktheit, die sich scheinbar gegen den ganzen manifesten Traum richtet.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Kritische Leser haben nun das Recht, nach der Herkunft jener bisher nicht begründeten Einschaltung zu fragen, die sich auf das Verspottetwerden durch die Gradiva bezieht. Darauf gibt die »Traumdeutung« die Antwort, wenn in den Traumgedanken Spott, Hohn, erbitterter Widerspruch vorkommt, so wird dies durch die unsinnige Gestaltung des manifesten Traumes, durch die Absurdität im Traume ausgedrückt. Letztere bedeutet also kein Erlahmen der psychischen Tätigkeit, sondern ist eines der Darstellungsmittel, deren sich die Traumarbeit bedient. Wie immer an besonders schwierigen Stellen kommt uns auch hier der Dichter zu Hilfe. Der unsinnige Traum hat noch ein kurzes Nachspiel, in dem ein Vogel einen lachenden Ruf ausstößt und die Lacerte im Schnabel davonträgt. Einen solchen lachenden Ruf hatte Hanold aber nach dem Verschwinden der Gradiva gehört. Er kam wirklich von der Zoë her, die den düsteren Ernst ihrer Unterweltsrolle mit diesem Lachen von sich abschüttelte. Die Gradiva hatte ihn wirklich ausgelacht. Das Traumbild aber, wie der Vogel die Lacerte davonträgt, mag an jenes andere in einem früheren Traum erinnern, in dem der Apoll von Belvedere die kapitolinische Venus davontrug.</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Vielleicht besteht noch bei manchem Leser der Eindruck, daß die Übersetzung der Situation des Eidechsenfanges durch die Idee der Liebeswerbung nicht genügend gesichert sei. Da mag denn der Hinweis zur Unterstützung dienen, daß Zoë in dem Gespräch mit der Kollegin das nämliche von sich bekennt, was Hanolds Gedanken von ihr vermuten, indem sie mitteilt, sie sei sicher gewesen, sich in Pompeji etwas Interessantes »auszugraben«. Sie greift dabei in den archäologischen Vorstellungskreis, wie er mit seinem Gleichnis vom Eidechsenfang in den zoologischen, als ob sie einander entgegenstreben würden und jeder die Eigenart des anderen annehmen wollte.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lastRenderedPageBreak/>
        <w:t>So hätten wir die Deutung auch dieses zweiten Traumes erledigt. Beide sind unserem Verständnis zugänglich geworden unter der Voraussetzung, daß der Träumer in seinem unbewußten Denken all das weiß, was er im bewußten vergessen hat, all das dort richtig beurteilt, was er hier wahnhaft verkennt. Dabei haben wir freilich manche Behauptung aufstellen müssen, die dem Leser, weil fremd, auch befremdlich klang, und wahrscheinlich oft den Verdacht erweckt, daß wir für den Sinn des Dichters ausgeben, was nur unser eigener Sinn ist. Wir sind alles zu tun bereit, um diesen Verdacht zu zerstreuen, und wollen darum einen der heikelsten Punkte -- ich meine die Verwendung zweideutiger Worte und Reden wie im Beispiele: Irgendwo in der</w:t>
      </w:r>
      <w:r w:rsidRPr="009D1B8B">
        <w:rPr>
          <w:rFonts w:ascii="Garamond" w:hAnsi="Garamond" w:cs="Times-Roman"/>
          <w:lang w:val="en-US"/>
        </w:rPr>
        <w:t xml:space="preserve"> Sonne </w:t>
      </w:r>
      <w:r w:rsidRPr="009D1B8B">
        <w:rPr>
          <w:rFonts w:ascii="Garamond" w:hAnsi="Garamond"/>
          <w:lang w:val="en-US"/>
        </w:rPr>
        <w:t>sitzt die Gradiva -- gern ausführlicher in Betrachtung ziehen.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Es muß jedem Leser der »Gradiva« auffallen, wie häufig der Dichter seinen beiden Hauptpersonen Reden in den Mund legt, die zweierlei Sinn ergeben. Bei Hanold sind diese Reden eindeutig gemeint, und nur seine Partnerin, die Gradiva, wird von deren anderem Sinn ergriffen. So, wenn er nach ihrer ersten Antwort ausruft: Ich wußte es, so klänge deine Stimme, und die noch unaufgeklärte Zoë fragen muß, wie das möglich sei, da er sie noch nicht sprechen gehört habe. In der zweiten Unterredung wird das Mädchen für einen Augenblick an seinem Wahne irre, da er versichert, er habe sie sofort erkannt. Sie muß diese Worte in dem Sinne verstehen, der für sein Unbewußtes richtig ist als Anerkennung ihrer in die Kindheit zurückreichenden Bekanntschaft, während er natürlich von dieser Tragweite seiner Rede nichts weiß und sie auch nur durch Beziehung auf den ihn beherrschenden Wahn erläutert. Die Reden des Mädchens hingegen, in deren Person die hellste Geistesklarheit dem Wahn entgegengestellt wird, sind mit Absicht zweideutig gehalten. Der eine Sinn derselben schmiegt sich dem Wahne Hanolds an, um in sein bewußtes Verständnis dringen zu können, der andere erhebt sich über den Wahn und gibt uns in der Regel die Übersetzung desselben in die von ihm vertretene unbewußte Wahrheit. Es ist ein Triumph des Witzes, den Wahn und die Wahrheit in der nämlichen Ausdrucksform darstellen zu können.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Durchsetzt von solchen Zweideutigkeiten ist die Rede der Zoë, in welcher sie der Freundin die Situation aufklärt und sich gleichzeitig von ihrer störenden Gesellschaft befreit; sie ist eigentlich aus dem Buche herausgesprochen, mehr für uns Leser als für die glückliche Kollegin berechnet. In den Gesprächen mit Hanold ist der Doppelsinn meist dadurch hergestellt, daß Zoë sich der Symbolik bedient, welche wir im ersten Traume Hanolds befolgt fanden, der Gleichstellung von Verdrängung und Verschüttung, Pompeji und Kindheit. So kann sie mit ihren Reden einerseits in der Rolle verbleiben, die ihr der Wahn Hanolds anweist, anderseits an die wirklichen Verhältnisse rühren und im Unbewußten Hanolds das Verständnis für dieselben wecken.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»Ich habe mich schon lange daran gewöhnt, tot zu sein.« (G. p. 90.) -- »Für mich ist die Blume der Vergessenheit aus deiner Hand die richtige.« (G. p. 90.) In diesen Reden</w:t>
      </w:r>
      <w:r w:rsidRPr="009D1B8B">
        <w:rPr>
          <w:rFonts w:ascii="Garamond" w:hAnsi="Garamond" w:cs="Times-Roman"/>
          <w:lang w:val="en-US"/>
        </w:rPr>
        <w:t xml:space="preserve"> meldet </w:t>
      </w:r>
      <w:r w:rsidRPr="009D1B8B">
        <w:rPr>
          <w:rFonts w:ascii="Garamond" w:hAnsi="Garamond"/>
          <w:lang w:val="en-US"/>
        </w:rPr>
        <w:t>sich leise der Vorwurf, der dann in ihrer letzten Strafpredigt deutlich genug hervorbricht, wo sie ihn mit dem Archäopteryx vergleicht. »Daß jemand erst sterben muß, um lebendig zu werden. Aber für die Archäologen ist das wohl notwendig« (G. p. 141), sagt sie noch nachträglich nach der Lösung des Wahnes, wie um den Schlüssel zu ihren zweideutigen Reden zu geben. Die schönste Anwendung ihrer Symbolik gelingt ihr aber in der Frage: (G. p. 118) »Mir ist's, als hätten wir schon vor zweitausend Jahren einmal so zusammen unser Brot gegessen. Kannst du dich nicht darauf besinnen?«, in welcher Rede die Ersetzung der Kindheit durch die historische Vorzeit und das Bemühen, die Erinnerung an die erstere zu erwecken, ganz unverkennbar sind.</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Woher nun diese auffällige Bevorzugung der zweideutigen Reden in der »Gradiva«? Sie erscheint uns nicht als Zufälligkeit, sondern als notwendige Abfolge aus den Voraussetzungen der Erzählung. Sie ist nichts anderes als das Seitenstück zur zweifachen Determinierung der Symptome, insofern die Reden selbst Symptome sind und wie diese aus Kompromissen zwischen Bewußtem und Unbewußtem hervorgehen. Nur daß man den Reden diesen doppelten Ursprung leichter anmerkt als etwa den Handlungen, und wenn es gelingt, was die Schmiegsamkeit des Materials der Rede oftmals ermöglicht, in der nämlichen Fügung von Worten jedem der beiden Redeabsichten guten Ausdruck zu verschaffen, dann liegt das vor, was wir eine »Zweideutigkeit« heißen.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Während der psychotherapeutischen Behandlung eines Wahnes oder einer analogen Störung entwickelt man häufig solche zweideutige Reden beim Kranken, als neue Symptome von flüchtigstem Bestand, und kann auch selbst in die Lage kommen, sich ihrer zu bedienen, wobei man mit dem für das Bewußtsein des Kranken bestimmten Sinn nicht selten das Verständnis für den im Unbewußten giltigen anregt. Ich weiß aus Erfahrung, daß diese Rolle der Zweideutigkeit bei den Uneingeweihten den größten Anstoß zu erregen und die gröbsten Mißverständnisse zu verursachen pflegt, aber der Dichter hatte jedenfalls recht, </w:t>
      </w:r>
      <w:r w:rsidRPr="009D1B8B">
        <w:rPr>
          <w:rFonts w:ascii="Garamond" w:hAnsi="Garamond"/>
          <w:lang w:val="en-US"/>
        </w:rPr>
        <w:lastRenderedPageBreak/>
        <w:t>auch diesen charakteristischen Zug der Vorgänge bei der Traum- und Wahnbildung in seiner Schöpfung zur Darstellung zu bringen.</w:t>
      </w:r>
    </w:p>
    <w:p w:rsidR="00CF585F" w:rsidRPr="009D1B8B" w:rsidRDefault="00CF585F" w:rsidP="00CF585F">
      <w:pPr>
        <w:pStyle w:val="Sansinterligne"/>
        <w:rPr>
          <w:rFonts w:ascii="Garamond" w:hAnsi="Garamond" w:cs="Times-Roman"/>
          <w:lang w:val="en-US"/>
        </w:rPr>
      </w:pPr>
    </w:p>
    <w:p w:rsidR="00CF585F" w:rsidRPr="009D1B8B" w:rsidRDefault="00CF585F" w:rsidP="00CF585F">
      <w:pPr>
        <w:pStyle w:val="Sansinterligne"/>
        <w:rPr>
          <w:rFonts w:ascii="Garamond" w:hAnsi="Garamond" w:cs="Times-Roman"/>
          <w:lang w:val="en-US"/>
        </w:rPr>
      </w:pPr>
      <w:r w:rsidRPr="009D1B8B">
        <w:rPr>
          <w:rFonts w:ascii="Garamond" w:hAnsi="Garamond"/>
          <w:lang w:val="en-US"/>
        </w:rPr>
        <w:t>IV.</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Mit dem Auftreten der Zoë als Arzt erwache bei uns, sagten wir bereits, ein neues Interesse. Wir würden gespannt sein zu erfahren, ob eine solche Heilung, wie sie von ihr an Hanold vollzogen wird, begreiflich oder überhaupt möglich ist, ob der Dichter die Bedingungen für das Schwinden eines Wahnes ebenso richtig erschaut hat wie die seiner Entstehung.</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Ohne Zweifel wird uns hier eine Anschauung entgegentreten, die dem vom Dichter geschilderten Falle solches prinzipielle Interesse abspricht und kein der Aufklärung bedürftiges Problem anerkennt. Dem Hanold bleibe nichts anderes übrig, als seinen Wahn wieder aufzulösen, nachdem das Objekt desselben, die vermeintliche »Gradiva« selbst, ihn der Unrichtigkeit all seiner Aufstellungen überführe und ihm die natürlichsten Erklärungen für alles Rätselhafte, z. B. woher sie seinen Namen wisse, gebe. Damit wäre die Angelegenheit logisch erledigt; da aber das Mädchen ihm in diesem Zusammenhange ihre Liebe gestanden, lasse der Dichter, gewiß zur Befriedigung seiner Leserinnen, die sonst nicht uninteressante Erzählung mit dem gewöhnlichen glücklichen Schluß, der Heirat, enden. Konsequenter und ebenso möglich wäre der andere Schluß gewesen, daß der junge Gelehrte nach der Aufklärung seines Irrtums mit höflichem Danke von der jungen Dame Abschied nehme und die Ablehnung ihrer Liebe damit motiviere, daß er zwar für antike Frauen aus Bronze oder Stein und deren Urbilder, wenn sie dem Verkehr erreichbar wären, ein intensives Interesse aufbringen könne, mit einem zeitgenössischen Mädchen aus Fleisch und Bein aber nichts anzufangen wisse. Das archäologische Phantasiestück sei eben vom Dichter recht willkürlich mit einer Liebesgeschichte zusammengekittet worden.</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Indem wir diese Auffassung als unmöglich abweisen, werden wir erst aufmerksam gemacht, daß wir die an Hanold eintretende Veränderung nicht nur in den Verzicht auf den Wahn zu verlegen haben. Gleichzeitig, ja noch vor der Auflösung des letzteren, ist das Erwachen des Liebesbedürfnisses bei ihm unverkennbar, das dann wie selbstverständlich in die Werbung um das Mädchen ausläuft, welches ihn von seinem Wahn befreit hat. Wir haben bereits hervorgehoben, unter welchen Vorwänden und Einkleidungen die Neugierde nach ihrer leiblichen Beschaffenheit, die Eifersucht und der brutale männliche Bemächtigungstrieb sich bei ihm mitten im Wahne äußern, seitdem die verdrängte Liebessehnsucht ihm den ersten Traum eingegeben hat. Nehmen wir als weiteres Zeugnis hinzu, daß am Abend nach der zweiten Unterredung mit der Gradiva ihm zuerst ein lebendes weibliches Wesen sympathisch erscheint, obwohl er noch seinem früheren Abscheu vor Hochzeitsreisenden die Konzession macht, die Sympathische nicht als Neuvermählte zu erkennen. Am nächsten Vormittag aber macht ihn ein Zufall zum Zeugen des Austausches von Zärtlichkeiten zwischen diesem Mädchen und seinem vermeintlichen Bruder, und da zieht er sich scheu zurück, als hätte er eine heilige Handlung gestört. Der Hohn auf »August und Grete« ist vergessen, der Respekt vor dem Liebesleben bei ihm hergestellt.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So hat der Dichter die Lösung des Wahnes und das Hervorbrechen des Liebesbedürfnisses innigst miteinander verknüpft, den Ausgang in eine Liebeswerbung als notwendig vorbereitet. Er kennt das Wesen des Wahnes eben besser als seine Kritiker, er weiß, daß eine Komponente von verliebter Sehnsucht mit einer Komponente des Sträubens zur Entstehung des Wahnes zusammengetreten sind, und er läßt das Mädchen, welches die Heilung unternimmt, die ihr genehme Komponente im Wahne Hanolds herausfühlen. Nur diese Einsicht kann sie bestimmen, sich seiner Behandlung zu widmen, nur die Sicherheit, sich von ihm geliebt zu wissen, sie bewegen, ihm ihre Liebe zu gestehen. Die Behandlung besteht darin, ihm die verdrängten Erinnerungen, die er von innen her nicht freimachen kann, von außen her wiederzugeben; sie würde aber keine Wirkung äußern, wenn die Therapeutin dabei nicht auf die Gefühle Rücksicht nehmen, und die Übersetzung des Wahnes nicht schließlich lauten würde: Sieh', das bedeutet doch alles nur, daß du mich liebst.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Das Verfahren, welches der Dichter seine Zoë zur Heilung des Wahnes bei ihrem Jugendfreunde einschlagen läßt, zeigt eine weitgehende Ähnlichkeit, nein, eine volle Übereinstimmung im Wesen, mit einer therapeutischen Methode, welche Dr.</w:t>
      </w:r>
      <w:r w:rsidRPr="009D1B8B">
        <w:rPr>
          <w:rFonts w:ascii="Garamond" w:hAnsi="Garamond" w:cs="Times-Roman"/>
          <w:lang w:val="en-US"/>
        </w:rPr>
        <w:t xml:space="preserve"> J. Breuer </w:t>
      </w:r>
      <w:r w:rsidRPr="009D1B8B">
        <w:rPr>
          <w:rFonts w:ascii="Garamond" w:hAnsi="Garamond"/>
          <w:lang w:val="en-US"/>
        </w:rPr>
        <w:t>und der Verfasser im Jahre 1895 in die Medizin eingeführt haben, und deren Vervollkommnung sich der letztere seitdem gewidmet hat. Diese Behandlungsweise, von</w:t>
      </w:r>
      <w:r w:rsidRPr="009D1B8B">
        <w:rPr>
          <w:rFonts w:ascii="Garamond" w:hAnsi="Garamond" w:cs="Times-Roman"/>
          <w:lang w:val="en-US"/>
        </w:rPr>
        <w:t xml:space="preserve"> Breuer </w:t>
      </w:r>
      <w:r w:rsidRPr="009D1B8B">
        <w:rPr>
          <w:rFonts w:ascii="Garamond" w:hAnsi="Garamond"/>
          <w:lang w:val="en-US"/>
        </w:rPr>
        <w:t xml:space="preserve">zuerst die »kathartische« genannt, vom Verfasser mit Vorliebe als »analytische« bezeichnet, besteht darin, daß man bei den Kranken, die an analogen Störungen wie der Wahn Hanolds leiden, das Unbewußte, unter dessen Verdrängung sie erkrankt sind, gewissermaßen gewaltsam zum Bewußtsein bringt, ganz so wie es die Gradiva mit den verdrängten Erinnerungen an ihre Kinderbeziehungen tut. Freilich, die Gradiva hat die Erfüllung dieser Aufgabe leichter als der Arzt, sie </w:t>
      </w:r>
      <w:r w:rsidRPr="009D1B8B">
        <w:rPr>
          <w:rFonts w:ascii="Garamond" w:hAnsi="Garamond"/>
          <w:lang w:val="en-US"/>
        </w:rPr>
        <w:lastRenderedPageBreak/>
        <w:t>befindet sich dabei in einer nach mehreren Richtungen ideal zu nennenden Position. Der Arzt, der seinen Kranken nicht von vornherein durchschaut und nicht als bewußte Erinnerung in sich trägt, was in jenem unbewußt arbeitet, muß eine komplizierte Technik zu Hilfe nehmen, um diesen Nachteil auszugleichen. Er muß es lernen, aus den bewußten Einfällen und Mitteilungen des Kranken mit großer Sicherheit auf das Verdrängte in ihm zu schließen, das Unbewußte zu erraten, wo es sich hinter den bewußten Äußerungen und Handlungen des Kranken verrät. Er bringt dann Ähnliches zu stande, wie es Norbert Hanold am Ende der Erzählung selbst versteht, indem er sich den Namen »Gradiva« in »Bertgang« rückübersetzt. Die Störung schwindet dann, während sie auf ihren Ursprung zurückgeführt wird; die Analyse bringt auch gleichzeitig die Heilung.</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Die Ähnlichkeit zwischen dem Verfahren der Gradiva und der analytischen Methode der Psychotherapie beschränkt sich aber nicht auf diese beiden Punkte, das Bewußtmachen des Verdrängten und das Zusammenfallen von Aufklärung und Heilung. Sie erstreckt sich auch auf das, was sich als das Wesentliche der ganzen Veränderung herausstellt, auf die Erweckung der Gefühle. Jede dem Wahne Hanolds analoge Störung, die wir in der Wissenschaft als Psychoneurose zu bezeichnen gewohnt sind, hat die Verdrängung eines Stückes des Trieblebens, sagen wir getrost des Sexualtriebes, zur Voraussetzung, und bei jedem Versuch, die unbewußte und verdrängte Krankheitsursache ins Bewußtsein einzuführen, erwacht notwendig die betreffende Triebkomponente zu erneutem Kampf mit den sie verdrängenden Mächten, um sich mit ihnen oft unter heftigen Reaktionserscheinungen zum endlichen Ausgang abzugleichen. In einem Liebesrezidiv vollzieht sich der Prozeß der Genesung, wenn wir alle die mannigfaltigen Komponenten des Sexualtriebes als »Liebe« zusammenfassen, und dies Rezidiv ist unerläßlich, denn die Symptome, wegen deren die Behandlung unternommen wurde, sind nichts anderes als Niederschläge früherer Verdrängungs- oder Wiederkehrkämpfe und können nur von einer neuen Hochflut der nämlichen Leidenschaften gelöst und weggeschwemmt werden. Jede psychoanalytische Behandlung ist ein Versuch, verdrängte Liebe zu befreien, die in einem Symptom einen kümmerlichen Kompromißausweg gefunden hatte. Ja, die Übereinstimmung mit dem vom Dichter geschilderten Heilungsvorgang in der »Gradiva« erreicht ihre Höhe, wenn wir hinzufügen, daß auch in der analytischen Psychotherapie die wiedergeweckte Leidenschaft, sei sie Liebe oder Haß, jedesmal die Person des Arztes zu ihrem Objekte wählt.</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Dann setzen freilich die Unterschiede ein, welche den Fall der Gradiva zum Idealfall machen, den die ärztliche Technik nicht erreichen kann. Die Gradiva kann die aus dem Unbewußten zum Bewußtsein durchdringende Liebe erwidern, der Arzt kann es nicht; die Gradiva ist selbst das Objekt der früheren, verdrängten Liebe gewesen, ihre Person bietet der befreiten Liebesstrebung sofort ein begehrenswertes Ziel. Der Arzt ist ein Fremder gewesen und muß trachten, nach der Heilung wieder ein Fremder zu werden; er weiß den Geheilten oft nicht zu raten, wie sie ihre wiedergewonnene Liebesfähigkeit im Leben verwenden können. Mit welchen Auskunftsmitteln und Surrogaten sich dann der Arzt behilft, um sich dem Vorbild einer Liebesheilung, das uns der Dichter gezeichnet, mit mehr oder weniger Erfolg zu nähern, das anzudeuten, würde uns viel zu weit weg von der uns vorliegenden Aufgabe führen. --</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Nun aber die letzte Frage, deren Beantwortung wir bereits einigemal aus dem Wege gegangen sind. Unsere Anschauungen über die Verdrängung, die Entstehung eines Wahnes und verwandter Störungen, die Bildung und Auflösung von Träumen, die Rolle des Liebeslebens und die Art der Heilung bei solchen Störungen sind ja keineswegs Gemeingut der Wissenschaft, geschweige denn bequemer Besitz der Gebildeten zu nennen. Ist die Einsicht, welche den Dichter befähigt, sein »Phantasiestück« so zu schaffen, daß wir es wie eine reale Krankengeschichte zergliedern können, von der Art einer Kenntnis, so wären wir begierig, die Quellen dieser Kenntnis kennen zu lernen. Einer aus dem Kreise, der, wie eingangs ausgeführt, an den Träumen in der »Gradiva« und deren möglichen Deutung Interesse nahm, wandte sich an den Dichter mit der direkten Anfrage, ob ihm von den so ähnlichen Theorien in der Wissenschaft etwas bekannt worden sei. Der Dichter antwortete, wie vorauszusehen war, verneinend und sogar etwas unwirsch. </w:t>
      </w:r>
      <w:r w:rsidRPr="009D1B8B">
        <w:rPr>
          <w:rFonts w:ascii="Garamond" w:hAnsi="Garamond"/>
        </w:rPr>
        <w:t xml:space="preserve">Seine Phantasie habe ihm die »Gradiva« eingegeben, an der er seine Freude gehabt habe; wem sie nicht gefalle, der möge sie eben stehen lassen. </w:t>
      </w:r>
      <w:r w:rsidRPr="009D1B8B">
        <w:rPr>
          <w:rFonts w:ascii="Garamond" w:hAnsi="Garamond"/>
          <w:lang w:val="en-US"/>
        </w:rPr>
        <w:t>Er ahnte nicht, wie sehr sie den Lesern gefallen hatte.</w:t>
      </w:r>
    </w:p>
    <w:p w:rsidR="00CF585F" w:rsidRPr="009D1B8B" w:rsidRDefault="00CF585F" w:rsidP="00CF585F">
      <w:pPr>
        <w:pStyle w:val="Sansinterligne"/>
        <w:rPr>
          <w:rFonts w:ascii="Garamond" w:hAnsi="Garamond" w:cs="Times-Roman"/>
          <w:lang w:val="en-US"/>
        </w:rPr>
      </w:pPr>
      <w:r w:rsidRPr="009D1B8B">
        <w:rPr>
          <w:rFonts w:ascii="Garamond" w:hAnsi="Garamond"/>
          <w:lang w:val="en-US"/>
        </w:rPr>
        <w:t xml:space="preserve">Es ist sehr leicht möglich, daß die Ablehnung des Dichters nicht dabei Halt macht. Vielleicht stellt er überhaupt die Kenntnis der Regeln in Abrede, deren Befolgung wir bei ihm nachgewiesen haben, und verleugnet alle die Absichten, die wir in seiner Schöpfung erkannt haben. Ich halte dies nicht für unwahrscheinlich; dann aber sind nur zwei Fälle möglich. Entweder wir haben ein rechtes Zerrbild der Interpretation geliefert, indem wir in ein harmloses Kunstwerk Tendenzen verlegt haben, von denen dessen Schöpfer keine Ahnung hatte, und haben damit wieder einmal bewiesen, wie leicht es ist, das zu finden, was man sucht, und wovon man selbst erfüllt ist, eine Möglichkeit, für die in der </w:t>
      </w:r>
      <w:r w:rsidRPr="009D1B8B">
        <w:rPr>
          <w:rFonts w:ascii="Garamond" w:hAnsi="Garamond"/>
          <w:lang w:val="en-US"/>
        </w:rPr>
        <w:lastRenderedPageBreak/>
        <w:t>Literaturgeschichte die seltsamsten Beispiele verzeichnet sind. Mag nun jeder Leser selbst mit sich einig werden, ob er sich dieser Aufklärung anzuschließen vermag; wir halten natürlich an der anderen, noch erübrigenden Auffassung fest. Wir meinen, daß der Dichter von solchen Regeln und Absichten nichts zu wissen brauche, so daß er sie in gutem Glauben verleugnen könne, und daß wir doch in seiner Dichtung nichts gefunden haben, was nicht in ihr enthalten ist. Wir schöpfen wahrscheinlich aus der gleichen Quelle, bearbeiten das nämliche Objekt, ein jeder von uns mit einer anderen Methode, und die Übereinstimmung im Ergebnis scheint dafür zu bürgen, daß beide richtig gearbeitet haben. Unser Verfahren besteht in der bewußten Beobachtung der abnormen seelischen Vorgänge bei Anderen, um deren Gesetze erraten und aussprechen zu können. Der Dichter geht wohl anders vor; er richtet seine Aufmerksamkeit auf das Unbewußte in seiner eigenen Seele, lauscht den Entwicklungsmöglichkeiten desselben und gestattet ihnen den künstlerischen Ausdruck, anstatt sie mit bewußter Kritik zu unterdrücken. So erfährt er aus sich, was wir bei Anderen erlernen, welchen Gesetzen die Betätigung dieses Unbewußten folgen muß, aber er braucht diese Gesetze nicht auszusprechen, nicht einmal sie klar zu erkennen, sie sind infolge der Duldung seiner Intelligenz in seinen Schöpfungen verkörpert enthalten. Wir entwickeln diese Gesetze durch Analyse aus seinen Dichtungen, wie wir sie aus den Fällen realer Erkrankung herausfinden, aber der Schluß scheint unabweisbar, entweder haben beide, der Dichter wie der Arzt, das Unbewußte in gleicher Weise mißverstanden, oder wir haben es beide richtig verstanden. Dieser Schluß ist uns sehr wertvoll; um seinetwegen war es uns der Mühe wert, die Darstellung der Wahnbildung und Wahnheilung sowie die Träume in</w:t>
      </w:r>
      <w:r w:rsidRPr="009D1B8B">
        <w:rPr>
          <w:rFonts w:ascii="Garamond" w:hAnsi="Garamond" w:cs="Times-Roman"/>
          <w:lang w:val="en-US"/>
        </w:rPr>
        <w:t xml:space="preserve"> Jensens_ »Gradiva« mit den Methoden der ärztlichen Psychoanalyse zu untersuchen. --</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Wir wären am Ende angelangt. Ein aufmerksamer Leser könnte uns noch mahnen, wir hätten eingangs hingeworfen, Träume seien als erfüllt dargestellte Wünsche, und wären dann den Beweis dafür schuldig geblieben. Nun, wir erwidern, unsere Ausführungen könnten wohl zeigen, wie ungerechtfertigt es wäre, die Aufklärungen, die wir über den Traum zu geben haben, mit der einen Formel, der Traum sei eine Wunscherfüllung, decken zu wollen. Aber die Behauptung besteht und ist auch für die Träume in der Gradiva leicht zu erweisen. Die latenten Traumgedanken -- wir wissen jetzt, was darunter gemeint ist -- können von der mannigfaltigsten Art sein; in der Gradiva sind es »Tagesreste«, Gedanken, die ungehört und unerledigt vom seelischen Treiben des Wachens übrig gelassen sind. Damit aber aus ihnen ein Traum entstehe, wird die Mitwirkung eines -- meist unbewußten -- Wunsches erfordert; dieser stellt die Triebkraft für die Traumbildung her, die Tagesreste geben das Material dazu. Im ersten Traume Norbert Hanolds konkurrieren zwei Wünsche miteinander, um den Traum zu schaffen, der eine selbst ein bewußtseinsfähiger, der andere freilich dem Unbewußten angehörig und aus der Verdrängung wirksam. Der erste wäre der bei jedem Archäologen begreifliche Wunsch, Augenzeuge jener Katastrophe des Jahres 79 gewesen zu sein. Welches Opfer wäre einem Altertumsforscher wohl zu groß, wenn dieser Wunsch noch anders als auf dem Wege des Traumes zu verwirklichen wäre! Der andere Wunsch und Traumbildner ist erotischer Natur; dabei zu sein, wenn die Geliebte sich zum Schlafen hinlegt, könnte man ihn in grober oder auch unvollkommener Fassung aussprechen. Er ist es, dessen Ablehnung den Traum zum Angsttraum werden läßt. Minder augenfällig sind vielleicht die treibenden Wünsche des zweiten Traumes, aber wenn wir uns an dessen Übersetzung erinnern, werden wir nicht zögern, sie gleichfalls als erotische anzusprechen. Der Wunsch, von der Geliebten gefangen genommen zu werden, sich ihr zu fügen und zu unterwerfen, wie er hinter der Situation des Eidechsenfanges konstruiert werden darf, hat eigentlich passiven, masochistischen Charakter. Am nächsten Tage schlägt der Träumer die Geliebte, wie unter der Herrschaft der gegensätzlichen erotischen Strömung. Aber wir müssen hier innehalten, sonst vergessen wir vielleicht wirklich, daß Hanold und die Gradiva nur Geschöpfe des Dichters sind.</w:t>
      </w:r>
    </w:p>
    <w:p w:rsidR="00CF585F" w:rsidRPr="009D1B8B" w:rsidRDefault="00CF585F" w:rsidP="00CF585F">
      <w:pPr>
        <w:pStyle w:val="Sansinterligne"/>
        <w:rPr>
          <w:rFonts w:ascii="Garamond" w:hAnsi="Garamond" w:cs="Times-Roman"/>
          <w:lang w:val="en-US"/>
        </w:rPr>
      </w:pP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Anzeige.</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 xml:space="preserve">Die »=Schriften zur angewandten Seelenkunde=«, deren erstes Heft hiemit vor die Öffentlichkeit tritt, wenden sich an jenen weiteren Kreis von Gebildeten, die, ohne gerade Philosophen oder Mediziner zu sein, doch die Wissenschaft vom Seelischen des Menschen nach ihrer Bedeutung für das Verständnis und die Vertiefung unseres Lebens zu würdigen wissen. Die Abhandlungen werden in zwangloser Folge erscheinen und jedesmal eine einzige Arbeit bringen, welche die Anwendung psychologischer Erkenntnisse auf Themata der Kunst und Literatur, Kultur- und Religionsgeschichte und analoger Gebiete unternimmt. Diese Arbeiten werden bald den Charakter einer exakten Untersuchung, bald den einer spekulativen Bemühung an sich tragen, das eine Mal ein größeres Problem zu umfassen, das andere Mal </w:t>
      </w:r>
      <w:r w:rsidRPr="009D1B8B">
        <w:rPr>
          <w:rFonts w:ascii="Garamond" w:hAnsi="Garamond" w:cs="Times-Roman"/>
          <w:lang w:val="en-US"/>
        </w:rPr>
        <w:lastRenderedPageBreak/>
        <w:t>ein beschränkteres zu durchdringen versuchen; in allen Fällen aber werden sie von der Natur originaler Leistungen sein und es vermeiden, bloßen Referaten oder Kompilationen zu gleichen.</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Der Herausgeber fühlt sich verpflichtet, für die Originalität und die allgemeine Würdigkeit der in dieser Sammlung erscheinenden Aufsätze einzustehen. Im übrigen will er weder die Unabhängigkeit seiner Beiträger antasten, noch für die Äußerungen derselben verantwortlich gemacht werden. Daß die ersten Nummern der Sammlung besondere Rücksicht auf die von ihm selbst in der Wissenschaft vertretenen Lehren nehmen, soll für die Auffassung des Unternehmens nicht bestimmend werden. Die Sammlung steht vielmehr den Vertretern abweichender Meinungen offen und hofft, der Mannigfaltigkeit von Gesichtspunkten und Prinzipien in der heutigen Wissenschaft Ausdruck geben zu können.</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=Der Verlag.= =Der Herausgeber.=</w:t>
      </w:r>
    </w:p>
    <w:p w:rsidR="00CF585F" w:rsidRPr="009D1B8B" w:rsidRDefault="00CF585F" w:rsidP="00CF585F">
      <w:pPr>
        <w:pStyle w:val="Sansinterligne"/>
        <w:rPr>
          <w:rFonts w:ascii="Garamond" w:hAnsi="Garamond" w:cs="Times-Roman"/>
          <w:lang w:val="en-US"/>
        </w:rPr>
      </w:pP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 Im folgenden werden alle geänderten Textzeilen angeführt, wobei jeweils zuerst die Zeile wie im Original, danach die geänderte Zeile steht.</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untergangen, dann vom Reliefbild und der Stellung des Fußes, die den untergegangen, dann vom Reliefbild und der Stellung des Fußes, die den</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die hier in der Villa des Diomèdes ihren Tod gefunden hatten. Aber das die hier in der Villa des Diomedes ihren Tod gefunden hatten. Aber das</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Indentifizierung der beiden Personen einen einzigen konkreten Ausdruck Identifizierung der beiden Personen einen einzigen konkreten Ausdruck</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des Asphodels am Fenster des Albergo del Sole wird zu einem wichtigen des Asphodelos am Fenster des Albergo del Sole wird zu einem wichtigen</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Traumgedanken -- wir wissen jetzt, was darunter gemeint ist-- können Traumgedanken -- wir wissen jetzt, was darunter gemeint ist -- können</w:t>
      </w:r>
    </w:p>
    <w:p w:rsidR="00CF585F" w:rsidRPr="009D1B8B" w:rsidRDefault="00CF585F" w:rsidP="00CF585F">
      <w:pPr>
        <w:pStyle w:val="Sansinterligne"/>
        <w:rPr>
          <w:rFonts w:ascii="Garamond" w:hAnsi="Garamond" w:cs="Times-Roman"/>
          <w:lang w:val="en-US"/>
        </w:rPr>
      </w:pPr>
      <w:r w:rsidRPr="009D1B8B">
        <w:rPr>
          <w:rFonts w:ascii="Garamond" w:hAnsi="Garamond" w:cs="Times-Roman"/>
          <w:lang w:val="en-US"/>
        </w:rPr>
        <w:t>]</w:t>
      </w:r>
    </w:p>
    <w:p w:rsidR="00CF585F" w:rsidRPr="009D1B8B" w:rsidRDefault="00CF585F" w:rsidP="00CF585F">
      <w:pPr>
        <w:pStyle w:val="Sansinterligne"/>
        <w:rPr>
          <w:rFonts w:ascii="Garamond" w:hAnsi="Garamond" w:cs="Times-Roman"/>
          <w:lang w:val="en-US"/>
        </w:rPr>
      </w:pPr>
    </w:p>
    <w:p w:rsidR="005C1841" w:rsidRDefault="00CF585F" w:rsidP="00CF585F">
      <w:pPr>
        <w:pStyle w:val="Sansinterligne"/>
        <w:rPr>
          <w:rFonts w:ascii="Garamond" w:hAnsi="Garamond" w:cs="Times-Roman"/>
          <w:lang w:val="en-US"/>
        </w:rPr>
      </w:pPr>
      <w:r w:rsidRPr="009D1B8B">
        <w:rPr>
          <w:rFonts w:ascii="Garamond" w:hAnsi="Garamond" w:cs="Times-Roman"/>
          <w:lang w:val="en-US"/>
        </w:rPr>
        <w:t>End of the Project Gutenberg EBook of Der Wahn und die Träume in W. Jensens »Gradiva«, by Sigmund Freud</w:t>
      </w:r>
    </w:p>
    <w:p w:rsidR="005C1841" w:rsidRDefault="005C1841">
      <w:pPr>
        <w:rPr>
          <w:rFonts w:ascii="Garamond" w:hAnsi="Garamond" w:cs="Times-Roman"/>
          <w:lang w:val="en-US"/>
        </w:rPr>
      </w:pPr>
      <w:r>
        <w:rPr>
          <w:rFonts w:ascii="Garamond" w:hAnsi="Garamond" w:cs="Times-Roman"/>
          <w:lang w:val="en-US"/>
        </w:rPr>
        <w:br w:type="page"/>
      </w:r>
    </w:p>
    <w:p w:rsidR="005C1841" w:rsidRDefault="005C1841" w:rsidP="005C1841">
      <w:pPr>
        <w:spacing w:after="0" w:line="240" w:lineRule="auto"/>
      </w:pPr>
      <w:r w:rsidRPr="00C820A0">
        <w:rPr>
          <w:rFonts w:ascii="Times New Roman" w:eastAsia="Times New Roman" w:hAnsi="Times New Roman" w:cs="Times New Roman"/>
          <w:b/>
          <w:bCs/>
          <w:sz w:val="27"/>
          <w:szCs w:val="27"/>
          <w:lang w:val="en-US" w:eastAsia="fr-FR"/>
        </w:rPr>
        <w:lastRenderedPageBreak/>
        <w:t>ST</w:t>
      </w:r>
      <w:bookmarkStart w:id="338" w:name="F75"/>
      <w:bookmarkEnd w:id="338"/>
      <w:r w:rsidRPr="00C820A0">
        <w:rPr>
          <w:rFonts w:ascii="Times New Roman" w:eastAsia="Times New Roman" w:hAnsi="Times New Roman" w:cs="Times New Roman"/>
          <w:b/>
          <w:bCs/>
          <w:sz w:val="27"/>
          <w:szCs w:val="27"/>
          <w:lang w:val="en-US" w:eastAsia="fr-FR"/>
        </w:rPr>
        <w:t>UDIEN</w:t>
      </w:r>
      <w:r>
        <w:rPr>
          <w:rFonts w:ascii="Times New Roman" w:eastAsia="Times New Roman" w:hAnsi="Times New Roman" w:cs="Times New Roman"/>
          <w:b/>
          <w:bCs/>
          <w:sz w:val="27"/>
          <w:szCs w:val="27"/>
          <w:lang w:val="en-US" w:eastAsia="fr-FR"/>
        </w:rPr>
        <w:t xml:space="preserve"> </w:t>
      </w:r>
      <w:r w:rsidRPr="00C820A0">
        <w:rPr>
          <w:rFonts w:ascii="Times New Roman" w:eastAsia="Times New Roman" w:hAnsi="Times New Roman" w:cs="Times New Roman"/>
          <w:b/>
          <w:bCs/>
          <w:sz w:val="24"/>
          <w:szCs w:val="24"/>
          <w:lang w:val="en-US" w:eastAsia="fr-FR"/>
        </w:rPr>
        <w:t>ÜBER</w:t>
      </w:r>
      <w:r>
        <w:rPr>
          <w:rFonts w:ascii="Times New Roman" w:eastAsia="Times New Roman" w:hAnsi="Times New Roman" w:cs="Times New Roman"/>
          <w:b/>
          <w:bCs/>
          <w:sz w:val="24"/>
          <w:szCs w:val="24"/>
          <w:lang w:val="en-US" w:eastAsia="fr-FR"/>
        </w:rPr>
        <w:t xml:space="preserve">  </w:t>
      </w:r>
      <w:r w:rsidRPr="00C820A0">
        <w:rPr>
          <w:rFonts w:ascii="Times New Roman" w:eastAsia="Times New Roman" w:hAnsi="Times New Roman" w:cs="Times New Roman"/>
          <w:b/>
          <w:bCs/>
          <w:sz w:val="27"/>
          <w:szCs w:val="27"/>
          <w:lang w:val="en-US" w:eastAsia="fr-FR"/>
        </w:rPr>
        <w:t>HYSTERIE</w:t>
      </w:r>
      <w:r>
        <w:rPr>
          <w:rFonts w:ascii="Times New Roman" w:eastAsia="Times New Roman" w:hAnsi="Times New Roman" w:cs="Times New Roman"/>
          <w:b/>
          <w:bCs/>
          <w:sz w:val="27"/>
          <w:szCs w:val="27"/>
          <w:lang w:val="en-US" w:eastAsia="fr-FR"/>
        </w:rPr>
        <w:t xml:space="preserve">                                                               </w:t>
      </w:r>
      <w:hyperlink w:anchor="Werke" w:history="1">
        <w:r w:rsidRPr="0018684C">
          <w:rPr>
            <w:rStyle w:val="Lienhypertexte"/>
            <w:rFonts w:ascii="Garamond" w:hAnsi="Garamond"/>
            <w:lang w:val="en-US"/>
          </w:rPr>
          <w:t>We</w:t>
        </w:r>
        <w:r w:rsidRPr="0018684C">
          <w:rPr>
            <w:rStyle w:val="Lienhypertexte"/>
            <w:rFonts w:ascii="Garamond" w:hAnsi="Garamond"/>
            <w:lang w:val="en-US"/>
          </w:rPr>
          <w:t>r</w:t>
        </w:r>
        <w:r w:rsidRPr="0018684C">
          <w:rPr>
            <w:rStyle w:val="Lienhypertexte"/>
            <w:rFonts w:ascii="Garamond" w:hAnsi="Garamond"/>
            <w:lang w:val="en-US"/>
          </w:rPr>
          <w:t>ke</w:t>
        </w:r>
      </w:hyperlink>
    </w:p>
    <w:p w:rsidR="005C1841" w:rsidRDefault="005C1841" w:rsidP="005C1841">
      <w:pPr>
        <w:spacing w:after="0" w:line="240" w:lineRule="auto"/>
        <w:jc w:val="center"/>
        <w:rPr>
          <w:rFonts w:ascii="Times New Roman" w:eastAsia="Times New Roman" w:hAnsi="Times New Roman" w:cs="Times New Roman"/>
          <w:b/>
          <w:bCs/>
          <w:sz w:val="24"/>
          <w:szCs w:val="24"/>
          <w:lang w:val="en-US" w:eastAsia="fr-FR"/>
        </w:rPr>
      </w:pPr>
    </w:p>
    <w:p w:rsidR="005C1841" w:rsidRPr="005C1841" w:rsidRDefault="005C1841" w:rsidP="005C1841">
      <w:pPr>
        <w:spacing w:after="0" w:line="240" w:lineRule="auto"/>
        <w:jc w:val="center"/>
        <w:rPr>
          <w:rFonts w:ascii="Times New Roman" w:eastAsia="Times New Roman" w:hAnsi="Times New Roman" w:cs="Times New Roman"/>
          <w:b/>
          <w:bCs/>
          <w:sz w:val="24"/>
          <w:szCs w:val="24"/>
          <w:lang w:val="en-US" w:eastAsia="fr-FR"/>
        </w:rPr>
      </w:pPr>
      <w:r w:rsidRPr="00C820A0">
        <w:rPr>
          <w:rFonts w:ascii="Times New Roman" w:eastAsia="Times New Roman" w:hAnsi="Times New Roman" w:cs="Times New Roman"/>
          <w:b/>
          <w:bCs/>
          <w:sz w:val="24"/>
          <w:szCs w:val="24"/>
          <w:lang w:val="en-US" w:eastAsia="fr-FR"/>
        </w:rPr>
        <w:t>VON</w:t>
      </w:r>
    </w:p>
    <w:p w:rsidR="005C1841" w:rsidRPr="00C820A0" w:rsidRDefault="005C1841" w:rsidP="005C1841">
      <w:pPr>
        <w:spacing w:after="0" w:line="240" w:lineRule="auto"/>
        <w:jc w:val="center"/>
        <w:rPr>
          <w:rFonts w:ascii="Times New Roman" w:eastAsia="Times New Roman" w:hAnsi="Times New Roman" w:cs="Times New Roman"/>
          <w:sz w:val="24"/>
          <w:szCs w:val="24"/>
          <w:lang w:val="en-US" w:eastAsia="fr-FR"/>
        </w:rPr>
      </w:pPr>
    </w:p>
    <w:p w:rsidR="005C1841" w:rsidRDefault="005C1841" w:rsidP="005C1841">
      <w:pPr>
        <w:spacing w:after="0" w:line="240" w:lineRule="auto"/>
        <w:jc w:val="center"/>
        <w:rPr>
          <w:rFonts w:ascii="Times New Roman" w:eastAsia="Times New Roman" w:hAnsi="Times New Roman" w:cs="Times New Roman"/>
          <w:b/>
          <w:bCs/>
          <w:sz w:val="27"/>
          <w:szCs w:val="27"/>
          <w:lang w:val="en-US" w:eastAsia="fr-FR"/>
        </w:rPr>
      </w:pPr>
      <w:r w:rsidRPr="00C820A0">
        <w:rPr>
          <w:rFonts w:ascii="Times New Roman" w:eastAsia="Times New Roman" w:hAnsi="Times New Roman" w:cs="Times New Roman"/>
          <w:b/>
          <w:bCs/>
          <w:sz w:val="27"/>
          <w:szCs w:val="27"/>
          <w:lang w:val="en-US" w:eastAsia="fr-FR"/>
        </w:rPr>
        <w:t>Dr. JOS. BREUER</w:t>
      </w:r>
      <w:r w:rsidRPr="00C820A0">
        <w:rPr>
          <w:rFonts w:ascii="Times New Roman" w:eastAsia="Times New Roman" w:hAnsi="Times New Roman" w:cs="Times New Roman"/>
          <w:b/>
          <w:bCs/>
          <w:sz w:val="24"/>
          <w:szCs w:val="24"/>
          <w:lang w:val="en-US" w:eastAsia="fr-FR"/>
        </w:rPr>
        <w:t xml:space="preserve"> UND </w:t>
      </w:r>
      <w:r w:rsidRPr="00C820A0">
        <w:rPr>
          <w:rFonts w:ascii="Times New Roman" w:eastAsia="Times New Roman" w:hAnsi="Times New Roman" w:cs="Times New Roman"/>
          <w:b/>
          <w:bCs/>
          <w:sz w:val="27"/>
          <w:szCs w:val="27"/>
          <w:lang w:val="en-US" w:eastAsia="fr-FR"/>
        </w:rPr>
        <w:t>Dr. SIGM. FREUD</w:t>
      </w:r>
    </w:p>
    <w:p w:rsidR="005C1841" w:rsidRPr="00C820A0" w:rsidRDefault="005C1841" w:rsidP="005C1841">
      <w:pPr>
        <w:spacing w:after="0" w:line="240" w:lineRule="auto"/>
        <w:jc w:val="center"/>
        <w:rPr>
          <w:rFonts w:ascii="Times New Roman" w:eastAsia="Times New Roman" w:hAnsi="Times New Roman" w:cs="Times New Roman"/>
          <w:sz w:val="24"/>
          <w:szCs w:val="24"/>
          <w:lang w:val="en-US" w:eastAsia="fr-FR"/>
        </w:rPr>
      </w:pPr>
    </w:p>
    <w:p w:rsidR="005C1841" w:rsidRPr="00C820A0" w:rsidRDefault="005C1841" w:rsidP="005C1841">
      <w:pPr>
        <w:spacing w:after="0" w:line="240" w:lineRule="auto"/>
        <w:jc w:val="center"/>
        <w:rPr>
          <w:rFonts w:ascii="Times New Roman" w:eastAsia="Times New Roman" w:hAnsi="Times New Roman" w:cs="Times New Roman"/>
          <w:sz w:val="24"/>
          <w:szCs w:val="24"/>
          <w:lang w:val="en-US" w:eastAsia="fr-FR"/>
        </w:rPr>
      </w:pPr>
      <w:r w:rsidRPr="00C820A0">
        <w:rPr>
          <w:rFonts w:ascii="Times New Roman" w:eastAsia="Times New Roman" w:hAnsi="Times New Roman" w:cs="Times New Roman"/>
          <w:b/>
          <w:bCs/>
          <w:sz w:val="24"/>
          <w:szCs w:val="24"/>
          <w:lang w:val="en-US" w:eastAsia="fr-FR"/>
        </w:rPr>
        <w:t>IN WIEN.</w:t>
      </w:r>
    </w:p>
    <w:p w:rsidR="005C1841" w:rsidRPr="00C820A0" w:rsidRDefault="005C1841" w:rsidP="005C1841">
      <w:pPr>
        <w:spacing w:before="100" w:beforeAutospacing="1" w:after="100" w:afterAutospacing="1" w:line="240" w:lineRule="auto"/>
        <w:rPr>
          <w:rFonts w:ascii="Times New Roman" w:eastAsia="Times New Roman" w:hAnsi="Times New Roman" w:cs="Times New Roman"/>
          <w:sz w:val="24"/>
          <w:szCs w:val="24"/>
          <w:lang w:val="en-US" w:eastAsia="fr-FR"/>
        </w:rPr>
      </w:pPr>
    </w:p>
    <w:p w:rsidR="005C1841" w:rsidRPr="00C820A0" w:rsidRDefault="005C1841" w:rsidP="005C1841">
      <w:pPr>
        <w:spacing w:after="0" w:line="240" w:lineRule="auto"/>
        <w:jc w:val="center"/>
        <w:rPr>
          <w:rFonts w:ascii="Times New Roman" w:eastAsia="Times New Roman" w:hAnsi="Times New Roman" w:cs="Times New Roman"/>
          <w:sz w:val="24"/>
          <w:szCs w:val="24"/>
          <w:lang w:val="en-US" w:eastAsia="fr-FR"/>
        </w:rPr>
      </w:pPr>
      <w:r w:rsidRPr="00C820A0">
        <w:rPr>
          <w:rFonts w:ascii="Times New Roman" w:eastAsia="Times New Roman" w:hAnsi="Times New Roman" w:cs="Times New Roman"/>
          <w:b/>
          <w:bCs/>
          <w:sz w:val="24"/>
          <w:szCs w:val="24"/>
          <w:lang w:val="en-US" w:eastAsia="fr-FR"/>
        </w:rPr>
        <w:t>LEIPZIG UND WIEN.</w:t>
      </w:r>
    </w:p>
    <w:p w:rsidR="005C1841" w:rsidRPr="00C820A0" w:rsidRDefault="005C1841" w:rsidP="005C1841">
      <w:pPr>
        <w:spacing w:after="0" w:line="240" w:lineRule="auto"/>
        <w:jc w:val="center"/>
        <w:rPr>
          <w:rFonts w:ascii="Times New Roman" w:eastAsia="Times New Roman" w:hAnsi="Times New Roman" w:cs="Times New Roman"/>
          <w:sz w:val="24"/>
          <w:szCs w:val="24"/>
          <w:lang w:val="en-US" w:eastAsia="fr-FR"/>
        </w:rPr>
      </w:pPr>
      <w:r w:rsidRPr="00C820A0">
        <w:rPr>
          <w:rFonts w:ascii="Times New Roman" w:eastAsia="Times New Roman" w:hAnsi="Times New Roman" w:cs="Times New Roman"/>
          <w:b/>
          <w:bCs/>
          <w:sz w:val="24"/>
          <w:szCs w:val="24"/>
          <w:lang w:val="en-US" w:eastAsia="fr-FR"/>
        </w:rPr>
        <w:t>FRANZ DEUTICKE.</w:t>
      </w:r>
    </w:p>
    <w:p w:rsidR="005C1841" w:rsidRDefault="005C1841" w:rsidP="005C1841">
      <w:pPr>
        <w:spacing w:after="0" w:line="240" w:lineRule="auto"/>
        <w:jc w:val="center"/>
        <w:rPr>
          <w:rFonts w:ascii="Times New Roman" w:eastAsia="Times New Roman" w:hAnsi="Times New Roman" w:cs="Times New Roman"/>
          <w:b/>
          <w:bCs/>
          <w:sz w:val="24"/>
          <w:szCs w:val="24"/>
          <w:lang w:val="en-US" w:eastAsia="fr-FR"/>
        </w:rPr>
      </w:pPr>
      <w:r w:rsidRPr="00C820A0">
        <w:rPr>
          <w:rFonts w:ascii="Times New Roman" w:eastAsia="Times New Roman" w:hAnsi="Times New Roman" w:cs="Times New Roman"/>
          <w:b/>
          <w:bCs/>
          <w:sz w:val="24"/>
          <w:szCs w:val="24"/>
          <w:lang w:val="en-US" w:eastAsia="fr-FR"/>
        </w:rPr>
        <w:t>1895.</w:t>
      </w:r>
    </w:p>
    <w:p w:rsidR="005C1841" w:rsidRDefault="005C1841" w:rsidP="005C1841">
      <w:pPr>
        <w:spacing w:after="0" w:line="400" w:lineRule="atLeast"/>
        <w:jc w:val="center"/>
        <w:rPr>
          <w:rFonts w:ascii="Times New Roman" w:eastAsia="Times New Roman" w:hAnsi="Times New Roman" w:cs="Times New Roman"/>
          <w:lang w:val="en-US" w:eastAsia="fr-FR"/>
        </w:rPr>
      </w:pPr>
    </w:p>
    <w:p w:rsidR="005C1841" w:rsidRPr="00C820A0" w:rsidRDefault="005C1841" w:rsidP="005C1841">
      <w:pPr>
        <w:spacing w:after="0" w:line="400" w:lineRule="atLeast"/>
        <w:jc w:val="center"/>
        <w:rPr>
          <w:rFonts w:ascii="Times New Roman" w:eastAsia="Times New Roman" w:hAnsi="Times New Roman" w:cs="Times New Roman"/>
          <w:lang w:val="en-US" w:eastAsia="fr-FR"/>
        </w:rPr>
      </w:pPr>
      <w:r w:rsidRPr="00C820A0">
        <w:rPr>
          <w:rFonts w:ascii="Times New Roman" w:eastAsia="Times New Roman" w:hAnsi="Times New Roman" w:cs="Times New Roman"/>
          <w:lang w:val="en-US" w:eastAsia="fr-FR"/>
        </w:rPr>
        <w:t>Druck von Rudolf M. Rohrer in Brünn.</w:t>
      </w:r>
    </w:p>
    <w:p w:rsidR="005C1841" w:rsidRPr="00C820A0" w:rsidRDefault="005C1841" w:rsidP="005C1841">
      <w:pPr>
        <w:spacing w:after="0" w:line="240" w:lineRule="auto"/>
        <w:jc w:val="center"/>
        <w:rPr>
          <w:rFonts w:ascii="Times New Roman" w:eastAsia="Times New Roman" w:hAnsi="Times New Roman" w:cs="Times New Roman"/>
          <w:b/>
          <w:bCs/>
          <w:sz w:val="27"/>
          <w:szCs w:val="27"/>
          <w:lang w:val="en-US" w:eastAsia="fr-FR"/>
        </w:rPr>
      </w:pPr>
    </w:p>
    <w:p w:rsidR="005C1841" w:rsidRPr="00C820A0" w:rsidRDefault="005C1841" w:rsidP="005C1841">
      <w:pPr>
        <w:spacing w:after="0" w:line="240" w:lineRule="auto"/>
        <w:jc w:val="center"/>
        <w:rPr>
          <w:rFonts w:ascii="Times New Roman" w:eastAsia="Times New Roman" w:hAnsi="Times New Roman" w:cs="Times New Roman"/>
          <w:b/>
          <w:bCs/>
          <w:sz w:val="27"/>
          <w:szCs w:val="27"/>
          <w:lang w:val="en-US" w:eastAsia="fr-FR"/>
        </w:rPr>
      </w:pPr>
    </w:p>
    <w:p w:rsidR="005C1841" w:rsidRPr="00C820A0" w:rsidRDefault="005C1841" w:rsidP="005C1841">
      <w:pPr>
        <w:spacing w:after="0" w:line="240" w:lineRule="auto"/>
        <w:jc w:val="center"/>
        <w:rPr>
          <w:rFonts w:ascii="Times New Roman" w:eastAsia="Times New Roman" w:hAnsi="Times New Roman" w:cs="Times New Roman"/>
          <w:sz w:val="24"/>
          <w:szCs w:val="24"/>
          <w:lang w:eastAsia="fr-FR"/>
        </w:rPr>
      </w:pPr>
      <w:r w:rsidRPr="00C820A0">
        <w:rPr>
          <w:rFonts w:ascii="Times New Roman" w:eastAsia="Times New Roman" w:hAnsi="Times New Roman" w:cs="Times New Roman"/>
          <w:b/>
          <w:bCs/>
          <w:sz w:val="27"/>
          <w:szCs w:val="27"/>
          <w:lang w:eastAsia="fr-FR"/>
        </w:rPr>
        <w:t>INHALTS-VERZEICHNISS.</w:t>
      </w:r>
    </w:p>
    <w:tbl>
      <w:tblPr>
        <w:tblW w:w="0" w:type="auto"/>
        <w:jc w:val="center"/>
        <w:tblCellSpacing w:w="15" w:type="dxa"/>
        <w:tblCellMar>
          <w:top w:w="15" w:type="dxa"/>
          <w:left w:w="15" w:type="dxa"/>
          <w:bottom w:w="15" w:type="dxa"/>
          <w:right w:w="15" w:type="dxa"/>
        </w:tblCellMar>
        <w:tblLook w:val="04A0"/>
      </w:tblPr>
      <w:tblGrid>
        <w:gridCol w:w="389"/>
        <w:gridCol w:w="8218"/>
        <w:gridCol w:w="555"/>
      </w:tblGrid>
      <w:tr w:rsidR="005C1841" w:rsidRPr="00C820A0" w:rsidTr="001A15C6">
        <w:trPr>
          <w:tblCellSpacing w:w="15" w:type="dxa"/>
          <w:jc w:val="center"/>
        </w:trPr>
        <w:tc>
          <w:tcPr>
            <w:tcW w:w="0" w:type="auto"/>
            <w:gridSpan w:val="2"/>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Seite</w:t>
            </w:r>
          </w:p>
        </w:tc>
      </w:tr>
      <w:tr w:rsidR="005C1841" w:rsidRPr="00C820A0" w:rsidTr="001A15C6">
        <w:trPr>
          <w:tblCellSpacing w:w="15" w:type="dxa"/>
          <w:jc w:val="center"/>
        </w:trPr>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I.</w:t>
            </w:r>
          </w:p>
        </w:tc>
        <w:tc>
          <w:tcPr>
            <w:tcW w:w="0" w:type="auto"/>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val="en-US" w:eastAsia="fr-FR"/>
              </w:rPr>
            </w:pPr>
            <w:r w:rsidRPr="00C820A0">
              <w:rPr>
                <w:rFonts w:ascii="Times New Roman" w:eastAsia="Times New Roman" w:hAnsi="Times New Roman" w:cs="Times New Roman"/>
                <w:sz w:val="24"/>
                <w:szCs w:val="24"/>
                <w:lang w:val="en-US" w:eastAsia="fr-FR"/>
              </w:rPr>
              <w:t xml:space="preserve">Ueber den psychischen Mechanismus hysterischer Phänomene. Von J. </w:t>
            </w:r>
            <w:r w:rsidRPr="00C820A0">
              <w:rPr>
                <w:rFonts w:ascii="Times New Roman" w:eastAsia="Times New Roman" w:hAnsi="Times New Roman" w:cs="Times New Roman"/>
                <w:i/>
                <w:iCs/>
                <w:sz w:val="24"/>
                <w:szCs w:val="24"/>
                <w:lang w:val="en-US" w:eastAsia="fr-FR"/>
              </w:rPr>
              <w:t>Breuer</w:t>
            </w:r>
            <w:r w:rsidRPr="00C820A0">
              <w:rPr>
                <w:rFonts w:ascii="Times New Roman" w:eastAsia="Times New Roman" w:hAnsi="Times New Roman" w:cs="Times New Roman"/>
                <w:sz w:val="24"/>
                <w:szCs w:val="24"/>
                <w:lang w:val="en-US" w:eastAsia="fr-FR"/>
              </w:rPr>
              <w:t xml:space="preserve"> und Sigm. </w:t>
            </w:r>
            <w:r w:rsidRPr="00C820A0">
              <w:rPr>
                <w:rFonts w:ascii="Times New Roman" w:eastAsia="Times New Roman" w:hAnsi="Times New Roman" w:cs="Times New Roman"/>
                <w:i/>
                <w:iCs/>
                <w:sz w:val="24"/>
                <w:szCs w:val="24"/>
                <w:lang w:val="en-US" w:eastAsia="fr-FR"/>
              </w:rPr>
              <w:t>Freud</w:t>
            </w: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val="en-US" w:eastAsia="fr-FR"/>
              </w:rPr>
            </w:pPr>
          </w:p>
        </w:tc>
      </w:tr>
      <w:tr w:rsidR="005C1841" w:rsidRPr="00C820A0" w:rsidTr="001A15C6">
        <w:trPr>
          <w:tblCellSpacing w:w="15" w:type="dxa"/>
          <w:jc w:val="center"/>
        </w:trPr>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II.</w:t>
            </w:r>
          </w:p>
        </w:tc>
        <w:tc>
          <w:tcPr>
            <w:tcW w:w="0" w:type="auto"/>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Krankengeschichten:</w:t>
            </w: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r>
      <w:tr w:rsidR="005C1841" w:rsidRPr="00C820A0" w:rsidTr="001A15C6">
        <w:trPr>
          <w:tblCellSpacing w:w="15" w:type="dxa"/>
          <w:jc w:val="center"/>
        </w:trPr>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c>
          <w:tcPr>
            <w:tcW w:w="0" w:type="auto"/>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val="en-US" w:eastAsia="fr-FR"/>
              </w:rPr>
              <w:t xml:space="preserve">     Beobachtung I. Frl. Anna O… </w:t>
            </w:r>
            <w:r w:rsidRPr="00C820A0">
              <w:rPr>
                <w:rFonts w:ascii="Times New Roman" w:eastAsia="Times New Roman" w:hAnsi="Times New Roman" w:cs="Times New Roman"/>
                <w:sz w:val="24"/>
                <w:szCs w:val="24"/>
                <w:lang w:eastAsia="fr-FR"/>
              </w:rPr>
              <w:t>(</w:t>
            </w:r>
            <w:r w:rsidRPr="00C820A0">
              <w:rPr>
                <w:rFonts w:ascii="Times New Roman" w:eastAsia="Times New Roman" w:hAnsi="Times New Roman" w:cs="Times New Roman"/>
                <w:i/>
                <w:iCs/>
                <w:sz w:val="24"/>
                <w:szCs w:val="24"/>
                <w:lang w:eastAsia="fr-FR"/>
              </w:rPr>
              <w:t>Breuer</w:t>
            </w:r>
            <w:r w:rsidRPr="00C820A0">
              <w:rPr>
                <w:rFonts w:ascii="Times New Roman" w:eastAsia="Times New Roman" w:hAnsi="Times New Roman" w:cs="Times New Roman"/>
                <w:sz w:val="24"/>
                <w:szCs w:val="24"/>
                <w:lang w:eastAsia="fr-FR"/>
              </w:rPr>
              <w:t>)</w:t>
            </w: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r>
      <w:tr w:rsidR="005C1841" w:rsidRPr="00C820A0" w:rsidTr="001A15C6">
        <w:trPr>
          <w:tblCellSpacing w:w="15" w:type="dxa"/>
          <w:jc w:val="center"/>
        </w:trPr>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c>
          <w:tcPr>
            <w:tcW w:w="0" w:type="auto"/>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val="en-US" w:eastAsia="fr-FR"/>
              </w:rPr>
              <w:t xml:space="preserve">     Beobachtung II. Frau Emmy v. N… </w:t>
            </w:r>
            <w:r w:rsidRPr="00C820A0">
              <w:rPr>
                <w:rFonts w:ascii="Times New Roman" w:eastAsia="Times New Roman" w:hAnsi="Times New Roman" w:cs="Times New Roman"/>
                <w:sz w:val="24"/>
                <w:szCs w:val="24"/>
                <w:lang w:eastAsia="fr-FR"/>
              </w:rPr>
              <w:t>(</w:t>
            </w:r>
            <w:r w:rsidRPr="00C820A0">
              <w:rPr>
                <w:rFonts w:ascii="Times New Roman" w:eastAsia="Times New Roman" w:hAnsi="Times New Roman" w:cs="Times New Roman"/>
                <w:i/>
                <w:iCs/>
                <w:sz w:val="24"/>
                <w:szCs w:val="24"/>
                <w:lang w:eastAsia="fr-FR"/>
              </w:rPr>
              <w:t>Freud</w:t>
            </w:r>
            <w:r w:rsidRPr="00C820A0">
              <w:rPr>
                <w:rFonts w:ascii="Times New Roman" w:eastAsia="Times New Roman" w:hAnsi="Times New Roman" w:cs="Times New Roman"/>
                <w:sz w:val="24"/>
                <w:szCs w:val="24"/>
                <w:lang w:eastAsia="fr-FR"/>
              </w:rPr>
              <w:t>)</w:t>
            </w: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r>
      <w:tr w:rsidR="005C1841" w:rsidRPr="00C820A0" w:rsidTr="001A15C6">
        <w:trPr>
          <w:tblCellSpacing w:w="15" w:type="dxa"/>
          <w:jc w:val="center"/>
        </w:trPr>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c>
          <w:tcPr>
            <w:tcW w:w="0" w:type="auto"/>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     Beobachtung III. Frl. Lucie R… (</w:t>
            </w:r>
            <w:r w:rsidRPr="00C820A0">
              <w:rPr>
                <w:rFonts w:ascii="Times New Roman" w:eastAsia="Times New Roman" w:hAnsi="Times New Roman" w:cs="Times New Roman"/>
                <w:i/>
                <w:iCs/>
                <w:sz w:val="24"/>
                <w:szCs w:val="24"/>
                <w:lang w:eastAsia="fr-FR"/>
              </w:rPr>
              <w:t>Freud</w:t>
            </w:r>
            <w:r w:rsidRPr="00C820A0">
              <w:rPr>
                <w:rFonts w:ascii="Times New Roman" w:eastAsia="Times New Roman" w:hAnsi="Times New Roman" w:cs="Times New Roman"/>
                <w:sz w:val="24"/>
                <w:szCs w:val="24"/>
                <w:lang w:eastAsia="fr-FR"/>
              </w:rPr>
              <w:t>)</w:t>
            </w: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r>
      <w:tr w:rsidR="005C1841" w:rsidRPr="00C820A0" w:rsidTr="001A15C6">
        <w:trPr>
          <w:tblCellSpacing w:w="15" w:type="dxa"/>
          <w:jc w:val="center"/>
        </w:trPr>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c>
          <w:tcPr>
            <w:tcW w:w="0" w:type="auto"/>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     Beobachtung IV. Katharina … (</w:t>
            </w:r>
            <w:r w:rsidRPr="00C820A0">
              <w:rPr>
                <w:rFonts w:ascii="Times New Roman" w:eastAsia="Times New Roman" w:hAnsi="Times New Roman" w:cs="Times New Roman"/>
                <w:i/>
                <w:iCs/>
                <w:sz w:val="24"/>
                <w:szCs w:val="24"/>
                <w:lang w:eastAsia="fr-FR"/>
              </w:rPr>
              <w:t>Freud</w:t>
            </w:r>
            <w:r w:rsidRPr="00C820A0">
              <w:rPr>
                <w:rFonts w:ascii="Times New Roman" w:eastAsia="Times New Roman" w:hAnsi="Times New Roman" w:cs="Times New Roman"/>
                <w:sz w:val="24"/>
                <w:szCs w:val="24"/>
                <w:lang w:eastAsia="fr-FR"/>
              </w:rPr>
              <w:t>)</w:t>
            </w: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r>
      <w:tr w:rsidR="005C1841" w:rsidRPr="00C820A0" w:rsidTr="001A15C6">
        <w:trPr>
          <w:tblCellSpacing w:w="15" w:type="dxa"/>
          <w:jc w:val="center"/>
        </w:trPr>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c>
          <w:tcPr>
            <w:tcW w:w="0" w:type="auto"/>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val="en-US" w:eastAsia="fr-FR"/>
              </w:rPr>
              <w:t xml:space="preserve">     Beobachtung V. Frl. Elisabeth v. R… </w:t>
            </w:r>
            <w:r w:rsidRPr="00C820A0">
              <w:rPr>
                <w:rFonts w:ascii="Times New Roman" w:eastAsia="Times New Roman" w:hAnsi="Times New Roman" w:cs="Times New Roman"/>
                <w:sz w:val="24"/>
                <w:szCs w:val="24"/>
                <w:lang w:eastAsia="fr-FR"/>
              </w:rPr>
              <w:t>(</w:t>
            </w:r>
            <w:r w:rsidRPr="00C820A0">
              <w:rPr>
                <w:rFonts w:ascii="Times New Roman" w:eastAsia="Times New Roman" w:hAnsi="Times New Roman" w:cs="Times New Roman"/>
                <w:i/>
                <w:iCs/>
                <w:sz w:val="24"/>
                <w:szCs w:val="24"/>
                <w:lang w:eastAsia="fr-FR"/>
              </w:rPr>
              <w:t>Freud</w:t>
            </w:r>
            <w:r w:rsidRPr="00C820A0">
              <w:rPr>
                <w:rFonts w:ascii="Times New Roman" w:eastAsia="Times New Roman" w:hAnsi="Times New Roman" w:cs="Times New Roman"/>
                <w:sz w:val="24"/>
                <w:szCs w:val="24"/>
                <w:lang w:eastAsia="fr-FR"/>
              </w:rPr>
              <w:t>)</w:t>
            </w: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r>
      <w:tr w:rsidR="005C1841" w:rsidRPr="00C820A0" w:rsidTr="001A15C6">
        <w:trPr>
          <w:tblCellSpacing w:w="15" w:type="dxa"/>
          <w:jc w:val="center"/>
        </w:trPr>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III.</w:t>
            </w:r>
          </w:p>
        </w:tc>
        <w:tc>
          <w:tcPr>
            <w:tcW w:w="0" w:type="auto"/>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 xml:space="preserve">Theoretisches (J. </w:t>
            </w:r>
            <w:r w:rsidRPr="00C820A0">
              <w:rPr>
                <w:rFonts w:ascii="Times New Roman" w:eastAsia="Times New Roman" w:hAnsi="Times New Roman" w:cs="Times New Roman"/>
                <w:i/>
                <w:iCs/>
                <w:sz w:val="24"/>
                <w:szCs w:val="24"/>
                <w:lang w:eastAsia="fr-FR"/>
              </w:rPr>
              <w:t>Breuer</w:t>
            </w:r>
            <w:r w:rsidRPr="00C820A0">
              <w:rPr>
                <w:rFonts w:ascii="Times New Roman" w:eastAsia="Times New Roman" w:hAnsi="Times New Roman" w:cs="Times New Roman"/>
                <w:sz w:val="24"/>
                <w:szCs w:val="24"/>
                <w:lang w:eastAsia="fr-FR"/>
              </w:rPr>
              <w:t>)</w:t>
            </w: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r>
      <w:tr w:rsidR="005C1841" w:rsidRPr="00C820A0" w:rsidTr="001A15C6">
        <w:trPr>
          <w:tblCellSpacing w:w="15" w:type="dxa"/>
          <w:jc w:val="center"/>
        </w:trPr>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IV.</w:t>
            </w:r>
          </w:p>
        </w:tc>
        <w:tc>
          <w:tcPr>
            <w:tcW w:w="0" w:type="auto"/>
            <w:vAlign w:val="center"/>
            <w:hideMark/>
          </w:tcPr>
          <w:p w:rsidR="005C1841" w:rsidRPr="00C820A0" w:rsidRDefault="005C1841" w:rsidP="001A15C6">
            <w:pPr>
              <w:spacing w:after="0" w:line="240" w:lineRule="auto"/>
              <w:rPr>
                <w:rFonts w:ascii="Times New Roman" w:eastAsia="Times New Roman" w:hAnsi="Times New Roman" w:cs="Times New Roman"/>
                <w:sz w:val="24"/>
                <w:szCs w:val="24"/>
                <w:lang w:eastAsia="fr-FR"/>
              </w:rPr>
            </w:pPr>
            <w:r w:rsidRPr="00C820A0">
              <w:rPr>
                <w:rFonts w:ascii="Times New Roman" w:eastAsia="Times New Roman" w:hAnsi="Times New Roman" w:cs="Times New Roman"/>
                <w:sz w:val="24"/>
                <w:szCs w:val="24"/>
                <w:lang w:eastAsia="fr-FR"/>
              </w:rPr>
              <w:t>Zur Psychotherapie der Hysterie (</w:t>
            </w:r>
            <w:r w:rsidRPr="00C820A0">
              <w:rPr>
                <w:rFonts w:ascii="Times New Roman" w:eastAsia="Times New Roman" w:hAnsi="Times New Roman" w:cs="Times New Roman"/>
                <w:i/>
                <w:iCs/>
                <w:sz w:val="24"/>
                <w:szCs w:val="24"/>
                <w:lang w:eastAsia="fr-FR"/>
              </w:rPr>
              <w:t>Freud</w:t>
            </w:r>
            <w:r w:rsidRPr="00C820A0">
              <w:rPr>
                <w:rFonts w:ascii="Times New Roman" w:eastAsia="Times New Roman" w:hAnsi="Times New Roman" w:cs="Times New Roman"/>
                <w:sz w:val="24"/>
                <w:szCs w:val="24"/>
                <w:lang w:eastAsia="fr-FR"/>
              </w:rPr>
              <w:t>)</w:t>
            </w:r>
          </w:p>
        </w:tc>
        <w:tc>
          <w:tcPr>
            <w:tcW w:w="0" w:type="auto"/>
            <w:vAlign w:val="center"/>
            <w:hideMark/>
          </w:tcPr>
          <w:p w:rsidR="005C1841" w:rsidRPr="00C820A0" w:rsidRDefault="005C1841" w:rsidP="001A15C6">
            <w:pPr>
              <w:spacing w:after="0" w:line="240" w:lineRule="auto"/>
              <w:jc w:val="right"/>
              <w:rPr>
                <w:rFonts w:ascii="Times New Roman" w:eastAsia="Times New Roman" w:hAnsi="Times New Roman" w:cs="Times New Roman"/>
                <w:sz w:val="24"/>
                <w:szCs w:val="24"/>
                <w:lang w:eastAsia="fr-FR"/>
              </w:rPr>
            </w:pPr>
          </w:p>
        </w:tc>
      </w:tr>
    </w:tbl>
    <w:p w:rsidR="005C1841" w:rsidRDefault="005C1841" w:rsidP="005C1841">
      <w:pPr>
        <w:rPr>
          <w:rFonts w:ascii="Garamond" w:hAnsi="Garamond"/>
          <w:sz w:val="20"/>
          <w:szCs w:val="20"/>
          <w:lang w:eastAsia="fr-FR"/>
        </w:rPr>
      </w:pPr>
      <w:r>
        <w:rPr>
          <w:rFonts w:ascii="Garamond" w:hAnsi="Garamond"/>
          <w:sz w:val="20"/>
          <w:szCs w:val="20"/>
          <w:lang w:eastAsia="fr-FR"/>
        </w:rPr>
        <w:br w:type="page"/>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lastRenderedPageBreak/>
        <w:t>VORWORT.</w: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0"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Wir haben unsere Erfahrungen über eine neue Methode der Erforschung und Behandlung hysterischer Phänomene 1893 in einer „Vorläufigen Mittheilung"</w:t>
      </w:r>
      <w:hyperlink r:id="rId1598" w:anchor="cite_note-0" w:history="1">
        <w:r w:rsidRPr="00C820A0">
          <w:rPr>
            <w:rFonts w:ascii="Garamond" w:hAnsi="Garamond"/>
            <w:color w:val="0000FF"/>
            <w:sz w:val="20"/>
            <w:szCs w:val="20"/>
            <w:u w:val="single"/>
            <w:vertAlign w:val="superscript"/>
            <w:lang w:eastAsia="fr-FR"/>
          </w:rPr>
          <w:t>[1]</w:t>
        </w:r>
      </w:hyperlink>
      <w:r w:rsidRPr="00C820A0">
        <w:rPr>
          <w:rFonts w:ascii="Garamond" w:hAnsi="Garamond"/>
          <w:sz w:val="20"/>
          <w:szCs w:val="20"/>
          <w:lang w:eastAsia="fr-FR"/>
        </w:rPr>
        <w:t xml:space="preserve"> veröffentlicht und daran in möglichster Knappheit die theoretischen Anschauungen geknüpft, zu denen wir gekommen waren. </w:t>
      </w:r>
      <w:r w:rsidRPr="00C820A0">
        <w:rPr>
          <w:rFonts w:ascii="Garamond" w:hAnsi="Garamond"/>
          <w:sz w:val="20"/>
          <w:szCs w:val="20"/>
          <w:lang w:val="en-US" w:eastAsia="fr-FR"/>
        </w:rPr>
        <w:t>Diese „Vorläufige Mittheilung" wird hier, als die zu illustrirende und zu erweisende These, nochmals abgedruckt.</w:t>
      </w:r>
    </w:p>
    <w:p w:rsidR="005C1841" w:rsidRPr="00C820A0" w:rsidRDefault="005C1841" w:rsidP="005C1841">
      <w:pPr>
        <w:pStyle w:val="Sansinterligne"/>
        <w:rPr>
          <w:rFonts w:ascii="Garamond" w:hAnsi="Garamond"/>
          <w:sz w:val="20"/>
          <w:szCs w:val="20"/>
          <w:lang w:val="en-US" w:eastAsia="fr-FR"/>
        </w:rPr>
      </w:pPr>
      <w:r w:rsidRPr="005C1841">
        <w:rPr>
          <w:rFonts w:ascii="Garamond" w:hAnsi="Garamond"/>
          <w:sz w:val="20"/>
          <w:szCs w:val="20"/>
          <w:lang w:val="en-US" w:eastAsia="fr-FR"/>
        </w:rPr>
        <w:t xml:space="preserve">Wir schliessen nun hieran eine Reihe von Krankenbeobachtungen, bei deren Auswahl wir uns leider nicht bloss von wissenschaftlichen Rücksichten bestimmen lassen durften. </w:t>
      </w:r>
      <w:r w:rsidRPr="00C820A0">
        <w:rPr>
          <w:rFonts w:ascii="Garamond" w:hAnsi="Garamond"/>
          <w:sz w:val="20"/>
          <w:szCs w:val="20"/>
          <w:lang w:val="en-US" w:eastAsia="fr-FR"/>
        </w:rPr>
        <w:t>Unsere Erfahrungen entstammen der Privatpraxis in einer gebildeten und lesenden Gesellschaftsclasse, und ihr Inhalt berührt vielfach das intimste Leben und Geschick unserer Kranken. Es wäre ein schwerer Vertrauensmissbrauch, solche Mittheilungen zu veröffentlichen, auf die Gefahr hin, dass die Kranken erkannt und Thatsachen in ihrem Kreise verbreitet werden, welche nur dem Arzte anvertraut wurden. Wir haben darum auf instructivste und beweiskräftigste Beobachtungen verzichten müssen. Dieses betrifft naturgemäss vor allem jene Fälle, in denen die sexualen und ehelichen Verhältnisse ätiologische Bedeutung haben. Daher kommt es, dass wir nur sehr unvollständig den Beweis für unsere Anschauung erbringen können: die Sexualität spiele als Quelle psychischer Traumen und als Motiv der „Abwehr", der Verdrängung von Vorstellungen aus dem Bewusstsein, eine Hauptrolle in der Pathogenese der Hysterie. Wir mussten eben die stark sexualen Beobachtungen von der Veröffentlichung ausschliessen.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Den Krankengeschichten folgt eine Reihe theoretischer Erörterungen, und in einem therapeutischen Schlusscapitel wird die Technik der </w:t>
      </w:r>
      <w:r w:rsidRPr="00C820A0">
        <w:rPr>
          <w:rFonts w:ascii="Garamond" w:hAnsi="Garamond"/>
          <w:color w:val="666666"/>
          <w:sz w:val="20"/>
          <w:szCs w:val="20"/>
          <w:lang w:val="en-US" w:eastAsia="fr-FR"/>
        </w:rPr>
        <w:t>[</w:t>
      </w:r>
      <w:hyperlink r:id="rId1599" w:tooltip="Seite:De Studien über Hysterie A04.jpg" w:history="1">
        <w:r w:rsidRPr="00C820A0">
          <w:rPr>
            <w:rFonts w:ascii="Garamond" w:hAnsi="Garamond"/>
            <w:b/>
            <w:bCs/>
            <w:color w:val="0000FF"/>
            <w:sz w:val="20"/>
            <w:szCs w:val="20"/>
            <w:u w:val="single"/>
            <w:lang w:val="en-US" w:eastAsia="fr-FR"/>
          </w:rPr>
          <w:t>I</w:t>
        </w:r>
        <w:r w:rsidRPr="00C820A0">
          <w:rPr>
            <w:rFonts w:ascii="Garamond" w:hAnsi="Garamond"/>
            <w:b/>
            <w:bCs/>
            <w:color w:val="0000FF"/>
            <w:sz w:val="20"/>
            <w:szCs w:val="20"/>
            <w:u w:val="single"/>
            <w:lang w:val="en-US" w:eastAsia="fr-FR"/>
          </w:rPr>
          <w:t>V</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„kathartischen Methode“ dargelegt, sowie sie sich in der Hand des Neurologen entwickelt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Wenn an manchen Stellen verschiedene, ja sich widersprechende Meinungen vertreten werden, so möge das nicht als ein Schwanken der Auffassung betrachtet werden. Es entspringt den natürlichen und berechtigten Meinungsverschiedenheiten zweier Beobachter, die bezüglich der Thatsachen und der Grundanschauungen übereinstimmen, deren Deutungen und Vermuthungen aber nicht immer zusammenfallen.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April 1895.</w:t>
      </w:r>
    </w:p>
    <w:p w:rsidR="005C1841" w:rsidRDefault="005C1841" w:rsidP="005C1841">
      <w:pPr>
        <w:pStyle w:val="Sansinterligne"/>
        <w:rPr>
          <w:rFonts w:ascii="Garamond" w:hAnsi="Garamond"/>
          <w:b/>
          <w:bCs/>
          <w:sz w:val="20"/>
          <w:szCs w:val="20"/>
          <w:lang w:val="en-US" w:eastAsia="fr-FR"/>
        </w:rPr>
      </w:pPr>
    </w:p>
    <w:p w:rsidR="005C1841" w:rsidRPr="00C820A0" w:rsidRDefault="005C1841" w:rsidP="005C1841">
      <w:pPr>
        <w:pStyle w:val="Sansinterligne"/>
        <w:rPr>
          <w:rFonts w:ascii="Garamond" w:hAnsi="Garamond"/>
          <w:b/>
          <w:bCs/>
          <w:sz w:val="20"/>
          <w:szCs w:val="20"/>
          <w:lang w:val="en-US" w:eastAsia="fr-FR"/>
        </w:rPr>
      </w:pPr>
      <w:r w:rsidRPr="00C820A0">
        <w:rPr>
          <w:rFonts w:ascii="Garamond" w:hAnsi="Garamond"/>
          <w:b/>
          <w:bCs/>
          <w:sz w:val="20"/>
          <w:szCs w:val="20"/>
          <w:lang w:val="en-US" w:eastAsia="fr-FR"/>
        </w:rPr>
        <w:t>J. Breuer, S. Freud.</w:t>
      </w:r>
    </w:p>
    <w:p w:rsidR="005C1841" w:rsidRPr="00C820A0" w:rsidRDefault="005C1841" w:rsidP="005C1841">
      <w:pPr>
        <w:pStyle w:val="Sansinterligne"/>
        <w:rPr>
          <w:rFonts w:ascii="Garamond" w:hAnsi="Garamond"/>
          <w:b/>
          <w:bCs/>
          <w:sz w:val="20"/>
          <w:szCs w:val="20"/>
          <w:lang w:val="en-US" w:eastAsia="fr-FR"/>
        </w:rPr>
      </w:pPr>
      <w:r w:rsidRPr="00C820A0">
        <w:rPr>
          <w:rFonts w:ascii="Garamond" w:hAnsi="Garamond"/>
          <w:b/>
          <w:bCs/>
          <w:sz w:val="20"/>
          <w:szCs w:val="20"/>
          <w:lang w:val="en-US" w:eastAsia="fr-FR"/>
        </w:rPr>
        <w:br w:type="page"/>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I. Ueber den psychischen Mechanismus hysterischer Phänomene.</w:t>
      </w:r>
      <w:hyperlink r:id="rId1600" w:anchor="cite_note-0" w:history="1">
        <w:r w:rsidRPr="00C820A0">
          <w:rPr>
            <w:rFonts w:ascii="Garamond" w:hAnsi="Garamond"/>
            <w:color w:val="0000FF"/>
            <w:sz w:val="20"/>
            <w:szCs w:val="20"/>
            <w:u w:val="single"/>
            <w:vertAlign w:val="superscript"/>
            <w:lang w:val="en-US" w:eastAsia="fr-FR"/>
          </w:rPr>
          <w:t>[1]</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t>
      </w:r>
      <w:r w:rsidRPr="00C820A0">
        <w:rPr>
          <w:rFonts w:ascii="Garamond" w:hAnsi="Garamond"/>
          <w:i/>
          <w:iCs/>
          <w:sz w:val="20"/>
          <w:szCs w:val="20"/>
          <w:lang w:val="en-US" w:eastAsia="fr-FR"/>
        </w:rPr>
        <w:t>Vorläufige Mittheilung.</w:t>
      </w:r>
      <w:r w:rsidRPr="00C820A0">
        <w:rPr>
          <w:rFonts w:ascii="Garamond" w:hAnsi="Garamond"/>
          <w:sz w:val="20"/>
          <w:szCs w:val="20"/>
          <w:lang w:val="en-US" w:eastAsia="fr-FR"/>
        </w:rPr>
        <w:t xml:space="preserve">) </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Von Dr. </w:t>
      </w:r>
      <w:r w:rsidRPr="00C820A0">
        <w:rPr>
          <w:rFonts w:ascii="Garamond" w:hAnsi="Garamond"/>
          <w:i/>
          <w:iCs/>
          <w:sz w:val="20"/>
          <w:szCs w:val="20"/>
          <w:lang w:val="en-US" w:eastAsia="fr-FR"/>
        </w:rPr>
        <w:t>Josef Breuer</w:t>
      </w:r>
      <w:r w:rsidRPr="00C820A0">
        <w:rPr>
          <w:rFonts w:ascii="Garamond" w:hAnsi="Garamond"/>
          <w:sz w:val="20"/>
          <w:szCs w:val="20"/>
          <w:lang w:val="en-US" w:eastAsia="fr-FR"/>
        </w:rPr>
        <w:t xml:space="preserve"> und Dr. </w:t>
      </w:r>
      <w:r w:rsidRPr="00C820A0">
        <w:rPr>
          <w:rFonts w:ascii="Garamond" w:hAnsi="Garamond"/>
          <w:i/>
          <w:iCs/>
          <w:sz w:val="20"/>
          <w:szCs w:val="20"/>
          <w:lang w:val="en-US" w:eastAsia="fr-FR"/>
        </w:rPr>
        <w:t>Sigm. Freud</w:t>
      </w:r>
      <w:r w:rsidRPr="00C820A0">
        <w:rPr>
          <w:rFonts w:ascii="Garamond" w:hAnsi="Garamond"/>
          <w:sz w:val="20"/>
          <w:szCs w:val="20"/>
          <w:lang w:val="en-US" w:eastAsia="fr-FR"/>
        </w:rPr>
        <w:t xml:space="preserve"> in Wien.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Angeregt durch eine zufällige Beobachtung forschen wir seit einer Reihe von Jahren bei den verschiedensten Formen und Symptomen der Hysterie nach der Veranlassung, dem Vorgange, welcher das betreffende Phänomen zum ersten Mal, oft vor vielen Jahren, hervorgerufen hat. In der grossen Mehrzahl der Fälle gelingt es nicht, durch das einfache, wenn auch noch so eingehende Krankenexamen, diesen Ausgangspunkt klarzustellen, theilweise, weil es sich oft um Erlebnisse handelt, deren Besprechung den Kranken unangenehm ist, hauptsächlich aber, weil sie sich wirklich nicht daran erinnern, oft den ursächlichen Zusammenhang des veranlassenden Vorganges und des pathologischen Phänomens nicht ahnen. Meistens ist es nöthig, die Kranken zu hypnotisiren und in der Hypnose die Erinnerungen jener Zeit, wo das Symptom zum ersten Male auftrat, wachzurufen; dann gelingt es, jenen Zusammenhang auf’s Deutlichste und Ueberzeugendste darzulegen.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Diese Methode der Untersuchung hat uns in einer grossen Zahl von Fällen Resultate ergeben, die in theoretischer wie in praktischer Hinsicht werthvoll erscheinen.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w:t>
      </w:r>
      <w:r w:rsidRPr="00C820A0">
        <w:rPr>
          <w:rFonts w:ascii="Garamond" w:hAnsi="Garamond"/>
          <w:i/>
          <w:iCs/>
          <w:sz w:val="20"/>
          <w:szCs w:val="20"/>
          <w:lang w:val="en-US" w:eastAsia="fr-FR"/>
        </w:rPr>
        <w:t>theoretischer</w:t>
      </w:r>
      <w:r w:rsidRPr="00C820A0">
        <w:rPr>
          <w:rFonts w:ascii="Garamond" w:hAnsi="Garamond"/>
          <w:sz w:val="20"/>
          <w:szCs w:val="20"/>
          <w:lang w:val="en-US" w:eastAsia="fr-FR"/>
        </w:rPr>
        <w:t xml:space="preserve"> Hinsicht, weil sie uns bewiesen haben, dass das accidentelle Moment weit über das bekannte und anerkannte Maass hinaus bestimmend ist für die Pathologie der Hysterie. Dass es bei „</w:t>
      </w:r>
      <w:r w:rsidRPr="00C820A0">
        <w:rPr>
          <w:rFonts w:ascii="Garamond" w:hAnsi="Garamond"/>
          <w:i/>
          <w:iCs/>
          <w:sz w:val="20"/>
          <w:szCs w:val="20"/>
          <w:lang w:val="en-US" w:eastAsia="fr-FR"/>
        </w:rPr>
        <w:t>traumatischer</w:t>
      </w:r>
      <w:r w:rsidRPr="00C820A0">
        <w:rPr>
          <w:rFonts w:ascii="Garamond" w:hAnsi="Garamond"/>
          <w:sz w:val="20"/>
          <w:szCs w:val="20"/>
          <w:lang w:val="en-US" w:eastAsia="fr-FR"/>
        </w:rPr>
        <w:t>“ Hysterie der Unfall ist, welcher das Syndrom hervorgerufen hat, ist ja selbstverständlich, und wenn bei hysterischen Anfällen aus den Aeusserungen der Kranken zu entnehmen ist, dass sie in jedem Anfall immer wieder denselben Vorgang halluciniren, der die erste Attake hervorgerufen hat, so liegt auch hier der ursächliche Zusammenhang klar zu Tage. Dunkler ist der Sachverhalt bei den anderen Phänomenen.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601" w:tooltip="Seite:De Studien über Hysterie 002.jpg" w:history="1">
        <w:r w:rsidRPr="00C820A0">
          <w:rPr>
            <w:rFonts w:ascii="Garamond" w:hAnsi="Garamond"/>
            <w:b/>
            <w:bCs/>
            <w:color w:val="0000FF"/>
            <w:sz w:val="20"/>
            <w:szCs w:val="20"/>
            <w:u w:val="single"/>
            <w:lang w:val="en-US" w:eastAsia="fr-FR"/>
          </w:rPr>
          <w:t>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Unsere Erfahrungen haben uns aber gezeigt, </w:t>
      </w:r>
      <w:r w:rsidRPr="00C820A0">
        <w:rPr>
          <w:rFonts w:ascii="Garamond" w:hAnsi="Garamond"/>
          <w:i/>
          <w:iCs/>
          <w:sz w:val="20"/>
          <w:szCs w:val="20"/>
          <w:lang w:val="en-US" w:eastAsia="fr-FR"/>
        </w:rPr>
        <w:t>dass die verschiedensten Symptome, welche für spontane, sozusagen idiopathische Leistungen der Hysterie gelten, in ebenso stringentem Zusammenhang mit dem veranlassenden Trauma stehen, wie die oben genannten, in dieser Beziehung durchsichtigen Phänomene</w:t>
      </w:r>
      <w:r w:rsidRPr="00C820A0">
        <w:rPr>
          <w:rFonts w:ascii="Garamond" w:hAnsi="Garamond"/>
          <w:sz w:val="20"/>
          <w:szCs w:val="20"/>
          <w:lang w:val="en-US" w:eastAsia="fr-FR"/>
        </w:rPr>
        <w:t>. Wir haben Neuralgien wie Anästhesien der verschiedensten Art und von oft jahrelanger Dauer, Contracturen und Lähmungen, hysterische Anfälle und epileptoide Convulsionen, die alle Beobachter für echte Epilepsie gehalten hatten, Petit mal und tikartige Affectionen, dauerndes Erbrechen und Anorexie bis zur Nahrungsverweigerung, die verschiedensten Sehstörungen, immer wiederkehrende Gesichtshallucinationen u. dgl. mehr auf solche veranlassende Momente zurückführen können. Das Missverhältniss zwischen dem jahrelang dauernden hysterischen Symptom und der einmaligen Veranlassung ist dasselbe, wie wir es bei der traumatischen Neurose regelmässig zu sehen gewohnt sind; ganz häufig sind es Ereignisse aus der Kinderzeit, die für alle folgenden Jahre ein mehr minder schweres Krankheitsphänomen hergestellt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Oft ist der Zusammenhang so klar, dass es vollständig ersichtlich ist, wieso der veranlassende Vorfall eben dieses und kein anderes Phänomen erzeugt hat. Dieses ist dann durch die Veranlassung in völlig klarer Weise determinirt. So, um das banalste Beispiel zu nehmen, wenn ein schmerzlicher Affect, der während des Essens entsteht, aber unterdrückt wird, dann Uebelkeit und Erbrechen erzeugt und dieses als hysterisches Erbrechen monatelang andauert. Ein Mädchen, das in qualvoller Angst an einem Krankenbette wacht, verfällt in einen Dämmerzustand und hat eine schreckhafte Hallucination, während ihr der rechte Arm, über der Sessellehne hängend, einschläft; es entwickelt sich daraus eine Parese dieses Armes mit Contractur und Anästhesie. Sie will beten und findet keine Worte; endlich gelingt es ihr, ein englisches Kindergebet zu sprechen. Als sich später eine schwere, höchst complicirte Hysterie entwickelt, spricht, schreibt und versteht sie nur englisch, während ihr die Muttersprache durch 1½ Jahre unverständlich ist. – Ein schwerkrankes Kind ist endlich eingeschlafen, die Mutter spannt alle Willenskraft an, um sich ruhig zu verhalten, und es nicht zu wecken; gerade in Folge dieses Vorsatzes macht sie („hysterischer Gegenwille“!) ein schnalzendes Geräusch mit der Zunge. Dieses wiederholt sich später bei einer anderen Gelegenheit, wobei sie sich gleichfalls absolut ruhig verhalten will, </w:t>
      </w:r>
      <w:r w:rsidRPr="00C820A0">
        <w:rPr>
          <w:rFonts w:ascii="Garamond" w:hAnsi="Garamond"/>
          <w:color w:val="666666"/>
          <w:sz w:val="20"/>
          <w:szCs w:val="20"/>
          <w:lang w:val="en-US" w:eastAsia="fr-FR"/>
        </w:rPr>
        <w:t>[</w:t>
      </w:r>
      <w:hyperlink r:id="rId1602" w:tooltip="Seite:De Studien über Hysterie 003.jpg" w:history="1">
        <w:r w:rsidRPr="00C820A0">
          <w:rPr>
            <w:rFonts w:ascii="Garamond" w:hAnsi="Garamond"/>
            <w:b/>
            <w:bCs/>
            <w:color w:val="0000FF"/>
            <w:sz w:val="20"/>
            <w:szCs w:val="20"/>
            <w:u w:val="single"/>
            <w:lang w:val="en-US" w:eastAsia="fr-FR"/>
          </w:rPr>
          <w:t>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und es entwickelt sich daraus ein Tik, der als Zungenschnalzen durch viele Jahre jede Aufregung begleitet. – Ein hochintelligenter Mann assistirt, während seinem Bruder das ankylosirte Hüftgelenk in der Narkose gestreckt wird. Im Augenblick, wo das Gelenk krachend nachgibt, empfindet er heftigen Schmerz im eigenen Hüftgelenk, der fast 1 Jahr andauert u. dgl. mehr.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anderen Fällen ist der Zusammenhang nicht so einfach; es besteht nur eine sozusagen symbolische Beziehung zwischen der Veranlassung und dem pathologischen Phänomen, wie der Gesunde sie wohl auch im Traume bildet; wenn etwa zu seelischem Schmerze sich eine Neuralgie gesellt, oder Erbrechen zu dem Affect moralischen Ekels. Wir haben Kranke studirt, welche von einer solchen Symbolisirung den ausgiebigsten Gebrauch zu machen pflegten. – In noch anderen Fällen ist eine derartige Determination zunächst nicht dem Verständniss offen; hieher gehören gerade die typischen hysterischen Symptome, wie Hemianästhesie und Gesichtsfeldeinengung, epileptiforme Convulsionen u. dgl. Die Darlegung unserer Anschauungen über diese Gruppe müssen wir der ausführlicheren Besprechung des Gegenstandes vorbehalten.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Solche Beobachtungen scheinen uns die pathogene Analogie der gewöhnlichen Hysterie mit der traumatischen Neurose nachzuweisen und eine Ausdehnung des Begriffes der „traumatischen Hysterie“ zu rechtfertigen</w:t>
      </w:r>
      <w:r w:rsidRPr="00C820A0">
        <w:rPr>
          <w:rFonts w:ascii="Garamond" w:hAnsi="Garamond"/>
          <w:sz w:val="20"/>
          <w:szCs w:val="20"/>
          <w:lang w:val="en-US" w:eastAsia="fr-FR"/>
        </w:rPr>
        <w:t xml:space="preserve">. Bei der traumatischen Neurose ist ja nicht die geringfügige körperliche Verletzung die wirksame Krankheitsursache, sondern der Schreckaffect, das </w:t>
      </w:r>
      <w:r w:rsidRPr="00C820A0">
        <w:rPr>
          <w:rFonts w:ascii="Garamond" w:hAnsi="Garamond"/>
          <w:i/>
          <w:iCs/>
          <w:sz w:val="20"/>
          <w:szCs w:val="20"/>
          <w:lang w:val="en-US" w:eastAsia="fr-FR"/>
        </w:rPr>
        <w:t>psychische Trauma</w:t>
      </w:r>
      <w:r w:rsidRPr="00C820A0">
        <w:rPr>
          <w:rFonts w:ascii="Garamond" w:hAnsi="Garamond"/>
          <w:sz w:val="20"/>
          <w:szCs w:val="20"/>
          <w:lang w:val="en-US" w:eastAsia="fr-FR"/>
        </w:rPr>
        <w:t xml:space="preserve">. In analoger Weise ergeben sich aus unseren Nachforschungen für viele, wenn nicht für die meisten hysterischen Symptome Anlässe, die man als psychische Traumen bezeichnen muss. Als solches kann jedes Erlebniss wirken, welches die peinlichen Affecte des Schreckens, der Angst, der Scham, des psychischen Schmerzes hervorruft, und es hängt begreiflicher Weise von der Empfindlichkeit des betroffenen Menschen (sowie von einer später zu </w:t>
      </w:r>
      <w:r w:rsidRPr="00C820A0">
        <w:rPr>
          <w:rFonts w:ascii="Garamond" w:hAnsi="Garamond"/>
          <w:sz w:val="20"/>
          <w:szCs w:val="20"/>
          <w:lang w:val="en-US" w:eastAsia="fr-FR"/>
        </w:rPr>
        <w:lastRenderedPageBreak/>
        <w:t xml:space="preserve">erwähnenden Bedingung) ab, ob das Erlebniss als Trauma zur Geltung kommt. Nicht selten finden sich anstatt des einen grossen Traumas bei der gewöhnlichen Hysterie mehrere Partialtraumen, gruppirte Anlässe, die erst in ihrer Summirung traumatische Wirkung äussern konnten, und die insofern zusammengehören, als sie zum Theil Stücke einer Leidensgeschichte bilden. In noch anderen Fällen sind es an sich scheinbar gleichgiltige Umstände, die durch </w:t>
      </w:r>
      <w:r w:rsidRPr="00C820A0">
        <w:rPr>
          <w:rFonts w:ascii="Garamond" w:hAnsi="Garamond"/>
          <w:color w:val="666666"/>
          <w:sz w:val="20"/>
          <w:szCs w:val="20"/>
          <w:lang w:val="en-US" w:eastAsia="fr-FR"/>
        </w:rPr>
        <w:t>[</w:t>
      </w:r>
      <w:hyperlink r:id="rId1603" w:tooltip="Seite:De Studien über Hysterie 004.jpg" w:history="1">
        <w:r w:rsidRPr="00C820A0">
          <w:rPr>
            <w:rFonts w:ascii="Garamond" w:hAnsi="Garamond"/>
            <w:b/>
            <w:bCs/>
            <w:color w:val="0000FF"/>
            <w:sz w:val="20"/>
            <w:szCs w:val="20"/>
            <w:u w:val="single"/>
            <w:lang w:val="en-US" w:eastAsia="fr-FR"/>
          </w:rPr>
          <w:t>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ihr Zusammentreffen mit dem eigentlich wirksamen Ereigniss oder mit einem Zeitpunkt besonderer Reizbarkeit eine Dignität als Traumen gewonnen haben, die ihnen sonst nicht zuzumuthen wäre, die sie aber von da an behalten.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Aber der causale Zusammenhang des veranlassenden psychischen Traumas mit dem hysterischen Phänomen ist nicht etwa von der Art, dass das Trauma als Agent provocateur das Symptom auslösen würde, welches dann, selbstständig geworden, weiter bestände. Wir müssen vielmehr behaupten, dass das psychische Trauma, resp. die Erinnerung an dasselbe, nach Art eines Fremdkörpers wirkt, welcher noch lange Zeit nach seinem Eindringen als gegenwärtig wirkendes Agens gelten muss, und wir sehen den Beweis hierfür in einem höchst merkwürdigem Phänomen, welches zugleich unseren Befunden ein bedeutendes </w:t>
      </w:r>
      <w:r w:rsidRPr="00C820A0">
        <w:rPr>
          <w:rFonts w:ascii="Garamond" w:hAnsi="Garamond"/>
          <w:i/>
          <w:iCs/>
          <w:sz w:val="20"/>
          <w:szCs w:val="20"/>
          <w:lang w:val="en-US" w:eastAsia="fr-FR"/>
        </w:rPr>
        <w:t>praktisches</w:t>
      </w:r>
      <w:r w:rsidRPr="00C820A0">
        <w:rPr>
          <w:rFonts w:ascii="Garamond" w:hAnsi="Garamond"/>
          <w:sz w:val="20"/>
          <w:szCs w:val="20"/>
          <w:lang w:val="en-US" w:eastAsia="fr-FR"/>
        </w:rPr>
        <w:t xml:space="preserve"> Interesse verschafft.</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Wir fanden nämlich, anfangs zu unserer grössten Ueberraschung, </w:t>
      </w:r>
      <w:r w:rsidRPr="00C820A0">
        <w:rPr>
          <w:rFonts w:ascii="Garamond" w:hAnsi="Garamond"/>
          <w:i/>
          <w:iCs/>
          <w:sz w:val="20"/>
          <w:szCs w:val="20"/>
          <w:lang w:val="en-US" w:eastAsia="fr-FR"/>
        </w:rPr>
        <w:t>dass die einzelnen hysterischen Symptome sogleich und ohne Wiederkehr verschwanden, wenn es gelungen war, die Erinnerung an den veranlassenden Vorgang zu voller Helligkeit zu erwecken, damit auch den begleitenden Affect wachzurufen, und wenn dann der Kranke den Vorgang in möglichst ausführlicher Weise schilderte und dem Affect Worte gab</w:t>
      </w:r>
      <w:r w:rsidRPr="00C820A0">
        <w:rPr>
          <w:rFonts w:ascii="Garamond" w:hAnsi="Garamond"/>
          <w:sz w:val="20"/>
          <w:szCs w:val="20"/>
          <w:lang w:val="en-US" w:eastAsia="fr-FR"/>
        </w:rPr>
        <w:t>. Affectloses Erinnern ist fast immer völlig wirkungslos; der psychische Process, der ursprünglich abgelaufen war, muss so lebhaft als möglich wiederholt, in statum nascendi gebracht und dann „ausgesprochen“ werden. Dabei treten, wenn es sich um Reizerscheinungen handelt, diese: Krämpfe, Neuralgien, Hallucinationen – noch einmal in voller Intensität auf und schwinden dann für immer. Functionsausfälle, Lähmungen und Anästhesien schwinden ebenso, natürlich ohne dass ihre momentane Steigerung deutlich wäre.</w:t>
      </w:r>
      <w:hyperlink r:id="rId1604" w:anchor="cite_note-1" w:history="1">
        <w:r w:rsidRPr="00C820A0">
          <w:rPr>
            <w:rFonts w:ascii="Garamond" w:hAnsi="Garamond"/>
            <w:color w:val="0000FF"/>
            <w:sz w:val="20"/>
            <w:szCs w:val="20"/>
            <w:u w:val="single"/>
            <w:vertAlign w:val="superscript"/>
            <w:lang w:eastAsia="fr-FR"/>
          </w:rPr>
          <w:t>[2]</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color w:val="666666"/>
          <w:sz w:val="20"/>
          <w:szCs w:val="20"/>
          <w:lang w:eastAsia="fr-FR"/>
        </w:rPr>
        <w:t>[</w:t>
      </w:r>
      <w:hyperlink r:id="rId1605" w:tooltip="Seite:De Studien über Hysterie 005.jpg" w:history="1">
        <w:r w:rsidRPr="00C820A0">
          <w:rPr>
            <w:rFonts w:ascii="Garamond" w:hAnsi="Garamond"/>
            <w:b/>
            <w:bCs/>
            <w:color w:val="0000FF"/>
            <w:sz w:val="20"/>
            <w:szCs w:val="20"/>
            <w:u w:val="single"/>
            <w:lang w:eastAsia="fr-FR"/>
          </w:rPr>
          <w:t>5</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Der Verdacht liegt nahe, es handle sich dabei um eine unbeabsichtigte Suggestion; der Kranke erwarte, durch die Procedur von seinem Leiden befreit zu werden, und diese Erwartung, nicht das Aussprechen selbst, sei der wirkende Factor. Allein, dem ist nicht so; die erste Beobachtung dieser Art, bei welcher ein höchst verwickelter Fall von Hysterie auf solche Weise analysirt und die gesondert verursachten Symptome auch gesondert behoben wurden, stammt aus dem Jahre 1881, also aus „vorsuggestiver“ Zeit, wurde durch spontane Autohypnosen der Kranken ermöglicht und bereitete dem Beobachter die grösste Ueberraschung.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In Umkehrung des Satzes: cessante causa cessat effectus, dürfen wir wohl aus diesen Beobachtungen schliessen: der veranlassende Vorgang wirke in irgend einer Weise noch nach Jahren fort, nicht indirect durch Vermittelung einer Kette von causalen Zwischengliedern, sondern unmittelbar als auslösende Ursache, wie etwa ein im wachen Bewusstsein erinnerter psychischer Schmerz noch in später Zeit die Thränensecretion hervorruft: </w:t>
      </w:r>
      <w:r w:rsidRPr="00C820A0">
        <w:rPr>
          <w:rFonts w:ascii="Garamond" w:hAnsi="Garamond"/>
          <w:i/>
          <w:iCs/>
          <w:sz w:val="20"/>
          <w:szCs w:val="20"/>
          <w:lang w:eastAsia="fr-FR"/>
        </w:rPr>
        <w:t>der Hysterische leide grösstentheils an Reminiscenzen</w:t>
      </w:r>
      <w:r w:rsidRPr="00C820A0">
        <w:rPr>
          <w:rFonts w:ascii="Garamond" w:hAnsi="Garamond"/>
          <w:sz w:val="20"/>
          <w:szCs w:val="20"/>
          <w:lang w:eastAsia="fr-FR"/>
        </w:rPr>
        <w:t>.</w:t>
      </w:r>
      <w:hyperlink r:id="rId1606" w:anchor="cite_note-2" w:history="1">
        <w:r w:rsidRPr="00C820A0">
          <w:rPr>
            <w:rFonts w:ascii="Garamond" w:hAnsi="Garamond"/>
            <w:color w:val="0000FF"/>
            <w:sz w:val="20"/>
            <w:szCs w:val="20"/>
            <w:u w:val="single"/>
            <w:vertAlign w:val="superscript"/>
            <w:lang w:val="en-US" w:eastAsia="fr-FR"/>
          </w:rPr>
          <w:t>[3]</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erscheint zunächst wunderlich, dass längst vergangene Erlebnisse so intensiv wirken sollen; dass die Erinnerungen an sie nicht der Usur unterliegen sollen, der wir doch alle unsere Erinnerungen verfallen sehen. Vielleicht gewinnen wir durch folgende Erwägungen einiges Verständniss für diese Thatsachen.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 Verblassen oder Affectloswerden einer Erinnerung hängt von mehreren Factoren ab. Vor allem ist dafür von Wichtigkeit, </w:t>
      </w:r>
      <w:r w:rsidRPr="00C820A0">
        <w:rPr>
          <w:rFonts w:ascii="Garamond" w:hAnsi="Garamond"/>
          <w:i/>
          <w:iCs/>
          <w:sz w:val="20"/>
          <w:szCs w:val="20"/>
          <w:lang w:val="en-US" w:eastAsia="fr-FR"/>
        </w:rPr>
        <w:t>ob auf das afficirende Ereigniss energisch reagirt wurde oder nicht</w:t>
      </w:r>
      <w:r w:rsidRPr="00C820A0">
        <w:rPr>
          <w:rFonts w:ascii="Garamond" w:hAnsi="Garamond"/>
          <w:sz w:val="20"/>
          <w:szCs w:val="20"/>
          <w:lang w:val="en-US" w:eastAsia="fr-FR"/>
        </w:rPr>
        <w:t xml:space="preserve">. Wir verstehen hier unter Reaction die ganze Reihe willkürlicher und unwillkürlicher Reflexe, in denen sich erfahrungsgemäss die Affecte entladen: vom Weinen bis zum Racheact. Erfolgt diese Reaction in genügendem Ausmaass, so schwindet dadurch ein grosser Theil des Affectes; unsere Sprache bezeugt diese Thatsache der täglichen </w:t>
      </w:r>
      <w:r w:rsidRPr="00C820A0">
        <w:rPr>
          <w:rFonts w:ascii="Garamond" w:hAnsi="Garamond"/>
          <w:color w:val="666666"/>
          <w:sz w:val="20"/>
          <w:szCs w:val="20"/>
          <w:lang w:val="en-US" w:eastAsia="fr-FR"/>
        </w:rPr>
        <w:t>[</w:t>
      </w:r>
      <w:hyperlink r:id="rId1607" w:tooltip="Seite:De Studien über Hysterie 006.jpg" w:history="1">
        <w:r w:rsidRPr="00C820A0">
          <w:rPr>
            <w:rFonts w:ascii="Garamond" w:hAnsi="Garamond"/>
            <w:b/>
            <w:bCs/>
            <w:color w:val="0000FF"/>
            <w:sz w:val="20"/>
            <w:szCs w:val="20"/>
            <w:u w:val="single"/>
            <w:lang w:val="en-US" w:eastAsia="fr-FR"/>
          </w:rPr>
          <w:t>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Beobachtung durch die Ausdrücke „sich austoben, ausweinen“ u. dgl. Wird die Reaction unterdrückt, so bleibt der Affect mit der Erinnerung verbunden. Eine Beleidigung, die vergolten ist, wenn auch nur durch Worte, wird anders errinnert als eine, die hingenommen werden musste. Die Sprache anerkennt auch diesen Unterschied in den psychischen und körperlichen Folgen und bezeichnet höchst charakteristischerweise eben das schweigend erduldete Leiden als „Kränkung“. – Die Reaction des Geschädigten auf das Trauma hat eigentlich nur dann eine völlig „</w:t>
      </w:r>
      <w:r w:rsidRPr="00C820A0">
        <w:rPr>
          <w:rFonts w:ascii="Garamond" w:hAnsi="Garamond"/>
          <w:i/>
          <w:iCs/>
          <w:sz w:val="20"/>
          <w:szCs w:val="20"/>
          <w:lang w:val="en-US" w:eastAsia="fr-FR"/>
        </w:rPr>
        <w:t>kathartische</w:t>
      </w:r>
      <w:r w:rsidRPr="00C820A0">
        <w:rPr>
          <w:rFonts w:ascii="Garamond" w:hAnsi="Garamond"/>
          <w:sz w:val="20"/>
          <w:szCs w:val="20"/>
          <w:lang w:val="en-US" w:eastAsia="fr-FR"/>
        </w:rPr>
        <w:t>“ Wirkung, wenn sie eine adäquate Reaction ist, wie die Rache. Aber in der Sprache findet der Mensch ein Surrogat für die That, mit dessen Hilfe der Affect nahezu ebenso „</w:t>
      </w:r>
      <w:r w:rsidRPr="00C820A0">
        <w:rPr>
          <w:rFonts w:ascii="Garamond" w:hAnsi="Garamond"/>
          <w:i/>
          <w:iCs/>
          <w:sz w:val="20"/>
          <w:szCs w:val="20"/>
          <w:lang w:val="en-US" w:eastAsia="fr-FR"/>
        </w:rPr>
        <w:t>abreagirt</w:t>
      </w:r>
      <w:r w:rsidRPr="00C820A0">
        <w:rPr>
          <w:rFonts w:ascii="Garamond" w:hAnsi="Garamond"/>
          <w:sz w:val="20"/>
          <w:szCs w:val="20"/>
          <w:lang w:val="en-US" w:eastAsia="fr-FR"/>
        </w:rPr>
        <w:t>“ werden kann. In anderen Fällen ist das Reden eben selbst der adäquate Reflex, als Klage und als Aussprache für die Pein eines Geheimnisses (Beichte!). Wenn solche Reaction durch That, Worte, in leichtesten Fällen durch Weinen nicht erfolgt, so behält die Erinnerung an den Vorfall zunächst die affective Betonung.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Das „Abreagiren“ ist indess nicht die einzige Art der Erledigung, welche dem normalen psychischen Mechanismus des Gesunden zur Verfügung steht, wenn er ein psychisches Trauma erfahren hat. Die Erinnerung daran tritt, auch wenn sie nicht abreagirt wurde, in den grossen Complex der Association ein, sie rangirt dann neben anderen, vielleicht ihr widersprechenden Erlebnissen, erleidet eine Correctur durch andere Vorstellungen. Nach einem Unfall z. B. gesellt sich zu der Erinnerung an die Gefahr und zu der (abgeschwächten) Wiederholung des Schreckens die Erinnerung des weiteren Verlaufes, der Rettung, das Bewusstsein der jetzigen Sicherheit. Die Erinnerung an eine Kränkung wird corrigirt durch Richtigstellung der Thatsachen, durch Erwägungen der eigenen Würde u. dgl., und so gelingt es dem normalen Menschen, durch Leistungen der Association den begleitenden Affect zum Verschwinden zu bringen.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Dazu tritt dann jenes allgemeine Verwischen der Eindrücke, jenes Abblassen der Erinnerungen, welches wir „vergessen“ nennen und das vor allem die affectiv nicht mehr wirksamen Vorstellungen usurirt.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Aus unseren Beobachtungen geht nun hervor, dass jene Erinnerungen, welche zu Veranlassungen hysterischer Phänomene geworden sind, sich in wunderbarer Frische und mit ihrer vollen Affectbetonung durch lange Zeit erhalten haben. Wir müssen aber als eine weitere auffällige und späterhin verwerthbare Thatsache erwähnen, dass die Kranken nicht etwa über diese Erinnerungen wie über andere ihres </w:t>
      </w:r>
      <w:r w:rsidRPr="00C820A0">
        <w:rPr>
          <w:rFonts w:ascii="Garamond" w:hAnsi="Garamond"/>
          <w:color w:val="666666"/>
          <w:sz w:val="20"/>
          <w:szCs w:val="20"/>
          <w:lang w:val="en-US" w:eastAsia="fr-FR"/>
        </w:rPr>
        <w:t>[</w:t>
      </w:r>
      <w:hyperlink r:id="rId1608" w:tooltip="Seite:De Studien über Hysterie 007.jpg" w:history="1">
        <w:r w:rsidRPr="00C820A0">
          <w:rPr>
            <w:rFonts w:ascii="Garamond" w:hAnsi="Garamond"/>
            <w:b/>
            <w:bCs/>
            <w:color w:val="0000FF"/>
            <w:sz w:val="20"/>
            <w:szCs w:val="20"/>
            <w:u w:val="single"/>
            <w:lang w:val="en-US" w:eastAsia="fr-FR"/>
          </w:rPr>
          <w:t>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Lebens verfügen. Im Gegentheile, </w:t>
      </w:r>
      <w:r w:rsidRPr="00C820A0">
        <w:rPr>
          <w:rFonts w:ascii="Garamond" w:hAnsi="Garamond"/>
          <w:i/>
          <w:iCs/>
          <w:sz w:val="20"/>
          <w:szCs w:val="20"/>
          <w:lang w:val="en-US" w:eastAsia="fr-FR"/>
        </w:rPr>
        <w:t>diese Erlebnisse fehlen dem Gedächtniss der Kranken in ihrem gewöhnlichen psychischen Zustande völlig oder sind nur höchst summarisch darin vorhanden</w:t>
      </w:r>
      <w:r w:rsidRPr="00C820A0">
        <w:rPr>
          <w:rFonts w:ascii="Garamond" w:hAnsi="Garamond"/>
          <w:sz w:val="20"/>
          <w:szCs w:val="20"/>
          <w:lang w:val="en-US" w:eastAsia="fr-FR"/>
        </w:rPr>
        <w:t>. Erst wenn man die Kranken in der Hypnose befragt, stellen sich diese Erinnerungen mit der unverminderten Lebhaftigkeit frischer Geschehnisse 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So reproducirte eine unserer Kranken in der Hypnose ein halbes Jahr hindurch mit hallucinatorischer Lebhaftigkeit alles, was sie an denselben Tagen des vorhergegangenen Jahres (während einer acuten Hysterie) erregt hatte; ein ihr unbekanntes Tagebuch der Mutter bezeugte die tadellose Richtigkeit der Reproduction. Eine andere Kranke durchlebte theils in der Hypnose, theils in spontanen Anfällen mit hallucinatorischer Deutlichkeit alle Ereignisse einer vor 10 Jahren durchgemachten hysterischen Psychose, für welche sie bis zum Momente des Wiederauftauchens grösstentheils amnestisch gewesen war. Auch einzelne ätiologisch wichtige Erinnerungen von 15–25 jährigem Bestande erwiesen sich bei ihr von erstaunlicher Intactheit und sinnlicher Stärke und wirkten bei ihrer Wiederkehr mit der vollen Affectkraft neuer Erlebnisse.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Den Grund hierfür können wir nur darin suchen, dass diese Erinnerungen in allen oben erörterten Beziehungen zur Usur eine Ausnahmsstellung einnehmen. </w:t>
      </w:r>
      <w:r w:rsidRPr="00C820A0">
        <w:rPr>
          <w:rFonts w:ascii="Garamond" w:hAnsi="Garamond"/>
          <w:i/>
          <w:iCs/>
          <w:sz w:val="20"/>
          <w:szCs w:val="20"/>
          <w:lang w:val="en-US" w:eastAsia="fr-FR"/>
        </w:rPr>
        <w:t>Es zeigt sich nämlich, dass diese Erinnerungen Traumen entsprechen, welche nicht genügend „abreagirt“ worden sind</w:t>
      </w:r>
      <w:r w:rsidRPr="00C820A0">
        <w:rPr>
          <w:rFonts w:ascii="Garamond" w:hAnsi="Garamond"/>
          <w:sz w:val="20"/>
          <w:szCs w:val="20"/>
          <w:lang w:val="en-US" w:eastAsia="fr-FR"/>
        </w:rPr>
        <w:t>, und bei näherem Eingehen auf die Gründe, welche dieses verhindert haben, können wir mindestens zwei Reihen von Bedingungen auffinden, unter denen die Reaction auf das Trauma unterblieben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Zur ersten Gruppe rechnen wir jene Fälle, in denen die Kranken auf psychische Traumen nicht reagirt haben, weil die Natur des Traumas eine Reaction ausschloss, wie beim unersetzlich erscheinenden Verlust einer geliebten Person, oder weil die socialen Verhältnisse eine Reaction unmöglich machten, oder weil es sich um Dinge handelte, die der Kranke vergessen wollte, die er darum absichtlich aus seinem bewussten Denken verdrängte, hemmte und unterdrückte. Gerade solche peinliche Dinge findet man dann in der Hypnose als Grundlage hysterischer Phänomene (hysterische Delirien der Heiligen und Nonnen, der enthaltsamen Frauen, der wohlerzogenen Kinder).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zweite Reihe von Bedingungen wird nicht durch den Inhalt der Erinnerungen, sondern durch die psychischen Zustände bestimmt, </w:t>
      </w:r>
      <w:r w:rsidRPr="00C820A0">
        <w:rPr>
          <w:rFonts w:ascii="Garamond" w:hAnsi="Garamond"/>
          <w:color w:val="666666"/>
          <w:sz w:val="20"/>
          <w:szCs w:val="20"/>
          <w:lang w:val="en-US" w:eastAsia="fr-FR"/>
        </w:rPr>
        <w:t>[</w:t>
      </w:r>
      <w:hyperlink r:id="rId1609" w:tooltip="Seite:De Studien über Hysterie 008.jpg" w:history="1">
        <w:r w:rsidRPr="00C820A0">
          <w:rPr>
            <w:rFonts w:ascii="Garamond" w:hAnsi="Garamond"/>
            <w:b/>
            <w:bCs/>
            <w:color w:val="0000FF"/>
            <w:sz w:val="20"/>
            <w:szCs w:val="20"/>
            <w:u w:val="single"/>
            <w:lang w:val="en-US" w:eastAsia="fr-FR"/>
          </w:rPr>
          <w:t>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mit welchen die entsprechenden Erlebnisse beim Kranken zusammengetroffen haben. Als Veranlassung hysterischer Symptome findet man nämlich in der Hypnose auch Vorstellungen, welche, an sich nicht bedeutungsvoll, ihre Erhaltung dem Umstande danken, dass sie in schweren lähmenden Affecten, wie z. B. Schreck, entstanden sind, oder direct in abnormen psychischen Zuständen wie im halbhypnotischen Dämmerzustand des Wachträumens, in Autohypnosen u. dgl. Hier ist es die Natur dieser Zustände, welche eine Reaction auf das Geschehniss unmöglich machte.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Beiderlei Bedingungen können natürlich auch zusammentreffen und treffen in der That oftmals zusammen. Dies ist der Fall, wenn ein an sich wirksames Trauma in einen Zustand von schwerem lähmendem Affect oder von verändertem Bewusstsein fällt; es scheint aber auch so zuzugehen, dass durch das psychische Trauma bei vielen Personen einer jener abnormen Zustände hervorgerufen wird, welcher dann seinerseits die Reaction unmöglich macht.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Beiden Gruppen von Bedingungen ist aber gemeinsam, dass die nicht durch Reaction erledigten psychischen Traumen auch der Erledigung durch associative Verarbeitung entbehren müssen. In der ersten Gruppe ist es der Vorsatz der Kranken, welcher an die peinlichen Erlebnisse vergessen will und dieselben somit möglichst von der Association ausschliesst, in der zweiten Gruppe gelingt diese associative Verarbeitung darum nicht, weil zwischen dem normalen Bewusstseinszustand und den pathologischen, in denen diese Vorstellungen entstanden sind, eine ausgiebige associative Verknüpfung nicht besteht. Wir werden sofort Anlass haben, auf diese Verhältnisse weiter einzugehen.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Man darf also sagen, dass die pathogen gewordenen Vorstellungen sich darum so frisch und affectkräftig erhalten, weil ihnen die normale Usur durch Abreagiren und durch Reproduction in Zuständen ungehemmter Association versagt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III.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Als wir die Bedingungen mittheilten, welche nach unseren Erfahrungen dafür maassgebend sind, dass sich aus psychischen Traumen hysterische Phänomene entwickeln, mussten wir bereits von abnormen Zuständen des Bewusstseins sprechen, in denen solche pathogene Vorstellungen entstehen, und mussten die Thatsache hervorheben, </w:t>
      </w:r>
      <w:r w:rsidRPr="00C820A0">
        <w:rPr>
          <w:rFonts w:ascii="Garamond" w:hAnsi="Garamond"/>
          <w:color w:val="666666"/>
          <w:sz w:val="20"/>
          <w:szCs w:val="20"/>
          <w:lang w:val="en-US" w:eastAsia="fr-FR"/>
        </w:rPr>
        <w:t>[</w:t>
      </w:r>
      <w:hyperlink r:id="rId1610" w:tooltip="Seite:De Studien über Hysterie 009.jpg" w:history="1">
        <w:r w:rsidRPr="00C820A0">
          <w:rPr>
            <w:rFonts w:ascii="Garamond" w:hAnsi="Garamond"/>
            <w:b/>
            <w:bCs/>
            <w:color w:val="0000FF"/>
            <w:sz w:val="20"/>
            <w:szCs w:val="20"/>
            <w:u w:val="single"/>
            <w:lang w:val="en-US" w:eastAsia="fr-FR"/>
          </w:rPr>
          <w:t>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dass die Erinnerung an das wirksame psychische Trauma nicht im normalen Gedächtniss des Kranken, sondern im Gedächtniss des Hypnotisirten zu finden ist. Je mehr wir uns nun mit diesen Phänomenen beschäftigten, desto sicherer wurde unsere Ueberzeugung, </w:t>
      </w:r>
      <w:r w:rsidRPr="00C820A0">
        <w:rPr>
          <w:rFonts w:ascii="Garamond" w:hAnsi="Garamond"/>
          <w:i/>
          <w:iCs/>
          <w:sz w:val="20"/>
          <w:szCs w:val="20"/>
          <w:lang w:val="en-US" w:eastAsia="fr-FR"/>
        </w:rPr>
        <w:t>jene Spaltung des Bewusstseins, die bei den bekannten classischen Fällen als double conscience so auffällig ist, bestehe in rudimentärer Weise bei jeder Hysterie, die Neigung zu dieser Dissociation und damit zum Auftreten abnormer Bewusstseinszustände, die wir als „hypnoide“ zusammenfassen wollen, sei das Grundphänomen dieser Neurose</w:t>
      </w:r>
      <w:r w:rsidRPr="00C820A0">
        <w:rPr>
          <w:rFonts w:ascii="Garamond" w:hAnsi="Garamond"/>
          <w:sz w:val="20"/>
          <w:szCs w:val="20"/>
          <w:lang w:val="en-US" w:eastAsia="fr-FR"/>
        </w:rPr>
        <w:t xml:space="preserve">. Wir treffen in dieser Anschauung mit </w:t>
      </w:r>
      <w:r w:rsidRPr="00C820A0">
        <w:rPr>
          <w:rFonts w:ascii="Garamond" w:hAnsi="Garamond"/>
          <w:i/>
          <w:iCs/>
          <w:sz w:val="20"/>
          <w:szCs w:val="20"/>
          <w:lang w:val="en-US" w:eastAsia="fr-FR"/>
        </w:rPr>
        <w:t>Binet</w:t>
      </w:r>
      <w:r w:rsidRPr="00C820A0">
        <w:rPr>
          <w:rFonts w:ascii="Garamond" w:hAnsi="Garamond"/>
          <w:sz w:val="20"/>
          <w:szCs w:val="20"/>
          <w:lang w:val="en-US" w:eastAsia="fr-FR"/>
        </w:rPr>
        <w:t xml:space="preserve"> und den beiden JANET zusammen, über deren höchst merkwürdige Befunde bei Anästhetischen uns übrigens die Erfahrung mangelt.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Wir möchten also dem oft ausgesprochenen Satz: „Die Hypnose ist arteficielle Hysterie“ einen anderen an die Seite stellen: Grundlage und Bedingung der Hysterie ist die Existenz von hypnoidon Zuständen. Diese hypnoiden Zustände stimmen bei aller Verschiedenheit unter einander und mit der Hypnose in dem einen Punkte überein, dass die in ihnen auftauchenden Vorstellungen sehr intensiv, aber von dem Associativverkehr mit dem übrigen Bewusstseinsinhalt abgesperrt sind. Unter einander sind diese hypnoiden Zustände associirbar, und deren </w:t>
      </w:r>
      <w:r w:rsidRPr="00C820A0">
        <w:rPr>
          <w:rFonts w:ascii="Garamond" w:hAnsi="Garamond"/>
          <w:sz w:val="20"/>
          <w:szCs w:val="20"/>
          <w:lang w:val="en-US" w:eastAsia="fr-FR"/>
        </w:rPr>
        <w:lastRenderedPageBreak/>
        <w:t>Vorstellungsinhalt mag auf diesem Wege verschieden hohe Grade von psychischer Organisation erreichen. Im Uebrigen dürfte ja die Natur dieser Zustände und der Grad ihrer Abschliessung von den übrigen Bewusstseinsvorgängen in ähnlicher Weise variiren, wie wir es bei der Hypnose sehen, die sich von leichter Somnolenz bis zum Somnambulismus, von der vollen Erinnerung bis zur absoluten Amnesie erstreckt.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Bestehen solche hypnoide Zustände schon vor der manifesten Erkrankung, so geben sie den Boden ab, auf welchem der Affect die pathogene Erinnerung mit ihren somatischen Folgeerscheinungen ansiedelt. Dies Verhalten entspricht der disponirten Hysterie. Es ergibt sich aber aus unseren Beobachtungen, dass ein schweres Trauma (wie das der traumatischen Neurose), eine mühevolle Unterdrückung (etwa des Sexualaffectes) auch bei dem sonst freien Menschen eine Abspaltung von Vorstellungsgruppen bewerkstelligen kann, und dies wäre der Mechanismus der psychisch acquirirten Hysterie. Zwischen den Extremen dieser beiden Formen muss man eine Reihe gelten lassen, innerhalb welcher die Leichtigkeit der Dissociation bei dem </w:t>
      </w:r>
      <w:r w:rsidRPr="00C820A0">
        <w:rPr>
          <w:rFonts w:ascii="Garamond" w:hAnsi="Garamond"/>
          <w:color w:val="666666"/>
          <w:sz w:val="20"/>
          <w:szCs w:val="20"/>
          <w:lang w:val="en-US" w:eastAsia="fr-FR"/>
        </w:rPr>
        <w:t>[</w:t>
      </w:r>
      <w:hyperlink r:id="rId1611" w:tooltip="Seite:De Studien über Hysterie 010.jpg" w:history="1">
        <w:r w:rsidRPr="00C820A0">
          <w:rPr>
            <w:rFonts w:ascii="Garamond" w:hAnsi="Garamond"/>
            <w:b/>
            <w:bCs/>
            <w:color w:val="0000FF"/>
            <w:sz w:val="20"/>
            <w:szCs w:val="20"/>
            <w:u w:val="single"/>
            <w:lang w:val="en-US" w:eastAsia="fr-FR"/>
          </w:rPr>
          <w:t>10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betreffenden Individuum und die Affektgrösse des Traumas in entgegengesetztem Sinne variiren.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Wir wissen nichts Neues darüber zu sagen, worin die disponirenden hypnoiden Zustände begründet sind. Sie entwickeln sich oft, sollten wir meinen, aus dem auch bei Gesunden so häufigen „Tagträumen“, zu dem z. B. die weiblichen Handarbeiten so viel Anlass bieten. Die Frage, wesshalb die „pathologischen Associationen“, die sich in solchen Zuständen bilden, so feste sind und die somatischen Vorgänge so viel stärker beeinflussen, als wir es sonst von Vorstellungen gewohnt sind, fällt zusammen mit dem Problem der Wirksamkeit hypnotischer Suggestionen überhaupt. Unsere Erfahrungen bringen hierüber nichts Neues, sie beleuchten dagegen den Widerspruch zwischen dem Satz: „Hysterie ist eine Psychose“, und der Thatsache, dass man unter den Hysterischen die geistig klarsten, willensstärksten, charaktervollsten und kritischsten Menschen finden kann. In diesen Fällen ist solche Charakteristik richtig für das wache Denken des Menschen, in seinen hypnoiden Zuständen ist er alienirt, wie wir es alle im Traum sind. Aber während unsere Traumpsychosen unseren Wachzustand nicht beeinflussen, ragen die Producte der hypnoiden Zustände als hysterische Phänomene in’s wache Leben hinein.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IV.</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Fast die nämlichen Behauptungen, die wir für die hysterischen Dauersymptome aufgestellt haben, können wir auch für die hysterischen Anfälle wiederholen. Wir besitzen, wie bekannt, eine von </w:t>
      </w:r>
      <w:r w:rsidRPr="00C820A0">
        <w:rPr>
          <w:rFonts w:ascii="Garamond" w:hAnsi="Garamond"/>
          <w:smallCaps/>
          <w:sz w:val="20"/>
          <w:szCs w:val="20"/>
          <w:lang w:val="en-US" w:eastAsia="fr-FR"/>
        </w:rPr>
        <w:t>Charcot</w:t>
      </w:r>
      <w:r w:rsidRPr="00C820A0">
        <w:rPr>
          <w:rFonts w:ascii="Garamond" w:hAnsi="Garamond"/>
          <w:sz w:val="20"/>
          <w:szCs w:val="20"/>
          <w:lang w:val="en-US" w:eastAsia="fr-FR"/>
        </w:rPr>
        <w:t xml:space="preserve"> gegebene schematische Beschreibung des „grossen“ hysterischen Anfalles, welcher zufolge ein vollständiger Anfall vier Phasen erkennen lässt, 1. die epileptoide, 2. die der grossen Bewegungen, 3. die der attitudes passionnelles (die hallucinatorische Phase), 4. die des abschliessenden Deliriums. Aus der Verkürzung und Verlängerung, dem Ausfall und der Isolirung der einzelnen Phasen lässt </w:t>
      </w:r>
      <w:r w:rsidRPr="00C820A0">
        <w:rPr>
          <w:rFonts w:ascii="Garamond" w:hAnsi="Garamond"/>
          <w:i/>
          <w:iCs/>
          <w:sz w:val="20"/>
          <w:szCs w:val="20"/>
          <w:lang w:val="en-US" w:eastAsia="fr-FR"/>
        </w:rPr>
        <w:t>Charcot</w:t>
      </w:r>
      <w:r w:rsidRPr="00C820A0">
        <w:rPr>
          <w:rFonts w:ascii="Garamond" w:hAnsi="Garamond"/>
          <w:sz w:val="20"/>
          <w:szCs w:val="20"/>
          <w:lang w:val="en-US" w:eastAsia="fr-FR"/>
        </w:rPr>
        <w:t xml:space="preserve"> alle jene Formen des hysterischen Anfalles hervorgehen, die man thatsächlich häufiger als die vollständige grande attaque beobachtet.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Unser Erklärungsversuch knüpft an die dritte Phase, die der attitudes passionelles an. Wo dieselbe ausgeprägt ist, liegt in ihr die hallucinatorische Reproduction einer Erinnerung bloss, welche für den Ausbruch der Hysterie bedeutsam war, die Erinnerung an das eine grosse Trauma der </w:t>
      </w:r>
      <w:r w:rsidRPr="00C820A0">
        <w:rPr>
          <w:rFonts w:ascii="Garamond" w:hAnsi="Garamond"/>
          <w:sz w:val="20"/>
          <w:szCs w:val="20"/>
          <w:lang w:eastAsia="fr-FR"/>
        </w:rPr>
        <w:t>κατ</w:t>
      </w:r>
      <w:r w:rsidRPr="00C820A0">
        <w:rPr>
          <w:rFonts w:ascii="Garamond" w:hAnsi="Garamond"/>
          <w:sz w:val="20"/>
          <w:szCs w:val="20"/>
          <w:lang w:val="en-US" w:eastAsia="fr-FR"/>
        </w:rPr>
        <w:t xml:space="preserve">’ </w:t>
      </w:r>
      <w:r w:rsidRPr="00C820A0">
        <w:rPr>
          <w:rFonts w:ascii="Garamond" w:hAnsi="Arial" w:cs="Arial"/>
          <w:sz w:val="20"/>
          <w:szCs w:val="20"/>
          <w:lang w:eastAsia="fr-FR"/>
        </w:rPr>
        <w:t>ἐ</w:t>
      </w:r>
      <w:r w:rsidRPr="00C820A0">
        <w:rPr>
          <w:rFonts w:ascii="Garamond" w:hAnsi="Garamond"/>
          <w:sz w:val="20"/>
          <w:szCs w:val="20"/>
          <w:lang w:eastAsia="fr-FR"/>
        </w:rPr>
        <w:t>ξοχ</w:t>
      </w:r>
      <w:r w:rsidRPr="00C820A0">
        <w:rPr>
          <w:rFonts w:ascii="Garamond" w:hAnsi="Arial" w:cs="Arial"/>
          <w:sz w:val="20"/>
          <w:szCs w:val="20"/>
          <w:lang w:eastAsia="fr-FR"/>
        </w:rPr>
        <w:t>ὴ</w:t>
      </w:r>
      <w:r w:rsidRPr="00C820A0">
        <w:rPr>
          <w:rFonts w:ascii="Garamond" w:hAnsi="Garamond"/>
          <w:sz w:val="20"/>
          <w:szCs w:val="20"/>
          <w:lang w:eastAsia="fr-FR"/>
        </w:rPr>
        <w:t>ν</w:t>
      </w:r>
      <w:r w:rsidRPr="00C820A0">
        <w:rPr>
          <w:rFonts w:ascii="Garamond" w:hAnsi="Garamond"/>
          <w:sz w:val="20"/>
          <w:szCs w:val="20"/>
          <w:lang w:val="en-US" w:eastAsia="fr-FR"/>
        </w:rPr>
        <w:t xml:space="preserve"> sogenannten traumatischen Hysterie oder an eine Reihe von zusammengehörigen Partialtraumen, wie sie </w:t>
      </w:r>
      <w:r w:rsidRPr="00C820A0">
        <w:rPr>
          <w:rFonts w:ascii="Garamond" w:hAnsi="Garamond"/>
          <w:color w:val="666666"/>
          <w:sz w:val="20"/>
          <w:szCs w:val="20"/>
          <w:lang w:val="en-US" w:eastAsia="fr-FR"/>
        </w:rPr>
        <w:t>[</w:t>
      </w:r>
      <w:hyperlink r:id="rId1612" w:tooltip="Seite:De Studien über Hysterie 011.jpg" w:history="1">
        <w:r w:rsidRPr="00C820A0">
          <w:rPr>
            <w:rFonts w:ascii="Garamond" w:hAnsi="Garamond"/>
            <w:b/>
            <w:bCs/>
            <w:color w:val="0000FF"/>
            <w:sz w:val="20"/>
            <w:szCs w:val="20"/>
            <w:u w:val="single"/>
            <w:lang w:val="en-US" w:eastAsia="fr-FR"/>
          </w:rPr>
          <w:t>11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der gemeinen Hysterie zu Grunde liegen. Oder endlich der Anfall bringt jene Geschehnisse wieder, welche durch ihr Zusammentreffen mit einem Moment besonderer Disposition zu Traumen erhoben worden sind.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gibt aber auch Anfälle, die anscheinend nur aus motorischen Phänomenen bestehen, denen eine phase passionelle fehlt. Gelingt es bei einem solchen Anfall von allgemeinen Zuckungen, kataleptischer Starre oder bei einer attaque de sommeil, sich während desselben in Rapport mit dem Kranken zu setzen, oder noch besser, gelingt es den Anfall in der Hypnose hervorzurufen, so findet man, dass auch hier die Erinnerung an das psychische Trauma oder an eine Reihe von Traumen zu Grunde liegt, die sich sonst in einer hallucinatorischen Phase auffällig macht. Ein kleines Mädchen leidet seit Jahren an Anfällen von allgemeinen Krämpfen, die man für epileptische halten könnte und auch gehalten hat. Sie wird zum Zwecke der Differentialdiagnose hypnotisirt und verfällt sofort in ihren Anfall. Befragt: Was siehst Du denn jetzt, antwortet sie aber: Der Hund, der Hund kommt, und wirklich ergibt sich, dass der erste Anfall dieser Art nach einer Verfolgung durch einen wilden Hund aufgetreten war. Der Erfolg der Therapie vervollständigt dann die diagnostische Entscheidung.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Ein Angestellter, der in Folge einer Misshandlung von Seiten seines Chefs hysterisch geworden ist, leidet an Anfällen, in denen er zusammenstürzt, tobt und wüthet, ohne ein Wort zu sprechen oder eine Hallucination zu verrathen. Der Anfall lässt sich in der Hypnose provociren und der Kranke gibt nun an, dass er die Scene wiederdurchlebt, wie der Herr ihn auf der Strasse beschimpft und mit einem Stock schlägt. Wenige Tage später kommt er mit der Klage wieder, er habe denselben Anfall von Neuem gehabt, und diesmal ergibt sich in der Hypnose, dass er die Scene durchlebt hat, an die sich eigentlich der Ausbruch der Krankheit knüpfte; die Scene im Gerichtssaal, als es ihm nicht gelang, Satisfaction für die Misshandlung zu erreichen u. s. w.</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Erinnerungen, welche in den hysterischen Anfällen hervortreten oder in ihnen geweckt werden können, entsprechen auch in allen anderen Stücken den Anlässen, welche sich uns als Gründe hysterischer Dauersymptome ergeben haben. Wie diese betreffen sie psychische Traumen, die sich der Erledigung durch Abreagiren oder durch associative Denkarbeit entzogen haben; wie diese fehlen sie gänzlich oder mit ihren wesentlichen Bestandtheilen dem Erinnerungsvermögen </w:t>
      </w:r>
      <w:r w:rsidRPr="00C820A0">
        <w:rPr>
          <w:rFonts w:ascii="Garamond" w:hAnsi="Garamond"/>
          <w:color w:val="666666"/>
          <w:sz w:val="20"/>
          <w:szCs w:val="20"/>
          <w:lang w:val="en-US" w:eastAsia="fr-FR"/>
        </w:rPr>
        <w:t>[</w:t>
      </w:r>
      <w:hyperlink r:id="rId1613" w:tooltip="Seite:De Studien über Hysterie 012.jpg" w:history="1">
        <w:r w:rsidRPr="00C820A0">
          <w:rPr>
            <w:rFonts w:ascii="Garamond" w:hAnsi="Garamond"/>
            <w:b/>
            <w:bCs/>
            <w:color w:val="0000FF"/>
            <w:sz w:val="20"/>
            <w:szCs w:val="20"/>
            <w:u w:val="single"/>
            <w:lang w:val="en-US" w:eastAsia="fr-FR"/>
          </w:rPr>
          <w:t>12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des normalen Bewusstseins und zeigen sich als zugehörig zu dem Vorstellungsinhalt hypnoider Bewusstseinszustände mit eingeschränkter Association. Endlich gestatten sie auch die therapeutische Probe. Unsere Beobachtungen haben uns oftmals gelehrt, dass eine solche Erinnerung, die bis dahin Anfälle provocirt hatte, dazu unfähig wird, wenn man sie in der Hypnose zur Reaction und associativen Correctur bringt.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Die motorischen Phänomene des hysterischen Anfalles lassen sich zum Theil als allgemeine Reactionsformen des die Erinnerung begleitenden Affectes (wie das Zappeln mit allen Gliedern, dessen sich bereits der Säugling bedient, zum Theil als directe Ausdrucksbewegungen dieser Erinnerung deuten) zum anderen Theil entziehen sie sich ebenso wie die hysterischen Stigmata bei den Dauersymptomen dieser Erklärung.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Eine besondere Würdigung des hysterischen Anfalles ergibt sich noch, wenn man auf die vorhin angedeutete Theorie Rücksicht nimmt, dass bei der Hysterie in hypnoiden Zuständen entstandene Vorstellungsgruppen vorhanden sind, die vom associativen Verkehr mit den übrigen ausgeschlossen, aber unter einander associirbar, ein mehr oder minder hoch organisirtes Rudiment eines zweiten Bewusstseins, einer condition seconde darstellen. Dann entspricht ein hysterisches Dauersymptom einem Hineinragen dieses zweiten Zustandes in die sonst vom normalen Bewusstsein beherrschte Körperinnervation, ein hysterischer Anfall zeugt aber von einer höheren Organisation dieses zweiten Zustandes und bedeutet, wenn er frisch entstanden ist, einen Moment, in dem sich dieses Hypnoidbewusstsein der gesammten Existenz bemächtigt hat, also einer acuten Hysterie; wenn es aber ein wiederkehrender Anfall ist, der eine Erinnerung enthält, einer Wiederkehr eines solchen. </w:t>
      </w:r>
      <w:r w:rsidRPr="00C820A0">
        <w:rPr>
          <w:rFonts w:ascii="Garamond" w:hAnsi="Garamond"/>
          <w:i/>
          <w:iCs/>
          <w:sz w:val="20"/>
          <w:szCs w:val="20"/>
          <w:lang w:val="en-US" w:eastAsia="fr-FR"/>
        </w:rPr>
        <w:t>Charcot</w:t>
      </w:r>
      <w:r w:rsidRPr="00C820A0">
        <w:rPr>
          <w:rFonts w:ascii="Garamond" w:hAnsi="Garamond"/>
          <w:sz w:val="20"/>
          <w:szCs w:val="20"/>
          <w:lang w:val="en-US" w:eastAsia="fr-FR"/>
        </w:rPr>
        <w:t xml:space="preserve"> hat bereits den Gedanken ausgesprochen, dass der hysterische Anfall das Rudiment einer condition seconde sein dürfte. Während des Anfalles ist die Herrschaft über die gesammte Körperinnervation auf das hypnoide Bewusstsein übergegangen. Das normale Bewusstsein ist, wie bekannte Erfahrungen zeigen, dabei nicht immer völlig verdrängt, es kann selbst die motorischen Phänomene des Anfalles wahrnehmen, während die psychischen Vorgänge desselben seiner Kenntnissnahme entgehen.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Der typische Verlauf einer schweren Hysterie ist bekanntlich der, dass zunächst in hypnoiden Zuständen ein Vorstellungsinhalt gebildet wird, der dann, genügend angewachsen, sich während </w:t>
      </w:r>
      <w:r w:rsidRPr="00C820A0">
        <w:rPr>
          <w:rFonts w:ascii="Garamond" w:hAnsi="Garamond"/>
          <w:color w:val="666666"/>
          <w:sz w:val="20"/>
          <w:szCs w:val="20"/>
          <w:lang w:val="en-US" w:eastAsia="fr-FR"/>
        </w:rPr>
        <w:t>[</w:t>
      </w:r>
      <w:hyperlink r:id="rId1614" w:tooltip="Seite:De Studien über Hysterie 013.jpg" w:history="1">
        <w:r w:rsidRPr="00C820A0">
          <w:rPr>
            <w:rFonts w:ascii="Garamond" w:hAnsi="Garamond"/>
            <w:b/>
            <w:bCs/>
            <w:color w:val="0000FF"/>
            <w:sz w:val="20"/>
            <w:szCs w:val="20"/>
            <w:u w:val="single"/>
            <w:lang w:val="en-US" w:eastAsia="fr-FR"/>
          </w:rPr>
          <w:t>13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einer Zeit von „acuter Hysterie“ der Körperinnervation und der Existenz des Kranken bemächtigt, Dauersymptome und Anfälle schafft und dann bis auf Reste abheilt. Kann die normale Person die Herrschaft wieder übernehmen, so kehrt das, was von jenem hypnoiden Vorstellungsinhalt überlebt hat, in hysterischen Anfällen wieder und bringt die Person zeitweise wieder in ähnliche Zustände, die selbst wieder beeinflussbar und für Traumen aufnahmsfähig sind. Es stellt sich dann häufig eine Art von Gleichgewicht zwischen den psychischen Gruppen her, die in derselben Person vereinigt sind; Anfall und normales Leben gehen neben einander her, ohne einander zu beeinflussen. Der Anfall kommt dann spontan, wie auch bei uns die Erinnerungen zu kommen pflegen, er kann aber auch provocirt werden, wie jede Erinnerung nach den Gesetzen der Association zu erwecken ist. Die Provocation des Anfalles erfolgt entweder durch die Reizung einer hysterogenen Zone oder durch ein neues Erlebniss, welches durch Aehnlichkeit an das pathogene Erlebniss anklingt. Wir hoffen, zeigen zu können, das zwischen beiden anscheinend so verschiedenen Bedingungen ein wesentlicher Unterschied nicht besteht, dass in beiden Fällen an eine hyperästhetische Erinnerung gerührt wird. In anderen Fällen ist dieses Gleichgewicht ein sehr labiles, der Anfall erscheint als Aeusserung des hypnoiden Bewusstseinsrestes, so oft die normale Person erschöpft und leistungsunfähig wird. Es ist nicht von der Hand zu weisen, dass in solchen Fällen auch der Anfall, seiner ursprünglichen Bedeutung entkleidet, als inhaltslose motorische Reaction wiederkehren mag.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bleibt eine Aufgabe weiterer Untersuchung, welche Bedingungen dafür maassgebend sind, ob eine hysterische Individualität sich in Anfällen, in Dauersymptonen oder in einem Gemenge von beiden äussert.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V.</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ist nun verständlich, wieso die hier von uns dargelegte Methode der Psychotherapie heilend wirkt. </w:t>
      </w:r>
      <w:r w:rsidRPr="00C820A0">
        <w:rPr>
          <w:rFonts w:ascii="Garamond" w:hAnsi="Garamond"/>
          <w:i/>
          <w:iCs/>
          <w:sz w:val="20"/>
          <w:szCs w:val="20"/>
          <w:lang w:val="en-US" w:eastAsia="fr-FR"/>
        </w:rPr>
        <w:t>Sie hebt die Wirksamkeit der ursprünglich nicht abreagirten Vorstellung dadurch auf, dass sie dem eingeklemmten Affecte derselben den Ablauf durch die Rede gestattet, und bringt sie zur associativen Correctur, indem sie dieselbe in’s normale Bewusstsein zieht (in leichterer Hypnose) oder durch ärztliche Suggestion aufhebt, wie es im Somnambulismus mit Amnesie geschieht.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615" w:tooltip="Seite:De Studien über Hysterie 014.jpg" w:history="1">
        <w:r w:rsidRPr="00C820A0">
          <w:rPr>
            <w:rFonts w:ascii="Garamond" w:hAnsi="Garamond"/>
            <w:b/>
            <w:bCs/>
            <w:color w:val="0000FF"/>
            <w:sz w:val="20"/>
            <w:szCs w:val="20"/>
            <w:u w:val="single"/>
            <w:lang w:val="en-US" w:eastAsia="fr-FR"/>
          </w:rPr>
          <w:t>14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Wir halten den therapeutischen Gewinn bei Anwendung dieses Verfahrens für einen bedeutenden. Natürlich heilen wir nicht die Hysterie, soweit sie Disposition ist, wir leisten ja nichts gegen die Wiederkehr hypnoider Zustände. Auch während des productiven Stadiums einer acuten Hysterie kann unser Verfahren nicht verhüten, dass die mühsam beseitigten Phänomene alsbald durch neue ersetzt werden. Ist aber dieses acute Stadium abgelaufen, und erübrigen noch die Reste desselben als hysterische Dauersymptome und Anfälle, so beseitigt unsere Methode dieselben häufig und für immer, weil radical, und scheint uns hierin die Wirksamkeit der directen suggestiven Aufhebung, wie sie jetzt von den Psychotherapeuten geübt wird, weit zu übertreffen.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wir in der Aufdeckung des psychischen Mechanismus hysterischer Phänomene einen Schritt weiter auf der Bahn gemacht haben, die zuerst </w:t>
      </w:r>
      <w:r w:rsidRPr="00C820A0">
        <w:rPr>
          <w:rFonts w:ascii="Garamond" w:hAnsi="Garamond"/>
          <w:i/>
          <w:iCs/>
          <w:sz w:val="20"/>
          <w:szCs w:val="20"/>
          <w:lang w:val="en-US" w:eastAsia="fr-FR"/>
        </w:rPr>
        <w:t>Charcot</w:t>
      </w:r>
      <w:r w:rsidRPr="00C820A0">
        <w:rPr>
          <w:rFonts w:ascii="Garamond" w:hAnsi="Garamond"/>
          <w:sz w:val="20"/>
          <w:szCs w:val="20"/>
          <w:lang w:val="en-US" w:eastAsia="fr-FR"/>
        </w:rPr>
        <w:t xml:space="preserve"> so erfolgreich mit der Erklärung und experimentellen Nachahmung hysterotraumatischer Lähmungen betreten hat, so verhehlen wir uns doch nicht, dass damit eben nur der Mechanismuss hysterischer Symptome und nicht die inneren Ursachen der Hysterie unserer Kenntniss näher gerückt worden sind. Wir haben die Aetiologie der Hysterie nur gestreift und eigentlich nur die Ursachen der acquirirten Formen, die Bedeutung des accidentellen Momentes für die Neurose beleuchten können.</w:t>
      </w:r>
    </w:p>
    <w:p w:rsidR="005C1841" w:rsidRPr="00C820A0" w:rsidRDefault="005C1841" w:rsidP="005C1841">
      <w:pPr>
        <w:pStyle w:val="Sansinterligne"/>
        <w:rPr>
          <w:rFonts w:ascii="Garamond" w:hAnsi="Garamond"/>
          <w:sz w:val="20"/>
          <w:szCs w:val="20"/>
          <w:lang w:eastAsia="fr-FR"/>
        </w:rPr>
      </w:pPr>
      <w:r w:rsidRPr="00C820A0">
        <w:rPr>
          <w:rFonts w:ascii="Garamond" w:hAnsi="Garamond"/>
          <w:i/>
          <w:iCs/>
          <w:sz w:val="20"/>
          <w:szCs w:val="20"/>
          <w:lang w:eastAsia="fr-FR"/>
        </w:rPr>
        <w:t>Wien</w:t>
      </w:r>
      <w:r w:rsidRPr="00C820A0">
        <w:rPr>
          <w:rFonts w:ascii="Garamond" w:hAnsi="Garamond"/>
          <w:sz w:val="20"/>
          <w:szCs w:val="20"/>
          <w:lang w:eastAsia="fr-FR"/>
        </w:rPr>
        <w:t>, December 1892.</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1" style="width:104.4pt;height:1.5pt" o:hrpct="250" o:hralign="center" o:hrstd="t" o:hr="t" fillcolor="#a0a0a0" stroked="f"/>
        </w:pict>
      </w:r>
    </w:p>
    <w:p w:rsidR="005C1841" w:rsidRPr="00C820A0" w:rsidRDefault="005C1841" w:rsidP="005C1841">
      <w:pPr>
        <w:pStyle w:val="Sansinterligne"/>
        <w:rPr>
          <w:rFonts w:ascii="Garamond" w:hAnsi="Garamond"/>
          <w:sz w:val="20"/>
          <w:szCs w:val="20"/>
          <w:lang w:val="en-US" w:eastAsia="fr-FR"/>
        </w:rPr>
      </w:pPr>
      <w:hyperlink r:id="rId1616" w:anchor="cite_ref-0"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Wiederabdruck aus dem „</w:t>
      </w:r>
      <w:r w:rsidRPr="00C820A0">
        <w:rPr>
          <w:rFonts w:ascii="Garamond" w:hAnsi="Garamond"/>
          <w:i/>
          <w:iCs/>
          <w:sz w:val="20"/>
          <w:szCs w:val="20"/>
          <w:lang w:val="en-US" w:eastAsia="fr-FR"/>
        </w:rPr>
        <w:t>Neurologischen Centralblatt</w:t>
      </w:r>
      <w:r w:rsidRPr="00C820A0">
        <w:rPr>
          <w:rFonts w:ascii="Garamond" w:hAnsi="Garamond"/>
          <w:sz w:val="20"/>
          <w:szCs w:val="20"/>
          <w:lang w:val="en-US" w:eastAsia="fr-FR"/>
        </w:rPr>
        <w:t>“,1893,Nr. 1 u. 2.</w:t>
      </w:r>
    </w:p>
    <w:p w:rsidR="005C1841" w:rsidRPr="00C820A0" w:rsidRDefault="005C1841" w:rsidP="005C1841">
      <w:pPr>
        <w:pStyle w:val="Sansinterligne"/>
        <w:rPr>
          <w:rFonts w:ascii="Garamond" w:hAnsi="Garamond"/>
          <w:sz w:val="20"/>
          <w:szCs w:val="20"/>
          <w:lang w:eastAsia="fr-FR"/>
        </w:rPr>
      </w:pPr>
      <w:hyperlink r:id="rId1617" w:anchor="cite_ref-1"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Die Möglichkeit einer solchen Therapie haben </w:t>
      </w:r>
      <w:r w:rsidRPr="005C1841">
        <w:rPr>
          <w:rFonts w:ascii="Garamond" w:hAnsi="Garamond"/>
          <w:i/>
          <w:iCs/>
          <w:sz w:val="20"/>
          <w:szCs w:val="20"/>
          <w:lang w:val="en-US" w:eastAsia="fr-FR"/>
        </w:rPr>
        <w:t>Delboeuf</w:t>
      </w:r>
      <w:r w:rsidRPr="005C1841">
        <w:rPr>
          <w:rFonts w:ascii="Garamond" w:hAnsi="Garamond"/>
          <w:sz w:val="20"/>
          <w:szCs w:val="20"/>
          <w:lang w:val="en-US" w:eastAsia="fr-FR"/>
        </w:rPr>
        <w:t xml:space="preserve"> und </w:t>
      </w:r>
      <w:r w:rsidRPr="005C1841">
        <w:rPr>
          <w:rFonts w:ascii="Garamond" w:hAnsi="Garamond"/>
          <w:i/>
          <w:iCs/>
          <w:sz w:val="20"/>
          <w:szCs w:val="20"/>
          <w:lang w:val="en-US" w:eastAsia="fr-FR"/>
        </w:rPr>
        <w:t>Binet</w:t>
      </w:r>
      <w:r w:rsidRPr="005C1841">
        <w:rPr>
          <w:rFonts w:ascii="Garamond" w:hAnsi="Garamond"/>
          <w:sz w:val="20"/>
          <w:szCs w:val="20"/>
          <w:lang w:val="en-US" w:eastAsia="fr-FR"/>
        </w:rPr>
        <w:t xml:space="preserve"> klar erkannt, wie die beifolgenden Citate zeigen: </w:t>
      </w:r>
      <w:r w:rsidRPr="005C1841">
        <w:rPr>
          <w:rFonts w:ascii="Garamond" w:hAnsi="Garamond"/>
          <w:i/>
          <w:iCs/>
          <w:sz w:val="20"/>
          <w:szCs w:val="20"/>
          <w:lang w:val="en-US" w:eastAsia="fr-FR"/>
        </w:rPr>
        <w:t>Delboeuf</w:t>
      </w:r>
      <w:r w:rsidRPr="005C1841">
        <w:rPr>
          <w:rFonts w:ascii="Garamond" w:hAnsi="Garamond"/>
          <w:sz w:val="20"/>
          <w:szCs w:val="20"/>
          <w:lang w:val="en-US" w:eastAsia="fr-FR"/>
        </w:rPr>
        <w:t xml:space="preserve">, Le magnétisme animal. </w:t>
      </w:r>
      <w:r w:rsidRPr="00C820A0">
        <w:rPr>
          <w:rFonts w:ascii="Garamond" w:hAnsi="Garamond"/>
          <w:sz w:val="20"/>
          <w:szCs w:val="20"/>
          <w:lang w:eastAsia="fr-FR"/>
        </w:rPr>
        <w:t xml:space="preserve">Paris 1889: „On s’expliquerait dès lors comment le magnétiseur aide à la guérison. Il remet le sujet dans l’état oû le mal s’est manifesté et combat par la parole le même mal, mais </w:t>
      </w:r>
      <w:r w:rsidRPr="00C820A0">
        <w:rPr>
          <w:rFonts w:ascii="Garamond" w:hAnsi="Garamond"/>
          <w:i/>
          <w:iCs/>
          <w:sz w:val="20"/>
          <w:szCs w:val="20"/>
          <w:lang w:eastAsia="fr-FR"/>
        </w:rPr>
        <w:t>renaissant</w:t>
      </w:r>
      <w:r w:rsidRPr="00C820A0">
        <w:rPr>
          <w:rFonts w:ascii="Garamond" w:hAnsi="Garamond"/>
          <w:sz w:val="20"/>
          <w:szCs w:val="20"/>
          <w:lang w:eastAsia="fr-FR"/>
        </w:rPr>
        <w:t xml:space="preserve">.“ – </w:t>
      </w:r>
      <w:r w:rsidRPr="00C820A0">
        <w:rPr>
          <w:rFonts w:ascii="Garamond" w:hAnsi="Garamond"/>
          <w:i/>
          <w:iCs/>
          <w:sz w:val="20"/>
          <w:szCs w:val="20"/>
          <w:lang w:eastAsia="fr-FR"/>
        </w:rPr>
        <w:t>Binet</w:t>
      </w:r>
      <w:r w:rsidRPr="00C820A0">
        <w:rPr>
          <w:rFonts w:ascii="Garamond" w:hAnsi="Garamond"/>
          <w:sz w:val="20"/>
          <w:szCs w:val="20"/>
          <w:lang w:eastAsia="fr-FR"/>
        </w:rPr>
        <w:t xml:space="preserve">, Les altérations de la personnalité. 1892. p. 243: „. . . peut-être verra-t-on qu’en reportant le malade par un artifice mental, au moment même où le symptôme a apparu pour la première fois, on rend ce malade plus docile à une suggestion </w:t>
      </w:r>
      <w:r w:rsidRPr="00C820A0">
        <w:rPr>
          <w:rFonts w:ascii="Garamond" w:hAnsi="Garamond"/>
          <w:sz w:val="20"/>
          <w:szCs w:val="20"/>
          <w:lang w:eastAsia="fr-FR"/>
        </w:rPr>
        <w:lastRenderedPageBreak/>
        <w:t xml:space="preserve">curative.“ – In dem interessanten Buche von P. </w:t>
      </w:r>
      <w:r w:rsidRPr="00C820A0">
        <w:rPr>
          <w:rFonts w:ascii="Garamond" w:hAnsi="Garamond"/>
          <w:i/>
          <w:iCs/>
          <w:sz w:val="20"/>
          <w:szCs w:val="20"/>
          <w:lang w:eastAsia="fr-FR"/>
        </w:rPr>
        <w:t>Janet</w:t>
      </w:r>
      <w:r w:rsidRPr="00C820A0">
        <w:rPr>
          <w:rFonts w:ascii="Garamond" w:hAnsi="Garamond"/>
          <w:sz w:val="20"/>
          <w:szCs w:val="20"/>
          <w:lang w:eastAsia="fr-FR"/>
        </w:rPr>
        <w:t>: L’automatisme psychologique, Paris 1889, findet sich die Beschreibung einer Heilung, welche bei einem hysterischen Mädchen durch Anwendung eines, dem unserigen analogen Verfahrens erzielt wurde.</w:t>
      </w:r>
    </w:p>
    <w:p w:rsidR="005C1841" w:rsidRPr="00C820A0" w:rsidRDefault="005C1841" w:rsidP="005C1841">
      <w:pPr>
        <w:pStyle w:val="Sansinterligne"/>
        <w:rPr>
          <w:rFonts w:ascii="Garamond" w:hAnsi="Garamond"/>
          <w:sz w:val="20"/>
          <w:szCs w:val="20"/>
          <w:lang w:val="en-US" w:eastAsia="fr-FR"/>
        </w:rPr>
      </w:pPr>
      <w:hyperlink r:id="rId1618" w:anchor="cite_ref-2"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Wir können im Texte dieser vorläufigen Mittheilung nicht sondern, was am Inhalte derselben neu ist, und was sich bei anderen Autoren wie </w:t>
      </w:r>
      <w:r w:rsidRPr="00C820A0">
        <w:rPr>
          <w:rFonts w:ascii="Garamond" w:hAnsi="Garamond"/>
          <w:i/>
          <w:iCs/>
          <w:sz w:val="20"/>
          <w:szCs w:val="20"/>
          <w:lang w:val="en-US" w:eastAsia="fr-FR"/>
        </w:rPr>
        <w:t>Moebius</w:t>
      </w:r>
      <w:r w:rsidRPr="00C820A0">
        <w:rPr>
          <w:rFonts w:ascii="Garamond" w:hAnsi="Garamond"/>
          <w:sz w:val="20"/>
          <w:szCs w:val="20"/>
          <w:lang w:val="en-US" w:eastAsia="fr-FR"/>
        </w:rPr>
        <w:t xml:space="preserve"> und </w:t>
      </w:r>
      <w:r w:rsidRPr="00C820A0">
        <w:rPr>
          <w:rFonts w:ascii="Garamond" w:hAnsi="Garamond"/>
          <w:i/>
          <w:iCs/>
          <w:sz w:val="20"/>
          <w:szCs w:val="20"/>
          <w:lang w:val="en-US" w:eastAsia="fr-FR"/>
        </w:rPr>
        <w:t>Strümpell</w:t>
      </w:r>
      <w:r w:rsidRPr="00C820A0">
        <w:rPr>
          <w:rFonts w:ascii="Garamond" w:hAnsi="Garamond"/>
          <w:sz w:val="20"/>
          <w:szCs w:val="20"/>
          <w:lang w:val="en-US" w:eastAsia="fr-FR"/>
        </w:rPr>
        <w:t xml:space="preserve"> findet, die ähnliche Anschauungen für die Hysterie vertreten haben. Die grösste Annäherung an unsere theoretischen und therapeutischen Ausführungen fanden wir in einigen gelegentlich publicirten Bemerkungen </w:t>
      </w:r>
      <w:r w:rsidRPr="00C820A0">
        <w:rPr>
          <w:rFonts w:ascii="Garamond" w:hAnsi="Garamond"/>
          <w:i/>
          <w:iCs/>
          <w:sz w:val="20"/>
          <w:szCs w:val="20"/>
          <w:lang w:val="en-US" w:eastAsia="fr-FR"/>
        </w:rPr>
        <w:t>Benedikt’s</w:t>
      </w:r>
      <w:r w:rsidRPr="00C820A0">
        <w:rPr>
          <w:rFonts w:ascii="Garamond" w:hAnsi="Garamond"/>
          <w:sz w:val="20"/>
          <w:szCs w:val="20"/>
          <w:lang w:val="en-US" w:eastAsia="fr-FR"/>
        </w:rPr>
        <w:t>, mit denen wir uns an anderer Stelle beschäftigen werden.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II. Krankengeschichten.</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t>Beobachtung I. Frl. Anna 0 ...</w:t>
      </w:r>
      <w:r w:rsidRPr="00C820A0">
        <w:rPr>
          <w:rFonts w:ascii="Garamond" w:hAnsi="Garamond"/>
          <w:sz w:val="20"/>
          <w:szCs w:val="20"/>
          <w:lang w:val="en-US" w:eastAsia="fr-FR"/>
        </w:rPr>
        <w:t xml:space="preserve"> (Breuer).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Frl. Anna 0 ..., zur Zeit der Erkrankung (1880) 21 Jahre alt, erscheint als neuropathisch mässig stark belastet durch einige in der grossen Familie vorgekommenen Psychosen; die Eltern sind nervös gesund. Sie selbst früher stets gesund, ohne irgend ein Nervosum während der Entwicklungsperiode; von bedeutender Intelligenz, erstaunlich scharfsinniger Combination und scharfsichtiger Intuition; ein kräftiger Intellect, der auch solide geistige Nahrung verdaut hätte und sie brauchte, nach Verlassen der Schule aber nicht erhielt. Reiche poetische und phantastische Begabung, controlirt durch sehr scharfen und kritischen Verstand. Dieser letztere machte sie auch </w:t>
      </w:r>
      <w:r w:rsidRPr="00C820A0">
        <w:rPr>
          <w:rFonts w:ascii="Garamond" w:hAnsi="Garamond"/>
          <w:i/>
          <w:iCs/>
          <w:sz w:val="20"/>
          <w:szCs w:val="20"/>
          <w:lang w:val="en-US" w:eastAsia="fr-FR"/>
        </w:rPr>
        <w:t>völlig unsuggestibel</w:t>
      </w:r>
      <w:r w:rsidRPr="00C820A0">
        <w:rPr>
          <w:rFonts w:ascii="Garamond" w:hAnsi="Garamond"/>
          <w:sz w:val="20"/>
          <w:szCs w:val="20"/>
          <w:lang w:val="en-US" w:eastAsia="fr-FR"/>
        </w:rPr>
        <w:t>; nur Argumente, nie Behauptungen hatten Einfluss auf sie. Ihr Wille war energisch, zäh und ausdauernd; manchmal zum Eigensinn gesteigert, der sein Ziel nur aus Güte, um Anderer willen, aufgab.</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Zu den wesentlichsten Zügen des Charakters gehörte mitleidige Güte; die Pflege und Besorgung einiger Armen und Kranken leistete ihr selbst in ihrer Krankheit ausgezeichnete Dienste, da sie dadurch einen starken Trieb befriedigen konnte. – Ihre Stimmungen hatten immer eine leichte Tendenz zum Uebermaass, der Lustigkeit und der Trauer; daher auch einige Launenhaftigkeit. Das sexuale Element war erstaunlich unentwickelt; die Kranke, deren Leben mir durchsichtig wurde, wie selten das eines Menschen einem andern, hatte nie eine Liebe gehabt und in all den massenhaften Hallucinationen ihrer Krankheit tauchte niemals dieses Element des Seelenlebens empor.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Dieses Mädchen von überfliessender geistiger Vitalität führte in der puritanisch gesinnten Familie ein höchst monotones Leben, dass sie sich in einer für ihre Krankheit wahrscheinlich maassgebenden Weise verschönerte. Sie pflegte systematisch das Wachträumen, das sie ihr „Privattheater“ nannte. Während alle sie anwesend glaubten, lebte sie im Geiste Märchen durch, war aber angerufen immer </w:t>
      </w:r>
      <w:r w:rsidRPr="00C820A0">
        <w:rPr>
          <w:rFonts w:ascii="Garamond" w:hAnsi="Garamond"/>
          <w:color w:val="666666"/>
          <w:sz w:val="20"/>
          <w:szCs w:val="20"/>
          <w:lang w:val="en-US" w:eastAsia="fr-FR"/>
        </w:rPr>
        <w:t>[</w:t>
      </w:r>
      <w:hyperlink r:id="rId1619" w:tooltip="Seite:De Studien über Hysterie 016.jpg" w:history="1">
        <w:r w:rsidRPr="00C820A0">
          <w:rPr>
            <w:rFonts w:ascii="Garamond" w:hAnsi="Garamond"/>
            <w:b/>
            <w:bCs/>
            <w:color w:val="0000FF"/>
            <w:sz w:val="20"/>
            <w:szCs w:val="20"/>
            <w:u w:val="single"/>
            <w:lang w:val="en-US" w:eastAsia="fr-FR"/>
          </w:rPr>
          <w:t>16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präsent, so dass niemand davon wusste. Neben den Beschäftigungen der Häuslichkeit, die sie tadellos versorgte, gieng diese geistige Thätigkeit fast fortlaufend einher. Ich werde dann zu berichten haben, wie unmittelbar diese gewohnheitsmässige Träumerei der Gesunden in Krankheit übergieng.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Der Krankheitsverlauf zerfällt in mehrere gut getrennte Phasen; es sind:</w:t>
      </w:r>
    </w:p>
    <w:tbl>
      <w:tblPr>
        <w:tblW w:w="0" w:type="auto"/>
        <w:tblCellSpacing w:w="15" w:type="dxa"/>
        <w:tblCellMar>
          <w:top w:w="15" w:type="dxa"/>
          <w:left w:w="15" w:type="dxa"/>
          <w:bottom w:w="15" w:type="dxa"/>
          <w:right w:w="15" w:type="dxa"/>
        </w:tblCellMar>
        <w:tblLook w:val="04A0"/>
      </w:tblPr>
      <w:tblGrid>
        <w:gridCol w:w="286"/>
        <w:gridCol w:w="8876"/>
      </w:tblGrid>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A</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sz w:val="20"/>
                <w:szCs w:val="20"/>
                <w:lang w:eastAsia="fr-FR"/>
              </w:rPr>
              <w:t xml:space="preserve">die latente Incubation. Mitte Juli 1880 bis etwa 10. </w:t>
            </w:r>
            <w:r w:rsidRPr="00C820A0">
              <w:rPr>
                <w:rFonts w:ascii="Garamond" w:hAnsi="Garamond"/>
                <w:sz w:val="20"/>
                <w:szCs w:val="20"/>
                <w:lang w:val="en-US" w:eastAsia="fr-FR"/>
              </w:rPr>
              <w:t xml:space="preserve">December. In diese Phase, die sich in den meisten Fällen unserer Kenntnis entzieht, gewährte die Eigenart dieses Falles so vollständigen Einblick, dass ich schon deshalb sein pathologisches Interesse nicht gering anschlage. </w:t>
            </w:r>
            <w:r w:rsidRPr="00C820A0">
              <w:rPr>
                <w:rFonts w:ascii="Garamond" w:hAnsi="Garamond"/>
                <w:sz w:val="20"/>
                <w:szCs w:val="20"/>
                <w:lang w:eastAsia="fr-FR"/>
              </w:rPr>
              <w:t>Ich werde diesen Theil der Geschichte später darlegen.</w:t>
            </w:r>
          </w:p>
        </w:tc>
      </w:tr>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B</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sz w:val="20"/>
                <w:szCs w:val="20"/>
                <w:lang w:eastAsia="fr-FR"/>
              </w:rPr>
              <w:t>die manifeste Erkrankung; eine eigenthümliche Psychose, Paraphasie,</w:t>
            </w:r>
            <w:hyperlink r:id="rId1620" w:anchor="cite_note-0" w:history="1">
              <w:r w:rsidRPr="00C820A0">
                <w:rPr>
                  <w:rFonts w:ascii="Garamond" w:hAnsi="Garamond"/>
                  <w:color w:val="0000FF"/>
                  <w:sz w:val="20"/>
                  <w:szCs w:val="20"/>
                  <w:u w:val="single"/>
                  <w:vertAlign w:val="superscript"/>
                  <w:lang w:eastAsia="fr-FR"/>
                </w:rPr>
                <w:t>[1]</w:t>
              </w:r>
            </w:hyperlink>
            <w:r w:rsidRPr="00C820A0">
              <w:rPr>
                <w:rFonts w:ascii="Garamond" w:hAnsi="Garamond"/>
                <w:sz w:val="20"/>
                <w:szCs w:val="20"/>
                <w:lang w:eastAsia="fr-FR"/>
              </w:rPr>
              <w:t xml:space="preserve"> Strabismus convergens,</w:t>
            </w:r>
            <w:hyperlink r:id="rId1621" w:anchor="cite_note-1" w:history="1">
              <w:r w:rsidRPr="00C820A0">
                <w:rPr>
                  <w:rFonts w:ascii="Garamond" w:hAnsi="Garamond"/>
                  <w:color w:val="0000FF"/>
                  <w:sz w:val="20"/>
                  <w:szCs w:val="20"/>
                  <w:u w:val="single"/>
                  <w:vertAlign w:val="superscript"/>
                  <w:lang w:eastAsia="fr-FR"/>
                </w:rPr>
                <w:t>[2]</w:t>
              </w:r>
            </w:hyperlink>
            <w:r w:rsidRPr="00C820A0">
              <w:rPr>
                <w:rFonts w:ascii="Garamond" w:hAnsi="Garamond"/>
                <w:sz w:val="20"/>
                <w:szCs w:val="20"/>
                <w:lang w:eastAsia="fr-FR"/>
              </w:rPr>
              <w:t xml:space="preserve"> schwere Sehstörungen, Contracturlähmungen,</w:t>
            </w:r>
            <w:hyperlink r:id="rId1622" w:anchor="cite_note-2" w:history="1">
              <w:r w:rsidRPr="00C820A0">
                <w:rPr>
                  <w:rFonts w:ascii="Garamond" w:hAnsi="Garamond"/>
                  <w:color w:val="0000FF"/>
                  <w:sz w:val="20"/>
                  <w:szCs w:val="20"/>
                  <w:u w:val="single"/>
                  <w:vertAlign w:val="superscript"/>
                  <w:lang w:eastAsia="fr-FR"/>
                </w:rPr>
                <w:t>[3]</w:t>
              </w:r>
            </w:hyperlink>
            <w:r w:rsidRPr="00C820A0">
              <w:rPr>
                <w:rFonts w:ascii="Garamond" w:hAnsi="Garamond"/>
                <w:sz w:val="20"/>
                <w:szCs w:val="20"/>
                <w:lang w:eastAsia="fr-FR"/>
              </w:rPr>
              <w:t xml:space="preserve"> vollständig in der rechten obern, beiden untern Extremitäten, unvollständig in der linken obern Extremität, Parese</w:t>
            </w:r>
            <w:hyperlink r:id="rId1623" w:anchor="cite_note-3" w:history="1">
              <w:r w:rsidRPr="00C820A0">
                <w:rPr>
                  <w:rFonts w:ascii="Garamond" w:hAnsi="Garamond"/>
                  <w:color w:val="0000FF"/>
                  <w:sz w:val="20"/>
                  <w:szCs w:val="20"/>
                  <w:u w:val="single"/>
                  <w:vertAlign w:val="superscript"/>
                  <w:lang w:eastAsia="fr-FR"/>
                </w:rPr>
                <w:t>[4]</w:t>
              </w:r>
            </w:hyperlink>
            <w:r w:rsidRPr="00C820A0">
              <w:rPr>
                <w:rFonts w:ascii="Garamond" w:hAnsi="Garamond"/>
                <w:sz w:val="20"/>
                <w:szCs w:val="20"/>
                <w:lang w:eastAsia="fr-FR"/>
              </w:rPr>
              <w:t xml:space="preserve"> der Nackenmusculatur. Allmähliche Reduction der Contractur auf die rechtseitigen Extremitäten. Einige Besserung, unterbrochen durch ein schweres psychisches Trauma (Tod des Vaters) im April, auf welche</w:t>
            </w:r>
          </w:p>
        </w:tc>
      </w:tr>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C</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sz w:val="20"/>
                <w:szCs w:val="20"/>
                <w:lang w:eastAsia="fr-FR"/>
              </w:rPr>
              <w:t>eine Periode andauernden Somnambulismus folgt, der dann mit normaleren Zuständen alternirt; Fortbestand einer Reihe von Dauersymptomen bis December 1880.</w:t>
            </w:r>
          </w:p>
        </w:tc>
      </w:tr>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D</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val="en-US" w:eastAsia="fr-FR"/>
              </w:rPr>
            </w:pPr>
            <w:r w:rsidRPr="00C820A0">
              <w:rPr>
                <w:rFonts w:ascii="Garamond" w:hAnsi="Garamond"/>
                <w:sz w:val="20"/>
                <w:szCs w:val="20"/>
                <w:lang w:val="en-US" w:eastAsia="fr-FR"/>
              </w:rPr>
              <w:t>Allmähliche Abwicklung der Zustände und Phänomene bis Juni 1882.</w:t>
            </w:r>
          </w:p>
        </w:tc>
      </w:tr>
    </w:tbl>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Im Juli 1880 erkrankte der Vater der Patientin, den sie leidenschaftlich liebte, an einem peripleuritischen Abscess,</w:t>
      </w:r>
      <w:hyperlink r:id="rId1624" w:anchor="cite_note-4" w:history="1">
        <w:r w:rsidRPr="00C820A0">
          <w:rPr>
            <w:rFonts w:ascii="Garamond" w:hAnsi="Garamond"/>
            <w:color w:val="0000FF"/>
            <w:sz w:val="20"/>
            <w:szCs w:val="20"/>
            <w:u w:val="single"/>
            <w:vertAlign w:val="superscript"/>
            <w:lang w:val="en-US" w:eastAsia="fr-FR"/>
          </w:rPr>
          <w:t>[5]</w:t>
        </w:r>
      </w:hyperlink>
      <w:r w:rsidRPr="00C820A0">
        <w:rPr>
          <w:rFonts w:ascii="Garamond" w:hAnsi="Garamond"/>
          <w:sz w:val="20"/>
          <w:szCs w:val="20"/>
          <w:lang w:val="en-US" w:eastAsia="fr-FR"/>
        </w:rPr>
        <w:t xml:space="preserve"> der nicht ausheilte und dem er im April 1881 erlag. Während der ersten Monate dieser Erkrankung widmete sich Anna der Krankenpflege mit der ganzen Energie ihres Wesens, und es nahm niemand sehr Wunder, dass sie dabei allmählich stark herabkam. Niemand, vielleicht auch die Kranke selbst nicht, wusste, was in ihr vorgieng; allmählich aber wurde ihr Zustand von Schwäche, Anämie, Ekel vor Nahrung so schlimm, dass sie zu ihrem grössten Schmerze von der Pflege des Kranken entfernt wurde. Den unmittelbaren Anlass bot ein höchst intensiver Husten, wegen dessen ich sie zum erstenmale untersuchte. Es war eine typische Tussis nervosa.</w:t>
      </w:r>
      <w:hyperlink r:id="rId1625" w:anchor="cite_note-5" w:history="1">
        <w:r w:rsidRPr="00C820A0">
          <w:rPr>
            <w:rFonts w:ascii="Garamond" w:hAnsi="Garamond"/>
            <w:color w:val="0000FF"/>
            <w:sz w:val="20"/>
            <w:szCs w:val="20"/>
            <w:u w:val="single"/>
            <w:vertAlign w:val="superscript"/>
            <w:lang w:val="en-US" w:eastAsia="fr-FR"/>
          </w:rPr>
          <w:t>[6]</w:t>
        </w:r>
      </w:hyperlink>
      <w:r w:rsidRPr="00C820A0">
        <w:rPr>
          <w:rFonts w:ascii="Garamond" w:hAnsi="Garamond"/>
          <w:sz w:val="20"/>
          <w:szCs w:val="20"/>
          <w:lang w:val="en-US" w:eastAsia="fr-FR"/>
        </w:rPr>
        <w:t xml:space="preserve"> Bald wurde ein auffallendes </w:t>
      </w:r>
      <w:r w:rsidRPr="00C820A0">
        <w:rPr>
          <w:rFonts w:ascii="Garamond" w:hAnsi="Garamond"/>
          <w:color w:val="666666"/>
          <w:sz w:val="20"/>
          <w:szCs w:val="20"/>
          <w:lang w:val="en-US" w:eastAsia="fr-FR"/>
        </w:rPr>
        <w:t>[</w:t>
      </w:r>
      <w:hyperlink r:id="rId1626" w:tooltip="Seite:De Studien über Hysterie 017.jpg" w:history="1">
        <w:r w:rsidRPr="00C820A0">
          <w:rPr>
            <w:rFonts w:ascii="Garamond" w:hAnsi="Garamond"/>
            <w:b/>
            <w:bCs/>
            <w:color w:val="0000FF"/>
            <w:sz w:val="20"/>
            <w:szCs w:val="20"/>
            <w:u w:val="single"/>
            <w:lang w:val="en-US" w:eastAsia="fr-FR"/>
          </w:rPr>
          <w:t>17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Ruhebedürfniss in den Nachmittagsstunden deutlich, an welches sich abends ein schlafähnlicher Zustand und dann starke Aufregung anschloss.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Anfangs December entstand Strabismus convergens. Ein Augenarzt erklärte diesen (irrigerweise) durch Parese des einen Abducens.</w:t>
      </w:r>
      <w:hyperlink r:id="rId1627" w:anchor="cite_note-6" w:history="1">
        <w:r w:rsidRPr="00C820A0">
          <w:rPr>
            <w:rFonts w:ascii="Garamond" w:hAnsi="Garamond"/>
            <w:color w:val="0000FF"/>
            <w:sz w:val="20"/>
            <w:szCs w:val="20"/>
            <w:u w:val="single"/>
            <w:vertAlign w:val="superscript"/>
            <w:lang w:val="en-US" w:eastAsia="fr-FR"/>
          </w:rPr>
          <w:t>[7]</w:t>
        </w:r>
      </w:hyperlink>
      <w:r w:rsidRPr="00C820A0">
        <w:rPr>
          <w:rFonts w:ascii="Garamond" w:hAnsi="Garamond"/>
          <w:sz w:val="20"/>
          <w:szCs w:val="20"/>
          <w:lang w:val="en-US" w:eastAsia="fr-FR"/>
        </w:rPr>
        <w:t xml:space="preserve"> Am 11. December wurde Patientin bettlägerig und blieb es bis 1. April.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rascher Folge entwickelte sich, </w:t>
      </w:r>
      <w:r w:rsidRPr="00C820A0">
        <w:rPr>
          <w:rFonts w:ascii="Garamond" w:hAnsi="Garamond"/>
          <w:i/>
          <w:iCs/>
          <w:sz w:val="20"/>
          <w:szCs w:val="20"/>
          <w:lang w:val="en-US" w:eastAsia="fr-FR"/>
        </w:rPr>
        <w:t>anscheinend</w:t>
      </w:r>
      <w:r w:rsidRPr="00C820A0">
        <w:rPr>
          <w:rFonts w:ascii="Garamond" w:hAnsi="Garamond"/>
          <w:sz w:val="20"/>
          <w:szCs w:val="20"/>
          <w:lang w:val="en-US" w:eastAsia="fr-FR"/>
        </w:rPr>
        <w:t xml:space="preserve"> ganz frisch, eine Reihe schwerer Störungen.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Linksseitiger Hinterkopf-Schmerz; Strabismus convergens (Diplopie</w:t>
      </w:r>
      <w:hyperlink r:id="rId1628" w:anchor="cite_note-7" w:history="1">
        <w:r w:rsidRPr="00C820A0">
          <w:rPr>
            <w:rFonts w:ascii="Garamond" w:hAnsi="Garamond"/>
            <w:color w:val="0000FF"/>
            <w:sz w:val="20"/>
            <w:szCs w:val="20"/>
            <w:u w:val="single"/>
            <w:vertAlign w:val="superscript"/>
            <w:lang w:val="en-US" w:eastAsia="fr-FR"/>
          </w:rPr>
          <w:t>[8]</w:t>
        </w:r>
      </w:hyperlink>
      <w:r w:rsidRPr="00C820A0">
        <w:rPr>
          <w:rFonts w:ascii="Garamond" w:hAnsi="Garamond"/>
          <w:sz w:val="20"/>
          <w:szCs w:val="20"/>
          <w:lang w:val="en-US" w:eastAsia="fr-FR"/>
        </w:rPr>
        <w:t>) durch Aufregung bedeutend gesteigert; Klage über Herüberstürzen der Wand (Obliquus-Affection</w:t>
      </w:r>
      <w:hyperlink r:id="rId1629" w:anchor="cite_note-8" w:history="1">
        <w:r w:rsidRPr="00C820A0">
          <w:rPr>
            <w:rFonts w:ascii="Garamond" w:hAnsi="Garamond"/>
            <w:color w:val="0000FF"/>
            <w:sz w:val="20"/>
            <w:szCs w:val="20"/>
            <w:u w:val="single"/>
            <w:vertAlign w:val="superscript"/>
            <w:lang w:val="en-US" w:eastAsia="fr-FR"/>
          </w:rPr>
          <w:t>[9]</w:t>
        </w:r>
      </w:hyperlink>
      <w:r w:rsidRPr="00C820A0">
        <w:rPr>
          <w:rFonts w:ascii="Garamond" w:hAnsi="Garamond"/>
          <w:sz w:val="20"/>
          <w:szCs w:val="20"/>
          <w:lang w:val="en-US" w:eastAsia="fr-FR"/>
        </w:rPr>
        <w:t>). Schwer analysirbare Sehstörungen; Parese der vordern Halsmuskeln, so dass der Kopf schliesslich nur dadurch bewegt wurde, dass Patientin ihn nach rückwärts zwischen die gehobenen Schultern presste und sich mit dem ganzen Rücken bewegte. Contractur und Anästhesie</w:t>
      </w:r>
      <w:hyperlink r:id="rId1630" w:anchor="cite_note-9" w:history="1">
        <w:r w:rsidRPr="00C820A0">
          <w:rPr>
            <w:rFonts w:ascii="Garamond" w:hAnsi="Garamond"/>
            <w:color w:val="0000FF"/>
            <w:sz w:val="20"/>
            <w:szCs w:val="20"/>
            <w:u w:val="single"/>
            <w:vertAlign w:val="superscript"/>
            <w:lang w:val="en-US" w:eastAsia="fr-FR"/>
          </w:rPr>
          <w:t>[10]</w:t>
        </w:r>
      </w:hyperlink>
      <w:r w:rsidRPr="00C820A0">
        <w:rPr>
          <w:rFonts w:ascii="Garamond" w:hAnsi="Garamond"/>
          <w:sz w:val="20"/>
          <w:szCs w:val="20"/>
          <w:lang w:val="en-US" w:eastAsia="fr-FR"/>
        </w:rPr>
        <w:t xml:space="preserve"> der rechten obern, nach einiger Zeit der rechten untern Extremität; auch diese völlig gestreckt, adducirt und nach innen rotirt; später tritt dieselbe Affection an der linken untern Extremität und zuletzt am linken Arm auf, an welchem aber </w:t>
      </w:r>
      <w:r w:rsidRPr="00C820A0">
        <w:rPr>
          <w:rFonts w:ascii="Garamond" w:hAnsi="Garamond"/>
          <w:sz w:val="20"/>
          <w:szCs w:val="20"/>
          <w:lang w:val="en-US" w:eastAsia="fr-FR"/>
        </w:rPr>
        <w:lastRenderedPageBreak/>
        <w:t>die Finger einigermaassen beweglich blieben. Auch die Schultergelenke beiderseits waren nicht völlig rigide. Das Maximum der Contractur betrifft die Muskeln des Oberarms, wie auch später, als die Anästhesie genauer geprüft werden konnte, die Gegend des Ellbogens sich als am stärksten unempfindlich erwies. Im Beginne der Krankheit blieb die Anästhesieprüfung ungenügend, wegen des aus Angstgefühlen entspringenden Widerstandes der Patientin.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diesem Zustande übernahm ich die Kranke in meine Behandlung und konnte mich alsbald von der schweren psychischen Alteration überzeugen, die da vorlag. Es bestanden zwei ganz getrennte Bewusstseinszustände, die sehr oft und unvermittelt abwechselten und sich im Laufe der Krankheit immer schärfer schieden. In dem einen kannte sie ihre Umgebung, war traurig und ängstlich, aber relativ normal; im andern hallucinirte sie, war „ungezogen“, d. h. schimpfte, warf die Kissen nach den Leuten, soweit und wenn die Contractur dergleichen erlaubte, riss mit den beweglichen Fingern die Knöpfe von Decken und Wäsche und dgl. mehr. War während dieser Phase etwas im Zimmer verändert worden, jemand gekommen oder hinausgegangen, so klagte sie dann, ihr fehle Zeit, und bemerkte die Lücke im Ablauf ihrer bewussten Vorstellungen. Da man ihr das, wenn möglich, ableugnete, auf ihre Klage, sie werde verrückt, sie zu </w:t>
      </w:r>
      <w:r w:rsidRPr="00C820A0">
        <w:rPr>
          <w:rFonts w:ascii="Garamond" w:hAnsi="Garamond"/>
          <w:color w:val="666666"/>
          <w:sz w:val="20"/>
          <w:szCs w:val="20"/>
          <w:lang w:val="en-US" w:eastAsia="fr-FR"/>
        </w:rPr>
        <w:t>[</w:t>
      </w:r>
      <w:hyperlink r:id="rId1631" w:tooltip="Seite:De Studien über Hysterie 018.jpg" w:history="1">
        <w:r w:rsidRPr="00C820A0">
          <w:rPr>
            <w:rFonts w:ascii="Garamond" w:hAnsi="Garamond"/>
            <w:b/>
            <w:bCs/>
            <w:color w:val="0000FF"/>
            <w:sz w:val="20"/>
            <w:szCs w:val="20"/>
            <w:u w:val="single"/>
            <w:lang w:val="en-US" w:eastAsia="fr-FR"/>
          </w:rPr>
          <w:t>18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beruhigen suchte, folgten auf jedes Polsterschleudern und dgl. dann noch die Klagen, was man ihr anthue, in welcher Unordnung man sie lasse u. s. f.</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Diese Absencen waren schon beobachtet worden, als sie noch ausser Bett war; sie blieb dann mitten im Sprechen stecken, wiederholte die letzten Worte, um nach kurzer Zeit weiter fortzufahren. Nach und nach nahm dies die geschilderten Dimensionen an und während der Acme</w:t>
      </w:r>
      <w:hyperlink r:id="rId1632" w:anchor="cite_note-10" w:history="1">
        <w:r w:rsidRPr="00C820A0">
          <w:rPr>
            <w:rFonts w:ascii="Garamond" w:hAnsi="Garamond"/>
            <w:color w:val="0000FF"/>
            <w:sz w:val="20"/>
            <w:szCs w:val="20"/>
            <w:u w:val="single"/>
            <w:vertAlign w:val="superscript"/>
            <w:lang w:val="en-US" w:eastAsia="fr-FR"/>
          </w:rPr>
          <w:t>[11]</w:t>
        </w:r>
      </w:hyperlink>
      <w:r w:rsidRPr="00C820A0">
        <w:rPr>
          <w:rFonts w:ascii="Garamond" w:hAnsi="Garamond"/>
          <w:sz w:val="20"/>
          <w:szCs w:val="20"/>
          <w:lang w:val="en-US" w:eastAsia="fr-FR"/>
        </w:rPr>
        <w:t xml:space="preserve"> der Krankheit, als die Contractur auch die linke Seite ergriffen hatte, war sie am Tag nur für ganz kurze Zeiten halbwegs normal. Aber auch in die Momente relativ klaren Bewusstseins griffen die Störungen über; rapidester Stimmungswechsel in Extremen, ganz vorübergehende Heiterkeit, sonst schwere Angstgefühle, hartnäckige Opposition gegen alle therapeutischen Maassnahmen, ängstliche Hallucinationen von schwarzen Schlangen, als welche ihre Haare, Schnüre und dgl. erscheinen. Dabei sprach sie sich immer zu, nicht so dumm zu sein, es seien ja ihre Haare u. s. w. In ganz klaren Momenten beklagte sie die tiefe Finsterniss ihres Kopfes, wie sie nicht denken könne, blind und taub werde, zwei Ichs habe, ihr wirkliches und ein schlechtes, dass sie zu schlimmem zwinge u. s. w.</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Nachmittags lag sie in einer Somnolenz,</w:t>
      </w:r>
      <w:hyperlink r:id="rId1633" w:anchor="cite_note-11" w:history="1">
        <w:r w:rsidRPr="00C820A0">
          <w:rPr>
            <w:rFonts w:ascii="Garamond" w:hAnsi="Garamond"/>
            <w:color w:val="0000FF"/>
            <w:sz w:val="20"/>
            <w:szCs w:val="20"/>
            <w:u w:val="single"/>
            <w:vertAlign w:val="superscript"/>
            <w:lang w:val="en-US" w:eastAsia="fr-FR"/>
          </w:rPr>
          <w:t>[12]</w:t>
        </w:r>
      </w:hyperlink>
      <w:r w:rsidRPr="00C820A0">
        <w:rPr>
          <w:rFonts w:ascii="Garamond" w:hAnsi="Garamond"/>
          <w:sz w:val="20"/>
          <w:szCs w:val="20"/>
          <w:lang w:val="en-US" w:eastAsia="fr-FR"/>
        </w:rPr>
        <w:t xml:space="preserve"> die bis etwa eine Stunde nach Sonnenuntergang dauerte, und dann erwacht, klagte sie, es quäle sie etwas, oder vielmehr sie wiederholte immer den Infinitiv: Quälen, quälen.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Denn zugleich mit der Ausbildung der Contracturen war eine tiefe, functionelle Desorganisation der Sprache eingetreten. Zuerst beobachtete man, dass ihr Worte fehlten, allmählich nahm das zu. Dann verlor ihr Sprechen alle Grammatik, jede Syntax, die ganze Conjugation des Verbums, sie gebrauchte schliesslich nur falsch, meist aus einem schwachen Particip-praeteriti gebildete Infinitive, keinen Artikel. In weiterer Entwicklung fehlten ihr auch die Worte fast ganz, sie suchte dieselben mühsam aus 4 oder 5 Sprachen zusammen und war dabei kaum mehr verständlich. Bei Versuchen zu schreiben schrieb sie (anfangs, bis die Contractur das völlig verhinderte) denselben Jargon. Zwei Wochen lang bestand völliger Mutismus,</w:t>
      </w:r>
      <w:hyperlink r:id="rId1634" w:anchor="cite_note-12" w:history="1">
        <w:r w:rsidRPr="00C820A0">
          <w:rPr>
            <w:rFonts w:ascii="Garamond" w:hAnsi="Garamond"/>
            <w:color w:val="0000FF"/>
            <w:sz w:val="20"/>
            <w:szCs w:val="20"/>
            <w:u w:val="single"/>
            <w:vertAlign w:val="superscript"/>
            <w:lang w:val="en-US" w:eastAsia="fr-FR"/>
          </w:rPr>
          <w:t>[13]</w:t>
        </w:r>
      </w:hyperlink>
      <w:r w:rsidRPr="00C820A0">
        <w:rPr>
          <w:rFonts w:ascii="Garamond" w:hAnsi="Garamond"/>
          <w:sz w:val="20"/>
          <w:szCs w:val="20"/>
          <w:lang w:val="en-US" w:eastAsia="fr-FR"/>
        </w:rPr>
        <w:t xml:space="preserve"> bei fortwährenden angestrengten Versuchen zu sprechen wurde kein Laut vorgebracht. Hier wurde nun zuerst der psychische Mechanismus der Störung klar. Sie hatte sich, wie ich wusste, über etwas sehr gekränkt und beschlossen, nichts davon zu sagen. Als ich das errieth und sie </w:t>
      </w:r>
      <w:r w:rsidRPr="00C820A0">
        <w:rPr>
          <w:rFonts w:ascii="Garamond" w:hAnsi="Garamond"/>
          <w:color w:val="666666"/>
          <w:sz w:val="20"/>
          <w:szCs w:val="20"/>
          <w:lang w:val="en-US" w:eastAsia="fr-FR"/>
        </w:rPr>
        <w:t>[</w:t>
      </w:r>
      <w:hyperlink r:id="rId1635" w:tooltip="Seite:De Studien über Hysterie 019.jpg" w:history="1">
        <w:r w:rsidRPr="00C820A0">
          <w:rPr>
            <w:rFonts w:ascii="Garamond" w:hAnsi="Garamond"/>
            <w:b/>
            <w:bCs/>
            <w:color w:val="0000FF"/>
            <w:sz w:val="20"/>
            <w:szCs w:val="20"/>
            <w:u w:val="single"/>
            <w:lang w:val="en-US" w:eastAsia="fr-FR"/>
          </w:rPr>
          <w:t>19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zwang, davon zu reden, fiel die Hemmung weg, die vorher auch jede andere Aeusserung unmöglich gemacht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 fiel zeitlich zusammen mit der wiederkehrenden Beweglichkeit der linksseitigen Extremitäten, März 1881; die Paraphasie wich, aber sie sprach jetzt nur </w:t>
      </w:r>
      <w:r w:rsidRPr="00C820A0">
        <w:rPr>
          <w:rFonts w:ascii="Garamond" w:hAnsi="Garamond"/>
          <w:i/>
          <w:iCs/>
          <w:sz w:val="20"/>
          <w:szCs w:val="20"/>
          <w:lang w:val="en-US" w:eastAsia="fr-FR"/>
        </w:rPr>
        <w:t>englisch</w:t>
      </w:r>
      <w:r w:rsidRPr="00C820A0">
        <w:rPr>
          <w:rFonts w:ascii="Garamond" w:hAnsi="Garamond"/>
          <w:sz w:val="20"/>
          <w:szCs w:val="20"/>
          <w:lang w:val="en-US" w:eastAsia="fr-FR"/>
        </w:rPr>
        <w:t>, doch anscheinend, ohne es zu wissen; zankte mit der Wärterin, die sie natürlich nicht verstand; erst mehrere Monate später gelang mir, sie davon zu überzeugen, dass sie englisch rede. Doch verstand sie selbst noch ihre deutsch sprechende Umgebung. Nur in Momenten grosser Angst versagte die Sprache vollständig oder sie mischte die verschiedensten Idiome durcheinander. In den allerbesten, freiesten Stunden sprach sie französisch oder italienisch. Zwischen diesen Zeiten und denen, in welchen sie englisch sprach, bestand völlige Amnesie. Nun nahm auch der Strabismus ab und erschien schliesslich nur mehr bei heftiger Aufregung, der Kopf wurde wieder getragen. Am 1. April verliess sie zum erstenmale das Bett.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 starb am 5. April der von ihr vergötterte Vater, den sie während ihrer Krankheit nur sehr selten für kurze Zeit gesehen hatte. </w:t>
      </w:r>
      <w:r w:rsidRPr="00C820A0">
        <w:rPr>
          <w:rFonts w:ascii="Garamond" w:hAnsi="Garamond"/>
          <w:sz w:val="20"/>
          <w:szCs w:val="20"/>
          <w:lang w:eastAsia="fr-FR"/>
        </w:rPr>
        <w:t xml:space="preserve">Es war das schwerste psychische Trauma, das sie treffen konnte. </w:t>
      </w:r>
      <w:r w:rsidRPr="00C820A0">
        <w:rPr>
          <w:rFonts w:ascii="Garamond" w:hAnsi="Garamond"/>
          <w:sz w:val="20"/>
          <w:szCs w:val="20"/>
          <w:lang w:val="en-US" w:eastAsia="fr-FR"/>
        </w:rPr>
        <w:t xml:space="preserve">Gewaltiger Aufregung folgte ein tiefer Stupor etwa zwei Tage lang, aus dem sie sich in sehr verändertem Zustande erhob. Zunächst war sie viel ruhiger und das Angstgefühl wesentlich vermindert. Die Contractur des rechten Armes und Beines dauerte fort, ebenso die, nicht tiefe, Anästhesie dieser Glieder. Es bestand hochgradige Gesichtsfeldeinengung. </w:t>
      </w:r>
      <w:r w:rsidRPr="00C820A0">
        <w:rPr>
          <w:rFonts w:ascii="Garamond" w:hAnsi="Garamond"/>
          <w:sz w:val="20"/>
          <w:szCs w:val="20"/>
          <w:lang w:eastAsia="fr-FR"/>
        </w:rPr>
        <w:t xml:space="preserve">Von einem Blumenstrauss, der sie sehr erfreute, sah sie immer nur eine Blume zugleich. Sie klagte, dass sie die Menschen nicht erkenne. Sonst habe sie die Gesichter erkannt, ohne willkürlich dabei arbeiten zu müssen; jetzt müsse sie bei solchem, sehr mühsamem „recognising work“ sich sagen, die Nase sei so, die Haare so, folglich werde das der und der sein. </w:t>
      </w:r>
      <w:r w:rsidRPr="00C820A0">
        <w:rPr>
          <w:rFonts w:ascii="Garamond" w:hAnsi="Garamond"/>
          <w:sz w:val="20"/>
          <w:szCs w:val="20"/>
          <w:lang w:val="en-US" w:eastAsia="fr-FR"/>
        </w:rPr>
        <w:t>Alle Menschen wurden ihr wie Wachsfiguren, ohne Beziehung auf sie. Sehr peinlich war ihr die Gegenwart einiger nahen Verwandten, und dieser „negative Instinct“ wuchs fortwährend. Trat jemand ins Zimmer, den sie sonst gern gesehen hatte, so erkannte sie ihn, war kurze Zeit präsent, dann versank sie wieder in ihr Brüten, und der Mensch war ihr entschwunden. Nur mich kannte sie immer, wenn ich eintrat, blieb auch immer präsent und munter, solange ich mit ihr sprach, bis auf die immer ganz plötzlich dazwischen fahrenden hallucinatorischen Absencen.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Sie sprach nun nur englisch und verstand nicht, was man ihr deutsch sagte. Ihre Umgebung musste englisch mit ihr sprechen; selbst </w:t>
      </w:r>
      <w:r w:rsidRPr="00C820A0">
        <w:rPr>
          <w:rFonts w:ascii="Garamond" w:hAnsi="Garamond"/>
          <w:color w:val="666666"/>
          <w:sz w:val="20"/>
          <w:szCs w:val="20"/>
          <w:lang w:val="en-US" w:eastAsia="fr-FR"/>
        </w:rPr>
        <w:t>[</w:t>
      </w:r>
      <w:hyperlink r:id="rId1636" w:tooltip="Seite:De Studien über Hysterie 020.jpg" w:history="1">
        <w:r w:rsidRPr="00C820A0">
          <w:rPr>
            <w:rFonts w:ascii="Garamond" w:hAnsi="Garamond"/>
            <w:b/>
            <w:bCs/>
            <w:color w:val="0000FF"/>
            <w:sz w:val="20"/>
            <w:szCs w:val="20"/>
            <w:u w:val="single"/>
            <w:lang w:val="en-US" w:eastAsia="fr-FR"/>
          </w:rPr>
          <w:t>20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die Wärterin lernte sich einigermaassen so verständigen. Sie las aber französisch und italienisch; sollte sie es vorlesen, so las sie mit staunenerregender Geläufigkeit, fliessend, eine vortreffliche englische Uebersetzung des Gelesenen vom Blatte.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Sie begann wieder zu schreiben, aber in eigenthümlicher Weise; sie schrieb mit der, gelenken, linken Hand, aber Antiqua-Druckbuchstaben, die sie sich aus ihrem Shakespeare zum Alphabet zusammen gesucht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Hatte sie früher schon minimal Nahrung genommen, so verweigerte sie jetzt das Essen vollständig, liess sich aber von mir füttern, so dass ihre Ernährung rasch zunahm. Nur Brod zu essen verweigerte sie immer. Nach der Fütterung aber unterliess sie nie den Mund zu waschen, und that dies auch, wenn sie aus irgend einem Grunde nichts gegessen hatte; ein Zeichen, wie abwesend sie dabei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Somnolenz am Nachmittag und der tiefe Sopor</w:t>
      </w:r>
      <w:hyperlink r:id="rId1637" w:anchor="cite_note-13" w:history="1">
        <w:r w:rsidRPr="00C820A0">
          <w:rPr>
            <w:rFonts w:ascii="Garamond" w:hAnsi="Garamond"/>
            <w:color w:val="0000FF"/>
            <w:sz w:val="20"/>
            <w:szCs w:val="20"/>
            <w:u w:val="single"/>
            <w:vertAlign w:val="superscript"/>
            <w:lang w:val="en-US" w:eastAsia="fr-FR"/>
          </w:rPr>
          <w:t>[14]</w:t>
        </w:r>
      </w:hyperlink>
      <w:r w:rsidRPr="00C820A0">
        <w:rPr>
          <w:rFonts w:ascii="Garamond" w:hAnsi="Garamond"/>
          <w:sz w:val="20"/>
          <w:szCs w:val="20"/>
          <w:lang w:val="en-US" w:eastAsia="fr-FR"/>
        </w:rPr>
        <w:t xml:space="preserve"> um Sonnenuntergang dauerten an. Hatte sie sich dann ausgesprochen (ich werde später genauer hierauf eingehen müssen) so war sie klar, ruhig, heiter.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Dieser relativ erträgliche Zustand dauerte nicht lange. Etwa 10 Tage nach ihres Vaters Tod wurde ein Consiliarius</w:t>
      </w:r>
      <w:hyperlink r:id="rId1638" w:anchor="cite_note-14" w:history="1">
        <w:r w:rsidRPr="00C820A0">
          <w:rPr>
            <w:rFonts w:ascii="Garamond" w:hAnsi="Garamond"/>
            <w:color w:val="0000FF"/>
            <w:sz w:val="20"/>
            <w:szCs w:val="20"/>
            <w:u w:val="single"/>
            <w:vertAlign w:val="superscript"/>
            <w:lang w:eastAsia="fr-FR"/>
          </w:rPr>
          <w:t>[15]</w:t>
        </w:r>
      </w:hyperlink>
      <w:r w:rsidRPr="00C820A0">
        <w:rPr>
          <w:rFonts w:ascii="Garamond" w:hAnsi="Garamond"/>
          <w:sz w:val="20"/>
          <w:szCs w:val="20"/>
          <w:lang w:eastAsia="fr-FR"/>
        </w:rPr>
        <w:t xml:space="preserve"> beigezogen, den sie wie alle Fremden absolut ignorirte, als ich ihm all ihre Sonderbarkeiten demonstrirte. </w:t>
      </w:r>
      <w:r w:rsidRPr="00C820A0">
        <w:rPr>
          <w:rFonts w:ascii="Garamond" w:hAnsi="Garamond"/>
          <w:sz w:val="20"/>
          <w:szCs w:val="20"/>
          <w:lang w:val="en-US" w:eastAsia="fr-FR"/>
        </w:rPr>
        <w:t>„That’s like an examination“ sagte sie lachend, als ich sie einen französischen Text auf englisch vorlesen liess. Der fremde Arzt sprach drein, versuchte sich ihr bemerklich zu machen; vergebens. Es war die richtige „negative Hallucination“, die seitdem so oft experimentell hergestellt worden ist. Endlich gelang es ihm, diese zu durchbrechen, indem er ihr Hauch ins Gesicht blies. Plötzlich sah sie einen Fremden, stürzte zur Thüre, den Schlüssel abzuziehen, fiel bewusstlos zu Boden; dann folgte ein kurzer Zorn- und dann ein arger Angstanfall, den ich mit grosser Mühe beruhigte. Unglücklicherweise musste ich denselben Abend abreisen, und als ich nach mehreren Tagen zurückkam, fand ich die Kranke sehr verschlimmert. Sie hatte die ganze Zeit vollständig abstinirt, war voll Angstgefühlen, ihre hallucinatorischen Absencen erfüllt von Schreckgestalten, Todtenköpfen und Gerippen. Da sie, diese Dinge durchlebend, sie theilweise sprechend tragirte,</w:t>
      </w:r>
      <w:hyperlink r:id="rId1639" w:anchor="cite_note-15" w:history="1">
        <w:r w:rsidRPr="00C820A0">
          <w:rPr>
            <w:rFonts w:ascii="Garamond" w:hAnsi="Garamond"/>
            <w:color w:val="0000FF"/>
            <w:sz w:val="20"/>
            <w:szCs w:val="20"/>
            <w:u w:val="single"/>
            <w:vertAlign w:val="superscript"/>
            <w:lang w:val="en-US" w:eastAsia="fr-FR"/>
          </w:rPr>
          <w:t>[16]</w:t>
        </w:r>
      </w:hyperlink>
      <w:r w:rsidRPr="00C820A0">
        <w:rPr>
          <w:rFonts w:ascii="Garamond" w:hAnsi="Garamond"/>
          <w:sz w:val="20"/>
          <w:szCs w:val="20"/>
          <w:lang w:val="en-US" w:eastAsia="fr-FR"/>
        </w:rPr>
        <w:t xml:space="preserve"> kannte die Umgebung meist den Inhalt dieser Hallucinationen. Nachmittags Somnolenz, um Sonnenuntergang die tiefe Hypnose, für die sie den technischen Namen „clouds“ (Wolken) gefunden hatte. Konnte sie dann die Hallucinationen des </w:t>
      </w:r>
      <w:r w:rsidRPr="00C820A0">
        <w:rPr>
          <w:rFonts w:ascii="Garamond" w:hAnsi="Garamond"/>
          <w:color w:val="666666"/>
          <w:sz w:val="20"/>
          <w:szCs w:val="20"/>
          <w:lang w:val="en-US" w:eastAsia="fr-FR"/>
        </w:rPr>
        <w:t>[</w:t>
      </w:r>
      <w:hyperlink r:id="rId1640" w:tooltip="Seite:De Studien über Hysterie 021.jpg" w:history="1">
        <w:r w:rsidRPr="00C820A0">
          <w:rPr>
            <w:rFonts w:ascii="Garamond" w:hAnsi="Garamond"/>
            <w:b/>
            <w:bCs/>
            <w:color w:val="0000FF"/>
            <w:sz w:val="20"/>
            <w:szCs w:val="20"/>
            <w:u w:val="single"/>
            <w:lang w:val="en-US" w:eastAsia="fr-FR"/>
          </w:rPr>
          <w:t>21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Tages erzählen, so erwachte sie klar, ruhig, heiter, setzte sich zur Arbeit, zeichnete oder schrieb die Nacht durch, völlig vernünftig; ging gegen 4 Uhr zu Bett, und am Morgen begann dieselbe Scene wieder, wie Tags zuvor. Der Gegensatz zwischen der unzurechnungsfähigen, von Hallucinationen gehetzten Kranken am Tag und dem geistig völlig klaren Mädchen bei Nacht war höchst merkwürdig.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Trotz dieser nächtlichen Euphorie verschlechterte sich der psychische Zustand doch immer mehr; es traten intensive Selbstmordimpulse auf, die den Aufenthalt in einem 3. Stockwerk unthunlich erscheinen liessen. Die Kranke wurde darum gegen ihren Willen in ein Landhaus in der Nähe von Wien gebracht (7. Juni 1881). Diese Entfernung vom Hause, die sie perhorrescirte, hatte ich nie angedroht, sie selbst aber im stillen erwartet und gefürchtet. Es wurde nun auch bei diesem Anlass wieder klar, wie dominirend der Angstaffect die psychische Störung beherrschte. Wie nach des Vaters Tod ein Ruhezustand eingetreten war, so beruhigte sie sich auch jetzt, als das Gefürchtete geschehen war. Allerdings nicht, ohne dass die Transferirung unmittelbar von drei Tagen und Nächten gefolgt gewesen wäre, absolut ohne Schlaf und Nahrung, voll von (im Garten allerdings ungefährlichen) Selbstmordversuchen, Fensterzerschlagen und dgl., Hallucinationen ohne Absence, die sie von den andern ganz wohl unterschied. Dann beruhigte sie sich, nahm Nahrung von der Wärterin und sogar Abends Chloral.</w:t>
      </w:r>
      <w:hyperlink r:id="rId1641" w:anchor="cite_note-16" w:history="1">
        <w:r w:rsidRPr="00C820A0">
          <w:rPr>
            <w:rFonts w:ascii="Garamond" w:hAnsi="Garamond"/>
            <w:color w:val="0000FF"/>
            <w:sz w:val="20"/>
            <w:szCs w:val="20"/>
            <w:u w:val="single"/>
            <w:vertAlign w:val="superscript"/>
            <w:lang w:val="en-US" w:eastAsia="fr-FR"/>
          </w:rPr>
          <w:t>[17]</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Bevor ich den weiteren Verlauf schildere, muss ich noch einmal zurückgreifen und eine Eigenthümlichkeit des Falles darstellen, die ich bisher nur flüchtig gestreift habe.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wurde schon bemerkt, dass im ganzen bisherigen Verlaufe täglich Nachmittags eine Somnolenz die Kranke befiel, die um Sonnenuntergang in tieferen Schlaf überging (clouds). (Es ist wohl plausibel, diese Periodicität einfach aus den Umständen der Krankenpflege abzuleiten, die ihr durch Monate obgelegen hatte. Nachts wachte sie beim Kranken oder lag lauschend und angsterfüllt bis Morgens wach in ihrem Bette; Nachmittag legte sie sich für einige Zeit zur Ruhe, wie es ja meistens von der Pflegerin geschieht, und dieser Typus der Nachtwache und des Nachmittagschlafes wurde wohl dann in ihre eigene Krankheit hinüber verschleppt und bestand fort, als an Stelle des Schlafes schon lange ein hypnotischer Zustand getreten war). Hatte der Sopor etwa eine Stunde gedauert, so wurde sie unruhig, wälzte sich hin und her und rief immer wieder: „Quälen, quälen“ </w:t>
      </w:r>
      <w:r w:rsidRPr="00C820A0">
        <w:rPr>
          <w:rFonts w:ascii="Garamond" w:hAnsi="Garamond"/>
          <w:color w:val="666666"/>
          <w:sz w:val="20"/>
          <w:szCs w:val="20"/>
          <w:lang w:val="en-US" w:eastAsia="fr-FR"/>
        </w:rPr>
        <w:t>[</w:t>
      </w:r>
      <w:hyperlink r:id="rId1642" w:tooltip="Seite:De Studien über Hysterie 022.jpg" w:history="1">
        <w:r w:rsidRPr="00C820A0">
          <w:rPr>
            <w:rFonts w:ascii="Garamond" w:hAnsi="Garamond"/>
            <w:b/>
            <w:bCs/>
            <w:color w:val="0000FF"/>
            <w:sz w:val="20"/>
            <w:szCs w:val="20"/>
            <w:u w:val="single"/>
            <w:lang w:val="en-US" w:eastAsia="fr-FR"/>
          </w:rPr>
          <w:t>22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immer mit geschlossenen Augen. Andrerseits war bemerkt worden, dass sie in ihren Absencen während des Tages offenbar immer irgend eine Situation oder Geschichte ausbilde, über deren Beschaffenheit einzelne gemurmelte Worte Aufschluss gaben. Nun geschah es, zuerst zufällig, dann absichtlich, dass jemand von der Umgebung ein solches Stichwort fallen liess, während Patientin über das „Quälen“ klagte; alsbald fiel sie ein und begann eine Situation auszumalen oder eine Geschichte zu erzählen, anfangs stockend in ihrem paraphasischen</w:t>
      </w:r>
      <w:hyperlink r:id="rId1643" w:anchor="cite_note-17" w:history="1">
        <w:r w:rsidRPr="00C820A0">
          <w:rPr>
            <w:rFonts w:ascii="Garamond" w:hAnsi="Garamond"/>
            <w:color w:val="0000FF"/>
            <w:sz w:val="20"/>
            <w:szCs w:val="20"/>
            <w:u w:val="single"/>
            <w:vertAlign w:val="superscript"/>
            <w:lang w:val="en-US" w:eastAsia="fr-FR"/>
          </w:rPr>
          <w:t>[18]</w:t>
        </w:r>
      </w:hyperlink>
      <w:r w:rsidRPr="00C820A0">
        <w:rPr>
          <w:rFonts w:ascii="Garamond" w:hAnsi="Garamond"/>
          <w:sz w:val="20"/>
          <w:szCs w:val="20"/>
          <w:lang w:val="en-US" w:eastAsia="fr-FR"/>
        </w:rPr>
        <w:t xml:space="preserve"> Jargon, je weiter, desto fliessender, bis sie zuletzt ganz correctes Deutsch sprach. (In der ersten Zeit, bevor sie völlig ins Englischsprechen gerathen war.) Die Geschichten, immer traurig, waren theilweise sehr hübsch, in der Art von Andersens „Bilderbuch ohne Bilder“ und wahrscheinlich auch nach diesem Muster gebildet; meist war Ausgangs- oder Mittelpunkt die Situation eines bei einem Kranken in Angst sitzenden Mädchens; doch kamen auch ganz andere Motive zur Verarbeitung. – Einige Momente nach Vollendung der Erzählung erwachte sie, war offenbar beruhigt oder, wie sie es nannte, „gehäglich“ (behaglich). Nachts wurde sie dann wieder unruhiger und am Morgen, nach zweistündigem Schlafe war sie offenbar wieder in einem anderen Vorstellungskreis. – Konnte sie mir in der Abendhypnose einmal die Geschichte nicht erzählen, so fehlte die abendliche Beruhigung, und am anderen Tag mussten zwei erzählt werden, um diese zu bewirken.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 Wesentliche der beschriebenen Erscheinung, die Häufung und Verdichtung ihrer Absencen zur abendlichen Autohypnose, die Wirksamkeit der phantastischen Producte als psychischer Reiz und die Erleichterung und </w:t>
      </w:r>
      <w:r w:rsidRPr="00C820A0">
        <w:rPr>
          <w:rFonts w:ascii="Garamond" w:hAnsi="Garamond"/>
          <w:sz w:val="20"/>
          <w:szCs w:val="20"/>
          <w:lang w:val="en-US" w:eastAsia="fr-FR"/>
        </w:rPr>
        <w:lastRenderedPageBreak/>
        <w:t>Behebung des Reizzustandes durch die Aussprache in der Hypnose, blieben durch die ganzen anderthalb Jahre der Beobachtung constant.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Nach dem Tode des Vaters wurden die Geschichten natürlich noch tragischer, aber erst mit der Verschlimmerung ihres psychischen Zustandes, welche der erzählten gewaltsamen Durchbrechung ihres Somnambulismus folgte, verloren die abendlichen Referate den Charakter mehr minder freier poetischer Schöpfung und wandelten sich in Reihen furchtbarer, schreckhafter Hallucinationen, die man Tags über, schon aus dem Benehmen der Kranken hatte erschliessen können. Ich habe aber schon geschildert, wie vollständig die Befreiung ihrer Psyche war, nachdem sie, von Angst und Grauen geschüttelt, all diese Schreckbilder reproducirt und ausgesprochen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644" w:tooltip="Seite:De Studien über Hysterie 023.jpg" w:history="1">
        <w:r w:rsidRPr="00C820A0">
          <w:rPr>
            <w:rFonts w:ascii="Garamond" w:hAnsi="Garamond"/>
            <w:b/>
            <w:bCs/>
            <w:color w:val="0000FF"/>
            <w:sz w:val="20"/>
            <w:szCs w:val="20"/>
            <w:u w:val="single"/>
            <w:lang w:val="en-US" w:eastAsia="fr-FR"/>
          </w:rPr>
          <w:t>23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 dem Lande, wo ich die Kranke nicht täglich besuchen konnte, entwickelte sich die Sache in folgender Weise. Ich kam Abends, wenn ich sie in ihrer Hypnose wusste, und nahm ihr den ganzen Vorrath von Phantasmen ab, den sie seit meinem letzten Besuch angehäuft hatte. Das musste ganz vollständig geschehen, wenn der gute Erfolg erreicht werden sollte. Dann war sie ganz beruhigt, den nächsten Tag liebenswürdig, fügsam, fleissig, selbst heiter; den zweiten immer mehr launisch, störrig, unangenehm, was am dritten noch weiter zunahm. In dieser Stimmung, auch in der Hypnose, war sie nicht immer leicht zum Aussprechen zu bewegen, für welche Procedur sie den guten, ernsthaften Namen „talking cure“ (Redecur) und den humoristischen „chimney-sweeping“ (Kaminfegen) erfunden hatte. Sie wusste, dass sie nach der Aussprache all ihre Störrigkeit und „Energie“ verloren haben werde, und wenn sie nun schon (nach längerer Pause) in böser Laune war, so weigerte sie das Reden, das ich ihr mit Drängen und Bitten und einigen Kunstgriffen, wie dem Vorsprechen einer stereotypen Eingangsformel ihrer Geschichten, abzwingen musste. Immer aber sprach sie erst, nachdem sie sich durch sorgfältige Betastung meiner Hände von meiner Identität überzeugt hatte. In den Nächten, wo die Beruhigung durch Aussprache nicht erfolgte, musste man sich mit Chloral helfen. Ich hatte es früher einigemal versucht, musste aber 5 Gramm geben, und dem Schlafe ging ein stundenlanger Rausch vorher, der in meiner Gegenwart heiter war, in meiner Abwesenheit aber als höchst unangenehmer ängstlicher Aufregungszustand auftrat. (Beiläufig bemerkt, änderte dieser schwere Rausch nichts an der Contractur). Ich hatte die Narcotica vermeiden können, weil die Aussprache mindestens Beruhigung, wenn auch nicht Schlaf brachte. Auf dem Lande waren die Nächte zwischen den hypnotischen Erleichterungen so unerträglich, dass man doch zum Chloral seine Zuflucht nehmen musste; allmählig brauchte sie auch weniger davon.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Der dauernde Somnambulismus blieb verschwunden; dagegen bestand der Wechsel zweier Bewusstseinszustände fort. Mitten im Gespräch hallucinirte sie, lief weg, versuchte auf einen Baum zu steigen und dgl. Hielt man sie fest, so sprach sie nach kürzester Zeit im unterbrochen Satze wieder fort, ohne von dem dazwischen liegenden zu wissen. Aber in der Hypnose erschienen dann all diese Hallucinationen im Referate: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Im ganzen besserte sich der Zustand; die Ernährung war gut möglich, sie liess sich von der Wärterin das Essen in den Mund </w:t>
      </w:r>
      <w:r w:rsidRPr="00C820A0">
        <w:rPr>
          <w:rFonts w:ascii="Garamond" w:hAnsi="Garamond"/>
          <w:color w:val="666666"/>
          <w:sz w:val="20"/>
          <w:szCs w:val="20"/>
          <w:lang w:val="en-US" w:eastAsia="fr-FR"/>
        </w:rPr>
        <w:t>[</w:t>
      </w:r>
      <w:hyperlink r:id="rId1645" w:tooltip="Seite:De Studien über Hysterie 024.jpg" w:history="1">
        <w:r w:rsidRPr="00C820A0">
          <w:rPr>
            <w:rFonts w:ascii="Garamond" w:hAnsi="Garamond"/>
            <w:b/>
            <w:bCs/>
            <w:color w:val="0000FF"/>
            <w:sz w:val="20"/>
            <w:szCs w:val="20"/>
            <w:u w:val="single"/>
            <w:lang w:val="en-US" w:eastAsia="fr-FR"/>
          </w:rPr>
          <w:t>24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führen, nur Brod verlangte sie, refusirte es aber, sowie es die Lippen berührte; die Contractur-Parese des Beines nahm wesentlich ab; auch gewann sie richtige Beurtheilung und grosse Anhänglichkeit für den Arzt, der sie besuchte, meinen Freund Dr. B. Grosse Hilfe gewährte ein Neufoundländer, den sie bekommen hatte und leidenschaftlich liebte. Dabei war es prächtig anzusehen, wie einmal, als dieser Liebling eine Katze angriff, das schwächliche Mädchen die Peitsche in die linke Hand nahm und das riesige Thier damit behandelte, um sein Opfer zu retten. Später besorgte sie einige arme Kranke, was ihr sehr nützlich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Den deutlichsten Beweis für die pathogene, reizende Wirkung der in den Absencen, ihrer „condition seconde“ producirten Vorstellungscomplexe und für ihre Erledigung durch die Aussprache in Hypnose erhielt ich bei meiner Rückkehr von einer mehrwochentlichen Ferialreise.</w:t>
      </w:r>
      <w:hyperlink r:id="rId1646" w:anchor="cite_note-18" w:history="1">
        <w:r w:rsidRPr="00C820A0">
          <w:rPr>
            <w:rFonts w:ascii="Garamond" w:hAnsi="Garamond"/>
            <w:color w:val="0000FF"/>
            <w:sz w:val="20"/>
            <w:szCs w:val="20"/>
            <w:u w:val="single"/>
            <w:vertAlign w:val="superscript"/>
            <w:lang w:val="en-US" w:eastAsia="fr-FR"/>
          </w:rPr>
          <w:t>[19]</w:t>
        </w:r>
      </w:hyperlink>
      <w:r w:rsidRPr="00C820A0">
        <w:rPr>
          <w:rFonts w:ascii="Garamond" w:hAnsi="Garamond"/>
          <w:sz w:val="20"/>
          <w:szCs w:val="20"/>
          <w:lang w:val="en-US" w:eastAsia="fr-FR"/>
        </w:rPr>
        <w:t xml:space="preserve"> Während dieser war keine „talking cure“ vorgenommen worden, da die Kranke nicht zu bewegen war, jemand anderem als mir zu erzählen, auch nicht Dr. B., dem sie sonst herzlich zugethan worden war. Ich fand sie in einem traurigen moralischen Zustand, träge, unfügsam, launisch, selbst boshaft. Bei den abendlichen Erzählungen stellte sich heraus, dass ihre phantastisch-poetische Ader offenbar im Versiegen begriffen war; es wurden immer mehr und mehr Referate über ihre Hallucinationen und über das, was sie etwa in den verflossenen Tagen geärgert; phantastisch eingekleidet, aber mehr nur durch feststehende phantastische Formeln ausgedrückt, als zu Poemen ausgebaut. Ein erträglicher Zustand wurde aber erst erreicht, als ich Patientin für eine Woche in die Stadt hereinkommen liess und ihr nun Abend für Abend 3–5 Geschichten abrang. Als ich damit fertig war, war alles aufgearbeitet, was sich in den Wochen meiner Abwesenheit aufgehäuft hatte. Nun erst stellte sich jener Rhythmus ihres psychischen Befindens wieder her, dass sie am Tag nach einer Aussprache liebenswürdig und heiter, am zweiten reizbarer und unangenehmer und am dritten recht „zuwider“ war. Ihr moralischer Zustand war eine Function der seit der letzten Aussprache verflossenen Zeit, weil jedes spontane Product ihrer Phantasie und jede von dem kranken Theil ihrer Psyche aufgefasste Begebenheit, als psychischer Reiz solange fortwirkte, bis es in der Hypnose erzählt, hiemit aber auch die Wirksamkeit völlig beseitigt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Als Patientin im Herbst wieder in die Stadt kam (in eine andere Wohnung als die, in der sie erkrankt war), war der Zustand erträglich, </w:t>
      </w:r>
      <w:r w:rsidRPr="00C820A0">
        <w:rPr>
          <w:rFonts w:ascii="Garamond" w:hAnsi="Garamond"/>
          <w:color w:val="666666"/>
          <w:sz w:val="20"/>
          <w:szCs w:val="20"/>
          <w:lang w:val="en-US" w:eastAsia="fr-FR"/>
        </w:rPr>
        <w:t>[</w:t>
      </w:r>
      <w:hyperlink r:id="rId1647" w:tooltip="Seite:De Studien über Hysterie 025.jpg" w:history="1">
        <w:r w:rsidRPr="00C820A0">
          <w:rPr>
            <w:rFonts w:ascii="Garamond" w:hAnsi="Garamond"/>
            <w:b/>
            <w:bCs/>
            <w:color w:val="0000FF"/>
            <w:sz w:val="20"/>
            <w:szCs w:val="20"/>
            <w:u w:val="single"/>
            <w:lang w:val="en-US" w:eastAsia="fr-FR"/>
          </w:rPr>
          <w:t>25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sowohl körperlich als geistig, indem recht wenig, eigentlich nur eingreifendere Erlebnisse, krankhaft zu psychischen Reizen verarbeitet wurde. Ich hoffte eine fortlaufend zunehmende Besserung, wenn durch regelmässige Aussprache die dauernde Belastung ihrer Psyche mit neuen Reizen verhindert wurde. Zunächst wurde ich enttäuscht. Im December verschlimmerte sich ihr psychischer Zustand wesentlich, sie war wieder aufgeregt, traurig verstimmt, reizbar und hatte kaum mehr „ganz gute Tage“, auch wenn nichts Nachweisbares in ihr „steckte“. Ende December, in der Weihnachtszeit, war sie besonders unruhig und erzählte dann durch die ganze Woche Abends nichts Neues, sondern die Phantasmen, die sie unter der Herrschaft starker Angstaffecte in der Festzeit 1880 Tag für Tag ausgearbeitet hatte. Nach Beendigung der Serie grosse Erleichterung.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Es hatte sich nun gejährt, dass sie vom Vater getrennt, bettlägerig geworden war, und von da an klärte und systemisirte sich der Zustand in sehr eigenthümlicher Weise. Die beiden Bewusstseinszustände, die alternirend bestanden, immer so, dass vom Morgen an mit vorschreitendem Tage die Absencen, d. h. das Auftreten der condition seconde immer häufiger ward und Nachts nur diese allein bestand, – die beiden Zustände differirten nicht bloss wie früher darin, dass sie in dem einen (ersten) normal und im zweiten alienirt war, sondern sie lebte im ersten wie wir andern im Winter 81–82; im zweiten Zustand aber im Winter 80–81 und alles später Vorgefallene war darin völlig vergessen. Nur das Bewusstsein davon, dass der Vater gestorben sei, schien meist doch zu bestehen. Die Rückversetzung in das vorhergegangene Jahr geschah so intensiv, dass sie in der neuen Wohnung ihr früheres Zimmer hallucinirte und, wenn sie zur Thüre gehen wollte, an den Ofen anrannte, der nun zum Fenster so stand wie in der alten Wohnung die Zimmerthüre. Der Umschlag aus einem Zustand in den andern erfolgte spontan, konnte aber mit der grössten Leichtigkeit hervorgerufen werden durch irgend einen Sinneseindruck, der lebhaft an das frühere Jahr erinnerte. Es genügte, ihr eine Orange vorzuhalten, (ihre Hauptnahrung während der ersten Zeit ihrer Erkrankung), um sie aus dem Jahr 1882 ins Jahr 1881 hinüberzuwerfen. Diese Rückversetzung in vergangene Zeit erfolgte aber nicht in allgemeiner und unbestimmter Weise, sondern sie durchlebte Tag für Tag den vorhergegangenen Winter. Ich hätte das nur vermuthen können, wenn sie nicht täglich in der Abendhypnose sich das abgesprochen hätte, was 1881 an diesem Tag sie erregt hatte, und </w:t>
      </w:r>
      <w:r w:rsidRPr="00C820A0">
        <w:rPr>
          <w:rFonts w:ascii="Garamond" w:hAnsi="Garamond"/>
          <w:color w:val="666666"/>
          <w:sz w:val="20"/>
          <w:szCs w:val="20"/>
          <w:lang w:val="en-US" w:eastAsia="fr-FR"/>
        </w:rPr>
        <w:t>[</w:t>
      </w:r>
      <w:hyperlink r:id="rId1648" w:tooltip="Seite:De Studien über Hysterie 026.jpg" w:history="1">
        <w:r w:rsidRPr="00C820A0">
          <w:rPr>
            <w:rFonts w:ascii="Garamond" w:hAnsi="Garamond"/>
            <w:b/>
            <w:bCs/>
            <w:color w:val="0000FF"/>
            <w:sz w:val="20"/>
            <w:szCs w:val="20"/>
            <w:u w:val="single"/>
            <w:lang w:val="en-US" w:eastAsia="fr-FR"/>
          </w:rPr>
          <w:t>26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wenn nicht ein geheimes Tagebuch der Mutter aus dem Jahre 1881 die unverbrüchliche Richtigkeit der zu Grunde liegenden Thatsachen bewiesen hätte. Dieses Wiederdurchleben des verflossenen Jahres dauerte fort bis zum definitiven Abschluss der Krankheit im Juni 1882.</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Dabei war es sehr interessant zu sehen, wie auch diese wiederauflebenden psychischen Reize aus dem zweiten Zustand in den ersten, normaleren herüberwirkten. Es kam vor, dass die Kranke mir am Morgen lachend sagte, sie wisse nicht, was sie habe, sie sei böse auf mich; dank dem Tagebuch wusste ich, um was es sich handelte und was auch richtig in der Abendhypnose wieder durchgemacht wurde. Ich hatte Patientin im Jahre 1881 an diesem Abend sehr geärgert. Oder sie sagte, es sei was mit ihren Augen los, sie sehe die Farben falsch; sie wisse, dass ihr Kleid braun sei, und doch sehe sie es blau. Es zeigte sich alsbald, dass sie alle Farben der Prüfungspapiere richtig und scharf unterschied, und dass die Störung nur an dem Stoff ihres Kleides hafte. Der Grund war, dass sie sich 1881 in diesen Tagen sehr mit einem Schlafrock für den Vater beschäftigt hatte, an dem derselbe Stoff, aber blau, verwendet war. Auch war dabei oft ein Vorwirken dieser auftauchenden Erinnerungen deutlich, indem die Störung des normalen Zustandes schon früher eintrat, während die Erinnerung erst allmählich für die condition seconde erwachte.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War die Abendhypnose schon hiedurch reichlich belastet, da nicht bloss die Phantasmen frischer Production, sondern auch die Erlebnisse und die „vexations“ von 1881 abgesprochen werden mussten, (die Phantasmen von 1881 hatte ich glücklicherweise schon damals abgenommen), so nahm die von Patientin und Arzt zu leistende Arbeitsumme noch enorm zu durch eine dritte Reihe von Einzelstörungen, die ebenfalls auf diese Weise erledigt werden mussten, die psychischen </w:t>
      </w:r>
      <w:r w:rsidRPr="00C820A0">
        <w:rPr>
          <w:rFonts w:ascii="Garamond" w:hAnsi="Garamond"/>
          <w:i/>
          <w:iCs/>
          <w:sz w:val="20"/>
          <w:szCs w:val="20"/>
          <w:lang w:val="en-US" w:eastAsia="fr-FR"/>
        </w:rPr>
        <w:t>Ereignisse der Krankheitsincubation</w:t>
      </w:r>
      <w:r w:rsidRPr="00C820A0">
        <w:rPr>
          <w:rFonts w:ascii="Garamond" w:hAnsi="Garamond"/>
          <w:sz w:val="20"/>
          <w:szCs w:val="20"/>
          <w:lang w:val="en-US" w:eastAsia="fr-FR"/>
        </w:rPr>
        <w:t xml:space="preserve"> von Juli bis December 1880, welche die gesammten hysterischen Phänomene erzeugt hatten und mit deren Aussprache die </w:t>
      </w:r>
      <w:r w:rsidRPr="00C820A0">
        <w:rPr>
          <w:rFonts w:ascii="Garamond" w:hAnsi="Garamond"/>
          <w:i/>
          <w:iCs/>
          <w:sz w:val="20"/>
          <w:szCs w:val="20"/>
          <w:lang w:val="en-US" w:eastAsia="fr-FR"/>
        </w:rPr>
        <w:t>Symptome verschwanden</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Als das erstemal durch ein zufälliges, unprovocirtes Aussprechen in der Abendhypnose eine Störung verschwand, die schon länger bestanden hatte, war ich sehr überrascht. Es war im Sommer eine Zeit intensiver Hitze gewesen, und Patientin hatte sehr arg durch Durst gelitten; denn, ohne einen Grund angeben zu können, war ihr plötzlich unmöglich geworden, zu trinken. Sie nahm das ersehnte Glas Wasser in die Hand, aber so wie es die Lippen berührte, stiess sie es weg wie ein Hydrophobischer.</w:t>
      </w:r>
      <w:hyperlink r:id="rId1649" w:anchor="cite_note-19" w:history="1">
        <w:r w:rsidRPr="00C820A0">
          <w:rPr>
            <w:rFonts w:ascii="Garamond" w:hAnsi="Garamond"/>
            <w:color w:val="0000FF"/>
            <w:sz w:val="20"/>
            <w:szCs w:val="20"/>
            <w:u w:val="single"/>
            <w:vertAlign w:val="superscript"/>
            <w:lang w:val="en-US" w:eastAsia="fr-FR"/>
          </w:rPr>
          <w:t>[20]</w:t>
        </w:r>
      </w:hyperlink>
      <w:r w:rsidRPr="00C820A0">
        <w:rPr>
          <w:rFonts w:ascii="Garamond" w:hAnsi="Garamond"/>
          <w:sz w:val="20"/>
          <w:szCs w:val="20"/>
          <w:lang w:val="en-US" w:eastAsia="fr-FR"/>
        </w:rPr>
        <w:t xml:space="preserve"> Dabei war sie offenbar für diese </w:t>
      </w:r>
      <w:r w:rsidRPr="00C820A0">
        <w:rPr>
          <w:rFonts w:ascii="Garamond" w:hAnsi="Garamond"/>
          <w:color w:val="666666"/>
          <w:sz w:val="20"/>
          <w:szCs w:val="20"/>
          <w:lang w:val="en-US" w:eastAsia="fr-FR"/>
        </w:rPr>
        <w:t>[</w:t>
      </w:r>
      <w:hyperlink r:id="rId1650" w:tooltip="Seite:De Studien über Hysterie 027.jpg" w:history="1">
        <w:r w:rsidRPr="00C820A0">
          <w:rPr>
            <w:rFonts w:ascii="Garamond" w:hAnsi="Garamond"/>
            <w:b/>
            <w:bCs/>
            <w:color w:val="0000FF"/>
            <w:sz w:val="20"/>
            <w:szCs w:val="20"/>
            <w:u w:val="single"/>
            <w:lang w:val="en-US" w:eastAsia="fr-FR"/>
          </w:rPr>
          <w:t>27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paar Secunden in einer Absence. Sie lebte nur von Obst, Melonen und dgl., um den qualvollen Durst zu mildern. Als das etwa 6 Wochen gedauert hatte, raisonnirte sie einmal in der Hypnose über ihre englische Gesellschafterin, die sie nicht liebte, und erzählte dann mit allen Zeichen des Abscheus, wie sie auf deren Zimmer gekommen sei, und da deren kleiner Hund, das ekelhafte Thier, aus einem Glas getrunken habe. Sie habe nichts gesagt, denn sie wolle höflich sein. Nachdem sie ihrem stecken gebliebenen Aerger noch energisch Ausdruck gegeben, verlangte sie zu trinken, trank ohne Hemmung eine grosse Menge Wasser und erwachte aus der Hypnose mit dem Glas an den Lippen. Die Störung war damit für immer verschwunden. Ebenso schwanden sonderbare hartnäckige Marotten, nachdem das Erlebniss erzählt, war, welches dazu den Anlass gegeben hatte. Ein grosser Schritt war aber geschehen, als auf dieselbe Weise als erstes der Dauersymptome die Contractur des rechten Beines geschwunden war, die allerdings schon vorher sehr abgenommen hatte. Aus diesen Erfahrungen, dass die hysterischen Phänomene bei dieser Kranken verschwanden, sobald in der Hypnose das Ereigniss reproducirt war, welches das Symptom veranlasst hatte, – daraus entwickelte sich eine therapeutische technische Procedur, die an logischer Consequenz und systematischer Durchführung nichts zu wünschen liess. Jedes einzelne Symptom dieses verwickelten Krankheitsbildes wurde für sich vorgenommen; die sämmtlichen Anlässe, bei denen es aufgetreten war, in umgekehrter Reihenfolge erzählt, beginnend mit den Tagen, bevor Patientin bettlägerig geworden, nach rückwärts bis zu der Veranlassung des erstmaligen Auftretens. War dieses erzählt, so war das Symptom damit für immer behoben.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So wurden die Contracturparesen und Anästhesien, die verschiedensten Seh- und Hörstörungen, Neuralgien, Husten, Zittern und dgl. und schliesslich auch die Sprachstörungen „wegerzählt“. Als Sehstörungen wurden z. B. einzeln erledigt: der Strabismus conv. mit Doppeltsehen; Ablenkung beider Augen nach rechts, so dass die zugreifende Hand immer links neben das Object greift; Gesichtsfeldeinschränkung; centrale Amblyopie;</w:t>
      </w:r>
      <w:hyperlink r:id="rId1651" w:anchor="cite_note-20" w:history="1">
        <w:r w:rsidRPr="00C820A0">
          <w:rPr>
            <w:rFonts w:ascii="Garamond" w:hAnsi="Garamond"/>
            <w:color w:val="0000FF"/>
            <w:sz w:val="20"/>
            <w:szCs w:val="20"/>
            <w:u w:val="single"/>
            <w:vertAlign w:val="superscript"/>
            <w:lang w:val="en-US" w:eastAsia="fr-FR"/>
          </w:rPr>
          <w:t>[21]</w:t>
        </w:r>
      </w:hyperlink>
      <w:r w:rsidRPr="00C820A0">
        <w:rPr>
          <w:rFonts w:ascii="Garamond" w:hAnsi="Garamond"/>
          <w:sz w:val="20"/>
          <w:szCs w:val="20"/>
          <w:lang w:val="en-US" w:eastAsia="fr-FR"/>
        </w:rPr>
        <w:t xml:space="preserve"> Makropsie;</w:t>
      </w:r>
      <w:hyperlink r:id="rId1652" w:anchor="cite_note-21" w:history="1">
        <w:r w:rsidRPr="00C820A0">
          <w:rPr>
            <w:rFonts w:ascii="Garamond" w:hAnsi="Garamond"/>
            <w:color w:val="0000FF"/>
            <w:sz w:val="20"/>
            <w:szCs w:val="20"/>
            <w:u w:val="single"/>
            <w:vertAlign w:val="superscript"/>
            <w:lang w:val="en-US" w:eastAsia="fr-FR"/>
          </w:rPr>
          <w:t>[22]</w:t>
        </w:r>
      </w:hyperlink>
      <w:r w:rsidRPr="00C820A0">
        <w:rPr>
          <w:rFonts w:ascii="Garamond" w:hAnsi="Garamond"/>
          <w:sz w:val="20"/>
          <w:szCs w:val="20"/>
          <w:lang w:val="en-US" w:eastAsia="fr-FR"/>
        </w:rPr>
        <w:t xml:space="preserve"> Sehen eines Todtenkopfs an Stelle des Vaters; Unfähigkeit zu lesen. Dieser Analyse entzogen blieben </w:t>
      </w:r>
      <w:r w:rsidRPr="00C820A0">
        <w:rPr>
          <w:rFonts w:ascii="Garamond" w:hAnsi="Garamond"/>
          <w:sz w:val="20"/>
          <w:szCs w:val="20"/>
          <w:lang w:val="en-US" w:eastAsia="fr-FR"/>
        </w:rPr>
        <w:lastRenderedPageBreak/>
        <w:t>nur einzelne Phänomene, die sich während des Krankenlagers entwickelt hatten, wie die Ausbreitung der Contracturparese auf die linke Seite, und die wahrscheinlich auch wirklich keine directe psychische Veranlassung hatten.</w:t>
      </w:r>
    </w:p>
    <w:p w:rsidR="005C1841" w:rsidRPr="00C820A0" w:rsidRDefault="005C1841" w:rsidP="005C1841">
      <w:pPr>
        <w:pStyle w:val="Sansinterligne"/>
        <w:rPr>
          <w:rFonts w:ascii="Garamond" w:hAnsi="Garamond"/>
          <w:sz w:val="20"/>
          <w:szCs w:val="20"/>
          <w:lang w:eastAsia="fr-FR"/>
        </w:rPr>
      </w:pPr>
      <w:r w:rsidRPr="00C820A0">
        <w:rPr>
          <w:rFonts w:ascii="Garamond" w:hAnsi="Garamond"/>
          <w:color w:val="666666"/>
          <w:sz w:val="20"/>
          <w:szCs w:val="20"/>
          <w:lang w:val="en-US" w:eastAsia="fr-FR"/>
        </w:rPr>
        <w:t>[</w:t>
      </w:r>
      <w:hyperlink r:id="rId1653" w:tooltip="Seite:De Studien über Hysterie 028.jpg" w:history="1">
        <w:r w:rsidRPr="00C820A0">
          <w:rPr>
            <w:rFonts w:ascii="Garamond" w:hAnsi="Garamond"/>
            <w:b/>
            <w:bCs/>
            <w:color w:val="0000FF"/>
            <w:sz w:val="20"/>
            <w:szCs w:val="20"/>
            <w:u w:val="single"/>
            <w:lang w:val="en-US" w:eastAsia="fr-FR"/>
          </w:rPr>
          <w:t>28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Es erwies sich als ganz unthunlich, die Sache abzukürzen, indem man direct die erste Veranlassung der Symptome in ihre Erinnerung zu evociren suchte. Sie fand sie nicht, wurde verwirrt, und es ging noch langsamer, als wenn man sie ruhig und sicher den aufgenommenen Erinnerungsfaden nach rückwärts abhaspeln liess. Da das aber in der Abendhypnose zu langsam gieng, weil die Kranke von der „Aussprache“ der zwei andern Serien angestrengt und zerstreut war, auch wohl die Erinnerungen Zeit brauchten, um in voller Lebhaftigkeit sich zu entwickeln, so bildete sich die folgende Procedur heraus. Ich suchte sie am Morgen auf, hypnotisirte sie (es waren sehr einfache Hypnoseproceduren empirisch gefunden worden) und fragte sie nun unter Concentration ihrer Gedanken auf das eben behandelte Symptom um die Gelegenheiten, bei denen es aufgetreten war. Patientin bezeichnete nun in rascher Folge mit kurzen Schlagworten diese äusseren Veranlassungen, die ich notirte. In der Abendhypnose erzählte sie dann, unterstützt durch die notirte Reihenfolge, ziemlich ausführlich die Begebenheiten. Mit welcher, in jedem Sinn, erschöpfenden Gründlichkeit das geschah, mag ein Beispiel zeigen. Es war immer vorgekommen, dass Patientin nicht hörte, wenn man sie ansprach. </w:t>
      </w:r>
      <w:r w:rsidRPr="00C820A0">
        <w:rPr>
          <w:rFonts w:ascii="Garamond" w:hAnsi="Garamond"/>
          <w:sz w:val="20"/>
          <w:szCs w:val="20"/>
          <w:lang w:eastAsia="fr-FR"/>
        </w:rPr>
        <w:t>Dieses vorübergehende Nichthören differenzirte sich in folgender Weise:</w:t>
      </w:r>
    </w:p>
    <w:tbl>
      <w:tblPr>
        <w:tblW w:w="0" w:type="auto"/>
        <w:tblCellSpacing w:w="15" w:type="dxa"/>
        <w:tblCellMar>
          <w:top w:w="15" w:type="dxa"/>
          <w:left w:w="15" w:type="dxa"/>
          <w:bottom w:w="15" w:type="dxa"/>
          <w:right w:w="15" w:type="dxa"/>
        </w:tblCellMar>
        <w:tblLook w:val="04A0"/>
      </w:tblPr>
      <w:tblGrid>
        <w:gridCol w:w="215"/>
        <w:gridCol w:w="8947"/>
      </w:tblGrid>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a</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val="en-US" w:eastAsia="fr-FR"/>
              </w:rPr>
            </w:pPr>
            <w:r w:rsidRPr="00C820A0">
              <w:rPr>
                <w:rFonts w:ascii="Garamond" w:hAnsi="Garamond"/>
                <w:sz w:val="20"/>
                <w:szCs w:val="20"/>
                <w:lang w:val="en-US" w:eastAsia="fr-FR"/>
              </w:rPr>
              <w:t>Nicht hören, dass jemand eintrat, in Zerstreutheit. 108 einzeln detaillirte Fälle davon; Angabe der Personen und Umstände, oft des Datums; als erster, dass sie ihren Vater nicht eintreten gehört.</w:t>
            </w:r>
          </w:p>
        </w:tc>
      </w:tr>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b</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val="en-US" w:eastAsia="fr-FR"/>
              </w:rPr>
            </w:pPr>
            <w:r w:rsidRPr="00C820A0">
              <w:rPr>
                <w:rFonts w:ascii="Garamond" w:hAnsi="Garamond"/>
                <w:sz w:val="20"/>
                <w:szCs w:val="20"/>
                <w:lang w:val="en-US" w:eastAsia="fr-FR"/>
              </w:rPr>
              <w:t>Nicht verstehen, wenn mehrere Personen sprechen, 27mal, das erstemal wieder der Vater und ein Bekannter.</w:t>
            </w:r>
          </w:p>
        </w:tc>
      </w:tr>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c</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sz w:val="20"/>
                <w:szCs w:val="20"/>
                <w:lang w:eastAsia="fr-FR"/>
              </w:rPr>
              <w:t>Nicht hören, wenn allein, direct angesprochen 50mal, Ursprung, dass der Vater vergebens sie um Wein angesprochen.</w:t>
            </w:r>
          </w:p>
        </w:tc>
      </w:tr>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d</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sz w:val="20"/>
                <w:szCs w:val="20"/>
                <w:lang w:eastAsia="fr-FR"/>
              </w:rPr>
              <w:t>Taubwerden durch Schütteln (im Wagen oder dgl.) 15mal; Ursprung, dass ihr junger Bruder sie im Streit geschüttelt, als er sie Nachts an der Thür des Krankenzimmers lauschend ertappte.</w:t>
            </w:r>
          </w:p>
        </w:tc>
      </w:tr>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e</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val="en-US" w:eastAsia="fr-FR"/>
              </w:rPr>
            </w:pPr>
            <w:r w:rsidRPr="00C820A0">
              <w:rPr>
                <w:rFonts w:ascii="Garamond" w:hAnsi="Garamond"/>
                <w:sz w:val="20"/>
                <w:szCs w:val="20"/>
                <w:lang w:val="en-US" w:eastAsia="fr-FR"/>
              </w:rPr>
              <w:t>Taubwerden vor Schreck über ein Geräusch, 37mal; Ursprung ein Erstickungsanfall des Vaters durch Verschlucken.</w:t>
            </w:r>
          </w:p>
        </w:tc>
      </w:tr>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f</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sz w:val="20"/>
                <w:szCs w:val="20"/>
                <w:lang w:eastAsia="fr-FR"/>
              </w:rPr>
              <w:t>Taubwerden in tiefer Absence, 12mal.</w:t>
            </w:r>
          </w:p>
        </w:tc>
      </w:tr>
      <w:tr w:rsidR="005C1841" w:rsidRPr="00C820A0" w:rsidTr="001A15C6">
        <w:trPr>
          <w:tblCellSpacing w:w="15" w:type="dxa"/>
        </w:trPr>
        <w:tc>
          <w:tcPr>
            <w:tcW w:w="0" w:type="auto"/>
            <w:hideMark/>
          </w:tcPr>
          <w:p w:rsidR="005C1841" w:rsidRPr="00C820A0" w:rsidRDefault="005C1841" w:rsidP="001A15C6">
            <w:pPr>
              <w:pStyle w:val="Sansinterligne"/>
              <w:rPr>
                <w:rFonts w:ascii="Garamond" w:hAnsi="Garamond"/>
                <w:sz w:val="20"/>
                <w:szCs w:val="20"/>
                <w:lang w:eastAsia="fr-FR"/>
              </w:rPr>
            </w:pPr>
            <w:r w:rsidRPr="00C820A0">
              <w:rPr>
                <w:rFonts w:ascii="Garamond" w:hAnsi="Garamond"/>
                <w:i/>
                <w:iCs/>
                <w:sz w:val="20"/>
                <w:szCs w:val="20"/>
                <w:lang w:eastAsia="fr-FR"/>
              </w:rPr>
              <w:t>g</w:t>
            </w:r>
            <w:r w:rsidRPr="00C820A0">
              <w:rPr>
                <w:rFonts w:ascii="Garamond" w:hAnsi="Garamond"/>
                <w:sz w:val="20"/>
                <w:szCs w:val="20"/>
                <w:lang w:eastAsia="fr-FR"/>
              </w:rPr>
              <w:t>)</w:t>
            </w:r>
          </w:p>
        </w:tc>
        <w:tc>
          <w:tcPr>
            <w:tcW w:w="0" w:type="auto"/>
            <w:vAlign w:val="center"/>
            <w:hideMark/>
          </w:tcPr>
          <w:p w:rsidR="005C1841" w:rsidRPr="00C820A0" w:rsidRDefault="005C1841" w:rsidP="001A15C6">
            <w:pPr>
              <w:pStyle w:val="Sansinterligne"/>
              <w:rPr>
                <w:rFonts w:ascii="Garamond" w:hAnsi="Garamond"/>
                <w:sz w:val="20"/>
                <w:szCs w:val="20"/>
                <w:lang w:val="en-US" w:eastAsia="fr-FR"/>
              </w:rPr>
            </w:pPr>
            <w:r w:rsidRPr="00C820A0">
              <w:rPr>
                <w:rFonts w:ascii="Garamond" w:hAnsi="Garamond"/>
                <w:sz w:val="20"/>
                <w:szCs w:val="20"/>
                <w:lang w:val="en-US" w:eastAsia="fr-FR"/>
              </w:rPr>
              <w:t>Taubwerden durch langes Horchen und Lauschen, so dass sie dann angesprochen nicht hörte, 54mal.</w:t>
            </w:r>
          </w:p>
        </w:tc>
      </w:tr>
    </w:tbl>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Natürlich sind all diese Vorgänge grossentheils identisch, indem sie sich auf die Zerstreutheit – Absence oder auf Schreckaffect </w:t>
      </w:r>
      <w:r w:rsidRPr="00C820A0">
        <w:rPr>
          <w:rFonts w:ascii="Garamond" w:hAnsi="Garamond"/>
          <w:color w:val="666666"/>
          <w:sz w:val="20"/>
          <w:szCs w:val="20"/>
          <w:lang w:val="en-US" w:eastAsia="fr-FR"/>
        </w:rPr>
        <w:t>[</w:t>
      </w:r>
      <w:hyperlink r:id="rId1654" w:tooltip="Seite:De Studien über Hysterie 029.jpg" w:history="1">
        <w:r w:rsidRPr="00C820A0">
          <w:rPr>
            <w:rFonts w:ascii="Garamond" w:hAnsi="Garamond"/>
            <w:b/>
            <w:bCs/>
            <w:color w:val="0000FF"/>
            <w:sz w:val="20"/>
            <w:szCs w:val="20"/>
            <w:u w:val="single"/>
            <w:lang w:val="en-US" w:eastAsia="fr-FR"/>
          </w:rPr>
          <w:t>29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zurückführen lassen. Sie waren aber in der Erinnerung der Kranken so deutlich getrennt, dass, wenn sie sich einmal in der Reihenfolge irrte, die richtige Ordnung corrigirend hergestellt werden musste, sonst stockte das Referat. Die erzählten Begebenheiten liessen in ihrer Interesse- und Bedeutungslosigkeit und bei der Präcision der Erzählung den Verdacht nicht aufkommen, sie seien erfunden. Viele dieser Vorfälle, als rein innere Erlebnisse, entzogen sich der Controle. An andere oder die begleitenden Umstände erinnerte sich die Umgebung der Kranken.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geschah auch hier, was regelmässig zu beobachten war, während ein Symptom „abgesprochen“ wurde: dieses trat mit erhöhter Intensität auf, während es erzählt wurde. So war Patientin während der Analyse des Nichthörens so taub, dass ich theilweise schriftlich mich mit ihr verständigen musste. Regelmässig war der erste Anlass irgend ein Schrecken, den sie bei der Pflege der Vaters erlebt, ein Uebersehen ihrerseits oder dgl.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Nicht immer ging das Erinnern leicht von statten, und manchmal musste die Kranke gewaltige Anstrengungen machen. So stockte einmal der ganze Fortgang eine zeitlang, weil eine Erinnerung nicht auftauchen wollte; es handelte sich um eine der Kranken sehr schreckliche Hallucination, sie hatte ihren Vater, den sie pflegte, mit einem Todtenkopfe gesehen. Sie und ihre Umgebung erinnerten, dass sie einmal, noch in scheinbarer Gesundheit, einen Besuch bei einer Verwandten gemacht, die Thür geöffnet habe und sogleich bewusstlos niedergefallen sei. Um nun das Hinderniss zu überwinden, ging sie jetzt wieder dorthin und stürzte wieder beim Eintritt ins Zimmer bewusstlos zu Boden. In der Abendhypnose war dann das Hinderniss überwunden; sie hatte beim Eintritt in dem der Thür gegenüberstehenden Spiegel ihr bleiches Gesicht erblickt, aber nicht sich, sondern ihren Vater mit einem Todtenkopf gesehen. – Wir haben oft beobachtet, dass die Furcht vor einer Erinnerung, wie es hier geschehen, ihr Auftauchen hemmt, und dieses durch Patientin oder Arzt erzwungen werden muss.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Wie stark die innere Logik der Zustände war, zeigte unter anderem folgendes. Patientin war, wie bemerkt, in dieser Zeit Nachts immer in ihrer „condition seconde“, also im Jahre 1881. Einmal erwachte sie in der Nacht, behauptete, sie sei wieder von Hause weggebracht worden, kam in einen schlimmen Aufregungszustand, der das ganze Haus alarmirte. Der Grund war einfach. Am vorhergehenden </w:t>
      </w:r>
      <w:r w:rsidRPr="00C820A0">
        <w:rPr>
          <w:rFonts w:ascii="Garamond" w:hAnsi="Garamond"/>
          <w:color w:val="666666"/>
          <w:sz w:val="20"/>
          <w:szCs w:val="20"/>
          <w:lang w:val="en-US" w:eastAsia="fr-FR"/>
        </w:rPr>
        <w:t>[</w:t>
      </w:r>
      <w:hyperlink r:id="rId1655" w:tooltip="Seite:De Studien über Hysterie 030.jpg" w:history="1">
        <w:r w:rsidRPr="00C820A0">
          <w:rPr>
            <w:rFonts w:ascii="Garamond" w:hAnsi="Garamond"/>
            <w:b/>
            <w:bCs/>
            <w:color w:val="0000FF"/>
            <w:sz w:val="20"/>
            <w:szCs w:val="20"/>
            <w:u w:val="single"/>
            <w:lang w:val="en-US" w:eastAsia="fr-FR"/>
          </w:rPr>
          <w:t>30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Abend war durch „talking cure“ ihre Sehstörung geschwunden und zwar auch für die condition seconde. Als sie nun Nachts erwachte, fand sie sich in einem ihr unbekannten Zimmer, denn die Familie hatte seit Frühjahr 1881 die Wohnung gewechselt. Diese recht unangenehmen Zufälle wurden verhindert, da ich ihr (auf ihre Bitte) Abends immer die Augen schloss mit der Suggestion, sie könne sie nicht öffnen, bis ich selbst es am Morgen thun würde. Nur einmal wiederholte sich der Lärm, als Patientin im Traum geweint und erwachend die Augen geöffnet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 sich diese mühevolle Analyse der Symptome auf die Sommermonate 1880 bezog, während welcher sich die Erkrankung vorbereitete, gewann ich einen vollen Einblick in die </w:t>
      </w:r>
      <w:r w:rsidRPr="00C820A0">
        <w:rPr>
          <w:rFonts w:ascii="Garamond" w:hAnsi="Garamond"/>
          <w:i/>
          <w:iCs/>
          <w:sz w:val="20"/>
          <w:szCs w:val="20"/>
          <w:lang w:val="en-US" w:eastAsia="fr-FR"/>
        </w:rPr>
        <w:t>Incubation</w:t>
      </w:r>
      <w:r w:rsidRPr="00C820A0">
        <w:rPr>
          <w:rFonts w:ascii="Garamond" w:hAnsi="Garamond"/>
          <w:sz w:val="20"/>
          <w:szCs w:val="20"/>
          <w:lang w:val="en-US" w:eastAsia="fr-FR"/>
        </w:rPr>
        <w:t xml:space="preserve"> und </w:t>
      </w:r>
      <w:r w:rsidRPr="00C820A0">
        <w:rPr>
          <w:rFonts w:ascii="Garamond" w:hAnsi="Garamond"/>
          <w:i/>
          <w:iCs/>
          <w:sz w:val="20"/>
          <w:szCs w:val="20"/>
          <w:lang w:val="en-US" w:eastAsia="fr-FR"/>
        </w:rPr>
        <w:t>Pathogenese</w:t>
      </w:r>
      <w:r w:rsidRPr="00C820A0">
        <w:rPr>
          <w:rFonts w:ascii="Garamond" w:hAnsi="Garamond"/>
          <w:sz w:val="20"/>
          <w:szCs w:val="20"/>
          <w:lang w:val="en-US" w:eastAsia="fr-FR"/>
        </w:rPr>
        <w:t xml:space="preserve"> dieser Hysterie, die ich nun kurz darlegen will.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Juli 1880 war der Vater der Kranken auf dem Lande an einem subpleuralen Abcess schwer erkrankt; Anna theilte sich mit der Mutter in die Pflege. Einmal wachte sie Nachts in grosser Angst um den hochfiebernden Kranken und in Spannung, weil von Wien ein Chirurg zur Operation erwartet wurde. Die Mutter hatte sich für einige Zeit entfernt, und Anna sass am Krankenbette, den </w:t>
      </w:r>
      <w:r w:rsidRPr="00C820A0">
        <w:rPr>
          <w:rFonts w:ascii="Garamond" w:hAnsi="Garamond"/>
          <w:i/>
          <w:iCs/>
          <w:sz w:val="20"/>
          <w:szCs w:val="20"/>
          <w:lang w:val="en-US" w:eastAsia="fr-FR"/>
        </w:rPr>
        <w:t>rechten</w:t>
      </w:r>
      <w:r w:rsidRPr="00C820A0">
        <w:rPr>
          <w:rFonts w:ascii="Garamond" w:hAnsi="Garamond"/>
          <w:sz w:val="20"/>
          <w:szCs w:val="20"/>
          <w:lang w:val="en-US" w:eastAsia="fr-FR"/>
        </w:rPr>
        <w:t xml:space="preserve"> Arm über die Stuhllehne gelegt. Sie gerieth in einen Zustand von Wachträumen und sah, wie von der Wand her eine schwarze Schlange sich dem Kranken näherte, um ihn zu beissen. (Es ist sehr wahrscheinlich, dass auf der Wiese hinter dem Hause wirklich einige Schlangen vorkamen, über die das Mädchen früher schon erschrocken war, und die nun das Material der Hallucination abgaben.) Sie wollte das Thier abwehren, war aber wie gelähmt; der rechte Arm, über der Stuhllehne hängend, war „eingeschlafen“, anästhetisch und paretisch geworden, und als sie ihn betrachtete, verwandelten sich die Finger in kleine Schlangen mit Todtenköpfen (Nägel). Wahrscheinlich machte sie Versuche, die Schlange mit dem gelähmten rechten Arm zu verjagen, und dadurch trat die Anästhesie und Lähmung derselben in Association mit der Schlangenhallucination. – Als diese geschwunden war, wollte sie in ihrer Angst beten, aber jede Sprache versagte, sie konnte in keiner sprechen, bis sie endlich einen </w:t>
      </w:r>
      <w:r w:rsidRPr="00C820A0">
        <w:rPr>
          <w:rFonts w:ascii="Garamond" w:hAnsi="Garamond"/>
          <w:i/>
          <w:iCs/>
          <w:sz w:val="20"/>
          <w:szCs w:val="20"/>
          <w:lang w:val="en-US" w:eastAsia="fr-FR"/>
        </w:rPr>
        <w:t>englischen</w:t>
      </w:r>
      <w:r w:rsidRPr="00C820A0">
        <w:rPr>
          <w:rFonts w:ascii="Garamond" w:hAnsi="Garamond"/>
          <w:sz w:val="20"/>
          <w:szCs w:val="20"/>
          <w:lang w:val="en-US" w:eastAsia="fr-FR"/>
        </w:rPr>
        <w:t xml:space="preserve"> Kindervers fand und nun auch in dieser Sprache fortdenken und beten konnte.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Der Pfiff der Locomotive, die den erwarteten Arzt brachte, unterbrach den Spuk. Aber als sie andern Tags einen Reifen aus dem Gebüsch nehmen wollte, in das er beim Spiel geworfen worden war, rief ein gebogener Zweig die Schlangenhallucination wieder hervor, </w:t>
      </w:r>
      <w:r w:rsidRPr="00C820A0">
        <w:rPr>
          <w:rFonts w:ascii="Garamond" w:hAnsi="Garamond"/>
          <w:color w:val="666666"/>
          <w:sz w:val="20"/>
          <w:szCs w:val="20"/>
          <w:lang w:val="en-US" w:eastAsia="fr-FR"/>
        </w:rPr>
        <w:t>[</w:t>
      </w:r>
      <w:hyperlink r:id="rId1656" w:tooltip="Seite:De Studien über Hysterie 031.jpg" w:history="1">
        <w:r w:rsidRPr="00C820A0">
          <w:rPr>
            <w:rFonts w:ascii="Garamond" w:hAnsi="Garamond"/>
            <w:b/>
            <w:bCs/>
            <w:color w:val="0000FF"/>
            <w:sz w:val="20"/>
            <w:szCs w:val="20"/>
            <w:u w:val="single"/>
            <w:lang w:val="en-US" w:eastAsia="fr-FR"/>
          </w:rPr>
          <w:t>31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und zugleich damit wurde der rechte Arm steif gestreckt. Diess wiederholte sich nun immer, so oft ein mehr oder weniger schlangenähnliches Object die Hallucination provocirte. Diese aber wie die Contractur traten nur in den kurzen Absencen auf, die von jener Nacht an immer häufiger wurden. (Stabil wurde die Contractur erst im December, als Patientin, vollständig niedergebrochen, das Bett nicht mehr verlassen konnte.) Bei einem Anlass, den ich nicht notirt finde und nicht erinnere, trat zur Contractur des Armes die des rechten Beines.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Nun war die Neigung zu autohypnotischen Absencen geschaffen. An dem auf jene Nacht folgenden Tage versank sie im Warten auf den Chirurgen in solche Abwesenheit, dass er schliesslich im Zimmer stand, ohne dass sie ihn kommen gehört hätte. Das constante Angstgefühl hinderte sie am Essen und producirte allmählich intensiven Ekel. Sonst aber entstanden alle einzelnen hysterischen Symptome im Affect. Es ist nicht ganz klar, ob dabei immer eine vollkommene momentane Absence eintrat, es ist aber wahrscheinlich, weil Patientin im Wachen von dem ganzen Zusammenhang nichts wusste.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Manche Symptome aber scheinen nicht in der Absence, sondern nur im Affecte im wachen Zustande aufgetreten zu sein, wiederholten sich aber dann ebenso. So wurden die Sehstörungen sämmtlich auf einzelne, mehr minder klar determinirende Anlässe zurückgeführt, z. B. in der Art, dass Patientin, mit Thränen im Auge, am Krankenbett sitzend, plötzlich vom Vater gefragt wurde, wie viel Uhr es sei, undeutlich sah, sich anstrengte, die Uhr nahe ans Auge brachte und nun das Zifferblatt sehr gross erschien (Makropsie und Strabismus conv.); oder Anstrengungen machte, die Thränen zu unterdrücken, damit sie der Kranke nicht sehe.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Ein Streit, in dem sie ihre Antwort unterdrückte, verursachte einen Glottiskrampf, der sich bei jeder ähnlichen Veranlassung wiederholte.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Sprache versagte a) aus Angst, seit der ersten nächtlichen Hallucination, b) seit sie einmal wieder eine Aeusserung unterdrückte (active Hemmung), c) seit sie einmal ungerecht gescholten worden war, d) bei allen analogen Gelegenheiten (Kränkung). Husten trat das erstemal ein, als während der Krankenwache aus einem benachbarten Hause Tanzmusik herübertönte und der aufsteigende Wunsch, dort zu sein, ihr Selbstvorwürfe erweckte. Seitdem reagirte sie ihre ganze Krankheitszeit </w:t>
      </w:r>
      <w:r w:rsidRPr="00C820A0">
        <w:rPr>
          <w:rFonts w:ascii="Garamond" w:hAnsi="Garamond"/>
          <w:color w:val="666666"/>
          <w:sz w:val="20"/>
          <w:szCs w:val="20"/>
          <w:lang w:val="en-US" w:eastAsia="fr-FR"/>
        </w:rPr>
        <w:t>[</w:t>
      </w:r>
      <w:hyperlink r:id="rId1657" w:tooltip="Seite:De Studien über Hysterie 032.jpg" w:history="1">
        <w:r w:rsidRPr="00C820A0">
          <w:rPr>
            <w:rFonts w:ascii="Garamond" w:hAnsi="Garamond"/>
            <w:b/>
            <w:bCs/>
            <w:color w:val="0000FF"/>
            <w:sz w:val="20"/>
            <w:szCs w:val="20"/>
            <w:u w:val="single"/>
            <w:lang w:val="en-US" w:eastAsia="fr-FR"/>
          </w:rPr>
          <w:t>32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hindurch auf jede stark rhythmirte Musik mit einer Tussis nervosa.</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bedauere nicht allzusehr, dass die Unvollständigkeit meiner Notizen es unmöglich macht, hier sämmtliche Hysterica auf ihre Veranlassungen zurückzuführen. Patientin that es bei allen, mit der oben erwähnten Ausnahme, und jedes Symptom war, wie geschildert, nach der Erzählung des ersten Anlasses verschwunden.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Auf diese Weise schloss auch die ganze Hysterie ab. Die Kranke hatte sich selbst den festen Vorsatz gebildet, am Jahrestag ihrer Transferirung auf das Land müsse sie mit allem fertig sein. Sie betrieb darum Anfangs Juni die „talking cure“ mit grosser, aufregender Energie. Am letzten Tage reproducirte sie mit der Nachhilfe, dass sie das Zimmer so arrangirte, wie das Krankenzimmer ihres Vaters gewesen war, die oben erzählte Angsthallucination, welche die Wurzel der ganzen Erkrankung gewesen war, und in der sie nur englisch hatte denken und beten können; sprach unmittelbar darauf deutsch und war nun frei von all den unzähligen einzelnen Störungen, die sie früher dargeboten hatte. Dann verliess sie Wien für eine Reise, brauchte aber doch noch längere Zeit, bis sie ganz ihr psychisches Gleichgewicht gefunden hatte. </w:t>
      </w:r>
      <w:r w:rsidRPr="00C820A0">
        <w:rPr>
          <w:rFonts w:ascii="Garamond" w:hAnsi="Garamond"/>
          <w:sz w:val="20"/>
          <w:szCs w:val="20"/>
          <w:lang w:eastAsia="fr-FR"/>
        </w:rPr>
        <w:t>Seitdem erfreut sie sich vollständiger Gesundheit.</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2"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So viel nicht uninteressanter Einzelheiten ich auch unterdrückt habe, ist doch die Krankengeschichte der Anna O . . umfangreicher geworden, als eine an sich nicht ungewöhnliche hysterische Erkrankung zu verdienen scheint. Aber die Darstellung des Falles war unmöglich ohne Eingehen ins Detail, und die Eigenthümlichkeiten desselben scheinen mir von einer Wichtigkeit, welche das ausführliche Referat entschuldigen dürfte. Auch die Echinodermeneier</w:t>
      </w:r>
      <w:hyperlink r:id="rId1658" w:anchor="cite_note-22" w:history="1">
        <w:r w:rsidRPr="00C820A0">
          <w:rPr>
            <w:rFonts w:ascii="Garamond" w:hAnsi="Garamond"/>
            <w:color w:val="0000FF"/>
            <w:sz w:val="20"/>
            <w:szCs w:val="20"/>
            <w:u w:val="single"/>
            <w:vertAlign w:val="superscript"/>
            <w:lang w:eastAsia="fr-FR"/>
          </w:rPr>
          <w:t>[23]</w:t>
        </w:r>
      </w:hyperlink>
      <w:r w:rsidRPr="00C820A0">
        <w:rPr>
          <w:rFonts w:ascii="Garamond" w:hAnsi="Garamond"/>
          <w:sz w:val="20"/>
          <w:szCs w:val="20"/>
          <w:lang w:eastAsia="fr-FR"/>
        </w:rPr>
        <w:t xml:space="preserve"> sind für die Embryologie nicht deshalb so wichtig, weil etwa der Seeigel ein besonders interessantes Thier wäre, sondern weil ihr Protoplasma</w:t>
      </w:r>
      <w:hyperlink r:id="rId1659" w:anchor="cite_note-23" w:history="1">
        <w:r w:rsidRPr="00C820A0">
          <w:rPr>
            <w:rFonts w:ascii="Garamond" w:hAnsi="Garamond"/>
            <w:color w:val="0000FF"/>
            <w:sz w:val="20"/>
            <w:szCs w:val="20"/>
            <w:u w:val="single"/>
            <w:vertAlign w:val="superscript"/>
            <w:lang w:eastAsia="fr-FR"/>
          </w:rPr>
          <w:t>[24]</w:t>
        </w:r>
      </w:hyperlink>
      <w:r w:rsidRPr="00C820A0">
        <w:rPr>
          <w:rFonts w:ascii="Garamond" w:hAnsi="Garamond"/>
          <w:sz w:val="20"/>
          <w:szCs w:val="20"/>
          <w:lang w:eastAsia="fr-FR"/>
        </w:rPr>
        <w:t xml:space="preserve"> durchsichtig ist, und man aus dem, was man an ihnen sehen kann, auf das schliesst, was an den Eiern mit trübem Plasma auch vorgehen dürfte.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der weitgehenden Durchsichtigkeit und Erklärbarkeit seiner Pathogenese scheint mir vor allem das Interesse dieses Falles zu liegen.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Als disponirend zur hysterischen Erkrankung finden wir bei dem noch völlig gesunden Mädchen zwei psychische Eigenthümlichkeiten: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660" w:tooltip="Seite:De Studien über Hysterie 033.jpg" w:history="1">
        <w:r w:rsidRPr="00C820A0">
          <w:rPr>
            <w:rFonts w:ascii="Garamond" w:hAnsi="Garamond"/>
            <w:b/>
            <w:bCs/>
            <w:color w:val="0000FF"/>
            <w:sz w:val="20"/>
            <w:szCs w:val="20"/>
            <w:u w:val="single"/>
            <w:lang w:val="en-US" w:eastAsia="fr-FR"/>
          </w:rPr>
          <w:t>33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1. den in monotonem Familienleben und ohne entsprechende geistige Arbeit unverwendeten Ueberschuss von psychischer Regsamkeit und Energie, der sich in fortwährendem Arbeiten der Phantasie entladet und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2. das habituelle Wachträumen („Privattheater“) erzeugt, womit der Grund gelegt wird zur Dissociation der geistigen Persönlichkeit. Immerhin bleibt auch diese noch in den Grenzen des Normalen; Träumerei, wie Meditation während einen mehr minder mechanischen Beschäftigung bedingt an sich noch keine pathologische Spaltung des Bewusstseins, weil jede Störung darin, jeder Anruf z. B., die normale Einheit desselben wieder herstellt und wohl auch keine Amnesie besteht. Doch wurde dadurch bei Anna O . . der Boden geschaffen, auf dem in der geschilderten Weise der Angst- und Erwartungsaffect sich festsetzte, nachdem er einmal die habituelle Träumerei in eine hallucinatorische Absence ungeschaffen hatte. Es ist merkwürdig, wie vollkommen in dieser ersten Manifestation der beginnenden Erkrankung schon die Hauptzüge auftreten, welche dann durch fast 2 Jahre constant bleiben: die Existenz eines 2. Bewusstseinszustandes, der sich, zuerst als vorübergehende Absence auftretend, später zur double conscience organisirt; die Sprachhemmung, bedingt durch den Angstaffect, mit der zufälligen Entladung durch einen englischen Kindervers; später Paraphasie und Verlust der Muttersprache, die durch vortreffliches Englisch ersetzt wird; endlich die zufällige Drucklähmung des rechten Armes, welche sich später zur rechtseitigen Contracturparese und Anästhesie entwickelt. Der Entstehungsmechanismus dieser letztern Affection entspricht vollständig der </w:t>
      </w:r>
      <w:r w:rsidRPr="00C820A0">
        <w:rPr>
          <w:rFonts w:ascii="Garamond" w:hAnsi="Garamond"/>
          <w:i/>
          <w:iCs/>
          <w:sz w:val="20"/>
          <w:szCs w:val="20"/>
          <w:lang w:val="en-US" w:eastAsia="fr-FR"/>
        </w:rPr>
        <w:t>Charcot</w:t>
      </w:r>
      <w:r w:rsidRPr="00C820A0">
        <w:rPr>
          <w:rFonts w:ascii="Garamond" w:hAnsi="Garamond"/>
          <w:sz w:val="20"/>
          <w:szCs w:val="20"/>
          <w:lang w:val="en-US" w:eastAsia="fr-FR"/>
        </w:rPr>
        <w:t>’schen Theorie von der traumatischen Hysterie: hypnotischer Zustand, in welchem ein leichtes Trauma erfolgt.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Aber während bei den Kranken, an welchen </w:t>
      </w:r>
      <w:r w:rsidRPr="00C820A0">
        <w:rPr>
          <w:rFonts w:ascii="Garamond" w:hAnsi="Garamond"/>
          <w:i/>
          <w:iCs/>
          <w:sz w:val="20"/>
          <w:szCs w:val="20"/>
          <w:lang w:val="en-US" w:eastAsia="fr-FR"/>
        </w:rPr>
        <w:t>Charcot</w:t>
      </w:r>
      <w:r w:rsidRPr="00C820A0">
        <w:rPr>
          <w:rFonts w:ascii="Garamond" w:hAnsi="Garamond"/>
          <w:sz w:val="20"/>
          <w:szCs w:val="20"/>
          <w:lang w:val="en-US" w:eastAsia="fr-FR"/>
        </w:rPr>
        <w:t xml:space="preserve"> die hysterische Lähmung experimentell erzeugte, diese alsbald stabilisirt bleibt, und bei den durch ein schweres Schreck-Trauma erschütterten Trägern traumatischer Neurosen sich bald einstellt, leistete das Nervensystem unseres jungen Mädchens noch durch 4 Monate erfolgreichen Widerstand. Die Contractur, wie die andern, allmählich sich dazu gesellenden Störungen traten nur in den momentanen Absencen, in der „condition seconde“ ein und liessen Patientin während des normalen Zustandes im Vollbesitze ihres Körpers und ihrer Sinne, so dass weder sie selbst etwas davon wusste, noch die Umgebung etwas sah, deren Aufmerksamkeit </w:t>
      </w:r>
      <w:r w:rsidRPr="00C820A0">
        <w:rPr>
          <w:rFonts w:ascii="Garamond" w:hAnsi="Garamond"/>
          <w:color w:val="666666"/>
          <w:sz w:val="20"/>
          <w:szCs w:val="20"/>
          <w:lang w:val="en-US" w:eastAsia="fr-FR"/>
        </w:rPr>
        <w:t>[</w:t>
      </w:r>
      <w:hyperlink r:id="rId1661" w:tooltip="Seite:De Studien über Hysterie 034.jpg" w:history="1">
        <w:r w:rsidRPr="00C820A0">
          <w:rPr>
            <w:rFonts w:ascii="Garamond" w:hAnsi="Garamond"/>
            <w:b/>
            <w:bCs/>
            <w:color w:val="0000FF"/>
            <w:sz w:val="20"/>
            <w:szCs w:val="20"/>
            <w:u w:val="single"/>
            <w:lang w:val="en-US" w:eastAsia="fr-FR"/>
          </w:rPr>
          <w:t>34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allerdings auf den schwer kranken Vater concentrirt und dadurch abgelenkt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Indem aber seit jener ersten hallucinatorischen Autohypnose sich die Absencen mit völliger Amnesie und begleitenden hysterischen Phänomenen häuften, vermehrten sich die Gelegenheiten zur Bildung neuer solcher Symptome und befestigten sich die schon gebildeten in häufiger Wiederholung. Dazu kam, dass allmählich jeder peinliche, plötzliche Affect ebenso so wirkte wie die Absence (wenn er nicht doch vielleicht immer momentane Absence erzeugte); zufällige Coïncidenzen bildeten pathologische Associationen, Sinnes- oder motorische Störungen, die von da an mit dem Affect zugleich wieder auftraten. Aber noch immer nur momentan, vorübergehend; bevor Patientin bettlägerig wurde, hatte sie bereits die ganze grosse Sammlung hysterischer Phänomene entwickelt, ohne dass jemand davon wusste. Erst da die Kranke, auf’s äusserste geschwächt durch die Inanition, die Schlaflosigkeit und den fortdauernden Angstaffect, völlig niedergebrochen war, als sie mehr Zeit in der „condition seconde“ sich befand, als in normalem Zustande, griffen die hysterischen Phänomene auch in diesen hinüber und verwandelten sich aus anfallsweise auftretenden Erscheinungen in Dauersymptome.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Man muss nun die Frage aufwerfen, in wie weit die Angaben der Kranken zuverlässig sind, und die Phänomene wirklich die von ihr bezeichnete Entstehungsart und Veranlassung gehabt haben. Was die wichtigern und grundlegenden Vorgänge betrifft, so steht die Zuverlässigkeit des Berichtes für mich ausser Frage. Auf das Verschwinden der Symptome, nachdem sie „aberzählt“ waren, berufe ich mich hiefür nicht; das wäre ganz wohl durch Suggestion zu erklären. Aber ich habe die Kranke immer vollkommen wahrheitsgetreu und zuverlässig gefunden; die erzählten Dinge hingen innig mit dem zusammen, was ihr das Heiligste war; alles, was einer Controlirung durch andere Personen zugänglich war, bestätigte sich vollkommen. Auch das begabteste Mädchen wäre wohl nicht im Stande, ein System von Angaben auszubauen, dem eine so grosse innere Logik eigen wäre, wie es bei der hier dargelegten Entwicklungsgeschichte ihrer Krankheit der Fall ist. Das aber ist von vorne herein nicht abzuweisen, dass sie eben in der Consequenz dieser Logik manchem Symptom eine Veranlassung zugeschoben hätte (im besten Glauben), die in Wirklichkeit nicht bestand. Aber ich halte auch diese Vermuthung nicht für richtig. Gerade die Bedeutungslosigkeit so vieler Anlässe, das Irrationale so </w:t>
      </w:r>
      <w:r w:rsidRPr="00C820A0">
        <w:rPr>
          <w:rFonts w:ascii="Garamond" w:hAnsi="Garamond"/>
          <w:color w:val="666666"/>
          <w:sz w:val="20"/>
          <w:szCs w:val="20"/>
          <w:lang w:val="en-US" w:eastAsia="fr-FR"/>
        </w:rPr>
        <w:t>[</w:t>
      </w:r>
      <w:hyperlink r:id="rId1662" w:tooltip="Seite:De Studien über Hysterie 035.jpg" w:history="1">
        <w:r w:rsidRPr="00C820A0">
          <w:rPr>
            <w:rFonts w:ascii="Garamond" w:hAnsi="Garamond"/>
            <w:b/>
            <w:bCs/>
            <w:color w:val="0000FF"/>
            <w:sz w:val="20"/>
            <w:szCs w:val="20"/>
            <w:u w:val="single"/>
            <w:lang w:val="en-US" w:eastAsia="fr-FR"/>
          </w:rPr>
          <w:t>35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vieler Zusammenhänge spricht für ihre Realität. Der Kranken war es unverständlich, wieso Tanzmusik sie husten mache. Für eine willkürliche Construction ist das zu sinnlos. Ich allerdings konnte mir denken, dass jeder Gewissensskrupel ihr notorisch Glottiskrampf verursachte, und die motorischen Impulse, die das sehr tanzlustige Mädchen empfand, diesen Glottiskrampf in eine tussis nervosa verwandelten. Ich halte also die Angaben der Kranken für ganz zuverlässig und wahrheitsgetreu.</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Wie weit ist nun die Vermuthung berechtigt, dass auch bei andern Kranken die Entwicklung der Hysterie analog sei, dass Aehnliches auch dort vorkomme, wo sich keine so deutlich geschiedene „condition seconde“ organisirt? Ich möchte hiefür darauf hinweisen, dass diese ganze Geschichte der Krankheitsentwicklung auch bei unserer Patientin vollständig unbekannt geblieben wäre, ihr selbst wie dem Arzte, hätte sie nicht die Eigenthümlichkeit gehabt, in der geschilderten Weise, sich in der Hypnose zu erinnern und das Erinnerte zu erzählen. Im Wachen wusste sie von all dem nichts. Wie es sich bei Andern damit verhält, ist also aus dem Krankenexamen der wachen Person nie zu entnehmen, da sie mit bestem Willen keine Auskunft geben kann. Und wie wenig die Umgebung von all den Vorgängen beobachten konnte, habe ich schon oben bemerkt. – Wie es sich bei andern Kranken verhalte, konnte also nur durch ein ähnliches Verfahren erkannt werden, wie es bei Anna O . . die Autohypnosen an die Hand </w:t>
      </w:r>
      <w:r w:rsidRPr="00C820A0">
        <w:rPr>
          <w:rFonts w:ascii="Garamond" w:hAnsi="Garamond"/>
          <w:sz w:val="20"/>
          <w:szCs w:val="20"/>
          <w:lang w:val="en-US" w:eastAsia="fr-FR"/>
        </w:rPr>
        <w:lastRenderedPageBreak/>
        <w:t xml:space="preserve">gegeben hatten. Zunächst war nur die Vermuthung berechtigt, </w:t>
      </w:r>
      <w:r w:rsidRPr="00C820A0">
        <w:rPr>
          <w:rFonts w:ascii="Garamond" w:hAnsi="Garamond"/>
          <w:i/>
          <w:iCs/>
          <w:sz w:val="20"/>
          <w:szCs w:val="20"/>
          <w:lang w:val="en-US" w:eastAsia="fr-FR"/>
        </w:rPr>
        <w:t>ähnliche</w:t>
      </w:r>
      <w:r w:rsidRPr="00C820A0">
        <w:rPr>
          <w:rFonts w:ascii="Garamond" w:hAnsi="Garamond"/>
          <w:sz w:val="20"/>
          <w:szCs w:val="20"/>
          <w:lang w:val="en-US" w:eastAsia="fr-FR"/>
        </w:rPr>
        <w:t xml:space="preserve"> Vorgänge dürften häufiger sein, als unsere Unkenntniss des pathogenen Mechanismus annehmen liess.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Als die Kranke bettlägerig geworden war und ihr Bewusstsein fortwährend zwischen dem normalen und dem „zweiten“ Zustand oscillirte, das Heer der einzeln entstandenen und bis dahin latenten hysterischen Symptome sich als Dauersymptome manifestirte, gesellte sich zu diesen noch eine Gruppe von Erscheinungen, die andern Ursprungs scheinen, die Contracturlähmung der linkseitigen Extremitäten und die Parese der Kopfheber. Ich trenne sie von den andern Phänomenen ab, weil sie, nachdem sie einmal geschwunden waren, nie, auch nicht anfalls- oder andeutungsweise, wieder erschienen, auch nicht in der Abschluss- und Abheilungsphase, in der alle andern Symptome nach längerem Schlummer wieder auflebten. Dem entsprechend kamen sie auch in den hypnotischen Analysen nie vor und wurden sie nicht auf affective oder phantastische Anlässe zurückgeführt. Ich </w:t>
      </w:r>
      <w:r w:rsidRPr="00C820A0">
        <w:rPr>
          <w:rFonts w:ascii="Garamond" w:hAnsi="Garamond"/>
          <w:color w:val="666666"/>
          <w:sz w:val="20"/>
          <w:szCs w:val="20"/>
          <w:lang w:val="en-US" w:eastAsia="fr-FR"/>
        </w:rPr>
        <w:t>[</w:t>
      </w:r>
      <w:hyperlink r:id="rId1663" w:tooltip="Seite:De Studien über Hysterie 036.jpg" w:history="1">
        <w:r w:rsidRPr="00C820A0">
          <w:rPr>
            <w:rFonts w:ascii="Garamond" w:hAnsi="Garamond"/>
            <w:b/>
            <w:bCs/>
            <w:color w:val="0000FF"/>
            <w:sz w:val="20"/>
            <w:szCs w:val="20"/>
            <w:u w:val="single"/>
            <w:lang w:val="en-US" w:eastAsia="fr-FR"/>
          </w:rPr>
          <w:t>36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möchte darum glauben, dass sie nicht demselben psychischen Vorgang ihr Dasein dankten wie die andern Symptome, sondern der secundären Ausbreitung jenes unbekannten Zustandes, der die somatische Grundlage der hysterischen Phänomene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Während des ganzen Krankheitsverlaufes bestanden die zwei Bewusstseinszustände neben einander, der primäre, in welchem Patientin psychisch ganz normal war, und der „zweite“ Zustand, den wir wohl mit dem Traum vergleichen können, entsprechend seinem Reichthum an Phantasmen, Hallucinationen, den grossen Lücken der Erinnerung, der Hemmungs- und Controlelosigkeit der Einfälle. In diesem zweiten Zustand war Patientin alienirt. Es scheint mir nun guten Einblick in das Wesen mindestens einer Art von hysterischen Psychosen zu gewähren, dass der psychische Zustand der Kranken durchaus abhängig war von dem Hereinragen dieses zweiten Zustandes in den normalen. Jede Abendhypnose lieferte den Beweis, dass die Kranke völlig klar, geordnet, und in ihrem Empfinden und Wollen normal war, wenn kein Product des zweiten Zustandes „im Unbewussten“ als Reiz wirkte; die eclatante Psychose bei jeder grössern Pause in dieser Entlastungsprocedur bewies, in welchem Ausmaasse eben diese Producte die psychischen Vorgänge des „normalen“ Zustandes beeinflussten. Es ist schwer, dem Ausdruck aus dem Wege zu gehen, die Kranke sei in zwei Persönlichkeiten zerfallen, von denen die eine psychisch normal und die andere geisteskrank war. Ich meine, dass die scharfe Trennung der beiden Zustände bei unserer Kranken ein Verhalten nur deutlich machte, das auch bei vielen andern Hysterischen Ursache so mancher Räthsel ist. Bei Anna O . . war besonders auffallend, wie sehr die Producte des „schlimmen Ichs“, wie die Kranke selbst es nannte, ihren moralischen Habitus beeinflussten. Wären sie nicht fortlaufend weggeschafft worden, so hätte man in ihr eine Hysterica von der bösartigen Sorte gehabt, widerspenstig, träge, unliebenswürdig, boshaft; während so, nach Entfernung dieser Reize, immer wieder sogleich ihr wahrer Charakter zum Vorschein kam, der von all dem das Gegentheil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Aber so scharf die beiden Zustände getrennt waren, es ragte nicht bloss der „zweite Zustand“ in den ersten herein, sondern es sass, wie Patientin sich ausdrückte, mindestens häufig auch bei ganz schlimmen Zuständen in irgend einem Winkel ihres Gehirns ein scharfer und ruhiger Beobachter, der sich das tolle Zeug ansah. Diese Fortexistenz klaren Denkens während des Vorwaltens der </w:t>
      </w:r>
      <w:r w:rsidRPr="00C820A0">
        <w:rPr>
          <w:rFonts w:ascii="Garamond" w:hAnsi="Garamond"/>
          <w:color w:val="666666"/>
          <w:sz w:val="20"/>
          <w:szCs w:val="20"/>
          <w:lang w:val="en-US" w:eastAsia="fr-FR"/>
        </w:rPr>
        <w:t>[</w:t>
      </w:r>
      <w:hyperlink r:id="rId1664" w:tooltip="Seite:De Studien über Hysterie 037.jpg" w:history="1">
        <w:r w:rsidRPr="00C820A0">
          <w:rPr>
            <w:rFonts w:ascii="Garamond" w:hAnsi="Garamond"/>
            <w:b/>
            <w:bCs/>
            <w:color w:val="0000FF"/>
            <w:sz w:val="20"/>
            <w:szCs w:val="20"/>
            <w:u w:val="single"/>
            <w:lang w:val="en-US" w:eastAsia="fr-FR"/>
          </w:rPr>
          <w:t>37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Psychose gewann einen sehr merkwürdigen Ausdruck; als Patientin nach Abschluss der hysterischen Phänomene in einer vorübergehenden Depression war, brachte sie unter andern kindischen Befürchtungen und Selbstanklagen auch die vor, sie sei gar nicht krank, und alles sei nur simulirt gewesen. Aehnliches ist bekanntlich schon mehrfach vorgekommen.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Wenn nach Ablauf der Krankheit die beiden Bewusstseinszustände wieder in einen zusammengeflossen sind, sehen sich die Patienten beim Rückblick als die eine ungetheilte Persönlichkeit, die von all dem Unsinn gewusst hat, und meinen, sie hätten ihn hindern können, wenn sie gewollt hätten, also hätten sie den Unfug absichtlich verübt. – Diese Persistenz normalen Denkens während des zweiten Zustandes dürfte übrigens quantitativ enorm geschwankt und grossentheils auch nicht bestanden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wunderbare Thatsache, dass vom Beginn bis zum Abschluss der Erkrankung alle aus dem zweiten Zustand stammenden Reize und ihre Folgen durch das Aussprechen in der Hypnose dauernd beseitigt wurden, habe ich bereits geschildert und dem nichts hinzuzusetzen, als die Versicherung, dass es nicht etwa meine Erfindung war, die ich der Patientin suggerirt hätte; sondern ich war auf’s höchste davon überrascht, und erst als eine Reihe spontaner Erledigungen erfolgt waren, entwickelte sich mir daraus eine therapeutische Technik.</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Einige Worte verdient noch die schliessliche Abheilung der Hysterie. Sie erfolgte in der geschilderten Weise unter namhafter Beunruhigung der Kranken und Verschlechterung ihres psychischen Zustandes. Man hatte durchaus den Eindruck, es sei die Menge von Producten des zweiten Zustandes, die geschlummert haben, nun ins Bewusstsein drängen; erinnert werden, wenn auch wieder zunächst in der „condition seconde“, aber den normalen Zustand belasten und beunruhigen. Es wird in Betracht zu ziehen sein, ob nicht auch in andern Fällen eine Psychose, mit welcher eine chronische Hysterie abschliesst, denselben Ursprung hat.</w:t>
      </w:r>
    </w:p>
    <w:p w:rsidR="005C1841" w:rsidRPr="005C1841" w:rsidRDefault="005C1841" w:rsidP="005C1841">
      <w:pPr>
        <w:pStyle w:val="Sansinterligne"/>
        <w:rPr>
          <w:rFonts w:ascii="Garamond" w:hAnsi="Garamond"/>
          <w:b/>
          <w:bCs/>
          <w:sz w:val="20"/>
          <w:szCs w:val="20"/>
          <w:lang w:val="en-US" w:eastAsia="fr-FR"/>
        </w:rPr>
      </w:pPr>
      <w:r w:rsidRPr="005C1841">
        <w:rPr>
          <w:rFonts w:ascii="Garamond" w:hAnsi="Garamond"/>
          <w:b/>
          <w:bCs/>
          <w:sz w:val="20"/>
          <w:szCs w:val="20"/>
          <w:lang w:val="en-US" w:eastAsia="fr-FR"/>
        </w:rPr>
        <w:t>Anmerkungen (WS)</w:t>
      </w:r>
    </w:p>
    <w:p w:rsidR="005C1841" w:rsidRPr="005C1841" w:rsidRDefault="005C1841" w:rsidP="005C1841">
      <w:pPr>
        <w:pStyle w:val="Sansinterligne"/>
        <w:rPr>
          <w:rFonts w:ascii="Garamond" w:hAnsi="Garamond"/>
          <w:sz w:val="20"/>
          <w:szCs w:val="20"/>
          <w:lang w:val="en-US" w:eastAsia="fr-FR"/>
        </w:rPr>
      </w:pPr>
      <w:hyperlink r:id="rId1665" w:anchor="cite_ref-0"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66" w:tooltip="w:Paraphasie" w:history="1">
        <w:r w:rsidRPr="005C1841">
          <w:rPr>
            <w:rFonts w:ascii="Garamond" w:hAnsi="Garamond"/>
            <w:color w:val="0000FF"/>
            <w:sz w:val="20"/>
            <w:szCs w:val="20"/>
            <w:u w:val="single"/>
            <w:lang w:val="en-US" w:eastAsia="fr-FR"/>
          </w:rPr>
          <w:t>Paraphasie</w:t>
        </w:r>
      </w:hyperlink>
      <w:r w:rsidRPr="005C1841">
        <w:rPr>
          <w:rFonts w:ascii="Garamond" w:hAnsi="Garamond"/>
          <w:sz w:val="20"/>
          <w:szCs w:val="20"/>
          <w:lang w:val="en-US" w:eastAsia="fr-FR"/>
        </w:rPr>
        <w:t>: Wortverwechslungsstörung</w:t>
      </w:r>
    </w:p>
    <w:p w:rsidR="005C1841" w:rsidRPr="005C1841" w:rsidRDefault="005C1841" w:rsidP="005C1841">
      <w:pPr>
        <w:pStyle w:val="Sansinterligne"/>
        <w:rPr>
          <w:rFonts w:ascii="Garamond" w:hAnsi="Garamond"/>
          <w:sz w:val="20"/>
          <w:szCs w:val="20"/>
          <w:lang w:val="en-US" w:eastAsia="fr-FR"/>
        </w:rPr>
      </w:pPr>
      <w:hyperlink r:id="rId1667" w:anchor="cite_ref-1"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68" w:tooltip="w:Schielen" w:history="1">
        <w:r w:rsidRPr="005C1841">
          <w:rPr>
            <w:rFonts w:ascii="Garamond" w:hAnsi="Garamond"/>
            <w:color w:val="0000FF"/>
            <w:sz w:val="20"/>
            <w:szCs w:val="20"/>
            <w:u w:val="single"/>
            <w:lang w:val="en-US" w:eastAsia="fr-FR"/>
          </w:rPr>
          <w:t>Strabismus convergens</w:t>
        </w:r>
      </w:hyperlink>
      <w:r w:rsidRPr="005C1841">
        <w:rPr>
          <w:rFonts w:ascii="Garamond" w:hAnsi="Garamond"/>
          <w:sz w:val="20"/>
          <w:szCs w:val="20"/>
          <w:lang w:val="en-US" w:eastAsia="fr-FR"/>
        </w:rPr>
        <w:t>: Einwärts-/Innenschielen</w:t>
      </w:r>
    </w:p>
    <w:p w:rsidR="005C1841" w:rsidRPr="005C1841" w:rsidRDefault="005C1841" w:rsidP="005C1841">
      <w:pPr>
        <w:pStyle w:val="Sansinterligne"/>
        <w:rPr>
          <w:rFonts w:ascii="Garamond" w:hAnsi="Garamond"/>
          <w:sz w:val="20"/>
          <w:szCs w:val="20"/>
          <w:lang w:val="en-US" w:eastAsia="fr-FR"/>
        </w:rPr>
      </w:pPr>
      <w:hyperlink r:id="rId1669" w:anchor="cite_ref-2"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70" w:tooltip="w:Kontraktur" w:history="1">
        <w:r w:rsidRPr="005C1841">
          <w:rPr>
            <w:rFonts w:ascii="Garamond" w:hAnsi="Garamond"/>
            <w:color w:val="0000FF"/>
            <w:sz w:val="20"/>
            <w:szCs w:val="20"/>
            <w:u w:val="single"/>
            <w:lang w:val="en-US" w:eastAsia="fr-FR"/>
          </w:rPr>
          <w:t>Kontrakturlähmung</w:t>
        </w:r>
      </w:hyperlink>
      <w:r w:rsidRPr="005C1841">
        <w:rPr>
          <w:rFonts w:ascii="Garamond" w:hAnsi="Garamond"/>
          <w:sz w:val="20"/>
          <w:szCs w:val="20"/>
          <w:lang w:val="en-US" w:eastAsia="fr-FR"/>
        </w:rPr>
        <w:t>: durch Verkürzung von Muskeln, Sehnen oder Bändern bzw. durch die Versteifung von Gelenken bedingte Lähmung</w:t>
      </w:r>
    </w:p>
    <w:p w:rsidR="005C1841" w:rsidRPr="005C1841" w:rsidRDefault="005C1841" w:rsidP="005C1841">
      <w:pPr>
        <w:pStyle w:val="Sansinterligne"/>
        <w:rPr>
          <w:rFonts w:ascii="Garamond" w:hAnsi="Garamond"/>
          <w:sz w:val="20"/>
          <w:szCs w:val="20"/>
          <w:lang w:val="en-US" w:eastAsia="fr-FR"/>
        </w:rPr>
      </w:pPr>
      <w:hyperlink r:id="rId1671" w:anchor="cite_ref-3"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72" w:tooltip="w:Parese" w:history="1">
        <w:r w:rsidRPr="005C1841">
          <w:rPr>
            <w:rFonts w:ascii="Garamond" w:hAnsi="Garamond"/>
            <w:color w:val="0000FF"/>
            <w:sz w:val="20"/>
            <w:szCs w:val="20"/>
            <w:u w:val="single"/>
            <w:lang w:val="en-US" w:eastAsia="fr-FR"/>
          </w:rPr>
          <w:t>Parese</w:t>
        </w:r>
      </w:hyperlink>
      <w:r w:rsidRPr="005C1841">
        <w:rPr>
          <w:rFonts w:ascii="Garamond" w:hAnsi="Garamond"/>
          <w:sz w:val="20"/>
          <w:szCs w:val="20"/>
          <w:lang w:val="en-US" w:eastAsia="fr-FR"/>
        </w:rPr>
        <w:t>: unvollständige Lähmung</w:t>
      </w:r>
    </w:p>
    <w:p w:rsidR="005C1841" w:rsidRPr="00C820A0" w:rsidRDefault="005C1841" w:rsidP="005C1841">
      <w:pPr>
        <w:pStyle w:val="Sansinterligne"/>
        <w:rPr>
          <w:rFonts w:ascii="Garamond" w:hAnsi="Garamond"/>
          <w:sz w:val="20"/>
          <w:szCs w:val="20"/>
          <w:lang w:val="en-US" w:eastAsia="fr-FR"/>
        </w:rPr>
      </w:pPr>
      <w:hyperlink r:id="rId1673" w:anchor="cite_ref-4"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peripleuritischer </w:t>
      </w:r>
      <w:hyperlink r:id="rId1674" w:tooltip="w:Abszess" w:history="1">
        <w:r w:rsidRPr="00C820A0">
          <w:rPr>
            <w:rFonts w:ascii="Garamond" w:hAnsi="Garamond"/>
            <w:color w:val="0000FF"/>
            <w:sz w:val="20"/>
            <w:szCs w:val="20"/>
            <w:u w:val="single"/>
            <w:lang w:val="en-US" w:eastAsia="fr-FR"/>
          </w:rPr>
          <w:t>Abszess</w:t>
        </w:r>
      </w:hyperlink>
      <w:r w:rsidRPr="00C820A0">
        <w:rPr>
          <w:rFonts w:ascii="Garamond" w:hAnsi="Garamond"/>
          <w:sz w:val="20"/>
          <w:szCs w:val="20"/>
          <w:lang w:val="en-US" w:eastAsia="fr-FR"/>
        </w:rPr>
        <w:t xml:space="preserve">: eiterige Entzündung im Bereich zwischen </w:t>
      </w:r>
      <w:hyperlink r:id="rId1675" w:tooltip="w:Pleura" w:history="1">
        <w:r w:rsidRPr="00C820A0">
          <w:rPr>
            <w:rFonts w:ascii="Garamond" w:hAnsi="Garamond"/>
            <w:color w:val="0000FF"/>
            <w:sz w:val="20"/>
            <w:szCs w:val="20"/>
            <w:u w:val="single"/>
            <w:lang w:val="en-US" w:eastAsia="fr-FR"/>
          </w:rPr>
          <w:t>Brustfell</w:t>
        </w:r>
      </w:hyperlink>
      <w:r w:rsidRPr="00C820A0">
        <w:rPr>
          <w:rFonts w:ascii="Garamond" w:hAnsi="Garamond"/>
          <w:sz w:val="20"/>
          <w:szCs w:val="20"/>
          <w:lang w:val="en-US" w:eastAsia="fr-FR"/>
        </w:rPr>
        <w:t xml:space="preserve"> und Bauchwand</w:t>
      </w:r>
    </w:p>
    <w:p w:rsidR="005C1841" w:rsidRPr="005C1841" w:rsidRDefault="005C1841" w:rsidP="005C1841">
      <w:pPr>
        <w:pStyle w:val="Sansinterligne"/>
        <w:rPr>
          <w:rFonts w:ascii="Garamond" w:hAnsi="Garamond"/>
          <w:sz w:val="20"/>
          <w:szCs w:val="20"/>
          <w:lang w:val="en-US" w:eastAsia="fr-FR"/>
        </w:rPr>
      </w:pPr>
      <w:hyperlink r:id="rId1676" w:anchor="cite_ref-5"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77" w:tooltip="w:Husten" w:history="1">
        <w:r w:rsidRPr="005C1841">
          <w:rPr>
            <w:rFonts w:ascii="Garamond" w:hAnsi="Garamond"/>
            <w:color w:val="0000FF"/>
            <w:sz w:val="20"/>
            <w:szCs w:val="20"/>
            <w:u w:val="single"/>
            <w:lang w:val="en-US" w:eastAsia="fr-FR"/>
          </w:rPr>
          <w:t>Tussis</w:t>
        </w:r>
      </w:hyperlink>
      <w:r w:rsidRPr="005C1841">
        <w:rPr>
          <w:rFonts w:ascii="Garamond" w:hAnsi="Garamond"/>
          <w:sz w:val="20"/>
          <w:szCs w:val="20"/>
          <w:lang w:val="en-US" w:eastAsia="fr-FR"/>
        </w:rPr>
        <w:t xml:space="preserve"> nervosa: nervöser (psychogener) Husten</w:t>
      </w:r>
    </w:p>
    <w:p w:rsidR="005C1841" w:rsidRPr="005C1841" w:rsidRDefault="005C1841" w:rsidP="005C1841">
      <w:pPr>
        <w:pStyle w:val="Sansinterligne"/>
        <w:rPr>
          <w:rFonts w:ascii="Garamond" w:hAnsi="Garamond"/>
          <w:sz w:val="20"/>
          <w:szCs w:val="20"/>
          <w:lang w:val="en-US" w:eastAsia="fr-FR"/>
        </w:rPr>
      </w:pPr>
      <w:hyperlink r:id="rId1678" w:anchor="cite_ref-6"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79" w:tooltip="w:Abduzensparese" w:history="1">
        <w:r w:rsidRPr="005C1841">
          <w:rPr>
            <w:rFonts w:ascii="Garamond" w:hAnsi="Garamond"/>
            <w:color w:val="0000FF"/>
            <w:sz w:val="20"/>
            <w:szCs w:val="20"/>
            <w:u w:val="single"/>
            <w:lang w:val="en-US" w:eastAsia="fr-FR"/>
          </w:rPr>
          <w:t>Abduzensparese</w:t>
        </w:r>
      </w:hyperlink>
      <w:r w:rsidRPr="005C1841">
        <w:rPr>
          <w:rFonts w:ascii="Garamond" w:hAnsi="Garamond"/>
          <w:sz w:val="20"/>
          <w:szCs w:val="20"/>
          <w:lang w:val="en-US" w:eastAsia="fr-FR"/>
        </w:rPr>
        <w:t xml:space="preserve">: Augenmuskellähmung infolge von Schädigung des </w:t>
      </w:r>
      <w:hyperlink r:id="rId1680" w:tooltip="w:Nervus abducens" w:history="1">
        <w:r w:rsidRPr="005C1841">
          <w:rPr>
            <w:rFonts w:ascii="Garamond" w:hAnsi="Garamond"/>
            <w:color w:val="0000FF"/>
            <w:sz w:val="20"/>
            <w:szCs w:val="20"/>
            <w:u w:val="single"/>
            <w:lang w:val="en-US" w:eastAsia="fr-FR"/>
          </w:rPr>
          <w:t>Nervus abducens</w:t>
        </w:r>
      </w:hyperlink>
    </w:p>
    <w:p w:rsidR="005C1841" w:rsidRPr="005C1841" w:rsidRDefault="005C1841" w:rsidP="005C1841">
      <w:pPr>
        <w:pStyle w:val="Sansinterligne"/>
        <w:rPr>
          <w:rFonts w:ascii="Garamond" w:hAnsi="Garamond"/>
          <w:sz w:val="20"/>
          <w:szCs w:val="20"/>
          <w:lang w:val="en-US" w:eastAsia="fr-FR"/>
        </w:rPr>
      </w:pPr>
      <w:hyperlink r:id="rId1681" w:anchor="cite_ref-7"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82" w:tooltip="w:Diplopie" w:history="1">
        <w:r w:rsidRPr="005C1841">
          <w:rPr>
            <w:rFonts w:ascii="Garamond" w:hAnsi="Garamond"/>
            <w:color w:val="0000FF"/>
            <w:sz w:val="20"/>
            <w:szCs w:val="20"/>
            <w:u w:val="single"/>
            <w:lang w:val="en-US" w:eastAsia="fr-FR"/>
          </w:rPr>
          <w:t>Diplopie</w:t>
        </w:r>
      </w:hyperlink>
      <w:r w:rsidRPr="005C1841">
        <w:rPr>
          <w:rFonts w:ascii="Garamond" w:hAnsi="Garamond"/>
          <w:sz w:val="20"/>
          <w:szCs w:val="20"/>
          <w:lang w:val="en-US" w:eastAsia="fr-FR"/>
        </w:rPr>
        <w:t>: Doppeltsehen</w:t>
      </w:r>
    </w:p>
    <w:p w:rsidR="005C1841" w:rsidRPr="005C1841" w:rsidRDefault="005C1841" w:rsidP="005C1841">
      <w:pPr>
        <w:pStyle w:val="Sansinterligne"/>
        <w:rPr>
          <w:rFonts w:ascii="Garamond" w:hAnsi="Garamond"/>
          <w:sz w:val="20"/>
          <w:szCs w:val="20"/>
          <w:lang w:val="en-US" w:eastAsia="fr-FR"/>
        </w:rPr>
      </w:pPr>
      <w:hyperlink r:id="rId1683" w:anchor="cite_ref-8"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Obliquusaffektion: Nach heutiger Terminologie könnte es sich hier sowohl um eine </w:t>
      </w:r>
      <w:hyperlink r:id="rId1684" w:tooltip="w:Trochlearisparese" w:history="1">
        <w:r w:rsidRPr="005C1841">
          <w:rPr>
            <w:rFonts w:ascii="Garamond" w:hAnsi="Garamond"/>
            <w:color w:val="0000FF"/>
            <w:sz w:val="20"/>
            <w:szCs w:val="20"/>
            <w:u w:val="single"/>
            <w:lang w:val="en-US" w:eastAsia="fr-FR"/>
          </w:rPr>
          <w:t>Trochlearisparese</w:t>
        </w:r>
      </w:hyperlink>
      <w:r w:rsidRPr="005C1841">
        <w:rPr>
          <w:rFonts w:ascii="Garamond" w:hAnsi="Garamond"/>
          <w:sz w:val="20"/>
          <w:szCs w:val="20"/>
          <w:lang w:val="en-US" w:eastAsia="fr-FR"/>
        </w:rPr>
        <w:t xml:space="preserve">, eine Läsion des </w:t>
      </w:r>
      <w:hyperlink r:id="rId1685" w:tooltip="w:Nervus trochlearis" w:history="1">
        <w:r w:rsidRPr="005C1841">
          <w:rPr>
            <w:rFonts w:ascii="Garamond" w:hAnsi="Garamond"/>
            <w:color w:val="0000FF"/>
            <w:sz w:val="20"/>
            <w:szCs w:val="20"/>
            <w:u w:val="single"/>
            <w:lang w:val="en-US" w:eastAsia="fr-FR"/>
          </w:rPr>
          <w:t>Nervus trochlearis</w:t>
        </w:r>
      </w:hyperlink>
      <w:r w:rsidRPr="005C1841">
        <w:rPr>
          <w:rFonts w:ascii="Garamond" w:hAnsi="Garamond"/>
          <w:sz w:val="20"/>
          <w:szCs w:val="20"/>
          <w:lang w:val="en-US" w:eastAsia="fr-FR"/>
        </w:rPr>
        <w:t xml:space="preserve">, der den </w:t>
      </w:r>
      <w:r w:rsidRPr="005C1841">
        <w:rPr>
          <w:rFonts w:ascii="Garamond" w:hAnsi="Garamond"/>
          <w:i/>
          <w:iCs/>
          <w:sz w:val="20"/>
          <w:szCs w:val="20"/>
          <w:lang w:val="en-US" w:eastAsia="fr-FR"/>
        </w:rPr>
        <w:t>Musculus obliquus superior</w:t>
      </w:r>
      <w:r w:rsidRPr="005C1841">
        <w:rPr>
          <w:rFonts w:ascii="Garamond" w:hAnsi="Garamond"/>
          <w:sz w:val="20"/>
          <w:szCs w:val="20"/>
          <w:lang w:val="en-US" w:eastAsia="fr-FR"/>
        </w:rPr>
        <w:t xml:space="preserve"> enerviert, als auch um eine </w:t>
      </w:r>
      <w:hyperlink r:id="rId1686" w:tooltip="w:Okulomotoriusparese" w:history="1">
        <w:r w:rsidRPr="005C1841">
          <w:rPr>
            <w:rFonts w:ascii="Garamond" w:hAnsi="Garamond"/>
            <w:color w:val="0000FF"/>
            <w:sz w:val="20"/>
            <w:szCs w:val="20"/>
            <w:u w:val="single"/>
            <w:lang w:val="en-US" w:eastAsia="fr-FR"/>
          </w:rPr>
          <w:t>Okulomotoriusparese</w:t>
        </w:r>
      </w:hyperlink>
      <w:r w:rsidRPr="005C1841">
        <w:rPr>
          <w:rFonts w:ascii="Garamond" w:hAnsi="Garamond"/>
          <w:sz w:val="20"/>
          <w:szCs w:val="20"/>
          <w:lang w:val="en-US" w:eastAsia="fr-FR"/>
        </w:rPr>
        <w:t xml:space="preserve">, eine Läsion des </w:t>
      </w:r>
      <w:hyperlink r:id="rId1687" w:tooltip="w:Nervus oculomotorius" w:history="1">
        <w:r w:rsidRPr="005C1841">
          <w:rPr>
            <w:rFonts w:ascii="Garamond" w:hAnsi="Garamond"/>
            <w:color w:val="0000FF"/>
            <w:sz w:val="20"/>
            <w:szCs w:val="20"/>
            <w:u w:val="single"/>
            <w:lang w:val="en-US" w:eastAsia="fr-FR"/>
          </w:rPr>
          <w:t>Nervus oculomotorius</w:t>
        </w:r>
      </w:hyperlink>
      <w:r w:rsidRPr="005C1841">
        <w:rPr>
          <w:rFonts w:ascii="Garamond" w:hAnsi="Garamond"/>
          <w:sz w:val="20"/>
          <w:szCs w:val="20"/>
          <w:lang w:val="en-US" w:eastAsia="fr-FR"/>
        </w:rPr>
        <w:t xml:space="preserve">, der den </w:t>
      </w:r>
      <w:r w:rsidRPr="005C1841">
        <w:rPr>
          <w:rFonts w:ascii="Garamond" w:hAnsi="Garamond"/>
          <w:i/>
          <w:iCs/>
          <w:sz w:val="20"/>
          <w:szCs w:val="20"/>
          <w:lang w:val="en-US" w:eastAsia="fr-FR"/>
        </w:rPr>
        <w:t>Musculus obliquus inferior</w:t>
      </w:r>
      <w:r w:rsidRPr="005C1841">
        <w:rPr>
          <w:rFonts w:ascii="Garamond" w:hAnsi="Garamond"/>
          <w:sz w:val="20"/>
          <w:szCs w:val="20"/>
          <w:lang w:val="en-US" w:eastAsia="fr-FR"/>
        </w:rPr>
        <w:t xml:space="preserve"> enerviert, handeln.</w:t>
      </w:r>
    </w:p>
    <w:p w:rsidR="005C1841" w:rsidRPr="005C1841" w:rsidRDefault="005C1841" w:rsidP="005C1841">
      <w:pPr>
        <w:pStyle w:val="Sansinterligne"/>
        <w:rPr>
          <w:rFonts w:ascii="Garamond" w:hAnsi="Garamond"/>
          <w:sz w:val="20"/>
          <w:szCs w:val="20"/>
          <w:lang w:val="en-US" w:eastAsia="fr-FR"/>
        </w:rPr>
      </w:pPr>
      <w:hyperlink r:id="rId1688" w:anchor="cite_ref-9"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89" w:tooltip="w:Anästhesie (Sensibilitätsstörung)" w:history="1">
        <w:r w:rsidRPr="005C1841">
          <w:rPr>
            <w:rFonts w:ascii="Garamond" w:hAnsi="Garamond"/>
            <w:color w:val="0000FF"/>
            <w:sz w:val="20"/>
            <w:szCs w:val="20"/>
            <w:u w:val="single"/>
            <w:lang w:val="en-US" w:eastAsia="fr-FR"/>
          </w:rPr>
          <w:t>Anästhesie</w:t>
        </w:r>
      </w:hyperlink>
      <w:r w:rsidRPr="005C1841">
        <w:rPr>
          <w:rFonts w:ascii="Garamond" w:hAnsi="Garamond"/>
          <w:sz w:val="20"/>
          <w:szCs w:val="20"/>
          <w:lang w:val="en-US" w:eastAsia="fr-FR"/>
        </w:rPr>
        <w:t>: Empfindungslosigkeit, Gefühlstaubheit</w:t>
      </w:r>
    </w:p>
    <w:p w:rsidR="005C1841" w:rsidRPr="005C1841" w:rsidRDefault="005C1841" w:rsidP="005C1841">
      <w:pPr>
        <w:pStyle w:val="Sansinterligne"/>
        <w:rPr>
          <w:rFonts w:ascii="Garamond" w:hAnsi="Garamond"/>
          <w:sz w:val="20"/>
          <w:szCs w:val="20"/>
          <w:lang w:val="en-US" w:eastAsia="fr-FR"/>
        </w:rPr>
      </w:pPr>
      <w:hyperlink r:id="rId1690" w:anchor="cite_ref-10"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91" w:tooltip="w:Akme" w:history="1">
        <w:r w:rsidRPr="005C1841">
          <w:rPr>
            <w:rFonts w:ascii="Garamond" w:hAnsi="Garamond"/>
            <w:color w:val="0000FF"/>
            <w:sz w:val="20"/>
            <w:szCs w:val="20"/>
            <w:u w:val="single"/>
            <w:lang w:val="en-US" w:eastAsia="fr-FR"/>
          </w:rPr>
          <w:t>Akme</w:t>
        </w:r>
      </w:hyperlink>
      <w:r w:rsidRPr="005C1841">
        <w:rPr>
          <w:rFonts w:ascii="Garamond" w:hAnsi="Garamond"/>
          <w:sz w:val="20"/>
          <w:szCs w:val="20"/>
          <w:lang w:val="en-US" w:eastAsia="fr-FR"/>
        </w:rPr>
        <w:t>: Höhepunkt, Krise einer Erkrankung</w:t>
      </w:r>
    </w:p>
    <w:p w:rsidR="005C1841" w:rsidRPr="00C820A0" w:rsidRDefault="005C1841" w:rsidP="005C1841">
      <w:pPr>
        <w:pStyle w:val="Sansinterligne"/>
        <w:rPr>
          <w:rFonts w:ascii="Garamond" w:hAnsi="Garamond"/>
          <w:sz w:val="20"/>
          <w:szCs w:val="20"/>
          <w:lang w:val="en-US" w:eastAsia="fr-FR"/>
        </w:rPr>
      </w:pPr>
      <w:hyperlink r:id="rId1692" w:anchor="cite_ref-11"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w:t>
      </w:r>
      <w:hyperlink r:id="rId1693" w:tooltip="w:Somnolenz" w:history="1">
        <w:r w:rsidRPr="00C820A0">
          <w:rPr>
            <w:rFonts w:ascii="Garamond" w:hAnsi="Garamond"/>
            <w:color w:val="0000FF"/>
            <w:sz w:val="20"/>
            <w:szCs w:val="20"/>
            <w:u w:val="single"/>
            <w:lang w:val="en-US" w:eastAsia="fr-FR"/>
          </w:rPr>
          <w:t>Somnolenz</w:t>
        </w:r>
      </w:hyperlink>
      <w:r w:rsidRPr="00C820A0">
        <w:rPr>
          <w:rFonts w:ascii="Garamond" w:hAnsi="Garamond"/>
          <w:sz w:val="20"/>
          <w:szCs w:val="20"/>
          <w:lang w:val="en-US" w:eastAsia="fr-FR"/>
        </w:rPr>
        <w:t>: abnorme Schläfrigkeit als Form einer Bewusstseinstrübung</w:t>
      </w:r>
    </w:p>
    <w:p w:rsidR="005C1841" w:rsidRPr="005C1841" w:rsidRDefault="005C1841" w:rsidP="005C1841">
      <w:pPr>
        <w:pStyle w:val="Sansinterligne"/>
        <w:rPr>
          <w:rFonts w:ascii="Garamond" w:hAnsi="Garamond"/>
          <w:sz w:val="20"/>
          <w:szCs w:val="20"/>
          <w:lang w:val="en-US" w:eastAsia="fr-FR"/>
        </w:rPr>
      </w:pPr>
      <w:hyperlink r:id="rId1694" w:anchor="cite_ref-12"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95" w:tooltip="w:Mutismus" w:history="1">
        <w:r w:rsidRPr="005C1841">
          <w:rPr>
            <w:rFonts w:ascii="Garamond" w:hAnsi="Garamond"/>
            <w:color w:val="0000FF"/>
            <w:sz w:val="20"/>
            <w:szCs w:val="20"/>
            <w:u w:val="single"/>
            <w:lang w:val="en-US" w:eastAsia="fr-FR"/>
          </w:rPr>
          <w:t>Mutismus</w:t>
        </w:r>
      </w:hyperlink>
      <w:r w:rsidRPr="005C1841">
        <w:rPr>
          <w:rFonts w:ascii="Garamond" w:hAnsi="Garamond"/>
          <w:sz w:val="20"/>
          <w:szCs w:val="20"/>
          <w:lang w:val="en-US" w:eastAsia="fr-FR"/>
        </w:rPr>
        <w:t>: psychogene Stummheit</w:t>
      </w:r>
    </w:p>
    <w:p w:rsidR="005C1841" w:rsidRPr="00C820A0" w:rsidRDefault="005C1841" w:rsidP="005C1841">
      <w:pPr>
        <w:pStyle w:val="Sansinterligne"/>
        <w:rPr>
          <w:rFonts w:ascii="Garamond" w:hAnsi="Garamond"/>
          <w:sz w:val="20"/>
          <w:szCs w:val="20"/>
          <w:lang w:val="en-US" w:eastAsia="fr-FR"/>
        </w:rPr>
      </w:pPr>
      <w:hyperlink r:id="rId1696" w:anchor="cite_ref-13"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w:t>
      </w:r>
      <w:hyperlink r:id="rId1697" w:tooltip="w:Sopor" w:history="1">
        <w:r w:rsidRPr="00C820A0">
          <w:rPr>
            <w:rFonts w:ascii="Garamond" w:hAnsi="Garamond"/>
            <w:color w:val="0000FF"/>
            <w:sz w:val="20"/>
            <w:szCs w:val="20"/>
            <w:u w:val="single"/>
            <w:lang w:val="en-US" w:eastAsia="fr-FR"/>
          </w:rPr>
          <w:t>Sopor</w:t>
        </w:r>
      </w:hyperlink>
      <w:r w:rsidRPr="00C820A0">
        <w:rPr>
          <w:rFonts w:ascii="Garamond" w:hAnsi="Garamond"/>
          <w:sz w:val="20"/>
          <w:szCs w:val="20"/>
          <w:lang w:val="en-US" w:eastAsia="fr-FR"/>
        </w:rPr>
        <w:t>: extrem tiefer Schlaf, aus dem der Schlafende auch durch starke Reize (z.B. Schmerz) kaum geweckt werden kann</w:t>
      </w:r>
    </w:p>
    <w:p w:rsidR="005C1841" w:rsidRPr="005C1841" w:rsidRDefault="005C1841" w:rsidP="005C1841">
      <w:pPr>
        <w:pStyle w:val="Sansinterligne"/>
        <w:rPr>
          <w:rFonts w:ascii="Garamond" w:hAnsi="Garamond"/>
          <w:sz w:val="20"/>
          <w:szCs w:val="20"/>
          <w:lang w:val="en-US" w:eastAsia="fr-FR"/>
        </w:rPr>
      </w:pPr>
      <w:hyperlink r:id="rId1698" w:anchor="cite_ref-14"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699" w:tooltip="w:Konsil" w:history="1">
        <w:r w:rsidRPr="005C1841">
          <w:rPr>
            <w:rFonts w:ascii="Garamond" w:hAnsi="Garamond"/>
            <w:color w:val="0000FF"/>
            <w:sz w:val="20"/>
            <w:szCs w:val="20"/>
            <w:u w:val="single"/>
            <w:lang w:val="en-US" w:eastAsia="fr-FR"/>
          </w:rPr>
          <w:t>Consiliarius</w:t>
        </w:r>
      </w:hyperlink>
      <w:r w:rsidRPr="005C1841">
        <w:rPr>
          <w:rFonts w:ascii="Garamond" w:hAnsi="Garamond"/>
          <w:sz w:val="20"/>
          <w:szCs w:val="20"/>
          <w:lang w:val="en-US" w:eastAsia="fr-FR"/>
        </w:rPr>
        <w:t>: zur Beratung beigezogener Arzt</w:t>
      </w:r>
    </w:p>
    <w:p w:rsidR="005C1841" w:rsidRPr="005C1841" w:rsidRDefault="005C1841" w:rsidP="005C1841">
      <w:pPr>
        <w:pStyle w:val="Sansinterligne"/>
        <w:rPr>
          <w:rFonts w:ascii="Garamond" w:hAnsi="Garamond"/>
          <w:sz w:val="20"/>
          <w:szCs w:val="20"/>
          <w:lang w:val="en-US" w:eastAsia="fr-FR"/>
        </w:rPr>
      </w:pPr>
      <w:hyperlink r:id="rId1700" w:anchor="cite_ref-15"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tragieren: schauspielerisch wiedergeben</w:t>
      </w:r>
    </w:p>
    <w:p w:rsidR="005C1841" w:rsidRPr="005C1841" w:rsidRDefault="005C1841" w:rsidP="005C1841">
      <w:pPr>
        <w:pStyle w:val="Sansinterligne"/>
        <w:rPr>
          <w:rFonts w:ascii="Garamond" w:hAnsi="Garamond"/>
          <w:sz w:val="20"/>
          <w:szCs w:val="20"/>
          <w:lang w:val="en-US" w:eastAsia="fr-FR"/>
        </w:rPr>
      </w:pPr>
      <w:hyperlink r:id="rId1701" w:anchor="cite_ref-16"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Chloral: </w:t>
      </w:r>
      <w:hyperlink r:id="rId1702" w:tooltip="w:Chloralhydrat" w:history="1">
        <w:r w:rsidRPr="005C1841">
          <w:rPr>
            <w:rFonts w:ascii="Garamond" w:hAnsi="Garamond"/>
            <w:color w:val="0000FF"/>
            <w:sz w:val="20"/>
            <w:szCs w:val="20"/>
            <w:u w:val="single"/>
            <w:lang w:val="en-US" w:eastAsia="fr-FR"/>
          </w:rPr>
          <w:t>Chloralhydrat</w:t>
        </w:r>
      </w:hyperlink>
      <w:r w:rsidRPr="005C1841">
        <w:rPr>
          <w:rFonts w:ascii="Garamond" w:hAnsi="Garamond"/>
          <w:sz w:val="20"/>
          <w:szCs w:val="20"/>
          <w:lang w:val="en-US" w:eastAsia="fr-FR"/>
        </w:rPr>
        <w:t>, ein Schlafmittel</w:t>
      </w:r>
    </w:p>
    <w:p w:rsidR="005C1841" w:rsidRPr="005C1841" w:rsidRDefault="005C1841" w:rsidP="005C1841">
      <w:pPr>
        <w:pStyle w:val="Sansinterligne"/>
        <w:rPr>
          <w:rFonts w:ascii="Garamond" w:hAnsi="Garamond"/>
          <w:sz w:val="20"/>
          <w:szCs w:val="20"/>
          <w:lang w:val="en-US" w:eastAsia="fr-FR"/>
        </w:rPr>
      </w:pPr>
      <w:hyperlink r:id="rId1703" w:anchor="cite_ref-17"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hyperlink r:id="rId1704" w:tooltip="w:Paraphasie" w:history="1">
        <w:r w:rsidRPr="005C1841">
          <w:rPr>
            <w:rFonts w:ascii="Garamond" w:hAnsi="Garamond"/>
            <w:color w:val="0000FF"/>
            <w:sz w:val="20"/>
            <w:szCs w:val="20"/>
            <w:u w:val="single"/>
            <w:lang w:val="en-US" w:eastAsia="fr-FR"/>
          </w:rPr>
          <w:t>Paraphasie</w:t>
        </w:r>
      </w:hyperlink>
      <w:r w:rsidRPr="005C1841">
        <w:rPr>
          <w:rFonts w:ascii="Garamond" w:hAnsi="Garamond"/>
          <w:sz w:val="20"/>
          <w:szCs w:val="20"/>
          <w:lang w:val="en-US" w:eastAsia="fr-FR"/>
        </w:rPr>
        <w:t>: Wortverwechslungsstörung</w:t>
      </w:r>
    </w:p>
    <w:p w:rsidR="005C1841" w:rsidRPr="00C820A0" w:rsidRDefault="005C1841" w:rsidP="005C1841">
      <w:pPr>
        <w:pStyle w:val="Sansinterligne"/>
        <w:rPr>
          <w:rFonts w:ascii="Garamond" w:hAnsi="Garamond"/>
          <w:sz w:val="20"/>
          <w:szCs w:val="20"/>
          <w:lang w:eastAsia="fr-FR"/>
        </w:rPr>
      </w:pPr>
      <w:hyperlink r:id="rId1705" w:anchor="cite_ref-18"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Ferialreise: gemeinsame Reise der Angehörigen einer Institution (z. B. eines Universitätsinstituts)</w:t>
      </w:r>
    </w:p>
    <w:p w:rsidR="005C1841" w:rsidRPr="00C820A0" w:rsidRDefault="005C1841" w:rsidP="005C1841">
      <w:pPr>
        <w:pStyle w:val="Sansinterligne"/>
        <w:rPr>
          <w:rFonts w:ascii="Garamond" w:hAnsi="Garamond"/>
          <w:sz w:val="20"/>
          <w:szCs w:val="20"/>
          <w:lang w:eastAsia="fr-FR"/>
        </w:rPr>
      </w:pPr>
      <w:hyperlink r:id="rId1706" w:anchor="cite_ref-19"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w:t>
      </w:r>
      <w:hyperlink r:id="rId1707" w:tooltip="w:Aquaphobie" w:history="1">
        <w:r w:rsidRPr="00C820A0">
          <w:rPr>
            <w:rFonts w:ascii="Garamond" w:hAnsi="Garamond"/>
            <w:color w:val="0000FF"/>
            <w:sz w:val="20"/>
            <w:szCs w:val="20"/>
            <w:u w:val="single"/>
            <w:lang w:eastAsia="fr-FR"/>
          </w:rPr>
          <w:t>Hydrophobischer</w:t>
        </w:r>
      </w:hyperlink>
      <w:r w:rsidRPr="00C820A0">
        <w:rPr>
          <w:rFonts w:ascii="Garamond" w:hAnsi="Garamond"/>
          <w:sz w:val="20"/>
          <w:szCs w:val="20"/>
          <w:lang w:eastAsia="fr-FR"/>
        </w:rPr>
        <w:t>: neurotisch Wasserscheuer</w:t>
      </w:r>
    </w:p>
    <w:p w:rsidR="005C1841" w:rsidRPr="00C820A0" w:rsidRDefault="005C1841" w:rsidP="005C1841">
      <w:pPr>
        <w:pStyle w:val="Sansinterligne"/>
        <w:rPr>
          <w:rFonts w:ascii="Garamond" w:hAnsi="Garamond"/>
          <w:sz w:val="20"/>
          <w:szCs w:val="20"/>
          <w:lang w:eastAsia="fr-FR"/>
        </w:rPr>
      </w:pPr>
      <w:hyperlink r:id="rId1708" w:anchor="cite_ref-20"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w:t>
      </w:r>
      <w:hyperlink r:id="rId1709" w:tooltip="w:Amblyopie" w:history="1">
        <w:r w:rsidRPr="00C820A0">
          <w:rPr>
            <w:rFonts w:ascii="Garamond" w:hAnsi="Garamond"/>
            <w:color w:val="0000FF"/>
            <w:sz w:val="20"/>
            <w:szCs w:val="20"/>
            <w:u w:val="single"/>
            <w:lang w:eastAsia="fr-FR"/>
          </w:rPr>
          <w:t>Amblyopie</w:t>
        </w:r>
      </w:hyperlink>
      <w:r w:rsidRPr="00C820A0">
        <w:rPr>
          <w:rFonts w:ascii="Garamond" w:hAnsi="Garamond"/>
          <w:sz w:val="20"/>
          <w:szCs w:val="20"/>
          <w:lang w:eastAsia="fr-FR"/>
        </w:rPr>
        <w:t>: schwachsichtigkeit</w:t>
      </w:r>
    </w:p>
    <w:p w:rsidR="005C1841" w:rsidRPr="005C1841" w:rsidRDefault="005C1841" w:rsidP="005C1841">
      <w:pPr>
        <w:pStyle w:val="Sansinterligne"/>
        <w:rPr>
          <w:rFonts w:ascii="Garamond" w:hAnsi="Garamond"/>
          <w:sz w:val="20"/>
          <w:szCs w:val="20"/>
          <w:lang w:eastAsia="fr-FR"/>
        </w:rPr>
      </w:pPr>
      <w:hyperlink r:id="rId1710" w:anchor="cite_ref-21" w:history="1">
        <w:r w:rsidRPr="005C1841">
          <w:rPr>
            <w:rFonts w:ascii="Garamond" w:hAnsi="Garamond"/>
            <w:color w:val="0000FF"/>
            <w:sz w:val="20"/>
            <w:szCs w:val="20"/>
            <w:u w:val="single"/>
            <w:lang w:eastAsia="fr-FR"/>
          </w:rPr>
          <w:t>↑</w:t>
        </w:r>
      </w:hyperlink>
      <w:r w:rsidRPr="005C1841">
        <w:rPr>
          <w:rFonts w:ascii="Garamond" w:hAnsi="Garamond"/>
          <w:sz w:val="20"/>
          <w:szCs w:val="20"/>
          <w:lang w:eastAsia="fr-FR"/>
        </w:rPr>
        <w:t xml:space="preserve"> </w:t>
      </w:r>
      <w:hyperlink r:id="rId1711" w:tooltip="w:Metamorphopsie" w:history="1">
        <w:r w:rsidRPr="005C1841">
          <w:rPr>
            <w:rFonts w:ascii="Garamond" w:hAnsi="Garamond"/>
            <w:color w:val="0000FF"/>
            <w:sz w:val="20"/>
            <w:szCs w:val="20"/>
            <w:u w:val="single"/>
            <w:lang w:eastAsia="fr-FR"/>
          </w:rPr>
          <w:t>Makropsie</w:t>
        </w:r>
      </w:hyperlink>
      <w:r w:rsidRPr="005C1841">
        <w:rPr>
          <w:rFonts w:ascii="Garamond" w:hAnsi="Garamond"/>
          <w:sz w:val="20"/>
          <w:szCs w:val="20"/>
          <w:lang w:eastAsia="fr-FR"/>
        </w:rPr>
        <w:t>: Sehstörung, bei der Teile der Umgebung vergrößert wahrgenommen werden</w:t>
      </w:r>
    </w:p>
    <w:p w:rsidR="005C1841" w:rsidRPr="00C820A0" w:rsidRDefault="005C1841" w:rsidP="005C1841">
      <w:pPr>
        <w:pStyle w:val="Sansinterligne"/>
        <w:rPr>
          <w:rFonts w:ascii="Garamond" w:hAnsi="Garamond"/>
          <w:sz w:val="20"/>
          <w:szCs w:val="20"/>
          <w:lang w:eastAsia="fr-FR"/>
        </w:rPr>
      </w:pPr>
      <w:hyperlink r:id="rId1712" w:anchor="cite_ref-22"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Echinodermeneier: Eier von </w:t>
      </w:r>
      <w:hyperlink r:id="rId1713" w:tooltip="w:Stachelhäuter" w:history="1">
        <w:r w:rsidRPr="00C820A0">
          <w:rPr>
            <w:rFonts w:ascii="Garamond" w:hAnsi="Garamond"/>
            <w:color w:val="0000FF"/>
            <w:sz w:val="20"/>
            <w:szCs w:val="20"/>
            <w:u w:val="single"/>
            <w:lang w:eastAsia="fr-FR"/>
          </w:rPr>
          <w:t>Stachelhäutern</w:t>
        </w:r>
      </w:hyperlink>
      <w:r w:rsidRPr="00C820A0">
        <w:rPr>
          <w:rFonts w:ascii="Garamond" w:hAnsi="Garamond"/>
          <w:sz w:val="20"/>
          <w:szCs w:val="20"/>
          <w:lang w:eastAsia="fr-FR"/>
        </w:rPr>
        <w:t>, z. B. Seeigeln</w:t>
      </w:r>
    </w:p>
    <w:p w:rsidR="005C1841" w:rsidRPr="005C1841" w:rsidRDefault="005C1841" w:rsidP="005C1841">
      <w:pPr>
        <w:pStyle w:val="Sansinterligne"/>
        <w:rPr>
          <w:rFonts w:ascii="Garamond" w:hAnsi="Garamond"/>
          <w:sz w:val="20"/>
          <w:szCs w:val="20"/>
          <w:lang w:eastAsia="fr-FR"/>
        </w:rPr>
      </w:pPr>
      <w:hyperlink r:id="rId1714" w:anchor="cite_ref-23" w:history="1">
        <w:r w:rsidRPr="005C1841">
          <w:rPr>
            <w:rFonts w:ascii="Garamond" w:hAnsi="Garamond"/>
            <w:color w:val="0000FF"/>
            <w:sz w:val="20"/>
            <w:szCs w:val="20"/>
            <w:u w:val="single"/>
            <w:lang w:eastAsia="fr-FR"/>
          </w:rPr>
          <w:t>↑</w:t>
        </w:r>
      </w:hyperlink>
      <w:r w:rsidRPr="005C1841">
        <w:rPr>
          <w:rFonts w:ascii="Garamond" w:hAnsi="Garamond"/>
          <w:sz w:val="20"/>
          <w:szCs w:val="20"/>
          <w:lang w:eastAsia="fr-FR"/>
        </w:rPr>
        <w:t xml:space="preserve"> </w:t>
      </w:r>
      <w:hyperlink r:id="rId1715" w:tooltip="w:Protoplasma" w:history="1">
        <w:r w:rsidRPr="005C1841">
          <w:rPr>
            <w:rFonts w:ascii="Garamond" w:hAnsi="Garamond"/>
            <w:color w:val="0000FF"/>
            <w:sz w:val="20"/>
            <w:szCs w:val="20"/>
            <w:u w:val="single"/>
            <w:lang w:eastAsia="fr-FR"/>
          </w:rPr>
          <w:t>Protoplasma</w:t>
        </w:r>
      </w:hyperlink>
      <w:r w:rsidRPr="005C1841">
        <w:rPr>
          <w:rFonts w:ascii="Garamond" w:hAnsi="Garamond"/>
          <w:sz w:val="20"/>
          <w:szCs w:val="20"/>
          <w:lang w:eastAsia="fr-FR"/>
        </w:rPr>
        <w:t>: veraltete Bezeichnung für die Flüssigkeit im Zellinneren</w:t>
      </w:r>
    </w:p>
    <w:p w:rsidR="005C1841" w:rsidRPr="005C1841" w:rsidRDefault="005C1841" w:rsidP="005C1841">
      <w:pPr>
        <w:pStyle w:val="Sansinterligne"/>
        <w:rPr>
          <w:rFonts w:ascii="Garamond" w:hAnsi="Garamond"/>
          <w:sz w:val="20"/>
          <w:szCs w:val="20"/>
          <w:lang w:eastAsia="fr-FR"/>
        </w:rPr>
      </w:pPr>
    </w:p>
    <w:p w:rsidR="005C1841" w:rsidRPr="005C1841" w:rsidRDefault="005C1841" w:rsidP="005C1841">
      <w:pPr>
        <w:pStyle w:val="Sansinterligne"/>
        <w:rPr>
          <w:rFonts w:ascii="Garamond" w:hAnsi="Garamond"/>
          <w:sz w:val="20"/>
          <w:szCs w:val="20"/>
        </w:rPr>
      </w:pPr>
      <w:r w:rsidRPr="005C1841">
        <w:rPr>
          <w:rFonts w:ascii="Garamond" w:hAnsi="Garamond"/>
          <w:sz w:val="20"/>
          <w:szCs w:val="20"/>
        </w:rPr>
        <w:br w:type="page"/>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lastRenderedPageBreak/>
        <w:t>II. Frau Emmy v. N ..., 40 Jahre, aus Livland</w:t>
      </w:r>
      <w:r w:rsidRPr="00C820A0">
        <w:rPr>
          <w:rFonts w:ascii="Garamond" w:hAnsi="Garamond"/>
          <w:sz w:val="20"/>
          <w:szCs w:val="20"/>
          <w:lang w:val="en-US" w:eastAsia="fr-FR"/>
        </w:rPr>
        <w:t xml:space="preserve"> (Freud).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Am 1. </w:t>
      </w:r>
      <w:r w:rsidRPr="00C820A0">
        <w:rPr>
          <w:rFonts w:ascii="Garamond" w:hAnsi="Garamond"/>
          <w:i/>
          <w:iCs/>
          <w:sz w:val="20"/>
          <w:szCs w:val="20"/>
          <w:lang w:val="en-US" w:eastAsia="fr-FR"/>
        </w:rPr>
        <w:t>Mai</w:t>
      </w:r>
      <w:r w:rsidRPr="00C820A0">
        <w:rPr>
          <w:rFonts w:ascii="Garamond" w:hAnsi="Garamond"/>
          <w:sz w:val="20"/>
          <w:szCs w:val="20"/>
          <w:lang w:val="en-US" w:eastAsia="fr-FR"/>
        </w:rPr>
        <w:t xml:space="preserve"> 1889 wurde ich der Arzt einer etwa 40jährigen Dame, deren Leiden wie deren Persönlichkeit mir soviel Interesse einflössten, dass ich ihr einen grossen Theil meiner Zeit widmete und mir ihre Herstellung </w:t>
      </w:r>
      <w:r w:rsidRPr="00C820A0">
        <w:rPr>
          <w:rFonts w:ascii="Garamond" w:hAnsi="Garamond"/>
          <w:color w:val="666666"/>
          <w:sz w:val="20"/>
          <w:szCs w:val="20"/>
          <w:lang w:val="en-US" w:eastAsia="fr-FR"/>
        </w:rPr>
        <w:t>[</w:t>
      </w:r>
      <w:hyperlink r:id="rId1716" w:tooltip="Seite:De Studien über Hysterie 038.jpg" w:history="1">
        <w:r w:rsidRPr="00C820A0">
          <w:rPr>
            <w:rFonts w:ascii="Garamond" w:hAnsi="Garamond"/>
            <w:b/>
            <w:bCs/>
            <w:color w:val="0000FF"/>
            <w:sz w:val="20"/>
            <w:szCs w:val="20"/>
            <w:u w:val="single"/>
            <w:lang w:val="en-US" w:eastAsia="fr-FR"/>
          </w:rPr>
          <w:t>38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zur Aufgabe machte. Sie war Hysterica, mit grösster Leichtigkeit in Somnambulismus zu versetzen, und als ich dies merkte, entschloss ich mich, das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´sche Verfahren der Ausforschung in der Hypnose bei ihr anzuwenden, das ich aus den Mittheilungen </w:t>
      </w:r>
      <w:r w:rsidRPr="00C820A0">
        <w:rPr>
          <w:rFonts w:ascii="Garamond" w:hAnsi="Garamond"/>
          <w:i/>
          <w:iCs/>
          <w:sz w:val="20"/>
          <w:szCs w:val="20"/>
          <w:lang w:val="en-US" w:eastAsia="fr-FR"/>
        </w:rPr>
        <w:t>Breuer's</w:t>
      </w:r>
      <w:r w:rsidRPr="00C820A0">
        <w:rPr>
          <w:rFonts w:ascii="Garamond" w:hAnsi="Garamond"/>
          <w:sz w:val="20"/>
          <w:szCs w:val="20"/>
          <w:lang w:val="en-US" w:eastAsia="fr-FR"/>
        </w:rPr>
        <w:t xml:space="preserve"> über die Heilungsgeschichte seiner ersten Patientin kannte. Es war mein erster Versuch in der Handhabung dieser therapeutischen Methode, ich war noch weit davon entfernt, dieselbe zu beherrschen, und habe in der That die Analyse der Krankheitsymptome weder weit genug getrieben, noch sie genügend planmässig verfolgt. Vielleicht wird es mir am besten gelingen, den Zustand der Kranken und mein ärztliches Vorgehen anschaulich zu machen, wenn ich die Aufzeichnungen wiedergebe, die ich mir in den ersten 3 Wochen der Behandlung allabendlich gemacht habe. Wo mir nachherige Erfahrung ein besseres Verständniss ermöglicht hat, werde ich es in Noten und Zwischenbemerkungen zum Ausdruck bringen: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1. </w:t>
      </w:r>
      <w:r w:rsidRPr="00C820A0">
        <w:rPr>
          <w:rFonts w:ascii="Garamond" w:hAnsi="Garamond"/>
          <w:i/>
          <w:iCs/>
          <w:sz w:val="20"/>
          <w:szCs w:val="20"/>
          <w:lang w:val="en-US" w:eastAsia="fr-FR"/>
        </w:rPr>
        <w:t>Mai</w:t>
      </w:r>
      <w:r w:rsidRPr="00C820A0">
        <w:rPr>
          <w:rFonts w:ascii="Garamond" w:hAnsi="Garamond"/>
          <w:sz w:val="20"/>
          <w:szCs w:val="20"/>
          <w:lang w:val="en-US" w:eastAsia="fr-FR"/>
        </w:rPr>
        <w:t xml:space="preserve"> 1889. Ich finde eine noch jugendlich aussehende Frau mit feinen, charakteristisch geschnittenen Gesichtszügen auf dem Divan liegend, eine Lederrolle unter dem Nacken. Ihr Gesicht hat einen gespannten, schmerzhaften Ausdruck, die Augen sind zusammengekniffen, der Blick gesenkt, die Stirne stark gerunzelt, die Nasolabialfalten vertieft. Sie spricht wie mühselig, mit leiser Stimme, gelegentlich durch spastische Sprachstockung bis zum Stottern unterbrochen. Dabei hält sie die Finger in einander verschränkt, die eine unaufhörliche Athetoseartige Unruhe zeigen. Häufige tickartige Zuckungen im Gesicht und an den Halsmuskeln, wobei einzelne, besonders der r. Sternocleidomastoideus plastisch vorspringen. Ferner unterbricht sie sich häufig in der Rede, um ein eigenthümliches Schnalzen hervorzubringen, das ich nicht nachahmen kann.</w:t>
      </w:r>
      <w:hyperlink r:id="rId1717" w:anchor="cite_note-0" w:history="1">
        <w:r w:rsidRPr="00C820A0">
          <w:rPr>
            <w:rFonts w:ascii="Garamond" w:hAnsi="Garamond"/>
            <w:color w:val="0000FF"/>
            <w:sz w:val="20"/>
            <w:szCs w:val="20"/>
            <w:u w:val="single"/>
            <w:vertAlign w:val="superscript"/>
            <w:lang w:val="en-US" w:eastAsia="fr-FR"/>
          </w:rPr>
          <w:t>[1]</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Was sie spricht, ist durchaus zusammenhängend und bezeugt offenbar eine nicht gewöhnliche Bildung und Intelligenz. Umso befremdender ist es, dass sie alle paar Minuten plötzlich abbricht, das Gesicht zum Ausdruck des Grausens und Ekels verzieht, die Hand mit gespreizten und gekrümmten Fingern gegen mich ausstreckt und dabei mit veränderter, angsterfüllter Stimme die Worte ruft: „Seien Sie still, – reden Sie nichts, – rühren Sie mich nicht an!“ Sie steht wahrscheinlich unter dem Eindrucke einer wiederkehrenden grauenvollen </w:t>
      </w:r>
      <w:r w:rsidRPr="00C820A0">
        <w:rPr>
          <w:rFonts w:ascii="Garamond" w:hAnsi="Garamond"/>
          <w:color w:val="666666"/>
          <w:sz w:val="20"/>
          <w:szCs w:val="20"/>
          <w:lang w:val="en-US" w:eastAsia="fr-FR"/>
        </w:rPr>
        <w:t>[</w:t>
      </w:r>
      <w:hyperlink r:id="rId1718" w:tooltip="Seite:De Studien über Hysterie 039.jpg" w:history="1">
        <w:r w:rsidRPr="00C820A0">
          <w:rPr>
            <w:rFonts w:ascii="Garamond" w:hAnsi="Garamond"/>
            <w:b/>
            <w:bCs/>
            <w:color w:val="0000FF"/>
            <w:sz w:val="20"/>
            <w:szCs w:val="20"/>
            <w:u w:val="single"/>
            <w:lang w:val="en-US" w:eastAsia="fr-FR"/>
          </w:rPr>
          <w:t>39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Hallucination und wehrt die Einmengung des Fremden mit dieser Formel ab.</w:t>
      </w:r>
      <w:hyperlink r:id="rId1719" w:anchor="cite_note-1" w:history="1">
        <w:r w:rsidRPr="00C820A0">
          <w:rPr>
            <w:rFonts w:ascii="Garamond" w:hAnsi="Garamond"/>
            <w:color w:val="0000FF"/>
            <w:sz w:val="20"/>
            <w:szCs w:val="20"/>
            <w:u w:val="single"/>
            <w:vertAlign w:val="superscript"/>
            <w:lang w:eastAsia="fr-FR"/>
          </w:rPr>
          <w:t>[2]</w:t>
        </w:r>
      </w:hyperlink>
      <w:r w:rsidRPr="00C820A0">
        <w:rPr>
          <w:rFonts w:ascii="Garamond" w:hAnsi="Garamond"/>
          <w:sz w:val="20"/>
          <w:szCs w:val="20"/>
          <w:lang w:eastAsia="fr-FR"/>
        </w:rPr>
        <w:t xml:space="preserve"> Diese Einschaltung schliesst dann ebenso plötzlich ab, und die Kranke setzt ihre Rede fort, ohne die eben vorhandene Erregung weiterzuspinnen, ohne ihr Benehmen zu erklären oder zu entschuldigen, also wahrscheinlich ohne die Unterbrechung selbst bemerkt zu haben.</w:t>
      </w:r>
      <w:hyperlink r:id="rId1720" w:anchor="cite_note-2" w:history="1">
        <w:r w:rsidRPr="00C820A0">
          <w:rPr>
            <w:rFonts w:ascii="Garamond" w:hAnsi="Garamond"/>
            <w:color w:val="0000FF"/>
            <w:sz w:val="20"/>
            <w:szCs w:val="20"/>
            <w:u w:val="single"/>
            <w:vertAlign w:val="superscript"/>
            <w:lang w:val="en-US" w:eastAsia="fr-FR"/>
          </w:rPr>
          <w:t>[3]</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Von ihren Verhältnissen erfahre ich Folgendes: Ihre Familie stammt aus Mitteldeutschland, ist seit zwei Generationen in den russischen Ostseeprovinzen ansässig und dort reich begütert. Sie waren 14 Kinder, sie selbst das 13. davon, es sind nur noch 4 am Leben. Sie wurde von einer überthatkräftigen, strengen Mutter sorgfältig, aber mit viel Zwang erzogen. Mit 23 Jahren heiratete sie einen hochbegabten und tüchtigen Mann, der sich als Grossindustrieller eine hervorragende Stellung erworben hatte, aber viel älter war als sie. Er starb nach kurzer Ehe plötzlich am Herzschlag. Dieses Ereigniss sowie die Erziehung ihrer beiden jetzt 16 und 14 Jahre alten Mädchen, die vielfach kränklich waren und an nervösen Störungen litten, bezeichnet sie als die Ursachen ihrer Krankheit. Seit dem Tode ihres Mannes vor 14 Jahren ist sie in schwankender Intensität immer krank gewesen. Vor 4 Jahren hat eine Massagecur in Verbindung mit elektrischen Bädern ihr vorübergehend Erleichterung gebracht, sonst blieben alle ihre Bemühungen, ihre Gesundheit wieder zu gewinnen, erfolglos. Sie ist viel gereist und hat zahlreiche und lebhafte Interessen. Gegenwärtig bewohnt sie einen Herrensitz an der Ostsee in der Nähe einer grossen Stadt. Seit Monaten wieder schwer leidend, verstimmt und schlaflos, von Schmerzen gequält, hat sie in Abbazia vergebens Besserung gesucht, ist seit sechs Wochen in Wien, bisher in Behandlung eines hervorragenden Arztes.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Meinen Vorschlag, sich von den beiden Mädchen, die ihre Gouvernante haben, zu trennen und in ein Sanatorium einzutreten, in dem ich sie täglich sehen kann, nimmt sie ohne ein Wort der Einwendung an.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721" w:tooltip="Seite:De Studien über Hysterie 040.jpg" w:history="1">
        <w:r w:rsidRPr="00C820A0">
          <w:rPr>
            <w:rFonts w:ascii="Garamond" w:hAnsi="Garamond"/>
            <w:b/>
            <w:bCs/>
            <w:color w:val="0000FF"/>
            <w:sz w:val="20"/>
            <w:szCs w:val="20"/>
            <w:u w:val="single"/>
            <w:lang w:val="en-US" w:eastAsia="fr-FR"/>
          </w:rPr>
          <w:t>40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Am 2. Mai abends besuche ich sie im Sanatorium. Es fällt mir auf, dass sie jedesmal so heftig zusammenschrickt, sobald die Thüre unerwartet aufgeht. Ich veranlasse daher, dass die besuchenden Hausärzte und das Wartepersonale kräftig anklopfen und nicht eher eintreten, als bis sie „Herein“ gerufen hat. Trotzdem grinst und zuckt sie noch jedesmal, wenn jemand eintritt.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Ihre Hauptklage bezieht sich heute auf Kälteempfindung und Schmerzen im rechten Bein, die vom Rücken oberhalb des Darmbeinkammes ausgehen. Ich ordne warme Bäder an und werde sie zweimal täglich am ganzen Körper massiren.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Sie ist ausgezeichnet zur Hypnose geeignet. Ich halte ihr einen Finger vor, rufe ihr zu: Schlafen Sie! und sie sinkt mit dem Ausdruck von Betäubung und Verworrenheit zurück. Ich suggerire Schlaf, Besserung aller Symptome u. dgl., was sie mit geschlossenen Augen, aber unverkennbar gespannter Aufmerksamkeit anhört, und wobei ihre Miene sich allmählich glättet und einen friedlichen Ausdruck annimmt. Nach dieser ersten Hypnose bleibt eine dunkle Erinnerung an meine Worte; schon nach der zweiten tritt vollkommener Somnambulismus (Amnesie) ein. Ich hatte ihr angekündigt, dass ich sie hypnotisiren würde, worauf sie ohne Widerstand einging. Sie ist noch nie hypnotisirt worden, ich darf aber annehmen, dass sie über Hypnose gelesen hat, wiewohl ich nicht weiss, welche Vorstellung über den hypnotischen Zustand sie mitbrachte.</w:t>
      </w:r>
      <w:hyperlink r:id="rId1722" w:anchor="cite_note-3" w:history="1">
        <w:r w:rsidRPr="00C820A0">
          <w:rPr>
            <w:rFonts w:ascii="Garamond" w:hAnsi="Garamond"/>
            <w:color w:val="0000FF"/>
            <w:sz w:val="20"/>
            <w:szCs w:val="20"/>
            <w:u w:val="single"/>
            <w:vertAlign w:val="superscript"/>
            <w:lang w:val="en-US" w:eastAsia="fr-FR"/>
          </w:rPr>
          <w:t>[4]</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Behandlung mit warmen Bädern, zweimaliger Massage und hypnotischer Suggestion wurde in den nächsten Tagen fortgesetzt. Sie schlief gut, erholte sich zusehends, brachte den grösseren Theil des Tages in ruhiger Krankenlage zu. Es war ihr nicht untersagt, ihre Kinder zu sehen, zu lesen und ihre Correspondenz zu besorgen.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Am 8. Mai morgens unterhält sie mich, anscheinend ganz normal, von gräulichen Thiergeschichten. Sie hat in der Frankfurter Zeitung, die vor ihr auf dem Tische liegt, gelesen, dass ein Lehrling einen </w:t>
      </w:r>
      <w:r w:rsidRPr="00C820A0">
        <w:rPr>
          <w:rFonts w:ascii="Garamond" w:hAnsi="Garamond"/>
          <w:color w:val="666666"/>
          <w:sz w:val="20"/>
          <w:szCs w:val="20"/>
          <w:lang w:val="en-US" w:eastAsia="fr-FR"/>
        </w:rPr>
        <w:t>[</w:t>
      </w:r>
      <w:hyperlink r:id="rId1723" w:tooltip="Seite:De Studien über Hysterie 041.jpg" w:history="1">
        <w:r w:rsidRPr="00C820A0">
          <w:rPr>
            <w:rFonts w:ascii="Garamond" w:hAnsi="Garamond"/>
            <w:b/>
            <w:bCs/>
            <w:color w:val="0000FF"/>
            <w:sz w:val="20"/>
            <w:szCs w:val="20"/>
            <w:u w:val="single"/>
            <w:lang w:val="en-US" w:eastAsia="fr-FR"/>
          </w:rPr>
          <w:t>41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Knaben gebunden und ihm eine weisse Maus in den Mund gesteckt; der sei vor Schreck darüber gestorben. Dr. K. ... habe ihr erzählt, dass er eine ganze Kiste voll weisser Ratten nach Tiflis geschickt. Dabei treten alle Zeichen des Grausens höchst plastisch hervor. Sie krampft mehrmals nach einander mit der Hand. – „Seien Sie still, reden Sie nichts, rühren Sie mich nicht an! – Wenn so ein Thier im Bett wäre! (Grausen.) Denken Sie sich, wenn das ausgepackt wird! Es ist eine todte Ratte darunter, eine an-ge-nagte!“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der Hypnose bemühe ich mich, diese Thierhallucinationen zu verscheuchen. Während sie schläft, nehme ich die Frankfurter Zeitung zur Hand; ich finde in der That die Geschichte der Misshandlung eines Lehrbuben, aber ohne Beimengung von Mäusen oder Ratten. Das hat sie also während des Lesens hinzudelirirt.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Am Abend erzähle ich ihr von unserer Unterhaltung über die weissen Mäuse. Sie weiss nichts davon, ist sehr erstaunt und lacht herzlich.</w:t>
      </w:r>
      <w:hyperlink r:id="rId1724" w:anchor="cite_note-4" w:history="1">
        <w:r w:rsidRPr="00C820A0">
          <w:rPr>
            <w:rFonts w:ascii="Garamond" w:hAnsi="Garamond"/>
            <w:color w:val="0000FF"/>
            <w:sz w:val="20"/>
            <w:szCs w:val="20"/>
            <w:u w:val="single"/>
            <w:vertAlign w:val="superscript"/>
            <w:lang w:val="en-US" w:eastAsia="fr-FR"/>
          </w:rPr>
          <w:t>[5]</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Am Nachmittage war ein sogenannter „Genickkrampf“</w:t>
      </w:r>
      <w:hyperlink r:id="rId1725" w:anchor="cite_note-5" w:history="1">
        <w:r w:rsidRPr="00C820A0">
          <w:rPr>
            <w:rFonts w:ascii="Garamond" w:hAnsi="Garamond"/>
            <w:color w:val="0000FF"/>
            <w:sz w:val="20"/>
            <w:szCs w:val="20"/>
            <w:u w:val="single"/>
            <w:vertAlign w:val="superscript"/>
            <w:lang w:val="en-US" w:eastAsia="fr-FR"/>
          </w:rPr>
          <w:t>[6]</w:t>
        </w:r>
      </w:hyperlink>
      <w:r w:rsidRPr="00C820A0">
        <w:rPr>
          <w:rFonts w:ascii="Garamond" w:hAnsi="Garamond"/>
          <w:sz w:val="20"/>
          <w:szCs w:val="20"/>
          <w:lang w:val="en-US" w:eastAsia="fr-FR"/>
        </w:rPr>
        <w:t xml:space="preserve"> gewesen, aber „nur kurz, von zweistündiger Dauer“.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Am 8. Mai abends fordere ich sie in der Hypnose zum Reden auf, was ihr nach einiger Anstrengung gelingt. Sie spricht leise, besinnt sich jedesmal einen Moment, ehe sie Antwort gibt. Ihre Miene verändert sich entsprechend dem Inhalt ihrer Erzählung und wird ruhig, sobald meine Suggestion dem Eindruck der Erzählung ein Ende gemacht hat. Ich stelle die Frage, warum sie so leicht erschrickt. Sie antwortet: Das sind Erinnerungen aus frühester Jugend. – Wann? – Zuerst mit 5 Jahren, als meine Geschwister so oft todte Thiere nach mir warfen, da bekam ich den ersten Ohnmachtsanfall mit Zuckungen, aber meine Tante sagte, das sei abscheulich, solche Anfälle darf man nicht haben, und da haben sie aufgehört. Dann mit 7 Jahren, als ich unvermuthet </w:t>
      </w:r>
      <w:r w:rsidRPr="00C820A0">
        <w:rPr>
          <w:rFonts w:ascii="Garamond" w:hAnsi="Garamond"/>
          <w:color w:val="666666"/>
          <w:sz w:val="20"/>
          <w:szCs w:val="20"/>
          <w:lang w:val="en-US" w:eastAsia="fr-FR"/>
        </w:rPr>
        <w:t>[</w:t>
      </w:r>
      <w:hyperlink r:id="rId1726" w:tooltip="Seite:De Studien über Hysterie 042.jpg" w:history="1">
        <w:r w:rsidRPr="00C820A0">
          <w:rPr>
            <w:rFonts w:ascii="Garamond" w:hAnsi="Garamond"/>
            <w:b/>
            <w:bCs/>
            <w:color w:val="0000FF"/>
            <w:sz w:val="20"/>
            <w:szCs w:val="20"/>
            <w:u w:val="single"/>
            <w:lang w:val="en-US" w:eastAsia="fr-FR"/>
          </w:rPr>
          <w:t>42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meine Schwester im Sarge gesehen, dann mit 8 Jahren, als mich mein Bruder so häufig durch weisse Tücher als Gespenst erschreckte, dann mit 9 Jahren, als ich die Tante im Sarge sah, und ihr – plötzlich – der Unterkiefer herunterfiel.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Reihe von traumatischen Anlässen, die mir als Antwort auf meine Frage mitgetheilt wird, warum sie so schreckhaft sei, liegt offenbar in ihrem Gedächtniss bereit; sie hätte in dem kurzen Moment von meiner Frage bis zu ihrer Beantwortung derselben die Anlässe aus zeitlich verschiedenen Perioden ihrer Jugend nicht so schnell zusammensuchen können. Am Schlusse einer jeden Theilerzählung bekommt sie allgemeine Zuckungen und zeigt ihre Miene Schreck und Grausen, nach der letzten reisst sie den Mund weit auf und schnappt nach Athem. Die Worte, welche den schreckhaften Inhalt des Erlebnisses mittheilen, werden mühselig, keuchend hervorgestosen; nachher beruhigen sich ihre Züge.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Auf meine Frage bestätigt sie, dass sie während der Erzählung die betreffenden Scenen plastisch und in natürlichen Farben vor sich sehe. Sie denke an diese Erlebnisse überhaupt sehr häufig und habe auch in den letzten Tagen wieder daran gedacht. Sowie sie daran denke, sehe sie die Scene jedesmal vor sich mit aller Lebhaftigkeit der Realität.</w:t>
      </w:r>
      <w:hyperlink r:id="rId1727" w:anchor="cite_note-6" w:history="1">
        <w:r w:rsidRPr="00C820A0">
          <w:rPr>
            <w:rFonts w:ascii="Garamond" w:hAnsi="Garamond"/>
            <w:color w:val="0000FF"/>
            <w:sz w:val="20"/>
            <w:szCs w:val="20"/>
            <w:u w:val="single"/>
            <w:vertAlign w:val="superscript"/>
            <w:lang w:val="en-US" w:eastAsia="fr-FR"/>
          </w:rPr>
          <w:t>[7]</w:t>
        </w:r>
      </w:hyperlink>
      <w:r w:rsidRPr="00C820A0">
        <w:rPr>
          <w:rFonts w:ascii="Garamond" w:hAnsi="Garamond"/>
          <w:sz w:val="20"/>
          <w:szCs w:val="20"/>
          <w:lang w:val="en-US" w:eastAsia="fr-FR"/>
        </w:rPr>
        <w:t xml:space="preserve"> Ich verstehe jetzt, warum sie mich so häufig von Thierscenen und Leichenbildern unterhält. Meine Therapie besteht darin, diese Bilder wegzuwischen, so dass sie dieselben nicht wieder vor Augen bekommen kann. Zur Unterstützung der Suggestion streiche ich ihr mehrmals über die Augen.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9. </w:t>
      </w:r>
      <w:r w:rsidRPr="00C820A0">
        <w:rPr>
          <w:rFonts w:ascii="Garamond" w:hAnsi="Garamond"/>
          <w:i/>
          <w:iCs/>
          <w:sz w:val="20"/>
          <w:szCs w:val="20"/>
          <w:lang w:val="en-US" w:eastAsia="fr-FR"/>
        </w:rPr>
        <w:t>Mai abends</w:t>
      </w:r>
      <w:r w:rsidRPr="00C820A0">
        <w:rPr>
          <w:rFonts w:ascii="Garamond" w:hAnsi="Garamond"/>
          <w:sz w:val="20"/>
          <w:szCs w:val="20"/>
          <w:lang w:val="en-US" w:eastAsia="fr-FR"/>
        </w:rPr>
        <w:t>. Sie hat ohne erneuerte Suggestion gut geschlafen, aber morgens Magenschmerzen gehabt. Sie bekam dieselben schon gestern im Garten, wo sie zu lange mit ihren Kindern verweilte. Sie gestattet, dass ich den Besuch der Kinder auf 2½ Stunden einschränke; vor wenigen Tagen noch hatte sie sich Vorwürfe gemacht, dass sie die Kinder allein lasse. Ich finde sie heute etwas erregt, mit krauser Stirne, Schnalzen und Sprachstocken. Während der Massage erzählt sie uns, dass ihr die Gouvernante der Kinder einen culturhistorischen Atlas gebracht, und dass sie über Bilder darin, welche als Thiere verkleidete Indianer darstellen, so heftig erschrocken sei. „Denken Sie, wenn die lebendig würden!“ (Grausen.)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der Hypnose frage ich, warum sie sich vor diesen Bildern so geschreckt, da sie sich doch vor Thieren nicht mehr fürchte? Sie </w:t>
      </w:r>
      <w:r w:rsidRPr="00C820A0">
        <w:rPr>
          <w:rFonts w:ascii="Garamond" w:hAnsi="Garamond"/>
          <w:color w:val="666666"/>
          <w:sz w:val="20"/>
          <w:szCs w:val="20"/>
          <w:lang w:val="en-US" w:eastAsia="fr-FR"/>
        </w:rPr>
        <w:t>[</w:t>
      </w:r>
      <w:hyperlink r:id="rId1728" w:tooltip="Seite:De Studien über Hysterie 043.jpg" w:history="1">
        <w:r w:rsidRPr="00C820A0">
          <w:rPr>
            <w:rFonts w:ascii="Garamond" w:hAnsi="Garamond"/>
            <w:b/>
            <w:bCs/>
            <w:color w:val="0000FF"/>
            <w:sz w:val="20"/>
            <w:szCs w:val="20"/>
            <w:u w:val="single"/>
            <w:lang w:val="en-US" w:eastAsia="fr-FR"/>
          </w:rPr>
          <w:t>43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hätten sie an Visionen erinnert, die sie beim Tode ihres Bruders gehabt. (Mit 19 Jahren.) Ich spare diese Erinnerung für später auf. Ferner frage ich, ob sie immer mit diesem Stottern gesprochen und seit wann sie den Tick (das eigenthümliche Schnalzen) habe.</w:t>
      </w:r>
      <w:hyperlink r:id="rId1729" w:anchor="cite_note-7" w:history="1">
        <w:r w:rsidRPr="00C820A0">
          <w:rPr>
            <w:rFonts w:ascii="Garamond" w:hAnsi="Garamond"/>
            <w:color w:val="0000FF"/>
            <w:sz w:val="20"/>
            <w:szCs w:val="20"/>
            <w:u w:val="single"/>
            <w:vertAlign w:val="superscript"/>
            <w:lang w:eastAsia="fr-FR"/>
          </w:rPr>
          <w:t>[8]</w:t>
        </w:r>
      </w:hyperlink>
      <w:r w:rsidRPr="00C820A0">
        <w:rPr>
          <w:rFonts w:ascii="Garamond" w:hAnsi="Garamond"/>
          <w:sz w:val="20"/>
          <w:szCs w:val="20"/>
          <w:lang w:eastAsia="fr-FR"/>
        </w:rPr>
        <w:t xml:space="preserve"> Das Stottern sei eine Krankheitserscheinung, und den Tick habe sie seit 5 Jahren, seitdem sie einmal beim Bett der sehr kranken jüngeren Tochter sass und sich ganz </w:t>
      </w:r>
      <w:r w:rsidRPr="00C820A0">
        <w:rPr>
          <w:rFonts w:ascii="Garamond" w:hAnsi="Garamond"/>
          <w:i/>
          <w:iCs/>
          <w:sz w:val="20"/>
          <w:szCs w:val="20"/>
          <w:lang w:eastAsia="fr-FR"/>
        </w:rPr>
        <w:t>ruhig</w:t>
      </w:r>
      <w:r w:rsidRPr="00C820A0">
        <w:rPr>
          <w:rFonts w:ascii="Garamond" w:hAnsi="Garamond"/>
          <w:sz w:val="20"/>
          <w:szCs w:val="20"/>
          <w:lang w:eastAsia="fr-FR"/>
        </w:rPr>
        <w:t xml:space="preserve"> verhalten wollte. – Ich versuche die Bedeutung dieser Erinnerung abzuschwächen, der Tochter sei ja nichts geschehen u. s. w. Sie: es komme jedesmal wieder, wenn sie sich ängstige oder erschrecke. – Ich trage ihr auf, sich vor den Indianerbildern nicht zu fürchten, vielmehr herzlich darüber zu lachen und mich selbst darauf aufmerksam zu machen. So geschieht es auch nach dem Erwachen; sie sucht das Buch, fragt, ob ich es eigentlich schon gesehen habe, schlägt mir das Blatt auf und lacht aus vollem Halse über die grotesken Figuren, ohne jede Angst, mit ganz glatten Zügen. </w:t>
      </w:r>
      <w:r w:rsidRPr="00C820A0">
        <w:rPr>
          <w:rFonts w:ascii="Garamond" w:hAnsi="Garamond"/>
          <w:sz w:val="20"/>
          <w:szCs w:val="20"/>
          <w:lang w:val="en-US" w:eastAsia="fr-FR"/>
        </w:rPr>
        <w:t xml:space="preserve">Dr.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kommt plötzlich zu Besuch in Begleitung des</w:t>
      </w:r>
      <w:hyperlink r:id="rId1730" w:anchor="cite_note-8" w:history="1">
        <w:r w:rsidRPr="00C820A0">
          <w:rPr>
            <w:rFonts w:ascii="Garamond" w:hAnsi="Garamond"/>
            <w:color w:val="0000FF"/>
            <w:sz w:val="20"/>
            <w:szCs w:val="20"/>
            <w:u w:val="single"/>
            <w:vertAlign w:val="superscript"/>
            <w:lang w:val="en-US" w:eastAsia="fr-FR"/>
          </w:rPr>
          <w:t>[WS 1]</w:t>
        </w:r>
      </w:hyperlink>
      <w:r w:rsidRPr="00C820A0">
        <w:rPr>
          <w:rFonts w:ascii="Garamond" w:hAnsi="Garamond"/>
          <w:sz w:val="20"/>
          <w:szCs w:val="20"/>
          <w:lang w:val="en-US" w:eastAsia="fr-FR"/>
        </w:rPr>
        <w:t xml:space="preserve"> Hausarztes. Sie erschrickt und schnalzt, so dass die Beiden uns sehr bald verlassen. Sie erklärt ihre Erregung dadurch, dass sie das jedesmalige Miterscheinen des Hausarztes unangenehm berühre.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hatte in der Hypnose ferner den Magenschmerz durch Streichen weggenommen und gesagt, sie werde nach dem Essen die Wiederkehr des Schmerzes zwar erwarten, er aber doch ausbleiben.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Abends</w:t>
      </w:r>
      <w:r w:rsidRPr="00C820A0">
        <w:rPr>
          <w:rFonts w:ascii="Garamond" w:hAnsi="Garamond"/>
          <w:sz w:val="20"/>
          <w:szCs w:val="20"/>
          <w:lang w:val="en-US" w:eastAsia="fr-FR"/>
        </w:rPr>
        <w:t xml:space="preserve">. Sie ist zum erstenmal heiter und gesprächig, entwickelt einen Humor, den ich bei dieser ernsten Frau nicht gesucht hätte, und macht sich unter anderem im Vollgefühl ihrer Besserung über die Behandlung meines ärztlichen Vorgängers lustig. Sie hätte schon lange die Absicht gehabt, sich dieser Behandlung zu entziehen, konnte aber die Form nicht finden, bis eine zufällige Bemerkung von Dr.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der sie einmal besuchte, sie auf einen Ausweg brachte. Da ich über diese Mittheilung erstaunt scheine, erschrickt sie, macht sich die heftigsten Vorwürfe, eine </w:t>
      </w:r>
      <w:r w:rsidRPr="00C820A0">
        <w:rPr>
          <w:rFonts w:ascii="Garamond" w:hAnsi="Garamond"/>
          <w:sz w:val="20"/>
          <w:szCs w:val="20"/>
          <w:lang w:val="en-US" w:eastAsia="fr-FR"/>
        </w:rPr>
        <w:lastRenderedPageBreak/>
        <w:t>Indiscretion begangen zu haben, lässt sich aber von mir anscheinend beschwichtigen. – Keine Magenschmerzen, trotzdem sie dieselben erwartet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der Hypnose frage ich nach weiteren Erlebnissen, bei denen sie nachhaltig erschrocken sei. Sie bringt eine zweite solche Reihe aus ihrer späteren Jugend ebenso prompt wie die erstere und versichert wiederum, dass sie alle diese Scenen häufig, lebhaft und in Farben vor sich sehe. Wie sie ihre Cousine ins Irrenhaus führen sah (mit </w:t>
      </w:r>
      <w:r w:rsidRPr="00C820A0">
        <w:rPr>
          <w:rFonts w:ascii="Garamond" w:hAnsi="Garamond"/>
          <w:color w:val="666666"/>
          <w:sz w:val="20"/>
          <w:szCs w:val="20"/>
          <w:lang w:val="en-US" w:eastAsia="fr-FR"/>
        </w:rPr>
        <w:t>[</w:t>
      </w:r>
      <w:hyperlink r:id="rId1731" w:tooltip="Seite:De Studien über Hysterie 044.jpg" w:history="1">
        <w:r w:rsidRPr="00C820A0">
          <w:rPr>
            <w:rFonts w:ascii="Garamond" w:hAnsi="Garamond"/>
            <w:b/>
            <w:bCs/>
            <w:color w:val="0000FF"/>
            <w:sz w:val="20"/>
            <w:szCs w:val="20"/>
            <w:u w:val="single"/>
            <w:lang w:val="en-US" w:eastAsia="fr-FR"/>
          </w:rPr>
          <w:t>44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15 Jahren); sie wollte um Hilfe rufen, konnte aber nicht und verlor die Sprache bis zum Abend dieses Tages. Da sie in ihrer wachen Unterhaltung so häufig von Irrenhäusern spricht, unterbreche ich sie und frage nach den anderen Gelegenheiten, bei denen es sich um Irre gehandelt hat. Sie erzählt, ihre Mutter war selbst einige Zeit im Irrenhaus. Sie hätten einmal eine Magd gehabt, deren Frau lange im Irrenhaus war, und die ihr Schauergeschichten zu erzählten pflegte, wie dort die Kranken an Stühle angebunden seien, gezüchtigt werden u. dgl. Dabei krampfen sich ihre Hände vor Grausen, sie sieht dies alles vor Augen. Ich bemühe mich, ihre Vorstellungen von einem Irrenhaus zu corrigiren, versichere ihr, sie werde von einer solchen Anstalt hören können, ohne eine Beziehung auf sich zu verspüren, und dabei glättet sich ihr Gesicht.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Sie fährt in der Aufzählung ihrer Schreckerinnerungen fort: Wie sie ihre Mutter, vom Schlage gerührt, auf dem Boden liegen fand (mit 15 Jahren), die dann noch 4 Jahre lebte, und wie sie mit 19 Jahren einmal nach Hause kam und die Mutter todt fand, mit verzerrtem Gesicht. Diese Erinnerungen abzuschwächen, bereitet mir natürlich grössere Schwierigkeiten, ich versichere nach längerer Auseinandersetzung, dass sie auch dieses Bild nur verschwommen und kraftlos wiedersehen wird. – Ferner wie sie mit 19 Jahren unter einem Stein, den sie aufgehoben, eine Kröte gefunden und darüber die Sprache für Stunden verloren.</w:t>
      </w:r>
      <w:hyperlink r:id="rId1732" w:anchor="cite_note-9" w:history="1">
        <w:r w:rsidRPr="00C820A0">
          <w:rPr>
            <w:rFonts w:ascii="Garamond" w:hAnsi="Garamond"/>
            <w:color w:val="0000FF"/>
            <w:sz w:val="20"/>
            <w:szCs w:val="20"/>
            <w:u w:val="single"/>
            <w:vertAlign w:val="superscript"/>
            <w:lang w:val="en-US" w:eastAsia="fr-FR"/>
          </w:rPr>
          <w:t>[9]</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überzeuge mich in dieser Hypnose, dass sie alles weiss, was in der vorigen Hypnose vorgekommen, während sie im Wachen nichts davon weiss.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Am 10. </w:t>
      </w:r>
      <w:r w:rsidRPr="00C820A0">
        <w:rPr>
          <w:rFonts w:ascii="Garamond" w:hAnsi="Garamond"/>
          <w:i/>
          <w:iCs/>
          <w:sz w:val="20"/>
          <w:szCs w:val="20"/>
          <w:lang w:val="en-US" w:eastAsia="fr-FR"/>
        </w:rPr>
        <w:t>Mai</w:t>
      </w:r>
      <w:r w:rsidRPr="00C820A0">
        <w:rPr>
          <w:rFonts w:ascii="Garamond" w:hAnsi="Garamond"/>
          <w:sz w:val="20"/>
          <w:szCs w:val="20"/>
          <w:lang w:val="en-US" w:eastAsia="fr-FR"/>
        </w:rPr>
        <w:t xml:space="preserve"> morgens: Sie hat heute zum erstenmal anstatt eines warmen Bades ein Kleienbad genommen. Ich finde sie mit verdriesslichem, krausem Gesicht, die Hände in einen Shawl eingehüllt, über Kälte und Schmerzen klagend. Befragt, was ihr sei, erzählt sie, sie habe in der zu kurzen Wanne unbequem gesessen und davon Schmerzen bekommen. Während der Massage beginnt sie, dass sie sich doch wegen des gestrigen Verrathes an Dr.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kränke; ich beschwichtige sie durch die fromme Lüge, dass ich von Anfang an darum wusste, und damit ist ihre Aufregung (Schnalzen, Gesichtscontractur) behoben. So macht sich jedesmal schon während der Massage mein Einfluss geltend, sie wird ruhiger und klarer und findet auch ohne hypnotisches Befragen die Gründe ihrer jedesmaligen Verstimmung. Auch das Gespräch, das sie während des Massirens mit mir führt, </w:t>
      </w:r>
      <w:r w:rsidRPr="00C820A0">
        <w:rPr>
          <w:rFonts w:ascii="Garamond" w:hAnsi="Garamond"/>
          <w:color w:val="666666"/>
          <w:sz w:val="20"/>
          <w:szCs w:val="20"/>
          <w:lang w:val="en-US" w:eastAsia="fr-FR"/>
        </w:rPr>
        <w:t>[</w:t>
      </w:r>
      <w:hyperlink r:id="rId1733" w:tooltip="Seite:De Studien über Hysterie 045.jpg" w:history="1">
        <w:r w:rsidRPr="00C820A0">
          <w:rPr>
            <w:rFonts w:ascii="Garamond" w:hAnsi="Garamond"/>
            <w:b/>
            <w:bCs/>
            <w:color w:val="0000FF"/>
            <w:sz w:val="20"/>
            <w:szCs w:val="20"/>
            <w:u w:val="single"/>
            <w:lang w:val="en-US" w:eastAsia="fr-FR"/>
          </w:rPr>
          <w:t>45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ist nicht so absichtslos, als es den Anschein hat; es enthält vielmehr die ziemlich vollständige Reproduction der Erinnerungen und neuen Eindrücke, die sie seit unserem letzten Gespräch beeinflusst haben, und läuft oft ganz unerwartet auf pathogene Reminiscenzen aus, die sie sich unaufgefordert abspricht. Es ist, als hätte sie sich mein Verfahren zu eigen gemacht und benützte die anscheinend ungezwungene und vom Zufall geleitete Conversation zur Ergänzung der Hypnose. So kommt sie z. B. heute auf ihre Familie zu reden und gelangt auf allerlei Umwegen zur Geschichte eines Cousins, der ein beschränkter Sonderling war und dem seine Eltern sämmtliche Zähne auf einem Sitze ziehen liessen. Diese Erzählung begleitet sie mit den Geberden des Grausens und mit mehrfacher Wiederholung ihrer Schutzformel (Seien sie still! – Reden Sie nichts! – Rühren Sie mich nicht an!). Darauf wird ihre Miene glatt, und sie ist heiter. So wird ihr Benehmen während des Wachens doch durch die Erfahrungen geleitet, die sie im Somnambulismus gemacht hat, von denen sie im Wachen nichts zu wissen glaubt.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der Hypnose wiederhole ich die Frage, was sie verstimmt hat, und erhalte dieselben Antworten, aber in umgekehrter Reihenfolge: 1. ihre Schwatzhaftigkeit von gestern, 2. die Schmerzen vom unbequemen Sitzen im Bade. – Ich frage heute, was die Redensart: Seien Sie still etc. bedeutet. Sie erklärt, wenn sie ängstliche Gedanken habe, fürchte sie, in ihrem Gedankengange unterbrochen zu werden, weil sich dann alles verwirre und noch ärger sei. Das „Seien Sie still“ beziehe sich darauf, dass die Thiergestalten, die ihr in schlechten Zuständen erscheinen, in Bewegung gerathen und auf sie losgehen, wenn jemand vor ihr eine Bewegung mache; endlich die Mahnung; „Rühren Sie mich nicht an“ komme von folgenden Erlebnissen: Wie ihr Bruder vom vielen Morphin so krank war und so grässliche Anfälle hatte (mit 19 Jahren) habe er sie oft plötzlich angepackt; dann sei einmal ein Bekannter in ihrem Hause plötzlich wahnsinnig geworden und habe sie am Arme gefasst; (ein dritter ähnlicher Fall, an den sie sich nicht genauer besinnt) und endlich, wie ihre Kleine so krank gewesen (mit 28 Jahren), habe sie sie im Delirium so heftig gepackt, dass sie fast erstickt wäre. Diese 4 Fälle hat sie – trotz der grossen Zeitdifferenzen – in einem Satz und so rasch hinter einander erzählt, als ob sie ein einzelnes Ereigniss in 4 Acten bilden würden. Alle ihre Mittheilungen solcher gruppirter Traumen beginnen übrigens mit „Wie“ und die einzelnen Partialtraumen sind durch „und“ an einander gereiht. </w:t>
      </w:r>
      <w:r w:rsidRPr="00C820A0">
        <w:rPr>
          <w:rFonts w:ascii="Garamond" w:hAnsi="Garamond"/>
          <w:color w:val="666666"/>
          <w:sz w:val="20"/>
          <w:szCs w:val="20"/>
          <w:lang w:val="en-US" w:eastAsia="fr-FR"/>
        </w:rPr>
        <w:t>[</w:t>
      </w:r>
      <w:hyperlink r:id="rId1734" w:tooltip="Seite:De Studien über Hysterie 046.jpg" w:history="1">
        <w:r w:rsidRPr="00C820A0">
          <w:rPr>
            <w:rFonts w:ascii="Garamond" w:hAnsi="Garamond"/>
            <w:b/>
            <w:bCs/>
            <w:color w:val="0000FF"/>
            <w:sz w:val="20"/>
            <w:szCs w:val="20"/>
            <w:u w:val="single"/>
            <w:lang w:val="en-US" w:eastAsia="fr-FR"/>
          </w:rPr>
          <w:t>46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Da ich merke, dass die Schutzformel dazu bestimmt ist, sie vor der Wiederkehr ähnlicher Erlebnisse zu bewahren, benehme ich ihr diese Furcht durch Suggestion, und ich habe wirklich die Formel nicht wieder von ihr gehört.</w:t>
      </w:r>
    </w:p>
    <w:p w:rsidR="005C1841" w:rsidRPr="00C820A0" w:rsidRDefault="005C1841" w:rsidP="005C1841">
      <w:pPr>
        <w:pStyle w:val="Sansinterligne"/>
        <w:rPr>
          <w:rFonts w:ascii="Garamond" w:hAnsi="Garamond"/>
          <w:sz w:val="20"/>
          <w:szCs w:val="20"/>
          <w:lang w:eastAsia="fr-FR"/>
        </w:rPr>
      </w:pPr>
      <w:r w:rsidRPr="00C820A0">
        <w:rPr>
          <w:rFonts w:ascii="Garamond" w:hAnsi="Garamond"/>
          <w:i/>
          <w:iCs/>
          <w:sz w:val="20"/>
          <w:szCs w:val="20"/>
          <w:lang w:val="en-US" w:eastAsia="fr-FR"/>
        </w:rPr>
        <w:t>Abends</w:t>
      </w:r>
      <w:r w:rsidRPr="00C820A0">
        <w:rPr>
          <w:rFonts w:ascii="Garamond" w:hAnsi="Garamond"/>
          <w:sz w:val="20"/>
          <w:szCs w:val="20"/>
          <w:lang w:val="en-US" w:eastAsia="fr-FR"/>
        </w:rPr>
        <w:t xml:space="preserve"> finde ich sie sehr heiter. Sie erzählt lachend, dass sie im Garten über einen kleinen Hund, der sie angebellt, erschrocken ist. Doch ist das Gesicht ein wenig verzogen und eine innere Erregung vorhanden, die erst schwindet, nachdem sie mich befragt, ob ich eine Bemerkung von ihr übel genommen, die sie während der Frühmassage gemacht hatte, und ich dies verneint. Die Periode ist heute nach kaum 14tägiger Pause wieder eingetreten. Ich verspreche ihr Regelung durch hypnotische Suggestion und bestimme in der Hypnose ein Intervall von 28 Tagen.</w:t>
      </w:r>
      <w:hyperlink r:id="rId1735" w:anchor="cite_note-10" w:history="1">
        <w:r w:rsidRPr="00C820A0">
          <w:rPr>
            <w:rFonts w:ascii="Garamond" w:hAnsi="Garamond"/>
            <w:color w:val="0000FF"/>
            <w:sz w:val="20"/>
            <w:szCs w:val="20"/>
            <w:u w:val="single"/>
            <w:vertAlign w:val="superscript"/>
            <w:lang w:eastAsia="fr-FR"/>
          </w:rPr>
          <w:t>[10]</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 xml:space="preserve">In der Hypnose frage ich ferner, ob sie sich erinnere, was sie mir zuletzt erzählt hat, und habe dabei eine Aufgabe im Sinne, die uns von gestern abends übrig geblieben ist. </w:t>
      </w:r>
      <w:r w:rsidRPr="00C820A0">
        <w:rPr>
          <w:rFonts w:ascii="Garamond" w:hAnsi="Garamond"/>
          <w:sz w:val="20"/>
          <w:szCs w:val="20"/>
          <w:lang w:val="en-US" w:eastAsia="fr-FR"/>
        </w:rPr>
        <w:t xml:space="preserve">Sie beginnt aber correcter Weise mit dem „Rühren Sie mich </w:t>
      </w:r>
      <w:r w:rsidRPr="00C820A0">
        <w:rPr>
          <w:rFonts w:ascii="Garamond" w:hAnsi="Garamond"/>
          <w:sz w:val="20"/>
          <w:szCs w:val="20"/>
          <w:lang w:val="en-US" w:eastAsia="fr-FR"/>
        </w:rPr>
        <w:lastRenderedPageBreak/>
        <w:t>nicht an“ der Vormittagshypnose. Ich führe sie also auf das gestrige Thema zurück. Ich hatte gefragt: Woher das Stottern gekommen sei, und die Antwort bekommen: Ich weiss es nicht.</w:t>
      </w:r>
      <w:hyperlink r:id="rId1736" w:anchor="cite_note-11" w:history="1">
        <w:r w:rsidRPr="00C820A0">
          <w:rPr>
            <w:rFonts w:ascii="Garamond" w:hAnsi="Garamond"/>
            <w:color w:val="0000FF"/>
            <w:sz w:val="20"/>
            <w:szCs w:val="20"/>
            <w:u w:val="single"/>
            <w:vertAlign w:val="superscript"/>
            <w:lang w:val="en-US" w:eastAsia="fr-FR"/>
          </w:rPr>
          <w:t>[11]</w:t>
        </w:r>
      </w:hyperlink>
      <w:r w:rsidRPr="00C820A0">
        <w:rPr>
          <w:rFonts w:ascii="Garamond" w:hAnsi="Garamond"/>
          <w:sz w:val="20"/>
          <w:szCs w:val="20"/>
          <w:lang w:val="en-US" w:eastAsia="fr-FR"/>
        </w:rPr>
        <w:t xml:space="preserve"> Darum hatte ich ihr aufgetragen, sich bis zur heutigen Hypnose daran zu erinnern. Heute antwortet sie also ohne weiteres Nachdenken, aber in grosser Erregung und mit spastisch erschwerter Sprache: Wie einmal die Pferde mit dem Wagen, in dem die Kinder sassen, durchgegangen sind, und wie ein andermal ich mit den Kindern während eines Gewitters durch den Wald fuhr, und der Blitz gerade in einen Baum vor den Pferden einschlug, und die Pferde scheuten und ich mir dachte: Jetzt musst du ganz stille bleiben, sonst erschreckst du die Pferde noch mehr durch dein Schreien, und der Kutscher kann sie gar nicht zurückhalten: von da an ist es aufgetreten. Diese Erzählung hat sie ungemein erregt; ich erfahre noch von ihr, dass das Stottern gleich nach dem ersten der beiden Anlässe aufgetreten, aber nach kurzer Zeit verschwunden sei, um vom zweiten ähnlichen Anlass an stetig zu bleiben. Ich lösche die plastische Erinnerung an </w:t>
      </w:r>
      <w:r w:rsidRPr="00C820A0">
        <w:rPr>
          <w:rFonts w:ascii="Garamond" w:hAnsi="Garamond"/>
          <w:color w:val="666666"/>
          <w:sz w:val="20"/>
          <w:szCs w:val="20"/>
          <w:lang w:val="en-US" w:eastAsia="fr-FR"/>
        </w:rPr>
        <w:t>[</w:t>
      </w:r>
      <w:hyperlink r:id="rId1737" w:tooltip="Seite:De Studien über Hysterie 047.jpg" w:history="1">
        <w:r w:rsidRPr="00C820A0">
          <w:rPr>
            <w:rFonts w:ascii="Garamond" w:hAnsi="Garamond"/>
            <w:b/>
            <w:bCs/>
            <w:color w:val="0000FF"/>
            <w:sz w:val="20"/>
            <w:szCs w:val="20"/>
            <w:u w:val="single"/>
            <w:lang w:val="en-US" w:eastAsia="fr-FR"/>
          </w:rPr>
          <w:t>47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diese Scenen aus, fordere sie aber auf, sich dieselben nochmals vorzustellen. Sie scheint es zu versuchen und bleibt dabei ruhig, auch spricht sie von da an in der Hypnose ohne jenes spastische Stocken.</w:t>
      </w:r>
      <w:hyperlink r:id="rId1738" w:anchor="cite_note-12" w:history="1">
        <w:r w:rsidRPr="00C820A0">
          <w:rPr>
            <w:rFonts w:ascii="Garamond" w:hAnsi="Garamond"/>
            <w:color w:val="0000FF"/>
            <w:sz w:val="20"/>
            <w:szCs w:val="20"/>
            <w:u w:val="single"/>
            <w:vertAlign w:val="superscript"/>
            <w:lang w:eastAsia="fr-FR"/>
          </w:rPr>
          <w:t>[12]</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Da ich sie disponirt finde, mir Aufschlüsse zu geben, stelle ich die weitere Frage, welche Ereignisse ihres Lebens sie noch ferner derart erschreckt haben, dass sie die plastische Erinnerung an sie bewahrt hat. Sie antwortet mit einer Sammlung solcher Erlebnisse: Wie sie ein Jahr nach dem Tode ihrer Mutter bei einer ihr befreundeten Französin war und dort mit einem andern Mädchen in’s nächste Zimmer geschickt wurde, um ein Lexikon zu holen und dann aus dem Bette eine Person sich erheben sah, die genau so aussah wie jene, die sie eben verlassen hatte. Sie blieb steif wie angewurzelt stehen. Später hörte sie, es sei eine hergerichtete Puppe gewesen. </w:t>
      </w:r>
      <w:r w:rsidRPr="00C820A0">
        <w:rPr>
          <w:rFonts w:ascii="Garamond" w:hAnsi="Garamond"/>
          <w:sz w:val="20"/>
          <w:szCs w:val="20"/>
          <w:lang w:val="en-US" w:eastAsia="fr-FR"/>
        </w:rPr>
        <w:t>Ich erkläre diese Erscheinung für eine Hallucination, appellire an ihre Aufklärung, und ihr Gesicht glättet sich.</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Wie sie ihren kranken Bruder gepflegt und er in Folge des Morphins so grässliche Anfälle bekam, in denen er sie erschreckte und anpackte. Ich merke, dass sie von diesem Erlebniss schon heute früh gesprochen, und frage sie darum zur Probe, wann dieses „Anpacken“ noch vorgekommen. Zu meiner freudigen Ueberraschung besinnt sie sich diesmal lange mit der Antwort und fragt endlich unsicher: Die Kleine? An die beiden anderen Anlässe (s. o.) kann sie sich gar nicht besinnen. Mein Verbot, das Auslöschen der Erinnerungen, hat also gewirkt. – Weiter: Wie sie ihren Bruder gepflegt und die Tante plötzlich den bleichen Kopf über den Paravent gestreckt, die gekommen war, um ihn zum katholischen Glauben zu bekehren. – Ich merke, dass ich hiemit an die Wurzel ihrer beständigen Furcht vor Ueberraschungen gekommen bin, und frage, wann sich solche noch zugetragen haben. – Wie sie zu Hause einen Freund hatten, der es liebte, sich ganz leise in’s Zimmer zu schleichen, und dann plötzlich da stand; wie sie nach dem Tode der Mutter so krank wurde, in einen Badeort kam; und dort eine Geisteskranke durch Irrthum mehrmals bei Nacht in ihr Zimmer und bis an ihr Bett kam; und endlich wie </w:t>
      </w:r>
      <w:r w:rsidRPr="00C820A0">
        <w:rPr>
          <w:rFonts w:ascii="Garamond" w:hAnsi="Garamond"/>
          <w:color w:val="666666"/>
          <w:sz w:val="20"/>
          <w:szCs w:val="20"/>
          <w:lang w:val="en-US" w:eastAsia="fr-FR"/>
        </w:rPr>
        <w:t>[</w:t>
      </w:r>
      <w:hyperlink r:id="rId1739" w:tooltip="Seite:De Studien über Hysterie 048.jpg" w:history="1">
        <w:r w:rsidRPr="00C820A0">
          <w:rPr>
            <w:rFonts w:ascii="Garamond" w:hAnsi="Garamond"/>
            <w:b/>
            <w:bCs/>
            <w:color w:val="0000FF"/>
            <w:sz w:val="20"/>
            <w:szCs w:val="20"/>
            <w:u w:val="single"/>
            <w:lang w:val="en-US" w:eastAsia="fr-FR"/>
          </w:rPr>
          <w:t>48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 ihrer Reise von Abbazia hieher ein fremder Mann 4mal plötzlich ihre Coupéthür aufmachte und sie jedesmal starr ansah. Sie erschrak darüber so sehr, dass sie den Schaffner rief.</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verwische alle diese Erinnerungen, wecke sie auf und versichere ihr, dass sie diese Nacht gut schlafen werde, nachdem ich es unterlassen, ihr die entsprechende Suggestion in der Hypnose zu geben. Für die Besserung ihres Allgemeinzustandes zeugt ihre Bemerkung, sie habe heute nichts gelesen, sie lebe so in einem glücklichen Traum, sie, die sonst vor innerer Unruhe beständig etwas thun musste.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11. </w:t>
      </w:r>
      <w:r w:rsidRPr="00C820A0">
        <w:rPr>
          <w:rFonts w:ascii="Garamond" w:hAnsi="Garamond"/>
          <w:i/>
          <w:iCs/>
          <w:sz w:val="20"/>
          <w:szCs w:val="20"/>
          <w:lang w:val="en-US" w:eastAsia="fr-FR"/>
        </w:rPr>
        <w:t>Mai früh</w:t>
      </w:r>
      <w:r w:rsidRPr="00C820A0">
        <w:rPr>
          <w:rFonts w:ascii="Garamond" w:hAnsi="Garamond"/>
          <w:sz w:val="20"/>
          <w:szCs w:val="20"/>
          <w:lang w:val="en-US" w:eastAsia="fr-FR"/>
        </w:rPr>
        <w:t>. Auf heute ist das Zusammentreffen mit dem Gynaekologen Dr. N .. angesagt, der ihre älteste Tochter wegen ihrer menstrualen Beschwerden untersuchen soll. Ich finde Frau Emmy in ziemlicher Unruhe, die sich aber jetzt durch geringfügigere körperliche Zeichen äussert als früher; auch ruft sie von Zeit zu Zeit: Ich habe Angst, solche Angst, ich glaube, ich muss sterben. Wovor sie denn Angst habe, ob vor Dr. N ..? Sie wisse es nicht, sie habe nur Angst. In der Hypnose, die ich noch vor dem Eintreffen des Collegen vornehme, gesteht sie, sie fürchte, mich durch eine Aeusserung gestern während der Massage, die ihr unhöflich erschien, beleidigt zu haben. Auch fürchte sie sich vor allem Neuen, also auch vor dem neuen Doctor. Sie lässt sich beschwichtigen, fährt vor Dr. N .. zwar manchmal zusammen, benimmt sich aber sonst gut und zeigt weder Schnalzen noch Sprechhemmung. Nach seinem Fortgehen versetze ich sie neuerdings in Hypnose, um die etwaigen Beste der Erregung von seinem Besuch her wegzunehmen. Sie ist mit ihrem Benehmen selbst sehr zufrieden, setzt auf seine Behandlung grosse Hoffnungen, und ich suche ihr an diesem Beispiel zu zeigen, dass man sich vor dem Neuen nicht zu fürchten brauche, da es auch das Gute in sich schliesse.</w:t>
      </w:r>
      <w:hyperlink r:id="rId1740" w:anchor="cite_note-13" w:history="1">
        <w:r w:rsidRPr="00C820A0">
          <w:rPr>
            <w:rFonts w:ascii="Garamond" w:hAnsi="Garamond"/>
            <w:color w:val="0000FF"/>
            <w:sz w:val="20"/>
            <w:szCs w:val="20"/>
            <w:u w:val="single"/>
            <w:vertAlign w:val="superscript"/>
            <w:lang w:val="en-US" w:eastAsia="fr-FR"/>
          </w:rPr>
          <w:t>[13]</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Abends</w:t>
      </w:r>
      <w:r w:rsidRPr="00C820A0">
        <w:rPr>
          <w:rFonts w:ascii="Garamond" w:hAnsi="Garamond"/>
          <w:sz w:val="20"/>
          <w:szCs w:val="20"/>
          <w:lang w:val="en-US" w:eastAsia="fr-FR"/>
        </w:rPr>
        <w:t xml:space="preserve"> ist sie sehr heiter und entledigt sich vieler Bedenklichkeiten in dem Gespräch vor der Hypnose. In der Hypnose frage ich, welches Ereigniss ihres Lebens die nachhaltigste Wirkung geübt habe und am öftesten als Erinnerung bei ihr auftauche. – Der Tod ihres Mannes. – Ich lasse mir dieses Erlebniss mit allen Einzelheiten von ihr erzählen, was sie mit den Zeichen tiefster Ergriffenheit thut, aber ohne alles Schnalzen und Stottern.</w:t>
      </w:r>
    </w:p>
    <w:p w:rsidR="005C1841" w:rsidRPr="00C820A0" w:rsidRDefault="005C1841" w:rsidP="005C1841">
      <w:pPr>
        <w:pStyle w:val="Sansinterligne"/>
        <w:rPr>
          <w:rFonts w:ascii="Garamond" w:hAnsi="Garamond"/>
          <w:sz w:val="20"/>
          <w:szCs w:val="20"/>
          <w:lang w:eastAsia="fr-FR"/>
        </w:rPr>
      </w:pPr>
      <w:r w:rsidRPr="00C820A0">
        <w:rPr>
          <w:rFonts w:ascii="Garamond" w:hAnsi="Garamond"/>
          <w:color w:val="666666"/>
          <w:sz w:val="20"/>
          <w:szCs w:val="20"/>
          <w:lang w:val="en-US" w:eastAsia="fr-FR"/>
        </w:rPr>
        <w:t>[</w:t>
      </w:r>
      <w:hyperlink r:id="rId1741" w:tooltip="Seite:De Studien über Hysterie 049.jpg" w:history="1">
        <w:r w:rsidRPr="00C820A0">
          <w:rPr>
            <w:rFonts w:ascii="Garamond" w:hAnsi="Garamond"/>
            <w:b/>
            <w:bCs/>
            <w:color w:val="0000FF"/>
            <w:sz w:val="20"/>
            <w:szCs w:val="20"/>
            <w:u w:val="single"/>
            <w:lang w:val="en-US" w:eastAsia="fr-FR"/>
          </w:rPr>
          <w:t>49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Wie sie in einem Orte an der Riviera, den sie beide sehr liebten, einst über eine Brücke gegangen und er von einem Herzkrampf ergriffen, plötzlich umsank, einige Minuten wie leblos dalag, dann aber wohlbehalten aufstand. Wie dann kurze Zeit darauf, als sie im Wochenbett mit der Kleinen lag, der Mann, der an einem kleinen Tisch vor ihrem Bett frühstückte und die Zeitung las, plötzlich aufstand, sie so eigenthümlich ansah, einige Schritte machte und dann todt zu Boden fiel. Sie sei aus dem Bette; die herbeigeholten Aerzte hätten Belebungsversuche gemacht, die sie aus dem anderen Zimmer mitangehört; aber es sei vergebens gewesen. Sie fährt dann fort: Und wie das Kind, das damals einige Wochen alt war, so krank geworden und durch 6 Monate krank geblieben sei, während welcher Zeit sie selbst mit heftigem Fieber bettlägerig war; – und nun folgen chronologisch geordnet ihre Beschwerden gegen dieses Kind, die mit ärgerlichem Gesichtsausdruck rasch hervorgestossen werden, wie wenn man von jemandem spricht, dessen man überdrüssig geworden ist. Es sei lange Zeit sehr eigenthümlich gewesen, hätte immer geschrien und </w:t>
      </w:r>
      <w:r w:rsidRPr="00C820A0">
        <w:rPr>
          <w:rFonts w:ascii="Garamond" w:hAnsi="Garamond"/>
          <w:sz w:val="20"/>
          <w:szCs w:val="20"/>
          <w:lang w:val="en-US" w:eastAsia="fr-FR"/>
        </w:rPr>
        <w:lastRenderedPageBreak/>
        <w:t>nicht geschlafen, eine Lähmung des linken Beines bekommen, an deren Heilung man fast verzweifelte; mit 4 Jahren habe es Visionen gehabt, sei erst spät gegangen und habe spät gesprochen, so dass man es lange für idiotisch hielt; es habe nach der Aussage der Aerzte Gehirn- und Rückenmarksentzündung gehabt, und was nicht alles sonst. Ich unterbreche sie hier, weise darauf hin, dass dieses selbe Kind heute normal und blühend sei, und nehme ihr die Möglichkeit, alle diese traurigen Dinge wieder zu sehen, indem ich nicht nur die plastische Erinnerung verlösche, sondern die ganze Reminiscenz aus ihrem Gedächtniss löse, als ob sie nie darin gewesen wäre. Ich verspreche ihr davon das Aufhören der Unglückserwartung, die sie beständig quält, und der Schmerzen im ganzen Körper, über die sie gerade während der Erzählung geklagt hatte, nachdem mehrere Tage von ihnen nicht die Rede gewesen war.</w:t>
      </w:r>
      <w:hyperlink r:id="rId1742" w:anchor="cite_note-14" w:history="1">
        <w:r w:rsidRPr="00C820A0">
          <w:rPr>
            <w:rFonts w:ascii="Garamond" w:hAnsi="Garamond"/>
            <w:color w:val="0000FF"/>
            <w:sz w:val="20"/>
            <w:szCs w:val="20"/>
            <w:u w:val="single"/>
            <w:vertAlign w:val="superscript"/>
            <w:lang w:eastAsia="fr-FR"/>
          </w:rPr>
          <w:t>[14]</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eastAsia="fr-FR"/>
        </w:rPr>
        <w:t>[</w:t>
      </w:r>
      <w:hyperlink r:id="rId1743" w:tooltip="Seite:De Studien über Hysterie 050.jpg" w:history="1">
        <w:r w:rsidRPr="00C820A0">
          <w:rPr>
            <w:rFonts w:ascii="Garamond" w:hAnsi="Garamond"/>
            <w:b/>
            <w:bCs/>
            <w:color w:val="0000FF"/>
            <w:sz w:val="20"/>
            <w:szCs w:val="20"/>
            <w:u w:val="single"/>
            <w:lang w:eastAsia="fr-FR"/>
          </w:rPr>
          <w:t>50</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Zu meiner Ueberraschung beginnt sie unmittelbar nach dieser meiner Suggestion von dem Fürsten L .. zu reden, dessen Entweichung aus einem Irrenhause damals von sich reden machte, kramt neue Angstvorstellungen über Irrenhäuser aus, dass dort die Leute mit eiskaltem Douchen auf den Kopf behandelt, in einen Apparat gesetzt und so lange gedreht würden, bis sie ruhig sind. </w:t>
      </w:r>
      <w:r w:rsidRPr="00C820A0">
        <w:rPr>
          <w:rFonts w:ascii="Garamond" w:hAnsi="Garamond"/>
          <w:sz w:val="20"/>
          <w:szCs w:val="20"/>
          <w:lang w:val="en-US" w:eastAsia="fr-FR"/>
        </w:rPr>
        <w:t>Ich hatte sie vor 3 Tagen, als sie über die Irrenhausfurcht zuerst klagte, nach der ersten Erzählung, dass die Kranken dort auf Sessel gebunden würden, unterbrochen. Ich merke, dass ich dadurch nichts erreiche, dass ich mir’s doch nicht ersparen kann, sie in jedem Punkt bis zu Ende anzuhören. Nachdem dies nachgeholt ist, nehme ich ihr auch die neuen Schreckbilder weg, appellire an ihre Aufklärung, und dass sie mir doch mehr glauben darf als dem dummen Mädchen, von dem sie die Schauergeschichten über die Einrichtung der Irrenhäuser hat. Da ich bei diesen Nachträgen doch gelegentlich etwas Stottern bemerke, frage ich sie von Neuem, woher das Stottern rührt. – Keine Antwort. – Wissen Sie es nicht? – Nein. – Ja warum nicht? – Warum? Weil ich nicht darf (was heftig und ärgerlich hervorgestossen wird). Ich glaube in dieser Aeusserung einen Erfolg meiner Suggestion zu sehen, sie äussert aber das Verlangen, aus der Hypnose geweckt zu werden, dem ich willfahre.</w:t>
      </w:r>
      <w:hyperlink r:id="rId1744" w:anchor="cite_note-15" w:history="1">
        <w:r w:rsidRPr="00C820A0">
          <w:rPr>
            <w:rFonts w:ascii="Garamond" w:hAnsi="Garamond"/>
            <w:color w:val="0000FF"/>
            <w:sz w:val="20"/>
            <w:szCs w:val="20"/>
            <w:u w:val="single"/>
            <w:vertAlign w:val="superscript"/>
            <w:lang w:val="en-US" w:eastAsia="fr-FR"/>
          </w:rPr>
          <w:t>[15]</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12. </w:t>
      </w:r>
      <w:r w:rsidRPr="00C820A0">
        <w:rPr>
          <w:rFonts w:ascii="Garamond" w:hAnsi="Garamond"/>
          <w:i/>
          <w:iCs/>
          <w:sz w:val="20"/>
          <w:szCs w:val="20"/>
          <w:lang w:val="en-US" w:eastAsia="fr-FR"/>
        </w:rPr>
        <w:t>Mai</w:t>
      </w:r>
      <w:r w:rsidRPr="00C820A0">
        <w:rPr>
          <w:rFonts w:ascii="Garamond" w:hAnsi="Garamond"/>
          <w:sz w:val="20"/>
          <w:szCs w:val="20"/>
          <w:lang w:val="en-US" w:eastAsia="fr-FR"/>
        </w:rPr>
        <w:t>. Sie hat wider mein Erwarten kurz und schlecht geschlafen. Ich finde sie in grosser Angst, übrigens ohne die gewohnten körperlichen Zeichen derselben. Sie will nicht sagen, was ihr ist; nur, dass sie schlecht geträumt hat und noch immer dieselben Dinge sieht. „Wie grässlich, wenn die lebendig werden sollten.“ Während der Massage macht sie einiges durch Fragen ab, wird dann heiter, erzählt von ihrem Verkehr auf ihrem Witwensitz an der Ostsee, von den bedeutenden Männern, die sie aus der benachbarten Stadt als Gäste zu laden pflegt und dgl.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745" w:tooltip="Seite:De Studien über Hysterie 051.jpg" w:history="1">
        <w:r w:rsidRPr="00C820A0">
          <w:rPr>
            <w:rFonts w:ascii="Garamond" w:hAnsi="Garamond"/>
            <w:b/>
            <w:bCs/>
            <w:color w:val="0000FF"/>
            <w:sz w:val="20"/>
            <w:szCs w:val="20"/>
            <w:u w:val="single"/>
            <w:lang w:val="en-US" w:eastAsia="fr-FR"/>
          </w:rPr>
          <w:t>51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t>
      </w:r>
      <w:r w:rsidRPr="00C820A0">
        <w:rPr>
          <w:rFonts w:ascii="Garamond" w:hAnsi="Garamond"/>
          <w:i/>
          <w:iCs/>
          <w:sz w:val="20"/>
          <w:szCs w:val="20"/>
          <w:lang w:val="en-US" w:eastAsia="fr-FR"/>
        </w:rPr>
        <w:t>Hypnose</w:t>
      </w:r>
      <w:r w:rsidRPr="00C820A0">
        <w:rPr>
          <w:rFonts w:ascii="Garamond" w:hAnsi="Garamond"/>
          <w:sz w:val="20"/>
          <w:szCs w:val="20"/>
          <w:lang w:val="en-US" w:eastAsia="fr-FR"/>
        </w:rPr>
        <w:t>. Sie hat schrecklich geträumt, die Stuhlbeine und Sessellehnen waren alle Schlangen, ein Ungeheuer mit einem Geierschnabel hat auf sie losgehackt und sie am ganzen Körper angefressen, andere wilde Thiere sind auf sie losgesprungen und dgl. Dann übergeht sie sofort auf andere Thierdelirien, die sie aber durch den Zusatz ausgezeichnet: Das war wirklich (kein Traum). Wie sie (früher einmal) nach einem Knäuel Wolle greifen wollte, und der war eine Maus und lief weg, wie auf einem Spaziergang eine grosse Kröte plötzlich auf sie losgesprungen u. s. f. Ich merke, dass mein generelles Verbot nichts gefruchtet hat, und dass ich ihr solche Angsteindrücke einzeln abnehmen muss.</w:t>
      </w:r>
      <w:hyperlink r:id="rId1746" w:anchor="cite_note-16" w:history="1">
        <w:r w:rsidRPr="00C820A0">
          <w:rPr>
            <w:rFonts w:ascii="Garamond" w:hAnsi="Garamond"/>
            <w:color w:val="0000FF"/>
            <w:sz w:val="20"/>
            <w:szCs w:val="20"/>
            <w:u w:val="single"/>
            <w:vertAlign w:val="superscript"/>
            <w:lang w:val="en-US" w:eastAsia="fr-FR"/>
          </w:rPr>
          <w:t>[16]</w:t>
        </w:r>
      </w:hyperlink>
      <w:r w:rsidRPr="00C820A0">
        <w:rPr>
          <w:rFonts w:ascii="Garamond" w:hAnsi="Garamond"/>
          <w:sz w:val="20"/>
          <w:szCs w:val="20"/>
          <w:lang w:val="en-US" w:eastAsia="fr-FR"/>
        </w:rPr>
        <w:t xml:space="preserve"> Auf irgend einem Weg kam ich dann dazu, sie zu fragen, warum sie auch Magenschmerzen bekommen habe, und woher diese stammen. Ich glaube, Magenschmerzen begleiteten bei ihr jeden Anfall von Zoopsie. Ihre ziemlich unwillige Antwort war, das wisse sie nicht. Ich gab ihr auf, sich bis Morgen daran zu erinnern. Nun sagte sie recht mürrisch, ich solle nicht immer fragen, woher das und jenes komme, sondern sie erzählen lassen, was sie mir zu sagen habe. Ich gehe darauf ein, und sie setzt ohne Einleitung fort: Wie sie ihn herausgetragen haben, habe ich nicht glauben können, dass er todt ist. (Sie spricht also wieder von ihrem Manne, und ich erkenne jetzt als Grund ihrer Verstimmung, dass sie unter dem zurückgehaltenen Rest dieser Geschichte gelitten hat). Und dann habe sie durch 3 Jahre das Kind gehasst, weil sie sich immer gesagt, sie hätte den Mann gesund pflegen können, wenn sie nicht des Kindes wegen zu Bette gelegen wäre. Und dann habe sie nach dem Tode ihres Mannes nur Kränkungen und Aufregungen gehabt. Seine Verwandten, die stets gegen die Heirat waren und sich dann darüber ärgerten, dass sie so glücklich lebten, hätten ausgesprengt, dass sie selbst ihn vergiftet, so dass sie eine Untersuchung verlangen wollte. Durch einen abscheulichen Winkelschreiber hätten die Verwandten ihr alle möglichen Processe angehängt. Der Schurke schickte Agenten herum, die gegen sie hetzten, liess schmähende Artikel gegen sie in die Localzeitungen aufnehmen und schickte ihr dann die Ausschnitte zu. Von daher stamme ihre Leutescheu und ihr Hass gegen alle fremden Menschen. Nach den </w:t>
      </w:r>
      <w:r w:rsidRPr="00C820A0">
        <w:rPr>
          <w:rFonts w:ascii="Garamond" w:hAnsi="Garamond"/>
          <w:color w:val="666666"/>
          <w:sz w:val="20"/>
          <w:szCs w:val="20"/>
          <w:lang w:val="en-US" w:eastAsia="fr-FR"/>
        </w:rPr>
        <w:t>[</w:t>
      </w:r>
      <w:hyperlink r:id="rId1747" w:tooltip="Seite:De Studien über Hysterie 052.jpg" w:history="1">
        <w:r w:rsidRPr="00C820A0">
          <w:rPr>
            <w:rFonts w:ascii="Garamond" w:hAnsi="Garamond"/>
            <w:b/>
            <w:bCs/>
            <w:color w:val="0000FF"/>
            <w:sz w:val="20"/>
            <w:szCs w:val="20"/>
            <w:u w:val="single"/>
            <w:lang w:val="en-US" w:eastAsia="fr-FR"/>
          </w:rPr>
          <w:t>52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beschwichtigenden Worten, die ich an ihre Erzählung knüpfe, erklärt sie sich für erleichtert.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13. </w:t>
      </w:r>
      <w:r w:rsidRPr="00C820A0">
        <w:rPr>
          <w:rFonts w:ascii="Garamond" w:hAnsi="Garamond"/>
          <w:i/>
          <w:iCs/>
          <w:sz w:val="20"/>
          <w:szCs w:val="20"/>
          <w:lang w:val="en-US" w:eastAsia="fr-FR"/>
        </w:rPr>
        <w:t>Mai</w:t>
      </w:r>
      <w:r w:rsidRPr="00C820A0">
        <w:rPr>
          <w:rFonts w:ascii="Garamond" w:hAnsi="Garamond"/>
          <w:sz w:val="20"/>
          <w:szCs w:val="20"/>
          <w:lang w:val="en-US" w:eastAsia="fr-FR"/>
        </w:rPr>
        <w:t>. Sie hat wieder wenig geschlafen vor Magenschmerzen, gestern kein Nachtmahl genommen, klagt auch über Schmerzen im rechten Arm. Ihre Stimmung ist aber gut, sie ist heiter und behandelt mich seit gestern mit besonderer Auszeichnung. Sie fragt mich nach meinem Urtheil über die verschiedensten Dinge, die ihr wichtig erscheinen, und geräth in eine ganz unverhältnissmässige Erregung, wenn ich z. B. nach den Tüchern, die bei der Massage benöthigt werden, suchen muss und dgl. Schnalzen und Gesichtstick treten häufig auf.</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Hypnose</w:t>
      </w:r>
      <w:r w:rsidRPr="00C820A0">
        <w:rPr>
          <w:rFonts w:ascii="Garamond" w:hAnsi="Garamond"/>
          <w:sz w:val="20"/>
          <w:szCs w:val="20"/>
          <w:lang w:val="en-US" w:eastAsia="fr-FR"/>
        </w:rPr>
        <w:t>: Gestern abends ist ihr plötzlich der Grund eingefallen, weshalb kleine Thiere, die sie sehe, so in’s Riesige wachsen. Das sei ihr das erste Mal in einer Theatervorstellung in D.. geschehen, wo eine riesig grosse Eidechse auf der Bühne war. Diese Erinnerung habe sie gestern auch so sehr gepeinigt.</w:t>
      </w:r>
      <w:hyperlink r:id="rId1748" w:anchor="cite_note-17" w:history="1">
        <w:r w:rsidRPr="00C820A0">
          <w:rPr>
            <w:rFonts w:ascii="Garamond" w:hAnsi="Garamond"/>
            <w:color w:val="0000FF"/>
            <w:sz w:val="20"/>
            <w:szCs w:val="20"/>
            <w:u w:val="single"/>
            <w:vertAlign w:val="superscript"/>
            <w:lang w:val="en-US" w:eastAsia="fr-FR"/>
          </w:rPr>
          <w:t>[17]</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Dass das Schnalzen wiedergekehrt, rühre daher, dass sie gestern Unterleibsschmerzen gehabt und sich bemüht dieselben nicht durch Seufzer zu verrathen. Von dem eigentlichen Anlass des Schnalzens (vgl. p. 46) weiss sie nichts. Sie erinnert sich auch, dass ich ihr die Aufgabe gestellt herauszufinden, woher die Magenschmerzen stammen. Sie wisse es aber nicht, bittet mich, ihr zu helfen. Ich meine, ob sie sich nicht einmal nach grossen Aufregungen zum Essen genöthigt. Das trifft zu. Nach dem Tode ihres Mannes entbehrte sie eine lange Zeit hindurch jeder Esslust, ass nur aus Pflichtgefühl, und damals begannen wirklich die Magenschmerzen. – Ich nehme jetzt die Magenschmerzen </w:t>
      </w:r>
      <w:r w:rsidRPr="00C820A0">
        <w:rPr>
          <w:rFonts w:ascii="Garamond" w:hAnsi="Garamond"/>
          <w:sz w:val="20"/>
          <w:szCs w:val="20"/>
          <w:lang w:val="en-US" w:eastAsia="fr-FR"/>
        </w:rPr>
        <w:lastRenderedPageBreak/>
        <w:t>durch einige Striche über das Epigastrium weg. Sie beginnt dann spontan von dem zu sprechen, was sie am meisten afficirt hat: „Ich habe gesagt, dass ich die Kleine nicht geliebt habe. Ich muss aber hinzufügen, dass man es an meinem Benehmen nicht merken konnte. Ich habe alles gethan, was nothwendig war. Ich mache mir jetzt noch Vorwürfe, dass ich die Aeltere lieber habe.“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749" w:tooltip="Seite:De Studien über Hysterie 053.jpg" w:history="1">
        <w:r w:rsidRPr="00C820A0">
          <w:rPr>
            <w:rFonts w:ascii="Garamond" w:hAnsi="Garamond"/>
            <w:b/>
            <w:bCs/>
            <w:color w:val="0000FF"/>
            <w:sz w:val="20"/>
            <w:szCs w:val="20"/>
            <w:u w:val="single"/>
            <w:lang w:val="en-US" w:eastAsia="fr-FR"/>
          </w:rPr>
          <w:t>53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14. </w:t>
      </w:r>
      <w:r w:rsidRPr="00C820A0">
        <w:rPr>
          <w:rFonts w:ascii="Garamond" w:hAnsi="Garamond"/>
          <w:i/>
          <w:iCs/>
          <w:sz w:val="20"/>
          <w:szCs w:val="20"/>
          <w:lang w:val="en-US" w:eastAsia="fr-FR"/>
        </w:rPr>
        <w:t>Mai</w:t>
      </w:r>
      <w:r w:rsidRPr="00C820A0">
        <w:rPr>
          <w:rFonts w:ascii="Garamond" w:hAnsi="Garamond"/>
          <w:sz w:val="20"/>
          <w:szCs w:val="20"/>
          <w:lang w:val="en-US" w:eastAsia="fr-FR"/>
        </w:rPr>
        <w:t>. Sie ist wohl und heiter, hat bis halb 8 Uhr früh geschlafen, klagt nur über etwas Schmerzen im Radialisgebiet der Hand, Kopf- und Gesichtsschmerzen. Das Aussprechen vor der Hypnose gewinnt immer mehr an Bedeutung. Sie hat heute fast nichts Grässliches vorzubringen. Sie beklagt sich über Schmerz und Gefühllosigkeit im rechten Bein, erzählt, dass sie 1871 eine Unterleibsentzündung durchgemacht, dann, kaum erholt, ihren kranken Bruder gepflegt und dabei die Schmerzen bekommen, die selbst zeitweise eine Lähmung des rechten Fusses herbeiführten.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der </w:t>
      </w:r>
      <w:r w:rsidRPr="00C820A0">
        <w:rPr>
          <w:rFonts w:ascii="Garamond" w:hAnsi="Garamond"/>
          <w:i/>
          <w:iCs/>
          <w:sz w:val="20"/>
          <w:szCs w:val="20"/>
          <w:lang w:val="en-US" w:eastAsia="fr-FR"/>
        </w:rPr>
        <w:t>Hypnose</w:t>
      </w:r>
      <w:r w:rsidRPr="00C820A0">
        <w:rPr>
          <w:rFonts w:ascii="Garamond" w:hAnsi="Garamond"/>
          <w:sz w:val="20"/>
          <w:szCs w:val="20"/>
          <w:lang w:val="en-US" w:eastAsia="fr-FR"/>
        </w:rPr>
        <w:t xml:space="preserve"> frage ich, ob es ihr jetzt schon möglich sein werde, sich unter Menschen zu bewegen, oder ob die Furcht noch überwiege. Sie meint, es sei ihr noch unangenehm, wenn jemand hinter ihr oder knapp neben ihr steht, erzählt in diesem Zusammenhange noch Fälle von unangenehmen Ueberraschungen durch plötzlich auftauchende Personen. So seien einmal, als sie auf </w:t>
      </w:r>
      <w:r w:rsidRPr="00C820A0">
        <w:rPr>
          <w:rFonts w:ascii="Garamond" w:hAnsi="Garamond"/>
          <w:i/>
          <w:iCs/>
          <w:sz w:val="20"/>
          <w:szCs w:val="20"/>
          <w:lang w:val="en-US" w:eastAsia="fr-FR"/>
        </w:rPr>
        <w:t>Rügen</w:t>
      </w:r>
      <w:r w:rsidRPr="00C820A0">
        <w:rPr>
          <w:rFonts w:ascii="Garamond" w:hAnsi="Garamond"/>
          <w:sz w:val="20"/>
          <w:szCs w:val="20"/>
          <w:lang w:val="en-US" w:eastAsia="fr-FR"/>
        </w:rPr>
        <w:t xml:space="preserve"> einen Spaziergang mit ihren Töchtern gemacht, zwei verdächtig aussehende Individuen hinter einem Gebüsche hervorgekommen und hätten sie insultirt. In </w:t>
      </w:r>
      <w:r w:rsidRPr="00C820A0">
        <w:rPr>
          <w:rFonts w:ascii="Garamond" w:hAnsi="Garamond"/>
          <w:i/>
          <w:iCs/>
          <w:sz w:val="20"/>
          <w:szCs w:val="20"/>
          <w:lang w:val="en-US" w:eastAsia="fr-FR"/>
        </w:rPr>
        <w:t>Abbazia</w:t>
      </w:r>
      <w:r w:rsidRPr="00C820A0">
        <w:rPr>
          <w:rFonts w:ascii="Garamond" w:hAnsi="Garamond"/>
          <w:sz w:val="20"/>
          <w:szCs w:val="20"/>
          <w:lang w:val="en-US" w:eastAsia="fr-FR"/>
        </w:rPr>
        <w:t xml:space="preserve"> sei auf einem abendlichen Spaziergange plötzlich ein Bettler hinter einem Stein hervorgetreten, der dann vor ihr niedergekniet. Es soll ein harmloser Wahnsinniger gewesen sein; ferner erzählt sie von einem nächtlichen Einbruch in ihrem isolirt stehenden Schloss, der sie sehr erschreckt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ist aber leicht zu merken, dass diese Furcht vor Menschen wesentlich auf die Verfolgungen zurückgeht, denen sie nach dem Tode ihres Mannes ausgesetzt war.</w:t>
      </w:r>
      <w:hyperlink r:id="rId1750" w:anchor="cite_note-18" w:history="1">
        <w:r w:rsidRPr="00C820A0">
          <w:rPr>
            <w:rFonts w:ascii="Garamond" w:hAnsi="Garamond"/>
            <w:color w:val="0000FF"/>
            <w:sz w:val="20"/>
            <w:szCs w:val="20"/>
            <w:u w:val="single"/>
            <w:vertAlign w:val="superscript"/>
            <w:lang w:val="en-US" w:eastAsia="fr-FR"/>
          </w:rPr>
          <w:t>[18]</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Abends</w:t>
      </w:r>
      <w:r w:rsidRPr="00C820A0">
        <w:rPr>
          <w:rFonts w:ascii="Garamond" w:hAnsi="Garamond"/>
          <w:sz w:val="20"/>
          <w:szCs w:val="20"/>
          <w:lang w:val="en-US" w:eastAsia="fr-FR"/>
        </w:rPr>
        <w:t xml:space="preserve">. Anscheinend sehr heiter, empfängt sie mich doch mit dem Ausrufe: „Ich sterbe vor Angst, oh, ich kann es Ihnen fast nicht sagen, ich hasse mich.“ Ich erfahre endlich, dass Dr.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sie besucht hat, und dass sie bei seinem Erscheinen zusammengefahren ist. Als er es bemerkte, versicherte sie ihm: Nur diesesmal, und es that ihr in meinem Interesse so sehr leid, dass sie diesen Rest von früherer Schreckhaftigkeit noch verrathen musste! Ich hatte überhaupt in diesen Tagen Gelegenheit gehabt, zu bemerken, wie herbe sie gegen sich ist, wie leicht bereit, sich aus den kleinsten Nachlässigkeiten, – wenn die Tücher für die Massage nicht am selben Platze liegen, wenn die Zeitung nicht in die Augen springend vorbereitet ist, die ich lesen </w:t>
      </w:r>
      <w:r w:rsidRPr="00C820A0">
        <w:rPr>
          <w:rFonts w:ascii="Garamond" w:hAnsi="Garamond"/>
          <w:color w:val="666666"/>
          <w:sz w:val="20"/>
          <w:szCs w:val="20"/>
          <w:lang w:val="en-US" w:eastAsia="fr-FR"/>
        </w:rPr>
        <w:t>[</w:t>
      </w:r>
      <w:hyperlink r:id="rId1751" w:tooltip="Seite:De Studien über Hysterie 054.jpg" w:history="1">
        <w:r w:rsidRPr="00C820A0">
          <w:rPr>
            <w:rFonts w:ascii="Garamond" w:hAnsi="Garamond"/>
            <w:b/>
            <w:bCs/>
            <w:color w:val="0000FF"/>
            <w:sz w:val="20"/>
            <w:szCs w:val="20"/>
            <w:u w:val="single"/>
            <w:lang w:val="en-US" w:eastAsia="fr-FR"/>
          </w:rPr>
          <w:t>54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soll, während sie schläft. – einen schweren Vorwurf zu machen. Nachdem die erste, oberflächlichste Schichte von quälenden Reminiscenzen abgetragen ist, kommt ihre sittlich überempfindliche, mit der Neigung zur Selbstverkleinerung behaftete Persönlichkeit zum Vorscheine, der ich im Wachen wie in der Hypnose vorsage, was eine Umschreibung des alten Satzes „minima non curat praetor“ ist, dass es zwischen dem Guten und dem Schlechten eine ganze grosse Gruppe von indifferenten, kleinen Dingen gibt, aus denen sich niemand einen Vorwurf machen soll. Ich glaube, sie nimmt diese Lehren nicht viel besser auf als irgend ein asketischer Mönch des Mittelalters, der den Finger Gottes und die Versuchung des Teufels in jedem kleinsten Erlebniss sieht, das ihn betrifft, und der nicht im Stande ist, sich die Welt nur für eine kleine Weile und in irgend einer kleinen Ecke ohne Beziehung auf seine Person vorzustellen.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der Hypnose bringt sie einzelne Nachträge an schreckhaften Bildern (so in </w:t>
      </w:r>
      <w:r w:rsidRPr="00C820A0">
        <w:rPr>
          <w:rFonts w:ascii="Garamond" w:hAnsi="Garamond"/>
          <w:i/>
          <w:iCs/>
          <w:sz w:val="20"/>
          <w:szCs w:val="20"/>
          <w:lang w:val="en-US" w:eastAsia="fr-FR"/>
        </w:rPr>
        <w:t>Abbazia</w:t>
      </w:r>
      <w:r w:rsidRPr="00C820A0">
        <w:rPr>
          <w:rFonts w:ascii="Garamond" w:hAnsi="Garamond"/>
          <w:sz w:val="20"/>
          <w:szCs w:val="20"/>
          <w:lang w:val="en-US" w:eastAsia="fr-FR"/>
        </w:rPr>
        <w:t xml:space="preserve"> blutige Köpfe auf jeder Woge.) Ich lasse mir von ihr die Lehren wiederholen, die ich ihr im Wachen ertheilt habe.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15. </w:t>
      </w:r>
      <w:r w:rsidRPr="00C820A0">
        <w:rPr>
          <w:rFonts w:ascii="Garamond" w:hAnsi="Garamond"/>
          <w:i/>
          <w:iCs/>
          <w:sz w:val="20"/>
          <w:szCs w:val="20"/>
          <w:lang w:val="en-US" w:eastAsia="fr-FR"/>
        </w:rPr>
        <w:t>Mai</w:t>
      </w:r>
      <w:r w:rsidRPr="00C820A0">
        <w:rPr>
          <w:rFonts w:ascii="Garamond" w:hAnsi="Garamond"/>
          <w:sz w:val="20"/>
          <w:szCs w:val="20"/>
          <w:lang w:val="en-US" w:eastAsia="fr-FR"/>
        </w:rPr>
        <w:t xml:space="preserve">. Sie hat bis ½9 Uhr geschlafen, ist aber gegen morgens unruhig geworden und empfängt mich mit leichtem Tick, Schnalzen und etwas Sprachhemmung. „Ich sterbe vor Angst.“ Erzählt auf Befragen, dass die Pension, in der die Kinder hier untergebracht sind, sich im 4. Stock befinde und mittelst eines Lifts zu erreichen sei. Sie habe nun gestern verlangt, dass die Kinder diesen Lift auch zum Herunterkommen benützen, und mache sich jetzt Vorwürfe darüber, da der Lift nicht ganz verlässlich sei. Der Pensionsbesitzer habe es selbst gesagt. Ob ich die Geschichte der Gräfin Sch. . . kenne, die in Rom bei einem derartigen Unfalle todt geblieben sei? Ich kenne nun die Pension und weiss, dass der Aufzug Privateigenthum des Pensionsbesitzers ist; es scheint mir nicht leicht möglich, dass der Mann, der sich dieses Aufzuges in seiner Annonce rühmt, selbst vor dessen Benützung gewarnt haben solle. Ich meine, da liegt eine von der Angst eingegebene Erinnerungstäuschung vor, theile ihr meine Ansicht mit und bringe sie ohne Mühe dazu, dass sie selbst über die Unwahrscheinlichkeit ihrer Befürchtung lacht. Eben darum kann ich nicht glauben, dass dies die Ursache ihrer Angst war, und nehme mir vor, die Frage an ihr hypnotisches Bewusstsein zu richten. Während der Massage, die ich nach mehrtägiger Unterbrechung heute wieder vornehme, erzählt sie einzelne, lose aneinder gereihte Geschichten, die aber wahr sein mögen, so von einer Kröte, die in einem Keller gefunden </w:t>
      </w:r>
      <w:r w:rsidRPr="00C820A0">
        <w:rPr>
          <w:rFonts w:ascii="Garamond" w:hAnsi="Garamond"/>
          <w:color w:val="666666"/>
          <w:sz w:val="20"/>
          <w:szCs w:val="20"/>
          <w:lang w:val="en-US" w:eastAsia="fr-FR"/>
        </w:rPr>
        <w:t>[</w:t>
      </w:r>
      <w:hyperlink r:id="rId1752" w:tooltip="Seite:De Studien über Hysterie 055.jpg" w:history="1">
        <w:r w:rsidRPr="00C820A0">
          <w:rPr>
            <w:rFonts w:ascii="Garamond" w:hAnsi="Garamond"/>
            <w:b/>
            <w:bCs/>
            <w:color w:val="0000FF"/>
            <w:sz w:val="20"/>
            <w:szCs w:val="20"/>
            <w:u w:val="single"/>
            <w:lang w:val="en-US" w:eastAsia="fr-FR"/>
          </w:rPr>
          <w:t>55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wurde, von einer excentrischen Mutter, die ihr idiotisches Kind auf eigenthümliche Weise pflegte, von einer Frau, die wegen Melancholie in ein Irrenhaus gesperrt wurde, und lässt so erkennen, was für Reminiscenzen durch ihren Kopf ziehen, wenn sich ihrer eine unbehagliche Stimmung bemächtigt hat. Nachdem sie sich dieser Erzählungen entledigt hat, wird sie sehr heiter, berichtet von ihrem Leben auf ihrem Gut, von den Beziehungen, die sie zu hervorragenden Männern Deutsch-Russlands und Norddeutschlands unterhält, und es fällt mit wahrlich schwer, diese Fülle von Bethätigung mit der Vorstellung einer so arg nervösen Frau zu vereinen.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In der Hypnose frage ich also: warum sie heute morgens so unruhig war, und erhalte anstatt des Bedenkens über den Lift die Auskunft, sie habe gefürchtet, die Periode werde wiederkehren und sie wiederum an der Massage stören.</w:t>
      </w:r>
      <w:hyperlink r:id="rId1753" w:anchor="cite_note-19" w:history="1">
        <w:r w:rsidRPr="00C820A0">
          <w:rPr>
            <w:rFonts w:ascii="Garamond" w:hAnsi="Garamond"/>
            <w:color w:val="0000FF"/>
            <w:sz w:val="20"/>
            <w:szCs w:val="20"/>
            <w:u w:val="single"/>
            <w:vertAlign w:val="superscript"/>
            <w:lang w:eastAsia="fr-FR"/>
          </w:rPr>
          <w:t>[19]</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eastAsia="fr-FR"/>
        </w:rPr>
        <w:t>[</w:t>
      </w:r>
      <w:hyperlink r:id="rId1754" w:tooltip="Seite:De Studien über Hysterie 056.jpg" w:history="1">
        <w:r w:rsidRPr="00C820A0">
          <w:rPr>
            <w:rFonts w:ascii="Garamond" w:hAnsi="Garamond"/>
            <w:b/>
            <w:bCs/>
            <w:color w:val="0000FF"/>
            <w:sz w:val="20"/>
            <w:szCs w:val="20"/>
            <w:u w:val="single"/>
            <w:lang w:eastAsia="fr-FR"/>
          </w:rPr>
          <w:t>56</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Ich lasse mir ferner die Geschichte ihrer Beinschmerzen erzählen. Der Beginn ist derselbe wie gestern, dann folgt eine lange Reihe von Wechselfällen peinlicher und aufreibender Erlebnisse, zu deren Zeit </w:t>
      </w:r>
      <w:r w:rsidRPr="00C820A0">
        <w:rPr>
          <w:rFonts w:ascii="Garamond" w:hAnsi="Garamond"/>
          <w:color w:val="666666"/>
          <w:sz w:val="20"/>
          <w:szCs w:val="20"/>
          <w:lang w:eastAsia="fr-FR"/>
        </w:rPr>
        <w:t>[</w:t>
      </w:r>
      <w:hyperlink r:id="rId1755" w:tooltip="Seite:De Studien über Hysterie 057.jpg" w:history="1">
        <w:r w:rsidRPr="00C820A0">
          <w:rPr>
            <w:rFonts w:ascii="Garamond" w:hAnsi="Garamond"/>
            <w:b/>
            <w:bCs/>
            <w:color w:val="0000FF"/>
            <w:sz w:val="20"/>
            <w:szCs w:val="20"/>
            <w:u w:val="single"/>
            <w:lang w:eastAsia="fr-FR"/>
          </w:rPr>
          <w:t>57</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sie diese Beinschmerzen hatte, und durch deren Einwirkung dieselben jedesmal sich verstärkten, selbst bis zu einer doppelseitigen Beinlähmung mit Gefühlsverlust. </w:t>
      </w:r>
      <w:r w:rsidRPr="00C820A0">
        <w:rPr>
          <w:rFonts w:ascii="Garamond" w:hAnsi="Garamond"/>
          <w:sz w:val="20"/>
          <w:szCs w:val="20"/>
          <w:lang w:val="en-US" w:eastAsia="fr-FR"/>
        </w:rPr>
        <w:t xml:space="preserve">Aehnlich ist es mit den Armschmerzen, </w:t>
      </w:r>
      <w:r w:rsidRPr="00C820A0">
        <w:rPr>
          <w:rFonts w:ascii="Garamond" w:hAnsi="Garamond"/>
          <w:color w:val="666666"/>
          <w:sz w:val="20"/>
          <w:szCs w:val="20"/>
          <w:lang w:val="en-US" w:eastAsia="fr-FR"/>
        </w:rPr>
        <w:t>[</w:t>
      </w:r>
      <w:hyperlink r:id="rId1756" w:tooltip="Seite:De Studien über Hysterie 058.jpg" w:history="1">
        <w:r w:rsidRPr="00C820A0">
          <w:rPr>
            <w:rFonts w:ascii="Garamond" w:hAnsi="Garamond"/>
            <w:b/>
            <w:bCs/>
            <w:color w:val="0000FF"/>
            <w:sz w:val="20"/>
            <w:szCs w:val="20"/>
            <w:u w:val="single"/>
            <w:lang w:val="en-US" w:eastAsia="fr-FR"/>
          </w:rPr>
          <w:t>58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die gleichfalls während </w:t>
      </w:r>
      <w:r w:rsidRPr="00C820A0">
        <w:rPr>
          <w:rFonts w:ascii="Garamond" w:hAnsi="Garamond"/>
          <w:sz w:val="20"/>
          <w:szCs w:val="20"/>
          <w:lang w:val="en-US" w:eastAsia="fr-FR"/>
        </w:rPr>
        <w:lastRenderedPageBreak/>
        <w:t>einer Krankenpflege gleichzeitig mit den Genickkrämpfen begannen. Ueber die „Genickkrämpfe“ erfahre ich nur Folgendes. Sie haben eigenthümliche Zustände von Unruhe mit Verstimmung abgelöst, die früher da waren, und bestehen in einem „eisigen Packen“ im Genick, mit Steifwerden und schmerzhafter Kälte aller Extremitäten, Unfähigkeit zu sprechen und voller Prostration. Sie dauern 6–12 Stunden. Meine Versuche, diesen Symptomcomplex als Reminiscenz zu entlarven, schlagen fehl. Die dahin zielenden Fragen, ob sie der Bruder, den sie im Delirium pflegte, einmal am Genick gepackt, werden verneint; sie weiss nicht, woher diese Anfälle rühren.</w:t>
      </w:r>
      <w:hyperlink r:id="rId1757" w:anchor="cite_note-20" w:history="1">
        <w:r w:rsidRPr="00C820A0">
          <w:rPr>
            <w:rFonts w:ascii="Garamond" w:hAnsi="Garamond"/>
            <w:color w:val="0000FF"/>
            <w:sz w:val="20"/>
            <w:szCs w:val="20"/>
            <w:u w:val="single"/>
            <w:vertAlign w:val="superscript"/>
            <w:lang w:val="en-US" w:eastAsia="fr-FR"/>
          </w:rPr>
          <w:t>[20]</w:t>
        </w:r>
      </w:hyperlink>
      <w:r w:rsidRPr="00C820A0">
        <w:rPr>
          <w:rFonts w:ascii="Garamond" w:hAnsi="Garamond"/>
          <w:sz w:val="20"/>
          <w:szCs w:val="20"/>
          <w:lang w:val="en-US" w:eastAsia="fr-FR"/>
        </w:rPr>
        <w:t xml:space="preserve"> </w:t>
      </w:r>
      <w:r w:rsidRPr="00C820A0">
        <w:rPr>
          <w:rFonts w:ascii="Garamond" w:hAnsi="Garamond"/>
          <w:color w:val="666666"/>
          <w:sz w:val="20"/>
          <w:szCs w:val="20"/>
          <w:lang w:val="en-US" w:eastAsia="fr-FR"/>
        </w:rPr>
        <w:t>[</w:t>
      </w:r>
      <w:hyperlink r:id="rId1758" w:tooltip="Seite:De Studien über Hysterie 059.jpg" w:history="1">
        <w:r w:rsidRPr="00C820A0">
          <w:rPr>
            <w:rFonts w:ascii="Garamond" w:hAnsi="Garamond"/>
            <w:b/>
            <w:bCs/>
            <w:color w:val="0000FF"/>
            <w:sz w:val="20"/>
            <w:szCs w:val="20"/>
            <w:u w:val="single"/>
            <w:lang w:val="en-US" w:eastAsia="fr-FR"/>
          </w:rPr>
          <w:t>59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t>
      </w:r>
      <w:r w:rsidRPr="00C820A0">
        <w:rPr>
          <w:rFonts w:ascii="Garamond" w:hAnsi="Garamond"/>
          <w:i/>
          <w:iCs/>
          <w:sz w:val="20"/>
          <w:szCs w:val="20"/>
          <w:lang w:val="en-US" w:eastAsia="fr-FR"/>
        </w:rPr>
        <w:t>Abends</w:t>
      </w:r>
      <w:r w:rsidRPr="00C820A0">
        <w:rPr>
          <w:rFonts w:ascii="Garamond" w:hAnsi="Garamond"/>
          <w:sz w:val="20"/>
          <w:szCs w:val="20"/>
          <w:lang w:val="en-US" w:eastAsia="fr-FR"/>
        </w:rPr>
        <w:t>. Sie ist sehr heiter, entwickelt überhaupt prächtigen Humor. Mit dem Lift sei es allerdings nicht so gewesen, wie sie mir gesagt hatte. Er sollte nur unter einem Vorwand nicht für die Fahrt abwärts benützt werden. Eine Menge Fragen, an denen nichts Krankhaftes ist. Sie hat peinlich starke Schmerzen im Gesicht, in der Hand längs der Daumenseite und im Bein gehabt. Sie fühle Steifigkeit und Gesichtsschmerzen, wenn sie längere Zeit ruhig gesessen sei oder auf einen Punkt gestarrt habe. Das Heben eines schwereren Gegenstandes verursache ihr Armschmerzen. – Die Untersuchung des rechten Beines ergibt ziemlich gute Sensibilität am Oberschenkel, hochgradige Anästhesie am Unterschenkel und Fuss, mindere in der Backen- und Lendengegend.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der Hypnose gibt sie an, sie habe noch gelegentliche Angstvorstellungen, wie, es könnte ihren Kindern etwas geschehen, sie könnten </w:t>
      </w:r>
      <w:r w:rsidRPr="00C820A0">
        <w:rPr>
          <w:rFonts w:ascii="Garamond" w:hAnsi="Garamond"/>
          <w:color w:val="666666"/>
          <w:sz w:val="20"/>
          <w:szCs w:val="20"/>
          <w:lang w:val="en-US" w:eastAsia="fr-FR"/>
        </w:rPr>
        <w:t>[</w:t>
      </w:r>
      <w:hyperlink r:id="rId1759" w:tooltip="Seite:De Studien über Hysterie 060.jpg" w:history="1">
        <w:r w:rsidRPr="00C820A0">
          <w:rPr>
            <w:rFonts w:ascii="Garamond" w:hAnsi="Garamond"/>
            <w:b/>
            <w:bCs/>
            <w:color w:val="0000FF"/>
            <w:sz w:val="20"/>
            <w:szCs w:val="20"/>
            <w:u w:val="single"/>
            <w:lang w:val="en-US" w:eastAsia="fr-FR"/>
          </w:rPr>
          <w:t>60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krank werden oder nicht am Leben bleiben, ihr Bruder, der jetzt auf der Hochzeitsreise sei, könnte einen Unfall erleiden, seine Frau sterben, weil alle Geschwister so kurz verheirathet waren. Andere Befürchtungen sind ihr nicht zu entlocken. Ich verweise ihr das Bedürfnis, sich zu ängstigen, wo kein Grund vorliegt. Sie verspricht es zu unterlassen, „weil Sie es verlangen“. Weitere Suggestionen für die Schmerzen, das Bein u. s. w.</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16. Mai. Sie hat gut geschlafen, klagt noch über Schmerzen im Gesicht, Arm, Beinen, ist sehr heiter. Die Hypnose fällt ganz unergiebig aus. Faradische Pinselung des anästhetischen Beines.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Abends</w:t>
      </w:r>
      <w:r w:rsidRPr="00C820A0">
        <w:rPr>
          <w:rFonts w:ascii="Garamond" w:hAnsi="Garamond"/>
          <w:sz w:val="20"/>
          <w:szCs w:val="20"/>
          <w:lang w:val="en-US" w:eastAsia="fr-FR"/>
        </w:rPr>
        <w:t xml:space="preserve">. Sie erschrickt gleich bei meinem Eintreten. – „Gut, dass Sie kommen. Ich bin so erschrocken.“ – Dabei alle Zeichen des Grausens, Stottern, Tick. Ich lasse mir zuerst im Wachen erzählen, was es gegeben hat, wobei sie das Entsetzen mit gekrümmten Fingern und vorgestreckten Händen vortrefflich darstellt. – Im Garten ist eine ungeheuere Maus plötzlich über ihre Hand gehuscht und dann plötzlich verschwunden, es huschte überhaupt beständig hin und her (Illusion spielender Schatten?). Auf den Bäumen sassen lauter Mäuse. – Hören Sie nicht die Pferde im Circus stampfen? – Daneben stöhnt ein Herr, ich glaube, er hat Schmerzen nach der Operation. – Bin ich denn auf </w:t>
      </w:r>
      <w:r w:rsidRPr="00C820A0">
        <w:rPr>
          <w:rFonts w:ascii="Garamond" w:hAnsi="Garamond"/>
          <w:i/>
          <w:iCs/>
          <w:sz w:val="20"/>
          <w:szCs w:val="20"/>
          <w:lang w:val="en-US" w:eastAsia="fr-FR"/>
        </w:rPr>
        <w:t>Rügen</w:t>
      </w:r>
      <w:r w:rsidRPr="00C820A0">
        <w:rPr>
          <w:rFonts w:ascii="Garamond" w:hAnsi="Garamond"/>
          <w:sz w:val="20"/>
          <w:szCs w:val="20"/>
          <w:lang w:val="en-US" w:eastAsia="fr-FR"/>
        </w:rPr>
        <w:t>, habe ich dort so einen Ofen gehabt? – Sie ist auch verworren unter der Fülle von Gedanken, die sich in ihr kreuzen, und in dem Bemühen, die Gegenwart herauszufinden. Auf Fragen nach gegenwärtigen Dingen, z. B. ob die Töchter heute da waren, weiss sie nicht zu antworten.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versuche die Entwirrung dieses Zustandes in der Hypnose.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Hypnose</w:t>
      </w:r>
      <w:r w:rsidRPr="00C820A0">
        <w:rPr>
          <w:rFonts w:ascii="Garamond" w:hAnsi="Garamond"/>
          <w:sz w:val="20"/>
          <w:szCs w:val="20"/>
          <w:lang w:val="en-US" w:eastAsia="fr-FR"/>
        </w:rPr>
        <w:t xml:space="preserve">. Wovor haben Sie sich denn geängstigt? – Sie wiederholt die Mäusegeschichte mit allen Zeichen des Entsetzens; auch sei, als sie über die Treppe ging, ein scheussliches Thier da gelegen und gleich verschwunden. Ich erkläre das für Hallucinationen, verweise ihr die Furcht vor Mäusen, die komme nur bei Trinkern vor (die sie sehr verabscheut). Ich erzähle ihr die Geschichte vom Bischof </w:t>
      </w:r>
      <w:r w:rsidRPr="00C820A0">
        <w:rPr>
          <w:rFonts w:ascii="Garamond" w:hAnsi="Garamond"/>
          <w:i/>
          <w:iCs/>
          <w:sz w:val="20"/>
          <w:szCs w:val="20"/>
          <w:lang w:val="en-US" w:eastAsia="fr-FR"/>
        </w:rPr>
        <w:t>Hatto</w:t>
      </w:r>
      <w:r w:rsidRPr="00C820A0">
        <w:rPr>
          <w:rFonts w:ascii="Garamond" w:hAnsi="Garamond"/>
          <w:sz w:val="20"/>
          <w:szCs w:val="20"/>
          <w:lang w:val="en-US" w:eastAsia="fr-FR"/>
        </w:rPr>
        <w:t xml:space="preserve">, die sie auch kennt und mit ärgstem Grausen anhört. – „Wie kommen Sie denn auf den Circus?“ – Sie hört deutlich aus der Nähe, wie die Pferde in den Ställen stampfen und sich dabei im Halfter verwickeln, wodurch sie sich beschädigen können. Der Johann pflege dann immer hinauszugehen und sie loszubinden. – Ich bestreite ihr die Nähe des Stalles und das Stöhnen des Nachbars. Ob sie wisse, wo sie ist? – Sie weiss es, aber sie glaubte früher, auf </w:t>
      </w:r>
      <w:r w:rsidRPr="00C820A0">
        <w:rPr>
          <w:rFonts w:ascii="Garamond" w:hAnsi="Garamond"/>
          <w:i/>
          <w:iCs/>
          <w:sz w:val="20"/>
          <w:szCs w:val="20"/>
          <w:lang w:val="en-US" w:eastAsia="fr-FR"/>
        </w:rPr>
        <w:t>Rügen</w:t>
      </w:r>
      <w:r w:rsidRPr="00C820A0">
        <w:rPr>
          <w:rFonts w:ascii="Garamond" w:hAnsi="Garamond"/>
          <w:sz w:val="20"/>
          <w:szCs w:val="20"/>
          <w:lang w:val="en-US" w:eastAsia="fr-FR"/>
        </w:rPr>
        <w:t xml:space="preserve"> zu sein. – Wie </w:t>
      </w:r>
      <w:r w:rsidRPr="00C820A0">
        <w:rPr>
          <w:rFonts w:ascii="Garamond" w:hAnsi="Garamond"/>
          <w:color w:val="666666"/>
          <w:sz w:val="20"/>
          <w:szCs w:val="20"/>
          <w:lang w:val="en-US" w:eastAsia="fr-FR"/>
        </w:rPr>
        <w:t>[</w:t>
      </w:r>
      <w:hyperlink r:id="rId1760" w:tooltip="Seite:De Studien über Hysterie 061.jpg" w:history="1">
        <w:r w:rsidRPr="00C820A0">
          <w:rPr>
            <w:rFonts w:ascii="Garamond" w:hAnsi="Garamond"/>
            <w:b/>
            <w:bCs/>
            <w:color w:val="0000FF"/>
            <w:sz w:val="20"/>
            <w:szCs w:val="20"/>
            <w:u w:val="single"/>
            <w:lang w:val="en-US" w:eastAsia="fr-FR"/>
          </w:rPr>
          <w:t>61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sie zu dieser Erinnerung kommt? – Sie sprachen im Garten davon, dass es an einer Stelle so heiss sei, und da sei ihr die schattenlose Terrasse auf </w:t>
      </w:r>
      <w:r w:rsidRPr="00C820A0">
        <w:rPr>
          <w:rFonts w:ascii="Garamond" w:hAnsi="Garamond"/>
          <w:i/>
          <w:iCs/>
          <w:sz w:val="20"/>
          <w:szCs w:val="20"/>
          <w:lang w:val="en-US" w:eastAsia="fr-FR"/>
        </w:rPr>
        <w:t>Rügen</w:t>
      </w:r>
      <w:r w:rsidRPr="00C820A0">
        <w:rPr>
          <w:rFonts w:ascii="Garamond" w:hAnsi="Garamond"/>
          <w:sz w:val="20"/>
          <w:szCs w:val="20"/>
          <w:lang w:val="en-US" w:eastAsia="fr-FR"/>
        </w:rPr>
        <w:t xml:space="preserve"> eingefallen. – Was für traurige Erinnerungen sie denn an den Aufenthalt in </w:t>
      </w:r>
      <w:r w:rsidRPr="00C820A0">
        <w:rPr>
          <w:rFonts w:ascii="Garamond" w:hAnsi="Garamond"/>
          <w:i/>
          <w:iCs/>
          <w:sz w:val="20"/>
          <w:szCs w:val="20"/>
          <w:lang w:val="en-US" w:eastAsia="fr-FR"/>
        </w:rPr>
        <w:t>Rügen</w:t>
      </w:r>
      <w:r w:rsidRPr="00C820A0">
        <w:rPr>
          <w:rFonts w:ascii="Garamond" w:hAnsi="Garamond"/>
          <w:sz w:val="20"/>
          <w:szCs w:val="20"/>
          <w:lang w:val="en-US" w:eastAsia="fr-FR"/>
        </w:rPr>
        <w:t xml:space="preserve"> habe? – Sie bringt die Reihe derselben vor. Sie habe dort die furchtbarsten Arm- und Beinschmerzen bekommen, sei mehrmals bei Ausflügen in den Nebel gerathen, so dass sie den Weg verfehlt, zweimal auf Spaziergängen von einem Stier verfolgt worden u. s. w. – Wieso sie heute zu diesem Anfall gekommen? – Ja, wieso? Sie habe sehr viele Briefe geschrieben, drei Stunden lang und dabei einen eingenommenen Kopf bekommen. – Ich kann also annehmen, dass die Ermüdung diesen Anfall von Delirium herbeigeführt hat, dessen Inhalt durch solche Anklänge wie die schattenlose Stelle im Garten etc. bestimmt wurde. – Ich wiederhole alle die Lehren, die ich ihr zu geben pflege, und verlasse sie eingeschläfert.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17. Mai. Sie hat sehr gut geschlafen. Im Kleienbad, das sie heute nahm, hat sie mehrmals aufgeschrien, weil sie die Kleie für kleine Würmer hielt. Ich weiss dies von der Wärterin; sie mag es nicht gerne erzählen, ist fast ausgelassen heiter, unterbricht sich aber häufig mit Schreien „Huh“, Grimassen, die das Entsetzen ausdrücken, zeigt auch mehr Stottern als je in den letzten Tagen. </w:t>
      </w:r>
      <w:r w:rsidRPr="00C820A0">
        <w:rPr>
          <w:rFonts w:ascii="Garamond" w:hAnsi="Garamond"/>
          <w:sz w:val="20"/>
          <w:szCs w:val="20"/>
          <w:lang w:val="en-US" w:eastAsia="fr-FR"/>
        </w:rPr>
        <w:t>Sie erzählt, dass sie in der Nacht geträumt, sie gehe auf lauter Blutegeln. In der Nacht vorher hatte sie grässliche Träume, musste so viele Todte schmücken und in den Sarg legen, wollte aber nie den Deckel darauf geben. (Offenbar eine Reminiscenz an ihren Mann, s. o.) Erzählt ferner, dass ihr im Leben eine Menge von Abenteuern mit Thieren passirt seien, das grässlichste mit einer Fledermaus, die sich in ihrem Toiletteschrank eingefangen, wobei sie damals unangekleidet aus dem Zimmer lief. Ihr Bruder schenkte ihr darauf, um sie von dieser Angst zu curiren, eine schöne Broche in Gestalt einer Fledermaus; sie konnte dieselbe aber nie tragen.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der Hypnose: Ihre Angst vor Würmern rühre daher, dass sie einmal ein schönes Nadelkissen geschenkt bekommen, aus welchem am nächsten Morgen, als sie es gebrauchen wollte, lauter kleine Würmer hervorkrochen, weil die zur Füllung verwendete Kleie nicht ganz trocken war. (Hallucination? Vielleicht thatsächlich.) Ich frage nach weiteren Thiergeschichten. Als sie einmal mit ihrem Manne in einem Petersburger Park spazieren ging, sei der ganze Weg bis zum Teich mit Kröten besetzt gewesen, so dass sie umkehren mussten. Sie habe Zeiten gehabt, in denen sie </w:t>
      </w:r>
      <w:r w:rsidRPr="00C820A0">
        <w:rPr>
          <w:rFonts w:ascii="Garamond" w:hAnsi="Garamond"/>
          <w:sz w:val="20"/>
          <w:szCs w:val="20"/>
          <w:lang w:val="en-US" w:eastAsia="fr-FR"/>
        </w:rPr>
        <w:lastRenderedPageBreak/>
        <w:t xml:space="preserve">niemand die Hand reichen konnte aus </w:t>
      </w:r>
      <w:r w:rsidRPr="00C820A0">
        <w:rPr>
          <w:rFonts w:ascii="Garamond" w:hAnsi="Garamond"/>
          <w:color w:val="666666"/>
          <w:sz w:val="20"/>
          <w:szCs w:val="20"/>
          <w:lang w:val="en-US" w:eastAsia="fr-FR"/>
        </w:rPr>
        <w:t>[</w:t>
      </w:r>
      <w:hyperlink r:id="rId1761" w:tooltip="Seite:De Studien über Hysterie 062.jpg" w:history="1">
        <w:r w:rsidRPr="00C820A0">
          <w:rPr>
            <w:rFonts w:ascii="Garamond" w:hAnsi="Garamond"/>
            <w:b/>
            <w:bCs/>
            <w:color w:val="0000FF"/>
            <w:sz w:val="20"/>
            <w:szCs w:val="20"/>
            <w:u w:val="single"/>
            <w:lang w:val="en-US" w:eastAsia="fr-FR"/>
          </w:rPr>
          <w:t>62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Furcht, diese verwandle sich in ein scheussliches Thier, wie es so oft der Fall gewesen war. Ich versuche sie von der Thierangst zu befreien, indem ich die Thiere einzeln durchgehe und frage, ob sie sich vor ihnen fürchte. Sie antwortet bei den einen „Nein“, bei den anderen: „Ich darf mich nicht fürchten“.</w:t>
      </w:r>
      <w:hyperlink r:id="rId1762" w:anchor="cite_note-21" w:history="1">
        <w:r w:rsidRPr="00C820A0">
          <w:rPr>
            <w:rFonts w:ascii="Garamond" w:hAnsi="Garamond"/>
            <w:color w:val="0000FF"/>
            <w:sz w:val="20"/>
            <w:szCs w:val="20"/>
            <w:u w:val="single"/>
            <w:vertAlign w:val="superscript"/>
            <w:lang w:val="en-US" w:eastAsia="fr-FR"/>
          </w:rPr>
          <w:t>[21]</w:t>
        </w:r>
      </w:hyperlink>
      <w:r w:rsidRPr="00C820A0">
        <w:rPr>
          <w:rFonts w:ascii="Garamond" w:hAnsi="Garamond"/>
          <w:sz w:val="20"/>
          <w:szCs w:val="20"/>
          <w:lang w:val="en-US" w:eastAsia="fr-FR"/>
        </w:rPr>
        <w:t xml:space="preserve"> Ich frage, warum sie heute und gestern so gezuckt und gestottert. Das thue sie immer, wenn sie so schreckhaft sei.</w:t>
      </w:r>
      <w:hyperlink r:id="rId1763" w:anchor="cite_note-22" w:history="1">
        <w:r w:rsidRPr="00C820A0">
          <w:rPr>
            <w:rFonts w:ascii="Garamond" w:hAnsi="Garamond"/>
            <w:color w:val="0000FF"/>
            <w:sz w:val="20"/>
            <w:szCs w:val="20"/>
            <w:u w:val="single"/>
            <w:vertAlign w:val="superscript"/>
            <w:lang w:val="en-US" w:eastAsia="fr-FR"/>
          </w:rPr>
          <w:t>[22]</w:t>
        </w:r>
      </w:hyperlink>
      <w:r w:rsidRPr="00C820A0">
        <w:rPr>
          <w:rFonts w:ascii="Garamond" w:hAnsi="Garamond"/>
          <w:sz w:val="20"/>
          <w:szCs w:val="20"/>
          <w:lang w:val="en-US" w:eastAsia="fr-FR"/>
        </w:rPr>
        <w:t xml:space="preserve"> – Warum sie aber gestern so schreckhaft gewesen? – Im Garten sei ihr allerlei eingefallen, was sie drückte. Vor allem, wie sie verhindern könne, dass sich wieder etwas bei ihr anhäufe, nachdem sie aus der Behandlung entlassen sei. – Ich wiederhole ihr die drei Trostgründe, die ich ihr schon im Wachen gegeben: 1. Sie sei überhaupt gesünder und widerstandsfähiger geworden. 2. Sie werde sich gewöhnen, sich gegen irgend eine ihr nahe stehende Person auszusprechen. 3. Sie werde eine ganze Menge von Dingen, die sie bisher gedrückt, fortan zu den indifferenten zählen. – Es habe sie ferner gedrückt, dass sie mir nicht für mein spätes Kommen gedankt, dass sie gefürchtet, ich werde wegen ihres letzten Rückfalles die Geduld mit ihr verlieren. Es habe sie sehr ergriffen und geängstigt, dass der Hausarzt im Garten einen Herrn gefragt habe, ob er schon Muth zur Operation habe. </w:t>
      </w:r>
      <w:r w:rsidRPr="00C820A0">
        <w:rPr>
          <w:rFonts w:ascii="Garamond" w:hAnsi="Garamond"/>
          <w:sz w:val="20"/>
          <w:szCs w:val="20"/>
          <w:lang w:eastAsia="fr-FR"/>
        </w:rPr>
        <w:t xml:space="preserve">Die Frau sass dabei; sie selbst musste denken, wenn dies nun der letzte Abend des armen Mannes wäre. </w:t>
      </w:r>
      <w:r w:rsidRPr="00C820A0">
        <w:rPr>
          <w:rFonts w:ascii="Garamond" w:hAnsi="Garamond"/>
          <w:sz w:val="20"/>
          <w:szCs w:val="20"/>
          <w:lang w:val="en-US" w:eastAsia="fr-FR"/>
        </w:rPr>
        <w:t>Mit dieser letzten Mittheilung scheint die Verstimmung gelöst zu sein!</w:t>
      </w:r>
      <w:hyperlink r:id="rId1764" w:anchor="cite_note-23" w:history="1">
        <w:r w:rsidRPr="00C820A0">
          <w:rPr>
            <w:rFonts w:ascii="Garamond" w:hAnsi="Garamond"/>
            <w:color w:val="0000FF"/>
            <w:sz w:val="20"/>
            <w:szCs w:val="20"/>
            <w:u w:val="single"/>
            <w:vertAlign w:val="superscript"/>
            <w:lang w:val="en-US" w:eastAsia="fr-FR"/>
          </w:rPr>
          <w:t>[23]</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765" w:tooltip="Seite:De Studien über Hysterie 063.jpg" w:history="1">
        <w:r w:rsidRPr="00C820A0">
          <w:rPr>
            <w:rFonts w:ascii="Garamond" w:hAnsi="Garamond"/>
            <w:b/>
            <w:bCs/>
            <w:color w:val="0000FF"/>
            <w:sz w:val="20"/>
            <w:szCs w:val="20"/>
            <w:u w:val="single"/>
            <w:lang w:val="en-US" w:eastAsia="fr-FR"/>
          </w:rPr>
          <w:t>63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t>
      </w:r>
      <w:r w:rsidRPr="00C820A0">
        <w:rPr>
          <w:rFonts w:ascii="Garamond" w:hAnsi="Garamond"/>
          <w:i/>
          <w:iCs/>
          <w:sz w:val="20"/>
          <w:szCs w:val="20"/>
          <w:lang w:val="en-US" w:eastAsia="fr-FR"/>
        </w:rPr>
        <w:t>Abends</w:t>
      </w:r>
      <w:r w:rsidRPr="00C820A0">
        <w:rPr>
          <w:rFonts w:ascii="Garamond" w:hAnsi="Garamond"/>
          <w:sz w:val="20"/>
          <w:szCs w:val="20"/>
          <w:lang w:val="en-US" w:eastAsia="fr-FR"/>
        </w:rPr>
        <w:t xml:space="preserve"> ist sie sehr heiter und zufrieden. Die Hypnose liefert gar kein Ergebnis. Ich beschäftige mich mit der Behandlung der Muskelschmerzen und mit der Herstellung den Sensibilität am rechten Bein, was in der Hypnose sehr leicht gelingt; die hergestellte Empfindlichkeit ist nach dem Erwachen aber zum Theil wieder verloren gegangen. Ehe ich sie verlasse, äussert sie ihre Verwunderung darüber, dass sie so lange keinen Genickkrampf gehabt, der sonst vor jedem Gewitter aufzutreten pflegte.</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18. </w:t>
      </w:r>
      <w:r w:rsidRPr="00C820A0">
        <w:rPr>
          <w:rFonts w:ascii="Garamond" w:hAnsi="Garamond"/>
          <w:i/>
          <w:iCs/>
          <w:sz w:val="20"/>
          <w:szCs w:val="20"/>
          <w:lang w:val="en-US" w:eastAsia="fr-FR"/>
        </w:rPr>
        <w:t>Mai</w:t>
      </w:r>
      <w:r w:rsidRPr="00C820A0">
        <w:rPr>
          <w:rFonts w:ascii="Garamond" w:hAnsi="Garamond"/>
          <w:sz w:val="20"/>
          <w:szCs w:val="20"/>
          <w:lang w:val="en-US" w:eastAsia="fr-FR"/>
        </w:rPr>
        <w:t>. Sie hat heute Nacht geschlafen, wie es seit Jahren nicht mehr vorgekommen, klagt aber seit dem Bad über Kälte im Genick, Zusammenziehen und Schmerzen im Gesicht, in den Händen und Füssen, ihre Züge sind gespannt, ihre Hände in Krampfstellungen. Die Hypnose weist keinerlei psychischen Inhalt dieses Zustandes von „Genickkrampf“ nach, den ich dann durch Massage im Wachen bessere.</w:t>
      </w:r>
      <w:hyperlink r:id="rId1766" w:anchor="cite_note-24" w:history="1">
        <w:r w:rsidRPr="00C820A0">
          <w:rPr>
            <w:rFonts w:ascii="Garamond" w:hAnsi="Garamond"/>
            <w:color w:val="0000FF"/>
            <w:sz w:val="20"/>
            <w:szCs w:val="20"/>
            <w:u w:val="single"/>
            <w:vertAlign w:val="superscript"/>
            <w:lang w:eastAsia="fr-FR"/>
          </w:rPr>
          <w:t>[24]</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3"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Ich hoffe, der vorstehende Auszug aus der Chronik der ersten drei Wochen wird hinreichen, ein anschauliches Bild von dem Zustand der Kranken, von der Art meiner therapeutischen Bemühung und von deren Erfolg zu geben. Ich gehe daran, die Krankengeschichte zu vervollständigen.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eastAsia="fr-FR"/>
        </w:rPr>
        <w:t>[</w:t>
      </w:r>
      <w:hyperlink r:id="rId1767" w:tooltip="Seite:De Studien über Hysterie 064.jpg" w:history="1">
        <w:r w:rsidRPr="00C820A0">
          <w:rPr>
            <w:rFonts w:ascii="Garamond" w:hAnsi="Garamond"/>
            <w:b/>
            <w:bCs/>
            <w:color w:val="0000FF"/>
            <w:sz w:val="20"/>
            <w:szCs w:val="20"/>
            <w:u w:val="single"/>
            <w:lang w:eastAsia="fr-FR"/>
          </w:rPr>
          <w:t>64</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Das zuletzt beschriebene hysterische Delirium war auch die letzte erheblichere Störung im Befinden der Frau Emmy v. N. Da ich nicht selbständig nach Krankheitssymptomen und deren Begründung forschte, sondern zuwartete, bis sich etwas zeigte oder sie mir einen beängstigenden Gedanken eingestand, wurden die Hypnosen bald unergiebig und wurden von mir meistens dazu verwendet, ihr Lehren zu ertheilen, die in ihren Gedanken stets gegenwärtig bleiben und sie davor schützen sollten, zu Hause neuerdings in ähnliche Zustände zu verfallen. </w:t>
      </w:r>
      <w:r w:rsidRPr="00C820A0">
        <w:rPr>
          <w:rFonts w:ascii="Garamond" w:hAnsi="Garamond"/>
          <w:sz w:val="20"/>
          <w:szCs w:val="20"/>
          <w:lang w:val="en-US" w:eastAsia="fr-FR"/>
        </w:rPr>
        <w:t xml:space="preserve">Ich stand damals völlig unter dem Banne des </w:t>
      </w:r>
      <w:r w:rsidRPr="00C820A0">
        <w:rPr>
          <w:rFonts w:ascii="Garamond" w:hAnsi="Garamond"/>
          <w:i/>
          <w:iCs/>
          <w:sz w:val="20"/>
          <w:szCs w:val="20"/>
          <w:lang w:val="en-US" w:eastAsia="fr-FR"/>
        </w:rPr>
        <w:t>Bernheim</w:t>
      </w:r>
      <w:r w:rsidRPr="00C820A0">
        <w:rPr>
          <w:rFonts w:ascii="Garamond" w:hAnsi="Garamond"/>
          <w:sz w:val="20"/>
          <w:szCs w:val="20"/>
          <w:lang w:val="en-US" w:eastAsia="fr-FR"/>
        </w:rPr>
        <w:t>’schen Buches über die Suggestion und erwartete mehr von solcher lehrhafter Beeinflussung, als ich heute erwarten würde. Das Befinden meiner Patientin hob sich in kurzer Zeit so sehr, dass sie versicherte, sich seit dem Tode ihres Mannes nicht ähnlich wohl gefühlt zu haben. Ich entliess sie nach im Ganzen 7wöchentlicher Behandlung in ihre Heimath an der Ostsee.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Nicht ich, sondern Dr.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erhielt nach etwa 7 Monaten Nachricht von ihr. Ihr Wohlbefinden hatte mehrere Monate angehalten und war dann einer neuerlichen psychischen Erschütterung erlegen. Ihre älteste Tochter, die bereits während des ersten Aufenthaltes in Wien es der Mutter an Genickkrämpfen und leichteren hysterischen Zuständen gleich gethan hatte, die vor Allem an Schmerzen beim Gehen in Folge einer Retroflexio uteri litt, war auf meinen Rath von Dr. N. . ., einem unserer angesehensten Gynaekologen, behandelt worden, der ihr den Uterus durch Massage aufrichtete, so dass sie mehrere Monate frei von Beschwerden blieb. Als sich diese zu Hause wieder einstellten, wandte sich die Mutter an den Gynaekologen der nächsten Universitätsstadt, welcher dem Mädchen eine combinirte locale und allgemeine Therapie angedeihen liess, die aber zu einer schweren nervösen Erkrankung des Kindes führte. Wahrscheinlich zeigte sich hierin bereits die pathologische Veranlagung des damals 17jährigen Mädchens, die ein Jahr später in einer Charakterveränderung manifest wurde. Die Mutter, die das Kind mit ihrem gewohnten Gemische von Ergebung und Misstrauen den Aerzten überlassen hatte, machte sich nach dem unglücklichen Ausgang dieser Cur die allerheftigsten Vorwürfe, gelangte auf einem Gedankenwege, dem ich nicht nachgespürt habe, zum Schluss, dass wir beide, Dr. N. . . und ich, Schuld an der Erkrankung des Kindes trügen, weil wir ihr das schwere Leiden der Kleinen als leicht dargestellt, hob gewissermaassen durch einen Willensact die Wirkung meiner Behandlung auf und verfiel alsbald wieder in dieselben </w:t>
      </w:r>
      <w:r w:rsidRPr="00C820A0">
        <w:rPr>
          <w:rFonts w:ascii="Garamond" w:hAnsi="Garamond"/>
          <w:color w:val="666666"/>
          <w:sz w:val="20"/>
          <w:szCs w:val="20"/>
          <w:lang w:val="en-US" w:eastAsia="fr-FR"/>
        </w:rPr>
        <w:t>[</w:t>
      </w:r>
      <w:hyperlink r:id="rId1768" w:tooltip="Seite:De Studien über Hysterie 065.jpg" w:history="1">
        <w:r w:rsidRPr="00C820A0">
          <w:rPr>
            <w:rFonts w:ascii="Garamond" w:hAnsi="Garamond"/>
            <w:b/>
            <w:bCs/>
            <w:color w:val="0000FF"/>
            <w:sz w:val="20"/>
            <w:szCs w:val="20"/>
            <w:u w:val="single"/>
            <w:lang w:val="en-US" w:eastAsia="fr-FR"/>
          </w:rPr>
          <w:t>65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Zustände, von denen ich sie befreit hatte. Ein hervorragender Arzt in ihrer Nähe, an den sie sich wandte, und Dr.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der brieflich mit ihr verkehrte, vermochten es zwar, sie zur Einsicht von der Unschuld der beiden Angeklagten zu bringen, allein die zu dieser Zeit gefasste Abneigung gegen mich blieb ihr als hysterischer Rest auch nach dieser Aufklärung übrig, und sie erklärte, es sei ihr unmöglich, sich wieder in meine Behandlung zu begeben. Nach dem Rath jener ärztlichen Autorität suchte sie Hilfe in einem Sanatorium Norddeutschlands, und ich theilte auf </w:t>
      </w:r>
      <w:r w:rsidRPr="00C820A0">
        <w:rPr>
          <w:rFonts w:ascii="Garamond" w:hAnsi="Garamond"/>
          <w:i/>
          <w:iCs/>
          <w:sz w:val="20"/>
          <w:szCs w:val="20"/>
          <w:lang w:val="en-US" w:eastAsia="fr-FR"/>
        </w:rPr>
        <w:t>Breuer’s</w:t>
      </w:r>
      <w:r w:rsidRPr="00C820A0">
        <w:rPr>
          <w:rFonts w:ascii="Garamond" w:hAnsi="Garamond"/>
          <w:sz w:val="20"/>
          <w:szCs w:val="20"/>
          <w:lang w:val="en-US" w:eastAsia="fr-FR"/>
        </w:rPr>
        <w:t xml:space="preserve"> Wunsch dem leitenden Arzte der Anstalt mit, welche Modification der hypnotischen Therapie sich bei ihr wirksam erwiesen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Dieser Versuch einer Uebertragung misslang ganz gründlich. Sie scheint sich von Anfang an mit dem Arzt nicht verstanden zu haben, erschöpfte sich im Widerstand gegen alles, was man mit ihr vornahm, kam herunter, verlor Schlaf und Esslust und erholte sich erst, nachdem eine Freundin, die sie in der Anstalt besuchte, sie eigentlich heimlich entführt und in ihrem Hause gepflegt hatte. Kurze Zeit darauf, genau 1 Jahr nach ihrem ersten Zusammentreffen mit mir, war sie wieder in Wien und gab sich wieder in meine Hände.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Ich fand sie weit besser, als ich sie mir nach den brieflichen Berichten vorgestellt hatte. Sie war beweglich, angstfrei; es hatte doch vieles gehalten, was ich im Vorjahre aufgerichtet hatte. Ihre Hauptklage war die über häufige Verworrenheit, „Sturm im Kopf“, wie sie es nannte; ausserdem war sie schlaflos, musste oft durch Stunden weinen und wurde zu einer bestimmten Zeit des Tages (5 Uhr) traurig. Es war dies die Zeit, um welche sie im Winter die im Sanatorium befindliche Tochter besuchen durfte. Sie stotterte und schnalzte sehr viel, rieb häufig wie wüthend die Hände an einander, und als ich sie fragte, ob sie viel Thiere sehe, antwortete sie nur: „O, seien Sie still.“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Beim ersten Versuch, sie in Hypnose zu versetzen, ballte sie die Fäuste, schrie: „Ich will keine Antipyrininjection, ich will lieber meine Schmerzen behalten. Ich mag den Dr. R... nicht, er ist mir antipathisch.“ Ich erkannte, dass sie in der Reminiscenz einer Hypnose in der Anstalt befangen sei, und sie beruhigte sich, als ich sie in die gegenwärtige Situation zurückbrachte.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Gleich zu Beginn der Behandlung machte ich eine lehrreiche Erfahrung. Ich hatte gefragt, seit wann das Stottern wiedergekommen sei, und sie hatte (in der Hypnose) zögernd geantwortet: seit dem Schreck, </w:t>
      </w:r>
      <w:r w:rsidRPr="00C820A0">
        <w:rPr>
          <w:rFonts w:ascii="Garamond" w:hAnsi="Garamond"/>
          <w:color w:val="666666"/>
          <w:sz w:val="20"/>
          <w:szCs w:val="20"/>
          <w:lang w:val="en-US" w:eastAsia="fr-FR"/>
        </w:rPr>
        <w:t>[</w:t>
      </w:r>
      <w:hyperlink r:id="rId1769" w:tooltip="Seite:De Studien über Hysterie 066.jpg" w:history="1">
        <w:r w:rsidRPr="00C820A0">
          <w:rPr>
            <w:rFonts w:ascii="Garamond" w:hAnsi="Garamond"/>
            <w:b/>
            <w:bCs/>
            <w:color w:val="0000FF"/>
            <w:sz w:val="20"/>
            <w:szCs w:val="20"/>
            <w:u w:val="single"/>
            <w:lang w:val="en-US" w:eastAsia="fr-FR"/>
          </w:rPr>
          <w:t>66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den sie im Winter in D. . . gehabt. Ein Kellner des Gasthofs, in dem sie wohnte, hatte sich in ihrem Zimmer versteckt; sie habe das Ding in der Dunkelheit für einen Paletot gehalten, hingegriffen, und da sei der Mann plötzlich „in die Höhe geschossen“. Ich nehme ihr dieses Erinnerungsbild ab, und wirklich stottert sie von da an in der Hypnose wie im Wachen kaum merklich. Ich weiss nicht mehr, was mich bewog, hier die Probe auf den Erfolg zu versuchen. Als ich am Abend wiederkam, fragte ich sie anscheinend ganz harmlos, wie ich es denn machen solle, um bei meinem Weggehen, wenn sie im Schlafe liege, die Thüre so zu verschliessen, dass sich niemand hereinschleichen könne. Zu meinem Erstaunen erschrak sie heftig, begann mit Zähneknirschen und Händereiben, deutete an, sie habe einen heftigen Schreck in dieser Art in D. . . gehabt, war aber nicht zu bewegen, die Geschichte zu erzählen. Ich merkte, dass sie dieselbe Geschichte meine, die sie vormittags in der Hypnose erzählt, und die ich doch verwischt zu haben meinte. In der nächsten Hypnose erzählte sie nun ausführlicher und wahrheitsgetreuer. Sie war in ihrer Erregung am Abend auf dem Gange hin und her gegangen, fand die Thür zum Zimmer ihrer Kammerfrau offen und wollte eintreten, um sich dort niederzusetzen. Die Kammerfrau vertrat ihr den Weg, sie liess sich aber nicht abhalten, trat dennoch ein und bemerkte dann jenes dunkle Ding an der Wand, das sich als ein Mann erwies. Offenbar war es das erotische Moment dieses kleinen Abenteuers gewesen, was sie zu einer ungetreuen Darstellung veranlasst hatte. Ich hatte aber erfahren, dass eine unvollständige Erzählung in der Hypnose keinen Heileffect hat, gewöhnte mich, eine Erzählung für unvollständig zu halten, wenn sie keinen Nutzen brachte, und lernte es allmählich den Kranken an der Miene abzusehen, ob sie mir nicht ein wesentliches Stück der Beichte verschwiegen hätten.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Arbeit, die ich diesmal mit ihr vorzunehmen hatte, bestand in der hypnotischen Erledigung der unangenehmen Eindrücke, die sie während der Cur ihrer Tochter und während des eigenen Aufenthaltes in jener Anstalt in sich aufgenommen hatte. Sie war voll unterdrückter Wuth gegen den Arzt, der sie genöthigt hatte, in der Hypnose K..r..ö..t..e zu buchstabiren, und nahm mir das Versprechen ab, dieses Wort ihr niemals zuzumuthen. Ich erlaubte mir hier einen suggestiven Scherz, den einzigen, übrigens ziemlich harmlosen Missbrauch der Hypnose, dessen ich mich bei dieser Patientin anzuklagen habe. Ich versicherte ihr, der Aufenthalt in ***thal würde ihr so sehr in die Ferne entrückt sein, dass sie sich nicht einmal auf den Namen </w:t>
      </w:r>
      <w:r w:rsidRPr="00C820A0">
        <w:rPr>
          <w:rFonts w:ascii="Garamond" w:hAnsi="Garamond"/>
          <w:color w:val="666666"/>
          <w:sz w:val="20"/>
          <w:szCs w:val="20"/>
          <w:lang w:val="en-US" w:eastAsia="fr-FR"/>
        </w:rPr>
        <w:t>[</w:t>
      </w:r>
      <w:hyperlink r:id="rId1770" w:tooltip="Seite:De Studien über Hysterie 067.jpg" w:history="1">
        <w:r w:rsidRPr="00C820A0">
          <w:rPr>
            <w:rFonts w:ascii="Garamond" w:hAnsi="Garamond"/>
            <w:b/>
            <w:bCs/>
            <w:color w:val="0000FF"/>
            <w:sz w:val="20"/>
            <w:szCs w:val="20"/>
            <w:u w:val="single"/>
            <w:lang w:val="en-US" w:eastAsia="fr-FR"/>
          </w:rPr>
          <w:t>67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besinnen und jedesmal, wenn sie ihn aussprechen wollte, sich zwischen ... berg, ... thal, ... wald u. dgl. irren werde. Es traf so zu, und bald war die Unsicherheit bei diesem Namen die einzige Sprachhemmung, die an ihr zu beobachten war, bis ich sie auf eine Bemerkung von Dr.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von diesem Zwang zur Paramnesie befreite.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Länger als mit den Resten dieser Erlebnisse hatte ich mit den Zuständen zu kämpfen, die sie „Sturm im Kopfe“ benannte. Als ich sie zum ersten Male in solch einem Zustand sah, lag sie mit verzerrten Zügen auf dem Divan in unaufhörlicher Unruhe des ganzen Körpers, die Hände immer wieder gegen die Stirne gepresst, und rief dabei wie sehnsüchtig und rathlos den Namen „Emmy“, der ihr eigener wie der ihrer älteren Tochter war. In der Hypnose gab sie die Auskünfte, der Zustand sei die Wiederholung so vieler Anfälle von Verzweiflung, die sie während der Cur ihrer Tochter zu ergreifen pflegten, nachdem sie Stunden lange darüber nachgedacht, wie man den schlechten Erfolg der Behandlung corrigiren könne, ohne einen Ausweg zu finden. Als sie dann fühlte, dass sich ihre Gedanken verwirrten, gewöhnte sie sich daran, den Namen der Tochter laut zu rufen, um sich an ihm wieder zur Klarheit heraus zu arbeiten. Denn zu jener Zeit, als der Zustand der Tochter ihr neue Pflichten auferlegte und sie fühlte, dass die Nervosität wieder Macht über sie gewinne, habe sie bei sich festgesetzt, dass alles, was dieses Kind beträfe, der Verwirrung entzogen bleiben müsse, sollte auch alles andere in ihrem Kopfe drunter und drüber gehen.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Nach einigen Wochen waren auch diese Reminiscenzen überwunden, und Frau Emmy verblieb in vollkommenem Wohlbefinden noch einige Zeit in meiner Beobachtung. Grade gegen Ende ihres Aufenthaltes fiel etwas vor, was ich ausführlich erzählen will, weil diese Episode das hellste Licht auf den Charakter der Kranken und auf die Entstehungsweise ihrer Zustände wirft.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besuchte sie einmal zur Zeit ihres Mittagsessens und überraschte sie dabei, wie sie etwas in Papier gehüllt in den Garten warf, wo es die Kinder des Hausdieners auffiengen. Auf mein Befragen bekannte sie, es sei ihre (trockene) Mehlspeise, die alle Tage denselben Weg zu gehen pflege. Diess gab mir Anlass, mich nach den Resten der anderen Gänge umzusehen, und ich fand auf den Tellern mehr übriggelassen, als sie verzehrt haben konnte. Zur Rede gestellt, warum sie so wenig esse, antwortete sie, sie sei nicht gewöhnt, mehr zu essen, auch würde es ihr schaden; sie habe dieselbe Natur wie </w:t>
      </w:r>
      <w:r w:rsidRPr="00C820A0">
        <w:rPr>
          <w:rFonts w:ascii="Garamond" w:hAnsi="Garamond"/>
          <w:color w:val="666666"/>
          <w:sz w:val="20"/>
          <w:szCs w:val="20"/>
          <w:lang w:val="en-US" w:eastAsia="fr-FR"/>
        </w:rPr>
        <w:t>[</w:t>
      </w:r>
      <w:hyperlink r:id="rId1771" w:tooltip="Seite:De Studien über Hysterie 068.jpg" w:history="1">
        <w:r w:rsidRPr="00C820A0">
          <w:rPr>
            <w:rFonts w:ascii="Garamond" w:hAnsi="Garamond"/>
            <w:b/>
            <w:bCs/>
            <w:color w:val="0000FF"/>
            <w:sz w:val="20"/>
            <w:szCs w:val="20"/>
            <w:u w:val="single"/>
            <w:lang w:val="en-US" w:eastAsia="fr-FR"/>
          </w:rPr>
          <w:t>68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ihr seliger Vater, der gleichfalls ein schwacher Esser gewesen sei. Als ich mich erkundigte, was sie trinke, kam die Antwort, sie vertrage überhaupt nur dicke Flüssigkeiten, Milch, Kaffee, Cacao und dgl.; so oft sie Quellwasser oder Mineralwasser trinke, verderbe sie sich den Magen. Diess trug nun </w:t>
      </w:r>
      <w:r w:rsidRPr="00C820A0">
        <w:rPr>
          <w:rFonts w:ascii="Garamond" w:hAnsi="Garamond"/>
          <w:sz w:val="20"/>
          <w:szCs w:val="20"/>
          <w:lang w:val="en-US" w:eastAsia="fr-FR"/>
        </w:rPr>
        <w:lastRenderedPageBreak/>
        <w:t>unverkennbar den Stempel einer nervösen Election. Ich nahm eine Harnprobe mit und fand den Harn sehr concentrirt und mit harnsauren Salzen überladen.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erachtete es demnach für zweckmässig, ihr reichlicheres Trinken anzurathen, und nahm mir vor, auch ihre Nahrungsaufnahme zu steigern. Sie war zwar keineswegs auffällig mager, aber etwas Ueberernährung schien mir immerhin anstrebenswerth. Als ich ihr bei meinem nächsten Besuch ein alkalisches Wasser empfahl und die gewohnte Verwendung der Mehlspeise untersagte, gerieth sie in nicht geringe Aufregung. „Ich werde es thun, weil </w:t>
      </w:r>
      <w:r w:rsidRPr="00C820A0">
        <w:rPr>
          <w:rFonts w:ascii="Garamond" w:hAnsi="Garamond"/>
          <w:i/>
          <w:iCs/>
          <w:sz w:val="20"/>
          <w:szCs w:val="20"/>
          <w:lang w:val="en-US" w:eastAsia="fr-FR"/>
        </w:rPr>
        <w:t>Sie</w:t>
      </w:r>
      <w:r w:rsidRPr="00C820A0">
        <w:rPr>
          <w:rFonts w:ascii="Garamond" w:hAnsi="Garamond"/>
          <w:sz w:val="20"/>
          <w:szCs w:val="20"/>
          <w:lang w:val="en-US" w:eastAsia="fr-FR"/>
        </w:rPr>
        <w:t xml:space="preserve"> es verlangen, aber ich sage Ihnen vorher, es wird schlecht ausgehen, weil es meiner Natur widerstrebt, und mein Vater war ebenso.“ Auf die in der Hypnose gestellte Frage, warum sie nicht mehr essen und kein Wasser trinken könne, kam ziemlich mürrisch die Antwort: „Ich weiss nicht“. Am nächsten Tage bestätigte mir die Wärterin, dass Frau Emmy ihre ganze Portion bewältigt und ein Glas des alkalischen Wassers getrunken habe. Sie selbst fand ich aber liegend, tief verstimmt und in sehr ungnädiger Laune. Sie klagte über sehr heftige Magenschmerzen: „Ich habe es Ihnen ja gesagt. Jetzt ist der ganze Erfolg wieder weg, um den wir uns so lange gequält haben. Ich habe mir den Magen verdorben wie immer, wenn ich mehr esse oder Wasser trinke, und muss mich wieder 5 bis 8 Tage ganz aushungern, bis ich etwas vertrage.“ Ich versicherte ihr, sie werde sich nicht aushungern müssen, es sei ganz unmöglich, dass man auf diese Weise sich den Magen verderbe; ihre Schmerzen rührten nur von der Angst her, mit der sie gegessen und getrunken. Offenbar hatte ich ihr mit dieser Aufklärung nicht den geringsten Eindruck gemacht, denn als ich sie bald darauf einschläfern wollte, misslang die Hypnose zum ersten Male, und an dem wüthenden Blicke, den sie mir zuschleuderte, erkannte ich, dass sie in voller Auflehnung begriffen, und dass die Situation sehr ernst sei. Ich verzichtete auf die Hypnose, kündigte ihr an, dass ich ihr eine 24stündige Bedenkzeit lasse, um sich der Ansicht zu fügen, dass ihre Magenschmerzen nur von ihrer Furcht kämen; nach dieser Zeit werde ich sie fragen, ob sie noch meine, man könne sich den Magen auf 8 Tage hinaus durch </w:t>
      </w:r>
      <w:r w:rsidRPr="00C820A0">
        <w:rPr>
          <w:rFonts w:ascii="Garamond" w:hAnsi="Garamond"/>
          <w:color w:val="666666"/>
          <w:sz w:val="20"/>
          <w:szCs w:val="20"/>
          <w:lang w:val="en-US" w:eastAsia="fr-FR"/>
        </w:rPr>
        <w:t>[</w:t>
      </w:r>
      <w:hyperlink r:id="rId1772" w:tooltip="Seite:De Studien über Hysterie 069.jpg" w:history="1">
        <w:r w:rsidRPr="00C820A0">
          <w:rPr>
            <w:rFonts w:ascii="Garamond" w:hAnsi="Garamond"/>
            <w:b/>
            <w:bCs/>
            <w:color w:val="0000FF"/>
            <w:sz w:val="20"/>
            <w:szCs w:val="20"/>
            <w:u w:val="single"/>
            <w:lang w:val="en-US" w:eastAsia="fr-FR"/>
          </w:rPr>
          <w:t>69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ein Glas Mineralwasser und eine bescheidene Mahlzeit verderben, und wenn sie bejahe, werde ich sie bitten abzureisen. Die kleine Scene stand in recht scharfem Contrast zu unseren, sonst sehr freundschaftlichen Beziehungen.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traf sie 24 Stunden später demüthig und mürbe. Auf die Frage, wie sie über die Herkunft ihrer Magenschmerzen denke, antwortete sie, einer Verstellung unfähig: „Ich glaube, dass sie von meiner Angst kommen, aber nur, weil Sie es sagen.“ Jetzt versetzte ich sie in Hypnose und fragte neuerdings: „Warum können Sie nicht mehr essen?“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Antwort erfolgte prompt und bestand wieder in der Angabe einer chronologisch geordneten Reihe von Motiven aus der Erinnerung: „Wie ich ein Kind war, kam es oft vor, dass ich aus Unart bei Tisch mein Fleisch nicht essen wollte. Die Mutter war dann immer sehr streng, und ich musste bei schwerer Strafe 2 Stunden später das stehen gelassene Fleisch auf demselben Teller nachessen. Das Fleisch war ganz kalt geworden und das Fett so starr (Ekel),... und ich sehe die Gabel noch vor mir, ... die eine Zinke war etwas verbogen. Wenn ich mich jetzt zu Tisch setze, sehe ich immer die Teller vor mir mit dem kalten Fleisch und dem Fett; und wie ich viele Jahre später mit meinem Bruder zusammenlebte, der Officier war und der die garstige Krankheit hatte; – ich wusste, dass es ansteckend ist, und hatte so eine grässliche Angst, mich in dem Besteck zu irren und seine Gabel und sein Messer zu nehmen (Grausen), und ich habe doch mit ihm zusammengespeist, damit niemand merkt, dass er krank ist; und wie ich bald darauf meinen anderen Bruder gepflegt habe, der so lungenkrank war, da haben wir vor seinem Bett gegessen, und die Spuckschale stand immer auf dem Tisch und war offen (Grausen).... und er hatte die Gewohnheit, über die Teller weg in die Schale zu spucken, da habe ich mich immer so geekelt, und ich konnte es doch nicht zeigen, um ihn nicht zu beleidigen. Und diese Spuckschalen stehen immer noch auf dem Tisch, wenn ich esse, und da ekelt es mich noch immer.“ Ich räumte mit diesem Instrumentarium des Ekels natürlich gründlich auf und fragte dann, warum sie kein Wasser trinken könne. Als sie 17 Jahre alt war, verbrachte die Familie einige Monate in München, und fast alle Mitglieder zogen sich durch den Genuss des schlechten Trinkwassers Magenkatarrhe zu. Bei den Anderen wurde das Leiden durch ärztliche Anordnungen bald behoben, bei ihr hielt es an; auch das Mineralwasser, das ihr als Getränk empfohlen wurde, </w:t>
      </w:r>
      <w:r w:rsidRPr="00C820A0">
        <w:rPr>
          <w:rFonts w:ascii="Garamond" w:hAnsi="Garamond"/>
          <w:color w:val="666666"/>
          <w:sz w:val="20"/>
          <w:szCs w:val="20"/>
          <w:lang w:val="en-US" w:eastAsia="fr-FR"/>
        </w:rPr>
        <w:t>[</w:t>
      </w:r>
      <w:hyperlink r:id="rId1773" w:tooltip="Seite:De Studien über Hysterie 070.jpg" w:history="1">
        <w:r w:rsidRPr="00C820A0">
          <w:rPr>
            <w:rFonts w:ascii="Garamond" w:hAnsi="Garamond"/>
            <w:b/>
            <w:bCs/>
            <w:color w:val="0000FF"/>
            <w:sz w:val="20"/>
            <w:szCs w:val="20"/>
            <w:u w:val="single"/>
            <w:lang w:val="en-US" w:eastAsia="fr-FR"/>
          </w:rPr>
          <w:t>70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besserte nichts. Sie dachte sich gleich, wie der Arzt ihr diese Verordnung gab: Das wird gewiss auch nichts nützen. Seither hatte sich diese Intoleranz gegen Quell- und Mineralwässer ungezählte Male wiederholt.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therapeutische Wirkung dieser hypnotischen Erforschung war eine sofortige und nachhaltige. Sie hungerte sich nicht 8 Tage lang aus, sondern ass und trank schon am nächsten Tag ohne alle Beschwerden. Zwei Monate später schrieb sie in einem Brief: „Ich esse sehr gut und habe um vieles zugenommen. Von dem Wasser habe ich schon 40 Flaschen getrunken. Glauben Sie, soll ich damit fortfahren?“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sah Frau v. N. . im Frühjahr des nächsten Jahres auf ihrem Gute bei D . . wieder. Ihre ältere Tochter, deren Namen sie während der „Stürme im Kopf“ zu rufen pflegte, trat um diese Zeit in eine Phase abnormer Entwicklung ein, zeigte einen ungemessenen Ehrgeiz, der im Missverhältniss zu ihrer kärglichen Begabung stand, wurde unbotmässig und selbst gewaltthätig gegen die Mutter. Ich besass noch das Vertrauen der letzteren und wurde hinbeschieden, um mein Urtheil über den Zustand des jungen Mädchens abzugeben. Ich gewann einen ungünstigen Eindruck von der psychischen Veränderung, die mit dem Kinde vorgegangen war, und hatte bei der Stellung der Prognose noch die Thatsache in Anschlag zu bringen, dass sämmtliche Halbgeschwister der Kranken (Kinder des Herrn v. N . . aus erster Ehe) an Paranoia zu Grunde gegangen waren. In der Familie der Mutter fehlte es ja auch nicht an einem ausgiebigen Maass von neuropathischer Belastung, wenngleich von ihrem nächsten Verwandtenkreis kein Mitglied in endgiltige Psychose verfallen war. Frau v. N. ., der ich die Auskunft, die sie verlangt hatte, ohne Rückhalt ertheilte, benahm sich dabei ruhig und verständnissvoll. Sie war stark geworden, sah blühend aus, die ¾ Jahre seit Beendigung der letzten Behandlung waren in relativ hohem Wohlbefinden verflossen, das nur durch </w:t>
      </w:r>
      <w:r w:rsidRPr="00C820A0">
        <w:rPr>
          <w:rFonts w:ascii="Garamond" w:hAnsi="Garamond"/>
          <w:sz w:val="20"/>
          <w:szCs w:val="20"/>
          <w:lang w:val="en-US" w:eastAsia="fr-FR"/>
        </w:rPr>
        <w:lastRenderedPageBreak/>
        <w:t>Genickkrämpfe und andere kleine Leiden gestört worden war. Den ganzen Umfang ihrer Pflichten, Leistungen und geistigen Interessen lernte ich erst während dieses mehrtägigen Aufenthaltes in ihrem Hause kennen. Ich traf auch einen Hausarzt an, der nicht allzuviel über die Dame zu klagen hatte; sie war also mit der „profession“ einigermaassen ausgesöhnt.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Frau war um so vieles gesünder und leistungsfähiger geworden, aber an den Grundzügen ihres Charakters hatte sich trotz </w:t>
      </w:r>
      <w:r w:rsidRPr="00C820A0">
        <w:rPr>
          <w:rFonts w:ascii="Garamond" w:hAnsi="Garamond"/>
          <w:color w:val="666666"/>
          <w:sz w:val="20"/>
          <w:szCs w:val="20"/>
          <w:lang w:val="en-US" w:eastAsia="fr-FR"/>
        </w:rPr>
        <w:t>[</w:t>
      </w:r>
      <w:hyperlink r:id="rId1774" w:tooltip="Seite:De Studien über Hysterie 071.jpg" w:history="1">
        <w:r w:rsidRPr="00C820A0">
          <w:rPr>
            <w:rFonts w:ascii="Garamond" w:hAnsi="Garamond"/>
            <w:b/>
            <w:bCs/>
            <w:color w:val="0000FF"/>
            <w:sz w:val="20"/>
            <w:szCs w:val="20"/>
            <w:u w:val="single"/>
            <w:lang w:val="en-US" w:eastAsia="fr-FR"/>
          </w:rPr>
          <w:t>71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aller lehrhaften Suggestionen wenig verändert. Die Kategorie der „indifferenten Dinge“ schien sie mir nicht anerkannt zu haben, ihre Neigung zur Selbstquälerei war kaum geringer als zur Zeit der Behandlung. Die hysterische Disposition hatte auch während dieser guten Zeit nicht geruht, sie klagte z. B. über eine Unfähigkeit, längere Eisenbahnreisen zu machen, die sie sich in den letzten Monaten zugezogen hatte, und ein nothgedrungen eiliger Versuch, ihr dieses Hinderniss aufzulösen, ergab nur verschiedene kleine unangenehme Eindrücke, die sie sich auf den letzten Fahrten nach D . . und in die Umgebung geholt hatte. Sie schien sich in der Hypnose aber nicht gerne mitzutheilen, und ich kam schon damals auf die Vermuthung, dass sie im Begriffe sei, sich meinem Einfluss wiederum zu entziehen, und dass die geheime Absicht der Eisenbahnhemmung darin liege, eine neuerliche Reise nach Wien zu verhindern.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Während dieser Tage äusserte sie auch jene Klage über Lücken in ihrer Erinnerung „gerade in den wichtigsten Begebenheiten“, aus der ich schloss, dass meine Arbeit vor 2 Jahren eingreifend genug und dauernd gewirkt hatte. – Als sie mich eines Tages durch eine Allee führte, die vom Hause bis zu einer Bucht der See reichte, wagte ich die Frage, ob diese Allee oft mit Kröten besetzt sei. Zur Antwort traf mich ein strafender Blick, doch nicht begleitet von den Zeichen des Grausens, und dann folgte ergänzend die Aeusserung: „Aber wirkliche gibt es hier“. – Während der Hypnose, die ich zur Erledigung der Eisenbahnhemmung unternahm, schien sie selbst von den Antworten, die sie gab, unbefriedigt, und sie drückte die Furcht aus, sie würde jetzt wohl der Hypnose nicht mehr so gehorchen wie früher. Ich beschloss, sie vom Gegentheil zu überzeugen. Ich schrieb einige Worte auf einen Zettel nieder, den ich ihr übergab, und sagte: „Sie werden mir heute Mittag wieder ein Glas Rothwein einschänken wie gestern. Sowie ich das Glas zum Mund führe, werden Sie sagen: Ach bitte, schänken Sie mir auch ein Glas voll, und wenn ich dann nach der Flasche greife, werden Sie rufen: Nein, ich danke, ich will doch lieber nicht. Darauf werden Sie in Ihre Tasche greifen und den Zettel hervorziehen, auf dem dieselben Worte stehen“. Das war Vormittags; wenige Stunden später vollzog sich die kleine Scene genau so, wie ich sie angeordnet hatte, und in so natürlichem Hergang, dass sie keinem der zahlreichen Anwesenden auffiel. Sie schien sichtlich mit sich zu kämpfen, als sie von mir den Wein verlangte, – sie trank nämlich niemals Wein, – und nachdem sie mit offenbarer Erleichterung das Getränk abbestellt </w:t>
      </w:r>
      <w:r w:rsidRPr="00C820A0">
        <w:rPr>
          <w:rFonts w:ascii="Garamond" w:hAnsi="Garamond"/>
          <w:color w:val="666666"/>
          <w:sz w:val="20"/>
          <w:szCs w:val="20"/>
          <w:lang w:val="en-US" w:eastAsia="fr-FR"/>
        </w:rPr>
        <w:t>[</w:t>
      </w:r>
      <w:hyperlink r:id="rId1775" w:tooltip="Seite:De Studien über Hysterie 072.jpg" w:history="1">
        <w:r w:rsidRPr="00C820A0">
          <w:rPr>
            <w:rFonts w:ascii="Garamond" w:hAnsi="Garamond"/>
            <w:b/>
            <w:bCs/>
            <w:color w:val="0000FF"/>
            <w:sz w:val="20"/>
            <w:szCs w:val="20"/>
            <w:u w:val="single"/>
            <w:lang w:val="en-US" w:eastAsia="fr-FR"/>
          </w:rPr>
          <w:t>72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hatte, griff sie in die Tasche, zog den Zettel hervor, auf dem ihre letztgesprochenen Worte zu lesen waren, schüttelte den Kopf und sah mich erstaunt an.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Seit diesem Besuche im Mai 1890 wurden meine Nachrichten über Frau v. N .. allmählich spärlicher. Ich erfuhr auf Umwegen, dass der unerquickliche Zustand ihrer Tochter, der die mannigfaltigsten peinlichen Erregungen für sie mit sich brachte, ihr Wohlbefinden endlich doch untergraben habe. Zuletzt erhielt ich von ihr (Sommer 1893) ein kurzes Schreiben, in dem sie mich bat zu gestatten, dass sie ein anderer Arzt hypnotisire, da sie wieder leidend sei und nicht nach Wien kommen könne. Ich verstand anfangs nicht, weshalb es dazu meiner Erlaubniss bedürfe, bis mir die Erinnerung auftauchte, dass ich sie im Jahre 1890 auf ihren eigenen Wunsch vor fremder Hypnose geschützt hatte, damit sie nicht wieder in Gefahr komme, wie damals in **berg (. . .thal, . . .wald) unter dem peinlichen Zwang eines ihr unsympathischen Arztes zu leiden. Ich verzichtete jetzt also schriftlich auf mein ausschliessliches Vorrecht.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Epikrise.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ist ja ohne vorherige eingehende Verständigung über den Werth und die Bedeutung der Namen nicht leicht zu entscheiden, ob ein Krankheitsfall zur Hysterie oder zu den anderen (nicht rein neurasthenischen) Neurosen gezählt werden soll, und auf dem Gebiete der gemeinhin vorkommenden gemischten Neurosen wartet man noch auf die ordnende Hand, welche die Grenzsteine setzen und die für die Charakteristik wesentlichen Merkmale hervorheben soll. Wenn man bis jetzt also Hysterie im engeren Sinne nach der Aehnlichkeit mit den bekannten typischen Fällen zu diagnosticiren gewohnt ist, so wird man dem Falle der Frau Emmy v. N . . die Bezeichnung einer Hysterie kaum streitig machen können. Die Leichtigkeit der Delirien und Hallucinationen bei im Uebrigen intacter geistiger Thätigkeit, die Veränderung der Persönlichkeit und des Gedächtnisses im künstlichen Somnambulismus, die Anästhesie an der schmerzhaften Extremität, gewisse Daten der Anamnese, die Ovarie und dgl. lassen keinen Zweifel über die hysterische Natur der Erkrankung oder wenigstens der Kranken zu. Dass die Frage überhaupt aufgeworfen werden kann, rührt von einem bestimmten Charakter dieses Falles her, welcher auch Anlass zu einer allgemein giltigen Bemerkung bieten darf. Wie aus unserer Eingangs abgedruckten „Vorläufigen Mittheilung“ ersichtlich, betrachten </w:t>
      </w:r>
      <w:r w:rsidRPr="00C820A0">
        <w:rPr>
          <w:rFonts w:ascii="Garamond" w:hAnsi="Garamond"/>
          <w:color w:val="666666"/>
          <w:sz w:val="20"/>
          <w:szCs w:val="20"/>
          <w:lang w:val="en-US" w:eastAsia="fr-FR"/>
        </w:rPr>
        <w:t>[</w:t>
      </w:r>
      <w:hyperlink r:id="rId1776" w:tooltip="Seite:De Studien über Hysterie 073.jpg" w:history="1">
        <w:r w:rsidRPr="00C820A0">
          <w:rPr>
            <w:rFonts w:ascii="Garamond" w:hAnsi="Garamond"/>
            <w:b/>
            <w:bCs/>
            <w:color w:val="0000FF"/>
            <w:sz w:val="20"/>
            <w:szCs w:val="20"/>
            <w:u w:val="single"/>
            <w:lang w:val="en-US" w:eastAsia="fr-FR"/>
          </w:rPr>
          <w:t>73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wir die hysterischen Symptome als Effecte und Reste von Erregungen, welche das Nervensystem als Traumen beeinflusst nahen. Solche Reste bleiben nicht übrig, wenn die ursprüngliche Erregung durch Abreagiren oder Denkarbeit abgeführt worden ist. Man kann es hier nicht länger abweisen, Quantitäten (wenn auch nicht messbare) in Betracht zu ziehen, den Vorgang so aufzufassen, als ob eine an das Nervensystem herantretende Summe von Erregung in Dauersymptome umgesetzt würde, insoweit sie nicht ihrem Betrag entsprechend zur Action nach aussen verwendet worden ist. Wir sind nun gewohnt bei der Hysterie zu finden, dass ein erheblicher Theil der „Erregungssumme“ des Traumas sich in rein körperliche Symptome umwandelt. Es ist dies ja jener Zug der Hysterie, der durch so lange Zeit ihrer Auffassung als psychische Affection im Wege gestanden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Wenn wir der Kürze halber die Bezeichnung „</w:t>
      </w:r>
      <w:r w:rsidRPr="00C820A0">
        <w:rPr>
          <w:rFonts w:ascii="Garamond" w:hAnsi="Garamond"/>
          <w:i/>
          <w:iCs/>
          <w:sz w:val="20"/>
          <w:szCs w:val="20"/>
          <w:lang w:val="en-US" w:eastAsia="fr-FR"/>
        </w:rPr>
        <w:t>Conversion</w:t>
      </w:r>
      <w:r w:rsidRPr="00C820A0">
        <w:rPr>
          <w:rFonts w:ascii="Garamond" w:hAnsi="Garamond"/>
          <w:sz w:val="20"/>
          <w:szCs w:val="20"/>
          <w:lang w:val="en-US" w:eastAsia="fr-FR"/>
        </w:rPr>
        <w:t xml:space="preserve">“ für die Umsetzung psychischer Erregung in körperliche Dauersymptome wählen, welche die Hysterie auszeichnet, so können wir sagen, der Fall der Frau Emmy v. N.. zeigt </w:t>
      </w:r>
      <w:r w:rsidRPr="00C820A0">
        <w:rPr>
          <w:rFonts w:ascii="Garamond" w:hAnsi="Garamond"/>
          <w:sz w:val="20"/>
          <w:szCs w:val="20"/>
          <w:lang w:val="en-US" w:eastAsia="fr-FR"/>
        </w:rPr>
        <w:lastRenderedPageBreak/>
        <w:t>einen geringen Betrag von Conversion, die ursprünglich psychische Erregung verbleibt auch zumeist auf psychischem Gebiet, und es ist leicht einzusehen, dass er dadurch jenen anderen nicht hysterischen Neurosen ähnlich wird. Es gibt Fälle von Hysterie, in denen die Conversion den gesammten Reizzuwachs betrifft, so dass die körperlichen Symptome der Hysterie in ein scheinbar völlig normales Bewusstsein hereinragen; gewöhnlicher aber ist eine unvollständige Umsetzung, so dass wenigstens ein Theil des das Trauma begleitenden Affectes als Componente der Stimmung im Bewusstsein verbleibt.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psychischen Symptome unseres Falles von wenig convertirter Hysterie lassen sich gruppiren als Stimmungsveränderung (Angst, melancholische Depression), Phobien und Abulien (Willenshemmungen). Die beiden letzteren Arten von psychischer Störung, die von der Schule französischer Psychiater als Stigmata der nervösen Degeneration aufgefasst werden, erweisen sich aber in unserem Falle als ausreichend determinirt durch traumatische Erlebnisse; es sind zumeist traumatische Phobien und Abulien, wie ich im Einzelnen ausführen werde.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Von den Phobien entsprechen einzelne allerdings den primären Phobien des Menschen, insbesondere des Neuropathen, so vor allem die Thierfurcht (Schlangen, Kröten und ausserdem all das Ungeziefer, als dessen Herr sich Mephistopheles rühmt), die Gewitterfurcht u. a. Doch sind auch diese Phobien durch traumatische Erlebnisse befestigt </w:t>
      </w:r>
      <w:r w:rsidRPr="00C820A0">
        <w:rPr>
          <w:rFonts w:ascii="Garamond" w:hAnsi="Garamond"/>
          <w:color w:val="666666"/>
          <w:sz w:val="20"/>
          <w:szCs w:val="20"/>
          <w:lang w:val="en-US" w:eastAsia="fr-FR"/>
        </w:rPr>
        <w:t>[</w:t>
      </w:r>
      <w:hyperlink r:id="rId1777" w:tooltip="Seite:De Studien über Hysterie 074.jpg" w:history="1">
        <w:r w:rsidRPr="00C820A0">
          <w:rPr>
            <w:rFonts w:ascii="Garamond" w:hAnsi="Garamond"/>
            <w:b/>
            <w:bCs/>
            <w:color w:val="0000FF"/>
            <w:sz w:val="20"/>
            <w:szCs w:val="20"/>
            <w:u w:val="single"/>
            <w:lang w:val="en-US" w:eastAsia="fr-FR"/>
          </w:rPr>
          <w:t>74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worden, so die Furcht vor Kröten durch den Eindruck in früher Jugend, als ihr ein Bruder eine todte Kröte nachwarf, worauf sie den Anfall hysterischer Zuckungen bekam; die Gewitterfurcht durch jenen Schreck, der zur Entstehung des Schnalzens Anlass gab; die Furcht vor Nebel durch jenen Spaziergang auf </w:t>
      </w:r>
      <w:r w:rsidRPr="00C820A0">
        <w:rPr>
          <w:rFonts w:ascii="Garamond" w:hAnsi="Garamond"/>
          <w:i/>
          <w:iCs/>
          <w:sz w:val="20"/>
          <w:szCs w:val="20"/>
          <w:lang w:val="en-US" w:eastAsia="fr-FR"/>
        </w:rPr>
        <w:t>Rügen</w:t>
      </w:r>
      <w:r w:rsidRPr="00C820A0">
        <w:rPr>
          <w:rFonts w:ascii="Garamond" w:hAnsi="Garamond"/>
          <w:sz w:val="20"/>
          <w:szCs w:val="20"/>
          <w:lang w:val="en-US" w:eastAsia="fr-FR"/>
        </w:rPr>
        <w:t>; immerhin spielt in dieser Gruppe die primäre, sozusagen instinctive Furcht, als psychisches Stigma genommen, die Hauptrolle.</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Die anderen und specielleren Phobien sind auch durch besondere Erlebnisse gerechtfertigt. Die Furcht vor einem unerwarteten, plötzlichen Schreckniss ist das Ergebniss jenes schrecklichsten Eindrucks in ihrem Leben, als sie ihren Mann mitten aus bester Gesundheit an einem Herzschlag verscheiden sah. Die Furcht vor fremden Menschen, die Menschenfurcht überhaupt, erweist sich als Rest aus jener Zeit, in der sie den Verfolgungen ihrer Familie ausgesetzt und geneigt war, in jedem Fremden einen Agenten der Verwandtschaft zu sehen, oder in der ihr der Gedanke nahe lag, die Fremden wüssten um die Dinge, die mündlich und schriftlich über sie verbreitet wurden. Die Angst vor dem Irrenhause und dessen Einwohnern geht auf eine ganze Reihe von traurigen Erlebnissen in ihrer Familie und auf Schilderungen zurück, die dem horchenden Kinde eine dumme Dienstmagd machte, ausserdem stützt sich diese Phobie einerseits auf das primäre, instinctive Grauen des Gesunden vor dem Wahnsinn, andererseits auf die wie bei jedem Nervösen so auch bei ihr vorhandene Sorge, selbst dem Wahnsinn zu verfallen. Eine so specialisirte Angst wie die, dass jemand hinter ihr stünde, wird durch mehrere schreckhafte Eindrücke aus ihrer Jugend und aus späterer Zeit motivirt. Seit einem ihr besonders peinlichen Erlebniss im Hôtel, peinlich, weil es mit Erotik verknüpft ist, wird die Angst vor dem Einschleichen einer fremden Person besonders hervorgehoben; endlich eine den Neuropathen so häufig eigene Phobie, die vor dem Lebendigbegrabenwerden, findet ihre volle Aufklärung in dem Glauben, dass ihr Mann nicht todt war, als man seine Leiche forttrug, einem Glauben, in dem sich die Unfähigkeit so rührend äussert, sich in das plötzliche Aufhören der Gemeinschaft mit dem geliebten Wesen zu finden. </w:t>
      </w:r>
      <w:r w:rsidRPr="00C820A0">
        <w:rPr>
          <w:rFonts w:ascii="Garamond" w:hAnsi="Garamond"/>
          <w:sz w:val="20"/>
          <w:szCs w:val="20"/>
          <w:lang w:eastAsia="fr-FR"/>
        </w:rPr>
        <w:t xml:space="preserve">Ich meine übrigens, dass alle diese </w:t>
      </w:r>
      <w:r w:rsidRPr="00C820A0">
        <w:rPr>
          <w:rFonts w:ascii="Garamond" w:hAnsi="Garamond"/>
          <w:i/>
          <w:iCs/>
          <w:sz w:val="20"/>
          <w:szCs w:val="20"/>
          <w:lang w:eastAsia="fr-FR"/>
        </w:rPr>
        <w:t>physischen</w:t>
      </w:r>
      <w:r w:rsidRPr="00C820A0">
        <w:rPr>
          <w:rFonts w:ascii="Garamond" w:hAnsi="Garamond"/>
          <w:sz w:val="20"/>
          <w:szCs w:val="20"/>
          <w:lang w:eastAsia="fr-FR"/>
        </w:rPr>
        <w:t xml:space="preserve"> Momente nur die Auswahl, aber nicht die Fortdauer der Phobien erklären können. Für letztere muss ich ein </w:t>
      </w:r>
      <w:r w:rsidRPr="00C820A0">
        <w:rPr>
          <w:rFonts w:ascii="Garamond" w:hAnsi="Garamond"/>
          <w:i/>
          <w:iCs/>
          <w:sz w:val="20"/>
          <w:szCs w:val="20"/>
          <w:lang w:eastAsia="fr-FR"/>
        </w:rPr>
        <w:t>neurotisches</w:t>
      </w:r>
      <w:r w:rsidRPr="00C820A0">
        <w:rPr>
          <w:rFonts w:ascii="Garamond" w:hAnsi="Garamond"/>
          <w:sz w:val="20"/>
          <w:szCs w:val="20"/>
          <w:lang w:eastAsia="fr-FR"/>
        </w:rPr>
        <w:t xml:space="preserve"> Moment heranziehen, den Umstand nämlich, dass die Patientin sich seit Jahren in sexueller Abstinenz befand, womit einer der häufigsten Anlässe zur </w:t>
      </w:r>
      <w:r w:rsidRPr="00C820A0">
        <w:rPr>
          <w:rFonts w:ascii="Garamond" w:hAnsi="Garamond"/>
          <w:i/>
          <w:iCs/>
          <w:sz w:val="20"/>
          <w:szCs w:val="20"/>
          <w:lang w:eastAsia="fr-FR"/>
        </w:rPr>
        <w:t>Angstneigung</w:t>
      </w:r>
      <w:r w:rsidRPr="00C820A0">
        <w:rPr>
          <w:rFonts w:ascii="Garamond" w:hAnsi="Garamond"/>
          <w:sz w:val="20"/>
          <w:szCs w:val="20"/>
          <w:lang w:eastAsia="fr-FR"/>
        </w:rPr>
        <w:t xml:space="preserve"> gegeben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eastAsia="fr-FR"/>
        </w:rPr>
        <w:t>[</w:t>
      </w:r>
      <w:hyperlink r:id="rId1778" w:tooltip="Seite:De Studien über Hysterie 075.jpg" w:history="1">
        <w:r w:rsidRPr="00C820A0">
          <w:rPr>
            <w:rFonts w:ascii="Garamond" w:hAnsi="Garamond"/>
            <w:b/>
            <w:bCs/>
            <w:color w:val="0000FF"/>
            <w:sz w:val="20"/>
            <w:szCs w:val="20"/>
            <w:u w:val="single"/>
            <w:lang w:eastAsia="fr-FR"/>
          </w:rPr>
          <w:t>75</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Die bei unserer Kranken vorhandenen Abulien (Willenshemmungen, Unfähigkeiten) gestatten noch weniger als die Phobien die Auffassung von psychischen Stigmen in Folge allgemein eingeengter Leistungsfähigkeit. Vielmehr macht die hypnotische Analyse des Falles ersichtlich, dass die Abulien hier durch einen zweifachen psychischen Mechanismus bedingt werden, der im Grunde wieder nur einer ist. </w:t>
      </w:r>
      <w:r w:rsidRPr="00C820A0">
        <w:rPr>
          <w:rFonts w:ascii="Garamond" w:hAnsi="Garamond"/>
          <w:sz w:val="20"/>
          <w:szCs w:val="20"/>
          <w:lang w:val="en-US" w:eastAsia="fr-FR"/>
        </w:rPr>
        <w:t>Die Abulie ist entweder einfach die Folge einer Phobie, nämlich in allen den Fällen, in denen die Phobie sich an eine eigene Handlung knüpft anstatt an eine Erwartung (Ausgehen, Menschen aufsuchen; – der andere Fall, dass sich jemand einschleicht u. s. w.), und Ursache der Willenshemmung ist die mit dem Erfolg der Handlung verknüpfte Angst. Man thäte Unrecht daran, diese Art von Abulien neben den ihnen entsprechenden Phobien als besondere Symptome aufzuführen, nur muss man zugestehen, dass eine derartige Phobie bestehen kann, wenn sie nicht allzu hochgradig ist, ohne zur Abulie zu führen. Die andere Art der Abulien beruht auf der Existenz affectvoll betonter, ungelöster Associationen, die sich der Anknüpfung neuer Associationen, und insbesondere unverträglicher Art widersetzen. Das glänzendste Beispiel einer solchen Abulie bietet die Anorexie unserer Kranken. Sie isst nur so wenig, weil es ihr nicht schmeckt, und sie kann dem Essen keinen Geschmack abgewinnen, weil der Act des Essens bei ihr von Alters her mit Ekelerinnerungen verknüpt ist, deren Affectbetrag noch keine Verminderung erfahren ist. Es ist aber unmöglich, gleichzeitig mit Ekel und mit Lust zu essen. Die Verminderung des an den Mahlzeiten von früher her haftenden Ekels hat darum nicht stattgehabt, weil sie alle Male den Ekel unterdrücken musste, anstatt sich von ihm durch Reaction zu befreien; als Kind war sie aus Furcht vor Strafe gezwungen, mit Ekel die kalte Malzeit zu essen, und in reiferen Jahren verhinderte sie die Rücksicht auf die Brüder, die Affecte zu äussern, denen sie bei den gemeinsam genommenen Malzeiten unterlag.</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Ich darf hier vielleicht an eine kleine Arbeit erinnern, in der ich versucht habe, eine psychologische Erklärung der hysterischen Lähmungen zu geben. Ich gelangte dort zur Annahme, die Ursache dieser Lähmungen liege in der Unzugänglichkeit des Vorstellungskreises etwa einer Extremität für neue Associationen; diese associative Unzugänglichkeit selbst rühre aber davon her, dass die Vorstellung des gelähmten Gliedes in die mit unerledigtem Affect behaftete Erinnerung des Traumas einbezogen sei. Ich führte aus den Beispielen des gewöhnlichen </w:t>
      </w:r>
      <w:r w:rsidRPr="00C820A0">
        <w:rPr>
          <w:rFonts w:ascii="Garamond" w:hAnsi="Garamond"/>
          <w:color w:val="666666"/>
          <w:sz w:val="20"/>
          <w:szCs w:val="20"/>
          <w:lang w:val="en-US" w:eastAsia="fr-FR"/>
        </w:rPr>
        <w:t>[</w:t>
      </w:r>
      <w:hyperlink r:id="rId1779" w:tooltip="Seite:De Studien über Hysterie 076.jpg" w:history="1">
        <w:r w:rsidRPr="00C820A0">
          <w:rPr>
            <w:rFonts w:ascii="Garamond" w:hAnsi="Garamond"/>
            <w:b/>
            <w:bCs/>
            <w:color w:val="0000FF"/>
            <w:sz w:val="20"/>
            <w:szCs w:val="20"/>
            <w:u w:val="single"/>
            <w:lang w:val="en-US" w:eastAsia="fr-FR"/>
          </w:rPr>
          <w:t>76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t>
      </w:r>
      <w:r w:rsidRPr="00C820A0">
        <w:rPr>
          <w:rFonts w:ascii="Garamond" w:hAnsi="Garamond"/>
          <w:sz w:val="20"/>
          <w:szCs w:val="20"/>
          <w:lang w:val="en-US" w:eastAsia="fr-FR"/>
        </w:rPr>
        <w:lastRenderedPageBreak/>
        <w:t>Lebens an, dass eine solche Besetzung einer Vorstellung mit unerledigtem Affect jedesmal ein gewisses Maass von associativer Unzugänglichkeit, von Unverträglichkeit mit neuen Besetzungen mit sich bringt.</w:t>
      </w:r>
      <w:hyperlink r:id="rId1780" w:anchor="cite_note-25" w:history="1">
        <w:r w:rsidRPr="00C820A0">
          <w:rPr>
            <w:rFonts w:ascii="Garamond" w:hAnsi="Garamond"/>
            <w:color w:val="0000FF"/>
            <w:sz w:val="20"/>
            <w:szCs w:val="20"/>
            <w:u w:val="single"/>
            <w:vertAlign w:val="superscript"/>
            <w:lang w:eastAsia="fr-FR"/>
          </w:rPr>
          <w:t>[25]</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Es ist mir nun bis heute nicht gelungen, meine damaligen Voraussetzungen für einen Fall von motorischer Lähmung durch hypnotische Analyse zu erweisen, aber ich kann mich auf die Anorexie der Frau v. N . . als Beweis dafür berufen, dass dieser Mechanismus für gewisse Abulien der zutreffende ist, und Abulien sind ja nichts anderes als sehr specialisirte, – „systematisirte“ nach französischem Ausdruck – psychische Lähmungen.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Man kann den psychischen Sachverhalt bei Frau v. N . . im Wesentlichen charakterisiren, wenn man zweierlei hervorhebt: 1. Es sind bei ihr die peinlichen Affecte von traumatischen Erlebnissen unerledigt verblieben, so die Verstimmung, der Schmerz (über den Tod des Mannes), der Groll (von den Verfolgungen der Verwandten), der Ekel (von den gezwungenen Mahlzeiten), die Angst (von so vielen schreckhaften Erlebnissen), u. s. w. und 2. es besteht bei ihr eine lebhafte Erinnerungsthätigkeit, welche bald spontan, bald auf erweckende Reize der Gegenwart hin (z. B. bei der Nachricht von der Revolution in S. Domingo) Stück für Stück der Traumen mitsammt den sie begleitenden Affecten in’s actuelle Bewusstsein ruft. Meine Therapie schloss sich dem Gange dieser Erinnerungsthätigkeit an und suchte Tag für Tag aufzulösen und zu erledigen, was der Tag an die Oberfläche gebracht hatte, bis der erreichbare Vorrath an krankmachenden Erinnerungen erschöpft schien.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An diese beiden psychischen Charaktere, die ich für allgemeine Befunde bei hysterischen Paroxysmen halte, Hessen sich einige wichtige Betrachtungen anschliessen, die ich verschieben will, bis dem Mechanismus der körperlichen Symptome einige Aufmerksamkeit geschenkt wurde.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Man kann nicht die gleiche Ableitung für alle körperlichen Symptome der Kranken geben, vielmehr erfährt man selbst aus diesem hieran nicht reichen Falle, dass die körperlichen Symptome einer Hysterie auf verschiedene Weisen zu Stande kommen. Ich gestatte mir zunächst, die Schmerzen zu den körperlichen Symptomen zu stellen. Soviel ich sehen kann, war ein Theil der Schmerzen gewiss organisch bedingt durch jene leichten (rheumatischen) Veränderungen in Muskeln, </w:t>
      </w:r>
      <w:r w:rsidRPr="00C820A0">
        <w:rPr>
          <w:rFonts w:ascii="Garamond" w:hAnsi="Garamond"/>
          <w:color w:val="666666"/>
          <w:sz w:val="20"/>
          <w:szCs w:val="20"/>
          <w:lang w:val="en-US" w:eastAsia="fr-FR"/>
        </w:rPr>
        <w:t>[</w:t>
      </w:r>
      <w:hyperlink r:id="rId1781" w:tooltip="Seite:De Studien über Hysterie 077.jpg" w:history="1">
        <w:r w:rsidRPr="00C820A0">
          <w:rPr>
            <w:rFonts w:ascii="Garamond" w:hAnsi="Garamond"/>
            <w:b/>
            <w:bCs/>
            <w:color w:val="0000FF"/>
            <w:sz w:val="20"/>
            <w:szCs w:val="20"/>
            <w:u w:val="single"/>
            <w:lang w:val="en-US" w:eastAsia="fr-FR"/>
          </w:rPr>
          <w:t>77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Sehnen und Fascien, die dem Nervösen soviel mehr Schmerz bereiten als dem Gesunden; ein anderer Theil der Schmerzen war höchst wahrscheinlich Schmerzerinnerung, Erinnerungssymbol der Zeiten von Aufregung und Krankenpflege, die im Leben der Kranken so viel Platz eingenommen hatten. Auch diese Schmerzen mochten ursprünglich einmal organisch berechtigt gewesen sein, waren aber seither für die Zwecke der Neurose verarbeitet worden. Ich stütze diese Aussagen über die Schmerzen bei Frau v. N. .. auf anderswo gemachte Erfahrungen, welche ich an einer späteren Stelle dieser Arbeit mittheilen werde; an der Kranken selbst war gerade über diesen Punkt wenig Aufklärung zu gewinnen.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Ein Theil der auffälligen Bewegungserscheinungen, welche Frau v. N .. zeigte, war einfach Ausdruck von Gemüthsbewegung und leicht in dieser Bedeutung zu erkennen, so das Vorstrecken der Hände mit gespreizten und gekrümmten Fingern als Ausdruck des Grausens, das Mienenspiel und dgl. Allerdings ein lebhafterer und ungehemmterer Ausdruck der Gemüthsbewegung als der sonstigen Mimik dieser Frau, ihrer Erziehung und ihrer Race entsprach; sie war, wenn nicht im hysterischen Zustande, gemessen, fast steif in ihren Ausdrucksbewegungen. Ein anderer Theil ihrer Bewegungssymptome stand nach ihrer Angabe in directem Zusammenhang mit ihren Schmerzen; sie spielte ruhelos mit den Fingern (1888), oder rieb die Hände an einander (1889), um nicht schreien zu müssen, und diese Motivirung erinnert lebhaft an eines der </w:t>
      </w:r>
      <w:r w:rsidRPr="00C820A0">
        <w:rPr>
          <w:rFonts w:ascii="Garamond" w:hAnsi="Garamond"/>
          <w:i/>
          <w:iCs/>
          <w:sz w:val="20"/>
          <w:szCs w:val="20"/>
          <w:lang w:val="en-US" w:eastAsia="fr-FR"/>
        </w:rPr>
        <w:t>Darwin</w:t>
      </w:r>
      <w:r w:rsidRPr="00C820A0">
        <w:rPr>
          <w:rFonts w:ascii="Garamond" w:hAnsi="Garamond"/>
          <w:sz w:val="20"/>
          <w:szCs w:val="20"/>
          <w:lang w:val="en-US" w:eastAsia="fr-FR"/>
        </w:rPr>
        <w:t>’schen Principien zur Erklärung der Ausdrucksbewegung, an das Princip der „Ableitung der Erregung“, durch welches er z. B. das Schweifwedeln der Hunde erklärt. Den Ersatz des Schreiens bei schmerzhaften Reizen durch andersartige motorische Innervation üben wir übrigens Alle. Wer sich beim Zahnarzt vorgenommen hat, Kopf und Mund ruhig zu halten und nicht mit den Händen dazwischenzufahren, der trommelt wenigstens mit den Füssen.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Eine complicirtere Weise der Conversion lassen die tickähnlichen Bewegungen bei Frau v. N .. erkennen, das Zungenschnalzen und Stottern, das Rufen ihres Namens „Emmy“ im Anfall von Verworrenheit, die zusammengesetzte Schutzformel – „Seien sie still – Reden sie nichts – Rühren sie mich nicht an“ (1888). Von diesen motorischen Aeusserungen lassen Stottern und Schnalzen eine Erklärung nach einem Mechanismus zu, den ich in einer kleinen Mittheilung in der Zeitschrift für Hypnotismus Band I, 1893 als „Objectivirung der Contrastvorstellung“ bezeichnet habe. Der Vorgang hierbei wäre, an </w:t>
      </w:r>
      <w:r w:rsidRPr="00C820A0">
        <w:rPr>
          <w:rFonts w:ascii="Garamond" w:hAnsi="Garamond"/>
          <w:color w:val="666666"/>
          <w:sz w:val="20"/>
          <w:szCs w:val="20"/>
          <w:lang w:val="en-US" w:eastAsia="fr-FR"/>
        </w:rPr>
        <w:t>[</w:t>
      </w:r>
      <w:hyperlink r:id="rId1782" w:tooltip="Seite:De Studien über Hysterie 078.jpg" w:history="1">
        <w:r w:rsidRPr="00C820A0">
          <w:rPr>
            <w:rFonts w:ascii="Garamond" w:hAnsi="Garamond"/>
            <w:b/>
            <w:bCs/>
            <w:color w:val="0000FF"/>
            <w:sz w:val="20"/>
            <w:szCs w:val="20"/>
            <w:u w:val="single"/>
            <w:lang w:val="en-US" w:eastAsia="fr-FR"/>
          </w:rPr>
          <w:t>78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unserem Beispiel selbst erläutert, folgender: Die durch Sorge und Wachen erschöpfte Hysterica sitzt beim Bette ihres kranken Kindes, das </w:t>
      </w:r>
      <w:r w:rsidRPr="00C820A0">
        <w:rPr>
          <w:rFonts w:ascii="Garamond" w:hAnsi="Garamond"/>
          <w:i/>
          <w:iCs/>
          <w:sz w:val="20"/>
          <w:szCs w:val="20"/>
          <w:lang w:val="en-US" w:eastAsia="fr-FR"/>
        </w:rPr>
        <w:t>endlich</w:t>
      </w:r>
      <w:r w:rsidRPr="00C820A0">
        <w:rPr>
          <w:rFonts w:ascii="Garamond" w:hAnsi="Garamond"/>
          <w:sz w:val="20"/>
          <w:szCs w:val="20"/>
          <w:lang w:val="en-US" w:eastAsia="fr-FR"/>
        </w:rPr>
        <w:t xml:space="preserve">! eingeschlafen ist. </w:t>
      </w:r>
      <w:r w:rsidRPr="00C820A0">
        <w:rPr>
          <w:rFonts w:ascii="Garamond" w:hAnsi="Garamond"/>
          <w:sz w:val="20"/>
          <w:szCs w:val="20"/>
          <w:lang w:eastAsia="fr-FR"/>
        </w:rPr>
        <w:t>Sie sagt sich: Jetzt musst du aber ganz stille sein, damit du die Kleine nicht aufweckst. Dieser Vorsatz erweckt wahrscheinlich eine Contrastvorstellung, die Befürchtung, sie werde doch ein Geräusch machen, das die Kleine aus dem lang ersehnten Schlafe weckt. Solche Contrastvorstellungen gegen den Vorsatz entstehen auch in uns merklicher Weise dann, wenn wir uns in der Durchführung eines wichtigen Vorsatzes nicht sicher fühlen.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 xml:space="preserve">Der Neurotische, in dessen Selbstbewusstsein ein Zug von Depression, von ängstlicher Erwartung selten vermisst wird, bildet solcher Contrastvorstellungen eine grössere Anzahl, oder er nimmt sie leichter wahr; sie erscheinen ihm auch bedeutsamer. Im Zustande der Erschöpfung, in dem sich unsere Kranke befindet, erweist sich nun die Contrastvorstellung, die sonst abgewiesen wurde, als die stärkere; sie ist es, die sich objectivirt, und die nun zum Entsetzen der Kranken das gefürchtete Geräusch wirklich erzeugt. Zur Erklärung des ganzen Vorganges nehme ich noch an, dass die Erschöpfung eine partielle ist; sie betrifft, wie man in den Terminis </w:t>
      </w:r>
      <w:r w:rsidRPr="00C820A0">
        <w:rPr>
          <w:rFonts w:ascii="Garamond" w:hAnsi="Garamond"/>
          <w:i/>
          <w:iCs/>
          <w:sz w:val="20"/>
          <w:szCs w:val="20"/>
          <w:lang w:eastAsia="fr-FR"/>
        </w:rPr>
        <w:t>Janet’s</w:t>
      </w:r>
      <w:r w:rsidRPr="00C820A0">
        <w:rPr>
          <w:rFonts w:ascii="Garamond" w:hAnsi="Garamond"/>
          <w:sz w:val="20"/>
          <w:szCs w:val="20"/>
          <w:lang w:eastAsia="fr-FR"/>
        </w:rPr>
        <w:t xml:space="preserve"> und seiner Nachfolger sagen würde, nur das primäre Ich der Kranken, sie hat nicht zur Folge, dass auch die Contrastvorstellung geschwächt wird.</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 xml:space="preserve">Ich nehme ferner an, dass es das Entsetzen über das wider Willen producirte Geräusch ist, welches den Moment zu einem traumatisch wirksamen macht und dies Geräusch selbst als leibliches Erinnerungssymptom der ganzen Scene </w:t>
      </w:r>
      <w:r w:rsidRPr="00C820A0">
        <w:rPr>
          <w:rFonts w:ascii="Garamond" w:hAnsi="Garamond"/>
          <w:sz w:val="20"/>
          <w:szCs w:val="20"/>
          <w:lang w:eastAsia="fr-FR"/>
        </w:rPr>
        <w:lastRenderedPageBreak/>
        <w:t>fixirt. Ja, ich glaube in dem Charakter dieses Ticks selbst, der aus mehreren spastisch hervorgestossenen, durch Pausen von einander getrennten Lauten besteht, die am meisten mit Schnalzen Aehnlichkeit haben, die Spur des Vorganges zu erkennen, dem er seine Entstehung verdankte. Es scheint, dass sich ein Kampf zwischen dem Vorsatz und der Contrastvorstellung, dem „Gegenwillen“, abgespielt hat, der dem Tick den abgesetzten Charakter gab, und der die Contrastvorstellung auf ungewöhnliche Innervationswege der Sprachmuskulatur einschränkte.</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Von einem im Wesen ähnlichen Anlass blieb die spastische Sprachhemmung, das eigenthümliche Stottern übrig, nur dass diesmal nicht der Erfolg der schliesslichen Innervation, der Schrei, sondern der Innervationsvorgang selbst, der Versuch einer krampfhaften Hemmung der Sprachwerkzeuge zum Symbol des Ereignisses für die Erinnerung erhoben wurde.</w:t>
      </w:r>
    </w:p>
    <w:p w:rsidR="005C1841" w:rsidRPr="00C820A0" w:rsidRDefault="005C1841" w:rsidP="005C1841">
      <w:pPr>
        <w:pStyle w:val="Sansinterligne"/>
        <w:rPr>
          <w:rFonts w:ascii="Garamond" w:hAnsi="Garamond"/>
          <w:sz w:val="20"/>
          <w:szCs w:val="20"/>
          <w:lang w:eastAsia="fr-FR"/>
        </w:rPr>
      </w:pPr>
      <w:r w:rsidRPr="00C820A0">
        <w:rPr>
          <w:rFonts w:ascii="Garamond" w:hAnsi="Garamond"/>
          <w:color w:val="666666"/>
          <w:sz w:val="20"/>
          <w:szCs w:val="20"/>
          <w:lang w:eastAsia="fr-FR"/>
        </w:rPr>
        <w:t>[</w:t>
      </w:r>
      <w:hyperlink r:id="rId1783" w:tooltip="Seite:De Studien über Hysterie 079.jpg" w:history="1">
        <w:r w:rsidRPr="00C820A0">
          <w:rPr>
            <w:rFonts w:ascii="Garamond" w:hAnsi="Garamond"/>
            <w:b/>
            <w:bCs/>
            <w:color w:val="0000FF"/>
            <w:sz w:val="20"/>
            <w:szCs w:val="20"/>
            <w:u w:val="single"/>
            <w:lang w:eastAsia="fr-FR"/>
          </w:rPr>
          <w:t>79</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Beide, durch ihre Entstehungsgeschichte nahe verwandten Symptome, Schnalzen und Stottern, blieben auch fernerhin associirt und wurden durch eine Wiederholung bei einem ähnlichen Anlasse zu Dauersymptomen. Dann aber wurden sie einer weiteren Verwendung zugeführt. Unter heftigem Erschrecken entstanden, gesellten sie sich von nun an (nach dem Mechanismus der monosymptomatischen Hysterie, den ich bei Fall V aufzeigen werde) zu jedem Schreck hinzu, wenn derselbe auch nicht zum Objectiviren einer Contrastvorstellung Anlass geben konnte.</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Sie waren endlich mit so vielen Traumen verknüpft, hatten soviel Recht, sich in der Erinnerung zu reproduciren, dass sie ohne weiteren Anlass nach Art eines sinnlosen Tick beständig die Rede unterbrachen. Die hypnotische Analyse konnte dann aber zeigen, wieviel Bedeutung sich hinter diesem scheinbaren Tick verberge, und wenn es der </w:t>
      </w:r>
      <w:r w:rsidRPr="00C820A0">
        <w:rPr>
          <w:rFonts w:ascii="Garamond" w:hAnsi="Garamond"/>
          <w:i/>
          <w:iCs/>
          <w:sz w:val="20"/>
          <w:szCs w:val="20"/>
          <w:lang w:val="en-US" w:eastAsia="fr-FR"/>
        </w:rPr>
        <w:t>Breuer</w:t>
      </w:r>
      <w:r w:rsidRPr="00C820A0">
        <w:rPr>
          <w:rFonts w:ascii="Garamond" w:hAnsi="Garamond"/>
          <w:sz w:val="20"/>
          <w:szCs w:val="20"/>
          <w:lang w:val="en-US" w:eastAsia="fr-FR"/>
        </w:rPr>
        <w:t>’schen Methode hier nicht gelang, beide Symptome mit einem Schlage vollständig zum Verschwinden zu bringen, so kam diess daher, dass die Katharsis nur auf die drei Haupttraumen und nicht auf die secundär associirten ausgedehnt wurde.</w:t>
      </w:r>
      <w:hyperlink r:id="rId1784" w:anchor="cite_note-26" w:history="1">
        <w:r w:rsidRPr="00C820A0">
          <w:rPr>
            <w:rFonts w:ascii="Garamond" w:hAnsi="Garamond"/>
            <w:color w:val="0000FF"/>
            <w:sz w:val="20"/>
            <w:szCs w:val="20"/>
            <w:u w:val="single"/>
            <w:vertAlign w:val="superscript"/>
            <w:lang w:eastAsia="fr-FR"/>
          </w:rPr>
          <w:t>[26]</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eastAsia="fr-FR"/>
        </w:rPr>
        <w:t>[</w:t>
      </w:r>
      <w:hyperlink r:id="rId1785" w:tooltip="Seite:De Studien über Hysterie 080.jpg" w:history="1">
        <w:r w:rsidRPr="00C820A0">
          <w:rPr>
            <w:rFonts w:ascii="Garamond" w:hAnsi="Garamond"/>
            <w:b/>
            <w:bCs/>
            <w:color w:val="0000FF"/>
            <w:sz w:val="20"/>
            <w:szCs w:val="20"/>
            <w:u w:val="single"/>
            <w:lang w:eastAsia="fr-FR"/>
          </w:rPr>
          <w:t>80</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Das Rufen des Namens „Emmy“ in Anfällen von Verwirrung, welche nach den Regeln hysterischer Anfälle die häufigen Zustände </w:t>
      </w:r>
      <w:r w:rsidRPr="00C820A0">
        <w:rPr>
          <w:rFonts w:ascii="Garamond" w:hAnsi="Garamond"/>
          <w:color w:val="666666"/>
          <w:sz w:val="20"/>
          <w:szCs w:val="20"/>
          <w:lang w:eastAsia="fr-FR"/>
        </w:rPr>
        <w:t>[</w:t>
      </w:r>
      <w:hyperlink r:id="rId1786" w:tooltip="Seite:De Studien über Hysterie 081.jpg" w:history="1">
        <w:r w:rsidRPr="00C820A0">
          <w:rPr>
            <w:rFonts w:ascii="Garamond" w:hAnsi="Garamond"/>
            <w:b/>
            <w:bCs/>
            <w:color w:val="0000FF"/>
            <w:sz w:val="20"/>
            <w:szCs w:val="20"/>
            <w:u w:val="single"/>
            <w:lang w:eastAsia="fr-FR"/>
          </w:rPr>
          <w:t>81</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von Rathlosigkeit während der Cur der Tochter reproducirten, war durch einen complicirten Gedankengang mit dem Inhalt des Anfalls verknüpft und entsprach etwa einer Schutzformel der Kranken gegen diesen Anfall. Dieser Ruf hätte wahrscheinlich auch die Eignung gehabt, in mehr lockerer Ausnützung seiner Bedeutung zum Tick herabzusinken; die complicirte Schutzformel „Rühren Sie mich nicht an etc.“ war zu dieser Anwendung bereits gelangt, aber die hypnotische Therapie hielt in beiden Fällen die weitere Entwicklung dieser Symptome auf. </w:t>
      </w:r>
      <w:r w:rsidRPr="00C820A0">
        <w:rPr>
          <w:rFonts w:ascii="Garamond" w:hAnsi="Garamond"/>
          <w:sz w:val="20"/>
          <w:szCs w:val="20"/>
          <w:lang w:val="en-US" w:eastAsia="fr-FR"/>
        </w:rPr>
        <w:t>Den ganz frisch entstandenen Ruf „Emmy“ fand ich noch auf seinen Mutterboden, den Aufall von Verwirrung, beschränkt.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Ob nun diese motorischen Symptome wie das Schnalzen durch Objectivirung einer Contrastvorstellung, wie das Stottern durch blosse Conversion der psychischen Erregung in’s Motorische, wie der Ruf „Emmy“ und die längere Formel als Schutzvorrichtungen durch gewollte Action der Kranken im hysterischen Paroxysmus entstanden sein mögen, ihnen allen ist das Eine gemeinsam, dass sie ursprünglich oder fortdauernd in einer aufzeigbaren Verbindung mit Traumen stehen, für welche sie in der Erinnerungsthätigkeit als Symbole eintreten.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Andere körperliche Symptome der Kranken sind überhaupt nicht hysterischer Natur, so die Genickkrämpfe, die ich als modificirte Migränen auffasse, und die als solche eigentlich gar nicht zu den Neurosen, sondern zu den organischen Affectionen zu stellen sind. An sie knüpfen sich aber regelmässig hysterische Symptome an; bei Frau v. N. werden die Genickkrämpfe zu hysterischen Anfällen verwendet, während sie über die typischen Erscheinungsformen des hysterischen Anfalles nicht verfügte.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will die Charakteristik des psychischen Zustandes der Frau v. N. vervollständigen, indem ich mich den bei ihr nachweisbaren krankhaften Veränderungen des Bewusstseins zuwende. Wie durch die Genickkrämpfe, so wird sie auch durch peinliche Eindrücke der Gegenwart (vgl. das letzte Delirium im Garten) oder durch mächtige Anklänge an eines ihrer Traumen in einen Zustand von Delirium versetzt, in welchem – nach den wenigen Beobachtungen, die ich darüber anstellte, kann ich nichts anderes aussagen – eine ähnliche Einschränkung des Bewusstseins, ein ähnlicher Associationszwang wie im Traum obwaltet, Hallucinationen und Illusionen äusserst erleichtert sind und schwachsinnige oder geradezu widersinnige Schlüsse </w:t>
      </w:r>
      <w:r w:rsidRPr="00C820A0">
        <w:rPr>
          <w:rFonts w:ascii="Garamond" w:hAnsi="Garamond"/>
          <w:color w:val="666666"/>
          <w:sz w:val="20"/>
          <w:szCs w:val="20"/>
          <w:lang w:val="en-US" w:eastAsia="fr-FR"/>
        </w:rPr>
        <w:t>[</w:t>
      </w:r>
      <w:hyperlink r:id="rId1787" w:tooltip="Seite:De Studien über Hysterie 082.jpg" w:history="1">
        <w:r w:rsidRPr="00C820A0">
          <w:rPr>
            <w:rFonts w:ascii="Garamond" w:hAnsi="Garamond"/>
            <w:b/>
            <w:bCs/>
            <w:color w:val="0000FF"/>
            <w:sz w:val="20"/>
            <w:szCs w:val="20"/>
            <w:u w:val="single"/>
            <w:lang w:val="en-US" w:eastAsia="fr-FR"/>
          </w:rPr>
          <w:t>82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gezogen werden. Dieser Zustand, mit einer geistigen Alienation vergleichbar, vertritt wahrscheinlich ihren Anfall, etwa eine acute Psychose als Anfallsäquivalent, die man als „hallucinatorische Verworrenheit“ classificiren würde. Eine weitere Aehnlichkeit mit dem typischen hysterischen Anfall liegt noch darin, dass zumeist ein Stück der alten traumatischen Erinnerungen als Grundlage des Deliriums nachweisbar ist. Der Uebergang aus dem Normalzustand in dieses Delirium vollzieht sich häufig ganz unmerklich; eben hat sie noch ganz correct von wenig affectiven Dingen gesprochen und bei der Fortsetzung des Gespräches, das sie auf peinliche Vorstellungen führt, merke ich an ihren gesteigerten Gesten, an dem Auftreten ihrer Spruchformeln und dgl., dass sie delirirt. Zu Beginn der Behandlung zog sich das Delirium durch den ganzen Tag hindurch, so dass es schwer fiel, von den einzelnen Symptomen mit Sicherheit anzusagen, ob sie – wie die Gesten – nur dem psychischen Zustand als Anfallssymptome angehörten, oder wie Schnalzen und Stottern zu wirklichen Dauersymptomen geworden waren. Oft gelang es erst nachträglich zu unterscheiden, was im Delirium, was im Normalzustand vorgefallen war. Die beiden Zustände waren nämlich durch das Gedächtniss getrennt, und sie war dann aufs äusserste erstaunt zu hören, welche Dinge das Delirium an eine im Normalen geführte Conversation angestückelt hatte. Meine erste Unterhaltung mit ihr war das merkwürdigste Beispiel dafür, wie die beiden Zustände durch einander durchgingen, ohne von einander Notiz zu nehmen. Nur einmal ereignete sich während dieses psychischen Wippens eine Beeinflussung des die Gegenwart verfolgenden Normalbewusstseins, als sie mir die aus dem Delirium stammende Antwort gab, sie sei eine Frau aus dem vorigen Jahrhundert.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Die Analyse dieses Deliriums bei Frau v. N. ist wenig erschöpfend geworden, hauptsächlich darum, weil ihr Zustand sich alsbald so besserte, dass die Delirien sich scharf vom Normalleben sonderten und sich auf die Zeiten der Genickkrämpfe einschränkten. Um so mehr Erfahrung habe ich über das Verhalten der Patientin in einem dritten psychischen Zustand, in dem des künstlichen Somnambulismus, gesammelt. Während sie in ihrem eigenen Normalzustande nicht wusste, was sie in ihren Delirien und was sie im Somnambulismus psychisch erlebt hatte, verfügte sie im Somnambulismus über die Erinnerungen aller drei Zustände; sie war hier eigentlich am normalsten. Wenn ich abziehe, dass sie als Somnambule weit weniger </w:t>
      </w:r>
      <w:r w:rsidRPr="00C820A0">
        <w:rPr>
          <w:rFonts w:ascii="Garamond" w:hAnsi="Garamond"/>
          <w:color w:val="666666"/>
          <w:sz w:val="20"/>
          <w:szCs w:val="20"/>
          <w:lang w:val="en-US" w:eastAsia="fr-FR"/>
        </w:rPr>
        <w:t>[</w:t>
      </w:r>
      <w:hyperlink r:id="rId1788" w:tooltip="Seite:De Studien über Hysterie 083.jpg" w:history="1">
        <w:r w:rsidRPr="00C820A0">
          <w:rPr>
            <w:rFonts w:ascii="Garamond" w:hAnsi="Garamond"/>
            <w:b/>
            <w:bCs/>
            <w:color w:val="0000FF"/>
            <w:sz w:val="20"/>
            <w:szCs w:val="20"/>
            <w:u w:val="single"/>
            <w:lang w:val="en-US" w:eastAsia="fr-FR"/>
          </w:rPr>
          <w:t>83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reservirt gegen mich war als in ihren besten Stunden des gewöhnlichen Lebens, d. h. mir als Somnambule Mittheilungen über ihre Familie u. dgl. machte, während sie mich sonst behandelte als wäre ich ein Fremder, wenn ich ferner davon absehe, dass sie die volle Suggerirbarkeit der Somnambulen zeigte, muss ich eigentlich sagen, sie war als Somnambule in einem vollkommen normalen Zustande. Es war interessant zu beobachten, dass dieser Somnambulismus andererseits keinen Zug des Uebernormalen zeigte, dass er mit allen psychischen Mängeln behaftet war, die wir dem normalen Bewusstseinszustande zutrauen. Das Verhalten des somnambulen Gedächtnisses mögen folgende Proben erläutern. Einmal drückte sie mir im Gespräch ihr Entzücken über eine schöne Topfpflanze aus, welche die Vorhalle des Sanatoriums zierte. „Aber wie heisst sie nur, Herr Doctor? Wissen Sie nicht? Ich habe den deutschen und den lateinischen Namen gewusst und beide vergessen.“ Sie war eine treffliche Kennerin der Pflanzen, während ich bei dieser Gelegenheit meine botanische Unbildung eingestand. Wenige Minuten später frage ich sie in der Hypnose: Wissen Sie jetzt den Namen der Pflanze im Stiegenhaus? Die Antwort lautet ohne jedes Besinnen: Mit dem deutschen Namen heisst sie Türkenlilie, den lateinischen habe ich wirklich vergessen. Ein andermal erzählt sie mir in gutem Wohlbefinden von einem Besuch in den Katakomben von Rom und kann sich auf zwei Termine der Beschreibung nicht besinnen, zu denen auch ich ihr nicht verhelfen kann. Unmittelbar darauf erkundige ich mich in der Hypnose, welche Worte sie meinte. Sie weiss es auch in der Hypnose nicht. Ich sage darauf: Denken Sie nicht weiter nach, morgen zwischen 5 und 6 Uhr Nachmittags im Garten, näher an 6 Uhr, werden sie Ihnen plötzlich einfallen.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Am nächsten Abend platzt sie während einer den Katakomben ganz entfremdeten Unterhaltung plötzlich heraus: Krypte, Herr Doctor, und Columbarium. – Ah, das sind ja die Worte, auf die Sie gestern nicht kommen konnten. Wann sind sie Ihnen denn eingefallen? – Heute Nachmittag im Garten, kurz ehe ich hinaufgegangen bin. – Ich merkte, dass sie mir auf diese Weise zeigen wollte, sie habe genau die angegebene Zeit eingehalten, denn sie war gewohnt, den Garten gegen 6 Uhr zu verlassen. So verfügte sie also auch im Somnambulismus nicht über den ganzen Umfang ihres Wissens, es gab auch für ihn noch ein actuelles und ein potentielles Bewusstsein. Oft genug kam es auch vor, dass sie im Somnambulismus auf meine </w:t>
      </w:r>
      <w:r w:rsidRPr="00C820A0">
        <w:rPr>
          <w:rFonts w:ascii="Garamond" w:hAnsi="Garamond"/>
          <w:color w:val="666666"/>
          <w:sz w:val="20"/>
          <w:szCs w:val="20"/>
          <w:lang w:val="en-US" w:eastAsia="fr-FR"/>
        </w:rPr>
        <w:t>[</w:t>
      </w:r>
      <w:hyperlink r:id="rId1789" w:tooltip="Seite:De Studien über Hysterie 084.jpg" w:history="1">
        <w:r w:rsidRPr="00C820A0">
          <w:rPr>
            <w:rFonts w:ascii="Garamond" w:hAnsi="Garamond"/>
            <w:b/>
            <w:bCs/>
            <w:color w:val="0000FF"/>
            <w:sz w:val="20"/>
            <w:szCs w:val="20"/>
            <w:u w:val="single"/>
            <w:lang w:val="en-US" w:eastAsia="fr-FR"/>
          </w:rPr>
          <w:t>84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Frage: Woher rührt diese oder jene Erscheinung? die Stirne in Falten zog und nach einer Pause kleinlaut die Antwort gab: Das weiss ich nicht. Dann hatte ich die Gewohnheit angenommen zu sagen: Besinnen Sie sich, Sie werden es gleich erfahren; und sie konnte mir nach ein wenig Nachdenken die verlangte Auskunft geben. Es traf sich aber auch, dass ihr nichts einfiel, und dass ich ihr die Aufgabe hinterlassen musste, sich bis morgen daran zu erinnern, was auch jedesmal zutraf. Die Frau, die im gewöhnlichen Leben peinlichst jeder Unwahrheit aus dem Wege ging, log auch in der Hypnose niemals; es kam aber vor, dass sie unvollständige Angaben machte, mit einem Stück des Berichtes zurückhielt, bis ich ein zweites Mal die Vervollständigung erzwang. Wie in dem auf pag. 66 gegebenen Beispiel, war es meist die Abneigung, die ihr das Thema einflösste, welche ihr auch im Somnambulismus den Mund verschloss. Trotz dieser Züge von Einschränkung war aber doch der Eindruck, den ihr psychisches Verhalten im Somnambulismus machte, im Ganzen der einer ungehemmten Entfaltung ihrer geistigen Kraft und der vollen Verfügung über ihren Erinnerungsschatz.</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Ihre unleugbar grosse Suggerirbarkeit im Somnambulismus war indess von einer krankhaften Widerstandslosigkeit weit entfernt. Im Ganzen muss ich sagen, machte ich doch nicht mehr Eindruck auf sie, als ich bei solchem Eingehen auf den psychischen Mechanismus bei jeder Person hätte erwarten dürfen, die mir mit grossem Vertrauen und in voller Geistesklarheit gelauscht hätte, nur dass Frau v. N. mir in ihrem sogenannten Normalzustand eine solche günstige psychische Verfassung nicht entgegenbringen konnte. Wo es mir, wie bei der Thierfurcht, nicht gelang, ihr Gründe der Ueberzeugung beizubringen, oder wo ich nicht auf die psychische Entstehungsgeschichte des Symptoms einging, sondern mittelst autoritativer Suggestion wirken wollte, da merkte ich jedesmal den gespannten, unzufriedenen Ausdruck in der Miene der Somnambulen, und wenn ich dann zum Schlüsse fragte: Also, werden Sie sich noch vor diesem Thier fürchten? war die Antwort: Nein, – weil Sie es verlangen. Ein solches Versprechen, das sich nur auf ihre Gefügigkeit gegen mich stützen konnte, hatte aber eigentlich niemals Erfolg, so wenig Erfolg wie die vielen allgemeinen Lehren, die ich ihr gab, anstatt deren ich eben so gut die eine Suggestion: Seien Sie gesund, hätte wiederholen können.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Dieselbe Person, die ihre Krankheitssymptome gegen die Suggestion so hartnäckig festhielt und sie nur gegen psychische Analyse </w:t>
      </w:r>
      <w:r w:rsidRPr="00C820A0">
        <w:rPr>
          <w:rFonts w:ascii="Garamond" w:hAnsi="Garamond"/>
          <w:color w:val="666666"/>
          <w:sz w:val="20"/>
          <w:szCs w:val="20"/>
          <w:lang w:val="en-US" w:eastAsia="fr-FR"/>
        </w:rPr>
        <w:t>[</w:t>
      </w:r>
      <w:hyperlink r:id="rId1790" w:tooltip="Seite:De Studien über Hysterie 085.jpg" w:history="1">
        <w:r w:rsidRPr="00C820A0">
          <w:rPr>
            <w:rFonts w:ascii="Garamond" w:hAnsi="Garamond"/>
            <w:b/>
            <w:bCs/>
            <w:color w:val="0000FF"/>
            <w:sz w:val="20"/>
            <w:szCs w:val="20"/>
            <w:u w:val="single"/>
            <w:lang w:val="en-US" w:eastAsia="fr-FR"/>
          </w:rPr>
          <w:t>85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oder Ueberzeugung fallen liess, war andererseits gefügig wie das beste Spitalsmedium, wo es sich um belanglose Suggestionen handelte, Dinge, die nicht in Beziehung zu ihrer Krankheit standen. Ich habe Beispiele von solchem posthypnotischen Gehorsam in der Krankengeschichte mitgetheilt. Ich finde keinen Widerspruch in diesem Verhalten. Das Recht der stärkeren Vorstellung musste sich auch hier geltend machen. Wenn man auf den Mechanismus der pathologischen „fixen Idee“ eingeht, findet man dieselbe begründet und gestützt durch so viele und intensiv wirkende Erlebnisse, dass man sich nicht wundern kann, wenn sie im Stande ist, der suggerirten, wiederum nur mit einer gewissen Kraft ausgestatteten, Gegenvorstellung erfolgreich Widerstand zu leisten. Es wäre nur ein wahrhaft pathologisches Gehirn, in dem es möglich wäre, so berechtigte Ergebnisse intensiver psychischer Vorgänge durch die Suggestion wegzublasen.</w:t>
      </w:r>
      <w:hyperlink r:id="rId1791" w:anchor="cite_note-27" w:history="1">
        <w:r w:rsidRPr="00C820A0">
          <w:rPr>
            <w:rFonts w:ascii="Garamond" w:hAnsi="Garamond"/>
            <w:color w:val="0000FF"/>
            <w:sz w:val="20"/>
            <w:szCs w:val="20"/>
            <w:u w:val="single"/>
            <w:vertAlign w:val="superscript"/>
            <w:lang w:eastAsia="fr-FR"/>
          </w:rPr>
          <w:t>[27]</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color w:val="666666"/>
          <w:sz w:val="20"/>
          <w:szCs w:val="20"/>
          <w:lang w:eastAsia="fr-FR"/>
        </w:rPr>
        <w:lastRenderedPageBreak/>
        <w:t>[</w:t>
      </w:r>
      <w:hyperlink r:id="rId1792" w:tooltip="Seite:De Studien über Hysterie 086.jpg" w:history="1">
        <w:r w:rsidRPr="00C820A0">
          <w:rPr>
            <w:rFonts w:ascii="Garamond" w:hAnsi="Garamond"/>
            <w:b/>
            <w:bCs/>
            <w:color w:val="0000FF"/>
            <w:sz w:val="20"/>
            <w:szCs w:val="20"/>
            <w:u w:val="single"/>
            <w:lang w:eastAsia="fr-FR"/>
          </w:rPr>
          <w:t>86</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Als ich den somnambulen Zustand der Frau v. N. studirte, stiegen in mir zum erstenmal gewichtige Zweifel an der Richtigkeit des Satzes </w:t>
      </w:r>
      <w:r w:rsidRPr="00C820A0">
        <w:rPr>
          <w:rFonts w:ascii="Garamond" w:hAnsi="Garamond"/>
          <w:i/>
          <w:iCs/>
          <w:sz w:val="20"/>
          <w:szCs w:val="20"/>
          <w:lang w:eastAsia="fr-FR"/>
        </w:rPr>
        <w:t>Bernheim’s</w:t>
      </w:r>
      <w:r w:rsidRPr="00C820A0">
        <w:rPr>
          <w:rFonts w:ascii="Garamond" w:hAnsi="Garamond"/>
          <w:sz w:val="20"/>
          <w:szCs w:val="20"/>
          <w:lang w:eastAsia="fr-FR"/>
        </w:rPr>
        <w:t xml:space="preserve">: Tout est dans la Suggestion, und an dem Gedankengange seines scharfsinnigen Freundes </w:t>
      </w:r>
      <w:r w:rsidRPr="00C820A0">
        <w:rPr>
          <w:rFonts w:ascii="Garamond" w:hAnsi="Garamond"/>
          <w:i/>
          <w:iCs/>
          <w:sz w:val="20"/>
          <w:szCs w:val="20"/>
          <w:lang w:eastAsia="fr-FR"/>
        </w:rPr>
        <w:t>Delboef</w:t>
      </w:r>
      <w:r w:rsidRPr="00C820A0">
        <w:rPr>
          <w:rFonts w:ascii="Garamond" w:hAnsi="Garamond"/>
          <w:sz w:val="20"/>
          <w:szCs w:val="20"/>
          <w:lang w:eastAsia="fr-FR"/>
        </w:rPr>
        <w:t xml:space="preserve"> „Comme quoi il n’y a pas d’hypnotisme“ auf. Ich kann es auch heute nicht verstehen, dass mein vorgehaltener Finger und das einmalige „Schlafen Sie“ den besonderen psychischen Zustand der Kranken geschaffen haben soll, in dem ihr Gedächtnis alle ihre psychischen Erlebnisse umfasste. Ich konnte den Zustand hervorgerufen haben, geschaffen habe ich ihn nicht durch meine Suggestion, da seine Charaktere, die übrigens allgemein giltige sind, mich so sehr überraschten.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Auf welche Weise hier im Somnambulismus Therapie geübt wurde, ist aus der Krankengeschichte zur Genüge ersichtlich. Ich bekämpfte, wie es in der hypnotischen Psychotherapie gebräuchlich, die vorhandenen krankhaften Vorstellungen durch Versicherung, Verbot, Einführung von Gegenvorstellungen jeder Art, begnügte mich aber nicht damit, sondern ging der Entstehungsgeschichte der einzelnen Symptome nach, um die Voraussetzungen bekämpfen zu können, auf denen die krankhaften Ideen aufgebaut waren. </w:t>
      </w:r>
      <w:r w:rsidRPr="00C820A0">
        <w:rPr>
          <w:rFonts w:ascii="Garamond" w:hAnsi="Garamond"/>
          <w:sz w:val="20"/>
          <w:szCs w:val="20"/>
          <w:lang w:val="en-US" w:eastAsia="fr-FR"/>
        </w:rPr>
        <w:t xml:space="preserve">Während dieser Analysen ereignete es sich dann regelmässig, dass die Kranke sich unter den Zeichen heftigster Erregung über Dinge aussprach, deren Affect bisher nur Abfluss als Ausdruck von Gemüthsbewegung gefunden hatte. Wieviel von dem jedesmaligen therapeutischen Erfolg auf dies Wegsuggeriren in statu nascendi, wieviel auf die Lösung des Affectes durch Abreagiren kam, kann ich nicht angeben, denn ich habe beide therapeutischen Momente zusammenwirken lassen. Dieser Fall wäre demnach für den strengen Nachweis, dass der </w:t>
      </w:r>
      <w:r w:rsidRPr="00C820A0">
        <w:rPr>
          <w:rFonts w:ascii="Garamond" w:hAnsi="Garamond"/>
          <w:color w:val="666666"/>
          <w:sz w:val="20"/>
          <w:szCs w:val="20"/>
          <w:lang w:val="en-US" w:eastAsia="fr-FR"/>
        </w:rPr>
        <w:t>[</w:t>
      </w:r>
      <w:hyperlink r:id="rId1793" w:tooltip="Seite:De Studien über Hysterie 087.jpg" w:history="1">
        <w:r w:rsidRPr="00C820A0">
          <w:rPr>
            <w:rFonts w:ascii="Garamond" w:hAnsi="Garamond"/>
            <w:b/>
            <w:bCs/>
            <w:color w:val="0000FF"/>
            <w:sz w:val="20"/>
            <w:szCs w:val="20"/>
            <w:u w:val="single"/>
            <w:lang w:val="en-US" w:eastAsia="fr-FR"/>
          </w:rPr>
          <w:t>87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kathartischen Methode eine therapeutische Wirksamkeit innewohnt, nicht zu verwerten, allein ich muss doch sagen, dass nur jene Krankheitssymptome wirklich auf die Dauer beseitigt worden sind, bei denen ich die psychische Analyse durchgeführt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Der therapeutische Erfolg war im Ganzen ein recht beträchtlicher, aber kein dauernder; die Eignung der Kranken, unter neuerlichen Traumen, die sie trafen, in änlicher Weise zu erkranken, wurde nicht beseitigt. Wer die endgiltige Heilung einer solchen Hysterie unternehmen wollte, müsste sich eingehendere Rechenschaft über den Zusammenhang der Phänomene geben, als ich damals versuchte. Frau v. N. war sicherlich eine neuropathisch hereditär belastete Person. Ohne solche Disposition bringt man wahrscheinlich überhaupt keine Hysterie zu Stande. Aber die Disposition allein macht auch noch keine Hysterie, es gehören Gründe dazu und zwar, wie ich behaupte, adäquate Gründe, eine Aetiologie bestimmter Natur. Ich habe vorhin erwähnt, dass bei Frau v. N. die Affecte so vieler traumatischer Erlebnisse erhalten schienen, und dass eine lebhafte Erinnerungsthätigkeit bald dies, bald jenes Trauma an die psychische Oberfläche brachte. Ich möchte mich nun getrauen, den Grund für diese Erhaltung der Affecte bei Frau v. N. anzugeben. Er hängt allerdings mit ihrer hereditären Anlage zusammen. Ihre Empfindungen waren nämlich einerseits sehr intensiv, sie war eine heftige Natur, der grössten Entbindung von Leidenschaftlichkeit fähig; andererseits lebte sie seit dem Tode ihres Mannes in völliger seelischer Vereinsamung, durch die Verfolgungen der Verwandtschaft gegen Freunde misstrauisch gemacht, eifersüchtig darüber wachend, dass Niemand zuviel Einfluss auf ihr Handeln gewinne. Der Kreis ihrer Pflichten war ein grosser, und die ganze psychische Arbeit, die ihr aufgenöthigt war, besorgte sie allein ohne Freund oder Vertraute, fast isolirt von ihrer Familie und unter der Erschwerung, die ihre Gewissenhaftigkeit, ihre Neigung zur Selbsquälerei, oft auch ihre natürliche Rathlosigkeit als Frau ihr auferlegten. Kurz, der Mechanismus der </w:t>
      </w:r>
      <w:r w:rsidRPr="00C820A0">
        <w:rPr>
          <w:rFonts w:ascii="Garamond" w:hAnsi="Garamond"/>
          <w:i/>
          <w:iCs/>
          <w:sz w:val="20"/>
          <w:szCs w:val="20"/>
          <w:lang w:val="en-US" w:eastAsia="fr-FR"/>
        </w:rPr>
        <w:t>Retention grosser Erregungssummen</w:t>
      </w:r>
      <w:r w:rsidRPr="00C820A0">
        <w:rPr>
          <w:rFonts w:ascii="Garamond" w:hAnsi="Garamond"/>
          <w:sz w:val="20"/>
          <w:szCs w:val="20"/>
          <w:lang w:val="en-US" w:eastAsia="fr-FR"/>
        </w:rPr>
        <w:t xml:space="preserve"> an und für sich ist hier nicht zu verkennen. Er stützt sich theils auf die Umstände ihres Lebens, theils auf ihre natürliche Anlage; ihre Scheu z. B., etwas über sich mitzutheilen, war so gross, dass keiner von den täglichen Besuchern ihres Hauses, wie ich 1891 mit Erstaunen merkte, sie als krank oder mich als ihren Arzt kannte.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Ob ich damit die Aetiologie dieses Falles von Hysterie erschöpft habe? Ich glaube es nicht, denn ich stellte mir zur Zeit der beiden </w:t>
      </w:r>
      <w:r w:rsidRPr="00C820A0">
        <w:rPr>
          <w:rFonts w:ascii="Garamond" w:hAnsi="Garamond"/>
          <w:color w:val="666666"/>
          <w:sz w:val="20"/>
          <w:szCs w:val="20"/>
          <w:lang w:val="en-US" w:eastAsia="fr-FR"/>
        </w:rPr>
        <w:t>[</w:t>
      </w:r>
      <w:hyperlink r:id="rId1794" w:tooltip="Seite:De Studien über Hysterie 088.jpg" w:history="1">
        <w:r w:rsidRPr="00C820A0">
          <w:rPr>
            <w:rFonts w:ascii="Garamond" w:hAnsi="Garamond"/>
            <w:b/>
            <w:bCs/>
            <w:color w:val="0000FF"/>
            <w:sz w:val="20"/>
            <w:szCs w:val="20"/>
            <w:u w:val="single"/>
            <w:lang w:val="en-US" w:eastAsia="fr-FR"/>
          </w:rPr>
          <w:t>88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Behandlungen noch nicht jene Fragen, deren Beantwortung es für eine erschöpfende Aufklärung bedarf. Ich denke jetzt, es muss noch etwas hinzugekommen sein, um bei den durch lange Jahre unveränderten ätiologisch wirksamen Verhältnissen einen Ausbruch des Leidens gerade in den letzten Jahren zu provociren. Es ist mir auch aufgefallen, dass in all den intimen Mittheilungen, die mir die Patientin machte, das sexuelle Element, das doch wie kein anderes Anlass zu Traumen gibt, völlig fehlte. So ohne jeglichen Rest können die Erregungen in dieser Sphäre wohl nicht geblieben sein, es war wahrscheinlich eine editio in usum delphini ihrer Lebensgeschichte, die ich zu hören bekam. Die Patientin war in ihrem Benehmen von der grössten, ungekünstelt erscheinenden Decenz, ohne Prüderie. Wenn ich aber an die Zurückhaltung denke, mit der sie mir in der Hypnose das kleine Abenteuer ihrer Kammerfrau im Hôtel erzählte, komme ich auf den Verdacht, diese heftige, so starker Empfindungen fähige Frau habe den Sieg über ihre sexuellen Bedürfnisse nicht ohne schwere Kämpfe gewonnen, und sich zu Zeiten bei dem Versuch einer Unterdrückung dieses mächtigsten aller Triebe psychisch schwer erschöpft. Sie gestand mir einmal, dass sie nicht wieder geheiratet habe, weil sie bei ihrem grossen Vermögen der Uneigennützigkeit der Bewerber nicht vertrauen konnte, und weil sie sich Vorwürfe gemacht hätte, den Interessen ihrer beiden Kinder durch eine neue Verheiratung zu schaden.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Noch eine Bemerkung muss ich anfügen, ehe ich die Krankengeschichte der Frau v. N. beschliesse. Wir kannten sie beide ziemlich genau, Dr.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und ich, und durch ziemlich lange Zeit, und wir pflegten zu lächeln, wenn wir ihr Charakterbild mit der Schilderung der hysterischen Psyche verglichen, die sich seit alten Zeiten durch die Bücher und die Meinung der Aerzte zieht. Wenn wir aus der Beobachtung der Frau Cäcilie M. ... ersehen hatten, dass Hysterie schwerster Form mit der reichhaltigsten und originellsten Begabung vereinbar ist – eine Thatsache, die übrigens aus den Biographien der für Geschichte und Literatur bedeutsamen Frauen bis zur Evidenz hervorleuchtet, – so hatten wir an Frau Emmy v. N. ein Beispiel dafür, dass die Hysterie auch tadellose Charakterentwicklung und zielbewusste Lebensführung nicht ausschliesst. Es war eine ausgezeichnete Frau, die wir kennen gelernt hatten, deren sittlicher </w:t>
      </w:r>
      <w:r w:rsidRPr="00C820A0">
        <w:rPr>
          <w:rFonts w:ascii="Garamond" w:hAnsi="Garamond"/>
          <w:sz w:val="20"/>
          <w:szCs w:val="20"/>
          <w:lang w:val="en-US" w:eastAsia="fr-FR"/>
        </w:rPr>
        <w:lastRenderedPageBreak/>
        <w:t xml:space="preserve">Ernst in der Auffassung ihrer Pflichten, deren geradezu männliche Intelligenz und Energie, deren hohe Bildung und Wahrheitsliebe uns beiden imponirte, während ihre gütige Fürsorge für alle ihr unterstehenden Personen, </w:t>
      </w:r>
      <w:r w:rsidRPr="00C820A0">
        <w:rPr>
          <w:rFonts w:ascii="Garamond" w:hAnsi="Garamond"/>
          <w:color w:val="666666"/>
          <w:sz w:val="20"/>
          <w:szCs w:val="20"/>
          <w:lang w:val="en-US" w:eastAsia="fr-FR"/>
        </w:rPr>
        <w:t>[</w:t>
      </w:r>
      <w:hyperlink r:id="rId1795" w:tooltip="Seite:De Studien über Hysterie 089.jpg" w:history="1">
        <w:r w:rsidRPr="00C820A0">
          <w:rPr>
            <w:rFonts w:ascii="Garamond" w:hAnsi="Garamond"/>
            <w:b/>
            <w:bCs/>
            <w:color w:val="0000FF"/>
            <w:sz w:val="20"/>
            <w:szCs w:val="20"/>
            <w:u w:val="single"/>
            <w:lang w:val="en-US" w:eastAsia="fr-FR"/>
          </w:rPr>
          <w:t>89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ihre innere Bescheidenheit und die Feinheit ihrer Umgangsformen sie auch als Dame achtenswert erscheinen liess. Eine solche Frau eine „Degenerirte“ zu nennen, heisst die Bedeutung dieses Wortes bis zur Unkenntlichkeit entstellen. Man thut gut daran, die „disponirten“ Menschen von den „degenerirten“ begrifflich zu sondern, sonst wird man sich zum Zugeständnis gezwungen sehen, dass die Menschheit einen guten Theil ihrer grossen Errungenschaften den Anstrengungen „degenerirter“ Individuen zu verdanken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gestehe auch, ich kann in der Geschichte der Frau v. N. nichts von der „psychischen Minderleistung“ finden, aufweiche </w:t>
      </w:r>
      <w:r w:rsidRPr="00C820A0">
        <w:rPr>
          <w:rFonts w:ascii="Garamond" w:hAnsi="Garamond"/>
          <w:i/>
          <w:iCs/>
          <w:sz w:val="20"/>
          <w:szCs w:val="20"/>
          <w:lang w:val="en-US" w:eastAsia="fr-FR"/>
        </w:rPr>
        <w:t>P. Janet</w:t>
      </w:r>
      <w:r w:rsidRPr="00C820A0">
        <w:rPr>
          <w:rFonts w:ascii="Garamond" w:hAnsi="Garamond"/>
          <w:sz w:val="20"/>
          <w:szCs w:val="20"/>
          <w:lang w:val="en-US" w:eastAsia="fr-FR"/>
        </w:rPr>
        <w:t xml:space="preserve"> die Entstehung der Hysterie zurückführt. Die hysterische Disposition bestünde nach ihm in einer abnormen Enge des Bewusstseinsfeldes (infolge hereditärer Degeneration), welche zur Vernachlässigung ganzer Reihen von Wahrnehmungen, in weiterer Folge zum Zerfall des Ich und zur Organisirung secundärer Persönlichkeiten Anlass gibt. Demnach müsste auch der Rest des Ich, nach Abzug der hysterisch organisirten psychischen Gruppen, minder leistungsfähig sein als das normale Ich, und in der That ist nach </w:t>
      </w:r>
      <w:r w:rsidRPr="00C820A0">
        <w:rPr>
          <w:rFonts w:ascii="Garamond" w:hAnsi="Garamond"/>
          <w:i/>
          <w:iCs/>
          <w:sz w:val="20"/>
          <w:szCs w:val="20"/>
          <w:lang w:val="en-US" w:eastAsia="fr-FR"/>
        </w:rPr>
        <w:t>Janet</w:t>
      </w:r>
      <w:r w:rsidRPr="00C820A0">
        <w:rPr>
          <w:rFonts w:ascii="Garamond" w:hAnsi="Garamond"/>
          <w:sz w:val="20"/>
          <w:szCs w:val="20"/>
          <w:lang w:val="en-US" w:eastAsia="fr-FR"/>
        </w:rPr>
        <w:t xml:space="preserve"> dieses Ich bei den Hysterischen mit psychischen Stigmaten belastet, zum Monoideismus verurtheilt und der gewöhnlichen Willensleistungen des Lebens unfähig. Ich meine, </w:t>
      </w:r>
      <w:r w:rsidRPr="00C820A0">
        <w:rPr>
          <w:rFonts w:ascii="Garamond" w:hAnsi="Garamond"/>
          <w:i/>
          <w:iCs/>
          <w:sz w:val="20"/>
          <w:szCs w:val="20"/>
          <w:lang w:val="en-US" w:eastAsia="fr-FR"/>
        </w:rPr>
        <w:t>Janet</w:t>
      </w:r>
      <w:r w:rsidRPr="00C820A0">
        <w:rPr>
          <w:rFonts w:ascii="Garamond" w:hAnsi="Garamond"/>
          <w:sz w:val="20"/>
          <w:szCs w:val="20"/>
          <w:lang w:val="en-US" w:eastAsia="fr-FR"/>
        </w:rPr>
        <w:t xml:space="preserve"> hat hier Folgezustände der hysterischen Bewusstseinsveränderung mit Unrecht zu dem Rang von primären Bedingungen der Hysterie erhoben. Das Thema ist einer eingehenderen Behandlung an anderer Stelle wert; bei Frau v. N. aber war von solcher Minderleistung nichts zu bemerken. Während der Periode ihrer schwersten Zustände war und blieb sie fähig, ihren Antheil an der Leitung eines grossen industriellen Unternehmens zu besorgen, die Erziehung ihrer Kinder niemals aus den Augen zu verlieren, ihren Briefverkehr mit geistig hervorragenden Personen fortzusetzen, kurz allen ihren Pflichten soweit nachzukommen, dass ihr Kranksein verborgen bleiben konnte. Ich sollte doch meinen, das ergäbe ein ansehnliches Maass von psychischer Ueberleistung, das vielleicht auf die Dauer nicht haltbar war, das zu einer Erschöpfung, zur sekundären „Misere psychologique“ führen müsste. Wahrscheinlich begannen zur Zeit, da ich sie zuerst sah, bereits solche Störungen ihrer Leistungsfähigkeit sich fühlbar zu machen, aber jedenfalls hatte schwere Hysterie lange Jahre vor diesen Symptomen der Erschöpfung bestanden.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4" style="width:113.4pt;height:1.5pt" o:hrpct="250" o:hralign="center" o:hrstd="t" o:hr="t" fillcolor="#a0a0a0" stroked="f"/>
        </w:pict>
      </w:r>
    </w:p>
    <w:p w:rsidR="005C1841" w:rsidRPr="00C820A0" w:rsidRDefault="005C1841" w:rsidP="005C1841">
      <w:pPr>
        <w:pStyle w:val="Sansinterligne"/>
        <w:rPr>
          <w:rFonts w:ascii="Garamond" w:hAnsi="Garamond"/>
          <w:sz w:val="20"/>
          <w:szCs w:val="20"/>
          <w:lang w:eastAsia="fr-FR"/>
        </w:rPr>
      </w:pPr>
      <w:hyperlink r:id="rId1796" w:anchor="cite_ref-0"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Dieses Schnalzen bestand aus mehreren Tempi; jagdkundige Collegen, die es hörten, verglichen dessen Endlaute mit dem Balzen des Auerhahnes.</w:t>
      </w:r>
    </w:p>
    <w:p w:rsidR="005C1841" w:rsidRPr="005C1841" w:rsidRDefault="005C1841" w:rsidP="005C1841">
      <w:pPr>
        <w:pStyle w:val="Sansinterligne"/>
        <w:rPr>
          <w:rFonts w:ascii="Garamond" w:hAnsi="Garamond"/>
          <w:sz w:val="20"/>
          <w:szCs w:val="20"/>
          <w:lang w:eastAsia="fr-FR"/>
        </w:rPr>
      </w:pPr>
      <w:hyperlink r:id="rId1797" w:anchor="cite_ref-1" w:history="1">
        <w:r w:rsidRPr="005C1841">
          <w:rPr>
            <w:rFonts w:ascii="Garamond" w:hAnsi="Garamond"/>
            <w:color w:val="0000FF"/>
            <w:sz w:val="20"/>
            <w:szCs w:val="20"/>
            <w:u w:val="single"/>
            <w:lang w:eastAsia="fr-FR"/>
          </w:rPr>
          <w:t>↑</w:t>
        </w:r>
      </w:hyperlink>
      <w:r w:rsidRPr="005C1841">
        <w:rPr>
          <w:rFonts w:ascii="Garamond" w:hAnsi="Garamond"/>
          <w:sz w:val="20"/>
          <w:szCs w:val="20"/>
          <w:lang w:eastAsia="fr-FR"/>
        </w:rPr>
        <w:t xml:space="preserve"> Die Worte entsprachen in der That einer </w:t>
      </w:r>
      <w:r w:rsidRPr="005C1841">
        <w:rPr>
          <w:rFonts w:ascii="Garamond" w:hAnsi="Garamond"/>
          <w:i/>
          <w:iCs/>
          <w:sz w:val="20"/>
          <w:szCs w:val="20"/>
          <w:lang w:eastAsia="fr-FR"/>
        </w:rPr>
        <w:t>Schutzformel</w:t>
      </w:r>
      <w:r w:rsidRPr="005C1841">
        <w:rPr>
          <w:rFonts w:ascii="Garamond" w:hAnsi="Garamond"/>
          <w:sz w:val="20"/>
          <w:szCs w:val="20"/>
          <w:lang w:eastAsia="fr-FR"/>
        </w:rPr>
        <w:t>, die auch im Weiteren ihre Erklärung findet. Ich habe solche Schutzformeln seither bei einer Melancholica beobachtet, die ihre peinigenden Gedanken (Wünsche, dass ihrem Mann, ihrer Mutter etwas Arges zustossen möge, Gotteslästerungen udgl.) auf diese Art zu beherrschen versuchte.</w:t>
      </w:r>
    </w:p>
    <w:p w:rsidR="005C1841" w:rsidRPr="005C1841" w:rsidRDefault="005C1841" w:rsidP="005C1841">
      <w:pPr>
        <w:pStyle w:val="Sansinterligne"/>
        <w:rPr>
          <w:rFonts w:ascii="Garamond" w:hAnsi="Garamond"/>
          <w:sz w:val="20"/>
          <w:szCs w:val="20"/>
          <w:lang w:eastAsia="fr-FR"/>
        </w:rPr>
      </w:pPr>
      <w:hyperlink r:id="rId1798" w:anchor="cite_ref-2" w:history="1">
        <w:r w:rsidRPr="005C1841">
          <w:rPr>
            <w:rFonts w:ascii="Garamond" w:hAnsi="Garamond"/>
            <w:color w:val="0000FF"/>
            <w:sz w:val="20"/>
            <w:szCs w:val="20"/>
            <w:u w:val="single"/>
            <w:lang w:eastAsia="fr-FR"/>
          </w:rPr>
          <w:t>↑</w:t>
        </w:r>
      </w:hyperlink>
      <w:r w:rsidRPr="005C1841">
        <w:rPr>
          <w:rFonts w:ascii="Garamond" w:hAnsi="Garamond"/>
          <w:sz w:val="20"/>
          <w:szCs w:val="20"/>
          <w:lang w:eastAsia="fr-FR"/>
        </w:rPr>
        <w:t xml:space="preserve"> Es handelte sich um ein hysterisches Delirium, welches mit dem normalen Bewusstseinszustande alternirt, ähnlich wie ein echter Tick sich in eine Willkürbewegung einschiebt, ohne dieselbe zu stören und ohne sich mit ihr zu vermengen.</w:t>
      </w:r>
    </w:p>
    <w:p w:rsidR="005C1841" w:rsidRPr="005C1841" w:rsidRDefault="005C1841" w:rsidP="005C1841">
      <w:pPr>
        <w:pStyle w:val="Sansinterligne"/>
        <w:rPr>
          <w:rFonts w:ascii="Garamond" w:hAnsi="Garamond"/>
          <w:sz w:val="20"/>
          <w:szCs w:val="20"/>
          <w:lang w:eastAsia="fr-FR"/>
        </w:rPr>
      </w:pPr>
      <w:hyperlink r:id="rId1799" w:anchor="cite_ref-3" w:history="1">
        <w:r w:rsidRPr="005C1841">
          <w:rPr>
            <w:rFonts w:ascii="Garamond" w:hAnsi="Garamond"/>
            <w:color w:val="0000FF"/>
            <w:sz w:val="20"/>
            <w:szCs w:val="20"/>
            <w:u w:val="single"/>
            <w:lang w:eastAsia="fr-FR"/>
          </w:rPr>
          <w:t>↑</w:t>
        </w:r>
      </w:hyperlink>
      <w:r w:rsidRPr="005C1841">
        <w:rPr>
          <w:rFonts w:ascii="Garamond" w:hAnsi="Garamond"/>
          <w:sz w:val="20"/>
          <w:szCs w:val="20"/>
          <w:lang w:eastAsia="fr-FR"/>
        </w:rPr>
        <w:t xml:space="preserve"> Beim Erwachen aus der Hypnose blickte sie jedesmal wie verworren einen Augenblick herum, liess dann ihre Augen auf mir ruhen, schien sich besonnen zu haben, zog die Brille an, die sie vor dem Einschlafen abgelegt hatte, und war dann heiter und ganz bei sich. Obwohl wir im Verlaufe der Behandlung, die in diesem Jahre 7, im nächsten 8 Wochen einnahm, über alles Mögliche mit einander sprachen und sie fast täglich zweimal von mir eingeschläfert wurde, richtete sie doch nie eine Frage oder Bemerkung über die Hypnose an mich und schien in ihrem Wachzustand die Thatsache, dass sie hypnotisirt werde, möglichst zu ignoriren.</w:t>
      </w:r>
    </w:p>
    <w:p w:rsidR="005C1841" w:rsidRPr="00C820A0" w:rsidRDefault="005C1841" w:rsidP="005C1841">
      <w:pPr>
        <w:pStyle w:val="Sansinterligne"/>
        <w:rPr>
          <w:rFonts w:ascii="Garamond" w:hAnsi="Garamond"/>
          <w:sz w:val="20"/>
          <w:szCs w:val="20"/>
          <w:lang w:val="en-US" w:eastAsia="fr-FR"/>
        </w:rPr>
      </w:pPr>
      <w:hyperlink r:id="rId1800" w:anchor="cite_ref-4"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Eine solche plötzliche Einschiebung eines Deliriums in den wachen Zustand war bei ihr nichts Seltenes und wiederholte sich noch oft unter meiner Beobachtung. Sie pflegte zu klagen, dass sie oft im Gespräch die verdrehtesten Antworten gebe, so dass ihre Leute sie nicht verstünden. Bei unserem ersten Besuch antwortete sie mir auf die Frage, wie alt sie sei, ganz ernsthaft: Ich bin eine Frau aus dem vorigen Jahrhundert. Wochen später klärte sie mich auf, sie hätte damals im Delirium an einen schönen alten Schrank gedacht, den sie auf der Reise als Liebhaberin antiker Möbel erworben. Auf diesen Schrank bezog sich die Zeitbestimmung, als meine Frage nach ihrem Alter zu einer Aussage über Zeiten Anlass gab.</w:t>
      </w:r>
    </w:p>
    <w:p w:rsidR="005C1841" w:rsidRPr="005C1841" w:rsidRDefault="005C1841" w:rsidP="005C1841">
      <w:pPr>
        <w:pStyle w:val="Sansinterligne"/>
        <w:rPr>
          <w:rFonts w:ascii="Garamond" w:hAnsi="Garamond"/>
          <w:sz w:val="20"/>
          <w:szCs w:val="20"/>
          <w:lang w:val="en-US" w:eastAsia="fr-FR"/>
        </w:rPr>
      </w:pPr>
      <w:hyperlink r:id="rId1801" w:anchor="cite_ref-5"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Eine Art von Migräne.</w:t>
      </w:r>
    </w:p>
    <w:p w:rsidR="005C1841" w:rsidRPr="00C820A0" w:rsidRDefault="005C1841" w:rsidP="005C1841">
      <w:pPr>
        <w:pStyle w:val="Sansinterligne"/>
        <w:rPr>
          <w:rFonts w:ascii="Garamond" w:hAnsi="Garamond"/>
          <w:sz w:val="20"/>
          <w:szCs w:val="20"/>
          <w:lang w:val="en-US" w:eastAsia="fr-FR"/>
        </w:rPr>
      </w:pPr>
      <w:hyperlink r:id="rId1802" w:anchor="cite_ref-6"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Dies Erinnern in lebhaften visuellen Bildern gaben uns viele andere Hysterische an und betonten es ganz besonders für die pathogenen Erinnerungen.</w:t>
      </w:r>
    </w:p>
    <w:p w:rsidR="005C1841" w:rsidRPr="00C820A0" w:rsidRDefault="005C1841" w:rsidP="005C1841">
      <w:pPr>
        <w:pStyle w:val="Sansinterligne"/>
        <w:rPr>
          <w:rFonts w:ascii="Garamond" w:hAnsi="Garamond"/>
          <w:sz w:val="20"/>
          <w:szCs w:val="20"/>
          <w:lang w:val="en-US" w:eastAsia="fr-FR"/>
        </w:rPr>
      </w:pPr>
      <w:hyperlink r:id="rId1803" w:anchor="cite_ref-7"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Im Wachen hatte ich auf die Frage nach der Herkunft des Tick die Antwort erhalten: Ich weiss nicht; oh, schon sehr lange.</w:t>
      </w:r>
    </w:p>
    <w:p w:rsidR="005C1841" w:rsidRPr="00C820A0" w:rsidRDefault="005C1841" w:rsidP="005C1841">
      <w:pPr>
        <w:pStyle w:val="Sansinterligne"/>
        <w:rPr>
          <w:rFonts w:ascii="Garamond" w:hAnsi="Garamond"/>
          <w:sz w:val="20"/>
          <w:szCs w:val="20"/>
          <w:lang w:val="en-US" w:eastAsia="fr-FR"/>
        </w:rPr>
      </w:pPr>
      <w:hyperlink r:id="rId1804" w:anchor="cite_ref-9"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An die Kröte muss sich wohl eine besondere Symbolik geknüpft haben, die ich zu ergründen leider nicht versucht habe.</w:t>
      </w:r>
    </w:p>
    <w:p w:rsidR="005C1841" w:rsidRPr="005C1841" w:rsidRDefault="005C1841" w:rsidP="005C1841">
      <w:pPr>
        <w:pStyle w:val="Sansinterligne"/>
        <w:rPr>
          <w:rFonts w:ascii="Garamond" w:hAnsi="Garamond"/>
          <w:sz w:val="20"/>
          <w:szCs w:val="20"/>
          <w:lang w:val="en-US" w:eastAsia="fr-FR"/>
        </w:rPr>
      </w:pPr>
      <w:hyperlink r:id="rId1805" w:anchor="cite_ref-10"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welches auch zutraf.</w:t>
      </w:r>
    </w:p>
    <w:p w:rsidR="005C1841" w:rsidRPr="005C1841" w:rsidRDefault="005C1841" w:rsidP="005C1841">
      <w:pPr>
        <w:pStyle w:val="Sansinterligne"/>
        <w:rPr>
          <w:rFonts w:ascii="Garamond" w:hAnsi="Garamond"/>
          <w:sz w:val="20"/>
          <w:szCs w:val="20"/>
          <w:lang w:val="en-US" w:eastAsia="fr-FR"/>
        </w:rPr>
      </w:pPr>
      <w:hyperlink r:id="rId1806" w:anchor="cite_ref-11"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Die Antwort: „Ich weiss es nicht,“ mochte richtig sein, konnte aber ebensowohl die Unlust bedeuten, von den Gründen zu reden. Ich habe später bei anderen Kranken die Erfahrung gemacht, dass sie sich auch in der Hypnose um so schwerer an etwas besannen, je mehr Anstrengung sie dazu verwendet hatten, das betreffende Ereigniss aus ihrem Bewusstsein zu drängen.</w:t>
      </w:r>
    </w:p>
    <w:p w:rsidR="005C1841" w:rsidRPr="005C1841" w:rsidRDefault="005C1841" w:rsidP="005C1841">
      <w:pPr>
        <w:pStyle w:val="Sansinterligne"/>
        <w:rPr>
          <w:rFonts w:ascii="Garamond" w:hAnsi="Garamond"/>
          <w:sz w:val="20"/>
          <w:szCs w:val="20"/>
          <w:lang w:val="en-US" w:eastAsia="fr-FR"/>
        </w:rPr>
      </w:pPr>
      <w:hyperlink r:id="rId1807" w:anchor="cite_ref-12"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Wie man hier erfährt, sind das tickähnliche Schnalzen und das spastische Stottern der Patientin zwei Symptome, die auf ähnliche Veranlassungen und einen analogen Mechanismus zurückgehen. Ich habe diesem Mechanismus in einem kleinen Aufsatze: „Ein Fall von hypnotischer Heilung nebst Bemerkungen über den hysterischen </w:t>
      </w:r>
      <w:r w:rsidRPr="005C1841">
        <w:rPr>
          <w:rFonts w:ascii="Garamond" w:hAnsi="Garamond"/>
          <w:sz w:val="20"/>
          <w:szCs w:val="20"/>
          <w:lang w:val="en-US" w:eastAsia="fr-FR"/>
        </w:rPr>
        <w:lastRenderedPageBreak/>
        <w:t>Gegenwillen“ (Zeitschrift für Hypnotismus, Bd. I) Aufmerksamkeit geschenkt, werde übrigens auch hier darauf zurückkommen.</w:t>
      </w:r>
    </w:p>
    <w:p w:rsidR="005C1841" w:rsidRPr="005C1841" w:rsidRDefault="005C1841" w:rsidP="005C1841">
      <w:pPr>
        <w:pStyle w:val="Sansinterligne"/>
        <w:rPr>
          <w:rFonts w:ascii="Garamond" w:hAnsi="Garamond"/>
          <w:sz w:val="20"/>
          <w:szCs w:val="20"/>
          <w:lang w:val="en-US" w:eastAsia="fr-FR"/>
        </w:rPr>
      </w:pPr>
      <w:hyperlink r:id="rId1808" w:anchor="cite_ref-13"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Alle solche lehrhafte Suggestionen schlugen bei Frau Emmy fehl, wie die Folge gezeigt hat.</w:t>
      </w:r>
    </w:p>
    <w:p w:rsidR="005C1841" w:rsidRPr="00C820A0" w:rsidRDefault="005C1841" w:rsidP="005C1841">
      <w:pPr>
        <w:pStyle w:val="Sansinterligne"/>
        <w:rPr>
          <w:rFonts w:ascii="Garamond" w:hAnsi="Garamond"/>
          <w:sz w:val="20"/>
          <w:szCs w:val="20"/>
          <w:lang w:val="en-US" w:eastAsia="fr-FR"/>
        </w:rPr>
      </w:pPr>
      <w:hyperlink r:id="rId1809" w:anchor="cite_ref-14"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bin diesmal in meiner Energie wohl zu weit gegangen. Noch 1½ Jahre später, als ich Frau Emmy in relativ hohem Wohlbefinden wiedersah, klagte sie mir, es sei merkwürdig, dass sie sich an gewisse, sehr wichtige Momente ihres Lebens nur höchst ungenau erinnern könne. Sie sah darin einen Beweis für die Abnahme ihres Gedächtnisses, während ich mich hüten musste, ihr die Erklärung für diese specielle Amnesie zu geben. Der durchschlagende Erfolg der Therapie in diesem Punkte rührte wohl auch daher, dass ich mir diese Erinnerung so ausführlich erzählen liess (weit ausführlicher, als es die Notizen bewahrt haben), während ich mich sonst zu oft mit blossen Erwähnungen begnügte.</w:t>
      </w:r>
    </w:p>
    <w:p w:rsidR="005C1841" w:rsidRPr="005C1841" w:rsidRDefault="005C1841" w:rsidP="005C1841">
      <w:pPr>
        <w:pStyle w:val="Sansinterligne"/>
        <w:rPr>
          <w:rFonts w:ascii="Garamond" w:hAnsi="Garamond"/>
          <w:sz w:val="20"/>
          <w:szCs w:val="20"/>
          <w:lang w:val="en-US" w:eastAsia="fr-FR"/>
        </w:rPr>
      </w:pPr>
      <w:hyperlink r:id="rId1810" w:anchor="cite_ref-15"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verstand diese kleine Scene erst am nächsten Tag. Ihre ungeberdige Natur, die sich im Wachen wie im künstlichen Schlaf gegen jeden Zwang aufbäumte, hatte sie darüber zornig werden lassen, dass ich ihre Erzählung für vollendet nahm und sie durch meine abschliessende Suggestion unterbrach. Ich habe viele andere Beweise dafür, dass sie meine Arbeit in ihrem hypnotischen Bewusstsein kritisch überwachte. Wahrscheinlich wollte sie mir den Vorwurf machen, dass ich sie heute in der Erzählung störe, wie ich sie vorhin bei den Irrenhausgräueln gestört hatte, getraute sich dessen aber nicht, sondern brachte diese Nachträge anscheinend unvermittelt vor, ohne den verbindenden Gedankengang zu verrathen. </w:t>
      </w:r>
      <w:r w:rsidRPr="005C1841">
        <w:rPr>
          <w:rFonts w:ascii="Garamond" w:hAnsi="Garamond"/>
          <w:sz w:val="20"/>
          <w:szCs w:val="20"/>
          <w:lang w:val="en-US" w:eastAsia="fr-FR"/>
        </w:rPr>
        <w:t>Am nächsten Tag klärte mich dann eine verweisende Bemerkung über meinen Fehlgriff auf.</w:t>
      </w:r>
    </w:p>
    <w:p w:rsidR="005C1841" w:rsidRPr="00C820A0" w:rsidRDefault="005C1841" w:rsidP="005C1841">
      <w:pPr>
        <w:pStyle w:val="Sansinterligne"/>
        <w:rPr>
          <w:rFonts w:ascii="Garamond" w:hAnsi="Garamond"/>
          <w:sz w:val="20"/>
          <w:szCs w:val="20"/>
          <w:lang w:val="en-US" w:eastAsia="fr-FR"/>
        </w:rPr>
      </w:pPr>
      <w:hyperlink r:id="rId1811" w:anchor="cite_ref-16"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habe leider in diesem Falle versäumt, nach der Bedeutung der Zoopsie zu forschen, etwa sondern zu wollen, was an der Thierfurcht primäres Grausen war, wie es vielen Neuropathen von Jugend auf eigen ist, und was Symbolik.</w:t>
      </w:r>
    </w:p>
    <w:p w:rsidR="005C1841" w:rsidRPr="00C820A0" w:rsidRDefault="005C1841" w:rsidP="005C1841">
      <w:pPr>
        <w:pStyle w:val="Sansinterligne"/>
        <w:rPr>
          <w:rFonts w:ascii="Garamond" w:hAnsi="Garamond"/>
          <w:sz w:val="20"/>
          <w:szCs w:val="20"/>
          <w:lang w:val="en-US" w:eastAsia="fr-FR"/>
        </w:rPr>
      </w:pPr>
      <w:hyperlink r:id="rId1812" w:anchor="cite_ref-17"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Das visuelle Erinnerungszeichen der grossen Eidechse war zu dieser Bedeutung gewiss nur durch das zeitliche Zusammentreffen mit einem grossen Affect gelangt, dem sie während jener Theatervorstellung unterlegen sein muss. Ich habe mich aber in der Therapie dieser Kranken, wie schon eingestanden, häufig mit den oberflächlichsten Ermittlungen begnügt und auch in diesem Falle nicht weiter nachgeforscht. – Man wird übrigens an die hysterische Makropsie erinnert. Frau Emmy war hochgradig kurzsichtig und astigmatisch, und ihre Hallucinationen mochten oft durch die Undeutlichkeit ihrer Gesichtswahrnehmungen provocirt worden sein.</w:t>
      </w:r>
    </w:p>
    <w:p w:rsidR="005C1841" w:rsidRPr="005C1841" w:rsidRDefault="005C1841" w:rsidP="005C1841">
      <w:pPr>
        <w:pStyle w:val="Sansinterligne"/>
        <w:rPr>
          <w:rFonts w:ascii="Garamond" w:hAnsi="Garamond"/>
          <w:sz w:val="20"/>
          <w:szCs w:val="20"/>
          <w:lang w:val="en-US" w:eastAsia="fr-FR"/>
        </w:rPr>
      </w:pPr>
      <w:hyperlink r:id="rId1813" w:anchor="cite_ref-18"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war damals geneigt, für alle Symptome bei einer Hysterie eine </w:t>
      </w:r>
      <w:r w:rsidRPr="00C820A0">
        <w:rPr>
          <w:rFonts w:ascii="Garamond" w:hAnsi="Garamond"/>
          <w:i/>
          <w:iCs/>
          <w:sz w:val="20"/>
          <w:szCs w:val="20"/>
          <w:lang w:val="en-US" w:eastAsia="fr-FR"/>
        </w:rPr>
        <w:t>psychische</w:t>
      </w:r>
      <w:r w:rsidRPr="00C820A0">
        <w:rPr>
          <w:rFonts w:ascii="Garamond" w:hAnsi="Garamond"/>
          <w:sz w:val="20"/>
          <w:szCs w:val="20"/>
          <w:lang w:val="en-US" w:eastAsia="fr-FR"/>
        </w:rPr>
        <w:t xml:space="preserve"> Herkunft anzunehmen. </w:t>
      </w:r>
      <w:r w:rsidRPr="005C1841">
        <w:rPr>
          <w:rFonts w:ascii="Garamond" w:hAnsi="Garamond"/>
          <w:sz w:val="20"/>
          <w:szCs w:val="20"/>
          <w:lang w:val="en-US" w:eastAsia="fr-FR"/>
        </w:rPr>
        <w:t xml:space="preserve">Heute würde ich die Angstneigung bei dieser abstinent lebenden Frau </w:t>
      </w:r>
      <w:r w:rsidRPr="005C1841">
        <w:rPr>
          <w:rFonts w:ascii="Garamond" w:hAnsi="Garamond"/>
          <w:i/>
          <w:iCs/>
          <w:sz w:val="20"/>
          <w:szCs w:val="20"/>
          <w:lang w:val="en-US" w:eastAsia="fr-FR"/>
        </w:rPr>
        <w:t>neurotisch</w:t>
      </w:r>
      <w:r w:rsidRPr="005C1841">
        <w:rPr>
          <w:rFonts w:ascii="Garamond" w:hAnsi="Garamond"/>
          <w:sz w:val="20"/>
          <w:szCs w:val="20"/>
          <w:lang w:val="en-US" w:eastAsia="fr-FR"/>
        </w:rPr>
        <w:t xml:space="preserve"> erklären. (Angstneurose.)</w:t>
      </w:r>
    </w:p>
    <w:p w:rsidR="005C1841" w:rsidRPr="00C820A0" w:rsidRDefault="005C1841" w:rsidP="005C1841">
      <w:pPr>
        <w:pStyle w:val="Sansinterligne"/>
        <w:rPr>
          <w:rFonts w:ascii="Garamond" w:hAnsi="Garamond"/>
          <w:sz w:val="20"/>
          <w:szCs w:val="20"/>
          <w:lang w:val="en-US" w:eastAsia="fr-FR"/>
        </w:rPr>
      </w:pPr>
      <w:hyperlink r:id="rId1814" w:anchor="cite_ref-19"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Der Hergang war also folgender gewesen: Als sie am Morgen aufwachte, fand sie sich in ängstlicher Stimmung und griff, um diese Stimmung aufzuklären, zur nächsten ängstlichen Vorstellung, die sich finden wollte. Ein Gespräch über den Lift im Hause der Kinder war am Nachmittag vorher vorgefallen. Die immer besorgte Mutter hatte die Gouvernante gefragt, ob die ältere Tochter, die wegen rechtsseitiger Ovarie und Schmerzen im rechten Bein nicht viel gehen konnte, den Lift auch zum Herunterkommen benütze. Eine Erinnerungstäuschung gestattete ihr dann, die Angst, deren sie sich bewusst war, an die Vorstellung dieses Aufzuges zu knüpfen. Den wirklichen Grund ihrer Angst fand in sie ihrem Bewusstsein nicht; der ergab sich erst, aber ohne jedes Zögern, als ich sie in der Hypnose darum befragte. Es war derselbe Vorgang, den </w:t>
      </w:r>
      <w:r w:rsidRPr="00C820A0">
        <w:rPr>
          <w:rFonts w:ascii="Garamond" w:hAnsi="Garamond"/>
          <w:i/>
          <w:iCs/>
          <w:sz w:val="20"/>
          <w:szCs w:val="20"/>
          <w:lang w:val="en-US" w:eastAsia="fr-FR"/>
        </w:rPr>
        <w:t>Bernheim</w:t>
      </w:r>
      <w:r w:rsidRPr="00C820A0">
        <w:rPr>
          <w:rFonts w:ascii="Garamond" w:hAnsi="Garamond"/>
          <w:sz w:val="20"/>
          <w:szCs w:val="20"/>
          <w:lang w:val="en-US" w:eastAsia="fr-FR"/>
        </w:rPr>
        <w:t xml:space="preserve"> und Andere nach ihm bei den Personen studiert haben, die posthypnotisch einen in der Hypnose ertheilten Auftrag ausführen. Z. B. </w:t>
      </w:r>
      <w:r w:rsidRPr="00C820A0">
        <w:rPr>
          <w:rFonts w:ascii="Garamond" w:hAnsi="Garamond"/>
          <w:i/>
          <w:iCs/>
          <w:sz w:val="20"/>
          <w:szCs w:val="20"/>
          <w:lang w:val="en-US" w:eastAsia="fr-FR"/>
        </w:rPr>
        <w:t>Bernheim</w:t>
      </w:r>
      <w:r w:rsidRPr="00C820A0">
        <w:rPr>
          <w:rFonts w:ascii="Garamond" w:hAnsi="Garamond"/>
          <w:sz w:val="20"/>
          <w:szCs w:val="20"/>
          <w:lang w:val="en-US" w:eastAsia="fr-FR"/>
        </w:rPr>
        <w:t xml:space="preserve"> (Die Suggestion, 31 der deutschen Uebersetzung) hat einem Kranken suggerirt, dass er nach dem Erwachen beide Daumen in den Mund stecken werde. Er thut es auch und entschuldigt sich damit, dass er seit einem Biss, den er sich Tags vorher im epileptiformen Anfall zugefügt, einen Schmerz in der Zunge empfinde. Ein Mädchen versucht, der Suggestion gehorsam, einen Mordanschlag auf einen ihr völlig fremden Gerichtsbeamten; erfasst und nach den Gründen ihrer That befragt, erfindet sie eine Geschichte von einer ihr zugefügten Kränkung, die eine Rache erforderte. Es scheint ein Bedürfniss vorzuliegen, psychische Phänomene, deren man sich bewusst wird, in causale Verknüpfung mit anderem Bewussten zu bringen. Wo sich die wirkliche Verursachung der Wahrnehmung des Bewusstseins entzieht, versucht man unbedenklich eine andere Verknüpfung, an die man selbst glaubt, obwohl sie falsch ist. Es ist klar, dass eine vorhandene Spaltung des Bewusstseinsinhaltes solchen „</w:t>
      </w:r>
      <w:r w:rsidRPr="00C820A0">
        <w:rPr>
          <w:rFonts w:ascii="Garamond" w:hAnsi="Garamond"/>
          <w:i/>
          <w:iCs/>
          <w:sz w:val="20"/>
          <w:szCs w:val="20"/>
          <w:lang w:val="en-US" w:eastAsia="fr-FR"/>
        </w:rPr>
        <w:t>falschen Verknüpfungen</w:t>
      </w:r>
      <w:r w:rsidRPr="00C820A0">
        <w:rPr>
          <w:rFonts w:ascii="Garamond" w:hAnsi="Garamond"/>
          <w:sz w:val="20"/>
          <w:szCs w:val="20"/>
          <w:lang w:val="en-US" w:eastAsia="fr-FR"/>
        </w:rPr>
        <w:t>“ den grössten Vorschub leisten muss.</w:t>
      </w:r>
      <w:r w:rsidRPr="00C820A0">
        <w:rPr>
          <w:rFonts w:ascii="Garamond" w:hAnsi="Garamond"/>
          <w:sz w:val="20"/>
          <w:szCs w:val="20"/>
          <w:lang w:val="en-US" w:eastAsia="fr-FR"/>
        </w:rPr>
        <w:br/>
        <w:t xml:space="preserve">Ich will bei dem oben erwähnten Beispiel einer falschen Vernüpfung etwas länger verweilen, weil es in mehr als einer Hinsicht als vorbildlich bezeichnet werden darf. Vorbildlich zunächt für das Verhalten dieser Patientin, die mir im </w:t>
      </w:r>
      <w:r w:rsidRPr="00C820A0">
        <w:rPr>
          <w:rFonts w:ascii="Garamond" w:hAnsi="Garamond"/>
          <w:color w:val="666666"/>
          <w:sz w:val="20"/>
          <w:szCs w:val="20"/>
          <w:lang w:val="en-US" w:eastAsia="fr-FR"/>
        </w:rPr>
        <w:t>[</w:t>
      </w:r>
      <w:hyperlink r:id="rId1815" w:tooltip="Seite:De Studien über Hysterie 056.jpg" w:history="1">
        <w:r w:rsidRPr="00C820A0">
          <w:rPr>
            <w:rFonts w:ascii="Garamond" w:hAnsi="Garamond"/>
            <w:b/>
            <w:bCs/>
            <w:color w:val="0000FF"/>
            <w:sz w:val="20"/>
            <w:szCs w:val="20"/>
            <w:u w:val="single"/>
            <w:lang w:val="en-US" w:eastAsia="fr-FR"/>
          </w:rPr>
          <w:t>56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Verlaufe der Behandlung noch wiederholt Gelegenheit gab, mittelst der hypnotischen Aufklärung solche falsche Verknüpfungen zu lösen und die von ihnen ausgehenden Wirkungen aufzuheben. Einen Fall dieser Art will ich ausführlich erzählen, weil er die in Rede stehende psychologische Thatsache grell genug beleuchtet. Ich hatte Frau Emmy v. N ... vorgeschlagen, anstatt der gewohnten lauen Bäder ein kühles Halbbad zu versuchen, von dem ich ihr mehr Erfrischung versprach. Sie leistete ärztlichen Anordnungen unbedingten Gehorsam, verfolgte dieselben aber jedesmal mit dem ärgsten Misstrauen. Ich habe schon berichtet, dass ihr ärztliche Behandlung fast niemals eine Erleichterung gebracht hatte. Mein Vorschlag, kühle Bäder zu nehmen, geschah nicht so autoritativ, dass sie nicht den Muth gefunden hätte, mir ihre Bedenken auszusprechen: „Jedesmal, so oft ich kühle Bäder genommen habe, bin ich den ganzen Tag über melancholisch gewesen. Aber ich versuche es wieder, wenn </w:t>
      </w:r>
      <w:r w:rsidRPr="00C820A0">
        <w:rPr>
          <w:rFonts w:ascii="Garamond" w:hAnsi="Garamond"/>
          <w:i/>
          <w:iCs/>
          <w:sz w:val="20"/>
          <w:szCs w:val="20"/>
          <w:lang w:val="en-US" w:eastAsia="fr-FR"/>
        </w:rPr>
        <w:t>Sie wollen</w:t>
      </w:r>
      <w:r w:rsidRPr="00C820A0">
        <w:rPr>
          <w:rFonts w:ascii="Garamond" w:hAnsi="Garamond"/>
          <w:sz w:val="20"/>
          <w:szCs w:val="20"/>
          <w:lang w:val="en-US" w:eastAsia="fr-FR"/>
        </w:rPr>
        <w:t xml:space="preserve">; glauben Sie nicht, dass ich etwas nicht thue, was Sie sagen.“ Ich verzichtete zum Schein auf meinen Vorschlag, gab ihr aber in der nächsten Hypnose ein, sie möge nur die kühlen Bäder jetzt selbst vorschlagen, sie habe es sich überlegt, wolle doch noch den Versuch wagen u. s. w. So geschah es nun, sie nahm die Idee, kühle Halbbäder zu gebrauchen, selbst am nächsten Tage auf, suchte mich mit all den Argumenten dafür zu gewinnen, die ich ihr vorgetragen hatte, und ich </w:t>
      </w:r>
      <w:r w:rsidRPr="00C820A0">
        <w:rPr>
          <w:rFonts w:ascii="Garamond" w:hAnsi="Garamond"/>
          <w:sz w:val="20"/>
          <w:szCs w:val="20"/>
          <w:lang w:val="en-US" w:eastAsia="fr-FR"/>
        </w:rPr>
        <w:lastRenderedPageBreak/>
        <w:t>gab ohne viel Eifer nach. Am Tage nach dem Halbbad fand ich sie aber wirklich in tiefer Verstimmung. „Warum sind Sie heute so? – Ich habe es ja vorher gewusst. Von dem kalten Bad, das ist immer so. – Sie haben es selbst verlangt. Jetzt wissen wir, dass Sie es nicht vertragen. Wir kehren zu den lauen Bädern zurück.“ – In der Hypnose fragte ich dann: „War es wirklich das kühle Bad, das Sie so verstimmt hat.“ – „Ach, das kühle Bad hat nichts damit zu thun,“ war die Antwort, „sondern ich habe heute früh in der Zeitung gelesen, dass eine Revolution in S. Domingo ausgebrochen ist. Wenn es dort Unruhen gibt, geht es immer über die Weissen her, und ich habe einen Bruder in S. Domingo, der uns schon soviel Sorge gemacht hat, und ich bin jetzt besorgt, dass ihm nicht etwas geschieht.“ Damit war die Angelegenheit zwischen uns erledigt, sie nahm am nächsten Morgen ihr kühles Halbbad, als ob es sich von selbst verstünde, und nahm es noch durch mehrere Wochen, ohne je eine Verstimmung auf dasselbe zurückzuführen.</w:t>
      </w:r>
      <w:r w:rsidRPr="00C820A0">
        <w:rPr>
          <w:rFonts w:ascii="Garamond" w:hAnsi="Garamond"/>
          <w:sz w:val="20"/>
          <w:szCs w:val="20"/>
          <w:lang w:val="en-US" w:eastAsia="fr-FR"/>
        </w:rPr>
        <w:br/>
        <w:t xml:space="preserve">Man wird mir gerne zugeben, dass dieses Beispiel auch typisch ist für das Verhalten so vieler anderer Neuropathen gegen die vom Arzt empfohlene Therapie. Ob es nun Unruhen in S. Domingo oder anderwärts sind, die an einem bestimmten Tag ein gewisses Symptom hervorrufen; der Kranke ist stets geneigt, dies Symptom von der letzten ärztlichen Beeinflussung herzuleiten. Von den beiden Bedingungen, welche für’s Zustandekommen einer solchen falschen Verknüpfung erfordert werden, seheint die eine, das Misstrauen, jederzeit vorhanden zu sein; die andere, die Bewusstseinsspaltung, wird dadurch ersetzt, dass die meisten Neuropathen von den wirklichen Ursachen (oder wenigstens Gelegenheitsursachen), ihres Leidens theils keine Kenntniss haben, theils absichtlich keine Kenntniss </w:t>
      </w:r>
      <w:r w:rsidRPr="00C820A0">
        <w:rPr>
          <w:rFonts w:ascii="Garamond" w:hAnsi="Garamond"/>
          <w:color w:val="666666"/>
          <w:sz w:val="20"/>
          <w:szCs w:val="20"/>
          <w:lang w:val="en-US" w:eastAsia="fr-FR"/>
        </w:rPr>
        <w:t>[</w:t>
      </w:r>
      <w:hyperlink r:id="rId1816" w:tooltip="Seite:De Studien über Hysterie 057.jpg" w:history="1">
        <w:r w:rsidRPr="00C820A0">
          <w:rPr>
            <w:rFonts w:ascii="Garamond" w:hAnsi="Garamond"/>
            <w:b/>
            <w:bCs/>
            <w:color w:val="0000FF"/>
            <w:sz w:val="20"/>
            <w:szCs w:val="20"/>
            <w:u w:val="single"/>
            <w:lang w:val="en-US" w:eastAsia="fr-FR"/>
          </w:rPr>
          <w:t>57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nehmen wollen, weil sie ungerne an den Antheil erinnert sind, den eigenes Verschulden daran trägt.</w:t>
      </w:r>
      <w:r w:rsidRPr="00C820A0">
        <w:rPr>
          <w:rFonts w:ascii="Garamond" w:hAnsi="Garamond"/>
          <w:sz w:val="20"/>
          <w:szCs w:val="20"/>
          <w:lang w:val="en-US" w:eastAsia="fr-FR"/>
        </w:rPr>
        <w:br/>
        <w:t xml:space="preserve">Man könnte meinen, dass die bei Neuropathen ausserhalb der Hysterie hervorgehobenen psychischen Bedingungen der Unwissenheit oder absichtlichen Vernachlässigung günstiger für die Entstehung einer falschen Verknüpfung sein müssen als das Vorhandensein einer Bewusstseinsspaltung, die doch dem Bewusstsein Material für causale Beziehung entzieht. Allein diese Spaltung ist selten eine reinliche, meist ragen Stücke des unterbewussten Vorstellungscomplexes in’s gewöhnliche Bewusstsein hinein, und gerade diese geben den Anlass zu solchen Störungen. Gewöhnlich ist es die mit dem Complex verbundene Allgemeinempfindung, die Stimmung der Angst, der Trauer, die, wie im obigen Beispiel, bewusst empfunden wird und für die durch eine Art von „Zwang zur Association“ eine Verknüpfung mit einem im Bewusstsein vorhandenen Vorstellungscomplex hergestellt werden muss. (Vgl. übrigens den Mechanismus der </w:t>
      </w:r>
      <w:r w:rsidRPr="00C820A0">
        <w:rPr>
          <w:rFonts w:ascii="Garamond" w:hAnsi="Garamond"/>
          <w:i/>
          <w:iCs/>
          <w:sz w:val="20"/>
          <w:szCs w:val="20"/>
          <w:lang w:val="en-US" w:eastAsia="fr-FR"/>
        </w:rPr>
        <w:t>Zwangsvorstellung</w:t>
      </w:r>
      <w:r w:rsidRPr="00C820A0">
        <w:rPr>
          <w:rFonts w:ascii="Garamond" w:hAnsi="Garamond"/>
          <w:sz w:val="20"/>
          <w:szCs w:val="20"/>
          <w:lang w:val="en-US" w:eastAsia="fr-FR"/>
        </w:rPr>
        <w:t xml:space="preserve">, den ich in einer Mittheilung im Neurolog. </w:t>
      </w:r>
      <w:r w:rsidRPr="00C820A0">
        <w:rPr>
          <w:rFonts w:ascii="Garamond" w:hAnsi="Garamond"/>
          <w:sz w:val="20"/>
          <w:szCs w:val="20"/>
          <w:lang w:eastAsia="fr-FR"/>
        </w:rPr>
        <w:t>Centralblatt, Nr. 10 u. 11, 1894, angegeben habe. Auch: Obsessions et phobies, Revue neurologique, Nr. 2, 1895.)</w:t>
      </w:r>
      <w:r w:rsidRPr="00C820A0">
        <w:rPr>
          <w:rFonts w:ascii="Garamond" w:hAnsi="Garamond"/>
          <w:sz w:val="20"/>
          <w:szCs w:val="20"/>
          <w:lang w:eastAsia="fr-FR"/>
        </w:rPr>
        <w:br/>
        <w:t xml:space="preserve">Von der Macht eines solchen Zwanges zur Association habe ich mich unlängst durch Beobachtungen auf anderem Gebiete überzeugen können. Ich musste durch mehrere Wochen mein gewohntes Bett mit einem härteren Lager vertauschen, auf dem ich wahrscheinlich mehr oder lebhafter träumte, vielleicht nur die normale Schlaftiefe nicht erreichen konnte. </w:t>
      </w:r>
      <w:r w:rsidRPr="00C820A0">
        <w:rPr>
          <w:rFonts w:ascii="Garamond" w:hAnsi="Garamond"/>
          <w:sz w:val="20"/>
          <w:szCs w:val="20"/>
          <w:lang w:val="en-US" w:eastAsia="fr-FR"/>
        </w:rPr>
        <w:t>Ich wusste in der ersten Viertelstunde nach dem Erwachen alle Träume der Nacht und gab mir die Mühe, sie niederzuschreiben und mich an ihrer Lösung zu versuchen. Es gelang mir, diese Träume sämmtlich auf zwei Momente zurückzuführen: 1. auf die Nöthigung zur Ausarbeitung solcher Vorstellungen, bei denen ich tagsüber nur flüchtig verweilt hatte, die nur gestreift und nicht erledigt worden waren, und 2. auf den Zwang, die im selben Bewusstseinszustand vorhandenen Dinge mit einander zu verknüpfen. Auf das freie Walten des letzteren Momentes war das Sinnlose und Widerspruchsvolle der Träume zurückzuführen.</w:t>
      </w:r>
      <w:r w:rsidRPr="00C820A0">
        <w:rPr>
          <w:rFonts w:ascii="Garamond" w:hAnsi="Garamond"/>
          <w:sz w:val="20"/>
          <w:szCs w:val="20"/>
          <w:lang w:val="en-US" w:eastAsia="fr-FR"/>
        </w:rPr>
        <w:br/>
        <w:t xml:space="preserve">Dass die zu einem Erlebniss gehörige Stimmung und der Inhalt desselben ganz regelmässig in abweichende Beziehung zum primären Bewusstsein treten können, habe ich an einer anderen Patientin, Frau Cäcilie M., gesehen, die ich weitaus gründlicher als jede andere hier erwähnte Kranke kennen lernte. Ich habe bei dieser Dame die zahlreichsten und überzeugendsten Beweise für einen solchen psychischen Mechanismus hysterischer Phänomene gesammelt, wie wir ihn in dieser Arbeit vertreten, bin aber leider durch persönliche Umstände verhindert, diese Krankengeschichte, auf die ich mich gelegentlich zu beziehen gedenke, ausführlich mitzutheilen. Frau Cäcilie M. war zuletzt in einem eigenthümlichen hysterischen Zustande, der gewiss nicht vereinzelt dasteht, wenngleich ich nicht weiss, ob er je erkannt worden ist. Man könnte ihn als „hysterische Tilgungspsychose“ bezeichnen. – Die Patientin hatte zahlreiche psychische Traumen erlebt und lange Jahre in einer chronischen Hysterie mit sehr mannigfaltigen Erscheinungen </w:t>
      </w:r>
      <w:r w:rsidRPr="00C820A0">
        <w:rPr>
          <w:rFonts w:ascii="Garamond" w:hAnsi="Garamond"/>
          <w:color w:val="666666"/>
          <w:sz w:val="20"/>
          <w:szCs w:val="20"/>
          <w:lang w:val="en-US" w:eastAsia="fr-FR"/>
        </w:rPr>
        <w:t>[</w:t>
      </w:r>
      <w:hyperlink r:id="rId1817" w:tooltip="Seite:De Studien über Hysterie 058.jpg" w:history="1">
        <w:r w:rsidRPr="00C820A0">
          <w:rPr>
            <w:rFonts w:ascii="Garamond" w:hAnsi="Garamond"/>
            <w:b/>
            <w:bCs/>
            <w:color w:val="0000FF"/>
            <w:sz w:val="20"/>
            <w:szCs w:val="20"/>
            <w:u w:val="single"/>
            <w:lang w:val="en-US" w:eastAsia="fr-FR"/>
          </w:rPr>
          <w:t>58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zugebracht. Die Gründe aller dieser Zustände waren ihr und anderen unbekannt, ihr glänzend ausgestattetes Gedächtnis wies die auffälligsten Lücken auf; ihr Leben sei ihr wie zerstückelt, klagte sie selbst. Eines Tages brach plötzlich eine alte Reminiscenz in plastischer Anschaulichkeit mit aller Frische der neuen Empfindung über sie herein, und von da an lebte sie durch fast 3 Jahre alle Traumen ihres Lebens – längst vergessen geglaubte und manche eigentlich nie erinnerte – von Neuem durch mit dem entsetzlichsten Aufwand von Leiden und der Wiederkehr aller Symptome, die sie je gehabt. Diese „Tilgung alter Schulden“ umfasste einen Zeitraum von 33 Jahren und gestattete, von jedem ihrer Zustände die oft sehr complicirte Determinirung zu erkennen. Man konnte ihr Erleichterung nur dadurch bringen, dass man ihr Gelegenheit gab, sich die Reminiscenz, die sie gerade quälte, mit allem dazugehörigen Aufwand an Stimmung und deren körperlichen Aeusserungen in der Hypnose abzusprechen, und wenn ich verhindert war, dabei zu sein, so dass sie vor einer Person sprechen musste, gegen welche sie sich genirt fühlte, so geschah es einige Male, dass sie dieser ganz ruhig die Geschichte erzählte und mir nachträglich in der Hypnose all das Weinen, all die Aeusserungen der Verzweiflung brachte, mit welchen sie die Erzählung eigentlich hätte begleiten wollen. Nach einer solchen Reinigung in der Hypnose war sie einige Stunden ganz wohl und gegenwärtig. Nach kurzer Zeit brach die der Reihe nach nächste Reminiscenz herein. Diese schickte aber die dazu gehörige Stimmung um Stunden voraus. Sie wurde reizbar oder ängstlich oder verzweifelt, ohne je zu ahnen, dass diese Stimmung nicht der Gegenwart, sondern dem Zustande angehöre, der sie zunächst befallen werde. In dieser </w:t>
      </w:r>
      <w:r w:rsidRPr="00C820A0">
        <w:rPr>
          <w:rFonts w:ascii="Garamond" w:hAnsi="Garamond"/>
          <w:sz w:val="20"/>
          <w:szCs w:val="20"/>
          <w:lang w:val="en-US" w:eastAsia="fr-FR"/>
        </w:rPr>
        <w:lastRenderedPageBreak/>
        <w:t>Zeit des Ueberganges machte sie dann regelmässig eine falsche Verknüpfung, an der sie bis zur Hypnose hartnäckig festhielt. So z. B. empfing sie mich einmal mit der Frage: „Bin ich nicht eine verworfene Person, ist das nicht ein Zeichen der tiefsten Verworfenheit, dass ich Ihnen gestern diess gesagt habe?“ Was sie Tags vorher gesagt hatte, war mir wirklich nicht geeignet, diese Verdammung irgendwie zu rechtfertigen; sie sah es nach kurzer Erörterung auch sehr wohl ein, aber die nächste Hypnose brachte eine Reminiscenz zum Vorschein, bei deren Anlass sie sich vor 12 Jahren einen schweren Vorwurf gemacht hatte, an dem sie in der Gegenwart übrigens gar nicht mehr festhielt.</w:t>
      </w:r>
    </w:p>
    <w:p w:rsidR="005C1841" w:rsidRPr="00C820A0" w:rsidRDefault="005C1841" w:rsidP="005C1841">
      <w:pPr>
        <w:pStyle w:val="Sansinterligne"/>
        <w:rPr>
          <w:rFonts w:ascii="Garamond" w:hAnsi="Garamond"/>
          <w:sz w:val="20"/>
          <w:szCs w:val="20"/>
          <w:lang w:val="en-US" w:eastAsia="fr-FR"/>
        </w:rPr>
      </w:pPr>
      <w:hyperlink r:id="rId1818" w:anchor="cite_ref-20"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Bei nachheriger Ueberlegung muss ich mir sagen, dass diese „Genickkrämpfe“ organisch bedingte, der Migräne analoge Zustände gewesen sein mögen. Man sieht in praxi mehr derartige Zustände, die nicht beschrieben sind und die eine so auffällige Uebereinstimmung mit dem classischen Anfall von Hemicranie </w:t>
      </w:r>
      <w:r w:rsidRPr="00C820A0">
        <w:rPr>
          <w:rFonts w:ascii="Garamond" w:hAnsi="Garamond"/>
          <w:color w:val="666666"/>
          <w:sz w:val="20"/>
          <w:szCs w:val="20"/>
          <w:lang w:val="en-US" w:eastAsia="fr-FR"/>
        </w:rPr>
        <w:t>[</w:t>
      </w:r>
      <w:hyperlink r:id="rId1819" w:tooltip="Seite:De Studien über Hysterie 059.jpg" w:history="1">
        <w:r w:rsidRPr="00C820A0">
          <w:rPr>
            <w:rFonts w:ascii="Garamond" w:hAnsi="Garamond"/>
            <w:b/>
            <w:bCs/>
            <w:color w:val="0000FF"/>
            <w:sz w:val="20"/>
            <w:szCs w:val="20"/>
            <w:u w:val="single"/>
            <w:lang w:val="en-US" w:eastAsia="fr-FR"/>
          </w:rPr>
          <w:t>59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zeigen, dass man gerne die Begriffsbestimmung der letzteren erweitern und die Localisation des Schmerzes an die zweite Stelle drängen wollte. Wie bekannt pflegen viele neuropathische Frauen mit dem Migränanfall hysterische Anfälle (Zuckungen und Delirien) zu verbinden. So oft ich den Genickkrampf bei Frau Emmy sah, war auch jedesmal ein Anfall von Delirium dabei.</w:t>
      </w:r>
      <w:r w:rsidRPr="00C820A0">
        <w:rPr>
          <w:rFonts w:ascii="Garamond" w:hAnsi="Garamond"/>
          <w:sz w:val="20"/>
          <w:szCs w:val="20"/>
          <w:lang w:val="en-US" w:eastAsia="fr-FR"/>
        </w:rPr>
        <w:br/>
        <w:t>Was die Arm- und Beinschmerzen angeht, so denke ich, dass hier ein Fall der nicht sehr interessanten, aber um so häufigeren Art der Determinirung durch zufällige Coincidenz vorlag. Sie hatte solche Schmerzen während jener Zeit der Aufregung und Krankenpflege gehabt, in Folge der Erschöpfung stärker als sonst empfunden, und diese, ursprünglich mit jenen Erlebnissen nur zufällig associirten Schmerzen wurden dann in ihrer Erinnerung als das körperliche Symbol des Associationscomplexes wiederholt. Ich werde von beweisenden Beispielen für diesen Vorgang in der Folge noch mehrere anführen können. Wahrscheinlich waren die Schmerzen ursprünglich rheumatische d. h., um dem viel missbrauchten Worte einen bestimmten Sinn zu geben, solche Schmerzen, die hauptsächlich in den Muskeln sitzen, bei denen bedeutende Druckempfindlichkeit und Consistenzveränderung der Muskeln nachzuweisen ist, die sich am heftigsten nach längerer Ruhe oder Fixirung der Extremität äussern, also am Morgen, die auf Einübung der schmerzhaften Bewegung sich bessern und durch Massage zum Verschwinden zu bringen sind. Diese myogenen Schmerzen, bei allen Menschen sehr häufig, gelangen bei den Neuropathen zu grosser Bedeutung; sie werden von ihnen mit Unterstützung der Aerzte, die nicht die Gewohnheit haben, die Muskeln mit dem Fingerdruck zu prüfen, für nervöse gehalten und geben das Material für unbestimmt viele hysterische Neuralgien, sogenannte Ischias u. dgl. ab. Auf die Beziehungen dieses Leidens zur gichtischen Disposition will ich hier nur kurz hinweisen. Mutter und zwei Schwestern meiner Patientin hatten an Gicht (oder chronischem Rheumatismus) im hohen Grade gelitten. Ein Theil der Schmerzen, über welche sie damals klagte, mochte auch gegenwärtiger Natur sein. Ich weiss es nicht; ich hatte damals noch keine Uebung in der Beurtheilung dieses Zustandes der Muskeln.</w:t>
      </w:r>
    </w:p>
    <w:p w:rsidR="005C1841" w:rsidRPr="005C1841" w:rsidRDefault="005C1841" w:rsidP="005C1841">
      <w:pPr>
        <w:pStyle w:val="Sansinterligne"/>
        <w:rPr>
          <w:rFonts w:ascii="Garamond" w:hAnsi="Garamond"/>
          <w:sz w:val="20"/>
          <w:szCs w:val="20"/>
          <w:lang w:val="en-US" w:eastAsia="fr-FR"/>
        </w:rPr>
      </w:pPr>
      <w:hyperlink r:id="rId1820" w:anchor="cite_ref-21"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Es war kaum eine gute Methode, die ich da verfolgte. </w:t>
      </w:r>
      <w:r w:rsidRPr="005C1841">
        <w:rPr>
          <w:rFonts w:ascii="Garamond" w:hAnsi="Garamond"/>
          <w:sz w:val="20"/>
          <w:szCs w:val="20"/>
          <w:lang w:val="en-US" w:eastAsia="fr-FR"/>
        </w:rPr>
        <w:t>Dies alles war nicht erschöpfend genug gemacht.</w:t>
      </w:r>
    </w:p>
    <w:p w:rsidR="005C1841" w:rsidRPr="00C820A0" w:rsidRDefault="005C1841" w:rsidP="005C1841">
      <w:pPr>
        <w:pStyle w:val="Sansinterligne"/>
        <w:rPr>
          <w:rFonts w:ascii="Garamond" w:hAnsi="Garamond"/>
          <w:sz w:val="20"/>
          <w:szCs w:val="20"/>
          <w:lang w:val="en-US" w:eastAsia="fr-FR"/>
        </w:rPr>
      </w:pPr>
      <w:hyperlink r:id="rId1821" w:anchor="cite_ref-22"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Mit der Zurückführung auf die beiden initialen Traumen sind Stottern und Schnalzen nicht völlig beseitigt worden, obwohl von da ab eine auffällige Verminderung der beiden Symptome eintrat. Die Erklärung für diese Unvollständigkeit des Erfolges gab die Kranke selbst (vergl. p. 43). </w:t>
      </w:r>
      <w:r w:rsidRPr="00C820A0">
        <w:rPr>
          <w:rFonts w:ascii="Garamond" w:hAnsi="Garamond"/>
          <w:sz w:val="20"/>
          <w:szCs w:val="20"/>
          <w:lang w:val="en-US" w:eastAsia="fr-FR"/>
        </w:rPr>
        <w:t>Sie hatte sich angewöhnt, jedesmal zu schnalzen und zu stottern, so oft sie erschrak, und so hingen diese Symptome schliesslich nicht an den initialen Traumen allein, sondern an einer langen Kette von ihnen associierten Erinnerungen, die wegzuwischen ich unterlassen hatte. Es ist dies ein Fall, der häufig genug vorkommt und jedesmal die Eleganz und Vollständigkeit der therapeutischen Leistung durch die kathartische Methode beeinträchtigt.</w:t>
      </w:r>
    </w:p>
    <w:p w:rsidR="005C1841" w:rsidRPr="00C820A0" w:rsidRDefault="005C1841" w:rsidP="005C1841">
      <w:pPr>
        <w:pStyle w:val="Sansinterligne"/>
        <w:rPr>
          <w:rFonts w:ascii="Garamond" w:hAnsi="Garamond"/>
          <w:sz w:val="20"/>
          <w:szCs w:val="20"/>
          <w:lang w:val="en-US" w:eastAsia="fr-FR"/>
        </w:rPr>
      </w:pPr>
      <w:hyperlink r:id="rId1822" w:anchor="cite_ref-23"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erfuhr hier zum ersten Male, wovon ich mich später unzählige Male überzeugen konnte, dass bei der hypnotischen Lösung eines frischen hysterischen Deliriums die Mittheilung des Kranken die chronologische Reihenfolge umkehrt, zuerst die letzterfolgten und minderwichtigen Eindrücke und Gedankenverbindungen mittheilt und erst am Schlusse auf den primären, wahrscheinlich causal wichtigsten Eindruck kommt.</w:t>
      </w:r>
    </w:p>
    <w:p w:rsidR="005C1841" w:rsidRPr="00C820A0" w:rsidRDefault="005C1841" w:rsidP="005C1841">
      <w:pPr>
        <w:pStyle w:val="Sansinterligne"/>
        <w:rPr>
          <w:rFonts w:ascii="Garamond" w:hAnsi="Garamond"/>
          <w:sz w:val="20"/>
          <w:szCs w:val="20"/>
          <w:lang w:val="en-US" w:eastAsia="fr-FR"/>
        </w:rPr>
      </w:pPr>
      <w:hyperlink r:id="rId1823" w:anchor="cite_ref-24"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Ihre Verwunderung am Abend vorher, dass sie so lange keinen Genickkrampf gehabt, war also eine Ahnung des nahenden Zustandes, der sich damals schon vorbereitete und im Unbewussten bemerkt wurde. Diese merkwürdige Form der Ahnung war bei der vorhin erwähnten Frau Cäcilie M. etwas ganz Gewöhnliches. Jedesmal, wenn sie mir im besten Wohlbefinden etwa sagte: „Jetzt habe ich mich schon lange nicht bei Nacht vor Hexen gefürchtet“ oder: „Wie froh bin ich, dass mein Augenschmerz so lange ausgeblieben ist,“ konnte ich sicher sein, dass die nächste Nacht der Wärterin den Dienst durch die ärgste Hexenfurcht erschweren, oder dass der nächste Zustand mit dem gefürchteten Schmerz im Auge beginnen werde. Es war jedesmal ein Durchschimmern dessen, was im Unbewussten bereits fertig vorgebildet lag, und das ahnungslose „officielle“ Bewusstsein (nach </w:t>
      </w:r>
      <w:r w:rsidRPr="00C820A0">
        <w:rPr>
          <w:rFonts w:ascii="Garamond" w:hAnsi="Garamond"/>
          <w:i/>
          <w:iCs/>
          <w:sz w:val="20"/>
          <w:szCs w:val="20"/>
          <w:lang w:val="en-US" w:eastAsia="fr-FR"/>
        </w:rPr>
        <w:t>Charcots</w:t>
      </w:r>
      <w:r w:rsidRPr="00C820A0">
        <w:rPr>
          <w:rFonts w:ascii="Garamond" w:hAnsi="Garamond"/>
          <w:sz w:val="20"/>
          <w:szCs w:val="20"/>
          <w:lang w:val="en-US" w:eastAsia="fr-FR"/>
        </w:rPr>
        <w:t xml:space="preserve"> Bezeichnung) verarbeitete die als plötzlicher Einfall auftauchende Vorstellung zu einer Aeusserung der Befriedigung, die immer rasch und sicher genug Lügen gestraft wurde. Frau Cäcilie, eine hochintelligente Dame, der ich auch viel Förderung im Verständniss hysterischer Symptome verdanke, machte mich selbst darauf aufmerksam, dass solche Vorkommnisse Anlass zum bekannten Aberglauben des Beschreiens und Berufens gegeben haben mögen. Man soll sich keines Glückes rühmen, andererseits auch den Teufel nicht an die Wand malen, sonst kommt er. Eigentlich rühmt man sich des Glückes erst dann, wenn das Unglück schon lauert, und man fasst die Ahnung in die Form des Rühmens, weil hier der Inhalt der Reminiscenz früher auftaucht als die dazu gehörige Empfindung, weil im Bewusstsein also ein erfreulicher Contrast vorhanden ist.</w:t>
      </w:r>
    </w:p>
    <w:p w:rsidR="005C1841" w:rsidRPr="005C1841" w:rsidRDefault="005C1841" w:rsidP="005C1841">
      <w:pPr>
        <w:pStyle w:val="Sansinterligne"/>
        <w:rPr>
          <w:rFonts w:ascii="Garamond" w:hAnsi="Garamond"/>
          <w:sz w:val="20"/>
          <w:szCs w:val="20"/>
          <w:lang w:val="en-US" w:eastAsia="fr-FR"/>
        </w:rPr>
      </w:pPr>
      <w:hyperlink r:id="rId1824" w:anchor="cite_ref-25"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Archives de Neurologie, Nr. 77, 1893.</w:t>
      </w:r>
    </w:p>
    <w:p w:rsidR="005C1841" w:rsidRPr="00C820A0" w:rsidRDefault="005C1841" w:rsidP="005C1841">
      <w:pPr>
        <w:pStyle w:val="Sansinterligne"/>
        <w:rPr>
          <w:rFonts w:ascii="Garamond" w:hAnsi="Garamond"/>
          <w:sz w:val="20"/>
          <w:szCs w:val="20"/>
          <w:lang w:val="en-US" w:eastAsia="fr-FR"/>
        </w:rPr>
      </w:pPr>
      <w:hyperlink r:id="rId1825" w:anchor="cite_ref-26"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Ich könnte hier den Eindruck erwecken, als legte ich den Details der Symptome zuviel Gewicht bei und verlöre mich in überflüssige Zeichendeuterei. </w:t>
      </w:r>
      <w:r w:rsidRPr="00C820A0">
        <w:rPr>
          <w:rFonts w:ascii="Garamond" w:hAnsi="Garamond"/>
          <w:sz w:val="20"/>
          <w:szCs w:val="20"/>
          <w:lang w:val="en-US" w:eastAsia="fr-FR"/>
        </w:rPr>
        <w:t xml:space="preserve">Allein ich habe gelernt, dass die Determinirung der hysterischen Symptome </w:t>
      </w:r>
      <w:r w:rsidRPr="00C820A0">
        <w:rPr>
          <w:rFonts w:ascii="Garamond" w:hAnsi="Garamond"/>
          <w:sz w:val="20"/>
          <w:szCs w:val="20"/>
          <w:lang w:val="en-US" w:eastAsia="fr-FR"/>
        </w:rPr>
        <w:lastRenderedPageBreak/>
        <w:t xml:space="preserve">wirklich bis in deren feinste Ausführung hinabreicht, und dass man ihnen nicht leicht zuviel Sinn unterlegen kann. Ich will ein Beispiel beibringen, das mich rechtfertigen wird. Vor Monaten behandelte ich ein 18jähriges Mädchen aus belasteter Familie, an dessen complicirter Neurose die Hysterie ihren gebührenden Antheil hatte. Das erste, was ich von ihr erfuhr, war die Klage über Anfälle von Verzweiflung mit zweierlei Inhalt. Bei den einen verspürte sie ein Ziehen und Prickeln in der unteren Gesichtspartie von den Wangen herab gegen den Mund; bei den anderen streckten sich die Zehen an beiden Füssen krampfhaft und spielten ruhelos hin und her. Ich war anfangs auch nicht geneigt, diesen Details viel Bedeutung beizumessen, und früheren Bearbeitern der Hysterie wäre es sicherlich nahe gelegen, in diesen Erscheinungen Beweise für die Reizung corticaler Centren beim hysterischen Anfall zu erblicken. Wo die Centren für solche Parästhesien liegen, wissen wir zwar nicht, es ist aber bekannt, dass solche Parästhesien die partielle Epilepsie einleiten und die sensorische Epilepsie </w:t>
      </w:r>
      <w:r w:rsidRPr="00C820A0">
        <w:rPr>
          <w:rFonts w:ascii="Garamond" w:hAnsi="Garamond"/>
          <w:i/>
          <w:iCs/>
          <w:sz w:val="20"/>
          <w:szCs w:val="20"/>
          <w:lang w:val="en-US" w:eastAsia="fr-FR"/>
        </w:rPr>
        <w:t>Charcot’s</w:t>
      </w:r>
      <w:r w:rsidRPr="00C820A0">
        <w:rPr>
          <w:rFonts w:ascii="Garamond" w:hAnsi="Garamond"/>
          <w:sz w:val="20"/>
          <w:szCs w:val="20"/>
          <w:lang w:val="en-US" w:eastAsia="fr-FR"/>
        </w:rPr>
        <w:t xml:space="preserve"> ausmachen. Für die Zehenbewegungen wären symmetrische Rindenstellen in nächster Nähe der Medianspalte verantwortlich zu machen. Allein es klärte sich anders. Als ich mit dem Mädchen besser bekannt worden war, fragte ich sie einmal directe, was für Gedanken ihr bei solchen Anfällen kämen; sie solle sich nicht geniren, sie müsste wohl eine Erklärung für die beiden Erscheinungen geben können. Die Kranke wurde roth vor Scham und liess sich endlich ohne Hypnose zu folgenden Aufklärungen bewegen, deren Beziehung auf die Wirklichkeit von ihrer anwesenden Gesellschafterin </w:t>
      </w:r>
      <w:r w:rsidRPr="00C820A0">
        <w:rPr>
          <w:rFonts w:ascii="Garamond" w:hAnsi="Garamond"/>
          <w:color w:val="666666"/>
          <w:sz w:val="20"/>
          <w:szCs w:val="20"/>
          <w:lang w:val="en-US" w:eastAsia="fr-FR"/>
        </w:rPr>
        <w:t>[</w:t>
      </w:r>
      <w:hyperlink r:id="rId1826" w:tooltip="Seite:De Studien über Hysterie 080.jpg" w:history="1">
        <w:r w:rsidRPr="00C820A0">
          <w:rPr>
            <w:rFonts w:ascii="Garamond" w:hAnsi="Garamond"/>
            <w:b/>
            <w:bCs/>
            <w:color w:val="0000FF"/>
            <w:sz w:val="20"/>
            <w:szCs w:val="20"/>
            <w:u w:val="single"/>
            <w:lang w:val="en-US" w:eastAsia="fr-FR"/>
          </w:rPr>
          <w:t>80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vollinhaltlich bestätigt wurde. Sie hatte vom Eintritt der Menses an durch Jahre an der Cephalaea adolescentium gelitten, die ihr jede anhaltende Beschäftigung unmöglich machte und sie in ihrer Ausbildung unterbrach. Endlich von diesem Hinderniss befreit, beschloss das ehrgeizige und etwas einfältige Kind, mächtig an sich zu arbeiten, um seine Schwestern und Altersgenossinnen wieder einzuholen. Dabei strengte sie sich über jedes Maass an, und eine solche Bemühung endete gewöhnlich mit einem Ausbruch von Verzweiflung darüber, dass sie ihre Kräfte überschätzt habe. Natürlich pflegte sie sich auch körperlich mit anderen Mädchen zu vergleichen und unglücklich zu sein, wenn sie an sich einen körperlichen Nachtheil entdeckt hatte. Ihr (ganz deutlicher) Prognathismus begann sie zu kränken, und sie kam auf die Idee, ihn zu corrigiren, indem sie sich Viertelstunden lang darin übte, die Oberlippe über die vorstehenden Zähne herabzuziehen. Die Erfolglosigkeit dieser kindischen Bemühung führte einmal zu einem Ausbruch von Verzweiflung, und von da an war Ziehen und Prickeln von der Wange nach abwärts als Inhalt der einen Art von Anfällen gegeben. – Nicht minder durchsichtig war die Determinirung der anderen Anfälle mit dem motorischen Symptom der Zehenstreckung und Zehenunruhe. Es war mir angegeben worden, dass der erste solche Anfall nach einer Partie auf den Schafberg bei Ischl aufgetreten sei, und die Angehörigen waren natürlich geneigt, ihn von Ueberanstrengnng abzuleiten. Das Mädchen berichtete aber Folgendes: Es sei ein unter den Geschwistern beliebtes Thema gegenseitiger Neckerei, einander auf ihre (unleugbar) grossen Füsse aufmerksam zu machen. Unsere Patientin, seit langer Zeit über diesen Schönheitsfehler unglücklich, versuchte ihren Fuss in die engsten Stiefel zu zwängen, allein der aufmerksame Papa litt dies nicht und sorgte dafür, dass sie nur bequeme Fussbekleidung trug. Sie war recht unzufrieden mit dieser Verfügung, dachte immer daran und gewöhnte sich, mit den Zehen im Schuh zu spielen, wie man es thut, wenn man abmessen will, ob der Schuh um vieles zu gross ist, einen wieviel kleineren Schuh man vertragen könnte u. dgl. Während der Bergpartie auf den Schafberg, die sie gar nicht anstrengend fand, war natürlich wieder Gelegenheit, sich bei den verkürzten Röcken mit dem Schuhwerk zu beschäftigen. Eine ihrer Schwestern sagte ihr unterwegs: „Du hast aber heute besonders grosse Schuhe angezogen.“ Sie probirte mit den Zehen zu spielen; es kam ihr auch so vor. Die Aufregung über die unglücklich grossen Füsse verliess sie nicht mehr, und als sie nach Hause kamen, brach der erste Anfall los, in dem als Erinnerungssymbol für den ganzen verstimmenden Gedankengang die Zehen krampften und sich unwillkürlich bewegten.</w:t>
      </w:r>
      <w:r w:rsidRPr="00C820A0">
        <w:rPr>
          <w:rFonts w:ascii="Garamond" w:hAnsi="Garamond"/>
          <w:sz w:val="20"/>
          <w:szCs w:val="20"/>
          <w:lang w:val="en-US" w:eastAsia="fr-FR"/>
        </w:rPr>
        <w:br/>
        <w:t>Ich bemerke, daas es sich hier um Anfalls- und nicht um Dauersymptome handelt; ferner füge ich hinzu, dass nach dieser Beichte die Anfälle der ersten Art aufhörten, die der zweiten mit Zehenunruhe sich fortsetzten. Es musste also wohl noch ein Stück dabei sein, das nicht gebeichtet wurde.</w:t>
      </w:r>
      <w:r w:rsidRPr="00C820A0">
        <w:rPr>
          <w:rFonts w:ascii="Garamond" w:hAnsi="Garamond"/>
          <w:sz w:val="20"/>
          <w:szCs w:val="20"/>
          <w:lang w:val="en-US" w:eastAsia="fr-FR"/>
        </w:rPr>
        <w:br/>
      </w:r>
      <w:r w:rsidRPr="00C820A0">
        <w:rPr>
          <w:rFonts w:ascii="Garamond" w:hAnsi="Garamond"/>
          <w:i/>
          <w:iCs/>
          <w:sz w:val="20"/>
          <w:szCs w:val="20"/>
          <w:lang w:val="en-US" w:eastAsia="fr-FR"/>
        </w:rPr>
        <w:t>Nachschrift</w:t>
      </w:r>
      <w:r w:rsidRPr="00C820A0">
        <w:rPr>
          <w:rFonts w:ascii="Garamond" w:hAnsi="Garamond"/>
          <w:sz w:val="20"/>
          <w:szCs w:val="20"/>
          <w:lang w:val="en-US" w:eastAsia="fr-FR"/>
        </w:rPr>
        <w:t>: Ich habe später auch diess erfahren. Das thörichte Mädchen arbeitete darum so übereifrig an seiner Verschönerung, weil es – einem jungen Vetter gefallen wollte.</w:t>
      </w:r>
    </w:p>
    <w:p w:rsidR="005C1841" w:rsidRPr="00C820A0" w:rsidRDefault="005C1841" w:rsidP="005C1841">
      <w:pPr>
        <w:pStyle w:val="Sansinterligne"/>
        <w:rPr>
          <w:rFonts w:ascii="Garamond" w:hAnsi="Garamond"/>
          <w:sz w:val="20"/>
          <w:szCs w:val="20"/>
          <w:lang w:val="en-US" w:eastAsia="fr-FR"/>
        </w:rPr>
      </w:pPr>
      <w:hyperlink r:id="rId1827" w:anchor="cite_ref-27"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Von diesem interessanten Gegensatze zwischen dem weitestgehenden somnambulen Gehorsam in allen anderen Stücken und der hartnäckigsten Beständigkeit der Krankheitssymptome, weil letztere tief begründet und der Analyse unzugänglich sind, habe ich mir in einem anderen Falle einen tiefen Eindruck geholt. </w:t>
      </w:r>
      <w:r w:rsidRPr="00C820A0">
        <w:rPr>
          <w:rFonts w:ascii="Garamond" w:hAnsi="Garamond"/>
          <w:sz w:val="20"/>
          <w:szCs w:val="20"/>
          <w:lang w:val="en-US" w:eastAsia="fr-FR"/>
        </w:rPr>
        <w:t xml:space="preserve">Ich behandelte ein junges, lebhaftes und begabtes Mädchen, das seit 1½ Jahren mit schwerer Gangstörung behaftet war, durch länger als 5 Monate, ohne ihr helfen zu können. Das Mädchen hatte Analgesie und schmerzhafte Stellen an beiden Beinen, rapiden Tremor an den Händen, ging vorgebeugt mit schweren Beinen, kleinen Schritten und schwankte wie cerebellar, fiel auch öfters hin. Ihre Stimmung war eine auffällig heitere. Eine unserer damaligen Wiener Autoritäten hatte sieh durch diesen Symptomcomplex zur Diagnose einer multiplen Sclerose verleiten lassen, ein anderer Fachmann erkannte die Hysterie, für die auch die complicirtere Gestaltung des Krankheitsbildes zu Beginn der Erkrankung sprach (Schmerzen, Ohnmächten, Amaurose), und wies mir die Behandlung der Kranken zu. Ich versuchte ihren Gang durch hypnotische Suggestion, Behandlung der Beine in der Hypnose etc. zu bessern, aber ohne jeden Erfolg, obwohl sie eine ausgezeichnete Somnambule war. Eines Tages, als sie wieder in’s Zimmer geschwankt kam, den einen Arm auf den ihres Vaters, den anderen auf einen Regenschirm gestützt, dessen Spitze bereits stark abgerieben war, wurde ich ungeduldig und schrie sie in der Hypnose an: „Das ist jetzt die längste Zeit so gewesen. Morgen Vormittag wird schon der Schirm da in der Hand zerbrechen, und Sie werden ohne Schirm nach Hause gehen müssen, von da an werden Sie keinen Schirm mehr brauchen.“ Ich weiss nicht, wie ich zu der Dummheit kam, eine Suggestion an einen Regenschirm zu richten; ich schämte mich nachträglich und ahnte nicht, </w:t>
      </w:r>
      <w:r w:rsidRPr="00C820A0">
        <w:rPr>
          <w:rFonts w:ascii="Garamond" w:hAnsi="Garamond"/>
          <w:sz w:val="20"/>
          <w:szCs w:val="20"/>
          <w:lang w:val="en-US" w:eastAsia="fr-FR"/>
        </w:rPr>
        <w:lastRenderedPageBreak/>
        <w:t xml:space="preserve">dass meine kluge Patientin meine Rettung vor dem Vater, der Arzt war und den Hypnosen beiwohnte, übernehmen würde. Am nächsten Tage erzählte mir der Vater: „Wissen Sie, was sie gestern gethan hat? Wir gehen auf der Ringstrasse spazieren; plötzlich wird sie ausgelassen lustig und fängt an – mitten auf der Strasse – zu singen: Ein freies Leben führen wir, schlägt dazu den Takt mit dem </w:t>
      </w:r>
      <w:r w:rsidRPr="00C820A0">
        <w:rPr>
          <w:rFonts w:ascii="Garamond" w:hAnsi="Garamond"/>
          <w:color w:val="666666"/>
          <w:sz w:val="20"/>
          <w:szCs w:val="20"/>
          <w:lang w:val="en-US" w:eastAsia="fr-FR"/>
        </w:rPr>
        <w:t>[</w:t>
      </w:r>
      <w:hyperlink r:id="rId1828" w:tooltip="Seite:De Studien über Hysterie 086.jpg" w:history="1">
        <w:r w:rsidRPr="00C820A0">
          <w:rPr>
            <w:rFonts w:ascii="Garamond" w:hAnsi="Garamond"/>
            <w:b/>
            <w:bCs/>
            <w:color w:val="0000FF"/>
            <w:sz w:val="20"/>
            <w:szCs w:val="20"/>
            <w:u w:val="single"/>
            <w:lang w:val="en-US" w:eastAsia="fr-FR"/>
          </w:rPr>
          <w:t>86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Schirm gegen das Pflaster und zerbricht den Schirm.“ Sie hatte natürlich keine Ahnung davon, dass sie selbst mit soviel Witz eine unsinnige Suggestion in eine glänzend gelungene verwandelt hatte. Als ihr Zustand auf Versicherung, Gebot und Behandlung in der Hypnose sich nicht besserte, wandte ich mich an die psychische Analyse und verlangte zu wissen, welche Gemüthsbewegung dem Ausbruch des Leidens vorhergegangen war. Sie erzählte jetzt (in der Hypnose, aber ohne alle Erregung), dass kurz vorher ein junger Verwandter gestorben sei, als dessen Verlobte sie sich seit langen Jahren betrachtet habe. Diese Mittheilung änderte aber gar nichts an ihrem Zustand; in dir nächsten Hypnose sagte ich ihr demnach, ich sei ganz überzeugt, der Tod des Vetters habe mit ihrem Zustand nichts zu thun, es sei etwas anderes vorgefallen, was sie nicht erwähnt habe. Nun liess sie sich zu einer einzigen Andeutung hinreissen, aber kaum dass sie ein Wort gesagt hatte, verstummte sie, und der alte Vater, der hinter ihr sass, begann bitterlich zu schluchzen. Ich drang natürlich nicht weiter in die Kranke, bekam sie aber auch nicht wieder zu Gesichte.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t>III. Miss Lucy R., 30 J.</w:t>
      </w:r>
      <w:r w:rsidRPr="00C820A0">
        <w:rPr>
          <w:rFonts w:ascii="Garamond" w:hAnsi="Garamond"/>
          <w:sz w:val="20"/>
          <w:szCs w:val="20"/>
          <w:lang w:val="en-US" w:eastAsia="fr-FR"/>
        </w:rPr>
        <w:t xml:space="preserve"> (Freud.)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Ende 1892 wies ein befreundeter College eine junge Dame an mich, die wegen chronisch wiederkehrender eitriger Rhinitiden in seiner Behandlung stand. Wie sich später herausstellte, war eine Caries des Siebbeines die Ursache der Hartnäckigkeit ihrer Beschwerden. Zuletzt hatte sich die Patientin an ihn wegen neuer Symptome gewendet, die der kundige Arzt nicht mehr auf locale Affection schieben konnte. Sie hatte die Geruchswahrnehmung völlig eingebüsst und wurde von ein oder zwei subjectiven Geruchsempfindungen fast unausgesetzt verfolgt. Sie empfand dieselben sehr peinlich, war ausserdem in ihrer Stimmung gedrückt, müde, klagte über schweren Kopf, verminderte Esslust und Leistungsunfähigkeit.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junge Dame, die als Gouvernante im Hause eines Fabriksdirectors im erweiterten Wien lebte, besuchte mich von Zeit zu Zeit in meiner Ordinationsstunde. Sie war Engländerin, von zarter Constitution, pigmentarm, bis auf die Affection der Nase gesund. Ihre ersten Mittheilungen bestätigten die Angaben des Arztes. Sie litt an Verstimmung und Müdigkeit, wurde von subjectiven Geruchsempfindungen gequält, zeigte von hysterischen Symptomen eine ziemlich deutliche, allgemeine Analgesie bei intacter Tastempfindlichkeit; die Gesichtsfelder ergaben bei grober Prüfung (mit der Hand) keine Einschränkung. Das Innere der Nase war vollkommen analgisch und reflexlos. Berührungen wurden verspürt, die Wahrnehmung dieses Sinnesorganes war sowohl für specifische, wie für andere Reize (Ammoniak, Essigsäure) aufgehoben. Der eitrige Nasenkatarrh befand sich eben in einer Periode der Besserung.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Bei dem ersten Bemühen, den Krankheitsfall verständlich zu machen, mussten sich die subjectiven Geruchsempfindungen als wiederkehrende Hallucinationen der Deutung von hysterischen Dauersymptomen fügen. Die Verstimmung war vielleicht der zu dem Trauma gehörige Affect, und es musste sich ein Erlebniss finden lassen, bei dem diese jetzt subjectiv gewordenen Gerüche objectiv gewesen waren; dieses Erlebniss musste das Trauma sein, als dessen Symbole in der Erinnerung die Geruchsempfindungen wiederkehren. Vielleicht war es richtiger, die wiederkehrenden Geruchs-Hallucinationen, sammt der sie begleitenden Verstimmung, als Aequivalente des hysterischen Anfalls zu betrachten; die Natur wiederkehrender Hallucinationen macht sie ja zur Rolle von Dauersymptomen ungeeignet. Darauf kam es in diesem rudimentär ausgebildeten Falle wirklich nicht an; durchaus erforderlich war aber, </w:t>
      </w:r>
      <w:r w:rsidRPr="00C820A0">
        <w:rPr>
          <w:rFonts w:ascii="Garamond" w:hAnsi="Garamond"/>
          <w:color w:val="666666"/>
          <w:sz w:val="20"/>
          <w:szCs w:val="20"/>
          <w:lang w:val="en-US" w:eastAsia="fr-FR"/>
        </w:rPr>
        <w:t>[</w:t>
      </w:r>
      <w:hyperlink r:id="rId1829" w:tooltip="Seite:De Studien über Hysterie 091.jpg" w:history="1">
        <w:r w:rsidRPr="00C820A0">
          <w:rPr>
            <w:rFonts w:ascii="Garamond" w:hAnsi="Garamond"/>
            <w:b/>
            <w:bCs/>
            <w:color w:val="0000FF"/>
            <w:sz w:val="20"/>
            <w:szCs w:val="20"/>
            <w:u w:val="single"/>
            <w:lang w:val="en-US" w:eastAsia="fr-FR"/>
          </w:rPr>
          <w:t>91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dass die subjectiven Geruchsempfindungen eine solche Specialisirung zeigten, wie sie ihrer Herkunft von einem ganz bestimmten realen Object entsprechen konnte.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Diese Erwartung erfüllte sich alsbald. Auf meine Frage, was für ein Geruch sie zumeist verfolge, erhielt ich die Antwort: wie von verbrannter Mehlspeise. Ich brauchte also nur anzunehmen, es sei wirklich der Geruch verbrannter Mehlspeise, der in dem traumatisch wirksamen Erlebniss vorgekommen sei. Dass Geruchsempfindungen zum Erinnerungssymbol von Traumen gewählt werden, ist zwar recht ungewöhnlich, allein es lag nahe, einen Grund für diese Auswahl anzugeben. Die Kranke war mit eitriger Rhinitis behaftet, darum die Nase und deren Wahrnehmungen im Vordergrund ihrer Aufmerksamkeit. Von den Lebensverhältnissen der Kranken wusste ich nur, dass in dem Hause, dessen zwei Kinder sie behütete, die Mutter fehle, die vor einigen Jahren an acuter schwerer Erkrankung gestorben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beschloss also, den Geruch nach „verbrannter Mehlspeise“ zum Ausgangspunkt der Analyse zu machen. Die Geschichte dieser Analyse will ich so erzählen, wie sie unter günstigeren Verhältnissen hätte vorfallen können; thatsächlich dehnte sich, was eine einzige Sitzung hätte werden sollen, auf mehrere aus, da die Kranke mich nur in der Ordination besuchen konnte, wo ich ihr wenig Zeit zu widmen hatte, und zog sich ein einziges solches Gespräch über mehr als eine Woche, da ihre Pflichten ihr auch nicht gestatteten, den weiten Weg von der Fabrik zu mir so oft zu machen. Wir brachen also mitten in der Unterredung ab, um nächstes Mal den Faden an der nämlichen Stelle wieder aufzunehmen.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Miss Lucy R. wurde nicht somnambul, als ich sie in Hypnose zu versetzen versuchte. Ich verzichtete also auf den Somnambulismus und machte die ganze Analyse mit ihr in einem Zustande durch, der sich vom normalen vielleicht überhaupt wenig unterschied.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muss mich über diesen Punkt in der Technik meines Verfahrens eingehender äussern. Als ich im Jahre 1889 die Kliniken von </w:t>
      </w:r>
      <w:r w:rsidRPr="00C820A0">
        <w:rPr>
          <w:rFonts w:ascii="Garamond" w:hAnsi="Garamond"/>
          <w:i/>
          <w:iCs/>
          <w:sz w:val="20"/>
          <w:szCs w:val="20"/>
          <w:lang w:val="en-US" w:eastAsia="fr-FR"/>
        </w:rPr>
        <w:t>Nancy</w:t>
      </w:r>
      <w:r w:rsidRPr="00C820A0">
        <w:rPr>
          <w:rFonts w:ascii="Garamond" w:hAnsi="Garamond"/>
          <w:sz w:val="20"/>
          <w:szCs w:val="20"/>
          <w:lang w:val="en-US" w:eastAsia="fr-FR"/>
        </w:rPr>
        <w:t xml:space="preserve"> besuchte, hörte ich den Altmeister der Hypnose, den Dr. </w:t>
      </w:r>
      <w:r w:rsidRPr="00C820A0">
        <w:rPr>
          <w:rFonts w:ascii="Garamond" w:hAnsi="Garamond"/>
          <w:i/>
          <w:iCs/>
          <w:sz w:val="20"/>
          <w:szCs w:val="20"/>
          <w:lang w:val="en-US" w:eastAsia="fr-FR"/>
        </w:rPr>
        <w:t>Liébeault</w:t>
      </w:r>
      <w:r w:rsidRPr="00C820A0">
        <w:rPr>
          <w:rFonts w:ascii="Garamond" w:hAnsi="Garamond"/>
          <w:sz w:val="20"/>
          <w:szCs w:val="20"/>
          <w:lang w:val="en-US" w:eastAsia="fr-FR"/>
        </w:rPr>
        <w:t xml:space="preserve">, sagen: „Ja, wenn wir die Mittel besässen, jedermann somnambul zu machen, wäre die hypnotische Heilmethode die mächtigste von allen.“ </w:t>
      </w:r>
      <w:r w:rsidRPr="00C820A0">
        <w:rPr>
          <w:rFonts w:ascii="Garamond" w:hAnsi="Garamond"/>
          <w:sz w:val="20"/>
          <w:szCs w:val="20"/>
          <w:lang w:val="en-US" w:eastAsia="fr-FR"/>
        </w:rPr>
        <w:lastRenderedPageBreak/>
        <w:t xml:space="preserve">Auf der Klinik </w:t>
      </w:r>
      <w:r w:rsidRPr="00C820A0">
        <w:rPr>
          <w:rFonts w:ascii="Garamond" w:hAnsi="Garamond"/>
          <w:i/>
          <w:iCs/>
          <w:sz w:val="20"/>
          <w:szCs w:val="20"/>
          <w:lang w:val="en-US" w:eastAsia="fr-FR"/>
        </w:rPr>
        <w:t>Bernheim’s</w:t>
      </w:r>
      <w:r w:rsidRPr="00C820A0">
        <w:rPr>
          <w:rFonts w:ascii="Garamond" w:hAnsi="Garamond"/>
          <w:sz w:val="20"/>
          <w:szCs w:val="20"/>
          <w:lang w:val="en-US" w:eastAsia="fr-FR"/>
        </w:rPr>
        <w:t xml:space="preserve"> schien es fast, als gäbe es wirklich eine solche Kunst und als könnte man sie von </w:t>
      </w:r>
      <w:r w:rsidRPr="00C820A0">
        <w:rPr>
          <w:rFonts w:ascii="Garamond" w:hAnsi="Garamond"/>
          <w:i/>
          <w:iCs/>
          <w:sz w:val="20"/>
          <w:szCs w:val="20"/>
          <w:lang w:val="en-US" w:eastAsia="fr-FR"/>
        </w:rPr>
        <w:t>Bernheim</w:t>
      </w:r>
      <w:r w:rsidRPr="00C820A0">
        <w:rPr>
          <w:rFonts w:ascii="Garamond" w:hAnsi="Garamond"/>
          <w:sz w:val="20"/>
          <w:szCs w:val="20"/>
          <w:lang w:val="en-US" w:eastAsia="fr-FR"/>
        </w:rPr>
        <w:t xml:space="preserve"> lernen. Sobald ich aber diese Kunst an meinen eigenen Kranken zu üben versuchte, merkte ich, dass wenigstens </w:t>
      </w:r>
      <w:r w:rsidRPr="00C820A0">
        <w:rPr>
          <w:rFonts w:ascii="Garamond" w:hAnsi="Garamond"/>
          <w:i/>
          <w:iCs/>
          <w:sz w:val="20"/>
          <w:szCs w:val="20"/>
          <w:lang w:val="en-US" w:eastAsia="fr-FR"/>
        </w:rPr>
        <w:t>meinen</w:t>
      </w:r>
      <w:r w:rsidRPr="00C820A0">
        <w:rPr>
          <w:rFonts w:ascii="Garamond" w:hAnsi="Garamond"/>
          <w:sz w:val="20"/>
          <w:szCs w:val="20"/>
          <w:lang w:val="en-US" w:eastAsia="fr-FR"/>
        </w:rPr>
        <w:t xml:space="preserve"> Kräften in dieser </w:t>
      </w:r>
      <w:r w:rsidRPr="00C820A0">
        <w:rPr>
          <w:rFonts w:ascii="Garamond" w:hAnsi="Garamond"/>
          <w:color w:val="666666"/>
          <w:sz w:val="20"/>
          <w:szCs w:val="20"/>
          <w:lang w:val="en-US" w:eastAsia="fr-FR"/>
        </w:rPr>
        <w:t>[</w:t>
      </w:r>
      <w:hyperlink r:id="rId1830" w:tooltip="Seite:De Studien über Hysterie 092.jpg" w:history="1">
        <w:r w:rsidRPr="00C820A0">
          <w:rPr>
            <w:rFonts w:ascii="Garamond" w:hAnsi="Garamond"/>
            <w:b/>
            <w:bCs/>
            <w:color w:val="0000FF"/>
            <w:sz w:val="20"/>
            <w:szCs w:val="20"/>
            <w:u w:val="single"/>
            <w:lang w:val="en-US" w:eastAsia="fr-FR"/>
          </w:rPr>
          <w:t>92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Hinsicht enge Schranken gezogen seien, und dass, wo ein Patient nicht nach 1–3 Versuchen somnambul wurde, ich auch kein Mittel besass, ihn dazu zu machen. Der Procentsatz der Somnambulen blieb aber in meiner Erfahrung weit hinter dem von </w:t>
      </w:r>
      <w:r w:rsidRPr="00C820A0">
        <w:rPr>
          <w:rFonts w:ascii="Garamond" w:hAnsi="Garamond"/>
          <w:i/>
          <w:iCs/>
          <w:sz w:val="20"/>
          <w:szCs w:val="20"/>
          <w:lang w:val="en-US" w:eastAsia="fr-FR"/>
        </w:rPr>
        <w:t>Bernheim</w:t>
      </w:r>
      <w:r w:rsidRPr="00C820A0">
        <w:rPr>
          <w:rFonts w:ascii="Garamond" w:hAnsi="Garamond"/>
          <w:sz w:val="20"/>
          <w:szCs w:val="20"/>
          <w:lang w:val="en-US" w:eastAsia="fr-FR"/>
        </w:rPr>
        <w:t xml:space="preserve"> angegebenen zurück.</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So stand ich vor der Wahl, entweder die kathartische Methode in den meisten Fällen, die sich dazu eignen mochten, zu unterlassen, oder den Versuch zu wagen, sie ausserhalb des Somnambulismus in leichten und selbst in zweifelhaften Fällen von hypnotischer Beeinflussung auszuüben. Welchem Grad von Hypnose – nach einer der hiefür aufgestellten Scalen – der nicht somnambule Zustand entsprach, schien mir gleichgiltig, da ja jede Richtung der Suggerirbarkeit von der anderen ohnedies unabhängig ist, und die Hervorrufung von Katalepsie, automatischen Bewegungen udgl. für eine Erleichterung in der Erweckung von vergessenen Erinnerungen, wie ich sie brauchte, nichts präjudicirt. Ich gewöhnte mir auch bald die Vornahme jener Versuche ab, welche den Grad der Hypnose bestimmen sollen, da diese in einer ganzen Reihe von Fällen den Widerstand der Kranken rege machten und mir das Zutrauen trübten, das ich für die wichtigere psychische Arbeit brauchte. Ueberdiess war ich bald müde geworden, auf die Versicherung und den Befehl: „Sie werden schlafen, schlafen Sie!“ immer wieder bei leichteren Graden von Hypnose den Einspruch zu hören: „Aber Herr Doctor, ich schlafe ja nicht“, um dann die allzuheikle Unterscheidung vorbringen zu müssen: „Ich meine ja nicht den gewöhnlichen Schlaf, ich meine die Hypnose. </w:t>
      </w:r>
      <w:r w:rsidRPr="00C820A0">
        <w:rPr>
          <w:rFonts w:ascii="Garamond" w:hAnsi="Garamond"/>
          <w:sz w:val="20"/>
          <w:szCs w:val="20"/>
          <w:lang w:eastAsia="fr-FR"/>
        </w:rPr>
        <w:t xml:space="preserve">Sehen Sie, Sie sind hypnotisirt, Sie können ja die Augen nicht öffnen udgl. Uebrigens brauche ich den Schlaf gar nicht“ udgl. Ich bin selbst überzeugt, dass viele meiner Collegen in der Psychotherapie sich aus diesen Schwierigkeiten geschickter zu ziehen wissen als ich; die mögen dann auch anders verfahren. </w:t>
      </w:r>
      <w:r w:rsidRPr="00C820A0">
        <w:rPr>
          <w:rFonts w:ascii="Garamond" w:hAnsi="Garamond"/>
          <w:sz w:val="20"/>
          <w:szCs w:val="20"/>
          <w:lang w:val="en-US" w:eastAsia="fr-FR"/>
        </w:rPr>
        <w:t>Ich finde aber, wenn man in solcher Häufigkeit darauf rechnen darf, sich durch den Gebrauch eines Wortes Verlegenheit zu bereiten, thut man besser daran, dem Wort und der Verlegenheit aus dem Weg zu gehen. Wo also der erste Versuch nicht Somnambulismus oder einen Grad von Hypnose mit ausgesprochenen körperlichen Veränderungen ausgab, da lies ich die Hypnose scheinbar fallen, verlangte nur „Concentrirung“ und ordnete die Rückenlage und willkürlichen Verschluss der Augen als Mittel zur Erreichung dieser „Concentrirung“ an. Ich mag dabei mit leichter Mühe zu so tiefen Graden der Hypnose gelangt sein, als es überhaupt erreichbar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31" w:tooltip="Seite:De Studien über Hysterie 093.jpg" w:history="1">
        <w:r w:rsidRPr="00C820A0">
          <w:rPr>
            <w:rFonts w:ascii="Garamond" w:hAnsi="Garamond"/>
            <w:b/>
            <w:bCs/>
            <w:color w:val="0000FF"/>
            <w:sz w:val="20"/>
            <w:szCs w:val="20"/>
            <w:u w:val="single"/>
            <w:lang w:val="en-US" w:eastAsia="fr-FR"/>
          </w:rPr>
          <w:t>93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Indem ich aber auf den Somnambulismus verzichtete, beraubte ich mich vielleicht einer Vorbedingung, ohne welche die kathartische Methode unanwendbar schien. Sie beruhte ja darauf, dass die Kranken in dem veränderten Bewusstseinzustand solche Erinnerungen zur Verfügung hatten und solche Zusammenhänge erkannten, die in ihrem normalen Bewustseinzustand angeblich nicht vorhanden waren. Wo die somnambule Erweiterung des Gedächtnisses wegfiel, musste auch die Möglichkeit ausbleiben, eine Causalbeziehung herzustellen, die der Kranke dem Arzt nicht als eine ihm bekannte entgegenbrachte, und gerade die pathogenen Erinnerungen sind es ja, „die dem Gedächtniss der Kranken in ihrem gewöhnlichen psychischen Zustande fehlen oder nur höchst summarisch darin vorhanden sind.“ (Vorl. Mittheilung.)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Aus dieser neuen Verlegenheit half mir die Erinnerung, dass ich </w:t>
      </w:r>
      <w:r w:rsidRPr="00C820A0">
        <w:rPr>
          <w:rFonts w:ascii="Garamond" w:hAnsi="Garamond"/>
          <w:i/>
          <w:iCs/>
          <w:sz w:val="20"/>
          <w:szCs w:val="20"/>
          <w:lang w:val="en-US" w:eastAsia="fr-FR"/>
        </w:rPr>
        <w:t>Bernheim</w:t>
      </w:r>
      <w:r w:rsidRPr="00C820A0">
        <w:rPr>
          <w:rFonts w:ascii="Garamond" w:hAnsi="Garamond"/>
          <w:sz w:val="20"/>
          <w:szCs w:val="20"/>
          <w:lang w:val="en-US" w:eastAsia="fr-FR"/>
        </w:rPr>
        <w:t xml:space="preserve"> selbst den Beweis hatte erbringen sehen, die Erinnerungen des Somnambulismus seien im Wachzustand nur scheinbar vergessen und Hessen sich durch leichtes Mahnen, verknüpft mit einem Handgriff, der einen ändern Bewusstseinszustand markiren sollte, wieder hervorrufen. Er hatte z. B. einer Somnambulen die negative Hallucination ertheilt, er sei nicht mehr anwesend, hatte sich dann auf die mannigfaltigsten Weisen und durch schonungslose Angriffe ihr bemerkbar zu machen versucht. Es war nicht gelungen. Nachdem die Kranke erweckt war, verlangte er zu wissen, was er mit ihr vorgenommen, während sie geglaubt habe, er sei nicht da. Sie gab erstaunt zur Antwort, sie wisse von nichts, aber er gab nicht nach, behauptete, sie würde sich an alles erinnern, legte ihr die Hand auf die Stirne, damit sie sich besänne, und siehe da, sie erzählte endlich alles, was sie im somnambulen Zustand angeblich nicht wahrgenommen und wovon sie im Wachzustand angeblich nichts gewusst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Dieser erstaunliche und lehrreiche Versuch war mein Vorbild. Ich beschloss von der Voraussetzung auszugehen, dass meine Patienten alles, was irgend von pathogener Bedeutung war, auch wussten, und dass es sich nur darum handle, sie zum Mittheilen zu nöthigen. Wenn ich also zu einem Punkt gekommen war, wo ich auf die Frage: „Seit wann haben Sie dies Symptom? Oder, woher rührt es?“ die Antwort bekam: „Das weiss ich wirklich nicht“, so verfuhr ich folgendermaassen. Ich legte der Kranken die Hand auf die Stirne oder nahm ihren Kopf zwischen meine beiden Hände und sagte: „Es wird Ihnen jetzt einfallen unter dem Druck meiner Hand. Im Augenblick, da ich mit dem Druck aufhöre, </w:t>
      </w:r>
      <w:r w:rsidRPr="00C820A0">
        <w:rPr>
          <w:rFonts w:ascii="Garamond" w:hAnsi="Garamond"/>
          <w:color w:val="666666"/>
          <w:sz w:val="20"/>
          <w:szCs w:val="20"/>
          <w:lang w:val="en-US" w:eastAsia="fr-FR"/>
        </w:rPr>
        <w:t>[</w:t>
      </w:r>
      <w:hyperlink r:id="rId1832" w:tooltip="Seite:De Studien über Hysterie 094.jpg" w:history="1">
        <w:r w:rsidRPr="00C820A0">
          <w:rPr>
            <w:rFonts w:ascii="Garamond" w:hAnsi="Garamond"/>
            <w:b/>
            <w:bCs/>
            <w:color w:val="0000FF"/>
            <w:sz w:val="20"/>
            <w:szCs w:val="20"/>
            <w:u w:val="single"/>
            <w:lang w:val="en-US" w:eastAsia="fr-FR"/>
          </w:rPr>
          <w:t>94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werden Sie etwas vor sich sehen oder wird Ihnen etwas als Einfall durch den Kopf gehen, und das greifen Sie auf. Es ist das, was wir suchen. – Nun, was haben Sie gesehen oder was ist Ihnen eingefallen?“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Als ich dieses Verfahren die ersten Male anwendete (es war nicht bei Miss Lucy R.), war ich selbst erstaunt, dass es mir gerade das lieferte, was ich brauchte, und ich darf sagen, es hat mich seither kaum jemals im Stich gelassen, hat mir immer den Weg gezeigt, den meine Ausforschung zu gehen hatte, und hat mir ermöglicht, jede derartige Analyse ohne Somnambulismus zu Ende zu führen. Ich wurde allmählich so kühn, dass ich den Patienten, die zur Antwort gaben: „Ich sehe nichts“ oder: „Mir ist nichts eingefallen“, erklärte: Das sei nicht möglich. Sie hätten gewiss das Richtige erfahren, nur glaubten sie nicht daran, dass es das sei, und hätten es verworfen. Ich würde die Procedur wiederholen, so oft sie wollten, sie würden jedesmal dasselbe sehen. Ich behielt in der That jedesmal Recht; die Kranken hatten noch nicht gelernt, ihre Kritik ruhen zu lassen, hatten die auftauchende Erinnerung oder den Einfall verworfen, weil sie ihn für unbrauchbar, für eine dazwischenkommende Störung hielten, und nachdem sie ihn mitgetheilt hatten, ergab es sich jedesmal, dass es der richtige war. Gelegentlich bekam ich auch die Antwort, wenn </w:t>
      </w:r>
      <w:r w:rsidRPr="00C820A0">
        <w:rPr>
          <w:rFonts w:ascii="Garamond" w:hAnsi="Garamond"/>
          <w:sz w:val="20"/>
          <w:szCs w:val="20"/>
          <w:lang w:val="en-US" w:eastAsia="fr-FR"/>
        </w:rPr>
        <w:lastRenderedPageBreak/>
        <w:t>ich die Mittheilung nach dem dritten oder vierten Druck erzwungen hatte: „Ja, das habe ich schon beim ersten Mal gewusst, aber gerade das habe ich nicht sagen wollen“, oder „ich habe gehofft, das wird es nicht sein.“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Mühevoller war diese Art, das angeblich verengte Bewusstsein zu erweitern, immerhin weit mehr als das Ausforschen im Somnambulismus, aber sie machte mich doch vom Somnambulismus unabhängig und gestattete mir eine Einsicht in die Motive, die häufig für das „Vergessen“ von Erinnerungen ausschlaggebend sind. Ich kann behaupten, dieses Vergessen ist oft ein beabsichtigtes, gewünschtes. Es ist immer ein nur </w:t>
      </w:r>
      <w:r w:rsidRPr="00C820A0">
        <w:rPr>
          <w:rFonts w:ascii="Garamond" w:hAnsi="Garamond"/>
          <w:i/>
          <w:iCs/>
          <w:sz w:val="20"/>
          <w:szCs w:val="20"/>
          <w:lang w:val="en-US" w:eastAsia="fr-FR"/>
        </w:rPr>
        <w:t>scheinbar</w:t>
      </w:r>
      <w:r w:rsidRPr="00C820A0">
        <w:rPr>
          <w:rFonts w:ascii="Garamond" w:hAnsi="Garamond"/>
          <w:sz w:val="20"/>
          <w:szCs w:val="20"/>
          <w:lang w:val="en-US" w:eastAsia="fr-FR"/>
        </w:rPr>
        <w:t xml:space="preserve"> gelungenes.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Vielleicht noch merkwürdiger ist mir erschienen, dass man angeblich längst vergessene Zahlen und Daten durch ein ähnliches Verfahren wiederbringen und so eine unvermuthete Treue des Gedächtnisses erweisen kann.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geringe Auswahl, die man bei der Suche nach Zahlen und Daten hat, gestattet nämlich, den aus der Lehre von der Aphasie bekannten Satz zur Hilfe zu nehmen, dass Erkennen eine geringere Leistung des Gedächtnisses ist als sich spontan besinnen.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33" w:tooltip="Seite:De Studien über Hysterie 095.jpg" w:history="1">
        <w:r w:rsidRPr="00C820A0">
          <w:rPr>
            <w:rFonts w:ascii="Garamond" w:hAnsi="Garamond"/>
            <w:b/>
            <w:bCs/>
            <w:color w:val="0000FF"/>
            <w:sz w:val="20"/>
            <w:szCs w:val="20"/>
            <w:u w:val="single"/>
            <w:lang w:val="en-US" w:eastAsia="fr-FR"/>
          </w:rPr>
          <w:t>95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Man sagt also dem Patienten, der sich nicht erinnern kann, in welchem Jahr, Monat und an welchem Tag ein gewisses Ereigniss vorfiel, die Jahreszahlen, um die es sich handeln kann, die zwölf Monatsnamen, die 31 Zahlen der Monatstage vor und versichert ihm, dass bei der richtigen Zahl oder beim richtigen Namen sich seine Augen von selbst öffnen würden, oder dass er dabei fühlen werde, welche Zahl die richtige sei. In den allermeisten Fällen entscheiden sich dann die Kranken wirklich für ein bestimmtes Datum und häufig genug (so bei Frau Cecilie N.) liess sich durch vorhandene Aufzeichnungen aus jener Zeit nachweisen, dass das Datum richtig erkannt war. Andere Male und bei ändern Kranken ergab sich aus dem Zusammenhang der erinnerten Thatsachen, dass das so gefundene Datum unanfechtbar war. Die Kranke bemerkte z. B., nachdem man ihr das durch „Auszählen“ gewonnene Datum vorgehalten hatte: „Das ist ja der Geburtstag des Vaters“ und setzte dann fort: „Ja gewiss, weil es der Geburtstag des Vaters war, habe ich ja das Ereigniss (von dem wir sprachen) erwartet.“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kann dieses Thema hier nur streifen. Der Schluss, den ich aus all diesen Erfahrungen zog, war der, dass die als pathogene wichtigen Erlebnisse mit all ihren Nebenumständen treulich vom Gedächtnis festgehalten werden, auch wo sie vergessen scheinen, wo dem Kranken die Fähigkeit fehlt, sich auf sie zu besinnen.</w:t>
      </w:r>
      <w:hyperlink r:id="rId1834" w:anchor="cite_note-0" w:history="1">
        <w:r w:rsidRPr="00C820A0">
          <w:rPr>
            <w:rFonts w:ascii="Garamond" w:hAnsi="Garamond"/>
            <w:color w:val="0000FF"/>
            <w:sz w:val="20"/>
            <w:szCs w:val="20"/>
            <w:u w:val="single"/>
            <w:vertAlign w:val="superscript"/>
            <w:lang w:val="en-US" w:eastAsia="fr-FR"/>
          </w:rPr>
          <w:t>[1]</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35" w:tooltip="Seite:De Studien über Hysterie 096.jpg" w:history="1">
        <w:r w:rsidRPr="00C820A0">
          <w:rPr>
            <w:rFonts w:ascii="Garamond" w:hAnsi="Garamond"/>
            <w:b/>
            <w:bCs/>
            <w:color w:val="0000FF"/>
            <w:sz w:val="20"/>
            <w:szCs w:val="20"/>
            <w:u w:val="single"/>
            <w:lang w:val="en-US" w:eastAsia="fr-FR"/>
          </w:rPr>
          <w:t>96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Ich kehre nach dieser langen, aber unabweisbaren Abschweifung zur Geschichte von Miss Lucy R. zurück. Sie wurde also beim Versuch der Hypnose nicht somnambul, sondern lag bloss ruhig da in </w:t>
      </w:r>
      <w:r w:rsidRPr="00C820A0">
        <w:rPr>
          <w:rFonts w:ascii="Garamond" w:hAnsi="Garamond"/>
          <w:color w:val="666666"/>
          <w:sz w:val="20"/>
          <w:szCs w:val="20"/>
          <w:lang w:val="en-US" w:eastAsia="fr-FR"/>
        </w:rPr>
        <w:t>[</w:t>
      </w:r>
      <w:hyperlink r:id="rId1836" w:tooltip="Seite:De Studien über Hysterie 097.jpg" w:history="1">
        <w:r w:rsidRPr="00C820A0">
          <w:rPr>
            <w:rFonts w:ascii="Garamond" w:hAnsi="Garamond"/>
            <w:b/>
            <w:bCs/>
            <w:color w:val="0000FF"/>
            <w:sz w:val="20"/>
            <w:szCs w:val="20"/>
            <w:u w:val="single"/>
            <w:lang w:val="en-US" w:eastAsia="fr-FR"/>
          </w:rPr>
          <w:t>97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irgend einem Grade leichterer Beeinflussung, die Augen stetig geschlossen, die Miene etwas starr, ohne mit einem Glied zu rühren. Ich fragte sie, ob sie sich erinnere, bei welchem Anlass die Geruchsempfindung der verbrannten Mehlspeise entstanden sei. – O ja, das weiss ich ganz genau. Es war vor ungefähr zwei Monaten, zwei Tage vor meinem Geburtstag. Ich war mit den Kindern im Schulzimmer und spielte mit ihnen (zwei Mädchen) Kochen, da wurde ein Brief hereingebracht, den der Briefträger eben abgegeben hatte. Ich erkannte an Poststempel und Handschrift, dass der Brief von meiner Mutter in </w:t>
      </w:r>
      <w:r w:rsidRPr="00C820A0">
        <w:rPr>
          <w:rFonts w:ascii="Garamond" w:hAnsi="Garamond"/>
          <w:i/>
          <w:iCs/>
          <w:sz w:val="20"/>
          <w:szCs w:val="20"/>
          <w:lang w:val="en-US" w:eastAsia="fr-FR"/>
        </w:rPr>
        <w:t>Glasgow</w:t>
      </w:r>
      <w:r w:rsidRPr="00C820A0">
        <w:rPr>
          <w:rFonts w:ascii="Garamond" w:hAnsi="Garamond"/>
          <w:sz w:val="20"/>
          <w:szCs w:val="20"/>
          <w:lang w:val="en-US" w:eastAsia="fr-FR"/>
        </w:rPr>
        <w:t xml:space="preserve"> sei, wollte ihn öffnen und lesen. Da kamen die Kinder auf mich losgestürzt, rissen mir den Brief aus der Hand und riefen: Nein, Du darfst ihn jetzt nicht lesen, er ist gewiss für Deinen Geburtstag, wir werden ihn Dir aufheben. Während die Kinder so um mich spielten, verbreitete sich plötzlich ein intensiver Geruch. Die Kinder hatten die Mehlspeise, die sie kochten, im Stiche gelassen, und die war angebrannt. Seit damals verfolgt mich dieser Geruch, er ist eigentlich immer da und wird stärker bei Aufregung.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Sie sehen diese Scene deutlich vor sich? – Greifbar, wie ich sie erlebt habe. – Was konnte Sie denn daran so aufregen? – Es rührte mich, dass die Kinder so zärtlich gegen mich waren. – Waren sie das nicht immer? – Ja, aber gerade, als ich den Brief der Mutter bekam. – Ich verstehe nicht, inwiefern die Zärtlichkeit der Kleinen und der Brief der Mutter einen Contrast ergeben haben sollen, den Sie doch anzudeuten scheinen. – Ich hatte nämlich die Absicht, zu meiner Mutter zu reisen, und da fiel es mir so schwer </w:t>
      </w:r>
      <w:r w:rsidRPr="00C820A0">
        <w:rPr>
          <w:rFonts w:ascii="Garamond" w:hAnsi="Garamond"/>
          <w:color w:val="666666"/>
          <w:sz w:val="20"/>
          <w:szCs w:val="20"/>
          <w:lang w:val="en-US" w:eastAsia="fr-FR"/>
        </w:rPr>
        <w:t>[</w:t>
      </w:r>
      <w:hyperlink r:id="rId1837" w:tooltip="Seite:De Studien über Hysterie 098.jpg" w:history="1">
        <w:r w:rsidRPr="00C820A0">
          <w:rPr>
            <w:rFonts w:ascii="Garamond" w:hAnsi="Garamond"/>
            <w:b/>
            <w:bCs/>
            <w:color w:val="0000FF"/>
            <w:sz w:val="20"/>
            <w:szCs w:val="20"/>
            <w:u w:val="single"/>
            <w:lang w:val="en-US" w:eastAsia="fr-FR"/>
          </w:rPr>
          <w:t>98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auf’s Herz, diese lieben Kinder zu verlassen. – Was ist’s mit Ihrer Mutter? Lebt sie wohl so einsam und hat Sie zu sich beschieden? Oder war sie krank um diese Zeit und Sie erwarteten Nachricht von ihr? – Nein, sie ist kränklich, aber nicht gerade krank und hat eine Gesellschafterin bei sich. – Warum mussten Sie also die Kinder verlassen? – Es war im Hause nicht mehr auszuhalten. Die Haushälterin, die Köchin und die Französin scheinen geglaubt zu haben, dass ich mich in meiner Stellung überhebe, haben sich zu einer kleinen Intrigue gegen mich vereinigt, dem Grosspapa (der Kinder) alles Mögliche über mich hinterbracht, und ich fand an den beiden Herren nicht die Stütze, die ich erwartet hatte, als ich bei ihnen Klage führte. Darauf habe ich dem Herrn Director (dem Vater der Kinder) meine Demission angeboten, er antwortete sehr freundlich, ich sollte es mir doch zwei Wochen überlegen, ehe ich ihm meinen definitiven Entschluss mittheilte. In dieser Zeit der Schwebe war ich damals; ich glaubte, ich würde das Haus verlassen. Ich bin seither geblieben. – Und fesselte Sie etwas Besonderes an die Kinder ausser deren Zärtlichkeit gegen Sie? – Ja, ich hatte der Mutter, die eine entfernte Verwandte meiner Mutter war, auf ihrem Todtenbette versprochen, dass ich mich der Kleinen mit allen Kräften annehmen, dass ich sie nicht verlassen und ihnen die Mutter ersetzen werde. Dieses Versprechen hatte ich gebrochen, als ich gekündigt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So schien denn die Analyse der subjectiven Geruchsempfindung vollendet; dieselbe war in der That dereinst eine objective gewesen, und zwar innig associirt mit einem Erlebniss, einer kleinen Scene, in welcher widerstreitende Affecte einander entgegengetreten waren, das Bedauern, diese Kinder zu verlassen, und die Kränkungen, welche sie doch zu diesem Entschlüsse drängten. Der Brief der Mutter hatte sie begreiflicherweise an die Motive zu diesem Entschluss erinnert, da sie von hier zu ihrer Mutter zu gehen gedachte. Der Conflict der Affecte hatte den Moment zum Trauma erhoben, und als Symbol des Traumas war ihr die damit verbundene Geruchsempfindung geblieben. Es bedurfte noch der Erklärung dafür, dass sie von all den sinnlichen Wahrnehmungen jener Scene gerade den einen Geruch zum Symbol ausgewählt hatte. Ich war aber schon darauf vorbereitet, die chronische Erkrankung ihrer Nase </w:t>
      </w:r>
      <w:r w:rsidRPr="00C820A0">
        <w:rPr>
          <w:rFonts w:ascii="Garamond" w:hAnsi="Garamond"/>
          <w:sz w:val="20"/>
          <w:szCs w:val="20"/>
          <w:lang w:val="en-US" w:eastAsia="fr-FR"/>
        </w:rPr>
        <w:lastRenderedPageBreak/>
        <w:t xml:space="preserve">für diese Erklärung zu verwerten. Auf mein directes Fragen gab sie auch an, sie hätte gerade zu dieser Zeit wieder an einem so heftigen Schnupfen gelitten, dass sie kaum etwas roch. Den Geruch der verbrannten Mehlspeise nahm sie aber in </w:t>
      </w:r>
      <w:r w:rsidRPr="00C820A0">
        <w:rPr>
          <w:rFonts w:ascii="Garamond" w:hAnsi="Garamond"/>
          <w:color w:val="666666"/>
          <w:sz w:val="20"/>
          <w:szCs w:val="20"/>
          <w:lang w:val="en-US" w:eastAsia="fr-FR"/>
        </w:rPr>
        <w:t>[</w:t>
      </w:r>
      <w:hyperlink r:id="rId1838" w:tooltip="Seite:De Studien über Hysterie 099.jpg" w:history="1">
        <w:r w:rsidRPr="00C820A0">
          <w:rPr>
            <w:rFonts w:ascii="Garamond" w:hAnsi="Garamond"/>
            <w:b/>
            <w:bCs/>
            <w:color w:val="0000FF"/>
            <w:sz w:val="20"/>
            <w:szCs w:val="20"/>
            <w:u w:val="single"/>
            <w:lang w:val="en-US" w:eastAsia="fr-FR"/>
          </w:rPr>
          <w:t>99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ihrer Erregung doch wahr, er durchbrach die organisch begründete Anosmie.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gab mich mit der so erreichten Aufklärung nicht zufrieden. Es klang ja alles recht plausibel, aber es fehlte mir etwas, ein annehmbarer Grund, wesshalb diese Reihe von Erregungen und dieser Widerstreit der Affecte gerade zur Hysterie geführt haben musste. Warum blieb das Ganze nicht auf dem Boden des normalen psychischen Lebens? Mit anderen Worten, woher die Berechtigung zu der hier vorliegenden Conversion? Warum erinnerte sie sich nicht beständig an die Scene selbst, anstatt an die mit ihr verknüpfte Sensation, die sie als Symbol für die Erinnerung bevorzugte? Solche Fragen mochten vorwitzig und überflüssig sein, wo es sich um eine alte Hysterica handelte, welcher jener Mechanismus der Conversion habituell war. Dieses Mädchen hatte aber erst bei diesem Trauma oder wenigstens bei dieser kleinen Leidensgeschichte Hysterie acquirirt.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Nun wusste ich bereits aus der Analyse ähnlicher Fälle, dass, wo Hysterie neu acquirirt werden soll, eine psychische Bedingung hiefür unerlässlich ist, nämlich, dass eine Vorstellung </w:t>
      </w:r>
      <w:r w:rsidRPr="00C820A0">
        <w:rPr>
          <w:rFonts w:ascii="Garamond" w:hAnsi="Garamond"/>
          <w:i/>
          <w:iCs/>
          <w:sz w:val="20"/>
          <w:szCs w:val="20"/>
          <w:lang w:val="en-US" w:eastAsia="fr-FR"/>
        </w:rPr>
        <w:t>absichtlich aus dem Bewusstsein verdrängt</w:t>
      </w:r>
      <w:r w:rsidRPr="00C820A0">
        <w:rPr>
          <w:rFonts w:ascii="Garamond" w:hAnsi="Garamond"/>
          <w:sz w:val="20"/>
          <w:szCs w:val="20"/>
          <w:lang w:val="en-US" w:eastAsia="fr-FR"/>
        </w:rPr>
        <w:t>, von der associativen Verarbeitung ausgeschlossen werde.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dieser absichtlichen Verdrängung erblicke ich auch den Grund für die Conversion der Erregungssumme, sei sie eine totale oder partielle. Die Erregungssumme, die nicht in psychische Association treten soll, findet umso eher den falschen Weg zu einer körperlichen Innervation. Grund der Verdrängung selbst konnte nur eine Unlustempfindung sein, die Unverträglichkeit der einen zu verdrängenden Idee mit der herrschenden Vorstellungsmasse des Ich. Die verdrängte Vorstellung rächt sich aber dadurch, dass sie pathogen wird.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zog also daraus, dass Miss Lucy R. in jenem Moment der hysterischen Conversion verfallen war, den Schluss, dass unter den Voraussetzungen jenes Traumas </w:t>
      </w:r>
      <w:r w:rsidRPr="00C820A0">
        <w:rPr>
          <w:rFonts w:ascii="Garamond" w:hAnsi="Garamond"/>
          <w:i/>
          <w:iCs/>
          <w:sz w:val="20"/>
          <w:szCs w:val="20"/>
          <w:lang w:val="en-US" w:eastAsia="fr-FR"/>
        </w:rPr>
        <w:t>eine</w:t>
      </w:r>
      <w:r w:rsidRPr="00C820A0">
        <w:rPr>
          <w:rFonts w:ascii="Garamond" w:hAnsi="Garamond"/>
          <w:sz w:val="20"/>
          <w:szCs w:val="20"/>
          <w:lang w:val="en-US" w:eastAsia="fr-FR"/>
        </w:rPr>
        <w:t xml:space="preserve"> sein müsse, die sie absichtlich im Unklaren lassen wolle, die sie sich bemühe zu vergessen. Nahm ich die Zärtlichkeit für die Kinder und die Empfindlichkeit gegen die ändern Personen des Haushaltes zusammen, so liess dies alles nur </w:t>
      </w:r>
      <w:r w:rsidRPr="00C820A0">
        <w:rPr>
          <w:rFonts w:ascii="Garamond" w:hAnsi="Garamond"/>
          <w:i/>
          <w:iCs/>
          <w:sz w:val="20"/>
          <w:szCs w:val="20"/>
          <w:lang w:val="en-US" w:eastAsia="fr-FR"/>
        </w:rPr>
        <w:t>eine</w:t>
      </w:r>
      <w:r w:rsidRPr="00C820A0">
        <w:rPr>
          <w:rFonts w:ascii="Garamond" w:hAnsi="Garamond"/>
          <w:sz w:val="20"/>
          <w:szCs w:val="20"/>
          <w:lang w:val="en-US" w:eastAsia="fr-FR"/>
        </w:rPr>
        <w:t xml:space="preserve"> Deutung zu. Ich hatte den Muth, der Patientin diese Deutung mitzutheilen. Ich sagte ihr: „Ich glaube nicht, dass diess alle Gründe für Ihre Empfindung gegen die beiden Kinder sind; ich vermuthe vielmehr, dass Sie in Ihren Herrn, den Director, verliebt sind, vielleicht, </w:t>
      </w:r>
      <w:r w:rsidRPr="00C820A0">
        <w:rPr>
          <w:rFonts w:ascii="Garamond" w:hAnsi="Garamond"/>
          <w:color w:val="666666"/>
          <w:sz w:val="20"/>
          <w:szCs w:val="20"/>
          <w:lang w:val="en-US" w:eastAsia="fr-FR"/>
        </w:rPr>
        <w:t>[</w:t>
      </w:r>
      <w:hyperlink r:id="rId1839" w:tooltip="Seite:De Studien über Hysterie 100.jpg" w:history="1">
        <w:r w:rsidRPr="00C820A0">
          <w:rPr>
            <w:rFonts w:ascii="Garamond" w:hAnsi="Garamond"/>
            <w:b/>
            <w:bCs/>
            <w:color w:val="0000FF"/>
            <w:sz w:val="20"/>
            <w:szCs w:val="20"/>
            <w:u w:val="single"/>
            <w:lang w:val="en-US" w:eastAsia="fr-FR"/>
          </w:rPr>
          <w:t>100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ohne es selbst zu wissen, dass Sie die Hoffnung in sich nähren, thatsächlich die Stelle der Mutter einzunehmen, und dazu kommt noch, dass Sie so empfindlich gegen die Dienstleute geworden sind, mit denen Sie Jahre lang friedlich zusammengelebt haben. Sie fürchten, dass diese etwas von Ihrer Hoffnung merken und Sie darüber verspotten werden.“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Ihre Antwort war in ihrer wortkargen Weise: Ja, ich glaube, es ist so. – Wenn Sie aber wussten, dass Sie den Director lieben, warum haben Sie es mir nicht gesagt? – Ich wusste es ja nicht oder besser, ich wollte es nicht wissen, wollte es mir aus dem Kopf schlagen, nie mehr daran denken; ich glaube, es ist mir auch in der letzten Zeit gelungen.</w:t>
      </w:r>
      <w:hyperlink r:id="rId1840" w:anchor="cite_note-1" w:history="1">
        <w:r w:rsidRPr="00C820A0">
          <w:rPr>
            <w:rFonts w:ascii="Garamond" w:hAnsi="Garamond"/>
            <w:color w:val="0000FF"/>
            <w:sz w:val="20"/>
            <w:szCs w:val="20"/>
            <w:u w:val="single"/>
            <w:vertAlign w:val="superscript"/>
            <w:lang w:eastAsia="fr-FR"/>
          </w:rPr>
          <w:t>[2]</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Warum wollten Sie sich diese Neigung nicht eingestehen? Schämten Sie sich dessen, dass Sie einen Mann lieben sollten? – O, nein, ich bin nicht unverständig prüde; für Empfindungen ist man ja überhaupt nicht verantwortlich. </w:t>
      </w:r>
      <w:r w:rsidRPr="00C820A0">
        <w:rPr>
          <w:rFonts w:ascii="Garamond" w:hAnsi="Garamond"/>
          <w:sz w:val="20"/>
          <w:szCs w:val="20"/>
          <w:lang w:val="en-US" w:eastAsia="fr-FR"/>
        </w:rPr>
        <w:t>Es war mir nur darum peinlich, weil es der Herr ist, in dessen Dienst ich stehe, in dessen Haus ich lebe, gegen den ich nicht wie gegen einen andern die volle Unabhängigkeit in mir fühle. Und weil ich ein armes Mädchen und er ein reicher Mann aus vornehmer Familie ist; man würde mich ja auslachen, wenn man etwas davon ahnte.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finde nun keinen Widerstand, die Entstehung dieser Neigung zu beleuchten. Sie erzählt, sie habe die ersten Jahre arglos in dem Hause gelebt und ihre Pflichten erfüllt, ohne auf unerfüllbare Wünsche zu kommen. Einmal aber begann der ernste, überbeschäftigte, sonst immer gegen sie reservirte Herr ein Gespräch mit ihr über die </w:t>
      </w:r>
      <w:r w:rsidRPr="00C820A0">
        <w:rPr>
          <w:rFonts w:ascii="Garamond" w:hAnsi="Garamond"/>
          <w:color w:val="666666"/>
          <w:sz w:val="20"/>
          <w:szCs w:val="20"/>
          <w:lang w:val="en-US" w:eastAsia="fr-FR"/>
        </w:rPr>
        <w:t>[</w:t>
      </w:r>
      <w:hyperlink r:id="rId1841" w:tooltip="Seite:De Studien über Hysterie 101.jpg" w:history="1">
        <w:r w:rsidRPr="00C820A0">
          <w:rPr>
            <w:rFonts w:ascii="Garamond" w:hAnsi="Garamond"/>
            <w:b/>
            <w:bCs/>
            <w:color w:val="0000FF"/>
            <w:sz w:val="20"/>
            <w:szCs w:val="20"/>
            <w:u w:val="single"/>
            <w:lang w:val="en-US" w:eastAsia="fr-FR"/>
          </w:rPr>
          <w:t>101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Erfordernisse der Kindererziehung. Er wurde weicher und herzlicher als gewöhnlich, sagte ihr, wie sehr er bei der Pflege seiner verwaisten Kinder auf sie rechne und blickte sie dabei besonders an ... In diesem Moment begann sie ihn zu lieben und beschäftigte sich selbst gerne mit der erfreulichen Hoffnung, die sie aus jenem Gespräch geschöpft hatte. Erst, als dann nichts mehr nachfolgte, als trotz ihres Wartens und Harrens keine zweite Stunde von vertraulichem Gedankenaustausch kam, beschloss sie, sich die Sache aus dem Sinn zu schlagen. Sie gibt mir ganz Recht, dass jener Blick im Zusammenhange des Gespräches wohl dem Andenken seiner verstorbenen Frau gegolten hat, ist sich auch völlig klar darüber, dass ihre Neigung völlig aussichtslos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erwartete von diesem Gespräch eine gründliche Aenderung ihres Zustandes, diese blieb aber einstweilen aus. Sie war weiterhin gedrückt und verstimmt; eine hydropathische Cur, die ich sie gleichzeitig nehmen liess, frischte sie des Morgens ein wenig auf; der Geruch der verbrannten Mehlspeise war nicht völlig geschwunden, wohl aber seltener und schwächer geworden; er kam, wie sie sagte, nur, wenn sie sehr aufgeregt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Das Fortbestehen dieses Erinnerungssymbols liess mich vermuthen, dass dasselbe ausser der Hauptscene die Vertretung der vielen kleinen Nebentraumen auf sich genommen, und so forschten wir denn nach allem, was sonst mit der Scene der verbrannten Mehlspeise in Zusammenhang stehen mochte, gingen das Thema der häuslichen Reibungen, des Benehmens des Grossvaters u. a. durch. Dabei schwand die Empfindung des brenzlichen Geruches immer mehr. Auch eine längere Unterbrechung fiel in diese Zeit, verursacht durch neuerliche Erkrankung der Nase, die jetzt zur Entdeckung der Caries des Siebbeines führte.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Als sie wiederkam, berichtete sie auch, dass Weihnachten ihr so zahlreiche Geschenke von Seiten der beiden Herren und selbst von den Dienstleuten des Hauses gebracht habe, als ob alle bestrebt seien, sie zu versöhnen und die Erinnerung an die Conflicte der letzten Monate bei ihr zu verwischen. Dies offenkundige Entgegenkommen habe ihr aber keinen Eindruck gemacht.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Als ich wieder ein anderes Mal nach dem Geruch der verbrannten Mehlspeise fragte, bekam ich die Auskunft, der sei zwar ganz geschwunden, allein an seiner Stelle quäle sie ein anderer und ähnlicher Geruch, wie von Cigarrenrauch. Derselbe sei wohl auch früher dagewesen, aber wie gedeckt durch den Geruch der Mehlspeise. Jetzt sei er rein hervorgetreten.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42" w:tooltip="Seite:De Studien über Hysterie 102.jpg" w:history="1">
        <w:r w:rsidRPr="00C820A0">
          <w:rPr>
            <w:rFonts w:ascii="Garamond" w:hAnsi="Garamond"/>
            <w:b/>
            <w:bCs/>
            <w:color w:val="0000FF"/>
            <w:sz w:val="20"/>
            <w:szCs w:val="20"/>
            <w:u w:val="single"/>
            <w:lang w:val="en-US" w:eastAsia="fr-FR"/>
          </w:rPr>
          <w:t>102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Ich war nicht sehr befriedigt von dem Erfolge meiner Therapie. Da war also eingetroffen, was man einer bloss symptomatischen Therapie immer zur Last legt; man hatte ein Symptom weggenommen, bloss damit ein neues an die freie Stelle rücken könne. Indess machte ich mich bereitwillig an die analytische Beseitigung dieses neuen Erinnerungssymbols.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Diesmal wusste sie aber nicht, woher die subjective Geruchsempfindung stamme, bei welcher wichtigen Gelegenheit sie eine objective gewesen sei. „Es wird täglich geraucht bei uns“, meinte sie; „ich weiss wirklich nicht, ob der Geruch, den ich verspüre, eine besondere Gelegenheit bedeutet.“ Ich beharrte nun darauf, dass sie versuche, sich unter dem Drucke meiner Hand zu erinnern. Ich habe schon erwähnt, dass ihre Erinnerungen plastische Lebhaftigkeit hatten, dass sie eine „Visuelle“ war. In der That tauchte unter meinem Drängen ein Bild in ihr auf, anfangs zögernd und nur stückweise. Es war das Speisezimmer ihres Hauses, in dem sie mit den Kindern wartet, bis die Herren aus der Fabrik zum Mittagsmal kommen. – Jetzt sitzen wir alle um den Tisch herum: die Herren, die Französin, die Haushälterin, die Kinder und ich. Das ist aber wie alle Tage – Sehen Sie nur weiter auf das Bild hin, es wird sich entwickeln und specialisiren. – Ja, es ist ein Gast da, der Oberbuchhalter, ein alter Herr, der die Kinder liebt wie eigene Enkel, aber der kommt so oft zu Mittag, das ist auch nichts Besonderes. – Haben Sie nur Geduld, blicken Sie immer nur auf das Bild, es wird gewiss etwas vorgehen. – Es geht nichts vor. Wir stehen vom Tisch auf, die Kinder sollen sich verabschieden und gehen dann mit uns wie alle Tage in den zweiten Stock. – Nun? – Es ist doch eine besondere Gelegenheit, ich erkenne die Scene jetzt. Wie die Kinder sich verabschieden, will der Oberbuchhalter sie küssen. Der Herr fährt auf und schreit ihn geradezu an. „Nicht die Kinder küssen.“ Dabei gibt es mir wie einen Stich in’s Herz, und da die Herren schon rauchen, bleibt mir der Cigarrenrauch im Gedächtniss.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Diess war also die zweite, tieferliegende Scene, die als Trauma gewirkt und ein Erinnerungssymbol hinterlassen hatte. Woher rührte aber die Wirksamkeit dieser Scene? – Ich fragte: Was ist der Zeit nach früher, diese Scene oder die mit der verbrannten Mehlspeise? – Die letzte Scene ist die frühere, und zwar um fast zwei Monate. – Warum hat es Ihnen denn einen Stich bei dieser Abwehr des Vaters gegeben? Der Verweis richtete sich doch nicht gegen Sie? – Es war </w:t>
      </w:r>
      <w:r w:rsidRPr="00C820A0">
        <w:rPr>
          <w:rFonts w:ascii="Garamond" w:hAnsi="Garamond"/>
          <w:color w:val="666666"/>
          <w:sz w:val="20"/>
          <w:szCs w:val="20"/>
          <w:lang w:val="en-US" w:eastAsia="fr-FR"/>
        </w:rPr>
        <w:t>[</w:t>
      </w:r>
      <w:hyperlink r:id="rId1843" w:tooltip="Seite:De Studien über Hysterie 103.jpg" w:history="1">
        <w:r w:rsidRPr="00C820A0">
          <w:rPr>
            <w:rFonts w:ascii="Garamond" w:hAnsi="Garamond"/>
            <w:b/>
            <w:bCs/>
            <w:color w:val="0000FF"/>
            <w:sz w:val="20"/>
            <w:szCs w:val="20"/>
            <w:u w:val="single"/>
            <w:lang w:val="en-US" w:eastAsia="fr-FR"/>
          </w:rPr>
          <w:t>103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doch nicht recht, einen alten Herrn so anzufahren, der ein lieber Freund und noch dazu Gast ist. Man kann das ja auch ruhig sagen. – Also hat Sie nur die heftige Form Ihres Herrn verletzt? Haben Sie sich vielleicht für ihn genirt oder haben Sie gedacht, wenn er wegen einer solchen Kleinigkeit so heftig sein kann mit einem alten Freunde und Gast, wie wäre er es erst mit mir, wenn ich seine Frau wäre? – Nein, das ist es nicht. – Es war aber doch wegen der Heftigkeit? – Ja, wegen des Küssens der Kinder, das hat er nie gemocht. – Und nun taucht wieder unter dem Drucke meiner Hand die Erinnerung an eine noch ältere Scene auf, die das eigentlich wirksame Trauma war, und die auch der Scene mit dem Oberbuchhalter die traumatische Wirksamkeit verliehen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hatte sich wieder einige Monate vorher zugetragen, dass eine befreundete Dame auf Besuch kam, die beim Abschied beide Kinder auf den Mund küsste. Der Vater, der dabei stand, überwand sich wohl, der Dame nichts zu sagen, aber nach ihrem Fortgehen brach sein Zorn über die unglückliche Erzieherin los. Er erklärte ihr, er mache sie dafür verantwortlich, wenn jemand die Kinder auf den Mund küsse; es sei ihre Pflicht, es nicht zu dulden, und sie sei pflichtvergessen, wenn sie es zulasse. Wenn es noch einmal geschähe, würde er die Erziehung der Kinder anderen Händen anvertrauen. Es war die Zeit, als sie sich noch geliebt glaubte und auf eine Wiederholung jener ersten freundlichen Gespräches wartete. Diese Scene knickte ihre Hoffnungen. Sie sagte sich: wenn er wegen einer so geringen Sache, und wo ich überdies ganz unschuldig bin, so auf mich losfahren kann, mir solche Drohungen sagen kann, so habe ich mich geirrt, so hat er nie eine wärmere Empfindung für mich gehabt. Die würde ihn Rücksicht gelehrt haben. – Offenbar war es die Erinnerung an diese peinliche Scene, die ihr kam, als der Oberbuchhalter die Kinder küssen wollte und dafür vom Vater zurechtgewiesen wurde.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Als Miss Lucy mich zwei Tage nach dieser letzten Analyse wieder besuchte, musste ich sie fragen, was mit ihr Erfreuliches vorgegangen sei.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Sie war wie verwandelt, lächelte und trug den Kopf hoch. Einen Augenblick dachte ich daran, ich hätte doch die Verhältnisse irrig beurtheilt und aus der Gouvernante der Kinder sei jetzt die Braut des Directors geworden. Aber sie wehrte meine Vermuthungen ab: „Es ist gar nichts vorgegangen. Sie kennen mich eben nicht, Sie haben mich nur krank und verstimmt gesehen. Ich bin sonst immer so heiter. </w:t>
      </w:r>
      <w:r w:rsidRPr="00C820A0">
        <w:rPr>
          <w:rFonts w:ascii="Garamond" w:hAnsi="Garamond"/>
          <w:color w:val="666666"/>
          <w:sz w:val="20"/>
          <w:szCs w:val="20"/>
          <w:lang w:val="en-US" w:eastAsia="fr-FR"/>
        </w:rPr>
        <w:t>[</w:t>
      </w:r>
      <w:hyperlink r:id="rId1844" w:tooltip="Seite:De Studien über Hysterie 104.jpg" w:history="1">
        <w:r w:rsidRPr="00C820A0">
          <w:rPr>
            <w:rFonts w:ascii="Garamond" w:hAnsi="Garamond"/>
            <w:b/>
            <w:bCs/>
            <w:color w:val="0000FF"/>
            <w:sz w:val="20"/>
            <w:szCs w:val="20"/>
            <w:u w:val="single"/>
            <w:lang w:val="en-US" w:eastAsia="fr-FR"/>
          </w:rPr>
          <w:t>104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Wie ich gestern früh erwacht bin, war der Druck von mir genommen, und seither bin ich wohl. – Und wie denken Sie über Ihre Aussichten im Hause? – Ich bin ganz klar, ich weiss, dass ich keine habe, und werde nicht unglücklich darüber sein. – Und werden Sie sich jetzt mit den Hausleuten vertragen? „“ Ich glaube, da hat meine Empfindlichkeit das Meiste dazu gethan. – Und lieben Sie den Director noch? – Gewiss, ich liebe ihn, aber das macht mir weiter nichts. Man kann ja bei sich denken und empfinden, was man will.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untersuchte jetzt ihre Nase und fand die Schmerz- und Reflexempfindlichkeit fast völlig wiedergekehrt; sie unterschied auch Gerüche, aber unsicher und nur wenn sie intensiver waren. Ich muss aber dahingestellt lassen, in wieweit an dieser Anosmie die Erkrankung der Nase betheiligt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ganze Behandlung hatte sich über 9 Wochen erstreckt. 4 Monate später traf ich die Patientin zufällig in einer unserer Sommerfrischen. Sie war heiter und bestätigte die Fortdauer ihres Wohlbefindens.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Epikrise.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Ich möchte den hier erzählten Krankheitsfall nicht gering schätzen, wenngleich er einer kleinen und leichten Hysterie entspricht und nur über wenige Symptome verfügt. Vielmehr erscheint es mir lehrreich, dass auch eine solche, als Neurose armselige Erkrankung so vieler psychischer Voraussetzungen bedarf, und bei eingehenderer Würdigung dieser Krankengeschichte bin ich versucht, sie als vorbildlich für einen Typus der Hysterie hinzustellen, nämlich für die Form von Hysterie, die auch eine nicht hereditär belastete Person durch dazu </w:t>
      </w:r>
      <w:r w:rsidRPr="00C820A0">
        <w:rPr>
          <w:rFonts w:ascii="Garamond" w:hAnsi="Garamond"/>
          <w:i/>
          <w:iCs/>
          <w:sz w:val="20"/>
          <w:szCs w:val="20"/>
          <w:lang w:val="en-US" w:eastAsia="fr-FR"/>
        </w:rPr>
        <w:t>geeignete</w:t>
      </w:r>
      <w:r w:rsidRPr="00C820A0">
        <w:rPr>
          <w:rFonts w:ascii="Garamond" w:hAnsi="Garamond"/>
          <w:sz w:val="20"/>
          <w:szCs w:val="20"/>
          <w:lang w:val="en-US" w:eastAsia="fr-FR"/>
        </w:rPr>
        <w:t xml:space="preserve"> Erlebnisse erwerben kann. Wohlgemerkt, ich spreche nicht von einer Hysterie, die unabhängig von jeder Disposition wäre: eine solche gibt es wahrscheinlich nicht, aber von solcher Art von Disposition sprechen wir erst, wenn die Person hysterisch geworden ist; sie ist vorher durch nichts bezeugt gewesen. Neuropathische Disposition, wie man sie gewöhnlich versteht, ist etwas anderes; sie ist bereits vor der Erkrankung durch das Maass hereditärer Belastung oder die Summe individueller psychischer Abnormitäten bestimmt. Von diesen beiden Momenten war bei Miss Lucy R., soweit ich unterrichtet bin, nichts nachzuweisen. Ihre Hysterie darf also eine acquirirte genannt werden und setzt nichts weiter voraus als die wahrscheinlich sehr verbreitete Eignung – Hysterie zu acquiriren, deren Charakteristik wir noch kaum auf der Spur sind. </w:t>
      </w:r>
      <w:r w:rsidRPr="00C820A0">
        <w:rPr>
          <w:rFonts w:ascii="Garamond" w:hAnsi="Garamond"/>
          <w:color w:val="666666"/>
          <w:sz w:val="20"/>
          <w:szCs w:val="20"/>
          <w:lang w:val="en-US" w:eastAsia="fr-FR"/>
        </w:rPr>
        <w:t>[</w:t>
      </w:r>
      <w:hyperlink r:id="rId1845" w:tooltip="Seite:De Studien über Hysterie 105.jpg" w:history="1">
        <w:r w:rsidRPr="00C820A0">
          <w:rPr>
            <w:rFonts w:ascii="Garamond" w:hAnsi="Garamond"/>
            <w:b/>
            <w:bCs/>
            <w:color w:val="0000FF"/>
            <w:sz w:val="20"/>
            <w:szCs w:val="20"/>
            <w:u w:val="single"/>
            <w:lang w:val="en-US" w:eastAsia="fr-FR"/>
          </w:rPr>
          <w:t>105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In solchen Fällen fällt aber das Hauptgewicht auf die Natur des Traumas, natürlich im Zusammenhalt mit der Reaction der Person gegen das Trauma. Es zeigt sich als unerlässliche Bedingung für die Erwerbung der Hysterie, dass zwischen dem Ich und einer an dasselbe herantretenden Vorstellung das Verhältniss der Unverträglichkeit entsteht. Ich hoffe an anderer Stelle zeigen zu können, wie verschiedene neurotische Störungen aus den verschiedenen Verfahren hervorgehen, welche das „Ich“ einschlägt, um sich von jener Unverträglichkeit zu befreien. Die hysterische Art der Abwehr – zu welcher eben eine besondere Eignung erfordert wird – besteht nun in der </w:t>
      </w:r>
      <w:r w:rsidRPr="00C820A0">
        <w:rPr>
          <w:rFonts w:ascii="Garamond" w:hAnsi="Garamond"/>
          <w:i/>
          <w:iCs/>
          <w:sz w:val="20"/>
          <w:szCs w:val="20"/>
          <w:lang w:val="en-US" w:eastAsia="fr-FR"/>
        </w:rPr>
        <w:t>Conversion</w:t>
      </w:r>
      <w:r w:rsidRPr="00C820A0">
        <w:rPr>
          <w:rFonts w:ascii="Garamond" w:hAnsi="Garamond"/>
          <w:sz w:val="20"/>
          <w:szCs w:val="20"/>
          <w:lang w:val="en-US" w:eastAsia="fr-FR"/>
        </w:rPr>
        <w:t xml:space="preserve"> der Erregung in eine körperliche Innervation, und der Gewinn dabei ist der, dass die unverträgliche Vorstellung aus dem Ichbewusstsein gedrängt ist. Dafür enthält das Ichbewusstsein die durch Conversion entstandene körperliche Reminiscenz, – in unserem Falle die subjectiven Geruchsempfindungen –, und leidet unter dem Affect, der sich mehr oder minder deutlich gerade an diese Reminiscenzen knüpft. Die Situation, die so geschaffen wird, ist nun nicht weiter veränderlich, da durch Verdrängung und Conversion der Widerspruch aufgehoben ist, der zur Erledigung des Affectes aufgefordert hätte. So entspricht der Mechanismus, der die Hysterie erzeugt, einerseits einem Acte moralischer Zaghaftigkeit, andererseits stellt er sich als eine Schutzeinrichtung dar, die dem Ich zu Gebote steht. Es gibt Fälle genug, in denen man zugestehen muss, die Abwehr des Erregungszuwachses durch Production von Hysterie sei auch dermalen das Zweckmässigste gewesen; häufiger wird man natürlich zum Schlusse gelangen, dass ein grösseres Maass von moralischem Muth ein Vortheil für das Individuum gewesen wäre.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Der eigentlich traumatische Moment ist demnach jener, in dem der Widerspruch sich dem Ich aufdrängt und dieses die Verweisung der widersprechenden Vorstellung beschliesst. Durch solche Verweisung wird letztere nicht zunichte gemacht, sondern bloss in’s Unbewusste gedrängt; findet dieser Vorgang zum ersten Male statt, so ist hiemit ein Kern und Krystallisationsmittelpunkt für die Bildung einer vom Ich getrennten psychischen Gruppe gegeben, um den sich in weiterer Folge alles sammelt, was die Annahme der widerstreitenden Vorstellung zur Voraussetzung hätte. Die Spaltung des Bewusstseins in diesen Fällen acquirirter Hysterie ist somit eine gewollte, absichtliche, oft wenigstens durch einen Willküract eingeleitete. Eigentlich geschieht etwas anderes, als das Individuum beabsichtigt; es möchte eine Vorstellung </w:t>
      </w:r>
      <w:r w:rsidRPr="00C820A0">
        <w:rPr>
          <w:rFonts w:ascii="Garamond" w:hAnsi="Garamond"/>
          <w:color w:val="666666"/>
          <w:sz w:val="20"/>
          <w:szCs w:val="20"/>
          <w:lang w:val="en-US" w:eastAsia="fr-FR"/>
        </w:rPr>
        <w:t>[</w:t>
      </w:r>
      <w:hyperlink r:id="rId1846" w:tooltip="Seite:De Studien über Hysterie 106.jpg" w:history="1">
        <w:r w:rsidRPr="00C820A0">
          <w:rPr>
            <w:rFonts w:ascii="Garamond" w:hAnsi="Garamond"/>
            <w:b/>
            <w:bCs/>
            <w:color w:val="0000FF"/>
            <w:sz w:val="20"/>
            <w:szCs w:val="20"/>
            <w:u w:val="single"/>
            <w:lang w:val="en-US" w:eastAsia="fr-FR"/>
          </w:rPr>
          <w:t>106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aufheben, als ob sie gar nie angelangt wäre; es gelingt ihm aber nur, sie psychisch zu isoliren.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der Geschichte unserer Patientin entspricht der traumatische Moment jener Scene, die ihr der Director wegen des Küssens der Kinder machte. Diese Scene bleibt aber einstweilen ohne sichtliche Wirkung, vielleicht dass Verstimmung und Empfindlichkeit damit begannen, ich weiss nichts darüber –; die hysterischen Symptome entstanden erst später in Momenten, welche man als „auxiliäre“ bezeichnen kann, und die man dadurch charakterisiren möchte, dass in ihnen zeitweilig die beiden getrennten psychischen Gruppen zusammenfliessen, wie im erweiterten somnambulen Bewusstsein. Der erste dieser Momente, in denen die Conversion stattfand, war bei Miss Lucy R. die Scene bei Tische, als der Oberbuchhalter die Kinder küssen wollte. Hier spielte die traumatische Erinnerung mit und sie benahm sich so, als hätte sie nicht alles, was sich auf ihre Neigung zu ihrem Herrn bezog, von sich gethan. In anderen Krankengeschichten fallen diese verschiedenen Momente zusammen, die Conversion geschieht unmittelbar unter der Einwirkung des Traumas.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Der zweite auxiliäre Moment wiederholt ziemlich genau den Mechanismus des ersten. Ein starker Eindruck stellt vorübergehend die Einheit des Bewusstseins wieder her, und die Conversion geht den nämlichen Weg, der sich ihr das erste Mal eröffnet hatte. Interessant ist es, dass das zuzweit entstandene Symptom das erste deckt, so dass letzteres nicht eher klar empfunden wird, als bis das erstere weggeschafft ist. Bemerkenswert erscheint mir auch die Umkehrung der Reihenfolge, der sich auch die Analyse fügen muss. In einer ganzen Reihe von Fällen ist es mir ähnlich ergangen; die später entstandenen Symptome deckten die ersten, und erst das letzte, zu dem die Analyse vordrang, enthielt den Schlüssel zum Ganzen.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Therapie bestand hier in dem Zwang, der die Vereinigung der abgespaltenen psychischen Gruppe mit dem Ichbewusstsein durchsetzte. Der Erfolg ging merkwürdigerweise nicht dem Maass der geleisteten Arbeit parallel; erst als das letzte Stück erledigt war, trat plötzlich Heilung ein.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5" style="width:113.4pt;height:1.5pt" o:hrpct="250" o:hralign="center" o:hrstd="t" o:hr="t" fillcolor="#a0a0a0" stroked="f"/>
        </w:pict>
      </w:r>
    </w:p>
    <w:p w:rsidR="005C1841" w:rsidRPr="005C1841" w:rsidRDefault="005C1841" w:rsidP="005C1841">
      <w:pPr>
        <w:pStyle w:val="Sansinterligne"/>
        <w:rPr>
          <w:rFonts w:ascii="Garamond" w:hAnsi="Garamond"/>
          <w:sz w:val="20"/>
          <w:szCs w:val="20"/>
          <w:lang w:val="en-US" w:eastAsia="fr-FR"/>
        </w:rPr>
      </w:pPr>
      <w:hyperlink r:id="rId1847" w:anchor="cite_ref-0"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will als Beispiel für die oben geschilderte Technik des Ausforschens im nicht somnambulen Zustand, also bei nicht erweitertem Bewusstsein, einen Fall erzählen, den ich gerade in den letzten Tagen analysirt habe. Ich behandle eine Frau von 38 Jahren, die an Angstneurose (Agoraphobie, Todesangstanfällen u. dgl.) leidet. Sie hat, wie so viele dieser Kranken, eine Abneigung zuzugestehen, dass sie dieses Leiden in ihrem ehelichen Leben acquirirt hat, und </w:t>
      </w:r>
      <w:r w:rsidRPr="00C820A0">
        <w:rPr>
          <w:rFonts w:ascii="Garamond" w:hAnsi="Garamond"/>
          <w:sz w:val="20"/>
          <w:szCs w:val="20"/>
          <w:lang w:val="en-US" w:eastAsia="fr-FR"/>
        </w:rPr>
        <w:lastRenderedPageBreak/>
        <w:t xml:space="preserve">möchte es gerne in ihre frühe Jugend zurückschieben. So berichtet sie mir, dass sie als 17jähriges Mädchen den ersten Anfall von Schwindel mit Angst und Ohnmachtsgefühl auf der Strasse ihrer kleinen Heimathstadt bekommen hat, und dass diese Anfälle sich zeitweise wiederholt haben, bis sie vor wenigen Jahren dem jetzigen Leiden den Platz räumten. Ich vermuthe, dass diese ersten Schwindelanfälle, bei denen sich die Angst immer mehr verwischte, hysterische waren, und beschliesse, in die Analyse derselben einzugehen. Sie weiss zunächst </w:t>
      </w:r>
      <w:r w:rsidRPr="00C820A0">
        <w:rPr>
          <w:rFonts w:ascii="Garamond" w:hAnsi="Garamond"/>
          <w:i/>
          <w:iCs/>
          <w:sz w:val="20"/>
          <w:szCs w:val="20"/>
          <w:lang w:val="en-US" w:eastAsia="fr-FR"/>
        </w:rPr>
        <w:t>nur</w:t>
      </w:r>
      <w:r w:rsidRPr="00C820A0">
        <w:rPr>
          <w:rFonts w:ascii="Garamond" w:hAnsi="Garamond"/>
          <w:sz w:val="20"/>
          <w:szCs w:val="20"/>
          <w:lang w:val="en-US" w:eastAsia="fr-FR"/>
        </w:rPr>
        <w:t xml:space="preserve">, dass dieser erste Anfall sie überfiel, während sie ausgegangen war, in den Läden der Hauptstrasse Einkäufe zu machen. – Was wollten Sie denn einkaufen? – Verschiedenes, ich glaube, für einen Ball, zu dem ich eingeladen war. – Wann sollte dieser Ball stattfinden? – Es kommt mir vor, zwei Tage später. – Da muss doch einige Tage vorher etwas vorgefallen sein, was Sie aufregte, was Ihnen einen Eindruck machte. – Ich weiss aber nichts, es sind 21 Jahre her. – Das macht nichts, </w:t>
      </w:r>
      <w:r w:rsidRPr="00C820A0">
        <w:rPr>
          <w:rFonts w:ascii="Garamond" w:hAnsi="Garamond"/>
          <w:color w:val="666666"/>
          <w:sz w:val="20"/>
          <w:szCs w:val="20"/>
          <w:lang w:val="en-US" w:eastAsia="fr-FR"/>
        </w:rPr>
        <w:t>[</w:t>
      </w:r>
      <w:hyperlink r:id="rId1848" w:tooltip="Seite:De Studien über Hysterie 096.jpg" w:history="1">
        <w:r w:rsidRPr="00C820A0">
          <w:rPr>
            <w:rFonts w:ascii="Garamond" w:hAnsi="Garamond"/>
            <w:b/>
            <w:bCs/>
            <w:color w:val="0000FF"/>
            <w:sz w:val="20"/>
            <w:szCs w:val="20"/>
            <w:u w:val="single"/>
            <w:lang w:val="en-US" w:eastAsia="fr-FR"/>
          </w:rPr>
          <w:t>96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Sie werden sich doch erinnern. Ich drücke auf Ihren Kopf, und wenn ich mit dem Druck nachlasse, werden Sie an etwas denken oder werden etwas sehen; das sagen Sie dann ........ Ich nehme die Procedur vor; sie schweigt aber – Nun, ist Ihnen nichts eingefallen? – Ich habe an etwas gedacht, aber das kann doch keinen Zusammenhang damit haben. – Sagen Sie’s nur. – Ich habe an eine Freundin gedacht, ein junges Mädchen, die gestorben ist; aber die ist gestorben, wie ich 18 Jahre alt war, also ein Jahr später. – Wir werden sehen, bleiben wir jetzt dabei. Was war mit dieser Freundin? – Ihr Tod hat mich sehr erschüttert, weil ich viel mit ihr verkehrte. Einige Wochen vorher war ein anderes junges Mädchen gestorben, das hat viel Aufsehen in der Stadt gemacht; also dann war es doch, wie ich 17 Jahre alt war. – Sehen Sie, ich habe Ihnen gesagt, man kann sich auf die Dinge verlassen, die einem unter dem Druck der Hand einfallen. Nun aber erinnern Sie sich, was für ein Gedanke war dabei, als Sie den Schwindelanfall auf der Strasse bekamen? – Es war gar kein Gedanke dabei, nur ein Schwindel. – Das ist nicht möglich, solche Zustände gibt es nicht ohne eine begleitende Idee. Ich werde wieder drücken, und der Gedanke von damals wird Ihnen wiederkommen. – Also was ist Ihnen eingefallen? – Mir ist eingefallen: Jetzt bin ich die Dritte. – Was heisst das? – Ich muss bei dem Schwindelanfall gedacht haben: Jetzt sterbe ich auch wie die beiden andern jungen Mädchen. – Das war also die Idee; Sie haben bei dem Anfall an die Freundin gedacht. Da muss Ihnen also ihr Tod einen grossen Eindruck gemacht haben. – Ja gewiss, ich erinnere mich jetzt, wie ich von dem Todesfalle gehört habe, war es mir schrecklich, dass ich auf einen Ball gehen soll, während sie todt ist. Aber ich habe mich so auf den Ball gefreut und war so beschäftigt mit der Einladung; ich habe gar nicht an das traurige Ereigniss denken wollen. (Man bemerke hier die absichtliche Verdrängung aus dem Bewusstsein, welche die Erinnerung an die Freundin pathogen macht.)</w:t>
      </w:r>
      <w:r w:rsidRPr="00C820A0">
        <w:rPr>
          <w:rFonts w:ascii="Garamond" w:hAnsi="Garamond"/>
          <w:sz w:val="20"/>
          <w:szCs w:val="20"/>
          <w:lang w:val="en-US" w:eastAsia="fr-FR"/>
        </w:rPr>
        <w:br/>
        <w:t>Der Anfall ist jetzt einigermaassen aufgeklärt, ich bedarf aber noch eines occasionellen Momentes, welches die Erinnerung gerade damals provocirt, und bilde mir darüber eine zufällig glückliche Vermuthung. – Sie erinnern sich genau, durch welche Strasse Sie damals gegangen sind? – Freilich, die Hauptstrasse mit ihren alten Häusern, ich sehe sie vor mir. – Nun, und wo hatte die Freundin gewohnt? – In derselben Strasse, ich war eben vorbeigegangen, zwei Häuser weiter ist mir der Anfall gekommen. – Dann hat Sie also das Haus, während Sie vorbeigingen, an die todte Freundin erinnert und der Contrast, von dem Sie damals nichts wissen wollten, Sie neuerdings gepackt.</w:t>
      </w:r>
      <w:r w:rsidRPr="00C820A0">
        <w:rPr>
          <w:rFonts w:ascii="Garamond" w:hAnsi="Garamond"/>
          <w:sz w:val="20"/>
          <w:szCs w:val="20"/>
          <w:lang w:val="en-US" w:eastAsia="fr-FR"/>
        </w:rPr>
        <w:br/>
        <w:t xml:space="preserve">Ich gebe mich noch immer nicht zufrieden. Vielleicht war doch noch etwas anderes im Spiel, was bei dem bis dahin normalen Mädchen die hysterische Disposition wachgerufen oder verstärkt hat. Meine Vermuthungen lenken sich auf das periodische Unwohlsein als ein dazu geeignetes Moment, und ich frage: Wissen Sie, wann in dem Monat die Periode kam? – Sie wird unwillig: Das soll ich auch noch wissen? Ich weiss nur, sie war um diese Zeit sehr selten und </w:t>
      </w:r>
      <w:r w:rsidRPr="00C820A0">
        <w:rPr>
          <w:rFonts w:ascii="Garamond" w:hAnsi="Garamond"/>
          <w:color w:val="666666"/>
          <w:sz w:val="20"/>
          <w:szCs w:val="20"/>
          <w:lang w:val="en-US" w:eastAsia="fr-FR"/>
        </w:rPr>
        <w:t>[</w:t>
      </w:r>
      <w:hyperlink r:id="rId1849" w:tooltip="Seite:De Studien über Hysterie 097.jpg" w:history="1">
        <w:r w:rsidRPr="00C820A0">
          <w:rPr>
            <w:rFonts w:ascii="Garamond" w:hAnsi="Garamond"/>
            <w:b/>
            <w:bCs/>
            <w:color w:val="0000FF"/>
            <w:sz w:val="20"/>
            <w:szCs w:val="20"/>
            <w:u w:val="single"/>
            <w:lang w:val="en-US" w:eastAsia="fr-FR"/>
          </w:rPr>
          <w:t>97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sehr unregelmässig. Wie ich 17 Jahre alt war, hatte ich sie nur einmal. – Also, wir werden auszählen, wann dieses eine Mal war. – Sie entscheidet sich beim Auszählen mit Sicherheit für einen Monat und schwankt zwischen zwei Tagen unmittelbar vor einem Datum, das einem fixen Festtag angehört. – Stimmt das irgendwie mit der Zeit des Balles? – Sie antwortet kleinlaut: Der Ball war – an dem Feiertag. Und jetzt erinnere ich mich auch, es hat mir einen Eindruck gemacht, dass die einzige Periode, die ich in diesem Jahr hatte, gerade vor dem Ball kommen musste. Es war der erste, zu dem ich geladen war.</w:t>
      </w:r>
      <w:r w:rsidRPr="00C820A0">
        <w:rPr>
          <w:rFonts w:ascii="Garamond" w:hAnsi="Garamond"/>
          <w:sz w:val="20"/>
          <w:szCs w:val="20"/>
          <w:lang w:val="en-US" w:eastAsia="fr-FR"/>
        </w:rPr>
        <w:br/>
        <w:t xml:space="preserve">Man kann sich jetzt den Zusammenhang der Begebenheiten unschwer reconstruiren und sieht in den Mechanismus dieses hysterischen Anfalles hinein. Dieses Ergebniss war freilich mühselig genug gewonnen und bedurfte des vollen Zutrauens in die Technik von meiner Seite und einzelner leitender Einfalle, um solche Einzelheiten eines vergessenen Erlebnisses nach 21 Jahren bei einer ungläubigen, eigentlich wachen Patientin wiederzuerwecken. </w:t>
      </w:r>
      <w:r w:rsidRPr="005C1841">
        <w:rPr>
          <w:rFonts w:ascii="Garamond" w:hAnsi="Garamond"/>
          <w:sz w:val="20"/>
          <w:szCs w:val="20"/>
          <w:lang w:val="en-US" w:eastAsia="fr-FR"/>
        </w:rPr>
        <w:t>Dann aber stimmte Alles zusammen.</w:t>
      </w:r>
    </w:p>
    <w:p w:rsidR="005C1841" w:rsidRPr="00C820A0" w:rsidRDefault="005C1841" w:rsidP="005C1841">
      <w:pPr>
        <w:pStyle w:val="Sansinterligne"/>
        <w:rPr>
          <w:rFonts w:ascii="Garamond" w:hAnsi="Garamond"/>
          <w:sz w:val="20"/>
          <w:szCs w:val="20"/>
          <w:lang w:val="en-US" w:eastAsia="fr-FR"/>
        </w:rPr>
      </w:pPr>
      <w:hyperlink r:id="rId1850" w:anchor="cite_ref-1"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Eine andere und bessere Schilderung des eigenthümlichen Zustandes, in dem man etwas weiss und gleichzeitig nicht weiss, konnte ich nie erzielen. Man kann das offenbar nur verstehen, wenn man sich selbst in solch einem Zustand befunden hat. Ich verfüge über eine sehr auffällige Erinnerung dieser Art, die mir lebhaft vor Augen steht. Wenn ich mich bemühe, mich zu erinnern, was damals in mir vorging, so ist meine Ausbeute recht armselig. Ich sah damals etwas, was mir gar nicht in die Erwartung passte, und liess mich durch das Gesehene nicht im Mindesten in meiner bestimmten Absicht beirren, während doch diese Wahrnehmung meine Absicht hätte aufheben sollen. Ich wurde mir des Widerspruches nicht bewusst, und ebensowenig merkte ich etwas von dem Affect der Abstossung, der doch unzweifelhaft Schuld daran war, dass jene Wahrnehmung zu gar keiner psychischen Geltung gelangte. Ich war mit jener Blindheit bei sehenden Augen geschlagen, die man an Müttern gegen ihre Töchter, an Männern gegen ihre Ehefrauen, an Herrschern gegen ihre Günstlinge so sehr bewundert.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t>IV. Katharina ....</w:t>
      </w:r>
      <w:r w:rsidRPr="00C820A0">
        <w:rPr>
          <w:rFonts w:ascii="Garamond" w:hAnsi="Garamond"/>
          <w:sz w:val="20"/>
          <w:szCs w:val="20"/>
          <w:lang w:val="en-US" w:eastAsia="fr-FR"/>
        </w:rPr>
        <w:t xml:space="preserve"> (Freud).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den Ferien des Jahres 189* machte ich einen Ausflug in die Hohen Tauern, um für eine Weile die Medicin und besonders die Neurosen zu vergessen. Es war mir fast gelungen, als ich eines Tages </w:t>
      </w:r>
      <w:r w:rsidRPr="00C820A0">
        <w:rPr>
          <w:rFonts w:ascii="Garamond" w:hAnsi="Garamond"/>
          <w:color w:val="666666"/>
          <w:sz w:val="20"/>
          <w:szCs w:val="20"/>
          <w:lang w:val="en-US" w:eastAsia="fr-FR"/>
        </w:rPr>
        <w:t>[</w:t>
      </w:r>
      <w:hyperlink r:id="rId1851" w:tooltip="Seite:De Studien über Hysterie 107.jpg" w:history="1">
        <w:r w:rsidRPr="00C820A0">
          <w:rPr>
            <w:rFonts w:ascii="Garamond" w:hAnsi="Garamond"/>
            <w:b/>
            <w:bCs/>
            <w:color w:val="0000FF"/>
            <w:sz w:val="20"/>
            <w:szCs w:val="20"/>
            <w:u w:val="single"/>
            <w:lang w:val="en-US" w:eastAsia="fr-FR"/>
          </w:rPr>
          <w:t>107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von der Hauptstrasse abwich, um einen abseits gelegenen Berg zu besteigen, der als Aussichtspunkt und wegen seines gut gehaltenen </w:t>
      </w:r>
      <w:r w:rsidRPr="00C820A0">
        <w:rPr>
          <w:rFonts w:ascii="Garamond" w:hAnsi="Garamond"/>
          <w:sz w:val="20"/>
          <w:szCs w:val="20"/>
          <w:lang w:val="en-US" w:eastAsia="fr-FR"/>
        </w:rPr>
        <w:lastRenderedPageBreak/>
        <w:t>Schutzhauses gerühmt wurde. Nach anstrengender Wanderung oben angelangt, gestärkt und ausgeruht sass ich dann, in die Betrachtung einer entzückenden Fernsicht versunken, so selbstvergessen da, dass ich es erst nicht auf mich beziehen wollte, als ich die Frage hörte: „Ist der Herr ein Doctor?“ Die Frage galt aber mir und kam von dem etwa 18jährigen Mädchen, das mich mit ziemlich mürrischer Miene zur Mahlzeit bedient hatte und von der Wirthin „Katharina“ gerufen worden war. Nach ihrer Kleidung und ihrem Betragen konnte sie keine Magd, sondern musste wohl eine Tochter oder Verwandte der Wirthin sein.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antwortete, zur Selbstbesinnung gelangt: „Ja, ich bin ein Doctor. Woher wissen Sie das?“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„Der Herr hat sich in’s Fremdenbuch eingeschrieben, und da hab’ ich mir gedacht, wenn der Herr Doctor jetzt ein bischen Zeit hätte –, ich bin nämlich nervenkrank und war schon einmal bei einem Doctor in L..., der hat mir auch etwas gegeben, aber gut ist mir noch nicht geworden.“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 war ich also wieder in den Neurosen, denn um etwas anderes konnte es sich bei dem grossen und kräftigen Mädchen mit der vergrämten Miene kaum handeln. Es interessirte mich, dass Neurosen in der Höhe von über 2000 Metern so wohl gedeihen sollten, ich fragte also weiter.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Unterredung, die jetzt zwischen uns vorfiel, gebe ich so wieder, wie sie sich meinem Gedächtniss eingeprägt hat, und lasse der Patientin ihren Dialect.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„An was leiden Sie denn?“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hab’ so Athemnoth; nicht immer, aber manchmal packt’s mich so, dass ich glaube, ich erstick’.“</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Das klang nun zunächst nicht nervös, aber es wurde mir gleich wahrscheinlich, dass es nur eine ersetzende Bezeichnung für einen Angstanfall sein sollte. Aus dem Empfindungscomplex der Angst hob sie das eine Moment der Athembeengung ungebührlich hervor.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„Setzen Sie sich her. Beschreiben Sie mir’s, wie ist denn so ein Zustand von „Athemnoth“?“</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kommt plötzlich über mich. Dann legt’s sich zuerst wie ein Druck auf meine Augen, der Kopf wird so schwer und sausen thut’s, nicht auszuhalten, und schwindlich bin ich, dass ich glaub’, ich fall’ um, und dann presst’s mir die Brust zusammen, dass ich keinen Athem krieg’.“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52" w:tooltip="Seite:De Studien über Hysterie 108.jpg" w:history="1">
        <w:r w:rsidRPr="00C820A0">
          <w:rPr>
            <w:rFonts w:ascii="Garamond" w:hAnsi="Garamond"/>
            <w:b/>
            <w:bCs/>
            <w:color w:val="0000FF"/>
            <w:sz w:val="20"/>
            <w:szCs w:val="20"/>
            <w:u w:val="single"/>
            <w:lang w:val="en-US" w:eastAsia="fr-FR"/>
          </w:rPr>
          <w:t>108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„Und im Hals spüren Sie nichts?“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„Den Hals schnürt’s mir zusammen, als ob ich ersticken sollt?“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„Und thut es sonst noch was im Kopf?“</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„Ja, hämmern thut es zum Zerspringen.“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„Ja, und fürchten Sie sich gar nicht dabei?“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glaub’ immer, jetzt muss ich sterben, und ich bin sonst couragirt, ich geh’ überall allein hin, in den Keller und hinunter über den ganzen Berg, aber wenn so ein Tag ist, an dem ich das hab’, dann trau’ ich mich nirgends hin, ich glaub’ immer, es steht jemand hinter mir und packt mich plötzlich an.“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war wirklich ein Angstanfall, und zwar eingeleitet von den Zeichen der hysterischen Aura, oder besser gesagt, ein hysterischer Anfall, dessen Inhalt Angst war. Sollte kein anderer Inhalt dabei sein?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„Denken Sie was, immer dasselbe, oder sehen Sie was vor sich, wenn Sie den Anfall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„Ja, so ein grausliches Gesicht seh ich immer dabei, das mich so schrecklich anschaut, vor dem fürcht’ ich mich dann.“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 bot sich vielleicht ein Weg, rasch zum Kern der Sache vorzudringen.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„Erkennen Sie das Gesicht; ich mein’, ist das ein Gesicht, was Sie einmal wirklich gesehen haben?“ – „Nein.“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„Wissen Sie, woher Sie die Anfälle haben?“ „Nein.“ – „Wann haben Sie die denn zuerst bekommen?“ – „Zuerst vor zwei Jahren, wie ich noch mit der Tant’ auf dem anderen Berg war, sie hat dort früher das Schutzhaus gehabt, jetzt sind wir seit 1½ Jahren hier, aber es kommt immer wieder.“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Sollte ich hier einen Versuch der Analyse machen? Die Hypnose zwar wagte ich nicht in diese Höhen zu verpflanzen, aber vielleicht gelingt es im einfachen Gespräch. Ich musste glücklich rathen. Angst bei jungen Mädchen hatte ich so oft als Folge des Grausens erkannt, das ein virginales Gemüth befällt, wenn sich zuerst die Welt der Sexualität vor ihm aufthut.</w:t>
      </w:r>
      <w:hyperlink r:id="rId1853" w:anchor="cite_note-0" w:history="1">
        <w:r w:rsidRPr="00C820A0">
          <w:rPr>
            <w:rFonts w:ascii="Garamond" w:hAnsi="Garamond"/>
            <w:color w:val="0000FF"/>
            <w:sz w:val="20"/>
            <w:szCs w:val="20"/>
            <w:u w:val="single"/>
            <w:vertAlign w:val="superscript"/>
            <w:lang w:val="en-US" w:eastAsia="fr-FR"/>
          </w:rPr>
          <w:t>[1]</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54" w:tooltip="Seite:De Studien über Hysterie 109.jpg" w:history="1">
        <w:r w:rsidRPr="00C820A0">
          <w:rPr>
            <w:rFonts w:ascii="Garamond" w:hAnsi="Garamond"/>
            <w:b/>
            <w:bCs/>
            <w:color w:val="0000FF"/>
            <w:sz w:val="20"/>
            <w:szCs w:val="20"/>
            <w:u w:val="single"/>
            <w:lang w:val="en-US" w:eastAsia="fr-FR"/>
          </w:rPr>
          <w:t>109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Ich sagte also: „Wenn Sie’s nicht wissen, will ich Ihnen sagen, wovon ich denke, dass Sie Ihre Anfälle bekommen haben. Sie haben einmal, damals vor zwei Jahren, etwas gesehen oder gehört, was Sie sehr genirt hat, was Sie lieber nicht möchten gesehen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Sie darauf: „Jesses ja, ich hab’ ja den Onkel bei dem Mädel erwischt, bei der Francisca, meiner Cousine!“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„Was ist das für eine Geschichte mit dem Mädel? Wollen Sie mir die nicht erzählen?“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„Einem Doctor darf man ja alles sagen. Also wissen Sie, der Onkel, er war der Mann von meiner Tant’, die Sie da gesehen haben, hat damals mit der Tant’ das Wirthshaus auf dem **kogel gehabt; jetzt sind sie geschieden, und ich bin Schuld daran, dass sie geschieden sind, weil’s durch mich aufgekommen ist, dass er’s mit der Francisca hält.“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„Ja, wie sind Sie zu der Entdeckung gekommen?“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 war so. Vor zwei Jahren sind einmal ein paar Herren heraufgekommen und haben zu essen verlangt. Die Tant’ war nicht zu Haus’, und die Francisca war nirgends zu finden, die immer gekocht hat. Der Onkel war auch nicht zu finden. Wir suchen sie überall, da sagt der Bub, der Alois, mein Cousin: ‚Am End’ ist die Francisca beim Vatern‘. Da haben wir beide gelacht, aber gedacht haben wir uns nichts Schlechtes dabei. Wir gehen zum Zimmer, wo der Onkel gewohnt hat, das ist zugesperrt. Das war mir aber auffällig. Sagt der Alois: Am Gang ist ein Fenster, da kann man hineinschauen in’s Zimmer. Wir gehen auf den Gang. Aber der Alois mag nicht zum Fenster, er sagt, er fürcht sich. ‚Da sag’ ich: Du dummer Bub, ich geh hin, ich fürcht’ mich gar nicht‘. Ich habe auch gar nichts Arges im Sinne </w:t>
      </w:r>
      <w:r w:rsidRPr="00C820A0">
        <w:rPr>
          <w:rFonts w:ascii="Garamond" w:hAnsi="Garamond"/>
          <w:sz w:val="20"/>
          <w:szCs w:val="20"/>
          <w:lang w:val="en-US" w:eastAsia="fr-FR"/>
        </w:rPr>
        <w:lastRenderedPageBreak/>
        <w:t>gehabt. Ich schau hinein, das Zimmer war ziemlich dunkel, aber da seh ich den Onkel und die Francisca, und er liegt auf ihr.“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„Nun?“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bin gleich weg vom Fenster, hab’ mich an die Mauer angelehnt, hab’ die Athemnoth bekommen, die ich seitdem hab’, die Sinne sind mir vergangen, die Augen hat es mir zugedrückt und im Kopf hat es gehämmert und gebraust.“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„Haben Sie’s gleich am selben Tag der Tante gesagt?“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„O nein, ich hab nichts gesagt.“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55" w:tooltip="Seite:De Studien über Hysterie 110.jpg" w:history="1">
        <w:r w:rsidRPr="00C820A0">
          <w:rPr>
            <w:rFonts w:ascii="Garamond" w:hAnsi="Garamond"/>
            <w:b/>
            <w:bCs/>
            <w:color w:val="0000FF"/>
            <w:sz w:val="20"/>
            <w:szCs w:val="20"/>
            <w:u w:val="single"/>
            <w:lang w:val="en-US" w:eastAsia="fr-FR"/>
          </w:rPr>
          <w:t>110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„Warum sind Sie denn so erschrocken, wie Sie die Beiden beisammen gefunden haben? Haben Sie denn etwas verstanden? Haben Sie sich etwas gedacht, was da geschieht?“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„O nein, ich hab’ damals gar nichts verstanden, ich war erst 16 Jahre alt. Ich weiss nicht, worüber ich so erschrocken bin.“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„Fräulein Katharin’, wenn Sie sich jetzt erinnern könnten, was damals in Ihnen vorgegangen ist, wie Sie den ersten Anfall bekommen haben, was Sie sich dabei gedacht haben, dann wäre Ihnen geholfen.“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„Ja, wenn ich könnt’, ich bin aber so erschrocken gewesen, dass ich alles vergessen hab’.“</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die Sprache unserer „vorläufigen Mittheilung“ übersetzt, heisst das: Der Affect schafft selbst den hypnoiden Zustand, dessen Producte dann ausser associativem Verkehr mit dem Ichbewusstsein stehen.)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„Sagen Sie, Fräulein, ist der Kopf, den Sie immer bei der Athemnoth sehen, vielleicht der Kopf von der Francisca, wie Sie ihn damals gesehen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„O nein, der war doch nicht so grauslich, und dann ist es ja ein Männerkopf.“</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„Oder vielleicht vom Onkel?“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hab’ sein Gesicht gar nicht so deutlich gesehen, es war zu finster im Zimmer und warum sollt’ er denn damals ein so schreckliches Gesicht gemacht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„Sie haben Recht.“ (Da schien nun plötzlich der Weg verlegt. </w:t>
      </w:r>
      <w:r w:rsidRPr="00C820A0">
        <w:rPr>
          <w:rFonts w:ascii="Garamond" w:hAnsi="Garamond"/>
          <w:sz w:val="20"/>
          <w:szCs w:val="20"/>
          <w:lang w:val="en-US" w:eastAsia="fr-FR"/>
        </w:rPr>
        <w:t>Vielleicht findet sich in der weiteren Erzählung etwas.)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„Und was ist dann weiter geschehen?“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„Nun, die zwei müssen Geräusch gehört haben. Sie sind bald herausgekommen. Mir war die ganze Zeit recht schlecht, ich hab’ immer nachdenken müssen, dann ist zwei Tage später ein Sonntag gewesen, da hat’s viel zu thun gegeben, ich hab’ den ganzen Tag gearbeitet und am Montag früh, da hab’ ich wieder den Schwindel gehabt und hab’ erbrochen und bin zu Bett geblieben und hab’ drei Tage fort und fort gebrochen.“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Wir hatten oft die hysterische Symptomatologie mit einer Bilderschrift verglichen, die wir nach Entdeckung einiger bilinguer Fälle zu, lesen verstünden. In diesem Alphabet bedeutet Erbrechen Ekel. Ich sagte ihr also: „Wenn Sie drei Tage später erbrochen haben, so glaub’ ich, Sie haben sich damals, wie Sie in’s Zimmer hineingeschaut haben, geekelt.“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56" w:tooltip="Seite:De Studien über Hysterie 111.jpg" w:history="1">
        <w:r w:rsidRPr="00C820A0">
          <w:rPr>
            <w:rFonts w:ascii="Garamond" w:hAnsi="Garamond"/>
            <w:b/>
            <w:bCs/>
            <w:color w:val="0000FF"/>
            <w:sz w:val="20"/>
            <w:szCs w:val="20"/>
            <w:u w:val="single"/>
            <w:lang w:val="en-US" w:eastAsia="fr-FR"/>
          </w:rPr>
          <w:t>111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„Ja, geekelt werd’ ich mich schon haben,“ sagt sie nachdenklich. „Aber wovor denn?“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„Sie haben vielleicht etwas Nacktes gesehen? Wie waren denn die beiden Personen im Zimmer?“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war zu finster, um was zu sehen, und die waren ja beide angezogen (in Kleidern). Ja, wenn ich nur wüsst’, wovor ich mich damals geekelt hab’.“</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Das wusste ich nun auch nicht. Aber ich forderte sie auf, weiter zu erzählen, was ihr einfiele, in der sicheren Erwartung, es werde ihr gerade das einfallen, was ich zur Aufklärung des Falles brauchte.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Sie berichtet nun, dass sie endlich der Tante, die sie verändert fand und dahinter ein Geheimniss vermuthete, ihre Entdeckung mittheilte, dass es darauf sehr verdriessliche Scenen zwischen Onkel und Tante gab, die Kinder Dinge zu hören bekamen, die ihnen über manches die Augen öffneten, und die sie besser nicht hätten hören sollen, bis die Tante sich entschloss, mit ihren Kindern und der Nichte die andere Wirthschaft hier zu übernehmen und den Onkel mit der unterdess gravid gewordenen Francisca allein zu lassen. Dann aber lässt sie zu meinem Erstaunen diesen Faden fallen und beginnt zwei Reihen von älteren Geschichten zu erzählen, die um 2–3 Jahre hinter dem traumatischen Moment zurückreichen. Die erste Reihe enthält Anlässe, bei denen derselbe Onkel ihr selbst sexuell nachgestellt, als sie erst 14 Jahre alt war. Wie sie einmal mit ihm im Winter eine Partie in’s Thal gemacht und dort im Wirtshaus übernachtet. Er blieb trinkend und kartenspielend in der Stube sitzen, sie wurde schläfrig und begab sich frühzeitig in das für Beide bestimmte Zimmer im Stock. Sie schlief nicht fest, als er hinaufkam, dann schlief sie wieder ein und plötzlich erwachte sie und „spürte seinen Körper“ im Bett. Sie sprang auf, machte ihm Vorwürfe. „Was treiben’s denn, Onkel? Warum bleiben’s nicht in Ihrem Bett?“ Er versuchte sie zu beschwatzen; „Geh, dumme Gredel, sei still, du weisst ja nicht, wie gut das is.“ – „Ich mag Ihr Gutes nicht, nit einmal schlafen lassen’s einen“. Sie bleibt bei der Thür stehen, bereit, auf den Gang hinaus zu flüchten, bis er ablässt und selbst einschläft. Dann legt sie sich in ihr Bett und schläft bis zum Morgen. Aus der Art der Abwehr, die sie berichtet, scheint sich zu ergeben, dass sie den Angriff nicht klar als einen sexuellen erkannte; darnach gefragt, ob sie denn gewusst, was er mit ihr vorgehabt, antwortete sie: Damals nicht, es sei ihr viel später klar </w:t>
      </w:r>
      <w:r w:rsidRPr="00C820A0">
        <w:rPr>
          <w:rFonts w:ascii="Garamond" w:hAnsi="Garamond"/>
          <w:color w:val="666666"/>
          <w:sz w:val="20"/>
          <w:szCs w:val="20"/>
          <w:lang w:val="en-US" w:eastAsia="fr-FR"/>
        </w:rPr>
        <w:t>[</w:t>
      </w:r>
      <w:hyperlink r:id="rId1857" w:tooltip="Seite:De Studien über Hysterie 112.jpg" w:history="1">
        <w:r w:rsidRPr="00C820A0">
          <w:rPr>
            <w:rFonts w:ascii="Garamond" w:hAnsi="Garamond"/>
            <w:b/>
            <w:bCs/>
            <w:color w:val="0000FF"/>
            <w:sz w:val="20"/>
            <w:szCs w:val="20"/>
            <w:u w:val="single"/>
            <w:lang w:val="en-US" w:eastAsia="fr-FR"/>
          </w:rPr>
          <w:t>112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geworden. Sie hätte sich gesträubt, weil es ihr unangenehm war, im Schlaf gestört zu werden, und „weil sich das nicht gehört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musste diese Begebenheit ausführlich berichten, weil sie für das Verständniss alles Späteren eine grosse Bedeutung besitzt. – Sie erzählt dann noch andere Erlebnisse aus etwas späterer Zeit, wie sie sich seiner abermals in einem Wirthshaus zu erwehren hatte, als er vollbetrunken war, udgl. mehr. Auf meine Frage, ob sie bei diesen Anlässen etwas Aehnliches verspürt wie die spätere Athemnoth, antwortet sie mit Bestimmtheit, dass sie dabei jedesmal den Druck auf die Augen und auf die Brust bekam, aber lange nicht so stark wie bei der Scene der Entdeckung.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Unmittelbar nach Abschluss dieser Reihe von Erinnerungen beginnt sie eine zweite zu erzählen, in welcher es sich um Gelegenheiten handelt, wo sie auf etwas zwischen dem Onkel und der Francisca aufmerksam wurde. Wie sie einmal, die ganze Familie, die Nacht auf einem Heuboden in Kleidern verbracht und sie in Folge eines Geräusches plötzlich aufwachte; sie glaubte zu bemerken, dass der Onkel, der zwischen ihr und der Francisca gelegen war, wegrückte und die Francisca sich gerade legte. Wie sie ein anderes Mal in einem Wirthshaus des Dorfes N . . übernachteten, sie und der Onkel in dem einen Zimmer, die Francisca in einem anderen nebenan. In der Nacht erwachte sie plötzlich und sah eine lange weisse Gestalt bei der Thür, im Begriff, die Klinke niederzudrücken: „Jesses, Onkel, sein Sie’s? Was wollen’s bei der Thür?“ – „Sei still, ich hab’ nur was gesucht.“ – „Da geht man ja bei der anderen Thür heraus.“ – „Ich hab mich halt verirrt u. s. w.</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frage sie, ob sie damals einen Argwohn gehabt. „Nein, gedacht hab’ ich mir gar nichts dabei, es ist mir nur immer aufgefallen, aber ich hab’ nichts weiter daraus gemacht.“ – Ob sie bei diesen Gelegenheiten auch die Angst bekommen? – Sie glaubt, ja, aber diesmal ist sie dessen nicht so sicher.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Nachdem sie diese beiden Reihen von Erzählungen beendigt, hält sie inne. Sie ist wie verwandelt, das mürrische, leidende Gesicht hat sich belebt, die Augen sehen frisch drein, sie ist erleichtert und gehoben. Mir aber ist unterdess das Verständniss ihres Falles aufgegangen; was sie mir zuletzt anscheinend planlos erzählt hat, erklärt vortrefflich ihr Benehmen bei der Scene der Entdeckung. Sie trug damals zwei Reihen von Erlebnissen mit sich, die sie erinnerte aber nicht verstand, zu keinem Schluss verwertete; beim Anblick des </w:t>
      </w:r>
      <w:r w:rsidRPr="00C820A0">
        <w:rPr>
          <w:rFonts w:ascii="Garamond" w:hAnsi="Garamond"/>
          <w:color w:val="666666"/>
          <w:sz w:val="20"/>
          <w:szCs w:val="20"/>
          <w:lang w:val="en-US" w:eastAsia="fr-FR"/>
        </w:rPr>
        <w:t>[</w:t>
      </w:r>
      <w:hyperlink r:id="rId1858" w:tooltip="Seite:De Studien über Hysterie 113.jpg" w:history="1">
        <w:r w:rsidRPr="00C820A0">
          <w:rPr>
            <w:rFonts w:ascii="Garamond" w:hAnsi="Garamond"/>
            <w:b/>
            <w:bCs/>
            <w:color w:val="0000FF"/>
            <w:sz w:val="20"/>
            <w:szCs w:val="20"/>
            <w:u w:val="single"/>
            <w:lang w:val="en-US" w:eastAsia="fr-FR"/>
          </w:rPr>
          <w:t>113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coitirenden Paares stellte sie sofort die Verbindung des neuen Eindrucks mit diesen beiden Reihen von Reminiscenzen her, begann zu verstehen und gleichzeitig abzuwehren. Dann folgte eine kurze Periode der Ausarbeitung, „der Incubation“, und darauf stellten sich die Symptome der Conversion, das Erbrechen, als Ersatz für den moralischen und physischen Ekel ein. Das Räthsel war damit gelöst, sie hatte sich nicht vor dem Anblick der Beiden geekelt, sondern vor einer Erinnerung, die ihr jener Anblick geweckt hatte, und alles erwogen, konnte dies nur die Erinnerung an den nächtlichen Ueberfall sein, als sie „den Körper des Onkels spürte“.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sagte ihr also, nachdem sie ihre Beichte beendigt hatte: „Jetzt weiss ich schon, was Sie sich damals gedacht haben, wie Sie in’s Zimmer hineingeschaut haben. Sie haben sich gedacht: jetzt thut er mit ihr, was er damals bei Nacht und die anderen Male mit mir hat thun wollen. Davor haben Sie sich geekelt, weil Sie sich an die Empfindung erinnert haben, wie Sie in der Nacht aufgewacht sind und seinen Körper gespürt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Sie antwortet: „Das kann schon sein, dass ich mich davor geekelt, und dass ich damals das gedacht hab’.“</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„Sagen Sie mir einmal genau, Sie sind ja jetzt ein erwachsenes Mädchen und wissen allerlei –“</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„Ja jetzt, freilich.“</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„Sagen Sie mir genau, was haben Sie denn in der Nacht eigentlich von seinem Körper verspürt?“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Sie gibt aber keine bestimmtere Antwort, sie lächelt verlegen und wie überführt, wie einer, der zugeben muss, dass man jetzt auf den Grund der Dinge gekommen ist, über den sich nicht mehr viel sagen lässt. Ich kann mir denken, welches die Tastempfindung war, die sie später deuten gelernt hat; ihre Miene scheint mir auch zu sagen, dass sie von mir voraussetzt, ich denke mir das Richtige, aber ich kann nicht weiter in sie dringen; ich bin ihr ohnehin Dank dafür schuldig, dass sie soviel leichter mit sich reden lässt als die prüden Damen in meiner Stadtpraxis, für die alle naturalia turpia sind.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Somit wäre der Fall geklärt; aber halt, die im Anfall wiederkehrende Hallucination des Kopfes, der ihr Schrecken einjagt, woher kommt die? Ich frage sie jetzt darnach. Als hätte auch sie in diesem Gespräch ihr Verständniss erweitert, antwortet sie prompt: „Ja, das weiss ich jetzt schon, der Kopf ist der Kopf vom Onkel, ich erkenn’s jetzt, aber nicht aus der Zeit. Später, wie dann alle die Streitigkeiten </w:t>
      </w:r>
      <w:r w:rsidRPr="00C820A0">
        <w:rPr>
          <w:rFonts w:ascii="Garamond" w:hAnsi="Garamond"/>
          <w:color w:val="666666"/>
          <w:sz w:val="20"/>
          <w:szCs w:val="20"/>
          <w:lang w:val="en-US" w:eastAsia="fr-FR"/>
        </w:rPr>
        <w:t>[</w:t>
      </w:r>
      <w:hyperlink r:id="rId1859" w:tooltip="Seite:De Studien über Hysterie 114.jpg" w:history="1">
        <w:r w:rsidRPr="00C820A0">
          <w:rPr>
            <w:rFonts w:ascii="Garamond" w:hAnsi="Garamond"/>
            <w:b/>
            <w:bCs/>
            <w:color w:val="0000FF"/>
            <w:sz w:val="20"/>
            <w:szCs w:val="20"/>
            <w:u w:val="single"/>
            <w:lang w:val="en-US" w:eastAsia="fr-FR"/>
          </w:rPr>
          <w:t>114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losgegangen sind, da hat der Onkel eine unsinnige Wuth auf mich bekommen; er hat immer gesagt, ich bin Schuld an allem; hätt’ ich nicht geplauscht, so wär’s nie zur Scheidung gekommen; er hat mir immer gedroht, er thut mir was an; wenn er mich von Weitem gesehen hat, hat sich sein Gesicht vor Wuth verzogen, und er ist mit der gehobenen Hand auf mich losgegangen. Ich bin immer vor ihm davongelaufen und hab’ immer die grösste Angst gehabt, er packt mich irgendwo unversehens. Das Gesicht, was ich jetzt immer sehe, ist sein Gesicht, wie er in der Wuth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Diese Auskunft erinnert mich daran, dass ja das erste Symptom der Hysterie, das Erbrechen, vergangen ist; der Angstanfall ist geblieben und hat sich mit neuem Inhalt gefüllt. Demnach handelt es sich um eine zum guten Theile abreagirte Hysterie. Sie hat ja auch wirklich ihre Entdeckung bald hernach der Tante mitgetheilt.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„Haben Sie der Tante auch die anderen Geschichten erzählt, wie er Ihnen nachgestellt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„Ja, nicht gleich, aber später, wie schon von der Scheidung die Rede war. Da hat die Tant’ gesagt: Das heben wir uns auf; wenn er Schwierigkeiten vor Gericht macht, dann sagen wir auch das.“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kann verstehen, dass gerade aus der letzten Zeit, als die aufregenden Scenen im Hause sich häuften, als ihr Zustand aufhörte, das Interesse der Tante zu erwecken, die von dem Zwist vollauf in Anspruch genommen war, dass aus dieser Zeit der Häufung und Retention das Erinnerungssymbol verblieben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hoffe, die Ausprache mit mir hat dem in seinem sexuellen Empfinden so frühzeitig verletzten Mädchen in etwas wohlgethan; ich habe sie nicht wiedergesehen.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Epikrise.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kann nichts dagegen einwenden, wenn jemand in dieser Krankengeschichte weniger einen analysirten als einen durch Errathen aufgelösten Fall von Hysterie erblicken will. Die Kranke gab zwar alles, was ich in ihren Bericht interpolirte, als wahrscheinlich zu; sie war aber doch nicht im Stande es als Erlebtes wiederzuerkennen. Ich meine, dazu hätte es der Hypnose bedurft. Wenn ich annehme, ich hätte richtig gerathen, und nun versuche, diesen Fall auf </w:t>
      </w:r>
      <w:r w:rsidRPr="00C820A0">
        <w:rPr>
          <w:rFonts w:ascii="Garamond" w:hAnsi="Garamond"/>
          <w:sz w:val="20"/>
          <w:szCs w:val="20"/>
          <w:lang w:val="en-US" w:eastAsia="fr-FR"/>
        </w:rPr>
        <w:lastRenderedPageBreak/>
        <w:t xml:space="preserve">das Schema einer acquirirten Hysterie zu reduciren, wie es sich uns aus Fall III ergeben hat, so liegt es nahe, die zwei Reihen von erotischen Erlebnissen mit traumatischen Momenten, die Scene bei der Entdeckung </w:t>
      </w:r>
      <w:r w:rsidRPr="00C820A0">
        <w:rPr>
          <w:rFonts w:ascii="Garamond" w:hAnsi="Garamond"/>
          <w:color w:val="666666"/>
          <w:sz w:val="20"/>
          <w:szCs w:val="20"/>
          <w:lang w:val="en-US" w:eastAsia="fr-FR"/>
        </w:rPr>
        <w:t>[</w:t>
      </w:r>
      <w:hyperlink r:id="rId1860" w:tooltip="Seite:De Studien über Hysterie 115.jpg" w:history="1">
        <w:r w:rsidRPr="00C820A0">
          <w:rPr>
            <w:rFonts w:ascii="Garamond" w:hAnsi="Garamond"/>
            <w:b/>
            <w:bCs/>
            <w:color w:val="0000FF"/>
            <w:sz w:val="20"/>
            <w:szCs w:val="20"/>
            <w:u w:val="single"/>
            <w:lang w:val="en-US" w:eastAsia="fr-FR"/>
          </w:rPr>
          <w:t>115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des Paares mit einem auxiliären Moment zu vergleichen. Die Aehnlichkeit liegt darin, dass in den ersteren ein Bewusstseinsinhalt geschaffen wurde, welcher, von der Denkthätigkeit des Ich ausgeschlossen, aufbewahrt blieb, während in der letzteren Scene ein neuer Eindruck die associative Vereinigung dieser abseits befindlichen Gruppe mit dem Ich erzwang. Andererseits finden sich auch Abweichungen, die nicht vernachlässigt werden können. Die Ursache der Isolirung ist nicht wie bei Fall III der Wille des Ich, sondern die Ignoranz des Ich, das mit sexuellen Erfahrungen noch nichts anzufangen weiss. In dieser Hinsicht ist der Fall Katharina ein typischer; man findet bei der Analyse jeder auf sexuelle Traumen begründeten Hysterie, dass Eindrücke aus der vorsexuellen Zeit, die auf das Kind wirkungslos geblieben sind, später als Erinnerungen traumatische Gewalt erhalten, wenn sich der Jungfrau oder Frau das Verständniss des sexuellen Lebens erschlossen hat. Die Abspaltung psychischer Gruppen ist sozusagen ein normaler Vorgang in der Entwicklung der Adolescenten, und es wird begreiflich, dass deren spätere Aufnahme in das Ich einen häufig genug ausgenützten Anlass zu psychischen Störungen gibt. Ferner möchte ich an dieser Stelle noch dem Zweifel Ausdruck geben, ob die Bewusstseinsspaltung durch Ignoranz wirklich von der durch bewusste Ablehnung verschieden ist, ob nicht auch die Adolescenten viel häufiger sexuelle Kentniss besitzen, als man von ihnen vermeint, und als sie sich selbst zutrauen.</w:t>
      </w:r>
    </w:p>
    <w:p w:rsidR="005C1841" w:rsidRPr="005C1841"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Eine weitere Abweichung im psychischen Mechanismus dieses Falles liegt darin, dass die Scene der Entdeckung, welche wir als „auxiliäre“ bezeichnet haben, gleichzeitig auch den Namen einer „traumatischen“ verdient. Sie wirkt durch ihren eigenen Inhalt, nicht bloss durch die Erweckung der vorhergehenden traumatischen Erlebnisse, sie vereinigt die Charaktere eines „auxiliären“ und eines traumatischen Momentes. Ich sehe in diesem Zusammenfallen aber keinen Grund eine begriffliche Scheidung aufzugeben, welcher bei anderen Fällen auch eine zeitliche Scheidung entspricht. Eine andere Eigentümlichkeit des Falles Katharina, die übrigens seit Langem bekannt ist, zeigt sich darin, dass die Conversion, die Erzeugung der hysterischen Phänomene nicht unmittelbar nach dem Trauma, sondern nach einem Intervall von Incubation vor sich geht. </w:t>
      </w:r>
      <w:r w:rsidRPr="005C1841">
        <w:rPr>
          <w:rFonts w:ascii="Garamond" w:hAnsi="Garamond"/>
          <w:i/>
          <w:iCs/>
          <w:sz w:val="20"/>
          <w:szCs w:val="20"/>
          <w:lang w:val="en-US" w:eastAsia="fr-FR"/>
        </w:rPr>
        <w:t>Charcot</w:t>
      </w:r>
      <w:r w:rsidRPr="005C1841">
        <w:rPr>
          <w:rFonts w:ascii="Garamond" w:hAnsi="Garamond"/>
          <w:sz w:val="20"/>
          <w:szCs w:val="20"/>
          <w:lang w:val="en-US" w:eastAsia="fr-FR"/>
        </w:rPr>
        <w:t xml:space="preserve"> nannte dieses Intervall mit Vorliebe die „Zeit der psychischen Ausarbeitung.“</w:t>
      </w:r>
    </w:p>
    <w:p w:rsidR="005C1841" w:rsidRPr="005C1841" w:rsidRDefault="005C1841" w:rsidP="005C1841">
      <w:pPr>
        <w:pStyle w:val="Sansinterligne"/>
        <w:rPr>
          <w:rFonts w:ascii="Garamond" w:hAnsi="Garamond"/>
          <w:sz w:val="20"/>
          <w:szCs w:val="20"/>
          <w:lang w:val="en-US" w:eastAsia="fr-FR"/>
        </w:rPr>
      </w:pPr>
      <w:r w:rsidRPr="005C1841">
        <w:rPr>
          <w:rFonts w:ascii="Garamond" w:hAnsi="Garamond"/>
          <w:sz w:val="20"/>
          <w:szCs w:val="20"/>
          <w:lang w:val="en-US" w:eastAsia="fr-FR"/>
        </w:rPr>
        <w:t xml:space="preserve">Die Angst, an der Katharina in ihrer Anfällen leidet, ist eine hysterische, d. h. eine Reproduction jener Angst, die bei jedem der </w:t>
      </w:r>
      <w:r w:rsidRPr="005C1841">
        <w:rPr>
          <w:rFonts w:ascii="Garamond" w:hAnsi="Garamond"/>
          <w:color w:val="666666"/>
          <w:sz w:val="20"/>
          <w:szCs w:val="20"/>
          <w:lang w:val="en-US" w:eastAsia="fr-FR"/>
        </w:rPr>
        <w:t>[</w:t>
      </w:r>
      <w:hyperlink r:id="rId1861" w:tooltip="Seite:De Studien über Hysterie 116.jpg" w:history="1">
        <w:r w:rsidRPr="005C1841">
          <w:rPr>
            <w:rFonts w:ascii="Garamond" w:hAnsi="Garamond"/>
            <w:b/>
            <w:bCs/>
            <w:color w:val="0000FF"/>
            <w:sz w:val="20"/>
            <w:szCs w:val="20"/>
            <w:u w:val="single"/>
            <w:lang w:val="en-US" w:eastAsia="fr-FR"/>
          </w:rPr>
          <w:t>116</w:t>
        </w:r>
      </w:hyperlink>
      <w:r w:rsidRPr="005C1841">
        <w:rPr>
          <w:rFonts w:ascii="Garamond" w:hAnsi="Garamond"/>
          <w:color w:val="666666"/>
          <w:sz w:val="20"/>
          <w:szCs w:val="20"/>
          <w:lang w:val="en-US" w:eastAsia="fr-FR"/>
        </w:rPr>
        <w:t>]</w:t>
      </w:r>
      <w:r w:rsidRPr="005C1841">
        <w:rPr>
          <w:rFonts w:ascii="Garamond" w:hAnsi="Garamond"/>
          <w:sz w:val="20"/>
          <w:szCs w:val="20"/>
          <w:lang w:val="en-US" w:eastAsia="fr-FR"/>
        </w:rPr>
        <w:t xml:space="preserve"> sexuellen Traumen auftrat. Ich unterlasse es hier den Vorgang auch zu erläutern, den ich in einer ungemein grossen Anzahl von Fällen als regelmässig zutreffend erkannt habe, dass die Ahnung sexueller Beziehungen bei virginalen Personen einen Angstaffekt hervorruft.</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6" style="width:113.4pt;height:1.5pt" o:hrpct="250" o:hralign="center" o:hrstd="t" o:hr="t" fillcolor="#a0a0a0" stroked="f"/>
        </w:pict>
      </w:r>
    </w:p>
    <w:p w:rsidR="005C1841" w:rsidRPr="005C1841" w:rsidRDefault="005C1841" w:rsidP="005C1841">
      <w:pPr>
        <w:pStyle w:val="Sansinterligne"/>
        <w:rPr>
          <w:rFonts w:ascii="Garamond" w:hAnsi="Garamond"/>
          <w:sz w:val="20"/>
          <w:szCs w:val="20"/>
          <w:lang w:val="en-US" w:eastAsia="fr-FR"/>
        </w:rPr>
      </w:pPr>
      <w:hyperlink r:id="rId1862" w:anchor="cite_ref-0"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will den Fall hier anführen, in welchem ich dies causale Verhältniss zuerst erkannte. Ich behandelte eine junge Frau an einer complicirten Neurose, die wieder einmal nicht zugeben wollte, dass sie sich ihr Leiden in ihrem ehelichen Leben geholt hatte. Sie wandte ein, dass sie schon als Mädchen an Anfällen von Angst gelitten habe, die in Ohnmacht ausgingen. Ich blieb standhaft. Als wir besser bekannt geworden waren, sagte sie mir plötzlich eines Tages: „Jetzt will ich Ihnen auch berichten, woher meine Angstzustände als junges Mädchen gekommen [109] sind. Ich habe damals in einem Zimmer neben dem meiner Eltern geschlafen, die Thür war offen und ein Nachtlicht brannte auf dem Tisch. Da habe ich denn einigemale gesehen, wie der Vater zur Mutter in’s Bett gegangen ist und habe etwas gehört, was mich sehr aufgeregt hat. </w:t>
      </w:r>
      <w:r w:rsidRPr="005C1841">
        <w:rPr>
          <w:rFonts w:ascii="Garamond" w:hAnsi="Garamond"/>
          <w:sz w:val="20"/>
          <w:szCs w:val="20"/>
          <w:lang w:val="en-US" w:eastAsia="fr-FR"/>
        </w:rPr>
        <w:t>Darauf bekam ich dann meine Anfälle.“</w:t>
      </w:r>
    </w:p>
    <w:p w:rsidR="005C1841" w:rsidRPr="00C820A0" w:rsidRDefault="005C1841" w:rsidP="005C1841">
      <w:pPr>
        <w:pStyle w:val="Sansinterligne"/>
        <w:rPr>
          <w:rFonts w:ascii="Garamond" w:hAnsi="Garamond"/>
          <w:sz w:val="20"/>
          <w:szCs w:val="20"/>
          <w:lang w:val="en-US" w:eastAsia="fr-FR"/>
        </w:rPr>
      </w:pPr>
      <w:r w:rsidRPr="005C1841">
        <w:rPr>
          <w:rFonts w:ascii="Garamond" w:hAnsi="Garamond"/>
          <w:b/>
          <w:bCs/>
          <w:sz w:val="20"/>
          <w:szCs w:val="20"/>
          <w:lang w:val="en-US" w:eastAsia="fr-FR"/>
        </w:rPr>
        <w:t>V. Fräulein Elisabeth v. R ...</w:t>
      </w:r>
      <w:r w:rsidRPr="005C1841">
        <w:rPr>
          <w:rFonts w:ascii="Garamond" w:hAnsi="Garamond"/>
          <w:sz w:val="20"/>
          <w:szCs w:val="20"/>
          <w:lang w:val="en-US" w:eastAsia="fr-FR"/>
        </w:rPr>
        <w:t xml:space="preserve"> </w:t>
      </w:r>
      <w:r w:rsidRPr="00C820A0">
        <w:rPr>
          <w:rFonts w:ascii="Garamond" w:hAnsi="Garamond"/>
          <w:sz w:val="20"/>
          <w:szCs w:val="20"/>
          <w:lang w:val="en-US" w:eastAsia="fr-FR"/>
        </w:rPr>
        <w:t>(Freud).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Im Herbste 1892 forderte ein befreundeter College mich auf, eine junge Dame zu untersuchen, die seit länger als zwei Jahren an Schmerzen in den Beinen leide und schlecht gehe. Er fügte der Einladung bei, dass er den Fall für eine Hysterie halte, wenngleich von den gewöhnlichen Zeichen der Neurose nichts zu finden sei. Er kenne die Familie ein wenig und wisse, dass die letzten Jahre derselben viel Unglück und wenig Erfreuliches gebracht hätten. Zuerst sei der Vater der Patientin gestorben, dann habe die Mutter sich einer ernsten Operation an den Augen unterziehen müssen, und bald darauf sei eine verheirathete Schwester der Kranken nach einer Entbindung einem alten Herzleiden erlegen. An allem Kummer und aller Krankenpflege habe unsere Patientin den grössten Antheil gehabt.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gelangte nicht viel weiter im Verständniss des Falles, nachdem ich das 24jährige Fräulein zum ersten Male gesehen hatte. Sie schien intelligent und psychisch normal und trug das Leiden, welches ihr Verkehr und Genuss verkümmerte, mit heiterer Miene, mit der „belle indifference“ der Hysterischen, musste ich denken. Sie gieng mit vorgebeugtem Oberkörper, doch ohne Stütze, ihr Gang entsprach keiner als pathologisch bekannten Gangart, war übrigens keineswegs auffällig schlecht. Es lag eben nur vor, dass sie über grosse Schmerzen beim Gehen, über rasch auftretende Ermüdung dabei und im Stehen klagte und nach kurzer Zeit die Ruhe aufsuchte, in der die Schmerzen geringer waren, aber keineswegs fehlten. Der Schmerz war unbestimmter Natur, man konnte etwa entnehmen: eine schmerzhafte Müdigkeit. Eine ziemlich grosse, schlecht abgegrenzte Stelle an der Vorderfläche des rechten Oberschenkels wurde als der Herd der Schmerzen angegeben, von dem dieselben am häufigsten ausgiengen und wo sie ihre grösste Intensität erreichten. Dort war auch Haut und Muskulatur ganz besonders empfindlich gegen Drücken und Kneipen, Nadelstiche wurden eher etwas gleichgiltig hingenommen. Nicht bloss an dieser Stelle, sondern so ziemlich im ganzen Umfang beider Beine war dieselbe Hyperalgesie der Haut und der Muskeln nachweisbar. Die Muskeln waren vielleicht noch schmerzhafter als die Haut; unverkennbar </w:t>
      </w:r>
      <w:r w:rsidRPr="00C820A0">
        <w:rPr>
          <w:rFonts w:ascii="Garamond" w:hAnsi="Garamond"/>
          <w:color w:val="666666"/>
          <w:sz w:val="20"/>
          <w:szCs w:val="20"/>
          <w:lang w:val="en-US" w:eastAsia="fr-FR"/>
        </w:rPr>
        <w:t>[</w:t>
      </w:r>
      <w:hyperlink r:id="rId1863" w:tooltip="Seite:De Studien über Hysterie 117.jpg" w:history="1">
        <w:r w:rsidRPr="00C820A0">
          <w:rPr>
            <w:rFonts w:ascii="Garamond" w:hAnsi="Garamond"/>
            <w:b/>
            <w:bCs/>
            <w:color w:val="0000FF"/>
            <w:sz w:val="20"/>
            <w:szCs w:val="20"/>
            <w:u w:val="single"/>
            <w:lang w:val="en-US" w:eastAsia="fr-FR"/>
          </w:rPr>
          <w:t>117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waren beide Arten von Schmerzhaftigkeit an den Oberschenkeln am stärksten ausgebildet. Die motorische Kraft der Beine war nicht gering zu nennen, die Reflexe von mittlerer Intensität; alle anderen Symptome fehlten, so dass sich kein </w:t>
      </w:r>
      <w:r w:rsidRPr="00C820A0">
        <w:rPr>
          <w:rFonts w:ascii="Garamond" w:hAnsi="Garamond"/>
          <w:sz w:val="20"/>
          <w:szCs w:val="20"/>
          <w:lang w:val="en-US" w:eastAsia="fr-FR"/>
        </w:rPr>
        <w:lastRenderedPageBreak/>
        <w:t>Anhaltspunkt für die Annahme ernsterer organischer Affection ergab. Das Leiden war seit zwei Jahren allmählich entwickelt, wechselte sehr in seiner Intensität.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hatte es nicht leicht, zu einer Diagnose zu gelangen, entschloss mich aber aus zwei Gründen, der meines Collegen beizupflichten. Für’s erste war es auffällig, wie unbestimmt alle Angaben der doch hochintelligenten Kranken über die Charaktere ihrer Schmerzen lauteten. Ein Kranker, der an organischen Schmerzen leidet, wird, wenn er nicht etwa nebenbei nervös ist, diese bestimmt und ruhig beschreiben, sie seien etwa lancinirend, kämen in gewissen Intervallen, erstreckten sich von dieser bis zu dieser Stelle und würden nach seiner Meinung durch diese und jene Einflüsse hervorgerufen. Der Neurastheniker,</w:t>
      </w:r>
      <w:hyperlink r:id="rId1864" w:anchor="cite_note-0" w:history="1">
        <w:r w:rsidRPr="00C820A0">
          <w:rPr>
            <w:rFonts w:ascii="Garamond" w:hAnsi="Garamond"/>
            <w:color w:val="0000FF"/>
            <w:sz w:val="20"/>
            <w:szCs w:val="20"/>
            <w:u w:val="single"/>
            <w:vertAlign w:val="superscript"/>
            <w:lang w:val="en-US" w:eastAsia="fr-FR"/>
          </w:rPr>
          <w:t>[1]</w:t>
        </w:r>
      </w:hyperlink>
      <w:r w:rsidRPr="00C820A0">
        <w:rPr>
          <w:rFonts w:ascii="Garamond" w:hAnsi="Garamond"/>
          <w:sz w:val="20"/>
          <w:szCs w:val="20"/>
          <w:lang w:val="en-US" w:eastAsia="fr-FR"/>
        </w:rPr>
        <w:t xml:space="preserve"> der seine Schmerzen beschreibt, macht dabei den Eindruck, als sei er mit einer schwierigen geistigen Arbeit beschäftigt, die weit über seine Kräfte geht. Seine Gesichtszüge sind gespannt und wie unter der Herrschaft eines peinlichen Affectes verzerrt, seine Stimme wird schriller, er ringt nach Ausdruck, weist jede Bezeichnung, die ihm der Arzt für seine Schmerzen vorschlägt, zurück, auch wenn sie sich später als unzweifelhaft passend herausstellt; er ist offenbar der Meinung, die Sprache sei zu arm, um seinen Empfindungen Worte zu leihen; diese Empfindungen selbst seien etwas einziges, noch nicht dagewesenes, das man gar nicht erschöpfend beschreiben könne, und darum wird er auch nicht müde, immer neue Details hinzuzufügen, und wenn er abbrechen muss, beherrscht ihn sicherlich der Eindruck, es sei ihm nicht gelungen, sich dem Arzt verständlich zu machen. Das kommt daher, dass seine Schmerzen seine ganze Aufmerksamkeit auf sich gezogen haben. Bei Frl. v. R. war das entgegengesetzte Verhalten, und man musste daraus schliessen, da sie doch den Schmerzen Bedeutung genug beilegte, dass ihre Aufmerksamkeit bei etwas anderem verweilte, wovon die Schmerzen nur ein Begleitphänomen seien, wahrscheinlich also bei Gedanken und Empfindungen, die mit den Schmerzen zusammenhiengen.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Noch mehr bestimmend für die Auffassung der Schmerzen musste aber ein zweites Moment sein. Wenn man eine schmerzhafte Stelle bei einem organisch Kranken oder einem Neurastheniker reizt, so zeigt </w:t>
      </w:r>
      <w:r w:rsidRPr="00C820A0">
        <w:rPr>
          <w:rFonts w:ascii="Garamond" w:hAnsi="Garamond"/>
          <w:color w:val="666666"/>
          <w:sz w:val="20"/>
          <w:szCs w:val="20"/>
          <w:lang w:val="en-US" w:eastAsia="fr-FR"/>
        </w:rPr>
        <w:t>[</w:t>
      </w:r>
      <w:hyperlink r:id="rId1865" w:tooltip="Seite:De Studien über Hysterie 118.jpg" w:history="1">
        <w:r w:rsidRPr="00C820A0">
          <w:rPr>
            <w:rFonts w:ascii="Garamond" w:hAnsi="Garamond"/>
            <w:b/>
            <w:bCs/>
            <w:color w:val="0000FF"/>
            <w:sz w:val="20"/>
            <w:szCs w:val="20"/>
            <w:u w:val="single"/>
            <w:lang w:val="en-US" w:eastAsia="fr-FR"/>
          </w:rPr>
          <w:t>118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dessen Physiognomie den unvermischten Ausdruck des Unbehagens oder des physischen Schmerzes, der Kranke zuckt ferner zusammen, entzieht sich der Untersuchung, wehrt ab. Wenn man aber bei Frl. v. R. die hyperalgische Haut und Muskulatur der Beine kneipte oder drückte, so nahm ihr Gesicht einen eigenthümlichen Ausdruck an, eher den der Lust als des Schmerzes, sie schrie auf, – ich musste denken, etwa wie bei einem wollüstigen Kitzel, – ihr Gesicht röthete sich, sie warf den Kopf zurück, schloss die Augen, der Rumpf bog sich nach rückwärts; das alles war nicht sehr grob, aber doch deutlich ausgeprägt und liess sich nur mit der Auffassung vereinigen, das Leiden sei eine Hysterie, und die Reizung habe eine hysterogene Zone betroffen.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Miene passte nicht zum Schmerz, den das Kneipen der Muskeln und Haut angeblich erregte, wahrscheinlich stimmte sie besser zum Inhalte der Gedanken, die hinter diesem Schmerz steckten, und die man in der Kranken durch Reizung der ihnen associirten Körperstellen weckte. Ich hatte ähnlich bedeutungsvolle Mienen bei Reizung hyperalgischer Zonen wiederholt in sicheren Fällen von Hysterie beobachtet; die anderen Gebärden entsprachen offenbar der leichtesten Andeutung eines hysterischen Anfalles.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Für die ungewöhnliche Localisation der hysterogenen Zone ergab sich zunächst keine Aufklärung. Dass die Hyperalgesie hauptsächlich die Muskulatur betraf, gab auch zu denken. Das häufigste Leiden, welches die diffuse und locale Druckempfindlichkeit der Muskeln verschuldet, ist die rheumatische Infiltration derselben, der gemeine chronische Muskelrheumatismus, von dessen Eignung, nervöse Affectionen vorzutäuschen, ich bereits gesprochen habe. Die Consistenz der schmerzhaften Muskeln bei Frl. v. R. widersprach dieser Annahme nicht, es fanden sich vielfältig harte Stränge in den Muskelmassen, die auch besonders empfindlich schienen. Wahrscheinlich lag also eine im angegebenen Sinn organische Veränderung der Muskeln vor, an welche sich die Neurose anlehnte, und deren Bedeutung die Neurose übertrieben gross erscheinen liess.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Die Therapie gieng auch von einer derartigen Voraussetzung eines gemischten Leidens aus. Wir empfahlen Fortsetzung einer systematischen Knetung und Faradisirung der empfindlichen Muskeln ohne Rücksicht auf den dadurch entstehenden Schmerz, und ich behielt mir die Behandlung der Beine mit starken Franklin’schen Funkenentladungen vor, um mit der Kranken in Verkehr bleiben zu können. </w:t>
      </w:r>
      <w:r w:rsidRPr="00C820A0">
        <w:rPr>
          <w:rFonts w:ascii="Garamond" w:hAnsi="Garamond"/>
          <w:sz w:val="20"/>
          <w:szCs w:val="20"/>
          <w:lang w:val="en-US" w:eastAsia="fr-FR"/>
        </w:rPr>
        <w:t>Ihre Frage, ob sie sich zum Gehen zwingen solle, beantworteten wir mit entschiedenem Ja.</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66" w:tooltip="Seite:De Studien über Hysterie 119.jpg" w:history="1">
        <w:r w:rsidRPr="00C820A0">
          <w:rPr>
            <w:rFonts w:ascii="Garamond" w:hAnsi="Garamond"/>
            <w:b/>
            <w:bCs/>
            <w:color w:val="0000FF"/>
            <w:sz w:val="20"/>
            <w:szCs w:val="20"/>
            <w:u w:val="single"/>
            <w:lang w:val="en-US" w:eastAsia="fr-FR"/>
          </w:rPr>
          <w:t>119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Wir erzielten so eine leichte Besserung. Ganz besonders schien sie sich für die schmerzhaften Schläge der Influenzmaschine zu erwärmen, und je stärker diese waren, desto mehr schienen sie die eigenen Schmerzen der Kranken zurückzudrängen. Mein College bereitete unterdess den Boden für eine psychische Behandlung vor, und als ich nach vierwöchentlicher Scheinbehandlung eine solche vorschlug und der Kranken einige Aufschlüsse über das Verfahren und seine Wirkungsweise gab, fand ich rasches Verständniss und nur geringen Widerstand.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Arbeit, die ich aber von da an begann, stellte sich als eine der schwersten heraus, die mir je zugefallen waren, und die Schwierigkeit, von dieser Arbeit einen Bericht zu geben, reiht sich den damals überwundenen Schwierigkeiten würdig an. Ich verstand auch lange Zeit nicht, den Zusammenhang zwischen der Leidensgeschichte und dem Leiden zu finden, welches doch durch diese Reihe von Erlebnissen verursacht und determinirt sein sollte.</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Wenn man eine derartige kathartische Behandlung unternimmt, wird man sich zuerst die Frage vorlegen: Ist der Kranken Herkunft und Anlass ihres Leidens bekannt? Dann bedarf es wohl keiner besonderen Technik, sie zur Reproduction ihrer Leidensgeschichte zu vermögen; das Interesse, das man ihr bezeugt, das Verständniss, das man sie ahnen lässt, die Hoffnung auf Genesung, die man ihr macht, werden die Kranke bestimmen, ihr Geheimniss aufzugeben. Bei Fräulein Elisabeth war mir von Anfang an wahrscheinlich, dass sie sich der Gründe ihres Leidens </w:t>
      </w:r>
      <w:r w:rsidRPr="00C820A0">
        <w:rPr>
          <w:rFonts w:ascii="Garamond" w:hAnsi="Garamond"/>
          <w:sz w:val="20"/>
          <w:szCs w:val="20"/>
          <w:lang w:val="en-US" w:eastAsia="fr-FR"/>
        </w:rPr>
        <w:lastRenderedPageBreak/>
        <w:t>bewusst sei, dass sie also nur ein Geheimniss, keinen Fremdkörper im Bewusstsein habe. Man musste, wenn man sie ansah, an die Worte des Dichters denken: „Das Mäskchen da weissagt verborgenen Sinn.“</w:t>
      </w:r>
      <w:hyperlink r:id="rId1867" w:anchor="cite_note-1" w:history="1">
        <w:r w:rsidRPr="00C820A0">
          <w:rPr>
            <w:rFonts w:ascii="Garamond" w:hAnsi="Garamond"/>
            <w:color w:val="0000FF"/>
            <w:sz w:val="20"/>
            <w:szCs w:val="20"/>
            <w:u w:val="single"/>
            <w:vertAlign w:val="superscript"/>
            <w:lang w:eastAsia="fr-FR"/>
          </w:rPr>
          <w:t>[2]</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 xml:space="preserve">Ich konnte also zunächst auf die Hypnose verzichten, mit dem Vorbehalt allerdings, mich später der Hypnose zu bedienen, wenn sich im Verlaufe der Beichte Zusammenhänge ergeben sollten, zu deren Klärung ihre Erinnerung etwa nicht ausreichte. So gelangte ich bei dieser ersten vollständigen Analyse einer Hysterie, die ich unternahm, zu einem Verfahren, das ich später zu einer Methode erhob und zielbewusst einleitete, zu einem Verfahren der schichtweisen Ausräumung des pathogenen psychischen Materials welches wir gerne mit der Technik der Ausgrabung einer verschütteten Stadt zu vergleichen pflegten. Ich liess mir zunächst erzählen, was der Kranken bekannt war, achtete sorgfältig </w:t>
      </w:r>
      <w:r w:rsidRPr="00C820A0">
        <w:rPr>
          <w:rFonts w:ascii="Garamond" w:hAnsi="Garamond"/>
          <w:color w:val="666666"/>
          <w:sz w:val="20"/>
          <w:szCs w:val="20"/>
          <w:lang w:eastAsia="fr-FR"/>
        </w:rPr>
        <w:t>[</w:t>
      </w:r>
      <w:hyperlink r:id="rId1868" w:tooltip="Seite:De Studien über Hysterie 120.jpg" w:history="1">
        <w:r w:rsidRPr="00C820A0">
          <w:rPr>
            <w:rFonts w:ascii="Garamond" w:hAnsi="Garamond"/>
            <w:b/>
            <w:bCs/>
            <w:color w:val="0000FF"/>
            <w:sz w:val="20"/>
            <w:szCs w:val="20"/>
            <w:u w:val="single"/>
            <w:lang w:eastAsia="fr-FR"/>
          </w:rPr>
          <w:t>120</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darauf, wo ein Zusammenhang räthselhaft blieb, wo ein Glied in der Kette der Verursachungen zu fehlen schien, und drang dann später in tiefere Schichten der Erinnerung ein, indem ich an jenen Stellen die hypnotische Erforschung oder eine ihr ähnliche Technik wirken liess. Die Voraussetzung der ganzen Arbeit war natürlich die Erwartung, dass eine vollkommen zureichende Determinirung zu erweisen sei; von den Mitteln zur Tieferforschung wird bald die Rede sein.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Die Leidensgeschichte, welche Fräulein Elisabeth erzählte, war eine langwierige, aus mannigfachen schmerzlichen Erlebnissen gewebte. Sie befand sich während der Erzählung nicht in Hypnose, ich liess sie aber liegen und hielt ihre Augen geschlossen, ohne dass ich mich dagegen gewehrt hätte, wenn sie zeitweilig die Augen öffnete, ihre Lage veränderte, sich aufsetzte udgl. </w:t>
      </w:r>
      <w:r w:rsidRPr="00C820A0">
        <w:rPr>
          <w:rFonts w:ascii="Garamond" w:hAnsi="Garamond"/>
          <w:sz w:val="20"/>
          <w:szCs w:val="20"/>
          <w:lang w:val="en-US" w:eastAsia="fr-FR"/>
        </w:rPr>
        <w:t>Wenn sie ein Stück der Erzählung tiefer ergriff, so schien sie mir dabei spontan in einen der Hypnose ähnlicheren Zustand zu gerathen. Sie blieb dann regungslos liegen und hielt ihre Augen fest geschlossen.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gehe daran wiederzugeben, was sich als oberflächlichste Schicht ihrer Erinnerungen ergab. Als jüngste von drei Töchtern hatte sie, zärtlich an den Eltern hängend, ihre Jugend auf einem Gute in Ungarn verbracht. Die Gesundheit der Mutter war vielfach getrübt durch ein Augenleiden und auch durch nervöse Zustände. So kam es, dass sie sich besonders innig an den heiteren und lebenskundigen Vater anschloss, der zu sagen pflegte, diese Tochter ersetzte ihm einen Sohn und einen Freund, mit dem er seine Gedanken austauschen könne. Soviel das Mädchen an geistiger Anregung bei diesem Verkehr gewann, so entgieng es doch dem Vater nicht, dass sich dabei ihre geistige Constitution von dem Ideal entfernte, welches man gerne in einem Mädchen verwirklicht sieht. Er nannte sie scherzweise „keck und rechthaberisch“, warnte sie vor allzugrosser Bestimmtheit in ihren Urtheilen, vor ihrer Neigung, den Menschen schonungslos die Wahrheit zu sagen, und meinte oft, sie werde es schwer haben, einen Mann zu finden. Thatsächlich war sie mit ihrem Mädchenthum recht unzufrieden, sie war von ehrgeizigen Plänen erfüllt, wollte studieren oder sich in Musik ausbilden, empörte sich bei dem Gedanken, in einer Ehe ihre Neigungen und die Freiheit ihres Urtheiles opfern zu müssen. Unterdess lebte sie im Stolze auf ihren Vater, auf das Ansehen und die sociale Stellung ihrer Familie und hütete eifersüchtig alles, was mit diesen Gütern zusammenhieng. Die Selbstlosigkeit, mit welcher </w:t>
      </w:r>
      <w:r w:rsidRPr="00C820A0">
        <w:rPr>
          <w:rFonts w:ascii="Garamond" w:hAnsi="Garamond"/>
          <w:color w:val="666666"/>
          <w:sz w:val="20"/>
          <w:szCs w:val="20"/>
          <w:lang w:val="en-US" w:eastAsia="fr-FR"/>
        </w:rPr>
        <w:t>[</w:t>
      </w:r>
      <w:hyperlink r:id="rId1869" w:tooltip="Seite:De Studien über Hysterie 121.jpg" w:history="1">
        <w:r w:rsidRPr="00C820A0">
          <w:rPr>
            <w:rFonts w:ascii="Garamond" w:hAnsi="Garamond"/>
            <w:b/>
            <w:bCs/>
            <w:color w:val="0000FF"/>
            <w:sz w:val="20"/>
            <w:szCs w:val="20"/>
            <w:u w:val="single"/>
            <w:lang w:val="en-US" w:eastAsia="fr-FR"/>
          </w:rPr>
          <w:t>121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sie sich vorkommenden Falles gegen ihre Mutter und ihre älteren Schwestern zurücksetzte, söhnte die Eltern aber voll mit den schrofferen Seiten ihres Charakters aus.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Das Alter der Mädchen bewog die Familie zur Uebersiedlung in die Hauptstadt, wo sich Elisabeth eine Weile an dem reicheren und heiteren Leben in der Familie erfreuen durfte. Dann aber kam der Schlag, der das Glück dieses Hauses zerstörte. Der Vater hatte ein chronisches Herzleiden verborgen oder selbst übersehen; eines Tages brachte man ihn bewusstlos nach einem ersten Anfall von Lungenödem nach Hause. Es folgte eine Krankenpflege von 1½ Jahren, in welcher sich Elisabeth den ersten Platz am Bette sicherte. Sie schlief im Zimmer des Vaters, erwachte Nachts auf seinen Ruf, betreute ihn tagsüber und zwang sich, selbst heiter zu scheinen, während er den hoffnungslosen Zustand mit liebenswürdiger Ergebenheit ertrug. Mit dieser Zeit der Krankenpflege musste der Beginn ihres Leidens zusammenhängen, denn sie konnte sich erinnern, dass sie im letzten Halbjahr der Pflege ein und einhalb Tage wegen solcher Schmerzen im rechten Bein zu Bett geblieben sei. Sie behauptete aber, diese Schmerzen seien bald vorübergegangen und hätten weder ihre Sorge noch ihre Aufmerksamkeit erregt. Thatsächlich war es erst zwei Jahre nach dem Tode des Vaters, dass sie sich krank fühlte und ihrer Schmerzen wegen nicht gehen konnte.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Lücke, die der Tod des Vaters in dem Leben dieser aus 4 Frauen bestehenden Familie hinterliess, die gesellschaftliche Vereinsamung, das Aufhören so vieler Beziehungen, die Anregung und Genuss versprochen hatten, die jetzt gesteigerte Kränklichkeit der Mutter, diess alles trübte die Stimmung unserer Patientin, machte aber gleichzeitig in ihr den heissen Wunsch rege, dass die Ihrigen bald einen Ersatz für das verlorene Glück finden möchten, und hiess sie ihre ganze Neigung und Sorgfalt auf die überlebende Mutter concentriren.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Nach Ablauf des Trauerjahres heirathete die älteste Schwester einen begabten und strebsamen Mann in ansehnlicher Stellung, der durch sein geistiges Vermögen zu einer grossen Zukunft bestimmt schien, der aber im nächsten Umgang eine krankhafte Empfindlichkeit, ein egoistisches Beharren auf seinen Launen entwickelte, und der zuerst im Kreise dieser Familie die Rücksicht auf die alte Frau zu vernachlässigen wagte. Das war mehr, als Elisabeth vertragen konnte; sie fühlte sich berufen, den Kampf gegen den Schwager aufzunehmen, so oft er Anlass dazu bot, während die anderen Frauen die Ausbrüche </w:t>
      </w:r>
      <w:r w:rsidRPr="00C820A0">
        <w:rPr>
          <w:rFonts w:ascii="Garamond" w:hAnsi="Garamond"/>
          <w:color w:val="666666"/>
          <w:sz w:val="20"/>
          <w:szCs w:val="20"/>
          <w:lang w:val="en-US" w:eastAsia="fr-FR"/>
        </w:rPr>
        <w:t>[</w:t>
      </w:r>
      <w:hyperlink r:id="rId1870" w:tooltip="Seite:De Studien über Hysterie 122.jpg" w:history="1">
        <w:r w:rsidRPr="00C820A0">
          <w:rPr>
            <w:rFonts w:ascii="Garamond" w:hAnsi="Garamond"/>
            <w:b/>
            <w:bCs/>
            <w:color w:val="0000FF"/>
            <w:sz w:val="20"/>
            <w:szCs w:val="20"/>
            <w:u w:val="single"/>
            <w:lang w:val="en-US" w:eastAsia="fr-FR"/>
          </w:rPr>
          <w:t>122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seines erregbaren Temperamentes leicht hinnahmen. Für sie war es eine schmerzliche Enttäuschung, dass der Wiederaufbau des alten Familienglückes diese Störung erfuhr, und sie konnte es ihrer verheiratheten Schwester nicht vergeben, dass diese in frauenhafter Fügsamkeit bestrebt blieb, jede Parteinahme zu vermeiden. Eine ganze Reihe von Scenen war Elisabeth so im Gedächtniss geblieben, an denen zum Theil nicht ausgesprochene Beschwerden gegen ihren ersten Schwager hafteten. Der grösste Vorwurf aber blieb, dass er einem in Aussicht gestellten Avancement zu Liebe mit seiner kleinen Familie in eine entfernte Stadt Oesterreichs übersiedelte und so die Vereinsamung der Mutter vergrössern half. Bei dieser Gelegenheit fühlte </w:t>
      </w:r>
      <w:r w:rsidRPr="00C820A0">
        <w:rPr>
          <w:rFonts w:ascii="Garamond" w:hAnsi="Garamond"/>
          <w:sz w:val="20"/>
          <w:szCs w:val="20"/>
          <w:lang w:val="en-US" w:eastAsia="fr-FR"/>
        </w:rPr>
        <w:lastRenderedPageBreak/>
        <w:t>Elisabeth so deutlich ihre Hilflosigkeit, ihr Unvermögen, der Mutter einen Ersatz für das verlorene Glück zu bieten, die Unmöglichkeit, ihren beim Tod des Vaters gefassten Vorsatz auszuführen.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Heirath der zweiten Schwester schien Erfreulicheres für die Zukunft der Familie zu versprechen, denn dieser zweite Schwager war, obwohl geistig minder hochstehend, ein Mann nach dem Herzen der feinsinnigen, in der Pflege aller Rücksichten erzogenen Frauen, und sein Benehmen söhnte Elisabeth mit der Institution der Ehe und mit dem Gedanken an die mit ihr verknüpften Opfer aus. Auch blieb das zweite junge Paar in der Nähe der Mutter, und das Kind dieses Schwagers und der zweiten Schwester wurde der Liebling Elisabeth’s. Leider war das Jahr, in dem dies Kind geboren wurde, durch ein anderes Ereigniss getrübt. Das Augenleiden der Mutter erforderte eine mehrwöchentliche Dunkelcur, welche Elisabeth mitmachte. Dann wurde eine Operation für nothwendig erklärt; die Aufregung vor derselben fiel mit den Vorbereitungen zur Uebersiedlung des ersten Schwagers zusammen. Endlich war die von Meisterhand ausgeführte Operation überstanden, die drei Familien trafen in einem Sommeraufenthalte zusammen, und die durch die Sorgen der letzten Monate erschöpfte Elisabeth hätte nun in der ersten, von Leiden und Befürchtungen freien Zeit, die dieser Familie seit dem Tode des Vaters gegönnt war, sich voll erholen sollen.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Gerade in die Zeit dieses Sommeraufenthaltes fällt aber der Ausbruch von Elisabeth’s Schmerzen und Gehschwäche. Nachdem sich die Schmerzen eine Weile vorher etwas bemerklich gemacht hatten, traten sie zuerst heftig nach einem warmen Bade auf, das sie im Badhaus des kleinen Curortes nahm. Ein langer Spaziergang, eigentlich ein Marsch von einem halben Tag, einige Tage vorher, </w:t>
      </w:r>
      <w:r w:rsidRPr="00C820A0">
        <w:rPr>
          <w:rFonts w:ascii="Garamond" w:hAnsi="Garamond"/>
          <w:color w:val="666666"/>
          <w:sz w:val="20"/>
          <w:szCs w:val="20"/>
          <w:lang w:val="en-US" w:eastAsia="fr-FR"/>
        </w:rPr>
        <w:t>[</w:t>
      </w:r>
      <w:hyperlink r:id="rId1871" w:tooltip="Seite:De Studien über Hysterie 123.jpg" w:history="1">
        <w:r w:rsidRPr="00C820A0">
          <w:rPr>
            <w:rFonts w:ascii="Garamond" w:hAnsi="Garamond"/>
            <w:b/>
            <w:bCs/>
            <w:color w:val="0000FF"/>
            <w:sz w:val="20"/>
            <w:szCs w:val="20"/>
            <w:u w:val="single"/>
            <w:lang w:val="en-US" w:eastAsia="fr-FR"/>
          </w:rPr>
          <w:t>123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wurde dann in Beziehung zum Auftreten dieser Schmerzen gebracht, so dass sich leicht die Auffassung ergab, Elisabeth habe sich zuerst „übermüdet“ und dann „erkühlt“.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Von jetzt ab war Elisabeth die Kranke der Familie. Aerztlicher Rath veranlasste sie, noch den Rest dieses Sommers zu einer Badecur in Gastein zu verwenden, wohin sie mit ihrer Mutter reiste, aber nicht ohne dass eine neue Sorge aufgetaucht wäre. Die zweite Schwester war neuerdings gravid, und Nachrichten schilderten ihr Befinden recht ungünstig, so dass sich Elisabeth kaum zur Reise nach Gastein entschliessen wollte. Nach kaum zwei Wochen des Gasteiner Aufenthaltes wurden Mutter und Schwester zurückgerufen, es gienge der jetzt bettlägerigen Kranken nicht gut.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Eine qualvolle Reise, auf welcher sich bei Elisabeth Schmerzen und schreckhafte Erwartungen vermengten, dann gewisse Anzeichen auf dem Bahnhofe, welche das Schlimmste ahnen liessen, und dann, als sie in’s Zimmer der Kranken traten, die Gewissheit, dass sie zu spät gekommen waren, um von einer Lebenden Abschied zu nehmen.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Elisabeth litt nicht nur unter dem Verlust dieser Schwester, die sie zärtlich geliebt hatte, sondern fast ebensosehr unter den Gedanken, die dieser Todesfall anregte, und unter den Veränderungen, die er mit sich brachte. Die Schwester war einem Herzleiden erlegen, das durch die Gravidität zur Verschlimmerung gebracht worden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Nun tauchte der Gedanke auf, Herzkrankheit sei das väterliche Erbtheil der Familie. Dann erinnerte man sich, dass die Verstorbene in den ersten Mädchenjahren eine Chorea mit leichter Herzaffection durchgemacht hatte. Man machte sich und den Aerzten den Vorwurf, dass sie die Heirath zugelassen hätten, man konnte dem unglücklichen Witwer den Vorwurf nicht ersparen, die Gesundheit seiner Frau durch zwei auf einander folgende Graviditäten ohne Pause gefährdet zu haben. Der traurige Eindruck, dass, wenn einmal die so seltenen Bedingungen für eine glückliche Ehe sich getroffen hätten, dieses Glück dann solch ein Ende nähme, beschäftigte die Gedanken Elisabeth’s von da an ohne Widerspruch. Ferner aber sah sie wiederum alles in sich zerfallen, was sie für ihre Mutter ersehnt hatte. Der verwitwete Schwager war untröstlich und zog sich von der Familie seiner Frau zurück. Es scheint, dass seine eigene Familie, der er sich während der kurzen und glücklichen Zeit seiner Ehe entfremdet hatte, den Moment günstig fand, um ihn wieder in ihre eigenen Bahnen zu ziehen. Es fand sich kein Weg, die frühere Gemeinschaft aufrecht zu halten; </w:t>
      </w:r>
      <w:r w:rsidRPr="00C820A0">
        <w:rPr>
          <w:rFonts w:ascii="Garamond" w:hAnsi="Garamond"/>
          <w:color w:val="666666"/>
          <w:sz w:val="20"/>
          <w:szCs w:val="20"/>
          <w:lang w:val="en-US" w:eastAsia="fr-FR"/>
        </w:rPr>
        <w:t>[</w:t>
      </w:r>
      <w:hyperlink r:id="rId1872" w:tooltip="Seite:De Studien über Hysterie 124.jpg" w:history="1">
        <w:r w:rsidRPr="00C820A0">
          <w:rPr>
            <w:rFonts w:ascii="Garamond" w:hAnsi="Garamond"/>
            <w:b/>
            <w:bCs/>
            <w:color w:val="0000FF"/>
            <w:sz w:val="20"/>
            <w:szCs w:val="20"/>
            <w:u w:val="single"/>
            <w:lang w:val="en-US" w:eastAsia="fr-FR"/>
          </w:rPr>
          <w:t>124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ein Zusammenwohnen mit der Mutter war aus Rücksicht auf die unverheirathete Schwägerin unthunlich, und indem er sich weigerte, den beiden Frauen das Kind, das einzige Erbtheil der Todten, zu überlassen, gab er ihnen zum ersten Mal Gelegenheit, ihn der Härte zu beschuldigen. Endlich – und diess war nicht das am mindesten Peinliche – hatte Elisabeth dunkle Kunde von einem Zwist bekommen, der zwischen beiden Schwägern ausgebrochen war, und dessen Anlass sie nur ahnen konnte. Es schien aber, als ob der Witwer in Vermögensangelegenheiten Forderungen erhoben hätte, die der andere Schwager für ungerechtfertigt hinstellte, ja die er mit Rücksicht auf den frischen Schmerz der Mutter als eine arge Erpressung bezeichnen konnte. Diess also war die Leidensgeschichte des ehrgeizigen und liebebedürftigen Mädchens. Mit ihrem Schicksal grollend, erbittert über das Fehlschlagen all ihrer kleinen Pläne, den Glanz des Hauses wiederherzustellen; – ihre Lieben theils gestorben, theils entfernt, theils entfremdet; – ohne Neigung, eine Zuflucht in der Liebe eines fremden Mannes zu suchen, lebte sie seit 1½ Jahren, fast von jedem Verkehr abgeschieden, der Pflege ihrer Mutter und ihrer Schmerzen.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Wenn man an grösseres Leid vergessen und sich in das Seelenleben eines Mädchens versetzen wollte, konnte man Fräulein Elisabeth eine herzliche menschliche Theilnahme nicht versagen. Wie stand es aber mit dem ärztlichen Interesse für diese Leidensgeschichte, mit den Beziehungen derselben zu ihrer schmerzhaften Gehschwäche, mit den Aussichten auf Klärung und Heilung dieses Falles, die sich etwa aus der Kenntniss dieser psychischen Traumen ergaben?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Für den Arzt bedeutete die Beichte der Patientin zunächst eine grosse Enttäuschung. Es war ja eine aus banalen seelischen Erschütterungen bestehende Krankengeschichte, aus der sich weder erklärte, warum die Betroffene an Hysterie erkranken musste noch wieso die Hysterie gerade die Form der schmerzhaften Abasie angenommen hatte. Es erhellte weder die Verursachung, noch die Determinirung der hier vorliegenden Hysterie. Man konnte etwa annehmen, dass die Kranke eine Association hergestellt hatte zwischen ihren seelischen schmerzlichen Eindrücken und körperlichen Schmerzen, die sie zufällig zur gleichen Zeit verspürt hatte, und dass sie nun in ihrem </w:t>
      </w:r>
      <w:r w:rsidRPr="00C820A0">
        <w:rPr>
          <w:rFonts w:ascii="Garamond" w:hAnsi="Garamond"/>
          <w:sz w:val="20"/>
          <w:szCs w:val="20"/>
          <w:lang w:val="en-US" w:eastAsia="fr-FR"/>
        </w:rPr>
        <w:lastRenderedPageBreak/>
        <w:t xml:space="preserve">Erinnerungsleben die körperliche Empfindung als Symbol der seelischen verwendete. Welches Motiv sie etwa für diese Substituirung hatte, in welchem Moment diese vollzogen wurde, diess blieb unaufgeklärt. Es waren diess allerdings Fragen, deren Aufstellung bisher </w:t>
      </w:r>
      <w:r w:rsidRPr="00C820A0">
        <w:rPr>
          <w:rFonts w:ascii="Garamond" w:hAnsi="Garamond"/>
          <w:color w:val="666666"/>
          <w:sz w:val="20"/>
          <w:szCs w:val="20"/>
          <w:lang w:val="en-US" w:eastAsia="fr-FR"/>
        </w:rPr>
        <w:t>[</w:t>
      </w:r>
      <w:hyperlink r:id="rId1873" w:tooltip="Seite:De Studien über Hysterie 125.jpg" w:history="1">
        <w:r w:rsidRPr="00C820A0">
          <w:rPr>
            <w:rFonts w:ascii="Garamond" w:hAnsi="Garamond"/>
            <w:b/>
            <w:bCs/>
            <w:color w:val="0000FF"/>
            <w:sz w:val="20"/>
            <w:szCs w:val="20"/>
            <w:u w:val="single"/>
            <w:lang w:val="en-US" w:eastAsia="fr-FR"/>
          </w:rPr>
          <w:t>125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den Aerzten nicht geläufig gewesen war. Man pflegte sich mit der Auskunft zufrieden zu geben, die Kranke sei eben von Constitution eine Hysterica, die unter dem Drucke intensiver, </w:t>
      </w:r>
      <w:r w:rsidRPr="00C820A0">
        <w:rPr>
          <w:rFonts w:ascii="Garamond" w:hAnsi="Garamond"/>
          <w:i/>
          <w:iCs/>
          <w:sz w:val="20"/>
          <w:szCs w:val="20"/>
          <w:lang w:val="en-US" w:eastAsia="fr-FR"/>
        </w:rPr>
        <w:t>ihrer Art nach beliebiger</w:t>
      </w:r>
      <w:r w:rsidRPr="00C820A0">
        <w:rPr>
          <w:rFonts w:ascii="Garamond" w:hAnsi="Garamond"/>
          <w:sz w:val="20"/>
          <w:szCs w:val="20"/>
          <w:lang w:val="en-US" w:eastAsia="fr-FR"/>
        </w:rPr>
        <w:t xml:space="preserve"> Erregungen hysterische Symptome entwickeln könne.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Noch weniger als für die Aufklärung schien durch diese Beichte für die Heilung des Falles geleistet zu sein. Es war nicht einzusehen, welchen wohlthätigen Einfluss es für Fräulein Elisabeth haben könnte, die all ihren Familienmitgliedern wohlbekannte Leidensgeschichte der letzten Jahre auch einmal einem Fremden zu erzählen, der ihr dafür eine mässige Theilnahme bezeugte. Es war auch kein solcher Heilerfolg der Beichte zu bemerken. Die Kranke versäumte während dieser ersten Periode der Behandlung niemals dem Arzte zu wiederholen: Es geht mir aber noch immer schlecht, ich habe dieselben Schmerzen wie früher; und wenn sie mich dabei listig-schadenfroh anblickte, konnte ich etwa des Urtheiles gedenken, das der alte Herr v. R. über seine Lieblingstochter gefällt: Sie sei häufig „keck“ und „schlimm“; ich musste aber doch zugestehen, dass sie im Rechte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Hätte ich in diesem Stadium die psychische Behandlung der Kranken aufgegeben, so wäre der Fall des Frl. Elisabeth v. R. wohl recht belanglos für die Theorie der Hysterie geworden. Ich setzte meine Analyse aber fort, weil ich der sicheren Erwartung war, es werde sich aus tieferen Schichten des Bewusstseins das Verständniss sowohl für die Verursachung als auch für die Determinirung des hysterischen Symptoms gewinnen lassen.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beschloss also an das erweiterte Bewusstsein der Kranken die directe Frage zu richten, an welchen psychischen Eindruck die erste Entstehung der Schmerzen in den Beinen geknüpft sei.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Zu diesem Zweck sollte die Kranke in tiefe Hypnose versetzt werden. Aber leider musste ich wahrnehmen, dass meine dahinzielenden Proceduren die Kranke in keinen anderen Zustand des Bewusstseins brachten, als jener war, in dem sie mir ihre Beichte abgelegt hatte. Ich war noch herzlich froh, dass sie es diesmal unterliess, mir triumphirend vorzuhalten: „Sehen sie, ich schlafe ja nicht, ich bin nicht zu hypnotisiren.“ In solcher Nothlage gerieth ich auf den Einfall, jenen Kunstgriff des Drückens auf den Kopf anzuwenden, über dessen Entstehungsgeschichte ich mich in der vorstehenden Beobachtung der Miss Lucy ausführlich geäussert habe. Ich führte ihn aus, indem ich die Kranke aufforderte, mir unfehlbar mitzutheilen, was in dem Moment des Druckes vor ihrem inneren Auge auftauche oder durch </w:t>
      </w:r>
      <w:r w:rsidRPr="00C820A0">
        <w:rPr>
          <w:rFonts w:ascii="Garamond" w:hAnsi="Garamond"/>
          <w:color w:val="666666"/>
          <w:sz w:val="20"/>
          <w:szCs w:val="20"/>
          <w:lang w:val="en-US" w:eastAsia="fr-FR"/>
        </w:rPr>
        <w:t>[</w:t>
      </w:r>
      <w:hyperlink r:id="rId1874" w:tooltip="Seite:De Studien über Hysterie 126.jpg" w:history="1">
        <w:r w:rsidRPr="00C820A0">
          <w:rPr>
            <w:rFonts w:ascii="Garamond" w:hAnsi="Garamond"/>
            <w:b/>
            <w:bCs/>
            <w:color w:val="0000FF"/>
            <w:sz w:val="20"/>
            <w:szCs w:val="20"/>
            <w:u w:val="single"/>
            <w:lang w:val="en-US" w:eastAsia="fr-FR"/>
          </w:rPr>
          <w:t>126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ihre Erinnerung ziehe. Sie schwieg lange und bekannte dann auf mein Drängen, sie habe an einen Abend gedacht, an dem ein junger Mann sie aus einer Gesellschaft nach Hause begleitet, an die Gespräche, die zwischen ihr und ihm vorgefallen seien, und an die Empfindungen, mit denen sie dann nach Hause zur Pflege des Vaters zurückkehrte.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Mit dieser ersten Erwähnung des jungen Mannes war ein neuer Schacht eröffnet, dessen Inhalt ich nun allmählich herausbeförderte. Hier handelte es sich eher um ein Geheimniss, denn ausser einer gemeinsamen Freundin hatte sie niemanden in ihre Beziehungen und die daran geknüpften Hoffnungen eingeweiht. Es handelte sich um den Sohn einer seit langem befreundeten Familie, deren Wohnsitz ihrem früheren nahe lag. Der junge Mann, selbst verwaist, hatte sich mit grosser Ergebenheit an ihren Vater angeschlossen, liess sich von dessen Rathschlägen in seiner Carrière leiten und hatte seine Verehrung vom Vater auf die Damen der Familie ausgedehnt. Zahlreiche Erinnerungen an gemeinsame Lectüre, Gedankenaustausch, Aeusserungen von seiner Seite, die ihr wiedererzählt worden waren, bezeichneten das allmähliche Anwachsen ihrer Ueberzeugung, dass er sie liebe und verstehe, und dass eine Ehe mit ihm ihr nicht die Opfer auferlegen würde, die sie von der Ehe fürchtete. Er war leider nur wenig älter als sie und von Selbständigkeit damals noch weit entfernt, sie war aber fest entschlossen gewesen, auf ihn zu warten.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Mit der schweren Erkrankung des Vaters und ihrer Inanspruchnahme als Pflegerin wurde dieser Verkehr immer seltener. Der Abend, an den sie sich zuerst erinnert hatte, bezeichnete gerade die Höhe ihrer Empfindung; zu einer Aussprache zwischen ihnen war es aber auch damals nicht gekommen. Sie hatte sich damals durch das Drängen der Ihrigen und des Vaters selbst bewegen lassen, vom Krankenbette weg in eine Gesellschaft zu gehen, in welcher sie ihn zu treffen erwarten durfte. Sie wollte dann früh nach Hause eilen, aber man nöthigte sie zu bleiben, und sie gab nach, als er ihr versprach sie zu begleiten. Sie hatte nie so warm für ihn gefühlt als während dieser Begleitung; aber als sie in solcher Seligkeit spät nach Hause kam, traf sie den Zustand des Vaters verschlimmert und machte sich die bittersten Vorwürfe, dass sie soviel Zeit ihrem eigenen Vergnügen geopfert. Es war das letzte Mal, dass sie den kranken Vater für einen ganzen Abend verliess; ihren Freund sah sie nur selten wieder; nach dem Tode des Vaters schien er aus Achtung vor ihrem Schmerz sich ferne zu halten, dann zog ihn das Leben in andere </w:t>
      </w:r>
      <w:r w:rsidRPr="00C820A0">
        <w:rPr>
          <w:rFonts w:ascii="Garamond" w:hAnsi="Garamond"/>
          <w:color w:val="666666"/>
          <w:sz w:val="20"/>
          <w:szCs w:val="20"/>
          <w:lang w:val="en-US" w:eastAsia="fr-FR"/>
        </w:rPr>
        <w:t>[</w:t>
      </w:r>
      <w:hyperlink r:id="rId1875" w:tooltip="Seite:De Studien über Hysterie 127.jpg" w:history="1">
        <w:r w:rsidRPr="00C820A0">
          <w:rPr>
            <w:rFonts w:ascii="Garamond" w:hAnsi="Garamond"/>
            <w:b/>
            <w:bCs/>
            <w:color w:val="0000FF"/>
            <w:sz w:val="20"/>
            <w:szCs w:val="20"/>
            <w:u w:val="single"/>
            <w:lang w:val="en-US" w:eastAsia="fr-FR"/>
          </w:rPr>
          <w:t>127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Bahnen; sie hatte sich allmählich mit dem Gedanken vertraut machen müssen, dass sein Interesse für sie durch andere Empfindungen verdrängt, und er für sie verloren sei. Dieses Fehlschlagen der ersten Liebe schmerzte sie aber noch jedesmal, so oft sie an ihn dachte.</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In diesem Verhältniss und in der obigen Scene, zu welcher es führte, durfte ich also die Verursachung der ersten hysterischen Schmerzen suchen. Durch den Contrast zwischen der Seligkeit, die sie sich damals gegönnt hatte, und dem Elend des Vaters, das sie zu Hause antraf, war ein Conflict, ein Fall von Unverträglichkeit gegeben. Das Ergebniss des Conflictes war, dass die erotische Vorstellung aus der Association verdrängt wurde, und der dieser anhaftende Affect wurde zur Erhöhung oder Wiederbelebung eines gleichzeitig (oder kurz vorher) vorhandenen körperlichen Schmerzes verwendet. Es war also der Mechanismus einer </w:t>
      </w:r>
      <w:r w:rsidRPr="00C820A0">
        <w:rPr>
          <w:rFonts w:ascii="Garamond" w:hAnsi="Garamond"/>
          <w:i/>
          <w:iCs/>
          <w:sz w:val="20"/>
          <w:szCs w:val="20"/>
          <w:lang w:val="en-US" w:eastAsia="fr-FR"/>
        </w:rPr>
        <w:t>Conversion zum Zwecke der Abwehr</w:t>
      </w:r>
      <w:r w:rsidRPr="00C820A0">
        <w:rPr>
          <w:rFonts w:ascii="Garamond" w:hAnsi="Garamond"/>
          <w:sz w:val="20"/>
          <w:szCs w:val="20"/>
          <w:lang w:val="en-US" w:eastAsia="fr-FR"/>
        </w:rPr>
        <w:t>, wie ich ihn an anderer Stelle eingehend behandelt habe.</w:t>
      </w:r>
      <w:hyperlink r:id="rId1876" w:anchor="cite_note-2" w:history="1">
        <w:r w:rsidRPr="00C820A0">
          <w:rPr>
            <w:rFonts w:ascii="Garamond" w:hAnsi="Garamond"/>
            <w:color w:val="0000FF"/>
            <w:sz w:val="20"/>
            <w:szCs w:val="20"/>
            <w:u w:val="single"/>
            <w:vertAlign w:val="superscript"/>
            <w:lang w:eastAsia="fr-FR"/>
          </w:rPr>
          <w:t>[3]</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 xml:space="preserve">Es bleibt hier freilich Raum für allerlei Bemerkungen. Ich muss hervorheben, dass es mir nicht gelang, aus ihrer Erinnerung nachzuweisen, dass sich in jenem Moment des Nachhausekommens die Conversion vollzogen hatte. Ich </w:t>
      </w:r>
      <w:r w:rsidRPr="00C820A0">
        <w:rPr>
          <w:rFonts w:ascii="Garamond" w:hAnsi="Garamond"/>
          <w:sz w:val="20"/>
          <w:szCs w:val="20"/>
          <w:lang w:eastAsia="fr-FR"/>
        </w:rPr>
        <w:lastRenderedPageBreak/>
        <w:t xml:space="preserve">forschte daher nach ähnlichen Erlebnissen aus der Zeit der Krankenpflege und rief eine Reihe von Scenen hervor, unter denen das Aufspringen aus dem Bette mit nackten Füssen im kalten Zimmer auf einen Ruf des Vaters sich durch seine öftere Wiederholung hervorhob. </w:t>
      </w:r>
      <w:r w:rsidRPr="00C820A0">
        <w:rPr>
          <w:rFonts w:ascii="Garamond" w:hAnsi="Garamond"/>
          <w:sz w:val="20"/>
          <w:szCs w:val="20"/>
          <w:lang w:val="en-US" w:eastAsia="fr-FR"/>
        </w:rPr>
        <w:t xml:space="preserve">Ich war geneigt, diesen Momenten eine gewisse Bedeutung zuzusprechen, weil neben der Klage über den Schmerz in den Beinen die Klage über quälende Kälteempfindung stand. Indess konnte ich auch hier nicht eine Scene erhaschen, die sich mit Sicherheit als die Scene der Conversion hätte bezeichnen lassen. Ich war darum geneigt, hier eine Lücke in der Aufklärung zuzugestehen, bis ich mich der Thatsache besann, dass die hysterischen Beinschmerzen ja überhaupt nicht zur Zeit der Krankenpflege vorhanden waren. Ihre Erinnerung berichtete nur von einem einzigen, über wenig Tage erstreckten Schmerzanfall, der damals keine Aufmerksamkeit auf sich zog. Meine Forschung wandte sich nun diesem ersten Auftreten der Schmerzen zu. Es gelang, die Erinnerung daran sicher zu beleben, es war gerade damals ein Verwandter zu Besuch gekommen, den sie nicht empfangen konnte, </w:t>
      </w:r>
      <w:r w:rsidRPr="00C820A0">
        <w:rPr>
          <w:rFonts w:ascii="Garamond" w:hAnsi="Garamond"/>
          <w:color w:val="666666"/>
          <w:sz w:val="20"/>
          <w:szCs w:val="20"/>
          <w:lang w:val="en-US" w:eastAsia="fr-FR"/>
        </w:rPr>
        <w:t>[</w:t>
      </w:r>
      <w:hyperlink r:id="rId1877" w:tooltip="Seite:De Studien über Hysterie 128.jpg" w:history="1">
        <w:r w:rsidRPr="00C820A0">
          <w:rPr>
            <w:rFonts w:ascii="Garamond" w:hAnsi="Garamond"/>
            <w:b/>
            <w:bCs/>
            <w:color w:val="0000FF"/>
            <w:sz w:val="20"/>
            <w:szCs w:val="20"/>
            <w:u w:val="single"/>
            <w:lang w:val="en-US" w:eastAsia="fr-FR"/>
          </w:rPr>
          <w:t>128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weil sie zu Bette lag, und der auch bei einem späteren Besuch zwei Jahre nachher das Missgeschick hatte, sie im Bette zu treffen. Aber die Suche nach einem psychischen Anlass für diese ersten Schmerzen misslang, so oft sie auch wiederholt wurde. Ich glaubte annehmen zu dürfen, dass jene ersten Schmerzen wirklich </w:t>
      </w:r>
      <w:r w:rsidRPr="00C820A0">
        <w:rPr>
          <w:rFonts w:ascii="Garamond" w:hAnsi="Garamond"/>
          <w:i/>
          <w:iCs/>
          <w:sz w:val="20"/>
          <w:szCs w:val="20"/>
          <w:lang w:val="en-US" w:eastAsia="fr-FR"/>
        </w:rPr>
        <w:t>ohne</w:t>
      </w:r>
      <w:r w:rsidRPr="00C820A0">
        <w:rPr>
          <w:rFonts w:ascii="Garamond" w:hAnsi="Garamond"/>
          <w:sz w:val="20"/>
          <w:szCs w:val="20"/>
          <w:lang w:val="en-US" w:eastAsia="fr-FR"/>
        </w:rPr>
        <w:t xml:space="preserve"> psychischen Anlass als leichte rheumatische Erkrankung gekommen seien, und konnte noch erfahren, dass dies organische Leiden, das Vorbild der späteren hysterischen Nachahmung, jedenfalls in eine Zeit </w:t>
      </w:r>
      <w:r w:rsidRPr="00C820A0">
        <w:rPr>
          <w:rFonts w:ascii="Garamond" w:hAnsi="Garamond"/>
          <w:i/>
          <w:iCs/>
          <w:sz w:val="20"/>
          <w:szCs w:val="20"/>
          <w:lang w:val="en-US" w:eastAsia="fr-FR"/>
        </w:rPr>
        <w:t>vor</w:t>
      </w:r>
      <w:r w:rsidRPr="00C820A0">
        <w:rPr>
          <w:rFonts w:ascii="Garamond" w:hAnsi="Garamond"/>
          <w:sz w:val="20"/>
          <w:szCs w:val="20"/>
          <w:lang w:val="en-US" w:eastAsia="fr-FR"/>
        </w:rPr>
        <w:t xml:space="preserve"> die Scene der Begleitung zu setzen sei. Dass sich diese Schmerzen als organisch begründete in gemildertem Maass und unter geringer Aufmerksamkeit eine Zeit lang fortgesetzt hätten, blieb nach der Natur der Sache immerhin möglich. Die Unklarheit, die sich daraus ergiebt, dass die Analyse auf eine Conversion psychischer Erregung in Körperschmerz zu einer Zeit hinweist, da solcher Schmerz gewiss nicht verspürt und nicht erinnert wurde –, dieses Problem hoffe ich durch spätere Erwägungen und andere Beispiele lösen zu können.</w:t>
      </w:r>
      <w:hyperlink r:id="rId1878" w:anchor="cite_note-3" w:history="1">
        <w:r w:rsidRPr="00C820A0">
          <w:rPr>
            <w:rFonts w:ascii="Garamond" w:hAnsi="Garamond"/>
            <w:color w:val="0000FF"/>
            <w:sz w:val="20"/>
            <w:szCs w:val="20"/>
            <w:u w:val="single"/>
            <w:vertAlign w:val="superscript"/>
            <w:lang w:eastAsia="fr-FR"/>
          </w:rPr>
          <w:t>[4]</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Mit der Aufdeckung des Motivs für die erste Conversion begann eine zweite, fruchtbarere Periode der Behandlung. Zunächst überraschte mich die Kranke bald nachher mit der Mittheilung, sie wisse nun, warum die Schmerzen gerade immer von jener bestimmten Stelle des rechten Oberschenkels ausgiengen und dort am heftigsten seien. </w:t>
      </w:r>
      <w:r w:rsidRPr="00C820A0">
        <w:rPr>
          <w:rFonts w:ascii="Garamond" w:hAnsi="Garamond"/>
          <w:sz w:val="20"/>
          <w:szCs w:val="20"/>
          <w:lang w:val="en-US" w:eastAsia="fr-FR"/>
        </w:rPr>
        <w:t xml:space="preserve">Es sei dies nämlich die Stelle, wo jeden Morgen das Bein des Vaters geruht, während sie die Binden erneuerte, mit denen das arg geschwollene Bein gewickelt wurde. Das sei wohl hundertmal so geschehen, und sie habe merkwürdigerweise an diesen Zusammenhang bis heute nicht gedacht. Sie lieferte mir so die erwünschte Erklärung für die Entstehung einer </w:t>
      </w:r>
      <w:r w:rsidRPr="00C820A0">
        <w:rPr>
          <w:rFonts w:ascii="Garamond" w:hAnsi="Garamond"/>
          <w:i/>
          <w:iCs/>
          <w:sz w:val="20"/>
          <w:szCs w:val="20"/>
          <w:lang w:val="en-US" w:eastAsia="fr-FR"/>
        </w:rPr>
        <w:t>atypischen</w:t>
      </w:r>
      <w:r w:rsidRPr="00C820A0">
        <w:rPr>
          <w:rFonts w:ascii="Garamond" w:hAnsi="Garamond"/>
          <w:sz w:val="20"/>
          <w:szCs w:val="20"/>
          <w:lang w:val="en-US" w:eastAsia="fr-FR"/>
        </w:rPr>
        <w:t xml:space="preserve"> hysterogenen Zone. Ferner fingen die schmerzhaften Beine an, bei unseren Analysen immer „mitzusprechen“. Ich meine folgenden merkwürdigen Sachverhalt: Die Kranke war meist schmerzfrei, wenn wir an unsere Arbeit giengen; rief ich jetzt durch eine Frage oder einen Druck auf den Kopf eine Erinnerung wach, so meldete sich zuerst eine Schmerzempfindung, meist so lebhaft, dass die Kranke zusammenzuckte und mit der Hand nach der schmerzenden Stelle fuhr. Dieser geweckte Schmerz blieb bestehen, so lange die Kranke von der Erinnerung beherrscht war, erreichte seine Höhe, wenn sie im Begriffe stand, das Wesentliche und Entscheidende an </w:t>
      </w:r>
      <w:r w:rsidRPr="00C820A0">
        <w:rPr>
          <w:rFonts w:ascii="Garamond" w:hAnsi="Garamond"/>
          <w:color w:val="666666"/>
          <w:sz w:val="20"/>
          <w:szCs w:val="20"/>
          <w:lang w:val="en-US" w:eastAsia="fr-FR"/>
        </w:rPr>
        <w:t>[</w:t>
      </w:r>
      <w:hyperlink r:id="rId1879" w:tooltip="Seite:De Studien über Hysterie 129.jpg" w:history="1">
        <w:r w:rsidRPr="00C820A0">
          <w:rPr>
            <w:rFonts w:ascii="Garamond" w:hAnsi="Garamond"/>
            <w:b/>
            <w:bCs/>
            <w:color w:val="0000FF"/>
            <w:sz w:val="20"/>
            <w:szCs w:val="20"/>
            <w:u w:val="single"/>
            <w:lang w:val="en-US" w:eastAsia="fr-FR"/>
          </w:rPr>
          <w:t>129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ihrer Mittheilung auszusprechen, und war mit den letzten Worten dieser Mittheilung verschwunden. Allmählich lernte ich diesen geweckten Schmerz als Compass gebrauchen; wenn sie verstummte, aber noch Schmerzen zugab, so wusste ich, dass sie nicht alles gesagt hatte, und drang auf Fortsetzung der Beichte, bis der Schmerz weggesprochen war. Erst dann weckte ich eine neue Erinnerung.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dieser Periode des „Abreagirens“ besserte sich der Zustand der Kranken in somatischer wie in psychischer Hinsicht so auffällig, dass ich nur halb im Scherz zu behaupten pflegte, ich trage jedesmal ein gewisses Quantum von Schmerzmotiven weg, und wenn ich alles abgeräumt haben würde, werde sie gesund sein. Sie gelangte bald dahin, die meiste Zeit keine Schmerzen zu haben, liess sich bewegen, viel zu gehen und ihre bisherige Isolirung aufzugeben. Im Laufe der Analyse folgte ich bald den spontanen Schwankungen ihres Befindens, bald meiner Schätzung, wo ich ein Stück ihrer Leidensgeschichte noch nicht genügend erschöpft meinte. Ich machte bei dieser Arbeit einige interessante Wahrnehmungen, deren Lehren ich später bei anderen Kranken bestätigt fand.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Zunächst, was die spontanen Schwankungen anbelangt, dass eigentlich keine vorfiel, die nicht durch ein Ereigniss des Tages associativ provocirt worden wäre. Das einemal hatte sie von einer Erkrankung im Kreise ihrer Bekannten gehört, die sie an ein Detail in der Krankheit ihres Vaters erinnerte, ein andermal war das Kind der verstorbenen Schwester zum Besuche da gewesen und hatte durch seine Aehnlichkeit den Schmerz um die Verlorene geweckt, ein andermal wieder war es ein Brief der entfernt lebenden Schwester, der deutlich den Einfluss des rücksichtslosen Schwagers bewies und einen Schmerz weckte, welcher die Mittheilung einer noch nicht erzählten Familienscene verlangte.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 sie niemals denselben Schmerzanlass zweimal vorbrachte, schien unsere Erwartung, auf solche Weise den Vorrath zu erschöpfen, nicht ungerechtfertigt, und ich widerstrebte keineswegs, sie in Situationen kommen zu lassen, welche geeignet waren, neue, noch nicht an die Oberfläche gelangte Erinnerungen hervorzurufen, z. B. sie auf das Grab ihrer Schwester zu schicken oder sie in eine Gesellschaft gehen zu lassen, wo sie den jetzt wieder anwesenden Jugendfreund sehen konnte.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Sodann erhielt ich einen Einblick in die Art der Entstehung einer als </w:t>
      </w:r>
      <w:r w:rsidRPr="00C820A0">
        <w:rPr>
          <w:rFonts w:ascii="Garamond" w:hAnsi="Garamond"/>
          <w:i/>
          <w:iCs/>
          <w:sz w:val="20"/>
          <w:szCs w:val="20"/>
          <w:lang w:val="en-US" w:eastAsia="fr-FR"/>
        </w:rPr>
        <w:t>monosymptomatisch</w:t>
      </w:r>
      <w:r w:rsidRPr="00C820A0">
        <w:rPr>
          <w:rFonts w:ascii="Garamond" w:hAnsi="Garamond"/>
          <w:sz w:val="20"/>
          <w:szCs w:val="20"/>
          <w:lang w:val="en-US" w:eastAsia="fr-FR"/>
        </w:rPr>
        <w:t xml:space="preserve"> zu bezeichnenden Hysterie. Ich fand </w:t>
      </w:r>
      <w:r w:rsidRPr="00C820A0">
        <w:rPr>
          <w:rFonts w:ascii="Garamond" w:hAnsi="Garamond"/>
          <w:color w:val="666666"/>
          <w:sz w:val="20"/>
          <w:szCs w:val="20"/>
          <w:lang w:val="en-US" w:eastAsia="fr-FR"/>
        </w:rPr>
        <w:t>[</w:t>
      </w:r>
      <w:hyperlink r:id="rId1880" w:tooltip="Seite:De Studien über Hysterie 130.jpg" w:history="1">
        <w:r w:rsidRPr="00C820A0">
          <w:rPr>
            <w:rFonts w:ascii="Garamond" w:hAnsi="Garamond"/>
            <w:b/>
            <w:bCs/>
            <w:color w:val="0000FF"/>
            <w:sz w:val="20"/>
            <w:szCs w:val="20"/>
            <w:u w:val="single"/>
            <w:lang w:val="en-US" w:eastAsia="fr-FR"/>
          </w:rPr>
          <w:t>130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nämlich, dass das rechte Bein während unserer Hypnosen schmerzhaft wurde, wenn es sich um Erinnerungen aus der Krankenpflege des Vaters, aus dem Verkehr mit dem Jugendgespielen und um anderes handelte, was in die erste Periode der pathogenen Zeit fiel, während der Schmerz sich am andern, linken Bein meldete, sobald ich eine Erinnerung an die verlorene Schwester, an die beiden Schwäger, kurz, einen Eindruck aus der zweiten Hälfte der Leidensgeschichte erweckt hatte. Durch dieses constante Verhalten aufmerksam gemacht, forschte ich weiter nach und gewann den Eindruck, als ob die Detaillirung hier noch weiter gienge und jeder neue </w:t>
      </w:r>
      <w:r w:rsidRPr="00C820A0">
        <w:rPr>
          <w:rFonts w:ascii="Garamond" w:hAnsi="Garamond"/>
          <w:sz w:val="20"/>
          <w:szCs w:val="20"/>
          <w:lang w:val="en-US" w:eastAsia="fr-FR"/>
        </w:rPr>
        <w:lastRenderedPageBreak/>
        <w:t xml:space="preserve">psychische Anlass zu schmerzlichen Empfindungen sich mit einer anderen Stelle der schmerzhaften Area der Beine verknüpft hätte. Die ursprünglich schmerzhafte Stelle am rechten Oberschenkel hatte sich auf die Pflege des Vaters bezogen, von da an war das Schmerzgebiet durch Apposition aus Anlass neuer Traumen gewachsen, so dass hier streng genommen nicht ein </w:t>
      </w:r>
      <w:r w:rsidRPr="00C820A0">
        <w:rPr>
          <w:rFonts w:ascii="Garamond" w:hAnsi="Garamond"/>
          <w:i/>
          <w:iCs/>
          <w:sz w:val="20"/>
          <w:szCs w:val="20"/>
          <w:lang w:val="en-US" w:eastAsia="fr-FR"/>
        </w:rPr>
        <w:t>einziges</w:t>
      </w:r>
      <w:r w:rsidRPr="00C820A0">
        <w:rPr>
          <w:rFonts w:ascii="Garamond" w:hAnsi="Garamond"/>
          <w:sz w:val="20"/>
          <w:szCs w:val="20"/>
          <w:lang w:val="en-US" w:eastAsia="fr-FR"/>
        </w:rPr>
        <w:t xml:space="preserve"> körperliches Symptom vorlag, welches mit vielfachen psychischen Erinnerungscomplexen verknüpft war, sondern eine Mehrheit von ähnlichen Symptomen, die bei oberflächlicher Betrachtung zu einem Symptom verschmolzen schienen. Einer Abgrenzung der den einzelnen psychischen Anlässen entsprechenden Schmerzzonen bin ich allerdings nicht nachgegangen, da ich die Aufmerksamkeit der Kranken von diesen Beziehungen abgewendet erfand.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schenkte aber ein weiteres Interesse der Art, wie der ganze Symptomcomplex der Abasie sich über diesen schmerzhaften Zonen aufgebaut haben mochte, und stellte in solcher Absicht verschiedene Fragen wie: Woher rühren die Schmerzen im Gehen, im Stehen, im Liegen?, die sie theils unbeeinflusst, theils unter dem Drucke meiner Hand beantwortete. Dabei ergab sich zweierlei. Einerseits gruppirte sie mir alle mit schmerzhaften Eindrücken verbundenen Scenen, je nachdem sie während derselben gesessen oder gestanden hatte u. dgl. – So z. B. </w:t>
      </w:r>
      <w:r w:rsidRPr="00C820A0">
        <w:rPr>
          <w:rFonts w:ascii="Garamond" w:hAnsi="Garamond"/>
          <w:i/>
          <w:iCs/>
          <w:sz w:val="20"/>
          <w:szCs w:val="20"/>
          <w:lang w:val="en-US" w:eastAsia="fr-FR"/>
        </w:rPr>
        <w:t>stand</w:t>
      </w:r>
      <w:r w:rsidRPr="00C820A0">
        <w:rPr>
          <w:rFonts w:ascii="Garamond" w:hAnsi="Garamond"/>
          <w:sz w:val="20"/>
          <w:szCs w:val="20"/>
          <w:lang w:val="en-US" w:eastAsia="fr-FR"/>
        </w:rPr>
        <w:t xml:space="preserve"> sie bei einer Thüre, als man den Vater im Herzanfall nach Hause brachte, und blieb im Schreck wie angewurzelt </w:t>
      </w:r>
      <w:r w:rsidRPr="00C820A0">
        <w:rPr>
          <w:rFonts w:ascii="Garamond" w:hAnsi="Garamond"/>
          <w:i/>
          <w:iCs/>
          <w:sz w:val="20"/>
          <w:szCs w:val="20"/>
          <w:lang w:val="en-US" w:eastAsia="fr-FR"/>
        </w:rPr>
        <w:t>stehen</w:t>
      </w:r>
      <w:r w:rsidRPr="00C820A0">
        <w:rPr>
          <w:rFonts w:ascii="Garamond" w:hAnsi="Garamond"/>
          <w:sz w:val="20"/>
          <w:szCs w:val="20"/>
          <w:lang w:val="en-US" w:eastAsia="fr-FR"/>
        </w:rPr>
        <w:t xml:space="preserve">. An diesen ersten „Schreck im </w:t>
      </w:r>
      <w:r w:rsidRPr="00C820A0">
        <w:rPr>
          <w:rFonts w:ascii="Garamond" w:hAnsi="Garamond"/>
          <w:i/>
          <w:iCs/>
          <w:sz w:val="20"/>
          <w:szCs w:val="20"/>
          <w:lang w:val="en-US" w:eastAsia="fr-FR"/>
        </w:rPr>
        <w:t>Stehen</w:t>
      </w:r>
      <w:r w:rsidRPr="00C820A0">
        <w:rPr>
          <w:rFonts w:ascii="Garamond" w:hAnsi="Garamond"/>
          <w:sz w:val="20"/>
          <w:szCs w:val="20"/>
          <w:lang w:val="en-US" w:eastAsia="fr-FR"/>
        </w:rPr>
        <w:t xml:space="preserve">“ schloss sie dann weitere Erinnerungen an bis zur Schreckensscene, da sie wiederum wie gebannt an dem Bett der todten Schwester </w:t>
      </w:r>
      <w:r w:rsidRPr="00C820A0">
        <w:rPr>
          <w:rFonts w:ascii="Garamond" w:hAnsi="Garamond"/>
          <w:i/>
          <w:iCs/>
          <w:sz w:val="20"/>
          <w:szCs w:val="20"/>
          <w:lang w:val="en-US" w:eastAsia="fr-FR"/>
        </w:rPr>
        <w:t>stand</w:t>
      </w:r>
      <w:r w:rsidRPr="00C820A0">
        <w:rPr>
          <w:rFonts w:ascii="Garamond" w:hAnsi="Garamond"/>
          <w:sz w:val="20"/>
          <w:szCs w:val="20"/>
          <w:lang w:val="en-US" w:eastAsia="fr-FR"/>
        </w:rPr>
        <w:t xml:space="preserve">. Die ganze Kette von Reminiscenzen sollte die berechtigte Verknüpfung der Schmerzen mit dem Aufrechtstehen darthun und konnte ja auch als Associationsnachweis gelten; nur musste man der Forderung eingedenk bleiben, dass bei all diesen Gelegenheiten noch ein anderes Moment nachweisbar </w:t>
      </w:r>
      <w:r w:rsidRPr="00C820A0">
        <w:rPr>
          <w:rFonts w:ascii="Garamond" w:hAnsi="Garamond"/>
          <w:color w:val="666666"/>
          <w:sz w:val="20"/>
          <w:szCs w:val="20"/>
          <w:lang w:val="en-US" w:eastAsia="fr-FR"/>
        </w:rPr>
        <w:t>[</w:t>
      </w:r>
      <w:hyperlink r:id="rId1881" w:tooltip="Seite:De Studien über Hysterie 131.jpg" w:history="1">
        <w:r w:rsidRPr="00C820A0">
          <w:rPr>
            <w:rFonts w:ascii="Garamond" w:hAnsi="Garamond"/>
            <w:b/>
            <w:bCs/>
            <w:color w:val="0000FF"/>
            <w:sz w:val="20"/>
            <w:szCs w:val="20"/>
            <w:u w:val="single"/>
            <w:lang w:val="en-US" w:eastAsia="fr-FR"/>
          </w:rPr>
          <w:t>131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sein müsse, welches die Aufmerksamkeit – und in weiterer Folge die Conversion – gerade auf das Stehen, (Gehen, Sitzen u. dgl.) gelenkt hatte. Die Erklärung für diese Richtung der Aufmerksamkeit konnte man kaum in anderen Verhältnissen suchen als darin, dass Gehen, Stehen und Liegen eben an Leistungen und Zustände jener Körpertheile geknüpft sind, welche hier die schmerzhaften Zonen trugen, nämlich der Beine. Es war also der Zusammenhang zwischen der Astasie-Abasie und dem ersten Falle von Conversion in dieser Krankengeschichte leicht zu verstehen.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Unter den Scenen, welche zufolge dieser Revue das </w:t>
      </w:r>
      <w:r w:rsidRPr="00C820A0">
        <w:rPr>
          <w:rFonts w:ascii="Garamond" w:hAnsi="Garamond"/>
          <w:i/>
          <w:iCs/>
          <w:sz w:val="20"/>
          <w:szCs w:val="20"/>
          <w:lang w:val="en-US" w:eastAsia="fr-FR"/>
        </w:rPr>
        <w:t>Gehen</w:t>
      </w:r>
      <w:r w:rsidRPr="00C820A0">
        <w:rPr>
          <w:rFonts w:ascii="Garamond" w:hAnsi="Garamond"/>
          <w:sz w:val="20"/>
          <w:szCs w:val="20"/>
          <w:lang w:val="en-US" w:eastAsia="fr-FR"/>
        </w:rPr>
        <w:t xml:space="preserve"> schmerzhaft gemacht hätten, drängte sich eine hervor, ein Spaziergang, den sie in jenem Curort in grosser Gesellschaft gemacht und angeblich zu lange ausgedehnt hatte. Die näheren Umstände dieser Begebenheit enthüllten sich nur zögernd und liessen manches Räthsel ungelöst. Sie war in besonders weicher Stimmung, schloss sich dem Kreise von befreundeten Personen gerne an; es war ein schöner, nicht zu heisser Tag; ihre Mama blieb zu Hause, ihre ältere Schwester war bereits abgereist, die jüngere fühlte sich leidend, wollte ihr aber das Vergnügen nicht stören, der Mann dieser zweiten Schwester erklärte anfangs, er bleibe bei seiner Frau, und gieng dann ihr (Elisabeth) zu Liebe mit. Diese Scene schien mit dem ersten Hervortreten der Schmerzen viel zu thun zu haben, denn sie erinnerte sich, dass sie sehr müde und mit heftigen Schmerzen von dem Spaziergang zurückgekommen, äusserte sich aber nicht sicher darüber, ob sie schon vorher Schmerzen verspürt habe. Ich machte geltend, dass sie sich mit irgend erheblichen Schmerzen kaum zu diesem weiten Weg entschlossen hätte. Auf die Frage, woher auf diesem Spaziergang die Schmerzen gekommen sein mögen, erhielt ich die nicht ganz durchsichtige Antwort, der Contrast zwischen ihrer Vereinsamung und dem Eheglück der kranken Schwester, welches ihr das Benehmen ihres Schwagers unausgesetzt vor Augen führte, sei ihr schmerzlich gewesen.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Eine andere Scene, der vorigen der Zeit nach sehr benachbart, spielte eine Rolle in der Verknüpfung der Schmerzen mit dem </w:t>
      </w:r>
      <w:r w:rsidRPr="00C820A0">
        <w:rPr>
          <w:rFonts w:ascii="Garamond" w:hAnsi="Garamond"/>
          <w:i/>
          <w:iCs/>
          <w:sz w:val="20"/>
          <w:szCs w:val="20"/>
          <w:lang w:val="en-US" w:eastAsia="fr-FR"/>
        </w:rPr>
        <w:t>Sitzen</w:t>
      </w:r>
      <w:r w:rsidRPr="00C820A0">
        <w:rPr>
          <w:rFonts w:ascii="Garamond" w:hAnsi="Garamond"/>
          <w:sz w:val="20"/>
          <w:szCs w:val="20"/>
          <w:lang w:val="en-US" w:eastAsia="fr-FR"/>
        </w:rPr>
        <w:t xml:space="preserve">. Es war einige Tage nachher; Schwester und Schwager waren bereits abgereist, sie befand sich in erregter, sehnsüchtiger Stimmung, stand des Morgens früh auf, ging einen kleinen Hügel hinauf bis zu einer Stelle, die sie so oft mit einander besucht hatten und die eine herrliche Aussicht bot, und setzte sich dort, ihren Gedanken nachhängend, </w:t>
      </w:r>
      <w:r w:rsidRPr="00C820A0">
        <w:rPr>
          <w:rFonts w:ascii="Garamond" w:hAnsi="Garamond"/>
          <w:color w:val="666666"/>
          <w:sz w:val="20"/>
          <w:szCs w:val="20"/>
          <w:lang w:val="en-US" w:eastAsia="fr-FR"/>
        </w:rPr>
        <w:t>[</w:t>
      </w:r>
      <w:hyperlink r:id="rId1882" w:tooltip="Seite:De Studien über Hysterie 132.jpg" w:history="1">
        <w:r w:rsidRPr="00C820A0">
          <w:rPr>
            <w:rFonts w:ascii="Garamond" w:hAnsi="Garamond"/>
            <w:b/>
            <w:bCs/>
            <w:color w:val="0000FF"/>
            <w:sz w:val="20"/>
            <w:szCs w:val="20"/>
            <w:u w:val="single"/>
            <w:lang w:val="en-US" w:eastAsia="fr-FR"/>
          </w:rPr>
          <w:t>132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 eine steinerne Bank. Ihre Gedanken betrafen wieder ihre Vereinsamung, das Schicksal ihrer Familie, und den heissen Wunsch, ebenso glücklich zu werden, wie ihre Schwester war, gestand sie diesmal unverhüllt ein. Sie kehrte mit heftigen Schmerzen von dieser Morgenmeditation zurück; am Abend desselben Tages nahm sie das Bad, nach welchem die Schmerzen endgiltig und dauernd aufgetreten waren.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Mit aller Bestimmtheit ergab sich ferner, dass die Schmerzen im Gehen und Stehen sich anfänglich im </w:t>
      </w:r>
      <w:r w:rsidRPr="00C820A0">
        <w:rPr>
          <w:rFonts w:ascii="Garamond" w:hAnsi="Garamond"/>
          <w:i/>
          <w:iCs/>
          <w:sz w:val="20"/>
          <w:szCs w:val="20"/>
          <w:lang w:val="en-US" w:eastAsia="fr-FR"/>
        </w:rPr>
        <w:t>Liegen</w:t>
      </w:r>
      <w:r w:rsidRPr="00C820A0">
        <w:rPr>
          <w:rFonts w:ascii="Garamond" w:hAnsi="Garamond"/>
          <w:sz w:val="20"/>
          <w:szCs w:val="20"/>
          <w:lang w:val="en-US" w:eastAsia="fr-FR"/>
        </w:rPr>
        <w:t xml:space="preserve"> zu beruhigen pflegten. Erst als sie auf die Nachricht von der Erkrankung der Schwester Abends von Gastein abreiste und während der Nacht, gleichzeitig von der Sorge um die Schwester und von tobenden Schmerzen gequält, schlaflos im Eisenbahnwagen ausgestreckt lag, stellte sich auch die Verbindung des Liegens mit den Schmerzen her, und eine ganze Zeit hindurch war ihr sogar das Liegen schmerzhafter als das Gehen und Stehen.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solcher Art war erstens das schmerzliche Gebiet durch Apposition gewachsen, indem jedes neue pathogen wirksame Thema eine neue Region der Beine besetzte, zweitens hatte jede der eindruckskräftigen Scenen eine Spur hinterlassen, indem sie eine bleibende, immer sich mehr häufende „Besetzung“ der verschiedenen Functionen der Beine, eine Verknüpfung dieser Functionen mit den Schmerzempfindungen hervorbrachte; es war aber unverkennbar noch ein dritter Mechanismus an der Ausbildung der Astasie-Abasie in Mitwirkung gewesen. Wenn die Kranke die Erzählung einer ganzen Reihe von Begebenheiten mit der Klage schloss, sie habe dabei ihr „</w:t>
      </w:r>
      <w:r w:rsidRPr="00C820A0">
        <w:rPr>
          <w:rFonts w:ascii="Garamond" w:hAnsi="Garamond"/>
          <w:i/>
          <w:iCs/>
          <w:sz w:val="20"/>
          <w:szCs w:val="20"/>
          <w:lang w:val="en-US" w:eastAsia="fr-FR"/>
        </w:rPr>
        <w:t>Alleinstehen</w:t>
      </w:r>
      <w:r w:rsidRPr="00C820A0">
        <w:rPr>
          <w:rFonts w:ascii="Garamond" w:hAnsi="Garamond"/>
          <w:sz w:val="20"/>
          <w:szCs w:val="20"/>
          <w:lang w:val="en-US" w:eastAsia="fr-FR"/>
        </w:rPr>
        <w:t xml:space="preserve">“ schmerzlich empfunden, bei einer anderen Reihe, welche ihre verunglückten Versuche zur Herstellung eines neuen Familienlebens umschloss, nicht müde wurde zu wiederholen, das schmerzliche daran sei das Gefühl ihrer </w:t>
      </w:r>
      <w:r w:rsidRPr="00C820A0">
        <w:rPr>
          <w:rFonts w:ascii="Garamond" w:hAnsi="Garamond"/>
          <w:i/>
          <w:iCs/>
          <w:sz w:val="20"/>
          <w:szCs w:val="20"/>
          <w:lang w:val="en-US" w:eastAsia="fr-FR"/>
        </w:rPr>
        <w:t>Hilflosigkeit</w:t>
      </w:r>
      <w:r w:rsidRPr="00C820A0">
        <w:rPr>
          <w:rFonts w:ascii="Garamond" w:hAnsi="Garamond"/>
          <w:sz w:val="20"/>
          <w:szCs w:val="20"/>
          <w:lang w:val="en-US" w:eastAsia="fr-FR"/>
        </w:rPr>
        <w:t xml:space="preserve"> gewesen, die Empfindung, sie „</w:t>
      </w:r>
      <w:r w:rsidRPr="00C820A0">
        <w:rPr>
          <w:rFonts w:ascii="Garamond" w:hAnsi="Garamond"/>
          <w:i/>
          <w:iCs/>
          <w:sz w:val="20"/>
          <w:szCs w:val="20"/>
          <w:lang w:val="en-US" w:eastAsia="fr-FR"/>
        </w:rPr>
        <w:t>komme nicht von der Stelle</w:t>
      </w:r>
      <w:r w:rsidRPr="00C820A0">
        <w:rPr>
          <w:rFonts w:ascii="Garamond" w:hAnsi="Garamond"/>
          <w:sz w:val="20"/>
          <w:szCs w:val="20"/>
          <w:lang w:val="en-US" w:eastAsia="fr-FR"/>
        </w:rPr>
        <w:t xml:space="preserve">“, so musste ich auch ihren Reflexionen einen Einfluss auf die Ausbildung der Abasie einräumen, musste ich annehmen, dass sie direct einen </w:t>
      </w:r>
      <w:r w:rsidRPr="00C820A0">
        <w:rPr>
          <w:rFonts w:ascii="Garamond" w:hAnsi="Garamond"/>
          <w:i/>
          <w:iCs/>
          <w:sz w:val="20"/>
          <w:szCs w:val="20"/>
          <w:lang w:val="en-US" w:eastAsia="fr-FR"/>
        </w:rPr>
        <w:t>symbolischen</w:t>
      </w:r>
      <w:r w:rsidRPr="00C820A0">
        <w:rPr>
          <w:rFonts w:ascii="Garamond" w:hAnsi="Garamond"/>
          <w:sz w:val="20"/>
          <w:szCs w:val="20"/>
          <w:lang w:val="en-US" w:eastAsia="fr-FR"/>
        </w:rPr>
        <w:t xml:space="preserve"> Ausdruck für ihre schmerzlich betonten Gedanken gesucht und ihn in der Verstärkung ihres Leidens gefunden hatte. Dass durch eine solche Symbolisirung somatische Symptome der Hysterie entstehen können, haben wir bereits in unserer </w:t>
      </w:r>
      <w:r w:rsidRPr="00C820A0">
        <w:rPr>
          <w:rFonts w:ascii="Garamond" w:hAnsi="Garamond"/>
          <w:sz w:val="20"/>
          <w:szCs w:val="20"/>
          <w:lang w:val="en-US" w:eastAsia="fr-FR"/>
        </w:rPr>
        <w:lastRenderedPageBreak/>
        <w:t xml:space="preserve">vorläufigen Mittheilung behauptet; ich werde in der Epikrise zu dieser Krankengeschichte einige zweifellos beweisende Beispiele aufführen. Bei Frl. Elisabeth v. R. . . stand der psychische Mechanismus der Symbolisirung nicht in erster Linie, er hatte die Abasie nicht geschaffen, </w:t>
      </w:r>
      <w:r w:rsidRPr="00C820A0">
        <w:rPr>
          <w:rFonts w:ascii="Garamond" w:hAnsi="Garamond"/>
          <w:color w:val="666666"/>
          <w:sz w:val="20"/>
          <w:szCs w:val="20"/>
          <w:lang w:val="en-US" w:eastAsia="fr-FR"/>
        </w:rPr>
        <w:t>[</w:t>
      </w:r>
      <w:hyperlink r:id="rId1883" w:tooltip="Seite:De Studien über Hysterie 133.jpg" w:history="1">
        <w:r w:rsidRPr="00C820A0">
          <w:rPr>
            <w:rFonts w:ascii="Garamond" w:hAnsi="Garamond"/>
            <w:b/>
            <w:bCs/>
            <w:color w:val="0000FF"/>
            <w:sz w:val="20"/>
            <w:szCs w:val="20"/>
            <w:u w:val="single"/>
            <w:lang w:val="en-US" w:eastAsia="fr-FR"/>
          </w:rPr>
          <w:t>133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wohl aber sprach alles dafür, dass die bereits vorhandene Abasie auf diesem Wege eine wesentliche Verstärkung erfahren hatte. Demnach war diese Abasie in dem Stadium der Entwicklung, in dem ich sie antraf, nicht nur einer psychischen associativen Functionslähmung, sondern auch einer symbolischen Functionslähmung gleichzustellen.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will, ehe ich die Geschichte meiner Kranken fortsetze, noch ein Wort über ihr Benehmen während dieser zweiten Periode der Behandlung anfügen. Ich bediente mich während dieser ganzen Analyse der Methode, durch Drücken auf den Kopf Bilder und Einfalle hervorzurufen, einer Methode also, die ohne volles Mitarbeiten und willige Aufmerksamkeit der Kranken unanwendbar bleibt. Sie verhielt sich auch zeitweilig so, wie ich es nur wünschen konnte, und in solchen Perioden war es wirklich überraschend, wie prompt und wie unfehlbar chronologisch geordnet die einzelnen Scenen, die zu einem Thema gehörten, sich einstellten. Es war, als läse sie in einem langen Bilderbuch, dessen Seiten vor ihren Augen vorübergezogen würden. Andere Male schien es Hemmnisse zu geben, deren Art ich damals noch nicht ahnte. Wenn ich meinen Druck ausübte, behauptete sie, es sei ihr nichts eingefallen; ich wiederholte den Druck, ich hiess sie warten, es wollte noch immer nichts kommen. Die ersten Male, als sich diese Widerspenstigkeit zeigte, liess ich mich bestimmen, die Arbeit abzubrechen; der Tag sei nicht günstig; ein andermal. Zwei Wahrnehmungen bestimmten mich aber, mein Verhalten zu ändern. Erstens, dass sich solches Versagen der Methode nur ereignete, wenn ich Elisabeth heiter und schmerzfrei gefunden hatte, niemals, wenn ich an einem schlechten Tag kam: zweitens, dass sie eine solche Angabe, sie sehe nichts vor sich, häufig machte, nachdem sie eine lange Pause hatte vergehen lassen, während welcher ihre gespannte und beschäftigte Miene mir doch einen seelischen Vorgang in ihr verrieth. Ich entschloss mich also zur Annahme, die Methode versage niemals, Elisabeth habe unter dem Druck meiner Hand jedesmal einen Einfall im Sinne oder ein Bild vor Augen, sei aber nicht jedesmal bereit, mir davon Mittheilung zu machen, sondern versuche das Heraufbeschworene wieder zu unterdrücken. Von den Motiven für solches Verschweigen konnte ich mir zwei vorstellen; entweder Elisabeth übte an ihrem Einfall eine Kritik, zu der sie nicht berechtigt war, sie fand ihn nicht wertvoll genug, nicht passend als Antwort auf die gestellte Frage, oder sie scheute sich ihn anzugeben, weil – ihr solche Mittheilung zu unangenehm war. Ich gieng also </w:t>
      </w:r>
      <w:r w:rsidRPr="00C820A0">
        <w:rPr>
          <w:rFonts w:ascii="Garamond" w:hAnsi="Garamond"/>
          <w:color w:val="666666"/>
          <w:sz w:val="20"/>
          <w:szCs w:val="20"/>
          <w:lang w:val="en-US" w:eastAsia="fr-FR"/>
        </w:rPr>
        <w:t>[</w:t>
      </w:r>
      <w:hyperlink r:id="rId1884" w:tooltip="Seite:De Studien über Hysterie 134.jpg" w:history="1">
        <w:r w:rsidRPr="00C820A0">
          <w:rPr>
            <w:rFonts w:ascii="Garamond" w:hAnsi="Garamond"/>
            <w:b/>
            <w:bCs/>
            <w:color w:val="0000FF"/>
            <w:sz w:val="20"/>
            <w:szCs w:val="20"/>
            <w:u w:val="single"/>
            <w:lang w:val="en-US" w:eastAsia="fr-FR"/>
          </w:rPr>
          <w:t>134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so vor, als wäre ich von der Verlässlichkeit meiner Technik vollkommen überzeugt. Ich liess es nicht mehr gelten, wenn sie behauptete, es sei ihr nichts eingefallen, versicherte ihr, es müsse ihr etwas eingefallen sein, sie sei vielleicht nicht aufmerksam genug, dann wolle ich den Druck gerne wiederholen, oder sie meine, ihr Einfall sei nicht der richtige. Das gehe sie aber gar nichts an, sie sei verpflichtet, vollkommen objectiv zu bleiben und zu sagen, was ihr in den Sinn gekommen sei, es möge passen oder nicht; endlich, ich wisse genau, es sei ihr etwas eingefallen, sie verheimliche es mir, sie werde aber nie ihre Schmerzen los werden, so lange sie etwas verheimliche. Durch solches Drängen erreichte ich, dass wirklich kein Druck mehr erfolglos blieb. Ich musste annehmen, dass ich den Sachverhalt richtig erkannt hatte, und gewann bei dieser Analyse ein in der That unbedingtes Zutrauen zu meiner Technik. Es kam oft vor, dass sie mir erst nach dem dritten Drücken eine Mittheilung machte, dann aber selbst hinzufügte: Ich hätte es Ihnen gleich das erste Mal sagen können. – Ja, warum haben Sie es nicht gleich gesagt? – Ich habe gemeint, es ist nicht das Richtige, oder: ich habe gemeint, ich kann es umgehen; es ist aber jedesmal wiedergekommen. Ich fieng während dieser schweren Arbeit an, dem Widerstand, den die Kranke bei der Reproduction ihrer Erinnerungen zeigte, eine tiefere Bedeutung beizulegen und die Anlässe sorgfältig zusammenzustellen, bei denen er sich besonders auffällig verrieth.</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komme nun zur Darstellung der dritten Periode unserer Behandlung. Der Kranken gieng es besser, sie war psychisch entlastet und leistungsfähig geworden, aber die Schmerzen waren offenbar nicht behoben, sie kamen von Zeit zu Zeit immer wieder, und zwar in alter Heftigkeit. Dem unvollkommenen Heilerfolg entsprach die unvollständige Analyse, ich wusste noch immer nicht genau, in welchem Moment und durch welchen Mechanismus die Schmerzen entstanden waren. Während der Reproduction der mannigfaltigsten Scenen in der zweiten Periode und der Beobachtung des Widerstandes der Kranken gegen die Erzählung hatte sich bei mir ein bestimmter Verdacht gebildet; ich wagte aber noch nicht, ihn zur Grundlage meines Handelns zu machen. Eine zufällige Wahrnehmung gab da den Ausschlag. Ich hörte einmal während der Arbeit mit der Kranken Männerschritte im Nebenzimmer, eine angenehm klingende Stimme, die eine Frage zu stellen schien, und meine Patientin erhob sich darauf mit der Bitte, für heute abzubrechen, sie höre, dass ihr Schwager gekommen sei und </w:t>
      </w:r>
      <w:r w:rsidRPr="00C820A0">
        <w:rPr>
          <w:rFonts w:ascii="Garamond" w:hAnsi="Garamond"/>
          <w:color w:val="666666"/>
          <w:sz w:val="20"/>
          <w:szCs w:val="20"/>
          <w:lang w:val="en-US" w:eastAsia="fr-FR"/>
        </w:rPr>
        <w:t>[</w:t>
      </w:r>
      <w:hyperlink r:id="rId1885" w:tooltip="Seite:De Studien über Hysterie 135.jpg" w:history="1">
        <w:r w:rsidRPr="00C820A0">
          <w:rPr>
            <w:rFonts w:ascii="Garamond" w:hAnsi="Garamond"/>
            <w:b/>
            <w:bCs/>
            <w:color w:val="0000FF"/>
            <w:sz w:val="20"/>
            <w:szCs w:val="20"/>
            <w:u w:val="single"/>
            <w:lang w:val="en-US" w:eastAsia="fr-FR"/>
          </w:rPr>
          <w:t>135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nach ihr frage. Sie war bis dahin schmerzfrei gewesen, nach dieser Störung verriethen ihre Miene und ihr Gang das plötzliche Auftreten heftiger Schmerzen. Ich war in meinem Verdacht bestärkt und beschloss die entscheidende Aufklärung herbeizuführen.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stellte also die Frage nach den Umständen und Ursachen des ersten Auftretens der Schmerzen. Als Antwort lenkten sich ihre Gedanken auf den Sommeraufenthalt in jenem Curort vor der Gasteiner Reise, und es zeigten sich wieder einige Scenen, die schon vorher minder erschöpfend behandelt worden waren. Ihre Gemüthsverfassung zu jener Zeit, die Erschöpfung nach der Sorge um das Augenlicht der Mutter und nach deren Krankenpflege während der Zeit der Augenoperation, ihr endliches Verzagen, als einsames Mädchen etwas vom Leben geniessen oder im Leben leisten zu können. Sie war sich bis dahin stark genug vorgekommen, um den Beistand eines Mannes entbehren zu können, jetzt bemächtigte sich ihrer ein Gefühl ihrer Schwäche als Weib, eine Sehnsucht nach Liebe, in welcher nach ihren eigenen Worten ihr starres Wesen zu schmelzen begann. In solcher Stimmung machte die glückliche Ehe ihrer jüngeren Schwester den tiefsten Eindruck auf sie; wie rührend er für sie sorgte, wie sie sich mit </w:t>
      </w:r>
      <w:r w:rsidRPr="00C820A0">
        <w:rPr>
          <w:rFonts w:ascii="Garamond" w:hAnsi="Garamond"/>
          <w:sz w:val="20"/>
          <w:szCs w:val="20"/>
          <w:lang w:val="en-US" w:eastAsia="fr-FR"/>
        </w:rPr>
        <w:lastRenderedPageBreak/>
        <w:t xml:space="preserve">einem Blick verstanden, wie sicher sie einer des anderen zu sein schienen. Es war ja gewiss bedauerlich, dass die zweite Schwangerschaft so rasch auf die erste folgte, und die Schwester wusste, dass diess die Ursache ihres Leidens sei, aber wie willig ertrug sie dieses Leiden, weil er die Ursache davon war. An dem Spaziergange, der mit Elisabeth's Schmerzen so innig verknüpft war, wollte der Schwager anfangs nicht theilnehmen, er zog es vor, bei der kranken Frau zu bleiben. Diese bewog ihn aber durch einen Blick mitzugehen, weil sie meinte, dass es Elisabeth Freude machen würde. Elisabeth blieb die ganze Zeit über in seiner Begleitung, sie sprachen mit einander über die verschiedensten und intimsten Dinge, sie fand sich so sehr im Einklang mit allem, was er sagte, und der Wunsch, einen Mann zu besitzen, der ihm gleiche, wurde übermächtig in ihr. Dann folgte die Scene wenige Tage später, als sie am Morgen nach der Abreise den Aussichtsort aufsuchte, welcher ein Lieblingsspaziergang der Abwesenden gewesen war. Sie setzte sich dort auf einen Stein und träumte wiederum von einem Lebensglück, wie es der Schwester zugefallen war, und von einem Manne, der ihr Herz so zu fesseln verstünde wie dieser Schwager. Sie stand mit Schmerzen auf, die aber nochmals vergiengen, erst am Nachmittag nach dem warmen Bad, das sie im Orte nahm, brachen die Schmerzen </w:t>
      </w:r>
      <w:r w:rsidRPr="00C820A0">
        <w:rPr>
          <w:rFonts w:ascii="Garamond" w:hAnsi="Garamond"/>
          <w:color w:val="666666"/>
          <w:sz w:val="20"/>
          <w:szCs w:val="20"/>
          <w:lang w:val="en-US" w:eastAsia="fr-FR"/>
        </w:rPr>
        <w:t>[</w:t>
      </w:r>
      <w:hyperlink r:id="rId1886" w:tooltip="Seite:De Studien über Hysterie 136.jpg" w:history="1">
        <w:r w:rsidRPr="00C820A0">
          <w:rPr>
            <w:rFonts w:ascii="Garamond" w:hAnsi="Garamond"/>
            <w:b/>
            <w:bCs/>
            <w:color w:val="0000FF"/>
            <w:sz w:val="20"/>
            <w:szCs w:val="20"/>
            <w:u w:val="single"/>
            <w:lang w:val="en-US" w:eastAsia="fr-FR"/>
          </w:rPr>
          <w:t>136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über sie herein, die sie seither nicht verlassen hatten. Ich versuchte zu erforschen, mit was für Gedanken sie sich damals im Bade beschäftigt; es ergab sich aber nur, dass das Badhaus sie an ihre abgereisten Geschwister erinnert, weil diese in demselben Haus gewohnt hatten.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Mir musste längst klar geworden sein, um was es sich handle; die Kranke schien in schmerzlich-süsse Erinnerungen versunken, nicht zu bemerken, welchem Aufschluss sie zusteuere, und setzte die Wiedergabe ihrer Reminiscenzen fort. Es kam die Zeit in Gastein, die Sorge, mit der sie jedem Briefe entgegensah; endlich die Nachricht, dass es der Schwester schlecht gienge, das lange Warten bis zum Abend, an dem sie erst Gastein verlassen konnten. Die Fahrt in qualvoller Ungewissheit, in schlafloser Nacht, – alles als Momente, die von heftiger Steigerung der Schmerzen begleitet waren. Ich fragte, ob sie sich während der Fahrt die traurige Möglichkeit vorgestellt, die sich dann verwirklicht fand. Sie antwortete, sie sei dem Gedanken sorgsam ausgewichen, die Mutter aber habe, nach ihrer Meinung, vom Anfang an das Schlimmste erwartet. – Nun folgte ihre Erinnerung der Ankunft in Wien, der Eindrücke, die sie von den erwartenden Verwandten empfiengen, der kleinen Reise von Wien in die nahe Sommerfrische, in der die Schwester wohnte, der Ankunft dort am Abend, des eilig zurückgelegten Weges durch den Garten bis zur Thüre des kleinen Gartenpavillons, – die Stille im Hause, die beklemmende Dunkelheit; dass der Schwager sie nicht empfieng; dann standen sie vor dem Bette, sahen die Todte, und in dem Momente der grässlichen Gewissheit, dass die geliebte Schwester gestorben sei, ohne von ihnen Abschied zu nehmen, ohne ihre letzten Tage durch ihre Pflege verschönt zu haben, – in demselben Momente hatte ein anderer Gedanke Elisabeth's Hirn durchzuckt, der sich jetzt unabweisbar wieder eingestellt hatte, der Gedanke, der wie ein greller Blitz durch's Dunkel fuhr: Jetzt ist er wieder frei, und ich kann seine Frau werden.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Nun war freilich alles klar. Die Mühe des Analytikers war reichlich gelohnt worden: Die Ideen der „Abwehr“ einer unverträglichen Vorstellung, der Entstehung hysterischer Symptome durch Conversion psychischer Erregung in's Körperliche, die Bildung einer separaten psychischen Gruppe durch den Willensact, der zur Abwehr führt; dies alles wurde mir in jenem Moment greifbar vor Augen gerückt. So und nicht anders war es hier zugegangen. Dieses Mädchen hatte ihrem Schwager eine zärtliche Neigung geschenkt, gegen deren Aufnahme in ihr Bewusstsein sich ihr ganzes moralisches Wesen </w:t>
      </w:r>
      <w:r w:rsidRPr="00C820A0">
        <w:rPr>
          <w:rFonts w:ascii="Garamond" w:hAnsi="Garamond"/>
          <w:color w:val="666666"/>
          <w:sz w:val="20"/>
          <w:szCs w:val="20"/>
          <w:lang w:val="en-US" w:eastAsia="fr-FR"/>
        </w:rPr>
        <w:t>[</w:t>
      </w:r>
      <w:hyperlink r:id="rId1887" w:tooltip="Seite:De Studien über Hysterie 137.jpg" w:history="1">
        <w:r w:rsidRPr="00C820A0">
          <w:rPr>
            <w:rFonts w:ascii="Garamond" w:hAnsi="Garamond"/>
            <w:b/>
            <w:bCs/>
            <w:color w:val="0000FF"/>
            <w:sz w:val="20"/>
            <w:szCs w:val="20"/>
            <w:u w:val="single"/>
            <w:lang w:val="en-US" w:eastAsia="fr-FR"/>
          </w:rPr>
          <w:t>137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sträubte. Es war ihr gelungen, sich die schmerzliche Gewissheit, dass sie den Mann ihrer Schwester liebe, zu ersparen, indem sie sich dafür körperliche Schmerzen schuf, und in Momenten, wo sich ihr diese Gewissheit aufdrängen wollte (auf dem Spaziergang mit ihm, während jener Morgenträumerei, im Bade, vor dem Bette der Schwester) waren durch gelungene Conversion in's Somatische jene Schmerzen entstanden. Zur Zeit, da ich sie in Behandlung nahm, war die Absonderung der auf diese Liebe bezüglichen Vorstellungsgruppe von ihrem Wissen bereits vollzogen; ich meine, sie hätte sonst niemals einer solchen Behandlung zugestimmt; der Widerstand, den sie zu wiederholten Malen der Reproduction von traumatisch wirksamen Scenen entgegengesetzt hatte, entsprach wirklich der Energie, mit welcher die unverträgliche Vorstellung aus der Association gedrängt worden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Für den Therapeuten kam aber zunächst eine böse Zeit. Der Effect der Wiederaufnahme jener verdrängten Vorstellung war ein niederschmetternder für das arme Kind. Sie schrie laut auf, als ich den Sachverhalt mit den trockenen Worten zusammenfasste: Sie waren also seit langer Zeit in Ihren Schwager verliebt. Sie klagte über die grässlichsten Schmerzen in diesem Augenblick, sie machte noch eine verzweifelte Anstrengung, die Aufklärung zurückzuweisen. Es sei nicht wahr, ich habe es ihr eingeredet, es könne nicht sein, einer solchen Schlechtigkeit sei sie nicht fähig. Das würde sie sich auch nie verzeihen. Es war leicht, ihr zu beweisen, dass ihre eigenen Mittheilungen keine andere Deutung zuliessen, aber es dauerte lange, bis meine beiden Trostgründe, dass man für Empfindungen unverantwortlich sei, und dass ihr Verhalten, ihr Erkranken unter jenen Anlässen ein genügendes Zeugniss für ihre moralische Natur sei, bis diese Tröstungen, sage ich, Eindruck auf sie machten.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musste jetzt mehr als </w:t>
      </w:r>
      <w:r w:rsidRPr="00C820A0">
        <w:rPr>
          <w:rFonts w:ascii="Garamond" w:hAnsi="Garamond"/>
          <w:i/>
          <w:iCs/>
          <w:sz w:val="20"/>
          <w:szCs w:val="20"/>
          <w:lang w:val="en-US" w:eastAsia="fr-FR"/>
        </w:rPr>
        <w:t>einen</w:t>
      </w:r>
      <w:r w:rsidRPr="00C820A0">
        <w:rPr>
          <w:rFonts w:ascii="Garamond" w:hAnsi="Garamond"/>
          <w:sz w:val="20"/>
          <w:szCs w:val="20"/>
          <w:lang w:val="en-US" w:eastAsia="fr-FR"/>
        </w:rPr>
        <w:t xml:space="preserve"> Weg einschlagen, um der Kranken Linderung zu verschaffen. Zunächst wollte ich ihr Gelegenheit geben, sich der seit langer Zeit aufgespeicherten Erregung durch „Abreagiren“ zu entledigen. Wir forschten den ersten Eindrücken aus dem Verkehr mit ihrem Schwager, dem Beginne jener unbewusst gehaltenen Neigung nach. Es fanden sich hier alle jene kleinen Vorzeichen und Ahnungen, aus denen eine voll entwickelte Leidenschaft in der Rückschau so viel zu machen versteht. Er hatte bei seinem ersten Besuch im Hause </w:t>
      </w:r>
      <w:r w:rsidRPr="00C820A0">
        <w:rPr>
          <w:rFonts w:ascii="Garamond" w:hAnsi="Garamond"/>
          <w:i/>
          <w:iCs/>
          <w:sz w:val="20"/>
          <w:szCs w:val="20"/>
          <w:lang w:val="en-US" w:eastAsia="fr-FR"/>
        </w:rPr>
        <w:t>sie</w:t>
      </w:r>
      <w:r w:rsidRPr="00C820A0">
        <w:rPr>
          <w:rFonts w:ascii="Garamond" w:hAnsi="Garamond"/>
          <w:sz w:val="20"/>
          <w:szCs w:val="20"/>
          <w:lang w:val="en-US" w:eastAsia="fr-FR"/>
        </w:rPr>
        <w:t xml:space="preserve"> für die ihm bestimmte Braut gehalten und sie vor der älteren, aber unscheinbaren Schwester begrüsst. Eines Abends unterhielten sie sich so lebhaft mit einander und schienen </w:t>
      </w:r>
      <w:r w:rsidRPr="00C820A0">
        <w:rPr>
          <w:rFonts w:ascii="Garamond" w:hAnsi="Garamond"/>
          <w:color w:val="666666"/>
          <w:sz w:val="20"/>
          <w:szCs w:val="20"/>
          <w:lang w:val="en-US" w:eastAsia="fr-FR"/>
        </w:rPr>
        <w:t>[</w:t>
      </w:r>
      <w:hyperlink r:id="rId1888" w:tooltip="Seite:De Studien über Hysterie 138.jpg" w:history="1">
        <w:r w:rsidRPr="00C820A0">
          <w:rPr>
            <w:rFonts w:ascii="Garamond" w:hAnsi="Garamond"/>
            <w:b/>
            <w:bCs/>
            <w:color w:val="0000FF"/>
            <w:sz w:val="20"/>
            <w:szCs w:val="20"/>
            <w:u w:val="single"/>
            <w:lang w:val="en-US" w:eastAsia="fr-FR"/>
          </w:rPr>
          <w:t>138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sich so wohl zu verstehen, dass die Braut sie mit der halb ernst gemeinten Bemerkung unterbrach: „Eigentlich hättet Ihr </w:t>
      </w:r>
      <w:r w:rsidRPr="00C820A0">
        <w:rPr>
          <w:rFonts w:ascii="Garamond" w:hAnsi="Garamond"/>
          <w:i/>
          <w:iCs/>
          <w:sz w:val="20"/>
          <w:szCs w:val="20"/>
          <w:lang w:val="en-US" w:eastAsia="fr-FR"/>
        </w:rPr>
        <w:t>zwei</w:t>
      </w:r>
      <w:r w:rsidRPr="00C820A0">
        <w:rPr>
          <w:rFonts w:ascii="Garamond" w:hAnsi="Garamond"/>
          <w:sz w:val="20"/>
          <w:szCs w:val="20"/>
          <w:lang w:val="en-US" w:eastAsia="fr-FR"/>
        </w:rPr>
        <w:t xml:space="preserve"> sehr gut zu einander gepasst.“ Ein anderesmal war in einer Gesellschaft, welche von der Verlobung noch nichts wusste, die Rede von dem jungen </w:t>
      </w:r>
      <w:r w:rsidRPr="00C820A0">
        <w:rPr>
          <w:rFonts w:ascii="Garamond" w:hAnsi="Garamond"/>
          <w:sz w:val="20"/>
          <w:szCs w:val="20"/>
          <w:lang w:val="en-US" w:eastAsia="fr-FR"/>
        </w:rPr>
        <w:lastRenderedPageBreak/>
        <w:t>Manne, und eine Dame beanständete einen Fehler seiner Gestalt, der auf eine juvenile Knochenerkrankung hindeutete. Die Braut selbst blieb ruhig dabei, Elisabeth aber fuhr auf und trat mit einem Eifer, der ihr dann selbst unverständlich war, für den geraden Wuchs ihres zukünftigen Schwagers ein. Indem wir uns durch diese Reminiscenzen hindurcharbeiteten, wurde es Elisabeth klar, dass die zärtliche Empfindung für ihren Schwager seit langer Zeit, vielleicht seit Beginn ihrer Beziehungen in ihr geschlummert und sich so lange hinter der Maske einer blos verwandschaftlichen Zuneigung versteckt hatte, wie sie ihr hoch entwickeltes Familiengefühl begreiflich machen konnte.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Dieses Abreagiren that ihr entschieden sehr wohl; noch mehr Erleichterung konnte ich ihr aber bringen, indem ich mich freundschaftlich um gegenwärtige Verhältnisse bekümmerte. Ich suchte in solcher Absicht eine Unterredung mit Frau v. R. . ., in der ich eine verständige und feinfühlige, wenngleich durch die letzten Schicksale in ihrem Lebensmuth beeinträchtigte Dame fand. Von ihr erfuhr ich, dass der Vorwurf einer unzarten Erpressung, den der ältere Schwager gegen den Witwer erhoben hatte, und der für Elisabeth so schmerzlich war, bei näherer Erkundigung zurückgenommen werden musste. Der Charakter des jungen Mannes konnte ungetrübt bleiben; ein Missverständniss, die leicht begreifliche Differenz in der Werthschätzung des Geldes, die der Kaufmannn, für den Geld ein Arbeitswerkzeug war, im Gegensatz zur Anschauung des Beamten zeigen durfte; mehr als diess blieb von dem scheinbar so peinlichen Vorfall nicht übrig. Ich bat die Mutter, fortan Elisabeth alle Aufklärungen zu geben, deren sie bedurfte, und ihr in der Folgezeit jene Gelegenheit zur seelischen Mittheilung zu bieten, an welche ich sie gewöhnt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lag mir natürlich auch daran zu erfahren, welche Aussicht der jetzt bewusst gewordene Wunsch des Mädchens habe, zur Wirklichkeit zu werden. Hier lagen die Dinge minder günstig! Die Mutter sagte, sie habe die Neigung Elisabeth's für ihren Schwager längst geahnt, allerdings nicht gewusst, dass sich eine solche noch bei Lebzeiten der Schwester geltend gemacht habe. Wer sie Beide im – allerdings selten gewordenen – Verkehr sehe, dem könne über die Absicht des Mädchens, ihm zu gefallen, kein Zweifel bleiben. Allein weder sie, </w:t>
      </w:r>
      <w:r w:rsidRPr="00C820A0">
        <w:rPr>
          <w:rFonts w:ascii="Garamond" w:hAnsi="Garamond"/>
          <w:color w:val="666666"/>
          <w:sz w:val="20"/>
          <w:szCs w:val="20"/>
          <w:lang w:val="en-US" w:eastAsia="fr-FR"/>
        </w:rPr>
        <w:t>[</w:t>
      </w:r>
      <w:hyperlink r:id="rId1889" w:tooltip="Seite:De Studien über Hysterie 139.jpg" w:history="1">
        <w:r w:rsidRPr="00C820A0">
          <w:rPr>
            <w:rFonts w:ascii="Garamond" w:hAnsi="Garamond"/>
            <w:b/>
            <w:bCs/>
            <w:color w:val="0000FF"/>
            <w:sz w:val="20"/>
            <w:szCs w:val="20"/>
            <w:u w:val="single"/>
            <w:lang w:val="en-US" w:eastAsia="fr-FR"/>
          </w:rPr>
          <w:t>139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die Mutter, noch die Rathgeber in der Familie seien einer ehelichen Verbindung der Beiden sonderlich geneigt. Die Gesundheit des jungen Mannes sei keine feste und habe durch den Tod der geliebten Frau einen neuen Stoss erlitten; es sei auch gar nicht sicher, dass er seelisch soweit erholt sei, um eine neue Ehe einzugehen. Er halte sich wahrscheinlich darum so reservirt, vielleicht auch, weil er, seiner Annahme nicht sicher, nahe liegendes Gerede vermeiden wolle. Bei dieser Zurückhaltung von beiden Seiten dürfte wohl die Lösung, die sich Elisabeth ersehnte, missglücken.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theilte dem Mädchen alles mit, was ich von der Mutter erfahren hatte, hatte die Genugthuung, ihr durch die Aufklärung jener Geldaffaire wohlzuthun, und muthete ihr andererseits zu, die Ungewissheit über die Zukunft, die nicht zu zerstreuen war, ruhig zu tragen. Jetzt aber drängte der vorgeschrittene Sommer dazu, der Behandlung ein Ende zu machen. Sie befand sich wieder wohler, von ihren Schmerzen war zwischen uns nicht mehr die Rede, seitdem wir uns mit der Ursache beschäftigten, auf welche sich die Schmerzen hatten zurückführen lassen. Wir hatten beide die Empfindung, fertig geworden zu sein, wenngleich ich mir sagte, dass das Abreagiren der verhaltenen Zärtlichkeit nicht gerade sehr vollständig gemacht worden war. Ich betrachtete sie als geheilt, verwies sie noch auf das selbstthätige Fortschreiten der Lösung, nachdem eine solche einmal angebahnt war, und sie widersprach mir nicht. Sie reiste mit ihrer Mutter ab, um die älteste Schwester und deren Familie im gemeinsamen Sommeraufenthalt zu treffen.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habe noch kurz über den weiteren Verlauf der Krankheit bei Fräulein Elisabeth v. R. zu berichten. Einige Wochen nach unserem Abschied erhielt ich einen verzweifelten Brief der Mutter, der mir mittheilte, Elisabeth habe sich beim ersten Versuch, mit ihr von ihren Herzensangelegenheiten zu sprechen, in voller Empörung aufgelehnt und seither wieder heftige Schmerzen bekommen; sie sei aufgebracht gegen mich, weil ich ihr Geheimniss verletzt habe, zeige sich vollkommen unzugänglich, die Cur sei gründlich misslungen. Was nun zu thun wäre? Von mir wolle sie nichts wissen. Ich gab keine Antwort; es stand zu erwarten, dass sie noch einmal den Versuch machen würde, die Einmengung der Mutter abzuweisen und in ihre Verschlossenheit zurückzukehren, nachdem sie aus meiner Zucht entlassen war. Ich hatte aber eine Art von Sicherheit, es werde sich alles zurechtschütteln, meine Mühe sei nicht vergebens angewandt </w:t>
      </w:r>
      <w:r w:rsidRPr="00C820A0">
        <w:rPr>
          <w:rFonts w:ascii="Garamond" w:hAnsi="Garamond"/>
          <w:color w:val="666666"/>
          <w:sz w:val="20"/>
          <w:szCs w:val="20"/>
          <w:lang w:val="en-US" w:eastAsia="fr-FR"/>
        </w:rPr>
        <w:t>[</w:t>
      </w:r>
      <w:hyperlink r:id="rId1890" w:tooltip="Seite:De Studien über Hysterie 140.jpg" w:history="1">
        <w:r w:rsidRPr="00C820A0">
          <w:rPr>
            <w:rFonts w:ascii="Garamond" w:hAnsi="Garamond"/>
            <w:b/>
            <w:bCs/>
            <w:color w:val="0000FF"/>
            <w:sz w:val="20"/>
            <w:szCs w:val="20"/>
            <w:u w:val="single"/>
            <w:lang w:val="en-US" w:eastAsia="fr-FR"/>
          </w:rPr>
          <w:t>140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gewesen. Zwei Monate später waren sie nach Wien zurückgekehrt, und der College, dem ich die Einführung bei der Kranken dankte, brachte mir die Nachricht, Elisabeth befinde sich vollkommen wohl, benehme sich wie gesund, habe allerdings noch zeitweise etwas Schmerzen. Sie hat mir seither noch zu wiederholten Malen ähnliche Botschaften geschickt, jedesmal dabei zugesagt, mich aufzusuchen; es ist aber charakteristisch für das persönliche Verhältniss, das sich bei solchen Behandlungen herausbildet, dass sie es nie gethan hat. Wie mir mein College versichert, ist sie als geheilt zu betrachten; das Verhältniss des Schwagers zur Familie hat sich nicht geändert.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Im Frühjahr 1894 hörte ich, dass sie einen Hausball besuchen werde, zu welchem ich mir Zutritt verschaffen konnte, und ich liess mir die Gelegenheit nicht entgehen, meine einstige Kranke im raschen Tanz dahinfliegen zu sehen. Sie hat sich seither aus freier Neigung mit einem Fremden verheiratet.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Epikrise.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bin nicht immer Psychotherapeut gewesen, sondern bin bei Localdiagnosen und Elektroprognostik erzogen worden wie andere Neuropathologen, und es berührt mich selbst noch eigenthümlich, dass die Krankengeschichten, die ich schreibe, wie Novellen zu lesen sind, und dass sie sozusagen des ernsten Gepräges der Wissenschaftlichkeit entbehren. Ich muss mich damit trösten, dass für dieses Ergebniss die Natur des Gegenstandes offenbar eher verantwortlich zu machen ist als meine Vorliebe; Localdiagnostik und elektrische Reaktionen kommen bei dem Studium der Hysterie eben nicht zur Geltung, während eine eingehende Darstellung der seelischen Vorgänge, wie </w:t>
      </w:r>
      <w:r w:rsidRPr="00C820A0">
        <w:rPr>
          <w:rFonts w:ascii="Garamond" w:hAnsi="Garamond"/>
          <w:sz w:val="20"/>
          <w:szCs w:val="20"/>
          <w:lang w:val="en-US" w:eastAsia="fr-FR"/>
        </w:rPr>
        <w:lastRenderedPageBreak/>
        <w:t xml:space="preserve">man sie vom Dichter zu erhalten gewöhnt ist, mir gestattet, bei Anwendung einiger weniger psychologischer Formeln doch eine Art von Einsicht in den Hergang einer Hysterie zu gewinnen. Solche Krankengeschichten wollen beurtheilt werden wie psychiatrische, haben aber vor letzteren </w:t>
      </w:r>
      <w:r w:rsidRPr="00C820A0">
        <w:rPr>
          <w:rFonts w:ascii="Garamond" w:hAnsi="Garamond"/>
          <w:i/>
          <w:iCs/>
          <w:sz w:val="20"/>
          <w:szCs w:val="20"/>
          <w:lang w:val="en-US" w:eastAsia="fr-FR"/>
        </w:rPr>
        <w:t>eines</w:t>
      </w:r>
      <w:r w:rsidRPr="00C820A0">
        <w:rPr>
          <w:rFonts w:ascii="Garamond" w:hAnsi="Garamond"/>
          <w:sz w:val="20"/>
          <w:szCs w:val="20"/>
          <w:lang w:val="en-US" w:eastAsia="fr-FR"/>
        </w:rPr>
        <w:t xml:space="preserve"> voraus, nämlich die innige Beziehung zwischen Leidensgeschichte und Krankheitssymptomen, nach welcher wir in den Biographien anderer Psychosen noch vergebens suchen.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habe mich bemüht, die Aufklärungen, die ich über den Fall des Frl. Elisabeth v. R. geben kann, in die Darstellung ihrer Heilungsgeschichte zu verflechten; vielleicht ist es nicht überflüssig, das Wesentliche hier im Zusammenhange zu wiederholen. Ich habe den </w:t>
      </w:r>
      <w:r w:rsidRPr="00C820A0">
        <w:rPr>
          <w:rFonts w:ascii="Garamond" w:hAnsi="Garamond"/>
          <w:color w:val="666666"/>
          <w:sz w:val="20"/>
          <w:szCs w:val="20"/>
          <w:lang w:val="en-US" w:eastAsia="fr-FR"/>
        </w:rPr>
        <w:t>[</w:t>
      </w:r>
      <w:hyperlink r:id="rId1891" w:tooltip="Seite:De Studien über Hysterie 141.jpg" w:history="1">
        <w:r w:rsidRPr="00C820A0">
          <w:rPr>
            <w:rFonts w:ascii="Garamond" w:hAnsi="Garamond"/>
            <w:b/>
            <w:bCs/>
            <w:color w:val="0000FF"/>
            <w:sz w:val="20"/>
            <w:szCs w:val="20"/>
            <w:u w:val="single"/>
            <w:lang w:val="en-US" w:eastAsia="fr-FR"/>
          </w:rPr>
          <w:t>141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Charakter der Kranken geschildert, die Züge, die bei soviel Hysterischen wiederkehren und die man wahrhaftig nicht auf Rechnung einer Degeneration setzen darf: Die Begabung, den Ehrgeiz, die moralische Feinfühligkeit, das übergrosse Liebesbedürfniss, das zunächst in der Familie seine Befriedigung findet, die über das weibliche Ideal hinausgehende Selbständigkeit ihrer Natur, die sich in einem guten Stück Eigensinn, Kampfbereitschaft und Verschlossenheit äussert. Eine irgend erhebliche hereditäre Belastung war nach den Mittheilungen meines Collegen in den beiden Familien nicht nachweisbar; ihre Mutter zwar litt durch lange Jahre an nicht näher erforschter, neurotischer Verstimmung; deren Geschwister aber, der Vater und dessen Familie durften zu den ausgeglichenen, nicht nervösen Menschen gezählt werden. Ein schwererer Fall von Neuropsychose war bei den nächsten Angehörigen nicht vorgefallen.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Auf diese Natur wirkten nun schmerzliche Gemüthsbewegungen ein, zunächst der depotenzirende Einfluss einer langen Krankenpflege bei dem geliebten Vater.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hat seine guten Gründe, wenn die Krankenpflege in der Vorgeschichte der Hysterien eine so bedeutende Rolle spielt. Eine Reihe der hierbei wirksamen Momente liegt ja klar zu Tage, die Störung des körperlichen Befindens durch unterbrochenen Schlaf, vernachlässigte Körperpflege, die Rückwirkung einer beständig nagenden Sorge auf die vegetativen Functionen; das Wichtigste aber liegt nach meiner Schätzung anderwärts. Wessen Sinn durch die hunderterlei Aufgaben der Krankenpflege beschäftigt ist, die sich in unabsehbarer Folge Wochen und Monate lang an einander reihen, der gewöhnt sich einerseits daran, alle Zeichen der eigenen Ergriffenheit zu unterdrücken, andererseits lenkt er sich bald von der Aufmerksamkeit für seine eigenen Eindrücke ab, weil ihm Zeit wie Kraft fehlt, ihnen gerecht zu werden. So speichert der Krankenpfleger eine Fülle von affectfähigen Eindrücken in sich auf, die kaum klar genug percipirt, jedenfalls nicht durch Abreagiren geschwächt worden sind. Er schafft sich das Material für eine Retentionshysterie. Genest der Kranke, so werden all diese Eindrücke freilich entwerthet; stirbt er aber, bricht die Zeit der Trauer herein, in welcher nur werthvoll erscheint, was sich auf den Verlorenen bezieht, so kommen auch jene der Erledigung harrenden Eindrücke an die Reihe, und nach einer kurzen Pause der Erschöpfung bricht die Hysterie los, zu der der Keim während der Krankenpflege gelegt wurde.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92" w:tooltip="Seite:De Studien über Hysterie 142.jpg" w:history="1">
        <w:r w:rsidRPr="00C820A0">
          <w:rPr>
            <w:rFonts w:ascii="Garamond" w:hAnsi="Garamond"/>
            <w:b/>
            <w:bCs/>
            <w:color w:val="0000FF"/>
            <w:sz w:val="20"/>
            <w:szCs w:val="20"/>
            <w:u w:val="single"/>
            <w:lang w:val="en-US" w:eastAsia="fr-FR"/>
          </w:rPr>
          <w:t>142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Man kann dieselbe Thatsache der nachträglichen Erledigung während der Krankenpflege gesammelter Traumen gelegentlich auch antreffen, wo der Gesammteindruck des Krankseins nicht zu Stande kommt, der Mechanismus der Hysterie aber doch gewahrt wird. So kenne ich eine hochbegabte, an leichten nervösen Zuständen leidende Frau, deren ganzes Wesen die Hysterica bezeugt, wenngleich sie nie den Aerzten zur Last gefallen ist, nie die Ausübung ihrer Pflichten hat unterbrechen müssen. Diese Frau hat bereits 3 oder 4 ihrer Lieben zu Tode gepflegt, jedesmal bis zur vollen körperlichen Erschöpfung; sie ist auch nach diesen traurigen Leistungen nicht erkrankt. Aber kurze Zeit nach dem Tode des Kranken beginnt in ihr die Reproductionsarbeit, welche ihr die Scenen der Krankheit und des Sterbens nochmals vor die Augen führt. Sie macht jeden Tag jeden Eindruck von Neuem durch, weint darüber und tröstet sich darüber, – man möchte sagen in Musse. Solche Erledigung geht bei ihr durch die Geschäfte des Tages durch, ohne dass die beiden Thätigkeiten sich verwirren. Das Ganze zieht chronologisch an ihr vorüber. Ob die Erinnerungsarbeit eines Tages genau einen Tag der Vergangenheit deckt, weiss ich nicht. Ich vermuthe, diess hängt von der Musse ab, welche ihr die laufenden Geschäfte des Haushaltes lassen.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Ausser dieser „nachholenden Thräne“, die sich an den Todesfall mit kurzem Intervall anschliesst, hält diese Frau periodische Erinnerungsfeier alljährlich um die Zeit der einzelnen Katastrophen, und hier folgt ihre lebhafte visuelle Reproduction und ihre Affectäusserung getreulich dem Datum. Ich treffe sie beispielsweise in Thränen und erkundige mich theilnehmend, was es heute gegeben hat. Sie wehrt die Nachfrage halb ärgerlich ab: „Ach nein, es war nur heute der Hofrath N. ... wieder da und hat uns zu verstehen gegeben, dass nichts zu erwarten ist. Ich hab' damals keine Zeit gehabt, darüber zu weinen.“ Sie bezieht sich auf die letzte Krankheit ihres Mannes, der vor 3 Jahren gestorben ist. Es wäre mir sehr interessant zu wissen, ob sie bei diesen jährlich wiederkehrenden Erinnerungsfeiern stets dieselben Scenen wiederholt, oder oh sich ihr jedesmal andere Einzelheiten zum Abreagiren darbieten, wie ich im Interesse meiner Theorie vermuthe. Ich kann aber nichts Sicheres darüber erfahren, die ebenso kluge als starke Frau schämt sich der Heftigkeit, mit welcher jene Reminiscenzen auf sie wirken.</w:t>
      </w:r>
      <w:hyperlink r:id="rId1893" w:anchor="cite_note-4" w:history="1">
        <w:r w:rsidRPr="00C820A0">
          <w:rPr>
            <w:rFonts w:ascii="Garamond" w:hAnsi="Garamond"/>
            <w:color w:val="0000FF"/>
            <w:sz w:val="20"/>
            <w:szCs w:val="20"/>
            <w:u w:val="single"/>
            <w:vertAlign w:val="superscript"/>
            <w:lang w:eastAsia="fr-FR"/>
          </w:rPr>
          <w:t>[5]</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color w:val="666666"/>
          <w:sz w:val="20"/>
          <w:szCs w:val="20"/>
          <w:lang w:eastAsia="fr-FR"/>
        </w:rPr>
        <w:t>[</w:t>
      </w:r>
      <w:hyperlink r:id="rId1894" w:tooltip="Seite:De Studien über Hysterie 143.jpg" w:history="1">
        <w:r w:rsidRPr="00C820A0">
          <w:rPr>
            <w:rFonts w:ascii="Garamond" w:hAnsi="Garamond"/>
            <w:b/>
            <w:bCs/>
            <w:color w:val="0000FF"/>
            <w:sz w:val="20"/>
            <w:szCs w:val="20"/>
            <w:u w:val="single"/>
            <w:lang w:eastAsia="fr-FR"/>
          </w:rPr>
          <w:t>143</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Ich hebe nochmals hervor: Diese Frau ist nicht krank, das nachholende Abreagiren ist bei aller Aehnlichkeit doch kein hysterischer Vorgang; man darf sich die Frage stellen, woran es liegen mag, dass nach der einen Krankenpflege sich eine Hysterie ergiebt, nach der anderen nicht. An der persönlichen Disposition kann es nicht liegen, eine solche war bei der Dame, die ich hier im Sinne habe, im reichsten Ausmaass vorhanden.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Ich kehre zu Fräulein Elisabeth v. R. zurück. </w:t>
      </w:r>
      <w:r w:rsidRPr="00C820A0">
        <w:rPr>
          <w:rFonts w:ascii="Garamond" w:hAnsi="Garamond"/>
          <w:sz w:val="20"/>
          <w:szCs w:val="20"/>
          <w:lang w:val="en-US" w:eastAsia="fr-FR"/>
        </w:rPr>
        <w:t xml:space="preserve">Während der Pflege ihres Vaters also entstand bei ihr das erste Mal ein hysterisches Symptom und zwar ein Schmerz an einer bestimmten Stelle des rechten Oberschenkels. Der Mechanismus dieses Symptoms lässt sich auf Grund der Analyse hinreichend durchleuchten. Es war ein Moment, </w:t>
      </w:r>
      <w:r w:rsidRPr="00C820A0">
        <w:rPr>
          <w:rFonts w:ascii="Garamond" w:hAnsi="Garamond"/>
          <w:color w:val="666666"/>
          <w:sz w:val="20"/>
          <w:szCs w:val="20"/>
          <w:lang w:val="en-US" w:eastAsia="fr-FR"/>
        </w:rPr>
        <w:t>[</w:t>
      </w:r>
      <w:hyperlink r:id="rId1895" w:tooltip="Seite:De Studien über Hysterie 144.jpg" w:history="1">
        <w:r w:rsidRPr="00C820A0">
          <w:rPr>
            <w:rFonts w:ascii="Garamond" w:hAnsi="Garamond"/>
            <w:b/>
            <w:bCs/>
            <w:color w:val="0000FF"/>
            <w:sz w:val="20"/>
            <w:szCs w:val="20"/>
            <w:u w:val="single"/>
            <w:lang w:val="en-US" w:eastAsia="fr-FR"/>
          </w:rPr>
          <w:t>144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in welchem der Vorstellungskreis ihrer Pflichten gegen den kranken Vater mit dem damaligen Inhalt ihres erotischen Sehnens in Conflict gerieth. Sie entschied sich unter lebhaften Selbstvorwürfen für den ersteren und schuf </w:t>
      </w:r>
      <w:r w:rsidRPr="00C820A0">
        <w:rPr>
          <w:rFonts w:ascii="Garamond" w:hAnsi="Garamond"/>
          <w:sz w:val="20"/>
          <w:szCs w:val="20"/>
          <w:lang w:val="en-US" w:eastAsia="fr-FR"/>
        </w:rPr>
        <w:lastRenderedPageBreak/>
        <w:t>sich dabei den hysterischen Schmerz. Nach der Auffassung, welche die Conversionstheorie der Hysterie nahe legt, wäre der Vorgang folgender Art darzustellen: Sie verdrängte die erotische Vorstellung aus ihrem Bewusstsein und wandelte deren Affectgrösse in somatische Schmerzempfindung um. Ob sich ihr dieser erste Conflict ein einziges Mal oder wiederholte Male darbot, wurde nicht klar; wahrscheinlicher ist das Letztere. Ein ganz ähnlicher Conflict – indess von höherer moralischer Bedeutung und durch die Analyse noch besser bezeugt – wiederholte sich nach Jahren und führte zur Steigerung derselben Schmerzen und zu deren Ausbreitung über die anfänglich besetzten Grenzen. Wiederum war es ein erotischer Vorstellungskreis, der in Conflict mit all ihren moralischen Vorstellungen gerieth, denn die Neigung bezog sich auf ihren Schwager, und sowohl zu Lebzeiten als nach dem Tode ihrer Schwester war es ein für sie unannehmbarer Gedanke, dass sie sich gerade nach diesem Manne sehnen sollte. Ueber diesen Conflict, welcher den Mittelpunkt der Krankengeschichte darstellt, gibt die Analyse ausführliche Auskunft. Die Neigung der Kranken zu ihrem Schwager mochte seit Langem gekeimt haben, ihrer Entwicklung kam die körperliche Erschöpfung durch neuerliche Krankenpflege, die moralische Erschöpfung durch mehrjährige Enttäuschungen zu Gute, ihre innerliche Sprödigkeit begann sich damals zu lösen, und sie gestand sich das Bedürfniss nach der Liebe eines Mannes ein. Während eines über Wochen ausgedehnten Verkehres (in jenem Curort) gelangte diese erotische Neigung gleichzeitig mit den Schmerzen zur vollen Ausbildung, und für dieselbe Zeit bezeugt die Analyse einen besonderen psychischen Zustand der Kranken, dessen Zusammenhalt mit der Neigung und den Schmerzen ein Verständniss des Vorganges im Sinne der Conversionstheorie zu ermöglichen scheint.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muss mich nämlich der Behauptung getrauen, dass die Kranke zu jener Zeit sich der Neigung zu ihrem Schwager, so intensiv selbe auch war, nicht </w:t>
      </w:r>
      <w:r w:rsidRPr="00C820A0">
        <w:rPr>
          <w:rFonts w:ascii="Garamond" w:hAnsi="Garamond"/>
          <w:i/>
          <w:iCs/>
          <w:sz w:val="20"/>
          <w:szCs w:val="20"/>
          <w:lang w:val="en-US" w:eastAsia="fr-FR"/>
        </w:rPr>
        <w:t>klar bewusst</w:t>
      </w:r>
      <w:r w:rsidRPr="00C820A0">
        <w:rPr>
          <w:rFonts w:ascii="Garamond" w:hAnsi="Garamond"/>
          <w:sz w:val="20"/>
          <w:szCs w:val="20"/>
          <w:lang w:val="en-US" w:eastAsia="fr-FR"/>
        </w:rPr>
        <w:t xml:space="preserve"> wurde, ausser bei einzelnen seltenen Veranlassungen, und dann nur für Momente. Wäre es anders gewesen, so hätte sie sich auch des Widerspruches zwischen dieser Neigung und ihren moralischen Vorstellungen bewusst werden und ähnliche Seelenqualen überstehen müssen, wie ich sie nach unserer </w:t>
      </w:r>
      <w:r w:rsidRPr="00C820A0">
        <w:rPr>
          <w:rFonts w:ascii="Garamond" w:hAnsi="Garamond"/>
          <w:color w:val="666666"/>
          <w:sz w:val="20"/>
          <w:szCs w:val="20"/>
          <w:lang w:val="en-US" w:eastAsia="fr-FR"/>
        </w:rPr>
        <w:t>[</w:t>
      </w:r>
      <w:hyperlink r:id="rId1896" w:tooltip="Seite:De Studien über Hysterie 145.jpg" w:history="1">
        <w:r w:rsidRPr="00C820A0">
          <w:rPr>
            <w:rFonts w:ascii="Garamond" w:hAnsi="Garamond"/>
            <w:b/>
            <w:bCs/>
            <w:color w:val="0000FF"/>
            <w:sz w:val="20"/>
            <w:szCs w:val="20"/>
            <w:u w:val="single"/>
            <w:lang w:val="en-US" w:eastAsia="fr-FR"/>
          </w:rPr>
          <w:t>145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Analyse leiden sah. Ihre Erinnerung hatte von dergleichen Leiden nichts zu berichten, sie hatte sich dieselben erspart, folglich war ihr auch die Neigung selbst nicht klar geworden; damals wie noch zur Zeit der Analyse war die Liebe zu ihrem Schwager nach Art eines Fremdkörpers in ihrem Bewusstsein vorhanden, ohne in Beziehungen zu ihrem sonstigen Vorstellungsleben getreten zu sein. Es war der eigenthümliche Zustand des Wissens und gleichzeitigen Nichtwissens in Bezug auf diese Neigung vorhanden, der Zustand der abgetrennten psychischen Gruppe. Etwas anderes ist aber nicht gemeint, wenn man behauptet, diese Neigung sei ihr nicht „klar bewusst“ gewesen; es ist nicht gemeint eine niedere Qualität oder ein geringer Grad von Bewusstsein, sondern eine Abtrennung vom freien associativen Denkverkehr mit dem übrigen Vorstellungsinhalt.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Wie konnte es nur dazu kommen, dass eine so intensiv betonte Vorstellungsgruppe so isolirt gehalten wurde? Im Allgemeinen wächst doch mit der Affectgrösse einer Vorstellung auch deren Rolle in der Association.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Man kann diese Frage beantworten, wenn man auf zwei Thatsachen Rücksicht nimmt, deren man sich als sichergestellt bedienen darf; 1. dass gleichzeitig mit der Bildung jener separaten psychischen Gruppe die hysterischen Schmerzen entstanden, 2. dass die Kranke dem Versuche der Herstellung der Association zwischen der separaten psychischen Gruppe und dem übrigen Bewusstseinsinhalt einen grossen Widerstand entgegensetzte und, als diese Vereinigung doch vollzogen war, einen grossen psychischen Schmerz empfand. Unsere Auffassung der Hysterie bringt diese beiden Momente mit der Thatsache der Bewusstseinsspaltung zusammen, indem sie behauptet: in 2. sei der Hinweis auf das </w:t>
      </w:r>
      <w:r w:rsidRPr="00C820A0">
        <w:rPr>
          <w:rFonts w:ascii="Garamond" w:hAnsi="Garamond"/>
          <w:i/>
          <w:iCs/>
          <w:sz w:val="20"/>
          <w:szCs w:val="20"/>
          <w:lang w:val="en-US" w:eastAsia="fr-FR"/>
        </w:rPr>
        <w:t>Motiv</w:t>
      </w:r>
      <w:r w:rsidRPr="00C820A0">
        <w:rPr>
          <w:rFonts w:ascii="Garamond" w:hAnsi="Garamond"/>
          <w:sz w:val="20"/>
          <w:szCs w:val="20"/>
          <w:lang w:val="en-US" w:eastAsia="fr-FR"/>
        </w:rPr>
        <w:t xml:space="preserve"> der Bewusstseinsspaltung enthalten, in 1. auf den </w:t>
      </w:r>
      <w:r w:rsidRPr="00C820A0">
        <w:rPr>
          <w:rFonts w:ascii="Garamond" w:hAnsi="Garamond"/>
          <w:i/>
          <w:iCs/>
          <w:sz w:val="20"/>
          <w:szCs w:val="20"/>
          <w:lang w:val="en-US" w:eastAsia="fr-FR"/>
        </w:rPr>
        <w:t>Mechanismus</w:t>
      </w:r>
      <w:r w:rsidRPr="00C820A0">
        <w:rPr>
          <w:rFonts w:ascii="Garamond" w:hAnsi="Garamond"/>
          <w:sz w:val="20"/>
          <w:szCs w:val="20"/>
          <w:lang w:val="en-US" w:eastAsia="fr-FR"/>
        </w:rPr>
        <w:t xml:space="preserve"> derselben. Das Motiv war das der </w:t>
      </w:r>
      <w:r w:rsidRPr="00C820A0">
        <w:rPr>
          <w:rFonts w:ascii="Garamond" w:hAnsi="Garamond"/>
          <w:i/>
          <w:iCs/>
          <w:sz w:val="20"/>
          <w:szCs w:val="20"/>
          <w:lang w:val="en-US" w:eastAsia="fr-FR"/>
        </w:rPr>
        <w:t>Abwehr</w:t>
      </w:r>
      <w:r w:rsidRPr="00C820A0">
        <w:rPr>
          <w:rFonts w:ascii="Garamond" w:hAnsi="Garamond"/>
          <w:sz w:val="20"/>
          <w:szCs w:val="20"/>
          <w:lang w:val="en-US" w:eastAsia="fr-FR"/>
        </w:rPr>
        <w:t xml:space="preserve">, das Sträuben des ganzen Ich, sich mit dieser Vorstellungsgruppe zu vertragen; der Mechanismus war der der </w:t>
      </w:r>
      <w:r w:rsidRPr="00C820A0">
        <w:rPr>
          <w:rFonts w:ascii="Garamond" w:hAnsi="Garamond"/>
          <w:i/>
          <w:iCs/>
          <w:sz w:val="20"/>
          <w:szCs w:val="20"/>
          <w:lang w:val="en-US" w:eastAsia="fr-FR"/>
        </w:rPr>
        <w:t>Conversion</w:t>
      </w:r>
      <w:r w:rsidRPr="00C820A0">
        <w:rPr>
          <w:rFonts w:ascii="Garamond" w:hAnsi="Garamond"/>
          <w:sz w:val="20"/>
          <w:szCs w:val="20"/>
          <w:lang w:val="en-US" w:eastAsia="fr-FR"/>
        </w:rPr>
        <w:t xml:space="preserve">, d.h. anstatt der seelischen Schmerzen, die sie sich erspart hatte, traten körperliche auf; es wurde so eine Umwandlung eingeleitet, bei der sich als </w:t>
      </w:r>
      <w:r w:rsidRPr="00C820A0">
        <w:rPr>
          <w:rFonts w:ascii="Garamond" w:hAnsi="Garamond"/>
          <w:i/>
          <w:iCs/>
          <w:sz w:val="20"/>
          <w:szCs w:val="20"/>
          <w:lang w:val="en-US" w:eastAsia="fr-FR"/>
        </w:rPr>
        <w:t>Gewinn</w:t>
      </w:r>
      <w:r w:rsidRPr="00C820A0">
        <w:rPr>
          <w:rFonts w:ascii="Garamond" w:hAnsi="Garamond"/>
          <w:sz w:val="20"/>
          <w:szCs w:val="20"/>
          <w:lang w:val="en-US" w:eastAsia="fr-FR"/>
        </w:rPr>
        <w:t xml:space="preserve"> herausstellte, dass die Kranke sich einem unerträglichen psychischen Zustand entzogen hatte, allerdings auf Kosten einer psychischen Anomalie, der zugelassenen Bewusstseinsspaltung, und eines körperlichen Leidens, der Schmerzen, über welche sich eine Astasie-Abasie aufbaute.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897" w:tooltip="Seite:De Studien über Hysterie 146.jpg" w:history="1">
        <w:r w:rsidRPr="00C820A0">
          <w:rPr>
            <w:rFonts w:ascii="Garamond" w:hAnsi="Garamond"/>
            <w:b/>
            <w:bCs/>
            <w:color w:val="0000FF"/>
            <w:sz w:val="20"/>
            <w:szCs w:val="20"/>
            <w:u w:val="single"/>
            <w:lang w:val="en-US" w:eastAsia="fr-FR"/>
          </w:rPr>
          <w:t>146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Allerdings eine Anleitung dazu, wie man bei sich eine solche Conversion herstellt, kann ich nicht geben; man macht das offenbar nicht so, wie man mit Absicht eine willkürliche Handlung ausführt; es ist ein Vorgang, der sich unter dem Antrieb des Motivs der Abwehr in einem Individuum vollzieht, wenn dieses die Eignung dazu in seiner Organisation – oder derzeitigen Modifikation – trägt.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Man hat ein Recht, der Theorie näher auf den Leib zu rücken und zu fragen: </w:t>
      </w:r>
      <w:r w:rsidRPr="00C820A0">
        <w:rPr>
          <w:rFonts w:ascii="Garamond" w:hAnsi="Garamond"/>
          <w:i/>
          <w:iCs/>
          <w:sz w:val="20"/>
          <w:szCs w:val="20"/>
          <w:lang w:val="en-US" w:eastAsia="fr-FR"/>
        </w:rPr>
        <w:t>Was</w:t>
      </w:r>
      <w:r w:rsidRPr="00C820A0">
        <w:rPr>
          <w:rFonts w:ascii="Garamond" w:hAnsi="Garamond"/>
          <w:sz w:val="20"/>
          <w:szCs w:val="20"/>
          <w:lang w:val="en-US" w:eastAsia="fr-FR"/>
        </w:rPr>
        <w:t xml:space="preserve"> ist es denn, was sich hier in körperlichen Schmerz verwandelt? Die vorsichtige Antwort wird lauten: Etwas, woraus seelischer Schmerz hätte werden können und werden sollen. Will man sich weiter wagen und eine Art von algebraischer Darstellung der Vorstellungsmechanik versuchen, so wird man etwa dem Vorstellungscomplex dieser unbewusst gebliebenen Neigung einen gewissen Affectbetrag zuschreiben und letztere Quantität als das Convertirte bezeichnen. Eine directe Folgerung dieser Auffassung wäre es, dass die „unbewusste Liebe“ durch solche Conversion so sehr an Intensität eingebüsst, dass sie zu einer schwachen Vorstellung herabgesunken wäre; ihre Existenz als abgetrennte psychische Gruppe wäre dann erst durch diese Schwächung ermöglicht. Indess ist der vorliegende Fall nicht geeignet, in dieser so heikeln Materie Anschaulichkeit zu gewähren. Er entspricht wahrscheinlich einer bloss unvollständigen Conversion; aus anderen Fällen kann man wahrscheinlich machen, dass auch vollständige Conversionon vorkommen, und dass bei diesen in der That die unverträgliche Vorstellung „</w:t>
      </w:r>
      <w:r w:rsidRPr="00C820A0">
        <w:rPr>
          <w:rFonts w:ascii="Garamond" w:hAnsi="Garamond"/>
          <w:i/>
          <w:iCs/>
          <w:sz w:val="20"/>
          <w:szCs w:val="20"/>
          <w:lang w:val="en-US" w:eastAsia="fr-FR"/>
        </w:rPr>
        <w:t>verdrängt</w:t>
      </w:r>
      <w:r w:rsidRPr="00C820A0">
        <w:rPr>
          <w:rFonts w:ascii="Garamond" w:hAnsi="Garamond"/>
          <w:sz w:val="20"/>
          <w:szCs w:val="20"/>
          <w:lang w:val="en-US" w:eastAsia="fr-FR"/>
        </w:rPr>
        <w:t xml:space="preserve">“ worden ist, wie nur eine sehr wenig intensive Vorstellung verdrängt werden kann. Die Kranken versichern nach vollzogener associativer </w:t>
      </w:r>
      <w:r w:rsidRPr="00C820A0">
        <w:rPr>
          <w:rFonts w:ascii="Garamond" w:hAnsi="Garamond"/>
          <w:sz w:val="20"/>
          <w:szCs w:val="20"/>
          <w:lang w:val="en-US" w:eastAsia="fr-FR"/>
        </w:rPr>
        <w:lastRenderedPageBreak/>
        <w:t>Vereinigung, dass sie sich seit der Entstehung des hysterischen Symptoms in Gedanken nicht mehr mit der unverträglichen Vorstellung beschäftigt haben. –</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habe oben behauptet, dass die Kranke bei gewissen Gelegenheiten, wenngleich nur flüchtig, die Liebe zu ihrem Schwager auch bewusst erkannte. Ein solcher Moment war z. B., als ihr am Bette der Schwester der Gedanke durch den Kopf fuhr: „Jetzt ist er frei und Du kannst seine Frau werden.“ Ich muss die Bedeutung dieser Momente für die Auffassung der ganzen Neurose erörtern. Nun, ich meine, in der Annahme einer „Abwehrhysterie“ ist bereits die Forderung enthalten, dass wenigstens ein solcher Moment vorgekommen ist. Das Bewusstsein weiss ja nicht vorher, wann sich eine unverträgliche Vorstellung einstellen wird; die unverträgliche Vorstellung, die später mit ihrem Anhang zur Bildung einer separaten psychischen Gruppe ausgeschlossen </w:t>
      </w:r>
      <w:r w:rsidRPr="00C820A0">
        <w:rPr>
          <w:rFonts w:ascii="Garamond" w:hAnsi="Garamond"/>
          <w:color w:val="666666"/>
          <w:sz w:val="20"/>
          <w:szCs w:val="20"/>
          <w:lang w:val="en-US" w:eastAsia="fr-FR"/>
        </w:rPr>
        <w:t>[</w:t>
      </w:r>
      <w:hyperlink r:id="rId1898" w:tooltip="Seite:De Studien über Hysterie 147.jpg" w:history="1">
        <w:r w:rsidRPr="00C820A0">
          <w:rPr>
            <w:rFonts w:ascii="Garamond" w:hAnsi="Garamond"/>
            <w:b/>
            <w:bCs/>
            <w:color w:val="0000FF"/>
            <w:sz w:val="20"/>
            <w:szCs w:val="20"/>
            <w:u w:val="single"/>
            <w:lang w:val="en-US" w:eastAsia="fr-FR"/>
          </w:rPr>
          <w:t>147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wird, muss ja anfänglich im Denkverkehr gestanden sein, sonst hätte sich der Conflict nicht ergeben, der ihre Ausschliessung herbeigeführt hat.</w:t>
      </w:r>
      <w:hyperlink r:id="rId1899" w:anchor="cite_note-5" w:history="1">
        <w:r w:rsidRPr="00C820A0">
          <w:rPr>
            <w:rFonts w:ascii="Garamond" w:hAnsi="Garamond"/>
            <w:color w:val="0000FF"/>
            <w:sz w:val="20"/>
            <w:szCs w:val="20"/>
            <w:u w:val="single"/>
            <w:vertAlign w:val="superscript"/>
            <w:lang w:val="en-US" w:eastAsia="fr-FR"/>
          </w:rPr>
          <w:t>[6]</w:t>
        </w:r>
      </w:hyperlink>
      <w:r w:rsidRPr="00C820A0">
        <w:rPr>
          <w:rFonts w:ascii="Garamond" w:hAnsi="Garamond"/>
          <w:sz w:val="20"/>
          <w:szCs w:val="20"/>
          <w:lang w:val="en-US" w:eastAsia="fr-FR"/>
        </w:rPr>
        <w:t xml:space="preserve"> Gerade diese Momente sind also als die „</w:t>
      </w:r>
      <w:r w:rsidRPr="00C820A0">
        <w:rPr>
          <w:rFonts w:ascii="Garamond" w:hAnsi="Garamond"/>
          <w:i/>
          <w:iCs/>
          <w:sz w:val="20"/>
          <w:szCs w:val="20"/>
          <w:lang w:val="en-US" w:eastAsia="fr-FR"/>
        </w:rPr>
        <w:t>traumatischen</w:t>
      </w:r>
      <w:r w:rsidRPr="00C820A0">
        <w:rPr>
          <w:rFonts w:ascii="Garamond" w:hAnsi="Garamond"/>
          <w:sz w:val="20"/>
          <w:szCs w:val="20"/>
          <w:lang w:val="en-US" w:eastAsia="fr-FR"/>
        </w:rPr>
        <w:t>“ zu bezeichnen; in ihnen hat die Conversion stattgefunden, deren Ergebnisse die Bewusstseinsspaltung und das hysterische Symptom sind. Bei Frl. Elisabeth v. R . . deutet alles auf eine Mehrheit von solchen Momenten (die Scenen vom Spaziergang, Morgenmeditation, Bad, am Bette der Schwester); vielleicht kamen sogar neue Momente dieser Art während der Behandlung vor. Die Mehrheit solcher traumatischer Momente wird nämlich dadurch ermöglicht, dass ein ähnliches Erlebniss wie jenes, das die unverträgliche Vorstellung zuerst einführte, der abgetrennten psychischen Gruppe neue Erregung zuführt und so den Erfolg der Conversion vorübergehend aufhebt. Das Ich muss sich mit dieser plötzlich verstärkt aufleuchtenden Vorstellung beschäftigen und muss dann durch neuerliche Conversion den früheren Zustand wiederherstellen. Frl. Elisabeth, die beständig mit ihrem Schwager verkehrte, musste dem Auftauchen neuer Traumen besonders ausgesetzt sein. Ein Fall, dessen traumatische Geschichte in der Vergangenheit abgeschlossen lag, wäre mir für diese Darstellung erwünschter gewesen. –</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muss mich nun mit einem Punkte beschäftigen, den ich als eine Schwierigkeit für das Verständniss der vorstehenden Krankengeschichte bezeichnet habe. Auf Grund der Analyse nahm ich an, dass eine erste Conversion bei der Kranken während der Pflege ihres Vaters stattgefunden und zwar damals, als ihre Pflichten als Pflegerin in Widerstreit mit ihrem erotischen Sehnen geriethen, und dass dieser Vorgang das Vorbild jenes späteren war, der im Alpencurort zum Ausbruch der Krankheit führte. Nun ergiebt sich aber aus den Mittheilungen der Kranken, dass sie zur Zeit der Krankenpflege und in dem darauffolgenden Zeitabschnitt, den ich als „erste Periode“ bezeichnet habe, </w:t>
      </w:r>
      <w:r w:rsidRPr="00C820A0">
        <w:rPr>
          <w:rFonts w:ascii="Garamond" w:hAnsi="Garamond"/>
          <w:i/>
          <w:iCs/>
          <w:sz w:val="20"/>
          <w:szCs w:val="20"/>
          <w:lang w:val="en-US" w:eastAsia="fr-FR"/>
        </w:rPr>
        <w:t>überhaupt nicht an Schmerzen und Gehschwäche</w:t>
      </w:r>
      <w:r w:rsidRPr="00C820A0">
        <w:rPr>
          <w:rFonts w:ascii="Garamond" w:hAnsi="Garamond"/>
          <w:sz w:val="20"/>
          <w:szCs w:val="20"/>
          <w:lang w:val="en-US" w:eastAsia="fr-FR"/>
        </w:rPr>
        <w:t xml:space="preserve"> gelitten hat. Sie war zwar während der Krankheit des Vaters einmal durch wenige Tage mit Schmerzen in den Füssen bettlägerig, aber es ist zweifelhaft geblieben, ob dieser Anfall bereits der Hysterie zugeschrieben werden muss. Eine causale Beziehung zwischen diesen ersten Schmerzen und irgend welchem psychischen Eindruck liess sich bei der Analyse nicht erweisen; es ist möglich, ja sogar wahrscheinlich, dass es sich </w:t>
      </w:r>
      <w:r w:rsidRPr="00C820A0">
        <w:rPr>
          <w:rFonts w:ascii="Garamond" w:hAnsi="Garamond"/>
          <w:color w:val="666666"/>
          <w:sz w:val="20"/>
          <w:szCs w:val="20"/>
          <w:lang w:val="en-US" w:eastAsia="fr-FR"/>
        </w:rPr>
        <w:t>[</w:t>
      </w:r>
      <w:hyperlink r:id="rId1900" w:tooltip="Seite:De Studien über Hysterie 148.jpg" w:history="1">
        <w:r w:rsidRPr="00C820A0">
          <w:rPr>
            <w:rFonts w:ascii="Garamond" w:hAnsi="Garamond"/>
            <w:b/>
            <w:bCs/>
            <w:color w:val="0000FF"/>
            <w:sz w:val="20"/>
            <w:szCs w:val="20"/>
            <w:u w:val="single"/>
            <w:lang w:val="en-US" w:eastAsia="fr-FR"/>
          </w:rPr>
          <w:t>148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damals um gemeine, rheumatische Muskelschmerzen gehandelt hat. Wollte man selbst annehmen, dass dieser erste Schmerzanfall das Ergebniss einer hysterischen Conversion infolge der Ablehnung ihrer damaligen erotischen Gedanken war, so bleibt doch die Thatsache übrig, dass die Schmerzen nach wenigen Tagen verschwanden, so dass die Kranke sich also in der Wirklichkeit anders verhalten hatte, als sie während der Analyse zu zeigen schien. Während der Reproduction der sogenannten ersten Periode begleitete sie alle Erzählungen von der Krankheit und dem Tode des Vaters, von den Eindrücken aus dem Verkehr mit dem ersten Schwager u. dgl. mit Schmerzensäusserungen, während sie zur Zeit, da sie diese Eindrücke erlebte, keine Schmerzen verspürte. Ist das nicht ein Widerspruch, der geeignet ist, das Vertrauen in den aufklärenden Wert einer solchen Analyse recht herabzusetzen?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glaube den Widerspruch lösen zu können, indem ich annehme, die Schmerzen – das Product der Conversion – seien nicht entstanden, während die Kranke die Eindrücke der ersten Periode erlebte, sondern nachträglich, also in der zweiten Periode, als die Kranke diese Eindrücke in ihren Gedanken reproducirte. Die Conversion sei erfolgt nicht an den frischen Eindrücken, sondern an den Erinnerungen derselben. Ich meine sogar, ein solcher Vorgang sei nichts Aussergewöhnliches bei der Hysterie, habe einen regelmässigen Antheil an der Entstehung hysterischer Symptome. Da aber eine solche Behauptung gewiss nicht einleuchtet, werde ich versuchen, sie durch andere Erfahrungen glaubwürdiger zu machen.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geschah mir einmal, dass sich während einer derartigen analytischen Behandlung bei einer Kranken ein neues hysterisches Symptom ausbildete, so dass ich dessen Wegräumung am Tage nach seinem Entstehen in Angriff nehmen konnte.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will die Geschichte dieser Kranken in ihren wesentlichen Zügen hier einschieben; sie ist ziemlich einfach und doch nicht ohne Interesse.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Frl. Rosalia H . . ., 23 Jahre alt, seit einigen Jahren bemüht, sich zur Sängerin auszubilden, klagt darüber, dass ihre schöne Stimme ihr in gewissen Lagen nicht gehorcht. Es tritt ein Gefühl von Würgen und Schnüren in der Kehle ein, so dass der Ton wie gepresst klingt; ihr Lehrer hat ihr darum noch nicht gestatten können, sich vor dem Publicum als Sängerin zu zeigen; obwohl diese Unvollkommenheit nur die Mittellage betrifft, so kann sie doch nicht durch einen Fehler ihres Organs erklärt werden; zu Zeiten bleibt die Störung ganz </w:t>
      </w:r>
      <w:r w:rsidRPr="00C820A0">
        <w:rPr>
          <w:rFonts w:ascii="Garamond" w:hAnsi="Garamond"/>
          <w:color w:val="666666"/>
          <w:sz w:val="20"/>
          <w:szCs w:val="20"/>
          <w:lang w:val="en-US" w:eastAsia="fr-FR"/>
        </w:rPr>
        <w:t>[</w:t>
      </w:r>
      <w:hyperlink r:id="rId1901" w:tooltip="Seite:De Studien über Hysterie 149.jpg" w:history="1">
        <w:r w:rsidRPr="00C820A0">
          <w:rPr>
            <w:rFonts w:ascii="Garamond" w:hAnsi="Garamond"/>
            <w:b/>
            <w:bCs/>
            <w:color w:val="0000FF"/>
            <w:sz w:val="20"/>
            <w:szCs w:val="20"/>
            <w:u w:val="single"/>
            <w:lang w:val="en-US" w:eastAsia="fr-FR"/>
          </w:rPr>
          <w:t>149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aus, so dass sich der Lehrer für sehr befriedigt erklärt; andere Male, auf die leiseste Erregung hin, auch scheinbar ohne jeden Grund, tritt die schnürende Empfindung wieder ein, und die freie Stimmentfaltung ist behindert. Es war nicht schwer, in dieser belästigenden Empfindung die hysterische Conversion zu erkennen; ob thatsächlich eine Contractur in gewissen Muskeln der Stimmbänder eintrat, habe ich nicht feststellen lassen.</w:t>
      </w:r>
      <w:hyperlink r:id="rId1902" w:anchor="cite_note-6" w:history="1">
        <w:r w:rsidRPr="00C820A0">
          <w:rPr>
            <w:rFonts w:ascii="Garamond" w:hAnsi="Garamond"/>
            <w:color w:val="0000FF"/>
            <w:sz w:val="20"/>
            <w:szCs w:val="20"/>
            <w:u w:val="single"/>
            <w:vertAlign w:val="superscript"/>
            <w:lang w:eastAsia="fr-FR"/>
          </w:rPr>
          <w:t>[7]</w:t>
        </w:r>
      </w:hyperlink>
      <w:r w:rsidRPr="00C820A0">
        <w:rPr>
          <w:rFonts w:ascii="Garamond" w:hAnsi="Garamond"/>
          <w:sz w:val="20"/>
          <w:szCs w:val="20"/>
          <w:lang w:eastAsia="fr-FR"/>
        </w:rPr>
        <w:t xml:space="preserve"> In der hypnotischen Analyse, die ich mit dem Mädchen unternahm, erfuhr ich Folgendes von ihren Schicksalen und damit von der Verursachung ihrer </w:t>
      </w:r>
      <w:r w:rsidRPr="00C820A0">
        <w:rPr>
          <w:rFonts w:ascii="Garamond" w:hAnsi="Garamond"/>
          <w:sz w:val="20"/>
          <w:szCs w:val="20"/>
          <w:lang w:eastAsia="fr-FR"/>
        </w:rPr>
        <w:lastRenderedPageBreak/>
        <w:t xml:space="preserve">Beschwerden; Sie war, früh verwaist, von einer selbst kinderreichen Tante in's Haus genommen worden und wurde dadurch Theilnehmerin an einem höchst unglücklichen Familienleben. Der Mann dieser Tante, eine offenbar pathologische Persönlichkeit, misshandelte Frau und Kinder in rohester Weise und kränkte sie besonders durch die unverhohlene sexuelle Bevorzugung der im Haus befindlichen Dienst- und Kindermädchen, was umso anstössiger wurde, je mehr die Kinder heranwuchsen. </w:t>
      </w:r>
      <w:r w:rsidRPr="00C820A0">
        <w:rPr>
          <w:rFonts w:ascii="Garamond" w:hAnsi="Garamond"/>
          <w:sz w:val="20"/>
          <w:szCs w:val="20"/>
          <w:lang w:val="en-US" w:eastAsia="fr-FR"/>
        </w:rPr>
        <w:t xml:space="preserve">Als die Tante starb, wurde Rosalia die Schützerin der verwaisten und vom Vater bedrängten Kinderschaar. Sie nahm ihre Pflichten ernst, focht alle Conflicte durch, zu denen sie diese Stellung führte, hatte aber dabei die grösste Mühe aufzuwenden, um die Aeusserungen ihres Hasses und ihrer Verachtung gegen den Onkel zu unterdrücken. Damals entstand in ihr die Empfindung des Schnürens im Halse; jedesmal, wenn sie eine Antwort schuldig bleiben musste, wenn sie sich gezwungen hatte, auf eine empörende Beschuldigung ruhig zu bleiben, fühlte sie das Kratzen in der Kehle, das Zusammenschnüren, das Versagen der Stimme, kurz alle die im Kehlkopf und Schlund localisirten Empfindungen, die sie jetzt im Singen störten. Es war begreiflich, dass sie nach der Möglichkeit suchte sich selbständig zu machen, um den Aufregungen und peinlichen Eindrücken zu entgehen, die jeder Tag im Hause des Onkels </w:t>
      </w:r>
      <w:r w:rsidRPr="00C820A0">
        <w:rPr>
          <w:rFonts w:ascii="Garamond" w:hAnsi="Garamond"/>
          <w:color w:val="666666"/>
          <w:sz w:val="20"/>
          <w:szCs w:val="20"/>
          <w:lang w:val="en-US" w:eastAsia="fr-FR"/>
        </w:rPr>
        <w:t>[</w:t>
      </w:r>
      <w:hyperlink r:id="rId1903" w:tooltip="Seite:De Studien über Hysterie 150.jpg" w:history="1">
        <w:r w:rsidRPr="00C820A0">
          <w:rPr>
            <w:rFonts w:ascii="Garamond" w:hAnsi="Garamond"/>
            <w:b/>
            <w:bCs/>
            <w:color w:val="0000FF"/>
            <w:sz w:val="20"/>
            <w:szCs w:val="20"/>
            <w:u w:val="single"/>
            <w:lang w:val="en-US" w:eastAsia="fr-FR"/>
          </w:rPr>
          <w:t>150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brachte. Ein tüchtiger Gesangslehrer nahm sich ihrer uneigennützig an und versicherte ihr, dass ihre Stimme sie berechtige, den Beruf einer Sängerin zu wählen. Sie begann nun heimlich Unterricht bei ihm zu nehmen, aber dadurch, dass sie oft mit dem Schnüren im Hals, wie es nach heftigen häuslichen Scenen übrig blieb, zum Sangunterricht wegeilte, festigte sich eine Beziehung zwischen dem Singen und der hysterischen Parästhesie, die schon durch die Organempfindung beim Singen angebahnt war. Der Apparat, über den sie beim Singen frei hätte verfügen sollen, zeigte sich besetzt mit Innervationsresten nach jenen zahlreichen Scenen unterdrückter Erregung. Sie hatte seither das Haus ihres Onkels verlassen, war in eine fremde Stadt gezogen, um der Familie fern zu bleiben, aber das Hinderniss war damit nicht überwunden. Andere hysterische Symptome zeigte das schöne, ungewöhnlich verständige Mädchen nicht.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bemühte mich, diese „Retentionshysterie“ durch Reproduciren aller erregenden Eindrücke und nachträgliches Abreagiren zu erledigen. Ich liess sie schimpfen, Reden halten, dem Onkel tüchtig die Wahrheit in's Gesicht sagen u. dgl. Diese Behandlung that ihr auch sehr wohl; leider lebte sie unterdess hier in recht ungünstigen Verhältnissen. Sie hatte kein Glück mit ihren Verwandten. Sie war Gast bei einem anderen Onkel, der sie auch freundlich aufnahm; aber gerade dadurch erregte sie das Missfallen der Tante. Diese Frau vermuthete bei ihrem Manne ein tiefer gehendes Interesse an seiner Nichte und liess es sich angelegen sein, dem Mädchen den Aufenthalt in Wien gründlich zu verleiden. Sie hatte selbst in ihrer Jugend einer Neigung zur Künstlerschaft entsagen müssen und neidete es jetzt der Nichte, dass sie ihr Talent ausbilden konnte, obwohl hier nicht Neigung, sondern Drang zur Selbständigkeit die Entschliessung herbeigeführt hatte. Rosalie fühlte sich so beengt im Hause, dass sie z. B. nicht zu singen oder Clavier zu spielen wagte, wenn die Tante in Hörweite war, und dass sie es sorgfältig vermied, dein übrigens betagten Onkel – Bruder ihrer Mutter – etwas vorzuspielen oder vorzusingen, wenn die Tante hinzukommen konnte. Während ich mich bemühte, die Spuren alter Erregungen zu tilgen, entstanden aus diesem Verhältniss zu ihren Gastgebern neue, die endlich auch den Erfolg meiner Behandlung störten und vorzeitig die Cur unterbrachen.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Eines Tages erschien die Patientin bei mir mit einem neuen, kaum 24 Stunden alten Symptom. Sie klagte über ein unangenehmes Prickeln in den Fingerspitzen, das seit gestern alle paar Stunden auftrete </w:t>
      </w:r>
      <w:r w:rsidRPr="00C820A0">
        <w:rPr>
          <w:rFonts w:ascii="Garamond" w:hAnsi="Garamond"/>
          <w:color w:val="666666"/>
          <w:sz w:val="20"/>
          <w:szCs w:val="20"/>
          <w:lang w:val="en-US" w:eastAsia="fr-FR"/>
        </w:rPr>
        <w:t>[</w:t>
      </w:r>
      <w:hyperlink r:id="rId1904" w:tooltip="Seite:De Studien über Hysterie 151.jpg" w:history="1">
        <w:r w:rsidRPr="00C820A0">
          <w:rPr>
            <w:rFonts w:ascii="Garamond" w:hAnsi="Garamond"/>
            <w:b/>
            <w:bCs/>
            <w:color w:val="0000FF"/>
            <w:sz w:val="20"/>
            <w:szCs w:val="20"/>
            <w:u w:val="single"/>
            <w:lang w:val="en-US" w:eastAsia="fr-FR"/>
          </w:rPr>
          <w:t>151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und sie nöthige, ganz besondere, schnellende Bewegungen mit den Fingern zu machen. Ich konnte den Anfall nicht sehen, sonst hätte ich wohl aus dem Anblick der Fingerbewegungen den Anlass errathen; ich versuchte aber sofort der Begründung des Symptomes (eigentlich des kleinen hysterischen Anfalls) durch hypnotische Analyse auf die Spur zu kommen. Da das Ganze erst seit so kurzer Zeit bestand, hoffte ich Aufklärung und Erledigung rasch herbeiführen zu können. Zu meinem Erstaunen brachte mir die Kranke – ohne Zaudern und in chronologischer Ordnung – eine ganze Reihe von Scenen, in früher Kindheit beginnend, denen etwa gemeinsam war, dass sie ein Unrecht ohne Abwehr geduldet hatte, so dass es ihr dabei in den Fingern zucken konnte, z. B. Scenen wie, dass sie in der Schule die Hand hinhalten musste, auf die ihr der Lehrer mit dem Lineal einen Schlag versetzte. Es waren aber banale Anlässe, denen ich die Berechtigung, in die Aetiologie eines hysterischen Symptoms einzugehen, gerne bestritten hätte. Anders stand es mit einer Scene aus ihren ersten Mädchenjahren, die sich daran schloss. Der böse Onkel, der an Rheumatismus litt, hatte von ihr verlangt, dass sie ihn am Rücken massire. Sie getraute sich nicht, es zu verweigern. Er lag dabei zu Bett, plötzlich warf er die Decke ab, erhob sich, wollte sie packen und hinwerfen. Sie unterbrach natürlich die Massage und hatte sich im nächsten Moment geflüchtet und in ihrem Zimmer versperrt. Sie erinnerte sich offenbar nicht gerne an dieses Erlebniss, wollte sich auch nicht äussern, ob sie bei der plötzlichen Entblössung des Mannes etwas gesehen habe. Die Empfindung in den Fingern mochte dabei durch den unterdrückten Impuls zu erklären sein, ihn zu züchtigen, oder einfach daher rühren, dass sie eben mit der Massage beschäftigt war. Erst nach dieser Scene kam sie auf die gestern erlebte zu sprechen, nach welcher sich Empfindung und Zucken in den Fingern als wiederkehrendes Erinnerungssymbol eingestellt hatten. Der Onkel, bei dem sie jetzt wohnte, hatte sie gebeten, ihm etwas vorzuspielen; sie setzte sich an's Clavier und begleitete sich dabei mit Gesang in der Meinung, die Tante sei ausgegangen. Plötzlich kam die Tante in die Thüre; Rosalie sprang auf, warf den Deckel des Claviers zu und schleuderte das Notenblatt weg; es ist auch zu errathen, welche Erinnerung in ihr auftauchte und welchen Gedankengang sie in diesem Momente abwehrte, den der Erbitterung über den ungerechten Verdacht, der sie eigentlich bewegen sollte, das Haus zu verlassen, während sie doch der Cur wegen genöthigt war, in Wien zu bleiben, und eine andere Unterkunft nicht hatte. Die Bewegung der </w:t>
      </w:r>
      <w:r w:rsidRPr="00C820A0">
        <w:rPr>
          <w:rFonts w:ascii="Garamond" w:hAnsi="Garamond"/>
          <w:color w:val="666666"/>
          <w:sz w:val="20"/>
          <w:szCs w:val="20"/>
          <w:lang w:val="en-US" w:eastAsia="fr-FR"/>
        </w:rPr>
        <w:t>[</w:t>
      </w:r>
      <w:hyperlink r:id="rId1905" w:tooltip="Seite:De Studien über Hysterie 152.jpg" w:history="1">
        <w:r w:rsidRPr="00C820A0">
          <w:rPr>
            <w:rFonts w:ascii="Garamond" w:hAnsi="Garamond"/>
            <w:b/>
            <w:bCs/>
            <w:color w:val="0000FF"/>
            <w:sz w:val="20"/>
            <w:szCs w:val="20"/>
            <w:u w:val="single"/>
            <w:lang w:val="en-US" w:eastAsia="fr-FR"/>
          </w:rPr>
          <w:t>152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Finger, die ich bei der Reproduction dieser Scene </w:t>
      </w:r>
      <w:r w:rsidRPr="00C820A0">
        <w:rPr>
          <w:rFonts w:ascii="Garamond" w:hAnsi="Garamond"/>
          <w:sz w:val="20"/>
          <w:szCs w:val="20"/>
          <w:lang w:val="en-US" w:eastAsia="fr-FR"/>
        </w:rPr>
        <w:lastRenderedPageBreak/>
        <w:t>sah, war die des Fortschnellens, als ob man – wörtlich und figürlich – etwas von sich weisen würde, ein Notenblatt wegfegen oder eine Zumuthung abthun.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Sie war ganz bestimmt in ihrer Versicherung, dass sie dieses Symptom nicht vorher – nicht aus Anlass der zuerst erzählten Scenen – verspürt hatte. Was blieb also übrig anzunehmen, als dass das gestrige Erlebnis zunächst die Erinnerung an frühere ähnlichen Inhalts geweckt, und dass dann die Bildung eines Erinnerungssymbols der ganzen Gruppe von Erinnerungen gegolten hatte? Die Conversion war einerseits von frischerlebtem, andererseits von erinnertem Affect bestritten worden.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Wenn man sich die Sachlage näher überlegt, muss man zugestehen, dass ein solcher Vorgang eher als Regel denn als Ausnahme bei der Entstehung hysterischer Symptome zu bezeichnen ist. Fast jedesmal, wenn ich nach der Determinirung solcher Zustände forschte, fand sich nicht ein einziger, sondern eine Gruppe von ähnlichen traumatischen Anlässen vor (vergl. die schönen Beispiele bei Frau Emmy in der Krankengeschichte II). Für manche dieser Fälle liess sich feststellen, dass das betreffende Symptom schon nach dem ersten Trauma für kurze Zeit erschienen war, um dann zurückzutreten, bis es durch ein nächstes Trauma neuerdings hervorgerufen und stabilisirt wurde. Zwischen diesem zeitweiligen Hervortreten und dem überhaupt Latentbleiben nach den ersten Anlässen ist aber kein principieller Unterschied zu constatiren, und in einer überwiegend grossen Anzahl von Beispielen ergab sich wiederum, dass die ersten Traumen kein Symptom hinterlassen hatten, während ein späteres Trauma derselben Art ein Symptom hervorrief, welches doch zu seiner Entstehung der Mitwirkung der früheren Anlässe nicht entbehren konnte, und dessen Lösung wirklich die Berücksichtigung aller Anlässe erforderte. In die Ausdrucksweise der Conversionstheorie übersetzt, will diese unleugbare Thatsache der Summation der Traumen und der erstweiligen Latenz der Symptome besagen, dass die Conversion ebensogut vom frischen wie vom erinnerten Affect statthaben kann, und diese Annahme klärt den Widerspruch völlig auf, in dem bei Fräulein Elisabeth v. R. ... Krankengeschichte und Analyse zu stehen scheinen.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ist ja keine Frage, dass die Gesunden die Fortdauer von Vorstellungen mit unerledigtem Affect in ihrem Bewusstsein im grossen Ausmaass ertragen. Die Behauptung, die ich eben verfochten, nähert bloss das Verhalten der Hysterischen dem der Gesunden an. </w:t>
      </w:r>
      <w:r w:rsidRPr="00C820A0">
        <w:rPr>
          <w:rFonts w:ascii="Garamond" w:hAnsi="Garamond"/>
          <w:sz w:val="20"/>
          <w:szCs w:val="20"/>
          <w:lang w:eastAsia="fr-FR"/>
        </w:rPr>
        <w:t xml:space="preserve">Es kommt </w:t>
      </w:r>
      <w:r w:rsidRPr="00C820A0">
        <w:rPr>
          <w:rFonts w:ascii="Garamond" w:hAnsi="Garamond"/>
          <w:color w:val="666666"/>
          <w:sz w:val="20"/>
          <w:szCs w:val="20"/>
          <w:lang w:eastAsia="fr-FR"/>
        </w:rPr>
        <w:t>[</w:t>
      </w:r>
      <w:hyperlink r:id="rId1906" w:tooltip="Seite:De Studien über Hysterie 153.jpg" w:history="1">
        <w:r w:rsidRPr="00C820A0">
          <w:rPr>
            <w:rFonts w:ascii="Garamond" w:hAnsi="Garamond"/>
            <w:b/>
            <w:bCs/>
            <w:color w:val="0000FF"/>
            <w:sz w:val="20"/>
            <w:szCs w:val="20"/>
            <w:u w:val="single"/>
            <w:lang w:eastAsia="fr-FR"/>
          </w:rPr>
          <w:t>153</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offenbar auf ein quantitatives Moment an, nämlich darauf, </w:t>
      </w:r>
      <w:r w:rsidRPr="00C820A0">
        <w:rPr>
          <w:rFonts w:ascii="Garamond" w:hAnsi="Garamond"/>
          <w:i/>
          <w:iCs/>
          <w:sz w:val="20"/>
          <w:szCs w:val="20"/>
          <w:lang w:eastAsia="fr-FR"/>
        </w:rPr>
        <w:t>wieviel</w:t>
      </w:r>
      <w:r w:rsidRPr="00C820A0">
        <w:rPr>
          <w:rFonts w:ascii="Garamond" w:hAnsi="Garamond"/>
          <w:sz w:val="20"/>
          <w:szCs w:val="20"/>
          <w:lang w:eastAsia="fr-FR"/>
        </w:rPr>
        <w:t xml:space="preserve"> von solcher Affectspannung eine Organisation verträgt. Auch der Hysterische wird ein gewisses Maass unerledigt beibehalten können; wächst dasselbe durch Summation bei ähnlichen Anlässen über die individuelle Tragfähigkeit hinaus, so ist der Anstoss zur Conversion gegeben. </w:t>
      </w:r>
      <w:r w:rsidRPr="00C820A0">
        <w:rPr>
          <w:rFonts w:ascii="Garamond" w:hAnsi="Garamond"/>
          <w:sz w:val="20"/>
          <w:szCs w:val="20"/>
          <w:lang w:val="en-US" w:eastAsia="fr-FR"/>
        </w:rPr>
        <w:t>Es ist also keine fremdartige Aufstellung, sondern beinahe ein Postulat, dass die Bildung hysterischer Symptome auch auf Kosten von erinnertem Affect vor sich gehen könne. –</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habe mich nun mit dem </w:t>
      </w:r>
      <w:r w:rsidRPr="00C820A0">
        <w:rPr>
          <w:rFonts w:ascii="Garamond" w:hAnsi="Garamond"/>
          <w:i/>
          <w:iCs/>
          <w:sz w:val="20"/>
          <w:szCs w:val="20"/>
          <w:lang w:val="en-US" w:eastAsia="fr-FR"/>
        </w:rPr>
        <w:t>Motiv</w:t>
      </w:r>
      <w:r w:rsidRPr="00C820A0">
        <w:rPr>
          <w:rFonts w:ascii="Garamond" w:hAnsi="Garamond"/>
          <w:sz w:val="20"/>
          <w:szCs w:val="20"/>
          <w:lang w:val="en-US" w:eastAsia="fr-FR"/>
        </w:rPr>
        <w:t xml:space="preserve"> und mit dem </w:t>
      </w:r>
      <w:r w:rsidRPr="00C820A0">
        <w:rPr>
          <w:rFonts w:ascii="Garamond" w:hAnsi="Garamond"/>
          <w:i/>
          <w:iCs/>
          <w:sz w:val="20"/>
          <w:szCs w:val="20"/>
          <w:lang w:val="en-US" w:eastAsia="fr-FR"/>
        </w:rPr>
        <w:t>Mechanismus</w:t>
      </w:r>
      <w:r w:rsidRPr="00C820A0">
        <w:rPr>
          <w:rFonts w:ascii="Garamond" w:hAnsi="Garamond"/>
          <w:sz w:val="20"/>
          <w:szCs w:val="20"/>
          <w:lang w:val="en-US" w:eastAsia="fr-FR"/>
        </w:rPr>
        <w:t xml:space="preserve"> dieses Falles von Hysterie beschäftigt; es erübrigt noch, die </w:t>
      </w:r>
      <w:r w:rsidRPr="00C820A0">
        <w:rPr>
          <w:rFonts w:ascii="Garamond" w:hAnsi="Garamond"/>
          <w:i/>
          <w:iCs/>
          <w:sz w:val="20"/>
          <w:szCs w:val="20"/>
          <w:lang w:val="en-US" w:eastAsia="fr-FR"/>
        </w:rPr>
        <w:t>Determinirung</w:t>
      </w:r>
      <w:r w:rsidRPr="00C820A0">
        <w:rPr>
          <w:rFonts w:ascii="Garamond" w:hAnsi="Garamond"/>
          <w:sz w:val="20"/>
          <w:szCs w:val="20"/>
          <w:lang w:val="en-US" w:eastAsia="fr-FR"/>
        </w:rPr>
        <w:t xml:space="preserve"> des hysterischen Symptoms zu erörtern. Warum mussten gerade die Schmerzen in den Beinen die Vertretung des seelischen Schmerzes übernehmen? Die Umstände des Falles weisen darauf hin, dass dieser somatische Schmerz nicht von der Neurose geschaffen, sondern bloss von ihr benützt, gesteigert und erhalten wurde. Ich will gleich hinzusetzen, in den allermeisten Fällen von hysterischen Algien, in welche ich Einsicht bekommen konnte, war es ähnlich; es war immer zu Anfang ein wirklicher, organisch begründeter Schmerz vorhanden gewesen. Es sind die gemeinsten, verbreitetsten Schmerzen der Menschheit, die am häufigsten dazu berufen erscheinen, eine Rolle in der Hysterie zu spielen, vor Allem die periostalen und neuralgischen Schmerzen bei Erkrankung der Zähne, die aus so verschiedenen Quellen stammenden Kopfschmerzen, und nicht minder die so häufig verkannten rheumatischen Schmerzen der Muskeln. Den ersten Anfall von Schmerzen, den Frl. Elisabeth v. R. noch während der Pflege ihres Vaters gehabt, halte ich auch für einen organisch begründeten. Ich erhielt nämlich keine Auskunft, als ich nach einem psychischen Anlass dafür forschte, und ich bin, ich gestehe es, geneigt, meiner Methode des Hervorrufens versteckter Erinnerungen differentialdiagnostische Bedeutung beizulegen, wenn sie sorgfältig gehandhabt wird. Dieser ursprünglich rheumatische</w:t>
      </w:r>
      <w:hyperlink r:id="rId1907" w:anchor="cite_note-7" w:history="1">
        <w:r w:rsidRPr="00C820A0">
          <w:rPr>
            <w:rFonts w:ascii="Garamond" w:hAnsi="Garamond"/>
            <w:color w:val="0000FF"/>
            <w:sz w:val="20"/>
            <w:szCs w:val="20"/>
            <w:u w:val="single"/>
            <w:vertAlign w:val="superscript"/>
            <w:lang w:val="en-US" w:eastAsia="fr-FR"/>
          </w:rPr>
          <w:t>[8]</w:t>
        </w:r>
      </w:hyperlink>
      <w:r w:rsidRPr="00C820A0">
        <w:rPr>
          <w:rFonts w:ascii="Garamond" w:hAnsi="Garamond"/>
          <w:sz w:val="20"/>
          <w:szCs w:val="20"/>
          <w:lang w:val="en-US" w:eastAsia="fr-FR"/>
        </w:rPr>
        <w:t xml:space="preserve"> Schmerz wurde nun bei der Kranken zum Erinnerungssymbol für ihre schmerzlichen psychischen Erregungen und zwar, soviel ich sehen kann, aus mehr als einem Grund. Zunächst und hauptsächlich wohl darum, weil er ungefähr gleichzeitig mit jenen Erregungen im Bewusstsein vorhanden war; zweitens weil er mit dem Vorstellungsinhalt jener Zeit in mehrfacher Weise verknüpft war oder verknüpft sein konnte. Er war vielleicht überhaupt nur eine entfernte Folge der Krankenpflege, der verringerten </w:t>
      </w:r>
      <w:r w:rsidRPr="00C820A0">
        <w:rPr>
          <w:rFonts w:ascii="Garamond" w:hAnsi="Garamond"/>
          <w:color w:val="666666"/>
          <w:sz w:val="20"/>
          <w:szCs w:val="20"/>
          <w:lang w:val="en-US" w:eastAsia="fr-FR"/>
        </w:rPr>
        <w:t>[</w:t>
      </w:r>
      <w:hyperlink r:id="rId1908" w:tooltip="Seite:De Studien über Hysterie 154.jpg" w:history="1">
        <w:r w:rsidRPr="00C820A0">
          <w:rPr>
            <w:rFonts w:ascii="Garamond" w:hAnsi="Garamond"/>
            <w:b/>
            <w:bCs/>
            <w:color w:val="0000FF"/>
            <w:sz w:val="20"/>
            <w:szCs w:val="20"/>
            <w:u w:val="single"/>
            <w:lang w:val="en-US" w:eastAsia="fr-FR"/>
          </w:rPr>
          <w:t>154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Bewegung und der schlechteren Ernährung, welche das Amt der Pflegerin mit sich brachte. Aber das war der Kranken kaum klar geworden; mehr in Betracht kommt wohl, dass sie ihn in bedeutsamen Momenten der Pflege spüren musste, z. B. wenn sie in der Winterkälte aus dem Bette sprang, um dem Ruf des Vaters zu folgen. Geradezu entscheidend für die Richtung, welche die Conversion nahm, musste aber die andere Weise der associativen Verknüpfung sein, der Umstand, dass durch eine lange Reihe von Tagen eines ihrer schmerzhaften Beine mit dem geschwollenen Bein des Vaters beim Wechsel der Binden in Berührung kam. Die durch diese Berührung ausgezeichnete Stelle des rechten Beines blieb von da an der Herd und Ausgangspunkt der Schmerzen, eine künstliche hysterogene Zone, deren Entstehung sich in diesem Falle klar durchschauen lässt.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Sollte sich jemand über diese associative Verknüpfung zwischen physischem Schmerz und psychischem Affect als eine zu vielfältige und künstliche verwundern, so würde ich antworten, solche Verwunderung sei ebenso unbillig wie jene andere darüber, „dass gerade die Reichsten in der Welt das meiste Geld besitzen“. Wo nicht so reichliche Verknüpfung vorliegt, da bildet sich eben kein hysterisches Symptom, da findet die Conversion keinen Weg; und ich kann versichern, dass das Beispiel des Frl. Elisabeth v. R. in Hinsicht der Determinirung zu den einfacheren gehörte. Ich habe, besonders bei Frau Cäcilie M., die verschlungensten Knoten dieser Art zu lösen gehabt.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Wie sich über diese Schmerzen die Astasie-Abasie unserer Kranken aufbaute, nachdem einmal der Conversion ein bestimmter Weg geöffnet war, diess habe ich schon in der Krankengeschichte erörtert. Ich habe aber dort auch die Behauptung vertreten, dass die Kranke die Functionsstörung durch Symbolisirung geschaffen oder gesteigert, dass sie für ihre Unselbständigkeit, ihre Ohnmacht, etwas an den Verhältnissen zu ändern, einen somatischen Ausdruck fand in der Abasie-Astasie, und dass die Redensarten: Nicht von der Stelle kommen, keinen Anhalt haben udgl. die Brücke für diesen neuen Act der Conversion bildeten. Ich werde mich bemühen, diese Auffassung durch andere Beispiele zu stützen.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Conversion auf Grund von Gleichzeitigkeit bei sonst vorhandener associativer Verknüpfung scheint an die hysterische Disposition die geringsten Ansprüche zu stellen; die Conversion durch Symbolisirung hingegen eines höheren Grades von hysterischer Modification zu bedürfen, wie sie auch bei Frl. Elisabeth erst im späteren Stadium </w:t>
      </w:r>
      <w:r w:rsidRPr="00C820A0">
        <w:rPr>
          <w:rFonts w:ascii="Garamond" w:hAnsi="Garamond"/>
          <w:color w:val="666666"/>
          <w:sz w:val="20"/>
          <w:szCs w:val="20"/>
          <w:lang w:val="en-US" w:eastAsia="fr-FR"/>
        </w:rPr>
        <w:t>[</w:t>
      </w:r>
      <w:hyperlink r:id="rId1909" w:tooltip="Seite:De Studien über Hysterie 155.jpg" w:history="1">
        <w:r w:rsidRPr="00C820A0">
          <w:rPr>
            <w:rFonts w:ascii="Garamond" w:hAnsi="Garamond"/>
            <w:b/>
            <w:bCs/>
            <w:color w:val="0000FF"/>
            <w:sz w:val="20"/>
            <w:szCs w:val="20"/>
            <w:u w:val="single"/>
            <w:lang w:val="en-US" w:eastAsia="fr-FR"/>
          </w:rPr>
          <w:t>155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ihrer Hysterie nachweisbar ist. Die schönsten Beispiele von Symbolisirung habe ich bei Frau Cäcilie M. beobachtet, die ich meinen schwersten und lehrreichsten Fall von Hysterie nennen darf. Ich habe bereits angedeutet, dass sich diese Krankengeschichte leider einer ausführlichen Wiedergabe entzieht.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Frau Cäcilie litt unter anderen Dingen an einer überaus heftigen Gesichtsneuralgie, die 2–3mal im Jahr plötzlich auftrat, 5–10 Tage anhielt, jeder Therapie trotzte und dann wie abgeschnitten aufhörte. Sie beschränkte sich auf den zweiten und dritten Ast des einen Trigeminus, und da Uraturie zweifellos war, und ein nicht ganz klarer „Rheumatismus acutus“ in der Geschichte der Kranken eine gewisse Rolle spielte, lag die Auffassung einer gichtischen Neuralgie nahe genug. Diese Auffassung wurde auch von den Consiliarärzten, die jeden Anfall zu sehen bekamen, getheilt; die Neuralgie sollte mit den gebräuchlichen Methoden: elektrische Pinselung, alkalische Wässer. Abführmittel, behandelt werden, blieb aber jedesmal unbeeinflusst, bis es ihr beliebte, einem anderen Symptom den Platz zu räumen. In früheren Jahren – die Neuralgie war 15 Jahre alt – waren die Zähne beschuldigt worden, diese Neuralgie zu unterhalten; sie wurden zur Extraction verurtheilt, und eines schönes Tages wurde in der Narkose die Execution an 7 der Missethäter vollzogen. Das gieng nicht so leicht ab; die Zähne sassen so fest, dass von den meisten die Wurzeln zurückgelassen werden mussten. Erfolg hatte diese grausame Operation keinen, weder zeitweiligen noch dauernden. Die Neuralgie tobte damals Monate lang. Auch zur Zeit meiner Behandlung wurde bei jeder Neuralgie der Zahnarzt geholt; er erklärte jedesmal kranke Wurzeln zu finden, begann sich an die Arbeit zu machen, wurde aber gewöhnlich bald unterbrochen, denn die Neuralgie hörte plötzlich auf und mit ihr das Verlangen nach dem Zahnarzt. In den Intervallen thaten die Zähne gar nicht weh. Eines Tages, als gerade wieder ein Anfall wüthete, wurde ich von der Kranken zur hypnotischen Behandlung veranlasst, ich legte auf die Schmerzen ein sehr energisches Verbot, und sie hörten von diesem Moment an auf. Ich begann damals, Zweifel an der Echtheit dieser Neuralgie zu nähren.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Etwa ein Jahr nach diesem hypnotischen Heilerfolg nahm der Krankheitszustand der Frau Cäcilie eine neue und überraschende Wendung. Es kamen plötzlich andere Zustände, als sie den letzten Jahren eigen gewesen waren, aber die Kranke erklärte nach einigem Besinnen, dass alle diese Zustände bei ihr früher einmal dagewesen </w:t>
      </w:r>
      <w:r w:rsidRPr="00C820A0">
        <w:rPr>
          <w:rFonts w:ascii="Garamond" w:hAnsi="Garamond"/>
          <w:color w:val="666666"/>
          <w:sz w:val="20"/>
          <w:szCs w:val="20"/>
          <w:lang w:val="en-US" w:eastAsia="fr-FR"/>
        </w:rPr>
        <w:t>[</w:t>
      </w:r>
      <w:hyperlink r:id="rId1910" w:tooltip="Seite:De Studien über Hysterie 156.jpg" w:history="1">
        <w:r w:rsidRPr="00C820A0">
          <w:rPr>
            <w:rFonts w:ascii="Garamond" w:hAnsi="Garamond"/>
            <w:b/>
            <w:bCs/>
            <w:color w:val="0000FF"/>
            <w:sz w:val="20"/>
            <w:szCs w:val="20"/>
            <w:u w:val="single"/>
            <w:lang w:val="en-US" w:eastAsia="fr-FR"/>
          </w:rPr>
          <w:t>156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wären und zwar über den langen Zeitraum ihrer Krankheit (30 Jahre) verstreut. Es wickelte sich nun wirklich eine überraschende Fülle von hysterischen Zufällen ab, welche die Kranke an ihre richtige Stelle in der Vergangenheit zu localisiren vermochte, und bald wurden auch die oft sehr verschlungenen Gedankenverbindungen kenntlich, welche die Reihenfolge dieser Zufälle bestimmten. Es war wie eine Reihe von Bildern mit erläuterndem Text. </w:t>
      </w:r>
      <w:r w:rsidRPr="00C820A0">
        <w:rPr>
          <w:rFonts w:ascii="Garamond" w:hAnsi="Garamond"/>
          <w:i/>
          <w:iCs/>
          <w:sz w:val="20"/>
          <w:szCs w:val="20"/>
          <w:lang w:eastAsia="fr-FR"/>
        </w:rPr>
        <w:t>Pitres</w:t>
      </w:r>
      <w:r w:rsidRPr="00C820A0">
        <w:rPr>
          <w:rFonts w:ascii="Garamond" w:hAnsi="Garamond"/>
          <w:sz w:val="20"/>
          <w:szCs w:val="20"/>
          <w:lang w:eastAsia="fr-FR"/>
        </w:rPr>
        <w:t xml:space="preserve"> muss mit der Aufstellung seines </w:t>
      </w:r>
      <w:r w:rsidRPr="00C820A0">
        <w:rPr>
          <w:rFonts w:ascii="Garamond" w:hAnsi="Garamond"/>
          <w:i/>
          <w:iCs/>
          <w:sz w:val="20"/>
          <w:szCs w:val="20"/>
          <w:lang w:eastAsia="fr-FR"/>
        </w:rPr>
        <w:t>Délire ecmnésique</w:t>
      </w:r>
      <w:r w:rsidRPr="00C820A0">
        <w:rPr>
          <w:rFonts w:ascii="Garamond" w:hAnsi="Garamond"/>
          <w:sz w:val="20"/>
          <w:szCs w:val="20"/>
          <w:lang w:eastAsia="fr-FR"/>
        </w:rPr>
        <w:t xml:space="preserve"> etwas Derartiges im Auge gehabt haben. </w:t>
      </w:r>
      <w:r w:rsidRPr="00C820A0">
        <w:rPr>
          <w:rFonts w:ascii="Garamond" w:hAnsi="Garamond"/>
          <w:sz w:val="20"/>
          <w:szCs w:val="20"/>
          <w:lang w:val="en-US" w:eastAsia="fr-FR"/>
        </w:rPr>
        <w:t xml:space="preserve">Die Art, wie ein solcher der Vergangenheit angehöriger hysterischer Zustand reproducirt wurde, war höchst merkwürdig. Es tauchte zuerst im besten Befinden der Kranken eine pathologische Stimmung besonderer Färbung auf, welche von der Kranken regelmässig verkannt und auf ein banales Ereigniss der letzten Stunden bezogen wurde; dann folgten unter zunehmender Trübung des Bewusstseins hysterische Symptome: Hallucinationen, Schmerzen, Krämpfe, lange Declamationen, und endlich schloss sich an diese das hallucinatorische Auftauchen eines Erlebnisses aus der Vergangenheit, welches die initiale Stimmung erklären und die jeweiligen Symptome determiniren konnte. Mit diesem letzten Stück des Anfalles war die Klarheit wieder da, die Beschwerden verschwanden wie durch Zauber, und es herrschte wieder Wohlbefinden – bis zum nächsten Anfall, einen halben Tag später. Gewöhnlich wurde ich auf der Höhe des Zustandes geholt, leitete die Hypnose ein, rief die Reproduction des traumatischen Erlebnisses hervor und bereitete dem Anfall durch Kunsthilfe ein früheres Ende. Indem ich mehrere hunderte solcher Cyclen mit der Kranken durchmachte, erhielt ich die lehrreichsten Aufschlüsse über Determinirung hysterischer Symptome. Auch war die Beobachtung dieses merkwürdigen Falles in Gemeinschaft mit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der nächste Anlass zur Veröffentlichung unserer „vorläufigen Mittheilung“.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diesem Zusammenhang kam es endlich auch zur Reproduction der Gesichtsneuralgie, die ich als actuellen Anfall noch selbst behandelt hatte. Ich war neugierig, ob sich eine psychische Verursachung hier ergeben würde. Als ich die traumatische Scene hervorzurufen versuchte, sah sich die Kranke in eine Zeit grosser seelischer Empfindlichkeit gegen ihren Mann versetzt, erzählte von einem Gespräch, das sie mit ihm geführt, von einer Bemerkung seinerseits, die sie als schwere Kränkung aufgefasst; dann fasste sie sich plötzlich an die Wange, schrie vor Schmerz laut auf und sagte: Das war mir wie ein Schlag in's Gesicht. – Damit war aber auch Schmerz und Anfall zu Ende.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11" w:tooltip="Seite:De Studien über Hysterie 157.jpg" w:history="1">
        <w:r w:rsidRPr="00C820A0">
          <w:rPr>
            <w:rFonts w:ascii="Garamond" w:hAnsi="Garamond"/>
            <w:b/>
            <w:bCs/>
            <w:color w:val="0000FF"/>
            <w:sz w:val="20"/>
            <w:szCs w:val="20"/>
            <w:u w:val="single"/>
            <w:lang w:val="en-US" w:eastAsia="fr-FR"/>
          </w:rPr>
          <w:t>157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Kein Zweifel, dass es sich hier um eine Symbolisirung gehandelt hatte; sie hatte gefühlt, als ob sie den Schlag in's Gesicht wirklich bekommen hätte. Nun wird jedermann die Frage aufwerfen, wieso wohl die Empfindung eines „Schlages in's Gesicht“ zu den Aeusserlichkeiten einer Trigeminusneuralgie, zur Beschränkung auf den 2. und 3. Ast, zur Steigerung beim Mundöffnen und Kauen (nicht beim Reden!) gelangt sein mag.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Am nächsten Tag war die Neuralgie wieder da, nur liess sie sich diesmal durch die Reproduction einer anderen Scene lösen, deren Inhalt gleichfalls eine vermeintliche Beleidigung war. So ging es neun Tage lang fort; es schien sich zu ergeben, dass Jahre hindurch Kränkungen, insbesondere durch Worte, auf dem Wege der Symbolisirung neue Anfälle dieser Gesichtsneuralgie hervorgerufen hatten.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Endlich gelang es aber, auch zum ersten Anfall von Neuralgie (vor mehr als 15 Jahren) vorzudringen. Hier fand sich keine Symbolisirung, sondern eine Conversion durch Gleichzeitigkeit; es war ein schmerzlicher Anblick, bei dem ihr ein Vorwurf auftauchte, welcher sie veranlasste, eine andere Gedankenreihe zurückdrängen. Es war also ein Fall von Conflict und Abwehr; die Entstehung der Neuralgie in diesem Momente nicht weiter erklärlich, wenn man nicht annehmen wollte, dass sie damals an leichten Zahn- oder Gesichtsschmerzen gelitten, und dies war nicht unwahrscheinlich, denn sie hatte sich gerade in den ersten Monaten der ersten Gravidität befunden.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So ergab sich also als Aufklärung, dass diese Neuralgie auf dem gewöhnlichen Wege der Conversion zum Merkzeichen einer bestimmten psychischen Erregung geworden war, dass sie aber in der Folge durch associative Anklage aus dem Gedankenleben, durch symbolisirende Conversion geweckt werden konnte; eigentlich dasselbe Verhalten, das wir bei Frl. Elisabeth von R ... gefunden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will ein zweites Beispiel anführen, welches die Wirksamkeit der Symbolisirung unter anderen Bedingungen anschaulich machen kann: Zu einer gewissen Zeit plagte Frau Cäcilie ein heftiger Schmerz in der rechten Ferse Stiche bei jedem Schritt, die das Gehen unmöglich machten. Die Analyse führte uns dabei auf eine Zeit, in welcher sich die Patientin in einer ausländischen Heilanstalt befunden hatte. Sie war 8 Tage lang in ihrem Zimmer gelegen, sollte dann vom Hausarzt das erste Mal zur gemeinsamen Tafel abgeholt werden. Der Schmerz war in dem Moment entstanden, als die Kranke seinen Arm nahm, um </w:t>
      </w:r>
      <w:r w:rsidRPr="00C820A0">
        <w:rPr>
          <w:rFonts w:ascii="Garamond" w:hAnsi="Garamond"/>
          <w:color w:val="666666"/>
          <w:sz w:val="20"/>
          <w:szCs w:val="20"/>
          <w:lang w:val="en-US" w:eastAsia="fr-FR"/>
        </w:rPr>
        <w:t>[</w:t>
      </w:r>
      <w:hyperlink r:id="rId1912" w:tooltip="Seite:De Studien über Hysterie 158.jpg" w:history="1">
        <w:r w:rsidRPr="00C820A0">
          <w:rPr>
            <w:rFonts w:ascii="Garamond" w:hAnsi="Garamond"/>
            <w:b/>
            <w:bCs/>
            <w:color w:val="0000FF"/>
            <w:sz w:val="20"/>
            <w:szCs w:val="20"/>
            <w:u w:val="single"/>
            <w:lang w:val="en-US" w:eastAsia="fr-FR"/>
          </w:rPr>
          <w:t>158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das Zimmer zu verlassen; er schwand während der Reproduction dieser Scene, als die Kranke den Satz aussprach: Damals habe sie die Furcht beherrscht, ob sie auch das „</w:t>
      </w:r>
      <w:r w:rsidRPr="00C820A0">
        <w:rPr>
          <w:rFonts w:ascii="Garamond" w:hAnsi="Garamond"/>
          <w:i/>
          <w:iCs/>
          <w:sz w:val="20"/>
          <w:szCs w:val="20"/>
          <w:lang w:val="en-US" w:eastAsia="fr-FR"/>
        </w:rPr>
        <w:t>rechte Auftreten</w:t>
      </w:r>
      <w:r w:rsidRPr="00C820A0">
        <w:rPr>
          <w:rFonts w:ascii="Garamond" w:hAnsi="Garamond"/>
          <w:sz w:val="20"/>
          <w:szCs w:val="20"/>
          <w:lang w:val="en-US" w:eastAsia="fr-FR"/>
        </w:rPr>
        <w:t>“ in der fremden Gesellschaft treffen werde!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Diess scheint nun ein schlagendes, beinahe komisches Beispiel von Entstellung hysterischer Symptome durch Symbolisirung vermittelst des sprachlichen Ausdrucks. Allein ein näheres Eingehen auf die Umstände jenes Momentes bevorzugt eine andere Auffassung. Die Kranke litt zu jener Zeit überhaupt an Fusschmerzen, sie war wegen Fusschmerzen so lange zu Bette geblieben; und es kann nur zugegeben werden, dass die Furcht, von der sie bei den ersten Schritten befallen wurde, aus den gleichzeitig vorhandenen Schmerzen den einen, symbolisch passenden, in der rechten Ferse hervorsuchte, um ihn zu einer psychischen Algie auszubilden und ihm zu einer besonderen Fortdauer zu verhelfen.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Erscheint in diesen Beispielen der Mechanismus der Symbolisirung in den zweiten Rang gedrängt, was sicherlich der Regel entspricht, so verfüge ich doch auch über Beispiele, welche die Entstehung hysterischer Symptome durch blosse Symbolisirung zu beweisen scheinen. Eines der schönsten ist folgendes, es bezieht sich wiederum auf Frau Cäcilie. Sie lag als 15jähriges Mädchen im Bette, bewacht von ihrer gestrengen Grossmama. Plötzlich schrie das Kind auf, sie hatte einen bohrenden Schmerz in der Stirne zwischen den Augen bekommen, der dann Wochen lange anhielt. Bei der Analyse dieses Schmerzes, der sich nach fast 30 Jahren reproducirte, gab sie an, die Grossmama habe sie so „durchdringend“ angeschaut, dass ihr der Blick tief in's Gehirn gedrungen wäre. Sie fürchtete nämlich, von der alten Frau misstrauisch betrachtet worden zu sein. Bei der Mittheilung dieses Gedankens brach sie in ein lautes Lachen aus, und der Schmerz war wieder zu Ende. Hier finde ich nichts anderes als den Mechanismus der Symbolisirung, der zwischen dem Mechanismus der </w:t>
      </w:r>
      <w:r w:rsidRPr="00C820A0">
        <w:rPr>
          <w:rFonts w:ascii="Garamond" w:hAnsi="Garamond"/>
          <w:i/>
          <w:iCs/>
          <w:sz w:val="20"/>
          <w:szCs w:val="20"/>
          <w:lang w:val="en-US" w:eastAsia="fr-FR"/>
        </w:rPr>
        <w:t>Autosuggestion</w:t>
      </w:r>
      <w:r w:rsidRPr="00C820A0">
        <w:rPr>
          <w:rFonts w:ascii="Garamond" w:hAnsi="Garamond"/>
          <w:sz w:val="20"/>
          <w:szCs w:val="20"/>
          <w:lang w:val="en-US" w:eastAsia="fr-FR"/>
        </w:rPr>
        <w:t xml:space="preserve"> und dem der </w:t>
      </w:r>
      <w:r w:rsidRPr="00C820A0">
        <w:rPr>
          <w:rFonts w:ascii="Garamond" w:hAnsi="Garamond"/>
          <w:i/>
          <w:iCs/>
          <w:sz w:val="20"/>
          <w:szCs w:val="20"/>
          <w:lang w:val="en-US" w:eastAsia="fr-FR"/>
        </w:rPr>
        <w:t>Conversion</w:t>
      </w:r>
      <w:r w:rsidRPr="00C820A0">
        <w:rPr>
          <w:rFonts w:ascii="Garamond" w:hAnsi="Garamond"/>
          <w:sz w:val="20"/>
          <w:szCs w:val="20"/>
          <w:lang w:val="en-US" w:eastAsia="fr-FR"/>
        </w:rPr>
        <w:t xml:space="preserve"> gewissermaassen die Mitte hält.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Beobachtung der Frau Cäcilie M ... hat mir Gelegenheit gegeben, geradezu eine Sammlung derartiger Symbolisirungen anzulegen. Eine ganze Reihe von körperlichen Sensationen, die sonst als organisch vermittelt angesehen werden, hatte bei ihr psychischen Ursprung oder war wenigstens mit einer psychischen Deutung versehen. Eine gewisse Reihe von Erlebnissen war bei ihr von der Empfindung eines Stiches </w:t>
      </w:r>
      <w:r w:rsidRPr="00C820A0">
        <w:rPr>
          <w:rFonts w:ascii="Garamond" w:hAnsi="Garamond"/>
          <w:color w:val="666666"/>
          <w:sz w:val="20"/>
          <w:szCs w:val="20"/>
          <w:lang w:val="en-US" w:eastAsia="fr-FR"/>
        </w:rPr>
        <w:t>[</w:t>
      </w:r>
      <w:hyperlink r:id="rId1913" w:tooltip="Seite:De Studien über Hysterie 159.jpg" w:history="1">
        <w:r w:rsidRPr="00C820A0">
          <w:rPr>
            <w:rFonts w:ascii="Garamond" w:hAnsi="Garamond"/>
            <w:b/>
            <w:bCs/>
            <w:color w:val="0000FF"/>
            <w:sz w:val="20"/>
            <w:szCs w:val="20"/>
            <w:u w:val="single"/>
            <w:lang w:val="en-US" w:eastAsia="fr-FR"/>
          </w:rPr>
          <w:t>159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in der Herzgegend begleitet. („Es hat mir einen Stich in's Herz gegeben“). Der nagelförmige Kopfschmerz der Hysterie war bei ihr unzweifelhaft als Denkschmerz aufzulösen. („Es steckt mir etwas im Kopf); er löste sich auch jedesmal, wenn das betreffende Problem gelöst war. Der Empfindung der hysterischen Aura im Halse ging der Gedanke parallel: Das muss ich herunterschlucken, wenn diese Empfindung bei einer Kränkung auftrat. Es war eine ganze Reihe von parallel laufenden Sensationen und Vorstellungen, in welcher bald die Sensation die Vorstellung als Deutung erweckt, bald die Vorstellung durch Symbolisirung die Sensation geschaffen hatte, und nicht selten musste es zweifelhaft bleiben, welches der beiden Elemente das primäre gewesen war.</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Ich habe bei keiner anderen Patientin mehr eine so ausgiebige Verwendung der Symbolisirung auffinden können. Freilich war Frau Cäcilie M. eine Person von ganz ungewöhnlicher, insbesondere künstlerischer Begabung, deren hochentwickelter Sinn für Form sich in vollendet schönen Gedichten kundgab. Ich behaupte aber, es liegt weniger Individuelles und Willkürliches, als man meinen sollte, darin, wenn die Hysterica der affectbetonten Vorstellung durch Symbolisirung einen somatischen Ausdruck schafft. Indem sie den sprachlichen Ausdruck wörtlich nimmt, den „Stich ins Herz“ oder den „Schlag in's Gesicht“ bei einer verletzenden Anrede wie eine reale Begebenheit empfindet, übt sie keinen witzigen Missbrauch, sondern belebt nur die Empfindungen von Neuem, denen der sprachliche Ausdruck seine Berechtigung verdankt. Wie kämen wir denn dazu, von dem Gekränkten zu sagen, „es hat ihm einen Stich in's Herz gegeben“, wenn nicht thatsächlich die Kränkung von einer derartig zu deutenden Präcordialempfindung begleitet und an ihr kenntlich wäre? Wie wahrscheinlich ist es nicht, dass die Redensart „etwas herunterschlucken“, die man auf unerwiderte Beleidigung anwendet, thatsächlich von den </w:t>
      </w:r>
      <w:r w:rsidRPr="00C820A0">
        <w:rPr>
          <w:rFonts w:ascii="Garamond" w:hAnsi="Garamond"/>
          <w:sz w:val="20"/>
          <w:szCs w:val="20"/>
          <w:lang w:val="en-US" w:eastAsia="fr-FR"/>
        </w:rPr>
        <w:lastRenderedPageBreak/>
        <w:t xml:space="preserve">Innervationsempfindungen herrührt, die im Schlunde auftreten, wenn man sich die Rede versagt, sich an der Reaction auf Beleidigung hindert? All diese Sensationen und Innervationen gehören dem „Ausdruck der Gemüthsbewegungen“ an, der, wie uns </w:t>
      </w:r>
      <w:r w:rsidRPr="00C820A0">
        <w:rPr>
          <w:rFonts w:ascii="Garamond" w:hAnsi="Garamond"/>
          <w:i/>
          <w:iCs/>
          <w:sz w:val="20"/>
          <w:szCs w:val="20"/>
          <w:lang w:val="en-US" w:eastAsia="fr-FR"/>
        </w:rPr>
        <w:t>Darwin</w:t>
      </w:r>
      <w:r w:rsidRPr="00C820A0">
        <w:rPr>
          <w:rFonts w:ascii="Garamond" w:hAnsi="Garamond"/>
          <w:sz w:val="20"/>
          <w:szCs w:val="20"/>
          <w:lang w:val="en-US" w:eastAsia="fr-FR"/>
        </w:rPr>
        <w:t xml:space="preserve"> gelehrt hat, aus ursprünglich sinnvollen und zweckmässigen Leistungen besteht; sie mögen gegenwärtig zumeist so weit abgeschwächt sein, dass ihr sprachlicher Ausdruck uns als bildliche Uebertragung erscheint, allein sehr wahrscheinlich war das alles einmal wörtlich gemeint, und die Hysterie thut Recht daran, wenn sie für ihre stärkeren Innervationen den </w:t>
      </w:r>
      <w:r w:rsidRPr="00C820A0">
        <w:rPr>
          <w:rFonts w:ascii="Garamond" w:hAnsi="Garamond"/>
          <w:color w:val="666666"/>
          <w:sz w:val="20"/>
          <w:szCs w:val="20"/>
          <w:lang w:val="en-US" w:eastAsia="fr-FR"/>
        </w:rPr>
        <w:t>[</w:t>
      </w:r>
      <w:hyperlink r:id="rId1914" w:tooltip="Seite:De Studien über Hysterie 160.jpg" w:history="1">
        <w:r w:rsidRPr="00C820A0">
          <w:rPr>
            <w:rFonts w:ascii="Garamond" w:hAnsi="Garamond"/>
            <w:b/>
            <w:bCs/>
            <w:color w:val="0000FF"/>
            <w:sz w:val="20"/>
            <w:szCs w:val="20"/>
            <w:u w:val="single"/>
            <w:lang w:val="en-US" w:eastAsia="fr-FR"/>
          </w:rPr>
          <w:t>160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ursprünglichen Wortsinn wieder herstellt. Ja, vielleicht ist es Unrecht zu sagen, sie schaffe sich solche Sensationen durch Symbolisirung; sie hat vielleicht den Sprachgebrauch gar nicht zum Vorbild genommen, sondern schöpft mit ihm aus gemeinsamer Quelle.</w:t>
      </w:r>
      <w:hyperlink r:id="rId1915" w:anchor="cite_note-8" w:history="1">
        <w:r w:rsidRPr="00C820A0">
          <w:rPr>
            <w:rFonts w:ascii="Garamond" w:hAnsi="Garamond"/>
            <w:color w:val="0000FF"/>
            <w:sz w:val="20"/>
            <w:szCs w:val="20"/>
            <w:u w:val="single"/>
            <w:vertAlign w:val="superscript"/>
            <w:lang w:eastAsia="fr-FR"/>
          </w:rPr>
          <w:t>[9]</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7" style="width:113.4pt;height:1.5pt" o:hrpct="250" o:hralign="center" o:hrstd="t" o:hr="t" fillcolor="#a0a0a0" stroked="f"/>
        </w:pict>
      </w:r>
    </w:p>
    <w:p w:rsidR="005C1841" w:rsidRPr="005C1841" w:rsidRDefault="005C1841" w:rsidP="005C1841">
      <w:pPr>
        <w:pStyle w:val="Sansinterligne"/>
        <w:rPr>
          <w:rFonts w:ascii="Garamond" w:hAnsi="Garamond"/>
          <w:sz w:val="20"/>
          <w:szCs w:val="20"/>
          <w:lang w:val="en-US" w:eastAsia="fr-FR"/>
        </w:rPr>
      </w:pPr>
      <w:hyperlink r:id="rId1916" w:anchor="cite_ref-0"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(Hypochonder, mit Angstneurose Behaftete.)</w:t>
      </w:r>
    </w:p>
    <w:p w:rsidR="005C1841" w:rsidRPr="00C820A0" w:rsidRDefault="005C1841" w:rsidP="005C1841">
      <w:pPr>
        <w:pStyle w:val="Sansinterligne"/>
        <w:rPr>
          <w:rFonts w:ascii="Garamond" w:hAnsi="Garamond"/>
          <w:sz w:val="20"/>
          <w:szCs w:val="20"/>
          <w:lang w:val="en-US" w:eastAsia="fr-FR"/>
        </w:rPr>
      </w:pPr>
      <w:hyperlink r:id="rId1917" w:anchor="cite_ref-1"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Es wird sich ergeben, dass ich mich hierin doch geirrt hatte.</w:t>
      </w:r>
    </w:p>
    <w:p w:rsidR="005C1841" w:rsidRPr="00C820A0" w:rsidRDefault="005C1841" w:rsidP="005C1841">
      <w:pPr>
        <w:pStyle w:val="Sansinterligne"/>
        <w:rPr>
          <w:rFonts w:ascii="Garamond" w:hAnsi="Garamond"/>
          <w:sz w:val="20"/>
          <w:szCs w:val="20"/>
          <w:lang w:eastAsia="fr-FR"/>
        </w:rPr>
      </w:pPr>
      <w:hyperlink r:id="rId1918" w:anchor="cite_ref-2"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Die Abwehr-Neuropsychosen. Neurologisches Centralblatt 1. Juni 1894.</w:t>
      </w:r>
    </w:p>
    <w:p w:rsidR="005C1841" w:rsidRPr="00C820A0" w:rsidRDefault="005C1841" w:rsidP="005C1841">
      <w:pPr>
        <w:pStyle w:val="Sansinterligne"/>
        <w:rPr>
          <w:rFonts w:ascii="Garamond" w:hAnsi="Garamond"/>
          <w:sz w:val="20"/>
          <w:szCs w:val="20"/>
          <w:lang w:eastAsia="fr-FR"/>
        </w:rPr>
      </w:pPr>
      <w:hyperlink r:id="rId1919" w:anchor="cite_ref-3"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Ich kann nicht ausschliessen, aber auch nicht erweisen, dass diese hauptsächlich die Oberschenkel einnehmenden Schmerzen </w:t>
      </w:r>
      <w:r w:rsidRPr="00C820A0">
        <w:rPr>
          <w:rFonts w:ascii="Garamond" w:hAnsi="Garamond"/>
          <w:i/>
          <w:iCs/>
          <w:sz w:val="20"/>
          <w:szCs w:val="20"/>
          <w:lang w:eastAsia="fr-FR"/>
        </w:rPr>
        <w:t>neurasthenischer</w:t>
      </w:r>
      <w:r w:rsidRPr="00C820A0">
        <w:rPr>
          <w:rFonts w:ascii="Garamond" w:hAnsi="Garamond"/>
          <w:sz w:val="20"/>
          <w:szCs w:val="20"/>
          <w:lang w:eastAsia="fr-FR"/>
        </w:rPr>
        <w:t xml:space="preserve"> Natur gewesen seien.</w:t>
      </w:r>
    </w:p>
    <w:p w:rsidR="005C1841" w:rsidRPr="00C820A0" w:rsidRDefault="005C1841" w:rsidP="005C1841">
      <w:pPr>
        <w:pStyle w:val="Sansinterligne"/>
        <w:rPr>
          <w:rFonts w:ascii="Garamond" w:hAnsi="Garamond"/>
          <w:sz w:val="20"/>
          <w:szCs w:val="20"/>
          <w:lang w:val="en-US" w:eastAsia="fr-FR"/>
        </w:rPr>
      </w:pPr>
      <w:hyperlink r:id="rId1920" w:anchor="cite_ref-4"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habe einmal mit Verwunderung erfahren, dass ein solches „nachholendes Abreagiren“ – nach anderen Eindrücken als bei einer Krankenpflege – den Inhalt </w:t>
      </w:r>
      <w:r w:rsidRPr="00C820A0">
        <w:rPr>
          <w:rFonts w:ascii="Garamond" w:hAnsi="Garamond"/>
          <w:color w:val="666666"/>
          <w:sz w:val="20"/>
          <w:szCs w:val="20"/>
          <w:lang w:val="en-US" w:eastAsia="fr-FR"/>
        </w:rPr>
        <w:t>[</w:t>
      </w:r>
      <w:hyperlink r:id="rId1921" w:tooltip="Seite:De Studien über Hysterie 143.jpg" w:history="1">
        <w:r w:rsidRPr="00C820A0">
          <w:rPr>
            <w:rFonts w:ascii="Garamond" w:hAnsi="Garamond"/>
            <w:b/>
            <w:bCs/>
            <w:color w:val="0000FF"/>
            <w:sz w:val="20"/>
            <w:szCs w:val="20"/>
            <w:u w:val="single"/>
            <w:lang w:val="en-US" w:eastAsia="fr-FR"/>
          </w:rPr>
          <w:t>143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einer sonst räthselhaften Neurose bilden kann. Es war diess bei einem schönen 19jährigen Mädchen, Frl. Mathilde H. . . ., welches ich zuerst mit einer unvollständigen Lähmung der Beine sah, dann aber Monate später zur Behandlung bekam, weil sie ihren Charakter verändert hatte, bis zur Lebensunlust verstimmt, rücksichtslos gegen ihre Mutter, reizbar und unzugänglich geworden war. Das ganze Bild der Patientin gestattete mir nicht die Annahme einer gewöhnlichen Melancholie. Sie war sehr leicht in tiefen Somnambulismus zu versetzen, und ich bediente mich dieser ihrer Eigenthümlichkeit, um ihr jedesmal Gebote und Suggestionen zu ertheilen, die sie im tiefen Schlaf anhörte, mit reichlichen Thränen begleitete, die aber sonst an ihrem Befinden wenig änderten. Eines Tages wurde sie in der Hypnose gesprächig und theilte mir mit, dass die Ursache ihrer Verstimmung die vor mehreren Monaten erfolgte Auflösung ihrer Verlobung sei. Es hätte sich bei näherer Bekanntschaft mit dem Verlobten immer mehr herausgestellt, was der Mutter und ihr unerwünscht gewesen wäre, andererseits seien die materiellen Vortheile der Verbindung zu greifbar gewesen, um den Entschluss des Abbrechens leicht zu machen: so hätten sie Beide eine lange Zeit geschwankt, sie selbst sei in einen Zustand von Unentschlossenheit gerathen, in dem sie apathisch alles über sich ergehen liess, und endlich habe die Mutter für sie das entscheidende Nein gesprochen. Eine Weile später sei sie wie aus einem Traum erwacht, habe begonnen, sich eifrig in Gedanken mit der bereits gefällten Entscheidung zu befassen, das Für und das Wider bei sich abzuwägen, und dieser Vorgang setze sich bei ihr immer noch fort. Sie lebe in jener Zeit der Zweifel, habe an jedem Tag die Stimmung und die Gedanken, die sich für den damaligen Tag geschickt hätten, ihre Reizbarkeit gegen die Mutter sei auch nur in damals geltenden Verhältnissen begründet, und neben dieser Gedankenthätigkeit komme ihr das gegenwärtige Leben wie eine Scheinexistenz, wie etwas Geträumtes vor. – Es gelang mir nicht wieder, das Mädchen zum Reden zu bringen, ich setzte meinen Zuspruch in tiefem Somnambulismus fort, sah sie jedesmal in Thränen ausbrechen, ohne dass sie mir je Antwort gab, und eines Tages, ungefähr um den Jahrestag der Verlobung, war der ganze Zustand von Verstimmung vorüber, was mir als grosser hypnotischer Heilerfolg angerechnet wurde.</w:t>
      </w:r>
    </w:p>
    <w:p w:rsidR="005C1841" w:rsidRPr="005C1841" w:rsidRDefault="005C1841" w:rsidP="005C1841">
      <w:pPr>
        <w:pStyle w:val="Sansinterligne"/>
        <w:rPr>
          <w:rFonts w:ascii="Garamond" w:hAnsi="Garamond"/>
          <w:sz w:val="20"/>
          <w:szCs w:val="20"/>
          <w:lang w:val="en-US" w:eastAsia="fr-FR"/>
        </w:rPr>
      </w:pPr>
      <w:hyperlink r:id="rId1922" w:anchor="cite_ref-5"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Anders bei einer Hypnoidhysterie; hier wäre der Inhalt der separaten psychischen Gruppe nie im Ichbewusstsein gewesen.</w:t>
      </w:r>
    </w:p>
    <w:p w:rsidR="005C1841" w:rsidRPr="005C1841" w:rsidRDefault="005C1841" w:rsidP="005C1841">
      <w:pPr>
        <w:pStyle w:val="Sansinterligne"/>
        <w:rPr>
          <w:rFonts w:ascii="Garamond" w:hAnsi="Garamond"/>
          <w:sz w:val="20"/>
          <w:szCs w:val="20"/>
          <w:lang w:val="en-US" w:eastAsia="fr-FR"/>
        </w:rPr>
      </w:pPr>
      <w:hyperlink r:id="rId1923" w:anchor="cite_ref-6"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habe einen anderen Fall beobachtet, in dem eine Contractur der Masseteren der Sängerin die Ausübung ihrer Kunst unmöglich machte. Die junge Frau war durch peinliche Erlebnisse in ihrer Familie veranlasst worden, sich zur Bühne zu wenden. Sie sang in Rom in grosser Erregung Probe, als sie plötzlich die Empfindung bekam, sie könne den geöffneten Mund nicht schliessen; sie fiel ohnmächtig zu Boden. Der geholte Arzt drückte die Kiefer gewaltsam zusammen; die Kranke aber blieb von da an unfähig, die Kiefer weiter als die Breite eines Fingers von einander zu entfernen, und musste den neugewählten Beruf aufgeben. Als sie mehrere Jahre später in meine Behandlung kam, waren die Ursachen jener Erregung offenbar längst abgethan, denn eine Massage in leichter Hypnose reichte hin, um ihr den Mund weit zu öffnen. </w:t>
      </w:r>
      <w:r w:rsidRPr="005C1841">
        <w:rPr>
          <w:rFonts w:ascii="Garamond" w:hAnsi="Garamond"/>
          <w:sz w:val="20"/>
          <w:szCs w:val="20"/>
          <w:lang w:val="en-US" w:eastAsia="fr-FR"/>
        </w:rPr>
        <w:t>Die Dame hat seither öffentlich gesungen.</w:t>
      </w:r>
    </w:p>
    <w:p w:rsidR="005C1841" w:rsidRPr="005C1841" w:rsidRDefault="005C1841" w:rsidP="005C1841">
      <w:pPr>
        <w:pStyle w:val="Sansinterligne"/>
        <w:rPr>
          <w:rFonts w:ascii="Garamond" w:hAnsi="Garamond"/>
          <w:sz w:val="20"/>
          <w:szCs w:val="20"/>
          <w:lang w:val="en-US" w:eastAsia="fr-FR"/>
        </w:rPr>
      </w:pPr>
      <w:hyperlink r:id="rId1924" w:anchor="cite_ref-7"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vielleicht aber spinal-neurasthenische?</w:t>
      </w:r>
    </w:p>
    <w:p w:rsidR="005C1841" w:rsidRPr="00C820A0" w:rsidRDefault="005C1841" w:rsidP="005C1841">
      <w:pPr>
        <w:pStyle w:val="Sansinterligne"/>
        <w:rPr>
          <w:rFonts w:ascii="Garamond" w:hAnsi="Garamond"/>
          <w:sz w:val="20"/>
          <w:szCs w:val="20"/>
          <w:lang w:val="en-US" w:eastAsia="fr-FR"/>
        </w:rPr>
      </w:pPr>
      <w:hyperlink r:id="rId1925" w:anchor="cite_ref-8"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In Zuständen tiefer gehender psychischer Veränderung kommt offenbar auch eine symbolische Ausprägung des mehr artificiellen Sprachgebrauches in sinnlichen Bildern und Sensationen vor. Frau Cäcilie M. hatte eine Zeit, in welcher sich ihr jeder Gedanke in eine Hallucination umsetzte, deren Lösung oft viel Witz erforderte. Sie klagte mir damals, sie werde durch die Hallucination belästigt, dass ihre beiden Aerzte –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und ich – im Garten an zwei nahen Bäumen aufgehängt wären. Die Hallucination verschwand, nachdem die Analyse folgenden Hergang aufgedeckt hatte: Abends vorher war sie von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mit der Bitte um ein bestimmtes Medikament abwiesen worden, sie setzte dann ihre Hoffnung auf mich, fand mich aber ebenso hartherzig. Sie zürnte uns darüber und dachte in ihrem Affect: Die Zwei sind einander werth, der Eine ist das </w:t>
      </w:r>
      <w:r w:rsidRPr="00C820A0">
        <w:rPr>
          <w:rFonts w:ascii="Garamond" w:hAnsi="Garamond"/>
          <w:i/>
          <w:iCs/>
          <w:sz w:val="20"/>
          <w:szCs w:val="20"/>
          <w:lang w:val="en-US" w:eastAsia="fr-FR"/>
        </w:rPr>
        <w:t>Pendant</w:t>
      </w:r>
      <w:r w:rsidRPr="00C820A0">
        <w:rPr>
          <w:rFonts w:ascii="Garamond" w:hAnsi="Garamond"/>
          <w:sz w:val="20"/>
          <w:szCs w:val="20"/>
          <w:lang w:val="en-US" w:eastAsia="fr-FR"/>
        </w:rPr>
        <w:t xml:space="preserve"> zum Anderen!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t>III. Theoretisches.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t>
      </w:r>
      <w:r w:rsidRPr="00C820A0">
        <w:rPr>
          <w:rFonts w:ascii="Garamond" w:hAnsi="Garamond"/>
          <w:i/>
          <w:iCs/>
          <w:sz w:val="20"/>
          <w:szCs w:val="20"/>
          <w:lang w:val="en-US" w:eastAsia="fr-FR"/>
        </w:rPr>
        <w:t>J. Breuer.</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der „Vorläufigen Mitteilung“, welche diese Studien einleitet, haben wir die Anschauungen dargelegt, zu denen wir durch unsere Beobachtungen geführt wurden; und ich glaube in der Hauptsache an ihnen festhalten zu dürfen. Die „Vorläufige Mittheilung“ ist aber so kurz und so knapp, dass darin grossentheils nur angedeutet werden konnte, was wir meinen. Es sei darum gestattet, nun, da die Krankengeschichten Belege für unsere Anschauungen erbracht </w:t>
      </w:r>
      <w:r w:rsidRPr="00C820A0">
        <w:rPr>
          <w:rFonts w:ascii="Garamond" w:hAnsi="Garamond"/>
          <w:sz w:val="20"/>
          <w:szCs w:val="20"/>
          <w:lang w:val="en-US" w:eastAsia="fr-FR"/>
        </w:rPr>
        <w:lastRenderedPageBreak/>
        <w:t>haben, diese ausführlicher darzulegen. Natürlich soll und kann auch hier nicht „das Ganze der Hysterie“ abgehandelt werden; aber es sollen diejenigen Punkte, welche in der „Vorläufigen Mittheilung“ ungenügend begründet und zu schwach hervorgehoben wurden, eine etwas eingehendere, deutlichere, wohl auch einschränkende Besprechung erfahren.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diesen Erörterungen wird wenig vom Gehirn und gar nicht von den Molecülen die Rede sein. Psychische Vorgänge sollen in der Sprache der Psychologie behandelt werden, ja es kann eigentlich gar nicht anders geschehen. Wenn wir statt „Vorstellung“ „Rindenerregung“ sagen wollten, so würde der letztere Ausdruck nur dadurch einen Sinn für uns haben, dass wir in der Verkleidung den guten Bekannten erkennen und die „Vorstellung“ stillschweigend wieder restituiren. Denn während Vorstellungen fortwährend Gegenstände unserer Erfahrung und uns in all' ihren Nuancen wohlbekannt sind, ist „Rindenerregung“ für uns mehr ein Postulat, ein Gegenstand künftiger, erhoffter Erkenntniss. Jener Ersatz der Termini scheint eine zwecklose Maskerade.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So möge der fast ausschliessliche Gebrauch psychologischer Terminologie vergeben werden.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Noch für Anderes muss ich im vorhinein um Nachsicht bitten. Wenn eine Wissenschaft rasch vorwärts schreitet, werden Gedanken, die zuerst von Einzelnen ausgesprochen wurden, alsbald Gemeingut. So kann Niemand, der heute seine Anschauungen über Hysterie und ihre psychische Grundlage darzulegen versucht, es vermeiden, dass er eine Menge Gedanken Anderer ausspreche und wiederhole, die eben aus dem Individualbesitz in den Gemeinbesitz übergehen. Es ist </w:t>
      </w:r>
      <w:r w:rsidRPr="00C820A0">
        <w:rPr>
          <w:rFonts w:ascii="Garamond" w:hAnsi="Garamond"/>
          <w:color w:val="666666"/>
          <w:sz w:val="20"/>
          <w:szCs w:val="20"/>
          <w:lang w:val="en-US" w:eastAsia="fr-FR"/>
        </w:rPr>
        <w:t>[</w:t>
      </w:r>
      <w:hyperlink r:id="rId1926" w:tooltip="Seite:De Studien über Hysterie 162.jpg" w:history="1">
        <w:r w:rsidRPr="00C820A0">
          <w:rPr>
            <w:rFonts w:ascii="Garamond" w:hAnsi="Garamond"/>
            <w:b/>
            <w:bCs/>
            <w:color w:val="0000FF"/>
            <w:sz w:val="20"/>
            <w:szCs w:val="20"/>
            <w:u w:val="single"/>
            <w:lang w:val="en-US" w:eastAsia="fr-FR"/>
          </w:rPr>
          <w:t>162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kaum möglich, von ihnen immer zu constatiren, wer sie zuerst ausgesprochen hat, und auch die Gefahr liegt nahe, dass man für eigenes Product hält, was von ändern schon gesagt worden ist. So möge es entschuldigt werden, wenn hier wenig Citate gebracht werden und zwischen Eigenem und Fremdem nicht streng unterschieden wird. Auf Originalität macht das Wenigste von dem Anspruch, was auf den folgenden Seiten dargelegt werden soll.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t>I. Sind alle hysterischen Phänomene ideogen?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Wir sprachen in der „Vorläufigen Mittheilung“ über den psychischen Mechanismus „hysterischer Phänomene“; nicht „der Hysterie“, weil wir für denselben, und für die psychische Theorie der hysterischen Symptome überhaupt, uneingeschränkte Geltung nicht beanspruchen wollten. Wir glauben nicht, dass alle Erscheinungen der Hysterie auf die von uns dargelegte Weise zu Stande kommen, und auch nicht, dass alle </w:t>
      </w:r>
      <w:r w:rsidRPr="00C820A0">
        <w:rPr>
          <w:rFonts w:ascii="Garamond" w:hAnsi="Garamond"/>
          <w:i/>
          <w:iCs/>
          <w:sz w:val="20"/>
          <w:szCs w:val="20"/>
          <w:lang w:val="en-US" w:eastAsia="fr-FR"/>
        </w:rPr>
        <w:t>ideogen</w:t>
      </w:r>
      <w:r w:rsidRPr="00C820A0">
        <w:rPr>
          <w:rFonts w:ascii="Garamond" w:hAnsi="Garamond"/>
          <w:sz w:val="20"/>
          <w:szCs w:val="20"/>
          <w:lang w:val="en-US" w:eastAsia="fr-FR"/>
        </w:rPr>
        <w:t xml:space="preserve">, d. h. durch Vorstellungen bedingt seien. Wir differiren darin von </w:t>
      </w:r>
      <w:r w:rsidRPr="00C820A0">
        <w:rPr>
          <w:rFonts w:ascii="Garamond" w:hAnsi="Garamond"/>
          <w:i/>
          <w:iCs/>
          <w:sz w:val="20"/>
          <w:szCs w:val="20"/>
          <w:lang w:val="en-US" w:eastAsia="fr-FR"/>
        </w:rPr>
        <w:t>Möbius</w:t>
      </w:r>
      <w:r w:rsidRPr="00C820A0">
        <w:rPr>
          <w:rFonts w:ascii="Garamond" w:hAnsi="Garamond"/>
          <w:sz w:val="20"/>
          <w:szCs w:val="20"/>
          <w:lang w:val="en-US" w:eastAsia="fr-FR"/>
        </w:rPr>
        <w:t>,</w:t>
      </w:r>
      <w:hyperlink r:id="rId1927" w:anchor="cite_note-0" w:history="1">
        <w:r w:rsidRPr="00C820A0">
          <w:rPr>
            <w:rFonts w:ascii="Garamond" w:hAnsi="Garamond"/>
            <w:color w:val="0000FF"/>
            <w:sz w:val="20"/>
            <w:szCs w:val="20"/>
            <w:u w:val="single"/>
            <w:vertAlign w:val="superscript"/>
            <w:lang w:val="en-US" w:eastAsia="fr-FR"/>
          </w:rPr>
          <w:t>[1]</w:t>
        </w:r>
      </w:hyperlink>
      <w:r w:rsidRPr="00C820A0">
        <w:rPr>
          <w:rFonts w:ascii="Garamond" w:hAnsi="Garamond"/>
          <w:sz w:val="20"/>
          <w:szCs w:val="20"/>
          <w:lang w:val="en-US" w:eastAsia="fr-FR"/>
        </w:rPr>
        <w:t xml:space="preserve"> der 1888 die Definition vorschlug: „Hysterisch sind alle diejenigen krankhaften Erscheinungen, die durch Vorstellungen verursacht sind.“ Später wurde dieser Satz dahin erläutert, dass nur ein Theil der krankhaften Phänomene den verursachenden Vorstellungen inhaltlich entspreche, nämlich die durch Fremd- oder Auto-Suggestion erzeugten; z. B. wenn die Vorstellung, den Arm nicht bewegen zu können, eine Lähmung desselben bedinge. Ein anderer Theil der hysterischen Phänomene sei zwar durch Vorstellungen verursacht, entspreche ihnen aber inhaltlich nicht; z. B. wenn in einer unserer Beobachtungen die Lähmung des Armes durch den Anblick von schlangenähnlichen Gegenständen erzeugt wird.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will mit dieser Definition nicht etwa eine Veränderung der Nomenclatur befürworten, so dass fortan nur die durch Vorstellungen bedingten, ideogenen krankhaften Phänomene hysterisch zu nennen wären; sondern er meint, dass alle hysterischen Krankheitserscheinungen ideogen seien. „Weil sehr oft Vorstellungen Ursache der hysterischen Erscheinungen sind, glauben wir, dass sie es immer seien.“ Er nennt dies einen Analogieschluss; ich möchte es eher eine Generalisation nennen, deren Berechtigung erst untersucht werden muss.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Offenbar muss vor jeder Discussion festgestellt werden, was man unter Hysterie versteht. Ich halte Hysterie für ein empirisch gefundenes, der Beobachtung entstammendes Krankheitsbild, gerade so wie die tuberculöse </w:t>
      </w:r>
      <w:r w:rsidRPr="00C820A0">
        <w:rPr>
          <w:rFonts w:ascii="Garamond" w:hAnsi="Garamond"/>
          <w:color w:val="666666"/>
          <w:sz w:val="20"/>
          <w:szCs w:val="20"/>
          <w:lang w:val="en-US" w:eastAsia="fr-FR"/>
        </w:rPr>
        <w:t>[</w:t>
      </w:r>
      <w:hyperlink r:id="rId1928" w:tooltip="Seite:De Studien über Hysterie 163.jpg" w:history="1">
        <w:r w:rsidRPr="00C820A0">
          <w:rPr>
            <w:rFonts w:ascii="Garamond" w:hAnsi="Garamond"/>
            <w:b/>
            <w:bCs/>
            <w:color w:val="0000FF"/>
            <w:sz w:val="20"/>
            <w:szCs w:val="20"/>
            <w:u w:val="single"/>
            <w:lang w:val="en-US" w:eastAsia="fr-FR"/>
          </w:rPr>
          <w:t>163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Lungenphthise. Solche empirisch gewonnene Krankheitsbilder werden durch den Fortschritt unserer Erkenntniss geläutert, vertieft, erklärt; sie sollen und können dadurch aber nicht zerstört werden. Die ätiologische Forschung hat gezeigt, dass die verschiedenen Theilprocesse der Lungenphthise durch verschiedene Krankheitsursachen bedingt sind; der Tuberkel durch den Bacillus </w:t>
      </w:r>
      <w:r w:rsidRPr="00C820A0">
        <w:rPr>
          <w:rFonts w:ascii="Garamond" w:hAnsi="Garamond"/>
          <w:i/>
          <w:iCs/>
          <w:sz w:val="20"/>
          <w:szCs w:val="20"/>
          <w:lang w:val="en-US" w:eastAsia="fr-FR"/>
        </w:rPr>
        <w:t>Kochii</w:t>
      </w:r>
      <w:r w:rsidRPr="00C820A0">
        <w:rPr>
          <w:rFonts w:ascii="Garamond" w:hAnsi="Garamond"/>
          <w:sz w:val="20"/>
          <w:szCs w:val="20"/>
          <w:lang w:val="en-US" w:eastAsia="fr-FR"/>
        </w:rPr>
        <w:t xml:space="preserve">, der Gewebszerfall, die Cavernenbildung, das septische Fieber durch andere Mikroben. Trotzdem bleibt die tuberculöse Phthise eine klinische Einheit, und es wäre unrichtig, sie dadurch zu zerstören, dass man nur die „specifisch tuberculösen“, durch den Bacillus </w:t>
      </w:r>
      <w:r w:rsidRPr="00C820A0">
        <w:rPr>
          <w:rFonts w:ascii="Garamond" w:hAnsi="Garamond"/>
          <w:i/>
          <w:iCs/>
          <w:sz w:val="20"/>
          <w:szCs w:val="20"/>
          <w:lang w:val="en-US" w:eastAsia="fr-FR"/>
        </w:rPr>
        <w:t>Koch's</w:t>
      </w:r>
      <w:r w:rsidRPr="00C820A0">
        <w:rPr>
          <w:rFonts w:ascii="Garamond" w:hAnsi="Garamond"/>
          <w:sz w:val="20"/>
          <w:szCs w:val="20"/>
          <w:lang w:val="en-US" w:eastAsia="fr-FR"/>
        </w:rPr>
        <w:t xml:space="preserve"> bedingten Gewebsveränderungen ihr zuschreiben, die anderen von ihr loslösen wollte. – Ebenso muss die klinische Einheit der Hysterie erhalten bleiben, auch wenn sich herausstellt, dass ihre Phänomene durch verschiedene Ursachen bedingt sind, die einen durch einen psychischen Mechanismus, die anderen ohne solchen zustande kommen.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 ist nun meiner Ueberzeugung nach wirklich der Fall. Nur ein Theil der hysterischen Phänomene ist ideogen, und die Annahme der </w:t>
      </w:r>
      <w:r w:rsidRPr="00C820A0">
        <w:rPr>
          <w:rFonts w:ascii="Garamond" w:hAnsi="Garamond"/>
          <w:i/>
          <w:iCs/>
          <w:sz w:val="20"/>
          <w:szCs w:val="20"/>
          <w:lang w:val="en-US" w:eastAsia="fr-FR"/>
        </w:rPr>
        <w:t>Möbius'schen</w:t>
      </w:r>
      <w:r w:rsidRPr="00C820A0">
        <w:rPr>
          <w:rFonts w:ascii="Garamond" w:hAnsi="Garamond"/>
          <w:sz w:val="20"/>
          <w:szCs w:val="20"/>
          <w:lang w:val="en-US" w:eastAsia="fr-FR"/>
        </w:rPr>
        <w:t xml:space="preserve"> Definition reisst die klinische Einheit der Hysterie, ja auch die Einheit eines und desselben Symptoms bei einem und demselben Kranken mitten entzwei.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wäre ein dem Analogieschluss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ganz analoger Schluss: „Weil sehr oft Vorstellungen und Wahrnehmungen die Erection hervorrufen, nehmen wir an, dass sie allein es immer thun, und dass auch die peripheren Reize erst auf dem Umwege über die Psyche jenen vasomotorischen Vorgang auslösen.“ Wir wissen, dass das ein Irrthum wäre, und doch lägen diesem Schluss gewiss so viele Thatsachen zu Grunde wie dem Satz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betreffs der Hysterie. In Analogie mit einer grossen Zahl physiologischer Vorgänge, wie Speichel- und Thränensecretion, Veränderung der Herzaction u. dgl. ist als möglich und wahrscheinlich anzunehmen, dass derselbe Vorgang sowohl durch Vorstellungen als durch periphere oder andere, aber nicht psychische Reize ausgelöst werden kann. Das Gegentheil ist zu beweisen, und dazu fehlt noch sehr viel. Ja es scheint sicher, dass viele der hysterisch genannten Phänomene nicht allein durch Vorstellungen verursacht werden.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Betrachten wir einen ganz alltäglichen Fall. Eine Frau bekommt bei jedem Affect an Hals, Brust und Gesicht ein erst fleckiges, dann confluirendes Erythem. Dies ist durch Vorstellungen bedingt und also nach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ein hysterisches Phänomen. Dasselbe Erythem tritt aber, wenn auch in geringerer Ausbreitung bei Hautreiz auf, bei Berührung </w:t>
      </w:r>
      <w:r w:rsidRPr="00C820A0">
        <w:rPr>
          <w:rFonts w:ascii="Garamond" w:hAnsi="Garamond"/>
          <w:color w:val="666666"/>
          <w:sz w:val="20"/>
          <w:szCs w:val="20"/>
          <w:lang w:val="en-US" w:eastAsia="fr-FR"/>
        </w:rPr>
        <w:t>[</w:t>
      </w:r>
      <w:hyperlink r:id="rId1929" w:tooltip="Seite:De Studien über Hysterie 164.jpg" w:history="1">
        <w:r w:rsidRPr="00C820A0">
          <w:rPr>
            <w:rFonts w:ascii="Garamond" w:hAnsi="Garamond"/>
            <w:b/>
            <w:bCs/>
            <w:color w:val="0000FF"/>
            <w:sz w:val="20"/>
            <w:szCs w:val="20"/>
            <w:u w:val="single"/>
            <w:lang w:val="en-US" w:eastAsia="fr-FR"/>
          </w:rPr>
          <w:t>164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 dgl. Dies wäre nun nicht hysterisch. So wäre ein, sicherlich völlig einheitliches Phänomen einmal der Hysterie zugehörig und ein andermal nicht. Man kann ja zweifeln, ob man dieses, den Erethismus der Vasomotoren, überhaupt zu den specifisch hysterischen Erscheinungen rechnen soll, oder ob man es nicht besser dem einfachen „Nervosismus“ zuzählt. Aber nach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müsste jene Zerfällung eines einheitlichen Vorgangs jedenfalls geschehen, und das affectiv bedingte Erythem allein hysterisch genannt werden.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Ganz ebenso verhält es sich bei den praktisch so wichtigen hysterischen Algien. Gewiss sind diese häufig direct durch Vorstellungen bedingt; es sind „Schmerzhallucinationen“. Untersuchen wir diese etwas genauer, so zeigt sich, dass zu ihrem Entstehen grosse Lebhaftigkeit der Vorstellung nicht genügt, sondern dass ein besonderer abnormer Zustand der schmerzleitenden und empfindenden Apparate nothwendig ist, wie zum Entstehen des affectiven Erythems die abnorme Erregbarkeit der Vasomotoren. Das Wort „Schmerzhallucination“ bezeichnet gewiss das Wesen dieser Neuralgie auf's prägnanteste, zwingt uns aber auch, die Anschauungen auf sie zu übertragen, die wir uns bezüglich der Hallucination im Allgemeinen gebildet haben. Diese eingehend zu discutiren, ist hier nicht am Platze. Ich bekenne mich zu der Meinung, die „Vorstellung“, das Erinnerungsbild, allein, ohne Erregung des Perceptionsapparates, erlange selbst in seiner grössten Lebhaftigkeit und Intensität nie den Charakter objectiver Existenz, der die Hallucination ausmacht.</w:t>
      </w:r>
      <w:hyperlink r:id="rId1930" w:anchor="cite_note-1" w:history="1">
        <w:r w:rsidRPr="00C820A0">
          <w:rPr>
            <w:rFonts w:ascii="Garamond" w:hAnsi="Garamond"/>
            <w:color w:val="0000FF"/>
            <w:sz w:val="20"/>
            <w:szCs w:val="20"/>
            <w:u w:val="single"/>
            <w:vertAlign w:val="superscript"/>
            <w:lang w:val="en-US" w:eastAsia="fr-FR"/>
          </w:rPr>
          <w:t>[2]</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 gilt schon von den Sinneshallucinationen und noch mehr von den Schmerzhallucinationen. Denn es scheint dem Gesunden nicht möglich zu sein, der Erinnerung an einen körperlichen Schmerz auch </w:t>
      </w:r>
      <w:r w:rsidRPr="00C820A0">
        <w:rPr>
          <w:rFonts w:ascii="Garamond" w:hAnsi="Garamond"/>
          <w:color w:val="666666"/>
          <w:sz w:val="20"/>
          <w:szCs w:val="20"/>
          <w:lang w:val="en-US" w:eastAsia="fr-FR"/>
        </w:rPr>
        <w:t>[</w:t>
      </w:r>
      <w:hyperlink r:id="rId1931" w:tooltip="Seite:De Studien über Hysterie 165.jpg" w:history="1">
        <w:r w:rsidRPr="00C820A0">
          <w:rPr>
            <w:rFonts w:ascii="Garamond" w:hAnsi="Garamond"/>
            <w:b/>
            <w:bCs/>
            <w:color w:val="0000FF"/>
            <w:sz w:val="20"/>
            <w:szCs w:val="20"/>
            <w:u w:val="single"/>
            <w:lang w:val="en-US" w:eastAsia="fr-FR"/>
          </w:rPr>
          <w:t>165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nur jene Lebhaftigkeit, jene entfernte Annäherung an die wirkliche Empfindung zu verschaffen, welche doch bei optischen und acustischen Erinnerungsbildern erreicht werden kann. Selbst in dem normalen hallucinatorischen Zustand des Gesunden, im Schlafe, werden, wie ich glaube, niemals Schmerzen geträumt, wenn nicht eine reale Schmerzempfindung vorhanden ist. Die „rückläufige“, von dem Organ des Gedächtnisses ausgehende Erregung des Perceptionsapparates durch Vorstellungen ist also de norma für Schmerz noch schwieriger als für Gesichts- und Gehörsempfindungen. Treten bei Hysterie mit solcher Leichtigkeit Schmerzhallucinationen auf, so müssen wir eine anomale Erregbarkeit des schmerzempfindenden Apparates statuiren.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Diese tritt nun nicht bloss durch Vorstellungen, sondern auch durch periphere Reize angeregt in die Erscheinung, ganz wie der früher betrachtete Erethismus der Vasomotoren.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Wir beobachten täglich, dass beim nervös normalen Menschen periphere Schmerzen von pathologischen, aber selbst nicht schmerzhaften Vorgängen in andern Organen bedingt werden; so der Kopfschmerz von relativ unbedeutenden Veränderungen der Nase und ihrer Nebenhöhlen; Neuralgien der Intercostal- und Brachialnerven vom Herzen aus, u. dgl. m. Besteht bei einem Kranken jene abnorme Erregbarkeit, welche wir als Bedingung der Schmerzhallucination annehmen mussten, so steht sie, sozusagen, auch den eben erwähnten Irradiationen zur Verfügung. Die auch bei nicht Nervösen vorkommenden werden intensiver, und es bilden sich solche Irradiationen, die wir zwar nur bei Nervenkranken finden, die aber doch auf demselben Mechanismus begründet sind wie jene. So, glaube ich, hängt die Ovarie von den Zuständen des Genitalapparates ab. Dass sie psychisch vermittelt sei, müsste bewiesen werden, und das ist dadurch nicht geschehen, dass man diesen Schmerz, wie jeden anderen, als Hallucination in der Hypnose erzeugen, oder dass die Ovarie auch psychischen Ursprungs sein kann. Sie entsteht eben wie das Erythem, oder wie eine der normalen Secretionen sowohl aus psychischen als aus rein somatischen Ursachen. Sollen wir nun nur die erstere Art hysterisch nennen? jene, von der wir den psychischen Ursprung kennen? Dann mussten wir eigentlich die gewöhnlich beobachtete Ovarie aus dem hysterischen Symptomcomplexe ausscheiden, was doch kaum angeht.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nach einem leichten Trauma eines Gelenkes allmählich eine schwere Gelenksneurose sich entwickelt, so ist in diesem Vorgang gewiss ein psychisches Element: die Concentration der Aufmerksamkeit </w:t>
      </w:r>
      <w:r w:rsidRPr="00C820A0">
        <w:rPr>
          <w:rFonts w:ascii="Garamond" w:hAnsi="Garamond"/>
          <w:color w:val="666666"/>
          <w:sz w:val="20"/>
          <w:szCs w:val="20"/>
          <w:lang w:val="en-US" w:eastAsia="fr-FR"/>
        </w:rPr>
        <w:t>[</w:t>
      </w:r>
      <w:hyperlink r:id="rId1932" w:tooltip="Seite:De Studien über Hysterie 166.jpg" w:history="1">
        <w:r w:rsidRPr="00C820A0">
          <w:rPr>
            <w:rFonts w:ascii="Garamond" w:hAnsi="Garamond"/>
            <w:b/>
            <w:bCs/>
            <w:color w:val="0000FF"/>
            <w:sz w:val="20"/>
            <w:szCs w:val="20"/>
            <w:u w:val="single"/>
            <w:lang w:val="en-US" w:eastAsia="fr-FR"/>
          </w:rPr>
          <w:t>166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 den verletzten Theil, welche die Erregbarkeit der betreffenden Nervenbahnen steigert; aber man kann das kaum so ausdrücken, dass die Hyperalgie durch Vorstellungen bedingt sei.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Nicht anders steht es mit der pathologischen Herabsetzung der Empfindung. Es ist durchaus unerwiesen und unwahrscheinlich, dass die allgemeine Analgesie oder dass die Analgesie einzelner Körpertheile ohne Anästhesie, durch Vorstellungen verursacht sei. Und wenn sich auch die Entdeckung </w:t>
      </w:r>
      <w:r w:rsidRPr="00C820A0">
        <w:rPr>
          <w:rFonts w:ascii="Garamond" w:hAnsi="Garamond"/>
          <w:i/>
          <w:iCs/>
          <w:sz w:val="20"/>
          <w:szCs w:val="20"/>
          <w:lang w:val="en-US" w:eastAsia="fr-FR"/>
        </w:rPr>
        <w:t>Binet’s</w:t>
      </w:r>
      <w:r w:rsidRPr="00C820A0">
        <w:rPr>
          <w:rFonts w:ascii="Garamond" w:hAnsi="Garamond"/>
          <w:sz w:val="20"/>
          <w:szCs w:val="20"/>
          <w:lang w:val="en-US" w:eastAsia="fr-FR"/>
        </w:rPr>
        <w:t xml:space="preserve"> und </w:t>
      </w:r>
      <w:r w:rsidRPr="00C820A0">
        <w:rPr>
          <w:rFonts w:ascii="Garamond" w:hAnsi="Garamond"/>
          <w:i/>
          <w:iCs/>
          <w:sz w:val="20"/>
          <w:szCs w:val="20"/>
          <w:lang w:val="en-US" w:eastAsia="fr-FR"/>
        </w:rPr>
        <w:t>Janet’s</w:t>
      </w:r>
      <w:r w:rsidRPr="00C820A0">
        <w:rPr>
          <w:rFonts w:ascii="Garamond" w:hAnsi="Garamond"/>
          <w:sz w:val="20"/>
          <w:szCs w:val="20"/>
          <w:lang w:val="en-US" w:eastAsia="fr-FR"/>
        </w:rPr>
        <w:t xml:space="preserve"> vollständig bestätigen sollte, dass die Hemianästhesie durch einen eigenthümlichen psychischen Zustand bedingt sei, durch die Spaltung der Psyche, so wäre das zwar ein psychogenes, aber kein ideogenes Phänomen und wäre darum nach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nicht hysterisch zu nennen.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Können wir so von einer grossen Zahl charakteristischer hysterischer Phänomene nicht annehmen, dass sie ideogen seien, so scheint es richtig, den Satz von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zu reduciren. Wir sagen nicht: „Jene krankhaften Erscheinungen sind hysterisch, welche durch Vorstellungen veranlasst sind“; sondern nur: </w:t>
      </w:r>
      <w:r w:rsidRPr="00C820A0">
        <w:rPr>
          <w:rFonts w:ascii="Garamond" w:hAnsi="Garamond"/>
          <w:i/>
          <w:iCs/>
          <w:sz w:val="20"/>
          <w:szCs w:val="20"/>
          <w:lang w:val="en-US" w:eastAsia="fr-FR"/>
        </w:rPr>
        <w:t>Sehr viele der hysterischen Phänomene, wahrscheinlich mehr, als wir heute wissen, sind ideogen</w:t>
      </w:r>
      <w:r w:rsidRPr="00C820A0">
        <w:rPr>
          <w:rFonts w:ascii="Garamond" w:hAnsi="Garamond"/>
          <w:sz w:val="20"/>
          <w:szCs w:val="20"/>
          <w:lang w:val="en-US" w:eastAsia="fr-FR"/>
        </w:rPr>
        <w:t>. Die gemeinschaftliche, fundamentale krankhafte Veränderung aber, welche sowohl den Vorstellungen als auch nicht psychologischen Reizen ermöglicht, pathogen zu wirken, ist eine anomale Erregbarkeit des Nervensystems.</w:t>
      </w:r>
      <w:hyperlink r:id="rId1933" w:anchor="cite_note-2" w:history="1">
        <w:r w:rsidRPr="00C820A0">
          <w:rPr>
            <w:rFonts w:ascii="Garamond" w:hAnsi="Garamond"/>
            <w:color w:val="0000FF"/>
            <w:sz w:val="20"/>
            <w:szCs w:val="20"/>
            <w:u w:val="single"/>
            <w:vertAlign w:val="superscript"/>
            <w:lang w:eastAsia="fr-FR"/>
          </w:rPr>
          <w:t>[3]</w:t>
        </w:r>
      </w:hyperlink>
      <w:r w:rsidRPr="00C820A0">
        <w:rPr>
          <w:rFonts w:ascii="Garamond" w:hAnsi="Garamond"/>
          <w:sz w:val="20"/>
          <w:szCs w:val="20"/>
          <w:lang w:eastAsia="fr-FR"/>
        </w:rPr>
        <w:t xml:space="preserve"> Inwieweit diese selbst psychischen Ursprungs ist, das ist eine weitere Frage.</w: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8"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lastRenderedPageBreak/>
        <w:t>Wenn also nur ein Theil der hysterischen Phänomene ideogen sein dürfte, so sind es doch gerade diese, welche man die specifisch hysterischen nennen darf, und ihre Erforschung, die Aufdeckung ihres psychischen Ursprungs macht den wesentlichsten neueren Fortschritt in der Theorie der Krankheit aus. Es stellt sich nun die weitere Frage: wie kommen sie zu Stande, welches ist der „psychische Mechanismus“ dieser Phänomene?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Dieser Frage gegenüber verhalten sich die beiden von </w:t>
      </w:r>
      <w:r w:rsidRPr="00C820A0">
        <w:rPr>
          <w:rFonts w:ascii="Garamond" w:hAnsi="Garamond"/>
          <w:i/>
          <w:iCs/>
          <w:sz w:val="20"/>
          <w:szCs w:val="20"/>
          <w:lang w:eastAsia="fr-FR"/>
        </w:rPr>
        <w:t>Möbius</w:t>
      </w:r>
      <w:r w:rsidRPr="00C820A0">
        <w:rPr>
          <w:rFonts w:ascii="Garamond" w:hAnsi="Garamond"/>
          <w:sz w:val="20"/>
          <w:szCs w:val="20"/>
          <w:lang w:eastAsia="fr-FR"/>
        </w:rPr>
        <w:t xml:space="preserve"> unterschiedenen Gruppen ideogener Symptome wesentlich verschieden. </w:t>
      </w:r>
      <w:r w:rsidRPr="00C820A0">
        <w:rPr>
          <w:rFonts w:ascii="Garamond" w:hAnsi="Garamond"/>
          <w:sz w:val="20"/>
          <w:szCs w:val="20"/>
          <w:lang w:val="en-US" w:eastAsia="fr-FR"/>
        </w:rPr>
        <w:t xml:space="preserve">Diejenigen, bei denen das Krankheitsphänomen der erregenden Vorstellung inhaltlich entspricht, sind relativ verständlich und durchsichtig. </w:t>
      </w:r>
      <w:r w:rsidRPr="00C820A0">
        <w:rPr>
          <w:rFonts w:ascii="Garamond" w:hAnsi="Garamond"/>
          <w:color w:val="666666"/>
          <w:sz w:val="20"/>
          <w:szCs w:val="20"/>
          <w:lang w:val="en-US" w:eastAsia="fr-FR"/>
        </w:rPr>
        <w:t>[</w:t>
      </w:r>
      <w:hyperlink r:id="rId1934" w:tooltip="Seite:De Studien über Hysterie 167.jpg" w:history="1">
        <w:r w:rsidRPr="00C820A0">
          <w:rPr>
            <w:rFonts w:ascii="Garamond" w:hAnsi="Garamond"/>
            <w:b/>
            <w:bCs/>
            <w:color w:val="0000FF"/>
            <w:sz w:val="20"/>
            <w:szCs w:val="20"/>
            <w:u w:val="single"/>
            <w:lang w:val="en-US" w:eastAsia="fr-FR"/>
          </w:rPr>
          <w:t>167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Wenn die Vorstellung einer gehörten Stimme dieselbe nicht bloss wie beim Gesunden im „inneren Hören“ leise anklingen, sondern als wirkliche objective Gehörsempfindung hallucinatorisch wahrnehmen lässt, so entspricht das bekannten Phänomenen des gesunden Lebens (Traum) und ist unter der Annahme abnormer Erregbarkeit wohl verständlich. Wir wissen, dass es bei jeder willkürlichen Bewegung die Vorstellung des zu erreichenden Resultates ist, welche die entsprechende Muskelcontraction auslöst; es ist nicht ganz unverständlich, dass die Vorstellung, diese sei unmöglich, die Bewegung verhindert. (Suggestive Lähmung.)</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Anders verhält es sich mit jenen Phänomenen, die keinen logischen Zusammenhang mit der veranlassenden Vorstellung haben. </w:t>
      </w:r>
      <w:r w:rsidRPr="00C820A0">
        <w:rPr>
          <w:rFonts w:ascii="Garamond" w:hAnsi="Garamond"/>
          <w:sz w:val="20"/>
          <w:szCs w:val="20"/>
          <w:lang w:eastAsia="fr-FR"/>
        </w:rPr>
        <w:t>(Auch für sie bietet das normale Leben Analogien, wie z. B. das Schamerröthen u. dgl.) Wie kommen diese zustande, warum löst beim kranken Menschen eine Vorstellung gerade die eine, ganz irrationale, ihr gar nicht entsprechende Bewegung oder Hallucination aus?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Wir glaubten in der „Vorläufigen Mittheilung“ über diesen causalen Zusammenhang einiges auf Grund unserer Beobachtungen aussagen zu können. Wir haben aber in unserer Darlegung den Begriff </w:t>
      </w:r>
      <w:r w:rsidRPr="00C820A0">
        <w:rPr>
          <w:rFonts w:ascii="Garamond" w:hAnsi="Garamond"/>
          <w:i/>
          <w:iCs/>
          <w:sz w:val="20"/>
          <w:szCs w:val="20"/>
          <w:lang w:val="en-US" w:eastAsia="fr-FR"/>
        </w:rPr>
        <w:t>„der Erregung, welche abströmt oder abreagirt werden muss“</w:t>
      </w:r>
      <w:r w:rsidRPr="00C820A0">
        <w:rPr>
          <w:rFonts w:ascii="Garamond" w:hAnsi="Garamond"/>
          <w:sz w:val="20"/>
          <w:szCs w:val="20"/>
          <w:lang w:val="en-US" w:eastAsia="fr-FR"/>
        </w:rPr>
        <w:t>, ohne weiteres eingeführt und benützt. Dieser Begriff, für unser Thema und für die Lehre von den Neurosen überhaupt von fundamentaler Wichtigkeit, scheint aber eine eingehendere Untersuchung zu verlangen und zu verdienen. Bevor ich zu dieser schreite, muss ich es entschuldigen, dass hier auf die Grundprobleme des Nervensystems zurückgegriffen wird. Solches „Hinuntersteigen zu den Müttern“ hat immer etwas Beklemmendes; aber der Versuch, die Wurzel einer Erscheinung aufzugraben, führt eben unvermeidlich immer auf die Grundprobleme, denen man nicht ausweichen kann. Möge darum die Abstrusität der folgenden Betrachtungen nachsichtig beurtheilt werden!</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t>II. Die intracerebrale tonische Erregung. – Die Affecte.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 Wir kennen zwei extreme Zustände des Centralnervensystems, traumlosen Schlaf und helles Wachen. Zwischen ihnen bilden Zustände geringerer Helligkeit in allen Abstufungen den Uebergang. Uns interessirt hier nicht die Frage nach dem Zweck und der physischen Begründung des Schlafes (chemische oder vasomotorische Bedingungen), sondern nach dem wesentlichen Unterschiede der beiden Zustände.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35" w:tooltip="Seite:De Studien über Hysterie 168.jpg" w:history="1">
        <w:r w:rsidRPr="00C820A0">
          <w:rPr>
            <w:rFonts w:ascii="Garamond" w:hAnsi="Garamond"/>
            <w:b/>
            <w:bCs/>
            <w:color w:val="0000FF"/>
            <w:sz w:val="20"/>
            <w:szCs w:val="20"/>
            <w:u w:val="single"/>
            <w:lang w:val="en-US" w:eastAsia="fr-FR"/>
          </w:rPr>
          <w:t>168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Vom tiefsten, traumlosen Schlafe können wir directe nichts aussagen, weil eben durch den Zustand völliger Bewusstlosigkeit jede Beobachtung und Erfahrung ausgeschlossen ist. Von dem benachbarten Zustand des Traumschlafes aber wissen wir, dass wir darin willkürliche Bewegungen intendiren, sprechen, gehen u. s. w., ohne dass dadurch die entsprechenden Muskelcontractionen wirklich ausgelöst würden, wie es im Wachen geschieht; dass sensible Reize vielleicht percipirt werden (da sie oft in den Traum eingehen), aber nicht appercipirt, das heisst, nicht zu bewussten Wahrnehmungen werden; dass auftauchende Vorstellungen nicht, wie im Wachen, alle mit ihnen zusammenhängenden, im potentiellen Bewusstsein vorhandenen Vorstellungen actuell machen, sondern dass grosse Massen hievon unerregt bleiben (wie wenn wir mit einem Verstorbenen sprechen, ohne uns seines Todes zu erinnern); dass auch unvereinbare Vorstellungen zugleich bestehen können, ohne sich wie im Wachen wechselseitig zu hemmen; dass also die Association mangelhaft und unvollständig erfolgt. Wir dürfen wohl annehmen, dass im tiefsten Schlafe diese Aufhebung des Zusammenhanges zwischen den psychischen Elementen eine noch vollständigere, complete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Dem gegenüber löst im hellen Wachen jeder Willensakt die zugehörige Bewegung aus, die sensiblen Eindrücke werden zu Wahrnehmungen, die Vorstellungen associiren sich mit dem ganzen Besitz des potentiellen Bewusstseins. Das Gehirn ist dann eine im vollständigen inneren Zusammenhange arbeitende Einheit.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ist vielleicht nur eine Umschreibung dieser Thatsachen, wenn wir sagen, dass im Schlafe die Verbindungs- und Leitungsbahnen des Gehirnes für die Erregung der psychischen Elemente (Rindenzellen?) nicht, im Wachen aber vollständig gangbar sind.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Existenz dieser beiden verschiedenen Zustände der Leitungsbahnen wird verständlich wohl nur durch die Annahme, dass sie sich während des Wachens in tonischer Erregung befinden (intercellulärer Tetanus </w:t>
      </w:r>
      <w:r w:rsidRPr="00C820A0">
        <w:rPr>
          <w:rFonts w:ascii="Garamond" w:hAnsi="Garamond"/>
          <w:i/>
          <w:iCs/>
          <w:sz w:val="20"/>
          <w:szCs w:val="20"/>
          <w:lang w:val="en-US" w:eastAsia="fr-FR"/>
        </w:rPr>
        <w:t>Exner’s</w:t>
      </w:r>
      <w:r w:rsidRPr="00C820A0">
        <w:rPr>
          <w:rFonts w:ascii="Garamond" w:hAnsi="Garamond"/>
          <w:sz w:val="20"/>
          <w:szCs w:val="20"/>
          <w:lang w:val="en-US" w:eastAsia="fr-FR"/>
        </w:rPr>
        <w:t xml:space="preserve">); dass diese tonische </w:t>
      </w:r>
      <w:r w:rsidRPr="00C820A0">
        <w:rPr>
          <w:rFonts w:ascii="Garamond" w:hAnsi="Garamond"/>
          <w:i/>
          <w:iCs/>
          <w:sz w:val="20"/>
          <w:szCs w:val="20"/>
          <w:lang w:val="en-US" w:eastAsia="fr-FR"/>
        </w:rPr>
        <w:t>intracerebrale Erregung</w:t>
      </w:r>
      <w:r w:rsidRPr="00C820A0">
        <w:rPr>
          <w:rFonts w:ascii="Garamond" w:hAnsi="Garamond"/>
          <w:sz w:val="20"/>
          <w:szCs w:val="20"/>
          <w:lang w:val="en-US" w:eastAsia="fr-FR"/>
        </w:rPr>
        <w:t xml:space="preserve"> ihre Leitungsfähigkeit bedingt, und dass ihr Absinken und Schwinden eben den Zustand des Schlafes herstellt.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Wir hätten uns eine cerebrale Leitungsbahn nicht wie einen Telephondraht vorzustellen, der nur dann elektrisch erregt ist, wenn er fungiren, das heisst hier: ein Zeichen übertragen soll; sondern wie eine jener Telephonleitungen, durch welche constant ein galvanischer Strom fliesst, und welche unerregbar werden, wenn dieser schwindet. </w:t>
      </w:r>
      <w:r w:rsidRPr="00C820A0">
        <w:rPr>
          <w:rFonts w:ascii="Garamond" w:hAnsi="Garamond"/>
          <w:color w:val="666666"/>
          <w:sz w:val="20"/>
          <w:szCs w:val="20"/>
          <w:lang w:val="en-US" w:eastAsia="fr-FR"/>
        </w:rPr>
        <w:t>[</w:t>
      </w:r>
      <w:hyperlink r:id="rId1936" w:tooltip="Seite:De Studien über Hysterie 169.jpg" w:history="1">
        <w:r w:rsidRPr="00C820A0">
          <w:rPr>
            <w:rFonts w:ascii="Garamond" w:hAnsi="Garamond"/>
            <w:b/>
            <w:bCs/>
            <w:color w:val="0000FF"/>
            <w:sz w:val="20"/>
            <w:szCs w:val="20"/>
            <w:u w:val="single"/>
            <w:lang w:val="en-US" w:eastAsia="fr-FR"/>
          </w:rPr>
          <w:t>169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 Oder, besser vielleicht, denken wir an eine viel verzweigte elektrische Anlage für Beleuchtung und motorische Kraftübertragung; es wird von dieser gefordert, dass jede Lampe und jede Kraftmaschine durch einfaches Herstellen eines Contactes in Function gesetzt werden könne. Um dies zu ermöglichen, zum Zwecke der Arbeitsbereitschaft, muss auch während functioneller Ruhe in dem ganzen Leitungsnetz eine bestimmte Spannung bestehen, und zu </w:t>
      </w:r>
      <w:r w:rsidRPr="00C820A0">
        <w:rPr>
          <w:rFonts w:ascii="Garamond" w:hAnsi="Garamond"/>
          <w:sz w:val="20"/>
          <w:szCs w:val="20"/>
          <w:lang w:val="en-US" w:eastAsia="fr-FR"/>
        </w:rPr>
        <w:lastRenderedPageBreak/>
        <w:t>diesem Behufe muss die Dynamomaschine eine bestimmte Menge von Energie aufwenden. – Ebenso besteht ein gewisses Maass von Erregung in den Leitungsbahnen des ruhenden, wachen, aber arbeitsbereiten Gehirnes.</w:t>
      </w:r>
      <w:hyperlink r:id="rId1937" w:anchor="cite_note-3" w:history="1">
        <w:r w:rsidRPr="00C820A0">
          <w:rPr>
            <w:rFonts w:ascii="Garamond" w:hAnsi="Garamond"/>
            <w:color w:val="0000FF"/>
            <w:sz w:val="20"/>
            <w:szCs w:val="20"/>
            <w:u w:val="single"/>
            <w:vertAlign w:val="superscript"/>
            <w:lang w:val="en-US" w:eastAsia="fr-FR"/>
          </w:rPr>
          <w:t>[4]</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Für diese Vorstellung spricht, dass das Wachen an sich, auch ohne Arbeitsleistung, ermüdet und Schlafbedürfniss erzeugt; es bedingt an sich schon einen Energieverbrauch.</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Denken wir uns einen Menschen in gespannter, aber nicht ein einzelnes Sinnesgebiet betreffender Erwartung. </w:t>
      </w:r>
      <w:r w:rsidRPr="00C820A0">
        <w:rPr>
          <w:rFonts w:ascii="Garamond" w:hAnsi="Garamond"/>
          <w:sz w:val="20"/>
          <w:szCs w:val="20"/>
          <w:lang w:eastAsia="fr-FR"/>
        </w:rPr>
        <w:t xml:space="preserve">Wir haben dann ein ruhendes, aber leistungsbereites Gehirn vor uns. </w:t>
      </w:r>
      <w:r w:rsidRPr="00C820A0">
        <w:rPr>
          <w:rFonts w:ascii="Garamond" w:hAnsi="Garamond"/>
          <w:sz w:val="20"/>
          <w:szCs w:val="20"/>
          <w:lang w:val="en-US" w:eastAsia="fr-FR"/>
        </w:rPr>
        <w:t>Wir dürfen wohl annehmen, dass in diesem alle Leitungsbahnen auf das Maximum ihrer Leistungsfähigkeit eingestellt, in tonischer Erregung sind. Die Sprache nennt diesen Zustand bezeichnender Weise eben: Spannung. Die Erfahrung lehrt, wie anstrengend und ermüdend dieser Zustand ist, in welchem doch keinerlei actuelle motorische oder psychische Arbeit geleistet wurde.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 ist ein exceptioneller Zustand, der eben des grossen Energieverbrauchs halber nicht lange ertragen wird. Aber auch der normale Zustand des hellen Wachens bedingt ein innerhalb nicht allzuweiter </w:t>
      </w:r>
      <w:r w:rsidRPr="00C820A0">
        <w:rPr>
          <w:rFonts w:ascii="Garamond" w:hAnsi="Garamond"/>
          <w:color w:val="666666"/>
          <w:sz w:val="20"/>
          <w:szCs w:val="20"/>
          <w:lang w:val="en-US" w:eastAsia="fr-FR"/>
        </w:rPr>
        <w:t>[</w:t>
      </w:r>
      <w:hyperlink r:id="rId1938" w:tooltip="Seite:De Studien über Hysterie 170.jpg" w:history="1">
        <w:r w:rsidRPr="00C820A0">
          <w:rPr>
            <w:rFonts w:ascii="Garamond" w:hAnsi="Garamond"/>
            <w:b/>
            <w:bCs/>
            <w:color w:val="0000FF"/>
            <w:sz w:val="20"/>
            <w:szCs w:val="20"/>
            <w:u w:val="single"/>
            <w:lang w:val="en-US" w:eastAsia="fr-FR"/>
          </w:rPr>
          <w:t>170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Grenzen schwankendes Ausmaass intracerebraler Erregung; all den Abstufungen des Wachens bis zur Schläfrigkeit und zum wirklichen Schlafe entsprechen niedrigere Erregungsgrade.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Wirkliche Arbeitsleistung des Gehirnes bedingt gewiss einen grösseren Energieverbrauch als die blosse Arbeitsbereitschaft; (wie die oben zum Vergleiche angezogene elektrische Anlage eine grössere Menge von elektrischer Energie in die Leitungen einströmen lassen muss, wenn viele Lampen oder Arbeitsmaschinen eingeschaltet werden). Bei normaler Function wird nicht mehr Energie frei, als sogleich in der Thätigkeit verbraucht wird. Das Gehirn verhält sich aber wie eine solche Anlage von begrenzter Leistungsfähigkeit, welche etwa nicht zu gleicher Zeit grosse Mengen von Licht und von mechanischer Arbeit herstellen könnte. Arbeitet die Kraftübertragung, so ist wenig Energie für die Beleuchtung verfügbar und umgekehrt. So sehen wir, dass es uns bei starker Muskelanstrengung unmöglich ist, andauernd nachzudenken, dass die Concentration der Aufmerksamkeit auf ein Sinnesgebiet die Leistungsfähigkeit der andern Hirnorgane absinken macht, dass also das Gehirn mit einer wechselnden, aber begrenzten, Energiemenge arbeitet.</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Die ungleichmässige Vertheilung der Energie wird wohl durch die „attentionelle Bahnung“ </w:t>
      </w:r>
      <w:r w:rsidRPr="00C820A0">
        <w:rPr>
          <w:rFonts w:ascii="Garamond" w:hAnsi="Garamond"/>
          <w:i/>
          <w:iCs/>
          <w:sz w:val="20"/>
          <w:szCs w:val="20"/>
          <w:lang w:val="en-US" w:eastAsia="fr-FR"/>
        </w:rPr>
        <w:t>(Exner)</w:t>
      </w:r>
      <w:r w:rsidRPr="00C820A0">
        <w:rPr>
          <w:rFonts w:ascii="Garamond" w:hAnsi="Garamond"/>
          <w:sz w:val="20"/>
          <w:szCs w:val="20"/>
          <w:lang w:val="en-US" w:eastAsia="fr-FR"/>
        </w:rPr>
        <w:t xml:space="preserve"> bedingt, indem die Leitungsfähigkeit der in Anspruch genommenen Bahnen erhöht wird, die der andern absinkt, und so im arbeitenden Gehirn auch die „intracerebrale tonische Erregung“ ungleichmässig vertheilt ist.</w:t>
      </w:r>
      <w:hyperlink r:id="rId1939" w:anchor="cite_note-4" w:history="1">
        <w:r w:rsidRPr="00C820A0">
          <w:rPr>
            <w:rFonts w:ascii="Garamond" w:hAnsi="Garamond"/>
            <w:color w:val="0000FF"/>
            <w:sz w:val="20"/>
            <w:szCs w:val="20"/>
            <w:u w:val="single"/>
            <w:vertAlign w:val="superscript"/>
            <w:lang w:eastAsia="fr-FR"/>
          </w:rPr>
          <w:t>[5]</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Wir erwecken einen Schlafenden, d. h. wir steigern plötzlich das Quantum seiner tonischen intracerebralen Erregung, indem wir einen lebhaften Sinnesreiz auf ihn wirken lassen. </w:t>
      </w:r>
      <w:r w:rsidRPr="00C820A0">
        <w:rPr>
          <w:rFonts w:ascii="Garamond" w:hAnsi="Garamond"/>
          <w:sz w:val="20"/>
          <w:szCs w:val="20"/>
          <w:lang w:val="en-US" w:eastAsia="fr-FR"/>
        </w:rPr>
        <w:t>Ob dabei Veränderungen in dem cerebralen Blutkreislauf wesentliche Glieder der Causalkette sind, ob die Gefässe primär durch den Reiz erweitert werden, oder ob dies die Folge der Erregung der Hirnelemente ist, das alles ist unentschieden. Sicher ist, dass der durch eine Sinnespforte eindringende Erregungszustand von da aus über das Hirn sich ausbreitet, diffundirt und alle Leitungswege in einen Zustand höherer Bahnung bringt.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40" w:tooltip="Seite:De Studien über Hysterie 171.jpg" w:history="1">
        <w:r w:rsidRPr="00C820A0">
          <w:rPr>
            <w:rFonts w:ascii="Garamond" w:hAnsi="Garamond"/>
            <w:b/>
            <w:bCs/>
            <w:color w:val="0000FF"/>
            <w:sz w:val="20"/>
            <w:szCs w:val="20"/>
            <w:u w:val="single"/>
            <w:lang w:val="en-US" w:eastAsia="fr-FR"/>
          </w:rPr>
          <w:t>171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Wie das spontane Erwachen vor sich geht, ob immer ein und derselbe Gehirntheil zuerst in den Zustand der Wacherregung tritt und diese von ihm aus sich verbreitet, oder ob bald die eine, bald die andere Gruppe von Elementen als Erwecker fungirt, ist wohl noch völlig unklar.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Doch beweist das spontane Erwachen, welches ja auch in voller Ruhe und Finsterniss ohne äussere Reize eintritt, dass die Entwicklung von Energie im Lebensprocess der Hirnelemente selbst begründet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Der Muskel bleibt, ungereizt, ruhig, auch wenn er noch solange geruht und das Maximum von Spannkräften in sich angehäuft hat. Nicht so die Hirnelemente. Wir nehmen wohl mit Recht an, dass diese im Schlafe ihren Bestand restituiren und Spannkräfte sammeln. Ist das bis zu einem gewissen Grade geschehen, sozusagen ein gewisses Niveau erreicht, so strömt der Ueberschuss in die Leitungswege ab, bahnt sie und stellt die intracerebrale Erregung des Wachens her.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Denselben Vorgang können wir in lehrreicher Weise im Wachen beobachten. Wenn das wache Gehirn längere Zeit in Ruhe verbleibt, ohne durch Function Spannkraft in lebendige Energie zu verwandeln, so tritt das Bedürfniss und der Drang nach Bethätigung ein. Lange motorische Ruhe schafft das Bewegungsbedürfniss (zweckloses Herumlaufen der Thiere im Käfig) und ein peinliches Gefühl, wenn dies Bedürfniss nicht befriedigt werden kann. Mangel an Sinnesreizen, Finsterniss, lautlose Stille wird zur Pein; geistige Ruhe, Mangel an Wahrnehmungen, Vorstellungen, an Associationsthätigkeit erzeugen die Qual der Langeweile. Diese Unlustgefühle entsprechen einer „Aufregung“, einer Steigerung der normalen intracerebralen Erregung.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vollständig restituirten Hirnelemente machen also auch in der Ruhe ein gewisses Maass von Energie frei, welches, functionell nicht verwertet, die intracerebrale Erregung steigert. Dies erzeugt ein Unlustgefühl. Solche entstehen immer, wenn ein Bedürfniss des Organismus nicht Befriedigung findet. Da die hier besprochenen schwinden, wenn das frei gewordene überschüssige Quantum von Erregung functionell verwendet wird, so schliessen wir, dass diese Wegschaffung des Erregungsüberschusses ein Bedürfniss des Organismus sei, und treffen hier zum erstenmale auf die Thatsache, dass im Organismus die </w:t>
      </w:r>
      <w:r w:rsidRPr="00C820A0">
        <w:rPr>
          <w:rFonts w:ascii="Garamond" w:hAnsi="Garamond"/>
          <w:i/>
          <w:iCs/>
          <w:sz w:val="20"/>
          <w:szCs w:val="20"/>
          <w:lang w:val="en-US" w:eastAsia="fr-FR"/>
        </w:rPr>
        <w:t>„Tendenz zur Constanterhaltung der intracerebralen Erregung“ (Freud)</w:t>
      </w:r>
      <w:r w:rsidRPr="00C820A0">
        <w:rPr>
          <w:rFonts w:ascii="Garamond" w:hAnsi="Garamond"/>
          <w:sz w:val="20"/>
          <w:szCs w:val="20"/>
          <w:lang w:val="en-US" w:eastAsia="fr-FR"/>
        </w:rPr>
        <w:t xml:space="preserve"> besteht.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41" w:tooltip="Seite:De Studien über Hysterie 172.jpg" w:history="1">
        <w:r w:rsidRPr="00C820A0">
          <w:rPr>
            <w:rFonts w:ascii="Garamond" w:hAnsi="Garamond"/>
            <w:b/>
            <w:bCs/>
            <w:color w:val="0000FF"/>
            <w:sz w:val="20"/>
            <w:szCs w:val="20"/>
            <w:u w:val="single"/>
            <w:lang w:val="en-US" w:eastAsia="fr-FR"/>
          </w:rPr>
          <w:t>172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Ein Ueberschuss davon belastet und belästigt, und es entsteht der Trieb ihn zu verbrauchen. Ist ein Verbrauch durch Sinnes- oder Vorstellungsthätigkeit nicht möglich, so strömt der Ueberschuss in zweckloser motorischer Action ab, im Auf- und Abgehen u. dgl., welches wir auch weiterhin als die häufigste Art der Entladung übergrosser Spannungen antreffen werden.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ist bekannt, wie gross die individuelle Verschiedenheit in dieser Hinsicht ist; wie sehr sich die lebhaften Menschen von den trägen, torpiden hierin unterscheiden; diejenigen, welche „nicht ruhig sitzen können“, von denen, die „ein </w:t>
      </w:r>
      <w:r w:rsidRPr="00C820A0">
        <w:rPr>
          <w:rFonts w:ascii="Garamond" w:hAnsi="Garamond"/>
          <w:sz w:val="20"/>
          <w:szCs w:val="20"/>
          <w:lang w:val="en-US" w:eastAsia="fr-FR"/>
        </w:rPr>
        <w:lastRenderedPageBreak/>
        <w:t>angeborenes Talent zum Canapésitzen haben“; die geistig beweglichen von den stumpfen, welche ungemessene Zeiten geistiger Ruhe vertragen. Diese Verschiedenheiten, welche das „geistige Temperament“ der Menschen ausmachen, beruhen gewiss auf tiefen Unterschieden ihres Nervensystems; auf dem Ausmaass, in welchem die functionell ruhenden Hirnelemente Energie frei werden lassen.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Wir sprachen von einer Tendenz des Organismus, die tonische Hirnerregung constant zu erhalten; eine solche ist uns doch nur verständlich, wenn wir einsehen können, welches Bedürfniss durch sie erfüllt wird. Wir begreifen die Tendenz, die mittlere Temperatur des Warmblüters constant zu erhalten, weil wir sie erfahrungsgemäss als ein Optimum für die Function der Organe kennen. Und wir setzen Aehnliches für die Constanz des Wassergehaltes im Blute u. a. m. voraus. Ich glaube, man darf auch von der Höhe der intracerebralen tonischen Erregung annehmen, dass sie ein </w:t>
      </w:r>
      <w:r w:rsidRPr="00C820A0">
        <w:rPr>
          <w:rFonts w:ascii="Garamond" w:hAnsi="Garamond"/>
          <w:i/>
          <w:iCs/>
          <w:sz w:val="20"/>
          <w:szCs w:val="20"/>
          <w:lang w:val="en-US" w:eastAsia="fr-FR"/>
        </w:rPr>
        <w:t>Optimum</w:t>
      </w:r>
      <w:r w:rsidRPr="00C820A0">
        <w:rPr>
          <w:rFonts w:ascii="Garamond" w:hAnsi="Garamond"/>
          <w:sz w:val="20"/>
          <w:szCs w:val="20"/>
          <w:lang w:val="en-US" w:eastAsia="fr-FR"/>
        </w:rPr>
        <w:t xml:space="preserve"> habe. Auf diesem Niveau der tonischen Erregung ist das Gehirn zugänglich für alle äusseren Reize, die Reflexe sind gebahnt, aber nur in dem Ausmaass normaler reflectorischer Thätigkeit, der Besitz an Vorstellungen ist der Erweckung und Association zugänglich in jenem gegenseitigen relativen Verhältniss der einzelnen Vorstellungen, welches klarer Besonnenheit entspricht; es ist der Zustand bester Arbeitsbereitschaft. Schon jene gleichmässige Erhöhung der tonischen Erregung, welche die „Erwartung“ ausmacht, verändert die Verhältnisse. Sie macht hyperästhetisch für Sinnesreize, welche alsbald peinlich werden, und erhöht die Reflexerregbarkeit über das Nützliche (Schreckhaftigkeit). Gewiss ist dieser Zustand für manche Situationen und Zwecke nützlich; wenn er aber spontan, ohne solche Vorbedingungen, eintritt, so bessert er unsere Leistungsfähigkeit nicht, sondern schädigt sie. Wir nennen das im gewöhnlichen Leben „nervös sein“. – Bei der weitaus grösseren Zahl </w:t>
      </w:r>
      <w:r w:rsidRPr="00C820A0">
        <w:rPr>
          <w:rFonts w:ascii="Garamond" w:hAnsi="Garamond"/>
          <w:color w:val="666666"/>
          <w:sz w:val="20"/>
          <w:szCs w:val="20"/>
          <w:lang w:val="en-US" w:eastAsia="fr-FR"/>
        </w:rPr>
        <w:t>[</w:t>
      </w:r>
      <w:hyperlink r:id="rId1942" w:tooltip="Seite:De Studien über Hysterie 173.jpg" w:history="1">
        <w:r w:rsidRPr="00C820A0">
          <w:rPr>
            <w:rFonts w:ascii="Garamond" w:hAnsi="Garamond"/>
            <w:b/>
            <w:bCs/>
            <w:color w:val="0000FF"/>
            <w:sz w:val="20"/>
            <w:szCs w:val="20"/>
            <w:u w:val="single"/>
            <w:lang w:val="en-US" w:eastAsia="fr-FR"/>
          </w:rPr>
          <w:t>173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der Formen von Erregungssteigerung handelt es sich aber um ungleichmässige Uebererregung, welche der Leistungsfähigkeit direct abträglich ist. Wir bezeichnen das als „Aufregung“. Es ist nicht unbegreiflich, sondern in Analogie mit andern Regulationen des Organismus, wenn in ihm das Bestreben besteht, das Optimum der Erregung festzuhalten und wieder zu erreichen, nachdem es überschritten worden ist.</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Es sei erlaubt, hier nochmals auf den Vergleich mit einer elektrischen Beleuchtungsanlage zurückzugreifen. Auch die Spannung in dem Leitungsnetz einer solchen hat ein Optimum; wird dieses überschritten, so wird leicht die Function geschädigt, indem z. B. die Glühfäden rasch durchbrennen. </w:t>
      </w:r>
      <w:r w:rsidRPr="00C820A0">
        <w:rPr>
          <w:rFonts w:ascii="Garamond" w:hAnsi="Garamond"/>
          <w:sz w:val="20"/>
          <w:szCs w:val="20"/>
          <w:lang w:eastAsia="fr-FR"/>
        </w:rPr>
        <w:t>Von der Schädigung der Anlage selbst durch Störung der Isolation und „kurzen Schluss“ wird später noch die Rede sein.</w: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39"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B. Unsere Sprache, das Resultat der Erfahrung vieler Generationen, unterscheidet mit wundernswerter Feinheit jene Formen und Grade der Erregungssteigerung, welche der geistigen Thätigkeit noch nützlich sind, weil sie die freie Energie aller Hirnfunctionen gleichmässig erhöhen, von jenen, welche dieselben beeinträchtigen, weil sie in ungleichmässiger Weise die psychischen Functionen theils erhöhen, theils hemmen.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Sie nennt die ersteren </w:t>
      </w:r>
      <w:r w:rsidRPr="00C820A0">
        <w:rPr>
          <w:rFonts w:ascii="Garamond" w:hAnsi="Garamond"/>
          <w:i/>
          <w:iCs/>
          <w:sz w:val="20"/>
          <w:szCs w:val="20"/>
          <w:lang w:val="en-US" w:eastAsia="fr-FR"/>
        </w:rPr>
        <w:t>Anregung</w:t>
      </w:r>
      <w:r w:rsidRPr="00C820A0">
        <w:rPr>
          <w:rFonts w:ascii="Garamond" w:hAnsi="Garamond"/>
          <w:sz w:val="20"/>
          <w:szCs w:val="20"/>
          <w:lang w:val="en-US" w:eastAsia="fr-FR"/>
        </w:rPr>
        <w:t xml:space="preserve">, die letzteren </w:t>
      </w:r>
      <w:r w:rsidRPr="00C820A0">
        <w:rPr>
          <w:rFonts w:ascii="Garamond" w:hAnsi="Garamond"/>
          <w:i/>
          <w:iCs/>
          <w:sz w:val="20"/>
          <w:szCs w:val="20"/>
          <w:lang w:val="en-US" w:eastAsia="fr-FR"/>
        </w:rPr>
        <w:t>Aufregung</w:t>
      </w:r>
      <w:r w:rsidRPr="00C820A0">
        <w:rPr>
          <w:rFonts w:ascii="Garamond" w:hAnsi="Garamond"/>
          <w:sz w:val="20"/>
          <w:szCs w:val="20"/>
          <w:lang w:val="en-US" w:eastAsia="fr-FR"/>
        </w:rPr>
        <w:t xml:space="preserve">. Ein interessantes Gespräch, Thee, Kaffee, regen an; ein Streit, eine grössere Dosis Alkohol regen auf. Während die Anregung nur den Trieb nach functioneller Verwertung der gesteigerten Erregung wachruft, sucht sich die Aufregung in mehr weniger heftigen, an’s Pathologische streifenden oder wirklich pathologischen Vorgängen zu entladen. </w:t>
      </w:r>
      <w:r w:rsidRPr="00C820A0">
        <w:rPr>
          <w:rFonts w:ascii="Garamond" w:hAnsi="Garamond"/>
          <w:sz w:val="20"/>
          <w:szCs w:val="20"/>
          <w:lang w:eastAsia="fr-FR"/>
        </w:rPr>
        <w:t xml:space="preserve">Sie macht die psychisch-physische Grundlage der Affecte aus, und von diesen soll im folgenden die Rede sein. </w:t>
      </w:r>
      <w:r w:rsidRPr="00C820A0">
        <w:rPr>
          <w:rFonts w:ascii="Garamond" w:hAnsi="Garamond"/>
          <w:sz w:val="20"/>
          <w:szCs w:val="20"/>
          <w:lang w:val="en-US" w:eastAsia="fr-FR"/>
        </w:rPr>
        <w:t>Vorher sind aber noch physiologische, endogene Ursachen der Erregungssteigerung flüchtig zu berühren.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Solche sind zunächst die grossen physiologischen Bedürfnisse und Triebe des Organismus, der Sauerstoffhunger, der Nahrungshunger und der Durst. Da sich die Aufregung, welche sie setzen, mit bestimmten Empfindungen und Zielvorstellungen verknüpft, ist sie nicht so rein als Steigerung der Erregung zu beobachten wie die oben besprochene, welche nur der Ruhe der Hirnelemente entspringt. Sie hat immer </w:t>
      </w:r>
      <w:r w:rsidRPr="00C820A0">
        <w:rPr>
          <w:rFonts w:ascii="Garamond" w:hAnsi="Garamond"/>
          <w:color w:val="666666"/>
          <w:sz w:val="20"/>
          <w:szCs w:val="20"/>
          <w:lang w:val="en-US" w:eastAsia="fr-FR"/>
        </w:rPr>
        <w:t>[</w:t>
      </w:r>
      <w:hyperlink r:id="rId1943" w:tooltip="Seite:De Studien über Hysterie 174.jpg" w:history="1">
        <w:r w:rsidRPr="00C820A0">
          <w:rPr>
            <w:rFonts w:ascii="Garamond" w:hAnsi="Garamond"/>
            <w:b/>
            <w:bCs/>
            <w:color w:val="0000FF"/>
            <w:sz w:val="20"/>
            <w:szCs w:val="20"/>
            <w:u w:val="single"/>
            <w:lang w:val="en-US" w:eastAsia="fr-FR"/>
          </w:rPr>
          <w:t>174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ihre besondere Färbung. Aber sie ist unverkennbar in der ängstlichen Aufregung der Dyspnoe, wie in der Unruhe des Hungernden.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Erregungssteigerung, welche diesen Quellen entfliesst, ist bedingt durch die chemische Veränderung der Hirnelemente selbst, welche an Sauerstoff oder Spannkräften oder Wasser verarmen; sie fliesst in präformirten motorischen Bahnen ab, welche zur Befriedigung des auslösenden Bedürfnisses führen; die Dyspnoe in den Anstrengungen der Athmung, Hunger und Durst im Aufsuchen und Erringen der Nahrung und des Wassers. Das Princip der Constanz der Erregung tritt dieser Aufregung gegenüber kaum in Wirksamkeit; sind ja doch die Interessen, welchen die Erregungssteigerung hier dient, für den Organismus viel wichtiger als die Wiederherstellung normaler Functionsverhältnisse des Gehirns. Zwar sieht man die Thiere der Menagerie vor der Fütterungsstunde aufgeregt hin und her laufen; aber dies mag wohl als ein Rest der präformirten motorischen Leistung, der Nahrungssuche, gelten, die nun durch die Gefangenschaft zwecklos geworden ist, nicht als ein Mittel, das Nervensystem von der Aufregung zu befreien.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die chemische Structur des Nervensystems durch anhaltende Zufuhr fremder Stoffe dauernd abgeändert worden ist, so bedingt auch der Mangel an diesen Aufregungszustände: wie der Mangel der normalen Nährstoffe beim Gesunden, die Aufregung der </w:t>
      </w:r>
      <w:r w:rsidRPr="00C820A0">
        <w:rPr>
          <w:rFonts w:ascii="Garamond" w:hAnsi="Garamond"/>
          <w:i/>
          <w:iCs/>
          <w:sz w:val="20"/>
          <w:szCs w:val="20"/>
          <w:lang w:val="en-US" w:eastAsia="fr-FR"/>
        </w:rPr>
        <w:t>Abstinenz</w:t>
      </w:r>
      <w:r w:rsidRPr="00C820A0">
        <w:rPr>
          <w:rFonts w:ascii="Garamond" w:hAnsi="Garamond"/>
          <w:sz w:val="20"/>
          <w:szCs w:val="20"/>
          <w:lang w:val="en-US" w:eastAsia="fr-FR"/>
        </w:rPr>
        <w:t xml:space="preserve"> von Narcoticis.</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0" style="width:60pt;height:1.5pt" o:hrpct="0" o:hralign="center" o:hrstd="t" o:hr="t" fillcolor="#a0a0a0" stroked="f"/>
        </w:pic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Den Uebergang von diesen endogenen Erregungssteigerungen zu den psychischen Affecten im engeren Sinne bildet die sexuale Erregung und der sexuale Affect. Als erstere, als vage, unbestimmte, ziellose Erregungssteigerung erscheint die Sexualität während der Pubertät. In weiterer Entwicklung bildet sich (normalerweise) eine feste Verbindung dieser endogenen, durch die Function der Geschlechtsdrüsen bedingten Erregungssteigerung mit der </w:t>
      </w:r>
      <w:r w:rsidRPr="00C820A0">
        <w:rPr>
          <w:rFonts w:ascii="Garamond" w:hAnsi="Garamond"/>
          <w:sz w:val="20"/>
          <w:szCs w:val="20"/>
          <w:lang w:eastAsia="fr-FR"/>
        </w:rPr>
        <w:lastRenderedPageBreak/>
        <w:t xml:space="preserve">Wahrnehmung oder Vorstellung des anderen Geschlechtes; ja bei dem wunderbaren Phänomen des Verliebens in eine einzelne Person mit dieser Individual-Vorstellung. </w:t>
      </w:r>
      <w:r w:rsidRPr="00C820A0">
        <w:rPr>
          <w:rFonts w:ascii="Garamond" w:hAnsi="Garamond"/>
          <w:sz w:val="20"/>
          <w:szCs w:val="20"/>
          <w:lang w:val="en-US" w:eastAsia="fr-FR"/>
        </w:rPr>
        <w:t>Diese tritt in Besitz der ganzen Quantität von Erregung, welche durch den Sexualtrieb frei gemacht wird; sie wird eine „affective Vorstellung“. Das heisst: bei ihrem Actuellwerden im Bewusstsein löst sie den Erregungszuwachs aus, der eigentlich einer anderen Quelle, den Geschlechtsdrüsen, entstammt.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Der Sexualtrieb ist gewiss die mächtigste Quelle von lange anhaltenden Erregungszuwächsen (und als solche, von Neurosen); </w:t>
      </w:r>
      <w:r w:rsidRPr="00C820A0">
        <w:rPr>
          <w:rFonts w:ascii="Garamond" w:hAnsi="Garamond"/>
          <w:color w:val="666666"/>
          <w:sz w:val="20"/>
          <w:szCs w:val="20"/>
          <w:lang w:val="en-US" w:eastAsia="fr-FR"/>
        </w:rPr>
        <w:t>[</w:t>
      </w:r>
      <w:hyperlink r:id="rId1944" w:tooltip="Seite:De Studien über Hysterie 175.jpg" w:history="1">
        <w:r w:rsidRPr="00C820A0">
          <w:rPr>
            <w:rFonts w:ascii="Garamond" w:hAnsi="Garamond"/>
            <w:b/>
            <w:bCs/>
            <w:color w:val="0000FF"/>
            <w:sz w:val="20"/>
            <w:szCs w:val="20"/>
            <w:u w:val="single"/>
            <w:lang w:val="en-US" w:eastAsia="fr-FR"/>
          </w:rPr>
          <w:t>175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diese Erregungssteigerung ist höchst ungleich über das Nervensystem vertheilt. In ihren höheren Intensitätsgraden ist der Vorstellungsablauf gestört, der relative Wert der Vorstellungen abgeändert, im Orgasmus des Sexualactes erlischt das Denken fast vollständig.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Auch die Wahrnehmung, die psychische Verarbeitung der Sinnesempfindungen leidet; das sonst scheue und vorsichtige Thier wird blind und taub für die Gefahr. Dagegen steigert sich (mindestens beim Männchen) die Intensität des aggressiven Instincts; das friedliche Thier wird gefährlich, bis sich die Erregung in den motorischen Leistungen des Sexualactes entladet.</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1"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C. Eine ähnliche Störung des dynamischen Gleichgewichtes im Nervensystem, die ungleichmässige Vertheilung der gesteigerten Erregung macht eben die psychische Seite der Affecte aus.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Weder eine Psychologie noch eine Physiologie der Affecte soll hier versucht werden. Nur ein einzelner für die Pathologie wichtiger Punkt soll Erörterung finden und zwar nur für die ideogenen Affecte, für jene, welche durch Wahrnehmungen und Vorstellungen hervorgerufen werden. </w:t>
      </w:r>
      <w:r w:rsidRPr="00C820A0">
        <w:rPr>
          <w:rFonts w:ascii="Garamond" w:hAnsi="Garamond"/>
          <w:sz w:val="20"/>
          <w:szCs w:val="20"/>
          <w:lang w:val="en-US" w:eastAsia="fr-FR"/>
        </w:rPr>
        <w:t>(</w:t>
      </w:r>
      <w:r w:rsidRPr="00C820A0">
        <w:rPr>
          <w:rFonts w:ascii="Garamond" w:hAnsi="Garamond"/>
          <w:i/>
          <w:iCs/>
          <w:sz w:val="20"/>
          <w:szCs w:val="20"/>
          <w:lang w:val="en-US" w:eastAsia="fr-FR"/>
        </w:rPr>
        <w:t>Lange</w:t>
      </w:r>
      <w:hyperlink r:id="rId1945" w:anchor="cite_note-5" w:history="1">
        <w:r w:rsidRPr="00C820A0">
          <w:rPr>
            <w:rFonts w:ascii="Garamond" w:hAnsi="Garamond"/>
            <w:color w:val="0000FF"/>
            <w:sz w:val="20"/>
            <w:szCs w:val="20"/>
            <w:u w:val="single"/>
            <w:vertAlign w:val="superscript"/>
            <w:lang w:val="en-US" w:eastAsia="fr-FR"/>
          </w:rPr>
          <w:t>[6]</w:t>
        </w:r>
      </w:hyperlink>
      <w:r w:rsidRPr="00C820A0">
        <w:rPr>
          <w:rFonts w:ascii="Garamond" w:hAnsi="Garamond"/>
          <w:sz w:val="20"/>
          <w:szCs w:val="20"/>
          <w:lang w:val="en-US" w:eastAsia="fr-FR"/>
        </w:rPr>
        <w:t xml:space="preserve"> hat mit Recht wieder darauf hingewiesen, dass die Affecte fast ganz ebenso durch toxische Stoffe und, wie die Psychiatrie beweist, primär durch pathologische Veränderungen bedingt werden können wie durch Vorstellungen.)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bedarf gewiss keiner weiteren Begründung, dass alle jene Störungen des psychischen Gleichgewichtes, welche wir acute Affecte nennen, mit einer Erregungssteigerung einhergehen. (Bei den chronischen Affecten, Kummer und Sorge, d. h. protrahirter Angst besteht die Complication eines schweren Ermüdungszustandes, welcher die ungleichmässige Vertheilung der Erregung und damit die Gleichgewichtstörung bestehen lässt, ihre Höhe aber herabsetzt.) Aber diese gesteigerte Erregung kann nicht in psychischer Thätigkeit verwendet werden. Alle starken Affecte beeinträchtigen die Association, den Vorstellungsablauf. Man wird „sinnlos“ vor Zorn oder Schreck. Nur jene Vorstellungsgruppe, welche den Affect erregt hat, persistirt im Bewusstsein mit höchster Intensität. So ist die Ausgleichung der Aufregung durch associative Thätigkeit unmöglich.</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Aber die „activen“, „sthenischen“ Affecte gleichen die Erregungssteigerung durch motorische Abfuhr aus. Das Jauchzen und Springen </w:t>
      </w:r>
      <w:r w:rsidRPr="00C820A0">
        <w:rPr>
          <w:rFonts w:ascii="Garamond" w:hAnsi="Garamond"/>
          <w:color w:val="666666"/>
          <w:sz w:val="20"/>
          <w:szCs w:val="20"/>
          <w:lang w:val="en-US" w:eastAsia="fr-FR"/>
        </w:rPr>
        <w:t>[</w:t>
      </w:r>
      <w:hyperlink r:id="rId1946" w:tooltip="Seite:De Studien über Hysterie 176.jpg" w:history="1">
        <w:r w:rsidRPr="00C820A0">
          <w:rPr>
            <w:rFonts w:ascii="Garamond" w:hAnsi="Garamond"/>
            <w:b/>
            <w:bCs/>
            <w:color w:val="0000FF"/>
            <w:sz w:val="20"/>
            <w:szCs w:val="20"/>
            <w:u w:val="single"/>
            <w:lang w:val="en-US" w:eastAsia="fr-FR"/>
          </w:rPr>
          <w:t>176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der Freude, der gesteigerte Muskeltonus des Zornes, die Zornrede und die vergeltende That lassen die Erregung in Bewegungsacten abströmen. Der psychische Schmerz entladet dieselbe in respiratorischen Anstrengungen und in einem secretorischen Acte, Schluchzen und Weinen. Dass diese Reactionen die Aufregung mindern und beruhigen, ist Sache der täglichen Erfahrung. Wie schon bemerkt, drückt die Sprache dies in den Terminis „sich ausweinen, austoben“ u. s. w. aus; was dabei ausgegeben wird, ist eben die gesteigerte cerebrale Erregung.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Nur einzelne dieser Reactionen sind zweckmässig, indem dadurch irgend etwas an der Sachlage geändert werden kann, wie durch die Zornesthat und -Rede. Die andern sind völlig zwecklos, oder vielmehr sie haben keinen anderen Zweck als die Ausgleichung der Erregungssteigerung und die Herstellung des psychischen Gleichgewichtes. Indem sie dies leisten, dienen sie der „Tendenz zur Constanterhaltung der cerebralen Erregung“.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Den „asthenischen“ Affecten des Schrecks und der Angst fehlt diese reactive Entladung. Der Schreck lähmt ganz direct die Motilität wie die Association, und ebenso die Angst, wenn die eine zweckmässige Reaction des Davonlaufens durch die Ursache des Angstaffectes und durch die Umstände ausgeschlossen ist. Die Erregung des Schrecks schwindet nur durch allmähliche Ausgleichung.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Der Zorn hat adäquate, der Veranlassung entsprechende Reactionen. Sind diese unmöglich oder werden sie gehemmt, so treten Surrogate an ihre Stelle. Schon die Zornrede ist ein solches. Aber auch andere, ganz zwecklose Acte ersetzen diese. Wenn </w:t>
      </w:r>
      <w:r w:rsidRPr="00C820A0">
        <w:rPr>
          <w:rFonts w:ascii="Garamond" w:hAnsi="Garamond"/>
          <w:i/>
          <w:iCs/>
          <w:sz w:val="20"/>
          <w:szCs w:val="20"/>
          <w:lang w:val="en-US" w:eastAsia="fr-FR"/>
        </w:rPr>
        <w:t>Bismarck</w:t>
      </w:r>
      <w:r w:rsidRPr="00C820A0">
        <w:rPr>
          <w:rFonts w:ascii="Garamond" w:hAnsi="Garamond"/>
          <w:sz w:val="20"/>
          <w:szCs w:val="20"/>
          <w:lang w:val="en-US" w:eastAsia="fr-FR"/>
        </w:rPr>
        <w:t xml:space="preserve"> vor dem König die zornige Aufregung unterdrücken muss, erleichtert er sich dann, indem er eine kostbare Vase zu Boden schmettert. Diese willkürliche Substitution eines motorischen Actes durch einen anderen entspricht ganz dem Ersatz der natürlichen Schmerzreflexe durch andere Muskelcontractionen; der präformirte Reflex bei einer Zahnextraction ist es, den Arzt wegzustossen und zu schreien. Wenn wir statt dessen die Armmuskeln contrahiren und die Stuhllehne pressen, so versetzen wir das durch den Schmerz ausgelöste Erregungsquantum von einer Muskelgruppe auf eine andere. Bei spontanem heftigen Zahnschmerz, der ausser dem Aechzen ja keinen präformirten Reflex hat, strömt die Erregung in zwecklosem Hin- und Herlaufen ab. Ebenso transponiren wir die Erregung des Zornes von der adäquaten Reaction auf andere und fühlen uns entlastet, wenn sie nur durch irgend eine starke motorische Innervation verbraucht wird.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47" w:tooltip="Seite:De Studien über Hysterie 177.jpg" w:history="1">
        <w:r w:rsidRPr="00C820A0">
          <w:rPr>
            <w:rFonts w:ascii="Garamond" w:hAnsi="Garamond"/>
            <w:b/>
            <w:bCs/>
            <w:color w:val="0000FF"/>
            <w:sz w:val="20"/>
            <w:szCs w:val="20"/>
            <w:u w:val="single"/>
            <w:lang w:val="en-US" w:eastAsia="fr-FR"/>
          </w:rPr>
          <w:t>177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Wenn dem Affect eine solche Abfuhr der Erregung aber überhaupt versagt wird, dann ist die Sachlage die gleiche beim Zorne wie bei Schreck und Angst: die intracerebrale Erregung ist gewaltig gesteigert, aber sie wird weder in associativer noch in motorischer Thätigkeit verbraucht. Beim normalen Menschen gleicht sich die Störung allmählich aus; bei manchen treten aber anomale Reactionen auf, es bildet sich der </w:t>
      </w:r>
      <w:r w:rsidRPr="00C820A0">
        <w:rPr>
          <w:rFonts w:ascii="Garamond" w:hAnsi="Garamond"/>
          <w:i/>
          <w:iCs/>
          <w:sz w:val="20"/>
          <w:szCs w:val="20"/>
          <w:lang w:val="en-US" w:eastAsia="fr-FR"/>
        </w:rPr>
        <w:t>„anomale Ausdruck der Gemütsbewegungen“ (Oppenheim)</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t>III. Die hysterische Conversion.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wird wohl kaum den Verdacht erregen, ich identificirte die Nervenerregung mit der Elektricität, wenn ich noch einmal auf den Vergleich mit einer elektrischen Anlage zurückkomme. Wenn in einer solchen die Spannung übergross wird, so besteht die Gefahr, dass schwächere Stellen der Isolation durchbrochen werden. Es treten dann elektrische Erscheinungen an abnormen Stellen auf; oder, wenn zwei Drähte nebeneinander liegen, bildet sich ein „kurzer Schluss“. Da an diesen Stellen eine bleibende Veränderung gesetzt wird, kann die dadurch bedingte Störung immer wieder erscheinen, wenn die Spannung genügend gesteigert ist. Es hat eine abnorme „Bahnung“ stattgefunden.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Man kann wohl behaupten, dass die Verhältnisse des Nervensystems einigermaassen ähnliche sind. Es ist ein durchaus zusammen hängendes Ganzes; aber es sind an vielen Stellen grosse, doch nicht unüberwindbare, Widerstände eingeschaltet, welche die allgemeine gleichmässige Ausbreitung der Erregung verhindern. So geht im normalen wachen Menschen die Erregung des Vorstellungsorganes nicht auf die Perceptionsorgane über, wir halluciniren nicht. Die nervösen Apparate der lebenswichtigen Organcomplexe, der Circulation und Verdauung, sind im Interesse der Sicherheit und Leistungsfähigkeit des Organismus, durch starke Widerstände von den Organen der Vorstellung getrennt, ihre Selbstständigkeit ist gewahrt; sie sind directe durch Vorstellungen nicht beeinflusst. Aber nur Widerstände von individuell verschiedener Stärke hindern den Uebergang der intracerebralen Erregung auf die Circulations- und Verdauungsapparate; zwischen dem heute seltenen Ideal des absolut nicht „nervösen“ Menschen, dessen Herzaction in jeder Lebenslage constant bleibt und nur durch die zu leistende Arbeit beeinflusst wird, der in jeder Gefahr gleichmässig guten Appetit hat und verdaut, – und dem „nervösen“ Menschen, dem jedes Ereigniss Herzklopfen und Diarrhöe </w:t>
      </w:r>
      <w:r w:rsidRPr="00C820A0">
        <w:rPr>
          <w:rFonts w:ascii="Garamond" w:hAnsi="Garamond"/>
          <w:color w:val="666666"/>
          <w:sz w:val="20"/>
          <w:szCs w:val="20"/>
          <w:lang w:val="en-US" w:eastAsia="fr-FR"/>
        </w:rPr>
        <w:t>[</w:t>
      </w:r>
      <w:hyperlink r:id="rId1948" w:tooltip="Seite:De Studien über Hysterie 178.jpg" w:history="1">
        <w:r w:rsidRPr="00C820A0">
          <w:rPr>
            <w:rFonts w:ascii="Garamond" w:hAnsi="Garamond"/>
            <w:b/>
            <w:bCs/>
            <w:color w:val="0000FF"/>
            <w:sz w:val="20"/>
            <w:szCs w:val="20"/>
            <w:u w:val="single"/>
            <w:lang w:val="en-US" w:eastAsia="fr-FR"/>
          </w:rPr>
          <w:t>178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verursacht; – dazwischen stehen alle Abstufungen der affectiven Erregbarkeit.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Aber immerhin bestehen beim normalen Menschen Widerstände für den Uebergang cerebraler Erregung auf die vegetativen Organe. Sie entsprechen der Isolation elektrischer Leitungen. An jenen Stellen, wo sie anomal gering sind, werden sie bei hochgespannter cerebraler Erregung durchbrochen, und diese, die Erregung des Affectes, geht auf das periphere Organ über. Es entsteht der „anomale Ausdruck der Gemüthsbewegung“.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Von den beiden eben genannten Bedingungen hiefür ist die eine schon ausführlich erörtert worden. Es ist ein hoher Grad intracerebraler Erregung, dem sowohl die Ausgleichung durch Vorstellungsablauf wie die durch motorische Abfuhr versagt ist; oder der zu hoch ist, als dass die letztere genügen könnte.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andere Bedingung ist abnorme Schwäche der Widerstände in einzelnen Leitungsbahnen. Sie kann in der originären Beschaffenheit des Menschen liegen (angeborene Disposition); sie kann bedingt sein durch langdauernde Erregungszustände, welche sozusagen das Gefüge des Nervensystems lockern und alle Widerstände herabsetzen (Disposition der Pubertät); durch schwächende Einflüsse, Krankheit, Unterernährung u. s. w. (Disposition der Erschöpfungszustände). Der Widerstand einzelner Leitungswege kann herabgesetzt werden durch vorhergehende Erkrankung des betreffenden Organes, wodurch die Wege zum und vom Gehirn gebahnt wurden. Ein krankes Herz unterliegt dem Einfluss des Affects stärker als ein gesundes. „Ich habe einen Resonanzboden im Unterleib“, sagte mir eine an chronischer Parametritis leidende Frau, „was geschieht, erweckt meinen alten Schmerz.“ – (Disposition durch locale Erkrankung.)</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Die motorischen Acte, in welchen sich normaler Weise die Erregung der Affecte entladet, sind geordnete, coordinirte, wenn auch oft zwecklose. Aber die übergrosse Erregung kann die Coordinationscentren umgehen oder durchbrechen und in elementaren Bewegungen abströmen. Beim Säugling sind, ausser dem respiratorischen Acte des Schreiens, nur solche incoordinirte Muskelcontractionen, Bäumen und Strampeln, Wirkung und Ausdruck des Affectes. Mit fortschreitender Entwicklung gelangt die Musculatur immer mehr unter die Herrschaft der Coordination und des Willens. Aber jener Opisthotonus, welcher das Maximum motorischer Anstrengung der gesammten Körpermusculatur darstellt, und die klonischen Bewegungen des Zappelns und Strampelns bleiben das Leben hindurch die Reactionsform für die maximale Erregung </w:t>
      </w:r>
      <w:r w:rsidRPr="00C820A0">
        <w:rPr>
          <w:rFonts w:ascii="Garamond" w:hAnsi="Garamond"/>
          <w:color w:val="666666"/>
          <w:sz w:val="20"/>
          <w:szCs w:val="20"/>
          <w:lang w:val="en-US" w:eastAsia="fr-FR"/>
        </w:rPr>
        <w:t>[</w:t>
      </w:r>
      <w:hyperlink r:id="rId1949" w:tooltip="Seite:De Studien über Hysterie 179.jpg" w:history="1">
        <w:r w:rsidRPr="00C820A0">
          <w:rPr>
            <w:rFonts w:ascii="Garamond" w:hAnsi="Garamond"/>
            <w:b/>
            <w:bCs/>
            <w:color w:val="0000FF"/>
            <w:sz w:val="20"/>
            <w:szCs w:val="20"/>
            <w:u w:val="single"/>
            <w:lang w:val="en-US" w:eastAsia="fr-FR"/>
          </w:rPr>
          <w:t>179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des Gehirnes; für die rein physische des epileptischen Anfalles wie für die Entladung maximaler Affecte, als mehr oder minder epileptoider Krampf. </w:t>
      </w:r>
      <w:r w:rsidRPr="00C820A0">
        <w:rPr>
          <w:rFonts w:ascii="Garamond" w:hAnsi="Garamond"/>
          <w:sz w:val="20"/>
          <w:szCs w:val="20"/>
          <w:lang w:eastAsia="fr-FR"/>
        </w:rPr>
        <w:t>(Der rein motorische Theil des hysterischen Anfalles.)</w: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2"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Solche abnorme Affectreactionen gehören zwar zur Hysterie; aber sie kommen auch ausserhalb dieser Krankheit vor; sie bezeichnen einen mehr minder hohen Grad von Nervosität, nicht die Hysterie. Als hysterisch darf man solche Phänomene erst dann bezeichnen, wenn sie nicht als Folgen eines hochgradigen, aber objectiv begründeten Affectes, sondern scheinbar spontan, als Krankheitserscheinung auftreten. </w:t>
      </w:r>
      <w:r w:rsidRPr="00C820A0">
        <w:rPr>
          <w:rFonts w:ascii="Garamond" w:hAnsi="Garamond"/>
          <w:sz w:val="20"/>
          <w:szCs w:val="20"/>
          <w:lang w:val="en-US" w:eastAsia="fr-FR"/>
        </w:rPr>
        <w:t xml:space="preserve">Für diese haben viele Beobachtungen und so auch die unserigen nachgewiesen, dass sie auf Erinnerungen beruhen, welche den ursprünglichen Affect erneuern. Oder besser: </w:t>
      </w:r>
      <w:r w:rsidRPr="00C820A0">
        <w:rPr>
          <w:rFonts w:ascii="Garamond" w:hAnsi="Garamond"/>
          <w:i/>
          <w:iCs/>
          <w:sz w:val="20"/>
          <w:szCs w:val="20"/>
          <w:lang w:val="en-US" w:eastAsia="fr-FR"/>
        </w:rPr>
        <w:t>erneuern würden, wenn nicht eben jene Reactionen schon einmal entstanden wären</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Wohl bei allen geistig regsameren Menschen rinnt, bei psychischer Ruhe, leise ein Strom von Vorstellungen und Erinnerungen durch das Bewusstsein; meist mit so geringer Lebhaftigkeit der Vorstellungen, dass sie keine Spur im Gedächtniss hinterlassen, und man dann nicht sagen kann, wie die Association stattgefunden hat. Taucht aber eine Vorstellung auf, die ursprünglich mit einem starken Affect verbunden war, so erneuert sich dieser in grösserer oder geringerer Intensität. Die so „affectiv betonte“ Vorstellung tritt dann hell und lebhaft in’s Bewusstsein. Die Stärke des Affectes, welchen eine Erinnerung auslösen kann, ist sehr verschieden, je nach dem Maasse, in welchem sie den </w:t>
      </w:r>
      <w:r w:rsidRPr="00C820A0">
        <w:rPr>
          <w:rFonts w:ascii="Garamond" w:hAnsi="Garamond"/>
          <w:sz w:val="20"/>
          <w:szCs w:val="20"/>
          <w:lang w:val="en-US" w:eastAsia="fr-FR"/>
        </w:rPr>
        <w:lastRenderedPageBreak/>
        <w:t>verschiedenen „usurirenden“ Einflüssen ausgesetzt war. Vor allem, je nachdem der ursprüngliche Affect „abreagirt“ worden war. Wir haben in der „Vorläufigen Mittheilung“ darauf hingewiesen, in wie verschiedenem Grade z. B. der Affect des Zornes über eine Beleidigung durch die Erinnerung wachgerufen wird, wenn diese Beleidigung vergolten oder wenn sie stumm geduldet worden ist. War der psychische Reflex bei der ursprünglichen Veranlassung wirklich erfolgt, so löst die Erinnerung ein viel geringeres Erregungsquantum aus.</w:t>
      </w:r>
      <w:hyperlink r:id="rId1950" w:anchor="cite_note-6" w:history="1">
        <w:r w:rsidRPr="00C820A0">
          <w:rPr>
            <w:rFonts w:ascii="Garamond" w:hAnsi="Garamond"/>
            <w:color w:val="0000FF"/>
            <w:sz w:val="20"/>
            <w:szCs w:val="20"/>
            <w:u w:val="single"/>
            <w:vertAlign w:val="superscript"/>
            <w:lang w:val="en-US" w:eastAsia="fr-FR"/>
          </w:rPr>
          <w:t>[7]</w:t>
        </w:r>
      </w:hyperlink>
      <w:r w:rsidRPr="00C820A0">
        <w:rPr>
          <w:rFonts w:ascii="Garamond" w:hAnsi="Garamond"/>
          <w:sz w:val="20"/>
          <w:szCs w:val="20"/>
          <w:lang w:val="en-US" w:eastAsia="fr-FR"/>
        </w:rPr>
        <w:t xml:space="preserve"> Wenn nicht, </w:t>
      </w:r>
      <w:r w:rsidRPr="00C820A0">
        <w:rPr>
          <w:rFonts w:ascii="Garamond" w:hAnsi="Garamond"/>
          <w:color w:val="666666"/>
          <w:sz w:val="20"/>
          <w:szCs w:val="20"/>
          <w:lang w:val="en-US" w:eastAsia="fr-FR"/>
        </w:rPr>
        <w:t>[</w:t>
      </w:r>
      <w:hyperlink r:id="rId1951" w:tooltip="Seite:De Studien über Hysterie 180.jpg" w:history="1">
        <w:r w:rsidRPr="00C820A0">
          <w:rPr>
            <w:rFonts w:ascii="Garamond" w:hAnsi="Garamond"/>
            <w:b/>
            <w:bCs/>
            <w:color w:val="0000FF"/>
            <w:sz w:val="20"/>
            <w:szCs w:val="20"/>
            <w:u w:val="single"/>
            <w:lang w:val="en-US" w:eastAsia="fr-FR"/>
          </w:rPr>
          <w:t>180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so drängt die Erinnerung immer wieder die scheltenden Worten auf die Lippen, welche damals unterdrückt wurden, und welche der psychische Reflex jenes Reizes gewesen wären.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Hat sich der ursprüngliche Affect nicht in dem normalen, sondern in einem „abnormen Reflex“ entladen, so wird auch dieser durch die Erinnerung wieder ausgelöst; die von der affectiven Vorstellung ausgehende Erregung wird in ein körperliches Phänomen </w:t>
      </w:r>
      <w:r w:rsidRPr="00C820A0">
        <w:rPr>
          <w:rFonts w:ascii="Garamond" w:hAnsi="Garamond"/>
          <w:i/>
          <w:iCs/>
          <w:sz w:val="20"/>
          <w:szCs w:val="20"/>
          <w:lang w:val="en-US" w:eastAsia="fr-FR"/>
        </w:rPr>
        <w:t>„convertirt“. (Freud.)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Ist durch oftmalige Wiederholung dieser abnorme Reflex vollständig gebahnt worden, so kann sich, wie es scheint, die Wirksamkeit der auslösenden Vorstellungen darin so vollständig erschöpfen, dass der Affect selbst nur in minimaler Stärke oder gar nicht entsteht; dann ist die </w:t>
      </w:r>
      <w:r w:rsidRPr="00C820A0">
        <w:rPr>
          <w:rFonts w:ascii="Garamond" w:hAnsi="Garamond"/>
          <w:i/>
          <w:iCs/>
          <w:sz w:val="20"/>
          <w:szCs w:val="20"/>
          <w:lang w:val="en-US" w:eastAsia="fr-FR"/>
        </w:rPr>
        <w:t>„hysterische Conversion“</w:t>
      </w:r>
      <w:r w:rsidRPr="00C820A0">
        <w:rPr>
          <w:rFonts w:ascii="Garamond" w:hAnsi="Garamond"/>
          <w:sz w:val="20"/>
          <w:szCs w:val="20"/>
          <w:lang w:val="en-US" w:eastAsia="fr-FR"/>
        </w:rPr>
        <w:t xml:space="preserve"> vollständig. Die Vorstellung aber, welche nun nicht mehr psychische Wirkungen hat, kann von dem Individuum übersehen oder ihr Auftauchen alsbald wieder vergessen werden, wie es bei andern affectlosen Vorstellungen geschieht.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Ein solches Ersetzen der cerebralen Erregung, welche eine Vorstellung bedingen sollte, durch eine Erregung peripherer Bahnen wird vielleicht annehmbarer durch die Erinnerung an das umgekehrte Verhalten beim Ausbleiben eines präformirten Reflexes. Ich wähle ein höchst triviales Beispiel, den Niessreflex. Wenn ein Reiz auf der Nasenschleimhaut diesen präformirten Reflex aus irgend einem Grunde nicht auslöst, so entsteht bekanntermaassen ein Gefühl von Erregung und Spannung. Es ist die Erregung, welche auf den motorischen Bahnen nicht abströmen kann und nun, jede andere Thätigkeit hemmend, über das Gehirn sich verbreitet. </w:t>
      </w:r>
      <w:r w:rsidRPr="00C820A0">
        <w:rPr>
          <w:rFonts w:ascii="Garamond" w:hAnsi="Garamond"/>
          <w:sz w:val="20"/>
          <w:szCs w:val="20"/>
          <w:lang w:eastAsia="fr-FR"/>
        </w:rPr>
        <w:t xml:space="preserve">Dieses banalste Beispiel bietet doch das Schema für den Vorgang beim Ausbleiben auch der complicirtesten psychischen Reflexe. </w:t>
      </w:r>
      <w:r w:rsidRPr="00C820A0">
        <w:rPr>
          <w:rFonts w:ascii="Garamond" w:hAnsi="Garamond"/>
          <w:sz w:val="20"/>
          <w:szCs w:val="20"/>
          <w:lang w:val="en-US" w:eastAsia="fr-FR"/>
        </w:rPr>
        <w:t xml:space="preserve">Die oben besprochene Aufregung des Rachetriebes ist wesentlich dasselbe; und bis in die höchsten Sphären menschlicher Leistungen können wir den Process verfolgen. </w:t>
      </w:r>
      <w:r w:rsidRPr="00C820A0">
        <w:rPr>
          <w:rFonts w:ascii="Garamond" w:hAnsi="Garamond"/>
          <w:i/>
          <w:iCs/>
          <w:sz w:val="20"/>
          <w:szCs w:val="20"/>
          <w:lang w:val="en-US" w:eastAsia="fr-FR"/>
        </w:rPr>
        <w:t>Goethe</w:t>
      </w:r>
      <w:r w:rsidRPr="00C820A0">
        <w:rPr>
          <w:rFonts w:ascii="Garamond" w:hAnsi="Garamond"/>
          <w:sz w:val="20"/>
          <w:szCs w:val="20"/>
          <w:lang w:val="en-US" w:eastAsia="fr-FR"/>
        </w:rPr>
        <w:t xml:space="preserve"> wird mit einem Erlebniss nicht fertig, bis er es in dichterischer Thätigkeit erledigt hat. Bei ihm ist dies der präformirte Reflex eines Affectes, und </w:t>
      </w:r>
      <w:r w:rsidRPr="00C820A0">
        <w:rPr>
          <w:rFonts w:ascii="Garamond" w:hAnsi="Garamond"/>
          <w:color w:val="666666"/>
          <w:sz w:val="20"/>
          <w:szCs w:val="20"/>
          <w:lang w:val="en-US" w:eastAsia="fr-FR"/>
        </w:rPr>
        <w:t>[</w:t>
      </w:r>
      <w:hyperlink r:id="rId1952" w:tooltip="Seite:De Studien über Hysterie 181.jpg" w:history="1">
        <w:r w:rsidRPr="00C820A0">
          <w:rPr>
            <w:rFonts w:ascii="Garamond" w:hAnsi="Garamond"/>
            <w:b/>
            <w:bCs/>
            <w:color w:val="0000FF"/>
            <w:sz w:val="20"/>
            <w:szCs w:val="20"/>
            <w:u w:val="single"/>
            <w:lang w:val="en-US" w:eastAsia="fr-FR"/>
          </w:rPr>
          <w:t>181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solange dieser sich nicht vollzogen hat, besteht die peinliche gesteigerte Erregung.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intracerebrale Erregung und der Erregungsvorgang in peripheren Bahnen sind reciproke Grössen; die erstere wächst, wenn und solange ein Reflex nicht ausgelöst wird, sie sinkt und schwindet, wenn sie sich in periphere Nervenerregung umgesetzt hat. So scheint es auch nicht unverständlich, dass kein merkbarer Affect entsteht, wenn die Vorstellung, welche ihn veranlassen sollte, unmittelbar einen abnormen Reflex auslöst, und in diesem die entstehende Erregung sogleich abströmt. Die „hysterische Conversion“ ist dann vollständig; die ursprünglich intracerebrale Erregung des Affectes ist in den Erregungsvorgang peripherer Bahnen umgewandelt worden; die ursprünglich affective Vorstellung ruft jetzt nicht mehr den Affect, sondern nur den abnormen Reflex hervor.</w:t>
      </w:r>
      <w:hyperlink r:id="rId1953" w:anchor="cite_note-7" w:history="1">
        <w:r w:rsidRPr="00C820A0">
          <w:rPr>
            <w:rFonts w:ascii="Garamond" w:hAnsi="Garamond"/>
            <w:color w:val="0000FF"/>
            <w:sz w:val="20"/>
            <w:szCs w:val="20"/>
            <w:u w:val="single"/>
            <w:vertAlign w:val="superscript"/>
            <w:lang w:val="en-US" w:eastAsia="fr-FR"/>
          </w:rPr>
          <w:t>[8]</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Wir sind damit einen Schritt weitergekommen, über den „abnormen Ausdruck der Gemüthsbewegungen“ hinaus. Das hysterische Phänomen (abnormer Reflex) erscheint auch intelligenten und gut beobachtenden Kranken nicht als ideogen, weil die veranlassende Vorstellung nicht mehr affectiv betont und nicht mehr vor anderen Vorstellungen und Erinnerungen ausgezeichnet ist; es erscheint als rein somatisches Phänomen, scheinbar ohne psychologische Wurzel.</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3"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Wodurch wird nun die Entladung der Affecterregung determinirt, so dass eben der eine abnorme Reflex geschaffen wird und nicht irgend ein beliebiger anderer? Unsere Beobachtungen beantworten diese Frage für viele Fälle dahin, dass auch diese Entladung dem „Princip des geringsten Widerstandes“ folgt und auf jenen Bahnen geschieht, deren Widerstände schon durch concurrirende Umstände herabgesetzt worden sind. Dahin gehört der schon früher besprochene Fall, dass ein bestimmter Reflex durch somatische Krankheit bereits gebahnt ist; z. B. wenn jemand oft an Cardialgien leidet, wird diese auch durch </w:t>
      </w:r>
      <w:r w:rsidRPr="00C820A0">
        <w:rPr>
          <w:rFonts w:ascii="Garamond" w:hAnsi="Garamond"/>
          <w:color w:val="666666"/>
          <w:sz w:val="20"/>
          <w:szCs w:val="20"/>
          <w:lang w:val="en-US" w:eastAsia="fr-FR"/>
        </w:rPr>
        <w:t>[</w:t>
      </w:r>
      <w:hyperlink r:id="rId1954" w:tooltip="Seite:De Studien über Hysterie 182.jpg" w:history="1">
        <w:r w:rsidRPr="00C820A0">
          <w:rPr>
            <w:rFonts w:ascii="Garamond" w:hAnsi="Garamond"/>
            <w:b/>
            <w:bCs/>
            <w:color w:val="0000FF"/>
            <w:sz w:val="20"/>
            <w:szCs w:val="20"/>
            <w:u w:val="single"/>
            <w:lang w:val="en-US" w:eastAsia="fr-FR"/>
          </w:rPr>
          <w:t>182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den Affect hervorgerufen. – Oder ein Reflex ist dadurch gebahnt, dass die betreffende Muskelinnervation im Momente des ursprünglichen Affectes willkürlich intendirt wurde; so strebt Anna O. (Beob. I) im Schreckaffect den durch Drucklähmung bewegungslosen rechten Arm zu strecken, um die Schlange abzuwehren; von da an wird der Tetanus des rechten Armes durch den Anblick aller schlangenähnlichen Dinge hervorgerufen. </w:t>
      </w:r>
      <w:r w:rsidRPr="00C820A0">
        <w:rPr>
          <w:rFonts w:ascii="Garamond" w:hAnsi="Garamond"/>
          <w:sz w:val="20"/>
          <w:szCs w:val="20"/>
          <w:lang w:eastAsia="fr-FR"/>
        </w:rPr>
        <w:t>Oder sie convergirt im Affecte stark mit den Augen, um die Uhrzeiger zu erkennen, und nun wird der Strabismus convergens einer der Reflexe dieses Affectes u. s. f.</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Es ist dies die Wirkung der Gleichzeitigkeit, welche ja auch unsere normale Association beherrscht; es ruft jede Sinneswahrnehmung eine andere wieder in's Bewusstsein, welche ursprünglich zugleich mit ihr aufgetreten war; (das Schulbeispiel vom Gesichtsbilde und dem Blöcken des Schlafes u. dgl.).</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t>Wenn nun mit dem ursprünglichen Affecte gleichzeitig ein lebhafter Sinneseindruck bestanden hatte, so wird dieser vom erneuten Affect wieder hervorgerufen, und zwar, da es sich dabei um die Entladung übergrosser Erregung handelt, nicht als Erinnerung, sondern als Hallucination. Fast alle unsere Beobachtungen bieten hiefür Beispiele. Ein solches ist es auch, wenn eine Frau einen schmerzlichen Affect durchlebt, während sie von einer Periostitis heftigen Zahnschmerz hat, und nun jede Erneuerung dieses Affectes, ja die Erinnerung daran eine Infraorbital-Neuralgie hervorruft u. dgl. m.</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lastRenderedPageBreak/>
        <w:t xml:space="preserve">Dies ist die Bahnung abnormer Reflexe nach den allgemeinen Gesetzen der Association. Manchmal aber (freilich nur bei höheren Graden von Hysterie) liegen zwischen dem Affect und seinem Reflex wirkliche Reihen von associirten Vorstellungen; das ist die </w:t>
      </w:r>
      <w:r w:rsidRPr="00C820A0">
        <w:rPr>
          <w:rFonts w:ascii="Garamond" w:hAnsi="Garamond"/>
          <w:i/>
          <w:iCs/>
          <w:sz w:val="20"/>
          <w:szCs w:val="20"/>
          <w:lang w:eastAsia="fr-FR"/>
        </w:rPr>
        <w:t>Determinirung durch Symbolik</w:t>
      </w:r>
      <w:r w:rsidRPr="00C820A0">
        <w:rPr>
          <w:rFonts w:ascii="Garamond" w:hAnsi="Garamond"/>
          <w:sz w:val="20"/>
          <w:szCs w:val="20"/>
          <w:lang w:eastAsia="fr-FR"/>
        </w:rPr>
        <w:t xml:space="preserve">. Es sind oft lächerliche Wortspiele, Klangassociationen, welche den Affect und seinen Reflex verbinden; aber das geschieht nur in traumhaften Zuständen mit verminderter Kritik und liegt schon ausserhalb der hier betrachteten Gruppe von Phänomenen. In sehr vielen Fällen bleibt die Determinirung unverständlich, weil unser Einblick in den psychischen Zustand und unsere Kenntniss der Vorstellungen, welche bei der Entstehung des hysterischen Phänomens actuell waren, oft höchst unvollständig ist. </w:t>
      </w:r>
      <w:r w:rsidRPr="00C820A0">
        <w:rPr>
          <w:rFonts w:ascii="Garamond" w:hAnsi="Garamond"/>
          <w:sz w:val="20"/>
          <w:szCs w:val="20"/>
          <w:lang w:val="en-US" w:eastAsia="fr-FR"/>
        </w:rPr>
        <w:t>Aber wir dürfen annehmen, dass der Vorgang demjenigen nicht ganz unähnlich sein wird, der uns in günstigeren Fällen klar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Erlebnisse, welche den ursprünglichen Affect auslösten, dessen Erregung dann in ein somatisches Phänomen convertirt wurde, </w:t>
      </w:r>
      <w:r w:rsidRPr="00C820A0">
        <w:rPr>
          <w:rFonts w:ascii="Garamond" w:hAnsi="Garamond"/>
          <w:color w:val="666666"/>
          <w:sz w:val="20"/>
          <w:szCs w:val="20"/>
          <w:lang w:val="en-US" w:eastAsia="fr-FR"/>
        </w:rPr>
        <w:t>[</w:t>
      </w:r>
      <w:hyperlink r:id="rId1955" w:tooltip="Seite:De Studien über Hysterie 183.jpg" w:history="1">
        <w:r w:rsidRPr="00C820A0">
          <w:rPr>
            <w:rFonts w:ascii="Garamond" w:hAnsi="Garamond"/>
            <w:b/>
            <w:bCs/>
            <w:color w:val="0000FF"/>
            <w:sz w:val="20"/>
            <w:szCs w:val="20"/>
            <w:u w:val="single"/>
            <w:lang w:val="en-US" w:eastAsia="fr-FR"/>
          </w:rPr>
          <w:t>183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bezeichneten wir als </w:t>
      </w:r>
      <w:r w:rsidRPr="00C820A0">
        <w:rPr>
          <w:rFonts w:ascii="Garamond" w:hAnsi="Garamond"/>
          <w:i/>
          <w:iCs/>
          <w:sz w:val="20"/>
          <w:szCs w:val="20"/>
          <w:lang w:val="en-US" w:eastAsia="fr-FR"/>
        </w:rPr>
        <w:t>psychische Traumen</w:t>
      </w:r>
      <w:r w:rsidRPr="00C820A0">
        <w:rPr>
          <w:rFonts w:ascii="Garamond" w:hAnsi="Garamond"/>
          <w:sz w:val="20"/>
          <w:szCs w:val="20"/>
          <w:lang w:val="en-US" w:eastAsia="fr-FR"/>
        </w:rPr>
        <w:t xml:space="preserve"> und die so entstandenen Krankheitserscheinungen als </w:t>
      </w:r>
      <w:r w:rsidRPr="00C820A0">
        <w:rPr>
          <w:rFonts w:ascii="Garamond" w:hAnsi="Garamond"/>
          <w:i/>
          <w:iCs/>
          <w:sz w:val="20"/>
          <w:szCs w:val="20"/>
          <w:lang w:val="en-US" w:eastAsia="fr-FR"/>
        </w:rPr>
        <w:t>hysterische Symptome traumatischen Ursprungs</w:t>
      </w:r>
      <w:r w:rsidRPr="00C820A0">
        <w:rPr>
          <w:rFonts w:ascii="Garamond" w:hAnsi="Garamond"/>
          <w:sz w:val="20"/>
          <w:szCs w:val="20"/>
          <w:lang w:val="en-US" w:eastAsia="fr-FR"/>
        </w:rPr>
        <w:t>. (Die Bezeichnung „traumatische Hysterie“ ist ja bereits für jene Phänomene vergeben, welche als Folgen körperlicher Verletzungen, Traumen im engsten Sinne, einen Theil der „traumatischen Neurose“ ausmachen.)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vollkommener Analogie mit der Entstehung traumatisch bedingter hyst. Phänomene steht die hyst. Conversion jener psychischen Erregung, welche nicht äusseren Reizen, nicht der Hemmung normaler psychischer Reflexe, sondern der Hemmung des Associationsablaufes entspringt.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Das elementare Beispiel und Paradigma hiefür liefert die Erregung, welche dadurch entsteht, dass uns ein Name nicht einfällt, dass wir ein Räthsel nicht lösen können u. dgl. Wird uns der Name oder das Wort des Räthsels gesagt, so schwindet die Erregung, indem sich die Associationskette schliesst, geradeso wie beim Schluss einer Reflexkette. Die Stärke der Erregung, welche von der Stockung einer Associationsreihe ausgeht, ist proportional dem Interesse, welches dieselbe für uns hat, d. h. dem Ausmaass, in welchem sie den Willen bewegt. Da aber beim Suchen nach einer Lösung des Problems o. dgl. immer eine grosse, wenn auch erfolglose Arbeit geleistet wird, findet auch starke Erregung ihre Verwendung und drängt nicht zur Entladung, wird darum auch nie pathogen.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Wohl aber geschieht das, wenn der Associationsablauf dadurch gehemmt wird, dass gleichwertige Vorstellungen </w:t>
      </w:r>
      <w:r w:rsidRPr="00C820A0">
        <w:rPr>
          <w:rFonts w:ascii="Garamond" w:hAnsi="Garamond"/>
          <w:i/>
          <w:iCs/>
          <w:sz w:val="20"/>
          <w:szCs w:val="20"/>
          <w:lang w:val="en-US" w:eastAsia="fr-FR"/>
        </w:rPr>
        <w:t>unvereinbar</w:t>
      </w:r>
      <w:r w:rsidRPr="00C820A0">
        <w:rPr>
          <w:rFonts w:ascii="Garamond" w:hAnsi="Garamond"/>
          <w:sz w:val="20"/>
          <w:szCs w:val="20"/>
          <w:lang w:val="en-US" w:eastAsia="fr-FR"/>
        </w:rPr>
        <w:t xml:space="preserve"> mit einander sind; wenn z. B. neue Gedanken mit festgewurzelten Vorstellungscomplexen in Conflict gerathen. Solcher Natur ist die Pein des religiösen Zweifels, der so viele Menschen unterliegen und noch viel mehr unterlagen. Auch hiebei steigt die Erregung und damit der psychische Schmerz, das Unlustgefühl zu bedeutender Höhe nur dann, wenn ein Willensinteresse des Individuums dabei in's Spiel kommt, wenn der Zweifelnde sich in seinem Glück, seinem Seelenheil bedroht glaubt.</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Diess ist aber immer der Fall, wenn der Conflict besteht zwischen dem festen, anerzogenen Complex der moralischen Vorstellungen und der Erinnerung an eigene Handlungen oder auch nur Gedanken, welche damit unvereinbar sind: die </w:t>
      </w:r>
      <w:r w:rsidRPr="00C820A0">
        <w:rPr>
          <w:rFonts w:ascii="Garamond" w:hAnsi="Garamond"/>
          <w:i/>
          <w:iCs/>
          <w:sz w:val="20"/>
          <w:szCs w:val="20"/>
          <w:lang w:val="en-US" w:eastAsia="fr-FR"/>
        </w:rPr>
        <w:t>Gewissensqual</w:t>
      </w:r>
      <w:r w:rsidRPr="00C820A0">
        <w:rPr>
          <w:rFonts w:ascii="Garamond" w:hAnsi="Garamond"/>
          <w:sz w:val="20"/>
          <w:szCs w:val="20"/>
          <w:lang w:val="en-US" w:eastAsia="fr-FR"/>
        </w:rPr>
        <w:t xml:space="preserve">. Das Willensinteresse, Freude an der eigenen Persönlichkeit zu haben, mit ihr zufrieden zu sein, tritt dabei in Action und steigert die Erregung der Associationshemmung </w:t>
      </w:r>
      <w:r w:rsidRPr="00C820A0">
        <w:rPr>
          <w:rFonts w:ascii="Garamond" w:hAnsi="Garamond"/>
          <w:color w:val="666666"/>
          <w:sz w:val="20"/>
          <w:szCs w:val="20"/>
          <w:lang w:val="en-US" w:eastAsia="fr-FR"/>
        </w:rPr>
        <w:t>[</w:t>
      </w:r>
      <w:hyperlink r:id="rId1956" w:tooltip="Seite:De Studien über Hysterie 184.jpg" w:history="1">
        <w:r w:rsidRPr="00C820A0">
          <w:rPr>
            <w:rFonts w:ascii="Garamond" w:hAnsi="Garamond"/>
            <w:b/>
            <w:bCs/>
            <w:color w:val="0000FF"/>
            <w:sz w:val="20"/>
            <w:szCs w:val="20"/>
            <w:u w:val="single"/>
            <w:lang w:val="en-US" w:eastAsia="fr-FR"/>
          </w:rPr>
          <w:t>184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auf’s höchste. Dass solcher Conflict unvereinbarer Vorstellungen pathogen wirkt, ist Sache der täglichen Erfahrung. Es handelt sich meist um Vorstellungen und Vorgänge des sexualen Lebens: um Masturbation bei moralisch empfindlichen Adolescenten, um das Bewusstsein der Neigung zu einem fremden Manne bei einer sittenstrengen Frau. Ja, sehr oft genügt das erste Auftauchen sexualer Empfindungen und Vorstellungen an sich schon, um durch den Conflict mit der festgewurzelten Vorstellung von sittlicher Reinheit einen hochgradigen Erregungszustand zu schaffen.</w:t>
      </w:r>
      <w:hyperlink r:id="rId1957" w:anchor="cite_note-8" w:history="1">
        <w:r w:rsidRPr="00C820A0">
          <w:rPr>
            <w:rFonts w:ascii="Garamond" w:hAnsi="Garamond"/>
            <w:color w:val="0000FF"/>
            <w:sz w:val="20"/>
            <w:szCs w:val="20"/>
            <w:u w:val="single"/>
            <w:vertAlign w:val="superscript"/>
            <w:lang w:eastAsia="fr-FR"/>
          </w:rPr>
          <w:t>[9]</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Diesem entspringen gewöhnlich psychische Folgen; pathologische Verstimmung, Angstzustände (</w:t>
      </w:r>
      <w:r w:rsidRPr="00C820A0">
        <w:rPr>
          <w:rFonts w:ascii="Garamond" w:hAnsi="Garamond"/>
          <w:i/>
          <w:iCs/>
          <w:sz w:val="20"/>
          <w:szCs w:val="20"/>
          <w:lang w:eastAsia="fr-FR"/>
        </w:rPr>
        <w:t>Freud</w:t>
      </w:r>
      <w:r w:rsidRPr="00C820A0">
        <w:rPr>
          <w:rFonts w:ascii="Garamond" w:hAnsi="Garamond"/>
          <w:sz w:val="20"/>
          <w:szCs w:val="20"/>
          <w:lang w:eastAsia="fr-FR"/>
        </w:rPr>
        <w:t>). Manchmal wird aber durch concurrirende Umstände ein anomales somatisches Phänomen determinirt, in welchem sich die Erregung entladet: Erbrechen, wenn das Gefühl moralischer Beschmutzung ein physisches Ekelgefühl erzeugt; eine Tussis nervosa wie bei Anna O. (Beob. I.), wenn die Gewissensangst Glottiskrampf hervorruft u. dgl.</w:t>
      </w:r>
      <w:hyperlink r:id="rId1958" w:anchor="cite_note-9" w:history="1">
        <w:r w:rsidRPr="00C820A0">
          <w:rPr>
            <w:rFonts w:ascii="Garamond" w:hAnsi="Garamond"/>
            <w:color w:val="0000FF"/>
            <w:sz w:val="20"/>
            <w:szCs w:val="20"/>
            <w:u w:val="single"/>
            <w:vertAlign w:val="superscript"/>
            <w:lang w:val="en-US" w:eastAsia="fr-FR"/>
          </w:rPr>
          <w:t>[10]</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Erregung, welche durch sehr lebhafte und durch unvereinbare Vorstellungen erzeugt wird, hat eine normale, adäquate Reaction; die Mittheilung durch die Rede. Wir finden den Drang danach in komischer Uebertreibung in der Geschichte vom Barbier des </w:t>
      </w:r>
      <w:r w:rsidRPr="00C820A0">
        <w:rPr>
          <w:rFonts w:ascii="Garamond" w:hAnsi="Garamond"/>
          <w:i/>
          <w:iCs/>
          <w:sz w:val="20"/>
          <w:szCs w:val="20"/>
          <w:lang w:val="en-US" w:eastAsia="fr-FR"/>
        </w:rPr>
        <w:t>Midas</w:t>
      </w:r>
      <w:r w:rsidRPr="00C820A0">
        <w:rPr>
          <w:rFonts w:ascii="Garamond" w:hAnsi="Garamond"/>
          <w:sz w:val="20"/>
          <w:szCs w:val="20"/>
          <w:lang w:val="en-US" w:eastAsia="fr-FR"/>
        </w:rPr>
        <w:t xml:space="preserve">, der sein Geheimniss in's Schilf hineinruft; wir finden ihn als eine der Grundlagen einer grossartigen historischen Institution in der katholischen Ohrenbeichte. Die Mittheilung erleichtert, sie entladet die Spannung auch dann, wenn sie nicht gegen den Priester geschieht und nicht von der Absolution gefolgt ist. Wird der Erregung dieser Ausweg versperrt, so convertirt sie sich manchmal in ein somatisches Phänomen ebenso wie die Erregung traumatischer Affecte, und wir können die ganze </w:t>
      </w:r>
      <w:r w:rsidRPr="00C820A0">
        <w:rPr>
          <w:rFonts w:ascii="Garamond" w:hAnsi="Garamond"/>
          <w:color w:val="666666"/>
          <w:sz w:val="20"/>
          <w:szCs w:val="20"/>
          <w:lang w:val="en-US" w:eastAsia="fr-FR"/>
        </w:rPr>
        <w:t>[</w:t>
      </w:r>
      <w:hyperlink r:id="rId1959" w:tooltip="Seite:De Studien über Hysterie 185.jpg" w:history="1">
        <w:r w:rsidRPr="00C820A0">
          <w:rPr>
            <w:rFonts w:ascii="Garamond" w:hAnsi="Garamond"/>
            <w:b/>
            <w:bCs/>
            <w:color w:val="0000FF"/>
            <w:sz w:val="20"/>
            <w:szCs w:val="20"/>
            <w:u w:val="single"/>
            <w:lang w:val="en-US" w:eastAsia="fr-FR"/>
          </w:rPr>
          <w:t>185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Gruppe hysterischer Erscheinungen, welche diesen Ursprung haben, mit </w:t>
      </w:r>
      <w:r w:rsidRPr="00C820A0">
        <w:rPr>
          <w:rFonts w:ascii="Garamond" w:hAnsi="Garamond"/>
          <w:i/>
          <w:iCs/>
          <w:sz w:val="20"/>
          <w:szCs w:val="20"/>
          <w:lang w:val="en-US" w:eastAsia="fr-FR"/>
        </w:rPr>
        <w:t>Freud</w:t>
      </w:r>
      <w:r w:rsidRPr="00C820A0">
        <w:rPr>
          <w:rFonts w:ascii="Garamond" w:hAnsi="Garamond"/>
          <w:sz w:val="20"/>
          <w:szCs w:val="20"/>
          <w:lang w:val="en-US" w:eastAsia="fr-FR"/>
        </w:rPr>
        <w:t xml:space="preserve"> als </w:t>
      </w:r>
      <w:r w:rsidRPr="00C820A0">
        <w:rPr>
          <w:rFonts w:ascii="Garamond" w:hAnsi="Garamond"/>
          <w:i/>
          <w:iCs/>
          <w:sz w:val="20"/>
          <w:szCs w:val="20"/>
          <w:lang w:val="en-US" w:eastAsia="fr-FR"/>
        </w:rPr>
        <w:t>hysterische Retentionsphänomene</w:t>
      </w:r>
      <w:r w:rsidRPr="00C820A0">
        <w:rPr>
          <w:rFonts w:ascii="Garamond" w:hAnsi="Garamond"/>
          <w:sz w:val="20"/>
          <w:szCs w:val="20"/>
          <w:lang w:val="en-US" w:eastAsia="fr-FR"/>
        </w:rPr>
        <w:t xml:space="preserve"> bezeichnen.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bisherige Darlegung des psychischen Entstehungsmechanismus hysterischer Phänomene steht dem Vorwurf offen, dass sie schematisire und den Vorgang einfacher darstelle, als er in Wirklichkeit ist. Damit sich bei einem gesunden, nicht originär neuropathischen Menschen ein richtiges hysterisches Symptom ausbilde, mit seiner scheinbaren Unabhängigkeit von der Psyche, seiner selbständigen somatischen Existenz, müssen </w:t>
      </w:r>
      <w:r w:rsidRPr="00C820A0">
        <w:rPr>
          <w:rFonts w:ascii="Garamond" w:hAnsi="Garamond"/>
          <w:i/>
          <w:iCs/>
          <w:sz w:val="20"/>
          <w:szCs w:val="20"/>
          <w:lang w:val="en-US" w:eastAsia="fr-FR"/>
        </w:rPr>
        <w:t>fast immer mehrfache Umstände concurriren</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Der folgende Fall mag als Beispiel dieser Complicirtheit des Vorganges dienen: Ein 12jähriger Knabe, früher an Pavor nocturnus leidend und Sohn eines sehr nervösen Vaters, kam eines Tages unwohl aus der Schule. Er klagte über Schlingbeschwerden, d. h. er konnte nur mit Schwierigkeit schlucken, und über Kopfschmerz. Der Hausarzt nahm eine Angina als Ursache an. Aber auch nach mehreren Tagen besserte sich der Zustand nicht. Der Junge wollte nicht essen, erbrach, als man ihn dazu verhielt, schleppte sich müde und lustlos herum, wollte immer zu Bett liegen und kam körperlich sehr herab. Als ich ihn nach 5 Wochen sah, machte er den Eindruck eines scheuen, </w:t>
      </w:r>
      <w:r w:rsidRPr="00C820A0">
        <w:rPr>
          <w:rFonts w:ascii="Garamond" w:hAnsi="Garamond"/>
          <w:sz w:val="20"/>
          <w:szCs w:val="20"/>
          <w:lang w:val="en-US" w:eastAsia="fr-FR"/>
        </w:rPr>
        <w:lastRenderedPageBreak/>
        <w:t>verschlossenen Kindes, und ich gewann die Ueberzeugung, der Zustand habe eine psychische Begründung. Auf drängende Prägen gab er eine banale Ursache an, einen strengen Verweis des Vaters, der offenbar nicht die wirkliche Grundlage der Erkrankung war. Auch aus der Schule war nichts zu erfahren. Ich versprach, später in der Hypnose die Mittheilung zu erzwingen. Doch das wurde unnöthig. Als ihn die kluge und energische Mutter einmal hart anliess, begann er unter einem Thränenstrom zu erzählen. Er war damals auf dem Heimweg von der Schule in ein Pissoir getreten, und dort hatte ihm ein Mann den Penis hingehalten mit der Aufforderung, ihn in den Mund zu nehmen. Er war voll Schreck weggelaufen, und es war ihm sonst nichts geschehen. Aber von dem Augenblick an war er krank. Von dem Moment der Beichte an wich der Zustand völliger Gesundheit. – Um das Phänomen der Anorexie, der Schlingbeschwerden, des Erbrechens zu erzeugen, brauchte es hier mehrerer Factoren: die angeborene nervöse Artung, den Schreck, das Hereinbrechen des Sexualen in seiner brutalsten Form in das Kindergemüth, und als determinirendes Moment die Ekelvorstellung. Ihre Dauer verdankte die Erkrankung dem Verschweigen, wodurch der Erregung die normale Abfuhr versagt wurde.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So wie in diesem Fall, so müssen immer mehrere Factoren zusammenwirken, damit bei einem bisher Gesunden ein hysterisches Symptom sich bilde; dieses ist immer „</w:t>
      </w:r>
      <w:r w:rsidRPr="00C820A0">
        <w:rPr>
          <w:rFonts w:ascii="Garamond" w:hAnsi="Garamond"/>
          <w:i/>
          <w:iCs/>
          <w:sz w:val="20"/>
          <w:szCs w:val="20"/>
          <w:lang w:val="en-US" w:eastAsia="fr-FR"/>
        </w:rPr>
        <w:t>überdeterminirt</w:t>
      </w:r>
      <w:r w:rsidRPr="00C820A0">
        <w:rPr>
          <w:rFonts w:ascii="Garamond" w:hAnsi="Garamond"/>
          <w:sz w:val="20"/>
          <w:szCs w:val="20"/>
          <w:lang w:val="en-US" w:eastAsia="fr-FR"/>
        </w:rPr>
        <w:t xml:space="preserve">“ nach dem Ausdrucke </w:t>
      </w:r>
      <w:r w:rsidRPr="00C820A0">
        <w:rPr>
          <w:rFonts w:ascii="Garamond" w:hAnsi="Garamond"/>
          <w:i/>
          <w:iCs/>
          <w:sz w:val="20"/>
          <w:szCs w:val="20"/>
          <w:lang w:val="en-US" w:eastAsia="fr-FR"/>
        </w:rPr>
        <w:t>Freud's</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Als solche </w:t>
      </w:r>
      <w:r w:rsidRPr="00C820A0">
        <w:rPr>
          <w:rFonts w:ascii="Garamond" w:hAnsi="Garamond"/>
          <w:i/>
          <w:iCs/>
          <w:sz w:val="20"/>
          <w:szCs w:val="20"/>
          <w:lang w:val="en-US" w:eastAsia="fr-FR"/>
        </w:rPr>
        <w:t>Ueberdeterminirung</w:t>
      </w:r>
      <w:r w:rsidRPr="00C820A0">
        <w:rPr>
          <w:rFonts w:ascii="Garamond" w:hAnsi="Garamond"/>
          <w:sz w:val="20"/>
          <w:szCs w:val="20"/>
          <w:lang w:val="en-US" w:eastAsia="fr-FR"/>
        </w:rPr>
        <w:t xml:space="preserve"> kann es auch gelten, wenn derselbe Affect durch mehrere, wiederholte Anlässe hervorgerufen wird. Der Kranke und die Umgebung beziehen das hysterische Symptom nur auf den letzten Anlass, der aber meist nur zur Erscheinung gebracht hat, was durch andere Traumen schon fast vollständig geleistet war.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60" w:tooltip="Seite:De Studien über Hysterie 186.jpg" w:history="1">
        <w:r w:rsidRPr="00C820A0">
          <w:rPr>
            <w:rFonts w:ascii="Garamond" w:hAnsi="Garamond"/>
            <w:b/>
            <w:bCs/>
            <w:color w:val="0000FF"/>
            <w:sz w:val="20"/>
            <w:szCs w:val="20"/>
            <w:u w:val="single"/>
            <w:lang w:val="en-US" w:eastAsia="fr-FR"/>
          </w:rPr>
          <w:t>186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Ein junges Mädchen hatte ihren ersten hysterischen Anfall, an den sich dann eine Reihe anderer schlossen, als ihr im Dunkel eine Katze auf die Schulter sprang. Es schien einfache Schreckwirkung. Genauere Erforschung ergab aber, dass das auffallend schöne und übel behütete 17jährige Mädchen in letzter Zeit Gegenstand vielfacher, mehr minder brutaler Nachstellungen gewesen und dadurch selbst in sexuale Erregung gerathen war. (Disposition.) Auf derselben dunklen Treppe war sie einige Tage vorher von einem jungen Manne überfallen worden, dessen Angriff sie sich mit Noth entzog. Dies war das eigentliche psychische Trauma, dessen Wirkung durch die Katze nur manifest wurde. Aber in wie vielen Fällen gilt so eine Katze für vollständig genügende causa efficiens?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Für solche Durchsetzung der Conversion durch Wiederholung des Affectes ist nicht immer eine Mehrzahl von äussern Anlässen nöthig; oft genügt auch die Erneuerung des Affectes in der Erinnerung, wenn diese alsbald nach dem Trauma, bevor sich der Affect abgeschwächt hat, in rascher, häufiger Wiederholung erfolgt. Es genügt das, wenn der Affect ein sehr mächtiger war; so ist es bei den traumatischen Hysterien im engeren Wortsinne.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den Tagen nach einem Eisenbahnunglück z. B. wird im Schlaf und Wachen die Schreckensscene wieder durchlebt, immer mit der Erneuerung des Schreckaffectes, bis endlich nach dieser Zeit „psychischer Ausarbeitung“ (</w:t>
      </w:r>
      <w:r w:rsidRPr="00C820A0">
        <w:rPr>
          <w:rFonts w:ascii="Garamond" w:hAnsi="Garamond"/>
          <w:i/>
          <w:iCs/>
          <w:sz w:val="20"/>
          <w:szCs w:val="20"/>
          <w:lang w:val="en-US" w:eastAsia="fr-FR"/>
        </w:rPr>
        <w:t>Charcot</w:t>
      </w:r>
      <w:r w:rsidRPr="00C820A0">
        <w:rPr>
          <w:rFonts w:ascii="Garamond" w:hAnsi="Garamond"/>
          <w:sz w:val="20"/>
          <w:szCs w:val="20"/>
          <w:lang w:val="en-US" w:eastAsia="fr-FR"/>
        </w:rPr>
        <w:t xml:space="preserve">) oder </w:t>
      </w:r>
      <w:r w:rsidRPr="00C820A0">
        <w:rPr>
          <w:rFonts w:ascii="Garamond" w:hAnsi="Garamond"/>
          <w:i/>
          <w:iCs/>
          <w:sz w:val="20"/>
          <w:szCs w:val="20"/>
          <w:lang w:val="en-US" w:eastAsia="fr-FR"/>
        </w:rPr>
        <w:t>Incubation</w:t>
      </w:r>
      <w:r w:rsidRPr="00C820A0">
        <w:rPr>
          <w:rFonts w:ascii="Garamond" w:hAnsi="Garamond"/>
          <w:sz w:val="20"/>
          <w:szCs w:val="20"/>
          <w:lang w:val="en-US" w:eastAsia="fr-FR"/>
        </w:rPr>
        <w:t xml:space="preserve"> die Convertirung in ein somatisches Phänomen zu Stande gekommen ist. (Allerdings wirkt hiebei noch ein Factor mit, der später zu besprechen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Aber gewöhnlich unterliegt die affective Vorstellung alsbald der Usur, all' jenen in der „Vorl. Mittheil.“ (pag. 6) berührten Einflüssen, die sie nach und nach ihres Affectwertes berauben. Ihr Wiederauftauchen bedingt ein immer geringeres Maass von Erregung, und damit verliert die Erinnerung die Fähigkeit, zur Herstellung eines somatischen Phänomens beizutragen. Die Bahnung des abnormen Reflexes verliert sich, und der status quo ante stellt sich damit wieder her.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usurirenden Einflüsse sind aber sämmtlich Leistungen der Association, des Denkens, Correctur durch andere Vorstellungen. Diese wird unmöglich, wenn die Affectvorstellung dem „Associationsverkehre“ entzogen wird; und in solchem Fall behält dieselbe ihren ganzen Affectwerth. Indem sie bei jeder Erneuerung immer wieder die ganze Erregungsumme des ursprünglichen Affectes frei macht, wird die damals begonnene Bahnung eines abnormen Reflexes endlich vollzogen, oder die damals zu Stande gekommene erhalten und stabilisirt. Das Phänomen hysterischer Conversion ist dann vollständig für die Dauer etablirt.</w:t>
      </w:r>
      <w:hyperlink r:id="rId1961" w:anchor="cite_note-10" w:history="1">
        <w:r w:rsidRPr="00C820A0">
          <w:rPr>
            <w:rFonts w:ascii="Garamond" w:hAnsi="Garamond"/>
            <w:color w:val="0000FF"/>
            <w:sz w:val="20"/>
            <w:szCs w:val="20"/>
            <w:u w:val="single"/>
            <w:vertAlign w:val="superscript"/>
            <w:lang w:val="en-US" w:eastAsia="fr-FR"/>
          </w:rPr>
          <w:t>[11]</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62" w:tooltip="Seite:De Studien über Hysterie 187.jpg" w:history="1">
        <w:r w:rsidRPr="00C820A0">
          <w:rPr>
            <w:rFonts w:ascii="Garamond" w:hAnsi="Garamond"/>
            <w:b/>
            <w:bCs/>
            <w:color w:val="0000FF"/>
            <w:sz w:val="20"/>
            <w:szCs w:val="20"/>
            <w:u w:val="single"/>
            <w:lang w:val="en-US" w:eastAsia="fr-FR"/>
          </w:rPr>
          <w:t>187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Wir kennen aus unsern Beobachtungen zwei Formen solchen Ausschlusses von Affectvorstellungen aus der Association.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erste ist die „</w:t>
      </w:r>
      <w:r w:rsidRPr="00C820A0">
        <w:rPr>
          <w:rFonts w:ascii="Garamond" w:hAnsi="Garamond"/>
          <w:i/>
          <w:iCs/>
          <w:sz w:val="20"/>
          <w:szCs w:val="20"/>
          <w:lang w:val="en-US" w:eastAsia="fr-FR"/>
        </w:rPr>
        <w:t>Abwehr</w:t>
      </w:r>
      <w:r w:rsidRPr="00C820A0">
        <w:rPr>
          <w:rFonts w:ascii="Garamond" w:hAnsi="Garamond"/>
          <w:sz w:val="20"/>
          <w:szCs w:val="20"/>
          <w:lang w:val="en-US" w:eastAsia="fr-FR"/>
        </w:rPr>
        <w:t xml:space="preserve">“, die willkürliche Unterdrückung peinlicher Vorstellungen, durch welche sich der Mensch in seiner Lebensfreude oder in seiner Selbstachtung bedroht fühlt. </w:t>
      </w:r>
      <w:r w:rsidRPr="00C820A0">
        <w:rPr>
          <w:rFonts w:ascii="Garamond" w:hAnsi="Garamond"/>
          <w:i/>
          <w:iCs/>
          <w:sz w:val="20"/>
          <w:szCs w:val="20"/>
          <w:lang w:val="en-US" w:eastAsia="fr-FR"/>
        </w:rPr>
        <w:t>Freud</w:t>
      </w:r>
      <w:r w:rsidRPr="00C820A0">
        <w:rPr>
          <w:rFonts w:ascii="Garamond" w:hAnsi="Garamond"/>
          <w:sz w:val="20"/>
          <w:szCs w:val="20"/>
          <w:lang w:val="en-US" w:eastAsia="fr-FR"/>
        </w:rPr>
        <w:t xml:space="preserve"> hat in seiner Mittheilung über „Abwehr-Neuro-Psychosen“ (Neurol. Centr.-Blatt Nr. 10, 1894) und in den hier vorliegenden Krankengeschichten über diesen Vorgang gesprochen, der gewiss eine sehr hohe pathologische Bedeutung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ist wohl nicht verständlich, wieso eine Vorstellung willkürlich aus dem Bewusstsein verdrängt werden kann; aber wir kennen den entsprechenden positiven Vorgang, die Concentration der Aufmerksamkeit auf eine Vorstellung, genau und können ebensowenig sagen, wie wir ihn vollziehen.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Vorstellungen nun, von denen sich das Bewusstsein abwendet, über die nicht gedacht wird, bleiben auch der Usur entzogen und behalten ihren Affectbetrag ungemindert.</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Wir haben weiters gefunden, dass eine andere Art von Vorstellungen der Usur durch das Denken entzogen bleibt, nicht weil man sie nicht erinnern </w:t>
      </w:r>
      <w:r w:rsidRPr="00C820A0">
        <w:rPr>
          <w:rFonts w:ascii="Garamond" w:hAnsi="Garamond"/>
          <w:i/>
          <w:iCs/>
          <w:sz w:val="20"/>
          <w:szCs w:val="20"/>
          <w:lang w:val="en-US" w:eastAsia="fr-FR"/>
        </w:rPr>
        <w:t>will</w:t>
      </w:r>
      <w:r w:rsidRPr="00C820A0">
        <w:rPr>
          <w:rFonts w:ascii="Garamond" w:hAnsi="Garamond"/>
          <w:sz w:val="20"/>
          <w:szCs w:val="20"/>
          <w:lang w:val="en-US" w:eastAsia="fr-FR"/>
        </w:rPr>
        <w:t xml:space="preserve">, sondern weil man es nicht </w:t>
      </w:r>
      <w:r w:rsidRPr="00C820A0">
        <w:rPr>
          <w:rFonts w:ascii="Garamond" w:hAnsi="Garamond"/>
          <w:i/>
          <w:iCs/>
          <w:sz w:val="20"/>
          <w:szCs w:val="20"/>
          <w:lang w:val="en-US" w:eastAsia="fr-FR"/>
        </w:rPr>
        <w:t>kann</w:t>
      </w:r>
      <w:r w:rsidRPr="00C820A0">
        <w:rPr>
          <w:rFonts w:ascii="Garamond" w:hAnsi="Garamond"/>
          <w:sz w:val="20"/>
          <w:szCs w:val="20"/>
          <w:lang w:val="en-US" w:eastAsia="fr-FR"/>
        </w:rPr>
        <w:t>; weil sie in Zuständen ursprünglich aufgetaucht sind und mit Affect belehnt wurden, für die im wachen Bewusstsein Amnesie besteht, in hypnotischen und hypnose-ähnlichen Zuständen. Diese letzteren scheinen von höchster Bedeutung für die Lehre von der Hysterie zu sein und darum eine etwas eingehendere Besprechung zu verdienen.</w:t>
      </w:r>
      <w:hyperlink r:id="rId1963" w:anchor="cite_note-11" w:history="1">
        <w:r w:rsidRPr="00C820A0">
          <w:rPr>
            <w:rFonts w:ascii="Garamond" w:hAnsi="Garamond"/>
            <w:color w:val="0000FF"/>
            <w:sz w:val="20"/>
            <w:szCs w:val="20"/>
            <w:u w:val="single"/>
            <w:vertAlign w:val="superscript"/>
            <w:lang w:eastAsia="fr-FR"/>
          </w:rPr>
          <w:t>[12]</w:t>
        </w:r>
      </w:hyperlink>
    </w:p>
    <w:p w:rsidR="005C1841" w:rsidRPr="00C820A0" w:rsidRDefault="005C1841" w:rsidP="005C1841">
      <w:pPr>
        <w:pStyle w:val="Sansinterligne"/>
        <w:rPr>
          <w:rFonts w:ascii="Garamond" w:hAnsi="Garamond"/>
          <w:sz w:val="20"/>
          <w:szCs w:val="20"/>
          <w:lang w:eastAsia="fr-FR"/>
        </w:rPr>
      </w:pPr>
      <w:r w:rsidRPr="00C820A0">
        <w:rPr>
          <w:rFonts w:ascii="Garamond" w:hAnsi="Garamond"/>
          <w:b/>
          <w:bCs/>
          <w:sz w:val="20"/>
          <w:szCs w:val="20"/>
          <w:lang w:eastAsia="fr-FR"/>
        </w:rPr>
        <w:t>IV. Hypnoide Zustände.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Als wir in der „Vorläufigen Mittheilung“ den Satz aussprachen: Grundlage und Bedingung der Hysterie ist die Existenz von hypnoiden Zuständen, übersahen wir, dass </w:t>
      </w:r>
      <w:r w:rsidRPr="00C820A0">
        <w:rPr>
          <w:rFonts w:ascii="Garamond" w:hAnsi="Garamond"/>
          <w:i/>
          <w:iCs/>
          <w:sz w:val="20"/>
          <w:szCs w:val="20"/>
          <w:lang w:eastAsia="fr-FR"/>
        </w:rPr>
        <w:t>Möbius</w:t>
      </w:r>
      <w:r w:rsidRPr="00C820A0">
        <w:rPr>
          <w:rFonts w:ascii="Garamond" w:hAnsi="Garamond"/>
          <w:sz w:val="20"/>
          <w:szCs w:val="20"/>
          <w:lang w:eastAsia="fr-FR"/>
        </w:rPr>
        <w:t xml:space="preserve"> 1890 bereits ganz dasselbe gesagt hatte. „Die </w:t>
      </w:r>
      <w:r w:rsidRPr="00C820A0">
        <w:rPr>
          <w:rFonts w:ascii="Garamond" w:hAnsi="Garamond"/>
          <w:sz w:val="20"/>
          <w:szCs w:val="20"/>
          <w:lang w:eastAsia="fr-FR"/>
        </w:rPr>
        <w:lastRenderedPageBreak/>
        <w:t xml:space="preserve">Voraussetzung des (pathogenen) Wirkens der Vorstellungen ist eine angeborene, d. h. die hysterische Anlage einerseits </w:t>
      </w:r>
      <w:r w:rsidRPr="00C820A0">
        <w:rPr>
          <w:rFonts w:ascii="Garamond" w:hAnsi="Garamond"/>
          <w:color w:val="666666"/>
          <w:sz w:val="20"/>
          <w:szCs w:val="20"/>
          <w:lang w:eastAsia="fr-FR"/>
        </w:rPr>
        <w:t>[</w:t>
      </w:r>
      <w:hyperlink r:id="rId1964" w:tooltip="Seite:De Studien über Hysterie 188.jpg" w:history="1">
        <w:r w:rsidRPr="00C820A0">
          <w:rPr>
            <w:rFonts w:ascii="Garamond" w:hAnsi="Garamond"/>
            <w:b/>
            <w:bCs/>
            <w:color w:val="0000FF"/>
            <w:sz w:val="20"/>
            <w:szCs w:val="20"/>
            <w:u w:val="single"/>
            <w:lang w:eastAsia="fr-FR"/>
          </w:rPr>
          <w:t>188</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und ein besonderer Gemüthszustand anderseits. </w:t>
      </w:r>
      <w:r w:rsidRPr="00C820A0">
        <w:rPr>
          <w:rFonts w:ascii="Garamond" w:hAnsi="Garamond"/>
          <w:sz w:val="20"/>
          <w:szCs w:val="20"/>
          <w:lang w:val="en-US" w:eastAsia="fr-FR"/>
        </w:rPr>
        <w:t>Von diesem Gemüthszustande kann man sich nur eine unklare Vorstellung machen. Er muss dem hypnotischen ähnlich sein, er muss einer gewissen Leere des Bewusstseins entsprechen, in der einer auftauchenden Vorstellung von Seiten anderer kein Widerstand entgegengesetzt wird, in der sozusagen der Thron für den ersten Besten frei ist. Wir wissen, dass ein solcher Zustand, ausser durch Hypnotisirung durch Gemüthserschütterung (Schreck, Zorn u. s. w.) und durch erschöpfende Einflüsse (Schlaflosigkeit, Hunger u. s. w.) herbeigeführt werden kann.“</w:t>
      </w:r>
      <w:hyperlink r:id="rId1965" w:anchor="cite_note-12" w:history="1">
        <w:r w:rsidRPr="00C820A0">
          <w:rPr>
            <w:rFonts w:ascii="Garamond" w:hAnsi="Garamond"/>
            <w:color w:val="0000FF"/>
            <w:sz w:val="20"/>
            <w:szCs w:val="20"/>
            <w:u w:val="single"/>
            <w:vertAlign w:val="superscript"/>
            <w:lang w:val="en-US" w:eastAsia="fr-FR"/>
          </w:rPr>
          <w:t>[13]</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Frage, deren annähernde Lösung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hiemit zunächst versuchte, ist die nach der Entstehung somatischer Phänomene durch Vorstellungen. Er erinnert dabei an die Leichtigkeit, mit welcher eine solche in der Hypnose stattfindet, und hält die Wirkung der Affecte für analog. Unsere, einigermaassen abweichende Anschauung über diese Affectwirkung ist oben ausführlich dargelegt worden. Ich brauche darum hier nicht weiter auf die Schwierigkeit einzugehen, welche darin liegt, dass M. beim Zorn eine „Leere des Bewusstseins“</w:t>
      </w:r>
      <w:hyperlink r:id="rId1966" w:anchor="cite_note-13" w:history="1">
        <w:r w:rsidRPr="00C820A0">
          <w:rPr>
            <w:rFonts w:ascii="Garamond" w:hAnsi="Garamond"/>
            <w:color w:val="0000FF"/>
            <w:sz w:val="20"/>
            <w:szCs w:val="20"/>
            <w:u w:val="single"/>
            <w:vertAlign w:val="superscript"/>
            <w:lang w:val="en-US" w:eastAsia="fr-FR"/>
          </w:rPr>
          <w:t>[14]</w:t>
        </w:r>
      </w:hyperlink>
      <w:r w:rsidRPr="00C820A0">
        <w:rPr>
          <w:rFonts w:ascii="Garamond" w:hAnsi="Garamond"/>
          <w:sz w:val="20"/>
          <w:szCs w:val="20"/>
          <w:lang w:val="en-US" w:eastAsia="fr-FR"/>
        </w:rPr>
        <w:t xml:space="preserve"> annimmt (die beim Schreck und bei der protrahirten Angst allerdings besteht), und wie schwer es überhaupt ist, den Erregungszustand des Affectes mit der Ruhe der Hypnose zu analogisiren. Wir werden aber auf die Sätze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die, wie ich meine, eine wichtige Wahrheit enthalten, später zurückkommen.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Für uns liegt die Wichtigkeit der hypnose-ähnlichen, „hypnoiden“ Zustände ausserdem und vor allem in der Amnesie und in ihrer Fähigkeit, jene später zu besprechende Spaltung der Psyche zu bedingen, welche für die „grosse Hysterie“ von fundamentaler Bedeutung ist. Diese Wichtigkeit legen wir ihnen auch jetzt noch bei. Doch muss ich unsern Satz wesentlich einschränken. Die Conversion, die ideogene Entstehung somatischer Phänomene vollzieht sich auch ausserhalb der hypnoiden Zustände, und für die Bildung von Vorstellungscomplexen, die vom Associationsverkehre ausgeschlossen sind, hat Freud in der willkürlichen Amnesie der Abwehr eine zweite, von den hypnoiden Zuständen unabhängige Quelle gefunden. Aber, mit dieser Einschränkung, meine ich noch immer, diese letzteren seien Ursache und Bedingung vieler, ja der meisten, grossen und complicirten Hysterien.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67" w:tooltip="Seite:De Studien über Hysterie 189.jpg" w:history="1">
        <w:r w:rsidRPr="00C820A0">
          <w:rPr>
            <w:rFonts w:ascii="Garamond" w:hAnsi="Garamond"/>
            <w:b/>
            <w:bCs/>
            <w:color w:val="0000FF"/>
            <w:sz w:val="20"/>
            <w:szCs w:val="20"/>
            <w:u w:val="single"/>
            <w:lang w:val="en-US" w:eastAsia="fr-FR"/>
          </w:rPr>
          <w:t>189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Zu den hypnoiden Zuständen zählen natürlich vor allem die wirklichen Auto-Hypnosen, die sich von den artificiellen nur durch ihre spontane Entstehung unterscheiden. Wir finden sie bei manchen voll entwickelten Hysterien in wechselnder Häufigkeit und mit verschiedener Dauer, oft in raschestem Alterniren mit dem Zustand des normalen Wachens abwechselnd.</w:t>
      </w:r>
      <w:hyperlink r:id="rId1968" w:anchor="cite_note-14" w:history="1">
        <w:r w:rsidRPr="00C820A0">
          <w:rPr>
            <w:rFonts w:ascii="Garamond" w:hAnsi="Garamond"/>
            <w:color w:val="0000FF"/>
            <w:sz w:val="20"/>
            <w:szCs w:val="20"/>
            <w:u w:val="single"/>
            <w:vertAlign w:val="superscript"/>
            <w:lang w:val="en-US" w:eastAsia="fr-FR"/>
          </w:rPr>
          <w:t>[15]</w:t>
        </w:r>
      </w:hyperlink>
      <w:r w:rsidRPr="00C820A0">
        <w:rPr>
          <w:rFonts w:ascii="Garamond" w:hAnsi="Garamond"/>
          <w:sz w:val="20"/>
          <w:szCs w:val="20"/>
          <w:lang w:val="en-US" w:eastAsia="fr-FR"/>
        </w:rPr>
        <w:t xml:space="preserve"> Ihres traumhaften Vorstellungsinhaltes wegen können sie oft den Namen des Delirium hystericum verdienen. Im Wachen besteht für die inneren Vorgänge dieser Zustände eine mehr oder minder vollständige Amnesie, während sie in der artificiellen Hypnose vollständig erinnert werden. Die psychischen Resultate dieser Zustände, die darin gebildeten Associationen, sind eben durch die Amnesie jeder Correctur im wachen Denken entzogen. Und da in der Autohypnose die Kritik und Controle durch andere Vorstellungen herabgesetzt und meist fast ganz geschwunden ist, so können ihr die verrücktesten Wahnvorstellungen entstammen und sich lange intact erhalten. So entsteht eine etwas complicirtere irrationale, „symbolische Beziehung zwischen der Veranlassung und dem pathologischen Phänomen“, welche ja oft auf den lächerlichsten Klangähnlichkeiten und Wortassociationen beruht, fast nur in solchen Zuständen. Die Kritiklosigkeit derselben bedingt es, dass ihnen so häufig Autosuggestionen entspringen, z. B. wenn nach einem hysterischen Anfall eine Lähmung zurückbleibt. Aber, vielleicht zufälligerweise, sind wir in unseren Analysen kaum jemals auf diese Entstehung eines hysterischen Phänomens gestossen. Wir fanden diese immer, auch in der Autohypnose, durch denselben Vorgang bedingt wie ausserhalb derselben, durch die Convertirung einer Affecterregung.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Diese „hysterische Conversion“ vollzieht sich in der Autohypnose jedenfalls leichter als im Wachen, wie ja auch in der artificiellen Hypnose Suggestiv-Vorstellungen sich als Hallucinationen und Bewegungen so viel leichter körperlich realisieren. Aber der Vorgang der Erregungsconversion ist doch im Wesen derselbe, wie er oben dargelegt worden ist. Hat er einmal stattgefunden, so wiederholt sich das somatische Phänomen, wenn Affect und Autohypnose wieder zusammentreffen. Und es scheint, dass der hypnotische Zustand dann durch den Affect selbst hervorgerufen werde. So bleibt zunächst, so lange die Hypnose mit vollem Wachen rein alternirt, das hysterische Symptom auf den hypnotischen Zustand beschränkt </w:t>
      </w:r>
      <w:r w:rsidRPr="00C820A0">
        <w:rPr>
          <w:rFonts w:ascii="Garamond" w:hAnsi="Garamond"/>
          <w:color w:val="666666"/>
          <w:sz w:val="20"/>
          <w:szCs w:val="20"/>
          <w:lang w:val="en-US" w:eastAsia="fr-FR"/>
        </w:rPr>
        <w:t>[</w:t>
      </w:r>
      <w:hyperlink r:id="rId1969" w:tooltip="Seite:De Studien über Hysterie 190.jpg" w:history="1">
        <w:r w:rsidRPr="00C820A0">
          <w:rPr>
            <w:rFonts w:ascii="Garamond" w:hAnsi="Garamond"/>
            <w:b/>
            <w:bCs/>
            <w:color w:val="0000FF"/>
            <w:sz w:val="20"/>
            <w:szCs w:val="20"/>
            <w:u w:val="single"/>
            <w:lang w:val="en-US" w:eastAsia="fr-FR"/>
          </w:rPr>
          <w:t>190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und wird durch die Wiederholung in diesem verstärkt; die veranlassende Vorstellung bleibt aber vor der Correctur durch das wache Denken und seine Kritik geschützt, weil sie eben im klaren Wachen gar nie auftaucht.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So blieb bei Anna O. (Beob. I) die Contractur des rechten Armes, die sich in der Autohypnose mit dem Angstaffect und der Vorstellung der Schlange associirt hatte, durch 4 Monate auf die Momente des hypnotischen (oder – wenn man für Absenzen von sehr kurzer Dauer diesen Namen unpassend findet – des hypnoiden) Zustandes beschränkt, wiederholte sich aber häufig. Dasselbe geschah mit andern in dem Hypnoidzustand vollzogenen Conversionen, und so bildete sich in vollkommener Latenz jener grosse Complex von hysterischen Phänomenen, der in die Erscheinung trat, als der hypnoide Zustand andauernd wurde.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Im hellen Wachen treten so entstandene Phänomene erst dann auf, wenn sich die später zu besprechende Spaltung der Psyche vollzogen hat, und an die Stelle des Alternirens zwischen Wach- und Hypnoidzustand die Coexistenz der normalen und der hypnoiden Vorstellungscomplexe getreten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Bestehen solche hypnoide Zustände schon vor der Erkrankung und wie kommen sie zu Stande? Ich weiss hierüber wenig zu sagen, denn wir verfügen über keine andere Beobachtung, ausser über den Fall Anna 0., die darüber Aufschluss geben könnte. Bei dieser Kranken scheint es sicher, dass die Autohypnose vorbereitet war durch habituelle Träumerei, und dass sie dann völlig hergestellt wurde durch einen Affect protrahirter Angst, der ja selbst </w:t>
      </w:r>
      <w:r w:rsidRPr="00C820A0">
        <w:rPr>
          <w:rFonts w:ascii="Garamond" w:hAnsi="Garamond"/>
          <w:sz w:val="20"/>
          <w:szCs w:val="20"/>
          <w:lang w:val="en-US" w:eastAsia="fr-FR"/>
        </w:rPr>
        <w:lastRenderedPageBreak/>
        <w:t>einen hypnoiden Zustand begründet. Es scheint nicht unwahrscheinlich, dass dieser Vorgang allgemeinere Geltung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Sehr verschiedenartige Zustände bedingen „Geistesabwesenheit“, aber nur einige davon disponiren zur Autohypnose oder gehen direct in solche über. Der in ein Problem versunkene Forscher ist wohl auch bis zu einem gewissen Grade anästhetisch und bildet aus grossen Gruppen von Sinnesempfindungen keine bewussten Wahrnehmungen; ebenso wie der mit Lebhaftigkeit phantastisch Dichtende („Privattheater“ Anna O.'s). Aber in diesen Zuständen wird energisch psychische Arbeit geleistet; die frei werdende Erregung des Nervensystems wird in dieser verbraucht. – In der Zerstreutheit, dem Hindämmern hingegen sinkt die intracerebrale Erregung unter das Niveau des hellen Wachens; diese Zustände grenzen an die Schläfrigkeit und </w:t>
      </w:r>
      <w:r w:rsidRPr="00C820A0">
        <w:rPr>
          <w:rFonts w:ascii="Garamond" w:hAnsi="Garamond"/>
          <w:color w:val="666666"/>
          <w:sz w:val="20"/>
          <w:szCs w:val="20"/>
          <w:lang w:val="en-US" w:eastAsia="fr-FR"/>
        </w:rPr>
        <w:t>[</w:t>
      </w:r>
      <w:hyperlink r:id="rId1970" w:tooltip="Seite:De Studien über Hysterie 191.jpg" w:history="1">
        <w:r w:rsidRPr="00C820A0">
          <w:rPr>
            <w:rFonts w:ascii="Garamond" w:hAnsi="Garamond"/>
            <w:b/>
            <w:bCs/>
            <w:color w:val="0000FF"/>
            <w:sz w:val="20"/>
            <w:szCs w:val="20"/>
            <w:u w:val="single"/>
            <w:lang w:val="en-US" w:eastAsia="fr-FR"/>
          </w:rPr>
          <w:t>191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gehen in Schlaf über. Wenn aber in solchen Zuständen des „Versunkenseins“ und bei gehemmtem Vorstellungsablauf eine Gruppe von affectiv betonten Vorstellungen lebendig ist, so schafft sie ein hohes Niveau der intracerebralen Erregung, welche nicht durch psychische Arbeit verbraucht wird und für anomale Leistungen, für die Conversion, verfügbar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So ist weder die „Geistesabwesenheit“ bei energischer Arbeit, noch der affectlose Dämmerzustand pathogen, wohl aber die mit Affect erfüllte Träumerei und der Ermüdungszustand protrahirter Affecte. Das Brüten des Bekümmerten, die Angst desjenigen, der am Krankenbette eines theuren Menschen wacht, die verliebte Träumerei sind solche Zustände. Die Concentration auf die affective Vorstellungsgruppe bedingt zuerst die „Abwesenheit“. Allmählich verlangsamt sich der Vorstellungsablauf, um endlich fast zu stagniren; aber die affective Vorstellung und ihr Affect bleiben lebendig und damit auch die grosse Quantität functionell nicht verbrauchter Erregung. Die Aehnlichkeit der Verhältnisse mit den Bedingungen der Hypnose scheint unverkennbar. Auch der zu Hypnotisirende darf nicht wirklich einschlafen, d. h. seine intracerebrale Erregung darf nicht auf das Niveau des Schlafes absinken; aber der Vorstellungsablauf muss gehemmt werden. Dann steht der suggerirten Vorstellung die ganze Erregungsmasse zur Verfügung.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So dürfte die pathogene Autohypnose bei manchen Menschen entstehen, indem der Affect in die habituelle Träumerei eintritt. Es ist das vielleicht einer der Gründe dafür, dass wir in der Anamnese der Hysterie so oft den beiden grossen pathogenen Factoren begegnen: der Verliebtheit und der Krankenpflege. Die erstere schafft mit dem sehnsuchtsvollen Gedanken an den abwesenden Geliebten die „Entrückung“, das Verdämmern der umgebenden Realität und dann das affecterfüllte Stillestehen des Denkens; die Krankenpflege stellt durch die äussere Ruhe, die Concentration auf ein Object, das Horchen auf die Athemzüge des Kranken, geradezu dieselben Bedingungen her wie viele Hypnotisirungsmethoden und füllt den so entstandenen Dämmerzustand mit dem Affecte der Angst. Vielleicht unterscheiden sich diese Zustände nur quantitativ von wirklichen Autohypnosen und gehen in solche über.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Ist das einmal geschehen, so wiederholt sich der hypnosenähnliche Zustand durch dieselben Umstände immer wieder, und das Individuum hat dann statt der normalen zwei Seelenzustände deren </w:t>
      </w:r>
      <w:r w:rsidRPr="00C820A0">
        <w:rPr>
          <w:rFonts w:ascii="Garamond" w:hAnsi="Garamond"/>
          <w:color w:val="666666"/>
          <w:sz w:val="20"/>
          <w:szCs w:val="20"/>
          <w:lang w:val="en-US" w:eastAsia="fr-FR"/>
        </w:rPr>
        <w:t>[</w:t>
      </w:r>
      <w:hyperlink r:id="rId1971" w:tooltip="Seite:De Studien über Hysterie 192.jpg" w:history="1">
        <w:r w:rsidRPr="00C820A0">
          <w:rPr>
            <w:rFonts w:ascii="Garamond" w:hAnsi="Garamond"/>
            <w:b/>
            <w:bCs/>
            <w:color w:val="0000FF"/>
            <w:sz w:val="20"/>
            <w:szCs w:val="20"/>
            <w:u w:val="single"/>
            <w:lang w:val="en-US" w:eastAsia="fr-FR"/>
          </w:rPr>
          <w:t>192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drei: Wachen, Schlaf und Hypnoid, wie wir es auch bei häufiger Wiederholung tiefer artificieller Hypnose beobachten.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weiss nicht zu sagen, ob sich die spontanen hypnotischen Zustände auch ohne solches Eingreifen des Affectes entwickeln können, als Resultate originärer Anlage; ich halte das aber für sehr wahrscheinlich. Wenn wir sehen, wie verschieden bei den gesunden und kranken Menschen die Fähigkeit zu artificieller Hypnose ist, wie leicht sie bei manchen eintritt, liegt die Vermuthung nahe, dass sie bei solchen auch spontan vorkomme. Und die Anlage hiezu ist vielleicht nothwendig dafür, dass die Träumerei sich in Autohypnose verwandle. Ich bin also weit davon entfernt, den Entstehungsmechanismus, den uns Anna O. kennen gelehrt hat, bei allen Hysterischen vorauszusetzen.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spreche von hypnoiden Zuständen statt von der Hypnose selbst, weil diese in der Entwicklung der Hysterie so wichtigen Zustände sehr schlecht abgegrenzt sind. Wir wissen nicht, ob die Träumerei, die oben als Vorstadium der Autohypnose bezeichnet wurde, nicht selbst schon dieselbe pathogene Leistung vollbringen kann wie diese, und ob es protrahirter Angstaffect nicht ebenfalls thut. Vom Schreck ist das sicher. Indem er den Vorstellungsablauf hemmt, während doch eine affective Vorstellung (der Gefahr) sehr lebhaft ist, steht er in vollem Parallelismus mit der affecterfüllten Träumerei; und indem die immer erneute Erinnerung diesen Seelenzustand immer wieder herstellt, entsteht ein „Schreckhypnoid“, in welchem die Conversion durchgesetzt oder stabilisirt wird; das Incubationsstadium der „traumatischen Hysterie“ sens. strict.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 so verschiedene, aber im wichtigsten Punkte übereinstimmende Zustände sich der Autohypnose anreihen, so empfiehlt sich der Ausdruck „</w:t>
      </w:r>
      <w:r w:rsidRPr="00C820A0">
        <w:rPr>
          <w:rFonts w:ascii="Garamond" w:hAnsi="Garamond"/>
          <w:i/>
          <w:iCs/>
          <w:sz w:val="20"/>
          <w:szCs w:val="20"/>
          <w:lang w:val="en-US" w:eastAsia="fr-FR"/>
        </w:rPr>
        <w:t>Hypnoid</w:t>
      </w:r>
      <w:r w:rsidRPr="00C820A0">
        <w:rPr>
          <w:rFonts w:ascii="Garamond" w:hAnsi="Garamond"/>
          <w:sz w:val="20"/>
          <w:szCs w:val="20"/>
          <w:lang w:val="en-US" w:eastAsia="fr-FR"/>
        </w:rPr>
        <w:t xml:space="preserve">“, der diese innere Aehnlichkeit hervorhebt. Er resumirt jene Anschauung, die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in den oben citirten Sätzen vertreten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Vor allem aber bezeichnet er die Autohypnose selbst, deren Wichtigkeit für die Entstehung hysterischer Phänomene beruht auf der Erleichterung der Conversion, dem Schutz der convertirten Vorstellungen vor der Usur (durch die Amnesie) und der schliesslich daraus erwachsenden psychischen Spaltung.</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4"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eastAsia="fr-FR"/>
        </w:rPr>
        <w:t>[</w:t>
      </w:r>
      <w:hyperlink r:id="rId1972" w:tooltip="Seite:De Studien über Hysterie 193.jpg" w:history="1">
        <w:r w:rsidRPr="00C820A0">
          <w:rPr>
            <w:rFonts w:ascii="Garamond" w:hAnsi="Garamond"/>
            <w:b/>
            <w:bCs/>
            <w:color w:val="0000FF"/>
            <w:sz w:val="20"/>
            <w:szCs w:val="20"/>
            <w:u w:val="single"/>
            <w:lang w:eastAsia="fr-FR"/>
          </w:rPr>
          <w:t>193</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Wenn nun ein körperliches Symptom durch eine Vorstellung verursacht ist und durch diese immer wieder ausgelöst wird, so sollte man erwarten, dass intelligente und der Selbstbeobachtung fähige Kranke dieses Zusammenhangs sich bewusst wären; dass sie es erfahrungsgemäss wüssten, das somatische Phänomen komme zugleich mit der Erinnerung an einen bestimmten Vorgang. Der innere Causalnexus freilich ist ihnen unbekannt; aber wir alle wissen doch immer, welche Vorstellung uns weinen oder lachen oder erröthen macht, wenn uns auch der nervöse Mechanismus dieser ideogenen Phänomene nicht entfernt klar ist. – Manchmal nun beobachten die </w:t>
      </w:r>
      <w:r w:rsidRPr="00C820A0">
        <w:rPr>
          <w:rFonts w:ascii="Garamond" w:hAnsi="Garamond"/>
          <w:sz w:val="20"/>
          <w:szCs w:val="20"/>
          <w:lang w:eastAsia="fr-FR"/>
        </w:rPr>
        <w:lastRenderedPageBreak/>
        <w:t xml:space="preserve">Kranken den Zusammenhang wirklich und sind sich seiner bewusst; eine Frau sagt z. B., der leichte hysterische Anfall (Zittern und Herzklopfen etwa) stamme von einer grossen Gemüthsaufregung und wiederhole sich nur bei jedem daran erinnernden Vorgang. </w:t>
      </w:r>
      <w:r w:rsidRPr="00C820A0">
        <w:rPr>
          <w:rFonts w:ascii="Garamond" w:hAnsi="Garamond"/>
          <w:sz w:val="20"/>
          <w:szCs w:val="20"/>
          <w:lang w:val="en-US" w:eastAsia="fr-FR"/>
        </w:rPr>
        <w:t>Von sehr vielen, wohl der Mehrzahl der hysterischen Symptome gilt das aber nicht. Auch intelligente Kranke wissen nicht, dass sie im Gefolge einer Vorstellung eintreten und halten sie für selbständige körperliche Phänomene. Wäre dies anders, so müsste die psychische Theorie der Hysterie schon ein ehrwürdiges Alter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liegt nun nahe zu glauben, die betreffenden Krankheitserscheinungen seien zwar ursprünglich ideogen entstanden; die Wiederholung habe sie aber, um den </w:t>
      </w:r>
      <w:r w:rsidRPr="00C820A0">
        <w:rPr>
          <w:rFonts w:ascii="Garamond" w:hAnsi="Garamond"/>
          <w:i/>
          <w:iCs/>
          <w:sz w:val="20"/>
          <w:szCs w:val="20"/>
          <w:lang w:val="en-US" w:eastAsia="fr-FR"/>
        </w:rPr>
        <w:t>Romberg'schen</w:t>
      </w:r>
      <w:r w:rsidRPr="00C820A0">
        <w:rPr>
          <w:rFonts w:ascii="Garamond" w:hAnsi="Garamond"/>
          <w:sz w:val="20"/>
          <w:szCs w:val="20"/>
          <w:lang w:val="en-US" w:eastAsia="fr-FR"/>
        </w:rPr>
        <w:t xml:space="preserve"> Ausdruck zu brauchen, dem Körper „eingebildet“, und nun beruhten sie nicht mehr auf einem psychischen Vorgang, sondern auf den unterdess entstandenen Veränderungen des Nervensystems; sie seien selbständige, echt somatische Symptome geworden.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Von vorneherein ist diese Anschauung weder unmöglich noch unwahrscheinlich. Aber ich glaube, das Neue, welches unsere Beobachtungen für die Lehre von der Hysterie bringen, liegt eben in dem Nachweise, dass sie – mindestens in sehr vielen Fällen – unzutreffend ist. Wir sahen, dass die verschiedensten hysterischen Symptome nach jahrelangem Bestände „sogleich und ohne Wiederkehr verschwanden, wenn es gelungen war, die Erinnerung an den veranlassenden Vorgang zu voller Helligkeit zu erwecken, damit den begleitenden Affect wachzurufen, und wenn der Kranke den Vorgang in möglichst ausführlicher Weise schilderte und dem Affect Worte gab“. Die hier erzählten Krankengeschichten geben einige Belege für diese Behauptung. „In Umkehrung des Satzes: cessante causa cessat effectus dürfen wir wohl aus diesen Beobachtungen schliessen: der veranlassende </w:t>
      </w:r>
      <w:r w:rsidRPr="00C820A0">
        <w:rPr>
          <w:rFonts w:ascii="Garamond" w:hAnsi="Garamond"/>
          <w:color w:val="666666"/>
          <w:sz w:val="20"/>
          <w:szCs w:val="20"/>
          <w:lang w:val="en-US" w:eastAsia="fr-FR"/>
        </w:rPr>
        <w:t>[</w:t>
      </w:r>
      <w:hyperlink r:id="rId1973" w:tooltip="Seite:De Studien über Hysterie 194.jpg" w:history="1">
        <w:r w:rsidRPr="00C820A0">
          <w:rPr>
            <w:rFonts w:ascii="Garamond" w:hAnsi="Garamond"/>
            <w:b/>
            <w:bCs/>
            <w:color w:val="0000FF"/>
            <w:sz w:val="20"/>
            <w:szCs w:val="20"/>
            <w:u w:val="single"/>
            <w:lang w:val="en-US" w:eastAsia="fr-FR"/>
          </w:rPr>
          <w:t>194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Vorgang (d. h. die Erinnerung daran) wirke noch nach Jahren fort, nicht indirect durch Vermittelung einer Kette von causalen Zwischengliedern, sondern unmittelbar als auslösende Ursache, wie etwa ein im wachen Bewusstsein erinnerter psychischer Schmerz noch in später Zeit die Thränensecretion hervorruft: der Hysterische leide grösstentheils an Reminiscenzen“.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dies aber der Fall ist, wenn die Erinnerung an das psychische Trauma, nach Art eines Fremdkörpers, lange Zeit nach seinem Eindringen noch als gegenwärtig wirkendes Agens gelten muss, und doch der Kranke von diesen Erinnerungen und ihrem Auftauchen kein Bewusstsein hat, so müssen wir zugestehen, dass </w:t>
      </w:r>
      <w:r w:rsidRPr="00C820A0">
        <w:rPr>
          <w:rFonts w:ascii="Garamond" w:hAnsi="Garamond"/>
          <w:i/>
          <w:iCs/>
          <w:sz w:val="20"/>
          <w:szCs w:val="20"/>
          <w:lang w:val="en-US" w:eastAsia="fr-FR"/>
        </w:rPr>
        <w:t>unbewusste Vorstellungen</w:t>
      </w:r>
      <w:r w:rsidRPr="00C820A0">
        <w:rPr>
          <w:rFonts w:ascii="Garamond" w:hAnsi="Garamond"/>
          <w:sz w:val="20"/>
          <w:szCs w:val="20"/>
          <w:lang w:val="en-US" w:eastAsia="fr-FR"/>
        </w:rPr>
        <w:t xml:space="preserve"> existiren und wirken.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Wir finden aber solche bei der Analyse der hysterischen Phänomene nicht bloss vereinzelt, sondern müssen anerkennen, dass wirklich, wie die verdienstvollen französischen Forscher gezeigt haben, grosse Complexe von Vorstellungen und verwickelte, folgenreiche psychische Processe bei manchen Kranken völlig unbewusst bleiben und mit dem bewussten psychischen Leben coexistiren; dass eine Spaltung der psychischen Thätigkeit vorkommt, und dass diese fundamentale Wichtigkeit hat für das Verständniss complicirter Hysterien.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sei gestattet, auf dieses schwierige und dunkle Gebiet etwas einzugehen; die Notwendigkeit, den Sinn der gebrauchten Ausdrücke festzustellen, mag die theoretisirende Auseinandersetzung einigermaassen entschuldigen.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t>V. Unbewusste und bewusstseinsunfähige Vorstellungen. Spaltung der Psyche.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Wir nennen jene Vorstellungen bewusst, von denen wir wissen. Es besteht beim Menschen die wunderbare Thatsache des Selbstbewusstseins; wir können Vorstellungen, die in uns auftauchen und einander folgen, wie Objecte betrachten und beobachten. Dies geschieht nicht immer, da ja zur Selbstbeobachtung selten Anlass ist. Aber es ist eine allen Menschen eigene Fähigkeit, denn jeder sagt: ich habe das und das gedacht. Jene Vorstellungen, die wir als in uns lebendig beobachten oder beobachten würden, wenn wir darauf Acht hätten, nennen wir bewusste. Das sind in jedem Zeitmomente nur sehr wenige; und wenn ausser diesen noch andere actuell sein sollten, müssten wir sie </w:t>
      </w:r>
      <w:r w:rsidRPr="00C820A0">
        <w:rPr>
          <w:rFonts w:ascii="Garamond" w:hAnsi="Garamond"/>
          <w:i/>
          <w:iCs/>
          <w:sz w:val="20"/>
          <w:szCs w:val="20"/>
          <w:lang w:val="en-US" w:eastAsia="fr-FR"/>
        </w:rPr>
        <w:t>unbewusste</w:t>
      </w:r>
      <w:r w:rsidRPr="00C820A0">
        <w:rPr>
          <w:rFonts w:ascii="Garamond" w:hAnsi="Garamond"/>
          <w:sz w:val="20"/>
          <w:szCs w:val="20"/>
          <w:lang w:val="en-US" w:eastAsia="fr-FR"/>
        </w:rPr>
        <w:t xml:space="preserve"> Vorstellungen nennen.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74" w:tooltip="Seite:De Studien über Hysterie 195.jpg" w:history="1">
        <w:r w:rsidRPr="00C820A0">
          <w:rPr>
            <w:rFonts w:ascii="Garamond" w:hAnsi="Garamond"/>
            <w:b/>
            <w:bCs/>
            <w:color w:val="0000FF"/>
            <w:sz w:val="20"/>
            <w:szCs w:val="20"/>
            <w:u w:val="single"/>
            <w:lang w:val="en-US" w:eastAsia="fr-FR"/>
          </w:rPr>
          <w:t>195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Für die Existenz actueller, aber unbewusster oder unterbewusster Vorstellungen zu sprechen, scheint kaum mehr nöthig. Es sind Thatsachen des alltäglichsten Lebens. Wenn ich einen ärztlichen Besuch zu machen vergessen habe, fühle ich lebhafte Unruhe. Ich weiss aus Erfahrung, was diese Empfindung bedeutet: ein Vergessen. Vergebens prüfe ich meine Erinnerungen, ich finde die Ursache nicht, bis sie mir oft nach Stunden plötzlich in's Bewusstsein tritt. Aber die ganze Zeit über bin ich unruhig. Also ist die Vorstellung dieses Besuches immer wirksam, also auch immer vorhanden, aber nicht im Bewusstsein. – Ein beschäftigter Mann hat Morgens einen Verdruss gehabt. Sein Amt nimmt ihn ganz in Anspruch; während der Thätigkeit ist sein bewusstes Denken völlig beschäftigt, und er denkt nicht an seinen Aerger. Aber seine Entscheidungen werden davon beeinflusst, und er sagt wohl Nein, wo er sonst Ja sagen würde. Also ist die Erinnerung trotzdem wirksam, also vorhanden. Ein grosser Theil dessen, was wir Stimmung nennen, stammt aus solcher Quelle, aus Vorstellungen, die unter der Schwelle des Bewusstseins existiren und wirken. – Ja unsere ganze Lebensführung wird fortwährend von unterbewussten Vorstellungen beeinflusst. Wir sehen täglich, wie bei geistigem Verfall, z. B. im Beginn einer Paralyse die Hemmungen schwächer werden und schwinden, die sonst manche Handlungen verhindern. Aber der Paralytiker, der jetzt vor Frauen Zoten spricht, ist in gesunden Tagen davon nicht durch bewusste Erinnerung und Ueberlegung abgehalten worden. Er mied es „instinctiv“ und „automatisch“, d. h. er wurde durch Vorstellungen davon abgehalten, welche der Impuls zu solcher Handlung wachrief, die aber unter der Bewusstseinschwelle blieben und doch den Impuls hemmten. – Alle intuitive Thätigkeit ist geleitet durch Vorstellungen, die grossentheils unterbewusst sind. Es werden eben nur die hellsten, intensivsten Vorstellungen vom Selbstbewusstsein wahrgenommen, während die grosse Masse actueller aber schwächerer Vorstellungen unbewusst bleibt.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Was gegen die Existenz und Wirksamkeit „unbewusster Vorstellungen“ eingewendet wird, erscheint grossentheils als Wortchicane. Gewiss ist „Vorstellung“ ein Wort aus der Terminologie des bewussten Denkens und darum </w:t>
      </w:r>
      <w:r w:rsidRPr="00C820A0">
        <w:rPr>
          <w:rFonts w:ascii="Garamond" w:hAnsi="Garamond"/>
          <w:sz w:val="20"/>
          <w:szCs w:val="20"/>
          <w:lang w:val="en-US" w:eastAsia="fr-FR"/>
        </w:rPr>
        <w:lastRenderedPageBreak/>
        <w:t xml:space="preserve">„unbewusste Vorstellung“ ein widerspruchsvoller Ausdruck. Aber der physische Process, welcher der Vorstellung zu Grunde liegt, ist inhaltlich und formal (wenn auch nicht quantitativ) derselbe, ob die Vorstellung über die Schwelle des Bewusstseins tritt oder darunter bleibt. Es genügte, einen Terminus </w:t>
      </w:r>
      <w:r w:rsidRPr="00C820A0">
        <w:rPr>
          <w:rFonts w:ascii="Garamond" w:hAnsi="Garamond"/>
          <w:color w:val="666666"/>
          <w:sz w:val="20"/>
          <w:szCs w:val="20"/>
          <w:lang w:val="en-US" w:eastAsia="fr-FR"/>
        </w:rPr>
        <w:t>[</w:t>
      </w:r>
      <w:hyperlink r:id="rId1975" w:tooltip="Seite:De Studien über Hysterie 196.jpg" w:history="1">
        <w:r w:rsidRPr="00C820A0">
          <w:rPr>
            <w:rFonts w:ascii="Garamond" w:hAnsi="Garamond"/>
            <w:b/>
            <w:bCs/>
            <w:color w:val="0000FF"/>
            <w:sz w:val="20"/>
            <w:szCs w:val="20"/>
            <w:u w:val="single"/>
            <w:lang w:val="en-US" w:eastAsia="fr-FR"/>
          </w:rPr>
          <w:t>196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zu bilden wie etwa „Vorstellungssubstrat“, um den Widerspruch zu meiden und jenem Vorwurf zu entgehen.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scheint also kein principielles Hinderniss dafür vorhanden, dass man unbewusste Vorstellungen auch als Ursachen pathologischer Phänomene anerkenne. Aber bei näherem Eingehen in die Sache ergeben sich andere Schwierigkeiten. Wenn sonst die Intensität unbewusster Vorstellungen anwächst, treten sie eo ipso in's Bewusstsein. Sie bleiben unbewusst nur bei geringer Intensität. Es scheint aber schwer einzusehen, wie eine Vorstellung zugleich intensiv genug sein sollte, um z. B. eine lebhafte motorische Action hervorzurufen, und doch nicht genug, um bewusst zu werden.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habe schon oben eine Anschauung erwähnt, welche vielleicht nicht kurz von der Hand gewiesen werden sollte. Die Helligkeit unserer Vorstellungen und damit ihre Fähigkeit, vom Selbstbewusstsein beobachtet zu werden, bewusst zu sein, ist mitbedingt von dem Lust- oder Unlustgefühl, welches sie erwecken, von ihrem Affectwerte. Wenn eine Vorstellung eine lebhafte somatische Folge unmittelbar auslöst, so strömt die Erregung in die betreffende Bahn ab, welche sonst, von ihr ausgehend, im Gehirn sich verbreiten würde, und eben deshalb, weil sie körperliche Folgen hat, weil eine </w:t>
      </w:r>
      <w:r w:rsidRPr="00C820A0">
        <w:rPr>
          <w:rFonts w:ascii="Garamond" w:hAnsi="Garamond"/>
          <w:i/>
          <w:iCs/>
          <w:sz w:val="20"/>
          <w:szCs w:val="20"/>
          <w:lang w:val="en-US" w:eastAsia="fr-FR"/>
        </w:rPr>
        <w:t>Conversion</w:t>
      </w:r>
      <w:r w:rsidRPr="00C820A0">
        <w:rPr>
          <w:rFonts w:ascii="Garamond" w:hAnsi="Garamond"/>
          <w:sz w:val="20"/>
          <w:szCs w:val="20"/>
          <w:lang w:val="en-US" w:eastAsia="fr-FR"/>
        </w:rPr>
        <w:t xml:space="preserve"> ihrer psychischen Reizgrösse in somatische stattgefunden hat, verliert sie die Helligkeit, welche sie sonst in dem Strom der Vorstellungen auszeichnen würde; sie verliert sich unter den andern.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hat z. B. jemand während des Essens einen heftigen Affect gehabt und nicht „abreagirt“. In der Folge tritt beim Versuch zu essen Würgen und Erbrechen auf, welches dem Kranken als rein körperliches Symptom erscheint. Es besteht durch längere Zeit hysterisches Erbrechen, welches schwindet, nachdem in der Hypnose der Affect erneuert, erzählt und darauf reagirt wurde. Unzweifelhaft ist durch den Versuch zu essen jedesmal jene Erinnerung wachgerufen worden und hat den Brechact ausgelöst. Aber sie tritt nicht klar in's Bewusstsein, weil sie nun affectlos ist, während das Erbrechen die Aufmerksamkeit vollkommen absorbirt.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ist denkbar, dass aus diesem Grunde manche Vorstellungen, welche hysterische Phänomene auslösen, nicht als Ursache derselben erkannt werden. Aber ein solches Uebersehen affectlos gewordener, weil convertirter, Vorstellungen kann unmöglich die Ursache davon sein, wenn in anderen Fällen Vorstellungscomplexe nicht in's Bewusstsein treten, welche nichts weniger als affectlos sind. In unseren Krankengeschichten sind mehrfache Beispiele dafür beigebracht.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76" w:tooltip="Seite:De Studien über Hysterie 197.jpg" w:history="1">
        <w:r w:rsidRPr="00C820A0">
          <w:rPr>
            <w:rFonts w:ascii="Garamond" w:hAnsi="Garamond"/>
            <w:b/>
            <w:bCs/>
            <w:color w:val="0000FF"/>
            <w:sz w:val="20"/>
            <w:szCs w:val="20"/>
            <w:u w:val="single"/>
            <w:lang w:val="en-US" w:eastAsia="fr-FR"/>
          </w:rPr>
          <w:t>197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Bei solchen Kranken ist es Regel, dass die Stimmungsveränderung, Aengstlichkeit, zornige Gereiztheit, Trauer dem Auftreten des somatischen Symptoms vorhergeht oder ihm alsbald folgt, um anzuwachsen, bis entweder durch eine Aussprache die Lösung erfolgt oder Affect und somatische Phänomene allmählich wieder schwinden. Geschah das erstere, so wurde die Qualität des Affectes immer ganz verständlich, wenn auch seine Intensität dem Gesunden und nach der Lösung auch dem Kranken selbst ganz unproportional erscheinen musste. Das sind also Vorstellungen, welche intensiv genug sind, um nicht bloss starke, körperliche Phänomene zu verursachen, sondern auch den zugehörigen Affect hervorzurufen, die Association zu beeinflussen, indem verwandte Gedanken durch sie bevorzugt werden, – und dennoch selbst ausserhalb des Bewusstseins bleiben. Es bedarf der Hypnose, wie in Beobachtung I und II, oder intensiver Nachhilfe des Arztes (Beobachtung IV, V) bei dem mühsamsten Suchen, um sie in's Bewusstsein zu bringen.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Solche Vorstellungen, welche (actuell aber) unbewusst sind, nicht wegen relativ schwacher Lebhaftigkeit, sondern trotz grosser Intensität, mögen wir </w:t>
      </w:r>
      <w:r w:rsidRPr="00C820A0">
        <w:rPr>
          <w:rFonts w:ascii="Garamond" w:hAnsi="Garamond"/>
          <w:i/>
          <w:iCs/>
          <w:sz w:val="20"/>
          <w:szCs w:val="20"/>
          <w:lang w:val="en-US" w:eastAsia="fr-FR"/>
        </w:rPr>
        <w:t>bewusstseinsunfähige</w:t>
      </w:r>
      <w:hyperlink r:id="rId1977" w:anchor="cite_note-15" w:history="1">
        <w:r w:rsidRPr="00C820A0">
          <w:rPr>
            <w:rFonts w:ascii="Garamond" w:hAnsi="Garamond"/>
            <w:color w:val="0000FF"/>
            <w:sz w:val="20"/>
            <w:szCs w:val="20"/>
            <w:u w:val="single"/>
            <w:vertAlign w:val="superscript"/>
            <w:lang w:val="en-US" w:eastAsia="fr-FR"/>
          </w:rPr>
          <w:t>[16]</w:t>
        </w:r>
      </w:hyperlink>
      <w:r w:rsidRPr="00C820A0">
        <w:rPr>
          <w:rFonts w:ascii="Garamond" w:hAnsi="Garamond"/>
          <w:sz w:val="20"/>
          <w:szCs w:val="20"/>
          <w:lang w:val="en-US" w:eastAsia="fr-FR"/>
        </w:rPr>
        <w:t xml:space="preserve"> Vorstellungen nennen.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Existenz solcher bewusstseinsunfähigen Vorstellungen ist pathologisch. Beim Gesunden treten alle Vorstellungen, welche überhaupt actuell werden können, bei genügender Intensität auch in's Bewusstsein. Bei unsern Kranken finden wir neben einander den grossen Complex bewusstseinsfähiger und einen kleineren bewusstseinsunfähiger Vorstellungen. Das Gebiet der vorstellenden psychischen Thätigkeit fällt bei ihnen also nicht zusammen mit dem potentiellen Bewusstsein; sondern dieses ist beschränkter als jenes. Die psychische vorstellende Thätigkeit zerfällt hier in eine bewusste und unbewusste, die Vorstellungen in bewusstseinsfähige und nicht bewusstseinsfähige. Wir können also nicht von einer Spaltung des Bewusstseins sprechen, wohl aber von einer </w:t>
      </w:r>
      <w:r w:rsidRPr="00C820A0">
        <w:rPr>
          <w:rFonts w:ascii="Garamond" w:hAnsi="Garamond"/>
          <w:i/>
          <w:iCs/>
          <w:sz w:val="20"/>
          <w:szCs w:val="20"/>
          <w:lang w:val="en-US" w:eastAsia="fr-FR"/>
        </w:rPr>
        <w:t>Spaltung der Psyche</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Umgekehrt sind diese unterbewussten Vorstellungen auch durch das bewusste Denken nicht zu beeinflussen und nicht zu corrigiren. Vielfach handelt es sich um Erlebnisse, die seitdem inhaltlos geworden sind, Furcht vor Ereignissen, die nicht eingetroffen sind, </w:t>
      </w:r>
      <w:r w:rsidRPr="00C820A0">
        <w:rPr>
          <w:rFonts w:ascii="Garamond" w:hAnsi="Garamond"/>
          <w:color w:val="666666"/>
          <w:sz w:val="20"/>
          <w:szCs w:val="20"/>
          <w:lang w:val="en-US" w:eastAsia="fr-FR"/>
        </w:rPr>
        <w:t>[</w:t>
      </w:r>
      <w:hyperlink r:id="rId1978" w:tooltip="Seite:De Studien über Hysterie 198.jpg" w:history="1">
        <w:r w:rsidRPr="00C820A0">
          <w:rPr>
            <w:rFonts w:ascii="Garamond" w:hAnsi="Garamond"/>
            <w:b/>
            <w:bCs/>
            <w:color w:val="0000FF"/>
            <w:sz w:val="20"/>
            <w:szCs w:val="20"/>
            <w:u w:val="single"/>
            <w:lang w:val="en-US" w:eastAsia="fr-FR"/>
          </w:rPr>
          <w:t>198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Schrecken, der sich in Gelächter oder Freude über die Rettung aufgelöst hat. Diese Nachfolgen nehmen der Erinnerung für das bewusste Denken jede Affectivität; die unterbewusste Vorstellung, welche somatische Phänomene hervorruft, bleibt davon völlig unberührt.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sei gestattet, dafür noch ein Beispiel zu bringen: Eine junge Frau war einige Zeit in lebhafter Sorge um das Schicksal ihrer jüngeren Schwester. Unter diesem Eindrucke verlängerte sich die sonst regelmässige Periode durch zwei Wochen, es trat Schmerzhaftigkeit des linken Hypogastriums auf, und zweimal fand sich Patientin, aus einer „Ohnmacht“ erwachend, steif auf dem Boden. Darauf folgte eine linkseitige Ovarie mit Erscheinungen einer schweren Peritonitis. Fieberlosigkeit, Contractur des linken Beines (und des Rückens) kennzeichneten die Erkrankung als Pseudoperitonitis, und als Patientin einige Jahre später starb und obducirt wurde, fand sich nur „kleincystische Degeneration“ </w:t>
      </w:r>
      <w:r w:rsidRPr="00C820A0">
        <w:rPr>
          <w:rFonts w:ascii="Garamond" w:hAnsi="Garamond"/>
          <w:i/>
          <w:iCs/>
          <w:sz w:val="20"/>
          <w:szCs w:val="20"/>
          <w:lang w:val="en-US" w:eastAsia="fr-FR"/>
        </w:rPr>
        <w:t>beider</w:t>
      </w:r>
      <w:r w:rsidRPr="00C820A0">
        <w:rPr>
          <w:rFonts w:ascii="Garamond" w:hAnsi="Garamond"/>
          <w:sz w:val="20"/>
          <w:szCs w:val="20"/>
          <w:lang w:val="en-US" w:eastAsia="fr-FR"/>
        </w:rPr>
        <w:t xml:space="preserve"> Ovarien ohne Reste einer abgelaufenen Peritonitis. Die schweren Erscheinungen schwanden allmählich und hinterliessen Ovarie, Contractur der Rückenmuskeln, so dass der Rumpf wie ein Balken steif war, und Contractur des linken Beines. Letztere wurde in der Hypnose durch directe Suggestion beseitigt. Die </w:t>
      </w:r>
      <w:r w:rsidRPr="00C820A0">
        <w:rPr>
          <w:rFonts w:ascii="Garamond" w:hAnsi="Garamond"/>
          <w:sz w:val="20"/>
          <w:szCs w:val="20"/>
          <w:lang w:val="en-US" w:eastAsia="fr-FR"/>
        </w:rPr>
        <w:lastRenderedPageBreak/>
        <w:t>Rückencontractur blieb unbeeinflusst. Unterdessen hatte sich die Angelegenheit der Schwester vollständig geordnet, und jede Befürchtung war geschwunden. Die hysterischen Phänomene aber, die davon abgeleitet werden mussten, bestanden unverändert fort. Die Vermuthung lag nahe, es seien selbständig gewordene Veränderungen der Innervation und nicht mehr an die veranlassende Vorstellung gebunden. Aber als nun in der Hypnose Patientin gezwungen wurde, die ganze Geschichte bis zu ihrer Erkrankung an „Peritonitis“ zu erzählen (was sie sehr ungern that), setzte sie sich unmittelbar danach frei im Bette auf, und die Rückencontractur war für immer geschwunden. (Die Ovarie, deren erster Ursprung gewiss viel älter war, blieb unbeeinflusst.) – Es hatte also doch Monate hindurch die pathogene Angstvorstellung wirksam lebendig fortbestanden; und sie war jeder Correctur durch die Ereignisse völlig unzugänglich gewesen.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Müssen wir nun die Existenz von Vorstellungscomplexen anerkennen, welche nie in's wache Bewusstsein treten und durch das bewusste Denken nicht beeinflusst werden, so haben wir damit auch schon für so einfache Hysterien wie die eben geschilderte die Spaltung der Psyche in zwei relativ unabhängige Theile zugegeben. Ich behaupte nicht, dass alles, was man hysterisch nennt, eine solche Spaltung zur Grundlage und Bedingung habe; wohl aber, dass „jene Spaltung der psychischen Thätigkeit, die bei den bekannten Fällen als double conscience so auffällig ist, in rudimentärer Weise bei jeder „grossen“ Hysterie bestehe und dass die Fähigkeit und Neigung zu dieser Dissociation das Grundphänomen dieser Neurose sei.“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Bevor ich aber in die Discussion dieser Phänomene eingehe, ist noch eine Bemerkung nachzutragen bezüglich der unbewussten Vorstellungen, welche somatische Erscheinungen veranlassen. Wie im </w:t>
      </w:r>
      <w:r w:rsidRPr="00C820A0">
        <w:rPr>
          <w:rFonts w:ascii="Garamond" w:hAnsi="Garamond"/>
          <w:color w:val="666666"/>
          <w:sz w:val="20"/>
          <w:szCs w:val="20"/>
          <w:lang w:val="en-US" w:eastAsia="fr-FR"/>
        </w:rPr>
        <w:t>[</w:t>
      </w:r>
      <w:hyperlink r:id="rId1979" w:tooltip="Seite:De Studien über Hysterie 199.jpg" w:history="1">
        <w:r w:rsidRPr="00C820A0">
          <w:rPr>
            <w:rFonts w:ascii="Garamond" w:hAnsi="Garamond"/>
            <w:b/>
            <w:bCs/>
            <w:color w:val="0000FF"/>
            <w:sz w:val="20"/>
            <w:szCs w:val="20"/>
            <w:u w:val="single"/>
            <w:lang w:val="en-US" w:eastAsia="fr-FR"/>
          </w:rPr>
          <w:t>199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oben erzählten Falle die Contractur, sind ja viele der hysterischen Phänomene von langer continuirlicher Dauer. Sollen und können wir annehmen, dass all die Zeit hindurch die veranlassende Vorstellung immer lebendig, actuell vorhanden sei? Ich glaube: Ja. Gewiss sehen wir beim Gesunden die psychische Thätigkeit mit raschem Wechsel der Vorstellungen sich vollziehen. Aber wir sehen den schwer Melancholischen lange Zeit continuirlich in dieselbe peinliche Vorstellung versunken, die immer lebendig, actuell ist. Ja, wir dürfen wohl glauben, dass auch beim Gesunden eine schwere Sorge immer vorhanden sei, da sie den Gesichtsausdruck beherrscht, selbst wenn das Bewusstsein von anderen Gedanken erfüllt ist. Jener abgetrennte Theil der psychischen Thätigkeit aber, den wir beim Hysterischen von den unbewussten Vorstellungen erfüllt denken, ist meist so ärmlich damit besetzt, so unzugänglich dem Wechsel der äusseren Eindrücke, dass wir glauben können, hier sei einer Vorstellung dauernde Lebhaftigkeit möglich.</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5"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Wenn uns, wie </w:t>
      </w:r>
      <w:r w:rsidRPr="00C820A0">
        <w:rPr>
          <w:rFonts w:ascii="Garamond" w:hAnsi="Garamond"/>
          <w:i/>
          <w:iCs/>
          <w:sz w:val="20"/>
          <w:szCs w:val="20"/>
          <w:lang w:eastAsia="fr-FR"/>
        </w:rPr>
        <w:t>Binet</w:t>
      </w:r>
      <w:r w:rsidRPr="00C820A0">
        <w:rPr>
          <w:rFonts w:ascii="Garamond" w:hAnsi="Garamond"/>
          <w:sz w:val="20"/>
          <w:szCs w:val="20"/>
          <w:lang w:eastAsia="fr-FR"/>
        </w:rPr>
        <w:t xml:space="preserve"> und </w:t>
      </w:r>
      <w:r w:rsidRPr="00C820A0">
        <w:rPr>
          <w:rFonts w:ascii="Garamond" w:hAnsi="Garamond"/>
          <w:i/>
          <w:iCs/>
          <w:sz w:val="20"/>
          <w:szCs w:val="20"/>
          <w:lang w:eastAsia="fr-FR"/>
        </w:rPr>
        <w:t>Janet</w:t>
      </w:r>
      <w:r w:rsidRPr="00C820A0">
        <w:rPr>
          <w:rFonts w:ascii="Garamond" w:hAnsi="Garamond"/>
          <w:sz w:val="20"/>
          <w:szCs w:val="20"/>
          <w:lang w:eastAsia="fr-FR"/>
        </w:rPr>
        <w:t xml:space="preserve">, die Abspaltung eines Theiles der psychischen Thätigkeit im Mittelpunkte der Hysterie zu stehen scheint, so sind wir verpflichtet, über dieses Phänomen möglichst Klarheit zu suchen. </w:t>
      </w:r>
      <w:r w:rsidRPr="00C820A0">
        <w:rPr>
          <w:rFonts w:ascii="Garamond" w:hAnsi="Garamond"/>
          <w:sz w:val="20"/>
          <w:szCs w:val="20"/>
          <w:lang w:val="en-US" w:eastAsia="fr-FR"/>
        </w:rPr>
        <w:t>Allzuleicht verfällt man in die Denkgewohnheit, hinter einem Substantiv eine Substanz anzunehmen, unter „Bewusstsein“ „conscience“ allmählich ein Ding zu verstehen; und wenn man sich gewöhnt hat, metaphorisch Localbeziehungen zu verwenden, wie „Unterbewusstsein“, so bildet sich mit der Zeit wirklich eine Vorstellung aus, in der die Metapher vergessen ist, und mit der man leicht manipulirt wie mit einer realen. Dann ist die Mythologie fertig.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All unserem Denken drängen sich als Begleiter und Helfer räumliche Vorstellungen auf, und wir sprechen in räumlichen Metaphern. So stellen sich die Bilder von dem Stamm des Baumes, der im Licht steht, und seinen Wurzeln im Dunkel, oder von dem Gebäude und seinem dunkeln Souterrain fast zwingend ein, wenn wir von den Vorstellungen sprechen, die im Gebiet des hellen Bewusstseins sich vorfinden, und den unbewussten, die nie in die Klarheit des Selbstbewusstseins treten. Wenn wir uns aber immer gegenwärtig halten, dass alles Räumliche hier Metapher ist, und uns nicht etwa verleiten lassen, es im Gehirn zu localisiren, so mögen wir immerhin von einem Bewusstsein und einem Unterbewusstsein sprechen. Aber nur mit diesem Vorbehalt.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80" w:tooltip="Seite:De Studien über Hysterie 200.jpg" w:history="1">
        <w:r w:rsidRPr="00C820A0">
          <w:rPr>
            <w:rFonts w:ascii="Garamond" w:hAnsi="Garamond"/>
            <w:b/>
            <w:bCs/>
            <w:color w:val="0000FF"/>
            <w:sz w:val="20"/>
            <w:szCs w:val="20"/>
            <w:u w:val="single"/>
            <w:lang w:val="en-US" w:eastAsia="fr-FR"/>
          </w:rPr>
          <w:t>200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Wir sind sicher vor der Gefahr, uns von unsern eigenen Redefiguren dupiren zu lassen, wenn wir uns immer daran erinnern, dass es doch dasselbe Gehirn und höchst wahrscheinlich dieselbe Grosshirnrinde ist, in welchen die bewussten wie die unbewussten Vorstellungen entstehen. Wie das möglich, ist nicht zu sagen. Aber wir wissen doch wohl so wenig von der psychischen Thätigkeit der Hirnrinde, dass eine räthselhafte Complication mehr unsere unendliche Unwissenheit kaum noch vergrössert. Die Thatsache müssen wir anerkennen, dass bei Hysterischen ein Theil der psychischen Thätigkeit der Wahrnehmung durch das Selbstbewusstsein der wachen Person unzugänglich und so die Psyche gespalten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Ein allbekannter Fall solcher Theilung der psychischen Thätigkeit ist der hysterische Anfall in manchen seiner Formen und Stadien. In seinem Beginne ist das bewusste Denken oft ganz erloschen; aber dann erwacht es allmählich. Man hört von vielen intelligenten Kranken das Zugeständnis, ihr bewusstes Ich sei während des Anfalles ganz klar gewesen und habe mit Neugier und Verwunderung all das tolle Zeug beobachtet, das sie vornahmen und sprachen. Solche Kranke haben dann auch wohl die (irrige) Meinung, sie hätten mit gutem Willen den Anfall inhibiren können, und sind geneigt, ihn sich als Schuld anzurechnen. „Sie hätten es nicht thun müssen.“ (Auch die Selbstanklagen der Simulation beruhen grossentheils auf dieser Empfindung.) Beim nächsten Anfall vermag dann das bewusste Ich ebenso wenig die Vorgänge zu beherrschen wie beim früheren. – Da steht nun das Denken und Vorstellen des bewussten wachen Ichs neben den Vorstellungen, die, sonst im Dunkel des Unbewussten, nun die Herrschaft über Muskulatur und Sprache, ja auch über einen grossen Theil der vorstellenden Thätigkeit selbst gewonnen haben, und die Spaltung der Psyche ist manifest.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Den Namen einer Spaltung nicht bloss der psychischen Thätigkeit, sondern des Bewusstseins, verdienen aber allerdings die Befunde </w:t>
      </w:r>
      <w:r w:rsidRPr="00C820A0">
        <w:rPr>
          <w:rFonts w:ascii="Garamond" w:hAnsi="Garamond"/>
          <w:i/>
          <w:iCs/>
          <w:sz w:val="20"/>
          <w:szCs w:val="20"/>
          <w:lang w:val="en-US" w:eastAsia="fr-FR"/>
        </w:rPr>
        <w:t>Binet's</w:t>
      </w:r>
      <w:r w:rsidRPr="00C820A0">
        <w:rPr>
          <w:rFonts w:ascii="Garamond" w:hAnsi="Garamond"/>
          <w:sz w:val="20"/>
          <w:szCs w:val="20"/>
          <w:lang w:val="en-US" w:eastAsia="fr-FR"/>
        </w:rPr>
        <w:t xml:space="preserve"> und </w:t>
      </w:r>
      <w:r w:rsidRPr="00C820A0">
        <w:rPr>
          <w:rFonts w:ascii="Garamond" w:hAnsi="Garamond"/>
          <w:i/>
          <w:iCs/>
          <w:sz w:val="20"/>
          <w:szCs w:val="20"/>
          <w:lang w:val="en-US" w:eastAsia="fr-FR"/>
        </w:rPr>
        <w:t>Janet's</w:t>
      </w:r>
      <w:r w:rsidRPr="00C820A0">
        <w:rPr>
          <w:rFonts w:ascii="Garamond" w:hAnsi="Garamond"/>
          <w:sz w:val="20"/>
          <w:szCs w:val="20"/>
          <w:lang w:val="en-US" w:eastAsia="fr-FR"/>
        </w:rPr>
        <w:t xml:space="preserve">; bekanntlich ist es diesen Beobachtern gelungen, sich mit dem „Unterbewusstsein“ ihrer Kranken in Verkehr zu setzen, mit jenem Theil der psychischen Thätigkeit, von welchem das bewusste wache Ich nichts weiss; und sie haben daran bei manchen Fällen alle psychischen Functionen, einschliesslich des Selbstbewusstseins, nachgewiesen. Denn es findet sich darin die Erinnerung an frühere psychische Vorgänge. Diese halbe Psyche ist also eine ganz vollständige, in sich bewusste. Der abgespaltene Theil der Psyche ist bei unseren Fällen „in die Finsternis gebracht“, wie die Titanen in den Schlund des Aetna </w:t>
      </w:r>
      <w:r w:rsidRPr="00C820A0">
        <w:rPr>
          <w:rFonts w:ascii="Garamond" w:hAnsi="Garamond"/>
          <w:color w:val="666666"/>
          <w:sz w:val="20"/>
          <w:szCs w:val="20"/>
          <w:lang w:val="en-US" w:eastAsia="fr-FR"/>
        </w:rPr>
        <w:t>[</w:t>
      </w:r>
      <w:hyperlink r:id="rId1981" w:tooltip="Seite:De Studien über Hysterie 201.jpg" w:history="1">
        <w:r w:rsidRPr="00C820A0">
          <w:rPr>
            <w:rFonts w:ascii="Garamond" w:hAnsi="Garamond"/>
            <w:b/>
            <w:bCs/>
            <w:color w:val="0000FF"/>
            <w:sz w:val="20"/>
            <w:szCs w:val="20"/>
            <w:u w:val="single"/>
            <w:lang w:val="en-US" w:eastAsia="fr-FR"/>
          </w:rPr>
          <w:t>201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gebannt sind, die Erde erschüttern mögen, aber nie im Lichte erscheinen. In den Fällen </w:t>
      </w:r>
      <w:r w:rsidRPr="00C820A0">
        <w:rPr>
          <w:rFonts w:ascii="Garamond" w:hAnsi="Garamond"/>
          <w:i/>
          <w:iCs/>
          <w:sz w:val="20"/>
          <w:szCs w:val="20"/>
          <w:lang w:val="en-US" w:eastAsia="fr-FR"/>
        </w:rPr>
        <w:t>Janet’s</w:t>
      </w:r>
      <w:r w:rsidRPr="00C820A0">
        <w:rPr>
          <w:rFonts w:ascii="Garamond" w:hAnsi="Garamond"/>
          <w:sz w:val="20"/>
          <w:szCs w:val="20"/>
          <w:lang w:val="en-US" w:eastAsia="fr-FR"/>
        </w:rPr>
        <w:t xml:space="preserve"> hat eine völlige Theilung des Reiches stattgefunden. Noch mit einem Rangunterschied. Aber auch dieser schwindet, wenn die beiden Bewusstseinshälften alterniren wie in den bekannten Fällen von Double conscience und sich an Leistungfähigkeit nicht unterscheiden.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Doch kehren wir zu jenen Vorstellungen zurück, die wir bei unsern Kranken als Ursachen ihrer hysterischen Phänomene nachgewiesen haben. Es fehlt viel daran, dass wir alle geradezu „unbewusst“ und „bewusstseinsunfähig“ nennen könnten. Von der vollkommen bewussten Vorstellung, welche einen ungewöhnlichen Reflex auslöst, bis zu jener, die niemals im Wachen, sondern nur in der Hypnose in’s Bewusstsein tritt, geht eine kaum unterbrochene Stufenleiter durch alle Grade der Schattenhaftigkeit und Unklarheit. Trotzdem halten wir den Nachweis erbracht, dass in höhern Graden von Hysterie die Spaltung der psychischen Thätigkeit besteht, und sie allein scheint eine psychische Theorie der Krankheit möglich zu machen.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6" style="width:60pt;height:1.5pt" o:hrpct="0" o:hralign="center" o:hrstd="t" o:hr="t" fillcolor="#a0a0a0" stroked="f"/>
        </w:pic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Was lässt sich nun über Ursache und Entstehung dieses Phänomens mit Wahrscheinlichkeit aussagen oder vermuthen?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P. Janet</w:t>
      </w:r>
      <w:r w:rsidRPr="00C820A0">
        <w:rPr>
          <w:rFonts w:ascii="Garamond" w:hAnsi="Garamond"/>
          <w:sz w:val="20"/>
          <w:szCs w:val="20"/>
          <w:lang w:val="en-US" w:eastAsia="fr-FR"/>
        </w:rPr>
        <w:t>, dem die Lehre von der Hysterie so ungemein viel verdankt, und mit dem wir in den meisten Punkten übereinstimmen, hat hierüber eine Anschauung entwickelt, die wir nicht zur unserigen machen können: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i/>
          <w:iCs/>
          <w:sz w:val="20"/>
          <w:szCs w:val="20"/>
          <w:lang w:val="en-US" w:eastAsia="fr-FR"/>
        </w:rPr>
        <w:t>Janet</w:t>
      </w:r>
      <w:r w:rsidRPr="00C820A0">
        <w:rPr>
          <w:rFonts w:ascii="Garamond" w:hAnsi="Garamond"/>
          <w:sz w:val="20"/>
          <w:szCs w:val="20"/>
          <w:lang w:val="en-US" w:eastAsia="fr-FR"/>
        </w:rPr>
        <w:t xml:space="preserve"> hält dafür, die „Spaltung der Persönlichkeit“ beruhe auf einer originären geistigen Schwäche (insuffisance psychologique); alle normale geistige Thätigkeit setze eine gewisse Fähigkeit der „Synthese“ voraus, die Möglichkeit, mehrere Vorstellungen zu einem Complexe zu verbinden. Solche synthetische Thätigkeit sei schon die Verschmelzung der verschiedenen Sinneswahrnehmungen zu einem Bilde der Umgebung; diese Leistung der Psyche finde man bei Hysterischen tief unter der Norm stehend. Ein normaler Mensch werde wohl, wenn seine Aufmerksamkeit maximal auf einen Punkt, z. B. auf die Wahrnehmung mittelst eines Sinnes gerichtet ist, vorübergehend die Fähigkeit verlieren, Eindrücke der andern Sinne zu appercipiren, d. h. ins bewusste Denken aufzunehmen. Bei den Hysterischen sei das der Fall, ohne jede besondere Concentration der Aufmerksamkeit. Percipiren sie irgend etwas, so sind sie für die andern Sinneswahrnehmungen unzugänglich. Ja sie seien nicht einmal im Stande, auch nur die Eindrücke eines Sinnes gesammelt aufzufassen; sie können z. B. nur die </w:t>
      </w:r>
      <w:r w:rsidRPr="00C820A0">
        <w:rPr>
          <w:rFonts w:ascii="Garamond" w:hAnsi="Garamond"/>
          <w:color w:val="666666"/>
          <w:sz w:val="20"/>
          <w:szCs w:val="20"/>
          <w:lang w:val="en-US" w:eastAsia="fr-FR"/>
        </w:rPr>
        <w:t>[</w:t>
      </w:r>
      <w:hyperlink r:id="rId1982" w:tooltip="Seite:De Studien über Hysterie 202.jpg" w:history="1">
        <w:r w:rsidRPr="00C820A0">
          <w:rPr>
            <w:rFonts w:ascii="Garamond" w:hAnsi="Garamond"/>
            <w:b/>
            <w:bCs/>
            <w:color w:val="0000FF"/>
            <w:sz w:val="20"/>
            <w:szCs w:val="20"/>
            <w:u w:val="single"/>
            <w:lang w:val="en-US" w:eastAsia="fr-FR"/>
          </w:rPr>
          <w:t>202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Tastwahrnehmungen einer Körperhälfte appercipiren; die der andern Seite gelangen in’s Centrum, werden für Bewegungscoordination verwertet, aber nicht appercipirt. Ein solcher Mensch ist hemianästhetisch.</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Beim normalen Menschen ruft eine Vorstellung eine grosse Menge anderer associativ in’s Bewusstsein, welche zu der ersten z. B. unterstützend oder hemmend in ein Verhältnis treten, und nur maximal lebhafte Vorstellungen sind wohl so überstark, dass die Associationen unter der Schwelle des Bewusstseins bleiben. Bei den Hysterischen sei das immer der Fall. Jede Vorstellung nehme die ganze, geringe, geistige Thätigkeit in Beschlag; das bedinge die übergrosse Affectivität der Kranken.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Diese Eigenschaft ihrer Psyche bezeichnet </w:t>
      </w:r>
      <w:r w:rsidRPr="00C820A0">
        <w:rPr>
          <w:rFonts w:ascii="Garamond" w:hAnsi="Garamond"/>
          <w:i/>
          <w:iCs/>
          <w:sz w:val="20"/>
          <w:szCs w:val="20"/>
          <w:lang w:val="en-US" w:eastAsia="fr-FR"/>
        </w:rPr>
        <w:t>Janet</w:t>
      </w:r>
      <w:r w:rsidRPr="00C820A0">
        <w:rPr>
          <w:rFonts w:ascii="Garamond" w:hAnsi="Garamond"/>
          <w:sz w:val="20"/>
          <w:szCs w:val="20"/>
          <w:lang w:val="en-US" w:eastAsia="fr-FR"/>
        </w:rPr>
        <w:t xml:space="preserve"> mit dem Namen der „Einengung des Bewusstseinsfeldes“ der Hysterischen, in Analogie mit der „Einengung des Gesichtsfeldes“. Die nicht appercipirten Sinneseindrücke und die erweckten, aber nicht in’s Bewusstsein getretenen Vorstellungen erlöschen meist ohne weitere Folgen, manchmal aber aggregiren sie und bilden Complexe: die dem Bewusstsein entzogene psychische Schichte, das Unterbewusstsein.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Hysterie, wesentlich beruhend auf dieser Spaltung der Psyche, sei „une maladie de faiblesse“; und darum entwickelte sie sich am ehesten, wenn auf die originär schwache Psyche weitere schwächende Einflüsse wirken oder hohe Ansprüche gestellt werden, welchen gegenüber die geistige Kraft noch geringer erscheint.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In dieser Darlegung seiner Anschauungen hat </w:t>
      </w:r>
      <w:r w:rsidRPr="00C820A0">
        <w:rPr>
          <w:rFonts w:ascii="Garamond" w:hAnsi="Garamond"/>
          <w:i/>
          <w:iCs/>
          <w:sz w:val="20"/>
          <w:szCs w:val="20"/>
          <w:lang w:val="en-US" w:eastAsia="fr-FR"/>
        </w:rPr>
        <w:t>Janet</w:t>
      </w:r>
      <w:r w:rsidRPr="00C820A0">
        <w:rPr>
          <w:rFonts w:ascii="Garamond" w:hAnsi="Garamond"/>
          <w:sz w:val="20"/>
          <w:szCs w:val="20"/>
          <w:lang w:val="en-US" w:eastAsia="fr-FR"/>
        </w:rPr>
        <w:t xml:space="preserve"> auch schon die wichtige Frage nach der Disposition zur Hysterie beantwortet; nach dem Typus hystericus (dieses Wort in demselben Sinne genommen, wie man vom Typus phtisicus spricht und darunter den langen, schmalen Thorax, das kleine Herz u. s. w. versteht). </w:t>
      </w:r>
      <w:r w:rsidRPr="00C820A0">
        <w:rPr>
          <w:rFonts w:ascii="Garamond" w:hAnsi="Garamond"/>
          <w:i/>
          <w:iCs/>
          <w:sz w:val="20"/>
          <w:szCs w:val="20"/>
          <w:lang w:val="en-US" w:eastAsia="fr-FR"/>
        </w:rPr>
        <w:t>Janet</w:t>
      </w:r>
      <w:r w:rsidRPr="00C820A0">
        <w:rPr>
          <w:rFonts w:ascii="Garamond" w:hAnsi="Garamond"/>
          <w:sz w:val="20"/>
          <w:szCs w:val="20"/>
          <w:lang w:val="en-US" w:eastAsia="fr-FR"/>
        </w:rPr>
        <w:t xml:space="preserve"> hält eine bestimmte Form angeborener geistiger Schwäche für die Disposition zur Hysterie. Dem gegenüber möchten wir unsere Anschauung kurz im folgenden formuliren: Die Spaltung des Bewusstseins tritt nicht ein, weil die Kranken schwachsinnig sind, sondern die Kranken erscheinen schwachsinnig, weil ihre psychische Thätigkeit getheilt ist und dem bewussten Denken nur ein Theil der Leistungsfähigkeit zur Verfügung steht. Als Typus hystericus, als Inbegriff der Disposition zu Hysterie können wir geistige Schwäche nicht ansehen.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Was mit dem ersteren Satze gemeint ist, mag ein Beispiel erläutern. Vielemale konnten wir bei einer unserer Kranken (Frau </w:t>
      </w:r>
      <w:r w:rsidRPr="00C820A0">
        <w:rPr>
          <w:rFonts w:ascii="Garamond" w:hAnsi="Garamond"/>
          <w:color w:val="666666"/>
          <w:sz w:val="20"/>
          <w:szCs w:val="20"/>
          <w:lang w:val="en-US" w:eastAsia="fr-FR"/>
        </w:rPr>
        <w:t>[</w:t>
      </w:r>
      <w:hyperlink r:id="rId1983" w:tooltip="Seite:De Studien über Hysterie 203.jpg" w:history="1">
        <w:r w:rsidRPr="00C820A0">
          <w:rPr>
            <w:rFonts w:ascii="Garamond" w:hAnsi="Garamond"/>
            <w:b/>
            <w:bCs/>
            <w:color w:val="0000FF"/>
            <w:sz w:val="20"/>
            <w:szCs w:val="20"/>
            <w:u w:val="single"/>
            <w:lang w:val="en-US" w:eastAsia="fr-FR"/>
          </w:rPr>
          <w:t>203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Cäcilie M.) den folgenden Verlauf beobachten: In relativem Wohlsein trat ein hysterisches Symptom auf: eine quälende, obsedirende Hallucination, eine Neuralgie o. dgl., deren Intensität durch einige Zeit zunahm. Damit zugleich nahm die geistige Leistungsfähigkeit continuirlich ab, und nach einigen Tagen musste jeder uneingeweihte Beobachter die Kranke schwachsinnig nennen. Dann wurde sie von der unbewussten Vorstellung (der Erinnerung an ein oft längst vergangenes psychisches Trauma) entbunden; entweder durch den Arzt in der Hypnose oder dadurch, dass sie plötzlich in einem Aufregungszustand unter lebhaftem Affect die Sache erzählte. Dann wurde sie </w:t>
      </w:r>
      <w:r w:rsidRPr="00C820A0">
        <w:rPr>
          <w:rFonts w:ascii="Garamond" w:hAnsi="Garamond"/>
          <w:sz w:val="20"/>
          <w:szCs w:val="20"/>
          <w:lang w:val="en-US" w:eastAsia="fr-FR"/>
        </w:rPr>
        <w:lastRenderedPageBreak/>
        <w:t xml:space="preserve">nicht bloss ruhig und heiter, befreit von dem quälenden Symptom, sondern immer wieder war man erstaunt über den reichen, klaren Intellect, die Schärfe ihres Verstandes und Urtheils. Mit Vorliebe spielte sie (vortrefflich) Schach, und gerne zwei Partien zugleich, was wohl kaum ein Zeichen mangelnder geistiger Synthese ist. Der Eindruck war unabweisbar, dass in solchem Verlauf die unbewusste Vorstellung einen immer wachsenden Theil der psychischen Thätigkeit an sich reisse, dass, je mehr das geschehe, desto kleiner der Antheil des bewussten Denkens werde, bis dieses zur vollen Imbecillität herabsinke; dass sie aber, wenn sie nach dem merkwürdig treffenden Wiener Ausdruck, </w:t>
      </w:r>
      <w:r w:rsidRPr="00C820A0">
        <w:rPr>
          <w:rFonts w:ascii="Garamond" w:hAnsi="Garamond"/>
          <w:i/>
          <w:iCs/>
          <w:sz w:val="20"/>
          <w:szCs w:val="20"/>
          <w:lang w:val="en-US" w:eastAsia="fr-FR"/>
        </w:rPr>
        <w:t>„beisammen“</w:t>
      </w:r>
      <w:r w:rsidRPr="00C820A0">
        <w:rPr>
          <w:rFonts w:ascii="Garamond" w:hAnsi="Garamond"/>
          <w:sz w:val="20"/>
          <w:szCs w:val="20"/>
          <w:lang w:val="en-US" w:eastAsia="fr-FR"/>
        </w:rPr>
        <w:t xml:space="preserve"> war, eine eminente geistige Leistungsfähigkeit besitze.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Wir möchten zum Vergleiche von den Zuständen der Normalen nicht die Concentration der Aufmerksamkeit herbeiziehen, sondern die </w:t>
      </w:r>
      <w:r w:rsidRPr="00C820A0">
        <w:rPr>
          <w:rFonts w:ascii="Garamond" w:hAnsi="Garamond"/>
          <w:i/>
          <w:iCs/>
          <w:sz w:val="20"/>
          <w:szCs w:val="20"/>
          <w:lang w:val="en-US" w:eastAsia="fr-FR"/>
        </w:rPr>
        <w:t>Präoccupation</w:t>
      </w:r>
      <w:r w:rsidRPr="00C820A0">
        <w:rPr>
          <w:rFonts w:ascii="Garamond" w:hAnsi="Garamond"/>
          <w:sz w:val="20"/>
          <w:szCs w:val="20"/>
          <w:lang w:val="en-US" w:eastAsia="fr-FR"/>
        </w:rPr>
        <w:t>. Wenn ein Mensch durch eine lebhafte Vorstellung, z. B. eine Sorge „präoccupirt“ ist, wird seine geistige Leistungsfähigkeit in ähnlicher Weise herabgesetzt.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Jeder Beobachter steht überwiegend unter dem Einfluss seiner Beobachtungsobjecte, und wir möchten glauben, dass sich </w:t>
      </w:r>
      <w:r w:rsidRPr="00C820A0">
        <w:rPr>
          <w:rFonts w:ascii="Garamond" w:hAnsi="Garamond"/>
          <w:i/>
          <w:iCs/>
          <w:sz w:val="20"/>
          <w:szCs w:val="20"/>
          <w:lang w:val="en-US" w:eastAsia="fr-FR"/>
        </w:rPr>
        <w:t>Janet’s</w:t>
      </w:r>
      <w:r w:rsidRPr="00C820A0">
        <w:rPr>
          <w:rFonts w:ascii="Garamond" w:hAnsi="Garamond"/>
          <w:sz w:val="20"/>
          <w:szCs w:val="20"/>
          <w:lang w:val="en-US" w:eastAsia="fr-FR"/>
        </w:rPr>
        <w:t xml:space="preserve"> Auffassung wesentlich in dem eingehenden Studium jener schwachsinnigen Hysterischen gebildet hat, die im Spitale oder Versorgungshaus sind, weil sie ihrer Krankheit und ihrer dadurch bedingten geistigen Schwäche halber sich im Leben nicht halten können. Unsere Beobachtung gebildeter Hysterischer zwingt uns zu einer wesentlich anderen Meinung von ihrer Psyche. Wir glauben, „dass man unter den Hysterischen die geistig klarsten, willensstärksten, charaktervollsten und kritischesten Menschen finden kann“. Kein Maass wirklicher, tüchtiger, psychischer Begabung ist durch Hysterie ausgeschlossen, wenn auch oft </w:t>
      </w:r>
      <w:r w:rsidRPr="00C820A0">
        <w:rPr>
          <w:rFonts w:ascii="Garamond" w:hAnsi="Garamond"/>
          <w:i/>
          <w:iCs/>
          <w:sz w:val="20"/>
          <w:szCs w:val="20"/>
          <w:lang w:val="en-US" w:eastAsia="fr-FR"/>
        </w:rPr>
        <w:t>durch</w:t>
      </w:r>
      <w:r w:rsidRPr="00C820A0">
        <w:rPr>
          <w:rFonts w:ascii="Garamond" w:hAnsi="Garamond"/>
          <w:sz w:val="20"/>
          <w:szCs w:val="20"/>
          <w:lang w:val="en-US" w:eastAsia="fr-FR"/>
        </w:rPr>
        <w:t xml:space="preserve"> die Krankheit die reale Leistung unmöglich wird. War ja </w:t>
      </w:r>
      <w:r w:rsidRPr="00C820A0">
        <w:rPr>
          <w:rFonts w:ascii="Garamond" w:hAnsi="Garamond"/>
          <w:color w:val="666666"/>
          <w:sz w:val="20"/>
          <w:szCs w:val="20"/>
          <w:lang w:val="en-US" w:eastAsia="fr-FR"/>
        </w:rPr>
        <w:t>[</w:t>
      </w:r>
      <w:hyperlink r:id="rId1984" w:tooltip="Seite:De Studien über Hysterie 204.jpg" w:history="1">
        <w:r w:rsidRPr="00C820A0">
          <w:rPr>
            <w:rFonts w:ascii="Garamond" w:hAnsi="Garamond"/>
            <w:b/>
            <w:bCs/>
            <w:color w:val="0000FF"/>
            <w:sz w:val="20"/>
            <w:szCs w:val="20"/>
            <w:u w:val="single"/>
            <w:lang w:val="en-US" w:eastAsia="fr-FR"/>
          </w:rPr>
          <w:t>204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auch die Schutzheilige der Hysterie, St. </w:t>
      </w:r>
      <w:r w:rsidRPr="00C820A0">
        <w:rPr>
          <w:rFonts w:ascii="Garamond" w:hAnsi="Garamond"/>
          <w:i/>
          <w:iCs/>
          <w:sz w:val="20"/>
          <w:szCs w:val="20"/>
          <w:lang w:val="en-US" w:eastAsia="fr-FR"/>
        </w:rPr>
        <w:t>Theresa</w:t>
      </w:r>
      <w:r w:rsidRPr="00C820A0">
        <w:rPr>
          <w:rFonts w:ascii="Garamond" w:hAnsi="Garamond"/>
          <w:sz w:val="20"/>
          <w:szCs w:val="20"/>
          <w:lang w:val="en-US" w:eastAsia="fr-FR"/>
        </w:rPr>
        <w:t>, eine geniale Frau von der grössten praktischen Tüchtigkeit.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Aber freilich, auch kein Ausmass von Albernheit, Unbrauchbarkeit und Willensschwäche sichert vor Hysterie. Auch wenn man von all dem absieht, was erst Folge der Krankheit ist, muss man den Typus der schwachsinnigen Hysterischen als einen häufigen anerkennen. Nur handelt es sich auch hier nicht um torpide, phlegmatische Dummheit, sondern mehr um einen überhohen Grad geistiger Beweglichkeit, welche untüchtig macht. Ich werde später die Frage nach der originären Disposition besprechen. Hier soll nur festgestellt werden, dass die Meinung </w:t>
      </w:r>
      <w:r w:rsidRPr="00C820A0">
        <w:rPr>
          <w:rFonts w:ascii="Garamond" w:hAnsi="Garamond"/>
          <w:i/>
          <w:iCs/>
          <w:sz w:val="20"/>
          <w:szCs w:val="20"/>
          <w:lang w:val="en-US" w:eastAsia="fr-FR"/>
        </w:rPr>
        <w:t>Janet’s</w:t>
      </w:r>
      <w:r w:rsidRPr="00C820A0">
        <w:rPr>
          <w:rFonts w:ascii="Garamond" w:hAnsi="Garamond"/>
          <w:sz w:val="20"/>
          <w:szCs w:val="20"/>
          <w:lang w:val="en-US" w:eastAsia="fr-FR"/>
        </w:rPr>
        <w:t>, geistige Schwäche liege überhaupt der Hysterie und der psychischen Spaltung zu Grunde, unannehmbar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Im vollen Gegensatz zu </w:t>
      </w:r>
      <w:r w:rsidRPr="00C820A0">
        <w:rPr>
          <w:rFonts w:ascii="Garamond" w:hAnsi="Garamond"/>
          <w:i/>
          <w:iCs/>
          <w:sz w:val="20"/>
          <w:szCs w:val="20"/>
          <w:lang w:val="en-US" w:eastAsia="fr-FR"/>
        </w:rPr>
        <w:t>Janet’s</w:t>
      </w:r>
      <w:r w:rsidRPr="00C820A0">
        <w:rPr>
          <w:rFonts w:ascii="Garamond" w:hAnsi="Garamond"/>
          <w:sz w:val="20"/>
          <w:szCs w:val="20"/>
          <w:lang w:val="en-US" w:eastAsia="fr-FR"/>
        </w:rPr>
        <w:t xml:space="preserve"> Ansicht meine ich, in sehr vielen Fällen liege der Desaggregation eine psychische Ueberleistung zu Grunde, die habituelle Coexistenz zweier heterogenen Vorstellungsreihen. Es ist oft darauf hingewiesen worden, dass wir häufig nicht bloss „mechanisch“ thätig sind, während in unserem bewussten Denken Vorstellungsreihen ablaufen, die mit unserer Thätigkeit nichts gemein haben; sondern wir sind auch unzweifelhafter psychischer Leistungen fähig, während unsere Gedanken „anderswo beschäftigt“ sind; wie z. B. wenn wir correct und mit dem entsprechenden Tonfall vorlesen und doch dann absolut nicht wissen, was wir gelesen haben.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gibt wohl eine ganze Menge von Thätigkeiten, von den mechanischen wie Stricken, Skalenspielen an bis zu solchen, die immerhin einige seelische Leistung bedingen, welche alle von vielen Menschen mit halber Präsenz des Geistes geleistet werden. Besonders von solchen, die, bei grosser Lebhaftigkeit, durch monotone, einfache, reizlose Beschäftigung gequält werden und sich anfangs geradezu absichtlich die Unterhaltung verschaffen, an anderes zu denken. („Privattheater“ bei Anna O., Krankengeschichte Nr. I.) Ein anderer, aber ähnlicher Fall besteht, wenn eine interessante Vorstellungsreihe, z. B. aus Lecture, Theater u. dgl. stammend, sich auf- und eindrängt. Noch energischer ist dieses Eindrängen, wenn die fremde Vorstellungsreihe stark „affectiv betont“ ist, als Sorge, verliebte Sehnsucht. Dann ist der oben berührte Zustand der Präoccupation gegeben, der aber viele Menschen nicht hindert, Leistungen von massiger Complicirtheit dennoch zu Stande zu bringen. Sociale Verhältnisse erzwingen oft solche Verdoppelungen auch intensiven Denkens, wie z. B. wenn eine Frau in quälender Sorge oder leidenschaftlicher Aufregung ihre geselligen </w:t>
      </w:r>
      <w:r w:rsidRPr="00C820A0">
        <w:rPr>
          <w:rFonts w:ascii="Garamond" w:hAnsi="Garamond"/>
          <w:color w:val="666666"/>
          <w:sz w:val="20"/>
          <w:szCs w:val="20"/>
          <w:lang w:val="en-US" w:eastAsia="fr-FR"/>
        </w:rPr>
        <w:t>[</w:t>
      </w:r>
      <w:hyperlink r:id="rId1985" w:tooltip="Seite:De Studien über Hysterie 205.jpg" w:history="1">
        <w:r w:rsidRPr="00C820A0">
          <w:rPr>
            <w:rFonts w:ascii="Garamond" w:hAnsi="Garamond"/>
            <w:b/>
            <w:bCs/>
            <w:color w:val="0000FF"/>
            <w:sz w:val="20"/>
            <w:szCs w:val="20"/>
            <w:u w:val="single"/>
            <w:lang w:val="en-US" w:eastAsia="fr-FR"/>
          </w:rPr>
          <w:t>205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Pflichten und die Functionen der liebenswürdigen Wirthin erfüllt. Geringere Leistungen dieser Art bringen wir alle im Berufe fertig; aber die Selbstbeobachtung scheint auch jedem zu ergeben, dass die affective Vorstellungsgruppe nicht associatorisch dann und wann erweckt wird, sondern fortwährend actuell in der Psyche vorhanden ist, in’s Bewusstsein tretend, sowie kein lebhafter äusserer Eindruck oder Willensact dasselbe in Beschlag nimmt.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Auch bei Menschen, die nicht habituell Wachträume neben der gewöhnlichen Thätigkeit einherfliessen lassen, bedingen manche Situationen durch grössere Zeiträume hindurch ein solches Nebeneinander der wechselnden Eindrücke und Reactionen des äusseren Lebens und einer affectiv betonten Vorstellungsgruppe. Post equitem sedet atra cura. Solche Situationen sind vor anderen die Krankenpflege theurer Menschen und die Liebesneigung. Erfahrungsgemäss spielen Krankenpflege und Sexualaffect auch die Hauptrolle in den meisten genauer analysirten Krankengeschichten Hysterischer.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vermuthe, dass die habituelle oder durch affectvolle Lebenslagen bedingte Verdoppelung der psychischen Fähigkeit zur wirklichen, pathologischen Spaltung der Psyche wesentlich </w:t>
      </w:r>
      <w:r w:rsidRPr="00C820A0">
        <w:rPr>
          <w:rFonts w:ascii="Garamond" w:hAnsi="Garamond"/>
          <w:i/>
          <w:iCs/>
          <w:sz w:val="20"/>
          <w:szCs w:val="20"/>
          <w:lang w:val="en-US" w:eastAsia="fr-FR"/>
        </w:rPr>
        <w:t>disponire</w:t>
      </w:r>
      <w:r w:rsidRPr="00C820A0">
        <w:rPr>
          <w:rFonts w:ascii="Garamond" w:hAnsi="Garamond"/>
          <w:sz w:val="20"/>
          <w:szCs w:val="20"/>
          <w:lang w:val="en-US" w:eastAsia="fr-FR"/>
        </w:rPr>
        <w:t>. Sie geht in diese über, wenn die beiden coexistirenden Vorstellungsreihen nicht mehr gleichartigen Inhalt haben, wenn die eine davon bewusstseins-unfähige Vorstellungen enthält: abgewehrte und solche, die aus hypnoiden Zuständen stammen. Dann ist das Confluiren der beiden zeitweise getrennten Ströme, das beim Gesunden immer wieder statthat, unmöglich, und es etablirt sich dauernd ein abgespaltenes Gebiet unbewusster psychischer Thätigkeit. Diese hysterische Spaltung der Psyche verhält sich zu dem „Doppel-Ich“ des Gesunden wie das Hypnoid zu der normalen Träumerei. Hier bedingt die Amnesie die pathologische Qualität und dort die Bewusstseinsunfähigkeit der Vorstellungen.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Beobachtung I (Anna O.), auf die ich immer zurückkommen muss, gewährt klaren Einblick in den Hergang. Das Mädchen war, in voller Gesundheit, gewöhnt, neben ihren Beschäftigungen phantastische Vorstellungsreihen </w:t>
      </w:r>
      <w:r w:rsidRPr="00C820A0">
        <w:rPr>
          <w:rFonts w:ascii="Garamond" w:hAnsi="Garamond"/>
          <w:sz w:val="20"/>
          <w:szCs w:val="20"/>
          <w:lang w:val="en-US" w:eastAsia="fr-FR"/>
        </w:rPr>
        <w:lastRenderedPageBreak/>
        <w:t>einherfliessen zu lassen. In einer für die Autohypnose günstigen Situation tritt der Angstaffect in die Träumerei ein und schafft ein Hypnoid, für welches Amnesie besteht. Dies wiederholt sich bei verschiedenen Gelegenheiten, sein Vorstellungsinhalt wird allmählich immer reicher; aber noch immer alternirt es mit dem Zustande vollkommen normalen wachen Denkens.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86" w:tooltip="Seite:De Studien über Hysterie 206.jpg" w:history="1">
        <w:r w:rsidRPr="00C820A0">
          <w:rPr>
            <w:rFonts w:ascii="Garamond" w:hAnsi="Garamond"/>
            <w:b/>
            <w:bCs/>
            <w:color w:val="0000FF"/>
            <w:sz w:val="20"/>
            <w:szCs w:val="20"/>
            <w:u w:val="single"/>
            <w:lang w:val="en-US" w:eastAsia="fr-FR"/>
          </w:rPr>
          <w:t>206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Nach 4 Monaten bemächtigt sich der Hypnoidzustand der Kranken vollständig; indem die einzelnen Attaquen confluiren, bildet sich ein état de mal, eine schwerste acute Hysterie. Nach mehrmonatlicher Dauer in verschiedenen Formen (somnambule Periode) wird er gewaltsam unterbrochen und alternirt nun wieder mit normalem psychischen Verhalten. Aber auch in diesem persistiren die somatischen und psychischen Phänomene, von denen wir hier </w:t>
      </w:r>
      <w:r w:rsidRPr="00C820A0">
        <w:rPr>
          <w:rFonts w:ascii="Garamond" w:hAnsi="Garamond"/>
          <w:i/>
          <w:iCs/>
          <w:sz w:val="20"/>
          <w:szCs w:val="20"/>
          <w:lang w:val="en-US" w:eastAsia="fr-FR"/>
        </w:rPr>
        <w:t>wissen</w:t>
      </w:r>
      <w:r w:rsidRPr="00C820A0">
        <w:rPr>
          <w:rFonts w:ascii="Garamond" w:hAnsi="Garamond"/>
          <w:sz w:val="20"/>
          <w:szCs w:val="20"/>
          <w:lang w:val="en-US" w:eastAsia="fr-FR"/>
        </w:rPr>
        <w:t>, dass sie auf Vorstellungen des Hypnoids beruhen (Contractur, Hemianästhesie Aenderung der Sprache). Dadurch ist bewiesen, dass auch während des normalen Verhaltens der Vorstellungscomplex des Hypnoids, das „Unterbewusstsein“, actuell ist, dass die Spaltung der Psyche fortbesteht.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Ein zweites Beispiel solcher Entwicklung kann ich nicht beibringen. Ich glaube aber, dass dieses einiges Licht auf die Ausbildung der traumatischen Neurose wirft. Bei dieser wiederholt sich in den ersten Tagen nach dem Unfall mit der Erinnerung an diesen das Schreckhypnoid; während dies immer häufiger geschieht, nimmt seine Intensität doch so weit ab, dass es nicht mehr mit dem wachen Denken alternirt, sondern nur neben ihm besteht. Nun wird es continuirlich, und die somatischen Symptome, welche früher nur im Schreckanfall bestanden, gewinnen eine dauernde Existenz. Ich kann aber nur vermuthen, dass es so zugehe, da ich keinen solchen Fall analysirt habe.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Beobachtungen und Analysen </w:t>
      </w:r>
      <w:r w:rsidRPr="00C820A0">
        <w:rPr>
          <w:rFonts w:ascii="Garamond" w:hAnsi="Garamond"/>
          <w:i/>
          <w:iCs/>
          <w:sz w:val="20"/>
          <w:szCs w:val="20"/>
          <w:lang w:val="en-US" w:eastAsia="fr-FR"/>
        </w:rPr>
        <w:t>Freud’s</w:t>
      </w:r>
      <w:r w:rsidRPr="00C820A0">
        <w:rPr>
          <w:rFonts w:ascii="Garamond" w:hAnsi="Garamond"/>
          <w:sz w:val="20"/>
          <w:szCs w:val="20"/>
          <w:lang w:val="en-US" w:eastAsia="fr-FR"/>
        </w:rPr>
        <w:t xml:space="preserve"> beweisen, dass die Spaltung der Psyche auch durch die „Abwehr“, durch die willkürliche Abwendung des Bewusstseins von peinlichen Vorstellungen bedingt sein kann. Aber doch nur bei manchen Menschen, denen wir deshalb eine psychische Eigenart zuschreiben müssen. Bei normalen Menschen gelingt die Unterdrückung solcher Vorstellungen, und dann schwinden sie vollständig, oder sie gelingt nicht, und dann tauchen sie immer wieder im Bewusstsein auf. Worin jene Eigenart besteht, weiss ich nicht zu sagen. Ich wage nur die Vermuthung, es sei die Hilfe des Hypnoids nothwendig, wenn durch die Abwehr nicht bloss einzelne convertirte Vorstellungen zu unbewussten gemacht werden, sondern eine wirkliche Spaltung der Psyche vollzogen werden soll. Die Autohypnose schaffte sozusagen den Raum, das Gebiet unbewusster psychischer Thätigkeit, in welches die abgewehrten Vorstellungen hineingedrängt werden. Doch wie dem auch sei, die Thatsache von der pathogenen Bedeutung der „Abwehr“ müssen wir anerkennen.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87" w:tooltip="Seite:De Studien über Hysterie 207.jpg" w:history="1">
        <w:r w:rsidRPr="00C820A0">
          <w:rPr>
            <w:rFonts w:ascii="Garamond" w:hAnsi="Garamond"/>
            <w:b/>
            <w:bCs/>
            <w:color w:val="0000FF"/>
            <w:sz w:val="20"/>
            <w:szCs w:val="20"/>
            <w:u w:val="single"/>
            <w:lang w:val="en-US" w:eastAsia="fr-FR"/>
          </w:rPr>
          <w:t>207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Ich glaube aber nicht, dass mit den besprochenen, halbwegs verständlichen Vorgängen die Genese der psychischen Spaltung auch nur annähernd erschöpft wäre. So lassen beginnende Hysterien höhern Grades meist einige Zeit hindurch ein Syndrom beobachten, das man wohl als acute Hysterie bezeichnen darf. (In den Anamnesen männlicher Hysteriker begegnet man dieser Form der Erkrankung gewöhnlich unter dem Namen: Gehirnentzündung; bei weiblichen Hysterien gibt die Ovarie dabei Anlass zu der Diagnose: Bauchfellentzündung.)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diesem acuten Stadium der Hysterie sind psychotische Züge sehr deutlich; manische und zornige Aufregungszustände, rascher Wechsel hysterischer Phänomene, Hallucinationen u. dgl. m. In solchem Zustand mag die Spaltung der Psyche vielleicht in anderer Weise erfolgen, als wir oben darzulegen suchten.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Vielleicht ist dieses ganze Stadium als ein langer hypnoider Zustand zu betrachten, dessen Residuen den Kern des unbewussten Vorstellungscomplexes abgeben, während das wache Denken dafür amnestisch ist. Da uns die Entstehungsbedingungen einer solchen acuten Hysterie meist nicht bekannt sind (ich wage nicht, den Hergang bei Anna O. für den allgemein giltigen zu halten), so wäre das eine weitere, im Gegensatz zu den oben erörterten, irrational zu nennende Art der psychischen Spaltung</w:t>
      </w:r>
      <w:hyperlink r:id="rId1988" w:anchor="cite_note-16" w:history="1">
        <w:r w:rsidRPr="00C820A0">
          <w:rPr>
            <w:rFonts w:ascii="Garamond" w:hAnsi="Garamond"/>
            <w:color w:val="0000FF"/>
            <w:sz w:val="20"/>
            <w:szCs w:val="20"/>
            <w:u w:val="single"/>
            <w:vertAlign w:val="superscript"/>
            <w:lang w:val="en-US" w:eastAsia="fr-FR"/>
          </w:rPr>
          <w:t>[17]</w:t>
        </w:r>
      </w:hyperlink>
      <w:r w:rsidRPr="00C820A0">
        <w:rPr>
          <w:rFonts w:ascii="Garamond" w:hAnsi="Garamond"/>
          <w:sz w:val="20"/>
          <w:szCs w:val="20"/>
          <w:lang w:val="en-US" w:eastAsia="fr-FR"/>
        </w:rPr>
        <w:t>). Und so werden gewiss noch andere, Arten dieses Vorganges existiren, die sich der jungen psychologischen Erkenntniss noch entzogen haben. Denn gewiss haben wir nur die ersten Schritte auf diesem Gebiete gemacht und werden weitere Erfahrungen die heutigen Anschauungen wesentlich umgestalten.</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7"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Fragen wir nun, was die in den letzten Jahren gewonnene Kenntniss der psychischen Spaltung für das Verständniss der Hysterie geleistet hat. Es scheint viel und Bedeutungsvolles zu sein.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Diese Erkenntniss ermöglicht, scheinbar rein somatische Symptome auf Vorstellungen zurückzuführen, die aber im Bewusstsein der Kranken nicht zu finden sind. Es ist überflüssig, nochmals hierauf einzugehen.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89" w:tooltip="Seite:De Studien über Hysterie 208.jpg" w:history="1">
        <w:r w:rsidRPr="00C820A0">
          <w:rPr>
            <w:rFonts w:ascii="Garamond" w:hAnsi="Garamond"/>
            <w:b/>
            <w:bCs/>
            <w:color w:val="0000FF"/>
            <w:sz w:val="20"/>
            <w:szCs w:val="20"/>
            <w:u w:val="single"/>
            <w:lang w:val="en-US" w:eastAsia="fr-FR"/>
          </w:rPr>
          <w:t>208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Sie hat den Anfall als eine Leistung des unbewussten Vorstellungscomplexes mindestens theilweise verstehen gelehrt (</w:t>
      </w:r>
      <w:r w:rsidRPr="00C820A0">
        <w:rPr>
          <w:rFonts w:ascii="Garamond" w:hAnsi="Garamond"/>
          <w:i/>
          <w:iCs/>
          <w:sz w:val="20"/>
          <w:szCs w:val="20"/>
          <w:lang w:val="en-US" w:eastAsia="fr-FR"/>
        </w:rPr>
        <w:t>Charcot</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Sie erklärt aber auch manche der psychischen Eigenthümlichkeiten der Hysterie, und dieser Punkt verdient vielleicht eingehendere Besprechung.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„unbewussten Vorstellungen“ treten zwar nie oder doch nnr selten und schwer in das wache Denken, aber sie beeinflussen es. Erstens durch ihre Wirkungen, wenn z. B. eine völlig unverständliche, sinnlose Hallucination den Kranken peinigt, deren Bedeutung und Motivirung in der Hypnose klar wird.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Dann beeinflussen sie die Association, indem sie einzelne Vorstellungen lebhafter werden lassen, als sie ohne diese aus dem Unbewussten stammende Verstärkung wären. So drängen sich dann den Kranken mit einem gewissen Zwange immer bestimmte Vorstellungsgruppen auf, an die sie denken müssen. (Aehnlich ist es, wenn </w:t>
      </w:r>
      <w:r w:rsidRPr="00C820A0">
        <w:rPr>
          <w:rFonts w:ascii="Garamond" w:hAnsi="Garamond"/>
          <w:i/>
          <w:iCs/>
          <w:sz w:val="20"/>
          <w:szCs w:val="20"/>
          <w:lang w:val="en-US" w:eastAsia="fr-FR"/>
        </w:rPr>
        <w:t>Janet's</w:t>
      </w:r>
      <w:r w:rsidRPr="00C820A0">
        <w:rPr>
          <w:rFonts w:ascii="Garamond" w:hAnsi="Garamond"/>
          <w:sz w:val="20"/>
          <w:szCs w:val="20"/>
          <w:lang w:val="en-US" w:eastAsia="fr-FR"/>
        </w:rPr>
        <w:t xml:space="preserve"> Hemianästhetische zwar die wiederholte Berührung ihrer empfindungslosen Hand nicht fühlen, aber aufgefordert, eine beliebige Zahl zu nennen, immer jene wählen, welche der Zahl der Berührungen entspricht.) Weiters </w:t>
      </w:r>
      <w:r w:rsidRPr="00C820A0">
        <w:rPr>
          <w:rFonts w:ascii="Garamond" w:hAnsi="Garamond"/>
          <w:sz w:val="20"/>
          <w:szCs w:val="20"/>
          <w:lang w:val="en-US" w:eastAsia="fr-FR"/>
        </w:rPr>
        <w:lastRenderedPageBreak/>
        <w:t>beherrschen sie die Gemüthslage, die Stimmung. Wenn sich Anna O. bei Abwicklung ihrer Erinnerungen einem Vorgang näherte, der ursprünglich mit lebhaftem Affect verbunden gewesen war, so trat die entsprechende Gemüthsstimmung schon Tage vorher auf, ehe die Erinnerung auch nur in dem hypnotischen Bewusstsein klar erschien.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 macht uns die „Launen“, die unerklärlichen, unbegründeten, für das wache Denken motivlosen Verstimmungen der Kranken verständlich. Die Impressionabilität der Hysterischen ist ja grossentheils einfach durch ihre originäre Erregbarkeit bedingt; aber die lebhaften Affecte, in die sie durch relativ geringfügige Ursachen gerathen, werden begreiflicher, wenn wir bedenken, dass die „abgespaltene Psyche“ wirkt wie ein Resonator auf den Ton der Stimmgabel. Jedes Vorkommniss, welches „unbewusste“ Erinnerungen erregt, macht die ganze affective Kraft dieser nicht usurirten Vorstellungen frei, und der hervorgerufene Affect steht dann ganz ausser Verhältniss zu jenem, der in der bewussten Psyche allein entstanden wäre.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wurde oben (p. 203) von einer Kranken berichtet, deren psychische Leistung immer im umgekehrten Verhältniss zu der Lebhaftigkeit ihrer unbewussten Vorstellungen steht. Die Herabsetzung ihres bewussten Denkens beruht theilweise, aber nur theilweise, auf einer </w:t>
      </w:r>
      <w:r w:rsidRPr="00C820A0">
        <w:rPr>
          <w:rFonts w:ascii="Garamond" w:hAnsi="Garamond"/>
          <w:color w:val="666666"/>
          <w:sz w:val="20"/>
          <w:szCs w:val="20"/>
          <w:lang w:val="en-US" w:eastAsia="fr-FR"/>
        </w:rPr>
        <w:t>[</w:t>
      </w:r>
      <w:hyperlink r:id="rId1990" w:tooltip="Seite:De Studien über Hysterie 209.jpg" w:history="1">
        <w:r w:rsidRPr="00C820A0">
          <w:rPr>
            <w:rFonts w:ascii="Garamond" w:hAnsi="Garamond"/>
            <w:b/>
            <w:bCs/>
            <w:color w:val="0000FF"/>
            <w:sz w:val="20"/>
            <w:szCs w:val="20"/>
            <w:u w:val="single"/>
            <w:lang w:val="en-US" w:eastAsia="fr-FR"/>
          </w:rPr>
          <w:t>209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eigenthümlichen Art von Zerstreutheit; nach jeder momentanen „Absence“, wie solche fortwährend eintreten, weiss sie nicht, an was sie während derselben gedacht hat. Sie oscillirt zwischen der „condition prime“ und „seconde“, zwischen dem bewussten und dem unbewussten Vorstellungscomplex. Aber nicht bloss dadurch ist ihre psychische Leistung herabgesetzt und auch nicht bloss durch den Affect, der vom Unbewussten aus sie beherrscht. Ihr waches Denken ist in solchem Zustand energielos, ihr Urtheil kindisch, sie scheint, wie gesagt, geradezu imbecill. Ich meine, das sei darin begründet, dass dem wachen Denken eine geringere Energie zur Verfügung steht, wenn eine grosse Menge der psychischen Erregung vom Unbewussten in Beschlag genommen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das nun nicht bloss temporär der Fall ist, wenn die abgespaltene Psyche fortwährend in Erregung ist, wie bei </w:t>
      </w:r>
      <w:r w:rsidRPr="00C820A0">
        <w:rPr>
          <w:rFonts w:ascii="Garamond" w:hAnsi="Garamond"/>
          <w:i/>
          <w:iCs/>
          <w:sz w:val="20"/>
          <w:szCs w:val="20"/>
          <w:lang w:val="en-US" w:eastAsia="fr-FR"/>
        </w:rPr>
        <w:t>Janet's</w:t>
      </w:r>
      <w:r w:rsidRPr="00C820A0">
        <w:rPr>
          <w:rFonts w:ascii="Garamond" w:hAnsi="Garamond"/>
          <w:sz w:val="20"/>
          <w:szCs w:val="20"/>
          <w:lang w:val="en-US" w:eastAsia="fr-FR"/>
        </w:rPr>
        <w:t xml:space="preserve"> Hemianästhetischen, bei denen sogar alle Empfindungen der einen Körperhälfte nur von der unbewussten Psyche percipirt werden, so bleibt für das wache Denken so wenig von der Gehirnleistung übrig, dass sich dadurch die psychische Schwäche vollauf erklärt, die </w:t>
      </w:r>
      <w:r w:rsidRPr="00C820A0">
        <w:rPr>
          <w:rFonts w:ascii="Garamond" w:hAnsi="Garamond"/>
          <w:i/>
          <w:iCs/>
          <w:sz w:val="20"/>
          <w:szCs w:val="20"/>
          <w:lang w:val="en-US" w:eastAsia="fr-FR"/>
        </w:rPr>
        <w:t>Janet</w:t>
      </w:r>
      <w:r w:rsidRPr="00C820A0">
        <w:rPr>
          <w:rFonts w:ascii="Garamond" w:hAnsi="Garamond"/>
          <w:sz w:val="20"/>
          <w:szCs w:val="20"/>
          <w:lang w:val="en-US" w:eastAsia="fr-FR"/>
        </w:rPr>
        <w:t xml:space="preserve"> schildert und für originär hält. Wohl von den wenigsten Menschen dürfte man sagen wie von </w:t>
      </w:r>
      <w:r w:rsidRPr="00C820A0">
        <w:rPr>
          <w:rFonts w:ascii="Garamond" w:hAnsi="Garamond"/>
          <w:i/>
          <w:iCs/>
          <w:sz w:val="20"/>
          <w:szCs w:val="20"/>
          <w:lang w:val="en-US" w:eastAsia="fr-FR"/>
        </w:rPr>
        <w:t>Uhland's Bertrand de Born</w:t>
      </w:r>
      <w:r w:rsidRPr="00C820A0">
        <w:rPr>
          <w:rFonts w:ascii="Garamond" w:hAnsi="Garamond"/>
          <w:sz w:val="20"/>
          <w:szCs w:val="20"/>
          <w:lang w:val="en-US" w:eastAsia="fr-FR"/>
        </w:rPr>
        <w:t>, „dass ihnen nie mehr als die Hälfte ihres Geistes nöthig sei“. Die allermeisten sind bei solcher Reduction ihrer psychischen Energie eben schwachsinnig.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Auf dieser, durch die psychische Spaltung bedingten geistigen Schwäche scheint nun auch eine folgenreiche Eigenschaft </w:t>
      </w:r>
      <w:r w:rsidRPr="00C820A0">
        <w:rPr>
          <w:rFonts w:ascii="Garamond" w:hAnsi="Garamond"/>
          <w:i/>
          <w:iCs/>
          <w:sz w:val="20"/>
          <w:szCs w:val="20"/>
          <w:lang w:val="en-US" w:eastAsia="fr-FR"/>
        </w:rPr>
        <w:t>mancher</w:t>
      </w:r>
      <w:r w:rsidRPr="00C820A0">
        <w:rPr>
          <w:rFonts w:ascii="Garamond" w:hAnsi="Garamond"/>
          <w:sz w:val="20"/>
          <w:szCs w:val="20"/>
          <w:lang w:val="en-US" w:eastAsia="fr-FR"/>
        </w:rPr>
        <w:t xml:space="preserve"> Hysterischen zu beruhen, ihre Suggestibilität. (Ich sage, „mancher Hysterischen“, denn es ist sicher, dass man unter den Kranken dieser Art auch die urtheilssichersten, kritischesten Menschen findet.)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Wir verstehen unter Suggestibilität zunächst nur die Kritiklosigkeit gegen Vorstellungen und Vorstellungscomplexe (Urtheile), welche im eigenen Bewusstsein auftauchen oder von aussen in dasselbe eingeführt werden, durch Hören fremder Rede oder Lectüre. Alle Kritik solcher frisch in's Bewusstsein tretender Vorstellungen beruht darauf, dass sie associativ andere erwecken, und darunter auch solche, die mit ihnen unvereinbar sind. Der Widerstand gegen sie ist also abhängig von dem Besitz des potentiellen Bewusstseins an solchen widerstrebenden Vorstellungen, und seine Stärke entspricht dem Verhältniss zwischen der Lebhaftigkeit der frischen Vorstellungen und der aus der Erinnerung erweckten. Dieses Verhältniss ist auch </w:t>
      </w:r>
      <w:r w:rsidRPr="00C820A0">
        <w:rPr>
          <w:rFonts w:ascii="Garamond" w:hAnsi="Garamond"/>
          <w:color w:val="666666"/>
          <w:sz w:val="20"/>
          <w:szCs w:val="20"/>
          <w:lang w:val="en-US" w:eastAsia="fr-FR"/>
        </w:rPr>
        <w:t>[</w:t>
      </w:r>
      <w:hyperlink r:id="rId1991" w:tooltip="Seite:De Studien über Hysterie 210.jpg" w:history="1">
        <w:r w:rsidRPr="00C820A0">
          <w:rPr>
            <w:rFonts w:ascii="Garamond" w:hAnsi="Garamond"/>
            <w:b/>
            <w:bCs/>
            <w:color w:val="0000FF"/>
            <w:sz w:val="20"/>
            <w:szCs w:val="20"/>
            <w:u w:val="single"/>
            <w:lang w:val="en-US" w:eastAsia="fr-FR"/>
          </w:rPr>
          <w:t>210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bei normalen Intellecten sehr verschieden. Was wir intellectuelles Temperament nennen, hängt grossentheils davon ab. Der Sanguiniker, den neue Menschen und Dinge immer entzücken, ist wohl so, weil die Intensität seiner Erinnerungsbilder im Vergleich mit jener der neuen Eindrücke geringer ist als bei den ruhigeren, „phlegmatischen“ Menschen. In pathologischen Zuständen wächst das Uebergewicht frischer Vorstellungen und die Widerstandslosigkeit gegen solche um so mehr, je weniger Erinnerungsbilder erweckt werden, also je schwächer und ärmer die Association ist; so schon im Schlaf und Traum, in der Hypnose, bei jedem Abnehmen der geistigen Energie, so lange es nicht auch die Lebhaftigkeit der frischen Vorstellungen schädigt.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unbewusste, gespaltene Psyche der Hysterie ist eminent suggestibel, der Armut und Unvollständigkeit ihres Vorstellungsinhaltes wegen. Aber auch die Suggestibilität der bewussten Psyche mancher Hysterischen scheint hierauf zu beruhen. Ihrer originären Anlage nach sind sie erregbar; frische Vorstellungen sind bei ihnen von grosser Lebhaftigkeit. Dagegen ist die eigentliche intellectuelle Thätigkeit, die Association, herabgesetzt, weil dem wachen Denken, der Abspaltung eines „Unbewussten“ wegen, nur ein Theil der psychischen Energie zur Verfügung steht.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Damit ist ihre Widerstandsfähigkeit gegen Auto- wie Fremdsuggestionen vermindert und manchmal vernichtet. Auch die Suggestibilität ihres Willens dürfte hieraus allein entspringen. Die hallucinatorische Suggestibilität dagegen, welche jede Vorstellung einer Sinneswahrnehmung alsbald in die Wahrnehmung selbst verwandelt, erfordert, wie jede Hallucination, einen abnormen Grad von Erregbarkeit des Perceptionsorganes und lässt sich aus der psychischen Spaltung allein nicht ableiten.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b/>
          <w:bCs/>
          <w:sz w:val="20"/>
          <w:szCs w:val="20"/>
          <w:lang w:val="en-US" w:eastAsia="fr-FR"/>
        </w:rPr>
        <w:t>VI. Originäre Disposition; Entwicklung der Hysterie.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Fast auf jeder Stufe dieser Darlegungen habe ich anerkennen müssen, dass die meisten Erscheinungen, um deren Verständnis wir uns bemühen, auch auf angeborener Eigenart beruhen können. Diese entzieht sich jeder Erklärung, welche über die Constatirung der Thatsachen hinausgehen wollte. Aber auch die </w:t>
      </w:r>
      <w:r w:rsidRPr="00C820A0">
        <w:rPr>
          <w:rFonts w:ascii="Garamond" w:hAnsi="Garamond"/>
          <w:i/>
          <w:iCs/>
          <w:sz w:val="20"/>
          <w:szCs w:val="20"/>
          <w:lang w:val="en-US" w:eastAsia="fr-FR"/>
        </w:rPr>
        <w:t>Fähigkeit, Hysterie zu acquiriren</w:t>
      </w:r>
      <w:r w:rsidRPr="00C820A0">
        <w:rPr>
          <w:rFonts w:ascii="Garamond" w:hAnsi="Garamond"/>
          <w:sz w:val="20"/>
          <w:szCs w:val="20"/>
          <w:lang w:val="en-US" w:eastAsia="fr-FR"/>
        </w:rPr>
        <w:t>, ist gewiss an eine Eigenart der Menschen gebunden, und der Versuch wäre vielleicht nicht ganz wertlos, diese etwas genauer zu definiren.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92" w:tooltip="Seite:De Studien über Hysterie 211.jpg" w:history="1">
        <w:r w:rsidRPr="00C820A0">
          <w:rPr>
            <w:rFonts w:ascii="Garamond" w:hAnsi="Garamond"/>
            <w:b/>
            <w:bCs/>
            <w:color w:val="0000FF"/>
            <w:sz w:val="20"/>
            <w:szCs w:val="20"/>
            <w:u w:val="single"/>
            <w:lang w:val="en-US" w:eastAsia="fr-FR"/>
          </w:rPr>
          <w:t>211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Ich habe oben auseinandergesetzt, warum die Anschauung </w:t>
      </w:r>
      <w:r w:rsidRPr="00C820A0">
        <w:rPr>
          <w:rFonts w:ascii="Garamond" w:hAnsi="Garamond"/>
          <w:i/>
          <w:iCs/>
          <w:sz w:val="20"/>
          <w:szCs w:val="20"/>
          <w:lang w:val="en-US" w:eastAsia="fr-FR"/>
        </w:rPr>
        <w:t>Janet’s</w:t>
      </w:r>
      <w:r w:rsidRPr="00C820A0">
        <w:rPr>
          <w:rFonts w:ascii="Garamond" w:hAnsi="Garamond"/>
          <w:sz w:val="20"/>
          <w:szCs w:val="20"/>
          <w:lang w:val="en-US" w:eastAsia="fr-FR"/>
        </w:rPr>
        <w:t xml:space="preserve"> unannehmbar ist: Die Disposition zur Hysterie beruhe auf angeborener psychischer Schwäche. Der Praktiker, der als Hausarzt die Glieder hysterischer </w:t>
      </w:r>
      <w:r w:rsidRPr="00C820A0">
        <w:rPr>
          <w:rFonts w:ascii="Garamond" w:hAnsi="Garamond"/>
          <w:sz w:val="20"/>
          <w:szCs w:val="20"/>
          <w:lang w:val="en-US" w:eastAsia="fr-FR"/>
        </w:rPr>
        <w:lastRenderedPageBreak/>
        <w:t>Familien in allen Altersstufen beobachtet, wird gewiss eher geneigt sein, diese Disposition in einem Ueberschuss als in einem Defect zu suchen. Die Adolescenten, welche später hysterisch werden, sind vor ihrer Erkrankung meist lebhaft, begabt, voll geistiger Interessen; ihre Willensenergie ist oft bemerkenswert. Zu ihnen gehören jene Mädchen, die Nachts aufstehen, um heimlich irgend ein Studium zu treiben, das ihnen die Eltern aus Furcht vor Ueberanstrengung versagten. Die Fähigkeit besonnenen Urtheils ist gewiss ihnen nicht reichlicher gegeben als anderen Menschen. Aber selten findet man unter ihnen einfache, stumpfe Geistesträgheit und Dummheit. Die überströmende Productivität ihrer Psyche brachte einen meiner Freunde zu der Behauptung: die Hysterischen seien die Blüte der Menschheit, freilich so steril, aber auch so schön wie die gefüllten Blumen.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Ihre Lebhaftigkeit und Unrast, ihr Bedürfnis nach Sensationen und geistiger Thätigkeit, ihre Unfähigkeit, Monotonie und Langweile zu ertragen, lassen sich so formuliren: sie gehörten zu jenen Menschen, deren Nervensystem in der Ruhe ein Uebermaass von Erregung frei macht, welches Verwendung fordert (s. pag. 172). Während und infolge der Pubertätsentwicklung tritt zu dem originären Ueberschuss noch jene gewaltige Steigerung der Erregung, welche von der erwachenden Sexualität, von den Geschlechtsdrüsen ausgeht. Nun ist ein übergrosses Quantum freier nervöser Erregung verfügbar für pathologische Phänomene: aber, damit diese in Form hysterischer Krankheitserscheinungen auftreten, dazu braucht es offenbar noch einer anderen, specifischen Eigenart des Individuums. Denn die grosse Mehrzahl der lebhaften, erregten Menschen wird ja doch nicht hysterisch.</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Diese Eigenart konnte ich oben nur mit dem vagen und inhaltsarmen Worte: „abnorme Erregbarkeit des Nervensystems“ bezeichnen. Man kann aber doch vielleicht weiter gehen und sagen: diese Abnormität liege eben darin, dass bei solchen Menschen in die Nervenapparate der Empfindung, welche de norma nur peripheren Reizen zugänglich sind, und in diejenigen der vegetativen Organe, welche durch starke Widerstände vom Centralnervensystem isolirt sind, die Erregung des Centralorgans einströmen kann. Diese Vorstellung von dem immer vorhandenen Erregungsüberschuss, welchem die sensiblen, vasomotorischen und visceralen Apparate zugänglich sind, kann vielleicht schon einige pathologische Phänomene decken.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1993" w:tooltip="Seite:De Studien über Hysterie 212.jpg" w:history="1">
        <w:r w:rsidRPr="00C820A0">
          <w:rPr>
            <w:rFonts w:ascii="Garamond" w:hAnsi="Garamond"/>
            <w:b/>
            <w:bCs/>
            <w:color w:val="0000FF"/>
            <w:sz w:val="20"/>
            <w:szCs w:val="20"/>
            <w:u w:val="single"/>
            <w:lang w:val="en-US" w:eastAsia="fr-FR"/>
          </w:rPr>
          <w:t>212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Sowie bei so beschaffenen Menschen die Aufmerksamkeit gewaltsam auf einen Köpertheil concentrirt wird, übersteigt die „attentionelle Bahnung“ (</w:t>
      </w:r>
      <w:r w:rsidRPr="00C820A0">
        <w:rPr>
          <w:rFonts w:ascii="Garamond" w:hAnsi="Garamond"/>
          <w:i/>
          <w:iCs/>
          <w:sz w:val="20"/>
          <w:szCs w:val="20"/>
          <w:lang w:val="en-US" w:eastAsia="fr-FR"/>
        </w:rPr>
        <w:t>Exner</w:t>
      </w:r>
      <w:r w:rsidRPr="00C820A0">
        <w:rPr>
          <w:rFonts w:ascii="Garamond" w:hAnsi="Garamond"/>
          <w:sz w:val="20"/>
          <w:szCs w:val="20"/>
          <w:lang w:val="en-US" w:eastAsia="fr-FR"/>
        </w:rPr>
        <w:t xml:space="preserve">) der betreffenden sensiblen Leitung das normale Maass; die freie, flottirende Erregung versetzt sich, so zu sagen, auf diese Bahn, und es entsteht die locale Hyperalgesie, welche es verursacht, dass alle, irgendwie bedingten, Schmerzen maximal intensiv werden, dass alle Leiden „furchtbar“ und „unerträglich“ sind. Aber die Erregungsquantität, welche einmal eine sensible Bahn besetzt hat, verlässt sie nicht immer wieder wie beim normalen Menschen; sie verharrt nicht bloss, sondern vermehrt sich durch Zuströmen immer neuer Erregungen. So entwickelt sich nach einem leichten Gelenkstrauma eine </w:t>
      </w:r>
      <w:r w:rsidRPr="00C820A0">
        <w:rPr>
          <w:rFonts w:ascii="Garamond" w:hAnsi="Garamond"/>
          <w:i/>
          <w:iCs/>
          <w:sz w:val="20"/>
          <w:szCs w:val="20"/>
          <w:lang w:val="en-US" w:eastAsia="fr-FR"/>
        </w:rPr>
        <w:t>Gelenksneurose</w:t>
      </w:r>
      <w:r w:rsidRPr="00C820A0">
        <w:rPr>
          <w:rFonts w:ascii="Garamond" w:hAnsi="Garamond"/>
          <w:sz w:val="20"/>
          <w:szCs w:val="20"/>
          <w:lang w:val="en-US" w:eastAsia="fr-FR"/>
        </w:rPr>
        <w:t xml:space="preserve">; die Schmerzempfindungen der Ovarialschwellung werden zur dauernden </w:t>
      </w:r>
      <w:r w:rsidRPr="00C820A0">
        <w:rPr>
          <w:rFonts w:ascii="Garamond" w:hAnsi="Garamond"/>
          <w:i/>
          <w:iCs/>
          <w:sz w:val="20"/>
          <w:szCs w:val="20"/>
          <w:lang w:val="en-US" w:eastAsia="fr-FR"/>
        </w:rPr>
        <w:t>Ovarie</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Nervenapparate der Circulation sind dem cerebralen Einfluss zugänglicher als beim Normalen: es besteht nervöses Herzklopfen, Neigung zur Synkope, excessives Erröthen und Erblassen u. s. f.</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Aber allerdings nicht bloss centralen Einflüssen gegenüber sind die peripheren nervösen Apparate leichter errregbar: sie reagiren auch auf die adäquaten, functionellen Reize in excessiver und perverser Weise. Das Herzklopfen folgt mässiger Anstrengung wie gemütlicher Aufregung, und die Vasomotoren bringen Arterien zur Contraction („absterbende Finger“) ohne allen psychischen Einfluss. Und gerade wie einem leichten Trauma die Gelenksneurose folgt, so hinterlässt eine kurze Bronchitis nervöses Asthma und eine Indigestion häufige Cardialgie. So müssen wir anerkennen, dass die Zugänglichkeit für Erregungssummen centralen Ursprungs nur ein Specialfall der allgemeinen abnormen Erregbarkeit ist,</w:t>
      </w:r>
      <w:hyperlink r:id="rId1994" w:anchor="cite_note-17" w:history="1">
        <w:r w:rsidRPr="00C820A0">
          <w:rPr>
            <w:rFonts w:ascii="Garamond" w:hAnsi="Garamond"/>
            <w:color w:val="0000FF"/>
            <w:sz w:val="20"/>
            <w:szCs w:val="20"/>
            <w:u w:val="single"/>
            <w:vertAlign w:val="superscript"/>
            <w:lang w:val="en-US" w:eastAsia="fr-FR"/>
          </w:rPr>
          <w:t>[18]</w:t>
        </w:r>
      </w:hyperlink>
      <w:r w:rsidRPr="00C820A0">
        <w:rPr>
          <w:rFonts w:ascii="Garamond" w:hAnsi="Garamond"/>
          <w:sz w:val="20"/>
          <w:szCs w:val="20"/>
          <w:lang w:val="en-US" w:eastAsia="fr-FR"/>
        </w:rPr>
        <w:t xml:space="preserve"> wenn auch der für unser Thema wichtigste.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glaube darum auch nicht, dass die alte „Reflextheorie“ dieser Symptome, die man vielleicht besser einfach „nervöse“ nennen würde, die aber zu dem empirischen Krankheitsbilde der Hysterie gehören, ganz zu verwerfen ist. Das Erbrechen, das ja die Dehnung des graviden Uterus begleitet, kann bei abnormer Erregbarkeit ganz wohl von geringfügigen uterinen Reizen reflectorisch ausgelöst werden; ja vielleicht auch von den wechselnden Schwellungen der Ovarien. Wir kennen so viele Fernwirkungen von Organveränderungen, so viele sonderbar „conjugirte Punkte“, dass es nicht abzuweisen ist, eine Menge nervöser Symptome, welche das einemal psychisch bedingt sind, möchten in anderen Fällen </w:t>
      </w:r>
      <w:r w:rsidRPr="00C820A0">
        <w:rPr>
          <w:rFonts w:ascii="Garamond" w:hAnsi="Garamond"/>
          <w:color w:val="666666"/>
          <w:sz w:val="20"/>
          <w:szCs w:val="20"/>
          <w:lang w:val="en-US" w:eastAsia="fr-FR"/>
        </w:rPr>
        <w:t>[</w:t>
      </w:r>
      <w:hyperlink r:id="rId1995" w:tooltip="Seite:De Studien über Hysterie 213.jpg" w:history="1">
        <w:r w:rsidRPr="00C820A0">
          <w:rPr>
            <w:rFonts w:ascii="Garamond" w:hAnsi="Garamond"/>
            <w:b/>
            <w:bCs/>
            <w:color w:val="0000FF"/>
            <w:sz w:val="20"/>
            <w:szCs w:val="20"/>
            <w:u w:val="single"/>
            <w:lang w:val="en-US" w:eastAsia="fr-FR"/>
          </w:rPr>
          <w:t>213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reflectorische Fernwirkungen sein. Ja, ich wage die höchst unmoderne Ketzerei, es könnte doch einmal auch die Bewegungsschwäche eines Beines nicht psychisch, sondern direct reflectorisch durch eine Genitalkrankheit bedingt sein. Ich meine, wir thun gut, unsere neuen Einsichten nicht allzu ausschliesslich gelten zu lassen und für alle Fälle zu generalisiren.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Andere Formen abnormer sensibler Erregbarkeit entziehen sich unserem Verständnisse noch vollständig; so die allgemeine Analgesie, die anästhetischen Plaques, die reale Gesichtsfeldeinengung u. dgl. m. Es ist möglich und vielleicht wahrscheinlich, dass weitere Beobachtungen den psychischen Ursprung des einen oder anderen dieser Stigmen nachweisen und damit das Symptom erklären werden; bisher ist das nicht geschehen; (ich wage nicht, die Anhaltspunkte, welche unsere Beobachtung I gibt, zu verallgemeinern), und ich halte es nicht für gerechtfertigt, bevor eine solche Ableitung gelungen ist, sie zu präsumiren.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Dagegen scheint die bezeichnete Eigenart des Nervensystems und der Psyche einige allbekannte Eigenschaften vieler Hysterischen zu erklären. Der Ueberschuss von Erregung, welchen ihr Nervensystem in der Ruhe frei macht bedingt ihre Unfähigkeit, ein monotones Leben und Langweile zu ertragen; ihr Sensationsbedürfniss, welches sie dazu treibt, nach Ausbruch der Krankheit die Eintönigkeit der Krankenexistenz durch allerlei „Ereignisse“ zu unterbrechen, als welche sich naturgemäss vor allem pathologische Phänomene darbieten. Die Autosuggestion unterstützt sie darin oft. Sie werden darin immer weiter geführt durch ihr Krankheitsbedürfniss, jenen merkwürdigen Zug, der für die </w:t>
      </w:r>
      <w:r w:rsidRPr="00C820A0">
        <w:rPr>
          <w:rFonts w:ascii="Garamond" w:hAnsi="Garamond"/>
          <w:sz w:val="20"/>
          <w:szCs w:val="20"/>
          <w:lang w:val="en-US" w:eastAsia="fr-FR"/>
        </w:rPr>
        <w:lastRenderedPageBreak/>
        <w:t xml:space="preserve">Hysterie so pathognomonisch ist, wie die Krankheitsfurcht für die Hypochondrie. Ich kenne eine Hysterica, welche ihre oft recht bedeutenden Selbstbeschädigungen nur für den eigenen Gebrauch vornahm, ohne dass Umgebung und Arzt davon erfuhren. Wenn nichts anderes, so vollzog sie, allein im Zimmer, allerlei Unfug, nur um sich selbst zu beweisen, sie sei nicht normal. Sie hat eben ein deutliches Gefühl ihrer Krankhaftigkeit, erfüllt ihre Pflichten ungenügend und schafft sich durch solche Acte die Rechtfertigung vor sich selbst. Eine andere Kranke, eine schwerleidende Frau von krankhafter Gewissenhaftigkeit und voll Misstrauen gegen sich selbst, empfindet jedes hysterische Phänomen als Schuld; „weil sie das ja wohl nicht haben müsste, wenn sie nur ordentlich wollte“. Als die Parese ihrer Beine irrigerweise für eine spinale Krankheit erklärt wurde, empfand sie das </w:t>
      </w:r>
      <w:r w:rsidRPr="00C820A0">
        <w:rPr>
          <w:rFonts w:ascii="Garamond" w:hAnsi="Garamond"/>
          <w:color w:val="666666"/>
          <w:sz w:val="20"/>
          <w:szCs w:val="20"/>
          <w:lang w:val="en-US" w:eastAsia="fr-FR"/>
        </w:rPr>
        <w:t>[</w:t>
      </w:r>
      <w:hyperlink r:id="rId1996" w:tooltip="Seite:De Studien über Hysterie 214.jpg" w:history="1">
        <w:r w:rsidRPr="00C820A0">
          <w:rPr>
            <w:rFonts w:ascii="Garamond" w:hAnsi="Garamond"/>
            <w:b/>
            <w:bCs/>
            <w:color w:val="0000FF"/>
            <w:sz w:val="20"/>
            <w:szCs w:val="20"/>
            <w:u w:val="single"/>
            <w:lang w:val="en-US" w:eastAsia="fr-FR"/>
          </w:rPr>
          <w:t>214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als eine Erlösung, und die Erklärung, es sei „nur nervös“ und werde vergehen, genügte, um ihr schwere Gewissensangst zu erzeugen. Das Krankheitsbedürfniss entspringt der Sehnsucht der Patientin, sich und andere von der Realität ihrer Krankheit zu überzeugen. Wenn es sich dann zu der Pein gesellt, welche durch die Monotonie des Krankenzimmers bedingt wird, so entwickelt sich die Neigung, immer neue Symptome zu haben, auf’s stärkste.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diese aber zur Verlogenheit wird und zu wirklicher Simulation führt – und ich glaube, wir gehen jetzt in der Ablehnung der Simulation gerade so zu weit, wie früher in ihrer Annahme – dann beruht das nicht auf der hysterischen Disposition, sondern, wie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vortrefflich sagt, auf der Complication derselben mit andern Degenerationen, originärer moralischer Minderwertigkeit. Gerade wie die „bösartige Hysterica“ dadurch entsteht, dass ein originär erregbarer, aber gemütsarmer Mensch noch der egoistischen Charakterverkümmerung anheimfallt, welche chronisches Siechthum so leicht erzeugt. Die „bösartige Hysterica“ ist übrigens kaum häufiger als der bösartige Tabiker späterer Stadien.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Auch in der motorischen Sphäre erzeugt der Erregungsüberschuss pathologische Phänomene. So geartete Kinder entwickeln sehr leicht tickartige Bewegungen, welche, zuerst angeregt durch irgend eine Empfindung in den Augen oder im Gesichte oder durch die Gêne eines Kleidungsstückes, alsbald Dauer gewinnen, wenn sie nicht sogleich bekämpft werden. Die Reflexbahnen werden sehr leicht und rasch „ausgefahren“.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ist auch nicht abzuweisen, dass es einen rein motorischen, von jedem psychischen Factor unabhängigen Krampfanfall gebe, in dem sich nur die durch Summation angehäufte Erregungsmasse entlädt, geradeso wie die durch anatomische Veränderungen bedingte Reizmasse im epileptischen Anfalle. Das wäre der nicht ideogene hysterische Krampf.</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Wir sehen so oft Adolescenten, welche zwar erregbar, aber gesund waren, während der Pubertätsentwicklung an Hysterie erkranken, dass wir uns fragen müssen, ob dieser Process nicht dort die Disposition schafft, wo sie originär noch nicht vorhanden ist. Und allerdings müssen wir ihm mehr zuschreiben als die einfache Steigerung des Erregungsquantums; die Geschlechtsreifung greift im ganzen Nervensystem an, überall die Erregbarkeit steigernd und die Widerstände herabsetzend. Das lehrt die Beobachtung der nicht hysterischen Adolescenten, und </w:t>
      </w:r>
      <w:r w:rsidRPr="00C820A0">
        <w:rPr>
          <w:rFonts w:ascii="Garamond" w:hAnsi="Garamond"/>
          <w:color w:val="666666"/>
          <w:sz w:val="20"/>
          <w:szCs w:val="20"/>
          <w:lang w:val="en-US" w:eastAsia="fr-FR"/>
        </w:rPr>
        <w:t>[</w:t>
      </w:r>
      <w:hyperlink r:id="rId1997" w:tooltip="Seite:De Studien über Hysterie 215.jpg" w:history="1">
        <w:r w:rsidRPr="00C820A0">
          <w:rPr>
            <w:rFonts w:ascii="Garamond" w:hAnsi="Garamond"/>
            <w:b/>
            <w:bCs/>
            <w:color w:val="0000FF"/>
            <w:sz w:val="20"/>
            <w:szCs w:val="20"/>
            <w:u w:val="single"/>
            <w:lang w:val="en-US" w:eastAsia="fr-FR"/>
          </w:rPr>
          <w:t>215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wir sind darum berechtigt zu glauben, dass sie auch die hysterische Disposition herstelle, soweit diese eben in dieser Eigenschaft des Nervensystems besteht. Damit anerkennen wir bereits die Sexualität als einen der grossen Componenten der Hysterie. Wir werden sehen, dass ihr Antheil daran ein noch viel grösserer ist, und dass sie auf den verschiedensten Wegen zum Aufbau der Krankheit mitwirkt.</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8"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die Stigmata direct dem originären Mutterboden der Hysterie entspringen und nicht ideogenen Ursprungs sind, so ist es auch unmöglich, die Ideogenie so in den Mittelpunkt der Hysterie zu stellen, wie es heute manchmal geschieht. Was könnte denn echter hysterisch sein als die Stigmata, jene pathognomonischen Befunde, welche die Diagnose feststellen, und doch scheinen gerade diese nicht ideogen. Aber wenn die Basis der Hysterie eine Eigenart des ganzen Nervensystems ist, – auf ihr erhebt sich der Complex von ideogenen, psychisch bedingten Symptomen wie ein Gebäude auf den Fundamenten. Und es ist </w:t>
      </w:r>
      <w:r w:rsidRPr="00C820A0">
        <w:rPr>
          <w:rFonts w:ascii="Garamond" w:hAnsi="Garamond"/>
          <w:i/>
          <w:iCs/>
          <w:sz w:val="20"/>
          <w:szCs w:val="20"/>
          <w:lang w:val="en-US" w:eastAsia="fr-FR"/>
        </w:rPr>
        <w:t>ein mehrstöckiges Gebäude</w:t>
      </w:r>
      <w:r w:rsidRPr="00C820A0">
        <w:rPr>
          <w:rFonts w:ascii="Garamond" w:hAnsi="Garamond"/>
          <w:sz w:val="20"/>
          <w:szCs w:val="20"/>
          <w:lang w:val="en-US" w:eastAsia="fr-FR"/>
        </w:rPr>
        <w:t>. Wie man die Structur eines solchen nur dann verstehen kann, wenn man den Grundriss der verschiedenen Stockwerke unterscheidet, so, meine ich, ist das Verständniss der Hysterie davon bedingt, dass die verschiedenartige Complication der Symptomursachen beachtet wird. Sieht man davon ab und versucht die Erklärung der Hysterie mit Benützung eines einzigen Causalnexus durchzuführen, so bleibt immer ein sehr grosser Rest unerklärter Phänomene übrig; es ist gerade, als wollte man die verschiedenen Gelasse eines mehrstöckigen Hauses auf dem Grundriss eines Stockwerkes eintragen.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Wie die Stigmata ist eine Reihe anderer nervöser Symptome, wie wir oben sahen, nicht durch Vorstellungen veranlasst, sondern directe Folge der fundamentalen Anomalie des Nervensystems: manche Algien, vasomotorische Phänomene, vielleicht der rein motorische Krampfanfall.</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Ihnen zunächst stehen die ideogenen Phänomene, welche einfach Conversionen affectiver Erregung sind (pag. 177). Sie entstehen als Wirkungen von Affecten in Menschen von hysterischer Disposition und sind zunächst nur „anomaler Ausdruck der Gemüthsbewegungen (</w:t>
      </w:r>
      <w:r w:rsidRPr="00C820A0">
        <w:rPr>
          <w:rFonts w:ascii="Garamond" w:hAnsi="Garamond"/>
          <w:i/>
          <w:iCs/>
          <w:sz w:val="20"/>
          <w:szCs w:val="20"/>
          <w:lang w:val="en-US" w:eastAsia="fr-FR"/>
        </w:rPr>
        <w:t>Oppenheim</w:t>
      </w:r>
      <w:r w:rsidRPr="00C820A0">
        <w:rPr>
          <w:rFonts w:ascii="Garamond" w:hAnsi="Garamond"/>
          <w:sz w:val="20"/>
          <w:szCs w:val="20"/>
          <w:lang w:val="en-US" w:eastAsia="fr-FR"/>
        </w:rPr>
        <w:t>)</w:t>
      </w:r>
      <w:hyperlink r:id="rId1998" w:anchor="cite_note-18" w:history="1">
        <w:r w:rsidRPr="00C820A0">
          <w:rPr>
            <w:rFonts w:ascii="Garamond" w:hAnsi="Garamond"/>
            <w:color w:val="0000FF"/>
            <w:sz w:val="20"/>
            <w:szCs w:val="20"/>
            <w:u w:val="single"/>
            <w:vertAlign w:val="superscript"/>
            <w:lang w:val="en-US" w:eastAsia="fr-FR"/>
          </w:rPr>
          <w:t>[19]</w:t>
        </w:r>
      </w:hyperlink>
      <w:r w:rsidRPr="00C820A0">
        <w:rPr>
          <w:rFonts w:ascii="Garamond" w:hAnsi="Garamond"/>
          <w:sz w:val="20"/>
          <w:szCs w:val="20"/>
          <w:lang w:val="en-US" w:eastAsia="fr-FR"/>
        </w:rPr>
        <w:t xml:space="preserve">). Dieser wird durch Wiederholung zu einem wirklichen, scheinbar rein somatischen hysterischen Symptom, während die veranlassende Vorstellung unmerklich wird (pag. 180) oder abgewehrt und </w:t>
      </w:r>
      <w:r w:rsidRPr="00C820A0">
        <w:rPr>
          <w:rFonts w:ascii="Garamond" w:hAnsi="Garamond"/>
          <w:color w:val="666666"/>
          <w:sz w:val="20"/>
          <w:szCs w:val="20"/>
          <w:lang w:val="en-US" w:eastAsia="fr-FR"/>
        </w:rPr>
        <w:t>[</w:t>
      </w:r>
      <w:hyperlink r:id="rId1999" w:tooltip="Seite:De Studien über Hysterie 216.jpg" w:history="1">
        <w:r w:rsidRPr="00C820A0">
          <w:rPr>
            <w:rFonts w:ascii="Garamond" w:hAnsi="Garamond"/>
            <w:b/>
            <w:bCs/>
            <w:color w:val="0000FF"/>
            <w:sz w:val="20"/>
            <w:szCs w:val="20"/>
            <w:u w:val="single"/>
            <w:lang w:val="en-US" w:eastAsia="fr-FR"/>
          </w:rPr>
          <w:t>216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darum aus dem Bewusstsein verdrängt ist. Die meisten und wichtigsten der abgewehrten und convertirten Vorstellungen haben sexualen Inhalt. Sie liegen einem grossen Theil der Pubertätshysterie zu Grunde. Die heranreifenden Mädchen, – um diese handelt es sich hauptsächlich – verhalten sich zu den sexualen Vorstellungen und Empfindungen, die auf sie eindringen, sehr verschieden. Bald mit voller Unbefangenheit, wobei die einen das ganze Gebiet ignoriren und übersehen. Die andern nehmen sie so an wie die </w:t>
      </w:r>
      <w:r w:rsidRPr="00C820A0">
        <w:rPr>
          <w:rFonts w:ascii="Garamond" w:hAnsi="Garamond"/>
          <w:sz w:val="20"/>
          <w:szCs w:val="20"/>
          <w:lang w:val="en-US" w:eastAsia="fr-FR"/>
        </w:rPr>
        <w:lastRenderedPageBreak/>
        <w:t>Knaben; das ist bei Bauern- und Arbeitermädchen wohl die Regel. Wieder andere haschen mit mehr oder minder perverser Neugier nach allem, was Gespräch und Lectüre ihnen an Sexualem bringt; und endlich die feinorganisirten Naturen von grosser sexualer Erregbarkeit, aber ebenso grosser moralischer Reinheit, welche alles Sexuale als unvereinbar mit ihrem sittlichen Inhalt empfinden, als Beschmutzung und Befleckung.</w:t>
      </w:r>
      <w:hyperlink r:id="rId2000" w:anchor="cite_note-19" w:history="1">
        <w:r w:rsidRPr="00C820A0">
          <w:rPr>
            <w:rFonts w:ascii="Garamond" w:hAnsi="Garamond"/>
            <w:color w:val="0000FF"/>
            <w:sz w:val="20"/>
            <w:szCs w:val="20"/>
            <w:u w:val="single"/>
            <w:vertAlign w:val="superscript"/>
            <w:lang w:eastAsia="fr-FR"/>
          </w:rPr>
          <w:t>[20]</w:t>
        </w:r>
      </w:hyperlink>
      <w:r w:rsidRPr="00C820A0">
        <w:rPr>
          <w:rFonts w:ascii="Garamond" w:hAnsi="Garamond"/>
          <w:sz w:val="20"/>
          <w:szCs w:val="20"/>
          <w:lang w:eastAsia="fr-FR"/>
        </w:rPr>
        <w:t xml:space="preserve"> Diese verdrängen die Sexualität aus ihrem Bewusstsein und die affectiven Vorstellungen solchen Inhaltes, welche somatische Phänomene verursacht haben, werden als „abgewehrte“ unbewusst.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Die Neigung zur Abwehr des Sexualen wird noch verstärkt dadurch, dass die sinnliche Erregung bei der Jungfrau eine Beimischung von Angst hat, die Furcht vor dem Unbekannten, Geahnten, was kommen wird, während sie bei dem natürlichen, gesunden, jungen Manne, ein unvermischt aggressiver Trieb ist. </w:t>
      </w:r>
      <w:r w:rsidRPr="00C820A0">
        <w:rPr>
          <w:rFonts w:ascii="Garamond" w:hAnsi="Garamond"/>
          <w:sz w:val="20"/>
          <w:szCs w:val="20"/>
          <w:lang w:val="en-US" w:eastAsia="fr-FR"/>
        </w:rPr>
        <w:t>Das Mädchen ahnt im Eros die furchtbare Macht, die ihr Schicksal beherrscht und entscheidet, und wird durch sie geängstigt. Um so grösser ist die Neigung, wegzublicken und das Aengstigende aus dem Bewusstsein zu verdrängen.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Die Ehe bringt neue sexuale Traumen. Es ist zu wundern, dass die Brautnacht nicht häufiger pathogen wirkt, da sie doch leider so oft nicht erotische Verführung, sondern Nothzucht zum Inhalt hat. Aber freilich sind ja auch die Hysterien junger Frauen nicht selten, welche darauf zurückzuführen sind und schwinden, wenn sich im Verlauf der Zeit der Sexualgenuss eingestellt und das Trauma verwischt hat. Auch im weiteren Verlauf vieler Ehen kommen sexuale Traumen vor. Jene Krankengeschichten, von deren Publication wir absehen mussten, enthalten davon eine grosse Zahl, perverse Anforderungen des Mannes, unnatürliche Praktiken u. s. w. Ich glaube nicht zu übertreiben, </w:t>
      </w:r>
      <w:r w:rsidRPr="00C820A0">
        <w:rPr>
          <w:rFonts w:ascii="Garamond" w:hAnsi="Garamond"/>
          <w:color w:val="666666"/>
          <w:sz w:val="20"/>
          <w:szCs w:val="20"/>
          <w:lang w:eastAsia="fr-FR"/>
        </w:rPr>
        <w:t>[</w:t>
      </w:r>
      <w:hyperlink r:id="rId2001" w:tooltip="Seite:De Studien über Hysterie 217.jpg" w:history="1">
        <w:r w:rsidRPr="00C820A0">
          <w:rPr>
            <w:rFonts w:ascii="Garamond" w:hAnsi="Garamond"/>
            <w:b/>
            <w:bCs/>
            <w:color w:val="0000FF"/>
            <w:sz w:val="20"/>
            <w:szCs w:val="20"/>
            <w:u w:val="single"/>
            <w:lang w:eastAsia="fr-FR"/>
          </w:rPr>
          <w:t>217</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wenn ich behaupte, </w:t>
      </w:r>
      <w:r w:rsidRPr="00C820A0">
        <w:rPr>
          <w:rFonts w:ascii="Garamond" w:hAnsi="Garamond"/>
          <w:i/>
          <w:iCs/>
          <w:sz w:val="20"/>
          <w:szCs w:val="20"/>
          <w:lang w:eastAsia="fr-FR"/>
        </w:rPr>
        <w:t>die grosse Mehrzahl der schweren Neurosen bei Frauen entstamme dem Ehebett</w:t>
      </w:r>
      <w:r w:rsidRPr="00C820A0">
        <w:rPr>
          <w:rFonts w:ascii="Garamond" w:hAnsi="Garamond"/>
          <w:sz w:val="20"/>
          <w:szCs w:val="20"/>
          <w:lang w:eastAsia="fr-FR"/>
        </w:rPr>
        <w:t>.</w:t>
      </w:r>
      <w:hyperlink r:id="rId2002" w:anchor="cite_note-20" w:history="1">
        <w:r w:rsidRPr="00C820A0">
          <w:rPr>
            <w:rFonts w:ascii="Garamond" w:hAnsi="Garamond"/>
            <w:color w:val="0000FF"/>
            <w:sz w:val="20"/>
            <w:szCs w:val="20"/>
            <w:u w:val="single"/>
            <w:vertAlign w:val="superscript"/>
            <w:lang w:val="en-US" w:eastAsia="fr-FR"/>
          </w:rPr>
          <w:t>[21]</w:t>
        </w:r>
      </w:hyperlink>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Ein Theil der sexualen Noxen, der wesentlich in ungenügender Befriedigung besteht, (coitus interruptus, ejaculatio praecox u. s. f.), führt nach der Entdeckung </w:t>
      </w:r>
      <w:r w:rsidRPr="00C820A0">
        <w:rPr>
          <w:rFonts w:ascii="Garamond" w:hAnsi="Garamond"/>
          <w:i/>
          <w:iCs/>
          <w:sz w:val="20"/>
          <w:szCs w:val="20"/>
          <w:lang w:val="en-US" w:eastAsia="fr-FR"/>
        </w:rPr>
        <w:t>Freud’s</w:t>
      </w:r>
      <w:hyperlink r:id="rId2003" w:anchor="cite_note-21" w:history="1">
        <w:r w:rsidRPr="00C820A0">
          <w:rPr>
            <w:rFonts w:ascii="Garamond" w:hAnsi="Garamond"/>
            <w:color w:val="0000FF"/>
            <w:sz w:val="20"/>
            <w:szCs w:val="20"/>
            <w:u w:val="single"/>
            <w:vertAlign w:val="superscript"/>
            <w:lang w:val="en-US" w:eastAsia="fr-FR"/>
          </w:rPr>
          <w:t>[22]</w:t>
        </w:r>
      </w:hyperlink>
      <w:r w:rsidRPr="00C820A0">
        <w:rPr>
          <w:rFonts w:ascii="Garamond" w:hAnsi="Garamond"/>
          <w:sz w:val="20"/>
          <w:szCs w:val="20"/>
          <w:lang w:val="en-US" w:eastAsia="fr-FR"/>
        </w:rPr>
        <w:t xml:space="preserve"> nicht zu Hysterie, sondern zur Angstneurose. Doch meine ich, wird auch in solchen Fällen häufig genug die Erregung des Sexualaffectes in hysterische somatische Phänomene convertirt.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ist selbstverständlich und geht auch aus unsern Beobachtungen zur Genüge hervor, dass die nicht sexualen Affecte des Schrecks, der Angst, des Zornes zur Entstehung hysterischer Phänomene führen. Aber es ist vielleicht nicht überflüssig, immer wieder zu betonen, dass das sexuale Moment weitaus das wichtigste und pathologisch fruchtbarste ist. Die naive Beobachtung unserer Vorgänger, deren Rest wir im Worte „Hysterie“ bewahren, ist der Wahrheit näher gekommen als die neuere Anschauung, welche die Sexualität fast in letzte Linie stellt, um die Kranken vor moralischem Vorwurfe zu bewahren. Gewiss sind die sexualen Bedürfnisse der Hysterischen gerade so individuell verschieden gross und nicht stärker als bei den Gesunden. Aber sie erkranken an ihnen und zwar grossentheils gerade durch ihre Bekämpfung, durch die Abwehr der Sexualität.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Neben der sexualen muss hier an die Schreckhysterie erinnert werden, die eigentlich traumatische Hysterie. Sie bildet eine der bestgekannten und anerkannten Hysterieformen.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Sozusagen in der gleichen Schicht mit den Phänomenen, welche durch Conversion von Affecterregung entstanden sind, liegen diejenigen, welche der Suggestion (meist Autosuggestion) bei originär suggestiblen Individuen ihren Ursprung verdanken. Hochgradige Suggestibilität, d. h. hemmungsloses Uebergewicht frisch erregter Vorstellungen gehört nicht zum Wesen der Hysterie; sie kann sich aber bei hysterisch Disponirten als Complication vorfinden, bei denen eben diese Eigenart des Nervensystems die körperliche Realisirung der überwertigen Vorstellungen </w:t>
      </w:r>
      <w:r w:rsidRPr="00C820A0">
        <w:rPr>
          <w:rFonts w:ascii="Garamond" w:hAnsi="Garamond"/>
          <w:color w:val="666666"/>
          <w:sz w:val="20"/>
          <w:szCs w:val="20"/>
          <w:lang w:val="en-US" w:eastAsia="fr-FR"/>
        </w:rPr>
        <w:t>[</w:t>
      </w:r>
      <w:hyperlink r:id="rId2004" w:tooltip="Seite:De Studien über Hysterie 218.jpg" w:history="1">
        <w:r w:rsidRPr="00C820A0">
          <w:rPr>
            <w:rFonts w:ascii="Garamond" w:hAnsi="Garamond"/>
            <w:b/>
            <w:bCs/>
            <w:color w:val="0000FF"/>
            <w:sz w:val="20"/>
            <w:szCs w:val="20"/>
            <w:u w:val="single"/>
            <w:lang w:val="en-US" w:eastAsia="fr-FR"/>
          </w:rPr>
          <w:t>218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ermöglicht. Es sind übrigens meistens doch nur affective Vorstellungen, welche suggestiv in somatischen Phänomenen realisirt werden, und so kann man den Vorgang oft auch als Conversion des begleitenden Schreck- oder Angstaffects auffassen.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Diese Processe der </w:t>
      </w:r>
      <w:r w:rsidRPr="00C820A0">
        <w:rPr>
          <w:rFonts w:ascii="Garamond" w:hAnsi="Garamond"/>
          <w:i/>
          <w:iCs/>
          <w:sz w:val="20"/>
          <w:szCs w:val="20"/>
          <w:lang w:val="en-US" w:eastAsia="fr-FR"/>
        </w:rPr>
        <w:t>Affectconversion</w:t>
      </w:r>
      <w:r w:rsidRPr="00C820A0">
        <w:rPr>
          <w:rFonts w:ascii="Garamond" w:hAnsi="Garamond"/>
          <w:sz w:val="20"/>
          <w:szCs w:val="20"/>
          <w:lang w:val="en-US" w:eastAsia="fr-FR"/>
        </w:rPr>
        <w:t xml:space="preserve"> und der </w:t>
      </w:r>
      <w:r w:rsidRPr="00C820A0">
        <w:rPr>
          <w:rFonts w:ascii="Garamond" w:hAnsi="Garamond"/>
          <w:i/>
          <w:iCs/>
          <w:sz w:val="20"/>
          <w:szCs w:val="20"/>
          <w:lang w:val="en-US" w:eastAsia="fr-FR"/>
        </w:rPr>
        <w:t>Suggestion</w:t>
      </w:r>
      <w:r w:rsidRPr="00C820A0">
        <w:rPr>
          <w:rFonts w:ascii="Garamond" w:hAnsi="Garamond"/>
          <w:sz w:val="20"/>
          <w:szCs w:val="20"/>
          <w:lang w:val="en-US" w:eastAsia="fr-FR"/>
        </w:rPr>
        <w:t xml:space="preserve"> bleiben identisch auch in den complicirten Formen von Hysterie, die nun zu betrachten sind; sie finden dort nur günstigere Bedingungen; aber psychisch bedingte hysterische Phänomene entstehen immer durch einen dieser beiden Vorgänge.</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49"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Jenes dritte Constituens der hysterischen Disposition, welches in manchen Fällen zu den früher besprochenen hinzutritt, die Conversion wie die Suggestion in höchstem Maasse begünstigt und erleichtert und dadurch sozusagen über den kleinen Hysterien, die nur einzelne hysterische Phänomene zeigen, das weitere Stockwerk der grossen Hysterie aufbaut, ist das </w:t>
      </w:r>
      <w:r w:rsidRPr="00C820A0">
        <w:rPr>
          <w:rFonts w:ascii="Garamond" w:hAnsi="Garamond"/>
          <w:i/>
          <w:iCs/>
          <w:sz w:val="20"/>
          <w:szCs w:val="20"/>
          <w:lang w:eastAsia="fr-FR"/>
        </w:rPr>
        <w:t>Hypnoid</w:t>
      </w:r>
      <w:r w:rsidRPr="00C820A0">
        <w:rPr>
          <w:rFonts w:ascii="Garamond" w:hAnsi="Garamond"/>
          <w:sz w:val="20"/>
          <w:szCs w:val="20"/>
          <w:lang w:eastAsia="fr-FR"/>
        </w:rPr>
        <w:t>, die Neigung zur Autohypnose (pag. 187). Sie constituirt einen, zunächst nur vorübergehenden und mit dem normalen alternirenden Zustand, dem wir dieselbe Steigerung der psychischen Einwirkung auf den Körper zuschreiben dürfen, die wir in der artificiellen Hypnose beobachten; diese Einwirkung ist hier umso intensiver und tiefer greifend, als sie ein Nervensystem betrifft, welches schon ausserhalb der Hypnose von anomaler Erregbarkeit ist.</w:t>
      </w:r>
      <w:hyperlink r:id="rId2005" w:anchor="cite_note-22" w:history="1">
        <w:r w:rsidRPr="00C820A0">
          <w:rPr>
            <w:rFonts w:ascii="Garamond" w:hAnsi="Garamond"/>
            <w:color w:val="0000FF"/>
            <w:sz w:val="20"/>
            <w:szCs w:val="20"/>
            <w:u w:val="single"/>
            <w:vertAlign w:val="superscript"/>
            <w:lang w:val="en-US" w:eastAsia="fr-FR"/>
          </w:rPr>
          <w:t>[23]</w:t>
        </w:r>
      </w:hyperlink>
      <w:r w:rsidRPr="00C820A0">
        <w:rPr>
          <w:rFonts w:ascii="Garamond" w:hAnsi="Garamond"/>
          <w:sz w:val="20"/>
          <w:szCs w:val="20"/>
          <w:lang w:val="en-US" w:eastAsia="fr-FR"/>
        </w:rPr>
        <w:t xml:space="preserve"> In wie weit und in welchen Fällen die Neigung zur Autohypnose originäre Eigenschaft des Organismus ist, wissen wir nicht. Ich habe oben (pag. 191), die Ansicht ansgesprochen, dass sie sich aus affecterfüllter Träumerei entwickle. Aber sicher gehört auch hiezu originäre Disposition. Wenn jene Ansicht richtig ist, so wird auch hier deutlich, wie grosser Einfluss auf die Entwicklung der Hysterie der Sexualität zuzuschreiben ist. Denn es gibt ausser der Krankenpflege keinen psychischen Factor, der so wie die Liebessehnsucht geeignet ist, affecterfüllte Träumerei zu erzeugen. Und überdies ist der sexuale Organismus </w:t>
      </w:r>
      <w:r w:rsidRPr="00C820A0">
        <w:rPr>
          <w:rFonts w:ascii="Garamond" w:hAnsi="Garamond"/>
          <w:color w:val="666666"/>
          <w:sz w:val="20"/>
          <w:szCs w:val="20"/>
          <w:lang w:val="en-US" w:eastAsia="fr-FR"/>
        </w:rPr>
        <w:t>[</w:t>
      </w:r>
      <w:hyperlink r:id="rId2006" w:tooltip="Seite:De Studien über Hysterie 219.jpg" w:history="1">
        <w:r w:rsidRPr="00C820A0">
          <w:rPr>
            <w:rFonts w:ascii="Garamond" w:hAnsi="Garamond"/>
            <w:b/>
            <w:bCs/>
            <w:color w:val="0000FF"/>
            <w:sz w:val="20"/>
            <w:szCs w:val="20"/>
            <w:u w:val="single"/>
            <w:lang w:val="en-US" w:eastAsia="fr-FR"/>
          </w:rPr>
          <w:t>219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selbst mit seiner Fülle von Affect und der Einengung des Bewusstseins den hypnoiden Zuständen nahe verwandt.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 Hypnoid tritt am deutlichsten in die Erscheinung als hysterischer Anfall, und in jenem Zustande, den man als acute Hysterie bezeichnen kann und der, wie es scheint, in der Entwicklung der grossen Hysterie eine so bedeutende </w:t>
      </w:r>
      <w:r w:rsidRPr="00C820A0">
        <w:rPr>
          <w:rFonts w:ascii="Garamond" w:hAnsi="Garamond"/>
          <w:sz w:val="20"/>
          <w:szCs w:val="20"/>
          <w:lang w:val="en-US" w:eastAsia="fr-FR"/>
        </w:rPr>
        <w:lastRenderedPageBreak/>
        <w:t>Rolle spielt (pag. 207). Es sind dies lange, oft mehrere Monate dauernde, deutlich psychotische Zustände, die man oft geradezu als hallucinatorische Verworrenheit bezeichnen muss; auch wenn die Störung nicht so weit geht, treten in solchem Zustande mannigfache hysterische Phänomene auf, von denen einige auch weiterhin persistiren. Der psychische Inhalt dieser Zustände besteht zum Theil gerade aus den Vorstellungen, welche im wachen Leben abgewehrt und aus dem Bewusstsein verdrängt worden sind; („hysterische Delirien der Heiligen und Nonnen, der enthaltsamen Frauen, der wohlerzogenen Kinder.“)</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Da diese Zustände so oft geradezu Psychosen sind und doch direct und ausschliesslich der Hysterie entstammen, kann ich mich der Meinung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nicht anschliessen: „man könne, – abgesehen von den mit dem Anfalle verknüpften Delirien, von einem eigentlichen hysterischen Irresein nicht reden“.</w:t>
      </w:r>
      <w:hyperlink r:id="rId2007" w:anchor="cite_note-23" w:history="1">
        <w:r w:rsidRPr="00C820A0">
          <w:rPr>
            <w:rFonts w:ascii="Garamond" w:hAnsi="Garamond"/>
            <w:color w:val="0000FF"/>
            <w:sz w:val="20"/>
            <w:szCs w:val="20"/>
            <w:u w:val="single"/>
            <w:vertAlign w:val="superscript"/>
            <w:lang w:eastAsia="fr-FR"/>
          </w:rPr>
          <w:t>[24]</w:t>
        </w:r>
      </w:hyperlink>
      <w:r w:rsidRPr="00C820A0">
        <w:rPr>
          <w:rFonts w:ascii="Garamond" w:hAnsi="Garamond"/>
          <w:sz w:val="20"/>
          <w:szCs w:val="20"/>
          <w:lang w:eastAsia="fr-FR"/>
        </w:rPr>
        <w:t xml:space="preserve"> Diese Zustände sind in vielen Fällen ein solches; und auch im weitern Verlauf der Hysterie wiederholen sich solche Psychosen, die freilich im Wesen nichts anderes sind als das psychotische Stadium des Anfalles, aber bei monatelanger Dauer doch nicht wohl als Anfälle bezeichnet werden können.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Wie entstehen diese acuten Hysterien? In dem bestbekannten Falle (Beobachtung I) entwickelte sie sich aus der Häufung der Hypnoidattaquen; in einem anderen Falle (von schon bestehender, complicirter Hysterie) im Anschluss an eine Morphinentziehung. Meist ist der Vorgang ganz dunkel und harrt der Klärung durch weitere Beobachtungen.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Für diese, hier besprochenen Hysterien gilt also der Satz von </w:t>
      </w:r>
      <w:r w:rsidRPr="00C820A0">
        <w:rPr>
          <w:rFonts w:ascii="Garamond" w:hAnsi="Garamond"/>
          <w:i/>
          <w:iCs/>
          <w:sz w:val="20"/>
          <w:szCs w:val="20"/>
          <w:lang w:val="en-US" w:eastAsia="fr-FR"/>
        </w:rPr>
        <w:t>Möbius</w:t>
      </w:r>
      <w:r w:rsidRPr="00C820A0">
        <w:rPr>
          <w:rFonts w:ascii="Garamond" w:hAnsi="Garamond"/>
          <w:sz w:val="20"/>
          <w:szCs w:val="20"/>
          <w:lang w:val="en-US" w:eastAsia="fr-FR"/>
        </w:rPr>
        <w:t>: „die der Hysterie wesentliche Veränderung besteht darin, dass vorübergehend oder dauernd der geistige Zustand des Hysterischen dem des Hypnotisirten gleicht“ (a. a. O. pag. 16).</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 Fortdauern der im Hypnoid entstandenen hysterischen Symptome während des normalen Zustandes, entspricht vollständig unsern Erfahrungen über posthypnotische Suggestion. Damit ist aber auch schon gesagt, dass Complexe von bewusstseinsunfähigen Vorstellungen </w:t>
      </w:r>
      <w:r w:rsidRPr="00C820A0">
        <w:rPr>
          <w:rFonts w:ascii="Garamond" w:hAnsi="Garamond"/>
          <w:color w:val="666666"/>
          <w:sz w:val="20"/>
          <w:szCs w:val="20"/>
          <w:lang w:val="en-US" w:eastAsia="fr-FR"/>
        </w:rPr>
        <w:t>[</w:t>
      </w:r>
      <w:hyperlink r:id="rId2008" w:tooltip="Seite:De Studien über Hysterie 220.jpg" w:history="1">
        <w:r w:rsidRPr="00C820A0">
          <w:rPr>
            <w:rFonts w:ascii="Garamond" w:hAnsi="Garamond"/>
            <w:b/>
            <w:bCs/>
            <w:color w:val="0000FF"/>
            <w:sz w:val="20"/>
            <w:szCs w:val="20"/>
            <w:u w:val="single"/>
            <w:lang w:val="en-US" w:eastAsia="fr-FR"/>
          </w:rPr>
          <w:t>220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mit den bewusst ablaufenden Ideenreihen coexistiren, dass die </w:t>
      </w:r>
      <w:r w:rsidRPr="00C820A0">
        <w:rPr>
          <w:rFonts w:ascii="Garamond" w:hAnsi="Garamond"/>
          <w:i/>
          <w:iCs/>
          <w:sz w:val="20"/>
          <w:szCs w:val="20"/>
          <w:lang w:val="en-US" w:eastAsia="fr-FR"/>
        </w:rPr>
        <w:t>Spaltung der Psyche</w:t>
      </w:r>
      <w:r w:rsidRPr="00C820A0">
        <w:rPr>
          <w:rFonts w:ascii="Garamond" w:hAnsi="Garamond"/>
          <w:sz w:val="20"/>
          <w:szCs w:val="20"/>
          <w:lang w:val="en-US" w:eastAsia="fr-FR"/>
        </w:rPr>
        <w:t xml:space="preserve"> (pag. 200) vollzogen ist. Es scheint sicher, dass diese auch ohne Hypnoid entstehen kann, aus der Fülle der abgewehrten, aus dem Bewusstsein verdrängten, aber nicht unterdrückten Vorstellungen. Auf die eine und die andere Weise entsteht ein bald ideenarmes, rudimentäres, bald dem wachen Denken mehr minder gleiches Gebiet psychischen Lebens, dessen Erkenntniss wir vor Allen </w:t>
      </w:r>
      <w:r w:rsidRPr="00C820A0">
        <w:rPr>
          <w:rFonts w:ascii="Garamond" w:hAnsi="Garamond"/>
          <w:i/>
          <w:iCs/>
          <w:sz w:val="20"/>
          <w:szCs w:val="20"/>
          <w:lang w:val="en-US" w:eastAsia="fr-FR"/>
        </w:rPr>
        <w:t>Binet</w:t>
      </w:r>
      <w:r w:rsidRPr="00C820A0">
        <w:rPr>
          <w:rFonts w:ascii="Garamond" w:hAnsi="Garamond"/>
          <w:sz w:val="20"/>
          <w:szCs w:val="20"/>
          <w:lang w:val="en-US" w:eastAsia="fr-FR"/>
        </w:rPr>
        <w:t xml:space="preserve"> und </w:t>
      </w:r>
      <w:r w:rsidRPr="00C820A0">
        <w:rPr>
          <w:rFonts w:ascii="Garamond" w:hAnsi="Garamond"/>
          <w:i/>
          <w:iCs/>
          <w:sz w:val="20"/>
          <w:szCs w:val="20"/>
          <w:lang w:val="en-US" w:eastAsia="fr-FR"/>
        </w:rPr>
        <w:t>Janet</w:t>
      </w:r>
      <w:r w:rsidRPr="00C820A0">
        <w:rPr>
          <w:rFonts w:ascii="Garamond" w:hAnsi="Garamond"/>
          <w:sz w:val="20"/>
          <w:szCs w:val="20"/>
          <w:lang w:val="en-US" w:eastAsia="fr-FR"/>
        </w:rPr>
        <w:t xml:space="preserve"> verdanken. Die Spaltung der Psyche ist die Vollendung der Hysterie; es wurde früher (Cap. V) dargelegt, wie sie die wesentlichen Charakterzüge der Krankheit erklärt. Dauernd, aber mit wechselnder Lebhaftigkeit seiner Vorstellungen, befindet sich ein Theil der Psyche des Kranken im Hypnoid, immer bereit, beim Nachlassen des wachen Denkens die Herrschaft über den ganzen Menschen zu gewinnen (Anfall, Delirium). Das geschieht, sobald ein starker Affect den normalen Vorstellungsablauf stört, in Dämmer- und in Erschöpfungszuständen. Aus diesem persistirenden Hypnoid herauf dringen unmotivirte, der normalen Association fremde Vorstellungen in's Bewusstsein, werden Hallucinationen in das Wahrnehmen geworfen, werden motorische Acte unabhängig vom bewussten Willen innervirt. Diese hypnoide Psyche ist im höchsten Grade befähigt zur Affectconversion und Suggestion, und so entstehen mit Leichtigkeit neue hysterische Phänomene, welche ohne die psychische Spaltung nur sehr schwer und unter dem Druck wiederholter Affecte zu Stande gekommen wären. Die abgespaltene Psyche ist jener </w:t>
      </w:r>
      <w:r w:rsidRPr="00C820A0">
        <w:rPr>
          <w:rFonts w:ascii="Garamond" w:hAnsi="Garamond"/>
          <w:i/>
          <w:iCs/>
          <w:sz w:val="20"/>
          <w:szCs w:val="20"/>
          <w:lang w:val="en-US" w:eastAsia="fr-FR"/>
        </w:rPr>
        <w:t>Dämon</w:t>
      </w:r>
      <w:r w:rsidRPr="00C820A0">
        <w:rPr>
          <w:rFonts w:ascii="Garamond" w:hAnsi="Garamond"/>
          <w:sz w:val="20"/>
          <w:szCs w:val="20"/>
          <w:lang w:val="en-US" w:eastAsia="fr-FR"/>
        </w:rPr>
        <w:t>, von dem die naive Beobachtung alter, abergläubischer Zeiten die Kranken besessen glaubte. Dass ein dem wachen Bewusstsein des Kranken fremder Geist in ihm walte, ist richtig; nur ist es kein wirklich fremder, sondern ein Theil seines eigenen.</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0"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Der hier gewagte Versuch, aus unseren heutigen Kenntnissen die Hysterie synthetisch zu construiren, steht dem Vorwurf des Eclecticismus offen, wenn dieser überhaupt berechtigt ist. So viele Formulirungen der Hysterie, von der alten „Reflextheorie“ bis zur „Dissociation der Persönlichkeit“ haben darin Platz finden müssen. Aber es kann kaum anders sein. So zahlreiche treffliche Beobachter und scharfsinnige Köpfe haben sich um die Hysterie bemüht. </w:t>
      </w:r>
      <w:r w:rsidRPr="00C820A0">
        <w:rPr>
          <w:rFonts w:ascii="Garamond" w:hAnsi="Garamond"/>
          <w:sz w:val="20"/>
          <w:szCs w:val="20"/>
          <w:lang w:val="en-US" w:eastAsia="fr-FR"/>
        </w:rPr>
        <w:t xml:space="preserve">Es ist unwahrscheinlich, dass nicht jede ihrer Formulirungen einen Theil der Wahrheit enthalte. Die künftige Darstellung des wirklichen Sachverhaltes wird gewiss sie alle enthalten und nur all’ die einseitigen </w:t>
      </w:r>
      <w:r w:rsidRPr="00C820A0">
        <w:rPr>
          <w:rFonts w:ascii="Garamond" w:hAnsi="Garamond"/>
          <w:color w:val="666666"/>
          <w:sz w:val="20"/>
          <w:szCs w:val="20"/>
          <w:lang w:val="en-US" w:eastAsia="fr-FR"/>
        </w:rPr>
        <w:t>[</w:t>
      </w:r>
      <w:hyperlink r:id="rId2009" w:tooltip="Seite:De Studien über Hysterie 221.jpg" w:history="1">
        <w:r w:rsidRPr="00C820A0">
          <w:rPr>
            <w:rFonts w:ascii="Garamond" w:hAnsi="Garamond"/>
            <w:b/>
            <w:bCs/>
            <w:color w:val="0000FF"/>
            <w:sz w:val="20"/>
            <w:szCs w:val="20"/>
            <w:u w:val="single"/>
            <w:lang w:val="en-US" w:eastAsia="fr-FR"/>
          </w:rPr>
          <w:t>221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Ansichten des Gegenstandes zu einer körperhaften Realität combiniren. Der Eclecticismus scheint mir darum kein Tadel.</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Aber wie weit von der Möglichkeit eines solchen vollständigen Verständnisses der Hysterie sind wir heute noch! Mit wie unsicheren Zügen sind hier die Contouren umrissen worden, mit wie plumpen Hilfsvorstellungen sind die klaffenden Lücken mehr verdeckt als ausgefüllt. Nur die eine Erwägung beruhigt einigermaassen: dass dieses Uebel allen physiologischen Darstellungen complicirter psychischer Vorgänge anhaftet und anhaften muss. Von ihnen gilt immer, was </w:t>
      </w:r>
      <w:r w:rsidRPr="00C820A0">
        <w:rPr>
          <w:rFonts w:ascii="Garamond" w:hAnsi="Garamond"/>
          <w:i/>
          <w:iCs/>
          <w:sz w:val="20"/>
          <w:szCs w:val="20"/>
          <w:lang w:val="en-US" w:eastAsia="fr-FR"/>
        </w:rPr>
        <w:t>Theseus</w:t>
      </w:r>
      <w:r w:rsidRPr="00C820A0">
        <w:rPr>
          <w:rFonts w:ascii="Garamond" w:hAnsi="Garamond"/>
          <w:sz w:val="20"/>
          <w:szCs w:val="20"/>
          <w:lang w:val="en-US" w:eastAsia="fr-FR"/>
        </w:rPr>
        <w:t xml:space="preserve"> im Sommernachtstraum von der Tragödie sagt: „Auch das Beste dieser Art ist nur ein Schattenspiel“. Und auch das Schwächste ist nicht wertlos, wenn es sucht in Treue und Bescheidenheit die Schattenrisse festzuhalten, welche die unbekannten wirklichen Objecte auf die Wand werfen. Dann ist doch immer die Hoffnung berechtigt, dass irgend ein Maass von Uebereinstimmung und Aehnlichkeit zwischen den wirklichen Vorgängen und unserer Vorstellung davon bestehen werde.</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1" style="width:113.4pt;height:1.5pt" o:hrpct="250" o:hralign="center" o:hrstd="t" o:hr="t" fillcolor="#a0a0a0" stroked="f"/>
        </w:pict>
      </w:r>
    </w:p>
    <w:p w:rsidR="005C1841" w:rsidRPr="005C1841" w:rsidRDefault="005C1841" w:rsidP="005C1841">
      <w:pPr>
        <w:pStyle w:val="Sansinterligne"/>
        <w:rPr>
          <w:rFonts w:ascii="Garamond" w:hAnsi="Garamond"/>
          <w:sz w:val="20"/>
          <w:szCs w:val="20"/>
          <w:lang w:val="en-US" w:eastAsia="fr-FR"/>
        </w:rPr>
      </w:pPr>
      <w:hyperlink r:id="rId2010" w:anchor="cite_ref-0"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Über den Begriff der Hysterie. </w:t>
      </w:r>
      <w:r w:rsidRPr="005C1841">
        <w:rPr>
          <w:rFonts w:ascii="Garamond" w:hAnsi="Garamond"/>
          <w:sz w:val="20"/>
          <w:szCs w:val="20"/>
          <w:lang w:val="en-US" w:eastAsia="fr-FR"/>
        </w:rPr>
        <w:t>Wiederabgedruckt in „Neurologische Beiträge“, I. Heft, 1894.</w:t>
      </w:r>
    </w:p>
    <w:p w:rsidR="005C1841" w:rsidRPr="00C820A0" w:rsidRDefault="005C1841" w:rsidP="005C1841">
      <w:pPr>
        <w:pStyle w:val="Sansinterligne"/>
        <w:rPr>
          <w:rFonts w:ascii="Garamond" w:hAnsi="Garamond"/>
          <w:sz w:val="20"/>
          <w:szCs w:val="20"/>
          <w:lang w:val="en-US" w:eastAsia="fr-FR"/>
        </w:rPr>
      </w:pPr>
      <w:hyperlink r:id="rId2011" w:anchor="cite_ref-1"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Dieser Perceptionsapparat, einschliesslich der corticalen Sinnessphären, muss verschieden sein von dem Organ, welches Sinneseindrücke als Erinnerungsbilder aufbewahrt und reproducirt. Denn die Grundbedingung der Function des Wahrnehmungsapparates ist die rascheste restitutio in statum quo ante; sonst könnte keine richtige weitere Perception stattfinden. </w:t>
      </w:r>
      <w:r w:rsidRPr="00C820A0">
        <w:rPr>
          <w:rFonts w:ascii="Garamond" w:hAnsi="Garamond"/>
          <w:sz w:val="20"/>
          <w:szCs w:val="20"/>
          <w:lang w:val="en-US" w:eastAsia="fr-FR"/>
        </w:rPr>
        <w:t xml:space="preserve">Die Bedingung des Gedächtnisses hingegen ist, dass eine solche Restitution nicht statt hat, </w:t>
      </w:r>
      <w:r w:rsidRPr="00C820A0">
        <w:rPr>
          <w:rFonts w:ascii="Garamond" w:hAnsi="Garamond"/>
          <w:sz w:val="20"/>
          <w:szCs w:val="20"/>
          <w:lang w:val="en-US" w:eastAsia="fr-FR"/>
        </w:rPr>
        <w:lastRenderedPageBreak/>
        <w:t xml:space="preserve">sondern dass jede Wahrnehmung bleibende Veränderungen schafft. Unmöglich kann ein und dasselbe Organ beiden widersprechenden Bedingungen genügen; der Spiegel eines Refiexions-Teleskops kann nicht zugleich photographische Platte sein. In diesem Sinne, dass die Erregung des Perceptionsapparates – nicht in der bestimmten Aussage, dass die Erregung der subcorticalen Centren – der Hallucination den Charakter des Objectiven gebe, stimme ich </w:t>
      </w:r>
      <w:r w:rsidRPr="00C820A0">
        <w:rPr>
          <w:rFonts w:ascii="Garamond" w:hAnsi="Garamond"/>
          <w:i/>
          <w:iCs/>
          <w:sz w:val="20"/>
          <w:szCs w:val="20"/>
          <w:lang w:val="en-US" w:eastAsia="fr-FR"/>
        </w:rPr>
        <w:t>Meynert</w:t>
      </w:r>
      <w:r w:rsidRPr="00C820A0">
        <w:rPr>
          <w:rFonts w:ascii="Garamond" w:hAnsi="Garamond"/>
          <w:sz w:val="20"/>
          <w:szCs w:val="20"/>
          <w:lang w:val="en-US" w:eastAsia="fr-FR"/>
        </w:rPr>
        <w:t xml:space="preserve"> bei. Soll aber durch das Erinnerungsbild das Perceptionsorgan erregt werden, so müssen wir eine gegen die Norm abgeänderte Erregbarkeit desselben annehmen, die eben die Hallucination möglich macht.</w:t>
      </w:r>
    </w:p>
    <w:p w:rsidR="005C1841" w:rsidRPr="00C820A0" w:rsidRDefault="005C1841" w:rsidP="005C1841">
      <w:pPr>
        <w:pStyle w:val="Sansinterligne"/>
        <w:rPr>
          <w:rFonts w:ascii="Garamond" w:hAnsi="Garamond"/>
          <w:sz w:val="20"/>
          <w:szCs w:val="20"/>
          <w:lang w:val="en-US" w:eastAsia="fr-FR"/>
        </w:rPr>
      </w:pPr>
      <w:hyperlink r:id="rId2012" w:anchor="cite_ref-2"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w:t>
      </w:r>
      <w:r w:rsidRPr="00C820A0">
        <w:rPr>
          <w:rFonts w:ascii="Garamond" w:hAnsi="Garamond"/>
          <w:i/>
          <w:iCs/>
          <w:sz w:val="20"/>
          <w:szCs w:val="20"/>
          <w:lang w:val="en-US" w:eastAsia="fr-FR"/>
        </w:rPr>
        <w:t>Oppenheim’s</w:t>
      </w:r>
      <w:r w:rsidRPr="00C820A0">
        <w:rPr>
          <w:rFonts w:ascii="Garamond" w:hAnsi="Garamond"/>
          <w:sz w:val="20"/>
          <w:szCs w:val="20"/>
          <w:lang w:val="en-US" w:eastAsia="fr-FR"/>
        </w:rPr>
        <w:t xml:space="preserve"> „Labilität der Molecüle“. Vielleicht wird es später möglich sein, den obigen sehr vagen Ausdruck durch eine präcisere und inhaltsreichere Formel zu ersetzen.</w:t>
      </w:r>
    </w:p>
    <w:p w:rsidR="005C1841" w:rsidRPr="00C820A0" w:rsidRDefault="005C1841" w:rsidP="005C1841">
      <w:pPr>
        <w:pStyle w:val="Sansinterligne"/>
        <w:rPr>
          <w:rFonts w:ascii="Garamond" w:hAnsi="Garamond"/>
          <w:sz w:val="20"/>
          <w:szCs w:val="20"/>
          <w:lang w:val="en-US" w:eastAsia="fr-FR"/>
        </w:rPr>
      </w:pPr>
      <w:hyperlink r:id="rId2013" w:anchor="cite_ref-3"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Es sei erlaubt, hier in Kürze die Vorstellung anzudeuten, welche der obigen Ausführung zu Grunde liegt. Wir denken uns gewöhnlich die sensiblen und sensorischen Nervenzellen als passive Aufnahmsapparate; mit Unrecht. Denn schon die Existenz des Associations-Fasersystems beweist, dass auch von ihnen aus Erregung in Nervenfasern strömt. In einer Nervenfaser, welche per continuitatem oder contiguitatem zwei sensorische Zellen verbindet, muss ein Spannungszustand bestehen, wenn von beiden Zellen aus Erregung in sie einströmt. Dieser verhält sich zu der in einer, z. B. peripheren, motorischen Faser abströmenden Erregung wie hydrostatischer Druck zu der lebendigen Kraft strömenden Wassers oder wie elektrische Spannung zum elektrischen Strom. Sind alle Nervenzellen in einem Zustande mittlerer Erregung und erregen ihre nervösen Fortsätze, so bildet das ganze ungeheure Netz ein einheitliches Reservoir von „Nervenspannung“. Wir hätten also ausser der potentiellen Energie, welche in dem chemischen Bestande der Zelle ruht und jener uns unbekannten Form kinetischer Energie, welche im Erregungszustande der Faser abläuft, noch einen ruhenden Zustand von Nervenerregung anzunehmen, die </w:t>
      </w:r>
      <w:r w:rsidRPr="00C820A0">
        <w:rPr>
          <w:rFonts w:ascii="Garamond" w:hAnsi="Garamond"/>
          <w:i/>
          <w:iCs/>
          <w:sz w:val="20"/>
          <w:szCs w:val="20"/>
          <w:lang w:val="en-US" w:eastAsia="fr-FR"/>
        </w:rPr>
        <w:t>tonische Erregung</w:t>
      </w:r>
      <w:r w:rsidRPr="00C820A0">
        <w:rPr>
          <w:rFonts w:ascii="Garamond" w:hAnsi="Garamond"/>
          <w:sz w:val="20"/>
          <w:szCs w:val="20"/>
          <w:lang w:val="en-US" w:eastAsia="fr-FR"/>
        </w:rPr>
        <w:t xml:space="preserve"> oder </w:t>
      </w:r>
      <w:r w:rsidRPr="00C820A0">
        <w:rPr>
          <w:rFonts w:ascii="Garamond" w:hAnsi="Garamond"/>
          <w:i/>
          <w:iCs/>
          <w:sz w:val="20"/>
          <w:szCs w:val="20"/>
          <w:lang w:val="en-US" w:eastAsia="fr-FR"/>
        </w:rPr>
        <w:t>Nervenspannung</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eastAsia="fr-FR"/>
        </w:rPr>
      </w:pPr>
      <w:hyperlink r:id="rId2014" w:anchor="cite_ref-4"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Die Auffassung der Energie des Centralnervensystems als einer Quantität von schwankender und wechselnder Vertheilung über das Gehirn ist alt. „La sensibilité,“ sagte </w:t>
      </w:r>
      <w:r w:rsidRPr="00C820A0">
        <w:rPr>
          <w:rFonts w:ascii="Garamond" w:hAnsi="Garamond"/>
          <w:i/>
          <w:iCs/>
          <w:sz w:val="20"/>
          <w:szCs w:val="20"/>
          <w:lang w:eastAsia="fr-FR"/>
        </w:rPr>
        <w:t>Cabanis</w:t>
      </w:r>
      <w:r w:rsidRPr="00C820A0">
        <w:rPr>
          <w:rFonts w:ascii="Garamond" w:hAnsi="Garamond"/>
          <w:sz w:val="20"/>
          <w:szCs w:val="20"/>
          <w:lang w:eastAsia="fr-FR"/>
        </w:rPr>
        <w:t xml:space="preserve">, „semble se comporter à la manière d’un fluide dont la quantité totale est déterminée et qui, toutes les fois qu’il se jette en plus grande abondance dans un de ses canaux, diminue proportionellement dans les autres.“ (Cit. nach </w:t>
      </w:r>
      <w:r w:rsidRPr="00C820A0">
        <w:rPr>
          <w:rFonts w:ascii="Garamond" w:hAnsi="Garamond"/>
          <w:i/>
          <w:iCs/>
          <w:sz w:val="20"/>
          <w:szCs w:val="20"/>
          <w:lang w:eastAsia="fr-FR"/>
        </w:rPr>
        <w:t>Janet</w:t>
      </w:r>
      <w:r w:rsidRPr="00C820A0">
        <w:rPr>
          <w:rFonts w:ascii="Garamond" w:hAnsi="Garamond"/>
          <w:sz w:val="20"/>
          <w:szCs w:val="20"/>
          <w:lang w:eastAsia="fr-FR"/>
        </w:rPr>
        <w:t>, Etat mental II, p. 277.)</w:t>
      </w:r>
    </w:p>
    <w:p w:rsidR="005C1841" w:rsidRPr="00C820A0" w:rsidRDefault="005C1841" w:rsidP="005C1841">
      <w:pPr>
        <w:pStyle w:val="Sansinterligne"/>
        <w:rPr>
          <w:rFonts w:ascii="Garamond" w:hAnsi="Garamond"/>
          <w:sz w:val="20"/>
          <w:szCs w:val="20"/>
          <w:lang w:eastAsia="fr-FR"/>
        </w:rPr>
      </w:pPr>
      <w:hyperlink r:id="rId2015" w:anchor="cite_ref-5"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w:t>
      </w:r>
      <w:r w:rsidRPr="00C820A0">
        <w:rPr>
          <w:rFonts w:ascii="Garamond" w:hAnsi="Garamond"/>
          <w:i/>
          <w:iCs/>
          <w:sz w:val="20"/>
          <w:szCs w:val="20"/>
          <w:lang w:eastAsia="fr-FR"/>
        </w:rPr>
        <w:t>Lange</w:t>
      </w:r>
      <w:r w:rsidRPr="00C820A0">
        <w:rPr>
          <w:rFonts w:ascii="Garamond" w:hAnsi="Garamond"/>
          <w:sz w:val="20"/>
          <w:szCs w:val="20"/>
          <w:lang w:eastAsia="fr-FR"/>
        </w:rPr>
        <w:t>, Über Gemütsbewegungen. 1887.</w:t>
      </w:r>
    </w:p>
    <w:p w:rsidR="005C1841" w:rsidRPr="00C820A0" w:rsidRDefault="005C1841" w:rsidP="005C1841">
      <w:pPr>
        <w:pStyle w:val="Sansinterligne"/>
        <w:rPr>
          <w:rFonts w:ascii="Garamond" w:hAnsi="Garamond"/>
          <w:sz w:val="20"/>
          <w:szCs w:val="20"/>
          <w:lang w:val="en-US" w:eastAsia="fr-FR"/>
        </w:rPr>
      </w:pPr>
      <w:hyperlink r:id="rId2016" w:anchor="cite_ref-6"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Der Trieb der Rache, der beim Naturmenschen so mächtig ist und durch die Cultur mehr verkleidet als unterdrückt wird, ist überhaupt nichts als die Erregung eines nicht ausgelösten Reflexes. Eine Schädigung im Kampfe abzuwehren und dabei den Gegner zu schädigen, ist der adäquate, präformirte, psychische Reflex. </w:t>
      </w:r>
      <w:r w:rsidRPr="00C820A0">
        <w:rPr>
          <w:rFonts w:ascii="Garamond" w:hAnsi="Garamond"/>
          <w:sz w:val="20"/>
          <w:szCs w:val="20"/>
          <w:lang w:val="en-US" w:eastAsia="fr-FR"/>
        </w:rPr>
        <w:t xml:space="preserve">Ist er nicht oder ungenügend vollzogen worden, so wird er durch die </w:t>
      </w:r>
      <w:r w:rsidRPr="00C820A0">
        <w:rPr>
          <w:rFonts w:ascii="Garamond" w:hAnsi="Garamond"/>
          <w:color w:val="666666"/>
          <w:sz w:val="20"/>
          <w:szCs w:val="20"/>
          <w:lang w:val="en-US" w:eastAsia="fr-FR"/>
        </w:rPr>
        <w:t>[</w:t>
      </w:r>
      <w:hyperlink r:id="rId2017" w:tooltip="Seite:De Studien über Hysterie 180.jpg" w:history="1">
        <w:r w:rsidRPr="00C820A0">
          <w:rPr>
            <w:rFonts w:ascii="Garamond" w:hAnsi="Garamond"/>
            <w:b/>
            <w:bCs/>
            <w:color w:val="0000FF"/>
            <w:sz w:val="20"/>
            <w:szCs w:val="20"/>
            <w:u w:val="single"/>
            <w:lang w:val="en-US" w:eastAsia="fr-FR"/>
          </w:rPr>
          <w:t>180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Erinnerung immer wieder ausgelöst, und es entsteht der „Rachetrieb“ als irrationaler Willensimpuls wie alle „Triebe“. Beweis hiefür ist eben seine Irrationalität, seine Unabhängigkeit von allem Nutzen und aller Zweckmässigkeit; ja sein Sieg über alle Rücksichten der eigenen Sicherheit. Sobald der Reflex ausgelöst worden ist, kann diese Irrationalität in’s Bewusstsein treten. </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„Ein anderes Antlitz, bevor sie geschehen,</w:t>
      </w:r>
      <w:r w:rsidRPr="00C820A0">
        <w:rPr>
          <w:rFonts w:ascii="Garamond" w:hAnsi="Garamond"/>
          <w:sz w:val="20"/>
          <w:szCs w:val="20"/>
          <w:lang w:val="en-US" w:eastAsia="fr-FR"/>
        </w:rPr>
        <w:br/>
        <w:t>Ein anderes trägt die vollbrachte That.“     </w:t>
      </w:r>
    </w:p>
    <w:p w:rsidR="005C1841" w:rsidRPr="00C820A0" w:rsidRDefault="005C1841" w:rsidP="005C1841">
      <w:pPr>
        <w:pStyle w:val="Sansinterligne"/>
        <w:rPr>
          <w:rFonts w:ascii="Garamond" w:hAnsi="Garamond"/>
          <w:sz w:val="20"/>
          <w:szCs w:val="20"/>
          <w:lang w:val="en-US" w:eastAsia="fr-FR"/>
        </w:rPr>
      </w:pPr>
      <w:hyperlink r:id="rId2018" w:anchor="cite_ref-7"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möchte den Vergleich mit einer elektrischen Anlage nicht zu Tode hetzen; bei der fundamentalen Verschiedenartigkeit der Verhältnisse kann er ja die Vorgänge im Nervensystem kaum illustriren und gewiss nicht erklären. Aber hier mag noch an den Fall erinnert werden, dass durch hohe Spannung die Isolation der Leitung einer Beleuchtungsanlage gelitten habe und an einer Stelle ein „kurzer Schluss“ hergestellt sei. Treten nun an dieser Stelle elektrische Phänomene auf (Erwärmung, z. B. kurze Funken o. dgl.), so leuchtet die Lampe nicht, zu welcher die Leitung führt; wie der Affect nicht entsteht, wenn die Erregung als abnormer Reflex abströmt, in ein somatisches Phänomen convertirt wird.</w:t>
      </w:r>
    </w:p>
    <w:p w:rsidR="005C1841" w:rsidRPr="00C820A0" w:rsidRDefault="005C1841" w:rsidP="005C1841">
      <w:pPr>
        <w:pStyle w:val="Sansinterligne"/>
        <w:rPr>
          <w:rFonts w:ascii="Garamond" w:hAnsi="Garamond"/>
          <w:sz w:val="20"/>
          <w:szCs w:val="20"/>
          <w:lang w:val="en-US" w:eastAsia="fr-FR"/>
        </w:rPr>
      </w:pPr>
      <w:hyperlink r:id="rId2019" w:anchor="cite_ref-8"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Vgl. für diesen Punkt einige interessante Mittheilungen und Bemerkungen </w:t>
      </w:r>
      <w:r w:rsidRPr="00C820A0">
        <w:rPr>
          <w:rFonts w:ascii="Garamond" w:hAnsi="Garamond"/>
          <w:i/>
          <w:iCs/>
          <w:sz w:val="20"/>
          <w:szCs w:val="20"/>
          <w:lang w:val="en-US" w:eastAsia="fr-FR"/>
        </w:rPr>
        <w:t>Benedikt's</w:t>
      </w:r>
      <w:r w:rsidRPr="00C820A0">
        <w:rPr>
          <w:rFonts w:ascii="Garamond" w:hAnsi="Garamond"/>
          <w:sz w:val="20"/>
          <w:szCs w:val="20"/>
          <w:lang w:val="en-US" w:eastAsia="fr-FR"/>
        </w:rPr>
        <w:t xml:space="preserve"> (1889), wiederabgedruckt in der Schrift „Hypnotismus und Suggestion“ 1894 (p. 51 u. ff.)</w:t>
      </w:r>
    </w:p>
    <w:p w:rsidR="005C1841" w:rsidRPr="00C820A0" w:rsidRDefault="005C1841" w:rsidP="005C1841">
      <w:pPr>
        <w:pStyle w:val="Sansinterligne"/>
        <w:rPr>
          <w:rFonts w:ascii="Garamond" w:hAnsi="Garamond"/>
          <w:sz w:val="20"/>
          <w:szCs w:val="20"/>
          <w:lang w:val="en-US" w:eastAsia="fr-FR"/>
        </w:rPr>
      </w:pPr>
      <w:hyperlink r:id="rId2020" w:anchor="cite_ref-9"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finde in </w:t>
      </w:r>
      <w:r w:rsidRPr="00C820A0">
        <w:rPr>
          <w:rFonts w:ascii="Garamond" w:hAnsi="Garamond"/>
          <w:i/>
          <w:iCs/>
          <w:sz w:val="20"/>
          <w:szCs w:val="20"/>
          <w:lang w:val="en-US" w:eastAsia="fr-FR"/>
        </w:rPr>
        <w:t>Mach's</w:t>
      </w:r>
      <w:r w:rsidRPr="00C820A0">
        <w:rPr>
          <w:rFonts w:ascii="Garamond" w:hAnsi="Garamond"/>
          <w:sz w:val="20"/>
          <w:szCs w:val="20"/>
          <w:lang w:val="en-US" w:eastAsia="fr-FR"/>
        </w:rPr>
        <w:t xml:space="preserve"> „Bewegungsempfindungen“ eine Bemerkung, an welche hier wohl erinnert werden darf:</w:t>
      </w:r>
      <w:r w:rsidRPr="00C820A0">
        <w:rPr>
          <w:rFonts w:ascii="Garamond" w:hAnsi="Garamond"/>
          <w:sz w:val="20"/>
          <w:szCs w:val="20"/>
          <w:lang w:val="en-US" w:eastAsia="fr-FR"/>
        </w:rPr>
        <w:br/>
        <w:t>„Es hat sich bei den beschriebenen (Schwindel-) Versuchen wiederholt gezeigt, dass ein Ekelgefühl sich hauptsächlich dann einstellte, wenn es schwer war, die Bewegungsempfindungen mit den optischen Eindrücken in Einklang zu bringen. Es sah so aus, als ob ein Theil des vom Labyrinth ausgehenden Reizes gezwungen worden wäre, die optischen Bahnen, die ihm durch einen andern Reiz verschlossen waren, zu verlassen und ganz andere Bahnen einzuschlagen. . . . Auch beim Versuch, Stereoskopbilder mit starken Differenzen zu combiniren, habe ich wiederholt ein Ekelgefühl beobachtet.“</w:t>
      </w:r>
      <w:r w:rsidRPr="00C820A0">
        <w:rPr>
          <w:rFonts w:ascii="Garamond" w:hAnsi="Garamond"/>
          <w:sz w:val="20"/>
          <w:szCs w:val="20"/>
          <w:lang w:val="en-US" w:eastAsia="fr-FR"/>
        </w:rPr>
        <w:br/>
        <w:t>Das ist geradezu das physiologische Schema für die Entstehung pathologischer, hysterischer Phänomene durch die Coexistenz lebhafter, unvereinbarer Vorstellungen.</w:t>
      </w:r>
    </w:p>
    <w:p w:rsidR="005C1841" w:rsidRPr="00C820A0" w:rsidRDefault="005C1841" w:rsidP="005C1841">
      <w:pPr>
        <w:pStyle w:val="Sansinterligne"/>
        <w:rPr>
          <w:rFonts w:ascii="Garamond" w:hAnsi="Garamond"/>
          <w:sz w:val="20"/>
          <w:szCs w:val="20"/>
          <w:lang w:val="en-US" w:eastAsia="fr-FR"/>
        </w:rPr>
      </w:pPr>
      <w:hyperlink r:id="rId2021" w:anchor="cite_ref-10"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verdanke diesen Fall Herrn Assistenten Dr. Paul </w:t>
      </w:r>
      <w:r w:rsidRPr="00C820A0">
        <w:rPr>
          <w:rFonts w:ascii="Garamond" w:hAnsi="Garamond"/>
          <w:i/>
          <w:iCs/>
          <w:sz w:val="20"/>
          <w:szCs w:val="20"/>
          <w:lang w:val="en-US" w:eastAsia="fr-FR"/>
        </w:rPr>
        <w:t>Karplus</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eastAsia="fr-FR"/>
        </w:rPr>
      </w:pPr>
      <w:hyperlink r:id="rId2022" w:anchor="cite_ref-11"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Wenn hier und später von Vorstellungen die Rede ist, die actuell, wirksam und doch unbewusst sind, so handelt es sich dabei nur selten um einzelne Vorstellungen (wie etwa die hallucinirte grosse Schlange Anna O.'s, welche die Contractur auslöst); fast immer um Vorstellungscomplexe, um Verbindungen, um Erinnerungen an äussere Vorgänge und eigene Gedankengänge. Die in solchen Vorstellungscomplexen enthaltenen Einzelvorstellungen werden gelegentlich alle bewusst gedacht. </w:t>
      </w:r>
      <w:r w:rsidRPr="00C820A0">
        <w:rPr>
          <w:rFonts w:ascii="Garamond" w:hAnsi="Garamond"/>
          <w:sz w:val="20"/>
          <w:szCs w:val="20"/>
          <w:lang w:eastAsia="fr-FR"/>
        </w:rPr>
        <w:t>Nur die bestimmte Combination ist aus dem Bewusstsein verbannt.</w:t>
      </w:r>
    </w:p>
    <w:p w:rsidR="005C1841" w:rsidRPr="00C820A0" w:rsidRDefault="005C1841" w:rsidP="005C1841">
      <w:pPr>
        <w:pStyle w:val="Sansinterligne"/>
        <w:rPr>
          <w:rFonts w:ascii="Garamond" w:hAnsi="Garamond"/>
          <w:sz w:val="20"/>
          <w:szCs w:val="20"/>
          <w:lang w:eastAsia="fr-FR"/>
        </w:rPr>
      </w:pPr>
      <w:hyperlink r:id="rId2023" w:anchor="cite_ref-12"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w:t>
      </w:r>
      <w:r w:rsidRPr="00C820A0">
        <w:rPr>
          <w:rFonts w:ascii="Garamond" w:hAnsi="Garamond"/>
          <w:i/>
          <w:iCs/>
          <w:sz w:val="20"/>
          <w:szCs w:val="20"/>
          <w:lang w:eastAsia="fr-FR"/>
        </w:rPr>
        <w:t>Möbius</w:t>
      </w:r>
      <w:r w:rsidRPr="00C820A0">
        <w:rPr>
          <w:rFonts w:ascii="Garamond" w:hAnsi="Garamond"/>
          <w:sz w:val="20"/>
          <w:szCs w:val="20"/>
          <w:lang w:eastAsia="fr-FR"/>
        </w:rPr>
        <w:t>, Ueber Astasie-Abasie, Neurol. Beiträge I. Heft, p. 17.</w:t>
      </w:r>
    </w:p>
    <w:p w:rsidR="005C1841" w:rsidRPr="005C1841" w:rsidRDefault="005C1841" w:rsidP="005C1841">
      <w:pPr>
        <w:pStyle w:val="Sansinterligne"/>
        <w:rPr>
          <w:rFonts w:ascii="Garamond" w:hAnsi="Garamond"/>
          <w:sz w:val="20"/>
          <w:szCs w:val="20"/>
          <w:lang w:eastAsia="fr-FR"/>
        </w:rPr>
      </w:pPr>
      <w:hyperlink r:id="rId2024" w:anchor="cite_ref-13" w:history="1">
        <w:r w:rsidRPr="005C1841">
          <w:rPr>
            <w:rFonts w:ascii="Garamond" w:hAnsi="Garamond"/>
            <w:color w:val="0000FF"/>
            <w:sz w:val="20"/>
            <w:szCs w:val="20"/>
            <w:u w:val="single"/>
            <w:lang w:eastAsia="fr-FR"/>
          </w:rPr>
          <w:t>↑</w:t>
        </w:r>
      </w:hyperlink>
      <w:r w:rsidRPr="005C1841">
        <w:rPr>
          <w:rFonts w:ascii="Garamond" w:hAnsi="Garamond"/>
          <w:sz w:val="20"/>
          <w:szCs w:val="20"/>
          <w:lang w:eastAsia="fr-FR"/>
        </w:rPr>
        <w:t xml:space="preserve"> Vielleicht meint M. mit dieser Bezeichnung nichts anderes als die Hemmung des Vorstellungsablaufes, welche beim Affect allerdings besteht, wenn auch aus durchaus ändern Ursachen entspringend als bei der Hypnose.</w:t>
      </w:r>
    </w:p>
    <w:p w:rsidR="005C1841" w:rsidRPr="00C820A0" w:rsidRDefault="005C1841" w:rsidP="005C1841">
      <w:pPr>
        <w:pStyle w:val="Sansinterligne"/>
        <w:rPr>
          <w:rFonts w:ascii="Garamond" w:hAnsi="Garamond"/>
          <w:sz w:val="20"/>
          <w:szCs w:val="20"/>
          <w:lang w:eastAsia="fr-FR"/>
        </w:rPr>
      </w:pPr>
      <w:hyperlink r:id="rId2025" w:anchor="cite_ref-14"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Beobachtung I und II.</w:t>
      </w:r>
    </w:p>
    <w:p w:rsidR="005C1841" w:rsidRPr="00C820A0" w:rsidRDefault="005C1841" w:rsidP="005C1841">
      <w:pPr>
        <w:pStyle w:val="Sansinterligne"/>
        <w:rPr>
          <w:rFonts w:ascii="Garamond" w:hAnsi="Garamond"/>
          <w:sz w:val="20"/>
          <w:szCs w:val="20"/>
          <w:lang w:eastAsia="fr-FR"/>
        </w:rPr>
      </w:pPr>
      <w:hyperlink r:id="rId2026" w:anchor="cite_ref-15" w:history="1">
        <w:r w:rsidRPr="00C820A0">
          <w:rPr>
            <w:rFonts w:ascii="Garamond" w:hAnsi="Garamond"/>
            <w:color w:val="0000FF"/>
            <w:sz w:val="20"/>
            <w:szCs w:val="20"/>
            <w:u w:val="single"/>
            <w:lang w:eastAsia="fr-FR"/>
          </w:rPr>
          <w:t>↑</w:t>
        </w:r>
      </w:hyperlink>
      <w:r w:rsidRPr="00C820A0">
        <w:rPr>
          <w:rFonts w:ascii="Garamond" w:hAnsi="Garamond"/>
          <w:sz w:val="20"/>
          <w:szCs w:val="20"/>
          <w:lang w:eastAsia="fr-FR"/>
        </w:rPr>
        <w:t xml:space="preserve"> Der Ausdruck ist nicht eindeutig und lässt darum sehr zu wünschen übrig; aber nach der Analogie von „hoffähig“ gebildet, mag er in Ermanglung eines besseren unterdessen gebraucht werden.</w:t>
      </w:r>
    </w:p>
    <w:p w:rsidR="005C1841" w:rsidRPr="00C820A0" w:rsidRDefault="005C1841" w:rsidP="005C1841">
      <w:pPr>
        <w:pStyle w:val="Sansinterligne"/>
        <w:rPr>
          <w:rFonts w:ascii="Garamond" w:hAnsi="Garamond"/>
          <w:sz w:val="20"/>
          <w:szCs w:val="20"/>
          <w:lang w:val="en-US" w:eastAsia="fr-FR"/>
        </w:rPr>
      </w:pPr>
      <w:hyperlink r:id="rId2027" w:anchor="cite_ref-16"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Ich muss aber bemerken, dass gerade in dem bestbekannten und durchsichtigsten Fall grosser Hysterie mit manifester double conscience, eben bei Anna O. (Beobachtung I), kein Rest aus dem acuten Stadium in das chronische hinübergetragen wurde und alle Phänomene des letzteren schon in der „Incubationszeit“ in Hypnoiden und Affectzuständen erzeugt worden waren.</w:t>
      </w:r>
    </w:p>
    <w:p w:rsidR="005C1841" w:rsidRPr="005C1841" w:rsidRDefault="005C1841" w:rsidP="005C1841">
      <w:pPr>
        <w:pStyle w:val="Sansinterligne"/>
        <w:rPr>
          <w:rFonts w:ascii="Garamond" w:hAnsi="Garamond"/>
          <w:sz w:val="20"/>
          <w:szCs w:val="20"/>
          <w:lang w:val="en-US" w:eastAsia="fr-FR"/>
        </w:rPr>
      </w:pPr>
      <w:hyperlink r:id="rId2028" w:anchor="cite_ref-17"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r w:rsidRPr="005C1841">
        <w:rPr>
          <w:rFonts w:ascii="Garamond" w:hAnsi="Garamond"/>
          <w:i/>
          <w:iCs/>
          <w:sz w:val="20"/>
          <w:szCs w:val="20"/>
          <w:lang w:val="en-US" w:eastAsia="fr-FR"/>
        </w:rPr>
        <w:t>Oppenheim's</w:t>
      </w:r>
      <w:r w:rsidRPr="005C1841">
        <w:rPr>
          <w:rFonts w:ascii="Garamond" w:hAnsi="Garamond"/>
          <w:sz w:val="20"/>
          <w:szCs w:val="20"/>
          <w:lang w:val="en-US" w:eastAsia="fr-FR"/>
        </w:rPr>
        <w:t xml:space="preserve"> „Labilität der Molecüle“.</w:t>
      </w:r>
    </w:p>
    <w:p w:rsidR="005C1841" w:rsidRPr="00C820A0" w:rsidRDefault="005C1841" w:rsidP="005C1841">
      <w:pPr>
        <w:pStyle w:val="Sansinterligne"/>
        <w:rPr>
          <w:rFonts w:ascii="Garamond" w:hAnsi="Garamond"/>
          <w:sz w:val="20"/>
          <w:szCs w:val="20"/>
          <w:lang w:val="en-US" w:eastAsia="fr-FR"/>
        </w:rPr>
      </w:pPr>
      <w:hyperlink r:id="rId2029" w:anchor="cite_ref-18"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Jene Disposition ist eben das, was </w:t>
      </w:r>
      <w:r w:rsidRPr="00C820A0">
        <w:rPr>
          <w:rFonts w:ascii="Garamond" w:hAnsi="Garamond"/>
          <w:i/>
          <w:iCs/>
          <w:sz w:val="20"/>
          <w:szCs w:val="20"/>
          <w:lang w:val="en-US" w:eastAsia="fr-FR"/>
        </w:rPr>
        <w:t>Strümpell</w:t>
      </w:r>
      <w:r w:rsidRPr="00C820A0">
        <w:rPr>
          <w:rFonts w:ascii="Garamond" w:hAnsi="Garamond"/>
          <w:sz w:val="20"/>
          <w:szCs w:val="20"/>
          <w:lang w:val="en-US" w:eastAsia="fr-FR"/>
        </w:rPr>
        <w:t xml:space="preserve"> als „die Störung im Psycho-Physischen“ bezeichnet, welche der Hysterie zu Grunde liegt.</w:t>
      </w:r>
    </w:p>
    <w:p w:rsidR="005C1841" w:rsidRPr="00C820A0" w:rsidRDefault="005C1841" w:rsidP="005C1841">
      <w:pPr>
        <w:pStyle w:val="Sansinterligne"/>
        <w:rPr>
          <w:rFonts w:ascii="Garamond" w:hAnsi="Garamond"/>
          <w:sz w:val="20"/>
          <w:szCs w:val="20"/>
          <w:lang w:val="en-US" w:eastAsia="fr-FR"/>
        </w:rPr>
      </w:pPr>
      <w:hyperlink r:id="rId2030" w:anchor="cite_ref-19"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Einige Beobachtungen lassen uns glauben, dass die Berührungs-, eigentlich Beschmutzungsfurcht, welche die Frauen zwingt, sich alle Augenblicke die Hände zu waschen, sehr häufig diesen Ursprung hat. </w:t>
      </w:r>
      <w:r w:rsidRPr="00C820A0">
        <w:rPr>
          <w:rFonts w:ascii="Garamond" w:hAnsi="Garamond"/>
          <w:sz w:val="20"/>
          <w:szCs w:val="20"/>
          <w:lang w:val="en-US" w:eastAsia="fr-FR"/>
        </w:rPr>
        <w:t xml:space="preserve">Das Waschen entspringt demselben seelischen Vorgang wie bei Lady </w:t>
      </w:r>
      <w:r w:rsidRPr="00C820A0">
        <w:rPr>
          <w:rFonts w:ascii="Garamond" w:hAnsi="Garamond"/>
          <w:i/>
          <w:iCs/>
          <w:sz w:val="20"/>
          <w:szCs w:val="20"/>
          <w:lang w:val="en-US" w:eastAsia="fr-FR"/>
        </w:rPr>
        <w:t>Macbeth</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hyperlink r:id="rId2031" w:anchor="cite_ref-20"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Es ist gewiss von Uebel, dass die Klinik dieses, eines der allerwichtigsten pathogenen Momente ignorirt, oder doch nur zart andeutend streift. Diess ist sicher ein Gegenstand, wo die Erfahrung der Erfahrenen dem jungen Arzte mitgetheilt werden soll, der ja gewöhnlich an der Sexualität blind vorübergeht; mindestens was seine Kranken betrifft.</w:t>
      </w:r>
    </w:p>
    <w:p w:rsidR="005C1841" w:rsidRPr="005C1841" w:rsidRDefault="005C1841" w:rsidP="005C1841">
      <w:pPr>
        <w:pStyle w:val="Sansinterligne"/>
        <w:rPr>
          <w:rFonts w:ascii="Garamond" w:hAnsi="Garamond"/>
          <w:sz w:val="20"/>
          <w:szCs w:val="20"/>
          <w:lang w:val="en-US" w:eastAsia="fr-FR"/>
        </w:rPr>
      </w:pPr>
      <w:hyperlink r:id="rId2032" w:anchor="cite_ref-21"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w:t>
      </w:r>
      <w:r w:rsidRPr="005C1841">
        <w:rPr>
          <w:rFonts w:ascii="Garamond" w:hAnsi="Garamond"/>
          <w:i/>
          <w:iCs/>
          <w:sz w:val="20"/>
          <w:szCs w:val="20"/>
          <w:lang w:val="en-US" w:eastAsia="fr-FR"/>
        </w:rPr>
        <w:t>Freud</w:t>
      </w:r>
      <w:r w:rsidRPr="005C1841">
        <w:rPr>
          <w:rFonts w:ascii="Garamond" w:hAnsi="Garamond"/>
          <w:sz w:val="20"/>
          <w:szCs w:val="20"/>
          <w:lang w:val="en-US" w:eastAsia="fr-FR"/>
        </w:rPr>
        <w:t>, „Ueber die Berechtigung, von der Neurasthenie einen bestimmten Symptomencomplex als Angstneurose abzutrennen“. Neurol. Centralblatt 1895, Nr. 2.</w:t>
      </w:r>
    </w:p>
    <w:p w:rsidR="005C1841" w:rsidRPr="00C820A0" w:rsidRDefault="005C1841" w:rsidP="005C1841">
      <w:pPr>
        <w:pStyle w:val="Sansinterligne"/>
        <w:rPr>
          <w:rFonts w:ascii="Garamond" w:hAnsi="Garamond"/>
          <w:sz w:val="20"/>
          <w:szCs w:val="20"/>
          <w:lang w:val="en-US" w:eastAsia="fr-FR"/>
        </w:rPr>
      </w:pPr>
      <w:hyperlink r:id="rId2033" w:anchor="cite_ref-22" w:history="1">
        <w:r w:rsidRPr="005C1841">
          <w:rPr>
            <w:rFonts w:ascii="Garamond" w:hAnsi="Garamond"/>
            <w:color w:val="0000FF"/>
            <w:sz w:val="20"/>
            <w:szCs w:val="20"/>
            <w:u w:val="single"/>
            <w:lang w:val="en-US" w:eastAsia="fr-FR"/>
          </w:rPr>
          <w:t>↑</w:t>
        </w:r>
      </w:hyperlink>
      <w:r w:rsidRPr="005C1841">
        <w:rPr>
          <w:rFonts w:ascii="Garamond" w:hAnsi="Garamond"/>
          <w:sz w:val="20"/>
          <w:szCs w:val="20"/>
          <w:lang w:val="en-US" w:eastAsia="fr-FR"/>
        </w:rPr>
        <w:t xml:space="preserve"> Es liegt nahe, die Disposition zur Hypnose mit der originären abnormen Erregbarkeit zu identificiren, da uns ja auch die arteficielle Hypnose ideogene Veränderungen der Secretion, der localen Blutfülle, Blasenbildungen u. dgl. zeigt. </w:t>
      </w:r>
      <w:r w:rsidRPr="00C820A0">
        <w:rPr>
          <w:rFonts w:ascii="Garamond" w:hAnsi="Garamond"/>
          <w:sz w:val="20"/>
          <w:szCs w:val="20"/>
          <w:lang w:val="en-US" w:eastAsia="fr-FR"/>
        </w:rPr>
        <w:t xml:space="preserve">Diess scheint die Ansicht von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zu sein. Ich meine aber, man bewegt sich da in einem falschen Cirkel. Diese Thaumaturgie der Hypnose beobachten wir, so viel ich sehe, doch nur bei Hysterischen. Wir würden also der Hypnose die Leistungen der Hysterie zuschreiben, und dann wieder diese aus der Hypnose ableiten.</w:t>
      </w:r>
    </w:p>
    <w:p w:rsidR="005C1841" w:rsidRPr="005C1841" w:rsidRDefault="005C1841" w:rsidP="005C1841">
      <w:pPr>
        <w:pStyle w:val="Sansinterligne"/>
        <w:rPr>
          <w:rFonts w:ascii="Garamond" w:hAnsi="Garamond"/>
          <w:sz w:val="20"/>
          <w:szCs w:val="20"/>
          <w:lang w:val="en-US" w:eastAsia="fr-FR"/>
        </w:rPr>
      </w:pPr>
      <w:hyperlink r:id="rId2034" w:anchor="cite_ref-23"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w:t>
      </w:r>
      <w:r w:rsidRPr="00C820A0">
        <w:rPr>
          <w:rFonts w:ascii="Garamond" w:hAnsi="Garamond"/>
          <w:i/>
          <w:iCs/>
          <w:sz w:val="20"/>
          <w:szCs w:val="20"/>
          <w:lang w:val="en-US" w:eastAsia="fr-FR"/>
        </w:rPr>
        <w:t>Möbius</w:t>
      </w:r>
      <w:r w:rsidRPr="00C820A0">
        <w:rPr>
          <w:rFonts w:ascii="Garamond" w:hAnsi="Garamond"/>
          <w:sz w:val="20"/>
          <w:szCs w:val="20"/>
          <w:lang w:val="en-US" w:eastAsia="fr-FR"/>
        </w:rPr>
        <w:t xml:space="preserve">: Gegenwärtige Auffassung der Hysterie. </w:t>
      </w:r>
      <w:r w:rsidRPr="005C1841">
        <w:rPr>
          <w:rFonts w:ascii="Garamond" w:hAnsi="Garamond"/>
          <w:sz w:val="20"/>
          <w:szCs w:val="20"/>
          <w:lang w:val="en-US" w:eastAsia="fr-FR"/>
        </w:rPr>
        <w:t>Monatsschrift für Geburtshilfe und Gynäkologie, 1895, I. Bd., p. 18.</w:t>
      </w:r>
    </w:p>
    <w:p w:rsidR="005C1841" w:rsidRPr="005C1841" w:rsidRDefault="005C1841" w:rsidP="005C1841">
      <w:pPr>
        <w:pStyle w:val="Sansinterligne"/>
        <w:rPr>
          <w:rFonts w:ascii="Garamond" w:hAnsi="Garamond"/>
          <w:sz w:val="20"/>
          <w:szCs w:val="20"/>
          <w:lang w:val="en-US" w:eastAsia="fr-FR"/>
        </w:rPr>
      </w:pPr>
      <w:r w:rsidRPr="005C1841">
        <w:rPr>
          <w:rFonts w:ascii="Garamond" w:hAnsi="Garamond"/>
          <w:sz w:val="20"/>
          <w:szCs w:val="20"/>
          <w:lang w:val="en-US" w:eastAsia="fr-FR"/>
        </w:rPr>
        <w:t>IV. Zur Psychotherapie der Hysterie.</w:t>
      </w:r>
    </w:p>
    <w:p w:rsidR="005C1841" w:rsidRPr="005C1841" w:rsidRDefault="005C1841" w:rsidP="005C1841">
      <w:pPr>
        <w:pStyle w:val="Sansinterligne"/>
        <w:rPr>
          <w:rFonts w:ascii="Garamond" w:hAnsi="Garamond"/>
          <w:sz w:val="20"/>
          <w:szCs w:val="20"/>
          <w:lang w:val="en-US" w:eastAsia="fr-FR"/>
        </w:rPr>
      </w:pPr>
      <w:r w:rsidRPr="005C1841">
        <w:rPr>
          <w:rFonts w:ascii="Garamond" w:hAnsi="Garamond"/>
          <w:sz w:val="20"/>
          <w:szCs w:val="20"/>
          <w:lang w:val="en-US" w:eastAsia="fr-FR"/>
        </w:rPr>
        <w:t xml:space="preserve">(Sigm. </w:t>
      </w:r>
      <w:r w:rsidRPr="005C1841">
        <w:rPr>
          <w:rFonts w:ascii="Garamond" w:hAnsi="Garamond"/>
          <w:i/>
          <w:iCs/>
          <w:sz w:val="20"/>
          <w:szCs w:val="20"/>
          <w:lang w:val="en-US" w:eastAsia="fr-FR"/>
        </w:rPr>
        <w:t>Freud</w:t>
      </w:r>
      <w:r w:rsidRPr="005C1841">
        <w:rPr>
          <w:rFonts w:ascii="Garamond" w:hAnsi="Garamond"/>
          <w:sz w:val="20"/>
          <w:szCs w:val="20"/>
          <w:lang w:val="en-US" w:eastAsia="fr-FR"/>
        </w:rPr>
        <w:t>.)</w:t>
      </w:r>
    </w:p>
    <w:p w:rsidR="005C1841" w:rsidRPr="005C1841" w:rsidRDefault="005C1841" w:rsidP="005C1841">
      <w:pPr>
        <w:pStyle w:val="Sansinterligne"/>
        <w:rPr>
          <w:rFonts w:ascii="Garamond" w:hAnsi="Garamond"/>
          <w:sz w:val="20"/>
          <w:szCs w:val="20"/>
          <w:lang w:val="en-US" w:eastAsia="fr-FR"/>
        </w:rPr>
      </w:pPr>
      <w:r w:rsidRPr="005C1841">
        <w:rPr>
          <w:rFonts w:ascii="Garamond" w:hAnsi="Garamond"/>
          <w:sz w:val="20"/>
          <w:szCs w:val="20"/>
          <w:lang w:val="en-US" w:eastAsia="fr-FR"/>
        </w:rPr>
        <w:t>Wir haben in der „Vorläufigen Mittheilung“ berichtet, dass sich uns während der Forschung nach der Aetiologie hysterischer Symptome auch eine therapeutische Methode ergeben hat, die wir für praktisch bedeutsam halten. „</w:t>
      </w:r>
      <w:r w:rsidRPr="005C1841">
        <w:rPr>
          <w:rFonts w:ascii="Garamond" w:hAnsi="Garamond"/>
          <w:i/>
          <w:iCs/>
          <w:sz w:val="20"/>
          <w:szCs w:val="20"/>
          <w:lang w:val="en-US" w:eastAsia="fr-FR"/>
        </w:rPr>
        <w:t>Wir fanden nämlich, anfangs zu unserer grössten Ueberraschung, dass die einzelnen hysterischen Symptome sogleich und ohne Wiederkehr verschwanden, wenn es gelungen war, die Erinnerung an den veranlassenden Vorgang zu voller Helligkeit zu erwecken, damit auch den begleitenden Affect wachzurufen, und wenn dann der Kranke den Vorgang in möglichst ausführlicher Weise schilderte und dem Affect Worte gab</w:t>
      </w:r>
      <w:r w:rsidRPr="005C1841">
        <w:rPr>
          <w:rFonts w:ascii="Garamond" w:hAnsi="Garamond"/>
          <w:sz w:val="20"/>
          <w:szCs w:val="20"/>
          <w:lang w:val="en-US" w:eastAsia="fr-FR"/>
        </w:rPr>
        <w:t>“ (p. 4.).</w:t>
      </w:r>
    </w:p>
    <w:p w:rsidR="005C1841" w:rsidRPr="005C1841" w:rsidRDefault="005C1841" w:rsidP="005C1841">
      <w:pPr>
        <w:pStyle w:val="Sansinterligne"/>
        <w:rPr>
          <w:rFonts w:ascii="Garamond" w:hAnsi="Garamond"/>
          <w:sz w:val="20"/>
          <w:szCs w:val="20"/>
          <w:lang w:val="en-US" w:eastAsia="fr-FR"/>
        </w:rPr>
      </w:pPr>
      <w:r w:rsidRPr="005C1841">
        <w:rPr>
          <w:rFonts w:ascii="Garamond" w:hAnsi="Garamond"/>
          <w:sz w:val="20"/>
          <w:szCs w:val="20"/>
          <w:lang w:val="en-US" w:eastAsia="fr-FR"/>
        </w:rPr>
        <w:t>Wir suchten uns ferner verständlich zu machen, auf welche Weise unsere psychotherapeutische Methode wirke: „</w:t>
      </w:r>
      <w:r w:rsidRPr="005C1841">
        <w:rPr>
          <w:rFonts w:ascii="Garamond" w:hAnsi="Garamond"/>
          <w:i/>
          <w:iCs/>
          <w:sz w:val="20"/>
          <w:szCs w:val="20"/>
          <w:lang w:val="en-US" w:eastAsia="fr-FR"/>
        </w:rPr>
        <w:t>Sie hebt die Wirksamkeit der ursprünglich nicht abreagirten Vorstellung dadurch auf, dass sie dem eingeklemmten Affect derselben den Ablauf durch die Rede gestattet und bringt sie zur associativen Correctur, indem sie dieselbe in’s normale Bewusstsein zieht (in leichterer Hypnose) oder durch ärztliche Suggestion aufhebt, wie es im Somnambulismus mit Amnesie geschieht</w:t>
      </w:r>
      <w:r w:rsidRPr="005C1841">
        <w:rPr>
          <w:rFonts w:ascii="Garamond" w:hAnsi="Garamond"/>
          <w:sz w:val="20"/>
          <w:szCs w:val="20"/>
          <w:lang w:val="en-US" w:eastAsia="fr-FR"/>
        </w:rPr>
        <w:t>“ (pag. 13).</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will nun versuchen, im Zusammenhange darzuthun, wie weit diese Methode trägt, um was sie mehr als andere leistet, mit welcher Technik und mit welchen Schwierigkeiten sie arbeitet, wenngleich das Wesentliche hierüber bereits in den voranstehenden Krankengeschichten enthalten ist, und ich es nicht vermeiden kann, mich in dieser Darstellung zu wiederholen.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darf auch für meinen Theil sagen, dass ich am Inhalte der „Vorläufigen Mittheilung“ festhalten kann; jedoch muss ich eingestehen, dass sich mir in den seither verflossenen Jahren – bei unausgesetzter Beschäftigung mit den dort berührten Problemen – neue Gesichtspunkte </w:t>
      </w:r>
      <w:r w:rsidRPr="00C820A0">
        <w:rPr>
          <w:rFonts w:ascii="Garamond" w:hAnsi="Garamond"/>
          <w:color w:val="666666"/>
          <w:sz w:val="20"/>
          <w:szCs w:val="20"/>
          <w:lang w:val="en-US" w:eastAsia="fr-FR"/>
        </w:rPr>
        <w:t>[</w:t>
      </w:r>
      <w:hyperlink r:id="rId2035" w:tooltip="Seite:De Studien über Hysterie 223.jpg" w:history="1">
        <w:r w:rsidRPr="00C820A0">
          <w:rPr>
            <w:rFonts w:ascii="Garamond" w:hAnsi="Garamond"/>
            <w:b/>
            <w:bCs/>
            <w:color w:val="0000FF"/>
            <w:sz w:val="20"/>
            <w:szCs w:val="20"/>
            <w:u w:val="single"/>
            <w:lang w:val="en-US" w:eastAsia="fr-FR"/>
          </w:rPr>
          <w:t>223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aufgedrängt haben, die eine wenigstens zum Theil andersartige Gruppirung und Auffassung des damals bekannten Materiales an Thatsachen zur Folge hatten. Es wäre unrecht, wenn ich versuchen wollte, meinem verehrten Freunde J.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zuviel von der Verantwortlichkeit für diese Entwicklung aufzubürden. Die folgenden Ausführungen bringe ich daher vorwiegend im eigenen Namen.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Als ich versuchte, die </w:t>
      </w:r>
      <w:r w:rsidRPr="00C820A0">
        <w:rPr>
          <w:rFonts w:ascii="Garamond" w:hAnsi="Garamond"/>
          <w:i/>
          <w:iCs/>
          <w:sz w:val="20"/>
          <w:szCs w:val="20"/>
          <w:lang w:val="en-US" w:eastAsia="fr-FR"/>
        </w:rPr>
        <w:t>Breuer</w:t>
      </w:r>
      <w:r w:rsidRPr="00C820A0">
        <w:rPr>
          <w:rFonts w:ascii="Garamond" w:hAnsi="Garamond"/>
          <w:sz w:val="20"/>
          <w:szCs w:val="20"/>
          <w:lang w:val="en-US" w:eastAsia="fr-FR"/>
        </w:rPr>
        <w:t>’sche Methode der Heilung hysterischer Symptome durch Ausforschung und Abreagiren in der Hypnose an einer grösseren Reihe von Kranken zu verwenden, stiessen mir zwei Schwierigkeiten auf, in deren Verfolgung ich zu einer Abänderung der Technik wie der Auffassung gelangte. 1. Es waren nicht alle Personen hypnotisirbar, die unzweifelhaft hysterische Symptome zeigten, und bei denen höchst wahrscheinlich derselbe psychische Mechanismus obwaltete; 2. ich musste Stellung zu der Frage nehmen, was denn wesentlich die Hysterie charakterisirt, und wodurch sich dieselbe gegen andere Neurosen abgrenzt.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verschiebe es auf später, mitzutheilen, wie ich die erstere Schwierigkeit bewältigt, und was ich aus ihr gelernt habe. Ich gehe zunächst darauf ein, wie ich in der täglichen Praxis gegen das zweite Problem Stellung nahm. Es ist sehr schwierig, einen Fall von Neurose richtig zu durchschauen, </w:t>
      </w:r>
      <w:r w:rsidRPr="00C820A0">
        <w:rPr>
          <w:rFonts w:ascii="Garamond" w:hAnsi="Garamond"/>
          <w:i/>
          <w:iCs/>
          <w:sz w:val="20"/>
          <w:szCs w:val="20"/>
          <w:lang w:val="en-US" w:eastAsia="fr-FR"/>
        </w:rPr>
        <w:t>ehe</w:t>
      </w:r>
      <w:r w:rsidRPr="00C820A0">
        <w:rPr>
          <w:rFonts w:ascii="Garamond" w:hAnsi="Garamond"/>
          <w:sz w:val="20"/>
          <w:szCs w:val="20"/>
          <w:lang w:val="en-US" w:eastAsia="fr-FR"/>
        </w:rPr>
        <w:t xml:space="preserve"> man ihn einer gründlichen Analyse unterzogen hat; einer Analyse, wie sie eben nur bei Anwendung der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’schen Methode resultirt. Die Entscheidung über Diagnose und Art der Therapie muss aber </w:t>
      </w:r>
      <w:r w:rsidRPr="00C820A0">
        <w:rPr>
          <w:rFonts w:ascii="Garamond" w:hAnsi="Garamond"/>
          <w:i/>
          <w:iCs/>
          <w:sz w:val="20"/>
          <w:szCs w:val="20"/>
          <w:lang w:val="en-US" w:eastAsia="fr-FR"/>
        </w:rPr>
        <w:t>vor</w:t>
      </w:r>
      <w:r w:rsidRPr="00C820A0">
        <w:rPr>
          <w:rFonts w:ascii="Garamond" w:hAnsi="Garamond"/>
          <w:sz w:val="20"/>
          <w:szCs w:val="20"/>
          <w:lang w:val="en-US" w:eastAsia="fr-FR"/>
        </w:rPr>
        <w:t xml:space="preserve"> einer solchen gründlichen Kenntniss gefällt werden. Es blieb mir also nichts übrig, als solche Fälle für die kathartische Methode auszuwählen, die man vorläufig als Hysterie diagnosticiren konnte, die einzelne oder mehrere von den Stigmen oder charakteristischen Symptomen der Hysterie erkennen liessen. Dann ereignete es sich manchmal, dass die therapeutischen Ergebnisse trotz der Hysteriediagnose recht </w:t>
      </w:r>
      <w:r w:rsidRPr="00C820A0">
        <w:rPr>
          <w:rFonts w:ascii="Garamond" w:hAnsi="Garamond"/>
          <w:sz w:val="20"/>
          <w:szCs w:val="20"/>
          <w:lang w:val="en-US" w:eastAsia="fr-FR"/>
        </w:rPr>
        <w:lastRenderedPageBreak/>
        <w:t xml:space="preserve">armselig ausfielen, dass selbst die Analyse nichts Bedeutsames zu Tage förderte. Anderemale versuchte ich Neurosen mit der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’schen Methode zu behandeln, die gewiss niemandem als Hysterie imponirt hätten, und ich fand, dass sie auf diese Weise zu beeinflussen, ja selbst zu lösen waren. So ging es mir z. B. mit den Zwangsvorstellungen, den echten Zwangsvorstellungen nach </w:t>
      </w:r>
      <w:r w:rsidRPr="00C820A0">
        <w:rPr>
          <w:rFonts w:ascii="Garamond" w:hAnsi="Garamond"/>
          <w:i/>
          <w:iCs/>
          <w:sz w:val="20"/>
          <w:szCs w:val="20"/>
          <w:lang w:val="en-US" w:eastAsia="fr-FR"/>
        </w:rPr>
        <w:t>Westphal</w:t>
      </w:r>
      <w:r w:rsidRPr="00C820A0">
        <w:rPr>
          <w:rFonts w:ascii="Garamond" w:hAnsi="Garamond"/>
          <w:sz w:val="20"/>
          <w:szCs w:val="20"/>
          <w:lang w:val="en-US" w:eastAsia="fr-FR"/>
        </w:rPr>
        <w:t xml:space="preserve">’schem Muster, in Fällen, die nicht durch </w:t>
      </w:r>
      <w:r w:rsidRPr="00C820A0">
        <w:rPr>
          <w:rFonts w:ascii="Garamond" w:hAnsi="Garamond"/>
          <w:i/>
          <w:iCs/>
          <w:sz w:val="20"/>
          <w:szCs w:val="20"/>
          <w:lang w:val="en-US" w:eastAsia="fr-FR"/>
        </w:rPr>
        <w:t>einen</w:t>
      </w:r>
      <w:r w:rsidRPr="00C820A0">
        <w:rPr>
          <w:rFonts w:ascii="Garamond" w:hAnsi="Garamond"/>
          <w:sz w:val="20"/>
          <w:szCs w:val="20"/>
          <w:lang w:val="en-US" w:eastAsia="fr-FR"/>
        </w:rPr>
        <w:t xml:space="preserve"> Zug an Hysterie erinnerten. Somit konnte der psychische Mechanismus, den die vorläufige Mittheilung aufgedeckt hatte, nicht für Hysterie pathognomonisch sein; ich konnte mich auch nicht entschliessen, </w:t>
      </w:r>
      <w:r w:rsidRPr="00C820A0">
        <w:rPr>
          <w:rFonts w:ascii="Garamond" w:hAnsi="Garamond"/>
          <w:color w:val="666666"/>
          <w:sz w:val="20"/>
          <w:szCs w:val="20"/>
          <w:lang w:val="en-US" w:eastAsia="fr-FR"/>
        </w:rPr>
        <w:t>[</w:t>
      </w:r>
      <w:hyperlink r:id="rId2036" w:tooltip="Seite:De Studien über Hysterie 224.jpg" w:history="1">
        <w:r w:rsidRPr="00C820A0">
          <w:rPr>
            <w:rFonts w:ascii="Garamond" w:hAnsi="Garamond"/>
            <w:b/>
            <w:bCs/>
            <w:color w:val="0000FF"/>
            <w:sz w:val="20"/>
            <w:szCs w:val="20"/>
            <w:u w:val="single"/>
            <w:lang w:val="en-US" w:eastAsia="fr-FR"/>
          </w:rPr>
          <w:t>224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diesem Mechanismus zu Liebe etwa soviel andere Neurosen in einen Topf mit der Hysterie zu werfen. Aus all’ den angeregten Zweifeln riss mich endlich der Plan, alle anderen in Frage kommenden Neurosen ähnlich wie die Hysterie zu behandeln, überall nach der Aetiologie und nach der Art des psychischen Mechanismus zu forschen, und die Entscheidung über die Berechtigung der Hysteriediagnose von dem Ausfall dieser Untersuchung abhängen zu lassen.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So gelangte ich, von der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’schen Methode ausgehend, dazu, mich mit der Aetiologie und dem Mechanismus der Neurosen überhaupt zu beschäftigen. Ich hatte dann das Glück, in verhältnissmässig kurzer Zeit bei brauchbaren Ergebnissen anzukommen. Es drängte sich mir zunächst die Erkenntniss auf, dass, insofern man von einer Verursachung sprechen könne, durch welche Neurosen </w:t>
      </w:r>
      <w:r w:rsidRPr="00C820A0">
        <w:rPr>
          <w:rFonts w:ascii="Garamond" w:hAnsi="Garamond"/>
          <w:i/>
          <w:iCs/>
          <w:sz w:val="20"/>
          <w:szCs w:val="20"/>
          <w:lang w:val="en-US" w:eastAsia="fr-FR"/>
        </w:rPr>
        <w:t>erworben</w:t>
      </w:r>
      <w:r w:rsidRPr="00C820A0">
        <w:rPr>
          <w:rFonts w:ascii="Garamond" w:hAnsi="Garamond"/>
          <w:sz w:val="20"/>
          <w:szCs w:val="20"/>
          <w:lang w:val="en-US" w:eastAsia="fr-FR"/>
        </w:rPr>
        <w:t xml:space="preserve"> würden, die Aetiologie in </w:t>
      </w:r>
      <w:r w:rsidRPr="00C820A0">
        <w:rPr>
          <w:rFonts w:ascii="Garamond" w:hAnsi="Garamond"/>
          <w:i/>
          <w:iCs/>
          <w:sz w:val="20"/>
          <w:szCs w:val="20"/>
          <w:lang w:val="en-US" w:eastAsia="fr-FR"/>
        </w:rPr>
        <w:t>sexuellen</w:t>
      </w:r>
      <w:r w:rsidRPr="00C820A0">
        <w:rPr>
          <w:rFonts w:ascii="Garamond" w:hAnsi="Garamond"/>
          <w:sz w:val="20"/>
          <w:szCs w:val="20"/>
          <w:lang w:val="en-US" w:eastAsia="fr-FR"/>
        </w:rPr>
        <w:t xml:space="preserve"> Momenten zu suchen sei. Daran reihte sich der Befund, dass verschiedene sexuelle Momente, ganz allgemein genommen, auch verschiedene Bilder von neurotischen Erkrankungen erzeugen. Und nun konnte man, in dem Maass, als sich das letztere Verhältniss bestätigte, auch wagen, die Aetiologie zur Charakteristik der Neurosen zu verwerthen und eine scharfe Scheidung der Krankheitsbilder der Neurosen aufzustellen. Trafen ätiologische Charaktere mit klinischen constant zusammen, so war diess ja gerechtfertigt.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Auf diese Weise ergab sich mir, dass der </w:t>
      </w:r>
      <w:r w:rsidRPr="00C820A0">
        <w:rPr>
          <w:rFonts w:ascii="Garamond" w:hAnsi="Garamond"/>
          <w:i/>
          <w:iCs/>
          <w:sz w:val="20"/>
          <w:szCs w:val="20"/>
          <w:lang w:val="en-US" w:eastAsia="fr-FR"/>
        </w:rPr>
        <w:t>Neurasthenie</w:t>
      </w:r>
      <w:r w:rsidRPr="00C820A0">
        <w:rPr>
          <w:rFonts w:ascii="Garamond" w:hAnsi="Garamond"/>
          <w:sz w:val="20"/>
          <w:szCs w:val="20"/>
          <w:lang w:val="en-US" w:eastAsia="fr-FR"/>
        </w:rPr>
        <w:t xml:space="preserve"> eigentlich ein monotones Krankheitsbild entspreche, in welchem, wie Analysen zeigten, ein „psychischer Mechanismus“ keine Rolle spiele. Von der Neurasthenie trennte sich scharf ab die </w:t>
      </w:r>
      <w:r w:rsidRPr="00C820A0">
        <w:rPr>
          <w:rFonts w:ascii="Garamond" w:hAnsi="Garamond"/>
          <w:i/>
          <w:iCs/>
          <w:sz w:val="20"/>
          <w:szCs w:val="20"/>
          <w:lang w:val="en-US" w:eastAsia="fr-FR"/>
        </w:rPr>
        <w:t>Zwangsneurose</w:t>
      </w:r>
      <w:r w:rsidRPr="00C820A0">
        <w:rPr>
          <w:rFonts w:ascii="Garamond" w:hAnsi="Garamond"/>
          <w:sz w:val="20"/>
          <w:szCs w:val="20"/>
          <w:lang w:val="en-US" w:eastAsia="fr-FR"/>
        </w:rPr>
        <w:t xml:space="preserve">, die Neurose der echten Zwangsvorstellungen, für die sich ein complicirter psychischer Mechanismus, eine der hysterischen ähnliche Aetiologie und eine weitreichende Möglichkeit der Rückbildung durch Psychotherapie erkennen liessen. Andererseits schien es mir unbedenklich geboten, von der Neurasthenie einen neurotischen Symptomcomplex abzusondern, der von einer ganz abweichenden, ja, im Grunde genommen, gegensätzlichen Aetiologie abhängt, während die Theilsymptome dieses Complexes durch einen schon von E. </w:t>
      </w:r>
      <w:r w:rsidRPr="00C820A0">
        <w:rPr>
          <w:rFonts w:ascii="Garamond" w:hAnsi="Garamond"/>
          <w:i/>
          <w:iCs/>
          <w:sz w:val="20"/>
          <w:szCs w:val="20"/>
          <w:lang w:val="en-US" w:eastAsia="fr-FR"/>
        </w:rPr>
        <w:t>Hecker</w:t>
      </w:r>
      <w:hyperlink r:id="rId2037" w:anchor="cite_note-0" w:history="1">
        <w:r w:rsidRPr="00C820A0">
          <w:rPr>
            <w:rFonts w:ascii="Garamond" w:hAnsi="Garamond"/>
            <w:color w:val="0000FF"/>
            <w:sz w:val="20"/>
            <w:szCs w:val="20"/>
            <w:u w:val="single"/>
            <w:vertAlign w:val="superscript"/>
            <w:lang w:val="en-US" w:eastAsia="fr-FR"/>
          </w:rPr>
          <w:t>[1]</w:t>
        </w:r>
      </w:hyperlink>
      <w:r w:rsidRPr="00C820A0">
        <w:rPr>
          <w:rFonts w:ascii="Garamond" w:hAnsi="Garamond"/>
          <w:sz w:val="20"/>
          <w:szCs w:val="20"/>
          <w:lang w:val="en-US" w:eastAsia="fr-FR"/>
        </w:rPr>
        <w:t xml:space="preserve"> erkannten Charakter zusammengehalten werden. Sie sind nämlich entweder Symptome oder Aequivalente und Rudimente von </w:t>
      </w:r>
      <w:r w:rsidRPr="00C820A0">
        <w:rPr>
          <w:rFonts w:ascii="Garamond" w:hAnsi="Garamond"/>
          <w:i/>
          <w:iCs/>
          <w:sz w:val="20"/>
          <w:szCs w:val="20"/>
          <w:lang w:val="en-US" w:eastAsia="fr-FR"/>
        </w:rPr>
        <w:t>Angstäusserungen</w:t>
      </w:r>
      <w:r w:rsidRPr="00C820A0">
        <w:rPr>
          <w:rFonts w:ascii="Garamond" w:hAnsi="Garamond"/>
          <w:sz w:val="20"/>
          <w:szCs w:val="20"/>
          <w:lang w:val="en-US" w:eastAsia="fr-FR"/>
        </w:rPr>
        <w:t xml:space="preserve">, und ich habe darum diesen von der Neurasthenie abzutrennenden Complex </w:t>
      </w:r>
      <w:r w:rsidRPr="00C820A0">
        <w:rPr>
          <w:rFonts w:ascii="Garamond" w:hAnsi="Garamond"/>
          <w:i/>
          <w:iCs/>
          <w:sz w:val="20"/>
          <w:szCs w:val="20"/>
          <w:lang w:val="en-US" w:eastAsia="fr-FR"/>
        </w:rPr>
        <w:t>Angstneurose</w:t>
      </w:r>
      <w:r w:rsidRPr="00C820A0">
        <w:rPr>
          <w:rFonts w:ascii="Garamond" w:hAnsi="Garamond"/>
          <w:sz w:val="20"/>
          <w:szCs w:val="20"/>
          <w:lang w:val="en-US" w:eastAsia="fr-FR"/>
        </w:rPr>
        <w:t xml:space="preserve"> geheissen. Ich habe von ihm behauptet, er käme durch die Anhäufung physischer Spannung zu Stande, die selbst wieder sexualer </w:t>
      </w:r>
      <w:r w:rsidRPr="00C820A0">
        <w:rPr>
          <w:rFonts w:ascii="Garamond" w:hAnsi="Garamond"/>
          <w:color w:val="666666"/>
          <w:sz w:val="20"/>
          <w:szCs w:val="20"/>
          <w:lang w:val="en-US" w:eastAsia="fr-FR"/>
        </w:rPr>
        <w:t>[</w:t>
      </w:r>
      <w:hyperlink r:id="rId2038" w:tooltip="Seite:De Studien über Hysterie 225.jpg" w:history="1">
        <w:r w:rsidRPr="00C820A0">
          <w:rPr>
            <w:rFonts w:ascii="Garamond" w:hAnsi="Garamond"/>
            <w:b/>
            <w:bCs/>
            <w:color w:val="0000FF"/>
            <w:sz w:val="20"/>
            <w:szCs w:val="20"/>
            <w:u w:val="single"/>
            <w:lang w:val="en-US" w:eastAsia="fr-FR"/>
          </w:rPr>
          <w:t>225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Herkunft ist; diese Neurose hat auch noch keinen psychischen Mechanismus, beeinflusst aber ganz regelmässig das psychische Leben, so dass „ängstliche Erwartung“, Phobien, Hyperästhesie gegen Schmerzen u. a. zu ihren regelmässigen Aeusserungen gehören. Diese Angstneurose in meinem Sinne deckt sich gewiss theilweise mit der Neurose, die unter dem Namen „Hypochondrie“ in so manchen Darstellungen neben Hysterie und Neurasthenie anerkannnt wird; nur dass ich in keiner der vorliegenden Bearbeitungen die Abgrenzung dieser Neurose für die richtige halten kann, und dass ich die Brauchbarkeit des Namens Hypochondrie durch dessen feste Beziehung auf das Symptom der „Krankheitsfurcht“ beeinträchtigt finde.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Nachdem ich mir so die einfachen Bilder der Neurasthenie, der Angstneurose und der Zwangsvorstellungen fixirt hatte, ging ich an die Auffassung der gemeinhin vorkommenden Fälle von Neurosen heran, die bei der Diagnose Hysterie in Betracht kommen. Ich musste mir jetzt sagen, dass es nicht angeht, eine Neurose im Ganzen zur hysterischen zu stempeln, weil aus ihrem Symptomencomplex einige hysterische Zeichen hervorleuchten. Ich konnte mir diese Uebung sehr wohl erklären, da doch die Hysterie die älteste, die bestbekannte und die auffälligste der in Betracht kommenden Neurosen ist; aber es war doch ein Missbrauch, derselbe, der auf die Rechnung der Hysterie so viele Züge von Perversion und Degeneration hatte setzen lassen. So oft in einem complicirten Fall von psychischer Entartung ein hysterisches Anzeichen, eine Anästhesie, eine charakteristische Attaque zu entdecken war, hatte man das Ganze „Hysterie“ genannt und konnte dann freilich das Aergste und das Widersprechendste unter dieser Etiquette vereinigt finden. So gewiss </w:t>
      </w:r>
      <w:r w:rsidRPr="00C820A0">
        <w:rPr>
          <w:rFonts w:ascii="Garamond" w:hAnsi="Garamond"/>
          <w:i/>
          <w:iCs/>
          <w:sz w:val="20"/>
          <w:szCs w:val="20"/>
          <w:lang w:val="en-US" w:eastAsia="fr-FR"/>
        </w:rPr>
        <w:t>diese</w:t>
      </w:r>
      <w:r w:rsidRPr="00C820A0">
        <w:rPr>
          <w:rFonts w:ascii="Garamond" w:hAnsi="Garamond"/>
          <w:sz w:val="20"/>
          <w:szCs w:val="20"/>
          <w:lang w:val="en-US" w:eastAsia="fr-FR"/>
        </w:rPr>
        <w:t xml:space="preserve"> Diagnostik unrecht war, so gewiss durfte man auch nach der neurotischen Seite hin sondern, und da man Neurasthenie, Angstneurose u. dgl. im reinen Zustande kannte, brauchte man sie in der Combination nicht mehr zu übersehen.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schien also folgende Auffassung die berechtigtere: Die gewöhnlich vorkommenden Neurosen sind meist als „gemischte“ zu bezeichnen; von der Neurasthenie und der Angstneurose findet man ohne Mühe auch reine Formen, am ehesten bei jugendlichen Personen. Von Hysterie und Zwangsneurose sind reine Fälle selten, für gewöhnlich sind diese beiden Neurosen mit einer Angstneurose combinirt. Dies so häufige Vorkommen von gemischten Neurosen rührt daher, dass deren ätiologische Momente sich so häufig vermengen, bald nur zufälliger Weise, bald in Folge von causalen Beziehungen zwischen den Vorgängen, </w:t>
      </w:r>
      <w:r w:rsidRPr="00C820A0">
        <w:rPr>
          <w:rFonts w:ascii="Garamond" w:hAnsi="Garamond"/>
          <w:color w:val="666666"/>
          <w:sz w:val="20"/>
          <w:szCs w:val="20"/>
          <w:lang w:val="en-US" w:eastAsia="fr-FR"/>
        </w:rPr>
        <w:t>[</w:t>
      </w:r>
      <w:hyperlink r:id="rId2039" w:tooltip="Seite:De Studien über Hysterie 226.jpg" w:history="1">
        <w:r w:rsidRPr="00C820A0">
          <w:rPr>
            <w:rFonts w:ascii="Garamond" w:hAnsi="Garamond"/>
            <w:b/>
            <w:bCs/>
            <w:color w:val="0000FF"/>
            <w:sz w:val="20"/>
            <w:szCs w:val="20"/>
            <w:u w:val="single"/>
            <w:lang w:val="en-US" w:eastAsia="fr-FR"/>
          </w:rPr>
          <w:t>226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aus denen die ätiologischen Momente der Neurosen fliessen. Diess lässt sich unschwer im Einzelnen durchführen und erweisen; für die Hysterie folgt aber hieraus, dass es kaum möglich ist, sie für die Betrachtung aus dem Zusammenhange der Sexualneurosen zu reissen; dass sie in der Regel nur eine Seite, einen Aspect des complicirten neurotischen Falles darstellt, und dass sie nur gleichsam im Grenzfall als isolirte Neurose gefunden werden und behandelt werden kann. Man darf etwa in einer Reihe von Fällen sagen: a potiori fit denominatio.</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will die hier mitgetheilten Krankengeschichten daraufhin prüfen, ob sie meiner Auffassung von der klinischen Unselbständigkeit der Hysterie das Wort reden. Anna O., die Kranke </w:t>
      </w:r>
      <w:r w:rsidRPr="00C820A0">
        <w:rPr>
          <w:rFonts w:ascii="Garamond" w:hAnsi="Garamond"/>
          <w:i/>
          <w:iCs/>
          <w:sz w:val="20"/>
          <w:szCs w:val="20"/>
          <w:lang w:val="en-US" w:eastAsia="fr-FR"/>
        </w:rPr>
        <w:t>Breuer's</w:t>
      </w:r>
      <w:r w:rsidRPr="00C820A0">
        <w:rPr>
          <w:rFonts w:ascii="Garamond" w:hAnsi="Garamond"/>
          <w:sz w:val="20"/>
          <w:szCs w:val="20"/>
          <w:lang w:val="en-US" w:eastAsia="fr-FR"/>
        </w:rPr>
        <w:t xml:space="preserve">, scheint dem zu widersprechen und eine rein hysterische Erkrankung zu erläutern. Allein dieser Fall, der so fruchtbar für die Erkenntniss der Hysterie </w:t>
      </w:r>
      <w:r w:rsidRPr="00C820A0">
        <w:rPr>
          <w:rFonts w:ascii="Garamond" w:hAnsi="Garamond"/>
          <w:sz w:val="20"/>
          <w:szCs w:val="20"/>
          <w:lang w:val="en-US" w:eastAsia="fr-FR"/>
        </w:rPr>
        <w:lastRenderedPageBreak/>
        <w:t xml:space="preserve">geworden ist, wurde von seinem Beobachter gar nicht unter den Gesichtspunkt der Sexualneurose gebracht und ist heute einfach für diesen nicht zu verwerthen. Als ich die zweite Kranke, Frau Emmy v. N., zu analysiren begann, lag mir die Erwartung einer Sexualneurose als Boden für die Hysterie ziemlich ferne; ich war frisch aus der Schule </w:t>
      </w:r>
      <w:r w:rsidRPr="00C820A0">
        <w:rPr>
          <w:rFonts w:ascii="Garamond" w:hAnsi="Garamond"/>
          <w:i/>
          <w:iCs/>
          <w:sz w:val="20"/>
          <w:szCs w:val="20"/>
          <w:lang w:val="en-US" w:eastAsia="fr-FR"/>
        </w:rPr>
        <w:t>Charcot's</w:t>
      </w:r>
      <w:r w:rsidRPr="00C820A0">
        <w:rPr>
          <w:rFonts w:ascii="Garamond" w:hAnsi="Garamond"/>
          <w:sz w:val="20"/>
          <w:szCs w:val="20"/>
          <w:lang w:val="en-US" w:eastAsia="fr-FR"/>
        </w:rPr>
        <w:t xml:space="preserve"> gekommen und betrachtete die Verknüpfung einer Hysterie mit dem Thema der Sexualität als eine Art von Schimpf – ähnlich wie die Patientinnen selbst es pflegen. Wenn ich heute meine Notizen über diesen Fall überblicke, ist es mir ganz unzweifelhaft, dass ich einen Fall einer schweren Angstneurose mit ängstlicher Erwartung und Phobien anerkennen muss, die aus der sexuellen Abstinenz stammte und sich mit Hysterie combinirt hatte.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Fall III, der Fall der Miss Lucy R., ist vielleicht am ehesten ein Grenzfall von reiner Hysterie zu nennen, es ist eine kurze, episodisch verlaufende Hysterie bei unverkennbar sexueller Aetiologie, wie sie einer Angstneurose entsprechen würde; ein überreifes, liebebedürftiges Mädchen, dessen Neigung zu rasch durch ein Missverständniss erweckt wird. Allein die Angstneurose war nicht nachzuweisen oder ist mir entgangen. Fall IV, Katharina, ist geradezu ein Vorbild dessen, was ich virginale Angst genannt habe; es ist eine Combination von Angstneurose und Hysterie; die erstere schafft die Symptome, die letztere wiederholt sie und arbeitet mit ihnen. Uebrigens ein typischer Fall für soviele, „Hysterie“ genannte, jugendliche Neurosen. Fall V, der des Frl. Elisabeth v. R., ist wiederum nicht als Sexualneurose erforscht; einen Verdacht, dass eine Spinalneurasthenie die Grundlage gebildet habe, konnte ich nur äussern und nicht bestätigen. Ich muss aber </w:t>
      </w:r>
      <w:r w:rsidRPr="00C820A0">
        <w:rPr>
          <w:rFonts w:ascii="Garamond" w:hAnsi="Garamond"/>
          <w:color w:val="666666"/>
          <w:sz w:val="20"/>
          <w:szCs w:val="20"/>
          <w:lang w:val="en-US" w:eastAsia="fr-FR"/>
        </w:rPr>
        <w:t>[</w:t>
      </w:r>
      <w:hyperlink r:id="rId2040" w:tooltip="Seite:De Studien über Hysterie 227.jpg" w:history="1">
        <w:r w:rsidRPr="00C820A0">
          <w:rPr>
            <w:rFonts w:ascii="Garamond" w:hAnsi="Garamond"/>
            <w:b/>
            <w:bCs/>
            <w:color w:val="0000FF"/>
            <w:sz w:val="20"/>
            <w:szCs w:val="20"/>
            <w:u w:val="single"/>
            <w:lang w:val="en-US" w:eastAsia="fr-FR"/>
          </w:rPr>
          <w:t>227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hinzufügen, seither sind die reinen Hysterien in meiner Erfahrung noch seltener geworden; wenn ich diese vier Fälle als Hysterie zusammenstellen und bei ihrer Erörterung von den für Sexualneurosen maassgebenden Gesichtspunkten absehen konnte, so liegt der Grund darin, dass es ältere Fälle sind, bei denen ich die absichtliche und dringende Forschung nach der neurotischen sexualen Unterlage noch nicht durchgeführt hatte. Und wenn ich anstatt dieser vier Fälle nicht zwölf mitgetheilt habe, aus deren Analyse eine Bestätigung des von uns behaupteten psychischen Mechanismus hysterischer Phänomene zu gewinnen ist, so nöthigte mich zur Enthaltung nur der Umstand, dass die Analyse diese Krankheitsfälle gleichzeitig als Sexualneurosen enthüllte, obwohl ihnen den „Namen“ Hysterie gewiss kein Diagnostiker verweigert hätte. Die Aufklärung solcher Sexualneurosen überschreitet aber den Rahmen dieser unserer gemeinsamen Veröffentlichung.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möchte nicht dahin missverstanden werden, als ob ich die Hysterie nicht als selbständige neurotische Affection gelten lassen wollte, als erfasste ich sie bloss als psychische Aeusserung der Angstneurose, als schriebe ich ihr bloss „ideogene“ Symptome zu und zöge die somatischen Symptome (hysterogene Punkte, Anästhesien) zur Angstneurose hinüber. Nichts von alledem; ich meine, man kann in jeder Hinsicht die von allen Beimengungen gereinigte Hysterie selbständig abhandeln, nur nicht in Hinsicht der Therapie. Denn bei der Therapie handelt es sich um praktische Ziele, um die Beseitigung des gesammten leidenden Zustandes, und wenn die Hysterie zumeist als Componente einer gemischten Neurose vorkommt, so liegt der Fall wohl ähnlich wie bei den Mischinfectionen, wo die Erhaltung des Lebens sich als Aufgabe stellt, die nicht mit der Bekämpfung der Wirkung des einen Krankheitserregers zusammenfällt.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ist mir darum so wichtig, den Antheil der Hysterie an den Bildern der gemischten Neurosen von dem der Neurasthenie, Angstneurose u. s. w. zu sondern, weil ich nach dieser Trennung einen knappen Ausdruck für den therapeutischen Werth der kathartischen Methode geben kann. Ich möchte mich nämlich der Behauptung getrauen, dass sie – principiell – sehr wohl im Stande ist, jedes beliebige hysterische Symptom zu beseitigen, während sie, wie leicht ersichtlich, völlig machtlos ist gegen Phänomene der Neurasthenie und nur selten und auf Umwegen die psychischen Folgen der Angstneurose beeinflusst. Ihre therapeutische Wirksamkeit wird also im einzelnen Falle davon abhängen, ob die hysterische Componente des Krankheitsbildes </w:t>
      </w:r>
      <w:r w:rsidRPr="00C820A0">
        <w:rPr>
          <w:rFonts w:ascii="Garamond" w:hAnsi="Garamond"/>
          <w:color w:val="666666"/>
          <w:sz w:val="20"/>
          <w:szCs w:val="20"/>
          <w:lang w:val="en-US" w:eastAsia="fr-FR"/>
        </w:rPr>
        <w:t>[</w:t>
      </w:r>
      <w:hyperlink r:id="rId2041" w:tooltip="Seite:De Studien über Hysterie 228.jpg" w:history="1">
        <w:r w:rsidRPr="00C820A0">
          <w:rPr>
            <w:rFonts w:ascii="Garamond" w:hAnsi="Garamond"/>
            <w:b/>
            <w:bCs/>
            <w:color w:val="0000FF"/>
            <w:sz w:val="20"/>
            <w:szCs w:val="20"/>
            <w:u w:val="single"/>
            <w:lang w:val="en-US" w:eastAsia="fr-FR"/>
          </w:rPr>
          <w:t>228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eine praktisch bedeutsame Stellung im Vergleich zu den anderen neurotischen Componenten beanspruchen darf oder nicht.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Auch eine zweite Schranke ist der Wirksamkeit der kathartischen Methode gesetzt, auf welche wir bereits in der „Vorläufigen Mittheilung“ hingewiesen haben. Sie beeinflusst nicht die causalen Bedingungen der Hysterie, kann also nicht verhindern, dass an der Stelle der beseitigten Symptome neue entstehen. Im Ganzen also muss ich für unsere therapeutische Methode einen hervorragenden Platz innerhalb des Rahmens einer Therapie der Neurosen beanspruchen, möchte aber davon abrathen, sie ausserhalb dieses Zusammenhanges zu würdigen oder in Anwendung zu ziehen. Da ich an dieser Stelle eine „Therapie der Neurosen“, wie sie dem ausübenden Arzte vonnöthen wäre, nicht geben kann, stellen sich die vorstehenden Aeusserungen einer aufschiebenden Verweisung auf etwaige spätere Mittheilungen gleich; doch meine ich zur Ausführung und Erläuterung noch folgende Bemerkungen anschliessen zu können: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1. Ich behaupte nicht, dass ich sämmtliche hysterische Symptome, die ich mit der kathartischen Methode zu beeinflussen übernahm, auch wirklich beseitigt habe. Aber ich meine, die Hindernisse lagen an persönlichen Umständen der Fälle und waren nicht principieller Natur. Ich darf diese Fälle von Missglücken bei einer Urtheilsfällung ausser Betracht lassen, wie der Chirurg Fälle von Tod in der Narkose, durch Nachblutung, zufällige Sepsis u. dgl. bei der Entscheidung über eine neue Technik bei Seite schiebt. Wenn ich später von den Schwierigkeiten und Uebelständen des Verfahrens handeln werde, sollen die Misserfolge solcher Herkunft nochmals gewürdigt werden.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2. Die kathartische Methode wird darum nicht werthlos, weil sie eine </w:t>
      </w:r>
      <w:r w:rsidRPr="00C820A0">
        <w:rPr>
          <w:rFonts w:ascii="Garamond" w:hAnsi="Garamond"/>
          <w:i/>
          <w:iCs/>
          <w:sz w:val="20"/>
          <w:szCs w:val="20"/>
          <w:lang w:val="en-US" w:eastAsia="fr-FR"/>
        </w:rPr>
        <w:t>symptomatische</w:t>
      </w:r>
      <w:r w:rsidRPr="00C820A0">
        <w:rPr>
          <w:rFonts w:ascii="Garamond" w:hAnsi="Garamond"/>
          <w:sz w:val="20"/>
          <w:szCs w:val="20"/>
          <w:lang w:val="en-US" w:eastAsia="fr-FR"/>
        </w:rPr>
        <w:t xml:space="preserve"> und keine </w:t>
      </w:r>
      <w:r w:rsidRPr="00C820A0">
        <w:rPr>
          <w:rFonts w:ascii="Garamond" w:hAnsi="Garamond"/>
          <w:i/>
          <w:iCs/>
          <w:sz w:val="20"/>
          <w:szCs w:val="20"/>
          <w:lang w:val="en-US" w:eastAsia="fr-FR"/>
        </w:rPr>
        <w:t>causale</w:t>
      </w:r>
      <w:r w:rsidRPr="00C820A0">
        <w:rPr>
          <w:rFonts w:ascii="Garamond" w:hAnsi="Garamond"/>
          <w:sz w:val="20"/>
          <w:szCs w:val="20"/>
          <w:lang w:val="en-US" w:eastAsia="fr-FR"/>
        </w:rPr>
        <w:t xml:space="preserve"> ist. Denn eine causale Therapie ist eigentlich zumeist nur eine prophylaktische, sie sistirt die weitere Einwirkung der Schädlichkeit, beseitigt aber damit nicht nothwendig, was die Schädlichkeit bisher an Producten ergeben hat. Es bedarf in der Regel noch einer zweiten Action, welche die letztere Aufgabe löst, und für diesen Zweck ist im Falle der Hysterie die kathartische Methode geradezu unübertrefflich brauchbar.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3. Wo eine Periode hysterischer Production, ein acuter hysterischer Paroxysmus, überwunden ist und nur noch die hysterischen Symptome als Resterscheinungen erübrigen, da genügt die kathartische Methode allen Indicationen und erzielt volle und dauernde Erfolge. Eine solche günstige Constellation für die Therapie ergibt sich nicht </w:t>
      </w:r>
      <w:r w:rsidRPr="00C820A0">
        <w:rPr>
          <w:rFonts w:ascii="Garamond" w:hAnsi="Garamond"/>
          <w:color w:val="666666"/>
          <w:sz w:val="20"/>
          <w:szCs w:val="20"/>
          <w:lang w:val="en-US" w:eastAsia="fr-FR"/>
        </w:rPr>
        <w:t>[</w:t>
      </w:r>
      <w:hyperlink r:id="rId2042" w:tooltip="Seite:De Studien über Hysterie 229.jpg" w:history="1">
        <w:r w:rsidRPr="00C820A0">
          <w:rPr>
            <w:rFonts w:ascii="Garamond" w:hAnsi="Garamond"/>
            <w:b/>
            <w:bCs/>
            <w:color w:val="0000FF"/>
            <w:sz w:val="20"/>
            <w:szCs w:val="20"/>
            <w:u w:val="single"/>
            <w:lang w:val="en-US" w:eastAsia="fr-FR"/>
          </w:rPr>
          <w:t>229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selten gerade auf dem Gebiete des Geschlechtslebens, infolge der grossen Schwankungen in der Intensität des sexuellen Bedürfnisses und der Complication der für ein sexuelles Trauma erforderten Bedingungen. Hier leistet die kathartische Methode alles, was man ihr zur Aufgabe stellen kann, denn der Arzt kann sich nicht vorsetzen wollen, eine Constitution wie die hysterische zu ändern; er muss sich damit bescheiden, wenn er das Leiden beseitigt, zu dem eine solche Constitution geneigt ist, und das unter Mithilfe äusserer Bedingungen aus ihr entspringen kann. Er wird zufrieden sein, wenn die Kranke wieder leistungsfähig geworden ist. Uebrigens entbehrt er auch eines Trostes für die Zukunft nicht, wenn er die Möglichkeit der Recidive in Betracht zieht. Er kennt den Hauptcharakter in der Aetiologie der Neurosen, dass deren Entstehung zumeist </w:t>
      </w:r>
      <w:r w:rsidRPr="00C820A0">
        <w:rPr>
          <w:rFonts w:ascii="Garamond" w:hAnsi="Garamond"/>
          <w:i/>
          <w:iCs/>
          <w:sz w:val="20"/>
          <w:szCs w:val="20"/>
          <w:lang w:val="en-US" w:eastAsia="fr-FR"/>
        </w:rPr>
        <w:t>überdeterminirt</w:t>
      </w:r>
      <w:r w:rsidRPr="00C820A0">
        <w:rPr>
          <w:rFonts w:ascii="Garamond" w:hAnsi="Garamond"/>
          <w:sz w:val="20"/>
          <w:szCs w:val="20"/>
          <w:lang w:val="en-US" w:eastAsia="fr-FR"/>
        </w:rPr>
        <w:t xml:space="preserve"> ist, dass mehrere Momente zu dieser Wirkung zusammentreten müssen; er darf hoffen, dass dieses Zusammentreffen nicht sobald wieder statthaben wird, wenn auch einzelne der ätiologischen Momente in Wirksamkeit geblieben sind.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Man könnte einwenden, dass in solchen abgelaufenen Fällen von Hysterie die restirenden Symptome ohnediess spontan vergehen; allein hierauf darf man antworten, dass solche Spontanheilung sehr häufig weder rasch noch vollständig genug abläuft, und dass sie durch das Eingreifen der Therapie ausserordentlich gefördert werden kann. Ob man mit der kathartischen Therapie nur das heilt, was der Spontanheilung fähig ist, oder gelegentlich auch anderes, was sich spontan nicht gelöst hätte, das darf man für jetzt gerne ungeschlichtet lassen.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4. Wo man auf eine acute Hysterie gestossen ist, einen Fall in der Periode lebhaftester Production von hysterischen Symptomen und consecutiver Ueberwältigung des Ich durch die Krankheitsproducte (hysterische Psychose), da wird auch die kathartische Methode am Eindruck und Verlauf des Krankheitsfalles wenig ändern. Man befindet sich dann wohl in derselben Stellung gegen die Neurose, welche der Arzt gegen eine acute Infectionskrankheit einnimmt. Die ätiologischen Momente haben zu einer verflossenen, jetzt der Beeinflussung entzogenen Zeit ihre Wirkung im genügenden Ausmaasse geübt, nun werden dieselben nach Ueberwindung des Incubationsintervalles manifest; die Affection lässt sich nicht abbrechen; man muss ihren Ablauf abwarten und unterdess die günstigsten Bedingungen für den Kranken herstellen. Beseitigt man nun während einer solchen acuten Periode die Krankheitsproducte, die neu entstandenen hysterischen Symptome, so darf </w:t>
      </w:r>
      <w:r w:rsidRPr="00C820A0">
        <w:rPr>
          <w:rFonts w:ascii="Garamond" w:hAnsi="Garamond"/>
          <w:color w:val="666666"/>
          <w:sz w:val="20"/>
          <w:szCs w:val="20"/>
          <w:lang w:val="en-US" w:eastAsia="fr-FR"/>
        </w:rPr>
        <w:t>[</w:t>
      </w:r>
      <w:hyperlink r:id="rId2043" w:tooltip="Seite:De Studien über Hysterie 230.jpg" w:history="1">
        <w:r w:rsidRPr="00C820A0">
          <w:rPr>
            <w:rFonts w:ascii="Garamond" w:hAnsi="Garamond"/>
            <w:b/>
            <w:bCs/>
            <w:color w:val="0000FF"/>
            <w:sz w:val="20"/>
            <w:szCs w:val="20"/>
            <w:u w:val="single"/>
            <w:lang w:val="en-US" w:eastAsia="fr-FR"/>
          </w:rPr>
          <w:t>230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man sich darauf gefasst machen, dass die beseitigten alsbald durch neue ersetzt werden. Der verstimmende Eindruck einer Danaidenarbeit, einer „Mohrenwäsche“ wird dem Arzt nicht erspart bleiben, der riesige Aufwand von Mühe, die Unbefriedigung der Angehörigen, denen die Vorstellung der notwendigen Zeitdauer einer acuten Neurose kaum so vertraut sein wird wie im analogen Falle einer acuten Infectionskrankheit, diess und anderes wird wahrscheinlich die consequente Anwendung der kathartischen Methode im angenommenen Falle meist unmöglich machen. Doch bleibt es sehr in Erwägung zu ziehen, ob nicht auch bei einer acuten Hysterie die jedesmalige Beseitigung der Krankheitsproducte einen heilenden Einfluss übt, indem sie das mit der Abwehr beschäftigte normale Ich des Kranken unterstützt und es vor der Ueberwältigung, vor dem Verfall in Psychose, vielleicht in endgiltige Verworrenheit bewahrt.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Was die kathartische Methode auch bei acuter Hysterie zu leisten vermag, und dass sie selbst die Neuproduction an krankhaften Symptomen in praktisch bemerkbarer Weise einschränkt, das erhellt wohl unzweifelhaft aus der Geschichte der Anna O . . ., an welcher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diess psychotherapeutische Verfahren zuerst ausüben lernte.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5. Wo es sich um chronisch verlaufende Hysterien mit mässiger, aber unausgesetzter Production von hysterischen Symptomen handelt, da lernt man wohl den Mangel einer causal wirksamen Therapie am stärksten bedauern, aber auch die Bedeutung des kathartischen Verfahrens als symptomatische Therapie am meisten schätzen. Dann hat man es mit der Schädigung durch eine chronisch fortwirkende Aetiologie zu thun: es kommt alles darauf an, das Nervensystem des Kranken in seiner Resistenzfähigkeit zu kräftigen, und man muss sich sagen, die Existenz eines hysterischen Symptoms bedeute für dieses Nervensystem eine Schwächung seiner Resistenz und stelle ein zur Hysterie disponirendes Moment dar. Wie aus dem Mechanismus der monosymptomatischen Hysterie hervorgeht, bildet sich ein neues hysterisches Symptom am leichtesten im Anschluss und nach Analogie eines bereits vorhandenen; die Stelle, wo es bereits einmal „durchgeschlagen“ hat (vgl. p. 177), stellt einen schwachen Punkt dar, an welchem es auch das nächste Mal durchschlagen wird; die einmal abgespaltene psychische Gruppe spielt die Rolle des provocirenden Krystalls, von dem mit grosser Leichtigkeit eine sonst unterbliebene Krystallisation ausgeht. Die bereits vorhandenen Symptome beseitigen, die ihnen zu Grunde liegenden psychischen Veränderungen </w:t>
      </w:r>
      <w:r w:rsidRPr="00C820A0">
        <w:rPr>
          <w:rFonts w:ascii="Garamond" w:hAnsi="Garamond"/>
          <w:color w:val="666666"/>
          <w:sz w:val="20"/>
          <w:szCs w:val="20"/>
          <w:lang w:val="en-US" w:eastAsia="fr-FR"/>
        </w:rPr>
        <w:t>[</w:t>
      </w:r>
      <w:hyperlink r:id="rId2044" w:tooltip="Seite:De Studien über Hysterie 231.jpg" w:history="1">
        <w:r w:rsidRPr="00C820A0">
          <w:rPr>
            <w:rFonts w:ascii="Garamond" w:hAnsi="Garamond"/>
            <w:b/>
            <w:bCs/>
            <w:color w:val="0000FF"/>
            <w:sz w:val="20"/>
            <w:szCs w:val="20"/>
            <w:u w:val="single"/>
            <w:lang w:val="en-US" w:eastAsia="fr-FR"/>
          </w:rPr>
          <w:t>231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aufheben, heisst den Kranken das volle Maass ihrer Resistenzfähigkeit wiedergeben, mit dem sie erfolgreich der Einwirkung der Schädlichkeit widerstehen können. Man kann solchen Kranken durch länger fortgesetzte Ueberwachung und zeitweiliges „chimney sweeping“ (vgl. p. 23) sehr viel leisten.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6. Ich hätte noch des scheinbaren Widerspruches zu gedenken, der sich zwischen dem Zugeständniss, dass nicht alle hysterischen Symptome psychogen seien, und der Behauptung, dass man sie alle durch ein psychotherapeutisches Verfahren beseitigen könne, erhebt. Die Lösung liegt darin, dass ein Theil dieser nicht psychogenen Symptome zwar Krankheitszeichen darstellt, aber nicht als Leiden bezeichnet werden darf, so die Stigmata; es macht sich also praktisch nicht bemerkbar, wenn sie die therapeutische Erledigung des Krankheitsfalles überdauern. Für andere solche Symptome scheint zu gelten, dass sie auf irgend einem Umweg von den psychogenen Symptomen mitgerissen werden, wie sie ja wohl auch auf irgend einem Umweg doch von psychischer Verursachung abhängen.</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2"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Ich habe nun der Schwierigkeiten und Uebelstände unseres therapeutischen Verfahrens zu gedenken, soweit diese nicht aus den vorstehenden Krankengeschichten oder aus den folgenden Bemerkungen über die Technik der Methode jedermann einleuchten können. – Ich will mehr aufzählen und andeuten als ausführen: Das Verfahren ist mühselig und zeitraubend für den Arzt, es setzt ein grosses Interesse für psychologische Vorkomnisse und doch auch persönliche Theilnahme für den Kranken bei ihm voraus. Ich könnte mir nicht vorstellen, dass ich es zu Stande brächte, mich in den psychischen Mechanismus einer Hysterie bei einer Person zu vertiefen, die mir gemein und widerwärtig vorkäme, die nicht bei näherer Bekanntschaft im Stande wäre, menschliche Sympathie zu erwecken, während ich doch die Behandlung eines Tabikers oder Rheumatikers unabhängig von solchem persönlichen Wohlgefallen halten kann. Nicht mindere Bedingungen werden von Seiten der Kranken erfordert. Unterhalb eines gewissen Niveaus von Intelligenz ist das Verfahren überhaupt nicht anwendbar, durch jede Beimengung von Schwachsinn wird es ausserordentlich erschwert. Man braucht die volle Einwilligung, die volle Aufmerksamkeit der Kranken, vor allem aber ihr Zutrauen, da die Analyse regelmässig auf die intimsten und geheimst gehaltenen psychischen Vorgänge führt. Ein guter Theil der Kranken, die für solche Behandlung geeignet wären, entzieht sich dem Arzte, sobald ihnen die Ahnung aufdämmert, </w:t>
      </w:r>
      <w:r w:rsidRPr="00C820A0">
        <w:rPr>
          <w:rFonts w:ascii="Garamond" w:hAnsi="Garamond"/>
          <w:color w:val="666666"/>
          <w:sz w:val="20"/>
          <w:szCs w:val="20"/>
          <w:lang w:eastAsia="fr-FR"/>
        </w:rPr>
        <w:t>[</w:t>
      </w:r>
      <w:hyperlink r:id="rId2045" w:tooltip="Seite:De Studien über Hysterie 232.jpg" w:history="1">
        <w:r w:rsidRPr="00C820A0">
          <w:rPr>
            <w:rFonts w:ascii="Garamond" w:hAnsi="Garamond"/>
            <w:b/>
            <w:bCs/>
            <w:color w:val="0000FF"/>
            <w:sz w:val="20"/>
            <w:szCs w:val="20"/>
            <w:u w:val="single"/>
            <w:lang w:eastAsia="fr-FR"/>
          </w:rPr>
          <w:t>232</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nach welcher Richtung sich dessen Forschung bewegen wird. Für diese ist der Arzt ein Fremder geblieben. Bei Anderen, die sich entschlossen haben, sich dem Arzte zu überliefern und ihm ein Vertrauen einzuräumen, wie es sonst nur freiwillig gewährt, aber nie gefordert wird, bei diesen Anderen, sage ich, ist es kaum zu vermeiden, dass nicht die persönliche Beziehung zum Arzte sich wenigstens eine Zeit lang ungebührlich in den Vordergrund drängt; ja es scheint, als ob eine solche Einwirkung des Arztes die Bedingung sei, unter welcher die Lösung des Problems allein gestattet ist. </w:t>
      </w:r>
      <w:r w:rsidRPr="00C820A0">
        <w:rPr>
          <w:rFonts w:ascii="Garamond" w:hAnsi="Garamond"/>
          <w:sz w:val="20"/>
          <w:szCs w:val="20"/>
          <w:lang w:val="en-US" w:eastAsia="fr-FR"/>
        </w:rPr>
        <w:t xml:space="preserve">Ich meine nicht, dass es an diesem Sachverhalt etwas Wesentliches ändert, ob man sich der Hypnose bedienen konnte oder dieselbe umgehen und ersetzen musste. Nur fordert die Billigkeit, hervorzuheben, dass diese Uebelstände, obwohl unzertrennlich von unserem Verfahren, doch nicht diesem zur Last gelegt werden können. Es ist vielmehr recht einsichtlich, dass sie in den Vorbedingungen der Neurosen, die geheilt werden sollen, begründet sind, und dass sie sich an jede ärztliche Thätigkeit heften werden, die mit einer intensiven Bekümmerung um den Kranken einhergeht und eine psychische Veränderung in ihm herbeiführt. Auf die Anwendung der Hypnose konnte ich keinen Schaden und keine Gefahr zurückführen, so ausgiebigen Gebrauch ich auch in einzelnen Fällen von diesem Mittel machte. Wo ich Schaden angestiftet habe, lagen die Gründe anders und tiefer. Ueberblicke ich die therapeutischen Bemühungen dieser Jahre, seitdem mir die Mittheilungen meines verehrten Lehrers und Freundes J.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die kathartische Methode in die Hand gegeben haben, so meine ich, ich habe, weit mehr und häufiger als geschadet doch genützt und manches zustande gebracht, wozu sonst kein therapeutisches Mittel gereicht hätte. Es war im Ganzen, wie es die „Vorläufige Mittheilung“ ausdrückt, „ein bedeutender therapeutischer Gewinn“.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Noch einen Gewinn bei Anwendung dieses Verfahrens muss ich hervorheben. Ich weiss mir einen schweren Fall von complicirter Neurose mit viel oder wenig Beimengung von Hysterie nicht besser zurechtzulegen, als indem ich ihn einer Analyse mit der </w:t>
      </w:r>
      <w:r w:rsidRPr="00C820A0">
        <w:rPr>
          <w:rFonts w:ascii="Garamond" w:hAnsi="Garamond"/>
          <w:i/>
          <w:iCs/>
          <w:sz w:val="20"/>
          <w:szCs w:val="20"/>
          <w:lang w:val="en-US" w:eastAsia="fr-FR"/>
        </w:rPr>
        <w:t>Breuer'schen</w:t>
      </w:r>
      <w:r w:rsidRPr="00C820A0">
        <w:rPr>
          <w:rFonts w:ascii="Garamond" w:hAnsi="Garamond"/>
          <w:sz w:val="20"/>
          <w:szCs w:val="20"/>
          <w:lang w:val="en-US" w:eastAsia="fr-FR"/>
        </w:rPr>
        <w:t xml:space="preserve"> Methode unterziehe. Dabei geht zunächst weg, was den hysterischen Mechanismus zeigt; den Rest von Erscheinungen habe ich unterdess bei dieser Analyse deuten und auf seine Aetiologie zurückführen gelernt und habe so die Anhaltspunkte dafür gewonnen, was von dem Rüstzeug der Neurosentherapie im betreffenden Falle angezeigt ist. Wenn ich an die gewöhnliche Verschiedenheit zwischen meinem </w:t>
      </w:r>
      <w:r w:rsidRPr="00C820A0">
        <w:rPr>
          <w:rFonts w:ascii="Garamond" w:hAnsi="Garamond"/>
          <w:color w:val="666666"/>
          <w:sz w:val="20"/>
          <w:szCs w:val="20"/>
          <w:lang w:val="en-US" w:eastAsia="fr-FR"/>
        </w:rPr>
        <w:t>[</w:t>
      </w:r>
      <w:hyperlink r:id="rId2046" w:tooltip="Seite:De Studien über Hysterie 233.jpg" w:history="1">
        <w:r w:rsidRPr="00C820A0">
          <w:rPr>
            <w:rFonts w:ascii="Garamond" w:hAnsi="Garamond"/>
            <w:b/>
            <w:bCs/>
            <w:color w:val="0000FF"/>
            <w:sz w:val="20"/>
            <w:szCs w:val="20"/>
            <w:u w:val="single"/>
            <w:lang w:val="en-US" w:eastAsia="fr-FR"/>
          </w:rPr>
          <w:t>233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Urtheil über einen Fall von Neurose </w:t>
      </w:r>
      <w:r w:rsidRPr="00C820A0">
        <w:rPr>
          <w:rFonts w:ascii="Garamond" w:hAnsi="Garamond"/>
          <w:i/>
          <w:iCs/>
          <w:sz w:val="20"/>
          <w:szCs w:val="20"/>
          <w:lang w:val="en-US" w:eastAsia="fr-FR"/>
        </w:rPr>
        <w:t>vor</w:t>
      </w:r>
      <w:r w:rsidRPr="00C820A0">
        <w:rPr>
          <w:rFonts w:ascii="Garamond" w:hAnsi="Garamond"/>
          <w:sz w:val="20"/>
          <w:szCs w:val="20"/>
          <w:lang w:val="en-US" w:eastAsia="fr-FR"/>
        </w:rPr>
        <w:t xml:space="preserve"> und </w:t>
      </w:r>
      <w:r w:rsidRPr="00C820A0">
        <w:rPr>
          <w:rFonts w:ascii="Garamond" w:hAnsi="Garamond"/>
          <w:i/>
          <w:iCs/>
          <w:sz w:val="20"/>
          <w:szCs w:val="20"/>
          <w:lang w:val="en-US" w:eastAsia="fr-FR"/>
        </w:rPr>
        <w:t>nach</w:t>
      </w:r>
      <w:r w:rsidRPr="00C820A0">
        <w:rPr>
          <w:rFonts w:ascii="Garamond" w:hAnsi="Garamond"/>
          <w:sz w:val="20"/>
          <w:szCs w:val="20"/>
          <w:lang w:val="en-US" w:eastAsia="fr-FR"/>
        </w:rPr>
        <w:t xml:space="preserve"> einer solchen Analyse denke, gerathe ich fast in Versuchung, diese Analyse für unentbehrlich zur Kenntniss einer neurotischen Erkrankung zu halten. Ich habe mich ferner daran gewöhnt, die Anwendung der kathartischen Psychotherapie mit einer Liegecur zu verbinden, die nach Bedürfniss zur vollen </w:t>
      </w:r>
      <w:r w:rsidRPr="00C820A0">
        <w:rPr>
          <w:rFonts w:ascii="Garamond" w:hAnsi="Garamond"/>
          <w:i/>
          <w:iCs/>
          <w:sz w:val="20"/>
          <w:szCs w:val="20"/>
          <w:lang w:val="en-US" w:eastAsia="fr-FR"/>
        </w:rPr>
        <w:t>Weir-Mitchell'schen</w:t>
      </w:r>
      <w:r w:rsidRPr="00C820A0">
        <w:rPr>
          <w:rFonts w:ascii="Garamond" w:hAnsi="Garamond"/>
          <w:sz w:val="20"/>
          <w:szCs w:val="20"/>
          <w:lang w:val="en-US" w:eastAsia="fr-FR"/>
        </w:rPr>
        <w:t xml:space="preserve"> Mastcur ausgestaltet wird. Ich habe dabei den Vortheil, dass ich so einerseits die während einer Psychotherapie sehr störende Einmengung neuer psychischer Eindrücke vermeide, andererseits die Langeweile der Mastcur, in der die Kranken nicht selten in ein schädliches Träumen verfallen, ausschliesse. Man sollte erwarten, dass die oft sehr erhebliche psychische Arbeit, die man während einer kathartischen Cur den Kranken aufbürdet, die Erregungen infolge der Reproduction traumatischer Erlebnisse, dem Sinne der </w:t>
      </w:r>
      <w:r w:rsidRPr="00C820A0">
        <w:rPr>
          <w:rFonts w:ascii="Garamond" w:hAnsi="Garamond"/>
          <w:i/>
          <w:iCs/>
          <w:sz w:val="20"/>
          <w:szCs w:val="20"/>
          <w:lang w:val="en-US" w:eastAsia="fr-FR"/>
        </w:rPr>
        <w:t>Weir-Mitchell'schen</w:t>
      </w:r>
      <w:r w:rsidRPr="00C820A0">
        <w:rPr>
          <w:rFonts w:ascii="Garamond" w:hAnsi="Garamond"/>
          <w:sz w:val="20"/>
          <w:szCs w:val="20"/>
          <w:lang w:val="en-US" w:eastAsia="fr-FR"/>
        </w:rPr>
        <w:t xml:space="preserve"> </w:t>
      </w:r>
      <w:r w:rsidRPr="00C820A0">
        <w:rPr>
          <w:rFonts w:ascii="Garamond" w:hAnsi="Garamond"/>
          <w:i/>
          <w:iCs/>
          <w:sz w:val="20"/>
          <w:szCs w:val="20"/>
          <w:lang w:val="en-US" w:eastAsia="fr-FR"/>
        </w:rPr>
        <w:t>Ruhecur</w:t>
      </w:r>
      <w:r w:rsidRPr="00C820A0">
        <w:rPr>
          <w:rFonts w:ascii="Garamond" w:hAnsi="Garamond"/>
          <w:sz w:val="20"/>
          <w:szCs w:val="20"/>
          <w:lang w:val="en-US" w:eastAsia="fr-FR"/>
        </w:rPr>
        <w:t xml:space="preserve"> zuwiderliefe und die Erfolge verhinderte, die man von ihr zu sehen gewohnt ist. Allein das Gegentheil trifft zu; man erreicht durch solche Combination der </w:t>
      </w:r>
      <w:r w:rsidRPr="00C820A0">
        <w:rPr>
          <w:rFonts w:ascii="Garamond" w:hAnsi="Garamond"/>
          <w:i/>
          <w:iCs/>
          <w:sz w:val="20"/>
          <w:szCs w:val="20"/>
          <w:lang w:val="en-US" w:eastAsia="fr-FR"/>
        </w:rPr>
        <w:t>Breuer'schen</w:t>
      </w:r>
      <w:r w:rsidRPr="00C820A0">
        <w:rPr>
          <w:rFonts w:ascii="Garamond" w:hAnsi="Garamond"/>
          <w:sz w:val="20"/>
          <w:szCs w:val="20"/>
          <w:lang w:val="en-US" w:eastAsia="fr-FR"/>
        </w:rPr>
        <w:t xml:space="preserve"> mit der </w:t>
      </w:r>
      <w:r w:rsidRPr="00C820A0">
        <w:rPr>
          <w:rFonts w:ascii="Garamond" w:hAnsi="Garamond"/>
          <w:i/>
          <w:iCs/>
          <w:sz w:val="20"/>
          <w:szCs w:val="20"/>
          <w:lang w:val="en-US" w:eastAsia="fr-FR"/>
        </w:rPr>
        <w:t>Weir-Mitchell'schen</w:t>
      </w:r>
      <w:r w:rsidRPr="00C820A0">
        <w:rPr>
          <w:rFonts w:ascii="Garamond" w:hAnsi="Garamond"/>
          <w:sz w:val="20"/>
          <w:szCs w:val="20"/>
          <w:lang w:val="en-US" w:eastAsia="fr-FR"/>
        </w:rPr>
        <w:t xml:space="preserve"> Therapie alle körperliche Aufbesserung, die man von letzterer erwartet, und so weitgehende psychische Beeinflussung, wie sie ohne Psychotherapie bei der Ruhecur niemals zustande kommt.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knüpfe nun an meine früheren Bemerkungen an, bei meinen Versuchen, die </w:t>
      </w:r>
      <w:r w:rsidRPr="00C820A0">
        <w:rPr>
          <w:rFonts w:ascii="Garamond" w:hAnsi="Garamond"/>
          <w:i/>
          <w:iCs/>
          <w:sz w:val="20"/>
          <w:szCs w:val="20"/>
          <w:lang w:val="en-US" w:eastAsia="fr-FR"/>
        </w:rPr>
        <w:t>Breuer'sche</w:t>
      </w:r>
      <w:r w:rsidRPr="00C820A0">
        <w:rPr>
          <w:rFonts w:ascii="Garamond" w:hAnsi="Garamond"/>
          <w:sz w:val="20"/>
          <w:szCs w:val="20"/>
          <w:lang w:val="en-US" w:eastAsia="fr-FR"/>
        </w:rPr>
        <w:t xml:space="preserve"> Methode im grösseren Umfange anzuwenden, sei ich an die Schwierigkeit gerathen, dass eine Anzahl von Kranken nicht in Hypnose zu versetzen war, obwohl die Diagnose auf Hysterie lautete und die Wahrscheinlichkeit für die Geltung des von uns beschriebenen psychischen Mechanismus sprach. Ich bedurfte ja der Hypnose zur Erweiterung des Gedächtnisses, um die im gewöhnlichen Bewusstsein nicht vorhandenen pathogenen Erinnerungen zu finden, musste also entweder auf solche Kranke verzichten oder diese Erweiterung auf andere Weise zu erreichen suchen.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Woran es liegt, dass der eine hypnotisirbar ist, der andere nicht, das wusste ich mir ebensowenig wie Andere zu deuten, konnte also einen causalen Weg zur Beseitigung der Schwierigkeit nicht einschlagen. Ich merkte nur, dass bei manchen Patienten das Hinderniss noch weiter zurück lag; sie weigerten sich bereits des Versuches zur Hypnose. Ich kam dann einmal auf den Einfall, dass beide Fälle identisch sein mögen und beide ein Nichtwollen bedeuten können. </w:t>
      </w:r>
      <w:r w:rsidRPr="00C820A0">
        <w:rPr>
          <w:rFonts w:ascii="Garamond" w:hAnsi="Garamond"/>
          <w:sz w:val="20"/>
          <w:szCs w:val="20"/>
          <w:lang w:val="en-US" w:eastAsia="fr-FR"/>
        </w:rPr>
        <w:lastRenderedPageBreak/>
        <w:t xml:space="preserve">Nicht hypnotisirbar sei derjenige, der ein psychisches Bedenken gegen </w:t>
      </w:r>
      <w:r w:rsidRPr="00C820A0">
        <w:rPr>
          <w:rFonts w:ascii="Garamond" w:hAnsi="Garamond"/>
          <w:color w:val="666666"/>
          <w:sz w:val="20"/>
          <w:szCs w:val="20"/>
          <w:lang w:val="en-US" w:eastAsia="fr-FR"/>
        </w:rPr>
        <w:t>[</w:t>
      </w:r>
      <w:hyperlink r:id="rId2047" w:tooltip="Seite:De Studien über Hysterie 234.jpg" w:history="1">
        <w:r w:rsidRPr="00C820A0">
          <w:rPr>
            <w:rFonts w:ascii="Garamond" w:hAnsi="Garamond"/>
            <w:b/>
            <w:bCs/>
            <w:color w:val="0000FF"/>
            <w:sz w:val="20"/>
            <w:szCs w:val="20"/>
            <w:u w:val="single"/>
            <w:lang w:val="en-US" w:eastAsia="fr-FR"/>
          </w:rPr>
          <w:t>234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die Hypnose hat, gleichgiltig, ob er es als Nichtwollen äussert oder nicht. Ich bin mir nicht klar geworden, ob ich diese Auffassung festhalten darf.</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galt aber, die Hypnose zu umgehen und doch die pathogenen Erinnerungen zu gewinnen. Dazu gelangte ich auf folgende Weise: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ich bei der ersten Zusammenkunft meine Patienten fragte, ob sie sich an den ersten Anlass des betreffenden Symptoms erinnerten, so sagten die einen, sie wüssten nichts, die anderen brachten irgend etwas bei, was sie als eine dunkle Erinnerung bezeichneten und nicht weiter verfolgen konnten. Wenn ich nun nach dem Beispiele von </w:t>
      </w:r>
      <w:r w:rsidRPr="00C820A0">
        <w:rPr>
          <w:rFonts w:ascii="Garamond" w:hAnsi="Garamond"/>
          <w:i/>
          <w:iCs/>
          <w:sz w:val="20"/>
          <w:szCs w:val="20"/>
          <w:lang w:val="en-US" w:eastAsia="fr-FR"/>
        </w:rPr>
        <w:t>Bernheim</w:t>
      </w:r>
      <w:r w:rsidRPr="00C820A0">
        <w:rPr>
          <w:rFonts w:ascii="Garamond" w:hAnsi="Garamond"/>
          <w:sz w:val="20"/>
          <w:szCs w:val="20"/>
          <w:lang w:val="en-US" w:eastAsia="fr-FR"/>
        </w:rPr>
        <w:t xml:space="preserve"> bei der Erweckung der angeblich vergessenen Eindrücke aus dem Somnambulismus dringlich wurde, Beiden versicherte, sie wüssten es, sie würden sich besinnen u. s. w. (vgl. p. 93), so fiel den Einen doch etwas ein, und bei Anderen griff die Erinnerung um ein Stück weiter. Nun wurde ich noch dringender, hiess die Kranken sich niederlegen und die Augen willkürlich schliessen, um sich zu „concentriren“, was wenigstens eine gewisse Aehnlichkeit mit der Hypnose ergab, und machte da die Erfahrung, dass ohne alle Hypnose neue und weiter zurück reichende Erinnerungen auftauchten, die wahrscheinlich zu unserem Thema gehörten. Durch solche Erfahrungen gewann ich den Eindruck, es würde in der That möglich sein, die doch sicherlich vorhandenen pathogenen Vorstellungsreihen durch blosses Drängen zum Vorschein zu bringen, und da dieses Drängen mich Anstrengung kostete und mir die Deutung nahe legte, ich hätte einen Widerstand zu überwinden, so setzte sich mir der Sachverhalt ohne weiteres in die Theorie um, dass </w:t>
      </w:r>
      <w:r w:rsidRPr="00C820A0">
        <w:rPr>
          <w:rFonts w:ascii="Garamond" w:hAnsi="Garamond"/>
          <w:i/>
          <w:iCs/>
          <w:sz w:val="20"/>
          <w:szCs w:val="20"/>
          <w:lang w:val="en-US" w:eastAsia="fr-FR"/>
        </w:rPr>
        <w:t>ich durch meine psychische Arbeit eine psychische Kraft bei dem Patienten zu überwinden habe, die sich dem Bewusstwerden (Erinnern) der pathogenen Vorstellungen widersetze</w:t>
      </w:r>
      <w:r w:rsidRPr="00C820A0">
        <w:rPr>
          <w:rFonts w:ascii="Garamond" w:hAnsi="Garamond"/>
          <w:sz w:val="20"/>
          <w:szCs w:val="20"/>
          <w:lang w:val="en-US" w:eastAsia="fr-FR"/>
        </w:rPr>
        <w:t xml:space="preserve">. Ein neues Verständniss schien sich mir nun zu eröffnen, als mir einfiel, diess dürfte wohl dieselbe psychische Kraft sein, die bei der Entstehung des hysterischen Symptoms mitgewirkt und damals das Bewusstwerden der pathogenen Vorstellung verhindert habe. Was für Kraft war da wohl als wirksam anzunehmen, und welches Motiv konnte sie zur Wirkung gebracht haben? Ich konnte mir leicht eine Meinung hierüber bilden; es standen mir ja bereits einige vollendete Analysen zu Gebote, in denen ich Beispiele von pathogenen, vergessenen und ausser Bewusstsein gebrachten, Vorstellungen kennen gelernt hatte. Aus diesen ersah ich einen allgemeinen Charakter solcher Vorstellungen; sie waren sämmtlich </w:t>
      </w:r>
      <w:r w:rsidRPr="00C820A0">
        <w:rPr>
          <w:rFonts w:ascii="Garamond" w:hAnsi="Garamond"/>
          <w:color w:val="666666"/>
          <w:sz w:val="20"/>
          <w:szCs w:val="20"/>
          <w:lang w:val="en-US" w:eastAsia="fr-FR"/>
        </w:rPr>
        <w:t>[</w:t>
      </w:r>
      <w:hyperlink r:id="rId2048" w:tooltip="Seite:De Studien über Hysterie 235.jpg" w:history="1">
        <w:r w:rsidRPr="00C820A0">
          <w:rPr>
            <w:rFonts w:ascii="Garamond" w:hAnsi="Garamond"/>
            <w:b/>
            <w:bCs/>
            <w:color w:val="0000FF"/>
            <w:sz w:val="20"/>
            <w:szCs w:val="20"/>
            <w:u w:val="single"/>
            <w:lang w:val="en-US" w:eastAsia="fr-FR"/>
          </w:rPr>
          <w:t>235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peinlicher Natur, geeignet, die Affecte der Scham, des Vorwurfs, des psychischen Schmerzes, die Empfindung der Beeinträchtigung hervorzurufen, sämmtlich von der Art, wie man sie gerne nicht erlebt haben möchte, wie man sie am liebsten vergisst. Aus alledem ergab sich wie von selbst der Gedanke der </w:t>
      </w:r>
      <w:r w:rsidRPr="00C820A0">
        <w:rPr>
          <w:rFonts w:ascii="Garamond" w:hAnsi="Garamond"/>
          <w:i/>
          <w:iCs/>
          <w:sz w:val="20"/>
          <w:szCs w:val="20"/>
          <w:lang w:val="en-US" w:eastAsia="fr-FR"/>
        </w:rPr>
        <w:t>Abwehr</w:t>
      </w:r>
      <w:r w:rsidRPr="00C820A0">
        <w:rPr>
          <w:rFonts w:ascii="Garamond" w:hAnsi="Garamond"/>
          <w:sz w:val="20"/>
          <w:szCs w:val="20"/>
          <w:lang w:val="en-US" w:eastAsia="fr-FR"/>
        </w:rPr>
        <w:t xml:space="preserve">. Es wird ja von den Psychologen allgemein zugegeben, dass die Annahme einer neuen Vorstellung (Annahme im Sinne des Glaubens, des Zuerkennens von Realität) von der Art und Richtung der bereits im Ich vereinigten Vorstellungen abhängt, und sie haben für den Vorgang der Censur, dem die neu anlangende unterliegt, besondere technische Namen geschaffen. An das Ich des Kranken war eine Vorstellung herangetreten, die sich als unverträglich erwies, die eine Kraft der Abstossung von Seiten des Ich wachrief, deren Zweck die </w:t>
      </w:r>
      <w:r w:rsidRPr="00C820A0">
        <w:rPr>
          <w:rFonts w:ascii="Garamond" w:hAnsi="Garamond"/>
          <w:i/>
          <w:iCs/>
          <w:sz w:val="20"/>
          <w:szCs w:val="20"/>
          <w:lang w:val="en-US" w:eastAsia="fr-FR"/>
        </w:rPr>
        <w:t>Abwehr</w:t>
      </w:r>
      <w:r w:rsidRPr="00C820A0">
        <w:rPr>
          <w:rFonts w:ascii="Garamond" w:hAnsi="Garamond"/>
          <w:sz w:val="20"/>
          <w:szCs w:val="20"/>
          <w:lang w:val="en-US" w:eastAsia="fr-FR"/>
        </w:rPr>
        <w:t xml:space="preserve"> dieser unverträglichen Vorstellung war. Diese Abwehr gelang thatsächlich, die betreffende Vorstellung war aus dem Bewusstsein und aus der Erinnerung gedrängt, ihre psychische Spur war anscheinend nicht aufzufinden. Doch musste diese Spur vorhanden sein. Wenn ich mich bemühte, die Aufmerksamkeit auf sie zu lenken, bekam ich dieselbe Kraft als </w:t>
      </w:r>
      <w:r w:rsidRPr="00C820A0">
        <w:rPr>
          <w:rFonts w:ascii="Garamond" w:hAnsi="Garamond"/>
          <w:i/>
          <w:iCs/>
          <w:sz w:val="20"/>
          <w:szCs w:val="20"/>
          <w:lang w:val="en-US" w:eastAsia="fr-FR"/>
        </w:rPr>
        <w:t>Widerstand</w:t>
      </w:r>
      <w:r w:rsidRPr="00C820A0">
        <w:rPr>
          <w:rFonts w:ascii="Garamond" w:hAnsi="Garamond"/>
          <w:sz w:val="20"/>
          <w:szCs w:val="20"/>
          <w:lang w:val="en-US" w:eastAsia="fr-FR"/>
        </w:rPr>
        <w:t xml:space="preserve"> zu spüren, die sich bei der Genese des Symptoms als </w:t>
      </w:r>
      <w:r w:rsidRPr="00C820A0">
        <w:rPr>
          <w:rFonts w:ascii="Garamond" w:hAnsi="Garamond"/>
          <w:i/>
          <w:iCs/>
          <w:sz w:val="20"/>
          <w:szCs w:val="20"/>
          <w:lang w:val="en-US" w:eastAsia="fr-FR"/>
        </w:rPr>
        <w:t>Abstossung</w:t>
      </w:r>
      <w:r w:rsidRPr="00C820A0">
        <w:rPr>
          <w:rFonts w:ascii="Garamond" w:hAnsi="Garamond"/>
          <w:sz w:val="20"/>
          <w:szCs w:val="20"/>
          <w:lang w:val="en-US" w:eastAsia="fr-FR"/>
        </w:rPr>
        <w:t xml:space="preserve"> gezeigt hatte. Wenn ich nun wahrscheinlich machen konnte, dass die Vorstellung gerade in Folge der Ausstossung und Verdrängung pathogen geworden war, so schien die Kette geschlossen. Ich habe in mehreren Epikrisen unserer Krankengeschichten und in einer kleinen Arbeit über die Abwehr-Neuropsychosen (1894) versucht, die psychologischen Hypothesen anzudeuten, mit deren Hilfe man auch diesen Zusammenhang – die Thatsache der </w:t>
      </w:r>
      <w:r w:rsidRPr="00C820A0">
        <w:rPr>
          <w:rFonts w:ascii="Garamond" w:hAnsi="Garamond"/>
          <w:i/>
          <w:iCs/>
          <w:sz w:val="20"/>
          <w:szCs w:val="20"/>
          <w:lang w:val="en-US" w:eastAsia="fr-FR"/>
        </w:rPr>
        <w:t>Conversion</w:t>
      </w:r>
      <w:r w:rsidRPr="00C820A0">
        <w:rPr>
          <w:rFonts w:ascii="Garamond" w:hAnsi="Garamond"/>
          <w:sz w:val="20"/>
          <w:szCs w:val="20"/>
          <w:lang w:val="en-US" w:eastAsia="fr-FR"/>
        </w:rPr>
        <w:t xml:space="preserve"> – anschaulich machen kann.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Also eine psychische Kraft, die Abneigung des Ich, hatte ursprünglich die pathogene Vorstellung aus der Association gedrängt und widersetzte sich jetzt ihrer Wiederkehr in der Erinnerung. Das Nichtwissen der Hysterischen war also eigentlich ein – mehr oder minder bewusstes – Nichtwissenwollen, und die Aufgabe des Therapeuten bestand darin, diesen </w:t>
      </w:r>
      <w:r w:rsidRPr="00C820A0">
        <w:rPr>
          <w:rFonts w:ascii="Garamond" w:hAnsi="Garamond"/>
          <w:i/>
          <w:iCs/>
          <w:sz w:val="20"/>
          <w:szCs w:val="20"/>
          <w:lang w:val="en-US" w:eastAsia="fr-FR"/>
        </w:rPr>
        <w:t>Associationswiderstand</w:t>
      </w:r>
      <w:r w:rsidRPr="00C820A0">
        <w:rPr>
          <w:rFonts w:ascii="Garamond" w:hAnsi="Garamond"/>
          <w:sz w:val="20"/>
          <w:szCs w:val="20"/>
          <w:lang w:val="en-US" w:eastAsia="fr-FR"/>
        </w:rPr>
        <w:t xml:space="preserve"> durch psychische Arbeit zu überwinden. Solche Leistung erfolgt zuerst durch „Drängen“, Anwendung eines psychischen Zwanges, um die Aufmerksamkeit der Kranken auf die gesuchten Vorstellungsspuren zu lenken. Sie ist aber damit nicht erschöpft, sondern nimmt, wie ich zeigen werde, im Verlaufe einer Analyse andere Formen an und ruft weitere psychische Kräfte zur Hilfe.</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2049" w:tooltip="Seite:De Studien über Hysterie 236.jpg" w:history="1">
        <w:r w:rsidRPr="00C820A0">
          <w:rPr>
            <w:rFonts w:ascii="Garamond" w:hAnsi="Garamond"/>
            <w:b/>
            <w:bCs/>
            <w:color w:val="0000FF"/>
            <w:sz w:val="20"/>
            <w:szCs w:val="20"/>
            <w:u w:val="single"/>
            <w:lang w:val="en-US" w:eastAsia="fr-FR"/>
          </w:rPr>
          <w:t>236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Ich verweile zunächst noch beim Drängen. Mit dem einfachen Versichern: Sie wissen es ja, sagen Sie es doch, es wird Ihnen gleich einfallen, kommt man doch nicht sehr weit. Nach wenigen Sätzen reisst auch bei dem in „Concentration“ befindlichen Kranken der Faden ab. Man darf aber nicht vergessen, dass es sich hier überall um quantitative Vergleichung, um den Kampf zwischen verschieden starken oder intensiven Motiven handelt. Dem „Associationswiderstand“ bei einer ernsthaften Hysterie ist das Drängen des fremden und der Sache unkundigen Arztes an Macht nicht gewachsen. Man muss auf kräftigere Mittel sinnen.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 bediene ich mich denn zunächst eines kleinen technischen Kunstgriffes. Ich theile dem Kranken mit, dass ich im nächsten Moment einen Druck auf seine Stirne ausüben werde, versichere ihm, dass er während dieses ganzen Druckes eine Erinnerung als Bild vor sich sehen oder als Einfall in Gedanken haben werde, und verpflichte ihn dazu, dieses Bild oder diesen Einfall mir mitzutheilen, was immer das sein möge. Er dürfe es nicht für sich behalten, weil er etwa meine, es sei nicht das Gesuchte, das Richtige, oder weil es ihm zu unangenehm sei, es zu sagen. Keine Kritik, keine Zurückhaltung, weder aus Affect noch aus Geringschätzung! Nur so könnten wir das Gesuchte finden, so fänden wir es aber unfehlbar. Dann drücke ich für ein paar Secunden auf die Stirne des vor mir liegenden Kranken, lasse sie frei und frage ruhigen Tones, als ob eine Enttäuschung ausgeschlossen wäre: Was haben Sie gesehen? oder: Was ist Ihnen eingefallen?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lastRenderedPageBreak/>
        <w:t xml:space="preserve">Dieses Verfahren hat mich viel gelehrt und auch jedesmal zum Ziel geführt; ich kann es heute nicht mehr entbehren. Ich weiss natürlich, dass ich solchen Druck auf die Stirne durch irgend ein anderes Signal oder eine andere körperliche Beeinflussung des Kranken ersetzen könnte, aber wie der Kranke vor mir liegt, ergibt sich der Druck auf die Stirne oder das Fassen seines Kopfes zwischen meinen beiden Händen als das Suggestivste und Bequemste, was ich zu diesem Zwecke vornehmen kann. Zur Erklärung der Wirksamkeit dieses Kunstgriffes könnte ich etwa sagen, er entspreche einer „momentan verstärkten Hypnose“, allein der Mechanismus der Hypnose ist mir so räthselhaft, dass ich mich zur Erläuterung nicht auf ihn beziehen möchte. Ich meine eher, der Vortheil des Verfahrens liegt darin, dass ich hiedurch die Aufmerksamkeit des Kranken von seinem bewussten Suchen und Nachdenken, kurz von alledem, woran sich sein Wille </w:t>
      </w:r>
      <w:r w:rsidRPr="00C820A0">
        <w:rPr>
          <w:rFonts w:ascii="Garamond" w:hAnsi="Garamond"/>
          <w:color w:val="666666"/>
          <w:sz w:val="20"/>
          <w:szCs w:val="20"/>
          <w:lang w:val="en-US" w:eastAsia="fr-FR"/>
        </w:rPr>
        <w:t>[</w:t>
      </w:r>
      <w:hyperlink r:id="rId2050" w:tooltip="Seite:De Studien über Hysterie 237.jpg" w:history="1">
        <w:r w:rsidRPr="00C820A0">
          <w:rPr>
            <w:rFonts w:ascii="Garamond" w:hAnsi="Garamond"/>
            <w:b/>
            <w:bCs/>
            <w:color w:val="0000FF"/>
            <w:sz w:val="20"/>
            <w:szCs w:val="20"/>
            <w:u w:val="single"/>
            <w:lang w:val="en-US" w:eastAsia="fr-FR"/>
          </w:rPr>
          <w:t>237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äussern kann, dissociire, ähnlich wie es sich wohl beim Starren in eine krystallene Kugel u. dgl. vollzieht. Die Lehre aber, die ich daraus ziehe, dass sich unter dem Druck meiner Hand jedesmal das einstellt, was ich suche, die lautet: Die angeblich vergessene pathogene Vorstellung liege jedesmal „in der Nähe“ bereit, sei durch leicht zugängliche Associationen erreichbar; es handle sich nur darum, irgend ein Hinderniss wegzuräumen. Dieses Hinderniss scheint wieder der Wille der Person zu sein, und verschiedene Personen lernen es verschieden leicht, sich ihrer Absichtlichkeit zu entäussern und sich vollkommen objectiv beobachtend gegen die psychischen Vorgänge in ihnen zu verhalten.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Es ist nicht immer eine „vergessene“ Erinnerung, die unter dem Druck der Hand auftaucht; in den seltensten Fällen liegen die eigentlich pathogenen Erinnerungen so oberflächlich auffindbar. Weit häufiger taucht eine Vorstellung auf, die ein Mittelglied zwischen der Ausgangsvorstellung und der gesuchten pathogenen in der Associationskette ist, oder eine Vorstellung, die den Ausgangspunkt einer neuen Reihe von Gedanken und Erinnerungen bildet, an deren Ende die pathogene Vorstellung steht. Der Druck hat dann zwar nicht die pathogene Vorstellung enthüllt, – die übrigens ohne Vorbereitung, aus dem Zusammenhange gerissen, unverständlich wäre, – aber er hat den Weg zu ihr gezeigt, die Richtung angegeben, nach welcher die Forschung fortzuschreiten hat. Die durch den Druck zunächst geweckte Vorstellung kann dabei einer wohlbekannten, niemals verdrängten Erinnerung entsprechen. Wo auf dem Wege zur pathogenen Vorstellung der Zusammenhang wieder abreisst, da bedarf es nur einer Wiederholung der Procedur, des Druckes, um neue Orientierung und Anknüpfung zu schaffen.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In noch anderen Fällen weckt man durch den Druck der Hand eine Erinnerung, die an sich dem Kranken wohl bekannt, ihn doch durch ihr Erscheinen in Verwunderung setzt, weil er ihre Beziehung zur Ausgangsvorstellung vergessen hat. Im weiteren Verlaufe der Analyse wird diese Beziehung dann erwiesen. Aus all diesen Ergebnissen des Drückens erhält man den täuschenden Eindruck einer überlegenen Intelligenz ausserhalb des Bewusstseins des Kranken, die ein grosses psychisches Material zu bestimmten Zwecken geordnet hält und ein sinnvolles Arrangement für dessen Wiederkehr in's Bewusstsein getroffen hat. Wie ich vermuthe, ist diese unbewusste zweite Intelligenz doch nur ein Anschein.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2051" w:tooltip="Seite:De Studien über Hysterie 238.jpg" w:history="1">
        <w:r w:rsidRPr="00C820A0">
          <w:rPr>
            <w:rFonts w:ascii="Garamond" w:hAnsi="Garamond"/>
            <w:b/>
            <w:bCs/>
            <w:color w:val="0000FF"/>
            <w:sz w:val="20"/>
            <w:szCs w:val="20"/>
            <w:u w:val="single"/>
            <w:lang w:val="en-US" w:eastAsia="fr-FR"/>
          </w:rPr>
          <w:t>238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In jeder complicirteren Analyse arbeitet man wiederholt, ja eigentlich fortwährend, mit Hilfe dieser Procedur (des Druckes auf die Stirne), welche bald von dort aus, wo die wachen Zurückführungen des Patienten abbrechen, den weiteren Weg über bekannt gebliebene Erinnerungen anzeigt, bald auf Zusammenhänge aufmerksam macht, die in Vergessenheit gerathen sind, dann Erinnerungen hervorruft und anreiht, welche seit vielen Jahren der Association entzogen waren, aber noch als Erinnerungen erkannt werden können, und endlich als höchste Leistung der Reproduction Gedanken auftauchen lässt, die der Kranke niemals als die seinigen anerkennen will, die er nicht </w:t>
      </w:r>
      <w:r w:rsidRPr="00C820A0">
        <w:rPr>
          <w:rFonts w:ascii="Garamond" w:hAnsi="Garamond"/>
          <w:i/>
          <w:iCs/>
          <w:sz w:val="20"/>
          <w:szCs w:val="20"/>
          <w:lang w:val="en-US" w:eastAsia="fr-FR"/>
        </w:rPr>
        <w:t>erinnert</w:t>
      </w:r>
      <w:r w:rsidRPr="00C820A0">
        <w:rPr>
          <w:rFonts w:ascii="Garamond" w:hAnsi="Garamond"/>
          <w:sz w:val="20"/>
          <w:szCs w:val="20"/>
          <w:lang w:val="en-US" w:eastAsia="fr-FR"/>
        </w:rPr>
        <w:t>, obwohl er zugesteht, dass sie von dem Zusammenhang unerbittlich gefordert werden, und während er sich überzeugt, dass gerade diese Vorstellungen den Abschluss der Analyse und das Aufhören der Symptome herbeiführen.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val="en-US" w:eastAsia="fr-FR"/>
        </w:rPr>
        <w:t xml:space="preserve">Ich will versuchen, einige Beispiele von den ausgezeichneten Leistungen dieses technischen Verfahrens an einander zu reihen: Ich behandelte ein junges Mädchen mit einer unausstehlichen, seit 6 Jahren fortgeschleppten Tussis nervosa, die offenbar aus jedem gemeinen Catarrh Nahrung zog, aber doch ihre starken psychischen Motive haben musste. Jede andere Therapie hatte sich längst ohnmächtig gezeigt; ich versuche also das Symptom auf dem Wege der psychischen Analyse aufzuheben. Sie weiss nur, dass ihr nervöser Husten begann, als sie, 14 Jahre alt, bei einer Tante in Pension war; von psychischen Erregungen in jener Zeit will sie nichts wissen, sie glaubt nicht an eine Motivirung des Leidens. Unter dem Druck meiner Hand erinnert sie sich zuerst an einen grossen Hund. Sie erkennt dann das Erinnerungsbild, es war ein Hund ihrer Tante, der sich ihr anschloss, sie überallhin begleitete u. dgl. Ja, und jetzt fällt ihr, ohne weitere Nachhilfe, ein, dass dieser Hund gestorben, dass die Kinder ihn feierlich begraben haben, und dass auf dem Rückweg von diesem Begräbniss ihr Husten aufgetreten ist. Ich frage, warum, muss aber wieder durch den Druck nachhelfen; da stellt sich denn der Gedanke ein: Jetzt bin ich ganz allein auf der Welt. Niemand liebt mich hier, dieses Thier war mein einziger Freund, und den habe ich jetzt verloren. – Sie setzt nun die Erzählung fort: Der Husten verschwand, als ich von der Tante wegkam, trat aber 1½ Jahre später wieder auf. – Was war da der Grund? – Ich weiss nicht. – Ich drücke wieder; sie erinnert sich an die Nachricht vom Tode ihres Onkels, bei welcher der Husten wieder ausbrach, und an einen ähnlichen Gedankengang. </w:t>
      </w:r>
      <w:r w:rsidRPr="00C820A0">
        <w:rPr>
          <w:rFonts w:ascii="Garamond" w:hAnsi="Garamond"/>
          <w:color w:val="666666"/>
          <w:sz w:val="20"/>
          <w:szCs w:val="20"/>
          <w:lang w:val="en-US" w:eastAsia="fr-FR"/>
        </w:rPr>
        <w:t>[</w:t>
      </w:r>
      <w:hyperlink r:id="rId2052" w:tooltip="Seite:De Studien über Hysterie 239.jpg" w:history="1">
        <w:r w:rsidRPr="00C820A0">
          <w:rPr>
            <w:rFonts w:ascii="Garamond" w:hAnsi="Garamond"/>
            <w:b/>
            <w:bCs/>
            <w:color w:val="0000FF"/>
            <w:sz w:val="20"/>
            <w:szCs w:val="20"/>
            <w:u w:val="single"/>
            <w:lang w:val="en-US" w:eastAsia="fr-FR"/>
          </w:rPr>
          <w:t>239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Der Onkel war angeblich der Einzige in der Familie gewesen, der ein Herz für sie gehabt, der sie geliebt hatte. Diess war nun die pathogene Vorstellung: Man liebe sie nicht, man ziehe ihr jeden anderen vor, sie verdiene es auch nicht, geliebt zu werden u. dgl. An der Vorstellung der „Liebe“ aber haftete etwas, bei dessen Mittheilung sich ein arger Widerstand erhob. </w:t>
      </w:r>
      <w:r w:rsidRPr="00C820A0">
        <w:rPr>
          <w:rFonts w:ascii="Garamond" w:hAnsi="Garamond"/>
          <w:sz w:val="20"/>
          <w:szCs w:val="20"/>
          <w:lang w:eastAsia="fr-FR"/>
        </w:rPr>
        <w:t>Die Analyse brach noch vor der Klärung ab.</w: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3"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Vor einiger Zeit sollte ich eine ältere Dame von ihren Angstanfällen befreien, die nach ihren Charaktereigenschaften kaum für derartige Beeinflussung geeignet war. Sie war seit der Menopause übermässig fromm geworden und empfing mich jedesmal wie den Gottseibeiuns, mit einem kleinen elfenbeinernen Crucifix bewaffnet, das sie in der Hand verbarg. Ihre Angstanfälle, die hysterischen Charakter trugen, reichten in frühe Mädchenjahre zurück und rührten angeblich von dem Gebrauche eines Jodpräparates her, mit welchem eine mässige Schwellung der Thyreoidea rückgängig gemacht werden sollte. </w:t>
      </w:r>
      <w:r w:rsidRPr="00C820A0">
        <w:rPr>
          <w:rFonts w:ascii="Garamond" w:hAnsi="Garamond"/>
          <w:sz w:val="20"/>
          <w:szCs w:val="20"/>
          <w:lang w:val="en-US" w:eastAsia="fr-FR"/>
        </w:rPr>
        <w:t xml:space="preserve">Ich verwarf natürlich diese Herleitung und suchte sie durch eine andere zu ersetzen, die mit meinen Anschauungen über die Aetiologie neurotischer Symptome besser in Einklang stand. Auf die erste Frage nach einem Eindruck aus der Jugend, der mit den Angstanfällen in causalem Zusammenhang stünde, tauchte unter dem Drucke meiner Hand die Erinnerung an die Lecture eines sog. Erbauungsbuches auf, in dem eine, pietistisch genug, gehaltene Erwähnung der Sexualvorgänge zu finden war. Die betreffende Stelle machte auf das Mädchen einen der Intention des Autors entgegengesetzten Eindruck; sie brach in Thränen aus und schleuderte das Buch von sich. Diess war </w:t>
      </w:r>
      <w:r w:rsidRPr="00C820A0">
        <w:rPr>
          <w:rFonts w:ascii="Garamond" w:hAnsi="Garamond"/>
          <w:i/>
          <w:iCs/>
          <w:sz w:val="20"/>
          <w:szCs w:val="20"/>
          <w:lang w:val="en-US" w:eastAsia="fr-FR"/>
        </w:rPr>
        <w:t>vor</w:t>
      </w:r>
      <w:r w:rsidRPr="00C820A0">
        <w:rPr>
          <w:rFonts w:ascii="Garamond" w:hAnsi="Garamond"/>
          <w:sz w:val="20"/>
          <w:szCs w:val="20"/>
          <w:lang w:val="en-US" w:eastAsia="fr-FR"/>
        </w:rPr>
        <w:t xml:space="preserve"> dem ersten Angstanfall. Ein zweiter Druck auf die Stirne der Kranken beschwor eine nächste Reminiscenz herauf, die Erinnerung an einen Erzieher der Brüder, der ihr grosse Ehrfurcht bezeugt und für den sie selbst eine wärmere Empfindung verspürt hatte. Diese Erinnerung gipfelte in der Reproduction eines Abends im elterlichen Hause, an dem sie alle mit dem jungen Manne um den Tisch herum sassen und sich im anregenden Gespräch so köstlich unterhielten. In der Nacht, die auf diesen Abend folgte, weckte sie der erste Angstanfall, der wohl mehr mit der Auflehnung gegen eine sinnliche Regung als mit dem etwa gleichzeitig gebrauchten Jod zu thun hatte. – Auf welche andere Weise hätte ich wohl Aussicht gehabt, bei dieser widerspenstigen, gegen mich und jede weltliche Therapie eingenommenen Patientin einen solchen Zusammenhang gegen ihre eigene Meinung und Behauptung aufzudecken?</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4"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eastAsia="fr-FR"/>
        </w:rPr>
        <w:t>[</w:t>
      </w:r>
      <w:hyperlink r:id="rId2053" w:tooltip="Seite:De Studien über Hysterie 240.jpg" w:history="1">
        <w:r w:rsidRPr="00C820A0">
          <w:rPr>
            <w:rFonts w:ascii="Garamond" w:hAnsi="Garamond"/>
            <w:b/>
            <w:bCs/>
            <w:color w:val="0000FF"/>
            <w:sz w:val="20"/>
            <w:szCs w:val="20"/>
            <w:u w:val="single"/>
            <w:lang w:eastAsia="fr-FR"/>
          </w:rPr>
          <w:t>240</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Ein anderes Mal handelte es sich um eine junge, glücklich verheirathete Frau, die schon in den ersten Mädchenjahren eine Zeit lang jeden Morgen in einem Zustand von Betäubung, mit starren Gliedern, offenem Mund und vorgestreckter Zunge gefunden wurde, und die jetzt ähnliche, wenn auch nicht so arge, Anfälle beim Aufwachen wiederholte. Eine tiefe Hypnose erwies sich als unerreichbar; ich begann also mit der Ausforschung im Zustande der Concentration und versicherte ihr beim ersten Druck, sie werde jetzt etwas sehen, was unmittelbar mit den Ursachen des Zustandes in der Kindheit zusammenhienge. Sie benahm sich ruhig und willig, sah die Wohnung wieder, in der sie die ersten Mädchenjahre verbracht hatte, ihr Zimmer, die Stellung ihres Bettes, die Grossmutter, die damals mit ihnen lebte, und eine ihrer Gouvernanten, die sie sehr geliebt hatte. </w:t>
      </w:r>
      <w:r w:rsidRPr="00C820A0">
        <w:rPr>
          <w:rFonts w:ascii="Garamond" w:hAnsi="Garamond"/>
          <w:sz w:val="20"/>
          <w:szCs w:val="20"/>
          <w:lang w:val="en-US" w:eastAsia="fr-FR"/>
        </w:rPr>
        <w:t>Mehrere kleine Scenen in diesen Räumen und zwischen diesen Personen, eigentlich alle belanglos, folgten einander; den Schluss machte der Abschied der Gouvernante, die vom Hause weg heirathete. Mit diesen Reminiscenzen wusste ich nun gar nichts anzufangen, eine Beziehung derselben zur Aetiologie der Anfälle konnte ich nicht herstellen. Es war allerdings, an verschiedenen Umständen kenntlich, die nämliche Zeit, in welcher die Anfälle zuerst erschienen waren.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Noch ehe ich aber die Analyse fortsetzen konnte, hatte ich Gelegenheit, mit einem Collegen zu sprechen, der in früheren Jahren Arzt des elterlichen Hauses meiner Patientin gewesen war. Von ihm erhielt ich folgende Aufklärung: Zur Zeit, da er das reifende, körperlich sehr gut entwickelte, Mädchen an jenen ersten Anfällen behandelte, fiel ihm die übergrosse Zärtlichkeit im Verkehr zwischen ihr und der im Haus befindlichen Gouvernante auf. Er schöpfte Verdacht und veranlasste die Grossmutter, die Ueberwachung dieses Verkehres zu übernehmen. Nach kurzer Zeit konnte die alte Dame ihm berichten, dass die Gouvernante dem Kinde nächtliche Besuche im Bette abzustatten pflege, und dass ganz regelmässig nach solchen Nächten das Kind am Morgen im Anfall gefunden werde. Sie zögerten nun nicht, die geräuschlose Entfernung dieser Jugendverderberin durchzusetzen. Die Kinder und selbst die Mutter wurden in der Meinung erhalten, dass die Gouvernante das Haus verlasse, um zu heirathen.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zunächst erfolgreiche, Therapie bestand nun darin, dass ich der jungen Frau die mir gegebene Aufklärung mittheilte.</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5"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eastAsia="fr-FR"/>
        </w:rPr>
        <w:t>[</w:t>
      </w:r>
      <w:hyperlink r:id="rId2054" w:tooltip="Seite:De Studien über Hysterie 241.jpg" w:history="1">
        <w:r w:rsidRPr="00C820A0">
          <w:rPr>
            <w:rFonts w:ascii="Garamond" w:hAnsi="Garamond"/>
            <w:b/>
            <w:bCs/>
            <w:color w:val="0000FF"/>
            <w:sz w:val="20"/>
            <w:szCs w:val="20"/>
            <w:u w:val="single"/>
            <w:lang w:eastAsia="fr-FR"/>
          </w:rPr>
          <w:t>241</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Gelegentlich erfolgen die Aufschlüsse, die man durch die Procedur des Drückens erhält, in sehr merkwürdiger Form und unter Umständen, welche die Annahme einer unbewussten Intelligenz noch verlockender erscheinen lassen. So erinnere ich mich einer an Zwangsvorstellungen und Phobien seit vielen Jahren leidenden Dame, die mich in Betreff der Entstehung ihres Leidens auf ihre Kinderjahre verwies, aber auch gar nichts zu nennen wusste, was dafür zu beschuldigen gewesen wäre. </w:t>
      </w:r>
      <w:r w:rsidRPr="00C820A0">
        <w:rPr>
          <w:rFonts w:ascii="Garamond" w:hAnsi="Garamond"/>
          <w:sz w:val="20"/>
          <w:szCs w:val="20"/>
          <w:lang w:val="en-US" w:eastAsia="fr-FR"/>
        </w:rPr>
        <w:t>Sie war aufrichtig und intelligent und leistete nur einen bemerkenswerth geringen, bewussten Widerstand. (Ich schalte hier ein, dass der psychische Mechanismus der Zwangsvorstellungen mit dem der hysterischen Symptome sehr viel innere Verwandtschaft hat, und dass die Technik der Analyse für Beide die nämliche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Als ich diese Dame fragte, ob sie unter dem Drucke meiner Hand etwas gesehen oder eine Erinnerung bekommen habe, antwortete sie: Keines von Beiden aber mir ist plötzlich ein Wort eingefallen. – Ein einziges Wort? – Ja, aber es klingt zu dumm. – Sagen Sie es immerhin. – „Hausmeister.“ – Weiter nichts? – Nein. – Ich drückte zum zweiten Mal, und nun kam wieder ein vereinzeltes Wort, das ihr durch den Sinn schoss; „Hemd.“ – Ich merkte nun, dass hier </w:t>
      </w:r>
      <w:r w:rsidRPr="00C820A0">
        <w:rPr>
          <w:rFonts w:ascii="Garamond" w:hAnsi="Garamond"/>
          <w:sz w:val="20"/>
          <w:szCs w:val="20"/>
          <w:lang w:val="en-US" w:eastAsia="fr-FR"/>
        </w:rPr>
        <w:lastRenderedPageBreak/>
        <w:t xml:space="preserve">eine neuartige Weise Antwort zu geben vorliege, und beförderte durch wiederholten Druck eine anscheinend sinnlose Reihe von Worten heraus: Hausmeister – Hemd – Bett – Stadt – Leiterwagen. Was soll das heissen, fragte ich? Sie sann einen Moment nach, dann fiel ihr ein: Das kann nur die eine Geschichte sein, die mir jetzt in den Sinn kommt. Wie ich 10 Jahre alt war und meine nächstältere Schwester 12, da bekam sie einmal in der Nacht einen Tobsuchtsanfall und musste gebunden und auf einem Leiterwagen in die Stadt geführt werden. Ich weiss es genau, dass es der Hausmeister war, der sie überwältigte und dann auch in die Anstalt begleitete. – Wir setzten nun diese Art der Forschung fort und bekamen von unserem Orakel andere Wortreihen zu hören, die wir zwar nicht sämmtlich deuten konnten, die sich aber doch zur Fortsetzung dieser Geschichte und zur Anknüpfung einer zweiten verwerthen liessen. Auch die Bedeutung dieser Reminiscenz ergab sich bald. Die Erkrankung der Schwester hatte auf sie darum so tiefen Eindruck gemacht, weil die Beiden ein Geheimniss mit einander theilten; sie schliefen in einem Zimmer und hatten in einer bestimmten Nacht Beide die sexuellen Angriffe einer gewissen männlichen Person über sich ergehen lassen. </w:t>
      </w:r>
      <w:r w:rsidRPr="00C820A0">
        <w:rPr>
          <w:rFonts w:ascii="Garamond" w:hAnsi="Garamond"/>
          <w:color w:val="666666"/>
          <w:sz w:val="20"/>
          <w:szCs w:val="20"/>
          <w:lang w:val="en-US" w:eastAsia="fr-FR"/>
        </w:rPr>
        <w:t>[</w:t>
      </w:r>
      <w:hyperlink r:id="rId2055" w:tooltip="Seite:De Studien über Hysterie 242.jpg" w:history="1">
        <w:r w:rsidRPr="00C820A0">
          <w:rPr>
            <w:rFonts w:ascii="Garamond" w:hAnsi="Garamond"/>
            <w:b/>
            <w:bCs/>
            <w:color w:val="0000FF"/>
            <w:sz w:val="20"/>
            <w:szCs w:val="20"/>
            <w:u w:val="single"/>
            <w:lang w:val="en-US" w:eastAsia="fr-FR"/>
          </w:rPr>
          <w:t>242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Mit der Erwähnung dieses sexuellen Traumas in früher Jugend war aber nicht nur die Herkunft der ersten Zwangsvorstellungen, sondern auch das späterhin pathogen wirkende Trauma aufgedeckt. – Die Sonderbarkeit dieses Falles bestand nur in dem Auftauchen von einzelnen Schlagworten, die von uns zu Sätzen verarbeitet werden mussten, denn der Schein der Beziehungs- und Zusammenhangslosigkeit haftet an den ganzen Einfällen und Scenen, die sich sonst beim Drücken ergeben, gerade so wie an diesen orakelhaft hervorgestossenen Worten. Bei weiterer Verfolgung stellt sich dann regelmässig heraus, dass die scheinbar unzusammenhängenden Reminiscenzen durch Gedankenbande enge verknüpft sind, und dass sie ganz direct zu dem gesuchten pathogenen Moment hinführen.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Gerne erinnere ich mich daher an einen Fall von Analyse, in welchem mein Zutrauen in die Ergebnisse des Drückens zuerst auf eine harte Probe gestellt, dann aber glänzend gerechtfertigt wurde: Eine sehr intelligente und anscheinend sehr glückliche junge Frau hatte mich wegen eines hartnäckigen Schmerzes im Unterleib consultirt, welcher der Therapie nicht weichen wollte. Ich erkannte, dass der Schmerz in den Bauchdecken sitze, auf greifbare Muskelschwielen zu beziehen sei, und ordnete locale Behandlung an.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Nach Monaten sah ich die Kranke wieder, die mir sagte: Der Schmerz von damals ist nach der angerathenen Behandlung vergangen und lange weggeblieben, aber jetzt ist er als nervöser wiedergekehrt. Ich erkenne es daran, dass ich ihn nicht mehr bei Bewegungen habe wie früher, sondern nur zu bestimmten Stunden, z. B. morgens beim Erwachen und bei Aufregungen von gewisser Art. – Die Diagnose der Dame war ganz richtig; es galt jetzt, die Ursache dieses Schmerzes auffinden, und dazu konnte sie mir im unbeeinflussten Zustande nicht verhelfen. In der Concentration und unter dem Drucke meiner Hand, als ich sie fragte, ob ihr etwas einfiele oder ob sie etwas sehe, entschied sie sich für’s Sehen und begann mir ihre Gesichtsbilder zu beschreiben. Sie sah etwas wie eine Sonne mit Strahlen, was ich natürlich für ein Phosphen, hervorgebracht durch Druck auf die Augen, halten musste. Ich erwartete, dass Brauchbareres nachkommen würde, allein sie setzte fort: Sterne von eigenthümlich blassblauem Licht wie Mondlicht u. dgl. mehr, lauter Flimmer, Glanz und leuchtende Punkte vor den Augen, wie ich meinte. Ich war schon bereit, diesen Versuch zu den missglückten zu zählen, und dachte daran, wie ich mich unauffällig aus der Affaire ziehen </w:t>
      </w:r>
      <w:r w:rsidRPr="00C820A0">
        <w:rPr>
          <w:rFonts w:ascii="Garamond" w:hAnsi="Garamond"/>
          <w:color w:val="666666"/>
          <w:sz w:val="20"/>
          <w:szCs w:val="20"/>
          <w:lang w:val="en-US" w:eastAsia="fr-FR"/>
        </w:rPr>
        <w:t>[</w:t>
      </w:r>
      <w:hyperlink r:id="rId2056" w:tooltip="Seite:De Studien über Hysterie 243.jpg" w:history="1">
        <w:r w:rsidRPr="00C820A0">
          <w:rPr>
            <w:rFonts w:ascii="Garamond" w:hAnsi="Garamond"/>
            <w:b/>
            <w:bCs/>
            <w:color w:val="0000FF"/>
            <w:sz w:val="20"/>
            <w:szCs w:val="20"/>
            <w:u w:val="single"/>
            <w:lang w:val="en-US" w:eastAsia="fr-FR"/>
          </w:rPr>
          <w:t>243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könnte, als mich eine der Erscheinungen, die sie beschrieb, aufmerksam machte. Ein grosses schwarzes Kreuz, wie sie es sah, das geneigt stand, an seinen Rändern denselben Lichtschimmer wie vom Mondlicht hatte, in dem alle bisherigen Bilder erglänzt hatten, und auf dessen Balken ein Flämmchen flackerte; das war doch offenbar kein Phosphen mehr. Ich horchte nun auf; es kamen massenhafte Bilder in demselben Licht, eigenthümliche Zeichen, die etwa dem Sanscrit ähnlich sahen, ferner Figuren wie Dreiecke, ein grosses Dreieck darunter; wiederum das Kreuz … Diesmal vermuthe ich eine allegorische Bedeutung und frage, was soll dieses Kreuz? – Es ist wahrscheinlich der Schmerz gemeint, antwortet sie. – Ich wende ein, unter „Kreuz“ verstünde man meist eine moralische Last; was versteckt sich hinter dem Schmerz? – Sie weiss es nicht zu sagen und fährt in ihren Gesichten fort: Eine Sonne mit goldenen Strahlen, die sie auch zu deuten weiss, – das ist Gott, die Urkraft; dann eine riesengrosse Eidechse, die sie fragend, aber nicht schreckhaft anschaut, dann ein Haufen von Schlangen, dann wieder eine Sonne, aber mit milden, silbernen Strahlen, und vor ihr, zwischen ihrer Person und dieser Lichtquelle ein Gitter, welches ihr den Mittelpunkt der Sonne verdeckt.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weiss längst, dass ich es mit Allegorien zu thun habe, und frage sofort nach der Bedeutung des letzten Bildes. Sie antwortet, ohne sich zu besinnen: Die Sonne ist die Vollkommenheit, das Ideal, und das Gitter sind meine Schwächen und Fehler, die zwischen mir und dem Ideal stehen. – Ja, machen Sie sich denn Vorwürfe, sind Sie mit sich unzufrieden? – Freilich. – Seit wann denn? – Seitdem ich Mitglied der theosophischen Gesellschaft bin und die von ihr herausgegebenen Schriften lese. Eine geringe Meinung von mir hatte ich immer. – Was hat denn zuletzt den stärksten Eindruck auf Sie gemacht? – Eine Uebersetzung aus dem Sanscrit, die jetzt in Lieferungen erscheint. – Eine Minute später bin ich in ihre Seelenkämpfe, in die Vorwürfe, die sie sich macht, eingeweiht und höre von einem kleinen Erlebniss, das zu einem Vorwurf Anlass gab, und bei dem der früher organische Schmerz als Erfolg einer Erregungsconversion zuerst auftrat. – Die Bilder, die ich anfangs für Phosphene gehalten hatte, waren Symbole occultistischer Gedankengänge, vielleicht geradezu Embleme von den Titelblättern occultistischer Bücher.</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6"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Ich habe jetzt die Leistungen der Hilfsprocedur des Drückens so warm gepriesen und den Gesichtspunkt der Abwehr oder des Widerstandes </w:t>
      </w:r>
      <w:r w:rsidRPr="00C820A0">
        <w:rPr>
          <w:rFonts w:ascii="Garamond" w:hAnsi="Garamond"/>
          <w:color w:val="666666"/>
          <w:sz w:val="20"/>
          <w:szCs w:val="20"/>
          <w:lang w:eastAsia="fr-FR"/>
        </w:rPr>
        <w:t>[</w:t>
      </w:r>
      <w:hyperlink r:id="rId2057" w:tooltip="Seite:De Studien über Hysterie 244.jpg" w:history="1">
        <w:r w:rsidRPr="00C820A0">
          <w:rPr>
            <w:rFonts w:ascii="Garamond" w:hAnsi="Garamond"/>
            <w:b/>
            <w:bCs/>
            <w:color w:val="0000FF"/>
            <w:sz w:val="20"/>
            <w:szCs w:val="20"/>
            <w:u w:val="single"/>
            <w:lang w:eastAsia="fr-FR"/>
          </w:rPr>
          <w:t>244</w:t>
        </w:r>
      </w:hyperlink>
      <w:r w:rsidRPr="00C820A0">
        <w:rPr>
          <w:rFonts w:ascii="Garamond" w:hAnsi="Garamond"/>
          <w:color w:val="666666"/>
          <w:sz w:val="20"/>
          <w:szCs w:val="20"/>
          <w:lang w:eastAsia="fr-FR"/>
        </w:rPr>
        <w:t>]</w:t>
      </w:r>
      <w:r w:rsidRPr="00C820A0">
        <w:rPr>
          <w:rFonts w:ascii="Garamond" w:hAnsi="Garamond"/>
          <w:sz w:val="20"/>
          <w:szCs w:val="20"/>
          <w:lang w:eastAsia="fr-FR"/>
        </w:rPr>
        <w:t xml:space="preserve"> die ganze Zeit über so sehr vernachlässigt, dass ich sicherlich den Eindruck </w:t>
      </w:r>
      <w:r w:rsidRPr="00C820A0">
        <w:rPr>
          <w:rFonts w:ascii="Garamond" w:hAnsi="Garamond"/>
          <w:sz w:val="20"/>
          <w:szCs w:val="20"/>
          <w:lang w:eastAsia="fr-FR"/>
        </w:rPr>
        <w:lastRenderedPageBreak/>
        <w:t xml:space="preserve">erweckt haben dürfte, man sei nun durch diesen kleinen Kunstgriff in den Stand gesetzt, des psychischen Hindernisses gegen eine kathartische Cur Herr zu werden. </w:t>
      </w:r>
      <w:r w:rsidRPr="00C820A0">
        <w:rPr>
          <w:rFonts w:ascii="Garamond" w:hAnsi="Garamond"/>
          <w:sz w:val="20"/>
          <w:szCs w:val="20"/>
          <w:lang w:val="en-US" w:eastAsia="fr-FR"/>
        </w:rPr>
        <w:t>Allein diess zu glauben, wäre ein arger Irrthum; es gibt dergleichen Profite nicht in der Therapie, soviel ich sehe; zur grossen Veränderung wird hier wie überall grosse Arbeit erfordert. Die Druckprocedur ist weiter nichts als ein Kniff, das abwehrlustige Ich für eine Weile zu überrumpeln; in allen ernsteren Fällen besinnt es sich wieder auf seine Absichten und setzt seinen Widerstand fort.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habe der verschiedenen Formen zu gedenken, in welchen dieser Widerstand auftritt. Zunächst das erste oder zweite Mal misslingt der Druckversuch gewöhnlich. Der Kranke äussert dann sehr enttäuscht: „Ich habe geglaubt, es wird mir etwas einfallen, aber ich habe nur gedacht, wie gespannt ich darauf bin; gekommen ist nichts.“ Solches Sich-in-Positursetzen des Patienten ist noch nicht zu den Hindernissen zu zählen; man sagt darauf: „Sie waren eben zu neugierig; das zweite Mal wird es dafür gehen.“ Und es geht dann wirklich. Es ist merkwürdig, wie vollständig oft die Kranken – und die gefügigsten und intelligentesten mit – an die Verabredung vergessen können, zu der sie sich doch vorher verstanden haben. Sie haben versprochen, alles zu sagen, was ihnen unter dem Drucke der Hand einfällt, gleichgiltig, ob es ihnen beziehungsvoll erscheint oder nicht, und ob es ihnen angenehm zu sagen ist oder nicht, also ohne Auswahl, ohne Beeinflussung durch Kritik oder Affect. Sie halten sich aber nicht an dieses Versprechen, es geht offenbar über ihre Kräfte. Allemal stockt die Arbeit, immer wieder behaupten sie, diesmal sei ihnen nichts eingefallen. Man darf ihnen diess nicht glauben, man muss dann immer annehmen und auch äussern, sie hielten etwas zurück, weil sie es für unwichtig halten oder peinlich empfinden. Man besteht darauf, man wiederholt den Druck, man stellt sich unfehlbar, bis man wirklich etwas zu hören bekömmt. Dann fügt der Kranke hinzu: „Das hätte ich Ihnen schon das erste Mal sagen können.“ – Warum haben Sie es nicht gesagt? – „Ich hab’ mir nicht denken können, dass es </w:t>
      </w:r>
      <w:r w:rsidRPr="00C820A0">
        <w:rPr>
          <w:rFonts w:ascii="Garamond" w:hAnsi="Garamond"/>
          <w:i/>
          <w:iCs/>
          <w:sz w:val="20"/>
          <w:szCs w:val="20"/>
          <w:lang w:val="en-US" w:eastAsia="fr-FR"/>
        </w:rPr>
        <w:t>das</w:t>
      </w:r>
      <w:r w:rsidRPr="00C820A0">
        <w:rPr>
          <w:rFonts w:ascii="Garamond" w:hAnsi="Garamond"/>
          <w:sz w:val="20"/>
          <w:szCs w:val="20"/>
          <w:lang w:val="en-US" w:eastAsia="fr-FR"/>
        </w:rPr>
        <w:t xml:space="preserve"> sein sollte. Erst als es jedesmal wiedergekommen ist, habe ich mich entschlossen, es zu sagen“. – Oder: „Ich habe gehofft, gerade das wird es nicht sein; das kann ich mir ersparen zu sagen; erst als es sich nicht verdrängen liess, habe ich gemerkt, es wird mir nichts geschenkt.“ – So verräth der Kranke nachträglich die Motive eines Widerstandes, </w:t>
      </w:r>
      <w:r w:rsidRPr="00C820A0">
        <w:rPr>
          <w:rFonts w:ascii="Garamond" w:hAnsi="Garamond"/>
          <w:color w:val="666666"/>
          <w:sz w:val="20"/>
          <w:szCs w:val="20"/>
          <w:lang w:val="en-US" w:eastAsia="fr-FR"/>
        </w:rPr>
        <w:t>[</w:t>
      </w:r>
      <w:hyperlink r:id="rId2058" w:tooltip="Seite:De Studien über Hysterie 245.jpg" w:history="1">
        <w:r w:rsidRPr="00C820A0">
          <w:rPr>
            <w:rFonts w:ascii="Garamond" w:hAnsi="Garamond"/>
            <w:b/>
            <w:bCs/>
            <w:color w:val="0000FF"/>
            <w:sz w:val="20"/>
            <w:szCs w:val="20"/>
            <w:u w:val="single"/>
            <w:lang w:val="en-US" w:eastAsia="fr-FR"/>
          </w:rPr>
          <w:t>245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den er anfänglich gar nicht einbekennen wollte. Er kann offenbar gar nicht anders als Widerstand leisten.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ist merkwürdig, hinter welchen Ausflüchten sich dieser Widerstand häufig verbirgt. „Ich bin heute zerstreut, mich stört die Uhr oder das Clavierspiel im Nebenzimmer.“ Ich habe gelernt, darauf zu antworten: Keineswegs, Sie stossen jetzt auf etwas, was Sie nicht gerne sagen wollen. Das nützt ihnen nichts. Verweilen Sie nur dabei. – Je länger die Pause zwischen dem Druck meiner Hand und der Aeusserung des Kranken ausfällt, desto misstrauischer werde ich, desto eher steht zu befürchten, dass der Kranke sich das zurechtlegt, was ihm eingefallen ist, und es in der Reproduction verstümmelt. Die wichtigsten Aufklärungen kommen häufig mit der Ankündigung als überflüssiges Beiwerk, wie die als Bettler verkleideten Prinzen der Oper: „Jetzt ist mir etwas eingefallen, das hat aber nichts damit zu schaffen. </w:t>
      </w:r>
      <w:r w:rsidRPr="00C820A0">
        <w:rPr>
          <w:rFonts w:ascii="Garamond" w:hAnsi="Garamond"/>
          <w:sz w:val="20"/>
          <w:szCs w:val="20"/>
          <w:lang w:eastAsia="fr-FR"/>
        </w:rPr>
        <w:t xml:space="preserve">Ich sage es Ihnen nur, weil Sie alles zu wissen verlangen.“ </w:t>
      </w:r>
      <w:r w:rsidRPr="00C820A0">
        <w:rPr>
          <w:rFonts w:ascii="Garamond" w:hAnsi="Garamond"/>
          <w:sz w:val="20"/>
          <w:szCs w:val="20"/>
          <w:lang w:val="en-US" w:eastAsia="fr-FR"/>
        </w:rPr>
        <w:t>Mit dieser Einbegleitung kommt dann meist die langersehnte Lösung; ich horche immer auf, wenn ich den Kranken so geringschätzig von einem Einfall reden höre. Es ist nämlich ein Zeichen der gelungenen Abwehr, dass die pathogenen Vorstellungen bei ihrem Wiederauftauchen so wenig bedeutsam erscheinen; man kann daraus erschliessen, worin der Process der Abwehr bestand; er bestand darin, aus der starken Vorstellung eine schwache zu machen, ihr den Affect zu entreissen.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Die pathogene Erinnerung erkennt man also unter anderen Merkmalen daran, dass sie vom Kranken als unwesentlich bezeichnet und doch nur mit Widerstand ausgesprochen wird. Es gibt auch Fälle, wo sie der Kranke noch bei ihrer Wiederkehr zu verleugnen sucht; „Jetzt ist mir etwas eingefallen, aber das haben Sie mir offenbar eingeredet“, oder: „Ich weiss, was Sie sich bei dieser Frage erwarten. Sie meinen gewiss, ich habe diess und jenes gedacht“. Eine besonders kluge Weise der Verleugnung liegt darin, zu sagen: „Jetzt ist mir allerdings etwas eingefallen; aber das kommt mir vor, als hätte ich es willkürlich hinzugefügt; es scheint mir kein reproducirter Gedanke zu sein“. – Ich bleibe in all’ diesen Fällen unerschütterlich fest, ich gehe auf keine dieser Distinctionen ein, sondern erkläre dem Kranken, das seien nur Formen und Vorwände des Widerstandes gegen die Reproduction der einen Erinnerung, die wir trotzdem anerkennen müssten.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Bei der Wiederkehr von Bildern hat man im Allgemeinen leichteres Spiel als bei der von Gedanken; die Hysterischen, die zumeist Visuelle sind, machen es dem Analytiker nicht so schwer wie die Leute mit </w:t>
      </w:r>
      <w:r w:rsidRPr="00C820A0">
        <w:rPr>
          <w:rFonts w:ascii="Garamond" w:hAnsi="Garamond"/>
          <w:color w:val="666666"/>
          <w:sz w:val="20"/>
          <w:szCs w:val="20"/>
          <w:lang w:val="en-US" w:eastAsia="fr-FR"/>
        </w:rPr>
        <w:t>[</w:t>
      </w:r>
      <w:hyperlink r:id="rId2059" w:tooltip="Seite:De Studien über Hysterie 246.jpg" w:history="1">
        <w:r w:rsidRPr="00C820A0">
          <w:rPr>
            <w:rFonts w:ascii="Garamond" w:hAnsi="Garamond"/>
            <w:b/>
            <w:bCs/>
            <w:color w:val="0000FF"/>
            <w:sz w:val="20"/>
            <w:szCs w:val="20"/>
            <w:u w:val="single"/>
            <w:lang w:val="en-US" w:eastAsia="fr-FR"/>
          </w:rPr>
          <w:t>246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Zwangsvorstellungen. Ist einmal ein Bild aus der Erinnerung aufgetaucht, so kann man den Kranken sagen hören, dass es in dem Maass zerbröckele und undeutlich werde, wie er in seiner Schilderung desselben fortschreite. </w:t>
      </w:r>
      <w:r w:rsidRPr="00C820A0">
        <w:rPr>
          <w:rFonts w:ascii="Garamond" w:hAnsi="Garamond"/>
          <w:i/>
          <w:iCs/>
          <w:sz w:val="20"/>
          <w:szCs w:val="20"/>
          <w:lang w:val="en-US" w:eastAsia="fr-FR"/>
        </w:rPr>
        <w:t>Der Kranke trägt es gleichsam ab, indem er es in Worte umsetzt</w:t>
      </w:r>
      <w:r w:rsidRPr="00C820A0">
        <w:rPr>
          <w:rFonts w:ascii="Garamond" w:hAnsi="Garamond"/>
          <w:sz w:val="20"/>
          <w:szCs w:val="20"/>
          <w:lang w:val="en-US" w:eastAsia="fr-FR"/>
        </w:rPr>
        <w:t>. Man orientirt sich nun an dem Erinnerungsbild selbst, um die Richtung zu finden, nach welcher die Arbeit fortzusetzen ist. „Schauen Sie sich das Bild nochmals an. Ist es verschwunden? – Im Ganzen ja, aber dieses Detail sehe ich noch. – Dann hat diess noch etwas zu bedeuten. Sie werden entweder etwas Neues dazu sehen, oder es wird Ihnen bei diesem Rest etwas einfallen. – Wenn die Arbeit beendigt ist, zeigt sich das Gesichtsfeld wieder frei, man kann ein anderes Bild hervorlocken. Andere Male aber bleibt ein solches Bild hartnäckig vor dem inneren Auge des Kranken stehen, trotz seiner Beschreibung, und das ist für mich ein Zeichen, dass er mir noch etwas Wichtiges über das Thema des Bildes zu sagen hat. Sobald er diess vollzogen hat, schwindet das Bild, wie ein erlöster Geist zur Ruhe eingeht.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ist natürlich von hohem Werth für den Fortgang der Analyse, dass man dem Kranken gegenüber jedesmal Recht behalte, sonst hängt man ja davon ab, was er mitzutheilen für gut findet. Es ist darum tröstlich zu hören, dass die Procedur des Drückens eigentlich niemals fehlschlägt, von einem einzigen Fall abgesehen, den ich später zu würdigen habe, den ich aber sogleich durch die Bemerkung kennzeichnen kann, er entspreche einem besonderen Motiv zum Widerstande. Es kann freilich vorkommen, dass man die Procedur unter Verhältnissen anwendet, in </w:t>
      </w:r>
      <w:r w:rsidRPr="00C820A0">
        <w:rPr>
          <w:rFonts w:ascii="Garamond" w:hAnsi="Garamond"/>
          <w:sz w:val="20"/>
          <w:szCs w:val="20"/>
          <w:lang w:val="en-US" w:eastAsia="fr-FR"/>
        </w:rPr>
        <w:lastRenderedPageBreak/>
        <w:t>denen sie nichts zu Tage fördern darf; man fragt z. B. nach der weiteren Aetiologie eines Symptoms, wenn dieselbe bereits abgeschlossen vorliegt, oder man forscht nach der psychischen Genealogie eines Symptoms, etwa eines Schmerzes, der in Wahrheit ein somatischer Schmerz war; in diesen Fällen behauptet der Kranke gleichfalls, es sei ihm nichts eingefallen, und befindet sich im Rechte. Man wird sich davor behüten, ihm Unrecht zu thun, wenn man es sich ganz allgemein zur Regel macht, während der Analyse die Miene des ruhig Daliegenden nicht aus dem Auge zu lassen. Man lernt dann ohne jede Schwierigkeit, die seelische Ruhe bei wirklichem Ausbleiben einer Reminiscenz von der Spannung und den Affectanzeichen zu unterscheiden, unter welchen der Kranke im Dienste der Abwehr die auftauchende Reminiscenz zu verleugnen sucht. Auf solchen Erfahrungen ruht übrigens auch die differentialdiagnostische Anwendung der Druckprocedur.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2060" w:tooltip="Seite:De Studien über Hysterie 247.jpg" w:history="1">
        <w:r w:rsidRPr="00C820A0">
          <w:rPr>
            <w:rFonts w:ascii="Garamond" w:hAnsi="Garamond"/>
            <w:b/>
            <w:bCs/>
            <w:color w:val="0000FF"/>
            <w:sz w:val="20"/>
            <w:szCs w:val="20"/>
            <w:u w:val="single"/>
            <w:lang w:val="en-US" w:eastAsia="fr-FR"/>
          </w:rPr>
          <w:t>247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Es ist also die Arbeit auch mit Hilfe der Druckprocedur keine mühelose. Man hat nur den einen Vortheil gewonnen, dass man aus den Ergebnissen dieses Verfahrens gelernt hat, nach welcher Richtung man zu forschen, und welche Dinge man dem Kranken aufzudrängen hat. Für manche Fälle reicht diess aus; es handelt sich ja wesentlich darum, dass ich das Geheimniss errathe und es dem Kranken in’s Gesicht zusage; er muss dann meist seine Ablehnung aufgeben. In anderen Fällen brauche ich mehr; der überdauernde Widerstand des Kranken zeigt sich darin, dass die Zusammenhänge reissen, die Lösungen ausbleiben, die erinnerten Bilder undeutlich und unvollständig kommen. Man erstaunt oft, wenn man aus einer späteren Periode einer Analyse auf die frühern zurückblickt, wie verstümmelt alle die Einfalle und Scenen waren, die man dem Kranken durch die Procedur des Drückens entrissen hat. Es fehlte gerade das Wesentliche daran, die Beziehung auf die Person oder auf das Thema, und das Bild blieb darum unverständlich. Ich will ein oder zwei Beispiele für das Wirken einer solchen Censurirung beim ersten Auftauchen der pathogenen Erinnerungen geben. Der Kranke sieht z. B. einen weiblichen Oberkörper, an dessen Hülle wie durch Nachlässigkeit etwas klafft; erst viel später fügt er zu diesem Torso den Kopf, um damit eine Person und eine Beziehung zu verrathen. Oder er erzählt eine Reminiscenz aus seiner Kindheit von zwei Buben, deren Gestalt ihm ganz dunkel ist, denen man eine gewisse Unart nachgesagt hätte. Es bedarf vieler Monate und grosser Fortschritte im Gange der Analyse, bis er diese Reminiscenz wiedersieht und in dem einen der Kinder sich selbst, im anderen seinen Bruder erkennt. Welche Mittel hat man nun zur Verfügung, um diesen fortgesetzten Widerstand zu überwinden?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Wenige, aber doch fast alle die, durch die sonst ein Mensch eine psychische Einwirkung auf einen anderen übt. Man muss sich zunächst sagen, dass psychischer Widerstand, besonders ein seit langem constituirter, nur langsam und schrittweise aufgelöst werden kann, und muss in Geduld warten. Sodann darf man auf das intellectuelle Interesse rechnen, das sich nach kurzer Arbeit beim Kranken zu regen beginnt. Indem man ihn aufklärt, ihm von der wundersamen Welt der psychischen Vorgänge Mittheilungen macht, in die man selbst erst durch solche Analysen Einblick gewonnen hat, gewinnt man ihn selbst zum Mitarbeiter, bringt man ihn dazu, sich selbst mit dem objectiven Interesse des Forschers zu betrachten, und drängt so den auf affectiver Basis beruhenden Widerstand zurück. Endlich aber, – und diess bleibt der </w:t>
      </w:r>
      <w:r w:rsidRPr="00C820A0">
        <w:rPr>
          <w:rFonts w:ascii="Garamond" w:hAnsi="Garamond"/>
          <w:color w:val="666666"/>
          <w:sz w:val="20"/>
          <w:szCs w:val="20"/>
          <w:lang w:val="en-US" w:eastAsia="fr-FR"/>
        </w:rPr>
        <w:t>[</w:t>
      </w:r>
      <w:hyperlink r:id="rId2061" w:tooltip="Seite:De Studien über Hysterie 248.jpg" w:history="1">
        <w:r w:rsidRPr="00C820A0">
          <w:rPr>
            <w:rFonts w:ascii="Garamond" w:hAnsi="Garamond"/>
            <w:b/>
            <w:bCs/>
            <w:color w:val="0000FF"/>
            <w:sz w:val="20"/>
            <w:szCs w:val="20"/>
            <w:u w:val="single"/>
            <w:lang w:val="en-US" w:eastAsia="fr-FR"/>
          </w:rPr>
          <w:t>248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stärkste Hebel –, muss man versuchen, nachdem man die Motive seiner Abwehr errathen, diese Motive zu entwerthen, oder selbst sie durch stärkere zu ersetzen. Hier hört wohl die Möglichkeit auf, die psychotherapeutische Thätigkeit in Formeln zu fassen. Man wirkt, so gut man kann, als Aufklärer, wo die Ignoranz eine Scheu erzeugt hat, als Lehrer, als Vertreter einer freieren oder überlegenen Weltauffassung, als Beichthörer, der durch die Fortdauer seiner Theilnahme und seiner Achtung nach abgelegtem Geständniss gleichsam Absolution ertheilt; man sucht dem Kranken menschlich etwas zu leisten, soweit der Umfang der eigenen Persönlichkeit und das Maass von Sympathie, das man für den betreffenden Fall aufbringen kann, diess gestatten. Für solche psychische Bethätigung ist als unerlässliche Voraussetzung erforderlich, dass man die Natur des Falles und die Motive der hier wirksamen Abwehr ungefähr errathen habe, und zum Glück trägt die Technik des Drängens und der Druckprocedur gerade so weit. Je mehr man dergleichen Räthsel bereits gelöst hat, desto leichter wird man vielleicht ein neues errathen, und desto früher wird man die eigentlich heilende psychische Arbeit in Angriff nehmen können. Denn es ist gut, sich diess völlig klar zu machen: Wenn auch der Kranke sich von dem hysterischen Symptom erst befreit, indem er die es verursachenden pathogenen Eindrücke reproducirt und unter Affectäusserung ausspricht, so liegt doch die therapeutische Aufgabe </w:t>
      </w:r>
      <w:r w:rsidRPr="00C820A0">
        <w:rPr>
          <w:rFonts w:ascii="Garamond" w:hAnsi="Garamond"/>
          <w:i/>
          <w:iCs/>
          <w:sz w:val="20"/>
          <w:szCs w:val="20"/>
          <w:lang w:val="en-US" w:eastAsia="fr-FR"/>
        </w:rPr>
        <w:t>nur darin, ihn dazu zu bewegen</w:t>
      </w:r>
      <w:r w:rsidRPr="00C820A0">
        <w:rPr>
          <w:rFonts w:ascii="Garamond" w:hAnsi="Garamond"/>
          <w:sz w:val="20"/>
          <w:szCs w:val="20"/>
          <w:lang w:val="en-US" w:eastAsia="fr-FR"/>
        </w:rPr>
        <w:t>, und wenn diese Aufgabe einmal gelöst ist, so bleibt für den Arzt nichts mehr zu corrigiren oder aufzuheben übrig. Alles, was es an Gegensuggestionen dafür braucht, ist bereits während der Bekämpfung des Widerstandes aufgewendet worden. Der Fall ist etwa mit dem Aufschliessen einer versperrten Thüre zu vergleichen, wonach das Niederdrücken der Klinke, um sie zu öffnen, keine Schwierigkeit mehr hat.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Neben den intellectuellen Motiven, die man zur Ueberwindung des Widerstandes heranzieht, wird man ein affectives Moment, die persönliche Geltung des Arztes, selten entbehren können, und in einer Anzahl von Fällen wird Letzteres allein im Stande sein, den Widerstand zu beheben. Das ist hier nicht anders als sonst in der Medizin, und man wird keiner therapeutischen Methode zumuthen dürfen, auf die Mitwirkung dieses persönlichen Momentes gänzlich zu verzichten.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2062" w:tooltip="Seite:De Studien über Hysterie 249.jpg" w:history="1">
        <w:r w:rsidRPr="00C820A0">
          <w:rPr>
            <w:rFonts w:ascii="Garamond" w:hAnsi="Garamond"/>
            <w:b/>
            <w:bCs/>
            <w:color w:val="0000FF"/>
            <w:sz w:val="20"/>
            <w:szCs w:val="20"/>
            <w:u w:val="single"/>
            <w:lang w:val="en-US" w:eastAsia="fr-FR"/>
          </w:rPr>
          <w:t>249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III.</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Angesichts der Ausführungen des vorstehenden Abschnittes, der Schwierigkeiten meiner Technik, die ich rückhaltlos aufgedeckt habe, – ich habe sie übrigens aus den schwersten Fällen zusammengetragen, es wird oft sehr viel bequemer gehen –; angesichts dieses Sachverhaltes also wird wohl jeder die Frage aufwerfen wollen, ob es nicht zweckmässiger sei, anstatt all dieser Quälereien sich energischer um die Hypnose zu bemühen oder die Anwendung </w:t>
      </w:r>
      <w:r w:rsidRPr="00C820A0">
        <w:rPr>
          <w:rFonts w:ascii="Garamond" w:hAnsi="Garamond"/>
          <w:sz w:val="20"/>
          <w:szCs w:val="20"/>
          <w:lang w:val="en-US" w:eastAsia="fr-FR"/>
        </w:rPr>
        <w:lastRenderedPageBreak/>
        <w:t xml:space="preserve">der kathartischen Methode auf solche Kranke zu beschränken, die in tiefe Hypnose zu versetzen sind. Auf letzteren Vorschlag müsste ich antworten, dass dann die Zahl der brauchbaren Patienten für </w:t>
      </w:r>
      <w:r w:rsidRPr="00C820A0">
        <w:rPr>
          <w:rFonts w:ascii="Garamond" w:hAnsi="Garamond"/>
          <w:i/>
          <w:iCs/>
          <w:sz w:val="20"/>
          <w:szCs w:val="20"/>
          <w:lang w:val="en-US" w:eastAsia="fr-FR"/>
        </w:rPr>
        <w:t>meine</w:t>
      </w:r>
      <w:r w:rsidRPr="00C820A0">
        <w:rPr>
          <w:rFonts w:ascii="Garamond" w:hAnsi="Garamond"/>
          <w:sz w:val="20"/>
          <w:szCs w:val="20"/>
          <w:lang w:val="en-US" w:eastAsia="fr-FR"/>
        </w:rPr>
        <w:t xml:space="preserve"> Geschicklichkeit allzusehr einschrumpfen würde; dem ersteren Rath aber werde ich die Muthmaassung entgegensetzen, es dürfte durch Erzwingen der Hypnose nicht viel vom Widerstand zu ersparen sein. Meine Erfahrungen hierüber sind eigenthümlicher Weise nur wenig zahlreich, ich kann daher nicht über die Muthmaassung hinauskommen: aber wo ich eine kathartische Cur in der Hypnose anstatt in der Concentration durchgeführt habe, fand ich die mir zufallende Arbeit dadurch nicht verringert. Ich habe erst unlängst eine solche Behandlung beendigt, in deren Verlauf ich eine hysterische Lähmung der Beine zum Weichen brachte. Die Patientin gerieth in einen Zustand, der psychisch vom Wachen sehr verschieden war und somatisch dadurch ausgezeichnet, dass sie die Augen unmöglich öffnen oder sich erheben konnte, ehe ich ihr zugerufen hatte: Jetzt wachen Sie auf, und doch habe ich in keinem Falle grösseren Widerstand gefunden als gerade in diesem. Ich legte auf diese körperlichen Zeichen keinen Werth, und gegen Ende der, zehn Monate währenden, Behandlung waren sie auch unmerklich geworden; der Zustand der Patientin, in dem wir arbeiteten, hatte darum von seinen psychischen Eigenthümlichkeiten, der Fähigkeit sich an Unbewusstes zu erinnern, der ganz besonderen Beziehung zur Person des Arztes nichts eingebüsst. In der Geschichte der Frau Emmy v. N. . . habe ich allerdings ein Beispiel einer im tiefsten Somnambulismus ausgeführten kathartischen Cur geschildert, in welcher der Widerstand fast keine Rolle spielte. Allein von dieser Frau habe ich auch nichts erfahren, zu dessen Mittheilung es einer besonderen Ueberwindung bedurft hätte, nichts, was sie mir nicht bei längerer Bekanntschaft und einiger Schätzung auch im Wachen hätte erzählen können. Auf die eigentlichen Ursachen ihrer Erkrankung, </w:t>
      </w:r>
      <w:r w:rsidRPr="00C820A0">
        <w:rPr>
          <w:rFonts w:ascii="Garamond" w:hAnsi="Garamond"/>
          <w:color w:val="666666"/>
          <w:sz w:val="20"/>
          <w:szCs w:val="20"/>
          <w:lang w:val="en-US" w:eastAsia="fr-FR"/>
        </w:rPr>
        <w:t>[</w:t>
      </w:r>
      <w:hyperlink r:id="rId2063" w:tooltip="Seite:De Studien über Hysterie 250.jpg" w:history="1">
        <w:r w:rsidRPr="00C820A0">
          <w:rPr>
            <w:rFonts w:ascii="Garamond" w:hAnsi="Garamond"/>
            <w:b/>
            <w:bCs/>
            <w:color w:val="0000FF"/>
            <w:sz w:val="20"/>
            <w:szCs w:val="20"/>
            <w:u w:val="single"/>
            <w:lang w:val="en-US" w:eastAsia="fr-FR"/>
          </w:rPr>
          <w:t>250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sicherlich identisch mit den Ursachen ihrer Recidiven nach meiner Behandlung, bin ich gar nicht gekommen; – es war eben mein erster Versuch in dieser Therapie, – und das einzige Mal, als ich zufällig eine Reminiscenz von ihr forderte, in die sich ein Stück Erotik einmengte, fand ich sie ebenso widerstrebend und unverlässlich in ihren Angaben wie später irgend eine andere meiner nicht somnambulen Patientinnen. Von dem Widerstand dieser Frau auch im Somnambulismus gegen andere Anforderungen und Zumuthungen habe ich bereits in ihrer Krankengeschichte gesprochen. Ueberhaupt ist mir der Werth der Hypnose für die Erleichterung kathartischer Curen zweifelhaft geworden, seitdem ich Beispiele erlebt habe von absoluter therapeutischer Unfügsamkeit bei ausgezeichnetem andersartigen Gehorsam im tiefen Somnambulismus. Einen Fall dieser Art habe ich kurz auf p. 85 mitgetheilt; ich könnte noch andere hinzufügen. Ich gestehe übrigens, dass diese Erfahrung meinem Bedürfniss nach quantitativer Relation zwischen Ursache und Wirkung auch auf psychischem Gebiete nicht übel entsprochen hat.</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7"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In der bisherigen Darstellung hat sich uns die Idee des </w:t>
      </w:r>
      <w:r w:rsidRPr="00C820A0">
        <w:rPr>
          <w:rFonts w:ascii="Garamond" w:hAnsi="Garamond"/>
          <w:i/>
          <w:iCs/>
          <w:sz w:val="20"/>
          <w:szCs w:val="20"/>
          <w:lang w:eastAsia="fr-FR"/>
        </w:rPr>
        <w:t>Widerstandes</w:t>
      </w:r>
      <w:r w:rsidRPr="00C820A0">
        <w:rPr>
          <w:rFonts w:ascii="Garamond" w:hAnsi="Garamond"/>
          <w:sz w:val="20"/>
          <w:szCs w:val="20"/>
          <w:lang w:eastAsia="fr-FR"/>
        </w:rPr>
        <w:t xml:space="preserve"> in den Vordergrund gedrängt; ich habe gezeigt, wie man bei der therapeutischen Arbeit zu der Auffassung geleitet wird, die Hysterie entstehe durch die Verdrängung einer unverträglichen Vorstellung aus dem Motive der Abwehr, die verdrängte Vorstellung bleibe als eine schwache (wenig intensive) Erinnerungsspur bestehen, der ihr entrissene Affect werde für eine somatische Innervation verwendet: Conversion der Erregung. </w:t>
      </w:r>
      <w:r w:rsidRPr="00C820A0">
        <w:rPr>
          <w:rFonts w:ascii="Garamond" w:hAnsi="Garamond"/>
          <w:sz w:val="20"/>
          <w:szCs w:val="20"/>
          <w:lang w:val="en-US" w:eastAsia="fr-FR"/>
        </w:rPr>
        <w:t>Die Vorstellung werde also gerade durch ihre Verdrängung Ursache krankhafter Symptome, also pathogen. Einer Hysterie, die diesen psychischen Mechanismus aufweist, darf man den Namen „</w:t>
      </w:r>
      <w:r w:rsidRPr="00C820A0">
        <w:rPr>
          <w:rFonts w:ascii="Garamond" w:hAnsi="Garamond"/>
          <w:i/>
          <w:iCs/>
          <w:sz w:val="20"/>
          <w:szCs w:val="20"/>
          <w:lang w:val="en-US" w:eastAsia="fr-FR"/>
        </w:rPr>
        <w:t>Abwehrhysterie</w:t>
      </w:r>
      <w:r w:rsidRPr="00C820A0">
        <w:rPr>
          <w:rFonts w:ascii="Garamond" w:hAnsi="Garamond"/>
          <w:sz w:val="20"/>
          <w:szCs w:val="20"/>
          <w:lang w:val="en-US" w:eastAsia="fr-FR"/>
        </w:rPr>
        <w:t xml:space="preserve">“ beilegen. Nun haben wir Beide,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und ich, zu wiederholten Malen von zwei anderen Arten der Hysterie gesprochen, für welche wir die Namen „</w:t>
      </w:r>
      <w:r w:rsidRPr="00C820A0">
        <w:rPr>
          <w:rFonts w:ascii="Garamond" w:hAnsi="Garamond"/>
          <w:i/>
          <w:iCs/>
          <w:sz w:val="20"/>
          <w:szCs w:val="20"/>
          <w:lang w:val="en-US" w:eastAsia="fr-FR"/>
        </w:rPr>
        <w:t>Hypnoid</w:t>
      </w:r>
      <w:r w:rsidRPr="00C820A0">
        <w:rPr>
          <w:rFonts w:ascii="Garamond" w:hAnsi="Garamond"/>
          <w:sz w:val="20"/>
          <w:szCs w:val="20"/>
          <w:lang w:val="en-US" w:eastAsia="fr-FR"/>
        </w:rPr>
        <w:t xml:space="preserve">- und </w:t>
      </w:r>
      <w:r w:rsidRPr="00C820A0">
        <w:rPr>
          <w:rFonts w:ascii="Garamond" w:hAnsi="Garamond"/>
          <w:i/>
          <w:iCs/>
          <w:sz w:val="20"/>
          <w:szCs w:val="20"/>
          <w:lang w:val="en-US" w:eastAsia="fr-FR"/>
        </w:rPr>
        <w:t>Retentionshysterie</w:t>
      </w:r>
      <w:r w:rsidRPr="00C820A0">
        <w:rPr>
          <w:rFonts w:ascii="Garamond" w:hAnsi="Garamond"/>
          <w:sz w:val="20"/>
          <w:szCs w:val="20"/>
          <w:lang w:val="en-US" w:eastAsia="fr-FR"/>
        </w:rPr>
        <w:t xml:space="preserve">“ in Gebrauch zogen. Die Hypnoidhysterie ist diejenige, die überhaupt zuerst in unseren Gesichtskreis getreten ist; ich wüsste ja kein besseres Beispiel für eine solche anzuführen als den ersten Fall </w:t>
      </w:r>
      <w:r w:rsidRPr="00C820A0">
        <w:rPr>
          <w:rFonts w:ascii="Garamond" w:hAnsi="Garamond"/>
          <w:i/>
          <w:iCs/>
          <w:sz w:val="20"/>
          <w:szCs w:val="20"/>
          <w:lang w:val="en-US" w:eastAsia="fr-FR"/>
        </w:rPr>
        <w:t>Breuer’s</w:t>
      </w:r>
      <w:r w:rsidRPr="00C820A0">
        <w:rPr>
          <w:rFonts w:ascii="Garamond" w:hAnsi="Garamond"/>
          <w:sz w:val="20"/>
          <w:szCs w:val="20"/>
          <w:lang w:val="en-US" w:eastAsia="fr-FR"/>
        </w:rPr>
        <w:t xml:space="preserve">, der unter unseren Krankengeschichten an erster Stelle steht. Für eine solche Hypnoidhysterie hat </w:t>
      </w:r>
      <w:r w:rsidRPr="00C820A0">
        <w:rPr>
          <w:rFonts w:ascii="Garamond" w:hAnsi="Garamond"/>
          <w:i/>
          <w:iCs/>
          <w:sz w:val="20"/>
          <w:szCs w:val="20"/>
          <w:lang w:val="en-US" w:eastAsia="fr-FR"/>
        </w:rPr>
        <w:t>Breuer</w:t>
      </w:r>
      <w:r w:rsidRPr="00C820A0">
        <w:rPr>
          <w:rFonts w:ascii="Garamond" w:hAnsi="Garamond"/>
          <w:sz w:val="20"/>
          <w:szCs w:val="20"/>
          <w:lang w:val="en-US" w:eastAsia="fr-FR"/>
        </w:rPr>
        <w:t xml:space="preserve"> einen von dem der Conversionsabwehr wesentlich verschiedenen psychischen Mechanismus angegeben. Hier soll also eine Vorstellung dadurch pathogen werden, dass sie, in einem besonderen psychischen Zustand </w:t>
      </w:r>
      <w:r w:rsidRPr="00C820A0">
        <w:rPr>
          <w:rFonts w:ascii="Garamond" w:hAnsi="Garamond"/>
          <w:color w:val="666666"/>
          <w:sz w:val="20"/>
          <w:szCs w:val="20"/>
          <w:lang w:val="en-US" w:eastAsia="fr-FR"/>
        </w:rPr>
        <w:t>[</w:t>
      </w:r>
      <w:hyperlink r:id="rId2064" w:tooltip="Seite:De Studien über Hysterie 251.jpg" w:history="1">
        <w:r w:rsidRPr="00C820A0">
          <w:rPr>
            <w:rFonts w:ascii="Garamond" w:hAnsi="Garamond"/>
            <w:b/>
            <w:bCs/>
            <w:color w:val="0000FF"/>
            <w:sz w:val="20"/>
            <w:szCs w:val="20"/>
            <w:u w:val="single"/>
            <w:lang w:val="en-US" w:eastAsia="fr-FR"/>
          </w:rPr>
          <w:t>251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empfangen, von vorne herein ausserhalb des Ich verblieben ist. Es hat also keiner psychischen Kraft bedurft, sie von dem Ich abzuhalten, und es darf keinen Widerstand erwecken, wenn man sie mit Hilfe der somnambulen Geistesthätigkeit in das Ich einführt. Die Krankengeschichte der Anna O. zeigt auch wirklich nichts von einem solchen Widerstand.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halte diesen Unterschied für so wesentlich, dass ich mich durch ihn gerne bestimmen lasse, an der Aufstellung der Hypnoidhysterie festzuhalten. Meiner eigenen Erfahrung ist merkwürdiger Weise keine echte Hypnoidhysterie begegnet; was ich in Angriff nahm, verwandelte sich in Abwehrhysterie. Nicht etwa, dass ich es niemals mit Symptomen zu thun gehabt hätte, die nachweisbar in abgesonderten Bewusstseinszuständen entstanden waren und darum von der Aufnahme in’s Ich ausgeschlossen bleiben mussten. Diess traf auch in meinen Fällen mitunter zu, aber dann konnte ich doch nachweisen, dass der sog. hypnoide Zustand seine Absonderung dem Umstand verdankte, dass in ihm eine vorher durch Abwehr abgespaltene psychische Gruppe zur Geltung kam. Kurz, ich kann den Verdacht nicht unterdrücken, dass Hypnoid- und Abwehrhysterie irgendwo an ihrer Wurzel zusammentreffen, und dass dabei die Abwehr das Primäre ist. Ich weiss aber nichts darüber.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Gleich unsicher ist derzeit mein Urtheil über die „Retentionshysterie“, bei welcher die therapeutische Arbeit gleichfalls ohne Widerstand erfolgen sollte. Ich habe einen Fall gehabt, den ich für eine typische Retentionshysterie gehalten habe; ich freute mich auf den leichten und sicheren Erfolg, aber dieser Erfolg blieb aus, so leicht auch wirklich die Arbeit war. Ich vermuthe daher, wiederum mit aller Zurückhaltung, die der Unwissenheit geziemt, dass auch bei der Retentionshysterie auf dem Grunde ein Stück Abwehr zu finden ist, welches den ganzen Vorgang in’s </w:t>
      </w:r>
      <w:r w:rsidRPr="00C820A0">
        <w:rPr>
          <w:rFonts w:ascii="Garamond" w:hAnsi="Garamond"/>
          <w:sz w:val="20"/>
          <w:szCs w:val="20"/>
          <w:lang w:val="en-US" w:eastAsia="fr-FR"/>
        </w:rPr>
        <w:lastRenderedPageBreak/>
        <w:t>Hysterische gedrängt hat. Ob ich mit dieser Tendenz zur Ausdehnung des Abwehrbegriffes auf die gesammte Hysterie Gefahr laufe, der Einseitigkeit und dem Irrthum zu verfallen, werden ja hoffentlich neue Erfahrungen bald entscheiden.</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8"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2065" w:tooltip="Seite:De Studien über Hysterie 252.jpg" w:history="1">
        <w:r w:rsidRPr="00C820A0">
          <w:rPr>
            <w:rFonts w:ascii="Garamond" w:hAnsi="Garamond"/>
            <w:b/>
            <w:bCs/>
            <w:color w:val="0000FF"/>
            <w:sz w:val="20"/>
            <w:szCs w:val="20"/>
            <w:u w:val="single"/>
            <w:lang w:val="en-US" w:eastAsia="fr-FR"/>
          </w:rPr>
          <w:t>252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Ich habe bisher von den Schwierigkeiten und der Technik der kathartischen Methode gehandelt und möchte noch einige Andeutungen hinzufügen, wie sich mit dieser Technik eine Analyse gestaltet. Es ist diess ein für mich sehr interessantes Thema, von dem ich aber nicht erwarten kann, es werde ähnliches Interesse bei Anderen erregen, die noch keine solche Analyse ausgeführt haben. Es wird eigentlich wiederum von Technik die Rede sein, aber diesmal von den inhaltlichen Schwierigkeiten, für die man den Kranken nicht verantwortlich machen kann, die zum Theil bei einer Hypnoid- und Retentionshysterie dieselben sein müssten wie bei den mir als Muster vorschwebenden Abwehrhysterien. Ich gehe an dieses letzte Stück der Darstellung mit der Erwartung, die hier aufzudeckenden psychischen Eigenthümlichkeiten könnten einmal für eine Vorstellungsdynamik einen gewissen Werth als Rohmaterial erlangen.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Der erste und mächtigste Eindruck, den man sich bei einer solchen Analyse holt, ist gewiss der, dass das pathogene psychische Material, das angeblich vergessen ist, dem Ich nicht zur Verfügung steht, in der Association und im Erinnern keine Rolle spielt. – doch in irgend einer Weise bereit liegt, und zwar in richtiger und guter Ordnung. Es handelt sich nur darum, Widerstände zu beseitigen, die den Weg dazu versperren. Sonst aber wird es gewusst, wie wir überhaupt etwas wissen können; die richtigen Verknüpfungen der einzelnen Vorstellungen unter einander und mit nicht pathogenen, häufig erinnerten, sind vorhanden, sind seinerzeit vollzogen und im Gedächtniss bewahrt worden. Das pathogene psychische Material erscheint als das Eigenthum einer Intelligenz, die der des normalen Ich nicht nothwendig nachsteht. Der Schein einer zweiten Persönlichkeit wird oft auf das täuschendste hergestellt.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Ob dieser Eindruck berechtigt ist, ob man dabei nicht die Anordnung des psychischen Materials, die nach der Erledigung resultirt, in die Zeit der Krankheit zurückverlegt, diess sind Fragen, die ich noch nicht und nicht an dieser Stelle in Erwägung ziehen möchte. Man kann die bei solchen Analysen gemachten Erfahrungen jedenfalls nicht bequemer und anschaulicher beschreiben, als wenn man sich auf den Standpunkt stellt, den man </w:t>
      </w:r>
      <w:r w:rsidRPr="00C820A0">
        <w:rPr>
          <w:rFonts w:ascii="Garamond" w:hAnsi="Garamond"/>
          <w:i/>
          <w:iCs/>
          <w:sz w:val="20"/>
          <w:szCs w:val="20"/>
          <w:lang w:val="en-US" w:eastAsia="fr-FR"/>
        </w:rPr>
        <w:t>nach</w:t>
      </w:r>
      <w:r w:rsidRPr="00C820A0">
        <w:rPr>
          <w:rFonts w:ascii="Garamond" w:hAnsi="Garamond"/>
          <w:sz w:val="20"/>
          <w:szCs w:val="20"/>
          <w:lang w:val="en-US" w:eastAsia="fr-FR"/>
        </w:rPr>
        <w:t xml:space="preserve"> der Erledigung zur Ueberschau des Ganzen einnehmen darf.</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Sachlage ist ja meist keine so einfache, wie man sie für besondere Fälle, z. B. für ein einzelnes, in einem grossen Trauma entstandenes Symptom dargestellt hat. Man hat zumeist nicht ein </w:t>
      </w:r>
      <w:r w:rsidRPr="00C820A0">
        <w:rPr>
          <w:rFonts w:ascii="Garamond" w:hAnsi="Garamond"/>
          <w:color w:val="666666"/>
          <w:sz w:val="20"/>
          <w:szCs w:val="20"/>
          <w:lang w:val="en-US" w:eastAsia="fr-FR"/>
        </w:rPr>
        <w:t>[</w:t>
      </w:r>
      <w:hyperlink r:id="rId2066" w:tooltip="Seite:De Studien über Hysterie 253.jpg" w:history="1">
        <w:r w:rsidRPr="00C820A0">
          <w:rPr>
            <w:rFonts w:ascii="Garamond" w:hAnsi="Garamond"/>
            <w:b/>
            <w:bCs/>
            <w:color w:val="0000FF"/>
            <w:sz w:val="20"/>
            <w:szCs w:val="20"/>
            <w:u w:val="single"/>
            <w:lang w:val="en-US" w:eastAsia="fr-FR"/>
          </w:rPr>
          <w:t>253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einziges hysterisches Symptom, sondern eine Anzahl von solchen, die theils unabhängig von einander, theils mit einander verknüpft sind. Man darf nicht eine einzige traumatische Erinnerung und als Kern derselben eine einzige pathogene Vorstellung erwarten, sondern muss auf Reihen von Partialtraumen und Verkettungen von pathogenen Gedankengängen gefasst sein. Die monosymptomatische traumatische Hysterie ist gleichsam ein Elementarorganismus, ein einzelliges Wesen im Vergleich zum complicirten Gefüge einer schwereren hysterischen Neurose, wie wir ihr gemeinhin begegnen.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 psychische Material einer solchen Hysterie stellt sich nun dar als ein mehrdimensionales Gebilde von mindestens </w:t>
      </w:r>
      <w:r w:rsidRPr="00C820A0">
        <w:rPr>
          <w:rFonts w:ascii="Garamond" w:hAnsi="Garamond"/>
          <w:i/>
          <w:iCs/>
          <w:sz w:val="20"/>
          <w:szCs w:val="20"/>
          <w:lang w:val="en-US" w:eastAsia="fr-FR"/>
        </w:rPr>
        <w:t>dreifacher Schichtung</w:t>
      </w:r>
      <w:r w:rsidRPr="00C820A0">
        <w:rPr>
          <w:rFonts w:ascii="Garamond" w:hAnsi="Garamond"/>
          <w:sz w:val="20"/>
          <w:szCs w:val="20"/>
          <w:lang w:val="en-US" w:eastAsia="fr-FR"/>
        </w:rPr>
        <w:t xml:space="preserve">. Ich hoffe, ich werde diese bildliche Ausdrucksweise bald rechtfertigen können. Es ist zunächst ein </w:t>
      </w:r>
      <w:r w:rsidRPr="00C820A0">
        <w:rPr>
          <w:rFonts w:ascii="Garamond" w:hAnsi="Garamond"/>
          <w:i/>
          <w:iCs/>
          <w:sz w:val="20"/>
          <w:szCs w:val="20"/>
          <w:lang w:val="en-US" w:eastAsia="fr-FR"/>
        </w:rPr>
        <w:t>Kern</w:t>
      </w:r>
      <w:r w:rsidRPr="00C820A0">
        <w:rPr>
          <w:rFonts w:ascii="Garamond" w:hAnsi="Garamond"/>
          <w:sz w:val="20"/>
          <w:szCs w:val="20"/>
          <w:lang w:val="en-US" w:eastAsia="fr-FR"/>
        </w:rPr>
        <w:t xml:space="preserve"> vorhanden von solchen Erinnerungen (an Erlebnisse oder Gedankengänge), in denen das traumatische Moment gegipfelt, oder die pathogene Idee ihre reinste Ausbildung gefunden hat. Um diesen Kern herum findet man eine oft unglaublich reichliche Menge von anderem Erinnerungsmaterial, die man bei der Analyse durcharbeiten muss in, wie erwähnt, dreifacher Anordnung. Erstens ist eine </w:t>
      </w:r>
      <w:r w:rsidRPr="00C820A0">
        <w:rPr>
          <w:rFonts w:ascii="Garamond" w:hAnsi="Garamond"/>
          <w:i/>
          <w:iCs/>
          <w:sz w:val="20"/>
          <w:szCs w:val="20"/>
          <w:lang w:val="en-US" w:eastAsia="fr-FR"/>
        </w:rPr>
        <w:t>lineare chronologische</w:t>
      </w:r>
      <w:r w:rsidRPr="00C820A0">
        <w:rPr>
          <w:rFonts w:ascii="Garamond" w:hAnsi="Garamond"/>
          <w:sz w:val="20"/>
          <w:szCs w:val="20"/>
          <w:lang w:val="en-US" w:eastAsia="fr-FR"/>
        </w:rPr>
        <w:t xml:space="preserve"> Anordnung unverkennbar, die innerhalb jedes einzelnen Themas statthat. Als Beispiel für diese citire ich bloss die Anordnungen in </w:t>
      </w:r>
      <w:r w:rsidRPr="00C820A0">
        <w:rPr>
          <w:rFonts w:ascii="Garamond" w:hAnsi="Garamond"/>
          <w:i/>
          <w:iCs/>
          <w:sz w:val="20"/>
          <w:szCs w:val="20"/>
          <w:lang w:val="en-US" w:eastAsia="fr-FR"/>
        </w:rPr>
        <w:t>Breuer’s</w:t>
      </w:r>
      <w:r w:rsidRPr="00C820A0">
        <w:rPr>
          <w:rFonts w:ascii="Garamond" w:hAnsi="Garamond"/>
          <w:sz w:val="20"/>
          <w:szCs w:val="20"/>
          <w:lang w:val="en-US" w:eastAsia="fr-FR"/>
        </w:rPr>
        <w:t xml:space="preserve"> Analyse der Anna O. Das Thema sei das des Taubwerdens, des Nichthörens (pag. 28); das differenzirte sich dann nach 7 Bedingungen, und unter jeder Ueberschrift waren 10 bis über 100 Einzelerinnerungen in chronologischer Reihenfolge gesammelt. Es war, als ob man ein, wohl in Ordnung gehaltenes, Archiv ausnehmen würde. In der Analyse meiner Patientin Emmy v. N … sind ähnliche, wenn auch nicht so vollzählig dargestellte Erinnerungsfascikel enthalten: sie bilden aber ein ganz allgemeines Vorkommniss in jeder Analyse, treten jedesmal in einer chronologischen Ordnung auf, die so unfehlbar verlässlich ist wie die Reihenfolge der Wochentage oder Monatenamen beim geistig normalen Menschen, und erschweren die Arbeit der Analyse durch die Eigenthümlichkeit, dass sie die Reihenfolge ihrer Entstehung bei der Reproduction umkehren; das frischeste, jüngste Erlebniss des Fascikels kommt als „Deckblatt“ zuerst, und den Schluss macht jener Eindruck, mit dem in Wirklichkeit die Reihe anfing.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habe die Gruppirung gleichartiger Erinnerungen zu einer linear geschichteten Mehrheit, wie es ein Actenbündel, ein Paket udgl. darstellt, als Bildung eines </w:t>
      </w:r>
      <w:r w:rsidRPr="00C820A0">
        <w:rPr>
          <w:rFonts w:ascii="Garamond" w:hAnsi="Garamond"/>
          <w:i/>
          <w:iCs/>
          <w:sz w:val="20"/>
          <w:szCs w:val="20"/>
          <w:lang w:val="en-US" w:eastAsia="fr-FR"/>
        </w:rPr>
        <w:t>Themas</w:t>
      </w:r>
      <w:r w:rsidRPr="00C820A0">
        <w:rPr>
          <w:rFonts w:ascii="Garamond" w:hAnsi="Garamond"/>
          <w:sz w:val="20"/>
          <w:szCs w:val="20"/>
          <w:lang w:val="en-US" w:eastAsia="fr-FR"/>
        </w:rPr>
        <w:t xml:space="preserve"> bezeichnet. Diese Themen nun </w:t>
      </w:r>
      <w:r w:rsidRPr="00C820A0">
        <w:rPr>
          <w:rFonts w:ascii="Garamond" w:hAnsi="Garamond"/>
          <w:color w:val="666666"/>
          <w:sz w:val="20"/>
          <w:szCs w:val="20"/>
          <w:lang w:val="en-US" w:eastAsia="fr-FR"/>
        </w:rPr>
        <w:t>[</w:t>
      </w:r>
      <w:hyperlink r:id="rId2067" w:tooltip="Seite:De Studien über Hysterie 254.jpg" w:history="1">
        <w:r w:rsidRPr="00C820A0">
          <w:rPr>
            <w:rFonts w:ascii="Garamond" w:hAnsi="Garamond"/>
            <w:b/>
            <w:bCs/>
            <w:color w:val="0000FF"/>
            <w:sz w:val="20"/>
            <w:szCs w:val="20"/>
            <w:u w:val="single"/>
            <w:lang w:val="en-US" w:eastAsia="fr-FR"/>
          </w:rPr>
          <w:t>254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zeigen eine zweite Art von Anordnung; sie sind, ich kann es nicht anders ausdrücken, </w:t>
      </w:r>
      <w:r w:rsidRPr="00C820A0">
        <w:rPr>
          <w:rFonts w:ascii="Garamond" w:hAnsi="Garamond"/>
          <w:i/>
          <w:iCs/>
          <w:sz w:val="20"/>
          <w:szCs w:val="20"/>
          <w:lang w:val="en-US" w:eastAsia="fr-FR"/>
        </w:rPr>
        <w:t>concentrisch um den pathogenen Kern geschichtet</w:t>
      </w:r>
      <w:r w:rsidRPr="00C820A0">
        <w:rPr>
          <w:rFonts w:ascii="Garamond" w:hAnsi="Garamond"/>
          <w:sz w:val="20"/>
          <w:szCs w:val="20"/>
          <w:lang w:val="en-US" w:eastAsia="fr-FR"/>
        </w:rPr>
        <w:t xml:space="preserve">. Es ist nicht schwer zu sagen, was diese Schichtung ausmacht, nach welcher ab- oder zunehmenden Grösse diese Anordnung erfolgt. Es sind </w:t>
      </w:r>
      <w:r w:rsidRPr="00C820A0">
        <w:rPr>
          <w:rFonts w:ascii="Garamond" w:hAnsi="Garamond"/>
          <w:i/>
          <w:iCs/>
          <w:sz w:val="20"/>
          <w:szCs w:val="20"/>
          <w:lang w:val="en-US" w:eastAsia="fr-FR"/>
        </w:rPr>
        <w:t>Schichten</w:t>
      </w:r>
      <w:r w:rsidRPr="00C820A0">
        <w:rPr>
          <w:rFonts w:ascii="Garamond" w:hAnsi="Garamond"/>
          <w:sz w:val="20"/>
          <w:szCs w:val="20"/>
          <w:lang w:val="en-US" w:eastAsia="fr-FR"/>
        </w:rPr>
        <w:t xml:space="preserve"> gleichen, gegen den Kern hin wachsenden </w:t>
      </w:r>
      <w:r w:rsidRPr="00C820A0">
        <w:rPr>
          <w:rFonts w:ascii="Garamond" w:hAnsi="Garamond"/>
          <w:i/>
          <w:iCs/>
          <w:sz w:val="20"/>
          <w:szCs w:val="20"/>
          <w:lang w:val="en-US" w:eastAsia="fr-FR"/>
        </w:rPr>
        <w:t>Widerstandes und damit Zonen gleicher Bewusstseinsveränderung</w:t>
      </w:r>
      <w:r w:rsidRPr="00C820A0">
        <w:rPr>
          <w:rFonts w:ascii="Garamond" w:hAnsi="Garamond"/>
          <w:sz w:val="20"/>
          <w:szCs w:val="20"/>
          <w:lang w:val="en-US" w:eastAsia="fr-FR"/>
        </w:rPr>
        <w:t>, in denen sich die einzelnen Themen erstrecken. Die periphersten Schichten enthalten von verschiedenen Themen jene Erinnerungen (oder – Fascikel), die leicht erinnert werden und immer klar bewusst waren; je tiefer man geht, desto schwieriger werden die auftauchenden Erinnerungen erkannt, bis man nahe am Kern auf solche stösst, die der Patient noch bei der Reproduction verleugnet.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Diese Eigenthümlichkeit der concentrischen Schichtung des pathogenen psychischen Materials ist es, die dem Verlaufe solcher Analysen ihre, wie wir hören werden, charakteristischen Züge verleiht. Jetzt ist noch eine dritte Art </w:t>
      </w:r>
      <w:r w:rsidRPr="00C820A0">
        <w:rPr>
          <w:rFonts w:ascii="Garamond" w:hAnsi="Garamond"/>
          <w:sz w:val="20"/>
          <w:szCs w:val="20"/>
          <w:lang w:val="en-US" w:eastAsia="fr-FR"/>
        </w:rPr>
        <w:lastRenderedPageBreak/>
        <w:t>von Anordnung zu erwähnen, die wesentlichste, über die am wenigsten leicht eine allgemeine Aussage zu machen ist. Es ist die Anordnung nach dem Gedankeninhalt, die Verknüpfung durch den bis zum Kern reichenden logischen Faden, der einem in jedem Falle besonderen, unregelmässigen und vielfach abgeknickten Weg entsprechen mag. Diese Anordnung hat einen dynamischen Charakter, im Gegensatz zum morphologischen der beiden vorerst erwähnten Schichtungen. Während letztere in einem räumlich ausgeführten Schema durch starre, bogenförmige und gerade Linien darzustellen wären, müsste man dem Gang der logischen Verkettung mit einem Stäbchen nachfahren, welches auf den verschlungensten Wegen aus oberflächlichen in tiefe Schichten und zurück, doch im Allgemeinen von der Peripherie her zum centralen Kern vordringt und dabei alle Stationen berühren muss, also ähnlich wie das Zickzack der Lösung einer Rösselsprungaufgabe über die Felderzeichnung hinweggeht.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halte letzteren Vergleich noch für einen Moment fest, um einen Punkt hervorzuheben, in dem er den Eigenschaften des Verglichenen nicht gerecht wird. Der logische Zusammenhang entspricht nicht nur einer zickzackförmig geknickten Linie, sondern vielmehr einer verzweigten, und ganz besonders einem convergirenden Liniensystem. Er hat Knotenpunkte, in denen zwei oder mehrere Fäden zusammentreffen, um von da an vereinigt weiterzuziehen, und in den Kern münden in der Regel mehrere unabhängig von einander verlaufende oder durch Seitenwege stellenweise verbundene Fäden ein. Es ist sehr bemerkenswerth, </w:t>
      </w:r>
      <w:r w:rsidRPr="00C820A0">
        <w:rPr>
          <w:rFonts w:ascii="Garamond" w:hAnsi="Garamond"/>
          <w:color w:val="666666"/>
          <w:sz w:val="20"/>
          <w:szCs w:val="20"/>
          <w:lang w:val="en-US" w:eastAsia="fr-FR"/>
        </w:rPr>
        <w:t>[</w:t>
      </w:r>
      <w:hyperlink r:id="rId2068" w:tooltip="Seite:De Studien über Hysterie 255.jpg" w:history="1">
        <w:r w:rsidRPr="00C820A0">
          <w:rPr>
            <w:rFonts w:ascii="Garamond" w:hAnsi="Garamond"/>
            <w:b/>
            <w:bCs/>
            <w:color w:val="0000FF"/>
            <w:sz w:val="20"/>
            <w:szCs w:val="20"/>
            <w:u w:val="single"/>
            <w:lang w:val="en-US" w:eastAsia="fr-FR"/>
          </w:rPr>
          <w:t>255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um es mit anderen Worten zu sagen, wie häufig ein Symptom </w:t>
      </w:r>
      <w:r w:rsidRPr="00C820A0">
        <w:rPr>
          <w:rFonts w:ascii="Garamond" w:hAnsi="Garamond"/>
          <w:i/>
          <w:iCs/>
          <w:sz w:val="20"/>
          <w:szCs w:val="20"/>
          <w:lang w:val="en-US" w:eastAsia="fr-FR"/>
        </w:rPr>
        <w:t>mehrfach determinirt, überbestimmt</w:t>
      </w:r>
      <w:r w:rsidRPr="00C820A0">
        <w:rPr>
          <w:rFonts w:ascii="Garamond" w:hAnsi="Garamond"/>
          <w:sz w:val="20"/>
          <w:szCs w:val="20"/>
          <w:lang w:val="en-US" w:eastAsia="fr-FR"/>
        </w:rPr>
        <w:t xml:space="preserve">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Mein Versuch, die Organisation des pathogenen psychischen Materials zu veranschaulichen, wird abgeschlossen sein, wenn ich noch eine einzige Complication einführe. Es kann nämlich der Fall vorliegen, dass es sich um mehr als einen einzigen Kern im pathogenen Material handle, so z. B. wenn ein zweiter hysterischer Ausbruch zu analysiren ist, der seine eigene Aetiologie hat, aber doch mit einem, Jahre vorher überwundenen, ersten Ausbruch acuter Hysterie zusammenhängt. Man kann sich dann leicht vorstellen, welche Schichten und Gedankenwege hinzukommen müssen, um zwischen den beiden pathogenen Kernen eine Verbindung herzustellen.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will an das so gewonnene Bild von der Organisation des pathogenen Materiales noch die eine oder die andere Bemerkung anknüpfen. Wir haben von diesem Material ausgesagt, es benehme sich wie ein Fremdkörper; die Therapie wirke auch wie die Entfernung eines Fremdkörpers aus dem lebenden Gewebe. Wir sind jetzt in der Lage einzusehen, worin dieser Vergleich fehlt. Ein Fremdkörper geht keinerlei Verbindung mit den ihn umlagernden Gewebsschichten ein, obwohl er dieselben verändert, zur reactiven Entzündung nöthigt. Unsere pathogene psychische Gruppe dagegen lässt sich nicht sauber aus dem Ich herausschälen, ihre äusseren Schichten gehen allseitig in Antheile des normalen Ich über, gehören letzterem eigentlich ebenso sehr an wie der pathogenen Organisation. Die Grenze zwischen Beiden wird bei der Analyse rein conventionell, bald hier, bald dort gesteckt, ist an einzelnen Stellen wohl gar nicht anzugeben. Die inneren Schichten entfremden sich dem Ich immer mehr und mehr, ohne dass wiederum die Grenze des Pathogenen irgendwo sichtbar begänne. Die pathogene Organisation verhält sich nicht eigentlich wie ein Fremdkörper, sondern weit eher wie ein Infiltrat. Als das Infiltrirende muss in diesem Gleichniss der Widerstand genommen werden. Die Therapie besteht ja auch nicht darin, etwas zu exstirpiren, – das vermag die Psychotherapie heute nicht, – sondern den Widerstand zum Schmelzen zu bringen und so der Circulation den Weg in ein bisher abgesperrtes Gebiet zu bahnen.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bediene mich hier einer Reihe von Gleichnissen, die alle nur eine recht begrenzte Aehnlichkeit mit meinem Thema haben, und die sich auch unter einander nicht vertragen. Ich weiss dies, und bin nicht in Gefahr, deren Werth zu überschätzen, aber mich leitet </w:t>
      </w:r>
      <w:r w:rsidRPr="00C820A0">
        <w:rPr>
          <w:rFonts w:ascii="Garamond" w:hAnsi="Garamond"/>
          <w:color w:val="666666"/>
          <w:sz w:val="20"/>
          <w:szCs w:val="20"/>
          <w:lang w:val="en-US" w:eastAsia="fr-FR"/>
        </w:rPr>
        <w:t>[</w:t>
      </w:r>
      <w:hyperlink r:id="rId2069" w:tooltip="Seite:De Studien über Hysterie 256.jpg" w:history="1">
        <w:r w:rsidRPr="00C820A0">
          <w:rPr>
            <w:rFonts w:ascii="Garamond" w:hAnsi="Garamond"/>
            <w:b/>
            <w:bCs/>
            <w:color w:val="0000FF"/>
            <w:sz w:val="20"/>
            <w:szCs w:val="20"/>
            <w:u w:val="single"/>
            <w:lang w:val="en-US" w:eastAsia="fr-FR"/>
          </w:rPr>
          <w:t>256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die Absicht, ein höchst complicirtes und noch niemals dargestelltes Denkobject von verschiedenen Seiten her zu veranschaulichen, und darum erbitte ich mir die Freiheit, auch noch auf den folgenden Seiten in solcher, nicht einwandfreien Weise mit Vergleichen zu schalten.)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man nach vollendeter Erledigung das pathogene Material in seiner nun erkannten, complicirten, mehrdimensionalen Organisation einem Dritten zeigen könnte, würde dieser mit Recht die Frage aufwerfen: Wie kam ein solches Kameel durch das Nadelöhr? Man spricht nämlich nicht mit unrecht von einer „Enge des Bewusstseins“. Der Terminus gewinnt Sinn und Lebensfrische für den Arzt, der eine solche Analyse durchführt. Es kann immer nur eine einzelne Erinnerung in’s Ichbewusstsein eintreten; der Kranke, der mit der Durcharbeitung dieser einen beschäftigt ist, sieht nichts von dem, was nachdrängt, und vergisst an das, was bereits durchgedrungen ist. Stösst die Bewältigung dieser einen pathogenen Erinnerung auf Schwierigkeiten, wie z. B. wenn der Kranke mit dem Widerstande gegen sie nicht nachlässt, wenn er sie verdrängen oder verstümmeln will, so ist der Engpass gleichsam verlegt; die Arbeit stockt, es kann nichts anderes kommen, und die eine im Durchbruch befindliche Erinnerung bleibt vor dem Kranken stehen, bis er sie in die Weite des Ich’s aufgenommen hat. Die ganze räumlich ausgedehnte Masse des pathogenen Materials wird so durch eine enge Spalte durchgezogen, langt also, wie in Stücke oder Bänder zerlegt, im Bewusstsein an. </w:t>
      </w:r>
      <w:r w:rsidRPr="00C820A0">
        <w:rPr>
          <w:rFonts w:ascii="Garamond" w:hAnsi="Garamond"/>
          <w:sz w:val="20"/>
          <w:szCs w:val="20"/>
          <w:lang w:eastAsia="fr-FR"/>
        </w:rPr>
        <w:t xml:space="preserve">Es ist Aufgabe des Psychotherapeuten, daraus die vermuthete Organisation wieder zusammenzusetzen. </w:t>
      </w:r>
      <w:r w:rsidRPr="00C820A0">
        <w:rPr>
          <w:rFonts w:ascii="Garamond" w:hAnsi="Garamond"/>
          <w:sz w:val="20"/>
          <w:szCs w:val="20"/>
          <w:lang w:val="en-US" w:eastAsia="fr-FR"/>
        </w:rPr>
        <w:t>Wer noch nach Vergleichen gelüstet, der mag sich hier an ein Geduldspiel erinnern.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Steht man davor, eine solche Analyse zu beginnen, wo man eine derartige Organisation des pathogenen Materials erwarten darf, kann man sich folgende Ergebnisse der Erfahrung zu Nutze machen: </w:t>
      </w:r>
      <w:r w:rsidRPr="00C820A0">
        <w:rPr>
          <w:rFonts w:ascii="Garamond" w:hAnsi="Garamond"/>
          <w:i/>
          <w:iCs/>
          <w:sz w:val="20"/>
          <w:szCs w:val="20"/>
          <w:lang w:val="en-US" w:eastAsia="fr-FR"/>
        </w:rPr>
        <w:t>Es ist ganz aussichtslos, directe zum Kern der pathogenen Organisation vorzudringen</w:t>
      </w:r>
      <w:r w:rsidRPr="00C820A0">
        <w:rPr>
          <w:rFonts w:ascii="Garamond" w:hAnsi="Garamond"/>
          <w:sz w:val="20"/>
          <w:szCs w:val="20"/>
          <w:lang w:val="en-US" w:eastAsia="fr-FR"/>
        </w:rPr>
        <w:t>. Könnte man diesen selbst errathen, so würde der Kranke doch mit der ihm geschenkten Aufklärung nichts anzufangen wissen und durch sie psychisch nicht verändert werden.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Es bleibt nichts übrig, als sich zunächst an die Peripherie des pathogenen psychischen Gebildes zu halten. Man beginnt damit, den Kranken erzählen zu lassen, was er weiss und erinnert, wobei man bereits seine Aufmerksamkeit dirigirt und durch Anwendung der Druckprocedur leichtere Widerstände überwindet. Jedesmal, wenn man </w:t>
      </w:r>
      <w:r w:rsidRPr="00C820A0">
        <w:rPr>
          <w:rFonts w:ascii="Garamond" w:hAnsi="Garamond"/>
          <w:color w:val="666666"/>
          <w:sz w:val="20"/>
          <w:szCs w:val="20"/>
          <w:lang w:val="en-US" w:eastAsia="fr-FR"/>
        </w:rPr>
        <w:t>[</w:t>
      </w:r>
      <w:hyperlink r:id="rId2070" w:tooltip="Seite:De Studien über Hysterie 257.jpg" w:history="1">
        <w:r w:rsidRPr="00C820A0">
          <w:rPr>
            <w:rFonts w:ascii="Garamond" w:hAnsi="Garamond"/>
            <w:b/>
            <w:bCs/>
            <w:color w:val="0000FF"/>
            <w:sz w:val="20"/>
            <w:szCs w:val="20"/>
            <w:u w:val="single"/>
            <w:lang w:val="en-US" w:eastAsia="fr-FR"/>
          </w:rPr>
          <w:t>257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t>
      </w:r>
      <w:r w:rsidRPr="00C820A0">
        <w:rPr>
          <w:rFonts w:ascii="Garamond" w:hAnsi="Garamond"/>
          <w:sz w:val="20"/>
          <w:szCs w:val="20"/>
          <w:lang w:val="en-US" w:eastAsia="fr-FR"/>
        </w:rPr>
        <w:lastRenderedPageBreak/>
        <w:t>durch Drücken einen neuen Weg eröffnet hat, darf man erwarten, dass der Kranke ihn ein Stück weit ohne neuen Widerstand fortsetzen wird.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Hat man eine Weile auf solche Weise gearbeitet, so regt sich gewöhnlich eine mitarbeitende Thätigkeit im Kranken. Es fallen ihm jetzt eine Fülle von Reminiscenzen ein, ohne dass man ihm Fragen und Aufgaben zu stellen braucht; man hat sich eben den Weg in eine innere Schichte gebahnt, innerhalb welcher der Kranke jetzt über das Material von gleichem Widerstande spontan verfügt. Man thut gut daran, ihn eine Weile unbeeinflusst reproduciren zu lassen; er ist selber zwar nicht im Stande, wichtige Zusammenhänge aufzudecken, aber das Abtragen innerhalb derselben Schichte darf man ihm überlassen. Die Dinge, die er so beibringt, scheinen oft zusammenhanglos, geben aber das Material ab, das durch späterhin erkannten Zusammenhang belebt wird.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Man hat sich hier im Allgemeinen vor zweierlei zu bewahren. Wenn man den Kranken in der Reproduction der ihm zuströmenden Einfälle hemmt, so kann man sich manches „verschütten“, was späterhin mit grosser Mühe doch freigemacht werden muss. Andererseits darf man seine „unbewusste Intelligenz“ nicht überschätzen und ihr nicht die Leitung der ganzen Arbeit überlassen. Wollte ich den Arbeitsmodus schematisiren, so könnte ich etwa sagen, man übernimmt selbst die Eröffnung innerer Schichten, das Vordringen in radialer Richtung, während der Kranke die peripherische Erweiterung besorgt.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Das Vordringen geschieht ja dadurch, dass man in der vorhin angedeuteten Weise Widerstand überwindet. In der Regel aber hat man vorher noch eine andere Aufgabe zu lösen. Man muss ein Stück des logischen Fadens in die Hand bekommen, unter dessen Leitung man allein in das Innere einzudringen hoffen darf. Man erwarte nicht, dass die freien Mittheilungen des Kranken, das Material der am meisten oberflächlichen Schichten, es dem Analytiker leicht machen zu erkennen, an welchen Stellen es in die Tiefe geht, an welche Punkte die gesuchten Gedankenzusammenhänge anknüpfen. Im Gegentheil; gerade diess ist sorgfältig verhüllt, die Darstellung des Kranken klingt wie vollständig und in sich gefestigt. Man steht zuerst vor ihr wie vor einer Mauer, die jede Aussicht versperrt und die nicht ahnen lässt, ob etwas und was denn doch dahinter steckt.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Wenn man aber die Darstellung, die man vom Kranken ohne viel Mühe und Widerstand erhalten hat, mit kritischem Auge mustert, </w:t>
      </w:r>
      <w:r w:rsidRPr="00C820A0">
        <w:rPr>
          <w:rFonts w:ascii="Garamond" w:hAnsi="Garamond"/>
          <w:color w:val="666666"/>
          <w:sz w:val="20"/>
          <w:szCs w:val="20"/>
          <w:lang w:val="en-US" w:eastAsia="fr-FR"/>
        </w:rPr>
        <w:t>[</w:t>
      </w:r>
      <w:hyperlink r:id="rId2071" w:tooltip="Seite:De Studien über Hysterie 258.jpg" w:history="1">
        <w:r w:rsidRPr="00C820A0">
          <w:rPr>
            <w:rFonts w:ascii="Garamond" w:hAnsi="Garamond"/>
            <w:b/>
            <w:bCs/>
            <w:color w:val="0000FF"/>
            <w:sz w:val="20"/>
            <w:szCs w:val="20"/>
            <w:u w:val="single"/>
            <w:lang w:val="en-US" w:eastAsia="fr-FR"/>
          </w:rPr>
          <w:t>258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wird man ganz unfehlbar Lücken und Schäden in ihr entdecken. Hier ist der Zusammenhang sichtlich unterbrochen und wird vom Kranken durch eine Redensart, eine ganz ungenügende Auskunft nothdürftig ergänzt; dort stösst man auf ein Motiv, das bei einem normalen Menschen als ein ohnmächtiges zu bezeichnen wäre. Der Kranke will diese Lücken nicht anerkennen, wenn er auf sie aufmerksam gemacht wird. Der Arzt aber thut Recht daran, wenn er hinter diesen schwachen Stellen den Zugang zu dem Material der tieferen Schichten sucht, wenn er gerade hier die Fäden des Zusammenhanges aufzufinden hofft, denen er mit der Druckprocedur nachspürt. Man sagt dem Kranken also: Sie irren sich; das, was Sie angeben, kann mit dem Betreffenden nichts zu thun haben. Hier müssen wir auf etwas Anderes stossen, was Ihnen unter dem Druck meiner Hand einfallen wird.</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Man darf nämlich an einen Gedankengang bei einem Hysterischen, und reichte er auch in’s Unbewusste, dieselben Anforderungen von logischer Verknüpfung und ausreichender Motivirung stellen, die man bei einem normalen Individuum erheben würde. Eine Lockerung dieser Beziehungen liegt nicht im Machtbereich der Neurose. Wenn die Vorstellungsverknüpfungen der Neurotischen und speciell der Hysterischen einen anderen Eindruck machen, wenn hier die Relation der Intensitäten verschiedener Vorstellungen aus psychologischen Bedingungen allein unerklärbar scheint, so haben wir ja gerade für diesen Anschein den Grund kennen gelernt und wissen ihn als </w:t>
      </w:r>
      <w:r w:rsidRPr="00C820A0">
        <w:rPr>
          <w:rFonts w:ascii="Garamond" w:hAnsi="Garamond"/>
          <w:i/>
          <w:iCs/>
          <w:sz w:val="20"/>
          <w:szCs w:val="20"/>
          <w:lang w:val="en-US" w:eastAsia="fr-FR"/>
        </w:rPr>
        <w:t>Existenz verborgener, unbewusster Motive</w:t>
      </w:r>
      <w:r w:rsidRPr="00C820A0">
        <w:rPr>
          <w:rFonts w:ascii="Garamond" w:hAnsi="Garamond"/>
          <w:sz w:val="20"/>
          <w:szCs w:val="20"/>
          <w:lang w:val="en-US" w:eastAsia="fr-FR"/>
        </w:rPr>
        <w:t xml:space="preserve"> zu nennen. Wir dürfen also solche geheime Motive überall dort vermuthen, wo ein solcher Sprung im Zusammenhang, eine Ueberschreitung des Maasses normal berechtigter Motivirung nachzuweisen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Natürlich muss man sich bei solcher Arbeit von dem theoretischen Vorurtheil frei halten, man habe es mit abnormen Gehirnen von Dégénerés und Deséquilibrés zu thun, denen die Freiheit, die gemeinen psychologischen Gesetze der Vorstellungsverbindung über den Haufen zu werfen, als Stigma eigen wäre, bei denen eine beliebige Vorstellung ohne Motiv übermässig intensiv wachsen, eine andere ohne psychologischen Grund unverwüstlich bleiben kann. Die Erfahrung zeigt für die Hysterie das Gegentheil; hat man die verborgenen – oft unbewusst gebliebenen – Motive herausgefunden und bringt sie in Rechnung, so bleibt auch an der hysterischen Gedankenverknüpfung nichts räthselhaft und regelwidrig.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2072" w:tooltip="Seite:De Studien über Hysterie 259.jpg" w:history="1">
        <w:r w:rsidRPr="00C820A0">
          <w:rPr>
            <w:rFonts w:ascii="Garamond" w:hAnsi="Garamond"/>
            <w:b/>
            <w:bCs/>
            <w:color w:val="0000FF"/>
            <w:sz w:val="20"/>
            <w:szCs w:val="20"/>
            <w:u w:val="single"/>
            <w:lang w:val="en-US" w:eastAsia="fr-FR"/>
          </w:rPr>
          <w:t>259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Auf solche Art also, durch Aufspüren von Lücken in der ersten Darstellung des Kranken, die oft durch „falsche Verknüpfungen“ gedeckt sind, greift man ein Stück des logischen Fadens an der Peripherie auf und bahnt sich durch die Druckprocedur von da aus den weiteren Weg.</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Sehr selten gelingt es dabei, sich an demselben Faden bis in’s Innere durchzuarbeiten; meist reisst er unterwegs ab, indem der Druck versagt, gar kein Ergebniss liefert oder eines, das mit aller Mühe nicht zu klären und nicht fortzusetzen ist. Man lernt es bald, sich in diesem Falle vor den naheliegenden Verwechslungen zu schützen. Die Miene des Kranken muss es entscheiden, ob man wirklich an ein Ende gekommen ist oder einen Fall getroffen hat, welcher eine psychische Aufklärung nicht braucht, oder ob es übergrosser Widerstand ist, der der Arbeit Halt gebietet. Kann man letzteren nicht alsbald besiegen, so darf man annehmen, dass man den Faden bis in eine Schichte hinauf verfolgt hat, die für jetzt noch undurchlässig ist. Man lässt ihn fallen, um einen anderen Faden aufzugreifen, den man vielleicht ebensoweit verfolgt. Ist man mit allen Fäden in diese Schichte nachgekommen, hat dort die Verknotungen aufgefunden, wegen welcher der einzelne Faden isolirt nicht mehr zu verfolgen war, so kann man daran denken, den bevorstehenden Widerstand von Neuem anzugreifen.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Man kann sich leicht vorstellen, wie complicirt eine solche Arbeit werden kann. Man drängt sich unter beständiger Ueberwindung von Widerstand in innere Schichten ein, gewinnt Kenntniss von den in dieser Schichte angehäuften </w:t>
      </w:r>
      <w:r w:rsidRPr="00C820A0">
        <w:rPr>
          <w:rFonts w:ascii="Garamond" w:hAnsi="Garamond"/>
          <w:sz w:val="20"/>
          <w:szCs w:val="20"/>
          <w:lang w:val="en-US" w:eastAsia="fr-FR"/>
        </w:rPr>
        <w:lastRenderedPageBreak/>
        <w:t>Themen und den durchlaufenden Fäden, prüft, bis wie weit man mit seinen gegenwärtigen Mitteln und seiner gewonnenen Kenntniss vordringen kann, verschafft sich erste Kundschaft von dem Inhalt der nächsten Schichten durch die Druckprocedur, lässt die Fäden fallen und nimmt sie wieder auf, verfolgt sie bis zu Knotenpunkten, holt beständig nach und gelangt, indem man einem Erinnerungsfascikel nachgeht, jedesmal auf einen Nebenweg, der schliesslich doch wieder einmündet. Endlich kommt man auf solche Art so weit, dass man das schichtweise Arbeiten verlassen und auf einem Hauptweg direct zum Kern der pathogenen Organisation vordringen kann. Damit ist der Kampf gewonnen, aber noch nicht beendet. Man muss die anderen Fäden nachholen, das Material erschöpfen; aber jetzt hilft der Kranke energisch mit, sein Widerstand ist meist schon gebrochen.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color w:val="666666"/>
          <w:sz w:val="20"/>
          <w:szCs w:val="20"/>
          <w:lang w:val="en-US" w:eastAsia="fr-FR"/>
        </w:rPr>
        <w:t>[</w:t>
      </w:r>
      <w:hyperlink r:id="rId2073" w:tooltip="Seite:De Studien über Hysterie 260.jpg" w:history="1">
        <w:r w:rsidRPr="00C820A0">
          <w:rPr>
            <w:rFonts w:ascii="Garamond" w:hAnsi="Garamond"/>
            <w:b/>
            <w:bCs/>
            <w:color w:val="0000FF"/>
            <w:sz w:val="20"/>
            <w:szCs w:val="20"/>
            <w:u w:val="single"/>
            <w:lang w:val="en-US" w:eastAsia="fr-FR"/>
          </w:rPr>
          <w:t>260</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Es ist in diesen späteren Stadien der Arbeit von Nutzen, wenn man den Zusammenhang erräth und ihn dem Kranken mittheilt, ehe man ihn aufgedeckt hat. Hat man richtig errathen, so beschleunigt man den Verlauf der Analyse, aber auch mit einer unrichtigen Hypothese hilft man sich weiter, indem man den Kranken nöthigt, Partei zu nehmen, und ihm energische Ablehnungen entlockt, die ja ein sicheres Besserwissen verrathen.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Man überzeugt sich dabei mit Erstaunen, </w:t>
      </w:r>
      <w:r w:rsidRPr="00C820A0">
        <w:rPr>
          <w:rFonts w:ascii="Garamond" w:hAnsi="Garamond"/>
          <w:i/>
          <w:iCs/>
          <w:sz w:val="20"/>
          <w:szCs w:val="20"/>
          <w:lang w:val="en-US" w:eastAsia="fr-FR"/>
        </w:rPr>
        <w:t>dass man nicht im Stande ist, dem Kranken über die Dinge, die er angeblich nicht weiss, etwas aufzudrängen oder die Ergebnisse der Analyse durch Erregung seiner Erwartung zu beeinflussen</w:t>
      </w:r>
      <w:r w:rsidRPr="00C820A0">
        <w:rPr>
          <w:rFonts w:ascii="Garamond" w:hAnsi="Garamond"/>
          <w:sz w:val="20"/>
          <w:szCs w:val="20"/>
          <w:lang w:val="en-US" w:eastAsia="fr-FR"/>
        </w:rPr>
        <w:t>. Es ist mir kein einziges Mal gelungen, die Reproduction der Erinnerungen oder den Zusammenhang der Ereignisse durch meine Vorhersage zu verändern und zu fälschen, was sich ja endlich durch einen Widerspruch im Gefüge hätte verrathen müssen. Traf etwas so ein, wie ich es vorhergesagt, so war stets durch vielfache unverdächtige Reminiscenzen bezeugt, dass ich eben richtig gerathen hatte. Man braucht sich also nicht zu fürchten, vor dem Kranken irgend eine Meinung über den nächstkommenden Zusammenhang zu äussern; es schadet nichts.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Eine andere Beobachtung, die man jedesmal zu wiederholen Gelegenheit hat, bezieht sich auf die selbständigen Reproductionen des Kranken. Man kann behaupten, dass keine einzige Reminiscenz während einer solchen Analyse auftaucht, die nicht ihre Bedeutung hätte. Ein Dareinmengen beziehungsloser Erinnerungsbilder, die mit den wichtigen irgendwie associirt sind, kommt eigentlich gar nicht vor. Man darf eine nicht regelwidrige Ausnahme für solche Erinnerungen postuliren, die an sich unwichtig, doch als Schaltstücke unentbehrlich sind, indem die Association zwischen zwei beziehungsvollen Erinnerungen nur über sie geht. – Die Zeitdauer, während welcher eine Erinnerung im Engpass vor dem Bewusstsein des Patienten verweilt, steht, wie schon angeführt, in directer Beziehung zu deren Bedeutung. Ein Bild, das nicht verlöschen will, verlangt noch seine Würdigung, ein Gedanke, der sich nicht abthun lässt, will noch weiter verfolgt werden. Es kehrt auch nie eine Reminiscenz zum zweiten Mal wieder, wenn sie erledigt worden ist; ein Bild, das abgesprochen wurde, ist nicht wieder zu sehen. Geschieht dies doch, so darf man mit Bestimmtheit erwarten, dass das zweite Mal ein neuer Gedankeninhalt sich an das Bild, eine neue Folgerang an den Einfall knüpfen wird, d. h., dass </w:t>
      </w:r>
      <w:r w:rsidRPr="00C820A0">
        <w:rPr>
          <w:rFonts w:ascii="Garamond" w:hAnsi="Garamond"/>
          <w:color w:val="666666"/>
          <w:sz w:val="20"/>
          <w:szCs w:val="20"/>
          <w:lang w:val="en-US" w:eastAsia="fr-FR"/>
        </w:rPr>
        <w:t>[</w:t>
      </w:r>
      <w:hyperlink r:id="rId2074" w:tooltip="Seite:De Studien über Hysterie 261.jpg" w:history="1">
        <w:r w:rsidRPr="00C820A0">
          <w:rPr>
            <w:rFonts w:ascii="Garamond" w:hAnsi="Garamond"/>
            <w:b/>
            <w:bCs/>
            <w:color w:val="0000FF"/>
            <w:sz w:val="20"/>
            <w:szCs w:val="20"/>
            <w:u w:val="single"/>
            <w:lang w:val="en-US" w:eastAsia="fr-FR"/>
          </w:rPr>
          <w:t>261</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doch keine vollständige Erledigung stattgefunden hat. Eine Wiederkehr in verschiedener Intensität, zuerst als Andeutung, dann in voller Helligkeit kommt hingegen häufig vor, widerspricht aber nicht der eben aufgestellten Behauptung. –</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Wenn sich unter den Aufgaben der Analyse die Beseitigung eines Symptoms befindet, welches der Intensitätssteigerung oder der Wiederkehr fähig ist (Schmerzen, Reizsymptome wie Erbrechen, Sensationen, Contracturen), so beobachtet man während der Arbeit von Seiten dieses Symptoms das interessante und nicht unerwünschte Phänomen des „</w:t>
      </w:r>
      <w:r w:rsidRPr="00C820A0">
        <w:rPr>
          <w:rFonts w:ascii="Garamond" w:hAnsi="Garamond"/>
          <w:i/>
          <w:iCs/>
          <w:sz w:val="20"/>
          <w:szCs w:val="20"/>
          <w:lang w:val="en-US" w:eastAsia="fr-FR"/>
        </w:rPr>
        <w:t>Mitsprechens</w:t>
      </w:r>
      <w:r w:rsidRPr="00C820A0">
        <w:rPr>
          <w:rFonts w:ascii="Garamond" w:hAnsi="Garamond"/>
          <w:sz w:val="20"/>
          <w:szCs w:val="20"/>
          <w:lang w:val="en-US" w:eastAsia="fr-FR"/>
        </w:rPr>
        <w:t>“. Das fragliche Symptom erscheint wieder oder erscheint in verstärkter Intensität, sobald man in die Region der pathogenen Organisation gerathen ist, welche die Aetiologie dieses Symptoms enthält, und es begleitet nun die Arbeit mit charakteristischen und für den Arzt lehrreichen Schwankungen weiter. Die Intensität desselben (sagen wir: einer Brechneigung) steigt, je tiefer man in eine der hiefür pathogenen Erinnerungen eindringt, erreicht die grösste Höhe kurz vor dem Aussprechen der letzteren und sinkt mit vollendeter Aussprache plötzlich ab oder verschwindet auch völlig für eine Weile. Wenn der Kranke aus Widerstand das Aussprechen lange verzögert, wird die Spannung der Sensation, der Brechneigung, unerträglich und kann man das Aussprechen nicht erzwingen, so tritt wirklich Erbrechen ein. Man gewinnt so einen plastischen Eindruck davon, dass das „Erbrechen“ an Stelle einer psychischen Action (hier des Aussprechens) steht, wie es die Conversionstheorie der Hysterie behauptet.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Diese Intensitätsschwankung von Seiten des hysterischen Symptoms wiederholt sich nun jedesmal, so oft man eine neue, hiefür pathogene Erinnerung in Angriff nimmt; das Symptom steht sozusagen die ganze Zeit über </w:t>
      </w:r>
      <w:r w:rsidRPr="00C820A0">
        <w:rPr>
          <w:rFonts w:ascii="Garamond" w:hAnsi="Garamond"/>
          <w:i/>
          <w:iCs/>
          <w:sz w:val="20"/>
          <w:szCs w:val="20"/>
          <w:lang w:val="en-US" w:eastAsia="fr-FR"/>
        </w:rPr>
        <w:t>auf der Tagesordnung</w:t>
      </w:r>
      <w:r w:rsidRPr="00C820A0">
        <w:rPr>
          <w:rFonts w:ascii="Garamond" w:hAnsi="Garamond"/>
          <w:sz w:val="20"/>
          <w:szCs w:val="20"/>
          <w:lang w:val="en-US" w:eastAsia="fr-FR"/>
        </w:rPr>
        <w:t>. Ist man genöthigt, den Faden, an dem dies Symptom hängt, für eine Weile fallen zu lassen, so tritt auch das Symptom in die Dunkelheit zurück, um in einer späteren Periode der Analyse wieder aufzutauchen. Dieses Spiel währt so lange, bis durch das Aufarbeiten des pathogenen Materials für dieses Symptom endgiltige Erledigung geschaffen ist.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Streng genommen, verhält sich hierbei das hysterische Symptom gar nicht anders als das Erinnerungsbild oder der reproducirte Gedanke, den man unter dem Drucke der Hand heraufbeschwört. Hier wie dort dieselbe obsedirende Hartnäckigkeit der Wiederkehr in der Erinnerung des Kranken, die Erledigung erheischt. Der Unterschied liegt nur in dem anscheinend spontanen Auftreten der hysterischen </w:t>
      </w:r>
      <w:r w:rsidRPr="00C820A0">
        <w:rPr>
          <w:rFonts w:ascii="Garamond" w:hAnsi="Garamond"/>
          <w:color w:val="666666"/>
          <w:sz w:val="20"/>
          <w:szCs w:val="20"/>
          <w:lang w:val="en-US" w:eastAsia="fr-FR"/>
        </w:rPr>
        <w:t>[</w:t>
      </w:r>
      <w:hyperlink r:id="rId2075" w:tooltip="Seite:De Studien über Hysterie 262.jpg" w:history="1">
        <w:r w:rsidRPr="00C820A0">
          <w:rPr>
            <w:rFonts w:ascii="Garamond" w:hAnsi="Garamond"/>
            <w:b/>
            <w:bCs/>
            <w:color w:val="0000FF"/>
            <w:sz w:val="20"/>
            <w:szCs w:val="20"/>
            <w:u w:val="single"/>
            <w:lang w:val="en-US" w:eastAsia="fr-FR"/>
          </w:rPr>
          <w:t>262</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Symptome, während man sich wohl erinnert, die Scenen und Einfälle selbst provocirt zu haben. Es führt aber in der Wirklichkeit eine ununterbrochene Reihe von den unveränderten </w:t>
      </w:r>
      <w:r w:rsidRPr="00C820A0">
        <w:rPr>
          <w:rFonts w:ascii="Garamond" w:hAnsi="Garamond"/>
          <w:i/>
          <w:iCs/>
          <w:sz w:val="20"/>
          <w:szCs w:val="20"/>
          <w:lang w:val="en-US" w:eastAsia="fr-FR"/>
        </w:rPr>
        <w:t>Erinnerungsresten</w:t>
      </w:r>
      <w:r w:rsidRPr="00C820A0">
        <w:rPr>
          <w:rFonts w:ascii="Garamond" w:hAnsi="Garamond"/>
          <w:sz w:val="20"/>
          <w:szCs w:val="20"/>
          <w:lang w:val="en-US" w:eastAsia="fr-FR"/>
        </w:rPr>
        <w:t xml:space="preserve"> affectvoller Erlebnisse und Denkacte bis zu den hysterischen Symptomen, ihren </w:t>
      </w:r>
      <w:r w:rsidRPr="00C820A0">
        <w:rPr>
          <w:rFonts w:ascii="Garamond" w:hAnsi="Garamond"/>
          <w:i/>
          <w:iCs/>
          <w:sz w:val="20"/>
          <w:szCs w:val="20"/>
          <w:lang w:val="en-US" w:eastAsia="fr-FR"/>
        </w:rPr>
        <w:t>Erinnerungssymbolen</w:t>
      </w:r>
      <w:r w:rsidRPr="00C820A0">
        <w:rPr>
          <w:rFonts w:ascii="Garamond" w:hAnsi="Garamond"/>
          <w:sz w:val="20"/>
          <w:szCs w:val="20"/>
          <w:lang w:val="en-US" w:eastAsia="fr-FR"/>
        </w:rPr>
        <w: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Das Phänomen des Mitsprechens des hysterischen Symptoms während der Analyse bringt einen praktischen Uebelstand mit sich, mit welchem man den Kranken sollte aussöhnen können. Es ist ja ganz unmöglich, eine Analyse eines Symptoms in einem Zuge vorzunehmen oder die Pausen in der Arbeit so zu vertheilen, dass sie gerade </w:t>
      </w:r>
      <w:r w:rsidRPr="00C820A0">
        <w:rPr>
          <w:rFonts w:ascii="Garamond" w:hAnsi="Garamond"/>
          <w:sz w:val="20"/>
          <w:szCs w:val="20"/>
          <w:lang w:val="en-US" w:eastAsia="fr-FR"/>
        </w:rPr>
        <w:lastRenderedPageBreak/>
        <w:t>mit Ruhepunkten in der Erledigung zusammentreffen. Vielmehr fällt die Unterbrechung, die durch die Nebenumstände der Behandlung, die vorgerückte Stunde und dgl. gebieterisch vorgeschrieben wird, oft an die ungeschicktesten Stellen, gerade wo man sich einer Entscheidung nähern könnte, gerade wo ein neues Thema auftaucht. Es sind dieselben Uebelstände, die jedem Zeitungsleser die Lectüre des täglichen Fragmentes seines Zeitungsromanes verleiden, wenn unmittelbar nach der entscheidenden Rede der Heldin, nach dem Knallen des Schusses udgl. zu lesen steht: (Fortsetzung folgt). In unserem Falle bleibt das aufgerührte, aber nicht abgethane, Thema, das zunächst verstärkte und noch nicht erklärte Symptom, im Seelenleben des Kranken bestehen und belästigt ihn ärger vielleicht, als es sonst der Fall war. Damit muss er sich eben abfinden können; es lässt sich nicht anders einrichten. Es gibt überhaupt Kranke, die während einer solchen Analyse das einmal berührte Thema nicht wieder loslassen können, die von ihm auch in der Zwischenzeit zwischen zwei Behandlungen obsedirt sind, und da sie doch allein mit der Erledigung nicht weiter kommen, zunächst mehr leiden als vor der Behandlung. Auch solche Patienten lernen es schliesslich, auf den Arzt zu warten, alles Interesse, das sie an der Erledigung des pathogenen Materials haben, in die Stunden der Behandlung zu verlegen, und sie beginnen dann, sich in den Zwischenzeiten freier zu fühlen.</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59"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Auch das Allgemeinbefinden der Kranken während einer solchen Analyse erscheint der Beachtung werth. Eine Weile noch bleibt es, von der Behandlung unbeeinflusst, Ausdruck der früher wirksamen Factoren, dann aber kommt ein Moment, in dem der Kranke „gepackt“, sein Interesse gefesselt wird, und von ab geräth auch sein Allgemeinzustand immer mehr in Abhängigkeit von dem Stande der Arbeit. Jedesmal, wenn eine neue Aufklärung gewonnen, ein wichtiger </w:t>
      </w:r>
      <w:r w:rsidRPr="00C820A0">
        <w:rPr>
          <w:rFonts w:ascii="Garamond" w:hAnsi="Garamond"/>
          <w:color w:val="666666"/>
          <w:sz w:val="20"/>
          <w:szCs w:val="20"/>
          <w:lang w:val="en-US" w:eastAsia="fr-FR"/>
        </w:rPr>
        <w:t>[</w:t>
      </w:r>
      <w:hyperlink r:id="rId2076" w:tooltip="Seite:De Studien über Hysterie 263.jpg" w:history="1">
        <w:r w:rsidRPr="00C820A0">
          <w:rPr>
            <w:rFonts w:ascii="Garamond" w:hAnsi="Garamond"/>
            <w:b/>
            <w:bCs/>
            <w:color w:val="0000FF"/>
            <w:sz w:val="20"/>
            <w:szCs w:val="20"/>
            <w:u w:val="single"/>
            <w:lang w:val="en-US" w:eastAsia="fr-FR"/>
          </w:rPr>
          <w:t>263</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Abschnitt in der Gliederung der Analyse erreicht ist, fühlt sich der Kranke auch erleichtert, geniesst er wie ein Vorgefühl der nahenden Befreiung; bei jedem Stocken der Arbeit, bei jeder drohenden Verwirrung wächst die psychische Last, die ihn bedrückt, steigert sich seine Unglücksempfindung, seine Leistungsunfähigkeit. Beides allerdings nur für kurze Zeit; denn die Analyse geht weiter, verschmäht es, sich des Momentes von Wohlbefinden zu rühmen, und setzt achtlos über die Perioden der Verdüsterung hinweg. Man freut sich im Allgemeinen, wenn man die spontanen Schwankungen im Befinden des Kranken durch solche ersetzt hat, die man selbst provocirt und versteht, ebenso wie man gerne an Stelle der spontanen Ablösung der Symptome jene Tagesordnung treten sieht, die dem Stande der Analyse entspricht.</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Gewöhnlich wird die Arbeit zunächst um so dunkler und schwieriger, je tiefer man in das vorhin beschriebene, geschichtete psychische Gebilde eindringt. Hat man sich aber einmal bis zum Kern durchgearbeitet, so wird es Licht, und das Allgemeinbefinden des Kranken hat keine starke Verdüsterung mehr zu befürchten. Den Lohn der Arbeit aber, das Aufhören der Krankheitssymptome darf man erst erwarten, wenn man für jedes einzelne Symptom die volle Analyse geleistet hat; ja, wo die einzelnen Symptome durch mehrfache Knotungen an einander geknüpft sind, wird man nicht einmal durch Partialerfolge während der Arbeit ermuthigt. Kraft der reichlich vorhandenen causalen Verbindungen wirkt jede noch unerledigte pathogene Vorstellung als Motiv für sämmtliche Schöpfungen der Neurose, und erst mit dem letzten Wort der Analyse schwindet das ganze Krankheitsbild, ganz ähnlich, wie sich die einzelne reproducirte Erinnerung benahm.–</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Ist eine pathogene Erinnerung oder ein pathogener Zusammenhang, der dem Ichbewusstsein früher entzogen war, durch die Arbeit der Analyse aufgedeckt und in das Ich eingefügt, so beobachtet man an der so bereicherten psychischen Persönlichkeit verschiedene Arten sich über ihren Gewinn zu äussern. Ganz besonders häufig kommt es vor, dass die Kranken, nachdem man sie mühsam zu einer gewissen Kenntniss genöthigt hat, dann erklären: Das habe ich ja immer gewusst, das hätte ich Ihnen vorher sagen können. Die Einsichtsvolleren erkennen dies dann als eine Selbsttäuschung und klagen sich des Undankes an. Sonst hängt im Allgemeinen die Stellungnahme des Ich gegen die neue Erwerbung davon ab, aus welcher Schicht der Analyse letztere stammt. Was den äussersten Schichten angehört, wird ohne Schwierigkeit </w:t>
      </w:r>
      <w:r w:rsidRPr="00C820A0">
        <w:rPr>
          <w:rFonts w:ascii="Garamond" w:hAnsi="Garamond"/>
          <w:color w:val="666666"/>
          <w:sz w:val="20"/>
          <w:szCs w:val="20"/>
          <w:lang w:val="en-US" w:eastAsia="fr-FR"/>
        </w:rPr>
        <w:t>[</w:t>
      </w:r>
      <w:hyperlink r:id="rId2077" w:tooltip="Seite:De Studien über Hysterie 264.jpg" w:history="1">
        <w:r w:rsidRPr="00C820A0">
          <w:rPr>
            <w:rFonts w:ascii="Garamond" w:hAnsi="Garamond"/>
            <w:b/>
            <w:bCs/>
            <w:color w:val="0000FF"/>
            <w:sz w:val="20"/>
            <w:szCs w:val="20"/>
            <w:u w:val="single"/>
            <w:lang w:val="en-US" w:eastAsia="fr-FR"/>
          </w:rPr>
          <w:t>264</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anerkannt, es war ja im Besitze des Ich geblieben, und nur sein Zusammenhang mit den tieferen Schichten des pathogenen Materials war für das Ich eine Neuigkeit. Was aus diesen tieferen Schichten zu Tage gefördert wird, findet auch noch Erkennung und Anerkennung, aber doch häufig erst nach längerem Zögern und Bedenken. Visuelle Erinnerungsbilder sind hier natürlich schwieriger zu verleugnen als Erinnerungsspuren von blossen Gedankengängen. Gar nicht selten sagt der Kranke zuerst: Es ist möglich, dass ich diess gedacht habe, aber ich kann mich nicht erinnern, und erst nach längerer Vertrautheit mit dieser Annahme tritt auch das Erkennen dazu; er erinnert sich und bestätigt es auch durch Nebenverknüpfungen, dass er diesen Gedanken wirklich einmal gehabt hat. Ich mache es aber während der Analyse zum Gebote, die Werthschätzung einer auftauchenden Reminiscenz unabhängig von der Anerkennung des Kranken zu halten. Ich werde nicht müde zu wiederholen, dass wir daran gebunden sind, alles anzunehmen, was wir mit unseren Mitteln zu Tage fördern. Wäre etwas Unechtes oder Unrichtiges darunter, so würde der Zusammenhang es später ausscheiden lehren. Nebenbei gesagt, ich habe kaum je Anlass gehabt, einer vorläufig zugelassenen Reminiscenz nachträglich die Anerkennung zu entziehen. Was immer auftauchte, hat sich trotz des täuschendsten Anscheines eines zwingenden Widerspruches doch endlich als das Richtige erwiesen.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Die aus der grössten Tiefe stammenden Vorstellungen, die den Kern der pathogenen Organisation bilden, werden von den Kranken auch am schwierigsten als Erinnerungen anerkannt. Selbst wenn alles vorüber ist, wenn die Kranken, durch den logischen Zwang überwältigt und von der Heilwirkung überzeugt, die das Auftauchen gerade </w:t>
      </w:r>
      <w:r w:rsidRPr="00C820A0">
        <w:rPr>
          <w:rFonts w:ascii="Garamond" w:hAnsi="Garamond"/>
          <w:sz w:val="20"/>
          <w:szCs w:val="20"/>
          <w:lang w:val="en-US" w:eastAsia="fr-FR"/>
        </w:rPr>
        <w:lastRenderedPageBreak/>
        <w:t xml:space="preserve">dieser Vorstellungen begleitet, – wenn die Kranken, sage ich, selbst angenommen haben, sie hätten so und so gedacht, fügen sie oft hinzu: Aber </w:t>
      </w:r>
      <w:r w:rsidRPr="00C820A0">
        <w:rPr>
          <w:rFonts w:ascii="Garamond" w:hAnsi="Garamond"/>
          <w:i/>
          <w:iCs/>
          <w:sz w:val="20"/>
          <w:szCs w:val="20"/>
          <w:lang w:val="en-US" w:eastAsia="fr-FR"/>
        </w:rPr>
        <w:t>erinnern</w:t>
      </w:r>
      <w:r w:rsidRPr="00C820A0">
        <w:rPr>
          <w:rFonts w:ascii="Garamond" w:hAnsi="Garamond"/>
          <w:sz w:val="20"/>
          <w:szCs w:val="20"/>
          <w:lang w:val="en-US" w:eastAsia="fr-FR"/>
        </w:rPr>
        <w:t xml:space="preserve">, dass ich es gedacht habe, kann ich mich nicht. Man verständigt sich dann leicht mit ihnen: Es waren </w:t>
      </w:r>
      <w:r w:rsidRPr="00C820A0">
        <w:rPr>
          <w:rFonts w:ascii="Garamond" w:hAnsi="Garamond"/>
          <w:i/>
          <w:iCs/>
          <w:sz w:val="20"/>
          <w:szCs w:val="20"/>
          <w:lang w:val="en-US" w:eastAsia="fr-FR"/>
        </w:rPr>
        <w:t>unbewusste</w:t>
      </w:r>
      <w:r w:rsidRPr="00C820A0">
        <w:rPr>
          <w:rFonts w:ascii="Garamond" w:hAnsi="Garamond"/>
          <w:sz w:val="20"/>
          <w:szCs w:val="20"/>
          <w:lang w:val="en-US" w:eastAsia="fr-FR"/>
        </w:rPr>
        <w:t xml:space="preserve"> Gedanken. Wie soll man aber selbst diesen Sachverhalt in seine psychologischen Anschauungen eintragen? Soll man sich über dies verweigerte Erkennen von Seiten der Kranken, das nach gethaner Arbeit motivlos ist, hinwegzusetzen; soll man annehmen, dass es sich wirklich um Gedanken handelt, die nicht zu Stande gekommen sind, für welche bloss die Existenzmöglichkeit vorlag, so dass die Therapie in der Vollziehung eines damals unterbliebenen psychischen Actes bestünde? Es ist offenbar unmöglich, hierüber, d. h. also über den Zustand des </w:t>
      </w:r>
      <w:r w:rsidRPr="00C820A0">
        <w:rPr>
          <w:rFonts w:ascii="Garamond" w:hAnsi="Garamond"/>
          <w:color w:val="666666"/>
          <w:sz w:val="20"/>
          <w:szCs w:val="20"/>
          <w:lang w:val="en-US" w:eastAsia="fr-FR"/>
        </w:rPr>
        <w:t>[</w:t>
      </w:r>
      <w:hyperlink r:id="rId2078" w:tooltip="Seite:De Studien über Hysterie 265.jpg" w:history="1">
        <w:r w:rsidRPr="00C820A0">
          <w:rPr>
            <w:rFonts w:ascii="Garamond" w:hAnsi="Garamond"/>
            <w:b/>
            <w:bCs/>
            <w:color w:val="0000FF"/>
            <w:sz w:val="20"/>
            <w:szCs w:val="20"/>
            <w:u w:val="single"/>
            <w:lang w:val="en-US" w:eastAsia="fr-FR"/>
          </w:rPr>
          <w:t>265</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pathogenen Materials </w:t>
      </w:r>
      <w:r w:rsidRPr="00C820A0">
        <w:rPr>
          <w:rFonts w:ascii="Garamond" w:hAnsi="Garamond"/>
          <w:i/>
          <w:iCs/>
          <w:sz w:val="20"/>
          <w:szCs w:val="20"/>
          <w:lang w:val="en-US" w:eastAsia="fr-FR"/>
        </w:rPr>
        <w:t>vor</w:t>
      </w:r>
      <w:r w:rsidRPr="00C820A0">
        <w:rPr>
          <w:rFonts w:ascii="Garamond" w:hAnsi="Garamond"/>
          <w:sz w:val="20"/>
          <w:szCs w:val="20"/>
          <w:lang w:val="en-US" w:eastAsia="fr-FR"/>
        </w:rPr>
        <w:t xml:space="preserve"> der Analyse etwas auszusagen, ehe man seine psychologischen Grundansichten, zumal über das Wesen des Bewusstseins, gründlich geklärt hat. Es bleibt wohl eine des Nachdenkens würdige Thatsache, dass man bei solchen Analysen einen Gedankengang aus dem Bewussten in’s Unbewusste (d. i. absolut nicht als Erinnerung Erkannte) verfolgen, ihn von dort aus wieder eine Strecke weit durch’s Bewusstsein ziehen und wieder im Unbewussten enden sehen kann, ohne dass dieser Wechsel der „psychischen Beleuchtung“ an ihm selbst, an seiner Folgerichtigkeit, dem Zusammenhang seiner einzelnen Theile, etwas ändern würde. Habe ich dann einmal diesen Gedankengang ganz vor mir, so könnte ich nicht errathen, welches Stück vom Kranken als Erinnerung erkannt wurde, welches nicht. Ich sehe nur gewissermaassen die Spitzen des Gedankenganges in’s Unbewusste eintauchen, umgekehrt wie man es von unseren normalen psychischen Vorgängen behauptet hat.</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60"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Ich habe endlich noch ein Thema zu behandeln, welches bei der Durchführung einer solchen kathartischen Analyse eine unerwünscht grosse Rolle spielt. Ich habe bereits als möglich zugestanden, dass die Druckprocedur versagt, trotz alles Versicherns und Drängens keine Reminiscenz heraufbefördert. Dann, sagte ich, seien zwei Fälle möglich, entweder, es ist an der Stelle, wo man eben nachforscht, wirklich nichts zu holen; diess erkennt man an der völlig ruhigen Miene des Kranken; oder man ist auf einen erst später überwindbaren Widerstand gestossen, man steht vor einer neuen Schichte, in die man noch nicht eindringen kann, und das liest man dem Kranken wiederum von seiner gespannten und von geistiger Anstrengung zeugenden Miene ab. Es ist aber noch ein dritter Fall möglich, der gleichfalls ein Hinderniss bedeutet, aber kein inhaltliches, sondern ein äusserliches. Dieser Fall tritt ein, wenn das Verhältniss des Kranken zum Arzte gestört ist, und bedeutet das ärgste Hinderniss, auf das man stossen kann. Man kann aber in jeder ernsteren Analyse darauf rechnen.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habe bereits angedeutet, welche wichtige Rolle der Person des Arztes bei der Schöpfung von Motiven zufällt, welche die psychische Kraft des Widerstandes besiegen sollen. In nicht wenigen Fällen, besonders bei Frauen und wo es sich um Klärung erotischer Gedankengänge handelt, wird die Mitarbeiterschaft der Patienten zu einem persönlichen Opfer, das durch irgend welches Surrogat von Liebe vergolten werden muss. Die Mühewaltung und geduldige Freundlichkeit </w:t>
      </w:r>
      <w:r w:rsidRPr="00C820A0">
        <w:rPr>
          <w:rFonts w:ascii="Garamond" w:hAnsi="Garamond"/>
          <w:color w:val="666666"/>
          <w:sz w:val="20"/>
          <w:szCs w:val="20"/>
          <w:lang w:val="en-US" w:eastAsia="fr-FR"/>
        </w:rPr>
        <w:t>[</w:t>
      </w:r>
      <w:hyperlink r:id="rId2079" w:tooltip="Seite:De Studien über Hysterie 266.jpg" w:history="1">
        <w:r w:rsidRPr="00C820A0">
          <w:rPr>
            <w:rFonts w:ascii="Garamond" w:hAnsi="Garamond"/>
            <w:b/>
            <w:bCs/>
            <w:color w:val="0000FF"/>
            <w:sz w:val="20"/>
            <w:szCs w:val="20"/>
            <w:u w:val="single"/>
            <w:lang w:val="en-US" w:eastAsia="fr-FR"/>
          </w:rPr>
          <w:t>266</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des Arztes haben als solches Surrogat zu genügen. Wird nun dieses Verhältniss der Kranken zum Arzt gestört, so versagt auch die Bereitschaft der Kranken; wenn der Arzt sich nach der nächsten pathogenen Idee erkundigen will, tritt der Kranken das Bewusstsein der Beschwerden dazwischen, die sich bei ihr gegen den Arzt angehäuft haben. Soviel ich erfahren habe, tritt dieses Hinderniss in 3 Hauptfällen ein: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1. Bei persönlicher Entfremdung, wenn die Kranke sich zurückgesetzt, geringgeschätzt, beleidigt glaubt oder Ungünstiges über den Arzt und die Behandlungsmethode gehört hat. Diess ist der am wenigsten ernste Fall; das Hinderniss ist durch Aussprechen und Aufklären leicht zu überwinden, wenngleich die Empfindlichkeit und der Argwohn Hysterischer sich gelegentlich in ungeahnten Dimensionen äussern können.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2. Wenn die Kranke von der Furcht ergriffen wird, sie gewöhne sich zu sehr an die Person des Arztes, verliere ihre Selbständigkeit ihm gegenüber, könne gar in sexuelle Abhängigkeit von ihm gerathen. Dieser Fall ist bedeutsamer, weil minder individuell bedingt. Der Anlass zu diesem Hinderniss ist in der Natur der therapeutischen Bekümmerung enthalten. Die Kranke hat nun ein neues Motiv zum Widerstand, welches sich nicht nur bei einer gewissen Reminiscenz, sondern bei jedem Versuch der Behandlung äussert. Ganz gewöhnlich klagt die Kranke über Kopfschmerz, wenn man die Druckprocedur vornimmt. Ihr neues Motiv zum Widerstand bleibt ihr nämlich meistens unbewusst, und sie äussert es durch ein neu erzeugtes hysterisches Symptom. Der Kopfschmerz bedeutet die Abneigung, sich beeinflussen zu lassen.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3. Wenn die Kranke sich davor schreckt, dass sie aus dem Inhalt der Analyse auftauchende peinliche Vorstellungen auf die Person des Arztes überträgt. Dies ist häufig, ja in manchen Analysen ein regelmässiges Vorkommnis. Die Uebertragung auf den Arzt geschieht durch </w:t>
      </w:r>
      <w:r w:rsidRPr="00C820A0">
        <w:rPr>
          <w:rFonts w:ascii="Garamond" w:hAnsi="Garamond"/>
          <w:i/>
          <w:iCs/>
          <w:sz w:val="20"/>
          <w:szCs w:val="20"/>
          <w:lang w:val="en-US" w:eastAsia="fr-FR"/>
        </w:rPr>
        <w:t>falsche Verknüpfung</w:t>
      </w:r>
      <w:r w:rsidRPr="00C820A0">
        <w:rPr>
          <w:rFonts w:ascii="Garamond" w:hAnsi="Garamond"/>
          <w:sz w:val="20"/>
          <w:szCs w:val="20"/>
          <w:lang w:val="en-US" w:eastAsia="fr-FR"/>
        </w:rPr>
        <w:t xml:space="preserve"> (vgl. p. 55). Ich muss hier wohl ein Beispiel anführen: Ursprung eines gewissen hysterischen Symptoms war bei einer meiner Patientinnen der vor vielen Jahren gehegte und sofort in’s Unbewusste verwiesene Wunsch, der Mann, mit dem sie damals ein Gespräch geführt, möchte doch herzhaft zugreifen und ihr einen Kuss aufdrängen. Nun taucht einmal nach Beendigung einer Sitzung ein solcher Wunsch in der Kranken in Bezug auf meine Person auf; sie ist entsetzt darüber, verbringt eine schlaflose Nacht </w:t>
      </w:r>
      <w:r w:rsidRPr="00C820A0">
        <w:rPr>
          <w:rFonts w:ascii="Garamond" w:hAnsi="Garamond"/>
          <w:color w:val="666666"/>
          <w:sz w:val="20"/>
          <w:szCs w:val="20"/>
          <w:lang w:val="en-US" w:eastAsia="fr-FR"/>
        </w:rPr>
        <w:t>[</w:t>
      </w:r>
      <w:hyperlink r:id="rId2080" w:tooltip="Seite:De Studien über Hysterie 267.jpg" w:history="1">
        <w:r w:rsidRPr="00C820A0">
          <w:rPr>
            <w:rFonts w:ascii="Garamond" w:hAnsi="Garamond"/>
            <w:b/>
            <w:bCs/>
            <w:color w:val="0000FF"/>
            <w:sz w:val="20"/>
            <w:szCs w:val="20"/>
            <w:u w:val="single"/>
            <w:lang w:val="en-US" w:eastAsia="fr-FR"/>
          </w:rPr>
          <w:t>267</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und ist das nächste Mal, obwohl sie die Behandlung nicht verweigert, doch ganz unbrauchbar zur Arbeit. Nachdem ich das Hindernis erfahren und behoben habe, geht die Arbeit weiter und siehe da, der Wunsch, der die Kranke so erschreckt, erscheint als die nächste, als die jetzt vom logischen Zusammenhang geforderte, der pathogenen Erinnerungen. Es war also so zugegangen: Es war zuerst der Inhalt des Wunsches im Bewusstsein der Kranken aufgetreten, ohne die Erinnerungen an die Nebenumstände, die diesen Wunsch in die Vergangenheit verlegen </w:t>
      </w:r>
      <w:r w:rsidRPr="00C820A0">
        <w:rPr>
          <w:rFonts w:ascii="Garamond" w:hAnsi="Garamond"/>
          <w:sz w:val="20"/>
          <w:szCs w:val="20"/>
          <w:lang w:val="en-US" w:eastAsia="fr-FR"/>
        </w:rPr>
        <w:lastRenderedPageBreak/>
        <w:t>konnten; der nun vorhandene Wunsch wurde durch den im Bewusstsein herrschenden Associationszwang mit meiner Person verknüpft, welche ja die Kranke beschäftigen darf, und bei dieser Mesalliance – die ich falsche Verknüpfung heisse – wacht derselbe Affect auf, der seinerzeit die Kranke zur Verweisung dieses unerlaubten Wunsches gedrängt hat. Nun ich das einmal erfahren habe, kann ich von jeder ähnlichen Inanspruchnahme meiner Person voraussetzen, es sei wieder eine Uebertragung und falsche Verknüpfung vorgefallen. Die Kranke fällt merkwürdiger Weise der Täuschung jedes neue Mal zum Opfer.</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Man kann keine Analyse zu Ende führen, wenn man dem Widerstande, der sich aus diesen drei Vorfällen ergibt, nicht zu begegnen weiss. Man findet aber auch hierzu den Weg, wenn man sich vorsetzt, dieses nach altem Muster neu producirte Symptom so zu behandeln wie die alten. Man hat zunächst die Aufgabe, das „Hinderniss“ der Kranken bewusst zu machen. Bei einer meiner Kranken z. B., bei der plötzlich die Druckprocedur versagte und ich Grund hatte, eine unbewusste Idee wie die unter 2. erwähnte anzunehmen, traf ich es das erste Mal durch Ueberrumpelung. Ich sagte ihr, es müsse sich ein Hinderniss gegen die Fortsetzung der Behandlung ergeben haben, die Druckprocedur habe aber wenigstens die Macht, ihr dieses Hinderniss zu zeigen, und drückte auf ihren Kopf. Sie sagte erstaunt: Ich sehe Sie auf dem Sessel hier sitzend, das ist doch ein Unsinn; was soll das bedeuten? – Ich konnte sie nun aufklären.</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Bei einer anderen pflegte sich das „Hinderniss“ nicht direct auf Druck zu zeigen, aber ich konnte es jedesmal nachweisen, wenn ich die Patientin auf den Moment zurückführte, in dem es entstanden war. Diesen Moment wiederzubringen, weigerte uns die Druckprocedur nie. Mit dem Auffinden und Nachweisen des Hindernisses war die erste Schwierigkeit hinweggeräumt, eine grössere blieb noch bestehen. Sie bestand darin, die Kranken zum Mittheilen zu bewegen, wo anscheinend persönliche Beziehungen in Betracht kamen, wo die dritte </w:t>
      </w:r>
      <w:r w:rsidRPr="00C820A0">
        <w:rPr>
          <w:rFonts w:ascii="Garamond" w:hAnsi="Garamond"/>
          <w:color w:val="666666"/>
          <w:sz w:val="20"/>
          <w:szCs w:val="20"/>
          <w:lang w:val="en-US" w:eastAsia="fr-FR"/>
        </w:rPr>
        <w:t>[</w:t>
      </w:r>
      <w:hyperlink r:id="rId2081" w:tooltip="Seite:De Studien über Hysterie 268.jpg" w:history="1">
        <w:r w:rsidRPr="00C820A0">
          <w:rPr>
            <w:rFonts w:ascii="Garamond" w:hAnsi="Garamond"/>
            <w:b/>
            <w:bCs/>
            <w:color w:val="0000FF"/>
            <w:sz w:val="20"/>
            <w:szCs w:val="20"/>
            <w:u w:val="single"/>
            <w:lang w:val="en-US" w:eastAsia="fr-FR"/>
          </w:rPr>
          <w:t>268</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Person mit der des Arztes zusammenfiel. Ich war anfangs über diese Vermehrung meiner psychischen Arbeit recht ungehalten, bis ich das Gesetzmässige des ganzen Vorganges einsehen lernte, und dann merkte ich auch, dass durch solche Uebertragung keine erhebliche Mehrleistung geschaffen sei. Die Arbeit für die Patientin blieb dieselbe: etwa den peinlichen Affect zu überwinden, dass sie einen derartigen Wunsch einen Moment lang hegen konnte, und es schien für den Erfolg gleichgiltig, ob sie diese psychische Abstossung im historischen Falle oder im recenten mit mir zum Thema der Arbeit nahm. Die Kranken lernten auch allmählich einsehen, dass es sich bei solchen Uebertragungen auf die Person des Arztes um einen Zwang und um eine Täuschung handle, die mit Beendigung der Analyse zerfliesse. Ich meine aber, wenn ich versäumt hätte, ihnen die Natur des „Hindernisses“ klar zu machen, hätte ich ihnen einfach ein neues hysterisches Symptom, wenn auch ein milderes, für ein anderes, spontan entwickeltes, substituirt.</w:t>
      </w:r>
    </w:p>
    <w:p w:rsidR="005C1841" w:rsidRPr="00C820A0" w:rsidRDefault="005C1841" w:rsidP="005C1841">
      <w:pPr>
        <w:pStyle w:val="Sansinterligne"/>
        <w:rPr>
          <w:rFonts w:ascii="Garamond" w:hAnsi="Garamond"/>
          <w:sz w:val="20"/>
          <w:szCs w:val="20"/>
          <w:lang w:val="en-US" w:eastAsia="fr-FR"/>
        </w:rPr>
      </w:pP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61" style="width:60pt;height:1.5pt" o:hrpct="0" o:hralign="center" o:hrstd="t" o:hr="t" fillcolor="#a0a0a0" stroked="f"/>
        </w:pict>
      </w:r>
    </w:p>
    <w:p w:rsidR="005C1841" w:rsidRPr="00C820A0" w:rsidRDefault="005C1841" w:rsidP="005C1841">
      <w:pPr>
        <w:pStyle w:val="Sansinterligne"/>
        <w:rPr>
          <w:rFonts w:ascii="Garamond" w:hAnsi="Garamond"/>
          <w:sz w:val="20"/>
          <w:szCs w:val="20"/>
          <w:lang w:eastAsia="fr-FR"/>
        </w:rPr>
      </w:pP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eastAsia="fr-FR"/>
        </w:rPr>
        <w:t xml:space="preserve">Nun, meine ich, ist es genug der Andeutungen über die Ausführung solcher Analysen und die dabei gemachten Erfahrungen. Sie lassen vielleicht manches complicirter erscheinen, als es ist; vieles ergibt sich ja von selbst, wenn man sich in solch einer Arbeit befindet. Ich habe die Schwierigkeiten der Arbeit nicht aufgezählt, um den Eindruck zu erwecken, es lohne sich bei derartigen Anforderungen an Arzt und Kranke nur in den seltensten Fällen, eine kathartische Analyse zu unternehmen. Ich lasse mein ärztliches Handeln von der gegentheiligen Voraussetzung beeinflussen. – Die bestimmtesten Indicationen für die Anwendung der hier geschilderten therapeutischen Methode kann ich freilich nicht aufstellen, ohne in die Würdigung des bedeutsameren und umfassenderen Themas der Therapie der Neurosen überhaupt einzugehen. Ich habe bei mir häufig die kathartische Psychotherapie mit chirurgischen Eingriffen verglichen, meine Curen als </w:t>
      </w:r>
      <w:r w:rsidRPr="00C820A0">
        <w:rPr>
          <w:rFonts w:ascii="Garamond" w:hAnsi="Garamond"/>
          <w:i/>
          <w:iCs/>
          <w:sz w:val="20"/>
          <w:szCs w:val="20"/>
          <w:lang w:eastAsia="fr-FR"/>
        </w:rPr>
        <w:t>psychotherapeutische Operationen</w:t>
      </w:r>
      <w:r w:rsidRPr="00C820A0">
        <w:rPr>
          <w:rFonts w:ascii="Garamond" w:hAnsi="Garamond"/>
          <w:sz w:val="20"/>
          <w:szCs w:val="20"/>
          <w:lang w:eastAsia="fr-FR"/>
        </w:rPr>
        <w:t xml:space="preserve"> bezeichnet, die Analogien mit Eröffnung einer eitergefüllten Höhle, der Auskratzung einer cariös erkrankten Stelle und dgl. verfolgt. </w:t>
      </w:r>
      <w:r w:rsidRPr="00C820A0">
        <w:rPr>
          <w:rFonts w:ascii="Garamond" w:hAnsi="Garamond"/>
          <w:sz w:val="20"/>
          <w:szCs w:val="20"/>
          <w:lang w:val="en-US" w:eastAsia="fr-FR"/>
        </w:rPr>
        <w:t>Eine solche Analogie findet ihre Berechtigung nicht so sehr in der Entfernung des Krankhaften als in der Herstellung besserer Heilungsbedingungen für den Ablauf des Processes.</w:t>
      </w:r>
    </w:p>
    <w:p w:rsidR="005C1841" w:rsidRPr="00C820A0" w:rsidRDefault="005C1841" w:rsidP="005C1841">
      <w:pPr>
        <w:pStyle w:val="Sansinterligne"/>
        <w:rPr>
          <w:rFonts w:ascii="Garamond" w:hAnsi="Garamond"/>
          <w:sz w:val="20"/>
          <w:szCs w:val="20"/>
          <w:lang w:val="en-US" w:eastAsia="fr-FR"/>
        </w:rPr>
      </w:pPr>
      <w:r w:rsidRPr="00C820A0">
        <w:rPr>
          <w:rFonts w:ascii="Garamond" w:hAnsi="Garamond"/>
          <w:sz w:val="20"/>
          <w:szCs w:val="20"/>
          <w:lang w:val="en-US" w:eastAsia="fr-FR"/>
        </w:rPr>
        <w:t xml:space="preserve">Ich habe wiederholt von meinen Kranken, wenn ich ihnen Hilfe oder Erleichterung durch eine kathartische Cur versprach, den Einwand </w:t>
      </w:r>
      <w:r w:rsidRPr="00C820A0">
        <w:rPr>
          <w:rFonts w:ascii="Garamond" w:hAnsi="Garamond"/>
          <w:color w:val="666666"/>
          <w:sz w:val="20"/>
          <w:szCs w:val="20"/>
          <w:lang w:val="en-US" w:eastAsia="fr-FR"/>
        </w:rPr>
        <w:t>[</w:t>
      </w:r>
      <w:hyperlink r:id="rId2082" w:tooltip="Seite:De Studien über Hysterie 269.jpg" w:history="1">
        <w:r w:rsidRPr="00C820A0">
          <w:rPr>
            <w:rFonts w:ascii="Garamond" w:hAnsi="Garamond"/>
            <w:b/>
            <w:bCs/>
            <w:color w:val="0000FF"/>
            <w:sz w:val="20"/>
            <w:szCs w:val="20"/>
            <w:u w:val="single"/>
            <w:lang w:val="en-US" w:eastAsia="fr-FR"/>
          </w:rPr>
          <w:t>269</w:t>
        </w:r>
      </w:hyperlink>
      <w:r w:rsidRPr="00C820A0">
        <w:rPr>
          <w:rFonts w:ascii="Garamond" w:hAnsi="Garamond"/>
          <w:color w:val="666666"/>
          <w:sz w:val="20"/>
          <w:szCs w:val="20"/>
          <w:lang w:val="en-US" w:eastAsia="fr-FR"/>
        </w:rPr>
        <w:t>]</w:t>
      </w:r>
      <w:r w:rsidRPr="00C820A0">
        <w:rPr>
          <w:rFonts w:ascii="Garamond" w:hAnsi="Garamond"/>
          <w:sz w:val="20"/>
          <w:szCs w:val="20"/>
          <w:lang w:val="en-US" w:eastAsia="fr-FR"/>
        </w:rPr>
        <w:t xml:space="preserve"> hören müssen: Sie sagen ja selbst, dass mein Leiden wahrscheinlich mit meinen Verhältnissen und Schicksalen zusammenhängt; daran können Sie ja nichts ändern; auf welche Weise wollen Sie mir denn helfen? Darauf habe ich antworten können: – Ich zweifle ja nicht, dass es dem Schicksal leichter fallen müsste als mir, Ihr Leiden zu beheben; aber Sie werden sich überzeugen, dass viel damit gewonnen ist, wenn es uns gelingt, Ihr hysterisches Elend in gemeines Unglück zu verwandeln. Gegen das letztere werden Sie sich mit einem wieder genesenen Nervensystem besser zur Wehre setzen können.</w:t>
      </w:r>
    </w:p>
    <w:p w:rsidR="005C1841" w:rsidRPr="00C820A0" w:rsidRDefault="005C1841" w:rsidP="005C1841">
      <w:pPr>
        <w:pStyle w:val="Sansinterligne"/>
        <w:rPr>
          <w:rFonts w:ascii="Garamond" w:hAnsi="Garamond"/>
          <w:sz w:val="20"/>
          <w:szCs w:val="20"/>
          <w:lang w:eastAsia="fr-FR"/>
        </w:rPr>
      </w:pPr>
      <w:r w:rsidRPr="00C820A0">
        <w:rPr>
          <w:rFonts w:ascii="Garamond" w:hAnsi="Garamond"/>
          <w:sz w:val="20"/>
          <w:szCs w:val="20"/>
          <w:lang w:eastAsia="fr-FR"/>
        </w:rPr>
        <w:pict>
          <v:rect id="_x0000_i1062" style="width:113.4pt;height:1.5pt" o:hrpct="250" o:hralign="center" o:hrstd="t" o:hr="t" fillcolor="#a0a0a0" stroked="f"/>
        </w:pict>
      </w:r>
    </w:p>
    <w:p w:rsidR="005C1841" w:rsidRPr="00C820A0" w:rsidRDefault="005C1841" w:rsidP="005C1841">
      <w:pPr>
        <w:pStyle w:val="Sansinterligne"/>
        <w:rPr>
          <w:rFonts w:ascii="Garamond" w:hAnsi="Garamond"/>
          <w:sz w:val="20"/>
          <w:szCs w:val="20"/>
          <w:lang w:val="en-US" w:eastAsia="fr-FR"/>
        </w:rPr>
      </w:pPr>
      <w:hyperlink r:id="rId2083" w:anchor="cite_ref-0" w:history="1">
        <w:r w:rsidRPr="00C820A0">
          <w:rPr>
            <w:rFonts w:ascii="Garamond" w:hAnsi="Garamond"/>
            <w:color w:val="0000FF"/>
            <w:sz w:val="20"/>
            <w:szCs w:val="20"/>
            <w:u w:val="single"/>
            <w:lang w:val="en-US" w:eastAsia="fr-FR"/>
          </w:rPr>
          <w:t>↑</w:t>
        </w:r>
      </w:hyperlink>
      <w:r w:rsidRPr="00C820A0">
        <w:rPr>
          <w:rFonts w:ascii="Garamond" w:hAnsi="Garamond"/>
          <w:sz w:val="20"/>
          <w:szCs w:val="20"/>
          <w:lang w:val="en-US" w:eastAsia="fr-FR"/>
        </w:rPr>
        <w:t xml:space="preserve"> E. </w:t>
      </w:r>
      <w:r w:rsidRPr="00C820A0">
        <w:rPr>
          <w:rFonts w:ascii="Garamond" w:hAnsi="Garamond"/>
          <w:i/>
          <w:iCs/>
          <w:sz w:val="20"/>
          <w:szCs w:val="20"/>
          <w:lang w:val="en-US" w:eastAsia="fr-FR"/>
        </w:rPr>
        <w:t>Hecker</w:t>
      </w:r>
      <w:r w:rsidRPr="00C820A0">
        <w:rPr>
          <w:rFonts w:ascii="Garamond" w:hAnsi="Garamond"/>
          <w:sz w:val="20"/>
          <w:szCs w:val="20"/>
          <w:lang w:val="en-US" w:eastAsia="fr-FR"/>
        </w:rPr>
        <w:t>, Centralblatt für Nervenheilkunde, Dec. 1893.</w:t>
      </w:r>
    </w:p>
    <w:p w:rsidR="005C1841" w:rsidRPr="00C820A0" w:rsidRDefault="005C1841" w:rsidP="005C1841">
      <w:pPr>
        <w:pStyle w:val="Sansinterligne"/>
        <w:rPr>
          <w:rFonts w:ascii="Garamond" w:hAnsi="Garamond"/>
          <w:sz w:val="20"/>
          <w:szCs w:val="20"/>
          <w:lang w:val="en-US"/>
        </w:rPr>
      </w:pPr>
    </w:p>
    <w:p w:rsidR="00CF585F" w:rsidRPr="009D1B8B" w:rsidRDefault="00CF585F" w:rsidP="00CF585F">
      <w:pPr>
        <w:pStyle w:val="Sansinterligne"/>
        <w:rPr>
          <w:rFonts w:ascii="Garamond" w:hAnsi="Garamond" w:cs="Times-Roman"/>
          <w:lang w:val="en-US"/>
        </w:rPr>
      </w:pPr>
    </w:p>
    <w:p w:rsidR="004E00C6" w:rsidRPr="00CF585F" w:rsidRDefault="004E00C6" w:rsidP="00985EE8">
      <w:pPr>
        <w:rPr>
          <w:lang w:val="en-US"/>
        </w:rPr>
      </w:pPr>
    </w:p>
    <w:p w:rsidR="004E00C6" w:rsidRPr="00506316" w:rsidRDefault="004E00C6" w:rsidP="004E00C6">
      <w:pPr>
        <w:rPr>
          <w:lang w:val="en-US"/>
        </w:rPr>
      </w:pPr>
    </w:p>
    <w:p w:rsidR="00032727" w:rsidRPr="00646842" w:rsidRDefault="00032727" w:rsidP="00032727">
      <w:pPr>
        <w:shd w:val="clear" w:color="auto" w:fill="FFFFFF"/>
        <w:spacing w:before="120" w:after="120" w:line="124" w:lineRule="atLeast"/>
        <w:rPr>
          <w:rFonts w:ascii="Garamond" w:hAnsi="Garamond" w:cs="Arial"/>
          <w:color w:val="000000"/>
          <w:lang w:val="en-GB"/>
        </w:rPr>
      </w:pPr>
    </w:p>
    <w:p w:rsidR="00B03933" w:rsidRPr="00AD6ACB" w:rsidRDefault="00B03933" w:rsidP="00B03933">
      <w:pPr>
        <w:spacing w:before="100" w:beforeAutospacing="1" w:after="100" w:afterAutospacing="1" w:line="240" w:lineRule="auto"/>
        <w:rPr>
          <w:rFonts w:ascii="Garamond" w:eastAsia="Times New Roman" w:hAnsi="Garamond" w:cs="Times New Roman"/>
          <w:lang w:val="en-US" w:eastAsia="fr-FR"/>
        </w:rPr>
      </w:pPr>
    </w:p>
    <w:p w:rsidR="00941D22" w:rsidRPr="00AD6ACB" w:rsidRDefault="00941D22" w:rsidP="00941D22">
      <w:pPr>
        <w:spacing w:before="100" w:beforeAutospacing="1" w:after="100" w:afterAutospacing="1" w:line="240" w:lineRule="auto"/>
        <w:rPr>
          <w:rFonts w:ascii="Garamond" w:eastAsia="Times New Roman" w:hAnsi="Garamond" w:cs="Times New Roman"/>
          <w:lang w:val="en-US" w:eastAsia="fr-FR"/>
        </w:rPr>
      </w:pPr>
    </w:p>
    <w:p w:rsidR="00941D22" w:rsidRPr="00AD6ACB" w:rsidRDefault="00941D22" w:rsidP="00941D22">
      <w:pPr>
        <w:spacing w:before="100" w:beforeAutospacing="1" w:after="100" w:afterAutospacing="1" w:line="240" w:lineRule="auto"/>
        <w:rPr>
          <w:rFonts w:ascii="Garamond" w:eastAsia="Times New Roman" w:hAnsi="Garamond" w:cs="Times New Roman"/>
          <w:lang w:val="en-US" w:eastAsia="fr-FR"/>
        </w:rPr>
      </w:pPr>
    </w:p>
    <w:p w:rsidR="00941D22" w:rsidRPr="00AD6ACB" w:rsidRDefault="00941D22" w:rsidP="00941D22">
      <w:pPr>
        <w:pStyle w:val="Sansinterligne"/>
        <w:rPr>
          <w:rFonts w:ascii="Garamond" w:hAnsi="Garamond"/>
          <w:lang w:val="en-US" w:eastAsia="fr-FR"/>
        </w:rPr>
      </w:pPr>
    </w:p>
    <w:p w:rsidR="003C24AC" w:rsidRPr="00AD6ACB" w:rsidRDefault="003C24AC" w:rsidP="00130855">
      <w:pPr>
        <w:rPr>
          <w:rFonts w:ascii="Garamond" w:hAnsi="Garamond"/>
          <w:lang w:val="en-US"/>
        </w:rPr>
      </w:pPr>
    </w:p>
    <w:sectPr w:rsidR="003C24AC" w:rsidRPr="00AD6ACB" w:rsidSect="003C24AC">
      <w:footerReference w:type="default" r:id="rId208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D4E" w:rsidRDefault="00CE4D4E" w:rsidP="0018684C">
      <w:pPr>
        <w:spacing w:after="0" w:line="240" w:lineRule="auto"/>
      </w:pPr>
      <w:r>
        <w:separator/>
      </w:r>
    </w:p>
  </w:endnote>
  <w:endnote w:type="continuationSeparator" w:id="0">
    <w:p w:rsidR="00CE4D4E" w:rsidRDefault="00CE4D4E" w:rsidP="001868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Times-Bold">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3448"/>
      <w:docPartObj>
        <w:docPartGallery w:val="Page Numbers (Bottom of Page)"/>
        <w:docPartUnique/>
      </w:docPartObj>
    </w:sdtPr>
    <w:sdtContent>
      <w:p w:rsidR="005E1D01" w:rsidRDefault="00B437A1">
        <w:pPr>
          <w:pStyle w:val="Pieddepage"/>
          <w:jc w:val="right"/>
        </w:pPr>
        <w:fldSimple w:instr=" PAGE   \* MERGEFORMAT ">
          <w:r w:rsidR="005C1841">
            <w:rPr>
              <w:noProof/>
            </w:rPr>
            <w:t>2</w:t>
          </w:r>
        </w:fldSimple>
      </w:p>
    </w:sdtContent>
  </w:sdt>
  <w:p w:rsidR="005E1D01" w:rsidRDefault="005E1D0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D4E" w:rsidRDefault="00CE4D4E" w:rsidP="0018684C">
      <w:pPr>
        <w:spacing w:after="0" w:line="240" w:lineRule="auto"/>
      </w:pPr>
      <w:r>
        <w:separator/>
      </w:r>
    </w:p>
  </w:footnote>
  <w:footnote w:type="continuationSeparator" w:id="0">
    <w:p w:rsidR="00CE4D4E" w:rsidRDefault="00CE4D4E" w:rsidP="001868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9" type="#_x0000_t75" style="width:3in;height:3in" o:bullet="t"/>
    </w:pict>
  </w:numPicBullet>
  <w:numPicBullet w:numPicBulletId="1">
    <w:pict>
      <v:shape id="_x0000_i1560" type="#_x0000_t75" style="width:3in;height:3in" o:bullet="t"/>
    </w:pict>
  </w:numPicBullet>
  <w:numPicBullet w:numPicBulletId="2">
    <w:pict>
      <v:shape id="_x0000_i1561" type="#_x0000_t75" style="width:3in;height:3in" o:bullet="t"/>
    </w:pict>
  </w:numPicBullet>
  <w:numPicBullet w:numPicBulletId="3">
    <w:pict>
      <v:shape id="_x0000_i1607" type="#_x0000_t75" style="width:3in;height:3in" o:bullet="t"/>
    </w:pict>
  </w:numPicBullet>
  <w:numPicBullet w:numPicBulletId="4">
    <w:pict>
      <v:shape id="_x0000_i1608" type="#_x0000_t75" style="width:3in;height:3in" o:bullet="t"/>
    </w:pict>
  </w:numPicBullet>
  <w:numPicBullet w:numPicBulletId="5">
    <w:pict>
      <v:shape id="_x0000_i1609" type="#_x0000_t75" style="width:3in;height:3in" o:bullet="t"/>
    </w:pict>
  </w:numPicBullet>
  <w:abstractNum w:abstractNumId="0">
    <w:nsid w:val="02911B2D"/>
    <w:multiLevelType w:val="hybridMultilevel"/>
    <w:tmpl w:val="D6785C62"/>
    <w:lvl w:ilvl="0" w:tplc="0AA6CD9E">
      <w:start w:val="6"/>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045EFF"/>
    <w:multiLevelType w:val="multilevel"/>
    <w:tmpl w:val="6270CD2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1B2A42"/>
    <w:multiLevelType w:val="hybridMultilevel"/>
    <w:tmpl w:val="6B620CDC"/>
    <w:lvl w:ilvl="0" w:tplc="C7464F58">
      <w:start w:val="2"/>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DF4100"/>
    <w:multiLevelType w:val="multilevel"/>
    <w:tmpl w:val="C11604EC"/>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C3557F"/>
    <w:multiLevelType w:val="hybridMultilevel"/>
    <w:tmpl w:val="E800F8D0"/>
    <w:lvl w:ilvl="0" w:tplc="E5E04B1C">
      <w:start w:val="2"/>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886ECE"/>
    <w:multiLevelType w:val="hybridMultilevel"/>
    <w:tmpl w:val="D9ECE440"/>
    <w:lvl w:ilvl="0" w:tplc="92345980">
      <w:start w:val="2"/>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B51501E"/>
    <w:multiLevelType w:val="hybridMultilevel"/>
    <w:tmpl w:val="C756A404"/>
    <w:lvl w:ilvl="0" w:tplc="30E65030">
      <w:start w:val="1"/>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2E503C0"/>
    <w:multiLevelType w:val="hybridMultilevel"/>
    <w:tmpl w:val="41DE6CC2"/>
    <w:lvl w:ilvl="0" w:tplc="2A78895E">
      <w:start w:val="5"/>
      <w:numFmt w:val="bullet"/>
      <w:lvlText w:val="-"/>
      <w:lvlJc w:val="left"/>
      <w:pPr>
        <w:ind w:left="720" w:hanging="360"/>
      </w:pPr>
      <w:rPr>
        <w:rFonts w:ascii="Garamond" w:eastAsiaTheme="minorHAnsi" w:hAnsi="Garamond"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C6525A"/>
    <w:multiLevelType w:val="hybridMultilevel"/>
    <w:tmpl w:val="CADE4450"/>
    <w:lvl w:ilvl="0" w:tplc="B484CFEA">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E7C1E12"/>
    <w:multiLevelType w:val="hybridMultilevel"/>
    <w:tmpl w:val="BFBACA30"/>
    <w:lvl w:ilvl="0" w:tplc="C7464F58">
      <w:start w:val="2"/>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6B53173"/>
    <w:multiLevelType w:val="hybridMultilevel"/>
    <w:tmpl w:val="8FA63FE4"/>
    <w:lvl w:ilvl="0" w:tplc="0AA6CD9E">
      <w:start w:val="6"/>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46104C4"/>
    <w:multiLevelType w:val="hybridMultilevel"/>
    <w:tmpl w:val="10EC7CBC"/>
    <w:lvl w:ilvl="0" w:tplc="C7464F58">
      <w:start w:val="2"/>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B972B97"/>
    <w:multiLevelType w:val="hybridMultilevel"/>
    <w:tmpl w:val="EFD430AA"/>
    <w:lvl w:ilvl="0" w:tplc="4B4E633C">
      <w:start w:val="1"/>
      <w:numFmt w:val="upperLetter"/>
      <w:lvlText w:val="%1)"/>
      <w:lvlJc w:val="left"/>
      <w:pPr>
        <w:ind w:left="720" w:hanging="360"/>
      </w:pPr>
      <w:rPr>
        <w:rFonts w:hint="default"/>
        <w:b/>
        <w:color w:val="auto"/>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2"/>
  </w:num>
  <w:num w:numId="3">
    <w:abstractNumId w:val="2"/>
  </w:num>
  <w:num w:numId="4">
    <w:abstractNumId w:val="0"/>
  </w:num>
  <w:num w:numId="5">
    <w:abstractNumId w:val="7"/>
  </w:num>
  <w:num w:numId="6">
    <w:abstractNumId w:val="5"/>
  </w:num>
  <w:num w:numId="7">
    <w:abstractNumId w:val="4"/>
  </w:num>
  <w:num w:numId="8">
    <w:abstractNumId w:val="9"/>
  </w:num>
  <w:num w:numId="9">
    <w:abstractNumId w:val="11"/>
  </w:num>
  <w:num w:numId="10">
    <w:abstractNumId w:val="10"/>
  </w:num>
  <w:num w:numId="11">
    <w:abstractNumId w:val="8"/>
  </w:num>
  <w:num w:numId="12">
    <w:abstractNumId w:val="3"/>
  </w:num>
  <w:num w:numId="13">
    <w:abstractNumId w:val="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rsids>
    <w:rsidRoot w:val="0018684C"/>
    <w:rsid w:val="00030465"/>
    <w:rsid w:val="00032727"/>
    <w:rsid w:val="000567FD"/>
    <w:rsid w:val="00062BE4"/>
    <w:rsid w:val="0007298F"/>
    <w:rsid w:val="00090F57"/>
    <w:rsid w:val="00095F6F"/>
    <w:rsid w:val="000A16B9"/>
    <w:rsid w:val="000A3EF1"/>
    <w:rsid w:val="000D4CB9"/>
    <w:rsid w:val="00106CDB"/>
    <w:rsid w:val="00107028"/>
    <w:rsid w:val="00130855"/>
    <w:rsid w:val="001613D0"/>
    <w:rsid w:val="0018684C"/>
    <w:rsid w:val="001870F8"/>
    <w:rsid w:val="00191A47"/>
    <w:rsid w:val="001C3615"/>
    <w:rsid w:val="001C5BE1"/>
    <w:rsid w:val="002110D4"/>
    <w:rsid w:val="00247CF0"/>
    <w:rsid w:val="002A2E3C"/>
    <w:rsid w:val="002A638F"/>
    <w:rsid w:val="002E0E50"/>
    <w:rsid w:val="002E7EBE"/>
    <w:rsid w:val="00383C60"/>
    <w:rsid w:val="00387070"/>
    <w:rsid w:val="003C24AC"/>
    <w:rsid w:val="003E5898"/>
    <w:rsid w:val="00401D28"/>
    <w:rsid w:val="00411FF5"/>
    <w:rsid w:val="00424414"/>
    <w:rsid w:val="004445E0"/>
    <w:rsid w:val="00462409"/>
    <w:rsid w:val="00486C7E"/>
    <w:rsid w:val="004E00C6"/>
    <w:rsid w:val="00525700"/>
    <w:rsid w:val="00526306"/>
    <w:rsid w:val="0053779A"/>
    <w:rsid w:val="005560E9"/>
    <w:rsid w:val="005A08D4"/>
    <w:rsid w:val="005C1841"/>
    <w:rsid w:val="005D30C2"/>
    <w:rsid w:val="005E1D01"/>
    <w:rsid w:val="005E42D8"/>
    <w:rsid w:val="0064354E"/>
    <w:rsid w:val="00646842"/>
    <w:rsid w:val="006A6515"/>
    <w:rsid w:val="006C4F7B"/>
    <w:rsid w:val="007103C6"/>
    <w:rsid w:val="00716243"/>
    <w:rsid w:val="00725852"/>
    <w:rsid w:val="00776F41"/>
    <w:rsid w:val="007A4273"/>
    <w:rsid w:val="007A57FF"/>
    <w:rsid w:val="007D5EBB"/>
    <w:rsid w:val="00822600"/>
    <w:rsid w:val="00822836"/>
    <w:rsid w:val="008725BE"/>
    <w:rsid w:val="00894AC2"/>
    <w:rsid w:val="008A7513"/>
    <w:rsid w:val="008D02EE"/>
    <w:rsid w:val="0091528C"/>
    <w:rsid w:val="00941D22"/>
    <w:rsid w:val="00985EE8"/>
    <w:rsid w:val="009C0B0A"/>
    <w:rsid w:val="009D0713"/>
    <w:rsid w:val="00A06A59"/>
    <w:rsid w:val="00A43337"/>
    <w:rsid w:val="00A45D42"/>
    <w:rsid w:val="00A90B8B"/>
    <w:rsid w:val="00A95446"/>
    <w:rsid w:val="00AA6115"/>
    <w:rsid w:val="00AD6ACB"/>
    <w:rsid w:val="00B03933"/>
    <w:rsid w:val="00B27178"/>
    <w:rsid w:val="00B437A1"/>
    <w:rsid w:val="00B6748F"/>
    <w:rsid w:val="00B800C9"/>
    <w:rsid w:val="00BA623D"/>
    <w:rsid w:val="00BD50DC"/>
    <w:rsid w:val="00C60383"/>
    <w:rsid w:val="00C86ED0"/>
    <w:rsid w:val="00CB2E9F"/>
    <w:rsid w:val="00CE4D4E"/>
    <w:rsid w:val="00CE764A"/>
    <w:rsid w:val="00CF585F"/>
    <w:rsid w:val="00D01B21"/>
    <w:rsid w:val="00D24066"/>
    <w:rsid w:val="00D406C9"/>
    <w:rsid w:val="00DA59BB"/>
    <w:rsid w:val="00DD1C71"/>
    <w:rsid w:val="00DD43C7"/>
    <w:rsid w:val="00DE1327"/>
    <w:rsid w:val="00DF4073"/>
    <w:rsid w:val="00DF7E46"/>
    <w:rsid w:val="00E15DB8"/>
    <w:rsid w:val="00E22C23"/>
    <w:rsid w:val="00E31D93"/>
    <w:rsid w:val="00F17314"/>
    <w:rsid w:val="00F20BA5"/>
    <w:rsid w:val="00F642E5"/>
    <w:rsid w:val="00FB05CB"/>
    <w:rsid w:val="00FF2CF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AC"/>
  </w:style>
  <w:style w:type="paragraph" w:styleId="Titre1">
    <w:name w:val="heading 1"/>
    <w:basedOn w:val="Normal"/>
    <w:next w:val="Normal"/>
    <w:link w:val="Titre1Car"/>
    <w:uiPriority w:val="9"/>
    <w:qFormat/>
    <w:rsid w:val="00CB2E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18684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18684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F40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8684C"/>
    <w:rPr>
      <w:rFonts w:ascii="Times New Roman" w:eastAsia="Times New Roman" w:hAnsi="Times New Roman" w:cs="Times New Roman"/>
      <w:b/>
      <w:bCs/>
      <w:sz w:val="36"/>
      <w:szCs w:val="36"/>
      <w:lang w:eastAsia="fr-FR"/>
    </w:rPr>
  </w:style>
  <w:style w:type="paragraph" w:customStyle="1" w:styleId="c">
    <w:name w:val="c"/>
    <w:basedOn w:val="Normal"/>
    <w:rsid w:val="0018684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18684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
    <w:name w:val="s"/>
    <w:basedOn w:val="Normal"/>
    <w:rsid w:val="001868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18684C"/>
    <w:rPr>
      <w:rFonts w:asciiTheme="majorHAnsi" w:eastAsiaTheme="majorEastAsia" w:hAnsiTheme="majorHAnsi" w:cstheme="majorBidi"/>
      <w:b/>
      <w:bCs/>
      <w:color w:val="4F81BD" w:themeColor="accent1"/>
    </w:rPr>
  </w:style>
  <w:style w:type="character" w:customStyle="1" w:styleId="unicode">
    <w:name w:val="unicode"/>
    <w:basedOn w:val="Policepardfaut"/>
    <w:rsid w:val="0018684C"/>
  </w:style>
  <w:style w:type="paragraph" w:styleId="Sansinterligne">
    <w:name w:val="No Spacing"/>
    <w:uiPriority w:val="1"/>
    <w:qFormat/>
    <w:rsid w:val="0018684C"/>
    <w:pPr>
      <w:spacing w:after="0" w:line="240" w:lineRule="auto"/>
    </w:pPr>
  </w:style>
  <w:style w:type="character" w:styleId="Lienhypertexte">
    <w:name w:val="Hyperlink"/>
    <w:basedOn w:val="Policepardfaut"/>
    <w:uiPriority w:val="99"/>
    <w:unhideWhenUsed/>
    <w:rsid w:val="0018684C"/>
    <w:rPr>
      <w:color w:val="0000FF" w:themeColor="hyperlink"/>
      <w:u w:val="single"/>
    </w:rPr>
  </w:style>
  <w:style w:type="character" w:styleId="Lienhypertextesuivivisit">
    <w:name w:val="FollowedHyperlink"/>
    <w:basedOn w:val="Policepardfaut"/>
    <w:uiPriority w:val="99"/>
    <w:unhideWhenUsed/>
    <w:rsid w:val="0018684C"/>
    <w:rPr>
      <w:color w:val="800080" w:themeColor="followedHyperlink"/>
      <w:u w:val="single"/>
    </w:rPr>
  </w:style>
  <w:style w:type="paragraph" w:styleId="En-tte">
    <w:name w:val="header"/>
    <w:basedOn w:val="Normal"/>
    <w:link w:val="En-tteCar"/>
    <w:unhideWhenUsed/>
    <w:rsid w:val="0018684C"/>
    <w:pPr>
      <w:tabs>
        <w:tab w:val="center" w:pos="4536"/>
        <w:tab w:val="right" w:pos="9072"/>
      </w:tabs>
      <w:spacing w:after="0" w:line="240" w:lineRule="auto"/>
    </w:pPr>
  </w:style>
  <w:style w:type="character" w:customStyle="1" w:styleId="En-tteCar">
    <w:name w:val="En-tête Car"/>
    <w:basedOn w:val="Policepardfaut"/>
    <w:link w:val="En-tte"/>
    <w:uiPriority w:val="99"/>
    <w:rsid w:val="0018684C"/>
  </w:style>
  <w:style w:type="paragraph" w:styleId="Pieddepage">
    <w:name w:val="footer"/>
    <w:basedOn w:val="Normal"/>
    <w:link w:val="PieddepageCar"/>
    <w:uiPriority w:val="99"/>
    <w:unhideWhenUsed/>
    <w:rsid w:val="001868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684C"/>
  </w:style>
  <w:style w:type="paragraph" w:styleId="Paragraphedeliste">
    <w:name w:val="List Paragraph"/>
    <w:basedOn w:val="Normal"/>
    <w:uiPriority w:val="34"/>
    <w:qFormat/>
    <w:rsid w:val="0018684C"/>
    <w:pPr>
      <w:ind w:left="720"/>
      <w:contextualSpacing/>
    </w:pPr>
  </w:style>
  <w:style w:type="paragraph" w:styleId="Textedebulles">
    <w:name w:val="Balloon Text"/>
    <w:basedOn w:val="Normal"/>
    <w:link w:val="TextedebullesCar"/>
    <w:uiPriority w:val="99"/>
    <w:semiHidden/>
    <w:unhideWhenUsed/>
    <w:rsid w:val="001868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684C"/>
    <w:rPr>
      <w:rFonts w:ascii="Tahoma" w:hAnsi="Tahoma" w:cs="Tahoma"/>
      <w:sz w:val="16"/>
      <w:szCs w:val="16"/>
    </w:rPr>
  </w:style>
  <w:style w:type="paragraph" w:customStyle="1" w:styleId="r">
    <w:name w:val="r"/>
    <w:basedOn w:val="Normal"/>
    <w:rsid w:val="001868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CB2E9F"/>
    <w:rPr>
      <w:rFonts w:asciiTheme="majorHAnsi" w:eastAsiaTheme="majorEastAsia" w:hAnsiTheme="majorHAnsi" w:cstheme="majorBidi"/>
      <w:b/>
      <w:bCs/>
      <w:color w:val="365F91" w:themeColor="accent1" w:themeShade="BF"/>
      <w:sz w:val="28"/>
      <w:szCs w:val="28"/>
    </w:rPr>
  </w:style>
  <w:style w:type="paragraph" w:customStyle="1" w:styleId="ni">
    <w:name w:val="ni"/>
    <w:basedOn w:val="Normal"/>
    <w:rsid w:val="00CB2E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style-span">
    <w:name w:val="apple-style-span"/>
    <w:basedOn w:val="Policepardfaut"/>
    <w:rsid w:val="00A06A59"/>
  </w:style>
  <w:style w:type="character" w:customStyle="1" w:styleId="fusslink">
    <w:name w:val="fusslink"/>
    <w:basedOn w:val="Policepardfaut"/>
    <w:rsid w:val="00A06A59"/>
    <w:rPr>
      <w:vanish w:val="0"/>
      <w:webHidden w:val="0"/>
      <w:specVanish w:val="0"/>
    </w:rPr>
  </w:style>
  <w:style w:type="character" w:customStyle="1" w:styleId="innerfusslink3">
    <w:name w:val="innerfusslink3"/>
    <w:basedOn w:val="Policepardfaut"/>
    <w:rsid w:val="00A06A59"/>
    <w:rPr>
      <w:strike w:val="0"/>
      <w:dstrike w:val="0"/>
      <w:color w:val="000000"/>
      <w:u w:val="none"/>
      <w:effect w:val="none"/>
    </w:rPr>
  </w:style>
  <w:style w:type="paragraph" w:customStyle="1" w:styleId="vers1">
    <w:name w:val="vers1"/>
    <w:basedOn w:val="Normal"/>
    <w:rsid w:val="00A06A59"/>
    <w:pPr>
      <w:spacing w:before="240" w:after="240" w:line="240" w:lineRule="auto"/>
      <w:ind w:left="480"/>
    </w:pPr>
    <w:rPr>
      <w:rFonts w:ascii="Times New Roman" w:eastAsia="Times New Roman" w:hAnsi="Times New Roman" w:cs="Times New Roman"/>
      <w:sz w:val="24"/>
      <w:szCs w:val="24"/>
      <w:lang w:eastAsia="fr-FR"/>
    </w:rPr>
  </w:style>
  <w:style w:type="character" w:styleId="Numrodepage">
    <w:name w:val="page number"/>
    <w:basedOn w:val="Policepardfaut"/>
    <w:rsid w:val="00A06A59"/>
  </w:style>
  <w:style w:type="paragraph" w:customStyle="1" w:styleId="center1">
    <w:name w:val="center1"/>
    <w:basedOn w:val="Normal"/>
    <w:rsid w:val="00A06A59"/>
    <w:pPr>
      <w:spacing w:before="120" w:after="120" w:line="240" w:lineRule="auto"/>
      <w:jc w:val="center"/>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rsid w:val="00A06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A06A59"/>
    <w:rPr>
      <w:rFonts w:ascii="Courier New" w:eastAsia="Times New Roman" w:hAnsi="Courier New" w:cs="Courier New"/>
      <w:sz w:val="20"/>
      <w:szCs w:val="20"/>
      <w:lang w:eastAsia="fr-FR"/>
    </w:rPr>
  </w:style>
  <w:style w:type="paragraph" w:styleId="Explorateurdedocuments">
    <w:name w:val="Document Map"/>
    <w:basedOn w:val="Normal"/>
    <w:link w:val="ExplorateurdedocumentsCar"/>
    <w:rsid w:val="00A06A59"/>
    <w:pPr>
      <w:spacing w:after="0" w:line="240" w:lineRule="auto"/>
    </w:pPr>
    <w:rPr>
      <w:rFonts w:ascii="Tahoma" w:eastAsia="Times New Roman" w:hAnsi="Tahoma" w:cs="Tahoma"/>
      <w:sz w:val="16"/>
      <w:szCs w:val="16"/>
      <w:lang w:eastAsia="fr-FR"/>
    </w:rPr>
  </w:style>
  <w:style w:type="character" w:customStyle="1" w:styleId="ExplorateurdedocumentsCar">
    <w:name w:val="Explorateur de documents Car"/>
    <w:basedOn w:val="Policepardfaut"/>
    <w:link w:val="Explorateurdedocuments"/>
    <w:rsid w:val="00A06A59"/>
    <w:rPr>
      <w:rFonts w:ascii="Tahoma" w:eastAsia="Times New Roman" w:hAnsi="Tahoma" w:cs="Tahoma"/>
      <w:sz w:val="16"/>
      <w:szCs w:val="16"/>
      <w:lang w:eastAsia="fr-FR"/>
    </w:rPr>
  </w:style>
  <w:style w:type="character" w:customStyle="1" w:styleId="Titre4Car">
    <w:name w:val="Titre 4 Car"/>
    <w:basedOn w:val="Policepardfaut"/>
    <w:link w:val="Titre4"/>
    <w:uiPriority w:val="9"/>
    <w:rsid w:val="00DF4073"/>
    <w:rPr>
      <w:rFonts w:asciiTheme="majorHAnsi" w:eastAsiaTheme="majorEastAsia" w:hAnsiTheme="majorHAnsi" w:cstheme="majorBidi"/>
      <w:b/>
      <w:bCs/>
      <w:i/>
      <w:iCs/>
      <w:color w:val="4F81BD" w:themeColor="accent1"/>
    </w:rPr>
  </w:style>
  <w:style w:type="character" w:customStyle="1" w:styleId="innerfusslink">
    <w:name w:val="innerfusslink"/>
    <w:basedOn w:val="Policepardfaut"/>
    <w:rsid w:val="00DF4073"/>
  </w:style>
  <w:style w:type="character" w:customStyle="1" w:styleId="footnote">
    <w:name w:val="footnote"/>
    <w:basedOn w:val="Policepardfaut"/>
    <w:rsid w:val="00DF4073"/>
  </w:style>
  <w:style w:type="paragraph" w:customStyle="1" w:styleId="figure">
    <w:name w:val="figure"/>
    <w:basedOn w:val="Normal"/>
    <w:rsid w:val="00DF40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gcaption">
    <w:name w:val="figcaption"/>
    <w:basedOn w:val="Normal"/>
    <w:rsid w:val="00DF40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ight1">
    <w:name w:val="right1"/>
    <w:basedOn w:val="Normal"/>
    <w:rsid w:val="008725BE"/>
    <w:pPr>
      <w:spacing w:before="120" w:after="120" w:line="240" w:lineRule="auto"/>
      <w:jc w:val="right"/>
    </w:pPr>
    <w:rPr>
      <w:rFonts w:ascii="Times New Roman" w:eastAsia="Times New Roman" w:hAnsi="Times New Roman" w:cs="Times New Roman"/>
      <w:sz w:val="24"/>
      <w:szCs w:val="24"/>
      <w:lang w:eastAsia="fr-FR"/>
    </w:rPr>
  </w:style>
  <w:style w:type="paragraph" w:customStyle="1" w:styleId="left1">
    <w:name w:val="left1"/>
    <w:basedOn w:val="Normal"/>
    <w:rsid w:val="008725BE"/>
    <w:pPr>
      <w:spacing w:before="120" w:after="120" w:line="240" w:lineRule="auto"/>
    </w:pPr>
    <w:rPr>
      <w:rFonts w:ascii="Times New Roman" w:eastAsia="Times New Roman" w:hAnsi="Times New Roman" w:cs="Times New Roman"/>
      <w:sz w:val="24"/>
      <w:szCs w:val="24"/>
      <w:lang w:eastAsia="fr-FR"/>
    </w:rPr>
  </w:style>
  <w:style w:type="paragraph" w:customStyle="1" w:styleId="leftjust1">
    <w:name w:val="leftjust1"/>
    <w:basedOn w:val="Normal"/>
    <w:rsid w:val="008725BE"/>
    <w:pPr>
      <w:spacing w:before="120" w:after="120" w:line="240" w:lineRule="auto"/>
      <w:jc w:val="both"/>
    </w:pPr>
    <w:rPr>
      <w:rFonts w:ascii="Times New Roman" w:eastAsia="Times New Roman" w:hAnsi="Times New Roman" w:cs="Times New Roman"/>
      <w:sz w:val="24"/>
      <w:szCs w:val="24"/>
      <w:lang w:eastAsia="fr-FR"/>
    </w:rPr>
  </w:style>
  <w:style w:type="character" w:customStyle="1" w:styleId="smallcaps">
    <w:name w:val="smallcaps"/>
    <w:basedOn w:val="Policepardfaut"/>
    <w:rsid w:val="008725BE"/>
  </w:style>
  <w:style w:type="character" w:customStyle="1" w:styleId="wide2">
    <w:name w:val="wide2"/>
    <w:basedOn w:val="Policepardfaut"/>
    <w:rsid w:val="008725BE"/>
    <w:rPr>
      <w:spacing w:val="36"/>
    </w:rPr>
  </w:style>
  <w:style w:type="paragraph" w:customStyle="1" w:styleId="figcaption1">
    <w:name w:val="figcaption1"/>
    <w:basedOn w:val="Normal"/>
    <w:rsid w:val="008725BE"/>
    <w:pPr>
      <w:spacing w:before="120" w:after="120" w:line="240" w:lineRule="auto"/>
      <w:jc w:val="center"/>
    </w:pPr>
    <w:rPr>
      <w:rFonts w:ascii="Times New Roman" w:eastAsia="Times New Roman" w:hAnsi="Times New Roman" w:cs="Times New Roman"/>
      <w:i/>
      <w:iCs/>
      <w:sz w:val="24"/>
      <w:szCs w:val="24"/>
      <w:lang w:eastAsia="fr-FR"/>
    </w:rPr>
  </w:style>
  <w:style w:type="paragraph" w:customStyle="1" w:styleId="center2">
    <w:name w:val="center2"/>
    <w:basedOn w:val="Normal"/>
    <w:rsid w:val="008725BE"/>
    <w:pPr>
      <w:spacing w:before="120" w:after="120" w:line="240" w:lineRule="auto"/>
      <w:ind w:left="240"/>
      <w:jc w:val="center"/>
    </w:pPr>
    <w:rPr>
      <w:rFonts w:ascii="Times New Roman" w:eastAsia="Times New Roman" w:hAnsi="Times New Roman" w:cs="Times New Roman"/>
      <w:sz w:val="24"/>
      <w:szCs w:val="24"/>
      <w:lang w:eastAsia="fr-FR"/>
    </w:rPr>
  </w:style>
  <w:style w:type="paragraph" w:customStyle="1" w:styleId="leftjust2">
    <w:name w:val="leftjust2"/>
    <w:basedOn w:val="Normal"/>
    <w:rsid w:val="008725BE"/>
    <w:pPr>
      <w:spacing w:before="120" w:after="120" w:line="240" w:lineRule="auto"/>
      <w:ind w:left="240"/>
    </w:pPr>
    <w:rPr>
      <w:rFonts w:ascii="Times New Roman" w:eastAsia="Times New Roman" w:hAnsi="Times New Roman" w:cs="Times New Roman"/>
      <w:sz w:val="24"/>
      <w:szCs w:val="24"/>
      <w:lang w:eastAsia="fr-FR"/>
    </w:rPr>
  </w:style>
  <w:style w:type="paragraph" w:customStyle="1" w:styleId="left2">
    <w:name w:val="left2"/>
    <w:basedOn w:val="Normal"/>
    <w:rsid w:val="008725BE"/>
    <w:pPr>
      <w:spacing w:before="120" w:after="120" w:line="240" w:lineRule="auto"/>
      <w:ind w:left="240"/>
    </w:pPr>
    <w:rPr>
      <w:rFonts w:ascii="Times New Roman" w:eastAsia="Times New Roman" w:hAnsi="Times New Roman" w:cs="Times New Roman"/>
      <w:sz w:val="24"/>
      <w:szCs w:val="24"/>
      <w:lang w:eastAsia="fr-FR"/>
    </w:rPr>
  </w:style>
  <w:style w:type="paragraph" w:customStyle="1" w:styleId="leftmarg1">
    <w:name w:val="leftmarg1"/>
    <w:basedOn w:val="Normal"/>
    <w:rsid w:val="008725BE"/>
    <w:pPr>
      <w:spacing w:before="120" w:after="120" w:line="240" w:lineRule="auto"/>
      <w:ind w:left="856"/>
    </w:pPr>
    <w:rPr>
      <w:rFonts w:ascii="Times New Roman" w:eastAsia="Times New Roman" w:hAnsi="Times New Roman" w:cs="Times New Roman"/>
      <w:sz w:val="24"/>
      <w:szCs w:val="24"/>
      <w:lang w:eastAsia="fr-FR"/>
    </w:rPr>
  </w:style>
  <w:style w:type="paragraph" w:customStyle="1" w:styleId="right2">
    <w:name w:val="right2"/>
    <w:basedOn w:val="Normal"/>
    <w:rsid w:val="008725BE"/>
    <w:pPr>
      <w:spacing w:before="120" w:after="120" w:line="240" w:lineRule="auto"/>
      <w:jc w:val="right"/>
    </w:pPr>
    <w:rPr>
      <w:rFonts w:ascii="Times New Roman" w:eastAsia="Times New Roman" w:hAnsi="Times New Roman" w:cs="Times New Roman"/>
      <w:sz w:val="24"/>
      <w:szCs w:val="24"/>
      <w:lang w:eastAsia="fr-FR"/>
    </w:rPr>
  </w:style>
  <w:style w:type="character" w:customStyle="1" w:styleId="hps">
    <w:name w:val="hps"/>
    <w:basedOn w:val="Policepardfaut"/>
    <w:rsid w:val="00822836"/>
  </w:style>
  <w:style w:type="character" w:customStyle="1" w:styleId="shorttext">
    <w:name w:val="short_text"/>
    <w:basedOn w:val="Policepardfaut"/>
    <w:rsid w:val="00822836"/>
  </w:style>
  <w:style w:type="character" w:customStyle="1" w:styleId="footnote3">
    <w:name w:val="footnote3"/>
    <w:basedOn w:val="Policepardfaut"/>
    <w:rsid w:val="00646842"/>
    <w:rPr>
      <w:rFonts w:ascii="Arial" w:hAnsi="Arial" w:cs="Arial" w:hint="default"/>
      <w:strike w:val="0"/>
      <w:dstrike w:val="0"/>
      <w:color w:val="8B0000"/>
      <w:u w:val="none"/>
      <w:effect w:val="none"/>
    </w:rPr>
  </w:style>
  <w:style w:type="paragraph" w:styleId="z-Hautduformulaire">
    <w:name w:val="HTML Top of Form"/>
    <w:basedOn w:val="Normal"/>
    <w:next w:val="Normal"/>
    <w:link w:val="z-HautduformulaireCar"/>
    <w:hidden/>
    <w:rsid w:val="00062BE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rsid w:val="00062BE4"/>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rsid w:val="00062BE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rsid w:val="00062BE4"/>
    <w:rPr>
      <w:rFonts w:ascii="Arial" w:eastAsia="Times New Roman" w:hAnsi="Arial" w:cs="Arial"/>
      <w:vanish/>
      <w:sz w:val="16"/>
      <w:szCs w:val="16"/>
      <w:lang w:eastAsia="fr-FR"/>
    </w:rPr>
  </w:style>
  <w:style w:type="character" w:customStyle="1" w:styleId="upper">
    <w:name w:val="upper"/>
    <w:basedOn w:val="Policepardfaut"/>
    <w:rsid w:val="00062BE4"/>
  </w:style>
  <w:style w:type="character" w:customStyle="1" w:styleId="pagenumber">
    <w:name w:val="pagenumber"/>
    <w:basedOn w:val="Policepardfaut"/>
    <w:rsid w:val="005C1841"/>
  </w:style>
  <w:style w:type="character" w:customStyle="1" w:styleId="polytonic">
    <w:name w:val="polytonic"/>
    <w:basedOn w:val="Policepardfaut"/>
    <w:rsid w:val="005C1841"/>
  </w:style>
  <w:style w:type="character" w:customStyle="1" w:styleId="mw-headline">
    <w:name w:val="mw-headline"/>
    <w:basedOn w:val="Policepardfaut"/>
    <w:rsid w:val="005C1841"/>
  </w:style>
</w:styles>
</file>

<file path=word/webSettings.xml><?xml version="1.0" encoding="utf-8"?>
<w:webSettings xmlns:r="http://schemas.openxmlformats.org/officeDocument/2006/relationships" xmlns:w="http://schemas.openxmlformats.org/wordprocessingml/2006/main">
  <w:divs>
    <w:div w:id="8214596">
      <w:bodyDiv w:val="1"/>
      <w:marLeft w:val="0"/>
      <w:marRight w:val="0"/>
      <w:marTop w:val="0"/>
      <w:marBottom w:val="0"/>
      <w:divBdr>
        <w:top w:val="none" w:sz="0" w:space="0" w:color="auto"/>
        <w:left w:val="none" w:sz="0" w:space="0" w:color="auto"/>
        <w:bottom w:val="none" w:sz="0" w:space="0" w:color="auto"/>
        <w:right w:val="none" w:sz="0" w:space="0" w:color="auto"/>
      </w:divBdr>
    </w:div>
    <w:div w:id="22831932">
      <w:bodyDiv w:val="1"/>
      <w:marLeft w:val="0"/>
      <w:marRight w:val="0"/>
      <w:marTop w:val="0"/>
      <w:marBottom w:val="0"/>
      <w:divBdr>
        <w:top w:val="none" w:sz="0" w:space="0" w:color="auto"/>
        <w:left w:val="none" w:sz="0" w:space="0" w:color="auto"/>
        <w:bottom w:val="none" w:sz="0" w:space="0" w:color="auto"/>
        <w:right w:val="none" w:sz="0" w:space="0" w:color="auto"/>
      </w:divBdr>
    </w:div>
    <w:div w:id="38870052">
      <w:bodyDiv w:val="1"/>
      <w:marLeft w:val="0"/>
      <w:marRight w:val="0"/>
      <w:marTop w:val="0"/>
      <w:marBottom w:val="0"/>
      <w:divBdr>
        <w:top w:val="none" w:sz="0" w:space="0" w:color="auto"/>
        <w:left w:val="none" w:sz="0" w:space="0" w:color="auto"/>
        <w:bottom w:val="none" w:sz="0" w:space="0" w:color="auto"/>
        <w:right w:val="none" w:sz="0" w:space="0" w:color="auto"/>
      </w:divBdr>
    </w:div>
    <w:div w:id="52436975">
      <w:bodyDiv w:val="1"/>
      <w:marLeft w:val="0"/>
      <w:marRight w:val="0"/>
      <w:marTop w:val="0"/>
      <w:marBottom w:val="0"/>
      <w:divBdr>
        <w:top w:val="none" w:sz="0" w:space="0" w:color="auto"/>
        <w:left w:val="none" w:sz="0" w:space="0" w:color="auto"/>
        <w:bottom w:val="none" w:sz="0" w:space="0" w:color="auto"/>
        <w:right w:val="none" w:sz="0" w:space="0" w:color="auto"/>
      </w:divBdr>
    </w:div>
    <w:div w:id="68768657">
      <w:bodyDiv w:val="1"/>
      <w:marLeft w:val="0"/>
      <w:marRight w:val="0"/>
      <w:marTop w:val="0"/>
      <w:marBottom w:val="0"/>
      <w:divBdr>
        <w:top w:val="none" w:sz="0" w:space="0" w:color="auto"/>
        <w:left w:val="none" w:sz="0" w:space="0" w:color="auto"/>
        <w:bottom w:val="none" w:sz="0" w:space="0" w:color="auto"/>
        <w:right w:val="none" w:sz="0" w:space="0" w:color="auto"/>
      </w:divBdr>
    </w:div>
    <w:div w:id="79106574">
      <w:bodyDiv w:val="1"/>
      <w:marLeft w:val="0"/>
      <w:marRight w:val="0"/>
      <w:marTop w:val="0"/>
      <w:marBottom w:val="0"/>
      <w:divBdr>
        <w:top w:val="none" w:sz="0" w:space="0" w:color="auto"/>
        <w:left w:val="none" w:sz="0" w:space="0" w:color="auto"/>
        <w:bottom w:val="none" w:sz="0" w:space="0" w:color="auto"/>
        <w:right w:val="none" w:sz="0" w:space="0" w:color="auto"/>
      </w:divBdr>
    </w:div>
    <w:div w:id="85807313">
      <w:bodyDiv w:val="1"/>
      <w:marLeft w:val="0"/>
      <w:marRight w:val="0"/>
      <w:marTop w:val="0"/>
      <w:marBottom w:val="0"/>
      <w:divBdr>
        <w:top w:val="none" w:sz="0" w:space="0" w:color="auto"/>
        <w:left w:val="none" w:sz="0" w:space="0" w:color="auto"/>
        <w:bottom w:val="none" w:sz="0" w:space="0" w:color="auto"/>
        <w:right w:val="none" w:sz="0" w:space="0" w:color="auto"/>
      </w:divBdr>
      <w:divsChild>
        <w:div w:id="2042826887">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038653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87166900">
      <w:bodyDiv w:val="1"/>
      <w:marLeft w:val="0"/>
      <w:marRight w:val="0"/>
      <w:marTop w:val="0"/>
      <w:marBottom w:val="0"/>
      <w:divBdr>
        <w:top w:val="none" w:sz="0" w:space="0" w:color="auto"/>
        <w:left w:val="none" w:sz="0" w:space="0" w:color="auto"/>
        <w:bottom w:val="none" w:sz="0" w:space="0" w:color="auto"/>
        <w:right w:val="none" w:sz="0" w:space="0" w:color="auto"/>
      </w:divBdr>
      <w:divsChild>
        <w:div w:id="73447608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87508649">
      <w:bodyDiv w:val="1"/>
      <w:marLeft w:val="0"/>
      <w:marRight w:val="0"/>
      <w:marTop w:val="0"/>
      <w:marBottom w:val="0"/>
      <w:divBdr>
        <w:top w:val="none" w:sz="0" w:space="0" w:color="auto"/>
        <w:left w:val="none" w:sz="0" w:space="0" w:color="auto"/>
        <w:bottom w:val="none" w:sz="0" w:space="0" w:color="auto"/>
        <w:right w:val="none" w:sz="0" w:space="0" w:color="auto"/>
      </w:divBdr>
    </w:div>
    <w:div w:id="102040309">
      <w:bodyDiv w:val="1"/>
      <w:marLeft w:val="0"/>
      <w:marRight w:val="0"/>
      <w:marTop w:val="0"/>
      <w:marBottom w:val="0"/>
      <w:divBdr>
        <w:top w:val="none" w:sz="0" w:space="0" w:color="auto"/>
        <w:left w:val="none" w:sz="0" w:space="0" w:color="auto"/>
        <w:bottom w:val="none" w:sz="0" w:space="0" w:color="auto"/>
        <w:right w:val="none" w:sz="0" w:space="0" w:color="auto"/>
      </w:divBdr>
    </w:div>
    <w:div w:id="103381697">
      <w:bodyDiv w:val="1"/>
      <w:marLeft w:val="0"/>
      <w:marRight w:val="0"/>
      <w:marTop w:val="0"/>
      <w:marBottom w:val="0"/>
      <w:divBdr>
        <w:top w:val="none" w:sz="0" w:space="0" w:color="auto"/>
        <w:left w:val="none" w:sz="0" w:space="0" w:color="auto"/>
        <w:bottom w:val="none" w:sz="0" w:space="0" w:color="auto"/>
        <w:right w:val="none" w:sz="0" w:space="0" w:color="auto"/>
      </w:divBdr>
    </w:div>
    <w:div w:id="111481688">
      <w:bodyDiv w:val="1"/>
      <w:marLeft w:val="0"/>
      <w:marRight w:val="0"/>
      <w:marTop w:val="0"/>
      <w:marBottom w:val="0"/>
      <w:divBdr>
        <w:top w:val="none" w:sz="0" w:space="0" w:color="auto"/>
        <w:left w:val="none" w:sz="0" w:space="0" w:color="auto"/>
        <w:bottom w:val="none" w:sz="0" w:space="0" w:color="auto"/>
        <w:right w:val="none" w:sz="0" w:space="0" w:color="auto"/>
      </w:divBdr>
    </w:div>
    <w:div w:id="141891819">
      <w:bodyDiv w:val="1"/>
      <w:marLeft w:val="0"/>
      <w:marRight w:val="0"/>
      <w:marTop w:val="0"/>
      <w:marBottom w:val="0"/>
      <w:divBdr>
        <w:top w:val="none" w:sz="0" w:space="0" w:color="auto"/>
        <w:left w:val="none" w:sz="0" w:space="0" w:color="auto"/>
        <w:bottom w:val="none" w:sz="0" w:space="0" w:color="auto"/>
        <w:right w:val="none" w:sz="0" w:space="0" w:color="auto"/>
      </w:divBdr>
    </w:div>
    <w:div w:id="150953049">
      <w:bodyDiv w:val="1"/>
      <w:marLeft w:val="0"/>
      <w:marRight w:val="0"/>
      <w:marTop w:val="0"/>
      <w:marBottom w:val="0"/>
      <w:divBdr>
        <w:top w:val="none" w:sz="0" w:space="0" w:color="auto"/>
        <w:left w:val="none" w:sz="0" w:space="0" w:color="auto"/>
        <w:bottom w:val="none" w:sz="0" w:space="0" w:color="auto"/>
        <w:right w:val="none" w:sz="0" w:space="0" w:color="auto"/>
      </w:divBdr>
    </w:div>
    <w:div w:id="172502008">
      <w:bodyDiv w:val="1"/>
      <w:marLeft w:val="0"/>
      <w:marRight w:val="0"/>
      <w:marTop w:val="0"/>
      <w:marBottom w:val="0"/>
      <w:divBdr>
        <w:top w:val="none" w:sz="0" w:space="0" w:color="auto"/>
        <w:left w:val="none" w:sz="0" w:space="0" w:color="auto"/>
        <w:bottom w:val="none" w:sz="0" w:space="0" w:color="auto"/>
        <w:right w:val="none" w:sz="0" w:space="0" w:color="auto"/>
      </w:divBdr>
      <w:divsChild>
        <w:div w:id="2378608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80508875">
      <w:bodyDiv w:val="1"/>
      <w:marLeft w:val="0"/>
      <w:marRight w:val="0"/>
      <w:marTop w:val="0"/>
      <w:marBottom w:val="0"/>
      <w:divBdr>
        <w:top w:val="none" w:sz="0" w:space="0" w:color="auto"/>
        <w:left w:val="none" w:sz="0" w:space="0" w:color="auto"/>
        <w:bottom w:val="none" w:sz="0" w:space="0" w:color="auto"/>
        <w:right w:val="none" w:sz="0" w:space="0" w:color="auto"/>
      </w:divBdr>
      <w:divsChild>
        <w:div w:id="115245341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841774365">
              <w:blockQuote w:val="1"/>
              <w:marLeft w:val="720"/>
              <w:marRight w:val="720"/>
              <w:marTop w:val="0"/>
              <w:marBottom w:val="0"/>
              <w:divBdr>
                <w:top w:val="none" w:sz="0" w:space="0" w:color="auto"/>
                <w:left w:val="none" w:sz="0" w:space="0" w:color="auto"/>
                <w:bottom w:val="none" w:sz="0" w:space="0" w:color="auto"/>
                <w:right w:val="none" w:sz="0" w:space="0" w:color="auto"/>
              </w:divBdr>
              <w:divsChild>
                <w:div w:id="120429488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99317053">
      <w:bodyDiv w:val="1"/>
      <w:marLeft w:val="0"/>
      <w:marRight w:val="0"/>
      <w:marTop w:val="0"/>
      <w:marBottom w:val="0"/>
      <w:divBdr>
        <w:top w:val="none" w:sz="0" w:space="0" w:color="auto"/>
        <w:left w:val="none" w:sz="0" w:space="0" w:color="auto"/>
        <w:bottom w:val="none" w:sz="0" w:space="0" w:color="auto"/>
        <w:right w:val="none" w:sz="0" w:space="0" w:color="auto"/>
      </w:divBdr>
    </w:div>
    <w:div w:id="200213880">
      <w:bodyDiv w:val="1"/>
      <w:marLeft w:val="0"/>
      <w:marRight w:val="0"/>
      <w:marTop w:val="0"/>
      <w:marBottom w:val="0"/>
      <w:divBdr>
        <w:top w:val="none" w:sz="0" w:space="0" w:color="auto"/>
        <w:left w:val="none" w:sz="0" w:space="0" w:color="auto"/>
        <w:bottom w:val="none" w:sz="0" w:space="0" w:color="auto"/>
        <w:right w:val="none" w:sz="0" w:space="0" w:color="auto"/>
      </w:divBdr>
      <w:divsChild>
        <w:div w:id="13321735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219678373">
      <w:bodyDiv w:val="1"/>
      <w:marLeft w:val="0"/>
      <w:marRight w:val="0"/>
      <w:marTop w:val="0"/>
      <w:marBottom w:val="0"/>
      <w:divBdr>
        <w:top w:val="none" w:sz="0" w:space="0" w:color="auto"/>
        <w:left w:val="none" w:sz="0" w:space="0" w:color="auto"/>
        <w:bottom w:val="none" w:sz="0" w:space="0" w:color="auto"/>
        <w:right w:val="none" w:sz="0" w:space="0" w:color="auto"/>
      </w:divBdr>
    </w:div>
    <w:div w:id="232356885">
      <w:bodyDiv w:val="1"/>
      <w:marLeft w:val="0"/>
      <w:marRight w:val="0"/>
      <w:marTop w:val="0"/>
      <w:marBottom w:val="0"/>
      <w:divBdr>
        <w:top w:val="none" w:sz="0" w:space="0" w:color="auto"/>
        <w:left w:val="none" w:sz="0" w:space="0" w:color="auto"/>
        <w:bottom w:val="none" w:sz="0" w:space="0" w:color="auto"/>
        <w:right w:val="none" w:sz="0" w:space="0" w:color="auto"/>
      </w:divBdr>
    </w:div>
    <w:div w:id="233515201">
      <w:bodyDiv w:val="1"/>
      <w:marLeft w:val="0"/>
      <w:marRight w:val="0"/>
      <w:marTop w:val="0"/>
      <w:marBottom w:val="0"/>
      <w:divBdr>
        <w:top w:val="none" w:sz="0" w:space="0" w:color="auto"/>
        <w:left w:val="none" w:sz="0" w:space="0" w:color="auto"/>
        <w:bottom w:val="none" w:sz="0" w:space="0" w:color="auto"/>
        <w:right w:val="none" w:sz="0" w:space="0" w:color="auto"/>
      </w:divBdr>
    </w:div>
    <w:div w:id="238175341">
      <w:bodyDiv w:val="1"/>
      <w:marLeft w:val="0"/>
      <w:marRight w:val="0"/>
      <w:marTop w:val="0"/>
      <w:marBottom w:val="0"/>
      <w:divBdr>
        <w:top w:val="none" w:sz="0" w:space="0" w:color="auto"/>
        <w:left w:val="none" w:sz="0" w:space="0" w:color="auto"/>
        <w:bottom w:val="none" w:sz="0" w:space="0" w:color="auto"/>
        <w:right w:val="none" w:sz="0" w:space="0" w:color="auto"/>
      </w:divBdr>
    </w:div>
    <w:div w:id="238443676">
      <w:bodyDiv w:val="1"/>
      <w:marLeft w:val="0"/>
      <w:marRight w:val="0"/>
      <w:marTop w:val="0"/>
      <w:marBottom w:val="0"/>
      <w:divBdr>
        <w:top w:val="none" w:sz="0" w:space="0" w:color="auto"/>
        <w:left w:val="none" w:sz="0" w:space="0" w:color="auto"/>
        <w:bottom w:val="none" w:sz="0" w:space="0" w:color="auto"/>
        <w:right w:val="none" w:sz="0" w:space="0" w:color="auto"/>
      </w:divBdr>
    </w:div>
    <w:div w:id="239098971">
      <w:bodyDiv w:val="1"/>
      <w:marLeft w:val="0"/>
      <w:marRight w:val="0"/>
      <w:marTop w:val="0"/>
      <w:marBottom w:val="0"/>
      <w:divBdr>
        <w:top w:val="none" w:sz="0" w:space="0" w:color="auto"/>
        <w:left w:val="none" w:sz="0" w:space="0" w:color="auto"/>
        <w:bottom w:val="none" w:sz="0" w:space="0" w:color="auto"/>
        <w:right w:val="none" w:sz="0" w:space="0" w:color="auto"/>
      </w:divBdr>
    </w:div>
    <w:div w:id="243536875">
      <w:bodyDiv w:val="1"/>
      <w:marLeft w:val="0"/>
      <w:marRight w:val="0"/>
      <w:marTop w:val="0"/>
      <w:marBottom w:val="0"/>
      <w:divBdr>
        <w:top w:val="none" w:sz="0" w:space="0" w:color="auto"/>
        <w:left w:val="none" w:sz="0" w:space="0" w:color="auto"/>
        <w:bottom w:val="none" w:sz="0" w:space="0" w:color="auto"/>
        <w:right w:val="none" w:sz="0" w:space="0" w:color="auto"/>
      </w:divBdr>
      <w:divsChild>
        <w:div w:id="853811843">
          <w:blockQuote w:val="1"/>
          <w:marLeft w:val="720"/>
          <w:marRight w:val="720"/>
          <w:marTop w:val="0"/>
          <w:marBottom w:val="0"/>
          <w:divBdr>
            <w:top w:val="none" w:sz="0" w:space="0" w:color="auto"/>
            <w:left w:val="none" w:sz="0" w:space="0" w:color="auto"/>
            <w:bottom w:val="none" w:sz="0" w:space="0" w:color="auto"/>
            <w:right w:val="none" w:sz="0" w:space="0" w:color="auto"/>
          </w:divBdr>
        </w:div>
        <w:div w:id="207684931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258487128">
      <w:bodyDiv w:val="1"/>
      <w:marLeft w:val="0"/>
      <w:marRight w:val="0"/>
      <w:marTop w:val="0"/>
      <w:marBottom w:val="0"/>
      <w:divBdr>
        <w:top w:val="none" w:sz="0" w:space="0" w:color="auto"/>
        <w:left w:val="none" w:sz="0" w:space="0" w:color="auto"/>
        <w:bottom w:val="none" w:sz="0" w:space="0" w:color="auto"/>
        <w:right w:val="none" w:sz="0" w:space="0" w:color="auto"/>
      </w:divBdr>
    </w:div>
    <w:div w:id="266275799">
      <w:bodyDiv w:val="1"/>
      <w:marLeft w:val="0"/>
      <w:marRight w:val="0"/>
      <w:marTop w:val="0"/>
      <w:marBottom w:val="0"/>
      <w:divBdr>
        <w:top w:val="none" w:sz="0" w:space="0" w:color="auto"/>
        <w:left w:val="none" w:sz="0" w:space="0" w:color="auto"/>
        <w:bottom w:val="none" w:sz="0" w:space="0" w:color="auto"/>
        <w:right w:val="none" w:sz="0" w:space="0" w:color="auto"/>
      </w:divBdr>
      <w:divsChild>
        <w:div w:id="133394945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267273613">
      <w:bodyDiv w:val="1"/>
      <w:marLeft w:val="0"/>
      <w:marRight w:val="0"/>
      <w:marTop w:val="0"/>
      <w:marBottom w:val="0"/>
      <w:divBdr>
        <w:top w:val="none" w:sz="0" w:space="0" w:color="auto"/>
        <w:left w:val="none" w:sz="0" w:space="0" w:color="auto"/>
        <w:bottom w:val="none" w:sz="0" w:space="0" w:color="auto"/>
        <w:right w:val="none" w:sz="0" w:space="0" w:color="auto"/>
      </w:divBdr>
      <w:divsChild>
        <w:div w:id="412048673">
          <w:blockQuote w:val="1"/>
          <w:marLeft w:val="720"/>
          <w:marRight w:val="720"/>
          <w:marTop w:val="0"/>
          <w:marBottom w:val="0"/>
          <w:divBdr>
            <w:top w:val="none" w:sz="0" w:space="0" w:color="auto"/>
            <w:left w:val="none" w:sz="0" w:space="0" w:color="auto"/>
            <w:bottom w:val="none" w:sz="0" w:space="0" w:color="auto"/>
            <w:right w:val="none" w:sz="0" w:space="0" w:color="auto"/>
          </w:divBdr>
        </w:div>
        <w:div w:id="635992203">
          <w:blockQuote w:val="1"/>
          <w:marLeft w:val="720"/>
          <w:marRight w:val="720"/>
          <w:marTop w:val="0"/>
          <w:marBottom w:val="0"/>
          <w:divBdr>
            <w:top w:val="none" w:sz="0" w:space="0" w:color="auto"/>
            <w:left w:val="none" w:sz="0" w:space="0" w:color="auto"/>
            <w:bottom w:val="none" w:sz="0" w:space="0" w:color="auto"/>
            <w:right w:val="none" w:sz="0" w:space="0" w:color="auto"/>
          </w:divBdr>
          <w:divsChild>
            <w:div w:id="146430160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275719591">
      <w:bodyDiv w:val="1"/>
      <w:marLeft w:val="0"/>
      <w:marRight w:val="0"/>
      <w:marTop w:val="0"/>
      <w:marBottom w:val="0"/>
      <w:divBdr>
        <w:top w:val="none" w:sz="0" w:space="0" w:color="auto"/>
        <w:left w:val="none" w:sz="0" w:space="0" w:color="auto"/>
        <w:bottom w:val="none" w:sz="0" w:space="0" w:color="auto"/>
        <w:right w:val="none" w:sz="0" w:space="0" w:color="auto"/>
      </w:divBdr>
      <w:divsChild>
        <w:div w:id="1295481287">
          <w:blockQuote w:val="1"/>
          <w:marLeft w:val="720"/>
          <w:marRight w:val="720"/>
          <w:marTop w:val="0"/>
          <w:marBottom w:val="0"/>
          <w:divBdr>
            <w:top w:val="none" w:sz="0" w:space="0" w:color="auto"/>
            <w:left w:val="none" w:sz="0" w:space="0" w:color="auto"/>
            <w:bottom w:val="none" w:sz="0" w:space="0" w:color="auto"/>
            <w:right w:val="none" w:sz="0" w:space="0" w:color="auto"/>
          </w:divBdr>
          <w:divsChild>
            <w:div w:id="16346743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229682712">
          <w:blockQuote w:val="1"/>
          <w:marLeft w:val="720"/>
          <w:marRight w:val="720"/>
          <w:marTop w:val="0"/>
          <w:marBottom w:val="0"/>
          <w:divBdr>
            <w:top w:val="none" w:sz="0" w:space="0" w:color="auto"/>
            <w:left w:val="none" w:sz="0" w:space="0" w:color="auto"/>
            <w:bottom w:val="none" w:sz="0" w:space="0" w:color="auto"/>
            <w:right w:val="none" w:sz="0" w:space="0" w:color="auto"/>
          </w:divBdr>
          <w:divsChild>
            <w:div w:id="195972641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459296812">
          <w:blockQuote w:val="1"/>
          <w:marLeft w:val="720"/>
          <w:marRight w:val="720"/>
          <w:marTop w:val="0"/>
          <w:marBottom w:val="0"/>
          <w:divBdr>
            <w:top w:val="none" w:sz="0" w:space="0" w:color="auto"/>
            <w:left w:val="none" w:sz="0" w:space="0" w:color="auto"/>
            <w:bottom w:val="none" w:sz="0" w:space="0" w:color="auto"/>
            <w:right w:val="none" w:sz="0" w:space="0" w:color="auto"/>
          </w:divBdr>
          <w:divsChild>
            <w:div w:id="133545203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281811301">
      <w:bodyDiv w:val="1"/>
      <w:marLeft w:val="0"/>
      <w:marRight w:val="0"/>
      <w:marTop w:val="0"/>
      <w:marBottom w:val="0"/>
      <w:divBdr>
        <w:top w:val="none" w:sz="0" w:space="0" w:color="auto"/>
        <w:left w:val="none" w:sz="0" w:space="0" w:color="auto"/>
        <w:bottom w:val="none" w:sz="0" w:space="0" w:color="auto"/>
        <w:right w:val="none" w:sz="0" w:space="0" w:color="auto"/>
      </w:divBdr>
    </w:div>
    <w:div w:id="281889502">
      <w:bodyDiv w:val="1"/>
      <w:marLeft w:val="0"/>
      <w:marRight w:val="0"/>
      <w:marTop w:val="0"/>
      <w:marBottom w:val="0"/>
      <w:divBdr>
        <w:top w:val="none" w:sz="0" w:space="0" w:color="auto"/>
        <w:left w:val="none" w:sz="0" w:space="0" w:color="auto"/>
        <w:bottom w:val="none" w:sz="0" w:space="0" w:color="auto"/>
        <w:right w:val="none" w:sz="0" w:space="0" w:color="auto"/>
      </w:divBdr>
    </w:div>
    <w:div w:id="306860314">
      <w:bodyDiv w:val="1"/>
      <w:marLeft w:val="0"/>
      <w:marRight w:val="0"/>
      <w:marTop w:val="0"/>
      <w:marBottom w:val="0"/>
      <w:divBdr>
        <w:top w:val="none" w:sz="0" w:space="0" w:color="auto"/>
        <w:left w:val="none" w:sz="0" w:space="0" w:color="auto"/>
        <w:bottom w:val="none" w:sz="0" w:space="0" w:color="auto"/>
        <w:right w:val="none" w:sz="0" w:space="0" w:color="auto"/>
      </w:divBdr>
    </w:div>
    <w:div w:id="312877052">
      <w:bodyDiv w:val="1"/>
      <w:marLeft w:val="0"/>
      <w:marRight w:val="0"/>
      <w:marTop w:val="0"/>
      <w:marBottom w:val="0"/>
      <w:divBdr>
        <w:top w:val="none" w:sz="0" w:space="0" w:color="auto"/>
        <w:left w:val="none" w:sz="0" w:space="0" w:color="auto"/>
        <w:bottom w:val="none" w:sz="0" w:space="0" w:color="auto"/>
        <w:right w:val="none" w:sz="0" w:space="0" w:color="auto"/>
      </w:divBdr>
    </w:div>
    <w:div w:id="325860145">
      <w:bodyDiv w:val="1"/>
      <w:marLeft w:val="0"/>
      <w:marRight w:val="0"/>
      <w:marTop w:val="0"/>
      <w:marBottom w:val="0"/>
      <w:divBdr>
        <w:top w:val="none" w:sz="0" w:space="0" w:color="auto"/>
        <w:left w:val="none" w:sz="0" w:space="0" w:color="auto"/>
        <w:bottom w:val="none" w:sz="0" w:space="0" w:color="auto"/>
        <w:right w:val="none" w:sz="0" w:space="0" w:color="auto"/>
      </w:divBdr>
    </w:div>
    <w:div w:id="327900315">
      <w:bodyDiv w:val="1"/>
      <w:marLeft w:val="0"/>
      <w:marRight w:val="0"/>
      <w:marTop w:val="0"/>
      <w:marBottom w:val="0"/>
      <w:divBdr>
        <w:top w:val="none" w:sz="0" w:space="0" w:color="auto"/>
        <w:left w:val="none" w:sz="0" w:space="0" w:color="auto"/>
        <w:bottom w:val="none" w:sz="0" w:space="0" w:color="auto"/>
        <w:right w:val="none" w:sz="0" w:space="0" w:color="auto"/>
      </w:divBdr>
    </w:div>
    <w:div w:id="335693411">
      <w:bodyDiv w:val="1"/>
      <w:marLeft w:val="0"/>
      <w:marRight w:val="0"/>
      <w:marTop w:val="0"/>
      <w:marBottom w:val="0"/>
      <w:divBdr>
        <w:top w:val="none" w:sz="0" w:space="0" w:color="auto"/>
        <w:left w:val="none" w:sz="0" w:space="0" w:color="auto"/>
        <w:bottom w:val="none" w:sz="0" w:space="0" w:color="auto"/>
        <w:right w:val="none" w:sz="0" w:space="0" w:color="auto"/>
      </w:divBdr>
    </w:div>
    <w:div w:id="336735070">
      <w:bodyDiv w:val="1"/>
      <w:marLeft w:val="0"/>
      <w:marRight w:val="0"/>
      <w:marTop w:val="0"/>
      <w:marBottom w:val="0"/>
      <w:divBdr>
        <w:top w:val="none" w:sz="0" w:space="0" w:color="auto"/>
        <w:left w:val="none" w:sz="0" w:space="0" w:color="auto"/>
        <w:bottom w:val="none" w:sz="0" w:space="0" w:color="auto"/>
        <w:right w:val="none" w:sz="0" w:space="0" w:color="auto"/>
      </w:divBdr>
    </w:div>
    <w:div w:id="356392598">
      <w:bodyDiv w:val="1"/>
      <w:marLeft w:val="0"/>
      <w:marRight w:val="0"/>
      <w:marTop w:val="0"/>
      <w:marBottom w:val="0"/>
      <w:divBdr>
        <w:top w:val="none" w:sz="0" w:space="0" w:color="auto"/>
        <w:left w:val="none" w:sz="0" w:space="0" w:color="auto"/>
        <w:bottom w:val="none" w:sz="0" w:space="0" w:color="auto"/>
        <w:right w:val="none" w:sz="0" w:space="0" w:color="auto"/>
      </w:divBdr>
    </w:div>
    <w:div w:id="356465296">
      <w:bodyDiv w:val="1"/>
      <w:marLeft w:val="0"/>
      <w:marRight w:val="0"/>
      <w:marTop w:val="0"/>
      <w:marBottom w:val="0"/>
      <w:divBdr>
        <w:top w:val="none" w:sz="0" w:space="0" w:color="auto"/>
        <w:left w:val="none" w:sz="0" w:space="0" w:color="auto"/>
        <w:bottom w:val="none" w:sz="0" w:space="0" w:color="auto"/>
        <w:right w:val="none" w:sz="0" w:space="0" w:color="auto"/>
      </w:divBdr>
    </w:div>
    <w:div w:id="368842063">
      <w:bodyDiv w:val="1"/>
      <w:marLeft w:val="0"/>
      <w:marRight w:val="0"/>
      <w:marTop w:val="0"/>
      <w:marBottom w:val="0"/>
      <w:divBdr>
        <w:top w:val="none" w:sz="0" w:space="0" w:color="auto"/>
        <w:left w:val="none" w:sz="0" w:space="0" w:color="auto"/>
        <w:bottom w:val="none" w:sz="0" w:space="0" w:color="auto"/>
        <w:right w:val="none" w:sz="0" w:space="0" w:color="auto"/>
      </w:divBdr>
    </w:div>
    <w:div w:id="370351428">
      <w:bodyDiv w:val="1"/>
      <w:marLeft w:val="0"/>
      <w:marRight w:val="0"/>
      <w:marTop w:val="0"/>
      <w:marBottom w:val="0"/>
      <w:divBdr>
        <w:top w:val="none" w:sz="0" w:space="0" w:color="auto"/>
        <w:left w:val="none" w:sz="0" w:space="0" w:color="auto"/>
        <w:bottom w:val="none" w:sz="0" w:space="0" w:color="auto"/>
        <w:right w:val="none" w:sz="0" w:space="0" w:color="auto"/>
      </w:divBdr>
    </w:div>
    <w:div w:id="372274468">
      <w:bodyDiv w:val="1"/>
      <w:marLeft w:val="0"/>
      <w:marRight w:val="0"/>
      <w:marTop w:val="0"/>
      <w:marBottom w:val="0"/>
      <w:divBdr>
        <w:top w:val="none" w:sz="0" w:space="0" w:color="auto"/>
        <w:left w:val="none" w:sz="0" w:space="0" w:color="auto"/>
        <w:bottom w:val="none" w:sz="0" w:space="0" w:color="auto"/>
        <w:right w:val="none" w:sz="0" w:space="0" w:color="auto"/>
      </w:divBdr>
    </w:div>
    <w:div w:id="379287229">
      <w:bodyDiv w:val="1"/>
      <w:marLeft w:val="0"/>
      <w:marRight w:val="0"/>
      <w:marTop w:val="0"/>
      <w:marBottom w:val="0"/>
      <w:divBdr>
        <w:top w:val="none" w:sz="0" w:space="0" w:color="auto"/>
        <w:left w:val="none" w:sz="0" w:space="0" w:color="auto"/>
        <w:bottom w:val="none" w:sz="0" w:space="0" w:color="auto"/>
        <w:right w:val="none" w:sz="0" w:space="0" w:color="auto"/>
      </w:divBdr>
    </w:div>
    <w:div w:id="394014085">
      <w:bodyDiv w:val="1"/>
      <w:marLeft w:val="0"/>
      <w:marRight w:val="0"/>
      <w:marTop w:val="0"/>
      <w:marBottom w:val="0"/>
      <w:divBdr>
        <w:top w:val="none" w:sz="0" w:space="0" w:color="auto"/>
        <w:left w:val="none" w:sz="0" w:space="0" w:color="auto"/>
        <w:bottom w:val="none" w:sz="0" w:space="0" w:color="auto"/>
        <w:right w:val="none" w:sz="0" w:space="0" w:color="auto"/>
      </w:divBdr>
    </w:div>
    <w:div w:id="404258670">
      <w:bodyDiv w:val="1"/>
      <w:marLeft w:val="0"/>
      <w:marRight w:val="0"/>
      <w:marTop w:val="0"/>
      <w:marBottom w:val="0"/>
      <w:divBdr>
        <w:top w:val="none" w:sz="0" w:space="0" w:color="auto"/>
        <w:left w:val="none" w:sz="0" w:space="0" w:color="auto"/>
        <w:bottom w:val="none" w:sz="0" w:space="0" w:color="auto"/>
        <w:right w:val="none" w:sz="0" w:space="0" w:color="auto"/>
      </w:divBdr>
      <w:divsChild>
        <w:div w:id="2019386725">
          <w:blockQuote w:val="1"/>
          <w:marLeft w:val="720"/>
          <w:marRight w:val="720"/>
          <w:marTop w:val="0"/>
          <w:marBottom w:val="0"/>
          <w:divBdr>
            <w:top w:val="none" w:sz="0" w:space="0" w:color="auto"/>
            <w:left w:val="none" w:sz="0" w:space="0" w:color="auto"/>
            <w:bottom w:val="none" w:sz="0" w:space="0" w:color="auto"/>
            <w:right w:val="none" w:sz="0" w:space="0" w:color="auto"/>
          </w:divBdr>
          <w:divsChild>
            <w:div w:id="108937193">
              <w:blockQuote w:val="1"/>
              <w:marLeft w:val="720"/>
              <w:marRight w:val="720"/>
              <w:marTop w:val="0"/>
              <w:marBottom w:val="0"/>
              <w:divBdr>
                <w:top w:val="none" w:sz="0" w:space="0" w:color="auto"/>
                <w:left w:val="none" w:sz="0" w:space="0" w:color="auto"/>
                <w:bottom w:val="none" w:sz="0" w:space="0" w:color="auto"/>
                <w:right w:val="none" w:sz="0" w:space="0" w:color="auto"/>
              </w:divBdr>
              <w:divsChild>
                <w:div w:id="157184805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87465908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419256576">
      <w:bodyDiv w:val="1"/>
      <w:marLeft w:val="0"/>
      <w:marRight w:val="0"/>
      <w:marTop w:val="0"/>
      <w:marBottom w:val="0"/>
      <w:divBdr>
        <w:top w:val="none" w:sz="0" w:space="0" w:color="auto"/>
        <w:left w:val="none" w:sz="0" w:space="0" w:color="auto"/>
        <w:bottom w:val="none" w:sz="0" w:space="0" w:color="auto"/>
        <w:right w:val="none" w:sz="0" w:space="0" w:color="auto"/>
      </w:divBdr>
    </w:div>
    <w:div w:id="425394390">
      <w:bodyDiv w:val="1"/>
      <w:marLeft w:val="0"/>
      <w:marRight w:val="0"/>
      <w:marTop w:val="0"/>
      <w:marBottom w:val="0"/>
      <w:divBdr>
        <w:top w:val="none" w:sz="0" w:space="0" w:color="auto"/>
        <w:left w:val="none" w:sz="0" w:space="0" w:color="auto"/>
        <w:bottom w:val="none" w:sz="0" w:space="0" w:color="auto"/>
        <w:right w:val="none" w:sz="0" w:space="0" w:color="auto"/>
      </w:divBdr>
    </w:div>
    <w:div w:id="437526416">
      <w:bodyDiv w:val="1"/>
      <w:marLeft w:val="0"/>
      <w:marRight w:val="0"/>
      <w:marTop w:val="0"/>
      <w:marBottom w:val="0"/>
      <w:divBdr>
        <w:top w:val="none" w:sz="0" w:space="0" w:color="auto"/>
        <w:left w:val="none" w:sz="0" w:space="0" w:color="auto"/>
        <w:bottom w:val="none" w:sz="0" w:space="0" w:color="auto"/>
        <w:right w:val="none" w:sz="0" w:space="0" w:color="auto"/>
      </w:divBdr>
    </w:div>
    <w:div w:id="462770521">
      <w:bodyDiv w:val="1"/>
      <w:marLeft w:val="0"/>
      <w:marRight w:val="0"/>
      <w:marTop w:val="0"/>
      <w:marBottom w:val="0"/>
      <w:divBdr>
        <w:top w:val="none" w:sz="0" w:space="0" w:color="auto"/>
        <w:left w:val="none" w:sz="0" w:space="0" w:color="auto"/>
        <w:bottom w:val="none" w:sz="0" w:space="0" w:color="auto"/>
        <w:right w:val="none" w:sz="0" w:space="0" w:color="auto"/>
      </w:divBdr>
    </w:div>
    <w:div w:id="469134043">
      <w:bodyDiv w:val="1"/>
      <w:marLeft w:val="0"/>
      <w:marRight w:val="0"/>
      <w:marTop w:val="0"/>
      <w:marBottom w:val="0"/>
      <w:divBdr>
        <w:top w:val="none" w:sz="0" w:space="0" w:color="auto"/>
        <w:left w:val="none" w:sz="0" w:space="0" w:color="auto"/>
        <w:bottom w:val="none" w:sz="0" w:space="0" w:color="auto"/>
        <w:right w:val="none" w:sz="0" w:space="0" w:color="auto"/>
      </w:divBdr>
    </w:div>
    <w:div w:id="482745154">
      <w:bodyDiv w:val="1"/>
      <w:marLeft w:val="0"/>
      <w:marRight w:val="0"/>
      <w:marTop w:val="0"/>
      <w:marBottom w:val="0"/>
      <w:divBdr>
        <w:top w:val="none" w:sz="0" w:space="0" w:color="auto"/>
        <w:left w:val="none" w:sz="0" w:space="0" w:color="auto"/>
        <w:bottom w:val="none" w:sz="0" w:space="0" w:color="auto"/>
        <w:right w:val="none" w:sz="0" w:space="0" w:color="auto"/>
      </w:divBdr>
    </w:div>
    <w:div w:id="498086636">
      <w:bodyDiv w:val="1"/>
      <w:marLeft w:val="0"/>
      <w:marRight w:val="0"/>
      <w:marTop w:val="0"/>
      <w:marBottom w:val="0"/>
      <w:divBdr>
        <w:top w:val="none" w:sz="0" w:space="0" w:color="auto"/>
        <w:left w:val="none" w:sz="0" w:space="0" w:color="auto"/>
        <w:bottom w:val="none" w:sz="0" w:space="0" w:color="auto"/>
        <w:right w:val="none" w:sz="0" w:space="0" w:color="auto"/>
      </w:divBdr>
    </w:div>
    <w:div w:id="503517162">
      <w:bodyDiv w:val="1"/>
      <w:marLeft w:val="0"/>
      <w:marRight w:val="0"/>
      <w:marTop w:val="0"/>
      <w:marBottom w:val="0"/>
      <w:divBdr>
        <w:top w:val="none" w:sz="0" w:space="0" w:color="auto"/>
        <w:left w:val="none" w:sz="0" w:space="0" w:color="auto"/>
        <w:bottom w:val="none" w:sz="0" w:space="0" w:color="auto"/>
        <w:right w:val="none" w:sz="0" w:space="0" w:color="auto"/>
      </w:divBdr>
      <w:divsChild>
        <w:div w:id="975065188">
          <w:blockQuote w:val="1"/>
          <w:marLeft w:val="720"/>
          <w:marRight w:val="720"/>
          <w:marTop w:val="0"/>
          <w:marBottom w:val="0"/>
          <w:divBdr>
            <w:top w:val="none" w:sz="0" w:space="0" w:color="auto"/>
            <w:left w:val="none" w:sz="0" w:space="0" w:color="auto"/>
            <w:bottom w:val="none" w:sz="0" w:space="0" w:color="auto"/>
            <w:right w:val="none" w:sz="0" w:space="0" w:color="auto"/>
          </w:divBdr>
          <w:divsChild>
            <w:div w:id="77486172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548884518">
      <w:bodyDiv w:val="1"/>
      <w:marLeft w:val="0"/>
      <w:marRight w:val="0"/>
      <w:marTop w:val="0"/>
      <w:marBottom w:val="0"/>
      <w:divBdr>
        <w:top w:val="none" w:sz="0" w:space="0" w:color="auto"/>
        <w:left w:val="none" w:sz="0" w:space="0" w:color="auto"/>
        <w:bottom w:val="none" w:sz="0" w:space="0" w:color="auto"/>
        <w:right w:val="none" w:sz="0" w:space="0" w:color="auto"/>
      </w:divBdr>
    </w:div>
    <w:div w:id="553782332">
      <w:bodyDiv w:val="1"/>
      <w:marLeft w:val="0"/>
      <w:marRight w:val="0"/>
      <w:marTop w:val="0"/>
      <w:marBottom w:val="0"/>
      <w:divBdr>
        <w:top w:val="none" w:sz="0" w:space="0" w:color="auto"/>
        <w:left w:val="none" w:sz="0" w:space="0" w:color="auto"/>
        <w:bottom w:val="none" w:sz="0" w:space="0" w:color="auto"/>
        <w:right w:val="none" w:sz="0" w:space="0" w:color="auto"/>
      </w:divBdr>
    </w:div>
    <w:div w:id="570967556">
      <w:bodyDiv w:val="1"/>
      <w:marLeft w:val="0"/>
      <w:marRight w:val="0"/>
      <w:marTop w:val="0"/>
      <w:marBottom w:val="0"/>
      <w:divBdr>
        <w:top w:val="none" w:sz="0" w:space="0" w:color="auto"/>
        <w:left w:val="none" w:sz="0" w:space="0" w:color="auto"/>
        <w:bottom w:val="none" w:sz="0" w:space="0" w:color="auto"/>
        <w:right w:val="none" w:sz="0" w:space="0" w:color="auto"/>
      </w:divBdr>
    </w:div>
    <w:div w:id="574096185">
      <w:bodyDiv w:val="1"/>
      <w:marLeft w:val="0"/>
      <w:marRight w:val="0"/>
      <w:marTop w:val="0"/>
      <w:marBottom w:val="0"/>
      <w:divBdr>
        <w:top w:val="none" w:sz="0" w:space="0" w:color="auto"/>
        <w:left w:val="none" w:sz="0" w:space="0" w:color="auto"/>
        <w:bottom w:val="none" w:sz="0" w:space="0" w:color="auto"/>
        <w:right w:val="none" w:sz="0" w:space="0" w:color="auto"/>
      </w:divBdr>
    </w:div>
    <w:div w:id="588387216">
      <w:bodyDiv w:val="1"/>
      <w:marLeft w:val="0"/>
      <w:marRight w:val="0"/>
      <w:marTop w:val="0"/>
      <w:marBottom w:val="0"/>
      <w:divBdr>
        <w:top w:val="none" w:sz="0" w:space="0" w:color="auto"/>
        <w:left w:val="none" w:sz="0" w:space="0" w:color="auto"/>
        <w:bottom w:val="none" w:sz="0" w:space="0" w:color="auto"/>
        <w:right w:val="none" w:sz="0" w:space="0" w:color="auto"/>
      </w:divBdr>
    </w:div>
    <w:div w:id="615792673">
      <w:bodyDiv w:val="1"/>
      <w:marLeft w:val="0"/>
      <w:marRight w:val="0"/>
      <w:marTop w:val="0"/>
      <w:marBottom w:val="0"/>
      <w:divBdr>
        <w:top w:val="none" w:sz="0" w:space="0" w:color="auto"/>
        <w:left w:val="none" w:sz="0" w:space="0" w:color="auto"/>
        <w:bottom w:val="none" w:sz="0" w:space="0" w:color="auto"/>
        <w:right w:val="none" w:sz="0" w:space="0" w:color="auto"/>
      </w:divBdr>
    </w:div>
    <w:div w:id="618495109">
      <w:bodyDiv w:val="1"/>
      <w:marLeft w:val="0"/>
      <w:marRight w:val="0"/>
      <w:marTop w:val="0"/>
      <w:marBottom w:val="0"/>
      <w:divBdr>
        <w:top w:val="none" w:sz="0" w:space="0" w:color="auto"/>
        <w:left w:val="none" w:sz="0" w:space="0" w:color="auto"/>
        <w:bottom w:val="none" w:sz="0" w:space="0" w:color="auto"/>
        <w:right w:val="none" w:sz="0" w:space="0" w:color="auto"/>
      </w:divBdr>
    </w:div>
    <w:div w:id="619725038">
      <w:bodyDiv w:val="1"/>
      <w:marLeft w:val="0"/>
      <w:marRight w:val="0"/>
      <w:marTop w:val="0"/>
      <w:marBottom w:val="0"/>
      <w:divBdr>
        <w:top w:val="none" w:sz="0" w:space="0" w:color="auto"/>
        <w:left w:val="none" w:sz="0" w:space="0" w:color="auto"/>
        <w:bottom w:val="none" w:sz="0" w:space="0" w:color="auto"/>
        <w:right w:val="none" w:sz="0" w:space="0" w:color="auto"/>
      </w:divBdr>
    </w:div>
    <w:div w:id="622661965">
      <w:bodyDiv w:val="1"/>
      <w:marLeft w:val="0"/>
      <w:marRight w:val="0"/>
      <w:marTop w:val="0"/>
      <w:marBottom w:val="0"/>
      <w:divBdr>
        <w:top w:val="none" w:sz="0" w:space="0" w:color="auto"/>
        <w:left w:val="none" w:sz="0" w:space="0" w:color="auto"/>
        <w:bottom w:val="none" w:sz="0" w:space="0" w:color="auto"/>
        <w:right w:val="none" w:sz="0" w:space="0" w:color="auto"/>
      </w:divBdr>
    </w:div>
    <w:div w:id="624238671">
      <w:bodyDiv w:val="1"/>
      <w:marLeft w:val="0"/>
      <w:marRight w:val="0"/>
      <w:marTop w:val="0"/>
      <w:marBottom w:val="0"/>
      <w:divBdr>
        <w:top w:val="none" w:sz="0" w:space="0" w:color="auto"/>
        <w:left w:val="none" w:sz="0" w:space="0" w:color="auto"/>
        <w:bottom w:val="none" w:sz="0" w:space="0" w:color="auto"/>
        <w:right w:val="none" w:sz="0" w:space="0" w:color="auto"/>
      </w:divBdr>
    </w:div>
    <w:div w:id="626350169">
      <w:bodyDiv w:val="1"/>
      <w:marLeft w:val="0"/>
      <w:marRight w:val="0"/>
      <w:marTop w:val="0"/>
      <w:marBottom w:val="0"/>
      <w:divBdr>
        <w:top w:val="none" w:sz="0" w:space="0" w:color="auto"/>
        <w:left w:val="none" w:sz="0" w:space="0" w:color="auto"/>
        <w:bottom w:val="none" w:sz="0" w:space="0" w:color="auto"/>
        <w:right w:val="none" w:sz="0" w:space="0" w:color="auto"/>
      </w:divBdr>
    </w:div>
    <w:div w:id="641815870">
      <w:bodyDiv w:val="1"/>
      <w:marLeft w:val="0"/>
      <w:marRight w:val="0"/>
      <w:marTop w:val="0"/>
      <w:marBottom w:val="0"/>
      <w:divBdr>
        <w:top w:val="none" w:sz="0" w:space="0" w:color="auto"/>
        <w:left w:val="none" w:sz="0" w:space="0" w:color="auto"/>
        <w:bottom w:val="none" w:sz="0" w:space="0" w:color="auto"/>
        <w:right w:val="none" w:sz="0" w:space="0" w:color="auto"/>
      </w:divBdr>
    </w:div>
    <w:div w:id="646054575">
      <w:bodyDiv w:val="1"/>
      <w:marLeft w:val="0"/>
      <w:marRight w:val="0"/>
      <w:marTop w:val="0"/>
      <w:marBottom w:val="0"/>
      <w:divBdr>
        <w:top w:val="none" w:sz="0" w:space="0" w:color="auto"/>
        <w:left w:val="none" w:sz="0" w:space="0" w:color="auto"/>
        <w:bottom w:val="none" w:sz="0" w:space="0" w:color="auto"/>
        <w:right w:val="none" w:sz="0" w:space="0" w:color="auto"/>
      </w:divBdr>
    </w:div>
    <w:div w:id="648099693">
      <w:bodyDiv w:val="1"/>
      <w:marLeft w:val="0"/>
      <w:marRight w:val="0"/>
      <w:marTop w:val="0"/>
      <w:marBottom w:val="0"/>
      <w:divBdr>
        <w:top w:val="none" w:sz="0" w:space="0" w:color="auto"/>
        <w:left w:val="none" w:sz="0" w:space="0" w:color="auto"/>
        <w:bottom w:val="none" w:sz="0" w:space="0" w:color="auto"/>
        <w:right w:val="none" w:sz="0" w:space="0" w:color="auto"/>
      </w:divBdr>
      <w:divsChild>
        <w:div w:id="108083160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667516737">
      <w:bodyDiv w:val="1"/>
      <w:marLeft w:val="0"/>
      <w:marRight w:val="0"/>
      <w:marTop w:val="0"/>
      <w:marBottom w:val="0"/>
      <w:divBdr>
        <w:top w:val="none" w:sz="0" w:space="0" w:color="auto"/>
        <w:left w:val="none" w:sz="0" w:space="0" w:color="auto"/>
        <w:bottom w:val="none" w:sz="0" w:space="0" w:color="auto"/>
        <w:right w:val="none" w:sz="0" w:space="0" w:color="auto"/>
      </w:divBdr>
    </w:div>
    <w:div w:id="668800602">
      <w:bodyDiv w:val="1"/>
      <w:marLeft w:val="0"/>
      <w:marRight w:val="0"/>
      <w:marTop w:val="0"/>
      <w:marBottom w:val="0"/>
      <w:divBdr>
        <w:top w:val="none" w:sz="0" w:space="0" w:color="auto"/>
        <w:left w:val="none" w:sz="0" w:space="0" w:color="auto"/>
        <w:bottom w:val="none" w:sz="0" w:space="0" w:color="auto"/>
        <w:right w:val="none" w:sz="0" w:space="0" w:color="auto"/>
      </w:divBdr>
      <w:divsChild>
        <w:div w:id="154502027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671566883">
      <w:bodyDiv w:val="1"/>
      <w:marLeft w:val="0"/>
      <w:marRight w:val="0"/>
      <w:marTop w:val="0"/>
      <w:marBottom w:val="0"/>
      <w:divBdr>
        <w:top w:val="none" w:sz="0" w:space="0" w:color="auto"/>
        <w:left w:val="none" w:sz="0" w:space="0" w:color="auto"/>
        <w:bottom w:val="none" w:sz="0" w:space="0" w:color="auto"/>
        <w:right w:val="none" w:sz="0" w:space="0" w:color="auto"/>
      </w:divBdr>
    </w:div>
    <w:div w:id="683366918">
      <w:bodyDiv w:val="1"/>
      <w:marLeft w:val="0"/>
      <w:marRight w:val="0"/>
      <w:marTop w:val="0"/>
      <w:marBottom w:val="0"/>
      <w:divBdr>
        <w:top w:val="none" w:sz="0" w:space="0" w:color="auto"/>
        <w:left w:val="none" w:sz="0" w:space="0" w:color="auto"/>
        <w:bottom w:val="none" w:sz="0" w:space="0" w:color="auto"/>
        <w:right w:val="none" w:sz="0" w:space="0" w:color="auto"/>
      </w:divBdr>
    </w:div>
    <w:div w:id="691763793">
      <w:bodyDiv w:val="1"/>
      <w:marLeft w:val="0"/>
      <w:marRight w:val="0"/>
      <w:marTop w:val="0"/>
      <w:marBottom w:val="0"/>
      <w:divBdr>
        <w:top w:val="none" w:sz="0" w:space="0" w:color="auto"/>
        <w:left w:val="none" w:sz="0" w:space="0" w:color="auto"/>
        <w:bottom w:val="none" w:sz="0" w:space="0" w:color="auto"/>
        <w:right w:val="none" w:sz="0" w:space="0" w:color="auto"/>
      </w:divBdr>
    </w:div>
    <w:div w:id="700935617">
      <w:bodyDiv w:val="1"/>
      <w:marLeft w:val="0"/>
      <w:marRight w:val="0"/>
      <w:marTop w:val="0"/>
      <w:marBottom w:val="0"/>
      <w:divBdr>
        <w:top w:val="none" w:sz="0" w:space="0" w:color="auto"/>
        <w:left w:val="none" w:sz="0" w:space="0" w:color="auto"/>
        <w:bottom w:val="none" w:sz="0" w:space="0" w:color="auto"/>
        <w:right w:val="none" w:sz="0" w:space="0" w:color="auto"/>
      </w:divBdr>
    </w:div>
    <w:div w:id="708842407">
      <w:bodyDiv w:val="1"/>
      <w:marLeft w:val="0"/>
      <w:marRight w:val="0"/>
      <w:marTop w:val="0"/>
      <w:marBottom w:val="0"/>
      <w:divBdr>
        <w:top w:val="none" w:sz="0" w:space="0" w:color="auto"/>
        <w:left w:val="none" w:sz="0" w:space="0" w:color="auto"/>
        <w:bottom w:val="none" w:sz="0" w:space="0" w:color="auto"/>
        <w:right w:val="none" w:sz="0" w:space="0" w:color="auto"/>
      </w:divBdr>
    </w:div>
    <w:div w:id="710500772">
      <w:bodyDiv w:val="1"/>
      <w:marLeft w:val="0"/>
      <w:marRight w:val="0"/>
      <w:marTop w:val="0"/>
      <w:marBottom w:val="0"/>
      <w:divBdr>
        <w:top w:val="none" w:sz="0" w:space="0" w:color="auto"/>
        <w:left w:val="none" w:sz="0" w:space="0" w:color="auto"/>
        <w:bottom w:val="none" w:sz="0" w:space="0" w:color="auto"/>
        <w:right w:val="none" w:sz="0" w:space="0" w:color="auto"/>
      </w:divBdr>
    </w:div>
    <w:div w:id="714349542">
      <w:bodyDiv w:val="1"/>
      <w:marLeft w:val="0"/>
      <w:marRight w:val="0"/>
      <w:marTop w:val="0"/>
      <w:marBottom w:val="0"/>
      <w:divBdr>
        <w:top w:val="none" w:sz="0" w:space="0" w:color="auto"/>
        <w:left w:val="none" w:sz="0" w:space="0" w:color="auto"/>
        <w:bottom w:val="none" w:sz="0" w:space="0" w:color="auto"/>
        <w:right w:val="none" w:sz="0" w:space="0" w:color="auto"/>
      </w:divBdr>
    </w:div>
    <w:div w:id="717776770">
      <w:bodyDiv w:val="1"/>
      <w:marLeft w:val="0"/>
      <w:marRight w:val="0"/>
      <w:marTop w:val="0"/>
      <w:marBottom w:val="0"/>
      <w:divBdr>
        <w:top w:val="none" w:sz="0" w:space="0" w:color="auto"/>
        <w:left w:val="none" w:sz="0" w:space="0" w:color="auto"/>
        <w:bottom w:val="none" w:sz="0" w:space="0" w:color="auto"/>
        <w:right w:val="none" w:sz="0" w:space="0" w:color="auto"/>
      </w:divBdr>
    </w:div>
    <w:div w:id="720709841">
      <w:bodyDiv w:val="1"/>
      <w:marLeft w:val="0"/>
      <w:marRight w:val="0"/>
      <w:marTop w:val="0"/>
      <w:marBottom w:val="0"/>
      <w:divBdr>
        <w:top w:val="none" w:sz="0" w:space="0" w:color="auto"/>
        <w:left w:val="none" w:sz="0" w:space="0" w:color="auto"/>
        <w:bottom w:val="none" w:sz="0" w:space="0" w:color="auto"/>
        <w:right w:val="none" w:sz="0" w:space="0" w:color="auto"/>
      </w:divBdr>
    </w:div>
    <w:div w:id="724109732">
      <w:bodyDiv w:val="1"/>
      <w:marLeft w:val="0"/>
      <w:marRight w:val="0"/>
      <w:marTop w:val="0"/>
      <w:marBottom w:val="0"/>
      <w:divBdr>
        <w:top w:val="none" w:sz="0" w:space="0" w:color="auto"/>
        <w:left w:val="none" w:sz="0" w:space="0" w:color="auto"/>
        <w:bottom w:val="none" w:sz="0" w:space="0" w:color="auto"/>
        <w:right w:val="none" w:sz="0" w:space="0" w:color="auto"/>
      </w:divBdr>
    </w:div>
    <w:div w:id="738286612">
      <w:bodyDiv w:val="1"/>
      <w:marLeft w:val="0"/>
      <w:marRight w:val="0"/>
      <w:marTop w:val="0"/>
      <w:marBottom w:val="0"/>
      <w:divBdr>
        <w:top w:val="none" w:sz="0" w:space="0" w:color="auto"/>
        <w:left w:val="none" w:sz="0" w:space="0" w:color="auto"/>
        <w:bottom w:val="none" w:sz="0" w:space="0" w:color="auto"/>
        <w:right w:val="none" w:sz="0" w:space="0" w:color="auto"/>
      </w:divBdr>
    </w:div>
    <w:div w:id="757940974">
      <w:bodyDiv w:val="1"/>
      <w:marLeft w:val="0"/>
      <w:marRight w:val="0"/>
      <w:marTop w:val="0"/>
      <w:marBottom w:val="0"/>
      <w:divBdr>
        <w:top w:val="none" w:sz="0" w:space="0" w:color="auto"/>
        <w:left w:val="none" w:sz="0" w:space="0" w:color="auto"/>
        <w:bottom w:val="none" w:sz="0" w:space="0" w:color="auto"/>
        <w:right w:val="none" w:sz="0" w:space="0" w:color="auto"/>
      </w:divBdr>
    </w:div>
    <w:div w:id="761999217">
      <w:bodyDiv w:val="1"/>
      <w:marLeft w:val="0"/>
      <w:marRight w:val="0"/>
      <w:marTop w:val="0"/>
      <w:marBottom w:val="0"/>
      <w:divBdr>
        <w:top w:val="none" w:sz="0" w:space="0" w:color="auto"/>
        <w:left w:val="none" w:sz="0" w:space="0" w:color="auto"/>
        <w:bottom w:val="none" w:sz="0" w:space="0" w:color="auto"/>
        <w:right w:val="none" w:sz="0" w:space="0" w:color="auto"/>
      </w:divBdr>
    </w:div>
    <w:div w:id="764768266">
      <w:bodyDiv w:val="1"/>
      <w:marLeft w:val="0"/>
      <w:marRight w:val="0"/>
      <w:marTop w:val="0"/>
      <w:marBottom w:val="0"/>
      <w:divBdr>
        <w:top w:val="none" w:sz="0" w:space="0" w:color="auto"/>
        <w:left w:val="none" w:sz="0" w:space="0" w:color="auto"/>
        <w:bottom w:val="none" w:sz="0" w:space="0" w:color="auto"/>
        <w:right w:val="none" w:sz="0" w:space="0" w:color="auto"/>
      </w:divBdr>
    </w:div>
    <w:div w:id="768237028">
      <w:bodyDiv w:val="1"/>
      <w:marLeft w:val="0"/>
      <w:marRight w:val="0"/>
      <w:marTop w:val="0"/>
      <w:marBottom w:val="0"/>
      <w:divBdr>
        <w:top w:val="none" w:sz="0" w:space="0" w:color="auto"/>
        <w:left w:val="none" w:sz="0" w:space="0" w:color="auto"/>
        <w:bottom w:val="none" w:sz="0" w:space="0" w:color="auto"/>
        <w:right w:val="none" w:sz="0" w:space="0" w:color="auto"/>
      </w:divBdr>
    </w:div>
    <w:div w:id="807087457">
      <w:bodyDiv w:val="1"/>
      <w:marLeft w:val="0"/>
      <w:marRight w:val="0"/>
      <w:marTop w:val="0"/>
      <w:marBottom w:val="0"/>
      <w:divBdr>
        <w:top w:val="none" w:sz="0" w:space="0" w:color="auto"/>
        <w:left w:val="none" w:sz="0" w:space="0" w:color="auto"/>
        <w:bottom w:val="none" w:sz="0" w:space="0" w:color="auto"/>
        <w:right w:val="none" w:sz="0" w:space="0" w:color="auto"/>
      </w:divBdr>
    </w:div>
    <w:div w:id="816653977">
      <w:bodyDiv w:val="1"/>
      <w:marLeft w:val="0"/>
      <w:marRight w:val="0"/>
      <w:marTop w:val="0"/>
      <w:marBottom w:val="0"/>
      <w:divBdr>
        <w:top w:val="none" w:sz="0" w:space="0" w:color="auto"/>
        <w:left w:val="none" w:sz="0" w:space="0" w:color="auto"/>
        <w:bottom w:val="none" w:sz="0" w:space="0" w:color="auto"/>
        <w:right w:val="none" w:sz="0" w:space="0" w:color="auto"/>
      </w:divBdr>
    </w:div>
    <w:div w:id="838347014">
      <w:bodyDiv w:val="1"/>
      <w:marLeft w:val="0"/>
      <w:marRight w:val="0"/>
      <w:marTop w:val="0"/>
      <w:marBottom w:val="0"/>
      <w:divBdr>
        <w:top w:val="none" w:sz="0" w:space="0" w:color="auto"/>
        <w:left w:val="none" w:sz="0" w:space="0" w:color="auto"/>
        <w:bottom w:val="none" w:sz="0" w:space="0" w:color="auto"/>
        <w:right w:val="none" w:sz="0" w:space="0" w:color="auto"/>
      </w:divBdr>
      <w:divsChild>
        <w:div w:id="98138745">
          <w:blockQuote w:val="1"/>
          <w:marLeft w:val="720"/>
          <w:marRight w:val="720"/>
          <w:marTop w:val="0"/>
          <w:marBottom w:val="0"/>
          <w:divBdr>
            <w:top w:val="none" w:sz="0" w:space="0" w:color="auto"/>
            <w:left w:val="none" w:sz="0" w:space="0" w:color="auto"/>
            <w:bottom w:val="none" w:sz="0" w:space="0" w:color="auto"/>
            <w:right w:val="none" w:sz="0" w:space="0" w:color="auto"/>
          </w:divBdr>
          <w:divsChild>
            <w:div w:id="69920777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857696668">
      <w:bodyDiv w:val="1"/>
      <w:marLeft w:val="0"/>
      <w:marRight w:val="0"/>
      <w:marTop w:val="0"/>
      <w:marBottom w:val="0"/>
      <w:divBdr>
        <w:top w:val="none" w:sz="0" w:space="0" w:color="auto"/>
        <w:left w:val="none" w:sz="0" w:space="0" w:color="auto"/>
        <w:bottom w:val="none" w:sz="0" w:space="0" w:color="auto"/>
        <w:right w:val="none" w:sz="0" w:space="0" w:color="auto"/>
      </w:divBdr>
    </w:div>
    <w:div w:id="868106317">
      <w:bodyDiv w:val="1"/>
      <w:marLeft w:val="0"/>
      <w:marRight w:val="0"/>
      <w:marTop w:val="0"/>
      <w:marBottom w:val="0"/>
      <w:divBdr>
        <w:top w:val="none" w:sz="0" w:space="0" w:color="auto"/>
        <w:left w:val="none" w:sz="0" w:space="0" w:color="auto"/>
        <w:bottom w:val="none" w:sz="0" w:space="0" w:color="auto"/>
        <w:right w:val="none" w:sz="0" w:space="0" w:color="auto"/>
      </w:divBdr>
    </w:div>
    <w:div w:id="904802524">
      <w:bodyDiv w:val="1"/>
      <w:marLeft w:val="0"/>
      <w:marRight w:val="0"/>
      <w:marTop w:val="0"/>
      <w:marBottom w:val="0"/>
      <w:divBdr>
        <w:top w:val="none" w:sz="0" w:space="0" w:color="auto"/>
        <w:left w:val="none" w:sz="0" w:space="0" w:color="auto"/>
        <w:bottom w:val="none" w:sz="0" w:space="0" w:color="auto"/>
        <w:right w:val="none" w:sz="0" w:space="0" w:color="auto"/>
      </w:divBdr>
    </w:div>
    <w:div w:id="906109382">
      <w:bodyDiv w:val="1"/>
      <w:marLeft w:val="0"/>
      <w:marRight w:val="0"/>
      <w:marTop w:val="0"/>
      <w:marBottom w:val="0"/>
      <w:divBdr>
        <w:top w:val="none" w:sz="0" w:space="0" w:color="auto"/>
        <w:left w:val="none" w:sz="0" w:space="0" w:color="auto"/>
        <w:bottom w:val="none" w:sz="0" w:space="0" w:color="auto"/>
        <w:right w:val="none" w:sz="0" w:space="0" w:color="auto"/>
      </w:divBdr>
    </w:div>
    <w:div w:id="908879617">
      <w:bodyDiv w:val="1"/>
      <w:marLeft w:val="0"/>
      <w:marRight w:val="0"/>
      <w:marTop w:val="0"/>
      <w:marBottom w:val="0"/>
      <w:divBdr>
        <w:top w:val="none" w:sz="0" w:space="0" w:color="auto"/>
        <w:left w:val="none" w:sz="0" w:space="0" w:color="auto"/>
        <w:bottom w:val="none" w:sz="0" w:space="0" w:color="auto"/>
        <w:right w:val="none" w:sz="0" w:space="0" w:color="auto"/>
      </w:divBdr>
    </w:div>
    <w:div w:id="909539346">
      <w:bodyDiv w:val="1"/>
      <w:marLeft w:val="0"/>
      <w:marRight w:val="0"/>
      <w:marTop w:val="0"/>
      <w:marBottom w:val="0"/>
      <w:divBdr>
        <w:top w:val="none" w:sz="0" w:space="0" w:color="auto"/>
        <w:left w:val="none" w:sz="0" w:space="0" w:color="auto"/>
        <w:bottom w:val="none" w:sz="0" w:space="0" w:color="auto"/>
        <w:right w:val="none" w:sz="0" w:space="0" w:color="auto"/>
      </w:divBdr>
    </w:div>
    <w:div w:id="940726669">
      <w:bodyDiv w:val="1"/>
      <w:marLeft w:val="0"/>
      <w:marRight w:val="0"/>
      <w:marTop w:val="0"/>
      <w:marBottom w:val="0"/>
      <w:divBdr>
        <w:top w:val="none" w:sz="0" w:space="0" w:color="auto"/>
        <w:left w:val="none" w:sz="0" w:space="0" w:color="auto"/>
        <w:bottom w:val="none" w:sz="0" w:space="0" w:color="auto"/>
        <w:right w:val="none" w:sz="0" w:space="0" w:color="auto"/>
      </w:divBdr>
    </w:div>
    <w:div w:id="974413512">
      <w:bodyDiv w:val="1"/>
      <w:marLeft w:val="0"/>
      <w:marRight w:val="0"/>
      <w:marTop w:val="0"/>
      <w:marBottom w:val="0"/>
      <w:divBdr>
        <w:top w:val="none" w:sz="0" w:space="0" w:color="auto"/>
        <w:left w:val="none" w:sz="0" w:space="0" w:color="auto"/>
        <w:bottom w:val="none" w:sz="0" w:space="0" w:color="auto"/>
        <w:right w:val="none" w:sz="0" w:space="0" w:color="auto"/>
      </w:divBdr>
    </w:div>
    <w:div w:id="989167022">
      <w:bodyDiv w:val="1"/>
      <w:marLeft w:val="0"/>
      <w:marRight w:val="0"/>
      <w:marTop w:val="0"/>
      <w:marBottom w:val="0"/>
      <w:divBdr>
        <w:top w:val="none" w:sz="0" w:space="0" w:color="auto"/>
        <w:left w:val="none" w:sz="0" w:space="0" w:color="auto"/>
        <w:bottom w:val="none" w:sz="0" w:space="0" w:color="auto"/>
        <w:right w:val="none" w:sz="0" w:space="0" w:color="auto"/>
      </w:divBdr>
    </w:div>
    <w:div w:id="1014303691">
      <w:bodyDiv w:val="1"/>
      <w:marLeft w:val="0"/>
      <w:marRight w:val="0"/>
      <w:marTop w:val="0"/>
      <w:marBottom w:val="0"/>
      <w:divBdr>
        <w:top w:val="none" w:sz="0" w:space="0" w:color="auto"/>
        <w:left w:val="none" w:sz="0" w:space="0" w:color="auto"/>
        <w:bottom w:val="none" w:sz="0" w:space="0" w:color="auto"/>
        <w:right w:val="none" w:sz="0" w:space="0" w:color="auto"/>
      </w:divBdr>
    </w:div>
    <w:div w:id="1049257982">
      <w:bodyDiv w:val="1"/>
      <w:marLeft w:val="0"/>
      <w:marRight w:val="0"/>
      <w:marTop w:val="0"/>
      <w:marBottom w:val="0"/>
      <w:divBdr>
        <w:top w:val="none" w:sz="0" w:space="0" w:color="auto"/>
        <w:left w:val="none" w:sz="0" w:space="0" w:color="auto"/>
        <w:bottom w:val="none" w:sz="0" w:space="0" w:color="auto"/>
        <w:right w:val="none" w:sz="0" w:space="0" w:color="auto"/>
      </w:divBdr>
    </w:div>
    <w:div w:id="1062168586">
      <w:bodyDiv w:val="1"/>
      <w:marLeft w:val="0"/>
      <w:marRight w:val="0"/>
      <w:marTop w:val="0"/>
      <w:marBottom w:val="0"/>
      <w:divBdr>
        <w:top w:val="none" w:sz="0" w:space="0" w:color="auto"/>
        <w:left w:val="none" w:sz="0" w:space="0" w:color="auto"/>
        <w:bottom w:val="none" w:sz="0" w:space="0" w:color="auto"/>
        <w:right w:val="none" w:sz="0" w:space="0" w:color="auto"/>
      </w:divBdr>
    </w:div>
    <w:div w:id="1111320724">
      <w:bodyDiv w:val="1"/>
      <w:marLeft w:val="0"/>
      <w:marRight w:val="0"/>
      <w:marTop w:val="0"/>
      <w:marBottom w:val="0"/>
      <w:divBdr>
        <w:top w:val="none" w:sz="0" w:space="0" w:color="auto"/>
        <w:left w:val="none" w:sz="0" w:space="0" w:color="auto"/>
        <w:bottom w:val="none" w:sz="0" w:space="0" w:color="auto"/>
        <w:right w:val="none" w:sz="0" w:space="0" w:color="auto"/>
      </w:divBdr>
      <w:divsChild>
        <w:div w:id="1383866122">
          <w:blockQuote w:val="1"/>
          <w:marLeft w:val="720"/>
          <w:marRight w:val="720"/>
          <w:marTop w:val="0"/>
          <w:marBottom w:val="0"/>
          <w:divBdr>
            <w:top w:val="none" w:sz="0" w:space="0" w:color="auto"/>
            <w:left w:val="none" w:sz="0" w:space="0" w:color="auto"/>
            <w:bottom w:val="none" w:sz="0" w:space="0" w:color="auto"/>
            <w:right w:val="none" w:sz="0" w:space="0" w:color="auto"/>
          </w:divBdr>
          <w:divsChild>
            <w:div w:id="200496333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113129678">
      <w:bodyDiv w:val="1"/>
      <w:marLeft w:val="0"/>
      <w:marRight w:val="0"/>
      <w:marTop w:val="0"/>
      <w:marBottom w:val="0"/>
      <w:divBdr>
        <w:top w:val="none" w:sz="0" w:space="0" w:color="auto"/>
        <w:left w:val="none" w:sz="0" w:space="0" w:color="auto"/>
        <w:bottom w:val="none" w:sz="0" w:space="0" w:color="auto"/>
        <w:right w:val="none" w:sz="0" w:space="0" w:color="auto"/>
      </w:divBdr>
      <w:divsChild>
        <w:div w:id="17264904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15558360">
      <w:bodyDiv w:val="1"/>
      <w:marLeft w:val="0"/>
      <w:marRight w:val="0"/>
      <w:marTop w:val="0"/>
      <w:marBottom w:val="0"/>
      <w:divBdr>
        <w:top w:val="none" w:sz="0" w:space="0" w:color="auto"/>
        <w:left w:val="none" w:sz="0" w:space="0" w:color="auto"/>
        <w:bottom w:val="none" w:sz="0" w:space="0" w:color="auto"/>
        <w:right w:val="none" w:sz="0" w:space="0" w:color="auto"/>
      </w:divBdr>
    </w:div>
    <w:div w:id="1119495710">
      <w:bodyDiv w:val="1"/>
      <w:marLeft w:val="0"/>
      <w:marRight w:val="0"/>
      <w:marTop w:val="0"/>
      <w:marBottom w:val="0"/>
      <w:divBdr>
        <w:top w:val="none" w:sz="0" w:space="0" w:color="auto"/>
        <w:left w:val="none" w:sz="0" w:space="0" w:color="auto"/>
        <w:bottom w:val="none" w:sz="0" w:space="0" w:color="auto"/>
        <w:right w:val="none" w:sz="0" w:space="0" w:color="auto"/>
      </w:divBdr>
    </w:div>
    <w:div w:id="1123159003">
      <w:bodyDiv w:val="1"/>
      <w:marLeft w:val="0"/>
      <w:marRight w:val="0"/>
      <w:marTop w:val="0"/>
      <w:marBottom w:val="0"/>
      <w:divBdr>
        <w:top w:val="none" w:sz="0" w:space="0" w:color="auto"/>
        <w:left w:val="none" w:sz="0" w:space="0" w:color="auto"/>
        <w:bottom w:val="none" w:sz="0" w:space="0" w:color="auto"/>
        <w:right w:val="none" w:sz="0" w:space="0" w:color="auto"/>
      </w:divBdr>
    </w:div>
    <w:div w:id="1123688914">
      <w:bodyDiv w:val="1"/>
      <w:marLeft w:val="0"/>
      <w:marRight w:val="0"/>
      <w:marTop w:val="0"/>
      <w:marBottom w:val="0"/>
      <w:divBdr>
        <w:top w:val="none" w:sz="0" w:space="0" w:color="auto"/>
        <w:left w:val="none" w:sz="0" w:space="0" w:color="auto"/>
        <w:bottom w:val="none" w:sz="0" w:space="0" w:color="auto"/>
        <w:right w:val="none" w:sz="0" w:space="0" w:color="auto"/>
      </w:divBdr>
      <w:divsChild>
        <w:div w:id="773743374">
          <w:blockQuote w:val="1"/>
          <w:marLeft w:val="720"/>
          <w:marRight w:val="720"/>
          <w:marTop w:val="0"/>
          <w:marBottom w:val="0"/>
          <w:divBdr>
            <w:top w:val="none" w:sz="0" w:space="0" w:color="auto"/>
            <w:left w:val="none" w:sz="0" w:space="0" w:color="auto"/>
            <w:bottom w:val="none" w:sz="0" w:space="0" w:color="auto"/>
            <w:right w:val="none" w:sz="0" w:space="0" w:color="auto"/>
          </w:divBdr>
          <w:divsChild>
            <w:div w:id="1609896298">
              <w:blockQuote w:val="1"/>
              <w:marLeft w:val="720"/>
              <w:marRight w:val="720"/>
              <w:marTop w:val="0"/>
              <w:marBottom w:val="0"/>
              <w:divBdr>
                <w:top w:val="none" w:sz="0" w:space="0" w:color="auto"/>
                <w:left w:val="none" w:sz="0" w:space="0" w:color="auto"/>
                <w:bottom w:val="none" w:sz="0" w:space="0" w:color="auto"/>
                <w:right w:val="none" w:sz="0" w:space="0" w:color="auto"/>
              </w:divBdr>
              <w:divsChild>
                <w:div w:id="95564764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139611734">
      <w:bodyDiv w:val="1"/>
      <w:marLeft w:val="0"/>
      <w:marRight w:val="0"/>
      <w:marTop w:val="0"/>
      <w:marBottom w:val="0"/>
      <w:divBdr>
        <w:top w:val="none" w:sz="0" w:space="0" w:color="auto"/>
        <w:left w:val="none" w:sz="0" w:space="0" w:color="auto"/>
        <w:bottom w:val="none" w:sz="0" w:space="0" w:color="auto"/>
        <w:right w:val="none" w:sz="0" w:space="0" w:color="auto"/>
      </w:divBdr>
    </w:div>
    <w:div w:id="1143427831">
      <w:bodyDiv w:val="1"/>
      <w:marLeft w:val="0"/>
      <w:marRight w:val="0"/>
      <w:marTop w:val="0"/>
      <w:marBottom w:val="0"/>
      <w:divBdr>
        <w:top w:val="none" w:sz="0" w:space="0" w:color="auto"/>
        <w:left w:val="none" w:sz="0" w:space="0" w:color="auto"/>
        <w:bottom w:val="none" w:sz="0" w:space="0" w:color="auto"/>
        <w:right w:val="none" w:sz="0" w:space="0" w:color="auto"/>
      </w:divBdr>
    </w:div>
    <w:div w:id="1161123740">
      <w:bodyDiv w:val="1"/>
      <w:marLeft w:val="0"/>
      <w:marRight w:val="0"/>
      <w:marTop w:val="0"/>
      <w:marBottom w:val="0"/>
      <w:divBdr>
        <w:top w:val="none" w:sz="0" w:space="0" w:color="auto"/>
        <w:left w:val="none" w:sz="0" w:space="0" w:color="auto"/>
        <w:bottom w:val="none" w:sz="0" w:space="0" w:color="auto"/>
        <w:right w:val="none" w:sz="0" w:space="0" w:color="auto"/>
      </w:divBdr>
    </w:div>
    <w:div w:id="1172574366">
      <w:bodyDiv w:val="1"/>
      <w:marLeft w:val="0"/>
      <w:marRight w:val="0"/>
      <w:marTop w:val="0"/>
      <w:marBottom w:val="0"/>
      <w:divBdr>
        <w:top w:val="none" w:sz="0" w:space="0" w:color="auto"/>
        <w:left w:val="none" w:sz="0" w:space="0" w:color="auto"/>
        <w:bottom w:val="none" w:sz="0" w:space="0" w:color="auto"/>
        <w:right w:val="none" w:sz="0" w:space="0" w:color="auto"/>
      </w:divBdr>
    </w:div>
    <w:div w:id="1207329669">
      <w:bodyDiv w:val="1"/>
      <w:marLeft w:val="0"/>
      <w:marRight w:val="0"/>
      <w:marTop w:val="0"/>
      <w:marBottom w:val="0"/>
      <w:divBdr>
        <w:top w:val="none" w:sz="0" w:space="0" w:color="auto"/>
        <w:left w:val="none" w:sz="0" w:space="0" w:color="auto"/>
        <w:bottom w:val="none" w:sz="0" w:space="0" w:color="auto"/>
        <w:right w:val="none" w:sz="0" w:space="0" w:color="auto"/>
      </w:divBdr>
    </w:div>
    <w:div w:id="1222449513">
      <w:bodyDiv w:val="1"/>
      <w:marLeft w:val="0"/>
      <w:marRight w:val="0"/>
      <w:marTop w:val="0"/>
      <w:marBottom w:val="0"/>
      <w:divBdr>
        <w:top w:val="none" w:sz="0" w:space="0" w:color="auto"/>
        <w:left w:val="none" w:sz="0" w:space="0" w:color="auto"/>
        <w:bottom w:val="none" w:sz="0" w:space="0" w:color="auto"/>
        <w:right w:val="none" w:sz="0" w:space="0" w:color="auto"/>
      </w:divBdr>
    </w:div>
    <w:div w:id="1225608731">
      <w:bodyDiv w:val="1"/>
      <w:marLeft w:val="0"/>
      <w:marRight w:val="0"/>
      <w:marTop w:val="0"/>
      <w:marBottom w:val="0"/>
      <w:divBdr>
        <w:top w:val="none" w:sz="0" w:space="0" w:color="auto"/>
        <w:left w:val="none" w:sz="0" w:space="0" w:color="auto"/>
        <w:bottom w:val="none" w:sz="0" w:space="0" w:color="auto"/>
        <w:right w:val="none" w:sz="0" w:space="0" w:color="auto"/>
      </w:divBdr>
    </w:div>
    <w:div w:id="1226406028">
      <w:bodyDiv w:val="1"/>
      <w:marLeft w:val="0"/>
      <w:marRight w:val="0"/>
      <w:marTop w:val="0"/>
      <w:marBottom w:val="0"/>
      <w:divBdr>
        <w:top w:val="none" w:sz="0" w:space="0" w:color="auto"/>
        <w:left w:val="none" w:sz="0" w:space="0" w:color="auto"/>
        <w:bottom w:val="none" w:sz="0" w:space="0" w:color="auto"/>
        <w:right w:val="none" w:sz="0" w:space="0" w:color="auto"/>
      </w:divBdr>
    </w:div>
    <w:div w:id="1226530345">
      <w:bodyDiv w:val="1"/>
      <w:marLeft w:val="0"/>
      <w:marRight w:val="0"/>
      <w:marTop w:val="0"/>
      <w:marBottom w:val="0"/>
      <w:divBdr>
        <w:top w:val="none" w:sz="0" w:space="0" w:color="auto"/>
        <w:left w:val="none" w:sz="0" w:space="0" w:color="auto"/>
        <w:bottom w:val="none" w:sz="0" w:space="0" w:color="auto"/>
        <w:right w:val="none" w:sz="0" w:space="0" w:color="auto"/>
      </w:divBdr>
    </w:div>
    <w:div w:id="1259756841">
      <w:bodyDiv w:val="1"/>
      <w:marLeft w:val="0"/>
      <w:marRight w:val="0"/>
      <w:marTop w:val="0"/>
      <w:marBottom w:val="0"/>
      <w:divBdr>
        <w:top w:val="none" w:sz="0" w:space="0" w:color="auto"/>
        <w:left w:val="none" w:sz="0" w:space="0" w:color="auto"/>
        <w:bottom w:val="none" w:sz="0" w:space="0" w:color="auto"/>
        <w:right w:val="none" w:sz="0" w:space="0" w:color="auto"/>
      </w:divBdr>
    </w:div>
    <w:div w:id="1280643164">
      <w:bodyDiv w:val="1"/>
      <w:marLeft w:val="0"/>
      <w:marRight w:val="0"/>
      <w:marTop w:val="0"/>
      <w:marBottom w:val="0"/>
      <w:divBdr>
        <w:top w:val="none" w:sz="0" w:space="0" w:color="auto"/>
        <w:left w:val="none" w:sz="0" w:space="0" w:color="auto"/>
        <w:bottom w:val="none" w:sz="0" w:space="0" w:color="auto"/>
        <w:right w:val="none" w:sz="0" w:space="0" w:color="auto"/>
      </w:divBdr>
    </w:div>
    <w:div w:id="1290280743">
      <w:bodyDiv w:val="1"/>
      <w:marLeft w:val="0"/>
      <w:marRight w:val="0"/>
      <w:marTop w:val="0"/>
      <w:marBottom w:val="0"/>
      <w:divBdr>
        <w:top w:val="none" w:sz="0" w:space="0" w:color="auto"/>
        <w:left w:val="none" w:sz="0" w:space="0" w:color="auto"/>
        <w:bottom w:val="none" w:sz="0" w:space="0" w:color="auto"/>
        <w:right w:val="none" w:sz="0" w:space="0" w:color="auto"/>
      </w:divBdr>
    </w:div>
    <w:div w:id="1318144291">
      <w:bodyDiv w:val="1"/>
      <w:marLeft w:val="0"/>
      <w:marRight w:val="0"/>
      <w:marTop w:val="0"/>
      <w:marBottom w:val="0"/>
      <w:divBdr>
        <w:top w:val="none" w:sz="0" w:space="0" w:color="auto"/>
        <w:left w:val="none" w:sz="0" w:space="0" w:color="auto"/>
        <w:bottom w:val="none" w:sz="0" w:space="0" w:color="auto"/>
        <w:right w:val="none" w:sz="0" w:space="0" w:color="auto"/>
      </w:divBdr>
    </w:div>
    <w:div w:id="1321542222">
      <w:bodyDiv w:val="1"/>
      <w:marLeft w:val="0"/>
      <w:marRight w:val="0"/>
      <w:marTop w:val="0"/>
      <w:marBottom w:val="0"/>
      <w:divBdr>
        <w:top w:val="none" w:sz="0" w:space="0" w:color="auto"/>
        <w:left w:val="none" w:sz="0" w:space="0" w:color="auto"/>
        <w:bottom w:val="none" w:sz="0" w:space="0" w:color="auto"/>
        <w:right w:val="none" w:sz="0" w:space="0" w:color="auto"/>
      </w:divBdr>
    </w:div>
    <w:div w:id="1351444802">
      <w:bodyDiv w:val="1"/>
      <w:marLeft w:val="0"/>
      <w:marRight w:val="0"/>
      <w:marTop w:val="0"/>
      <w:marBottom w:val="0"/>
      <w:divBdr>
        <w:top w:val="none" w:sz="0" w:space="0" w:color="auto"/>
        <w:left w:val="none" w:sz="0" w:space="0" w:color="auto"/>
        <w:bottom w:val="none" w:sz="0" w:space="0" w:color="auto"/>
        <w:right w:val="none" w:sz="0" w:space="0" w:color="auto"/>
      </w:divBdr>
    </w:div>
    <w:div w:id="1368414541">
      <w:bodyDiv w:val="1"/>
      <w:marLeft w:val="0"/>
      <w:marRight w:val="0"/>
      <w:marTop w:val="0"/>
      <w:marBottom w:val="0"/>
      <w:divBdr>
        <w:top w:val="none" w:sz="0" w:space="0" w:color="auto"/>
        <w:left w:val="none" w:sz="0" w:space="0" w:color="auto"/>
        <w:bottom w:val="none" w:sz="0" w:space="0" w:color="auto"/>
        <w:right w:val="none" w:sz="0" w:space="0" w:color="auto"/>
      </w:divBdr>
    </w:div>
    <w:div w:id="1377655782">
      <w:bodyDiv w:val="1"/>
      <w:marLeft w:val="0"/>
      <w:marRight w:val="0"/>
      <w:marTop w:val="0"/>
      <w:marBottom w:val="0"/>
      <w:divBdr>
        <w:top w:val="none" w:sz="0" w:space="0" w:color="auto"/>
        <w:left w:val="none" w:sz="0" w:space="0" w:color="auto"/>
        <w:bottom w:val="none" w:sz="0" w:space="0" w:color="auto"/>
        <w:right w:val="none" w:sz="0" w:space="0" w:color="auto"/>
      </w:divBdr>
    </w:div>
    <w:div w:id="1381974019">
      <w:bodyDiv w:val="1"/>
      <w:marLeft w:val="0"/>
      <w:marRight w:val="0"/>
      <w:marTop w:val="0"/>
      <w:marBottom w:val="0"/>
      <w:divBdr>
        <w:top w:val="none" w:sz="0" w:space="0" w:color="auto"/>
        <w:left w:val="none" w:sz="0" w:space="0" w:color="auto"/>
        <w:bottom w:val="none" w:sz="0" w:space="0" w:color="auto"/>
        <w:right w:val="none" w:sz="0" w:space="0" w:color="auto"/>
      </w:divBdr>
    </w:div>
    <w:div w:id="1403092665">
      <w:bodyDiv w:val="1"/>
      <w:marLeft w:val="0"/>
      <w:marRight w:val="0"/>
      <w:marTop w:val="0"/>
      <w:marBottom w:val="0"/>
      <w:divBdr>
        <w:top w:val="none" w:sz="0" w:space="0" w:color="auto"/>
        <w:left w:val="none" w:sz="0" w:space="0" w:color="auto"/>
        <w:bottom w:val="none" w:sz="0" w:space="0" w:color="auto"/>
        <w:right w:val="none" w:sz="0" w:space="0" w:color="auto"/>
      </w:divBdr>
    </w:div>
    <w:div w:id="1410999900">
      <w:bodyDiv w:val="1"/>
      <w:marLeft w:val="0"/>
      <w:marRight w:val="0"/>
      <w:marTop w:val="0"/>
      <w:marBottom w:val="0"/>
      <w:divBdr>
        <w:top w:val="none" w:sz="0" w:space="0" w:color="auto"/>
        <w:left w:val="none" w:sz="0" w:space="0" w:color="auto"/>
        <w:bottom w:val="none" w:sz="0" w:space="0" w:color="auto"/>
        <w:right w:val="none" w:sz="0" w:space="0" w:color="auto"/>
      </w:divBdr>
      <w:divsChild>
        <w:div w:id="2113088840">
          <w:blockQuote w:val="1"/>
          <w:marLeft w:val="720"/>
          <w:marRight w:val="720"/>
          <w:marTop w:val="0"/>
          <w:marBottom w:val="0"/>
          <w:divBdr>
            <w:top w:val="none" w:sz="0" w:space="0" w:color="auto"/>
            <w:left w:val="none" w:sz="0" w:space="0" w:color="auto"/>
            <w:bottom w:val="none" w:sz="0" w:space="0" w:color="auto"/>
            <w:right w:val="none" w:sz="0" w:space="0" w:color="auto"/>
          </w:divBdr>
        </w:div>
        <w:div w:id="703292153">
          <w:blockQuote w:val="1"/>
          <w:marLeft w:val="720"/>
          <w:marRight w:val="720"/>
          <w:marTop w:val="0"/>
          <w:marBottom w:val="0"/>
          <w:divBdr>
            <w:top w:val="none" w:sz="0" w:space="0" w:color="auto"/>
            <w:left w:val="none" w:sz="0" w:space="0" w:color="auto"/>
            <w:bottom w:val="none" w:sz="0" w:space="0" w:color="auto"/>
            <w:right w:val="none" w:sz="0" w:space="0" w:color="auto"/>
          </w:divBdr>
        </w:div>
        <w:div w:id="55771480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420253693">
      <w:bodyDiv w:val="1"/>
      <w:marLeft w:val="0"/>
      <w:marRight w:val="0"/>
      <w:marTop w:val="0"/>
      <w:marBottom w:val="0"/>
      <w:divBdr>
        <w:top w:val="none" w:sz="0" w:space="0" w:color="auto"/>
        <w:left w:val="none" w:sz="0" w:space="0" w:color="auto"/>
        <w:bottom w:val="none" w:sz="0" w:space="0" w:color="auto"/>
        <w:right w:val="none" w:sz="0" w:space="0" w:color="auto"/>
      </w:divBdr>
    </w:div>
    <w:div w:id="1446460231">
      <w:bodyDiv w:val="1"/>
      <w:marLeft w:val="0"/>
      <w:marRight w:val="0"/>
      <w:marTop w:val="0"/>
      <w:marBottom w:val="0"/>
      <w:divBdr>
        <w:top w:val="none" w:sz="0" w:space="0" w:color="auto"/>
        <w:left w:val="none" w:sz="0" w:space="0" w:color="auto"/>
        <w:bottom w:val="none" w:sz="0" w:space="0" w:color="auto"/>
        <w:right w:val="none" w:sz="0" w:space="0" w:color="auto"/>
      </w:divBdr>
    </w:div>
    <w:div w:id="1469397855">
      <w:bodyDiv w:val="1"/>
      <w:marLeft w:val="0"/>
      <w:marRight w:val="0"/>
      <w:marTop w:val="0"/>
      <w:marBottom w:val="0"/>
      <w:divBdr>
        <w:top w:val="none" w:sz="0" w:space="0" w:color="auto"/>
        <w:left w:val="none" w:sz="0" w:space="0" w:color="auto"/>
        <w:bottom w:val="none" w:sz="0" w:space="0" w:color="auto"/>
        <w:right w:val="none" w:sz="0" w:space="0" w:color="auto"/>
      </w:divBdr>
      <w:divsChild>
        <w:div w:id="2049604297">
          <w:blockQuote w:val="1"/>
          <w:marLeft w:val="720"/>
          <w:marRight w:val="720"/>
          <w:marTop w:val="0"/>
          <w:marBottom w:val="0"/>
          <w:divBdr>
            <w:top w:val="none" w:sz="0" w:space="0" w:color="auto"/>
            <w:left w:val="none" w:sz="0" w:space="0" w:color="auto"/>
            <w:bottom w:val="none" w:sz="0" w:space="0" w:color="auto"/>
            <w:right w:val="none" w:sz="0" w:space="0" w:color="auto"/>
          </w:divBdr>
          <w:divsChild>
            <w:div w:id="97834421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3291512">
          <w:blockQuote w:val="1"/>
          <w:marLeft w:val="720"/>
          <w:marRight w:val="720"/>
          <w:marTop w:val="0"/>
          <w:marBottom w:val="0"/>
          <w:divBdr>
            <w:top w:val="none" w:sz="0" w:space="0" w:color="auto"/>
            <w:left w:val="none" w:sz="0" w:space="0" w:color="auto"/>
            <w:bottom w:val="none" w:sz="0" w:space="0" w:color="auto"/>
            <w:right w:val="none" w:sz="0" w:space="0" w:color="auto"/>
          </w:divBdr>
          <w:divsChild>
            <w:div w:id="4650517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470440219">
      <w:bodyDiv w:val="1"/>
      <w:marLeft w:val="0"/>
      <w:marRight w:val="0"/>
      <w:marTop w:val="0"/>
      <w:marBottom w:val="0"/>
      <w:divBdr>
        <w:top w:val="none" w:sz="0" w:space="0" w:color="auto"/>
        <w:left w:val="none" w:sz="0" w:space="0" w:color="auto"/>
        <w:bottom w:val="none" w:sz="0" w:space="0" w:color="auto"/>
        <w:right w:val="none" w:sz="0" w:space="0" w:color="auto"/>
      </w:divBdr>
    </w:div>
    <w:div w:id="1470825288">
      <w:bodyDiv w:val="1"/>
      <w:marLeft w:val="0"/>
      <w:marRight w:val="0"/>
      <w:marTop w:val="0"/>
      <w:marBottom w:val="0"/>
      <w:divBdr>
        <w:top w:val="none" w:sz="0" w:space="0" w:color="auto"/>
        <w:left w:val="none" w:sz="0" w:space="0" w:color="auto"/>
        <w:bottom w:val="none" w:sz="0" w:space="0" w:color="auto"/>
        <w:right w:val="none" w:sz="0" w:space="0" w:color="auto"/>
      </w:divBdr>
    </w:div>
    <w:div w:id="1476529092">
      <w:bodyDiv w:val="1"/>
      <w:marLeft w:val="0"/>
      <w:marRight w:val="0"/>
      <w:marTop w:val="0"/>
      <w:marBottom w:val="0"/>
      <w:divBdr>
        <w:top w:val="none" w:sz="0" w:space="0" w:color="auto"/>
        <w:left w:val="none" w:sz="0" w:space="0" w:color="auto"/>
        <w:bottom w:val="none" w:sz="0" w:space="0" w:color="auto"/>
        <w:right w:val="none" w:sz="0" w:space="0" w:color="auto"/>
      </w:divBdr>
      <w:divsChild>
        <w:div w:id="64220094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481384867">
      <w:bodyDiv w:val="1"/>
      <w:marLeft w:val="0"/>
      <w:marRight w:val="0"/>
      <w:marTop w:val="0"/>
      <w:marBottom w:val="0"/>
      <w:divBdr>
        <w:top w:val="none" w:sz="0" w:space="0" w:color="auto"/>
        <w:left w:val="none" w:sz="0" w:space="0" w:color="auto"/>
        <w:bottom w:val="none" w:sz="0" w:space="0" w:color="auto"/>
        <w:right w:val="none" w:sz="0" w:space="0" w:color="auto"/>
      </w:divBdr>
    </w:div>
    <w:div w:id="1491403255">
      <w:bodyDiv w:val="1"/>
      <w:marLeft w:val="0"/>
      <w:marRight w:val="0"/>
      <w:marTop w:val="0"/>
      <w:marBottom w:val="0"/>
      <w:divBdr>
        <w:top w:val="none" w:sz="0" w:space="0" w:color="auto"/>
        <w:left w:val="none" w:sz="0" w:space="0" w:color="auto"/>
        <w:bottom w:val="none" w:sz="0" w:space="0" w:color="auto"/>
        <w:right w:val="none" w:sz="0" w:space="0" w:color="auto"/>
      </w:divBdr>
    </w:div>
    <w:div w:id="1549295843">
      <w:bodyDiv w:val="1"/>
      <w:marLeft w:val="0"/>
      <w:marRight w:val="0"/>
      <w:marTop w:val="0"/>
      <w:marBottom w:val="0"/>
      <w:divBdr>
        <w:top w:val="none" w:sz="0" w:space="0" w:color="auto"/>
        <w:left w:val="none" w:sz="0" w:space="0" w:color="auto"/>
        <w:bottom w:val="none" w:sz="0" w:space="0" w:color="auto"/>
        <w:right w:val="none" w:sz="0" w:space="0" w:color="auto"/>
      </w:divBdr>
    </w:div>
    <w:div w:id="1551569909">
      <w:bodyDiv w:val="1"/>
      <w:marLeft w:val="0"/>
      <w:marRight w:val="0"/>
      <w:marTop w:val="0"/>
      <w:marBottom w:val="0"/>
      <w:divBdr>
        <w:top w:val="none" w:sz="0" w:space="0" w:color="auto"/>
        <w:left w:val="none" w:sz="0" w:space="0" w:color="auto"/>
        <w:bottom w:val="none" w:sz="0" w:space="0" w:color="auto"/>
        <w:right w:val="none" w:sz="0" w:space="0" w:color="auto"/>
      </w:divBdr>
    </w:div>
    <w:div w:id="1611164497">
      <w:bodyDiv w:val="1"/>
      <w:marLeft w:val="0"/>
      <w:marRight w:val="0"/>
      <w:marTop w:val="0"/>
      <w:marBottom w:val="0"/>
      <w:divBdr>
        <w:top w:val="none" w:sz="0" w:space="0" w:color="auto"/>
        <w:left w:val="none" w:sz="0" w:space="0" w:color="auto"/>
        <w:bottom w:val="none" w:sz="0" w:space="0" w:color="auto"/>
        <w:right w:val="none" w:sz="0" w:space="0" w:color="auto"/>
      </w:divBdr>
    </w:div>
    <w:div w:id="1620797460">
      <w:bodyDiv w:val="1"/>
      <w:marLeft w:val="0"/>
      <w:marRight w:val="0"/>
      <w:marTop w:val="0"/>
      <w:marBottom w:val="0"/>
      <w:divBdr>
        <w:top w:val="none" w:sz="0" w:space="0" w:color="auto"/>
        <w:left w:val="none" w:sz="0" w:space="0" w:color="auto"/>
        <w:bottom w:val="none" w:sz="0" w:space="0" w:color="auto"/>
        <w:right w:val="none" w:sz="0" w:space="0" w:color="auto"/>
      </w:divBdr>
    </w:div>
    <w:div w:id="1648783160">
      <w:bodyDiv w:val="1"/>
      <w:marLeft w:val="0"/>
      <w:marRight w:val="0"/>
      <w:marTop w:val="0"/>
      <w:marBottom w:val="0"/>
      <w:divBdr>
        <w:top w:val="none" w:sz="0" w:space="0" w:color="auto"/>
        <w:left w:val="none" w:sz="0" w:space="0" w:color="auto"/>
        <w:bottom w:val="none" w:sz="0" w:space="0" w:color="auto"/>
        <w:right w:val="none" w:sz="0" w:space="0" w:color="auto"/>
      </w:divBdr>
    </w:div>
    <w:div w:id="1657998954">
      <w:bodyDiv w:val="1"/>
      <w:marLeft w:val="0"/>
      <w:marRight w:val="0"/>
      <w:marTop w:val="0"/>
      <w:marBottom w:val="0"/>
      <w:divBdr>
        <w:top w:val="none" w:sz="0" w:space="0" w:color="auto"/>
        <w:left w:val="none" w:sz="0" w:space="0" w:color="auto"/>
        <w:bottom w:val="none" w:sz="0" w:space="0" w:color="auto"/>
        <w:right w:val="none" w:sz="0" w:space="0" w:color="auto"/>
      </w:divBdr>
    </w:div>
    <w:div w:id="1659115500">
      <w:bodyDiv w:val="1"/>
      <w:marLeft w:val="0"/>
      <w:marRight w:val="0"/>
      <w:marTop w:val="0"/>
      <w:marBottom w:val="0"/>
      <w:divBdr>
        <w:top w:val="none" w:sz="0" w:space="0" w:color="auto"/>
        <w:left w:val="none" w:sz="0" w:space="0" w:color="auto"/>
        <w:bottom w:val="none" w:sz="0" w:space="0" w:color="auto"/>
        <w:right w:val="none" w:sz="0" w:space="0" w:color="auto"/>
      </w:divBdr>
    </w:div>
    <w:div w:id="1659919605">
      <w:bodyDiv w:val="1"/>
      <w:marLeft w:val="0"/>
      <w:marRight w:val="0"/>
      <w:marTop w:val="0"/>
      <w:marBottom w:val="0"/>
      <w:divBdr>
        <w:top w:val="none" w:sz="0" w:space="0" w:color="auto"/>
        <w:left w:val="none" w:sz="0" w:space="0" w:color="auto"/>
        <w:bottom w:val="none" w:sz="0" w:space="0" w:color="auto"/>
        <w:right w:val="none" w:sz="0" w:space="0" w:color="auto"/>
      </w:divBdr>
    </w:div>
    <w:div w:id="1674718607">
      <w:bodyDiv w:val="1"/>
      <w:marLeft w:val="0"/>
      <w:marRight w:val="0"/>
      <w:marTop w:val="0"/>
      <w:marBottom w:val="0"/>
      <w:divBdr>
        <w:top w:val="none" w:sz="0" w:space="0" w:color="auto"/>
        <w:left w:val="none" w:sz="0" w:space="0" w:color="auto"/>
        <w:bottom w:val="none" w:sz="0" w:space="0" w:color="auto"/>
        <w:right w:val="none" w:sz="0" w:space="0" w:color="auto"/>
      </w:divBdr>
    </w:div>
    <w:div w:id="1685593461">
      <w:bodyDiv w:val="1"/>
      <w:marLeft w:val="0"/>
      <w:marRight w:val="0"/>
      <w:marTop w:val="0"/>
      <w:marBottom w:val="0"/>
      <w:divBdr>
        <w:top w:val="none" w:sz="0" w:space="0" w:color="auto"/>
        <w:left w:val="none" w:sz="0" w:space="0" w:color="auto"/>
        <w:bottom w:val="none" w:sz="0" w:space="0" w:color="auto"/>
        <w:right w:val="none" w:sz="0" w:space="0" w:color="auto"/>
      </w:divBdr>
    </w:div>
    <w:div w:id="1707094669">
      <w:bodyDiv w:val="1"/>
      <w:marLeft w:val="0"/>
      <w:marRight w:val="0"/>
      <w:marTop w:val="0"/>
      <w:marBottom w:val="0"/>
      <w:divBdr>
        <w:top w:val="none" w:sz="0" w:space="0" w:color="auto"/>
        <w:left w:val="none" w:sz="0" w:space="0" w:color="auto"/>
        <w:bottom w:val="none" w:sz="0" w:space="0" w:color="auto"/>
        <w:right w:val="none" w:sz="0" w:space="0" w:color="auto"/>
      </w:divBdr>
    </w:div>
    <w:div w:id="1752894389">
      <w:bodyDiv w:val="1"/>
      <w:marLeft w:val="0"/>
      <w:marRight w:val="0"/>
      <w:marTop w:val="0"/>
      <w:marBottom w:val="0"/>
      <w:divBdr>
        <w:top w:val="none" w:sz="0" w:space="0" w:color="auto"/>
        <w:left w:val="none" w:sz="0" w:space="0" w:color="auto"/>
        <w:bottom w:val="none" w:sz="0" w:space="0" w:color="auto"/>
        <w:right w:val="none" w:sz="0" w:space="0" w:color="auto"/>
      </w:divBdr>
    </w:div>
    <w:div w:id="1766262135">
      <w:bodyDiv w:val="1"/>
      <w:marLeft w:val="0"/>
      <w:marRight w:val="0"/>
      <w:marTop w:val="0"/>
      <w:marBottom w:val="0"/>
      <w:divBdr>
        <w:top w:val="none" w:sz="0" w:space="0" w:color="auto"/>
        <w:left w:val="none" w:sz="0" w:space="0" w:color="auto"/>
        <w:bottom w:val="none" w:sz="0" w:space="0" w:color="auto"/>
        <w:right w:val="none" w:sz="0" w:space="0" w:color="auto"/>
      </w:divBdr>
    </w:div>
    <w:div w:id="1785269116">
      <w:bodyDiv w:val="1"/>
      <w:marLeft w:val="0"/>
      <w:marRight w:val="0"/>
      <w:marTop w:val="0"/>
      <w:marBottom w:val="0"/>
      <w:divBdr>
        <w:top w:val="none" w:sz="0" w:space="0" w:color="auto"/>
        <w:left w:val="none" w:sz="0" w:space="0" w:color="auto"/>
        <w:bottom w:val="none" w:sz="0" w:space="0" w:color="auto"/>
        <w:right w:val="none" w:sz="0" w:space="0" w:color="auto"/>
      </w:divBdr>
    </w:div>
    <w:div w:id="1813254977">
      <w:bodyDiv w:val="1"/>
      <w:marLeft w:val="0"/>
      <w:marRight w:val="0"/>
      <w:marTop w:val="0"/>
      <w:marBottom w:val="0"/>
      <w:divBdr>
        <w:top w:val="none" w:sz="0" w:space="0" w:color="auto"/>
        <w:left w:val="none" w:sz="0" w:space="0" w:color="auto"/>
        <w:bottom w:val="none" w:sz="0" w:space="0" w:color="auto"/>
        <w:right w:val="none" w:sz="0" w:space="0" w:color="auto"/>
      </w:divBdr>
    </w:div>
    <w:div w:id="1823503153">
      <w:bodyDiv w:val="1"/>
      <w:marLeft w:val="0"/>
      <w:marRight w:val="0"/>
      <w:marTop w:val="0"/>
      <w:marBottom w:val="0"/>
      <w:divBdr>
        <w:top w:val="none" w:sz="0" w:space="0" w:color="auto"/>
        <w:left w:val="none" w:sz="0" w:space="0" w:color="auto"/>
        <w:bottom w:val="none" w:sz="0" w:space="0" w:color="auto"/>
        <w:right w:val="none" w:sz="0" w:space="0" w:color="auto"/>
      </w:divBdr>
    </w:div>
    <w:div w:id="1827475043">
      <w:bodyDiv w:val="1"/>
      <w:marLeft w:val="0"/>
      <w:marRight w:val="0"/>
      <w:marTop w:val="0"/>
      <w:marBottom w:val="0"/>
      <w:divBdr>
        <w:top w:val="none" w:sz="0" w:space="0" w:color="auto"/>
        <w:left w:val="none" w:sz="0" w:space="0" w:color="auto"/>
        <w:bottom w:val="none" w:sz="0" w:space="0" w:color="auto"/>
        <w:right w:val="none" w:sz="0" w:space="0" w:color="auto"/>
      </w:divBdr>
    </w:div>
    <w:div w:id="1832985911">
      <w:bodyDiv w:val="1"/>
      <w:marLeft w:val="0"/>
      <w:marRight w:val="0"/>
      <w:marTop w:val="0"/>
      <w:marBottom w:val="0"/>
      <w:divBdr>
        <w:top w:val="none" w:sz="0" w:space="0" w:color="auto"/>
        <w:left w:val="none" w:sz="0" w:space="0" w:color="auto"/>
        <w:bottom w:val="none" w:sz="0" w:space="0" w:color="auto"/>
        <w:right w:val="none" w:sz="0" w:space="0" w:color="auto"/>
      </w:divBdr>
      <w:divsChild>
        <w:div w:id="873157601">
          <w:blockQuote w:val="1"/>
          <w:marLeft w:val="720"/>
          <w:marRight w:val="720"/>
          <w:marTop w:val="0"/>
          <w:marBottom w:val="0"/>
          <w:divBdr>
            <w:top w:val="none" w:sz="0" w:space="0" w:color="auto"/>
            <w:left w:val="none" w:sz="0" w:space="0" w:color="auto"/>
            <w:bottom w:val="none" w:sz="0" w:space="0" w:color="auto"/>
            <w:right w:val="none" w:sz="0" w:space="0" w:color="auto"/>
          </w:divBdr>
          <w:divsChild>
            <w:div w:id="53289031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833594460">
      <w:bodyDiv w:val="1"/>
      <w:marLeft w:val="0"/>
      <w:marRight w:val="0"/>
      <w:marTop w:val="0"/>
      <w:marBottom w:val="0"/>
      <w:divBdr>
        <w:top w:val="none" w:sz="0" w:space="0" w:color="auto"/>
        <w:left w:val="none" w:sz="0" w:space="0" w:color="auto"/>
        <w:bottom w:val="none" w:sz="0" w:space="0" w:color="auto"/>
        <w:right w:val="none" w:sz="0" w:space="0" w:color="auto"/>
      </w:divBdr>
    </w:div>
    <w:div w:id="1852527691">
      <w:bodyDiv w:val="1"/>
      <w:marLeft w:val="0"/>
      <w:marRight w:val="0"/>
      <w:marTop w:val="0"/>
      <w:marBottom w:val="0"/>
      <w:divBdr>
        <w:top w:val="none" w:sz="0" w:space="0" w:color="auto"/>
        <w:left w:val="none" w:sz="0" w:space="0" w:color="auto"/>
        <w:bottom w:val="none" w:sz="0" w:space="0" w:color="auto"/>
        <w:right w:val="none" w:sz="0" w:space="0" w:color="auto"/>
      </w:divBdr>
    </w:div>
    <w:div w:id="1853182857">
      <w:bodyDiv w:val="1"/>
      <w:marLeft w:val="0"/>
      <w:marRight w:val="0"/>
      <w:marTop w:val="0"/>
      <w:marBottom w:val="0"/>
      <w:divBdr>
        <w:top w:val="none" w:sz="0" w:space="0" w:color="auto"/>
        <w:left w:val="none" w:sz="0" w:space="0" w:color="auto"/>
        <w:bottom w:val="none" w:sz="0" w:space="0" w:color="auto"/>
        <w:right w:val="none" w:sz="0" w:space="0" w:color="auto"/>
      </w:divBdr>
    </w:div>
    <w:div w:id="1856655283">
      <w:bodyDiv w:val="1"/>
      <w:marLeft w:val="0"/>
      <w:marRight w:val="0"/>
      <w:marTop w:val="0"/>
      <w:marBottom w:val="0"/>
      <w:divBdr>
        <w:top w:val="none" w:sz="0" w:space="0" w:color="auto"/>
        <w:left w:val="none" w:sz="0" w:space="0" w:color="auto"/>
        <w:bottom w:val="none" w:sz="0" w:space="0" w:color="auto"/>
        <w:right w:val="none" w:sz="0" w:space="0" w:color="auto"/>
      </w:divBdr>
    </w:div>
    <w:div w:id="1870532127">
      <w:bodyDiv w:val="1"/>
      <w:marLeft w:val="0"/>
      <w:marRight w:val="0"/>
      <w:marTop w:val="0"/>
      <w:marBottom w:val="0"/>
      <w:divBdr>
        <w:top w:val="none" w:sz="0" w:space="0" w:color="auto"/>
        <w:left w:val="none" w:sz="0" w:space="0" w:color="auto"/>
        <w:bottom w:val="none" w:sz="0" w:space="0" w:color="auto"/>
        <w:right w:val="none" w:sz="0" w:space="0" w:color="auto"/>
      </w:divBdr>
      <w:divsChild>
        <w:div w:id="266891705">
          <w:blockQuote w:val="1"/>
          <w:marLeft w:val="720"/>
          <w:marRight w:val="720"/>
          <w:marTop w:val="0"/>
          <w:marBottom w:val="0"/>
          <w:divBdr>
            <w:top w:val="none" w:sz="0" w:space="0" w:color="auto"/>
            <w:left w:val="none" w:sz="0" w:space="0" w:color="auto"/>
            <w:bottom w:val="none" w:sz="0" w:space="0" w:color="auto"/>
            <w:right w:val="none" w:sz="0" w:space="0" w:color="auto"/>
          </w:divBdr>
          <w:divsChild>
            <w:div w:id="59186382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876503871">
      <w:bodyDiv w:val="1"/>
      <w:marLeft w:val="0"/>
      <w:marRight w:val="0"/>
      <w:marTop w:val="0"/>
      <w:marBottom w:val="0"/>
      <w:divBdr>
        <w:top w:val="none" w:sz="0" w:space="0" w:color="auto"/>
        <w:left w:val="none" w:sz="0" w:space="0" w:color="auto"/>
        <w:bottom w:val="none" w:sz="0" w:space="0" w:color="auto"/>
        <w:right w:val="none" w:sz="0" w:space="0" w:color="auto"/>
      </w:divBdr>
    </w:div>
    <w:div w:id="1878468476">
      <w:bodyDiv w:val="1"/>
      <w:marLeft w:val="0"/>
      <w:marRight w:val="0"/>
      <w:marTop w:val="0"/>
      <w:marBottom w:val="0"/>
      <w:divBdr>
        <w:top w:val="none" w:sz="0" w:space="0" w:color="auto"/>
        <w:left w:val="none" w:sz="0" w:space="0" w:color="auto"/>
        <w:bottom w:val="none" w:sz="0" w:space="0" w:color="auto"/>
        <w:right w:val="none" w:sz="0" w:space="0" w:color="auto"/>
      </w:divBdr>
    </w:div>
    <w:div w:id="1884321502">
      <w:bodyDiv w:val="1"/>
      <w:marLeft w:val="0"/>
      <w:marRight w:val="0"/>
      <w:marTop w:val="0"/>
      <w:marBottom w:val="0"/>
      <w:divBdr>
        <w:top w:val="none" w:sz="0" w:space="0" w:color="auto"/>
        <w:left w:val="none" w:sz="0" w:space="0" w:color="auto"/>
        <w:bottom w:val="none" w:sz="0" w:space="0" w:color="auto"/>
        <w:right w:val="none" w:sz="0" w:space="0" w:color="auto"/>
      </w:divBdr>
    </w:div>
    <w:div w:id="1888489747">
      <w:bodyDiv w:val="1"/>
      <w:marLeft w:val="0"/>
      <w:marRight w:val="0"/>
      <w:marTop w:val="0"/>
      <w:marBottom w:val="0"/>
      <w:divBdr>
        <w:top w:val="none" w:sz="0" w:space="0" w:color="auto"/>
        <w:left w:val="none" w:sz="0" w:space="0" w:color="auto"/>
        <w:bottom w:val="none" w:sz="0" w:space="0" w:color="auto"/>
        <w:right w:val="none" w:sz="0" w:space="0" w:color="auto"/>
      </w:divBdr>
    </w:div>
    <w:div w:id="1899516551">
      <w:bodyDiv w:val="1"/>
      <w:marLeft w:val="0"/>
      <w:marRight w:val="0"/>
      <w:marTop w:val="0"/>
      <w:marBottom w:val="0"/>
      <w:divBdr>
        <w:top w:val="none" w:sz="0" w:space="0" w:color="auto"/>
        <w:left w:val="none" w:sz="0" w:space="0" w:color="auto"/>
        <w:bottom w:val="none" w:sz="0" w:space="0" w:color="auto"/>
        <w:right w:val="none" w:sz="0" w:space="0" w:color="auto"/>
      </w:divBdr>
    </w:div>
    <w:div w:id="1910070386">
      <w:bodyDiv w:val="1"/>
      <w:marLeft w:val="0"/>
      <w:marRight w:val="0"/>
      <w:marTop w:val="0"/>
      <w:marBottom w:val="0"/>
      <w:divBdr>
        <w:top w:val="none" w:sz="0" w:space="0" w:color="auto"/>
        <w:left w:val="none" w:sz="0" w:space="0" w:color="auto"/>
        <w:bottom w:val="none" w:sz="0" w:space="0" w:color="auto"/>
        <w:right w:val="none" w:sz="0" w:space="0" w:color="auto"/>
      </w:divBdr>
      <w:divsChild>
        <w:div w:id="166130430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910337809">
      <w:bodyDiv w:val="1"/>
      <w:marLeft w:val="0"/>
      <w:marRight w:val="0"/>
      <w:marTop w:val="0"/>
      <w:marBottom w:val="0"/>
      <w:divBdr>
        <w:top w:val="none" w:sz="0" w:space="0" w:color="auto"/>
        <w:left w:val="none" w:sz="0" w:space="0" w:color="auto"/>
        <w:bottom w:val="none" w:sz="0" w:space="0" w:color="auto"/>
        <w:right w:val="none" w:sz="0" w:space="0" w:color="auto"/>
      </w:divBdr>
    </w:div>
    <w:div w:id="1911382159">
      <w:bodyDiv w:val="1"/>
      <w:marLeft w:val="0"/>
      <w:marRight w:val="0"/>
      <w:marTop w:val="0"/>
      <w:marBottom w:val="0"/>
      <w:divBdr>
        <w:top w:val="none" w:sz="0" w:space="0" w:color="auto"/>
        <w:left w:val="none" w:sz="0" w:space="0" w:color="auto"/>
        <w:bottom w:val="none" w:sz="0" w:space="0" w:color="auto"/>
        <w:right w:val="none" w:sz="0" w:space="0" w:color="auto"/>
      </w:divBdr>
      <w:divsChild>
        <w:div w:id="1913615731">
          <w:blockQuote w:val="1"/>
          <w:marLeft w:val="720"/>
          <w:marRight w:val="720"/>
          <w:marTop w:val="0"/>
          <w:marBottom w:val="0"/>
          <w:divBdr>
            <w:top w:val="none" w:sz="0" w:space="0" w:color="auto"/>
            <w:left w:val="none" w:sz="0" w:space="0" w:color="auto"/>
            <w:bottom w:val="none" w:sz="0" w:space="0" w:color="auto"/>
            <w:right w:val="none" w:sz="0" w:space="0" w:color="auto"/>
          </w:divBdr>
          <w:divsChild>
            <w:div w:id="167052469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923904410">
      <w:bodyDiv w:val="1"/>
      <w:marLeft w:val="0"/>
      <w:marRight w:val="0"/>
      <w:marTop w:val="0"/>
      <w:marBottom w:val="0"/>
      <w:divBdr>
        <w:top w:val="none" w:sz="0" w:space="0" w:color="auto"/>
        <w:left w:val="none" w:sz="0" w:space="0" w:color="auto"/>
        <w:bottom w:val="none" w:sz="0" w:space="0" w:color="auto"/>
        <w:right w:val="none" w:sz="0" w:space="0" w:color="auto"/>
      </w:divBdr>
    </w:div>
    <w:div w:id="1925336450">
      <w:bodyDiv w:val="1"/>
      <w:marLeft w:val="0"/>
      <w:marRight w:val="0"/>
      <w:marTop w:val="0"/>
      <w:marBottom w:val="0"/>
      <w:divBdr>
        <w:top w:val="none" w:sz="0" w:space="0" w:color="auto"/>
        <w:left w:val="none" w:sz="0" w:space="0" w:color="auto"/>
        <w:bottom w:val="none" w:sz="0" w:space="0" w:color="auto"/>
        <w:right w:val="none" w:sz="0" w:space="0" w:color="auto"/>
      </w:divBdr>
    </w:div>
    <w:div w:id="1950355771">
      <w:bodyDiv w:val="1"/>
      <w:marLeft w:val="0"/>
      <w:marRight w:val="0"/>
      <w:marTop w:val="0"/>
      <w:marBottom w:val="0"/>
      <w:divBdr>
        <w:top w:val="none" w:sz="0" w:space="0" w:color="auto"/>
        <w:left w:val="none" w:sz="0" w:space="0" w:color="auto"/>
        <w:bottom w:val="none" w:sz="0" w:space="0" w:color="auto"/>
        <w:right w:val="none" w:sz="0" w:space="0" w:color="auto"/>
      </w:divBdr>
    </w:div>
    <w:div w:id="1975207298">
      <w:bodyDiv w:val="1"/>
      <w:marLeft w:val="0"/>
      <w:marRight w:val="0"/>
      <w:marTop w:val="0"/>
      <w:marBottom w:val="0"/>
      <w:divBdr>
        <w:top w:val="none" w:sz="0" w:space="0" w:color="auto"/>
        <w:left w:val="none" w:sz="0" w:space="0" w:color="auto"/>
        <w:bottom w:val="none" w:sz="0" w:space="0" w:color="auto"/>
        <w:right w:val="none" w:sz="0" w:space="0" w:color="auto"/>
      </w:divBdr>
    </w:div>
    <w:div w:id="1977711510">
      <w:bodyDiv w:val="1"/>
      <w:marLeft w:val="0"/>
      <w:marRight w:val="0"/>
      <w:marTop w:val="0"/>
      <w:marBottom w:val="0"/>
      <w:divBdr>
        <w:top w:val="none" w:sz="0" w:space="0" w:color="auto"/>
        <w:left w:val="none" w:sz="0" w:space="0" w:color="auto"/>
        <w:bottom w:val="none" w:sz="0" w:space="0" w:color="auto"/>
        <w:right w:val="none" w:sz="0" w:space="0" w:color="auto"/>
      </w:divBdr>
    </w:div>
    <w:div w:id="1989673947">
      <w:bodyDiv w:val="1"/>
      <w:marLeft w:val="0"/>
      <w:marRight w:val="0"/>
      <w:marTop w:val="0"/>
      <w:marBottom w:val="0"/>
      <w:divBdr>
        <w:top w:val="none" w:sz="0" w:space="0" w:color="auto"/>
        <w:left w:val="none" w:sz="0" w:space="0" w:color="auto"/>
        <w:bottom w:val="none" w:sz="0" w:space="0" w:color="auto"/>
        <w:right w:val="none" w:sz="0" w:space="0" w:color="auto"/>
      </w:divBdr>
    </w:div>
    <w:div w:id="2014720342">
      <w:bodyDiv w:val="1"/>
      <w:marLeft w:val="0"/>
      <w:marRight w:val="0"/>
      <w:marTop w:val="0"/>
      <w:marBottom w:val="0"/>
      <w:divBdr>
        <w:top w:val="none" w:sz="0" w:space="0" w:color="auto"/>
        <w:left w:val="none" w:sz="0" w:space="0" w:color="auto"/>
        <w:bottom w:val="none" w:sz="0" w:space="0" w:color="auto"/>
        <w:right w:val="none" w:sz="0" w:space="0" w:color="auto"/>
      </w:divBdr>
    </w:div>
    <w:div w:id="2020812679">
      <w:bodyDiv w:val="1"/>
      <w:marLeft w:val="0"/>
      <w:marRight w:val="0"/>
      <w:marTop w:val="0"/>
      <w:marBottom w:val="0"/>
      <w:divBdr>
        <w:top w:val="none" w:sz="0" w:space="0" w:color="auto"/>
        <w:left w:val="none" w:sz="0" w:space="0" w:color="auto"/>
        <w:bottom w:val="none" w:sz="0" w:space="0" w:color="auto"/>
        <w:right w:val="none" w:sz="0" w:space="0" w:color="auto"/>
      </w:divBdr>
    </w:div>
    <w:div w:id="2037854020">
      <w:bodyDiv w:val="1"/>
      <w:marLeft w:val="0"/>
      <w:marRight w:val="0"/>
      <w:marTop w:val="0"/>
      <w:marBottom w:val="0"/>
      <w:divBdr>
        <w:top w:val="none" w:sz="0" w:space="0" w:color="auto"/>
        <w:left w:val="none" w:sz="0" w:space="0" w:color="auto"/>
        <w:bottom w:val="none" w:sz="0" w:space="0" w:color="auto"/>
        <w:right w:val="none" w:sz="0" w:space="0" w:color="auto"/>
      </w:divBdr>
    </w:div>
    <w:div w:id="2049842185">
      <w:bodyDiv w:val="1"/>
      <w:marLeft w:val="0"/>
      <w:marRight w:val="0"/>
      <w:marTop w:val="0"/>
      <w:marBottom w:val="0"/>
      <w:divBdr>
        <w:top w:val="none" w:sz="0" w:space="0" w:color="auto"/>
        <w:left w:val="none" w:sz="0" w:space="0" w:color="auto"/>
        <w:bottom w:val="none" w:sz="0" w:space="0" w:color="auto"/>
        <w:right w:val="none" w:sz="0" w:space="0" w:color="auto"/>
      </w:divBdr>
    </w:div>
    <w:div w:id="2059816107">
      <w:bodyDiv w:val="1"/>
      <w:marLeft w:val="0"/>
      <w:marRight w:val="0"/>
      <w:marTop w:val="0"/>
      <w:marBottom w:val="0"/>
      <w:divBdr>
        <w:top w:val="none" w:sz="0" w:space="0" w:color="auto"/>
        <w:left w:val="none" w:sz="0" w:space="0" w:color="auto"/>
        <w:bottom w:val="none" w:sz="0" w:space="0" w:color="auto"/>
        <w:right w:val="none" w:sz="0" w:space="0" w:color="auto"/>
      </w:divBdr>
    </w:div>
    <w:div w:id="2110391808">
      <w:bodyDiv w:val="1"/>
      <w:marLeft w:val="0"/>
      <w:marRight w:val="0"/>
      <w:marTop w:val="0"/>
      <w:marBottom w:val="0"/>
      <w:divBdr>
        <w:top w:val="none" w:sz="0" w:space="0" w:color="auto"/>
        <w:left w:val="none" w:sz="0" w:space="0" w:color="auto"/>
        <w:bottom w:val="none" w:sz="0" w:space="0" w:color="auto"/>
        <w:right w:val="none" w:sz="0" w:space="0" w:color="auto"/>
      </w:divBdr>
    </w:div>
    <w:div w:id="211748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gutenberg.spiegel.de/?id=5&amp;xid=5466&amp;kapitel=3&amp;cHash=160114ee7d2" TargetMode="External"/><Relationship Id="rId1827" Type="http://schemas.openxmlformats.org/officeDocument/2006/relationships/hyperlink" Target="http://de.wikisource.org/wiki/Studien_%C3%BCber_Hysterie/Beobachtung_II._Frau_Emmy_v._N%E2%80%A6" TargetMode="External"/><Relationship Id="rId21" Type="http://schemas.openxmlformats.org/officeDocument/2006/relationships/hyperlink" Target="http://gutenberg.spiegel.de/?id=5&amp;xid=5479&amp;kapitel=6&amp;cHash=c9ba69ac182" TargetMode="External"/><Relationship Id="rId170" Type="http://schemas.openxmlformats.org/officeDocument/2006/relationships/hyperlink" Target="http://gutenberg.spiegel.de/?id=5&amp;xid=5479&amp;kapitel=25&amp;cHash=c9ba69ac182" TargetMode="External"/><Relationship Id="rId268" Type="http://schemas.openxmlformats.org/officeDocument/2006/relationships/hyperlink" Target="http://gutenberg.spiegel.de/?id=5&amp;xid=5470&amp;kapitel=5&amp;cHash=e3099ac4fe2" TargetMode="External"/><Relationship Id="rId475" Type="http://schemas.openxmlformats.org/officeDocument/2006/relationships/hyperlink" Target="http://gutenberg.spiegel.de/?id=5&amp;xid=5471&amp;kapitel=4&amp;cHash=fef33401182" TargetMode="External"/><Relationship Id="rId682" Type="http://schemas.openxmlformats.org/officeDocument/2006/relationships/hyperlink" Target="http://gutenberg.spiegel.de/?id=5&amp;xid=5471&amp;kapitel=6&amp;cHash=fef33401182" TargetMode="External"/><Relationship Id="rId128" Type="http://schemas.openxmlformats.org/officeDocument/2006/relationships/hyperlink" Target="http://gutenberg.spiegel.de/?id=5&amp;xid=5479&amp;kapitel=21&amp;cHash=c9ba69ac182" TargetMode="External"/><Relationship Id="rId335" Type="http://schemas.openxmlformats.org/officeDocument/2006/relationships/hyperlink" Target="http://gutenberg.spiegel.de/?id=5&amp;xid=5474&amp;kapitel=5&amp;cHash=319187eedd2" TargetMode="External"/><Relationship Id="rId542" Type="http://schemas.openxmlformats.org/officeDocument/2006/relationships/hyperlink" Target="http://gutenberg.spiegel.de/?id=5&amp;xid=5471&amp;kapitel=6&amp;cHash=fef33401182" TargetMode="External"/><Relationship Id="rId987" Type="http://schemas.openxmlformats.org/officeDocument/2006/relationships/hyperlink" Target="http://projekt.gutenberg.de/?id=5&amp;xid=5459&amp;kapitel=2&amp;cHash=2500fb16a9chap002" TargetMode="External"/><Relationship Id="rId1172" Type="http://schemas.openxmlformats.org/officeDocument/2006/relationships/hyperlink" Target="http://projekt.gutenberg.de/?id=5&amp;xid=5475&amp;kapitel=9&amp;cHash=f458b8542a2" TargetMode="External"/><Relationship Id="rId2016" Type="http://schemas.openxmlformats.org/officeDocument/2006/relationships/hyperlink" Target="http://de.wikisource.org/wiki/Studien_%C3%BCber_Hysterie/Theoretisches" TargetMode="External"/><Relationship Id="rId402" Type="http://schemas.openxmlformats.org/officeDocument/2006/relationships/hyperlink" Target="http://projekt.gutenberg.de/?id=5&amp;xid=5455&amp;kapitel=2&amp;cHash=893cd6bc1c2" TargetMode="External"/><Relationship Id="rId847" Type="http://schemas.openxmlformats.org/officeDocument/2006/relationships/hyperlink" Target="http://gutenberg.spiegel.de/?id=5&amp;xid=5452&amp;kapitel=41&amp;cHash=0b6f4173732" TargetMode="External"/><Relationship Id="rId1032" Type="http://schemas.openxmlformats.org/officeDocument/2006/relationships/hyperlink" Target="http://projekt.gutenberg.de/?id=5&amp;xid=5459&amp;kapitel=4&amp;cHash=2500fb16a9chap004" TargetMode="External"/><Relationship Id="rId1477" Type="http://schemas.openxmlformats.org/officeDocument/2006/relationships/hyperlink" Target="http://gutenberg.spiegel.de/?id=5&amp;xid=5457&amp;kapitel=5&amp;cHash=8f5b827b6d2" TargetMode="External"/><Relationship Id="rId1684" Type="http://schemas.openxmlformats.org/officeDocument/2006/relationships/hyperlink" Target="http://de.wikipedia.org/wiki/Trochlearisparese" TargetMode="External"/><Relationship Id="rId1891" Type="http://schemas.openxmlformats.org/officeDocument/2006/relationships/hyperlink" Target="http://de.wikisource.org/wiki/Seite:De_Studien_%C3%BCber_Hysterie_141.jpg" TargetMode="External"/><Relationship Id="rId707" Type="http://schemas.openxmlformats.org/officeDocument/2006/relationships/hyperlink" Target="http://gutenberg.spiegel.de/?id=5&amp;xid=5452&amp;kapitel=7&amp;cHash=0b6f4173732" TargetMode="External"/><Relationship Id="rId914" Type="http://schemas.openxmlformats.org/officeDocument/2006/relationships/hyperlink" Target="http://gutenberg.spiegel.de/?id=5&amp;xid=5453&amp;kapitel=24&amp;cHash=3aa83cf0982" TargetMode="External"/><Relationship Id="rId1337" Type="http://schemas.openxmlformats.org/officeDocument/2006/relationships/hyperlink" Target="http://gutenberg.spiegel.de/?id=5&amp;xid=5468&amp;kapitel=8&amp;cHash=3b7308c8912" TargetMode="External"/><Relationship Id="rId1544" Type="http://schemas.openxmlformats.org/officeDocument/2006/relationships/hyperlink" Target="http://gutenberg.spiegel.de/?id=5&amp;xid=5466&amp;kapitel=4&amp;cHash=160114ee7d2" TargetMode="External"/><Relationship Id="rId1751" Type="http://schemas.openxmlformats.org/officeDocument/2006/relationships/hyperlink" Target="http://de.wikisource.org/wiki/Seite:De_Studien_%C3%BCber_Hysterie_054.jpg" TargetMode="External"/><Relationship Id="rId1989" Type="http://schemas.openxmlformats.org/officeDocument/2006/relationships/hyperlink" Target="http://de.wikisource.org/wiki/Seite:De_Studien_%C3%BCber_Hysterie_208.jpg" TargetMode="External"/><Relationship Id="rId43" Type="http://schemas.openxmlformats.org/officeDocument/2006/relationships/hyperlink" Target="http://gutenberg.spiegel.de/?id=5&amp;xid=5479&amp;kapitel=12&amp;cHash=c9ba69ac182" TargetMode="External"/><Relationship Id="rId1404" Type="http://schemas.openxmlformats.org/officeDocument/2006/relationships/hyperlink" Target="http://gutenberg.spiegel.de/?id=5&amp;xid=5454&amp;kapitel=11&amp;cHash=7be8bceb522" TargetMode="External"/><Relationship Id="rId1611" Type="http://schemas.openxmlformats.org/officeDocument/2006/relationships/hyperlink" Target="http://de.wikisource.org/wiki/Seite:De_Studien_%C3%BCber_Hysterie_010.jpg" TargetMode="External"/><Relationship Id="rId1849" Type="http://schemas.openxmlformats.org/officeDocument/2006/relationships/hyperlink" Target="http://de.wikisource.org/wiki/Seite:De_Studien_%C3%BCber_Hysterie_097.jpg" TargetMode="External"/><Relationship Id="rId192" Type="http://schemas.openxmlformats.org/officeDocument/2006/relationships/hyperlink" Target="http://gutenberg.spiegel.de/?id=5&amp;xid=5479&amp;kapitel=25&amp;cHash=c9ba69ac182" TargetMode="External"/><Relationship Id="rId1709" Type="http://schemas.openxmlformats.org/officeDocument/2006/relationships/hyperlink" Target="http://de.wikipedia.org/wiki/Amblyopie" TargetMode="External"/><Relationship Id="rId1916" Type="http://schemas.openxmlformats.org/officeDocument/2006/relationships/hyperlink" Target="http://de.wikisource.org/wiki/Studien_%C3%BCber_Hysterie/Beobachtung_V._Frl._Elisabeth_v._R%E2%80%A6" TargetMode="External"/><Relationship Id="rId497" Type="http://schemas.openxmlformats.org/officeDocument/2006/relationships/hyperlink" Target="http://gutenberg.spiegel.de/?id=5&amp;xid=5471&amp;kapitel=4&amp;cHash=fef33401182" TargetMode="External"/><Relationship Id="rId2080" Type="http://schemas.openxmlformats.org/officeDocument/2006/relationships/hyperlink" Target="http://de.wikisource.org/wiki/Seite:De_Studien_%C3%BCber_Hysterie_267.jpg" TargetMode="External"/><Relationship Id="rId357" Type="http://schemas.openxmlformats.org/officeDocument/2006/relationships/hyperlink" Target="http://gutenberg.spiegel.de/?id=5&amp;xid=5474&amp;kapitel=7&amp;cHash=319187eedd2" TargetMode="External"/><Relationship Id="rId1194" Type="http://schemas.openxmlformats.org/officeDocument/2006/relationships/hyperlink" Target="http://projekt.gutenberg.de/?id=5&amp;xid=5469&amp;kapitel=2&amp;cHash=37599a73a72" TargetMode="External"/><Relationship Id="rId2038" Type="http://schemas.openxmlformats.org/officeDocument/2006/relationships/hyperlink" Target="http://de.wikisource.org/wiki/Seite:De_Studien_%C3%BCber_Hysterie_225.jpg" TargetMode="External"/><Relationship Id="rId217" Type="http://schemas.openxmlformats.org/officeDocument/2006/relationships/hyperlink" Target="http://gutenberg.spiegel.de/?id=5&amp;xid=5479&amp;kapitel=29&amp;cHash=c9ba69ac182" TargetMode="External"/><Relationship Id="rId564" Type="http://schemas.openxmlformats.org/officeDocument/2006/relationships/hyperlink" Target="http://gutenberg.spiegel.de/?id=5&amp;xid=5471&amp;kapitel=6&amp;cHash=fef33401182" TargetMode="External"/><Relationship Id="rId771" Type="http://schemas.openxmlformats.org/officeDocument/2006/relationships/hyperlink" Target="http://gutenberg.spiegel.de/?id=5&amp;xid=5452&amp;kapitel=16&amp;cHash=0b6f4173732" TargetMode="External"/><Relationship Id="rId869" Type="http://schemas.openxmlformats.org/officeDocument/2006/relationships/hyperlink" Target="http://gutenberg.spiegel.de/?id=5&amp;xid=5453&amp;kapitel=11&amp;cHash=3aa83cf0982" TargetMode="External"/><Relationship Id="rId1499" Type="http://schemas.openxmlformats.org/officeDocument/2006/relationships/image" Target="media/image32.jpeg"/><Relationship Id="rId424" Type="http://schemas.openxmlformats.org/officeDocument/2006/relationships/hyperlink" Target="http://projekt.gutenberg.de/?id=5&amp;xid=5455&amp;kapitel=3&amp;cHash=893cd6bc1c2" TargetMode="External"/><Relationship Id="rId631" Type="http://schemas.openxmlformats.org/officeDocument/2006/relationships/hyperlink" Target="http://gutenberg.spiegel.de/?id=5&amp;xid=5471&amp;kapitel=6&amp;cHash=fef33401182" TargetMode="External"/><Relationship Id="rId729" Type="http://schemas.openxmlformats.org/officeDocument/2006/relationships/hyperlink" Target="http://gutenberg.spiegel.de/?id=5&amp;xid=5452&amp;kapitel=9&amp;cHash=0b6f4173732" TargetMode="External"/><Relationship Id="rId1054" Type="http://schemas.openxmlformats.org/officeDocument/2006/relationships/hyperlink" Target="http://projekt.gutenberg.de/?id=5&amp;xid=5455&amp;kapitel=1" TargetMode="External"/><Relationship Id="rId1261" Type="http://schemas.openxmlformats.org/officeDocument/2006/relationships/hyperlink" Target="http://projekt.gutenberg.de/?id=5&amp;xid=5463&amp;kapitel=1" TargetMode="External"/><Relationship Id="rId1359" Type="http://schemas.openxmlformats.org/officeDocument/2006/relationships/hyperlink" Target="http://gutenberg.spiegel.de/?id=5&amp;xid=5468&amp;kapitel=17&amp;cHash=3b7308c8912" TargetMode="External"/><Relationship Id="rId936" Type="http://schemas.openxmlformats.org/officeDocument/2006/relationships/hyperlink" Target="http://gutenberg.spiegel.de/?id=5&amp;xid=5453&amp;kapitel=33&amp;cHash=3aa83cf0982" TargetMode="External"/><Relationship Id="rId1121" Type="http://schemas.openxmlformats.org/officeDocument/2006/relationships/hyperlink" Target="http://projekt.gutenberg.de/?id=5&amp;xid=5475&amp;kapitel=1" TargetMode="External"/><Relationship Id="rId1219" Type="http://schemas.openxmlformats.org/officeDocument/2006/relationships/hyperlink" Target="http://projekt.gutenberg.de/?id=5&amp;xid=5469&amp;kapitel=3&amp;cHash=37599a73a72" TargetMode="External"/><Relationship Id="rId1566" Type="http://schemas.openxmlformats.org/officeDocument/2006/relationships/hyperlink" Target="http://gutenberg.spiegel.de/?id=5&amp;xid=5466&amp;kapitel=5&amp;cHash=160114ee7d2" TargetMode="External"/><Relationship Id="rId1773" Type="http://schemas.openxmlformats.org/officeDocument/2006/relationships/hyperlink" Target="http://de.wikisource.org/wiki/Seite:De_Studien_%C3%BCber_Hysterie_070.jpg" TargetMode="External"/><Relationship Id="rId1980" Type="http://schemas.openxmlformats.org/officeDocument/2006/relationships/hyperlink" Target="http://de.wikisource.org/wiki/Seite:De_Studien_%C3%BCber_Hysterie_200.jpg" TargetMode="External"/><Relationship Id="rId65" Type="http://schemas.openxmlformats.org/officeDocument/2006/relationships/hyperlink" Target="http://gutenberg.spiegel.de/?id=5&amp;xid=5479&amp;kapitel=14&amp;cHash=c9ba69ac182" TargetMode="External"/><Relationship Id="rId1426" Type="http://schemas.openxmlformats.org/officeDocument/2006/relationships/hyperlink" Target="http://gutenberg.spiegel.de/?id=5&amp;xid=5454&amp;kapitel=17&amp;cHash=7be8bceb522" TargetMode="External"/><Relationship Id="rId1633" Type="http://schemas.openxmlformats.org/officeDocument/2006/relationships/hyperlink" Target="http://de.wikisource.org/wiki/Studien_%C3%BCber_Hysterie/Beobachtung_I._Frl._Anna_O%E2%80%A6" TargetMode="External"/><Relationship Id="rId1840" Type="http://schemas.openxmlformats.org/officeDocument/2006/relationships/hyperlink" Target="http://de.wikisource.org/wiki/Studien_%C3%BCber_Hysterie/Beobachtung_III._Frl._Lucie_R%E2%80%A6" TargetMode="External"/><Relationship Id="rId1700" Type="http://schemas.openxmlformats.org/officeDocument/2006/relationships/hyperlink" Target="http://de.wikisource.org/wiki/Studien_%C3%BCber_Hysterie/Beobachtung_I._Frl._Anna_O%E2%80%A6" TargetMode="External"/><Relationship Id="rId1938" Type="http://schemas.openxmlformats.org/officeDocument/2006/relationships/hyperlink" Target="http://de.wikisource.org/wiki/Seite:De_Studien_%C3%BCber_Hysterie_170.jpg" TargetMode="External"/><Relationship Id="rId281" Type="http://schemas.openxmlformats.org/officeDocument/2006/relationships/hyperlink" Target="http://gutenberg.spiegel.de/?id=5&amp;xid=5470&amp;kapitel=8&amp;cHash=e3099ac4fe2" TargetMode="External"/><Relationship Id="rId141" Type="http://schemas.openxmlformats.org/officeDocument/2006/relationships/hyperlink" Target="http://gutenberg.spiegel.de/?id=5&amp;xid=5479&amp;kapitel=23&amp;cHash=c9ba69ac182" TargetMode="External"/><Relationship Id="rId379" Type="http://schemas.openxmlformats.org/officeDocument/2006/relationships/hyperlink" Target="http://projekt.gutenberg.de/?id=5&amp;xid=5455&amp;kapitel=2&amp;cHash=893cd6bc1c2" TargetMode="External"/><Relationship Id="rId586" Type="http://schemas.openxmlformats.org/officeDocument/2006/relationships/hyperlink" Target="http://gutenberg.spiegel.de/?id=5&amp;xid=5471&amp;kapitel=6&amp;cHash=fef33401182" TargetMode="External"/><Relationship Id="rId793" Type="http://schemas.openxmlformats.org/officeDocument/2006/relationships/hyperlink" Target="http://gutenberg.spiegel.de/?id=5&amp;xid=5452&amp;kapitel=30&amp;cHash=0b6f4173732" TargetMode="External"/><Relationship Id="rId7" Type="http://schemas.openxmlformats.org/officeDocument/2006/relationships/endnotes" Target="endnotes.xml"/><Relationship Id="rId239" Type="http://schemas.openxmlformats.org/officeDocument/2006/relationships/hyperlink" Target="http://gutenberg.spiegel.de/?id=5&amp;xid=5479&amp;kapitel=32&amp;cHash=c9ba69ac182" TargetMode="External"/><Relationship Id="rId446" Type="http://schemas.openxmlformats.org/officeDocument/2006/relationships/hyperlink" Target="http://gutenberg.spiegel.de/?id=5&amp;xid=5471&amp;kapitel=3&amp;cHash=fef33401182" TargetMode="External"/><Relationship Id="rId653" Type="http://schemas.openxmlformats.org/officeDocument/2006/relationships/hyperlink" Target="http://gutenberg.spiegel.de/?id=5&amp;xid=5471&amp;kapitel=6&amp;cHash=fef33401182" TargetMode="External"/><Relationship Id="rId1076" Type="http://schemas.openxmlformats.org/officeDocument/2006/relationships/hyperlink" Target="http://projekt.gutenberg.de/?id=5&amp;xid=5455&amp;kapitel=2&amp;cHash=893cd6bc1c2" TargetMode="External"/><Relationship Id="rId1283" Type="http://schemas.openxmlformats.org/officeDocument/2006/relationships/hyperlink" Target="http://projekt.gutenberg.de/?id=5&amp;xid=5463&amp;kapitel=7&amp;cHash=3873cdf9922" TargetMode="External"/><Relationship Id="rId1490" Type="http://schemas.openxmlformats.org/officeDocument/2006/relationships/hyperlink" Target="http://gutenberg.spiegel.de/?id=5&amp;xid=5466&amp;kapitel=1" TargetMode="External"/><Relationship Id="rId306" Type="http://schemas.openxmlformats.org/officeDocument/2006/relationships/hyperlink" Target="http://gutenberg.spiegel.de/?id=5&amp;xid=5474&amp;kapitel=2&amp;cHash=319187eedd2" TargetMode="External"/><Relationship Id="rId860" Type="http://schemas.openxmlformats.org/officeDocument/2006/relationships/hyperlink" Target="http://gutenberg.spiegel.de/?id=5&amp;xid=5453&amp;kapitel=3&amp;cHash=3aa83cf0982" TargetMode="External"/><Relationship Id="rId958" Type="http://schemas.openxmlformats.org/officeDocument/2006/relationships/hyperlink" Target="http://gutenberg.spiegel.de/?id=5&amp;xid=5453&amp;kapitel=36&amp;cHash=3aa83cf0982" TargetMode="External"/><Relationship Id="rId1143" Type="http://schemas.openxmlformats.org/officeDocument/2006/relationships/hyperlink" Target="http://projekt.gutenberg.de/?id=5&amp;xid=5475&amp;kapitel=6&amp;cHash=f458b8542a2" TargetMode="External"/><Relationship Id="rId1588" Type="http://schemas.openxmlformats.org/officeDocument/2006/relationships/hyperlink" Target="http://gutenberg.spiegel.de/?id=5&amp;xid=5456&amp;kapitel=3&amp;cHash=177f1789a72" TargetMode="External"/><Relationship Id="rId1795" Type="http://schemas.openxmlformats.org/officeDocument/2006/relationships/hyperlink" Target="http://de.wikisource.org/wiki/Seite:De_Studien_%C3%BCber_Hysterie_089.jpg" TargetMode="External"/><Relationship Id="rId87" Type="http://schemas.openxmlformats.org/officeDocument/2006/relationships/hyperlink" Target="http://gutenberg.spiegel.de/?id=5&amp;xid=5479&amp;kapitel=16&amp;cHash=c9ba69ac182" TargetMode="External"/><Relationship Id="rId513" Type="http://schemas.openxmlformats.org/officeDocument/2006/relationships/hyperlink" Target="http://gutenberg.spiegel.de/?id=5&amp;xid=5471&amp;kapitel=5&amp;cHash=fef33401182" TargetMode="External"/><Relationship Id="rId720" Type="http://schemas.openxmlformats.org/officeDocument/2006/relationships/hyperlink" Target="http://gutenberg.spiegel.de/?id=5&amp;xid=5452&amp;kapitel=8&amp;cHash=0b6f4173732" TargetMode="External"/><Relationship Id="rId818" Type="http://schemas.openxmlformats.org/officeDocument/2006/relationships/hyperlink" Target="http://gutenberg.spiegel.de/?id=5&amp;xid=5452&amp;kapitel=33&amp;cHash=0b6f4173732" TargetMode="External"/><Relationship Id="rId1350" Type="http://schemas.openxmlformats.org/officeDocument/2006/relationships/hyperlink" Target="http://gutenberg.spiegel.de/?id=5&amp;xid=5468&amp;kapitel=11&amp;cHash=3b7308c8912" TargetMode="External"/><Relationship Id="rId1448" Type="http://schemas.openxmlformats.org/officeDocument/2006/relationships/hyperlink" Target="http://gutenberg.spiegel.de/?id=5&amp;xid=5454&amp;kapitel=24&amp;cHash=7be8bceb522" TargetMode="External"/><Relationship Id="rId1655" Type="http://schemas.openxmlformats.org/officeDocument/2006/relationships/hyperlink" Target="http://de.wikisource.org/wiki/Seite:De_Studien_%C3%BCber_Hysterie_030.jpg" TargetMode="External"/><Relationship Id="rId1003" Type="http://schemas.openxmlformats.org/officeDocument/2006/relationships/hyperlink" Target="http://projekt.gutenberg.de/?id=5&amp;xid=5459&amp;kapitel=3&amp;cHash=2500fb16a9chap003" TargetMode="External"/><Relationship Id="rId1210" Type="http://schemas.openxmlformats.org/officeDocument/2006/relationships/hyperlink" Target="http://projekt.gutenberg.de/?id=5&amp;xid=5469&amp;kapitel=2&amp;cHash=37599a73a72" TargetMode="External"/><Relationship Id="rId1308" Type="http://schemas.openxmlformats.org/officeDocument/2006/relationships/hyperlink" Target="http://gutenberg.spiegel.de/?id=5&amp;xid=5468&amp;kapitel=1" TargetMode="External"/><Relationship Id="rId1862" Type="http://schemas.openxmlformats.org/officeDocument/2006/relationships/hyperlink" Target="http://de.wikisource.org/wiki/Studien_%C3%BCber_Hysterie/Beobachtung_IV._Katharina%E2%80%A6" TargetMode="External"/><Relationship Id="rId1515" Type="http://schemas.openxmlformats.org/officeDocument/2006/relationships/hyperlink" Target="http://gutenberg.spiegel.de/?id=5&amp;xid=5466&amp;kapitel=2&amp;cHash=160114ee7d2" TargetMode="External"/><Relationship Id="rId1722" Type="http://schemas.openxmlformats.org/officeDocument/2006/relationships/hyperlink" Target="http://de.wikisource.org/wiki/Studien_%C3%BCber_Hysterie/Beobachtung_II._Frau_Emmy_v._N%E2%80%A6" TargetMode="External"/><Relationship Id="rId14" Type="http://schemas.openxmlformats.org/officeDocument/2006/relationships/image" Target="media/image7.gif"/><Relationship Id="rId163" Type="http://schemas.openxmlformats.org/officeDocument/2006/relationships/hyperlink" Target="http://gutenberg.spiegel.de/?id=5&amp;xid=5479&amp;kapitel=24&amp;cHash=c9ba69ac182" TargetMode="External"/><Relationship Id="rId370" Type="http://schemas.openxmlformats.org/officeDocument/2006/relationships/hyperlink" Target="http://projekt.gutenberg.de/?id=5&amp;xid=5455&amp;kapitel=2&amp;cHash=893cd6bc1c2" TargetMode="External"/><Relationship Id="rId2051" Type="http://schemas.openxmlformats.org/officeDocument/2006/relationships/hyperlink" Target="http://de.wikisource.org/wiki/Seite:De_Studien_%C3%BCber_Hysterie_238.jpg" TargetMode="External"/><Relationship Id="rId230" Type="http://schemas.openxmlformats.org/officeDocument/2006/relationships/hyperlink" Target="http://gutenberg.spiegel.de/?id=5&amp;xid=5479&amp;kapitel=31&amp;cHash=c9ba69ac182" TargetMode="External"/><Relationship Id="rId468" Type="http://schemas.openxmlformats.org/officeDocument/2006/relationships/hyperlink" Target="http://gutenberg.spiegel.de/?id=5&amp;xid=5471&amp;kapitel=4&amp;cHash=fef33401182" TargetMode="External"/><Relationship Id="rId675" Type="http://schemas.openxmlformats.org/officeDocument/2006/relationships/hyperlink" Target="http://gutenberg.spiegel.de/?id=5&amp;xid=5471&amp;kapitel=6&amp;cHash=fef33401182" TargetMode="External"/><Relationship Id="rId882" Type="http://schemas.openxmlformats.org/officeDocument/2006/relationships/hyperlink" Target="http://gutenberg.spiegel.de/?id=5&amp;xid=5453&amp;kapitel=14&amp;cHash=3aa83cf0982" TargetMode="External"/><Relationship Id="rId1098" Type="http://schemas.openxmlformats.org/officeDocument/2006/relationships/hyperlink" Target="http://projekt.gutenberg.de/?id=5&amp;xid=5455&amp;kapitel=2&amp;cHash=893cd6bc1c2" TargetMode="External"/><Relationship Id="rId328" Type="http://schemas.openxmlformats.org/officeDocument/2006/relationships/hyperlink" Target="http://gutenberg.spiegel.de/?id=5&amp;xid=5474&amp;kapitel=4&amp;cHash=319187eedd2" TargetMode="External"/><Relationship Id="rId535" Type="http://schemas.openxmlformats.org/officeDocument/2006/relationships/hyperlink" Target="http://gutenberg.spiegel.de/?id=5&amp;xid=5471&amp;kapitel=5&amp;cHash=fef33401182" TargetMode="External"/><Relationship Id="rId742" Type="http://schemas.openxmlformats.org/officeDocument/2006/relationships/hyperlink" Target="http://gutenberg.spiegel.de/?id=5&amp;xid=5452&amp;kapitel=11&amp;cHash=0b6f4173732" TargetMode="External"/><Relationship Id="rId1165" Type="http://schemas.openxmlformats.org/officeDocument/2006/relationships/hyperlink" Target="http://projekt.gutenberg.de/?id=5&amp;xid=5475&amp;kapitel=8&amp;cHash=f458b8542a2" TargetMode="External"/><Relationship Id="rId1372" Type="http://schemas.openxmlformats.org/officeDocument/2006/relationships/hyperlink" Target="http://gutenberg.spiegel.de/?id=5&amp;xid=5454&amp;kapitel=3&amp;cHash=7be8bceb522" TargetMode="External"/><Relationship Id="rId2009" Type="http://schemas.openxmlformats.org/officeDocument/2006/relationships/hyperlink" Target="http://de.wikisource.org/wiki/Seite:De_Studien_%C3%BCber_Hysterie_221.jpg" TargetMode="External"/><Relationship Id="rId602" Type="http://schemas.openxmlformats.org/officeDocument/2006/relationships/hyperlink" Target="http://gutenberg.spiegel.de/?id=5&amp;xid=5471&amp;kapitel=6&amp;cHash=fef33401182" TargetMode="External"/><Relationship Id="rId1025" Type="http://schemas.openxmlformats.org/officeDocument/2006/relationships/hyperlink" Target="http://projekt.gutenberg.de/?id=5&amp;xid=5459&amp;kapitel=4&amp;cHash=2500fb16a9chap004" TargetMode="External"/><Relationship Id="rId1232" Type="http://schemas.openxmlformats.org/officeDocument/2006/relationships/hyperlink" Target="http://projekt.gutenberg.de/?id=5&amp;xid=5469&amp;kapitel=3&amp;cHash=37599a73a72" TargetMode="External"/><Relationship Id="rId1677" Type="http://schemas.openxmlformats.org/officeDocument/2006/relationships/hyperlink" Target="http://de.wikipedia.org/wiki/Husten" TargetMode="External"/><Relationship Id="rId1884" Type="http://schemas.openxmlformats.org/officeDocument/2006/relationships/hyperlink" Target="http://de.wikisource.org/wiki/Seite:De_Studien_%C3%BCber_Hysterie_134.jpg" TargetMode="External"/><Relationship Id="rId907" Type="http://schemas.openxmlformats.org/officeDocument/2006/relationships/hyperlink" Target="http://gutenberg.spiegel.de/?id=5&amp;xid=5453&amp;kapitel=20&amp;cHash=3aa83cf0982" TargetMode="External"/><Relationship Id="rId1537" Type="http://schemas.openxmlformats.org/officeDocument/2006/relationships/hyperlink" Target="http://gutenberg.spiegel.de/?id=5&amp;xid=5466&amp;kapitel=3&amp;cHash=160114ee7d2" TargetMode="External"/><Relationship Id="rId1744" Type="http://schemas.openxmlformats.org/officeDocument/2006/relationships/hyperlink" Target="http://de.wikisource.org/wiki/Studien_%C3%BCber_Hysterie/Beobachtung_II._Frau_Emmy_v._N%E2%80%A6" TargetMode="External"/><Relationship Id="rId1951" Type="http://schemas.openxmlformats.org/officeDocument/2006/relationships/hyperlink" Target="http://de.wikisource.org/wiki/Seite:De_Studien_%C3%BCber_Hysterie_180.jpg" TargetMode="External"/><Relationship Id="rId36" Type="http://schemas.openxmlformats.org/officeDocument/2006/relationships/hyperlink" Target="http://gutenberg.spiegel.de/?id=5&amp;xid=5479&amp;kapitel=9&amp;cHash=c9ba69ac182" TargetMode="External"/><Relationship Id="rId1604" Type="http://schemas.openxmlformats.org/officeDocument/2006/relationships/hyperlink" Target="http://de.wikisource.org/wiki/Studien_%C3%BCber_Hysterie/Ueber_den_psychischen_Mechanismus_hysterischer_Ph%C3%A4nomene" TargetMode="External"/><Relationship Id="rId185" Type="http://schemas.openxmlformats.org/officeDocument/2006/relationships/hyperlink" Target="http://gutenberg.spiegel.de/?id=5&amp;xid=5479&amp;kapitel=25&amp;cHash=c9ba69ac182" TargetMode="External"/><Relationship Id="rId1811" Type="http://schemas.openxmlformats.org/officeDocument/2006/relationships/hyperlink" Target="http://de.wikisource.org/wiki/Studien_%C3%BCber_Hysterie/Beobachtung_II._Frau_Emmy_v._N%E2%80%A6" TargetMode="External"/><Relationship Id="rId1909" Type="http://schemas.openxmlformats.org/officeDocument/2006/relationships/hyperlink" Target="http://de.wikisource.org/wiki/Seite:De_Studien_%C3%BCber_Hysterie_155.jpg" TargetMode="External"/><Relationship Id="rId392" Type="http://schemas.openxmlformats.org/officeDocument/2006/relationships/hyperlink" Target="http://projekt.gutenberg.de/?id=5&amp;xid=5455&amp;kapitel=2&amp;cHash=893cd6bc1c2" TargetMode="External"/><Relationship Id="rId697" Type="http://schemas.openxmlformats.org/officeDocument/2006/relationships/hyperlink" Target="http://gutenberg.spiegel.de/?id=5&amp;xid=5452&amp;kapitel=6&amp;cHash=0b6f4173732" TargetMode="External"/><Relationship Id="rId2073" Type="http://schemas.openxmlformats.org/officeDocument/2006/relationships/hyperlink" Target="http://de.wikisource.org/wiki/Seite:De_Studien_%C3%BCber_Hysterie_260.jpg" TargetMode="External"/><Relationship Id="rId252" Type="http://schemas.openxmlformats.org/officeDocument/2006/relationships/hyperlink" Target="http://gutenberg.spiegel.de/?id=5&amp;xid=5479&amp;kapitel=34&amp;cHash=c9ba69ac182" TargetMode="External"/><Relationship Id="rId1187" Type="http://schemas.openxmlformats.org/officeDocument/2006/relationships/hyperlink" Target="http://projekt.gutenberg.de/?id=5&amp;xid=5469&amp;kapitel=2&amp;cHash=37599a73a72" TargetMode="External"/><Relationship Id="rId112" Type="http://schemas.openxmlformats.org/officeDocument/2006/relationships/hyperlink" Target="http://gutenberg.spiegel.de/?id=5&amp;xid=5479&amp;kapitel=19&amp;cHash=c9ba69ac182" TargetMode="External"/><Relationship Id="rId557" Type="http://schemas.openxmlformats.org/officeDocument/2006/relationships/hyperlink" Target="http://gutenberg.spiegel.de/?id=5&amp;xid=5471&amp;kapitel=6&amp;cHash=fef33401182" TargetMode="External"/><Relationship Id="rId764" Type="http://schemas.openxmlformats.org/officeDocument/2006/relationships/image" Target="media/image18.png"/><Relationship Id="rId971" Type="http://schemas.openxmlformats.org/officeDocument/2006/relationships/hyperlink" Target="http://projekt.gutenberg.de/?id=5&amp;xid=5459&amp;kapitel=2&amp;cHash=2500fb16a9chap002" TargetMode="External"/><Relationship Id="rId1394" Type="http://schemas.openxmlformats.org/officeDocument/2006/relationships/hyperlink" Target="http://gutenberg.spiegel.de/?id=5&amp;xid=5454&amp;kapitel=6&amp;cHash=7be8bceb522" TargetMode="External"/><Relationship Id="rId1699" Type="http://schemas.openxmlformats.org/officeDocument/2006/relationships/hyperlink" Target="http://de.wikipedia.org/wiki/Konsil" TargetMode="External"/><Relationship Id="rId2000" Type="http://schemas.openxmlformats.org/officeDocument/2006/relationships/hyperlink" Target="http://de.wikisource.org/wiki/Studien_%C3%BCber_Hysterie/Theoretisches" TargetMode="External"/><Relationship Id="rId417" Type="http://schemas.openxmlformats.org/officeDocument/2006/relationships/hyperlink" Target="http://projekt.gutenberg.de/?id=5&amp;xid=5455&amp;kapitel=3&amp;cHash=893cd6bc1c2" TargetMode="External"/><Relationship Id="rId624" Type="http://schemas.openxmlformats.org/officeDocument/2006/relationships/hyperlink" Target="http://gutenberg.spiegel.de/?id=5&amp;xid=5471&amp;kapitel=6&amp;cHash=fef33401182" TargetMode="External"/><Relationship Id="rId831" Type="http://schemas.openxmlformats.org/officeDocument/2006/relationships/hyperlink" Target="http://gutenberg.spiegel.de/?id=5&amp;xid=5452&amp;kapitel=36&amp;cHash=0b6f4173732" TargetMode="External"/><Relationship Id="rId1047" Type="http://schemas.openxmlformats.org/officeDocument/2006/relationships/hyperlink" Target="http://projekt.gutenberg.de/?id=5&amp;xid=5459&amp;kapitel=4&amp;cHash=2500fb16a9chap004" TargetMode="External"/><Relationship Id="rId1254" Type="http://schemas.openxmlformats.org/officeDocument/2006/relationships/hyperlink" Target="http://projekt.gutenberg.de/?id=5&amp;xid=5469&amp;kapitel=4&amp;cHash=37599a73a72" TargetMode="External"/><Relationship Id="rId1461" Type="http://schemas.openxmlformats.org/officeDocument/2006/relationships/hyperlink" Target="http://gutenberg.spiegel.de/?id=5&amp;xid=4665&amp;kapitel=10&amp;cHash=cc1c208a602" TargetMode="External"/><Relationship Id="rId929" Type="http://schemas.openxmlformats.org/officeDocument/2006/relationships/hyperlink" Target="http://gutenberg.spiegel.de/?id=5&amp;xid=5453&amp;kapitel=32&amp;cHash=3aa83cf0982" TargetMode="External"/><Relationship Id="rId1114" Type="http://schemas.openxmlformats.org/officeDocument/2006/relationships/hyperlink" Target="http://projekt.gutenberg.de/?id=5&amp;xid=5455&amp;kapitel=3&amp;cHash=893cd6bc1c2" TargetMode="External"/><Relationship Id="rId1321" Type="http://schemas.openxmlformats.org/officeDocument/2006/relationships/hyperlink" Target="http://gutenberg.spiegel.de/?id=5&amp;xid=5468&amp;kapitel=4&amp;cHash=3b7308c8912" TargetMode="External"/><Relationship Id="rId1559" Type="http://schemas.openxmlformats.org/officeDocument/2006/relationships/hyperlink" Target="http://gutenberg.spiegel.de/?id=5&amp;xid=5466&amp;kapitel=5&amp;cHash=160114ee7d2" TargetMode="External"/><Relationship Id="rId1766" Type="http://schemas.openxmlformats.org/officeDocument/2006/relationships/hyperlink" Target="http://de.wikisource.org/wiki/Studien_%C3%BCber_Hysterie/Beobachtung_II._Frau_Emmy_v._N%E2%80%A6" TargetMode="External"/><Relationship Id="rId1973" Type="http://schemas.openxmlformats.org/officeDocument/2006/relationships/hyperlink" Target="http://de.wikisource.org/wiki/Seite:De_Studien_%C3%BCber_Hysterie_194.jpg" TargetMode="External"/><Relationship Id="rId58" Type="http://schemas.openxmlformats.org/officeDocument/2006/relationships/hyperlink" Target="http://gutenberg.spiegel.de/?id=5&amp;xid=5479&amp;kapitel=13&amp;cHash=c9ba69ac182" TargetMode="External"/><Relationship Id="rId1419" Type="http://schemas.openxmlformats.org/officeDocument/2006/relationships/hyperlink" Target="http://gutenberg.spiegel.de/?id=5&amp;xid=5454&amp;kapitel=14&amp;cHash=7be8bceb522" TargetMode="External"/><Relationship Id="rId1626" Type="http://schemas.openxmlformats.org/officeDocument/2006/relationships/hyperlink" Target="http://de.wikisource.org/wiki/Seite:De_Studien_%C3%BCber_Hysterie_017.jpg" TargetMode="External"/><Relationship Id="rId1833" Type="http://schemas.openxmlformats.org/officeDocument/2006/relationships/hyperlink" Target="http://de.wikisource.org/wiki/Seite:De_Studien_%C3%BCber_Hysterie_095.jpg" TargetMode="External"/><Relationship Id="rId1900" Type="http://schemas.openxmlformats.org/officeDocument/2006/relationships/hyperlink" Target="http://de.wikisource.org/wiki/Seite:De_Studien_%C3%BCber_Hysterie_148.jpg" TargetMode="External"/><Relationship Id="rId274" Type="http://schemas.openxmlformats.org/officeDocument/2006/relationships/hyperlink" Target="http://gutenberg.spiegel.de/?id=5&amp;xid=5470&amp;kapitel=7&amp;cHash=e3099ac4fe2" TargetMode="External"/><Relationship Id="rId481" Type="http://schemas.openxmlformats.org/officeDocument/2006/relationships/hyperlink" Target="http://gutenberg.spiegel.de/?id=5&amp;xid=5471&amp;kapitel=4&amp;cHash=fef33401182" TargetMode="External"/><Relationship Id="rId134" Type="http://schemas.openxmlformats.org/officeDocument/2006/relationships/hyperlink" Target="http://gutenberg.spiegel.de/?id=5&amp;xid=5479&amp;kapitel=21&amp;cHash=c9ba69ac182" TargetMode="External"/><Relationship Id="rId579" Type="http://schemas.openxmlformats.org/officeDocument/2006/relationships/hyperlink" Target="http://gutenberg.spiegel.de/?id=5&amp;xid=5471&amp;kapitel=6&amp;cHash=fef33401182" TargetMode="External"/><Relationship Id="rId786" Type="http://schemas.openxmlformats.org/officeDocument/2006/relationships/hyperlink" Target="http://gutenberg.spiegel.de/?id=5&amp;xid=5452&amp;kapitel=28&amp;cHash=0b6f4173732" TargetMode="External"/><Relationship Id="rId993" Type="http://schemas.openxmlformats.org/officeDocument/2006/relationships/hyperlink" Target="http://projekt.gutenberg.de/?id=5&amp;xid=5459&amp;kapitel=2&amp;cHash=2500fb16a9chap002" TargetMode="External"/><Relationship Id="rId341" Type="http://schemas.openxmlformats.org/officeDocument/2006/relationships/hyperlink" Target="http://gutenberg.spiegel.de/?id=5&amp;xid=5474&amp;kapitel=6&amp;cHash=319187eedd2" TargetMode="External"/><Relationship Id="rId439" Type="http://schemas.openxmlformats.org/officeDocument/2006/relationships/hyperlink" Target="http://gutenberg.spiegel.de/?id=5&amp;xid=5458&amp;kapitel=10&amp;cHash=cd31317e0b2" TargetMode="External"/><Relationship Id="rId646" Type="http://schemas.openxmlformats.org/officeDocument/2006/relationships/hyperlink" Target="http://gutenberg.spiegel.de/?id=5&amp;xid=5471&amp;kapitel=6&amp;cHash=fef33401182" TargetMode="External"/><Relationship Id="rId1069" Type="http://schemas.openxmlformats.org/officeDocument/2006/relationships/hyperlink" Target="http://projekt.gutenberg.de/?id=5&amp;xid=5455&amp;kapitel=2&amp;cHash=893cd6bc1c2" TargetMode="External"/><Relationship Id="rId1276" Type="http://schemas.openxmlformats.org/officeDocument/2006/relationships/hyperlink" Target="http://projekt.gutenberg.de/?id=5&amp;xid=5463&amp;kapitel=5&amp;cHash=3873cdf9922" TargetMode="External"/><Relationship Id="rId1483" Type="http://schemas.openxmlformats.org/officeDocument/2006/relationships/hyperlink" Target="http://gutenberg.spiegel.de/?id=5&amp;xid=5457&amp;kapitel=8&amp;cHash=8f5b827b6d2" TargetMode="External"/><Relationship Id="rId2022" Type="http://schemas.openxmlformats.org/officeDocument/2006/relationships/hyperlink" Target="http://de.wikisource.org/wiki/Studien_%C3%BCber_Hysterie/Theoretisches" TargetMode="External"/><Relationship Id="rId201" Type="http://schemas.openxmlformats.org/officeDocument/2006/relationships/hyperlink" Target="http://gutenberg.spiegel.de/?id=5&amp;xid=5479&amp;kapitel=26&amp;cHash=c9ba69ac182" TargetMode="External"/><Relationship Id="rId506" Type="http://schemas.openxmlformats.org/officeDocument/2006/relationships/hyperlink" Target="http://gutenberg.spiegel.de/?id=5&amp;xid=5471&amp;kapitel=4&amp;cHash=fef33401182" TargetMode="External"/><Relationship Id="rId853" Type="http://schemas.openxmlformats.org/officeDocument/2006/relationships/hyperlink" Target="http://gutenberg.spiegel.de/?id=5&amp;xid=5453&amp;kapitel=2&amp;cHash=3aa83cf0982" TargetMode="External"/><Relationship Id="rId1136" Type="http://schemas.openxmlformats.org/officeDocument/2006/relationships/hyperlink" Target="http://projekt.gutenberg.de/?id=5&amp;xid=5475&amp;kapitel=5&amp;cHash=f458b8542a2" TargetMode="External"/><Relationship Id="rId1690" Type="http://schemas.openxmlformats.org/officeDocument/2006/relationships/hyperlink" Target="http://de.wikisource.org/wiki/Studien_%C3%BCber_Hysterie/Beobachtung_I._Frl._Anna_O%E2%80%A6" TargetMode="External"/><Relationship Id="rId1788" Type="http://schemas.openxmlformats.org/officeDocument/2006/relationships/hyperlink" Target="http://de.wikisource.org/wiki/Seite:De_Studien_%C3%BCber_Hysterie_083.jpg" TargetMode="External"/><Relationship Id="rId1995" Type="http://schemas.openxmlformats.org/officeDocument/2006/relationships/hyperlink" Target="http://de.wikisource.org/wiki/Seite:De_Studien_%C3%BCber_Hysterie_213.jpg" TargetMode="External"/><Relationship Id="rId713" Type="http://schemas.openxmlformats.org/officeDocument/2006/relationships/hyperlink" Target="http://gutenberg.spiegel.de/?id=5&amp;xid=5452&amp;kapitel=8&amp;cHash=0b6f4173732" TargetMode="External"/><Relationship Id="rId920" Type="http://schemas.openxmlformats.org/officeDocument/2006/relationships/image" Target="media/image26.png"/><Relationship Id="rId1343" Type="http://schemas.openxmlformats.org/officeDocument/2006/relationships/hyperlink" Target="http://gutenberg.spiegel.de/?id=5&amp;xid=5468&amp;kapitel=9&amp;cHash=3b7308c8912" TargetMode="External"/><Relationship Id="rId1550" Type="http://schemas.openxmlformats.org/officeDocument/2006/relationships/hyperlink" Target="http://gutenberg.spiegel.de/?id=5&amp;xid=5466&amp;kapitel=4&amp;cHash=160114ee7d2" TargetMode="External"/><Relationship Id="rId1648" Type="http://schemas.openxmlformats.org/officeDocument/2006/relationships/hyperlink" Target="http://de.wikisource.org/wiki/Seite:De_Studien_%C3%BCber_Hysterie_026.jpg" TargetMode="External"/><Relationship Id="rId1203" Type="http://schemas.openxmlformats.org/officeDocument/2006/relationships/hyperlink" Target="http://projekt.gutenberg.de/?id=5&amp;xid=5469&amp;kapitel=2&amp;cHash=37599a73a72" TargetMode="External"/><Relationship Id="rId1410" Type="http://schemas.openxmlformats.org/officeDocument/2006/relationships/hyperlink" Target="http://gutenberg.spiegel.de/?id=5&amp;xid=5454&amp;kapitel=12&amp;cHash=7be8bceb522" TargetMode="External"/><Relationship Id="rId1508" Type="http://schemas.openxmlformats.org/officeDocument/2006/relationships/hyperlink" Target="http://gutenberg.spiegel.de/?id=5&amp;xid=5466&amp;kapitel=1" TargetMode="External"/><Relationship Id="rId1855" Type="http://schemas.openxmlformats.org/officeDocument/2006/relationships/hyperlink" Target="http://de.wikisource.org/wiki/Seite:De_Studien_%C3%BCber_Hysterie_110.jpg" TargetMode="External"/><Relationship Id="rId1715" Type="http://schemas.openxmlformats.org/officeDocument/2006/relationships/hyperlink" Target="http://de.wikipedia.org/wiki/Protoplasma" TargetMode="External"/><Relationship Id="rId1922" Type="http://schemas.openxmlformats.org/officeDocument/2006/relationships/hyperlink" Target="http://de.wikisource.org/wiki/Studien_%C3%BCber_Hysterie/Beobachtung_V._Frl._Elisabeth_v._R%E2%80%A6" TargetMode="External"/><Relationship Id="rId296" Type="http://schemas.openxmlformats.org/officeDocument/2006/relationships/hyperlink" Target="http://gutenberg.spiegel.de/?id=5&amp;xid=5474&amp;kapitel=2&amp;cHash=319187eedd2" TargetMode="External"/><Relationship Id="rId156" Type="http://schemas.openxmlformats.org/officeDocument/2006/relationships/hyperlink" Target="http://gutenberg.spiegel.de/?id=5&amp;xid=5479&amp;kapitel=24&amp;cHash=c9ba69ac182" TargetMode="External"/><Relationship Id="rId363" Type="http://schemas.openxmlformats.org/officeDocument/2006/relationships/hyperlink" Target="http://projekt.gutenberg.de/?id=5&amp;xid=5455&amp;kapitel=1" TargetMode="External"/><Relationship Id="rId570" Type="http://schemas.openxmlformats.org/officeDocument/2006/relationships/hyperlink" Target="http://gutenberg.spiegel.de/?id=5&amp;xid=5471&amp;kapitel=6&amp;cHash=fef33401182" TargetMode="External"/><Relationship Id="rId2044" Type="http://schemas.openxmlformats.org/officeDocument/2006/relationships/hyperlink" Target="http://de.wikisource.org/wiki/Seite:De_Studien_%C3%BCber_Hysterie_231.jpg" TargetMode="External"/><Relationship Id="rId223" Type="http://schemas.openxmlformats.org/officeDocument/2006/relationships/hyperlink" Target="http://gutenberg.spiegel.de/?id=5&amp;xid=5479&amp;kapitel=31&amp;cHash=c9ba69ac182" TargetMode="External"/><Relationship Id="rId430" Type="http://schemas.openxmlformats.org/officeDocument/2006/relationships/hyperlink" Target="http://projekt.gutenberg.de/?id=5&amp;xid=5455&amp;kapitel=3&amp;cHash=893cd6bc1c2" TargetMode="External"/><Relationship Id="rId668" Type="http://schemas.openxmlformats.org/officeDocument/2006/relationships/hyperlink" Target="http://gutenberg.spiegel.de/?id=5&amp;xid=5471&amp;kapitel=6&amp;cHash=fef33401182" TargetMode="External"/><Relationship Id="rId875" Type="http://schemas.openxmlformats.org/officeDocument/2006/relationships/hyperlink" Target="http://gutenberg.spiegel.de/?id=5&amp;xid=5453&amp;kapitel=12&amp;cHash=3aa83cf0982" TargetMode="External"/><Relationship Id="rId1060" Type="http://schemas.openxmlformats.org/officeDocument/2006/relationships/hyperlink" Target="http://projekt.gutenberg.de/?id=5&amp;xid=5455&amp;kapitel=2&amp;cHash=893cd6bc1c2" TargetMode="External"/><Relationship Id="rId1298" Type="http://schemas.openxmlformats.org/officeDocument/2006/relationships/hyperlink" Target="http://projekt.gutenberg.de/?id=5&amp;xid=5463&amp;kapitel=8&amp;cHash=3873cdf9922" TargetMode="External"/><Relationship Id="rId528" Type="http://schemas.openxmlformats.org/officeDocument/2006/relationships/hyperlink" Target="http://gutenberg.spiegel.de/?id=5&amp;xid=5471&amp;kapitel=5&amp;cHash=fef33401182" TargetMode="External"/><Relationship Id="rId735" Type="http://schemas.openxmlformats.org/officeDocument/2006/relationships/hyperlink" Target="http://gutenberg.spiegel.de/?id=5&amp;xid=5452&amp;kapitel=10&amp;cHash=0b6f4173732" TargetMode="External"/><Relationship Id="rId942" Type="http://schemas.openxmlformats.org/officeDocument/2006/relationships/hyperlink" Target="http://gutenberg.spiegel.de/?id=5&amp;xid=5453&amp;kapitel=33&amp;cHash=3aa83cf0982" TargetMode="External"/><Relationship Id="rId1158" Type="http://schemas.openxmlformats.org/officeDocument/2006/relationships/hyperlink" Target="http://projekt.gutenberg.de/?id=5&amp;xid=5475&amp;kapitel=8&amp;cHash=f458b8542a2" TargetMode="External"/><Relationship Id="rId1365" Type="http://schemas.openxmlformats.org/officeDocument/2006/relationships/hyperlink" Target="http://gutenberg.spiegel.de/?id=5&amp;xid=5454&amp;kapitel=2&amp;cHash=7be8bceb522" TargetMode="External"/><Relationship Id="rId1572" Type="http://schemas.openxmlformats.org/officeDocument/2006/relationships/hyperlink" Target="http://gutenberg.spiegel.de/?id=5&amp;xid=5466&amp;kapitel=5&amp;cHash=160114ee7d2" TargetMode="External"/><Relationship Id="rId1018" Type="http://schemas.openxmlformats.org/officeDocument/2006/relationships/hyperlink" Target="http://projekt.gutenberg.de/?id=5&amp;xid=5459&amp;kapitel=3&amp;cHash=2500fb16a9chap003" TargetMode="External"/><Relationship Id="rId1225" Type="http://schemas.openxmlformats.org/officeDocument/2006/relationships/hyperlink" Target="http://projekt.gutenberg.de/?id=5&amp;xid=5469&amp;kapitel=3&amp;cHash=37599a73a72" TargetMode="External"/><Relationship Id="rId1432" Type="http://schemas.openxmlformats.org/officeDocument/2006/relationships/hyperlink" Target="http://gutenberg.spiegel.de/?id=5&amp;xid=5454&amp;kapitel=20&amp;cHash=7be8bceb522" TargetMode="External"/><Relationship Id="rId1877" Type="http://schemas.openxmlformats.org/officeDocument/2006/relationships/hyperlink" Target="http://de.wikisource.org/wiki/Seite:De_Studien_%C3%BCber_Hysterie_128.jpg" TargetMode="External"/><Relationship Id="rId71" Type="http://schemas.openxmlformats.org/officeDocument/2006/relationships/hyperlink" Target="http://gutenberg.spiegel.de/?id=5&amp;xid=5479&amp;kapitel=14&amp;cHash=c9ba69ac182" TargetMode="External"/><Relationship Id="rId802" Type="http://schemas.openxmlformats.org/officeDocument/2006/relationships/hyperlink" Target="http://gutenberg.spiegel.de/?id=5&amp;xid=5452&amp;kapitel=32&amp;cHash=0b6f4173732" TargetMode="External"/><Relationship Id="rId1737" Type="http://schemas.openxmlformats.org/officeDocument/2006/relationships/hyperlink" Target="http://de.wikisource.org/wiki/Seite:De_Studien_%C3%BCber_Hysterie_047.jpg" TargetMode="External"/><Relationship Id="rId1944" Type="http://schemas.openxmlformats.org/officeDocument/2006/relationships/hyperlink" Target="http://de.wikisource.org/wiki/Seite:De_Studien_%C3%BCber_Hysterie_175.jpg" TargetMode="External"/><Relationship Id="rId29" Type="http://schemas.openxmlformats.org/officeDocument/2006/relationships/hyperlink" Target="http://gutenberg.spiegel.de/?id=5&amp;xid=5479&amp;kapitel=8&amp;cHash=c9ba69ac182" TargetMode="External"/><Relationship Id="rId178" Type="http://schemas.openxmlformats.org/officeDocument/2006/relationships/hyperlink" Target="http://gutenberg.spiegel.de/?id=5&amp;xid=5479&amp;kapitel=25&amp;cHash=c9ba69ac182" TargetMode="External"/><Relationship Id="rId1804" Type="http://schemas.openxmlformats.org/officeDocument/2006/relationships/hyperlink" Target="http://de.wikisource.org/wiki/Studien_%C3%BCber_Hysterie/Beobachtung_II._Frau_Emmy_v._N%E2%80%A6" TargetMode="External"/><Relationship Id="rId385" Type="http://schemas.openxmlformats.org/officeDocument/2006/relationships/hyperlink" Target="http://projekt.gutenberg.de/?id=5&amp;xid=5455&amp;kapitel=2&amp;cHash=893cd6bc1c2" TargetMode="External"/><Relationship Id="rId592" Type="http://schemas.openxmlformats.org/officeDocument/2006/relationships/hyperlink" Target="http://gutenberg.spiegel.de/?id=5&amp;xid=5471&amp;kapitel=6&amp;cHash=fef33401182" TargetMode="External"/><Relationship Id="rId2066" Type="http://schemas.openxmlformats.org/officeDocument/2006/relationships/hyperlink" Target="http://de.wikisource.org/wiki/Seite:De_Studien_%C3%BCber_Hysterie_253.jpg" TargetMode="External"/><Relationship Id="rId245" Type="http://schemas.openxmlformats.org/officeDocument/2006/relationships/hyperlink" Target="http://gutenberg.spiegel.de/?id=5&amp;xid=5479&amp;kapitel=33&amp;cHash=c9ba69ac182" TargetMode="External"/><Relationship Id="rId452" Type="http://schemas.openxmlformats.org/officeDocument/2006/relationships/hyperlink" Target="http://gutenberg.spiegel.de/?id=5&amp;xid=5471&amp;kapitel=3&amp;cHash=fef33401182" TargetMode="External"/><Relationship Id="rId897" Type="http://schemas.openxmlformats.org/officeDocument/2006/relationships/hyperlink" Target="http://gutenberg.spiegel.de/?id=5&amp;xid=5453&amp;kapitel=17&amp;cHash=3aa83cf0982" TargetMode="External"/><Relationship Id="rId1082" Type="http://schemas.openxmlformats.org/officeDocument/2006/relationships/hyperlink" Target="http://projekt.gutenberg.de/?id=5&amp;xid=5455&amp;kapitel=2&amp;cHash=893cd6bc1c2" TargetMode="External"/><Relationship Id="rId105" Type="http://schemas.openxmlformats.org/officeDocument/2006/relationships/hyperlink" Target="http://gutenberg.spiegel.de/?id=5&amp;xid=5479&amp;kapitel=18&amp;cHash=c9ba69ac182" TargetMode="External"/><Relationship Id="rId312" Type="http://schemas.openxmlformats.org/officeDocument/2006/relationships/hyperlink" Target="http://gutenberg.spiegel.de/?id=5&amp;xid=5474&amp;kapitel=2&amp;cHash=319187eedd2" TargetMode="External"/><Relationship Id="rId757" Type="http://schemas.openxmlformats.org/officeDocument/2006/relationships/image" Target="media/image16.jpeg"/><Relationship Id="rId964" Type="http://schemas.openxmlformats.org/officeDocument/2006/relationships/hyperlink" Target="http://gutenberg.spiegel.de/?id=5&amp;xid=5453&amp;kapitel=39&amp;cHash=3aa83cf0982" TargetMode="External"/><Relationship Id="rId1387" Type="http://schemas.openxmlformats.org/officeDocument/2006/relationships/hyperlink" Target="http://gutenberg.spiegel.de/?id=5&amp;xid=5454&amp;kapitel=4&amp;cHash=7be8bceb522" TargetMode="External"/><Relationship Id="rId1594" Type="http://schemas.openxmlformats.org/officeDocument/2006/relationships/hyperlink" Target="http://gutenberg.spiegel.de/?id=5&amp;xid=5456&amp;kapitel=5&amp;cHash=177f1789a72" TargetMode="External"/><Relationship Id="rId93" Type="http://schemas.openxmlformats.org/officeDocument/2006/relationships/hyperlink" Target="http://gutenberg.spiegel.de/?id=5&amp;xid=5479&amp;kapitel=17&amp;cHash=c9ba69ac182" TargetMode="External"/><Relationship Id="rId617" Type="http://schemas.openxmlformats.org/officeDocument/2006/relationships/hyperlink" Target="http://gutenberg.spiegel.de/?id=5&amp;xid=5471&amp;kapitel=6&amp;cHash=fef33401182" TargetMode="External"/><Relationship Id="rId824" Type="http://schemas.openxmlformats.org/officeDocument/2006/relationships/hyperlink" Target="http://gutenberg.spiegel.de/?id=5&amp;xid=5452&amp;kapitel=33&amp;cHash=0b6f4173732" TargetMode="External"/><Relationship Id="rId1247" Type="http://schemas.openxmlformats.org/officeDocument/2006/relationships/hyperlink" Target="http://projekt.gutenberg.de/?id=5&amp;xid=5469&amp;kapitel=4&amp;cHash=37599a73a72" TargetMode="External"/><Relationship Id="rId1454" Type="http://schemas.openxmlformats.org/officeDocument/2006/relationships/hyperlink" Target="http://gutenberg.spiegel.de/?id=5&amp;xid=4665&amp;kapitel=4&amp;cHash=cc1c208a602" TargetMode="External"/><Relationship Id="rId1661" Type="http://schemas.openxmlformats.org/officeDocument/2006/relationships/hyperlink" Target="http://de.wikisource.org/wiki/Seite:De_Studien_%C3%BCber_Hysterie_034.jpg" TargetMode="External"/><Relationship Id="rId1899" Type="http://schemas.openxmlformats.org/officeDocument/2006/relationships/hyperlink" Target="http://de.wikisource.org/wiki/Studien_%C3%BCber_Hysterie/Beobachtung_V._Frl._Elisabeth_v._R%E2%80%A6" TargetMode="External"/><Relationship Id="rId1107" Type="http://schemas.openxmlformats.org/officeDocument/2006/relationships/hyperlink" Target="http://projekt.gutenberg.de/?id=5&amp;xid=5455&amp;kapitel=3&amp;cHash=893cd6bc1c2" TargetMode="External"/><Relationship Id="rId1314" Type="http://schemas.openxmlformats.org/officeDocument/2006/relationships/hyperlink" Target="http://gutenberg.spiegel.de/?id=5&amp;xid=5468&amp;kapitel=4&amp;cHash=3b7308c8912" TargetMode="External"/><Relationship Id="rId1521" Type="http://schemas.openxmlformats.org/officeDocument/2006/relationships/hyperlink" Target="http://gutenberg.spiegel.de/?id=5&amp;xid=5466&amp;kapitel=2&amp;cHash=160114ee7d2" TargetMode="External"/><Relationship Id="rId1759" Type="http://schemas.openxmlformats.org/officeDocument/2006/relationships/hyperlink" Target="http://de.wikisource.org/wiki/Seite:De_Studien_%C3%BCber_Hysterie_060.jpg" TargetMode="External"/><Relationship Id="rId1966" Type="http://schemas.openxmlformats.org/officeDocument/2006/relationships/hyperlink" Target="http://de.wikisource.org/wiki/Studien_%C3%BCber_Hysterie/Theoretisches" TargetMode="External"/><Relationship Id="rId1619" Type="http://schemas.openxmlformats.org/officeDocument/2006/relationships/hyperlink" Target="http://de.wikisource.org/wiki/Seite:De_Studien_%C3%BCber_Hysterie_016.jpg" TargetMode="External"/><Relationship Id="rId1826" Type="http://schemas.openxmlformats.org/officeDocument/2006/relationships/hyperlink" Target="http://de.wikisource.org/wiki/Seite:De_Studien_%C3%BCber_Hysterie_080.jpg" TargetMode="External"/><Relationship Id="rId20" Type="http://schemas.openxmlformats.org/officeDocument/2006/relationships/hyperlink" Target="http://gutenberg.spiegel.de/?id=5&amp;xid=5479&amp;kapitel=5&amp;cHash=c9ba69ac182" TargetMode="External"/><Relationship Id="rId267" Type="http://schemas.openxmlformats.org/officeDocument/2006/relationships/hyperlink" Target="http://gutenberg.spiegel.de/?id=5&amp;xid=5470&amp;kapitel=5&amp;cHash=e3099ac4fe2" TargetMode="External"/><Relationship Id="rId474" Type="http://schemas.openxmlformats.org/officeDocument/2006/relationships/hyperlink" Target="http://gutenberg.spiegel.de/?id=5&amp;xid=5471&amp;kapitel=4&amp;cHash=fef33401182" TargetMode="External"/><Relationship Id="rId127" Type="http://schemas.openxmlformats.org/officeDocument/2006/relationships/hyperlink" Target="http://gutenberg.spiegel.de/?id=5&amp;xid=5479&amp;kapitel=19&amp;cHash=c9ba69ac182" TargetMode="External"/><Relationship Id="rId681" Type="http://schemas.openxmlformats.org/officeDocument/2006/relationships/hyperlink" Target="http://gutenberg.spiegel.de/?id=5&amp;xid=5471&amp;kapitel=6&amp;cHash=fef33401182" TargetMode="External"/><Relationship Id="rId779" Type="http://schemas.openxmlformats.org/officeDocument/2006/relationships/hyperlink" Target="http://gutenberg.spiegel.de/?id=5&amp;xid=5452&amp;kapitel=19&amp;cHash=0b6f4173732" TargetMode="External"/><Relationship Id="rId986" Type="http://schemas.openxmlformats.org/officeDocument/2006/relationships/hyperlink" Target="http://projekt.gutenberg.de/?id=5&amp;xid=5459&amp;kapitel=2&amp;cHash=2500fb16a9chap002" TargetMode="External"/><Relationship Id="rId334" Type="http://schemas.openxmlformats.org/officeDocument/2006/relationships/hyperlink" Target="http://gutenberg.spiegel.de/?id=5&amp;xid=5474&amp;kapitel=5&amp;cHash=319187eedd2" TargetMode="External"/><Relationship Id="rId541" Type="http://schemas.openxmlformats.org/officeDocument/2006/relationships/hyperlink" Target="http://gutenberg.spiegel.de/?id=5&amp;xid=5471&amp;kapitel=6&amp;cHash=fef33401182" TargetMode="External"/><Relationship Id="rId639" Type="http://schemas.openxmlformats.org/officeDocument/2006/relationships/hyperlink" Target="http://gutenberg.spiegel.de/?id=5&amp;xid=5471&amp;kapitel=6&amp;cHash=fef33401182" TargetMode="External"/><Relationship Id="rId1171" Type="http://schemas.openxmlformats.org/officeDocument/2006/relationships/hyperlink" Target="http://projekt.gutenberg.de/?id=5&amp;xid=5475&amp;kapitel=9&amp;cHash=f458b8542a2" TargetMode="External"/><Relationship Id="rId1269" Type="http://schemas.openxmlformats.org/officeDocument/2006/relationships/hyperlink" Target="http://projekt.gutenberg.de/?id=5&amp;xid=5463&amp;kapitel=4&amp;cHash=3873cdf9922" TargetMode="External"/><Relationship Id="rId1476" Type="http://schemas.openxmlformats.org/officeDocument/2006/relationships/hyperlink" Target="http://gutenberg.spiegel.de/?id=5&amp;xid=5457&amp;kapitel=5&amp;cHash=8f5b827b6d2" TargetMode="External"/><Relationship Id="rId2015" Type="http://schemas.openxmlformats.org/officeDocument/2006/relationships/hyperlink" Target="http://de.wikisource.org/wiki/Studien_%C3%BCber_Hysterie/Theoretisches" TargetMode="External"/><Relationship Id="rId401" Type="http://schemas.openxmlformats.org/officeDocument/2006/relationships/hyperlink" Target="http://projekt.gutenberg.de/?id=5&amp;xid=5455&amp;kapitel=2&amp;cHash=893cd6bc1c2" TargetMode="External"/><Relationship Id="rId846" Type="http://schemas.openxmlformats.org/officeDocument/2006/relationships/hyperlink" Target="http://gutenberg.spiegel.de/?id=5&amp;xid=5452&amp;kapitel=41&amp;cHash=0b6f4173732" TargetMode="External"/><Relationship Id="rId1031" Type="http://schemas.openxmlformats.org/officeDocument/2006/relationships/hyperlink" Target="http://projekt.gutenberg.de/?id=5&amp;xid=5459&amp;kapitel=4&amp;cHash=2500fb16a9chap004" TargetMode="External"/><Relationship Id="rId1129" Type="http://schemas.openxmlformats.org/officeDocument/2006/relationships/hyperlink" Target="http://projekt.gutenberg.de/?id=5&amp;xid=5475&amp;kapitel=5&amp;cHash=f458b8542a2" TargetMode="External"/><Relationship Id="rId1683" Type="http://schemas.openxmlformats.org/officeDocument/2006/relationships/hyperlink" Target="http://de.wikisource.org/wiki/Studien_%C3%BCber_Hysterie/Beobachtung_I._Frl._Anna_O%E2%80%A6" TargetMode="External"/><Relationship Id="rId1890" Type="http://schemas.openxmlformats.org/officeDocument/2006/relationships/hyperlink" Target="http://de.wikisource.org/wiki/Seite:De_Studien_%C3%BCber_Hysterie_140.jpg" TargetMode="External"/><Relationship Id="rId1988" Type="http://schemas.openxmlformats.org/officeDocument/2006/relationships/hyperlink" Target="http://de.wikisource.org/wiki/Studien_%C3%BCber_Hysterie/Theoretisches" TargetMode="External"/><Relationship Id="rId706" Type="http://schemas.openxmlformats.org/officeDocument/2006/relationships/hyperlink" Target="http://gutenberg.spiegel.de/?id=5&amp;xid=5452&amp;kapitel=7&amp;cHash=0b6f4173732" TargetMode="External"/><Relationship Id="rId913" Type="http://schemas.openxmlformats.org/officeDocument/2006/relationships/hyperlink" Target="http://gutenberg.spiegel.de/?id=5&amp;xid=5453&amp;kapitel=22&amp;cHash=3aa83cf0982" TargetMode="External"/><Relationship Id="rId1336" Type="http://schemas.openxmlformats.org/officeDocument/2006/relationships/hyperlink" Target="http://gutenberg.spiegel.de/?id=5&amp;xid=5468&amp;kapitel=8&amp;cHash=3b7308c8912" TargetMode="External"/><Relationship Id="rId1543" Type="http://schemas.openxmlformats.org/officeDocument/2006/relationships/hyperlink" Target="http://gutenberg.spiegel.de/?id=5&amp;xid=5466&amp;kapitel=4&amp;cHash=160114ee7d2" TargetMode="External"/><Relationship Id="rId1750" Type="http://schemas.openxmlformats.org/officeDocument/2006/relationships/hyperlink" Target="http://de.wikisource.org/wiki/Studien_%C3%BCber_Hysterie/Beobachtung_II._Frau_Emmy_v._N%E2%80%A6" TargetMode="External"/><Relationship Id="rId42" Type="http://schemas.openxmlformats.org/officeDocument/2006/relationships/hyperlink" Target="http://gutenberg.spiegel.de/?id=5&amp;xid=5479&amp;kapitel=12&amp;cHash=c9ba69ac182" TargetMode="External"/><Relationship Id="rId1403" Type="http://schemas.openxmlformats.org/officeDocument/2006/relationships/hyperlink" Target="http://gutenberg.spiegel.de/?id=5&amp;xid=5454&amp;kapitel=10&amp;cHash=7be8bceb522" TargetMode="External"/><Relationship Id="rId1610" Type="http://schemas.openxmlformats.org/officeDocument/2006/relationships/hyperlink" Target="http://de.wikisource.org/wiki/Seite:De_Studien_%C3%BCber_Hysterie_009.jpg" TargetMode="External"/><Relationship Id="rId1848" Type="http://schemas.openxmlformats.org/officeDocument/2006/relationships/hyperlink" Target="http://de.wikisource.org/wiki/Seite:De_Studien_%C3%BCber_Hysterie_096.jpg" TargetMode="External"/><Relationship Id="rId191" Type="http://schemas.openxmlformats.org/officeDocument/2006/relationships/hyperlink" Target="http://gutenberg.spiegel.de/?id=5&amp;xid=5479&amp;kapitel=25&amp;cHash=c9ba69ac182" TargetMode="External"/><Relationship Id="rId1708" Type="http://schemas.openxmlformats.org/officeDocument/2006/relationships/hyperlink" Target="http://de.wikisource.org/wiki/Studien_%C3%BCber_Hysterie/Beobachtung_I._Frl._Anna_O%E2%80%A6" TargetMode="External"/><Relationship Id="rId1915" Type="http://schemas.openxmlformats.org/officeDocument/2006/relationships/hyperlink" Target="http://de.wikisource.org/wiki/Studien_%C3%BCber_Hysterie/Beobachtung_V._Frl._Elisabeth_v._R%E2%80%A6" TargetMode="External"/><Relationship Id="rId289" Type="http://schemas.openxmlformats.org/officeDocument/2006/relationships/hyperlink" Target="http://gutenberg.spiegel.de/?id=5&amp;xid=5474&amp;kapitel=2&amp;cHash=319187eedd2" TargetMode="External"/><Relationship Id="rId496" Type="http://schemas.openxmlformats.org/officeDocument/2006/relationships/hyperlink" Target="http://gutenberg.spiegel.de/?id=5&amp;xid=5471&amp;kapitel=4&amp;cHash=fef33401182" TargetMode="External"/><Relationship Id="rId149" Type="http://schemas.openxmlformats.org/officeDocument/2006/relationships/hyperlink" Target="http://gutenberg.spiegel.de/?id=5&amp;xid=5479&amp;kapitel=24&amp;cHash=c9ba69ac182" TargetMode="External"/><Relationship Id="rId356" Type="http://schemas.openxmlformats.org/officeDocument/2006/relationships/hyperlink" Target="http://gutenberg.spiegel.de/?id=5&amp;xid=5474&amp;kapitel=7&amp;cHash=319187eedd2" TargetMode="External"/><Relationship Id="rId563" Type="http://schemas.openxmlformats.org/officeDocument/2006/relationships/hyperlink" Target="http://gutenberg.spiegel.de/?id=5&amp;xid=5471&amp;kapitel=6&amp;cHash=fef33401182" TargetMode="External"/><Relationship Id="rId770" Type="http://schemas.openxmlformats.org/officeDocument/2006/relationships/image" Target="media/image22.jpeg"/><Relationship Id="rId1193" Type="http://schemas.openxmlformats.org/officeDocument/2006/relationships/hyperlink" Target="http://projekt.gutenberg.de/?id=5&amp;xid=5469&amp;kapitel=2&amp;cHash=37599a73a72" TargetMode="External"/><Relationship Id="rId2037" Type="http://schemas.openxmlformats.org/officeDocument/2006/relationships/hyperlink" Target="http://de.wikisource.org/wiki/Studien_%C3%BCber_Hysterie/Zur_Psychotherapie_der_Hysterie" TargetMode="External"/><Relationship Id="rId216" Type="http://schemas.openxmlformats.org/officeDocument/2006/relationships/hyperlink" Target="http://gutenberg.spiegel.de/?id=5&amp;xid=5479&amp;kapitel=28&amp;cHash=c9ba69ac182" TargetMode="External"/><Relationship Id="rId423" Type="http://schemas.openxmlformats.org/officeDocument/2006/relationships/hyperlink" Target="http://projekt.gutenberg.de/?id=5&amp;xid=5455&amp;kapitel=3&amp;cHash=893cd6bc1c2" TargetMode="External"/><Relationship Id="rId868" Type="http://schemas.openxmlformats.org/officeDocument/2006/relationships/hyperlink" Target="http://gutenberg.spiegel.de/?id=5&amp;xid=5453&amp;kapitel=11&amp;cHash=3aa83cf0982" TargetMode="External"/><Relationship Id="rId1053" Type="http://schemas.openxmlformats.org/officeDocument/2006/relationships/hyperlink" Target="http://projekt.gutenberg.de/?id=5&amp;xid=5455&amp;kapitel=1" TargetMode="External"/><Relationship Id="rId1260" Type="http://schemas.openxmlformats.org/officeDocument/2006/relationships/hyperlink" Target="http://projekt.gutenberg.de/?id=5&amp;xid=5469&amp;kapitel=5&amp;cHash=37599a73a72" TargetMode="External"/><Relationship Id="rId1498" Type="http://schemas.openxmlformats.org/officeDocument/2006/relationships/hyperlink" Target="http://gutenberg.spiegel.de/?id=5&amp;xid=5466&amp;kapitel=1" TargetMode="External"/><Relationship Id="rId630" Type="http://schemas.openxmlformats.org/officeDocument/2006/relationships/hyperlink" Target="http://gutenberg.spiegel.de/?id=5&amp;xid=5471&amp;kapitel=6&amp;cHash=fef33401182" TargetMode="External"/><Relationship Id="rId728" Type="http://schemas.openxmlformats.org/officeDocument/2006/relationships/hyperlink" Target="http://gutenberg.spiegel.de/?id=5&amp;xid=5452&amp;kapitel=9&amp;cHash=0b6f4173732" TargetMode="External"/><Relationship Id="rId935" Type="http://schemas.openxmlformats.org/officeDocument/2006/relationships/hyperlink" Target="http://gutenberg.spiegel.de/?id=5&amp;xid=5453&amp;kapitel=32&amp;cHash=3aa83cf0982" TargetMode="External"/><Relationship Id="rId1358" Type="http://schemas.openxmlformats.org/officeDocument/2006/relationships/hyperlink" Target="http://gutenberg.spiegel.de/?id=5&amp;xid=5468&amp;kapitel=15&amp;cHash=3b7308c8912" TargetMode="External"/><Relationship Id="rId1565" Type="http://schemas.openxmlformats.org/officeDocument/2006/relationships/hyperlink" Target="http://gutenberg.spiegel.de/?id=5&amp;xid=5466&amp;kapitel=5&amp;cHash=160114ee7d2" TargetMode="External"/><Relationship Id="rId1772" Type="http://schemas.openxmlformats.org/officeDocument/2006/relationships/hyperlink" Target="http://de.wikisource.org/wiki/Seite:De_Studien_%C3%BCber_Hysterie_069.jpg" TargetMode="External"/><Relationship Id="rId64" Type="http://schemas.openxmlformats.org/officeDocument/2006/relationships/hyperlink" Target="http://gutenberg.spiegel.de/?id=5&amp;xid=5479&amp;kapitel=14&amp;cHash=c9ba69ac182" TargetMode="External"/><Relationship Id="rId1120" Type="http://schemas.openxmlformats.org/officeDocument/2006/relationships/hyperlink" Target="http://projekt.gutenberg.de/?id=5&amp;xid=5455&amp;kapitel=3&amp;cHash=893cd6bc1c2" TargetMode="External"/><Relationship Id="rId1218" Type="http://schemas.openxmlformats.org/officeDocument/2006/relationships/hyperlink" Target="http://projekt.gutenberg.de/?id=5&amp;xid=5469&amp;kapitel=3&amp;cHash=37599a73a72" TargetMode="External"/><Relationship Id="rId1425" Type="http://schemas.openxmlformats.org/officeDocument/2006/relationships/hyperlink" Target="http://gutenberg.spiegel.de/?id=5&amp;xid=5454&amp;kapitel=17&amp;cHash=7be8bceb522" TargetMode="External"/><Relationship Id="rId1632" Type="http://schemas.openxmlformats.org/officeDocument/2006/relationships/hyperlink" Target="http://de.wikisource.org/wiki/Studien_%C3%BCber_Hysterie/Beobachtung_I._Frl._Anna_O%E2%80%A6" TargetMode="External"/><Relationship Id="rId1937" Type="http://schemas.openxmlformats.org/officeDocument/2006/relationships/hyperlink" Target="http://de.wikisource.org/wiki/Studien_%C3%BCber_Hysterie/Theoretisches" TargetMode="External"/><Relationship Id="rId280" Type="http://schemas.openxmlformats.org/officeDocument/2006/relationships/hyperlink" Target="http://gutenberg.spiegel.de/?id=5&amp;xid=5470&amp;kapitel=8&amp;cHash=e3099ac4fe2" TargetMode="External"/><Relationship Id="rId140" Type="http://schemas.openxmlformats.org/officeDocument/2006/relationships/hyperlink" Target="http://gutenberg.spiegel.de/?id=5&amp;xid=5479&amp;kapitel=23&amp;cHash=c9ba69ac182" TargetMode="External"/><Relationship Id="rId378" Type="http://schemas.openxmlformats.org/officeDocument/2006/relationships/hyperlink" Target="http://projekt.gutenberg.de/?id=5&amp;xid=5455&amp;kapitel=2&amp;cHash=893cd6bc1c2" TargetMode="External"/><Relationship Id="rId585" Type="http://schemas.openxmlformats.org/officeDocument/2006/relationships/hyperlink" Target="http://gutenberg.spiegel.de/?id=5&amp;xid=5471&amp;kapitel=6&amp;cHash=fef33401182" TargetMode="External"/><Relationship Id="rId792" Type="http://schemas.openxmlformats.org/officeDocument/2006/relationships/hyperlink" Target="http://gutenberg.spiegel.de/?id=5&amp;xid=5452&amp;kapitel=30&amp;cHash=0b6f4173732" TargetMode="External"/><Relationship Id="rId2059" Type="http://schemas.openxmlformats.org/officeDocument/2006/relationships/hyperlink" Target="http://de.wikisource.org/wiki/Seite:De_Studien_%C3%BCber_Hysterie_246.jpg" TargetMode="External"/><Relationship Id="rId6" Type="http://schemas.openxmlformats.org/officeDocument/2006/relationships/footnotes" Target="footnotes.xml"/><Relationship Id="rId238" Type="http://schemas.openxmlformats.org/officeDocument/2006/relationships/image" Target="media/image11.png"/><Relationship Id="rId445" Type="http://schemas.openxmlformats.org/officeDocument/2006/relationships/hyperlink" Target="http://gutenberg.spiegel.de/?id=5&amp;xid=5471&amp;kapitel=3&amp;cHash=fef33401182" TargetMode="External"/><Relationship Id="rId652" Type="http://schemas.openxmlformats.org/officeDocument/2006/relationships/hyperlink" Target="http://gutenberg.spiegel.de/?id=5&amp;xid=5471&amp;kapitel=6&amp;cHash=fef33401182" TargetMode="External"/><Relationship Id="rId1075" Type="http://schemas.openxmlformats.org/officeDocument/2006/relationships/hyperlink" Target="http://projekt.gutenberg.de/?id=5&amp;xid=5455&amp;kapitel=2&amp;cHash=893cd6bc1c2" TargetMode="External"/><Relationship Id="rId1282" Type="http://schemas.openxmlformats.org/officeDocument/2006/relationships/hyperlink" Target="http://projekt.gutenberg.de/?id=5&amp;xid=5463&amp;kapitel=7&amp;cHash=3873cdf9922" TargetMode="External"/><Relationship Id="rId305" Type="http://schemas.openxmlformats.org/officeDocument/2006/relationships/hyperlink" Target="http://gutenberg.spiegel.de/?id=5&amp;xid=5474&amp;kapitel=2&amp;cHash=319187eedd2" TargetMode="External"/><Relationship Id="rId512" Type="http://schemas.openxmlformats.org/officeDocument/2006/relationships/hyperlink" Target="http://gutenberg.spiegel.de/?id=5&amp;xid=5471&amp;kapitel=5&amp;cHash=fef33401182" TargetMode="External"/><Relationship Id="rId957" Type="http://schemas.openxmlformats.org/officeDocument/2006/relationships/hyperlink" Target="http://gutenberg.spiegel.de/?id=5&amp;xid=5453&amp;kapitel=36&amp;cHash=3aa83cf0982" TargetMode="External"/><Relationship Id="rId1142" Type="http://schemas.openxmlformats.org/officeDocument/2006/relationships/hyperlink" Target="http://projekt.gutenberg.de/?id=5&amp;xid=5475&amp;kapitel=6&amp;cHash=f458b8542a2" TargetMode="External"/><Relationship Id="rId1587" Type="http://schemas.openxmlformats.org/officeDocument/2006/relationships/hyperlink" Target="http://gutenberg.spiegel.de/?id=5&amp;xid=5456&amp;kapitel=3&amp;cHash=177f1789a72" TargetMode="External"/><Relationship Id="rId1794" Type="http://schemas.openxmlformats.org/officeDocument/2006/relationships/hyperlink" Target="http://de.wikisource.org/wiki/Seite:De_Studien_%C3%BCber_Hysterie_088.jpg" TargetMode="External"/><Relationship Id="rId86" Type="http://schemas.openxmlformats.org/officeDocument/2006/relationships/hyperlink" Target="http://gutenberg.spiegel.de/?id=5&amp;xid=5479&amp;kapitel=16&amp;cHash=c9ba69ac182" TargetMode="External"/><Relationship Id="rId817" Type="http://schemas.openxmlformats.org/officeDocument/2006/relationships/hyperlink" Target="http://gutenberg.spiegel.de/?id=5&amp;xid=5452&amp;kapitel=33&amp;cHash=0b6f4173732" TargetMode="External"/><Relationship Id="rId1002" Type="http://schemas.openxmlformats.org/officeDocument/2006/relationships/hyperlink" Target="http://projekt.gutenberg.de/?id=5&amp;xid=5459&amp;kapitel=2&amp;cHash=2500fb16a9chap002" TargetMode="External"/><Relationship Id="rId1447" Type="http://schemas.openxmlformats.org/officeDocument/2006/relationships/hyperlink" Target="http://gutenberg.spiegel.de/?id=5&amp;xid=5454&amp;kapitel=24&amp;cHash=7be8bceb522" TargetMode="External"/><Relationship Id="rId1654" Type="http://schemas.openxmlformats.org/officeDocument/2006/relationships/hyperlink" Target="http://de.wikisource.org/wiki/Seite:De_Studien_%C3%BCber_Hysterie_029.jpg" TargetMode="External"/><Relationship Id="rId1861" Type="http://schemas.openxmlformats.org/officeDocument/2006/relationships/hyperlink" Target="http://de.wikisource.org/wiki/Seite:De_Studien_%C3%BCber_Hysterie_116.jpg" TargetMode="External"/><Relationship Id="rId1307" Type="http://schemas.openxmlformats.org/officeDocument/2006/relationships/hyperlink" Target="http://gutenberg.spiegel.de/?id=5&amp;xid=5468&amp;kapitel=1" TargetMode="External"/><Relationship Id="rId1514" Type="http://schemas.openxmlformats.org/officeDocument/2006/relationships/hyperlink" Target="http://gutenberg.spiegel.de/?id=5&amp;xid=5466&amp;kapitel=2&amp;cHash=160114ee7d2" TargetMode="External"/><Relationship Id="rId1721" Type="http://schemas.openxmlformats.org/officeDocument/2006/relationships/hyperlink" Target="http://de.wikisource.org/wiki/Seite:De_Studien_%C3%BCber_Hysterie_040.jpg" TargetMode="External"/><Relationship Id="rId1959" Type="http://schemas.openxmlformats.org/officeDocument/2006/relationships/hyperlink" Target="http://de.wikisource.org/wiki/Seite:De_Studien_%C3%BCber_Hysterie_185.jpg" TargetMode="External"/><Relationship Id="rId13" Type="http://schemas.openxmlformats.org/officeDocument/2006/relationships/image" Target="media/image6.gif"/><Relationship Id="rId1819" Type="http://schemas.openxmlformats.org/officeDocument/2006/relationships/hyperlink" Target="http://de.wikisource.org/wiki/Seite:De_Studien_%C3%BCber_Hysterie_059.jpg" TargetMode="External"/><Relationship Id="rId162" Type="http://schemas.openxmlformats.org/officeDocument/2006/relationships/hyperlink" Target="http://gutenberg.spiegel.de/?id=5&amp;xid=5479&amp;kapitel=24&amp;cHash=c9ba69ac182" TargetMode="External"/><Relationship Id="rId467" Type="http://schemas.openxmlformats.org/officeDocument/2006/relationships/hyperlink" Target="http://gutenberg.spiegel.de/?id=5&amp;xid=5471&amp;kapitel=4&amp;cHash=fef33401182" TargetMode="External"/><Relationship Id="rId1097" Type="http://schemas.openxmlformats.org/officeDocument/2006/relationships/hyperlink" Target="http://projekt.gutenberg.de/?id=5&amp;xid=5455&amp;kapitel=2&amp;cHash=893cd6bc1c2" TargetMode="External"/><Relationship Id="rId2050" Type="http://schemas.openxmlformats.org/officeDocument/2006/relationships/hyperlink" Target="http://de.wikisource.org/wiki/Seite:De_Studien_%C3%BCber_Hysterie_237.jpg" TargetMode="External"/><Relationship Id="rId674" Type="http://schemas.openxmlformats.org/officeDocument/2006/relationships/hyperlink" Target="http://gutenberg.spiegel.de/?id=5&amp;xid=5471&amp;kapitel=6&amp;cHash=fef33401182" TargetMode="External"/><Relationship Id="rId881" Type="http://schemas.openxmlformats.org/officeDocument/2006/relationships/hyperlink" Target="http://gutenberg.spiegel.de/?id=5&amp;xid=5453&amp;kapitel=14&amp;cHash=3aa83cf0982" TargetMode="External"/><Relationship Id="rId979" Type="http://schemas.openxmlformats.org/officeDocument/2006/relationships/hyperlink" Target="http://projekt.gutenberg.de/?id=5&amp;xid=5459&amp;kapitel=2&amp;cHash=2500fb16a9chap002" TargetMode="External"/><Relationship Id="rId327" Type="http://schemas.openxmlformats.org/officeDocument/2006/relationships/hyperlink" Target="http://gutenberg.spiegel.de/?id=5&amp;xid=5474&amp;kapitel=4&amp;cHash=319187eedd2" TargetMode="External"/><Relationship Id="rId534" Type="http://schemas.openxmlformats.org/officeDocument/2006/relationships/hyperlink" Target="http://gutenberg.spiegel.de/?id=5&amp;xid=5471&amp;kapitel=5&amp;cHash=fef33401182" TargetMode="External"/><Relationship Id="rId741" Type="http://schemas.openxmlformats.org/officeDocument/2006/relationships/hyperlink" Target="http://gutenberg.spiegel.de/?id=5&amp;xid=5452&amp;kapitel=11&amp;cHash=0b6f4173732" TargetMode="External"/><Relationship Id="rId839" Type="http://schemas.openxmlformats.org/officeDocument/2006/relationships/hyperlink" Target="http://gutenberg.spiegel.de/?id=5&amp;xid=5452&amp;kapitel=39&amp;cHash=0b6f4173732" TargetMode="External"/><Relationship Id="rId1164" Type="http://schemas.openxmlformats.org/officeDocument/2006/relationships/hyperlink" Target="http://projekt.gutenberg.de/?id=5&amp;xid=5475&amp;kapitel=8&amp;cHash=f458b8542a2" TargetMode="External"/><Relationship Id="rId1371" Type="http://schemas.openxmlformats.org/officeDocument/2006/relationships/hyperlink" Target="http://gutenberg.spiegel.de/?id=5&amp;xid=5454&amp;kapitel=3&amp;cHash=7be8bceb522" TargetMode="External"/><Relationship Id="rId1469" Type="http://schemas.openxmlformats.org/officeDocument/2006/relationships/hyperlink" Target="http://gutenberg.spiegel.de/?id=5&amp;xid=5473&amp;kapitel=3&amp;cHash=650a84ca1d2" TargetMode="External"/><Relationship Id="rId2008" Type="http://schemas.openxmlformats.org/officeDocument/2006/relationships/hyperlink" Target="http://de.wikisource.org/wiki/Seite:De_Studien_%C3%BCber_Hysterie_220.jpg" TargetMode="External"/><Relationship Id="rId601" Type="http://schemas.openxmlformats.org/officeDocument/2006/relationships/hyperlink" Target="http://gutenberg.spiegel.de/?id=5&amp;xid=5471&amp;kapitel=6&amp;cHash=fef33401182" TargetMode="External"/><Relationship Id="rId1024" Type="http://schemas.openxmlformats.org/officeDocument/2006/relationships/hyperlink" Target="http://projekt.gutenberg.de/?id=5&amp;xid=5459&amp;kapitel=3&amp;cHash=2500fb16a9chap003" TargetMode="External"/><Relationship Id="rId1231" Type="http://schemas.openxmlformats.org/officeDocument/2006/relationships/hyperlink" Target="http://projekt.gutenberg.de/?id=5&amp;xid=5469&amp;kapitel=3&amp;cHash=37599a73a72" TargetMode="External"/><Relationship Id="rId1676" Type="http://schemas.openxmlformats.org/officeDocument/2006/relationships/hyperlink" Target="http://de.wikisource.org/wiki/Studien_%C3%BCber_Hysterie/Beobachtung_I._Frl._Anna_O%E2%80%A6" TargetMode="External"/><Relationship Id="rId1883" Type="http://schemas.openxmlformats.org/officeDocument/2006/relationships/hyperlink" Target="http://de.wikisource.org/wiki/Seite:De_Studien_%C3%BCber_Hysterie_133.jpg" TargetMode="External"/><Relationship Id="rId906" Type="http://schemas.openxmlformats.org/officeDocument/2006/relationships/hyperlink" Target="http://gutenberg.spiegel.de/?id=5&amp;xid=5453&amp;kapitel=20&amp;cHash=3aa83cf0982" TargetMode="External"/><Relationship Id="rId1329" Type="http://schemas.openxmlformats.org/officeDocument/2006/relationships/hyperlink" Target="http://gutenberg.spiegel.de/?id=5&amp;xid=5468&amp;kapitel=6&amp;cHash=3b7308c8912" TargetMode="External"/><Relationship Id="rId1536" Type="http://schemas.openxmlformats.org/officeDocument/2006/relationships/hyperlink" Target="http://gutenberg.spiegel.de/?id=5&amp;xid=5466&amp;kapitel=3&amp;cHash=160114ee7d2" TargetMode="External"/><Relationship Id="rId1743" Type="http://schemas.openxmlformats.org/officeDocument/2006/relationships/hyperlink" Target="http://de.wikisource.org/wiki/Seite:De_Studien_%C3%BCber_Hysterie_050.jpg" TargetMode="External"/><Relationship Id="rId1950" Type="http://schemas.openxmlformats.org/officeDocument/2006/relationships/hyperlink" Target="http://de.wikisource.org/wiki/Studien_%C3%BCber_Hysterie/Theoretisches" TargetMode="External"/><Relationship Id="rId35" Type="http://schemas.openxmlformats.org/officeDocument/2006/relationships/hyperlink" Target="http://gutenberg.spiegel.de/?id=5&amp;xid=5479&amp;kapitel=9&amp;cHash=c9ba69ac182" TargetMode="External"/><Relationship Id="rId1603" Type="http://schemas.openxmlformats.org/officeDocument/2006/relationships/hyperlink" Target="http://de.wikisource.org/wiki/Seite:De_Studien_%C3%BCber_Hysterie_004.jpg" TargetMode="External"/><Relationship Id="rId1810" Type="http://schemas.openxmlformats.org/officeDocument/2006/relationships/hyperlink" Target="http://de.wikisource.org/wiki/Studien_%C3%BCber_Hysterie/Beobachtung_II._Frau_Emmy_v._N%E2%80%A6" TargetMode="External"/><Relationship Id="rId184" Type="http://schemas.openxmlformats.org/officeDocument/2006/relationships/hyperlink" Target="http://gutenberg.spiegel.de/?id=5&amp;xid=5479&amp;kapitel=25&amp;cHash=c9ba69ac182" TargetMode="External"/><Relationship Id="rId391" Type="http://schemas.openxmlformats.org/officeDocument/2006/relationships/hyperlink" Target="http://projekt.gutenberg.de/?id=5&amp;xid=5455&amp;kapitel=2&amp;cHash=893cd6bc1c2" TargetMode="External"/><Relationship Id="rId1908" Type="http://schemas.openxmlformats.org/officeDocument/2006/relationships/hyperlink" Target="http://de.wikisource.org/wiki/Seite:De_Studien_%C3%BCber_Hysterie_154.jpg" TargetMode="External"/><Relationship Id="rId2072" Type="http://schemas.openxmlformats.org/officeDocument/2006/relationships/hyperlink" Target="http://de.wikisource.org/wiki/Seite:De_Studien_%C3%BCber_Hysterie_259.jpg" TargetMode="External"/><Relationship Id="rId251" Type="http://schemas.openxmlformats.org/officeDocument/2006/relationships/hyperlink" Target="http://gutenberg.spiegel.de/?id=5&amp;xid=5479&amp;kapitel=33&amp;cHash=c9ba69ac182" TargetMode="External"/><Relationship Id="rId489" Type="http://schemas.openxmlformats.org/officeDocument/2006/relationships/hyperlink" Target="http://gutenberg.spiegel.de/?id=5&amp;xid=5471&amp;kapitel=4&amp;cHash=fef33401182" TargetMode="External"/><Relationship Id="rId696" Type="http://schemas.openxmlformats.org/officeDocument/2006/relationships/hyperlink" Target="http://gutenberg.spiegel.de/?id=5&amp;xid=5452&amp;kapitel=3&amp;cHash=0b6f4173732" TargetMode="External"/><Relationship Id="rId349" Type="http://schemas.openxmlformats.org/officeDocument/2006/relationships/hyperlink" Target="http://gutenberg.spiegel.de/?id=5&amp;xid=5474&amp;kapitel=7&amp;cHash=319187eedd2" TargetMode="External"/><Relationship Id="rId556" Type="http://schemas.openxmlformats.org/officeDocument/2006/relationships/hyperlink" Target="http://gutenberg.spiegel.de/?id=5&amp;xid=5471&amp;kapitel=6&amp;cHash=fef33401182" TargetMode="External"/><Relationship Id="rId763" Type="http://schemas.openxmlformats.org/officeDocument/2006/relationships/image" Target="media/image17.jpeg"/><Relationship Id="rId1186" Type="http://schemas.openxmlformats.org/officeDocument/2006/relationships/hyperlink" Target="http://projekt.gutenberg.de/?id=5&amp;xid=5469&amp;kapitel=1" TargetMode="External"/><Relationship Id="rId1393" Type="http://schemas.openxmlformats.org/officeDocument/2006/relationships/hyperlink" Target="http://gutenberg.spiegel.de/?id=5&amp;xid=5454&amp;kapitel=6&amp;cHash=7be8bceb522" TargetMode="External"/><Relationship Id="rId111" Type="http://schemas.openxmlformats.org/officeDocument/2006/relationships/hyperlink" Target="http://gutenberg.spiegel.de/?id=5&amp;xid=5479&amp;kapitel=19&amp;cHash=c9ba69ac182" TargetMode="External"/><Relationship Id="rId209" Type="http://schemas.openxmlformats.org/officeDocument/2006/relationships/hyperlink" Target="http://gutenberg.spiegel.de/?id=5&amp;xid=5479&amp;kapitel=27&amp;cHash=c9ba69ac182" TargetMode="External"/><Relationship Id="rId416" Type="http://schemas.openxmlformats.org/officeDocument/2006/relationships/hyperlink" Target="http://projekt.gutenberg.de/?id=5&amp;xid=5455&amp;kapitel=3&amp;cHash=893cd6bc1c2" TargetMode="External"/><Relationship Id="rId970" Type="http://schemas.openxmlformats.org/officeDocument/2006/relationships/hyperlink" Target="http://projekt.gutenberg.de/?id=5&amp;xid=5459&amp;kapitel=2&amp;cHash=2500fb16a9chap002" TargetMode="External"/><Relationship Id="rId1046" Type="http://schemas.openxmlformats.org/officeDocument/2006/relationships/hyperlink" Target="http://projekt.gutenberg.de/?id=5&amp;xid=5459&amp;kapitel=4&amp;cHash=2500fb16a9chap004" TargetMode="External"/><Relationship Id="rId1253" Type="http://schemas.openxmlformats.org/officeDocument/2006/relationships/hyperlink" Target="http://projekt.gutenberg.de/?id=5&amp;xid=5469&amp;kapitel=4&amp;cHash=37599a73a72" TargetMode="External"/><Relationship Id="rId1698" Type="http://schemas.openxmlformats.org/officeDocument/2006/relationships/hyperlink" Target="http://de.wikisource.org/wiki/Studien_%C3%BCber_Hysterie/Beobachtung_I._Frl._Anna_O%E2%80%A6" TargetMode="External"/><Relationship Id="rId623" Type="http://schemas.openxmlformats.org/officeDocument/2006/relationships/hyperlink" Target="http://gutenberg.spiegel.de/?id=5&amp;xid=5471&amp;kapitel=6&amp;cHash=fef33401182" TargetMode="External"/><Relationship Id="rId830" Type="http://schemas.openxmlformats.org/officeDocument/2006/relationships/hyperlink" Target="http://gutenberg.spiegel.de/?id=5&amp;xid=5452&amp;kapitel=36&amp;cHash=0b6f4173732" TargetMode="External"/><Relationship Id="rId928" Type="http://schemas.openxmlformats.org/officeDocument/2006/relationships/hyperlink" Target="http://gutenberg.spiegel.de/?id=5&amp;xid=5453&amp;kapitel=31&amp;cHash=3aa83cf0982" TargetMode="External"/><Relationship Id="rId1460" Type="http://schemas.openxmlformats.org/officeDocument/2006/relationships/image" Target="media/image29.jpeg"/><Relationship Id="rId1558" Type="http://schemas.openxmlformats.org/officeDocument/2006/relationships/hyperlink" Target="http://gutenberg.spiegel.de/?id=5&amp;xid=5466&amp;kapitel=4&amp;cHash=160114ee7d2" TargetMode="External"/><Relationship Id="rId1765" Type="http://schemas.openxmlformats.org/officeDocument/2006/relationships/hyperlink" Target="http://de.wikisource.org/wiki/Seite:De_Studien_%C3%BCber_Hysterie_063.jpg" TargetMode="External"/><Relationship Id="rId2083" Type="http://schemas.openxmlformats.org/officeDocument/2006/relationships/hyperlink" Target="http://de.wikisource.org/wiki/Studien_%C3%BCber_Hysterie/Zur_Psychotherapie_der_Hysterie" TargetMode="External"/><Relationship Id="rId57" Type="http://schemas.openxmlformats.org/officeDocument/2006/relationships/hyperlink" Target="http://gutenberg.spiegel.de/?id=5&amp;xid=5479&amp;kapitel=13&amp;cHash=c9ba69ac182" TargetMode="External"/><Relationship Id="rId262" Type="http://schemas.openxmlformats.org/officeDocument/2006/relationships/hyperlink" Target="http://gutenberg.spiegel.de/?id=5&amp;xid=5479&amp;kapitel=36&amp;cHash=c9ba69ac182" TargetMode="External"/><Relationship Id="rId567" Type="http://schemas.openxmlformats.org/officeDocument/2006/relationships/hyperlink" Target="http://gutenberg.spiegel.de/?id=5&amp;xid=5471&amp;kapitel=6&amp;cHash=fef33401182" TargetMode="External"/><Relationship Id="rId1113" Type="http://schemas.openxmlformats.org/officeDocument/2006/relationships/hyperlink" Target="http://projekt.gutenberg.de/?id=5&amp;xid=5455&amp;kapitel=3&amp;cHash=893cd6bc1c2" TargetMode="External"/><Relationship Id="rId1197" Type="http://schemas.openxmlformats.org/officeDocument/2006/relationships/hyperlink" Target="http://projekt.gutenberg.de/?id=5&amp;xid=5469&amp;kapitel=2&amp;cHash=37599a73a72" TargetMode="External"/><Relationship Id="rId1320" Type="http://schemas.openxmlformats.org/officeDocument/2006/relationships/hyperlink" Target="http://gutenberg.spiegel.de/?id=5&amp;xid=5468&amp;kapitel=4&amp;cHash=3b7308c8912" TargetMode="External"/><Relationship Id="rId1418" Type="http://schemas.openxmlformats.org/officeDocument/2006/relationships/hyperlink" Target="http://gutenberg.spiegel.de/?id=5&amp;xid=5454&amp;kapitel=14&amp;cHash=7be8bceb522" TargetMode="External"/><Relationship Id="rId1972" Type="http://schemas.openxmlformats.org/officeDocument/2006/relationships/hyperlink" Target="http://de.wikisource.org/wiki/Seite:De_Studien_%C3%BCber_Hysterie_193.jpg" TargetMode="External"/><Relationship Id="rId122" Type="http://schemas.openxmlformats.org/officeDocument/2006/relationships/hyperlink" Target="http://gutenberg.spiegel.de/?id=5&amp;xid=5479&amp;kapitel=19&amp;cHash=c9ba69ac182" TargetMode="External"/><Relationship Id="rId774" Type="http://schemas.openxmlformats.org/officeDocument/2006/relationships/hyperlink" Target="http://gutenberg.spiegel.de/?id=5&amp;xid=5452&amp;kapitel=18&amp;cHash=0b6f4173732" TargetMode="External"/><Relationship Id="rId981" Type="http://schemas.openxmlformats.org/officeDocument/2006/relationships/hyperlink" Target="http://projekt.gutenberg.de/?id=5&amp;xid=5459&amp;kapitel=2&amp;cHash=2500fb16a9chap002" TargetMode="External"/><Relationship Id="rId1057" Type="http://schemas.openxmlformats.org/officeDocument/2006/relationships/hyperlink" Target="http://projekt.gutenberg.de/?id=5&amp;xid=5455&amp;kapitel=1" TargetMode="External"/><Relationship Id="rId1625" Type="http://schemas.openxmlformats.org/officeDocument/2006/relationships/hyperlink" Target="http://de.wikisource.org/wiki/Studien_%C3%BCber_Hysterie/Beobachtung_I._Frl._Anna_O%E2%80%A6" TargetMode="External"/><Relationship Id="rId1832" Type="http://schemas.openxmlformats.org/officeDocument/2006/relationships/hyperlink" Target="http://de.wikisource.org/wiki/Seite:De_Studien_%C3%BCber_Hysterie_094.jpg" TargetMode="External"/><Relationship Id="rId2010" Type="http://schemas.openxmlformats.org/officeDocument/2006/relationships/hyperlink" Target="http://de.wikisource.org/wiki/Studien_%C3%BCber_Hysterie/Theoretisches" TargetMode="External"/><Relationship Id="rId427" Type="http://schemas.openxmlformats.org/officeDocument/2006/relationships/hyperlink" Target="http://projekt.gutenberg.de/?id=5&amp;xid=5455&amp;kapitel=3&amp;cHash=893cd6bc1c2" TargetMode="External"/><Relationship Id="rId634" Type="http://schemas.openxmlformats.org/officeDocument/2006/relationships/hyperlink" Target="http://gutenberg.spiegel.de/?id=5&amp;xid=5471&amp;kapitel=6&amp;cHash=fef33401182" TargetMode="External"/><Relationship Id="rId841" Type="http://schemas.openxmlformats.org/officeDocument/2006/relationships/hyperlink" Target="http://gutenberg.spiegel.de/?id=5&amp;xid=5452&amp;kapitel=39&amp;cHash=0b6f4173732" TargetMode="External"/><Relationship Id="rId1264" Type="http://schemas.openxmlformats.org/officeDocument/2006/relationships/hyperlink" Target="http://projekt.gutenberg.de/?id=5&amp;xid=5463&amp;kapitel=3&amp;cHash=3873cdf9922" TargetMode="External"/><Relationship Id="rId1471" Type="http://schemas.openxmlformats.org/officeDocument/2006/relationships/image" Target="media/image31.png"/><Relationship Id="rId1569" Type="http://schemas.openxmlformats.org/officeDocument/2006/relationships/hyperlink" Target="http://gutenberg.spiegel.de/?id=5&amp;xid=5466&amp;kapitel=5&amp;cHash=160114ee7d2" TargetMode="External"/><Relationship Id="rId273" Type="http://schemas.openxmlformats.org/officeDocument/2006/relationships/hyperlink" Target="http://gutenberg.spiegel.de/?id=5&amp;xid=5470&amp;kapitel=7&amp;cHash=e3099ac4fe2" TargetMode="External"/><Relationship Id="rId480" Type="http://schemas.openxmlformats.org/officeDocument/2006/relationships/hyperlink" Target="http://gutenberg.spiegel.de/?id=5&amp;xid=5471&amp;kapitel=4&amp;cHash=fef33401182" TargetMode="External"/><Relationship Id="rId701" Type="http://schemas.openxmlformats.org/officeDocument/2006/relationships/hyperlink" Target="http://gutenberg.spiegel.de/?id=5&amp;xid=5452&amp;kapitel=7&amp;cHash=0b6f4173732" TargetMode="External"/><Relationship Id="rId939" Type="http://schemas.openxmlformats.org/officeDocument/2006/relationships/hyperlink" Target="http://gutenberg.spiegel.de/?id=5&amp;xid=5453&amp;kapitel=33&amp;cHash=3aa83cf0982" TargetMode="External"/><Relationship Id="rId1124" Type="http://schemas.openxmlformats.org/officeDocument/2006/relationships/hyperlink" Target="http://projekt.gutenberg.de/?id=5&amp;xid=5475&amp;kapitel=3&amp;cHash=f458b8542a2" TargetMode="External"/><Relationship Id="rId1331" Type="http://schemas.openxmlformats.org/officeDocument/2006/relationships/hyperlink" Target="http://gutenberg.spiegel.de/?id=5&amp;xid=5468&amp;kapitel=6&amp;cHash=3b7308c8912" TargetMode="External"/><Relationship Id="rId1776" Type="http://schemas.openxmlformats.org/officeDocument/2006/relationships/hyperlink" Target="http://de.wikisource.org/wiki/Seite:De_Studien_%C3%BCber_Hysterie_073.jpg" TargetMode="External"/><Relationship Id="rId1983" Type="http://schemas.openxmlformats.org/officeDocument/2006/relationships/hyperlink" Target="http://de.wikisource.org/wiki/Seite:De_Studien_%C3%BCber_Hysterie_203.jpg" TargetMode="External"/><Relationship Id="rId68" Type="http://schemas.openxmlformats.org/officeDocument/2006/relationships/hyperlink" Target="http://gutenberg.spiegel.de/?id=5&amp;xid=5479&amp;kapitel=14&amp;cHash=c9ba69ac182" TargetMode="External"/><Relationship Id="rId133" Type="http://schemas.openxmlformats.org/officeDocument/2006/relationships/hyperlink" Target="http://gutenberg.spiegel.de/?id=5&amp;xid=5479&amp;kapitel=21&amp;cHash=c9ba69ac182" TargetMode="External"/><Relationship Id="rId340" Type="http://schemas.openxmlformats.org/officeDocument/2006/relationships/hyperlink" Target="http://gutenberg.spiegel.de/?id=5&amp;xid=5474&amp;kapitel=6&amp;cHash=319187eedd2" TargetMode="External"/><Relationship Id="rId578" Type="http://schemas.openxmlformats.org/officeDocument/2006/relationships/hyperlink" Target="http://gutenberg.spiegel.de/?id=5&amp;xid=5471&amp;kapitel=6&amp;cHash=fef33401182" TargetMode="External"/><Relationship Id="rId785" Type="http://schemas.openxmlformats.org/officeDocument/2006/relationships/hyperlink" Target="http://gutenberg.spiegel.de/?id=5&amp;xid=5452&amp;kapitel=27&amp;cHash=0b6f4173732" TargetMode="External"/><Relationship Id="rId992" Type="http://schemas.openxmlformats.org/officeDocument/2006/relationships/hyperlink" Target="http://projekt.gutenberg.de/?id=5&amp;xid=5459&amp;kapitel=2&amp;cHash=2500fb16a9chap002" TargetMode="External"/><Relationship Id="rId1429" Type="http://schemas.openxmlformats.org/officeDocument/2006/relationships/hyperlink" Target="http://gutenberg.spiegel.de/?id=5&amp;xid=5454&amp;kapitel=18&amp;cHash=7be8bceb522" TargetMode="External"/><Relationship Id="rId1636" Type="http://schemas.openxmlformats.org/officeDocument/2006/relationships/hyperlink" Target="http://de.wikisource.org/wiki/Seite:De_Studien_%C3%BCber_Hysterie_020.jpg" TargetMode="External"/><Relationship Id="rId1843" Type="http://schemas.openxmlformats.org/officeDocument/2006/relationships/hyperlink" Target="http://de.wikisource.org/wiki/Seite:De_Studien_%C3%BCber_Hysterie_103.jpg" TargetMode="External"/><Relationship Id="rId2021" Type="http://schemas.openxmlformats.org/officeDocument/2006/relationships/hyperlink" Target="http://de.wikisource.org/wiki/Studien_%C3%BCber_Hysterie/Theoretisches" TargetMode="External"/><Relationship Id="rId200" Type="http://schemas.openxmlformats.org/officeDocument/2006/relationships/hyperlink" Target="http://gutenberg.spiegel.de/?id=5&amp;xid=5479&amp;kapitel=26&amp;cHash=c9ba69ac182" TargetMode="External"/><Relationship Id="rId438" Type="http://schemas.openxmlformats.org/officeDocument/2006/relationships/hyperlink" Target="http://gutenberg.spiegel.de/?id=5&amp;xid=5458&amp;kapitel=8&amp;cHash=cd31317e0b2" TargetMode="External"/><Relationship Id="rId645" Type="http://schemas.openxmlformats.org/officeDocument/2006/relationships/hyperlink" Target="http://gutenberg.spiegel.de/?id=5&amp;xid=5471&amp;kapitel=6&amp;cHash=fef33401182" TargetMode="External"/><Relationship Id="rId852" Type="http://schemas.openxmlformats.org/officeDocument/2006/relationships/hyperlink" Target="http://gutenberg.spiegel.de/?id=5&amp;xid=5452&amp;kapitel=41&amp;cHash=0b6f4173732" TargetMode="External"/><Relationship Id="rId1068" Type="http://schemas.openxmlformats.org/officeDocument/2006/relationships/hyperlink" Target="http://projekt.gutenberg.de/?id=5&amp;xid=5455&amp;kapitel=2&amp;cHash=893cd6bc1c2" TargetMode="External"/><Relationship Id="rId1275" Type="http://schemas.openxmlformats.org/officeDocument/2006/relationships/hyperlink" Target="http://projekt.gutenberg.de/?id=5&amp;xid=5463&amp;kapitel=5&amp;cHash=3873cdf9922" TargetMode="External"/><Relationship Id="rId1482" Type="http://schemas.openxmlformats.org/officeDocument/2006/relationships/hyperlink" Target="http://gutenberg.spiegel.de/?id=5&amp;xid=5457&amp;kapitel=8&amp;cHash=8f5b827b6d2" TargetMode="External"/><Relationship Id="rId1703" Type="http://schemas.openxmlformats.org/officeDocument/2006/relationships/hyperlink" Target="http://de.wikisource.org/wiki/Studien_%C3%BCber_Hysterie/Beobachtung_I._Frl._Anna_O%E2%80%A6" TargetMode="External"/><Relationship Id="rId1910" Type="http://schemas.openxmlformats.org/officeDocument/2006/relationships/hyperlink" Target="http://de.wikisource.org/wiki/Seite:De_Studien_%C3%BCber_Hysterie_156.jpg" TargetMode="External"/><Relationship Id="rId284" Type="http://schemas.openxmlformats.org/officeDocument/2006/relationships/hyperlink" Target="http://gutenberg.spiegel.de/?id=5&amp;xid=5470&amp;kapitel=11&amp;cHash=e3099ac4fe2" TargetMode="External"/><Relationship Id="rId491" Type="http://schemas.openxmlformats.org/officeDocument/2006/relationships/hyperlink" Target="http://gutenberg.spiegel.de/?id=5&amp;xid=5471&amp;kapitel=4&amp;cHash=fef33401182" TargetMode="External"/><Relationship Id="rId505" Type="http://schemas.openxmlformats.org/officeDocument/2006/relationships/hyperlink" Target="http://gutenberg.spiegel.de/?id=5&amp;xid=5471&amp;kapitel=4&amp;cHash=fef33401182" TargetMode="External"/><Relationship Id="rId712" Type="http://schemas.openxmlformats.org/officeDocument/2006/relationships/hyperlink" Target="http://gutenberg.spiegel.de/?id=5&amp;xid=5452&amp;kapitel=7&amp;cHash=0b6f4173732" TargetMode="External"/><Relationship Id="rId1135" Type="http://schemas.openxmlformats.org/officeDocument/2006/relationships/hyperlink" Target="http://projekt.gutenberg.de/?id=5&amp;xid=5475&amp;kapitel=5&amp;cHash=f458b8542a2" TargetMode="External"/><Relationship Id="rId1342" Type="http://schemas.openxmlformats.org/officeDocument/2006/relationships/hyperlink" Target="http://gutenberg.spiegel.de/?id=5&amp;xid=5468&amp;kapitel=8&amp;cHash=3b7308c8912" TargetMode="External"/><Relationship Id="rId1787" Type="http://schemas.openxmlformats.org/officeDocument/2006/relationships/hyperlink" Target="http://de.wikisource.org/wiki/Seite:De_Studien_%C3%BCber_Hysterie_082.jpg" TargetMode="External"/><Relationship Id="rId1994" Type="http://schemas.openxmlformats.org/officeDocument/2006/relationships/hyperlink" Target="http://de.wikisource.org/wiki/Studien_%C3%BCber_Hysterie/Theoretisches" TargetMode="External"/><Relationship Id="rId79" Type="http://schemas.openxmlformats.org/officeDocument/2006/relationships/hyperlink" Target="http://gutenberg.spiegel.de/?id=5&amp;xid=5479&amp;kapitel=16&amp;cHash=c9ba69ac182" TargetMode="External"/><Relationship Id="rId144" Type="http://schemas.openxmlformats.org/officeDocument/2006/relationships/hyperlink" Target="http://gutenberg.spiegel.de/?id=5&amp;xid=5479&amp;kapitel=23&amp;cHash=c9ba69ac182" TargetMode="External"/><Relationship Id="rId589" Type="http://schemas.openxmlformats.org/officeDocument/2006/relationships/hyperlink" Target="http://gutenberg.spiegel.de/?id=5&amp;xid=5471&amp;kapitel=6&amp;cHash=fef33401182" TargetMode="External"/><Relationship Id="rId796" Type="http://schemas.openxmlformats.org/officeDocument/2006/relationships/hyperlink" Target="http://gutenberg.spiegel.de/?id=5&amp;xid=5452&amp;kapitel=31&amp;cHash=0b6f4173732" TargetMode="External"/><Relationship Id="rId1202" Type="http://schemas.openxmlformats.org/officeDocument/2006/relationships/hyperlink" Target="http://projekt.gutenberg.de/?id=5&amp;xid=5469&amp;kapitel=2&amp;cHash=37599a73a72" TargetMode="External"/><Relationship Id="rId1647" Type="http://schemas.openxmlformats.org/officeDocument/2006/relationships/hyperlink" Target="http://de.wikisource.org/wiki/Seite:De_Studien_%C3%BCber_Hysterie_025.jpg" TargetMode="External"/><Relationship Id="rId1854" Type="http://schemas.openxmlformats.org/officeDocument/2006/relationships/hyperlink" Target="http://de.wikisource.org/wiki/Seite:De_Studien_%C3%BCber_Hysterie_109.jpg" TargetMode="External"/><Relationship Id="rId351" Type="http://schemas.openxmlformats.org/officeDocument/2006/relationships/hyperlink" Target="http://gutenberg.spiegel.de/?id=5&amp;xid=5474&amp;kapitel=7&amp;cHash=319187eedd2" TargetMode="External"/><Relationship Id="rId449" Type="http://schemas.openxmlformats.org/officeDocument/2006/relationships/image" Target="media/image15.png"/><Relationship Id="rId656" Type="http://schemas.openxmlformats.org/officeDocument/2006/relationships/hyperlink" Target="http://gutenberg.spiegel.de/?id=5&amp;xid=5471&amp;kapitel=6&amp;cHash=fef33401182" TargetMode="External"/><Relationship Id="rId863" Type="http://schemas.openxmlformats.org/officeDocument/2006/relationships/hyperlink" Target="http://gutenberg.spiegel.de/?id=5&amp;xid=5453&amp;kapitel=5&amp;cHash=3aa83cf0982" TargetMode="External"/><Relationship Id="rId1079" Type="http://schemas.openxmlformats.org/officeDocument/2006/relationships/hyperlink" Target="http://projekt.gutenberg.de/?id=5&amp;xid=5455&amp;kapitel=2&amp;cHash=893cd6bc1c2" TargetMode="External"/><Relationship Id="rId1286" Type="http://schemas.openxmlformats.org/officeDocument/2006/relationships/hyperlink" Target="http://projekt.gutenberg.de/?id=5&amp;xid=5463&amp;kapitel=7&amp;cHash=3873cdf9922" TargetMode="External"/><Relationship Id="rId1493" Type="http://schemas.openxmlformats.org/officeDocument/2006/relationships/hyperlink" Target="http://gutenberg.spiegel.de/?id=5&amp;xid=5466&amp;kapitel=1" TargetMode="External"/><Relationship Id="rId1507" Type="http://schemas.openxmlformats.org/officeDocument/2006/relationships/hyperlink" Target="http://gutenberg.spiegel.de/?id=5&amp;xid=5466&amp;kapitel=1" TargetMode="External"/><Relationship Id="rId1714" Type="http://schemas.openxmlformats.org/officeDocument/2006/relationships/hyperlink" Target="http://de.wikisource.org/wiki/Studien_%C3%BCber_Hysterie/Beobachtung_I._Frl._Anna_O%E2%80%A6" TargetMode="External"/><Relationship Id="rId2032" Type="http://schemas.openxmlformats.org/officeDocument/2006/relationships/hyperlink" Target="http://de.wikisource.org/wiki/Studien_%C3%BCber_Hysterie/Theoretisches" TargetMode="External"/><Relationship Id="rId211" Type="http://schemas.openxmlformats.org/officeDocument/2006/relationships/hyperlink" Target="http://gutenberg.spiegel.de/?id=5&amp;xid=5479&amp;kapitel=27&amp;cHash=c9ba69ac182" TargetMode="External"/><Relationship Id="rId295" Type="http://schemas.openxmlformats.org/officeDocument/2006/relationships/hyperlink" Target="http://gutenberg.spiegel.de/?id=5&amp;xid=5474&amp;kapitel=2&amp;cHash=319187eedd2" TargetMode="External"/><Relationship Id="rId309" Type="http://schemas.openxmlformats.org/officeDocument/2006/relationships/hyperlink" Target="http://gutenberg.spiegel.de/?id=5&amp;xid=5474&amp;kapitel=2&amp;cHash=319187eedd2" TargetMode="External"/><Relationship Id="rId516" Type="http://schemas.openxmlformats.org/officeDocument/2006/relationships/hyperlink" Target="http://gutenberg.spiegel.de/?id=5&amp;xid=5471&amp;kapitel=5&amp;cHash=fef33401182" TargetMode="External"/><Relationship Id="rId1146" Type="http://schemas.openxmlformats.org/officeDocument/2006/relationships/hyperlink" Target="http://projekt.gutenberg.de/?id=5&amp;xid=5475&amp;kapitel=6&amp;cHash=f458b8542a2" TargetMode="External"/><Relationship Id="rId1798" Type="http://schemas.openxmlformats.org/officeDocument/2006/relationships/hyperlink" Target="http://de.wikisource.org/wiki/Studien_%C3%BCber_Hysterie/Beobachtung_II._Frau_Emmy_v._N%E2%80%A6" TargetMode="External"/><Relationship Id="rId1921" Type="http://schemas.openxmlformats.org/officeDocument/2006/relationships/hyperlink" Target="http://de.wikisource.org/wiki/Seite:De_Studien_%C3%BCber_Hysterie_143.jpg" TargetMode="External"/><Relationship Id="rId723" Type="http://schemas.openxmlformats.org/officeDocument/2006/relationships/hyperlink" Target="http://gutenberg.spiegel.de/?id=5&amp;xid=5452&amp;kapitel=9&amp;cHash=0b6f4173732" TargetMode="External"/><Relationship Id="rId930" Type="http://schemas.openxmlformats.org/officeDocument/2006/relationships/hyperlink" Target="http://gutenberg.spiegel.de/?id=5&amp;xid=5453&amp;kapitel=32&amp;cHash=3aa83cf0982" TargetMode="External"/><Relationship Id="rId1006" Type="http://schemas.openxmlformats.org/officeDocument/2006/relationships/hyperlink" Target="http://projekt.gutenberg.de/?id=5&amp;xid=5459&amp;kapitel=3&amp;cHash=2500fb16a9chap003" TargetMode="External"/><Relationship Id="rId1353" Type="http://schemas.openxmlformats.org/officeDocument/2006/relationships/hyperlink" Target="http://gutenberg.spiegel.de/?id=5&amp;xid=5468&amp;kapitel=12&amp;cHash=3b7308c8912" TargetMode="External"/><Relationship Id="rId1560" Type="http://schemas.openxmlformats.org/officeDocument/2006/relationships/hyperlink" Target="http://gutenberg.spiegel.de/?id=5&amp;xid=5466&amp;kapitel=5&amp;cHash=160114ee7d2" TargetMode="External"/><Relationship Id="rId1658" Type="http://schemas.openxmlformats.org/officeDocument/2006/relationships/hyperlink" Target="http://de.wikisource.org/wiki/Studien_%C3%BCber_Hysterie/Beobachtung_I._Frl._Anna_O%E2%80%A6" TargetMode="External"/><Relationship Id="rId1865" Type="http://schemas.openxmlformats.org/officeDocument/2006/relationships/hyperlink" Target="http://de.wikisource.org/wiki/Seite:De_Studien_%C3%BCber_Hysterie_118.jpg" TargetMode="External"/><Relationship Id="rId155" Type="http://schemas.openxmlformats.org/officeDocument/2006/relationships/hyperlink" Target="http://gutenberg.spiegel.de/?id=5&amp;xid=5479&amp;kapitel=24&amp;cHash=c9ba69ac182" TargetMode="External"/><Relationship Id="rId362" Type="http://schemas.openxmlformats.org/officeDocument/2006/relationships/hyperlink" Target="http://projekt.gutenberg.de/?id=5&amp;xid=5455&amp;kapitel=1" TargetMode="External"/><Relationship Id="rId1213" Type="http://schemas.openxmlformats.org/officeDocument/2006/relationships/hyperlink" Target="http://projekt.gutenberg.de/?id=5&amp;xid=5469&amp;kapitel=3&amp;cHash=37599a73a72" TargetMode="External"/><Relationship Id="rId1297" Type="http://schemas.openxmlformats.org/officeDocument/2006/relationships/hyperlink" Target="http://projekt.gutenberg.de/?id=5&amp;xid=5463&amp;kapitel=8&amp;cHash=3873cdf9922" TargetMode="External"/><Relationship Id="rId1420" Type="http://schemas.openxmlformats.org/officeDocument/2006/relationships/hyperlink" Target="http://gutenberg.spiegel.de/?id=5&amp;xid=5454&amp;kapitel=15&amp;cHash=7be8bceb522" TargetMode="External"/><Relationship Id="rId1518" Type="http://schemas.openxmlformats.org/officeDocument/2006/relationships/hyperlink" Target="http://gutenberg.spiegel.de/?id=5&amp;xid=5466&amp;kapitel=2&amp;cHash=160114ee7d2" TargetMode="External"/><Relationship Id="rId2043" Type="http://schemas.openxmlformats.org/officeDocument/2006/relationships/hyperlink" Target="http://de.wikisource.org/wiki/Seite:De_Studien_%C3%BCber_Hysterie_230.jpg" TargetMode="External"/><Relationship Id="rId222" Type="http://schemas.openxmlformats.org/officeDocument/2006/relationships/hyperlink" Target="http://gutenberg.spiegel.de/?id=5&amp;xid=5479&amp;kapitel=29&amp;cHash=c9ba69ac182" TargetMode="External"/><Relationship Id="rId667" Type="http://schemas.openxmlformats.org/officeDocument/2006/relationships/hyperlink" Target="http://gutenberg.spiegel.de/?id=5&amp;xid=5471&amp;kapitel=6&amp;cHash=fef33401182" TargetMode="External"/><Relationship Id="rId874" Type="http://schemas.openxmlformats.org/officeDocument/2006/relationships/hyperlink" Target="http://gutenberg.spiegel.de/?id=5&amp;xid=5453&amp;kapitel=12&amp;cHash=3aa83cf0982" TargetMode="External"/><Relationship Id="rId1725" Type="http://schemas.openxmlformats.org/officeDocument/2006/relationships/hyperlink" Target="http://de.wikisource.org/wiki/Studien_%C3%BCber_Hysterie/Beobachtung_II._Frau_Emmy_v._N%E2%80%A6" TargetMode="External"/><Relationship Id="rId1932" Type="http://schemas.openxmlformats.org/officeDocument/2006/relationships/hyperlink" Target="http://de.wikisource.org/wiki/Seite:De_Studien_%C3%BCber_Hysterie_166.jpg" TargetMode="External"/><Relationship Id="rId17" Type="http://schemas.openxmlformats.org/officeDocument/2006/relationships/hyperlink" Target="http://gutenberg.spiegel.de/?id=5&amp;xid=5479&amp;kapitel=3&amp;cHash=c9ba69ac182" TargetMode="External"/><Relationship Id="rId527" Type="http://schemas.openxmlformats.org/officeDocument/2006/relationships/hyperlink" Target="http://gutenberg.spiegel.de/?id=5&amp;xid=5471&amp;kapitel=5&amp;cHash=fef33401182" TargetMode="External"/><Relationship Id="rId734" Type="http://schemas.openxmlformats.org/officeDocument/2006/relationships/hyperlink" Target="http://gutenberg.spiegel.de/?id=5&amp;xid=5452&amp;kapitel=10&amp;cHash=0b6f4173732" TargetMode="External"/><Relationship Id="rId941" Type="http://schemas.openxmlformats.org/officeDocument/2006/relationships/hyperlink" Target="http://gutenberg.spiegel.de/?id=5&amp;xid=5453&amp;kapitel=33&amp;cHash=3aa83cf0982" TargetMode="External"/><Relationship Id="rId1157" Type="http://schemas.openxmlformats.org/officeDocument/2006/relationships/hyperlink" Target="http://projekt.gutenberg.de/?id=5&amp;xid=5475&amp;kapitel=8&amp;cHash=f458b8542a2" TargetMode="External"/><Relationship Id="rId1364" Type="http://schemas.openxmlformats.org/officeDocument/2006/relationships/hyperlink" Target="http://gutenberg.spiegel.de/?id=5&amp;xid=5454&amp;kapitel=1" TargetMode="External"/><Relationship Id="rId1571" Type="http://schemas.openxmlformats.org/officeDocument/2006/relationships/hyperlink" Target="http://gutenberg.spiegel.de/?id=5&amp;xid=5466&amp;kapitel=5&amp;cHash=160114ee7d2" TargetMode="External"/><Relationship Id="rId70" Type="http://schemas.openxmlformats.org/officeDocument/2006/relationships/hyperlink" Target="http://gutenberg.spiegel.de/?id=5&amp;xid=5479&amp;kapitel=14&amp;cHash=c9ba69ac182" TargetMode="External"/><Relationship Id="rId166" Type="http://schemas.openxmlformats.org/officeDocument/2006/relationships/hyperlink" Target="http://gutenberg.spiegel.de/?id=5&amp;xid=5479&amp;kapitel=25&amp;cHash=c9ba69ac182" TargetMode="External"/><Relationship Id="rId373" Type="http://schemas.openxmlformats.org/officeDocument/2006/relationships/hyperlink" Target="http://projekt.gutenberg.de/?id=5&amp;xid=5455&amp;kapitel=2&amp;cHash=893cd6bc1c2" TargetMode="External"/><Relationship Id="rId580" Type="http://schemas.openxmlformats.org/officeDocument/2006/relationships/hyperlink" Target="http://gutenberg.spiegel.de/?id=5&amp;xid=5471&amp;kapitel=6&amp;cHash=fef33401182" TargetMode="External"/><Relationship Id="rId801" Type="http://schemas.openxmlformats.org/officeDocument/2006/relationships/hyperlink" Target="http://gutenberg.spiegel.de/?id=5&amp;xid=5452&amp;kapitel=32&amp;cHash=0b6f4173732" TargetMode="External"/><Relationship Id="rId1017" Type="http://schemas.openxmlformats.org/officeDocument/2006/relationships/hyperlink" Target="http://projekt.gutenberg.de/?id=5&amp;xid=5459&amp;kapitel=3&amp;cHash=2500fb16a9chap003" TargetMode="External"/><Relationship Id="rId1224" Type="http://schemas.openxmlformats.org/officeDocument/2006/relationships/hyperlink" Target="http://projekt.gutenberg.de/?id=5&amp;xid=5469&amp;kapitel=3&amp;cHash=37599a73a72" TargetMode="External"/><Relationship Id="rId1431" Type="http://schemas.openxmlformats.org/officeDocument/2006/relationships/hyperlink" Target="http://gutenberg.spiegel.de/?id=5&amp;xid=5454&amp;kapitel=19&amp;cHash=7be8bceb522" TargetMode="External"/><Relationship Id="rId1669" Type="http://schemas.openxmlformats.org/officeDocument/2006/relationships/hyperlink" Target="http://de.wikisource.org/wiki/Studien_%C3%BCber_Hysterie/Beobachtung_I._Frl._Anna_O%E2%80%A6" TargetMode="External"/><Relationship Id="rId1876" Type="http://schemas.openxmlformats.org/officeDocument/2006/relationships/hyperlink" Target="http://de.wikisource.org/wiki/Studien_%C3%BCber_Hysterie/Beobachtung_V._Frl._Elisabeth_v._R%E2%80%A6" TargetMode="External"/><Relationship Id="rId2054" Type="http://schemas.openxmlformats.org/officeDocument/2006/relationships/hyperlink" Target="http://de.wikisource.org/wiki/Seite:De_Studien_%C3%BCber_Hysterie_241.jpg" TargetMode="External"/><Relationship Id="rId1" Type="http://schemas.openxmlformats.org/officeDocument/2006/relationships/customXml" Target="../customXml/item1.xml"/><Relationship Id="rId233" Type="http://schemas.openxmlformats.org/officeDocument/2006/relationships/hyperlink" Target="http://gutenberg.spiegel.de/?id=5&amp;xid=5479&amp;kapitel=31&amp;cHash=c9ba69ac182" TargetMode="External"/><Relationship Id="rId440" Type="http://schemas.openxmlformats.org/officeDocument/2006/relationships/hyperlink" Target="http://gutenberg.spiegel.de/?id=5&amp;xid=5458&amp;kapitel=11&amp;cHash=cd31317e0b2" TargetMode="External"/><Relationship Id="rId678" Type="http://schemas.openxmlformats.org/officeDocument/2006/relationships/hyperlink" Target="http://gutenberg.spiegel.de/?id=5&amp;xid=5471&amp;kapitel=6&amp;cHash=fef33401182" TargetMode="External"/><Relationship Id="rId885" Type="http://schemas.openxmlformats.org/officeDocument/2006/relationships/hyperlink" Target="http://gutenberg.spiegel.de/?id=5&amp;xid=5453&amp;kapitel=15&amp;cHash=3aa83cf0982" TargetMode="External"/><Relationship Id="rId1070" Type="http://schemas.openxmlformats.org/officeDocument/2006/relationships/hyperlink" Target="http://projekt.gutenberg.de/?id=5&amp;xid=5455&amp;kapitel=2&amp;cHash=893cd6bc1c2" TargetMode="External"/><Relationship Id="rId1529" Type="http://schemas.openxmlformats.org/officeDocument/2006/relationships/hyperlink" Target="http://gutenberg.spiegel.de/?id=5&amp;xid=5466&amp;kapitel=3&amp;cHash=160114ee7d2" TargetMode="External"/><Relationship Id="rId1736" Type="http://schemas.openxmlformats.org/officeDocument/2006/relationships/hyperlink" Target="http://de.wikisource.org/wiki/Studien_%C3%BCber_Hysterie/Beobachtung_II._Frau_Emmy_v._N%E2%80%A6" TargetMode="External"/><Relationship Id="rId1943" Type="http://schemas.openxmlformats.org/officeDocument/2006/relationships/hyperlink" Target="http://de.wikisource.org/wiki/Seite:De_Studien_%C3%BCber_Hysterie_174.jpg" TargetMode="External"/><Relationship Id="rId28" Type="http://schemas.openxmlformats.org/officeDocument/2006/relationships/hyperlink" Target="http://gutenberg.spiegel.de/?id=5&amp;xid=5479&amp;kapitel=8&amp;cHash=c9ba69ac182" TargetMode="External"/><Relationship Id="rId300" Type="http://schemas.openxmlformats.org/officeDocument/2006/relationships/hyperlink" Target="http://gutenberg.spiegel.de/?id=5&amp;xid=5474&amp;kapitel=2&amp;cHash=319187eedd2" TargetMode="External"/><Relationship Id="rId538" Type="http://schemas.openxmlformats.org/officeDocument/2006/relationships/hyperlink" Target="http://gutenberg.spiegel.de/?id=5&amp;xid=5471&amp;kapitel=5&amp;cHash=fef33401182" TargetMode="External"/><Relationship Id="rId745" Type="http://schemas.openxmlformats.org/officeDocument/2006/relationships/hyperlink" Target="http://gutenberg.spiegel.de/?id=5&amp;xid=5452&amp;kapitel=11&amp;cHash=0b6f4173732" TargetMode="External"/><Relationship Id="rId952" Type="http://schemas.openxmlformats.org/officeDocument/2006/relationships/hyperlink" Target="http://gutenberg.spiegel.de/?id=5&amp;xid=5453&amp;kapitel=35&amp;cHash=3aa83cf0982" TargetMode="External"/><Relationship Id="rId1168" Type="http://schemas.openxmlformats.org/officeDocument/2006/relationships/hyperlink" Target="http://projekt.gutenberg.de/?id=5&amp;xid=5475&amp;kapitel=9&amp;cHash=f458b8542a2" TargetMode="External"/><Relationship Id="rId1375" Type="http://schemas.openxmlformats.org/officeDocument/2006/relationships/hyperlink" Target="http://gutenberg.spiegel.de/?id=5&amp;xid=5454&amp;kapitel=3&amp;cHash=7be8bceb522" TargetMode="External"/><Relationship Id="rId1582" Type="http://schemas.openxmlformats.org/officeDocument/2006/relationships/hyperlink" Target="http://gutenberg.spiegel.de/?id=5&amp;xid=5456&amp;kapitel=1" TargetMode="External"/><Relationship Id="rId1803" Type="http://schemas.openxmlformats.org/officeDocument/2006/relationships/hyperlink" Target="http://de.wikisource.org/wiki/Studien_%C3%BCber_Hysterie/Beobachtung_II._Frau_Emmy_v._N%E2%80%A6" TargetMode="External"/><Relationship Id="rId81" Type="http://schemas.openxmlformats.org/officeDocument/2006/relationships/hyperlink" Target="http://gutenberg.spiegel.de/?id=5&amp;xid=5479&amp;kapitel=16&amp;cHash=c9ba69ac182" TargetMode="External"/><Relationship Id="rId177" Type="http://schemas.openxmlformats.org/officeDocument/2006/relationships/hyperlink" Target="http://gutenberg.spiegel.de/?id=5&amp;xid=5479&amp;kapitel=25&amp;cHash=c9ba69ac182" TargetMode="External"/><Relationship Id="rId384" Type="http://schemas.openxmlformats.org/officeDocument/2006/relationships/hyperlink" Target="http://projekt.gutenberg.de/?id=5&amp;xid=5455&amp;kapitel=2&amp;cHash=893cd6bc1c2" TargetMode="External"/><Relationship Id="rId591" Type="http://schemas.openxmlformats.org/officeDocument/2006/relationships/hyperlink" Target="http://gutenberg.spiegel.de/?id=5&amp;xid=5471&amp;kapitel=6&amp;cHash=fef33401182" TargetMode="External"/><Relationship Id="rId605" Type="http://schemas.openxmlformats.org/officeDocument/2006/relationships/hyperlink" Target="http://gutenberg.spiegel.de/?id=5&amp;xid=5471&amp;kapitel=6&amp;cHash=fef33401182" TargetMode="External"/><Relationship Id="rId812" Type="http://schemas.openxmlformats.org/officeDocument/2006/relationships/hyperlink" Target="http://gutenberg.spiegel.de/?id=5&amp;xid=5452&amp;kapitel=33&amp;cHash=0b6f4173732" TargetMode="External"/><Relationship Id="rId1028" Type="http://schemas.openxmlformats.org/officeDocument/2006/relationships/hyperlink" Target="http://projekt.gutenberg.de/?id=5&amp;xid=5459&amp;kapitel=4&amp;cHash=2500fb16a9chap004" TargetMode="External"/><Relationship Id="rId1235" Type="http://schemas.openxmlformats.org/officeDocument/2006/relationships/hyperlink" Target="http://projekt.gutenberg.de/?id=5&amp;xid=5469&amp;kapitel=3&amp;cHash=37599a73a72" TargetMode="External"/><Relationship Id="rId1442" Type="http://schemas.openxmlformats.org/officeDocument/2006/relationships/hyperlink" Target="http://gutenberg.spiegel.de/?id=5&amp;xid=5454&amp;kapitel=23&amp;cHash=7be8bceb522" TargetMode="External"/><Relationship Id="rId1887" Type="http://schemas.openxmlformats.org/officeDocument/2006/relationships/hyperlink" Target="http://de.wikisource.org/wiki/Seite:De_Studien_%C3%BCber_Hysterie_137.jpg" TargetMode="External"/><Relationship Id="rId2065" Type="http://schemas.openxmlformats.org/officeDocument/2006/relationships/hyperlink" Target="http://de.wikisource.org/wiki/Seite:De_Studien_%C3%BCber_Hysterie_252.jpg" TargetMode="External"/><Relationship Id="rId244" Type="http://schemas.openxmlformats.org/officeDocument/2006/relationships/hyperlink" Target="http://gutenberg.spiegel.de/?id=5&amp;xid=5479&amp;kapitel=33&amp;cHash=c9ba69ac182" TargetMode="External"/><Relationship Id="rId689" Type="http://schemas.openxmlformats.org/officeDocument/2006/relationships/hyperlink" Target="http://gutenberg.spiegel.de/?id=5&amp;xid=5471&amp;kapitel=6&amp;cHash=fef33401182" TargetMode="External"/><Relationship Id="rId896" Type="http://schemas.openxmlformats.org/officeDocument/2006/relationships/hyperlink" Target="http://gutenberg.spiegel.de/?id=5&amp;xid=5453&amp;kapitel=17&amp;cHash=3aa83cf0982" TargetMode="External"/><Relationship Id="rId1081" Type="http://schemas.openxmlformats.org/officeDocument/2006/relationships/hyperlink" Target="http://projekt.gutenberg.de/?id=5&amp;xid=5455&amp;kapitel=2&amp;cHash=893cd6bc1c2" TargetMode="External"/><Relationship Id="rId1302" Type="http://schemas.openxmlformats.org/officeDocument/2006/relationships/hyperlink" Target="http://projekt.gutenberg.de/?id=5&amp;xid=5463&amp;kapitel=9&amp;cHash=3873cdf9922" TargetMode="External"/><Relationship Id="rId1747" Type="http://schemas.openxmlformats.org/officeDocument/2006/relationships/hyperlink" Target="http://de.wikisource.org/wiki/Seite:De_Studien_%C3%BCber_Hysterie_052.jpg" TargetMode="External"/><Relationship Id="rId1954" Type="http://schemas.openxmlformats.org/officeDocument/2006/relationships/hyperlink" Target="http://de.wikisource.org/wiki/Seite:De_Studien_%C3%BCber_Hysterie_182.jpg" TargetMode="External"/><Relationship Id="rId39" Type="http://schemas.openxmlformats.org/officeDocument/2006/relationships/hyperlink" Target="http://gutenberg.spiegel.de/?id=5&amp;xid=5479&amp;kapitel=11&amp;cHash=c9ba69ac182" TargetMode="External"/><Relationship Id="rId451" Type="http://schemas.openxmlformats.org/officeDocument/2006/relationships/hyperlink" Target="http://gutenberg.spiegel.de/?id=5&amp;xid=5471&amp;kapitel=3&amp;cHash=fef33401182" TargetMode="External"/><Relationship Id="rId549" Type="http://schemas.openxmlformats.org/officeDocument/2006/relationships/hyperlink" Target="http://gutenberg.spiegel.de/?id=5&amp;xid=5471&amp;kapitel=6&amp;cHash=fef33401182" TargetMode="External"/><Relationship Id="rId756" Type="http://schemas.openxmlformats.org/officeDocument/2006/relationships/hyperlink" Target="http://gutenberg.spiegel.de/?id=5&amp;xid=5452&amp;kapitel=15&amp;cHash=0b6f4173732" TargetMode="External"/><Relationship Id="rId1179" Type="http://schemas.openxmlformats.org/officeDocument/2006/relationships/hyperlink" Target="http://projekt.gutenberg.de/?id=5&amp;xid=5475&amp;kapitel=11&amp;cHash=f458b8542a2" TargetMode="External"/><Relationship Id="rId1386" Type="http://schemas.openxmlformats.org/officeDocument/2006/relationships/hyperlink" Target="http://gutenberg.spiegel.de/?id=5&amp;xid=5454&amp;kapitel=4&amp;cHash=7be8bceb522" TargetMode="External"/><Relationship Id="rId1593" Type="http://schemas.openxmlformats.org/officeDocument/2006/relationships/hyperlink" Target="http://gutenberg.spiegel.de/?id=5&amp;xid=5456&amp;kapitel=5&amp;cHash=177f1789a72" TargetMode="External"/><Relationship Id="rId1607" Type="http://schemas.openxmlformats.org/officeDocument/2006/relationships/hyperlink" Target="http://de.wikisource.org/wiki/Seite:De_Studien_%C3%BCber_Hysterie_006.jpg" TargetMode="External"/><Relationship Id="rId1814" Type="http://schemas.openxmlformats.org/officeDocument/2006/relationships/hyperlink" Target="http://de.wikisource.org/wiki/Studien_%C3%BCber_Hysterie/Beobachtung_II._Frau_Emmy_v._N%E2%80%A6" TargetMode="External"/><Relationship Id="rId104" Type="http://schemas.openxmlformats.org/officeDocument/2006/relationships/hyperlink" Target="http://gutenberg.spiegel.de/?id=5&amp;xid=5479&amp;kapitel=18&amp;cHash=c9ba69ac182" TargetMode="External"/><Relationship Id="rId188" Type="http://schemas.openxmlformats.org/officeDocument/2006/relationships/hyperlink" Target="http://gutenberg.spiegel.de/?id=5&amp;xid=5479&amp;kapitel=25&amp;cHash=c9ba69ac182" TargetMode="External"/><Relationship Id="rId311" Type="http://schemas.openxmlformats.org/officeDocument/2006/relationships/hyperlink" Target="http://gutenberg.spiegel.de/?id=5&amp;xid=5474&amp;kapitel=2&amp;cHash=319187eedd2" TargetMode="External"/><Relationship Id="rId395" Type="http://schemas.openxmlformats.org/officeDocument/2006/relationships/hyperlink" Target="http://projekt.gutenberg.de/?id=5&amp;xid=5455&amp;kapitel=2&amp;cHash=893cd6bc1c2" TargetMode="External"/><Relationship Id="rId409" Type="http://schemas.openxmlformats.org/officeDocument/2006/relationships/hyperlink" Target="http://projekt.gutenberg.de/?id=5&amp;xid=5455&amp;kapitel=2&amp;cHash=893cd6bc1c2" TargetMode="External"/><Relationship Id="rId963" Type="http://schemas.openxmlformats.org/officeDocument/2006/relationships/hyperlink" Target="http://gutenberg.spiegel.de/?id=5&amp;xid=5453&amp;kapitel=38&amp;cHash=3aa83cf0982" TargetMode="External"/><Relationship Id="rId1039" Type="http://schemas.openxmlformats.org/officeDocument/2006/relationships/hyperlink" Target="http://projekt.gutenberg.de/?id=5&amp;xid=5459&amp;kapitel=4&amp;cHash=2500fb16a9chap004" TargetMode="External"/><Relationship Id="rId1246" Type="http://schemas.openxmlformats.org/officeDocument/2006/relationships/hyperlink" Target="http://projekt.gutenberg.de/?id=5&amp;xid=5469&amp;kapitel=4&amp;cHash=37599a73a72" TargetMode="External"/><Relationship Id="rId1898" Type="http://schemas.openxmlformats.org/officeDocument/2006/relationships/hyperlink" Target="http://de.wikisource.org/wiki/Seite:De_Studien_%C3%BCber_Hysterie_147.jpg" TargetMode="External"/><Relationship Id="rId2076" Type="http://schemas.openxmlformats.org/officeDocument/2006/relationships/hyperlink" Target="http://de.wikisource.org/wiki/Seite:De_Studien_%C3%BCber_Hysterie_263.jpg" TargetMode="External"/><Relationship Id="rId92" Type="http://schemas.openxmlformats.org/officeDocument/2006/relationships/hyperlink" Target="http://gutenberg.spiegel.de/?id=5&amp;xid=5479&amp;kapitel=17&amp;cHash=c9ba69ac182" TargetMode="External"/><Relationship Id="rId616" Type="http://schemas.openxmlformats.org/officeDocument/2006/relationships/hyperlink" Target="http://gutenberg.spiegel.de/?id=5&amp;xid=5471&amp;kapitel=6&amp;cHash=fef33401182" TargetMode="External"/><Relationship Id="rId823" Type="http://schemas.openxmlformats.org/officeDocument/2006/relationships/hyperlink" Target="http://gutenberg.spiegel.de/?id=5&amp;xid=5452&amp;kapitel=33&amp;cHash=0b6f4173732" TargetMode="External"/><Relationship Id="rId1453" Type="http://schemas.openxmlformats.org/officeDocument/2006/relationships/hyperlink" Target="http://gutenberg.spiegel.de/?id=5&amp;xid=4665&amp;kapitel=4&amp;cHash=cc1c208a602" TargetMode="External"/><Relationship Id="rId1660" Type="http://schemas.openxmlformats.org/officeDocument/2006/relationships/hyperlink" Target="http://de.wikisource.org/wiki/Seite:De_Studien_%C3%BCber_Hysterie_033.jpg" TargetMode="External"/><Relationship Id="rId1758" Type="http://schemas.openxmlformats.org/officeDocument/2006/relationships/hyperlink" Target="http://de.wikisource.org/wiki/Seite:De_Studien_%C3%BCber_Hysterie_059.jpg" TargetMode="External"/><Relationship Id="rId255" Type="http://schemas.openxmlformats.org/officeDocument/2006/relationships/hyperlink" Target="http://gutenberg.spiegel.de/?id=5&amp;xid=5479&amp;kapitel=34&amp;cHash=c9ba69ac182" TargetMode="External"/><Relationship Id="rId462" Type="http://schemas.openxmlformats.org/officeDocument/2006/relationships/hyperlink" Target="http://gutenberg.spiegel.de/?id=5&amp;xid=5471&amp;kapitel=3&amp;cHash=fef33401182" TargetMode="External"/><Relationship Id="rId1092" Type="http://schemas.openxmlformats.org/officeDocument/2006/relationships/hyperlink" Target="http://projekt.gutenberg.de/?id=5&amp;xid=5455&amp;kapitel=2&amp;cHash=893cd6bc1c2" TargetMode="External"/><Relationship Id="rId1106" Type="http://schemas.openxmlformats.org/officeDocument/2006/relationships/hyperlink" Target="http://projekt.gutenberg.de/?id=5&amp;xid=5455&amp;kapitel=3&amp;cHash=893cd6bc1c2" TargetMode="External"/><Relationship Id="rId1313" Type="http://schemas.openxmlformats.org/officeDocument/2006/relationships/hyperlink" Target="http://gutenberg.spiegel.de/?id=5&amp;xid=5468&amp;kapitel=4&amp;cHash=3b7308c8912" TargetMode="External"/><Relationship Id="rId1397" Type="http://schemas.openxmlformats.org/officeDocument/2006/relationships/hyperlink" Target="http://gutenberg.spiegel.de/?id=5&amp;xid=5454&amp;kapitel=7&amp;cHash=7be8bceb522" TargetMode="External"/><Relationship Id="rId1520" Type="http://schemas.openxmlformats.org/officeDocument/2006/relationships/hyperlink" Target="http://gutenberg.spiegel.de/?id=5&amp;xid=5466&amp;kapitel=2&amp;cHash=160114ee7d2" TargetMode="External"/><Relationship Id="rId1965" Type="http://schemas.openxmlformats.org/officeDocument/2006/relationships/hyperlink" Target="http://de.wikisource.org/wiki/Studien_%C3%BCber_Hysterie/Theoretisches" TargetMode="External"/><Relationship Id="rId115" Type="http://schemas.openxmlformats.org/officeDocument/2006/relationships/hyperlink" Target="http://gutenberg.spiegel.de/?id=5&amp;xid=5479&amp;kapitel=19&amp;cHash=c9ba69ac182" TargetMode="External"/><Relationship Id="rId322" Type="http://schemas.openxmlformats.org/officeDocument/2006/relationships/hyperlink" Target="http://gutenberg.spiegel.de/?id=5&amp;xid=5474&amp;kapitel=3&amp;cHash=319187eedd2" TargetMode="External"/><Relationship Id="rId767" Type="http://schemas.openxmlformats.org/officeDocument/2006/relationships/image" Target="media/image21.png"/><Relationship Id="rId974" Type="http://schemas.openxmlformats.org/officeDocument/2006/relationships/hyperlink" Target="http://projekt.gutenberg.de/?id=5&amp;xid=5459&amp;kapitel=2&amp;cHash=2500fb16a9chap002" TargetMode="External"/><Relationship Id="rId1618" Type="http://schemas.openxmlformats.org/officeDocument/2006/relationships/hyperlink" Target="http://de.wikisource.org/wiki/Studien_%C3%BCber_Hysterie/Ueber_den_psychischen_Mechanismus_hysterischer_Ph%C3%A4nomene" TargetMode="External"/><Relationship Id="rId1825" Type="http://schemas.openxmlformats.org/officeDocument/2006/relationships/hyperlink" Target="http://de.wikisource.org/wiki/Studien_%C3%BCber_Hysterie/Beobachtung_II._Frau_Emmy_v._N%E2%80%A6" TargetMode="External"/><Relationship Id="rId2003" Type="http://schemas.openxmlformats.org/officeDocument/2006/relationships/hyperlink" Target="http://de.wikisource.org/wiki/Studien_%C3%BCber_Hysterie/Theoretisches" TargetMode="External"/><Relationship Id="rId199" Type="http://schemas.openxmlformats.org/officeDocument/2006/relationships/hyperlink" Target="http://gutenberg.spiegel.de/?id=5&amp;xid=5479&amp;kapitel=26&amp;cHash=c9ba69ac182" TargetMode="External"/><Relationship Id="rId627" Type="http://schemas.openxmlformats.org/officeDocument/2006/relationships/hyperlink" Target="http://gutenberg.spiegel.de/?id=5&amp;xid=5471&amp;kapitel=6&amp;cHash=fef33401182" TargetMode="External"/><Relationship Id="rId834" Type="http://schemas.openxmlformats.org/officeDocument/2006/relationships/hyperlink" Target="http://gutenberg.spiegel.de/?id=5&amp;xid=5452&amp;kapitel=36&amp;cHash=0b6f4173732" TargetMode="External"/><Relationship Id="rId1257" Type="http://schemas.openxmlformats.org/officeDocument/2006/relationships/hyperlink" Target="http://projekt.gutenberg.de/?id=5&amp;xid=5469&amp;kapitel=5&amp;cHash=37599a73a72" TargetMode="External"/><Relationship Id="rId1464" Type="http://schemas.openxmlformats.org/officeDocument/2006/relationships/hyperlink" Target="http://gutenberg.spiegel.de/?id=5&amp;xid=4665&amp;kapitel=15&amp;cHash=cc1c208a602" TargetMode="External"/><Relationship Id="rId1671" Type="http://schemas.openxmlformats.org/officeDocument/2006/relationships/hyperlink" Target="http://de.wikisource.org/wiki/Studien_%C3%BCber_Hysterie/Beobachtung_I._Frl._Anna_O%E2%80%A6" TargetMode="External"/><Relationship Id="rId266" Type="http://schemas.openxmlformats.org/officeDocument/2006/relationships/hyperlink" Target="http://gutenberg.spiegel.de/?id=5&amp;xid=5470&amp;kapitel=3&amp;cHash=e3099ac4fe2" TargetMode="External"/><Relationship Id="rId473" Type="http://schemas.openxmlformats.org/officeDocument/2006/relationships/hyperlink" Target="http://gutenberg.spiegel.de/?id=5&amp;xid=5471&amp;kapitel=4&amp;cHash=fef33401182" TargetMode="External"/><Relationship Id="rId680" Type="http://schemas.openxmlformats.org/officeDocument/2006/relationships/hyperlink" Target="http://gutenberg.spiegel.de/?id=5&amp;xid=5471&amp;kapitel=6&amp;cHash=fef33401182" TargetMode="External"/><Relationship Id="rId901" Type="http://schemas.openxmlformats.org/officeDocument/2006/relationships/hyperlink" Target="http://gutenberg.spiegel.de/?id=5&amp;xid=5453&amp;kapitel=18&amp;cHash=3aa83cf0982" TargetMode="External"/><Relationship Id="rId1117" Type="http://schemas.openxmlformats.org/officeDocument/2006/relationships/hyperlink" Target="http://projekt.gutenberg.de/?id=5&amp;xid=5455&amp;kapitel=3&amp;cHash=893cd6bc1c2" TargetMode="External"/><Relationship Id="rId1324" Type="http://schemas.openxmlformats.org/officeDocument/2006/relationships/hyperlink" Target="http://gutenberg.spiegel.de/?id=5&amp;xid=5468&amp;kapitel=5&amp;cHash=3b7308c8912" TargetMode="External"/><Relationship Id="rId1531" Type="http://schemas.openxmlformats.org/officeDocument/2006/relationships/hyperlink" Target="http://gutenberg.spiegel.de/?id=5&amp;xid=5466&amp;kapitel=3&amp;cHash=160114ee7d2" TargetMode="External"/><Relationship Id="rId1769" Type="http://schemas.openxmlformats.org/officeDocument/2006/relationships/hyperlink" Target="http://de.wikisource.org/wiki/Seite:De_Studien_%C3%BCber_Hysterie_066.jpg" TargetMode="External"/><Relationship Id="rId1976" Type="http://schemas.openxmlformats.org/officeDocument/2006/relationships/hyperlink" Target="http://de.wikisource.org/wiki/Seite:De_Studien_%C3%BCber_Hysterie_197.jpg" TargetMode="External"/><Relationship Id="rId30" Type="http://schemas.openxmlformats.org/officeDocument/2006/relationships/hyperlink" Target="http://gutenberg.spiegel.de/?id=5&amp;xid=5479&amp;kapitel=8&amp;cHash=c9ba69ac182" TargetMode="External"/><Relationship Id="rId126" Type="http://schemas.openxmlformats.org/officeDocument/2006/relationships/hyperlink" Target="http://gutenberg.spiegel.de/?id=5&amp;xid=5479&amp;kapitel=19&amp;cHash=c9ba69ac182" TargetMode="External"/><Relationship Id="rId333" Type="http://schemas.openxmlformats.org/officeDocument/2006/relationships/hyperlink" Target="http://gutenberg.spiegel.de/?id=5&amp;xid=5474&amp;kapitel=5&amp;cHash=319187eedd2" TargetMode="External"/><Relationship Id="rId540" Type="http://schemas.openxmlformats.org/officeDocument/2006/relationships/hyperlink" Target="http://gutenberg.spiegel.de/?id=5&amp;xid=5471&amp;kapitel=6&amp;cHash=fef33401182" TargetMode="External"/><Relationship Id="rId778" Type="http://schemas.openxmlformats.org/officeDocument/2006/relationships/hyperlink" Target="http://gutenberg.spiegel.de/?id=5&amp;xid=5452&amp;kapitel=19&amp;cHash=0b6f4173732" TargetMode="External"/><Relationship Id="rId985" Type="http://schemas.openxmlformats.org/officeDocument/2006/relationships/hyperlink" Target="http://projekt.gutenberg.de/?id=5&amp;xid=5459&amp;kapitel=2&amp;cHash=2500fb16a9chap002" TargetMode="External"/><Relationship Id="rId1170" Type="http://schemas.openxmlformats.org/officeDocument/2006/relationships/hyperlink" Target="http://projekt.gutenberg.de/?id=5&amp;xid=5475&amp;kapitel=9&amp;cHash=f458b8542a2" TargetMode="External"/><Relationship Id="rId1629" Type="http://schemas.openxmlformats.org/officeDocument/2006/relationships/hyperlink" Target="http://de.wikisource.org/wiki/Studien_%C3%BCber_Hysterie/Beobachtung_I._Frl._Anna_O%E2%80%A6" TargetMode="External"/><Relationship Id="rId1836" Type="http://schemas.openxmlformats.org/officeDocument/2006/relationships/hyperlink" Target="http://de.wikisource.org/wiki/Seite:De_Studien_%C3%BCber_Hysterie_097.jpg" TargetMode="External"/><Relationship Id="rId2014" Type="http://schemas.openxmlformats.org/officeDocument/2006/relationships/hyperlink" Target="http://de.wikisource.org/wiki/Studien_%C3%BCber_Hysterie/Theoretisches" TargetMode="External"/><Relationship Id="rId638" Type="http://schemas.openxmlformats.org/officeDocument/2006/relationships/hyperlink" Target="http://gutenberg.spiegel.de/?id=5&amp;xid=5471&amp;kapitel=6&amp;cHash=fef33401182" TargetMode="External"/><Relationship Id="rId845" Type="http://schemas.openxmlformats.org/officeDocument/2006/relationships/hyperlink" Target="http://gutenberg.spiegel.de/?id=5&amp;xid=5452&amp;kapitel=39&amp;cHash=0b6f4173732" TargetMode="External"/><Relationship Id="rId1030" Type="http://schemas.openxmlformats.org/officeDocument/2006/relationships/hyperlink" Target="http://projekt.gutenberg.de/?id=5&amp;xid=5459&amp;kapitel=4&amp;cHash=2500fb16a9chap004" TargetMode="External"/><Relationship Id="rId1268" Type="http://schemas.openxmlformats.org/officeDocument/2006/relationships/hyperlink" Target="http://projekt.gutenberg.de/?id=5&amp;xid=5463&amp;kapitel=4&amp;cHash=3873cdf9922" TargetMode="External"/><Relationship Id="rId1475" Type="http://schemas.openxmlformats.org/officeDocument/2006/relationships/hyperlink" Target="http://gutenberg.spiegel.de/?id=5&amp;xid=5457&amp;kapitel=3&amp;cHash=8f5b827b6d2" TargetMode="External"/><Relationship Id="rId1682" Type="http://schemas.openxmlformats.org/officeDocument/2006/relationships/hyperlink" Target="http://de.wikipedia.org/wiki/Diplopie" TargetMode="External"/><Relationship Id="rId1903" Type="http://schemas.openxmlformats.org/officeDocument/2006/relationships/hyperlink" Target="http://de.wikisource.org/wiki/Seite:De_Studien_%C3%BCber_Hysterie_150.jpg" TargetMode="External"/><Relationship Id="rId277" Type="http://schemas.openxmlformats.org/officeDocument/2006/relationships/hyperlink" Target="http://gutenberg.spiegel.de/?id=5&amp;xid=5470&amp;kapitel=7&amp;cHash=e3099ac4fe2" TargetMode="External"/><Relationship Id="rId400" Type="http://schemas.openxmlformats.org/officeDocument/2006/relationships/hyperlink" Target="http://projekt.gutenberg.de/?id=5&amp;xid=5455&amp;kapitel=2&amp;cHash=893cd6bc1c2" TargetMode="External"/><Relationship Id="rId484" Type="http://schemas.openxmlformats.org/officeDocument/2006/relationships/hyperlink" Target="http://gutenberg.spiegel.de/?id=5&amp;xid=5471&amp;kapitel=4&amp;cHash=fef33401182" TargetMode="External"/><Relationship Id="rId705" Type="http://schemas.openxmlformats.org/officeDocument/2006/relationships/hyperlink" Target="http://gutenberg.spiegel.de/?id=5&amp;xid=5452&amp;kapitel=7&amp;cHash=0b6f4173732" TargetMode="External"/><Relationship Id="rId1128" Type="http://schemas.openxmlformats.org/officeDocument/2006/relationships/hyperlink" Target="http://projekt.gutenberg.de/?id=5&amp;xid=5475&amp;kapitel=4&amp;cHash=f458b8542a2" TargetMode="External"/><Relationship Id="rId1335" Type="http://schemas.openxmlformats.org/officeDocument/2006/relationships/hyperlink" Target="http://gutenberg.spiegel.de/?id=5&amp;xid=5468&amp;kapitel=7&amp;cHash=3b7308c8912" TargetMode="External"/><Relationship Id="rId1542" Type="http://schemas.openxmlformats.org/officeDocument/2006/relationships/image" Target="media/image33.jpeg"/><Relationship Id="rId1987" Type="http://schemas.openxmlformats.org/officeDocument/2006/relationships/hyperlink" Target="http://de.wikisource.org/wiki/Seite:De_Studien_%C3%BCber_Hysterie_207.jpg" TargetMode="External"/><Relationship Id="rId137" Type="http://schemas.openxmlformats.org/officeDocument/2006/relationships/hyperlink" Target="http://gutenberg.spiegel.de/?id=5&amp;xid=5479&amp;kapitel=22&amp;cHash=c9ba69ac182" TargetMode="External"/><Relationship Id="rId344" Type="http://schemas.openxmlformats.org/officeDocument/2006/relationships/hyperlink" Target="http://gutenberg.spiegel.de/?id=5&amp;xid=5474&amp;kapitel=6&amp;cHash=319187eedd2" TargetMode="External"/><Relationship Id="rId691" Type="http://schemas.openxmlformats.org/officeDocument/2006/relationships/hyperlink" Target="http://gutenberg.spiegel.de/?id=5&amp;xid=5471&amp;kapitel=6&amp;cHash=fef33401182" TargetMode="External"/><Relationship Id="rId789" Type="http://schemas.openxmlformats.org/officeDocument/2006/relationships/hyperlink" Target="http://gutenberg.spiegel.de/?id=5&amp;xid=5452&amp;kapitel=30&amp;cHash=0b6f4173732" TargetMode="External"/><Relationship Id="rId912" Type="http://schemas.openxmlformats.org/officeDocument/2006/relationships/hyperlink" Target="http://gutenberg.spiegel.de/?id=5&amp;xid=5453&amp;kapitel=22&amp;cHash=3aa83cf0982" TargetMode="External"/><Relationship Id="rId996" Type="http://schemas.openxmlformats.org/officeDocument/2006/relationships/hyperlink" Target="http://projekt.gutenberg.de/?id=5&amp;xid=5459&amp;kapitel=2&amp;cHash=2500fb16a9chap002" TargetMode="External"/><Relationship Id="rId1847" Type="http://schemas.openxmlformats.org/officeDocument/2006/relationships/hyperlink" Target="http://de.wikisource.org/wiki/Studien_%C3%BCber_Hysterie/Beobachtung_III._Frl._Lucie_R%E2%80%A6" TargetMode="External"/><Relationship Id="rId2025" Type="http://schemas.openxmlformats.org/officeDocument/2006/relationships/hyperlink" Target="http://de.wikisource.org/wiki/Studien_%C3%BCber_Hysterie/Theoretisches" TargetMode="External"/><Relationship Id="rId41" Type="http://schemas.openxmlformats.org/officeDocument/2006/relationships/hyperlink" Target="http://gutenberg.spiegel.de/?id=5&amp;xid=5479&amp;kapitel=11&amp;cHash=c9ba69ac182" TargetMode="External"/><Relationship Id="rId551" Type="http://schemas.openxmlformats.org/officeDocument/2006/relationships/hyperlink" Target="http://gutenberg.spiegel.de/?id=5&amp;xid=5471&amp;kapitel=6&amp;cHash=fef33401182" TargetMode="External"/><Relationship Id="rId649" Type="http://schemas.openxmlformats.org/officeDocument/2006/relationships/hyperlink" Target="http://gutenberg.spiegel.de/?id=5&amp;xid=5471&amp;kapitel=6&amp;cHash=fef33401182" TargetMode="External"/><Relationship Id="rId856" Type="http://schemas.openxmlformats.org/officeDocument/2006/relationships/hyperlink" Target="http://gutenberg.spiegel.de/?id=5&amp;xid=5453&amp;kapitel=2&amp;cHash=3aa83cf0982" TargetMode="External"/><Relationship Id="rId1181" Type="http://schemas.openxmlformats.org/officeDocument/2006/relationships/hyperlink" Target="http://projekt.gutenberg.de/?id=5&amp;xid=5475&amp;kapitel=11&amp;cHash=f458b8542a2" TargetMode="External"/><Relationship Id="rId1279" Type="http://schemas.openxmlformats.org/officeDocument/2006/relationships/hyperlink" Target="http://projekt.gutenberg.de/?id=5&amp;xid=5463&amp;kapitel=6&amp;cHash=3873cdf9922" TargetMode="External"/><Relationship Id="rId1402" Type="http://schemas.openxmlformats.org/officeDocument/2006/relationships/hyperlink" Target="http://gutenberg.spiegel.de/?id=5&amp;xid=5454&amp;kapitel=10&amp;cHash=7be8bceb522" TargetMode="External"/><Relationship Id="rId1486" Type="http://schemas.openxmlformats.org/officeDocument/2006/relationships/hyperlink" Target="http://gutenberg.spiegel.de/?id=5&amp;xid=5466&amp;kapitel=1" TargetMode="External"/><Relationship Id="rId1707" Type="http://schemas.openxmlformats.org/officeDocument/2006/relationships/hyperlink" Target="http://de.wikipedia.org/wiki/Aquaphobie" TargetMode="External"/><Relationship Id="rId190" Type="http://schemas.openxmlformats.org/officeDocument/2006/relationships/hyperlink" Target="http://gutenberg.spiegel.de/?id=5&amp;xid=5479&amp;kapitel=25&amp;cHash=c9ba69ac182" TargetMode="External"/><Relationship Id="rId204" Type="http://schemas.openxmlformats.org/officeDocument/2006/relationships/hyperlink" Target="http://gutenberg.spiegel.de/?id=5&amp;xid=5479&amp;kapitel=27&amp;cHash=c9ba69ac182" TargetMode="External"/><Relationship Id="rId288" Type="http://schemas.openxmlformats.org/officeDocument/2006/relationships/hyperlink" Target="http://gutenberg.spiegel.de/?id=5&amp;xid=5474&amp;kapitel=1" TargetMode="External"/><Relationship Id="rId411" Type="http://schemas.openxmlformats.org/officeDocument/2006/relationships/hyperlink" Target="http://projekt.gutenberg.de/?id=5&amp;xid=5455&amp;kapitel=2&amp;cHash=893cd6bc1c2" TargetMode="External"/><Relationship Id="rId509" Type="http://schemas.openxmlformats.org/officeDocument/2006/relationships/hyperlink" Target="http://gutenberg.spiegel.de/?id=5&amp;xid=5471&amp;kapitel=4&amp;cHash=fef33401182" TargetMode="External"/><Relationship Id="rId1041" Type="http://schemas.openxmlformats.org/officeDocument/2006/relationships/hyperlink" Target="http://projekt.gutenberg.de/?id=5&amp;xid=5459&amp;kapitel=4&amp;cHash=2500fb16a9chap004" TargetMode="External"/><Relationship Id="rId1139" Type="http://schemas.openxmlformats.org/officeDocument/2006/relationships/hyperlink" Target="http://projekt.gutenberg.de/?id=5&amp;xid=5475&amp;kapitel=5&amp;cHash=f458b8542a2" TargetMode="External"/><Relationship Id="rId1346" Type="http://schemas.openxmlformats.org/officeDocument/2006/relationships/hyperlink" Target="http://gutenberg.spiegel.de/?id=5&amp;xid=5468&amp;kapitel=9&amp;cHash=3b7308c8912" TargetMode="External"/><Relationship Id="rId1693" Type="http://schemas.openxmlformats.org/officeDocument/2006/relationships/hyperlink" Target="http://de.wikipedia.org/wiki/Somnolenz" TargetMode="External"/><Relationship Id="rId1914" Type="http://schemas.openxmlformats.org/officeDocument/2006/relationships/hyperlink" Target="http://de.wikisource.org/wiki/Seite:De_Studien_%C3%BCber_Hysterie_160.jpg" TargetMode="External"/><Relationship Id="rId1998" Type="http://schemas.openxmlformats.org/officeDocument/2006/relationships/hyperlink" Target="http://de.wikisource.org/wiki/Studien_%C3%BCber_Hysterie/Theoretisches" TargetMode="External"/><Relationship Id="rId495" Type="http://schemas.openxmlformats.org/officeDocument/2006/relationships/hyperlink" Target="http://gutenberg.spiegel.de/?id=5&amp;xid=5471&amp;kapitel=4&amp;cHash=fef33401182" TargetMode="External"/><Relationship Id="rId716" Type="http://schemas.openxmlformats.org/officeDocument/2006/relationships/hyperlink" Target="http://gutenberg.spiegel.de/?id=5&amp;xid=5452&amp;kapitel=8&amp;cHash=0b6f4173732" TargetMode="External"/><Relationship Id="rId923" Type="http://schemas.openxmlformats.org/officeDocument/2006/relationships/hyperlink" Target="http://gutenberg.spiegel.de/?id=5&amp;xid=5453&amp;kapitel=30&amp;cHash=3aa83cf0982" TargetMode="External"/><Relationship Id="rId1553" Type="http://schemas.openxmlformats.org/officeDocument/2006/relationships/hyperlink" Target="http://gutenberg.spiegel.de/?id=5&amp;xid=5466&amp;kapitel=4&amp;cHash=160114ee7d2" TargetMode="External"/><Relationship Id="rId1760" Type="http://schemas.openxmlformats.org/officeDocument/2006/relationships/hyperlink" Target="http://de.wikisource.org/wiki/Seite:De_Studien_%C3%BCber_Hysterie_061.jpg" TargetMode="External"/><Relationship Id="rId1858" Type="http://schemas.openxmlformats.org/officeDocument/2006/relationships/hyperlink" Target="http://de.wikisource.org/wiki/Seite:De_Studien_%C3%BCber_Hysterie_113.jpg" TargetMode="External"/><Relationship Id="rId52" Type="http://schemas.openxmlformats.org/officeDocument/2006/relationships/hyperlink" Target="http://gutenberg.spiegel.de/?id=5&amp;xid=5479&amp;kapitel=12&amp;cHash=c9ba69ac182" TargetMode="External"/><Relationship Id="rId148" Type="http://schemas.openxmlformats.org/officeDocument/2006/relationships/hyperlink" Target="http://gutenberg.spiegel.de/?id=5&amp;xid=5479&amp;kapitel=23&amp;cHash=c9ba69ac182" TargetMode="External"/><Relationship Id="rId355" Type="http://schemas.openxmlformats.org/officeDocument/2006/relationships/hyperlink" Target="http://gutenberg.spiegel.de/?id=5&amp;xid=5474&amp;kapitel=7&amp;cHash=319187eedd2" TargetMode="External"/><Relationship Id="rId562" Type="http://schemas.openxmlformats.org/officeDocument/2006/relationships/hyperlink" Target="http://gutenberg.spiegel.de/?id=5&amp;xid=5471&amp;kapitel=6&amp;cHash=fef33401182" TargetMode="External"/><Relationship Id="rId1192" Type="http://schemas.openxmlformats.org/officeDocument/2006/relationships/hyperlink" Target="http://projekt.gutenberg.de/?id=5&amp;xid=5469&amp;kapitel=2&amp;cHash=37599a73a72" TargetMode="External"/><Relationship Id="rId1206" Type="http://schemas.openxmlformats.org/officeDocument/2006/relationships/hyperlink" Target="http://projekt.gutenberg.de/?id=5&amp;xid=5469&amp;kapitel=2&amp;cHash=37599a73a72" TargetMode="External"/><Relationship Id="rId1413" Type="http://schemas.openxmlformats.org/officeDocument/2006/relationships/hyperlink" Target="http://gutenberg.spiegel.de/?id=5&amp;xid=5454&amp;kapitel=14&amp;cHash=7be8bceb522" TargetMode="External"/><Relationship Id="rId1620" Type="http://schemas.openxmlformats.org/officeDocument/2006/relationships/hyperlink" Target="http://de.wikisource.org/wiki/Studien_%C3%BCber_Hysterie/Beobachtung_I._Frl._Anna_O%E2%80%A6" TargetMode="External"/><Relationship Id="rId2036" Type="http://schemas.openxmlformats.org/officeDocument/2006/relationships/hyperlink" Target="http://de.wikisource.org/wiki/Seite:De_Studien_%C3%BCber_Hysterie_224.jpg" TargetMode="External"/><Relationship Id="rId215" Type="http://schemas.openxmlformats.org/officeDocument/2006/relationships/hyperlink" Target="http://gutenberg.spiegel.de/?id=5&amp;xid=5479&amp;kapitel=28&amp;cHash=c9ba69ac182" TargetMode="External"/><Relationship Id="rId422" Type="http://schemas.openxmlformats.org/officeDocument/2006/relationships/hyperlink" Target="http://projekt.gutenberg.de/?id=5&amp;xid=5455&amp;kapitel=3&amp;cHash=893cd6bc1c2" TargetMode="External"/><Relationship Id="rId867" Type="http://schemas.openxmlformats.org/officeDocument/2006/relationships/hyperlink" Target="http://gutenberg.spiegel.de/?id=5&amp;xid=5453&amp;kapitel=11&amp;cHash=3aa83cf0982" TargetMode="External"/><Relationship Id="rId1052" Type="http://schemas.openxmlformats.org/officeDocument/2006/relationships/hyperlink" Target="http://projekt.gutenberg.de/?id=5&amp;xid=5455&amp;kapitel=1" TargetMode="External"/><Relationship Id="rId1497" Type="http://schemas.openxmlformats.org/officeDocument/2006/relationships/hyperlink" Target="http://gutenberg.spiegel.de/?id=5&amp;xid=5466&amp;kapitel=1" TargetMode="External"/><Relationship Id="rId1718" Type="http://schemas.openxmlformats.org/officeDocument/2006/relationships/hyperlink" Target="http://de.wikisource.org/wiki/Seite:De_Studien_%C3%BCber_Hysterie_039.jpg" TargetMode="External"/><Relationship Id="rId1925" Type="http://schemas.openxmlformats.org/officeDocument/2006/relationships/hyperlink" Target="http://de.wikisource.org/wiki/Studien_%C3%BCber_Hysterie/Beobachtung_V._Frl._Elisabeth_v._R%E2%80%A6" TargetMode="External"/><Relationship Id="rId299" Type="http://schemas.openxmlformats.org/officeDocument/2006/relationships/hyperlink" Target="http://gutenberg.spiegel.de/?id=5&amp;xid=5474&amp;kapitel=2&amp;cHash=319187eedd2" TargetMode="External"/><Relationship Id="rId727" Type="http://schemas.openxmlformats.org/officeDocument/2006/relationships/hyperlink" Target="http://gutenberg.spiegel.de/?id=5&amp;xid=5452&amp;kapitel=9&amp;cHash=0b6f4173732" TargetMode="External"/><Relationship Id="rId934" Type="http://schemas.openxmlformats.org/officeDocument/2006/relationships/hyperlink" Target="http://gutenberg.spiegel.de/?id=5&amp;xid=5453&amp;kapitel=32&amp;cHash=3aa83cf0982" TargetMode="External"/><Relationship Id="rId1357" Type="http://schemas.openxmlformats.org/officeDocument/2006/relationships/hyperlink" Target="http://gutenberg.spiegel.de/?id=5&amp;xid=5468&amp;kapitel=14&amp;cHash=3b7308c8912" TargetMode="External"/><Relationship Id="rId1564" Type="http://schemas.openxmlformats.org/officeDocument/2006/relationships/hyperlink" Target="http://gutenberg.spiegel.de/?id=5&amp;xid=5466&amp;kapitel=5&amp;cHash=160114ee7d2" TargetMode="External"/><Relationship Id="rId1771" Type="http://schemas.openxmlformats.org/officeDocument/2006/relationships/hyperlink" Target="http://de.wikisource.org/wiki/Seite:De_Studien_%C3%BCber_Hysterie_068.jpg" TargetMode="External"/><Relationship Id="rId63" Type="http://schemas.openxmlformats.org/officeDocument/2006/relationships/hyperlink" Target="http://gutenberg.spiegel.de/?id=5&amp;xid=5479&amp;kapitel=14&amp;cHash=c9ba69ac182" TargetMode="External"/><Relationship Id="rId159" Type="http://schemas.openxmlformats.org/officeDocument/2006/relationships/hyperlink" Target="http://gutenberg.spiegel.de/?id=5&amp;xid=5479&amp;kapitel=24&amp;cHash=c9ba69ac182" TargetMode="External"/><Relationship Id="rId366" Type="http://schemas.openxmlformats.org/officeDocument/2006/relationships/image" Target="media/image12.png"/><Relationship Id="rId573" Type="http://schemas.openxmlformats.org/officeDocument/2006/relationships/hyperlink" Target="http://gutenberg.spiegel.de/?id=5&amp;xid=5471&amp;kapitel=6&amp;cHash=fef33401182" TargetMode="External"/><Relationship Id="rId780" Type="http://schemas.openxmlformats.org/officeDocument/2006/relationships/hyperlink" Target="http://gutenberg.spiegel.de/?id=5&amp;xid=5452&amp;kapitel=23&amp;cHash=0b6f4173732" TargetMode="External"/><Relationship Id="rId1217" Type="http://schemas.openxmlformats.org/officeDocument/2006/relationships/hyperlink" Target="http://projekt.gutenberg.de/?id=5&amp;xid=5469&amp;kapitel=3&amp;cHash=37599a73a72" TargetMode="External"/><Relationship Id="rId1424" Type="http://schemas.openxmlformats.org/officeDocument/2006/relationships/hyperlink" Target="http://gutenberg.spiegel.de/?id=5&amp;xid=5454&amp;kapitel=16&amp;cHash=7be8bceb522" TargetMode="External"/><Relationship Id="rId1631" Type="http://schemas.openxmlformats.org/officeDocument/2006/relationships/hyperlink" Target="http://de.wikisource.org/wiki/Seite:De_Studien_%C3%BCber_Hysterie_018.jpg" TargetMode="External"/><Relationship Id="rId1869" Type="http://schemas.openxmlformats.org/officeDocument/2006/relationships/hyperlink" Target="http://de.wikisource.org/wiki/Seite:De_Studien_%C3%BCber_Hysterie_121.jpg" TargetMode="External"/><Relationship Id="rId2047" Type="http://schemas.openxmlformats.org/officeDocument/2006/relationships/hyperlink" Target="http://de.wikisource.org/wiki/Seite:De_Studien_%C3%BCber_Hysterie_234.jpg" TargetMode="External"/><Relationship Id="rId226" Type="http://schemas.openxmlformats.org/officeDocument/2006/relationships/hyperlink" Target="http://gutenberg.spiegel.de/?id=5&amp;xid=5479&amp;kapitel=31&amp;cHash=c9ba69ac182" TargetMode="External"/><Relationship Id="rId433" Type="http://schemas.openxmlformats.org/officeDocument/2006/relationships/hyperlink" Target="http://gutenberg.spiegel.de/?id=5&amp;xid=5458&amp;kapitel=4&amp;cHash=cd31317e0b2" TargetMode="External"/><Relationship Id="rId878" Type="http://schemas.openxmlformats.org/officeDocument/2006/relationships/hyperlink" Target="http://gutenberg.spiegel.de/?id=5&amp;xid=5453&amp;kapitel=13&amp;cHash=3aa83cf0982" TargetMode="External"/><Relationship Id="rId1063" Type="http://schemas.openxmlformats.org/officeDocument/2006/relationships/hyperlink" Target="http://projekt.gutenberg.de/?id=5&amp;xid=5455&amp;kapitel=2&amp;cHash=893cd6bc1c2" TargetMode="External"/><Relationship Id="rId1270" Type="http://schemas.openxmlformats.org/officeDocument/2006/relationships/hyperlink" Target="http://projekt.gutenberg.de/?id=5&amp;xid=5463&amp;kapitel=4&amp;cHash=3873cdf9922" TargetMode="External"/><Relationship Id="rId1729" Type="http://schemas.openxmlformats.org/officeDocument/2006/relationships/hyperlink" Target="http://de.wikisource.org/wiki/Studien_%C3%BCber_Hysterie/Beobachtung_II._Frau_Emmy_v._N%E2%80%A6" TargetMode="External"/><Relationship Id="rId1936" Type="http://schemas.openxmlformats.org/officeDocument/2006/relationships/hyperlink" Target="http://de.wikisource.org/wiki/Seite:De_Studien_%C3%BCber_Hysterie_169.jpg" TargetMode="External"/><Relationship Id="rId640" Type="http://schemas.openxmlformats.org/officeDocument/2006/relationships/hyperlink" Target="http://gutenberg.spiegel.de/?id=5&amp;xid=5471&amp;kapitel=6&amp;cHash=fef33401182" TargetMode="External"/><Relationship Id="rId738" Type="http://schemas.openxmlformats.org/officeDocument/2006/relationships/hyperlink" Target="http://gutenberg.spiegel.de/?id=5&amp;xid=5452&amp;kapitel=11&amp;cHash=0b6f4173732" TargetMode="External"/><Relationship Id="rId945" Type="http://schemas.openxmlformats.org/officeDocument/2006/relationships/hyperlink" Target="http://gutenberg.spiegel.de/?id=5&amp;xid=5453&amp;kapitel=34&amp;cHash=3aa83cf0982" TargetMode="External"/><Relationship Id="rId1368" Type="http://schemas.openxmlformats.org/officeDocument/2006/relationships/hyperlink" Target="http://gutenberg.spiegel.de/?id=5&amp;xid=5454&amp;kapitel=3&amp;cHash=7be8bceb522" TargetMode="External"/><Relationship Id="rId1575" Type="http://schemas.openxmlformats.org/officeDocument/2006/relationships/hyperlink" Target="http://gutenberg.spiegel.de/?id=5&amp;xid=5466&amp;kapitel=6&amp;cHash=160114ee7d2" TargetMode="External"/><Relationship Id="rId1782" Type="http://schemas.openxmlformats.org/officeDocument/2006/relationships/hyperlink" Target="http://de.wikisource.org/wiki/Seite:De_Studien_%C3%BCber_Hysterie_078.jpg" TargetMode="External"/><Relationship Id="rId74" Type="http://schemas.openxmlformats.org/officeDocument/2006/relationships/hyperlink" Target="http://gutenberg.spiegel.de/?id=5&amp;xid=5479&amp;kapitel=14&amp;cHash=c9ba69ac182" TargetMode="External"/><Relationship Id="rId377" Type="http://schemas.openxmlformats.org/officeDocument/2006/relationships/hyperlink" Target="http://projekt.gutenberg.de/?id=5&amp;xid=5455&amp;kapitel=2&amp;cHash=893cd6bc1c2" TargetMode="External"/><Relationship Id="rId500" Type="http://schemas.openxmlformats.org/officeDocument/2006/relationships/hyperlink" Target="http://gutenberg.spiegel.de/?id=5&amp;xid=5471&amp;kapitel=4&amp;cHash=fef33401182" TargetMode="External"/><Relationship Id="rId584" Type="http://schemas.openxmlformats.org/officeDocument/2006/relationships/hyperlink" Target="http://gutenberg.spiegel.de/?id=5&amp;xid=5471&amp;kapitel=6&amp;cHash=fef33401182" TargetMode="External"/><Relationship Id="rId805" Type="http://schemas.openxmlformats.org/officeDocument/2006/relationships/hyperlink" Target="http://gutenberg.spiegel.de/?id=5&amp;xid=5452&amp;kapitel=33&amp;cHash=0b6f4173732" TargetMode="External"/><Relationship Id="rId1130" Type="http://schemas.openxmlformats.org/officeDocument/2006/relationships/hyperlink" Target="http://projekt.gutenberg.de/?id=5&amp;xid=5475&amp;kapitel=5&amp;cHash=f458b8542a2" TargetMode="External"/><Relationship Id="rId1228" Type="http://schemas.openxmlformats.org/officeDocument/2006/relationships/hyperlink" Target="http://projekt.gutenberg.de/?id=5&amp;xid=5469&amp;kapitel=3&amp;cHash=37599a73a72" TargetMode="External"/><Relationship Id="rId1435" Type="http://schemas.openxmlformats.org/officeDocument/2006/relationships/hyperlink" Target="http://gutenberg.spiegel.de/?id=5&amp;xid=5454&amp;kapitel=21&amp;cHash=7be8bceb522" TargetMode="External"/><Relationship Id="rId2058" Type="http://schemas.openxmlformats.org/officeDocument/2006/relationships/hyperlink" Target="http://de.wikisource.org/wiki/Seite:De_Studien_%C3%BCber_Hysterie_245.jpg" TargetMode="External"/><Relationship Id="rId5" Type="http://schemas.openxmlformats.org/officeDocument/2006/relationships/webSettings" Target="webSettings.xml"/><Relationship Id="rId237" Type="http://schemas.openxmlformats.org/officeDocument/2006/relationships/hyperlink" Target="http://gutenberg.spiegel.de/?id=5&amp;xid=5479&amp;kapitel=32&amp;cHash=c9ba69ac182" TargetMode="External"/><Relationship Id="rId791" Type="http://schemas.openxmlformats.org/officeDocument/2006/relationships/hyperlink" Target="http://gutenberg.spiegel.de/?id=5&amp;xid=5452&amp;kapitel=30&amp;cHash=0b6f4173732" TargetMode="External"/><Relationship Id="rId889" Type="http://schemas.openxmlformats.org/officeDocument/2006/relationships/hyperlink" Target="http://gutenberg.spiegel.de/?id=5&amp;xid=5453&amp;kapitel=16&amp;cHash=3aa83cf0982" TargetMode="External"/><Relationship Id="rId1074" Type="http://schemas.openxmlformats.org/officeDocument/2006/relationships/hyperlink" Target="http://projekt.gutenberg.de/?id=5&amp;xid=5455&amp;kapitel=2&amp;cHash=893cd6bc1c2" TargetMode="External"/><Relationship Id="rId1642" Type="http://schemas.openxmlformats.org/officeDocument/2006/relationships/hyperlink" Target="http://de.wikisource.org/wiki/Seite:De_Studien_%C3%BCber_Hysterie_022.jpg" TargetMode="External"/><Relationship Id="rId1947" Type="http://schemas.openxmlformats.org/officeDocument/2006/relationships/hyperlink" Target="http://de.wikisource.org/wiki/Seite:De_Studien_%C3%BCber_Hysterie_177.jpg" TargetMode="External"/><Relationship Id="rId444" Type="http://schemas.openxmlformats.org/officeDocument/2006/relationships/hyperlink" Target="http://gutenberg.spiegel.de/?id=5&amp;xid=5471&amp;kapitel=3&amp;cHash=fef33401182" TargetMode="External"/><Relationship Id="rId651" Type="http://schemas.openxmlformats.org/officeDocument/2006/relationships/hyperlink" Target="http://gutenberg.spiegel.de/?id=5&amp;xid=5471&amp;kapitel=6&amp;cHash=fef33401182" TargetMode="External"/><Relationship Id="rId749" Type="http://schemas.openxmlformats.org/officeDocument/2006/relationships/hyperlink" Target="http://gutenberg.spiegel.de/?id=5&amp;xid=5452&amp;kapitel=11&amp;cHash=0b6f4173732" TargetMode="External"/><Relationship Id="rId1281" Type="http://schemas.openxmlformats.org/officeDocument/2006/relationships/hyperlink" Target="http://projekt.gutenberg.de/?id=5&amp;xid=5463&amp;kapitel=7&amp;cHash=3873cdf9922" TargetMode="External"/><Relationship Id="rId1379" Type="http://schemas.openxmlformats.org/officeDocument/2006/relationships/hyperlink" Target="http://gutenberg.spiegel.de/?id=5&amp;xid=5454&amp;kapitel=4&amp;cHash=7be8bceb522" TargetMode="External"/><Relationship Id="rId1502" Type="http://schemas.openxmlformats.org/officeDocument/2006/relationships/hyperlink" Target="http://gutenberg.spiegel.de/?id=5&amp;xid=5466&amp;kapitel=1" TargetMode="External"/><Relationship Id="rId1586" Type="http://schemas.openxmlformats.org/officeDocument/2006/relationships/hyperlink" Target="http://gutenberg.spiegel.de/?id=5&amp;xid=5456&amp;kapitel=3&amp;cHash=177f1789a72" TargetMode="External"/><Relationship Id="rId1807" Type="http://schemas.openxmlformats.org/officeDocument/2006/relationships/hyperlink" Target="http://de.wikisource.org/wiki/Studien_%C3%BCber_Hysterie/Beobachtung_II._Frau_Emmy_v._N%E2%80%A6" TargetMode="External"/><Relationship Id="rId290" Type="http://schemas.openxmlformats.org/officeDocument/2006/relationships/hyperlink" Target="http://gutenberg.spiegel.de/?id=5&amp;xid=5474&amp;kapitel=2&amp;cHash=319187eedd2" TargetMode="External"/><Relationship Id="rId304" Type="http://schemas.openxmlformats.org/officeDocument/2006/relationships/hyperlink" Target="http://gutenberg.spiegel.de/?id=5&amp;xid=5474&amp;kapitel=2&amp;cHash=319187eedd2" TargetMode="External"/><Relationship Id="rId388" Type="http://schemas.openxmlformats.org/officeDocument/2006/relationships/hyperlink" Target="http://projekt.gutenberg.de/?id=5&amp;xid=5455&amp;kapitel=2&amp;cHash=893cd6bc1c2" TargetMode="External"/><Relationship Id="rId511" Type="http://schemas.openxmlformats.org/officeDocument/2006/relationships/hyperlink" Target="http://gutenberg.spiegel.de/?id=5&amp;xid=5471&amp;kapitel=5&amp;cHash=fef33401182" TargetMode="External"/><Relationship Id="rId609" Type="http://schemas.openxmlformats.org/officeDocument/2006/relationships/hyperlink" Target="http://gutenberg.spiegel.de/?id=5&amp;xid=5471&amp;kapitel=6&amp;cHash=fef33401182" TargetMode="External"/><Relationship Id="rId956" Type="http://schemas.openxmlformats.org/officeDocument/2006/relationships/hyperlink" Target="http://gutenberg.spiegel.de/?id=5&amp;xid=5453&amp;kapitel=36&amp;cHash=3aa83cf0982" TargetMode="External"/><Relationship Id="rId1141" Type="http://schemas.openxmlformats.org/officeDocument/2006/relationships/hyperlink" Target="http://projekt.gutenberg.de/?id=5&amp;xid=5475&amp;kapitel=6&amp;cHash=f458b8542a2" TargetMode="External"/><Relationship Id="rId1239" Type="http://schemas.openxmlformats.org/officeDocument/2006/relationships/hyperlink" Target="http://projekt.gutenberg.de/?id=5&amp;xid=5469&amp;kapitel=3&amp;cHash=37599a73a72" TargetMode="External"/><Relationship Id="rId1793" Type="http://schemas.openxmlformats.org/officeDocument/2006/relationships/hyperlink" Target="http://de.wikisource.org/wiki/Seite:De_Studien_%C3%BCber_Hysterie_087.jpg" TargetMode="External"/><Relationship Id="rId2069" Type="http://schemas.openxmlformats.org/officeDocument/2006/relationships/hyperlink" Target="http://de.wikisource.org/wiki/Seite:De_Studien_%C3%BCber_Hysterie_256.jpg" TargetMode="External"/><Relationship Id="rId85" Type="http://schemas.openxmlformats.org/officeDocument/2006/relationships/hyperlink" Target="http://gutenberg.spiegel.de/?id=5&amp;xid=5479&amp;kapitel=16&amp;cHash=c9ba69ac182" TargetMode="External"/><Relationship Id="rId150" Type="http://schemas.openxmlformats.org/officeDocument/2006/relationships/hyperlink" Target="http://gutenberg.spiegel.de/?id=5&amp;xid=5479&amp;kapitel=24&amp;cHash=c9ba69ac182" TargetMode="External"/><Relationship Id="rId595" Type="http://schemas.openxmlformats.org/officeDocument/2006/relationships/hyperlink" Target="http://gutenberg.spiegel.de/?id=5&amp;xid=5471&amp;kapitel=6&amp;cHash=fef33401182" TargetMode="External"/><Relationship Id="rId816" Type="http://schemas.openxmlformats.org/officeDocument/2006/relationships/hyperlink" Target="http://gutenberg.spiegel.de/?id=5&amp;xid=5452&amp;kapitel=33&amp;cHash=0b6f4173732" TargetMode="External"/><Relationship Id="rId1001" Type="http://schemas.openxmlformats.org/officeDocument/2006/relationships/hyperlink" Target="http://projekt.gutenberg.de/?id=5&amp;xid=5459&amp;kapitel=2&amp;cHash=2500fb16a9chap002" TargetMode="External"/><Relationship Id="rId1446" Type="http://schemas.openxmlformats.org/officeDocument/2006/relationships/hyperlink" Target="http://gutenberg.spiegel.de/?id=5&amp;xid=5454&amp;kapitel=23&amp;cHash=7be8bceb522" TargetMode="External"/><Relationship Id="rId1653" Type="http://schemas.openxmlformats.org/officeDocument/2006/relationships/hyperlink" Target="http://de.wikisource.org/wiki/Seite:De_Studien_%C3%BCber_Hysterie_028.jpg" TargetMode="External"/><Relationship Id="rId1860" Type="http://schemas.openxmlformats.org/officeDocument/2006/relationships/hyperlink" Target="http://de.wikisource.org/wiki/Seite:De_Studien_%C3%BCber_Hysterie_115.jpg" TargetMode="External"/><Relationship Id="rId248" Type="http://schemas.openxmlformats.org/officeDocument/2006/relationships/hyperlink" Target="http://gutenberg.spiegel.de/?id=5&amp;xid=5479&amp;kapitel=33&amp;cHash=c9ba69ac182" TargetMode="External"/><Relationship Id="rId455" Type="http://schemas.openxmlformats.org/officeDocument/2006/relationships/hyperlink" Target="http://gutenberg.spiegel.de/?id=5&amp;xid=5471&amp;kapitel=3&amp;cHash=fef33401182" TargetMode="External"/><Relationship Id="rId662" Type="http://schemas.openxmlformats.org/officeDocument/2006/relationships/hyperlink" Target="http://gutenberg.spiegel.de/?id=5&amp;xid=5471&amp;kapitel=6&amp;cHash=fef33401182" TargetMode="External"/><Relationship Id="rId1085" Type="http://schemas.openxmlformats.org/officeDocument/2006/relationships/hyperlink" Target="http://projekt.gutenberg.de/?id=5&amp;xid=5455&amp;kapitel=2&amp;cHash=893cd6bc1c2" TargetMode="External"/><Relationship Id="rId1292" Type="http://schemas.openxmlformats.org/officeDocument/2006/relationships/hyperlink" Target="http://projekt.gutenberg.de/?id=5&amp;xid=5463&amp;kapitel=7&amp;cHash=3873cdf9922" TargetMode="External"/><Relationship Id="rId1306" Type="http://schemas.openxmlformats.org/officeDocument/2006/relationships/hyperlink" Target="http://gutenberg.spiegel.de/?id=5&amp;xid=5468&amp;kapitel=1" TargetMode="External"/><Relationship Id="rId1513" Type="http://schemas.openxmlformats.org/officeDocument/2006/relationships/hyperlink" Target="http://gutenberg.spiegel.de/?id=5&amp;xid=5466&amp;kapitel=2&amp;cHash=160114ee7d2" TargetMode="External"/><Relationship Id="rId1720" Type="http://schemas.openxmlformats.org/officeDocument/2006/relationships/hyperlink" Target="http://de.wikisource.org/wiki/Studien_%C3%BCber_Hysterie/Beobachtung_II._Frau_Emmy_v._N%E2%80%A6" TargetMode="External"/><Relationship Id="rId1958" Type="http://schemas.openxmlformats.org/officeDocument/2006/relationships/hyperlink" Target="http://de.wikisource.org/wiki/Studien_%C3%BCber_Hysterie/Theoretisches" TargetMode="External"/><Relationship Id="rId12" Type="http://schemas.openxmlformats.org/officeDocument/2006/relationships/image" Target="media/image5.gif"/><Relationship Id="rId108" Type="http://schemas.openxmlformats.org/officeDocument/2006/relationships/hyperlink" Target="http://gutenberg.spiegel.de/?id=5&amp;xid=5479&amp;kapitel=19&amp;cHash=c9ba69ac182" TargetMode="External"/><Relationship Id="rId315" Type="http://schemas.openxmlformats.org/officeDocument/2006/relationships/hyperlink" Target="http://gutenberg.spiegel.de/?id=5&amp;xid=5474&amp;kapitel=2&amp;cHash=319187eedd2" TargetMode="External"/><Relationship Id="rId522" Type="http://schemas.openxmlformats.org/officeDocument/2006/relationships/hyperlink" Target="http://gutenberg.spiegel.de/?id=5&amp;xid=5471&amp;kapitel=5&amp;cHash=fef33401182" TargetMode="External"/><Relationship Id="rId967" Type="http://schemas.openxmlformats.org/officeDocument/2006/relationships/hyperlink" Target="http://projekt.gutenberg.de/?id=5&amp;xid=5459&amp;kapitel=1" TargetMode="External"/><Relationship Id="rId1152" Type="http://schemas.openxmlformats.org/officeDocument/2006/relationships/hyperlink" Target="http://projekt.gutenberg.de/?id=5&amp;xid=5475&amp;kapitel=8&amp;cHash=f458b8542a2" TargetMode="External"/><Relationship Id="rId1597" Type="http://schemas.openxmlformats.org/officeDocument/2006/relationships/hyperlink" Target="http://gutenberg.spiegel.de/?id=5&amp;xid=5460&amp;kapitel=2&amp;cHash=78ac0b08922" TargetMode="External"/><Relationship Id="rId1818" Type="http://schemas.openxmlformats.org/officeDocument/2006/relationships/hyperlink" Target="http://de.wikisource.org/wiki/Studien_%C3%BCber_Hysterie/Beobachtung_II._Frau_Emmy_v._N%E2%80%A6" TargetMode="External"/><Relationship Id="rId96" Type="http://schemas.openxmlformats.org/officeDocument/2006/relationships/hyperlink" Target="http://gutenberg.spiegel.de/?id=5&amp;xid=5479&amp;kapitel=17&amp;cHash=c9ba69ac182" TargetMode="External"/><Relationship Id="rId161" Type="http://schemas.openxmlformats.org/officeDocument/2006/relationships/hyperlink" Target="http://gutenberg.spiegel.de/?id=5&amp;xid=5479&amp;kapitel=24&amp;cHash=c9ba69ac182" TargetMode="External"/><Relationship Id="rId399" Type="http://schemas.openxmlformats.org/officeDocument/2006/relationships/hyperlink" Target="http://projekt.gutenberg.de/?id=5&amp;xid=5455&amp;kapitel=2&amp;cHash=893cd6bc1c2" TargetMode="External"/><Relationship Id="rId827" Type="http://schemas.openxmlformats.org/officeDocument/2006/relationships/hyperlink" Target="http://gutenberg.spiegel.de/?id=5&amp;xid=5452&amp;kapitel=35&amp;cHash=0b6f4173732" TargetMode="External"/><Relationship Id="rId1012" Type="http://schemas.openxmlformats.org/officeDocument/2006/relationships/hyperlink" Target="http://projekt.gutenberg.de/?id=5&amp;xid=5459&amp;kapitel=3&amp;cHash=2500fb16a9chap003" TargetMode="External"/><Relationship Id="rId1457" Type="http://schemas.openxmlformats.org/officeDocument/2006/relationships/hyperlink" Target="http://gutenberg.spiegel.de/?id=5&amp;xid=4665&amp;kapitel=4&amp;cHash=cc1c208a602" TargetMode="External"/><Relationship Id="rId1664" Type="http://schemas.openxmlformats.org/officeDocument/2006/relationships/hyperlink" Target="http://de.wikisource.org/wiki/Seite:De_Studien_%C3%BCber_Hysterie_037.jpg" TargetMode="External"/><Relationship Id="rId1871" Type="http://schemas.openxmlformats.org/officeDocument/2006/relationships/hyperlink" Target="http://de.wikisource.org/wiki/Seite:De_Studien_%C3%BCber_Hysterie_123.jpg" TargetMode="External"/><Relationship Id="rId259" Type="http://schemas.openxmlformats.org/officeDocument/2006/relationships/hyperlink" Target="http://gutenberg.spiegel.de/?id=5&amp;xid=5479&amp;kapitel=36&amp;cHash=c9ba69ac182" TargetMode="External"/><Relationship Id="rId466" Type="http://schemas.openxmlformats.org/officeDocument/2006/relationships/hyperlink" Target="http://gutenberg.spiegel.de/?id=5&amp;xid=5471&amp;kapitel=4&amp;cHash=fef33401182" TargetMode="External"/><Relationship Id="rId673" Type="http://schemas.openxmlformats.org/officeDocument/2006/relationships/hyperlink" Target="http://gutenberg.spiegel.de/?id=5&amp;xid=5471&amp;kapitel=6&amp;cHash=fef33401182" TargetMode="External"/><Relationship Id="rId880" Type="http://schemas.openxmlformats.org/officeDocument/2006/relationships/hyperlink" Target="http://gutenberg.spiegel.de/?id=5&amp;xid=5453&amp;kapitel=13&amp;cHash=3aa83cf0982" TargetMode="External"/><Relationship Id="rId1096" Type="http://schemas.openxmlformats.org/officeDocument/2006/relationships/hyperlink" Target="http://projekt.gutenberg.de/?id=5&amp;xid=5455&amp;kapitel=2&amp;cHash=893cd6bc1c2" TargetMode="External"/><Relationship Id="rId1317" Type="http://schemas.openxmlformats.org/officeDocument/2006/relationships/hyperlink" Target="http://gutenberg.spiegel.de/?id=5&amp;xid=5468&amp;kapitel=4&amp;cHash=3b7308c8912" TargetMode="External"/><Relationship Id="rId1524" Type="http://schemas.openxmlformats.org/officeDocument/2006/relationships/hyperlink" Target="http://gutenberg.spiegel.de/?id=5&amp;xid=5466&amp;kapitel=3&amp;cHash=160114ee7d2" TargetMode="External"/><Relationship Id="rId1731" Type="http://schemas.openxmlformats.org/officeDocument/2006/relationships/hyperlink" Target="http://de.wikisource.org/wiki/Seite:De_Studien_%C3%BCber_Hysterie_044.jpg" TargetMode="External"/><Relationship Id="rId1969" Type="http://schemas.openxmlformats.org/officeDocument/2006/relationships/hyperlink" Target="http://de.wikisource.org/wiki/Seite:De_Studien_%C3%BCber_Hysterie_190.jpg" TargetMode="External"/><Relationship Id="rId23" Type="http://schemas.openxmlformats.org/officeDocument/2006/relationships/hyperlink" Target="http://gutenberg.spiegel.de/?id=5&amp;xid=5479&amp;kapitel=6&amp;cHash=c9ba69ac182" TargetMode="External"/><Relationship Id="rId119" Type="http://schemas.openxmlformats.org/officeDocument/2006/relationships/hyperlink" Target="http://gutenberg.spiegel.de/?id=5&amp;xid=5479&amp;kapitel=19&amp;cHash=c9ba69ac182" TargetMode="External"/><Relationship Id="rId326" Type="http://schemas.openxmlformats.org/officeDocument/2006/relationships/hyperlink" Target="http://gutenberg.spiegel.de/?id=5&amp;xid=5474&amp;kapitel=4&amp;cHash=319187eedd2" TargetMode="External"/><Relationship Id="rId533" Type="http://schemas.openxmlformats.org/officeDocument/2006/relationships/hyperlink" Target="http://gutenberg.spiegel.de/?id=5&amp;xid=5471&amp;kapitel=5&amp;cHash=fef33401182" TargetMode="External"/><Relationship Id="rId978" Type="http://schemas.openxmlformats.org/officeDocument/2006/relationships/hyperlink" Target="http://projekt.gutenberg.de/?id=5&amp;xid=5459&amp;kapitel=2&amp;cHash=2500fb16a9chap002" TargetMode="External"/><Relationship Id="rId1163" Type="http://schemas.openxmlformats.org/officeDocument/2006/relationships/hyperlink" Target="http://projekt.gutenberg.de/?id=5&amp;xid=5475&amp;kapitel=8&amp;cHash=f458b8542a2" TargetMode="External"/><Relationship Id="rId1370" Type="http://schemas.openxmlformats.org/officeDocument/2006/relationships/hyperlink" Target="http://gutenberg.spiegel.de/?id=5&amp;xid=5454&amp;kapitel=3&amp;cHash=7be8bceb522" TargetMode="External"/><Relationship Id="rId1829" Type="http://schemas.openxmlformats.org/officeDocument/2006/relationships/hyperlink" Target="http://de.wikisource.org/wiki/Seite:De_Studien_%C3%BCber_Hysterie_091.jpg" TargetMode="External"/><Relationship Id="rId2007" Type="http://schemas.openxmlformats.org/officeDocument/2006/relationships/hyperlink" Target="http://de.wikisource.org/wiki/Studien_%C3%BCber_Hysterie/Theoretisches" TargetMode="External"/><Relationship Id="rId740" Type="http://schemas.openxmlformats.org/officeDocument/2006/relationships/hyperlink" Target="http://gutenberg.spiegel.de/?id=5&amp;xid=5452&amp;kapitel=11&amp;cHash=0b6f4173732" TargetMode="External"/><Relationship Id="rId838" Type="http://schemas.openxmlformats.org/officeDocument/2006/relationships/hyperlink" Target="http://gutenberg.spiegel.de/?id=5&amp;xid=5452&amp;kapitel=38&amp;cHash=0b6f4173732" TargetMode="External"/><Relationship Id="rId1023" Type="http://schemas.openxmlformats.org/officeDocument/2006/relationships/hyperlink" Target="http://projekt.gutenberg.de/?id=5&amp;xid=5459&amp;kapitel=3&amp;cHash=2500fb16a9chap003" TargetMode="External"/><Relationship Id="rId1468" Type="http://schemas.openxmlformats.org/officeDocument/2006/relationships/hyperlink" Target="http://gutenberg.spiegel.de/?id=5&amp;xid=4665&amp;kapitel=24&amp;cHash=cc1c208a602" TargetMode="External"/><Relationship Id="rId1675" Type="http://schemas.openxmlformats.org/officeDocument/2006/relationships/hyperlink" Target="http://de.wikipedia.org/wiki/Pleura" TargetMode="External"/><Relationship Id="rId1882" Type="http://schemas.openxmlformats.org/officeDocument/2006/relationships/hyperlink" Target="http://de.wikisource.org/wiki/Seite:De_Studien_%C3%BCber_Hysterie_132.jpg" TargetMode="External"/><Relationship Id="rId172" Type="http://schemas.openxmlformats.org/officeDocument/2006/relationships/hyperlink" Target="http://gutenberg.spiegel.de/?id=5&amp;xid=5479&amp;kapitel=25&amp;cHash=c9ba69ac182" TargetMode="External"/><Relationship Id="rId477" Type="http://schemas.openxmlformats.org/officeDocument/2006/relationships/hyperlink" Target="http://gutenberg.spiegel.de/?id=5&amp;xid=5471&amp;kapitel=4&amp;cHash=fef33401182" TargetMode="External"/><Relationship Id="rId600" Type="http://schemas.openxmlformats.org/officeDocument/2006/relationships/hyperlink" Target="http://gutenberg.spiegel.de/?id=5&amp;xid=5471&amp;kapitel=6&amp;cHash=fef33401182" TargetMode="External"/><Relationship Id="rId684" Type="http://schemas.openxmlformats.org/officeDocument/2006/relationships/hyperlink" Target="http://gutenberg.spiegel.de/?id=5&amp;xid=5471&amp;kapitel=6&amp;cHash=fef33401182" TargetMode="External"/><Relationship Id="rId1230" Type="http://schemas.openxmlformats.org/officeDocument/2006/relationships/hyperlink" Target="http://projekt.gutenberg.de/?id=5&amp;xid=5469&amp;kapitel=3&amp;cHash=37599a73a72" TargetMode="External"/><Relationship Id="rId1328" Type="http://schemas.openxmlformats.org/officeDocument/2006/relationships/hyperlink" Target="http://gutenberg.spiegel.de/?id=5&amp;xid=5468&amp;kapitel=6&amp;cHash=3b7308c8912" TargetMode="External"/><Relationship Id="rId1535" Type="http://schemas.openxmlformats.org/officeDocument/2006/relationships/hyperlink" Target="http://gutenberg.spiegel.de/?id=5&amp;xid=5466&amp;kapitel=3&amp;cHash=160114ee7d2" TargetMode="External"/><Relationship Id="rId2060" Type="http://schemas.openxmlformats.org/officeDocument/2006/relationships/hyperlink" Target="http://de.wikisource.org/wiki/Seite:De_Studien_%C3%BCber_Hysterie_247.jpg" TargetMode="External"/><Relationship Id="rId337" Type="http://schemas.openxmlformats.org/officeDocument/2006/relationships/hyperlink" Target="http://gutenberg.spiegel.de/?id=5&amp;xid=5474&amp;kapitel=6&amp;cHash=319187eedd2" TargetMode="External"/><Relationship Id="rId891" Type="http://schemas.openxmlformats.org/officeDocument/2006/relationships/hyperlink" Target="http://gutenberg.spiegel.de/?id=5&amp;xid=5453&amp;kapitel=16&amp;cHash=3aa83cf0982" TargetMode="External"/><Relationship Id="rId905" Type="http://schemas.openxmlformats.org/officeDocument/2006/relationships/hyperlink" Target="http://gutenberg.spiegel.de/?id=5&amp;xid=5453&amp;kapitel=20&amp;cHash=3aa83cf0982" TargetMode="External"/><Relationship Id="rId989" Type="http://schemas.openxmlformats.org/officeDocument/2006/relationships/hyperlink" Target="http://projekt.gutenberg.de/?id=5&amp;xid=5459&amp;kapitel=2&amp;cHash=2500fb16a9chap002" TargetMode="External"/><Relationship Id="rId1742" Type="http://schemas.openxmlformats.org/officeDocument/2006/relationships/hyperlink" Target="http://de.wikisource.org/wiki/Studien_%C3%BCber_Hysterie/Beobachtung_II._Frau_Emmy_v._N%E2%80%A6" TargetMode="External"/><Relationship Id="rId2018" Type="http://schemas.openxmlformats.org/officeDocument/2006/relationships/hyperlink" Target="http://de.wikisource.org/wiki/Studien_%C3%BCber_Hysterie/Theoretisches" TargetMode="External"/><Relationship Id="rId34" Type="http://schemas.openxmlformats.org/officeDocument/2006/relationships/hyperlink" Target="http://gutenberg.spiegel.de/?id=5&amp;xid=5479&amp;kapitel=9&amp;cHash=c9ba69ac182" TargetMode="External"/><Relationship Id="rId544" Type="http://schemas.openxmlformats.org/officeDocument/2006/relationships/hyperlink" Target="http://gutenberg.spiegel.de/?id=5&amp;xid=5471&amp;kapitel=6&amp;cHash=fef33401182" TargetMode="External"/><Relationship Id="rId751" Type="http://schemas.openxmlformats.org/officeDocument/2006/relationships/hyperlink" Target="http://gutenberg.spiegel.de/?id=5&amp;xid=5452&amp;kapitel=11&amp;cHash=0b6f4173732" TargetMode="External"/><Relationship Id="rId849" Type="http://schemas.openxmlformats.org/officeDocument/2006/relationships/hyperlink" Target="http://gutenberg.spiegel.de/?id=5&amp;xid=5452&amp;kapitel=41&amp;cHash=0b6f4173732" TargetMode="External"/><Relationship Id="rId1174" Type="http://schemas.openxmlformats.org/officeDocument/2006/relationships/hyperlink" Target="http://projekt.gutenberg.de/?id=5&amp;xid=5475&amp;kapitel=10&amp;cHash=f458b8542a2" TargetMode="External"/><Relationship Id="rId1381" Type="http://schemas.openxmlformats.org/officeDocument/2006/relationships/hyperlink" Target="http://gutenberg.spiegel.de/?id=5&amp;xid=5454&amp;kapitel=4&amp;cHash=7be8bceb522" TargetMode="External"/><Relationship Id="rId1479" Type="http://schemas.openxmlformats.org/officeDocument/2006/relationships/hyperlink" Target="http://gutenberg.spiegel.de/?id=5&amp;xid=5457&amp;kapitel=6&amp;cHash=8f5b827b6d2" TargetMode="External"/><Relationship Id="rId1602" Type="http://schemas.openxmlformats.org/officeDocument/2006/relationships/hyperlink" Target="http://de.wikisource.org/wiki/Seite:De_Studien_%C3%BCber_Hysterie_003.jpg" TargetMode="External"/><Relationship Id="rId1686" Type="http://schemas.openxmlformats.org/officeDocument/2006/relationships/hyperlink" Target="http://de.wikipedia.org/wiki/Okulomotoriusparese" TargetMode="External"/><Relationship Id="rId183" Type="http://schemas.openxmlformats.org/officeDocument/2006/relationships/hyperlink" Target="http://gutenberg.spiegel.de/?id=5&amp;xid=5479&amp;kapitel=25&amp;cHash=c9ba69ac182" TargetMode="External"/><Relationship Id="rId390" Type="http://schemas.openxmlformats.org/officeDocument/2006/relationships/hyperlink" Target="http://projekt.gutenberg.de/?id=5&amp;xid=5455&amp;kapitel=2&amp;cHash=893cd6bc1c2" TargetMode="External"/><Relationship Id="rId404" Type="http://schemas.openxmlformats.org/officeDocument/2006/relationships/hyperlink" Target="http://projekt.gutenberg.de/?id=5&amp;xid=5455&amp;kapitel=2&amp;cHash=893cd6bc1c2" TargetMode="External"/><Relationship Id="rId611" Type="http://schemas.openxmlformats.org/officeDocument/2006/relationships/hyperlink" Target="http://gutenberg.spiegel.de/?id=5&amp;xid=5471&amp;kapitel=6&amp;cHash=fef33401182" TargetMode="External"/><Relationship Id="rId1034" Type="http://schemas.openxmlformats.org/officeDocument/2006/relationships/hyperlink" Target="http://projekt.gutenberg.de/?id=5&amp;xid=5459&amp;kapitel=4&amp;cHash=2500fb16a9chap004" TargetMode="External"/><Relationship Id="rId1241" Type="http://schemas.openxmlformats.org/officeDocument/2006/relationships/hyperlink" Target="http://projekt.gutenberg.de/?id=5&amp;xid=5469&amp;kapitel=3&amp;cHash=37599a73a72" TargetMode="External"/><Relationship Id="rId1339" Type="http://schemas.openxmlformats.org/officeDocument/2006/relationships/hyperlink" Target="http://gutenberg.spiegel.de/?id=5&amp;xid=5468&amp;kapitel=8&amp;cHash=3b7308c8912" TargetMode="External"/><Relationship Id="rId1893" Type="http://schemas.openxmlformats.org/officeDocument/2006/relationships/hyperlink" Target="http://de.wikisource.org/wiki/Studien_%C3%BCber_Hysterie/Beobachtung_V._Frl._Elisabeth_v._R%E2%80%A6" TargetMode="External"/><Relationship Id="rId1907" Type="http://schemas.openxmlformats.org/officeDocument/2006/relationships/hyperlink" Target="http://de.wikisource.org/wiki/Studien_%C3%BCber_Hysterie/Beobachtung_V._Frl._Elisabeth_v._R%E2%80%A6" TargetMode="External"/><Relationship Id="rId2071" Type="http://schemas.openxmlformats.org/officeDocument/2006/relationships/hyperlink" Target="http://de.wikisource.org/wiki/Seite:De_Studien_%C3%BCber_Hysterie_258.jpg" TargetMode="External"/><Relationship Id="rId250" Type="http://schemas.openxmlformats.org/officeDocument/2006/relationships/hyperlink" Target="http://gutenberg.spiegel.de/?id=5&amp;xid=5479&amp;kapitel=33&amp;cHash=c9ba69ac182" TargetMode="External"/><Relationship Id="rId488" Type="http://schemas.openxmlformats.org/officeDocument/2006/relationships/hyperlink" Target="http://gutenberg.spiegel.de/?id=5&amp;xid=5471&amp;kapitel=4&amp;cHash=fef33401182" TargetMode="External"/><Relationship Id="rId695" Type="http://schemas.openxmlformats.org/officeDocument/2006/relationships/hyperlink" Target="http://gutenberg.spiegel.de/?id=5&amp;xid=5452&amp;kapitel=3&amp;cHash=0b6f4173732" TargetMode="External"/><Relationship Id="rId709" Type="http://schemas.openxmlformats.org/officeDocument/2006/relationships/hyperlink" Target="http://gutenberg.spiegel.de/?id=5&amp;xid=5452&amp;kapitel=7&amp;cHash=0b6f4173732" TargetMode="External"/><Relationship Id="rId916" Type="http://schemas.openxmlformats.org/officeDocument/2006/relationships/hyperlink" Target="http://gutenberg.spiegel.de/?id=5&amp;xid=5453&amp;kapitel=24&amp;cHash=3aa83cf0982" TargetMode="External"/><Relationship Id="rId1101" Type="http://schemas.openxmlformats.org/officeDocument/2006/relationships/hyperlink" Target="http://projekt.gutenberg.de/?id=5&amp;xid=5455&amp;kapitel=2&amp;cHash=893cd6bc1c2" TargetMode="External"/><Relationship Id="rId1546" Type="http://schemas.openxmlformats.org/officeDocument/2006/relationships/hyperlink" Target="http://gutenberg.spiegel.de/?id=5&amp;xid=5466&amp;kapitel=4&amp;cHash=160114ee7d2" TargetMode="External"/><Relationship Id="rId1753" Type="http://schemas.openxmlformats.org/officeDocument/2006/relationships/hyperlink" Target="http://de.wikisource.org/wiki/Studien_%C3%BCber_Hysterie/Beobachtung_II._Frau_Emmy_v._N%E2%80%A6" TargetMode="External"/><Relationship Id="rId1960" Type="http://schemas.openxmlformats.org/officeDocument/2006/relationships/hyperlink" Target="http://de.wikisource.org/wiki/Seite:De_Studien_%C3%BCber_Hysterie_186.jpg" TargetMode="External"/><Relationship Id="rId45" Type="http://schemas.openxmlformats.org/officeDocument/2006/relationships/hyperlink" Target="http://gutenberg.spiegel.de/?id=5&amp;xid=5479&amp;kapitel=12&amp;cHash=c9ba69ac182" TargetMode="External"/><Relationship Id="rId110" Type="http://schemas.openxmlformats.org/officeDocument/2006/relationships/hyperlink" Target="http://gutenberg.spiegel.de/?id=5&amp;xid=5479&amp;kapitel=19&amp;cHash=c9ba69ac182" TargetMode="External"/><Relationship Id="rId348" Type="http://schemas.openxmlformats.org/officeDocument/2006/relationships/hyperlink" Target="http://gutenberg.spiegel.de/?id=5&amp;xid=5474&amp;kapitel=7&amp;cHash=319187eedd2" TargetMode="External"/><Relationship Id="rId555" Type="http://schemas.openxmlformats.org/officeDocument/2006/relationships/hyperlink" Target="http://gutenberg.spiegel.de/?id=5&amp;xid=5471&amp;kapitel=6&amp;cHash=fef33401182" TargetMode="External"/><Relationship Id="rId762" Type="http://schemas.openxmlformats.org/officeDocument/2006/relationships/hyperlink" Target="http://gutenberg.spiegel.de/?id=5&amp;xid=5452&amp;kapitel=15&amp;cHash=0b6f4173732" TargetMode="External"/><Relationship Id="rId1185" Type="http://schemas.openxmlformats.org/officeDocument/2006/relationships/hyperlink" Target="http://projekt.gutenberg.de/?id=5&amp;xid=5469&amp;kapitel=1" TargetMode="External"/><Relationship Id="rId1392" Type="http://schemas.openxmlformats.org/officeDocument/2006/relationships/hyperlink" Target="http://gutenberg.spiegel.de/?id=5&amp;xid=5454&amp;kapitel=5&amp;cHash=7be8bceb522" TargetMode="External"/><Relationship Id="rId1406" Type="http://schemas.openxmlformats.org/officeDocument/2006/relationships/hyperlink" Target="http://gutenberg.spiegel.de/?id=5&amp;xid=5454&amp;kapitel=11&amp;cHash=7be8bceb522" TargetMode="External"/><Relationship Id="rId1613" Type="http://schemas.openxmlformats.org/officeDocument/2006/relationships/hyperlink" Target="http://de.wikisource.org/wiki/Seite:De_Studien_%C3%BCber_Hysterie_012.jpg" TargetMode="External"/><Relationship Id="rId1820" Type="http://schemas.openxmlformats.org/officeDocument/2006/relationships/hyperlink" Target="http://de.wikisource.org/wiki/Studien_%C3%BCber_Hysterie/Beobachtung_II._Frau_Emmy_v._N%E2%80%A6" TargetMode="External"/><Relationship Id="rId2029" Type="http://schemas.openxmlformats.org/officeDocument/2006/relationships/hyperlink" Target="http://de.wikisource.org/wiki/Studien_%C3%BCber_Hysterie/Theoretisches" TargetMode="External"/><Relationship Id="rId194" Type="http://schemas.openxmlformats.org/officeDocument/2006/relationships/hyperlink" Target="http://gutenberg.spiegel.de/?id=5&amp;xid=5479&amp;kapitel=25&amp;cHash=c9ba69ac182" TargetMode="External"/><Relationship Id="rId208" Type="http://schemas.openxmlformats.org/officeDocument/2006/relationships/hyperlink" Target="http://gutenberg.spiegel.de/?id=5&amp;xid=5479&amp;kapitel=27&amp;cHash=c9ba69ac182" TargetMode="External"/><Relationship Id="rId415" Type="http://schemas.openxmlformats.org/officeDocument/2006/relationships/hyperlink" Target="http://projekt.gutenberg.de/?id=5&amp;xid=5455&amp;kapitel=3&amp;cHash=893cd6bc1c2" TargetMode="External"/><Relationship Id="rId622" Type="http://schemas.openxmlformats.org/officeDocument/2006/relationships/hyperlink" Target="http://gutenberg.spiegel.de/?id=5&amp;xid=5471&amp;kapitel=6&amp;cHash=fef33401182" TargetMode="External"/><Relationship Id="rId1045" Type="http://schemas.openxmlformats.org/officeDocument/2006/relationships/hyperlink" Target="http://projekt.gutenberg.de/?id=5&amp;xid=5459&amp;kapitel=4&amp;cHash=2500fb16a9chap004" TargetMode="External"/><Relationship Id="rId1252" Type="http://schemas.openxmlformats.org/officeDocument/2006/relationships/hyperlink" Target="http://projekt.gutenberg.de/?id=5&amp;xid=5469&amp;kapitel=4&amp;cHash=37599a73a72" TargetMode="External"/><Relationship Id="rId1697" Type="http://schemas.openxmlformats.org/officeDocument/2006/relationships/hyperlink" Target="http://de.wikipedia.org/wiki/Sopor" TargetMode="External"/><Relationship Id="rId1918" Type="http://schemas.openxmlformats.org/officeDocument/2006/relationships/hyperlink" Target="http://de.wikisource.org/wiki/Studien_%C3%BCber_Hysterie/Beobachtung_V._Frl._Elisabeth_v._R%E2%80%A6" TargetMode="External"/><Relationship Id="rId2082" Type="http://schemas.openxmlformats.org/officeDocument/2006/relationships/hyperlink" Target="http://de.wikisource.org/wiki/Seite:De_Studien_%C3%BCber_Hysterie_269.jpg" TargetMode="External"/><Relationship Id="rId261" Type="http://schemas.openxmlformats.org/officeDocument/2006/relationships/hyperlink" Target="http://gutenberg.spiegel.de/?id=5&amp;xid=5479&amp;kapitel=36&amp;cHash=c9ba69ac182" TargetMode="External"/><Relationship Id="rId499" Type="http://schemas.openxmlformats.org/officeDocument/2006/relationships/hyperlink" Target="http://gutenberg.spiegel.de/?id=5&amp;xid=5471&amp;kapitel=4&amp;cHash=fef33401182" TargetMode="External"/><Relationship Id="rId927" Type="http://schemas.openxmlformats.org/officeDocument/2006/relationships/hyperlink" Target="http://gutenberg.spiegel.de/?id=5&amp;xid=5453&amp;kapitel=31&amp;cHash=3aa83cf0982" TargetMode="External"/><Relationship Id="rId1112" Type="http://schemas.openxmlformats.org/officeDocument/2006/relationships/hyperlink" Target="http://projekt.gutenberg.de/?id=5&amp;xid=5455&amp;kapitel=3&amp;cHash=893cd6bc1c2" TargetMode="External"/><Relationship Id="rId1557" Type="http://schemas.openxmlformats.org/officeDocument/2006/relationships/image" Target="media/image36.jpeg"/><Relationship Id="rId1764" Type="http://schemas.openxmlformats.org/officeDocument/2006/relationships/hyperlink" Target="http://de.wikisource.org/wiki/Studien_%C3%BCber_Hysterie/Beobachtung_II._Frau_Emmy_v._N%E2%80%A6" TargetMode="External"/><Relationship Id="rId1971" Type="http://schemas.openxmlformats.org/officeDocument/2006/relationships/hyperlink" Target="http://de.wikisource.org/wiki/Seite:De_Studien_%C3%BCber_Hysterie_192.jpg" TargetMode="External"/><Relationship Id="rId56" Type="http://schemas.openxmlformats.org/officeDocument/2006/relationships/hyperlink" Target="http://gutenberg.spiegel.de/?id=5&amp;xid=5479&amp;kapitel=13&amp;cHash=c9ba69ac182" TargetMode="External"/><Relationship Id="rId359" Type="http://schemas.openxmlformats.org/officeDocument/2006/relationships/hyperlink" Target="http://gutenberg.spiegel.de/?id=5&amp;xid=5474&amp;kapitel=7&amp;cHash=319187eedd2" TargetMode="External"/><Relationship Id="rId566" Type="http://schemas.openxmlformats.org/officeDocument/2006/relationships/hyperlink" Target="http://gutenberg.spiegel.de/?id=5&amp;xid=5471&amp;kapitel=6&amp;cHash=fef33401182" TargetMode="External"/><Relationship Id="rId773" Type="http://schemas.openxmlformats.org/officeDocument/2006/relationships/hyperlink" Target="http://gutenberg.spiegel.de/?id=5&amp;xid=5452&amp;kapitel=18&amp;cHash=0b6f4173732" TargetMode="External"/><Relationship Id="rId1196" Type="http://schemas.openxmlformats.org/officeDocument/2006/relationships/hyperlink" Target="http://projekt.gutenberg.de/?id=5&amp;xid=5469&amp;kapitel=2&amp;cHash=37599a73a72" TargetMode="External"/><Relationship Id="rId1417" Type="http://schemas.openxmlformats.org/officeDocument/2006/relationships/hyperlink" Target="http://gutenberg.spiegel.de/?id=5&amp;xid=5454&amp;kapitel=14&amp;cHash=7be8bceb522" TargetMode="External"/><Relationship Id="rId1624" Type="http://schemas.openxmlformats.org/officeDocument/2006/relationships/hyperlink" Target="http://de.wikisource.org/wiki/Studien_%C3%BCber_Hysterie/Beobachtung_I._Frl._Anna_O%E2%80%A6" TargetMode="External"/><Relationship Id="rId1831" Type="http://schemas.openxmlformats.org/officeDocument/2006/relationships/hyperlink" Target="http://de.wikisource.org/wiki/Seite:De_Studien_%C3%BCber_Hysterie_093.jpg" TargetMode="External"/><Relationship Id="rId121" Type="http://schemas.openxmlformats.org/officeDocument/2006/relationships/hyperlink" Target="http://gutenberg.spiegel.de/?id=5&amp;xid=5479&amp;kapitel=19&amp;cHash=c9ba69ac182" TargetMode="External"/><Relationship Id="rId219" Type="http://schemas.openxmlformats.org/officeDocument/2006/relationships/hyperlink" Target="http://gutenberg.spiegel.de/?id=5&amp;xid=5479&amp;kapitel=29&amp;cHash=c9ba69ac182" TargetMode="External"/><Relationship Id="rId426" Type="http://schemas.openxmlformats.org/officeDocument/2006/relationships/hyperlink" Target="http://projekt.gutenberg.de/?id=5&amp;xid=5455&amp;kapitel=3&amp;cHash=893cd6bc1c2" TargetMode="External"/><Relationship Id="rId633" Type="http://schemas.openxmlformats.org/officeDocument/2006/relationships/hyperlink" Target="http://gutenberg.spiegel.de/?id=5&amp;xid=5471&amp;kapitel=6&amp;cHash=fef33401182" TargetMode="External"/><Relationship Id="rId980" Type="http://schemas.openxmlformats.org/officeDocument/2006/relationships/hyperlink" Target="http://projekt.gutenberg.de/?id=5&amp;xid=5459&amp;kapitel=2&amp;cHash=2500fb16a9chap002" TargetMode="External"/><Relationship Id="rId1056" Type="http://schemas.openxmlformats.org/officeDocument/2006/relationships/hyperlink" Target="http://projekt.gutenberg.de/?id=5&amp;xid=5455&amp;kapitel=1" TargetMode="External"/><Relationship Id="rId1263" Type="http://schemas.openxmlformats.org/officeDocument/2006/relationships/hyperlink" Target="http://projekt.gutenberg.de/?id=5&amp;xid=5463&amp;kapitel=3&amp;cHash=3873cdf9922" TargetMode="External"/><Relationship Id="rId1929" Type="http://schemas.openxmlformats.org/officeDocument/2006/relationships/hyperlink" Target="http://de.wikisource.org/wiki/Seite:De_Studien_%C3%BCber_Hysterie_164.jpg" TargetMode="External"/><Relationship Id="rId840" Type="http://schemas.openxmlformats.org/officeDocument/2006/relationships/hyperlink" Target="http://gutenberg.spiegel.de/?id=5&amp;xid=5452&amp;kapitel=39&amp;cHash=0b6f4173732" TargetMode="External"/><Relationship Id="rId938" Type="http://schemas.openxmlformats.org/officeDocument/2006/relationships/hyperlink" Target="http://gutenberg.spiegel.de/?id=5&amp;xid=5453&amp;kapitel=33&amp;cHash=3aa83cf0982" TargetMode="External"/><Relationship Id="rId1470" Type="http://schemas.openxmlformats.org/officeDocument/2006/relationships/hyperlink" Target="http://gutenberg.spiegel.de/?id=5&amp;xid=5473&amp;kapitel=3&amp;cHash=650a84ca1d2" TargetMode="External"/><Relationship Id="rId1568" Type="http://schemas.openxmlformats.org/officeDocument/2006/relationships/hyperlink" Target="http://gutenberg.spiegel.de/?id=5&amp;xid=5466&amp;kapitel=5&amp;cHash=160114ee7d2" TargetMode="External"/><Relationship Id="rId1775" Type="http://schemas.openxmlformats.org/officeDocument/2006/relationships/hyperlink" Target="http://de.wikisource.org/wiki/Seite:De_Studien_%C3%BCber_Hysterie_072.jpg" TargetMode="External"/><Relationship Id="rId67" Type="http://schemas.openxmlformats.org/officeDocument/2006/relationships/hyperlink" Target="http://gutenberg.spiegel.de/?id=5&amp;xid=5479&amp;kapitel=14&amp;cHash=c9ba69ac182" TargetMode="External"/><Relationship Id="rId272" Type="http://schemas.openxmlformats.org/officeDocument/2006/relationships/hyperlink" Target="http://gutenberg.spiegel.de/?id=5&amp;xid=5470&amp;kapitel=6&amp;cHash=e3099ac4fe2" TargetMode="External"/><Relationship Id="rId577" Type="http://schemas.openxmlformats.org/officeDocument/2006/relationships/hyperlink" Target="http://gutenberg.spiegel.de/?id=5&amp;xid=5471&amp;kapitel=6&amp;cHash=fef33401182" TargetMode="External"/><Relationship Id="rId700" Type="http://schemas.openxmlformats.org/officeDocument/2006/relationships/hyperlink" Target="http://gutenberg.spiegel.de/?id=5&amp;xid=5452&amp;kapitel=6&amp;cHash=0b6f4173732" TargetMode="External"/><Relationship Id="rId1123" Type="http://schemas.openxmlformats.org/officeDocument/2006/relationships/hyperlink" Target="http://projekt.gutenberg.de/?id=5&amp;xid=5475&amp;kapitel=2&amp;cHash=f458b8542a2" TargetMode="External"/><Relationship Id="rId1330" Type="http://schemas.openxmlformats.org/officeDocument/2006/relationships/hyperlink" Target="http://gutenberg.spiegel.de/?id=5&amp;xid=5468&amp;kapitel=6&amp;cHash=3b7308c8912" TargetMode="External"/><Relationship Id="rId1428" Type="http://schemas.openxmlformats.org/officeDocument/2006/relationships/hyperlink" Target="http://gutenberg.spiegel.de/?id=5&amp;xid=5454&amp;kapitel=17&amp;cHash=7be8bceb522" TargetMode="External"/><Relationship Id="rId1635" Type="http://schemas.openxmlformats.org/officeDocument/2006/relationships/hyperlink" Target="http://de.wikisource.org/wiki/Seite:De_Studien_%C3%BCber_Hysterie_019.jpg" TargetMode="External"/><Relationship Id="rId1982" Type="http://schemas.openxmlformats.org/officeDocument/2006/relationships/hyperlink" Target="http://de.wikisource.org/wiki/Seite:De_Studien_%C3%BCber_Hysterie_202.jpg" TargetMode="External"/><Relationship Id="rId132" Type="http://schemas.openxmlformats.org/officeDocument/2006/relationships/hyperlink" Target="http://gutenberg.spiegel.de/?id=5&amp;xid=5479&amp;kapitel=21&amp;cHash=c9ba69ac182" TargetMode="External"/><Relationship Id="rId784" Type="http://schemas.openxmlformats.org/officeDocument/2006/relationships/hyperlink" Target="http://gutenberg.spiegel.de/?id=5&amp;xid=5452&amp;kapitel=23&amp;cHash=0b6f4173732" TargetMode="External"/><Relationship Id="rId991" Type="http://schemas.openxmlformats.org/officeDocument/2006/relationships/hyperlink" Target="http://projekt.gutenberg.de/?id=5&amp;xid=5459&amp;kapitel=2&amp;cHash=2500fb16a9chap002" TargetMode="External"/><Relationship Id="rId1067" Type="http://schemas.openxmlformats.org/officeDocument/2006/relationships/hyperlink" Target="http://projekt.gutenberg.de/?id=5&amp;xid=5455&amp;kapitel=2&amp;cHash=893cd6bc1c2" TargetMode="External"/><Relationship Id="rId1842" Type="http://schemas.openxmlformats.org/officeDocument/2006/relationships/hyperlink" Target="http://de.wikisource.org/wiki/Seite:De_Studien_%C3%BCber_Hysterie_102.jpg" TargetMode="External"/><Relationship Id="rId2020" Type="http://schemas.openxmlformats.org/officeDocument/2006/relationships/hyperlink" Target="http://de.wikisource.org/wiki/Studien_%C3%BCber_Hysterie/Theoretisches" TargetMode="External"/><Relationship Id="rId437" Type="http://schemas.openxmlformats.org/officeDocument/2006/relationships/hyperlink" Target="http://gutenberg.spiegel.de/?id=5&amp;xid=5458&amp;kapitel=5&amp;cHash=cd31317e0b2" TargetMode="External"/><Relationship Id="rId644" Type="http://schemas.openxmlformats.org/officeDocument/2006/relationships/hyperlink" Target="http://gutenberg.spiegel.de/?id=5&amp;xid=5471&amp;kapitel=6&amp;cHash=fef33401182" TargetMode="External"/><Relationship Id="rId851" Type="http://schemas.openxmlformats.org/officeDocument/2006/relationships/hyperlink" Target="http://gutenberg.spiegel.de/?id=5&amp;xid=5452&amp;kapitel=41&amp;cHash=0b6f4173732" TargetMode="External"/><Relationship Id="rId1274" Type="http://schemas.openxmlformats.org/officeDocument/2006/relationships/hyperlink" Target="http://projekt.gutenberg.de/?id=5&amp;xid=5463&amp;kapitel=4&amp;cHash=3873cdf9922" TargetMode="External"/><Relationship Id="rId1481" Type="http://schemas.openxmlformats.org/officeDocument/2006/relationships/hyperlink" Target="http://gutenberg.spiegel.de/?id=5&amp;xid=5457&amp;kapitel=7&amp;cHash=8f5b827b6d2" TargetMode="External"/><Relationship Id="rId1579" Type="http://schemas.openxmlformats.org/officeDocument/2006/relationships/hyperlink" Target="http://gutenberg.spiegel.de/?id=5&amp;xid=5456&amp;kapitel=1" TargetMode="External"/><Relationship Id="rId1702" Type="http://schemas.openxmlformats.org/officeDocument/2006/relationships/hyperlink" Target="http://de.wikipedia.org/wiki/Chloralhydrat" TargetMode="External"/><Relationship Id="rId283" Type="http://schemas.openxmlformats.org/officeDocument/2006/relationships/hyperlink" Target="http://gutenberg.spiegel.de/?id=5&amp;xid=5470&amp;kapitel=11&amp;cHash=e3099ac4fe2" TargetMode="External"/><Relationship Id="rId490" Type="http://schemas.openxmlformats.org/officeDocument/2006/relationships/hyperlink" Target="http://gutenberg.spiegel.de/?id=5&amp;xid=5471&amp;kapitel=4&amp;cHash=fef33401182" TargetMode="External"/><Relationship Id="rId504" Type="http://schemas.openxmlformats.org/officeDocument/2006/relationships/hyperlink" Target="http://gutenberg.spiegel.de/?id=5&amp;xid=5471&amp;kapitel=4&amp;cHash=fef33401182" TargetMode="External"/><Relationship Id="rId711" Type="http://schemas.openxmlformats.org/officeDocument/2006/relationships/hyperlink" Target="http://gutenberg.spiegel.de/?id=5&amp;xid=5452&amp;kapitel=7&amp;cHash=0b6f4173732" TargetMode="External"/><Relationship Id="rId949" Type="http://schemas.openxmlformats.org/officeDocument/2006/relationships/hyperlink" Target="http://gutenberg.spiegel.de/?id=5&amp;xid=5453&amp;kapitel=34&amp;cHash=3aa83cf0982" TargetMode="External"/><Relationship Id="rId1134" Type="http://schemas.openxmlformats.org/officeDocument/2006/relationships/hyperlink" Target="http://projekt.gutenberg.de/?id=5&amp;xid=5475&amp;kapitel=5&amp;cHash=f458b8542a2" TargetMode="External"/><Relationship Id="rId1341" Type="http://schemas.openxmlformats.org/officeDocument/2006/relationships/hyperlink" Target="http://gutenberg.spiegel.de/?id=5&amp;xid=5468&amp;kapitel=8&amp;cHash=3b7308c8912" TargetMode="External"/><Relationship Id="rId1786" Type="http://schemas.openxmlformats.org/officeDocument/2006/relationships/hyperlink" Target="http://de.wikisource.org/wiki/Seite:De_Studien_%C3%BCber_Hysterie_081.jpg" TargetMode="External"/><Relationship Id="rId1993" Type="http://schemas.openxmlformats.org/officeDocument/2006/relationships/hyperlink" Target="http://de.wikisource.org/wiki/Seite:De_Studien_%C3%BCber_Hysterie_212.jpg" TargetMode="External"/><Relationship Id="rId78" Type="http://schemas.openxmlformats.org/officeDocument/2006/relationships/hyperlink" Target="http://gutenberg.spiegel.de/?id=5&amp;xid=5479&amp;kapitel=16&amp;cHash=c9ba69ac182" TargetMode="External"/><Relationship Id="rId143" Type="http://schemas.openxmlformats.org/officeDocument/2006/relationships/hyperlink" Target="http://gutenberg.spiegel.de/?id=5&amp;xid=5479&amp;kapitel=23&amp;cHash=c9ba69ac182" TargetMode="External"/><Relationship Id="rId350" Type="http://schemas.openxmlformats.org/officeDocument/2006/relationships/hyperlink" Target="http://gutenberg.spiegel.de/?id=5&amp;xid=5474&amp;kapitel=7&amp;cHash=319187eedd2" TargetMode="External"/><Relationship Id="rId588" Type="http://schemas.openxmlformats.org/officeDocument/2006/relationships/hyperlink" Target="http://gutenberg.spiegel.de/?id=5&amp;xid=5471&amp;kapitel=6&amp;cHash=fef33401182" TargetMode="External"/><Relationship Id="rId795" Type="http://schemas.openxmlformats.org/officeDocument/2006/relationships/hyperlink" Target="http://gutenberg.spiegel.de/?id=5&amp;xid=5452&amp;kapitel=30&amp;cHash=0b6f4173732" TargetMode="External"/><Relationship Id="rId809" Type="http://schemas.openxmlformats.org/officeDocument/2006/relationships/hyperlink" Target="http://gutenberg.spiegel.de/?id=5&amp;xid=5452&amp;kapitel=33&amp;cHash=0b6f4173732" TargetMode="External"/><Relationship Id="rId1201" Type="http://schemas.openxmlformats.org/officeDocument/2006/relationships/hyperlink" Target="http://projekt.gutenberg.de/?id=5&amp;xid=5469&amp;kapitel=2&amp;cHash=37599a73a72" TargetMode="External"/><Relationship Id="rId1439" Type="http://schemas.openxmlformats.org/officeDocument/2006/relationships/hyperlink" Target="http://gutenberg.spiegel.de/?id=5&amp;xid=5454&amp;kapitel=23&amp;cHash=7be8bceb522" TargetMode="External"/><Relationship Id="rId1646" Type="http://schemas.openxmlformats.org/officeDocument/2006/relationships/hyperlink" Target="http://de.wikisource.org/wiki/Studien_%C3%BCber_Hysterie/Beobachtung_I._Frl._Anna_O%E2%80%A6" TargetMode="External"/><Relationship Id="rId1853" Type="http://schemas.openxmlformats.org/officeDocument/2006/relationships/hyperlink" Target="http://de.wikisource.org/wiki/Studien_%C3%BCber_Hysterie/Beobachtung_IV._Katharina%E2%80%A6" TargetMode="External"/><Relationship Id="rId2031" Type="http://schemas.openxmlformats.org/officeDocument/2006/relationships/hyperlink" Target="http://de.wikisource.org/wiki/Studien_%C3%BCber_Hysterie/Theoretisches" TargetMode="External"/><Relationship Id="rId9" Type="http://schemas.openxmlformats.org/officeDocument/2006/relationships/image" Target="media/image2.jpeg"/><Relationship Id="rId210" Type="http://schemas.openxmlformats.org/officeDocument/2006/relationships/hyperlink" Target="http://gutenberg.spiegel.de/?id=5&amp;xid=5479&amp;kapitel=27&amp;cHash=c9ba69ac182" TargetMode="External"/><Relationship Id="rId448" Type="http://schemas.openxmlformats.org/officeDocument/2006/relationships/hyperlink" Target="http://gutenberg.spiegel.de/?id=5&amp;xid=5471&amp;kapitel=3&amp;cHash=fef33401182" TargetMode="External"/><Relationship Id="rId655" Type="http://schemas.openxmlformats.org/officeDocument/2006/relationships/hyperlink" Target="http://gutenberg.spiegel.de/?id=5&amp;xid=5471&amp;kapitel=6&amp;cHash=fef33401182" TargetMode="External"/><Relationship Id="rId862" Type="http://schemas.openxmlformats.org/officeDocument/2006/relationships/hyperlink" Target="http://gutenberg.spiegel.de/?id=5&amp;xid=5453&amp;kapitel=3&amp;cHash=3aa83cf0982" TargetMode="External"/><Relationship Id="rId1078" Type="http://schemas.openxmlformats.org/officeDocument/2006/relationships/hyperlink" Target="http://projekt.gutenberg.de/?id=5&amp;xid=5455&amp;kapitel=2&amp;cHash=893cd6bc1c2" TargetMode="External"/><Relationship Id="rId1285" Type="http://schemas.openxmlformats.org/officeDocument/2006/relationships/hyperlink" Target="http://projekt.gutenberg.de/?id=5&amp;xid=5463&amp;kapitel=7&amp;cHash=3873cdf9922" TargetMode="External"/><Relationship Id="rId1492" Type="http://schemas.openxmlformats.org/officeDocument/2006/relationships/hyperlink" Target="http://gutenberg.spiegel.de/?id=5&amp;xid=5466&amp;kapitel=1" TargetMode="External"/><Relationship Id="rId1506" Type="http://schemas.openxmlformats.org/officeDocument/2006/relationships/hyperlink" Target="http://gutenberg.spiegel.de/?id=5&amp;xid=5466&amp;kapitel=1" TargetMode="External"/><Relationship Id="rId1713" Type="http://schemas.openxmlformats.org/officeDocument/2006/relationships/hyperlink" Target="http://de.wikipedia.org/wiki/Stachelh%C3%A4uter" TargetMode="External"/><Relationship Id="rId1920" Type="http://schemas.openxmlformats.org/officeDocument/2006/relationships/hyperlink" Target="http://de.wikisource.org/wiki/Studien_%C3%BCber_Hysterie/Beobachtung_V._Frl._Elisabeth_v._R%E2%80%A6" TargetMode="External"/><Relationship Id="rId294" Type="http://schemas.openxmlformats.org/officeDocument/2006/relationships/hyperlink" Target="http://gutenberg.spiegel.de/?id=5&amp;xid=5474&amp;kapitel=2&amp;cHash=319187eedd2" TargetMode="External"/><Relationship Id="rId308" Type="http://schemas.openxmlformats.org/officeDocument/2006/relationships/hyperlink" Target="http://gutenberg.spiegel.de/?id=5&amp;xid=5474&amp;kapitel=2&amp;cHash=319187eedd2" TargetMode="External"/><Relationship Id="rId515" Type="http://schemas.openxmlformats.org/officeDocument/2006/relationships/hyperlink" Target="http://gutenberg.spiegel.de/?id=5&amp;xid=5471&amp;kapitel=5&amp;cHash=fef33401182" TargetMode="External"/><Relationship Id="rId722" Type="http://schemas.openxmlformats.org/officeDocument/2006/relationships/hyperlink" Target="http://gutenberg.spiegel.de/?id=5&amp;xid=5452&amp;kapitel=8&amp;cHash=0b6f4173732" TargetMode="External"/><Relationship Id="rId1145" Type="http://schemas.openxmlformats.org/officeDocument/2006/relationships/hyperlink" Target="http://projekt.gutenberg.de/?id=5&amp;xid=5475&amp;kapitel=6&amp;cHash=f458b8542a2" TargetMode="External"/><Relationship Id="rId1352" Type="http://schemas.openxmlformats.org/officeDocument/2006/relationships/hyperlink" Target="http://gutenberg.spiegel.de/?id=5&amp;xid=5468&amp;kapitel=12&amp;cHash=3b7308c8912" TargetMode="External"/><Relationship Id="rId1797" Type="http://schemas.openxmlformats.org/officeDocument/2006/relationships/hyperlink" Target="http://de.wikisource.org/wiki/Studien_%C3%BCber_Hysterie/Beobachtung_II._Frau_Emmy_v._N%E2%80%A6" TargetMode="External"/><Relationship Id="rId89" Type="http://schemas.openxmlformats.org/officeDocument/2006/relationships/hyperlink" Target="http://gutenberg.spiegel.de/?id=5&amp;xid=5479&amp;kapitel=17&amp;cHash=c9ba69ac182" TargetMode="External"/><Relationship Id="rId154" Type="http://schemas.openxmlformats.org/officeDocument/2006/relationships/hyperlink" Target="http://gutenberg.spiegel.de/?id=5&amp;xid=5479&amp;kapitel=24&amp;cHash=c9ba69ac182" TargetMode="External"/><Relationship Id="rId361" Type="http://schemas.openxmlformats.org/officeDocument/2006/relationships/hyperlink" Target="http://projekt.gutenberg.de/?id=5&amp;xid=5455&amp;kapitel=1" TargetMode="External"/><Relationship Id="rId599" Type="http://schemas.openxmlformats.org/officeDocument/2006/relationships/hyperlink" Target="http://gutenberg.spiegel.de/?id=5&amp;xid=5471&amp;kapitel=6&amp;cHash=fef33401182" TargetMode="External"/><Relationship Id="rId1005" Type="http://schemas.openxmlformats.org/officeDocument/2006/relationships/hyperlink" Target="http://projekt.gutenberg.de/?id=5&amp;xid=5459&amp;kapitel=3&amp;cHash=2500fb16a9chap003" TargetMode="External"/><Relationship Id="rId1212" Type="http://schemas.openxmlformats.org/officeDocument/2006/relationships/hyperlink" Target="http://projekt.gutenberg.de/?id=5&amp;xid=5469&amp;kapitel=3&amp;cHash=37599a73a72" TargetMode="External"/><Relationship Id="rId1657" Type="http://schemas.openxmlformats.org/officeDocument/2006/relationships/hyperlink" Target="http://de.wikisource.org/wiki/Seite:De_Studien_%C3%BCber_Hysterie_032.jpg" TargetMode="External"/><Relationship Id="rId1864" Type="http://schemas.openxmlformats.org/officeDocument/2006/relationships/hyperlink" Target="http://de.wikisource.org/wiki/Studien_%C3%BCber_Hysterie/Beobachtung_V._Frl._Elisabeth_v._R%E2%80%A6" TargetMode="External"/><Relationship Id="rId2042" Type="http://schemas.openxmlformats.org/officeDocument/2006/relationships/hyperlink" Target="http://de.wikisource.org/wiki/Seite:De_Studien_%C3%BCber_Hysterie_229.jpg" TargetMode="External"/><Relationship Id="rId459" Type="http://schemas.openxmlformats.org/officeDocument/2006/relationships/hyperlink" Target="http://gutenberg.spiegel.de/?id=5&amp;xid=5471&amp;kapitel=3&amp;cHash=fef33401182" TargetMode="External"/><Relationship Id="rId666" Type="http://schemas.openxmlformats.org/officeDocument/2006/relationships/hyperlink" Target="http://gutenberg.spiegel.de/?id=5&amp;xid=5471&amp;kapitel=6&amp;cHash=fef33401182" TargetMode="External"/><Relationship Id="rId873" Type="http://schemas.openxmlformats.org/officeDocument/2006/relationships/hyperlink" Target="http://gutenberg.spiegel.de/?id=5&amp;xid=5453&amp;kapitel=12&amp;cHash=3aa83cf0982" TargetMode="External"/><Relationship Id="rId1089" Type="http://schemas.openxmlformats.org/officeDocument/2006/relationships/hyperlink" Target="http://projekt.gutenberg.de/?id=5&amp;xid=5455&amp;kapitel=2&amp;cHash=893cd6bc1c2" TargetMode="External"/><Relationship Id="rId1296" Type="http://schemas.openxmlformats.org/officeDocument/2006/relationships/hyperlink" Target="http://projekt.gutenberg.de/?id=5&amp;xid=5463&amp;kapitel=8&amp;cHash=3873cdf9922" TargetMode="External"/><Relationship Id="rId1517" Type="http://schemas.openxmlformats.org/officeDocument/2006/relationships/hyperlink" Target="http://gutenberg.spiegel.de/?id=5&amp;xid=5466&amp;kapitel=2&amp;cHash=160114ee7d2" TargetMode="External"/><Relationship Id="rId1724" Type="http://schemas.openxmlformats.org/officeDocument/2006/relationships/hyperlink" Target="http://de.wikisource.org/wiki/Studien_%C3%BCber_Hysterie/Beobachtung_II._Frau_Emmy_v._N%E2%80%A6" TargetMode="External"/><Relationship Id="rId16" Type="http://schemas.openxmlformats.org/officeDocument/2006/relationships/hyperlink" Target="http://gutenberg.spiegel.de/?id=5&amp;xid=5479&amp;kapitel=3&amp;cHash=c9ba69ac182" TargetMode="External"/><Relationship Id="rId221" Type="http://schemas.openxmlformats.org/officeDocument/2006/relationships/hyperlink" Target="http://gutenberg.spiegel.de/?id=5&amp;xid=5479&amp;kapitel=29&amp;cHash=c9ba69ac182" TargetMode="External"/><Relationship Id="rId319" Type="http://schemas.openxmlformats.org/officeDocument/2006/relationships/hyperlink" Target="http://gutenberg.spiegel.de/?id=5&amp;xid=5474&amp;kapitel=3&amp;cHash=319187eedd2" TargetMode="External"/><Relationship Id="rId526" Type="http://schemas.openxmlformats.org/officeDocument/2006/relationships/hyperlink" Target="http://gutenberg.spiegel.de/?id=5&amp;xid=5471&amp;kapitel=5&amp;cHash=fef33401182" TargetMode="External"/><Relationship Id="rId1156" Type="http://schemas.openxmlformats.org/officeDocument/2006/relationships/hyperlink" Target="http://projekt.gutenberg.de/?id=5&amp;xid=5475&amp;kapitel=8&amp;cHash=f458b8542a2" TargetMode="External"/><Relationship Id="rId1363" Type="http://schemas.openxmlformats.org/officeDocument/2006/relationships/hyperlink" Target="http://gutenberg.spiegel.de/?id=5&amp;xid=5454&amp;kapitel=1" TargetMode="External"/><Relationship Id="rId1931" Type="http://schemas.openxmlformats.org/officeDocument/2006/relationships/hyperlink" Target="http://de.wikisource.org/wiki/Seite:De_Studien_%C3%BCber_Hysterie_165.jpg" TargetMode="External"/><Relationship Id="rId733" Type="http://schemas.openxmlformats.org/officeDocument/2006/relationships/hyperlink" Target="http://gutenberg.spiegel.de/?id=5&amp;xid=5452&amp;kapitel=10&amp;cHash=0b6f4173732" TargetMode="External"/><Relationship Id="rId940" Type="http://schemas.openxmlformats.org/officeDocument/2006/relationships/hyperlink" Target="http://gutenberg.spiegel.de/?id=5&amp;xid=5453&amp;kapitel=33&amp;cHash=3aa83cf0982" TargetMode="External"/><Relationship Id="rId1016" Type="http://schemas.openxmlformats.org/officeDocument/2006/relationships/hyperlink" Target="http://projekt.gutenberg.de/?id=5&amp;xid=5459&amp;kapitel=3&amp;cHash=2500fb16a9chap003" TargetMode="External"/><Relationship Id="rId1570" Type="http://schemas.openxmlformats.org/officeDocument/2006/relationships/hyperlink" Target="http://gutenberg.spiegel.de/?id=5&amp;xid=5466&amp;kapitel=5&amp;cHash=160114ee7d2" TargetMode="External"/><Relationship Id="rId1668" Type="http://schemas.openxmlformats.org/officeDocument/2006/relationships/hyperlink" Target="http://de.wikipedia.org/wiki/Schielen" TargetMode="External"/><Relationship Id="rId1875" Type="http://schemas.openxmlformats.org/officeDocument/2006/relationships/hyperlink" Target="http://de.wikisource.org/wiki/Seite:De_Studien_%C3%BCber_Hysterie_127.jpg" TargetMode="External"/><Relationship Id="rId165" Type="http://schemas.openxmlformats.org/officeDocument/2006/relationships/hyperlink" Target="http://gutenberg.spiegel.de/?id=5&amp;xid=5479&amp;kapitel=24&amp;cHash=c9ba69ac182" TargetMode="External"/><Relationship Id="rId372" Type="http://schemas.openxmlformats.org/officeDocument/2006/relationships/hyperlink" Target="http://projekt.gutenberg.de/?id=5&amp;xid=5455&amp;kapitel=2&amp;cHash=893cd6bc1c2" TargetMode="External"/><Relationship Id="rId677" Type="http://schemas.openxmlformats.org/officeDocument/2006/relationships/hyperlink" Target="http://gutenberg.spiegel.de/?id=5&amp;xid=5471&amp;kapitel=6&amp;cHash=fef33401182" TargetMode="External"/><Relationship Id="rId800" Type="http://schemas.openxmlformats.org/officeDocument/2006/relationships/hyperlink" Target="http://gutenberg.spiegel.de/?id=5&amp;xid=5452&amp;kapitel=32&amp;cHash=0b6f4173732" TargetMode="External"/><Relationship Id="rId1223" Type="http://schemas.openxmlformats.org/officeDocument/2006/relationships/hyperlink" Target="http://projekt.gutenberg.de/?id=5&amp;xid=5469&amp;kapitel=3&amp;cHash=37599a73a72" TargetMode="External"/><Relationship Id="rId1430" Type="http://schemas.openxmlformats.org/officeDocument/2006/relationships/hyperlink" Target="http://gutenberg.spiegel.de/?id=5&amp;xid=5454&amp;kapitel=19&amp;cHash=7be8bceb522" TargetMode="External"/><Relationship Id="rId1528" Type="http://schemas.openxmlformats.org/officeDocument/2006/relationships/hyperlink" Target="http://gutenberg.spiegel.de/?id=5&amp;xid=5466&amp;kapitel=3&amp;cHash=160114ee7d2" TargetMode="External"/><Relationship Id="rId2053" Type="http://schemas.openxmlformats.org/officeDocument/2006/relationships/hyperlink" Target="http://de.wikisource.org/wiki/Seite:De_Studien_%C3%BCber_Hysterie_240.jpg" TargetMode="External"/><Relationship Id="rId232" Type="http://schemas.openxmlformats.org/officeDocument/2006/relationships/hyperlink" Target="http://gutenberg.spiegel.de/?id=5&amp;xid=5479&amp;kapitel=31&amp;cHash=c9ba69ac182" TargetMode="External"/><Relationship Id="rId884" Type="http://schemas.openxmlformats.org/officeDocument/2006/relationships/hyperlink" Target="http://gutenberg.spiegel.de/?id=5&amp;xid=5453&amp;kapitel=15&amp;cHash=3aa83cf0982" TargetMode="External"/><Relationship Id="rId1735" Type="http://schemas.openxmlformats.org/officeDocument/2006/relationships/hyperlink" Target="http://de.wikisource.org/wiki/Studien_%C3%BCber_Hysterie/Beobachtung_II._Frau_Emmy_v._N%E2%80%A6" TargetMode="External"/><Relationship Id="rId1942" Type="http://schemas.openxmlformats.org/officeDocument/2006/relationships/hyperlink" Target="http://de.wikisource.org/wiki/Seite:De_Studien_%C3%BCber_Hysterie_173.jpg" TargetMode="External"/><Relationship Id="rId27" Type="http://schemas.openxmlformats.org/officeDocument/2006/relationships/hyperlink" Target="http://gutenberg.spiegel.de/?id=5&amp;xid=5479&amp;kapitel=8&amp;cHash=c9ba69ac182" TargetMode="External"/><Relationship Id="rId537" Type="http://schemas.openxmlformats.org/officeDocument/2006/relationships/hyperlink" Target="http://gutenberg.spiegel.de/?id=5&amp;xid=5471&amp;kapitel=5&amp;cHash=fef33401182" TargetMode="External"/><Relationship Id="rId744" Type="http://schemas.openxmlformats.org/officeDocument/2006/relationships/hyperlink" Target="http://gutenberg.spiegel.de/?id=5&amp;xid=5452&amp;kapitel=11&amp;cHash=0b6f4173732" TargetMode="External"/><Relationship Id="rId951" Type="http://schemas.openxmlformats.org/officeDocument/2006/relationships/hyperlink" Target="http://gutenberg.spiegel.de/?id=5&amp;xid=5453&amp;kapitel=34&amp;cHash=3aa83cf0982" TargetMode="External"/><Relationship Id="rId1167" Type="http://schemas.openxmlformats.org/officeDocument/2006/relationships/hyperlink" Target="http://projekt.gutenberg.de/?id=5&amp;xid=5475&amp;kapitel=9&amp;cHash=f458b8542a2" TargetMode="External"/><Relationship Id="rId1374" Type="http://schemas.openxmlformats.org/officeDocument/2006/relationships/hyperlink" Target="http://gutenberg.spiegel.de/?id=5&amp;xid=5454&amp;kapitel=3&amp;cHash=7be8bceb522" TargetMode="External"/><Relationship Id="rId1581" Type="http://schemas.openxmlformats.org/officeDocument/2006/relationships/hyperlink" Target="http://gutenberg.spiegel.de/?id=5&amp;xid=5456&amp;kapitel=1" TargetMode="External"/><Relationship Id="rId1679" Type="http://schemas.openxmlformats.org/officeDocument/2006/relationships/hyperlink" Target="http://de.wikipedia.org/wiki/Abduzensparese" TargetMode="External"/><Relationship Id="rId1802" Type="http://schemas.openxmlformats.org/officeDocument/2006/relationships/hyperlink" Target="http://de.wikisource.org/wiki/Studien_%C3%BCber_Hysterie/Beobachtung_II._Frau_Emmy_v._N%E2%80%A6" TargetMode="External"/><Relationship Id="rId80" Type="http://schemas.openxmlformats.org/officeDocument/2006/relationships/hyperlink" Target="http://gutenberg.spiegel.de/?id=5&amp;xid=5479&amp;kapitel=16&amp;cHash=c9ba69ac182" TargetMode="External"/><Relationship Id="rId176" Type="http://schemas.openxmlformats.org/officeDocument/2006/relationships/hyperlink" Target="http://gutenberg.spiegel.de/?id=5&amp;xid=5479&amp;kapitel=25&amp;cHash=c9ba69ac182" TargetMode="External"/><Relationship Id="rId383" Type="http://schemas.openxmlformats.org/officeDocument/2006/relationships/hyperlink" Target="http://projekt.gutenberg.de/?id=5&amp;xid=5455&amp;kapitel=2&amp;cHash=893cd6bc1c2" TargetMode="External"/><Relationship Id="rId590" Type="http://schemas.openxmlformats.org/officeDocument/2006/relationships/hyperlink" Target="http://gutenberg.spiegel.de/?id=5&amp;xid=5471&amp;kapitel=6&amp;cHash=fef33401182" TargetMode="External"/><Relationship Id="rId604" Type="http://schemas.openxmlformats.org/officeDocument/2006/relationships/hyperlink" Target="http://gutenberg.spiegel.de/?id=5&amp;xid=5471&amp;kapitel=6&amp;cHash=fef33401182" TargetMode="External"/><Relationship Id="rId811" Type="http://schemas.openxmlformats.org/officeDocument/2006/relationships/hyperlink" Target="http://gutenberg.spiegel.de/?id=5&amp;xid=5452&amp;kapitel=33&amp;cHash=0b6f4173732" TargetMode="External"/><Relationship Id="rId1027" Type="http://schemas.openxmlformats.org/officeDocument/2006/relationships/hyperlink" Target="http://projekt.gutenberg.de/?id=5&amp;xid=5459&amp;kapitel=4&amp;cHash=2500fb16a9chap004" TargetMode="External"/><Relationship Id="rId1234" Type="http://schemas.openxmlformats.org/officeDocument/2006/relationships/hyperlink" Target="http://projekt.gutenberg.de/?id=5&amp;xid=5469&amp;kapitel=3&amp;cHash=37599a73a72" TargetMode="External"/><Relationship Id="rId1441" Type="http://schemas.openxmlformats.org/officeDocument/2006/relationships/hyperlink" Target="http://gutenberg.spiegel.de/?id=5&amp;xid=5454&amp;kapitel=23&amp;cHash=7be8bceb522" TargetMode="External"/><Relationship Id="rId1886" Type="http://schemas.openxmlformats.org/officeDocument/2006/relationships/hyperlink" Target="http://de.wikisource.org/wiki/Seite:De_Studien_%C3%BCber_Hysterie_136.jpg" TargetMode="External"/><Relationship Id="rId2064" Type="http://schemas.openxmlformats.org/officeDocument/2006/relationships/hyperlink" Target="http://de.wikisource.org/wiki/Seite:De_Studien_%C3%BCber_Hysterie_251.jpg" TargetMode="External"/><Relationship Id="rId243" Type="http://schemas.openxmlformats.org/officeDocument/2006/relationships/hyperlink" Target="http://gutenberg.spiegel.de/?id=5&amp;xid=5479&amp;kapitel=33&amp;cHash=c9ba69ac182" TargetMode="External"/><Relationship Id="rId450" Type="http://schemas.openxmlformats.org/officeDocument/2006/relationships/hyperlink" Target="http://gutenberg.spiegel.de/?id=5&amp;xid=5471&amp;kapitel=3&amp;cHash=fef33401182" TargetMode="External"/><Relationship Id="rId688" Type="http://schemas.openxmlformats.org/officeDocument/2006/relationships/hyperlink" Target="http://gutenberg.spiegel.de/?id=5&amp;xid=5471&amp;kapitel=6&amp;cHash=fef33401182" TargetMode="External"/><Relationship Id="rId895" Type="http://schemas.openxmlformats.org/officeDocument/2006/relationships/hyperlink" Target="http://gutenberg.spiegel.de/?id=5&amp;xid=5453&amp;kapitel=17&amp;cHash=3aa83cf0982" TargetMode="External"/><Relationship Id="rId909" Type="http://schemas.openxmlformats.org/officeDocument/2006/relationships/hyperlink" Target="http://gutenberg.spiegel.de/?id=5&amp;xid=5453&amp;kapitel=21&amp;cHash=3aa83cf0982" TargetMode="External"/><Relationship Id="rId1080" Type="http://schemas.openxmlformats.org/officeDocument/2006/relationships/hyperlink" Target="http://projekt.gutenberg.de/?id=5&amp;xid=5455&amp;kapitel=2&amp;cHash=893cd6bc1c2" TargetMode="External"/><Relationship Id="rId1301" Type="http://schemas.openxmlformats.org/officeDocument/2006/relationships/hyperlink" Target="http://projekt.gutenberg.de/?id=5&amp;xid=5463&amp;kapitel=9&amp;cHash=3873cdf9922" TargetMode="External"/><Relationship Id="rId1539" Type="http://schemas.openxmlformats.org/officeDocument/2006/relationships/hyperlink" Target="http://gutenberg.spiegel.de/?id=5&amp;xid=5466&amp;kapitel=3&amp;cHash=160114ee7d2" TargetMode="External"/><Relationship Id="rId1746" Type="http://schemas.openxmlformats.org/officeDocument/2006/relationships/hyperlink" Target="http://de.wikisource.org/wiki/Studien_%C3%BCber_Hysterie/Beobachtung_II._Frau_Emmy_v._N%E2%80%A6" TargetMode="External"/><Relationship Id="rId1953" Type="http://schemas.openxmlformats.org/officeDocument/2006/relationships/hyperlink" Target="http://de.wikisource.org/wiki/Studien_%C3%BCber_Hysterie/Theoretisches" TargetMode="External"/><Relationship Id="rId38" Type="http://schemas.openxmlformats.org/officeDocument/2006/relationships/hyperlink" Target="http://gutenberg.spiegel.de/?id=5&amp;xid=5479&amp;kapitel=11&amp;cHash=c9ba69ac182" TargetMode="External"/><Relationship Id="rId103" Type="http://schemas.openxmlformats.org/officeDocument/2006/relationships/hyperlink" Target="http://gutenberg.spiegel.de/?id=5&amp;xid=5479&amp;kapitel=18&amp;cHash=c9ba69ac182" TargetMode="External"/><Relationship Id="rId310" Type="http://schemas.openxmlformats.org/officeDocument/2006/relationships/hyperlink" Target="http://gutenberg.spiegel.de/?id=5&amp;xid=5474&amp;kapitel=2&amp;cHash=319187eedd2" TargetMode="External"/><Relationship Id="rId548" Type="http://schemas.openxmlformats.org/officeDocument/2006/relationships/hyperlink" Target="http://gutenberg.spiegel.de/?id=5&amp;xid=5471&amp;kapitel=6&amp;cHash=fef33401182" TargetMode="External"/><Relationship Id="rId755" Type="http://schemas.openxmlformats.org/officeDocument/2006/relationships/hyperlink" Target="http://gutenberg.spiegel.de/?id=5&amp;xid=5452&amp;kapitel=15&amp;cHash=0b6f4173732" TargetMode="External"/><Relationship Id="rId962" Type="http://schemas.openxmlformats.org/officeDocument/2006/relationships/hyperlink" Target="http://gutenberg.spiegel.de/?id=5&amp;xid=5453&amp;kapitel=38&amp;cHash=3aa83cf0982" TargetMode="External"/><Relationship Id="rId1178" Type="http://schemas.openxmlformats.org/officeDocument/2006/relationships/hyperlink" Target="http://projekt.gutenberg.de/?id=5&amp;xid=5475&amp;kapitel=11&amp;cHash=f458b8542a2" TargetMode="External"/><Relationship Id="rId1385" Type="http://schemas.openxmlformats.org/officeDocument/2006/relationships/hyperlink" Target="http://gutenberg.spiegel.de/?id=5&amp;xid=5454&amp;kapitel=4&amp;cHash=7be8bceb522" TargetMode="External"/><Relationship Id="rId1592" Type="http://schemas.openxmlformats.org/officeDocument/2006/relationships/hyperlink" Target="http://gutenberg.spiegel.de/?id=5&amp;xid=5456&amp;kapitel=4&amp;cHash=177f1789a72" TargetMode="External"/><Relationship Id="rId1606" Type="http://schemas.openxmlformats.org/officeDocument/2006/relationships/hyperlink" Target="http://de.wikisource.org/wiki/Studien_%C3%BCber_Hysterie/Ueber_den_psychischen_Mechanismus_hysterischer_Ph%C3%A4nomene" TargetMode="External"/><Relationship Id="rId1813" Type="http://schemas.openxmlformats.org/officeDocument/2006/relationships/hyperlink" Target="http://de.wikisource.org/wiki/Studien_%C3%BCber_Hysterie/Beobachtung_II._Frau_Emmy_v._N%E2%80%A6" TargetMode="External"/><Relationship Id="rId91" Type="http://schemas.openxmlformats.org/officeDocument/2006/relationships/hyperlink" Target="http://gutenberg.spiegel.de/?id=5&amp;xid=5479&amp;kapitel=17&amp;cHash=c9ba69ac182" TargetMode="External"/><Relationship Id="rId187" Type="http://schemas.openxmlformats.org/officeDocument/2006/relationships/hyperlink" Target="http://gutenberg.spiegel.de/?id=5&amp;xid=5479&amp;kapitel=25&amp;cHash=c9ba69ac182" TargetMode="External"/><Relationship Id="rId394" Type="http://schemas.openxmlformats.org/officeDocument/2006/relationships/hyperlink" Target="http://projekt.gutenberg.de/?id=5&amp;xid=5455&amp;kapitel=2&amp;cHash=893cd6bc1c2" TargetMode="External"/><Relationship Id="rId408" Type="http://schemas.openxmlformats.org/officeDocument/2006/relationships/hyperlink" Target="http://projekt.gutenberg.de/?id=5&amp;xid=5455&amp;kapitel=2&amp;cHash=893cd6bc1c2" TargetMode="External"/><Relationship Id="rId615" Type="http://schemas.openxmlformats.org/officeDocument/2006/relationships/hyperlink" Target="http://gutenberg.spiegel.de/?id=5&amp;xid=5471&amp;kapitel=6&amp;cHash=fef33401182" TargetMode="External"/><Relationship Id="rId822" Type="http://schemas.openxmlformats.org/officeDocument/2006/relationships/hyperlink" Target="http://gutenberg.spiegel.de/?id=5&amp;xid=5452&amp;kapitel=33&amp;cHash=0b6f4173732" TargetMode="External"/><Relationship Id="rId1038" Type="http://schemas.openxmlformats.org/officeDocument/2006/relationships/hyperlink" Target="http://projekt.gutenberg.de/?id=5&amp;xid=5459&amp;kapitel=4&amp;cHash=2500fb16a9chap004" TargetMode="External"/><Relationship Id="rId1245" Type="http://schemas.openxmlformats.org/officeDocument/2006/relationships/hyperlink" Target="http://projekt.gutenberg.de/?id=5&amp;xid=5469&amp;kapitel=4&amp;cHash=37599a73a72" TargetMode="External"/><Relationship Id="rId1452" Type="http://schemas.openxmlformats.org/officeDocument/2006/relationships/hyperlink" Target="http://gutenberg.spiegel.de/?id=5&amp;xid=4665&amp;kapitel=3&amp;cHash=cc1c208a602" TargetMode="External"/><Relationship Id="rId1897" Type="http://schemas.openxmlformats.org/officeDocument/2006/relationships/hyperlink" Target="http://de.wikisource.org/wiki/Seite:De_Studien_%C3%BCber_Hysterie_146.jpg" TargetMode="External"/><Relationship Id="rId2075" Type="http://schemas.openxmlformats.org/officeDocument/2006/relationships/hyperlink" Target="http://de.wikisource.org/wiki/Seite:De_Studien_%C3%BCber_Hysterie_262.jpg" TargetMode="External"/><Relationship Id="rId254" Type="http://schemas.openxmlformats.org/officeDocument/2006/relationships/hyperlink" Target="http://gutenberg.spiegel.de/?id=5&amp;xid=5479&amp;kapitel=34&amp;cHash=c9ba69ac182" TargetMode="External"/><Relationship Id="rId699" Type="http://schemas.openxmlformats.org/officeDocument/2006/relationships/hyperlink" Target="http://gutenberg.spiegel.de/?id=5&amp;xid=5452&amp;kapitel=6&amp;cHash=0b6f4173732" TargetMode="External"/><Relationship Id="rId1091" Type="http://schemas.openxmlformats.org/officeDocument/2006/relationships/hyperlink" Target="http://projekt.gutenberg.de/?id=5&amp;xid=5455&amp;kapitel=2&amp;cHash=893cd6bc1c2" TargetMode="External"/><Relationship Id="rId1105" Type="http://schemas.openxmlformats.org/officeDocument/2006/relationships/hyperlink" Target="http://projekt.gutenberg.de/?id=5&amp;xid=5455&amp;kapitel=3&amp;cHash=893cd6bc1c2" TargetMode="External"/><Relationship Id="rId1312" Type="http://schemas.openxmlformats.org/officeDocument/2006/relationships/hyperlink" Target="http://gutenberg.spiegel.de/?id=5&amp;xid=5468&amp;kapitel=4&amp;cHash=3b7308c8912" TargetMode="External"/><Relationship Id="rId1757" Type="http://schemas.openxmlformats.org/officeDocument/2006/relationships/hyperlink" Target="http://de.wikisource.org/wiki/Studien_%C3%BCber_Hysterie/Beobachtung_II._Frau_Emmy_v._N%E2%80%A6" TargetMode="External"/><Relationship Id="rId1964" Type="http://schemas.openxmlformats.org/officeDocument/2006/relationships/hyperlink" Target="http://de.wikisource.org/wiki/Seite:De_Studien_%C3%BCber_Hysterie_188.jpg" TargetMode="External"/><Relationship Id="rId49" Type="http://schemas.openxmlformats.org/officeDocument/2006/relationships/hyperlink" Target="http://gutenberg.spiegel.de/?id=5&amp;xid=5479&amp;kapitel=12&amp;cHash=c9ba69ac182" TargetMode="External"/><Relationship Id="rId114" Type="http://schemas.openxmlformats.org/officeDocument/2006/relationships/hyperlink" Target="http://gutenberg.spiegel.de/?id=5&amp;xid=5479&amp;kapitel=19&amp;cHash=c9ba69ac182" TargetMode="External"/><Relationship Id="rId461" Type="http://schemas.openxmlformats.org/officeDocument/2006/relationships/hyperlink" Target="http://gutenberg.spiegel.de/?id=5&amp;xid=5471&amp;kapitel=3&amp;cHash=fef33401182" TargetMode="External"/><Relationship Id="rId559" Type="http://schemas.openxmlformats.org/officeDocument/2006/relationships/hyperlink" Target="http://gutenberg.spiegel.de/?id=5&amp;xid=5471&amp;kapitel=6&amp;cHash=fef33401182" TargetMode="External"/><Relationship Id="rId766" Type="http://schemas.openxmlformats.org/officeDocument/2006/relationships/image" Target="media/image20.png"/><Relationship Id="rId1189" Type="http://schemas.openxmlformats.org/officeDocument/2006/relationships/hyperlink" Target="http://projekt.gutenberg.de/?id=5&amp;xid=5469&amp;kapitel=2&amp;cHash=37599a73a72" TargetMode="External"/><Relationship Id="rId1396" Type="http://schemas.openxmlformats.org/officeDocument/2006/relationships/hyperlink" Target="http://gutenberg.spiegel.de/?id=5&amp;xid=5454&amp;kapitel=6&amp;cHash=7be8bceb522" TargetMode="External"/><Relationship Id="rId1617" Type="http://schemas.openxmlformats.org/officeDocument/2006/relationships/hyperlink" Target="http://de.wikisource.org/wiki/Studien_%C3%BCber_Hysterie/Ueber_den_psychischen_Mechanismus_hysterischer_Ph%C3%A4nomene" TargetMode="External"/><Relationship Id="rId1824" Type="http://schemas.openxmlformats.org/officeDocument/2006/relationships/hyperlink" Target="http://de.wikisource.org/wiki/Studien_%C3%BCber_Hysterie/Beobachtung_II._Frau_Emmy_v._N%E2%80%A6" TargetMode="External"/><Relationship Id="rId198" Type="http://schemas.openxmlformats.org/officeDocument/2006/relationships/hyperlink" Target="http://gutenberg.spiegel.de/?id=5&amp;xid=5479&amp;kapitel=26&amp;cHash=c9ba69ac182" TargetMode="External"/><Relationship Id="rId321" Type="http://schemas.openxmlformats.org/officeDocument/2006/relationships/hyperlink" Target="http://gutenberg.spiegel.de/?id=5&amp;xid=5474&amp;kapitel=3&amp;cHash=319187eedd2" TargetMode="External"/><Relationship Id="rId419" Type="http://schemas.openxmlformats.org/officeDocument/2006/relationships/hyperlink" Target="http://projekt.gutenberg.de/?id=5&amp;xid=5455&amp;kapitel=3&amp;cHash=893cd6bc1c2" TargetMode="External"/><Relationship Id="rId626" Type="http://schemas.openxmlformats.org/officeDocument/2006/relationships/hyperlink" Target="http://gutenberg.spiegel.de/?id=5&amp;xid=5471&amp;kapitel=6&amp;cHash=fef33401182" TargetMode="External"/><Relationship Id="rId973" Type="http://schemas.openxmlformats.org/officeDocument/2006/relationships/hyperlink" Target="http://projekt.gutenberg.de/?id=5&amp;xid=5459&amp;kapitel=2&amp;cHash=2500fb16a9chap002" TargetMode="External"/><Relationship Id="rId1049" Type="http://schemas.openxmlformats.org/officeDocument/2006/relationships/hyperlink" Target="http://projekt.gutenberg.de/?id=5&amp;xid=5459&amp;kapitel=5&amp;cHash=2500fb16a92" TargetMode="External"/><Relationship Id="rId1256" Type="http://schemas.openxmlformats.org/officeDocument/2006/relationships/hyperlink" Target="http://projekt.gutenberg.de/?id=5&amp;xid=5469&amp;kapitel=5&amp;cHash=37599a73a72" TargetMode="External"/><Relationship Id="rId2002" Type="http://schemas.openxmlformats.org/officeDocument/2006/relationships/hyperlink" Target="http://de.wikisource.org/wiki/Studien_%C3%BCber_Hysterie/Theoretisches" TargetMode="External"/><Relationship Id="rId2086" Type="http://schemas.openxmlformats.org/officeDocument/2006/relationships/theme" Target="theme/theme1.xml"/><Relationship Id="rId833" Type="http://schemas.openxmlformats.org/officeDocument/2006/relationships/hyperlink" Target="http://gutenberg.spiegel.de/?id=5&amp;xid=5452&amp;kapitel=36&amp;cHash=0b6f4173732" TargetMode="External"/><Relationship Id="rId1116" Type="http://schemas.openxmlformats.org/officeDocument/2006/relationships/hyperlink" Target="http://projekt.gutenberg.de/?id=5&amp;xid=5455&amp;kapitel=3&amp;cHash=893cd6bc1c2" TargetMode="External"/><Relationship Id="rId1463" Type="http://schemas.openxmlformats.org/officeDocument/2006/relationships/hyperlink" Target="http://gutenberg.spiegel.de/?id=5&amp;xid=4665&amp;kapitel=15&amp;cHash=cc1c208a602" TargetMode="External"/><Relationship Id="rId1670" Type="http://schemas.openxmlformats.org/officeDocument/2006/relationships/hyperlink" Target="http://de.wikipedia.org/wiki/Kontraktur" TargetMode="External"/><Relationship Id="rId1768" Type="http://schemas.openxmlformats.org/officeDocument/2006/relationships/hyperlink" Target="http://de.wikisource.org/wiki/Seite:De_Studien_%C3%BCber_Hysterie_065.jpg" TargetMode="External"/><Relationship Id="rId265" Type="http://schemas.openxmlformats.org/officeDocument/2006/relationships/hyperlink" Target="http://gutenberg.spiegel.de/?id=5&amp;xid=5470&amp;kapitel=3&amp;cHash=e3099ac4fe2" TargetMode="External"/><Relationship Id="rId472" Type="http://schemas.openxmlformats.org/officeDocument/2006/relationships/hyperlink" Target="http://gutenberg.spiegel.de/?id=5&amp;xid=5471&amp;kapitel=4&amp;cHash=fef33401182" TargetMode="External"/><Relationship Id="rId900" Type="http://schemas.openxmlformats.org/officeDocument/2006/relationships/hyperlink" Target="http://gutenberg.spiegel.de/?id=5&amp;xid=5453&amp;kapitel=17&amp;cHash=3aa83cf0982" TargetMode="External"/><Relationship Id="rId1323" Type="http://schemas.openxmlformats.org/officeDocument/2006/relationships/hyperlink" Target="http://gutenberg.spiegel.de/?id=5&amp;xid=5468&amp;kapitel=5&amp;cHash=3b7308c8912" TargetMode="External"/><Relationship Id="rId1530" Type="http://schemas.openxmlformats.org/officeDocument/2006/relationships/hyperlink" Target="http://gutenberg.spiegel.de/?id=5&amp;xid=5466&amp;kapitel=3&amp;cHash=160114ee7d2" TargetMode="External"/><Relationship Id="rId1628" Type="http://schemas.openxmlformats.org/officeDocument/2006/relationships/hyperlink" Target="http://de.wikisource.org/wiki/Studien_%C3%BCber_Hysterie/Beobachtung_I._Frl._Anna_O%E2%80%A6" TargetMode="External"/><Relationship Id="rId1975" Type="http://schemas.openxmlformats.org/officeDocument/2006/relationships/hyperlink" Target="http://de.wikisource.org/wiki/Seite:De_Studien_%C3%BCber_Hysterie_196.jpg" TargetMode="External"/><Relationship Id="rId125" Type="http://schemas.openxmlformats.org/officeDocument/2006/relationships/hyperlink" Target="http://gutenberg.spiegel.de/?id=5&amp;xid=5479&amp;kapitel=19&amp;cHash=c9ba69ac182" TargetMode="External"/><Relationship Id="rId332" Type="http://schemas.openxmlformats.org/officeDocument/2006/relationships/hyperlink" Target="http://gutenberg.spiegel.de/?id=5&amp;xid=5474&amp;kapitel=5&amp;cHash=319187eedd2" TargetMode="External"/><Relationship Id="rId777" Type="http://schemas.openxmlformats.org/officeDocument/2006/relationships/hyperlink" Target="http://gutenberg.spiegel.de/?id=5&amp;xid=5452&amp;kapitel=18&amp;cHash=0b6f4173732" TargetMode="External"/><Relationship Id="rId984" Type="http://schemas.openxmlformats.org/officeDocument/2006/relationships/hyperlink" Target="http://projekt.gutenberg.de/?id=5&amp;xid=5459&amp;kapitel=2&amp;cHash=2500fb16a9chap002" TargetMode="External"/><Relationship Id="rId1835" Type="http://schemas.openxmlformats.org/officeDocument/2006/relationships/hyperlink" Target="http://de.wikisource.org/wiki/Seite:De_Studien_%C3%BCber_Hysterie_096.jpg" TargetMode="External"/><Relationship Id="rId2013" Type="http://schemas.openxmlformats.org/officeDocument/2006/relationships/hyperlink" Target="http://de.wikisource.org/wiki/Studien_%C3%BCber_Hysterie/Theoretisches" TargetMode="External"/><Relationship Id="rId637" Type="http://schemas.openxmlformats.org/officeDocument/2006/relationships/hyperlink" Target="http://gutenberg.spiegel.de/?id=5&amp;xid=5471&amp;kapitel=6&amp;cHash=fef33401182" TargetMode="External"/><Relationship Id="rId844" Type="http://schemas.openxmlformats.org/officeDocument/2006/relationships/hyperlink" Target="http://gutenberg.spiegel.de/?id=5&amp;xid=5452&amp;kapitel=39&amp;cHash=0b6f4173732" TargetMode="External"/><Relationship Id="rId1267" Type="http://schemas.openxmlformats.org/officeDocument/2006/relationships/hyperlink" Target="http://projekt.gutenberg.de/?id=5&amp;xid=5463&amp;kapitel=4&amp;cHash=3873cdf9922" TargetMode="External"/><Relationship Id="rId1474" Type="http://schemas.openxmlformats.org/officeDocument/2006/relationships/hyperlink" Target="http://gutenberg.spiegel.de/?id=5&amp;xid=5457&amp;kapitel=3&amp;cHash=8f5b827b6d2" TargetMode="External"/><Relationship Id="rId1681" Type="http://schemas.openxmlformats.org/officeDocument/2006/relationships/hyperlink" Target="http://de.wikisource.org/wiki/Studien_%C3%BCber_Hysterie/Beobachtung_I._Frl._Anna_O%E2%80%A6" TargetMode="External"/><Relationship Id="rId1902" Type="http://schemas.openxmlformats.org/officeDocument/2006/relationships/hyperlink" Target="http://de.wikisource.org/wiki/Studien_%C3%BCber_Hysterie/Beobachtung_V._Frl._Elisabeth_v._R%E2%80%A6" TargetMode="External"/><Relationship Id="rId276" Type="http://schemas.openxmlformats.org/officeDocument/2006/relationships/hyperlink" Target="http://gutenberg.spiegel.de/?id=5&amp;xid=5470&amp;kapitel=7&amp;cHash=e3099ac4fe2" TargetMode="External"/><Relationship Id="rId483" Type="http://schemas.openxmlformats.org/officeDocument/2006/relationships/hyperlink" Target="http://gutenberg.spiegel.de/?id=5&amp;xid=5471&amp;kapitel=4&amp;cHash=fef33401182" TargetMode="External"/><Relationship Id="rId690" Type="http://schemas.openxmlformats.org/officeDocument/2006/relationships/hyperlink" Target="http://gutenberg.spiegel.de/?id=5&amp;xid=5471&amp;kapitel=6&amp;cHash=fef33401182" TargetMode="External"/><Relationship Id="rId704" Type="http://schemas.openxmlformats.org/officeDocument/2006/relationships/hyperlink" Target="http://gutenberg.spiegel.de/?id=5&amp;xid=5452&amp;kapitel=7&amp;cHash=0b6f4173732" TargetMode="External"/><Relationship Id="rId911" Type="http://schemas.openxmlformats.org/officeDocument/2006/relationships/hyperlink" Target="http://gutenberg.spiegel.de/?id=5&amp;xid=5453&amp;kapitel=22&amp;cHash=3aa83cf0982" TargetMode="External"/><Relationship Id="rId1127" Type="http://schemas.openxmlformats.org/officeDocument/2006/relationships/hyperlink" Target="http://projekt.gutenberg.de/?id=5&amp;xid=5475&amp;kapitel=4&amp;cHash=f458b8542a2" TargetMode="External"/><Relationship Id="rId1334" Type="http://schemas.openxmlformats.org/officeDocument/2006/relationships/hyperlink" Target="http://gutenberg.spiegel.de/?id=5&amp;xid=5468&amp;kapitel=7&amp;cHash=3b7308c8912" TargetMode="External"/><Relationship Id="rId1541" Type="http://schemas.openxmlformats.org/officeDocument/2006/relationships/hyperlink" Target="http://gutenberg.spiegel.de/?id=5&amp;xid=5466&amp;kapitel=4&amp;cHash=160114ee7d2" TargetMode="External"/><Relationship Id="rId1779" Type="http://schemas.openxmlformats.org/officeDocument/2006/relationships/hyperlink" Target="http://de.wikisource.org/wiki/Seite:De_Studien_%C3%BCber_Hysterie_076.jpg" TargetMode="External"/><Relationship Id="rId1986" Type="http://schemas.openxmlformats.org/officeDocument/2006/relationships/hyperlink" Target="http://de.wikisource.org/wiki/Seite:De_Studien_%C3%BCber_Hysterie_206.jpg" TargetMode="External"/><Relationship Id="rId40" Type="http://schemas.openxmlformats.org/officeDocument/2006/relationships/hyperlink" Target="http://gutenberg.spiegel.de/?id=5&amp;xid=5479&amp;kapitel=11&amp;cHash=c9ba69ac182" TargetMode="External"/><Relationship Id="rId136" Type="http://schemas.openxmlformats.org/officeDocument/2006/relationships/hyperlink" Target="http://gutenberg.spiegel.de/?id=5&amp;xid=5479&amp;kapitel=21&amp;cHash=c9ba69ac182" TargetMode="External"/><Relationship Id="rId343" Type="http://schemas.openxmlformats.org/officeDocument/2006/relationships/hyperlink" Target="http://gutenberg.spiegel.de/?id=5&amp;xid=5474&amp;kapitel=6&amp;cHash=319187eedd2" TargetMode="External"/><Relationship Id="rId550" Type="http://schemas.openxmlformats.org/officeDocument/2006/relationships/hyperlink" Target="http://gutenberg.spiegel.de/?id=5&amp;xid=5471&amp;kapitel=6&amp;cHash=fef33401182" TargetMode="External"/><Relationship Id="rId788" Type="http://schemas.openxmlformats.org/officeDocument/2006/relationships/hyperlink" Target="http://gutenberg.spiegel.de/?id=5&amp;xid=5452&amp;kapitel=30&amp;cHash=0b6f4173732" TargetMode="External"/><Relationship Id="rId995" Type="http://schemas.openxmlformats.org/officeDocument/2006/relationships/hyperlink" Target="http://projekt.gutenberg.de/?id=5&amp;xid=5459&amp;kapitel=2&amp;cHash=2500fb16a9chap002" TargetMode="External"/><Relationship Id="rId1180" Type="http://schemas.openxmlformats.org/officeDocument/2006/relationships/hyperlink" Target="http://projekt.gutenberg.de/?id=5&amp;xid=5475&amp;kapitel=11&amp;cHash=f458b8542a2" TargetMode="External"/><Relationship Id="rId1401" Type="http://schemas.openxmlformats.org/officeDocument/2006/relationships/hyperlink" Target="http://gutenberg.spiegel.de/?id=5&amp;xid=5454&amp;kapitel=10&amp;cHash=7be8bceb522" TargetMode="External"/><Relationship Id="rId1639" Type="http://schemas.openxmlformats.org/officeDocument/2006/relationships/hyperlink" Target="http://de.wikisource.org/wiki/Studien_%C3%BCber_Hysterie/Beobachtung_I._Frl._Anna_O%E2%80%A6" TargetMode="External"/><Relationship Id="rId1846" Type="http://schemas.openxmlformats.org/officeDocument/2006/relationships/hyperlink" Target="http://de.wikisource.org/wiki/Seite:De_Studien_%C3%BCber_Hysterie_106.jpg" TargetMode="External"/><Relationship Id="rId2024" Type="http://schemas.openxmlformats.org/officeDocument/2006/relationships/hyperlink" Target="http://de.wikisource.org/wiki/Studien_%C3%BCber_Hysterie/Theoretisches" TargetMode="External"/><Relationship Id="rId203" Type="http://schemas.openxmlformats.org/officeDocument/2006/relationships/hyperlink" Target="http://gutenberg.spiegel.de/?id=5&amp;xid=5479&amp;kapitel=27&amp;cHash=c9ba69ac182" TargetMode="External"/><Relationship Id="rId648" Type="http://schemas.openxmlformats.org/officeDocument/2006/relationships/hyperlink" Target="http://gutenberg.spiegel.de/?id=5&amp;xid=5471&amp;kapitel=6&amp;cHash=fef33401182" TargetMode="External"/><Relationship Id="rId855" Type="http://schemas.openxmlformats.org/officeDocument/2006/relationships/hyperlink" Target="http://gutenberg.spiegel.de/?id=5&amp;xid=5453&amp;kapitel=2&amp;cHash=3aa83cf0982" TargetMode="External"/><Relationship Id="rId1040" Type="http://schemas.openxmlformats.org/officeDocument/2006/relationships/hyperlink" Target="http://projekt.gutenberg.de/?id=5&amp;xid=5459&amp;kapitel=4&amp;cHash=2500fb16a9chap004" TargetMode="External"/><Relationship Id="rId1278" Type="http://schemas.openxmlformats.org/officeDocument/2006/relationships/hyperlink" Target="http://projekt.gutenberg.de/?id=5&amp;xid=5463&amp;kapitel=6&amp;cHash=3873cdf9922" TargetMode="External"/><Relationship Id="rId1485" Type="http://schemas.openxmlformats.org/officeDocument/2006/relationships/hyperlink" Target="http://gutenberg.spiegel.de/?id=5&amp;xid=5465&amp;kapitel=1" TargetMode="External"/><Relationship Id="rId1692" Type="http://schemas.openxmlformats.org/officeDocument/2006/relationships/hyperlink" Target="http://de.wikisource.org/wiki/Studien_%C3%BCber_Hysterie/Beobachtung_I._Frl._Anna_O%E2%80%A6" TargetMode="External"/><Relationship Id="rId1706" Type="http://schemas.openxmlformats.org/officeDocument/2006/relationships/hyperlink" Target="http://de.wikisource.org/wiki/Studien_%C3%BCber_Hysterie/Beobachtung_I._Frl._Anna_O%E2%80%A6" TargetMode="External"/><Relationship Id="rId1913" Type="http://schemas.openxmlformats.org/officeDocument/2006/relationships/hyperlink" Target="http://de.wikisource.org/wiki/Seite:De_Studien_%C3%BCber_Hysterie_159.jpg" TargetMode="External"/><Relationship Id="rId287" Type="http://schemas.openxmlformats.org/officeDocument/2006/relationships/hyperlink" Target="http://gutenberg.spiegel.de/?id=5&amp;xid=5474&amp;kapitel=1" TargetMode="External"/><Relationship Id="rId410" Type="http://schemas.openxmlformats.org/officeDocument/2006/relationships/hyperlink" Target="http://projekt.gutenberg.de/?id=5&amp;xid=5455&amp;kapitel=2&amp;cHash=893cd6bc1c2" TargetMode="External"/><Relationship Id="rId494" Type="http://schemas.openxmlformats.org/officeDocument/2006/relationships/hyperlink" Target="http://gutenberg.spiegel.de/?id=5&amp;xid=5471&amp;kapitel=4&amp;cHash=fef33401182" TargetMode="External"/><Relationship Id="rId508" Type="http://schemas.openxmlformats.org/officeDocument/2006/relationships/hyperlink" Target="http://gutenberg.spiegel.de/?id=5&amp;xid=5471&amp;kapitel=4&amp;cHash=fef33401182" TargetMode="External"/><Relationship Id="rId715" Type="http://schemas.openxmlformats.org/officeDocument/2006/relationships/hyperlink" Target="http://gutenberg.spiegel.de/?id=5&amp;xid=5452&amp;kapitel=8&amp;cHash=0b6f4173732" TargetMode="External"/><Relationship Id="rId922" Type="http://schemas.openxmlformats.org/officeDocument/2006/relationships/hyperlink" Target="http://gutenberg.spiegel.de/?id=5&amp;xid=5453&amp;kapitel=29&amp;cHash=3aa83cf0982" TargetMode="External"/><Relationship Id="rId1138" Type="http://schemas.openxmlformats.org/officeDocument/2006/relationships/hyperlink" Target="http://projekt.gutenberg.de/?id=5&amp;xid=5475&amp;kapitel=5&amp;cHash=f458b8542a2" TargetMode="External"/><Relationship Id="rId1345" Type="http://schemas.openxmlformats.org/officeDocument/2006/relationships/hyperlink" Target="http://gutenberg.spiegel.de/?id=5&amp;xid=5468&amp;kapitel=9&amp;cHash=3b7308c8912" TargetMode="External"/><Relationship Id="rId1552" Type="http://schemas.openxmlformats.org/officeDocument/2006/relationships/hyperlink" Target="http://gutenberg.spiegel.de/?id=5&amp;xid=5466&amp;kapitel=4&amp;cHash=160114ee7d2" TargetMode="External"/><Relationship Id="rId1997" Type="http://schemas.openxmlformats.org/officeDocument/2006/relationships/hyperlink" Target="http://de.wikisource.org/wiki/Seite:De_Studien_%C3%BCber_Hysterie_215.jpg" TargetMode="External"/><Relationship Id="rId147" Type="http://schemas.openxmlformats.org/officeDocument/2006/relationships/hyperlink" Target="http://gutenberg.spiegel.de/?id=5&amp;xid=5479&amp;kapitel=23&amp;cHash=c9ba69ac182" TargetMode="External"/><Relationship Id="rId354" Type="http://schemas.openxmlformats.org/officeDocument/2006/relationships/hyperlink" Target="http://gutenberg.spiegel.de/?id=5&amp;xid=5474&amp;kapitel=7&amp;cHash=319187eedd2" TargetMode="External"/><Relationship Id="rId799" Type="http://schemas.openxmlformats.org/officeDocument/2006/relationships/hyperlink" Target="http://gutenberg.spiegel.de/?id=5&amp;xid=5452&amp;kapitel=32&amp;cHash=0b6f4173732" TargetMode="External"/><Relationship Id="rId1191" Type="http://schemas.openxmlformats.org/officeDocument/2006/relationships/hyperlink" Target="http://projekt.gutenberg.de/?id=5&amp;xid=5469&amp;kapitel=2&amp;cHash=37599a73a72" TargetMode="External"/><Relationship Id="rId1205" Type="http://schemas.openxmlformats.org/officeDocument/2006/relationships/hyperlink" Target="http://projekt.gutenberg.de/?id=5&amp;xid=5469&amp;kapitel=2&amp;cHash=37599a73a72" TargetMode="External"/><Relationship Id="rId1857" Type="http://schemas.openxmlformats.org/officeDocument/2006/relationships/hyperlink" Target="http://de.wikisource.org/wiki/Seite:De_Studien_%C3%BCber_Hysterie_112.jpg" TargetMode="External"/><Relationship Id="rId2035" Type="http://schemas.openxmlformats.org/officeDocument/2006/relationships/hyperlink" Target="http://de.wikisource.org/wiki/Seite:De_Studien_%C3%BCber_Hysterie_223.jpg" TargetMode="External"/><Relationship Id="rId51" Type="http://schemas.openxmlformats.org/officeDocument/2006/relationships/hyperlink" Target="http://gutenberg.spiegel.de/?id=5&amp;xid=5479&amp;kapitel=12&amp;cHash=c9ba69ac182" TargetMode="External"/><Relationship Id="rId561" Type="http://schemas.openxmlformats.org/officeDocument/2006/relationships/hyperlink" Target="http://gutenberg.spiegel.de/?id=5&amp;xid=5471&amp;kapitel=6&amp;cHash=fef33401182" TargetMode="External"/><Relationship Id="rId659" Type="http://schemas.openxmlformats.org/officeDocument/2006/relationships/hyperlink" Target="http://gutenberg.spiegel.de/?id=5&amp;xid=5471&amp;kapitel=6&amp;cHash=fef33401182" TargetMode="External"/><Relationship Id="rId866" Type="http://schemas.openxmlformats.org/officeDocument/2006/relationships/hyperlink" Target="http://gutenberg.spiegel.de/?id=5&amp;xid=5453&amp;kapitel=10&amp;cHash=3aa83cf0982" TargetMode="External"/><Relationship Id="rId1289" Type="http://schemas.openxmlformats.org/officeDocument/2006/relationships/hyperlink" Target="http://projekt.gutenberg.de/?id=5&amp;xid=5463&amp;kapitel=7&amp;cHash=3873cdf9922" TargetMode="External"/><Relationship Id="rId1412" Type="http://schemas.openxmlformats.org/officeDocument/2006/relationships/hyperlink" Target="http://gutenberg.spiegel.de/?id=5&amp;xid=5454&amp;kapitel=13&amp;cHash=7be8bceb522" TargetMode="External"/><Relationship Id="rId1496" Type="http://schemas.openxmlformats.org/officeDocument/2006/relationships/hyperlink" Target="http://gutenberg.spiegel.de/?id=5&amp;xid=5466&amp;kapitel=1" TargetMode="External"/><Relationship Id="rId1717" Type="http://schemas.openxmlformats.org/officeDocument/2006/relationships/hyperlink" Target="http://de.wikisource.org/wiki/Studien_%C3%BCber_Hysterie/Beobachtung_II._Frau_Emmy_v._N%E2%80%A6" TargetMode="External"/><Relationship Id="rId1924" Type="http://schemas.openxmlformats.org/officeDocument/2006/relationships/hyperlink" Target="http://de.wikisource.org/wiki/Studien_%C3%BCber_Hysterie/Beobachtung_V._Frl._Elisabeth_v._R%E2%80%A6" TargetMode="External"/><Relationship Id="rId214" Type="http://schemas.openxmlformats.org/officeDocument/2006/relationships/hyperlink" Target="http://gutenberg.spiegel.de/?id=5&amp;xid=5479&amp;kapitel=28&amp;cHash=c9ba69ac182" TargetMode="External"/><Relationship Id="rId298" Type="http://schemas.openxmlformats.org/officeDocument/2006/relationships/hyperlink" Target="http://gutenberg.spiegel.de/?id=5&amp;xid=5474&amp;kapitel=2&amp;cHash=319187eedd2" TargetMode="External"/><Relationship Id="rId421" Type="http://schemas.openxmlformats.org/officeDocument/2006/relationships/hyperlink" Target="http://projekt.gutenberg.de/?id=5&amp;xid=5455&amp;kapitel=3&amp;cHash=893cd6bc1c2" TargetMode="External"/><Relationship Id="rId519" Type="http://schemas.openxmlformats.org/officeDocument/2006/relationships/hyperlink" Target="http://gutenberg.spiegel.de/?id=5&amp;xid=5471&amp;kapitel=5&amp;cHash=fef33401182" TargetMode="External"/><Relationship Id="rId1051" Type="http://schemas.openxmlformats.org/officeDocument/2006/relationships/hyperlink" Target="http://projekt.gutenberg.de/?id=5&amp;xid=5459&amp;kapitel=5&amp;cHash=2500fb16a92" TargetMode="External"/><Relationship Id="rId1149" Type="http://schemas.openxmlformats.org/officeDocument/2006/relationships/hyperlink" Target="http://projekt.gutenberg.de/?id=5&amp;xid=5475&amp;kapitel=7&amp;cHash=f458b8542a2" TargetMode="External"/><Relationship Id="rId1356" Type="http://schemas.openxmlformats.org/officeDocument/2006/relationships/hyperlink" Target="http://gutenberg.spiegel.de/?id=5&amp;xid=5468&amp;kapitel=14&amp;cHash=3b7308c8912" TargetMode="External"/><Relationship Id="rId158" Type="http://schemas.openxmlformats.org/officeDocument/2006/relationships/hyperlink" Target="http://gutenberg.spiegel.de/?id=5&amp;xid=5479&amp;kapitel=24&amp;cHash=c9ba69ac182" TargetMode="External"/><Relationship Id="rId726" Type="http://schemas.openxmlformats.org/officeDocument/2006/relationships/hyperlink" Target="http://gutenberg.spiegel.de/?id=5&amp;xid=5452&amp;kapitel=9&amp;cHash=0b6f4173732" TargetMode="External"/><Relationship Id="rId933" Type="http://schemas.openxmlformats.org/officeDocument/2006/relationships/hyperlink" Target="http://gutenberg.spiegel.de/?id=5&amp;xid=5453&amp;kapitel=32&amp;cHash=3aa83cf0982" TargetMode="External"/><Relationship Id="rId1009" Type="http://schemas.openxmlformats.org/officeDocument/2006/relationships/hyperlink" Target="http://projekt.gutenberg.de/?id=5&amp;xid=5459&amp;kapitel=3&amp;cHash=2500fb16a9chap003" TargetMode="External"/><Relationship Id="rId1563" Type="http://schemas.openxmlformats.org/officeDocument/2006/relationships/hyperlink" Target="http://gutenberg.spiegel.de/?id=5&amp;xid=5466&amp;kapitel=5&amp;cHash=160114ee7d2" TargetMode="External"/><Relationship Id="rId1770" Type="http://schemas.openxmlformats.org/officeDocument/2006/relationships/hyperlink" Target="http://de.wikisource.org/wiki/Seite:De_Studien_%C3%BCber_Hysterie_067.jpg" TargetMode="External"/><Relationship Id="rId1868" Type="http://schemas.openxmlformats.org/officeDocument/2006/relationships/hyperlink" Target="http://de.wikisource.org/wiki/Seite:De_Studien_%C3%BCber_Hysterie_120.jpg" TargetMode="External"/><Relationship Id="rId62" Type="http://schemas.openxmlformats.org/officeDocument/2006/relationships/hyperlink" Target="http://gutenberg.spiegel.de/?id=5&amp;xid=5479&amp;kapitel=14&amp;cHash=c9ba69ac182" TargetMode="External"/><Relationship Id="rId365" Type="http://schemas.openxmlformats.org/officeDocument/2006/relationships/hyperlink" Target="http://projekt.gutenberg.de/?id=5&amp;xid=5455&amp;kapitel=1" TargetMode="External"/><Relationship Id="rId572" Type="http://schemas.openxmlformats.org/officeDocument/2006/relationships/hyperlink" Target="http://gutenberg.spiegel.de/?id=5&amp;xid=5471&amp;kapitel=6&amp;cHash=fef33401182" TargetMode="External"/><Relationship Id="rId1216" Type="http://schemas.openxmlformats.org/officeDocument/2006/relationships/hyperlink" Target="http://projekt.gutenberg.de/?id=5&amp;xid=5469&amp;kapitel=3&amp;cHash=37599a73a72" TargetMode="External"/><Relationship Id="rId1423" Type="http://schemas.openxmlformats.org/officeDocument/2006/relationships/hyperlink" Target="http://gutenberg.spiegel.de/?id=5&amp;xid=5454&amp;kapitel=16&amp;cHash=7be8bceb522" TargetMode="External"/><Relationship Id="rId1630" Type="http://schemas.openxmlformats.org/officeDocument/2006/relationships/hyperlink" Target="http://de.wikisource.org/wiki/Studien_%C3%BCber_Hysterie/Beobachtung_I._Frl._Anna_O%E2%80%A6" TargetMode="External"/><Relationship Id="rId2046" Type="http://schemas.openxmlformats.org/officeDocument/2006/relationships/hyperlink" Target="http://de.wikisource.org/wiki/Seite:De_Studien_%C3%BCber_Hysterie_233.jpg" TargetMode="External"/><Relationship Id="rId225" Type="http://schemas.openxmlformats.org/officeDocument/2006/relationships/hyperlink" Target="http://gutenberg.spiegel.de/?id=5&amp;xid=5479&amp;kapitel=31&amp;cHash=c9ba69ac182" TargetMode="External"/><Relationship Id="rId432" Type="http://schemas.openxmlformats.org/officeDocument/2006/relationships/hyperlink" Target="http://projekt.gutenberg.de/?id=5&amp;xid=5455&amp;kapitel=3&amp;cHash=893cd6bc1c2" TargetMode="External"/><Relationship Id="rId877" Type="http://schemas.openxmlformats.org/officeDocument/2006/relationships/hyperlink" Target="http://gutenberg.spiegel.de/?id=5&amp;xid=5453&amp;kapitel=13&amp;cHash=3aa83cf0982" TargetMode="External"/><Relationship Id="rId1062" Type="http://schemas.openxmlformats.org/officeDocument/2006/relationships/hyperlink" Target="http://projekt.gutenberg.de/?id=5&amp;xid=5455&amp;kapitel=2&amp;cHash=893cd6bc1c2" TargetMode="External"/><Relationship Id="rId1728" Type="http://schemas.openxmlformats.org/officeDocument/2006/relationships/hyperlink" Target="http://de.wikisource.org/wiki/Seite:De_Studien_%C3%BCber_Hysterie_043.jpg" TargetMode="External"/><Relationship Id="rId1935" Type="http://schemas.openxmlformats.org/officeDocument/2006/relationships/hyperlink" Target="http://de.wikisource.org/wiki/Seite:De_Studien_%C3%BCber_Hysterie_168.jpg" TargetMode="External"/><Relationship Id="rId737" Type="http://schemas.openxmlformats.org/officeDocument/2006/relationships/hyperlink" Target="http://gutenberg.spiegel.de/?id=5&amp;xid=5452&amp;kapitel=11&amp;cHash=0b6f4173732" TargetMode="External"/><Relationship Id="rId944" Type="http://schemas.openxmlformats.org/officeDocument/2006/relationships/hyperlink" Target="http://gutenberg.spiegel.de/?id=5&amp;xid=5453&amp;kapitel=33&amp;cHash=3aa83cf0982" TargetMode="External"/><Relationship Id="rId1367" Type="http://schemas.openxmlformats.org/officeDocument/2006/relationships/hyperlink" Target="http://gutenberg.spiegel.de/?id=5&amp;xid=5454&amp;kapitel=3&amp;cHash=7be8bceb522" TargetMode="External"/><Relationship Id="rId1574" Type="http://schemas.openxmlformats.org/officeDocument/2006/relationships/hyperlink" Target="http://gutenberg.spiegel.de/?id=5&amp;xid=5466&amp;kapitel=6&amp;cHash=160114ee7d2" TargetMode="External"/><Relationship Id="rId1781" Type="http://schemas.openxmlformats.org/officeDocument/2006/relationships/hyperlink" Target="http://de.wikisource.org/wiki/Seite:De_Studien_%C3%BCber_Hysterie_077.jpg" TargetMode="External"/><Relationship Id="rId73" Type="http://schemas.openxmlformats.org/officeDocument/2006/relationships/hyperlink" Target="http://gutenberg.spiegel.de/?id=5&amp;xid=5479&amp;kapitel=14&amp;cHash=c9ba69ac182" TargetMode="External"/><Relationship Id="rId169" Type="http://schemas.openxmlformats.org/officeDocument/2006/relationships/hyperlink" Target="http://gutenberg.spiegel.de/?id=5&amp;xid=5479&amp;kapitel=25&amp;cHash=c9ba69ac182" TargetMode="External"/><Relationship Id="rId376" Type="http://schemas.openxmlformats.org/officeDocument/2006/relationships/hyperlink" Target="http://projekt.gutenberg.de/?id=5&amp;xid=5455&amp;kapitel=2&amp;cHash=893cd6bc1c2" TargetMode="External"/><Relationship Id="rId583" Type="http://schemas.openxmlformats.org/officeDocument/2006/relationships/hyperlink" Target="http://gutenberg.spiegel.de/?id=5&amp;xid=5471&amp;kapitel=6&amp;cHash=fef33401182" TargetMode="External"/><Relationship Id="rId790" Type="http://schemas.openxmlformats.org/officeDocument/2006/relationships/hyperlink" Target="http://gutenberg.spiegel.de/?id=5&amp;xid=5452&amp;kapitel=30&amp;cHash=0b6f4173732" TargetMode="External"/><Relationship Id="rId804" Type="http://schemas.openxmlformats.org/officeDocument/2006/relationships/hyperlink" Target="http://gutenberg.spiegel.de/?id=5&amp;xid=5452&amp;kapitel=32&amp;cHash=0b6f4173732" TargetMode="External"/><Relationship Id="rId1227" Type="http://schemas.openxmlformats.org/officeDocument/2006/relationships/hyperlink" Target="http://projekt.gutenberg.de/?id=5&amp;xid=5469&amp;kapitel=3&amp;cHash=37599a73a72" TargetMode="External"/><Relationship Id="rId1434" Type="http://schemas.openxmlformats.org/officeDocument/2006/relationships/hyperlink" Target="http://gutenberg.spiegel.de/?id=5&amp;xid=5454&amp;kapitel=21&amp;cHash=7be8bceb522" TargetMode="External"/><Relationship Id="rId1641" Type="http://schemas.openxmlformats.org/officeDocument/2006/relationships/hyperlink" Target="http://de.wikisource.org/wiki/Studien_%C3%BCber_Hysterie/Beobachtung_I._Frl._Anna_O%E2%80%A6" TargetMode="External"/><Relationship Id="rId1879" Type="http://schemas.openxmlformats.org/officeDocument/2006/relationships/hyperlink" Target="http://de.wikisource.org/wiki/Seite:De_Studien_%C3%BCber_Hysterie_129.jpg" TargetMode="External"/><Relationship Id="rId2057" Type="http://schemas.openxmlformats.org/officeDocument/2006/relationships/hyperlink" Target="http://de.wikisource.org/wiki/Seite:De_Studien_%C3%BCber_Hysterie_244.jpg" TargetMode="External"/><Relationship Id="rId4" Type="http://schemas.openxmlformats.org/officeDocument/2006/relationships/settings" Target="settings.xml"/><Relationship Id="rId236" Type="http://schemas.openxmlformats.org/officeDocument/2006/relationships/image" Target="media/image10.png"/><Relationship Id="rId443" Type="http://schemas.openxmlformats.org/officeDocument/2006/relationships/hyperlink" Target="http://gutenberg.spiegel.de/?id=5&amp;xid=5471&amp;kapitel=2&amp;cHash=fef33401182" TargetMode="External"/><Relationship Id="rId650" Type="http://schemas.openxmlformats.org/officeDocument/2006/relationships/hyperlink" Target="http://gutenberg.spiegel.de/?id=5&amp;xid=5471&amp;kapitel=6&amp;cHash=fef33401182" TargetMode="External"/><Relationship Id="rId888" Type="http://schemas.openxmlformats.org/officeDocument/2006/relationships/hyperlink" Target="http://gutenberg.spiegel.de/?id=5&amp;xid=5453&amp;kapitel=16&amp;cHash=3aa83cf0982" TargetMode="External"/><Relationship Id="rId1073" Type="http://schemas.openxmlformats.org/officeDocument/2006/relationships/hyperlink" Target="http://projekt.gutenberg.de/?id=5&amp;xid=5455&amp;kapitel=2&amp;cHash=893cd6bc1c2" TargetMode="External"/><Relationship Id="rId1280" Type="http://schemas.openxmlformats.org/officeDocument/2006/relationships/hyperlink" Target="http://projekt.gutenberg.de/?id=5&amp;xid=5463&amp;kapitel=6&amp;cHash=3873cdf9922" TargetMode="External"/><Relationship Id="rId1501" Type="http://schemas.openxmlformats.org/officeDocument/2006/relationships/hyperlink" Target="http://gutenberg.spiegel.de/?id=5&amp;xid=5466&amp;kapitel=1" TargetMode="External"/><Relationship Id="rId1739" Type="http://schemas.openxmlformats.org/officeDocument/2006/relationships/hyperlink" Target="http://de.wikisource.org/wiki/Seite:De_Studien_%C3%BCber_Hysterie_048.jpg" TargetMode="External"/><Relationship Id="rId1946" Type="http://schemas.openxmlformats.org/officeDocument/2006/relationships/hyperlink" Target="http://de.wikisource.org/wiki/Seite:De_Studien_%C3%BCber_Hysterie_176.jpg" TargetMode="External"/><Relationship Id="rId303" Type="http://schemas.openxmlformats.org/officeDocument/2006/relationships/hyperlink" Target="http://gutenberg.spiegel.de/?id=5&amp;xid=5474&amp;kapitel=2&amp;cHash=319187eedd2" TargetMode="External"/><Relationship Id="rId748" Type="http://schemas.openxmlformats.org/officeDocument/2006/relationships/hyperlink" Target="http://gutenberg.spiegel.de/?id=5&amp;xid=5452&amp;kapitel=11&amp;cHash=0b6f4173732" TargetMode="External"/><Relationship Id="rId955" Type="http://schemas.openxmlformats.org/officeDocument/2006/relationships/hyperlink" Target="http://gutenberg.spiegel.de/?id=5&amp;xid=5453&amp;kapitel=35&amp;cHash=3aa83cf0982" TargetMode="External"/><Relationship Id="rId1140" Type="http://schemas.openxmlformats.org/officeDocument/2006/relationships/hyperlink" Target="http://projekt.gutenberg.de/?id=5&amp;xid=5475&amp;kapitel=6&amp;cHash=f458b8542a2" TargetMode="External"/><Relationship Id="rId1378" Type="http://schemas.openxmlformats.org/officeDocument/2006/relationships/hyperlink" Target="http://gutenberg.spiegel.de/?id=5&amp;xid=5454&amp;kapitel=4&amp;cHash=7be8bceb522" TargetMode="External"/><Relationship Id="rId1585" Type="http://schemas.openxmlformats.org/officeDocument/2006/relationships/hyperlink" Target="http://gutenberg.spiegel.de/?id=5&amp;xid=5456&amp;kapitel=3&amp;cHash=177f1789a72" TargetMode="External"/><Relationship Id="rId1792" Type="http://schemas.openxmlformats.org/officeDocument/2006/relationships/hyperlink" Target="http://de.wikisource.org/wiki/Seite:De_Studien_%C3%BCber_Hysterie_086.jpg" TargetMode="External"/><Relationship Id="rId1806" Type="http://schemas.openxmlformats.org/officeDocument/2006/relationships/hyperlink" Target="http://de.wikisource.org/wiki/Studien_%C3%BCber_Hysterie/Beobachtung_II._Frau_Emmy_v._N%E2%80%A6" TargetMode="External"/><Relationship Id="rId84" Type="http://schemas.openxmlformats.org/officeDocument/2006/relationships/hyperlink" Target="http://gutenberg.spiegel.de/?id=5&amp;xid=5479&amp;kapitel=16&amp;cHash=c9ba69ac182" TargetMode="External"/><Relationship Id="rId387" Type="http://schemas.openxmlformats.org/officeDocument/2006/relationships/hyperlink" Target="http://projekt.gutenberg.de/?id=5&amp;xid=5455&amp;kapitel=2&amp;cHash=893cd6bc1c2" TargetMode="External"/><Relationship Id="rId510" Type="http://schemas.openxmlformats.org/officeDocument/2006/relationships/hyperlink" Target="http://gutenberg.spiegel.de/?id=5&amp;xid=5471&amp;kapitel=5&amp;cHash=fef33401182" TargetMode="External"/><Relationship Id="rId594" Type="http://schemas.openxmlformats.org/officeDocument/2006/relationships/hyperlink" Target="http://gutenberg.spiegel.de/?id=5&amp;xid=5471&amp;kapitel=6&amp;cHash=fef33401182" TargetMode="External"/><Relationship Id="rId608" Type="http://schemas.openxmlformats.org/officeDocument/2006/relationships/hyperlink" Target="http://gutenberg.spiegel.de/?id=5&amp;xid=5471&amp;kapitel=6&amp;cHash=fef33401182" TargetMode="External"/><Relationship Id="rId815" Type="http://schemas.openxmlformats.org/officeDocument/2006/relationships/hyperlink" Target="http://gutenberg.spiegel.de/?id=5&amp;xid=5452&amp;kapitel=33&amp;cHash=0b6f4173732" TargetMode="External"/><Relationship Id="rId1238" Type="http://schemas.openxmlformats.org/officeDocument/2006/relationships/hyperlink" Target="http://projekt.gutenberg.de/?id=5&amp;xid=5469&amp;kapitel=3&amp;cHash=37599a73a72" TargetMode="External"/><Relationship Id="rId1445" Type="http://schemas.openxmlformats.org/officeDocument/2006/relationships/hyperlink" Target="http://gutenberg.spiegel.de/?id=5&amp;xid=5454&amp;kapitel=23&amp;cHash=7be8bceb522" TargetMode="External"/><Relationship Id="rId1652" Type="http://schemas.openxmlformats.org/officeDocument/2006/relationships/hyperlink" Target="http://de.wikisource.org/wiki/Studien_%C3%BCber_Hysterie/Beobachtung_I._Frl._Anna_O%E2%80%A6" TargetMode="External"/><Relationship Id="rId2068" Type="http://schemas.openxmlformats.org/officeDocument/2006/relationships/hyperlink" Target="http://de.wikisource.org/wiki/Seite:De_Studien_%C3%BCber_Hysterie_255.jpg" TargetMode="External"/><Relationship Id="rId247" Type="http://schemas.openxmlformats.org/officeDocument/2006/relationships/hyperlink" Target="http://gutenberg.spiegel.de/?id=5&amp;xid=5479&amp;kapitel=33&amp;cHash=c9ba69ac182" TargetMode="External"/><Relationship Id="rId899" Type="http://schemas.openxmlformats.org/officeDocument/2006/relationships/hyperlink" Target="http://gutenberg.spiegel.de/?id=5&amp;xid=5453&amp;kapitel=17&amp;cHash=3aa83cf0982" TargetMode="External"/><Relationship Id="rId1000" Type="http://schemas.openxmlformats.org/officeDocument/2006/relationships/hyperlink" Target="http://projekt.gutenberg.de/?id=5&amp;xid=5459&amp;kapitel=2&amp;cHash=2500fb16a9chap002" TargetMode="External"/><Relationship Id="rId1084" Type="http://schemas.openxmlformats.org/officeDocument/2006/relationships/hyperlink" Target="http://projekt.gutenberg.de/?id=5&amp;xid=5455&amp;kapitel=2&amp;cHash=893cd6bc1c2" TargetMode="External"/><Relationship Id="rId1305" Type="http://schemas.openxmlformats.org/officeDocument/2006/relationships/hyperlink" Target="http://gutenberg.spiegel.de/?id=5&amp;xid=5468&amp;kapitel=1" TargetMode="External"/><Relationship Id="rId1957" Type="http://schemas.openxmlformats.org/officeDocument/2006/relationships/hyperlink" Target="http://de.wikisource.org/wiki/Studien_%C3%BCber_Hysterie/Theoretisches" TargetMode="External"/><Relationship Id="rId107" Type="http://schemas.openxmlformats.org/officeDocument/2006/relationships/hyperlink" Target="http://gutenberg.spiegel.de/?id=5&amp;xid=5479&amp;kapitel=18&amp;cHash=c9ba69ac182" TargetMode="External"/><Relationship Id="rId454" Type="http://schemas.openxmlformats.org/officeDocument/2006/relationships/hyperlink" Target="http://gutenberg.spiegel.de/?id=5&amp;xid=5471&amp;kapitel=3&amp;cHash=fef33401182" TargetMode="External"/><Relationship Id="rId661" Type="http://schemas.openxmlformats.org/officeDocument/2006/relationships/hyperlink" Target="http://gutenberg.spiegel.de/?id=5&amp;xid=5471&amp;kapitel=6&amp;cHash=fef33401182" TargetMode="External"/><Relationship Id="rId759" Type="http://schemas.openxmlformats.org/officeDocument/2006/relationships/hyperlink" Target="http://gutenberg.spiegel.de/?id=5&amp;xid=5452&amp;kapitel=15&amp;cHash=0b6f4173732" TargetMode="External"/><Relationship Id="rId966" Type="http://schemas.openxmlformats.org/officeDocument/2006/relationships/hyperlink" Target="http://gutenberg.spiegel.de/?id=5&amp;xid=5453&amp;kapitel=40&amp;cHash=3aa83cf0982" TargetMode="External"/><Relationship Id="rId1291" Type="http://schemas.openxmlformats.org/officeDocument/2006/relationships/hyperlink" Target="http://projekt.gutenberg.de/?id=5&amp;xid=5463&amp;kapitel=7&amp;cHash=3873cdf9922" TargetMode="External"/><Relationship Id="rId1389" Type="http://schemas.openxmlformats.org/officeDocument/2006/relationships/hyperlink" Target="http://gutenberg.spiegel.de/?id=5&amp;xid=5454&amp;kapitel=4&amp;cHash=7be8bceb522" TargetMode="External"/><Relationship Id="rId1512" Type="http://schemas.openxmlformats.org/officeDocument/2006/relationships/hyperlink" Target="http://gutenberg.spiegel.de/?id=5&amp;xid=5466&amp;kapitel=2&amp;cHash=160114ee7d2" TargetMode="External"/><Relationship Id="rId1596" Type="http://schemas.openxmlformats.org/officeDocument/2006/relationships/hyperlink" Target="http://gutenberg.spiegel.de/?id=5&amp;xid=5460&amp;kapitel=2&amp;cHash=78ac0b08922" TargetMode="External"/><Relationship Id="rId1817" Type="http://schemas.openxmlformats.org/officeDocument/2006/relationships/hyperlink" Target="http://de.wikisource.org/wiki/Seite:De_Studien_%C3%BCber_Hysterie_058.jpg" TargetMode="External"/><Relationship Id="rId11" Type="http://schemas.openxmlformats.org/officeDocument/2006/relationships/image" Target="media/image4.jpeg"/><Relationship Id="rId314" Type="http://schemas.openxmlformats.org/officeDocument/2006/relationships/hyperlink" Target="http://gutenberg.spiegel.de/?id=5&amp;xid=5474&amp;kapitel=2&amp;cHash=319187eedd2" TargetMode="External"/><Relationship Id="rId398" Type="http://schemas.openxmlformats.org/officeDocument/2006/relationships/hyperlink" Target="http://projekt.gutenberg.de/?id=5&amp;xid=5455&amp;kapitel=2&amp;cHash=893cd6bc1c2" TargetMode="External"/><Relationship Id="rId521" Type="http://schemas.openxmlformats.org/officeDocument/2006/relationships/hyperlink" Target="http://gutenberg.spiegel.de/?id=5&amp;xid=5471&amp;kapitel=5&amp;cHash=fef33401182" TargetMode="External"/><Relationship Id="rId619" Type="http://schemas.openxmlformats.org/officeDocument/2006/relationships/hyperlink" Target="http://gutenberg.spiegel.de/?id=5&amp;xid=5471&amp;kapitel=6&amp;cHash=fef33401182" TargetMode="External"/><Relationship Id="rId1151" Type="http://schemas.openxmlformats.org/officeDocument/2006/relationships/hyperlink" Target="http://projekt.gutenberg.de/?id=5&amp;xid=5475&amp;kapitel=8&amp;cHash=f458b8542a2" TargetMode="External"/><Relationship Id="rId1249" Type="http://schemas.openxmlformats.org/officeDocument/2006/relationships/hyperlink" Target="http://projekt.gutenberg.de/?id=5&amp;xid=5469&amp;kapitel=4&amp;cHash=37599a73a72" TargetMode="External"/><Relationship Id="rId2079" Type="http://schemas.openxmlformats.org/officeDocument/2006/relationships/hyperlink" Target="http://de.wikisource.org/wiki/Seite:De_Studien_%C3%BCber_Hysterie_266.jpg" TargetMode="External"/><Relationship Id="rId95" Type="http://schemas.openxmlformats.org/officeDocument/2006/relationships/hyperlink" Target="http://gutenberg.spiegel.de/?id=5&amp;xid=5479&amp;kapitel=17&amp;cHash=c9ba69ac182" TargetMode="External"/><Relationship Id="rId160" Type="http://schemas.openxmlformats.org/officeDocument/2006/relationships/hyperlink" Target="http://gutenberg.spiegel.de/?id=5&amp;xid=5479&amp;kapitel=24&amp;cHash=c9ba69ac182" TargetMode="External"/><Relationship Id="rId826" Type="http://schemas.openxmlformats.org/officeDocument/2006/relationships/hyperlink" Target="http://gutenberg.spiegel.de/?id=5&amp;xid=5452&amp;kapitel=35&amp;cHash=0b6f4173732" TargetMode="External"/><Relationship Id="rId1011" Type="http://schemas.openxmlformats.org/officeDocument/2006/relationships/hyperlink" Target="http://projekt.gutenberg.de/?id=5&amp;xid=5459&amp;kapitel=3&amp;cHash=2500fb16a9chap003" TargetMode="External"/><Relationship Id="rId1109" Type="http://schemas.openxmlformats.org/officeDocument/2006/relationships/hyperlink" Target="http://projekt.gutenberg.de/?id=5&amp;xid=5455&amp;kapitel=3&amp;cHash=893cd6bc1c2" TargetMode="External"/><Relationship Id="rId1456" Type="http://schemas.openxmlformats.org/officeDocument/2006/relationships/hyperlink" Target="http://gutenberg.spiegel.de/?id=5&amp;xid=4665&amp;kapitel=4&amp;cHash=cc1c208a602" TargetMode="External"/><Relationship Id="rId1663" Type="http://schemas.openxmlformats.org/officeDocument/2006/relationships/hyperlink" Target="http://de.wikisource.org/wiki/Seite:De_Studien_%C3%BCber_Hysterie_036.jpg" TargetMode="External"/><Relationship Id="rId1870" Type="http://schemas.openxmlformats.org/officeDocument/2006/relationships/hyperlink" Target="http://de.wikisource.org/wiki/Seite:De_Studien_%C3%BCber_Hysterie_122.jpg" TargetMode="External"/><Relationship Id="rId1968" Type="http://schemas.openxmlformats.org/officeDocument/2006/relationships/hyperlink" Target="http://de.wikisource.org/wiki/Studien_%C3%BCber_Hysterie/Theoretisches" TargetMode="External"/><Relationship Id="rId258" Type="http://schemas.openxmlformats.org/officeDocument/2006/relationships/hyperlink" Target="http://gutenberg.spiegel.de/?id=5&amp;xid=5479&amp;kapitel=35&amp;cHash=c9ba69ac182" TargetMode="External"/><Relationship Id="rId465" Type="http://schemas.openxmlformats.org/officeDocument/2006/relationships/hyperlink" Target="http://gutenberg.spiegel.de/?id=5&amp;xid=5471&amp;kapitel=4&amp;cHash=fef33401182" TargetMode="External"/><Relationship Id="rId672" Type="http://schemas.openxmlformats.org/officeDocument/2006/relationships/hyperlink" Target="http://gutenberg.spiegel.de/?id=5&amp;xid=5471&amp;kapitel=6&amp;cHash=fef33401182" TargetMode="External"/><Relationship Id="rId1095" Type="http://schemas.openxmlformats.org/officeDocument/2006/relationships/hyperlink" Target="http://projekt.gutenberg.de/?id=5&amp;xid=5455&amp;kapitel=2&amp;cHash=893cd6bc1c2" TargetMode="External"/><Relationship Id="rId1316" Type="http://schemas.openxmlformats.org/officeDocument/2006/relationships/hyperlink" Target="http://gutenberg.spiegel.de/?id=5&amp;xid=5468&amp;kapitel=4&amp;cHash=3b7308c8912" TargetMode="External"/><Relationship Id="rId1523" Type="http://schemas.openxmlformats.org/officeDocument/2006/relationships/hyperlink" Target="http://gutenberg.spiegel.de/?id=5&amp;xid=5466&amp;kapitel=3&amp;cHash=160114ee7d2" TargetMode="External"/><Relationship Id="rId1730" Type="http://schemas.openxmlformats.org/officeDocument/2006/relationships/hyperlink" Target="http://de.wikisource.org/wiki/Studien_%C3%BCber_Hysterie/Beobachtung_II._Frau_Emmy_v._N%E2%80%A6" TargetMode="External"/><Relationship Id="rId22" Type="http://schemas.openxmlformats.org/officeDocument/2006/relationships/hyperlink" Target="http://gutenberg.spiegel.de/?id=5&amp;xid=5479&amp;kapitel=6&amp;cHash=c9ba69ac182" TargetMode="External"/><Relationship Id="rId118" Type="http://schemas.openxmlformats.org/officeDocument/2006/relationships/hyperlink" Target="http://gutenberg.spiegel.de/?id=5&amp;xid=5479&amp;kapitel=19&amp;cHash=c9ba69ac182" TargetMode="External"/><Relationship Id="rId325" Type="http://schemas.openxmlformats.org/officeDocument/2006/relationships/hyperlink" Target="http://gutenberg.spiegel.de/?id=5&amp;xid=5474&amp;kapitel=4&amp;cHash=319187eedd2" TargetMode="External"/><Relationship Id="rId532" Type="http://schemas.openxmlformats.org/officeDocument/2006/relationships/hyperlink" Target="http://gutenberg.spiegel.de/?id=5&amp;xid=5471&amp;kapitel=5&amp;cHash=fef33401182" TargetMode="External"/><Relationship Id="rId977" Type="http://schemas.openxmlformats.org/officeDocument/2006/relationships/hyperlink" Target="http://projekt.gutenberg.de/?id=5&amp;xid=5459&amp;kapitel=2&amp;cHash=2500fb16a9chap002" TargetMode="External"/><Relationship Id="rId1162" Type="http://schemas.openxmlformats.org/officeDocument/2006/relationships/hyperlink" Target="http://projekt.gutenberg.de/?id=5&amp;xid=5475&amp;kapitel=8&amp;cHash=f458b8542a2" TargetMode="External"/><Relationship Id="rId1828" Type="http://schemas.openxmlformats.org/officeDocument/2006/relationships/hyperlink" Target="http://de.wikisource.org/wiki/Seite:De_Studien_%C3%BCber_Hysterie_086.jpg" TargetMode="External"/><Relationship Id="rId2006" Type="http://schemas.openxmlformats.org/officeDocument/2006/relationships/hyperlink" Target="http://de.wikisource.org/wiki/Seite:De_Studien_%C3%BCber_Hysterie_219.jpg" TargetMode="External"/><Relationship Id="rId171" Type="http://schemas.openxmlformats.org/officeDocument/2006/relationships/hyperlink" Target="http://gutenberg.spiegel.de/?id=5&amp;xid=5479&amp;kapitel=25&amp;cHash=c9ba69ac182" TargetMode="External"/><Relationship Id="rId837" Type="http://schemas.openxmlformats.org/officeDocument/2006/relationships/hyperlink" Target="http://gutenberg.spiegel.de/?id=5&amp;xid=5452&amp;kapitel=38&amp;cHash=0b6f4173732" TargetMode="External"/><Relationship Id="rId1022" Type="http://schemas.openxmlformats.org/officeDocument/2006/relationships/hyperlink" Target="http://projekt.gutenberg.de/?id=5&amp;xid=5459&amp;kapitel=3&amp;cHash=2500fb16a9chap003" TargetMode="External"/><Relationship Id="rId1467" Type="http://schemas.openxmlformats.org/officeDocument/2006/relationships/image" Target="media/image30.png"/><Relationship Id="rId1674" Type="http://schemas.openxmlformats.org/officeDocument/2006/relationships/hyperlink" Target="http://de.wikipedia.org/wiki/Abszess" TargetMode="External"/><Relationship Id="rId1881" Type="http://schemas.openxmlformats.org/officeDocument/2006/relationships/hyperlink" Target="http://de.wikisource.org/wiki/Seite:De_Studien_%C3%BCber_Hysterie_131.jpg" TargetMode="External"/><Relationship Id="rId269" Type="http://schemas.openxmlformats.org/officeDocument/2006/relationships/hyperlink" Target="http://gutenberg.spiegel.de/?id=5&amp;xid=5470&amp;kapitel=5&amp;cHash=e3099ac4fe2" TargetMode="External"/><Relationship Id="rId476" Type="http://schemas.openxmlformats.org/officeDocument/2006/relationships/hyperlink" Target="http://gutenberg.spiegel.de/?id=5&amp;xid=5471&amp;kapitel=4&amp;cHash=fef33401182" TargetMode="External"/><Relationship Id="rId683" Type="http://schemas.openxmlformats.org/officeDocument/2006/relationships/hyperlink" Target="http://gutenberg.spiegel.de/?id=5&amp;xid=5471&amp;kapitel=6&amp;cHash=fef33401182" TargetMode="External"/><Relationship Id="rId890" Type="http://schemas.openxmlformats.org/officeDocument/2006/relationships/hyperlink" Target="http://gutenberg.spiegel.de/?id=5&amp;xid=5453&amp;kapitel=16&amp;cHash=3aa83cf0982" TargetMode="External"/><Relationship Id="rId904" Type="http://schemas.openxmlformats.org/officeDocument/2006/relationships/hyperlink" Target="http://gutenberg.spiegel.de/?id=5&amp;xid=5453&amp;kapitel=19&amp;cHash=3aa83cf0982" TargetMode="External"/><Relationship Id="rId1327" Type="http://schemas.openxmlformats.org/officeDocument/2006/relationships/hyperlink" Target="http://gutenberg.spiegel.de/?id=5&amp;xid=5468&amp;kapitel=6&amp;cHash=3b7308c8912" TargetMode="External"/><Relationship Id="rId1534" Type="http://schemas.openxmlformats.org/officeDocument/2006/relationships/hyperlink" Target="http://gutenberg.spiegel.de/?id=5&amp;xid=5466&amp;kapitel=3&amp;cHash=160114ee7d2" TargetMode="External"/><Relationship Id="rId1741" Type="http://schemas.openxmlformats.org/officeDocument/2006/relationships/hyperlink" Target="http://de.wikisource.org/wiki/Seite:De_Studien_%C3%BCber_Hysterie_049.jpg" TargetMode="External"/><Relationship Id="rId1979" Type="http://schemas.openxmlformats.org/officeDocument/2006/relationships/hyperlink" Target="http://de.wikisource.org/wiki/Seite:De_Studien_%C3%BCber_Hysterie_199.jpg" TargetMode="External"/><Relationship Id="rId33" Type="http://schemas.openxmlformats.org/officeDocument/2006/relationships/hyperlink" Target="http://gutenberg.spiegel.de/?id=5&amp;xid=5479&amp;kapitel=8&amp;cHash=c9ba69ac182" TargetMode="External"/><Relationship Id="rId129" Type="http://schemas.openxmlformats.org/officeDocument/2006/relationships/hyperlink" Target="http://gutenberg.spiegel.de/?id=5&amp;xid=5479&amp;kapitel=21&amp;cHash=c9ba69ac182" TargetMode="External"/><Relationship Id="rId336" Type="http://schemas.openxmlformats.org/officeDocument/2006/relationships/hyperlink" Target="http://gutenberg.spiegel.de/?id=5&amp;xid=5474&amp;kapitel=5&amp;cHash=319187eedd2" TargetMode="External"/><Relationship Id="rId543" Type="http://schemas.openxmlformats.org/officeDocument/2006/relationships/hyperlink" Target="http://gutenberg.spiegel.de/?id=5&amp;xid=5471&amp;kapitel=6&amp;cHash=fef33401182" TargetMode="External"/><Relationship Id="rId988" Type="http://schemas.openxmlformats.org/officeDocument/2006/relationships/hyperlink" Target="http://projekt.gutenberg.de/?id=5&amp;xid=5459&amp;kapitel=2&amp;cHash=2500fb16a9chap002" TargetMode="External"/><Relationship Id="rId1173" Type="http://schemas.openxmlformats.org/officeDocument/2006/relationships/hyperlink" Target="http://projekt.gutenberg.de/?id=5&amp;xid=5475&amp;kapitel=9&amp;cHash=f458b8542a2" TargetMode="External"/><Relationship Id="rId1380" Type="http://schemas.openxmlformats.org/officeDocument/2006/relationships/hyperlink" Target="http://gutenberg.spiegel.de/?id=5&amp;xid=5454&amp;kapitel=4&amp;cHash=7be8bceb522" TargetMode="External"/><Relationship Id="rId1601" Type="http://schemas.openxmlformats.org/officeDocument/2006/relationships/hyperlink" Target="http://de.wikisource.org/wiki/Seite:De_Studien_%C3%BCber_Hysterie_002.jpg" TargetMode="External"/><Relationship Id="rId1839" Type="http://schemas.openxmlformats.org/officeDocument/2006/relationships/hyperlink" Target="http://de.wikisource.org/wiki/Seite:De_Studien_%C3%BCber_Hysterie_100.jpg" TargetMode="External"/><Relationship Id="rId2017" Type="http://schemas.openxmlformats.org/officeDocument/2006/relationships/hyperlink" Target="http://de.wikisource.org/wiki/Seite:De_Studien_%C3%BCber_Hysterie_180.jpg" TargetMode="External"/><Relationship Id="rId182" Type="http://schemas.openxmlformats.org/officeDocument/2006/relationships/hyperlink" Target="http://gutenberg.spiegel.de/?id=5&amp;xid=5479&amp;kapitel=25&amp;cHash=c9ba69ac182" TargetMode="External"/><Relationship Id="rId403" Type="http://schemas.openxmlformats.org/officeDocument/2006/relationships/hyperlink" Target="http://projekt.gutenberg.de/?id=5&amp;xid=5455&amp;kapitel=2&amp;cHash=893cd6bc1c2" TargetMode="External"/><Relationship Id="rId750" Type="http://schemas.openxmlformats.org/officeDocument/2006/relationships/hyperlink" Target="http://gutenberg.spiegel.de/?id=5&amp;xid=5452&amp;kapitel=11&amp;cHash=0b6f4173732" TargetMode="External"/><Relationship Id="rId848" Type="http://schemas.openxmlformats.org/officeDocument/2006/relationships/hyperlink" Target="http://gutenberg.spiegel.de/?id=5&amp;xid=5452&amp;kapitel=41&amp;cHash=0b6f4173732" TargetMode="External"/><Relationship Id="rId1033" Type="http://schemas.openxmlformats.org/officeDocument/2006/relationships/hyperlink" Target="http://projekt.gutenberg.de/?id=5&amp;xid=5459&amp;kapitel=4&amp;cHash=2500fb16a9chap004" TargetMode="External"/><Relationship Id="rId1478" Type="http://schemas.openxmlformats.org/officeDocument/2006/relationships/hyperlink" Target="http://gutenberg.spiegel.de/?id=5&amp;xid=5457&amp;kapitel=6&amp;cHash=8f5b827b6d2" TargetMode="External"/><Relationship Id="rId1685" Type="http://schemas.openxmlformats.org/officeDocument/2006/relationships/hyperlink" Target="http://de.wikipedia.org/wiki/Nervus_trochlearis" TargetMode="External"/><Relationship Id="rId1892" Type="http://schemas.openxmlformats.org/officeDocument/2006/relationships/hyperlink" Target="http://de.wikisource.org/wiki/Seite:De_Studien_%C3%BCber_Hysterie_142.jpg" TargetMode="External"/><Relationship Id="rId1906" Type="http://schemas.openxmlformats.org/officeDocument/2006/relationships/hyperlink" Target="http://de.wikisource.org/wiki/Seite:De_Studien_%C3%BCber_Hysterie_153.jpg" TargetMode="External"/><Relationship Id="rId487" Type="http://schemas.openxmlformats.org/officeDocument/2006/relationships/hyperlink" Target="http://gutenberg.spiegel.de/?id=5&amp;xid=5471&amp;kapitel=4&amp;cHash=fef33401182" TargetMode="External"/><Relationship Id="rId610" Type="http://schemas.openxmlformats.org/officeDocument/2006/relationships/hyperlink" Target="http://gutenberg.spiegel.de/?id=5&amp;xid=5471&amp;kapitel=6&amp;cHash=fef33401182" TargetMode="External"/><Relationship Id="rId694" Type="http://schemas.openxmlformats.org/officeDocument/2006/relationships/hyperlink" Target="http://gutenberg.spiegel.de/?id=5&amp;xid=5452&amp;kapitel=3&amp;cHash=0b6f4173732" TargetMode="External"/><Relationship Id="rId708" Type="http://schemas.openxmlformats.org/officeDocument/2006/relationships/hyperlink" Target="http://gutenberg.spiegel.de/?id=5&amp;xid=5452&amp;kapitel=7&amp;cHash=0b6f4173732" TargetMode="External"/><Relationship Id="rId915" Type="http://schemas.openxmlformats.org/officeDocument/2006/relationships/hyperlink" Target="http://gutenberg.spiegel.de/?id=5&amp;xid=5453&amp;kapitel=24&amp;cHash=3aa83cf0982" TargetMode="External"/><Relationship Id="rId1240" Type="http://schemas.openxmlformats.org/officeDocument/2006/relationships/hyperlink" Target="http://projekt.gutenberg.de/?id=5&amp;xid=5469&amp;kapitel=3&amp;cHash=37599a73a72" TargetMode="External"/><Relationship Id="rId1338" Type="http://schemas.openxmlformats.org/officeDocument/2006/relationships/hyperlink" Target="http://gutenberg.spiegel.de/?id=5&amp;xid=5468&amp;kapitel=8&amp;cHash=3b7308c8912" TargetMode="External"/><Relationship Id="rId1545" Type="http://schemas.openxmlformats.org/officeDocument/2006/relationships/hyperlink" Target="http://gutenberg.spiegel.de/?id=5&amp;xid=5466&amp;kapitel=4&amp;cHash=160114ee7d2" TargetMode="External"/><Relationship Id="rId2070" Type="http://schemas.openxmlformats.org/officeDocument/2006/relationships/hyperlink" Target="http://de.wikisource.org/wiki/Seite:De_Studien_%C3%BCber_Hysterie_257.jpg" TargetMode="External"/><Relationship Id="rId347" Type="http://schemas.openxmlformats.org/officeDocument/2006/relationships/hyperlink" Target="http://gutenberg.spiegel.de/?id=5&amp;xid=5474&amp;kapitel=7&amp;cHash=319187eedd2" TargetMode="External"/><Relationship Id="rId999" Type="http://schemas.openxmlformats.org/officeDocument/2006/relationships/hyperlink" Target="http://projekt.gutenberg.de/?id=5&amp;xid=5459&amp;kapitel=2&amp;cHash=2500fb16a9chap002" TargetMode="External"/><Relationship Id="rId1100" Type="http://schemas.openxmlformats.org/officeDocument/2006/relationships/hyperlink" Target="http://projekt.gutenberg.de/?id=5&amp;xid=5455&amp;kapitel=2&amp;cHash=893cd6bc1c2" TargetMode="External"/><Relationship Id="rId1184" Type="http://schemas.openxmlformats.org/officeDocument/2006/relationships/hyperlink" Target="http://projekt.gutenberg.de/?id=5&amp;xid=5475&amp;kapitel=11&amp;cHash=f458b8542a2" TargetMode="External"/><Relationship Id="rId1405" Type="http://schemas.openxmlformats.org/officeDocument/2006/relationships/hyperlink" Target="http://gutenberg.spiegel.de/?id=5&amp;xid=5454&amp;kapitel=11&amp;cHash=7be8bceb522" TargetMode="External"/><Relationship Id="rId1752" Type="http://schemas.openxmlformats.org/officeDocument/2006/relationships/hyperlink" Target="http://de.wikisource.org/wiki/Seite:De_Studien_%C3%BCber_Hysterie_055.jpg" TargetMode="External"/><Relationship Id="rId2028" Type="http://schemas.openxmlformats.org/officeDocument/2006/relationships/hyperlink" Target="http://de.wikisource.org/wiki/Studien_%C3%BCber_Hysterie/Theoretisches" TargetMode="External"/><Relationship Id="rId44" Type="http://schemas.openxmlformats.org/officeDocument/2006/relationships/hyperlink" Target="http://gutenberg.spiegel.de/?id=5&amp;xid=5479&amp;kapitel=12&amp;cHash=c9ba69ac182" TargetMode="External"/><Relationship Id="rId554" Type="http://schemas.openxmlformats.org/officeDocument/2006/relationships/hyperlink" Target="http://gutenberg.spiegel.de/?id=5&amp;xid=5471&amp;kapitel=6&amp;cHash=fef33401182" TargetMode="External"/><Relationship Id="rId761" Type="http://schemas.openxmlformats.org/officeDocument/2006/relationships/hyperlink" Target="http://gutenberg.spiegel.de/?id=5&amp;xid=5452&amp;kapitel=15&amp;cHash=0b6f4173732" TargetMode="External"/><Relationship Id="rId859" Type="http://schemas.openxmlformats.org/officeDocument/2006/relationships/hyperlink" Target="http://gutenberg.spiegel.de/?id=5&amp;xid=5453&amp;kapitel=3&amp;cHash=3aa83cf0982" TargetMode="External"/><Relationship Id="rId1391" Type="http://schemas.openxmlformats.org/officeDocument/2006/relationships/hyperlink" Target="http://gutenberg.spiegel.de/?id=5&amp;xid=5454&amp;kapitel=5&amp;cHash=7be8bceb522" TargetMode="External"/><Relationship Id="rId1489" Type="http://schemas.openxmlformats.org/officeDocument/2006/relationships/hyperlink" Target="http://gutenberg.spiegel.de/?id=5&amp;xid=5466&amp;kapitel=1" TargetMode="External"/><Relationship Id="rId1612" Type="http://schemas.openxmlformats.org/officeDocument/2006/relationships/hyperlink" Target="http://de.wikisource.org/wiki/Seite:De_Studien_%C3%BCber_Hysterie_011.jpg" TargetMode="External"/><Relationship Id="rId1696" Type="http://schemas.openxmlformats.org/officeDocument/2006/relationships/hyperlink" Target="http://de.wikisource.org/wiki/Studien_%C3%BCber_Hysterie/Beobachtung_I._Frl._Anna_O%E2%80%A6" TargetMode="External"/><Relationship Id="rId1917" Type="http://schemas.openxmlformats.org/officeDocument/2006/relationships/hyperlink" Target="http://de.wikisource.org/wiki/Studien_%C3%BCber_Hysterie/Beobachtung_V._Frl._Elisabeth_v._R%E2%80%A6" TargetMode="External"/><Relationship Id="rId193" Type="http://schemas.openxmlformats.org/officeDocument/2006/relationships/hyperlink" Target="http://gutenberg.spiegel.de/?id=5&amp;xid=5479&amp;kapitel=25&amp;cHash=c9ba69ac182" TargetMode="External"/><Relationship Id="rId207" Type="http://schemas.openxmlformats.org/officeDocument/2006/relationships/hyperlink" Target="http://gutenberg.spiegel.de/?id=5&amp;xid=5479&amp;kapitel=27&amp;cHash=c9ba69ac182" TargetMode="External"/><Relationship Id="rId414" Type="http://schemas.openxmlformats.org/officeDocument/2006/relationships/hyperlink" Target="http://projekt.gutenberg.de/?id=5&amp;xid=5455&amp;kapitel=2&amp;cHash=893cd6bc1c2" TargetMode="External"/><Relationship Id="rId498" Type="http://schemas.openxmlformats.org/officeDocument/2006/relationships/hyperlink" Target="http://gutenberg.spiegel.de/?id=5&amp;xid=5471&amp;kapitel=4&amp;cHash=fef33401182" TargetMode="External"/><Relationship Id="rId621" Type="http://schemas.openxmlformats.org/officeDocument/2006/relationships/hyperlink" Target="http://gutenberg.spiegel.de/?id=5&amp;xid=5471&amp;kapitel=6&amp;cHash=fef33401182" TargetMode="External"/><Relationship Id="rId1044" Type="http://schemas.openxmlformats.org/officeDocument/2006/relationships/hyperlink" Target="http://projekt.gutenberg.de/?id=5&amp;xid=5459&amp;kapitel=4&amp;cHash=2500fb16a9chap004" TargetMode="External"/><Relationship Id="rId1251" Type="http://schemas.openxmlformats.org/officeDocument/2006/relationships/hyperlink" Target="http://projekt.gutenberg.de/?id=5&amp;xid=5469&amp;kapitel=4&amp;cHash=37599a73a72" TargetMode="External"/><Relationship Id="rId1349" Type="http://schemas.openxmlformats.org/officeDocument/2006/relationships/hyperlink" Target="http://gutenberg.spiegel.de/?id=5&amp;xid=5468&amp;kapitel=11&amp;cHash=3b7308c8912" TargetMode="External"/><Relationship Id="rId2081" Type="http://schemas.openxmlformats.org/officeDocument/2006/relationships/hyperlink" Target="http://de.wikisource.org/wiki/Seite:De_Studien_%C3%BCber_Hysterie_268.jpg" TargetMode="External"/><Relationship Id="rId260" Type="http://schemas.openxmlformats.org/officeDocument/2006/relationships/hyperlink" Target="http://gutenberg.spiegel.de/?id=5&amp;xid=5479&amp;kapitel=36&amp;cHash=c9ba69ac182" TargetMode="External"/><Relationship Id="rId719" Type="http://schemas.openxmlformats.org/officeDocument/2006/relationships/hyperlink" Target="http://gutenberg.spiegel.de/?id=5&amp;xid=5452&amp;kapitel=8&amp;cHash=0b6f4173732" TargetMode="External"/><Relationship Id="rId926" Type="http://schemas.openxmlformats.org/officeDocument/2006/relationships/hyperlink" Target="http://gutenberg.spiegel.de/?id=5&amp;xid=5453&amp;kapitel=31&amp;cHash=3aa83cf0982" TargetMode="External"/><Relationship Id="rId1111" Type="http://schemas.openxmlformats.org/officeDocument/2006/relationships/hyperlink" Target="http://projekt.gutenberg.de/?id=5&amp;xid=5455&amp;kapitel=3&amp;cHash=893cd6bc1c2" TargetMode="External"/><Relationship Id="rId1556" Type="http://schemas.openxmlformats.org/officeDocument/2006/relationships/image" Target="media/image35.jpeg"/><Relationship Id="rId1763" Type="http://schemas.openxmlformats.org/officeDocument/2006/relationships/hyperlink" Target="http://de.wikisource.org/wiki/Studien_%C3%BCber_Hysterie/Beobachtung_II._Frau_Emmy_v._N%E2%80%A6" TargetMode="External"/><Relationship Id="rId1970" Type="http://schemas.openxmlformats.org/officeDocument/2006/relationships/hyperlink" Target="http://de.wikisource.org/wiki/Seite:De_Studien_%C3%BCber_Hysterie_191.jpg" TargetMode="External"/><Relationship Id="rId55" Type="http://schemas.openxmlformats.org/officeDocument/2006/relationships/hyperlink" Target="http://gutenberg.spiegel.de/?id=5&amp;xid=5479&amp;kapitel=13&amp;cHash=c9ba69ac182" TargetMode="External"/><Relationship Id="rId120" Type="http://schemas.openxmlformats.org/officeDocument/2006/relationships/hyperlink" Target="http://gutenberg.spiegel.de/?id=5&amp;xid=5479&amp;kapitel=19&amp;cHash=c9ba69ac182" TargetMode="External"/><Relationship Id="rId358" Type="http://schemas.openxmlformats.org/officeDocument/2006/relationships/hyperlink" Target="http://gutenberg.spiegel.de/?id=5&amp;xid=5474&amp;kapitel=7&amp;cHash=319187eedd2" TargetMode="External"/><Relationship Id="rId565" Type="http://schemas.openxmlformats.org/officeDocument/2006/relationships/hyperlink" Target="http://gutenberg.spiegel.de/?id=5&amp;xid=5471&amp;kapitel=6&amp;cHash=fef33401182" TargetMode="External"/><Relationship Id="rId772" Type="http://schemas.openxmlformats.org/officeDocument/2006/relationships/hyperlink" Target="http://gutenberg.spiegel.de/?id=5&amp;xid=5452&amp;kapitel=16&amp;cHash=0b6f4173732" TargetMode="External"/><Relationship Id="rId1195" Type="http://schemas.openxmlformats.org/officeDocument/2006/relationships/hyperlink" Target="http://projekt.gutenberg.de/?id=5&amp;xid=5469&amp;kapitel=2&amp;cHash=37599a73a72" TargetMode="External"/><Relationship Id="rId1209" Type="http://schemas.openxmlformats.org/officeDocument/2006/relationships/hyperlink" Target="http://projekt.gutenberg.de/?id=5&amp;xid=5469&amp;kapitel=2&amp;cHash=37599a73a72" TargetMode="External"/><Relationship Id="rId1416" Type="http://schemas.openxmlformats.org/officeDocument/2006/relationships/hyperlink" Target="http://gutenberg.spiegel.de/?id=5&amp;xid=5454&amp;kapitel=14&amp;cHash=7be8bceb522" TargetMode="External"/><Relationship Id="rId1623" Type="http://schemas.openxmlformats.org/officeDocument/2006/relationships/hyperlink" Target="http://de.wikisource.org/wiki/Studien_%C3%BCber_Hysterie/Beobachtung_I._Frl._Anna_O%E2%80%A6" TargetMode="External"/><Relationship Id="rId1830" Type="http://schemas.openxmlformats.org/officeDocument/2006/relationships/hyperlink" Target="http://de.wikisource.org/wiki/Seite:De_Studien_%C3%BCber_Hysterie_092.jpg" TargetMode="External"/><Relationship Id="rId2039" Type="http://schemas.openxmlformats.org/officeDocument/2006/relationships/hyperlink" Target="http://de.wikisource.org/wiki/Seite:De_Studien_%C3%BCber_Hysterie_226.jpg" TargetMode="External"/><Relationship Id="rId218" Type="http://schemas.openxmlformats.org/officeDocument/2006/relationships/hyperlink" Target="http://gutenberg.spiegel.de/?id=5&amp;xid=5479&amp;kapitel=29&amp;cHash=c9ba69ac182" TargetMode="External"/><Relationship Id="rId425" Type="http://schemas.openxmlformats.org/officeDocument/2006/relationships/hyperlink" Target="http://projekt.gutenberg.de/?id=5&amp;xid=5455&amp;kapitel=3&amp;cHash=893cd6bc1c2" TargetMode="External"/><Relationship Id="rId632" Type="http://schemas.openxmlformats.org/officeDocument/2006/relationships/hyperlink" Target="http://gutenberg.spiegel.de/?id=5&amp;xid=5471&amp;kapitel=6&amp;cHash=fef33401182" TargetMode="External"/><Relationship Id="rId1055" Type="http://schemas.openxmlformats.org/officeDocument/2006/relationships/hyperlink" Target="http://projekt.gutenberg.de/?id=5&amp;xid=5455&amp;kapitel=1" TargetMode="External"/><Relationship Id="rId1262" Type="http://schemas.openxmlformats.org/officeDocument/2006/relationships/hyperlink" Target="http://projekt.gutenberg.de/?id=5&amp;xid=5463&amp;kapitel=2&amp;cHash=3873cdf9922" TargetMode="External"/><Relationship Id="rId1928" Type="http://schemas.openxmlformats.org/officeDocument/2006/relationships/hyperlink" Target="http://de.wikisource.org/wiki/Seite:De_Studien_%C3%BCber_Hysterie_163.jpg" TargetMode="External"/><Relationship Id="rId271" Type="http://schemas.openxmlformats.org/officeDocument/2006/relationships/hyperlink" Target="http://gutenberg.spiegel.de/?id=5&amp;xid=5470&amp;kapitel=6&amp;cHash=e3099ac4fe2" TargetMode="External"/><Relationship Id="rId937" Type="http://schemas.openxmlformats.org/officeDocument/2006/relationships/hyperlink" Target="http://gutenberg.spiegel.de/?id=5&amp;xid=5453&amp;kapitel=33&amp;cHash=3aa83cf0982" TargetMode="External"/><Relationship Id="rId1122" Type="http://schemas.openxmlformats.org/officeDocument/2006/relationships/hyperlink" Target="http://projekt.gutenberg.de/?id=5&amp;xid=5475&amp;kapitel=2&amp;cHash=f458b8542a2" TargetMode="External"/><Relationship Id="rId1567" Type="http://schemas.openxmlformats.org/officeDocument/2006/relationships/hyperlink" Target="http://gutenberg.spiegel.de/?id=5&amp;xid=5466&amp;kapitel=5&amp;cHash=160114ee7d2" TargetMode="External"/><Relationship Id="rId1774" Type="http://schemas.openxmlformats.org/officeDocument/2006/relationships/hyperlink" Target="http://de.wikisource.org/wiki/Seite:De_Studien_%C3%BCber_Hysterie_071.jpg" TargetMode="External"/><Relationship Id="rId1981" Type="http://schemas.openxmlformats.org/officeDocument/2006/relationships/hyperlink" Target="http://de.wikisource.org/wiki/Seite:De_Studien_%C3%BCber_Hysterie_201.jpg" TargetMode="External"/><Relationship Id="rId66" Type="http://schemas.openxmlformats.org/officeDocument/2006/relationships/hyperlink" Target="http://gutenberg.spiegel.de/?id=5&amp;xid=5479&amp;kapitel=14&amp;cHash=c9ba69ac182" TargetMode="External"/><Relationship Id="rId131" Type="http://schemas.openxmlformats.org/officeDocument/2006/relationships/hyperlink" Target="http://gutenberg.spiegel.de/?id=5&amp;xid=5479&amp;kapitel=21&amp;cHash=c9ba69ac182" TargetMode="External"/><Relationship Id="rId369" Type="http://schemas.openxmlformats.org/officeDocument/2006/relationships/hyperlink" Target="http://projekt.gutenberg.de/?id=5&amp;xid=5455&amp;kapitel=2&amp;cHash=893cd6bc1c2" TargetMode="External"/><Relationship Id="rId576" Type="http://schemas.openxmlformats.org/officeDocument/2006/relationships/hyperlink" Target="http://gutenberg.spiegel.de/?id=5&amp;xid=5471&amp;kapitel=6&amp;cHash=fef33401182" TargetMode="External"/><Relationship Id="rId783" Type="http://schemas.openxmlformats.org/officeDocument/2006/relationships/hyperlink" Target="http://gutenberg.spiegel.de/?id=5&amp;xid=5452&amp;kapitel=23&amp;cHash=0b6f4173732" TargetMode="External"/><Relationship Id="rId990" Type="http://schemas.openxmlformats.org/officeDocument/2006/relationships/hyperlink" Target="http://projekt.gutenberg.de/?id=5&amp;xid=5459&amp;kapitel=2&amp;cHash=2500fb16a9chap002" TargetMode="External"/><Relationship Id="rId1427" Type="http://schemas.openxmlformats.org/officeDocument/2006/relationships/hyperlink" Target="http://gutenberg.spiegel.de/?id=5&amp;xid=5454&amp;kapitel=17&amp;cHash=7be8bceb522" TargetMode="External"/><Relationship Id="rId1634" Type="http://schemas.openxmlformats.org/officeDocument/2006/relationships/hyperlink" Target="http://de.wikisource.org/wiki/Studien_%C3%BCber_Hysterie/Beobachtung_I._Frl._Anna_O%E2%80%A6" TargetMode="External"/><Relationship Id="rId1841" Type="http://schemas.openxmlformats.org/officeDocument/2006/relationships/hyperlink" Target="http://de.wikisource.org/wiki/Seite:De_Studien_%C3%BCber_Hysterie_101.jpg" TargetMode="External"/><Relationship Id="rId229" Type="http://schemas.openxmlformats.org/officeDocument/2006/relationships/hyperlink" Target="http://gutenberg.spiegel.de/?id=5&amp;xid=5479&amp;kapitel=31&amp;cHash=c9ba69ac182" TargetMode="External"/><Relationship Id="rId436" Type="http://schemas.openxmlformats.org/officeDocument/2006/relationships/hyperlink" Target="http://gutenberg.spiegel.de/?id=5&amp;xid=5458&amp;kapitel=5&amp;cHash=cd31317e0b2" TargetMode="External"/><Relationship Id="rId643" Type="http://schemas.openxmlformats.org/officeDocument/2006/relationships/hyperlink" Target="http://gutenberg.spiegel.de/?id=5&amp;xid=5471&amp;kapitel=6&amp;cHash=fef33401182" TargetMode="External"/><Relationship Id="rId1066" Type="http://schemas.openxmlformats.org/officeDocument/2006/relationships/hyperlink" Target="http://projekt.gutenberg.de/?id=5&amp;xid=5455&amp;kapitel=2&amp;cHash=893cd6bc1c2" TargetMode="External"/><Relationship Id="rId1273" Type="http://schemas.openxmlformats.org/officeDocument/2006/relationships/hyperlink" Target="http://projekt.gutenberg.de/?id=5&amp;xid=5463&amp;kapitel=4&amp;cHash=3873cdf9922" TargetMode="External"/><Relationship Id="rId1480" Type="http://schemas.openxmlformats.org/officeDocument/2006/relationships/hyperlink" Target="http://gutenberg.spiegel.de/?id=5&amp;xid=5457&amp;kapitel=7&amp;cHash=8f5b827b6d2" TargetMode="External"/><Relationship Id="rId1939" Type="http://schemas.openxmlformats.org/officeDocument/2006/relationships/hyperlink" Target="http://de.wikisource.org/wiki/Studien_%C3%BCber_Hysterie/Theoretisches" TargetMode="External"/><Relationship Id="rId850" Type="http://schemas.openxmlformats.org/officeDocument/2006/relationships/hyperlink" Target="http://gutenberg.spiegel.de/?id=5&amp;xid=5452&amp;kapitel=41&amp;cHash=0b6f4173732" TargetMode="External"/><Relationship Id="rId948" Type="http://schemas.openxmlformats.org/officeDocument/2006/relationships/hyperlink" Target="http://gutenberg.spiegel.de/?id=5&amp;xid=5453&amp;kapitel=34&amp;cHash=3aa83cf0982" TargetMode="External"/><Relationship Id="rId1133" Type="http://schemas.openxmlformats.org/officeDocument/2006/relationships/hyperlink" Target="http://projekt.gutenberg.de/?id=5&amp;xid=5475&amp;kapitel=5&amp;cHash=f458b8542a2" TargetMode="External"/><Relationship Id="rId1578" Type="http://schemas.openxmlformats.org/officeDocument/2006/relationships/hyperlink" Target="http://gutenberg.spiegel.de/?id=5&amp;xid=5456&amp;kapitel=1" TargetMode="External"/><Relationship Id="rId1701" Type="http://schemas.openxmlformats.org/officeDocument/2006/relationships/hyperlink" Target="http://de.wikisource.org/wiki/Studien_%C3%BCber_Hysterie/Beobachtung_I._Frl._Anna_O%E2%80%A6" TargetMode="External"/><Relationship Id="rId1785" Type="http://schemas.openxmlformats.org/officeDocument/2006/relationships/hyperlink" Target="http://de.wikisource.org/wiki/Seite:De_Studien_%C3%BCber_Hysterie_080.jpg" TargetMode="External"/><Relationship Id="rId1992" Type="http://schemas.openxmlformats.org/officeDocument/2006/relationships/hyperlink" Target="http://de.wikisource.org/wiki/Seite:De_Studien_%C3%BCber_Hysterie_211.jpg" TargetMode="External"/><Relationship Id="rId77" Type="http://schemas.openxmlformats.org/officeDocument/2006/relationships/hyperlink" Target="http://gutenberg.spiegel.de/?id=5&amp;xid=5479&amp;kapitel=16&amp;cHash=c9ba69ac182" TargetMode="External"/><Relationship Id="rId282" Type="http://schemas.openxmlformats.org/officeDocument/2006/relationships/hyperlink" Target="http://gutenberg.spiegel.de/?id=5&amp;xid=5470&amp;kapitel=8&amp;cHash=e3099ac4fe2" TargetMode="External"/><Relationship Id="rId503" Type="http://schemas.openxmlformats.org/officeDocument/2006/relationships/hyperlink" Target="http://gutenberg.spiegel.de/?id=5&amp;xid=5471&amp;kapitel=4&amp;cHash=fef33401182" TargetMode="External"/><Relationship Id="rId587" Type="http://schemas.openxmlformats.org/officeDocument/2006/relationships/hyperlink" Target="http://gutenberg.spiegel.de/?id=5&amp;xid=5471&amp;kapitel=6&amp;cHash=fef33401182" TargetMode="External"/><Relationship Id="rId710" Type="http://schemas.openxmlformats.org/officeDocument/2006/relationships/hyperlink" Target="http://gutenberg.spiegel.de/?id=5&amp;xid=5452&amp;kapitel=7&amp;cHash=0b6f4173732" TargetMode="External"/><Relationship Id="rId808" Type="http://schemas.openxmlformats.org/officeDocument/2006/relationships/hyperlink" Target="http://gutenberg.spiegel.de/?id=5&amp;xid=5452&amp;kapitel=33&amp;cHash=0b6f4173732" TargetMode="External"/><Relationship Id="rId1340" Type="http://schemas.openxmlformats.org/officeDocument/2006/relationships/hyperlink" Target="http://gutenberg.spiegel.de/?id=5&amp;xid=5468&amp;kapitel=8&amp;cHash=3b7308c8912" TargetMode="External"/><Relationship Id="rId1438" Type="http://schemas.openxmlformats.org/officeDocument/2006/relationships/hyperlink" Target="http://gutenberg.spiegel.de/?id=5&amp;xid=5454&amp;kapitel=23&amp;cHash=7be8bceb522" TargetMode="External"/><Relationship Id="rId1645" Type="http://schemas.openxmlformats.org/officeDocument/2006/relationships/hyperlink" Target="http://de.wikisource.org/wiki/Seite:De_Studien_%C3%BCber_Hysterie_024.jpg" TargetMode="External"/><Relationship Id="rId8" Type="http://schemas.openxmlformats.org/officeDocument/2006/relationships/image" Target="media/image1.jpeg"/><Relationship Id="rId142" Type="http://schemas.openxmlformats.org/officeDocument/2006/relationships/hyperlink" Target="http://gutenberg.spiegel.de/?id=5&amp;xid=5479&amp;kapitel=23&amp;cHash=c9ba69ac182" TargetMode="External"/><Relationship Id="rId447" Type="http://schemas.openxmlformats.org/officeDocument/2006/relationships/hyperlink" Target="http://gutenberg.spiegel.de/?id=5&amp;xid=5471&amp;kapitel=3&amp;cHash=fef33401182" TargetMode="External"/><Relationship Id="rId794" Type="http://schemas.openxmlformats.org/officeDocument/2006/relationships/hyperlink" Target="http://gutenberg.spiegel.de/?id=5&amp;xid=5452&amp;kapitel=30&amp;cHash=0b6f4173732" TargetMode="External"/><Relationship Id="rId1077" Type="http://schemas.openxmlformats.org/officeDocument/2006/relationships/hyperlink" Target="http://projekt.gutenberg.de/?id=5&amp;xid=5455&amp;kapitel=2&amp;cHash=893cd6bc1c2" TargetMode="External"/><Relationship Id="rId1200" Type="http://schemas.openxmlformats.org/officeDocument/2006/relationships/hyperlink" Target="http://projekt.gutenberg.de/?id=5&amp;xid=5469&amp;kapitel=2&amp;cHash=37599a73a72" TargetMode="External"/><Relationship Id="rId1852" Type="http://schemas.openxmlformats.org/officeDocument/2006/relationships/hyperlink" Target="http://de.wikisource.org/wiki/Seite:De_Studien_%C3%BCber_Hysterie_108.jpg" TargetMode="External"/><Relationship Id="rId2030" Type="http://schemas.openxmlformats.org/officeDocument/2006/relationships/hyperlink" Target="http://de.wikisource.org/wiki/Studien_%C3%BCber_Hysterie/Theoretisches" TargetMode="External"/><Relationship Id="rId654" Type="http://schemas.openxmlformats.org/officeDocument/2006/relationships/hyperlink" Target="http://gutenberg.spiegel.de/?id=5&amp;xid=5471&amp;kapitel=6&amp;cHash=fef33401182" TargetMode="External"/><Relationship Id="rId861" Type="http://schemas.openxmlformats.org/officeDocument/2006/relationships/hyperlink" Target="http://gutenberg.spiegel.de/?id=5&amp;xid=5453&amp;kapitel=3&amp;cHash=3aa83cf0982" TargetMode="External"/><Relationship Id="rId959" Type="http://schemas.openxmlformats.org/officeDocument/2006/relationships/hyperlink" Target="http://gutenberg.spiegel.de/?id=5&amp;xid=5453&amp;kapitel=36&amp;cHash=3aa83cf0982" TargetMode="External"/><Relationship Id="rId1284" Type="http://schemas.openxmlformats.org/officeDocument/2006/relationships/hyperlink" Target="http://projekt.gutenberg.de/?id=5&amp;xid=5463&amp;kapitel=7&amp;cHash=3873cdf9922" TargetMode="External"/><Relationship Id="rId1491" Type="http://schemas.openxmlformats.org/officeDocument/2006/relationships/hyperlink" Target="http://gutenberg.spiegel.de/?id=5&amp;xid=5466&amp;kapitel=1" TargetMode="External"/><Relationship Id="rId1505" Type="http://schemas.openxmlformats.org/officeDocument/2006/relationships/hyperlink" Target="http://gutenberg.spiegel.de/?id=5&amp;xid=5466&amp;kapitel=1" TargetMode="External"/><Relationship Id="rId1589" Type="http://schemas.openxmlformats.org/officeDocument/2006/relationships/hyperlink" Target="http://gutenberg.spiegel.de/?id=5&amp;xid=5456&amp;kapitel=4&amp;cHash=177f1789a72" TargetMode="External"/><Relationship Id="rId1712" Type="http://schemas.openxmlformats.org/officeDocument/2006/relationships/hyperlink" Target="http://de.wikisource.org/wiki/Studien_%C3%BCber_Hysterie/Beobachtung_I._Frl._Anna_O%E2%80%A6" TargetMode="External"/><Relationship Id="rId293" Type="http://schemas.openxmlformats.org/officeDocument/2006/relationships/hyperlink" Target="http://gutenberg.spiegel.de/?id=5&amp;xid=5474&amp;kapitel=2&amp;cHash=319187eedd2" TargetMode="External"/><Relationship Id="rId307" Type="http://schemas.openxmlformats.org/officeDocument/2006/relationships/hyperlink" Target="http://gutenberg.spiegel.de/?id=5&amp;xid=5474&amp;kapitel=2&amp;cHash=319187eedd2" TargetMode="External"/><Relationship Id="rId514" Type="http://schemas.openxmlformats.org/officeDocument/2006/relationships/hyperlink" Target="http://gutenberg.spiegel.de/?id=5&amp;xid=5471&amp;kapitel=5&amp;cHash=fef33401182" TargetMode="External"/><Relationship Id="rId721" Type="http://schemas.openxmlformats.org/officeDocument/2006/relationships/hyperlink" Target="http://gutenberg.spiegel.de/?id=5&amp;xid=5452&amp;kapitel=8&amp;cHash=0b6f4173732" TargetMode="External"/><Relationship Id="rId1144" Type="http://schemas.openxmlformats.org/officeDocument/2006/relationships/hyperlink" Target="http://projekt.gutenberg.de/?id=5&amp;xid=5475&amp;kapitel=6&amp;cHash=f458b8542a2" TargetMode="External"/><Relationship Id="rId1351" Type="http://schemas.openxmlformats.org/officeDocument/2006/relationships/hyperlink" Target="http://gutenberg.spiegel.de/?id=5&amp;xid=5468&amp;kapitel=11&amp;cHash=3b7308c8912" TargetMode="External"/><Relationship Id="rId1449" Type="http://schemas.openxmlformats.org/officeDocument/2006/relationships/hyperlink" Target="http://gutenberg.spiegel.de/?id=5&amp;xid=5454&amp;kapitel=24&amp;cHash=7be8bceb522" TargetMode="External"/><Relationship Id="rId1796" Type="http://schemas.openxmlformats.org/officeDocument/2006/relationships/hyperlink" Target="http://de.wikisource.org/wiki/Studien_%C3%BCber_Hysterie/Beobachtung_II._Frau_Emmy_v._N%E2%80%A6" TargetMode="External"/><Relationship Id="rId88" Type="http://schemas.openxmlformats.org/officeDocument/2006/relationships/hyperlink" Target="http://gutenberg.spiegel.de/?id=5&amp;xid=5479&amp;kapitel=16&amp;cHash=c9ba69ac182" TargetMode="External"/><Relationship Id="rId153" Type="http://schemas.openxmlformats.org/officeDocument/2006/relationships/hyperlink" Target="http://gutenberg.spiegel.de/?id=5&amp;xid=5479&amp;kapitel=24&amp;cHash=c9ba69ac182" TargetMode="External"/><Relationship Id="rId360" Type="http://schemas.openxmlformats.org/officeDocument/2006/relationships/hyperlink" Target="http://gutenberg.spiegel.de/?id=5&amp;xid=5474&amp;kapitel=7&amp;cHash=319187eedd2" TargetMode="External"/><Relationship Id="rId598" Type="http://schemas.openxmlformats.org/officeDocument/2006/relationships/hyperlink" Target="http://gutenberg.spiegel.de/?id=5&amp;xid=5471&amp;kapitel=6&amp;cHash=fef33401182" TargetMode="External"/><Relationship Id="rId819" Type="http://schemas.openxmlformats.org/officeDocument/2006/relationships/hyperlink" Target="http://gutenberg.spiegel.de/?id=5&amp;xid=5452&amp;kapitel=33&amp;cHash=0b6f4173732" TargetMode="External"/><Relationship Id="rId1004" Type="http://schemas.openxmlformats.org/officeDocument/2006/relationships/hyperlink" Target="http://projekt.gutenberg.de/?id=5&amp;xid=5459&amp;kapitel=3&amp;cHash=2500fb16a9chap003" TargetMode="External"/><Relationship Id="rId1211" Type="http://schemas.openxmlformats.org/officeDocument/2006/relationships/hyperlink" Target="http://projekt.gutenberg.de/?id=5&amp;xid=5469&amp;kapitel=3&amp;cHash=37599a73a72" TargetMode="External"/><Relationship Id="rId1656" Type="http://schemas.openxmlformats.org/officeDocument/2006/relationships/hyperlink" Target="http://de.wikisource.org/wiki/Seite:De_Studien_%C3%BCber_Hysterie_031.jpg" TargetMode="External"/><Relationship Id="rId1863" Type="http://schemas.openxmlformats.org/officeDocument/2006/relationships/hyperlink" Target="http://de.wikisource.org/wiki/Seite:De_Studien_%C3%BCber_Hysterie_117.jpg" TargetMode="External"/><Relationship Id="rId2041" Type="http://schemas.openxmlformats.org/officeDocument/2006/relationships/hyperlink" Target="http://de.wikisource.org/wiki/Seite:De_Studien_%C3%BCber_Hysterie_228.jpg" TargetMode="External"/><Relationship Id="rId220" Type="http://schemas.openxmlformats.org/officeDocument/2006/relationships/hyperlink" Target="http://gutenberg.spiegel.de/?id=5&amp;xid=5479&amp;kapitel=29&amp;cHash=c9ba69ac182" TargetMode="External"/><Relationship Id="rId458" Type="http://schemas.openxmlformats.org/officeDocument/2006/relationships/hyperlink" Target="http://gutenberg.spiegel.de/?id=5&amp;xid=5471&amp;kapitel=3&amp;cHash=fef33401182" TargetMode="External"/><Relationship Id="rId665" Type="http://schemas.openxmlformats.org/officeDocument/2006/relationships/hyperlink" Target="http://gutenberg.spiegel.de/?id=5&amp;xid=5471&amp;kapitel=6&amp;cHash=fef33401182" TargetMode="External"/><Relationship Id="rId872" Type="http://schemas.openxmlformats.org/officeDocument/2006/relationships/hyperlink" Target="http://gutenberg.spiegel.de/?id=5&amp;xid=5453&amp;kapitel=12&amp;cHash=3aa83cf0982" TargetMode="External"/><Relationship Id="rId1088" Type="http://schemas.openxmlformats.org/officeDocument/2006/relationships/hyperlink" Target="http://projekt.gutenberg.de/?id=5&amp;xid=5455&amp;kapitel=2&amp;cHash=893cd6bc1c2" TargetMode="External"/><Relationship Id="rId1295" Type="http://schemas.openxmlformats.org/officeDocument/2006/relationships/hyperlink" Target="http://projekt.gutenberg.de/?id=5&amp;xid=5463&amp;kapitel=7&amp;cHash=3873cdf9922" TargetMode="External"/><Relationship Id="rId1309" Type="http://schemas.openxmlformats.org/officeDocument/2006/relationships/hyperlink" Target="http://gutenberg.spiegel.de/?id=5&amp;xid=5468&amp;kapitel=1" TargetMode="External"/><Relationship Id="rId1516" Type="http://schemas.openxmlformats.org/officeDocument/2006/relationships/hyperlink" Target="http://gutenberg.spiegel.de/?id=5&amp;xid=5466&amp;kapitel=2&amp;cHash=160114ee7d2" TargetMode="External"/><Relationship Id="rId1723" Type="http://schemas.openxmlformats.org/officeDocument/2006/relationships/hyperlink" Target="http://de.wikisource.org/wiki/Seite:De_Studien_%C3%BCber_Hysterie_041.jpg" TargetMode="External"/><Relationship Id="rId1930" Type="http://schemas.openxmlformats.org/officeDocument/2006/relationships/hyperlink" Target="http://de.wikisource.org/wiki/Studien_%C3%BCber_Hysterie/Theoretisches" TargetMode="External"/><Relationship Id="rId15" Type="http://schemas.openxmlformats.org/officeDocument/2006/relationships/hyperlink" Target="http://gutenberg.spiegel.de/?id=5&amp;xid=5479&amp;kapitel=2&amp;cHash=c9ba69ac182" TargetMode="External"/><Relationship Id="rId318" Type="http://schemas.openxmlformats.org/officeDocument/2006/relationships/hyperlink" Target="http://gutenberg.spiegel.de/?id=5&amp;xid=5474&amp;kapitel=3&amp;cHash=319187eedd2" TargetMode="External"/><Relationship Id="rId525" Type="http://schemas.openxmlformats.org/officeDocument/2006/relationships/hyperlink" Target="http://gutenberg.spiegel.de/?id=5&amp;xid=5471&amp;kapitel=5&amp;cHash=fef33401182" TargetMode="External"/><Relationship Id="rId732" Type="http://schemas.openxmlformats.org/officeDocument/2006/relationships/hyperlink" Target="http://gutenberg.spiegel.de/?id=5&amp;xid=5452&amp;kapitel=9&amp;cHash=0b6f4173732" TargetMode="External"/><Relationship Id="rId1155" Type="http://schemas.openxmlformats.org/officeDocument/2006/relationships/image" Target="media/image27.gif"/><Relationship Id="rId1362" Type="http://schemas.openxmlformats.org/officeDocument/2006/relationships/hyperlink" Target="http://gutenberg.spiegel.de/?id=5&amp;xid=5468&amp;kapitel=22&amp;cHash=3b7308c8912" TargetMode="External"/><Relationship Id="rId99" Type="http://schemas.openxmlformats.org/officeDocument/2006/relationships/hyperlink" Target="http://gutenberg.spiegel.de/?id=5&amp;xid=5479&amp;kapitel=17&amp;cHash=c9ba69ac182" TargetMode="External"/><Relationship Id="rId164" Type="http://schemas.openxmlformats.org/officeDocument/2006/relationships/hyperlink" Target="http://gutenberg.spiegel.de/?id=5&amp;xid=5479&amp;kapitel=24&amp;cHash=c9ba69ac182" TargetMode="External"/><Relationship Id="rId371" Type="http://schemas.openxmlformats.org/officeDocument/2006/relationships/hyperlink" Target="http://projekt.gutenberg.de/?id=5&amp;xid=5455&amp;kapitel=2&amp;cHash=893cd6bc1c2" TargetMode="External"/><Relationship Id="rId1015" Type="http://schemas.openxmlformats.org/officeDocument/2006/relationships/hyperlink" Target="http://projekt.gutenberg.de/?id=5&amp;xid=5459&amp;kapitel=3&amp;cHash=2500fb16a9chap003" TargetMode="External"/><Relationship Id="rId1222" Type="http://schemas.openxmlformats.org/officeDocument/2006/relationships/hyperlink" Target="http://projekt.gutenberg.de/?id=5&amp;xid=5469&amp;kapitel=3&amp;cHash=37599a73a72" TargetMode="External"/><Relationship Id="rId1667" Type="http://schemas.openxmlformats.org/officeDocument/2006/relationships/hyperlink" Target="http://de.wikisource.org/wiki/Studien_%C3%BCber_Hysterie/Beobachtung_I._Frl._Anna_O%E2%80%A6" TargetMode="External"/><Relationship Id="rId1874" Type="http://schemas.openxmlformats.org/officeDocument/2006/relationships/hyperlink" Target="http://de.wikisource.org/wiki/Seite:De_Studien_%C3%BCber_Hysterie_126.jpg" TargetMode="External"/><Relationship Id="rId2052" Type="http://schemas.openxmlformats.org/officeDocument/2006/relationships/hyperlink" Target="http://de.wikisource.org/wiki/Seite:De_Studien_%C3%BCber_Hysterie_239.jpg" TargetMode="External"/><Relationship Id="rId469" Type="http://schemas.openxmlformats.org/officeDocument/2006/relationships/hyperlink" Target="http://gutenberg.spiegel.de/?id=5&amp;xid=5471&amp;kapitel=4&amp;cHash=fef33401182" TargetMode="External"/><Relationship Id="rId676" Type="http://schemas.openxmlformats.org/officeDocument/2006/relationships/hyperlink" Target="http://gutenberg.spiegel.de/?id=5&amp;xid=5471&amp;kapitel=6&amp;cHash=fef33401182" TargetMode="External"/><Relationship Id="rId883" Type="http://schemas.openxmlformats.org/officeDocument/2006/relationships/hyperlink" Target="http://gutenberg.spiegel.de/?id=5&amp;xid=5453&amp;kapitel=15&amp;cHash=3aa83cf0982" TargetMode="External"/><Relationship Id="rId1099" Type="http://schemas.openxmlformats.org/officeDocument/2006/relationships/hyperlink" Target="http://projekt.gutenberg.de/?id=5&amp;xid=5455&amp;kapitel=2&amp;cHash=893cd6bc1c2" TargetMode="External"/><Relationship Id="rId1527" Type="http://schemas.openxmlformats.org/officeDocument/2006/relationships/hyperlink" Target="http://gutenberg.spiegel.de/?id=5&amp;xid=5466&amp;kapitel=3&amp;cHash=160114ee7d2" TargetMode="External"/><Relationship Id="rId1734" Type="http://schemas.openxmlformats.org/officeDocument/2006/relationships/hyperlink" Target="http://de.wikisource.org/wiki/Seite:De_Studien_%C3%BCber_Hysterie_046.jpg" TargetMode="External"/><Relationship Id="rId1941" Type="http://schemas.openxmlformats.org/officeDocument/2006/relationships/hyperlink" Target="http://de.wikisource.org/wiki/Seite:De_Studien_%C3%BCber_Hysterie_172.jpg" TargetMode="External"/><Relationship Id="rId26" Type="http://schemas.openxmlformats.org/officeDocument/2006/relationships/hyperlink" Target="http://gutenberg.spiegel.de/?id=5&amp;xid=5479&amp;kapitel=8&amp;cHash=c9ba69ac182" TargetMode="External"/><Relationship Id="rId231" Type="http://schemas.openxmlformats.org/officeDocument/2006/relationships/hyperlink" Target="http://gutenberg.spiegel.de/?id=5&amp;xid=5479&amp;kapitel=31&amp;cHash=c9ba69ac182" TargetMode="External"/><Relationship Id="rId329" Type="http://schemas.openxmlformats.org/officeDocument/2006/relationships/hyperlink" Target="http://gutenberg.spiegel.de/?id=5&amp;xid=5474&amp;kapitel=4&amp;cHash=319187eedd2" TargetMode="External"/><Relationship Id="rId536" Type="http://schemas.openxmlformats.org/officeDocument/2006/relationships/hyperlink" Target="http://gutenberg.spiegel.de/?id=5&amp;xid=5471&amp;kapitel=5&amp;cHash=fef33401182" TargetMode="External"/><Relationship Id="rId1166" Type="http://schemas.openxmlformats.org/officeDocument/2006/relationships/hyperlink" Target="http://projekt.gutenberg.de/?id=5&amp;xid=5475&amp;kapitel=8&amp;cHash=f458b8542a2" TargetMode="External"/><Relationship Id="rId1373" Type="http://schemas.openxmlformats.org/officeDocument/2006/relationships/hyperlink" Target="http://gutenberg.spiegel.de/?id=5&amp;xid=5454&amp;kapitel=3&amp;cHash=7be8bceb522" TargetMode="External"/><Relationship Id="rId175" Type="http://schemas.openxmlformats.org/officeDocument/2006/relationships/hyperlink" Target="http://gutenberg.spiegel.de/?id=5&amp;xid=5479&amp;kapitel=25&amp;cHash=c9ba69ac182" TargetMode="External"/><Relationship Id="rId743" Type="http://schemas.openxmlformats.org/officeDocument/2006/relationships/hyperlink" Target="http://gutenberg.spiegel.de/?id=5&amp;xid=5452&amp;kapitel=11&amp;cHash=0b6f4173732" TargetMode="External"/><Relationship Id="rId950" Type="http://schemas.openxmlformats.org/officeDocument/2006/relationships/hyperlink" Target="http://gutenberg.spiegel.de/?id=5&amp;xid=5453&amp;kapitel=34&amp;cHash=3aa83cf0982" TargetMode="External"/><Relationship Id="rId1026" Type="http://schemas.openxmlformats.org/officeDocument/2006/relationships/hyperlink" Target="http://projekt.gutenberg.de/?id=5&amp;xid=5459&amp;kapitel=4&amp;cHash=2500fb16a9chap004" TargetMode="External"/><Relationship Id="rId1580" Type="http://schemas.openxmlformats.org/officeDocument/2006/relationships/hyperlink" Target="http://gutenberg.spiegel.de/?id=5&amp;xid=5456&amp;kapitel=1" TargetMode="External"/><Relationship Id="rId1678" Type="http://schemas.openxmlformats.org/officeDocument/2006/relationships/hyperlink" Target="http://de.wikisource.org/wiki/Studien_%C3%BCber_Hysterie/Beobachtung_I._Frl._Anna_O%E2%80%A6" TargetMode="External"/><Relationship Id="rId1801" Type="http://schemas.openxmlformats.org/officeDocument/2006/relationships/hyperlink" Target="http://de.wikisource.org/wiki/Studien_%C3%BCber_Hysterie/Beobachtung_II._Frau_Emmy_v._N%E2%80%A6" TargetMode="External"/><Relationship Id="rId1885" Type="http://schemas.openxmlformats.org/officeDocument/2006/relationships/hyperlink" Target="http://de.wikisource.org/wiki/Seite:De_Studien_%C3%BCber_Hysterie_135.jpg" TargetMode="External"/><Relationship Id="rId382" Type="http://schemas.openxmlformats.org/officeDocument/2006/relationships/image" Target="media/image14.png"/><Relationship Id="rId603" Type="http://schemas.openxmlformats.org/officeDocument/2006/relationships/hyperlink" Target="http://gutenberg.spiegel.de/?id=5&amp;xid=5471&amp;kapitel=6&amp;cHash=fef33401182" TargetMode="External"/><Relationship Id="rId687" Type="http://schemas.openxmlformats.org/officeDocument/2006/relationships/hyperlink" Target="http://gutenberg.spiegel.de/?id=5&amp;xid=5471&amp;kapitel=6&amp;cHash=fef33401182" TargetMode="External"/><Relationship Id="rId810" Type="http://schemas.openxmlformats.org/officeDocument/2006/relationships/hyperlink" Target="http://gutenberg.spiegel.de/?id=5&amp;xid=5452&amp;kapitel=33&amp;cHash=0b6f4173732" TargetMode="External"/><Relationship Id="rId908" Type="http://schemas.openxmlformats.org/officeDocument/2006/relationships/hyperlink" Target="http://gutenberg.spiegel.de/?id=5&amp;xid=5453&amp;kapitel=21&amp;cHash=3aa83cf0982" TargetMode="External"/><Relationship Id="rId1233" Type="http://schemas.openxmlformats.org/officeDocument/2006/relationships/hyperlink" Target="http://projekt.gutenberg.de/?id=5&amp;xid=5469&amp;kapitel=3&amp;cHash=37599a73a72" TargetMode="External"/><Relationship Id="rId1440" Type="http://schemas.openxmlformats.org/officeDocument/2006/relationships/hyperlink" Target="http://gutenberg.spiegel.de/?id=5&amp;xid=5454&amp;kapitel=23&amp;cHash=7be8bceb522" TargetMode="External"/><Relationship Id="rId1538" Type="http://schemas.openxmlformats.org/officeDocument/2006/relationships/hyperlink" Target="http://gutenberg.spiegel.de/?id=5&amp;xid=5466&amp;kapitel=3&amp;cHash=160114ee7d2" TargetMode="External"/><Relationship Id="rId2063" Type="http://schemas.openxmlformats.org/officeDocument/2006/relationships/hyperlink" Target="http://de.wikisource.org/wiki/Seite:De_Studien_%C3%BCber_Hysterie_250.jpg" TargetMode="External"/><Relationship Id="rId242" Type="http://schemas.openxmlformats.org/officeDocument/2006/relationships/hyperlink" Target="http://gutenberg.spiegel.de/?id=5&amp;xid=5479&amp;kapitel=32&amp;cHash=c9ba69ac182" TargetMode="External"/><Relationship Id="rId894" Type="http://schemas.openxmlformats.org/officeDocument/2006/relationships/hyperlink" Target="http://gutenberg.spiegel.de/?id=5&amp;xid=5453&amp;kapitel=17&amp;cHash=3aa83cf0982" TargetMode="External"/><Relationship Id="rId1177" Type="http://schemas.openxmlformats.org/officeDocument/2006/relationships/hyperlink" Target="http://projekt.gutenberg.de/?id=5&amp;xid=5475&amp;kapitel=11&amp;cHash=f458b8542a2" TargetMode="External"/><Relationship Id="rId1300" Type="http://schemas.openxmlformats.org/officeDocument/2006/relationships/hyperlink" Target="http://projekt.gutenberg.de/?id=5&amp;xid=5463&amp;kapitel=9&amp;cHash=3873cdf9922" TargetMode="External"/><Relationship Id="rId1745" Type="http://schemas.openxmlformats.org/officeDocument/2006/relationships/hyperlink" Target="http://de.wikisource.org/wiki/Seite:De_Studien_%C3%BCber_Hysterie_051.jpg" TargetMode="External"/><Relationship Id="rId1952" Type="http://schemas.openxmlformats.org/officeDocument/2006/relationships/hyperlink" Target="http://de.wikisource.org/wiki/Seite:De_Studien_%C3%BCber_Hysterie_181.jpg" TargetMode="External"/><Relationship Id="rId37" Type="http://schemas.openxmlformats.org/officeDocument/2006/relationships/hyperlink" Target="http://gutenberg.spiegel.de/?id=5&amp;xid=5479&amp;kapitel=10&amp;cHash=c9ba69ac182" TargetMode="External"/><Relationship Id="rId102" Type="http://schemas.openxmlformats.org/officeDocument/2006/relationships/hyperlink" Target="http://gutenberg.spiegel.de/?id=5&amp;xid=5479&amp;kapitel=17&amp;cHash=c9ba69ac182" TargetMode="External"/><Relationship Id="rId547" Type="http://schemas.openxmlformats.org/officeDocument/2006/relationships/hyperlink" Target="http://gutenberg.spiegel.de/?id=5&amp;xid=5471&amp;kapitel=6&amp;cHash=fef33401182" TargetMode="External"/><Relationship Id="rId754" Type="http://schemas.openxmlformats.org/officeDocument/2006/relationships/hyperlink" Target="http://gutenberg.spiegel.de/?id=5&amp;xid=5452&amp;kapitel=13&amp;cHash=0b6f4173732" TargetMode="External"/><Relationship Id="rId961" Type="http://schemas.openxmlformats.org/officeDocument/2006/relationships/hyperlink" Target="http://gutenberg.spiegel.de/?id=5&amp;xid=5453&amp;kapitel=38&amp;cHash=3aa83cf0982" TargetMode="External"/><Relationship Id="rId1384" Type="http://schemas.openxmlformats.org/officeDocument/2006/relationships/hyperlink" Target="http://gutenberg.spiegel.de/?id=5&amp;xid=5454&amp;kapitel=4&amp;cHash=7be8bceb522" TargetMode="External"/><Relationship Id="rId1591" Type="http://schemas.openxmlformats.org/officeDocument/2006/relationships/hyperlink" Target="http://gutenberg.spiegel.de/?id=5&amp;xid=5456&amp;kapitel=4&amp;cHash=177f1789a72" TargetMode="External"/><Relationship Id="rId1605" Type="http://schemas.openxmlformats.org/officeDocument/2006/relationships/hyperlink" Target="http://de.wikisource.org/wiki/Seite:De_Studien_%C3%BCber_Hysterie_005.jpg" TargetMode="External"/><Relationship Id="rId1689" Type="http://schemas.openxmlformats.org/officeDocument/2006/relationships/hyperlink" Target="http://de.wikipedia.org/wiki/An%C3%A4sthesie_%28Sensibilit%C3%A4tsst%C3%B6rung%29" TargetMode="External"/><Relationship Id="rId1812" Type="http://schemas.openxmlformats.org/officeDocument/2006/relationships/hyperlink" Target="http://de.wikisource.org/wiki/Studien_%C3%BCber_Hysterie/Beobachtung_II._Frau_Emmy_v._N%E2%80%A6" TargetMode="External"/><Relationship Id="rId90" Type="http://schemas.openxmlformats.org/officeDocument/2006/relationships/hyperlink" Target="http://gutenberg.spiegel.de/?id=5&amp;xid=5479&amp;kapitel=17&amp;cHash=c9ba69ac182" TargetMode="External"/><Relationship Id="rId186" Type="http://schemas.openxmlformats.org/officeDocument/2006/relationships/hyperlink" Target="http://gutenberg.spiegel.de/?id=5&amp;xid=5479&amp;kapitel=25&amp;cHash=c9ba69ac182" TargetMode="External"/><Relationship Id="rId393" Type="http://schemas.openxmlformats.org/officeDocument/2006/relationships/hyperlink" Target="http://projekt.gutenberg.de/?id=5&amp;xid=5455&amp;kapitel=2&amp;cHash=893cd6bc1c2" TargetMode="External"/><Relationship Id="rId407" Type="http://schemas.openxmlformats.org/officeDocument/2006/relationships/hyperlink" Target="http://projekt.gutenberg.de/?id=5&amp;xid=5455&amp;kapitel=2&amp;cHash=893cd6bc1c2" TargetMode="External"/><Relationship Id="rId614" Type="http://schemas.openxmlformats.org/officeDocument/2006/relationships/hyperlink" Target="http://gutenberg.spiegel.de/?id=5&amp;xid=5471&amp;kapitel=6&amp;cHash=fef33401182" TargetMode="External"/><Relationship Id="rId821" Type="http://schemas.openxmlformats.org/officeDocument/2006/relationships/hyperlink" Target="http://gutenberg.spiegel.de/?id=5&amp;xid=5452&amp;kapitel=33&amp;cHash=0b6f4173732" TargetMode="External"/><Relationship Id="rId1037" Type="http://schemas.openxmlformats.org/officeDocument/2006/relationships/hyperlink" Target="http://projekt.gutenberg.de/?id=5&amp;xid=5459&amp;kapitel=4&amp;cHash=2500fb16a9chap004" TargetMode="External"/><Relationship Id="rId1244" Type="http://schemas.openxmlformats.org/officeDocument/2006/relationships/hyperlink" Target="http://projekt.gutenberg.de/?id=5&amp;xid=5469&amp;kapitel=3&amp;cHash=37599a73a72" TargetMode="External"/><Relationship Id="rId1451" Type="http://schemas.openxmlformats.org/officeDocument/2006/relationships/hyperlink" Target="http://gutenberg.spiegel.de/?id=5&amp;xid=5454&amp;kapitel=24&amp;cHash=7be8bceb522" TargetMode="External"/><Relationship Id="rId1896" Type="http://schemas.openxmlformats.org/officeDocument/2006/relationships/hyperlink" Target="http://de.wikisource.org/wiki/Seite:De_Studien_%C3%BCber_Hysterie_145.jpg" TargetMode="External"/><Relationship Id="rId2074" Type="http://schemas.openxmlformats.org/officeDocument/2006/relationships/hyperlink" Target="http://de.wikisource.org/wiki/Seite:De_Studien_%C3%BCber_Hysterie_261.jpg" TargetMode="External"/><Relationship Id="rId253" Type="http://schemas.openxmlformats.org/officeDocument/2006/relationships/hyperlink" Target="http://gutenberg.spiegel.de/?id=5&amp;xid=5479&amp;kapitel=34&amp;cHash=c9ba69ac182" TargetMode="External"/><Relationship Id="rId460" Type="http://schemas.openxmlformats.org/officeDocument/2006/relationships/hyperlink" Target="http://gutenberg.spiegel.de/?id=5&amp;xid=5471&amp;kapitel=3&amp;cHash=fef33401182" TargetMode="External"/><Relationship Id="rId698" Type="http://schemas.openxmlformats.org/officeDocument/2006/relationships/hyperlink" Target="http://gutenberg.spiegel.de/?id=5&amp;xid=5452&amp;kapitel=6&amp;cHash=0b6f4173732" TargetMode="External"/><Relationship Id="rId919" Type="http://schemas.openxmlformats.org/officeDocument/2006/relationships/hyperlink" Target="http://gutenberg.spiegel.de/?id=5&amp;xid=5453&amp;kapitel=26&amp;cHash=3aa83cf0982" TargetMode="External"/><Relationship Id="rId1090" Type="http://schemas.openxmlformats.org/officeDocument/2006/relationships/hyperlink" Target="http://projekt.gutenberg.de/?id=5&amp;xid=5455&amp;kapitel=2&amp;cHash=893cd6bc1c2" TargetMode="External"/><Relationship Id="rId1104" Type="http://schemas.openxmlformats.org/officeDocument/2006/relationships/hyperlink" Target="http://projekt.gutenberg.de/?id=5&amp;xid=5455&amp;kapitel=3&amp;cHash=893cd6bc1c2" TargetMode="External"/><Relationship Id="rId1311" Type="http://schemas.openxmlformats.org/officeDocument/2006/relationships/hyperlink" Target="http://gutenberg.spiegel.de/?id=5&amp;xid=5468&amp;kapitel=3&amp;cHash=3b7308c8912" TargetMode="External"/><Relationship Id="rId1549" Type="http://schemas.openxmlformats.org/officeDocument/2006/relationships/hyperlink" Target="http://gutenberg.spiegel.de/?id=5&amp;xid=5466&amp;kapitel=4&amp;cHash=160114ee7d2" TargetMode="External"/><Relationship Id="rId1756" Type="http://schemas.openxmlformats.org/officeDocument/2006/relationships/hyperlink" Target="http://de.wikisource.org/wiki/Seite:De_Studien_%C3%BCber_Hysterie_058.jpg" TargetMode="External"/><Relationship Id="rId1963" Type="http://schemas.openxmlformats.org/officeDocument/2006/relationships/hyperlink" Target="http://de.wikisource.org/wiki/Studien_%C3%BCber_Hysterie/Theoretisches" TargetMode="External"/><Relationship Id="rId48" Type="http://schemas.openxmlformats.org/officeDocument/2006/relationships/hyperlink" Target="http://gutenberg.spiegel.de/?id=5&amp;xid=5479&amp;kapitel=12&amp;cHash=c9ba69ac182" TargetMode="External"/><Relationship Id="rId113" Type="http://schemas.openxmlformats.org/officeDocument/2006/relationships/hyperlink" Target="http://gutenberg.spiegel.de/?id=5&amp;xid=5479&amp;kapitel=19&amp;cHash=c9ba69ac182" TargetMode="External"/><Relationship Id="rId320" Type="http://schemas.openxmlformats.org/officeDocument/2006/relationships/hyperlink" Target="http://gutenberg.spiegel.de/?id=5&amp;xid=5474&amp;kapitel=3&amp;cHash=319187eedd2" TargetMode="External"/><Relationship Id="rId558" Type="http://schemas.openxmlformats.org/officeDocument/2006/relationships/hyperlink" Target="http://gutenberg.spiegel.de/?id=5&amp;xid=5471&amp;kapitel=6&amp;cHash=fef33401182" TargetMode="External"/><Relationship Id="rId765" Type="http://schemas.openxmlformats.org/officeDocument/2006/relationships/image" Target="media/image19.png"/><Relationship Id="rId972" Type="http://schemas.openxmlformats.org/officeDocument/2006/relationships/hyperlink" Target="http://projekt.gutenberg.de/?id=5&amp;xid=5459&amp;kapitel=2&amp;cHash=2500fb16a9chap002" TargetMode="External"/><Relationship Id="rId1188" Type="http://schemas.openxmlformats.org/officeDocument/2006/relationships/hyperlink" Target="http://projekt.gutenberg.de/?id=5&amp;xid=5469&amp;kapitel=2&amp;cHash=37599a73a72" TargetMode="External"/><Relationship Id="rId1395" Type="http://schemas.openxmlformats.org/officeDocument/2006/relationships/hyperlink" Target="http://gutenberg.spiegel.de/?id=5&amp;xid=5454&amp;kapitel=6&amp;cHash=7be8bceb522" TargetMode="External"/><Relationship Id="rId1409" Type="http://schemas.openxmlformats.org/officeDocument/2006/relationships/hyperlink" Target="http://gutenberg.spiegel.de/?id=5&amp;xid=5454&amp;kapitel=12&amp;cHash=7be8bceb522" TargetMode="External"/><Relationship Id="rId1616" Type="http://schemas.openxmlformats.org/officeDocument/2006/relationships/hyperlink" Target="http://de.wikisource.org/wiki/Studien_%C3%BCber_Hysterie/Ueber_den_psychischen_Mechanismus_hysterischer_Ph%C3%A4nomene" TargetMode="External"/><Relationship Id="rId1823" Type="http://schemas.openxmlformats.org/officeDocument/2006/relationships/hyperlink" Target="http://de.wikisource.org/wiki/Studien_%C3%BCber_Hysterie/Beobachtung_II._Frau_Emmy_v._N%E2%80%A6" TargetMode="External"/><Relationship Id="rId2001" Type="http://schemas.openxmlformats.org/officeDocument/2006/relationships/hyperlink" Target="http://de.wikisource.org/wiki/Seite:De_Studien_%C3%BCber_Hysterie_217.jpg" TargetMode="External"/><Relationship Id="rId197" Type="http://schemas.openxmlformats.org/officeDocument/2006/relationships/hyperlink" Target="http://gutenberg.spiegel.de/?id=5&amp;xid=5479&amp;kapitel=26&amp;cHash=c9ba69ac182" TargetMode="External"/><Relationship Id="rId418" Type="http://schemas.openxmlformats.org/officeDocument/2006/relationships/hyperlink" Target="http://projekt.gutenberg.de/?id=5&amp;xid=5455&amp;kapitel=3&amp;cHash=893cd6bc1c2" TargetMode="External"/><Relationship Id="rId625" Type="http://schemas.openxmlformats.org/officeDocument/2006/relationships/hyperlink" Target="http://gutenberg.spiegel.de/?id=5&amp;xid=5471&amp;kapitel=6&amp;cHash=fef33401182" TargetMode="External"/><Relationship Id="rId832" Type="http://schemas.openxmlformats.org/officeDocument/2006/relationships/hyperlink" Target="http://gutenberg.spiegel.de/?id=5&amp;xid=5452&amp;kapitel=36&amp;cHash=0b6f4173732" TargetMode="External"/><Relationship Id="rId1048" Type="http://schemas.openxmlformats.org/officeDocument/2006/relationships/hyperlink" Target="http://projekt.gutenberg.de/?id=5&amp;xid=5459&amp;kapitel=5&amp;cHash=2500fb16a92" TargetMode="External"/><Relationship Id="rId1255" Type="http://schemas.openxmlformats.org/officeDocument/2006/relationships/hyperlink" Target="http://projekt.gutenberg.de/?id=5&amp;xid=5469&amp;kapitel=5&amp;cHash=37599a73a72" TargetMode="External"/><Relationship Id="rId1462" Type="http://schemas.openxmlformats.org/officeDocument/2006/relationships/hyperlink" Target="http://gutenberg.spiegel.de/?id=5&amp;xid=4665&amp;kapitel=12&amp;cHash=cc1c208a602" TargetMode="External"/><Relationship Id="rId2085" Type="http://schemas.openxmlformats.org/officeDocument/2006/relationships/fontTable" Target="fontTable.xml"/><Relationship Id="rId264" Type="http://schemas.openxmlformats.org/officeDocument/2006/relationships/hyperlink" Target="http://gutenberg.spiegel.de/?id=5&amp;xid=5470&amp;kapitel=3&amp;cHash=e3099ac4fe2" TargetMode="External"/><Relationship Id="rId471" Type="http://schemas.openxmlformats.org/officeDocument/2006/relationships/hyperlink" Target="http://gutenberg.spiegel.de/?id=5&amp;xid=5471&amp;kapitel=4&amp;cHash=fef33401182" TargetMode="External"/><Relationship Id="rId1115" Type="http://schemas.openxmlformats.org/officeDocument/2006/relationships/hyperlink" Target="http://projekt.gutenberg.de/?id=5&amp;xid=5455&amp;kapitel=3&amp;cHash=893cd6bc1c2" TargetMode="External"/><Relationship Id="rId1322" Type="http://schemas.openxmlformats.org/officeDocument/2006/relationships/hyperlink" Target="http://gutenberg.spiegel.de/?id=5&amp;xid=5468&amp;kapitel=5&amp;cHash=3b7308c8912" TargetMode="External"/><Relationship Id="rId1767" Type="http://schemas.openxmlformats.org/officeDocument/2006/relationships/hyperlink" Target="http://de.wikisource.org/wiki/Seite:De_Studien_%C3%BCber_Hysterie_064.jpg" TargetMode="External"/><Relationship Id="rId1974" Type="http://schemas.openxmlformats.org/officeDocument/2006/relationships/hyperlink" Target="http://de.wikisource.org/wiki/Seite:De_Studien_%C3%BCber_Hysterie_195.jpg" TargetMode="External"/><Relationship Id="rId59" Type="http://schemas.openxmlformats.org/officeDocument/2006/relationships/hyperlink" Target="http://gutenberg.spiegel.de/?id=5&amp;xid=5479&amp;kapitel=13&amp;cHash=c9ba69ac182" TargetMode="External"/><Relationship Id="rId124" Type="http://schemas.openxmlformats.org/officeDocument/2006/relationships/hyperlink" Target="http://gutenberg.spiegel.de/?id=5&amp;xid=5479&amp;kapitel=19&amp;cHash=c9ba69ac182" TargetMode="External"/><Relationship Id="rId569" Type="http://schemas.openxmlformats.org/officeDocument/2006/relationships/hyperlink" Target="http://gutenberg.spiegel.de/?id=5&amp;xid=5471&amp;kapitel=6&amp;cHash=fef33401182" TargetMode="External"/><Relationship Id="rId776" Type="http://schemas.openxmlformats.org/officeDocument/2006/relationships/hyperlink" Target="http://gutenberg.spiegel.de/?id=5&amp;xid=5452&amp;kapitel=18&amp;cHash=0b6f4173732" TargetMode="External"/><Relationship Id="rId983" Type="http://schemas.openxmlformats.org/officeDocument/2006/relationships/hyperlink" Target="http://projekt.gutenberg.de/?id=5&amp;xid=5459&amp;kapitel=2&amp;cHash=2500fb16a9chap002" TargetMode="External"/><Relationship Id="rId1199" Type="http://schemas.openxmlformats.org/officeDocument/2006/relationships/hyperlink" Target="http://projekt.gutenberg.de/?id=5&amp;xid=5469&amp;kapitel=2&amp;cHash=37599a73a72" TargetMode="External"/><Relationship Id="rId1627" Type="http://schemas.openxmlformats.org/officeDocument/2006/relationships/hyperlink" Target="http://de.wikisource.org/wiki/Studien_%C3%BCber_Hysterie/Beobachtung_I._Frl._Anna_O%E2%80%A6" TargetMode="External"/><Relationship Id="rId1834" Type="http://schemas.openxmlformats.org/officeDocument/2006/relationships/hyperlink" Target="http://de.wikisource.org/wiki/Studien_%C3%BCber_Hysterie/Beobachtung_III._Frl._Lucie_R%E2%80%A6" TargetMode="External"/><Relationship Id="rId331" Type="http://schemas.openxmlformats.org/officeDocument/2006/relationships/hyperlink" Target="http://gutenberg.spiegel.de/?id=5&amp;xid=5474&amp;kapitel=4&amp;cHash=319187eedd2" TargetMode="External"/><Relationship Id="rId429" Type="http://schemas.openxmlformats.org/officeDocument/2006/relationships/hyperlink" Target="http://projekt.gutenberg.de/?id=5&amp;xid=5455&amp;kapitel=3&amp;cHash=893cd6bc1c2" TargetMode="External"/><Relationship Id="rId636" Type="http://schemas.openxmlformats.org/officeDocument/2006/relationships/hyperlink" Target="http://gutenberg.spiegel.de/?id=5&amp;xid=5471&amp;kapitel=6&amp;cHash=fef33401182" TargetMode="External"/><Relationship Id="rId1059" Type="http://schemas.openxmlformats.org/officeDocument/2006/relationships/hyperlink" Target="http://projekt.gutenberg.de/?id=5&amp;xid=5455&amp;kapitel=2&amp;cHash=893cd6bc1c2" TargetMode="External"/><Relationship Id="rId1266" Type="http://schemas.openxmlformats.org/officeDocument/2006/relationships/hyperlink" Target="http://projekt.gutenberg.de/?id=5&amp;xid=5463&amp;kapitel=4&amp;cHash=3873cdf9922" TargetMode="External"/><Relationship Id="rId1473" Type="http://schemas.openxmlformats.org/officeDocument/2006/relationships/hyperlink" Target="http://gutenberg.spiegel.de/?id=5&amp;xid=5457&amp;kapitel=1" TargetMode="External"/><Relationship Id="rId2012" Type="http://schemas.openxmlformats.org/officeDocument/2006/relationships/hyperlink" Target="http://de.wikisource.org/wiki/Studien_%C3%BCber_Hysterie/Theoretisches" TargetMode="External"/><Relationship Id="rId843" Type="http://schemas.openxmlformats.org/officeDocument/2006/relationships/hyperlink" Target="http://gutenberg.spiegel.de/?id=5&amp;xid=5452&amp;kapitel=39&amp;cHash=0b6f4173732" TargetMode="External"/><Relationship Id="rId1126" Type="http://schemas.openxmlformats.org/officeDocument/2006/relationships/hyperlink" Target="http://projekt.gutenberg.de/?id=5&amp;xid=5475&amp;kapitel=3&amp;cHash=f458b8542a2" TargetMode="External"/><Relationship Id="rId1680" Type="http://schemas.openxmlformats.org/officeDocument/2006/relationships/hyperlink" Target="http://de.wikipedia.org/wiki/Nervus_abducens" TargetMode="External"/><Relationship Id="rId1778" Type="http://schemas.openxmlformats.org/officeDocument/2006/relationships/hyperlink" Target="http://de.wikisource.org/wiki/Seite:De_Studien_%C3%BCber_Hysterie_075.jpg" TargetMode="External"/><Relationship Id="rId1901" Type="http://schemas.openxmlformats.org/officeDocument/2006/relationships/hyperlink" Target="http://de.wikisource.org/wiki/Seite:De_Studien_%C3%BCber_Hysterie_149.jpg" TargetMode="External"/><Relationship Id="rId1985" Type="http://schemas.openxmlformats.org/officeDocument/2006/relationships/hyperlink" Target="http://de.wikisource.org/wiki/Seite:De_Studien_%C3%BCber_Hysterie_205.jpg" TargetMode="External"/><Relationship Id="rId275" Type="http://schemas.openxmlformats.org/officeDocument/2006/relationships/hyperlink" Target="http://gutenberg.spiegel.de/?id=5&amp;xid=5470&amp;kapitel=7&amp;cHash=e3099ac4fe2" TargetMode="External"/><Relationship Id="rId482" Type="http://schemas.openxmlformats.org/officeDocument/2006/relationships/hyperlink" Target="http://gutenberg.spiegel.de/?id=5&amp;xid=5471&amp;kapitel=4&amp;cHash=fef33401182" TargetMode="External"/><Relationship Id="rId703" Type="http://schemas.openxmlformats.org/officeDocument/2006/relationships/hyperlink" Target="http://gutenberg.spiegel.de/?id=5&amp;xid=5452&amp;kapitel=7&amp;cHash=0b6f4173732" TargetMode="External"/><Relationship Id="rId910" Type="http://schemas.openxmlformats.org/officeDocument/2006/relationships/hyperlink" Target="http://gutenberg.spiegel.de/?id=5&amp;xid=5453&amp;kapitel=21&amp;cHash=3aa83cf0982" TargetMode="External"/><Relationship Id="rId1333" Type="http://schemas.openxmlformats.org/officeDocument/2006/relationships/hyperlink" Target="http://gutenberg.spiegel.de/?id=5&amp;xid=5468&amp;kapitel=7&amp;cHash=3b7308c8912" TargetMode="External"/><Relationship Id="rId1540" Type="http://schemas.openxmlformats.org/officeDocument/2006/relationships/hyperlink" Target="http://gutenberg.spiegel.de/?id=5&amp;xid=5466&amp;kapitel=4&amp;cHash=160114ee7d2" TargetMode="External"/><Relationship Id="rId1638" Type="http://schemas.openxmlformats.org/officeDocument/2006/relationships/hyperlink" Target="http://de.wikisource.org/wiki/Studien_%C3%BCber_Hysterie/Beobachtung_I._Frl._Anna_O%E2%80%A6" TargetMode="External"/><Relationship Id="rId135" Type="http://schemas.openxmlformats.org/officeDocument/2006/relationships/hyperlink" Target="http://gutenberg.spiegel.de/?id=5&amp;xid=5479&amp;kapitel=21&amp;cHash=c9ba69ac182" TargetMode="External"/><Relationship Id="rId342" Type="http://schemas.openxmlformats.org/officeDocument/2006/relationships/hyperlink" Target="http://gutenberg.spiegel.de/?id=5&amp;xid=5474&amp;kapitel=6&amp;cHash=319187eedd2" TargetMode="External"/><Relationship Id="rId787" Type="http://schemas.openxmlformats.org/officeDocument/2006/relationships/hyperlink" Target="http://gutenberg.spiegel.de/?id=5&amp;xid=5452&amp;kapitel=28&amp;cHash=0b6f4173732" TargetMode="External"/><Relationship Id="rId994" Type="http://schemas.openxmlformats.org/officeDocument/2006/relationships/hyperlink" Target="http://projekt.gutenberg.de/?id=5&amp;xid=5459&amp;kapitel=2&amp;cHash=2500fb16a9chap002" TargetMode="External"/><Relationship Id="rId1400" Type="http://schemas.openxmlformats.org/officeDocument/2006/relationships/hyperlink" Target="http://gutenberg.spiegel.de/?id=5&amp;xid=5454&amp;kapitel=10&amp;cHash=7be8bceb522" TargetMode="External"/><Relationship Id="rId1845" Type="http://schemas.openxmlformats.org/officeDocument/2006/relationships/hyperlink" Target="http://de.wikisource.org/wiki/Seite:De_Studien_%C3%BCber_Hysterie_105.jpg" TargetMode="External"/><Relationship Id="rId2023" Type="http://schemas.openxmlformats.org/officeDocument/2006/relationships/hyperlink" Target="http://de.wikisource.org/wiki/Studien_%C3%BCber_Hysterie/Theoretisches" TargetMode="External"/><Relationship Id="rId202" Type="http://schemas.openxmlformats.org/officeDocument/2006/relationships/hyperlink" Target="http://gutenberg.spiegel.de/?id=5&amp;xid=5479&amp;kapitel=27&amp;cHash=c9ba69ac182" TargetMode="External"/><Relationship Id="rId647" Type="http://schemas.openxmlformats.org/officeDocument/2006/relationships/hyperlink" Target="http://gutenberg.spiegel.de/?id=5&amp;xid=5471&amp;kapitel=6&amp;cHash=fef33401182" TargetMode="External"/><Relationship Id="rId854" Type="http://schemas.openxmlformats.org/officeDocument/2006/relationships/hyperlink" Target="http://gutenberg.spiegel.de/?id=5&amp;xid=5453&amp;kapitel=2&amp;cHash=3aa83cf0982" TargetMode="External"/><Relationship Id="rId1277" Type="http://schemas.openxmlformats.org/officeDocument/2006/relationships/hyperlink" Target="http://projekt.gutenberg.de/?id=5&amp;xid=5463&amp;kapitel=6&amp;cHash=3873cdf9922" TargetMode="External"/><Relationship Id="rId1484" Type="http://schemas.openxmlformats.org/officeDocument/2006/relationships/hyperlink" Target="http://gutenberg.spiegel.de/?id=5&amp;xid=5457&amp;kapitel=8&amp;cHash=8f5b827b6d2" TargetMode="External"/><Relationship Id="rId1691" Type="http://schemas.openxmlformats.org/officeDocument/2006/relationships/hyperlink" Target="http://de.wikipedia.org/wiki/Akme" TargetMode="External"/><Relationship Id="rId1705" Type="http://schemas.openxmlformats.org/officeDocument/2006/relationships/hyperlink" Target="http://de.wikisource.org/wiki/Studien_%C3%BCber_Hysterie/Beobachtung_I._Frl._Anna_O%E2%80%A6" TargetMode="External"/><Relationship Id="rId1912" Type="http://schemas.openxmlformats.org/officeDocument/2006/relationships/hyperlink" Target="http://de.wikisource.org/wiki/Seite:De_Studien_%C3%BCber_Hysterie_158.jpg" TargetMode="External"/><Relationship Id="rId286" Type="http://schemas.openxmlformats.org/officeDocument/2006/relationships/hyperlink" Target="http://gutenberg.spiegel.de/?id=5&amp;xid=5470&amp;kapitel=11&amp;cHash=e3099ac4fe2" TargetMode="External"/><Relationship Id="rId493" Type="http://schemas.openxmlformats.org/officeDocument/2006/relationships/hyperlink" Target="http://gutenberg.spiegel.de/?id=5&amp;xid=5471&amp;kapitel=4&amp;cHash=fef33401182" TargetMode="External"/><Relationship Id="rId507" Type="http://schemas.openxmlformats.org/officeDocument/2006/relationships/hyperlink" Target="http://gutenberg.spiegel.de/?id=5&amp;xid=5471&amp;kapitel=4&amp;cHash=fef33401182" TargetMode="External"/><Relationship Id="rId714" Type="http://schemas.openxmlformats.org/officeDocument/2006/relationships/hyperlink" Target="http://gutenberg.spiegel.de/?id=5&amp;xid=5452&amp;kapitel=8&amp;cHash=0b6f4173732" TargetMode="External"/><Relationship Id="rId921" Type="http://schemas.openxmlformats.org/officeDocument/2006/relationships/hyperlink" Target="http://gutenberg.spiegel.de/?id=5&amp;xid=5453&amp;kapitel=26&amp;cHash=3aa83cf0982" TargetMode="External"/><Relationship Id="rId1137" Type="http://schemas.openxmlformats.org/officeDocument/2006/relationships/hyperlink" Target="http://projekt.gutenberg.de/?id=5&amp;xid=5475&amp;kapitel=5&amp;cHash=f458b8542a2" TargetMode="External"/><Relationship Id="rId1344" Type="http://schemas.openxmlformats.org/officeDocument/2006/relationships/hyperlink" Target="http://gutenberg.spiegel.de/?id=5&amp;xid=5468&amp;kapitel=9&amp;cHash=3b7308c8912" TargetMode="External"/><Relationship Id="rId1551" Type="http://schemas.openxmlformats.org/officeDocument/2006/relationships/hyperlink" Target="http://gutenberg.spiegel.de/?id=5&amp;xid=5466&amp;kapitel=4&amp;cHash=160114ee7d2" TargetMode="External"/><Relationship Id="rId1789" Type="http://schemas.openxmlformats.org/officeDocument/2006/relationships/hyperlink" Target="http://de.wikisource.org/wiki/Seite:De_Studien_%C3%BCber_Hysterie_084.jpg" TargetMode="External"/><Relationship Id="rId1996" Type="http://schemas.openxmlformats.org/officeDocument/2006/relationships/hyperlink" Target="http://de.wikisource.org/wiki/Seite:De_Studien_%C3%BCber_Hysterie_214.jpg" TargetMode="External"/><Relationship Id="rId50" Type="http://schemas.openxmlformats.org/officeDocument/2006/relationships/hyperlink" Target="http://gutenberg.spiegel.de/?id=5&amp;xid=5479&amp;kapitel=12&amp;cHash=c9ba69ac182" TargetMode="External"/><Relationship Id="rId146" Type="http://schemas.openxmlformats.org/officeDocument/2006/relationships/hyperlink" Target="http://gutenberg.spiegel.de/?id=5&amp;xid=5479&amp;kapitel=23&amp;cHash=c9ba69ac182" TargetMode="External"/><Relationship Id="rId353" Type="http://schemas.openxmlformats.org/officeDocument/2006/relationships/hyperlink" Target="http://gutenberg.spiegel.de/?id=5&amp;xid=5474&amp;kapitel=7&amp;cHash=319187eedd2" TargetMode="External"/><Relationship Id="rId560" Type="http://schemas.openxmlformats.org/officeDocument/2006/relationships/hyperlink" Target="http://gutenberg.spiegel.de/?id=5&amp;xid=5471&amp;kapitel=6&amp;cHash=fef33401182" TargetMode="External"/><Relationship Id="rId798" Type="http://schemas.openxmlformats.org/officeDocument/2006/relationships/hyperlink" Target="http://gutenberg.spiegel.de/?id=5&amp;xid=5452&amp;kapitel=32&amp;cHash=0b6f4173732" TargetMode="External"/><Relationship Id="rId1190" Type="http://schemas.openxmlformats.org/officeDocument/2006/relationships/hyperlink" Target="http://projekt.gutenberg.de/?id=5&amp;xid=5469&amp;kapitel=2&amp;cHash=37599a73a72" TargetMode="External"/><Relationship Id="rId1204" Type="http://schemas.openxmlformats.org/officeDocument/2006/relationships/hyperlink" Target="http://projekt.gutenberg.de/?id=5&amp;xid=5469&amp;kapitel=2&amp;cHash=37599a73a72" TargetMode="External"/><Relationship Id="rId1411" Type="http://schemas.openxmlformats.org/officeDocument/2006/relationships/hyperlink" Target="http://gutenberg.spiegel.de/?id=5&amp;xid=5454&amp;kapitel=13&amp;cHash=7be8bceb522" TargetMode="External"/><Relationship Id="rId1649" Type="http://schemas.openxmlformats.org/officeDocument/2006/relationships/hyperlink" Target="http://de.wikisource.org/wiki/Studien_%C3%BCber_Hysterie/Beobachtung_I._Frl._Anna_O%E2%80%A6" TargetMode="External"/><Relationship Id="rId1856" Type="http://schemas.openxmlformats.org/officeDocument/2006/relationships/hyperlink" Target="http://de.wikisource.org/wiki/Seite:De_Studien_%C3%BCber_Hysterie_111.jpg" TargetMode="External"/><Relationship Id="rId2034" Type="http://schemas.openxmlformats.org/officeDocument/2006/relationships/hyperlink" Target="http://de.wikisource.org/wiki/Studien_%C3%BCber_Hysterie/Theoretisches" TargetMode="External"/><Relationship Id="rId213" Type="http://schemas.openxmlformats.org/officeDocument/2006/relationships/hyperlink" Target="http://gutenberg.spiegel.de/?id=5&amp;xid=5479&amp;kapitel=28&amp;cHash=c9ba69ac182" TargetMode="External"/><Relationship Id="rId420" Type="http://schemas.openxmlformats.org/officeDocument/2006/relationships/hyperlink" Target="http://projekt.gutenberg.de/?id=5&amp;xid=5455&amp;kapitel=3&amp;cHash=893cd6bc1c2" TargetMode="External"/><Relationship Id="rId658" Type="http://schemas.openxmlformats.org/officeDocument/2006/relationships/hyperlink" Target="http://gutenberg.spiegel.de/?id=5&amp;xid=5471&amp;kapitel=6&amp;cHash=fef33401182" TargetMode="External"/><Relationship Id="rId865" Type="http://schemas.openxmlformats.org/officeDocument/2006/relationships/hyperlink" Target="http://gutenberg.spiegel.de/?id=5&amp;xid=5453&amp;kapitel=10&amp;cHash=3aa83cf0982" TargetMode="External"/><Relationship Id="rId1050" Type="http://schemas.openxmlformats.org/officeDocument/2006/relationships/hyperlink" Target="http://projekt.gutenberg.de/?id=5&amp;xid=5459&amp;kapitel=5&amp;cHash=2500fb16a92" TargetMode="External"/><Relationship Id="rId1288" Type="http://schemas.openxmlformats.org/officeDocument/2006/relationships/hyperlink" Target="http://projekt.gutenberg.de/?id=5&amp;xid=5463&amp;kapitel=7&amp;cHash=3873cdf9922" TargetMode="External"/><Relationship Id="rId1495" Type="http://schemas.openxmlformats.org/officeDocument/2006/relationships/hyperlink" Target="http://gutenberg.spiegel.de/?id=5&amp;xid=5466&amp;kapitel=1" TargetMode="External"/><Relationship Id="rId1509" Type="http://schemas.openxmlformats.org/officeDocument/2006/relationships/hyperlink" Target="http://gutenberg.spiegel.de/?id=5&amp;xid=5466&amp;kapitel=1" TargetMode="External"/><Relationship Id="rId1716" Type="http://schemas.openxmlformats.org/officeDocument/2006/relationships/hyperlink" Target="http://de.wikisource.org/wiki/Seite:De_Studien_%C3%BCber_Hysterie_038.jpg" TargetMode="External"/><Relationship Id="rId1923" Type="http://schemas.openxmlformats.org/officeDocument/2006/relationships/hyperlink" Target="http://de.wikisource.org/wiki/Studien_%C3%BCber_Hysterie/Beobachtung_V._Frl._Elisabeth_v._R%E2%80%A6" TargetMode="External"/><Relationship Id="rId297" Type="http://schemas.openxmlformats.org/officeDocument/2006/relationships/hyperlink" Target="http://gutenberg.spiegel.de/?id=5&amp;xid=5474&amp;kapitel=2&amp;cHash=319187eedd2" TargetMode="External"/><Relationship Id="rId518" Type="http://schemas.openxmlformats.org/officeDocument/2006/relationships/hyperlink" Target="http://gutenberg.spiegel.de/?id=5&amp;xid=5471&amp;kapitel=5&amp;cHash=fef33401182" TargetMode="External"/><Relationship Id="rId725" Type="http://schemas.openxmlformats.org/officeDocument/2006/relationships/hyperlink" Target="http://gutenberg.spiegel.de/?id=5&amp;xid=5452&amp;kapitel=9&amp;cHash=0b6f4173732" TargetMode="External"/><Relationship Id="rId932" Type="http://schemas.openxmlformats.org/officeDocument/2006/relationships/hyperlink" Target="http://gutenberg.spiegel.de/?id=5&amp;xid=5453&amp;kapitel=32&amp;cHash=3aa83cf0982" TargetMode="External"/><Relationship Id="rId1148" Type="http://schemas.openxmlformats.org/officeDocument/2006/relationships/hyperlink" Target="http://projekt.gutenberg.de/?id=5&amp;xid=5475&amp;kapitel=6&amp;cHash=f458b8542a2" TargetMode="External"/><Relationship Id="rId1355" Type="http://schemas.openxmlformats.org/officeDocument/2006/relationships/hyperlink" Target="http://gutenberg.spiegel.de/?id=5&amp;xid=5468&amp;kapitel=14&amp;cHash=3b7308c8912" TargetMode="External"/><Relationship Id="rId1562" Type="http://schemas.openxmlformats.org/officeDocument/2006/relationships/hyperlink" Target="http://gutenberg.spiegel.de/?id=5&amp;xid=5466&amp;kapitel=5&amp;cHash=160114ee7d2" TargetMode="External"/><Relationship Id="rId157" Type="http://schemas.openxmlformats.org/officeDocument/2006/relationships/hyperlink" Target="http://gutenberg.spiegel.de/?id=5&amp;xid=5479&amp;kapitel=24&amp;cHash=c9ba69ac182" TargetMode="External"/><Relationship Id="rId364" Type="http://schemas.openxmlformats.org/officeDocument/2006/relationships/hyperlink" Target="http://projekt.gutenberg.de/?id=5&amp;xid=5455&amp;kapitel=1" TargetMode="External"/><Relationship Id="rId1008" Type="http://schemas.openxmlformats.org/officeDocument/2006/relationships/hyperlink" Target="http://projekt.gutenberg.de/?id=5&amp;xid=5459&amp;kapitel=3&amp;cHash=2500fb16a9chap003" TargetMode="External"/><Relationship Id="rId1215" Type="http://schemas.openxmlformats.org/officeDocument/2006/relationships/hyperlink" Target="http://projekt.gutenberg.de/?id=5&amp;xid=5469&amp;kapitel=3&amp;cHash=37599a73a72" TargetMode="External"/><Relationship Id="rId1422" Type="http://schemas.openxmlformats.org/officeDocument/2006/relationships/hyperlink" Target="http://gutenberg.spiegel.de/?id=5&amp;xid=5454&amp;kapitel=16&amp;cHash=7be8bceb522" TargetMode="External"/><Relationship Id="rId1867" Type="http://schemas.openxmlformats.org/officeDocument/2006/relationships/hyperlink" Target="http://de.wikisource.org/wiki/Studien_%C3%BCber_Hysterie/Beobachtung_V._Frl._Elisabeth_v._R%E2%80%A6" TargetMode="External"/><Relationship Id="rId2045" Type="http://schemas.openxmlformats.org/officeDocument/2006/relationships/hyperlink" Target="http://de.wikisource.org/wiki/Seite:De_Studien_%C3%BCber_Hysterie_232.jpg" TargetMode="External"/><Relationship Id="rId61" Type="http://schemas.openxmlformats.org/officeDocument/2006/relationships/hyperlink" Target="http://gutenberg.spiegel.de/?id=5&amp;xid=5479&amp;kapitel=14&amp;cHash=c9ba69ac182" TargetMode="External"/><Relationship Id="rId571" Type="http://schemas.openxmlformats.org/officeDocument/2006/relationships/hyperlink" Target="http://gutenberg.spiegel.de/?id=5&amp;xid=5471&amp;kapitel=6&amp;cHash=fef33401182" TargetMode="External"/><Relationship Id="rId669" Type="http://schemas.openxmlformats.org/officeDocument/2006/relationships/hyperlink" Target="http://gutenberg.spiegel.de/?id=5&amp;xid=5471&amp;kapitel=6&amp;cHash=fef33401182" TargetMode="External"/><Relationship Id="rId876" Type="http://schemas.openxmlformats.org/officeDocument/2006/relationships/hyperlink" Target="http://gutenberg.spiegel.de/?id=5&amp;xid=5453&amp;kapitel=13&amp;cHash=3aa83cf0982" TargetMode="External"/><Relationship Id="rId1299" Type="http://schemas.openxmlformats.org/officeDocument/2006/relationships/hyperlink" Target="http://projekt.gutenberg.de/?id=5&amp;xid=5463&amp;kapitel=9&amp;cHash=3873cdf9922" TargetMode="External"/><Relationship Id="rId1727" Type="http://schemas.openxmlformats.org/officeDocument/2006/relationships/hyperlink" Target="http://de.wikisource.org/wiki/Studien_%C3%BCber_Hysterie/Beobachtung_II._Frau_Emmy_v._N%E2%80%A6" TargetMode="External"/><Relationship Id="rId1934" Type="http://schemas.openxmlformats.org/officeDocument/2006/relationships/hyperlink" Target="http://de.wikisource.org/wiki/Seite:De_Studien_%C3%BCber_Hysterie_167.jpg" TargetMode="External"/><Relationship Id="rId19" Type="http://schemas.openxmlformats.org/officeDocument/2006/relationships/hyperlink" Target="http://gutenberg.spiegel.de/?id=5&amp;xid=5479&amp;kapitel=5&amp;cHash=c9ba69ac182" TargetMode="External"/><Relationship Id="rId224" Type="http://schemas.openxmlformats.org/officeDocument/2006/relationships/hyperlink" Target="http://gutenberg.spiegel.de/?id=5&amp;xid=5479&amp;kapitel=31&amp;cHash=c9ba69ac182" TargetMode="External"/><Relationship Id="rId431" Type="http://schemas.openxmlformats.org/officeDocument/2006/relationships/hyperlink" Target="http://projekt.gutenberg.de/?id=5&amp;xid=5455&amp;kapitel=3&amp;cHash=893cd6bc1c2" TargetMode="External"/><Relationship Id="rId529" Type="http://schemas.openxmlformats.org/officeDocument/2006/relationships/hyperlink" Target="http://gutenberg.spiegel.de/?id=5&amp;xid=5471&amp;kapitel=5&amp;cHash=fef33401182" TargetMode="External"/><Relationship Id="rId736" Type="http://schemas.openxmlformats.org/officeDocument/2006/relationships/hyperlink" Target="http://gutenberg.spiegel.de/?id=5&amp;xid=5452&amp;kapitel=10&amp;cHash=0b6f4173732" TargetMode="External"/><Relationship Id="rId1061" Type="http://schemas.openxmlformats.org/officeDocument/2006/relationships/hyperlink" Target="http://projekt.gutenberg.de/?id=5&amp;xid=5455&amp;kapitel=2&amp;cHash=893cd6bc1c2" TargetMode="External"/><Relationship Id="rId1159" Type="http://schemas.openxmlformats.org/officeDocument/2006/relationships/hyperlink" Target="http://projekt.gutenberg.de/?id=5&amp;xid=5475&amp;kapitel=8&amp;cHash=f458b8542a2" TargetMode="External"/><Relationship Id="rId1366" Type="http://schemas.openxmlformats.org/officeDocument/2006/relationships/hyperlink" Target="http://gutenberg.spiegel.de/?id=5&amp;xid=5454&amp;kapitel=2&amp;cHash=7be8bceb522" TargetMode="External"/><Relationship Id="rId168" Type="http://schemas.openxmlformats.org/officeDocument/2006/relationships/hyperlink" Target="http://gutenberg.spiegel.de/?id=5&amp;xid=5479&amp;kapitel=25&amp;cHash=c9ba69ac182" TargetMode="External"/><Relationship Id="rId943" Type="http://schemas.openxmlformats.org/officeDocument/2006/relationships/hyperlink" Target="http://gutenberg.spiegel.de/?id=5&amp;xid=5453&amp;kapitel=33&amp;cHash=3aa83cf0982" TargetMode="External"/><Relationship Id="rId1019" Type="http://schemas.openxmlformats.org/officeDocument/2006/relationships/hyperlink" Target="http://projekt.gutenberg.de/?id=5&amp;xid=5459&amp;kapitel=3&amp;cHash=2500fb16a9chap003" TargetMode="External"/><Relationship Id="rId1573" Type="http://schemas.openxmlformats.org/officeDocument/2006/relationships/hyperlink" Target="http://gutenberg.spiegel.de/?id=5&amp;xid=5466&amp;kapitel=5&amp;cHash=160114ee7d2" TargetMode="External"/><Relationship Id="rId1780" Type="http://schemas.openxmlformats.org/officeDocument/2006/relationships/hyperlink" Target="http://de.wikisource.org/wiki/Studien_%C3%BCber_Hysterie/Beobachtung_II._Frau_Emmy_v._N%E2%80%A6" TargetMode="External"/><Relationship Id="rId1878" Type="http://schemas.openxmlformats.org/officeDocument/2006/relationships/hyperlink" Target="http://de.wikisource.org/wiki/Studien_%C3%BCber_Hysterie/Beobachtung_V._Frl._Elisabeth_v._R%E2%80%A6" TargetMode="External"/><Relationship Id="rId72" Type="http://schemas.openxmlformats.org/officeDocument/2006/relationships/hyperlink" Target="http://gutenberg.spiegel.de/?id=5&amp;xid=5479&amp;kapitel=14&amp;cHash=c9ba69ac182" TargetMode="External"/><Relationship Id="rId375" Type="http://schemas.openxmlformats.org/officeDocument/2006/relationships/hyperlink" Target="http://projekt.gutenberg.de/?id=5&amp;xid=5455&amp;kapitel=2&amp;cHash=893cd6bc1c2" TargetMode="External"/><Relationship Id="rId582" Type="http://schemas.openxmlformats.org/officeDocument/2006/relationships/hyperlink" Target="http://gutenberg.spiegel.de/?id=5&amp;xid=5471&amp;kapitel=6&amp;cHash=fef33401182" TargetMode="External"/><Relationship Id="rId803" Type="http://schemas.openxmlformats.org/officeDocument/2006/relationships/hyperlink" Target="http://gutenberg.spiegel.de/?id=5&amp;xid=5452&amp;kapitel=32&amp;cHash=0b6f4173732" TargetMode="External"/><Relationship Id="rId1226" Type="http://schemas.openxmlformats.org/officeDocument/2006/relationships/hyperlink" Target="http://projekt.gutenberg.de/?id=5&amp;xid=5469&amp;kapitel=3&amp;cHash=37599a73a72" TargetMode="External"/><Relationship Id="rId1433" Type="http://schemas.openxmlformats.org/officeDocument/2006/relationships/hyperlink" Target="http://gutenberg.spiegel.de/?id=5&amp;xid=5454&amp;kapitel=21&amp;cHash=7be8bceb522" TargetMode="External"/><Relationship Id="rId1640" Type="http://schemas.openxmlformats.org/officeDocument/2006/relationships/hyperlink" Target="http://de.wikisource.org/wiki/Seite:De_Studien_%C3%BCber_Hysterie_021.jpg" TargetMode="External"/><Relationship Id="rId1738" Type="http://schemas.openxmlformats.org/officeDocument/2006/relationships/hyperlink" Target="http://de.wikisource.org/wiki/Studien_%C3%BCber_Hysterie/Beobachtung_II._Frau_Emmy_v._N%E2%80%A6" TargetMode="External"/><Relationship Id="rId2056" Type="http://schemas.openxmlformats.org/officeDocument/2006/relationships/hyperlink" Target="http://de.wikisource.org/wiki/Seite:De_Studien_%C3%BCber_Hysterie_243.jpg" TargetMode="External"/><Relationship Id="rId3" Type="http://schemas.openxmlformats.org/officeDocument/2006/relationships/styles" Target="styles.xml"/><Relationship Id="rId235" Type="http://schemas.openxmlformats.org/officeDocument/2006/relationships/image" Target="media/image9.png"/><Relationship Id="rId442" Type="http://schemas.openxmlformats.org/officeDocument/2006/relationships/hyperlink" Target="http://gutenberg.spiegel.de/?id=5&amp;xid=5458&amp;kapitel=11&amp;cHash=cd31317e0b2" TargetMode="External"/><Relationship Id="rId887" Type="http://schemas.openxmlformats.org/officeDocument/2006/relationships/hyperlink" Target="http://gutenberg.spiegel.de/?id=5&amp;xid=5453&amp;kapitel=15&amp;cHash=3aa83cf0982" TargetMode="External"/><Relationship Id="rId1072" Type="http://schemas.openxmlformats.org/officeDocument/2006/relationships/hyperlink" Target="http://projekt.gutenberg.de/?id=5&amp;xid=5455&amp;kapitel=2&amp;cHash=893cd6bc1c2" TargetMode="External"/><Relationship Id="rId1500" Type="http://schemas.openxmlformats.org/officeDocument/2006/relationships/hyperlink" Target="http://gutenberg.spiegel.de/?id=5&amp;xid=5466&amp;kapitel=1" TargetMode="External"/><Relationship Id="rId1945" Type="http://schemas.openxmlformats.org/officeDocument/2006/relationships/hyperlink" Target="http://de.wikisource.org/wiki/Studien_%C3%BCber_Hysterie/Theoretisches" TargetMode="External"/><Relationship Id="rId302" Type="http://schemas.openxmlformats.org/officeDocument/2006/relationships/hyperlink" Target="http://gutenberg.spiegel.de/?id=5&amp;xid=5474&amp;kapitel=2&amp;cHash=319187eedd2" TargetMode="External"/><Relationship Id="rId747" Type="http://schemas.openxmlformats.org/officeDocument/2006/relationships/hyperlink" Target="http://gutenberg.spiegel.de/?id=5&amp;xid=5452&amp;kapitel=11&amp;cHash=0b6f4173732" TargetMode="External"/><Relationship Id="rId954" Type="http://schemas.openxmlformats.org/officeDocument/2006/relationships/hyperlink" Target="http://gutenberg.spiegel.de/?id=5&amp;xid=5453&amp;kapitel=35&amp;cHash=3aa83cf0982" TargetMode="External"/><Relationship Id="rId1377" Type="http://schemas.openxmlformats.org/officeDocument/2006/relationships/hyperlink" Target="http://gutenberg.spiegel.de/?id=5&amp;xid=5454&amp;kapitel=4&amp;cHash=7be8bceb522" TargetMode="External"/><Relationship Id="rId1584" Type="http://schemas.openxmlformats.org/officeDocument/2006/relationships/hyperlink" Target="http://gutenberg.spiegel.de/?id=5&amp;xid=5456&amp;kapitel=1" TargetMode="External"/><Relationship Id="rId1791" Type="http://schemas.openxmlformats.org/officeDocument/2006/relationships/hyperlink" Target="http://de.wikisource.org/wiki/Studien_%C3%BCber_Hysterie/Beobachtung_II._Frau_Emmy_v._N%E2%80%A6" TargetMode="External"/><Relationship Id="rId1805" Type="http://schemas.openxmlformats.org/officeDocument/2006/relationships/hyperlink" Target="http://de.wikisource.org/wiki/Studien_%C3%BCber_Hysterie/Beobachtung_II._Frau_Emmy_v._N%E2%80%A6" TargetMode="External"/><Relationship Id="rId83" Type="http://schemas.openxmlformats.org/officeDocument/2006/relationships/hyperlink" Target="http://gutenberg.spiegel.de/?id=5&amp;xid=5479&amp;kapitel=16&amp;cHash=c9ba69ac182" TargetMode="External"/><Relationship Id="rId179" Type="http://schemas.openxmlformats.org/officeDocument/2006/relationships/hyperlink" Target="http://gutenberg.spiegel.de/?id=5&amp;xid=5479&amp;kapitel=25&amp;cHash=c9ba69ac182" TargetMode="External"/><Relationship Id="rId386" Type="http://schemas.openxmlformats.org/officeDocument/2006/relationships/hyperlink" Target="http://projekt.gutenberg.de/?id=5&amp;xid=5455&amp;kapitel=2&amp;cHash=893cd6bc1c2" TargetMode="External"/><Relationship Id="rId593" Type="http://schemas.openxmlformats.org/officeDocument/2006/relationships/hyperlink" Target="http://gutenberg.spiegel.de/?id=5&amp;xid=5471&amp;kapitel=6&amp;cHash=fef33401182" TargetMode="External"/><Relationship Id="rId607" Type="http://schemas.openxmlformats.org/officeDocument/2006/relationships/hyperlink" Target="http://gutenberg.spiegel.de/?id=5&amp;xid=5471&amp;kapitel=6&amp;cHash=fef33401182" TargetMode="External"/><Relationship Id="rId814" Type="http://schemas.openxmlformats.org/officeDocument/2006/relationships/image" Target="media/image23.jpeg"/><Relationship Id="rId1237" Type="http://schemas.openxmlformats.org/officeDocument/2006/relationships/hyperlink" Target="http://projekt.gutenberg.de/?id=5&amp;xid=5469&amp;kapitel=3&amp;cHash=37599a73a72" TargetMode="External"/><Relationship Id="rId1444" Type="http://schemas.openxmlformats.org/officeDocument/2006/relationships/hyperlink" Target="http://gutenberg.spiegel.de/?id=5&amp;xid=5454&amp;kapitel=23&amp;cHash=7be8bceb522" TargetMode="External"/><Relationship Id="rId1651" Type="http://schemas.openxmlformats.org/officeDocument/2006/relationships/hyperlink" Target="http://de.wikisource.org/wiki/Studien_%C3%BCber_Hysterie/Beobachtung_I._Frl._Anna_O%E2%80%A6" TargetMode="External"/><Relationship Id="rId1889" Type="http://schemas.openxmlformats.org/officeDocument/2006/relationships/hyperlink" Target="http://de.wikisource.org/wiki/Seite:De_Studien_%C3%BCber_Hysterie_139.jpg" TargetMode="External"/><Relationship Id="rId2067" Type="http://schemas.openxmlformats.org/officeDocument/2006/relationships/hyperlink" Target="http://de.wikisource.org/wiki/Seite:De_Studien_%C3%BCber_Hysterie_254.jpg" TargetMode="External"/><Relationship Id="rId246" Type="http://schemas.openxmlformats.org/officeDocument/2006/relationships/hyperlink" Target="http://gutenberg.spiegel.de/?id=5&amp;xid=5479&amp;kapitel=33&amp;cHash=c9ba69ac182" TargetMode="External"/><Relationship Id="rId453" Type="http://schemas.openxmlformats.org/officeDocument/2006/relationships/hyperlink" Target="http://gutenberg.spiegel.de/?id=5&amp;xid=5471&amp;kapitel=3&amp;cHash=fef33401182" TargetMode="External"/><Relationship Id="rId660" Type="http://schemas.openxmlformats.org/officeDocument/2006/relationships/hyperlink" Target="http://gutenberg.spiegel.de/?id=5&amp;xid=5471&amp;kapitel=6&amp;cHash=fef33401182" TargetMode="External"/><Relationship Id="rId898" Type="http://schemas.openxmlformats.org/officeDocument/2006/relationships/hyperlink" Target="http://gutenberg.spiegel.de/?id=5&amp;xid=5453&amp;kapitel=17&amp;cHash=3aa83cf0982" TargetMode="External"/><Relationship Id="rId1083" Type="http://schemas.openxmlformats.org/officeDocument/2006/relationships/hyperlink" Target="http://projekt.gutenberg.de/?id=5&amp;xid=5455&amp;kapitel=2&amp;cHash=893cd6bc1c2" TargetMode="External"/><Relationship Id="rId1290" Type="http://schemas.openxmlformats.org/officeDocument/2006/relationships/hyperlink" Target="http://projekt.gutenberg.de/?id=5&amp;xid=5463&amp;kapitel=7&amp;cHash=3873cdf9922" TargetMode="External"/><Relationship Id="rId1304" Type="http://schemas.openxmlformats.org/officeDocument/2006/relationships/hyperlink" Target="http://gutenberg.spiegel.de/?id=5&amp;xid=5468&amp;kapitel=1" TargetMode="External"/><Relationship Id="rId1511" Type="http://schemas.openxmlformats.org/officeDocument/2006/relationships/hyperlink" Target="http://gutenberg.spiegel.de/?id=5&amp;xid=5466&amp;kapitel=2&amp;cHash=160114ee7d2" TargetMode="External"/><Relationship Id="rId1749" Type="http://schemas.openxmlformats.org/officeDocument/2006/relationships/hyperlink" Target="http://de.wikisource.org/wiki/Seite:De_Studien_%C3%BCber_Hysterie_053.jpg" TargetMode="External"/><Relationship Id="rId1956" Type="http://schemas.openxmlformats.org/officeDocument/2006/relationships/hyperlink" Target="http://de.wikisource.org/wiki/Seite:De_Studien_%C3%BCber_Hysterie_184.jpg" TargetMode="External"/><Relationship Id="rId106" Type="http://schemas.openxmlformats.org/officeDocument/2006/relationships/hyperlink" Target="http://gutenberg.spiegel.de/?id=5&amp;xid=5479&amp;kapitel=18&amp;cHash=c9ba69ac182" TargetMode="External"/><Relationship Id="rId313" Type="http://schemas.openxmlformats.org/officeDocument/2006/relationships/hyperlink" Target="http://gutenberg.spiegel.de/?id=5&amp;xid=5474&amp;kapitel=2&amp;cHash=319187eedd2" TargetMode="External"/><Relationship Id="rId758" Type="http://schemas.openxmlformats.org/officeDocument/2006/relationships/hyperlink" Target="http://gutenberg.spiegel.de/?id=5&amp;xid=5452&amp;kapitel=15&amp;cHash=0b6f4173732" TargetMode="External"/><Relationship Id="rId965" Type="http://schemas.openxmlformats.org/officeDocument/2006/relationships/hyperlink" Target="http://gutenberg.spiegel.de/?id=5&amp;xid=5453&amp;kapitel=40&amp;cHash=3aa83cf0982" TargetMode="External"/><Relationship Id="rId1150" Type="http://schemas.openxmlformats.org/officeDocument/2006/relationships/hyperlink" Target="http://projekt.gutenberg.de/?id=5&amp;xid=5475&amp;kapitel=7&amp;cHash=f458b8542a2" TargetMode="External"/><Relationship Id="rId1388" Type="http://schemas.openxmlformats.org/officeDocument/2006/relationships/hyperlink" Target="http://gutenberg.spiegel.de/?id=5&amp;xid=5454&amp;kapitel=4&amp;cHash=7be8bceb522" TargetMode="External"/><Relationship Id="rId1595" Type="http://schemas.openxmlformats.org/officeDocument/2006/relationships/hyperlink" Target="http://gutenberg.spiegel.de/?id=5&amp;xid=5456&amp;kapitel=5&amp;cHash=177f1789a72" TargetMode="External"/><Relationship Id="rId1609" Type="http://schemas.openxmlformats.org/officeDocument/2006/relationships/hyperlink" Target="http://de.wikisource.org/wiki/Seite:De_Studien_%C3%BCber_Hysterie_008.jpg" TargetMode="External"/><Relationship Id="rId1816" Type="http://schemas.openxmlformats.org/officeDocument/2006/relationships/hyperlink" Target="http://de.wikisource.org/wiki/Seite:De_Studien_%C3%BCber_Hysterie_057.jpg" TargetMode="External"/><Relationship Id="rId10" Type="http://schemas.openxmlformats.org/officeDocument/2006/relationships/image" Target="media/image3.jpeg"/><Relationship Id="rId94" Type="http://schemas.openxmlformats.org/officeDocument/2006/relationships/hyperlink" Target="http://gutenberg.spiegel.de/?id=5&amp;xid=5479&amp;kapitel=17&amp;cHash=c9ba69ac182" TargetMode="External"/><Relationship Id="rId397" Type="http://schemas.openxmlformats.org/officeDocument/2006/relationships/hyperlink" Target="http://projekt.gutenberg.de/?id=5&amp;xid=5455&amp;kapitel=2&amp;cHash=893cd6bc1c2" TargetMode="External"/><Relationship Id="rId520" Type="http://schemas.openxmlformats.org/officeDocument/2006/relationships/hyperlink" Target="http://gutenberg.spiegel.de/?id=5&amp;xid=5471&amp;kapitel=5&amp;cHash=fef33401182" TargetMode="External"/><Relationship Id="rId618" Type="http://schemas.openxmlformats.org/officeDocument/2006/relationships/hyperlink" Target="http://gutenberg.spiegel.de/?id=5&amp;xid=5471&amp;kapitel=6&amp;cHash=fef33401182" TargetMode="External"/><Relationship Id="rId825" Type="http://schemas.openxmlformats.org/officeDocument/2006/relationships/hyperlink" Target="http://gutenberg.spiegel.de/?id=5&amp;xid=5452&amp;kapitel=35&amp;cHash=0b6f4173732" TargetMode="External"/><Relationship Id="rId1248" Type="http://schemas.openxmlformats.org/officeDocument/2006/relationships/hyperlink" Target="http://projekt.gutenberg.de/?id=5&amp;xid=5469&amp;kapitel=4&amp;cHash=37599a73a72" TargetMode="External"/><Relationship Id="rId1455" Type="http://schemas.openxmlformats.org/officeDocument/2006/relationships/hyperlink" Target="http://gutenberg.spiegel.de/?id=5&amp;xid=4665&amp;kapitel=4&amp;cHash=cc1c208a602" TargetMode="External"/><Relationship Id="rId1662" Type="http://schemas.openxmlformats.org/officeDocument/2006/relationships/hyperlink" Target="http://de.wikisource.org/wiki/Seite:De_Studien_%C3%BCber_Hysterie_035.jpg" TargetMode="External"/><Relationship Id="rId2078" Type="http://schemas.openxmlformats.org/officeDocument/2006/relationships/hyperlink" Target="http://de.wikisource.org/wiki/Seite:De_Studien_%C3%BCber_Hysterie_265.jpg" TargetMode="External"/><Relationship Id="rId257" Type="http://schemas.openxmlformats.org/officeDocument/2006/relationships/hyperlink" Target="http://gutenberg.spiegel.de/?id=5&amp;xid=5479&amp;kapitel=35&amp;cHash=c9ba69ac182" TargetMode="External"/><Relationship Id="rId464" Type="http://schemas.openxmlformats.org/officeDocument/2006/relationships/hyperlink" Target="http://gutenberg.spiegel.de/?id=5&amp;xid=5471&amp;kapitel=4&amp;cHash=fef33401182" TargetMode="External"/><Relationship Id="rId1010" Type="http://schemas.openxmlformats.org/officeDocument/2006/relationships/hyperlink" Target="http://projekt.gutenberg.de/?id=5&amp;xid=5459&amp;kapitel=3&amp;cHash=2500fb16a9chap003" TargetMode="External"/><Relationship Id="rId1094" Type="http://schemas.openxmlformats.org/officeDocument/2006/relationships/hyperlink" Target="http://projekt.gutenberg.de/?id=5&amp;xid=5455&amp;kapitel=2&amp;cHash=893cd6bc1c2" TargetMode="External"/><Relationship Id="rId1108" Type="http://schemas.openxmlformats.org/officeDocument/2006/relationships/hyperlink" Target="http://projekt.gutenberg.de/?id=5&amp;xid=5455&amp;kapitel=3&amp;cHash=893cd6bc1c2" TargetMode="External"/><Relationship Id="rId1315" Type="http://schemas.openxmlformats.org/officeDocument/2006/relationships/hyperlink" Target="http://gutenberg.spiegel.de/?id=5&amp;xid=5468&amp;kapitel=4&amp;cHash=3b7308c8912" TargetMode="External"/><Relationship Id="rId1967" Type="http://schemas.openxmlformats.org/officeDocument/2006/relationships/hyperlink" Target="http://de.wikisource.org/wiki/Seite:De_Studien_%C3%BCber_Hysterie_189.jpg" TargetMode="External"/><Relationship Id="rId117" Type="http://schemas.openxmlformats.org/officeDocument/2006/relationships/hyperlink" Target="http://gutenberg.spiegel.de/?id=5&amp;xid=5479&amp;kapitel=19&amp;cHash=c9ba69ac182" TargetMode="External"/><Relationship Id="rId671" Type="http://schemas.openxmlformats.org/officeDocument/2006/relationships/hyperlink" Target="http://gutenberg.spiegel.de/?id=5&amp;xid=5471&amp;kapitel=6&amp;cHash=fef33401182" TargetMode="External"/><Relationship Id="rId769" Type="http://schemas.openxmlformats.org/officeDocument/2006/relationships/hyperlink" Target="http://gutenberg.spiegel.de/?id=5&amp;xid=5452&amp;kapitel=15&amp;cHash=0b6f4173732" TargetMode="External"/><Relationship Id="rId976" Type="http://schemas.openxmlformats.org/officeDocument/2006/relationships/hyperlink" Target="http://projekt.gutenberg.de/?id=5&amp;xid=5459&amp;kapitel=2&amp;cHash=2500fb16a9chap002" TargetMode="External"/><Relationship Id="rId1399" Type="http://schemas.openxmlformats.org/officeDocument/2006/relationships/hyperlink" Target="http://gutenberg.spiegel.de/?id=5&amp;xid=5454&amp;kapitel=7&amp;cHash=7be8bceb522" TargetMode="External"/><Relationship Id="rId324" Type="http://schemas.openxmlformats.org/officeDocument/2006/relationships/hyperlink" Target="http://gutenberg.spiegel.de/?id=5&amp;xid=5474&amp;kapitel=3&amp;cHash=319187eedd2" TargetMode="External"/><Relationship Id="rId531" Type="http://schemas.openxmlformats.org/officeDocument/2006/relationships/hyperlink" Target="http://gutenberg.spiegel.de/?id=5&amp;xid=5471&amp;kapitel=5&amp;cHash=fef33401182" TargetMode="External"/><Relationship Id="rId629" Type="http://schemas.openxmlformats.org/officeDocument/2006/relationships/hyperlink" Target="http://gutenberg.spiegel.de/?id=5&amp;xid=5471&amp;kapitel=6&amp;cHash=fef33401182" TargetMode="External"/><Relationship Id="rId1161" Type="http://schemas.openxmlformats.org/officeDocument/2006/relationships/hyperlink" Target="http://projekt.gutenberg.de/?id=5&amp;xid=5475&amp;kapitel=8&amp;cHash=f458b8542a2" TargetMode="External"/><Relationship Id="rId1259" Type="http://schemas.openxmlformats.org/officeDocument/2006/relationships/hyperlink" Target="http://projekt.gutenberg.de/?id=5&amp;xid=5469&amp;kapitel=5&amp;cHash=37599a73a72" TargetMode="External"/><Relationship Id="rId1466" Type="http://schemas.openxmlformats.org/officeDocument/2006/relationships/hyperlink" Target="http://gutenberg.spiegel.de/?id=5&amp;xid=4665&amp;kapitel=18&amp;cHash=cc1c208a602" TargetMode="External"/><Relationship Id="rId2005" Type="http://schemas.openxmlformats.org/officeDocument/2006/relationships/hyperlink" Target="http://de.wikisource.org/wiki/Studien_%C3%BCber_Hysterie/Theoretisches" TargetMode="External"/><Relationship Id="rId836" Type="http://schemas.openxmlformats.org/officeDocument/2006/relationships/hyperlink" Target="http://gutenberg.spiegel.de/?id=5&amp;xid=5452&amp;kapitel=38&amp;cHash=0b6f4173732" TargetMode="External"/><Relationship Id="rId1021" Type="http://schemas.openxmlformats.org/officeDocument/2006/relationships/hyperlink" Target="http://projekt.gutenberg.de/?id=5&amp;xid=5459&amp;kapitel=3&amp;cHash=2500fb16a9chap003" TargetMode="External"/><Relationship Id="rId1119" Type="http://schemas.openxmlformats.org/officeDocument/2006/relationships/hyperlink" Target="http://projekt.gutenberg.de/?id=5&amp;xid=5455&amp;kapitel=3&amp;cHash=893cd6bc1c2" TargetMode="External"/><Relationship Id="rId1673" Type="http://schemas.openxmlformats.org/officeDocument/2006/relationships/hyperlink" Target="http://de.wikisource.org/wiki/Studien_%C3%BCber_Hysterie/Beobachtung_I._Frl._Anna_O%E2%80%A6" TargetMode="External"/><Relationship Id="rId1880" Type="http://schemas.openxmlformats.org/officeDocument/2006/relationships/hyperlink" Target="http://de.wikisource.org/wiki/Seite:De_Studien_%C3%BCber_Hysterie_130.jpg" TargetMode="External"/><Relationship Id="rId1978" Type="http://schemas.openxmlformats.org/officeDocument/2006/relationships/hyperlink" Target="http://de.wikisource.org/wiki/Seite:De_Studien_%C3%BCber_Hysterie_198.jpg" TargetMode="External"/><Relationship Id="rId903" Type="http://schemas.openxmlformats.org/officeDocument/2006/relationships/hyperlink" Target="http://gutenberg.spiegel.de/?id=5&amp;xid=5453&amp;kapitel=18&amp;cHash=3aa83cf0982" TargetMode="External"/><Relationship Id="rId1326" Type="http://schemas.openxmlformats.org/officeDocument/2006/relationships/hyperlink" Target="http://gutenberg.spiegel.de/?id=5&amp;xid=5468&amp;kapitel=5&amp;cHash=3b7308c8912" TargetMode="External"/><Relationship Id="rId1533" Type="http://schemas.openxmlformats.org/officeDocument/2006/relationships/hyperlink" Target="http://gutenberg.spiegel.de/?id=5&amp;xid=5466&amp;kapitel=3&amp;cHash=160114ee7d2" TargetMode="External"/><Relationship Id="rId1740" Type="http://schemas.openxmlformats.org/officeDocument/2006/relationships/hyperlink" Target="http://de.wikisource.org/wiki/Studien_%C3%BCber_Hysterie/Beobachtung_II._Frau_Emmy_v._N%E2%80%A6" TargetMode="External"/><Relationship Id="rId32" Type="http://schemas.openxmlformats.org/officeDocument/2006/relationships/hyperlink" Target="http://gutenberg.spiegel.de/?id=5&amp;xid=5479&amp;kapitel=8&amp;cHash=c9ba69ac182" TargetMode="External"/><Relationship Id="rId1600" Type="http://schemas.openxmlformats.org/officeDocument/2006/relationships/hyperlink" Target="http://de.wikisource.org/wiki/Studien_%C3%BCber_Hysterie/Ueber_den_psychischen_Mechanismus_hysterischer_Ph%C3%A4nomene" TargetMode="External"/><Relationship Id="rId1838" Type="http://schemas.openxmlformats.org/officeDocument/2006/relationships/hyperlink" Target="http://de.wikisource.org/wiki/Seite:De_Studien_%C3%BCber_Hysterie_099.jpg" TargetMode="External"/><Relationship Id="rId181" Type="http://schemas.openxmlformats.org/officeDocument/2006/relationships/image" Target="media/image8.jpeg"/><Relationship Id="rId1905" Type="http://schemas.openxmlformats.org/officeDocument/2006/relationships/hyperlink" Target="http://de.wikisource.org/wiki/Seite:De_Studien_%C3%BCber_Hysterie_152.jpg" TargetMode="External"/><Relationship Id="rId279" Type="http://schemas.openxmlformats.org/officeDocument/2006/relationships/hyperlink" Target="http://gutenberg.spiegel.de/?id=5&amp;xid=5470&amp;kapitel=7&amp;cHash=e3099ac4fe2" TargetMode="External"/><Relationship Id="rId486" Type="http://schemas.openxmlformats.org/officeDocument/2006/relationships/hyperlink" Target="http://gutenberg.spiegel.de/?id=5&amp;xid=5471&amp;kapitel=4&amp;cHash=fef33401182" TargetMode="External"/><Relationship Id="rId693" Type="http://schemas.openxmlformats.org/officeDocument/2006/relationships/hyperlink" Target="http://gutenberg.spiegel.de/?id=5&amp;xid=5471&amp;kapitel=6&amp;cHash=fef33401182" TargetMode="External"/><Relationship Id="rId139" Type="http://schemas.openxmlformats.org/officeDocument/2006/relationships/hyperlink" Target="http://gutenberg.spiegel.de/?id=5&amp;xid=5479&amp;kapitel=23&amp;cHash=c9ba69ac182" TargetMode="External"/><Relationship Id="rId346" Type="http://schemas.openxmlformats.org/officeDocument/2006/relationships/hyperlink" Target="http://gutenberg.spiegel.de/?id=5&amp;xid=5474&amp;kapitel=7&amp;cHash=319187eedd2" TargetMode="External"/><Relationship Id="rId553" Type="http://schemas.openxmlformats.org/officeDocument/2006/relationships/hyperlink" Target="http://gutenberg.spiegel.de/?id=5&amp;xid=5471&amp;kapitel=6&amp;cHash=fef33401182" TargetMode="External"/><Relationship Id="rId760" Type="http://schemas.openxmlformats.org/officeDocument/2006/relationships/hyperlink" Target="http://gutenberg.spiegel.de/?id=5&amp;xid=5452&amp;kapitel=15&amp;cHash=0b6f4173732" TargetMode="External"/><Relationship Id="rId998" Type="http://schemas.openxmlformats.org/officeDocument/2006/relationships/hyperlink" Target="http://projekt.gutenberg.de/?id=5&amp;xid=5459&amp;kapitel=2&amp;cHash=2500fb16a9chap002" TargetMode="External"/><Relationship Id="rId1183" Type="http://schemas.openxmlformats.org/officeDocument/2006/relationships/hyperlink" Target="http://projekt.gutenberg.de/?id=5&amp;xid=5475&amp;kapitel=11&amp;cHash=f458b8542a2" TargetMode="External"/><Relationship Id="rId1390" Type="http://schemas.openxmlformats.org/officeDocument/2006/relationships/hyperlink" Target="http://gutenberg.spiegel.de/?id=5&amp;xid=5454&amp;kapitel=4&amp;cHash=7be8bceb522" TargetMode="External"/><Relationship Id="rId2027" Type="http://schemas.openxmlformats.org/officeDocument/2006/relationships/hyperlink" Target="http://de.wikisource.org/wiki/Studien_%C3%BCber_Hysterie/Theoretisches" TargetMode="External"/><Relationship Id="rId206" Type="http://schemas.openxmlformats.org/officeDocument/2006/relationships/hyperlink" Target="http://gutenberg.spiegel.de/?id=5&amp;xid=5479&amp;kapitel=27&amp;cHash=c9ba69ac182" TargetMode="External"/><Relationship Id="rId413" Type="http://schemas.openxmlformats.org/officeDocument/2006/relationships/hyperlink" Target="http://projekt.gutenberg.de/?id=5&amp;xid=5455&amp;kapitel=2&amp;cHash=893cd6bc1c2" TargetMode="External"/><Relationship Id="rId858" Type="http://schemas.openxmlformats.org/officeDocument/2006/relationships/hyperlink" Target="http://gutenberg.spiegel.de/?id=5&amp;xid=5453&amp;kapitel=3&amp;cHash=3aa83cf0982" TargetMode="External"/><Relationship Id="rId1043" Type="http://schemas.openxmlformats.org/officeDocument/2006/relationships/hyperlink" Target="http://projekt.gutenberg.de/?id=5&amp;xid=5459&amp;kapitel=4&amp;cHash=2500fb16a9chap004" TargetMode="External"/><Relationship Id="rId1488" Type="http://schemas.openxmlformats.org/officeDocument/2006/relationships/hyperlink" Target="http://gutenberg.spiegel.de/?id=5&amp;xid=5466&amp;kapitel=1" TargetMode="External"/><Relationship Id="rId1695" Type="http://schemas.openxmlformats.org/officeDocument/2006/relationships/hyperlink" Target="http://de.wikipedia.org/wiki/Mutismus" TargetMode="External"/><Relationship Id="rId620" Type="http://schemas.openxmlformats.org/officeDocument/2006/relationships/hyperlink" Target="http://gutenberg.spiegel.de/?id=5&amp;xid=5471&amp;kapitel=6&amp;cHash=fef33401182" TargetMode="External"/><Relationship Id="rId718" Type="http://schemas.openxmlformats.org/officeDocument/2006/relationships/hyperlink" Target="http://gutenberg.spiegel.de/?id=5&amp;xid=5452&amp;kapitel=8&amp;cHash=0b6f4173732" TargetMode="External"/><Relationship Id="rId925" Type="http://schemas.openxmlformats.org/officeDocument/2006/relationships/hyperlink" Target="http://gutenberg.spiegel.de/?id=5&amp;xid=5453&amp;kapitel=31&amp;cHash=3aa83cf0982" TargetMode="External"/><Relationship Id="rId1250" Type="http://schemas.openxmlformats.org/officeDocument/2006/relationships/hyperlink" Target="http://projekt.gutenberg.de/?id=5&amp;xid=5469&amp;kapitel=4&amp;cHash=37599a73a72" TargetMode="External"/><Relationship Id="rId1348" Type="http://schemas.openxmlformats.org/officeDocument/2006/relationships/hyperlink" Target="http://gutenberg.spiegel.de/?id=5&amp;xid=5468&amp;kapitel=11&amp;cHash=3b7308c8912" TargetMode="External"/><Relationship Id="rId1555" Type="http://schemas.openxmlformats.org/officeDocument/2006/relationships/hyperlink" Target="http://gutenberg.spiegel.de/?id=5&amp;xid=5466&amp;kapitel=4&amp;cHash=160114ee7d2" TargetMode="External"/><Relationship Id="rId1762" Type="http://schemas.openxmlformats.org/officeDocument/2006/relationships/hyperlink" Target="http://de.wikisource.org/wiki/Studien_%C3%BCber_Hysterie/Beobachtung_II._Frau_Emmy_v._N%E2%80%A6" TargetMode="External"/><Relationship Id="rId1110" Type="http://schemas.openxmlformats.org/officeDocument/2006/relationships/hyperlink" Target="http://projekt.gutenberg.de/?id=5&amp;xid=5455&amp;kapitel=3&amp;cHash=893cd6bc1c2" TargetMode="External"/><Relationship Id="rId1208" Type="http://schemas.openxmlformats.org/officeDocument/2006/relationships/hyperlink" Target="http://projekt.gutenberg.de/?id=5&amp;xid=5469&amp;kapitel=2&amp;cHash=37599a73a72" TargetMode="External"/><Relationship Id="rId1415" Type="http://schemas.openxmlformats.org/officeDocument/2006/relationships/hyperlink" Target="http://gutenberg.spiegel.de/?id=5&amp;xid=5454&amp;kapitel=14&amp;cHash=7be8bceb522" TargetMode="External"/><Relationship Id="rId54" Type="http://schemas.openxmlformats.org/officeDocument/2006/relationships/hyperlink" Target="http://gutenberg.spiegel.de/?id=5&amp;xid=5479&amp;kapitel=12&amp;cHash=c9ba69ac182" TargetMode="External"/><Relationship Id="rId1622" Type="http://schemas.openxmlformats.org/officeDocument/2006/relationships/hyperlink" Target="http://de.wikisource.org/wiki/Studien_%C3%BCber_Hysterie/Beobachtung_I._Frl._Anna_O%E2%80%A6" TargetMode="External"/><Relationship Id="rId1927" Type="http://schemas.openxmlformats.org/officeDocument/2006/relationships/hyperlink" Target="http://de.wikisource.org/wiki/Studien_%C3%BCber_Hysterie/Theoretisches" TargetMode="External"/><Relationship Id="rId270" Type="http://schemas.openxmlformats.org/officeDocument/2006/relationships/hyperlink" Target="http://gutenberg.spiegel.de/?id=5&amp;xid=5470&amp;kapitel=5&amp;cHash=e3099ac4fe2" TargetMode="External"/><Relationship Id="rId130" Type="http://schemas.openxmlformats.org/officeDocument/2006/relationships/hyperlink" Target="http://gutenberg.spiegel.de/?id=5&amp;xid=5479&amp;kapitel=21&amp;cHash=c9ba69ac182" TargetMode="External"/><Relationship Id="rId368" Type="http://schemas.openxmlformats.org/officeDocument/2006/relationships/hyperlink" Target="http://projekt.gutenberg.de/?id=5&amp;xid=5455&amp;kapitel=1" TargetMode="External"/><Relationship Id="rId575" Type="http://schemas.openxmlformats.org/officeDocument/2006/relationships/hyperlink" Target="http://gutenberg.spiegel.de/?id=5&amp;xid=5471&amp;kapitel=6&amp;cHash=fef33401182" TargetMode="External"/><Relationship Id="rId782" Type="http://schemas.openxmlformats.org/officeDocument/2006/relationships/hyperlink" Target="http://gutenberg.spiegel.de/?id=5&amp;xid=5452&amp;kapitel=23&amp;cHash=0b6f4173732" TargetMode="External"/><Relationship Id="rId2049" Type="http://schemas.openxmlformats.org/officeDocument/2006/relationships/hyperlink" Target="http://de.wikisource.org/wiki/Seite:De_Studien_%C3%BCber_Hysterie_236.jpg" TargetMode="External"/><Relationship Id="rId228" Type="http://schemas.openxmlformats.org/officeDocument/2006/relationships/hyperlink" Target="http://gutenberg.spiegel.de/?id=5&amp;xid=5479&amp;kapitel=31&amp;cHash=c9ba69ac182" TargetMode="External"/><Relationship Id="rId435" Type="http://schemas.openxmlformats.org/officeDocument/2006/relationships/hyperlink" Target="http://gutenberg.spiegel.de/?id=5&amp;xid=5458&amp;kapitel=4&amp;cHash=cd31317e0b2" TargetMode="External"/><Relationship Id="rId642" Type="http://schemas.openxmlformats.org/officeDocument/2006/relationships/hyperlink" Target="http://gutenberg.spiegel.de/?id=5&amp;xid=5471&amp;kapitel=6&amp;cHash=fef33401182" TargetMode="External"/><Relationship Id="rId1065" Type="http://schemas.openxmlformats.org/officeDocument/2006/relationships/hyperlink" Target="http://projekt.gutenberg.de/?id=5&amp;xid=5455&amp;kapitel=2&amp;cHash=893cd6bc1c2" TargetMode="External"/><Relationship Id="rId1272" Type="http://schemas.openxmlformats.org/officeDocument/2006/relationships/hyperlink" Target="http://projekt.gutenberg.de/?id=5&amp;xid=5463&amp;kapitel=4&amp;cHash=3873cdf9922" TargetMode="External"/><Relationship Id="rId502" Type="http://schemas.openxmlformats.org/officeDocument/2006/relationships/hyperlink" Target="http://gutenberg.spiegel.de/?id=5&amp;xid=5471&amp;kapitel=4&amp;cHash=fef33401182" TargetMode="External"/><Relationship Id="rId947" Type="http://schemas.openxmlformats.org/officeDocument/2006/relationships/hyperlink" Target="http://gutenberg.spiegel.de/?id=5&amp;xid=5453&amp;kapitel=34&amp;cHash=3aa83cf0982" TargetMode="External"/><Relationship Id="rId1132" Type="http://schemas.openxmlformats.org/officeDocument/2006/relationships/hyperlink" Target="http://projekt.gutenberg.de/?id=5&amp;xid=5475&amp;kapitel=5&amp;cHash=f458b8542a2" TargetMode="External"/><Relationship Id="rId1577" Type="http://schemas.openxmlformats.org/officeDocument/2006/relationships/hyperlink" Target="http://gutenberg.spiegel.de/?id=5&amp;xid=5456&amp;kapitel=1" TargetMode="External"/><Relationship Id="rId1784" Type="http://schemas.openxmlformats.org/officeDocument/2006/relationships/hyperlink" Target="http://de.wikisource.org/wiki/Studien_%C3%BCber_Hysterie/Beobachtung_II._Frau_Emmy_v._N%E2%80%A6" TargetMode="External"/><Relationship Id="rId1991" Type="http://schemas.openxmlformats.org/officeDocument/2006/relationships/hyperlink" Target="http://de.wikisource.org/wiki/Seite:De_Studien_%C3%BCber_Hysterie_210.jpg" TargetMode="External"/><Relationship Id="rId76" Type="http://schemas.openxmlformats.org/officeDocument/2006/relationships/hyperlink" Target="http://gutenberg.spiegel.de/?id=5&amp;xid=5479&amp;kapitel=16&amp;cHash=c9ba69ac182" TargetMode="External"/><Relationship Id="rId807" Type="http://schemas.openxmlformats.org/officeDocument/2006/relationships/hyperlink" Target="http://gutenberg.spiegel.de/?id=5&amp;xid=5452&amp;kapitel=33&amp;cHash=0b6f4173732" TargetMode="External"/><Relationship Id="rId1437" Type="http://schemas.openxmlformats.org/officeDocument/2006/relationships/hyperlink" Target="http://gutenberg.spiegel.de/?id=5&amp;xid=5454&amp;kapitel=23&amp;cHash=7be8bceb522" TargetMode="External"/><Relationship Id="rId1644" Type="http://schemas.openxmlformats.org/officeDocument/2006/relationships/hyperlink" Target="http://de.wikisource.org/wiki/Seite:De_Studien_%C3%BCber_Hysterie_023.jpg" TargetMode="External"/><Relationship Id="rId1851" Type="http://schemas.openxmlformats.org/officeDocument/2006/relationships/hyperlink" Target="http://de.wikisource.org/wiki/Seite:De_Studien_%C3%BCber_Hysterie_107.jpg" TargetMode="External"/><Relationship Id="rId1504" Type="http://schemas.openxmlformats.org/officeDocument/2006/relationships/hyperlink" Target="http://gutenberg.spiegel.de/?id=5&amp;xid=5466&amp;kapitel=1" TargetMode="External"/><Relationship Id="rId1711" Type="http://schemas.openxmlformats.org/officeDocument/2006/relationships/hyperlink" Target="http://de.wikipedia.org/wiki/Metamorphopsie" TargetMode="External"/><Relationship Id="rId1949" Type="http://schemas.openxmlformats.org/officeDocument/2006/relationships/hyperlink" Target="http://de.wikisource.org/wiki/Seite:De_Studien_%C3%BCber_Hysterie_179.jpg" TargetMode="External"/><Relationship Id="rId292" Type="http://schemas.openxmlformats.org/officeDocument/2006/relationships/hyperlink" Target="http://gutenberg.spiegel.de/?id=5&amp;xid=5474&amp;kapitel=2&amp;cHash=319187eedd2" TargetMode="External"/><Relationship Id="rId1809" Type="http://schemas.openxmlformats.org/officeDocument/2006/relationships/hyperlink" Target="http://de.wikisource.org/wiki/Studien_%C3%BCber_Hysterie/Beobachtung_II._Frau_Emmy_v._N%E2%80%A6" TargetMode="External"/><Relationship Id="rId597" Type="http://schemas.openxmlformats.org/officeDocument/2006/relationships/hyperlink" Target="http://gutenberg.spiegel.de/?id=5&amp;xid=5471&amp;kapitel=6&amp;cHash=fef33401182" TargetMode="External"/><Relationship Id="rId152" Type="http://schemas.openxmlformats.org/officeDocument/2006/relationships/hyperlink" Target="http://gutenberg.spiegel.de/?id=5&amp;xid=5479&amp;kapitel=24&amp;cHash=c9ba69ac182" TargetMode="External"/><Relationship Id="rId457" Type="http://schemas.openxmlformats.org/officeDocument/2006/relationships/hyperlink" Target="http://gutenberg.spiegel.de/?id=5&amp;xid=5471&amp;kapitel=3&amp;cHash=fef33401182" TargetMode="External"/><Relationship Id="rId1087" Type="http://schemas.openxmlformats.org/officeDocument/2006/relationships/hyperlink" Target="http://projekt.gutenberg.de/?id=5&amp;xid=5455&amp;kapitel=2&amp;cHash=893cd6bc1c2" TargetMode="External"/><Relationship Id="rId1294" Type="http://schemas.openxmlformats.org/officeDocument/2006/relationships/hyperlink" Target="http://projekt.gutenberg.de/?id=5&amp;xid=5463&amp;kapitel=7&amp;cHash=3873cdf9922" TargetMode="External"/><Relationship Id="rId2040" Type="http://schemas.openxmlformats.org/officeDocument/2006/relationships/hyperlink" Target="http://de.wikisource.org/wiki/Seite:De_Studien_%C3%BCber_Hysterie_227.jpg" TargetMode="External"/><Relationship Id="rId664" Type="http://schemas.openxmlformats.org/officeDocument/2006/relationships/hyperlink" Target="http://gutenberg.spiegel.de/?id=5&amp;xid=5471&amp;kapitel=6&amp;cHash=fef33401182" TargetMode="External"/><Relationship Id="rId871" Type="http://schemas.openxmlformats.org/officeDocument/2006/relationships/hyperlink" Target="http://gutenberg.spiegel.de/?id=5&amp;xid=5453&amp;kapitel=11&amp;cHash=3aa83cf0982" TargetMode="External"/><Relationship Id="rId969" Type="http://schemas.openxmlformats.org/officeDocument/2006/relationships/hyperlink" Target="http://projekt.gutenberg.de/?id=5&amp;xid=5459&amp;kapitel=1" TargetMode="External"/><Relationship Id="rId1599" Type="http://schemas.openxmlformats.org/officeDocument/2006/relationships/hyperlink" Target="http://de.wikisource.org/wiki/Seite:De_Studien_%C3%BCber_Hysterie_A04.jpg" TargetMode="External"/><Relationship Id="rId317" Type="http://schemas.openxmlformats.org/officeDocument/2006/relationships/hyperlink" Target="http://gutenberg.spiegel.de/?id=5&amp;xid=5474&amp;kapitel=2&amp;cHash=319187eedd2" TargetMode="External"/><Relationship Id="rId524" Type="http://schemas.openxmlformats.org/officeDocument/2006/relationships/hyperlink" Target="http://gutenberg.spiegel.de/?id=5&amp;xid=5471&amp;kapitel=5&amp;cHash=fef33401182" TargetMode="External"/><Relationship Id="rId731" Type="http://schemas.openxmlformats.org/officeDocument/2006/relationships/hyperlink" Target="http://gutenberg.spiegel.de/?id=5&amp;xid=5452&amp;kapitel=9&amp;cHash=0b6f4173732" TargetMode="External"/><Relationship Id="rId1154" Type="http://schemas.openxmlformats.org/officeDocument/2006/relationships/hyperlink" Target="http://projekt.gutenberg.de/?id=5&amp;xid=5475&amp;kapitel=8&amp;cHash=f458b8542a2" TargetMode="External"/><Relationship Id="rId1361" Type="http://schemas.openxmlformats.org/officeDocument/2006/relationships/hyperlink" Target="http://gutenberg.spiegel.de/?id=5&amp;xid=5468&amp;kapitel=18&amp;cHash=3b7308c8912" TargetMode="External"/><Relationship Id="rId1459" Type="http://schemas.openxmlformats.org/officeDocument/2006/relationships/hyperlink" Target="http://gutenberg.spiegel.de/?id=5&amp;xid=4665&amp;kapitel=6&amp;cHash=cc1c208a602" TargetMode="External"/><Relationship Id="rId98" Type="http://schemas.openxmlformats.org/officeDocument/2006/relationships/hyperlink" Target="http://gutenberg.spiegel.de/?id=5&amp;xid=5479&amp;kapitel=17&amp;cHash=c9ba69ac182" TargetMode="External"/><Relationship Id="rId829" Type="http://schemas.openxmlformats.org/officeDocument/2006/relationships/hyperlink" Target="http://gutenberg.spiegel.de/?id=5&amp;xid=5452&amp;kapitel=35&amp;cHash=0b6f4173732" TargetMode="External"/><Relationship Id="rId1014" Type="http://schemas.openxmlformats.org/officeDocument/2006/relationships/hyperlink" Target="http://projekt.gutenberg.de/?id=5&amp;xid=5459&amp;kapitel=3&amp;cHash=2500fb16a9chap003" TargetMode="External"/><Relationship Id="rId1221" Type="http://schemas.openxmlformats.org/officeDocument/2006/relationships/hyperlink" Target="http://projekt.gutenberg.de/?id=5&amp;xid=5469&amp;kapitel=3&amp;cHash=37599a73a72" TargetMode="External"/><Relationship Id="rId1666" Type="http://schemas.openxmlformats.org/officeDocument/2006/relationships/hyperlink" Target="http://de.wikipedia.org/wiki/Paraphasie" TargetMode="External"/><Relationship Id="rId1873" Type="http://schemas.openxmlformats.org/officeDocument/2006/relationships/hyperlink" Target="http://de.wikisource.org/wiki/Seite:De_Studien_%C3%BCber_Hysterie_125.jpg" TargetMode="External"/><Relationship Id="rId1319" Type="http://schemas.openxmlformats.org/officeDocument/2006/relationships/hyperlink" Target="http://gutenberg.spiegel.de/?id=5&amp;xid=5468&amp;kapitel=4&amp;cHash=3b7308c8912" TargetMode="External"/><Relationship Id="rId1526" Type="http://schemas.openxmlformats.org/officeDocument/2006/relationships/hyperlink" Target="http://gutenberg.spiegel.de/?id=5&amp;xid=5466&amp;kapitel=3&amp;cHash=160114ee7d2" TargetMode="External"/><Relationship Id="rId1733" Type="http://schemas.openxmlformats.org/officeDocument/2006/relationships/hyperlink" Target="http://de.wikisource.org/wiki/Seite:De_Studien_%C3%BCber_Hysterie_045.jpg" TargetMode="External"/><Relationship Id="rId1940" Type="http://schemas.openxmlformats.org/officeDocument/2006/relationships/hyperlink" Target="http://de.wikisource.org/wiki/Seite:De_Studien_%C3%BCber_Hysterie_171.jpg" TargetMode="External"/><Relationship Id="rId25" Type="http://schemas.openxmlformats.org/officeDocument/2006/relationships/hyperlink" Target="http://gutenberg.spiegel.de/?id=5&amp;xid=5479&amp;kapitel=7&amp;cHash=c9ba69ac182" TargetMode="External"/><Relationship Id="rId1800" Type="http://schemas.openxmlformats.org/officeDocument/2006/relationships/hyperlink" Target="http://de.wikisource.org/wiki/Studien_%C3%BCber_Hysterie/Beobachtung_II._Frau_Emmy_v._N%E2%80%A6" TargetMode="External"/><Relationship Id="rId174" Type="http://schemas.openxmlformats.org/officeDocument/2006/relationships/hyperlink" Target="http://gutenberg.spiegel.de/?id=5&amp;xid=5479&amp;kapitel=25&amp;cHash=c9ba69ac182" TargetMode="External"/><Relationship Id="rId381" Type="http://schemas.openxmlformats.org/officeDocument/2006/relationships/image" Target="media/image13.png"/><Relationship Id="rId2062" Type="http://schemas.openxmlformats.org/officeDocument/2006/relationships/hyperlink" Target="http://de.wikisource.org/wiki/Seite:De_Studien_%C3%BCber_Hysterie_249.jpg" TargetMode="External"/><Relationship Id="rId241" Type="http://schemas.openxmlformats.org/officeDocument/2006/relationships/hyperlink" Target="http://gutenberg.spiegel.de/?id=5&amp;xid=5479&amp;kapitel=32&amp;cHash=c9ba69ac182" TargetMode="External"/><Relationship Id="rId479" Type="http://schemas.openxmlformats.org/officeDocument/2006/relationships/hyperlink" Target="http://gutenberg.spiegel.de/?id=5&amp;xid=5471&amp;kapitel=4&amp;cHash=fef33401182" TargetMode="External"/><Relationship Id="rId686" Type="http://schemas.openxmlformats.org/officeDocument/2006/relationships/hyperlink" Target="http://gutenberg.spiegel.de/?id=5&amp;xid=5471&amp;kapitel=6&amp;cHash=fef33401182" TargetMode="External"/><Relationship Id="rId893" Type="http://schemas.openxmlformats.org/officeDocument/2006/relationships/hyperlink" Target="http://gutenberg.spiegel.de/?id=5&amp;xid=5453&amp;kapitel=17&amp;cHash=3aa83cf0982" TargetMode="External"/><Relationship Id="rId339" Type="http://schemas.openxmlformats.org/officeDocument/2006/relationships/hyperlink" Target="http://gutenberg.spiegel.de/?id=5&amp;xid=5474&amp;kapitel=6&amp;cHash=319187eedd2" TargetMode="External"/><Relationship Id="rId546" Type="http://schemas.openxmlformats.org/officeDocument/2006/relationships/hyperlink" Target="http://gutenberg.spiegel.de/?id=5&amp;xid=5471&amp;kapitel=6&amp;cHash=fef33401182" TargetMode="External"/><Relationship Id="rId753" Type="http://schemas.openxmlformats.org/officeDocument/2006/relationships/hyperlink" Target="http://gutenberg.spiegel.de/?id=5&amp;xid=5452&amp;kapitel=13&amp;cHash=0b6f4173732" TargetMode="External"/><Relationship Id="rId1176" Type="http://schemas.openxmlformats.org/officeDocument/2006/relationships/hyperlink" Target="http://projekt.gutenberg.de/?id=5&amp;xid=5475&amp;kapitel=10&amp;cHash=f458b8542a2" TargetMode="External"/><Relationship Id="rId1383" Type="http://schemas.openxmlformats.org/officeDocument/2006/relationships/hyperlink" Target="http://gutenberg.spiegel.de/?id=5&amp;xid=5454&amp;kapitel=4&amp;cHash=7be8bceb522" TargetMode="External"/><Relationship Id="rId101" Type="http://schemas.openxmlformats.org/officeDocument/2006/relationships/hyperlink" Target="http://gutenberg.spiegel.de/?id=5&amp;xid=5479&amp;kapitel=17&amp;cHash=c9ba69ac182" TargetMode="External"/><Relationship Id="rId406" Type="http://schemas.openxmlformats.org/officeDocument/2006/relationships/hyperlink" Target="http://projekt.gutenberg.de/?id=5&amp;xid=5455&amp;kapitel=2&amp;cHash=893cd6bc1c2" TargetMode="External"/><Relationship Id="rId960" Type="http://schemas.openxmlformats.org/officeDocument/2006/relationships/hyperlink" Target="http://gutenberg.spiegel.de/?id=5&amp;xid=5453&amp;kapitel=38&amp;cHash=3aa83cf0982" TargetMode="External"/><Relationship Id="rId1036" Type="http://schemas.openxmlformats.org/officeDocument/2006/relationships/hyperlink" Target="http://projekt.gutenberg.de/?id=5&amp;xid=5459&amp;kapitel=4&amp;cHash=2500fb16a9chap004" TargetMode="External"/><Relationship Id="rId1243" Type="http://schemas.openxmlformats.org/officeDocument/2006/relationships/hyperlink" Target="http://projekt.gutenberg.de/?id=5&amp;xid=5469&amp;kapitel=3&amp;cHash=37599a73a72" TargetMode="External"/><Relationship Id="rId1590" Type="http://schemas.openxmlformats.org/officeDocument/2006/relationships/hyperlink" Target="http://gutenberg.spiegel.de/?id=5&amp;xid=5456&amp;kapitel=4&amp;cHash=177f1789a72" TargetMode="External"/><Relationship Id="rId1688" Type="http://schemas.openxmlformats.org/officeDocument/2006/relationships/hyperlink" Target="http://de.wikisource.org/wiki/Studien_%C3%BCber_Hysterie/Beobachtung_I._Frl._Anna_O%E2%80%A6" TargetMode="External"/><Relationship Id="rId1895" Type="http://schemas.openxmlformats.org/officeDocument/2006/relationships/hyperlink" Target="http://de.wikisource.org/wiki/Seite:De_Studien_%C3%BCber_Hysterie_144.jpg" TargetMode="External"/><Relationship Id="rId613" Type="http://schemas.openxmlformats.org/officeDocument/2006/relationships/hyperlink" Target="http://gutenberg.spiegel.de/?id=5&amp;xid=5471&amp;kapitel=6&amp;cHash=fef33401182" TargetMode="External"/><Relationship Id="rId820" Type="http://schemas.openxmlformats.org/officeDocument/2006/relationships/image" Target="media/image24.jpeg"/><Relationship Id="rId918" Type="http://schemas.openxmlformats.org/officeDocument/2006/relationships/hyperlink" Target="http://gutenberg.spiegel.de/?id=5&amp;xid=5453&amp;kapitel=26&amp;cHash=3aa83cf0982" TargetMode="External"/><Relationship Id="rId1450" Type="http://schemas.openxmlformats.org/officeDocument/2006/relationships/hyperlink" Target="http://gutenberg.spiegel.de/?id=5&amp;xid=5454&amp;kapitel=24&amp;cHash=7be8bceb522" TargetMode="External"/><Relationship Id="rId1548" Type="http://schemas.openxmlformats.org/officeDocument/2006/relationships/hyperlink" Target="http://gutenberg.spiegel.de/?id=5&amp;xid=5466&amp;kapitel=4&amp;cHash=160114ee7d2" TargetMode="External"/><Relationship Id="rId1755" Type="http://schemas.openxmlformats.org/officeDocument/2006/relationships/hyperlink" Target="http://de.wikisource.org/wiki/Seite:De_Studien_%C3%BCber_Hysterie_057.jpg" TargetMode="External"/><Relationship Id="rId1103" Type="http://schemas.openxmlformats.org/officeDocument/2006/relationships/hyperlink" Target="http://projekt.gutenberg.de/?id=5&amp;xid=5455&amp;kapitel=3&amp;cHash=893cd6bc1c2" TargetMode="External"/><Relationship Id="rId1310" Type="http://schemas.openxmlformats.org/officeDocument/2006/relationships/hyperlink" Target="http://gutenberg.spiegel.de/?id=5&amp;xid=5468&amp;kapitel=2&amp;cHash=3b7308c8912" TargetMode="External"/><Relationship Id="rId1408" Type="http://schemas.openxmlformats.org/officeDocument/2006/relationships/hyperlink" Target="http://gutenberg.spiegel.de/?id=5&amp;xid=5454&amp;kapitel=12&amp;cHash=7be8bceb522" TargetMode="External"/><Relationship Id="rId1962" Type="http://schemas.openxmlformats.org/officeDocument/2006/relationships/hyperlink" Target="http://de.wikisource.org/wiki/Seite:De_Studien_%C3%BCber_Hysterie_187.jpg" TargetMode="External"/><Relationship Id="rId47" Type="http://schemas.openxmlformats.org/officeDocument/2006/relationships/hyperlink" Target="http://gutenberg.spiegel.de/?id=5&amp;xid=5479&amp;kapitel=12&amp;cHash=c9ba69ac182" TargetMode="External"/><Relationship Id="rId1615" Type="http://schemas.openxmlformats.org/officeDocument/2006/relationships/hyperlink" Target="http://de.wikisource.org/wiki/Seite:De_Studien_%C3%BCber_Hysterie_014.jpg" TargetMode="External"/><Relationship Id="rId1822" Type="http://schemas.openxmlformats.org/officeDocument/2006/relationships/hyperlink" Target="http://de.wikisource.org/wiki/Studien_%C3%BCber_Hysterie/Beobachtung_II._Frau_Emmy_v._N%E2%80%A6" TargetMode="External"/><Relationship Id="rId196" Type="http://schemas.openxmlformats.org/officeDocument/2006/relationships/hyperlink" Target="http://gutenberg.spiegel.de/?id=5&amp;xid=5479&amp;kapitel=25&amp;cHash=c9ba69ac182" TargetMode="External"/><Relationship Id="rId2084" Type="http://schemas.openxmlformats.org/officeDocument/2006/relationships/footer" Target="footer1.xml"/><Relationship Id="rId263" Type="http://schemas.openxmlformats.org/officeDocument/2006/relationships/hyperlink" Target="http://gutenberg.spiegel.de/?id=5&amp;xid=5479&amp;kapitel=36&amp;cHash=c9ba69ac182" TargetMode="External"/><Relationship Id="rId470" Type="http://schemas.openxmlformats.org/officeDocument/2006/relationships/hyperlink" Target="http://gutenberg.spiegel.de/?id=5&amp;xid=5471&amp;kapitel=4&amp;cHash=fef33401182" TargetMode="External"/><Relationship Id="rId123" Type="http://schemas.openxmlformats.org/officeDocument/2006/relationships/hyperlink" Target="http://gutenberg.spiegel.de/?id=5&amp;xid=5479&amp;kapitel=19&amp;cHash=c9ba69ac182" TargetMode="External"/><Relationship Id="rId330" Type="http://schemas.openxmlformats.org/officeDocument/2006/relationships/hyperlink" Target="http://gutenberg.spiegel.de/?id=5&amp;xid=5474&amp;kapitel=4&amp;cHash=319187eedd2" TargetMode="External"/><Relationship Id="rId568" Type="http://schemas.openxmlformats.org/officeDocument/2006/relationships/hyperlink" Target="http://gutenberg.spiegel.de/?id=5&amp;xid=5471&amp;kapitel=6&amp;cHash=fef33401182" TargetMode="External"/><Relationship Id="rId775" Type="http://schemas.openxmlformats.org/officeDocument/2006/relationships/hyperlink" Target="http://gutenberg.spiegel.de/?id=5&amp;xid=5452&amp;kapitel=18&amp;cHash=0b6f4173732" TargetMode="External"/><Relationship Id="rId982" Type="http://schemas.openxmlformats.org/officeDocument/2006/relationships/hyperlink" Target="http://projekt.gutenberg.de/?id=5&amp;xid=5459&amp;kapitel=2&amp;cHash=2500fb16a9chap002" TargetMode="External"/><Relationship Id="rId1198" Type="http://schemas.openxmlformats.org/officeDocument/2006/relationships/hyperlink" Target="http://projekt.gutenberg.de/?id=5&amp;xid=5469&amp;kapitel=2&amp;cHash=37599a73a72" TargetMode="External"/><Relationship Id="rId2011" Type="http://schemas.openxmlformats.org/officeDocument/2006/relationships/hyperlink" Target="http://de.wikisource.org/wiki/Studien_%C3%BCber_Hysterie/Theoretisches" TargetMode="External"/><Relationship Id="rId428" Type="http://schemas.openxmlformats.org/officeDocument/2006/relationships/hyperlink" Target="http://projekt.gutenberg.de/?id=5&amp;xid=5455&amp;kapitel=3&amp;cHash=893cd6bc1c2" TargetMode="External"/><Relationship Id="rId635" Type="http://schemas.openxmlformats.org/officeDocument/2006/relationships/hyperlink" Target="http://gutenberg.spiegel.de/?id=5&amp;xid=5471&amp;kapitel=6&amp;cHash=fef33401182" TargetMode="External"/><Relationship Id="rId842" Type="http://schemas.openxmlformats.org/officeDocument/2006/relationships/hyperlink" Target="http://gutenberg.spiegel.de/?id=5&amp;xid=5452&amp;kapitel=39&amp;cHash=0b6f4173732" TargetMode="External"/><Relationship Id="rId1058" Type="http://schemas.openxmlformats.org/officeDocument/2006/relationships/hyperlink" Target="http://projekt.gutenberg.de/?id=5&amp;xid=5455&amp;kapitel=1" TargetMode="External"/><Relationship Id="rId1265" Type="http://schemas.openxmlformats.org/officeDocument/2006/relationships/image" Target="media/image28.gif"/><Relationship Id="rId1472" Type="http://schemas.openxmlformats.org/officeDocument/2006/relationships/hyperlink" Target="http://gutenberg.spiegel.de/?id=5&amp;xid=5473&amp;kapitel=8&amp;cHash=650a84ca1d2" TargetMode="External"/><Relationship Id="rId702" Type="http://schemas.openxmlformats.org/officeDocument/2006/relationships/hyperlink" Target="http://gutenberg.spiegel.de/?id=5&amp;xid=5452&amp;kapitel=7&amp;cHash=0b6f4173732" TargetMode="External"/><Relationship Id="rId1125" Type="http://schemas.openxmlformats.org/officeDocument/2006/relationships/hyperlink" Target="http://projekt.gutenberg.de/?id=5&amp;xid=5475&amp;kapitel=3&amp;cHash=f458b8542a2" TargetMode="External"/><Relationship Id="rId1332" Type="http://schemas.openxmlformats.org/officeDocument/2006/relationships/hyperlink" Target="http://gutenberg.spiegel.de/?id=5&amp;xid=5468&amp;kapitel=6&amp;cHash=3b7308c8912" TargetMode="External"/><Relationship Id="rId1777" Type="http://schemas.openxmlformats.org/officeDocument/2006/relationships/hyperlink" Target="http://de.wikisource.org/wiki/Seite:De_Studien_%C3%BCber_Hysterie_074.jpg" TargetMode="External"/><Relationship Id="rId1984" Type="http://schemas.openxmlformats.org/officeDocument/2006/relationships/hyperlink" Target="http://de.wikisource.org/wiki/Seite:De_Studien_%C3%BCber_Hysterie_204.jpg" TargetMode="External"/><Relationship Id="rId69" Type="http://schemas.openxmlformats.org/officeDocument/2006/relationships/hyperlink" Target="http://gutenberg.spiegel.de/?id=5&amp;xid=5479&amp;kapitel=14&amp;cHash=c9ba69ac182" TargetMode="External"/><Relationship Id="rId1637" Type="http://schemas.openxmlformats.org/officeDocument/2006/relationships/hyperlink" Target="http://de.wikisource.org/wiki/Studien_%C3%BCber_Hysterie/Beobachtung_I._Frl._Anna_O%E2%80%A6" TargetMode="External"/><Relationship Id="rId1844" Type="http://schemas.openxmlformats.org/officeDocument/2006/relationships/hyperlink" Target="http://de.wikisource.org/wiki/Seite:De_Studien_%C3%BCber_Hysterie_104.jpg" TargetMode="External"/><Relationship Id="rId1704" Type="http://schemas.openxmlformats.org/officeDocument/2006/relationships/hyperlink" Target="http://de.wikipedia.org/wiki/Paraphasie" TargetMode="External"/><Relationship Id="rId285" Type="http://schemas.openxmlformats.org/officeDocument/2006/relationships/hyperlink" Target="http://gutenberg.spiegel.de/?id=5&amp;xid=5470&amp;kapitel=11&amp;cHash=e3099ac4fe2" TargetMode="External"/><Relationship Id="rId1911" Type="http://schemas.openxmlformats.org/officeDocument/2006/relationships/hyperlink" Target="http://de.wikisource.org/wiki/Seite:De_Studien_%C3%BCber_Hysterie_157.jpg" TargetMode="External"/><Relationship Id="rId492" Type="http://schemas.openxmlformats.org/officeDocument/2006/relationships/hyperlink" Target="http://gutenberg.spiegel.de/?id=5&amp;xid=5471&amp;kapitel=4&amp;cHash=fef33401182" TargetMode="External"/><Relationship Id="rId797" Type="http://schemas.openxmlformats.org/officeDocument/2006/relationships/hyperlink" Target="http://gutenberg.spiegel.de/?id=5&amp;xid=5452&amp;kapitel=31&amp;cHash=0b6f4173732" TargetMode="External"/><Relationship Id="rId145" Type="http://schemas.openxmlformats.org/officeDocument/2006/relationships/hyperlink" Target="http://gutenberg.spiegel.de/?id=5&amp;xid=5479&amp;kapitel=23&amp;cHash=c9ba69ac182" TargetMode="External"/><Relationship Id="rId352" Type="http://schemas.openxmlformats.org/officeDocument/2006/relationships/hyperlink" Target="http://gutenberg.spiegel.de/?id=5&amp;xid=5474&amp;kapitel=7&amp;cHash=319187eedd2" TargetMode="External"/><Relationship Id="rId1287" Type="http://schemas.openxmlformats.org/officeDocument/2006/relationships/hyperlink" Target="http://projekt.gutenberg.de/?id=5&amp;xid=5463&amp;kapitel=7&amp;cHash=3873cdf9922" TargetMode="External"/><Relationship Id="rId2033" Type="http://schemas.openxmlformats.org/officeDocument/2006/relationships/hyperlink" Target="http://de.wikisource.org/wiki/Studien_%C3%BCber_Hysterie/Theoretisches" TargetMode="External"/><Relationship Id="rId212" Type="http://schemas.openxmlformats.org/officeDocument/2006/relationships/hyperlink" Target="http://gutenberg.spiegel.de/?id=5&amp;xid=5479&amp;kapitel=28&amp;cHash=c9ba69ac182" TargetMode="External"/><Relationship Id="rId657" Type="http://schemas.openxmlformats.org/officeDocument/2006/relationships/hyperlink" Target="http://gutenberg.spiegel.de/?id=5&amp;xid=5471&amp;kapitel=6&amp;cHash=fef33401182" TargetMode="External"/><Relationship Id="rId864" Type="http://schemas.openxmlformats.org/officeDocument/2006/relationships/image" Target="media/image25.png"/><Relationship Id="rId1494" Type="http://schemas.openxmlformats.org/officeDocument/2006/relationships/hyperlink" Target="http://gutenberg.spiegel.de/?id=5&amp;xid=5466&amp;kapitel=1" TargetMode="External"/><Relationship Id="rId1799" Type="http://schemas.openxmlformats.org/officeDocument/2006/relationships/hyperlink" Target="http://de.wikisource.org/wiki/Studien_%C3%BCber_Hysterie/Beobachtung_II._Frau_Emmy_v._N%E2%80%A6" TargetMode="External"/><Relationship Id="rId517" Type="http://schemas.openxmlformats.org/officeDocument/2006/relationships/hyperlink" Target="http://gutenberg.spiegel.de/?id=5&amp;xid=5471&amp;kapitel=5&amp;cHash=fef33401182" TargetMode="External"/><Relationship Id="rId724" Type="http://schemas.openxmlformats.org/officeDocument/2006/relationships/hyperlink" Target="http://gutenberg.spiegel.de/?id=5&amp;xid=5452&amp;kapitel=9&amp;cHash=0b6f4173732" TargetMode="External"/><Relationship Id="rId931" Type="http://schemas.openxmlformats.org/officeDocument/2006/relationships/hyperlink" Target="http://gutenberg.spiegel.de/?id=5&amp;xid=5453&amp;kapitel=32&amp;cHash=3aa83cf0982" TargetMode="External"/><Relationship Id="rId1147" Type="http://schemas.openxmlformats.org/officeDocument/2006/relationships/hyperlink" Target="http://projekt.gutenberg.de/?id=5&amp;xid=5475&amp;kapitel=6&amp;cHash=f458b8542a2" TargetMode="External"/><Relationship Id="rId1354" Type="http://schemas.openxmlformats.org/officeDocument/2006/relationships/hyperlink" Target="http://gutenberg.spiegel.de/?id=5&amp;xid=5468&amp;kapitel=13&amp;cHash=3b7308c8912" TargetMode="External"/><Relationship Id="rId1561" Type="http://schemas.openxmlformats.org/officeDocument/2006/relationships/hyperlink" Target="http://gutenberg.spiegel.de/?id=5&amp;xid=5466&amp;kapitel=5&amp;cHash=160114ee7d2" TargetMode="External"/><Relationship Id="rId60" Type="http://schemas.openxmlformats.org/officeDocument/2006/relationships/hyperlink" Target="http://gutenberg.spiegel.de/?id=5&amp;xid=5479&amp;kapitel=13&amp;cHash=c9ba69ac182" TargetMode="External"/><Relationship Id="rId1007" Type="http://schemas.openxmlformats.org/officeDocument/2006/relationships/hyperlink" Target="http://projekt.gutenberg.de/?id=5&amp;xid=5459&amp;kapitel=3&amp;cHash=2500fb16a9chap003" TargetMode="External"/><Relationship Id="rId1214" Type="http://schemas.openxmlformats.org/officeDocument/2006/relationships/hyperlink" Target="http://projekt.gutenberg.de/?id=5&amp;xid=5469&amp;kapitel=3&amp;cHash=37599a73a72" TargetMode="External"/><Relationship Id="rId1421" Type="http://schemas.openxmlformats.org/officeDocument/2006/relationships/hyperlink" Target="http://gutenberg.spiegel.de/?id=5&amp;xid=5454&amp;kapitel=15&amp;cHash=7be8bceb522" TargetMode="External"/><Relationship Id="rId1659" Type="http://schemas.openxmlformats.org/officeDocument/2006/relationships/hyperlink" Target="http://de.wikisource.org/wiki/Studien_%C3%BCber_Hysterie/Beobachtung_I._Frl._Anna_O%E2%80%A6" TargetMode="External"/><Relationship Id="rId1866" Type="http://schemas.openxmlformats.org/officeDocument/2006/relationships/hyperlink" Target="http://de.wikisource.org/wiki/Seite:De_Studien_%C3%BCber_Hysterie_119.jpg" TargetMode="External"/><Relationship Id="rId1519" Type="http://schemas.openxmlformats.org/officeDocument/2006/relationships/hyperlink" Target="http://gutenberg.spiegel.de/?id=5&amp;xid=5466&amp;kapitel=2&amp;cHash=160114ee7d2" TargetMode="External"/><Relationship Id="rId1726" Type="http://schemas.openxmlformats.org/officeDocument/2006/relationships/hyperlink" Target="http://de.wikisource.org/wiki/Seite:De_Studien_%C3%BCber_Hysterie_042.jpg" TargetMode="External"/><Relationship Id="rId1933" Type="http://schemas.openxmlformats.org/officeDocument/2006/relationships/hyperlink" Target="http://de.wikisource.org/wiki/Studien_%C3%BCber_Hysterie/Theoretisches" TargetMode="External"/><Relationship Id="rId18" Type="http://schemas.openxmlformats.org/officeDocument/2006/relationships/hyperlink" Target="http://gutenberg.spiegel.de/?id=5&amp;xid=5479&amp;kapitel=3&amp;cHash=c9ba69ac182" TargetMode="External"/><Relationship Id="rId167" Type="http://schemas.openxmlformats.org/officeDocument/2006/relationships/hyperlink" Target="http://gutenberg.spiegel.de/?id=5&amp;xid=5479&amp;kapitel=25&amp;cHash=c9ba69ac182" TargetMode="External"/><Relationship Id="rId374" Type="http://schemas.openxmlformats.org/officeDocument/2006/relationships/hyperlink" Target="http://projekt.gutenberg.de/?id=5&amp;xid=5455&amp;kapitel=2&amp;cHash=893cd6bc1c2" TargetMode="External"/><Relationship Id="rId581" Type="http://schemas.openxmlformats.org/officeDocument/2006/relationships/hyperlink" Target="http://gutenberg.spiegel.de/?id=5&amp;xid=5471&amp;kapitel=6&amp;cHash=fef33401182" TargetMode="External"/><Relationship Id="rId2055" Type="http://schemas.openxmlformats.org/officeDocument/2006/relationships/hyperlink" Target="http://de.wikisource.org/wiki/Seite:De_Studien_%C3%BCber_Hysterie_242.jpg" TargetMode="External"/><Relationship Id="rId234" Type="http://schemas.openxmlformats.org/officeDocument/2006/relationships/hyperlink" Target="http://gutenberg.spiegel.de/?id=5&amp;xid=5479&amp;kapitel=31&amp;cHash=c9ba69ac182" TargetMode="External"/><Relationship Id="rId679" Type="http://schemas.openxmlformats.org/officeDocument/2006/relationships/hyperlink" Target="http://gutenberg.spiegel.de/?id=5&amp;xid=5471&amp;kapitel=6&amp;cHash=fef33401182" TargetMode="External"/><Relationship Id="rId886" Type="http://schemas.openxmlformats.org/officeDocument/2006/relationships/hyperlink" Target="http://gutenberg.spiegel.de/?id=5&amp;xid=5453&amp;kapitel=15&amp;cHash=3aa83cf0982" TargetMode="External"/><Relationship Id="rId2" Type="http://schemas.openxmlformats.org/officeDocument/2006/relationships/numbering" Target="numbering.xml"/><Relationship Id="rId441" Type="http://schemas.openxmlformats.org/officeDocument/2006/relationships/hyperlink" Target="http://gutenberg.spiegel.de/?id=5&amp;xid=5458&amp;kapitel=11&amp;cHash=cd31317e0b2" TargetMode="External"/><Relationship Id="rId539" Type="http://schemas.openxmlformats.org/officeDocument/2006/relationships/hyperlink" Target="http://gutenberg.spiegel.de/?id=5&amp;xid=5471&amp;kapitel=5&amp;cHash=fef33401182" TargetMode="External"/><Relationship Id="rId746" Type="http://schemas.openxmlformats.org/officeDocument/2006/relationships/hyperlink" Target="http://gutenberg.spiegel.de/?id=5&amp;xid=5452&amp;kapitel=11&amp;cHash=0b6f4173732" TargetMode="External"/><Relationship Id="rId1071" Type="http://schemas.openxmlformats.org/officeDocument/2006/relationships/hyperlink" Target="http://projekt.gutenberg.de/?id=5&amp;xid=5455&amp;kapitel=2&amp;cHash=893cd6bc1c2" TargetMode="External"/><Relationship Id="rId1169" Type="http://schemas.openxmlformats.org/officeDocument/2006/relationships/hyperlink" Target="http://projekt.gutenberg.de/?id=5&amp;xid=5475&amp;kapitel=9&amp;cHash=f458b8542a2" TargetMode="External"/><Relationship Id="rId1376" Type="http://schemas.openxmlformats.org/officeDocument/2006/relationships/hyperlink" Target="http://gutenberg.spiegel.de/?id=5&amp;xid=5454&amp;kapitel=3&amp;cHash=7be8bceb522" TargetMode="External"/><Relationship Id="rId1583" Type="http://schemas.openxmlformats.org/officeDocument/2006/relationships/hyperlink" Target="http://gutenberg.spiegel.de/?id=5&amp;xid=5456&amp;kapitel=1" TargetMode="External"/><Relationship Id="rId301" Type="http://schemas.openxmlformats.org/officeDocument/2006/relationships/hyperlink" Target="http://gutenberg.spiegel.de/?id=5&amp;xid=5474&amp;kapitel=2&amp;cHash=319187eedd2" TargetMode="External"/><Relationship Id="rId953" Type="http://schemas.openxmlformats.org/officeDocument/2006/relationships/hyperlink" Target="http://gutenberg.spiegel.de/?id=5&amp;xid=5453&amp;kapitel=35&amp;cHash=3aa83cf0982" TargetMode="External"/><Relationship Id="rId1029" Type="http://schemas.openxmlformats.org/officeDocument/2006/relationships/hyperlink" Target="http://projekt.gutenberg.de/?id=5&amp;xid=5459&amp;kapitel=4&amp;cHash=2500fb16a9chap004" TargetMode="External"/><Relationship Id="rId1236" Type="http://schemas.openxmlformats.org/officeDocument/2006/relationships/hyperlink" Target="http://projekt.gutenberg.de/?id=5&amp;xid=5469&amp;kapitel=3&amp;cHash=37599a73a72" TargetMode="External"/><Relationship Id="rId1790" Type="http://schemas.openxmlformats.org/officeDocument/2006/relationships/hyperlink" Target="http://de.wikisource.org/wiki/Seite:De_Studien_%C3%BCber_Hysterie_085.jpg" TargetMode="External"/><Relationship Id="rId1888" Type="http://schemas.openxmlformats.org/officeDocument/2006/relationships/hyperlink" Target="http://de.wikisource.org/wiki/Seite:De_Studien_%C3%BCber_Hysterie_138.jpg" TargetMode="External"/><Relationship Id="rId82" Type="http://schemas.openxmlformats.org/officeDocument/2006/relationships/hyperlink" Target="http://gutenberg.spiegel.de/?id=5&amp;xid=5479&amp;kapitel=16&amp;cHash=c9ba69ac182" TargetMode="External"/><Relationship Id="rId606" Type="http://schemas.openxmlformats.org/officeDocument/2006/relationships/hyperlink" Target="http://gutenberg.spiegel.de/?id=5&amp;xid=5471&amp;kapitel=6&amp;cHash=fef33401182" TargetMode="External"/><Relationship Id="rId813" Type="http://schemas.openxmlformats.org/officeDocument/2006/relationships/hyperlink" Target="http://gutenberg.spiegel.de/?id=5&amp;xid=5452&amp;kapitel=33&amp;cHash=0b6f4173732" TargetMode="External"/><Relationship Id="rId1443" Type="http://schemas.openxmlformats.org/officeDocument/2006/relationships/hyperlink" Target="http://gutenberg.spiegel.de/?id=5&amp;xid=5454&amp;kapitel=23&amp;cHash=7be8bceb522" TargetMode="External"/><Relationship Id="rId1650" Type="http://schemas.openxmlformats.org/officeDocument/2006/relationships/hyperlink" Target="http://de.wikisource.org/wiki/Seite:De_Studien_%C3%BCber_Hysterie_027.jpg" TargetMode="External"/><Relationship Id="rId1748" Type="http://schemas.openxmlformats.org/officeDocument/2006/relationships/hyperlink" Target="http://de.wikisource.org/wiki/Studien_%C3%BCber_Hysterie/Beobachtung_II._Frau_Emmy_v._N%E2%80%A6" TargetMode="External"/><Relationship Id="rId1303" Type="http://schemas.openxmlformats.org/officeDocument/2006/relationships/hyperlink" Target="http://gutenberg.spiegel.de/?id=5&amp;xid=5468&amp;kapitel=1" TargetMode="External"/><Relationship Id="rId1510" Type="http://schemas.openxmlformats.org/officeDocument/2006/relationships/hyperlink" Target="http://gutenberg.spiegel.de/?id=5&amp;xid=5466&amp;kapitel=2&amp;cHash=160114ee7d2" TargetMode="External"/><Relationship Id="rId1955" Type="http://schemas.openxmlformats.org/officeDocument/2006/relationships/hyperlink" Target="http://de.wikisource.org/wiki/Seite:De_Studien_%C3%BCber_Hysterie_183.jpg" TargetMode="External"/><Relationship Id="rId1608" Type="http://schemas.openxmlformats.org/officeDocument/2006/relationships/hyperlink" Target="http://de.wikisource.org/wiki/Seite:De_Studien_%C3%BCber_Hysterie_007.jpg" TargetMode="External"/><Relationship Id="rId1815" Type="http://schemas.openxmlformats.org/officeDocument/2006/relationships/hyperlink" Target="http://de.wikisource.org/wiki/Seite:De_Studien_%C3%BCber_Hysterie_056.jpg" TargetMode="External"/><Relationship Id="rId189" Type="http://schemas.openxmlformats.org/officeDocument/2006/relationships/hyperlink" Target="http://gutenberg.spiegel.de/?id=5&amp;xid=5479&amp;kapitel=25&amp;cHash=c9ba69ac182" TargetMode="External"/><Relationship Id="rId396" Type="http://schemas.openxmlformats.org/officeDocument/2006/relationships/hyperlink" Target="http://projekt.gutenberg.de/?id=5&amp;xid=5455&amp;kapitel=2&amp;cHash=893cd6bc1c2" TargetMode="External"/><Relationship Id="rId2077" Type="http://schemas.openxmlformats.org/officeDocument/2006/relationships/hyperlink" Target="http://de.wikisource.org/wiki/Seite:De_Studien_%C3%BCber_Hysterie_264.jpg" TargetMode="External"/><Relationship Id="rId256" Type="http://schemas.openxmlformats.org/officeDocument/2006/relationships/hyperlink" Target="http://gutenberg.spiegel.de/?id=5&amp;xid=5479&amp;kapitel=34&amp;cHash=c9ba69ac182" TargetMode="External"/><Relationship Id="rId463" Type="http://schemas.openxmlformats.org/officeDocument/2006/relationships/hyperlink" Target="http://gutenberg.spiegel.de/?id=5&amp;xid=5471&amp;kapitel=4&amp;cHash=fef33401182" TargetMode="External"/><Relationship Id="rId670" Type="http://schemas.openxmlformats.org/officeDocument/2006/relationships/hyperlink" Target="http://gutenberg.spiegel.de/?id=5&amp;xid=5471&amp;kapitel=6&amp;cHash=fef33401182" TargetMode="External"/><Relationship Id="rId1093" Type="http://schemas.openxmlformats.org/officeDocument/2006/relationships/hyperlink" Target="http://projekt.gutenberg.de/?id=5&amp;xid=5455&amp;kapitel=2&amp;cHash=893cd6bc1c2" TargetMode="External"/><Relationship Id="rId116" Type="http://schemas.openxmlformats.org/officeDocument/2006/relationships/hyperlink" Target="http://gutenberg.spiegel.de/?id=5&amp;xid=5479&amp;kapitel=19&amp;cHash=c9ba69ac182" TargetMode="External"/><Relationship Id="rId323" Type="http://schemas.openxmlformats.org/officeDocument/2006/relationships/hyperlink" Target="http://gutenberg.spiegel.de/?id=5&amp;xid=5474&amp;kapitel=3&amp;cHash=319187eedd2" TargetMode="External"/><Relationship Id="rId530" Type="http://schemas.openxmlformats.org/officeDocument/2006/relationships/hyperlink" Target="http://gutenberg.spiegel.de/?id=5&amp;xid=5471&amp;kapitel=5&amp;cHash=fef33401182" TargetMode="External"/><Relationship Id="rId768" Type="http://schemas.openxmlformats.org/officeDocument/2006/relationships/hyperlink" Target="http://gutenberg.spiegel.de/?id=5&amp;xid=5452&amp;kapitel=15&amp;cHash=0b6f4173732" TargetMode="External"/><Relationship Id="rId975" Type="http://schemas.openxmlformats.org/officeDocument/2006/relationships/hyperlink" Target="http://projekt.gutenberg.de/?id=5&amp;xid=5459&amp;kapitel=2&amp;cHash=2500fb16a9chap002" TargetMode="External"/><Relationship Id="rId1160" Type="http://schemas.openxmlformats.org/officeDocument/2006/relationships/hyperlink" Target="http://projekt.gutenberg.de/?id=5&amp;xid=5475&amp;kapitel=8&amp;cHash=f458b8542a2" TargetMode="External"/><Relationship Id="rId1398" Type="http://schemas.openxmlformats.org/officeDocument/2006/relationships/hyperlink" Target="http://gutenberg.spiegel.de/?id=5&amp;xid=5454&amp;kapitel=7&amp;cHash=7be8bceb522" TargetMode="External"/><Relationship Id="rId2004" Type="http://schemas.openxmlformats.org/officeDocument/2006/relationships/hyperlink" Target="http://de.wikisource.org/wiki/Seite:De_Studien_%C3%BCber_Hysterie_218.jpg" TargetMode="External"/><Relationship Id="rId628" Type="http://schemas.openxmlformats.org/officeDocument/2006/relationships/hyperlink" Target="http://gutenberg.spiegel.de/?id=5&amp;xid=5471&amp;kapitel=6&amp;cHash=fef33401182" TargetMode="External"/><Relationship Id="rId835" Type="http://schemas.openxmlformats.org/officeDocument/2006/relationships/hyperlink" Target="http://gutenberg.spiegel.de/?id=5&amp;xid=5452&amp;kapitel=36&amp;cHash=0b6f4173732" TargetMode="External"/><Relationship Id="rId1258" Type="http://schemas.openxmlformats.org/officeDocument/2006/relationships/hyperlink" Target="http://projekt.gutenberg.de/?id=5&amp;xid=5469&amp;kapitel=5&amp;cHash=37599a73a72" TargetMode="External"/><Relationship Id="rId1465" Type="http://schemas.openxmlformats.org/officeDocument/2006/relationships/hyperlink" Target="http://gutenberg.spiegel.de/?id=5&amp;xid=4665&amp;kapitel=17&amp;cHash=cc1c208a602" TargetMode="External"/><Relationship Id="rId1672" Type="http://schemas.openxmlformats.org/officeDocument/2006/relationships/hyperlink" Target="http://de.wikipedia.org/wiki/Parese" TargetMode="External"/><Relationship Id="rId1020" Type="http://schemas.openxmlformats.org/officeDocument/2006/relationships/hyperlink" Target="http://projekt.gutenberg.de/?id=5&amp;xid=5459&amp;kapitel=3&amp;cHash=2500fb16a9chap003" TargetMode="External"/><Relationship Id="rId1118" Type="http://schemas.openxmlformats.org/officeDocument/2006/relationships/hyperlink" Target="http://projekt.gutenberg.de/?id=5&amp;xid=5455&amp;kapitel=3&amp;cHash=893cd6bc1c2" TargetMode="External"/><Relationship Id="rId1325" Type="http://schemas.openxmlformats.org/officeDocument/2006/relationships/hyperlink" Target="http://gutenberg.spiegel.de/?id=5&amp;xid=5468&amp;kapitel=5&amp;cHash=3b7308c8912" TargetMode="External"/><Relationship Id="rId1532" Type="http://schemas.openxmlformats.org/officeDocument/2006/relationships/hyperlink" Target="http://gutenberg.spiegel.de/?id=5&amp;xid=5466&amp;kapitel=3&amp;cHash=160114ee7d2" TargetMode="External"/><Relationship Id="rId1977" Type="http://schemas.openxmlformats.org/officeDocument/2006/relationships/hyperlink" Target="http://de.wikisource.org/wiki/Studien_%C3%BCber_Hysterie/Theoretisches" TargetMode="External"/><Relationship Id="rId902" Type="http://schemas.openxmlformats.org/officeDocument/2006/relationships/hyperlink" Target="http://gutenberg.spiegel.de/?id=5&amp;xid=5453&amp;kapitel=18&amp;cHash=3aa83cf0982" TargetMode="External"/><Relationship Id="rId1837" Type="http://schemas.openxmlformats.org/officeDocument/2006/relationships/hyperlink" Target="http://de.wikisource.org/wiki/Seite:De_Studien_%C3%BCber_Hysterie_098.jpg" TargetMode="External"/><Relationship Id="rId31" Type="http://schemas.openxmlformats.org/officeDocument/2006/relationships/hyperlink" Target="http://gutenberg.spiegel.de/?id=5&amp;xid=5479&amp;kapitel=8&amp;cHash=c9ba69ac182" TargetMode="External"/><Relationship Id="rId180" Type="http://schemas.openxmlformats.org/officeDocument/2006/relationships/hyperlink" Target="http://gutenberg.spiegel.de/?id=5&amp;xid=5479&amp;kapitel=25&amp;cHash=c9ba69ac182" TargetMode="External"/><Relationship Id="rId278" Type="http://schemas.openxmlformats.org/officeDocument/2006/relationships/hyperlink" Target="http://gutenberg.spiegel.de/?id=5&amp;xid=5470&amp;kapitel=7&amp;cHash=e3099ac4fe2" TargetMode="External"/><Relationship Id="rId1904" Type="http://schemas.openxmlformats.org/officeDocument/2006/relationships/hyperlink" Target="http://de.wikisource.org/wiki/Seite:De_Studien_%C3%BCber_Hysterie_151.jpg" TargetMode="External"/><Relationship Id="rId485" Type="http://schemas.openxmlformats.org/officeDocument/2006/relationships/hyperlink" Target="http://gutenberg.spiegel.de/?id=5&amp;xid=5471&amp;kapitel=4&amp;cHash=fef33401182" TargetMode="External"/><Relationship Id="rId692" Type="http://schemas.openxmlformats.org/officeDocument/2006/relationships/hyperlink" Target="http://gutenberg.spiegel.de/?id=5&amp;xid=5471&amp;kapitel=6&amp;cHash=fef33401182" TargetMode="External"/><Relationship Id="rId138" Type="http://schemas.openxmlformats.org/officeDocument/2006/relationships/hyperlink" Target="http://gutenberg.spiegel.de/?id=5&amp;xid=5479&amp;kapitel=22&amp;cHash=c9ba69ac182" TargetMode="External"/><Relationship Id="rId345" Type="http://schemas.openxmlformats.org/officeDocument/2006/relationships/hyperlink" Target="http://gutenberg.spiegel.de/?id=5&amp;xid=5474&amp;kapitel=7&amp;cHash=319187eedd2" TargetMode="External"/><Relationship Id="rId552" Type="http://schemas.openxmlformats.org/officeDocument/2006/relationships/hyperlink" Target="http://gutenberg.spiegel.de/?id=5&amp;xid=5471&amp;kapitel=6&amp;cHash=fef33401182" TargetMode="External"/><Relationship Id="rId997" Type="http://schemas.openxmlformats.org/officeDocument/2006/relationships/hyperlink" Target="http://projekt.gutenberg.de/?id=5&amp;xid=5459&amp;kapitel=2&amp;cHash=2500fb16a9chap002" TargetMode="External"/><Relationship Id="rId1182" Type="http://schemas.openxmlformats.org/officeDocument/2006/relationships/hyperlink" Target="http://projekt.gutenberg.de/?id=5&amp;xid=5475&amp;kapitel=11&amp;cHash=f458b8542a2" TargetMode="External"/><Relationship Id="rId2026" Type="http://schemas.openxmlformats.org/officeDocument/2006/relationships/hyperlink" Target="http://de.wikisource.org/wiki/Studien_%C3%BCber_Hysterie/Theoretisches" TargetMode="External"/><Relationship Id="rId205" Type="http://schemas.openxmlformats.org/officeDocument/2006/relationships/hyperlink" Target="http://gutenberg.spiegel.de/?id=5&amp;xid=5479&amp;kapitel=27&amp;cHash=c9ba69ac182" TargetMode="External"/><Relationship Id="rId412" Type="http://schemas.openxmlformats.org/officeDocument/2006/relationships/hyperlink" Target="http://projekt.gutenberg.de/?id=5&amp;xid=5455&amp;kapitel=2&amp;cHash=893cd6bc1c2" TargetMode="External"/><Relationship Id="rId857" Type="http://schemas.openxmlformats.org/officeDocument/2006/relationships/hyperlink" Target="http://gutenberg.spiegel.de/?id=5&amp;xid=5453&amp;kapitel=3&amp;cHash=3aa83cf0982" TargetMode="External"/><Relationship Id="rId1042" Type="http://schemas.openxmlformats.org/officeDocument/2006/relationships/hyperlink" Target="http://projekt.gutenberg.de/?id=5&amp;xid=5459&amp;kapitel=4&amp;cHash=2500fb16a9chap004" TargetMode="External"/><Relationship Id="rId1487" Type="http://schemas.openxmlformats.org/officeDocument/2006/relationships/hyperlink" Target="http://gutenberg.spiegel.de/?id=5&amp;xid=5466&amp;kapitel=1" TargetMode="External"/><Relationship Id="rId1694" Type="http://schemas.openxmlformats.org/officeDocument/2006/relationships/hyperlink" Target="http://de.wikisource.org/wiki/Studien_%C3%BCber_Hysterie/Beobachtung_I._Frl._Anna_O%E2%80%A6" TargetMode="External"/><Relationship Id="rId717" Type="http://schemas.openxmlformats.org/officeDocument/2006/relationships/hyperlink" Target="http://gutenberg.spiegel.de/?id=5&amp;xid=5452&amp;kapitel=8&amp;cHash=0b6f4173732" TargetMode="External"/><Relationship Id="rId924" Type="http://schemas.openxmlformats.org/officeDocument/2006/relationships/hyperlink" Target="http://gutenberg.spiegel.de/?id=5&amp;xid=5453&amp;kapitel=31&amp;cHash=3aa83cf0982" TargetMode="External"/><Relationship Id="rId1347" Type="http://schemas.openxmlformats.org/officeDocument/2006/relationships/hyperlink" Target="http://gutenberg.spiegel.de/?id=5&amp;xid=5468&amp;kapitel=10&amp;cHash=3b7308c8912" TargetMode="External"/><Relationship Id="rId1554" Type="http://schemas.openxmlformats.org/officeDocument/2006/relationships/hyperlink" Target="http://gutenberg.spiegel.de/?id=5&amp;xid=5466&amp;kapitel=4&amp;cHash=160114ee7d2" TargetMode="External"/><Relationship Id="rId1761" Type="http://schemas.openxmlformats.org/officeDocument/2006/relationships/hyperlink" Target="http://de.wikisource.org/wiki/Seite:De_Studien_%C3%BCber_Hysterie_062.jpg" TargetMode="External"/><Relationship Id="rId1999" Type="http://schemas.openxmlformats.org/officeDocument/2006/relationships/hyperlink" Target="http://de.wikisource.org/wiki/Seite:De_Studien_%C3%BCber_Hysterie_216.jpg" TargetMode="External"/><Relationship Id="rId53" Type="http://schemas.openxmlformats.org/officeDocument/2006/relationships/hyperlink" Target="http://gutenberg.spiegel.de/?id=5&amp;xid=5479&amp;kapitel=12&amp;cHash=c9ba69ac182" TargetMode="External"/><Relationship Id="rId1207" Type="http://schemas.openxmlformats.org/officeDocument/2006/relationships/hyperlink" Target="http://projekt.gutenberg.de/?id=5&amp;xid=5469&amp;kapitel=2&amp;cHash=37599a73a72" TargetMode="External"/><Relationship Id="rId1414" Type="http://schemas.openxmlformats.org/officeDocument/2006/relationships/hyperlink" Target="http://gutenberg.spiegel.de/?id=5&amp;xid=5454&amp;kapitel=14&amp;cHash=7be8bceb522" TargetMode="External"/><Relationship Id="rId1621" Type="http://schemas.openxmlformats.org/officeDocument/2006/relationships/hyperlink" Target="http://de.wikisource.org/wiki/Studien_%C3%BCber_Hysterie/Beobachtung_I._Frl._Anna_O%E2%80%A6" TargetMode="External"/><Relationship Id="rId1859" Type="http://schemas.openxmlformats.org/officeDocument/2006/relationships/hyperlink" Target="http://de.wikisource.org/wiki/Seite:De_Studien_%C3%BCber_Hysterie_114.jpg" TargetMode="External"/><Relationship Id="rId1719" Type="http://schemas.openxmlformats.org/officeDocument/2006/relationships/hyperlink" Target="http://de.wikisource.org/wiki/Studien_%C3%BCber_Hysterie/Beobachtung_II._Frau_Emmy_v._N%E2%80%A6" TargetMode="External"/><Relationship Id="rId1926" Type="http://schemas.openxmlformats.org/officeDocument/2006/relationships/hyperlink" Target="http://de.wikisource.org/wiki/Seite:De_Studien_%C3%BCber_Hysterie_162.jpg" TargetMode="External"/><Relationship Id="rId367" Type="http://schemas.openxmlformats.org/officeDocument/2006/relationships/hyperlink" Target="http://projekt.gutenberg.de/?id=5&amp;xid=5455&amp;kapitel=1" TargetMode="External"/><Relationship Id="rId574" Type="http://schemas.openxmlformats.org/officeDocument/2006/relationships/hyperlink" Target="http://gutenberg.spiegel.de/?id=5&amp;xid=5471&amp;kapitel=6&amp;cHash=fef33401182" TargetMode="External"/><Relationship Id="rId2048" Type="http://schemas.openxmlformats.org/officeDocument/2006/relationships/hyperlink" Target="http://de.wikisource.org/wiki/Seite:De_Studien_%C3%BCber_Hysterie_235.jpg" TargetMode="External"/><Relationship Id="rId227" Type="http://schemas.openxmlformats.org/officeDocument/2006/relationships/hyperlink" Target="http://gutenberg.spiegel.de/?id=5&amp;xid=5479&amp;kapitel=31&amp;cHash=c9ba69ac182" TargetMode="External"/><Relationship Id="rId781" Type="http://schemas.openxmlformats.org/officeDocument/2006/relationships/hyperlink" Target="http://gutenberg.spiegel.de/?id=5&amp;xid=5452&amp;kapitel=23&amp;cHash=0b6f4173732" TargetMode="External"/><Relationship Id="rId879" Type="http://schemas.openxmlformats.org/officeDocument/2006/relationships/hyperlink" Target="http://gutenberg.spiegel.de/?id=5&amp;xid=5453&amp;kapitel=13&amp;cHash=3aa83cf0982" TargetMode="External"/><Relationship Id="rId434" Type="http://schemas.openxmlformats.org/officeDocument/2006/relationships/hyperlink" Target="http://gutenberg.spiegel.de/?id=5&amp;xid=5458&amp;kapitel=4&amp;cHash=cd31317e0b2" TargetMode="External"/><Relationship Id="rId641" Type="http://schemas.openxmlformats.org/officeDocument/2006/relationships/hyperlink" Target="http://gutenberg.spiegel.de/?id=5&amp;xid=5471&amp;kapitel=6&amp;cHash=fef33401182" TargetMode="External"/><Relationship Id="rId739" Type="http://schemas.openxmlformats.org/officeDocument/2006/relationships/hyperlink" Target="http://gutenberg.spiegel.de/?id=5&amp;xid=5452&amp;kapitel=11&amp;cHash=0b6f4173732" TargetMode="External"/><Relationship Id="rId1064" Type="http://schemas.openxmlformats.org/officeDocument/2006/relationships/hyperlink" Target="http://projekt.gutenberg.de/?id=5&amp;xid=5455&amp;kapitel=2&amp;cHash=893cd6bc1c2" TargetMode="External"/><Relationship Id="rId1271" Type="http://schemas.openxmlformats.org/officeDocument/2006/relationships/hyperlink" Target="http://projekt.gutenberg.de/?id=5&amp;xid=5463&amp;kapitel=4&amp;cHash=3873cdf9922" TargetMode="External"/><Relationship Id="rId1369" Type="http://schemas.openxmlformats.org/officeDocument/2006/relationships/hyperlink" Target="http://gutenberg.spiegel.de/?id=5&amp;xid=5454&amp;kapitel=3&amp;cHash=7be8bceb522" TargetMode="External"/><Relationship Id="rId1576" Type="http://schemas.openxmlformats.org/officeDocument/2006/relationships/hyperlink" Target="http://gutenberg.spiegel.de/?id=5&amp;xid=5456&amp;kapitel=1" TargetMode="External"/><Relationship Id="rId501" Type="http://schemas.openxmlformats.org/officeDocument/2006/relationships/hyperlink" Target="http://gutenberg.spiegel.de/?id=5&amp;xid=5471&amp;kapitel=4&amp;cHash=fef33401182" TargetMode="External"/><Relationship Id="rId946" Type="http://schemas.openxmlformats.org/officeDocument/2006/relationships/hyperlink" Target="http://gutenberg.spiegel.de/?id=5&amp;xid=5453&amp;kapitel=34&amp;cHash=3aa83cf0982" TargetMode="External"/><Relationship Id="rId1131" Type="http://schemas.openxmlformats.org/officeDocument/2006/relationships/hyperlink" Target="http://projekt.gutenberg.de/?id=5&amp;xid=5475&amp;kapitel=5&amp;cHash=f458b8542a2" TargetMode="External"/><Relationship Id="rId1229" Type="http://schemas.openxmlformats.org/officeDocument/2006/relationships/hyperlink" Target="http://projekt.gutenberg.de/?id=5&amp;xid=5469&amp;kapitel=3&amp;cHash=37599a73a72" TargetMode="External"/><Relationship Id="rId1783" Type="http://schemas.openxmlformats.org/officeDocument/2006/relationships/hyperlink" Target="http://de.wikisource.org/wiki/Seite:De_Studien_%C3%BCber_Hysterie_079.jpg" TargetMode="External"/><Relationship Id="rId1990" Type="http://schemas.openxmlformats.org/officeDocument/2006/relationships/hyperlink" Target="http://de.wikisource.org/wiki/Seite:De_Studien_%C3%BCber_Hysterie_209.jpg" TargetMode="External"/><Relationship Id="rId75" Type="http://schemas.openxmlformats.org/officeDocument/2006/relationships/hyperlink" Target="http://gutenberg.spiegel.de/?id=5&amp;xid=5479&amp;kapitel=15&amp;cHash=c9ba69ac182" TargetMode="External"/><Relationship Id="rId806" Type="http://schemas.openxmlformats.org/officeDocument/2006/relationships/hyperlink" Target="http://gutenberg.spiegel.de/?id=5&amp;xid=5452&amp;kapitel=33&amp;cHash=0b6f4173732" TargetMode="External"/><Relationship Id="rId1436" Type="http://schemas.openxmlformats.org/officeDocument/2006/relationships/hyperlink" Target="http://gutenberg.spiegel.de/?id=5&amp;xid=5454&amp;kapitel=22&amp;cHash=7be8bceb522" TargetMode="External"/><Relationship Id="rId1643" Type="http://schemas.openxmlformats.org/officeDocument/2006/relationships/hyperlink" Target="http://de.wikisource.org/wiki/Studien_%C3%BCber_Hysterie/Beobachtung_I._Frl._Anna_O%E2%80%A6" TargetMode="External"/><Relationship Id="rId1850" Type="http://schemas.openxmlformats.org/officeDocument/2006/relationships/hyperlink" Target="http://de.wikisource.org/wiki/Studien_%C3%BCber_Hysterie/Beobachtung_III._Frl._Lucie_R%E2%80%A6" TargetMode="External"/><Relationship Id="rId1503" Type="http://schemas.openxmlformats.org/officeDocument/2006/relationships/hyperlink" Target="http://gutenberg.spiegel.de/?id=5&amp;xid=5466&amp;kapitel=1" TargetMode="External"/><Relationship Id="rId1710" Type="http://schemas.openxmlformats.org/officeDocument/2006/relationships/hyperlink" Target="http://de.wikisource.org/wiki/Studien_%C3%BCber_Hysterie/Beobachtung_I._Frl._Anna_O%E2%80%A6" TargetMode="External"/><Relationship Id="rId1948" Type="http://schemas.openxmlformats.org/officeDocument/2006/relationships/hyperlink" Target="http://de.wikisource.org/wiki/Seite:De_Studien_%C3%BCber_Hysterie_178.jpg" TargetMode="External"/><Relationship Id="rId291" Type="http://schemas.openxmlformats.org/officeDocument/2006/relationships/hyperlink" Target="http://gutenberg.spiegel.de/?id=5&amp;xid=5474&amp;kapitel=2&amp;cHash=319187eedd2" TargetMode="External"/><Relationship Id="rId1808" Type="http://schemas.openxmlformats.org/officeDocument/2006/relationships/hyperlink" Target="http://de.wikisource.org/wiki/Studien_%C3%BCber_Hysterie/Beobachtung_II._Frau_Emmy_v._N%E2%80%A6" TargetMode="External"/><Relationship Id="rId151" Type="http://schemas.openxmlformats.org/officeDocument/2006/relationships/hyperlink" Target="http://gutenberg.spiegel.de/?id=5&amp;xid=5479&amp;kapitel=24&amp;cHash=c9ba69ac182" TargetMode="External"/><Relationship Id="rId389" Type="http://schemas.openxmlformats.org/officeDocument/2006/relationships/hyperlink" Target="http://projekt.gutenberg.de/?id=5&amp;xid=5455&amp;kapitel=2&amp;cHash=893cd6bc1c2" TargetMode="External"/><Relationship Id="rId596" Type="http://schemas.openxmlformats.org/officeDocument/2006/relationships/hyperlink" Target="http://gutenberg.spiegel.de/?id=5&amp;xid=5471&amp;kapitel=6&amp;cHash=fef33401182" TargetMode="External"/><Relationship Id="rId249" Type="http://schemas.openxmlformats.org/officeDocument/2006/relationships/hyperlink" Target="http://gutenberg.spiegel.de/?id=5&amp;xid=5479&amp;kapitel=33&amp;cHash=c9ba69ac182" TargetMode="External"/><Relationship Id="rId456" Type="http://schemas.openxmlformats.org/officeDocument/2006/relationships/hyperlink" Target="http://gutenberg.spiegel.de/?id=5&amp;xid=5471&amp;kapitel=3&amp;cHash=fef33401182" TargetMode="External"/><Relationship Id="rId663" Type="http://schemas.openxmlformats.org/officeDocument/2006/relationships/hyperlink" Target="http://gutenberg.spiegel.de/?id=5&amp;xid=5471&amp;kapitel=6&amp;cHash=fef33401182" TargetMode="External"/><Relationship Id="rId870" Type="http://schemas.openxmlformats.org/officeDocument/2006/relationships/hyperlink" Target="http://gutenberg.spiegel.de/?id=5&amp;xid=5453&amp;kapitel=11&amp;cHash=3aa83cf0982" TargetMode="External"/><Relationship Id="rId1086" Type="http://schemas.openxmlformats.org/officeDocument/2006/relationships/hyperlink" Target="http://projekt.gutenberg.de/?id=5&amp;xid=5455&amp;kapitel=2&amp;cHash=893cd6bc1c2" TargetMode="External"/><Relationship Id="rId1293" Type="http://schemas.openxmlformats.org/officeDocument/2006/relationships/hyperlink" Target="http://projekt.gutenberg.de/?id=5&amp;xid=5463&amp;kapitel=7&amp;cHash=3873cdf9922" TargetMode="External"/><Relationship Id="rId109" Type="http://schemas.openxmlformats.org/officeDocument/2006/relationships/hyperlink" Target="http://gutenberg.spiegel.de/?id=5&amp;xid=5479&amp;kapitel=19&amp;cHash=c9ba69ac182" TargetMode="External"/><Relationship Id="rId316" Type="http://schemas.openxmlformats.org/officeDocument/2006/relationships/hyperlink" Target="http://gutenberg.spiegel.de/?id=5&amp;xid=5474&amp;kapitel=2&amp;cHash=319187eedd2" TargetMode="External"/><Relationship Id="rId523" Type="http://schemas.openxmlformats.org/officeDocument/2006/relationships/hyperlink" Target="http://gutenberg.spiegel.de/?id=5&amp;xid=5471&amp;kapitel=5&amp;cHash=fef33401182" TargetMode="External"/><Relationship Id="rId968" Type="http://schemas.openxmlformats.org/officeDocument/2006/relationships/hyperlink" Target="http://projekt.gutenberg.de/?id=5&amp;xid=5459&amp;kapitel=1" TargetMode="External"/><Relationship Id="rId1153" Type="http://schemas.openxmlformats.org/officeDocument/2006/relationships/hyperlink" Target="http://projekt.gutenberg.de/?id=5&amp;xid=5475&amp;kapitel=8&amp;cHash=f458b8542a2" TargetMode="External"/><Relationship Id="rId1598" Type="http://schemas.openxmlformats.org/officeDocument/2006/relationships/hyperlink" Target="http://de.wikisource.org/wiki/Studien_%C3%BCber_Hysterie" TargetMode="External"/><Relationship Id="rId97" Type="http://schemas.openxmlformats.org/officeDocument/2006/relationships/hyperlink" Target="http://gutenberg.spiegel.de/?id=5&amp;xid=5479&amp;kapitel=17&amp;cHash=c9ba69ac182" TargetMode="External"/><Relationship Id="rId730" Type="http://schemas.openxmlformats.org/officeDocument/2006/relationships/hyperlink" Target="http://gutenberg.spiegel.de/?id=5&amp;xid=5452&amp;kapitel=9&amp;cHash=0b6f4173732" TargetMode="External"/><Relationship Id="rId828" Type="http://schemas.openxmlformats.org/officeDocument/2006/relationships/hyperlink" Target="http://gutenberg.spiegel.de/?id=5&amp;xid=5452&amp;kapitel=35&amp;cHash=0b6f4173732" TargetMode="External"/><Relationship Id="rId1013" Type="http://schemas.openxmlformats.org/officeDocument/2006/relationships/hyperlink" Target="http://projekt.gutenberg.de/?id=5&amp;xid=5459&amp;kapitel=3&amp;cHash=2500fb16a9chap003" TargetMode="External"/><Relationship Id="rId1360" Type="http://schemas.openxmlformats.org/officeDocument/2006/relationships/hyperlink" Target="http://gutenberg.spiegel.de/?id=5&amp;xid=5468&amp;kapitel=18&amp;cHash=3b7308c8912" TargetMode="External"/><Relationship Id="rId1458" Type="http://schemas.openxmlformats.org/officeDocument/2006/relationships/hyperlink" Target="http://gutenberg.spiegel.de/?id=5&amp;xid=4665&amp;kapitel=5&amp;cHash=cc1c208a602" TargetMode="External"/><Relationship Id="rId1665" Type="http://schemas.openxmlformats.org/officeDocument/2006/relationships/hyperlink" Target="http://de.wikisource.org/wiki/Studien_%C3%BCber_Hysterie/Beobachtung_I._Frl._Anna_O%E2%80%A6" TargetMode="External"/><Relationship Id="rId1872" Type="http://schemas.openxmlformats.org/officeDocument/2006/relationships/hyperlink" Target="http://de.wikisource.org/wiki/Seite:De_Studien_%C3%BCber_Hysterie_124.jpg" TargetMode="External"/><Relationship Id="rId1220" Type="http://schemas.openxmlformats.org/officeDocument/2006/relationships/hyperlink" Target="http://projekt.gutenberg.de/?id=5&amp;xid=5469&amp;kapitel=3&amp;cHash=37599a73a72" TargetMode="External"/><Relationship Id="rId1318" Type="http://schemas.openxmlformats.org/officeDocument/2006/relationships/hyperlink" Target="http://gutenberg.spiegel.de/?id=5&amp;xid=5468&amp;kapitel=4&amp;cHash=3b7308c8912" TargetMode="External"/><Relationship Id="rId1525" Type="http://schemas.openxmlformats.org/officeDocument/2006/relationships/hyperlink" Target="http://gutenberg.spiegel.de/?id=5&amp;xid=5466&amp;kapitel=3&amp;cHash=160114ee7d2" TargetMode="External"/><Relationship Id="rId1732" Type="http://schemas.openxmlformats.org/officeDocument/2006/relationships/hyperlink" Target="http://de.wikisource.org/wiki/Studien_%C3%BCber_Hysterie/Beobachtung_II._Frau_Emmy_v._N%E2%80%A6" TargetMode="External"/><Relationship Id="rId24" Type="http://schemas.openxmlformats.org/officeDocument/2006/relationships/hyperlink" Target="http://gutenberg.spiegel.de/?id=5&amp;xid=5479&amp;kapitel=6&amp;cHash=c9ba69ac182" TargetMode="External"/><Relationship Id="rId173" Type="http://schemas.openxmlformats.org/officeDocument/2006/relationships/hyperlink" Target="http://gutenberg.spiegel.de/?id=5&amp;xid=5479&amp;kapitel=25&amp;cHash=c9ba69ac182" TargetMode="External"/><Relationship Id="rId380" Type="http://schemas.openxmlformats.org/officeDocument/2006/relationships/hyperlink" Target="http://projekt.gutenberg.de/?id=5&amp;xid=5455&amp;kapitel=2&amp;cHash=893cd6bc1c2" TargetMode="External"/><Relationship Id="rId2061" Type="http://schemas.openxmlformats.org/officeDocument/2006/relationships/hyperlink" Target="http://de.wikisource.org/wiki/Seite:De_Studien_%C3%BCber_Hysterie_248.jpg" TargetMode="External"/><Relationship Id="rId240" Type="http://schemas.openxmlformats.org/officeDocument/2006/relationships/hyperlink" Target="http://gutenberg.spiegel.de/?id=5&amp;xid=5479&amp;kapitel=32&amp;cHash=c9ba69ac182" TargetMode="External"/><Relationship Id="rId478" Type="http://schemas.openxmlformats.org/officeDocument/2006/relationships/hyperlink" Target="http://gutenberg.spiegel.de/?id=5&amp;xid=5471&amp;kapitel=4&amp;cHash=fef33401182" TargetMode="External"/><Relationship Id="rId685" Type="http://schemas.openxmlformats.org/officeDocument/2006/relationships/hyperlink" Target="http://gutenberg.spiegel.de/?id=5&amp;xid=5471&amp;kapitel=6&amp;cHash=fef33401182" TargetMode="External"/><Relationship Id="rId892" Type="http://schemas.openxmlformats.org/officeDocument/2006/relationships/hyperlink" Target="http://gutenberg.spiegel.de/?id=5&amp;xid=5453&amp;kapitel=17&amp;cHash=3aa83cf0982" TargetMode="External"/><Relationship Id="rId100" Type="http://schemas.openxmlformats.org/officeDocument/2006/relationships/hyperlink" Target="http://gutenberg.spiegel.de/?id=5&amp;xid=5479&amp;kapitel=17&amp;cHash=c9ba69ac182" TargetMode="External"/><Relationship Id="rId338" Type="http://schemas.openxmlformats.org/officeDocument/2006/relationships/hyperlink" Target="http://gutenberg.spiegel.de/?id=5&amp;xid=5474&amp;kapitel=6&amp;cHash=319187eedd2" TargetMode="External"/><Relationship Id="rId545" Type="http://schemas.openxmlformats.org/officeDocument/2006/relationships/hyperlink" Target="http://gutenberg.spiegel.de/?id=5&amp;xid=5471&amp;kapitel=6&amp;cHash=fef33401182" TargetMode="External"/><Relationship Id="rId752" Type="http://schemas.openxmlformats.org/officeDocument/2006/relationships/hyperlink" Target="http://gutenberg.spiegel.de/?id=5&amp;xid=5452&amp;kapitel=12&amp;cHash=0b6f4173732" TargetMode="External"/><Relationship Id="rId1175" Type="http://schemas.openxmlformats.org/officeDocument/2006/relationships/hyperlink" Target="http://projekt.gutenberg.de/?id=5&amp;xid=5475&amp;kapitel=10&amp;cHash=f458b8542a2" TargetMode="External"/><Relationship Id="rId1382" Type="http://schemas.openxmlformats.org/officeDocument/2006/relationships/hyperlink" Target="http://gutenberg.spiegel.de/?id=5&amp;xid=5454&amp;kapitel=4&amp;cHash=7be8bceb522" TargetMode="External"/><Relationship Id="rId2019" Type="http://schemas.openxmlformats.org/officeDocument/2006/relationships/hyperlink" Target="http://de.wikisource.org/wiki/Studien_%C3%BCber_Hysterie/Theoretisches" TargetMode="External"/><Relationship Id="rId405" Type="http://schemas.openxmlformats.org/officeDocument/2006/relationships/hyperlink" Target="http://projekt.gutenberg.de/?id=5&amp;xid=5455&amp;kapitel=2&amp;cHash=893cd6bc1c2" TargetMode="External"/><Relationship Id="rId612" Type="http://schemas.openxmlformats.org/officeDocument/2006/relationships/hyperlink" Target="http://gutenberg.spiegel.de/?id=5&amp;xid=5471&amp;kapitel=6&amp;cHash=fef33401182" TargetMode="External"/><Relationship Id="rId1035" Type="http://schemas.openxmlformats.org/officeDocument/2006/relationships/hyperlink" Target="http://projekt.gutenberg.de/?id=5&amp;xid=5459&amp;kapitel=4&amp;cHash=2500fb16a9chap004" TargetMode="External"/><Relationship Id="rId1242" Type="http://schemas.openxmlformats.org/officeDocument/2006/relationships/hyperlink" Target="http://projekt.gutenberg.de/?id=5&amp;xid=5469&amp;kapitel=3&amp;cHash=37599a73a72" TargetMode="External"/><Relationship Id="rId1687" Type="http://schemas.openxmlformats.org/officeDocument/2006/relationships/hyperlink" Target="http://de.wikipedia.org/wiki/Nervus_oculomotorius" TargetMode="External"/><Relationship Id="rId1894" Type="http://schemas.openxmlformats.org/officeDocument/2006/relationships/hyperlink" Target="http://de.wikisource.org/wiki/Seite:De_Studien_%C3%BCber_Hysterie_143.jpg" TargetMode="External"/><Relationship Id="rId917" Type="http://schemas.openxmlformats.org/officeDocument/2006/relationships/hyperlink" Target="http://gutenberg.spiegel.de/?id=5&amp;xid=5453&amp;kapitel=25&amp;cHash=3aa83cf0982" TargetMode="External"/><Relationship Id="rId1102" Type="http://schemas.openxmlformats.org/officeDocument/2006/relationships/hyperlink" Target="http://projekt.gutenberg.de/?id=5&amp;xid=5455&amp;kapitel=2&amp;cHash=893cd6bc1c2" TargetMode="External"/><Relationship Id="rId1547" Type="http://schemas.openxmlformats.org/officeDocument/2006/relationships/image" Target="media/image34.jpeg"/><Relationship Id="rId1754" Type="http://schemas.openxmlformats.org/officeDocument/2006/relationships/hyperlink" Target="http://de.wikisource.org/wiki/Seite:De_Studien_%C3%BCber_Hysterie_056.jpg" TargetMode="External"/><Relationship Id="rId1961" Type="http://schemas.openxmlformats.org/officeDocument/2006/relationships/hyperlink" Target="http://de.wikisource.org/wiki/Studien_%C3%BCber_Hysterie/Theoretisches" TargetMode="External"/><Relationship Id="rId46" Type="http://schemas.openxmlformats.org/officeDocument/2006/relationships/hyperlink" Target="http://gutenberg.spiegel.de/?id=5&amp;xid=5479&amp;kapitel=12&amp;cHash=c9ba69ac182" TargetMode="External"/><Relationship Id="rId1407" Type="http://schemas.openxmlformats.org/officeDocument/2006/relationships/hyperlink" Target="http://gutenberg.spiegel.de/?id=5&amp;xid=5454&amp;kapitel=11&amp;cHash=7be8bceb522" TargetMode="External"/><Relationship Id="rId1614" Type="http://schemas.openxmlformats.org/officeDocument/2006/relationships/hyperlink" Target="http://de.wikisource.org/wiki/Seite:De_Studien_%C3%BCber_Hysterie_013.jpg" TargetMode="External"/><Relationship Id="rId1821" Type="http://schemas.openxmlformats.org/officeDocument/2006/relationships/hyperlink" Target="http://de.wikisource.org/wiki/Studien_%C3%BCber_Hysterie/Beobachtung_II._Frau_Emmy_v._N%E2%80%A6" TargetMode="External"/><Relationship Id="rId195" Type="http://schemas.openxmlformats.org/officeDocument/2006/relationships/hyperlink" Target="http://gutenberg.spiegel.de/?id=5&amp;xid=5479&amp;kapitel=25&amp;cHash=c9ba69ac182" TargetMode="External"/><Relationship Id="rId1919" Type="http://schemas.openxmlformats.org/officeDocument/2006/relationships/hyperlink" Target="http://de.wikisource.org/wiki/Studien_%C3%BCber_Hysterie/Beobachtung_V._Frl._Elisabeth_v._R%E2%80%A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C115F-447F-4FCF-96BD-2D2B1905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2259</Pages>
  <Words>1656211</Words>
  <Characters>9109164</Characters>
  <Application>Microsoft Office Word</Application>
  <DocSecurity>0</DocSecurity>
  <Lines>75909</Lines>
  <Paragraphs>21487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10743888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50</cp:revision>
  <dcterms:created xsi:type="dcterms:W3CDTF">2011-10-08T04:22:00Z</dcterms:created>
  <dcterms:modified xsi:type="dcterms:W3CDTF">2011-10-15T16:57:00Z</dcterms:modified>
</cp:coreProperties>
</file>